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76092" w14:paraId="743D1D59" w14:textId="5DEC1EAD">
      <w:pPr>
        <w:pStyle w:val="BodyText"/>
        <w:rPr>
          <w:sz w:val="31"/>
        </w:rPr>
      </w:pPr>
    </w:p>
    <w:p w:rsidR="00933145" w:rsidP="00933145" w14:paraId="5007C375" w14:textId="77777777">
      <w:pPr>
        <w:pStyle w:val="paragraph"/>
        <w:spacing w:before="0" w:beforeAutospacing="0" w:after="0" w:afterAutospacing="0"/>
        <w:ind w:right="705"/>
        <w:textAlignment w:val="baseline"/>
        <w:rPr>
          <w:rFonts w:ascii="Segoe UI" w:hAnsi="Segoe UI" w:cs="Segoe UI"/>
          <w:sz w:val="18"/>
          <w:szCs w:val="18"/>
        </w:rPr>
      </w:pPr>
      <w:r>
        <w:rPr>
          <w:rStyle w:val="eop"/>
          <w:sz w:val="40"/>
          <w:szCs w:val="40"/>
        </w:rPr>
        <w:t> </w:t>
      </w:r>
    </w:p>
    <w:p w:rsidR="00933145" w:rsidP="00933145" w14:paraId="54E23C30" w14:textId="77777777">
      <w:pPr>
        <w:pStyle w:val="paragraph"/>
        <w:spacing w:before="0" w:beforeAutospacing="0" w:after="0" w:afterAutospacing="0"/>
        <w:ind w:left="720" w:right="705"/>
        <w:jc w:val="center"/>
        <w:textAlignment w:val="baseline"/>
        <w:rPr>
          <w:rFonts w:ascii="Segoe UI" w:hAnsi="Segoe UI" w:cs="Segoe UI"/>
          <w:sz w:val="18"/>
          <w:szCs w:val="18"/>
        </w:rPr>
      </w:pPr>
      <w:r>
        <w:rPr>
          <w:rStyle w:val="normaltextrun"/>
          <w:i/>
          <w:iCs/>
          <w:sz w:val="36"/>
          <w:szCs w:val="36"/>
        </w:rPr>
        <w:t>NATIONAL CENTER FOR EDUCATION STATISTICS</w:t>
      </w:r>
      <w:r>
        <w:rPr>
          <w:rStyle w:val="eop"/>
          <w:sz w:val="36"/>
          <w:szCs w:val="36"/>
        </w:rPr>
        <w:t> </w:t>
      </w:r>
    </w:p>
    <w:p w:rsidR="00933145" w:rsidP="00933145" w14:paraId="062BF1BB" w14:textId="77777777">
      <w:pPr>
        <w:pStyle w:val="paragraph"/>
        <w:spacing w:before="0" w:beforeAutospacing="0" w:after="0" w:afterAutospacing="0"/>
        <w:ind w:left="330" w:right="315"/>
        <w:jc w:val="center"/>
        <w:textAlignment w:val="baseline"/>
        <w:rPr>
          <w:rFonts w:ascii="Segoe UI" w:hAnsi="Segoe UI" w:cs="Segoe UI"/>
          <w:sz w:val="18"/>
          <w:szCs w:val="18"/>
        </w:rPr>
      </w:pPr>
      <w:r>
        <w:rPr>
          <w:rStyle w:val="normaltextrun"/>
          <w:i/>
          <w:iCs/>
          <w:sz w:val="36"/>
          <w:szCs w:val="36"/>
        </w:rPr>
        <w:t>NATIONAL ASSESSMENT OF EDUCATIONAL PROGRESS</w:t>
      </w:r>
      <w:r>
        <w:rPr>
          <w:rStyle w:val="eop"/>
          <w:sz w:val="36"/>
          <w:szCs w:val="36"/>
        </w:rPr>
        <w:t> </w:t>
      </w:r>
    </w:p>
    <w:p w:rsidR="00933145" w:rsidP="00933145" w14:paraId="5EE542D0" w14:textId="77777777">
      <w:pPr>
        <w:pStyle w:val="paragraph"/>
        <w:spacing w:before="0" w:beforeAutospacing="0" w:after="0" w:afterAutospacing="0"/>
        <w:ind w:right="30"/>
        <w:textAlignment w:val="baseline"/>
        <w:rPr>
          <w:rFonts w:ascii="Segoe UI" w:hAnsi="Segoe UI" w:cs="Segoe UI"/>
          <w:sz w:val="18"/>
          <w:szCs w:val="18"/>
        </w:rPr>
      </w:pPr>
      <w:r>
        <w:rPr>
          <w:rStyle w:val="eop"/>
          <w:sz w:val="36"/>
          <w:szCs w:val="36"/>
        </w:rPr>
        <w:t> </w:t>
      </w:r>
    </w:p>
    <w:p w:rsidR="00933145" w:rsidP="00933145" w14:paraId="1C410207" w14:textId="77777777">
      <w:pPr>
        <w:pStyle w:val="paragraph"/>
        <w:spacing w:before="0" w:beforeAutospacing="0" w:after="0" w:afterAutospacing="0"/>
        <w:ind w:right="30"/>
        <w:textAlignment w:val="baseline"/>
        <w:rPr>
          <w:rFonts w:ascii="Segoe UI" w:hAnsi="Segoe UI" w:cs="Segoe UI"/>
          <w:sz w:val="18"/>
          <w:szCs w:val="18"/>
        </w:rPr>
      </w:pPr>
      <w:r>
        <w:rPr>
          <w:rStyle w:val="eop"/>
          <w:sz w:val="36"/>
          <w:szCs w:val="36"/>
        </w:rPr>
        <w:t> </w:t>
      </w:r>
    </w:p>
    <w:p w:rsidR="00933145" w:rsidP="00933145" w14:paraId="04F77F91" w14:textId="77777777">
      <w:pPr>
        <w:pStyle w:val="paragraph"/>
        <w:spacing w:before="0" w:beforeAutospacing="0" w:after="0" w:afterAutospacing="0"/>
        <w:ind w:right="30"/>
        <w:jc w:val="center"/>
        <w:textAlignment w:val="baseline"/>
        <w:rPr>
          <w:rFonts w:ascii="Segoe UI" w:hAnsi="Segoe UI" w:cs="Segoe UI"/>
          <w:sz w:val="18"/>
          <w:szCs w:val="18"/>
        </w:rPr>
      </w:pPr>
      <w:r>
        <w:rPr>
          <w:rStyle w:val="normaltextrun"/>
          <w:i/>
          <w:iCs/>
          <w:sz w:val="40"/>
          <w:szCs w:val="40"/>
        </w:rPr>
        <w:t>National Assessment of Educational Progress (NAEP) 2026</w:t>
      </w:r>
      <w:r>
        <w:rPr>
          <w:rStyle w:val="eop"/>
          <w:sz w:val="40"/>
          <w:szCs w:val="40"/>
        </w:rPr>
        <w:t> </w:t>
      </w:r>
    </w:p>
    <w:p w:rsidR="00933145" w:rsidP="00933145" w14:paraId="25E599EC"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933145" w:rsidP="00933145" w14:paraId="744EA7B5"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933145" w:rsidP="00933145" w14:paraId="6615313C" w14:textId="4F70C92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933145" w:rsidP="00933145" w14:paraId="560EAE73"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933145" w:rsidP="00933145" w14:paraId="0C4761F3" w14:textId="77777777">
      <w:pPr>
        <w:pStyle w:val="paragraph"/>
        <w:spacing w:before="0" w:beforeAutospacing="0" w:after="0" w:afterAutospacing="0"/>
        <w:textAlignment w:val="baseline"/>
        <w:rPr>
          <w:rFonts w:ascii="Segoe UI" w:hAnsi="Segoe UI" w:cs="Segoe UI"/>
          <w:sz w:val="18"/>
          <w:szCs w:val="18"/>
        </w:rPr>
      </w:pPr>
      <w:r>
        <w:rPr>
          <w:rStyle w:val="eop"/>
          <w:sz w:val="48"/>
          <w:szCs w:val="48"/>
        </w:rPr>
        <w:t> </w:t>
      </w:r>
    </w:p>
    <w:p w:rsidR="00933145" w:rsidP="00933145" w14:paraId="29855788" w14:textId="569620A1">
      <w:pPr>
        <w:pStyle w:val="paragraph"/>
        <w:spacing w:before="0" w:beforeAutospacing="0" w:after="0" w:afterAutospacing="0"/>
        <w:ind w:left="3300" w:right="3270"/>
        <w:jc w:val="center"/>
        <w:textAlignment w:val="baseline"/>
        <w:rPr>
          <w:rFonts w:ascii="Segoe UI" w:hAnsi="Segoe UI" w:cs="Segoe UI"/>
          <w:sz w:val="18"/>
          <w:szCs w:val="18"/>
        </w:rPr>
      </w:pPr>
      <w:r>
        <w:rPr>
          <w:rStyle w:val="normaltextrun"/>
          <w:i/>
          <w:iCs/>
          <w:sz w:val="40"/>
          <w:szCs w:val="40"/>
        </w:rPr>
        <w:t xml:space="preserve">Appendix </w:t>
      </w:r>
      <w:r w:rsidR="001E707A">
        <w:rPr>
          <w:rStyle w:val="normaltextrun"/>
          <w:i/>
          <w:iCs/>
          <w:sz w:val="40"/>
          <w:szCs w:val="40"/>
        </w:rPr>
        <w:t>G</w:t>
      </w:r>
      <w:r>
        <w:rPr>
          <w:rStyle w:val="eop"/>
          <w:sz w:val="40"/>
          <w:szCs w:val="40"/>
        </w:rPr>
        <w:t> </w:t>
      </w:r>
    </w:p>
    <w:p w:rsidR="00933145" w:rsidP="00933145" w14:paraId="7B7BD558" w14:textId="44407DDF">
      <w:pPr>
        <w:pStyle w:val="paragraph"/>
        <w:spacing w:before="0" w:beforeAutospacing="0" w:after="0" w:afterAutospacing="0"/>
        <w:ind w:left="3300" w:right="3270"/>
        <w:jc w:val="center"/>
        <w:textAlignment w:val="baseline"/>
        <w:rPr>
          <w:rFonts w:ascii="Segoe UI" w:hAnsi="Segoe UI" w:cs="Segoe UI"/>
          <w:sz w:val="18"/>
          <w:szCs w:val="18"/>
        </w:rPr>
      </w:pPr>
      <w:r>
        <w:rPr>
          <w:rStyle w:val="normaltextrun"/>
          <w:i/>
          <w:iCs/>
          <w:sz w:val="40"/>
          <w:szCs w:val="40"/>
        </w:rPr>
        <w:t>NAEP 202</w:t>
      </w:r>
      <w:r w:rsidR="001E707A">
        <w:rPr>
          <w:rStyle w:val="normaltextrun"/>
          <w:i/>
          <w:iCs/>
          <w:sz w:val="40"/>
          <w:szCs w:val="40"/>
        </w:rPr>
        <w:t>2</w:t>
      </w:r>
      <w:r>
        <w:rPr>
          <w:rStyle w:val="normaltextrun"/>
          <w:i/>
          <w:iCs/>
          <w:sz w:val="40"/>
          <w:szCs w:val="40"/>
        </w:rPr>
        <w:t xml:space="preserve"> </w:t>
      </w:r>
      <w:r w:rsidR="001E707A">
        <w:rPr>
          <w:rStyle w:val="normaltextrun"/>
          <w:i/>
          <w:iCs/>
          <w:sz w:val="40"/>
          <w:szCs w:val="40"/>
        </w:rPr>
        <w:t>Sample Design</w:t>
      </w:r>
      <w:r>
        <w:rPr>
          <w:rStyle w:val="eop"/>
          <w:sz w:val="40"/>
          <w:szCs w:val="40"/>
        </w:rPr>
        <w:t> </w:t>
      </w:r>
    </w:p>
    <w:p w:rsidR="00933145" w:rsidP="00933145" w14:paraId="58B4821C"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933145" w:rsidP="00933145" w14:paraId="6158A023" w14:textId="320E0BC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933145" w:rsidP="00933145" w14:paraId="20044C7D" w14:textId="77777777">
      <w:pPr>
        <w:pStyle w:val="paragraph"/>
        <w:spacing w:before="0" w:beforeAutospacing="0" w:after="0" w:afterAutospacing="0"/>
        <w:textAlignment w:val="baseline"/>
        <w:rPr>
          <w:rFonts w:ascii="Segoe UI" w:hAnsi="Segoe UI" w:cs="Segoe UI"/>
          <w:sz w:val="18"/>
          <w:szCs w:val="18"/>
        </w:rPr>
      </w:pPr>
      <w:r>
        <w:rPr>
          <w:rStyle w:val="eop"/>
          <w:sz w:val="40"/>
          <w:szCs w:val="40"/>
        </w:rPr>
        <w:t> </w:t>
      </w:r>
    </w:p>
    <w:p w:rsidR="00933145" w:rsidP="00933145" w14:paraId="5FF70EDB" w14:textId="748FE2EC">
      <w:pPr>
        <w:pStyle w:val="paragraph"/>
        <w:spacing w:before="0" w:beforeAutospacing="0" w:after="0" w:afterAutospacing="0"/>
        <w:ind w:left="2970" w:right="2805"/>
        <w:jc w:val="center"/>
        <w:textAlignment w:val="baseline"/>
        <w:rPr>
          <w:rFonts w:ascii="Segoe UI" w:hAnsi="Segoe UI" w:cs="Segoe UI"/>
          <w:sz w:val="18"/>
          <w:szCs w:val="18"/>
        </w:rPr>
      </w:pPr>
      <w:r>
        <w:rPr>
          <w:rStyle w:val="normaltextrun"/>
          <w:i/>
          <w:iCs/>
          <w:sz w:val="40"/>
          <w:szCs w:val="40"/>
        </w:rPr>
        <w:t>OMB# 1850-0928 v.3</w:t>
      </w:r>
      <w:r w:rsidR="0086381A">
        <w:rPr>
          <w:rStyle w:val="normaltextrun"/>
          <w:i/>
          <w:iCs/>
          <w:sz w:val="40"/>
          <w:szCs w:val="40"/>
        </w:rPr>
        <w:t>7</w:t>
      </w:r>
    </w:p>
    <w:p w:rsidR="00933145" w:rsidP="00933145" w14:paraId="2401D149"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15"/>
          <w:szCs w:val="15"/>
        </w:rPr>
        <w:t> </w:t>
      </w:r>
    </w:p>
    <w:p w:rsidR="00933145" w:rsidP="00933145" w14:paraId="74C69C4E"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933145" w:rsidP="00933145" w14:paraId="026764C9"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933145" w:rsidP="00933145" w14:paraId="53921DA7"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933145" w:rsidP="00933145" w14:paraId="27887713" w14:textId="77777777">
      <w:pPr>
        <w:pStyle w:val="paragraph"/>
        <w:spacing w:before="0" w:beforeAutospacing="0" w:after="0" w:afterAutospacing="0"/>
        <w:ind w:right="-30"/>
        <w:jc w:val="center"/>
        <w:textAlignment w:val="baseline"/>
        <w:rPr>
          <w:rFonts w:ascii="Segoe UI" w:hAnsi="Segoe UI" w:cs="Segoe UI"/>
          <w:sz w:val="18"/>
          <w:szCs w:val="18"/>
        </w:rPr>
      </w:pPr>
      <w:r>
        <w:rPr>
          <w:rStyle w:val="wacimagecontainer"/>
          <w:rFonts w:ascii="Segoe UI" w:hAnsi="Segoe UI" w:cs="Segoe UI"/>
          <w:noProof/>
          <w:sz w:val="18"/>
          <w:szCs w:val="18"/>
        </w:rPr>
        <w:drawing>
          <wp:inline distT="0" distB="0" distL="0" distR="0">
            <wp:extent cx="1085850" cy="1239027"/>
            <wp:effectExtent l="0" t="0" r="0" b="0"/>
            <wp:docPr id="10357298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729847" name="Picture 4"/>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19121" cy="1276991"/>
                    </a:xfrm>
                    <a:prstGeom prst="rect">
                      <a:avLst/>
                    </a:prstGeom>
                    <a:noFill/>
                    <a:ln>
                      <a:noFill/>
                    </a:ln>
                  </pic:spPr>
                </pic:pic>
              </a:graphicData>
            </a:graphic>
          </wp:inline>
        </w:drawing>
      </w:r>
      <w:r>
        <w:rPr>
          <w:rStyle w:val="eop"/>
          <w:sz w:val="22"/>
          <w:szCs w:val="22"/>
        </w:rPr>
        <w:t> </w:t>
      </w:r>
    </w:p>
    <w:p w:rsidR="00933145" w:rsidP="00933145" w14:paraId="394CD17E"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933145" w:rsidP="00933145" w14:paraId="530DB473"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933145" w:rsidP="00933145" w14:paraId="4FD08C46"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933145" w:rsidP="00933145" w14:paraId="0EA233DF" w14:textId="3F0110EE">
      <w:pPr>
        <w:pStyle w:val="paragraph"/>
        <w:spacing w:before="0" w:beforeAutospacing="0" w:after="0" w:afterAutospacing="0"/>
        <w:jc w:val="center"/>
        <w:textAlignment w:val="baseline"/>
        <w:rPr>
          <w:rFonts w:ascii="Segoe UI" w:hAnsi="Segoe UI" w:cs="Segoe UI"/>
          <w:sz w:val="18"/>
          <w:szCs w:val="18"/>
        </w:rPr>
      </w:pPr>
      <w:r>
        <w:rPr>
          <w:rStyle w:val="normaltextrun"/>
        </w:rPr>
        <w:t>July</w:t>
      </w:r>
      <w:r w:rsidR="00270548">
        <w:rPr>
          <w:rStyle w:val="normaltextrun"/>
        </w:rPr>
        <w:t xml:space="preserve"> 2025</w:t>
      </w:r>
    </w:p>
    <w:p w:rsidR="00776092" w14:paraId="4661B767" w14:textId="7FACAEB3">
      <w:pPr>
        <w:rPr>
          <w:sz w:val="31"/>
          <w:szCs w:val="21"/>
        </w:rPr>
      </w:pPr>
    </w:p>
    <w:p w:rsidR="00696760" w:rsidP="00696760" w14:paraId="2461D1C0" w14:textId="3AFED8E8">
      <w:pPr>
        <w:pStyle w:val="BodyText"/>
        <w:rPr>
          <w:color w:val="FF0000"/>
          <w:sz w:val="22"/>
          <w:szCs w:val="22"/>
        </w:rPr>
      </w:pPr>
      <w:r w:rsidRPr="00696760">
        <w:rPr>
          <w:b/>
          <w:bCs/>
          <w:color w:val="FF0000"/>
          <w:sz w:val="22"/>
          <w:szCs w:val="22"/>
        </w:rPr>
        <w:t>The 2022 Sample Design documentation is the most current version available to the public for state level NAEP assessment year. At this time, there is not a timeline for when the details for later assessment years will be publicly available</w:t>
      </w:r>
      <w:r>
        <w:rPr>
          <w:color w:val="FF0000"/>
          <w:sz w:val="22"/>
          <w:szCs w:val="22"/>
        </w:rPr>
        <w:t>.</w:t>
      </w:r>
    </w:p>
    <w:p w:rsidR="003F5784" w14:paraId="3D78CA0D" w14:textId="77777777">
      <w:pPr>
        <w:pStyle w:val="BodyText"/>
        <w:rPr>
          <w:sz w:val="31"/>
        </w:rPr>
      </w:pPr>
    </w:p>
    <w:p w:rsidR="00B4162D" w:rsidRPr="00B4162D" w:rsidP="00752A06" w14:paraId="6A0BFE33" w14:textId="0BC81A04">
      <w:pPr>
        <w:spacing w:before="92"/>
        <w:rPr>
          <w:b/>
          <w:color w:val="FF0000"/>
          <w:sz w:val="24"/>
          <w:szCs w:val="16"/>
        </w:rPr>
      </w:pPr>
      <w:r w:rsidRPr="00E25804">
        <w:rPr>
          <w:b/>
          <w:color w:val="FF0000"/>
          <w:sz w:val="24"/>
          <w:szCs w:val="16"/>
        </w:rPr>
        <w:t xml:space="preserve">Please note, in 2022, the term “gender” was used in the </w:t>
      </w:r>
      <w:r>
        <w:rPr>
          <w:b/>
          <w:color w:val="FF0000"/>
          <w:sz w:val="24"/>
          <w:szCs w:val="16"/>
        </w:rPr>
        <w:t>sample design</w:t>
      </w:r>
      <w:r w:rsidRPr="00E25804">
        <w:rPr>
          <w:b/>
          <w:color w:val="FF0000"/>
          <w:sz w:val="24"/>
          <w:szCs w:val="16"/>
        </w:rPr>
        <w:t>. In 2026, the term “sex” will be used. The information below is a mock-up of what this type of documentation will look like for 2026.</w:t>
      </w:r>
    </w:p>
    <w:p w:rsidR="003F5784" w14:paraId="679BCF6C" w14:textId="77777777">
      <w:pPr>
        <w:pStyle w:val="BodyText"/>
        <w:spacing w:before="87"/>
        <w:rPr>
          <w:sz w:val="31"/>
        </w:rPr>
      </w:pPr>
    </w:p>
    <w:p w:rsidR="003F5784" w14:paraId="5F71583F" w14:textId="77777777">
      <w:pPr>
        <w:ind w:left="109"/>
        <w:rPr>
          <w:b/>
          <w:sz w:val="31"/>
        </w:rPr>
      </w:pPr>
      <w:r>
        <w:rPr>
          <w:b/>
          <w:sz w:val="31"/>
        </w:rPr>
        <w:t>NAEP</w:t>
      </w:r>
      <w:r>
        <w:rPr>
          <w:b/>
          <w:spacing w:val="-23"/>
          <w:sz w:val="31"/>
        </w:rPr>
        <w:t xml:space="preserve"> </w:t>
      </w:r>
      <w:r>
        <w:rPr>
          <w:b/>
          <w:sz w:val="31"/>
        </w:rPr>
        <w:t>Technical</w:t>
      </w:r>
      <w:r>
        <w:rPr>
          <w:b/>
          <w:spacing w:val="-19"/>
          <w:sz w:val="31"/>
        </w:rPr>
        <w:t xml:space="preserve"> </w:t>
      </w:r>
      <w:r>
        <w:rPr>
          <w:b/>
          <w:sz w:val="31"/>
        </w:rPr>
        <w:t>Documentation</w:t>
      </w:r>
      <w:r>
        <w:rPr>
          <w:b/>
          <w:spacing w:val="-15"/>
          <w:sz w:val="31"/>
        </w:rPr>
        <w:t xml:space="preserve"> </w:t>
      </w:r>
      <w:r>
        <w:rPr>
          <w:b/>
          <w:spacing w:val="-2"/>
          <w:sz w:val="31"/>
        </w:rPr>
        <w:t>Website</w:t>
      </w:r>
    </w:p>
    <w:p w:rsidR="003F5784" w14:paraId="1A5345F3" w14:textId="6A87487B">
      <w:pPr>
        <w:pStyle w:val="Heading1"/>
        <w:spacing w:before="280"/>
      </w:pPr>
      <w:r>
        <w:t>NAEP</w:t>
      </w:r>
      <w:r>
        <w:rPr>
          <w:spacing w:val="-22"/>
        </w:rPr>
        <w:t xml:space="preserve"> </w:t>
      </w:r>
      <w:r>
        <w:t>Technical</w:t>
      </w:r>
      <w:r>
        <w:rPr>
          <w:spacing w:val="12"/>
        </w:rPr>
        <w:t xml:space="preserve"> </w:t>
      </w:r>
      <w:r>
        <w:t>Documentation</w:t>
      </w:r>
      <w:r w:rsidR="00324096">
        <w:t xml:space="preserve"> </w:t>
      </w:r>
      <w:r>
        <w:t>NAEP</w:t>
      </w:r>
      <w:r>
        <w:rPr>
          <w:spacing w:val="-14"/>
        </w:rPr>
        <w:t xml:space="preserve"> </w:t>
      </w:r>
      <w:r>
        <w:t>2022</w:t>
      </w:r>
      <w:r>
        <w:rPr>
          <w:spacing w:val="12"/>
        </w:rPr>
        <w:t xml:space="preserve"> </w:t>
      </w:r>
      <w:r>
        <w:t>Sample</w:t>
      </w:r>
      <w:r>
        <w:rPr>
          <w:spacing w:val="12"/>
        </w:rPr>
        <w:t xml:space="preserve"> </w:t>
      </w:r>
      <w:r>
        <w:rPr>
          <w:spacing w:val="-2"/>
        </w:rPr>
        <w:t>Design</w:t>
      </w:r>
    </w:p>
    <w:p w:rsidR="003F5784" w14:paraId="07AF45AF" w14:textId="77777777">
      <w:pPr>
        <w:pStyle w:val="BodyText"/>
        <w:spacing w:before="3"/>
        <w:rPr>
          <w:b/>
          <w:sz w:val="17"/>
        </w:rPr>
      </w:pPr>
    </w:p>
    <w:p w:rsidR="003F5784" w14:paraId="6A110C36" w14:textId="77777777">
      <w:pPr>
        <w:rPr>
          <w:sz w:val="17"/>
        </w:rPr>
        <w:sectPr>
          <w:headerReference w:type="default" r:id="rId8"/>
          <w:footerReference w:type="default" r:id="rId9"/>
          <w:type w:val="continuous"/>
          <w:pgSz w:w="15840" w:h="12240" w:orient="landscape"/>
          <w:pgMar w:top="480" w:right="440" w:bottom="460" w:left="460" w:header="284" w:footer="275" w:gutter="0"/>
          <w:pgNumType w:start="1"/>
          <w:cols w:space="720"/>
        </w:sectPr>
      </w:pPr>
    </w:p>
    <w:p w:rsidR="003F5784" w14:paraId="2B0E51F4" w14:textId="77777777">
      <w:pPr>
        <w:pStyle w:val="BodyText"/>
        <w:spacing w:before="90" w:line="439" w:lineRule="auto"/>
        <w:ind w:left="109" w:right="2022"/>
      </w:pPr>
      <w:r>
        <w:t>The</w:t>
      </w:r>
      <w:r>
        <w:rPr>
          <w:spacing w:val="-11"/>
        </w:rPr>
        <w:t xml:space="preserve"> </w:t>
      </w:r>
      <w:r>
        <w:t>sample</w:t>
      </w:r>
      <w:r>
        <w:rPr>
          <w:spacing w:val="-9"/>
        </w:rPr>
        <w:t xml:space="preserve"> </w:t>
      </w:r>
      <w:r>
        <w:t>design</w:t>
      </w:r>
      <w:r>
        <w:rPr>
          <w:spacing w:val="-9"/>
        </w:rPr>
        <w:t xml:space="preserve"> </w:t>
      </w:r>
      <w:r>
        <w:t>for</w:t>
      </w:r>
      <w:r>
        <w:rPr>
          <w:spacing w:val="-9"/>
        </w:rPr>
        <w:t xml:space="preserve"> </w:t>
      </w:r>
      <w:r>
        <w:t>NAEP</w:t>
      </w:r>
      <w:r>
        <w:rPr>
          <w:spacing w:val="-14"/>
        </w:rPr>
        <w:t xml:space="preserve"> </w:t>
      </w:r>
      <w:r>
        <w:t>2022</w:t>
      </w:r>
      <w:r>
        <w:rPr>
          <w:spacing w:val="-8"/>
        </w:rPr>
        <w:t xml:space="preserve"> </w:t>
      </w:r>
      <w:r>
        <w:t>included</w:t>
      </w:r>
      <w:r>
        <w:rPr>
          <w:spacing w:val="-9"/>
        </w:rPr>
        <w:t xml:space="preserve"> </w:t>
      </w:r>
      <w:r>
        <w:t>samples</w:t>
      </w:r>
      <w:r>
        <w:rPr>
          <w:spacing w:val="-9"/>
        </w:rPr>
        <w:t xml:space="preserve"> </w:t>
      </w:r>
      <w:r>
        <w:t>for</w:t>
      </w:r>
      <w:r>
        <w:rPr>
          <w:spacing w:val="-9"/>
        </w:rPr>
        <w:t xml:space="preserve"> </w:t>
      </w:r>
      <w:r>
        <w:t>various</w:t>
      </w:r>
      <w:r>
        <w:rPr>
          <w:spacing w:val="-9"/>
        </w:rPr>
        <w:t xml:space="preserve"> </w:t>
      </w:r>
      <w:r>
        <w:t>operational</w:t>
      </w:r>
      <w:r>
        <w:rPr>
          <w:spacing w:val="-9"/>
        </w:rPr>
        <w:t xml:space="preserve"> </w:t>
      </w:r>
      <w:r>
        <w:t>assessments. Representative samples were drawn for the following operational assessments:</w:t>
      </w:r>
    </w:p>
    <w:p w:rsidR="003F5784" w14:paraId="5F6ACB6A" w14:textId="77777777">
      <w:pPr>
        <w:pStyle w:val="BodyText"/>
        <w:spacing w:before="8" w:line="232" w:lineRule="auto"/>
        <w:ind w:left="422" w:right="203"/>
      </w:pPr>
      <w:r>
        <w:rPr>
          <w:noProof/>
          <w:position w:val="3"/>
        </w:rPr>
        <w:drawing>
          <wp:inline distT="0" distB="0" distL="0" distR="0">
            <wp:extent cx="41379" cy="41378"/>
            <wp:effectExtent l="0" t="0" r="0" b="0"/>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xmlns:r="http://schemas.openxmlformats.org/officeDocument/2006/relationships" r:embed="rId10" cstate="print"/>
                    <a:stretch>
                      <a:fillRect/>
                    </a:stretch>
                  </pic:blipFill>
                  <pic:spPr>
                    <a:xfrm>
                      <a:off x="0" y="0"/>
                      <a:ext cx="41379" cy="41378"/>
                    </a:xfrm>
                    <a:prstGeom prst="rect">
                      <a:avLst/>
                    </a:prstGeom>
                  </pic:spPr>
                </pic:pic>
              </a:graphicData>
            </a:graphic>
          </wp:inline>
        </w:drawing>
      </w:r>
      <w:r>
        <w:rPr>
          <w:spacing w:val="78"/>
          <w:sz w:val="20"/>
        </w:rPr>
        <w:t xml:space="preserve"> </w:t>
      </w:r>
      <w:r>
        <w:t>long-term</w:t>
      </w:r>
      <w:r>
        <w:rPr>
          <w:spacing w:val="-7"/>
        </w:rPr>
        <w:t xml:space="preserve"> </w:t>
      </w:r>
      <w:r>
        <w:t>trend</w:t>
      </w:r>
      <w:r>
        <w:rPr>
          <w:spacing w:val="-7"/>
        </w:rPr>
        <w:t xml:space="preserve"> </w:t>
      </w:r>
      <w:r>
        <w:t>(LTT)</w:t>
      </w:r>
      <w:r>
        <w:rPr>
          <w:spacing w:val="-7"/>
        </w:rPr>
        <w:t xml:space="preserve"> </w:t>
      </w:r>
      <w:r>
        <w:t>age</w:t>
      </w:r>
      <w:r>
        <w:rPr>
          <w:spacing w:val="-7"/>
        </w:rPr>
        <w:t xml:space="preserve"> </w:t>
      </w:r>
      <w:r>
        <w:t>9</w:t>
      </w:r>
      <w:r>
        <w:rPr>
          <w:spacing w:val="-7"/>
        </w:rPr>
        <w:t xml:space="preserve"> </w:t>
      </w:r>
      <w:r>
        <w:t>and</w:t>
      </w:r>
      <w:r>
        <w:rPr>
          <w:spacing w:val="-7"/>
        </w:rPr>
        <w:t xml:space="preserve"> </w:t>
      </w:r>
      <w:r>
        <w:t>age</w:t>
      </w:r>
      <w:r>
        <w:rPr>
          <w:spacing w:val="-7"/>
        </w:rPr>
        <w:t xml:space="preserve"> </w:t>
      </w:r>
      <w:r>
        <w:t>13</w:t>
      </w:r>
      <w:r>
        <w:rPr>
          <w:spacing w:val="-7"/>
        </w:rPr>
        <w:t xml:space="preserve"> </w:t>
      </w:r>
      <w:r>
        <w:t>national</w:t>
      </w:r>
      <w:r>
        <w:rPr>
          <w:spacing w:val="-7"/>
        </w:rPr>
        <w:t xml:space="preserve"> </w:t>
      </w:r>
      <w:r>
        <w:t>assessments</w:t>
      </w:r>
      <w:r>
        <w:rPr>
          <w:spacing w:val="-7"/>
        </w:rPr>
        <w:t xml:space="preserve"> </w:t>
      </w:r>
      <w:r>
        <w:t>in</w:t>
      </w:r>
      <w:r>
        <w:rPr>
          <w:spacing w:val="-7"/>
        </w:rPr>
        <w:t xml:space="preserve"> </w:t>
      </w:r>
      <w:r>
        <w:t>mathematics</w:t>
      </w:r>
      <w:r>
        <w:rPr>
          <w:spacing w:val="-7"/>
        </w:rPr>
        <w:t xml:space="preserve"> </w:t>
      </w:r>
      <w:r>
        <w:t>and</w:t>
      </w:r>
      <w:r>
        <w:rPr>
          <w:spacing w:val="-7"/>
        </w:rPr>
        <w:t xml:space="preserve"> </w:t>
      </w:r>
      <w:r>
        <w:t>reading</w:t>
      </w:r>
      <w:r>
        <w:rPr>
          <w:spacing w:val="-7"/>
        </w:rPr>
        <w:t xml:space="preserve"> </w:t>
      </w:r>
      <w:r>
        <w:t>in</w:t>
      </w:r>
      <w:r>
        <w:rPr>
          <w:spacing w:val="-7"/>
        </w:rPr>
        <w:t xml:space="preserve"> </w:t>
      </w:r>
      <w:r>
        <w:t>public</w:t>
      </w:r>
      <w:r>
        <w:rPr>
          <w:spacing w:val="-7"/>
        </w:rPr>
        <w:t xml:space="preserve"> </w:t>
      </w:r>
      <w:r>
        <w:t>and</w:t>
      </w:r>
      <w:r>
        <w:rPr>
          <w:spacing w:val="-7"/>
        </w:rPr>
        <w:t xml:space="preserve"> </w:t>
      </w:r>
      <w:r>
        <w:t>private</w:t>
      </w:r>
      <w:r>
        <w:rPr>
          <w:spacing w:val="-7"/>
        </w:rPr>
        <w:t xml:space="preserve"> </w:t>
      </w:r>
      <w:r>
        <w:t xml:space="preserve">schools; </w:t>
      </w:r>
      <w:r>
        <w:rPr>
          <w:noProof/>
          <w:position w:val="3"/>
        </w:rPr>
        <w:drawing>
          <wp:inline distT="0" distB="0" distL="0" distR="0">
            <wp:extent cx="41379" cy="41378"/>
            <wp:effectExtent l="0" t="0" r="0" b="0"/>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11" cstate="print"/>
                    <a:stretch>
                      <a:fillRect/>
                    </a:stretch>
                  </pic:blipFill>
                  <pic:spPr>
                    <a:xfrm>
                      <a:off x="0" y="0"/>
                      <a:ext cx="41379" cy="41378"/>
                    </a:xfrm>
                    <a:prstGeom prst="rect">
                      <a:avLst/>
                    </a:prstGeom>
                  </pic:spPr>
                </pic:pic>
              </a:graphicData>
            </a:graphic>
          </wp:inline>
        </w:drawing>
      </w:r>
      <w:r>
        <w:rPr>
          <w:spacing w:val="80"/>
        </w:rPr>
        <w:t xml:space="preserve"> </w:t>
      </w:r>
      <w:r>
        <w:t>national assessments in civics and U.S. history in public and private schools at grade 8;</w:t>
      </w:r>
    </w:p>
    <w:p w:rsidR="003F5784" w14:paraId="1F0A902E" w14:textId="77777777">
      <w:pPr>
        <w:pStyle w:val="BodyText"/>
        <w:spacing w:line="233" w:lineRule="exact"/>
        <w:ind w:left="422"/>
      </w:pPr>
      <w:r>
        <w:rPr>
          <w:noProof/>
          <w:position w:val="3"/>
        </w:rPr>
        <w:drawing>
          <wp:inline distT="0" distB="0" distL="0" distR="0">
            <wp:extent cx="41379" cy="41378"/>
            <wp:effectExtent l="0" t="0" r="0" b="0"/>
            <wp:docPr id="7" name="Image 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xmlns:r="http://schemas.openxmlformats.org/officeDocument/2006/relationships" r:embed="rId11" cstate="print"/>
                    <a:stretch>
                      <a:fillRect/>
                    </a:stretch>
                  </pic:blipFill>
                  <pic:spPr>
                    <a:xfrm>
                      <a:off x="0" y="0"/>
                      <a:ext cx="41379" cy="41378"/>
                    </a:xfrm>
                    <a:prstGeom prst="rect">
                      <a:avLst/>
                    </a:prstGeom>
                  </pic:spPr>
                </pic:pic>
              </a:graphicData>
            </a:graphic>
          </wp:inline>
        </w:drawing>
      </w:r>
      <w:r>
        <w:rPr>
          <w:spacing w:val="80"/>
          <w:sz w:val="20"/>
        </w:rPr>
        <w:t xml:space="preserve"> </w:t>
      </w:r>
      <w:r>
        <w:t>national assessments in mathematics and reading in private schools at grades 4 and 8; and</w:t>
      </w:r>
    </w:p>
    <w:p w:rsidR="003F5784" w14:paraId="7349F30C" w14:textId="77777777">
      <w:pPr>
        <w:pStyle w:val="BodyText"/>
        <w:spacing w:before="3" w:line="232" w:lineRule="auto"/>
        <w:ind w:left="631" w:right="38" w:hanging="209"/>
      </w:pPr>
      <w:r>
        <w:rPr>
          <w:noProof/>
          <w:position w:val="3"/>
        </w:rPr>
        <w:drawing>
          <wp:inline distT="0" distB="0" distL="0" distR="0">
            <wp:extent cx="41379" cy="41378"/>
            <wp:effectExtent l="0" t="0" r="0" b="0"/>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xmlns:r="http://schemas.openxmlformats.org/officeDocument/2006/relationships" r:embed="rId11" cstate="print"/>
                    <a:stretch>
                      <a:fillRect/>
                    </a:stretch>
                  </pic:blipFill>
                  <pic:spPr>
                    <a:xfrm>
                      <a:off x="0" y="0"/>
                      <a:ext cx="41379" cy="41378"/>
                    </a:xfrm>
                    <a:prstGeom prst="rect">
                      <a:avLst/>
                    </a:prstGeom>
                  </pic:spPr>
                </pic:pic>
              </a:graphicData>
            </a:graphic>
          </wp:inline>
        </w:drawing>
      </w:r>
      <w:r>
        <w:rPr>
          <w:spacing w:val="73"/>
          <w:sz w:val="20"/>
        </w:rPr>
        <w:t xml:space="preserve"> </w:t>
      </w:r>
      <w:r>
        <w:t>state-by-state</w:t>
      </w:r>
      <w:r>
        <w:rPr>
          <w:spacing w:val="-7"/>
        </w:rPr>
        <w:t xml:space="preserve"> </w:t>
      </w:r>
      <w:r>
        <w:t>assessments</w:t>
      </w:r>
      <w:r>
        <w:rPr>
          <w:spacing w:val="-7"/>
        </w:rPr>
        <w:t xml:space="preserve"> </w:t>
      </w:r>
      <w:r>
        <w:t>and</w:t>
      </w:r>
      <w:r>
        <w:rPr>
          <w:spacing w:val="-11"/>
        </w:rPr>
        <w:t xml:space="preserve"> </w:t>
      </w:r>
      <w:r>
        <w:t>Trial</w:t>
      </w:r>
      <w:r>
        <w:rPr>
          <w:spacing w:val="-7"/>
        </w:rPr>
        <w:t xml:space="preserve"> </w:t>
      </w:r>
      <w:r>
        <w:t>Urban</w:t>
      </w:r>
      <w:r>
        <w:rPr>
          <w:spacing w:val="-7"/>
        </w:rPr>
        <w:t xml:space="preserve"> </w:t>
      </w:r>
      <w:r>
        <w:t>District</w:t>
      </w:r>
      <w:r>
        <w:rPr>
          <w:spacing w:val="-14"/>
        </w:rPr>
        <w:t xml:space="preserve"> </w:t>
      </w:r>
      <w:r>
        <w:t>Assessments</w:t>
      </w:r>
      <w:r>
        <w:rPr>
          <w:spacing w:val="-6"/>
        </w:rPr>
        <w:t xml:space="preserve"> </w:t>
      </w:r>
      <w:r>
        <w:t>(TUDA)</w:t>
      </w:r>
      <w:r>
        <w:rPr>
          <w:spacing w:val="-7"/>
        </w:rPr>
        <w:t xml:space="preserve"> </w:t>
      </w:r>
      <w:r>
        <w:t>in</w:t>
      </w:r>
      <w:r>
        <w:rPr>
          <w:spacing w:val="-7"/>
        </w:rPr>
        <w:t xml:space="preserve"> </w:t>
      </w:r>
      <w:r>
        <w:t>mathematics</w:t>
      </w:r>
      <w:r>
        <w:rPr>
          <w:spacing w:val="-7"/>
        </w:rPr>
        <w:t xml:space="preserve"> </w:t>
      </w:r>
      <w:r>
        <w:t>and</w:t>
      </w:r>
      <w:r>
        <w:rPr>
          <w:spacing w:val="-7"/>
        </w:rPr>
        <w:t xml:space="preserve"> </w:t>
      </w:r>
      <w:r>
        <w:t>reading</w:t>
      </w:r>
      <w:r>
        <w:rPr>
          <w:spacing w:val="-7"/>
        </w:rPr>
        <w:t xml:space="preserve"> </w:t>
      </w:r>
      <w:r>
        <w:t>in</w:t>
      </w:r>
      <w:r>
        <w:rPr>
          <w:spacing w:val="-7"/>
        </w:rPr>
        <w:t xml:space="preserve"> </w:t>
      </w:r>
      <w:r>
        <w:t>public</w:t>
      </w:r>
      <w:r>
        <w:rPr>
          <w:spacing w:val="-7"/>
        </w:rPr>
        <w:t xml:space="preserve"> </w:t>
      </w:r>
      <w:r>
        <w:t>schools</w:t>
      </w:r>
      <w:r>
        <w:rPr>
          <w:spacing w:val="-7"/>
        </w:rPr>
        <w:t xml:space="preserve"> </w:t>
      </w:r>
      <w:r>
        <w:t>at grades 4 and 8.</w:t>
      </w:r>
    </w:p>
    <w:p w:rsidR="003F5784" w14:paraId="76FE185B" w14:textId="77777777">
      <w:pPr>
        <w:pStyle w:val="BodyText"/>
        <w:spacing w:before="5" w:line="440" w:lineRule="atLeast"/>
        <w:ind w:left="422" w:right="291" w:hanging="313"/>
      </w:pPr>
      <w:r>
        <w:t>The</w:t>
      </w:r>
      <w:r>
        <w:rPr>
          <w:spacing w:val="-8"/>
        </w:rPr>
        <w:t xml:space="preserve"> </w:t>
      </w:r>
      <w:r>
        <w:t>samples</w:t>
      </w:r>
      <w:r>
        <w:rPr>
          <w:spacing w:val="-8"/>
        </w:rPr>
        <w:t xml:space="preserve"> </w:t>
      </w:r>
      <w:r>
        <w:t>for</w:t>
      </w:r>
      <w:r>
        <w:rPr>
          <w:spacing w:val="-8"/>
        </w:rPr>
        <w:t xml:space="preserve"> </w:t>
      </w:r>
      <w:r>
        <w:t>the</w:t>
      </w:r>
      <w:r>
        <w:rPr>
          <w:spacing w:val="-8"/>
        </w:rPr>
        <w:t xml:space="preserve"> </w:t>
      </w:r>
      <w:r>
        <w:t>operational</w:t>
      </w:r>
      <w:r>
        <w:rPr>
          <w:spacing w:val="-8"/>
        </w:rPr>
        <w:t xml:space="preserve"> </w:t>
      </w:r>
      <w:r>
        <w:t>assessments</w:t>
      </w:r>
      <w:r>
        <w:rPr>
          <w:spacing w:val="-8"/>
        </w:rPr>
        <w:t xml:space="preserve"> </w:t>
      </w:r>
      <w:r>
        <w:t>were</w:t>
      </w:r>
      <w:r>
        <w:rPr>
          <w:spacing w:val="-8"/>
        </w:rPr>
        <w:t xml:space="preserve"> </w:t>
      </w:r>
      <w:r>
        <w:t>organized</w:t>
      </w:r>
      <w:r>
        <w:rPr>
          <w:spacing w:val="-8"/>
        </w:rPr>
        <w:t xml:space="preserve"> </w:t>
      </w:r>
      <w:r>
        <w:t>into</w:t>
      </w:r>
      <w:r>
        <w:rPr>
          <w:spacing w:val="-8"/>
        </w:rPr>
        <w:t xml:space="preserve"> </w:t>
      </w:r>
      <w:r>
        <w:t>eight</w:t>
      </w:r>
      <w:r>
        <w:rPr>
          <w:spacing w:val="-8"/>
        </w:rPr>
        <w:t xml:space="preserve"> </w:t>
      </w:r>
      <w:r>
        <w:t>distinct</w:t>
      </w:r>
      <w:r>
        <w:rPr>
          <w:spacing w:val="-8"/>
        </w:rPr>
        <w:t xml:space="preserve"> </w:t>
      </w:r>
      <w:r>
        <w:t>groupings</w:t>
      </w:r>
      <w:r>
        <w:rPr>
          <w:spacing w:val="-8"/>
        </w:rPr>
        <w:t xml:space="preserve"> </w:t>
      </w:r>
      <w:r>
        <w:t>and</w:t>
      </w:r>
      <w:r>
        <w:rPr>
          <w:spacing w:val="-8"/>
        </w:rPr>
        <w:t xml:space="preserve"> </w:t>
      </w:r>
      <w:r>
        <w:t>sampled</w:t>
      </w:r>
      <w:r>
        <w:rPr>
          <w:spacing w:val="-8"/>
        </w:rPr>
        <w:t xml:space="preserve"> </w:t>
      </w:r>
      <w:r>
        <w:t>separately</w:t>
      </w:r>
      <w:r>
        <w:rPr>
          <w:spacing w:val="-8"/>
        </w:rPr>
        <w:t xml:space="preserve"> </w:t>
      </w:r>
      <w:r>
        <w:t>as</w:t>
      </w:r>
      <w:r>
        <w:rPr>
          <w:spacing w:val="-8"/>
        </w:rPr>
        <w:t xml:space="preserve"> </w:t>
      </w:r>
      <w:r>
        <w:t xml:space="preserve">follows: </w:t>
      </w:r>
      <w:r>
        <w:rPr>
          <w:noProof/>
          <w:position w:val="3"/>
        </w:rPr>
        <w:drawing>
          <wp:inline distT="0" distB="0" distL="0" distR="0">
            <wp:extent cx="41379" cy="41378"/>
            <wp:effectExtent l="0" t="0" r="0" b="0"/>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xmlns:r="http://schemas.openxmlformats.org/officeDocument/2006/relationships" r:embed="rId11" cstate="print"/>
                    <a:stretch>
                      <a:fillRect/>
                    </a:stretch>
                  </pic:blipFill>
                  <pic:spPr>
                    <a:xfrm>
                      <a:off x="0" y="0"/>
                      <a:ext cx="41379" cy="41378"/>
                    </a:xfrm>
                    <a:prstGeom prst="rect">
                      <a:avLst/>
                    </a:prstGeom>
                  </pic:spPr>
                </pic:pic>
              </a:graphicData>
            </a:graphic>
          </wp:inline>
        </w:drawing>
      </w:r>
      <w:r>
        <w:rPr>
          <w:spacing w:val="80"/>
        </w:rPr>
        <w:t xml:space="preserve"> </w:t>
      </w:r>
      <w:r>
        <w:t>mathematics and reading assessments in public schools at grades 4 and 8;</w:t>
      </w:r>
    </w:p>
    <w:p w:rsidR="003F5784" w14:paraId="0CF944C9" w14:textId="77777777">
      <w:pPr>
        <w:pStyle w:val="BodyText"/>
        <w:spacing w:before="2" w:line="232" w:lineRule="auto"/>
        <w:ind w:left="422" w:right="3965"/>
      </w:pPr>
      <w:r>
        <w:rPr>
          <w:noProof/>
          <w:position w:val="3"/>
        </w:rPr>
        <w:drawing>
          <wp:inline distT="0" distB="0" distL="0" distR="0">
            <wp:extent cx="41379" cy="41378"/>
            <wp:effectExtent l="0" t="0" r="0" b="0"/>
            <wp:docPr id="10"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xmlns:r="http://schemas.openxmlformats.org/officeDocument/2006/relationships" r:embed="rId11" cstate="print"/>
                    <a:stretch>
                      <a:fillRect/>
                    </a:stretch>
                  </pic:blipFill>
                  <pic:spPr>
                    <a:xfrm>
                      <a:off x="0" y="0"/>
                      <a:ext cx="41379" cy="41378"/>
                    </a:xfrm>
                    <a:prstGeom prst="rect">
                      <a:avLst/>
                    </a:prstGeom>
                  </pic:spPr>
                </pic:pic>
              </a:graphicData>
            </a:graphic>
          </wp:inline>
        </w:drawing>
      </w:r>
      <w:r>
        <w:rPr>
          <w:spacing w:val="78"/>
          <w:sz w:val="20"/>
        </w:rPr>
        <w:t xml:space="preserve"> </w:t>
      </w:r>
      <w:r>
        <w:t>mathematics</w:t>
      </w:r>
      <w:r>
        <w:rPr>
          <w:spacing w:val="-7"/>
        </w:rPr>
        <w:t xml:space="preserve"> </w:t>
      </w:r>
      <w:r>
        <w:t>and</w:t>
      </w:r>
      <w:r>
        <w:rPr>
          <w:spacing w:val="-7"/>
        </w:rPr>
        <w:t xml:space="preserve"> </w:t>
      </w:r>
      <w:r>
        <w:t>reading</w:t>
      </w:r>
      <w:r>
        <w:rPr>
          <w:spacing w:val="-7"/>
        </w:rPr>
        <w:t xml:space="preserve"> </w:t>
      </w:r>
      <w:r>
        <w:t>assessments</w:t>
      </w:r>
      <w:r>
        <w:rPr>
          <w:spacing w:val="-7"/>
        </w:rPr>
        <w:t xml:space="preserve"> </w:t>
      </w:r>
      <w:r>
        <w:t>in</w:t>
      </w:r>
      <w:r>
        <w:rPr>
          <w:spacing w:val="-7"/>
        </w:rPr>
        <w:t xml:space="preserve"> </w:t>
      </w:r>
      <w:r>
        <w:t>private</w:t>
      </w:r>
      <w:r>
        <w:rPr>
          <w:spacing w:val="-7"/>
        </w:rPr>
        <w:t xml:space="preserve"> </w:t>
      </w:r>
      <w:r>
        <w:t>schools</w:t>
      </w:r>
      <w:r>
        <w:rPr>
          <w:spacing w:val="-7"/>
        </w:rPr>
        <w:t xml:space="preserve"> </w:t>
      </w:r>
      <w:r>
        <w:t>at</w:t>
      </w:r>
      <w:r>
        <w:rPr>
          <w:spacing w:val="-7"/>
        </w:rPr>
        <w:t xml:space="preserve"> </w:t>
      </w:r>
      <w:r>
        <w:t>grades</w:t>
      </w:r>
      <w:r>
        <w:rPr>
          <w:spacing w:val="-7"/>
        </w:rPr>
        <w:t xml:space="preserve"> </w:t>
      </w:r>
      <w:r>
        <w:t>4</w:t>
      </w:r>
      <w:r>
        <w:rPr>
          <w:spacing w:val="-7"/>
        </w:rPr>
        <w:t xml:space="preserve"> </w:t>
      </w:r>
      <w:r>
        <w:t>and</w:t>
      </w:r>
      <w:r>
        <w:rPr>
          <w:spacing w:val="-7"/>
        </w:rPr>
        <w:t xml:space="preserve"> </w:t>
      </w:r>
      <w:r>
        <w:t xml:space="preserve">8; </w:t>
      </w:r>
      <w:r>
        <w:rPr>
          <w:noProof/>
          <w:position w:val="3"/>
        </w:rPr>
        <w:drawing>
          <wp:inline distT="0" distB="0" distL="0" distR="0">
            <wp:extent cx="41379" cy="41378"/>
            <wp:effectExtent l="0" t="0" r="0" b="0"/>
            <wp:docPr id="11" name="Image 1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xmlns:r="http://schemas.openxmlformats.org/officeDocument/2006/relationships" r:embed="rId11" cstate="print"/>
                    <a:stretch>
                      <a:fillRect/>
                    </a:stretch>
                  </pic:blipFill>
                  <pic:spPr>
                    <a:xfrm>
                      <a:off x="0" y="0"/>
                      <a:ext cx="41379" cy="41378"/>
                    </a:xfrm>
                    <a:prstGeom prst="rect">
                      <a:avLst/>
                    </a:prstGeom>
                  </pic:spPr>
                </pic:pic>
              </a:graphicData>
            </a:graphic>
          </wp:inline>
        </w:drawing>
      </w:r>
      <w:r>
        <w:rPr>
          <w:spacing w:val="80"/>
        </w:rPr>
        <w:t xml:space="preserve"> </w:t>
      </w:r>
      <w:r>
        <w:t>civics and U.S. history assessments in public schools at grade 8;</w:t>
      </w:r>
    </w:p>
    <w:p w:rsidR="003F5784" w14:paraId="51D091E2" w14:textId="77777777">
      <w:pPr>
        <w:pStyle w:val="BodyText"/>
        <w:spacing w:line="233" w:lineRule="exact"/>
        <w:ind w:left="422"/>
      </w:pPr>
      <w:r>
        <w:rPr>
          <w:noProof/>
          <w:position w:val="3"/>
        </w:rPr>
        <w:drawing>
          <wp:inline distT="0" distB="0" distL="0" distR="0">
            <wp:extent cx="41379" cy="41378"/>
            <wp:effectExtent l="0" t="0" r="0" b="0"/>
            <wp:docPr id="12" name="Image 12"/>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xmlns:r="http://schemas.openxmlformats.org/officeDocument/2006/relationships" r:embed="rId10" cstate="print"/>
                    <a:stretch>
                      <a:fillRect/>
                    </a:stretch>
                  </pic:blipFill>
                  <pic:spPr>
                    <a:xfrm>
                      <a:off x="0" y="0"/>
                      <a:ext cx="41379" cy="41378"/>
                    </a:xfrm>
                    <a:prstGeom prst="rect">
                      <a:avLst/>
                    </a:prstGeom>
                  </pic:spPr>
                </pic:pic>
              </a:graphicData>
            </a:graphic>
          </wp:inline>
        </w:drawing>
      </w:r>
      <w:r>
        <w:rPr>
          <w:spacing w:val="80"/>
          <w:sz w:val="20"/>
        </w:rPr>
        <w:t xml:space="preserve"> </w:t>
      </w:r>
      <w:r>
        <w:t>civics and U.S. history assessments in private schools at grade 8;</w:t>
      </w:r>
    </w:p>
    <w:p w:rsidR="003F5784" w14:paraId="49797427" w14:textId="77777777">
      <w:pPr>
        <w:pStyle w:val="BodyText"/>
        <w:spacing w:before="2" w:line="232" w:lineRule="auto"/>
        <w:ind w:left="422" w:right="4318"/>
      </w:pPr>
      <w:r>
        <w:rPr>
          <w:noProof/>
          <w:position w:val="3"/>
        </w:rPr>
        <w:drawing>
          <wp:inline distT="0" distB="0" distL="0" distR="0">
            <wp:extent cx="41379" cy="41378"/>
            <wp:effectExtent l="0" t="0" r="0" b="0"/>
            <wp:docPr id="13" name="Image 13"/>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xmlns:r="http://schemas.openxmlformats.org/officeDocument/2006/relationships" r:embed="rId11" cstate="print"/>
                    <a:stretch>
                      <a:fillRect/>
                    </a:stretch>
                  </pic:blipFill>
                  <pic:spPr>
                    <a:xfrm>
                      <a:off x="0" y="0"/>
                      <a:ext cx="41379" cy="41378"/>
                    </a:xfrm>
                    <a:prstGeom prst="rect">
                      <a:avLst/>
                    </a:prstGeom>
                  </pic:spPr>
                </pic:pic>
              </a:graphicData>
            </a:graphic>
          </wp:inline>
        </w:drawing>
      </w:r>
      <w:r>
        <w:rPr>
          <w:spacing w:val="80"/>
          <w:sz w:val="20"/>
        </w:rPr>
        <w:t xml:space="preserve"> </w:t>
      </w:r>
      <w:r>
        <w:t>mathematics</w:t>
      </w:r>
      <w:r>
        <w:rPr>
          <w:spacing w:val="-4"/>
        </w:rPr>
        <w:t xml:space="preserve"> </w:t>
      </w:r>
      <w:r>
        <w:t>and</w:t>
      </w:r>
      <w:r>
        <w:rPr>
          <w:spacing w:val="-4"/>
        </w:rPr>
        <w:t xml:space="preserve"> </w:t>
      </w:r>
      <w:r>
        <w:t>reading</w:t>
      </w:r>
      <w:r>
        <w:rPr>
          <w:spacing w:val="-4"/>
        </w:rPr>
        <w:t xml:space="preserve"> </w:t>
      </w:r>
      <w:r>
        <w:t>LTT</w:t>
      </w:r>
      <w:r>
        <w:rPr>
          <w:spacing w:val="-8"/>
        </w:rPr>
        <w:t xml:space="preserve"> </w:t>
      </w:r>
      <w:r>
        <w:t>assessments</w:t>
      </w:r>
      <w:r>
        <w:rPr>
          <w:spacing w:val="-4"/>
        </w:rPr>
        <w:t xml:space="preserve"> </w:t>
      </w:r>
      <w:r>
        <w:t>in</w:t>
      </w:r>
      <w:r>
        <w:rPr>
          <w:spacing w:val="-4"/>
        </w:rPr>
        <w:t xml:space="preserve"> </w:t>
      </w:r>
      <w:r>
        <w:t>public</w:t>
      </w:r>
      <w:r>
        <w:rPr>
          <w:spacing w:val="-4"/>
        </w:rPr>
        <w:t xml:space="preserve"> </w:t>
      </w:r>
      <w:r>
        <w:t>schools</w:t>
      </w:r>
      <w:r>
        <w:rPr>
          <w:spacing w:val="-4"/>
        </w:rPr>
        <w:t xml:space="preserve"> </w:t>
      </w:r>
      <w:r>
        <w:t>at</w:t>
      </w:r>
      <w:r>
        <w:rPr>
          <w:spacing w:val="-4"/>
        </w:rPr>
        <w:t xml:space="preserve"> </w:t>
      </w:r>
      <w:r>
        <w:t>age</w:t>
      </w:r>
      <w:r>
        <w:rPr>
          <w:spacing w:val="-4"/>
        </w:rPr>
        <w:t xml:space="preserve"> </w:t>
      </w:r>
      <w:r>
        <w:t xml:space="preserve">9; </w:t>
      </w:r>
      <w:r>
        <w:rPr>
          <w:noProof/>
          <w:position w:val="3"/>
        </w:rPr>
        <w:drawing>
          <wp:inline distT="0" distB="0" distL="0" distR="0">
            <wp:extent cx="41379" cy="41378"/>
            <wp:effectExtent l="0" t="0" r="0" b="0"/>
            <wp:docPr id="14" name="Image 14"/>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xmlns:r="http://schemas.openxmlformats.org/officeDocument/2006/relationships" r:embed="rId11" cstate="print"/>
                    <a:stretch>
                      <a:fillRect/>
                    </a:stretch>
                  </pic:blipFill>
                  <pic:spPr>
                    <a:xfrm>
                      <a:off x="0" y="0"/>
                      <a:ext cx="41379" cy="41378"/>
                    </a:xfrm>
                    <a:prstGeom prst="rect">
                      <a:avLst/>
                    </a:prstGeom>
                  </pic:spPr>
                </pic:pic>
              </a:graphicData>
            </a:graphic>
          </wp:inline>
        </w:drawing>
      </w:r>
      <w:r>
        <w:rPr>
          <w:spacing w:val="70"/>
        </w:rPr>
        <w:t xml:space="preserve"> </w:t>
      </w:r>
      <w:r>
        <w:t>mathematics</w:t>
      </w:r>
      <w:r>
        <w:rPr>
          <w:spacing w:val="-8"/>
        </w:rPr>
        <w:t xml:space="preserve"> </w:t>
      </w:r>
      <w:r>
        <w:t>and</w:t>
      </w:r>
      <w:r>
        <w:rPr>
          <w:spacing w:val="-8"/>
        </w:rPr>
        <w:t xml:space="preserve"> </w:t>
      </w:r>
      <w:r>
        <w:t>reading</w:t>
      </w:r>
      <w:r>
        <w:rPr>
          <w:spacing w:val="-8"/>
        </w:rPr>
        <w:t xml:space="preserve"> </w:t>
      </w:r>
      <w:r>
        <w:t>LTT</w:t>
      </w:r>
      <w:r>
        <w:rPr>
          <w:spacing w:val="-12"/>
        </w:rPr>
        <w:t xml:space="preserve"> </w:t>
      </w:r>
      <w:r>
        <w:t>assessments</w:t>
      </w:r>
      <w:r>
        <w:rPr>
          <w:spacing w:val="-8"/>
        </w:rPr>
        <w:t xml:space="preserve"> </w:t>
      </w:r>
      <w:r>
        <w:t>in</w:t>
      </w:r>
      <w:r>
        <w:rPr>
          <w:spacing w:val="-8"/>
        </w:rPr>
        <w:t xml:space="preserve"> </w:t>
      </w:r>
      <w:r>
        <w:t>private</w:t>
      </w:r>
      <w:r>
        <w:rPr>
          <w:spacing w:val="-8"/>
        </w:rPr>
        <w:t xml:space="preserve"> </w:t>
      </w:r>
      <w:r>
        <w:t>schools</w:t>
      </w:r>
      <w:r>
        <w:rPr>
          <w:spacing w:val="-8"/>
        </w:rPr>
        <w:t xml:space="preserve"> </w:t>
      </w:r>
      <w:r>
        <w:t>at</w:t>
      </w:r>
      <w:r>
        <w:rPr>
          <w:spacing w:val="-8"/>
        </w:rPr>
        <w:t xml:space="preserve"> </w:t>
      </w:r>
      <w:r>
        <w:t>age</w:t>
      </w:r>
      <w:r>
        <w:rPr>
          <w:spacing w:val="-8"/>
        </w:rPr>
        <w:t xml:space="preserve"> </w:t>
      </w:r>
      <w:r>
        <w:t>9;</w:t>
      </w:r>
    </w:p>
    <w:p w:rsidR="003F5784" w14:paraId="5369C8F8" w14:textId="77777777">
      <w:pPr>
        <w:pStyle w:val="BodyText"/>
        <w:spacing w:before="1" w:line="232" w:lineRule="auto"/>
        <w:ind w:left="422" w:right="3918"/>
      </w:pPr>
      <w:r>
        <w:rPr>
          <w:noProof/>
          <w:position w:val="3"/>
        </w:rPr>
        <w:drawing>
          <wp:inline distT="0" distB="0" distL="0" distR="0">
            <wp:extent cx="41379" cy="41378"/>
            <wp:effectExtent l="0" t="0" r="0" b="0"/>
            <wp:docPr id="15" name="Image 15"/>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xmlns:r="http://schemas.openxmlformats.org/officeDocument/2006/relationships" r:embed="rId10" cstate="print"/>
                    <a:stretch>
                      <a:fillRect/>
                    </a:stretch>
                  </pic:blipFill>
                  <pic:spPr>
                    <a:xfrm>
                      <a:off x="0" y="0"/>
                      <a:ext cx="41379" cy="41378"/>
                    </a:xfrm>
                    <a:prstGeom prst="rect">
                      <a:avLst/>
                    </a:prstGeom>
                  </pic:spPr>
                </pic:pic>
              </a:graphicData>
            </a:graphic>
          </wp:inline>
        </w:drawing>
      </w:r>
      <w:r>
        <w:rPr>
          <w:spacing w:val="75"/>
          <w:sz w:val="20"/>
        </w:rPr>
        <w:t xml:space="preserve"> </w:t>
      </w:r>
      <w:r>
        <w:t>mathematics</w:t>
      </w:r>
      <w:r>
        <w:rPr>
          <w:spacing w:val="-8"/>
        </w:rPr>
        <w:t xml:space="preserve"> </w:t>
      </w:r>
      <w:r>
        <w:t>and</w:t>
      </w:r>
      <w:r>
        <w:rPr>
          <w:spacing w:val="-8"/>
        </w:rPr>
        <w:t xml:space="preserve"> </w:t>
      </w:r>
      <w:r>
        <w:t>reading</w:t>
      </w:r>
      <w:r>
        <w:rPr>
          <w:spacing w:val="-8"/>
        </w:rPr>
        <w:t xml:space="preserve"> </w:t>
      </w:r>
      <w:r>
        <w:t>LTT</w:t>
      </w:r>
      <w:r>
        <w:rPr>
          <w:spacing w:val="-11"/>
        </w:rPr>
        <w:t xml:space="preserve"> </w:t>
      </w:r>
      <w:r>
        <w:t>assessments</w:t>
      </w:r>
      <w:r>
        <w:rPr>
          <w:spacing w:val="-8"/>
        </w:rPr>
        <w:t xml:space="preserve"> </w:t>
      </w:r>
      <w:r>
        <w:t>in</w:t>
      </w:r>
      <w:r>
        <w:rPr>
          <w:spacing w:val="-8"/>
        </w:rPr>
        <w:t xml:space="preserve"> </w:t>
      </w:r>
      <w:r>
        <w:t>public</w:t>
      </w:r>
      <w:r>
        <w:rPr>
          <w:spacing w:val="-8"/>
        </w:rPr>
        <w:t xml:space="preserve"> </w:t>
      </w:r>
      <w:r>
        <w:t>schools</w:t>
      </w:r>
      <w:r>
        <w:rPr>
          <w:spacing w:val="-8"/>
        </w:rPr>
        <w:t xml:space="preserve"> </w:t>
      </w:r>
      <w:r>
        <w:t>at</w:t>
      </w:r>
      <w:r>
        <w:rPr>
          <w:spacing w:val="-8"/>
        </w:rPr>
        <w:t xml:space="preserve"> </w:t>
      </w:r>
      <w:r>
        <w:t>age</w:t>
      </w:r>
      <w:r>
        <w:rPr>
          <w:spacing w:val="-8"/>
        </w:rPr>
        <w:t xml:space="preserve"> </w:t>
      </w:r>
      <w:r>
        <w:t>13;</w:t>
      </w:r>
      <w:r>
        <w:rPr>
          <w:spacing w:val="-8"/>
        </w:rPr>
        <w:t xml:space="preserve"> </w:t>
      </w:r>
      <w:r>
        <w:t xml:space="preserve">and </w:t>
      </w:r>
      <w:r>
        <w:rPr>
          <w:noProof/>
          <w:position w:val="3"/>
        </w:rPr>
        <w:drawing>
          <wp:inline distT="0" distB="0" distL="0" distR="0">
            <wp:extent cx="41379" cy="41378"/>
            <wp:effectExtent l="0" t="0" r="0" b="0"/>
            <wp:docPr id="16" name="Image 16"/>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xmlns:r="http://schemas.openxmlformats.org/officeDocument/2006/relationships" r:embed="rId10" cstate="print"/>
                    <a:stretch>
                      <a:fillRect/>
                    </a:stretch>
                  </pic:blipFill>
                  <pic:spPr>
                    <a:xfrm>
                      <a:off x="0" y="0"/>
                      <a:ext cx="41379" cy="41378"/>
                    </a:xfrm>
                    <a:prstGeom prst="rect">
                      <a:avLst/>
                    </a:prstGeom>
                  </pic:spPr>
                </pic:pic>
              </a:graphicData>
            </a:graphic>
          </wp:inline>
        </w:drawing>
      </w:r>
      <w:r>
        <w:rPr>
          <w:spacing w:val="80"/>
        </w:rPr>
        <w:t xml:space="preserve"> </w:t>
      </w:r>
      <w:r>
        <w:t>mathematics and reading LTT assessments in private schools at age 13.</w:t>
      </w:r>
    </w:p>
    <w:p w:rsidR="003F5784" w14:paraId="1C4FB2E7" w14:textId="77777777">
      <w:pPr>
        <w:pStyle w:val="BodyText"/>
        <w:spacing w:before="90"/>
        <w:ind w:left="109"/>
      </w:pPr>
      <w:r>
        <w:br w:type="column"/>
      </w:r>
      <w:r>
        <w:t>2022</w:t>
      </w:r>
      <w:r>
        <w:rPr>
          <w:spacing w:val="-12"/>
        </w:rPr>
        <w:t xml:space="preserve"> </w:t>
      </w:r>
      <w:r>
        <w:t>State</w:t>
      </w:r>
      <w:r>
        <w:rPr>
          <w:spacing w:val="-13"/>
        </w:rPr>
        <w:t xml:space="preserve"> </w:t>
      </w:r>
      <w:r>
        <w:t>Assessment</w:t>
      </w:r>
      <w:r>
        <w:rPr>
          <w:spacing w:val="-8"/>
        </w:rPr>
        <w:t xml:space="preserve"> </w:t>
      </w:r>
      <w:r>
        <w:t>Sample</w:t>
      </w:r>
      <w:r>
        <w:rPr>
          <w:spacing w:val="-7"/>
        </w:rPr>
        <w:t xml:space="preserve"> </w:t>
      </w:r>
      <w:r>
        <w:rPr>
          <w:spacing w:val="-2"/>
        </w:rPr>
        <w:t>Design</w:t>
      </w:r>
    </w:p>
    <w:p w:rsidR="003F5784" w14:paraId="388F1578" w14:textId="77777777">
      <w:pPr>
        <w:pStyle w:val="BodyText"/>
        <w:spacing w:before="208" w:line="232" w:lineRule="auto"/>
        <w:ind w:left="109" w:right="526"/>
      </w:pPr>
      <w:r>
        <w:rPr>
          <w:spacing w:val="-2"/>
        </w:rPr>
        <w:t>2022 National Grade-Based</w:t>
      </w:r>
      <w:r>
        <w:rPr>
          <w:spacing w:val="-10"/>
        </w:rPr>
        <w:t xml:space="preserve"> </w:t>
      </w:r>
      <w:r>
        <w:rPr>
          <w:spacing w:val="-2"/>
        </w:rPr>
        <w:t xml:space="preserve">Assessment </w:t>
      </w:r>
      <w:r>
        <w:t>Sample Design</w:t>
      </w:r>
    </w:p>
    <w:p w:rsidR="003F5784" w14:paraId="6437765B" w14:textId="77777777">
      <w:pPr>
        <w:pStyle w:val="BodyText"/>
        <w:spacing w:before="209" w:line="232" w:lineRule="auto"/>
        <w:ind w:left="109"/>
      </w:pPr>
      <w:r>
        <w:rPr>
          <w:spacing w:val="-2"/>
        </w:rPr>
        <w:t>2022</w:t>
      </w:r>
      <w:r>
        <w:rPr>
          <w:spacing w:val="-6"/>
        </w:rPr>
        <w:t xml:space="preserve"> </w:t>
      </w:r>
      <w:r>
        <w:rPr>
          <w:spacing w:val="-2"/>
        </w:rPr>
        <w:t>National</w:t>
      </w:r>
      <w:r>
        <w:rPr>
          <w:spacing w:val="-4"/>
        </w:rPr>
        <w:t xml:space="preserve"> </w:t>
      </w:r>
      <w:r>
        <w:rPr>
          <w:spacing w:val="-2"/>
        </w:rPr>
        <w:t>Long-Term</w:t>
      </w:r>
      <w:r>
        <w:rPr>
          <w:spacing w:val="-8"/>
        </w:rPr>
        <w:t xml:space="preserve"> </w:t>
      </w:r>
      <w:r>
        <w:rPr>
          <w:spacing w:val="-2"/>
        </w:rPr>
        <w:t>Trend</w:t>
      </w:r>
      <w:r>
        <w:rPr>
          <w:spacing w:val="-12"/>
        </w:rPr>
        <w:t xml:space="preserve"> </w:t>
      </w:r>
      <w:r>
        <w:rPr>
          <w:spacing w:val="-2"/>
        </w:rPr>
        <w:t xml:space="preserve">Assessment </w:t>
      </w:r>
      <w:r>
        <w:t>Sample Design</w:t>
      </w:r>
    </w:p>
    <w:p w:rsidR="003F5784" w14:paraId="3EC47220" w14:textId="77777777">
      <w:pPr>
        <w:spacing w:line="232" w:lineRule="auto"/>
        <w:sectPr>
          <w:type w:val="continuous"/>
          <w:pgSz w:w="15840" w:h="12240" w:orient="landscape"/>
          <w:pgMar w:top="480" w:right="440" w:bottom="460" w:left="460" w:header="284" w:footer="275" w:gutter="0"/>
          <w:cols w:num="2" w:space="720" w:equalWidth="0">
            <w:col w:w="10789" w:space="159"/>
            <w:col w:w="3992"/>
          </w:cols>
        </w:sectPr>
      </w:pPr>
    </w:p>
    <w:p w:rsidR="003F5784" w14:paraId="115B1324" w14:textId="77777777">
      <w:pPr>
        <w:pStyle w:val="BodyText"/>
        <w:spacing w:before="209" w:line="232" w:lineRule="auto"/>
        <w:ind w:left="109" w:right="179"/>
      </w:pPr>
      <w:r>
        <w:t>The grade 4 and grade 8 assessments were all digitally based assessments (DBA) administered using tablets.</w:t>
      </w:r>
      <w:r>
        <w:rPr>
          <w:spacing w:val="-4"/>
        </w:rPr>
        <w:t xml:space="preserve"> </w:t>
      </w:r>
      <w:r>
        <w:t>The LTT</w:t>
      </w:r>
      <w:r>
        <w:rPr>
          <w:spacing w:val="-4"/>
        </w:rPr>
        <w:t xml:space="preserve"> </w:t>
      </w:r>
      <w:r>
        <w:t>assessments were paper-based assessments (PBA) administered</w:t>
      </w:r>
      <w:r>
        <w:rPr>
          <w:spacing w:val="-6"/>
        </w:rPr>
        <w:t xml:space="preserve"> </w:t>
      </w:r>
      <w:r>
        <w:t>using</w:t>
      </w:r>
      <w:r>
        <w:rPr>
          <w:spacing w:val="-6"/>
        </w:rPr>
        <w:t xml:space="preserve"> </w:t>
      </w:r>
      <w:r>
        <w:t>paper</w:t>
      </w:r>
      <w:r>
        <w:rPr>
          <w:spacing w:val="-6"/>
        </w:rPr>
        <w:t xml:space="preserve"> </w:t>
      </w:r>
      <w:r>
        <w:t>and</w:t>
      </w:r>
      <w:r>
        <w:rPr>
          <w:spacing w:val="-6"/>
        </w:rPr>
        <w:t xml:space="preserve"> </w:t>
      </w:r>
      <w:r>
        <w:t>pencil.</w:t>
      </w:r>
      <w:r>
        <w:rPr>
          <w:spacing w:val="-6"/>
        </w:rPr>
        <w:t xml:space="preserve"> </w:t>
      </w:r>
      <w:r>
        <w:t>LTT</w:t>
      </w:r>
      <w:r>
        <w:rPr>
          <w:spacing w:val="-10"/>
        </w:rPr>
        <w:t xml:space="preserve"> </w:t>
      </w:r>
      <w:r>
        <w:t>age</w:t>
      </w:r>
      <w:r>
        <w:rPr>
          <w:spacing w:val="-6"/>
        </w:rPr>
        <w:t xml:space="preserve"> </w:t>
      </w:r>
      <w:r>
        <w:t>9</w:t>
      </w:r>
      <w:r>
        <w:rPr>
          <w:spacing w:val="-6"/>
        </w:rPr>
        <w:t xml:space="preserve"> </w:t>
      </w:r>
      <w:r>
        <w:t>was</w:t>
      </w:r>
      <w:r>
        <w:rPr>
          <w:spacing w:val="-6"/>
        </w:rPr>
        <w:t xml:space="preserve"> </w:t>
      </w:r>
      <w:r>
        <w:t>administered</w:t>
      </w:r>
      <w:r>
        <w:rPr>
          <w:spacing w:val="-6"/>
        </w:rPr>
        <w:t xml:space="preserve"> </w:t>
      </w:r>
      <w:r>
        <w:t>in</w:t>
      </w:r>
      <w:r>
        <w:rPr>
          <w:spacing w:val="-6"/>
        </w:rPr>
        <w:t xml:space="preserve"> </w:t>
      </w:r>
      <w:r>
        <w:t>the</w:t>
      </w:r>
      <w:r>
        <w:rPr>
          <w:spacing w:val="-6"/>
        </w:rPr>
        <w:t xml:space="preserve"> </w:t>
      </w:r>
      <w:r>
        <w:t>winter</w:t>
      </w:r>
      <w:r>
        <w:rPr>
          <w:spacing w:val="-6"/>
        </w:rPr>
        <w:t xml:space="preserve"> </w:t>
      </w:r>
      <w:r>
        <w:t>of</w:t>
      </w:r>
      <w:r>
        <w:rPr>
          <w:spacing w:val="-6"/>
        </w:rPr>
        <w:t xml:space="preserve"> </w:t>
      </w:r>
      <w:r>
        <w:t>2022</w:t>
      </w:r>
      <w:r>
        <w:rPr>
          <w:spacing w:val="-6"/>
        </w:rPr>
        <w:t xml:space="preserve"> </w:t>
      </w:r>
      <w:r>
        <w:t>and</w:t>
      </w:r>
      <w:r>
        <w:rPr>
          <w:spacing w:val="-6"/>
        </w:rPr>
        <w:t xml:space="preserve"> </w:t>
      </w:r>
      <w:r>
        <w:t>LTT</w:t>
      </w:r>
      <w:r>
        <w:rPr>
          <w:spacing w:val="-10"/>
        </w:rPr>
        <w:t xml:space="preserve"> </w:t>
      </w:r>
      <w:r>
        <w:t>age</w:t>
      </w:r>
      <w:r>
        <w:rPr>
          <w:spacing w:val="-6"/>
        </w:rPr>
        <w:t xml:space="preserve"> </w:t>
      </w:r>
      <w:r>
        <w:t>13</w:t>
      </w:r>
      <w:r>
        <w:rPr>
          <w:spacing w:val="-6"/>
        </w:rPr>
        <w:t xml:space="preserve"> </w:t>
      </w:r>
      <w:r>
        <w:t>was</w:t>
      </w:r>
      <w:r>
        <w:rPr>
          <w:spacing w:val="-6"/>
        </w:rPr>
        <w:t xml:space="preserve"> </w:t>
      </w:r>
      <w:r>
        <w:t>administered</w:t>
      </w:r>
      <w:r>
        <w:rPr>
          <w:spacing w:val="-6"/>
        </w:rPr>
        <w:t xml:space="preserve"> </w:t>
      </w:r>
      <w:r>
        <w:t>in</w:t>
      </w:r>
      <w:r>
        <w:rPr>
          <w:spacing w:val="-6"/>
        </w:rPr>
        <w:t xml:space="preserve"> </w:t>
      </w:r>
      <w:r>
        <w:t>the</w:t>
      </w:r>
      <w:r>
        <w:rPr>
          <w:spacing w:val="-6"/>
        </w:rPr>
        <w:t xml:space="preserve"> </w:t>
      </w:r>
      <w:r>
        <w:t>fall</w:t>
      </w:r>
      <w:r>
        <w:rPr>
          <w:spacing w:val="-6"/>
        </w:rPr>
        <w:t xml:space="preserve"> </w:t>
      </w:r>
      <w:r>
        <w:t>of</w:t>
      </w:r>
      <w:r>
        <w:rPr>
          <w:spacing w:val="-6"/>
        </w:rPr>
        <w:t xml:space="preserve"> </w:t>
      </w:r>
      <w:r>
        <w:t>2022</w:t>
      </w:r>
      <w:r>
        <w:rPr>
          <w:spacing w:val="-6"/>
        </w:rPr>
        <w:t xml:space="preserve"> </w:t>
      </w:r>
      <w:r>
        <w:t>(in</w:t>
      </w:r>
      <w:r>
        <w:rPr>
          <w:spacing w:val="-6"/>
        </w:rPr>
        <w:t xml:space="preserve"> </w:t>
      </w:r>
      <w:r>
        <w:t>a</w:t>
      </w:r>
      <w:r>
        <w:rPr>
          <w:spacing w:val="-6"/>
        </w:rPr>
        <w:t xml:space="preserve"> </w:t>
      </w:r>
      <w:r>
        <w:t>different</w:t>
      </w:r>
      <w:r>
        <w:rPr>
          <w:spacing w:val="-6"/>
        </w:rPr>
        <w:t xml:space="preserve"> </w:t>
      </w:r>
      <w:r>
        <w:t>school</w:t>
      </w:r>
      <w:r>
        <w:rPr>
          <w:spacing w:val="-6"/>
        </w:rPr>
        <w:t xml:space="preserve"> </w:t>
      </w:r>
      <w:r>
        <w:t>year</w:t>
      </w:r>
      <w:r>
        <w:rPr>
          <w:spacing w:val="-6"/>
        </w:rPr>
        <w:t xml:space="preserve"> </w:t>
      </w:r>
      <w:r>
        <w:t>than</w:t>
      </w:r>
      <w:r>
        <w:rPr>
          <w:spacing w:val="-6"/>
        </w:rPr>
        <w:t xml:space="preserve"> </w:t>
      </w:r>
      <w:r>
        <w:t xml:space="preserve">age </w:t>
      </w:r>
      <w:r>
        <w:rPr>
          <w:spacing w:val="-4"/>
        </w:rPr>
        <w:t>9).</w:t>
      </w:r>
    </w:p>
    <w:p w:rsidR="003F5784" w14:paraId="6DF9F390" w14:textId="77777777">
      <w:pPr>
        <w:pStyle w:val="BodyText"/>
        <w:spacing w:before="210" w:line="232" w:lineRule="auto"/>
        <w:ind w:left="109"/>
      </w:pPr>
      <w:r>
        <w:t>The</w:t>
      </w:r>
      <w:r>
        <w:rPr>
          <w:spacing w:val="-4"/>
        </w:rPr>
        <w:t xml:space="preserve"> </w:t>
      </w:r>
      <w:r>
        <w:t>national</w:t>
      </w:r>
      <w:r>
        <w:rPr>
          <w:spacing w:val="-4"/>
        </w:rPr>
        <w:t xml:space="preserve"> </w:t>
      </w:r>
      <w:r>
        <w:t>assessments</w:t>
      </w:r>
      <w:r>
        <w:rPr>
          <w:spacing w:val="-4"/>
        </w:rPr>
        <w:t xml:space="preserve"> </w:t>
      </w:r>
      <w:r>
        <w:t>were</w:t>
      </w:r>
      <w:r>
        <w:rPr>
          <w:spacing w:val="-4"/>
        </w:rPr>
        <w:t xml:space="preserve"> </w:t>
      </w:r>
      <w:r>
        <w:t>designed</w:t>
      </w:r>
      <w:r>
        <w:rPr>
          <w:spacing w:val="-4"/>
        </w:rPr>
        <w:t xml:space="preserve"> </w:t>
      </w:r>
      <w:r>
        <w:t>to</w:t>
      </w:r>
      <w:r>
        <w:rPr>
          <w:spacing w:val="-4"/>
        </w:rPr>
        <w:t xml:space="preserve"> </w:t>
      </w:r>
      <w:r>
        <w:t>achieve</w:t>
      </w:r>
      <w:r>
        <w:rPr>
          <w:spacing w:val="-4"/>
        </w:rPr>
        <w:t xml:space="preserve"> </w:t>
      </w:r>
      <w:r>
        <w:t>nationally</w:t>
      </w:r>
      <w:r>
        <w:rPr>
          <w:spacing w:val="-4"/>
        </w:rPr>
        <w:t xml:space="preserve"> </w:t>
      </w:r>
      <w:r>
        <w:t>representative</w:t>
      </w:r>
      <w:r>
        <w:rPr>
          <w:spacing w:val="-4"/>
        </w:rPr>
        <w:t xml:space="preserve"> </w:t>
      </w:r>
      <w:r>
        <w:t>samples</w:t>
      </w:r>
      <w:r>
        <w:rPr>
          <w:spacing w:val="-4"/>
        </w:rPr>
        <w:t xml:space="preserve"> </w:t>
      </w:r>
      <w:r>
        <w:t>of</w:t>
      </w:r>
      <w:r>
        <w:rPr>
          <w:spacing w:val="-4"/>
        </w:rPr>
        <w:t xml:space="preserve"> </w:t>
      </w:r>
      <w:r>
        <w:t>public</w:t>
      </w:r>
      <w:r>
        <w:rPr>
          <w:spacing w:val="-4"/>
        </w:rPr>
        <w:t xml:space="preserve"> </w:t>
      </w:r>
      <w:r>
        <w:t>and</w:t>
      </w:r>
      <w:r>
        <w:rPr>
          <w:spacing w:val="-4"/>
        </w:rPr>
        <w:t xml:space="preserve"> </w:t>
      </w:r>
      <w:r>
        <w:t>private</w:t>
      </w:r>
      <w:r>
        <w:rPr>
          <w:spacing w:val="-4"/>
        </w:rPr>
        <w:t xml:space="preserve"> </w:t>
      </w:r>
      <w:r>
        <w:t>school</w:t>
      </w:r>
      <w:r>
        <w:rPr>
          <w:spacing w:val="-4"/>
        </w:rPr>
        <w:t xml:space="preserve"> </w:t>
      </w:r>
      <w:r>
        <w:t>students</w:t>
      </w:r>
      <w:r>
        <w:rPr>
          <w:spacing w:val="-4"/>
        </w:rPr>
        <w:t xml:space="preserve"> </w:t>
      </w:r>
      <w:r>
        <w:t>in</w:t>
      </w:r>
      <w:r>
        <w:rPr>
          <w:spacing w:val="-4"/>
        </w:rPr>
        <w:t xml:space="preserve"> </w:t>
      </w:r>
      <w:r>
        <w:t>the</w:t>
      </w:r>
      <w:r>
        <w:rPr>
          <w:spacing w:val="-4"/>
        </w:rPr>
        <w:t xml:space="preserve"> </w:t>
      </w:r>
      <w:r>
        <w:t>fourth</w:t>
      </w:r>
      <w:r>
        <w:rPr>
          <w:spacing w:val="-4"/>
        </w:rPr>
        <w:t xml:space="preserve"> </w:t>
      </w:r>
      <w:r>
        <w:t>or</w:t>
      </w:r>
      <w:r>
        <w:rPr>
          <w:spacing w:val="-4"/>
        </w:rPr>
        <w:t xml:space="preserve"> </w:t>
      </w:r>
      <w:r>
        <w:t>eighth</w:t>
      </w:r>
      <w:r>
        <w:rPr>
          <w:spacing w:val="-4"/>
        </w:rPr>
        <w:t xml:space="preserve"> </w:t>
      </w:r>
      <w:r>
        <w:t>grades</w:t>
      </w:r>
      <w:r>
        <w:rPr>
          <w:spacing w:val="-4"/>
        </w:rPr>
        <w:t xml:space="preserve"> </w:t>
      </w:r>
      <w:r>
        <w:t>(or</w:t>
      </w:r>
      <w:r>
        <w:rPr>
          <w:spacing w:val="-4"/>
        </w:rPr>
        <w:t xml:space="preserve"> </w:t>
      </w:r>
      <w:r>
        <w:t>public</w:t>
      </w:r>
      <w:r>
        <w:rPr>
          <w:spacing w:val="-4"/>
        </w:rPr>
        <w:t xml:space="preserve"> </w:t>
      </w:r>
      <w:r>
        <w:t>and</w:t>
      </w:r>
      <w:r>
        <w:rPr>
          <w:spacing w:val="-4"/>
        </w:rPr>
        <w:t xml:space="preserve"> </w:t>
      </w:r>
      <w:r>
        <w:t>private school</w:t>
      </w:r>
      <w:r>
        <w:rPr>
          <w:spacing w:val="-6"/>
        </w:rPr>
        <w:t xml:space="preserve"> </w:t>
      </w:r>
      <w:r>
        <w:t>students</w:t>
      </w:r>
      <w:r>
        <w:rPr>
          <w:spacing w:val="-6"/>
        </w:rPr>
        <w:t xml:space="preserve"> </w:t>
      </w:r>
      <w:r>
        <w:t>who</w:t>
      </w:r>
      <w:r>
        <w:rPr>
          <w:spacing w:val="-6"/>
        </w:rPr>
        <w:t xml:space="preserve"> </w:t>
      </w:r>
      <w:r>
        <w:t>were</w:t>
      </w:r>
      <w:r>
        <w:rPr>
          <w:spacing w:val="-6"/>
        </w:rPr>
        <w:t xml:space="preserve"> </w:t>
      </w:r>
      <w:r>
        <w:t>age</w:t>
      </w:r>
      <w:r>
        <w:rPr>
          <w:spacing w:val="-6"/>
        </w:rPr>
        <w:t xml:space="preserve"> </w:t>
      </w:r>
      <w:r>
        <w:t>9</w:t>
      </w:r>
      <w:r>
        <w:rPr>
          <w:spacing w:val="-6"/>
        </w:rPr>
        <w:t xml:space="preserve"> </w:t>
      </w:r>
      <w:r>
        <w:t>or</w:t>
      </w:r>
      <w:r>
        <w:rPr>
          <w:spacing w:val="-6"/>
        </w:rPr>
        <w:t xml:space="preserve"> </w:t>
      </w:r>
      <w:r>
        <w:t>13</w:t>
      </w:r>
      <w:r>
        <w:rPr>
          <w:spacing w:val="-6"/>
        </w:rPr>
        <w:t xml:space="preserve"> </w:t>
      </w:r>
      <w:r>
        <w:t>in</w:t>
      </w:r>
      <w:r>
        <w:rPr>
          <w:spacing w:val="-6"/>
        </w:rPr>
        <w:t xml:space="preserve"> </w:t>
      </w:r>
      <w:r>
        <w:t>the</w:t>
      </w:r>
      <w:r>
        <w:rPr>
          <w:spacing w:val="-6"/>
        </w:rPr>
        <w:t xml:space="preserve"> </w:t>
      </w:r>
      <w:r>
        <w:t>case</w:t>
      </w:r>
      <w:r>
        <w:rPr>
          <w:spacing w:val="-6"/>
        </w:rPr>
        <w:t xml:space="preserve"> </w:t>
      </w:r>
      <w:r>
        <w:t>of</w:t>
      </w:r>
      <w:r>
        <w:rPr>
          <w:spacing w:val="-6"/>
        </w:rPr>
        <w:t xml:space="preserve"> </w:t>
      </w:r>
      <w:r>
        <w:t>LTT).</w:t>
      </w:r>
      <w:r>
        <w:rPr>
          <w:spacing w:val="-10"/>
        </w:rPr>
        <w:t xml:space="preserve"> </w:t>
      </w:r>
      <w:r>
        <w:t>The</w:t>
      </w:r>
      <w:r>
        <w:rPr>
          <w:spacing w:val="-6"/>
        </w:rPr>
        <w:t xml:space="preserve"> </w:t>
      </w:r>
      <w:r>
        <w:t>target</w:t>
      </w:r>
      <w:r>
        <w:rPr>
          <w:spacing w:val="-6"/>
        </w:rPr>
        <w:t xml:space="preserve"> </w:t>
      </w:r>
      <w:r>
        <w:t>populations</w:t>
      </w:r>
      <w:r>
        <w:rPr>
          <w:spacing w:val="-6"/>
        </w:rPr>
        <w:t xml:space="preserve"> </w:t>
      </w:r>
      <w:r>
        <w:t>included</w:t>
      </w:r>
      <w:r>
        <w:rPr>
          <w:spacing w:val="-6"/>
        </w:rPr>
        <w:t xml:space="preserve"> </w:t>
      </w:r>
      <w:r>
        <w:t>all</w:t>
      </w:r>
      <w:r>
        <w:rPr>
          <w:spacing w:val="-6"/>
        </w:rPr>
        <w:t xml:space="preserve"> </w:t>
      </w:r>
      <w:r>
        <w:t>students</w:t>
      </w:r>
      <w:r>
        <w:rPr>
          <w:spacing w:val="-6"/>
        </w:rPr>
        <w:t xml:space="preserve"> </w:t>
      </w:r>
      <w:r>
        <w:t>in</w:t>
      </w:r>
      <w:r>
        <w:rPr>
          <w:spacing w:val="-6"/>
        </w:rPr>
        <w:t xml:space="preserve"> </w:t>
      </w:r>
      <w:r>
        <w:t>public,</w:t>
      </w:r>
      <w:r>
        <w:rPr>
          <w:spacing w:val="-6"/>
        </w:rPr>
        <w:t xml:space="preserve"> </w:t>
      </w:r>
      <w:r>
        <w:t>private,</w:t>
      </w:r>
      <w:r>
        <w:rPr>
          <w:spacing w:val="-6"/>
        </w:rPr>
        <w:t xml:space="preserve"> </w:t>
      </w:r>
      <w:r>
        <w:t>Bureau</w:t>
      </w:r>
      <w:r>
        <w:rPr>
          <w:spacing w:val="-6"/>
        </w:rPr>
        <w:t xml:space="preserve"> </w:t>
      </w:r>
      <w:r>
        <w:t>of</w:t>
      </w:r>
      <w:r>
        <w:rPr>
          <w:spacing w:val="-6"/>
        </w:rPr>
        <w:t xml:space="preserve"> </w:t>
      </w:r>
      <w:r>
        <w:t>Indian</w:t>
      </w:r>
      <w:r>
        <w:rPr>
          <w:spacing w:val="-6"/>
        </w:rPr>
        <w:t xml:space="preserve"> </w:t>
      </w:r>
      <w:r>
        <w:t>Education</w:t>
      </w:r>
      <w:r>
        <w:rPr>
          <w:spacing w:val="-6"/>
        </w:rPr>
        <w:t xml:space="preserve"> </w:t>
      </w:r>
      <w:r>
        <w:t>(BIE),</w:t>
      </w:r>
      <w:r>
        <w:rPr>
          <w:spacing w:val="-6"/>
        </w:rPr>
        <w:t xml:space="preserve"> </w:t>
      </w:r>
      <w:r>
        <w:t>and</w:t>
      </w:r>
      <w:r>
        <w:rPr>
          <w:spacing w:val="-6"/>
        </w:rPr>
        <w:t xml:space="preserve"> </w:t>
      </w:r>
      <w:r>
        <w:t>Department</w:t>
      </w:r>
      <w:r>
        <w:rPr>
          <w:spacing w:val="-6"/>
        </w:rPr>
        <w:t xml:space="preserve"> </w:t>
      </w:r>
      <w:r>
        <w:t>of Defense</w:t>
      </w:r>
      <w:r>
        <w:rPr>
          <w:spacing w:val="-2"/>
        </w:rPr>
        <w:t xml:space="preserve"> </w:t>
      </w:r>
      <w:r>
        <w:t>Education</w:t>
      </w:r>
      <w:r>
        <w:rPr>
          <w:spacing w:val="-13"/>
        </w:rPr>
        <w:t xml:space="preserve"> </w:t>
      </w:r>
      <w:r>
        <w:t>Activity</w:t>
      </w:r>
      <w:r>
        <w:rPr>
          <w:spacing w:val="-2"/>
        </w:rPr>
        <w:t xml:space="preserve"> </w:t>
      </w:r>
      <w:r>
        <w:t>(DoDEA)</w:t>
      </w:r>
      <w:r>
        <w:rPr>
          <w:spacing w:val="-2"/>
        </w:rPr>
        <w:t xml:space="preserve"> </w:t>
      </w:r>
      <w:r>
        <w:t>schools</w:t>
      </w:r>
      <w:r>
        <w:rPr>
          <w:spacing w:val="-2"/>
        </w:rPr>
        <w:t xml:space="preserve"> </w:t>
      </w:r>
      <w:r>
        <w:t>who</w:t>
      </w:r>
      <w:r>
        <w:rPr>
          <w:spacing w:val="-2"/>
        </w:rPr>
        <w:t xml:space="preserve"> </w:t>
      </w:r>
      <w:r>
        <w:t>were</w:t>
      </w:r>
      <w:r>
        <w:rPr>
          <w:spacing w:val="-2"/>
        </w:rPr>
        <w:t xml:space="preserve"> </w:t>
      </w:r>
      <w:r>
        <w:t>enrolled</w:t>
      </w:r>
      <w:r>
        <w:rPr>
          <w:spacing w:val="-2"/>
        </w:rPr>
        <w:t xml:space="preserve"> </w:t>
      </w:r>
      <w:r>
        <w:t>in</w:t>
      </w:r>
      <w:r>
        <w:rPr>
          <w:spacing w:val="-2"/>
        </w:rPr>
        <w:t xml:space="preserve"> </w:t>
      </w:r>
      <w:r>
        <w:t>grades</w:t>
      </w:r>
      <w:r>
        <w:rPr>
          <w:spacing w:val="-2"/>
        </w:rPr>
        <w:t xml:space="preserve"> </w:t>
      </w:r>
      <w:r>
        <w:t>4</w:t>
      </w:r>
      <w:r>
        <w:rPr>
          <w:spacing w:val="-2"/>
        </w:rPr>
        <w:t xml:space="preserve"> </w:t>
      </w:r>
      <w:r>
        <w:t>or</w:t>
      </w:r>
      <w:r>
        <w:rPr>
          <w:spacing w:val="-2"/>
        </w:rPr>
        <w:t xml:space="preserve"> </w:t>
      </w:r>
      <w:r>
        <w:t>8</w:t>
      </w:r>
      <w:r>
        <w:rPr>
          <w:spacing w:val="-2"/>
        </w:rPr>
        <w:t xml:space="preserve"> </w:t>
      </w:r>
      <w:r>
        <w:t>(or</w:t>
      </w:r>
      <w:r>
        <w:rPr>
          <w:spacing w:val="-2"/>
        </w:rPr>
        <w:t xml:space="preserve"> </w:t>
      </w:r>
      <w:r>
        <w:t>who</w:t>
      </w:r>
      <w:r>
        <w:rPr>
          <w:spacing w:val="-2"/>
        </w:rPr>
        <w:t xml:space="preserve"> </w:t>
      </w:r>
      <w:r>
        <w:t>were</w:t>
      </w:r>
      <w:r>
        <w:rPr>
          <w:spacing w:val="-2"/>
        </w:rPr>
        <w:t xml:space="preserve"> </w:t>
      </w:r>
      <w:r>
        <w:t>age</w:t>
      </w:r>
      <w:r>
        <w:rPr>
          <w:spacing w:val="-2"/>
        </w:rPr>
        <w:t xml:space="preserve"> </w:t>
      </w:r>
      <w:r>
        <w:t>9</w:t>
      </w:r>
      <w:r>
        <w:rPr>
          <w:spacing w:val="-2"/>
        </w:rPr>
        <w:t xml:space="preserve"> </w:t>
      </w:r>
      <w:r>
        <w:t>or</w:t>
      </w:r>
      <w:r>
        <w:rPr>
          <w:spacing w:val="-2"/>
        </w:rPr>
        <w:t xml:space="preserve"> </w:t>
      </w:r>
      <w:r>
        <w:t>13</w:t>
      </w:r>
      <w:r>
        <w:rPr>
          <w:spacing w:val="-2"/>
        </w:rPr>
        <w:t xml:space="preserve"> </w:t>
      </w:r>
      <w:r>
        <w:t>in</w:t>
      </w:r>
      <w:r>
        <w:rPr>
          <w:spacing w:val="-2"/>
        </w:rPr>
        <w:t xml:space="preserve"> </w:t>
      </w:r>
      <w:r>
        <w:t>the</w:t>
      </w:r>
      <w:r>
        <w:rPr>
          <w:spacing w:val="-2"/>
        </w:rPr>
        <w:t xml:space="preserve"> </w:t>
      </w:r>
      <w:r>
        <w:t>case</w:t>
      </w:r>
      <w:r>
        <w:rPr>
          <w:spacing w:val="-2"/>
        </w:rPr>
        <w:t xml:space="preserve"> </w:t>
      </w:r>
      <w:r>
        <w:t>of</w:t>
      </w:r>
      <w:r>
        <w:rPr>
          <w:spacing w:val="-2"/>
        </w:rPr>
        <w:t xml:space="preserve"> </w:t>
      </w:r>
      <w:r>
        <w:t>LTT)</w:t>
      </w:r>
      <w:r>
        <w:rPr>
          <w:spacing w:val="-2"/>
        </w:rPr>
        <w:t xml:space="preserve"> </w:t>
      </w:r>
      <w:r>
        <w:t>at</w:t>
      </w:r>
      <w:r>
        <w:rPr>
          <w:spacing w:val="-2"/>
        </w:rPr>
        <w:t xml:space="preserve"> </w:t>
      </w:r>
      <w:r>
        <w:t>the</w:t>
      </w:r>
      <w:r>
        <w:rPr>
          <w:spacing w:val="-2"/>
        </w:rPr>
        <w:t xml:space="preserve"> </w:t>
      </w:r>
      <w:r>
        <w:t>time</w:t>
      </w:r>
      <w:r>
        <w:rPr>
          <w:spacing w:val="-2"/>
        </w:rPr>
        <w:t xml:space="preserve"> </w:t>
      </w:r>
      <w:r>
        <w:t>of</w:t>
      </w:r>
      <w:r>
        <w:rPr>
          <w:spacing w:val="-2"/>
        </w:rPr>
        <w:t xml:space="preserve"> </w:t>
      </w:r>
      <w:r>
        <w:t>assessment.</w:t>
      </w:r>
      <w:r>
        <w:rPr>
          <w:spacing w:val="-2"/>
        </w:rPr>
        <w:t xml:space="preserve"> </w:t>
      </w:r>
      <w:r>
        <w:t>DoDEA</w:t>
      </w:r>
      <w:r>
        <w:rPr>
          <w:spacing w:val="-13"/>
        </w:rPr>
        <w:t xml:space="preserve"> </w:t>
      </w:r>
      <w:r>
        <w:t>schools</w:t>
      </w:r>
      <w:r>
        <w:rPr>
          <w:spacing w:val="-2"/>
        </w:rPr>
        <w:t xml:space="preserve"> </w:t>
      </w:r>
      <w:r>
        <w:t>for LTT</w:t>
      </w:r>
      <w:r>
        <w:rPr>
          <w:spacing w:val="-2"/>
        </w:rPr>
        <w:t xml:space="preserve"> </w:t>
      </w:r>
      <w:r>
        <w:t>and the grade 8 civics and U.S. history assessments were limited to those located in the U.S. (not overseas).</w:t>
      </w:r>
    </w:p>
    <w:p w:rsidR="003F5784" w14:paraId="2901D0F4" w14:textId="77777777">
      <w:pPr>
        <w:pStyle w:val="BodyText"/>
        <w:spacing w:before="210" w:line="232" w:lineRule="auto"/>
        <w:ind w:left="109" w:right="179"/>
      </w:pPr>
      <w:r>
        <w:t>For</w:t>
      </w:r>
      <w:r>
        <w:rPr>
          <w:spacing w:val="-9"/>
        </w:rPr>
        <w:t xml:space="preserve"> </w:t>
      </w:r>
      <w:r>
        <w:t>the</w:t>
      </w:r>
      <w:r>
        <w:rPr>
          <w:spacing w:val="-6"/>
        </w:rPr>
        <w:t xml:space="preserve"> </w:t>
      </w:r>
      <w:r>
        <w:t>fourth-</w:t>
      </w:r>
      <w:r>
        <w:rPr>
          <w:spacing w:val="-6"/>
        </w:rPr>
        <w:t xml:space="preserve"> </w:t>
      </w:r>
      <w:r>
        <w:t>and</w:t>
      </w:r>
      <w:r>
        <w:rPr>
          <w:spacing w:val="-6"/>
        </w:rPr>
        <w:t xml:space="preserve"> </w:t>
      </w:r>
      <w:r>
        <w:t>eighth-grade</w:t>
      </w:r>
      <w:r>
        <w:rPr>
          <w:spacing w:val="-6"/>
        </w:rPr>
        <w:t xml:space="preserve"> </w:t>
      </w:r>
      <w:r>
        <w:t>mathematics</w:t>
      </w:r>
      <w:r>
        <w:rPr>
          <w:spacing w:val="-6"/>
        </w:rPr>
        <w:t xml:space="preserve"> </w:t>
      </w:r>
      <w:r>
        <w:t>and</w:t>
      </w:r>
      <w:r>
        <w:rPr>
          <w:spacing w:val="-6"/>
        </w:rPr>
        <w:t xml:space="preserve"> </w:t>
      </w:r>
      <w:r>
        <w:t>reading</w:t>
      </w:r>
      <w:r>
        <w:rPr>
          <w:spacing w:val="-6"/>
        </w:rPr>
        <w:t xml:space="preserve"> </w:t>
      </w:r>
      <w:r>
        <w:t>assessments</w:t>
      </w:r>
      <w:r>
        <w:rPr>
          <w:spacing w:val="-6"/>
        </w:rPr>
        <w:t xml:space="preserve"> </w:t>
      </w:r>
      <w:r>
        <w:t>in</w:t>
      </w:r>
      <w:r>
        <w:rPr>
          <w:spacing w:val="-6"/>
        </w:rPr>
        <w:t xml:space="preserve"> </w:t>
      </w:r>
      <w:r>
        <w:t>public</w:t>
      </w:r>
      <w:r>
        <w:rPr>
          <w:spacing w:val="-6"/>
        </w:rPr>
        <w:t xml:space="preserve"> </w:t>
      </w:r>
      <w:r>
        <w:t>schools,</w:t>
      </w:r>
      <w:r>
        <w:rPr>
          <w:spacing w:val="-6"/>
        </w:rPr>
        <w:t xml:space="preserve"> </w:t>
      </w:r>
      <w:r>
        <w:t>the</w:t>
      </w:r>
      <w:r>
        <w:rPr>
          <w:spacing w:val="-10"/>
        </w:rPr>
        <w:t xml:space="preserve"> </w:t>
      </w:r>
      <w:r>
        <w:t>TUDA</w:t>
      </w:r>
      <w:r>
        <w:rPr>
          <w:spacing w:val="-14"/>
        </w:rPr>
        <w:t xml:space="preserve"> </w:t>
      </w:r>
      <w:r>
        <w:t>samples</w:t>
      </w:r>
      <w:r>
        <w:rPr>
          <w:spacing w:val="-6"/>
        </w:rPr>
        <w:t xml:space="preserve"> </w:t>
      </w:r>
      <w:r>
        <w:t>formed</w:t>
      </w:r>
      <w:r>
        <w:rPr>
          <w:spacing w:val="-6"/>
        </w:rPr>
        <w:t xml:space="preserve"> </w:t>
      </w:r>
      <w:r>
        <w:t>part</w:t>
      </w:r>
      <w:r>
        <w:rPr>
          <w:spacing w:val="-6"/>
        </w:rPr>
        <w:t xml:space="preserve"> </w:t>
      </w:r>
      <w:r>
        <w:t>of</w:t>
      </w:r>
      <w:r>
        <w:rPr>
          <w:spacing w:val="-6"/>
        </w:rPr>
        <w:t xml:space="preserve"> </w:t>
      </w:r>
      <w:r>
        <w:t>the</w:t>
      </w:r>
      <w:r>
        <w:rPr>
          <w:spacing w:val="-6"/>
        </w:rPr>
        <w:t xml:space="preserve"> </w:t>
      </w:r>
      <w:r>
        <w:t>corresponding</w:t>
      </w:r>
      <w:r>
        <w:rPr>
          <w:spacing w:val="-6"/>
        </w:rPr>
        <w:t xml:space="preserve"> </w:t>
      </w:r>
      <w:r>
        <w:t>state</w:t>
      </w:r>
      <w:r>
        <w:rPr>
          <w:spacing w:val="-6"/>
        </w:rPr>
        <w:t xml:space="preserve"> </w:t>
      </w:r>
      <w:r>
        <w:t>public</w:t>
      </w:r>
      <w:r>
        <w:rPr>
          <w:spacing w:val="-6"/>
        </w:rPr>
        <w:t xml:space="preserve"> </w:t>
      </w:r>
      <w:r>
        <w:t>school</w:t>
      </w:r>
      <w:r>
        <w:rPr>
          <w:spacing w:val="-6"/>
        </w:rPr>
        <w:t xml:space="preserve"> </w:t>
      </w:r>
      <w:r>
        <w:t>samples,</w:t>
      </w:r>
      <w:r>
        <w:rPr>
          <w:spacing w:val="-6"/>
        </w:rPr>
        <w:t xml:space="preserve"> </w:t>
      </w:r>
      <w:r>
        <w:t>and the state samples formed the public school grades 4 and 8 part of the national sample. Nationally representative samples were drawn for civics and U.S. history and for the remaining populations of private school students, DoDEA</w:t>
      </w:r>
      <w:r>
        <w:rPr>
          <w:spacing w:val="-6"/>
        </w:rPr>
        <w:t xml:space="preserve"> </w:t>
      </w:r>
      <w:r>
        <w:t>students, and BIE students separately by grade.</w:t>
      </w:r>
    </w:p>
    <w:p w:rsidR="003F5784" w14:paraId="45B9DB02" w14:textId="77777777">
      <w:pPr>
        <w:pStyle w:val="BodyText"/>
        <w:spacing w:before="209" w:line="232" w:lineRule="auto"/>
        <w:ind w:left="109"/>
      </w:pPr>
      <w:r>
        <w:t>The</w:t>
      </w:r>
      <w:r>
        <w:rPr>
          <w:spacing w:val="-8"/>
        </w:rPr>
        <w:t xml:space="preserve"> </w:t>
      </w:r>
      <w:r>
        <w:t>state</w:t>
      </w:r>
      <w:r>
        <w:rPr>
          <w:spacing w:val="-6"/>
        </w:rPr>
        <w:t xml:space="preserve"> </w:t>
      </w:r>
      <w:r>
        <w:t>assessments</w:t>
      </w:r>
      <w:r>
        <w:rPr>
          <w:spacing w:val="-6"/>
        </w:rPr>
        <w:t xml:space="preserve"> </w:t>
      </w:r>
      <w:r>
        <w:t>were</w:t>
      </w:r>
      <w:r>
        <w:rPr>
          <w:spacing w:val="-6"/>
        </w:rPr>
        <w:t xml:space="preserve"> </w:t>
      </w:r>
      <w:r>
        <w:t>designed</w:t>
      </w:r>
      <w:r>
        <w:rPr>
          <w:spacing w:val="-6"/>
        </w:rPr>
        <w:t xml:space="preserve"> </w:t>
      </w:r>
      <w:r>
        <w:t>to</w:t>
      </w:r>
      <w:r>
        <w:rPr>
          <w:spacing w:val="-6"/>
        </w:rPr>
        <w:t xml:space="preserve"> </w:t>
      </w:r>
      <w:r>
        <w:t>achieve</w:t>
      </w:r>
      <w:r>
        <w:rPr>
          <w:spacing w:val="-6"/>
        </w:rPr>
        <w:t xml:space="preserve"> </w:t>
      </w:r>
      <w:r>
        <w:t>representative</w:t>
      </w:r>
      <w:r>
        <w:rPr>
          <w:spacing w:val="-6"/>
        </w:rPr>
        <w:t xml:space="preserve"> </w:t>
      </w:r>
      <w:r>
        <w:t>samples</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respective</w:t>
      </w:r>
      <w:r>
        <w:rPr>
          <w:spacing w:val="-6"/>
        </w:rPr>
        <w:t xml:space="preserve"> </w:t>
      </w:r>
      <w:r>
        <w:t>grade.</w:t>
      </w:r>
      <w:r>
        <w:rPr>
          <w:spacing w:val="-14"/>
        </w:rPr>
        <w:t xml:space="preserve"> </w:t>
      </w:r>
      <w:r>
        <w:t>At</w:t>
      </w:r>
      <w:r>
        <w:rPr>
          <w:spacing w:val="-5"/>
        </w:rPr>
        <w:t xml:space="preserve"> </w:t>
      </w:r>
      <w:r>
        <w:t>grades</w:t>
      </w:r>
      <w:r>
        <w:rPr>
          <w:spacing w:val="-6"/>
        </w:rPr>
        <w:t xml:space="preserve"> </w:t>
      </w:r>
      <w:r>
        <w:t>4</w:t>
      </w:r>
      <w:r>
        <w:rPr>
          <w:spacing w:val="-6"/>
        </w:rPr>
        <w:t xml:space="preserve"> </w:t>
      </w:r>
      <w:r>
        <w:t>and</w:t>
      </w:r>
      <w:r>
        <w:rPr>
          <w:spacing w:val="-6"/>
        </w:rPr>
        <w:t xml:space="preserve"> </w:t>
      </w:r>
      <w:r>
        <w:t>8,</w:t>
      </w:r>
      <w:r>
        <w:rPr>
          <w:spacing w:val="-6"/>
        </w:rPr>
        <w:t xml:space="preserve"> </w:t>
      </w:r>
      <w:r>
        <w:t>the</w:t>
      </w:r>
      <w:r>
        <w:rPr>
          <w:spacing w:val="-6"/>
        </w:rPr>
        <w:t xml:space="preserve"> </w:t>
      </w:r>
      <w:r>
        <w:t>target</w:t>
      </w:r>
      <w:r>
        <w:rPr>
          <w:spacing w:val="-6"/>
        </w:rPr>
        <w:t xml:space="preserve"> </w:t>
      </w:r>
      <w:r>
        <w:t>populations</w:t>
      </w:r>
      <w:r>
        <w:rPr>
          <w:spacing w:val="-6"/>
        </w:rPr>
        <w:t xml:space="preserve"> </w:t>
      </w:r>
      <w:r>
        <w:t>included</w:t>
      </w:r>
      <w:r>
        <w:rPr>
          <w:spacing w:val="-6"/>
        </w:rPr>
        <w:t xml:space="preserve"> </w:t>
      </w:r>
      <w:r>
        <w:t>all</w:t>
      </w:r>
      <w:r>
        <w:rPr>
          <w:spacing w:val="-6"/>
        </w:rPr>
        <w:t xml:space="preserve"> </w:t>
      </w:r>
      <w:r>
        <w:t>students</w:t>
      </w:r>
      <w:r>
        <w:rPr>
          <w:spacing w:val="-6"/>
        </w:rPr>
        <w:t xml:space="preserve"> </w:t>
      </w:r>
      <w:r>
        <w:t>in</w:t>
      </w:r>
      <w:r>
        <w:rPr>
          <w:spacing w:val="-6"/>
        </w:rPr>
        <w:t xml:space="preserve"> </w:t>
      </w:r>
      <w:r>
        <w:t>each participating jurisdiction, which included states, District of Columbia, BIE, DoDEA, and school districts chosen for the</w:t>
      </w:r>
      <w:r>
        <w:rPr>
          <w:spacing w:val="-2"/>
        </w:rPr>
        <w:t xml:space="preserve"> </w:t>
      </w:r>
      <w:r>
        <w:t>TUDA. For each grade and assessment</w:t>
      </w:r>
    </w:p>
    <w:p w:rsidR="003F5784" w14:paraId="0613C8AD" w14:textId="77777777">
      <w:pPr>
        <w:pStyle w:val="BodyText"/>
        <w:spacing w:before="1" w:line="232" w:lineRule="auto"/>
        <w:ind w:left="109" w:right="1264"/>
      </w:pPr>
      <w:r>
        <w:t>subject,</w:t>
      </w:r>
      <w:r>
        <w:rPr>
          <w:spacing w:val="-7"/>
        </w:rPr>
        <w:t xml:space="preserve"> </w:t>
      </w:r>
      <w:r>
        <w:t>samples</w:t>
      </w:r>
      <w:r>
        <w:rPr>
          <w:spacing w:val="-7"/>
        </w:rPr>
        <w:t xml:space="preserve"> </w:t>
      </w:r>
      <w:r>
        <w:t>were</w:t>
      </w:r>
      <w:r>
        <w:rPr>
          <w:spacing w:val="-7"/>
        </w:rPr>
        <w:t xml:space="preserve"> </w:t>
      </w:r>
      <w:r>
        <w:t>designed</w:t>
      </w:r>
      <w:r>
        <w:rPr>
          <w:spacing w:val="-7"/>
        </w:rPr>
        <w:t xml:space="preserve"> </w:t>
      </w:r>
      <w:r>
        <w:t>to</w:t>
      </w:r>
      <w:r>
        <w:rPr>
          <w:spacing w:val="-7"/>
        </w:rPr>
        <w:t xml:space="preserve"> </w:t>
      </w:r>
      <w:r>
        <w:t>produce</w:t>
      </w:r>
      <w:r>
        <w:rPr>
          <w:spacing w:val="-7"/>
        </w:rPr>
        <w:t xml:space="preserve"> </w:t>
      </w:r>
      <w:r>
        <w:t>aggregate</w:t>
      </w:r>
      <w:r>
        <w:rPr>
          <w:spacing w:val="-7"/>
        </w:rPr>
        <w:t xml:space="preserve"> </w:t>
      </w:r>
      <w:r>
        <w:t>estimates</w:t>
      </w:r>
      <w:r>
        <w:rPr>
          <w:spacing w:val="-7"/>
        </w:rPr>
        <w:t xml:space="preserve"> </w:t>
      </w:r>
      <w:r>
        <w:t>with</w:t>
      </w:r>
      <w:r>
        <w:rPr>
          <w:spacing w:val="-7"/>
        </w:rPr>
        <w:t xml:space="preserve"> </w:t>
      </w:r>
      <w:r>
        <w:t>adequate</w:t>
      </w:r>
      <w:r>
        <w:rPr>
          <w:spacing w:val="-7"/>
        </w:rPr>
        <w:t xml:space="preserve"> </w:t>
      </w:r>
      <w:r>
        <w:t>precision</w:t>
      </w:r>
      <w:r>
        <w:rPr>
          <w:spacing w:val="-7"/>
        </w:rPr>
        <w:t xml:space="preserve"> </w:t>
      </w:r>
      <w:r>
        <w:t>for</w:t>
      </w:r>
      <w:r>
        <w:rPr>
          <w:spacing w:val="-7"/>
        </w:rPr>
        <w:t xml:space="preserve"> </w:t>
      </w:r>
      <w:r>
        <w:t>all</w:t>
      </w:r>
      <w:r>
        <w:rPr>
          <w:spacing w:val="-7"/>
        </w:rPr>
        <w:t xml:space="preserve"> </w:t>
      </w:r>
      <w:r>
        <w:t>the</w:t>
      </w:r>
      <w:r>
        <w:rPr>
          <w:spacing w:val="-7"/>
        </w:rPr>
        <w:t xml:space="preserve"> </w:t>
      </w:r>
      <w:r>
        <w:t>participating</w:t>
      </w:r>
      <w:r>
        <w:rPr>
          <w:spacing w:val="-7"/>
        </w:rPr>
        <w:t xml:space="preserve"> </w:t>
      </w:r>
      <w:r>
        <w:t>jurisdictions,</w:t>
      </w:r>
      <w:r>
        <w:rPr>
          <w:spacing w:val="-7"/>
        </w:rPr>
        <w:t xml:space="preserve"> </w:t>
      </w:r>
      <w:r>
        <w:t>as</w:t>
      </w:r>
      <w:r>
        <w:rPr>
          <w:spacing w:val="-7"/>
        </w:rPr>
        <w:t xml:space="preserve"> </w:t>
      </w:r>
      <w:r>
        <w:t>well</w:t>
      </w:r>
      <w:r>
        <w:rPr>
          <w:spacing w:val="-7"/>
        </w:rPr>
        <w:t xml:space="preserve"> </w:t>
      </w:r>
      <w:r>
        <w:t>as</w:t>
      </w:r>
      <w:r>
        <w:rPr>
          <w:spacing w:val="-7"/>
        </w:rPr>
        <w:t xml:space="preserve"> </w:t>
      </w:r>
      <w:r>
        <w:t>estimates</w:t>
      </w:r>
      <w:r>
        <w:rPr>
          <w:spacing w:val="-7"/>
        </w:rPr>
        <w:t xml:space="preserve"> </w:t>
      </w:r>
      <w:r>
        <w:t>for</w:t>
      </w:r>
      <w:r>
        <w:rPr>
          <w:spacing w:val="-7"/>
        </w:rPr>
        <w:t xml:space="preserve"> </w:t>
      </w:r>
      <w:r>
        <w:t>various student subpopulations of interest.</w:t>
      </w:r>
    </w:p>
    <w:p w:rsidR="003F5784" w14:paraId="4CACA2D7" w14:textId="77777777">
      <w:pPr>
        <w:pStyle w:val="BodyText"/>
        <w:spacing w:before="78" w:line="232" w:lineRule="auto"/>
        <w:ind w:left="109" w:right="179"/>
      </w:pPr>
      <w:r>
        <w:t>A</w:t>
      </w:r>
      <w:r>
        <w:rPr>
          <w:spacing w:val="-11"/>
        </w:rPr>
        <w:t xml:space="preserve"> </w:t>
      </w:r>
      <w:r>
        <w:t>one-time feature of some of the 2022 samples was maximum overlap with other earlier NAEP</w:t>
      </w:r>
      <w:r>
        <w:rPr>
          <w:spacing w:val="-7"/>
        </w:rPr>
        <w:t xml:space="preserve"> </w:t>
      </w:r>
      <w:r>
        <w:t>samples.</w:t>
      </w:r>
      <w:r>
        <w:rPr>
          <w:spacing w:val="-3"/>
        </w:rPr>
        <w:t xml:space="preserve"> </w:t>
      </w:r>
      <w:r>
        <w:t>This was done to facilitate certain analyses related to the fact that 2022 was the first assessment year after the COVID-19 pandemic.</w:t>
      </w:r>
      <w:r>
        <w:rPr>
          <w:spacing w:val="-3"/>
        </w:rPr>
        <w:t xml:space="preserve"> </w:t>
      </w:r>
      <w:r>
        <w:t>The state samples were selected to have maximum overlap with the school samples for the NAEP</w:t>
      </w:r>
      <w:r>
        <w:rPr>
          <w:spacing w:val="-7"/>
        </w:rPr>
        <w:t xml:space="preserve"> </w:t>
      </w:r>
      <w:r>
        <w:t>2021 Monthly</w:t>
      </w:r>
      <w:r>
        <w:rPr>
          <w:spacing w:val="-12"/>
        </w:rPr>
        <w:t xml:space="preserve"> </w:t>
      </w:r>
      <w:r>
        <w:t>School</w:t>
      </w:r>
      <w:r>
        <w:rPr>
          <w:spacing w:val="-9"/>
        </w:rPr>
        <w:t xml:space="preserve"> </w:t>
      </w:r>
      <w:r>
        <w:t>Survey</w:t>
      </w:r>
      <w:r>
        <w:rPr>
          <w:spacing w:val="-9"/>
        </w:rPr>
        <w:t xml:space="preserve"> </w:t>
      </w:r>
      <w:r>
        <w:t>and</w:t>
      </w:r>
      <w:r>
        <w:rPr>
          <w:spacing w:val="-9"/>
        </w:rPr>
        <w:t xml:space="preserve"> </w:t>
      </w:r>
      <w:r>
        <w:t>the</w:t>
      </w:r>
      <w:r>
        <w:rPr>
          <w:spacing w:val="-9"/>
        </w:rPr>
        <w:t xml:space="preserve"> </w:t>
      </w:r>
      <w:r>
        <w:t>NAEP</w:t>
      </w:r>
      <w:r>
        <w:rPr>
          <w:spacing w:val="-14"/>
        </w:rPr>
        <w:t xml:space="preserve"> </w:t>
      </w:r>
      <w:r>
        <w:t>2021</w:t>
      </w:r>
      <w:r>
        <w:rPr>
          <w:spacing w:val="-8"/>
        </w:rPr>
        <w:t xml:space="preserve"> </w:t>
      </w:r>
      <w:r>
        <w:t>School</w:t>
      </w:r>
      <w:r>
        <w:rPr>
          <w:spacing w:val="-9"/>
        </w:rPr>
        <w:t xml:space="preserve"> </w:t>
      </w:r>
      <w:r>
        <w:t>and</w:t>
      </w:r>
      <w:r>
        <w:rPr>
          <w:spacing w:val="-12"/>
        </w:rPr>
        <w:t xml:space="preserve"> </w:t>
      </w:r>
      <w:r>
        <w:t>Teacher</w:t>
      </w:r>
      <w:r>
        <w:rPr>
          <w:spacing w:val="-9"/>
        </w:rPr>
        <w:t xml:space="preserve"> </w:t>
      </w:r>
      <w:r>
        <w:t>Questionnaire</w:t>
      </w:r>
      <w:r>
        <w:rPr>
          <w:spacing w:val="-9"/>
        </w:rPr>
        <w:t xml:space="preserve"> </w:t>
      </w:r>
      <w:r>
        <w:t>Study.</w:t>
      </w:r>
      <w:r>
        <w:rPr>
          <w:spacing w:val="-12"/>
        </w:rPr>
        <w:t xml:space="preserve"> </w:t>
      </w:r>
      <w:r>
        <w:t>The</w:t>
      </w:r>
      <w:r>
        <w:rPr>
          <w:spacing w:val="-9"/>
        </w:rPr>
        <w:t xml:space="preserve"> </w:t>
      </w:r>
      <w:r>
        <w:t>LTT</w:t>
      </w:r>
      <w:r>
        <w:rPr>
          <w:spacing w:val="-12"/>
        </w:rPr>
        <w:t xml:space="preserve"> </w:t>
      </w:r>
      <w:r>
        <w:t>samples</w:t>
      </w:r>
      <w:r>
        <w:rPr>
          <w:spacing w:val="-9"/>
        </w:rPr>
        <w:t xml:space="preserve"> </w:t>
      </w:r>
      <w:r>
        <w:t>were</w:t>
      </w:r>
      <w:r>
        <w:rPr>
          <w:spacing w:val="-9"/>
        </w:rPr>
        <w:t xml:space="preserve"> </w:t>
      </w:r>
      <w:r>
        <w:t>selected</w:t>
      </w:r>
      <w:r>
        <w:rPr>
          <w:spacing w:val="-9"/>
        </w:rPr>
        <w:t xml:space="preserve"> </w:t>
      </w:r>
      <w:r>
        <w:t>to</w:t>
      </w:r>
      <w:r>
        <w:rPr>
          <w:spacing w:val="-9"/>
        </w:rPr>
        <w:t xml:space="preserve"> </w:t>
      </w:r>
      <w:r>
        <w:t>have</w:t>
      </w:r>
      <w:r>
        <w:rPr>
          <w:spacing w:val="-9"/>
        </w:rPr>
        <w:t xml:space="preserve"> </w:t>
      </w:r>
      <w:r>
        <w:t>maximum</w:t>
      </w:r>
      <w:r>
        <w:rPr>
          <w:spacing w:val="-9"/>
        </w:rPr>
        <w:t xml:space="preserve"> </w:t>
      </w:r>
      <w:r>
        <w:t>overlap</w:t>
      </w:r>
      <w:r>
        <w:rPr>
          <w:spacing w:val="-9"/>
        </w:rPr>
        <w:t xml:space="preserve"> </w:t>
      </w:r>
      <w:r>
        <w:t>with</w:t>
      </w:r>
      <w:r>
        <w:rPr>
          <w:spacing w:val="-9"/>
        </w:rPr>
        <w:t xml:space="preserve"> </w:t>
      </w:r>
      <w:r>
        <w:t>the</w:t>
      </w:r>
      <w:r>
        <w:rPr>
          <w:spacing w:val="-9"/>
        </w:rPr>
        <w:t xml:space="preserve"> </w:t>
      </w:r>
      <w:r>
        <w:t>NAEP</w:t>
      </w:r>
      <w:r>
        <w:rPr>
          <w:spacing w:val="-14"/>
        </w:rPr>
        <w:t xml:space="preserve"> </w:t>
      </w:r>
      <w:r>
        <w:t>2020</w:t>
      </w:r>
      <w:r>
        <w:rPr>
          <w:spacing w:val="-8"/>
        </w:rPr>
        <w:t xml:space="preserve"> </w:t>
      </w:r>
      <w:r>
        <w:t>LTT</w:t>
      </w:r>
      <w:r>
        <w:rPr>
          <w:spacing w:val="-12"/>
        </w:rPr>
        <w:t xml:space="preserve"> </w:t>
      </w:r>
      <w:r>
        <w:t>age 9 and age 13 school samples, respectively.</w:t>
      </w:r>
      <w:r>
        <w:rPr>
          <w:spacing w:val="-3"/>
        </w:rPr>
        <w:t xml:space="preserve"> </w:t>
      </w:r>
      <w:r>
        <w:t>This overlap control was achieved for these samples by using an adaptation of the Keyfitz process.</w:t>
      </w:r>
    </w:p>
    <w:p w:rsidR="003F5784" w14:paraId="15EFF324" w14:textId="77777777">
      <w:pPr>
        <w:pStyle w:val="BodyText"/>
        <w:spacing w:before="204"/>
        <w:ind w:left="109"/>
      </w:pPr>
      <w:r>
        <w:t>The</w:t>
      </w:r>
      <w:r>
        <w:rPr>
          <w:spacing w:val="-6"/>
        </w:rPr>
        <w:t xml:space="preserve"> </w:t>
      </w:r>
      <w:r>
        <w:t>figure</w:t>
      </w:r>
      <w:r>
        <w:rPr>
          <w:spacing w:val="-6"/>
        </w:rPr>
        <w:t xml:space="preserve"> </w:t>
      </w:r>
      <w:r>
        <w:t>below</w:t>
      </w:r>
      <w:r>
        <w:rPr>
          <w:spacing w:val="-6"/>
        </w:rPr>
        <w:t xml:space="preserve"> </w:t>
      </w:r>
      <w:r>
        <w:t>illustrates</w:t>
      </w:r>
      <w:r>
        <w:rPr>
          <w:spacing w:val="-6"/>
        </w:rPr>
        <w:t xml:space="preserve"> </w:t>
      </w:r>
      <w:r>
        <w:t>the</w:t>
      </w:r>
      <w:r>
        <w:rPr>
          <w:spacing w:val="-6"/>
        </w:rPr>
        <w:t xml:space="preserve"> </w:t>
      </w:r>
      <w:r>
        <w:t>various</w:t>
      </w:r>
      <w:r>
        <w:rPr>
          <w:spacing w:val="-6"/>
        </w:rPr>
        <w:t xml:space="preserve"> </w:t>
      </w:r>
      <w:r>
        <w:t>sample</w:t>
      </w:r>
      <w:r>
        <w:rPr>
          <w:spacing w:val="-6"/>
        </w:rPr>
        <w:t xml:space="preserve"> </w:t>
      </w:r>
      <w:r>
        <w:t>types</w:t>
      </w:r>
      <w:r>
        <w:rPr>
          <w:spacing w:val="-5"/>
        </w:rPr>
        <w:t xml:space="preserve"> </w:t>
      </w:r>
      <w:r>
        <w:t>and</w:t>
      </w:r>
      <w:r>
        <w:rPr>
          <w:spacing w:val="-6"/>
        </w:rPr>
        <w:t xml:space="preserve"> </w:t>
      </w:r>
      <w:r>
        <w:rPr>
          <w:spacing w:val="-2"/>
        </w:rPr>
        <w:t>subjects.</w:t>
      </w:r>
    </w:p>
    <w:p w:rsidR="003F5784" w14:paraId="314F682C" w14:textId="77777777">
      <w:pPr>
        <w:pStyle w:val="Heading2"/>
        <w:spacing w:before="202"/>
        <w:ind w:left="109"/>
      </w:pPr>
      <w:r>
        <w:t>Components</w:t>
      </w:r>
      <w:r>
        <w:rPr>
          <w:spacing w:val="-10"/>
        </w:rPr>
        <w:t xml:space="preserve"> </w:t>
      </w:r>
      <w:r>
        <w:t>of</w:t>
      </w:r>
      <w:r>
        <w:rPr>
          <w:spacing w:val="-6"/>
        </w:rPr>
        <w:t xml:space="preserve"> </w:t>
      </w:r>
      <w:r>
        <w:t>the</w:t>
      </w:r>
      <w:r>
        <w:rPr>
          <w:spacing w:val="-6"/>
        </w:rPr>
        <w:t xml:space="preserve"> </w:t>
      </w:r>
      <w:r>
        <w:t>NAEP</w:t>
      </w:r>
      <w:r>
        <w:rPr>
          <w:spacing w:val="-13"/>
        </w:rPr>
        <w:t xml:space="preserve"> </w:t>
      </w:r>
      <w:r>
        <w:t>samples,</w:t>
      </w:r>
      <w:r>
        <w:rPr>
          <w:spacing w:val="-7"/>
        </w:rPr>
        <w:t xml:space="preserve"> </w:t>
      </w:r>
      <w:r>
        <w:t>by</w:t>
      </w:r>
      <w:r>
        <w:rPr>
          <w:spacing w:val="-6"/>
        </w:rPr>
        <w:t xml:space="preserve"> </w:t>
      </w:r>
      <w:r>
        <w:t>assessment</w:t>
      </w:r>
      <w:r>
        <w:rPr>
          <w:spacing w:val="-6"/>
        </w:rPr>
        <w:t xml:space="preserve"> </w:t>
      </w:r>
      <w:r>
        <w:t>subject,</w:t>
      </w:r>
      <w:r>
        <w:rPr>
          <w:spacing w:val="-7"/>
        </w:rPr>
        <w:t xml:space="preserve"> </w:t>
      </w:r>
      <w:r>
        <w:t>grade</w:t>
      </w:r>
      <w:r>
        <w:rPr>
          <w:spacing w:val="-6"/>
        </w:rPr>
        <w:t xml:space="preserve"> </w:t>
      </w:r>
      <w:r>
        <w:t>or</w:t>
      </w:r>
      <w:r>
        <w:rPr>
          <w:spacing w:val="-10"/>
        </w:rPr>
        <w:t xml:space="preserve"> </w:t>
      </w:r>
      <w:r>
        <w:t>age,</w:t>
      </w:r>
      <w:r>
        <w:rPr>
          <w:spacing w:val="-6"/>
        </w:rPr>
        <w:t xml:space="preserve"> </w:t>
      </w:r>
      <w:r>
        <w:t>and</w:t>
      </w:r>
      <w:r>
        <w:rPr>
          <w:spacing w:val="-6"/>
        </w:rPr>
        <w:t xml:space="preserve"> </w:t>
      </w:r>
      <w:r>
        <w:t>school</w:t>
      </w:r>
      <w:r>
        <w:rPr>
          <w:spacing w:val="-7"/>
        </w:rPr>
        <w:t xml:space="preserve"> </w:t>
      </w:r>
      <w:r>
        <w:t>type:</w:t>
      </w:r>
      <w:r>
        <w:rPr>
          <w:spacing w:val="-6"/>
        </w:rPr>
        <w:t xml:space="preserve"> </w:t>
      </w:r>
      <w:r>
        <w:rPr>
          <w:spacing w:val="-4"/>
        </w:rPr>
        <w:t>2022</w:t>
      </w:r>
    </w:p>
    <w:p w:rsidR="003F5784" w14:paraId="4E5C2D62" w14:textId="77777777">
      <w:pPr>
        <w:pStyle w:val="BodyText"/>
        <w:spacing w:before="7"/>
        <w:rPr>
          <w:b/>
          <w:sz w:val="16"/>
        </w:rPr>
      </w:pPr>
      <w:r>
        <w:rPr>
          <w:noProof/>
        </w:rPr>
        <w:drawing>
          <wp:anchor distT="0" distB="0" distL="0" distR="0" simplePos="0" relativeHeight="251717632" behindDoc="1" locked="0" layoutInCell="1" allowOverlap="1">
            <wp:simplePos x="0" y="0"/>
            <wp:positionH relativeFrom="page">
              <wp:posOffset>361950</wp:posOffset>
            </wp:positionH>
            <wp:positionV relativeFrom="paragraph">
              <wp:posOffset>136732</wp:posOffset>
            </wp:positionV>
            <wp:extent cx="5507718" cy="1865376"/>
            <wp:effectExtent l="0" t="0" r="0" b="0"/>
            <wp:wrapTopAndBottom/>
            <wp:docPr id="17" name="Image 17" descr="Components of the NAEP samples, by assessment subject, grade or age, and school type: 2022"/>
            <wp:cNvGraphicFramePr/>
            <a:graphic xmlns:a="http://schemas.openxmlformats.org/drawingml/2006/main">
              <a:graphicData uri="http://schemas.openxmlformats.org/drawingml/2006/picture">
                <pic:pic xmlns:pic="http://schemas.openxmlformats.org/drawingml/2006/picture">
                  <pic:nvPicPr>
                    <pic:cNvPr id="17" name="Image 17" descr="Components of the NAEP samples, by assessment subject, grade or age, and school type: 2022"/>
                    <pic:cNvPicPr/>
                  </pic:nvPicPr>
                  <pic:blipFill>
                    <a:blip xmlns:r="http://schemas.openxmlformats.org/officeDocument/2006/relationships" r:embed="rId12" cstate="print"/>
                    <a:stretch>
                      <a:fillRect/>
                    </a:stretch>
                  </pic:blipFill>
                  <pic:spPr>
                    <a:xfrm>
                      <a:off x="0" y="0"/>
                      <a:ext cx="5507718" cy="1865376"/>
                    </a:xfrm>
                    <a:prstGeom prst="rect">
                      <a:avLst/>
                    </a:prstGeom>
                  </pic:spPr>
                </pic:pic>
              </a:graphicData>
            </a:graphic>
          </wp:anchor>
        </w:drawing>
      </w:r>
    </w:p>
    <w:p w:rsidR="003F5784" w14:paraId="4145FACB" w14:textId="77777777">
      <w:pPr>
        <w:pStyle w:val="BodyText"/>
        <w:spacing w:before="208" w:line="232" w:lineRule="auto"/>
        <w:ind w:left="109"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w:t>
      </w:r>
      <w:r>
        <w:rPr>
          <w:spacing w:val="-8"/>
        </w:rPr>
        <w:t xml:space="preserve"> </w:t>
      </w:r>
      <w:r>
        <w:t>(NAEP), 2022</w:t>
      </w:r>
      <w:r>
        <w:rPr>
          <w:spacing w:val="-12"/>
        </w:rPr>
        <w:t xml:space="preserve"> </w:t>
      </w:r>
      <w:r>
        <w:t>Assessments.</w:t>
      </w:r>
    </w:p>
    <w:p w:rsidR="003F5784" w14:paraId="34B310B1" w14:textId="77777777">
      <w:pPr>
        <w:pStyle w:val="BodyText"/>
      </w:pPr>
    </w:p>
    <w:p w:rsidR="003F5784" w14:paraId="54943310" w14:textId="77777777">
      <w:pPr>
        <w:pStyle w:val="BodyText"/>
      </w:pPr>
    </w:p>
    <w:p w:rsidR="003F5784" w14:paraId="5477C1B5" w14:textId="77777777">
      <w:pPr>
        <w:pStyle w:val="BodyText"/>
      </w:pPr>
    </w:p>
    <w:p w:rsidR="003F5784" w14:paraId="114F0EE1" w14:textId="77777777">
      <w:pPr>
        <w:pStyle w:val="BodyText"/>
      </w:pPr>
    </w:p>
    <w:p w:rsidR="003F5784" w14:paraId="20FA8437" w14:textId="77777777">
      <w:pPr>
        <w:pStyle w:val="BodyText"/>
        <w:spacing w:before="106"/>
      </w:pPr>
    </w:p>
    <w:p w:rsidR="003F5784" w14:paraId="45AEE77B" w14:textId="77777777">
      <w:pPr>
        <w:ind w:left="7720"/>
        <w:rPr>
          <w:sz w:val="18"/>
        </w:rPr>
      </w:pPr>
      <w:hyperlink r:id="rId13">
        <w:r>
          <w:rPr>
            <w:spacing w:val="-2"/>
            <w:w w:val="105"/>
            <w:sz w:val="18"/>
          </w:rPr>
          <w:t>http://nces.ed.gov/nationsreportcard/tdw/sample_design/2022/naep_2022_sample_design.aspx</w:t>
        </w:r>
      </w:hyperlink>
    </w:p>
    <w:p w:rsidR="003F5784" w14:paraId="61F327AF" w14:textId="77777777">
      <w:pPr>
        <w:pStyle w:val="BodyText"/>
        <w:spacing w:before="10"/>
        <w:rPr>
          <w:sz w:val="14"/>
        </w:rPr>
      </w:pPr>
      <w:r>
        <w:rPr>
          <w:noProof/>
        </w:rPr>
        <mc:AlternateContent>
          <mc:Choice Requires="wps">
            <w:drawing>
              <wp:anchor distT="0" distB="0" distL="0" distR="0" simplePos="0" relativeHeight="251718656" behindDoc="1" locked="0" layoutInCell="1" allowOverlap="1">
                <wp:simplePos x="0" y="0"/>
                <wp:positionH relativeFrom="page">
                  <wp:posOffset>361937</wp:posOffset>
                </wp:positionH>
                <wp:positionV relativeFrom="paragraph">
                  <wp:posOffset>124434</wp:posOffset>
                </wp:positionV>
                <wp:extent cx="9339580" cy="8890"/>
                <wp:effectExtent l="0" t="0" r="0" b="0"/>
                <wp:wrapTopAndBottom/>
                <wp:docPr id="18" name="Graphic 1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8" o:spid="_x0000_s1025" style="width:735.4pt;height:0.7pt;margin-top:9.8pt;margin-left:28.5pt;mso-position-horizontal-relative:page;mso-wrap-distance-bottom:0;mso-wrap-distance-left:0;mso-wrap-distance-right:0;mso-wrap-distance-top:0;mso-wrap-style:square;position:absolute;visibility:visible;v-text-anchor:top;z-index:-251596800" coordsize="9339580,8890" path="m9338970,l9335110,l8280,,,,,8267l9335110,8280l9338970,8280l9338970,xe" fillcolor="gray" stroked="f">
                <v:path arrowok="t"/>
                <w10:wrap type="topAndBottom"/>
              </v:shape>
            </w:pict>
          </mc:Fallback>
        </mc:AlternateContent>
      </w:r>
    </w:p>
    <w:p w:rsidR="003F5784" w14:paraId="484641C9" w14:textId="77777777">
      <w:pPr>
        <w:pStyle w:val="BodyText"/>
        <w:rPr>
          <w:sz w:val="18"/>
        </w:rPr>
      </w:pPr>
    </w:p>
    <w:p w:rsidR="003F5784" w14:paraId="4A56945C" w14:textId="77777777">
      <w:pPr>
        <w:pStyle w:val="BodyText"/>
        <w:spacing w:before="206"/>
        <w:rPr>
          <w:sz w:val="18"/>
        </w:rPr>
      </w:pPr>
    </w:p>
    <w:p w:rsidR="003F5784" w14:paraId="76866D2D" w14:textId="62F486D9">
      <w:pPr>
        <w:pStyle w:val="Heading1"/>
        <w:spacing w:line="244" w:lineRule="auto"/>
      </w:pPr>
      <w:r>
        <w:t>NAEP</w:t>
      </w:r>
      <w:r>
        <w:rPr>
          <w:spacing w:val="-14"/>
        </w:rPr>
        <w:t xml:space="preserve"> </w:t>
      </w:r>
      <w:r>
        <w:t>Technical Documentation</w:t>
      </w:r>
      <w:r w:rsidR="00324096">
        <w:t xml:space="preserve"> </w:t>
      </w:r>
      <w:r>
        <w:t xml:space="preserve">Sample Design for the 2022 National Grade-Based </w:t>
      </w:r>
      <w:r>
        <w:rPr>
          <w:spacing w:val="-2"/>
        </w:rPr>
        <w:t>Assessment</w:t>
      </w:r>
    </w:p>
    <w:p w:rsidR="003F5784" w14:paraId="1E175CCC" w14:textId="77777777">
      <w:pPr>
        <w:pStyle w:val="BodyText"/>
        <w:spacing w:before="6"/>
        <w:rPr>
          <w:b/>
          <w:sz w:val="15"/>
        </w:rPr>
      </w:pPr>
    </w:p>
    <w:p w:rsidR="003F5784" w14:paraId="014FC4EC" w14:textId="77777777">
      <w:pPr>
        <w:rPr>
          <w:sz w:val="15"/>
        </w:rPr>
        <w:sectPr>
          <w:pgSz w:w="15840" w:h="12240" w:orient="landscape"/>
          <w:pgMar w:top="480" w:right="440" w:bottom="460" w:left="460" w:header="284" w:footer="275" w:gutter="0"/>
          <w:cols w:space="720"/>
        </w:sectPr>
      </w:pPr>
    </w:p>
    <w:p w:rsidR="003F5784" w14:paraId="6C4237CC" w14:textId="77777777">
      <w:pPr>
        <w:pStyle w:val="BodyText"/>
        <w:spacing w:before="95" w:line="232" w:lineRule="auto"/>
        <w:ind w:left="109"/>
      </w:pPr>
      <w:r>
        <w:t>The</w:t>
      </w:r>
      <w:r>
        <w:rPr>
          <w:spacing w:val="-7"/>
        </w:rPr>
        <w:t xml:space="preserve"> </w:t>
      </w:r>
      <w:r>
        <w:t>2022</w:t>
      </w:r>
      <w:r>
        <w:rPr>
          <w:spacing w:val="-7"/>
        </w:rPr>
        <w:t xml:space="preserve"> </w:t>
      </w:r>
      <w:r>
        <w:t>national</w:t>
      </w:r>
      <w:r>
        <w:rPr>
          <w:spacing w:val="-7"/>
        </w:rPr>
        <w:t xml:space="preserve"> </w:t>
      </w:r>
      <w:r>
        <w:t>assessment</w:t>
      </w:r>
      <w:r>
        <w:rPr>
          <w:spacing w:val="-7"/>
        </w:rPr>
        <w:t xml:space="preserve"> </w:t>
      </w:r>
      <w:r>
        <w:t>included</w:t>
      </w:r>
      <w:r>
        <w:rPr>
          <w:spacing w:val="-7"/>
        </w:rPr>
        <w:t xml:space="preserve"> </w:t>
      </w:r>
      <w:r>
        <w:t>operational</w:t>
      </w:r>
      <w:r>
        <w:rPr>
          <w:spacing w:val="-7"/>
        </w:rPr>
        <w:t xml:space="preserve"> </w:t>
      </w:r>
      <w:r>
        <w:t>assessments</w:t>
      </w:r>
      <w:r>
        <w:rPr>
          <w:spacing w:val="-7"/>
        </w:rPr>
        <w:t xml:space="preserve"> </w:t>
      </w:r>
      <w:r>
        <w:t>in</w:t>
      </w:r>
      <w:r>
        <w:rPr>
          <w:spacing w:val="-7"/>
        </w:rPr>
        <w:t xml:space="preserve"> </w:t>
      </w:r>
      <w:r>
        <w:t>mathematics</w:t>
      </w:r>
      <w:r>
        <w:rPr>
          <w:spacing w:val="-7"/>
        </w:rPr>
        <w:t xml:space="preserve"> </w:t>
      </w:r>
      <w:r>
        <w:t>and</w:t>
      </w:r>
      <w:r>
        <w:rPr>
          <w:spacing w:val="-7"/>
        </w:rPr>
        <w:t xml:space="preserve"> </w:t>
      </w:r>
      <w:r>
        <w:t>reading</w:t>
      </w:r>
      <w:r>
        <w:rPr>
          <w:spacing w:val="-7"/>
        </w:rPr>
        <w:t xml:space="preserve"> </w:t>
      </w:r>
      <w:r>
        <w:t>in</w:t>
      </w:r>
      <w:r>
        <w:rPr>
          <w:spacing w:val="-7"/>
        </w:rPr>
        <w:t xml:space="preserve"> </w:t>
      </w:r>
      <w:r>
        <w:t>public</w:t>
      </w:r>
      <w:r>
        <w:rPr>
          <w:spacing w:val="-7"/>
        </w:rPr>
        <w:t xml:space="preserve"> </w:t>
      </w:r>
      <w:r>
        <w:t>and</w:t>
      </w:r>
      <w:r>
        <w:rPr>
          <w:spacing w:val="-7"/>
        </w:rPr>
        <w:t xml:space="preserve"> </w:t>
      </w:r>
      <w:r>
        <w:t>private</w:t>
      </w:r>
      <w:r>
        <w:rPr>
          <w:spacing w:val="-7"/>
        </w:rPr>
        <w:t xml:space="preserve"> </w:t>
      </w:r>
      <w:r>
        <w:t>schools</w:t>
      </w:r>
      <w:r>
        <w:rPr>
          <w:spacing w:val="-7"/>
        </w:rPr>
        <w:t xml:space="preserve"> </w:t>
      </w:r>
      <w:r>
        <w:t>at grades 4 and 8, and operational assessments in civics and U.S. history in public and private schools at grade 8.</w:t>
      </w:r>
    </w:p>
    <w:p w:rsidR="003F5784" w14:paraId="43637171" w14:textId="77777777">
      <w:pPr>
        <w:pStyle w:val="BodyText"/>
        <w:spacing w:before="210" w:line="232" w:lineRule="auto"/>
        <w:ind w:left="109"/>
      </w:pPr>
      <w:r>
        <w:t>The</w:t>
      </w:r>
      <w:r>
        <w:rPr>
          <w:spacing w:val="-7"/>
        </w:rPr>
        <w:t xml:space="preserve"> </w:t>
      </w:r>
      <w:r>
        <w:t>sample</w:t>
      </w:r>
      <w:r>
        <w:rPr>
          <w:spacing w:val="-7"/>
        </w:rPr>
        <w:t xml:space="preserve"> </w:t>
      </w:r>
      <w:r>
        <w:t>designs</w:t>
      </w:r>
      <w:r>
        <w:rPr>
          <w:spacing w:val="-7"/>
        </w:rPr>
        <w:t xml:space="preserve"> </w:t>
      </w:r>
      <w:r>
        <w:t>aimed</w:t>
      </w:r>
      <w:r>
        <w:rPr>
          <w:spacing w:val="-7"/>
        </w:rPr>
        <w:t xml:space="preserve"> </w:t>
      </w:r>
      <w:r>
        <w:t>to</w:t>
      </w:r>
      <w:r>
        <w:rPr>
          <w:spacing w:val="-7"/>
        </w:rPr>
        <w:t xml:space="preserve"> </w:t>
      </w:r>
      <w:r>
        <w:t>achieve</w:t>
      </w:r>
      <w:r>
        <w:rPr>
          <w:spacing w:val="-7"/>
        </w:rPr>
        <w:t xml:space="preserve"> </w:t>
      </w:r>
      <w:r>
        <w:t>nationally</w:t>
      </w:r>
      <w:r>
        <w:rPr>
          <w:spacing w:val="-7"/>
        </w:rPr>
        <w:t xml:space="preserve"> </w:t>
      </w:r>
      <w:r>
        <w:t>representative</w:t>
      </w:r>
      <w:r>
        <w:rPr>
          <w:spacing w:val="-7"/>
        </w:rPr>
        <w:t xml:space="preserve"> </w:t>
      </w:r>
      <w:r>
        <w:t>samples</w:t>
      </w:r>
      <w:r>
        <w:rPr>
          <w:spacing w:val="-7"/>
        </w:rPr>
        <w:t xml:space="preserve"> </w:t>
      </w:r>
      <w:r>
        <w:t>of</w:t>
      </w:r>
      <w:r>
        <w:rPr>
          <w:spacing w:val="-7"/>
        </w:rPr>
        <w:t xml:space="preserve"> </w:t>
      </w:r>
      <w:r>
        <w:t>students</w:t>
      </w:r>
      <w:r>
        <w:rPr>
          <w:spacing w:val="-7"/>
        </w:rPr>
        <w:t xml:space="preserve"> </w:t>
      </w:r>
      <w:r>
        <w:t>in</w:t>
      </w:r>
      <w:r>
        <w:rPr>
          <w:spacing w:val="-7"/>
        </w:rPr>
        <w:t xml:space="preserve"> </w:t>
      </w:r>
      <w:r>
        <w:t>the</w:t>
      </w:r>
      <w:r>
        <w:rPr>
          <w:spacing w:val="-7"/>
        </w:rPr>
        <w:t xml:space="preserve"> </w:t>
      </w:r>
      <w:r>
        <w:t>defined</w:t>
      </w:r>
      <w:r>
        <w:rPr>
          <w:spacing w:val="-7"/>
        </w:rPr>
        <w:t xml:space="preserve"> </w:t>
      </w:r>
      <w:r>
        <w:t>populations</w:t>
      </w:r>
      <w:r>
        <w:rPr>
          <w:spacing w:val="-7"/>
        </w:rPr>
        <w:t xml:space="preserve"> </w:t>
      </w:r>
      <w:r>
        <w:t>who</w:t>
      </w:r>
      <w:r>
        <w:rPr>
          <w:spacing w:val="-7"/>
        </w:rPr>
        <w:t xml:space="preserve"> </w:t>
      </w:r>
      <w:r>
        <w:t>were</w:t>
      </w:r>
      <w:r>
        <w:rPr>
          <w:spacing w:val="-7"/>
        </w:rPr>
        <w:t xml:space="preserve"> </w:t>
      </w:r>
      <w:r>
        <w:t>enrolled at the time of assessment.</w:t>
      </w:r>
    </w:p>
    <w:p w:rsidR="003F5784" w14:paraId="5903C375" w14:textId="77777777">
      <w:pPr>
        <w:pStyle w:val="BodyText"/>
        <w:spacing w:before="203"/>
        <w:ind w:left="109"/>
      </w:pPr>
      <w:r>
        <w:t>The</w:t>
      </w:r>
      <w:r>
        <w:rPr>
          <w:spacing w:val="-6"/>
        </w:rPr>
        <w:t xml:space="preserve"> </w:t>
      </w:r>
      <w:r>
        <w:t>samples</w:t>
      </w:r>
      <w:r>
        <w:rPr>
          <w:spacing w:val="-5"/>
        </w:rPr>
        <w:t xml:space="preserve"> </w:t>
      </w:r>
      <w:r>
        <w:t>were</w:t>
      </w:r>
      <w:r>
        <w:rPr>
          <w:spacing w:val="-6"/>
        </w:rPr>
        <w:t xml:space="preserve"> </w:t>
      </w:r>
      <w:r>
        <w:t>based</w:t>
      </w:r>
      <w:r>
        <w:rPr>
          <w:spacing w:val="-6"/>
        </w:rPr>
        <w:t xml:space="preserve"> </w:t>
      </w:r>
      <w:r>
        <w:t>on</w:t>
      </w:r>
      <w:r>
        <w:rPr>
          <w:spacing w:val="-5"/>
        </w:rPr>
        <w:t xml:space="preserve"> </w:t>
      </w:r>
      <w:r>
        <w:t>a</w:t>
      </w:r>
      <w:r>
        <w:rPr>
          <w:spacing w:val="-6"/>
        </w:rPr>
        <w:t xml:space="preserve"> </w:t>
      </w:r>
      <w:r>
        <w:t>two-stage</w:t>
      </w:r>
      <w:r>
        <w:rPr>
          <w:spacing w:val="-5"/>
        </w:rPr>
        <w:t xml:space="preserve"> </w:t>
      </w:r>
      <w:r>
        <w:t>sample</w:t>
      </w:r>
      <w:r>
        <w:rPr>
          <w:spacing w:val="-6"/>
        </w:rPr>
        <w:t xml:space="preserve"> </w:t>
      </w:r>
      <w:r>
        <w:rPr>
          <w:spacing w:val="-2"/>
        </w:rPr>
        <w:t>design:</w:t>
      </w:r>
    </w:p>
    <w:p w:rsidR="003F5784" w14:paraId="006E3D51" w14:textId="77777777">
      <w:pPr>
        <w:spacing w:before="62"/>
        <w:rPr>
          <w:sz w:val="21"/>
        </w:rPr>
      </w:pPr>
      <w:r>
        <w:br w:type="column"/>
      </w:r>
    </w:p>
    <w:p w:rsidR="003F5784" w14:paraId="20330FCA" w14:textId="77777777">
      <w:pPr>
        <w:pStyle w:val="BodyText"/>
        <w:spacing w:line="232" w:lineRule="auto"/>
        <w:ind w:left="109" w:right="120"/>
      </w:pPr>
      <w:r>
        <w:t>4th and 8th Grade Public School National</w:t>
      </w:r>
      <w:r>
        <w:rPr>
          <w:spacing w:val="-14"/>
        </w:rPr>
        <w:t xml:space="preserve"> </w:t>
      </w:r>
      <w:r>
        <w:t>Mathematics</w:t>
      </w:r>
      <w:r>
        <w:rPr>
          <w:spacing w:val="-13"/>
        </w:rPr>
        <w:t xml:space="preserve"> </w:t>
      </w:r>
      <w:r>
        <w:t>and</w:t>
      </w:r>
      <w:r>
        <w:rPr>
          <w:spacing w:val="-13"/>
        </w:rPr>
        <w:t xml:space="preserve"> </w:t>
      </w:r>
      <w:r>
        <w:t xml:space="preserve">Reading </w:t>
      </w:r>
      <w:r>
        <w:rPr>
          <w:spacing w:val="-2"/>
        </w:rPr>
        <w:t>Assessment</w:t>
      </w:r>
    </w:p>
    <w:p w:rsidR="003F5784" w14:paraId="61F1772C" w14:textId="77777777">
      <w:pPr>
        <w:pStyle w:val="BodyText"/>
        <w:spacing w:before="210" w:line="232" w:lineRule="auto"/>
        <w:ind w:left="109" w:right="120"/>
      </w:pPr>
      <w:r>
        <w:t>4th and 8th Grade Private School National</w:t>
      </w:r>
      <w:r>
        <w:rPr>
          <w:spacing w:val="-14"/>
        </w:rPr>
        <w:t xml:space="preserve"> </w:t>
      </w:r>
      <w:r>
        <w:t>Mathematics</w:t>
      </w:r>
      <w:r>
        <w:rPr>
          <w:spacing w:val="-13"/>
        </w:rPr>
        <w:t xml:space="preserve"> </w:t>
      </w:r>
      <w:r>
        <w:t>and</w:t>
      </w:r>
      <w:r>
        <w:rPr>
          <w:spacing w:val="-13"/>
        </w:rPr>
        <w:t xml:space="preserve"> </w:t>
      </w:r>
      <w:r>
        <w:t xml:space="preserve">Reading </w:t>
      </w:r>
      <w:r>
        <w:rPr>
          <w:spacing w:val="-2"/>
        </w:rPr>
        <w:t>Assessment</w:t>
      </w:r>
    </w:p>
    <w:p w:rsidR="003F5784" w14:paraId="0775C092" w14:textId="77777777">
      <w:pPr>
        <w:spacing w:line="232" w:lineRule="auto"/>
        <w:sectPr>
          <w:type w:val="continuous"/>
          <w:pgSz w:w="15840" w:h="12240" w:orient="landscape"/>
          <w:pgMar w:top="480" w:right="440" w:bottom="460" w:left="460" w:header="284" w:footer="275" w:gutter="0"/>
          <w:cols w:num="2" w:space="720" w:equalWidth="0">
            <w:col w:w="10881" w:space="420"/>
            <w:col w:w="3639"/>
          </w:cols>
        </w:sectPr>
      </w:pPr>
    </w:p>
    <w:p w:rsidR="003F5784" w14:paraId="4B695A49" w14:textId="77777777">
      <w:pPr>
        <w:pStyle w:val="BodyText"/>
        <w:spacing w:before="78" w:line="232" w:lineRule="auto"/>
        <w:ind w:left="422" w:right="6887"/>
      </w:pPr>
      <w:r>
        <w:rPr>
          <w:noProof/>
          <w:position w:val="3"/>
        </w:rPr>
        <w:drawing>
          <wp:inline distT="0" distB="0" distL="0" distR="0">
            <wp:extent cx="41379" cy="41378"/>
            <wp:effectExtent l="0" t="0" r="0" b="0"/>
            <wp:docPr id="19" name="Image 19"/>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xmlns:r="http://schemas.openxmlformats.org/officeDocument/2006/relationships" r:embed="rId11" cstate="print"/>
                    <a:stretch>
                      <a:fillRect/>
                    </a:stretch>
                  </pic:blipFill>
                  <pic:spPr>
                    <a:xfrm>
                      <a:off x="0" y="0"/>
                      <a:ext cx="41379" cy="41378"/>
                    </a:xfrm>
                    <a:prstGeom prst="rect">
                      <a:avLst/>
                    </a:prstGeom>
                  </pic:spPr>
                </pic:pic>
              </a:graphicData>
            </a:graphic>
          </wp:inline>
        </w:drawing>
      </w:r>
      <w:r>
        <w:rPr>
          <w:spacing w:val="74"/>
          <w:sz w:val="20"/>
        </w:rPr>
        <w:t xml:space="preserve"> </w:t>
      </w:r>
      <w:r>
        <w:t>selection</w:t>
      </w:r>
      <w:r>
        <w:rPr>
          <w:spacing w:val="-8"/>
        </w:rPr>
        <w:t xml:space="preserve"> </w:t>
      </w:r>
      <w:r>
        <w:t>of</w:t>
      </w:r>
      <w:r>
        <w:rPr>
          <w:spacing w:val="-8"/>
        </w:rPr>
        <w:t xml:space="preserve"> </w:t>
      </w:r>
      <w:r>
        <w:t>schools</w:t>
      </w:r>
      <w:r>
        <w:rPr>
          <w:spacing w:val="-8"/>
        </w:rPr>
        <w:t xml:space="preserve"> </w:t>
      </w:r>
      <w:r>
        <w:t>within</w:t>
      </w:r>
      <w:r>
        <w:rPr>
          <w:spacing w:val="-8"/>
        </w:rPr>
        <w:t xml:space="preserve"> </w:t>
      </w:r>
      <w:r>
        <w:t>strata;</w:t>
      </w:r>
      <w:r>
        <w:rPr>
          <w:spacing w:val="-8"/>
        </w:rPr>
        <w:t xml:space="preserve"> </w:t>
      </w:r>
      <w:r>
        <w:t xml:space="preserve">and </w:t>
      </w:r>
      <w:r>
        <w:rPr>
          <w:noProof/>
          <w:position w:val="3"/>
        </w:rPr>
        <w:drawing>
          <wp:inline distT="0" distB="0" distL="0" distR="0">
            <wp:extent cx="41379" cy="41378"/>
            <wp:effectExtent l="0" t="0" r="0" b="0"/>
            <wp:docPr id="20" name="Image 20"/>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xmlns:r="http://schemas.openxmlformats.org/officeDocument/2006/relationships" r:embed="rId11" cstate="print"/>
                    <a:stretch>
                      <a:fillRect/>
                    </a:stretch>
                  </pic:blipFill>
                  <pic:spPr>
                    <a:xfrm>
                      <a:off x="0" y="0"/>
                      <a:ext cx="41379" cy="41378"/>
                    </a:xfrm>
                    <a:prstGeom prst="rect">
                      <a:avLst/>
                    </a:prstGeom>
                  </pic:spPr>
                </pic:pic>
              </a:graphicData>
            </a:graphic>
          </wp:inline>
        </w:drawing>
      </w:r>
      <w:r>
        <w:rPr>
          <w:spacing w:val="80"/>
        </w:rPr>
        <w:t xml:space="preserve"> </w:t>
      </w:r>
      <w:r>
        <w:t>selection of students within schools.</w:t>
      </w:r>
    </w:p>
    <w:p w:rsidR="003F5784" w14:paraId="23B973AB" w14:textId="77777777">
      <w:pPr>
        <w:pStyle w:val="BodyText"/>
        <w:spacing w:before="209" w:line="232" w:lineRule="auto"/>
        <w:ind w:left="109"/>
      </w:pPr>
      <w:r>
        <w:t>The</w:t>
      </w:r>
      <w:r>
        <w:rPr>
          <w:spacing w:val="-7"/>
        </w:rPr>
        <w:t xml:space="preserve"> </w:t>
      </w:r>
      <w:r>
        <w:t>samples</w:t>
      </w:r>
      <w:r>
        <w:rPr>
          <w:spacing w:val="-7"/>
        </w:rPr>
        <w:t xml:space="preserve"> </w:t>
      </w:r>
      <w:r>
        <w:t>of</w:t>
      </w:r>
      <w:r>
        <w:rPr>
          <w:spacing w:val="-7"/>
        </w:rPr>
        <w:t xml:space="preserve"> </w:t>
      </w:r>
      <w:r>
        <w:t>schools</w:t>
      </w:r>
      <w:r>
        <w:rPr>
          <w:spacing w:val="-7"/>
        </w:rPr>
        <w:t xml:space="preserve"> </w:t>
      </w:r>
      <w:r>
        <w:t>were</w:t>
      </w:r>
      <w:r>
        <w:rPr>
          <w:spacing w:val="-7"/>
        </w:rPr>
        <w:t xml:space="preserve"> </w:t>
      </w:r>
      <w:r>
        <w:t>selected</w:t>
      </w:r>
      <w:r>
        <w:rPr>
          <w:spacing w:val="-7"/>
        </w:rPr>
        <w:t xml:space="preserve"> </w:t>
      </w:r>
      <w:r>
        <w:t>with</w:t>
      </w:r>
      <w:r>
        <w:rPr>
          <w:spacing w:val="-7"/>
        </w:rPr>
        <w:t xml:space="preserve"> </w:t>
      </w:r>
      <w:r>
        <w:t>probability</w:t>
      </w:r>
      <w:r>
        <w:rPr>
          <w:spacing w:val="-7"/>
        </w:rPr>
        <w:t xml:space="preserve"> </w:t>
      </w:r>
      <w:r>
        <w:t>proportional</w:t>
      </w:r>
      <w:r>
        <w:rPr>
          <w:spacing w:val="-7"/>
        </w:rPr>
        <w:t xml:space="preserve"> </w:t>
      </w:r>
      <w:r>
        <w:t>to</w:t>
      </w:r>
      <w:r>
        <w:rPr>
          <w:spacing w:val="-7"/>
        </w:rPr>
        <w:t xml:space="preserve"> </w:t>
      </w:r>
      <w:r>
        <w:t>a</w:t>
      </w:r>
      <w:r>
        <w:rPr>
          <w:spacing w:val="-7"/>
        </w:rPr>
        <w:t xml:space="preserve"> </w:t>
      </w:r>
      <w:r>
        <w:t>measure</w:t>
      </w:r>
      <w:r>
        <w:rPr>
          <w:spacing w:val="-7"/>
        </w:rPr>
        <w:t xml:space="preserve"> </w:t>
      </w:r>
      <w:r>
        <w:t>of</w:t>
      </w:r>
      <w:r>
        <w:rPr>
          <w:spacing w:val="-7"/>
        </w:rPr>
        <w:t xml:space="preserve"> </w:t>
      </w:r>
      <w:r>
        <w:t>size</w:t>
      </w:r>
      <w:r>
        <w:rPr>
          <w:spacing w:val="-7"/>
        </w:rPr>
        <w:t xml:space="preserve"> </w:t>
      </w:r>
      <w:r>
        <w:t>based</w:t>
      </w:r>
      <w:r>
        <w:rPr>
          <w:spacing w:val="-7"/>
        </w:rPr>
        <w:t xml:space="preserve"> </w:t>
      </w:r>
      <w:r>
        <w:t>on</w:t>
      </w:r>
      <w:r>
        <w:rPr>
          <w:spacing w:val="-7"/>
        </w:rPr>
        <w:t xml:space="preserve"> </w:t>
      </w:r>
      <w:r>
        <w:t>the</w:t>
      </w:r>
      <w:r>
        <w:rPr>
          <w:spacing w:val="-7"/>
        </w:rPr>
        <w:t xml:space="preserve"> </w:t>
      </w:r>
      <w:r>
        <w:t>estimated</w:t>
      </w:r>
      <w:r>
        <w:rPr>
          <w:spacing w:val="-7"/>
        </w:rPr>
        <w:t xml:space="preserve"> </w:t>
      </w:r>
      <w:r>
        <w:t>grade-specific enrollment in the schools.</w:t>
      </w:r>
    </w:p>
    <w:p w:rsidR="003F5784" w14:paraId="1C973619" w14:textId="77777777">
      <w:pPr>
        <w:pStyle w:val="BodyText"/>
        <w:spacing w:before="210" w:line="232" w:lineRule="auto"/>
        <w:ind w:left="109"/>
      </w:pPr>
      <w:r>
        <w:t>For</w:t>
      </w:r>
      <w:r>
        <w:rPr>
          <w:spacing w:val="-8"/>
        </w:rPr>
        <w:t xml:space="preserve"> </w:t>
      </w:r>
      <w:r>
        <w:t>fourth-</w:t>
      </w:r>
      <w:r>
        <w:rPr>
          <w:spacing w:val="-7"/>
        </w:rPr>
        <w:t xml:space="preserve"> </w:t>
      </w:r>
      <w:r>
        <w:t>and</w:t>
      </w:r>
      <w:r>
        <w:rPr>
          <w:spacing w:val="-7"/>
        </w:rPr>
        <w:t xml:space="preserve"> </w:t>
      </w:r>
      <w:r>
        <w:t>eighth-grade</w:t>
      </w:r>
      <w:r>
        <w:rPr>
          <w:spacing w:val="-7"/>
        </w:rPr>
        <w:t xml:space="preserve"> </w:t>
      </w:r>
      <w:r>
        <w:t>public</w:t>
      </w:r>
      <w:r>
        <w:rPr>
          <w:spacing w:val="-7"/>
        </w:rPr>
        <w:t xml:space="preserve"> </w:t>
      </w:r>
      <w:r>
        <w:t>schools,</w:t>
      </w:r>
      <w:r>
        <w:rPr>
          <w:spacing w:val="-7"/>
        </w:rPr>
        <w:t xml:space="preserve"> </w:t>
      </w:r>
      <w:r>
        <w:t>the</w:t>
      </w:r>
      <w:r>
        <w:rPr>
          <w:spacing w:val="-7"/>
        </w:rPr>
        <w:t xml:space="preserve"> </w:t>
      </w:r>
      <w:r>
        <w:t>aggregate</w:t>
      </w:r>
      <w:r>
        <w:rPr>
          <w:spacing w:val="-7"/>
        </w:rPr>
        <w:t xml:space="preserve"> </w:t>
      </w:r>
      <w:r>
        <w:t>of</w:t>
      </w:r>
      <w:r>
        <w:rPr>
          <w:spacing w:val="-7"/>
        </w:rPr>
        <w:t xml:space="preserve"> </w:t>
      </w:r>
      <w:r>
        <w:t>the</w:t>
      </w:r>
      <w:r>
        <w:rPr>
          <w:spacing w:val="-7"/>
        </w:rPr>
        <w:t xml:space="preserve"> </w:t>
      </w:r>
      <w:r>
        <w:t>NAEP</w:t>
      </w:r>
      <w:r>
        <w:rPr>
          <w:spacing w:val="-14"/>
        </w:rPr>
        <w:t xml:space="preserve"> </w:t>
      </w:r>
      <w:r>
        <w:t>state</w:t>
      </w:r>
      <w:r>
        <w:rPr>
          <w:spacing w:val="-6"/>
        </w:rPr>
        <w:t xml:space="preserve"> </w:t>
      </w:r>
      <w:r>
        <w:t>student</w:t>
      </w:r>
      <w:r>
        <w:rPr>
          <w:spacing w:val="-7"/>
        </w:rPr>
        <w:t xml:space="preserve"> </w:t>
      </w:r>
      <w:r>
        <w:t>samples</w:t>
      </w:r>
      <w:r>
        <w:rPr>
          <w:spacing w:val="-7"/>
        </w:rPr>
        <w:t xml:space="preserve"> </w:t>
      </w:r>
      <w:r>
        <w:t>and</w:t>
      </w:r>
      <w:r>
        <w:rPr>
          <w:spacing w:val="-7"/>
        </w:rPr>
        <w:t xml:space="preserve"> </w:t>
      </w:r>
      <w:r>
        <w:t>assessments</w:t>
      </w:r>
      <w:r>
        <w:rPr>
          <w:spacing w:val="-7"/>
        </w:rPr>
        <w:t xml:space="preserve"> </w:t>
      </w:r>
      <w:r>
        <w:t>in</w:t>
      </w:r>
      <w:r>
        <w:rPr>
          <w:spacing w:val="-7"/>
        </w:rPr>
        <w:t xml:space="preserve"> </w:t>
      </w:r>
      <w:r>
        <w:t>mathematics and reading constitute the corresponding NAEP national student samples and assessments.</w:t>
      </w:r>
    </w:p>
    <w:p w:rsidR="003F5784" w14:paraId="700321CA" w14:textId="77777777">
      <w:pPr>
        <w:pStyle w:val="BodyText"/>
        <w:spacing w:before="4" w:line="440" w:lineRule="atLeast"/>
        <w:ind w:left="422" w:right="469" w:hanging="313"/>
      </w:pPr>
      <w:r>
        <w:t>The</w:t>
      </w:r>
      <w:r>
        <w:rPr>
          <w:spacing w:val="-8"/>
        </w:rPr>
        <w:t xml:space="preserve"> </w:t>
      </w:r>
      <w:r>
        <w:t>samples</w:t>
      </w:r>
      <w:r>
        <w:rPr>
          <w:spacing w:val="-8"/>
        </w:rPr>
        <w:t xml:space="preserve"> </w:t>
      </w:r>
      <w:r>
        <w:t>for</w:t>
      </w:r>
      <w:r>
        <w:rPr>
          <w:spacing w:val="-8"/>
        </w:rPr>
        <w:t xml:space="preserve"> </w:t>
      </w:r>
      <w:r>
        <w:t>the</w:t>
      </w:r>
      <w:r>
        <w:rPr>
          <w:spacing w:val="-8"/>
        </w:rPr>
        <w:t xml:space="preserve"> </w:t>
      </w:r>
      <w:r>
        <w:t>remaining</w:t>
      </w:r>
      <w:r>
        <w:rPr>
          <w:spacing w:val="-8"/>
        </w:rPr>
        <w:t xml:space="preserve"> </w:t>
      </w:r>
      <w:r>
        <w:t>national</w:t>
      </w:r>
      <w:r>
        <w:rPr>
          <w:spacing w:val="-8"/>
        </w:rPr>
        <w:t xml:space="preserve"> </w:t>
      </w:r>
      <w:r>
        <w:t>assessments</w:t>
      </w:r>
      <w:r>
        <w:rPr>
          <w:spacing w:val="-8"/>
        </w:rPr>
        <w:t xml:space="preserve"> </w:t>
      </w:r>
      <w:r>
        <w:t>were</w:t>
      </w:r>
      <w:r>
        <w:rPr>
          <w:spacing w:val="-8"/>
        </w:rPr>
        <w:t xml:space="preserve"> </w:t>
      </w:r>
      <w:r>
        <w:t>organized</w:t>
      </w:r>
      <w:r>
        <w:rPr>
          <w:spacing w:val="-8"/>
        </w:rPr>
        <w:t xml:space="preserve"> </w:t>
      </w:r>
      <w:r>
        <w:t>into</w:t>
      </w:r>
      <w:r>
        <w:rPr>
          <w:spacing w:val="-8"/>
        </w:rPr>
        <w:t xml:space="preserve"> </w:t>
      </w:r>
      <w:r>
        <w:t>three</w:t>
      </w:r>
      <w:r>
        <w:rPr>
          <w:spacing w:val="-8"/>
        </w:rPr>
        <w:t xml:space="preserve"> </w:t>
      </w:r>
      <w:r>
        <w:t>distinct</w:t>
      </w:r>
      <w:r>
        <w:rPr>
          <w:spacing w:val="-8"/>
        </w:rPr>
        <w:t xml:space="preserve"> </w:t>
      </w:r>
      <w:r>
        <w:t>groupings</w:t>
      </w:r>
      <w:r>
        <w:rPr>
          <w:spacing w:val="-8"/>
        </w:rPr>
        <w:t xml:space="preserve"> </w:t>
      </w:r>
      <w:r>
        <w:t>and</w:t>
      </w:r>
      <w:r>
        <w:rPr>
          <w:spacing w:val="-8"/>
        </w:rPr>
        <w:t xml:space="preserve"> </w:t>
      </w:r>
      <w:r>
        <w:t>selected</w:t>
      </w:r>
      <w:r>
        <w:rPr>
          <w:spacing w:val="-8"/>
        </w:rPr>
        <w:t xml:space="preserve"> </w:t>
      </w:r>
      <w:r>
        <w:t xml:space="preserve">separately: </w:t>
      </w:r>
      <w:r>
        <w:rPr>
          <w:noProof/>
          <w:position w:val="3"/>
        </w:rPr>
        <w:drawing>
          <wp:inline distT="0" distB="0" distL="0" distR="0">
            <wp:extent cx="41379" cy="41378"/>
            <wp:effectExtent l="0" t="0" r="0" b="0"/>
            <wp:docPr id="21" name="Image 21"/>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xmlns:r="http://schemas.openxmlformats.org/officeDocument/2006/relationships" r:embed="rId11" cstate="print"/>
                    <a:stretch>
                      <a:fillRect/>
                    </a:stretch>
                  </pic:blipFill>
                  <pic:spPr>
                    <a:xfrm>
                      <a:off x="0" y="0"/>
                      <a:ext cx="41379" cy="41378"/>
                    </a:xfrm>
                    <a:prstGeom prst="rect">
                      <a:avLst/>
                    </a:prstGeom>
                  </pic:spPr>
                </pic:pic>
              </a:graphicData>
            </a:graphic>
          </wp:inline>
        </w:drawing>
      </w:r>
      <w:r>
        <w:rPr>
          <w:spacing w:val="80"/>
        </w:rPr>
        <w:t xml:space="preserve"> </w:t>
      </w:r>
      <w:r>
        <w:t>mathematics and reading assessments in private schools at grades 4 and 8;</w:t>
      </w:r>
    </w:p>
    <w:p w:rsidR="003F5784" w14:paraId="433431E0" w14:textId="77777777">
      <w:pPr>
        <w:pStyle w:val="BodyText"/>
        <w:spacing w:before="3" w:line="232" w:lineRule="auto"/>
        <w:ind w:left="422" w:right="4330"/>
      </w:pPr>
      <w:r>
        <w:rPr>
          <w:noProof/>
          <w:position w:val="3"/>
        </w:rPr>
        <w:drawing>
          <wp:inline distT="0" distB="0" distL="0" distR="0">
            <wp:extent cx="41379" cy="41378"/>
            <wp:effectExtent l="0" t="0" r="0" b="0"/>
            <wp:docPr id="22" name="Image 22"/>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xmlns:r="http://schemas.openxmlformats.org/officeDocument/2006/relationships" r:embed="rId10" cstate="print"/>
                    <a:stretch>
                      <a:fillRect/>
                    </a:stretch>
                  </pic:blipFill>
                  <pic:spPr>
                    <a:xfrm>
                      <a:off x="0" y="0"/>
                      <a:ext cx="41379" cy="41378"/>
                    </a:xfrm>
                    <a:prstGeom prst="rect">
                      <a:avLst/>
                    </a:prstGeom>
                  </pic:spPr>
                </pic:pic>
              </a:graphicData>
            </a:graphic>
          </wp:inline>
        </w:drawing>
      </w:r>
      <w:r>
        <w:rPr>
          <w:spacing w:val="79"/>
          <w:sz w:val="20"/>
        </w:rPr>
        <w:t xml:space="preserve"> </w:t>
      </w:r>
      <w:r>
        <w:t>civics</w:t>
      </w:r>
      <w:r>
        <w:rPr>
          <w:spacing w:val="-6"/>
        </w:rPr>
        <w:t xml:space="preserve"> </w:t>
      </w:r>
      <w:r>
        <w:t>and</w:t>
      </w:r>
      <w:r>
        <w:rPr>
          <w:spacing w:val="-6"/>
        </w:rPr>
        <w:t xml:space="preserve"> </w:t>
      </w:r>
      <w:r>
        <w:t>U.S.</w:t>
      </w:r>
      <w:r>
        <w:rPr>
          <w:spacing w:val="-6"/>
        </w:rPr>
        <w:t xml:space="preserve"> </w:t>
      </w:r>
      <w:r>
        <w:t>history</w:t>
      </w:r>
      <w:r>
        <w:rPr>
          <w:spacing w:val="-6"/>
        </w:rPr>
        <w:t xml:space="preserve"> </w:t>
      </w:r>
      <w:r>
        <w:t>assessments</w:t>
      </w:r>
      <w:r>
        <w:rPr>
          <w:spacing w:val="-6"/>
        </w:rPr>
        <w:t xml:space="preserve"> </w:t>
      </w:r>
      <w:r>
        <w:t>in</w:t>
      </w:r>
      <w:r>
        <w:rPr>
          <w:spacing w:val="-6"/>
        </w:rPr>
        <w:t xml:space="preserve"> </w:t>
      </w:r>
      <w:r>
        <w:t>public</w:t>
      </w:r>
      <w:r>
        <w:rPr>
          <w:spacing w:val="-6"/>
        </w:rPr>
        <w:t xml:space="preserve"> </w:t>
      </w:r>
      <w:r>
        <w:t>schools</w:t>
      </w:r>
      <w:r>
        <w:rPr>
          <w:spacing w:val="-6"/>
        </w:rPr>
        <w:t xml:space="preserve"> </w:t>
      </w:r>
      <w:r>
        <w:t>at</w:t>
      </w:r>
      <w:r>
        <w:rPr>
          <w:spacing w:val="-6"/>
        </w:rPr>
        <w:t xml:space="preserve"> </w:t>
      </w:r>
      <w:r>
        <w:t>grade</w:t>
      </w:r>
      <w:r>
        <w:rPr>
          <w:spacing w:val="-6"/>
        </w:rPr>
        <w:t xml:space="preserve"> </w:t>
      </w:r>
      <w:r>
        <w:t>8;</w:t>
      </w:r>
      <w:r>
        <w:rPr>
          <w:spacing w:val="-6"/>
        </w:rPr>
        <w:t xml:space="preserve"> </w:t>
      </w:r>
      <w:r>
        <w:t xml:space="preserve">and </w:t>
      </w:r>
      <w:r>
        <w:rPr>
          <w:noProof/>
          <w:position w:val="3"/>
        </w:rPr>
        <w:drawing>
          <wp:inline distT="0" distB="0" distL="0" distR="0">
            <wp:extent cx="41379" cy="41378"/>
            <wp:effectExtent l="0" t="0" r="0" b="0"/>
            <wp:docPr id="23" name="Image 23"/>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xmlns:r="http://schemas.openxmlformats.org/officeDocument/2006/relationships" r:embed="rId11" cstate="print"/>
                    <a:stretch>
                      <a:fillRect/>
                    </a:stretch>
                  </pic:blipFill>
                  <pic:spPr>
                    <a:xfrm>
                      <a:off x="0" y="0"/>
                      <a:ext cx="41379" cy="41378"/>
                    </a:xfrm>
                    <a:prstGeom prst="rect">
                      <a:avLst/>
                    </a:prstGeom>
                  </pic:spPr>
                </pic:pic>
              </a:graphicData>
            </a:graphic>
          </wp:inline>
        </w:drawing>
      </w:r>
      <w:r>
        <w:rPr>
          <w:spacing w:val="80"/>
        </w:rPr>
        <w:t xml:space="preserve"> </w:t>
      </w:r>
      <w:r>
        <w:t>civics and U.S. history assessments in private schools at grade 8.</w:t>
      </w:r>
    </w:p>
    <w:p w:rsidR="003F5784" w14:paraId="446A4301" w14:textId="77777777">
      <w:pPr>
        <w:pStyle w:val="BodyText"/>
        <w:spacing w:before="203"/>
        <w:ind w:left="109"/>
      </w:pPr>
      <w:r>
        <w:t>All</w:t>
      </w:r>
      <w:r>
        <w:rPr>
          <w:spacing w:val="-6"/>
        </w:rPr>
        <w:t xml:space="preserve"> </w:t>
      </w:r>
      <w:r>
        <w:t>of</w:t>
      </w:r>
      <w:r>
        <w:rPr>
          <w:spacing w:val="-6"/>
        </w:rPr>
        <w:t xml:space="preserve"> </w:t>
      </w:r>
      <w:r>
        <w:t>the</w:t>
      </w:r>
      <w:r>
        <w:rPr>
          <w:spacing w:val="-6"/>
        </w:rPr>
        <w:t xml:space="preserve"> </w:t>
      </w:r>
      <w:r>
        <w:t>grade</w:t>
      </w:r>
      <w:r>
        <w:rPr>
          <w:spacing w:val="-6"/>
        </w:rPr>
        <w:t xml:space="preserve"> </w:t>
      </w:r>
      <w:r>
        <w:t>4</w:t>
      </w:r>
      <w:r>
        <w:rPr>
          <w:spacing w:val="-6"/>
        </w:rPr>
        <w:t xml:space="preserve"> </w:t>
      </w:r>
      <w:r>
        <w:t>and</w:t>
      </w:r>
      <w:r>
        <w:rPr>
          <w:spacing w:val="-6"/>
        </w:rPr>
        <w:t xml:space="preserve"> </w:t>
      </w:r>
      <w:r>
        <w:t>grade</w:t>
      </w:r>
      <w:r>
        <w:rPr>
          <w:spacing w:val="-6"/>
        </w:rPr>
        <w:t xml:space="preserve"> </w:t>
      </w:r>
      <w:r>
        <w:t>8</w:t>
      </w:r>
      <w:r>
        <w:rPr>
          <w:spacing w:val="-6"/>
        </w:rPr>
        <w:t xml:space="preserve"> </w:t>
      </w:r>
      <w:r>
        <w:t>assessments</w:t>
      </w:r>
      <w:r>
        <w:rPr>
          <w:spacing w:val="-6"/>
        </w:rPr>
        <w:t xml:space="preserve"> </w:t>
      </w:r>
      <w:r>
        <w:t>were</w:t>
      </w:r>
      <w:r>
        <w:rPr>
          <w:spacing w:val="-6"/>
        </w:rPr>
        <w:t xml:space="preserve"> </w:t>
      </w:r>
      <w:r>
        <w:t>digitally</w:t>
      </w:r>
      <w:r>
        <w:rPr>
          <w:spacing w:val="-6"/>
        </w:rPr>
        <w:t xml:space="preserve"> </w:t>
      </w:r>
      <w:r>
        <w:t>based</w:t>
      </w:r>
      <w:r>
        <w:rPr>
          <w:spacing w:val="-6"/>
        </w:rPr>
        <w:t xml:space="preserve"> </w:t>
      </w:r>
      <w:r>
        <w:t>assessments</w:t>
      </w:r>
      <w:r>
        <w:rPr>
          <w:spacing w:val="-6"/>
        </w:rPr>
        <w:t xml:space="preserve"> </w:t>
      </w:r>
      <w:r>
        <w:t>(DBA)</w:t>
      </w:r>
      <w:r>
        <w:rPr>
          <w:spacing w:val="-5"/>
        </w:rPr>
        <w:t xml:space="preserve"> </w:t>
      </w:r>
      <w:r>
        <w:t>administered</w:t>
      </w:r>
      <w:r>
        <w:rPr>
          <w:spacing w:val="-6"/>
        </w:rPr>
        <w:t xml:space="preserve"> </w:t>
      </w:r>
      <w:r>
        <w:t>using</w:t>
      </w:r>
      <w:r>
        <w:rPr>
          <w:spacing w:val="-6"/>
        </w:rPr>
        <w:t xml:space="preserve"> </w:t>
      </w:r>
      <w:r>
        <w:rPr>
          <w:spacing w:val="-2"/>
        </w:rPr>
        <w:t>tablets.</w:t>
      </w:r>
    </w:p>
    <w:p w:rsidR="003F5784" w14:paraId="3B995508" w14:textId="77777777">
      <w:pPr>
        <w:pStyle w:val="BodyText"/>
        <w:spacing w:before="78" w:line="232" w:lineRule="auto"/>
        <w:ind w:left="109" w:right="127"/>
      </w:pPr>
      <w:r>
        <w:br w:type="column"/>
      </w:r>
      <w:r>
        <w:t>8th</w:t>
      </w:r>
      <w:r>
        <w:rPr>
          <w:spacing w:val="-13"/>
        </w:rPr>
        <w:t xml:space="preserve"> </w:t>
      </w:r>
      <w:r>
        <w:t>Grade</w:t>
      </w:r>
      <w:r>
        <w:rPr>
          <w:spacing w:val="-13"/>
        </w:rPr>
        <w:t xml:space="preserve"> </w:t>
      </w:r>
      <w:r>
        <w:t>Public</w:t>
      </w:r>
      <w:r>
        <w:rPr>
          <w:spacing w:val="-13"/>
        </w:rPr>
        <w:t xml:space="preserve"> </w:t>
      </w:r>
      <w:r>
        <w:t>School</w:t>
      </w:r>
      <w:r>
        <w:rPr>
          <w:spacing w:val="-13"/>
        </w:rPr>
        <w:t xml:space="preserve"> </w:t>
      </w:r>
      <w:r>
        <w:t>National</w:t>
      </w:r>
      <w:r>
        <w:rPr>
          <w:spacing w:val="-13"/>
        </w:rPr>
        <w:t xml:space="preserve"> </w:t>
      </w:r>
      <w:r>
        <w:t>Civics and U.S. History Assessment</w:t>
      </w:r>
    </w:p>
    <w:p w:rsidR="003F5784" w14:paraId="045FDB51" w14:textId="77777777">
      <w:pPr>
        <w:pStyle w:val="BodyText"/>
        <w:spacing w:before="209" w:line="232" w:lineRule="auto"/>
        <w:ind w:left="109" w:right="120"/>
      </w:pPr>
      <w:r>
        <w:t>8th Grade Private School National Civics</w:t>
      </w:r>
      <w:r>
        <w:rPr>
          <w:spacing w:val="-14"/>
        </w:rPr>
        <w:t xml:space="preserve"> </w:t>
      </w:r>
      <w:r>
        <w:t>and</w:t>
      </w:r>
      <w:r>
        <w:rPr>
          <w:spacing w:val="-13"/>
        </w:rPr>
        <w:t xml:space="preserve"> </w:t>
      </w:r>
      <w:r>
        <w:t>U.S.</w:t>
      </w:r>
      <w:r>
        <w:rPr>
          <w:spacing w:val="-13"/>
        </w:rPr>
        <w:t xml:space="preserve"> </w:t>
      </w:r>
      <w:r>
        <w:t>History</w:t>
      </w:r>
      <w:r>
        <w:rPr>
          <w:spacing w:val="-13"/>
        </w:rPr>
        <w:t xml:space="preserve"> </w:t>
      </w:r>
      <w:r>
        <w:t>Assessment</w:t>
      </w:r>
    </w:p>
    <w:p w:rsidR="003F5784" w14:paraId="6C6D69DF" w14:textId="77777777">
      <w:pPr>
        <w:spacing w:line="232" w:lineRule="auto"/>
        <w:sectPr>
          <w:pgSz w:w="15840" w:h="12240" w:orient="landscape"/>
          <w:pgMar w:top="480" w:right="440" w:bottom="460" w:left="460" w:header="284" w:footer="275" w:gutter="0"/>
          <w:cols w:num="2" w:space="720" w:equalWidth="0">
            <w:col w:w="10671" w:space="630"/>
            <w:col w:w="3639"/>
          </w:cols>
        </w:sectPr>
      </w:pPr>
    </w:p>
    <w:p w:rsidR="003F5784" w14:paraId="3C8379BC" w14:textId="77777777">
      <w:pPr>
        <w:pStyle w:val="BodyText"/>
        <w:rPr>
          <w:sz w:val="18"/>
        </w:rPr>
      </w:pPr>
    </w:p>
    <w:p w:rsidR="003F5784" w14:paraId="1AE20687" w14:textId="77777777">
      <w:pPr>
        <w:pStyle w:val="BodyText"/>
        <w:rPr>
          <w:sz w:val="18"/>
        </w:rPr>
      </w:pPr>
    </w:p>
    <w:p w:rsidR="003F5784" w14:paraId="6C212BBA" w14:textId="77777777">
      <w:pPr>
        <w:pStyle w:val="BodyText"/>
        <w:rPr>
          <w:sz w:val="18"/>
        </w:rPr>
      </w:pPr>
    </w:p>
    <w:p w:rsidR="003F5784" w14:paraId="4F9771BC" w14:textId="77777777">
      <w:pPr>
        <w:pStyle w:val="BodyText"/>
        <w:rPr>
          <w:sz w:val="18"/>
        </w:rPr>
      </w:pPr>
    </w:p>
    <w:p w:rsidR="003F5784" w14:paraId="7FF31A2D" w14:textId="77777777">
      <w:pPr>
        <w:pStyle w:val="BodyText"/>
        <w:spacing w:before="68"/>
        <w:rPr>
          <w:sz w:val="18"/>
        </w:rPr>
      </w:pPr>
    </w:p>
    <w:p w:rsidR="003F5784" w14:paraId="2C402B3B" w14:textId="77777777">
      <w:pPr>
        <w:ind w:left="4875"/>
        <w:rPr>
          <w:sz w:val="18"/>
        </w:rPr>
      </w:pPr>
      <w:hyperlink r:id="rId14">
        <w:r>
          <w:rPr>
            <w:spacing w:val="-2"/>
            <w:w w:val="105"/>
            <w:sz w:val="18"/>
          </w:rPr>
          <w:t>http://nces.ed.gov/nationsreportcard/tdw/sample_design/2022/sample_design_for_the_2022_national_grade_based_assessment.aspx</w:t>
        </w:r>
      </w:hyperlink>
    </w:p>
    <w:p w:rsidR="003F5784" w14:paraId="34C74C14" w14:textId="77777777">
      <w:pPr>
        <w:pStyle w:val="BodyText"/>
        <w:rPr>
          <w:sz w:val="16"/>
        </w:rPr>
      </w:pPr>
      <w:r>
        <w:rPr>
          <w:noProof/>
        </w:rPr>
        <mc:AlternateContent>
          <mc:Choice Requires="wps">
            <w:drawing>
              <wp:anchor distT="0" distB="0" distL="0" distR="0" simplePos="0" relativeHeight="251720704" behindDoc="1" locked="0" layoutInCell="1" allowOverlap="1">
                <wp:simplePos x="0" y="0"/>
                <wp:positionH relativeFrom="page">
                  <wp:posOffset>361937</wp:posOffset>
                </wp:positionH>
                <wp:positionV relativeFrom="paragraph">
                  <wp:posOffset>132575</wp:posOffset>
                </wp:positionV>
                <wp:extent cx="9339580" cy="8890"/>
                <wp:effectExtent l="0" t="0" r="0" b="0"/>
                <wp:wrapTopAndBottom/>
                <wp:docPr id="24" name="Graphic 24"/>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8280" y="8267"/>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4" o:spid="_x0000_s1026" style="width:735.4pt;height:0.7pt;margin-top:10.45pt;margin-left:28.5pt;mso-position-horizontal-relative:page;mso-wrap-distance-bottom:0;mso-wrap-distance-left:0;mso-wrap-distance-right:0;mso-wrap-distance-top:0;mso-wrap-style:square;position:absolute;visibility:visible;v-text-anchor:top;z-index:-251594752" coordsize="9339580,8890" path="m9338970,l9335110,l8280,,,,,8267l8280,8267l9335110,8267l9338970,8267l9338970,xe" fillcolor="gray" stroked="f">
                <v:path arrowok="t"/>
                <w10:wrap type="topAndBottom"/>
              </v:shape>
            </w:pict>
          </mc:Fallback>
        </mc:AlternateContent>
      </w:r>
    </w:p>
    <w:p w:rsidR="003F5784" w14:paraId="5CBE6658" w14:textId="77777777">
      <w:pPr>
        <w:pStyle w:val="BodyText"/>
        <w:rPr>
          <w:sz w:val="18"/>
        </w:rPr>
      </w:pPr>
    </w:p>
    <w:p w:rsidR="003F5784" w14:paraId="0F6917F6" w14:textId="77777777">
      <w:pPr>
        <w:pStyle w:val="BodyText"/>
        <w:spacing w:before="193"/>
        <w:rPr>
          <w:sz w:val="18"/>
        </w:rPr>
      </w:pPr>
    </w:p>
    <w:p w:rsidR="003F5784" w14:paraId="4DC8F19D" w14:textId="59E62FD0">
      <w:pPr>
        <w:pStyle w:val="Heading1"/>
        <w:spacing w:line="244" w:lineRule="auto"/>
      </w:pPr>
      <w:r>
        <w:t>NAEP</w:t>
      </w:r>
      <w:r>
        <w:rPr>
          <w:spacing w:val="-11"/>
        </w:rPr>
        <w:t xml:space="preserve"> </w:t>
      </w:r>
      <w:r>
        <w:t>Technical Documentation</w:t>
      </w:r>
      <w:r w:rsidR="00324096">
        <w:t xml:space="preserve"> </w:t>
      </w:r>
      <w:r>
        <w:t>2022 Eighth-Grade Private School National Assessment in Civics and U.S. History</w:t>
      </w:r>
    </w:p>
    <w:p w:rsidR="003F5784" w14:paraId="30E9E52F" w14:textId="77777777">
      <w:pPr>
        <w:pStyle w:val="BodyText"/>
        <w:spacing w:before="7"/>
        <w:rPr>
          <w:b/>
          <w:sz w:val="16"/>
        </w:rPr>
      </w:pPr>
    </w:p>
    <w:p w:rsidR="003F5784" w14:paraId="180A0B0D" w14:textId="77777777">
      <w:pPr>
        <w:rPr>
          <w:sz w:val="16"/>
        </w:rPr>
        <w:sectPr>
          <w:type w:val="continuous"/>
          <w:pgSz w:w="15840" w:h="12240" w:orient="landscape"/>
          <w:pgMar w:top="480" w:right="440" w:bottom="460" w:left="460" w:header="284" w:footer="275" w:gutter="0"/>
          <w:cols w:space="720"/>
        </w:sectPr>
      </w:pPr>
    </w:p>
    <w:p w:rsidR="003F5784" w14:paraId="5456B66E" w14:textId="77777777">
      <w:pPr>
        <w:pStyle w:val="BodyText"/>
        <w:spacing w:before="96" w:line="232" w:lineRule="auto"/>
        <w:ind w:left="109" w:right="126"/>
      </w:pPr>
      <w:r>
        <w:t>The eighth-grade private school samples for the national assessments in civics and U.S. history were designed to produce nationally representative samples of students enrolled in grade eight in private schools in the United States.</w:t>
      </w:r>
      <w:r>
        <w:rPr>
          <w:spacing w:val="-2"/>
        </w:rPr>
        <w:t xml:space="preserve"> </w:t>
      </w:r>
      <w:r>
        <w:t>The target sample sizes of assessed students</w:t>
      </w:r>
      <w:r>
        <w:rPr>
          <w:spacing w:val="-6"/>
        </w:rPr>
        <w:t xml:space="preserve"> </w:t>
      </w:r>
      <w:r>
        <w:t>for</w:t>
      </w:r>
      <w:r>
        <w:rPr>
          <w:spacing w:val="-6"/>
        </w:rPr>
        <w:t xml:space="preserve"> </w:t>
      </w:r>
      <w:r>
        <w:t>the</w:t>
      </w:r>
      <w:r>
        <w:rPr>
          <w:spacing w:val="-6"/>
        </w:rPr>
        <w:t xml:space="preserve"> </w:t>
      </w:r>
      <w:r>
        <w:t>grade</w:t>
      </w:r>
      <w:r>
        <w:rPr>
          <w:spacing w:val="-6"/>
        </w:rPr>
        <w:t xml:space="preserve"> </w:t>
      </w:r>
      <w:r>
        <w:t>eight</w:t>
      </w:r>
      <w:r>
        <w:rPr>
          <w:spacing w:val="-6"/>
        </w:rPr>
        <w:t xml:space="preserve"> </w:t>
      </w:r>
      <w:r>
        <w:t>private</w:t>
      </w:r>
      <w:r>
        <w:rPr>
          <w:spacing w:val="-6"/>
        </w:rPr>
        <w:t xml:space="preserve"> </w:t>
      </w:r>
      <w:r>
        <w:t>school</w:t>
      </w:r>
      <w:r>
        <w:rPr>
          <w:spacing w:val="-6"/>
        </w:rPr>
        <w:t xml:space="preserve"> </w:t>
      </w:r>
      <w:r>
        <w:t>sample</w:t>
      </w:r>
      <w:r>
        <w:rPr>
          <w:spacing w:val="-6"/>
        </w:rPr>
        <w:t xml:space="preserve"> </w:t>
      </w:r>
      <w:r>
        <w:t>was</w:t>
      </w:r>
      <w:r>
        <w:rPr>
          <w:spacing w:val="-6"/>
        </w:rPr>
        <w:t xml:space="preserve"> </w:t>
      </w:r>
      <w:r>
        <w:t>1,600</w:t>
      </w:r>
      <w:r>
        <w:rPr>
          <w:spacing w:val="-6"/>
        </w:rPr>
        <w:t xml:space="preserve"> </w:t>
      </w:r>
      <w:r>
        <w:t>(800</w:t>
      </w:r>
      <w:r>
        <w:rPr>
          <w:spacing w:val="-6"/>
        </w:rPr>
        <w:t xml:space="preserve"> </w:t>
      </w:r>
      <w:r>
        <w:t>per</w:t>
      </w:r>
      <w:r>
        <w:rPr>
          <w:spacing w:val="-6"/>
        </w:rPr>
        <w:t xml:space="preserve"> </w:t>
      </w:r>
      <w:r>
        <w:t>subject).</w:t>
      </w:r>
      <w:r>
        <w:rPr>
          <w:spacing w:val="-6"/>
        </w:rPr>
        <w:t xml:space="preserve"> </w:t>
      </w:r>
      <w:r>
        <w:t>Prior</w:t>
      </w:r>
      <w:r>
        <w:rPr>
          <w:spacing w:val="-6"/>
        </w:rPr>
        <w:t xml:space="preserve"> </w:t>
      </w:r>
      <w:r>
        <w:t>to</w:t>
      </w:r>
      <w:r>
        <w:rPr>
          <w:spacing w:val="-6"/>
        </w:rPr>
        <w:t xml:space="preserve"> </w:t>
      </w:r>
      <w:r>
        <w:t>sampling,</w:t>
      </w:r>
      <w:r>
        <w:rPr>
          <w:spacing w:val="-6"/>
        </w:rPr>
        <w:t xml:space="preserve"> </w:t>
      </w:r>
      <w:r>
        <w:t>the</w:t>
      </w:r>
      <w:r>
        <w:rPr>
          <w:spacing w:val="-6"/>
        </w:rPr>
        <w:t xml:space="preserve"> </w:t>
      </w:r>
      <w:r>
        <w:t>target</w:t>
      </w:r>
      <w:r>
        <w:rPr>
          <w:spacing w:val="-6"/>
        </w:rPr>
        <w:t xml:space="preserve"> </w:t>
      </w:r>
      <w:r>
        <w:t>sample</w:t>
      </w:r>
      <w:r>
        <w:rPr>
          <w:spacing w:val="-6"/>
        </w:rPr>
        <w:t xml:space="preserve"> </w:t>
      </w:r>
      <w:r>
        <w:t>sizes</w:t>
      </w:r>
      <w:r>
        <w:rPr>
          <w:spacing w:val="-6"/>
        </w:rPr>
        <w:t xml:space="preserve"> </w:t>
      </w:r>
      <w:r>
        <w:t>were</w:t>
      </w:r>
      <w:r>
        <w:rPr>
          <w:spacing w:val="-6"/>
        </w:rPr>
        <w:t xml:space="preserve"> </w:t>
      </w:r>
      <w:r>
        <w:t>adjusted upward to offset expected school and student attrition due to nonresponse and ineligibility.</w:t>
      </w:r>
    </w:p>
    <w:p w:rsidR="003F5784" w14:paraId="1DA18975" w14:textId="77777777">
      <w:pPr>
        <w:pStyle w:val="BodyText"/>
        <w:spacing w:before="210" w:line="232" w:lineRule="auto"/>
        <w:ind w:left="109" w:right="126"/>
      </w:pPr>
      <w:r>
        <w:t>Samples</w:t>
      </w:r>
      <w:r>
        <w:rPr>
          <w:spacing w:val="-7"/>
        </w:rPr>
        <w:t xml:space="preserve"> </w:t>
      </w:r>
      <w:r>
        <w:t>were</w:t>
      </w:r>
      <w:r>
        <w:rPr>
          <w:spacing w:val="-7"/>
        </w:rPr>
        <w:t xml:space="preserve"> </w:t>
      </w:r>
      <w:r>
        <w:t>selected</w:t>
      </w:r>
      <w:r>
        <w:rPr>
          <w:spacing w:val="-7"/>
        </w:rPr>
        <w:t xml:space="preserve"> </w:t>
      </w:r>
      <w:r>
        <w:t>using</w:t>
      </w:r>
      <w:r>
        <w:rPr>
          <w:spacing w:val="-7"/>
        </w:rPr>
        <w:t xml:space="preserve"> </w:t>
      </w:r>
      <w:r>
        <w:t>a</w:t>
      </w:r>
      <w:r>
        <w:rPr>
          <w:spacing w:val="-7"/>
        </w:rPr>
        <w:t xml:space="preserve"> </w:t>
      </w:r>
      <w:r>
        <w:t>two-stage</w:t>
      </w:r>
      <w:r>
        <w:rPr>
          <w:spacing w:val="-7"/>
        </w:rPr>
        <w:t xml:space="preserve"> </w:t>
      </w:r>
      <w:r>
        <w:t>probability-based</w:t>
      </w:r>
      <w:r>
        <w:rPr>
          <w:spacing w:val="-7"/>
        </w:rPr>
        <w:t xml:space="preserve"> </w:t>
      </w:r>
      <w:r>
        <w:t>design</w:t>
      </w:r>
      <w:r>
        <w:rPr>
          <w:spacing w:val="-7"/>
        </w:rPr>
        <w:t xml:space="preserve"> </w:t>
      </w:r>
      <w:r>
        <w:t>that</w:t>
      </w:r>
      <w:r>
        <w:rPr>
          <w:spacing w:val="-7"/>
        </w:rPr>
        <w:t xml:space="preserve"> </w:t>
      </w:r>
      <w:r>
        <w:t>involved</w:t>
      </w:r>
      <w:r>
        <w:rPr>
          <w:spacing w:val="-7"/>
        </w:rPr>
        <w:t xml:space="preserve"> </w:t>
      </w:r>
      <w:r>
        <w:t>selection</w:t>
      </w:r>
      <w:r>
        <w:rPr>
          <w:spacing w:val="-7"/>
        </w:rPr>
        <w:t xml:space="preserve"> </w:t>
      </w:r>
      <w:r>
        <w:t>of</w:t>
      </w:r>
      <w:r>
        <w:rPr>
          <w:spacing w:val="-7"/>
        </w:rPr>
        <w:t xml:space="preserve"> </w:t>
      </w:r>
      <w:r>
        <w:t>schools</w:t>
      </w:r>
      <w:r>
        <w:rPr>
          <w:spacing w:val="-7"/>
        </w:rPr>
        <w:t xml:space="preserve"> </w:t>
      </w:r>
      <w:r>
        <w:t>from</w:t>
      </w:r>
      <w:r>
        <w:rPr>
          <w:spacing w:val="-7"/>
        </w:rPr>
        <w:t xml:space="preserve"> </w:t>
      </w:r>
      <w:r>
        <w:t>within</w:t>
      </w:r>
      <w:r>
        <w:rPr>
          <w:spacing w:val="-7"/>
        </w:rPr>
        <w:t xml:space="preserve"> </w:t>
      </w:r>
      <w:r>
        <w:t>strata</w:t>
      </w:r>
      <w:r>
        <w:rPr>
          <w:spacing w:val="-7"/>
        </w:rPr>
        <w:t xml:space="preserve"> </w:t>
      </w:r>
      <w:r>
        <w:t>and</w:t>
      </w:r>
      <w:r>
        <w:rPr>
          <w:spacing w:val="-7"/>
        </w:rPr>
        <w:t xml:space="preserve"> </w:t>
      </w:r>
      <w:r>
        <w:t>selection</w:t>
      </w:r>
      <w:r>
        <w:rPr>
          <w:spacing w:val="-7"/>
        </w:rPr>
        <w:t xml:space="preserve"> </w:t>
      </w:r>
      <w:r>
        <w:t>of students within schools.</w:t>
      </w:r>
      <w:r>
        <w:rPr>
          <w:spacing w:val="-1"/>
        </w:rPr>
        <w:t xml:space="preserve"> </w:t>
      </w:r>
      <w:r>
        <w:t>The first-stage sample of schools was selected with probability proportional to a measure of size based on estimated grade-specific enrollment in the schools.</w:t>
      </w:r>
    </w:p>
    <w:p w:rsidR="003F5784" w14:paraId="59230BC5" w14:textId="77777777">
      <w:pPr>
        <w:pStyle w:val="BodyText"/>
        <w:spacing w:before="209" w:line="232" w:lineRule="auto"/>
        <w:ind w:left="109" w:right="126"/>
      </w:pPr>
      <w:r>
        <w:t>The</w:t>
      </w:r>
      <w:r>
        <w:rPr>
          <w:spacing w:val="-6"/>
        </w:rPr>
        <w:t xml:space="preserve"> </w:t>
      </w:r>
      <w:r>
        <w:t>sampling</w:t>
      </w:r>
      <w:r>
        <w:rPr>
          <w:spacing w:val="-6"/>
        </w:rPr>
        <w:t xml:space="preserve"> </w:t>
      </w:r>
      <w:r>
        <w:t>of</w:t>
      </w:r>
      <w:r>
        <w:rPr>
          <w:spacing w:val="-6"/>
        </w:rPr>
        <w:t xml:space="preserve"> </w:t>
      </w:r>
      <w:r>
        <w:t>students</w:t>
      </w:r>
      <w:r>
        <w:rPr>
          <w:spacing w:val="-6"/>
        </w:rPr>
        <w:t xml:space="preserve"> </w:t>
      </w:r>
      <w:r>
        <w:t>at</w:t>
      </w:r>
      <w:r>
        <w:rPr>
          <w:spacing w:val="-6"/>
        </w:rPr>
        <w:t xml:space="preserve"> </w:t>
      </w:r>
      <w:r>
        <w:t>the</w:t>
      </w:r>
      <w:r>
        <w:rPr>
          <w:spacing w:val="-6"/>
        </w:rPr>
        <w:t xml:space="preserve"> </w:t>
      </w:r>
      <w:r>
        <w:t>second-stage</w:t>
      </w:r>
      <w:r>
        <w:rPr>
          <w:spacing w:val="-6"/>
        </w:rPr>
        <w:t xml:space="preserve"> </w:t>
      </w:r>
      <w:r>
        <w:t>involved</w:t>
      </w:r>
      <w:r>
        <w:rPr>
          <w:spacing w:val="-6"/>
        </w:rPr>
        <w:t xml:space="preserve"> </w:t>
      </w:r>
      <w:r>
        <w:t>two</w:t>
      </w:r>
      <w:r>
        <w:rPr>
          <w:spacing w:val="-6"/>
        </w:rPr>
        <w:t xml:space="preserve"> </w:t>
      </w:r>
      <w:r>
        <w:t>steps:</w:t>
      </w:r>
      <w:r>
        <w:rPr>
          <w:spacing w:val="-6"/>
        </w:rPr>
        <w:t xml:space="preserve"> </w:t>
      </w:r>
      <w:r>
        <w:t>(1)</w:t>
      </w:r>
      <w:r>
        <w:rPr>
          <w:spacing w:val="-6"/>
        </w:rPr>
        <w:t xml:space="preserve"> </w:t>
      </w:r>
      <w:r>
        <w:t>sampling</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targeted</w:t>
      </w:r>
      <w:r>
        <w:rPr>
          <w:spacing w:val="-6"/>
        </w:rPr>
        <w:t xml:space="preserve"> </w:t>
      </w:r>
      <w:r>
        <w:t>grade</w:t>
      </w:r>
      <w:r>
        <w:rPr>
          <w:spacing w:val="-6"/>
        </w:rPr>
        <w:t xml:space="preserve"> </w:t>
      </w:r>
      <w:r>
        <w:t>(eighth)</w:t>
      </w:r>
      <w:r>
        <w:rPr>
          <w:spacing w:val="-6"/>
        </w:rPr>
        <w:t xml:space="preserve"> </w:t>
      </w:r>
      <w:r>
        <w:t>from</w:t>
      </w:r>
      <w:r>
        <w:rPr>
          <w:spacing w:val="-6"/>
        </w:rPr>
        <w:t xml:space="preserve"> </w:t>
      </w:r>
      <w:r>
        <w:t>each sampled school, (2) assignment of assessment subject (civics or U.S. history) to the sampled students.</w:t>
      </w:r>
    </w:p>
    <w:p w:rsidR="003F5784" w14:paraId="30875C3C" w14:textId="77777777">
      <w:pPr>
        <w:pStyle w:val="BodyText"/>
      </w:pPr>
    </w:p>
    <w:p w:rsidR="003F5784" w14:paraId="53EA3134" w14:textId="77777777">
      <w:pPr>
        <w:pStyle w:val="BodyText"/>
      </w:pPr>
    </w:p>
    <w:p w:rsidR="003F5784" w14:paraId="5A6E75B3" w14:textId="77777777">
      <w:pPr>
        <w:pStyle w:val="BodyText"/>
      </w:pPr>
    </w:p>
    <w:p w:rsidR="003F5784" w14:paraId="5AA63DC0" w14:textId="77777777">
      <w:pPr>
        <w:pStyle w:val="BodyText"/>
        <w:spacing w:before="139"/>
      </w:pPr>
    </w:p>
    <w:p w:rsidR="003F5784" w14:paraId="369BD3E7" w14:textId="77777777">
      <w:pPr>
        <w:ind w:left="1089"/>
        <w:rPr>
          <w:sz w:val="18"/>
        </w:rPr>
      </w:pPr>
      <w:hyperlink r:id="rId15">
        <w:r>
          <w:rPr>
            <w:spacing w:val="-2"/>
            <w:sz w:val="18"/>
          </w:rPr>
          <w:t>http://nces.ed.gov/nationsreportcard/tdw/sample_design/2022/2022_eighth_grade_private_school_nat_assess_in_civics_and_us_history.aspx</w:t>
        </w:r>
      </w:hyperlink>
    </w:p>
    <w:p w:rsidR="003F5784" w14:paraId="131D2701" w14:textId="77777777">
      <w:pPr>
        <w:pStyle w:val="BodyText"/>
        <w:spacing w:before="90" w:line="439" w:lineRule="auto"/>
        <w:ind w:left="109" w:right="675"/>
      </w:pPr>
      <w:r>
        <w:br w:type="column"/>
      </w:r>
      <w:r>
        <w:t>Target Population Sampling Frame Stratification of Schools School Sample Selection Substitute Schools Ineligible Schools Student</w:t>
      </w:r>
      <w:r>
        <w:rPr>
          <w:spacing w:val="-14"/>
        </w:rPr>
        <w:t xml:space="preserve"> </w:t>
      </w:r>
      <w:r>
        <w:t>Sample</w:t>
      </w:r>
      <w:r>
        <w:rPr>
          <w:spacing w:val="-13"/>
        </w:rPr>
        <w:t xml:space="preserve"> </w:t>
      </w:r>
      <w:r>
        <w:t>Selection</w:t>
      </w:r>
    </w:p>
    <w:p w:rsidR="003F5784" w14:paraId="606DFBEC" w14:textId="77777777">
      <w:pPr>
        <w:pStyle w:val="BodyText"/>
        <w:spacing w:before="14" w:line="232" w:lineRule="auto"/>
        <w:ind w:left="109" w:right="1200"/>
      </w:pPr>
      <w:r>
        <w:t>School</w:t>
      </w:r>
      <w:r>
        <w:rPr>
          <w:spacing w:val="-14"/>
        </w:rPr>
        <w:t xml:space="preserve"> </w:t>
      </w:r>
      <w:r>
        <w:t>and</w:t>
      </w:r>
      <w:r>
        <w:rPr>
          <w:spacing w:val="-13"/>
        </w:rPr>
        <w:t xml:space="preserve"> </w:t>
      </w:r>
      <w:r>
        <w:t xml:space="preserve">Student </w:t>
      </w:r>
      <w:r>
        <w:rPr>
          <w:spacing w:val="-2"/>
        </w:rPr>
        <w:t>Participation</w:t>
      </w:r>
    </w:p>
    <w:p w:rsidR="003F5784" w14:paraId="76666D2A" w14:textId="77777777">
      <w:pPr>
        <w:spacing w:line="232" w:lineRule="auto"/>
        <w:sectPr>
          <w:type w:val="continuous"/>
          <w:pgSz w:w="15840" w:h="12240" w:orient="landscape"/>
          <w:pgMar w:top="480" w:right="440" w:bottom="460" w:left="460" w:header="284" w:footer="275" w:gutter="0"/>
          <w:cols w:num="2" w:space="720" w:equalWidth="0">
            <w:col w:w="11724" w:space="280"/>
            <w:col w:w="2936"/>
          </w:cols>
        </w:sectPr>
      </w:pPr>
    </w:p>
    <w:p w:rsidR="003F5784" w14:paraId="5276DBB1" w14:textId="77777777">
      <w:pPr>
        <w:pStyle w:val="BodyText"/>
        <w:rPr>
          <w:sz w:val="17"/>
        </w:rPr>
      </w:pPr>
    </w:p>
    <w:p w:rsidR="003F5784" w14:paraId="34D703D2" w14:textId="77777777">
      <w:pPr>
        <w:pStyle w:val="BodyText"/>
        <w:spacing w:line="20" w:lineRule="exact"/>
        <w:ind w:left="110"/>
        <w:rPr>
          <w:sz w:val="2"/>
        </w:rPr>
      </w:pPr>
      <w:r>
        <w:rPr>
          <w:noProof/>
          <w:sz w:val="2"/>
        </w:rPr>
        <mc:AlternateContent>
          <mc:Choice Requires="wpg">
            <w:drawing>
              <wp:inline distT="0" distB="0" distL="0" distR="0">
                <wp:extent cx="9339580" cy="8890"/>
                <wp:effectExtent l="0" t="0" r="0" b="0"/>
                <wp:docPr id="25"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9339580" cy="8890"/>
                          <a:chOff x="0" y="0"/>
                          <a:chExt cx="9339580" cy="8890"/>
                        </a:xfrm>
                      </wpg:grpSpPr>
                      <wps:wsp xmlns:wps="http://schemas.microsoft.com/office/word/2010/wordprocessingShape">
                        <wps:cNvPr id="26" name="Graphic 26"/>
                        <wps:cNvSpPr/>
                        <wps:spPr>
                          <a:xfrm>
                            <a:off x="-12" y="9"/>
                            <a:ext cx="9339580" cy="8890"/>
                          </a:xfrm>
                          <a:custGeom>
                            <a:avLst/>
                            <a:gdLst/>
                            <a:rect l="l" t="t" r="r" b="b"/>
                            <a:pathLst>
                              <a:path fill="norm" h="8890" w="9339580" stroke="1">
                                <a:moveTo>
                                  <a:pt x="9338970" y="0"/>
                                </a:moveTo>
                                <a:lnTo>
                                  <a:pt x="9335110" y="0"/>
                                </a:lnTo>
                                <a:lnTo>
                                  <a:pt x="8280" y="0"/>
                                </a:lnTo>
                                <a:lnTo>
                                  <a:pt x="0" y="0"/>
                                </a:lnTo>
                                <a:lnTo>
                                  <a:pt x="0" y="8267"/>
                                </a:lnTo>
                                <a:lnTo>
                                  <a:pt x="8280" y="8267"/>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wpg:wgp>
                  </a:graphicData>
                </a:graphic>
              </wp:inline>
            </w:drawing>
          </mc:Choice>
          <mc:Fallback>
            <w:pict>
              <v:group id="Group 25" o:spid="_x0000_i1027" style="width:735.4pt;height:0.7pt;mso-position-horizontal-relative:char;mso-position-vertical-relative:line" coordsize="93395,88">
                <v:shape id="Graphic 26" o:spid="_x0000_s1028" style="width:93395;height:88;mso-wrap-style:square;position:absolute;visibility:visible;v-text-anchor:top" coordsize="9339580,8890" path="m9338970,l9335110,l8280,,,,,8267l8280,8267l9335110,8267l9338970,8267l9338970,xe" fillcolor="gray" stroked="f">
                  <v:path arrowok="t"/>
                </v:shape>
                <w10:wrap type="none"/>
                <w10:anchorlock/>
              </v:group>
            </w:pict>
          </mc:Fallback>
        </mc:AlternateContent>
      </w:r>
    </w:p>
    <w:p w:rsidR="003F5784" w14:paraId="37BA660F" w14:textId="77777777">
      <w:pPr>
        <w:spacing w:line="20" w:lineRule="exact"/>
        <w:rPr>
          <w:sz w:val="2"/>
        </w:rPr>
        <w:sectPr>
          <w:type w:val="continuous"/>
          <w:pgSz w:w="15840" w:h="12240" w:orient="landscape"/>
          <w:pgMar w:top="480" w:right="440" w:bottom="460" w:left="460" w:header="284" w:footer="275" w:gutter="0"/>
          <w:cols w:space="720"/>
        </w:sectPr>
      </w:pPr>
    </w:p>
    <w:p w:rsidR="003F5784" w14:paraId="04EA0DF7" w14:textId="77777777">
      <w:pPr>
        <w:pStyle w:val="BodyText"/>
        <w:spacing w:before="118"/>
        <w:rPr>
          <w:sz w:val="41"/>
        </w:rPr>
      </w:pPr>
    </w:p>
    <w:p w:rsidR="003F5784" w14:paraId="22267F45" w14:textId="6EC51780">
      <w:pPr>
        <w:pStyle w:val="Heading1"/>
        <w:spacing w:line="244" w:lineRule="auto"/>
        <w:ind w:right="179"/>
      </w:pPr>
      <w:r>
        <w:t>NAEP</w:t>
      </w:r>
      <w:r>
        <w:rPr>
          <w:spacing w:val="-14"/>
        </w:rPr>
        <w:t xml:space="preserve"> </w:t>
      </w:r>
      <w:r>
        <w:t>Technical Documentation</w:t>
      </w:r>
      <w:r w:rsidR="00324096">
        <w:t xml:space="preserve"> </w:t>
      </w:r>
      <w:r>
        <w:t>Ineligible Schools for the 2022 Eighth-Grade Private School National Assessment in Civics and U.S. History</w:t>
      </w:r>
    </w:p>
    <w:p w:rsidR="003F5784" w14:paraId="39ED38EF" w14:textId="77777777">
      <w:pPr>
        <w:pStyle w:val="BodyText"/>
        <w:spacing w:before="6"/>
        <w:rPr>
          <w:b/>
          <w:sz w:val="16"/>
        </w:rPr>
      </w:pPr>
    </w:p>
    <w:p w:rsidR="003F5784" w14:paraId="5CADEB82" w14:textId="77777777">
      <w:pPr>
        <w:rPr>
          <w:sz w:val="16"/>
        </w:rPr>
        <w:sectPr>
          <w:pgSz w:w="15840" w:h="12240" w:orient="landscape"/>
          <w:pgMar w:top="480" w:right="440" w:bottom="460" w:left="460" w:header="284" w:footer="275" w:gutter="0"/>
          <w:cols w:space="720"/>
        </w:sectPr>
      </w:pPr>
    </w:p>
    <w:p w:rsidR="003F5784" w14:paraId="1730CD65" w14:textId="77777777">
      <w:pPr>
        <w:pStyle w:val="BodyText"/>
        <w:spacing w:before="96" w:line="232" w:lineRule="auto"/>
        <w:ind w:left="109" w:right="38"/>
      </w:pPr>
      <w:r>
        <w:t>The Private School Universe Survey (PSS)-based sampling frame school file, from which most of the sampled schools were drawn, corresponds</w:t>
      </w:r>
      <w:r>
        <w:rPr>
          <w:spacing w:val="-7"/>
        </w:rPr>
        <w:t xml:space="preserve"> </w:t>
      </w:r>
      <w:r>
        <w:t>to</w:t>
      </w:r>
      <w:r>
        <w:rPr>
          <w:spacing w:val="-7"/>
        </w:rPr>
        <w:t xml:space="preserve"> </w:t>
      </w:r>
      <w:r>
        <w:t>the</w:t>
      </w:r>
      <w:r>
        <w:rPr>
          <w:spacing w:val="-7"/>
        </w:rPr>
        <w:t xml:space="preserve"> </w:t>
      </w:r>
      <w:r>
        <w:t>2019–2020</w:t>
      </w:r>
      <w:r>
        <w:rPr>
          <w:spacing w:val="-7"/>
        </w:rPr>
        <w:t xml:space="preserve"> </w:t>
      </w:r>
      <w:r>
        <w:t>school</w:t>
      </w:r>
      <w:r>
        <w:rPr>
          <w:spacing w:val="-7"/>
        </w:rPr>
        <w:t xml:space="preserve"> </w:t>
      </w:r>
      <w:r>
        <w:t>year,</w:t>
      </w:r>
      <w:r>
        <w:rPr>
          <w:spacing w:val="-7"/>
        </w:rPr>
        <w:t xml:space="preserve"> </w:t>
      </w:r>
      <w:r>
        <w:t>two</w:t>
      </w:r>
      <w:r>
        <w:rPr>
          <w:spacing w:val="-7"/>
        </w:rPr>
        <w:t xml:space="preserve"> </w:t>
      </w:r>
      <w:r>
        <w:t>years</w:t>
      </w:r>
      <w:r>
        <w:rPr>
          <w:spacing w:val="-7"/>
        </w:rPr>
        <w:t xml:space="preserve"> </w:t>
      </w:r>
      <w:r>
        <w:t>prior</w:t>
      </w:r>
      <w:r>
        <w:rPr>
          <w:spacing w:val="-7"/>
        </w:rPr>
        <w:t xml:space="preserve"> </w:t>
      </w:r>
      <w:r>
        <w:t>to</w:t>
      </w:r>
      <w:r>
        <w:rPr>
          <w:spacing w:val="-7"/>
        </w:rPr>
        <w:t xml:space="preserve"> </w:t>
      </w:r>
      <w:r>
        <w:t>the</w:t>
      </w:r>
      <w:r>
        <w:rPr>
          <w:spacing w:val="-7"/>
        </w:rPr>
        <w:t xml:space="preserve"> </w:t>
      </w:r>
      <w:r>
        <w:t>assessment</w:t>
      </w:r>
      <w:r>
        <w:rPr>
          <w:spacing w:val="-7"/>
        </w:rPr>
        <w:t xml:space="preserve"> </w:t>
      </w:r>
      <w:r>
        <w:t>school</w:t>
      </w:r>
      <w:r>
        <w:rPr>
          <w:spacing w:val="-7"/>
        </w:rPr>
        <w:t xml:space="preserve"> </w:t>
      </w:r>
      <w:r>
        <w:t>year.</w:t>
      </w:r>
      <w:r>
        <w:rPr>
          <w:spacing w:val="-7"/>
        </w:rPr>
        <w:t xml:space="preserve"> </w:t>
      </w:r>
      <w:r>
        <w:t>During</w:t>
      </w:r>
      <w:r>
        <w:rPr>
          <w:spacing w:val="-7"/>
        </w:rPr>
        <w:t xml:space="preserve"> </w:t>
      </w:r>
      <w:r>
        <w:t>the</w:t>
      </w:r>
      <w:r>
        <w:rPr>
          <w:spacing w:val="-7"/>
        </w:rPr>
        <w:t xml:space="preserve"> </w:t>
      </w:r>
      <w:r>
        <w:t>intervening</w:t>
      </w:r>
      <w:r>
        <w:rPr>
          <w:spacing w:val="-7"/>
        </w:rPr>
        <w:t xml:space="preserve"> </w:t>
      </w:r>
      <w:r>
        <w:t>period,</w:t>
      </w:r>
      <w:r>
        <w:rPr>
          <w:spacing w:val="-7"/>
        </w:rPr>
        <w:t xml:space="preserve"> </w:t>
      </w:r>
      <w:r>
        <w:t>some</w:t>
      </w:r>
      <w:r>
        <w:rPr>
          <w:spacing w:val="-7"/>
        </w:rPr>
        <w:t xml:space="preserve"> </w:t>
      </w:r>
      <w:r>
        <w:t>of</w:t>
      </w:r>
      <w:r>
        <w:rPr>
          <w:spacing w:val="-7"/>
        </w:rPr>
        <w:t xml:space="preserve"> </w:t>
      </w:r>
      <w:r>
        <w:t>these schools either closed, no longer offered the grade of interest, or were ineligible for other reasons. In such cases, the sampled schools were coded as ineligible.</w:t>
      </w:r>
    </w:p>
    <w:p w:rsidR="003F5784" w14:paraId="46445623" w14:textId="77777777">
      <w:pPr>
        <w:pStyle w:val="BodyText"/>
        <w:spacing w:before="96" w:line="232" w:lineRule="auto"/>
        <w:ind w:left="109" w:right="834"/>
      </w:pPr>
      <w:r>
        <w:br w:type="column"/>
      </w:r>
      <w:r>
        <w:t>Total</w:t>
      </w:r>
      <w:r>
        <w:rPr>
          <w:spacing w:val="-14"/>
        </w:rPr>
        <w:t xml:space="preserve"> </w:t>
      </w:r>
      <w:r>
        <w:t>and</w:t>
      </w:r>
      <w:r>
        <w:rPr>
          <w:spacing w:val="-13"/>
        </w:rPr>
        <w:t xml:space="preserve"> </w:t>
      </w:r>
      <w:r>
        <w:t>Eligible</w:t>
      </w:r>
      <w:r>
        <w:rPr>
          <w:spacing w:val="-13"/>
        </w:rPr>
        <w:t xml:space="preserve"> </w:t>
      </w:r>
      <w:r>
        <w:t xml:space="preserve">Schools </w:t>
      </w:r>
      <w:r>
        <w:rPr>
          <w:spacing w:val="-2"/>
        </w:rPr>
        <w:t>Sampled</w:t>
      </w:r>
    </w:p>
    <w:p w:rsidR="003F5784" w14:paraId="46A94A44" w14:textId="77777777">
      <w:pPr>
        <w:pStyle w:val="BodyText"/>
        <w:spacing w:before="210" w:line="232" w:lineRule="auto"/>
        <w:ind w:left="109" w:right="24"/>
      </w:pPr>
      <w:r>
        <w:t>Eligibility</w:t>
      </w:r>
      <w:r>
        <w:rPr>
          <w:spacing w:val="-14"/>
        </w:rPr>
        <w:t xml:space="preserve"> </w:t>
      </w:r>
      <w:r>
        <w:t>Status</w:t>
      </w:r>
      <w:r>
        <w:rPr>
          <w:spacing w:val="-13"/>
        </w:rPr>
        <w:t xml:space="preserve"> </w:t>
      </w:r>
      <w:r>
        <w:t>of</w:t>
      </w:r>
      <w:r>
        <w:rPr>
          <w:spacing w:val="-13"/>
        </w:rPr>
        <w:t xml:space="preserve"> </w:t>
      </w:r>
      <w:r>
        <w:t xml:space="preserve">Schools </w:t>
      </w:r>
      <w:r>
        <w:rPr>
          <w:spacing w:val="-2"/>
        </w:rPr>
        <w:t>Sampled</w:t>
      </w:r>
    </w:p>
    <w:p w:rsidR="003F5784" w14:paraId="6792EC77" w14:textId="77777777">
      <w:pPr>
        <w:spacing w:line="232" w:lineRule="auto"/>
        <w:sectPr>
          <w:type w:val="continuous"/>
          <w:pgSz w:w="15840" w:h="12240" w:orient="landscape"/>
          <w:pgMar w:top="480" w:right="440" w:bottom="460" w:left="460" w:header="284" w:footer="275" w:gutter="0"/>
          <w:cols w:num="2" w:space="720" w:equalWidth="0">
            <w:col w:w="11371" w:space="412"/>
            <w:col w:w="3157"/>
          </w:cols>
        </w:sectPr>
      </w:pPr>
    </w:p>
    <w:p w:rsidR="003F5784" w14:paraId="0A86824D" w14:textId="77777777">
      <w:pPr>
        <w:pStyle w:val="BodyText"/>
        <w:rPr>
          <w:sz w:val="18"/>
        </w:rPr>
      </w:pPr>
    </w:p>
    <w:p w:rsidR="003F5784" w14:paraId="65417B1E" w14:textId="77777777">
      <w:pPr>
        <w:pStyle w:val="BodyText"/>
        <w:rPr>
          <w:sz w:val="18"/>
        </w:rPr>
      </w:pPr>
    </w:p>
    <w:p w:rsidR="003F5784" w14:paraId="1C1D221D" w14:textId="77777777">
      <w:pPr>
        <w:pStyle w:val="BodyText"/>
        <w:spacing w:before="40"/>
        <w:rPr>
          <w:sz w:val="18"/>
        </w:rPr>
      </w:pPr>
    </w:p>
    <w:p w:rsidR="003F5784" w14:paraId="24B281D0" w14:textId="77777777">
      <w:pPr>
        <w:ind w:left="2364"/>
        <w:rPr>
          <w:sz w:val="18"/>
        </w:rPr>
      </w:pPr>
      <w:hyperlink r:id="rId16">
        <w:r>
          <w:rPr>
            <w:spacing w:val="-2"/>
            <w:w w:val="105"/>
            <w:sz w:val="18"/>
          </w:rPr>
          <w:t>http://nces.ed.gov/nationsreportcard/tdw/sample_design/2022/ineligible_schools_for_the_2022_8th_grade_private_school_nat_assess_in_civics_and_us_history.aspx</w:t>
        </w:r>
      </w:hyperlink>
    </w:p>
    <w:p w:rsidR="003F5784" w14:paraId="6F2AC2C7" w14:textId="77777777">
      <w:pPr>
        <w:pStyle w:val="BodyText"/>
        <w:spacing w:before="1"/>
        <w:rPr>
          <w:sz w:val="16"/>
        </w:rPr>
      </w:pPr>
      <w:r>
        <w:rPr>
          <w:noProof/>
        </w:rPr>
        <mc:AlternateContent>
          <mc:Choice Requires="wps">
            <w:drawing>
              <wp:anchor distT="0" distB="0" distL="0" distR="0" simplePos="0" relativeHeight="251722752" behindDoc="1" locked="0" layoutInCell="1" allowOverlap="1">
                <wp:simplePos x="0" y="0"/>
                <wp:positionH relativeFrom="page">
                  <wp:posOffset>361937</wp:posOffset>
                </wp:positionH>
                <wp:positionV relativeFrom="paragraph">
                  <wp:posOffset>132728</wp:posOffset>
                </wp:positionV>
                <wp:extent cx="9339580" cy="8890"/>
                <wp:effectExtent l="0" t="0" r="0" b="0"/>
                <wp:wrapTopAndBottom/>
                <wp:docPr id="27" name="Graphic 27"/>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7" o:spid="_x0000_s1029" style="width:735.4pt;height:0.7pt;margin-top:10.45pt;margin-left:28.5pt;mso-position-horizontal-relative:page;mso-wrap-distance-bottom:0;mso-wrap-distance-left:0;mso-wrap-distance-right:0;mso-wrap-distance-top:0;mso-wrap-style:square;position:absolute;visibility:visible;v-text-anchor:top;z-index:-251592704" coordsize="9339580,8890" path="m9338970,l9335110,l8280,,,,,8280l8280,8280l9335110,8280l9338970,8280l9338970,xe" fillcolor="gray" stroked="f">
                <v:path arrowok="t"/>
                <w10:wrap type="topAndBottom"/>
              </v:shape>
            </w:pict>
          </mc:Fallback>
        </mc:AlternateContent>
      </w:r>
    </w:p>
    <w:p w:rsidR="003F5784" w14:paraId="567F51AA" w14:textId="77777777">
      <w:pPr>
        <w:pStyle w:val="BodyText"/>
        <w:rPr>
          <w:sz w:val="18"/>
        </w:rPr>
      </w:pPr>
    </w:p>
    <w:p w:rsidR="003F5784" w14:paraId="6D6CCCE2" w14:textId="77777777">
      <w:pPr>
        <w:pStyle w:val="BodyText"/>
        <w:spacing w:before="193"/>
        <w:rPr>
          <w:sz w:val="18"/>
        </w:rPr>
      </w:pPr>
    </w:p>
    <w:p w:rsidR="003F5784" w14:paraId="01FCEA0C" w14:textId="1A237AA5">
      <w:pPr>
        <w:pStyle w:val="Heading1"/>
        <w:spacing w:line="244" w:lineRule="auto"/>
        <w:ind w:right="318"/>
      </w:pPr>
      <w:r>
        <w:t>NAEP</w:t>
      </w:r>
      <w:r>
        <w:rPr>
          <w:spacing w:val="-16"/>
        </w:rPr>
        <w:t xml:space="preserve"> </w:t>
      </w:r>
      <w:r>
        <w:t>Technical Documentation</w:t>
      </w:r>
      <w:r w:rsidR="00324096">
        <w:t xml:space="preserve"> </w:t>
      </w:r>
      <w:r>
        <w:t>Eligibility Status of Schools Sampled for the 2022 Eighth-Grade</w:t>
      </w:r>
      <w:r>
        <w:rPr>
          <w:spacing w:val="40"/>
        </w:rPr>
        <w:t xml:space="preserve"> </w:t>
      </w:r>
      <w:r>
        <w:t>Private</w:t>
      </w:r>
      <w:r>
        <w:rPr>
          <w:spacing w:val="40"/>
        </w:rPr>
        <w:t xml:space="preserve"> </w:t>
      </w:r>
      <w:r>
        <w:t>School</w:t>
      </w:r>
      <w:r>
        <w:rPr>
          <w:spacing w:val="40"/>
        </w:rPr>
        <w:t xml:space="preserve"> </w:t>
      </w:r>
      <w:r>
        <w:t>National Assessment</w:t>
      </w:r>
      <w:r>
        <w:rPr>
          <w:spacing w:val="40"/>
        </w:rPr>
        <w:t xml:space="preserve"> </w:t>
      </w:r>
      <w:r>
        <w:t>in</w:t>
      </w:r>
      <w:r>
        <w:rPr>
          <w:spacing w:val="40"/>
        </w:rPr>
        <w:t xml:space="preserve"> </w:t>
      </w:r>
      <w:r>
        <w:t>Civics</w:t>
      </w:r>
      <w:r>
        <w:rPr>
          <w:spacing w:val="40"/>
        </w:rPr>
        <w:t xml:space="preserve"> </w:t>
      </w:r>
      <w:r>
        <w:t>and</w:t>
      </w:r>
      <w:r>
        <w:rPr>
          <w:spacing w:val="40"/>
        </w:rPr>
        <w:t xml:space="preserve"> </w:t>
      </w:r>
      <w:r>
        <w:t>U.S.</w:t>
      </w:r>
      <w:r>
        <w:rPr>
          <w:spacing w:val="40"/>
        </w:rPr>
        <w:t xml:space="preserve"> </w:t>
      </w:r>
      <w:r>
        <w:t>History</w:t>
      </w:r>
    </w:p>
    <w:p w:rsidR="003F5784" w14:paraId="5EAB9038" w14:textId="77777777">
      <w:pPr>
        <w:pStyle w:val="BodyText"/>
        <w:spacing w:before="287" w:line="232" w:lineRule="auto"/>
        <w:ind w:left="109"/>
      </w:pPr>
      <w:r>
        <w:t>The</w:t>
      </w:r>
      <w:r>
        <w:rPr>
          <w:spacing w:val="-7"/>
        </w:rPr>
        <w:t xml:space="preserve"> </w:t>
      </w:r>
      <w:r>
        <w:t>following</w:t>
      </w:r>
      <w:r>
        <w:rPr>
          <w:spacing w:val="-7"/>
        </w:rPr>
        <w:t xml:space="preserve"> </w:t>
      </w:r>
      <w:r>
        <w:t>table</w:t>
      </w:r>
      <w:r>
        <w:rPr>
          <w:spacing w:val="-7"/>
        </w:rPr>
        <w:t xml:space="preserve"> </w:t>
      </w:r>
      <w:r>
        <w:t>shows</w:t>
      </w:r>
      <w:r>
        <w:rPr>
          <w:spacing w:val="-7"/>
        </w:rPr>
        <w:t xml:space="preserve"> </w:t>
      </w:r>
      <w:r>
        <w:t>the</w:t>
      </w:r>
      <w:r>
        <w:rPr>
          <w:spacing w:val="-7"/>
        </w:rPr>
        <w:t xml:space="preserve"> </w:t>
      </w:r>
      <w:r>
        <w:t>unweighted</w:t>
      </w:r>
      <w:r>
        <w:rPr>
          <w:spacing w:val="-7"/>
        </w:rPr>
        <w:t xml:space="preserve"> </w:t>
      </w:r>
      <w:r>
        <w:t>counts</w:t>
      </w:r>
      <w:r>
        <w:rPr>
          <w:spacing w:val="-7"/>
        </w:rPr>
        <w:t xml:space="preserve"> </w:t>
      </w:r>
      <w:r>
        <w:t>and</w:t>
      </w:r>
      <w:r>
        <w:rPr>
          <w:spacing w:val="-7"/>
        </w:rPr>
        <w:t xml:space="preserve"> </w:t>
      </w:r>
      <w:r>
        <w:t>percentages</w:t>
      </w:r>
      <w:r>
        <w:rPr>
          <w:spacing w:val="-7"/>
        </w:rPr>
        <w:t xml:space="preserve"> </w:t>
      </w:r>
      <w:r>
        <w:t>of</w:t>
      </w:r>
      <w:r>
        <w:rPr>
          <w:spacing w:val="-7"/>
        </w:rPr>
        <w:t xml:space="preserve"> </w:t>
      </w:r>
      <w:r>
        <w:t>sampled</w:t>
      </w:r>
      <w:r>
        <w:rPr>
          <w:spacing w:val="-7"/>
        </w:rPr>
        <w:t xml:space="preserve"> </w:t>
      </w:r>
      <w:r>
        <w:t>schools</w:t>
      </w:r>
      <w:r>
        <w:rPr>
          <w:spacing w:val="-7"/>
        </w:rPr>
        <w:t xml:space="preserve"> </w:t>
      </w:r>
      <w:r>
        <w:t>that</w:t>
      </w:r>
      <w:r>
        <w:rPr>
          <w:spacing w:val="-7"/>
        </w:rPr>
        <w:t xml:space="preserve"> </w:t>
      </w:r>
      <w:r>
        <w:t>were</w:t>
      </w:r>
      <w:r>
        <w:rPr>
          <w:spacing w:val="-7"/>
        </w:rPr>
        <w:t xml:space="preserve"> </w:t>
      </w:r>
      <w:r>
        <w:t>eligible</w:t>
      </w:r>
      <w:r>
        <w:rPr>
          <w:spacing w:val="-7"/>
        </w:rPr>
        <w:t xml:space="preserve"> </w:t>
      </w:r>
      <w:r>
        <w:t>and</w:t>
      </w:r>
      <w:r>
        <w:rPr>
          <w:spacing w:val="-7"/>
        </w:rPr>
        <w:t xml:space="preserve"> </w:t>
      </w:r>
      <w:r>
        <w:t>ineligible,</w:t>
      </w:r>
      <w:r>
        <w:rPr>
          <w:spacing w:val="-7"/>
        </w:rPr>
        <w:t xml:space="preserve"> </w:t>
      </w:r>
      <w:r>
        <w:t>by</w:t>
      </w:r>
      <w:r>
        <w:rPr>
          <w:spacing w:val="-7"/>
        </w:rPr>
        <w:t xml:space="preserve"> </w:t>
      </w:r>
      <w:r>
        <w:t>reason</w:t>
      </w:r>
      <w:r>
        <w:rPr>
          <w:spacing w:val="-7"/>
        </w:rPr>
        <w:t xml:space="preserve"> </w:t>
      </w:r>
      <w:r>
        <w:t>for</w:t>
      </w:r>
      <w:r>
        <w:rPr>
          <w:spacing w:val="-7"/>
        </w:rPr>
        <w:t xml:space="preserve"> </w:t>
      </w:r>
      <w:r>
        <w:t>ineligibility,</w:t>
      </w:r>
      <w:r>
        <w:rPr>
          <w:spacing w:val="-7"/>
        </w:rPr>
        <w:t xml:space="preserve"> </w:t>
      </w:r>
      <w:r>
        <w:t>for</w:t>
      </w:r>
      <w:r>
        <w:rPr>
          <w:spacing w:val="-7"/>
        </w:rPr>
        <w:t xml:space="preserve"> </w:t>
      </w:r>
      <w:r>
        <w:t>the</w:t>
      </w:r>
      <w:r>
        <w:rPr>
          <w:spacing w:val="-7"/>
        </w:rPr>
        <w:t xml:space="preserve"> </w:t>
      </w:r>
      <w:r>
        <w:t>eighth-grade</w:t>
      </w:r>
      <w:r>
        <w:rPr>
          <w:spacing w:val="-7"/>
        </w:rPr>
        <w:t xml:space="preserve"> </w:t>
      </w:r>
      <w:r>
        <w:t>private school sample for the national assessments in civics and U.S. history.</w:t>
      </w:r>
    </w:p>
    <w:p w:rsidR="003F5784" w14:paraId="76C8A795" w14:textId="77777777">
      <w:pPr>
        <w:pStyle w:val="BodyText"/>
        <w:spacing w:before="92"/>
      </w:pPr>
    </w:p>
    <w:p w:rsidR="003F5784" w14:paraId="0AD1FDE9" w14:textId="77777777">
      <w:pPr>
        <w:pStyle w:val="Heading2"/>
      </w:pPr>
      <w:r>
        <w:t>Sampled</w:t>
      </w:r>
      <w:r>
        <w:rPr>
          <w:spacing w:val="-9"/>
        </w:rPr>
        <w:t xml:space="preserve"> </w:t>
      </w:r>
      <w:r>
        <w:t>private</w:t>
      </w:r>
      <w:r>
        <w:rPr>
          <w:spacing w:val="-8"/>
        </w:rPr>
        <w:t xml:space="preserve"> </w:t>
      </w:r>
      <w:r>
        <w:t>schools,</w:t>
      </w:r>
      <w:r>
        <w:rPr>
          <w:spacing w:val="-9"/>
        </w:rPr>
        <w:t xml:space="preserve"> </w:t>
      </w:r>
      <w:r>
        <w:t>eighth-grade</w:t>
      </w:r>
      <w:r>
        <w:rPr>
          <w:spacing w:val="-8"/>
        </w:rPr>
        <w:t xml:space="preserve"> </w:t>
      </w:r>
      <w:r>
        <w:t>national</w:t>
      </w:r>
      <w:r>
        <w:rPr>
          <w:spacing w:val="-9"/>
        </w:rPr>
        <w:t xml:space="preserve"> </w:t>
      </w:r>
      <w:r>
        <w:t>assessment,</w:t>
      </w:r>
      <w:r>
        <w:rPr>
          <w:spacing w:val="-8"/>
        </w:rPr>
        <w:t xml:space="preserve"> </w:t>
      </w:r>
      <w:r>
        <w:t>by</w:t>
      </w:r>
      <w:r>
        <w:rPr>
          <w:spacing w:val="-8"/>
        </w:rPr>
        <w:t xml:space="preserve"> </w:t>
      </w:r>
      <w:r>
        <w:t>eligibility</w:t>
      </w:r>
      <w:r>
        <w:rPr>
          <w:spacing w:val="-9"/>
        </w:rPr>
        <w:t xml:space="preserve"> </w:t>
      </w:r>
      <w:r>
        <w:t>status:</w:t>
      </w:r>
      <w:r>
        <w:rPr>
          <w:spacing w:val="-8"/>
        </w:rPr>
        <w:t xml:space="preserve"> </w:t>
      </w:r>
      <w:r>
        <w:rPr>
          <w:spacing w:val="-4"/>
        </w:rPr>
        <w:t>2022</w:t>
      </w:r>
    </w:p>
    <w:p w:rsidR="003F5784" w14:paraId="35069402" w14:textId="77777777">
      <w:pPr>
        <w:pStyle w:val="BodyText"/>
        <w:spacing w:before="10" w:after="1"/>
        <w:rPr>
          <w:b/>
          <w:sz w:val="11"/>
        </w:rPr>
      </w:pPr>
    </w:p>
    <w:tbl>
      <w:tblPr>
        <w:tblW w:w="0" w:type="auto"/>
        <w:tblInd w:w="482" w:type="dxa"/>
        <w:tblLayout w:type="fixed"/>
        <w:tblCellMar>
          <w:left w:w="0" w:type="dxa"/>
          <w:right w:w="0" w:type="dxa"/>
        </w:tblCellMar>
        <w:tblLook w:val="01E0"/>
      </w:tblPr>
      <w:tblGrid>
        <w:gridCol w:w="5945"/>
        <w:gridCol w:w="5163"/>
        <w:gridCol w:w="2874"/>
      </w:tblGrid>
      <w:tr w14:paraId="5A76CB79" w14:textId="77777777">
        <w:tblPrEx>
          <w:tblW w:w="0" w:type="auto"/>
          <w:tblInd w:w="482" w:type="dxa"/>
          <w:tblLayout w:type="fixed"/>
          <w:tblCellMar>
            <w:left w:w="0" w:type="dxa"/>
            <w:right w:w="0" w:type="dxa"/>
          </w:tblCellMar>
          <w:tblLook w:val="01E0"/>
        </w:tblPrEx>
        <w:trPr>
          <w:trHeight w:val="267"/>
        </w:trPr>
        <w:tc>
          <w:tcPr>
            <w:tcW w:w="5945" w:type="dxa"/>
            <w:tcBorders>
              <w:top w:val="single" w:sz="18" w:space="0" w:color="800000"/>
              <w:bottom w:val="single" w:sz="18" w:space="0" w:color="800000"/>
            </w:tcBorders>
          </w:tcPr>
          <w:p w:rsidR="003F5784" w14:paraId="5868EBB0" w14:textId="77777777">
            <w:pPr>
              <w:pStyle w:val="TableParagraph"/>
              <w:spacing w:before="9" w:line="238" w:lineRule="exact"/>
              <w:ind w:left="120"/>
              <w:jc w:val="left"/>
              <w:rPr>
                <w:sz w:val="21"/>
              </w:rPr>
            </w:pPr>
            <w:r>
              <w:rPr>
                <w:sz w:val="21"/>
              </w:rPr>
              <w:t>Eligibility</w:t>
            </w:r>
            <w:r>
              <w:rPr>
                <w:spacing w:val="-10"/>
                <w:sz w:val="21"/>
              </w:rPr>
              <w:t xml:space="preserve"> </w:t>
            </w:r>
            <w:r>
              <w:rPr>
                <w:spacing w:val="-2"/>
                <w:sz w:val="21"/>
              </w:rPr>
              <w:t>status</w:t>
            </w:r>
          </w:p>
        </w:tc>
        <w:tc>
          <w:tcPr>
            <w:tcW w:w="5163" w:type="dxa"/>
            <w:tcBorders>
              <w:top w:val="single" w:sz="18" w:space="0" w:color="800000"/>
              <w:bottom w:val="single" w:sz="18" w:space="0" w:color="800000"/>
            </w:tcBorders>
          </w:tcPr>
          <w:p w:rsidR="003F5784" w14:paraId="4C26AC68" w14:textId="77777777">
            <w:pPr>
              <w:pStyle w:val="TableParagraph"/>
              <w:spacing w:before="9" w:line="238" w:lineRule="exact"/>
              <w:ind w:right="778"/>
              <w:rPr>
                <w:sz w:val="21"/>
              </w:rPr>
            </w:pPr>
            <w:r>
              <w:rPr>
                <w:sz w:val="21"/>
              </w:rPr>
              <w:t>Unweighted</w:t>
            </w:r>
            <w:r>
              <w:rPr>
                <w:spacing w:val="-7"/>
                <w:sz w:val="21"/>
              </w:rPr>
              <w:t xml:space="preserve"> </w:t>
            </w:r>
            <w:r>
              <w:rPr>
                <w:sz w:val="21"/>
              </w:rPr>
              <w:t>count</w:t>
            </w:r>
            <w:r>
              <w:rPr>
                <w:spacing w:val="-7"/>
                <w:sz w:val="21"/>
              </w:rPr>
              <w:t xml:space="preserve"> </w:t>
            </w:r>
            <w:r>
              <w:rPr>
                <w:sz w:val="21"/>
              </w:rPr>
              <w:t>of</w:t>
            </w:r>
            <w:r>
              <w:rPr>
                <w:spacing w:val="-6"/>
                <w:sz w:val="21"/>
              </w:rPr>
              <w:t xml:space="preserve"> </w:t>
            </w:r>
            <w:r>
              <w:rPr>
                <w:spacing w:val="-2"/>
                <w:sz w:val="21"/>
              </w:rPr>
              <w:t>schools</w:t>
            </w:r>
          </w:p>
        </w:tc>
        <w:tc>
          <w:tcPr>
            <w:tcW w:w="2874" w:type="dxa"/>
            <w:tcBorders>
              <w:top w:val="single" w:sz="18" w:space="0" w:color="800000"/>
              <w:bottom w:val="single" w:sz="18" w:space="0" w:color="800000"/>
            </w:tcBorders>
          </w:tcPr>
          <w:p w:rsidR="003F5784" w14:paraId="02B0FA16" w14:textId="77777777">
            <w:pPr>
              <w:pStyle w:val="TableParagraph"/>
              <w:spacing w:before="9" w:line="238" w:lineRule="exact"/>
              <w:ind w:right="115"/>
              <w:rPr>
                <w:sz w:val="21"/>
              </w:rPr>
            </w:pPr>
            <w:r>
              <w:rPr>
                <w:sz w:val="21"/>
              </w:rPr>
              <w:t>Unweighted</w:t>
            </w:r>
            <w:r>
              <w:rPr>
                <w:spacing w:val="-12"/>
                <w:sz w:val="21"/>
              </w:rPr>
              <w:t xml:space="preserve"> </w:t>
            </w:r>
            <w:r>
              <w:rPr>
                <w:spacing w:val="-2"/>
                <w:sz w:val="21"/>
              </w:rPr>
              <w:t>percentage</w:t>
            </w:r>
          </w:p>
        </w:tc>
      </w:tr>
      <w:tr w14:paraId="20CA4895" w14:textId="77777777">
        <w:tblPrEx>
          <w:tblW w:w="0" w:type="auto"/>
          <w:tblInd w:w="482" w:type="dxa"/>
          <w:tblLayout w:type="fixed"/>
          <w:tblCellMar>
            <w:left w:w="0" w:type="dxa"/>
            <w:right w:w="0" w:type="dxa"/>
          </w:tblCellMar>
          <w:tblLook w:val="01E0"/>
        </w:tblPrEx>
        <w:trPr>
          <w:trHeight w:val="278"/>
        </w:trPr>
        <w:tc>
          <w:tcPr>
            <w:tcW w:w="5945" w:type="dxa"/>
            <w:tcBorders>
              <w:top w:val="single" w:sz="18" w:space="0" w:color="800000"/>
            </w:tcBorders>
          </w:tcPr>
          <w:p w:rsidR="003F5784" w14:paraId="1A68C49E" w14:textId="77777777">
            <w:pPr>
              <w:pStyle w:val="TableParagraph"/>
              <w:spacing w:before="9"/>
              <w:ind w:left="515"/>
              <w:jc w:val="left"/>
              <w:rPr>
                <w:b/>
                <w:sz w:val="21"/>
              </w:rPr>
            </w:pPr>
            <w:r>
              <w:rPr>
                <w:b/>
                <w:sz w:val="21"/>
              </w:rPr>
              <w:t>All</w:t>
            </w:r>
            <w:r>
              <w:rPr>
                <w:b/>
                <w:spacing w:val="-7"/>
                <w:sz w:val="21"/>
              </w:rPr>
              <w:t xml:space="preserve"> </w:t>
            </w:r>
            <w:r>
              <w:rPr>
                <w:b/>
                <w:sz w:val="21"/>
              </w:rPr>
              <w:t>sampled</w:t>
            </w:r>
            <w:r>
              <w:rPr>
                <w:b/>
                <w:spacing w:val="-7"/>
                <w:sz w:val="21"/>
              </w:rPr>
              <w:t xml:space="preserve"> </w:t>
            </w:r>
            <w:r>
              <w:rPr>
                <w:b/>
                <w:sz w:val="21"/>
              </w:rPr>
              <w:t>private</w:t>
            </w:r>
            <w:r>
              <w:rPr>
                <w:b/>
                <w:spacing w:val="-6"/>
                <w:sz w:val="21"/>
              </w:rPr>
              <w:t xml:space="preserve"> </w:t>
            </w:r>
            <w:r>
              <w:rPr>
                <w:b/>
                <w:spacing w:val="-2"/>
                <w:sz w:val="21"/>
              </w:rPr>
              <w:t>schools</w:t>
            </w:r>
          </w:p>
        </w:tc>
        <w:tc>
          <w:tcPr>
            <w:tcW w:w="5163" w:type="dxa"/>
            <w:tcBorders>
              <w:top w:val="single" w:sz="18" w:space="0" w:color="800000"/>
            </w:tcBorders>
          </w:tcPr>
          <w:p w:rsidR="003F5784" w14:paraId="404B9BD8" w14:textId="77777777">
            <w:pPr>
              <w:pStyle w:val="TableParagraph"/>
              <w:spacing w:before="9"/>
              <w:ind w:right="778"/>
              <w:rPr>
                <w:b/>
                <w:sz w:val="21"/>
              </w:rPr>
            </w:pPr>
            <w:r>
              <w:rPr>
                <w:b/>
                <w:spacing w:val="-5"/>
                <w:sz w:val="21"/>
              </w:rPr>
              <w:t>170</w:t>
            </w:r>
          </w:p>
        </w:tc>
        <w:tc>
          <w:tcPr>
            <w:tcW w:w="2874" w:type="dxa"/>
            <w:tcBorders>
              <w:top w:val="single" w:sz="18" w:space="0" w:color="800000"/>
            </w:tcBorders>
          </w:tcPr>
          <w:p w:rsidR="003F5784" w14:paraId="2FA67B05" w14:textId="77777777">
            <w:pPr>
              <w:pStyle w:val="TableParagraph"/>
              <w:spacing w:before="9"/>
              <w:ind w:right="115"/>
              <w:rPr>
                <w:b/>
                <w:sz w:val="21"/>
              </w:rPr>
            </w:pPr>
            <w:r>
              <w:rPr>
                <w:b/>
                <w:spacing w:val="-2"/>
                <w:sz w:val="21"/>
              </w:rPr>
              <w:t>100.00</w:t>
            </w:r>
          </w:p>
        </w:tc>
      </w:tr>
      <w:tr w14:paraId="6B14608F" w14:textId="77777777">
        <w:tblPrEx>
          <w:tblW w:w="0" w:type="auto"/>
          <w:tblInd w:w="482" w:type="dxa"/>
          <w:tblLayout w:type="fixed"/>
          <w:tblCellMar>
            <w:left w:w="0" w:type="dxa"/>
            <w:right w:w="0" w:type="dxa"/>
          </w:tblCellMar>
          <w:tblLook w:val="01E0"/>
        </w:tblPrEx>
        <w:trPr>
          <w:trHeight w:val="286"/>
        </w:trPr>
        <w:tc>
          <w:tcPr>
            <w:tcW w:w="5945" w:type="dxa"/>
          </w:tcPr>
          <w:p w:rsidR="003F5784" w14:paraId="0B4F46D6" w14:textId="77777777">
            <w:pPr>
              <w:pStyle w:val="TableParagraph"/>
              <w:ind w:left="120"/>
              <w:jc w:val="left"/>
              <w:rPr>
                <w:sz w:val="21"/>
              </w:rPr>
            </w:pPr>
            <w:r>
              <w:rPr>
                <w:spacing w:val="-2"/>
                <w:sz w:val="21"/>
              </w:rPr>
              <w:t>Eligible</w:t>
            </w:r>
          </w:p>
        </w:tc>
        <w:tc>
          <w:tcPr>
            <w:tcW w:w="5163" w:type="dxa"/>
          </w:tcPr>
          <w:p w:rsidR="003F5784" w14:paraId="7B5D36E3" w14:textId="77777777">
            <w:pPr>
              <w:pStyle w:val="TableParagraph"/>
              <w:ind w:right="778"/>
              <w:rPr>
                <w:sz w:val="21"/>
              </w:rPr>
            </w:pPr>
            <w:r>
              <w:rPr>
                <w:spacing w:val="-5"/>
                <w:sz w:val="21"/>
              </w:rPr>
              <w:t>130</w:t>
            </w:r>
          </w:p>
        </w:tc>
        <w:tc>
          <w:tcPr>
            <w:tcW w:w="2874" w:type="dxa"/>
          </w:tcPr>
          <w:p w:rsidR="003F5784" w14:paraId="420F96AE" w14:textId="77777777">
            <w:pPr>
              <w:pStyle w:val="TableParagraph"/>
              <w:ind w:right="115"/>
              <w:rPr>
                <w:sz w:val="21"/>
              </w:rPr>
            </w:pPr>
            <w:r>
              <w:rPr>
                <w:spacing w:val="-2"/>
                <w:sz w:val="21"/>
              </w:rPr>
              <w:t>79.29</w:t>
            </w:r>
          </w:p>
        </w:tc>
      </w:tr>
      <w:tr w14:paraId="1FC8FB6F" w14:textId="77777777">
        <w:tblPrEx>
          <w:tblW w:w="0" w:type="auto"/>
          <w:tblInd w:w="482" w:type="dxa"/>
          <w:tblLayout w:type="fixed"/>
          <w:tblCellMar>
            <w:left w:w="0" w:type="dxa"/>
            <w:right w:w="0" w:type="dxa"/>
          </w:tblCellMar>
          <w:tblLook w:val="01E0"/>
        </w:tblPrEx>
        <w:trPr>
          <w:trHeight w:val="286"/>
        </w:trPr>
        <w:tc>
          <w:tcPr>
            <w:tcW w:w="5945" w:type="dxa"/>
          </w:tcPr>
          <w:p w:rsidR="003F5784" w14:paraId="07C93581" w14:textId="77777777">
            <w:pPr>
              <w:pStyle w:val="TableParagraph"/>
              <w:ind w:left="120"/>
              <w:jc w:val="left"/>
              <w:rPr>
                <w:sz w:val="21"/>
              </w:rPr>
            </w:pPr>
            <w:r>
              <w:rPr>
                <w:spacing w:val="-2"/>
                <w:sz w:val="21"/>
              </w:rPr>
              <w:t>Ineligible</w:t>
            </w:r>
          </w:p>
        </w:tc>
        <w:tc>
          <w:tcPr>
            <w:tcW w:w="5163" w:type="dxa"/>
          </w:tcPr>
          <w:p w:rsidR="003F5784" w14:paraId="4D164A8A" w14:textId="77777777">
            <w:pPr>
              <w:pStyle w:val="TableParagraph"/>
              <w:ind w:right="778"/>
              <w:rPr>
                <w:sz w:val="21"/>
              </w:rPr>
            </w:pPr>
            <w:r>
              <w:rPr>
                <w:spacing w:val="-5"/>
                <w:sz w:val="21"/>
              </w:rPr>
              <w:t>35</w:t>
            </w:r>
          </w:p>
        </w:tc>
        <w:tc>
          <w:tcPr>
            <w:tcW w:w="2874" w:type="dxa"/>
          </w:tcPr>
          <w:p w:rsidR="003F5784" w14:paraId="6B365E35" w14:textId="77777777">
            <w:pPr>
              <w:pStyle w:val="TableParagraph"/>
              <w:ind w:right="115"/>
              <w:rPr>
                <w:sz w:val="21"/>
              </w:rPr>
            </w:pPr>
            <w:r>
              <w:rPr>
                <w:spacing w:val="-2"/>
                <w:sz w:val="21"/>
              </w:rPr>
              <w:t>20.71</w:t>
            </w:r>
          </w:p>
        </w:tc>
      </w:tr>
      <w:tr w14:paraId="7162347D" w14:textId="77777777">
        <w:tblPrEx>
          <w:tblW w:w="0" w:type="auto"/>
          <w:tblInd w:w="482" w:type="dxa"/>
          <w:tblLayout w:type="fixed"/>
          <w:tblCellMar>
            <w:left w:w="0" w:type="dxa"/>
            <w:right w:w="0" w:type="dxa"/>
          </w:tblCellMar>
          <w:tblLook w:val="01E0"/>
        </w:tblPrEx>
        <w:trPr>
          <w:trHeight w:val="286"/>
        </w:trPr>
        <w:tc>
          <w:tcPr>
            <w:tcW w:w="5945" w:type="dxa"/>
          </w:tcPr>
          <w:p w:rsidR="003F5784" w14:paraId="7C62A59D" w14:textId="77777777">
            <w:pPr>
              <w:pStyle w:val="TableParagraph"/>
              <w:ind w:left="370"/>
              <w:jc w:val="left"/>
              <w:rPr>
                <w:sz w:val="21"/>
              </w:rPr>
            </w:pPr>
            <w:r>
              <w:rPr>
                <w:sz w:val="21"/>
              </w:rPr>
              <w:t>Has</w:t>
            </w:r>
            <w:r>
              <w:rPr>
                <w:spacing w:val="-6"/>
                <w:sz w:val="21"/>
              </w:rPr>
              <w:t xml:space="preserve"> </w:t>
            </w:r>
            <w:r>
              <w:rPr>
                <w:sz w:val="21"/>
              </w:rPr>
              <w:t>sampled</w:t>
            </w:r>
            <w:r>
              <w:rPr>
                <w:spacing w:val="-5"/>
                <w:sz w:val="21"/>
              </w:rPr>
              <w:t xml:space="preserve"> </w:t>
            </w:r>
            <w:r>
              <w:rPr>
                <w:sz w:val="21"/>
              </w:rPr>
              <w:t>grade,</w:t>
            </w:r>
            <w:r>
              <w:rPr>
                <w:spacing w:val="-6"/>
                <w:sz w:val="21"/>
              </w:rPr>
              <w:t xml:space="preserve"> </w:t>
            </w:r>
            <w:r>
              <w:rPr>
                <w:sz w:val="21"/>
              </w:rPr>
              <w:t>but</w:t>
            </w:r>
            <w:r>
              <w:rPr>
                <w:spacing w:val="-5"/>
                <w:sz w:val="21"/>
              </w:rPr>
              <w:t xml:space="preserve"> </w:t>
            </w:r>
            <w:r>
              <w:rPr>
                <w:sz w:val="21"/>
              </w:rPr>
              <w:t>no</w:t>
            </w:r>
            <w:r>
              <w:rPr>
                <w:spacing w:val="-6"/>
                <w:sz w:val="21"/>
              </w:rPr>
              <w:t xml:space="preserve"> </w:t>
            </w:r>
            <w:r>
              <w:rPr>
                <w:sz w:val="21"/>
              </w:rPr>
              <w:t>eligible</w:t>
            </w:r>
            <w:r>
              <w:rPr>
                <w:spacing w:val="-5"/>
                <w:sz w:val="21"/>
              </w:rPr>
              <w:t xml:space="preserve"> </w:t>
            </w:r>
            <w:r>
              <w:rPr>
                <w:spacing w:val="-2"/>
                <w:sz w:val="21"/>
              </w:rPr>
              <w:t>students</w:t>
            </w:r>
          </w:p>
        </w:tc>
        <w:tc>
          <w:tcPr>
            <w:tcW w:w="5163" w:type="dxa"/>
          </w:tcPr>
          <w:p w:rsidR="003F5784" w14:paraId="6F78857F" w14:textId="77777777">
            <w:pPr>
              <w:pStyle w:val="TableParagraph"/>
              <w:ind w:right="778"/>
              <w:rPr>
                <w:sz w:val="21"/>
              </w:rPr>
            </w:pPr>
            <w:r>
              <w:rPr>
                <w:spacing w:val="-10"/>
                <w:sz w:val="21"/>
              </w:rPr>
              <w:t>2</w:t>
            </w:r>
          </w:p>
        </w:tc>
        <w:tc>
          <w:tcPr>
            <w:tcW w:w="2874" w:type="dxa"/>
          </w:tcPr>
          <w:p w:rsidR="003F5784" w14:paraId="7DA656F0" w14:textId="77777777">
            <w:pPr>
              <w:pStyle w:val="TableParagraph"/>
              <w:ind w:right="115"/>
              <w:rPr>
                <w:sz w:val="21"/>
              </w:rPr>
            </w:pPr>
            <w:r>
              <w:rPr>
                <w:spacing w:val="-4"/>
                <w:sz w:val="21"/>
              </w:rPr>
              <w:t>1.18</w:t>
            </w:r>
          </w:p>
        </w:tc>
      </w:tr>
      <w:tr w14:paraId="1585C328" w14:textId="77777777">
        <w:tblPrEx>
          <w:tblW w:w="0" w:type="auto"/>
          <w:tblInd w:w="482" w:type="dxa"/>
          <w:tblLayout w:type="fixed"/>
          <w:tblCellMar>
            <w:left w:w="0" w:type="dxa"/>
            <w:right w:w="0" w:type="dxa"/>
          </w:tblCellMar>
          <w:tblLook w:val="01E0"/>
        </w:tblPrEx>
        <w:trPr>
          <w:trHeight w:val="286"/>
        </w:trPr>
        <w:tc>
          <w:tcPr>
            <w:tcW w:w="5945" w:type="dxa"/>
          </w:tcPr>
          <w:p w:rsidR="003F5784" w14:paraId="5F8490A0" w14:textId="77777777">
            <w:pPr>
              <w:pStyle w:val="TableParagraph"/>
              <w:ind w:left="370"/>
              <w:jc w:val="left"/>
              <w:rPr>
                <w:sz w:val="21"/>
              </w:rPr>
            </w:pPr>
            <w:r>
              <w:rPr>
                <w:sz w:val="21"/>
              </w:rPr>
              <w:t>Does</w:t>
            </w:r>
            <w:r>
              <w:rPr>
                <w:spacing w:val="-6"/>
                <w:sz w:val="21"/>
              </w:rPr>
              <w:t xml:space="preserve"> </w:t>
            </w:r>
            <w:r>
              <w:rPr>
                <w:sz w:val="21"/>
              </w:rPr>
              <w:t>not</w:t>
            </w:r>
            <w:r>
              <w:rPr>
                <w:spacing w:val="-5"/>
                <w:sz w:val="21"/>
              </w:rPr>
              <w:t xml:space="preserve"> </w:t>
            </w:r>
            <w:r>
              <w:rPr>
                <w:sz w:val="21"/>
              </w:rPr>
              <w:t>have</w:t>
            </w:r>
            <w:r>
              <w:rPr>
                <w:spacing w:val="-6"/>
                <w:sz w:val="21"/>
              </w:rPr>
              <w:t xml:space="preserve"> </w:t>
            </w:r>
            <w:r>
              <w:rPr>
                <w:sz w:val="21"/>
              </w:rPr>
              <w:t>sampled</w:t>
            </w:r>
            <w:r>
              <w:rPr>
                <w:spacing w:val="-5"/>
                <w:sz w:val="21"/>
              </w:rPr>
              <w:t xml:space="preserve"> </w:t>
            </w:r>
            <w:r>
              <w:rPr>
                <w:spacing w:val="-2"/>
                <w:sz w:val="21"/>
              </w:rPr>
              <w:t>grade</w:t>
            </w:r>
          </w:p>
        </w:tc>
        <w:tc>
          <w:tcPr>
            <w:tcW w:w="5163" w:type="dxa"/>
          </w:tcPr>
          <w:p w:rsidR="003F5784" w14:paraId="7BAD35A5" w14:textId="77777777">
            <w:pPr>
              <w:pStyle w:val="TableParagraph"/>
              <w:ind w:right="778"/>
              <w:rPr>
                <w:sz w:val="21"/>
              </w:rPr>
            </w:pPr>
            <w:r>
              <w:rPr>
                <w:spacing w:val="-10"/>
                <w:sz w:val="21"/>
              </w:rPr>
              <w:t>8</w:t>
            </w:r>
          </w:p>
        </w:tc>
        <w:tc>
          <w:tcPr>
            <w:tcW w:w="2874" w:type="dxa"/>
          </w:tcPr>
          <w:p w:rsidR="003F5784" w14:paraId="3EEFEDE2" w14:textId="77777777">
            <w:pPr>
              <w:pStyle w:val="TableParagraph"/>
              <w:ind w:right="115"/>
              <w:rPr>
                <w:sz w:val="21"/>
              </w:rPr>
            </w:pPr>
            <w:r>
              <w:rPr>
                <w:spacing w:val="-4"/>
                <w:sz w:val="21"/>
              </w:rPr>
              <w:t>4.73</w:t>
            </w:r>
          </w:p>
        </w:tc>
      </w:tr>
      <w:tr w14:paraId="74AA0E8E" w14:textId="77777777">
        <w:tblPrEx>
          <w:tblW w:w="0" w:type="auto"/>
          <w:tblInd w:w="482" w:type="dxa"/>
          <w:tblLayout w:type="fixed"/>
          <w:tblCellMar>
            <w:left w:w="0" w:type="dxa"/>
            <w:right w:w="0" w:type="dxa"/>
          </w:tblCellMar>
          <w:tblLook w:val="01E0"/>
        </w:tblPrEx>
        <w:trPr>
          <w:trHeight w:val="286"/>
        </w:trPr>
        <w:tc>
          <w:tcPr>
            <w:tcW w:w="5945" w:type="dxa"/>
          </w:tcPr>
          <w:p w:rsidR="003F5784" w14:paraId="479C9705" w14:textId="77777777">
            <w:pPr>
              <w:pStyle w:val="TableParagraph"/>
              <w:ind w:left="370"/>
              <w:jc w:val="left"/>
              <w:rPr>
                <w:sz w:val="21"/>
              </w:rPr>
            </w:pPr>
            <w:r>
              <w:rPr>
                <w:spacing w:val="-2"/>
                <w:sz w:val="21"/>
              </w:rPr>
              <w:t>Closed</w:t>
            </w:r>
          </w:p>
        </w:tc>
        <w:tc>
          <w:tcPr>
            <w:tcW w:w="5163" w:type="dxa"/>
          </w:tcPr>
          <w:p w:rsidR="003F5784" w14:paraId="5D5A6B37" w14:textId="77777777">
            <w:pPr>
              <w:pStyle w:val="TableParagraph"/>
              <w:ind w:right="778"/>
              <w:rPr>
                <w:sz w:val="21"/>
              </w:rPr>
            </w:pPr>
            <w:r>
              <w:rPr>
                <w:spacing w:val="-10"/>
                <w:sz w:val="21"/>
              </w:rPr>
              <w:t>7</w:t>
            </w:r>
          </w:p>
        </w:tc>
        <w:tc>
          <w:tcPr>
            <w:tcW w:w="2874" w:type="dxa"/>
          </w:tcPr>
          <w:p w:rsidR="003F5784" w14:paraId="70CFF2FF" w14:textId="77777777">
            <w:pPr>
              <w:pStyle w:val="TableParagraph"/>
              <w:ind w:right="115"/>
              <w:rPr>
                <w:sz w:val="21"/>
              </w:rPr>
            </w:pPr>
            <w:r>
              <w:rPr>
                <w:spacing w:val="-4"/>
                <w:sz w:val="21"/>
              </w:rPr>
              <w:t>4.14</w:t>
            </w:r>
          </w:p>
        </w:tc>
      </w:tr>
      <w:tr w14:paraId="21151349" w14:textId="77777777">
        <w:tblPrEx>
          <w:tblW w:w="0" w:type="auto"/>
          <w:tblInd w:w="482" w:type="dxa"/>
          <w:tblLayout w:type="fixed"/>
          <w:tblCellMar>
            <w:left w:w="0" w:type="dxa"/>
            <w:right w:w="0" w:type="dxa"/>
          </w:tblCellMar>
          <w:tblLook w:val="01E0"/>
        </w:tblPrEx>
        <w:trPr>
          <w:trHeight w:val="286"/>
        </w:trPr>
        <w:tc>
          <w:tcPr>
            <w:tcW w:w="5945" w:type="dxa"/>
          </w:tcPr>
          <w:p w:rsidR="003F5784" w14:paraId="3AFD4969" w14:textId="77777777">
            <w:pPr>
              <w:pStyle w:val="TableParagraph"/>
              <w:ind w:left="370"/>
              <w:jc w:val="left"/>
              <w:rPr>
                <w:sz w:val="21"/>
              </w:rPr>
            </w:pPr>
            <w:r>
              <w:rPr>
                <w:sz w:val="21"/>
              </w:rPr>
              <w:t>Not</w:t>
            </w:r>
            <w:r>
              <w:rPr>
                <w:spacing w:val="-5"/>
                <w:sz w:val="21"/>
              </w:rPr>
              <w:t xml:space="preserve"> </w:t>
            </w:r>
            <w:r>
              <w:rPr>
                <w:sz w:val="21"/>
              </w:rPr>
              <w:t>a</w:t>
            </w:r>
            <w:r>
              <w:rPr>
                <w:spacing w:val="-4"/>
                <w:sz w:val="21"/>
              </w:rPr>
              <w:t xml:space="preserve"> </w:t>
            </w:r>
            <w:r>
              <w:rPr>
                <w:sz w:val="21"/>
              </w:rPr>
              <w:t>regular</w:t>
            </w:r>
            <w:r>
              <w:rPr>
                <w:spacing w:val="-5"/>
                <w:sz w:val="21"/>
              </w:rPr>
              <w:t xml:space="preserve"> </w:t>
            </w:r>
            <w:r>
              <w:rPr>
                <w:spacing w:val="-2"/>
                <w:sz w:val="21"/>
              </w:rPr>
              <w:t>school</w:t>
            </w:r>
          </w:p>
        </w:tc>
        <w:tc>
          <w:tcPr>
            <w:tcW w:w="5163" w:type="dxa"/>
          </w:tcPr>
          <w:p w:rsidR="003F5784" w14:paraId="21F6034F" w14:textId="77777777">
            <w:pPr>
              <w:pStyle w:val="TableParagraph"/>
              <w:ind w:right="778"/>
              <w:rPr>
                <w:sz w:val="21"/>
              </w:rPr>
            </w:pPr>
            <w:r>
              <w:rPr>
                <w:spacing w:val="-5"/>
                <w:sz w:val="21"/>
              </w:rPr>
              <w:t>17</w:t>
            </w:r>
          </w:p>
        </w:tc>
        <w:tc>
          <w:tcPr>
            <w:tcW w:w="2874" w:type="dxa"/>
          </w:tcPr>
          <w:p w:rsidR="003F5784" w14:paraId="75E9B015" w14:textId="77777777">
            <w:pPr>
              <w:pStyle w:val="TableParagraph"/>
              <w:ind w:right="115"/>
              <w:rPr>
                <w:sz w:val="21"/>
              </w:rPr>
            </w:pPr>
            <w:r>
              <w:rPr>
                <w:spacing w:val="-2"/>
                <w:sz w:val="21"/>
              </w:rPr>
              <w:t>10.06</w:t>
            </w:r>
          </w:p>
        </w:tc>
      </w:tr>
      <w:tr w14:paraId="5D638A3F" w14:textId="77777777">
        <w:tblPrEx>
          <w:tblW w:w="0" w:type="auto"/>
          <w:tblInd w:w="482" w:type="dxa"/>
          <w:tblLayout w:type="fixed"/>
          <w:tblCellMar>
            <w:left w:w="0" w:type="dxa"/>
            <w:right w:w="0" w:type="dxa"/>
          </w:tblCellMar>
          <w:tblLook w:val="01E0"/>
        </w:tblPrEx>
        <w:trPr>
          <w:trHeight w:val="286"/>
        </w:trPr>
        <w:tc>
          <w:tcPr>
            <w:tcW w:w="5945" w:type="dxa"/>
          </w:tcPr>
          <w:p w:rsidR="003F5784" w14:paraId="4091A286" w14:textId="77777777">
            <w:pPr>
              <w:pStyle w:val="TableParagraph"/>
              <w:ind w:left="370"/>
              <w:jc w:val="left"/>
              <w:rPr>
                <w:sz w:val="21"/>
              </w:rPr>
            </w:pPr>
            <w:r>
              <w:rPr>
                <w:sz w:val="21"/>
              </w:rPr>
              <w:t>Duplicate</w:t>
            </w:r>
            <w:r>
              <w:rPr>
                <w:spacing w:val="-7"/>
                <w:sz w:val="21"/>
              </w:rPr>
              <w:t xml:space="preserve"> </w:t>
            </w:r>
            <w:r>
              <w:rPr>
                <w:sz w:val="21"/>
              </w:rPr>
              <w:t>on</w:t>
            </w:r>
            <w:r>
              <w:rPr>
                <w:spacing w:val="-7"/>
                <w:sz w:val="21"/>
              </w:rPr>
              <w:t xml:space="preserve"> </w:t>
            </w:r>
            <w:r>
              <w:rPr>
                <w:sz w:val="21"/>
              </w:rPr>
              <w:t>sampling</w:t>
            </w:r>
            <w:r>
              <w:rPr>
                <w:spacing w:val="-7"/>
                <w:sz w:val="21"/>
              </w:rPr>
              <w:t xml:space="preserve"> </w:t>
            </w:r>
            <w:r>
              <w:rPr>
                <w:spacing w:val="-4"/>
                <w:sz w:val="21"/>
              </w:rPr>
              <w:t>frame</w:t>
            </w:r>
          </w:p>
        </w:tc>
        <w:tc>
          <w:tcPr>
            <w:tcW w:w="5163" w:type="dxa"/>
          </w:tcPr>
          <w:p w:rsidR="003F5784" w14:paraId="2E14C1B4" w14:textId="77777777">
            <w:pPr>
              <w:pStyle w:val="TableParagraph"/>
              <w:ind w:right="778"/>
              <w:rPr>
                <w:sz w:val="21"/>
              </w:rPr>
            </w:pPr>
            <w:r>
              <w:rPr>
                <w:spacing w:val="-10"/>
                <w:sz w:val="21"/>
              </w:rPr>
              <w:t>0</w:t>
            </w:r>
          </w:p>
        </w:tc>
        <w:tc>
          <w:tcPr>
            <w:tcW w:w="2874" w:type="dxa"/>
          </w:tcPr>
          <w:p w:rsidR="003F5784" w14:paraId="6D57D3C1" w14:textId="77777777">
            <w:pPr>
              <w:pStyle w:val="TableParagraph"/>
              <w:ind w:right="115"/>
              <w:rPr>
                <w:sz w:val="21"/>
              </w:rPr>
            </w:pPr>
            <w:r>
              <w:rPr>
                <w:spacing w:val="-4"/>
                <w:sz w:val="21"/>
              </w:rPr>
              <w:t>0.00</w:t>
            </w:r>
          </w:p>
        </w:tc>
      </w:tr>
      <w:tr w14:paraId="7E17FF95" w14:textId="77777777">
        <w:tblPrEx>
          <w:tblW w:w="0" w:type="auto"/>
          <w:tblInd w:w="482" w:type="dxa"/>
          <w:tblLayout w:type="fixed"/>
          <w:tblCellMar>
            <w:left w:w="0" w:type="dxa"/>
            <w:right w:w="0" w:type="dxa"/>
          </w:tblCellMar>
          <w:tblLook w:val="01E0"/>
        </w:tblPrEx>
        <w:trPr>
          <w:trHeight w:val="288"/>
        </w:trPr>
        <w:tc>
          <w:tcPr>
            <w:tcW w:w="5945" w:type="dxa"/>
            <w:tcBorders>
              <w:bottom w:val="single" w:sz="18" w:space="0" w:color="800000"/>
            </w:tcBorders>
          </w:tcPr>
          <w:p w:rsidR="003F5784" w14:paraId="4EBB8BE5" w14:textId="77777777">
            <w:pPr>
              <w:pStyle w:val="TableParagraph"/>
              <w:ind w:left="370"/>
              <w:jc w:val="left"/>
              <w:rPr>
                <w:sz w:val="21"/>
              </w:rPr>
            </w:pPr>
            <w:r>
              <w:rPr>
                <w:sz w:val="21"/>
              </w:rPr>
              <w:t>Other</w:t>
            </w:r>
            <w:r>
              <w:rPr>
                <w:spacing w:val="-8"/>
                <w:sz w:val="21"/>
              </w:rPr>
              <w:t xml:space="preserve"> </w:t>
            </w:r>
            <w:r>
              <w:rPr>
                <w:sz w:val="21"/>
              </w:rPr>
              <w:t>ineligible</w:t>
            </w:r>
            <w:r>
              <w:rPr>
                <w:spacing w:val="-7"/>
                <w:sz w:val="21"/>
              </w:rPr>
              <w:t xml:space="preserve"> </w:t>
            </w:r>
            <w:r>
              <w:rPr>
                <w:spacing w:val="-2"/>
                <w:sz w:val="21"/>
              </w:rPr>
              <w:t>school</w:t>
            </w:r>
          </w:p>
        </w:tc>
        <w:tc>
          <w:tcPr>
            <w:tcW w:w="5163" w:type="dxa"/>
            <w:tcBorders>
              <w:bottom w:val="single" w:sz="18" w:space="0" w:color="800000"/>
            </w:tcBorders>
          </w:tcPr>
          <w:p w:rsidR="003F5784" w14:paraId="0BF2B772" w14:textId="77777777">
            <w:pPr>
              <w:pStyle w:val="TableParagraph"/>
              <w:ind w:right="778"/>
              <w:rPr>
                <w:sz w:val="21"/>
              </w:rPr>
            </w:pPr>
            <w:r>
              <w:rPr>
                <w:spacing w:val="-10"/>
                <w:sz w:val="21"/>
              </w:rPr>
              <w:t>1</w:t>
            </w:r>
          </w:p>
        </w:tc>
        <w:tc>
          <w:tcPr>
            <w:tcW w:w="2874" w:type="dxa"/>
            <w:tcBorders>
              <w:bottom w:val="single" w:sz="18" w:space="0" w:color="800000"/>
            </w:tcBorders>
          </w:tcPr>
          <w:p w:rsidR="003F5784" w14:paraId="79744F6D" w14:textId="77777777">
            <w:pPr>
              <w:pStyle w:val="TableParagraph"/>
              <w:ind w:right="115"/>
              <w:rPr>
                <w:sz w:val="21"/>
              </w:rPr>
            </w:pPr>
            <w:r>
              <w:rPr>
                <w:spacing w:val="-4"/>
                <w:sz w:val="21"/>
              </w:rPr>
              <w:t>0.59</w:t>
            </w:r>
          </w:p>
        </w:tc>
      </w:tr>
      <w:tr w14:paraId="2B50EE5B" w14:textId="77777777">
        <w:tblPrEx>
          <w:tblW w:w="0" w:type="auto"/>
          <w:tblInd w:w="482" w:type="dxa"/>
          <w:tblLayout w:type="fixed"/>
          <w:tblCellMar>
            <w:left w:w="0" w:type="dxa"/>
            <w:right w:w="0" w:type="dxa"/>
          </w:tblCellMar>
          <w:tblLook w:val="01E0"/>
        </w:tblPrEx>
        <w:trPr>
          <w:trHeight w:val="472"/>
        </w:trPr>
        <w:tc>
          <w:tcPr>
            <w:tcW w:w="13982" w:type="dxa"/>
            <w:gridSpan w:val="3"/>
            <w:tcBorders>
              <w:top w:val="single" w:sz="18" w:space="0" w:color="800000"/>
            </w:tcBorders>
          </w:tcPr>
          <w:p w:rsidR="003F5784" w14:paraId="79B4E20C" w14:textId="77777777">
            <w:pPr>
              <w:pStyle w:val="TableParagraph"/>
              <w:spacing w:before="0" w:line="234" w:lineRule="exact"/>
              <w:ind w:left="120"/>
              <w:jc w:val="left"/>
              <w:rPr>
                <w:sz w:val="21"/>
              </w:rPr>
            </w:pPr>
            <w:r>
              <w:rPr>
                <w:sz w:val="21"/>
              </w:rPr>
              <w:t>NOTE:</w:t>
            </w:r>
            <w:r>
              <w:rPr>
                <w:spacing w:val="-6"/>
                <w:sz w:val="21"/>
              </w:rPr>
              <w:t xml:space="preserve"> </w:t>
            </w:r>
            <w:r>
              <w:rPr>
                <w:sz w:val="21"/>
              </w:rPr>
              <w:t>Numbers</w:t>
            </w:r>
            <w:r>
              <w:rPr>
                <w:spacing w:val="-6"/>
                <w:sz w:val="21"/>
              </w:rPr>
              <w:t xml:space="preserve"> </w:t>
            </w:r>
            <w:r>
              <w:rPr>
                <w:sz w:val="21"/>
              </w:rPr>
              <w:t>of</w:t>
            </w:r>
            <w:r>
              <w:rPr>
                <w:spacing w:val="-6"/>
                <w:sz w:val="21"/>
              </w:rPr>
              <w:t xml:space="preserve"> </w:t>
            </w:r>
            <w:r>
              <w:rPr>
                <w:sz w:val="21"/>
              </w:rPr>
              <w:t>schools</w:t>
            </w:r>
            <w:r>
              <w:rPr>
                <w:spacing w:val="-6"/>
                <w:sz w:val="21"/>
              </w:rPr>
              <w:t xml:space="preserve"> </w:t>
            </w:r>
            <w:r>
              <w:rPr>
                <w:sz w:val="21"/>
              </w:rPr>
              <w:t>are</w:t>
            </w:r>
            <w:r>
              <w:rPr>
                <w:spacing w:val="-6"/>
                <w:sz w:val="21"/>
              </w:rPr>
              <w:t xml:space="preserve"> </w:t>
            </w:r>
            <w:r>
              <w:rPr>
                <w:sz w:val="21"/>
              </w:rPr>
              <w:t>rounded</w:t>
            </w:r>
            <w:r>
              <w:rPr>
                <w:spacing w:val="-6"/>
                <w:sz w:val="21"/>
              </w:rPr>
              <w:t xml:space="preserve"> </w:t>
            </w:r>
            <w:r>
              <w:rPr>
                <w:sz w:val="21"/>
              </w:rPr>
              <w:t>to</w:t>
            </w:r>
            <w:r>
              <w:rPr>
                <w:spacing w:val="-6"/>
                <w:sz w:val="21"/>
              </w:rPr>
              <w:t xml:space="preserve"> </w:t>
            </w:r>
            <w:r>
              <w:rPr>
                <w:sz w:val="21"/>
              </w:rPr>
              <w:t>nearest</w:t>
            </w:r>
            <w:r>
              <w:rPr>
                <w:spacing w:val="-6"/>
                <w:sz w:val="21"/>
              </w:rPr>
              <w:t xml:space="preserve"> </w:t>
            </w:r>
            <w:r>
              <w:rPr>
                <w:sz w:val="21"/>
              </w:rPr>
              <w:t>ten,</w:t>
            </w:r>
            <w:r>
              <w:rPr>
                <w:spacing w:val="-6"/>
                <w:sz w:val="21"/>
              </w:rPr>
              <w:t xml:space="preserve"> </w:t>
            </w:r>
            <w:r>
              <w:rPr>
                <w:sz w:val="21"/>
              </w:rPr>
              <w:t>except</w:t>
            </w:r>
            <w:r>
              <w:rPr>
                <w:spacing w:val="-6"/>
                <w:sz w:val="21"/>
              </w:rPr>
              <w:t xml:space="preserve"> </w:t>
            </w:r>
            <w:r>
              <w:rPr>
                <w:sz w:val="21"/>
              </w:rPr>
              <w:t>those</w:t>
            </w:r>
            <w:r>
              <w:rPr>
                <w:spacing w:val="-6"/>
                <w:sz w:val="21"/>
              </w:rPr>
              <w:t xml:space="preserve"> </w:t>
            </w:r>
            <w:r>
              <w:rPr>
                <w:sz w:val="21"/>
              </w:rPr>
              <w:t>pertaining</w:t>
            </w:r>
            <w:r>
              <w:rPr>
                <w:spacing w:val="-6"/>
                <w:sz w:val="21"/>
              </w:rPr>
              <w:t xml:space="preserve"> </w:t>
            </w:r>
            <w:r>
              <w:rPr>
                <w:sz w:val="21"/>
              </w:rPr>
              <w:t>to</w:t>
            </w:r>
            <w:r>
              <w:rPr>
                <w:spacing w:val="-6"/>
                <w:sz w:val="21"/>
              </w:rPr>
              <w:t xml:space="preserve"> </w:t>
            </w:r>
            <w:r>
              <w:rPr>
                <w:sz w:val="21"/>
              </w:rPr>
              <w:t>ineligible</w:t>
            </w:r>
            <w:r>
              <w:rPr>
                <w:spacing w:val="-6"/>
                <w:sz w:val="21"/>
              </w:rPr>
              <w:t xml:space="preserve"> </w:t>
            </w:r>
            <w:r>
              <w:rPr>
                <w:sz w:val="21"/>
              </w:rPr>
              <w:t>schools.</w:t>
            </w:r>
            <w:r>
              <w:rPr>
                <w:spacing w:val="-6"/>
                <w:sz w:val="21"/>
              </w:rPr>
              <w:t xml:space="preserve"> </w:t>
            </w:r>
            <w:r>
              <w:rPr>
                <w:sz w:val="21"/>
              </w:rPr>
              <w:t>Detail</w:t>
            </w:r>
            <w:r>
              <w:rPr>
                <w:spacing w:val="-6"/>
                <w:sz w:val="21"/>
              </w:rPr>
              <w:t xml:space="preserve"> </w:t>
            </w:r>
            <w:r>
              <w:rPr>
                <w:sz w:val="21"/>
              </w:rPr>
              <w:t>may</w:t>
            </w:r>
            <w:r>
              <w:rPr>
                <w:spacing w:val="-6"/>
                <w:sz w:val="21"/>
              </w:rPr>
              <w:t xml:space="preserve"> </w:t>
            </w:r>
            <w:r>
              <w:rPr>
                <w:sz w:val="21"/>
              </w:rPr>
              <w:t>not</w:t>
            </w:r>
            <w:r>
              <w:rPr>
                <w:spacing w:val="-6"/>
                <w:sz w:val="21"/>
              </w:rPr>
              <w:t xml:space="preserve"> </w:t>
            </w:r>
            <w:r>
              <w:rPr>
                <w:sz w:val="21"/>
              </w:rPr>
              <w:t>sum</w:t>
            </w:r>
            <w:r>
              <w:rPr>
                <w:spacing w:val="-6"/>
                <w:sz w:val="21"/>
              </w:rPr>
              <w:t xml:space="preserve"> </w:t>
            </w:r>
            <w:r>
              <w:rPr>
                <w:sz w:val="21"/>
              </w:rPr>
              <w:t>to</w:t>
            </w:r>
            <w:r>
              <w:rPr>
                <w:spacing w:val="-6"/>
                <w:sz w:val="21"/>
              </w:rPr>
              <w:t xml:space="preserve"> </w:t>
            </w:r>
            <w:r>
              <w:rPr>
                <w:sz w:val="21"/>
              </w:rPr>
              <w:t>total</w:t>
            </w:r>
            <w:r>
              <w:rPr>
                <w:spacing w:val="-6"/>
                <w:sz w:val="21"/>
              </w:rPr>
              <w:t xml:space="preserve"> </w:t>
            </w:r>
            <w:r>
              <w:rPr>
                <w:sz w:val="21"/>
              </w:rPr>
              <w:t>due</w:t>
            </w:r>
            <w:r>
              <w:rPr>
                <w:spacing w:val="-6"/>
                <w:sz w:val="21"/>
              </w:rPr>
              <w:t xml:space="preserve"> </w:t>
            </w:r>
            <w:r>
              <w:rPr>
                <w:sz w:val="21"/>
              </w:rPr>
              <w:t>to</w:t>
            </w:r>
            <w:r>
              <w:rPr>
                <w:spacing w:val="-6"/>
                <w:sz w:val="21"/>
              </w:rPr>
              <w:t xml:space="preserve"> </w:t>
            </w:r>
            <w:r>
              <w:rPr>
                <w:sz w:val="21"/>
              </w:rPr>
              <w:t>rounding.</w:t>
            </w:r>
            <w:r>
              <w:rPr>
                <w:spacing w:val="-6"/>
                <w:sz w:val="21"/>
              </w:rPr>
              <w:t xml:space="preserve"> </w:t>
            </w:r>
            <w:r>
              <w:rPr>
                <w:sz w:val="21"/>
              </w:rPr>
              <w:t>Percentages</w:t>
            </w:r>
            <w:r>
              <w:rPr>
                <w:spacing w:val="-6"/>
                <w:sz w:val="21"/>
              </w:rPr>
              <w:t xml:space="preserve"> </w:t>
            </w:r>
            <w:r>
              <w:rPr>
                <w:sz w:val="21"/>
              </w:rPr>
              <w:t>are based on unrounded counts.</w:t>
            </w:r>
          </w:p>
        </w:tc>
      </w:tr>
    </w:tbl>
    <w:p w:rsidR="003F5784" w14:paraId="5AD4E69C" w14:textId="77777777">
      <w:pPr>
        <w:pStyle w:val="BodyText"/>
        <w:spacing w:before="4"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National Civics and U.S. History Assessments.</w:t>
      </w:r>
    </w:p>
    <w:p w:rsidR="003F5784" w14:paraId="349FC870" w14:textId="77777777">
      <w:pPr>
        <w:spacing w:line="232" w:lineRule="auto"/>
        <w:sectPr>
          <w:type w:val="continuous"/>
          <w:pgSz w:w="15840" w:h="12240" w:orient="landscape"/>
          <w:pgMar w:top="480" w:right="440" w:bottom="460" w:left="460" w:header="284" w:footer="275" w:gutter="0"/>
          <w:cols w:space="720"/>
        </w:sectPr>
      </w:pPr>
    </w:p>
    <w:p w:rsidR="003F5784" w14:paraId="70D93B63" w14:textId="77777777">
      <w:pPr>
        <w:pStyle w:val="BodyText"/>
        <w:rPr>
          <w:sz w:val="18"/>
        </w:rPr>
      </w:pPr>
    </w:p>
    <w:p w:rsidR="003F5784" w14:paraId="58C848D6" w14:textId="77777777">
      <w:pPr>
        <w:pStyle w:val="BodyText"/>
        <w:rPr>
          <w:sz w:val="18"/>
        </w:rPr>
      </w:pPr>
    </w:p>
    <w:p w:rsidR="003F5784" w14:paraId="169F2DF5" w14:textId="77777777">
      <w:pPr>
        <w:pStyle w:val="BodyText"/>
        <w:spacing w:before="118"/>
        <w:rPr>
          <w:sz w:val="18"/>
        </w:rPr>
      </w:pPr>
    </w:p>
    <w:p w:rsidR="003F5784" w14:paraId="73B2DF46" w14:textId="77777777">
      <w:pPr>
        <w:ind w:left="1092"/>
        <w:rPr>
          <w:sz w:val="18"/>
        </w:rPr>
      </w:pPr>
      <w:hyperlink r:id="rId17">
        <w:r>
          <w:rPr>
            <w:spacing w:val="-2"/>
            <w:w w:val="105"/>
            <w:sz w:val="18"/>
          </w:rPr>
          <w:t>http://nces.ed.gov/nationsreportcard/tdw/sample_design/2022/eligibility_status_of_schools_sampled_for_the_2022_8th_grade_private_sch_nat_assess_in_civics_and_us_history.aspx</w:t>
        </w:r>
      </w:hyperlink>
    </w:p>
    <w:p w:rsidR="003F5784" w14:paraId="302C8760" w14:textId="77777777">
      <w:pPr>
        <w:pStyle w:val="BodyText"/>
        <w:rPr>
          <w:sz w:val="16"/>
        </w:rPr>
      </w:pPr>
      <w:r>
        <w:rPr>
          <w:noProof/>
        </w:rPr>
        <mc:AlternateContent>
          <mc:Choice Requires="wps">
            <w:drawing>
              <wp:anchor distT="0" distB="0" distL="0" distR="0" simplePos="0" relativeHeight="251724800" behindDoc="1" locked="0" layoutInCell="1" allowOverlap="1">
                <wp:simplePos x="0" y="0"/>
                <wp:positionH relativeFrom="page">
                  <wp:posOffset>361937</wp:posOffset>
                </wp:positionH>
                <wp:positionV relativeFrom="paragraph">
                  <wp:posOffset>132641</wp:posOffset>
                </wp:positionV>
                <wp:extent cx="9339580" cy="8890"/>
                <wp:effectExtent l="0" t="0" r="0" b="0"/>
                <wp:wrapTopAndBottom/>
                <wp:docPr id="28" name="Graphic 2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8280" y="8267"/>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8" o:spid="_x0000_s1030" style="width:735.4pt;height:0.7pt;margin-top:10.45pt;margin-left:28.5pt;mso-position-horizontal-relative:page;mso-wrap-distance-bottom:0;mso-wrap-distance-left:0;mso-wrap-distance-right:0;mso-wrap-distance-top:0;mso-wrap-style:square;position:absolute;visibility:visible;v-text-anchor:top;z-index:-251590656" coordsize="9339580,8890" path="m9338970,l9335110,l8280,,,,,8267l8280,8267l9335110,8267l9338970,8267l9338970,xe" fillcolor="gray" stroked="f">
                <v:path arrowok="t"/>
                <w10:wrap type="topAndBottom"/>
              </v:shape>
            </w:pict>
          </mc:Fallback>
        </mc:AlternateContent>
      </w:r>
    </w:p>
    <w:p w:rsidR="003F5784" w14:paraId="37524CF6" w14:textId="77777777">
      <w:pPr>
        <w:pStyle w:val="BodyText"/>
        <w:rPr>
          <w:sz w:val="18"/>
        </w:rPr>
      </w:pPr>
    </w:p>
    <w:p w:rsidR="003F5784" w14:paraId="6B5F4019" w14:textId="77777777">
      <w:pPr>
        <w:pStyle w:val="BodyText"/>
        <w:spacing w:before="193"/>
        <w:rPr>
          <w:sz w:val="18"/>
        </w:rPr>
      </w:pPr>
    </w:p>
    <w:p w:rsidR="003F5784" w14:paraId="402AEAE7" w14:textId="5E24CA35">
      <w:pPr>
        <w:pStyle w:val="Heading1"/>
        <w:spacing w:line="244" w:lineRule="auto"/>
        <w:ind w:right="588"/>
      </w:pPr>
      <w:r>
        <w:t>NAEP</w:t>
      </w:r>
      <w:r>
        <w:rPr>
          <w:spacing w:val="-20"/>
        </w:rPr>
        <w:t xml:space="preserve"> </w:t>
      </w:r>
      <w:r>
        <w:t>Technical Documentation</w:t>
      </w:r>
      <w:r w:rsidR="00324096">
        <w:t xml:space="preserve"> </w:t>
      </w:r>
      <w:r>
        <w:t>Total and Eligible Sampled Schools for the 2022 Eighth-Grade</w:t>
      </w:r>
      <w:r>
        <w:rPr>
          <w:spacing w:val="40"/>
        </w:rPr>
        <w:t xml:space="preserve"> </w:t>
      </w:r>
      <w:r>
        <w:t>Private</w:t>
      </w:r>
      <w:r>
        <w:rPr>
          <w:spacing w:val="40"/>
        </w:rPr>
        <w:t xml:space="preserve"> </w:t>
      </w:r>
      <w:r>
        <w:t>School</w:t>
      </w:r>
      <w:r>
        <w:rPr>
          <w:spacing w:val="40"/>
        </w:rPr>
        <w:t xml:space="preserve"> </w:t>
      </w:r>
      <w:r>
        <w:t>National Assessment</w:t>
      </w:r>
      <w:r>
        <w:rPr>
          <w:spacing w:val="40"/>
        </w:rPr>
        <w:t xml:space="preserve"> </w:t>
      </w:r>
      <w:r>
        <w:t>in</w:t>
      </w:r>
      <w:r>
        <w:rPr>
          <w:spacing w:val="40"/>
        </w:rPr>
        <w:t xml:space="preserve"> </w:t>
      </w:r>
      <w:r>
        <w:t>Civics</w:t>
      </w:r>
      <w:r>
        <w:rPr>
          <w:spacing w:val="40"/>
        </w:rPr>
        <w:t xml:space="preserve"> </w:t>
      </w:r>
      <w:r>
        <w:t>and</w:t>
      </w:r>
      <w:r>
        <w:rPr>
          <w:spacing w:val="40"/>
        </w:rPr>
        <w:t xml:space="preserve"> </w:t>
      </w:r>
      <w:r>
        <w:t>U.S.</w:t>
      </w:r>
      <w:r>
        <w:rPr>
          <w:spacing w:val="40"/>
        </w:rPr>
        <w:t xml:space="preserve"> </w:t>
      </w:r>
      <w:r>
        <w:t>History</w:t>
      </w:r>
    </w:p>
    <w:p w:rsidR="003F5784" w14:paraId="49828871" w14:textId="77777777">
      <w:pPr>
        <w:pStyle w:val="BodyText"/>
        <w:spacing w:before="287" w:line="232" w:lineRule="auto"/>
        <w:ind w:left="109"/>
      </w:pPr>
      <w:r>
        <w:t>The</w:t>
      </w:r>
      <w:r>
        <w:rPr>
          <w:spacing w:val="-6"/>
        </w:rPr>
        <w:t xml:space="preserve"> </w:t>
      </w:r>
      <w:r>
        <w:t>following</w:t>
      </w:r>
      <w:r>
        <w:rPr>
          <w:spacing w:val="-6"/>
        </w:rPr>
        <w:t xml:space="preserve"> </w:t>
      </w:r>
      <w:r>
        <w:t>table</w:t>
      </w:r>
      <w:r>
        <w:rPr>
          <w:spacing w:val="-6"/>
        </w:rPr>
        <w:t xml:space="preserve"> </w:t>
      </w:r>
      <w:r>
        <w:t>presents</w:t>
      </w:r>
      <w:r>
        <w:rPr>
          <w:spacing w:val="-6"/>
        </w:rPr>
        <w:t xml:space="preserve"> </w:t>
      </w:r>
      <w:r>
        <w:t>unweighted</w:t>
      </w:r>
      <w:r>
        <w:rPr>
          <w:spacing w:val="-6"/>
        </w:rPr>
        <w:t xml:space="preserve"> </w:t>
      </w:r>
      <w:r>
        <w:t>counts</w:t>
      </w:r>
      <w:r>
        <w:rPr>
          <w:spacing w:val="-6"/>
        </w:rPr>
        <w:t xml:space="preserve"> </w:t>
      </w:r>
      <w:r>
        <w:t>and</w:t>
      </w:r>
      <w:r>
        <w:rPr>
          <w:spacing w:val="-6"/>
        </w:rPr>
        <w:t xml:space="preserve"> </w:t>
      </w:r>
      <w:r>
        <w:t>percentages</w:t>
      </w:r>
      <w:r>
        <w:rPr>
          <w:spacing w:val="-6"/>
        </w:rPr>
        <w:t xml:space="preserve"> </w:t>
      </w:r>
      <w:r>
        <w:t>of</w:t>
      </w:r>
      <w:r>
        <w:rPr>
          <w:spacing w:val="-6"/>
        </w:rPr>
        <w:t xml:space="preserve"> </w:t>
      </w:r>
      <w:r>
        <w:t>ineligible</w:t>
      </w:r>
      <w:r>
        <w:rPr>
          <w:spacing w:val="-6"/>
        </w:rPr>
        <w:t xml:space="preserve"> </w:t>
      </w:r>
      <w:r>
        <w:t>and</w:t>
      </w:r>
      <w:r>
        <w:rPr>
          <w:spacing w:val="-6"/>
        </w:rPr>
        <w:t xml:space="preserve"> </w:t>
      </w:r>
      <w:r>
        <w:t>eligible</w:t>
      </w:r>
      <w:r>
        <w:rPr>
          <w:spacing w:val="-6"/>
        </w:rPr>
        <w:t xml:space="preserve"> </w:t>
      </w:r>
      <w:r>
        <w:t>schools</w:t>
      </w:r>
      <w:r>
        <w:rPr>
          <w:spacing w:val="-6"/>
        </w:rPr>
        <w:t xml:space="preserve"> </w:t>
      </w:r>
      <w:r>
        <w:t>by</w:t>
      </w:r>
      <w:r>
        <w:rPr>
          <w:spacing w:val="-6"/>
        </w:rPr>
        <w:t xml:space="preserve"> </w:t>
      </w:r>
      <w:r>
        <w:t>private</w:t>
      </w:r>
      <w:r>
        <w:rPr>
          <w:spacing w:val="-6"/>
        </w:rPr>
        <w:t xml:space="preserve"> </w:t>
      </w:r>
      <w:r>
        <w:t>school</w:t>
      </w:r>
      <w:r>
        <w:rPr>
          <w:spacing w:val="-6"/>
        </w:rPr>
        <w:t xml:space="preserve"> </w:t>
      </w:r>
      <w:r>
        <w:t>affiliation</w:t>
      </w:r>
      <w:r>
        <w:rPr>
          <w:spacing w:val="-6"/>
        </w:rPr>
        <w:t xml:space="preserve"> </w:t>
      </w:r>
      <w:r>
        <w:t>in</w:t>
      </w:r>
      <w:r>
        <w:rPr>
          <w:spacing w:val="-6"/>
        </w:rPr>
        <w:t xml:space="preserve"> </w:t>
      </w:r>
      <w:r>
        <w:t>the</w:t>
      </w:r>
      <w:r>
        <w:rPr>
          <w:spacing w:val="-6"/>
        </w:rPr>
        <w:t xml:space="preserve"> </w:t>
      </w:r>
      <w:r>
        <w:t>eighth-grade</w:t>
      </w:r>
      <w:r>
        <w:rPr>
          <w:spacing w:val="-6"/>
        </w:rPr>
        <w:t xml:space="preserve"> </w:t>
      </w:r>
      <w:r>
        <w:t>private</w:t>
      </w:r>
      <w:r>
        <w:rPr>
          <w:spacing w:val="-6"/>
        </w:rPr>
        <w:t xml:space="preserve"> </w:t>
      </w:r>
      <w:r>
        <w:t>school</w:t>
      </w:r>
      <w:r>
        <w:rPr>
          <w:spacing w:val="-6"/>
        </w:rPr>
        <w:t xml:space="preserve"> </w:t>
      </w:r>
      <w:r>
        <w:t>sample</w:t>
      </w:r>
      <w:r>
        <w:rPr>
          <w:spacing w:val="-6"/>
        </w:rPr>
        <w:t xml:space="preserve"> </w:t>
      </w:r>
      <w:r>
        <w:t>for</w:t>
      </w:r>
      <w:r>
        <w:rPr>
          <w:spacing w:val="-6"/>
        </w:rPr>
        <w:t xml:space="preserve"> </w:t>
      </w:r>
      <w:r>
        <w:t>the national assessments in civics and U.S. history. Schools whose private school affiliation was unknown at the time of sampling subsequently had their affiliation determined during data collection. Therefore, such schools are not broken out separately and not included in the following table.</w:t>
      </w:r>
    </w:p>
    <w:p w:rsidR="003F5784" w14:paraId="2FB93FCD" w14:textId="77777777">
      <w:pPr>
        <w:pStyle w:val="BodyText"/>
        <w:spacing w:before="92"/>
      </w:pPr>
    </w:p>
    <w:p w:rsidR="003F5784" w14:paraId="70D172C3" w14:textId="77777777">
      <w:pPr>
        <w:pStyle w:val="Heading2"/>
      </w:pPr>
      <w:r>
        <w:t>Eligibility</w:t>
      </w:r>
      <w:r>
        <w:rPr>
          <w:spacing w:val="-8"/>
        </w:rPr>
        <w:t xml:space="preserve"> </w:t>
      </w:r>
      <w:r>
        <w:t>status</w:t>
      </w:r>
      <w:r>
        <w:rPr>
          <w:spacing w:val="-8"/>
        </w:rPr>
        <w:t xml:space="preserve"> </w:t>
      </w:r>
      <w:r>
        <w:t>of</w:t>
      </w:r>
      <w:r>
        <w:rPr>
          <w:spacing w:val="-7"/>
        </w:rPr>
        <w:t xml:space="preserve"> </w:t>
      </w:r>
      <w:r>
        <w:t>sampled</w:t>
      </w:r>
      <w:r>
        <w:rPr>
          <w:spacing w:val="-8"/>
        </w:rPr>
        <w:t xml:space="preserve"> </w:t>
      </w:r>
      <w:r>
        <w:t>private</w:t>
      </w:r>
      <w:r>
        <w:rPr>
          <w:spacing w:val="-7"/>
        </w:rPr>
        <w:t xml:space="preserve"> </w:t>
      </w:r>
      <w:r>
        <w:t>schools,</w:t>
      </w:r>
      <w:r>
        <w:rPr>
          <w:spacing w:val="-8"/>
        </w:rPr>
        <w:t xml:space="preserve"> </w:t>
      </w:r>
      <w:r>
        <w:t>eighth-grade</w:t>
      </w:r>
      <w:r>
        <w:rPr>
          <w:spacing w:val="-7"/>
        </w:rPr>
        <w:t xml:space="preserve"> </w:t>
      </w:r>
      <w:r>
        <w:t>national</w:t>
      </w:r>
      <w:r>
        <w:rPr>
          <w:spacing w:val="-8"/>
        </w:rPr>
        <w:t xml:space="preserve"> </w:t>
      </w:r>
      <w:r>
        <w:t>assessment,</w:t>
      </w:r>
      <w:r>
        <w:rPr>
          <w:spacing w:val="-7"/>
        </w:rPr>
        <w:t xml:space="preserve"> </w:t>
      </w:r>
      <w:r>
        <w:t>by</w:t>
      </w:r>
      <w:r>
        <w:rPr>
          <w:spacing w:val="-8"/>
        </w:rPr>
        <w:t xml:space="preserve"> </w:t>
      </w:r>
      <w:r>
        <w:t>private</w:t>
      </w:r>
      <w:r>
        <w:rPr>
          <w:spacing w:val="-7"/>
        </w:rPr>
        <w:t xml:space="preserve"> </w:t>
      </w:r>
      <w:r>
        <w:t>school</w:t>
      </w:r>
      <w:r>
        <w:rPr>
          <w:spacing w:val="-8"/>
        </w:rPr>
        <w:t xml:space="preserve"> </w:t>
      </w:r>
      <w:r>
        <w:t>type:</w:t>
      </w:r>
      <w:r>
        <w:rPr>
          <w:spacing w:val="-7"/>
        </w:rPr>
        <w:t xml:space="preserve"> </w:t>
      </w:r>
      <w:r>
        <w:rPr>
          <w:spacing w:val="-4"/>
        </w:rPr>
        <w:t>2022</w:t>
      </w:r>
    </w:p>
    <w:p w:rsidR="003F5784" w14:paraId="2E2C9422"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2741"/>
        <w:gridCol w:w="4530"/>
        <w:gridCol w:w="3542"/>
        <w:gridCol w:w="3172"/>
      </w:tblGrid>
      <w:tr w14:paraId="15F3CBBE" w14:textId="77777777">
        <w:tblPrEx>
          <w:tblW w:w="0" w:type="auto"/>
          <w:tblInd w:w="482" w:type="dxa"/>
          <w:tblLayout w:type="fixed"/>
          <w:tblCellMar>
            <w:left w:w="0" w:type="dxa"/>
            <w:right w:w="0" w:type="dxa"/>
          </w:tblCellMar>
          <w:tblLook w:val="01E0"/>
        </w:tblPrEx>
        <w:trPr>
          <w:trHeight w:val="267"/>
        </w:trPr>
        <w:tc>
          <w:tcPr>
            <w:tcW w:w="2741" w:type="dxa"/>
            <w:tcBorders>
              <w:top w:val="single" w:sz="18" w:space="0" w:color="800000"/>
              <w:bottom w:val="single" w:sz="18" w:space="0" w:color="800000"/>
            </w:tcBorders>
          </w:tcPr>
          <w:p w:rsidR="003F5784" w14:paraId="7F3BA866" w14:textId="77777777">
            <w:pPr>
              <w:pStyle w:val="TableParagraph"/>
              <w:spacing w:before="9" w:line="238" w:lineRule="exact"/>
              <w:ind w:left="120"/>
              <w:jc w:val="left"/>
              <w:rPr>
                <w:sz w:val="21"/>
              </w:rPr>
            </w:pPr>
            <w:r>
              <w:rPr>
                <w:sz w:val="21"/>
              </w:rPr>
              <w:t>Private</w:t>
            </w:r>
            <w:r>
              <w:rPr>
                <w:spacing w:val="-7"/>
                <w:sz w:val="21"/>
              </w:rPr>
              <w:t xml:space="preserve"> </w:t>
            </w:r>
            <w:r>
              <w:rPr>
                <w:sz w:val="21"/>
              </w:rPr>
              <w:t>school</w:t>
            </w:r>
            <w:r>
              <w:rPr>
                <w:spacing w:val="-7"/>
                <w:sz w:val="21"/>
              </w:rPr>
              <w:t xml:space="preserve"> </w:t>
            </w:r>
            <w:r>
              <w:rPr>
                <w:spacing w:val="-4"/>
                <w:sz w:val="21"/>
              </w:rPr>
              <w:t>type</w:t>
            </w:r>
          </w:p>
        </w:tc>
        <w:tc>
          <w:tcPr>
            <w:tcW w:w="4530" w:type="dxa"/>
            <w:tcBorders>
              <w:top w:val="single" w:sz="18" w:space="0" w:color="800000"/>
              <w:bottom w:val="single" w:sz="18" w:space="0" w:color="800000"/>
            </w:tcBorders>
          </w:tcPr>
          <w:p w:rsidR="003F5784" w14:paraId="2EB85F45" w14:textId="77777777">
            <w:pPr>
              <w:pStyle w:val="TableParagraph"/>
              <w:spacing w:before="9" w:line="238" w:lineRule="exact"/>
              <w:ind w:left="2227"/>
              <w:jc w:val="left"/>
              <w:rPr>
                <w:sz w:val="21"/>
              </w:rPr>
            </w:pPr>
            <w:r>
              <w:rPr>
                <w:sz w:val="21"/>
              </w:rPr>
              <w:t>Eligibility</w:t>
            </w:r>
            <w:r>
              <w:rPr>
                <w:spacing w:val="-10"/>
                <w:sz w:val="21"/>
              </w:rPr>
              <w:t xml:space="preserve"> </w:t>
            </w:r>
            <w:r>
              <w:rPr>
                <w:spacing w:val="-2"/>
                <w:sz w:val="21"/>
              </w:rPr>
              <w:t>status</w:t>
            </w:r>
          </w:p>
        </w:tc>
        <w:tc>
          <w:tcPr>
            <w:tcW w:w="3542" w:type="dxa"/>
            <w:tcBorders>
              <w:top w:val="single" w:sz="18" w:space="0" w:color="800000"/>
              <w:bottom w:val="single" w:sz="18" w:space="0" w:color="800000"/>
            </w:tcBorders>
          </w:tcPr>
          <w:p w:rsidR="003F5784" w14:paraId="722BAA9D" w14:textId="77777777">
            <w:pPr>
              <w:pStyle w:val="TableParagraph"/>
              <w:spacing w:before="9" w:line="238" w:lineRule="exact"/>
              <w:ind w:right="1076"/>
              <w:rPr>
                <w:sz w:val="21"/>
              </w:rPr>
            </w:pPr>
            <w:r>
              <w:rPr>
                <w:sz w:val="21"/>
              </w:rPr>
              <w:t>Unweighted</w:t>
            </w:r>
            <w:r>
              <w:rPr>
                <w:spacing w:val="-12"/>
                <w:sz w:val="21"/>
              </w:rPr>
              <w:t xml:space="preserve"> </w:t>
            </w:r>
            <w:r>
              <w:rPr>
                <w:spacing w:val="-2"/>
                <w:sz w:val="21"/>
              </w:rPr>
              <w:t>count</w:t>
            </w:r>
          </w:p>
        </w:tc>
        <w:tc>
          <w:tcPr>
            <w:tcW w:w="3172" w:type="dxa"/>
            <w:tcBorders>
              <w:top w:val="single" w:sz="18" w:space="0" w:color="800000"/>
              <w:bottom w:val="single" w:sz="18" w:space="0" w:color="800000"/>
            </w:tcBorders>
          </w:tcPr>
          <w:p w:rsidR="003F5784" w14:paraId="103D2CFE" w14:textId="77777777">
            <w:pPr>
              <w:pStyle w:val="TableParagraph"/>
              <w:spacing w:before="9" w:line="238" w:lineRule="exact"/>
              <w:ind w:right="118"/>
              <w:rPr>
                <w:sz w:val="21"/>
              </w:rPr>
            </w:pPr>
            <w:r>
              <w:rPr>
                <w:sz w:val="21"/>
              </w:rPr>
              <w:t>Unweighted</w:t>
            </w:r>
            <w:r>
              <w:rPr>
                <w:spacing w:val="-12"/>
                <w:sz w:val="21"/>
              </w:rPr>
              <w:t xml:space="preserve"> </w:t>
            </w:r>
            <w:r>
              <w:rPr>
                <w:spacing w:val="-2"/>
                <w:sz w:val="21"/>
              </w:rPr>
              <w:t>percentage</w:t>
            </w:r>
          </w:p>
        </w:tc>
      </w:tr>
      <w:tr w14:paraId="053F4ACA" w14:textId="77777777">
        <w:tblPrEx>
          <w:tblW w:w="0" w:type="auto"/>
          <w:tblInd w:w="482" w:type="dxa"/>
          <w:tblLayout w:type="fixed"/>
          <w:tblCellMar>
            <w:left w:w="0" w:type="dxa"/>
            <w:right w:w="0" w:type="dxa"/>
          </w:tblCellMar>
          <w:tblLook w:val="01E0"/>
        </w:tblPrEx>
        <w:trPr>
          <w:trHeight w:val="278"/>
        </w:trPr>
        <w:tc>
          <w:tcPr>
            <w:tcW w:w="2741" w:type="dxa"/>
            <w:tcBorders>
              <w:top w:val="single" w:sz="18" w:space="0" w:color="800000"/>
            </w:tcBorders>
          </w:tcPr>
          <w:p w:rsidR="003F5784" w14:paraId="44DBE5BB" w14:textId="77777777">
            <w:pPr>
              <w:pStyle w:val="TableParagraph"/>
              <w:spacing w:before="9"/>
              <w:ind w:left="120"/>
              <w:jc w:val="left"/>
              <w:rPr>
                <w:sz w:val="21"/>
              </w:rPr>
            </w:pPr>
            <w:r>
              <w:rPr>
                <w:sz w:val="21"/>
              </w:rPr>
              <w:t>All</w:t>
            </w:r>
            <w:r>
              <w:rPr>
                <w:spacing w:val="-4"/>
                <w:sz w:val="21"/>
              </w:rPr>
              <w:t xml:space="preserve"> </w:t>
            </w:r>
            <w:r>
              <w:rPr>
                <w:spacing w:val="-2"/>
                <w:sz w:val="21"/>
              </w:rPr>
              <w:t>private</w:t>
            </w:r>
          </w:p>
        </w:tc>
        <w:tc>
          <w:tcPr>
            <w:tcW w:w="4530" w:type="dxa"/>
            <w:tcBorders>
              <w:top w:val="single" w:sz="18" w:space="0" w:color="800000"/>
            </w:tcBorders>
          </w:tcPr>
          <w:p w:rsidR="003F5784" w14:paraId="43090921" w14:textId="77777777">
            <w:pPr>
              <w:pStyle w:val="TableParagraph"/>
              <w:spacing w:before="9"/>
              <w:ind w:left="1022"/>
              <w:jc w:val="left"/>
              <w:rPr>
                <w:b/>
                <w:sz w:val="21"/>
              </w:rPr>
            </w:pPr>
            <w:r>
              <w:rPr>
                <w:b/>
                <w:spacing w:val="-2"/>
                <w:sz w:val="21"/>
              </w:rPr>
              <w:t>Total</w:t>
            </w:r>
          </w:p>
        </w:tc>
        <w:tc>
          <w:tcPr>
            <w:tcW w:w="3542" w:type="dxa"/>
            <w:tcBorders>
              <w:top w:val="single" w:sz="18" w:space="0" w:color="800000"/>
            </w:tcBorders>
          </w:tcPr>
          <w:p w:rsidR="003F5784" w14:paraId="4CB01ACB" w14:textId="77777777">
            <w:pPr>
              <w:pStyle w:val="TableParagraph"/>
              <w:spacing w:before="9"/>
              <w:ind w:right="1076"/>
              <w:rPr>
                <w:b/>
                <w:sz w:val="21"/>
              </w:rPr>
            </w:pPr>
            <w:r>
              <w:rPr>
                <w:b/>
                <w:spacing w:val="-5"/>
                <w:sz w:val="21"/>
              </w:rPr>
              <w:t>140</w:t>
            </w:r>
          </w:p>
        </w:tc>
        <w:tc>
          <w:tcPr>
            <w:tcW w:w="3172" w:type="dxa"/>
            <w:tcBorders>
              <w:top w:val="single" w:sz="18" w:space="0" w:color="800000"/>
            </w:tcBorders>
          </w:tcPr>
          <w:p w:rsidR="003F5784" w14:paraId="1B00B57D" w14:textId="77777777">
            <w:pPr>
              <w:pStyle w:val="TableParagraph"/>
              <w:spacing w:before="9"/>
              <w:ind w:right="118"/>
              <w:rPr>
                <w:b/>
                <w:sz w:val="21"/>
              </w:rPr>
            </w:pPr>
            <w:r>
              <w:rPr>
                <w:b/>
                <w:spacing w:val="-2"/>
                <w:sz w:val="21"/>
              </w:rPr>
              <w:t>100.00</w:t>
            </w:r>
          </w:p>
        </w:tc>
      </w:tr>
      <w:tr w14:paraId="56B7D191" w14:textId="77777777">
        <w:tblPrEx>
          <w:tblW w:w="0" w:type="auto"/>
          <w:tblInd w:w="482" w:type="dxa"/>
          <w:tblLayout w:type="fixed"/>
          <w:tblCellMar>
            <w:left w:w="0" w:type="dxa"/>
            <w:right w:w="0" w:type="dxa"/>
          </w:tblCellMar>
          <w:tblLook w:val="01E0"/>
        </w:tblPrEx>
        <w:trPr>
          <w:trHeight w:val="286"/>
        </w:trPr>
        <w:tc>
          <w:tcPr>
            <w:tcW w:w="2741" w:type="dxa"/>
          </w:tcPr>
          <w:p w:rsidR="003F5784" w14:paraId="6824DAB5" w14:textId="77777777">
            <w:pPr>
              <w:pStyle w:val="TableParagraph"/>
              <w:spacing w:before="0"/>
              <w:jc w:val="left"/>
              <w:rPr>
                <w:sz w:val="20"/>
              </w:rPr>
            </w:pPr>
          </w:p>
        </w:tc>
        <w:tc>
          <w:tcPr>
            <w:tcW w:w="4530" w:type="dxa"/>
          </w:tcPr>
          <w:p w:rsidR="003F5784" w14:paraId="68E73BDA" w14:textId="77777777">
            <w:pPr>
              <w:pStyle w:val="TableParagraph"/>
              <w:ind w:left="771"/>
              <w:jc w:val="left"/>
              <w:rPr>
                <w:sz w:val="21"/>
              </w:rPr>
            </w:pPr>
            <w:r>
              <w:rPr>
                <w:spacing w:val="-2"/>
                <w:sz w:val="21"/>
              </w:rPr>
              <w:t>Ineligible</w:t>
            </w:r>
          </w:p>
        </w:tc>
        <w:tc>
          <w:tcPr>
            <w:tcW w:w="3542" w:type="dxa"/>
          </w:tcPr>
          <w:p w:rsidR="003F5784" w14:paraId="09EFFBD5" w14:textId="77777777">
            <w:pPr>
              <w:pStyle w:val="TableParagraph"/>
              <w:ind w:right="1076"/>
              <w:rPr>
                <w:sz w:val="21"/>
              </w:rPr>
            </w:pPr>
            <w:r>
              <w:rPr>
                <w:spacing w:val="-5"/>
                <w:sz w:val="21"/>
              </w:rPr>
              <w:t>20</w:t>
            </w:r>
          </w:p>
        </w:tc>
        <w:tc>
          <w:tcPr>
            <w:tcW w:w="3172" w:type="dxa"/>
          </w:tcPr>
          <w:p w:rsidR="003F5784" w14:paraId="569CC17E" w14:textId="77777777">
            <w:pPr>
              <w:pStyle w:val="TableParagraph"/>
              <w:ind w:right="118"/>
              <w:rPr>
                <w:sz w:val="21"/>
              </w:rPr>
            </w:pPr>
            <w:r>
              <w:rPr>
                <w:spacing w:val="-2"/>
                <w:sz w:val="21"/>
              </w:rPr>
              <w:t>14.29</w:t>
            </w:r>
          </w:p>
        </w:tc>
      </w:tr>
      <w:tr w14:paraId="2ACC3926" w14:textId="77777777">
        <w:tblPrEx>
          <w:tblW w:w="0" w:type="auto"/>
          <w:tblInd w:w="482" w:type="dxa"/>
          <w:tblLayout w:type="fixed"/>
          <w:tblCellMar>
            <w:left w:w="0" w:type="dxa"/>
            <w:right w:w="0" w:type="dxa"/>
          </w:tblCellMar>
          <w:tblLook w:val="01E0"/>
        </w:tblPrEx>
        <w:trPr>
          <w:trHeight w:val="289"/>
        </w:trPr>
        <w:tc>
          <w:tcPr>
            <w:tcW w:w="2741" w:type="dxa"/>
            <w:tcBorders>
              <w:bottom w:val="single" w:sz="12" w:space="0" w:color="800000"/>
            </w:tcBorders>
          </w:tcPr>
          <w:p w:rsidR="003F5784" w14:paraId="64EF9CDD" w14:textId="77777777">
            <w:pPr>
              <w:pStyle w:val="TableParagraph"/>
              <w:spacing w:before="0"/>
              <w:jc w:val="left"/>
              <w:rPr>
                <w:sz w:val="20"/>
              </w:rPr>
            </w:pPr>
          </w:p>
        </w:tc>
        <w:tc>
          <w:tcPr>
            <w:tcW w:w="4530" w:type="dxa"/>
            <w:tcBorders>
              <w:bottom w:val="single" w:sz="12" w:space="0" w:color="800000"/>
            </w:tcBorders>
          </w:tcPr>
          <w:p w:rsidR="003F5784" w14:paraId="5761A76B" w14:textId="77777777">
            <w:pPr>
              <w:pStyle w:val="TableParagraph"/>
              <w:ind w:left="771"/>
              <w:jc w:val="left"/>
              <w:rPr>
                <w:sz w:val="21"/>
              </w:rPr>
            </w:pPr>
            <w:r>
              <w:rPr>
                <w:spacing w:val="-2"/>
                <w:sz w:val="21"/>
              </w:rPr>
              <w:t>Eligible</w:t>
            </w:r>
          </w:p>
        </w:tc>
        <w:tc>
          <w:tcPr>
            <w:tcW w:w="3542" w:type="dxa"/>
            <w:tcBorders>
              <w:bottom w:val="single" w:sz="12" w:space="0" w:color="800000"/>
            </w:tcBorders>
          </w:tcPr>
          <w:p w:rsidR="003F5784" w14:paraId="5860AB9B" w14:textId="77777777">
            <w:pPr>
              <w:pStyle w:val="TableParagraph"/>
              <w:ind w:right="1076"/>
              <w:rPr>
                <w:sz w:val="21"/>
              </w:rPr>
            </w:pPr>
            <w:r>
              <w:rPr>
                <w:spacing w:val="-5"/>
                <w:sz w:val="21"/>
              </w:rPr>
              <w:t>120</w:t>
            </w:r>
          </w:p>
        </w:tc>
        <w:tc>
          <w:tcPr>
            <w:tcW w:w="3172" w:type="dxa"/>
            <w:tcBorders>
              <w:bottom w:val="single" w:sz="12" w:space="0" w:color="800000"/>
            </w:tcBorders>
          </w:tcPr>
          <w:p w:rsidR="003F5784" w14:paraId="0FA43D31" w14:textId="77777777">
            <w:pPr>
              <w:pStyle w:val="TableParagraph"/>
              <w:ind w:right="118"/>
              <w:rPr>
                <w:sz w:val="21"/>
              </w:rPr>
            </w:pPr>
            <w:r>
              <w:rPr>
                <w:spacing w:val="-2"/>
                <w:sz w:val="21"/>
              </w:rPr>
              <w:t>85.71</w:t>
            </w:r>
          </w:p>
        </w:tc>
      </w:tr>
      <w:tr w14:paraId="40924F96" w14:textId="77777777">
        <w:tblPrEx>
          <w:tblW w:w="0" w:type="auto"/>
          <w:tblInd w:w="482" w:type="dxa"/>
          <w:tblLayout w:type="fixed"/>
          <w:tblCellMar>
            <w:left w:w="0" w:type="dxa"/>
            <w:right w:w="0" w:type="dxa"/>
          </w:tblCellMar>
          <w:tblLook w:val="01E0"/>
        </w:tblPrEx>
        <w:trPr>
          <w:trHeight w:val="266"/>
        </w:trPr>
        <w:tc>
          <w:tcPr>
            <w:tcW w:w="2741" w:type="dxa"/>
            <w:tcBorders>
              <w:top w:val="single" w:sz="12" w:space="0" w:color="800000"/>
            </w:tcBorders>
          </w:tcPr>
          <w:p w:rsidR="003F5784" w14:paraId="77B9310E" w14:textId="77777777">
            <w:pPr>
              <w:pStyle w:val="TableParagraph"/>
              <w:spacing w:before="0" w:line="239" w:lineRule="exact"/>
              <w:ind w:left="120"/>
              <w:jc w:val="left"/>
              <w:rPr>
                <w:sz w:val="21"/>
              </w:rPr>
            </w:pPr>
            <w:r>
              <w:rPr>
                <w:sz w:val="21"/>
              </w:rPr>
              <w:t>Roman</w:t>
            </w:r>
            <w:r>
              <w:rPr>
                <w:spacing w:val="-8"/>
                <w:sz w:val="21"/>
              </w:rPr>
              <w:t xml:space="preserve"> </w:t>
            </w:r>
            <w:r>
              <w:rPr>
                <w:spacing w:val="-2"/>
                <w:sz w:val="21"/>
              </w:rPr>
              <w:t>Catholic</w:t>
            </w:r>
          </w:p>
        </w:tc>
        <w:tc>
          <w:tcPr>
            <w:tcW w:w="4530" w:type="dxa"/>
            <w:tcBorders>
              <w:top w:val="single" w:sz="12" w:space="0" w:color="800000"/>
            </w:tcBorders>
          </w:tcPr>
          <w:p w:rsidR="003F5784" w14:paraId="169BE684" w14:textId="77777777">
            <w:pPr>
              <w:pStyle w:val="TableParagraph"/>
              <w:spacing w:before="0" w:line="239" w:lineRule="exact"/>
              <w:ind w:left="1022"/>
              <w:jc w:val="left"/>
              <w:rPr>
                <w:b/>
                <w:sz w:val="21"/>
              </w:rPr>
            </w:pPr>
            <w:r>
              <w:rPr>
                <w:b/>
                <w:spacing w:val="-2"/>
                <w:sz w:val="21"/>
              </w:rPr>
              <w:t>Total</w:t>
            </w:r>
          </w:p>
        </w:tc>
        <w:tc>
          <w:tcPr>
            <w:tcW w:w="3542" w:type="dxa"/>
            <w:tcBorders>
              <w:top w:val="single" w:sz="12" w:space="0" w:color="800000"/>
            </w:tcBorders>
          </w:tcPr>
          <w:p w:rsidR="003F5784" w14:paraId="75E71650" w14:textId="77777777">
            <w:pPr>
              <w:pStyle w:val="TableParagraph"/>
              <w:spacing w:before="0" w:line="239" w:lineRule="exact"/>
              <w:ind w:right="1076"/>
              <w:rPr>
                <w:b/>
                <w:sz w:val="21"/>
              </w:rPr>
            </w:pPr>
            <w:r>
              <w:rPr>
                <w:b/>
                <w:spacing w:val="-5"/>
                <w:sz w:val="21"/>
              </w:rPr>
              <w:t>40</w:t>
            </w:r>
          </w:p>
        </w:tc>
        <w:tc>
          <w:tcPr>
            <w:tcW w:w="3172" w:type="dxa"/>
            <w:tcBorders>
              <w:top w:val="single" w:sz="12" w:space="0" w:color="800000"/>
            </w:tcBorders>
          </w:tcPr>
          <w:p w:rsidR="003F5784" w14:paraId="3D4FFC64" w14:textId="77777777">
            <w:pPr>
              <w:pStyle w:val="TableParagraph"/>
              <w:spacing w:before="0" w:line="239" w:lineRule="exact"/>
              <w:ind w:right="118"/>
              <w:rPr>
                <w:b/>
                <w:sz w:val="21"/>
              </w:rPr>
            </w:pPr>
            <w:r>
              <w:rPr>
                <w:b/>
                <w:spacing w:val="-2"/>
                <w:sz w:val="21"/>
              </w:rPr>
              <w:t>100.00</w:t>
            </w:r>
          </w:p>
        </w:tc>
      </w:tr>
      <w:tr w14:paraId="26219A05" w14:textId="77777777">
        <w:tblPrEx>
          <w:tblW w:w="0" w:type="auto"/>
          <w:tblInd w:w="482" w:type="dxa"/>
          <w:tblLayout w:type="fixed"/>
          <w:tblCellMar>
            <w:left w:w="0" w:type="dxa"/>
            <w:right w:w="0" w:type="dxa"/>
          </w:tblCellMar>
          <w:tblLook w:val="01E0"/>
        </w:tblPrEx>
        <w:trPr>
          <w:trHeight w:val="286"/>
        </w:trPr>
        <w:tc>
          <w:tcPr>
            <w:tcW w:w="2741" w:type="dxa"/>
          </w:tcPr>
          <w:p w:rsidR="003F5784" w14:paraId="4803FD5E" w14:textId="77777777">
            <w:pPr>
              <w:pStyle w:val="TableParagraph"/>
              <w:spacing w:before="0"/>
              <w:jc w:val="left"/>
              <w:rPr>
                <w:sz w:val="20"/>
              </w:rPr>
            </w:pPr>
          </w:p>
        </w:tc>
        <w:tc>
          <w:tcPr>
            <w:tcW w:w="4530" w:type="dxa"/>
          </w:tcPr>
          <w:p w:rsidR="003F5784" w14:paraId="5C1BCAC0" w14:textId="77777777">
            <w:pPr>
              <w:pStyle w:val="TableParagraph"/>
              <w:ind w:left="771"/>
              <w:jc w:val="left"/>
              <w:rPr>
                <w:sz w:val="21"/>
              </w:rPr>
            </w:pPr>
            <w:r>
              <w:rPr>
                <w:spacing w:val="-2"/>
                <w:sz w:val="21"/>
              </w:rPr>
              <w:t>Ineligible</w:t>
            </w:r>
          </w:p>
        </w:tc>
        <w:tc>
          <w:tcPr>
            <w:tcW w:w="3542" w:type="dxa"/>
          </w:tcPr>
          <w:p w:rsidR="003F5784" w14:paraId="313E0C28" w14:textId="77777777">
            <w:pPr>
              <w:pStyle w:val="TableParagraph"/>
              <w:ind w:right="1076"/>
              <w:rPr>
                <w:sz w:val="21"/>
              </w:rPr>
            </w:pPr>
            <w:r>
              <w:rPr>
                <w:spacing w:val="-10"/>
                <w:sz w:val="21"/>
              </w:rPr>
              <w:t>0</w:t>
            </w:r>
          </w:p>
        </w:tc>
        <w:tc>
          <w:tcPr>
            <w:tcW w:w="3172" w:type="dxa"/>
          </w:tcPr>
          <w:p w:rsidR="003F5784" w14:paraId="34651D4B" w14:textId="77777777">
            <w:pPr>
              <w:pStyle w:val="TableParagraph"/>
              <w:ind w:right="118"/>
              <w:rPr>
                <w:sz w:val="21"/>
              </w:rPr>
            </w:pPr>
            <w:r>
              <w:rPr>
                <w:spacing w:val="-4"/>
                <w:sz w:val="21"/>
              </w:rPr>
              <w:t>0.22</w:t>
            </w:r>
          </w:p>
        </w:tc>
      </w:tr>
      <w:tr w14:paraId="58A625F3" w14:textId="77777777">
        <w:tblPrEx>
          <w:tblW w:w="0" w:type="auto"/>
          <w:tblInd w:w="482" w:type="dxa"/>
          <w:tblLayout w:type="fixed"/>
          <w:tblCellMar>
            <w:left w:w="0" w:type="dxa"/>
            <w:right w:w="0" w:type="dxa"/>
          </w:tblCellMar>
          <w:tblLook w:val="01E0"/>
        </w:tblPrEx>
        <w:trPr>
          <w:trHeight w:val="289"/>
        </w:trPr>
        <w:tc>
          <w:tcPr>
            <w:tcW w:w="2741" w:type="dxa"/>
            <w:tcBorders>
              <w:bottom w:val="single" w:sz="12" w:space="0" w:color="800000"/>
            </w:tcBorders>
          </w:tcPr>
          <w:p w:rsidR="003F5784" w14:paraId="721E6823" w14:textId="77777777">
            <w:pPr>
              <w:pStyle w:val="TableParagraph"/>
              <w:spacing w:before="0"/>
              <w:jc w:val="left"/>
              <w:rPr>
                <w:sz w:val="20"/>
              </w:rPr>
            </w:pPr>
          </w:p>
        </w:tc>
        <w:tc>
          <w:tcPr>
            <w:tcW w:w="4530" w:type="dxa"/>
            <w:tcBorders>
              <w:bottom w:val="single" w:sz="12" w:space="0" w:color="800000"/>
            </w:tcBorders>
          </w:tcPr>
          <w:p w:rsidR="003F5784" w14:paraId="138DFB02" w14:textId="77777777">
            <w:pPr>
              <w:pStyle w:val="TableParagraph"/>
              <w:ind w:left="771"/>
              <w:jc w:val="left"/>
              <w:rPr>
                <w:sz w:val="21"/>
              </w:rPr>
            </w:pPr>
            <w:r>
              <w:rPr>
                <w:spacing w:val="-2"/>
                <w:sz w:val="21"/>
              </w:rPr>
              <w:t>Eligible</w:t>
            </w:r>
          </w:p>
        </w:tc>
        <w:tc>
          <w:tcPr>
            <w:tcW w:w="3542" w:type="dxa"/>
            <w:tcBorders>
              <w:bottom w:val="single" w:sz="12" w:space="0" w:color="800000"/>
            </w:tcBorders>
          </w:tcPr>
          <w:p w:rsidR="003F5784" w14:paraId="48E32B9B" w14:textId="77777777">
            <w:pPr>
              <w:pStyle w:val="TableParagraph"/>
              <w:ind w:right="1076"/>
              <w:rPr>
                <w:sz w:val="21"/>
              </w:rPr>
            </w:pPr>
            <w:r>
              <w:rPr>
                <w:spacing w:val="-5"/>
                <w:sz w:val="21"/>
              </w:rPr>
              <w:t>40</w:t>
            </w:r>
          </w:p>
        </w:tc>
        <w:tc>
          <w:tcPr>
            <w:tcW w:w="3172" w:type="dxa"/>
            <w:tcBorders>
              <w:bottom w:val="single" w:sz="12" w:space="0" w:color="800000"/>
            </w:tcBorders>
          </w:tcPr>
          <w:p w:rsidR="003F5784" w14:paraId="4E0CB5C5" w14:textId="77777777">
            <w:pPr>
              <w:pStyle w:val="TableParagraph"/>
              <w:ind w:right="118"/>
              <w:rPr>
                <w:sz w:val="21"/>
              </w:rPr>
            </w:pPr>
            <w:r>
              <w:rPr>
                <w:spacing w:val="-2"/>
                <w:sz w:val="21"/>
              </w:rPr>
              <w:t>100.00</w:t>
            </w:r>
          </w:p>
        </w:tc>
      </w:tr>
      <w:tr w14:paraId="397A1641" w14:textId="77777777">
        <w:tblPrEx>
          <w:tblW w:w="0" w:type="auto"/>
          <w:tblInd w:w="482" w:type="dxa"/>
          <w:tblLayout w:type="fixed"/>
          <w:tblCellMar>
            <w:left w:w="0" w:type="dxa"/>
            <w:right w:w="0" w:type="dxa"/>
          </w:tblCellMar>
          <w:tblLook w:val="01E0"/>
        </w:tblPrEx>
        <w:trPr>
          <w:trHeight w:val="266"/>
        </w:trPr>
        <w:tc>
          <w:tcPr>
            <w:tcW w:w="2741" w:type="dxa"/>
            <w:tcBorders>
              <w:top w:val="single" w:sz="12" w:space="0" w:color="800000"/>
            </w:tcBorders>
          </w:tcPr>
          <w:p w:rsidR="003F5784" w14:paraId="790ABDE1" w14:textId="77777777">
            <w:pPr>
              <w:pStyle w:val="TableParagraph"/>
              <w:spacing w:before="0" w:line="239" w:lineRule="exact"/>
              <w:ind w:left="120"/>
              <w:jc w:val="left"/>
              <w:rPr>
                <w:sz w:val="21"/>
              </w:rPr>
            </w:pPr>
            <w:r>
              <w:rPr>
                <w:sz w:val="21"/>
              </w:rPr>
              <w:t>Other</w:t>
            </w:r>
            <w:r>
              <w:rPr>
                <w:spacing w:val="-6"/>
                <w:sz w:val="21"/>
              </w:rPr>
              <w:t xml:space="preserve"> </w:t>
            </w:r>
            <w:r>
              <w:rPr>
                <w:spacing w:val="-2"/>
                <w:sz w:val="21"/>
              </w:rPr>
              <w:t>private</w:t>
            </w:r>
          </w:p>
        </w:tc>
        <w:tc>
          <w:tcPr>
            <w:tcW w:w="4530" w:type="dxa"/>
            <w:tcBorders>
              <w:top w:val="single" w:sz="12" w:space="0" w:color="800000"/>
            </w:tcBorders>
          </w:tcPr>
          <w:p w:rsidR="003F5784" w14:paraId="2C236271" w14:textId="77777777">
            <w:pPr>
              <w:pStyle w:val="TableParagraph"/>
              <w:spacing w:before="0" w:line="239" w:lineRule="exact"/>
              <w:ind w:left="1022"/>
              <w:jc w:val="left"/>
              <w:rPr>
                <w:b/>
                <w:sz w:val="21"/>
              </w:rPr>
            </w:pPr>
            <w:r>
              <w:rPr>
                <w:b/>
                <w:spacing w:val="-2"/>
                <w:sz w:val="21"/>
              </w:rPr>
              <w:t>Total</w:t>
            </w:r>
          </w:p>
        </w:tc>
        <w:tc>
          <w:tcPr>
            <w:tcW w:w="3542" w:type="dxa"/>
            <w:tcBorders>
              <w:top w:val="single" w:sz="12" w:space="0" w:color="800000"/>
            </w:tcBorders>
          </w:tcPr>
          <w:p w:rsidR="003F5784" w14:paraId="64844CB6" w14:textId="77777777">
            <w:pPr>
              <w:pStyle w:val="TableParagraph"/>
              <w:spacing w:before="0" w:line="239" w:lineRule="exact"/>
              <w:ind w:right="1076"/>
              <w:rPr>
                <w:b/>
                <w:sz w:val="21"/>
              </w:rPr>
            </w:pPr>
            <w:r>
              <w:rPr>
                <w:b/>
                <w:spacing w:val="-5"/>
                <w:sz w:val="21"/>
              </w:rPr>
              <w:t>110</w:t>
            </w:r>
          </w:p>
        </w:tc>
        <w:tc>
          <w:tcPr>
            <w:tcW w:w="3172" w:type="dxa"/>
            <w:tcBorders>
              <w:top w:val="single" w:sz="12" w:space="0" w:color="800000"/>
            </w:tcBorders>
          </w:tcPr>
          <w:p w:rsidR="003F5784" w14:paraId="427FBCC8" w14:textId="77777777">
            <w:pPr>
              <w:pStyle w:val="TableParagraph"/>
              <w:spacing w:before="0" w:line="239" w:lineRule="exact"/>
              <w:ind w:right="118"/>
              <w:rPr>
                <w:b/>
                <w:sz w:val="21"/>
              </w:rPr>
            </w:pPr>
            <w:r>
              <w:rPr>
                <w:b/>
                <w:spacing w:val="-2"/>
                <w:sz w:val="21"/>
              </w:rPr>
              <w:t>100.00</w:t>
            </w:r>
          </w:p>
        </w:tc>
      </w:tr>
      <w:tr w14:paraId="1F36749D" w14:textId="77777777">
        <w:tblPrEx>
          <w:tblW w:w="0" w:type="auto"/>
          <w:tblInd w:w="482" w:type="dxa"/>
          <w:tblLayout w:type="fixed"/>
          <w:tblCellMar>
            <w:left w:w="0" w:type="dxa"/>
            <w:right w:w="0" w:type="dxa"/>
          </w:tblCellMar>
          <w:tblLook w:val="01E0"/>
        </w:tblPrEx>
        <w:trPr>
          <w:trHeight w:val="286"/>
        </w:trPr>
        <w:tc>
          <w:tcPr>
            <w:tcW w:w="2741" w:type="dxa"/>
          </w:tcPr>
          <w:p w:rsidR="003F5784" w14:paraId="1BB48E09" w14:textId="77777777">
            <w:pPr>
              <w:pStyle w:val="TableParagraph"/>
              <w:spacing w:before="0"/>
              <w:jc w:val="left"/>
              <w:rPr>
                <w:sz w:val="20"/>
              </w:rPr>
            </w:pPr>
          </w:p>
        </w:tc>
        <w:tc>
          <w:tcPr>
            <w:tcW w:w="4530" w:type="dxa"/>
          </w:tcPr>
          <w:p w:rsidR="003F5784" w14:paraId="78B9C19D" w14:textId="77777777">
            <w:pPr>
              <w:pStyle w:val="TableParagraph"/>
              <w:ind w:left="771"/>
              <w:jc w:val="left"/>
              <w:rPr>
                <w:sz w:val="21"/>
              </w:rPr>
            </w:pPr>
            <w:r>
              <w:rPr>
                <w:spacing w:val="-2"/>
                <w:sz w:val="21"/>
              </w:rPr>
              <w:t>Ineligible</w:t>
            </w:r>
          </w:p>
        </w:tc>
        <w:tc>
          <w:tcPr>
            <w:tcW w:w="3542" w:type="dxa"/>
          </w:tcPr>
          <w:p w:rsidR="003F5784" w14:paraId="094595C8" w14:textId="77777777">
            <w:pPr>
              <w:pStyle w:val="TableParagraph"/>
              <w:ind w:right="1076"/>
              <w:rPr>
                <w:sz w:val="21"/>
              </w:rPr>
            </w:pPr>
            <w:r>
              <w:rPr>
                <w:spacing w:val="-5"/>
                <w:sz w:val="21"/>
              </w:rPr>
              <w:t>20</w:t>
            </w:r>
          </w:p>
        </w:tc>
        <w:tc>
          <w:tcPr>
            <w:tcW w:w="3172" w:type="dxa"/>
          </w:tcPr>
          <w:p w:rsidR="003F5784" w14:paraId="4D8FC2F1" w14:textId="77777777">
            <w:pPr>
              <w:pStyle w:val="TableParagraph"/>
              <w:ind w:right="118"/>
              <w:rPr>
                <w:sz w:val="21"/>
              </w:rPr>
            </w:pPr>
            <w:r>
              <w:rPr>
                <w:spacing w:val="-2"/>
                <w:sz w:val="21"/>
              </w:rPr>
              <w:t>18.18</w:t>
            </w:r>
          </w:p>
        </w:tc>
      </w:tr>
      <w:tr w14:paraId="5D2D9B8F" w14:textId="77777777">
        <w:tblPrEx>
          <w:tblW w:w="0" w:type="auto"/>
          <w:tblInd w:w="482" w:type="dxa"/>
          <w:tblLayout w:type="fixed"/>
          <w:tblCellMar>
            <w:left w:w="0" w:type="dxa"/>
            <w:right w:w="0" w:type="dxa"/>
          </w:tblCellMar>
          <w:tblLook w:val="01E0"/>
        </w:tblPrEx>
        <w:trPr>
          <w:trHeight w:val="288"/>
        </w:trPr>
        <w:tc>
          <w:tcPr>
            <w:tcW w:w="2741" w:type="dxa"/>
            <w:tcBorders>
              <w:bottom w:val="single" w:sz="18" w:space="0" w:color="800000"/>
            </w:tcBorders>
          </w:tcPr>
          <w:p w:rsidR="003F5784" w14:paraId="07247571" w14:textId="77777777">
            <w:pPr>
              <w:pStyle w:val="TableParagraph"/>
              <w:spacing w:before="0"/>
              <w:jc w:val="left"/>
              <w:rPr>
                <w:sz w:val="20"/>
              </w:rPr>
            </w:pPr>
          </w:p>
        </w:tc>
        <w:tc>
          <w:tcPr>
            <w:tcW w:w="4530" w:type="dxa"/>
            <w:tcBorders>
              <w:bottom w:val="single" w:sz="18" w:space="0" w:color="800000"/>
            </w:tcBorders>
          </w:tcPr>
          <w:p w:rsidR="003F5784" w14:paraId="1CBA31B1" w14:textId="77777777">
            <w:pPr>
              <w:pStyle w:val="TableParagraph"/>
              <w:ind w:left="771"/>
              <w:jc w:val="left"/>
              <w:rPr>
                <w:sz w:val="21"/>
              </w:rPr>
            </w:pPr>
            <w:r>
              <w:rPr>
                <w:spacing w:val="-2"/>
                <w:sz w:val="21"/>
              </w:rPr>
              <w:t>Eligible</w:t>
            </w:r>
          </w:p>
        </w:tc>
        <w:tc>
          <w:tcPr>
            <w:tcW w:w="3542" w:type="dxa"/>
            <w:tcBorders>
              <w:bottom w:val="single" w:sz="18" w:space="0" w:color="800000"/>
            </w:tcBorders>
          </w:tcPr>
          <w:p w:rsidR="003F5784" w14:paraId="2E110B46" w14:textId="77777777">
            <w:pPr>
              <w:pStyle w:val="TableParagraph"/>
              <w:ind w:right="1076"/>
              <w:rPr>
                <w:sz w:val="21"/>
              </w:rPr>
            </w:pPr>
            <w:r>
              <w:rPr>
                <w:spacing w:val="-5"/>
                <w:sz w:val="21"/>
              </w:rPr>
              <w:t>90</w:t>
            </w:r>
          </w:p>
        </w:tc>
        <w:tc>
          <w:tcPr>
            <w:tcW w:w="3172" w:type="dxa"/>
            <w:tcBorders>
              <w:bottom w:val="single" w:sz="18" w:space="0" w:color="800000"/>
            </w:tcBorders>
          </w:tcPr>
          <w:p w:rsidR="003F5784" w14:paraId="5EEA4A34" w14:textId="77777777">
            <w:pPr>
              <w:pStyle w:val="TableParagraph"/>
              <w:ind w:right="118"/>
              <w:rPr>
                <w:sz w:val="21"/>
              </w:rPr>
            </w:pPr>
            <w:r>
              <w:rPr>
                <w:spacing w:val="-2"/>
                <w:sz w:val="21"/>
              </w:rPr>
              <w:t>81.82</w:t>
            </w:r>
          </w:p>
        </w:tc>
      </w:tr>
      <w:tr w14:paraId="0807624E" w14:textId="77777777">
        <w:tblPrEx>
          <w:tblW w:w="0" w:type="auto"/>
          <w:tblInd w:w="482" w:type="dxa"/>
          <w:tblLayout w:type="fixed"/>
          <w:tblCellMar>
            <w:left w:w="0" w:type="dxa"/>
            <w:right w:w="0" w:type="dxa"/>
          </w:tblCellMar>
          <w:tblLook w:val="01E0"/>
        </w:tblPrEx>
        <w:trPr>
          <w:trHeight w:val="237"/>
        </w:trPr>
        <w:tc>
          <w:tcPr>
            <w:tcW w:w="13985" w:type="dxa"/>
            <w:gridSpan w:val="4"/>
            <w:tcBorders>
              <w:top w:val="single" w:sz="18" w:space="0" w:color="800000"/>
            </w:tcBorders>
          </w:tcPr>
          <w:p w:rsidR="003F5784" w14:paraId="39B5A1A7" w14:textId="77777777">
            <w:pPr>
              <w:pStyle w:val="TableParagraph"/>
              <w:spacing w:before="0" w:line="218" w:lineRule="exact"/>
              <w:ind w:left="120"/>
              <w:jc w:val="left"/>
              <w:rPr>
                <w:sz w:val="21"/>
              </w:rPr>
            </w:pPr>
            <w:r>
              <w:rPr>
                <w:sz w:val="21"/>
              </w:rPr>
              <w:t>NOTE:</w:t>
            </w:r>
            <w:r>
              <w:rPr>
                <w:spacing w:val="-6"/>
                <w:sz w:val="21"/>
              </w:rPr>
              <w:t xml:space="preserve"> </w:t>
            </w:r>
            <w:r>
              <w:rPr>
                <w:sz w:val="21"/>
              </w:rPr>
              <w:t>Numbers</w:t>
            </w:r>
            <w:r>
              <w:rPr>
                <w:spacing w:val="-5"/>
                <w:sz w:val="21"/>
              </w:rPr>
              <w:t xml:space="preserve"> </w:t>
            </w:r>
            <w:r>
              <w:rPr>
                <w:sz w:val="21"/>
              </w:rPr>
              <w:t>of</w:t>
            </w:r>
            <w:r>
              <w:rPr>
                <w:spacing w:val="-6"/>
                <w:sz w:val="21"/>
              </w:rPr>
              <w:t xml:space="preserve"> </w:t>
            </w:r>
            <w:r>
              <w:rPr>
                <w:sz w:val="21"/>
              </w:rPr>
              <w:t>schools</w:t>
            </w:r>
            <w:r>
              <w:rPr>
                <w:spacing w:val="-6"/>
                <w:sz w:val="21"/>
              </w:rPr>
              <w:t xml:space="preserve"> </w:t>
            </w:r>
            <w:r>
              <w:rPr>
                <w:sz w:val="21"/>
              </w:rPr>
              <w:t>are</w:t>
            </w:r>
            <w:r>
              <w:rPr>
                <w:spacing w:val="-5"/>
                <w:sz w:val="21"/>
              </w:rPr>
              <w:t xml:space="preserve"> </w:t>
            </w:r>
            <w:r>
              <w:rPr>
                <w:sz w:val="21"/>
              </w:rPr>
              <w:t>rounded</w:t>
            </w:r>
            <w:r>
              <w:rPr>
                <w:spacing w:val="-6"/>
                <w:sz w:val="21"/>
              </w:rPr>
              <w:t xml:space="preserve"> </w:t>
            </w:r>
            <w:r>
              <w:rPr>
                <w:sz w:val="21"/>
              </w:rPr>
              <w:t>to</w:t>
            </w:r>
            <w:r>
              <w:rPr>
                <w:spacing w:val="-5"/>
                <w:sz w:val="21"/>
              </w:rPr>
              <w:t xml:space="preserve"> </w:t>
            </w:r>
            <w:r>
              <w:rPr>
                <w:sz w:val="21"/>
              </w:rPr>
              <w:t>nearest</w:t>
            </w:r>
            <w:r>
              <w:rPr>
                <w:spacing w:val="-6"/>
                <w:sz w:val="21"/>
              </w:rPr>
              <w:t xml:space="preserve"> </w:t>
            </w:r>
            <w:r>
              <w:rPr>
                <w:sz w:val="21"/>
              </w:rPr>
              <w:t>ten.</w:t>
            </w:r>
            <w:r>
              <w:rPr>
                <w:spacing w:val="-5"/>
                <w:sz w:val="21"/>
              </w:rPr>
              <w:t xml:space="preserve"> </w:t>
            </w:r>
            <w:r>
              <w:rPr>
                <w:sz w:val="21"/>
              </w:rPr>
              <w:t>Detail</w:t>
            </w:r>
            <w:r>
              <w:rPr>
                <w:spacing w:val="-6"/>
                <w:sz w:val="21"/>
              </w:rPr>
              <w:t xml:space="preserve"> </w:t>
            </w:r>
            <w:r>
              <w:rPr>
                <w:sz w:val="21"/>
              </w:rPr>
              <w:t>may</w:t>
            </w:r>
            <w:r>
              <w:rPr>
                <w:spacing w:val="-5"/>
                <w:sz w:val="21"/>
              </w:rPr>
              <w:t xml:space="preserve"> </w:t>
            </w:r>
            <w:r>
              <w:rPr>
                <w:sz w:val="21"/>
              </w:rPr>
              <w:t>not</w:t>
            </w:r>
            <w:r>
              <w:rPr>
                <w:spacing w:val="-6"/>
                <w:sz w:val="21"/>
              </w:rPr>
              <w:t xml:space="preserve"> </w:t>
            </w:r>
            <w:r>
              <w:rPr>
                <w:sz w:val="21"/>
              </w:rPr>
              <w:t>sum</w:t>
            </w:r>
            <w:r>
              <w:rPr>
                <w:spacing w:val="-5"/>
                <w:sz w:val="21"/>
              </w:rPr>
              <w:t xml:space="preserve"> </w:t>
            </w:r>
            <w:r>
              <w:rPr>
                <w:sz w:val="21"/>
              </w:rPr>
              <w:t>to</w:t>
            </w:r>
            <w:r>
              <w:rPr>
                <w:spacing w:val="-6"/>
                <w:sz w:val="21"/>
              </w:rPr>
              <w:t xml:space="preserve"> </w:t>
            </w:r>
            <w:r>
              <w:rPr>
                <w:sz w:val="21"/>
              </w:rPr>
              <w:t>total</w:t>
            </w:r>
            <w:r>
              <w:rPr>
                <w:spacing w:val="-5"/>
                <w:sz w:val="21"/>
              </w:rPr>
              <w:t xml:space="preserve"> </w:t>
            </w:r>
            <w:r>
              <w:rPr>
                <w:sz w:val="21"/>
              </w:rPr>
              <w:t>due</w:t>
            </w:r>
            <w:r>
              <w:rPr>
                <w:spacing w:val="-6"/>
                <w:sz w:val="21"/>
              </w:rPr>
              <w:t xml:space="preserve"> </w:t>
            </w:r>
            <w:r>
              <w:rPr>
                <w:sz w:val="21"/>
              </w:rPr>
              <w:t>to</w:t>
            </w:r>
            <w:r>
              <w:rPr>
                <w:spacing w:val="-5"/>
                <w:sz w:val="21"/>
              </w:rPr>
              <w:t xml:space="preserve"> </w:t>
            </w:r>
            <w:r>
              <w:rPr>
                <w:sz w:val="21"/>
              </w:rPr>
              <w:t>rounding.</w:t>
            </w:r>
            <w:r>
              <w:rPr>
                <w:spacing w:val="-6"/>
                <w:sz w:val="21"/>
              </w:rPr>
              <w:t xml:space="preserve"> </w:t>
            </w:r>
            <w:r>
              <w:rPr>
                <w:sz w:val="21"/>
              </w:rPr>
              <w:t>Percentages</w:t>
            </w:r>
            <w:r>
              <w:rPr>
                <w:spacing w:val="-5"/>
                <w:sz w:val="21"/>
              </w:rPr>
              <w:t xml:space="preserve"> </w:t>
            </w:r>
            <w:r>
              <w:rPr>
                <w:sz w:val="21"/>
              </w:rPr>
              <w:t>are</w:t>
            </w:r>
            <w:r>
              <w:rPr>
                <w:spacing w:val="-6"/>
                <w:sz w:val="21"/>
              </w:rPr>
              <w:t xml:space="preserve"> </w:t>
            </w:r>
            <w:r>
              <w:rPr>
                <w:sz w:val="21"/>
              </w:rPr>
              <w:t>based</w:t>
            </w:r>
            <w:r>
              <w:rPr>
                <w:spacing w:val="-5"/>
                <w:sz w:val="21"/>
              </w:rPr>
              <w:t xml:space="preserve"> </w:t>
            </w:r>
            <w:r>
              <w:rPr>
                <w:sz w:val="21"/>
              </w:rPr>
              <w:t>on</w:t>
            </w:r>
            <w:r>
              <w:rPr>
                <w:spacing w:val="-6"/>
                <w:sz w:val="21"/>
              </w:rPr>
              <w:t xml:space="preserve"> </w:t>
            </w:r>
            <w:r>
              <w:rPr>
                <w:sz w:val="21"/>
              </w:rPr>
              <w:t>unrounded</w:t>
            </w:r>
            <w:r>
              <w:rPr>
                <w:spacing w:val="-5"/>
                <w:sz w:val="21"/>
              </w:rPr>
              <w:t xml:space="preserve"> </w:t>
            </w:r>
            <w:r>
              <w:rPr>
                <w:spacing w:val="-2"/>
                <w:sz w:val="21"/>
              </w:rPr>
              <w:t>counts.</w:t>
            </w:r>
          </w:p>
        </w:tc>
      </w:tr>
    </w:tbl>
    <w:p w:rsidR="003F5784" w14:paraId="1E530DA0" w14:textId="77777777">
      <w:pPr>
        <w:pStyle w:val="BodyText"/>
        <w:spacing w:before="4"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National Civics and U.S. History Assessments.</w:t>
      </w:r>
    </w:p>
    <w:p w:rsidR="003F5784" w14:paraId="733E6AF2" w14:textId="77777777">
      <w:pPr>
        <w:pStyle w:val="BodyText"/>
      </w:pPr>
    </w:p>
    <w:p w:rsidR="003F5784" w14:paraId="3C99AC1E" w14:textId="77777777">
      <w:pPr>
        <w:pStyle w:val="BodyText"/>
      </w:pPr>
    </w:p>
    <w:p w:rsidR="003F5784" w14:paraId="6E6CCB72" w14:textId="77777777">
      <w:pPr>
        <w:pStyle w:val="BodyText"/>
        <w:spacing w:before="172"/>
      </w:pPr>
    </w:p>
    <w:p w:rsidR="003F5784" w14:paraId="5EC5B85E" w14:textId="77777777">
      <w:pPr>
        <w:ind w:left="998"/>
        <w:rPr>
          <w:sz w:val="18"/>
        </w:rPr>
      </w:pPr>
      <w:hyperlink r:id="rId18">
        <w:r>
          <w:rPr>
            <w:spacing w:val="-2"/>
            <w:w w:val="105"/>
            <w:sz w:val="18"/>
          </w:rPr>
          <w:t>http://nces.ed.gov/nationsreportcard/tdw/sample_design/2022/total_and_eligible_sampled_schools_for_the_2022_8th_grade_private_school_nat_assess_in_civics_and_us_history.aspx</w:t>
        </w:r>
      </w:hyperlink>
    </w:p>
    <w:p w:rsidR="003F5784" w14:paraId="623ED3F9" w14:textId="77777777">
      <w:pPr>
        <w:pStyle w:val="BodyText"/>
        <w:spacing w:before="10"/>
        <w:rPr>
          <w:sz w:val="14"/>
        </w:rPr>
      </w:pPr>
      <w:r>
        <w:rPr>
          <w:noProof/>
        </w:rPr>
        <mc:AlternateContent>
          <mc:Choice Requires="wps">
            <w:drawing>
              <wp:anchor distT="0" distB="0" distL="0" distR="0" simplePos="0" relativeHeight="251726848" behindDoc="1" locked="0" layoutInCell="1" allowOverlap="1">
                <wp:simplePos x="0" y="0"/>
                <wp:positionH relativeFrom="page">
                  <wp:posOffset>361937</wp:posOffset>
                </wp:positionH>
                <wp:positionV relativeFrom="paragraph">
                  <wp:posOffset>124260</wp:posOffset>
                </wp:positionV>
                <wp:extent cx="9339580" cy="8890"/>
                <wp:effectExtent l="0" t="0" r="0" b="0"/>
                <wp:wrapTopAndBottom/>
                <wp:docPr id="29" name="Graphic 29"/>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9" o:spid="_x0000_s1031" style="width:735.4pt;height:0.7pt;margin-top:9.8pt;margin-left:28.5pt;mso-position-horizontal-relative:page;mso-wrap-distance-bottom:0;mso-wrap-distance-left:0;mso-wrap-distance-right:0;mso-wrap-distance-top:0;mso-wrap-style:square;position:absolute;visibility:visible;v-text-anchor:top;z-index:-251588608" coordsize="9339580,8890" path="m9338970,l9335110,l8280,,,,,8280l8280,8280l9335110,8280l9338970,8280l9338970,xe" fillcolor="gray" stroked="f">
                <v:path arrowok="t"/>
                <w10:wrap type="topAndBottom"/>
              </v:shape>
            </w:pict>
          </mc:Fallback>
        </mc:AlternateContent>
      </w:r>
    </w:p>
    <w:p w:rsidR="003F5784" w14:paraId="1F56F1E4" w14:textId="77777777">
      <w:pPr>
        <w:pStyle w:val="BodyText"/>
        <w:rPr>
          <w:sz w:val="18"/>
        </w:rPr>
      </w:pPr>
    </w:p>
    <w:p w:rsidR="003F5784" w14:paraId="658A8A06" w14:textId="77777777">
      <w:pPr>
        <w:pStyle w:val="BodyText"/>
        <w:spacing w:before="206"/>
        <w:rPr>
          <w:sz w:val="18"/>
        </w:rPr>
      </w:pPr>
    </w:p>
    <w:p w:rsidR="003F5784" w14:paraId="0EDDEBFD" w14:textId="3D08617F">
      <w:pPr>
        <w:pStyle w:val="Heading1"/>
        <w:spacing w:line="244" w:lineRule="auto"/>
        <w:ind w:right="1264"/>
      </w:pPr>
      <w:r>
        <w:t>NAEP</w:t>
      </w:r>
      <w:r>
        <w:rPr>
          <w:spacing w:val="-14"/>
        </w:rPr>
        <w:t xml:space="preserve"> </w:t>
      </w:r>
      <w:r>
        <w:t>Technical Documentation</w:t>
      </w:r>
      <w:r w:rsidR="0043366D">
        <w:t xml:space="preserve"> </w:t>
      </w:r>
      <w:r>
        <w:t>Sampling Frame for the 2022 Eighth-Grade Private School National Assessment in Civics and U.S. History</w:t>
      </w:r>
    </w:p>
    <w:p w:rsidR="003F5784" w14:paraId="72B2FA49" w14:textId="77777777">
      <w:pPr>
        <w:spacing w:line="244" w:lineRule="auto"/>
        <w:sectPr>
          <w:pgSz w:w="15840" w:h="12240" w:orient="landscape"/>
          <w:pgMar w:top="480" w:right="440" w:bottom="460" w:left="460" w:header="284" w:footer="275" w:gutter="0"/>
          <w:cols w:space="720"/>
        </w:sectPr>
      </w:pPr>
    </w:p>
    <w:p w:rsidR="003F5784" w14:paraId="5738B742" w14:textId="77777777">
      <w:pPr>
        <w:pStyle w:val="BodyText"/>
        <w:spacing w:before="78" w:line="232" w:lineRule="auto"/>
        <w:ind w:left="109"/>
      </w:pPr>
      <w:r>
        <w:t>The primary sampling frame for the 2022 eighth-grade private school sample for the national assessments in civics and U.S. history</w:t>
      </w:r>
      <w:r>
        <w:rPr>
          <w:spacing w:val="-8"/>
        </w:rPr>
        <w:t xml:space="preserve"> </w:t>
      </w:r>
      <w:r>
        <w:t>was</w:t>
      </w:r>
      <w:r>
        <w:rPr>
          <w:spacing w:val="-8"/>
        </w:rPr>
        <w:t xml:space="preserve"> </w:t>
      </w:r>
      <w:r>
        <w:t>developed</w:t>
      </w:r>
      <w:r>
        <w:rPr>
          <w:spacing w:val="-8"/>
        </w:rPr>
        <w:t xml:space="preserve"> </w:t>
      </w:r>
      <w:r>
        <w:t>from</w:t>
      </w:r>
      <w:r>
        <w:rPr>
          <w:spacing w:val="-8"/>
        </w:rPr>
        <w:t xml:space="preserve"> </w:t>
      </w:r>
      <w:r>
        <w:t>the</w:t>
      </w:r>
      <w:r>
        <w:rPr>
          <w:spacing w:val="-8"/>
        </w:rPr>
        <w:t xml:space="preserve"> </w:t>
      </w:r>
      <w:r>
        <w:rPr>
          <w:color w:val="0066CC"/>
        </w:rPr>
        <w:t>Private</w:t>
      </w:r>
      <w:r>
        <w:rPr>
          <w:color w:val="0066CC"/>
          <w:spacing w:val="-8"/>
        </w:rPr>
        <w:t xml:space="preserve"> </w:t>
      </w:r>
      <w:r>
        <w:rPr>
          <w:color w:val="0066CC"/>
        </w:rPr>
        <w:t>School</w:t>
      </w:r>
      <w:r>
        <w:rPr>
          <w:color w:val="0066CC"/>
          <w:spacing w:val="-8"/>
        </w:rPr>
        <w:t xml:space="preserve"> </w:t>
      </w:r>
      <w:r>
        <w:rPr>
          <w:color w:val="0066CC"/>
        </w:rPr>
        <w:t>Universe</w:t>
      </w:r>
      <w:r>
        <w:rPr>
          <w:color w:val="0066CC"/>
          <w:spacing w:val="-8"/>
        </w:rPr>
        <w:t xml:space="preserve"> </w:t>
      </w:r>
      <w:r>
        <w:rPr>
          <w:color w:val="0066CC"/>
        </w:rPr>
        <w:t>Survey</w:t>
      </w:r>
      <w:r>
        <w:rPr>
          <w:color w:val="0066CC"/>
          <w:spacing w:val="-8"/>
        </w:rPr>
        <w:t xml:space="preserve"> </w:t>
      </w:r>
      <w:r>
        <w:rPr>
          <w:color w:val="0066CC"/>
        </w:rPr>
        <w:t>(PSS)</w:t>
      </w:r>
      <w:r>
        <w:rPr>
          <w:color w:val="0066CC"/>
          <w:spacing w:val="-8"/>
        </w:rPr>
        <w:t xml:space="preserve"> </w:t>
      </w:r>
      <w:r>
        <w:t>corresponding</w:t>
      </w:r>
      <w:r>
        <w:rPr>
          <w:spacing w:val="-8"/>
        </w:rPr>
        <w:t xml:space="preserve"> </w:t>
      </w:r>
      <w:r>
        <w:t>to</w:t>
      </w:r>
      <w:r>
        <w:rPr>
          <w:spacing w:val="-8"/>
        </w:rPr>
        <w:t xml:space="preserve"> </w:t>
      </w:r>
      <w:r>
        <w:t>the</w:t>
      </w:r>
      <w:r>
        <w:rPr>
          <w:spacing w:val="-8"/>
        </w:rPr>
        <w:t xml:space="preserve"> </w:t>
      </w:r>
      <w:r>
        <w:t>2019–2020</w:t>
      </w:r>
      <w:r>
        <w:rPr>
          <w:spacing w:val="-8"/>
        </w:rPr>
        <w:t xml:space="preserve"> </w:t>
      </w:r>
      <w:r>
        <w:t>school</w:t>
      </w:r>
      <w:r>
        <w:rPr>
          <w:spacing w:val="-8"/>
        </w:rPr>
        <w:t xml:space="preserve"> </w:t>
      </w:r>
      <w:r>
        <w:t>year.</w:t>
      </w:r>
      <w:r>
        <w:rPr>
          <w:spacing w:val="-11"/>
        </w:rPr>
        <w:t xml:space="preserve"> </w:t>
      </w:r>
      <w:r>
        <w:t>The</w:t>
      </w:r>
      <w:r>
        <w:rPr>
          <w:spacing w:val="-8"/>
        </w:rPr>
        <w:t xml:space="preserve"> </w:t>
      </w:r>
      <w:r>
        <w:t>PSS file is the Department of Education’s primary database of elementary and secondary private schools in the 50 states and the District of Columbia, and it is based on a survey conducted by the U.S. Census Bureau during the 2019–2020 school year.</w:t>
      </w:r>
    </w:p>
    <w:p w:rsidR="003F5784" w14:paraId="35DB38D1" w14:textId="77777777">
      <w:pPr>
        <w:pStyle w:val="BodyText"/>
        <w:spacing w:line="237" w:lineRule="exact"/>
        <w:ind w:left="109"/>
      </w:pPr>
      <w:r>
        <w:t>This</w:t>
      </w:r>
      <w:r>
        <w:rPr>
          <w:spacing w:val="-8"/>
        </w:rPr>
        <w:t xml:space="preserve"> </w:t>
      </w:r>
      <w:r>
        <w:t>sampling</w:t>
      </w:r>
      <w:r>
        <w:rPr>
          <w:spacing w:val="-6"/>
        </w:rPr>
        <w:t xml:space="preserve"> </w:t>
      </w:r>
      <w:r>
        <w:t>frame</w:t>
      </w:r>
      <w:r>
        <w:rPr>
          <w:spacing w:val="-6"/>
        </w:rPr>
        <w:t xml:space="preserve"> </w:t>
      </w:r>
      <w:r>
        <w:t>is</w:t>
      </w:r>
      <w:r>
        <w:rPr>
          <w:spacing w:val="-5"/>
        </w:rPr>
        <w:t xml:space="preserve"> </w:t>
      </w:r>
      <w:r>
        <w:t>referred</w:t>
      </w:r>
      <w:r>
        <w:rPr>
          <w:spacing w:val="-6"/>
        </w:rPr>
        <w:t xml:space="preserve"> </w:t>
      </w:r>
      <w:r>
        <w:t>to</w:t>
      </w:r>
      <w:r>
        <w:rPr>
          <w:spacing w:val="-6"/>
        </w:rPr>
        <w:t xml:space="preserve"> </w:t>
      </w:r>
      <w:r>
        <w:t>as</w:t>
      </w:r>
      <w:r>
        <w:rPr>
          <w:spacing w:val="-5"/>
        </w:rPr>
        <w:t xml:space="preserve"> </w:t>
      </w:r>
      <w:r>
        <w:t>the</w:t>
      </w:r>
      <w:r>
        <w:rPr>
          <w:spacing w:val="-6"/>
        </w:rPr>
        <w:t xml:space="preserve"> </w:t>
      </w:r>
      <w:r>
        <w:t>PSS-based</w:t>
      </w:r>
      <w:r>
        <w:rPr>
          <w:spacing w:val="-6"/>
        </w:rPr>
        <w:t xml:space="preserve"> </w:t>
      </w:r>
      <w:r>
        <w:t>sampling</w:t>
      </w:r>
      <w:r>
        <w:rPr>
          <w:spacing w:val="-5"/>
        </w:rPr>
        <w:t xml:space="preserve"> </w:t>
      </w:r>
      <w:r>
        <w:rPr>
          <w:spacing w:val="-2"/>
        </w:rPr>
        <w:t>frame.</w:t>
      </w:r>
    </w:p>
    <w:p w:rsidR="003F5784" w14:paraId="361F7B99" w14:textId="77777777">
      <w:pPr>
        <w:pStyle w:val="BodyText"/>
        <w:spacing w:before="202"/>
        <w:ind w:left="109"/>
      </w:pPr>
      <w:r>
        <w:t>Nonrespondents</w:t>
      </w:r>
      <w:r>
        <w:rPr>
          <w:spacing w:val="-6"/>
        </w:rPr>
        <w:t xml:space="preserve"> </w:t>
      </w:r>
      <w:r>
        <w:t>to</w:t>
      </w:r>
      <w:r>
        <w:rPr>
          <w:spacing w:val="-6"/>
        </w:rPr>
        <w:t xml:space="preserve"> </w:t>
      </w:r>
      <w:r>
        <w:t>the</w:t>
      </w:r>
      <w:r>
        <w:rPr>
          <w:spacing w:val="-6"/>
        </w:rPr>
        <w:t xml:space="preserve"> </w:t>
      </w:r>
      <w:r>
        <w:t>PSS</w:t>
      </w:r>
      <w:r>
        <w:rPr>
          <w:spacing w:val="-5"/>
        </w:rPr>
        <w:t xml:space="preserve"> </w:t>
      </w:r>
      <w:r>
        <w:t>were</w:t>
      </w:r>
      <w:r>
        <w:rPr>
          <w:spacing w:val="-6"/>
        </w:rPr>
        <w:t xml:space="preserve"> </w:t>
      </w:r>
      <w:r>
        <w:t>also</w:t>
      </w:r>
      <w:r>
        <w:rPr>
          <w:spacing w:val="-6"/>
        </w:rPr>
        <w:t xml:space="preserve"> </w:t>
      </w:r>
      <w:r>
        <w:t>included</w:t>
      </w:r>
      <w:r>
        <w:rPr>
          <w:spacing w:val="-5"/>
        </w:rPr>
        <w:t xml:space="preserve"> </w:t>
      </w:r>
      <w:r>
        <w:t>in</w:t>
      </w:r>
      <w:r>
        <w:rPr>
          <w:spacing w:val="-6"/>
        </w:rPr>
        <w:t xml:space="preserve"> </w:t>
      </w:r>
      <w:r>
        <w:t>the</w:t>
      </w:r>
      <w:r>
        <w:rPr>
          <w:spacing w:val="-6"/>
        </w:rPr>
        <w:t xml:space="preserve"> </w:t>
      </w:r>
      <w:r>
        <w:t>primary</w:t>
      </w:r>
      <w:r>
        <w:rPr>
          <w:spacing w:val="-5"/>
        </w:rPr>
        <w:t xml:space="preserve"> </w:t>
      </w:r>
      <w:r>
        <w:t>sampling</w:t>
      </w:r>
      <w:r>
        <w:rPr>
          <w:spacing w:val="-6"/>
        </w:rPr>
        <w:t xml:space="preserve"> </w:t>
      </w:r>
      <w:r>
        <w:t>frame.</w:t>
      </w:r>
      <w:r>
        <w:rPr>
          <w:spacing w:val="-6"/>
        </w:rPr>
        <w:t xml:space="preserve"> </w:t>
      </w:r>
      <w:r>
        <w:t>Since</w:t>
      </w:r>
      <w:r>
        <w:rPr>
          <w:spacing w:val="-5"/>
        </w:rPr>
        <w:t xml:space="preserve"> </w:t>
      </w:r>
      <w:r>
        <w:t>these</w:t>
      </w:r>
      <w:r>
        <w:rPr>
          <w:spacing w:val="-6"/>
        </w:rPr>
        <w:t xml:space="preserve"> </w:t>
      </w:r>
      <w:r>
        <w:t>schools</w:t>
      </w:r>
      <w:r>
        <w:rPr>
          <w:spacing w:val="-6"/>
        </w:rPr>
        <w:t xml:space="preserve"> </w:t>
      </w:r>
      <w:r>
        <w:t>did</w:t>
      </w:r>
      <w:r>
        <w:rPr>
          <w:spacing w:val="-5"/>
        </w:rPr>
        <w:t xml:space="preserve"> </w:t>
      </w:r>
      <w:r>
        <w:t>not</w:t>
      </w:r>
      <w:r>
        <w:rPr>
          <w:spacing w:val="-6"/>
        </w:rPr>
        <w:t xml:space="preserve"> </w:t>
      </w:r>
      <w:r>
        <w:t>respond</w:t>
      </w:r>
      <w:r>
        <w:rPr>
          <w:spacing w:val="-6"/>
        </w:rPr>
        <w:t xml:space="preserve"> </w:t>
      </w:r>
      <w:r>
        <w:t>to</w:t>
      </w:r>
      <w:r>
        <w:rPr>
          <w:spacing w:val="-5"/>
        </w:rPr>
        <w:t xml:space="preserve"> the</w:t>
      </w:r>
    </w:p>
    <w:p w:rsidR="003F5784" w14:paraId="70D575F8" w14:textId="77777777">
      <w:pPr>
        <w:pStyle w:val="BodyText"/>
        <w:spacing w:before="176" w:line="439" w:lineRule="auto"/>
        <w:ind w:left="109" w:right="656"/>
      </w:pPr>
      <w:r>
        <w:br w:type="column"/>
      </w:r>
      <w:r>
        <w:t>Eighth-Grade</w:t>
      </w:r>
      <w:r>
        <w:rPr>
          <w:spacing w:val="-14"/>
        </w:rPr>
        <w:t xml:space="preserve"> </w:t>
      </w:r>
      <w:r>
        <w:t>Schools</w:t>
      </w:r>
      <w:r>
        <w:rPr>
          <w:spacing w:val="-13"/>
        </w:rPr>
        <w:t xml:space="preserve"> </w:t>
      </w:r>
      <w:r>
        <w:t>and</w:t>
      </w:r>
      <w:r>
        <w:rPr>
          <w:spacing w:val="-13"/>
        </w:rPr>
        <w:t xml:space="preserve"> </w:t>
      </w:r>
      <w:r>
        <w:t>Enrollment New-School Sampling Frame</w:t>
      </w:r>
    </w:p>
    <w:p w:rsidR="003F5784" w14:paraId="481B9FAF" w14:textId="77777777">
      <w:pPr>
        <w:spacing w:line="439" w:lineRule="auto"/>
        <w:sectPr>
          <w:pgSz w:w="15840" w:h="12240" w:orient="landscape"/>
          <w:pgMar w:top="480" w:right="440" w:bottom="460" w:left="460" w:header="284" w:footer="275" w:gutter="0"/>
          <w:cols w:num="2" w:space="720" w:equalWidth="0">
            <w:col w:w="10618" w:space="362"/>
            <w:col w:w="3960"/>
          </w:cols>
        </w:sectPr>
      </w:pPr>
    </w:p>
    <w:p w:rsidR="003F5784" w14:paraId="66C9C853" w14:textId="77777777">
      <w:pPr>
        <w:pStyle w:val="BodyText"/>
        <w:spacing w:line="232" w:lineRule="auto"/>
        <w:ind w:left="109"/>
      </w:pPr>
      <w:r>
        <w:t>PSS, their private school affiliation are unknown. Because NAEP</w:t>
      </w:r>
      <w:r>
        <w:rPr>
          <w:spacing w:val="-8"/>
        </w:rPr>
        <w:t xml:space="preserve"> </w:t>
      </w:r>
      <w:r>
        <w:t>response rates differ vastly by affiliation, to better estimate the target sample size of schools for each affiliation,</w:t>
      </w:r>
      <w:r>
        <w:rPr>
          <w:spacing w:val="-6"/>
        </w:rPr>
        <w:t xml:space="preserve"> </w:t>
      </w:r>
      <w:r>
        <w:t>additional</w:t>
      </w:r>
      <w:r>
        <w:rPr>
          <w:spacing w:val="-6"/>
        </w:rPr>
        <w:t xml:space="preserve"> </w:t>
      </w:r>
      <w:r>
        <w:t>work</w:t>
      </w:r>
      <w:r>
        <w:rPr>
          <w:spacing w:val="-6"/>
        </w:rPr>
        <w:t xml:space="preserve"> </w:t>
      </w:r>
      <w:r>
        <w:t>was</w:t>
      </w:r>
      <w:r>
        <w:rPr>
          <w:spacing w:val="-6"/>
        </w:rPr>
        <w:t xml:space="preserve"> </w:t>
      </w:r>
      <w:r>
        <w:t>done</w:t>
      </w:r>
      <w:r>
        <w:rPr>
          <w:spacing w:val="-6"/>
        </w:rPr>
        <w:t xml:space="preserve"> </w:t>
      </w:r>
      <w:r>
        <w:t>to</w:t>
      </w:r>
      <w:r>
        <w:rPr>
          <w:spacing w:val="-6"/>
        </w:rPr>
        <w:t xml:space="preserve"> </w:t>
      </w:r>
      <w:r>
        <w:t>obtain</w:t>
      </w:r>
      <w:r>
        <w:rPr>
          <w:spacing w:val="-6"/>
        </w:rPr>
        <w:t xml:space="preserve"> </w:t>
      </w:r>
      <w:r>
        <w:t>affiliation</w:t>
      </w:r>
      <w:r>
        <w:rPr>
          <w:spacing w:val="-6"/>
        </w:rPr>
        <w:t xml:space="preserve"> </w:t>
      </w:r>
      <w:r>
        <w:t>for</w:t>
      </w:r>
      <w:r>
        <w:rPr>
          <w:spacing w:val="-6"/>
        </w:rPr>
        <w:t xml:space="preserve"> </w:t>
      </w:r>
      <w:r>
        <w:t>these</w:t>
      </w:r>
      <w:r>
        <w:rPr>
          <w:spacing w:val="-6"/>
        </w:rPr>
        <w:t xml:space="preserve"> </w:t>
      </w:r>
      <w:r>
        <w:t>PSS</w:t>
      </w:r>
      <w:r>
        <w:rPr>
          <w:spacing w:val="-6"/>
        </w:rPr>
        <w:t xml:space="preserve"> </w:t>
      </w:r>
      <w:r>
        <w:t>nonrespondents.</w:t>
      </w:r>
      <w:r>
        <w:rPr>
          <w:spacing w:val="-6"/>
        </w:rPr>
        <w:t xml:space="preserve"> </w:t>
      </w:r>
      <w:r>
        <w:t>If</w:t>
      </w:r>
      <w:r>
        <w:rPr>
          <w:spacing w:val="-6"/>
        </w:rPr>
        <w:t xml:space="preserve"> </w:t>
      </w:r>
      <w:r>
        <w:t>a</w:t>
      </w:r>
      <w:r>
        <w:rPr>
          <w:spacing w:val="-6"/>
        </w:rPr>
        <w:t xml:space="preserve"> </w:t>
      </w:r>
      <w:r>
        <w:t>nonresponding</w:t>
      </w:r>
      <w:r>
        <w:rPr>
          <w:spacing w:val="-6"/>
        </w:rPr>
        <w:t xml:space="preserve"> </w:t>
      </w:r>
      <w:r>
        <w:t>school</w:t>
      </w:r>
      <w:r>
        <w:rPr>
          <w:spacing w:val="-6"/>
        </w:rPr>
        <w:t xml:space="preserve"> </w:t>
      </w:r>
      <w:r>
        <w:t>responded</w:t>
      </w:r>
      <w:r>
        <w:rPr>
          <w:spacing w:val="-6"/>
        </w:rPr>
        <w:t xml:space="preserve"> </w:t>
      </w:r>
      <w:r>
        <w:t>to</w:t>
      </w:r>
      <w:r>
        <w:rPr>
          <w:spacing w:val="-6"/>
        </w:rPr>
        <w:t xml:space="preserve"> </w:t>
      </w:r>
      <w:r>
        <w:t>a</w:t>
      </w:r>
      <w:r>
        <w:rPr>
          <w:spacing w:val="-6"/>
        </w:rPr>
        <w:t xml:space="preserve"> </w:t>
      </w:r>
      <w:r>
        <w:t>previous</w:t>
      </w:r>
      <w:r>
        <w:rPr>
          <w:spacing w:val="-6"/>
        </w:rPr>
        <w:t xml:space="preserve"> </w:t>
      </w:r>
      <w:r>
        <w:t>PSS</w:t>
      </w:r>
      <w:r>
        <w:rPr>
          <w:spacing w:val="-6"/>
        </w:rPr>
        <w:t xml:space="preserve"> </w:t>
      </w:r>
      <w:r>
        <w:t>(either</w:t>
      </w:r>
      <w:r>
        <w:rPr>
          <w:spacing w:val="-6"/>
        </w:rPr>
        <w:t xml:space="preserve"> </w:t>
      </w:r>
      <w:r>
        <w:t>two</w:t>
      </w:r>
      <w:r>
        <w:rPr>
          <w:spacing w:val="-6"/>
        </w:rPr>
        <w:t xml:space="preserve"> </w:t>
      </w:r>
      <w:r>
        <w:t>or</w:t>
      </w:r>
      <w:r>
        <w:rPr>
          <w:spacing w:val="-6"/>
        </w:rPr>
        <w:t xml:space="preserve"> </w:t>
      </w:r>
      <w:r>
        <w:t>four</w:t>
      </w:r>
      <w:r>
        <w:rPr>
          <w:spacing w:val="-6"/>
        </w:rPr>
        <w:t xml:space="preserve"> </w:t>
      </w:r>
      <w:r>
        <w:t>years</w:t>
      </w:r>
      <w:r>
        <w:rPr>
          <w:spacing w:val="-6"/>
        </w:rPr>
        <w:t xml:space="preserve"> </w:t>
      </w:r>
      <w:r>
        <w:t>prior), affiliation</w:t>
      </w:r>
      <w:r>
        <w:rPr>
          <w:spacing w:val="-3"/>
        </w:rPr>
        <w:t xml:space="preserve"> </w:t>
      </w:r>
      <w:r>
        <w:t>was</w:t>
      </w:r>
      <w:r>
        <w:rPr>
          <w:spacing w:val="-3"/>
        </w:rPr>
        <w:t xml:space="preserve"> </w:t>
      </w:r>
      <w:r>
        <w:t>obtained</w:t>
      </w:r>
      <w:r>
        <w:rPr>
          <w:spacing w:val="-3"/>
        </w:rPr>
        <w:t xml:space="preserve"> </w:t>
      </w:r>
      <w:r>
        <w:t>from</w:t>
      </w:r>
      <w:r>
        <w:rPr>
          <w:spacing w:val="-3"/>
        </w:rPr>
        <w:t xml:space="preserve"> </w:t>
      </w:r>
      <w:r>
        <w:t>the</w:t>
      </w:r>
      <w:r>
        <w:rPr>
          <w:spacing w:val="-3"/>
        </w:rPr>
        <w:t xml:space="preserve"> </w:t>
      </w:r>
      <w:r>
        <w:t>previous</w:t>
      </w:r>
      <w:r>
        <w:rPr>
          <w:spacing w:val="-3"/>
        </w:rPr>
        <w:t xml:space="preserve"> </w:t>
      </w:r>
      <w:r>
        <w:t>response.</w:t>
      </w:r>
      <w:r>
        <w:rPr>
          <w:spacing w:val="-3"/>
        </w:rPr>
        <w:t xml:space="preserve"> </w:t>
      </w:r>
      <w:r>
        <w:t>For</w:t>
      </w:r>
      <w:r>
        <w:rPr>
          <w:spacing w:val="-3"/>
        </w:rPr>
        <w:t xml:space="preserve"> </w:t>
      </w:r>
      <w:r>
        <w:t>those</w:t>
      </w:r>
      <w:r>
        <w:rPr>
          <w:spacing w:val="-3"/>
        </w:rPr>
        <w:t xml:space="preserve"> </w:t>
      </w:r>
      <w:r>
        <w:t>schools</w:t>
      </w:r>
      <w:r>
        <w:rPr>
          <w:spacing w:val="-3"/>
        </w:rPr>
        <w:t xml:space="preserve"> </w:t>
      </w:r>
      <w:r>
        <w:t>that</w:t>
      </w:r>
      <w:r>
        <w:rPr>
          <w:spacing w:val="-3"/>
        </w:rPr>
        <w:t xml:space="preserve"> </w:t>
      </w:r>
      <w:r>
        <w:t>were</w:t>
      </w:r>
      <w:r>
        <w:rPr>
          <w:spacing w:val="-3"/>
        </w:rPr>
        <w:t xml:space="preserve"> </w:t>
      </w:r>
      <w:r>
        <w:t>nonrespondents</w:t>
      </w:r>
      <w:r>
        <w:rPr>
          <w:spacing w:val="-3"/>
        </w:rPr>
        <w:t xml:space="preserve"> </w:t>
      </w:r>
      <w:r>
        <w:t>for</w:t>
      </w:r>
      <w:r>
        <w:rPr>
          <w:spacing w:val="-3"/>
        </w:rPr>
        <w:t xml:space="preserve"> </w:t>
      </w:r>
      <w:r>
        <w:t>the</w:t>
      </w:r>
      <w:r>
        <w:rPr>
          <w:spacing w:val="-3"/>
        </w:rPr>
        <w:t xml:space="preserve"> </w:t>
      </w:r>
      <w:r>
        <w:t>last</w:t>
      </w:r>
      <w:r>
        <w:rPr>
          <w:spacing w:val="-3"/>
        </w:rPr>
        <w:t xml:space="preserve"> </w:t>
      </w:r>
      <w:r>
        <w:t>two</w:t>
      </w:r>
      <w:r>
        <w:rPr>
          <w:spacing w:val="-3"/>
        </w:rPr>
        <w:t xml:space="preserve"> </w:t>
      </w:r>
      <w:r>
        <w:t>cycles</w:t>
      </w:r>
      <w:r>
        <w:rPr>
          <w:spacing w:val="-3"/>
        </w:rPr>
        <w:t xml:space="preserve"> </w:t>
      </w:r>
      <w:r>
        <w:t>of</w:t>
      </w:r>
      <w:r>
        <w:rPr>
          <w:spacing w:val="-3"/>
        </w:rPr>
        <w:t xml:space="preserve"> </w:t>
      </w:r>
      <w:r>
        <w:t>the</w:t>
      </w:r>
      <w:r>
        <w:rPr>
          <w:spacing w:val="-3"/>
        </w:rPr>
        <w:t xml:space="preserve"> </w:t>
      </w:r>
      <w:r>
        <w:t>PSS,</w:t>
      </w:r>
      <w:r>
        <w:rPr>
          <w:spacing w:val="-3"/>
        </w:rPr>
        <w:t xml:space="preserve"> </w:t>
      </w:r>
      <w:r>
        <w:t>in</w:t>
      </w:r>
      <w:r>
        <w:rPr>
          <w:spacing w:val="-3"/>
        </w:rPr>
        <w:t xml:space="preserve"> </w:t>
      </w:r>
      <w:r>
        <w:t>some</w:t>
      </w:r>
      <w:r>
        <w:rPr>
          <w:spacing w:val="-3"/>
        </w:rPr>
        <w:t xml:space="preserve"> </w:t>
      </w:r>
      <w:r>
        <w:t>cases</w:t>
      </w:r>
      <w:r>
        <w:rPr>
          <w:spacing w:val="-3"/>
        </w:rPr>
        <w:t xml:space="preserve"> </w:t>
      </w:r>
      <w:r>
        <w:t>internet</w:t>
      </w:r>
      <w:r>
        <w:rPr>
          <w:spacing w:val="-3"/>
        </w:rPr>
        <w:t xml:space="preserve"> </w:t>
      </w:r>
      <w:r>
        <w:t>research</w:t>
      </w:r>
      <w:r>
        <w:rPr>
          <w:spacing w:val="-3"/>
        </w:rPr>
        <w:t xml:space="preserve"> </w:t>
      </w:r>
      <w:r>
        <w:t>was</w:t>
      </w:r>
      <w:r>
        <w:rPr>
          <w:spacing w:val="-3"/>
        </w:rPr>
        <w:t xml:space="preserve"> </w:t>
      </w:r>
      <w:r>
        <w:t>used</w:t>
      </w:r>
      <w:r>
        <w:rPr>
          <w:spacing w:val="-3"/>
        </w:rPr>
        <w:t xml:space="preserve"> </w:t>
      </w:r>
      <w:r>
        <w:t>to establish affiliation. There were still schools with unknown affiliation remaining after this process.</w:t>
      </w:r>
    </w:p>
    <w:p w:rsidR="003F5784" w14:paraId="66170A7E" w14:textId="77777777">
      <w:pPr>
        <w:pStyle w:val="BodyText"/>
        <w:spacing w:before="209" w:line="232" w:lineRule="auto"/>
        <w:ind w:left="109"/>
      </w:pPr>
      <w:r>
        <w:t>A</w:t>
      </w:r>
      <w:r>
        <w:rPr>
          <w:spacing w:val="-14"/>
        </w:rPr>
        <w:t xml:space="preserve"> </w:t>
      </w:r>
      <w:r>
        <w:t>secondary</w:t>
      </w:r>
      <w:r>
        <w:rPr>
          <w:spacing w:val="-7"/>
        </w:rPr>
        <w:t xml:space="preserve"> </w:t>
      </w:r>
      <w:r>
        <w:t>sampling</w:t>
      </w:r>
      <w:r>
        <w:rPr>
          <w:spacing w:val="-6"/>
        </w:rPr>
        <w:t xml:space="preserve"> </w:t>
      </w:r>
      <w:r>
        <w:t>frame</w:t>
      </w:r>
      <w:r>
        <w:rPr>
          <w:spacing w:val="-6"/>
        </w:rPr>
        <w:t xml:space="preserve"> </w:t>
      </w:r>
      <w:r>
        <w:t>was</w:t>
      </w:r>
      <w:r>
        <w:rPr>
          <w:spacing w:val="-6"/>
        </w:rPr>
        <w:t xml:space="preserve"> </w:t>
      </w:r>
      <w:r>
        <w:t>also</w:t>
      </w:r>
      <w:r>
        <w:rPr>
          <w:spacing w:val="-6"/>
        </w:rPr>
        <w:t xml:space="preserve"> </w:t>
      </w:r>
      <w:r>
        <w:t>created</w:t>
      </w:r>
      <w:r>
        <w:rPr>
          <w:spacing w:val="-6"/>
        </w:rPr>
        <w:t xml:space="preserve"> </w:t>
      </w:r>
      <w:r>
        <w:t>for</w:t>
      </w:r>
      <w:r>
        <w:rPr>
          <w:spacing w:val="-6"/>
        </w:rPr>
        <w:t xml:space="preserve"> </w:t>
      </w:r>
      <w:r>
        <w:t>this</w:t>
      </w:r>
      <w:r>
        <w:rPr>
          <w:spacing w:val="-6"/>
        </w:rPr>
        <w:t xml:space="preserve"> </w:t>
      </w:r>
      <w:r>
        <w:t>sample</w:t>
      </w:r>
      <w:r>
        <w:rPr>
          <w:spacing w:val="-6"/>
        </w:rPr>
        <w:t xml:space="preserve"> </w:t>
      </w:r>
      <w:r>
        <w:t>to</w:t>
      </w:r>
      <w:r>
        <w:rPr>
          <w:spacing w:val="-6"/>
        </w:rPr>
        <w:t xml:space="preserve"> </w:t>
      </w:r>
      <w:r>
        <w:t>account</w:t>
      </w:r>
      <w:r>
        <w:rPr>
          <w:spacing w:val="-6"/>
        </w:rPr>
        <w:t xml:space="preserve"> </w:t>
      </w:r>
      <w:r>
        <w:t>for</w:t>
      </w:r>
      <w:r>
        <w:rPr>
          <w:spacing w:val="-6"/>
        </w:rPr>
        <w:t xml:space="preserve"> </w:t>
      </w:r>
      <w:r>
        <w:t>schools</w:t>
      </w:r>
      <w:r>
        <w:rPr>
          <w:spacing w:val="-6"/>
        </w:rPr>
        <w:t xml:space="preserve"> </w:t>
      </w:r>
      <w:r>
        <w:t>that</w:t>
      </w:r>
      <w:r>
        <w:rPr>
          <w:spacing w:val="-6"/>
        </w:rPr>
        <w:t xml:space="preserve"> </w:t>
      </w:r>
      <w:r>
        <w:t>newly</w:t>
      </w:r>
      <w:r>
        <w:rPr>
          <w:spacing w:val="-6"/>
        </w:rPr>
        <w:t xml:space="preserve"> </w:t>
      </w:r>
      <w:r>
        <w:t>opened</w:t>
      </w:r>
      <w:r>
        <w:rPr>
          <w:spacing w:val="-6"/>
        </w:rPr>
        <w:t xml:space="preserve"> </w:t>
      </w:r>
      <w:r>
        <w:t>or</w:t>
      </w:r>
      <w:r>
        <w:rPr>
          <w:spacing w:val="-6"/>
        </w:rPr>
        <w:t xml:space="preserve"> </w:t>
      </w:r>
      <w:r>
        <w:t>became</w:t>
      </w:r>
      <w:r>
        <w:rPr>
          <w:spacing w:val="-6"/>
        </w:rPr>
        <w:t xml:space="preserve"> </w:t>
      </w:r>
      <w:r>
        <w:t>newly</w:t>
      </w:r>
      <w:r>
        <w:rPr>
          <w:spacing w:val="-6"/>
        </w:rPr>
        <w:t xml:space="preserve"> </w:t>
      </w:r>
      <w:r>
        <w:t>eligible</w:t>
      </w:r>
      <w:r>
        <w:rPr>
          <w:spacing w:val="-6"/>
        </w:rPr>
        <w:t xml:space="preserve"> </w:t>
      </w:r>
      <w:r>
        <w:t>between</w:t>
      </w:r>
      <w:r>
        <w:rPr>
          <w:spacing w:val="-6"/>
        </w:rPr>
        <w:t xml:space="preserve"> </w:t>
      </w:r>
      <w:r>
        <w:t>the</w:t>
      </w:r>
      <w:r>
        <w:rPr>
          <w:spacing w:val="-6"/>
        </w:rPr>
        <w:t xml:space="preserve"> </w:t>
      </w:r>
      <w:r>
        <w:t>2019–2020</w:t>
      </w:r>
      <w:r>
        <w:rPr>
          <w:spacing w:val="-6"/>
        </w:rPr>
        <w:t xml:space="preserve"> </w:t>
      </w:r>
      <w:r>
        <w:t>and</w:t>
      </w:r>
      <w:r>
        <w:rPr>
          <w:spacing w:val="-6"/>
        </w:rPr>
        <w:t xml:space="preserve"> </w:t>
      </w:r>
      <w:r>
        <w:t>2021–2022</w:t>
      </w:r>
      <w:r>
        <w:rPr>
          <w:spacing w:val="-6"/>
        </w:rPr>
        <w:t xml:space="preserve"> </w:t>
      </w:r>
      <w:r>
        <w:t>school years.</w:t>
      </w:r>
      <w:r>
        <w:rPr>
          <w:spacing w:val="-3"/>
        </w:rPr>
        <w:t xml:space="preserve"> </w:t>
      </w:r>
      <w:r>
        <w:t>This frame contains brand-new and newly-eligible eighth-grade schools and is referred to as the new-school sampling frame. Because there are no sources available to identify new schools for non-Catholic private schools, the new-school frame for private schools contains only Catholic schools.</w:t>
      </w:r>
    </w:p>
    <w:p w:rsidR="003F5784" w14:paraId="1CFA64A8" w14:textId="77777777">
      <w:pPr>
        <w:pStyle w:val="BodyText"/>
        <w:spacing w:before="209" w:line="232" w:lineRule="auto"/>
        <w:ind w:left="109" w:right="179"/>
      </w:pPr>
      <w:r>
        <w:t>Both</w:t>
      </w:r>
      <w:r>
        <w:rPr>
          <w:spacing w:val="-6"/>
        </w:rPr>
        <w:t xml:space="preserve"> </w:t>
      </w:r>
      <w:r>
        <w:t>sets</w:t>
      </w:r>
      <w:r>
        <w:rPr>
          <w:spacing w:val="-6"/>
        </w:rPr>
        <w:t xml:space="preserve"> </w:t>
      </w:r>
      <w:r>
        <w:t>of</w:t>
      </w:r>
      <w:r>
        <w:rPr>
          <w:spacing w:val="-6"/>
        </w:rPr>
        <w:t xml:space="preserve"> </w:t>
      </w:r>
      <w:r>
        <w:t>sampling</w:t>
      </w:r>
      <w:r>
        <w:rPr>
          <w:spacing w:val="-6"/>
        </w:rPr>
        <w:t xml:space="preserve"> </w:t>
      </w:r>
      <w:r>
        <w:t>frames</w:t>
      </w:r>
      <w:r>
        <w:rPr>
          <w:spacing w:val="-6"/>
        </w:rPr>
        <w:t xml:space="preserve"> </w:t>
      </w:r>
      <w:r>
        <w:t>excluded</w:t>
      </w:r>
      <w:r>
        <w:rPr>
          <w:spacing w:val="-6"/>
        </w:rPr>
        <w:t xml:space="preserve"> </w:t>
      </w:r>
      <w:r>
        <w:t>schools</w:t>
      </w:r>
      <w:r>
        <w:rPr>
          <w:spacing w:val="-6"/>
        </w:rPr>
        <w:t xml:space="preserve"> </w:t>
      </w:r>
      <w:r>
        <w:t>that</w:t>
      </w:r>
      <w:r>
        <w:rPr>
          <w:spacing w:val="-6"/>
        </w:rPr>
        <w:t xml:space="preserve"> </w:t>
      </w:r>
      <w:r>
        <w:t>were</w:t>
      </w:r>
      <w:r>
        <w:rPr>
          <w:spacing w:val="-6"/>
        </w:rPr>
        <w:t xml:space="preserve"> </w:t>
      </w:r>
      <w:r>
        <w:t>ungraded,</w:t>
      </w:r>
      <w:r>
        <w:rPr>
          <w:spacing w:val="-6"/>
        </w:rPr>
        <w:t xml:space="preserve"> </w:t>
      </w:r>
      <w:r>
        <w:t>provided</w:t>
      </w:r>
      <w:r>
        <w:rPr>
          <w:spacing w:val="-6"/>
        </w:rPr>
        <w:t xml:space="preserve"> </w:t>
      </w:r>
      <w:r>
        <w:t>only</w:t>
      </w:r>
      <w:r>
        <w:rPr>
          <w:spacing w:val="-6"/>
        </w:rPr>
        <w:t xml:space="preserve"> </w:t>
      </w:r>
      <w:r>
        <w:t>special</w:t>
      </w:r>
      <w:r>
        <w:rPr>
          <w:spacing w:val="-6"/>
        </w:rPr>
        <w:t xml:space="preserve"> </w:t>
      </w:r>
      <w:r>
        <w:t>education,</w:t>
      </w:r>
      <w:r>
        <w:rPr>
          <w:spacing w:val="-6"/>
        </w:rPr>
        <w:t xml:space="preserve"> </w:t>
      </w:r>
      <w:r>
        <w:t>were</w:t>
      </w:r>
      <w:r>
        <w:rPr>
          <w:spacing w:val="-6"/>
        </w:rPr>
        <w:t xml:space="preserve"> </w:t>
      </w:r>
      <w:r>
        <w:t>part</w:t>
      </w:r>
      <w:r>
        <w:rPr>
          <w:spacing w:val="-6"/>
        </w:rPr>
        <w:t xml:space="preserve"> </w:t>
      </w:r>
      <w:r>
        <w:t>of</w:t>
      </w:r>
      <w:r>
        <w:rPr>
          <w:spacing w:val="-6"/>
        </w:rPr>
        <w:t xml:space="preserve"> </w:t>
      </w:r>
      <w:r>
        <w:t>hospital</w:t>
      </w:r>
      <w:r>
        <w:rPr>
          <w:spacing w:val="-6"/>
        </w:rPr>
        <w:t xml:space="preserve"> </w:t>
      </w:r>
      <w:r>
        <w:t>or</w:t>
      </w:r>
      <w:r>
        <w:rPr>
          <w:spacing w:val="-6"/>
        </w:rPr>
        <w:t xml:space="preserve"> </w:t>
      </w:r>
      <w:r>
        <w:t>treatment</w:t>
      </w:r>
      <w:r>
        <w:rPr>
          <w:spacing w:val="-6"/>
        </w:rPr>
        <w:t xml:space="preserve"> </w:t>
      </w:r>
      <w:r>
        <w:t>center</w:t>
      </w:r>
      <w:r>
        <w:rPr>
          <w:spacing w:val="-6"/>
        </w:rPr>
        <w:t xml:space="preserve"> </w:t>
      </w:r>
      <w:r>
        <w:t>programs,</w:t>
      </w:r>
      <w:r>
        <w:rPr>
          <w:spacing w:val="-6"/>
        </w:rPr>
        <w:t xml:space="preserve"> </w:t>
      </w:r>
      <w:r>
        <w:t>were</w:t>
      </w:r>
      <w:r>
        <w:rPr>
          <w:spacing w:val="-6"/>
        </w:rPr>
        <w:t xml:space="preserve"> </w:t>
      </w:r>
      <w:r>
        <w:t>juvenile correctional institutions, were home-school entities, or were for adult education.</w:t>
      </w:r>
    </w:p>
    <w:p w:rsidR="003F5784" w14:paraId="4CF4558D" w14:textId="77777777">
      <w:pPr>
        <w:pStyle w:val="BodyText"/>
      </w:pPr>
    </w:p>
    <w:p w:rsidR="003F5784" w14:paraId="5482D7DD" w14:textId="77777777">
      <w:pPr>
        <w:pStyle w:val="BodyText"/>
      </w:pPr>
    </w:p>
    <w:p w:rsidR="003F5784" w14:paraId="3AA02ABA" w14:textId="77777777">
      <w:pPr>
        <w:pStyle w:val="BodyText"/>
        <w:spacing w:before="146"/>
      </w:pPr>
    </w:p>
    <w:p w:rsidR="003F5784" w14:paraId="2D93FB90" w14:textId="77777777">
      <w:pPr>
        <w:ind w:left="2281"/>
        <w:rPr>
          <w:sz w:val="18"/>
        </w:rPr>
      </w:pPr>
      <w:hyperlink r:id="rId19">
        <w:r>
          <w:rPr>
            <w:spacing w:val="-2"/>
            <w:w w:val="105"/>
            <w:sz w:val="18"/>
          </w:rPr>
          <w:t>http://nces.ed.gov/nationsreportcard/tdw/sample_design/2022/sampling_frame_for_the_2022_eighth_grade_private_school_nat_assess_in_civics_and_us_history.aspx</w:t>
        </w:r>
      </w:hyperlink>
    </w:p>
    <w:p w:rsidR="003F5784" w14:paraId="21267C8F" w14:textId="77777777">
      <w:pPr>
        <w:pStyle w:val="BodyText"/>
        <w:rPr>
          <w:sz w:val="16"/>
        </w:rPr>
      </w:pPr>
      <w:r>
        <w:rPr>
          <w:noProof/>
        </w:rPr>
        <mc:AlternateContent>
          <mc:Choice Requires="wps">
            <w:drawing>
              <wp:anchor distT="0" distB="0" distL="0" distR="0" simplePos="0" relativeHeight="251728896" behindDoc="1" locked="0" layoutInCell="1" allowOverlap="1">
                <wp:simplePos x="0" y="0"/>
                <wp:positionH relativeFrom="page">
                  <wp:posOffset>361937</wp:posOffset>
                </wp:positionH>
                <wp:positionV relativeFrom="paragraph">
                  <wp:posOffset>132576</wp:posOffset>
                </wp:positionV>
                <wp:extent cx="9339580" cy="8890"/>
                <wp:effectExtent l="0" t="0" r="0" b="0"/>
                <wp:wrapTopAndBottom/>
                <wp:docPr id="30" name="Graphic 30"/>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30" o:spid="_x0000_s1032" style="width:735.4pt;height:0.7pt;margin-top:10.45pt;margin-left:28.5pt;mso-position-horizontal-relative:page;mso-wrap-distance-bottom:0;mso-wrap-distance-left:0;mso-wrap-distance-right:0;mso-wrap-distance-top:0;mso-wrap-style:square;position:absolute;visibility:visible;v-text-anchor:top;z-index:-251586560" coordsize="9339580,8890" path="m9338970,l9335110,l8280,,,,,8267l9335110,8280l9338970,8280l9338970,xe" fillcolor="gray" stroked="f">
                <v:path arrowok="t"/>
                <w10:wrap type="topAndBottom"/>
              </v:shape>
            </w:pict>
          </mc:Fallback>
        </mc:AlternateContent>
      </w:r>
    </w:p>
    <w:p w:rsidR="003F5784" w14:paraId="5C854B18" w14:textId="77777777">
      <w:pPr>
        <w:pStyle w:val="BodyText"/>
        <w:rPr>
          <w:sz w:val="18"/>
        </w:rPr>
      </w:pPr>
    </w:p>
    <w:p w:rsidR="003F5784" w14:paraId="009ECD10" w14:textId="77777777">
      <w:pPr>
        <w:pStyle w:val="BodyText"/>
        <w:spacing w:before="193"/>
        <w:rPr>
          <w:sz w:val="18"/>
        </w:rPr>
      </w:pPr>
    </w:p>
    <w:p w:rsidR="003F5784" w14:paraId="672D7D28" w14:textId="2B07F260">
      <w:pPr>
        <w:pStyle w:val="Heading1"/>
        <w:spacing w:line="244" w:lineRule="auto"/>
      </w:pPr>
      <w:r>
        <w:t>NAEP</w:t>
      </w:r>
      <w:r>
        <w:rPr>
          <w:spacing w:val="-15"/>
        </w:rPr>
        <w:t xml:space="preserve"> </w:t>
      </w:r>
      <w:r>
        <w:t>Technical Documentation</w:t>
      </w:r>
      <w:r w:rsidR="0043366D">
        <w:t xml:space="preserve"> </w:t>
      </w:r>
      <w:r>
        <w:t>Eighth-Grade Schools and Enrollment in the 2022 Private School Civics and U.S. History Sampling Frame</w:t>
      </w:r>
    </w:p>
    <w:p w:rsidR="003F5784" w14:paraId="57275706" w14:textId="77777777">
      <w:pPr>
        <w:pStyle w:val="BodyText"/>
        <w:spacing w:before="287" w:line="232" w:lineRule="auto"/>
        <w:ind w:left="109"/>
      </w:pPr>
      <w:r>
        <w:t>The</w:t>
      </w:r>
      <w:r>
        <w:rPr>
          <w:spacing w:val="-7"/>
        </w:rPr>
        <w:t xml:space="preserve"> </w:t>
      </w:r>
      <w:r>
        <w:t>following</w:t>
      </w:r>
      <w:r>
        <w:rPr>
          <w:spacing w:val="-7"/>
        </w:rPr>
        <w:t xml:space="preserve"> </w:t>
      </w:r>
      <w:r>
        <w:t>table</w:t>
      </w:r>
      <w:r>
        <w:rPr>
          <w:spacing w:val="-7"/>
        </w:rPr>
        <w:t xml:space="preserve"> </w:t>
      </w:r>
      <w:r>
        <w:t>presents</w:t>
      </w:r>
      <w:r>
        <w:rPr>
          <w:spacing w:val="-7"/>
        </w:rPr>
        <w:t xml:space="preserve"> </w:t>
      </w:r>
      <w:r>
        <w:t>the</w:t>
      </w:r>
      <w:r>
        <w:rPr>
          <w:spacing w:val="-7"/>
        </w:rPr>
        <w:t xml:space="preserve"> </w:t>
      </w:r>
      <w:r>
        <w:t>numbers</w:t>
      </w:r>
      <w:r>
        <w:rPr>
          <w:spacing w:val="-7"/>
        </w:rPr>
        <w:t xml:space="preserve"> </w:t>
      </w:r>
      <w:r>
        <w:t>of</w:t>
      </w:r>
      <w:r>
        <w:rPr>
          <w:spacing w:val="-7"/>
        </w:rPr>
        <w:t xml:space="preserve"> </w:t>
      </w:r>
      <w:r>
        <w:t>eighth-grade</w:t>
      </w:r>
      <w:r>
        <w:rPr>
          <w:spacing w:val="-7"/>
        </w:rPr>
        <w:t xml:space="preserve"> </w:t>
      </w:r>
      <w:r>
        <w:t>private</w:t>
      </w:r>
      <w:r>
        <w:rPr>
          <w:spacing w:val="-7"/>
        </w:rPr>
        <w:t xml:space="preserve"> </w:t>
      </w:r>
      <w:r>
        <w:t>schools</w:t>
      </w:r>
      <w:r>
        <w:rPr>
          <w:spacing w:val="-7"/>
        </w:rPr>
        <w:t xml:space="preserve"> </w:t>
      </w:r>
      <w:r>
        <w:t>and</w:t>
      </w:r>
      <w:r>
        <w:rPr>
          <w:spacing w:val="-7"/>
        </w:rPr>
        <w:t xml:space="preserve"> </w:t>
      </w:r>
      <w:r>
        <w:t>estimated</w:t>
      </w:r>
      <w:r>
        <w:rPr>
          <w:spacing w:val="-7"/>
        </w:rPr>
        <w:t xml:space="preserve"> </w:t>
      </w:r>
      <w:r>
        <w:t>enrollments,</w:t>
      </w:r>
      <w:r>
        <w:rPr>
          <w:spacing w:val="-7"/>
        </w:rPr>
        <w:t xml:space="preserve"> </w:t>
      </w:r>
      <w:r>
        <w:t>as</w:t>
      </w:r>
      <w:r>
        <w:rPr>
          <w:spacing w:val="-7"/>
        </w:rPr>
        <w:t xml:space="preserve"> </w:t>
      </w:r>
      <w:r>
        <w:t>contained</w:t>
      </w:r>
      <w:r>
        <w:rPr>
          <w:spacing w:val="-7"/>
        </w:rPr>
        <w:t xml:space="preserve"> </w:t>
      </w:r>
      <w:r>
        <w:t>in</w:t>
      </w:r>
      <w:r>
        <w:rPr>
          <w:spacing w:val="-7"/>
        </w:rPr>
        <w:t xml:space="preserve"> </w:t>
      </w:r>
      <w:r>
        <w:t>the</w:t>
      </w:r>
      <w:r>
        <w:rPr>
          <w:spacing w:val="-7"/>
        </w:rPr>
        <w:t xml:space="preserve"> </w:t>
      </w:r>
      <w:r>
        <w:t>Private</w:t>
      </w:r>
      <w:r>
        <w:rPr>
          <w:spacing w:val="-7"/>
        </w:rPr>
        <w:t xml:space="preserve"> </w:t>
      </w:r>
      <w:r>
        <w:t>School</w:t>
      </w:r>
      <w:r>
        <w:rPr>
          <w:spacing w:val="-7"/>
        </w:rPr>
        <w:t xml:space="preserve"> </w:t>
      </w:r>
      <w:r>
        <w:t>Universe</w:t>
      </w:r>
      <w:r>
        <w:rPr>
          <w:spacing w:val="-7"/>
        </w:rPr>
        <w:t xml:space="preserve"> </w:t>
      </w:r>
      <w:r>
        <w:t>Survey</w:t>
      </w:r>
      <w:r>
        <w:rPr>
          <w:spacing w:val="-7"/>
        </w:rPr>
        <w:t xml:space="preserve"> </w:t>
      </w:r>
      <w:r>
        <w:t>(PSS)-based</w:t>
      </w:r>
      <w:r>
        <w:rPr>
          <w:spacing w:val="-7"/>
        </w:rPr>
        <w:t xml:space="preserve"> </w:t>
      </w:r>
      <w:r>
        <w:t>sampling frame, by private school affiliation, for the national assessments in civics and U.S. history.</w:t>
      </w:r>
    </w:p>
    <w:p w:rsidR="003F5784" w14:paraId="1B427146" w14:textId="77777777">
      <w:pPr>
        <w:pStyle w:val="BodyText"/>
        <w:spacing w:before="209" w:line="232" w:lineRule="auto"/>
        <w:ind w:left="109"/>
      </w:pPr>
      <w:r>
        <w:t>The counts presented below are of schools with known affiliation. Schools with unknown affiliation do not appear in the table because their grade span, affiliation, and enrollment</w:t>
      </w:r>
      <w:r>
        <w:rPr>
          <w:spacing w:val="-10"/>
        </w:rPr>
        <w:t xml:space="preserve"> </w:t>
      </w:r>
      <w:r>
        <w:t>were</w:t>
      </w:r>
      <w:r>
        <w:rPr>
          <w:spacing w:val="-7"/>
        </w:rPr>
        <w:t xml:space="preserve"> </w:t>
      </w:r>
      <w:r>
        <w:t>unknown.</w:t>
      </w:r>
      <w:r>
        <w:rPr>
          <w:spacing w:val="-14"/>
        </w:rPr>
        <w:t xml:space="preserve"> </w:t>
      </w:r>
      <w:r>
        <w:t>Although</w:t>
      </w:r>
      <w:r>
        <w:rPr>
          <w:spacing w:val="-6"/>
        </w:rPr>
        <w:t xml:space="preserve"> </w:t>
      </w:r>
      <w:r>
        <w:t>PSS</w:t>
      </w:r>
      <w:r>
        <w:rPr>
          <w:spacing w:val="-7"/>
        </w:rPr>
        <w:t xml:space="preserve"> </w:t>
      </w:r>
      <w:r>
        <w:t>is</w:t>
      </w:r>
      <w:r>
        <w:rPr>
          <w:spacing w:val="-7"/>
        </w:rPr>
        <w:t xml:space="preserve"> </w:t>
      </w:r>
      <w:r>
        <w:t>a</w:t>
      </w:r>
      <w:r>
        <w:rPr>
          <w:spacing w:val="-7"/>
        </w:rPr>
        <w:t xml:space="preserve"> </w:t>
      </w:r>
      <w:r>
        <w:t>school</w:t>
      </w:r>
      <w:r>
        <w:rPr>
          <w:spacing w:val="-7"/>
        </w:rPr>
        <w:t xml:space="preserve"> </w:t>
      </w:r>
      <w:r>
        <w:t>universe</w:t>
      </w:r>
      <w:r>
        <w:rPr>
          <w:spacing w:val="-7"/>
        </w:rPr>
        <w:t xml:space="preserve"> </w:t>
      </w:r>
      <w:r>
        <w:t>survey,</w:t>
      </w:r>
      <w:r>
        <w:rPr>
          <w:spacing w:val="-7"/>
        </w:rPr>
        <w:t xml:space="preserve"> </w:t>
      </w:r>
      <w:r>
        <w:t>participation</w:t>
      </w:r>
      <w:r>
        <w:rPr>
          <w:spacing w:val="-7"/>
        </w:rPr>
        <w:t xml:space="preserve"> </w:t>
      </w:r>
      <w:r>
        <w:t>is</w:t>
      </w:r>
      <w:r>
        <w:rPr>
          <w:spacing w:val="-7"/>
        </w:rPr>
        <w:t xml:space="preserve"> </w:t>
      </w:r>
      <w:r>
        <w:t>voluntary</w:t>
      </w:r>
      <w:r>
        <w:rPr>
          <w:spacing w:val="-7"/>
        </w:rPr>
        <w:t xml:space="preserve"> </w:t>
      </w:r>
      <w:r>
        <w:t>and</w:t>
      </w:r>
      <w:r>
        <w:rPr>
          <w:spacing w:val="-7"/>
        </w:rPr>
        <w:t xml:space="preserve"> </w:t>
      </w:r>
      <w:r>
        <w:t>not</w:t>
      </w:r>
      <w:r>
        <w:rPr>
          <w:spacing w:val="-7"/>
        </w:rPr>
        <w:t xml:space="preserve"> </w:t>
      </w:r>
      <w:r>
        <w:t>all</w:t>
      </w:r>
      <w:r>
        <w:rPr>
          <w:spacing w:val="-7"/>
        </w:rPr>
        <w:t xml:space="preserve"> </w:t>
      </w:r>
      <w:r>
        <w:t>private</w:t>
      </w:r>
      <w:r>
        <w:rPr>
          <w:spacing w:val="-7"/>
        </w:rPr>
        <w:t xml:space="preserve"> </w:t>
      </w:r>
      <w:r>
        <w:t>schools</w:t>
      </w:r>
      <w:r>
        <w:rPr>
          <w:spacing w:val="-7"/>
        </w:rPr>
        <w:t xml:space="preserve"> </w:t>
      </w:r>
      <w:r>
        <w:t>respond.</w:t>
      </w:r>
      <w:r>
        <w:rPr>
          <w:spacing w:val="-7"/>
        </w:rPr>
        <w:t xml:space="preserve"> </w:t>
      </w:r>
      <w:r>
        <w:t>Since</w:t>
      </w:r>
      <w:r>
        <w:rPr>
          <w:spacing w:val="-7"/>
        </w:rPr>
        <w:t xml:space="preserve"> </w:t>
      </w:r>
      <w:r>
        <w:t>the</w:t>
      </w:r>
      <w:r>
        <w:rPr>
          <w:spacing w:val="-7"/>
        </w:rPr>
        <w:t xml:space="preserve"> </w:t>
      </w:r>
      <w:r>
        <w:t>NAEP</w:t>
      </w:r>
      <w:r>
        <w:rPr>
          <w:spacing w:val="-14"/>
        </w:rPr>
        <w:t xml:space="preserve"> </w:t>
      </w:r>
      <w:r>
        <w:t>sample</w:t>
      </w:r>
      <w:r>
        <w:rPr>
          <w:spacing w:val="-6"/>
        </w:rPr>
        <w:t xml:space="preserve"> </w:t>
      </w:r>
      <w:r>
        <w:t>must</w:t>
      </w:r>
      <w:r>
        <w:rPr>
          <w:spacing w:val="-7"/>
        </w:rPr>
        <w:t xml:space="preserve"> </w:t>
      </w:r>
      <w:r>
        <w:t>represent</w:t>
      </w:r>
      <w:r>
        <w:rPr>
          <w:spacing w:val="-7"/>
        </w:rPr>
        <w:t xml:space="preserve"> </w:t>
      </w:r>
      <w:r>
        <w:t>all private schools, not just PSS respondents, a small sample of PSS nonrespondents with unknown affiliation was selected to improve NAEP</w:t>
      </w:r>
      <w:r>
        <w:rPr>
          <w:spacing w:val="-6"/>
        </w:rPr>
        <w:t xml:space="preserve"> </w:t>
      </w:r>
      <w:r>
        <w:t>coverage.</w:t>
      </w:r>
    </w:p>
    <w:p w:rsidR="003F5784" w14:paraId="5F005A14" w14:textId="77777777">
      <w:pPr>
        <w:pStyle w:val="BodyText"/>
        <w:spacing w:before="93"/>
      </w:pPr>
    </w:p>
    <w:p w:rsidR="003F5784" w14:paraId="2B8C8E54" w14:textId="77777777">
      <w:pPr>
        <w:pStyle w:val="Heading2"/>
      </w:pPr>
      <w:r>
        <w:t>Number</w:t>
      </w:r>
      <w:r>
        <w:rPr>
          <w:spacing w:val="-12"/>
        </w:rPr>
        <w:t xml:space="preserve"> </w:t>
      </w:r>
      <w:r>
        <w:t>of</w:t>
      </w:r>
      <w:r>
        <w:rPr>
          <w:spacing w:val="-8"/>
        </w:rPr>
        <w:t xml:space="preserve"> </w:t>
      </w:r>
      <w:r>
        <w:t>schools</w:t>
      </w:r>
      <w:r>
        <w:rPr>
          <w:spacing w:val="-7"/>
        </w:rPr>
        <w:t xml:space="preserve"> </w:t>
      </w:r>
      <w:r>
        <w:t>and</w:t>
      </w:r>
      <w:r>
        <w:rPr>
          <w:spacing w:val="-8"/>
        </w:rPr>
        <w:t xml:space="preserve"> </w:t>
      </w:r>
      <w:r>
        <w:t>enrollment</w:t>
      </w:r>
      <w:r>
        <w:rPr>
          <w:spacing w:val="-8"/>
        </w:rPr>
        <w:t xml:space="preserve"> </w:t>
      </w:r>
      <w:r>
        <w:t>in</w:t>
      </w:r>
      <w:r>
        <w:rPr>
          <w:spacing w:val="-8"/>
        </w:rPr>
        <w:t xml:space="preserve"> </w:t>
      </w:r>
      <w:r>
        <w:t>eighth-grade</w:t>
      </w:r>
      <w:r>
        <w:rPr>
          <w:spacing w:val="-8"/>
        </w:rPr>
        <w:t xml:space="preserve"> </w:t>
      </w:r>
      <w:r>
        <w:t>private</w:t>
      </w:r>
      <w:r>
        <w:rPr>
          <w:spacing w:val="-7"/>
        </w:rPr>
        <w:t xml:space="preserve"> </w:t>
      </w:r>
      <w:r>
        <w:t>school</w:t>
      </w:r>
      <w:r>
        <w:rPr>
          <w:spacing w:val="-8"/>
        </w:rPr>
        <w:t xml:space="preserve"> </w:t>
      </w:r>
      <w:r>
        <w:t>sampling</w:t>
      </w:r>
      <w:r>
        <w:rPr>
          <w:spacing w:val="-8"/>
        </w:rPr>
        <w:t xml:space="preserve"> </w:t>
      </w:r>
      <w:r>
        <w:t>frame,</w:t>
      </w:r>
      <w:r>
        <w:rPr>
          <w:spacing w:val="-8"/>
        </w:rPr>
        <w:t xml:space="preserve"> </w:t>
      </w:r>
      <w:r>
        <w:t>national</w:t>
      </w:r>
      <w:r>
        <w:rPr>
          <w:spacing w:val="-8"/>
        </w:rPr>
        <w:t xml:space="preserve"> </w:t>
      </w:r>
      <w:r>
        <w:t>assessment,</w:t>
      </w:r>
      <w:r>
        <w:rPr>
          <w:spacing w:val="-7"/>
        </w:rPr>
        <w:t xml:space="preserve"> </w:t>
      </w:r>
      <w:r>
        <w:t>by</w:t>
      </w:r>
      <w:r>
        <w:rPr>
          <w:spacing w:val="-8"/>
        </w:rPr>
        <w:t xml:space="preserve"> </w:t>
      </w:r>
      <w:r>
        <w:t>affiliation:</w:t>
      </w:r>
      <w:r>
        <w:rPr>
          <w:spacing w:val="-8"/>
        </w:rPr>
        <w:t xml:space="preserve"> </w:t>
      </w:r>
      <w:r>
        <w:rPr>
          <w:spacing w:val="-4"/>
        </w:rPr>
        <w:t>2022</w:t>
      </w:r>
    </w:p>
    <w:p w:rsidR="003F5784" w14:paraId="4A3CF6EB"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3939"/>
        <w:gridCol w:w="6333"/>
        <w:gridCol w:w="3713"/>
      </w:tblGrid>
      <w:tr w14:paraId="7527CE20" w14:textId="77777777">
        <w:tblPrEx>
          <w:tblW w:w="0" w:type="auto"/>
          <w:tblInd w:w="482" w:type="dxa"/>
          <w:tblLayout w:type="fixed"/>
          <w:tblCellMar>
            <w:left w:w="0" w:type="dxa"/>
            <w:right w:w="0" w:type="dxa"/>
          </w:tblCellMar>
          <w:tblLook w:val="01E0"/>
        </w:tblPrEx>
        <w:trPr>
          <w:trHeight w:val="267"/>
        </w:trPr>
        <w:tc>
          <w:tcPr>
            <w:tcW w:w="3939" w:type="dxa"/>
            <w:tcBorders>
              <w:top w:val="single" w:sz="18" w:space="0" w:color="800000"/>
              <w:bottom w:val="single" w:sz="18" w:space="0" w:color="800000"/>
            </w:tcBorders>
          </w:tcPr>
          <w:p w:rsidR="003F5784" w14:paraId="1FD97D60" w14:textId="77777777">
            <w:pPr>
              <w:pStyle w:val="TableParagraph"/>
              <w:spacing w:before="9" w:line="238" w:lineRule="exact"/>
              <w:ind w:left="120"/>
              <w:jc w:val="left"/>
              <w:rPr>
                <w:sz w:val="21"/>
              </w:rPr>
            </w:pPr>
            <w:r>
              <w:rPr>
                <w:spacing w:val="-2"/>
                <w:sz w:val="21"/>
              </w:rPr>
              <w:t>Affiliation</w:t>
            </w:r>
          </w:p>
        </w:tc>
        <w:tc>
          <w:tcPr>
            <w:tcW w:w="6333" w:type="dxa"/>
            <w:tcBorders>
              <w:top w:val="single" w:sz="18" w:space="0" w:color="800000"/>
              <w:bottom w:val="single" w:sz="18" w:space="0" w:color="800000"/>
            </w:tcBorders>
          </w:tcPr>
          <w:p w:rsidR="003F5784" w14:paraId="75AB83D8" w14:textId="77777777">
            <w:pPr>
              <w:pStyle w:val="TableParagraph"/>
              <w:spacing w:before="9" w:line="238" w:lineRule="exact"/>
              <w:ind w:right="1802"/>
              <w:rPr>
                <w:sz w:val="21"/>
              </w:rPr>
            </w:pPr>
            <w:r>
              <w:rPr>
                <w:sz w:val="21"/>
              </w:rPr>
              <w:t>Number</w:t>
            </w:r>
            <w:r>
              <w:rPr>
                <w:spacing w:val="-6"/>
                <w:sz w:val="21"/>
              </w:rPr>
              <w:t xml:space="preserve"> </w:t>
            </w:r>
            <w:r>
              <w:rPr>
                <w:sz w:val="21"/>
              </w:rPr>
              <w:t>of</w:t>
            </w:r>
            <w:r>
              <w:rPr>
                <w:spacing w:val="-5"/>
                <w:sz w:val="21"/>
              </w:rPr>
              <w:t xml:space="preserve"> </w:t>
            </w:r>
            <w:r>
              <w:rPr>
                <w:spacing w:val="-2"/>
                <w:sz w:val="21"/>
              </w:rPr>
              <w:t>schools</w:t>
            </w:r>
          </w:p>
        </w:tc>
        <w:tc>
          <w:tcPr>
            <w:tcW w:w="3713" w:type="dxa"/>
            <w:tcBorders>
              <w:top w:val="single" w:sz="18" w:space="0" w:color="800000"/>
              <w:bottom w:val="single" w:sz="18" w:space="0" w:color="800000"/>
            </w:tcBorders>
          </w:tcPr>
          <w:p w:rsidR="003F5784" w14:paraId="4FEDE99B" w14:textId="77777777">
            <w:pPr>
              <w:pStyle w:val="TableParagraph"/>
              <w:spacing w:before="9" w:line="238" w:lineRule="exact"/>
              <w:ind w:right="118"/>
              <w:rPr>
                <w:sz w:val="21"/>
              </w:rPr>
            </w:pPr>
            <w:r>
              <w:rPr>
                <w:sz w:val="21"/>
              </w:rPr>
              <w:t>Estimated</w:t>
            </w:r>
            <w:r>
              <w:rPr>
                <w:spacing w:val="-10"/>
                <w:sz w:val="21"/>
              </w:rPr>
              <w:t xml:space="preserve"> </w:t>
            </w:r>
            <w:r>
              <w:rPr>
                <w:spacing w:val="-2"/>
                <w:sz w:val="21"/>
              </w:rPr>
              <w:t>enrollment</w:t>
            </w:r>
          </w:p>
        </w:tc>
      </w:tr>
      <w:tr w14:paraId="257923D3" w14:textId="77777777">
        <w:tblPrEx>
          <w:tblW w:w="0" w:type="auto"/>
          <w:tblInd w:w="482" w:type="dxa"/>
          <w:tblLayout w:type="fixed"/>
          <w:tblCellMar>
            <w:left w:w="0" w:type="dxa"/>
            <w:right w:w="0" w:type="dxa"/>
          </w:tblCellMar>
          <w:tblLook w:val="01E0"/>
        </w:tblPrEx>
        <w:trPr>
          <w:trHeight w:val="278"/>
        </w:trPr>
        <w:tc>
          <w:tcPr>
            <w:tcW w:w="3939" w:type="dxa"/>
            <w:tcBorders>
              <w:top w:val="single" w:sz="18" w:space="0" w:color="800000"/>
            </w:tcBorders>
          </w:tcPr>
          <w:p w:rsidR="003F5784" w14:paraId="131B9445" w14:textId="77777777">
            <w:pPr>
              <w:pStyle w:val="TableParagraph"/>
              <w:spacing w:before="9"/>
              <w:ind w:left="370"/>
              <w:jc w:val="left"/>
              <w:rPr>
                <w:b/>
                <w:sz w:val="21"/>
              </w:rPr>
            </w:pPr>
            <w:r>
              <w:rPr>
                <w:b/>
                <w:spacing w:val="-2"/>
                <w:sz w:val="21"/>
              </w:rPr>
              <w:t>Total</w:t>
            </w:r>
          </w:p>
        </w:tc>
        <w:tc>
          <w:tcPr>
            <w:tcW w:w="6333" w:type="dxa"/>
            <w:tcBorders>
              <w:top w:val="single" w:sz="18" w:space="0" w:color="800000"/>
            </w:tcBorders>
          </w:tcPr>
          <w:p w:rsidR="003F5784" w14:paraId="2413CB3F" w14:textId="77777777">
            <w:pPr>
              <w:pStyle w:val="TableParagraph"/>
              <w:spacing w:before="9"/>
              <w:ind w:right="1801"/>
              <w:rPr>
                <w:b/>
                <w:sz w:val="21"/>
              </w:rPr>
            </w:pPr>
            <w:r>
              <w:rPr>
                <w:b/>
                <w:spacing w:val="-2"/>
                <w:sz w:val="21"/>
              </w:rPr>
              <w:t>16,808</w:t>
            </w:r>
          </w:p>
        </w:tc>
        <w:tc>
          <w:tcPr>
            <w:tcW w:w="3713" w:type="dxa"/>
            <w:tcBorders>
              <w:top w:val="single" w:sz="18" w:space="0" w:color="800000"/>
            </w:tcBorders>
          </w:tcPr>
          <w:p w:rsidR="003F5784" w14:paraId="266901DC" w14:textId="77777777">
            <w:pPr>
              <w:pStyle w:val="TableParagraph"/>
              <w:spacing w:before="9"/>
              <w:ind w:right="118"/>
              <w:rPr>
                <w:b/>
                <w:sz w:val="21"/>
              </w:rPr>
            </w:pPr>
            <w:r>
              <w:rPr>
                <w:b/>
                <w:spacing w:val="-2"/>
                <w:sz w:val="21"/>
              </w:rPr>
              <w:t>314,627</w:t>
            </w:r>
          </w:p>
        </w:tc>
      </w:tr>
      <w:tr w14:paraId="34391D06" w14:textId="77777777">
        <w:tblPrEx>
          <w:tblW w:w="0" w:type="auto"/>
          <w:tblInd w:w="482" w:type="dxa"/>
          <w:tblLayout w:type="fixed"/>
          <w:tblCellMar>
            <w:left w:w="0" w:type="dxa"/>
            <w:right w:w="0" w:type="dxa"/>
          </w:tblCellMar>
          <w:tblLook w:val="01E0"/>
        </w:tblPrEx>
        <w:trPr>
          <w:trHeight w:val="288"/>
        </w:trPr>
        <w:tc>
          <w:tcPr>
            <w:tcW w:w="3939" w:type="dxa"/>
            <w:tcBorders>
              <w:bottom w:val="single" w:sz="18" w:space="0" w:color="800000"/>
            </w:tcBorders>
          </w:tcPr>
          <w:p w:rsidR="003F5784" w14:paraId="33601365" w14:textId="77777777">
            <w:pPr>
              <w:pStyle w:val="TableParagraph"/>
              <w:ind w:left="120"/>
              <w:jc w:val="left"/>
              <w:rPr>
                <w:sz w:val="21"/>
              </w:rPr>
            </w:pPr>
            <w:r>
              <w:rPr>
                <w:spacing w:val="-2"/>
                <w:sz w:val="21"/>
              </w:rPr>
              <w:t>Catholic</w:t>
            </w:r>
          </w:p>
        </w:tc>
        <w:tc>
          <w:tcPr>
            <w:tcW w:w="6333" w:type="dxa"/>
            <w:tcBorders>
              <w:bottom w:val="single" w:sz="18" w:space="0" w:color="800000"/>
            </w:tcBorders>
          </w:tcPr>
          <w:p w:rsidR="003F5784" w14:paraId="07D4D6F2" w14:textId="77777777">
            <w:pPr>
              <w:pStyle w:val="TableParagraph"/>
              <w:ind w:right="1801"/>
              <w:rPr>
                <w:sz w:val="21"/>
              </w:rPr>
            </w:pPr>
            <w:r>
              <w:rPr>
                <w:spacing w:val="-2"/>
                <w:sz w:val="21"/>
              </w:rPr>
              <w:t>4,426</w:t>
            </w:r>
          </w:p>
        </w:tc>
        <w:tc>
          <w:tcPr>
            <w:tcW w:w="3713" w:type="dxa"/>
            <w:tcBorders>
              <w:bottom w:val="single" w:sz="18" w:space="0" w:color="800000"/>
            </w:tcBorders>
          </w:tcPr>
          <w:p w:rsidR="003F5784" w14:paraId="0B46BFCF" w14:textId="77777777">
            <w:pPr>
              <w:pStyle w:val="TableParagraph"/>
              <w:ind w:right="118"/>
              <w:rPr>
                <w:sz w:val="21"/>
              </w:rPr>
            </w:pPr>
            <w:r>
              <w:rPr>
                <w:spacing w:val="-2"/>
                <w:sz w:val="21"/>
              </w:rPr>
              <w:t>123,133</w:t>
            </w:r>
          </w:p>
        </w:tc>
      </w:tr>
      <w:tr w14:paraId="482072BD" w14:textId="77777777">
        <w:tblPrEx>
          <w:tblW w:w="0" w:type="auto"/>
          <w:tblInd w:w="482" w:type="dxa"/>
          <w:tblLayout w:type="fixed"/>
          <w:tblCellMar>
            <w:left w:w="0" w:type="dxa"/>
            <w:right w:w="0" w:type="dxa"/>
          </w:tblCellMar>
          <w:tblLook w:val="01E0"/>
        </w:tblPrEx>
        <w:trPr>
          <w:trHeight w:val="472"/>
        </w:trPr>
        <w:tc>
          <w:tcPr>
            <w:tcW w:w="13985" w:type="dxa"/>
            <w:gridSpan w:val="3"/>
            <w:tcBorders>
              <w:top w:val="single" w:sz="18" w:space="0" w:color="800000"/>
            </w:tcBorders>
          </w:tcPr>
          <w:p w:rsidR="003F5784" w14:paraId="0E1B4B32" w14:textId="77777777">
            <w:pPr>
              <w:pStyle w:val="TableParagraph"/>
              <w:spacing w:before="0" w:line="234" w:lineRule="exact"/>
              <w:ind w:left="120"/>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Progress (NAEP), 2022 National Civics and U.S. History Assessments.</w:t>
            </w:r>
          </w:p>
        </w:tc>
      </w:tr>
    </w:tbl>
    <w:p w:rsidR="003F5784" w14:paraId="1FDE91A2" w14:textId="77777777">
      <w:pPr>
        <w:spacing w:line="234" w:lineRule="exact"/>
        <w:rPr>
          <w:sz w:val="21"/>
        </w:rPr>
        <w:sectPr>
          <w:type w:val="continuous"/>
          <w:pgSz w:w="15840" w:h="12240" w:orient="landscape"/>
          <w:pgMar w:top="480" w:right="440" w:bottom="460" w:left="460" w:header="284" w:footer="275" w:gutter="0"/>
          <w:cols w:space="720"/>
        </w:sectPr>
      </w:pPr>
    </w:p>
    <w:p w:rsidR="003F5784" w14:paraId="3885A694" w14:textId="77777777">
      <w:pPr>
        <w:pStyle w:val="BodyText"/>
        <w:tabs>
          <w:tab w:val="left" w:pos="7355"/>
          <w:tab w:val="left" w:pos="12550"/>
        </w:tabs>
        <w:spacing w:before="98" w:after="20"/>
        <w:ind w:left="595"/>
      </w:pPr>
      <w:r>
        <w:rPr>
          <w:spacing w:val="-2"/>
        </w:rPr>
        <w:t>Affiliation</w:t>
      </w:r>
      <w:r>
        <w:tab/>
        <w:t>Number</w:t>
      </w:r>
      <w:r>
        <w:rPr>
          <w:spacing w:val="-6"/>
        </w:rPr>
        <w:t xml:space="preserve"> </w:t>
      </w:r>
      <w:r>
        <w:t>of</w:t>
      </w:r>
      <w:r>
        <w:rPr>
          <w:spacing w:val="-5"/>
        </w:rPr>
        <w:t xml:space="preserve"> </w:t>
      </w:r>
      <w:r>
        <w:rPr>
          <w:spacing w:val="-2"/>
        </w:rPr>
        <w:t>schools</w:t>
      </w:r>
      <w:r>
        <w:tab/>
        <w:t>Estimated</w:t>
      </w:r>
      <w:r>
        <w:rPr>
          <w:spacing w:val="-10"/>
        </w:rPr>
        <w:t xml:space="preserve"> </w:t>
      </w:r>
      <w:r>
        <w:rPr>
          <w:spacing w:val="-2"/>
        </w:rPr>
        <w:t>enrollment</w:t>
      </w:r>
    </w:p>
    <w:tbl>
      <w:tblPr>
        <w:tblW w:w="0" w:type="auto"/>
        <w:tblInd w:w="482" w:type="dxa"/>
        <w:tblLayout w:type="fixed"/>
        <w:tblCellMar>
          <w:left w:w="0" w:type="dxa"/>
          <w:right w:w="0" w:type="dxa"/>
        </w:tblCellMar>
        <w:tblLook w:val="01E0"/>
      </w:tblPr>
      <w:tblGrid>
        <w:gridCol w:w="4575"/>
        <w:gridCol w:w="6253"/>
        <w:gridCol w:w="3157"/>
      </w:tblGrid>
      <w:tr w14:paraId="3DFF2C75" w14:textId="77777777">
        <w:tblPrEx>
          <w:tblW w:w="0" w:type="auto"/>
          <w:tblInd w:w="482" w:type="dxa"/>
          <w:tblLayout w:type="fixed"/>
          <w:tblCellMar>
            <w:left w:w="0" w:type="dxa"/>
            <w:right w:w="0" w:type="dxa"/>
          </w:tblCellMar>
          <w:tblLook w:val="01E0"/>
        </w:tblPrEx>
        <w:trPr>
          <w:trHeight w:val="280"/>
        </w:trPr>
        <w:tc>
          <w:tcPr>
            <w:tcW w:w="4575" w:type="dxa"/>
            <w:tcBorders>
              <w:top w:val="single" w:sz="18" w:space="0" w:color="800000"/>
              <w:bottom w:val="single" w:sz="18" w:space="0" w:color="800000"/>
            </w:tcBorders>
          </w:tcPr>
          <w:p w:rsidR="003F5784" w14:paraId="7A54547A" w14:textId="77777777">
            <w:pPr>
              <w:pStyle w:val="TableParagraph"/>
              <w:spacing w:before="9"/>
              <w:ind w:left="120"/>
              <w:jc w:val="left"/>
              <w:rPr>
                <w:sz w:val="21"/>
              </w:rPr>
            </w:pPr>
            <w:r>
              <w:rPr>
                <w:spacing w:val="-2"/>
                <w:sz w:val="21"/>
              </w:rPr>
              <w:t>Non-Catholic</w:t>
            </w:r>
          </w:p>
        </w:tc>
        <w:tc>
          <w:tcPr>
            <w:tcW w:w="6253" w:type="dxa"/>
            <w:tcBorders>
              <w:top w:val="single" w:sz="18" w:space="0" w:color="800000"/>
              <w:bottom w:val="single" w:sz="18" w:space="0" w:color="800000"/>
            </w:tcBorders>
          </w:tcPr>
          <w:p w:rsidR="003F5784" w14:paraId="1039CEEC" w14:textId="77777777">
            <w:pPr>
              <w:pStyle w:val="TableParagraph"/>
              <w:spacing w:before="9"/>
              <w:ind w:left="959"/>
              <w:jc w:val="center"/>
              <w:rPr>
                <w:sz w:val="21"/>
              </w:rPr>
            </w:pPr>
            <w:r>
              <w:rPr>
                <w:spacing w:val="-2"/>
                <w:sz w:val="21"/>
              </w:rPr>
              <w:t>12,382</w:t>
            </w:r>
          </w:p>
        </w:tc>
        <w:tc>
          <w:tcPr>
            <w:tcW w:w="3157" w:type="dxa"/>
            <w:tcBorders>
              <w:top w:val="single" w:sz="18" w:space="0" w:color="800000"/>
              <w:bottom w:val="single" w:sz="18" w:space="0" w:color="800000"/>
            </w:tcBorders>
          </w:tcPr>
          <w:p w:rsidR="003F5784" w14:paraId="14C3FE4A" w14:textId="77777777">
            <w:pPr>
              <w:pStyle w:val="TableParagraph"/>
              <w:spacing w:before="9"/>
              <w:ind w:right="118"/>
              <w:rPr>
                <w:sz w:val="21"/>
              </w:rPr>
            </w:pPr>
            <w:r>
              <w:rPr>
                <w:spacing w:val="-2"/>
                <w:sz w:val="21"/>
              </w:rPr>
              <w:t>191,494</w:t>
            </w:r>
          </w:p>
        </w:tc>
      </w:tr>
    </w:tbl>
    <w:p w:rsidR="003F5784" w14:paraId="01595A9A" w14:textId="77777777">
      <w:pPr>
        <w:pStyle w:val="BodyText"/>
        <w:spacing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National Civics and U.S. History Assessments.</w:t>
      </w:r>
    </w:p>
    <w:p w:rsidR="003F5784" w14:paraId="5BF56E1B" w14:textId="77777777">
      <w:pPr>
        <w:pStyle w:val="BodyText"/>
      </w:pPr>
    </w:p>
    <w:p w:rsidR="003F5784" w14:paraId="718DE96F" w14:textId="77777777">
      <w:pPr>
        <w:pStyle w:val="BodyText"/>
        <w:spacing w:before="204"/>
      </w:pPr>
    </w:p>
    <w:p w:rsidR="003F5784" w14:paraId="6C4134A4" w14:textId="77777777">
      <w:pPr>
        <w:ind w:left="1528"/>
        <w:rPr>
          <w:sz w:val="18"/>
        </w:rPr>
      </w:pPr>
      <w:hyperlink r:id="rId20">
        <w:r>
          <w:rPr>
            <w:spacing w:val="-2"/>
            <w:w w:val="105"/>
            <w:sz w:val="18"/>
          </w:rPr>
          <w:t>http://nces.ed.gov/nationsreportcard/tdw/sample_design/2022/eighth_grade_schools_and_enrollment_in_the_2022_private_school_civics_and_us_history_sampling_frame.aspx</w:t>
        </w:r>
      </w:hyperlink>
    </w:p>
    <w:p w:rsidR="003F5784" w14:paraId="1C8D7862" w14:textId="77777777">
      <w:pPr>
        <w:pStyle w:val="BodyText"/>
        <w:spacing w:before="1"/>
        <w:rPr>
          <w:sz w:val="16"/>
        </w:rPr>
      </w:pPr>
      <w:r>
        <w:rPr>
          <w:noProof/>
        </w:rPr>
        <mc:AlternateContent>
          <mc:Choice Requires="wps">
            <w:drawing>
              <wp:anchor distT="0" distB="0" distL="0" distR="0" simplePos="0" relativeHeight="251730944" behindDoc="1" locked="0" layoutInCell="1" allowOverlap="1">
                <wp:simplePos x="0" y="0"/>
                <wp:positionH relativeFrom="page">
                  <wp:posOffset>361937</wp:posOffset>
                </wp:positionH>
                <wp:positionV relativeFrom="paragraph">
                  <wp:posOffset>133017</wp:posOffset>
                </wp:positionV>
                <wp:extent cx="9339580" cy="8890"/>
                <wp:effectExtent l="0" t="0" r="0" b="0"/>
                <wp:wrapTopAndBottom/>
                <wp:docPr id="31" name="Graphic 31"/>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31" o:spid="_x0000_s1033" style="width:735.4pt;height:0.7pt;margin-top:10.45pt;margin-left:28.5pt;mso-position-horizontal-relative:page;mso-wrap-distance-bottom:0;mso-wrap-distance-left:0;mso-wrap-distance-right:0;mso-wrap-distance-top:0;mso-wrap-style:square;position:absolute;visibility:visible;v-text-anchor:top;z-index:-251584512" coordsize="9339580,8890" path="m9338970,l9335110,l8280,,,,,8280l8280,8280l9335110,8280l9338970,8280l9338970,xe" fillcolor="gray" stroked="f">
                <v:path arrowok="t"/>
                <w10:wrap type="topAndBottom"/>
              </v:shape>
            </w:pict>
          </mc:Fallback>
        </mc:AlternateContent>
      </w:r>
    </w:p>
    <w:p w:rsidR="003F5784" w14:paraId="7A50045D" w14:textId="77777777">
      <w:pPr>
        <w:pStyle w:val="BodyText"/>
        <w:rPr>
          <w:sz w:val="18"/>
        </w:rPr>
      </w:pPr>
    </w:p>
    <w:p w:rsidR="003F5784" w14:paraId="6AC46FE6" w14:textId="77777777">
      <w:pPr>
        <w:pStyle w:val="BodyText"/>
        <w:spacing w:before="193"/>
        <w:rPr>
          <w:sz w:val="18"/>
        </w:rPr>
      </w:pPr>
    </w:p>
    <w:p w:rsidR="003F5784" w14:paraId="0D05BE2C" w14:textId="14ABF1E2">
      <w:pPr>
        <w:pStyle w:val="Heading1"/>
        <w:spacing w:line="244" w:lineRule="auto"/>
        <w:ind w:right="215"/>
        <w:jc w:val="both"/>
      </w:pPr>
      <w:r>
        <w:t>NAEP</w:t>
      </w:r>
      <w:r>
        <w:rPr>
          <w:spacing w:val="-14"/>
        </w:rPr>
        <w:t xml:space="preserve"> </w:t>
      </w:r>
      <w:r>
        <w:t>Technical Documentation</w:t>
      </w:r>
      <w:r w:rsidR="0043366D">
        <w:t xml:space="preserve"> </w:t>
      </w:r>
      <w:r>
        <w:t>New-School Sampling Frame for the 2022 Eighth- Grade</w:t>
      </w:r>
      <w:r>
        <w:rPr>
          <w:spacing w:val="40"/>
        </w:rPr>
        <w:t xml:space="preserve"> </w:t>
      </w:r>
      <w:r>
        <w:t>Private</w:t>
      </w:r>
      <w:r>
        <w:rPr>
          <w:spacing w:val="40"/>
        </w:rPr>
        <w:t xml:space="preserve"> </w:t>
      </w:r>
      <w:r>
        <w:t>School</w:t>
      </w:r>
      <w:r>
        <w:rPr>
          <w:spacing w:val="40"/>
        </w:rPr>
        <w:t xml:space="preserve"> </w:t>
      </w:r>
      <w:r>
        <w:t>National Assessment</w:t>
      </w:r>
      <w:r>
        <w:rPr>
          <w:spacing w:val="40"/>
        </w:rPr>
        <w:t xml:space="preserve"> </w:t>
      </w:r>
      <w:r>
        <w:t>in</w:t>
      </w:r>
      <w:r>
        <w:rPr>
          <w:spacing w:val="40"/>
        </w:rPr>
        <w:t xml:space="preserve"> </w:t>
      </w:r>
      <w:r>
        <w:t>Civics</w:t>
      </w:r>
      <w:r>
        <w:rPr>
          <w:spacing w:val="40"/>
        </w:rPr>
        <w:t xml:space="preserve"> </w:t>
      </w:r>
      <w:r>
        <w:t>and</w:t>
      </w:r>
      <w:r>
        <w:rPr>
          <w:spacing w:val="40"/>
        </w:rPr>
        <w:t xml:space="preserve"> </w:t>
      </w:r>
      <w:r>
        <w:t>U.S.</w:t>
      </w:r>
      <w:r>
        <w:rPr>
          <w:spacing w:val="40"/>
        </w:rPr>
        <w:t xml:space="preserve"> </w:t>
      </w:r>
      <w:r>
        <w:t>History</w:t>
      </w:r>
    </w:p>
    <w:p w:rsidR="003F5784" w14:paraId="305D5BF4" w14:textId="77777777">
      <w:pPr>
        <w:pStyle w:val="BodyText"/>
        <w:spacing w:before="287" w:line="232" w:lineRule="auto"/>
        <w:ind w:left="109" w:right="234"/>
        <w:jc w:val="both"/>
      </w:pPr>
      <w:r>
        <w:t>The</w:t>
      </w:r>
      <w:r>
        <w:rPr>
          <w:spacing w:val="-6"/>
        </w:rPr>
        <w:t xml:space="preserve"> </w:t>
      </w:r>
      <w:r>
        <w:t>NAEP</w:t>
      </w:r>
      <w:r>
        <w:rPr>
          <w:spacing w:val="-13"/>
        </w:rPr>
        <w:t xml:space="preserve"> </w:t>
      </w:r>
      <w:r>
        <w:t>2022</w:t>
      </w:r>
      <w:r>
        <w:rPr>
          <w:spacing w:val="-6"/>
        </w:rPr>
        <w:t xml:space="preserve"> </w:t>
      </w:r>
      <w:r>
        <w:t>private</w:t>
      </w:r>
      <w:r>
        <w:rPr>
          <w:spacing w:val="-6"/>
        </w:rPr>
        <w:t xml:space="preserve"> </w:t>
      </w:r>
      <w:r>
        <w:t>school</w:t>
      </w:r>
      <w:r>
        <w:rPr>
          <w:spacing w:val="-6"/>
        </w:rPr>
        <w:t xml:space="preserve"> </w:t>
      </w:r>
      <w:r>
        <w:t>frame</w:t>
      </w:r>
      <w:r>
        <w:rPr>
          <w:spacing w:val="-6"/>
        </w:rPr>
        <w:t xml:space="preserve"> </w:t>
      </w:r>
      <w:r>
        <w:t>was</w:t>
      </w:r>
      <w:r>
        <w:rPr>
          <w:spacing w:val="-6"/>
        </w:rPr>
        <w:t xml:space="preserve"> </w:t>
      </w:r>
      <w:r>
        <w:t>constructed</w:t>
      </w:r>
      <w:r>
        <w:rPr>
          <w:spacing w:val="-6"/>
        </w:rPr>
        <w:t xml:space="preserve"> </w:t>
      </w:r>
      <w:r>
        <w:t>using</w:t>
      </w:r>
      <w:r>
        <w:rPr>
          <w:spacing w:val="-6"/>
        </w:rPr>
        <w:t xml:space="preserve"> </w:t>
      </w:r>
      <w:r>
        <w:t>the</w:t>
      </w:r>
      <w:r>
        <w:rPr>
          <w:spacing w:val="-6"/>
        </w:rPr>
        <w:t xml:space="preserve"> </w:t>
      </w:r>
      <w:r>
        <w:t>most</w:t>
      </w:r>
      <w:r>
        <w:rPr>
          <w:spacing w:val="-6"/>
        </w:rPr>
        <w:t xml:space="preserve"> </w:t>
      </w:r>
      <w:r>
        <w:t>current</w:t>
      </w:r>
      <w:r>
        <w:rPr>
          <w:spacing w:val="-6"/>
        </w:rPr>
        <w:t xml:space="preserve"> </w:t>
      </w:r>
      <w:r>
        <w:t>Private</w:t>
      </w:r>
      <w:r>
        <w:rPr>
          <w:spacing w:val="-6"/>
        </w:rPr>
        <w:t xml:space="preserve"> </w:t>
      </w:r>
      <w:r>
        <w:t>School</w:t>
      </w:r>
      <w:r>
        <w:rPr>
          <w:spacing w:val="-6"/>
        </w:rPr>
        <w:t xml:space="preserve"> </w:t>
      </w:r>
      <w:r>
        <w:t>Universe</w:t>
      </w:r>
      <w:r>
        <w:rPr>
          <w:spacing w:val="-6"/>
        </w:rPr>
        <w:t xml:space="preserve"> </w:t>
      </w:r>
      <w:r>
        <w:t>Survey</w:t>
      </w:r>
      <w:r>
        <w:rPr>
          <w:spacing w:val="-6"/>
        </w:rPr>
        <w:t xml:space="preserve"> </w:t>
      </w:r>
      <w:r>
        <w:t>(PSS)</w:t>
      </w:r>
      <w:r>
        <w:rPr>
          <w:spacing w:val="-6"/>
        </w:rPr>
        <w:t xml:space="preserve"> </w:t>
      </w:r>
      <w:r>
        <w:t>file</w:t>
      </w:r>
      <w:r>
        <w:rPr>
          <w:spacing w:val="-6"/>
        </w:rPr>
        <w:t xml:space="preserve"> </w:t>
      </w:r>
      <w:r>
        <w:t>available</w:t>
      </w:r>
      <w:r>
        <w:rPr>
          <w:spacing w:val="-6"/>
        </w:rPr>
        <w:t xml:space="preserve"> </w:t>
      </w:r>
      <w:r>
        <w:t>from</w:t>
      </w:r>
      <w:r>
        <w:rPr>
          <w:spacing w:val="-6"/>
        </w:rPr>
        <w:t xml:space="preserve"> </w:t>
      </w:r>
      <w:r>
        <w:t>NCES.</w:t>
      </w:r>
      <w:r>
        <w:rPr>
          <w:spacing w:val="-10"/>
        </w:rPr>
        <w:t xml:space="preserve"> </w:t>
      </w:r>
      <w:r>
        <w:t>This</w:t>
      </w:r>
      <w:r>
        <w:rPr>
          <w:spacing w:val="-6"/>
        </w:rPr>
        <w:t xml:space="preserve"> </w:t>
      </w:r>
      <w:r>
        <w:t>file</w:t>
      </w:r>
      <w:r>
        <w:rPr>
          <w:spacing w:val="-6"/>
        </w:rPr>
        <w:t xml:space="preserve"> </w:t>
      </w:r>
      <w:r>
        <w:t>contained</w:t>
      </w:r>
      <w:r>
        <w:rPr>
          <w:spacing w:val="-6"/>
        </w:rPr>
        <w:t xml:space="preserve"> </w:t>
      </w:r>
      <w:r>
        <w:t>schools</w:t>
      </w:r>
      <w:r>
        <w:rPr>
          <w:spacing w:val="-6"/>
        </w:rPr>
        <w:t xml:space="preserve"> </w:t>
      </w:r>
      <w:r>
        <w:t>that were</w:t>
      </w:r>
      <w:r>
        <w:rPr>
          <w:spacing w:val="-6"/>
        </w:rPr>
        <w:t xml:space="preserve"> </w:t>
      </w:r>
      <w:r>
        <w:t>in</w:t>
      </w:r>
      <w:r>
        <w:rPr>
          <w:spacing w:val="-6"/>
        </w:rPr>
        <w:t xml:space="preserve"> </w:t>
      </w:r>
      <w:r>
        <w:t>existence</w:t>
      </w:r>
      <w:r>
        <w:rPr>
          <w:spacing w:val="-6"/>
        </w:rPr>
        <w:t xml:space="preserve"> </w:t>
      </w:r>
      <w:r>
        <w:t>during</w:t>
      </w:r>
      <w:r>
        <w:rPr>
          <w:spacing w:val="-6"/>
        </w:rPr>
        <w:t xml:space="preserve"> </w:t>
      </w:r>
      <w:r>
        <w:t>the</w:t>
      </w:r>
      <w:r>
        <w:rPr>
          <w:spacing w:val="-6"/>
        </w:rPr>
        <w:t xml:space="preserve"> </w:t>
      </w:r>
      <w:r>
        <w:t>2019–2020</w:t>
      </w:r>
      <w:r>
        <w:rPr>
          <w:spacing w:val="-6"/>
        </w:rPr>
        <w:t xml:space="preserve"> </w:t>
      </w:r>
      <w:r>
        <w:t>school</w:t>
      </w:r>
      <w:r>
        <w:rPr>
          <w:spacing w:val="-6"/>
        </w:rPr>
        <w:t xml:space="preserve"> </w:t>
      </w:r>
      <w:r>
        <w:t>year</w:t>
      </w:r>
      <w:r>
        <w:rPr>
          <w:spacing w:val="-6"/>
        </w:rPr>
        <w:t xml:space="preserve"> </w:t>
      </w:r>
      <w:r>
        <w:t>(i.e.,</w:t>
      </w:r>
      <w:r>
        <w:rPr>
          <w:spacing w:val="-6"/>
        </w:rPr>
        <w:t xml:space="preserve"> </w:t>
      </w:r>
      <w:r>
        <w:t>it</w:t>
      </w:r>
      <w:r>
        <w:rPr>
          <w:spacing w:val="-6"/>
        </w:rPr>
        <w:t xml:space="preserve"> </w:t>
      </w:r>
      <w:r>
        <w:t>was</w:t>
      </w:r>
      <w:r>
        <w:rPr>
          <w:spacing w:val="-6"/>
        </w:rPr>
        <w:t xml:space="preserve"> </w:t>
      </w:r>
      <w:r>
        <w:t>two</w:t>
      </w:r>
      <w:r>
        <w:rPr>
          <w:spacing w:val="-6"/>
        </w:rPr>
        <w:t xml:space="preserve"> </w:t>
      </w:r>
      <w:r>
        <w:t>years</w:t>
      </w:r>
      <w:r>
        <w:rPr>
          <w:spacing w:val="-6"/>
        </w:rPr>
        <w:t xml:space="preserve"> </w:t>
      </w:r>
      <w:r>
        <w:t>out</w:t>
      </w:r>
      <w:r>
        <w:rPr>
          <w:spacing w:val="-6"/>
        </w:rPr>
        <w:t xml:space="preserve"> </w:t>
      </w:r>
      <w:r>
        <w:t>of</w:t>
      </w:r>
      <w:r>
        <w:rPr>
          <w:spacing w:val="-6"/>
        </w:rPr>
        <w:t xml:space="preserve"> </w:t>
      </w:r>
      <w:r>
        <w:t>date).</w:t>
      </w:r>
      <w:r>
        <w:rPr>
          <w:spacing w:val="-6"/>
        </w:rPr>
        <w:t xml:space="preserve"> </w:t>
      </w:r>
      <w:r>
        <w:t>During</w:t>
      </w:r>
      <w:r>
        <w:rPr>
          <w:spacing w:val="-6"/>
        </w:rPr>
        <w:t xml:space="preserve"> </w:t>
      </w:r>
      <w:r>
        <w:t>the</w:t>
      </w:r>
      <w:r>
        <w:rPr>
          <w:spacing w:val="-6"/>
        </w:rPr>
        <w:t xml:space="preserve"> </w:t>
      </w:r>
      <w:r>
        <w:t>subsequent</w:t>
      </w:r>
      <w:r>
        <w:rPr>
          <w:spacing w:val="-6"/>
        </w:rPr>
        <w:t xml:space="preserve"> </w:t>
      </w:r>
      <w:r>
        <w:t>2-year</w:t>
      </w:r>
      <w:r>
        <w:rPr>
          <w:spacing w:val="-6"/>
        </w:rPr>
        <w:t xml:space="preserve"> </w:t>
      </w:r>
      <w:r>
        <w:t>period,</w:t>
      </w:r>
      <w:r>
        <w:rPr>
          <w:spacing w:val="-6"/>
        </w:rPr>
        <w:t xml:space="preserve"> </w:t>
      </w:r>
      <w:r>
        <w:t>undoubtedly,</w:t>
      </w:r>
      <w:r>
        <w:rPr>
          <w:spacing w:val="-6"/>
        </w:rPr>
        <w:t xml:space="preserve"> </w:t>
      </w:r>
      <w:r>
        <w:t>some</w:t>
      </w:r>
      <w:r>
        <w:rPr>
          <w:spacing w:val="-6"/>
        </w:rPr>
        <w:t xml:space="preserve"> </w:t>
      </w:r>
      <w:r>
        <w:t>schools</w:t>
      </w:r>
      <w:r>
        <w:rPr>
          <w:spacing w:val="-6"/>
        </w:rPr>
        <w:t xml:space="preserve"> </w:t>
      </w:r>
      <w:r>
        <w:t>closed,</w:t>
      </w:r>
      <w:r>
        <w:rPr>
          <w:spacing w:val="-6"/>
        </w:rPr>
        <w:t xml:space="preserve"> </w:t>
      </w:r>
      <w:r>
        <w:t>some</w:t>
      </w:r>
      <w:r>
        <w:rPr>
          <w:spacing w:val="-6"/>
        </w:rPr>
        <w:t xml:space="preserve"> </w:t>
      </w:r>
      <w:r>
        <w:t>changed structure (one school becoming two schools, for example), some newly opened, and still others changed their grade span.</w:t>
      </w:r>
    </w:p>
    <w:p w:rsidR="003F5784" w14:paraId="089D5B70" w14:textId="77777777">
      <w:pPr>
        <w:pStyle w:val="BodyText"/>
        <w:spacing w:before="210" w:line="232" w:lineRule="auto"/>
        <w:ind w:left="109"/>
      </w:pPr>
      <w:r>
        <w:t>A</w:t>
      </w:r>
      <w:r>
        <w:rPr>
          <w:spacing w:val="-11"/>
        </w:rPr>
        <w:t xml:space="preserve"> </w:t>
      </w:r>
      <w:r>
        <w:t>supplemental sample was selected from a list of Catholic schools that were new or had become newly eligible sometime after the 2019–2020 school year.</w:t>
      </w:r>
      <w:r>
        <w:rPr>
          <w:spacing w:val="-4"/>
        </w:rPr>
        <w:t xml:space="preserve"> </w:t>
      </w:r>
      <w:r>
        <w:t>The goal was to allow</w:t>
      </w:r>
      <w:r>
        <w:rPr>
          <w:spacing w:val="-2"/>
        </w:rPr>
        <w:t xml:space="preserve"> </w:t>
      </w:r>
      <w:r>
        <w:t>every</w:t>
      </w:r>
      <w:r>
        <w:rPr>
          <w:spacing w:val="-2"/>
        </w:rPr>
        <w:t xml:space="preserve"> </w:t>
      </w:r>
      <w:r>
        <w:t>new</w:t>
      </w:r>
      <w:r>
        <w:rPr>
          <w:spacing w:val="-2"/>
        </w:rPr>
        <w:t xml:space="preserve"> </w:t>
      </w:r>
      <w:r>
        <w:t>Catholic</w:t>
      </w:r>
      <w:r>
        <w:rPr>
          <w:spacing w:val="-2"/>
        </w:rPr>
        <w:t xml:space="preserve"> </w:t>
      </w:r>
      <w:r>
        <w:t>school</w:t>
      </w:r>
      <w:r>
        <w:rPr>
          <w:spacing w:val="-2"/>
        </w:rPr>
        <w:t xml:space="preserve"> </w:t>
      </w:r>
      <w:r>
        <w:t>a</w:t>
      </w:r>
      <w:r>
        <w:rPr>
          <w:spacing w:val="-2"/>
        </w:rPr>
        <w:t xml:space="preserve"> </w:t>
      </w:r>
      <w:r>
        <w:t>chance</w:t>
      </w:r>
      <w:r>
        <w:rPr>
          <w:spacing w:val="-2"/>
        </w:rPr>
        <w:t xml:space="preserve"> </w:t>
      </w:r>
      <w:r>
        <w:t>of</w:t>
      </w:r>
      <w:r>
        <w:rPr>
          <w:spacing w:val="-2"/>
        </w:rPr>
        <w:t xml:space="preserve"> </w:t>
      </w:r>
      <w:r>
        <w:t>selection,</w:t>
      </w:r>
      <w:r>
        <w:rPr>
          <w:spacing w:val="-2"/>
        </w:rPr>
        <w:t xml:space="preserve"> </w:t>
      </w:r>
      <w:r>
        <w:t>thereby</w:t>
      </w:r>
      <w:r>
        <w:rPr>
          <w:spacing w:val="-2"/>
        </w:rPr>
        <w:t xml:space="preserve"> </w:t>
      </w:r>
      <w:r>
        <w:t>fully</w:t>
      </w:r>
      <w:r>
        <w:rPr>
          <w:spacing w:val="-2"/>
        </w:rPr>
        <w:t xml:space="preserve"> </w:t>
      </w:r>
      <w:r>
        <w:t>covering</w:t>
      </w:r>
      <w:r>
        <w:rPr>
          <w:spacing w:val="-2"/>
        </w:rPr>
        <w:t xml:space="preserve"> </w:t>
      </w:r>
      <w:r>
        <w:t>the</w:t>
      </w:r>
      <w:r>
        <w:rPr>
          <w:spacing w:val="-2"/>
        </w:rPr>
        <w:t xml:space="preserve"> </w:t>
      </w:r>
      <w:r>
        <w:t>target</w:t>
      </w:r>
      <w:r>
        <w:rPr>
          <w:spacing w:val="-2"/>
        </w:rPr>
        <w:t xml:space="preserve"> </w:t>
      </w:r>
      <w:r>
        <w:t>population</w:t>
      </w:r>
      <w:r>
        <w:rPr>
          <w:spacing w:val="-2"/>
        </w:rPr>
        <w:t xml:space="preserve"> </w:t>
      </w:r>
      <w:r>
        <w:t>of</w:t>
      </w:r>
      <w:r>
        <w:rPr>
          <w:spacing w:val="-2"/>
        </w:rPr>
        <w:t xml:space="preserve"> </w:t>
      </w:r>
      <w:r>
        <w:t>Catholic</w:t>
      </w:r>
      <w:r>
        <w:rPr>
          <w:spacing w:val="-2"/>
        </w:rPr>
        <w:t xml:space="preserve"> </w:t>
      </w:r>
      <w:r>
        <w:t>schools</w:t>
      </w:r>
      <w:r>
        <w:rPr>
          <w:spacing w:val="-2"/>
        </w:rPr>
        <w:t xml:space="preserve"> </w:t>
      </w:r>
      <w:r>
        <w:t>in</w:t>
      </w:r>
      <w:r>
        <w:rPr>
          <w:spacing w:val="-2"/>
        </w:rPr>
        <w:t xml:space="preserve"> </w:t>
      </w:r>
      <w:r>
        <w:t>operation</w:t>
      </w:r>
      <w:r>
        <w:rPr>
          <w:spacing w:val="-2"/>
        </w:rPr>
        <w:t xml:space="preserve"> </w:t>
      </w:r>
      <w:r>
        <w:t>during</w:t>
      </w:r>
      <w:r>
        <w:rPr>
          <w:spacing w:val="-2"/>
        </w:rPr>
        <w:t xml:space="preserve"> </w:t>
      </w:r>
      <w:r>
        <w:t>the</w:t>
      </w:r>
      <w:r>
        <w:rPr>
          <w:spacing w:val="-2"/>
        </w:rPr>
        <w:t xml:space="preserve"> </w:t>
      </w:r>
      <w:r>
        <w:t>2021–2022</w:t>
      </w:r>
      <w:r>
        <w:rPr>
          <w:spacing w:val="-2"/>
        </w:rPr>
        <w:t xml:space="preserve"> </w:t>
      </w:r>
      <w:r>
        <w:t>school</w:t>
      </w:r>
      <w:r>
        <w:rPr>
          <w:spacing w:val="-2"/>
        </w:rPr>
        <w:t xml:space="preserve"> </w:t>
      </w:r>
      <w:r>
        <w:t>year.</w:t>
      </w:r>
      <w:r>
        <w:rPr>
          <w:spacing w:val="-2"/>
        </w:rPr>
        <w:t xml:space="preserve"> </w:t>
      </w:r>
      <w:r>
        <w:t>It</w:t>
      </w:r>
      <w:r>
        <w:rPr>
          <w:spacing w:val="-2"/>
        </w:rPr>
        <w:t xml:space="preserve"> </w:t>
      </w:r>
      <w:r>
        <w:t>was infeasible</w:t>
      </w:r>
      <w:r>
        <w:rPr>
          <w:spacing w:val="-1"/>
        </w:rPr>
        <w:t xml:space="preserve"> </w:t>
      </w:r>
      <w:r>
        <w:t>to</w:t>
      </w:r>
      <w:r>
        <w:rPr>
          <w:spacing w:val="-1"/>
        </w:rPr>
        <w:t xml:space="preserve"> </w:t>
      </w:r>
      <w:r>
        <w:t>ask</w:t>
      </w:r>
      <w:r>
        <w:rPr>
          <w:spacing w:val="-1"/>
        </w:rPr>
        <w:t xml:space="preserve"> </w:t>
      </w:r>
      <w:r>
        <w:t>every</w:t>
      </w:r>
      <w:r>
        <w:rPr>
          <w:spacing w:val="-1"/>
        </w:rPr>
        <w:t xml:space="preserve"> </w:t>
      </w:r>
      <w:r>
        <w:t>Catholic</w:t>
      </w:r>
      <w:r>
        <w:rPr>
          <w:spacing w:val="-1"/>
        </w:rPr>
        <w:t xml:space="preserve"> </w:t>
      </w:r>
      <w:r>
        <w:t>diocese</w:t>
      </w:r>
      <w:r>
        <w:rPr>
          <w:spacing w:val="-1"/>
        </w:rPr>
        <w:t xml:space="preserve"> </w:t>
      </w:r>
      <w:r>
        <w:t>in</w:t>
      </w:r>
      <w:r>
        <w:rPr>
          <w:spacing w:val="-1"/>
        </w:rPr>
        <w:t xml:space="preserve"> </w:t>
      </w:r>
      <w:r>
        <w:t>the</w:t>
      </w:r>
      <w:r>
        <w:rPr>
          <w:spacing w:val="-1"/>
        </w:rPr>
        <w:t xml:space="preserve"> </w:t>
      </w:r>
      <w:r>
        <w:t>United</w:t>
      </w:r>
      <w:r>
        <w:rPr>
          <w:spacing w:val="-1"/>
        </w:rPr>
        <w:t xml:space="preserve"> </w:t>
      </w:r>
      <w:r>
        <w:t>States</w:t>
      </w:r>
      <w:r>
        <w:rPr>
          <w:spacing w:val="-1"/>
        </w:rPr>
        <w:t xml:space="preserve"> </w:t>
      </w:r>
      <w:r>
        <w:t>to</w:t>
      </w:r>
      <w:r>
        <w:rPr>
          <w:spacing w:val="-1"/>
        </w:rPr>
        <w:t xml:space="preserve"> </w:t>
      </w:r>
      <w:r>
        <w:t>provide</w:t>
      </w:r>
      <w:r>
        <w:rPr>
          <w:spacing w:val="-1"/>
        </w:rPr>
        <w:t xml:space="preserve"> </w:t>
      </w:r>
      <w:r>
        <w:t>a</w:t>
      </w:r>
      <w:r>
        <w:rPr>
          <w:spacing w:val="-1"/>
        </w:rPr>
        <w:t xml:space="preserve"> </w:t>
      </w:r>
      <w:r>
        <w:t>supplemental</w:t>
      </w:r>
      <w:r>
        <w:rPr>
          <w:spacing w:val="-1"/>
        </w:rPr>
        <w:t xml:space="preserve"> </w:t>
      </w:r>
      <w:r>
        <w:t>school</w:t>
      </w:r>
      <w:r>
        <w:rPr>
          <w:spacing w:val="-1"/>
        </w:rPr>
        <w:t xml:space="preserve"> </w:t>
      </w:r>
      <w:r>
        <w:t>frame,</w:t>
      </w:r>
      <w:r>
        <w:rPr>
          <w:spacing w:val="-1"/>
        </w:rPr>
        <w:t xml:space="preserve"> </w:t>
      </w:r>
      <w:r>
        <w:t>so</w:t>
      </w:r>
      <w:r>
        <w:rPr>
          <w:spacing w:val="-1"/>
        </w:rPr>
        <w:t xml:space="preserve"> </w:t>
      </w:r>
      <w:r>
        <w:t>a</w:t>
      </w:r>
      <w:r>
        <w:rPr>
          <w:spacing w:val="-1"/>
        </w:rPr>
        <w:t xml:space="preserve"> </w:t>
      </w:r>
      <w:r>
        <w:t>two-stage</w:t>
      </w:r>
      <w:r>
        <w:rPr>
          <w:spacing w:val="-1"/>
        </w:rPr>
        <w:t xml:space="preserve"> </w:t>
      </w:r>
      <w:r>
        <w:t>procedure</w:t>
      </w:r>
      <w:r>
        <w:rPr>
          <w:spacing w:val="-1"/>
        </w:rPr>
        <w:t xml:space="preserve"> </w:t>
      </w:r>
      <w:r>
        <w:t>was</w:t>
      </w:r>
      <w:r>
        <w:rPr>
          <w:spacing w:val="-1"/>
        </w:rPr>
        <w:t xml:space="preserve"> </w:t>
      </w:r>
      <w:r>
        <w:t>employed.</w:t>
      </w:r>
      <w:r>
        <w:rPr>
          <w:spacing w:val="-1"/>
        </w:rPr>
        <w:t xml:space="preserve"> </w:t>
      </w:r>
      <w:r>
        <w:t>First,</w:t>
      </w:r>
      <w:r>
        <w:rPr>
          <w:spacing w:val="-1"/>
        </w:rPr>
        <w:t xml:space="preserve"> </w:t>
      </w:r>
      <w:r>
        <w:t>a</w:t>
      </w:r>
      <w:r>
        <w:rPr>
          <w:spacing w:val="-1"/>
        </w:rPr>
        <w:t xml:space="preserve"> </w:t>
      </w:r>
      <w:r>
        <w:t>sample</w:t>
      </w:r>
      <w:r>
        <w:rPr>
          <w:spacing w:val="-1"/>
        </w:rPr>
        <w:t xml:space="preserve"> </w:t>
      </w:r>
      <w:r>
        <w:t>of</w:t>
      </w:r>
      <w:r>
        <w:rPr>
          <w:spacing w:val="-1"/>
        </w:rPr>
        <w:t xml:space="preserve"> </w:t>
      </w:r>
      <w:r>
        <w:t>dioceses</w:t>
      </w:r>
      <w:r>
        <w:rPr>
          <w:spacing w:val="-1"/>
        </w:rPr>
        <w:t xml:space="preserve"> </w:t>
      </w:r>
      <w:r>
        <w:t>was selected.</w:t>
      </w:r>
      <w:r>
        <w:rPr>
          <w:spacing w:val="-12"/>
        </w:rPr>
        <w:t xml:space="preserve"> </w:t>
      </w:r>
      <w:r>
        <w:t>Then</w:t>
      </w:r>
      <w:r>
        <w:rPr>
          <w:spacing w:val="-6"/>
        </w:rPr>
        <w:t xml:space="preserve"> </w:t>
      </w:r>
      <w:r>
        <w:t>the</w:t>
      </w:r>
      <w:r>
        <w:rPr>
          <w:spacing w:val="-6"/>
        </w:rPr>
        <w:t xml:space="preserve"> </w:t>
      </w:r>
      <w:r>
        <w:t>National</w:t>
      </w:r>
      <w:r>
        <w:rPr>
          <w:spacing w:val="-6"/>
        </w:rPr>
        <w:t xml:space="preserve"> </w:t>
      </w:r>
      <w:r>
        <w:t>Catholic</w:t>
      </w:r>
      <w:r>
        <w:rPr>
          <w:spacing w:val="-6"/>
        </w:rPr>
        <w:t xml:space="preserve"> </w:t>
      </w:r>
      <w:r>
        <w:t>Educational</w:t>
      </w:r>
      <w:r>
        <w:rPr>
          <w:spacing w:val="-14"/>
        </w:rPr>
        <w:t xml:space="preserve"> </w:t>
      </w:r>
      <w:r>
        <w:t>Association</w:t>
      </w:r>
      <w:r>
        <w:rPr>
          <w:spacing w:val="-5"/>
        </w:rPr>
        <w:t xml:space="preserve"> </w:t>
      </w:r>
      <w:r>
        <w:t>(NCEA)</w:t>
      </w:r>
      <w:r>
        <w:rPr>
          <w:spacing w:val="-6"/>
        </w:rPr>
        <w:t xml:space="preserve"> </w:t>
      </w:r>
      <w:r>
        <w:t>was</w:t>
      </w:r>
      <w:r>
        <w:rPr>
          <w:spacing w:val="-6"/>
        </w:rPr>
        <w:t xml:space="preserve"> </w:t>
      </w:r>
      <w:r>
        <w:t>sent</w:t>
      </w:r>
      <w:r>
        <w:rPr>
          <w:spacing w:val="-6"/>
        </w:rPr>
        <w:t xml:space="preserve"> </w:t>
      </w:r>
      <w:r>
        <w:t>a</w:t>
      </w:r>
      <w:r>
        <w:rPr>
          <w:spacing w:val="-6"/>
        </w:rPr>
        <w:t xml:space="preserve"> </w:t>
      </w:r>
      <w:r>
        <w:t>list</w:t>
      </w:r>
      <w:r>
        <w:rPr>
          <w:spacing w:val="-6"/>
        </w:rPr>
        <w:t xml:space="preserve"> </w:t>
      </w:r>
      <w:r>
        <w:t>of</w:t>
      </w:r>
      <w:r>
        <w:rPr>
          <w:spacing w:val="-6"/>
        </w:rPr>
        <w:t xml:space="preserve"> </w:t>
      </w:r>
      <w:r>
        <w:t>the</w:t>
      </w:r>
      <w:r>
        <w:rPr>
          <w:spacing w:val="-6"/>
        </w:rPr>
        <w:t xml:space="preserve"> </w:t>
      </w:r>
      <w:r>
        <w:t>schools</w:t>
      </w:r>
      <w:r>
        <w:rPr>
          <w:spacing w:val="-6"/>
        </w:rPr>
        <w:t xml:space="preserve"> </w:t>
      </w:r>
      <w:r>
        <w:t>within</w:t>
      </w:r>
      <w:r>
        <w:rPr>
          <w:spacing w:val="-6"/>
        </w:rPr>
        <w:t xml:space="preserve"> </w:t>
      </w:r>
      <w:r>
        <w:t>their</w:t>
      </w:r>
      <w:r>
        <w:rPr>
          <w:spacing w:val="-6"/>
        </w:rPr>
        <w:t xml:space="preserve"> </w:t>
      </w:r>
      <w:r>
        <w:t>sampled</w:t>
      </w:r>
      <w:r>
        <w:rPr>
          <w:spacing w:val="-6"/>
        </w:rPr>
        <w:t xml:space="preserve"> </w:t>
      </w:r>
      <w:r>
        <w:t>dioceses</w:t>
      </w:r>
      <w:r>
        <w:rPr>
          <w:spacing w:val="-6"/>
        </w:rPr>
        <w:t xml:space="preserve"> </w:t>
      </w:r>
      <w:r>
        <w:t>that</w:t>
      </w:r>
      <w:r>
        <w:rPr>
          <w:spacing w:val="-6"/>
        </w:rPr>
        <w:t xml:space="preserve"> </w:t>
      </w:r>
      <w:r>
        <w:t>had</w:t>
      </w:r>
      <w:r>
        <w:rPr>
          <w:spacing w:val="-6"/>
        </w:rPr>
        <w:t xml:space="preserve"> </w:t>
      </w:r>
      <w:r>
        <w:t>been</w:t>
      </w:r>
      <w:r>
        <w:rPr>
          <w:spacing w:val="-6"/>
        </w:rPr>
        <w:t xml:space="preserve"> </w:t>
      </w:r>
      <w:r>
        <w:t>present</w:t>
      </w:r>
      <w:r>
        <w:rPr>
          <w:spacing w:val="-6"/>
        </w:rPr>
        <w:t xml:space="preserve"> </w:t>
      </w:r>
      <w:r>
        <w:t>on</w:t>
      </w:r>
      <w:r>
        <w:rPr>
          <w:spacing w:val="-6"/>
        </w:rPr>
        <w:t xml:space="preserve"> </w:t>
      </w:r>
      <w:r>
        <w:t>the</w:t>
      </w:r>
      <w:r>
        <w:rPr>
          <w:spacing w:val="-6"/>
        </w:rPr>
        <w:t xml:space="preserve"> </w:t>
      </w:r>
      <w:r>
        <w:t>2019–2020</w:t>
      </w:r>
      <w:r>
        <w:rPr>
          <w:spacing w:val="-6"/>
        </w:rPr>
        <w:t xml:space="preserve"> </w:t>
      </w:r>
      <w:r>
        <w:t>PSS file. NCEA</w:t>
      </w:r>
      <w:r>
        <w:rPr>
          <w:spacing w:val="-8"/>
        </w:rPr>
        <w:t xml:space="preserve"> </w:t>
      </w:r>
      <w:r>
        <w:t>was asked to add in any new schools and update grade span for the schools on this list.</w:t>
      </w:r>
    </w:p>
    <w:p w:rsidR="003F5784" w14:paraId="17C98938" w14:textId="77777777">
      <w:pPr>
        <w:pStyle w:val="BodyText"/>
        <w:spacing w:before="210" w:line="232" w:lineRule="auto"/>
        <w:ind w:left="109"/>
      </w:pPr>
      <w:r>
        <w:t>The</w:t>
      </w:r>
      <w:r>
        <w:rPr>
          <w:spacing w:val="-6"/>
        </w:rPr>
        <w:t xml:space="preserve"> </w:t>
      </w:r>
      <w:r>
        <w:t>new-school</w:t>
      </w:r>
      <w:r>
        <w:rPr>
          <w:spacing w:val="-6"/>
        </w:rPr>
        <w:t xml:space="preserve"> </w:t>
      </w:r>
      <w:r>
        <w:t>process</w:t>
      </w:r>
      <w:r>
        <w:rPr>
          <w:spacing w:val="-6"/>
        </w:rPr>
        <w:t xml:space="preserve"> </w:t>
      </w:r>
      <w:r>
        <w:t>began</w:t>
      </w:r>
      <w:r>
        <w:rPr>
          <w:spacing w:val="-6"/>
        </w:rPr>
        <w:t xml:space="preserve"> </w:t>
      </w:r>
      <w:r>
        <w:t>with</w:t>
      </w:r>
      <w:r>
        <w:rPr>
          <w:spacing w:val="-6"/>
        </w:rPr>
        <w:t xml:space="preserve"> </w:t>
      </w:r>
      <w:r>
        <w:t>the</w:t>
      </w:r>
      <w:r>
        <w:rPr>
          <w:spacing w:val="-6"/>
        </w:rPr>
        <w:t xml:space="preserve"> </w:t>
      </w:r>
      <w:r>
        <w:t>preparation</w:t>
      </w:r>
      <w:r>
        <w:rPr>
          <w:spacing w:val="-6"/>
        </w:rPr>
        <w:t xml:space="preserve"> </w:t>
      </w:r>
      <w:r>
        <w:t>of</w:t>
      </w:r>
      <w:r>
        <w:rPr>
          <w:spacing w:val="-6"/>
        </w:rPr>
        <w:t xml:space="preserve"> </w:t>
      </w:r>
      <w:r>
        <w:t>a</w:t>
      </w:r>
      <w:r>
        <w:rPr>
          <w:spacing w:val="-6"/>
        </w:rPr>
        <w:t xml:space="preserve"> </w:t>
      </w:r>
      <w:r>
        <w:t>diocese-level</w:t>
      </w:r>
      <w:r>
        <w:rPr>
          <w:spacing w:val="-6"/>
        </w:rPr>
        <w:t xml:space="preserve"> </w:t>
      </w:r>
      <w:r>
        <w:t>frame.</w:t>
      </w:r>
      <w:r>
        <w:rPr>
          <w:spacing w:val="-10"/>
        </w:rPr>
        <w:t xml:space="preserve"> </w:t>
      </w:r>
      <w:r>
        <w:t>The</w:t>
      </w:r>
      <w:r>
        <w:rPr>
          <w:spacing w:val="-6"/>
        </w:rPr>
        <w:t xml:space="preserve"> </w:t>
      </w:r>
      <w:r>
        <w:t>starting</w:t>
      </w:r>
      <w:r>
        <w:rPr>
          <w:spacing w:val="-6"/>
        </w:rPr>
        <w:t xml:space="preserve"> </w:t>
      </w:r>
      <w:r>
        <w:t>point</w:t>
      </w:r>
      <w:r>
        <w:rPr>
          <w:spacing w:val="-6"/>
        </w:rPr>
        <w:t xml:space="preserve"> </w:t>
      </w:r>
      <w:r>
        <w:t>was</w:t>
      </w:r>
      <w:r>
        <w:rPr>
          <w:spacing w:val="-6"/>
        </w:rPr>
        <w:t xml:space="preserve"> </w:t>
      </w:r>
      <w:r>
        <w:t>a</w:t>
      </w:r>
      <w:r>
        <w:rPr>
          <w:spacing w:val="-6"/>
        </w:rPr>
        <w:t xml:space="preserve"> </w:t>
      </w:r>
      <w:r>
        <w:t>file</w:t>
      </w:r>
      <w:r>
        <w:rPr>
          <w:spacing w:val="-6"/>
        </w:rPr>
        <w:t xml:space="preserve"> </w:t>
      </w:r>
      <w:r>
        <w:t>containing</w:t>
      </w:r>
      <w:r>
        <w:rPr>
          <w:spacing w:val="-6"/>
        </w:rPr>
        <w:t xml:space="preserve"> </w:t>
      </w:r>
      <w:r>
        <w:t>every</w:t>
      </w:r>
      <w:r>
        <w:rPr>
          <w:spacing w:val="-6"/>
        </w:rPr>
        <w:t xml:space="preserve"> </w:t>
      </w:r>
      <w:r>
        <w:t>Catholic</w:t>
      </w:r>
      <w:r>
        <w:rPr>
          <w:spacing w:val="-6"/>
        </w:rPr>
        <w:t xml:space="preserve"> </w:t>
      </w:r>
      <w:r>
        <w:t>diocese</w:t>
      </w:r>
      <w:r>
        <w:rPr>
          <w:spacing w:val="-6"/>
        </w:rPr>
        <w:t xml:space="preserve"> </w:t>
      </w:r>
      <w:r>
        <w:t>in</w:t>
      </w:r>
      <w:r>
        <w:rPr>
          <w:spacing w:val="-6"/>
        </w:rPr>
        <w:t xml:space="preserve"> </w:t>
      </w:r>
      <w:r>
        <w:t>the</w:t>
      </w:r>
      <w:r>
        <w:rPr>
          <w:spacing w:val="-6"/>
        </w:rPr>
        <w:t xml:space="preserve"> </w:t>
      </w:r>
      <w:r>
        <w:t>United</w:t>
      </w:r>
      <w:r>
        <w:rPr>
          <w:spacing w:val="-6"/>
        </w:rPr>
        <w:t xml:space="preserve"> </w:t>
      </w:r>
      <w:r>
        <w:t>States</w:t>
      </w:r>
      <w:r>
        <w:rPr>
          <w:spacing w:val="-6"/>
        </w:rPr>
        <w:t xml:space="preserve"> </w:t>
      </w:r>
      <w:r>
        <w:t>classified</w:t>
      </w:r>
      <w:r>
        <w:rPr>
          <w:spacing w:val="-6"/>
        </w:rPr>
        <w:t xml:space="preserve"> </w:t>
      </w:r>
      <w:r>
        <w:t>as small, medium, or large based on the number of schools and student enrollment of schools from the PSS private school frame.</w:t>
      </w:r>
    </w:p>
    <w:p w:rsidR="003F5784" w14:paraId="29A1DF4B" w14:textId="77777777">
      <w:pPr>
        <w:pStyle w:val="BodyText"/>
        <w:spacing w:before="209" w:line="232" w:lineRule="auto"/>
        <w:ind w:left="109" w:right="179"/>
      </w:pPr>
      <w:r>
        <w:t>A</w:t>
      </w:r>
      <w:r>
        <w:rPr>
          <w:spacing w:val="-14"/>
        </w:rPr>
        <w:t xml:space="preserve"> </w:t>
      </w:r>
      <w:r>
        <w:t>diocese</w:t>
      </w:r>
      <w:r>
        <w:rPr>
          <w:spacing w:val="-7"/>
        </w:rPr>
        <w:t xml:space="preserve"> </w:t>
      </w:r>
      <w:r>
        <w:t>was</w:t>
      </w:r>
      <w:r>
        <w:rPr>
          <w:spacing w:val="-6"/>
        </w:rPr>
        <w:t xml:space="preserve"> </w:t>
      </w:r>
      <w:r>
        <w:t>considered</w:t>
      </w:r>
      <w:r>
        <w:rPr>
          <w:spacing w:val="-6"/>
        </w:rPr>
        <w:t xml:space="preserve"> </w:t>
      </w:r>
      <w:r>
        <w:t>to</w:t>
      </w:r>
      <w:r>
        <w:rPr>
          <w:spacing w:val="-6"/>
        </w:rPr>
        <w:t xml:space="preserve"> </w:t>
      </w:r>
      <w:r>
        <w:t>be</w:t>
      </w:r>
      <w:r>
        <w:rPr>
          <w:spacing w:val="-6"/>
        </w:rPr>
        <w:t xml:space="preserve"> </w:t>
      </w:r>
      <w:r>
        <w:t>small</w:t>
      </w:r>
      <w:r>
        <w:rPr>
          <w:spacing w:val="-6"/>
        </w:rPr>
        <w:t xml:space="preserve"> </w:t>
      </w:r>
      <w:r>
        <w:t>if</w:t>
      </w:r>
      <w:r>
        <w:rPr>
          <w:spacing w:val="-6"/>
        </w:rPr>
        <w:t xml:space="preserve"> </w:t>
      </w:r>
      <w:r>
        <w:t>it</w:t>
      </w:r>
      <w:r>
        <w:rPr>
          <w:spacing w:val="-6"/>
        </w:rPr>
        <w:t xml:space="preserve"> </w:t>
      </w:r>
      <w:r>
        <w:t>contained</w:t>
      </w:r>
      <w:r>
        <w:rPr>
          <w:spacing w:val="-6"/>
        </w:rPr>
        <w:t xml:space="preserve"> </w:t>
      </w:r>
      <w:r>
        <w:t>no</w:t>
      </w:r>
      <w:r>
        <w:rPr>
          <w:spacing w:val="-6"/>
        </w:rPr>
        <w:t xml:space="preserve"> </w:t>
      </w:r>
      <w:r>
        <w:t>more</w:t>
      </w:r>
      <w:r>
        <w:rPr>
          <w:spacing w:val="-6"/>
        </w:rPr>
        <w:t xml:space="preserve"> </w:t>
      </w:r>
      <w:r>
        <w:t>than</w:t>
      </w:r>
      <w:r>
        <w:rPr>
          <w:spacing w:val="-6"/>
        </w:rPr>
        <w:t xml:space="preserve"> </w:t>
      </w:r>
      <w:r>
        <w:t>one</w:t>
      </w:r>
      <w:r>
        <w:rPr>
          <w:spacing w:val="-6"/>
        </w:rPr>
        <w:t xml:space="preserve"> </w:t>
      </w:r>
      <w:r>
        <w:t>school</w:t>
      </w:r>
      <w:r>
        <w:rPr>
          <w:spacing w:val="-6"/>
        </w:rPr>
        <w:t xml:space="preserve"> </w:t>
      </w:r>
      <w:r>
        <w:t>at</w:t>
      </w:r>
      <w:r>
        <w:rPr>
          <w:spacing w:val="-6"/>
        </w:rPr>
        <w:t xml:space="preserve"> </w:t>
      </w:r>
      <w:r>
        <w:t>each</w:t>
      </w:r>
      <w:r>
        <w:rPr>
          <w:spacing w:val="-6"/>
        </w:rPr>
        <w:t xml:space="preserve"> </w:t>
      </w:r>
      <w:r>
        <w:t>targeted</w:t>
      </w:r>
      <w:r>
        <w:rPr>
          <w:spacing w:val="-6"/>
        </w:rPr>
        <w:t xml:space="preserve"> </w:t>
      </w:r>
      <w:r>
        <w:t>grade</w:t>
      </w:r>
      <w:r>
        <w:rPr>
          <w:spacing w:val="-6"/>
        </w:rPr>
        <w:t xml:space="preserve"> </w:t>
      </w:r>
      <w:r>
        <w:t>(4</w:t>
      </w:r>
      <w:r>
        <w:rPr>
          <w:spacing w:val="-6"/>
        </w:rPr>
        <w:t xml:space="preserve"> </w:t>
      </w:r>
      <w:r>
        <w:t>and</w:t>
      </w:r>
      <w:r>
        <w:rPr>
          <w:spacing w:val="-6"/>
        </w:rPr>
        <w:t xml:space="preserve"> </w:t>
      </w:r>
      <w:r>
        <w:t>8).</w:t>
      </w:r>
      <w:r>
        <w:rPr>
          <w:spacing w:val="-6"/>
        </w:rPr>
        <w:t xml:space="preserve"> </w:t>
      </w:r>
      <w:r>
        <w:t>During</w:t>
      </w:r>
      <w:r>
        <w:rPr>
          <w:spacing w:val="-6"/>
        </w:rPr>
        <w:t xml:space="preserve"> </w:t>
      </w:r>
      <w:r>
        <w:t>school</w:t>
      </w:r>
      <w:r>
        <w:rPr>
          <w:spacing w:val="-6"/>
        </w:rPr>
        <w:t xml:space="preserve"> </w:t>
      </w:r>
      <w:r>
        <w:t>recruitment,</w:t>
      </w:r>
      <w:r>
        <w:rPr>
          <w:spacing w:val="-6"/>
        </w:rPr>
        <w:t xml:space="preserve"> </w:t>
      </w:r>
      <w:r>
        <w:t>schools</w:t>
      </w:r>
      <w:r>
        <w:rPr>
          <w:spacing w:val="-6"/>
        </w:rPr>
        <w:t xml:space="preserve"> </w:t>
      </w:r>
      <w:r>
        <w:t>sampled</w:t>
      </w:r>
      <w:r>
        <w:rPr>
          <w:spacing w:val="-6"/>
        </w:rPr>
        <w:t xml:space="preserve"> </w:t>
      </w:r>
      <w:r>
        <w:t>from</w:t>
      </w:r>
      <w:r>
        <w:rPr>
          <w:spacing w:val="-6"/>
        </w:rPr>
        <w:t xml:space="preserve"> </w:t>
      </w:r>
      <w:r>
        <w:t>small</w:t>
      </w:r>
      <w:r>
        <w:rPr>
          <w:spacing w:val="-6"/>
        </w:rPr>
        <w:t xml:space="preserve"> </w:t>
      </w:r>
      <w:r>
        <w:t>dioceses were</w:t>
      </w:r>
      <w:r>
        <w:rPr>
          <w:spacing w:val="-3"/>
        </w:rPr>
        <w:t xml:space="preserve"> </w:t>
      </w:r>
      <w:r>
        <w:t>asked</w:t>
      </w:r>
      <w:r>
        <w:rPr>
          <w:spacing w:val="-3"/>
        </w:rPr>
        <w:t xml:space="preserve"> </w:t>
      </w:r>
      <w:r>
        <w:t>to</w:t>
      </w:r>
      <w:r>
        <w:rPr>
          <w:spacing w:val="-3"/>
        </w:rPr>
        <w:t xml:space="preserve"> </w:t>
      </w:r>
      <w:r>
        <w:t>identify</w:t>
      </w:r>
      <w:r>
        <w:rPr>
          <w:spacing w:val="-3"/>
        </w:rPr>
        <w:t xml:space="preserve"> </w:t>
      </w:r>
      <w:r>
        <w:t>schools</w:t>
      </w:r>
      <w:r>
        <w:rPr>
          <w:spacing w:val="-3"/>
        </w:rPr>
        <w:t xml:space="preserve"> </w:t>
      </w:r>
      <w:r>
        <w:t>within</w:t>
      </w:r>
      <w:r>
        <w:rPr>
          <w:spacing w:val="-3"/>
        </w:rPr>
        <w:t xml:space="preserve"> </w:t>
      </w:r>
      <w:r>
        <w:t>their</w:t>
      </w:r>
      <w:r>
        <w:rPr>
          <w:spacing w:val="-3"/>
        </w:rPr>
        <w:t xml:space="preserve"> </w:t>
      </w:r>
      <w:r>
        <w:t>dioceses</w:t>
      </w:r>
      <w:r>
        <w:rPr>
          <w:spacing w:val="-3"/>
        </w:rPr>
        <w:t xml:space="preserve"> </w:t>
      </w:r>
      <w:r>
        <w:t>that</w:t>
      </w:r>
      <w:r>
        <w:rPr>
          <w:spacing w:val="-3"/>
        </w:rPr>
        <w:t xml:space="preserve"> </w:t>
      </w:r>
      <w:r>
        <w:t>newly</w:t>
      </w:r>
      <w:r>
        <w:rPr>
          <w:spacing w:val="-3"/>
        </w:rPr>
        <w:t xml:space="preserve"> </w:t>
      </w:r>
      <w:r>
        <w:t>offered</w:t>
      </w:r>
      <w:r>
        <w:rPr>
          <w:spacing w:val="-3"/>
        </w:rPr>
        <w:t xml:space="preserve"> </w:t>
      </w:r>
      <w:r>
        <w:t>the</w:t>
      </w:r>
      <w:r>
        <w:rPr>
          <w:spacing w:val="-3"/>
        </w:rPr>
        <w:t xml:space="preserve"> </w:t>
      </w:r>
      <w:r>
        <w:t>targeted</w:t>
      </w:r>
      <w:r>
        <w:rPr>
          <w:spacing w:val="-3"/>
        </w:rPr>
        <w:t xml:space="preserve"> </w:t>
      </w:r>
      <w:r>
        <w:t>grade.</w:t>
      </w:r>
      <w:r>
        <w:rPr>
          <w:spacing w:val="-3"/>
        </w:rPr>
        <w:t xml:space="preserve"> </w:t>
      </w:r>
      <w:r>
        <w:t>Every</w:t>
      </w:r>
      <w:r>
        <w:rPr>
          <w:spacing w:val="-3"/>
        </w:rPr>
        <w:t xml:space="preserve"> </w:t>
      </w:r>
      <w:r>
        <w:t>identified</w:t>
      </w:r>
      <w:r>
        <w:rPr>
          <w:spacing w:val="-3"/>
        </w:rPr>
        <w:t xml:space="preserve"> </w:t>
      </w:r>
      <w:r>
        <w:t>new</w:t>
      </w:r>
      <w:r>
        <w:rPr>
          <w:spacing w:val="-3"/>
        </w:rPr>
        <w:t xml:space="preserve"> </w:t>
      </w:r>
      <w:r>
        <w:t>school</w:t>
      </w:r>
      <w:r>
        <w:rPr>
          <w:spacing w:val="-3"/>
        </w:rPr>
        <w:t xml:space="preserve"> </w:t>
      </w:r>
      <w:r>
        <w:t>was</w:t>
      </w:r>
      <w:r>
        <w:rPr>
          <w:spacing w:val="-3"/>
        </w:rPr>
        <w:t xml:space="preserve"> </w:t>
      </w:r>
      <w:r>
        <w:t>added</w:t>
      </w:r>
      <w:r>
        <w:rPr>
          <w:spacing w:val="-3"/>
        </w:rPr>
        <w:t xml:space="preserve"> </w:t>
      </w:r>
      <w:r>
        <w:t>to</w:t>
      </w:r>
      <w:r>
        <w:rPr>
          <w:spacing w:val="-3"/>
        </w:rPr>
        <w:t xml:space="preserve"> </w:t>
      </w:r>
      <w:r>
        <w:t>the</w:t>
      </w:r>
      <w:r>
        <w:rPr>
          <w:spacing w:val="-3"/>
        </w:rPr>
        <w:t xml:space="preserve"> </w:t>
      </w:r>
      <w:r>
        <w:t>sample.</w:t>
      </w:r>
      <w:r>
        <w:rPr>
          <w:spacing w:val="-3"/>
        </w:rPr>
        <w:t xml:space="preserve"> </w:t>
      </w:r>
      <w:r>
        <w:t>From</w:t>
      </w:r>
      <w:r>
        <w:rPr>
          <w:spacing w:val="-3"/>
        </w:rPr>
        <w:t xml:space="preserve"> </w:t>
      </w:r>
      <w:r>
        <w:t>a</w:t>
      </w:r>
      <w:r>
        <w:rPr>
          <w:spacing w:val="-3"/>
        </w:rPr>
        <w:t xml:space="preserve"> </w:t>
      </w:r>
      <w:r>
        <w:t>sampling</w:t>
      </w:r>
      <w:r>
        <w:rPr>
          <w:spacing w:val="-3"/>
        </w:rPr>
        <w:t xml:space="preserve"> </w:t>
      </w:r>
      <w:r>
        <w:t>perspective, the new school was viewed as an "annex" to the sampled school, which meant that it had a well-defined probability of selection equal to that of the sampled school.</w:t>
      </w:r>
      <w:r>
        <w:rPr>
          <w:spacing w:val="-3"/>
        </w:rPr>
        <w:t xml:space="preserve"> </w:t>
      </w:r>
      <w:r>
        <w:t>When</w:t>
      </w:r>
    </w:p>
    <w:p w:rsidR="003F5784" w14:paraId="420011B1" w14:textId="77777777">
      <w:pPr>
        <w:pStyle w:val="BodyText"/>
        <w:spacing w:line="237" w:lineRule="exact"/>
        <w:ind w:left="109"/>
      </w:pPr>
      <w:r>
        <w:t>a</w:t>
      </w:r>
      <w:r>
        <w:rPr>
          <w:spacing w:val="-6"/>
        </w:rPr>
        <w:t xml:space="preserve"> </w:t>
      </w:r>
      <w:r>
        <w:t>school</w:t>
      </w:r>
      <w:r>
        <w:rPr>
          <w:spacing w:val="-5"/>
        </w:rPr>
        <w:t xml:space="preserve"> </w:t>
      </w:r>
      <w:r>
        <w:t>in</w:t>
      </w:r>
      <w:r>
        <w:rPr>
          <w:spacing w:val="-6"/>
        </w:rPr>
        <w:t xml:space="preserve"> </w:t>
      </w:r>
      <w:r>
        <w:t>a</w:t>
      </w:r>
      <w:r>
        <w:rPr>
          <w:spacing w:val="-5"/>
        </w:rPr>
        <w:t xml:space="preserve"> </w:t>
      </w:r>
      <w:r>
        <w:t>small</w:t>
      </w:r>
      <w:r>
        <w:rPr>
          <w:spacing w:val="-6"/>
        </w:rPr>
        <w:t xml:space="preserve"> </w:t>
      </w:r>
      <w:r>
        <w:t>diocese</w:t>
      </w:r>
      <w:r>
        <w:rPr>
          <w:spacing w:val="-5"/>
        </w:rPr>
        <w:t xml:space="preserve"> </w:t>
      </w:r>
      <w:r>
        <w:t>was</w:t>
      </w:r>
      <w:r>
        <w:rPr>
          <w:spacing w:val="-6"/>
        </w:rPr>
        <w:t xml:space="preserve"> </w:t>
      </w:r>
      <w:r>
        <w:t>sampled</w:t>
      </w:r>
      <w:r>
        <w:rPr>
          <w:spacing w:val="-5"/>
        </w:rPr>
        <w:t xml:space="preserve"> </w:t>
      </w:r>
      <w:r>
        <w:t>from</w:t>
      </w:r>
      <w:r>
        <w:rPr>
          <w:spacing w:val="-5"/>
        </w:rPr>
        <w:t xml:space="preserve"> </w:t>
      </w:r>
      <w:r>
        <w:t>the</w:t>
      </w:r>
      <w:r>
        <w:rPr>
          <w:spacing w:val="-6"/>
        </w:rPr>
        <w:t xml:space="preserve"> </w:t>
      </w:r>
      <w:r>
        <w:t>PSS</w:t>
      </w:r>
      <w:r>
        <w:rPr>
          <w:spacing w:val="-5"/>
        </w:rPr>
        <w:t xml:space="preserve"> </w:t>
      </w:r>
      <w:r>
        <w:t>frame,</w:t>
      </w:r>
      <w:r>
        <w:rPr>
          <w:spacing w:val="-6"/>
        </w:rPr>
        <w:t xml:space="preserve"> </w:t>
      </w:r>
      <w:r>
        <w:t>its</w:t>
      </w:r>
      <w:r>
        <w:rPr>
          <w:spacing w:val="-5"/>
        </w:rPr>
        <w:t xml:space="preserve"> </w:t>
      </w:r>
      <w:r>
        <w:t>associated</w:t>
      </w:r>
      <w:r>
        <w:rPr>
          <w:spacing w:val="-6"/>
        </w:rPr>
        <w:t xml:space="preserve"> </w:t>
      </w:r>
      <w:r>
        <w:t>new</w:t>
      </w:r>
      <w:r>
        <w:rPr>
          <w:spacing w:val="-5"/>
        </w:rPr>
        <w:t xml:space="preserve"> </w:t>
      </w:r>
      <w:r>
        <w:t>school</w:t>
      </w:r>
      <w:r>
        <w:rPr>
          <w:spacing w:val="-5"/>
        </w:rPr>
        <w:t xml:space="preserve"> </w:t>
      </w:r>
      <w:r>
        <w:t>was</w:t>
      </w:r>
      <w:r>
        <w:rPr>
          <w:spacing w:val="-6"/>
        </w:rPr>
        <w:t xml:space="preserve"> </w:t>
      </w:r>
      <w:r>
        <w:t>automatically</w:t>
      </w:r>
      <w:r>
        <w:rPr>
          <w:spacing w:val="-5"/>
        </w:rPr>
        <w:t xml:space="preserve"> </w:t>
      </w:r>
      <w:r>
        <w:t>sampled</w:t>
      </w:r>
      <w:r>
        <w:rPr>
          <w:spacing w:val="-6"/>
        </w:rPr>
        <w:t xml:space="preserve"> </w:t>
      </w:r>
      <w:r>
        <w:t>as</w:t>
      </w:r>
      <w:r>
        <w:rPr>
          <w:spacing w:val="-5"/>
        </w:rPr>
        <w:t xml:space="preserve"> </w:t>
      </w:r>
      <w:r>
        <w:rPr>
          <w:spacing w:val="-2"/>
        </w:rPr>
        <w:t>well.</w:t>
      </w:r>
    </w:p>
    <w:p w:rsidR="003F5784" w14:paraId="17B39E27" w14:textId="77777777">
      <w:pPr>
        <w:pStyle w:val="BodyText"/>
        <w:spacing w:before="208" w:line="232" w:lineRule="auto"/>
        <w:ind w:left="109" w:right="179"/>
      </w:pPr>
      <w:r>
        <w:t>Dioceses</w:t>
      </w:r>
      <w:r>
        <w:rPr>
          <w:spacing w:val="-6"/>
        </w:rPr>
        <w:t xml:space="preserve"> </w:t>
      </w:r>
      <w:r>
        <w:t>that</w:t>
      </w:r>
      <w:r>
        <w:rPr>
          <w:spacing w:val="-6"/>
        </w:rPr>
        <w:t xml:space="preserve"> </w:t>
      </w:r>
      <w:r>
        <w:t>were</w:t>
      </w:r>
      <w:r>
        <w:rPr>
          <w:spacing w:val="-6"/>
        </w:rPr>
        <w:t xml:space="preserve"> </w:t>
      </w:r>
      <w:r>
        <w:t>not</w:t>
      </w:r>
      <w:r>
        <w:rPr>
          <w:spacing w:val="-6"/>
        </w:rPr>
        <w:t xml:space="preserve"> </w:t>
      </w:r>
      <w:r>
        <w:t>small</w:t>
      </w:r>
      <w:r>
        <w:rPr>
          <w:spacing w:val="-6"/>
        </w:rPr>
        <w:t xml:space="preserve"> </w:t>
      </w:r>
      <w:r>
        <w:t>were</w:t>
      </w:r>
      <w:r>
        <w:rPr>
          <w:spacing w:val="-6"/>
        </w:rPr>
        <w:t xml:space="preserve"> </w:t>
      </w:r>
      <w:r>
        <w:t>further</w:t>
      </w:r>
      <w:r>
        <w:rPr>
          <w:spacing w:val="-6"/>
        </w:rPr>
        <w:t xml:space="preserve"> </w:t>
      </w:r>
      <w:r>
        <w:t>divided</w:t>
      </w:r>
      <w:r>
        <w:rPr>
          <w:spacing w:val="-6"/>
        </w:rPr>
        <w:t xml:space="preserve"> </w:t>
      </w:r>
      <w:r>
        <w:t>into</w:t>
      </w:r>
      <w:r>
        <w:rPr>
          <w:spacing w:val="-6"/>
        </w:rPr>
        <w:t xml:space="preserve"> </w:t>
      </w:r>
      <w:r>
        <w:t>two</w:t>
      </w:r>
      <w:r>
        <w:rPr>
          <w:spacing w:val="-6"/>
        </w:rPr>
        <w:t xml:space="preserve"> </w:t>
      </w:r>
      <w:r>
        <w:t>strata,</w:t>
      </w:r>
      <w:r>
        <w:rPr>
          <w:spacing w:val="-6"/>
        </w:rPr>
        <w:t xml:space="preserve"> </w:t>
      </w:r>
      <w:r>
        <w:t>one</w:t>
      </w:r>
      <w:r>
        <w:rPr>
          <w:spacing w:val="-6"/>
        </w:rPr>
        <w:t xml:space="preserve"> </w:t>
      </w:r>
      <w:r>
        <w:t>containing</w:t>
      </w:r>
      <w:r>
        <w:rPr>
          <w:spacing w:val="-6"/>
        </w:rPr>
        <w:t xml:space="preserve"> </w:t>
      </w:r>
      <w:r>
        <w:t>large-size</w:t>
      </w:r>
      <w:r>
        <w:rPr>
          <w:spacing w:val="-6"/>
        </w:rPr>
        <w:t xml:space="preserve"> </w:t>
      </w:r>
      <w:r>
        <w:t>dioceses</w:t>
      </w:r>
      <w:r>
        <w:rPr>
          <w:spacing w:val="-6"/>
        </w:rPr>
        <w:t xml:space="preserve"> </w:t>
      </w:r>
      <w:r>
        <w:t>and</w:t>
      </w:r>
      <w:r>
        <w:rPr>
          <w:spacing w:val="-6"/>
        </w:rPr>
        <w:t xml:space="preserve"> </w:t>
      </w:r>
      <w:r>
        <w:t>a</w:t>
      </w:r>
      <w:r>
        <w:rPr>
          <w:spacing w:val="-6"/>
        </w:rPr>
        <w:t xml:space="preserve"> </w:t>
      </w:r>
      <w:r>
        <w:t>second</w:t>
      </w:r>
      <w:r>
        <w:rPr>
          <w:spacing w:val="-6"/>
        </w:rPr>
        <w:t xml:space="preserve"> </w:t>
      </w:r>
      <w:r>
        <w:t>containing</w:t>
      </w:r>
      <w:r>
        <w:rPr>
          <w:spacing w:val="-6"/>
        </w:rPr>
        <w:t xml:space="preserve"> </w:t>
      </w:r>
      <w:r>
        <w:t>medium-size</w:t>
      </w:r>
      <w:r>
        <w:rPr>
          <w:spacing w:val="-6"/>
        </w:rPr>
        <w:t xml:space="preserve"> </w:t>
      </w:r>
      <w:r>
        <w:t>dioceses.</w:t>
      </w:r>
      <w:r>
        <w:rPr>
          <w:spacing w:val="-10"/>
        </w:rPr>
        <w:t xml:space="preserve"> </w:t>
      </w:r>
      <w:r>
        <w:t>These</w:t>
      </w:r>
      <w:r>
        <w:rPr>
          <w:spacing w:val="-6"/>
        </w:rPr>
        <w:t xml:space="preserve"> </w:t>
      </w:r>
      <w:r>
        <w:t>strata</w:t>
      </w:r>
      <w:r>
        <w:rPr>
          <w:spacing w:val="-6"/>
        </w:rPr>
        <w:t xml:space="preserve"> </w:t>
      </w:r>
      <w:r>
        <w:t>were</w:t>
      </w:r>
      <w:r>
        <w:rPr>
          <w:spacing w:val="-6"/>
        </w:rPr>
        <w:t xml:space="preserve"> </w:t>
      </w:r>
      <w:r>
        <w:t>defined by computing the percentage of grade 4 and 8 enrollment represented by each diocese, sorting in descending order, and cumulating the percentages.</w:t>
      </w:r>
      <w:r>
        <w:rPr>
          <w:spacing w:val="-11"/>
        </w:rPr>
        <w:t xml:space="preserve"> </w:t>
      </w:r>
      <w:r>
        <w:t>All dioceses up to and including the first diocese at or above the 80th cumulative percentage were defined as large dioceses.</w:t>
      </w:r>
      <w:r>
        <w:rPr>
          <w:spacing w:val="-3"/>
        </w:rPr>
        <w:t xml:space="preserve"> </w:t>
      </w:r>
      <w:r>
        <w:t>The remaining dioceses were defined as medium dioceses.</w:t>
      </w:r>
    </w:p>
    <w:p w:rsidR="003F5784" w14:paraId="60C6F264" w14:textId="77777777">
      <w:pPr>
        <w:pStyle w:val="BodyText"/>
        <w:spacing w:before="209" w:line="232" w:lineRule="auto"/>
        <w:ind w:left="109" w:right="179"/>
      </w:pPr>
      <w:r>
        <w:t>A</w:t>
      </w:r>
      <w:r>
        <w:rPr>
          <w:spacing w:val="-14"/>
        </w:rPr>
        <w:t xml:space="preserve"> </w:t>
      </w:r>
      <w:r>
        <w:t>simplified</w:t>
      </w:r>
      <w:r>
        <w:rPr>
          <w:spacing w:val="-9"/>
        </w:rPr>
        <w:t xml:space="preserve"> </w:t>
      </w:r>
      <w:r>
        <w:t>example</w:t>
      </w:r>
      <w:r>
        <w:rPr>
          <w:spacing w:val="-7"/>
        </w:rPr>
        <w:t xml:space="preserve"> </w:t>
      </w:r>
      <w:r>
        <w:t>is</w:t>
      </w:r>
      <w:r>
        <w:rPr>
          <w:spacing w:val="-7"/>
        </w:rPr>
        <w:t xml:space="preserve"> </w:t>
      </w:r>
      <w:r>
        <w:t>given</w:t>
      </w:r>
      <w:r>
        <w:rPr>
          <w:spacing w:val="-7"/>
        </w:rPr>
        <w:t xml:space="preserve"> </w:t>
      </w:r>
      <w:r>
        <w:t>below.</w:t>
      </w:r>
      <w:r>
        <w:rPr>
          <w:spacing w:val="-10"/>
        </w:rPr>
        <w:t xml:space="preserve"> </w:t>
      </w:r>
      <w:r>
        <w:t>The</w:t>
      </w:r>
      <w:r>
        <w:rPr>
          <w:spacing w:val="-7"/>
        </w:rPr>
        <w:t xml:space="preserve"> </w:t>
      </w:r>
      <w:r>
        <w:t>dioceses</w:t>
      </w:r>
      <w:r>
        <w:rPr>
          <w:spacing w:val="-7"/>
        </w:rPr>
        <w:t xml:space="preserve"> </w:t>
      </w:r>
      <w:r>
        <w:t>are</w:t>
      </w:r>
      <w:r>
        <w:rPr>
          <w:spacing w:val="-7"/>
        </w:rPr>
        <w:t xml:space="preserve"> </w:t>
      </w:r>
      <w:r>
        <w:t>ordered</w:t>
      </w:r>
      <w:r>
        <w:rPr>
          <w:spacing w:val="-7"/>
        </w:rPr>
        <w:t xml:space="preserve"> </w:t>
      </w:r>
      <w:r>
        <w:t>by</w:t>
      </w:r>
      <w:r>
        <w:rPr>
          <w:spacing w:val="-7"/>
        </w:rPr>
        <w:t xml:space="preserve"> </w:t>
      </w:r>
      <w:r>
        <w:t>descending</w:t>
      </w:r>
      <w:r>
        <w:rPr>
          <w:spacing w:val="-7"/>
        </w:rPr>
        <w:t xml:space="preserve"> </w:t>
      </w:r>
      <w:r>
        <w:t>percentage</w:t>
      </w:r>
      <w:r>
        <w:rPr>
          <w:spacing w:val="-7"/>
        </w:rPr>
        <w:t xml:space="preserve"> </w:t>
      </w:r>
      <w:r>
        <w:t>enrollment.</w:t>
      </w:r>
      <w:r>
        <w:rPr>
          <w:spacing w:val="-10"/>
        </w:rPr>
        <w:t xml:space="preserve"> </w:t>
      </w:r>
      <w:r>
        <w:t>The</w:t>
      </w:r>
      <w:r>
        <w:rPr>
          <w:spacing w:val="-7"/>
        </w:rPr>
        <w:t xml:space="preserve"> </w:t>
      </w:r>
      <w:r>
        <w:t>first</w:t>
      </w:r>
      <w:r>
        <w:rPr>
          <w:spacing w:val="-7"/>
        </w:rPr>
        <w:t xml:space="preserve"> </w:t>
      </w:r>
      <w:r>
        <w:t>six</w:t>
      </w:r>
      <w:r>
        <w:rPr>
          <w:spacing w:val="-7"/>
        </w:rPr>
        <w:t xml:space="preserve"> </w:t>
      </w:r>
      <w:r>
        <w:t>become</w:t>
      </w:r>
      <w:r>
        <w:rPr>
          <w:spacing w:val="-7"/>
        </w:rPr>
        <w:t xml:space="preserve"> </w:t>
      </w:r>
      <w:r>
        <w:t>large</w:t>
      </w:r>
      <w:r>
        <w:rPr>
          <w:spacing w:val="-7"/>
        </w:rPr>
        <w:t xml:space="preserve"> </w:t>
      </w:r>
      <w:r>
        <w:t>dioceses</w:t>
      </w:r>
      <w:r>
        <w:rPr>
          <w:spacing w:val="-7"/>
        </w:rPr>
        <w:t xml:space="preserve"> </w:t>
      </w:r>
      <w:r>
        <w:t>and</w:t>
      </w:r>
      <w:r>
        <w:rPr>
          <w:spacing w:val="-7"/>
        </w:rPr>
        <w:t xml:space="preserve"> </w:t>
      </w:r>
      <w:r>
        <w:t>the</w:t>
      </w:r>
      <w:r>
        <w:rPr>
          <w:spacing w:val="-7"/>
        </w:rPr>
        <w:t xml:space="preserve"> </w:t>
      </w:r>
      <w:r>
        <w:t>last</w:t>
      </w:r>
      <w:r>
        <w:rPr>
          <w:spacing w:val="-7"/>
        </w:rPr>
        <w:t xml:space="preserve"> </w:t>
      </w:r>
      <w:r>
        <w:t>six</w:t>
      </w:r>
      <w:r>
        <w:rPr>
          <w:spacing w:val="-7"/>
        </w:rPr>
        <w:t xml:space="preserve"> </w:t>
      </w:r>
      <w:r>
        <w:t>become</w:t>
      </w:r>
      <w:r>
        <w:rPr>
          <w:spacing w:val="-7"/>
        </w:rPr>
        <w:t xml:space="preserve"> </w:t>
      </w:r>
      <w:r>
        <w:t xml:space="preserve">medium </w:t>
      </w:r>
      <w:r>
        <w:rPr>
          <w:spacing w:val="-2"/>
        </w:rPr>
        <w:t>dioceses.</w:t>
      </w:r>
    </w:p>
    <w:p w:rsidR="003F5784" w14:paraId="4B4DD752" w14:textId="77777777">
      <w:pPr>
        <w:pStyle w:val="BodyText"/>
        <w:spacing w:before="92"/>
      </w:pPr>
    </w:p>
    <w:p w:rsidR="003F5784" w14:paraId="044A3B56" w14:textId="77777777">
      <w:pPr>
        <w:pStyle w:val="Heading2"/>
      </w:pPr>
      <w:r>
        <w:t>Example</w:t>
      </w:r>
      <w:r>
        <w:rPr>
          <w:spacing w:val="-8"/>
        </w:rPr>
        <w:t xml:space="preserve"> </w:t>
      </w:r>
      <w:r>
        <w:t>showing</w:t>
      </w:r>
      <w:r>
        <w:rPr>
          <w:spacing w:val="-7"/>
        </w:rPr>
        <w:t xml:space="preserve"> </w:t>
      </w:r>
      <w:r>
        <w:t>assignment</w:t>
      </w:r>
      <w:r>
        <w:rPr>
          <w:spacing w:val="-7"/>
        </w:rPr>
        <w:t xml:space="preserve"> </w:t>
      </w:r>
      <w:r>
        <w:t>of</w:t>
      </w:r>
      <w:r>
        <w:rPr>
          <w:spacing w:val="-7"/>
        </w:rPr>
        <w:t xml:space="preserve"> </w:t>
      </w:r>
      <w:r>
        <w:t>Catholic</w:t>
      </w:r>
      <w:r>
        <w:rPr>
          <w:spacing w:val="-8"/>
        </w:rPr>
        <w:t xml:space="preserve"> </w:t>
      </w:r>
      <w:r>
        <w:t>dioceses</w:t>
      </w:r>
      <w:r>
        <w:rPr>
          <w:spacing w:val="-7"/>
        </w:rPr>
        <w:t xml:space="preserve"> </w:t>
      </w:r>
      <w:r>
        <w:t>to</w:t>
      </w:r>
      <w:r>
        <w:rPr>
          <w:spacing w:val="-7"/>
        </w:rPr>
        <w:t xml:space="preserve"> </w:t>
      </w:r>
      <w:r>
        <w:t>the</w:t>
      </w:r>
      <w:r>
        <w:rPr>
          <w:spacing w:val="-7"/>
        </w:rPr>
        <w:t xml:space="preserve"> </w:t>
      </w:r>
      <w:r>
        <w:t>large-size</w:t>
      </w:r>
      <w:r>
        <w:rPr>
          <w:spacing w:val="-7"/>
        </w:rPr>
        <w:t xml:space="preserve"> </w:t>
      </w:r>
      <w:r>
        <w:t>and</w:t>
      </w:r>
      <w:r>
        <w:rPr>
          <w:spacing w:val="-8"/>
        </w:rPr>
        <w:t xml:space="preserve"> </w:t>
      </w:r>
      <w:r>
        <w:t>medium-size</w:t>
      </w:r>
      <w:r>
        <w:rPr>
          <w:spacing w:val="-7"/>
        </w:rPr>
        <w:t xml:space="preserve"> </w:t>
      </w:r>
      <w:r>
        <w:t>diocese</w:t>
      </w:r>
      <w:r>
        <w:rPr>
          <w:spacing w:val="-7"/>
        </w:rPr>
        <w:t xml:space="preserve"> </w:t>
      </w:r>
      <w:r>
        <w:t>strata,</w:t>
      </w:r>
      <w:r>
        <w:rPr>
          <w:spacing w:val="-7"/>
        </w:rPr>
        <w:t xml:space="preserve"> </w:t>
      </w:r>
      <w:r>
        <w:t>private</w:t>
      </w:r>
      <w:r>
        <w:rPr>
          <w:spacing w:val="-7"/>
        </w:rPr>
        <w:t xml:space="preserve"> </w:t>
      </w:r>
      <w:r>
        <w:t>school</w:t>
      </w:r>
      <w:r>
        <w:rPr>
          <w:spacing w:val="-8"/>
        </w:rPr>
        <w:t xml:space="preserve"> </w:t>
      </w:r>
      <w:r>
        <w:t>grade</w:t>
      </w:r>
      <w:r>
        <w:rPr>
          <w:spacing w:val="-7"/>
        </w:rPr>
        <w:t xml:space="preserve"> </w:t>
      </w:r>
      <w:r>
        <w:t>8</w:t>
      </w:r>
      <w:r>
        <w:rPr>
          <w:spacing w:val="-7"/>
        </w:rPr>
        <w:t xml:space="preserve"> </w:t>
      </w:r>
      <w:r>
        <w:t>national</w:t>
      </w:r>
      <w:r>
        <w:rPr>
          <w:spacing w:val="-7"/>
        </w:rPr>
        <w:t xml:space="preserve"> </w:t>
      </w:r>
      <w:r>
        <w:t>assessment:</w:t>
      </w:r>
      <w:r>
        <w:rPr>
          <w:spacing w:val="-7"/>
        </w:rPr>
        <w:t xml:space="preserve"> </w:t>
      </w:r>
      <w:r>
        <w:rPr>
          <w:spacing w:val="-4"/>
        </w:rPr>
        <w:t>2022</w:t>
      </w:r>
    </w:p>
    <w:p w:rsidR="003F5784" w14:paraId="2ED2FDDA"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2652"/>
        <w:gridCol w:w="5028"/>
        <w:gridCol w:w="4930"/>
        <w:gridCol w:w="1372"/>
      </w:tblGrid>
      <w:tr w14:paraId="1809EF2D" w14:textId="77777777">
        <w:tblPrEx>
          <w:tblW w:w="0" w:type="auto"/>
          <w:tblInd w:w="482" w:type="dxa"/>
          <w:tblLayout w:type="fixed"/>
          <w:tblCellMar>
            <w:left w:w="0" w:type="dxa"/>
            <w:right w:w="0" w:type="dxa"/>
          </w:tblCellMar>
          <w:tblLook w:val="01E0"/>
        </w:tblPrEx>
        <w:trPr>
          <w:trHeight w:val="267"/>
        </w:trPr>
        <w:tc>
          <w:tcPr>
            <w:tcW w:w="2652" w:type="dxa"/>
            <w:tcBorders>
              <w:top w:val="single" w:sz="18" w:space="0" w:color="800000"/>
              <w:bottom w:val="single" w:sz="18" w:space="0" w:color="800000"/>
            </w:tcBorders>
          </w:tcPr>
          <w:p w:rsidR="003F5784" w14:paraId="6F616318" w14:textId="77777777">
            <w:pPr>
              <w:pStyle w:val="TableParagraph"/>
              <w:spacing w:before="9" w:line="238" w:lineRule="exact"/>
              <w:ind w:left="120"/>
              <w:jc w:val="left"/>
              <w:rPr>
                <w:sz w:val="21"/>
              </w:rPr>
            </w:pPr>
            <w:r>
              <w:rPr>
                <w:spacing w:val="-2"/>
                <w:sz w:val="21"/>
              </w:rPr>
              <w:t>Diocese</w:t>
            </w:r>
          </w:p>
        </w:tc>
        <w:tc>
          <w:tcPr>
            <w:tcW w:w="5028" w:type="dxa"/>
            <w:tcBorders>
              <w:top w:val="single" w:sz="18" w:space="0" w:color="800000"/>
              <w:bottom w:val="single" w:sz="18" w:space="0" w:color="800000"/>
            </w:tcBorders>
          </w:tcPr>
          <w:p w:rsidR="003F5784" w14:paraId="062373D4" w14:textId="77777777">
            <w:pPr>
              <w:pStyle w:val="TableParagraph"/>
              <w:spacing w:before="9" w:line="238" w:lineRule="exact"/>
              <w:ind w:right="1451"/>
              <w:rPr>
                <w:sz w:val="21"/>
              </w:rPr>
            </w:pPr>
            <w:r>
              <w:rPr>
                <w:sz w:val="21"/>
              </w:rPr>
              <w:t>Percentage</w:t>
            </w:r>
            <w:r>
              <w:rPr>
                <w:spacing w:val="-11"/>
                <w:sz w:val="21"/>
              </w:rPr>
              <w:t xml:space="preserve"> </w:t>
            </w:r>
            <w:r>
              <w:rPr>
                <w:spacing w:val="-2"/>
                <w:sz w:val="21"/>
              </w:rPr>
              <w:t>enrollment</w:t>
            </w:r>
          </w:p>
        </w:tc>
        <w:tc>
          <w:tcPr>
            <w:tcW w:w="4930" w:type="dxa"/>
            <w:tcBorders>
              <w:top w:val="single" w:sz="18" w:space="0" w:color="800000"/>
              <w:bottom w:val="single" w:sz="18" w:space="0" w:color="800000"/>
            </w:tcBorders>
          </w:tcPr>
          <w:p w:rsidR="003F5784" w14:paraId="191F32E8" w14:textId="77777777">
            <w:pPr>
              <w:pStyle w:val="TableParagraph"/>
              <w:spacing w:before="9" w:line="238" w:lineRule="exact"/>
              <w:ind w:right="589"/>
              <w:rPr>
                <w:sz w:val="21"/>
              </w:rPr>
            </w:pPr>
            <w:r>
              <w:rPr>
                <w:sz w:val="21"/>
              </w:rPr>
              <w:t>Cumulative</w:t>
            </w:r>
            <w:r>
              <w:rPr>
                <w:spacing w:val="-11"/>
                <w:sz w:val="21"/>
              </w:rPr>
              <w:t xml:space="preserve"> </w:t>
            </w:r>
            <w:r>
              <w:rPr>
                <w:sz w:val="21"/>
              </w:rPr>
              <w:t>percentage</w:t>
            </w:r>
            <w:r>
              <w:rPr>
                <w:spacing w:val="-10"/>
                <w:sz w:val="21"/>
              </w:rPr>
              <w:t xml:space="preserve"> </w:t>
            </w:r>
            <w:r>
              <w:rPr>
                <w:spacing w:val="-2"/>
                <w:sz w:val="21"/>
              </w:rPr>
              <w:t>enrollment</w:t>
            </w:r>
          </w:p>
        </w:tc>
        <w:tc>
          <w:tcPr>
            <w:tcW w:w="1372" w:type="dxa"/>
            <w:tcBorders>
              <w:top w:val="single" w:sz="18" w:space="0" w:color="800000"/>
              <w:bottom w:val="single" w:sz="18" w:space="0" w:color="800000"/>
            </w:tcBorders>
          </w:tcPr>
          <w:p w:rsidR="003F5784" w14:paraId="5CF0AC2C" w14:textId="77777777">
            <w:pPr>
              <w:pStyle w:val="TableParagraph"/>
              <w:spacing w:before="9" w:line="238" w:lineRule="exact"/>
              <w:ind w:right="115"/>
              <w:rPr>
                <w:sz w:val="21"/>
              </w:rPr>
            </w:pPr>
            <w:r>
              <w:rPr>
                <w:spacing w:val="-2"/>
                <w:sz w:val="21"/>
              </w:rPr>
              <w:t>Stratum</w:t>
            </w:r>
          </w:p>
        </w:tc>
      </w:tr>
      <w:tr w14:paraId="38CEC9A9" w14:textId="77777777">
        <w:tblPrEx>
          <w:tblW w:w="0" w:type="auto"/>
          <w:tblInd w:w="482" w:type="dxa"/>
          <w:tblLayout w:type="fixed"/>
          <w:tblCellMar>
            <w:left w:w="0" w:type="dxa"/>
            <w:right w:w="0" w:type="dxa"/>
          </w:tblCellMar>
          <w:tblLook w:val="01E0"/>
        </w:tblPrEx>
        <w:trPr>
          <w:trHeight w:val="250"/>
        </w:trPr>
        <w:tc>
          <w:tcPr>
            <w:tcW w:w="2652" w:type="dxa"/>
            <w:tcBorders>
              <w:top w:val="single" w:sz="18" w:space="0" w:color="800000"/>
            </w:tcBorders>
          </w:tcPr>
          <w:p w:rsidR="003F5784" w14:paraId="502946FF" w14:textId="77777777">
            <w:pPr>
              <w:pStyle w:val="TableParagraph"/>
              <w:spacing w:before="9" w:line="221" w:lineRule="exact"/>
              <w:ind w:left="120"/>
              <w:jc w:val="left"/>
              <w:rPr>
                <w:sz w:val="21"/>
              </w:rPr>
            </w:pPr>
            <w:r>
              <w:rPr>
                <w:sz w:val="21"/>
              </w:rPr>
              <w:t>Diocese</w:t>
            </w:r>
            <w:r>
              <w:rPr>
                <w:spacing w:val="-8"/>
                <w:sz w:val="21"/>
              </w:rPr>
              <w:t xml:space="preserve"> </w:t>
            </w:r>
            <w:r>
              <w:rPr>
                <w:spacing w:val="-10"/>
                <w:sz w:val="21"/>
              </w:rPr>
              <w:t>1</w:t>
            </w:r>
          </w:p>
        </w:tc>
        <w:tc>
          <w:tcPr>
            <w:tcW w:w="5028" w:type="dxa"/>
            <w:tcBorders>
              <w:top w:val="single" w:sz="18" w:space="0" w:color="800000"/>
            </w:tcBorders>
          </w:tcPr>
          <w:p w:rsidR="003F5784" w14:paraId="5A958093" w14:textId="77777777">
            <w:pPr>
              <w:pStyle w:val="TableParagraph"/>
              <w:spacing w:before="9" w:line="221" w:lineRule="exact"/>
              <w:ind w:right="1451"/>
              <w:rPr>
                <w:sz w:val="21"/>
              </w:rPr>
            </w:pPr>
            <w:r>
              <w:rPr>
                <w:spacing w:val="-5"/>
                <w:sz w:val="21"/>
              </w:rPr>
              <w:t>20</w:t>
            </w:r>
          </w:p>
        </w:tc>
        <w:tc>
          <w:tcPr>
            <w:tcW w:w="4930" w:type="dxa"/>
            <w:tcBorders>
              <w:top w:val="single" w:sz="18" w:space="0" w:color="800000"/>
            </w:tcBorders>
          </w:tcPr>
          <w:p w:rsidR="003F5784" w14:paraId="34725C5F" w14:textId="77777777">
            <w:pPr>
              <w:pStyle w:val="TableParagraph"/>
              <w:spacing w:before="9" w:line="221" w:lineRule="exact"/>
              <w:ind w:right="589"/>
              <w:rPr>
                <w:sz w:val="21"/>
              </w:rPr>
            </w:pPr>
            <w:r>
              <w:rPr>
                <w:spacing w:val="-5"/>
                <w:sz w:val="21"/>
              </w:rPr>
              <w:t>20</w:t>
            </w:r>
          </w:p>
        </w:tc>
        <w:tc>
          <w:tcPr>
            <w:tcW w:w="1372" w:type="dxa"/>
            <w:tcBorders>
              <w:top w:val="single" w:sz="18" w:space="0" w:color="800000"/>
            </w:tcBorders>
          </w:tcPr>
          <w:p w:rsidR="003F5784" w14:paraId="224E819B" w14:textId="77777777">
            <w:pPr>
              <w:pStyle w:val="TableParagraph"/>
              <w:spacing w:before="9" w:line="221" w:lineRule="exact"/>
              <w:ind w:right="115"/>
              <w:rPr>
                <w:sz w:val="21"/>
              </w:rPr>
            </w:pPr>
            <w:r>
              <w:rPr>
                <w:spacing w:val="-10"/>
                <w:sz w:val="21"/>
              </w:rPr>
              <w:t>L</w:t>
            </w:r>
          </w:p>
        </w:tc>
      </w:tr>
    </w:tbl>
    <w:p w:rsidR="003F5784" w14:paraId="701B34A1" w14:textId="77777777">
      <w:pPr>
        <w:spacing w:line="221" w:lineRule="exact"/>
        <w:rPr>
          <w:sz w:val="21"/>
        </w:rPr>
        <w:sectPr>
          <w:pgSz w:w="15840" w:h="12240" w:orient="landscape"/>
          <w:pgMar w:top="480" w:right="440" w:bottom="460" w:left="460" w:header="284" w:footer="275" w:gutter="0"/>
          <w:cols w:space="720"/>
        </w:sectPr>
      </w:pPr>
    </w:p>
    <w:p w:rsidR="003F5784" w14:paraId="5EBEF554" w14:textId="77777777">
      <w:pPr>
        <w:pStyle w:val="BodyText"/>
        <w:tabs>
          <w:tab w:val="left" w:pos="4831"/>
          <w:tab w:val="left" w:pos="9609"/>
          <w:tab w:val="left" w:pos="13679"/>
        </w:tabs>
        <w:spacing w:before="98" w:after="20"/>
        <w:ind w:left="595"/>
      </w:pPr>
      <w:r>
        <w:rPr>
          <w:spacing w:val="-2"/>
        </w:rPr>
        <w:t>Diocese</w:t>
      </w:r>
      <w:r>
        <w:tab/>
        <w:t>Percentage</w:t>
      </w:r>
      <w:r>
        <w:rPr>
          <w:spacing w:val="-11"/>
        </w:rPr>
        <w:t xml:space="preserve"> </w:t>
      </w:r>
      <w:r>
        <w:rPr>
          <w:spacing w:val="-2"/>
        </w:rPr>
        <w:t>enrollment</w:t>
      </w:r>
      <w:r>
        <w:tab/>
        <w:t>Cumulative</w:t>
      </w:r>
      <w:r>
        <w:rPr>
          <w:spacing w:val="-11"/>
        </w:rPr>
        <w:t xml:space="preserve"> </w:t>
      </w:r>
      <w:r>
        <w:t>percentage</w:t>
      </w:r>
      <w:r>
        <w:rPr>
          <w:spacing w:val="-10"/>
        </w:rPr>
        <w:t xml:space="preserve"> </w:t>
      </w:r>
      <w:r>
        <w:rPr>
          <w:spacing w:val="-2"/>
        </w:rPr>
        <w:t>enrollment</w:t>
      </w:r>
      <w:r>
        <w:tab/>
      </w:r>
      <w:r>
        <w:rPr>
          <w:spacing w:val="-2"/>
        </w:rPr>
        <w:t>Stratum</w:t>
      </w:r>
    </w:p>
    <w:tbl>
      <w:tblPr>
        <w:tblW w:w="0" w:type="auto"/>
        <w:tblInd w:w="482" w:type="dxa"/>
        <w:tblLayout w:type="fixed"/>
        <w:tblCellMar>
          <w:left w:w="0" w:type="dxa"/>
          <w:right w:w="0" w:type="dxa"/>
        </w:tblCellMar>
        <w:tblLook w:val="01E0"/>
      </w:tblPr>
      <w:tblGrid>
        <w:gridCol w:w="3535"/>
        <w:gridCol w:w="5430"/>
        <w:gridCol w:w="3882"/>
        <w:gridCol w:w="1135"/>
      </w:tblGrid>
      <w:tr w14:paraId="105163CA" w14:textId="77777777">
        <w:tblPrEx>
          <w:tblW w:w="0" w:type="auto"/>
          <w:tblInd w:w="482" w:type="dxa"/>
          <w:tblLayout w:type="fixed"/>
          <w:tblCellMar>
            <w:left w:w="0" w:type="dxa"/>
            <w:right w:w="0" w:type="dxa"/>
          </w:tblCellMar>
          <w:tblLook w:val="01E0"/>
        </w:tblPrEx>
        <w:trPr>
          <w:trHeight w:val="278"/>
        </w:trPr>
        <w:tc>
          <w:tcPr>
            <w:tcW w:w="3535" w:type="dxa"/>
            <w:tcBorders>
              <w:top w:val="single" w:sz="18" w:space="0" w:color="800000"/>
            </w:tcBorders>
          </w:tcPr>
          <w:p w:rsidR="003F5784" w14:paraId="5ED686A2" w14:textId="77777777">
            <w:pPr>
              <w:pStyle w:val="TableParagraph"/>
              <w:spacing w:before="9"/>
              <w:ind w:left="120"/>
              <w:jc w:val="left"/>
              <w:rPr>
                <w:sz w:val="21"/>
              </w:rPr>
            </w:pPr>
            <w:r>
              <w:rPr>
                <w:sz w:val="21"/>
              </w:rPr>
              <w:t>Diocese</w:t>
            </w:r>
            <w:r>
              <w:rPr>
                <w:spacing w:val="-8"/>
                <w:sz w:val="21"/>
              </w:rPr>
              <w:t xml:space="preserve"> </w:t>
            </w:r>
            <w:r>
              <w:rPr>
                <w:spacing w:val="-10"/>
                <w:sz w:val="21"/>
              </w:rPr>
              <w:t>2</w:t>
            </w:r>
          </w:p>
        </w:tc>
        <w:tc>
          <w:tcPr>
            <w:tcW w:w="5430" w:type="dxa"/>
            <w:tcBorders>
              <w:top w:val="single" w:sz="18" w:space="0" w:color="800000"/>
            </w:tcBorders>
          </w:tcPr>
          <w:p w:rsidR="003F5784" w14:paraId="66F7DD00" w14:textId="77777777">
            <w:pPr>
              <w:pStyle w:val="TableParagraph"/>
              <w:spacing w:before="9"/>
              <w:ind w:right="2736"/>
              <w:rPr>
                <w:sz w:val="21"/>
              </w:rPr>
            </w:pPr>
            <w:r>
              <w:rPr>
                <w:spacing w:val="-5"/>
                <w:sz w:val="21"/>
              </w:rPr>
              <w:t>20</w:t>
            </w:r>
          </w:p>
        </w:tc>
        <w:tc>
          <w:tcPr>
            <w:tcW w:w="3882" w:type="dxa"/>
            <w:tcBorders>
              <w:top w:val="single" w:sz="18" w:space="0" w:color="800000"/>
            </w:tcBorders>
          </w:tcPr>
          <w:p w:rsidR="003F5784" w14:paraId="4DE63545" w14:textId="77777777">
            <w:pPr>
              <w:pStyle w:val="TableParagraph"/>
              <w:spacing w:before="9"/>
              <w:ind w:right="826"/>
              <w:rPr>
                <w:sz w:val="21"/>
              </w:rPr>
            </w:pPr>
            <w:r>
              <w:rPr>
                <w:spacing w:val="-5"/>
                <w:sz w:val="21"/>
              </w:rPr>
              <w:t>40</w:t>
            </w:r>
          </w:p>
        </w:tc>
        <w:tc>
          <w:tcPr>
            <w:tcW w:w="1135" w:type="dxa"/>
            <w:tcBorders>
              <w:top w:val="single" w:sz="18" w:space="0" w:color="800000"/>
            </w:tcBorders>
          </w:tcPr>
          <w:p w:rsidR="003F5784" w14:paraId="139683F7" w14:textId="77777777">
            <w:pPr>
              <w:pStyle w:val="TableParagraph"/>
              <w:spacing w:before="9"/>
              <w:ind w:right="115"/>
              <w:rPr>
                <w:sz w:val="21"/>
              </w:rPr>
            </w:pPr>
            <w:r>
              <w:rPr>
                <w:spacing w:val="-10"/>
                <w:sz w:val="21"/>
              </w:rPr>
              <w:t>L</w:t>
            </w:r>
          </w:p>
        </w:tc>
      </w:tr>
      <w:tr w14:paraId="3E218D20" w14:textId="77777777">
        <w:tblPrEx>
          <w:tblW w:w="0" w:type="auto"/>
          <w:tblInd w:w="482" w:type="dxa"/>
          <w:tblLayout w:type="fixed"/>
          <w:tblCellMar>
            <w:left w:w="0" w:type="dxa"/>
            <w:right w:w="0" w:type="dxa"/>
          </w:tblCellMar>
          <w:tblLook w:val="01E0"/>
        </w:tblPrEx>
        <w:trPr>
          <w:trHeight w:val="286"/>
        </w:trPr>
        <w:tc>
          <w:tcPr>
            <w:tcW w:w="3535" w:type="dxa"/>
          </w:tcPr>
          <w:p w:rsidR="003F5784" w14:paraId="1D6DF3AF" w14:textId="77777777">
            <w:pPr>
              <w:pStyle w:val="TableParagraph"/>
              <w:ind w:left="120"/>
              <w:jc w:val="left"/>
              <w:rPr>
                <w:sz w:val="21"/>
              </w:rPr>
            </w:pPr>
            <w:r>
              <w:rPr>
                <w:sz w:val="21"/>
              </w:rPr>
              <w:t>Diocese</w:t>
            </w:r>
            <w:r>
              <w:rPr>
                <w:spacing w:val="-8"/>
                <w:sz w:val="21"/>
              </w:rPr>
              <w:t xml:space="preserve"> </w:t>
            </w:r>
            <w:r>
              <w:rPr>
                <w:spacing w:val="-10"/>
                <w:sz w:val="21"/>
              </w:rPr>
              <w:t>3</w:t>
            </w:r>
          </w:p>
        </w:tc>
        <w:tc>
          <w:tcPr>
            <w:tcW w:w="5430" w:type="dxa"/>
          </w:tcPr>
          <w:p w:rsidR="003F5784" w14:paraId="1E2A3600" w14:textId="77777777">
            <w:pPr>
              <w:pStyle w:val="TableParagraph"/>
              <w:ind w:right="2736"/>
              <w:rPr>
                <w:sz w:val="21"/>
              </w:rPr>
            </w:pPr>
            <w:r>
              <w:rPr>
                <w:spacing w:val="-5"/>
                <w:sz w:val="21"/>
              </w:rPr>
              <w:t>15</w:t>
            </w:r>
          </w:p>
        </w:tc>
        <w:tc>
          <w:tcPr>
            <w:tcW w:w="3882" w:type="dxa"/>
          </w:tcPr>
          <w:p w:rsidR="003F5784" w14:paraId="54666508" w14:textId="77777777">
            <w:pPr>
              <w:pStyle w:val="TableParagraph"/>
              <w:ind w:right="826"/>
              <w:rPr>
                <w:sz w:val="21"/>
              </w:rPr>
            </w:pPr>
            <w:r>
              <w:rPr>
                <w:spacing w:val="-5"/>
                <w:sz w:val="21"/>
              </w:rPr>
              <w:t>55</w:t>
            </w:r>
          </w:p>
        </w:tc>
        <w:tc>
          <w:tcPr>
            <w:tcW w:w="1135" w:type="dxa"/>
          </w:tcPr>
          <w:p w:rsidR="003F5784" w14:paraId="773EC53C" w14:textId="77777777">
            <w:pPr>
              <w:pStyle w:val="TableParagraph"/>
              <w:ind w:right="115"/>
              <w:rPr>
                <w:sz w:val="21"/>
              </w:rPr>
            </w:pPr>
            <w:r>
              <w:rPr>
                <w:spacing w:val="-10"/>
                <w:sz w:val="21"/>
              </w:rPr>
              <w:t>L</w:t>
            </w:r>
          </w:p>
        </w:tc>
      </w:tr>
      <w:tr w14:paraId="34B67E15" w14:textId="77777777">
        <w:tblPrEx>
          <w:tblW w:w="0" w:type="auto"/>
          <w:tblInd w:w="482" w:type="dxa"/>
          <w:tblLayout w:type="fixed"/>
          <w:tblCellMar>
            <w:left w:w="0" w:type="dxa"/>
            <w:right w:w="0" w:type="dxa"/>
          </w:tblCellMar>
          <w:tblLook w:val="01E0"/>
        </w:tblPrEx>
        <w:trPr>
          <w:trHeight w:val="286"/>
        </w:trPr>
        <w:tc>
          <w:tcPr>
            <w:tcW w:w="3535" w:type="dxa"/>
          </w:tcPr>
          <w:p w:rsidR="003F5784" w14:paraId="282FE80E" w14:textId="77777777">
            <w:pPr>
              <w:pStyle w:val="TableParagraph"/>
              <w:ind w:left="120"/>
              <w:jc w:val="left"/>
              <w:rPr>
                <w:sz w:val="21"/>
              </w:rPr>
            </w:pPr>
            <w:r>
              <w:rPr>
                <w:sz w:val="21"/>
              </w:rPr>
              <w:t>Diocese</w:t>
            </w:r>
            <w:r>
              <w:rPr>
                <w:spacing w:val="-8"/>
                <w:sz w:val="21"/>
              </w:rPr>
              <w:t xml:space="preserve"> </w:t>
            </w:r>
            <w:r>
              <w:rPr>
                <w:spacing w:val="-10"/>
                <w:sz w:val="21"/>
              </w:rPr>
              <w:t>4</w:t>
            </w:r>
          </w:p>
        </w:tc>
        <w:tc>
          <w:tcPr>
            <w:tcW w:w="5430" w:type="dxa"/>
          </w:tcPr>
          <w:p w:rsidR="003F5784" w14:paraId="50E63C59" w14:textId="77777777">
            <w:pPr>
              <w:pStyle w:val="TableParagraph"/>
              <w:ind w:right="2736"/>
              <w:rPr>
                <w:sz w:val="21"/>
              </w:rPr>
            </w:pPr>
            <w:r>
              <w:rPr>
                <w:spacing w:val="-5"/>
                <w:sz w:val="21"/>
              </w:rPr>
              <w:t>10</w:t>
            </w:r>
          </w:p>
        </w:tc>
        <w:tc>
          <w:tcPr>
            <w:tcW w:w="3882" w:type="dxa"/>
          </w:tcPr>
          <w:p w:rsidR="003F5784" w14:paraId="2BA60550" w14:textId="77777777">
            <w:pPr>
              <w:pStyle w:val="TableParagraph"/>
              <w:ind w:right="826"/>
              <w:rPr>
                <w:sz w:val="21"/>
              </w:rPr>
            </w:pPr>
            <w:r>
              <w:rPr>
                <w:spacing w:val="-5"/>
                <w:sz w:val="21"/>
              </w:rPr>
              <w:t>65</w:t>
            </w:r>
          </w:p>
        </w:tc>
        <w:tc>
          <w:tcPr>
            <w:tcW w:w="1135" w:type="dxa"/>
          </w:tcPr>
          <w:p w:rsidR="003F5784" w14:paraId="1B26A5E2" w14:textId="77777777">
            <w:pPr>
              <w:pStyle w:val="TableParagraph"/>
              <w:ind w:right="115"/>
              <w:rPr>
                <w:sz w:val="21"/>
              </w:rPr>
            </w:pPr>
            <w:r>
              <w:rPr>
                <w:spacing w:val="-10"/>
                <w:sz w:val="21"/>
              </w:rPr>
              <w:t>L</w:t>
            </w:r>
          </w:p>
        </w:tc>
      </w:tr>
      <w:tr w14:paraId="0ED7D9A3" w14:textId="77777777">
        <w:tblPrEx>
          <w:tblW w:w="0" w:type="auto"/>
          <w:tblInd w:w="482" w:type="dxa"/>
          <w:tblLayout w:type="fixed"/>
          <w:tblCellMar>
            <w:left w:w="0" w:type="dxa"/>
            <w:right w:w="0" w:type="dxa"/>
          </w:tblCellMar>
          <w:tblLook w:val="01E0"/>
        </w:tblPrEx>
        <w:trPr>
          <w:trHeight w:val="286"/>
        </w:trPr>
        <w:tc>
          <w:tcPr>
            <w:tcW w:w="3535" w:type="dxa"/>
          </w:tcPr>
          <w:p w:rsidR="003F5784" w14:paraId="580FC132" w14:textId="77777777">
            <w:pPr>
              <w:pStyle w:val="TableParagraph"/>
              <w:ind w:left="120"/>
              <w:jc w:val="left"/>
              <w:rPr>
                <w:sz w:val="21"/>
              </w:rPr>
            </w:pPr>
            <w:r>
              <w:rPr>
                <w:sz w:val="21"/>
              </w:rPr>
              <w:t>Diocese</w:t>
            </w:r>
            <w:r>
              <w:rPr>
                <w:spacing w:val="-8"/>
                <w:sz w:val="21"/>
              </w:rPr>
              <w:t xml:space="preserve"> </w:t>
            </w:r>
            <w:r>
              <w:rPr>
                <w:spacing w:val="-10"/>
                <w:sz w:val="21"/>
              </w:rPr>
              <w:t>5</w:t>
            </w:r>
          </w:p>
        </w:tc>
        <w:tc>
          <w:tcPr>
            <w:tcW w:w="5430" w:type="dxa"/>
          </w:tcPr>
          <w:p w:rsidR="003F5784" w14:paraId="6F7385A2" w14:textId="77777777">
            <w:pPr>
              <w:pStyle w:val="TableParagraph"/>
              <w:ind w:right="2736"/>
              <w:rPr>
                <w:sz w:val="21"/>
              </w:rPr>
            </w:pPr>
            <w:r>
              <w:rPr>
                <w:spacing w:val="-5"/>
                <w:sz w:val="21"/>
              </w:rPr>
              <w:t>10</w:t>
            </w:r>
          </w:p>
        </w:tc>
        <w:tc>
          <w:tcPr>
            <w:tcW w:w="3882" w:type="dxa"/>
          </w:tcPr>
          <w:p w:rsidR="003F5784" w14:paraId="3DDA9C53" w14:textId="77777777">
            <w:pPr>
              <w:pStyle w:val="TableParagraph"/>
              <w:ind w:right="826"/>
              <w:rPr>
                <w:sz w:val="21"/>
              </w:rPr>
            </w:pPr>
            <w:r>
              <w:rPr>
                <w:spacing w:val="-5"/>
                <w:sz w:val="21"/>
              </w:rPr>
              <w:t>75</w:t>
            </w:r>
          </w:p>
        </w:tc>
        <w:tc>
          <w:tcPr>
            <w:tcW w:w="1135" w:type="dxa"/>
          </w:tcPr>
          <w:p w:rsidR="003F5784" w14:paraId="06ABFB64" w14:textId="77777777">
            <w:pPr>
              <w:pStyle w:val="TableParagraph"/>
              <w:ind w:right="115"/>
              <w:rPr>
                <w:sz w:val="21"/>
              </w:rPr>
            </w:pPr>
            <w:r>
              <w:rPr>
                <w:spacing w:val="-10"/>
                <w:sz w:val="21"/>
              </w:rPr>
              <w:t>L</w:t>
            </w:r>
          </w:p>
        </w:tc>
      </w:tr>
      <w:tr w14:paraId="5D48792B" w14:textId="77777777">
        <w:tblPrEx>
          <w:tblW w:w="0" w:type="auto"/>
          <w:tblInd w:w="482" w:type="dxa"/>
          <w:tblLayout w:type="fixed"/>
          <w:tblCellMar>
            <w:left w:w="0" w:type="dxa"/>
            <w:right w:w="0" w:type="dxa"/>
          </w:tblCellMar>
          <w:tblLook w:val="01E0"/>
        </w:tblPrEx>
        <w:trPr>
          <w:trHeight w:val="286"/>
        </w:trPr>
        <w:tc>
          <w:tcPr>
            <w:tcW w:w="3535" w:type="dxa"/>
          </w:tcPr>
          <w:p w:rsidR="003F5784" w14:paraId="09C4FF6F" w14:textId="77777777">
            <w:pPr>
              <w:pStyle w:val="TableParagraph"/>
              <w:ind w:left="120"/>
              <w:jc w:val="left"/>
              <w:rPr>
                <w:sz w:val="21"/>
              </w:rPr>
            </w:pPr>
            <w:r>
              <w:rPr>
                <w:sz w:val="21"/>
              </w:rPr>
              <w:t>Diocese</w:t>
            </w:r>
            <w:r>
              <w:rPr>
                <w:spacing w:val="-8"/>
                <w:sz w:val="21"/>
              </w:rPr>
              <w:t xml:space="preserve"> </w:t>
            </w:r>
            <w:r>
              <w:rPr>
                <w:spacing w:val="-10"/>
                <w:sz w:val="21"/>
              </w:rPr>
              <w:t>6</w:t>
            </w:r>
          </w:p>
        </w:tc>
        <w:tc>
          <w:tcPr>
            <w:tcW w:w="5430" w:type="dxa"/>
          </w:tcPr>
          <w:p w:rsidR="003F5784" w14:paraId="65880829" w14:textId="77777777">
            <w:pPr>
              <w:pStyle w:val="TableParagraph"/>
              <w:ind w:right="2736"/>
              <w:rPr>
                <w:sz w:val="21"/>
              </w:rPr>
            </w:pPr>
            <w:r>
              <w:rPr>
                <w:spacing w:val="-5"/>
                <w:sz w:val="21"/>
              </w:rPr>
              <w:t>10</w:t>
            </w:r>
          </w:p>
        </w:tc>
        <w:tc>
          <w:tcPr>
            <w:tcW w:w="3882" w:type="dxa"/>
          </w:tcPr>
          <w:p w:rsidR="003F5784" w14:paraId="2EADE7A2" w14:textId="77777777">
            <w:pPr>
              <w:pStyle w:val="TableParagraph"/>
              <w:ind w:right="826"/>
              <w:rPr>
                <w:sz w:val="21"/>
              </w:rPr>
            </w:pPr>
            <w:r>
              <w:rPr>
                <w:spacing w:val="-5"/>
                <w:sz w:val="21"/>
              </w:rPr>
              <w:t>85</w:t>
            </w:r>
          </w:p>
        </w:tc>
        <w:tc>
          <w:tcPr>
            <w:tcW w:w="1135" w:type="dxa"/>
          </w:tcPr>
          <w:p w:rsidR="003F5784" w14:paraId="609C0A6A" w14:textId="77777777">
            <w:pPr>
              <w:pStyle w:val="TableParagraph"/>
              <w:ind w:right="115"/>
              <w:rPr>
                <w:sz w:val="21"/>
              </w:rPr>
            </w:pPr>
            <w:r>
              <w:rPr>
                <w:spacing w:val="-10"/>
                <w:sz w:val="21"/>
              </w:rPr>
              <w:t>L</w:t>
            </w:r>
          </w:p>
        </w:tc>
      </w:tr>
      <w:tr w14:paraId="572439E7" w14:textId="77777777">
        <w:tblPrEx>
          <w:tblW w:w="0" w:type="auto"/>
          <w:tblInd w:w="482" w:type="dxa"/>
          <w:tblLayout w:type="fixed"/>
          <w:tblCellMar>
            <w:left w:w="0" w:type="dxa"/>
            <w:right w:w="0" w:type="dxa"/>
          </w:tblCellMar>
          <w:tblLook w:val="01E0"/>
        </w:tblPrEx>
        <w:trPr>
          <w:trHeight w:val="286"/>
        </w:trPr>
        <w:tc>
          <w:tcPr>
            <w:tcW w:w="3535" w:type="dxa"/>
          </w:tcPr>
          <w:p w:rsidR="003F5784" w14:paraId="405D5FB5" w14:textId="77777777">
            <w:pPr>
              <w:pStyle w:val="TableParagraph"/>
              <w:ind w:left="120"/>
              <w:jc w:val="left"/>
              <w:rPr>
                <w:sz w:val="21"/>
              </w:rPr>
            </w:pPr>
            <w:r>
              <w:rPr>
                <w:sz w:val="21"/>
              </w:rPr>
              <w:t>Diocese</w:t>
            </w:r>
            <w:r>
              <w:rPr>
                <w:spacing w:val="-8"/>
                <w:sz w:val="21"/>
              </w:rPr>
              <w:t xml:space="preserve"> </w:t>
            </w:r>
            <w:r>
              <w:rPr>
                <w:spacing w:val="-10"/>
                <w:sz w:val="21"/>
              </w:rPr>
              <w:t>7</w:t>
            </w:r>
          </w:p>
        </w:tc>
        <w:tc>
          <w:tcPr>
            <w:tcW w:w="5430" w:type="dxa"/>
          </w:tcPr>
          <w:p w:rsidR="003F5784" w14:paraId="592D6A9C" w14:textId="77777777">
            <w:pPr>
              <w:pStyle w:val="TableParagraph"/>
              <w:ind w:right="2736"/>
              <w:rPr>
                <w:sz w:val="21"/>
              </w:rPr>
            </w:pPr>
            <w:r>
              <w:rPr>
                <w:spacing w:val="-10"/>
                <w:sz w:val="21"/>
              </w:rPr>
              <w:t>5</w:t>
            </w:r>
          </w:p>
        </w:tc>
        <w:tc>
          <w:tcPr>
            <w:tcW w:w="3882" w:type="dxa"/>
          </w:tcPr>
          <w:p w:rsidR="003F5784" w14:paraId="3E5FC3EE" w14:textId="77777777">
            <w:pPr>
              <w:pStyle w:val="TableParagraph"/>
              <w:ind w:right="826"/>
              <w:rPr>
                <w:sz w:val="21"/>
              </w:rPr>
            </w:pPr>
            <w:r>
              <w:rPr>
                <w:spacing w:val="-5"/>
                <w:sz w:val="21"/>
              </w:rPr>
              <w:t>90</w:t>
            </w:r>
          </w:p>
        </w:tc>
        <w:tc>
          <w:tcPr>
            <w:tcW w:w="1135" w:type="dxa"/>
          </w:tcPr>
          <w:p w:rsidR="003F5784" w14:paraId="7AEC5275" w14:textId="77777777">
            <w:pPr>
              <w:pStyle w:val="TableParagraph"/>
              <w:ind w:right="115"/>
              <w:rPr>
                <w:sz w:val="21"/>
              </w:rPr>
            </w:pPr>
            <w:r>
              <w:rPr>
                <w:spacing w:val="-10"/>
                <w:sz w:val="21"/>
              </w:rPr>
              <w:t>M</w:t>
            </w:r>
          </w:p>
        </w:tc>
      </w:tr>
      <w:tr w14:paraId="4686F08A" w14:textId="77777777">
        <w:tblPrEx>
          <w:tblW w:w="0" w:type="auto"/>
          <w:tblInd w:w="482" w:type="dxa"/>
          <w:tblLayout w:type="fixed"/>
          <w:tblCellMar>
            <w:left w:w="0" w:type="dxa"/>
            <w:right w:w="0" w:type="dxa"/>
          </w:tblCellMar>
          <w:tblLook w:val="01E0"/>
        </w:tblPrEx>
        <w:trPr>
          <w:trHeight w:val="286"/>
        </w:trPr>
        <w:tc>
          <w:tcPr>
            <w:tcW w:w="3535" w:type="dxa"/>
          </w:tcPr>
          <w:p w:rsidR="003F5784" w14:paraId="23CE463C" w14:textId="77777777">
            <w:pPr>
              <w:pStyle w:val="TableParagraph"/>
              <w:ind w:left="120"/>
              <w:jc w:val="left"/>
              <w:rPr>
                <w:sz w:val="21"/>
              </w:rPr>
            </w:pPr>
            <w:r>
              <w:rPr>
                <w:sz w:val="21"/>
              </w:rPr>
              <w:t>Diocese</w:t>
            </w:r>
            <w:r>
              <w:rPr>
                <w:spacing w:val="-8"/>
                <w:sz w:val="21"/>
              </w:rPr>
              <w:t xml:space="preserve"> </w:t>
            </w:r>
            <w:r>
              <w:rPr>
                <w:spacing w:val="-10"/>
                <w:sz w:val="21"/>
              </w:rPr>
              <w:t>8</w:t>
            </w:r>
          </w:p>
        </w:tc>
        <w:tc>
          <w:tcPr>
            <w:tcW w:w="5430" w:type="dxa"/>
          </w:tcPr>
          <w:p w:rsidR="003F5784" w14:paraId="3B69342E" w14:textId="77777777">
            <w:pPr>
              <w:pStyle w:val="TableParagraph"/>
              <w:ind w:right="2736"/>
              <w:rPr>
                <w:sz w:val="21"/>
              </w:rPr>
            </w:pPr>
            <w:r>
              <w:rPr>
                <w:spacing w:val="-10"/>
                <w:sz w:val="21"/>
              </w:rPr>
              <w:t>2</w:t>
            </w:r>
          </w:p>
        </w:tc>
        <w:tc>
          <w:tcPr>
            <w:tcW w:w="3882" w:type="dxa"/>
          </w:tcPr>
          <w:p w:rsidR="003F5784" w14:paraId="4E038E05" w14:textId="77777777">
            <w:pPr>
              <w:pStyle w:val="TableParagraph"/>
              <w:ind w:right="826"/>
              <w:rPr>
                <w:sz w:val="21"/>
              </w:rPr>
            </w:pPr>
            <w:r>
              <w:rPr>
                <w:spacing w:val="-5"/>
                <w:sz w:val="21"/>
              </w:rPr>
              <w:t>92</w:t>
            </w:r>
          </w:p>
        </w:tc>
        <w:tc>
          <w:tcPr>
            <w:tcW w:w="1135" w:type="dxa"/>
          </w:tcPr>
          <w:p w:rsidR="003F5784" w14:paraId="796C3054" w14:textId="77777777">
            <w:pPr>
              <w:pStyle w:val="TableParagraph"/>
              <w:ind w:right="115"/>
              <w:rPr>
                <w:sz w:val="21"/>
              </w:rPr>
            </w:pPr>
            <w:r>
              <w:rPr>
                <w:spacing w:val="-10"/>
                <w:sz w:val="21"/>
              </w:rPr>
              <w:t>M</w:t>
            </w:r>
          </w:p>
        </w:tc>
      </w:tr>
      <w:tr w14:paraId="6AC2A85B" w14:textId="77777777">
        <w:tblPrEx>
          <w:tblW w:w="0" w:type="auto"/>
          <w:tblInd w:w="482" w:type="dxa"/>
          <w:tblLayout w:type="fixed"/>
          <w:tblCellMar>
            <w:left w:w="0" w:type="dxa"/>
            <w:right w:w="0" w:type="dxa"/>
          </w:tblCellMar>
          <w:tblLook w:val="01E0"/>
        </w:tblPrEx>
        <w:trPr>
          <w:trHeight w:val="286"/>
        </w:trPr>
        <w:tc>
          <w:tcPr>
            <w:tcW w:w="3535" w:type="dxa"/>
          </w:tcPr>
          <w:p w:rsidR="003F5784" w14:paraId="41C6B8DF" w14:textId="77777777">
            <w:pPr>
              <w:pStyle w:val="TableParagraph"/>
              <w:ind w:left="120"/>
              <w:jc w:val="left"/>
              <w:rPr>
                <w:sz w:val="21"/>
              </w:rPr>
            </w:pPr>
            <w:r>
              <w:rPr>
                <w:sz w:val="21"/>
              </w:rPr>
              <w:t>Diocese</w:t>
            </w:r>
            <w:r>
              <w:rPr>
                <w:spacing w:val="-8"/>
                <w:sz w:val="21"/>
              </w:rPr>
              <w:t xml:space="preserve"> </w:t>
            </w:r>
            <w:r>
              <w:rPr>
                <w:spacing w:val="-10"/>
                <w:sz w:val="21"/>
              </w:rPr>
              <w:t>9</w:t>
            </w:r>
          </w:p>
        </w:tc>
        <w:tc>
          <w:tcPr>
            <w:tcW w:w="5430" w:type="dxa"/>
          </w:tcPr>
          <w:p w:rsidR="003F5784" w14:paraId="7FAF1B93" w14:textId="77777777">
            <w:pPr>
              <w:pStyle w:val="TableParagraph"/>
              <w:ind w:right="2736"/>
              <w:rPr>
                <w:sz w:val="21"/>
              </w:rPr>
            </w:pPr>
            <w:r>
              <w:rPr>
                <w:spacing w:val="-10"/>
                <w:sz w:val="21"/>
              </w:rPr>
              <w:t>2</w:t>
            </w:r>
          </w:p>
        </w:tc>
        <w:tc>
          <w:tcPr>
            <w:tcW w:w="3882" w:type="dxa"/>
          </w:tcPr>
          <w:p w:rsidR="003F5784" w14:paraId="7BC1CB10" w14:textId="77777777">
            <w:pPr>
              <w:pStyle w:val="TableParagraph"/>
              <w:ind w:right="826"/>
              <w:rPr>
                <w:sz w:val="21"/>
              </w:rPr>
            </w:pPr>
            <w:r>
              <w:rPr>
                <w:spacing w:val="-5"/>
                <w:sz w:val="21"/>
              </w:rPr>
              <w:t>94</w:t>
            </w:r>
          </w:p>
        </w:tc>
        <w:tc>
          <w:tcPr>
            <w:tcW w:w="1135" w:type="dxa"/>
          </w:tcPr>
          <w:p w:rsidR="003F5784" w14:paraId="54981DF8" w14:textId="77777777">
            <w:pPr>
              <w:pStyle w:val="TableParagraph"/>
              <w:ind w:right="115"/>
              <w:rPr>
                <w:sz w:val="21"/>
              </w:rPr>
            </w:pPr>
            <w:r>
              <w:rPr>
                <w:spacing w:val="-10"/>
                <w:sz w:val="21"/>
              </w:rPr>
              <w:t>M</w:t>
            </w:r>
          </w:p>
        </w:tc>
      </w:tr>
      <w:tr w14:paraId="0E9D9A1A" w14:textId="77777777">
        <w:tblPrEx>
          <w:tblW w:w="0" w:type="auto"/>
          <w:tblInd w:w="482" w:type="dxa"/>
          <w:tblLayout w:type="fixed"/>
          <w:tblCellMar>
            <w:left w:w="0" w:type="dxa"/>
            <w:right w:w="0" w:type="dxa"/>
          </w:tblCellMar>
          <w:tblLook w:val="01E0"/>
        </w:tblPrEx>
        <w:trPr>
          <w:trHeight w:val="286"/>
        </w:trPr>
        <w:tc>
          <w:tcPr>
            <w:tcW w:w="3535" w:type="dxa"/>
          </w:tcPr>
          <w:p w:rsidR="003F5784" w14:paraId="48C18F2A" w14:textId="77777777">
            <w:pPr>
              <w:pStyle w:val="TableParagraph"/>
              <w:ind w:left="120"/>
              <w:jc w:val="left"/>
              <w:rPr>
                <w:sz w:val="21"/>
              </w:rPr>
            </w:pPr>
            <w:r>
              <w:rPr>
                <w:sz w:val="21"/>
              </w:rPr>
              <w:t>Diocese</w:t>
            </w:r>
            <w:r>
              <w:rPr>
                <w:spacing w:val="-8"/>
                <w:sz w:val="21"/>
              </w:rPr>
              <w:t xml:space="preserve"> </w:t>
            </w:r>
            <w:r>
              <w:rPr>
                <w:spacing w:val="-5"/>
                <w:sz w:val="21"/>
              </w:rPr>
              <w:t>10</w:t>
            </w:r>
          </w:p>
        </w:tc>
        <w:tc>
          <w:tcPr>
            <w:tcW w:w="5430" w:type="dxa"/>
          </w:tcPr>
          <w:p w:rsidR="003F5784" w14:paraId="449E0B82" w14:textId="77777777">
            <w:pPr>
              <w:pStyle w:val="TableParagraph"/>
              <w:ind w:right="2736"/>
              <w:rPr>
                <w:sz w:val="21"/>
              </w:rPr>
            </w:pPr>
            <w:r>
              <w:rPr>
                <w:spacing w:val="-10"/>
                <w:sz w:val="21"/>
              </w:rPr>
              <w:t>2</w:t>
            </w:r>
          </w:p>
        </w:tc>
        <w:tc>
          <w:tcPr>
            <w:tcW w:w="3882" w:type="dxa"/>
          </w:tcPr>
          <w:p w:rsidR="003F5784" w14:paraId="7E2C5E7A" w14:textId="77777777">
            <w:pPr>
              <w:pStyle w:val="TableParagraph"/>
              <w:ind w:right="826"/>
              <w:rPr>
                <w:sz w:val="21"/>
              </w:rPr>
            </w:pPr>
            <w:r>
              <w:rPr>
                <w:spacing w:val="-5"/>
                <w:sz w:val="21"/>
              </w:rPr>
              <w:t>96</w:t>
            </w:r>
          </w:p>
        </w:tc>
        <w:tc>
          <w:tcPr>
            <w:tcW w:w="1135" w:type="dxa"/>
          </w:tcPr>
          <w:p w:rsidR="003F5784" w14:paraId="07316FE0" w14:textId="77777777">
            <w:pPr>
              <w:pStyle w:val="TableParagraph"/>
              <w:ind w:right="115"/>
              <w:rPr>
                <w:sz w:val="21"/>
              </w:rPr>
            </w:pPr>
            <w:r>
              <w:rPr>
                <w:spacing w:val="-10"/>
                <w:sz w:val="21"/>
              </w:rPr>
              <w:t>M</w:t>
            </w:r>
          </w:p>
        </w:tc>
      </w:tr>
      <w:tr w14:paraId="2CED7905" w14:textId="77777777">
        <w:tblPrEx>
          <w:tblW w:w="0" w:type="auto"/>
          <w:tblInd w:w="482" w:type="dxa"/>
          <w:tblLayout w:type="fixed"/>
          <w:tblCellMar>
            <w:left w:w="0" w:type="dxa"/>
            <w:right w:w="0" w:type="dxa"/>
          </w:tblCellMar>
          <w:tblLook w:val="01E0"/>
        </w:tblPrEx>
        <w:trPr>
          <w:trHeight w:val="286"/>
        </w:trPr>
        <w:tc>
          <w:tcPr>
            <w:tcW w:w="3535" w:type="dxa"/>
          </w:tcPr>
          <w:p w:rsidR="003F5784" w14:paraId="4F2D93FD" w14:textId="77777777">
            <w:pPr>
              <w:pStyle w:val="TableParagraph"/>
              <w:ind w:left="120"/>
              <w:jc w:val="left"/>
              <w:rPr>
                <w:sz w:val="21"/>
              </w:rPr>
            </w:pPr>
            <w:r>
              <w:rPr>
                <w:sz w:val="21"/>
              </w:rPr>
              <w:t>Diocese</w:t>
            </w:r>
            <w:r>
              <w:rPr>
                <w:spacing w:val="-8"/>
                <w:sz w:val="21"/>
              </w:rPr>
              <w:t xml:space="preserve"> </w:t>
            </w:r>
            <w:r>
              <w:rPr>
                <w:spacing w:val="-5"/>
                <w:sz w:val="21"/>
              </w:rPr>
              <w:t>11</w:t>
            </w:r>
          </w:p>
        </w:tc>
        <w:tc>
          <w:tcPr>
            <w:tcW w:w="5430" w:type="dxa"/>
          </w:tcPr>
          <w:p w:rsidR="003F5784" w14:paraId="229321C3" w14:textId="77777777">
            <w:pPr>
              <w:pStyle w:val="TableParagraph"/>
              <w:ind w:right="2736"/>
              <w:rPr>
                <w:sz w:val="21"/>
              </w:rPr>
            </w:pPr>
            <w:r>
              <w:rPr>
                <w:spacing w:val="-10"/>
                <w:sz w:val="21"/>
              </w:rPr>
              <w:t>2</w:t>
            </w:r>
          </w:p>
        </w:tc>
        <w:tc>
          <w:tcPr>
            <w:tcW w:w="3882" w:type="dxa"/>
          </w:tcPr>
          <w:p w:rsidR="003F5784" w14:paraId="0182E8F2" w14:textId="77777777">
            <w:pPr>
              <w:pStyle w:val="TableParagraph"/>
              <w:ind w:right="826"/>
              <w:rPr>
                <w:sz w:val="21"/>
              </w:rPr>
            </w:pPr>
            <w:r>
              <w:rPr>
                <w:spacing w:val="-5"/>
                <w:sz w:val="21"/>
              </w:rPr>
              <w:t>98</w:t>
            </w:r>
          </w:p>
        </w:tc>
        <w:tc>
          <w:tcPr>
            <w:tcW w:w="1135" w:type="dxa"/>
          </w:tcPr>
          <w:p w:rsidR="003F5784" w14:paraId="162F3ABF" w14:textId="77777777">
            <w:pPr>
              <w:pStyle w:val="TableParagraph"/>
              <w:ind w:right="115"/>
              <w:rPr>
                <w:sz w:val="21"/>
              </w:rPr>
            </w:pPr>
            <w:r>
              <w:rPr>
                <w:spacing w:val="-10"/>
                <w:sz w:val="21"/>
              </w:rPr>
              <w:t>M</w:t>
            </w:r>
          </w:p>
        </w:tc>
      </w:tr>
      <w:tr w14:paraId="03518284" w14:textId="77777777">
        <w:tblPrEx>
          <w:tblW w:w="0" w:type="auto"/>
          <w:tblInd w:w="482" w:type="dxa"/>
          <w:tblLayout w:type="fixed"/>
          <w:tblCellMar>
            <w:left w:w="0" w:type="dxa"/>
            <w:right w:w="0" w:type="dxa"/>
          </w:tblCellMar>
          <w:tblLook w:val="01E0"/>
        </w:tblPrEx>
        <w:trPr>
          <w:trHeight w:val="288"/>
        </w:trPr>
        <w:tc>
          <w:tcPr>
            <w:tcW w:w="3535" w:type="dxa"/>
            <w:tcBorders>
              <w:bottom w:val="single" w:sz="18" w:space="0" w:color="800000"/>
            </w:tcBorders>
          </w:tcPr>
          <w:p w:rsidR="003F5784" w14:paraId="2D488CAC" w14:textId="77777777">
            <w:pPr>
              <w:pStyle w:val="TableParagraph"/>
              <w:ind w:left="120"/>
              <w:jc w:val="left"/>
              <w:rPr>
                <w:sz w:val="21"/>
              </w:rPr>
            </w:pPr>
            <w:r>
              <w:rPr>
                <w:sz w:val="21"/>
              </w:rPr>
              <w:t>Diocese</w:t>
            </w:r>
            <w:r>
              <w:rPr>
                <w:spacing w:val="-8"/>
                <w:sz w:val="21"/>
              </w:rPr>
              <w:t xml:space="preserve"> </w:t>
            </w:r>
            <w:r>
              <w:rPr>
                <w:spacing w:val="-5"/>
                <w:sz w:val="21"/>
              </w:rPr>
              <w:t>12</w:t>
            </w:r>
          </w:p>
        </w:tc>
        <w:tc>
          <w:tcPr>
            <w:tcW w:w="5430" w:type="dxa"/>
            <w:tcBorders>
              <w:bottom w:val="single" w:sz="18" w:space="0" w:color="800000"/>
            </w:tcBorders>
          </w:tcPr>
          <w:p w:rsidR="003F5784" w14:paraId="53496821" w14:textId="77777777">
            <w:pPr>
              <w:pStyle w:val="TableParagraph"/>
              <w:ind w:right="2736"/>
              <w:rPr>
                <w:sz w:val="21"/>
              </w:rPr>
            </w:pPr>
            <w:r>
              <w:rPr>
                <w:spacing w:val="-10"/>
                <w:sz w:val="21"/>
              </w:rPr>
              <w:t>2</w:t>
            </w:r>
          </w:p>
        </w:tc>
        <w:tc>
          <w:tcPr>
            <w:tcW w:w="3882" w:type="dxa"/>
            <w:tcBorders>
              <w:bottom w:val="single" w:sz="18" w:space="0" w:color="800000"/>
            </w:tcBorders>
          </w:tcPr>
          <w:p w:rsidR="003F5784" w14:paraId="422CA0AD" w14:textId="77777777">
            <w:pPr>
              <w:pStyle w:val="TableParagraph"/>
              <w:ind w:right="826"/>
              <w:rPr>
                <w:sz w:val="21"/>
              </w:rPr>
            </w:pPr>
            <w:r>
              <w:rPr>
                <w:spacing w:val="-5"/>
                <w:sz w:val="21"/>
              </w:rPr>
              <w:t>100</w:t>
            </w:r>
          </w:p>
        </w:tc>
        <w:tc>
          <w:tcPr>
            <w:tcW w:w="1135" w:type="dxa"/>
            <w:tcBorders>
              <w:bottom w:val="single" w:sz="18" w:space="0" w:color="800000"/>
            </w:tcBorders>
          </w:tcPr>
          <w:p w:rsidR="003F5784" w14:paraId="451CF78C" w14:textId="77777777">
            <w:pPr>
              <w:pStyle w:val="TableParagraph"/>
              <w:ind w:right="115"/>
              <w:rPr>
                <w:sz w:val="21"/>
              </w:rPr>
            </w:pPr>
            <w:r>
              <w:rPr>
                <w:spacing w:val="-10"/>
                <w:sz w:val="21"/>
              </w:rPr>
              <w:t>M</w:t>
            </w:r>
          </w:p>
        </w:tc>
      </w:tr>
      <w:tr w14:paraId="0D19BAAA" w14:textId="77777777">
        <w:tblPrEx>
          <w:tblW w:w="0" w:type="auto"/>
          <w:tblInd w:w="482" w:type="dxa"/>
          <w:tblLayout w:type="fixed"/>
          <w:tblCellMar>
            <w:left w:w="0" w:type="dxa"/>
            <w:right w:w="0" w:type="dxa"/>
          </w:tblCellMar>
          <w:tblLook w:val="01E0"/>
        </w:tblPrEx>
        <w:trPr>
          <w:trHeight w:val="472"/>
        </w:trPr>
        <w:tc>
          <w:tcPr>
            <w:tcW w:w="13982" w:type="dxa"/>
            <w:gridSpan w:val="4"/>
            <w:tcBorders>
              <w:top w:val="single" w:sz="18" w:space="0" w:color="800000"/>
            </w:tcBorders>
          </w:tcPr>
          <w:p w:rsidR="003F5784" w14:paraId="6908AE75" w14:textId="77777777">
            <w:pPr>
              <w:pStyle w:val="TableParagraph"/>
              <w:spacing w:before="0" w:line="234" w:lineRule="exact"/>
              <w:ind w:left="120" w:right="383"/>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Progress (NAEP), 2022 National Civics and U.S. History Assessments.</w:t>
            </w:r>
          </w:p>
        </w:tc>
      </w:tr>
    </w:tbl>
    <w:p w:rsidR="003F5784" w14:paraId="2F1AD56A" w14:textId="77777777">
      <w:pPr>
        <w:pStyle w:val="BodyText"/>
        <w:spacing w:before="226"/>
      </w:pPr>
    </w:p>
    <w:p w:rsidR="003F5784" w14:paraId="337A0C30" w14:textId="77777777">
      <w:pPr>
        <w:pStyle w:val="BodyText"/>
        <w:ind w:left="109"/>
      </w:pPr>
      <w:r>
        <w:t>In</w:t>
      </w:r>
      <w:r>
        <w:rPr>
          <w:spacing w:val="-7"/>
        </w:rPr>
        <w:t xml:space="preserve"> </w:t>
      </w:r>
      <w:r>
        <w:t>actuality,</w:t>
      </w:r>
      <w:r>
        <w:rPr>
          <w:spacing w:val="-7"/>
        </w:rPr>
        <w:t xml:space="preserve"> </w:t>
      </w:r>
      <w:r>
        <w:t>there</w:t>
      </w:r>
      <w:r>
        <w:rPr>
          <w:spacing w:val="-6"/>
        </w:rPr>
        <w:t xml:space="preserve"> </w:t>
      </w:r>
      <w:r>
        <w:t>were</w:t>
      </w:r>
      <w:r>
        <w:rPr>
          <w:spacing w:val="-7"/>
        </w:rPr>
        <w:t xml:space="preserve"> </w:t>
      </w:r>
      <w:r>
        <w:t>77</w:t>
      </w:r>
      <w:r>
        <w:rPr>
          <w:spacing w:val="-7"/>
        </w:rPr>
        <w:t xml:space="preserve"> </w:t>
      </w:r>
      <w:r>
        <w:t>large</w:t>
      </w:r>
      <w:r>
        <w:rPr>
          <w:spacing w:val="-6"/>
        </w:rPr>
        <w:t xml:space="preserve"> </w:t>
      </w:r>
      <w:r>
        <w:t>and</w:t>
      </w:r>
      <w:r>
        <w:rPr>
          <w:spacing w:val="-7"/>
        </w:rPr>
        <w:t xml:space="preserve"> </w:t>
      </w:r>
      <w:r>
        <w:t>96</w:t>
      </w:r>
      <w:r>
        <w:rPr>
          <w:spacing w:val="-6"/>
        </w:rPr>
        <w:t xml:space="preserve"> </w:t>
      </w:r>
      <w:r>
        <w:t>medium</w:t>
      </w:r>
      <w:r>
        <w:rPr>
          <w:spacing w:val="-7"/>
        </w:rPr>
        <w:t xml:space="preserve"> </w:t>
      </w:r>
      <w:r>
        <w:t>dioceses</w:t>
      </w:r>
      <w:r>
        <w:rPr>
          <w:spacing w:val="-7"/>
        </w:rPr>
        <w:t xml:space="preserve"> </w:t>
      </w:r>
      <w:r>
        <w:t>in</w:t>
      </w:r>
      <w:r>
        <w:rPr>
          <w:spacing w:val="-6"/>
        </w:rPr>
        <w:t xml:space="preserve"> </w:t>
      </w:r>
      <w:r>
        <w:t>the</w:t>
      </w:r>
      <w:r>
        <w:rPr>
          <w:spacing w:val="-7"/>
        </w:rPr>
        <w:t xml:space="preserve"> </w:t>
      </w:r>
      <w:r>
        <w:t>sampling</w:t>
      </w:r>
      <w:r>
        <w:rPr>
          <w:spacing w:val="-7"/>
        </w:rPr>
        <w:t xml:space="preserve"> </w:t>
      </w:r>
      <w:r>
        <w:rPr>
          <w:spacing w:val="-2"/>
        </w:rPr>
        <w:t>frame.</w:t>
      </w:r>
    </w:p>
    <w:p w:rsidR="003F5784" w14:paraId="6C326E9E" w14:textId="77777777">
      <w:pPr>
        <w:pStyle w:val="BodyText"/>
        <w:spacing w:before="208" w:line="232" w:lineRule="auto"/>
        <w:ind w:left="109" w:right="179"/>
      </w:pPr>
      <w:r>
        <w:t>The</w:t>
      </w:r>
      <w:r>
        <w:rPr>
          <w:spacing w:val="-6"/>
        </w:rPr>
        <w:t xml:space="preserve"> </w:t>
      </w:r>
      <w:r>
        <w:t>target</w:t>
      </w:r>
      <w:r>
        <w:rPr>
          <w:spacing w:val="-6"/>
        </w:rPr>
        <w:t xml:space="preserve"> </w:t>
      </w:r>
      <w:r>
        <w:t>sample</w:t>
      </w:r>
      <w:r>
        <w:rPr>
          <w:spacing w:val="-6"/>
        </w:rPr>
        <w:t xml:space="preserve"> </w:t>
      </w:r>
      <w:r>
        <w:t>size</w:t>
      </w:r>
      <w:r>
        <w:rPr>
          <w:spacing w:val="-6"/>
        </w:rPr>
        <w:t xml:space="preserve"> </w:t>
      </w:r>
      <w:r>
        <w:t>was</w:t>
      </w:r>
      <w:r>
        <w:rPr>
          <w:spacing w:val="-6"/>
        </w:rPr>
        <w:t xml:space="preserve"> </w:t>
      </w:r>
      <w:r>
        <w:t>10</w:t>
      </w:r>
      <w:r>
        <w:rPr>
          <w:spacing w:val="-6"/>
        </w:rPr>
        <w:t xml:space="preserve"> </w:t>
      </w:r>
      <w:r>
        <w:t>dioceses</w:t>
      </w:r>
      <w:r>
        <w:rPr>
          <w:spacing w:val="-6"/>
        </w:rPr>
        <w:t xml:space="preserve"> </w:t>
      </w:r>
      <w:r>
        <w:t>total</w:t>
      </w:r>
      <w:r>
        <w:rPr>
          <w:spacing w:val="-6"/>
        </w:rPr>
        <w:t xml:space="preserve"> </w:t>
      </w:r>
      <w:r>
        <w:t>across</w:t>
      </w:r>
      <w:r>
        <w:rPr>
          <w:spacing w:val="-6"/>
        </w:rPr>
        <w:t xml:space="preserve"> </w:t>
      </w:r>
      <w:r>
        <w:t>the</w:t>
      </w:r>
      <w:r>
        <w:rPr>
          <w:spacing w:val="-6"/>
        </w:rPr>
        <w:t xml:space="preserve"> </w:t>
      </w:r>
      <w:r>
        <w:t>medium</w:t>
      </w:r>
      <w:r>
        <w:rPr>
          <w:spacing w:val="-6"/>
        </w:rPr>
        <w:t xml:space="preserve"> </w:t>
      </w:r>
      <w:r>
        <w:t>and</w:t>
      </w:r>
      <w:r>
        <w:rPr>
          <w:spacing w:val="-6"/>
        </w:rPr>
        <w:t xml:space="preserve"> </w:t>
      </w:r>
      <w:r>
        <w:t>large</w:t>
      </w:r>
      <w:r>
        <w:rPr>
          <w:spacing w:val="-6"/>
        </w:rPr>
        <w:t xml:space="preserve"> </w:t>
      </w:r>
      <w:r>
        <w:t>diocese</w:t>
      </w:r>
      <w:r>
        <w:rPr>
          <w:spacing w:val="-6"/>
        </w:rPr>
        <w:t xml:space="preserve"> </w:t>
      </w:r>
      <w:r>
        <w:t>strata:</w:t>
      </w:r>
      <w:r>
        <w:rPr>
          <w:spacing w:val="-6"/>
        </w:rPr>
        <w:t xml:space="preserve"> </w:t>
      </w:r>
      <w:r>
        <w:t>eight</w:t>
      </w:r>
      <w:r>
        <w:rPr>
          <w:spacing w:val="-6"/>
        </w:rPr>
        <w:t xml:space="preserve"> </w:t>
      </w:r>
      <w:r>
        <w:t>dioceses</w:t>
      </w:r>
      <w:r>
        <w:rPr>
          <w:spacing w:val="-6"/>
        </w:rPr>
        <w:t xml:space="preserve"> </w:t>
      </w:r>
      <w:r>
        <w:t>from</w:t>
      </w:r>
      <w:r>
        <w:rPr>
          <w:spacing w:val="-6"/>
        </w:rPr>
        <w:t xml:space="preserve"> </w:t>
      </w:r>
      <w:r>
        <w:t>the</w:t>
      </w:r>
      <w:r>
        <w:rPr>
          <w:spacing w:val="-6"/>
        </w:rPr>
        <w:t xml:space="preserve"> </w:t>
      </w:r>
      <w:r>
        <w:t>large-size</w:t>
      </w:r>
      <w:r>
        <w:rPr>
          <w:spacing w:val="-6"/>
        </w:rPr>
        <w:t xml:space="preserve"> </w:t>
      </w:r>
      <w:r>
        <w:t>diocese</w:t>
      </w:r>
      <w:r>
        <w:rPr>
          <w:spacing w:val="-6"/>
        </w:rPr>
        <w:t xml:space="preserve"> </w:t>
      </w:r>
      <w:r>
        <w:t>stratum</w:t>
      </w:r>
      <w:r>
        <w:rPr>
          <w:spacing w:val="-6"/>
        </w:rPr>
        <w:t xml:space="preserve"> </w:t>
      </w:r>
      <w:r>
        <w:t>and</w:t>
      </w:r>
      <w:r>
        <w:rPr>
          <w:spacing w:val="-6"/>
        </w:rPr>
        <w:t xml:space="preserve"> </w:t>
      </w:r>
      <w:r>
        <w:t>two</w:t>
      </w:r>
      <w:r>
        <w:rPr>
          <w:spacing w:val="-6"/>
        </w:rPr>
        <w:t xml:space="preserve"> </w:t>
      </w:r>
      <w:r>
        <w:t>from</w:t>
      </w:r>
      <w:r>
        <w:rPr>
          <w:spacing w:val="-6"/>
        </w:rPr>
        <w:t xml:space="preserve"> </w:t>
      </w:r>
      <w:r>
        <w:t>the</w:t>
      </w:r>
      <w:r>
        <w:rPr>
          <w:spacing w:val="-6"/>
        </w:rPr>
        <w:t xml:space="preserve"> </w:t>
      </w:r>
      <w:r>
        <w:t>medium-size diocese stratum.</w:t>
      </w:r>
    </w:p>
    <w:p w:rsidR="003F5784" w14:paraId="65CA93CA" w14:textId="77777777">
      <w:pPr>
        <w:pStyle w:val="BodyText"/>
        <w:spacing w:before="209" w:line="232" w:lineRule="auto"/>
        <w:ind w:left="109"/>
      </w:pPr>
      <w:r>
        <w:t>In</w:t>
      </w:r>
      <w:r>
        <w:rPr>
          <w:spacing w:val="-8"/>
        </w:rPr>
        <w:t xml:space="preserve"> </w:t>
      </w:r>
      <w:r>
        <w:t>the</w:t>
      </w:r>
      <w:r>
        <w:rPr>
          <w:spacing w:val="-8"/>
        </w:rPr>
        <w:t xml:space="preserve"> </w:t>
      </w:r>
      <w:r>
        <w:t>medium-size</w:t>
      </w:r>
      <w:r>
        <w:rPr>
          <w:spacing w:val="-8"/>
        </w:rPr>
        <w:t xml:space="preserve"> </w:t>
      </w:r>
      <w:r>
        <w:t>diocese</w:t>
      </w:r>
      <w:r>
        <w:rPr>
          <w:spacing w:val="-8"/>
        </w:rPr>
        <w:t xml:space="preserve"> </w:t>
      </w:r>
      <w:r>
        <w:t>stratum,</w:t>
      </w:r>
      <w:r>
        <w:rPr>
          <w:spacing w:val="-8"/>
        </w:rPr>
        <w:t xml:space="preserve"> </w:t>
      </w:r>
      <w:r>
        <w:t>dioceses</w:t>
      </w:r>
      <w:r>
        <w:rPr>
          <w:spacing w:val="-8"/>
        </w:rPr>
        <w:t xml:space="preserve"> </w:t>
      </w:r>
      <w:r>
        <w:t>were</w:t>
      </w:r>
      <w:r>
        <w:rPr>
          <w:spacing w:val="-8"/>
        </w:rPr>
        <w:t xml:space="preserve"> </w:t>
      </w:r>
      <w:r>
        <w:t>selected</w:t>
      </w:r>
      <w:r>
        <w:rPr>
          <w:spacing w:val="-8"/>
        </w:rPr>
        <w:t xml:space="preserve"> </w:t>
      </w:r>
      <w:r>
        <w:t>with</w:t>
      </w:r>
      <w:r>
        <w:rPr>
          <w:spacing w:val="-8"/>
        </w:rPr>
        <w:t xml:space="preserve"> </w:t>
      </w:r>
      <w:r>
        <w:t>equal</w:t>
      </w:r>
      <w:r>
        <w:rPr>
          <w:spacing w:val="-8"/>
        </w:rPr>
        <w:t xml:space="preserve"> </w:t>
      </w:r>
      <w:r>
        <w:t>probability.</w:t>
      </w:r>
      <w:r>
        <w:rPr>
          <w:spacing w:val="-8"/>
        </w:rPr>
        <w:t xml:space="preserve"> </w:t>
      </w:r>
      <w:r>
        <w:t>In</w:t>
      </w:r>
      <w:r>
        <w:rPr>
          <w:spacing w:val="-8"/>
        </w:rPr>
        <w:t xml:space="preserve"> </w:t>
      </w:r>
      <w:r>
        <w:t>the</w:t>
      </w:r>
      <w:r>
        <w:rPr>
          <w:spacing w:val="-8"/>
        </w:rPr>
        <w:t xml:space="preserve"> </w:t>
      </w:r>
      <w:r>
        <w:t>large-size</w:t>
      </w:r>
      <w:r>
        <w:rPr>
          <w:spacing w:val="-8"/>
        </w:rPr>
        <w:t xml:space="preserve"> </w:t>
      </w:r>
      <w:r>
        <w:t>diocese</w:t>
      </w:r>
      <w:r>
        <w:rPr>
          <w:spacing w:val="-8"/>
        </w:rPr>
        <w:t xml:space="preserve"> </w:t>
      </w:r>
      <w:r>
        <w:t>stratum,</w:t>
      </w:r>
      <w:r>
        <w:rPr>
          <w:spacing w:val="-8"/>
        </w:rPr>
        <w:t xml:space="preserve"> </w:t>
      </w:r>
      <w:r>
        <w:t>dioceses</w:t>
      </w:r>
      <w:r>
        <w:rPr>
          <w:spacing w:val="-8"/>
        </w:rPr>
        <w:t xml:space="preserve"> </w:t>
      </w:r>
      <w:r>
        <w:t>were</w:t>
      </w:r>
      <w:r>
        <w:rPr>
          <w:spacing w:val="-8"/>
        </w:rPr>
        <w:t xml:space="preserve"> </w:t>
      </w:r>
      <w:r>
        <w:t>sampled</w:t>
      </w:r>
      <w:r>
        <w:rPr>
          <w:spacing w:val="-8"/>
        </w:rPr>
        <w:t xml:space="preserve"> </w:t>
      </w:r>
      <w:r>
        <w:t>with</w:t>
      </w:r>
      <w:r>
        <w:rPr>
          <w:spacing w:val="-8"/>
        </w:rPr>
        <w:t xml:space="preserve"> </w:t>
      </w:r>
      <w:r>
        <w:t>probability</w:t>
      </w:r>
      <w:r>
        <w:rPr>
          <w:spacing w:val="-8"/>
        </w:rPr>
        <w:t xml:space="preserve"> </w:t>
      </w:r>
      <w:r>
        <w:t>proportional</w:t>
      </w:r>
      <w:r>
        <w:rPr>
          <w:spacing w:val="-8"/>
        </w:rPr>
        <w:t xml:space="preserve"> </w:t>
      </w:r>
      <w:r>
        <w:t>to enrollment. These probabilities were retained and used in later stages of sampling and weighting of new schools.</w:t>
      </w:r>
    </w:p>
    <w:p w:rsidR="003F5784" w14:paraId="279497E8" w14:textId="77777777">
      <w:pPr>
        <w:pStyle w:val="BodyText"/>
        <w:spacing w:before="209" w:line="232" w:lineRule="auto"/>
        <w:ind w:left="109"/>
      </w:pPr>
      <w:r>
        <w:t>NCEA</w:t>
      </w:r>
      <w:r>
        <w:rPr>
          <w:spacing w:val="-14"/>
        </w:rPr>
        <w:t xml:space="preserve"> </w:t>
      </w:r>
      <w:r>
        <w:t>was</w:t>
      </w:r>
      <w:r>
        <w:rPr>
          <w:spacing w:val="-6"/>
        </w:rPr>
        <w:t xml:space="preserve"> </w:t>
      </w:r>
      <w:r>
        <w:t>sent</w:t>
      </w:r>
      <w:r>
        <w:rPr>
          <w:spacing w:val="-5"/>
        </w:rPr>
        <w:t xml:space="preserve"> </w:t>
      </w:r>
      <w:r>
        <w:t>a</w:t>
      </w:r>
      <w:r>
        <w:rPr>
          <w:spacing w:val="-5"/>
        </w:rPr>
        <w:t xml:space="preserve"> </w:t>
      </w:r>
      <w:r>
        <w:t>listing</w:t>
      </w:r>
      <w:r>
        <w:rPr>
          <w:spacing w:val="-5"/>
        </w:rPr>
        <w:t xml:space="preserve"> </w:t>
      </w:r>
      <w:r>
        <w:t>of</w:t>
      </w:r>
      <w:r>
        <w:rPr>
          <w:spacing w:val="-5"/>
        </w:rPr>
        <w:t xml:space="preserve"> </w:t>
      </w:r>
      <w:r>
        <w:t>all</w:t>
      </w:r>
      <w:r>
        <w:rPr>
          <w:spacing w:val="-5"/>
        </w:rPr>
        <w:t xml:space="preserve"> </w:t>
      </w:r>
      <w:r>
        <w:t>the</w:t>
      </w:r>
      <w:r>
        <w:rPr>
          <w:spacing w:val="-5"/>
        </w:rPr>
        <w:t xml:space="preserve"> </w:t>
      </w:r>
      <w:r>
        <w:t>schools</w:t>
      </w:r>
      <w:r>
        <w:rPr>
          <w:spacing w:val="-5"/>
        </w:rPr>
        <w:t xml:space="preserve"> </w:t>
      </w:r>
      <w:r>
        <w:t>in</w:t>
      </w:r>
      <w:r>
        <w:rPr>
          <w:spacing w:val="-5"/>
        </w:rPr>
        <w:t xml:space="preserve"> </w:t>
      </w:r>
      <w:r>
        <w:t>the</w:t>
      </w:r>
      <w:r>
        <w:rPr>
          <w:spacing w:val="-5"/>
        </w:rPr>
        <w:t xml:space="preserve"> </w:t>
      </w:r>
      <w:r>
        <w:t>selected</w:t>
      </w:r>
      <w:r>
        <w:rPr>
          <w:spacing w:val="-5"/>
        </w:rPr>
        <w:t xml:space="preserve"> </w:t>
      </w:r>
      <w:r>
        <w:t>dioceses</w:t>
      </w:r>
      <w:r>
        <w:rPr>
          <w:spacing w:val="-5"/>
        </w:rPr>
        <w:t xml:space="preserve"> </w:t>
      </w:r>
      <w:r>
        <w:t>that</w:t>
      </w:r>
      <w:r>
        <w:rPr>
          <w:spacing w:val="-5"/>
        </w:rPr>
        <w:t xml:space="preserve"> </w:t>
      </w:r>
      <w:r>
        <w:t>appeared</w:t>
      </w:r>
      <w:r>
        <w:rPr>
          <w:spacing w:val="-5"/>
        </w:rPr>
        <w:t xml:space="preserve"> </w:t>
      </w:r>
      <w:r>
        <w:t>on</w:t>
      </w:r>
      <w:r>
        <w:rPr>
          <w:spacing w:val="-5"/>
        </w:rPr>
        <w:t xml:space="preserve"> </w:t>
      </w:r>
      <w:r>
        <w:t>the</w:t>
      </w:r>
      <w:r>
        <w:rPr>
          <w:spacing w:val="-5"/>
        </w:rPr>
        <w:t xml:space="preserve"> </w:t>
      </w:r>
      <w:r>
        <w:t>2019–2020</w:t>
      </w:r>
      <w:r>
        <w:rPr>
          <w:spacing w:val="-5"/>
        </w:rPr>
        <w:t xml:space="preserve"> </w:t>
      </w:r>
      <w:r>
        <w:t>PSS</w:t>
      </w:r>
      <w:r>
        <w:rPr>
          <w:spacing w:val="-5"/>
        </w:rPr>
        <w:t xml:space="preserve"> </w:t>
      </w:r>
      <w:r>
        <w:t>file</w:t>
      </w:r>
      <w:r>
        <w:rPr>
          <w:spacing w:val="-5"/>
        </w:rPr>
        <w:t xml:space="preserve"> </w:t>
      </w:r>
      <w:r>
        <w:t>and</w:t>
      </w:r>
      <w:r>
        <w:rPr>
          <w:spacing w:val="-5"/>
        </w:rPr>
        <w:t xml:space="preserve"> </w:t>
      </w:r>
      <w:r>
        <w:t>was</w:t>
      </w:r>
      <w:r>
        <w:rPr>
          <w:spacing w:val="-5"/>
        </w:rPr>
        <w:t xml:space="preserve"> </w:t>
      </w:r>
      <w:r>
        <w:t>asked</w:t>
      </w:r>
      <w:r>
        <w:rPr>
          <w:spacing w:val="-5"/>
        </w:rPr>
        <w:t xml:space="preserve"> </w:t>
      </w:r>
      <w:r>
        <w:t>to</w:t>
      </w:r>
      <w:r>
        <w:rPr>
          <w:spacing w:val="-5"/>
        </w:rPr>
        <w:t xml:space="preserve"> </w:t>
      </w:r>
      <w:r>
        <w:t>provide</w:t>
      </w:r>
      <w:r>
        <w:rPr>
          <w:spacing w:val="-5"/>
        </w:rPr>
        <w:t xml:space="preserve"> </w:t>
      </w:r>
      <w:r>
        <w:t>information</w:t>
      </w:r>
      <w:r>
        <w:rPr>
          <w:spacing w:val="-5"/>
        </w:rPr>
        <w:t xml:space="preserve"> </w:t>
      </w:r>
      <w:r>
        <w:t>about</w:t>
      </w:r>
      <w:r>
        <w:rPr>
          <w:spacing w:val="-5"/>
        </w:rPr>
        <w:t xml:space="preserve"> </w:t>
      </w:r>
      <w:r>
        <w:t>the</w:t>
      </w:r>
      <w:r>
        <w:rPr>
          <w:spacing w:val="-5"/>
        </w:rPr>
        <w:t xml:space="preserve"> </w:t>
      </w:r>
      <w:r>
        <w:t>new</w:t>
      </w:r>
      <w:r>
        <w:rPr>
          <w:spacing w:val="-5"/>
        </w:rPr>
        <w:t xml:space="preserve"> </w:t>
      </w:r>
      <w:r>
        <w:t>schools</w:t>
      </w:r>
      <w:r>
        <w:rPr>
          <w:spacing w:val="-5"/>
        </w:rPr>
        <w:t xml:space="preserve"> </w:t>
      </w:r>
      <w:r>
        <w:t>not included in the file and grade span changes of existing schools.</w:t>
      </w:r>
      <w:r>
        <w:rPr>
          <w:spacing w:val="-3"/>
        </w:rPr>
        <w:t xml:space="preserve"> </w:t>
      </w:r>
      <w:r>
        <w:t xml:space="preserve">These listings were used as sampling frames for selection of new Catholic schools and updates of existing </w:t>
      </w:r>
      <w:r>
        <w:rPr>
          <w:spacing w:val="-2"/>
        </w:rPr>
        <w:t>schools.</w:t>
      </w:r>
    </w:p>
    <w:p w:rsidR="003F5784" w14:paraId="0A946BDD" w14:textId="77777777">
      <w:pPr>
        <w:pStyle w:val="BodyText"/>
        <w:spacing w:before="210" w:line="232" w:lineRule="auto"/>
        <w:ind w:left="109" w:right="318"/>
      </w:pPr>
      <w:r>
        <w:t>The</w:t>
      </w:r>
      <w:r>
        <w:rPr>
          <w:spacing w:val="-6"/>
        </w:rPr>
        <w:t xml:space="preserve"> </w:t>
      </w:r>
      <w:r>
        <w:t>following</w:t>
      </w:r>
      <w:r>
        <w:rPr>
          <w:spacing w:val="-6"/>
        </w:rPr>
        <w:t xml:space="preserve"> </w:t>
      </w:r>
      <w:r>
        <w:t>table</w:t>
      </w:r>
      <w:r>
        <w:rPr>
          <w:spacing w:val="-6"/>
        </w:rPr>
        <w:t xml:space="preserve"> </w:t>
      </w:r>
      <w:r>
        <w:t>presents</w:t>
      </w:r>
      <w:r>
        <w:rPr>
          <w:spacing w:val="-6"/>
        </w:rPr>
        <w:t xml:space="preserve"> </w:t>
      </w:r>
      <w:r>
        <w:t>the</w:t>
      </w:r>
      <w:r>
        <w:rPr>
          <w:spacing w:val="-6"/>
        </w:rPr>
        <w:t xml:space="preserve"> </w:t>
      </w:r>
      <w:r>
        <w:t>number</w:t>
      </w:r>
      <w:r>
        <w:rPr>
          <w:spacing w:val="-6"/>
        </w:rPr>
        <w:t xml:space="preserve"> </w:t>
      </w:r>
      <w:r>
        <w:t>and</w:t>
      </w:r>
      <w:r>
        <w:rPr>
          <w:spacing w:val="-6"/>
        </w:rPr>
        <w:t xml:space="preserve"> </w:t>
      </w:r>
      <w:r>
        <w:t>percentage</w:t>
      </w:r>
      <w:r>
        <w:rPr>
          <w:spacing w:val="-6"/>
        </w:rPr>
        <w:t xml:space="preserve"> </w:t>
      </w:r>
      <w:r>
        <w:t>of</w:t>
      </w:r>
      <w:r>
        <w:rPr>
          <w:spacing w:val="-6"/>
        </w:rPr>
        <w:t xml:space="preserve"> </w:t>
      </w:r>
      <w:r>
        <w:t>schools</w:t>
      </w:r>
      <w:r>
        <w:rPr>
          <w:spacing w:val="-6"/>
        </w:rPr>
        <w:t xml:space="preserve"> </w:t>
      </w:r>
      <w:r>
        <w:t>and</w:t>
      </w:r>
      <w:r>
        <w:rPr>
          <w:spacing w:val="-6"/>
        </w:rPr>
        <w:t xml:space="preserve"> </w:t>
      </w:r>
      <w:r>
        <w:t>average</w:t>
      </w:r>
      <w:r>
        <w:rPr>
          <w:spacing w:val="-6"/>
        </w:rPr>
        <w:t xml:space="preserve"> </w:t>
      </w:r>
      <w:r>
        <w:t>estimated</w:t>
      </w:r>
      <w:r>
        <w:rPr>
          <w:spacing w:val="-6"/>
        </w:rPr>
        <w:t xml:space="preserve"> </w:t>
      </w:r>
      <w:r>
        <w:t>grade</w:t>
      </w:r>
      <w:r>
        <w:rPr>
          <w:spacing w:val="-6"/>
        </w:rPr>
        <w:t xml:space="preserve"> </w:t>
      </w:r>
      <w:r>
        <w:t>enrollment</w:t>
      </w:r>
      <w:r>
        <w:rPr>
          <w:spacing w:val="-6"/>
        </w:rPr>
        <w:t xml:space="preserve"> </w:t>
      </w:r>
      <w:r>
        <w:t>for</w:t>
      </w:r>
      <w:r>
        <w:rPr>
          <w:spacing w:val="-6"/>
        </w:rPr>
        <w:t xml:space="preserve"> </w:t>
      </w:r>
      <w:r>
        <w:t>the</w:t>
      </w:r>
      <w:r>
        <w:rPr>
          <w:spacing w:val="-6"/>
        </w:rPr>
        <w:t xml:space="preserve"> </w:t>
      </w:r>
      <w:r>
        <w:t>eighth-grade</w:t>
      </w:r>
      <w:r>
        <w:rPr>
          <w:spacing w:val="-6"/>
        </w:rPr>
        <w:t xml:space="preserve"> </w:t>
      </w:r>
      <w:r>
        <w:t>new-school</w:t>
      </w:r>
      <w:r>
        <w:rPr>
          <w:spacing w:val="-6"/>
        </w:rPr>
        <w:t xml:space="preserve"> </w:t>
      </w:r>
      <w:r>
        <w:t>frame</w:t>
      </w:r>
      <w:r>
        <w:rPr>
          <w:spacing w:val="-6"/>
        </w:rPr>
        <w:t xml:space="preserve"> </w:t>
      </w:r>
      <w:r>
        <w:t>by</w:t>
      </w:r>
      <w:r>
        <w:rPr>
          <w:spacing w:val="-6"/>
        </w:rPr>
        <w:t xml:space="preserve"> </w:t>
      </w:r>
      <w:r>
        <w:t>census</w:t>
      </w:r>
      <w:r>
        <w:rPr>
          <w:spacing w:val="-6"/>
        </w:rPr>
        <w:t xml:space="preserve"> </w:t>
      </w:r>
      <w:r>
        <w:t>region.</w:t>
      </w:r>
      <w:r>
        <w:rPr>
          <w:spacing w:val="-10"/>
        </w:rPr>
        <w:t xml:space="preserve"> </w:t>
      </w:r>
      <w:r>
        <w:t>There were no new schools in the Midwest region.</w:t>
      </w:r>
    </w:p>
    <w:p w:rsidR="003F5784" w14:paraId="7AFAA2D2" w14:textId="77777777">
      <w:pPr>
        <w:pStyle w:val="BodyText"/>
        <w:spacing w:before="98"/>
      </w:pPr>
    </w:p>
    <w:p w:rsidR="003F5784" w14:paraId="7C455290" w14:textId="77777777">
      <w:pPr>
        <w:pStyle w:val="Heading2"/>
        <w:spacing w:line="232" w:lineRule="auto"/>
        <w:ind w:right="588"/>
      </w:pPr>
      <w:r>
        <w:t>Eighth-grade</w:t>
      </w:r>
      <w:r>
        <w:rPr>
          <w:spacing w:val="-8"/>
        </w:rPr>
        <w:t xml:space="preserve"> </w:t>
      </w:r>
      <w:r>
        <w:t>new</w:t>
      </w:r>
      <w:r>
        <w:rPr>
          <w:spacing w:val="-8"/>
        </w:rPr>
        <w:t xml:space="preserve"> </w:t>
      </w:r>
      <w:r>
        <w:t>school</w:t>
      </w:r>
      <w:r>
        <w:rPr>
          <w:spacing w:val="-8"/>
        </w:rPr>
        <w:t xml:space="preserve"> </w:t>
      </w:r>
      <w:r>
        <w:t>frame</w:t>
      </w:r>
      <w:r>
        <w:rPr>
          <w:spacing w:val="-8"/>
        </w:rPr>
        <w:t xml:space="preserve"> </w:t>
      </w:r>
      <w:r>
        <w:t>for</w:t>
      </w:r>
      <w:r>
        <w:rPr>
          <w:spacing w:val="-11"/>
        </w:rPr>
        <w:t xml:space="preserve"> </w:t>
      </w:r>
      <w:r>
        <w:t>the</w:t>
      </w:r>
      <w:r>
        <w:rPr>
          <w:spacing w:val="-8"/>
        </w:rPr>
        <w:t xml:space="preserve"> </w:t>
      </w:r>
      <w:r>
        <w:t>private</w:t>
      </w:r>
      <w:r>
        <w:rPr>
          <w:spacing w:val="-8"/>
        </w:rPr>
        <w:t xml:space="preserve"> </w:t>
      </w:r>
      <w:r>
        <w:t>school</w:t>
      </w:r>
      <w:r>
        <w:rPr>
          <w:spacing w:val="-8"/>
        </w:rPr>
        <w:t xml:space="preserve"> </w:t>
      </w:r>
      <w:r>
        <w:t>national</w:t>
      </w:r>
      <w:r>
        <w:rPr>
          <w:spacing w:val="-8"/>
        </w:rPr>
        <w:t xml:space="preserve"> </w:t>
      </w:r>
      <w:r>
        <w:t>assessment:</w:t>
      </w:r>
      <w:r>
        <w:rPr>
          <w:spacing w:val="-8"/>
        </w:rPr>
        <w:t xml:space="preserve"> </w:t>
      </w:r>
      <w:r>
        <w:t>number</w:t>
      </w:r>
      <w:r>
        <w:rPr>
          <w:spacing w:val="-11"/>
        </w:rPr>
        <w:t xml:space="preserve"> </w:t>
      </w:r>
      <w:r>
        <w:t>and</w:t>
      </w:r>
      <w:r>
        <w:rPr>
          <w:spacing w:val="-8"/>
        </w:rPr>
        <w:t xml:space="preserve"> </w:t>
      </w:r>
      <w:r>
        <w:t>percentage</w:t>
      </w:r>
      <w:r>
        <w:rPr>
          <w:spacing w:val="-8"/>
        </w:rPr>
        <w:t xml:space="preserve"> </w:t>
      </w:r>
      <w:r>
        <w:t>of</w:t>
      </w:r>
      <w:r>
        <w:rPr>
          <w:spacing w:val="-8"/>
        </w:rPr>
        <w:t xml:space="preserve"> </w:t>
      </w:r>
      <w:r>
        <w:t>schools</w:t>
      </w:r>
      <w:r>
        <w:rPr>
          <w:spacing w:val="-8"/>
        </w:rPr>
        <w:t xml:space="preserve"> </w:t>
      </w:r>
      <w:r>
        <w:t>and</w:t>
      </w:r>
      <w:r>
        <w:rPr>
          <w:spacing w:val="-8"/>
        </w:rPr>
        <w:t xml:space="preserve"> </w:t>
      </w:r>
      <w:r>
        <w:t>estimated</w:t>
      </w:r>
      <w:r>
        <w:rPr>
          <w:spacing w:val="-8"/>
        </w:rPr>
        <w:t xml:space="preserve"> </w:t>
      </w:r>
      <w:r>
        <w:t>enrollment</w:t>
      </w:r>
      <w:r>
        <w:rPr>
          <w:spacing w:val="-8"/>
        </w:rPr>
        <w:t xml:space="preserve"> </w:t>
      </w:r>
      <w:r>
        <w:t>by</w:t>
      </w:r>
      <w:r>
        <w:rPr>
          <w:spacing w:val="-8"/>
        </w:rPr>
        <w:t xml:space="preserve"> </w:t>
      </w:r>
      <w:r>
        <w:t>census</w:t>
      </w:r>
      <w:r>
        <w:rPr>
          <w:spacing w:val="-8"/>
        </w:rPr>
        <w:t xml:space="preserve"> </w:t>
      </w:r>
      <w:r>
        <w:t xml:space="preserve">region: </w:t>
      </w:r>
      <w:r>
        <w:rPr>
          <w:spacing w:val="-4"/>
        </w:rPr>
        <w:t>2022</w:t>
      </w:r>
    </w:p>
    <w:p w:rsidR="003F5784" w14:paraId="0A7D5D52" w14:textId="77777777">
      <w:pPr>
        <w:pStyle w:val="BodyText"/>
        <w:spacing w:after="1"/>
        <w:rPr>
          <w:b/>
          <w:sz w:val="12"/>
        </w:rPr>
      </w:pPr>
    </w:p>
    <w:tbl>
      <w:tblPr>
        <w:tblW w:w="0" w:type="auto"/>
        <w:tblInd w:w="482" w:type="dxa"/>
        <w:tblLayout w:type="fixed"/>
        <w:tblCellMar>
          <w:left w:w="0" w:type="dxa"/>
          <w:right w:w="0" w:type="dxa"/>
        </w:tblCellMar>
        <w:tblLook w:val="01E0"/>
      </w:tblPr>
      <w:tblGrid>
        <w:gridCol w:w="3448"/>
        <w:gridCol w:w="3955"/>
        <w:gridCol w:w="3542"/>
        <w:gridCol w:w="3040"/>
      </w:tblGrid>
      <w:tr w14:paraId="66CA0E12" w14:textId="77777777">
        <w:tblPrEx>
          <w:tblW w:w="0" w:type="auto"/>
          <w:tblInd w:w="482" w:type="dxa"/>
          <w:tblLayout w:type="fixed"/>
          <w:tblCellMar>
            <w:left w:w="0" w:type="dxa"/>
            <w:right w:w="0" w:type="dxa"/>
          </w:tblCellMar>
          <w:tblLook w:val="01E0"/>
        </w:tblPrEx>
        <w:trPr>
          <w:trHeight w:val="267"/>
        </w:trPr>
        <w:tc>
          <w:tcPr>
            <w:tcW w:w="3448" w:type="dxa"/>
            <w:tcBorders>
              <w:top w:val="single" w:sz="18" w:space="0" w:color="800000"/>
              <w:bottom w:val="single" w:sz="18" w:space="0" w:color="800000"/>
            </w:tcBorders>
          </w:tcPr>
          <w:p w:rsidR="003F5784" w14:paraId="0671C1C6" w14:textId="77777777">
            <w:pPr>
              <w:pStyle w:val="TableParagraph"/>
              <w:spacing w:before="9" w:line="238" w:lineRule="exact"/>
              <w:ind w:left="120"/>
              <w:jc w:val="left"/>
              <w:rPr>
                <w:sz w:val="21"/>
              </w:rPr>
            </w:pPr>
            <w:r>
              <w:rPr>
                <w:sz w:val="21"/>
              </w:rPr>
              <w:t>Census</w:t>
            </w:r>
            <w:r>
              <w:rPr>
                <w:spacing w:val="-8"/>
                <w:sz w:val="21"/>
              </w:rPr>
              <w:t xml:space="preserve"> </w:t>
            </w:r>
            <w:r>
              <w:rPr>
                <w:spacing w:val="-2"/>
                <w:sz w:val="21"/>
              </w:rPr>
              <w:t>region</w:t>
            </w:r>
          </w:p>
        </w:tc>
        <w:tc>
          <w:tcPr>
            <w:tcW w:w="3955" w:type="dxa"/>
            <w:tcBorders>
              <w:top w:val="single" w:sz="18" w:space="0" w:color="800000"/>
              <w:bottom w:val="single" w:sz="18" w:space="0" w:color="800000"/>
            </w:tcBorders>
          </w:tcPr>
          <w:p w:rsidR="003F5784" w14:paraId="55237822" w14:textId="77777777">
            <w:pPr>
              <w:pStyle w:val="TableParagraph"/>
              <w:spacing w:before="9" w:line="238" w:lineRule="exact"/>
              <w:ind w:right="1153"/>
              <w:rPr>
                <w:sz w:val="21"/>
              </w:rPr>
            </w:pPr>
            <w:r>
              <w:rPr>
                <w:spacing w:val="-2"/>
                <w:sz w:val="21"/>
              </w:rPr>
              <w:t>Schools</w:t>
            </w:r>
          </w:p>
        </w:tc>
        <w:tc>
          <w:tcPr>
            <w:tcW w:w="3542" w:type="dxa"/>
            <w:tcBorders>
              <w:top w:val="single" w:sz="18" w:space="0" w:color="800000"/>
              <w:bottom w:val="single" w:sz="18" w:space="0" w:color="800000"/>
            </w:tcBorders>
          </w:tcPr>
          <w:p w:rsidR="003F5784" w14:paraId="4CC49AD3" w14:textId="77777777">
            <w:pPr>
              <w:pStyle w:val="TableParagraph"/>
              <w:spacing w:before="9" w:line="238" w:lineRule="exact"/>
              <w:ind w:right="1471"/>
              <w:rPr>
                <w:sz w:val="21"/>
              </w:rPr>
            </w:pPr>
            <w:r>
              <w:rPr>
                <w:spacing w:val="-2"/>
                <w:sz w:val="21"/>
              </w:rPr>
              <w:t>Percentage</w:t>
            </w:r>
          </w:p>
        </w:tc>
        <w:tc>
          <w:tcPr>
            <w:tcW w:w="3040" w:type="dxa"/>
            <w:tcBorders>
              <w:top w:val="single" w:sz="18" w:space="0" w:color="800000"/>
              <w:bottom w:val="single" w:sz="18" w:space="0" w:color="800000"/>
            </w:tcBorders>
          </w:tcPr>
          <w:p w:rsidR="003F5784" w14:paraId="2D746EC4" w14:textId="77777777">
            <w:pPr>
              <w:pStyle w:val="TableParagraph"/>
              <w:spacing w:before="9" w:line="238" w:lineRule="exact"/>
              <w:ind w:right="118"/>
              <w:rPr>
                <w:sz w:val="21"/>
              </w:rPr>
            </w:pPr>
            <w:r>
              <w:rPr>
                <w:sz w:val="21"/>
              </w:rPr>
              <w:t>Mean</w:t>
            </w:r>
            <w:r>
              <w:rPr>
                <w:spacing w:val="-7"/>
                <w:sz w:val="21"/>
              </w:rPr>
              <w:t xml:space="preserve"> </w:t>
            </w:r>
            <w:r>
              <w:rPr>
                <w:sz w:val="21"/>
              </w:rPr>
              <w:t>school</w:t>
            </w:r>
            <w:r>
              <w:rPr>
                <w:spacing w:val="-6"/>
                <w:sz w:val="21"/>
              </w:rPr>
              <w:t xml:space="preserve"> </w:t>
            </w:r>
            <w:r>
              <w:rPr>
                <w:spacing w:val="-4"/>
                <w:sz w:val="21"/>
              </w:rPr>
              <w:t>size</w:t>
            </w:r>
          </w:p>
        </w:tc>
      </w:tr>
      <w:tr w14:paraId="4413013F" w14:textId="77777777">
        <w:tblPrEx>
          <w:tblW w:w="0" w:type="auto"/>
          <w:tblInd w:w="482" w:type="dxa"/>
          <w:tblLayout w:type="fixed"/>
          <w:tblCellMar>
            <w:left w:w="0" w:type="dxa"/>
            <w:right w:w="0" w:type="dxa"/>
          </w:tblCellMar>
          <w:tblLook w:val="01E0"/>
        </w:tblPrEx>
        <w:trPr>
          <w:trHeight w:val="278"/>
        </w:trPr>
        <w:tc>
          <w:tcPr>
            <w:tcW w:w="3448" w:type="dxa"/>
            <w:tcBorders>
              <w:top w:val="single" w:sz="18" w:space="0" w:color="800000"/>
            </w:tcBorders>
          </w:tcPr>
          <w:p w:rsidR="003F5784" w14:paraId="708AC392" w14:textId="77777777">
            <w:pPr>
              <w:pStyle w:val="TableParagraph"/>
              <w:spacing w:before="9"/>
              <w:ind w:left="370"/>
              <w:jc w:val="left"/>
              <w:rPr>
                <w:b/>
                <w:sz w:val="21"/>
              </w:rPr>
            </w:pPr>
            <w:r>
              <w:rPr>
                <w:b/>
                <w:spacing w:val="-2"/>
                <w:sz w:val="21"/>
              </w:rPr>
              <w:t>Total</w:t>
            </w:r>
          </w:p>
        </w:tc>
        <w:tc>
          <w:tcPr>
            <w:tcW w:w="3955" w:type="dxa"/>
            <w:tcBorders>
              <w:top w:val="single" w:sz="18" w:space="0" w:color="800000"/>
            </w:tcBorders>
          </w:tcPr>
          <w:p w:rsidR="003F5784" w14:paraId="167D9B9F" w14:textId="77777777">
            <w:pPr>
              <w:pStyle w:val="TableParagraph"/>
              <w:spacing w:before="9"/>
              <w:ind w:right="1153"/>
              <w:rPr>
                <w:b/>
                <w:sz w:val="21"/>
              </w:rPr>
            </w:pPr>
            <w:r>
              <w:rPr>
                <w:b/>
                <w:spacing w:val="-5"/>
                <w:sz w:val="21"/>
              </w:rPr>
              <w:t>16</w:t>
            </w:r>
          </w:p>
        </w:tc>
        <w:tc>
          <w:tcPr>
            <w:tcW w:w="3542" w:type="dxa"/>
            <w:tcBorders>
              <w:top w:val="single" w:sz="18" w:space="0" w:color="800000"/>
            </w:tcBorders>
          </w:tcPr>
          <w:p w:rsidR="003F5784" w14:paraId="6BC7E5AC" w14:textId="77777777">
            <w:pPr>
              <w:pStyle w:val="TableParagraph"/>
              <w:spacing w:before="9"/>
              <w:ind w:right="1471"/>
              <w:rPr>
                <w:b/>
                <w:sz w:val="21"/>
              </w:rPr>
            </w:pPr>
            <w:r>
              <w:rPr>
                <w:b/>
                <w:spacing w:val="-2"/>
                <w:sz w:val="21"/>
              </w:rPr>
              <w:t>100.00</w:t>
            </w:r>
          </w:p>
        </w:tc>
        <w:tc>
          <w:tcPr>
            <w:tcW w:w="3040" w:type="dxa"/>
            <w:tcBorders>
              <w:top w:val="single" w:sz="18" w:space="0" w:color="800000"/>
            </w:tcBorders>
          </w:tcPr>
          <w:p w:rsidR="003F5784" w14:paraId="6EC2D930" w14:textId="77777777">
            <w:pPr>
              <w:pStyle w:val="TableParagraph"/>
              <w:spacing w:before="9"/>
              <w:ind w:right="118"/>
              <w:rPr>
                <w:b/>
                <w:sz w:val="21"/>
              </w:rPr>
            </w:pPr>
            <w:r>
              <w:rPr>
                <w:b/>
                <w:spacing w:val="-5"/>
                <w:sz w:val="21"/>
              </w:rPr>
              <w:t>35</w:t>
            </w:r>
          </w:p>
        </w:tc>
      </w:tr>
      <w:tr w14:paraId="2D3270CF" w14:textId="77777777">
        <w:tblPrEx>
          <w:tblW w:w="0" w:type="auto"/>
          <w:tblInd w:w="482" w:type="dxa"/>
          <w:tblLayout w:type="fixed"/>
          <w:tblCellMar>
            <w:left w:w="0" w:type="dxa"/>
            <w:right w:w="0" w:type="dxa"/>
          </w:tblCellMar>
          <w:tblLook w:val="01E0"/>
        </w:tblPrEx>
        <w:trPr>
          <w:trHeight w:val="286"/>
        </w:trPr>
        <w:tc>
          <w:tcPr>
            <w:tcW w:w="3448" w:type="dxa"/>
          </w:tcPr>
          <w:p w:rsidR="003F5784" w14:paraId="28239CA3" w14:textId="77777777">
            <w:pPr>
              <w:pStyle w:val="TableParagraph"/>
              <w:ind w:left="120"/>
              <w:jc w:val="left"/>
              <w:rPr>
                <w:sz w:val="21"/>
              </w:rPr>
            </w:pPr>
            <w:r>
              <w:rPr>
                <w:spacing w:val="-2"/>
                <w:sz w:val="21"/>
              </w:rPr>
              <w:t>Northeast</w:t>
            </w:r>
          </w:p>
        </w:tc>
        <w:tc>
          <w:tcPr>
            <w:tcW w:w="3955" w:type="dxa"/>
          </w:tcPr>
          <w:p w:rsidR="003F5784" w14:paraId="793CEF61" w14:textId="77777777">
            <w:pPr>
              <w:pStyle w:val="TableParagraph"/>
              <w:ind w:right="1153"/>
              <w:rPr>
                <w:sz w:val="21"/>
              </w:rPr>
            </w:pPr>
            <w:r>
              <w:rPr>
                <w:spacing w:val="-5"/>
                <w:sz w:val="21"/>
              </w:rPr>
              <w:t>11</w:t>
            </w:r>
          </w:p>
        </w:tc>
        <w:tc>
          <w:tcPr>
            <w:tcW w:w="3542" w:type="dxa"/>
          </w:tcPr>
          <w:p w:rsidR="003F5784" w14:paraId="31B85819" w14:textId="77777777">
            <w:pPr>
              <w:pStyle w:val="TableParagraph"/>
              <w:ind w:right="1471"/>
              <w:rPr>
                <w:sz w:val="21"/>
              </w:rPr>
            </w:pPr>
            <w:r>
              <w:rPr>
                <w:spacing w:val="-2"/>
                <w:sz w:val="21"/>
              </w:rPr>
              <w:t>68.75</w:t>
            </w:r>
          </w:p>
        </w:tc>
        <w:tc>
          <w:tcPr>
            <w:tcW w:w="3040" w:type="dxa"/>
          </w:tcPr>
          <w:p w:rsidR="003F5784" w14:paraId="0818744D" w14:textId="77777777">
            <w:pPr>
              <w:pStyle w:val="TableParagraph"/>
              <w:ind w:right="118"/>
              <w:rPr>
                <w:sz w:val="21"/>
              </w:rPr>
            </w:pPr>
            <w:r>
              <w:rPr>
                <w:spacing w:val="-5"/>
                <w:sz w:val="21"/>
              </w:rPr>
              <w:t>39</w:t>
            </w:r>
          </w:p>
        </w:tc>
      </w:tr>
      <w:tr w14:paraId="2110ACAA" w14:textId="77777777">
        <w:tblPrEx>
          <w:tblW w:w="0" w:type="auto"/>
          <w:tblInd w:w="482" w:type="dxa"/>
          <w:tblLayout w:type="fixed"/>
          <w:tblCellMar>
            <w:left w:w="0" w:type="dxa"/>
            <w:right w:w="0" w:type="dxa"/>
          </w:tblCellMar>
          <w:tblLook w:val="01E0"/>
        </w:tblPrEx>
        <w:trPr>
          <w:trHeight w:val="286"/>
        </w:trPr>
        <w:tc>
          <w:tcPr>
            <w:tcW w:w="3448" w:type="dxa"/>
          </w:tcPr>
          <w:p w:rsidR="003F5784" w14:paraId="031E8FF1" w14:textId="77777777">
            <w:pPr>
              <w:pStyle w:val="TableParagraph"/>
              <w:ind w:left="120"/>
              <w:jc w:val="left"/>
              <w:rPr>
                <w:sz w:val="21"/>
              </w:rPr>
            </w:pPr>
            <w:r>
              <w:rPr>
                <w:spacing w:val="-2"/>
                <w:sz w:val="21"/>
              </w:rPr>
              <w:t>Midwest</w:t>
            </w:r>
          </w:p>
        </w:tc>
        <w:tc>
          <w:tcPr>
            <w:tcW w:w="3955" w:type="dxa"/>
          </w:tcPr>
          <w:p w:rsidR="003F5784" w14:paraId="4684C2C1" w14:textId="77777777">
            <w:pPr>
              <w:pStyle w:val="TableParagraph"/>
              <w:ind w:right="1153"/>
              <w:rPr>
                <w:sz w:val="21"/>
              </w:rPr>
            </w:pPr>
            <w:r>
              <w:rPr>
                <w:spacing w:val="-10"/>
                <w:sz w:val="21"/>
              </w:rPr>
              <w:t>0</w:t>
            </w:r>
          </w:p>
        </w:tc>
        <w:tc>
          <w:tcPr>
            <w:tcW w:w="3542" w:type="dxa"/>
          </w:tcPr>
          <w:p w:rsidR="003F5784" w14:paraId="6E30346A" w14:textId="77777777">
            <w:pPr>
              <w:pStyle w:val="TableParagraph"/>
              <w:ind w:right="1471"/>
              <w:rPr>
                <w:sz w:val="21"/>
              </w:rPr>
            </w:pPr>
            <w:r>
              <w:rPr>
                <w:spacing w:val="-4"/>
                <w:sz w:val="21"/>
              </w:rPr>
              <w:t>0.00</w:t>
            </w:r>
          </w:p>
        </w:tc>
        <w:tc>
          <w:tcPr>
            <w:tcW w:w="3040" w:type="dxa"/>
          </w:tcPr>
          <w:p w:rsidR="003F5784" w14:paraId="4A57B03B" w14:textId="77777777">
            <w:pPr>
              <w:pStyle w:val="TableParagraph"/>
              <w:ind w:right="118"/>
              <w:rPr>
                <w:sz w:val="21"/>
              </w:rPr>
            </w:pPr>
            <w:r>
              <w:rPr>
                <w:spacing w:val="-10"/>
                <w:sz w:val="21"/>
              </w:rPr>
              <w:t>0</w:t>
            </w:r>
          </w:p>
        </w:tc>
      </w:tr>
      <w:tr w14:paraId="107C6497" w14:textId="77777777">
        <w:tblPrEx>
          <w:tblW w:w="0" w:type="auto"/>
          <w:tblInd w:w="482" w:type="dxa"/>
          <w:tblLayout w:type="fixed"/>
          <w:tblCellMar>
            <w:left w:w="0" w:type="dxa"/>
            <w:right w:w="0" w:type="dxa"/>
          </w:tblCellMar>
          <w:tblLook w:val="01E0"/>
        </w:tblPrEx>
        <w:trPr>
          <w:trHeight w:val="286"/>
        </w:trPr>
        <w:tc>
          <w:tcPr>
            <w:tcW w:w="3448" w:type="dxa"/>
          </w:tcPr>
          <w:p w:rsidR="003F5784" w14:paraId="17BCB872" w14:textId="77777777">
            <w:pPr>
              <w:pStyle w:val="TableParagraph"/>
              <w:ind w:left="120"/>
              <w:jc w:val="left"/>
              <w:rPr>
                <w:sz w:val="21"/>
              </w:rPr>
            </w:pPr>
            <w:r>
              <w:rPr>
                <w:spacing w:val="-2"/>
                <w:sz w:val="21"/>
              </w:rPr>
              <w:t>South</w:t>
            </w:r>
          </w:p>
        </w:tc>
        <w:tc>
          <w:tcPr>
            <w:tcW w:w="3955" w:type="dxa"/>
          </w:tcPr>
          <w:p w:rsidR="003F5784" w14:paraId="3DFCBA37" w14:textId="77777777">
            <w:pPr>
              <w:pStyle w:val="TableParagraph"/>
              <w:ind w:right="1153"/>
              <w:rPr>
                <w:sz w:val="21"/>
              </w:rPr>
            </w:pPr>
            <w:r>
              <w:rPr>
                <w:spacing w:val="-10"/>
                <w:sz w:val="21"/>
              </w:rPr>
              <w:t>3</w:t>
            </w:r>
          </w:p>
        </w:tc>
        <w:tc>
          <w:tcPr>
            <w:tcW w:w="3542" w:type="dxa"/>
          </w:tcPr>
          <w:p w:rsidR="003F5784" w14:paraId="2380B0CA" w14:textId="77777777">
            <w:pPr>
              <w:pStyle w:val="TableParagraph"/>
              <w:ind w:right="1471"/>
              <w:rPr>
                <w:sz w:val="21"/>
              </w:rPr>
            </w:pPr>
            <w:r>
              <w:rPr>
                <w:spacing w:val="-2"/>
                <w:sz w:val="21"/>
              </w:rPr>
              <w:t>18.75</w:t>
            </w:r>
          </w:p>
        </w:tc>
        <w:tc>
          <w:tcPr>
            <w:tcW w:w="3040" w:type="dxa"/>
          </w:tcPr>
          <w:p w:rsidR="003F5784" w14:paraId="1B0B02F0" w14:textId="77777777">
            <w:pPr>
              <w:pStyle w:val="TableParagraph"/>
              <w:ind w:right="118"/>
              <w:rPr>
                <w:sz w:val="21"/>
              </w:rPr>
            </w:pPr>
            <w:r>
              <w:rPr>
                <w:spacing w:val="-5"/>
                <w:sz w:val="21"/>
              </w:rPr>
              <w:t>15</w:t>
            </w:r>
          </w:p>
        </w:tc>
      </w:tr>
      <w:tr w14:paraId="4797BB7B" w14:textId="77777777">
        <w:tblPrEx>
          <w:tblW w:w="0" w:type="auto"/>
          <w:tblInd w:w="482" w:type="dxa"/>
          <w:tblLayout w:type="fixed"/>
          <w:tblCellMar>
            <w:left w:w="0" w:type="dxa"/>
            <w:right w:w="0" w:type="dxa"/>
          </w:tblCellMar>
          <w:tblLook w:val="01E0"/>
        </w:tblPrEx>
        <w:trPr>
          <w:trHeight w:val="288"/>
        </w:trPr>
        <w:tc>
          <w:tcPr>
            <w:tcW w:w="3448" w:type="dxa"/>
            <w:tcBorders>
              <w:bottom w:val="single" w:sz="18" w:space="0" w:color="800000"/>
            </w:tcBorders>
          </w:tcPr>
          <w:p w:rsidR="003F5784" w14:paraId="0F2BBF90" w14:textId="77777777">
            <w:pPr>
              <w:pStyle w:val="TableParagraph"/>
              <w:ind w:left="120"/>
              <w:jc w:val="left"/>
              <w:rPr>
                <w:sz w:val="21"/>
              </w:rPr>
            </w:pPr>
            <w:r>
              <w:rPr>
                <w:spacing w:val="-4"/>
                <w:sz w:val="21"/>
              </w:rPr>
              <w:t>West</w:t>
            </w:r>
          </w:p>
        </w:tc>
        <w:tc>
          <w:tcPr>
            <w:tcW w:w="3955" w:type="dxa"/>
            <w:tcBorders>
              <w:bottom w:val="single" w:sz="18" w:space="0" w:color="800000"/>
            </w:tcBorders>
          </w:tcPr>
          <w:p w:rsidR="003F5784" w14:paraId="1C60AE76" w14:textId="77777777">
            <w:pPr>
              <w:pStyle w:val="TableParagraph"/>
              <w:ind w:right="1153"/>
              <w:rPr>
                <w:sz w:val="21"/>
              </w:rPr>
            </w:pPr>
            <w:r>
              <w:rPr>
                <w:spacing w:val="-10"/>
                <w:sz w:val="21"/>
              </w:rPr>
              <w:t>2</w:t>
            </w:r>
          </w:p>
        </w:tc>
        <w:tc>
          <w:tcPr>
            <w:tcW w:w="3542" w:type="dxa"/>
            <w:tcBorders>
              <w:bottom w:val="single" w:sz="18" w:space="0" w:color="800000"/>
            </w:tcBorders>
          </w:tcPr>
          <w:p w:rsidR="003F5784" w14:paraId="4411B2B8" w14:textId="77777777">
            <w:pPr>
              <w:pStyle w:val="TableParagraph"/>
              <w:ind w:right="1471"/>
              <w:rPr>
                <w:sz w:val="21"/>
              </w:rPr>
            </w:pPr>
            <w:r>
              <w:rPr>
                <w:spacing w:val="-2"/>
                <w:sz w:val="21"/>
              </w:rPr>
              <w:t>12.50</w:t>
            </w:r>
          </w:p>
        </w:tc>
        <w:tc>
          <w:tcPr>
            <w:tcW w:w="3040" w:type="dxa"/>
            <w:tcBorders>
              <w:bottom w:val="single" w:sz="18" w:space="0" w:color="800000"/>
            </w:tcBorders>
          </w:tcPr>
          <w:p w:rsidR="003F5784" w14:paraId="76020C1D" w14:textId="77777777">
            <w:pPr>
              <w:pStyle w:val="TableParagraph"/>
              <w:ind w:right="118"/>
              <w:rPr>
                <w:sz w:val="21"/>
              </w:rPr>
            </w:pPr>
            <w:r>
              <w:rPr>
                <w:spacing w:val="-5"/>
                <w:sz w:val="21"/>
              </w:rPr>
              <w:t>39</w:t>
            </w:r>
          </w:p>
        </w:tc>
      </w:tr>
      <w:tr w14:paraId="5B28184C" w14:textId="77777777">
        <w:tblPrEx>
          <w:tblW w:w="0" w:type="auto"/>
          <w:tblInd w:w="482" w:type="dxa"/>
          <w:tblLayout w:type="fixed"/>
          <w:tblCellMar>
            <w:left w:w="0" w:type="dxa"/>
            <w:right w:w="0" w:type="dxa"/>
          </w:tblCellMar>
          <w:tblLook w:val="01E0"/>
        </w:tblPrEx>
        <w:trPr>
          <w:trHeight w:val="472"/>
        </w:trPr>
        <w:tc>
          <w:tcPr>
            <w:tcW w:w="13985" w:type="dxa"/>
            <w:gridSpan w:val="4"/>
            <w:tcBorders>
              <w:top w:val="single" w:sz="18" w:space="0" w:color="800000"/>
            </w:tcBorders>
          </w:tcPr>
          <w:p w:rsidR="003F5784" w14:paraId="23003CC5" w14:textId="77777777">
            <w:pPr>
              <w:pStyle w:val="TableParagraph"/>
              <w:spacing w:before="0" w:line="234" w:lineRule="exact"/>
              <w:ind w:left="120"/>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Progress (NAEP), 2022 National Grade 8 Civics and U.S. History</w:t>
            </w:r>
            <w:r>
              <w:rPr>
                <w:spacing w:val="-2"/>
                <w:sz w:val="21"/>
              </w:rPr>
              <w:t xml:space="preserve"> </w:t>
            </w:r>
            <w:r>
              <w:rPr>
                <w:sz w:val="21"/>
              </w:rPr>
              <w:t>Assessments.</w:t>
            </w:r>
          </w:p>
        </w:tc>
      </w:tr>
    </w:tbl>
    <w:p w:rsidR="003F5784" w14:paraId="2C39076F" w14:textId="77777777">
      <w:pPr>
        <w:spacing w:line="234" w:lineRule="exact"/>
        <w:rPr>
          <w:sz w:val="21"/>
        </w:rPr>
        <w:sectPr>
          <w:pgSz w:w="15840" w:h="12240" w:orient="landscape"/>
          <w:pgMar w:top="480" w:right="440" w:bottom="460" w:left="460" w:header="284" w:footer="275" w:gutter="0"/>
          <w:cols w:space="720"/>
        </w:sectPr>
      </w:pPr>
    </w:p>
    <w:p w:rsidR="003F5784" w14:paraId="22DEEF6A" w14:textId="77777777">
      <w:pPr>
        <w:pStyle w:val="BodyText"/>
        <w:rPr>
          <w:b/>
          <w:sz w:val="18"/>
        </w:rPr>
      </w:pPr>
    </w:p>
    <w:p w:rsidR="003F5784" w14:paraId="5D9370ED" w14:textId="77777777">
      <w:pPr>
        <w:pStyle w:val="BodyText"/>
        <w:rPr>
          <w:b/>
          <w:sz w:val="18"/>
        </w:rPr>
      </w:pPr>
    </w:p>
    <w:p w:rsidR="003F5784" w14:paraId="7C600F82" w14:textId="77777777">
      <w:pPr>
        <w:pStyle w:val="BodyText"/>
        <w:spacing w:before="118"/>
        <w:rPr>
          <w:b/>
          <w:sz w:val="18"/>
        </w:rPr>
      </w:pPr>
    </w:p>
    <w:p w:rsidR="003F5784" w14:paraId="0C3FDF26" w14:textId="77777777">
      <w:pPr>
        <w:ind w:left="1291"/>
        <w:rPr>
          <w:sz w:val="18"/>
        </w:rPr>
      </w:pPr>
      <w:hyperlink r:id="rId21">
        <w:r>
          <w:rPr>
            <w:spacing w:val="-2"/>
            <w:w w:val="105"/>
            <w:sz w:val="18"/>
          </w:rPr>
          <w:t>http://nces.ed.gov/nationsreportcard/tdw/sample_design/2022/new_school_sampling_frame_for_the_2022_eighth_grade_private_school_nat_assess_in_civics_and_us_history.aspx</w:t>
        </w:r>
      </w:hyperlink>
    </w:p>
    <w:p w:rsidR="003F5784" w14:paraId="09605E18" w14:textId="77777777">
      <w:pPr>
        <w:pStyle w:val="BodyText"/>
        <w:rPr>
          <w:sz w:val="16"/>
        </w:rPr>
      </w:pPr>
      <w:r>
        <w:rPr>
          <w:noProof/>
        </w:rPr>
        <mc:AlternateContent>
          <mc:Choice Requires="wps">
            <w:drawing>
              <wp:anchor distT="0" distB="0" distL="0" distR="0" simplePos="0" relativeHeight="251732992" behindDoc="1" locked="0" layoutInCell="1" allowOverlap="1">
                <wp:simplePos x="0" y="0"/>
                <wp:positionH relativeFrom="page">
                  <wp:posOffset>361937</wp:posOffset>
                </wp:positionH>
                <wp:positionV relativeFrom="paragraph">
                  <wp:posOffset>132641</wp:posOffset>
                </wp:positionV>
                <wp:extent cx="9339580" cy="8890"/>
                <wp:effectExtent l="0" t="0" r="0" b="0"/>
                <wp:wrapTopAndBottom/>
                <wp:docPr id="32" name="Graphic 32"/>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32" o:spid="_x0000_s1034" style="width:735.4pt;height:0.7pt;margin-top:10.45pt;margin-left:28.5pt;mso-position-horizontal-relative:page;mso-wrap-distance-bottom:0;mso-wrap-distance-left:0;mso-wrap-distance-right:0;mso-wrap-distance-top:0;mso-wrap-style:square;position:absolute;visibility:visible;v-text-anchor:top;z-index:-251582464" coordsize="9339580,8890" path="m9338970,l9335110,l8280,,,,,8280l8280,8280l9335110,8280l9338970,8280l9338970,xe" fillcolor="gray" stroked="f">
                <v:path arrowok="t"/>
                <w10:wrap type="topAndBottom"/>
              </v:shape>
            </w:pict>
          </mc:Fallback>
        </mc:AlternateContent>
      </w:r>
    </w:p>
    <w:p w:rsidR="003F5784" w14:paraId="5106756A" w14:textId="77777777">
      <w:pPr>
        <w:pStyle w:val="BodyText"/>
        <w:rPr>
          <w:sz w:val="18"/>
        </w:rPr>
      </w:pPr>
    </w:p>
    <w:p w:rsidR="003F5784" w14:paraId="7FD35445" w14:textId="77777777">
      <w:pPr>
        <w:pStyle w:val="BodyText"/>
        <w:spacing w:before="193"/>
        <w:rPr>
          <w:sz w:val="18"/>
        </w:rPr>
      </w:pPr>
    </w:p>
    <w:p w:rsidR="003F5784" w14:paraId="6954E96E" w14:textId="222F87EF">
      <w:pPr>
        <w:pStyle w:val="Heading1"/>
        <w:spacing w:line="244" w:lineRule="auto"/>
        <w:ind w:right="1133"/>
      </w:pPr>
      <w:r>
        <w:t>NAEP</w:t>
      </w:r>
      <w:r>
        <w:rPr>
          <w:spacing w:val="-16"/>
        </w:rPr>
        <w:t xml:space="preserve"> </w:t>
      </w:r>
      <w:r>
        <w:t>Technical Documentation</w:t>
      </w:r>
      <w:r w:rsidR="001149B0">
        <w:t xml:space="preserve"> </w:t>
      </w:r>
      <w:r>
        <w:t>School and Student Participation in the 2022 Eighth-Grade</w:t>
      </w:r>
      <w:r>
        <w:rPr>
          <w:spacing w:val="28"/>
        </w:rPr>
        <w:t xml:space="preserve"> </w:t>
      </w:r>
      <w:r>
        <w:t>Private</w:t>
      </w:r>
      <w:r>
        <w:rPr>
          <w:spacing w:val="28"/>
        </w:rPr>
        <w:t xml:space="preserve"> </w:t>
      </w:r>
      <w:r>
        <w:t>School</w:t>
      </w:r>
      <w:r>
        <w:rPr>
          <w:spacing w:val="28"/>
        </w:rPr>
        <w:t xml:space="preserve"> </w:t>
      </w:r>
      <w:r>
        <w:t>National</w:t>
      </w:r>
      <w:r>
        <w:rPr>
          <w:spacing w:val="-1"/>
        </w:rPr>
        <w:t xml:space="preserve"> </w:t>
      </w:r>
      <w:r>
        <w:t>Assessment</w:t>
      </w:r>
      <w:r>
        <w:rPr>
          <w:spacing w:val="28"/>
        </w:rPr>
        <w:t xml:space="preserve"> </w:t>
      </w:r>
      <w:r>
        <w:t>in</w:t>
      </w:r>
      <w:r>
        <w:rPr>
          <w:spacing w:val="28"/>
        </w:rPr>
        <w:t xml:space="preserve"> </w:t>
      </w:r>
      <w:r>
        <w:t>Civics</w:t>
      </w:r>
      <w:r>
        <w:rPr>
          <w:spacing w:val="28"/>
        </w:rPr>
        <w:t xml:space="preserve"> </w:t>
      </w:r>
      <w:r>
        <w:t>and</w:t>
      </w:r>
      <w:r>
        <w:rPr>
          <w:spacing w:val="28"/>
        </w:rPr>
        <w:t xml:space="preserve"> </w:t>
      </w:r>
      <w:r>
        <w:t>U.S.</w:t>
      </w:r>
      <w:r>
        <w:rPr>
          <w:spacing w:val="28"/>
        </w:rPr>
        <w:t xml:space="preserve"> </w:t>
      </w:r>
      <w:r>
        <w:t>History</w:t>
      </w:r>
    </w:p>
    <w:p w:rsidR="003F5784" w14:paraId="798BFF4B" w14:textId="77777777">
      <w:pPr>
        <w:pStyle w:val="BodyText"/>
        <w:spacing w:before="7"/>
        <w:rPr>
          <w:b/>
          <w:sz w:val="16"/>
        </w:rPr>
      </w:pPr>
    </w:p>
    <w:p w:rsidR="003F5784" w14:paraId="0ACDD463" w14:textId="77777777">
      <w:pPr>
        <w:rPr>
          <w:sz w:val="16"/>
        </w:rPr>
        <w:sectPr>
          <w:pgSz w:w="15840" w:h="12240" w:orient="landscape"/>
          <w:pgMar w:top="480" w:right="440" w:bottom="460" w:left="460" w:header="284" w:footer="275" w:gutter="0"/>
          <w:cols w:space="720"/>
        </w:sectPr>
      </w:pPr>
    </w:p>
    <w:p w:rsidR="003F5784" w14:paraId="1559A26C" w14:textId="77777777">
      <w:pPr>
        <w:pStyle w:val="BodyText"/>
        <w:spacing w:before="96" w:line="232" w:lineRule="auto"/>
        <w:ind w:left="109" w:right="4"/>
      </w:pPr>
      <w:r>
        <w:t>The</w:t>
      </w:r>
      <w:r>
        <w:rPr>
          <w:spacing w:val="-7"/>
        </w:rPr>
        <w:t xml:space="preserve"> </w:t>
      </w:r>
      <w:r>
        <w:t>tables</w:t>
      </w:r>
      <w:r>
        <w:rPr>
          <w:spacing w:val="-7"/>
        </w:rPr>
        <w:t xml:space="preserve"> </w:t>
      </w:r>
      <w:r>
        <w:t>linked</w:t>
      </w:r>
      <w:r>
        <w:rPr>
          <w:spacing w:val="-7"/>
        </w:rPr>
        <w:t xml:space="preserve"> </w:t>
      </w:r>
      <w:r>
        <w:t>to</w:t>
      </w:r>
      <w:r>
        <w:rPr>
          <w:spacing w:val="-7"/>
        </w:rPr>
        <w:t xml:space="preserve"> </w:t>
      </w:r>
      <w:r>
        <w:t>the</w:t>
      </w:r>
      <w:r>
        <w:rPr>
          <w:spacing w:val="-7"/>
        </w:rPr>
        <w:t xml:space="preserve"> </w:t>
      </w:r>
      <w:r>
        <w:t>right</w:t>
      </w:r>
      <w:r>
        <w:rPr>
          <w:spacing w:val="-7"/>
        </w:rPr>
        <w:t xml:space="preserve"> </w:t>
      </w:r>
      <w:r>
        <w:t>present</w:t>
      </w:r>
      <w:r>
        <w:rPr>
          <w:spacing w:val="-7"/>
        </w:rPr>
        <w:t xml:space="preserve"> </w:t>
      </w:r>
      <w:r>
        <w:t>weighted</w:t>
      </w:r>
      <w:r>
        <w:rPr>
          <w:spacing w:val="-7"/>
        </w:rPr>
        <w:t xml:space="preserve"> </w:t>
      </w:r>
      <w:r>
        <w:t>school</w:t>
      </w:r>
      <w:r>
        <w:rPr>
          <w:spacing w:val="-7"/>
        </w:rPr>
        <w:t xml:space="preserve"> </w:t>
      </w:r>
      <w:r>
        <w:t>and</w:t>
      </w:r>
      <w:r>
        <w:rPr>
          <w:spacing w:val="-7"/>
        </w:rPr>
        <w:t xml:space="preserve"> </w:t>
      </w:r>
      <w:r>
        <w:t>student</w:t>
      </w:r>
      <w:r>
        <w:rPr>
          <w:spacing w:val="-7"/>
        </w:rPr>
        <w:t xml:space="preserve"> </w:t>
      </w:r>
      <w:r>
        <w:t>participation</w:t>
      </w:r>
      <w:r>
        <w:rPr>
          <w:spacing w:val="-7"/>
        </w:rPr>
        <w:t xml:space="preserve"> </w:t>
      </w:r>
      <w:r>
        <w:t>rates,</w:t>
      </w:r>
      <w:r>
        <w:rPr>
          <w:spacing w:val="-7"/>
        </w:rPr>
        <w:t xml:space="preserve"> </w:t>
      </w:r>
      <w:r>
        <w:t>student</w:t>
      </w:r>
      <w:r>
        <w:rPr>
          <w:spacing w:val="-7"/>
        </w:rPr>
        <w:t xml:space="preserve"> </w:t>
      </w:r>
      <w:r>
        <w:t>exclusion</w:t>
      </w:r>
      <w:r>
        <w:rPr>
          <w:spacing w:val="-7"/>
        </w:rPr>
        <w:t xml:space="preserve"> </w:t>
      </w:r>
      <w:r>
        <w:t>rates,</w:t>
      </w:r>
      <w:r>
        <w:rPr>
          <w:spacing w:val="-7"/>
        </w:rPr>
        <w:t xml:space="preserve"> </w:t>
      </w:r>
      <w:r>
        <w:t>and</w:t>
      </w:r>
      <w:r>
        <w:rPr>
          <w:spacing w:val="-7"/>
        </w:rPr>
        <w:t xml:space="preserve"> </w:t>
      </w:r>
      <w:r>
        <w:t>student</w:t>
      </w:r>
      <w:r>
        <w:rPr>
          <w:spacing w:val="-7"/>
        </w:rPr>
        <w:t xml:space="preserve"> </w:t>
      </w:r>
      <w:r>
        <w:t>full-time</w:t>
      </w:r>
      <w:r>
        <w:rPr>
          <w:spacing w:val="-7"/>
        </w:rPr>
        <w:t xml:space="preserve"> </w:t>
      </w:r>
      <w:r>
        <w:t>remote rates for the eighth-grade private school national civics and U.S. history samples.</w:t>
      </w:r>
    </w:p>
    <w:p w:rsidR="003F5784" w14:paraId="2AB8D583" w14:textId="77777777">
      <w:pPr>
        <w:pStyle w:val="BodyText"/>
        <w:spacing w:before="209" w:line="232" w:lineRule="auto"/>
        <w:ind w:left="109" w:right="4"/>
      </w:pPr>
      <w:r>
        <w:t>A</w:t>
      </w:r>
      <w:r>
        <w:rPr>
          <w:spacing w:val="-14"/>
        </w:rPr>
        <w:t xml:space="preserve"> </w:t>
      </w:r>
      <w:r>
        <w:t>weighted</w:t>
      </w:r>
      <w:r>
        <w:rPr>
          <w:spacing w:val="-9"/>
        </w:rPr>
        <w:t xml:space="preserve"> </w:t>
      </w:r>
      <w:r>
        <w:t>school</w:t>
      </w:r>
      <w:r>
        <w:rPr>
          <w:spacing w:val="-7"/>
        </w:rPr>
        <w:t xml:space="preserve"> </w:t>
      </w:r>
      <w:r>
        <w:t>participation</w:t>
      </w:r>
      <w:r>
        <w:rPr>
          <w:spacing w:val="-7"/>
        </w:rPr>
        <w:t xml:space="preserve"> </w:t>
      </w:r>
      <w:r>
        <w:t>rate</w:t>
      </w:r>
      <w:r>
        <w:rPr>
          <w:spacing w:val="-7"/>
        </w:rPr>
        <w:t xml:space="preserve"> </w:t>
      </w:r>
      <w:r>
        <w:t>indicates</w:t>
      </w:r>
      <w:r>
        <w:rPr>
          <w:spacing w:val="-7"/>
        </w:rPr>
        <w:t xml:space="preserve"> </w:t>
      </w:r>
      <w:r>
        <w:t>the</w:t>
      </w:r>
      <w:r>
        <w:rPr>
          <w:spacing w:val="-7"/>
        </w:rPr>
        <w:t xml:space="preserve"> </w:t>
      </w:r>
      <w:r>
        <w:t>percentage</w:t>
      </w:r>
      <w:r>
        <w:rPr>
          <w:spacing w:val="-7"/>
        </w:rPr>
        <w:t xml:space="preserve"> </w:t>
      </w:r>
      <w:r>
        <w:t>of</w:t>
      </w:r>
      <w:r>
        <w:rPr>
          <w:spacing w:val="-7"/>
        </w:rPr>
        <w:t xml:space="preserve"> </w:t>
      </w:r>
      <w:r>
        <w:t>the</w:t>
      </w:r>
      <w:r>
        <w:rPr>
          <w:spacing w:val="-7"/>
        </w:rPr>
        <w:t xml:space="preserve"> </w:t>
      </w:r>
      <w:r>
        <w:t>student</w:t>
      </w:r>
      <w:r>
        <w:rPr>
          <w:spacing w:val="-7"/>
        </w:rPr>
        <w:t xml:space="preserve"> </w:t>
      </w:r>
      <w:r>
        <w:t>population</w:t>
      </w:r>
      <w:r>
        <w:rPr>
          <w:spacing w:val="-7"/>
        </w:rPr>
        <w:t xml:space="preserve"> </w:t>
      </w:r>
      <w:r>
        <w:t>that</w:t>
      </w:r>
      <w:r>
        <w:rPr>
          <w:spacing w:val="-7"/>
        </w:rPr>
        <w:t xml:space="preserve"> </w:t>
      </w:r>
      <w:r>
        <w:t>is</w:t>
      </w:r>
      <w:r>
        <w:rPr>
          <w:spacing w:val="-7"/>
        </w:rPr>
        <w:t xml:space="preserve"> </w:t>
      </w:r>
      <w:r>
        <w:t>directly</w:t>
      </w:r>
      <w:r>
        <w:rPr>
          <w:spacing w:val="-7"/>
        </w:rPr>
        <w:t xml:space="preserve"> </w:t>
      </w:r>
      <w:r>
        <w:t>represented</w:t>
      </w:r>
      <w:r>
        <w:rPr>
          <w:spacing w:val="-7"/>
        </w:rPr>
        <w:t xml:space="preserve"> </w:t>
      </w:r>
      <w:r>
        <w:t>by</w:t>
      </w:r>
      <w:r>
        <w:rPr>
          <w:spacing w:val="-7"/>
        </w:rPr>
        <w:t xml:space="preserve"> </w:t>
      </w:r>
      <w:r>
        <w:t>the</w:t>
      </w:r>
      <w:r>
        <w:rPr>
          <w:spacing w:val="-7"/>
        </w:rPr>
        <w:t xml:space="preserve"> </w:t>
      </w:r>
      <w:r>
        <w:t>participating school sample.</w:t>
      </w:r>
    </w:p>
    <w:p w:rsidR="003F5784" w14:paraId="0FE3D8FC" w14:textId="77777777">
      <w:pPr>
        <w:pStyle w:val="BodyText"/>
        <w:spacing w:before="209" w:line="232" w:lineRule="auto"/>
        <w:ind w:left="109" w:right="4"/>
      </w:pPr>
      <w:r>
        <w:t>A</w:t>
      </w:r>
      <w:r>
        <w:rPr>
          <w:spacing w:val="-14"/>
        </w:rPr>
        <w:t xml:space="preserve"> </w:t>
      </w:r>
      <w:r>
        <w:t>weighted</w:t>
      </w:r>
      <w:r>
        <w:rPr>
          <w:spacing w:val="-9"/>
        </w:rPr>
        <w:t xml:space="preserve"> </w:t>
      </w:r>
      <w:r>
        <w:t>student</w:t>
      </w:r>
      <w:r>
        <w:rPr>
          <w:spacing w:val="-7"/>
        </w:rPr>
        <w:t xml:space="preserve"> </w:t>
      </w:r>
      <w:r>
        <w:t>participation</w:t>
      </w:r>
      <w:r>
        <w:rPr>
          <w:spacing w:val="-7"/>
        </w:rPr>
        <w:t xml:space="preserve"> </w:t>
      </w:r>
      <w:r>
        <w:t>rate</w:t>
      </w:r>
      <w:r>
        <w:rPr>
          <w:spacing w:val="-7"/>
        </w:rPr>
        <w:t xml:space="preserve"> </w:t>
      </w:r>
      <w:r>
        <w:t>indicates</w:t>
      </w:r>
      <w:r>
        <w:rPr>
          <w:spacing w:val="-7"/>
        </w:rPr>
        <w:t xml:space="preserve"> </w:t>
      </w:r>
      <w:r>
        <w:t>the</w:t>
      </w:r>
      <w:r>
        <w:rPr>
          <w:spacing w:val="-7"/>
        </w:rPr>
        <w:t xml:space="preserve"> </w:t>
      </w:r>
      <w:r>
        <w:t>percentage</w:t>
      </w:r>
      <w:r>
        <w:rPr>
          <w:spacing w:val="-7"/>
        </w:rPr>
        <w:t xml:space="preserve"> </w:t>
      </w:r>
      <w:r>
        <w:t>of</w:t>
      </w:r>
      <w:r>
        <w:rPr>
          <w:spacing w:val="-7"/>
        </w:rPr>
        <w:t xml:space="preserve"> </w:t>
      </w:r>
      <w:r>
        <w:t>the</w:t>
      </w:r>
      <w:r>
        <w:rPr>
          <w:spacing w:val="-7"/>
        </w:rPr>
        <w:t xml:space="preserve"> </w:t>
      </w:r>
      <w:r>
        <w:t>student</w:t>
      </w:r>
      <w:r>
        <w:rPr>
          <w:spacing w:val="-7"/>
        </w:rPr>
        <w:t xml:space="preserve"> </w:t>
      </w:r>
      <w:r>
        <w:t>population</w:t>
      </w:r>
      <w:r>
        <w:rPr>
          <w:spacing w:val="-7"/>
        </w:rPr>
        <w:t xml:space="preserve"> </w:t>
      </w:r>
      <w:r>
        <w:t>that</w:t>
      </w:r>
      <w:r>
        <w:rPr>
          <w:spacing w:val="-7"/>
        </w:rPr>
        <w:t xml:space="preserve"> </w:t>
      </w:r>
      <w:r>
        <w:t>is</w:t>
      </w:r>
      <w:r>
        <w:rPr>
          <w:spacing w:val="-7"/>
        </w:rPr>
        <w:t xml:space="preserve"> </w:t>
      </w:r>
      <w:r>
        <w:t>directly</w:t>
      </w:r>
      <w:r>
        <w:rPr>
          <w:spacing w:val="-7"/>
        </w:rPr>
        <w:t xml:space="preserve"> </w:t>
      </w:r>
      <w:r>
        <w:t>represented</w:t>
      </w:r>
      <w:r>
        <w:rPr>
          <w:spacing w:val="-7"/>
        </w:rPr>
        <w:t xml:space="preserve"> </w:t>
      </w:r>
      <w:r>
        <w:t>by</w:t>
      </w:r>
      <w:r>
        <w:rPr>
          <w:spacing w:val="-7"/>
        </w:rPr>
        <w:t xml:space="preserve"> </w:t>
      </w:r>
      <w:r>
        <w:t>the</w:t>
      </w:r>
      <w:r>
        <w:rPr>
          <w:spacing w:val="-7"/>
        </w:rPr>
        <w:t xml:space="preserve"> </w:t>
      </w:r>
      <w:r>
        <w:t>assessed</w:t>
      </w:r>
      <w:r>
        <w:rPr>
          <w:spacing w:val="-7"/>
        </w:rPr>
        <w:t xml:space="preserve"> </w:t>
      </w:r>
      <w:r>
        <w:t>students from within participating schools.</w:t>
      </w:r>
    </w:p>
    <w:p w:rsidR="003F5784" w14:paraId="3307FF95" w14:textId="77777777">
      <w:pPr>
        <w:pStyle w:val="BodyText"/>
        <w:spacing w:before="210" w:line="232" w:lineRule="auto"/>
        <w:ind w:left="109" w:right="4"/>
      </w:pPr>
      <w:r>
        <w:t>A</w:t>
      </w:r>
      <w:r>
        <w:rPr>
          <w:spacing w:val="-14"/>
        </w:rPr>
        <w:t xml:space="preserve"> </w:t>
      </w:r>
      <w:r>
        <w:t>weighted</w:t>
      </w:r>
      <w:r>
        <w:rPr>
          <w:spacing w:val="-8"/>
        </w:rPr>
        <w:t xml:space="preserve"> </w:t>
      </w:r>
      <w:r>
        <w:t>exclusion</w:t>
      </w:r>
      <w:r>
        <w:rPr>
          <w:spacing w:val="-6"/>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population</w:t>
      </w:r>
      <w:r>
        <w:rPr>
          <w:spacing w:val="-6"/>
        </w:rPr>
        <w:t xml:space="preserve"> </w:t>
      </w:r>
      <w:r>
        <w:t>that</w:t>
      </w:r>
      <w:r>
        <w:rPr>
          <w:spacing w:val="-6"/>
        </w:rPr>
        <w:t xml:space="preserve"> </w:t>
      </w:r>
      <w:r>
        <w:t>would</w:t>
      </w:r>
      <w:r>
        <w:rPr>
          <w:spacing w:val="-6"/>
        </w:rPr>
        <w:t xml:space="preserve"> </w:t>
      </w:r>
      <w:r>
        <w:t>be</w:t>
      </w:r>
      <w:r>
        <w:rPr>
          <w:spacing w:val="-6"/>
        </w:rPr>
        <w:t xml:space="preserve"> </w:t>
      </w:r>
      <w:r>
        <w:t>excluded</w:t>
      </w:r>
      <w:r>
        <w:rPr>
          <w:spacing w:val="-6"/>
        </w:rPr>
        <w:t xml:space="preserve"> </w:t>
      </w:r>
      <w:r>
        <w:t>from</w:t>
      </w:r>
      <w:r>
        <w:rPr>
          <w:spacing w:val="-6"/>
        </w:rPr>
        <w:t xml:space="preserve"> </w:t>
      </w:r>
      <w:r>
        <w:t>the</w:t>
      </w:r>
      <w:r>
        <w:rPr>
          <w:spacing w:val="-6"/>
        </w:rPr>
        <w:t xml:space="preserve"> </w:t>
      </w:r>
      <w:r>
        <w:t>assessment.</w:t>
      </w:r>
      <w:r>
        <w:rPr>
          <w:spacing w:val="-6"/>
        </w:rPr>
        <w:t xml:space="preserve"> </w:t>
      </w:r>
      <w:r>
        <w:t>Students</w:t>
      </w:r>
      <w:r>
        <w:rPr>
          <w:spacing w:val="-6"/>
        </w:rPr>
        <w:t xml:space="preserve"> </w:t>
      </w:r>
      <w:r>
        <w:t>are generally excluded from a NAEP</w:t>
      </w:r>
      <w:r>
        <w:rPr>
          <w:spacing w:val="-6"/>
        </w:rPr>
        <w:t xml:space="preserve"> </w:t>
      </w:r>
      <w:r>
        <w:t>assessment if they have a disability or limited English language proficiency that prevents them from taking the assessment altogether or the accommodations they require to take the assessment were unavailable.</w:t>
      </w:r>
    </w:p>
    <w:p w:rsidR="003F5784" w14:paraId="54E4CE45" w14:textId="77777777">
      <w:pPr>
        <w:pStyle w:val="BodyText"/>
        <w:spacing w:before="203"/>
        <w:ind w:left="109"/>
      </w:pPr>
      <w:r>
        <w:t>A</w:t>
      </w:r>
      <w:r>
        <w:rPr>
          <w:spacing w:val="-14"/>
        </w:rPr>
        <w:t xml:space="preserve"> </w:t>
      </w:r>
      <w:r>
        <w:t>weighted</w:t>
      </w:r>
      <w:r>
        <w:rPr>
          <w:spacing w:val="-9"/>
        </w:rPr>
        <w:t xml:space="preserve"> </w:t>
      </w:r>
      <w:r>
        <w:t>full-time</w:t>
      </w:r>
      <w:r>
        <w:rPr>
          <w:spacing w:val="-6"/>
        </w:rPr>
        <w:t xml:space="preserve"> </w:t>
      </w:r>
      <w:r>
        <w:t>remote</w:t>
      </w:r>
      <w:r>
        <w:rPr>
          <w:spacing w:val="-6"/>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6"/>
        </w:rPr>
        <w:t xml:space="preserve"> </w:t>
      </w:r>
      <w:r>
        <w:t>of</w:t>
      </w:r>
      <w:r>
        <w:rPr>
          <w:spacing w:val="-7"/>
        </w:rPr>
        <w:t xml:space="preserve"> </w:t>
      </w:r>
      <w:r>
        <w:t>the</w:t>
      </w:r>
      <w:r>
        <w:rPr>
          <w:spacing w:val="-6"/>
        </w:rPr>
        <w:t xml:space="preserve"> </w:t>
      </w:r>
      <w:r>
        <w:t>student</w:t>
      </w:r>
      <w:r>
        <w:rPr>
          <w:spacing w:val="-6"/>
        </w:rPr>
        <w:t xml:space="preserve"> </w:t>
      </w:r>
      <w:r>
        <w:t>population</w:t>
      </w:r>
      <w:r>
        <w:rPr>
          <w:spacing w:val="-6"/>
        </w:rPr>
        <w:t xml:space="preserve"> </w:t>
      </w:r>
      <w:r>
        <w:t>that</w:t>
      </w:r>
      <w:r>
        <w:rPr>
          <w:spacing w:val="-6"/>
        </w:rPr>
        <w:t xml:space="preserve"> </w:t>
      </w:r>
      <w:r>
        <w:t>is</w:t>
      </w:r>
      <w:r>
        <w:rPr>
          <w:spacing w:val="-6"/>
        </w:rPr>
        <w:t xml:space="preserve"> </w:t>
      </w:r>
      <w:r>
        <w:t>full-time</w:t>
      </w:r>
      <w:r>
        <w:rPr>
          <w:spacing w:val="-6"/>
        </w:rPr>
        <w:t xml:space="preserve"> </w:t>
      </w:r>
      <w:r>
        <w:rPr>
          <w:spacing w:val="-2"/>
        </w:rPr>
        <w:t>remote.</w:t>
      </w:r>
    </w:p>
    <w:p w:rsidR="003F5784" w14:paraId="68CA106B" w14:textId="77777777">
      <w:pPr>
        <w:pStyle w:val="BodyText"/>
        <w:spacing w:before="96" w:line="232" w:lineRule="auto"/>
        <w:ind w:left="109" w:right="468"/>
        <w:jc w:val="both"/>
      </w:pPr>
      <w:r>
        <w:br w:type="column"/>
      </w:r>
      <w:r>
        <w:rPr>
          <w:spacing w:val="-2"/>
        </w:rPr>
        <w:t>Weighted</w:t>
      </w:r>
      <w:r>
        <w:rPr>
          <w:spacing w:val="-12"/>
        </w:rPr>
        <w:t xml:space="preserve"> </w:t>
      </w:r>
      <w:r>
        <w:rPr>
          <w:spacing w:val="-2"/>
        </w:rPr>
        <w:t>School</w:t>
      </w:r>
      <w:r>
        <w:rPr>
          <w:spacing w:val="-11"/>
        </w:rPr>
        <w:t xml:space="preserve"> </w:t>
      </w:r>
      <w:r>
        <w:rPr>
          <w:spacing w:val="-2"/>
        </w:rPr>
        <w:t>Response Rates</w:t>
      </w:r>
    </w:p>
    <w:p w:rsidR="003F5784" w14:paraId="2AE4D388" w14:textId="77777777">
      <w:pPr>
        <w:pStyle w:val="BodyText"/>
        <w:spacing w:before="209" w:line="232" w:lineRule="auto"/>
        <w:ind w:left="109" w:right="411"/>
        <w:jc w:val="both"/>
      </w:pPr>
      <w:r>
        <w:rPr>
          <w:spacing w:val="-2"/>
        </w:rPr>
        <w:t>Weighted</w:t>
      </w:r>
      <w:r>
        <w:rPr>
          <w:spacing w:val="-12"/>
        </w:rPr>
        <w:t xml:space="preserve"> </w:t>
      </w:r>
      <w:r>
        <w:rPr>
          <w:spacing w:val="-2"/>
        </w:rPr>
        <w:t>Student</w:t>
      </w:r>
      <w:r>
        <w:rPr>
          <w:spacing w:val="-11"/>
        </w:rPr>
        <w:t xml:space="preserve"> </w:t>
      </w:r>
      <w:r>
        <w:rPr>
          <w:spacing w:val="-2"/>
        </w:rPr>
        <w:t xml:space="preserve">Response </w:t>
      </w:r>
      <w:r>
        <w:t>and</w:t>
      </w:r>
      <w:r>
        <w:rPr>
          <w:spacing w:val="-7"/>
        </w:rPr>
        <w:t xml:space="preserve"> </w:t>
      </w:r>
      <w:r>
        <w:t>Exclusion</w:t>
      </w:r>
      <w:r>
        <w:rPr>
          <w:spacing w:val="-7"/>
        </w:rPr>
        <w:t xml:space="preserve"> </w:t>
      </w:r>
      <w:r>
        <w:t>Rates</w:t>
      </w:r>
      <w:r>
        <w:rPr>
          <w:spacing w:val="-7"/>
        </w:rPr>
        <w:t xml:space="preserve"> </w:t>
      </w:r>
      <w:r>
        <w:t>for</w:t>
      </w:r>
      <w:r>
        <w:rPr>
          <w:spacing w:val="-7"/>
        </w:rPr>
        <w:t xml:space="preserve"> </w:t>
      </w:r>
      <w:r>
        <w:t>the Civics</w:t>
      </w:r>
      <w:r>
        <w:rPr>
          <w:spacing w:val="-12"/>
        </w:rPr>
        <w:t xml:space="preserve"> </w:t>
      </w:r>
      <w:r>
        <w:t>Assessment</w:t>
      </w:r>
    </w:p>
    <w:p w:rsidR="003F5784" w14:paraId="2793C925" w14:textId="77777777">
      <w:pPr>
        <w:pStyle w:val="BodyText"/>
        <w:spacing w:before="210" w:line="232" w:lineRule="auto"/>
        <w:ind w:left="109" w:right="411"/>
        <w:jc w:val="both"/>
      </w:pPr>
      <w:r>
        <w:rPr>
          <w:spacing w:val="-2"/>
        </w:rPr>
        <w:t>Weighted</w:t>
      </w:r>
      <w:r>
        <w:rPr>
          <w:spacing w:val="-12"/>
        </w:rPr>
        <w:t xml:space="preserve"> </w:t>
      </w:r>
      <w:r>
        <w:rPr>
          <w:spacing w:val="-2"/>
        </w:rPr>
        <w:t>Student</w:t>
      </w:r>
      <w:r>
        <w:rPr>
          <w:spacing w:val="-11"/>
        </w:rPr>
        <w:t xml:space="preserve"> </w:t>
      </w:r>
      <w:r>
        <w:rPr>
          <w:spacing w:val="-2"/>
        </w:rPr>
        <w:t xml:space="preserve">Response </w:t>
      </w:r>
      <w:r>
        <w:t>and</w:t>
      </w:r>
      <w:r>
        <w:rPr>
          <w:spacing w:val="-6"/>
        </w:rPr>
        <w:t xml:space="preserve"> </w:t>
      </w:r>
      <w:r>
        <w:t>Exclusion</w:t>
      </w:r>
      <w:r>
        <w:rPr>
          <w:spacing w:val="-6"/>
        </w:rPr>
        <w:t xml:space="preserve"> </w:t>
      </w:r>
      <w:r>
        <w:t>Rates</w:t>
      </w:r>
      <w:r>
        <w:rPr>
          <w:spacing w:val="-5"/>
        </w:rPr>
        <w:t xml:space="preserve"> </w:t>
      </w:r>
      <w:r>
        <w:t>for</w:t>
      </w:r>
      <w:r>
        <w:rPr>
          <w:spacing w:val="-6"/>
        </w:rPr>
        <w:t xml:space="preserve"> </w:t>
      </w:r>
      <w:r>
        <w:rPr>
          <w:spacing w:val="-5"/>
        </w:rPr>
        <w:t>the</w:t>
      </w:r>
    </w:p>
    <w:p w:rsidR="003F5784" w14:paraId="6B9867E1" w14:textId="77777777">
      <w:pPr>
        <w:pStyle w:val="BodyText"/>
        <w:spacing w:line="236" w:lineRule="exact"/>
        <w:ind w:left="109"/>
      </w:pPr>
      <w:r>
        <w:t>U.S.</w:t>
      </w:r>
      <w:r>
        <w:rPr>
          <w:spacing w:val="-10"/>
        </w:rPr>
        <w:t xml:space="preserve"> </w:t>
      </w:r>
      <w:r>
        <w:t>History</w:t>
      </w:r>
      <w:r>
        <w:rPr>
          <w:spacing w:val="-14"/>
        </w:rPr>
        <w:t xml:space="preserve"> </w:t>
      </w:r>
      <w:r>
        <w:rPr>
          <w:spacing w:val="-2"/>
        </w:rPr>
        <w:t>Assessment</w:t>
      </w:r>
    </w:p>
    <w:p w:rsidR="003F5784" w14:paraId="50D621F7" w14:textId="77777777">
      <w:pPr>
        <w:spacing w:line="236" w:lineRule="exact"/>
        <w:sectPr>
          <w:type w:val="continuous"/>
          <w:pgSz w:w="15840" w:h="12240" w:orient="landscape"/>
          <w:pgMar w:top="480" w:right="440" w:bottom="460" w:left="460" w:header="284" w:footer="275" w:gutter="0"/>
          <w:cols w:num="2" w:space="720" w:equalWidth="0">
            <w:col w:w="11738" w:space="345"/>
            <w:col w:w="2857"/>
          </w:cols>
        </w:sectPr>
      </w:pPr>
    </w:p>
    <w:p w:rsidR="003F5784" w14:paraId="41E1EB0E" w14:textId="77777777">
      <w:pPr>
        <w:pStyle w:val="BodyText"/>
        <w:spacing w:before="208" w:line="232" w:lineRule="auto"/>
        <w:ind w:left="109" w:right="117"/>
      </w:pPr>
      <w:r>
        <w:t>Weighted</w:t>
      </w:r>
      <w:r>
        <w:rPr>
          <w:spacing w:val="-7"/>
        </w:rPr>
        <w:t xml:space="preserve"> </w:t>
      </w:r>
      <w:r>
        <w:t>school</w:t>
      </w:r>
      <w:r>
        <w:rPr>
          <w:spacing w:val="-7"/>
        </w:rPr>
        <w:t xml:space="preserve"> </w:t>
      </w:r>
      <w:r>
        <w:t>participation</w:t>
      </w:r>
      <w:r>
        <w:rPr>
          <w:spacing w:val="-7"/>
        </w:rPr>
        <w:t xml:space="preserve"> </w:t>
      </w:r>
      <w:r>
        <w:t>rates</w:t>
      </w:r>
      <w:r>
        <w:rPr>
          <w:spacing w:val="-7"/>
        </w:rPr>
        <w:t xml:space="preserve"> </w:t>
      </w:r>
      <w:r>
        <w:t>are</w:t>
      </w:r>
      <w:r>
        <w:rPr>
          <w:spacing w:val="-7"/>
        </w:rPr>
        <w:t xml:space="preserve"> </w:t>
      </w:r>
      <w:r>
        <w:t>calculated</w:t>
      </w:r>
      <w:r>
        <w:rPr>
          <w:spacing w:val="-7"/>
        </w:rPr>
        <w:t xml:space="preserve"> </w:t>
      </w:r>
      <w:r>
        <w:t>by</w:t>
      </w:r>
      <w:r>
        <w:rPr>
          <w:spacing w:val="-7"/>
        </w:rPr>
        <w:t xml:space="preserve"> </w:t>
      </w:r>
      <w:r>
        <w:t>dividing</w:t>
      </w:r>
      <w:r>
        <w:rPr>
          <w:spacing w:val="-7"/>
        </w:rPr>
        <w:t xml:space="preserve"> </w:t>
      </w:r>
      <w:r>
        <w:t>the</w:t>
      </w:r>
      <w:r>
        <w:rPr>
          <w:spacing w:val="-7"/>
        </w:rPr>
        <w:t xml:space="preserve"> </w:t>
      </w:r>
      <w:r>
        <w:t>sum</w:t>
      </w:r>
      <w:r>
        <w:rPr>
          <w:spacing w:val="-7"/>
        </w:rPr>
        <w:t xml:space="preserve"> </w:t>
      </w:r>
      <w:r>
        <w:t>of</w:t>
      </w:r>
      <w:r>
        <w:rPr>
          <w:spacing w:val="-7"/>
        </w:rPr>
        <w:t xml:space="preserve"> </w:t>
      </w:r>
      <w:r>
        <w:t>school</w:t>
      </w:r>
      <w:r>
        <w:rPr>
          <w:spacing w:val="-7"/>
        </w:rPr>
        <w:t xml:space="preserve"> </w:t>
      </w:r>
      <w:r>
        <w:t>base</w:t>
      </w:r>
      <w:r>
        <w:rPr>
          <w:spacing w:val="-7"/>
        </w:rPr>
        <w:t xml:space="preserve"> </w:t>
      </w:r>
      <w:r>
        <w:t>weights,</w:t>
      </w:r>
      <w:r>
        <w:rPr>
          <w:spacing w:val="-7"/>
        </w:rPr>
        <w:t xml:space="preserve"> </w:t>
      </w:r>
      <w:r>
        <w:t>weighted</w:t>
      </w:r>
      <w:r>
        <w:rPr>
          <w:spacing w:val="-7"/>
        </w:rPr>
        <w:t xml:space="preserve"> </w:t>
      </w:r>
      <w:r>
        <w:t>by</w:t>
      </w:r>
      <w:r>
        <w:rPr>
          <w:spacing w:val="-7"/>
        </w:rPr>
        <w:t xml:space="preserve"> </w:t>
      </w:r>
      <w:r>
        <w:t>student</w:t>
      </w:r>
      <w:r>
        <w:rPr>
          <w:spacing w:val="-7"/>
        </w:rPr>
        <w:t xml:space="preserve"> </w:t>
      </w:r>
      <w:r>
        <w:t>enrollment</w:t>
      </w:r>
      <w:r>
        <w:rPr>
          <w:spacing w:val="-7"/>
        </w:rPr>
        <w:t xml:space="preserve"> </w:t>
      </w:r>
      <w:r>
        <w:t>of</w:t>
      </w:r>
      <w:r>
        <w:rPr>
          <w:spacing w:val="-7"/>
        </w:rPr>
        <w:t xml:space="preserve"> </w:t>
      </w:r>
      <w:r>
        <w:t>the</w:t>
      </w:r>
      <w:r>
        <w:rPr>
          <w:spacing w:val="-7"/>
        </w:rPr>
        <w:t xml:space="preserve"> </w:t>
      </w:r>
      <w:r>
        <w:t>targeted</w:t>
      </w:r>
      <w:r>
        <w:rPr>
          <w:spacing w:val="-7"/>
        </w:rPr>
        <w:t xml:space="preserve"> </w:t>
      </w:r>
      <w:r>
        <w:t>grade,</w:t>
      </w:r>
      <w:r>
        <w:rPr>
          <w:spacing w:val="-7"/>
        </w:rPr>
        <w:t xml:space="preserve"> </w:t>
      </w:r>
      <w:r>
        <w:t>for</w:t>
      </w:r>
      <w:r>
        <w:rPr>
          <w:spacing w:val="-7"/>
        </w:rPr>
        <w:t xml:space="preserve"> </w:t>
      </w:r>
      <w:r>
        <w:t>all</w:t>
      </w:r>
      <w:r>
        <w:rPr>
          <w:spacing w:val="-7"/>
        </w:rPr>
        <w:t xml:space="preserve"> </w:t>
      </w:r>
      <w:r>
        <w:t>participating</w:t>
      </w:r>
      <w:r>
        <w:rPr>
          <w:spacing w:val="-7"/>
        </w:rPr>
        <w:t xml:space="preserve"> </w:t>
      </w:r>
      <w:r>
        <w:t>schools by</w:t>
      </w:r>
      <w:r>
        <w:rPr>
          <w:spacing w:val="-6"/>
        </w:rPr>
        <w:t xml:space="preserve"> </w:t>
      </w:r>
      <w:r>
        <w:t>the</w:t>
      </w:r>
      <w:r>
        <w:rPr>
          <w:spacing w:val="-6"/>
        </w:rPr>
        <w:t xml:space="preserve"> </w:t>
      </w:r>
      <w:r>
        <w:t>sum</w:t>
      </w:r>
      <w:r>
        <w:rPr>
          <w:spacing w:val="-6"/>
        </w:rPr>
        <w:t xml:space="preserve"> </w:t>
      </w:r>
      <w:r>
        <w:t>of</w:t>
      </w:r>
      <w:r>
        <w:rPr>
          <w:spacing w:val="-6"/>
        </w:rPr>
        <w:t xml:space="preserve"> </w:t>
      </w:r>
      <w:r>
        <w:t>the</w:t>
      </w:r>
      <w:r>
        <w:rPr>
          <w:spacing w:val="-6"/>
        </w:rPr>
        <w:t xml:space="preserve"> </w:t>
      </w:r>
      <w:r>
        <w:t>base</w:t>
      </w:r>
      <w:r>
        <w:rPr>
          <w:spacing w:val="-6"/>
        </w:rPr>
        <w:t xml:space="preserve"> </w:t>
      </w:r>
      <w:r>
        <w:t>weights,</w:t>
      </w:r>
      <w:r>
        <w:rPr>
          <w:spacing w:val="-6"/>
        </w:rPr>
        <w:t xml:space="preserve"> </w:t>
      </w:r>
      <w:r>
        <w:t>weighted</w:t>
      </w:r>
      <w:r>
        <w:rPr>
          <w:spacing w:val="-6"/>
        </w:rPr>
        <w:t xml:space="preserve"> </w:t>
      </w:r>
      <w:r>
        <w:t>by</w:t>
      </w:r>
      <w:r>
        <w:rPr>
          <w:spacing w:val="-6"/>
        </w:rPr>
        <w:t xml:space="preserve"> </w:t>
      </w:r>
      <w:r>
        <w:t>student</w:t>
      </w:r>
      <w:r>
        <w:rPr>
          <w:spacing w:val="-6"/>
        </w:rPr>
        <w:t xml:space="preserve"> </w:t>
      </w:r>
      <w:r>
        <w:t>enrollment</w:t>
      </w:r>
      <w:r>
        <w:rPr>
          <w:spacing w:val="-6"/>
        </w:rPr>
        <w:t xml:space="preserve"> </w:t>
      </w:r>
      <w:r>
        <w:t>of</w:t>
      </w:r>
      <w:r>
        <w:rPr>
          <w:spacing w:val="-6"/>
        </w:rPr>
        <w:t xml:space="preserve"> </w:t>
      </w:r>
      <w:r>
        <w:t>the</w:t>
      </w:r>
      <w:r>
        <w:rPr>
          <w:spacing w:val="-6"/>
        </w:rPr>
        <w:t xml:space="preserve"> </w:t>
      </w:r>
      <w:r>
        <w:t>target</w:t>
      </w:r>
      <w:r>
        <w:rPr>
          <w:spacing w:val="-6"/>
        </w:rPr>
        <w:t xml:space="preserve"> </w:t>
      </w:r>
      <w:r>
        <w:t>grade,</w:t>
      </w:r>
      <w:r>
        <w:rPr>
          <w:spacing w:val="-6"/>
        </w:rPr>
        <w:t xml:space="preserve"> </w:t>
      </w:r>
      <w:r>
        <w:t>for</w:t>
      </w:r>
      <w:r>
        <w:rPr>
          <w:spacing w:val="-6"/>
        </w:rPr>
        <w:t xml:space="preserve"> </w:t>
      </w:r>
      <w:r>
        <w:t>all</w:t>
      </w:r>
      <w:r>
        <w:rPr>
          <w:spacing w:val="-6"/>
        </w:rPr>
        <w:t xml:space="preserve"> </w:t>
      </w:r>
      <w:r>
        <w:t>eligible</w:t>
      </w:r>
      <w:r>
        <w:rPr>
          <w:spacing w:val="-6"/>
        </w:rPr>
        <w:t xml:space="preserve"> </w:t>
      </w:r>
      <w:r>
        <w:t>schools.</w:t>
      </w:r>
      <w:r>
        <w:rPr>
          <w:spacing w:val="-6"/>
        </w:rPr>
        <w:t xml:space="preserve"> </w:t>
      </w:r>
      <w:r>
        <w:t>Eligible</w:t>
      </w:r>
      <w:r>
        <w:rPr>
          <w:spacing w:val="-6"/>
        </w:rPr>
        <w:t xml:space="preserve"> </w:t>
      </w:r>
      <w:r>
        <w:t>schools</w:t>
      </w:r>
      <w:r>
        <w:rPr>
          <w:spacing w:val="-6"/>
        </w:rPr>
        <w:t xml:space="preserve"> </w:t>
      </w:r>
      <w:r>
        <w:t>are</w:t>
      </w:r>
      <w:r>
        <w:rPr>
          <w:spacing w:val="-6"/>
        </w:rPr>
        <w:t xml:space="preserve"> </w:t>
      </w:r>
      <w:r>
        <w:t>all</w:t>
      </w:r>
      <w:r>
        <w:rPr>
          <w:spacing w:val="-6"/>
        </w:rPr>
        <w:t xml:space="preserve"> </w:t>
      </w:r>
      <w:r>
        <w:t>sampled</w:t>
      </w:r>
      <w:r>
        <w:rPr>
          <w:spacing w:val="-6"/>
        </w:rPr>
        <w:t xml:space="preserve"> </w:t>
      </w:r>
      <w:r>
        <w:t>schools</w:t>
      </w:r>
      <w:r>
        <w:rPr>
          <w:spacing w:val="-6"/>
        </w:rPr>
        <w:t xml:space="preserve"> </w:t>
      </w:r>
      <w:r>
        <w:t>except</w:t>
      </w:r>
      <w:r>
        <w:rPr>
          <w:spacing w:val="-6"/>
        </w:rPr>
        <w:t xml:space="preserve"> </w:t>
      </w:r>
      <w:r>
        <w:t>those</w:t>
      </w:r>
      <w:r>
        <w:rPr>
          <w:spacing w:val="-6"/>
        </w:rPr>
        <w:t xml:space="preserve"> </w:t>
      </w:r>
      <w:r>
        <w:t>considered</w:t>
      </w:r>
      <w:r>
        <w:rPr>
          <w:spacing w:val="-6"/>
        </w:rPr>
        <w:t xml:space="preserve"> </w:t>
      </w:r>
      <w:r>
        <w:t>out- of-scope.</w:t>
      </w:r>
      <w:r>
        <w:rPr>
          <w:spacing w:val="-3"/>
        </w:rPr>
        <w:t xml:space="preserve"> </w:t>
      </w:r>
      <w:r>
        <w:t>The base weight is assigned to all sampled schools and is the inverse of the probability of selection.</w:t>
      </w:r>
      <w:r>
        <w:rPr>
          <w:spacing w:val="-3"/>
        </w:rPr>
        <w:t xml:space="preserve"> </w:t>
      </w:r>
      <w:r>
        <w:t>The weighted school participation rates in these tables reflect participation prior to substitution.</w:t>
      </w:r>
      <w:r>
        <w:rPr>
          <w:spacing w:val="-3"/>
        </w:rPr>
        <w:t xml:space="preserve"> </w:t>
      </w:r>
      <w:r>
        <w:t>That is, participating substitute schools that took the place of refusing originally sampled schools are not included in the numerator.</w:t>
      </w:r>
    </w:p>
    <w:p w:rsidR="003F5784" w14:paraId="13034843" w14:textId="77777777">
      <w:pPr>
        <w:pStyle w:val="BodyText"/>
        <w:spacing w:before="210" w:line="232" w:lineRule="auto"/>
        <w:ind w:left="109" w:right="179"/>
      </w:pPr>
      <w:r>
        <w:t>Weighted student participation rates are calculated by dividing the sum of the student base weights for all assessed students by the sum of the student base weights for all assessable students. (See below for the response dispositions of NAEP</w:t>
      </w:r>
      <w:r>
        <w:rPr>
          <w:spacing w:val="-7"/>
        </w:rPr>
        <w:t xml:space="preserve"> </w:t>
      </w:r>
      <w:r>
        <w:t>sampled students.) Students deemed assessable are those who were assessed or absent.</w:t>
      </w:r>
      <w:r>
        <w:rPr>
          <w:spacing w:val="-3"/>
        </w:rPr>
        <w:t xml:space="preserve"> </w:t>
      </w:r>
      <w:r>
        <w:t>They do not include</w:t>
      </w:r>
      <w:r>
        <w:rPr>
          <w:spacing w:val="-6"/>
        </w:rPr>
        <w:t xml:space="preserve"> </w:t>
      </w:r>
      <w:r>
        <w:t>students</w:t>
      </w:r>
      <w:r>
        <w:rPr>
          <w:spacing w:val="-6"/>
        </w:rPr>
        <w:t xml:space="preserve"> </w:t>
      </w:r>
      <w:r>
        <w:t>that</w:t>
      </w:r>
      <w:r>
        <w:rPr>
          <w:spacing w:val="-6"/>
        </w:rPr>
        <w:t xml:space="preserve"> </w:t>
      </w:r>
      <w:r>
        <w:t>were</w:t>
      </w:r>
      <w:r>
        <w:rPr>
          <w:spacing w:val="-6"/>
        </w:rPr>
        <w:t xml:space="preserve"> </w:t>
      </w:r>
      <w:r>
        <w:t>not</w:t>
      </w:r>
      <w:r>
        <w:rPr>
          <w:spacing w:val="-6"/>
        </w:rPr>
        <w:t xml:space="preserve"> </w:t>
      </w:r>
      <w:r>
        <w:t>eligible</w:t>
      </w:r>
      <w:r>
        <w:rPr>
          <w:spacing w:val="-6"/>
        </w:rPr>
        <w:t xml:space="preserve"> </w:t>
      </w:r>
      <w:r>
        <w:t>(primarily</w:t>
      </w:r>
      <w:r>
        <w:rPr>
          <w:spacing w:val="-6"/>
        </w:rPr>
        <w:t xml:space="preserve"> </w:t>
      </w:r>
      <w:r>
        <w:t>made</w:t>
      </w:r>
      <w:r>
        <w:rPr>
          <w:spacing w:val="-6"/>
        </w:rPr>
        <w:t xml:space="preserve"> </w:t>
      </w:r>
      <w:r>
        <w:t>up</w:t>
      </w:r>
      <w:r>
        <w:rPr>
          <w:spacing w:val="-6"/>
        </w:rPr>
        <w:t xml:space="preserve"> </w:t>
      </w:r>
      <w:r>
        <w:t>of</w:t>
      </w:r>
      <w:r>
        <w:rPr>
          <w:spacing w:val="-6"/>
        </w:rPr>
        <w:t xml:space="preserve"> </w:t>
      </w:r>
      <w:r>
        <w:t>withdrawn</w:t>
      </w:r>
      <w:r>
        <w:rPr>
          <w:spacing w:val="-6"/>
        </w:rPr>
        <w:t xml:space="preserve"> </w:t>
      </w:r>
      <w:r>
        <w:t>or</w:t>
      </w:r>
      <w:r>
        <w:rPr>
          <w:spacing w:val="-6"/>
        </w:rPr>
        <w:t xml:space="preserve"> </w:t>
      </w:r>
      <w:r>
        <w:t>graduated</w:t>
      </w:r>
      <w:r>
        <w:rPr>
          <w:spacing w:val="-6"/>
        </w:rPr>
        <w:t xml:space="preserve"> </w:t>
      </w:r>
      <w:r>
        <w:t>students)</w:t>
      </w:r>
      <w:r>
        <w:rPr>
          <w:spacing w:val="-6"/>
        </w:rPr>
        <w:t xml:space="preserve"> </w:t>
      </w:r>
      <w:r>
        <w:t>or</w:t>
      </w:r>
      <w:r>
        <w:rPr>
          <w:spacing w:val="-6"/>
        </w:rPr>
        <w:t xml:space="preserve"> </w:t>
      </w:r>
      <w:r>
        <w:t>students</w:t>
      </w:r>
      <w:r>
        <w:rPr>
          <w:spacing w:val="-6"/>
        </w:rPr>
        <w:t xml:space="preserve"> </w:t>
      </w:r>
      <w:r>
        <w:t>with</w:t>
      </w:r>
      <w:r>
        <w:rPr>
          <w:spacing w:val="-6"/>
        </w:rPr>
        <w:t xml:space="preserve"> </w:t>
      </w:r>
      <w:r>
        <w:t>disabilities</w:t>
      </w:r>
      <w:r>
        <w:rPr>
          <w:spacing w:val="-6"/>
        </w:rPr>
        <w:t xml:space="preserve"> </w:t>
      </w:r>
      <w:r>
        <w:t>(SD)</w:t>
      </w:r>
      <w:r>
        <w:rPr>
          <w:spacing w:val="-6"/>
        </w:rPr>
        <w:t xml:space="preserve"> </w:t>
      </w:r>
      <w:r>
        <w:t>or</w:t>
      </w:r>
      <w:r>
        <w:rPr>
          <w:spacing w:val="-6"/>
        </w:rPr>
        <w:t xml:space="preserve"> </w:t>
      </w:r>
      <w:r>
        <w:t>English</w:t>
      </w:r>
      <w:r>
        <w:rPr>
          <w:spacing w:val="-6"/>
        </w:rPr>
        <w:t xml:space="preserve"> </w:t>
      </w:r>
      <w:r>
        <w:t>learners</w:t>
      </w:r>
      <w:r>
        <w:rPr>
          <w:spacing w:val="-6"/>
        </w:rPr>
        <w:t xml:space="preserve"> </w:t>
      </w:r>
      <w:r>
        <w:t>(EL)</w:t>
      </w:r>
      <w:r>
        <w:rPr>
          <w:spacing w:val="-6"/>
        </w:rPr>
        <w:t xml:space="preserve"> </w:t>
      </w:r>
      <w:r>
        <w:t>who</w:t>
      </w:r>
      <w:r>
        <w:rPr>
          <w:spacing w:val="-6"/>
        </w:rPr>
        <w:t xml:space="preserve"> </w:t>
      </w:r>
      <w:r>
        <w:t>were</w:t>
      </w:r>
      <w:r>
        <w:rPr>
          <w:spacing w:val="-6"/>
        </w:rPr>
        <w:t xml:space="preserve"> </w:t>
      </w:r>
      <w:r>
        <w:t>excluded from the assessment.</w:t>
      </w:r>
    </w:p>
    <w:p w:rsidR="003F5784" w14:paraId="7FF7F373" w14:textId="77777777">
      <w:pPr>
        <w:pStyle w:val="BodyText"/>
        <w:spacing w:before="210" w:line="232" w:lineRule="auto"/>
        <w:ind w:left="109"/>
      </w:pPr>
      <w:r>
        <w:t>Weighted</w:t>
      </w:r>
      <w:r>
        <w:rPr>
          <w:spacing w:val="-7"/>
        </w:rPr>
        <w:t xml:space="preserve"> </w:t>
      </w:r>
      <w:r>
        <w:t>student</w:t>
      </w:r>
      <w:r>
        <w:rPr>
          <w:spacing w:val="-7"/>
        </w:rPr>
        <w:t xml:space="preserve"> </w:t>
      </w:r>
      <w:r>
        <w:t>exclusion</w:t>
      </w:r>
      <w:r>
        <w:rPr>
          <w:spacing w:val="-7"/>
        </w:rPr>
        <w:t xml:space="preserve"> </w:t>
      </w:r>
      <w:r>
        <w:t>rates</w:t>
      </w:r>
      <w:r>
        <w:rPr>
          <w:spacing w:val="-7"/>
        </w:rPr>
        <w:t xml:space="preserve"> </w:t>
      </w:r>
      <w:r>
        <w:t>are</w:t>
      </w:r>
      <w:r>
        <w:rPr>
          <w:spacing w:val="-7"/>
        </w:rPr>
        <w:t xml:space="preserve"> </w:t>
      </w:r>
      <w:r>
        <w:t>calculated</w:t>
      </w:r>
      <w:r>
        <w:rPr>
          <w:spacing w:val="-7"/>
        </w:rPr>
        <w:t xml:space="preserve"> </w:t>
      </w:r>
      <w:r>
        <w:t>by</w:t>
      </w:r>
      <w:r>
        <w:rPr>
          <w:spacing w:val="-7"/>
        </w:rPr>
        <w:t xml:space="preserve"> </w:t>
      </w:r>
      <w:r>
        <w:t>dividing</w:t>
      </w:r>
      <w:r>
        <w:rPr>
          <w:spacing w:val="-7"/>
        </w:rPr>
        <w:t xml:space="preserve"> </w:t>
      </w:r>
      <w:r>
        <w:t>the</w:t>
      </w:r>
      <w:r>
        <w:rPr>
          <w:spacing w:val="-7"/>
        </w:rPr>
        <w:t xml:space="preserve"> </w:t>
      </w:r>
      <w:r>
        <w:t>sum</w:t>
      </w:r>
      <w:r>
        <w:rPr>
          <w:spacing w:val="-7"/>
        </w:rPr>
        <w:t xml:space="preserve"> </w:t>
      </w:r>
      <w:r>
        <w:t>of</w:t>
      </w:r>
      <w:r>
        <w:rPr>
          <w:spacing w:val="-7"/>
        </w:rPr>
        <w:t xml:space="preserve"> </w:t>
      </w:r>
      <w:r>
        <w:t>the</w:t>
      </w:r>
      <w:r>
        <w:rPr>
          <w:spacing w:val="-7"/>
        </w:rPr>
        <w:t xml:space="preserve"> </w:t>
      </w:r>
      <w:r>
        <w:t>school</w:t>
      </w:r>
      <w:r>
        <w:rPr>
          <w:spacing w:val="-7"/>
        </w:rPr>
        <w:t xml:space="preserve"> </w:t>
      </w:r>
      <w:r>
        <w:t>nonresponse-adjusted</w:t>
      </w:r>
      <w:r>
        <w:rPr>
          <w:spacing w:val="-7"/>
        </w:rPr>
        <w:t xml:space="preserve"> </w:t>
      </w:r>
      <w:r>
        <w:t>student</w:t>
      </w:r>
      <w:r>
        <w:rPr>
          <w:spacing w:val="-7"/>
        </w:rPr>
        <w:t xml:space="preserve"> </w:t>
      </w:r>
      <w:r>
        <w:t>base</w:t>
      </w:r>
      <w:r>
        <w:rPr>
          <w:spacing w:val="-7"/>
        </w:rPr>
        <w:t xml:space="preserve"> </w:t>
      </w:r>
      <w:r>
        <w:t>weights</w:t>
      </w:r>
      <w:r>
        <w:rPr>
          <w:spacing w:val="-7"/>
        </w:rPr>
        <w:t xml:space="preserve"> </w:t>
      </w:r>
      <w:r>
        <w:t>for</w:t>
      </w:r>
      <w:r>
        <w:rPr>
          <w:spacing w:val="-7"/>
        </w:rPr>
        <w:t xml:space="preserve"> </w:t>
      </w:r>
      <w:r>
        <w:t>all</w:t>
      </w:r>
      <w:r>
        <w:rPr>
          <w:spacing w:val="-7"/>
        </w:rPr>
        <w:t xml:space="preserve"> </w:t>
      </w:r>
      <w:r>
        <w:t>excluded</w:t>
      </w:r>
      <w:r>
        <w:rPr>
          <w:spacing w:val="-7"/>
        </w:rPr>
        <w:t xml:space="preserve"> </w:t>
      </w:r>
      <w:r>
        <w:t>students</w:t>
      </w:r>
      <w:r>
        <w:rPr>
          <w:spacing w:val="-7"/>
        </w:rPr>
        <w:t xml:space="preserve"> </w:t>
      </w:r>
      <w:r>
        <w:t>by</w:t>
      </w:r>
      <w:r>
        <w:rPr>
          <w:spacing w:val="-7"/>
        </w:rPr>
        <w:t xml:space="preserve"> </w:t>
      </w:r>
      <w:r>
        <w:t>the</w:t>
      </w:r>
      <w:r>
        <w:rPr>
          <w:spacing w:val="-7"/>
        </w:rPr>
        <w:t xml:space="preserve"> </w:t>
      </w:r>
      <w:r>
        <w:t>sum</w:t>
      </w:r>
      <w:r>
        <w:rPr>
          <w:spacing w:val="-7"/>
        </w:rPr>
        <w:t xml:space="preserve"> </w:t>
      </w:r>
      <w:r>
        <w:t>for</w:t>
      </w:r>
      <w:r>
        <w:rPr>
          <w:spacing w:val="-7"/>
        </w:rPr>
        <w:t xml:space="preserve"> </w:t>
      </w:r>
      <w:r>
        <w:t>all assessable and excluded students.</w:t>
      </w:r>
    </w:p>
    <w:p w:rsidR="003F5784" w14:paraId="66437D0F" w14:textId="77777777">
      <w:pPr>
        <w:pStyle w:val="BodyText"/>
        <w:spacing w:before="209" w:line="232" w:lineRule="auto"/>
        <w:ind w:left="109"/>
      </w:pPr>
      <w:r>
        <w:t>Weighted</w:t>
      </w:r>
      <w:r>
        <w:rPr>
          <w:spacing w:val="-7"/>
        </w:rPr>
        <w:t xml:space="preserve"> </w:t>
      </w:r>
      <w:r>
        <w:t>student</w:t>
      </w:r>
      <w:r>
        <w:rPr>
          <w:spacing w:val="-7"/>
        </w:rPr>
        <w:t xml:space="preserve"> </w:t>
      </w:r>
      <w:r>
        <w:t>full-time</w:t>
      </w:r>
      <w:r>
        <w:rPr>
          <w:spacing w:val="-7"/>
        </w:rPr>
        <w:t xml:space="preserve"> </w:t>
      </w:r>
      <w:r>
        <w:t>remote</w:t>
      </w:r>
      <w:r>
        <w:rPr>
          <w:spacing w:val="-7"/>
        </w:rPr>
        <w:t xml:space="preserve"> </w:t>
      </w:r>
      <w:r>
        <w:t>rates</w:t>
      </w:r>
      <w:r>
        <w:rPr>
          <w:spacing w:val="-7"/>
        </w:rPr>
        <w:t xml:space="preserve"> </w:t>
      </w:r>
      <w:r>
        <w:t>are</w:t>
      </w:r>
      <w:r>
        <w:rPr>
          <w:spacing w:val="-7"/>
        </w:rPr>
        <w:t xml:space="preserve"> </w:t>
      </w:r>
      <w:r>
        <w:t>calculated</w:t>
      </w:r>
      <w:r>
        <w:rPr>
          <w:spacing w:val="-7"/>
        </w:rPr>
        <w:t xml:space="preserve"> </w:t>
      </w:r>
      <w:r>
        <w:t>by</w:t>
      </w:r>
      <w:r>
        <w:rPr>
          <w:spacing w:val="-7"/>
        </w:rPr>
        <w:t xml:space="preserve"> </w:t>
      </w:r>
      <w:r>
        <w:t>dividing</w:t>
      </w:r>
      <w:r>
        <w:rPr>
          <w:spacing w:val="-7"/>
        </w:rPr>
        <w:t xml:space="preserve"> </w:t>
      </w:r>
      <w:r>
        <w:t>the</w:t>
      </w:r>
      <w:r>
        <w:rPr>
          <w:spacing w:val="-7"/>
        </w:rPr>
        <w:t xml:space="preserve"> </w:t>
      </w:r>
      <w:r>
        <w:t>sum</w:t>
      </w:r>
      <w:r>
        <w:rPr>
          <w:spacing w:val="-7"/>
        </w:rPr>
        <w:t xml:space="preserve"> </w:t>
      </w:r>
      <w:r>
        <w:t>of</w:t>
      </w:r>
      <w:r>
        <w:rPr>
          <w:spacing w:val="-7"/>
        </w:rPr>
        <w:t xml:space="preserve"> </w:t>
      </w:r>
      <w:r>
        <w:t>the</w:t>
      </w:r>
      <w:r>
        <w:rPr>
          <w:spacing w:val="-7"/>
        </w:rPr>
        <w:t xml:space="preserve"> </w:t>
      </w:r>
      <w:r>
        <w:t>school</w:t>
      </w:r>
      <w:r>
        <w:rPr>
          <w:spacing w:val="-7"/>
        </w:rPr>
        <w:t xml:space="preserve"> </w:t>
      </w:r>
      <w:r>
        <w:t>nonresponse-adjusted</w:t>
      </w:r>
      <w:r>
        <w:rPr>
          <w:spacing w:val="-7"/>
        </w:rPr>
        <w:t xml:space="preserve"> </w:t>
      </w:r>
      <w:r>
        <w:t>student</w:t>
      </w:r>
      <w:r>
        <w:rPr>
          <w:spacing w:val="-7"/>
        </w:rPr>
        <w:t xml:space="preserve"> </w:t>
      </w:r>
      <w:r>
        <w:t>base</w:t>
      </w:r>
      <w:r>
        <w:rPr>
          <w:spacing w:val="-7"/>
        </w:rPr>
        <w:t xml:space="preserve"> </w:t>
      </w:r>
      <w:r>
        <w:t>weights</w:t>
      </w:r>
      <w:r>
        <w:rPr>
          <w:spacing w:val="-7"/>
        </w:rPr>
        <w:t xml:space="preserve"> </w:t>
      </w:r>
      <w:r>
        <w:t>for</w:t>
      </w:r>
      <w:r>
        <w:rPr>
          <w:spacing w:val="-7"/>
        </w:rPr>
        <w:t xml:space="preserve"> </w:t>
      </w:r>
      <w:r>
        <w:t>all</w:t>
      </w:r>
      <w:r>
        <w:rPr>
          <w:spacing w:val="-7"/>
        </w:rPr>
        <w:t xml:space="preserve"> </w:t>
      </w:r>
      <w:r>
        <w:t>full-time</w:t>
      </w:r>
      <w:r>
        <w:rPr>
          <w:spacing w:val="-7"/>
        </w:rPr>
        <w:t xml:space="preserve"> </w:t>
      </w:r>
      <w:r>
        <w:t>remote</w:t>
      </w:r>
      <w:r>
        <w:rPr>
          <w:spacing w:val="-7"/>
        </w:rPr>
        <w:t xml:space="preserve"> </w:t>
      </w:r>
      <w:r>
        <w:t>students</w:t>
      </w:r>
      <w:r>
        <w:rPr>
          <w:spacing w:val="-7"/>
        </w:rPr>
        <w:t xml:space="preserve"> </w:t>
      </w:r>
      <w:r>
        <w:t>by</w:t>
      </w:r>
      <w:r>
        <w:rPr>
          <w:spacing w:val="-7"/>
        </w:rPr>
        <w:t xml:space="preserve"> </w:t>
      </w:r>
      <w:r>
        <w:t>the</w:t>
      </w:r>
      <w:r>
        <w:rPr>
          <w:spacing w:val="-7"/>
        </w:rPr>
        <w:t xml:space="preserve"> </w:t>
      </w:r>
      <w:r>
        <w:t>sum for all assessable, excluded, and full-time remote students.</w:t>
      </w:r>
    </w:p>
    <w:p w:rsidR="003F5784" w14:paraId="46219312" w14:textId="77777777">
      <w:pPr>
        <w:pStyle w:val="BodyText"/>
        <w:spacing w:before="5" w:line="440" w:lineRule="atLeast"/>
        <w:ind w:left="422" w:right="6183" w:hanging="313"/>
      </w:pPr>
      <w:r>
        <w:t>Every</w:t>
      </w:r>
      <w:r>
        <w:rPr>
          <w:spacing w:val="-8"/>
        </w:rPr>
        <w:t xml:space="preserve"> </w:t>
      </w:r>
      <w:r>
        <w:t>student</w:t>
      </w:r>
      <w:r>
        <w:rPr>
          <w:spacing w:val="-8"/>
        </w:rPr>
        <w:t xml:space="preserve"> </w:t>
      </w:r>
      <w:r>
        <w:t>sampled</w:t>
      </w:r>
      <w:r>
        <w:rPr>
          <w:spacing w:val="-8"/>
        </w:rPr>
        <w:t xml:space="preserve"> </w:t>
      </w:r>
      <w:r>
        <w:t>for</w:t>
      </w:r>
      <w:r>
        <w:rPr>
          <w:spacing w:val="-8"/>
        </w:rPr>
        <w:t xml:space="preserve"> </w:t>
      </w:r>
      <w:r>
        <w:t>NAEP</w:t>
      </w:r>
      <w:r>
        <w:rPr>
          <w:spacing w:val="-14"/>
        </w:rPr>
        <w:t xml:space="preserve"> </w:t>
      </w:r>
      <w:r>
        <w:t>is</w:t>
      </w:r>
      <w:r>
        <w:rPr>
          <w:spacing w:val="-7"/>
        </w:rPr>
        <w:t xml:space="preserve"> </w:t>
      </w:r>
      <w:r>
        <w:t>classified</w:t>
      </w:r>
      <w:r>
        <w:rPr>
          <w:spacing w:val="-8"/>
        </w:rPr>
        <w:t xml:space="preserve"> </w:t>
      </w:r>
      <w:r>
        <w:t>into</w:t>
      </w:r>
      <w:r>
        <w:rPr>
          <w:spacing w:val="-8"/>
        </w:rPr>
        <w:t xml:space="preserve"> </w:t>
      </w:r>
      <w:r>
        <w:t>one</w:t>
      </w:r>
      <w:r>
        <w:rPr>
          <w:spacing w:val="-8"/>
        </w:rPr>
        <w:t xml:space="preserve"> </w:t>
      </w:r>
      <w:r>
        <w:t>of</w:t>
      </w:r>
      <w:r>
        <w:rPr>
          <w:spacing w:val="-8"/>
        </w:rPr>
        <w:t xml:space="preserve"> </w:t>
      </w:r>
      <w:r>
        <w:t>the</w:t>
      </w:r>
      <w:r>
        <w:rPr>
          <w:spacing w:val="-8"/>
        </w:rPr>
        <w:t xml:space="preserve"> </w:t>
      </w:r>
      <w:r>
        <w:t>following</w:t>
      </w:r>
      <w:r>
        <w:rPr>
          <w:spacing w:val="-8"/>
        </w:rPr>
        <w:t xml:space="preserve"> </w:t>
      </w:r>
      <w:r>
        <w:t>response</w:t>
      </w:r>
      <w:r>
        <w:rPr>
          <w:spacing w:val="-8"/>
        </w:rPr>
        <w:t xml:space="preserve"> </w:t>
      </w:r>
      <w:r>
        <w:t>disposition</w:t>
      </w:r>
      <w:r>
        <w:rPr>
          <w:spacing w:val="-8"/>
        </w:rPr>
        <w:t xml:space="preserve"> </w:t>
      </w:r>
      <w:r>
        <w:t xml:space="preserve">categories: </w:t>
      </w:r>
      <w:r>
        <w:rPr>
          <w:noProof/>
          <w:position w:val="3"/>
        </w:rPr>
        <w:drawing>
          <wp:inline distT="0" distB="0" distL="0" distR="0">
            <wp:extent cx="41379" cy="41374"/>
            <wp:effectExtent l="0" t="0" r="0" b="0"/>
            <wp:docPr id="33" name="Image 33"/>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xmlns:r="http://schemas.openxmlformats.org/officeDocument/2006/relationships" r:embed="rId22" cstate="print"/>
                    <a:stretch>
                      <a:fillRect/>
                    </a:stretch>
                  </pic:blipFill>
                  <pic:spPr>
                    <a:xfrm>
                      <a:off x="0" y="0"/>
                      <a:ext cx="41379" cy="41374"/>
                    </a:xfrm>
                    <a:prstGeom prst="rect">
                      <a:avLst/>
                    </a:prstGeom>
                  </pic:spPr>
                </pic:pic>
              </a:graphicData>
            </a:graphic>
          </wp:inline>
        </w:drawing>
      </w:r>
      <w:r>
        <w:rPr>
          <w:spacing w:val="40"/>
        </w:rPr>
        <w:t xml:space="preserve"> </w:t>
      </w:r>
      <w:r>
        <w:t>Assessed</w:t>
      </w:r>
    </w:p>
    <w:p w:rsidR="003F5784" w14:paraId="11140597" w14:textId="77777777">
      <w:pPr>
        <w:pStyle w:val="BodyText"/>
        <w:spacing w:line="238" w:lineRule="exact"/>
        <w:ind w:left="422"/>
      </w:pPr>
      <w:r>
        <w:rPr>
          <w:noProof/>
          <w:position w:val="3"/>
        </w:rPr>
        <w:drawing>
          <wp:inline distT="0" distB="0" distL="0" distR="0">
            <wp:extent cx="41379" cy="41374"/>
            <wp:effectExtent l="0" t="0" r="0" b="0"/>
            <wp:docPr id="34" name="Image 34"/>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xmlns:r="http://schemas.openxmlformats.org/officeDocument/2006/relationships" r:embed="rId10" cstate="print"/>
                    <a:stretch>
                      <a:fillRect/>
                    </a:stretch>
                  </pic:blipFill>
                  <pic:spPr>
                    <a:xfrm>
                      <a:off x="0" y="0"/>
                      <a:ext cx="41379" cy="41374"/>
                    </a:xfrm>
                    <a:prstGeom prst="rect">
                      <a:avLst/>
                    </a:prstGeom>
                  </pic:spPr>
                </pic:pic>
              </a:graphicData>
            </a:graphic>
          </wp:inline>
        </w:drawing>
      </w:r>
      <w:r>
        <w:rPr>
          <w:spacing w:val="80"/>
          <w:sz w:val="20"/>
        </w:rPr>
        <w:t xml:space="preserve"> </w:t>
      </w:r>
      <w:r>
        <w:t>Absent</w:t>
      </w:r>
    </w:p>
    <w:p w:rsidR="003F5784" w14:paraId="4827227C" w14:textId="77777777">
      <w:pPr>
        <w:spacing w:line="238" w:lineRule="exact"/>
        <w:sectPr>
          <w:type w:val="continuous"/>
          <w:pgSz w:w="15840" w:h="12240" w:orient="landscape"/>
          <w:pgMar w:top="480" w:right="440" w:bottom="460" w:left="460" w:header="284" w:footer="275" w:gutter="0"/>
          <w:cols w:space="720"/>
        </w:sectPr>
      </w:pPr>
    </w:p>
    <w:p w:rsidR="003F5784" w14:paraId="2062C478" w14:textId="77777777">
      <w:pPr>
        <w:pStyle w:val="BodyText"/>
        <w:spacing w:before="78" w:line="232" w:lineRule="auto"/>
        <w:ind w:left="422" w:right="10739"/>
      </w:pPr>
      <w:r>
        <w:rPr>
          <w:noProof/>
          <w:position w:val="3"/>
        </w:rPr>
        <w:drawing>
          <wp:inline distT="0" distB="0" distL="0" distR="0">
            <wp:extent cx="41379" cy="41374"/>
            <wp:effectExtent l="0" t="0" r="0" b="0"/>
            <wp:docPr id="35" name="Image 35"/>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xmlns:r="http://schemas.openxmlformats.org/officeDocument/2006/relationships" r:embed="rId22" cstate="print"/>
                    <a:stretch>
                      <a:fillRect/>
                    </a:stretch>
                  </pic:blipFill>
                  <pic:spPr>
                    <a:xfrm>
                      <a:off x="0" y="0"/>
                      <a:ext cx="41379" cy="41374"/>
                    </a:xfrm>
                    <a:prstGeom prst="rect">
                      <a:avLst/>
                    </a:prstGeom>
                  </pic:spPr>
                </pic:pic>
              </a:graphicData>
            </a:graphic>
          </wp:inline>
        </w:drawing>
      </w:r>
      <w:r>
        <w:rPr>
          <w:spacing w:val="79"/>
          <w:sz w:val="20"/>
        </w:rPr>
        <w:t xml:space="preserve"> </w:t>
      </w:r>
      <w:r>
        <w:t>Excluded</w:t>
      </w:r>
      <w:r>
        <w:rPr>
          <w:spacing w:val="-7"/>
        </w:rPr>
        <w:t xml:space="preserve"> </w:t>
      </w:r>
      <w:r>
        <w:t>(must</w:t>
      </w:r>
      <w:r>
        <w:rPr>
          <w:spacing w:val="-7"/>
        </w:rPr>
        <w:t xml:space="preserve"> </w:t>
      </w:r>
      <w:r>
        <w:t>be</w:t>
      </w:r>
      <w:r>
        <w:rPr>
          <w:spacing w:val="-7"/>
        </w:rPr>
        <w:t xml:space="preserve"> </w:t>
      </w:r>
      <w:r>
        <w:t>SD,</w:t>
      </w:r>
      <w:r>
        <w:rPr>
          <w:spacing w:val="-7"/>
        </w:rPr>
        <w:t xml:space="preserve"> </w:t>
      </w:r>
      <w:r>
        <w:t>EL,</w:t>
      </w:r>
      <w:r>
        <w:rPr>
          <w:spacing w:val="-7"/>
        </w:rPr>
        <w:t xml:space="preserve"> </w:t>
      </w:r>
      <w:r>
        <w:t>or</w:t>
      </w:r>
      <w:r>
        <w:rPr>
          <w:spacing w:val="-7"/>
        </w:rPr>
        <w:t xml:space="preserve"> </w:t>
      </w:r>
      <w:r>
        <w:t>SD</w:t>
      </w:r>
      <w:r>
        <w:rPr>
          <w:spacing w:val="-7"/>
        </w:rPr>
        <w:t xml:space="preserve"> </w:t>
      </w:r>
      <w:r>
        <w:t>and</w:t>
      </w:r>
      <w:r>
        <w:rPr>
          <w:spacing w:val="-7"/>
        </w:rPr>
        <w:t xml:space="preserve"> </w:t>
      </w:r>
      <w:r>
        <w:t xml:space="preserve">EL) </w:t>
      </w:r>
      <w:r>
        <w:rPr>
          <w:noProof/>
          <w:position w:val="3"/>
        </w:rPr>
        <w:drawing>
          <wp:inline distT="0" distB="0" distL="0" distR="0">
            <wp:extent cx="41379" cy="41374"/>
            <wp:effectExtent l="0" t="0" r="0" b="0"/>
            <wp:docPr id="36" name="Image 36"/>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xmlns:r="http://schemas.openxmlformats.org/officeDocument/2006/relationships" r:embed="rId23" cstate="print"/>
                    <a:stretch>
                      <a:fillRect/>
                    </a:stretch>
                  </pic:blipFill>
                  <pic:spPr>
                    <a:xfrm>
                      <a:off x="0" y="0"/>
                      <a:ext cx="41379" cy="41374"/>
                    </a:xfrm>
                    <a:prstGeom prst="rect">
                      <a:avLst/>
                    </a:prstGeom>
                  </pic:spPr>
                </pic:pic>
              </a:graphicData>
            </a:graphic>
          </wp:inline>
        </w:drawing>
      </w:r>
      <w:r>
        <w:rPr>
          <w:spacing w:val="80"/>
        </w:rPr>
        <w:t xml:space="preserve"> </w:t>
      </w:r>
      <w:r>
        <w:t>Withdrawn or Graduated (ineligible)</w:t>
      </w:r>
    </w:p>
    <w:p w:rsidR="003F5784" w14:paraId="0817E5C5" w14:textId="77777777">
      <w:pPr>
        <w:pStyle w:val="BodyText"/>
        <w:spacing w:line="236" w:lineRule="exact"/>
        <w:ind w:left="422"/>
      </w:pPr>
      <w:r>
        <w:rPr>
          <w:noProof/>
          <w:position w:val="3"/>
        </w:rPr>
        <w:drawing>
          <wp:inline distT="0" distB="0" distL="0" distR="0">
            <wp:extent cx="41379" cy="41374"/>
            <wp:effectExtent l="0" t="0" r="0" b="0"/>
            <wp:docPr id="37" name="Image 37"/>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xmlns:r="http://schemas.openxmlformats.org/officeDocument/2006/relationships" r:embed="rId10" cstate="print"/>
                    <a:stretch>
                      <a:fillRect/>
                    </a:stretch>
                  </pic:blipFill>
                  <pic:spPr>
                    <a:xfrm>
                      <a:off x="0" y="0"/>
                      <a:ext cx="41379" cy="41374"/>
                    </a:xfrm>
                    <a:prstGeom prst="rect">
                      <a:avLst/>
                    </a:prstGeom>
                  </pic:spPr>
                </pic:pic>
              </a:graphicData>
            </a:graphic>
          </wp:inline>
        </w:drawing>
      </w:r>
      <w:r>
        <w:rPr>
          <w:spacing w:val="80"/>
          <w:sz w:val="20"/>
        </w:rPr>
        <w:t xml:space="preserve"> </w:t>
      </w:r>
      <w:r>
        <w:t>Full-time remote</w:t>
      </w:r>
    </w:p>
    <w:p w:rsidR="003F5784" w14:paraId="17D6768F" w14:textId="77777777">
      <w:pPr>
        <w:pStyle w:val="BodyText"/>
      </w:pPr>
    </w:p>
    <w:p w:rsidR="003F5784" w14:paraId="198F0413" w14:textId="77777777">
      <w:pPr>
        <w:pStyle w:val="BodyText"/>
        <w:spacing w:before="162"/>
      </w:pPr>
    </w:p>
    <w:p w:rsidR="003F5784" w14:paraId="1E9C0241" w14:textId="77777777">
      <w:pPr>
        <w:pStyle w:val="BodyText"/>
        <w:ind w:left="109"/>
      </w:pPr>
      <w:r>
        <w:t>Assessed</w:t>
      </w:r>
      <w:r>
        <w:rPr>
          <w:spacing w:val="-7"/>
        </w:rPr>
        <w:t xml:space="preserve"> </w:t>
      </w:r>
      <w:r>
        <w:t>students</w:t>
      </w:r>
      <w:r>
        <w:rPr>
          <w:spacing w:val="-7"/>
        </w:rPr>
        <w:t xml:space="preserve"> </w:t>
      </w:r>
      <w:r>
        <w:t>were</w:t>
      </w:r>
      <w:r>
        <w:rPr>
          <w:spacing w:val="-6"/>
        </w:rPr>
        <w:t xml:space="preserve"> </w:t>
      </w:r>
      <w:r>
        <w:t>students</w:t>
      </w:r>
      <w:r>
        <w:rPr>
          <w:spacing w:val="-7"/>
        </w:rPr>
        <w:t xml:space="preserve"> </w:t>
      </w:r>
      <w:r>
        <w:t>that</w:t>
      </w:r>
      <w:r>
        <w:rPr>
          <w:spacing w:val="-7"/>
        </w:rPr>
        <w:t xml:space="preserve"> </w:t>
      </w:r>
      <w:r>
        <w:t>completed</w:t>
      </w:r>
      <w:r>
        <w:rPr>
          <w:spacing w:val="-6"/>
        </w:rPr>
        <w:t xml:space="preserve"> </w:t>
      </w:r>
      <w:r>
        <w:t>an</w:t>
      </w:r>
      <w:r>
        <w:rPr>
          <w:spacing w:val="-7"/>
        </w:rPr>
        <w:t xml:space="preserve"> </w:t>
      </w:r>
      <w:r>
        <w:rPr>
          <w:spacing w:val="-2"/>
        </w:rPr>
        <w:t>assessment.</w:t>
      </w:r>
    </w:p>
    <w:p w:rsidR="003F5784" w14:paraId="620F37AD" w14:textId="77777777">
      <w:pPr>
        <w:pStyle w:val="BodyText"/>
        <w:spacing w:before="207" w:line="232" w:lineRule="auto"/>
        <w:ind w:left="109"/>
      </w:pPr>
      <w:r>
        <w:t>Absent</w:t>
      </w:r>
      <w:r>
        <w:rPr>
          <w:spacing w:val="-6"/>
        </w:rPr>
        <w:t xml:space="preserve"> </w:t>
      </w:r>
      <w:r>
        <w:t>students</w:t>
      </w:r>
      <w:r>
        <w:rPr>
          <w:spacing w:val="-6"/>
        </w:rPr>
        <w:t xml:space="preserve"> </w:t>
      </w:r>
      <w:r>
        <w:t>were</w:t>
      </w:r>
      <w:r>
        <w:rPr>
          <w:spacing w:val="-6"/>
        </w:rPr>
        <w:t xml:space="preserve"> </w:t>
      </w:r>
      <w:r>
        <w:t>students</w:t>
      </w:r>
      <w:r>
        <w:rPr>
          <w:spacing w:val="-6"/>
        </w:rPr>
        <w:t xml:space="preserve"> </w:t>
      </w:r>
      <w:r>
        <w:t>who</w:t>
      </w:r>
      <w:r>
        <w:rPr>
          <w:spacing w:val="-6"/>
        </w:rPr>
        <w:t xml:space="preserve"> </w:t>
      </w:r>
      <w:r>
        <w:t>were</w:t>
      </w:r>
      <w:r>
        <w:rPr>
          <w:spacing w:val="-6"/>
        </w:rPr>
        <w:t xml:space="preserve"> </w:t>
      </w:r>
      <w:r>
        <w:t>eligible</w:t>
      </w:r>
      <w:r>
        <w:rPr>
          <w:spacing w:val="-6"/>
        </w:rPr>
        <w:t xml:space="preserve"> </w:t>
      </w:r>
      <w:r>
        <w:t>to</w:t>
      </w:r>
      <w:r>
        <w:rPr>
          <w:spacing w:val="-6"/>
        </w:rPr>
        <w:t xml:space="preserve"> </w:t>
      </w:r>
      <w:r>
        <w:t>take</w:t>
      </w:r>
      <w:r>
        <w:rPr>
          <w:spacing w:val="-6"/>
        </w:rPr>
        <w:t xml:space="preserve"> </w:t>
      </w:r>
      <w:r>
        <w:t>an</w:t>
      </w:r>
      <w:r>
        <w:rPr>
          <w:spacing w:val="-6"/>
        </w:rPr>
        <w:t xml:space="preserve"> </w:t>
      </w:r>
      <w:r>
        <w:t>assessment</w:t>
      </w:r>
      <w:r>
        <w:rPr>
          <w:spacing w:val="-6"/>
        </w:rPr>
        <w:t xml:space="preserve"> </w:t>
      </w:r>
      <w:r>
        <w:t>but</w:t>
      </w:r>
      <w:r>
        <w:rPr>
          <w:spacing w:val="-6"/>
        </w:rPr>
        <w:t xml:space="preserve"> </w:t>
      </w:r>
      <w:r>
        <w:t>were</w:t>
      </w:r>
      <w:r>
        <w:rPr>
          <w:spacing w:val="-6"/>
        </w:rPr>
        <w:t xml:space="preserve"> </w:t>
      </w:r>
      <w:r>
        <w:t>absent</w:t>
      </w:r>
      <w:r>
        <w:rPr>
          <w:spacing w:val="-6"/>
        </w:rPr>
        <w:t xml:space="preserve"> </w:t>
      </w:r>
      <w:r>
        <w:t>from</w:t>
      </w:r>
      <w:r>
        <w:rPr>
          <w:spacing w:val="-6"/>
        </w:rPr>
        <w:t xml:space="preserve"> </w:t>
      </w:r>
      <w:r>
        <w:t>the</w:t>
      </w:r>
      <w:r>
        <w:rPr>
          <w:spacing w:val="-6"/>
        </w:rPr>
        <w:t xml:space="preserve"> </w:t>
      </w:r>
      <w:r>
        <w:t>initial</w:t>
      </w:r>
      <w:r>
        <w:rPr>
          <w:spacing w:val="-6"/>
        </w:rPr>
        <w:t xml:space="preserve"> </w:t>
      </w:r>
      <w:r>
        <w:t>session</w:t>
      </w:r>
      <w:r>
        <w:rPr>
          <w:spacing w:val="-6"/>
        </w:rPr>
        <w:t xml:space="preserve"> </w:t>
      </w:r>
      <w:r>
        <w:t>and</w:t>
      </w:r>
      <w:r>
        <w:rPr>
          <w:spacing w:val="-6"/>
        </w:rPr>
        <w:t xml:space="preserve"> </w:t>
      </w:r>
      <w:r>
        <w:t>the</w:t>
      </w:r>
      <w:r>
        <w:rPr>
          <w:spacing w:val="-6"/>
        </w:rPr>
        <w:t xml:space="preserve"> </w:t>
      </w:r>
      <w:r>
        <w:t>makeup</w:t>
      </w:r>
      <w:r>
        <w:rPr>
          <w:spacing w:val="-6"/>
        </w:rPr>
        <w:t xml:space="preserve"> </w:t>
      </w:r>
      <w:r>
        <w:t>session</w:t>
      </w:r>
      <w:r>
        <w:rPr>
          <w:spacing w:val="-6"/>
        </w:rPr>
        <w:t xml:space="preserve"> </w:t>
      </w:r>
      <w:r>
        <w:t>if</w:t>
      </w:r>
      <w:r>
        <w:rPr>
          <w:spacing w:val="-6"/>
        </w:rPr>
        <w:t xml:space="preserve"> </w:t>
      </w:r>
      <w:r>
        <w:t>one</w:t>
      </w:r>
      <w:r>
        <w:rPr>
          <w:spacing w:val="-6"/>
        </w:rPr>
        <w:t xml:space="preserve"> </w:t>
      </w:r>
      <w:r>
        <w:t>was</w:t>
      </w:r>
      <w:r>
        <w:rPr>
          <w:spacing w:val="-6"/>
        </w:rPr>
        <w:t xml:space="preserve"> </w:t>
      </w:r>
      <w:r>
        <w:t>offered.</w:t>
      </w:r>
      <w:r>
        <w:rPr>
          <w:spacing w:val="-6"/>
        </w:rPr>
        <w:t xml:space="preserve"> </w:t>
      </w:r>
      <w:r>
        <w:t>(Note,</w:t>
      </w:r>
      <w:r>
        <w:rPr>
          <w:spacing w:val="-6"/>
        </w:rPr>
        <w:t xml:space="preserve"> </w:t>
      </w:r>
      <w:r>
        <w:t>some</w:t>
      </w:r>
      <w:r>
        <w:rPr>
          <w:spacing w:val="-6"/>
        </w:rPr>
        <w:t xml:space="preserve"> </w:t>
      </w:r>
      <w:r>
        <w:t>schools, not all, had make-up sessions for students who were absent from the initial session.)</w:t>
      </w:r>
    </w:p>
    <w:p w:rsidR="003F5784" w14:paraId="7CD7CD4C" w14:textId="77777777">
      <w:pPr>
        <w:pStyle w:val="BodyText"/>
        <w:spacing w:before="210" w:line="232" w:lineRule="auto"/>
        <w:ind w:left="109"/>
      </w:pPr>
      <w:r>
        <w:t>Excluded</w:t>
      </w:r>
      <w:r>
        <w:rPr>
          <w:spacing w:val="-6"/>
        </w:rPr>
        <w:t xml:space="preserve"> </w:t>
      </w:r>
      <w:r>
        <w:t>students</w:t>
      </w:r>
      <w:r>
        <w:rPr>
          <w:spacing w:val="-6"/>
        </w:rPr>
        <w:t xml:space="preserve"> </w:t>
      </w:r>
      <w:r>
        <w:t>were</w:t>
      </w:r>
      <w:r>
        <w:rPr>
          <w:spacing w:val="-6"/>
        </w:rPr>
        <w:t xml:space="preserve"> </w:t>
      </w:r>
      <w:r>
        <w:t>determined</w:t>
      </w:r>
      <w:r>
        <w:rPr>
          <w:spacing w:val="-6"/>
        </w:rPr>
        <w:t xml:space="preserve"> </w:t>
      </w:r>
      <w:r>
        <w:t>by</w:t>
      </w:r>
      <w:r>
        <w:rPr>
          <w:spacing w:val="-6"/>
        </w:rPr>
        <w:t xml:space="preserve"> </w:t>
      </w:r>
      <w:r>
        <w:t>their</w:t>
      </w:r>
      <w:r>
        <w:rPr>
          <w:spacing w:val="-6"/>
        </w:rPr>
        <w:t xml:space="preserve"> </w:t>
      </w:r>
      <w:r>
        <w:t>school</w:t>
      </w:r>
      <w:r>
        <w:rPr>
          <w:spacing w:val="-6"/>
        </w:rPr>
        <w:t xml:space="preserve"> </w:t>
      </w:r>
      <w:r>
        <w:t>to</w:t>
      </w:r>
      <w:r>
        <w:rPr>
          <w:spacing w:val="-6"/>
        </w:rPr>
        <w:t xml:space="preserve"> </w:t>
      </w:r>
      <w:r>
        <w:t>be</w:t>
      </w:r>
      <w:r>
        <w:rPr>
          <w:spacing w:val="-6"/>
        </w:rPr>
        <w:t xml:space="preserve"> </w:t>
      </w:r>
      <w:r>
        <w:t>unable</w:t>
      </w:r>
      <w:r>
        <w:rPr>
          <w:spacing w:val="-6"/>
        </w:rPr>
        <w:t xml:space="preserve"> </w:t>
      </w:r>
      <w:r>
        <w:t>to</w:t>
      </w:r>
      <w:r>
        <w:rPr>
          <w:spacing w:val="-6"/>
        </w:rPr>
        <w:t xml:space="preserve"> </w:t>
      </w:r>
      <w:r>
        <w:t>meaningfully</w:t>
      </w:r>
      <w:r>
        <w:rPr>
          <w:spacing w:val="-6"/>
        </w:rPr>
        <w:t xml:space="preserve"> </w:t>
      </w:r>
      <w:r>
        <w:t>take</w:t>
      </w:r>
      <w:r>
        <w:rPr>
          <w:spacing w:val="-6"/>
        </w:rPr>
        <w:t xml:space="preserve"> </w:t>
      </w:r>
      <w:r>
        <w:t>the</w:t>
      </w:r>
      <w:r>
        <w:rPr>
          <w:spacing w:val="-6"/>
        </w:rPr>
        <w:t xml:space="preserve"> </w:t>
      </w:r>
      <w:r>
        <w:t>NAEP</w:t>
      </w:r>
      <w:r>
        <w:rPr>
          <w:spacing w:val="-14"/>
        </w:rPr>
        <w:t xml:space="preserve"> </w:t>
      </w:r>
      <w:r>
        <w:t>assessment</w:t>
      </w:r>
      <w:r>
        <w:rPr>
          <w:spacing w:val="-5"/>
        </w:rPr>
        <w:t xml:space="preserve"> </w:t>
      </w:r>
      <w:r>
        <w:t>in</w:t>
      </w:r>
      <w:r>
        <w:rPr>
          <w:spacing w:val="-6"/>
        </w:rPr>
        <w:t xml:space="preserve"> </w:t>
      </w:r>
      <w:r>
        <w:t>their</w:t>
      </w:r>
      <w:r>
        <w:rPr>
          <w:spacing w:val="-6"/>
        </w:rPr>
        <w:t xml:space="preserve"> </w:t>
      </w:r>
      <w:r>
        <w:t>assigned</w:t>
      </w:r>
      <w:r>
        <w:rPr>
          <w:spacing w:val="-6"/>
        </w:rPr>
        <w:t xml:space="preserve"> </w:t>
      </w:r>
      <w:r>
        <w:t>subject,</w:t>
      </w:r>
      <w:r>
        <w:rPr>
          <w:spacing w:val="-6"/>
        </w:rPr>
        <w:t xml:space="preserve"> </w:t>
      </w:r>
      <w:r>
        <w:t>even</w:t>
      </w:r>
      <w:r>
        <w:rPr>
          <w:spacing w:val="-6"/>
        </w:rPr>
        <w:t xml:space="preserve"> </w:t>
      </w:r>
      <w:r>
        <w:t>with</w:t>
      </w:r>
      <w:r>
        <w:rPr>
          <w:spacing w:val="-6"/>
        </w:rPr>
        <w:t xml:space="preserve"> </w:t>
      </w:r>
      <w:r>
        <w:t>an</w:t>
      </w:r>
      <w:r>
        <w:rPr>
          <w:spacing w:val="-6"/>
        </w:rPr>
        <w:t xml:space="preserve"> </w:t>
      </w:r>
      <w:r>
        <w:t>accommodation.</w:t>
      </w:r>
      <w:r>
        <w:rPr>
          <w:spacing w:val="-6"/>
        </w:rPr>
        <w:t xml:space="preserve"> </w:t>
      </w:r>
      <w:r>
        <w:t>Excluded students must also be classified as SD and/or EL.</w:t>
      </w:r>
    </w:p>
    <w:p w:rsidR="003F5784" w14:paraId="7DEBDA8F" w14:textId="77777777">
      <w:pPr>
        <w:pStyle w:val="BodyText"/>
        <w:spacing w:before="203" w:line="439" w:lineRule="auto"/>
        <w:ind w:left="109" w:right="2245"/>
      </w:pPr>
      <w:r>
        <w:t>Withdrawn</w:t>
      </w:r>
      <w:r>
        <w:rPr>
          <w:spacing w:val="-8"/>
        </w:rPr>
        <w:t xml:space="preserve"> </w:t>
      </w:r>
      <w:r>
        <w:t>or</w:t>
      </w:r>
      <w:r>
        <w:rPr>
          <w:spacing w:val="-8"/>
        </w:rPr>
        <w:t xml:space="preserve"> </w:t>
      </w:r>
      <w:r>
        <w:t>graduated</w:t>
      </w:r>
      <w:r>
        <w:rPr>
          <w:spacing w:val="-8"/>
        </w:rPr>
        <w:t xml:space="preserve"> </w:t>
      </w:r>
      <w:r>
        <w:t>students</w:t>
      </w:r>
      <w:r>
        <w:rPr>
          <w:spacing w:val="-8"/>
        </w:rPr>
        <w:t xml:space="preserve"> </w:t>
      </w:r>
      <w:r>
        <w:t>are</w:t>
      </w:r>
      <w:r>
        <w:rPr>
          <w:spacing w:val="-8"/>
        </w:rPr>
        <w:t xml:space="preserve"> </w:t>
      </w:r>
      <w:r>
        <w:t>those</w:t>
      </w:r>
      <w:r>
        <w:rPr>
          <w:spacing w:val="-8"/>
        </w:rPr>
        <w:t xml:space="preserve"> </w:t>
      </w:r>
      <w:r>
        <w:t>who</w:t>
      </w:r>
      <w:r>
        <w:rPr>
          <w:spacing w:val="-8"/>
        </w:rPr>
        <w:t xml:space="preserve"> </w:t>
      </w:r>
      <w:r>
        <w:t>have</w:t>
      </w:r>
      <w:r>
        <w:rPr>
          <w:spacing w:val="-8"/>
        </w:rPr>
        <w:t xml:space="preserve"> </w:t>
      </w:r>
      <w:r>
        <w:t>left</w:t>
      </w:r>
      <w:r>
        <w:rPr>
          <w:spacing w:val="-8"/>
        </w:rPr>
        <w:t xml:space="preserve"> </w:t>
      </w:r>
      <w:r>
        <w:t>the</w:t>
      </w:r>
      <w:r>
        <w:rPr>
          <w:spacing w:val="-8"/>
        </w:rPr>
        <w:t xml:space="preserve"> </w:t>
      </w:r>
      <w:r>
        <w:t>school</w:t>
      </w:r>
      <w:r>
        <w:rPr>
          <w:spacing w:val="-8"/>
        </w:rPr>
        <w:t xml:space="preserve"> </w:t>
      </w:r>
      <w:r>
        <w:t>before</w:t>
      </w:r>
      <w:r>
        <w:rPr>
          <w:spacing w:val="-8"/>
        </w:rPr>
        <w:t xml:space="preserve"> </w:t>
      </w:r>
      <w:r>
        <w:t>the</w:t>
      </w:r>
      <w:r>
        <w:rPr>
          <w:spacing w:val="-8"/>
        </w:rPr>
        <w:t xml:space="preserve"> </w:t>
      </w:r>
      <w:r>
        <w:t>original</w:t>
      </w:r>
      <w:r>
        <w:rPr>
          <w:spacing w:val="-8"/>
        </w:rPr>
        <w:t xml:space="preserve"> </w:t>
      </w:r>
      <w:r>
        <w:t>assessment.</w:t>
      </w:r>
      <w:r>
        <w:rPr>
          <w:spacing w:val="-11"/>
        </w:rPr>
        <w:t xml:space="preserve"> </w:t>
      </w:r>
      <w:r>
        <w:t>These</w:t>
      </w:r>
      <w:r>
        <w:rPr>
          <w:spacing w:val="-8"/>
        </w:rPr>
        <w:t xml:space="preserve"> </w:t>
      </w:r>
      <w:r>
        <w:t>students</w:t>
      </w:r>
      <w:r>
        <w:rPr>
          <w:spacing w:val="-8"/>
        </w:rPr>
        <w:t xml:space="preserve"> </w:t>
      </w:r>
      <w:r>
        <w:t>are</w:t>
      </w:r>
      <w:r>
        <w:rPr>
          <w:spacing w:val="-8"/>
        </w:rPr>
        <w:t xml:space="preserve"> </w:t>
      </w:r>
      <w:r>
        <w:t>considered</w:t>
      </w:r>
      <w:r>
        <w:rPr>
          <w:spacing w:val="-8"/>
        </w:rPr>
        <w:t xml:space="preserve"> </w:t>
      </w:r>
      <w:r>
        <w:t>ineligible</w:t>
      </w:r>
      <w:r>
        <w:rPr>
          <w:spacing w:val="-8"/>
        </w:rPr>
        <w:t xml:space="preserve"> </w:t>
      </w:r>
      <w:r>
        <w:t>for</w:t>
      </w:r>
      <w:r>
        <w:rPr>
          <w:spacing w:val="-8"/>
        </w:rPr>
        <w:t xml:space="preserve"> </w:t>
      </w:r>
      <w:r>
        <w:t>NAEP. Full-time remote students are enrolled in brick-and-mortar schools but do not attend school in person.</w:t>
      </w:r>
      <w:r>
        <w:rPr>
          <w:spacing w:val="-3"/>
        </w:rPr>
        <w:t xml:space="preserve"> </w:t>
      </w:r>
      <w:r>
        <w:t>They are considered not assessable for NAEP.</w:t>
      </w:r>
    </w:p>
    <w:p w:rsidR="003F5784" w14:paraId="5C2CAD30" w14:textId="77777777">
      <w:pPr>
        <w:pStyle w:val="BodyText"/>
      </w:pPr>
    </w:p>
    <w:p w:rsidR="003F5784" w14:paraId="38FCF36A" w14:textId="77777777">
      <w:pPr>
        <w:pStyle w:val="BodyText"/>
        <w:spacing w:before="186"/>
      </w:pPr>
    </w:p>
    <w:p w:rsidR="003F5784" w14:paraId="5B12EF57" w14:textId="77777777">
      <w:pPr>
        <w:ind w:left="1269"/>
        <w:rPr>
          <w:sz w:val="18"/>
        </w:rPr>
      </w:pPr>
      <w:hyperlink r:id="rId24">
        <w:r>
          <w:rPr>
            <w:spacing w:val="-2"/>
            <w:w w:val="105"/>
            <w:sz w:val="18"/>
          </w:rPr>
          <w:t>http://nces.ed.gov/nationsreportcard/tdw/sample_design/2022/school_and_student_participation_in_the_2022_8th_grade_private_school_nat_assess_in_civics_and_us_history.aspx</w:t>
        </w:r>
      </w:hyperlink>
    </w:p>
    <w:p w:rsidR="003F5784" w14:paraId="0074C18A" w14:textId="77777777">
      <w:pPr>
        <w:pStyle w:val="BodyText"/>
        <w:spacing w:before="1"/>
        <w:rPr>
          <w:sz w:val="16"/>
        </w:rPr>
      </w:pPr>
      <w:r>
        <w:rPr>
          <w:noProof/>
        </w:rPr>
        <mc:AlternateContent>
          <mc:Choice Requires="wps">
            <w:drawing>
              <wp:anchor distT="0" distB="0" distL="0" distR="0" simplePos="0" relativeHeight="251735040" behindDoc="1" locked="0" layoutInCell="1" allowOverlap="1">
                <wp:simplePos x="0" y="0"/>
                <wp:positionH relativeFrom="page">
                  <wp:posOffset>361937</wp:posOffset>
                </wp:positionH>
                <wp:positionV relativeFrom="paragraph">
                  <wp:posOffset>132742</wp:posOffset>
                </wp:positionV>
                <wp:extent cx="9339580" cy="8890"/>
                <wp:effectExtent l="0" t="0" r="0" b="0"/>
                <wp:wrapTopAndBottom/>
                <wp:docPr id="38" name="Graphic 3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38" o:spid="_x0000_s1035" style="width:735.4pt;height:0.7pt;margin-top:10.45pt;margin-left:28.5pt;mso-position-horizontal-relative:page;mso-wrap-distance-bottom:0;mso-wrap-distance-left:0;mso-wrap-distance-right:0;mso-wrap-distance-top:0;mso-wrap-style:square;position:absolute;visibility:visible;v-text-anchor:top;z-index:-251580416" coordsize="9339580,8890" path="m9338970,l9335110,l8280,,,,,8280l8280,8280l9335110,8280l9338970,8280l9338970,xe" fillcolor="gray" stroked="f">
                <v:path arrowok="t"/>
                <w10:wrap type="topAndBottom"/>
              </v:shape>
            </w:pict>
          </mc:Fallback>
        </mc:AlternateContent>
      </w:r>
    </w:p>
    <w:p w:rsidR="003F5784" w14:paraId="1A3171F3" w14:textId="77777777">
      <w:pPr>
        <w:pStyle w:val="BodyText"/>
        <w:rPr>
          <w:sz w:val="18"/>
        </w:rPr>
      </w:pPr>
    </w:p>
    <w:p w:rsidR="003F5784" w14:paraId="75ED2E33" w14:textId="77777777">
      <w:pPr>
        <w:pStyle w:val="BodyText"/>
        <w:spacing w:before="193"/>
        <w:rPr>
          <w:sz w:val="18"/>
        </w:rPr>
      </w:pPr>
    </w:p>
    <w:p w:rsidR="003F5784" w14:paraId="27124557" w14:textId="14907989">
      <w:pPr>
        <w:pStyle w:val="Heading1"/>
        <w:spacing w:line="244" w:lineRule="auto"/>
        <w:ind w:right="1003"/>
      </w:pPr>
      <w:r>
        <w:t>NAEP</w:t>
      </w:r>
      <w:r>
        <w:rPr>
          <w:spacing w:val="-18"/>
        </w:rPr>
        <w:t xml:space="preserve"> </w:t>
      </w:r>
      <w:r>
        <w:t>Technical Documentation</w:t>
      </w:r>
      <w:r w:rsidR="001149B0">
        <w:t xml:space="preserve"> </w:t>
      </w:r>
      <w:r>
        <w:t>Weighted School Response Rates for the 2022 Eighth-Grade</w:t>
      </w:r>
      <w:r>
        <w:rPr>
          <w:spacing w:val="40"/>
        </w:rPr>
        <w:t xml:space="preserve"> </w:t>
      </w:r>
      <w:r>
        <w:t>Private</w:t>
      </w:r>
      <w:r>
        <w:rPr>
          <w:spacing w:val="40"/>
        </w:rPr>
        <w:t xml:space="preserve"> </w:t>
      </w:r>
      <w:r>
        <w:t>School</w:t>
      </w:r>
      <w:r>
        <w:rPr>
          <w:spacing w:val="40"/>
        </w:rPr>
        <w:t xml:space="preserve"> </w:t>
      </w:r>
      <w:r>
        <w:t>National Assessment</w:t>
      </w:r>
      <w:r>
        <w:rPr>
          <w:spacing w:val="40"/>
        </w:rPr>
        <w:t xml:space="preserve"> </w:t>
      </w:r>
      <w:r>
        <w:t>in</w:t>
      </w:r>
      <w:r>
        <w:rPr>
          <w:spacing w:val="40"/>
        </w:rPr>
        <w:t xml:space="preserve"> </w:t>
      </w:r>
      <w:r>
        <w:t>Civics</w:t>
      </w:r>
      <w:r>
        <w:rPr>
          <w:spacing w:val="40"/>
        </w:rPr>
        <w:t xml:space="preserve"> </w:t>
      </w:r>
      <w:r>
        <w:t>and</w:t>
      </w:r>
      <w:r>
        <w:rPr>
          <w:spacing w:val="40"/>
        </w:rPr>
        <w:t xml:space="preserve"> </w:t>
      </w:r>
      <w:r>
        <w:t>U.S.</w:t>
      </w:r>
      <w:r>
        <w:rPr>
          <w:spacing w:val="40"/>
        </w:rPr>
        <w:t xml:space="preserve"> </w:t>
      </w:r>
      <w:r>
        <w:t>History</w:t>
      </w:r>
    </w:p>
    <w:p w:rsidR="003F5784" w14:paraId="02FADE92" w14:textId="77777777">
      <w:pPr>
        <w:pStyle w:val="BodyText"/>
        <w:spacing w:before="287" w:line="232" w:lineRule="auto"/>
        <w:ind w:left="109"/>
      </w:pPr>
      <w:r>
        <w:t>The</w:t>
      </w:r>
      <w:r>
        <w:rPr>
          <w:spacing w:val="-7"/>
        </w:rPr>
        <w:t xml:space="preserve"> </w:t>
      </w:r>
      <w:r>
        <w:t>following</w:t>
      </w:r>
      <w:r>
        <w:rPr>
          <w:spacing w:val="-7"/>
        </w:rPr>
        <w:t xml:space="preserve"> </w:t>
      </w:r>
      <w:r>
        <w:t>table</w:t>
      </w:r>
      <w:r>
        <w:rPr>
          <w:spacing w:val="-7"/>
        </w:rPr>
        <w:t xml:space="preserve"> </w:t>
      </w:r>
      <w:r>
        <w:t>presents</w:t>
      </w:r>
      <w:r>
        <w:rPr>
          <w:spacing w:val="-7"/>
        </w:rPr>
        <w:t xml:space="preserve"> </w:t>
      </w:r>
      <w:r>
        <w:t>unweighted</w:t>
      </w:r>
      <w:r>
        <w:rPr>
          <w:spacing w:val="-7"/>
        </w:rPr>
        <w:t xml:space="preserve"> </w:t>
      </w:r>
      <w:r>
        <w:t>counts</w:t>
      </w:r>
      <w:r>
        <w:rPr>
          <w:spacing w:val="-7"/>
        </w:rPr>
        <w:t xml:space="preserve"> </w:t>
      </w:r>
      <w:r>
        <w:t>of</w:t>
      </w:r>
      <w:r>
        <w:rPr>
          <w:spacing w:val="-7"/>
        </w:rPr>
        <w:t xml:space="preserve"> </w:t>
      </w:r>
      <w:r>
        <w:t>eligible</w:t>
      </w:r>
      <w:r>
        <w:rPr>
          <w:spacing w:val="-7"/>
        </w:rPr>
        <w:t xml:space="preserve"> </w:t>
      </w:r>
      <w:r>
        <w:t>sampled</w:t>
      </w:r>
      <w:r>
        <w:rPr>
          <w:spacing w:val="-7"/>
        </w:rPr>
        <w:t xml:space="preserve"> </w:t>
      </w:r>
      <w:r>
        <w:t>and</w:t>
      </w:r>
      <w:r>
        <w:rPr>
          <w:spacing w:val="-7"/>
        </w:rPr>
        <w:t xml:space="preserve"> </w:t>
      </w:r>
      <w:r>
        <w:t>participating</w:t>
      </w:r>
      <w:r>
        <w:rPr>
          <w:spacing w:val="-7"/>
        </w:rPr>
        <w:t xml:space="preserve"> </w:t>
      </w:r>
      <w:r>
        <w:t>schools</w:t>
      </w:r>
      <w:r>
        <w:rPr>
          <w:spacing w:val="-7"/>
        </w:rPr>
        <w:t xml:space="preserve"> </w:t>
      </w:r>
      <w:r>
        <w:t>and</w:t>
      </w:r>
      <w:r>
        <w:rPr>
          <w:spacing w:val="-7"/>
        </w:rPr>
        <w:t xml:space="preserve"> </w:t>
      </w:r>
      <w:r>
        <w:t>weighted</w:t>
      </w:r>
      <w:r>
        <w:rPr>
          <w:spacing w:val="-7"/>
        </w:rPr>
        <w:t xml:space="preserve"> </w:t>
      </w:r>
      <w:r>
        <w:t>school</w:t>
      </w:r>
      <w:r>
        <w:rPr>
          <w:spacing w:val="-7"/>
        </w:rPr>
        <w:t xml:space="preserve"> </w:t>
      </w:r>
      <w:r>
        <w:t>response</w:t>
      </w:r>
      <w:r>
        <w:rPr>
          <w:spacing w:val="-7"/>
        </w:rPr>
        <w:t xml:space="preserve"> </w:t>
      </w:r>
      <w:r>
        <w:t>rates,</w:t>
      </w:r>
      <w:r>
        <w:rPr>
          <w:spacing w:val="-7"/>
        </w:rPr>
        <w:t xml:space="preserve"> </w:t>
      </w:r>
      <w:r>
        <w:t>by</w:t>
      </w:r>
      <w:r>
        <w:rPr>
          <w:spacing w:val="-7"/>
        </w:rPr>
        <w:t xml:space="preserve"> </w:t>
      </w:r>
      <w:r>
        <w:t>school</w:t>
      </w:r>
      <w:r>
        <w:rPr>
          <w:spacing w:val="-7"/>
        </w:rPr>
        <w:t xml:space="preserve"> </w:t>
      </w:r>
      <w:r>
        <w:t>type,</w:t>
      </w:r>
      <w:r>
        <w:rPr>
          <w:spacing w:val="-7"/>
        </w:rPr>
        <w:t xml:space="preserve"> </w:t>
      </w:r>
      <w:r>
        <w:t>for</w:t>
      </w:r>
      <w:r>
        <w:rPr>
          <w:spacing w:val="-7"/>
        </w:rPr>
        <w:t xml:space="preserve"> </w:t>
      </w:r>
      <w:r>
        <w:t>the</w:t>
      </w:r>
      <w:r>
        <w:rPr>
          <w:spacing w:val="-7"/>
        </w:rPr>
        <w:t xml:space="preserve"> </w:t>
      </w:r>
      <w:r>
        <w:t>eighth-grade</w:t>
      </w:r>
      <w:r>
        <w:rPr>
          <w:spacing w:val="-7"/>
        </w:rPr>
        <w:t xml:space="preserve"> </w:t>
      </w:r>
      <w:r>
        <w:t>private school national civics and U.S. history samples.</w:t>
      </w:r>
    </w:p>
    <w:p w:rsidR="003F5784" w14:paraId="6D3930D9" w14:textId="77777777">
      <w:pPr>
        <w:pStyle w:val="BodyText"/>
        <w:spacing w:before="209" w:line="232" w:lineRule="auto"/>
        <w:ind w:left="109" w:right="318"/>
      </w:pPr>
      <w:r>
        <w:t>A</w:t>
      </w:r>
      <w:r>
        <w:rPr>
          <w:spacing w:val="-14"/>
        </w:rPr>
        <w:t xml:space="preserve"> </w:t>
      </w:r>
      <w:r>
        <w:t>weighted</w:t>
      </w:r>
      <w:r>
        <w:rPr>
          <w:spacing w:val="-8"/>
        </w:rPr>
        <w:t xml:space="preserve"> </w:t>
      </w:r>
      <w:r>
        <w:t>school</w:t>
      </w:r>
      <w:r>
        <w:rPr>
          <w:spacing w:val="-6"/>
        </w:rPr>
        <w:t xml:space="preserve"> </w:t>
      </w:r>
      <w:r>
        <w:t>response</w:t>
      </w:r>
      <w:r>
        <w:rPr>
          <w:spacing w:val="-6"/>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6"/>
        </w:rPr>
        <w:t xml:space="preserve"> </w:t>
      </w:r>
      <w:r>
        <w:t>of</w:t>
      </w:r>
      <w:r>
        <w:rPr>
          <w:spacing w:val="-6"/>
        </w:rPr>
        <w:t xml:space="preserve"> </w:t>
      </w:r>
      <w:r>
        <w:t>the</w:t>
      </w:r>
      <w:r>
        <w:rPr>
          <w:spacing w:val="-6"/>
        </w:rPr>
        <w:t xml:space="preserve"> </w:t>
      </w:r>
      <w:r>
        <w:t>student</w:t>
      </w:r>
      <w:r>
        <w:rPr>
          <w:spacing w:val="-6"/>
        </w:rPr>
        <w:t xml:space="preserve"> </w:t>
      </w:r>
      <w:r>
        <w:t>population</w:t>
      </w:r>
      <w:r>
        <w:rPr>
          <w:spacing w:val="-6"/>
        </w:rPr>
        <w:t xml:space="preserve"> </w:t>
      </w:r>
      <w:r>
        <w:t>that</w:t>
      </w:r>
      <w:r>
        <w:rPr>
          <w:spacing w:val="-6"/>
        </w:rPr>
        <w:t xml:space="preserve"> </w:t>
      </w:r>
      <w:r>
        <w:t>is</w:t>
      </w:r>
      <w:r>
        <w:rPr>
          <w:spacing w:val="-6"/>
        </w:rPr>
        <w:t xml:space="preserve"> </w:t>
      </w:r>
      <w:r>
        <w:t>directly</w:t>
      </w:r>
      <w:r>
        <w:rPr>
          <w:spacing w:val="-6"/>
        </w:rPr>
        <w:t xml:space="preserve"> </w:t>
      </w:r>
      <w:r>
        <w:t>represented</w:t>
      </w:r>
      <w:r>
        <w:rPr>
          <w:spacing w:val="-6"/>
        </w:rPr>
        <w:t xml:space="preserve"> </w:t>
      </w:r>
      <w:r>
        <w:t>by</w:t>
      </w:r>
      <w:r>
        <w:rPr>
          <w:spacing w:val="-6"/>
        </w:rPr>
        <w:t xml:space="preserve"> </w:t>
      </w:r>
      <w:r>
        <w:t>the</w:t>
      </w:r>
      <w:r>
        <w:rPr>
          <w:spacing w:val="-6"/>
        </w:rPr>
        <w:t xml:space="preserve"> </w:t>
      </w:r>
      <w:r>
        <w:t>participating</w:t>
      </w:r>
      <w:r>
        <w:rPr>
          <w:spacing w:val="-6"/>
        </w:rPr>
        <w:t xml:space="preserve"> </w:t>
      </w:r>
      <w:r>
        <w:t>school</w:t>
      </w:r>
      <w:r>
        <w:rPr>
          <w:spacing w:val="-6"/>
        </w:rPr>
        <w:t xml:space="preserve"> </w:t>
      </w:r>
      <w:r>
        <w:t>sample.</w:t>
      </w:r>
      <w:r>
        <w:rPr>
          <w:spacing w:val="-10"/>
        </w:rPr>
        <w:t xml:space="preserve"> </w:t>
      </w:r>
      <w:r>
        <w:t>These</w:t>
      </w:r>
      <w:r>
        <w:rPr>
          <w:spacing w:val="-6"/>
        </w:rPr>
        <w:t xml:space="preserve"> </w:t>
      </w:r>
      <w:r>
        <w:t>response</w:t>
      </w:r>
      <w:r>
        <w:rPr>
          <w:spacing w:val="-6"/>
        </w:rPr>
        <w:t xml:space="preserve"> </w:t>
      </w:r>
      <w:r>
        <w:t>rates</w:t>
      </w:r>
      <w:r>
        <w:rPr>
          <w:spacing w:val="-6"/>
        </w:rPr>
        <w:t xml:space="preserve"> </w:t>
      </w:r>
      <w:r>
        <w:t>are based on the original sample of schools (excluding substitutes).</w:t>
      </w:r>
    </w:p>
    <w:p w:rsidR="003F5784" w14:paraId="4613DC4F" w14:textId="77777777">
      <w:pPr>
        <w:pStyle w:val="BodyText"/>
        <w:spacing w:before="98"/>
      </w:pPr>
    </w:p>
    <w:p w:rsidR="003F5784" w14:paraId="02F7ADA0" w14:textId="77777777">
      <w:pPr>
        <w:pStyle w:val="Heading2"/>
        <w:spacing w:line="232" w:lineRule="auto"/>
        <w:ind w:right="179"/>
      </w:pPr>
      <w:r>
        <w:t>Eligible</w:t>
      </w:r>
      <w:r>
        <w:rPr>
          <w:spacing w:val="-8"/>
        </w:rPr>
        <w:t xml:space="preserve"> </w:t>
      </w:r>
      <w:r>
        <w:t>and</w:t>
      </w:r>
      <w:r>
        <w:rPr>
          <w:spacing w:val="-8"/>
        </w:rPr>
        <w:t xml:space="preserve"> </w:t>
      </w:r>
      <w:r>
        <w:t>participating</w:t>
      </w:r>
      <w:r>
        <w:rPr>
          <w:spacing w:val="-8"/>
        </w:rPr>
        <w:t xml:space="preserve"> </w:t>
      </w:r>
      <w:r>
        <w:t>school</w:t>
      </w:r>
      <w:r>
        <w:rPr>
          <w:spacing w:val="-8"/>
        </w:rPr>
        <w:t xml:space="preserve"> </w:t>
      </w:r>
      <w:r>
        <w:t>counts</w:t>
      </w:r>
      <w:r>
        <w:rPr>
          <w:spacing w:val="-8"/>
        </w:rPr>
        <w:t xml:space="preserve"> </w:t>
      </w:r>
      <w:r>
        <w:t>and</w:t>
      </w:r>
      <w:r>
        <w:rPr>
          <w:spacing w:val="-8"/>
        </w:rPr>
        <w:t xml:space="preserve"> </w:t>
      </w:r>
      <w:r>
        <w:t>weighted</w:t>
      </w:r>
      <w:r>
        <w:rPr>
          <w:spacing w:val="-8"/>
        </w:rPr>
        <w:t xml:space="preserve"> </w:t>
      </w:r>
      <w:r>
        <w:t>school</w:t>
      </w:r>
      <w:r>
        <w:rPr>
          <w:spacing w:val="-8"/>
        </w:rPr>
        <w:t xml:space="preserve"> </w:t>
      </w:r>
      <w:r>
        <w:t>response</w:t>
      </w:r>
      <w:r>
        <w:rPr>
          <w:spacing w:val="-8"/>
        </w:rPr>
        <w:t xml:space="preserve"> </w:t>
      </w:r>
      <w:r>
        <w:t>rates</w:t>
      </w:r>
      <w:r>
        <w:rPr>
          <w:spacing w:val="-8"/>
        </w:rPr>
        <w:t xml:space="preserve"> </w:t>
      </w:r>
      <w:r>
        <w:t>for</w:t>
      </w:r>
      <w:r>
        <w:rPr>
          <w:spacing w:val="-11"/>
        </w:rPr>
        <w:t xml:space="preserve"> </w:t>
      </w:r>
      <w:r>
        <w:t>eighth-grade</w:t>
      </w:r>
      <w:r>
        <w:rPr>
          <w:spacing w:val="-8"/>
        </w:rPr>
        <w:t xml:space="preserve"> </w:t>
      </w:r>
      <w:r>
        <w:t>private</w:t>
      </w:r>
      <w:r>
        <w:rPr>
          <w:spacing w:val="-8"/>
        </w:rPr>
        <w:t xml:space="preserve"> </w:t>
      </w:r>
      <w:r>
        <w:t>schools,</w:t>
      </w:r>
      <w:r>
        <w:rPr>
          <w:spacing w:val="-8"/>
        </w:rPr>
        <w:t xml:space="preserve"> </w:t>
      </w:r>
      <w:r>
        <w:t>national</w:t>
      </w:r>
      <w:r>
        <w:rPr>
          <w:spacing w:val="-8"/>
        </w:rPr>
        <w:t xml:space="preserve"> </w:t>
      </w:r>
      <w:r>
        <w:t>civics</w:t>
      </w:r>
      <w:r>
        <w:rPr>
          <w:spacing w:val="-8"/>
        </w:rPr>
        <w:t xml:space="preserve"> </w:t>
      </w:r>
      <w:r>
        <w:t>and</w:t>
      </w:r>
      <w:r>
        <w:rPr>
          <w:spacing w:val="-8"/>
        </w:rPr>
        <w:t xml:space="preserve"> </w:t>
      </w:r>
      <w:r>
        <w:t>U.S.</w:t>
      </w:r>
      <w:r>
        <w:rPr>
          <w:spacing w:val="-8"/>
        </w:rPr>
        <w:t xml:space="preserve"> </w:t>
      </w:r>
      <w:r>
        <w:t>history</w:t>
      </w:r>
      <w:r>
        <w:rPr>
          <w:spacing w:val="-8"/>
        </w:rPr>
        <w:t xml:space="preserve"> </w:t>
      </w:r>
      <w:r>
        <w:t>assessments,</w:t>
      </w:r>
      <w:r>
        <w:rPr>
          <w:spacing w:val="-8"/>
        </w:rPr>
        <w:t xml:space="preserve"> </w:t>
      </w:r>
      <w:r>
        <w:t>by school type: 2022</w:t>
      </w:r>
    </w:p>
    <w:p w:rsidR="003F5784" w14:paraId="72CC8E51" w14:textId="77777777">
      <w:pPr>
        <w:pStyle w:val="BodyText"/>
        <w:spacing w:before="1"/>
        <w:rPr>
          <w:b/>
          <w:sz w:val="12"/>
        </w:rPr>
      </w:pPr>
    </w:p>
    <w:tbl>
      <w:tblPr>
        <w:tblW w:w="0" w:type="auto"/>
        <w:tblInd w:w="482" w:type="dxa"/>
        <w:tblLayout w:type="fixed"/>
        <w:tblCellMar>
          <w:left w:w="0" w:type="dxa"/>
          <w:right w:w="0" w:type="dxa"/>
        </w:tblCellMar>
        <w:tblLook w:val="01E0"/>
      </w:tblPr>
      <w:tblGrid>
        <w:gridCol w:w="2007"/>
        <w:gridCol w:w="4256"/>
        <w:gridCol w:w="3724"/>
        <w:gridCol w:w="3999"/>
      </w:tblGrid>
      <w:tr w14:paraId="03E2C331" w14:textId="77777777">
        <w:tblPrEx>
          <w:tblW w:w="0" w:type="auto"/>
          <w:tblInd w:w="482" w:type="dxa"/>
          <w:tblLayout w:type="fixed"/>
          <w:tblCellMar>
            <w:left w:w="0" w:type="dxa"/>
            <w:right w:w="0" w:type="dxa"/>
          </w:tblCellMar>
          <w:tblLook w:val="01E0"/>
        </w:tblPrEx>
        <w:trPr>
          <w:trHeight w:val="267"/>
        </w:trPr>
        <w:tc>
          <w:tcPr>
            <w:tcW w:w="2007" w:type="dxa"/>
            <w:tcBorders>
              <w:top w:val="single" w:sz="18" w:space="0" w:color="800000"/>
              <w:bottom w:val="single" w:sz="18" w:space="0" w:color="800000"/>
            </w:tcBorders>
          </w:tcPr>
          <w:p w:rsidR="003F5784" w14:paraId="2C7CA64D" w14:textId="77777777">
            <w:pPr>
              <w:pStyle w:val="TableParagraph"/>
              <w:spacing w:before="9" w:line="238" w:lineRule="exact"/>
              <w:ind w:left="120"/>
              <w:jc w:val="left"/>
              <w:rPr>
                <w:sz w:val="21"/>
              </w:rPr>
            </w:pPr>
            <w:r>
              <w:rPr>
                <w:sz w:val="21"/>
              </w:rPr>
              <w:t>School</w:t>
            </w:r>
            <w:r>
              <w:rPr>
                <w:spacing w:val="-7"/>
                <w:sz w:val="21"/>
              </w:rPr>
              <w:t xml:space="preserve"> </w:t>
            </w:r>
            <w:r>
              <w:rPr>
                <w:spacing w:val="-4"/>
                <w:sz w:val="21"/>
              </w:rPr>
              <w:t>type</w:t>
            </w:r>
          </w:p>
        </w:tc>
        <w:tc>
          <w:tcPr>
            <w:tcW w:w="4256" w:type="dxa"/>
            <w:tcBorders>
              <w:top w:val="single" w:sz="18" w:space="0" w:color="800000"/>
              <w:bottom w:val="single" w:sz="18" w:space="0" w:color="800000"/>
            </w:tcBorders>
          </w:tcPr>
          <w:p w:rsidR="003F5784" w14:paraId="45049F87" w14:textId="77777777">
            <w:pPr>
              <w:pStyle w:val="TableParagraph"/>
              <w:spacing w:before="9" w:line="238" w:lineRule="exact"/>
              <w:ind w:right="491"/>
              <w:rPr>
                <w:sz w:val="21"/>
              </w:rPr>
            </w:pPr>
            <w:r>
              <w:rPr>
                <w:sz w:val="21"/>
              </w:rPr>
              <w:t>Number</w:t>
            </w:r>
            <w:r>
              <w:rPr>
                <w:spacing w:val="-7"/>
                <w:sz w:val="21"/>
              </w:rPr>
              <w:t xml:space="preserve"> </w:t>
            </w:r>
            <w:r>
              <w:rPr>
                <w:sz w:val="21"/>
              </w:rPr>
              <w:t>of</w:t>
            </w:r>
            <w:r>
              <w:rPr>
                <w:spacing w:val="-6"/>
                <w:sz w:val="21"/>
              </w:rPr>
              <w:t xml:space="preserve"> </w:t>
            </w:r>
            <w:r>
              <w:rPr>
                <w:sz w:val="21"/>
              </w:rPr>
              <w:t>eligible</w:t>
            </w:r>
            <w:r>
              <w:rPr>
                <w:spacing w:val="-7"/>
                <w:sz w:val="21"/>
              </w:rPr>
              <w:t xml:space="preserve"> </w:t>
            </w:r>
            <w:r>
              <w:rPr>
                <w:sz w:val="21"/>
              </w:rPr>
              <w:t>sampled</w:t>
            </w:r>
            <w:r>
              <w:rPr>
                <w:spacing w:val="-6"/>
                <w:sz w:val="21"/>
              </w:rPr>
              <w:t xml:space="preserve"> </w:t>
            </w:r>
            <w:r>
              <w:rPr>
                <w:spacing w:val="-2"/>
                <w:sz w:val="21"/>
              </w:rPr>
              <w:t>schools</w:t>
            </w:r>
          </w:p>
        </w:tc>
        <w:tc>
          <w:tcPr>
            <w:tcW w:w="3724" w:type="dxa"/>
            <w:tcBorders>
              <w:top w:val="single" w:sz="18" w:space="0" w:color="800000"/>
              <w:bottom w:val="single" w:sz="18" w:space="0" w:color="800000"/>
            </w:tcBorders>
          </w:tcPr>
          <w:p w:rsidR="003F5784" w14:paraId="5D68E9CA" w14:textId="77777777">
            <w:pPr>
              <w:pStyle w:val="TableParagraph"/>
              <w:spacing w:before="9" w:line="238" w:lineRule="exact"/>
              <w:ind w:right="536"/>
              <w:rPr>
                <w:sz w:val="21"/>
              </w:rPr>
            </w:pPr>
            <w:r>
              <w:rPr>
                <w:sz w:val="21"/>
              </w:rPr>
              <w:t>Number</w:t>
            </w:r>
            <w:r>
              <w:rPr>
                <w:spacing w:val="-8"/>
                <w:sz w:val="21"/>
              </w:rPr>
              <w:t xml:space="preserve"> </w:t>
            </w:r>
            <w:r>
              <w:rPr>
                <w:sz w:val="21"/>
              </w:rPr>
              <w:t>of</w:t>
            </w:r>
            <w:r>
              <w:rPr>
                <w:spacing w:val="-7"/>
                <w:sz w:val="21"/>
              </w:rPr>
              <w:t xml:space="preserve"> </w:t>
            </w:r>
            <w:r>
              <w:rPr>
                <w:sz w:val="21"/>
              </w:rPr>
              <w:t>participating</w:t>
            </w:r>
            <w:r>
              <w:rPr>
                <w:spacing w:val="-8"/>
                <w:sz w:val="21"/>
              </w:rPr>
              <w:t xml:space="preserve"> </w:t>
            </w:r>
            <w:r>
              <w:rPr>
                <w:spacing w:val="-2"/>
                <w:sz w:val="21"/>
              </w:rPr>
              <w:t>schools</w:t>
            </w:r>
          </w:p>
        </w:tc>
        <w:tc>
          <w:tcPr>
            <w:tcW w:w="3999" w:type="dxa"/>
            <w:tcBorders>
              <w:top w:val="single" w:sz="18" w:space="0" w:color="800000"/>
              <w:bottom w:val="single" w:sz="18" w:space="0" w:color="800000"/>
            </w:tcBorders>
          </w:tcPr>
          <w:p w:rsidR="003F5784" w14:paraId="1CDDCBDE" w14:textId="77777777">
            <w:pPr>
              <w:pStyle w:val="TableParagraph"/>
              <w:spacing w:before="9" w:line="238" w:lineRule="exact"/>
              <w:ind w:right="119"/>
              <w:rPr>
                <w:sz w:val="21"/>
              </w:rPr>
            </w:pPr>
            <w:r>
              <w:rPr>
                <w:sz w:val="21"/>
              </w:rPr>
              <w:t>Weighted</w:t>
            </w:r>
            <w:r>
              <w:rPr>
                <w:spacing w:val="-12"/>
                <w:sz w:val="21"/>
              </w:rPr>
              <w:t xml:space="preserve"> </w:t>
            </w:r>
            <w:r>
              <w:rPr>
                <w:sz w:val="21"/>
              </w:rPr>
              <w:t>school</w:t>
            </w:r>
            <w:r>
              <w:rPr>
                <w:spacing w:val="-11"/>
                <w:sz w:val="21"/>
              </w:rPr>
              <w:t xml:space="preserve"> </w:t>
            </w:r>
            <w:r>
              <w:rPr>
                <w:sz w:val="21"/>
              </w:rPr>
              <w:t>response</w:t>
            </w:r>
            <w:r>
              <w:rPr>
                <w:spacing w:val="-11"/>
                <w:sz w:val="21"/>
              </w:rPr>
              <w:t xml:space="preserve"> </w:t>
            </w:r>
            <w:r>
              <w:rPr>
                <w:sz w:val="21"/>
              </w:rPr>
              <w:t>rate</w:t>
            </w:r>
            <w:r>
              <w:rPr>
                <w:spacing w:val="-12"/>
                <w:sz w:val="21"/>
              </w:rPr>
              <w:t xml:space="preserve"> </w:t>
            </w:r>
            <w:r>
              <w:rPr>
                <w:spacing w:val="-2"/>
                <w:sz w:val="21"/>
              </w:rPr>
              <w:t>(percent)</w:t>
            </w:r>
          </w:p>
        </w:tc>
      </w:tr>
      <w:tr w14:paraId="14CB1192" w14:textId="77777777">
        <w:tblPrEx>
          <w:tblW w:w="0" w:type="auto"/>
          <w:tblInd w:w="482" w:type="dxa"/>
          <w:tblLayout w:type="fixed"/>
          <w:tblCellMar>
            <w:left w:w="0" w:type="dxa"/>
            <w:right w:w="0" w:type="dxa"/>
          </w:tblCellMar>
          <w:tblLook w:val="01E0"/>
        </w:tblPrEx>
        <w:trPr>
          <w:trHeight w:val="278"/>
        </w:trPr>
        <w:tc>
          <w:tcPr>
            <w:tcW w:w="2007" w:type="dxa"/>
            <w:tcBorders>
              <w:top w:val="single" w:sz="18" w:space="0" w:color="800000"/>
            </w:tcBorders>
          </w:tcPr>
          <w:p w:rsidR="003F5784" w14:paraId="2D66E37A" w14:textId="77777777">
            <w:pPr>
              <w:pStyle w:val="TableParagraph"/>
              <w:spacing w:before="9"/>
              <w:ind w:left="370"/>
              <w:jc w:val="left"/>
              <w:rPr>
                <w:b/>
                <w:sz w:val="21"/>
              </w:rPr>
            </w:pPr>
            <w:r>
              <w:rPr>
                <w:b/>
                <w:sz w:val="21"/>
              </w:rPr>
              <w:t>All</w:t>
            </w:r>
            <w:r>
              <w:rPr>
                <w:b/>
                <w:spacing w:val="-4"/>
                <w:sz w:val="21"/>
              </w:rPr>
              <w:t xml:space="preserve"> </w:t>
            </w:r>
            <w:r>
              <w:rPr>
                <w:b/>
                <w:spacing w:val="-2"/>
                <w:sz w:val="21"/>
              </w:rPr>
              <w:t>private</w:t>
            </w:r>
          </w:p>
        </w:tc>
        <w:tc>
          <w:tcPr>
            <w:tcW w:w="4256" w:type="dxa"/>
            <w:tcBorders>
              <w:top w:val="single" w:sz="18" w:space="0" w:color="800000"/>
            </w:tcBorders>
          </w:tcPr>
          <w:p w:rsidR="003F5784" w14:paraId="5F318D65" w14:textId="77777777">
            <w:pPr>
              <w:pStyle w:val="TableParagraph"/>
              <w:spacing w:before="9"/>
              <w:ind w:right="491"/>
              <w:rPr>
                <w:b/>
                <w:sz w:val="21"/>
              </w:rPr>
            </w:pPr>
            <w:r>
              <w:rPr>
                <w:b/>
                <w:spacing w:val="-5"/>
                <w:sz w:val="21"/>
              </w:rPr>
              <w:t>130</w:t>
            </w:r>
          </w:p>
        </w:tc>
        <w:tc>
          <w:tcPr>
            <w:tcW w:w="3724" w:type="dxa"/>
            <w:tcBorders>
              <w:top w:val="single" w:sz="18" w:space="0" w:color="800000"/>
            </w:tcBorders>
          </w:tcPr>
          <w:p w:rsidR="003F5784" w14:paraId="0B0A3FE0" w14:textId="77777777">
            <w:pPr>
              <w:pStyle w:val="TableParagraph"/>
              <w:spacing w:before="9"/>
              <w:ind w:right="536"/>
              <w:rPr>
                <w:b/>
                <w:sz w:val="21"/>
              </w:rPr>
            </w:pPr>
            <w:r>
              <w:rPr>
                <w:b/>
                <w:spacing w:val="-5"/>
                <w:sz w:val="21"/>
              </w:rPr>
              <w:t>50</w:t>
            </w:r>
          </w:p>
        </w:tc>
        <w:tc>
          <w:tcPr>
            <w:tcW w:w="3999" w:type="dxa"/>
            <w:tcBorders>
              <w:top w:val="single" w:sz="18" w:space="0" w:color="800000"/>
            </w:tcBorders>
          </w:tcPr>
          <w:p w:rsidR="003F5784" w14:paraId="2341223C" w14:textId="77777777">
            <w:pPr>
              <w:pStyle w:val="TableParagraph"/>
              <w:spacing w:before="9"/>
              <w:ind w:right="119"/>
              <w:rPr>
                <w:b/>
                <w:sz w:val="21"/>
              </w:rPr>
            </w:pPr>
            <w:r>
              <w:rPr>
                <w:b/>
                <w:spacing w:val="-2"/>
                <w:sz w:val="21"/>
              </w:rPr>
              <w:t>33.59</w:t>
            </w:r>
          </w:p>
        </w:tc>
      </w:tr>
      <w:tr w14:paraId="6ABEC0F3" w14:textId="77777777">
        <w:tblPrEx>
          <w:tblW w:w="0" w:type="auto"/>
          <w:tblInd w:w="482" w:type="dxa"/>
          <w:tblLayout w:type="fixed"/>
          <w:tblCellMar>
            <w:left w:w="0" w:type="dxa"/>
            <w:right w:w="0" w:type="dxa"/>
          </w:tblCellMar>
          <w:tblLook w:val="01E0"/>
        </w:tblPrEx>
        <w:trPr>
          <w:trHeight w:val="286"/>
        </w:trPr>
        <w:tc>
          <w:tcPr>
            <w:tcW w:w="2007" w:type="dxa"/>
          </w:tcPr>
          <w:p w:rsidR="003F5784" w14:paraId="4D6DC33D" w14:textId="77777777">
            <w:pPr>
              <w:pStyle w:val="TableParagraph"/>
              <w:ind w:left="120"/>
              <w:jc w:val="left"/>
              <w:rPr>
                <w:sz w:val="21"/>
              </w:rPr>
            </w:pPr>
            <w:r>
              <w:rPr>
                <w:spacing w:val="-2"/>
                <w:sz w:val="21"/>
              </w:rPr>
              <w:t>Catholic</w:t>
            </w:r>
          </w:p>
        </w:tc>
        <w:tc>
          <w:tcPr>
            <w:tcW w:w="4256" w:type="dxa"/>
          </w:tcPr>
          <w:p w:rsidR="003F5784" w14:paraId="06E7D3A7" w14:textId="77777777">
            <w:pPr>
              <w:pStyle w:val="TableParagraph"/>
              <w:ind w:right="491"/>
              <w:rPr>
                <w:sz w:val="21"/>
              </w:rPr>
            </w:pPr>
            <w:r>
              <w:rPr>
                <w:spacing w:val="-5"/>
                <w:sz w:val="21"/>
              </w:rPr>
              <w:t>40</w:t>
            </w:r>
          </w:p>
        </w:tc>
        <w:tc>
          <w:tcPr>
            <w:tcW w:w="3724" w:type="dxa"/>
          </w:tcPr>
          <w:p w:rsidR="003F5784" w14:paraId="06AF7501" w14:textId="77777777">
            <w:pPr>
              <w:pStyle w:val="TableParagraph"/>
              <w:ind w:right="536"/>
              <w:rPr>
                <w:sz w:val="21"/>
              </w:rPr>
            </w:pPr>
            <w:r>
              <w:rPr>
                <w:spacing w:val="-5"/>
                <w:sz w:val="21"/>
              </w:rPr>
              <w:t>30</w:t>
            </w:r>
          </w:p>
        </w:tc>
        <w:tc>
          <w:tcPr>
            <w:tcW w:w="3999" w:type="dxa"/>
          </w:tcPr>
          <w:p w:rsidR="003F5784" w14:paraId="142857D8" w14:textId="77777777">
            <w:pPr>
              <w:pStyle w:val="TableParagraph"/>
              <w:ind w:right="119"/>
              <w:rPr>
                <w:sz w:val="21"/>
              </w:rPr>
            </w:pPr>
            <w:r>
              <w:rPr>
                <w:spacing w:val="-2"/>
                <w:sz w:val="21"/>
              </w:rPr>
              <w:t>61.74</w:t>
            </w:r>
          </w:p>
        </w:tc>
      </w:tr>
      <w:tr w14:paraId="38079110" w14:textId="77777777">
        <w:tblPrEx>
          <w:tblW w:w="0" w:type="auto"/>
          <w:tblInd w:w="482" w:type="dxa"/>
          <w:tblLayout w:type="fixed"/>
          <w:tblCellMar>
            <w:left w:w="0" w:type="dxa"/>
            <w:right w:w="0" w:type="dxa"/>
          </w:tblCellMar>
          <w:tblLook w:val="01E0"/>
        </w:tblPrEx>
        <w:trPr>
          <w:trHeight w:val="288"/>
        </w:trPr>
        <w:tc>
          <w:tcPr>
            <w:tcW w:w="2007" w:type="dxa"/>
            <w:tcBorders>
              <w:bottom w:val="single" w:sz="18" w:space="0" w:color="800000"/>
            </w:tcBorders>
          </w:tcPr>
          <w:p w:rsidR="003F5784" w14:paraId="32FD0F0F" w14:textId="77777777">
            <w:pPr>
              <w:pStyle w:val="TableParagraph"/>
              <w:ind w:left="120"/>
              <w:jc w:val="left"/>
              <w:rPr>
                <w:sz w:val="21"/>
              </w:rPr>
            </w:pPr>
            <w:r>
              <w:rPr>
                <w:spacing w:val="-2"/>
                <w:sz w:val="21"/>
              </w:rPr>
              <w:t>Non-Catholic</w:t>
            </w:r>
          </w:p>
        </w:tc>
        <w:tc>
          <w:tcPr>
            <w:tcW w:w="4256" w:type="dxa"/>
            <w:tcBorders>
              <w:bottom w:val="single" w:sz="18" w:space="0" w:color="800000"/>
            </w:tcBorders>
          </w:tcPr>
          <w:p w:rsidR="003F5784" w14:paraId="313771B1" w14:textId="77777777">
            <w:pPr>
              <w:pStyle w:val="TableParagraph"/>
              <w:ind w:right="491"/>
              <w:rPr>
                <w:sz w:val="21"/>
              </w:rPr>
            </w:pPr>
            <w:r>
              <w:rPr>
                <w:spacing w:val="-5"/>
                <w:sz w:val="21"/>
              </w:rPr>
              <w:t>100</w:t>
            </w:r>
          </w:p>
        </w:tc>
        <w:tc>
          <w:tcPr>
            <w:tcW w:w="3724" w:type="dxa"/>
            <w:tcBorders>
              <w:bottom w:val="single" w:sz="18" w:space="0" w:color="800000"/>
            </w:tcBorders>
          </w:tcPr>
          <w:p w:rsidR="003F5784" w14:paraId="37115277" w14:textId="77777777">
            <w:pPr>
              <w:pStyle w:val="TableParagraph"/>
              <w:ind w:right="536"/>
              <w:rPr>
                <w:sz w:val="21"/>
              </w:rPr>
            </w:pPr>
            <w:r>
              <w:rPr>
                <w:spacing w:val="-5"/>
                <w:sz w:val="21"/>
              </w:rPr>
              <w:t>20</w:t>
            </w:r>
          </w:p>
        </w:tc>
        <w:tc>
          <w:tcPr>
            <w:tcW w:w="3999" w:type="dxa"/>
            <w:tcBorders>
              <w:bottom w:val="single" w:sz="18" w:space="0" w:color="800000"/>
            </w:tcBorders>
          </w:tcPr>
          <w:p w:rsidR="003F5784" w14:paraId="2E957DCB" w14:textId="77777777">
            <w:pPr>
              <w:pStyle w:val="TableParagraph"/>
              <w:ind w:right="119"/>
              <w:rPr>
                <w:sz w:val="21"/>
              </w:rPr>
            </w:pPr>
            <w:r>
              <w:rPr>
                <w:spacing w:val="-2"/>
                <w:sz w:val="21"/>
              </w:rPr>
              <w:t>15.03</w:t>
            </w:r>
          </w:p>
        </w:tc>
      </w:tr>
      <w:tr w14:paraId="48E764A4" w14:textId="77777777">
        <w:tblPrEx>
          <w:tblW w:w="0" w:type="auto"/>
          <w:tblInd w:w="482" w:type="dxa"/>
          <w:tblLayout w:type="fixed"/>
          <w:tblCellMar>
            <w:left w:w="0" w:type="dxa"/>
            <w:right w:w="0" w:type="dxa"/>
          </w:tblCellMar>
          <w:tblLook w:val="01E0"/>
        </w:tblPrEx>
        <w:trPr>
          <w:trHeight w:val="237"/>
        </w:trPr>
        <w:tc>
          <w:tcPr>
            <w:tcW w:w="9987" w:type="dxa"/>
            <w:gridSpan w:val="3"/>
            <w:tcBorders>
              <w:top w:val="single" w:sz="18" w:space="0" w:color="800000"/>
            </w:tcBorders>
          </w:tcPr>
          <w:p w:rsidR="003F5784" w14:paraId="1554F51F" w14:textId="77777777">
            <w:pPr>
              <w:pStyle w:val="TableParagraph"/>
              <w:spacing w:before="0" w:line="218" w:lineRule="exact"/>
              <w:ind w:left="120"/>
              <w:jc w:val="left"/>
              <w:rPr>
                <w:sz w:val="21"/>
              </w:rPr>
            </w:pPr>
            <w:r>
              <w:rPr>
                <w:sz w:val="21"/>
              </w:rPr>
              <w:t>NOTE:</w:t>
            </w:r>
            <w:r>
              <w:rPr>
                <w:spacing w:val="-6"/>
                <w:sz w:val="21"/>
              </w:rPr>
              <w:t xml:space="preserve"> </w:t>
            </w:r>
            <w:r>
              <w:rPr>
                <w:sz w:val="21"/>
              </w:rPr>
              <w:t>Detail</w:t>
            </w:r>
            <w:r>
              <w:rPr>
                <w:spacing w:val="-6"/>
                <w:sz w:val="21"/>
              </w:rPr>
              <w:t xml:space="preserve"> </w:t>
            </w:r>
            <w:r>
              <w:rPr>
                <w:sz w:val="21"/>
              </w:rPr>
              <w:t>may</w:t>
            </w:r>
            <w:r>
              <w:rPr>
                <w:spacing w:val="-5"/>
                <w:sz w:val="21"/>
              </w:rPr>
              <w:t xml:space="preserve"> </w:t>
            </w:r>
            <w:r>
              <w:rPr>
                <w:sz w:val="21"/>
              </w:rPr>
              <w:t>not</w:t>
            </w:r>
            <w:r>
              <w:rPr>
                <w:spacing w:val="-6"/>
                <w:sz w:val="21"/>
              </w:rPr>
              <w:t xml:space="preserve"> </w:t>
            </w:r>
            <w:r>
              <w:rPr>
                <w:sz w:val="21"/>
              </w:rPr>
              <w:t>sum</w:t>
            </w:r>
            <w:r>
              <w:rPr>
                <w:spacing w:val="-5"/>
                <w:sz w:val="21"/>
              </w:rPr>
              <w:t xml:space="preserve"> </w:t>
            </w:r>
            <w:r>
              <w:rPr>
                <w:sz w:val="21"/>
              </w:rPr>
              <w:t>to</w:t>
            </w:r>
            <w:r>
              <w:rPr>
                <w:spacing w:val="-6"/>
                <w:sz w:val="21"/>
              </w:rPr>
              <w:t xml:space="preserve"> </w:t>
            </w:r>
            <w:r>
              <w:rPr>
                <w:sz w:val="21"/>
              </w:rPr>
              <w:t>total</w:t>
            </w:r>
            <w:r>
              <w:rPr>
                <w:spacing w:val="-5"/>
                <w:sz w:val="21"/>
              </w:rPr>
              <w:t xml:space="preserve"> </w:t>
            </w:r>
            <w:r>
              <w:rPr>
                <w:sz w:val="21"/>
              </w:rPr>
              <w:t>due</w:t>
            </w:r>
            <w:r>
              <w:rPr>
                <w:spacing w:val="-6"/>
                <w:sz w:val="21"/>
              </w:rPr>
              <w:t xml:space="preserve"> </w:t>
            </w:r>
            <w:r>
              <w:rPr>
                <w:sz w:val="21"/>
              </w:rPr>
              <w:t>to</w:t>
            </w:r>
            <w:r>
              <w:rPr>
                <w:spacing w:val="-5"/>
                <w:sz w:val="21"/>
              </w:rPr>
              <w:t xml:space="preserve"> </w:t>
            </w:r>
            <w:r>
              <w:rPr>
                <w:sz w:val="21"/>
              </w:rPr>
              <w:t>rounding.</w:t>
            </w:r>
            <w:r>
              <w:rPr>
                <w:spacing w:val="-6"/>
                <w:sz w:val="21"/>
              </w:rPr>
              <w:t xml:space="preserve"> </w:t>
            </w:r>
            <w:r>
              <w:rPr>
                <w:sz w:val="21"/>
              </w:rPr>
              <w:t>Percentages</w:t>
            </w:r>
            <w:r>
              <w:rPr>
                <w:spacing w:val="-5"/>
                <w:sz w:val="21"/>
              </w:rPr>
              <w:t xml:space="preserve"> </w:t>
            </w:r>
            <w:r>
              <w:rPr>
                <w:sz w:val="21"/>
              </w:rPr>
              <w:t>are</w:t>
            </w:r>
            <w:r>
              <w:rPr>
                <w:spacing w:val="-6"/>
                <w:sz w:val="21"/>
              </w:rPr>
              <w:t xml:space="preserve"> </w:t>
            </w:r>
            <w:r>
              <w:rPr>
                <w:sz w:val="21"/>
              </w:rPr>
              <w:t>based</w:t>
            </w:r>
            <w:r>
              <w:rPr>
                <w:spacing w:val="-5"/>
                <w:sz w:val="21"/>
              </w:rPr>
              <w:t xml:space="preserve"> </w:t>
            </w:r>
            <w:r>
              <w:rPr>
                <w:sz w:val="21"/>
              </w:rPr>
              <w:t>on</w:t>
            </w:r>
            <w:r>
              <w:rPr>
                <w:spacing w:val="-6"/>
                <w:sz w:val="21"/>
              </w:rPr>
              <w:t xml:space="preserve"> </w:t>
            </w:r>
            <w:r>
              <w:rPr>
                <w:sz w:val="21"/>
              </w:rPr>
              <w:t>unrounded</w:t>
            </w:r>
            <w:r>
              <w:rPr>
                <w:spacing w:val="-5"/>
                <w:sz w:val="21"/>
              </w:rPr>
              <w:t xml:space="preserve"> </w:t>
            </w:r>
            <w:r>
              <w:rPr>
                <w:spacing w:val="-2"/>
                <w:sz w:val="21"/>
              </w:rPr>
              <w:t>counts.</w:t>
            </w:r>
          </w:p>
        </w:tc>
        <w:tc>
          <w:tcPr>
            <w:tcW w:w="3999" w:type="dxa"/>
            <w:tcBorders>
              <w:top w:val="single" w:sz="18" w:space="0" w:color="800000"/>
            </w:tcBorders>
          </w:tcPr>
          <w:p w:rsidR="003F5784" w14:paraId="774C65B9" w14:textId="77777777">
            <w:pPr>
              <w:pStyle w:val="TableParagraph"/>
              <w:spacing w:before="0"/>
              <w:jc w:val="left"/>
              <w:rPr>
                <w:sz w:val="16"/>
              </w:rPr>
            </w:pPr>
          </w:p>
        </w:tc>
      </w:tr>
    </w:tbl>
    <w:p w:rsidR="003F5784" w14:paraId="700CB9EC" w14:textId="77777777">
      <w:pPr>
        <w:pStyle w:val="BodyText"/>
        <w:spacing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National Civics and U.S. History Assessments.</w:t>
      </w:r>
    </w:p>
    <w:p w:rsidR="003F5784" w14:paraId="3345847A" w14:textId="77777777">
      <w:pPr>
        <w:spacing w:line="232" w:lineRule="auto"/>
        <w:sectPr>
          <w:pgSz w:w="15840" w:h="12240" w:orient="landscape"/>
          <w:pgMar w:top="480" w:right="440" w:bottom="460" w:left="460" w:header="284" w:footer="275" w:gutter="0"/>
          <w:cols w:space="720"/>
        </w:sectPr>
      </w:pPr>
    </w:p>
    <w:p w:rsidR="003F5784" w14:paraId="0CF80BF9" w14:textId="77777777">
      <w:pPr>
        <w:pStyle w:val="BodyText"/>
        <w:rPr>
          <w:sz w:val="18"/>
        </w:rPr>
      </w:pPr>
    </w:p>
    <w:p w:rsidR="003F5784" w14:paraId="22F00628" w14:textId="77777777">
      <w:pPr>
        <w:pStyle w:val="BodyText"/>
        <w:rPr>
          <w:sz w:val="18"/>
        </w:rPr>
      </w:pPr>
    </w:p>
    <w:p w:rsidR="003F5784" w14:paraId="6D28F6EF" w14:textId="77777777">
      <w:pPr>
        <w:pStyle w:val="BodyText"/>
        <w:rPr>
          <w:sz w:val="18"/>
        </w:rPr>
      </w:pPr>
    </w:p>
    <w:p w:rsidR="003F5784" w14:paraId="579616D3" w14:textId="77777777">
      <w:pPr>
        <w:pStyle w:val="BodyText"/>
        <w:rPr>
          <w:sz w:val="18"/>
        </w:rPr>
      </w:pPr>
    </w:p>
    <w:p w:rsidR="003F5784" w14:paraId="33F67AFD" w14:textId="77777777">
      <w:pPr>
        <w:pStyle w:val="BodyText"/>
        <w:spacing w:before="173"/>
        <w:rPr>
          <w:sz w:val="18"/>
        </w:rPr>
      </w:pPr>
    </w:p>
    <w:p w:rsidR="003F5784" w14:paraId="11D909B0" w14:textId="77777777">
      <w:pPr>
        <w:ind w:right="113"/>
        <w:jc w:val="right"/>
        <w:rPr>
          <w:sz w:val="18"/>
        </w:rPr>
      </w:pPr>
      <w:hyperlink r:id="rId25">
        <w:r>
          <w:rPr>
            <w:spacing w:val="-2"/>
            <w:w w:val="105"/>
            <w:sz w:val="18"/>
          </w:rPr>
          <w:t>http://nces.ed.gov/nationsreportcard/tdw/sample_design/2022/weighted_school_response_rates_for_the_2022_8th_grade_private_school_nat_assess_in_civics_and_us_history.aspx</w:t>
        </w:r>
      </w:hyperlink>
    </w:p>
    <w:p w:rsidR="003F5784" w14:paraId="4E556D3E" w14:textId="77777777">
      <w:pPr>
        <w:pStyle w:val="BodyText"/>
        <w:spacing w:before="1"/>
        <w:rPr>
          <w:sz w:val="16"/>
        </w:rPr>
      </w:pPr>
      <w:r>
        <w:rPr>
          <w:noProof/>
        </w:rPr>
        <mc:AlternateContent>
          <mc:Choice Requires="wps">
            <w:drawing>
              <wp:anchor distT="0" distB="0" distL="0" distR="0" simplePos="0" relativeHeight="251737088" behindDoc="1" locked="0" layoutInCell="1" allowOverlap="1">
                <wp:simplePos x="0" y="0"/>
                <wp:positionH relativeFrom="page">
                  <wp:posOffset>361937</wp:posOffset>
                </wp:positionH>
                <wp:positionV relativeFrom="paragraph">
                  <wp:posOffset>132778</wp:posOffset>
                </wp:positionV>
                <wp:extent cx="9339580" cy="8890"/>
                <wp:effectExtent l="0" t="0" r="0" b="0"/>
                <wp:wrapTopAndBottom/>
                <wp:docPr id="39" name="Graphic 39"/>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8280" y="8267"/>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39" o:spid="_x0000_s1036" style="width:735.4pt;height:0.7pt;margin-top:10.45pt;margin-left:28.5pt;mso-position-horizontal-relative:page;mso-wrap-distance-bottom:0;mso-wrap-distance-left:0;mso-wrap-distance-right:0;mso-wrap-distance-top:0;mso-wrap-style:square;position:absolute;visibility:visible;v-text-anchor:top;z-index:-251578368" coordsize="9339580,8890" path="m9338970,l9335110,l8280,,,,,8267l8280,8267l9335110,8267l9338970,8267l9338970,xe" fillcolor="gray" stroked="f">
                <v:path arrowok="t"/>
                <w10:wrap type="topAndBottom"/>
              </v:shape>
            </w:pict>
          </mc:Fallback>
        </mc:AlternateContent>
      </w:r>
    </w:p>
    <w:p w:rsidR="003F5784" w14:paraId="3E4CC83A" w14:textId="77777777">
      <w:pPr>
        <w:pStyle w:val="BodyText"/>
        <w:rPr>
          <w:sz w:val="18"/>
        </w:rPr>
      </w:pPr>
    </w:p>
    <w:p w:rsidR="003F5784" w14:paraId="22AA37B5" w14:textId="77777777">
      <w:pPr>
        <w:pStyle w:val="BodyText"/>
        <w:spacing w:before="193"/>
        <w:rPr>
          <w:sz w:val="18"/>
        </w:rPr>
      </w:pPr>
    </w:p>
    <w:p w:rsidR="003F5784" w14:paraId="7727DE09" w14:textId="059339EA">
      <w:pPr>
        <w:pStyle w:val="Heading1"/>
        <w:spacing w:line="244" w:lineRule="auto"/>
        <w:ind w:right="179"/>
      </w:pPr>
      <w:r>
        <w:t>NAEP</w:t>
      </w:r>
      <w:r>
        <w:rPr>
          <w:spacing w:val="-15"/>
        </w:rPr>
        <w:t xml:space="preserve"> </w:t>
      </w:r>
      <w:r>
        <w:t>Technical Documentation</w:t>
      </w:r>
      <w:r w:rsidR="001149B0">
        <w:t xml:space="preserve"> </w:t>
      </w:r>
      <w:r>
        <w:t>Weighted Student Response and Exclusion Rates for the</w:t>
      </w:r>
      <w:r>
        <w:rPr>
          <w:spacing w:val="40"/>
        </w:rPr>
        <w:t xml:space="preserve"> </w:t>
      </w:r>
      <w:r>
        <w:t>2022</w:t>
      </w:r>
      <w:r>
        <w:rPr>
          <w:spacing w:val="40"/>
        </w:rPr>
        <w:t xml:space="preserve"> </w:t>
      </w:r>
      <w:r>
        <w:t>Eighth-Grade</w:t>
      </w:r>
      <w:r>
        <w:rPr>
          <w:spacing w:val="40"/>
        </w:rPr>
        <w:t xml:space="preserve"> </w:t>
      </w:r>
      <w:r>
        <w:t>Private</w:t>
      </w:r>
      <w:r>
        <w:rPr>
          <w:spacing w:val="40"/>
        </w:rPr>
        <w:t xml:space="preserve"> </w:t>
      </w:r>
      <w:r>
        <w:t>School</w:t>
      </w:r>
      <w:r>
        <w:rPr>
          <w:spacing w:val="40"/>
        </w:rPr>
        <w:t xml:space="preserve"> </w:t>
      </w:r>
      <w:r>
        <w:t>National</w:t>
      </w:r>
      <w:r>
        <w:rPr>
          <w:spacing w:val="40"/>
        </w:rPr>
        <w:t xml:space="preserve"> </w:t>
      </w:r>
      <w:r>
        <w:t>Civics Assessment</w:t>
      </w:r>
    </w:p>
    <w:p w:rsidR="003F5784" w14:paraId="4F7E03D1" w14:textId="77777777">
      <w:pPr>
        <w:pStyle w:val="BodyText"/>
        <w:spacing w:before="287" w:line="232" w:lineRule="auto"/>
        <w:ind w:left="109"/>
      </w:pPr>
      <w:r>
        <w:t>The</w:t>
      </w:r>
      <w:r>
        <w:rPr>
          <w:spacing w:val="-6"/>
        </w:rPr>
        <w:t xml:space="preserve"> </w:t>
      </w:r>
      <w:r>
        <w:t>following</w:t>
      </w:r>
      <w:r>
        <w:rPr>
          <w:spacing w:val="-7"/>
        </w:rPr>
        <w:t xml:space="preserve"> </w:t>
      </w:r>
      <w:r>
        <w:t>table</w:t>
      </w:r>
      <w:r>
        <w:rPr>
          <w:spacing w:val="-6"/>
        </w:rPr>
        <w:t xml:space="preserve"> </w:t>
      </w:r>
      <w:r>
        <w:t>presents</w:t>
      </w:r>
      <w:r>
        <w:rPr>
          <w:spacing w:val="-7"/>
        </w:rPr>
        <w:t xml:space="preserve"> </w:t>
      </w:r>
      <w:r>
        <w:t>weighted</w:t>
      </w:r>
      <w:r>
        <w:rPr>
          <w:spacing w:val="-6"/>
        </w:rPr>
        <w:t xml:space="preserve"> </w:t>
      </w:r>
      <w:r>
        <w:t>student</w:t>
      </w:r>
      <w:r>
        <w:rPr>
          <w:spacing w:val="-7"/>
        </w:rPr>
        <w:t xml:space="preserve"> </w:t>
      </w:r>
      <w:r>
        <w:t>response,</w:t>
      </w:r>
      <w:r>
        <w:rPr>
          <w:spacing w:val="-6"/>
        </w:rPr>
        <w:t xml:space="preserve"> </w:t>
      </w:r>
      <w:r>
        <w:t>exclusion,</w:t>
      </w:r>
      <w:r>
        <w:rPr>
          <w:spacing w:val="-7"/>
        </w:rPr>
        <w:t xml:space="preserve"> </w:t>
      </w:r>
      <w:r>
        <w:t>and</w:t>
      </w:r>
      <w:r>
        <w:rPr>
          <w:spacing w:val="-6"/>
        </w:rPr>
        <w:t xml:space="preserve"> </w:t>
      </w:r>
      <w:r>
        <w:t>full-time</w:t>
      </w:r>
      <w:r>
        <w:rPr>
          <w:spacing w:val="-7"/>
        </w:rPr>
        <w:t xml:space="preserve"> </w:t>
      </w:r>
      <w:r>
        <w:t>remote</w:t>
      </w:r>
      <w:r>
        <w:rPr>
          <w:spacing w:val="-6"/>
        </w:rPr>
        <w:t xml:space="preserve"> </w:t>
      </w:r>
      <w:r>
        <w:t>rates,</w:t>
      </w:r>
      <w:r>
        <w:rPr>
          <w:spacing w:val="-7"/>
        </w:rPr>
        <w:t xml:space="preserve"> </w:t>
      </w:r>
      <w:r>
        <w:t>by</w:t>
      </w:r>
      <w:r>
        <w:rPr>
          <w:spacing w:val="-6"/>
        </w:rPr>
        <w:t xml:space="preserve"> </w:t>
      </w:r>
      <w:r>
        <w:t>school</w:t>
      </w:r>
      <w:r>
        <w:rPr>
          <w:spacing w:val="-7"/>
        </w:rPr>
        <w:t xml:space="preserve"> </w:t>
      </w:r>
      <w:r>
        <w:t>type,</w:t>
      </w:r>
      <w:r>
        <w:rPr>
          <w:spacing w:val="-6"/>
        </w:rPr>
        <w:t xml:space="preserve"> </w:t>
      </w:r>
      <w:r>
        <w:t>for</w:t>
      </w:r>
      <w:r>
        <w:rPr>
          <w:spacing w:val="-7"/>
        </w:rPr>
        <w:t xml:space="preserve"> </w:t>
      </w:r>
      <w:r>
        <w:t>eighth-grade</w:t>
      </w:r>
      <w:r>
        <w:rPr>
          <w:spacing w:val="-6"/>
        </w:rPr>
        <w:t xml:space="preserve"> </w:t>
      </w:r>
      <w:r>
        <w:t>private</w:t>
      </w:r>
      <w:r>
        <w:rPr>
          <w:spacing w:val="-7"/>
        </w:rPr>
        <w:t xml:space="preserve"> </w:t>
      </w:r>
      <w:r>
        <w:t>school</w:t>
      </w:r>
      <w:r>
        <w:rPr>
          <w:spacing w:val="-6"/>
        </w:rPr>
        <w:t xml:space="preserve"> </w:t>
      </w:r>
      <w:r>
        <w:t>students</w:t>
      </w:r>
      <w:r>
        <w:rPr>
          <w:spacing w:val="-7"/>
        </w:rPr>
        <w:t xml:space="preserve"> </w:t>
      </w:r>
      <w:r>
        <w:t>in</w:t>
      </w:r>
      <w:r>
        <w:rPr>
          <w:spacing w:val="-6"/>
        </w:rPr>
        <w:t xml:space="preserve"> </w:t>
      </w:r>
      <w:r>
        <w:t>the</w:t>
      </w:r>
      <w:r>
        <w:rPr>
          <w:spacing w:val="-7"/>
        </w:rPr>
        <w:t xml:space="preserve"> </w:t>
      </w:r>
      <w:r>
        <w:t>national</w:t>
      </w:r>
      <w:r>
        <w:rPr>
          <w:spacing w:val="-6"/>
        </w:rPr>
        <w:t xml:space="preserve"> </w:t>
      </w:r>
      <w:r>
        <w:t xml:space="preserve">civics sample. Separate exclusion rates are provided for </w:t>
      </w:r>
      <w:r>
        <w:rPr>
          <w:color w:val="0066CC"/>
        </w:rPr>
        <w:t xml:space="preserve">students with disabilities (SD) </w:t>
      </w:r>
      <w:r>
        <w:t xml:space="preserve">and </w:t>
      </w:r>
      <w:r>
        <w:rPr>
          <w:color w:val="0066CC"/>
        </w:rPr>
        <w:t>English learners (EL)</w:t>
      </w:r>
      <w:r>
        <w:t>.</w:t>
      </w:r>
    </w:p>
    <w:p w:rsidR="003F5784" w14:paraId="30654F34" w14:textId="77777777">
      <w:pPr>
        <w:pStyle w:val="BodyText"/>
        <w:spacing w:before="209" w:line="232" w:lineRule="auto"/>
        <w:ind w:left="109"/>
      </w:pPr>
      <w:r>
        <w:t>A</w:t>
      </w:r>
      <w:r>
        <w:rPr>
          <w:spacing w:val="-10"/>
        </w:rPr>
        <w:t xml:space="preserve"> </w:t>
      </w:r>
      <w:r>
        <w:t>weighted student response rate indicates the percentage of the student population that is directly represented by the assessed students from within participating schools.</w:t>
      </w:r>
      <w:r>
        <w:rPr>
          <w:spacing w:val="-10"/>
        </w:rPr>
        <w:t xml:space="preserve"> </w:t>
      </w:r>
      <w:r>
        <w:t>A weighted</w:t>
      </w:r>
      <w:r>
        <w:rPr>
          <w:spacing w:val="-6"/>
        </w:rPr>
        <w:t xml:space="preserve"> </w:t>
      </w:r>
      <w:r>
        <w:t>exclusion</w:t>
      </w:r>
      <w:r>
        <w:rPr>
          <w:spacing w:val="-6"/>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population</w:t>
      </w:r>
      <w:r>
        <w:rPr>
          <w:spacing w:val="-6"/>
        </w:rPr>
        <w:t xml:space="preserve"> </w:t>
      </w:r>
      <w:r>
        <w:t>that</w:t>
      </w:r>
      <w:r>
        <w:rPr>
          <w:spacing w:val="-6"/>
        </w:rPr>
        <w:t xml:space="preserve"> </w:t>
      </w:r>
      <w:r>
        <w:t>would</w:t>
      </w:r>
      <w:r>
        <w:rPr>
          <w:spacing w:val="-6"/>
        </w:rPr>
        <w:t xml:space="preserve"> </w:t>
      </w:r>
      <w:r>
        <w:t>be</w:t>
      </w:r>
      <w:r>
        <w:rPr>
          <w:spacing w:val="-6"/>
        </w:rPr>
        <w:t xml:space="preserve"> </w:t>
      </w:r>
      <w:r>
        <w:t>excluded</w:t>
      </w:r>
      <w:r>
        <w:rPr>
          <w:spacing w:val="-6"/>
        </w:rPr>
        <w:t xml:space="preserve"> </w:t>
      </w:r>
      <w:r>
        <w:t>from</w:t>
      </w:r>
      <w:r>
        <w:rPr>
          <w:spacing w:val="-6"/>
        </w:rPr>
        <w:t xml:space="preserve"> </w:t>
      </w:r>
      <w:r>
        <w:t>the</w:t>
      </w:r>
      <w:r>
        <w:rPr>
          <w:spacing w:val="-6"/>
        </w:rPr>
        <w:t xml:space="preserve"> </w:t>
      </w:r>
      <w:r>
        <w:t>assessment.</w:t>
      </w:r>
      <w:r>
        <w:rPr>
          <w:spacing w:val="-10"/>
        </w:rPr>
        <w:t xml:space="preserve"> </w:t>
      </w:r>
      <w:r>
        <w:t>The</w:t>
      </w:r>
      <w:r>
        <w:rPr>
          <w:spacing w:val="-6"/>
        </w:rPr>
        <w:t xml:space="preserve"> </w:t>
      </w:r>
      <w:r>
        <w:t>weighted</w:t>
      </w:r>
      <w:r>
        <w:rPr>
          <w:spacing w:val="-6"/>
        </w:rPr>
        <w:t xml:space="preserve"> </w:t>
      </w:r>
      <w:r>
        <w:t>student</w:t>
      </w:r>
      <w:r>
        <w:rPr>
          <w:spacing w:val="-6"/>
        </w:rPr>
        <w:t xml:space="preserve"> </w:t>
      </w:r>
      <w:r>
        <w:t>full-time</w:t>
      </w:r>
      <w:r>
        <w:rPr>
          <w:spacing w:val="-6"/>
        </w:rPr>
        <w:t xml:space="preserve"> </w:t>
      </w:r>
      <w:r>
        <w:t>remote</w:t>
      </w:r>
      <w:r>
        <w:rPr>
          <w:spacing w:val="-6"/>
        </w:rPr>
        <w:t xml:space="preserve"> </w:t>
      </w:r>
      <w:r>
        <w:t>rate</w:t>
      </w:r>
      <w:r>
        <w:rPr>
          <w:spacing w:val="-6"/>
        </w:rPr>
        <w:t xml:space="preserve"> </w:t>
      </w:r>
      <w:r>
        <w:t>indicates the percentage of the student population that is full-time remote (enrolled in brick-and-mortar schools but do not attend school in person).</w:t>
      </w:r>
    </w:p>
    <w:p w:rsidR="003F5784" w14:paraId="399C5568" w14:textId="77777777">
      <w:pPr>
        <w:pStyle w:val="BodyText"/>
        <w:spacing w:before="93"/>
      </w:pPr>
    </w:p>
    <w:p w:rsidR="003F5784" w14:paraId="3D85569D" w14:textId="77777777">
      <w:pPr>
        <w:pStyle w:val="Heading2"/>
      </w:pPr>
      <w:r>
        <w:t>Weighted</w:t>
      </w:r>
      <w:r>
        <w:rPr>
          <w:spacing w:val="-9"/>
        </w:rPr>
        <w:t xml:space="preserve"> </w:t>
      </w:r>
      <w:r>
        <w:t>student</w:t>
      </w:r>
      <w:r>
        <w:rPr>
          <w:spacing w:val="-9"/>
        </w:rPr>
        <w:t xml:space="preserve"> </w:t>
      </w:r>
      <w:r>
        <w:t>response,</w:t>
      </w:r>
      <w:r>
        <w:rPr>
          <w:spacing w:val="-8"/>
        </w:rPr>
        <w:t xml:space="preserve"> </w:t>
      </w:r>
      <w:r>
        <w:t>exclusion,</w:t>
      </w:r>
      <w:r>
        <w:rPr>
          <w:spacing w:val="-9"/>
        </w:rPr>
        <w:t xml:space="preserve"> </w:t>
      </w:r>
      <w:r>
        <w:t>and</w:t>
      </w:r>
      <w:r>
        <w:rPr>
          <w:spacing w:val="-9"/>
        </w:rPr>
        <w:t xml:space="preserve"> </w:t>
      </w:r>
      <w:r>
        <w:t>full-time</w:t>
      </w:r>
      <w:r>
        <w:rPr>
          <w:spacing w:val="-8"/>
        </w:rPr>
        <w:t xml:space="preserve"> </w:t>
      </w:r>
      <w:r>
        <w:t>remote</w:t>
      </w:r>
      <w:r>
        <w:rPr>
          <w:spacing w:val="-9"/>
        </w:rPr>
        <w:t xml:space="preserve"> </w:t>
      </w:r>
      <w:r>
        <w:t>rates</w:t>
      </w:r>
      <w:r>
        <w:rPr>
          <w:spacing w:val="-8"/>
        </w:rPr>
        <w:t xml:space="preserve"> </w:t>
      </w:r>
      <w:r>
        <w:t>for</w:t>
      </w:r>
      <w:r>
        <w:rPr>
          <w:spacing w:val="-13"/>
        </w:rPr>
        <w:t xml:space="preserve"> </w:t>
      </w:r>
      <w:r>
        <w:t>eighth-grade</w:t>
      </w:r>
      <w:r>
        <w:rPr>
          <w:spacing w:val="-8"/>
        </w:rPr>
        <w:t xml:space="preserve"> </w:t>
      </w:r>
      <w:r>
        <w:t>private</w:t>
      </w:r>
      <w:r>
        <w:rPr>
          <w:spacing w:val="-9"/>
        </w:rPr>
        <w:t xml:space="preserve"> </w:t>
      </w:r>
      <w:r>
        <w:t>schools,</w:t>
      </w:r>
      <w:r>
        <w:rPr>
          <w:spacing w:val="-8"/>
        </w:rPr>
        <w:t xml:space="preserve"> </w:t>
      </w:r>
      <w:r>
        <w:t>national</w:t>
      </w:r>
      <w:r>
        <w:rPr>
          <w:spacing w:val="-9"/>
        </w:rPr>
        <w:t xml:space="preserve"> </w:t>
      </w:r>
      <w:r>
        <w:t>civics</w:t>
      </w:r>
      <w:r>
        <w:rPr>
          <w:spacing w:val="-9"/>
        </w:rPr>
        <w:t xml:space="preserve"> </w:t>
      </w:r>
      <w:r>
        <w:t>assessment,</w:t>
      </w:r>
      <w:r>
        <w:rPr>
          <w:spacing w:val="-8"/>
        </w:rPr>
        <w:t xml:space="preserve"> </w:t>
      </w:r>
      <w:r>
        <w:t>by</w:t>
      </w:r>
      <w:r>
        <w:rPr>
          <w:spacing w:val="-9"/>
        </w:rPr>
        <w:t xml:space="preserve"> </w:t>
      </w:r>
      <w:r>
        <w:t>school</w:t>
      </w:r>
      <w:r>
        <w:rPr>
          <w:spacing w:val="-9"/>
        </w:rPr>
        <w:t xml:space="preserve"> </w:t>
      </w:r>
      <w:r>
        <w:t>type:</w:t>
      </w:r>
      <w:r>
        <w:rPr>
          <w:spacing w:val="-8"/>
        </w:rPr>
        <w:t xml:space="preserve"> </w:t>
      </w:r>
      <w:r>
        <w:rPr>
          <w:spacing w:val="-4"/>
        </w:rPr>
        <w:t>2022</w:t>
      </w:r>
    </w:p>
    <w:p w:rsidR="003F5784" w14:paraId="3F58AB16"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1416"/>
        <w:gridCol w:w="2703"/>
        <w:gridCol w:w="3591"/>
        <w:gridCol w:w="3602"/>
        <w:gridCol w:w="2673"/>
      </w:tblGrid>
      <w:tr w14:paraId="69DA0058" w14:textId="77777777">
        <w:tblPrEx>
          <w:tblW w:w="0" w:type="auto"/>
          <w:tblInd w:w="482" w:type="dxa"/>
          <w:tblLayout w:type="fixed"/>
          <w:tblCellMar>
            <w:left w:w="0" w:type="dxa"/>
            <w:right w:w="0" w:type="dxa"/>
          </w:tblCellMar>
          <w:tblLook w:val="01E0"/>
        </w:tblPrEx>
        <w:trPr>
          <w:trHeight w:val="502"/>
        </w:trPr>
        <w:tc>
          <w:tcPr>
            <w:tcW w:w="1416" w:type="dxa"/>
            <w:tcBorders>
              <w:top w:val="single" w:sz="18" w:space="0" w:color="800000"/>
              <w:bottom w:val="single" w:sz="18" w:space="0" w:color="800000"/>
            </w:tcBorders>
          </w:tcPr>
          <w:p w:rsidR="003F5784" w14:paraId="47A853F7" w14:textId="77777777">
            <w:pPr>
              <w:pStyle w:val="TableParagraph"/>
              <w:spacing w:before="2"/>
              <w:jc w:val="left"/>
              <w:rPr>
                <w:b/>
                <w:sz w:val="21"/>
              </w:rPr>
            </w:pPr>
          </w:p>
          <w:p w:rsidR="003F5784" w14:paraId="1FAA16EE" w14:textId="77777777">
            <w:pPr>
              <w:pStyle w:val="TableParagraph"/>
              <w:spacing w:before="0" w:line="238" w:lineRule="exact"/>
              <w:ind w:left="120"/>
              <w:jc w:val="left"/>
              <w:rPr>
                <w:sz w:val="21"/>
              </w:rPr>
            </w:pPr>
            <w:r>
              <w:rPr>
                <w:sz w:val="21"/>
              </w:rPr>
              <w:t>School</w:t>
            </w:r>
            <w:r>
              <w:rPr>
                <w:spacing w:val="-7"/>
                <w:sz w:val="21"/>
              </w:rPr>
              <w:t xml:space="preserve"> </w:t>
            </w:r>
            <w:r>
              <w:rPr>
                <w:spacing w:val="-4"/>
                <w:sz w:val="21"/>
              </w:rPr>
              <w:t>type</w:t>
            </w:r>
          </w:p>
        </w:tc>
        <w:tc>
          <w:tcPr>
            <w:tcW w:w="2703" w:type="dxa"/>
            <w:tcBorders>
              <w:top w:val="single" w:sz="18" w:space="0" w:color="800000"/>
              <w:bottom w:val="single" w:sz="18" w:space="0" w:color="800000"/>
            </w:tcBorders>
          </w:tcPr>
          <w:p w:rsidR="003F5784" w14:paraId="5B3E6706" w14:textId="77777777">
            <w:pPr>
              <w:pStyle w:val="TableParagraph"/>
              <w:spacing w:before="9" w:line="238" w:lineRule="exact"/>
              <w:ind w:right="310"/>
              <w:rPr>
                <w:sz w:val="21"/>
              </w:rPr>
            </w:pPr>
            <w:r>
              <w:rPr>
                <w:spacing w:val="-2"/>
                <w:sz w:val="21"/>
              </w:rPr>
              <w:t>Weighted student response</w:t>
            </w:r>
          </w:p>
          <w:p w:rsidR="003F5784" w14:paraId="040344B9" w14:textId="77777777">
            <w:pPr>
              <w:pStyle w:val="TableParagraph"/>
              <w:spacing w:before="0" w:line="235" w:lineRule="exact"/>
              <w:ind w:right="310"/>
              <w:rPr>
                <w:sz w:val="21"/>
              </w:rPr>
            </w:pPr>
            <w:r>
              <w:rPr>
                <w:sz w:val="21"/>
              </w:rPr>
              <w:t>rate</w:t>
            </w:r>
            <w:r>
              <w:rPr>
                <w:spacing w:val="-5"/>
                <w:sz w:val="21"/>
              </w:rPr>
              <w:t xml:space="preserve"> </w:t>
            </w:r>
            <w:r>
              <w:rPr>
                <w:spacing w:val="-2"/>
                <w:sz w:val="21"/>
              </w:rPr>
              <w:t>(percent)</w:t>
            </w:r>
          </w:p>
        </w:tc>
        <w:tc>
          <w:tcPr>
            <w:tcW w:w="3591" w:type="dxa"/>
            <w:tcBorders>
              <w:top w:val="single" w:sz="18" w:space="0" w:color="800000"/>
              <w:bottom w:val="single" w:sz="18" w:space="0" w:color="800000"/>
            </w:tcBorders>
          </w:tcPr>
          <w:p w:rsidR="003F5784" w14:paraId="0C702422" w14:textId="77777777">
            <w:pPr>
              <w:pStyle w:val="TableParagraph"/>
              <w:spacing w:before="14" w:line="234" w:lineRule="exact"/>
              <w:ind w:left="990" w:right="303" w:hanging="678"/>
              <w:jc w:val="left"/>
              <w:rPr>
                <w:sz w:val="21"/>
              </w:rPr>
            </w:pPr>
            <w:r>
              <w:rPr>
                <w:sz w:val="21"/>
              </w:rPr>
              <w:t>Weighted</w:t>
            </w:r>
            <w:r>
              <w:rPr>
                <w:spacing w:val="-14"/>
                <w:sz w:val="21"/>
              </w:rPr>
              <w:t xml:space="preserve"> </w:t>
            </w:r>
            <w:r>
              <w:rPr>
                <w:sz w:val="21"/>
              </w:rPr>
              <w:t>percentage</w:t>
            </w:r>
            <w:r>
              <w:rPr>
                <w:spacing w:val="-13"/>
                <w:sz w:val="21"/>
              </w:rPr>
              <w:t xml:space="preserve"> </w:t>
            </w:r>
            <w:r>
              <w:rPr>
                <w:sz w:val="21"/>
              </w:rPr>
              <w:t>of</w:t>
            </w:r>
            <w:r>
              <w:rPr>
                <w:spacing w:val="-13"/>
                <w:sz w:val="21"/>
              </w:rPr>
              <w:t xml:space="preserve"> </w:t>
            </w:r>
            <w:r>
              <w:rPr>
                <w:sz w:val="21"/>
              </w:rPr>
              <w:t>all</w:t>
            </w:r>
            <w:r>
              <w:rPr>
                <w:spacing w:val="-13"/>
                <w:sz w:val="21"/>
              </w:rPr>
              <w:t xml:space="preserve"> </w:t>
            </w:r>
            <w:r>
              <w:rPr>
                <w:sz w:val="21"/>
              </w:rPr>
              <w:t>students who</w:t>
            </w:r>
            <w:r>
              <w:rPr>
                <w:spacing w:val="-5"/>
                <w:sz w:val="21"/>
              </w:rPr>
              <w:t xml:space="preserve"> </w:t>
            </w:r>
            <w:r>
              <w:rPr>
                <w:sz w:val="21"/>
              </w:rPr>
              <w:t>were</w:t>
            </w:r>
            <w:r>
              <w:rPr>
                <w:spacing w:val="-4"/>
                <w:sz w:val="21"/>
              </w:rPr>
              <w:t xml:space="preserve"> </w:t>
            </w:r>
            <w:r>
              <w:rPr>
                <w:sz w:val="21"/>
              </w:rPr>
              <w:t>SD</w:t>
            </w:r>
            <w:r>
              <w:rPr>
                <w:spacing w:val="-5"/>
                <w:sz w:val="21"/>
              </w:rPr>
              <w:t xml:space="preserve"> </w:t>
            </w:r>
            <w:r>
              <w:rPr>
                <w:sz w:val="21"/>
              </w:rPr>
              <w:t>and</w:t>
            </w:r>
            <w:r>
              <w:rPr>
                <w:spacing w:val="-4"/>
                <w:sz w:val="21"/>
              </w:rPr>
              <w:t xml:space="preserve"> </w:t>
            </w:r>
            <w:r>
              <w:rPr>
                <w:spacing w:val="-2"/>
                <w:sz w:val="21"/>
              </w:rPr>
              <w:t>excluded</w:t>
            </w:r>
          </w:p>
        </w:tc>
        <w:tc>
          <w:tcPr>
            <w:tcW w:w="3602" w:type="dxa"/>
            <w:tcBorders>
              <w:top w:val="single" w:sz="18" w:space="0" w:color="800000"/>
              <w:bottom w:val="single" w:sz="18" w:space="0" w:color="800000"/>
            </w:tcBorders>
          </w:tcPr>
          <w:p w:rsidR="003F5784" w14:paraId="4526E54C" w14:textId="77777777">
            <w:pPr>
              <w:pStyle w:val="TableParagraph"/>
              <w:spacing w:before="14" w:line="234" w:lineRule="exact"/>
              <w:ind w:left="1004" w:right="320" w:hanging="698"/>
              <w:jc w:val="left"/>
              <w:rPr>
                <w:sz w:val="21"/>
              </w:rPr>
            </w:pPr>
            <w:r>
              <w:rPr>
                <w:sz w:val="21"/>
              </w:rPr>
              <w:t>Weighted</w:t>
            </w:r>
            <w:r>
              <w:rPr>
                <w:spacing w:val="-14"/>
                <w:sz w:val="21"/>
              </w:rPr>
              <w:t xml:space="preserve"> </w:t>
            </w:r>
            <w:r>
              <w:rPr>
                <w:sz w:val="21"/>
              </w:rPr>
              <w:t>percentage</w:t>
            </w:r>
            <w:r>
              <w:rPr>
                <w:spacing w:val="-13"/>
                <w:sz w:val="21"/>
              </w:rPr>
              <w:t xml:space="preserve"> </w:t>
            </w:r>
            <w:r>
              <w:rPr>
                <w:sz w:val="21"/>
              </w:rPr>
              <w:t>of</w:t>
            </w:r>
            <w:r>
              <w:rPr>
                <w:spacing w:val="-13"/>
                <w:sz w:val="21"/>
              </w:rPr>
              <w:t xml:space="preserve"> </w:t>
            </w:r>
            <w:r>
              <w:rPr>
                <w:sz w:val="21"/>
              </w:rPr>
              <w:t>all</w:t>
            </w:r>
            <w:r>
              <w:rPr>
                <w:spacing w:val="-13"/>
                <w:sz w:val="21"/>
              </w:rPr>
              <w:t xml:space="preserve"> </w:t>
            </w:r>
            <w:r>
              <w:rPr>
                <w:sz w:val="21"/>
              </w:rPr>
              <w:t>students who</w:t>
            </w:r>
            <w:r>
              <w:rPr>
                <w:spacing w:val="-5"/>
                <w:sz w:val="21"/>
              </w:rPr>
              <w:t xml:space="preserve"> </w:t>
            </w:r>
            <w:r>
              <w:rPr>
                <w:sz w:val="21"/>
              </w:rPr>
              <w:t>were</w:t>
            </w:r>
            <w:r>
              <w:rPr>
                <w:spacing w:val="-4"/>
                <w:sz w:val="21"/>
              </w:rPr>
              <w:t xml:space="preserve"> </w:t>
            </w:r>
            <w:r>
              <w:rPr>
                <w:sz w:val="21"/>
              </w:rPr>
              <w:t>EL</w:t>
            </w:r>
            <w:r>
              <w:rPr>
                <w:spacing w:val="-12"/>
                <w:sz w:val="21"/>
              </w:rPr>
              <w:t xml:space="preserve"> </w:t>
            </w:r>
            <w:r>
              <w:rPr>
                <w:sz w:val="21"/>
              </w:rPr>
              <w:t>and</w:t>
            </w:r>
            <w:r>
              <w:rPr>
                <w:spacing w:val="-5"/>
                <w:sz w:val="21"/>
              </w:rPr>
              <w:t xml:space="preserve"> </w:t>
            </w:r>
            <w:r>
              <w:rPr>
                <w:spacing w:val="-2"/>
                <w:sz w:val="21"/>
              </w:rPr>
              <w:t>excluded</w:t>
            </w:r>
          </w:p>
        </w:tc>
        <w:tc>
          <w:tcPr>
            <w:tcW w:w="2673" w:type="dxa"/>
            <w:tcBorders>
              <w:top w:val="single" w:sz="18" w:space="0" w:color="800000"/>
              <w:bottom w:val="single" w:sz="18" w:space="0" w:color="800000"/>
            </w:tcBorders>
          </w:tcPr>
          <w:p w:rsidR="003F5784" w14:paraId="00377040" w14:textId="77777777">
            <w:pPr>
              <w:pStyle w:val="TableParagraph"/>
              <w:spacing w:before="14" w:line="234" w:lineRule="exact"/>
              <w:ind w:left="723" w:right="117" w:hanging="401"/>
              <w:jc w:val="left"/>
              <w:rPr>
                <w:sz w:val="21"/>
              </w:rPr>
            </w:pPr>
            <w:r>
              <w:rPr>
                <w:spacing w:val="-2"/>
                <w:sz w:val="21"/>
              </w:rPr>
              <w:t>Weighted</w:t>
            </w:r>
            <w:r>
              <w:rPr>
                <w:spacing w:val="-11"/>
                <w:sz w:val="21"/>
              </w:rPr>
              <w:t xml:space="preserve"> </w:t>
            </w:r>
            <w:r>
              <w:rPr>
                <w:spacing w:val="-2"/>
                <w:sz w:val="21"/>
              </w:rPr>
              <w:t>student</w:t>
            </w:r>
            <w:r>
              <w:rPr>
                <w:spacing w:val="-11"/>
                <w:sz w:val="21"/>
              </w:rPr>
              <w:t xml:space="preserve"> </w:t>
            </w:r>
            <w:r>
              <w:rPr>
                <w:spacing w:val="-2"/>
                <w:sz w:val="21"/>
              </w:rPr>
              <w:t xml:space="preserve">full-time </w:t>
            </w:r>
            <w:r>
              <w:rPr>
                <w:sz w:val="21"/>
              </w:rPr>
              <w:t>remote</w:t>
            </w:r>
            <w:r>
              <w:rPr>
                <w:spacing w:val="-6"/>
                <w:sz w:val="21"/>
              </w:rPr>
              <w:t xml:space="preserve"> </w:t>
            </w:r>
            <w:r>
              <w:rPr>
                <w:sz w:val="21"/>
              </w:rPr>
              <w:t>rates</w:t>
            </w:r>
            <w:r>
              <w:rPr>
                <w:spacing w:val="-6"/>
                <w:sz w:val="21"/>
              </w:rPr>
              <w:t xml:space="preserve"> </w:t>
            </w:r>
            <w:r>
              <w:rPr>
                <w:spacing w:val="-2"/>
                <w:sz w:val="21"/>
              </w:rPr>
              <w:t>(percent)</w:t>
            </w:r>
          </w:p>
        </w:tc>
      </w:tr>
      <w:tr w14:paraId="202B76D8" w14:textId="77777777">
        <w:tblPrEx>
          <w:tblW w:w="0" w:type="auto"/>
          <w:tblInd w:w="482" w:type="dxa"/>
          <w:tblLayout w:type="fixed"/>
          <w:tblCellMar>
            <w:left w:w="0" w:type="dxa"/>
            <w:right w:w="0" w:type="dxa"/>
          </w:tblCellMar>
          <w:tblLook w:val="01E0"/>
        </w:tblPrEx>
        <w:trPr>
          <w:trHeight w:val="278"/>
        </w:trPr>
        <w:tc>
          <w:tcPr>
            <w:tcW w:w="1416" w:type="dxa"/>
            <w:tcBorders>
              <w:top w:val="single" w:sz="18" w:space="0" w:color="800000"/>
            </w:tcBorders>
          </w:tcPr>
          <w:p w:rsidR="003F5784" w14:paraId="6B4C198B" w14:textId="77777777">
            <w:pPr>
              <w:pStyle w:val="TableParagraph"/>
              <w:spacing w:before="9"/>
              <w:ind w:left="370"/>
              <w:jc w:val="left"/>
              <w:rPr>
                <w:b/>
                <w:sz w:val="21"/>
              </w:rPr>
            </w:pPr>
            <w:r>
              <w:rPr>
                <w:b/>
                <w:sz w:val="21"/>
              </w:rPr>
              <w:t>All</w:t>
            </w:r>
            <w:r>
              <w:rPr>
                <w:b/>
                <w:spacing w:val="-4"/>
                <w:sz w:val="21"/>
              </w:rPr>
              <w:t xml:space="preserve"> </w:t>
            </w:r>
            <w:r>
              <w:rPr>
                <w:b/>
                <w:spacing w:val="-2"/>
                <w:sz w:val="21"/>
              </w:rPr>
              <w:t>private</w:t>
            </w:r>
          </w:p>
        </w:tc>
        <w:tc>
          <w:tcPr>
            <w:tcW w:w="2703" w:type="dxa"/>
            <w:tcBorders>
              <w:top w:val="single" w:sz="18" w:space="0" w:color="800000"/>
            </w:tcBorders>
          </w:tcPr>
          <w:p w:rsidR="003F5784" w14:paraId="617CCF19" w14:textId="77777777">
            <w:pPr>
              <w:pStyle w:val="TableParagraph"/>
              <w:spacing w:before="9"/>
              <w:ind w:right="310"/>
              <w:rPr>
                <w:b/>
                <w:sz w:val="21"/>
              </w:rPr>
            </w:pPr>
            <w:r>
              <w:rPr>
                <w:b/>
                <w:spacing w:val="-2"/>
                <w:sz w:val="21"/>
              </w:rPr>
              <w:t>92.30</w:t>
            </w:r>
          </w:p>
        </w:tc>
        <w:tc>
          <w:tcPr>
            <w:tcW w:w="3591" w:type="dxa"/>
            <w:tcBorders>
              <w:top w:val="single" w:sz="18" w:space="0" w:color="800000"/>
            </w:tcBorders>
          </w:tcPr>
          <w:p w:rsidR="003F5784" w14:paraId="0C21D79D" w14:textId="77777777">
            <w:pPr>
              <w:pStyle w:val="TableParagraph"/>
              <w:spacing w:before="9"/>
              <w:ind w:right="305"/>
              <w:rPr>
                <w:b/>
                <w:sz w:val="21"/>
              </w:rPr>
            </w:pPr>
            <w:r>
              <w:rPr>
                <w:b/>
                <w:spacing w:val="-10"/>
                <w:sz w:val="21"/>
              </w:rPr>
              <w:t>#</w:t>
            </w:r>
          </w:p>
        </w:tc>
        <w:tc>
          <w:tcPr>
            <w:tcW w:w="3602" w:type="dxa"/>
            <w:tcBorders>
              <w:top w:val="single" w:sz="18" w:space="0" w:color="800000"/>
            </w:tcBorders>
          </w:tcPr>
          <w:p w:rsidR="003F5784" w14:paraId="09595A3C" w14:textId="77777777">
            <w:pPr>
              <w:pStyle w:val="TableParagraph"/>
              <w:spacing w:before="9"/>
              <w:ind w:right="322"/>
              <w:rPr>
                <w:b/>
                <w:sz w:val="21"/>
              </w:rPr>
            </w:pPr>
            <w:r>
              <w:rPr>
                <w:b/>
                <w:spacing w:val="-10"/>
                <w:sz w:val="21"/>
              </w:rPr>
              <w:t>#</w:t>
            </w:r>
          </w:p>
        </w:tc>
        <w:tc>
          <w:tcPr>
            <w:tcW w:w="2673" w:type="dxa"/>
            <w:tcBorders>
              <w:top w:val="single" w:sz="18" w:space="0" w:color="800000"/>
            </w:tcBorders>
          </w:tcPr>
          <w:p w:rsidR="003F5784" w14:paraId="43E76C1D" w14:textId="77777777">
            <w:pPr>
              <w:pStyle w:val="TableParagraph"/>
              <w:spacing w:before="9"/>
              <w:ind w:right="118"/>
              <w:rPr>
                <w:b/>
                <w:sz w:val="21"/>
              </w:rPr>
            </w:pPr>
            <w:r>
              <w:rPr>
                <w:b/>
                <w:spacing w:val="-4"/>
                <w:sz w:val="21"/>
              </w:rPr>
              <w:t>0.25</w:t>
            </w:r>
          </w:p>
        </w:tc>
      </w:tr>
      <w:tr w14:paraId="45C7A113" w14:textId="77777777">
        <w:tblPrEx>
          <w:tblW w:w="0" w:type="auto"/>
          <w:tblInd w:w="482" w:type="dxa"/>
          <w:tblLayout w:type="fixed"/>
          <w:tblCellMar>
            <w:left w:w="0" w:type="dxa"/>
            <w:right w:w="0" w:type="dxa"/>
          </w:tblCellMar>
          <w:tblLook w:val="01E0"/>
        </w:tblPrEx>
        <w:trPr>
          <w:trHeight w:val="286"/>
        </w:trPr>
        <w:tc>
          <w:tcPr>
            <w:tcW w:w="1416" w:type="dxa"/>
          </w:tcPr>
          <w:p w:rsidR="003F5784" w14:paraId="3E7AFBEF" w14:textId="77777777">
            <w:pPr>
              <w:pStyle w:val="TableParagraph"/>
              <w:ind w:left="120"/>
              <w:jc w:val="left"/>
              <w:rPr>
                <w:sz w:val="21"/>
              </w:rPr>
            </w:pPr>
            <w:r>
              <w:rPr>
                <w:spacing w:val="-2"/>
                <w:sz w:val="21"/>
              </w:rPr>
              <w:t>Catholic</w:t>
            </w:r>
          </w:p>
        </w:tc>
        <w:tc>
          <w:tcPr>
            <w:tcW w:w="2703" w:type="dxa"/>
          </w:tcPr>
          <w:p w:rsidR="003F5784" w14:paraId="0F1FD3E6" w14:textId="77777777">
            <w:pPr>
              <w:pStyle w:val="TableParagraph"/>
              <w:ind w:right="310"/>
              <w:rPr>
                <w:sz w:val="21"/>
              </w:rPr>
            </w:pPr>
            <w:r>
              <w:rPr>
                <w:spacing w:val="-2"/>
                <w:sz w:val="21"/>
              </w:rPr>
              <w:t>91.89</w:t>
            </w:r>
          </w:p>
        </w:tc>
        <w:tc>
          <w:tcPr>
            <w:tcW w:w="3591" w:type="dxa"/>
          </w:tcPr>
          <w:p w:rsidR="003F5784" w14:paraId="5310CA63" w14:textId="77777777">
            <w:pPr>
              <w:pStyle w:val="TableParagraph"/>
              <w:ind w:right="305"/>
              <w:rPr>
                <w:sz w:val="21"/>
              </w:rPr>
            </w:pPr>
            <w:r>
              <w:rPr>
                <w:spacing w:val="-10"/>
                <w:sz w:val="21"/>
              </w:rPr>
              <w:t>#</w:t>
            </w:r>
          </w:p>
        </w:tc>
        <w:tc>
          <w:tcPr>
            <w:tcW w:w="3602" w:type="dxa"/>
          </w:tcPr>
          <w:p w:rsidR="003F5784" w14:paraId="46311BC5" w14:textId="77777777">
            <w:pPr>
              <w:pStyle w:val="TableParagraph"/>
              <w:ind w:right="322"/>
              <w:rPr>
                <w:sz w:val="21"/>
              </w:rPr>
            </w:pPr>
            <w:r>
              <w:rPr>
                <w:spacing w:val="-10"/>
                <w:sz w:val="21"/>
              </w:rPr>
              <w:t>#</w:t>
            </w:r>
          </w:p>
        </w:tc>
        <w:tc>
          <w:tcPr>
            <w:tcW w:w="2673" w:type="dxa"/>
          </w:tcPr>
          <w:p w:rsidR="003F5784" w14:paraId="65032C4E" w14:textId="77777777">
            <w:pPr>
              <w:pStyle w:val="TableParagraph"/>
              <w:ind w:right="118"/>
              <w:rPr>
                <w:sz w:val="21"/>
              </w:rPr>
            </w:pPr>
            <w:r>
              <w:rPr>
                <w:spacing w:val="-10"/>
                <w:sz w:val="21"/>
              </w:rPr>
              <w:t>#</w:t>
            </w:r>
          </w:p>
        </w:tc>
      </w:tr>
      <w:tr w14:paraId="44CE2A17" w14:textId="77777777">
        <w:tblPrEx>
          <w:tblW w:w="0" w:type="auto"/>
          <w:tblInd w:w="482" w:type="dxa"/>
          <w:tblLayout w:type="fixed"/>
          <w:tblCellMar>
            <w:left w:w="0" w:type="dxa"/>
            <w:right w:w="0" w:type="dxa"/>
          </w:tblCellMar>
          <w:tblLook w:val="01E0"/>
        </w:tblPrEx>
        <w:trPr>
          <w:trHeight w:val="288"/>
        </w:trPr>
        <w:tc>
          <w:tcPr>
            <w:tcW w:w="1416" w:type="dxa"/>
            <w:tcBorders>
              <w:bottom w:val="single" w:sz="18" w:space="0" w:color="800000"/>
            </w:tcBorders>
          </w:tcPr>
          <w:p w:rsidR="003F5784" w14:paraId="167B2F98" w14:textId="77777777">
            <w:pPr>
              <w:pStyle w:val="TableParagraph"/>
              <w:ind w:left="120"/>
              <w:jc w:val="left"/>
              <w:rPr>
                <w:sz w:val="21"/>
              </w:rPr>
            </w:pPr>
            <w:r>
              <w:rPr>
                <w:spacing w:val="-2"/>
                <w:sz w:val="21"/>
              </w:rPr>
              <w:t>Non-Catholic</w:t>
            </w:r>
          </w:p>
        </w:tc>
        <w:tc>
          <w:tcPr>
            <w:tcW w:w="2703" w:type="dxa"/>
            <w:tcBorders>
              <w:bottom w:val="single" w:sz="18" w:space="0" w:color="800000"/>
            </w:tcBorders>
          </w:tcPr>
          <w:p w:rsidR="003F5784" w14:paraId="0EDD9DF5" w14:textId="77777777">
            <w:pPr>
              <w:pStyle w:val="TableParagraph"/>
              <w:ind w:right="310"/>
              <w:rPr>
                <w:sz w:val="21"/>
              </w:rPr>
            </w:pPr>
            <w:r>
              <w:rPr>
                <w:spacing w:val="-2"/>
                <w:sz w:val="21"/>
              </w:rPr>
              <w:t>93.55</w:t>
            </w:r>
          </w:p>
        </w:tc>
        <w:tc>
          <w:tcPr>
            <w:tcW w:w="3591" w:type="dxa"/>
            <w:tcBorders>
              <w:bottom w:val="single" w:sz="18" w:space="0" w:color="800000"/>
            </w:tcBorders>
          </w:tcPr>
          <w:p w:rsidR="003F5784" w14:paraId="67017B45" w14:textId="77777777">
            <w:pPr>
              <w:pStyle w:val="TableParagraph"/>
              <w:ind w:right="305"/>
              <w:rPr>
                <w:sz w:val="21"/>
              </w:rPr>
            </w:pPr>
            <w:r>
              <w:rPr>
                <w:spacing w:val="-10"/>
                <w:sz w:val="21"/>
              </w:rPr>
              <w:t>#</w:t>
            </w:r>
          </w:p>
        </w:tc>
        <w:tc>
          <w:tcPr>
            <w:tcW w:w="3602" w:type="dxa"/>
            <w:tcBorders>
              <w:bottom w:val="single" w:sz="18" w:space="0" w:color="800000"/>
            </w:tcBorders>
          </w:tcPr>
          <w:p w:rsidR="003F5784" w14:paraId="3EE2F9E8" w14:textId="77777777">
            <w:pPr>
              <w:pStyle w:val="TableParagraph"/>
              <w:ind w:right="322"/>
              <w:rPr>
                <w:sz w:val="21"/>
              </w:rPr>
            </w:pPr>
            <w:r>
              <w:rPr>
                <w:spacing w:val="-10"/>
                <w:sz w:val="21"/>
              </w:rPr>
              <w:t>#</w:t>
            </w:r>
          </w:p>
        </w:tc>
        <w:tc>
          <w:tcPr>
            <w:tcW w:w="2673" w:type="dxa"/>
            <w:tcBorders>
              <w:bottom w:val="single" w:sz="18" w:space="0" w:color="800000"/>
            </w:tcBorders>
          </w:tcPr>
          <w:p w:rsidR="003F5784" w14:paraId="249A0C14" w14:textId="77777777">
            <w:pPr>
              <w:pStyle w:val="TableParagraph"/>
              <w:ind w:right="118"/>
              <w:rPr>
                <w:sz w:val="21"/>
              </w:rPr>
            </w:pPr>
            <w:r>
              <w:rPr>
                <w:spacing w:val="-4"/>
                <w:sz w:val="21"/>
              </w:rPr>
              <w:t>0.41</w:t>
            </w:r>
          </w:p>
        </w:tc>
      </w:tr>
      <w:tr w14:paraId="5FE767B3" w14:textId="77777777">
        <w:tblPrEx>
          <w:tblW w:w="0" w:type="auto"/>
          <w:tblInd w:w="482" w:type="dxa"/>
          <w:tblLayout w:type="fixed"/>
          <w:tblCellMar>
            <w:left w:w="0" w:type="dxa"/>
            <w:right w:w="0" w:type="dxa"/>
          </w:tblCellMar>
          <w:tblLook w:val="01E0"/>
        </w:tblPrEx>
        <w:trPr>
          <w:trHeight w:val="237"/>
        </w:trPr>
        <w:tc>
          <w:tcPr>
            <w:tcW w:w="4119" w:type="dxa"/>
            <w:gridSpan w:val="2"/>
            <w:tcBorders>
              <w:top w:val="single" w:sz="18" w:space="0" w:color="800000"/>
            </w:tcBorders>
          </w:tcPr>
          <w:p w:rsidR="003F5784" w14:paraId="3431917E"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c>
          <w:tcPr>
            <w:tcW w:w="3591" w:type="dxa"/>
            <w:tcBorders>
              <w:top w:val="single" w:sz="18" w:space="0" w:color="800000"/>
            </w:tcBorders>
          </w:tcPr>
          <w:p w:rsidR="003F5784" w14:paraId="6CA76025" w14:textId="77777777">
            <w:pPr>
              <w:pStyle w:val="TableParagraph"/>
              <w:spacing w:before="0"/>
              <w:jc w:val="left"/>
              <w:rPr>
                <w:sz w:val="16"/>
              </w:rPr>
            </w:pPr>
          </w:p>
        </w:tc>
        <w:tc>
          <w:tcPr>
            <w:tcW w:w="3602" w:type="dxa"/>
            <w:tcBorders>
              <w:top w:val="single" w:sz="18" w:space="0" w:color="800000"/>
            </w:tcBorders>
          </w:tcPr>
          <w:p w:rsidR="003F5784" w14:paraId="6C204F52" w14:textId="77777777">
            <w:pPr>
              <w:pStyle w:val="TableParagraph"/>
              <w:spacing w:before="0"/>
              <w:jc w:val="left"/>
              <w:rPr>
                <w:sz w:val="16"/>
              </w:rPr>
            </w:pPr>
          </w:p>
        </w:tc>
        <w:tc>
          <w:tcPr>
            <w:tcW w:w="2673" w:type="dxa"/>
            <w:tcBorders>
              <w:top w:val="single" w:sz="18" w:space="0" w:color="800000"/>
            </w:tcBorders>
          </w:tcPr>
          <w:p w:rsidR="003F5784" w14:paraId="2E8FDB93" w14:textId="77777777">
            <w:pPr>
              <w:pStyle w:val="TableParagraph"/>
              <w:spacing w:before="0"/>
              <w:jc w:val="left"/>
              <w:rPr>
                <w:sz w:val="16"/>
              </w:rPr>
            </w:pPr>
          </w:p>
        </w:tc>
      </w:tr>
    </w:tbl>
    <w:p w:rsidR="003F5784" w14:paraId="4B821AF0" w14:textId="77777777">
      <w:pPr>
        <w:pStyle w:val="BodyText"/>
        <w:spacing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Civics Assessment.</w:t>
      </w:r>
    </w:p>
    <w:p w:rsidR="003F5784" w14:paraId="59504C04" w14:textId="77777777">
      <w:pPr>
        <w:pStyle w:val="BodyText"/>
      </w:pPr>
    </w:p>
    <w:p w:rsidR="003F5784" w14:paraId="788125B1" w14:textId="77777777">
      <w:pPr>
        <w:pStyle w:val="BodyText"/>
      </w:pPr>
    </w:p>
    <w:p w:rsidR="003F5784" w14:paraId="0D8FFB41" w14:textId="77777777">
      <w:pPr>
        <w:pStyle w:val="BodyText"/>
        <w:spacing w:before="197"/>
      </w:pPr>
    </w:p>
    <w:p w:rsidR="003F5784" w14:paraId="67A69B24" w14:textId="77777777">
      <w:pPr>
        <w:ind w:right="113"/>
        <w:jc w:val="right"/>
        <w:rPr>
          <w:sz w:val="18"/>
        </w:rPr>
      </w:pPr>
      <w:hyperlink r:id="rId26">
        <w:r>
          <w:rPr>
            <w:spacing w:val="-2"/>
            <w:w w:val="105"/>
            <w:sz w:val="18"/>
          </w:rPr>
          <w:t>http://nces.ed.gov/nationsreportcard/tdw/sample_design/2022/weighted_student_response_and_exclusion_rates_for_the_2022_8th_grade_private_school_nat_civics_assess.aspx</w:t>
        </w:r>
      </w:hyperlink>
    </w:p>
    <w:p w:rsidR="003F5784" w14:paraId="7D9AAC8F" w14:textId="77777777">
      <w:pPr>
        <w:pStyle w:val="BodyText"/>
        <w:spacing w:before="10"/>
        <w:rPr>
          <w:sz w:val="14"/>
        </w:rPr>
      </w:pPr>
      <w:r>
        <w:rPr>
          <w:noProof/>
        </w:rPr>
        <mc:AlternateContent>
          <mc:Choice Requires="wps">
            <w:drawing>
              <wp:anchor distT="0" distB="0" distL="0" distR="0" simplePos="0" relativeHeight="251739136" behindDoc="1" locked="0" layoutInCell="1" allowOverlap="1">
                <wp:simplePos x="0" y="0"/>
                <wp:positionH relativeFrom="page">
                  <wp:posOffset>361937</wp:posOffset>
                </wp:positionH>
                <wp:positionV relativeFrom="paragraph">
                  <wp:posOffset>124434</wp:posOffset>
                </wp:positionV>
                <wp:extent cx="9339580" cy="8890"/>
                <wp:effectExtent l="0" t="0" r="0" b="0"/>
                <wp:wrapTopAndBottom/>
                <wp:docPr id="40" name="Graphic 40"/>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40" o:spid="_x0000_s1037" style="width:735.4pt;height:0.7pt;margin-top:9.8pt;margin-left:28.5pt;mso-position-horizontal-relative:page;mso-wrap-distance-bottom:0;mso-wrap-distance-left:0;mso-wrap-distance-right:0;mso-wrap-distance-top:0;mso-wrap-style:square;position:absolute;visibility:visible;v-text-anchor:top;z-index:-251576320" coordsize="9339580,8890" path="m9338970,l9335110,l8280,,,,,8267l9335110,8280l9338970,8280l9338970,xe" fillcolor="gray" stroked="f">
                <v:path arrowok="t"/>
                <w10:wrap type="topAndBottom"/>
              </v:shape>
            </w:pict>
          </mc:Fallback>
        </mc:AlternateContent>
      </w:r>
    </w:p>
    <w:p w:rsidR="003F5784" w14:paraId="31DAED26" w14:textId="77777777">
      <w:pPr>
        <w:pStyle w:val="BodyText"/>
        <w:rPr>
          <w:sz w:val="18"/>
        </w:rPr>
      </w:pPr>
    </w:p>
    <w:p w:rsidR="003F5784" w14:paraId="36C8A6BE" w14:textId="77777777">
      <w:pPr>
        <w:pStyle w:val="BodyText"/>
        <w:spacing w:before="206"/>
        <w:rPr>
          <w:sz w:val="18"/>
        </w:rPr>
      </w:pPr>
    </w:p>
    <w:p w:rsidR="003F5784" w14:paraId="4AB19BFE" w14:textId="7C2181DF">
      <w:pPr>
        <w:pStyle w:val="Heading1"/>
        <w:spacing w:line="244" w:lineRule="auto"/>
        <w:ind w:right="179"/>
      </w:pPr>
      <w:r>
        <w:t>NAEP</w:t>
      </w:r>
      <w:r>
        <w:rPr>
          <w:spacing w:val="-15"/>
        </w:rPr>
        <w:t xml:space="preserve"> </w:t>
      </w:r>
      <w:r>
        <w:t>Technical Documentation</w:t>
      </w:r>
      <w:r w:rsidR="001149B0">
        <w:t xml:space="preserve"> </w:t>
      </w:r>
      <w:r>
        <w:t>Weighted Student Response and Exclusion Rates for the</w:t>
      </w:r>
      <w:r>
        <w:rPr>
          <w:spacing w:val="40"/>
        </w:rPr>
        <w:t xml:space="preserve"> </w:t>
      </w:r>
      <w:r>
        <w:t>2022</w:t>
      </w:r>
      <w:r>
        <w:rPr>
          <w:spacing w:val="40"/>
        </w:rPr>
        <w:t xml:space="preserve"> </w:t>
      </w:r>
      <w:r>
        <w:t>Eighth-Grade</w:t>
      </w:r>
      <w:r>
        <w:rPr>
          <w:spacing w:val="40"/>
        </w:rPr>
        <w:t xml:space="preserve"> </w:t>
      </w:r>
      <w:r>
        <w:t>Private</w:t>
      </w:r>
      <w:r>
        <w:rPr>
          <w:spacing w:val="40"/>
        </w:rPr>
        <w:t xml:space="preserve"> </w:t>
      </w:r>
      <w:r>
        <w:t>School</w:t>
      </w:r>
      <w:r>
        <w:rPr>
          <w:spacing w:val="40"/>
        </w:rPr>
        <w:t xml:space="preserve"> </w:t>
      </w:r>
      <w:r>
        <w:t>National</w:t>
      </w:r>
      <w:r>
        <w:rPr>
          <w:spacing w:val="40"/>
        </w:rPr>
        <w:t xml:space="preserve"> </w:t>
      </w:r>
      <w:r>
        <w:t>U.S.</w:t>
      </w:r>
      <w:r>
        <w:rPr>
          <w:spacing w:val="40"/>
        </w:rPr>
        <w:t xml:space="preserve"> </w:t>
      </w:r>
      <w:r>
        <w:t>History Assessment</w:t>
      </w:r>
    </w:p>
    <w:p w:rsidR="003F5784" w14:paraId="1ABA385E" w14:textId="77777777">
      <w:pPr>
        <w:spacing w:line="244" w:lineRule="auto"/>
        <w:sectPr>
          <w:pgSz w:w="15840" w:h="12240" w:orient="landscape"/>
          <w:pgMar w:top="480" w:right="440" w:bottom="460" w:left="460" w:header="284" w:footer="275" w:gutter="0"/>
          <w:cols w:space="720"/>
        </w:sectPr>
      </w:pPr>
    </w:p>
    <w:p w:rsidR="003F5784" w14:paraId="7511207F" w14:textId="77777777">
      <w:pPr>
        <w:pStyle w:val="BodyText"/>
        <w:spacing w:before="78" w:line="232" w:lineRule="auto"/>
        <w:ind w:left="109" w:right="179"/>
      </w:pPr>
      <w:r>
        <w:t>The</w:t>
      </w:r>
      <w:r>
        <w:rPr>
          <w:spacing w:val="-6"/>
        </w:rPr>
        <w:t xml:space="preserve"> </w:t>
      </w:r>
      <w:r>
        <w:t>following</w:t>
      </w:r>
      <w:r>
        <w:rPr>
          <w:spacing w:val="-6"/>
        </w:rPr>
        <w:t xml:space="preserve"> </w:t>
      </w:r>
      <w:r>
        <w:t>table</w:t>
      </w:r>
      <w:r>
        <w:rPr>
          <w:spacing w:val="-6"/>
        </w:rPr>
        <w:t xml:space="preserve"> </w:t>
      </w:r>
      <w:r>
        <w:t>presents</w:t>
      </w:r>
      <w:r>
        <w:rPr>
          <w:spacing w:val="-6"/>
        </w:rPr>
        <w:t xml:space="preserve"> </w:t>
      </w:r>
      <w:r>
        <w:t>weighted</w:t>
      </w:r>
      <w:r>
        <w:rPr>
          <w:spacing w:val="-6"/>
        </w:rPr>
        <w:t xml:space="preserve"> </w:t>
      </w:r>
      <w:r>
        <w:t>student</w:t>
      </w:r>
      <w:r>
        <w:rPr>
          <w:spacing w:val="-6"/>
        </w:rPr>
        <w:t xml:space="preserve"> </w:t>
      </w:r>
      <w:r>
        <w:t>response,</w:t>
      </w:r>
      <w:r>
        <w:rPr>
          <w:spacing w:val="-6"/>
        </w:rPr>
        <w:t xml:space="preserve"> </w:t>
      </w:r>
      <w:r>
        <w:t>exclusion,</w:t>
      </w:r>
      <w:r>
        <w:rPr>
          <w:spacing w:val="-6"/>
        </w:rPr>
        <w:t xml:space="preserve"> </w:t>
      </w:r>
      <w:r>
        <w:t>and</w:t>
      </w:r>
      <w:r>
        <w:rPr>
          <w:spacing w:val="-6"/>
        </w:rPr>
        <w:t xml:space="preserve"> </w:t>
      </w:r>
      <w:r>
        <w:t>full-time</w:t>
      </w:r>
      <w:r>
        <w:rPr>
          <w:spacing w:val="-6"/>
        </w:rPr>
        <w:t xml:space="preserve"> </w:t>
      </w:r>
      <w:r>
        <w:t>remote</w:t>
      </w:r>
      <w:r>
        <w:rPr>
          <w:spacing w:val="-6"/>
        </w:rPr>
        <w:t xml:space="preserve"> </w:t>
      </w:r>
      <w:r>
        <w:t>rates,</w:t>
      </w:r>
      <w:r>
        <w:rPr>
          <w:spacing w:val="-6"/>
        </w:rPr>
        <w:t xml:space="preserve"> </w:t>
      </w:r>
      <w:r>
        <w:t>by</w:t>
      </w:r>
      <w:r>
        <w:rPr>
          <w:spacing w:val="-6"/>
        </w:rPr>
        <w:t xml:space="preserve"> </w:t>
      </w:r>
      <w:r>
        <w:t>school</w:t>
      </w:r>
      <w:r>
        <w:rPr>
          <w:spacing w:val="-6"/>
        </w:rPr>
        <w:t xml:space="preserve"> </w:t>
      </w:r>
      <w:r>
        <w:t>type,</w:t>
      </w:r>
      <w:r>
        <w:rPr>
          <w:spacing w:val="-6"/>
        </w:rPr>
        <w:t xml:space="preserve"> </w:t>
      </w:r>
      <w:r>
        <w:t>for</w:t>
      </w:r>
      <w:r>
        <w:rPr>
          <w:spacing w:val="-6"/>
        </w:rPr>
        <w:t xml:space="preserve"> </w:t>
      </w:r>
      <w:r>
        <w:t>eighth-grade</w:t>
      </w:r>
      <w:r>
        <w:rPr>
          <w:spacing w:val="-6"/>
        </w:rPr>
        <w:t xml:space="preserve"> </w:t>
      </w:r>
      <w:r>
        <w:t>private</w:t>
      </w:r>
      <w:r>
        <w:rPr>
          <w:spacing w:val="-6"/>
        </w:rPr>
        <w:t xml:space="preserve"> </w:t>
      </w:r>
      <w:r>
        <w:t>school</w:t>
      </w:r>
      <w:r>
        <w:rPr>
          <w:spacing w:val="-6"/>
        </w:rPr>
        <w:t xml:space="preserve"> </w:t>
      </w:r>
      <w:r>
        <w:t>students</w:t>
      </w:r>
      <w:r>
        <w:rPr>
          <w:spacing w:val="-6"/>
        </w:rPr>
        <w:t xml:space="preserve"> </w:t>
      </w:r>
      <w:r>
        <w:t>in</w:t>
      </w:r>
      <w:r>
        <w:rPr>
          <w:spacing w:val="-6"/>
        </w:rPr>
        <w:t xml:space="preserve"> </w:t>
      </w:r>
      <w:r>
        <w:t>the</w:t>
      </w:r>
      <w:r>
        <w:rPr>
          <w:spacing w:val="-6"/>
        </w:rPr>
        <w:t xml:space="preserve"> </w:t>
      </w:r>
      <w:r>
        <w:t>national</w:t>
      </w:r>
      <w:r>
        <w:rPr>
          <w:spacing w:val="-6"/>
        </w:rPr>
        <w:t xml:space="preserve"> </w:t>
      </w:r>
      <w:r>
        <w:t xml:space="preserve">U.S. history sample. Separate exclusion rates are provided for </w:t>
      </w:r>
      <w:r>
        <w:rPr>
          <w:color w:val="0066CC"/>
        </w:rPr>
        <w:t xml:space="preserve">students with disabilities (SD) </w:t>
      </w:r>
      <w:r>
        <w:t xml:space="preserve">and </w:t>
      </w:r>
      <w:r>
        <w:rPr>
          <w:color w:val="0066CC"/>
        </w:rPr>
        <w:t>English learners (EL)</w:t>
      </w:r>
      <w:r>
        <w:t>.</w:t>
      </w:r>
    </w:p>
    <w:p w:rsidR="003F5784" w14:paraId="2D18AABD" w14:textId="77777777">
      <w:pPr>
        <w:pStyle w:val="BodyText"/>
        <w:spacing w:before="209" w:line="232" w:lineRule="auto"/>
        <w:ind w:left="109"/>
      </w:pPr>
      <w:r>
        <w:t>A</w:t>
      </w:r>
      <w:r>
        <w:rPr>
          <w:spacing w:val="-10"/>
        </w:rPr>
        <w:t xml:space="preserve"> </w:t>
      </w:r>
      <w:r>
        <w:t>weighted student response rate indicates the percentage of the student population that is directly represented by the assessed students from within participating schools.</w:t>
      </w:r>
      <w:r>
        <w:rPr>
          <w:spacing w:val="-10"/>
        </w:rPr>
        <w:t xml:space="preserve"> </w:t>
      </w:r>
      <w:r>
        <w:t>A weighted</w:t>
      </w:r>
      <w:r>
        <w:rPr>
          <w:spacing w:val="-6"/>
        </w:rPr>
        <w:t xml:space="preserve"> </w:t>
      </w:r>
      <w:r>
        <w:t>exclusion</w:t>
      </w:r>
      <w:r>
        <w:rPr>
          <w:spacing w:val="-6"/>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population</w:t>
      </w:r>
      <w:r>
        <w:rPr>
          <w:spacing w:val="-6"/>
        </w:rPr>
        <w:t xml:space="preserve"> </w:t>
      </w:r>
      <w:r>
        <w:t>that</w:t>
      </w:r>
      <w:r>
        <w:rPr>
          <w:spacing w:val="-6"/>
        </w:rPr>
        <w:t xml:space="preserve"> </w:t>
      </w:r>
      <w:r>
        <w:t>would</w:t>
      </w:r>
      <w:r>
        <w:rPr>
          <w:spacing w:val="-6"/>
        </w:rPr>
        <w:t xml:space="preserve"> </w:t>
      </w:r>
      <w:r>
        <w:t>be</w:t>
      </w:r>
      <w:r>
        <w:rPr>
          <w:spacing w:val="-6"/>
        </w:rPr>
        <w:t xml:space="preserve"> </w:t>
      </w:r>
      <w:r>
        <w:t>excluded</w:t>
      </w:r>
      <w:r>
        <w:rPr>
          <w:spacing w:val="-6"/>
        </w:rPr>
        <w:t xml:space="preserve"> </w:t>
      </w:r>
      <w:r>
        <w:t>from</w:t>
      </w:r>
      <w:r>
        <w:rPr>
          <w:spacing w:val="-6"/>
        </w:rPr>
        <w:t xml:space="preserve"> </w:t>
      </w:r>
      <w:r>
        <w:t>the</w:t>
      </w:r>
      <w:r>
        <w:rPr>
          <w:spacing w:val="-6"/>
        </w:rPr>
        <w:t xml:space="preserve"> </w:t>
      </w:r>
      <w:r>
        <w:t>assessment.</w:t>
      </w:r>
      <w:r>
        <w:rPr>
          <w:spacing w:val="-10"/>
        </w:rPr>
        <w:t xml:space="preserve"> </w:t>
      </w:r>
      <w:r>
        <w:t>The</w:t>
      </w:r>
      <w:r>
        <w:rPr>
          <w:spacing w:val="-6"/>
        </w:rPr>
        <w:t xml:space="preserve"> </w:t>
      </w:r>
      <w:r>
        <w:t>weighted</w:t>
      </w:r>
      <w:r>
        <w:rPr>
          <w:spacing w:val="-6"/>
        </w:rPr>
        <w:t xml:space="preserve"> </w:t>
      </w:r>
      <w:r>
        <w:t>student</w:t>
      </w:r>
      <w:r>
        <w:rPr>
          <w:spacing w:val="-6"/>
        </w:rPr>
        <w:t xml:space="preserve"> </w:t>
      </w:r>
      <w:r>
        <w:t>full-time</w:t>
      </w:r>
      <w:r>
        <w:rPr>
          <w:spacing w:val="-6"/>
        </w:rPr>
        <w:t xml:space="preserve"> </w:t>
      </w:r>
      <w:r>
        <w:t>remote</w:t>
      </w:r>
      <w:r>
        <w:rPr>
          <w:spacing w:val="-6"/>
        </w:rPr>
        <w:t xml:space="preserve"> </w:t>
      </w:r>
      <w:r>
        <w:t>rate</w:t>
      </w:r>
      <w:r>
        <w:rPr>
          <w:spacing w:val="-6"/>
        </w:rPr>
        <w:t xml:space="preserve"> </w:t>
      </w:r>
      <w:r>
        <w:t>indicates the percentage of the student population that is full-time remote (enrolled in brick-and-mortar schools but do not attend school in person).</w:t>
      </w:r>
    </w:p>
    <w:p w:rsidR="003F5784" w14:paraId="265ADF37" w14:textId="77777777">
      <w:pPr>
        <w:pStyle w:val="BodyText"/>
        <w:spacing w:before="93"/>
      </w:pPr>
    </w:p>
    <w:p w:rsidR="003F5784" w14:paraId="0732108F" w14:textId="77777777">
      <w:pPr>
        <w:pStyle w:val="Heading2"/>
      </w:pPr>
      <w:r>
        <w:t>Weighted</w:t>
      </w:r>
      <w:r>
        <w:rPr>
          <w:spacing w:val="-9"/>
        </w:rPr>
        <w:t xml:space="preserve"> </w:t>
      </w:r>
      <w:r>
        <w:t>student</w:t>
      </w:r>
      <w:r>
        <w:rPr>
          <w:spacing w:val="-8"/>
        </w:rPr>
        <w:t xml:space="preserve"> </w:t>
      </w:r>
      <w:r>
        <w:t>response,</w:t>
      </w:r>
      <w:r>
        <w:rPr>
          <w:spacing w:val="-9"/>
        </w:rPr>
        <w:t xml:space="preserve"> </w:t>
      </w:r>
      <w:r>
        <w:t>exclusion,</w:t>
      </w:r>
      <w:r>
        <w:rPr>
          <w:spacing w:val="-8"/>
        </w:rPr>
        <w:t xml:space="preserve"> </w:t>
      </w:r>
      <w:r>
        <w:t>and</w:t>
      </w:r>
      <w:r>
        <w:rPr>
          <w:spacing w:val="-9"/>
        </w:rPr>
        <w:t xml:space="preserve"> </w:t>
      </w:r>
      <w:r>
        <w:t>full-time</w:t>
      </w:r>
      <w:r>
        <w:rPr>
          <w:spacing w:val="-8"/>
        </w:rPr>
        <w:t xml:space="preserve"> </w:t>
      </w:r>
      <w:r>
        <w:t>remote</w:t>
      </w:r>
      <w:r>
        <w:rPr>
          <w:spacing w:val="-9"/>
        </w:rPr>
        <w:t xml:space="preserve"> </w:t>
      </w:r>
      <w:r>
        <w:t>rates</w:t>
      </w:r>
      <w:r>
        <w:rPr>
          <w:spacing w:val="-8"/>
        </w:rPr>
        <w:t xml:space="preserve"> </w:t>
      </w:r>
      <w:r>
        <w:t>for</w:t>
      </w:r>
      <w:r>
        <w:rPr>
          <w:spacing w:val="-12"/>
        </w:rPr>
        <w:t xml:space="preserve"> </w:t>
      </w:r>
      <w:r>
        <w:t>eighth-grade</w:t>
      </w:r>
      <w:r>
        <w:rPr>
          <w:spacing w:val="-9"/>
        </w:rPr>
        <w:t xml:space="preserve"> </w:t>
      </w:r>
      <w:r>
        <w:t>private</w:t>
      </w:r>
      <w:r>
        <w:rPr>
          <w:spacing w:val="-8"/>
        </w:rPr>
        <w:t xml:space="preserve"> </w:t>
      </w:r>
      <w:r>
        <w:t>schools,</w:t>
      </w:r>
      <w:r>
        <w:rPr>
          <w:spacing w:val="-9"/>
        </w:rPr>
        <w:t xml:space="preserve"> </w:t>
      </w:r>
      <w:r>
        <w:t>national</w:t>
      </w:r>
      <w:r>
        <w:rPr>
          <w:spacing w:val="-8"/>
        </w:rPr>
        <w:t xml:space="preserve"> </w:t>
      </w:r>
      <w:r>
        <w:t>U.S.</w:t>
      </w:r>
      <w:r>
        <w:rPr>
          <w:spacing w:val="-9"/>
        </w:rPr>
        <w:t xml:space="preserve"> </w:t>
      </w:r>
      <w:r>
        <w:t>history</w:t>
      </w:r>
      <w:r>
        <w:rPr>
          <w:spacing w:val="-8"/>
        </w:rPr>
        <w:t xml:space="preserve"> </w:t>
      </w:r>
      <w:r>
        <w:t>assessment,</w:t>
      </w:r>
      <w:r>
        <w:rPr>
          <w:spacing w:val="-9"/>
        </w:rPr>
        <w:t xml:space="preserve"> </w:t>
      </w:r>
      <w:r>
        <w:t>by</w:t>
      </w:r>
      <w:r>
        <w:rPr>
          <w:spacing w:val="-8"/>
        </w:rPr>
        <w:t xml:space="preserve"> </w:t>
      </w:r>
      <w:r>
        <w:t>school</w:t>
      </w:r>
      <w:r>
        <w:rPr>
          <w:spacing w:val="-9"/>
        </w:rPr>
        <w:t xml:space="preserve"> </w:t>
      </w:r>
      <w:r>
        <w:t>type:</w:t>
      </w:r>
      <w:r>
        <w:rPr>
          <w:spacing w:val="-8"/>
        </w:rPr>
        <w:t xml:space="preserve"> </w:t>
      </w:r>
      <w:r>
        <w:rPr>
          <w:spacing w:val="-4"/>
        </w:rPr>
        <w:t>2022</w:t>
      </w:r>
    </w:p>
    <w:p w:rsidR="003F5784" w14:paraId="26B1EDAE"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1416"/>
        <w:gridCol w:w="2703"/>
        <w:gridCol w:w="3591"/>
        <w:gridCol w:w="3602"/>
        <w:gridCol w:w="2673"/>
      </w:tblGrid>
      <w:tr w14:paraId="476A8FF4" w14:textId="77777777">
        <w:tblPrEx>
          <w:tblW w:w="0" w:type="auto"/>
          <w:tblInd w:w="482" w:type="dxa"/>
          <w:tblLayout w:type="fixed"/>
          <w:tblCellMar>
            <w:left w:w="0" w:type="dxa"/>
            <w:right w:w="0" w:type="dxa"/>
          </w:tblCellMar>
          <w:tblLook w:val="01E0"/>
        </w:tblPrEx>
        <w:trPr>
          <w:trHeight w:val="502"/>
        </w:trPr>
        <w:tc>
          <w:tcPr>
            <w:tcW w:w="1416" w:type="dxa"/>
            <w:tcBorders>
              <w:top w:val="single" w:sz="18" w:space="0" w:color="800000"/>
              <w:bottom w:val="single" w:sz="18" w:space="0" w:color="800000"/>
            </w:tcBorders>
          </w:tcPr>
          <w:p w:rsidR="003F5784" w14:paraId="12F7FABD" w14:textId="77777777">
            <w:pPr>
              <w:pStyle w:val="TableParagraph"/>
              <w:spacing w:before="2"/>
              <w:jc w:val="left"/>
              <w:rPr>
                <w:b/>
                <w:sz w:val="21"/>
              </w:rPr>
            </w:pPr>
          </w:p>
          <w:p w:rsidR="003F5784" w14:paraId="4E5AE5EC" w14:textId="77777777">
            <w:pPr>
              <w:pStyle w:val="TableParagraph"/>
              <w:spacing w:before="0" w:line="238" w:lineRule="exact"/>
              <w:ind w:left="120"/>
              <w:jc w:val="left"/>
              <w:rPr>
                <w:sz w:val="21"/>
              </w:rPr>
            </w:pPr>
            <w:r>
              <w:rPr>
                <w:sz w:val="21"/>
              </w:rPr>
              <w:t>School</w:t>
            </w:r>
            <w:r>
              <w:rPr>
                <w:spacing w:val="-7"/>
                <w:sz w:val="21"/>
              </w:rPr>
              <w:t xml:space="preserve"> </w:t>
            </w:r>
            <w:r>
              <w:rPr>
                <w:spacing w:val="-4"/>
                <w:sz w:val="21"/>
              </w:rPr>
              <w:t>type</w:t>
            </w:r>
          </w:p>
        </w:tc>
        <w:tc>
          <w:tcPr>
            <w:tcW w:w="2703" w:type="dxa"/>
            <w:tcBorders>
              <w:top w:val="single" w:sz="18" w:space="0" w:color="800000"/>
              <w:bottom w:val="single" w:sz="18" w:space="0" w:color="800000"/>
            </w:tcBorders>
          </w:tcPr>
          <w:p w:rsidR="003F5784" w14:paraId="10337098" w14:textId="77777777">
            <w:pPr>
              <w:pStyle w:val="TableParagraph"/>
              <w:spacing w:before="9" w:line="238" w:lineRule="exact"/>
              <w:ind w:right="310"/>
              <w:rPr>
                <w:sz w:val="21"/>
              </w:rPr>
            </w:pPr>
            <w:r>
              <w:rPr>
                <w:spacing w:val="-2"/>
                <w:sz w:val="21"/>
              </w:rPr>
              <w:t>Weighted student response</w:t>
            </w:r>
          </w:p>
          <w:p w:rsidR="003F5784" w14:paraId="2073333D" w14:textId="77777777">
            <w:pPr>
              <w:pStyle w:val="TableParagraph"/>
              <w:spacing w:before="0" w:line="235" w:lineRule="exact"/>
              <w:ind w:right="310"/>
              <w:rPr>
                <w:sz w:val="21"/>
              </w:rPr>
            </w:pPr>
            <w:r>
              <w:rPr>
                <w:sz w:val="21"/>
              </w:rPr>
              <w:t>rate</w:t>
            </w:r>
            <w:r>
              <w:rPr>
                <w:spacing w:val="-5"/>
                <w:sz w:val="21"/>
              </w:rPr>
              <w:t xml:space="preserve"> </w:t>
            </w:r>
            <w:r>
              <w:rPr>
                <w:spacing w:val="-2"/>
                <w:sz w:val="21"/>
              </w:rPr>
              <w:t>(percent)</w:t>
            </w:r>
          </w:p>
        </w:tc>
        <w:tc>
          <w:tcPr>
            <w:tcW w:w="3591" w:type="dxa"/>
            <w:tcBorders>
              <w:top w:val="single" w:sz="18" w:space="0" w:color="800000"/>
              <w:bottom w:val="single" w:sz="18" w:space="0" w:color="800000"/>
            </w:tcBorders>
          </w:tcPr>
          <w:p w:rsidR="003F5784" w14:paraId="7E817197" w14:textId="77777777">
            <w:pPr>
              <w:pStyle w:val="TableParagraph"/>
              <w:spacing w:before="14" w:line="234" w:lineRule="exact"/>
              <w:ind w:left="990" w:right="303" w:hanging="678"/>
              <w:jc w:val="left"/>
              <w:rPr>
                <w:sz w:val="21"/>
              </w:rPr>
            </w:pPr>
            <w:r>
              <w:rPr>
                <w:sz w:val="21"/>
              </w:rPr>
              <w:t>Weighted</w:t>
            </w:r>
            <w:r>
              <w:rPr>
                <w:spacing w:val="-14"/>
                <w:sz w:val="21"/>
              </w:rPr>
              <w:t xml:space="preserve"> </w:t>
            </w:r>
            <w:r>
              <w:rPr>
                <w:sz w:val="21"/>
              </w:rPr>
              <w:t>percentage</w:t>
            </w:r>
            <w:r>
              <w:rPr>
                <w:spacing w:val="-13"/>
                <w:sz w:val="21"/>
              </w:rPr>
              <w:t xml:space="preserve"> </w:t>
            </w:r>
            <w:r>
              <w:rPr>
                <w:sz w:val="21"/>
              </w:rPr>
              <w:t>of</w:t>
            </w:r>
            <w:r>
              <w:rPr>
                <w:spacing w:val="-13"/>
                <w:sz w:val="21"/>
              </w:rPr>
              <w:t xml:space="preserve"> </w:t>
            </w:r>
            <w:r>
              <w:rPr>
                <w:sz w:val="21"/>
              </w:rPr>
              <w:t>all</w:t>
            </w:r>
            <w:r>
              <w:rPr>
                <w:spacing w:val="-13"/>
                <w:sz w:val="21"/>
              </w:rPr>
              <w:t xml:space="preserve"> </w:t>
            </w:r>
            <w:r>
              <w:rPr>
                <w:sz w:val="21"/>
              </w:rPr>
              <w:t>students who</w:t>
            </w:r>
            <w:r>
              <w:rPr>
                <w:spacing w:val="-5"/>
                <w:sz w:val="21"/>
              </w:rPr>
              <w:t xml:space="preserve"> </w:t>
            </w:r>
            <w:r>
              <w:rPr>
                <w:sz w:val="21"/>
              </w:rPr>
              <w:t>were</w:t>
            </w:r>
            <w:r>
              <w:rPr>
                <w:spacing w:val="-4"/>
                <w:sz w:val="21"/>
              </w:rPr>
              <w:t xml:space="preserve"> </w:t>
            </w:r>
            <w:r>
              <w:rPr>
                <w:sz w:val="21"/>
              </w:rPr>
              <w:t>SD</w:t>
            </w:r>
            <w:r>
              <w:rPr>
                <w:spacing w:val="-5"/>
                <w:sz w:val="21"/>
              </w:rPr>
              <w:t xml:space="preserve"> </w:t>
            </w:r>
            <w:r>
              <w:rPr>
                <w:sz w:val="21"/>
              </w:rPr>
              <w:t>and</w:t>
            </w:r>
            <w:r>
              <w:rPr>
                <w:spacing w:val="-4"/>
                <w:sz w:val="21"/>
              </w:rPr>
              <w:t xml:space="preserve"> </w:t>
            </w:r>
            <w:r>
              <w:rPr>
                <w:spacing w:val="-2"/>
                <w:sz w:val="21"/>
              </w:rPr>
              <w:t>excluded</w:t>
            </w:r>
          </w:p>
        </w:tc>
        <w:tc>
          <w:tcPr>
            <w:tcW w:w="3602" w:type="dxa"/>
            <w:tcBorders>
              <w:top w:val="single" w:sz="18" w:space="0" w:color="800000"/>
              <w:bottom w:val="single" w:sz="18" w:space="0" w:color="800000"/>
            </w:tcBorders>
          </w:tcPr>
          <w:p w:rsidR="003F5784" w14:paraId="46EFA42B" w14:textId="77777777">
            <w:pPr>
              <w:pStyle w:val="TableParagraph"/>
              <w:spacing w:before="14" w:line="234" w:lineRule="exact"/>
              <w:ind w:left="1004" w:right="320" w:hanging="698"/>
              <w:jc w:val="left"/>
              <w:rPr>
                <w:sz w:val="21"/>
              </w:rPr>
            </w:pPr>
            <w:r>
              <w:rPr>
                <w:sz w:val="21"/>
              </w:rPr>
              <w:t>Weighted</w:t>
            </w:r>
            <w:r>
              <w:rPr>
                <w:spacing w:val="-14"/>
                <w:sz w:val="21"/>
              </w:rPr>
              <w:t xml:space="preserve"> </w:t>
            </w:r>
            <w:r>
              <w:rPr>
                <w:sz w:val="21"/>
              </w:rPr>
              <w:t>percentage</w:t>
            </w:r>
            <w:r>
              <w:rPr>
                <w:spacing w:val="-13"/>
                <w:sz w:val="21"/>
              </w:rPr>
              <w:t xml:space="preserve"> </w:t>
            </w:r>
            <w:r>
              <w:rPr>
                <w:sz w:val="21"/>
              </w:rPr>
              <w:t>of</w:t>
            </w:r>
            <w:r>
              <w:rPr>
                <w:spacing w:val="-13"/>
                <w:sz w:val="21"/>
              </w:rPr>
              <w:t xml:space="preserve"> </w:t>
            </w:r>
            <w:r>
              <w:rPr>
                <w:sz w:val="21"/>
              </w:rPr>
              <w:t>all</w:t>
            </w:r>
            <w:r>
              <w:rPr>
                <w:spacing w:val="-13"/>
                <w:sz w:val="21"/>
              </w:rPr>
              <w:t xml:space="preserve"> </w:t>
            </w:r>
            <w:r>
              <w:rPr>
                <w:sz w:val="21"/>
              </w:rPr>
              <w:t>students who</w:t>
            </w:r>
            <w:r>
              <w:rPr>
                <w:spacing w:val="-5"/>
                <w:sz w:val="21"/>
              </w:rPr>
              <w:t xml:space="preserve"> </w:t>
            </w:r>
            <w:r>
              <w:rPr>
                <w:sz w:val="21"/>
              </w:rPr>
              <w:t>were</w:t>
            </w:r>
            <w:r>
              <w:rPr>
                <w:spacing w:val="-4"/>
                <w:sz w:val="21"/>
              </w:rPr>
              <w:t xml:space="preserve"> </w:t>
            </w:r>
            <w:r>
              <w:rPr>
                <w:sz w:val="21"/>
              </w:rPr>
              <w:t>EL</w:t>
            </w:r>
            <w:r>
              <w:rPr>
                <w:spacing w:val="-12"/>
                <w:sz w:val="21"/>
              </w:rPr>
              <w:t xml:space="preserve"> </w:t>
            </w:r>
            <w:r>
              <w:rPr>
                <w:sz w:val="21"/>
              </w:rPr>
              <w:t>and</w:t>
            </w:r>
            <w:r>
              <w:rPr>
                <w:spacing w:val="-5"/>
                <w:sz w:val="21"/>
              </w:rPr>
              <w:t xml:space="preserve"> </w:t>
            </w:r>
            <w:r>
              <w:rPr>
                <w:spacing w:val="-2"/>
                <w:sz w:val="21"/>
              </w:rPr>
              <w:t>excluded</w:t>
            </w:r>
          </w:p>
        </w:tc>
        <w:tc>
          <w:tcPr>
            <w:tcW w:w="2673" w:type="dxa"/>
            <w:tcBorders>
              <w:top w:val="single" w:sz="18" w:space="0" w:color="800000"/>
              <w:bottom w:val="single" w:sz="18" w:space="0" w:color="800000"/>
            </w:tcBorders>
          </w:tcPr>
          <w:p w:rsidR="003F5784" w14:paraId="7279D844" w14:textId="77777777">
            <w:pPr>
              <w:pStyle w:val="TableParagraph"/>
              <w:spacing w:before="14" w:line="234" w:lineRule="exact"/>
              <w:ind w:left="723" w:right="117" w:hanging="401"/>
              <w:jc w:val="left"/>
              <w:rPr>
                <w:sz w:val="21"/>
              </w:rPr>
            </w:pPr>
            <w:r>
              <w:rPr>
                <w:spacing w:val="-2"/>
                <w:sz w:val="21"/>
              </w:rPr>
              <w:t>Weighted</w:t>
            </w:r>
            <w:r>
              <w:rPr>
                <w:spacing w:val="-11"/>
                <w:sz w:val="21"/>
              </w:rPr>
              <w:t xml:space="preserve"> </w:t>
            </w:r>
            <w:r>
              <w:rPr>
                <w:spacing w:val="-2"/>
                <w:sz w:val="21"/>
              </w:rPr>
              <w:t>student</w:t>
            </w:r>
            <w:r>
              <w:rPr>
                <w:spacing w:val="-11"/>
                <w:sz w:val="21"/>
              </w:rPr>
              <w:t xml:space="preserve"> </w:t>
            </w:r>
            <w:r>
              <w:rPr>
                <w:spacing w:val="-2"/>
                <w:sz w:val="21"/>
              </w:rPr>
              <w:t xml:space="preserve">full-time </w:t>
            </w:r>
            <w:r>
              <w:rPr>
                <w:sz w:val="21"/>
              </w:rPr>
              <w:t>remote</w:t>
            </w:r>
            <w:r>
              <w:rPr>
                <w:spacing w:val="-6"/>
                <w:sz w:val="21"/>
              </w:rPr>
              <w:t xml:space="preserve"> </w:t>
            </w:r>
            <w:r>
              <w:rPr>
                <w:sz w:val="21"/>
              </w:rPr>
              <w:t>rates</w:t>
            </w:r>
            <w:r>
              <w:rPr>
                <w:spacing w:val="-6"/>
                <w:sz w:val="21"/>
              </w:rPr>
              <w:t xml:space="preserve"> </w:t>
            </w:r>
            <w:r>
              <w:rPr>
                <w:spacing w:val="-2"/>
                <w:sz w:val="21"/>
              </w:rPr>
              <w:t>(percent)</w:t>
            </w:r>
          </w:p>
        </w:tc>
      </w:tr>
      <w:tr w14:paraId="65D09947" w14:textId="77777777">
        <w:tblPrEx>
          <w:tblW w:w="0" w:type="auto"/>
          <w:tblInd w:w="482" w:type="dxa"/>
          <w:tblLayout w:type="fixed"/>
          <w:tblCellMar>
            <w:left w:w="0" w:type="dxa"/>
            <w:right w:w="0" w:type="dxa"/>
          </w:tblCellMar>
          <w:tblLook w:val="01E0"/>
        </w:tblPrEx>
        <w:trPr>
          <w:trHeight w:val="278"/>
        </w:trPr>
        <w:tc>
          <w:tcPr>
            <w:tcW w:w="1416" w:type="dxa"/>
            <w:tcBorders>
              <w:top w:val="single" w:sz="18" w:space="0" w:color="800000"/>
            </w:tcBorders>
          </w:tcPr>
          <w:p w:rsidR="003F5784" w14:paraId="5E21692B" w14:textId="77777777">
            <w:pPr>
              <w:pStyle w:val="TableParagraph"/>
              <w:spacing w:before="9"/>
              <w:ind w:left="370"/>
              <w:jc w:val="left"/>
              <w:rPr>
                <w:b/>
                <w:sz w:val="21"/>
              </w:rPr>
            </w:pPr>
            <w:r>
              <w:rPr>
                <w:b/>
                <w:sz w:val="21"/>
              </w:rPr>
              <w:t>All</w:t>
            </w:r>
            <w:r>
              <w:rPr>
                <w:b/>
                <w:spacing w:val="-4"/>
                <w:sz w:val="21"/>
              </w:rPr>
              <w:t xml:space="preserve"> </w:t>
            </w:r>
            <w:r>
              <w:rPr>
                <w:b/>
                <w:spacing w:val="-2"/>
                <w:sz w:val="21"/>
              </w:rPr>
              <w:t>private</w:t>
            </w:r>
          </w:p>
        </w:tc>
        <w:tc>
          <w:tcPr>
            <w:tcW w:w="2703" w:type="dxa"/>
            <w:tcBorders>
              <w:top w:val="single" w:sz="18" w:space="0" w:color="800000"/>
            </w:tcBorders>
          </w:tcPr>
          <w:p w:rsidR="003F5784" w14:paraId="42CC752E" w14:textId="77777777">
            <w:pPr>
              <w:pStyle w:val="TableParagraph"/>
              <w:spacing w:before="9"/>
              <w:ind w:right="310"/>
              <w:rPr>
                <w:b/>
                <w:sz w:val="21"/>
              </w:rPr>
            </w:pPr>
            <w:r>
              <w:rPr>
                <w:b/>
                <w:spacing w:val="-2"/>
                <w:sz w:val="21"/>
              </w:rPr>
              <w:t>93.57</w:t>
            </w:r>
          </w:p>
        </w:tc>
        <w:tc>
          <w:tcPr>
            <w:tcW w:w="3591" w:type="dxa"/>
            <w:tcBorders>
              <w:top w:val="single" w:sz="18" w:space="0" w:color="800000"/>
            </w:tcBorders>
          </w:tcPr>
          <w:p w:rsidR="003F5784" w14:paraId="38B84864" w14:textId="77777777">
            <w:pPr>
              <w:pStyle w:val="TableParagraph"/>
              <w:spacing w:before="9"/>
              <w:ind w:right="305"/>
              <w:rPr>
                <w:b/>
                <w:sz w:val="21"/>
              </w:rPr>
            </w:pPr>
            <w:r>
              <w:rPr>
                <w:b/>
                <w:spacing w:val="-10"/>
                <w:sz w:val="21"/>
              </w:rPr>
              <w:t>#</w:t>
            </w:r>
          </w:p>
        </w:tc>
        <w:tc>
          <w:tcPr>
            <w:tcW w:w="3602" w:type="dxa"/>
            <w:tcBorders>
              <w:top w:val="single" w:sz="18" w:space="0" w:color="800000"/>
            </w:tcBorders>
          </w:tcPr>
          <w:p w:rsidR="003F5784" w14:paraId="10BE06A3" w14:textId="77777777">
            <w:pPr>
              <w:pStyle w:val="TableParagraph"/>
              <w:spacing w:before="9"/>
              <w:ind w:right="322"/>
              <w:rPr>
                <w:b/>
                <w:sz w:val="21"/>
              </w:rPr>
            </w:pPr>
            <w:r>
              <w:rPr>
                <w:b/>
                <w:spacing w:val="-10"/>
                <w:sz w:val="21"/>
              </w:rPr>
              <w:t>#</w:t>
            </w:r>
          </w:p>
        </w:tc>
        <w:tc>
          <w:tcPr>
            <w:tcW w:w="2673" w:type="dxa"/>
            <w:tcBorders>
              <w:top w:val="single" w:sz="18" w:space="0" w:color="800000"/>
            </w:tcBorders>
          </w:tcPr>
          <w:p w:rsidR="003F5784" w14:paraId="65115AAD" w14:textId="77777777">
            <w:pPr>
              <w:pStyle w:val="TableParagraph"/>
              <w:spacing w:before="9"/>
              <w:ind w:right="118"/>
              <w:rPr>
                <w:b/>
                <w:sz w:val="21"/>
              </w:rPr>
            </w:pPr>
            <w:r>
              <w:rPr>
                <w:b/>
                <w:spacing w:val="-4"/>
                <w:sz w:val="21"/>
              </w:rPr>
              <w:t>0.48</w:t>
            </w:r>
          </w:p>
        </w:tc>
      </w:tr>
      <w:tr w14:paraId="16F054A0" w14:textId="77777777">
        <w:tblPrEx>
          <w:tblW w:w="0" w:type="auto"/>
          <w:tblInd w:w="482" w:type="dxa"/>
          <w:tblLayout w:type="fixed"/>
          <w:tblCellMar>
            <w:left w:w="0" w:type="dxa"/>
            <w:right w:w="0" w:type="dxa"/>
          </w:tblCellMar>
          <w:tblLook w:val="01E0"/>
        </w:tblPrEx>
        <w:trPr>
          <w:trHeight w:val="286"/>
        </w:trPr>
        <w:tc>
          <w:tcPr>
            <w:tcW w:w="1416" w:type="dxa"/>
          </w:tcPr>
          <w:p w:rsidR="003F5784" w14:paraId="0E95315B" w14:textId="77777777">
            <w:pPr>
              <w:pStyle w:val="TableParagraph"/>
              <w:ind w:left="120"/>
              <w:jc w:val="left"/>
              <w:rPr>
                <w:sz w:val="21"/>
              </w:rPr>
            </w:pPr>
            <w:r>
              <w:rPr>
                <w:spacing w:val="-2"/>
                <w:sz w:val="21"/>
              </w:rPr>
              <w:t>Catholic</w:t>
            </w:r>
          </w:p>
        </w:tc>
        <w:tc>
          <w:tcPr>
            <w:tcW w:w="2703" w:type="dxa"/>
          </w:tcPr>
          <w:p w:rsidR="003F5784" w14:paraId="0C932D81" w14:textId="77777777">
            <w:pPr>
              <w:pStyle w:val="TableParagraph"/>
              <w:ind w:right="310"/>
              <w:rPr>
                <w:sz w:val="21"/>
              </w:rPr>
            </w:pPr>
            <w:r>
              <w:rPr>
                <w:spacing w:val="-2"/>
                <w:sz w:val="21"/>
              </w:rPr>
              <w:t>94.26</w:t>
            </w:r>
          </w:p>
        </w:tc>
        <w:tc>
          <w:tcPr>
            <w:tcW w:w="3591" w:type="dxa"/>
          </w:tcPr>
          <w:p w:rsidR="003F5784" w14:paraId="05455F3F" w14:textId="77777777">
            <w:pPr>
              <w:pStyle w:val="TableParagraph"/>
              <w:ind w:right="305"/>
              <w:rPr>
                <w:sz w:val="21"/>
              </w:rPr>
            </w:pPr>
            <w:r>
              <w:rPr>
                <w:spacing w:val="-10"/>
                <w:sz w:val="21"/>
              </w:rPr>
              <w:t>#</w:t>
            </w:r>
          </w:p>
        </w:tc>
        <w:tc>
          <w:tcPr>
            <w:tcW w:w="3602" w:type="dxa"/>
          </w:tcPr>
          <w:p w:rsidR="003F5784" w14:paraId="51639BE6" w14:textId="77777777">
            <w:pPr>
              <w:pStyle w:val="TableParagraph"/>
              <w:ind w:right="322"/>
              <w:rPr>
                <w:sz w:val="21"/>
              </w:rPr>
            </w:pPr>
            <w:r>
              <w:rPr>
                <w:spacing w:val="-10"/>
                <w:sz w:val="21"/>
              </w:rPr>
              <w:t>#</w:t>
            </w:r>
          </w:p>
        </w:tc>
        <w:tc>
          <w:tcPr>
            <w:tcW w:w="2673" w:type="dxa"/>
          </w:tcPr>
          <w:p w:rsidR="003F5784" w14:paraId="7560A03E" w14:textId="77777777">
            <w:pPr>
              <w:pStyle w:val="TableParagraph"/>
              <w:ind w:right="118"/>
              <w:rPr>
                <w:sz w:val="21"/>
              </w:rPr>
            </w:pPr>
            <w:r>
              <w:rPr>
                <w:spacing w:val="-10"/>
                <w:sz w:val="21"/>
              </w:rPr>
              <w:t>#</w:t>
            </w:r>
          </w:p>
        </w:tc>
      </w:tr>
      <w:tr w14:paraId="15BD26D9" w14:textId="77777777">
        <w:tblPrEx>
          <w:tblW w:w="0" w:type="auto"/>
          <w:tblInd w:w="482" w:type="dxa"/>
          <w:tblLayout w:type="fixed"/>
          <w:tblCellMar>
            <w:left w:w="0" w:type="dxa"/>
            <w:right w:w="0" w:type="dxa"/>
          </w:tblCellMar>
          <w:tblLook w:val="01E0"/>
        </w:tblPrEx>
        <w:trPr>
          <w:trHeight w:val="288"/>
        </w:trPr>
        <w:tc>
          <w:tcPr>
            <w:tcW w:w="1416" w:type="dxa"/>
            <w:tcBorders>
              <w:bottom w:val="single" w:sz="18" w:space="0" w:color="800000"/>
            </w:tcBorders>
          </w:tcPr>
          <w:p w:rsidR="003F5784" w14:paraId="1CEB3965" w14:textId="77777777">
            <w:pPr>
              <w:pStyle w:val="TableParagraph"/>
              <w:ind w:left="120"/>
              <w:jc w:val="left"/>
              <w:rPr>
                <w:sz w:val="21"/>
              </w:rPr>
            </w:pPr>
            <w:r>
              <w:rPr>
                <w:spacing w:val="-2"/>
                <w:sz w:val="21"/>
              </w:rPr>
              <w:t>Non-Catholic</w:t>
            </w:r>
          </w:p>
        </w:tc>
        <w:tc>
          <w:tcPr>
            <w:tcW w:w="2703" w:type="dxa"/>
            <w:tcBorders>
              <w:bottom w:val="single" w:sz="18" w:space="0" w:color="800000"/>
            </w:tcBorders>
          </w:tcPr>
          <w:p w:rsidR="003F5784" w14:paraId="0705A52C" w14:textId="77777777">
            <w:pPr>
              <w:pStyle w:val="TableParagraph"/>
              <w:ind w:right="310"/>
              <w:rPr>
                <w:sz w:val="21"/>
              </w:rPr>
            </w:pPr>
            <w:r>
              <w:rPr>
                <w:spacing w:val="-2"/>
                <w:sz w:val="21"/>
              </w:rPr>
              <w:t>91.51</w:t>
            </w:r>
          </w:p>
        </w:tc>
        <w:tc>
          <w:tcPr>
            <w:tcW w:w="3591" w:type="dxa"/>
            <w:tcBorders>
              <w:bottom w:val="single" w:sz="18" w:space="0" w:color="800000"/>
            </w:tcBorders>
          </w:tcPr>
          <w:p w:rsidR="003F5784" w14:paraId="7E9E356A" w14:textId="77777777">
            <w:pPr>
              <w:pStyle w:val="TableParagraph"/>
              <w:ind w:right="305"/>
              <w:rPr>
                <w:sz w:val="21"/>
              </w:rPr>
            </w:pPr>
            <w:r>
              <w:rPr>
                <w:spacing w:val="-10"/>
                <w:sz w:val="21"/>
              </w:rPr>
              <w:t>#</w:t>
            </w:r>
          </w:p>
        </w:tc>
        <w:tc>
          <w:tcPr>
            <w:tcW w:w="3602" w:type="dxa"/>
            <w:tcBorders>
              <w:bottom w:val="single" w:sz="18" w:space="0" w:color="800000"/>
            </w:tcBorders>
          </w:tcPr>
          <w:p w:rsidR="003F5784" w14:paraId="167418B3" w14:textId="77777777">
            <w:pPr>
              <w:pStyle w:val="TableParagraph"/>
              <w:ind w:right="322"/>
              <w:rPr>
                <w:sz w:val="21"/>
              </w:rPr>
            </w:pPr>
            <w:r>
              <w:rPr>
                <w:spacing w:val="-10"/>
                <w:sz w:val="21"/>
              </w:rPr>
              <w:t>#</w:t>
            </w:r>
          </w:p>
        </w:tc>
        <w:tc>
          <w:tcPr>
            <w:tcW w:w="2673" w:type="dxa"/>
            <w:tcBorders>
              <w:bottom w:val="single" w:sz="18" w:space="0" w:color="800000"/>
            </w:tcBorders>
          </w:tcPr>
          <w:p w:rsidR="003F5784" w14:paraId="7EE441CC" w14:textId="77777777">
            <w:pPr>
              <w:pStyle w:val="TableParagraph"/>
              <w:ind w:right="118"/>
              <w:rPr>
                <w:sz w:val="21"/>
              </w:rPr>
            </w:pPr>
            <w:r>
              <w:rPr>
                <w:spacing w:val="-4"/>
                <w:sz w:val="21"/>
              </w:rPr>
              <w:t>0.80</w:t>
            </w:r>
          </w:p>
        </w:tc>
      </w:tr>
      <w:tr w14:paraId="7CBDA860" w14:textId="77777777">
        <w:tblPrEx>
          <w:tblW w:w="0" w:type="auto"/>
          <w:tblInd w:w="482" w:type="dxa"/>
          <w:tblLayout w:type="fixed"/>
          <w:tblCellMar>
            <w:left w:w="0" w:type="dxa"/>
            <w:right w:w="0" w:type="dxa"/>
          </w:tblCellMar>
          <w:tblLook w:val="01E0"/>
        </w:tblPrEx>
        <w:trPr>
          <w:trHeight w:val="237"/>
        </w:trPr>
        <w:tc>
          <w:tcPr>
            <w:tcW w:w="4119" w:type="dxa"/>
            <w:gridSpan w:val="2"/>
            <w:tcBorders>
              <w:top w:val="single" w:sz="18" w:space="0" w:color="800000"/>
            </w:tcBorders>
          </w:tcPr>
          <w:p w:rsidR="003F5784" w14:paraId="14881080"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c>
          <w:tcPr>
            <w:tcW w:w="3591" w:type="dxa"/>
            <w:tcBorders>
              <w:top w:val="single" w:sz="18" w:space="0" w:color="800000"/>
            </w:tcBorders>
          </w:tcPr>
          <w:p w:rsidR="003F5784" w14:paraId="42EDC4C8" w14:textId="77777777">
            <w:pPr>
              <w:pStyle w:val="TableParagraph"/>
              <w:spacing w:before="0"/>
              <w:jc w:val="left"/>
              <w:rPr>
                <w:sz w:val="16"/>
              </w:rPr>
            </w:pPr>
          </w:p>
        </w:tc>
        <w:tc>
          <w:tcPr>
            <w:tcW w:w="3602" w:type="dxa"/>
            <w:tcBorders>
              <w:top w:val="single" w:sz="18" w:space="0" w:color="800000"/>
            </w:tcBorders>
          </w:tcPr>
          <w:p w:rsidR="003F5784" w14:paraId="36A31508" w14:textId="77777777">
            <w:pPr>
              <w:pStyle w:val="TableParagraph"/>
              <w:spacing w:before="0"/>
              <w:jc w:val="left"/>
              <w:rPr>
                <w:sz w:val="16"/>
              </w:rPr>
            </w:pPr>
          </w:p>
        </w:tc>
        <w:tc>
          <w:tcPr>
            <w:tcW w:w="2673" w:type="dxa"/>
            <w:tcBorders>
              <w:top w:val="single" w:sz="18" w:space="0" w:color="800000"/>
            </w:tcBorders>
          </w:tcPr>
          <w:p w:rsidR="003F5784" w14:paraId="296AAEB9" w14:textId="77777777">
            <w:pPr>
              <w:pStyle w:val="TableParagraph"/>
              <w:spacing w:before="0"/>
              <w:jc w:val="left"/>
              <w:rPr>
                <w:sz w:val="16"/>
              </w:rPr>
            </w:pPr>
          </w:p>
        </w:tc>
      </w:tr>
    </w:tbl>
    <w:p w:rsidR="003F5784" w14:paraId="12F15B6C" w14:textId="77777777">
      <w:pPr>
        <w:pStyle w:val="BodyText"/>
        <w:spacing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U.S. History Assessment.</w:t>
      </w:r>
    </w:p>
    <w:p w:rsidR="003F5784" w14:paraId="504CEB1E" w14:textId="77777777">
      <w:pPr>
        <w:pStyle w:val="BodyText"/>
      </w:pPr>
    </w:p>
    <w:p w:rsidR="003F5784" w14:paraId="31E4B02C" w14:textId="77777777">
      <w:pPr>
        <w:pStyle w:val="BodyText"/>
        <w:spacing w:before="204"/>
      </w:pPr>
    </w:p>
    <w:p w:rsidR="003F5784" w14:paraId="2D474C65" w14:textId="77777777">
      <w:pPr>
        <w:ind w:left="1153"/>
        <w:rPr>
          <w:sz w:val="18"/>
        </w:rPr>
      </w:pPr>
      <w:hyperlink r:id="rId27">
        <w:r>
          <w:rPr>
            <w:spacing w:val="-2"/>
            <w:w w:val="105"/>
            <w:sz w:val="18"/>
          </w:rPr>
          <w:t>http://nces.ed.gov/nationsreportcard/tdw/sample_design/2022/weighted_student_response_and_exclusion_rates_for_the_2022_8th_grade_private_school_nat_us_history_assess.aspx</w:t>
        </w:r>
      </w:hyperlink>
    </w:p>
    <w:p w:rsidR="003F5784" w14:paraId="234A9250" w14:textId="77777777">
      <w:pPr>
        <w:pStyle w:val="BodyText"/>
        <w:rPr>
          <w:sz w:val="16"/>
        </w:rPr>
      </w:pPr>
      <w:r>
        <w:rPr>
          <w:noProof/>
        </w:rPr>
        <mc:AlternateContent>
          <mc:Choice Requires="wps">
            <w:drawing>
              <wp:anchor distT="0" distB="0" distL="0" distR="0" simplePos="0" relativeHeight="251741184" behindDoc="1" locked="0" layoutInCell="1" allowOverlap="1">
                <wp:simplePos x="0" y="0"/>
                <wp:positionH relativeFrom="page">
                  <wp:posOffset>361937</wp:posOffset>
                </wp:positionH>
                <wp:positionV relativeFrom="paragraph">
                  <wp:posOffset>132638</wp:posOffset>
                </wp:positionV>
                <wp:extent cx="9339580" cy="8890"/>
                <wp:effectExtent l="0" t="0" r="0" b="0"/>
                <wp:wrapTopAndBottom/>
                <wp:docPr id="41" name="Graphic 41"/>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41" o:spid="_x0000_s1038" style="width:735.4pt;height:0.7pt;margin-top:10.45pt;margin-left:28.5pt;mso-position-horizontal-relative:page;mso-wrap-distance-bottom:0;mso-wrap-distance-left:0;mso-wrap-distance-right:0;mso-wrap-distance-top:0;mso-wrap-style:square;position:absolute;visibility:visible;v-text-anchor:top;z-index:-251574272" coordsize="9339580,8890" path="m9338970,l9335110,l8280,,,,,8280l8280,8280l9335110,8280l9338970,8280l9338970,xe" fillcolor="gray" stroked="f">
                <v:path arrowok="t"/>
                <w10:wrap type="topAndBottom"/>
              </v:shape>
            </w:pict>
          </mc:Fallback>
        </mc:AlternateContent>
      </w:r>
    </w:p>
    <w:p w:rsidR="003F5784" w14:paraId="7EDBD5CF" w14:textId="77777777">
      <w:pPr>
        <w:pStyle w:val="BodyText"/>
        <w:rPr>
          <w:sz w:val="18"/>
        </w:rPr>
      </w:pPr>
    </w:p>
    <w:p w:rsidR="003F5784" w14:paraId="52A662BB" w14:textId="77777777">
      <w:pPr>
        <w:pStyle w:val="BodyText"/>
        <w:spacing w:before="193"/>
        <w:rPr>
          <w:sz w:val="18"/>
        </w:rPr>
      </w:pPr>
    </w:p>
    <w:p w:rsidR="003F5784" w14:paraId="54267593" w14:textId="219DC8BD">
      <w:pPr>
        <w:pStyle w:val="Heading1"/>
        <w:spacing w:line="244" w:lineRule="auto"/>
        <w:ind w:right="179"/>
      </w:pPr>
      <w:r>
        <w:t>NAEP</w:t>
      </w:r>
      <w:r>
        <w:rPr>
          <w:spacing w:val="-16"/>
        </w:rPr>
        <w:t xml:space="preserve"> </w:t>
      </w:r>
      <w:r>
        <w:t>Technical Documentation</w:t>
      </w:r>
      <w:r w:rsidR="00230EEC">
        <w:t xml:space="preserve"> </w:t>
      </w:r>
      <w:r>
        <w:t>School Sample Selection for the 2022 Eighth- Grade</w:t>
      </w:r>
      <w:r>
        <w:rPr>
          <w:spacing w:val="40"/>
        </w:rPr>
        <w:t xml:space="preserve"> </w:t>
      </w:r>
      <w:r>
        <w:t>Private</w:t>
      </w:r>
      <w:r>
        <w:rPr>
          <w:spacing w:val="40"/>
        </w:rPr>
        <w:t xml:space="preserve"> </w:t>
      </w:r>
      <w:r>
        <w:t>School</w:t>
      </w:r>
      <w:r>
        <w:rPr>
          <w:spacing w:val="40"/>
        </w:rPr>
        <w:t xml:space="preserve"> </w:t>
      </w:r>
      <w:r>
        <w:t>National Assessment</w:t>
      </w:r>
      <w:r>
        <w:rPr>
          <w:spacing w:val="40"/>
        </w:rPr>
        <w:t xml:space="preserve"> </w:t>
      </w:r>
      <w:r>
        <w:t>in</w:t>
      </w:r>
      <w:r>
        <w:rPr>
          <w:spacing w:val="40"/>
        </w:rPr>
        <w:t xml:space="preserve"> </w:t>
      </w:r>
      <w:r>
        <w:t>Civics</w:t>
      </w:r>
      <w:r>
        <w:rPr>
          <w:spacing w:val="40"/>
        </w:rPr>
        <w:t xml:space="preserve"> </w:t>
      </w:r>
      <w:r>
        <w:t>and</w:t>
      </w:r>
      <w:r>
        <w:rPr>
          <w:spacing w:val="40"/>
        </w:rPr>
        <w:t xml:space="preserve"> </w:t>
      </w:r>
      <w:r>
        <w:t>U.S.</w:t>
      </w:r>
      <w:r>
        <w:rPr>
          <w:spacing w:val="40"/>
        </w:rPr>
        <w:t xml:space="preserve"> </w:t>
      </w:r>
      <w:r>
        <w:t>History</w:t>
      </w:r>
    </w:p>
    <w:p w:rsidR="003F5784" w14:paraId="627979D8" w14:textId="77777777">
      <w:pPr>
        <w:pStyle w:val="BodyText"/>
        <w:spacing w:before="7"/>
        <w:rPr>
          <w:b/>
          <w:sz w:val="16"/>
        </w:rPr>
      </w:pPr>
    </w:p>
    <w:p w:rsidR="003F5784" w14:paraId="69442D75" w14:textId="77777777">
      <w:pPr>
        <w:rPr>
          <w:sz w:val="16"/>
        </w:rPr>
        <w:sectPr>
          <w:pgSz w:w="15840" w:h="12240" w:orient="landscape"/>
          <w:pgMar w:top="480" w:right="440" w:bottom="460" w:left="460" w:header="284" w:footer="275" w:gutter="0"/>
          <w:cols w:space="720"/>
        </w:sectPr>
      </w:pPr>
    </w:p>
    <w:p w:rsidR="003F5784" w14:paraId="7790C11C" w14:textId="77777777">
      <w:pPr>
        <w:pStyle w:val="BodyText"/>
        <w:spacing w:before="96" w:line="232" w:lineRule="auto"/>
        <w:ind w:left="109"/>
      </w:pPr>
      <w:r>
        <w:t>The</w:t>
      </w:r>
      <w:r>
        <w:rPr>
          <w:spacing w:val="-6"/>
        </w:rPr>
        <w:t xml:space="preserve"> </w:t>
      </w:r>
      <w:r>
        <w:t>sampled</w:t>
      </w:r>
      <w:r>
        <w:rPr>
          <w:spacing w:val="-6"/>
        </w:rPr>
        <w:t xml:space="preserve"> </w:t>
      </w:r>
      <w:r>
        <w:t>schools</w:t>
      </w:r>
      <w:r>
        <w:rPr>
          <w:spacing w:val="-6"/>
        </w:rPr>
        <w:t xml:space="preserve"> </w:t>
      </w:r>
      <w:r>
        <w:t>for</w:t>
      </w:r>
      <w:r>
        <w:rPr>
          <w:spacing w:val="-6"/>
        </w:rPr>
        <w:t xml:space="preserve"> </w:t>
      </w:r>
      <w:r>
        <w:t>the</w:t>
      </w:r>
      <w:r>
        <w:rPr>
          <w:spacing w:val="-6"/>
        </w:rPr>
        <w:t xml:space="preserve"> </w:t>
      </w:r>
      <w:r>
        <w:t>eighth-grade</w:t>
      </w:r>
      <w:r>
        <w:rPr>
          <w:spacing w:val="-6"/>
        </w:rPr>
        <w:t xml:space="preserve"> </w:t>
      </w:r>
      <w:r>
        <w:t>private</w:t>
      </w:r>
      <w:r>
        <w:rPr>
          <w:spacing w:val="-6"/>
        </w:rPr>
        <w:t xml:space="preserve"> </w:t>
      </w:r>
      <w:r>
        <w:t>school</w:t>
      </w:r>
      <w:r>
        <w:rPr>
          <w:spacing w:val="-6"/>
        </w:rPr>
        <w:t xml:space="preserve"> </w:t>
      </w:r>
      <w:r>
        <w:t>national</w:t>
      </w:r>
      <w:r>
        <w:rPr>
          <w:spacing w:val="-6"/>
        </w:rPr>
        <w:t xml:space="preserve"> </w:t>
      </w:r>
      <w:r>
        <w:t>assessments</w:t>
      </w:r>
      <w:r>
        <w:rPr>
          <w:spacing w:val="-6"/>
        </w:rPr>
        <w:t xml:space="preserve"> </w:t>
      </w:r>
      <w:r>
        <w:t>in</w:t>
      </w:r>
      <w:r>
        <w:rPr>
          <w:spacing w:val="-6"/>
        </w:rPr>
        <w:t xml:space="preserve"> </w:t>
      </w:r>
      <w:r>
        <w:t>civics</w:t>
      </w:r>
      <w:r>
        <w:rPr>
          <w:spacing w:val="-6"/>
        </w:rPr>
        <w:t xml:space="preserve"> </w:t>
      </w:r>
      <w:r>
        <w:t>and</w:t>
      </w:r>
      <w:r>
        <w:rPr>
          <w:spacing w:val="-6"/>
        </w:rPr>
        <w:t xml:space="preserve"> </w:t>
      </w:r>
      <w:r>
        <w:t>U.S.</w:t>
      </w:r>
      <w:r>
        <w:rPr>
          <w:spacing w:val="-6"/>
        </w:rPr>
        <w:t xml:space="preserve"> </w:t>
      </w:r>
      <w:r>
        <w:t>history</w:t>
      </w:r>
      <w:r>
        <w:rPr>
          <w:spacing w:val="-6"/>
        </w:rPr>
        <w:t xml:space="preserve"> </w:t>
      </w:r>
      <w:r>
        <w:t>came</w:t>
      </w:r>
      <w:r>
        <w:rPr>
          <w:spacing w:val="-6"/>
        </w:rPr>
        <w:t xml:space="preserve"> </w:t>
      </w:r>
      <w:r>
        <w:t>from</w:t>
      </w:r>
      <w:r>
        <w:rPr>
          <w:spacing w:val="-6"/>
        </w:rPr>
        <w:t xml:space="preserve"> </w:t>
      </w:r>
      <w:r>
        <w:t>two</w:t>
      </w:r>
      <w:r>
        <w:rPr>
          <w:spacing w:val="-6"/>
        </w:rPr>
        <w:t xml:space="preserve"> </w:t>
      </w:r>
      <w:r>
        <w:t>frames:</w:t>
      </w:r>
      <w:r>
        <w:rPr>
          <w:spacing w:val="-6"/>
        </w:rPr>
        <w:t xml:space="preserve"> </w:t>
      </w:r>
      <w:r>
        <w:t>the</w:t>
      </w:r>
      <w:r>
        <w:rPr>
          <w:spacing w:val="-6"/>
        </w:rPr>
        <w:t xml:space="preserve"> </w:t>
      </w:r>
      <w:r>
        <w:t xml:space="preserve">primary private school sample frame constructed from the Private School Universe Survey (PSS) file and the supplemental new-school sampling frame. Schools were sampled from each school frame with </w:t>
      </w:r>
      <w:r>
        <w:rPr>
          <w:color w:val="0066CC"/>
        </w:rPr>
        <w:t xml:space="preserve">probability proportional to size </w:t>
      </w:r>
      <w:r>
        <w:t xml:space="preserve">using systematic sampling. Prior to sampling, schools in each frame were sorted by the appropriate implicit stratification variables in a </w:t>
      </w:r>
      <w:r>
        <w:rPr>
          <w:color w:val="0066CC"/>
        </w:rPr>
        <w:t xml:space="preserve">serpentine </w:t>
      </w:r>
      <w:r>
        <w:t>order within each explicit sampling stratum. (For details on explicit and implicit strata used for these samples see the stratification page.)</w:t>
      </w:r>
      <w:r>
        <w:rPr>
          <w:spacing w:val="-9"/>
        </w:rPr>
        <w:t xml:space="preserve"> </w:t>
      </w:r>
      <w:r>
        <w:t>A</w:t>
      </w:r>
      <w:r>
        <w:rPr>
          <w:spacing w:val="-9"/>
        </w:rPr>
        <w:t xml:space="preserve"> </w:t>
      </w:r>
      <w:r>
        <w:t>school's measure of size was a complex function of the school's estimated grade enrollment. Only one hit was allowed for each school.</w:t>
      </w:r>
    </w:p>
    <w:p w:rsidR="003F5784" w14:paraId="074D46B0" w14:textId="77777777">
      <w:pPr>
        <w:pStyle w:val="BodyText"/>
        <w:spacing w:before="205"/>
        <w:ind w:left="109"/>
      </w:pPr>
      <w:r>
        <w:t>Schools</w:t>
      </w:r>
      <w:r>
        <w:rPr>
          <w:spacing w:val="-6"/>
        </w:rPr>
        <w:t xml:space="preserve"> </w:t>
      </w:r>
      <w:r>
        <w:t>from</w:t>
      </w:r>
      <w:r>
        <w:rPr>
          <w:spacing w:val="-5"/>
        </w:rPr>
        <w:t xml:space="preserve"> </w:t>
      </w:r>
      <w:r>
        <w:t>the</w:t>
      </w:r>
      <w:r>
        <w:rPr>
          <w:spacing w:val="-6"/>
        </w:rPr>
        <w:t xml:space="preserve"> </w:t>
      </w:r>
      <w:r>
        <w:t>PSS-based</w:t>
      </w:r>
      <w:r>
        <w:rPr>
          <w:spacing w:val="-5"/>
        </w:rPr>
        <w:t xml:space="preserve"> </w:t>
      </w:r>
      <w:r>
        <w:t>frame</w:t>
      </w:r>
      <w:r>
        <w:rPr>
          <w:spacing w:val="-6"/>
        </w:rPr>
        <w:t xml:space="preserve"> </w:t>
      </w:r>
      <w:r>
        <w:t>were</w:t>
      </w:r>
      <w:r>
        <w:rPr>
          <w:spacing w:val="-5"/>
        </w:rPr>
        <w:t xml:space="preserve"> </w:t>
      </w:r>
      <w:r>
        <w:t>sampled</w:t>
      </w:r>
      <w:r>
        <w:rPr>
          <w:spacing w:val="-6"/>
        </w:rPr>
        <w:t xml:space="preserve"> </w:t>
      </w:r>
      <w:r>
        <w:t>at</w:t>
      </w:r>
      <w:r>
        <w:rPr>
          <w:spacing w:val="-5"/>
        </w:rPr>
        <w:t xml:space="preserve"> </w:t>
      </w:r>
      <w:r>
        <w:t>a</w:t>
      </w:r>
      <w:r>
        <w:rPr>
          <w:spacing w:val="-6"/>
        </w:rPr>
        <w:t xml:space="preserve"> </w:t>
      </w:r>
      <w:r>
        <w:t>rate</w:t>
      </w:r>
      <w:r>
        <w:rPr>
          <w:spacing w:val="-5"/>
        </w:rPr>
        <w:t xml:space="preserve"> </w:t>
      </w:r>
      <w:r>
        <w:t>that</w:t>
      </w:r>
      <w:r>
        <w:rPr>
          <w:spacing w:val="-5"/>
        </w:rPr>
        <w:t xml:space="preserve"> </w:t>
      </w:r>
      <w:r>
        <w:t>would</w:t>
      </w:r>
      <w:r>
        <w:rPr>
          <w:spacing w:val="-6"/>
        </w:rPr>
        <w:t xml:space="preserve"> </w:t>
      </w:r>
      <w:r>
        <w:t>yield</w:t>
      </w:r>
      <w:r>
        <w:rPr>
          <w:spacing w:val="-5"/>
        </w:rPr>
        <w:t xml:space="preserve"> </w:t>
      </w:r>
      <w:r>
        <w:t>a</w:t>
      </w:r>
      <w:r>
        <w:rPr>
          <w:spacing w:val="-6"/>
        </w:rPr>
        <w:t xml:space="preserve"> </w:t>
      </w:r>
      <w:r>
        <w:t>national</w:t>
      </w:r>
      <w:r>
        <w:rPr>
          <w:spacing w:val="-5"/>
        </w:rPr>
        <w:t xml:space="preserve"> </w:t>
      </w:r>
      <w:r>
        <w:t>sample</w:t>
      </w:r>
      <w:r>
        <w:rPr>
          <w:spacing w:val="-6"/>
        </w:rPr>
        <w:t xml:space="preserve"> </w:t>
      </w:r>
      <w:r>
        <w:t>of</w:t>
      </w:r>
      <w:r>
        <w:rPr>
          <w:spacing w:val="-5"/>
        </w:rPr>
        <w:t xml:space="preserve"> </w:t>
      </w:r>
      <w:r>
        <w:t>1,600</w:t>
      </w:r>
      <w:r>
        <w:rPr>
          <w:spacing w:val="-6"/>
        </w:rPr>
        <w:t xml:space="preserve"> </w:t>
      </w:r>
      <w:r>
        <w:t>assessed</w:t>
      </w:r>
      <w:r>
        <w:rPr>
          <w:spacing w:val="-5"/>
        </w:rPr>
        <w:t xml:space="preserve"> </w:t>
      </w:r>
      <w:r>
        <w:t>students</w:t>
      </w:r>
      <w:r>
        <w:rPr>
          <w:spacing w:val="-5"/>
        </w:rPr>
        <w:t xml:space="preserve"> </w:t>
      </w:r>
      <w:r>
        <w:t>(800</w:t>
      </w:r>
      <w:r>
        <w:rPr>
          <w:spacing w:val="-6"/>
        </w:rPr>
        <w:t xml:space="preserve"> </w:t>
      </w:r>
      <w:r>
        <w:t>each</w:t>
      </w:r>
      <w:r>
        <w:rPr>
          <w:spacing w:val="-5"/>
        </w:rPr>
        <w:t xml:space="preserve"> </w:t>
      </w:r>
      <w:r>
        <w:t>from</w:t>
      </w:r>
      <w:r>
        <w:rPr>
          <w:spacing w:val="-6"/>
        </w:rPr>
        <w:t xml:space="preserve"> </w:t>
      </w:r>
      <w:r>
        <w:rPr>
          <w:spacing w:val="-5"/>
        </w:rPr>
        <w:t>the</w:t>
      </w:r>
    </w:p>
    <w:p w:rsidR="003F5784" w14:paraId="3A9D76A0" w14:textId="77777777">
      <w:pPr>
        <w:pStyle w:val="BodyText"/>
        <w:spacing w:before="96" w:line="232" w:lineRule="auto"/>
        <w:ind w:left="109" w:right="17"/>
      </w:pPr>
      <w:r>
        <w:br w:type="column"/>
      </w:r>
      <w:r>
        <w:t>Computation</w:t>
      </w:r>
      <w:r>
        <w:rPr>
          <w:spacing w:val="-14"/>
        </w:rPr>
        <w:t xml:space="preserve"> </w:t>
      </w:r>
      <w:r>
        <w:t>of</w:t>
      </w:r>
      <w:r>
        <w:rPr>
          <w:spacing w:val="-13"/>
        </w:rPr>
        <w:t xml:space="preserve"> </w:t>
      </w:r>
      <w:r>
        <w:t>Measures</w:t>
      </w:r>
      <w:r>
        <w:rPr>
          <w:spacing w:val="-13"/>
        </w:rPr>
        <w:t xml:space="preserve"> </w:t>
      </w:r>
      <w:r>
        <w:t xml:space="preserve">of </w:t>
      </w:r>
      <w:r>
        <w:rPr>
          <w:spacing w:val="-4"/>
        </w:rPr>
        <w:t>Size</w:t>
      </w:r>
    </w:p>
    <w:p w:rsidR="003F5784" w14:paraId="45DCA3CD" w14:textId="77777777">
      <w:pPr>
        <w:pStyle w:val="BodyText"/>
        <w:spacing w:before="235" w:line="232" w:lineRule="auto"/>
        <w:ind w:left="109" w:right="17"/>
      </w:pPr>
      <w:r>
        <w:t>School</w:t>
      </w:r>
      <w:r>
        <w:rPr>
          <w:spacing w:val="-14"/>
        </w:rPr>
        <w:t xml:space="preserve"> </w:t>
      </w:r>
      <w:r>
        <w:t>Sample</w:t>
      </w:r>
      <w:r>
        <w:rPr>
          <w:spacing w:val="-13"/>
        </w:rPr>
        <w:t xml:space="preserve"> </w:t>
      </w:r>
      <w:r>
        <w:t>Sizes:</w:t>
      </w:r>
      <w:r>
        <w:rPr>
          <w:spacing w:val="-13"/>
        </w:rPr>
        <w:t xml:space="preserve"> </w:t>
      </w:r>
      <w:r>
        <w:t>Frame and New School</w:t>
      </w:r>
    </w:p>
    <w:p w:rsidR="003F5784" w14:paraId="3C84DAD8" w14:textId="77777777">
      <w:pPr>
        <w:spacing w:line="232" w:lineRule="auto"/>
        <w:sectPr>
          <w:type w:val="continuous"/>
          <w:pgSz w:w="15840" w:h="12240" w:orient="landscape"/>
          <w:pgMar w:top="480" w:right="440" w:bottom="460" w:left="460" w:header="284" w:footer="275" w:gutter="0"/>
          <w:cols w:num="2" w:space="720" w:equalWidth="0">
            <w:col w:w="11790" w:space="371"/>
            <w:col w:w="2779"/>
          </w:cols>
        </w:sectPr>
      </w:pPr>
    </w:p>
    <w:p w:rsidR="003F5784" w14:paraId="4FCC7579" w14:textId="77777777">
      <w:pPr>
        <w:pStyle w:val="BodyText"/>
        <w:spacing w:line="235" w:lineRule="exact"/>
        <w:ind w:left="109"/>
      </w:pPr>
      <w:r>
        <w:t>Catholic</w:t>
      </w:r>
      <w:r>
        <w:rPr>
          <w:spacing w:val="-9"/>
        </w:rPr>
        <w:t xml:space="preserve"> </w:t>
      </w:r>
      <w:r>
        <w:t>and</w:t>
      </w:r>
      <w:r>
        <w:rPr>
          <w:spacing w:val="-6"/>
        </w:rPr>
        <w:t xml:space="preserve"> </w:t>
      </w:r>
      <w:r>
        <w:t>non-Catholic</w:t>
      </w:r>
      <w:r>
        <w:rPr>
          <w:spacing w:val="-6"/>
        </w:rPr>
        <w:t xml:space="preserve"> </w:t>
      </w:r>
      <w:r>
        <w:t>school</w:t>
      </w:r>
      <w:r>
        <w:rPr>
          <w:spacing w:val="-6"/>
        </w:rPr>
        <w:t xml:space="preserve"> </w:t>
      </w:r>
      <w:r>
        <w:t>strata</w:t>
      </w:r>
      <w:r>
        <w:rPr>
          <w:spacing w:val="-6"/>
        </w:rPr>
        <w:t xml:space="preserve"> </w:t>
      </w:r>
      <w:r>
        <w:t>across</w:t>
      </w:r>
      <w:r>
        <w:rPr>
          <w:spacing w:val="-6"/>
        </w:rPr>
        <w:t xml:space="preserve"> </w:t>
      </w:r>
      <w:r>
        <w:t>both</w:t>
      </w:r>
      <w:r>
        <w:rPr>
          <w:spacing w:val="-6"/>
        </w:rPr>
        <w:t xml:space="preserve"> </w:t>
      </w:r>
      <w:r>
        <w:t>subjects).</w:t>
      </w:r>
      <w:r>
        <w:rPr>
          <w:spacing w:val="-6"/>
        </w:rPr>
        <w:t xml:space="preserve"> </w:t>
      </w:r>
      <w:r>
        <w:t>Catholic</w:t>
      </w:r>
      <w:r>
        <w:rPr>
          <w:spacing w:val="-7"/>
        </w:rPr>
        <w:t xml:space="preserve"> </w:t>
      </w:r>
      <w:r>
        <w:t>schools</w:t>
      </w:r>
      <w:r>
        <w:rPr>
          <w:spacing w:val="-6"/>
        </w:rPr>
        <w:t xml:space="preserve"> </w:t>
      </w:r>
      <w:r>
        <w:t>from</w:t>
      </w:r>
      <w:r>
        <w:rPr>
          <w:spacing w:val="-6"/>
        </w:rPr>
        <w:t xml:space="preserve"> </w:t>
      </w:r>
      <w:r>
        <w:t>the</w:t>
      </w:r>
      <w:r>
        <w:rPr>
          <w:spacing w:val="-6"/>
        </w:rPr>
        <w:t xml:space="preserve"> </w:t>
      </w:r>
      <w:r>
        <w:t>new-school</w:t>
      </w:r>
      <w:r>
        <w:rPr>
          <w:spacing w:val="-6"/>
        </w:rPr>
        <w:t xml:space="preserve"> </w:t>
      </w:r>
      <w:r>
        <w:t>frames</w:t>
      </w:r>
      <w:r>
        <w:rPr>
          <w:spacing w:val="-6"/>
        </w:rPr>
        <w:t xml:space="preserve"> </w:t>
      </w:r>
      <w:r>
        <w:t>were</w:t>
      </w:r>
      <w:r>
        <w:rPr>
          <w:spacing w:val="-6"/>
        </w:rPr>
        <w:t xml:space="preserve"> </w:t>
      </w:r>
      <w:r>
        <w:t>sampled</w:t>
      </w:r>
      <w:r>
        <w:rPr>
          <w:spacing w:val="-6"/>
        </w:rPr>
        <w:t xml:space="preserve"> </w:t>
      </w:r>
      <w:r>
        <w:t>at</w:t>
      </w:r>
      <w:r>
        <w:rPr>
          <w:spacing w:val="-7"/>
        </w:rPr>
        <w:t xml:space="preserve"> </w:t>
      </w:r>
      <w:r>
        <w:t>the</w:t>
      </w:r>
      <w:r>
        <w:rPr>
          <w:spacing w:val="-6"/>
        </w:rPr>
        <w:t xml:space="preserve"> </w:t>
      </w:r>
      <w:r>
        <w:t>same</w:t>
      </w:r>
      <w:r>
        <w:rPr>
          <w:spacing w:val="-6"/>
        </w:rPr>
        <w:t xml:space="preserve"> </w:t>
      </w:r>
      <w:r>
        <w:t>rate</w:t>
      </w:r>
      <w:r>
        <w:rPr>
          <w:spacing w:val="-6"/>
        </w:rPr>
        <w:t xml:space="preserve"> </w:t>
      </w:r>
      <w:r>
        <w:t>as</w:t>
      </w:r>
      <w:r>
        <w:rPr>
          <w:spacing w:val="-6"/>
        </w:rPr>
        <w:t xml:space="preserve"> </w:t>
      </w:r>
      <w:r>
        <w:t>those</w:t>
      </w:r>
      <w:r>
        <w:rPr>
          <w:spacing w:val="-6"/>
        </w:rPr>
        <w:t xml:space="preserve"> </w:t>
      </w:r>
      <w:r>
        <w:t>from</w:t>
      </w:r>
      <w:r>
        <w:rPr>
          <w:spacing w:val="-6"/>
        </w:rPr>
        <w:t xml:space="preserve"> </w:t>
      </w:r>
      <w:r>
        <w:t>the</w:t>
      </w:r>
      <w:r>
        <w:rPr>
          <w:spacing w:val="-6"/>
        </w:rPr>
        <w:t xml:space="preserve"> </w:t>
      </w:r>
      <w:r>
        <w:t>PSS-based</w:t>
      </w:r>
      <w:r>
        <w:rPr>
          <w:spacing w:val="-6"/>
        </w:rPr>
        <w:t xml:space="preserve"> </w:t>
      </w:r>
      <w:r>
        <w:rPr>
          <w:spacing w:val="-2"/>
        </w:rPr>
        <w:t>frame.</w:t>
      </w:r>
    </w:p>
    <w:p w:rsidR="003F5784" w14:paraId="71C37719" w14:textId="77777777">
      <w:pPr>
        <w:pStyle w:val="BodyText"/>
      </w:pPr>
    </w:p>
    <w:p w:rsidR="003F5784" w14:paraId="72BCF99B" w14:textId="77777777">
      <w:pPr>
        <w:pStyle w:val="BodyText"/>
      </w:pPr>
    </w:p>
    <w:p w:rsidR="003F5784" w14:paraId="56C0B581" w14:textId="77777777">
      <w:pPr>
        <w:pStyle w:val="BodyText"/>
        <w:spacing w:before="143"/>
      </w:pPr>
    </w:p>
    <w:p w:rsidR="003F5784" w14:paraId="39FFFBFE" w14:textId="77777777">
      <w:pPr>
        <w:spacing w:before="1"/>
        <w:ind w:left="1624"/>
        <w:rPr>
          <w:sz w:val="18"/>
        </w:rPr>
      </w:pPr>
      <w:hyperlink r:id="rId28">
        <w:r>
          <w:rPr>
            <w:spacing w:val="-2"/>
            <w:w w:val="105"/>
            <w:sz w:val="18"/>
          </w:rPr>
          <w:t>http://nces.ed.gov/nationsreportcard/tdw/sample_design/2022/school_sample_selection_for_the_2022_eighth_grade_private_school_nat_assess_in_civics_and_us_history.aspx</w:t>
        </w:r>
      </w:hyperlink>
    </w:p>
    <w:p w:rsidR="003F5784" w14:paraId="2C7308DB" w14:textId="77777777">
      <w:pPr>
        <w:pStyle w:val="BodyText"/>
        <w:spacing w:before="10"/>
        <w:rPr>
          <w:sz w:val="14"/>
        </w:rPr>
      </w:pPr>
      <w:r>
        <w:rPr>
          <w:noProof/>
        </w:rPr>
        <mc:AlternateContent>
          <mc:Choice Requires="wps">
            <w:drawing>
              <wp:anchor distT="0" distB="0" distL="0" distR="0" simplePos="0" relativeHeight="251743232" behindDoc="1" locked="0" layoutInCell="1" allowOverlap="1">
                <wp:simplePos x="0" y="0"/>
                <wp:positionH relativeFrom="page">
                  <wp:posOffset>361937</wp:posOffset>
                </wp:positionH>
                <wp:positionV relativeFrom="paragraph">
                  <wp:posOffset>123822</wp:posOffset>
                </wp:positionV>
                <wp:extent cx="9339580" cy="8890"/>
                <wp:effectExtent l="0" t="0" r="0" b="0"/>
                <wp:wrapTopAndBottom/>
                <wp:docPr id="42" name="Graphic 42"/>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42" o:spid="_x0000_s1039" style="width:735.4pt;height:0.7pt;margin-top:9.75pt;margin-left:28.5pt;mso-position-horizontal-relative:page;mso-wrap-distance-bottom:0;mso-wrap-distance-left:0;mso-wrap-distance-right:0;mso-wrap-distance-top:0;mso-wrap-style:square;position:absolute;visibility:visible;v-text-anchor:top;z-index:-251572224" coordsize="9339580,8890" path="m9338970,l9335110,l8280,,,,,8267l9335110,8280l9338970,8280l9338970,xe" fillcolor="gray" stroked="f">
                <v:path arrowok="t"/>
                <w10:wrap type="topAndBottom"/>
              </v:shape>
            </w:pict>
          </mc:Fallback>
        </mc:AlternateContent>
      </w:r>
    </w:p>
    <w:p w:rsidR="003F5784" w14:paraId="54277B45" w14:textId="77777777">
      <w:pPr>
        <w:rPr>
          <w:sz w:val="14"/>
        </w:rPr>
        <w:sectPr>
          <w:type w:val="continuous"/>
          <w:pgSz w:w="15840" w:h="12240" w:orient="landscape"/>
          <w:pgMar w:top="480" w:right="440" w:bottom="460" w:left="460" w:header="284" w:footer="275" w:gutter="0"/>
          <w:cols w:space="720"/>
        </w:sectPr>
      </w:pPr>
    </w:p>
    <w:p w:rsidR="003F5784" w14:paraId="09B0EB60" w14:textId="3D2AB64E">
      <w:pPr>
        <w:pStyle w:val="Heading1"/>
        <w:spacing w:before="81" w:line="244" w:lineRule="auto"/>
        <w:ind w:right="953"/>
      </w:pPr>
      <w:r>
        <w:t>NAEP</w:t>
      </w:r>
      <w:r>
        <w:rPr>
          <w:spacing w:val="-18"/>
        </w:rPr>
        <w:t xml:space="preserve"> </w:t>
      </w:r>
      <w:r>
        <w:t>Technical Documentation</w:t>
      </w:r>
      <w:r w:rsidR="00230EEC">
        <w:t xml:space="preserve"> </w:t>
      </w:r>
      <w:r>
        <w:t>Computation of Measures of Size for the 2022 Eighth-Grade</w:t>
      </w:r>
      <w:r>
        <w:rPr>
          <w:spacing w:val="40"/>
        </w:rPr>
        <w:t xml:space="preserve"> </w:t>
      </w:r>
      <w:r>
        <w:t>Private</w:t>
      </w:r>
      <w:r>
        <w:rPr>
          <w:spacing w:val="40"/>
        </w:rPr>
        <w:t xml:space="preserve"> </w:t>
      </w:r>
      <w:r>
        <w:t>School</w:t>
      </w:r>
      <w:r>
        <w:rPr>
          <w:spacing w:val="40"/>
        </w:rPr>
        <w:t xml:space="preserve"> </w:t>
      </w:r>
      <w:r>
        <w:t>National Assessment</w:t>
      </w:r>
      <w:r>
        <w:rPr>
          <w:spacing w:val="40"/>
        </w:rPr>
        <w:t xml:space="preserve"> </w:t>
      </w:r>
      <w:r>
        <w:t>in</w:t>
      </w:r>
      <w:r>
        <w:rPr>
          <w:spacing w:val="40"/>
        </w:rPr>
        <w:t xml:space="preserve"> </w:t>
      </w:r>
      <w:r>
        <w:t>Civics</w:t>
      </w:r>
      <w:r>
        <w:rPr>
          <w:spacing w:val="40"/>
        </w:rPr>
        <w:t xml:space="preserve"> </w:t>
      </w:r>
      <w:r>
        <w:t>and</w:t>
      </w:r>
      <w:r>
        <w:rPr>
          <w:spacing w:val="40"/>
        </w:rPr>
        <w:t xml:space="preserve"> </w:t>
      </w:r>
      <w:r>
        <w:t>U.S.</w:t>
      </w:r>
      <w:r>
        <w:rPr>
          <w:spacing w:val="40"/>
        </w:rPr>
        <w:t xml:space="preserve"> </w:t>
      </w:r>
      <w:r>
        <w:t>History</w:t>
      </w:r>
    </w:p>
    <w:p w:rsidR="003F5784" w14:paraId="6342652A" w14:textId="77777777">
      <w:pPr>
        <w:pStyle w:val="BodyText"/>
        <w:spacing w:before="273" w:line="232" w:lineRule="auto"/>
        <w:ind w:left="109"/>
      </w:pPr>
      <w:r>
        <w:t>In</w:t>
      </w:r>
      <w:r>
        <w:rPr>
          <w:spacing w:val="-6"/>
        </w:rPr>
        <w:t xml:space="preserve"> </w:t>
      </w:r>
      <w:r>
        <w:t>designing</w:t>
      </w:r>
      <w:r>
        <w:rPr>
          <w:spacing w:val="-6"/>
        </w:rPr>
        <w:t xml:space="preserve"> </w:t>
      </w:r>
      <w:r>
        <w:t>the</w:t>
      </w:r>
      <w:r>
        <w:rPr>
          <w:spacing w:val="-6"/>
        </w:rPr>
        <w:t xml:space="preserve"> </w:t>
      </w:r>
      <w:r>
        <w:t>eighth-grade</w:t>
      </w:r>
      <w:r>
        <w:rPr>
          <w:spacing w:val="-6"/>
        </w:rPr>
        <w:t xml:space="preserve"> </w:t>
      </w:r>
      <w:r>
        <w:t>private</w:t>
      </w:r>
      <w:r>
        <w:rPr>
          <w:spacing w:val="-6"/>
        </w:rPr>
        <w:t xml:space="preserve"> </w:t>
      </w:r>
      <w:r>
        <w:t>school</w:t>
      </w:r>
      <w:r>
        <w:rPr>
          <w:spacing w:val="-6"/>
        </w:rPr>
        <w:t xml:space="preserve"> </w:t>
      </w:r>
      <w:r>
        <w:t>civics</w:t>
      </w:r>
      <w:r>
        <w:rPr>
          <w:spacing w:val="-6"/>
        </w:rPr>
        <w:t xml:space="preserve"> </w:t>
      </w:r>
      <w:r>
        <w:t>and</w:t>
      </w:r>
      <w:r>
        <w:rPr>
          <w:spacing w:val="-6"/>
        </w:rPr>
        <w:t xml:space="preserve"> </w:t>
      </w:r>
      <w:r>
        <w:t>U.S.</w:t>
      </w:r>
      <w:r>
        <w:rPr>
          <w:spacing w:val="-6"/>
        </w:rPr>
        <w:t xml:space="preserve"> </w:t>
      </w:r>
      <w:r>
        <w:t>history</w:t>
      </w:r>
      <w:r>
        <w:rPr>
          <w:spacing w:val="-6"/>
        </w:rPr>
        <w:t xml:space="preserve"> </w:t>
      </w:r>
      <w:r>
        <w:t>assessment</w:t>
      </w:r>
      <w:r>
        <w:rPr>
          <w:spacing w:val="-6"/>
        </w:rPr>
        <w:t xml:space="preserve"> </w:t>
      </w:r>
      <w:r>
        <w:t>samples,</w:t>
      </w:r>
      <w:r>
        <w:rPr>
          <w:spacing w:val="-6"/>
        </w:rPr>
        <w:t xml:space="preserve"> </w:t>
      </w:r>
      <w:r>
        <w:t>five</w:t>
      </w:r>
      <w:r>
        <w:rPr>
          <w:spacing w:val="-6"/>
        </w:rPr>
        <w:t xml:space="preserve"> </w:t>
      </w:r>
      <w:r>
        <w:t>objectives</w:t>
      </w:r>
      <w:r>
        <w:rPr>
          <w:spacing w:val="-6"/>
        </w:rPr>
        <w:t xml:space="preserve"> </w:t>
      </w:r>
      <w:r>
        <w:t>underlie</w:t>
      </w:r>
      <w:r>
        <w:rPr>
          <w:spacing w:val="-6"/>
        </w:rPr>
        <w:t xml:space="preserve"> </w:t>
      </w:r>
      <w:r>
        <w:t>the</w:t>
      </w:r>
      <w:r>
        <w:rPr>
          <w:spacing w:val="-6"/>
        </w:rPr>
        <w:t xml:space="preserve"> </w:t>
      </w:r>
      <w:r>
        <w:t>process</w:t>
      </w:r>
      <w:r>
        <w:rPr>
          <w:spacing w:val="-6"/>
        </w:rPr>
        <w:t xml:space="preserve"> </w:t>
      </w:r>
      <w:r>
        <w:t>of</w:t>
      </w:r>
      <w:r>
        <w:rPr>
          <w:spacing w:val="-6"/>
        </w:rPr>
        <w:t xml:space="preserve"> </w:t>
      </w:r>
      <w:r>
        <w:t>determining</w:t>
      </w:r>
      <w:r>
        <w:rPr>
          <w:spacing w:val="-6"/>
        </w:rPr>
        <w:t xml:space="preserve"> </w:t>
      </w:r>
      <w:r>
        <w:t>the</w:t>
      </w:r>
      <w:r>
        <w:rPr>
          <w:spacing w:val="-6"/>
        </w:rPr>
        <w:t xml:space="preserve"> </w:t>
      </w:r>
      <w:r>
        <w:t>probability</w:t>
      </w:r>
      <w:r>
        <w:rPr>
          <w:spacing w:val="-6"/>
        </w:rPr>
        <w:t xml:space="preserve"> </w:t>
      </w:r>
      <w:r>
        <w:t>of</w:t>
      </w:r>
      <w:r>
        <w:rPr>
          <w:spacing w:val="-6"/>
        </w:rPr>
        <w:t xml:space="preserve"> </w:t>
      </w:r>
      <w:r>
        <w:t>selection</w:t>
      </w:r>
      <w:r>
        <w:rPr>
          <w:spacing w:val="-6"/>
        </w:rPr>
        <w:t xml:space="preserve"> </w:t>
      </w:r>
      <w:r>
        <w:t>for</w:t>
      </w:r>
      <w:r>
        <w:rPr>
          <w:spacing w:val="-6"/>
        </w:rPr>
        <w:t xml:space="preserve"> </w:t>
      </w:r>
      <w:r>
        <w:t>each school and the number of students to be sampled from each selected school:</w:t>
      </w:r>
    </w:p>
    <w:p w:rsidR="003F5784" w14:paraId="052FEB4E" w14:textId="77777777">
      <w:pPr>
        <w:pStyle w:val="BodyText"/>
        <w:spacing w:before="210" w:line="232" w:lineRule="auto"/>
        <w:ind w:left="422" w:right="9881"/>
      </w:pPr>
      <w:r>
        <w:rPr>
          <w:noProof/>
          <w:position w:val="3"/>
        </w:rPr>
        <w:drawing>
          <wp:inline distT="0" distB="0" distL="0" distR="0">
            <wp:extent cx="41379" cy="41370"/>
            <wp:effectExtent l="0" t="0" r="0" b="0"/>
            <wp:docPr id="43" name="Image 43"/>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xmlns:r="http://schemas.openxmlformats.org/officeDocument/2006/relationships" r:embed="rId29" cstate="print"/>
                    <a:stretch>
                      <a:fillRect/>
                    </a:stretch>
                  </pic:blipFill>
                  <pic:spPr>
                    <a:xfrm>
                      <a:off x="0" y="0"/>
                      <a:ext cx="41379" cy="41370"/>
                    </a:xfrm>
                    <a:prstGeom prst="rect">
                      <a:avLst/>
                    </a:prstGeom>
                  </pic:spPr>
                </pic:pic>
              </a:graphicData>
            </a:graphic>
          </wp:inline>
        </w:drawing>
      </w:r>
      <w:r>
        <w:rPr>
          <w:spacing w:val="78"/>
          <w:sz w:val="20"/>
        </w:rPr>
        <w:t xml:space="preserve"> </w:t>
      </w:r>
      <w:r>
        <w:t>to</w:t>
      </w:r>
      <w:r>
        <w:rPr>
          <w:spacing w:val="-7"/>
        </w:rPr>
        <w:t xml:space="preserve"> </w:t>
      </w:r>
      <w:r>
        <w:t>meet</w:t>
      </w:r>
      <w:r>
        <w:rPr>
          <w:spacing w:val="-7"/>
        </w:rPr>
        <w:t xml:space="preserve"> </w:t>
      </w:r>
      <w:r>
        <w:t>the</w:t>
      </w:r>
      <w:r>
        <w:rPr>
          <w:spacing w:val="-7"/>
        </w:rPr>
        <w:t xml:space="preserve"> </w:t>
      </w:r>
      <w:r>
        <w:t>target</w:t>
      </w:r>
      <w:r>
        <w:rPr>
          <w:spacing w:val="-7"/>
        </w:rPr>
        <w:t xml:space="preserve"> </w:t>
      </w:r>
      <w:r>
        <w:t>student</w:t>
      </w:r>
      <w:r>
        <w:rPr>
          <w:spacing w:val="-7"/>
        </w:rPr>
        <w:t xml:space="preserve"> </w:t>
      </w:r>
      <w:r>
        <w:t>sample</w:t>
      </w:r>
      <w:r>
        <w:rPr>
          <w:spacing w:val="-7"/>
        </w:rPr>
        <w:t xml:space="preserve"> </w:t>
      </w:r>
      <w:r>
        <w:t>size</w:t>
      </w:r>
      <w:r>
        <w:rPr>
          <w:spacing w:val="-7"/>
        </w:rPr>
        <w:t xml:space="preserve"> </w:t>
      </w:r>
      <w:r>
        <w:t>for</w:t>
      </w:r>
      <w:r>
        <w:rPr>
          <w:spacing w:val="-7"/>
        </w:rPr>
        <w:t xml:space="preserve"> </w:t>
      </w:r>
      <w:r>
        <w:t>each</w:t>
      </w:r>
      <w:r>
        <w:rPr>
          <w:spacing w:val="-7"/>
        </w:rPr>
        <w:t xml:space="preserve"> </w:t>
      </w:r>
      <w:r>
        <w:t xml:space="preserve">grade; </w:t>
      </w:r>
      <w:r>
        <w:rPr>
          <w:noProof/>
          <w:position w:val="3"/>
        </w:rPr>
        <w:drawing>
          <wp:inline distT="0" distB="0" distL="0" distR="0">
            <wp:extent cx="41379" cy="41370"/>
            <wp:effectExtent l="0" t="0" r="0" b="0"/>
            <wp:docPr id="44" name="Image 44"/>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xmlns:r="http://schemas.openxmlformats.org/officeDocument/2006/relationships" r:embed="rId30" cstate="print"/>
                    <a:stretch>
                      <a:fillRect/>
                    </a:stretch>
                  </pic:blipFill>
                  <pic:spPr>
                    <a:xfrm>
                      <a:off x="0" y="0"/>
                      <a:ext cx="41379" cy="41370"/>
                    </a:xfrm>
                    <a:prstGeom prst="rect">
                      <a:avLst/>
                    </a:prstGeom>
                  </pic:spPr>
                </pic:pic>
              </a:graphicData>
            </a:graphic>
          </wp:inline>
        </w:drawing>
      </w:r>
      <w:r>
        <w:rPr>
          <w:spacing w:val="80"/>
        </w:rPr>
        <w:t xml:space="preserve"> </w:t>
      </w:r>
      <w:r>
        <w:t>to select an equal-probability sample of students;</w:t>
      </w:r>
    </w:p>
    <w:p w:rsidR="003F5784" w14:paraId="1A62CA28" w14:textId="77777777">
      <w:pPr>
        <w:pStyle w:val="BodyText"/>
        <w:spacing w:line="233" w:lineRule="exact"/>
        <w:ind w:left="422"/>
      </w:pPr>
      <w:r>
        <w:rPr>
          <w:noProof/>
          <w:position w:val="3"/>
        </w:rPr>
        <w:drawing>
          <wp:inline distT="0" distB="0" distL="0" distR="0">
            <wp:extent cx="41379" cy="41378"/>
            <wp:effectExtent l="0" t="0" r="0" b="0"/>
            <wp:docPr id="45" name="Image 45"/>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xmlns:r="http://schemas.openxmlformats.org/officeDocument/2006/relationships" r:embed="rId31" cstate="print"/>
                    <a:stretch>
                      <a:fillRect/>
                    </a:stretch>
                  </pic:blipFill>
                  <pic:spPr>
                    <a:xfrm>
                      <a:off x="0" y="0"/>
                      <a:ext cx="41379" cy="41378"/>
                    </a:xfrm>
                    <a:prstGeom prst="rect">
                      <a:avLst/>
                    </a:prstGeom>
                  </pic:spPr>
                </pic:pic>
              </a:graphicData>
            </a:graphic>
          </wp:inline>
        </w:drawing>
      </w:r>
      <w:r>
        <w:rPr>
          <w:spacing w:val="80"/>
          <w:sz w:val="20"/>
        </w:rPr>
        <w:t xml:space="preserve"> </w:t>
      </w:r>
      <w:r>
        <w:t>to limit the number of students selected from any one school;</w:t>
      </w:r>
    </w:p>
    <w:p w:rsidR="003F5784" w14:paraId="5AF22A8F" w14:textId="77777777">
      <w:pPr>
        <w:pStyle w:val="BodyText"/>
        <w:spacing w:before="2" w:line="232" w:lineRule="auto"/>
        <w:ind w:left="422" w:right="2047"/>
      </w:pPr>
      <w:r>
        <w:rPr>
          <w:noProof/>
          <w:position w:val="3"/>
        </w:rPr>
        <w:drawing>
          <wp:inline distT="0" distB="0" distL="0" distR="0">
            <wp:extent cx="41379" cy="41370"/>
            <wp:effectExtent l="0" t="0" r="0" b="0"/>
            <wp:docPr id="46" name="Image 46"/>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xmlns:r="http://schemas.openxmlformats.org/officeDocument/2006/relationships" r:embed="rId32" cstate="print"/>
                    <a:stretch>
                      <a:fillRect/>
                    </a:stretch>
                  </pic:blipFill>
                  <pic:spPr>
                    <a:xfrm>
                      <a:off x="0" y="0"/>
                      <a:ext cx="41379" cy="41370"/>
                    </a:xfrm>
                    <a:prstGeom prst="rect">
                      <a:avLst/>
                    </a:prstGeom>
                  </pic:spPr>
                </pic:pic>
              </a:graphicData>
            </a:graphic>
          </wp:inline>
        </w:drawing>
      </w:r>
      <w:r>
        <w:rPr>
          <w:spacing w:val="80"/>
          <w:sz w:val="20"/>
        </w:rPr>
        <w:t xml:space="preserve"> </w:t>
      </w:r>
      <w:r>
        <w:t>to</w:t>
      </w:r>
      <w:r>
        <w:rPr>
          <w:spacing w:val="-5"/>
        </w:rPr>
        <w:t xml:space="preserve"> </w:t>
      </w:r>
      <w:r>
        <w:t>ensure</w:t>
      </w:r>
      <w:r>
        <w:rPr>
          <w:spacing w:val="-5"/>
        </w:rPr>
        <w:t xml:space="preserve"> </w:t>
      </w:r>
      <w:r>
        <w:t>that</w:t>
      </w:r>
      <w:r>
        <w:rPr>
          <w:spacing w:val="-5"/>
        </w:rPr>
        <w:t xml:space="preserve"> </w:t>
      </w:r>
      <w:r>
        <w:t>the</w:t>
      </w:r>
      <w:r>
        <w:rPr>
          <w:spacing w:val="-5"/>
        </w:rPr>
        <w:t xml:space="preserve"> </w:t>
      </w:r>
      <w:r>
        <w:t>sample</w:t>
      </w:r>
      <w:r>
        <w:rPr>
          <w:spacing w:val="-5"/>
        </w:rPr>
        <w:t xml:space="preserve"> </w:t>
      </w:r>
      <w:r>
        <w:t>within</w:t>
      </w:r>
      <w:r>
        <w:rPr>
          <w:spacing w:val="-5"/>
        </w:rPr>
        <w:t xml:space="preserve"> </w:t>
      </w:r>
      <w:r>
        <w:t>a</w:t>
      </w:r>
      <w:r>
        <w:rPr>
          <w:spacing w:val="-5"/>
        </w:rPr>
        <w:t xml:space="preserve"> </w:t>
      </w:r>
      <w:r>
        <w:t>school</w:t>
      </w:r>
      <w:r>
        <w:rPr>
          <w:spacing w:val="-5"/>
        </w:rPr>
        <w:t xml:space="preserve"> </w:t>
      </w:r>
      <w:r>
        <w:t>does</w:t>
      </w:r>
      <w:r>
        <w:rPr>
          <w:spacing w:val="-5"/>
        </w:rPr>
        <w:t xml:space="preserve"> </w:t>
      </w:r>
      <w:r>
        <w:t>not</w:t>
      </w:r>
      <w:r>
        <w:rPr>
          <w:spacing w:val="-5"/>
        </w:rPr>
        <w:t xml:space="preserve"> </w:t>
      </w:r>
      <w:r>
        <w:t>include</w:t>
      </w:r>
      <w:r>
        <w:rPr>
          <w:spacing w:val="-5"/>
        </w:rPr>
        <w:t xml:space="preserve"> </w:t>
      </w:r>
      <w:r>
        <w:t>a</w:t>
      </w:r>
      <w:r>
        <w:rPr>
          <w:spacing w:val="-5"/>
        </w:rPr>
        <w:t xml:space="preserve"> </w:t>
      </w:r>
      <w:r>
        <w:t>very</w:t>
      </w:r>
      <w:r>
        <w:rPr>
          <w:spacing w:val="-5"/>
        </w:rPr>
        <w:t xml:space="preserve"> </w:t>
      </w:r>
      <w:r>
        <w:t>high</w:t>
      </w:r>
      <w:r>
        <w:rPr>
          <w:spacing w:val="-5"/>
        </w:rPr>
        <w:t xml:space="preserve"> </w:t>
      </w:r>
      <w:r>
        <w:t>percentage</w:t>
      </w:r>
      <w:r>
        <w:rPr>
          <w:spacing w:val="-5"/>
        </w:rPr>
        <w:t xml:space="preserve"> </w:t>
      </w:r>
      <w:r>
        <w:t>of</w:t>
      </w:r>
      <w:r>
        <w:rPr>
          <w:spacing w:val="-5"/>
        </w:rPr>
        <w:t xml:space="preserve"> </w:t>
      </w:r>
      <w:r>
        <w:t>the</w:t>
      </w:r>
      <w:r>
        <w:rPr>
          <w:spacing w:val="-5"/>
        </w:rPr>
        <w:t xml:space="preserve"> </w:t>
      </w:r>
      <w:r>
        <w:t>students</w:t>
      </w:r>
      <w:r>
        <w:rPr>
          <w:spacing w:val="-5"/>
        </w:rPr>
        <w:t xml:space="preserve"> </w:t>
      </w:r>
      <w:r>
        <w:t>in</w:t>
      </w:r>
      <w:r>
        <w:rPr>
          <w:spacing w:val="-5"/>
        </w:rPr>
        <w:t xml:space="preserve"> </w:t>
      </w:r>
      <w:r>
        <w:t>the</w:t>
      </w:r>
      <w:r>
        <w:rPr>
          <w:spacing w:val="-5"/>
        </w:rPr>
        <w:t xml:space="preserve"> </w:t>
      </w:r>
      <w:r>
        <w:t>school,</w:t>
      </w:r>
      <w:r>
        <w:rPr>
          <w:spacing w:val="-5"/>
        </w:rPr>
        <w:t xml:space="preserve"> </w:t>
      </w:r>
      <w:r>
        <w:t>unless</w:t>
      </w:r>
      <w:r>
        <w:rPr>
          <w:spacing w:val="-5"/>
        </w:rPr>
        <w:t xml:space="preserve"> </w:t>
      </w:r>
      <w:r>
        <w:t>all</w:t>
      </w:r>
      <w:r>
        <w:rPr>
          <w:spacing w:val="-5"/>
        </w:rPr>
        <w:t xml:space="preserve"> </w:t>
      </w:r>
      <w:r>
        <w:t>students</w:t>
      </w:r>
      <w:r>
        <w:rPr>
          <w:spacing w:val="-5"/>
        </w:rPr>
        <w:t xml:space="preserve"> </w:t>
      </w:r>
      <w:r>
        <w:t>are</w:t>
      </w:r>
      <w:r>
        <w:rPr>
          <w:spacing w:val="-5"/>
        </w:rPr>
        <w:t xml:space="preserve"> </w:t>
      </w:r>
      <w:r>
        <w:t>included;</w:t>
      </w:r>
      <w:r>
        <w:rPr>
          <w:spacing w:val="-5"/>
        </w:rPr>
        <w:t xml:space="preserve"> </w:t>
      </w:r>
      <w:r>
        <w:t xml:space="preserve">and </w:t>
      </w:r>
      <w:r>
        <w:rPr>
          <w:noProof/>
          <w:position w:val="3"/>
        </w:rPr>
        <w:drawing>
          <wp:inline distT="0" distB="0" distL="0" distR="0">
            <wp:extent cx="41379" cy="41370"/>
            <wp:effectExtent l="0" t="0" r="0" b="0"/>
            <wp:docPr id="47" name="Image 47"/>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xmlns:r="http://schemas.openxmlformats.org/officeDocument/2006/relationships" r:embed="rId33" cstate="print"/>
                    <a:stretch>
                      <a:fillRect/>
                    </a:stretch>
                  </pic:blipFill>
                  <pic:spPr>
                    <a:xfrm>
                      <a:off x="0" y="0"/>
                      <a:ext cx="41379" cy="41370"/>
                    </a:xfrm>
                    <a:prstGeom prst="rect">
                      <a:avLst/>
                    </a:prstGeom>
                  </pic:spPr>
                </pic:pic>
              </a:graphicData>
            </a:graphic>
          </wp:inline>
        </w:drawing>
      </w:r>
      <w:r>
        <w:rPr>
          <w:spacing w:val="80"/>
        </w:rPr>
        <w:t xml:space="preserve"> </w:t>
      </w:r>
      <w:r>
        <w:t>to reduce the sampling rate of small schools, in recognition of the greater cost and burden per student of conducting assessments in such schools.</w:t>
      </w:r>
    </w:p>
    <w:p w:rsidR="003F5784" w14:paraId="17579B79" w14:textId="77777777">
      <w:pPr>
        <w:pStyle w:val="BodyText"/>
        <w:spacing w:before="209" w:line="232" w:lineRule="auto"/>
        <w:ind w:left="109"/>
      </w:pPr>
      <w:r>
        <w:t>The</w:t>
      </w:r>
      <w:r>
        <w:rPr>
          <w:spacing w:val="-5"/>
        </w:rPr>
        <w:t xml:space="preserve"> </w:t>
      </w:r>
      <w:r>
        <w:t>goal</w:t>
      </w:r>
      <w:r>
        <w:rPr>
          <w:spacing w:val="-5"/>
        </w:rPr>
        <w:t xml:space="preserve"> </w:t>
      </w:r>
      <w:r>
        <w:t>in</w:t>
      </w:r>
      <w:r>
        <w:rPr>
          <w:spacing w:val="-5"/>
        </w:rPr>
        <w:t xml:space="preserve"> </w:t>
      </w:r>
      <w:r>
        <w:t>determining</w:t>
      </w:r>
      <w:r>
        <w:rPr>
          <w:spacing w:val="-5"/>
        </w:rPr>
        <w:t xml:space="preserve"> </w:t>
      </w:r>
      <w:r>
        <w:t>the</w:t>
      </w:r>
      <w:r>
        <w:rPr>
          <w:spacing w:val="-5"/>
        </w:rPr>
        <w:t xml:space="preserve"> </w:t>
      </w:r>
      <w:r>
        <w:t>school's</w:t>
      </w:r>
      <w:r>
        <w:rPr>
          <w:spacing w:val="-5"/>
        </w:rPr>
        <w:t xml:space="preserve"> </w:t>
      </w:r>
      <w:r>
        <w:t>measure</w:t>
      </w:r>
      <w:r>
        <w:rPr>
          <w:spacing w:val="-5"/>
        </w:rPr>
        <w:t xml:space="preserve"> </w:t>
      </w:r>
      <w:r>
        <w:t>of</w:t>
      </w:r>
      <w:r>
        <w:rPr>
          <w:spacing w:val="-5"/>
        </w:rPr>
        <w:t xml:space="preserve"> </w:t>
      </w:r>
      <w:r>
        <w:t>size</w:t>
      </w:r>
      <w:r>
        <w:rPr>
          <w:spacing w:val="-5"/>
        </w:rPr>
        <w:t xml:space="preserve"> </w:t>
      </w:r>
      <w:r>
        <w:t>is</w:t>
      </w:r>
      <w:r>
        <w:rPr>
          <w:spacing w:val="-5"/>
        </w:rPr>
        <w:t xml:space="preserve"> </w:t>
      </w:r>
      <w:r>
        <w:t>to</w:t>
      </w:r>
      <w:r>
        <w:rPr>
          <w:spacing w:val="-5"/>
        </w:rPr>
        <w:t xml:space="preserve"> </w:t>
      </w:r>
      <w:r>
        <w:t>optimize</w:t>
      </w:r>
      <w:r>
        <w:rPr>
          <w:spacing w:val="-5"/>
        </w:rPr>
        <w:t xml:space="preserve"> </w:t>
      </w:r>
      <w:r>
        <w:t>across</w:t>
      </w:r>
      <w:r>
        <w:rPr>
          <w:spacing w:val="-5"/>
        </w:rPr>
        <w:t xml:space="preserve"> </w:t>
      </w:r>
      <w:r>
        <w:t>the</w:t>
      </w:r>
      <w:r>
        <w:rPr>
          <w:spacing w:val="-5"/>
        </w:rPr>
        <w:t xml:space="preserve"> </w:t>
      </w:r>
      <w:r>
        <w:t>last</w:t>
      </w:r>
      <w:r>
        <w:rPr>
          <w:spacing w:val="-5"/>
        </w:rPr>
        <w:t xml:space="preserve"> </w:t>
      </w:r>
      <w:r>
        <w:t>four</w:t>
      </w:r>
      <w:r>
        <w:rPr>
          <w:spacing w:val="-5"/>
        </w:rPr>
        <w:t xml:space="preserve"> </w:t>
      </w:r>
      <w:r>
        <w:t>objectives</w:t>
      </w:r>
      <w:r>
        <w:rPr>
          <w:spacing w:val="-5"/>
        </w:rPr>
        <w:t xml:space="preserve"> </w:t>
      </w:r>
      <w:r>
        <w:t>in</w:t>
      </w:r>
      <w:r>
        <w:rPr>
          <w:spacing w:val="-5"/>
        </w:rPr>
        <w:t xml:space="preserve"> </w:t>
      </w:r>
      <w:r>
        <w:t>terms</w:t>
      </w:r>
      <w:r>
        <w:rPr>
          <w:spacing w:val="-5"/>
        </w:rPr>
        <w:t xml:space="preserve"> </w:t>
      </w:r>
      <w:r>
        <w:t>of</w:t>
      </w:r>
      <w:r>
        <w:rPr>
          <w:spacing w:val="-5"/>
        </w:rPr>
        <w:t xml:space="preserve"> </w:t>
      </w:r>
      <w:r>
        <w:t>maintaining</w:t>
      </w:r>
      <w:r>
        <w:rPr>
          <w:spacing w:val="-5"/>
        </w:rPr>
        <w:t xml:space="preserve"> </w:t>
      </w:r>
      <w:r>
        <w:t>the</w:t>
      </w:r>
      <w:r>
        <w:rPr>
          <w:spacing w:val="-5"/>
        </w:rPr>
        <w:t xml:space="preserve"> </w:t>
      </w:r>
      <w:r>
        <w:t>precision</w:t>
      </w:r>
      <w:r>
        <w:rPr>
          <w:spacing w:val="-5"/>
        </w:rPr>
        <w:t xml:space="preserve"> </w:t>
      </w:r>
      <w:r>
        <w:t>of</w:t>
      </w:r>
      <w:r>
        <w:rPr>
          <w:spacing w:val="-5"/>
        </w:rPr>
        <w:t xml:space="preserve"> </w:t>
      </w:r>
      <w:r>
        <w:t>estimates</w:t>
      </w:r>
      <w:r>
        <w:rPr>
          <w:spacing w:val="-5"/>
        </w:rPr>
        <w:t xml:space="preserve"> </w:t>
      </w:r>
      <w:r>
        <w:t>and</w:t>
      </w:r>
      <w:r>
        <w:rPr>
          <w:spacing w:val="-5"/>
        </w:rPr>
        <w:t xml:space="preserve"> </w:t>
      </w:r>
      <w:r>
        <w:t>the</w:t>
      </w:r>
      <w:r>
        <w:rPr>
          <w:spacing w:val="-5"/>
        </w:rPr>
        <w:t xml:space="preserve"> </w:t>
      </w:r>
      <w:r>
        <w:t>cost</w:t>
      </w:r>
      <w:r>
        <w:rPr>
          <w:spacing w:val="-5"/>
        </w:rPr>
        <w:t xml:space="preserve"> </w:t>
      </w:r>
      <w:r>
        <w:t>effectiveness</w:t>
      </w:r>
      <w:r>
        <w:rPr>
          <w:spacing w:val="-5"/>
        </w:rPr>
        <w:t xml:space="preserve"> </w:t>
      </w:r>
      <w:r>
        <w:t>of the sample design.</w:t>
      </w:r>
    </w:p>
    <w:p w:rsidR="003F5784" w14:paraId="16F43D89" w14:textId="77777777">
      <w:pPr>
        <w:pStyle w:val="BodyText"/>
        <w:spacing w:before="210" w:line="232" w:lineRule="auto"/>
        <w:ind w:left="109"/>
      </w:pPr>
      <w:r>
        <w:t>Therefore,</w:t>
      </w:r>
      <w:r>
        <w:rPr>
          <w:spacing w:val="-6"/>
        </w:rPr>
        <w:t xml:space="preserve"> </w:t>
      </w:r>
      <w:r>
        <w:t>to</w:t>
      </w:r>
      <w:r>
        <w:rPr>
          <w:spacing w:val="-6"/>
        </w:rPr>
        <w:t xml:space="preserve"> </w:t>
      </w:r>
      <w:r>
        <w:t>meet</w:t>
      </w:r>
      <w:r>
        <w:rPr>
          <w:spacing w:val="-6"/>
        </w:rPr>
        <w:t xml:space="preserve"> </w:t>
      </w:r>
      <w:r>
        <w:t>the</w:t>
      </w:r>
      <w:r>
        <w:rPr>
          <w:spacing w:val="-6"/>
        </w:rPr>
        <w:t xml:space="preserve"> </w:t>
      </w:r>
      <w:r>
        <w:t>target</w:t>
      </w:r>
      <w:r>
        <w:rPr>
          <w:spacing w:val="-6"/>
        </w:rPr>
        <w:t xml:space="preserve"> </w:t>
      </w:r>
      <w:r>
        <w:t>student</w:t>
      </w:r>
      <w:r>
        <w:rPr>
          <w:spacing w:val="-6"/>
        </w:rPr>
        <w:t xml:space="preserve"> </w:t>
      </w:r>
      <w:r>
        <w:t>sample</w:t>
      </w:r>
      <w:r>
        <w:rPr>
          <w:spacing w:val="-6"/>
        </w:rPr>
        <w:t xml:space="preserve"> </w:t>
      </w:r>
      <w:r>
        <w:t>size</w:t>
      </w:r>
      <w:r>
        <w:rPr>
          <w:spacing w:val="-6"/>
        </w:rPr>
        <w:t xml:space="preserve"> </w:t>
      </w:r>
      <w:r>
        <w:t>objective</w:t>
      </w:r>
      <w:r>
        <w:rPr>
          <w:spacing w:val="-6"/>
        </w:rPr>
        <w:t xml:space="preserve"> </w:t>
      </w:r>
      <w:r>
        <w:t>and</w:t>
      </w:r>
      <w:r>
        <w:rPr>
          <w:spacing w:val="-6"/>
        </w:rPr>
        <w:t xml:space="preserve"> </w:t>
      </w:r>
      <w:r>
        <w:t>achieve</w:t>
      </w:r>
      <w:r>
        <w:rPr>
          <w:spacing w:val="-6"/>
        </w:rPr>
        <w:t xml:space="preserve"> </w:t>
      </w:r>
      <w:r>
        <w:t>a</w:t>
      </w:r>
      <w:r>
        <w:rPr>
          <w:spacing w:val="-6"/>
        </w:rPr>
        <w:t xml:space="preserve"> </w:t>
      </w:r>
      <w:r>
        <w:t>reasonable</w:t>
      </w:r>
      <w:r>
        <w:rPr>
          <w:spacing w:val="-6"/>
        </w:rPr>
        <w:t xml:space="preserve"> </w:t>
      </w:r>
      <w:r>
        <w:t>compromise</w:t>
      </w:r>
      <w:r>
        <w:rPr>
          <w:spacing w:val="-6"/>
        </w:rPr>
        <w:t xml:space="preserve"> </w:t>
      </w:r>
      <w:r>
        <w:t>among</w:t>
      </w:r>
      <w:r>
        <w:rPr>
          <w:spacing w:val="-6"/>
        </w:rPr>
        <w:t xml:space="preserve"> </w:t>
      </w:r>
      <w:r>
        <w:t>the</w:t>
      </w:r>
      <w:r>
        <w:rPr>
          <w:spacing w:val="-6"/>
        </w:rPr>
        <w:t xml:space="preserve"> </w:t>
      </w:r>
      <w:r>
        <w:t>next</w:t>
      </w:r>
      <w:r>
        <w:rPr>
          <w:spacing w:val="-6"/>
        </w:rPr>
        <w:t xml:space="preserve"> </w:t>
      </w:r>
      <w:r>
        <w:t>other</w:t>
      </w:r>
      <w:r>
        <w:rPr>
          <w:spacing w:val="-6"/>
        </w:rPr>
        <w:t xml:space="preserve"> </w:t>
      </w:r>
      <w:r>
        <w:t>objectives,</w:t>
      </w:r>
      <w:r>
        <w:rPr>
          <w:spacing w:val="-6"/>
        </w:rPr>
        <w:t xml:space="preserve"> </w:t>
      </w:r>
      <w:r>
        <w:t>the</w:t>
      </w:r>
      <w:r>
        <w:rPr>
          <w:spacing w:val="-6"/>
        </w:rPr>
        <w:t xml:space="preserve"> </w:t>
      </w:r>
      <w:r>
        <w:t>following</w:t>
      </w:r>
      <w:r>
        <w:rPr>
          <w:spacing w:val="-6"/>
        </w:rPr>
        <w:t xml:space="preserve"> </w:t>
      </w:r>
      <w:r>
        <w:t>algorithm</w:t>
      </w:r>
      <w:r>
        <w:rPr>
          <w:spacing w:val="-6"/>
        </w:rPr>
        <w:t xml:space="preserve"> </w:t>
      </w:r>
      <w:r>
        <w:t>was</w:t>
      </w:r>
      <w:r>
        <w:rPr>
          <w:spacing w:val="-6"/>
        </w:rPr>
        <w:t xml:space="preserve"> </w:t>
      </w:r>
      <w:r>
        <w:t>used</w:t>
      </w:r>
      <w:r>
        <w:rPr>
          <w:spacing w:val="-6"/>
        </w:rPr>
        <w:t xml:space="preserve"> </w:t>
      </w:r>
      <w:r>
        <w:t>to</w:t>
      </w:r>
      <w:r>
        <w:rPr>
          <w:spacing w:val="-6"/>
        </w:rPr>
        <w:t xml:space="preserve"> </w:t>
      </w:r>
      <w:r>
        <w:t>assign</w:t>
      </w:r>
      <w:r>
        <w:rPr>
          <w:spacing w:val="-6"/>
        </w:rPr>
        <w:t xml:space="preserve"> </w:t>
      </w:r>
      <w:r>
        <w:t>a measure of size to each school based on its estimated grade enrollment as indicated on the sampling frame.</w:t>
      </w:r>
    </w:p>
    <w:p w:rsidR="003F5784" w14:paraId="32E97CAC" w14:textId="77777777">
      <w:pPr>
        <w:pStyle w:val="BodyText"/>
        <w:spacing w:before="203" w:line="238" w:lineRule="exact"/>
        <w:ind w:left="109"/>
      </w:pPr>
      <w:r>
        <w:t>In</w:t>
      </w:r>
      <w:r>
        <w:rPr>
          <w:spacing w:val="-7"/>
        </w:rPr>
        <w:t xml:space="preserve"> </w:t>
      </w:r>
      <w:r>
        <w:t>the</w:t>
      </w:r>
      <w:r>
        <w:rPr>
          <w:spacing w:val="-6"/>
        </w:rPr>
        <w:t xml:space="preserve"> </w:t>
      </w:r>
      <w:r>
        <w:t>formula</w:t>
      </w:r>
      <w:r>
        <w:rPr>
          <w:spacing w:val="-6"/>
        </w:rPr>
        <w:t xml:space="preserve"> </w:t>
      </w:r>
      <w:r>
        <w:t>below,</w:t>
      </w:r>
      <w:r>
        <w:rPr>
          <w:spacing w:val="-7"/>
        </w:rPr>
        <w:t xml:space="preserve"> </w:t>
      </w:r>
      <w:r>
        <w:t>`x_{js}`</w:t>
      </w:r>
      <w:r>
        <w:rPr>
          <w:spacing w:val="-6"/>
        </w:rPr>
        <w:t xml:space="preserve"> </w:t>
      </w:r>
      <w:r>
        <w:t>is</w:t>
      </w:r>
      <w:r>
        <w:rPr>
          <w:spacing w:val="-6"/>
        </w:rPr>
        <w:t xml:space="preserve"> </w:t>
      </w:r>
      <w:r>
        <w:t>the</w:t>
      </w:r>
      <w:r>
        <w:rPr>
          <w:spacing w:val="-6"/>
        </w:rPr>
        <w:t xml:space="preserve"> </w:t>
      </w:r>
      <w:r>
        <w:t>estimated</w:t>
      </w:r>
      <w:r>
        <w:rPr>
          <w:spacing w:val="-7"/>
        </w:rPr>
        <w:t xml:space="preserve"> </w:t>
      </w:r>
      <w:r>
        <w:t>grade</w:t>
      </w:r>
      <w:r>
        <w:rPr>
          <w:spacing w:val="-6"/>
        </w:rPr>
        <w:t xml:space="preserve"> </w:t>
      </w:r>
      <w:r>
        <w:t>enrollment</w:t>
      </w:r>
      <w:r>
        <w:rPr>
          <w:spacing w:val="-6"/>
        </w:rPr>
        <w:t xml:space="preserve"> </w:t>
      </w:r>
      <w:r>
        <w:t>for</w:t>
      </w:r>
      <w:r>
        <w:rPr>
          <w:spacing w:val="-6"/>
        </w:rPr>
        <w:t xml:space="preserve"> </w:t>
      </w:r>
      <w:r>
        <w:t>stratum</w:t>
      </w:r>
      <w:r>
        <w:rPr>
          <w:spacing w:val="-7"/>
        </w:rPr>
        <w:t xml:space="preserve"> </w:t>
      </w:r>
      <w:r>
        <w:t>`j`</w:t>
      </w:r>
      <w:r>
        <w:rPr>
          <w:spacing w:val="-6"/>
        </w:rPr>
        <w:t xml:space="preserve"> </w:t>
      </w:r>
      <w:r>
        <w:t>and</w:t>
      </w:r>
      <w:r>
        <w:rPr>
          <w:spacing w:val="-6"/>
        </w:rPr>
        <w:t xml:space="preserve"> </w:t>
      </w:r>
      <w:r>
        <w:t>school</w:t>
      </w:r>
      <w:r>
        <w:rPr>
          <w:spacing w:val="-7"/>
        </w:rPr>
        <w:t xml:space="preserve"> </w:t>
      </w:r>
      <w:r>
        <w:t>`s`,</w:t>
      </w:r>
      <w:r>
        <w:rPr>
          <w:spacing w:val="-6"/>
        </w:rPr>
        <w:t xml:space="preserve"> </w:t>
      </w:r>
      <w:r>
        <w:t>`y_{j}`</w:t>
      </w:r>
      <w:r>
        <w:rPr>
          <w:spacing w:val="-6"/>
        </w:rPr>
        <w:t xml:space="preserve"> </w:t>
      </w:r>
      <w:r>
        <w:t>is</w:t>
      </w:r>
      <w:r>
        <w:rPr>
          <w:spacing w:val="-6"/>
        </w:rPr>
        <w:t xml:space="preserve"> </w:t>
      </w:r>
      <w:r>
        <w:t>the</w:t>
      </w:r>
      <w:r>
        <w:rPr>
          <w:spacing w:val="-7"/>
        </w:rPr>
        <w:t xml:space="preserve"> </w:t>
      </w:r>
      <w:r>
        <w:t>target</w:t>
      </w:r>
      <w:r>
        <w:rPr>
          <w:spacing w:val="-6"/>
        </w:rPr>
        <w:t xml:space="preserve"> </w:t>
      </w:r>
      <w:r>
        <w:t>within-school</w:t>
      </w:r>
      <w:r>
        <w:rPr>
          <w:spacing w:val="-6"/>
        </w:rPr>
        <w:t xml:space="preserve"> </w:t>
      </w:r>
      <w:r>
        <w:t>student</w:t>
      </w:r>
      <w:r>
        <w:rPr>
          <w:spacing w:val="-6"/>
        </w:rPr>
        <w:t xml:space="preserve"> </w:t>
      </w:r>
      <w:r>
        <w:t>sample</w:t>
      </w:r>
      <w:r>
        <w:rPr>
          <w:spacing w:val="-7"/>
        </w:rPr>
        <w:t xml:space="preserve"> </w:t>
      </w:r>
      <w:r>
        <w:t>size</w:t>
      </w:r>
      <w:r>
        <w:rPr>
          <w:spacing w:val="-6"/>
        </w:rPr>
        <w:t xml:space="preserve"> </w:t>
      </w:r>
      <w:r>
        <w:t>for</w:t>
      </w:r>
      <w:r>
        <w:rPr>
          <w:spacing w:val="-6"/>
        </w:rPr>
        <w:t xml:space="preserve"> </w:t>
      </w:r>
      <w:r>
        <w:t>stratum</w:t>
      </w:r>
      <w:r>
        <w:rPr>
          <w:spacing w:val="-6"/>
        </w:rPr>
        <w:t xml:space="preserve"> </w:t>
      </w:r>
      <w:r>
        <w:t>`j`,</w:t>
      </w:r>
      <w:r>
        <w:rPr>
          <w:spacing w:val="-7"/>
        </w:rPr>
        <w:t xml:space="preserve"> </w:t>
      </w:r>
      <w:r>
        <w:rPr>
          <w:spacing w:val="-5"/>
        </w:rPr>
        <w:t>and</w:t>
      </w:r>
    </w:p>
    <w:p w:rsidR="003F5784" w14:paraId="4260AC66" w14:textId="77777777">
      <w:pPr>
        <w:pStyle w:val="BodyText"/>
        <w:spacing w:before="2" w:line="232" w:lineRule="auto"/>
        <w:ind w:left="109"/>
      </w:pPr>
      <w:r>
        <w:t>`z_{js}`</w:t>
      </w:r>
      <w:r>
        <w:rPr>
          <w:spacing w:val="-6"/>
        </w:rPr>
        <w:t xml:space="preserve"> </w:t>
      </w:r>
      <w:r>
        <w:t>is</w:t>
      </w:r>
      <w:r>
        <w:rPr>
          <w:spacing w:val="-6"/>
        </w:rPr>
        <w:t xml:space="preserve"> </w:t>
      </w:r>
      <w:r>
        <w:t>the</w:t>
      </w:r>
      <w:r>
        <w:rPr>
          <w:spacing w:val="-6"/>
        </w:rPr>
        <w:t xml:space="preserve"> </w:t>
      </w:r>
      <w:r>
        <w:t>within-school</w:t>
      </w:r>
      <w:r>
        <w:rPr>
          <w:spacing w:val="-6"/>
        </w:rPr>
        <w:t xml:space="preserve"> </w:t>
      </w:r>
      <w:r>
        <w:t>take-all</w:t>
      </w:r>
      <w:r>
        <w:rPr>
          <w:spacing w:val="-6"/>
        </w:rPr>
        <w:t xml:space="preserve"> </w:t>
      </w:r>
      <w:r>
        <w:t>student</w:t>
      </w:r>
      <w:r>
        <w:rPr>
          <w:spacing w:val="-6"/>
        </w:rPr>
        <w:t xml:space="preserve"> </w:t>
      </w:r>
      <w:r>
        <w:t>cutoff</w:t>
      </w:r>
      <w:r>
        <w:rPr>
          <w:spacing w:val="-6"/>
        </w:rPr>
        <w:t xml:space="preserve"> </w:t>
      </w:r>
      <w:r>
        <w:t>for</w:t>
      </w:r>
      <w:r>
        <w:rPr>
          <w:spacing w:val="-6"/>
        </w:rPr>
        <w:t xml:space="preserve"> </w:t>
      </w:r>
      <w:r>
        <w:t>stratum</w:t>
      </w:r>
      <w:r>
        <w:rPr>
          <w:spacing w:val="-6"/>
        </w:rPr>
        <w:t xml:space="preserve"> </w:t>
      </w:r>
      <w:r>
        <w:t>`j`</w:t>
      </w:r>
      <w:r>
        <w:rPr>
          <w:spacing w:val="-6"/>
        </w:rPr>
        <w:t xml:space="preserve"> </w:t>
      </w:r>
      <w:r>
        <w:t>to</w:t>
      </w:r>
      <w:r>
        <w:rPr>
          <w:spacing w:val="-6"/>
        </w:rPr>
        <w:t xml:space="preserve"> </w:t>
      </w:r>
      <w:r>
        <w:t>which</w:t>
      </w:r>
      <w:r>
        <w:rPr>
          <w:spacing w:val="-6"/>
        </w:rPr>
        <w:t xml:space="preserve"> </w:t>
      </w:r>
      <w:r>
        <w:t>school</w:t>
      </w:r>
      <w:r>
        <w:rPr>
          <w:spacing w:val="-6"/>
        </w:rPr>
        <w:t xml:space="preserve"> </w:t>
      </w:r>
      <w:r>
        <w:t>`s`</w:t>
      </w:r>
      <w:r>
        <w:rPr>
          <w:spacing w:val="-6"/>
        </w:rPr>
        <w:t xml:space="preserve"> </w:t>
      </w:r>
      <w:r>
        <w:t>belongs,</w:t>
      </w:r>
      <w:r>
        <w:rPr>
          <w:spacing w:val="-6"/>
        </w:rPr>
        <w:t xml:space="preserve"> </w:t>
      </w:r>
      <w:r>
        <w:t>and</w:t>
      </w:r>
      <w:r>
        <w:rPr>
          <w:spacing w:val="-6"/>
        </w:rPr>
        <w:t xml:space="preserve"> </w:t>
      </w:r>
      <w:r>
        <w:t>`P_{s}`</w:t>
      </w:r>
      <w:r>
        <w:rPr>
          <w:spacing w:val="-6"/>
        </w:rPr>
        <w:t xml:space="preserve"> </w:t>
      </w:r>
      <w:r>
        <w:t>is</w:t>
      </w:r>
      <w:r>
        <w:rPr>
          <w:spacing w:val="-6"/>
        </w:rPr>
        <w:t xml:space="preserve"> </w:t>
      </w:r>
      <w:r>
        <w:t>a</w:t>
      </w:r>
      <w:r>
        <w:rPr>
          <w:spacing w:val="-6"/>
        </w:rPr>
        <w:t xml:space="preserve"> </w:t>
      </w:r>
      <w:r>
        <w:t>primary</w:t>
      </w:r>
      <w:r>
        <w:rPr>
          <w:spacing w:val="-6"/>
        </w:rPr>
        <w:t xml:space="preserve"> </w:t>
      </w:r>
      <w:r>
        <w:t>sampling</w:t>
      </w:r>
      <w:r>
        <w:rPr>
          <w:spacing w:val="-6"/>
        </w:rPr>
        <w:t xml:space="preserve"> </w:t>
      </w:r>
      <w:r>
        <w:t>unit</w:t>
      </w:r>
      <w:r>
        <w:rPr>
          <w:spacing w:val="-6"/>
        </w:rPr>
        <w:t xml:space="preserve"> </w:t>
      </w:r>
      <w:r>
        <w:t>(PSU)</w:t>
      </w:r>
      <w:r>
        <w:rPr>
          <w:spacing w:val="-6"/>
        </w:rPr>
        <w:t xml:space="preserve"> </w:t>
      </w:r>
      <w:r>
        <w:t>weight</w:t>
      </w:r>
      <w:r>
        <w:rPr>
          <w:spacing w:val="-6"/>
        </w:rPr>
        <w:t xml:space="preserve"> </w:t>
      </w:r>
      <w:r>
        <w:t>associated</w:t>
      </w:r>
      <w:r>
        <w:rPr>
          <w:spacing w:val="-6"/>
        </w:rPr>
        <w:t xml:space="preserve"> </w:t>
      </w:r>
      <w:r>
        <w:t>with</w:t>
      </w:r>
      <w:r>
        <w:rPr>
          <w:spacing w:val="-6"/>
        </w:rPr>
        <w:t xml:space="preserve"> </w:t>
      </w:r>
      <w:r>
        <w:t>the</w:t>
      </w:r>
      <w:r>
        <w:rPr>
          <w:spacing w:val="-6"/>
        </w:rPr>
        <w:t xml:space="preserve"> </w:t>
      </w:r>
      <w:r>
        <w:t>private school universe (PSS) area sample.</w:t>
      </w:r>
    </w:p>
    <w:p w:rsidR="003F5784" w14:paraId="11C29DB3" w14:textId="77777777">
      <w:pPr>
        <w:pStyle w:val="BodyText"/>
        <w:spacing w:before="204" w:line="439" w:lineRule="auto"/>
        <w:ind w:left="109" w:right="6889"/>
      </w:pPr>
      <w:r>
        <w:t>For</w:t>
      </w:r>
      <w:r>
        <w:rPr>
          <w:spacing w:val="-7"/>
        </w:rPr>
        <w:t xml:space="preserve"> </w:t>
      </w:r>
      <w:r>
        <w:t>grade</w:t>
      </w:r>
      <w:r>
        <w:rPr>
          <w:spacing w:val="-7"/>
        </w:rPr>
        <w:t xml:space="preserve"> </w:t>
      </w:r>
      <w:r>
        <w:t>8,</w:t>
      </w:r>
      <w:r>
        <w:rPr>
          <w:spacing w:val="-7"/>
        </w:rPr>
        <w:t xml:space="preserve"> </w:t>
      </w:r>
      <w:r>
        <w:t>the</w:t>
      </w:r>
      <w:r>
        <w:rPr>
          <w:spacing w:val="-7"/>
        </w:rPr>
        <w:t xml:space="preserve"> </w:t>
      </w:r>
      <w:r>
        <w:t>within-school</w:t>
      </w:r>
      <w:r>
        <w:rPr>
          <w:spacing w:val="-7"/>
        </w:rPr>
        <w:t xml:space="preserve"> </w:t>
      </w:r>
      <w:r>
        <w:t>target</w:t>
      </w:r>
      <w:r>
        <w:rPr>
          <w:spacing w:val="-7"/>
        </w:rPr>
        <w:t xml:space="preserve"> </w:t>
      </w:r>
      <w:r>
        <w:t>sample</w:t>
      </w:r>
      <w:r>
        <w:rPr>
          <w:spacing w:val="-7"/>
        </w:rPr>
        <w:t xml:space="preserve"> </w:t>
      </w:r>
      <w:r>
        <w:t>size</w:t>
      </w:r>
      <w:r>
        <w:rPr>
          <w:spacing w:val="-7"/>
        </w:rPr>
        <w:t xml:space="preserve"> </w:t>
      </w:r>
      <w:r>
        <w:t>(`y_{j}`)</w:t>
      </w:r>
      <w:r>
        <w:rPr>
          <w:spacing w:val="-7"/>
        </w:rPr>
        <w:t xml:space="preserve"> </w:t>
      </w:r>
      <w:r>
        <w:t>was</w:t>
      </w:r>
      <w:r>
        <w:rPr>
          <w:spacing w:val="-7"/>
        </w:rPr>
        <w:t xml:space="preserve"> </w:t>
      </w:r>
      <w:r>
        <w:t>50</w:t>
      </w:r>
      <w:r>
        <w:rPr>
          <w:spacing w:val="-7"/>
        </w:rPr>
        <w:t xml:space="preserve"> </w:t>
      </w:r>
      <w:r>
        <w:t>and</w:t>
      </w:r>
      <w:r>
        <w:rPr>
          <w:spacing w:val="-7"/>
        </w:rPr>
        <w:t xml:space="preserve"> </w:t>
      </w:r>
      <w:r>
        <w:t>take-all</w:t>
      </w:r>
      <w:r>
        <w:rPr>
          <w:spacing w:val="-7"/>
        </w:rPr>
        <w:t xml:space="preserve"> </w:t>
      </w:r>
      <w:r>
        <w:t>cutoff</w:t>
      </w:r>
      <w:r>
        <w:rPr>
          <w:spacing w:val="-7"/>
        </w:rPr>
        <w:t xml:space="preserve"> </w:t>
      </w:r>
      <w:r>
        <w:t>was</w:t>
      </w:r>
      <w:r>
        <w:rPr>
          <w:spacing w:val="-7"/>
        </w:rPr>
        <w:t xml:space="preserve"> </w:t>
      </w:r>
      <w:r>
        <w:t>52. The preliminary measure of size (MOS) was calculated as follows:</w:t>
      </w:r>
    </w:p>
    <w:p w:rsidR="003F5784" w14:paraId="72288AEE" w14:textId="77777777">
      <w:pPr>
        <w:pStyle w:val="BodyText"/>
        <w:spacing w:before="8" w:line="232" w:lineRule="auto"/>
        <w:ind w:left="109" w:right="13089"/>
      </w:pPr>
      <w:r>
        <w:rPr>
          <w:spacing w:val="-2"/>
        </w:rPr>
        <w:t xml:space="preserve">\begin{equation} </w:t>
      </w:r>
      <w:r>
        <w:t>MOS_{js} =</w:t>
      </w:r>
    </w:p>
    <w:p w:rsidR="003F5784" w14:paraId="1866C16D" w14:textId="77777777">
      <w:pPr>
        <w:pStyle w:val="BodyText"/>
        <w:spacing w:before="1" w:line="232" w:lineRule="auto"/>
        <w:ind w:left="109" w:right="11249"/>
      </w:pPr>
      <w:r>
        <w:t>P_{s} \times \left\{ \begin{array}{l} x_{js}</w:t>
      </w:r>
      <w:r>
        <w:rPr>
          <w:spacing w:val="-9"/>
        </w:rPr>
        <w:t xml:space="preserve"> </w:t>
      </w:r>
      <w:r>
        <w:t>&amp;</w:t>
      </w:r>
      <w:r>
        <w:rPr>
          <w:spacing w:val="-9"/>
        </w:rPr>
        <w:t xml:space="preserve"> </w:t>
      </w:r>
      <w:r>
        <w:t>\text{if</w:t>
      </w:r>
      <w:r>
        <w:rPr>
          <w:spacing w:val="-9"/>
        </w:rPr>
        <w:t xml:space="preserve"> </w:t>
      </w:r>
      <w:r>
        <w:t>}</w:t>
      </w:r>
      <w:r>
        <w:rPr>
          <w:spacing w:val="-9"/>
        </w:rPr>
        <w:t xml:space="preserve"> </w:t>
      </w:r>
      <w:r>
        <w:t>z_{j}</w:t>
      </w:r>
      <w:r>
        <w:rPr>
          <w:spacing w:val="-9"/>
        </w:rPr>
        <w:t xml:space="preserve"> </w:t>
      </w:r>
      <w:r>
        <w:t>&lt;</w:t>
      </w:r>
      <w:r>
        <w:rPr>
          <w:spacing w:val="-9"/>
        </w:rPr>
        <w:t xml:space="preserve"> </w:t>
      </w:r>
      <w:r>
        <w:t>x_{js}</w:t>
      </w:r>
      <w:r>
        <w:rPr>
          <w:spacing w:val="-9"/>
        </w:rPr>
        <w:t xml:space="preserve"> </w:t>
      </w:r>
      <w:r>
        <w:t>\\[2pt]</w:t>
      </w:r>
    </w:p>
    <w:p w:rsidR="003F5784" w14:paraId="39173AE7" w14:textId="77777777">
      <w:pPr>
        <w:pStyle w:val="BodyText"/>
        <w:spacing w:line="233" w:lineRule="exact"/>
        <w:ind w:left="109"/>
      </w:pPr>
      <w:r>
        <w:t>y_{j}</w:t>
      </w:r>
      <w:r>
        <w:rPr>
          <w:spacing w:val="-5"/>
        </w:rPr>
        <w:t xml:space="preserve"> </w:t>
      </w:r>
      <w:r>
        <w:t>&amp;</w:t>
      </w:r>
      <w:r>
        <w:rPr>
          <w:spacing w:val="-5"/>
        </w:rPr>
        <w:t xml:space="preserve"> </w:t>
      </w:r>
      <w:r>
        <w:t>\text{if</w:t>
      </w:r>
      <w:r>
        <w:rPr>
          <w:spacing w:val="-5"/>
        </w:rPr>
        <w:t xml:space="preserve"> </w:t>
      </w:r>
      <w:r>
        <w:t>}</w:t>
      </w:r>
      <w:r>
        <w:rPr>
          <w:spacing w:val="-5"/>
        </w:rPr>
        <w:t xml:space="preserve"> </w:t>
      </w:r>
      <w:r>
        <w:t>20</w:t>
      </w:r>
      <w:r>
        <w:rPr>
          <w:spacing w:val="-5"/>
        </w:rPr>
        <w:t xml:space="preserve"> </w:t>
      </w:r>
      <w:r>
        <w:t>&lt;</w:t>
      </w:r>
      <w:r>
        <w:rPr>
          <w:spacing w:val="-5"/>
        </w:rPr>
        <w:t xml:space="preserve"> </w:t>
      </w:r>
      <w:r>
        <w:t>x_{js}</w:t>
      </w:r>
      <w:r>
        <w:rPr>
          <w:spacing w:val="-5"/>
        </w:rPr>
        <w:t xml:space="preserve"> </w:t>
      </w:r>
      <w:r>
        <w:t>\leq{z_{j}}</w:t>
      </w:r>
      <w:r>
        <w:rPr>
          <w:spacing w:val="-5"/>
        </w:rPr>
        <w:t xml:space="preserve"> </w:t>
      </w:r>
      <w:r>
        <w:rPr>
          <w:spacing w:val="-2"/>
        </w:rPr>
        <w:t>\\[2pt]</w:t>
      </w:r>
    </w:p>
    <w:p w:rsidR="003F5784" w14:paraId="4B3B949F" w14:textId="77777777">
      <w:pPr>
        <w:pStyle w:val="BodyText"/>
        <w:spacing w:line="235" w:lineRule="exact"/>
        <w:ind w:left="109"/>
      </w:pPr>
      <w:r>
        <w:t>\left(\dfrac{y_j}{20}\right)</w:t>
      </w:r>
      <w:r>
        <w:rPr>
          <w:spacing w:val="-7"/>
        </w:rPr>
        <w:t xml:space="preserve"> </w:t>
      </w:r>
      <w:r>
        <w:t>\times</w:t>
      </w:r>
      <w:r>
        <w:rPr>
          <w:spacing w:val="-6"/>
        </w:rPr>
        <w:t xml:space="preserve"> </w:t>
      </w:r>
      <w:r>
        <w:t>x_{js}</w:t>
      </w:r>
      <w:r>
        <w:rPr>
          <w:spacing w:val="-6"/>
        </w:rPr>
        <w:t xml:space="preserve"> </w:t>
      </w:r>
      <w:r>
        <w:t>&amp;</w:t>
      </w:r>
      <w:r>
        <w:rPr>
          <w:spacing w:val="-6"/>
        </w:rPr>
        <w:t xml:space="preserve"> </w:t>
      </w:r>
      <w:r>
        <w:t>\text{if</w:t>
      </w:r>
      <w:r>
        <w:rPr>
          <w:spacing w:val="-7"/>
        </w:rPr>
        <w:t xml:space="preserve"> </w:t>
      </w:r>
      <w:r>
        <w:t>}</w:t>
      </w:r>
      <w:r>
        <w:rPr>
          <w:spacing w:val="-6"/>
        </w:rPr>
        <w:t xml:space="preserve"> </w:t>
      </w:r>
      <w:r>
        <w:t>5</w:t>
      </w:r>
      <w:r>
        <w:rPr>
          <w:spacing w:val="-6"/>
        </w:rPr>
        <w:t xml:space="preserve"> </w:t>
      </w:r>
      <w:r>
        <w:t>&lt;</w:t>
      </w:r>
      <w:r>
        <w:rPr>
          <w:spacing w:val="-6"/>
        </w:rPr>
        <w:t xml:space="preserve"> </w:t>
      </w:r>
      <w:r>
        <w:t>x_{js}</w:t>
      </w:r>
      <w:r>
        <w:rPr>
          <w:spacing w:val="-6"/>
        </w:rPr>
        <w:t xml:space="preserve"> </w:t>
      </w:r>
      <w:r>
        <w:t>\leq</w:t>
      </w:r>
      <w:r>
        <w:rPr>
          <w:spacing w:val="-7"/>
        </w:rPr>
        <w:t xml:space="preserve"> </w:t>
      </w:r>
      <w:r>
        <w:t>{20}</w:t>
      </w:r>
      <w:r>
        <w:rPr>
          <w:spacing w:val="-6"/>
        </w:rPr>
        <w:t xml:space="preserve"> </w:t>
      </w:r>
      <w:r>
        <w:rPr>
          <w:spacing w:val="-5"/>
        </w:rPr>
        <w:t>\\</w:t>
      </w:r>
    </w:p>
    <w:p w:rsidR="003F5784" w14:paraId="47C17665" w14:textId="77777777">
      <w:pPr>
        <w:pStyle w:val="BodyText"/>
        <w:spacing w:line="235" w:lineRule="exact"/>
        <w:ind w:left="109"/>
      </w:pPr>
      <w:r>
        <w:t>\dfrac{y_j}{4}</w:t>
      </w:r>
      <w:r>
        <w:rPr>
          <w:spacing w:val="-7"/>
        </w:rPr>
        <w:t xml:space="preserve"> </w:t>
      </w:r>
      <w:r>
        <w:t>&amp;</w:t>
      </w:r>
      <w:r>
        <w:rPr>
          <w:spacing w:val="-6"/>
        </w:rPr>
        <w:t xml:space="preserve"> </w:t>
      </w:r>
      <w:r>
        <w:t>x_{js}</w:t>
      </w:r>
      <w:r>
        <w:rPr>
          <w:spacing w:val="-6"/>
        </w:rPr>
        <w:t xml:space="preserve"> </w:t>
      </w:r>
      <w:r>
        <w:t>\leq</w:t>
      </w:r>
      <w:r>
        <w:rPr>
          <w:spacing w:val="-6"/>
        </w:rPr>
        <w:t xml:space="preserve"> </w:t>
      </w:r>
      <w:r>
        <w:t>{5}</w:t>
      </w:r>
      <w:r>
        <w:rPr>
          <w:spacing w:val="-7"/>
        </w:rPr>
        <w:t xml:space="preserve"> </w:t>
      </w:r>
      <w:r>
        <w:rPr>
          <w:spacing w:val="-2"/>
        </w:rPr>
        <w:t>\end{array}\right.</w:t>
      </w:r>
    </w:p>
    <w:p w:rsidR="003F5784" w14:paraId="63E7EA57" w14:textId="77777777">
      <w:pPr>
        <w:pStyle w:val="BodyText"/>
        <w:spacing w:line="238" w:lineRule="exact"/>
        <w:ind w:left="109"/>
      </w:pPr>
      <w:r>
        <w:rPr>
          <w:spacing w:val="-2"/>
        </w:rPr>
        <w:t>\end{equation}</w:t>
      </w:r>
    </w:p>
    <w:p w:rsidR="003F5784" w14:paraId="5315E9CA" w14:textId="77777777">
      <w:pPr>
        <w:pStyle w:val="BodyText"/>
        <w:spacing w:before="3" w:line="440" w:lineRule="atLeast"/>
        <w:ind w:left="109" w:right="1031"/>
      </w:pPr>
      <w:r>
        <w:t>The</w:t>
      </w:r>
      <w:r>
        <w:rPr>
          <w:spacing w:val="-6"/>
        </w:rPr>
        <w:t xml:space="preserve"> </w:t>
      </w:r>
      <w:r>
        <w:t>preliminary</w:t>
      </w:r>
      <w:r>
        <w:rPr>
          <w:spacing w:val="-6"/>
        </w:rPr>
        <w:t xml:space="preserve"> </w:t>
      </w:r>
      <w:r>
        <w:t>school</w:t>
      </w:r>
      <w:r>
        <w:rPr>
          <w:spacing w:val="-6"/>
        </w:rPr>
        <w:t xml:space="preserve"> </w:t>
      </w:r>
      <w:r>
        <w:t>measure</w:t>
      </w:r>
      <w:r>
        <w:rPr>
          <w:spacing w:val="-6"/>
        </w:rPr>
        <w:t xml:space="preserve"> </w:t>
      </w:r>
      <w:r>
        <w:t>of</w:t>
      </w:r>
      <w:r>
        <w:rPr>
          <w:spacing w:val="-6"/>
        </w:rPr>
        <w:t xml:space="preserve"> </w:t>
      </w:r>
      <w:r>
        <w:t>size</w:t>
      </w:r>
      <w:r>
        <w:rPr>
          <w:spacing w:val="-6"/>
        </w:rPr>
        <w:t xml:space="preserve"> </w:t>
      </w:r>
      <w:r>
        <w:t>was</w:t>
      </w:r>
      <w:r>
        <w:rPr>
          <w:spacing w:val="-6"/>
        </w:rPr>
        <w:t xml:space="preserve"> </w:t>
      </w:r>
      <w:r>
        <w:t>rescaled</w:t>
      </w:r>
      <w:r>
        <w:rPr>
          <w:spacing w:val="-6"/>
        </w:rPr>
        <w:t xml:space="preserve"> </w:t>
      </w:r>
      <w:r>
        <w:t>to</w:t>
      </w:r>
      <w:r>
        <w:rPr>
          <w:spacing w:val="-6"/>
        </w:rPr>
        <w:t xml:space="preserve"> </w:t>
      </w:r>
      <w:r>
        <w:t>create</w:t>
      </w:r>
      <w:r>
        <w:rPr>
          <w:spacing w:val="-6"/>
        </w:rPr>
        <w:t xml:space="preserve"> </w:t>
      </w:r>
      <w:r>
        <w:t>an</w:t>
      </w:r>
      <w:r>
        <w:rPr>
          <w:spacing w:val="-6"/>
        </w:rPr>
        <w:t xml:space="preserve"> </w:t>
      </w:r>
      <w:r>
        <w:t>expected</w:t>
      </w:r>
      <w:r>
        <w:rPr>
          <w:spacing w:val="-6"/>
        </w:rPr>
        <w:t xml:space="preserve"> </w:t>
      </w:r>
      <w:r>
        <w:t>number</w:t>
      </w:r>
      <w:r>
        <w:rPr>
          <w:spacing w:val="-6"/>
        </w:rPr>
        <w:t xml:space="preserve"> </w:t>
      </w:r>
      <w:r>
        <w:t>of</w:t>
      </w:r>
      <w:r>
        <w:rPr>
          <w:spacing w:val="-6"/>
        </w:rPr>
        <w:t xml:space="preserve"> </w:t>
      </w:r>
      <w:r>
        <w:t>hits</w:t>
      </w:r>
      <w:r>
        <w:rPr>
          <w:spacing w:val="-6"/>
        </w:rPr>
        <w:t xml:space="preserve"> </w:t>
      </w:r>
      <w:r>
        <w:t>by</w:t>
      </w:r>
      <w:r>
        <w:rPr>
          <w:spacing w:val="-6"/>
        </w:rPr>
        <w:t xml:space="preserve"> </w:t>
      </w:r>
      <w:r>
        <w:t>applying</w:t>
      </w:r>
      <w:r>
        <w:rPr>
          <w:spacing w:val="-6"/>
        </w:rPr>
        <w:t xml:space="preserve"> </w:t>
      </w:r>
      <w:r>
        <w:t>a</w:t>
      </w:r>
      <w:r>
        <w:rPr>
          <w:spacing w:val="-6"/>
        </w:rPr>
        <w:t xml:space="preserve"> </w:t>
      </w:r>
      <w:r>
        <w:t>multiplicative</w:t>
      </w:r>
      <w:r>
        <w:rPr>
          <w:spacing w:val="-6"/>
        </w:rPr>
        <w:t xml:space="preserve"> </w:t>
      </w:r>
      <w:r>
        <w:t>constant</w:t>
      </w:r>
      <w:r>
        <w:rPr>
          <w:spacing w:val="-6"/>
        </w:rPr>
        <w:t xml:space="preserve"> </w:t>
      </w:r>
      <w:r>
        <w:t>`b_{j}`,</w:t>
      </w:r>
      <w:r>
        <w:rPr>
          <w:spacing w:val="-6"/>
        </w:rPr>
        <w:t xml:space="preserve"> </w:t>
      </w:r>
      <w:r>
        <w:t>which</w:t>
      </w:r>
      <w:r>
        <w:rPr>
          <w:spacing w:val="-6"/>
        </w:rPr>
        <w:t xml:space="preserve"> </w:t>
      </w:r>
      <w:r>
        <w:t>varies</w:t>
      </w:r>
      <w:r>
        <w:rPr>
          <w:spacing w:val="-6"/>
        </w:rPr>
        <w:t xml:space="preserve"> </w:t>
      </w:r>
      <w:r>
        <w:t>by</w:t>
      </w:r>
      <w:r>
        <w:rPr>
          <w:spacing w:val="-6"/>
        </w:rPr>
        <w:t xml:space="preserve"> </w:t>
      </w:r>
      <w:r>
        <w:t>school</w:t>
      </w:r>
      <w:r>
        <w:rPr>
          <w:spacing w:val="-6"/>
        </w:rPr>
        <w:t xml:space="preserve"> </w:t>
      </w:r>
      <w:r>
        <w:t>type. It follows that the final measure of size, `E_{js}`, was defined as: \begin{equation}</w:t>
      </w:r>
    </w:p>
    <w:p w:rsidR="003F5784" w14:paraId="0AB6D097" w14:textId="77777777">
      <w:pPr>
        <w:pStyle w:val="BodyText"/>
        <w:spacing w:line="234" w:lineRule="exact"/>
        <w:ind w:left="109"/>
      </w:pPr>
      <w:r>
        <w:rPr>
          <w:spacing w:val="-2"/>
        </w:rPr>
        <w:t>E_{js}=min(b_{j}\times</w:t>
      </w:r>
      <w:r>
        <w:rPr>
          <w:spacing w:val="14"/>
        </w:rPr>
        <w:t xml:space="preserve"> </w:t>
      </w:r>
      <w:r>
        <w:rPr>
          <w:spacing w:val="-2"/>
        </w:rPr>
        <w:t>MOS_{js},</w:t>
      </w:r>
      <w:r>
        <w:rPr>
          <w:spacing w:val="15"/>
        </w:rPr>
        <w:t xml:space="preserve"> </w:t>
      </w:r>
      <w:r>
        <w:rPr>
          <w:spacing w:val="-2"/>
        </w:rPr>
        <w:t>u_{j}),</w:t>
      </w:r>
    </w:p>
    <w:p w:rsidR="003F5784" w14:paraId="226CDB0B" w14:textId="77777777">
      <w:pPr>
        <w:pStyle w:val="BodyText"/>
        <w:spacing w:line="238" w:lineRule="exact"/>
        <w:ind w:left="109"/>
      </w:pPr>
      <w:r>
        <w:t>\end{equation}</w:t>
      </w:r>
      <w:r>
        <w:rPr>
          <w:spacing w:val="-6"/>
        </w:rPr>
        <w:t xml:space="preserve"> </w:t>
      </w:r>
      <w:r>
        <w:t>where</w:t>
      </w:r>
      <w:r>
        <w:rPr>
          <w:spacing w:val="-6"/>
        </w:rPr>
        <w:t xml:space="preserve"> </w:t>
      </w:r>
      <w:r>
        <w:t>`u_{j}`</w:t>
      </w:r>
      <w:r>
        <w:rPr>
          <w:spacing w:val="-6"/>
        </w:rPr>
        <w:t xml:space="preserve"> </w:t>
      </w:r>
      <w:r>
        <w:t>is</w:t>
      </w:r>
      <w:r>
        <w:rPr>
          <w:spacing w:val="-6"/>
        </w:rPr>
        <w:t xml:space="preserve"> </w:t>
      </w:r>
      <w:r>
        <w:t>the</w:t>
      </w:r>
      <w:r>
        <w:rPr>
          <w:spacing w:val="-6"/>
        </w:rPr>
        <w:t xml:space="preserve"> </w:t>
      </w:r>
      <w:r>
        <w:t>maximum</w:t>
      </w:r>
      <w:r>
        <w:rPr>
          <w:spacing w:val="-5"/>
        </w:rPr>
        <w:t xml:space="preserve"> </w:t>
      </w:r>
      <w:r>
        <w:t>number</w:t>
      </w:r>
      <w:r>
        <w:rPr>
          <w:spacing w:val="-6"/>
        </w:rPr>
        <w:t xml:space="preserve"> </w:t>
      </w:r>
      <w:r>
        <w:t>of</w:t>
      </w:r>
      <w:r>
        <w:rPr>
          <w:spacing w:val="-6"/>
        </w:rPr>
        <w:t xml:space="preserve"> </w:t>
      </w:r>
      <w:r>
        <w:t>hits</w:t>
      </w:r>
      <w:r>
        <w:rPr>
          <w:spacing w:val="-6"/>
        </w:rPr>
        <w:t xml:space="preserve"> </w:t>
      </w:r>
      <w:r>
        <w:t>allowed.</w:t>
      </w:r>
      <w:r>
        <w:rPr>
          <w:spacing w:val="-6"/>
        </w:rPr>
        <w:t xml:space="preserve"> </w:t>
      </w:r>
      <w:r>
        <w:t>For</w:t>
      </w:r>
      <w:r>
        <w:rPr>
          <w:spacing w:val="-5"/>
        </w:rPr>
        <w:t xml:space="preserve"> </w:t>
      </w:r>
      <w:r>
        <w:t>the</w:t>
      </w:r>
      <w:r>
        <w:rPr>
          <w:spacing w:val="-6"/>
        </w:rPr>
        <w:t xml:space="preserve"> </w:t>
      </w:r>
      <w:r>
        <w:t>2022</w:t>
      </w:r>
      <w:r>
        <w:rPr>
          <w:spacing w:val="-6"/>
        </w:rPr>
        <w:t xml:space="preserve"> </w:t>
      </w:r>
      <w:r>
        <w:t>private</w:t>
      </w:r>
      <w:r>
        <w:rPr>
          <w:spacing w:val="-6"/>
        </w:rPr>
        <w:t xml:space="preserve"> </w:t>
      </w:r>
      <w:r>
        <w:t>schools</w:t>
      </w:r>
      <w:r>
        <w:rPr>
          <w:spacing w:val="-6"/>
        </w:rPr>
        <w:t xml:space="preserve"> </w:t>
      </w:r>
      <w:r>
        <w:t>sample,</w:t>
      </w:r>
      <w:r>
        <w:rPr>
          <w:spacing w:val="-5"/>
        </w:rPr>
        <w:t xml:space="preserve"> </w:t>
      </w:r>
      <w:r>
        <w:t>the</w:t>
      </w:r>
      <w:r>
        <w:rPr>
          <w:spacing w:val="-6"/>
        </w:rPr>
        <w:t xml:space="preserve"> </w:t>
      </w:r>
      <w:r>
        <w:t>limit</w:t>
      </w:r>
      <w:r>
        <w:rPr>
          <w:spacing w:val="-6"/>
        </w:rPr>
        <w:t xml:space="preserve"> </w:t>
      </w:r>
      <w:r>
        <w:t>was</w:t>
      </w:r>
      <w:r>
        <w:rPr>
          <w:spacing w:val="-6"/>
        </w:rPr>
        <w:t xml:space="preserve"> </w:t>
      </w:r>
      <w:r>
        <w:t>one</w:t>
      </w:r>
      <w:r>
        <w:rPr>
          <w:spacing w:val="-6"/>
        </w:rPr>
        <w:t xml:space="preserve"> </w:t>
      </w:r>
      <w:r>
        <w:rPr>
          <w:spacing w:val="-4"/>
        </w:rPr>
        <w:t>hit.</w:t>
      </w:r>
    </w:p>
    <w:p w:rsidR="003F5784" w14:paraId="451BF296" w14:textId="77777777">
      <w:pPr>
        <w:pStyle w:val="BodyText"/>
        <w:spacing w:before="207" w:line="232" w:lineRule="auto"/>
        <w:ind w:left="109" w:right="117"/>
      </w:pPr>
      <w:r>
        <w:t>One</w:t>
      </w:r>
      <w:r>
        <w:rPr>
          <w:spacing w:val="-6"/>
        </w:rPr>
        <w:t xml:space="preserve"> </w:t>
      </w:r>
      <w:r>
        <w:t>can</w:t>
      </w:r>
      <w:r>
        <w:rPr>
          <w:spacing w:val="-6"/>
        </w:rPr>
        <w:t xml:space="preserve"> </w:t>
      </w:r>
      <w:r>
        <w:t>choose</w:t>
      </w:r>
      <w:r>
        <w:rPr>
          <w:spacing w:val="-6"/>
        </w:rPr>
        <w:t xml:space="preserve"> </w:t>
      </w:r>
      <w:r>
        <w:t>a</w:t>
      </w:r>
      <w:r>
        <w:rPr>
          <w:spacing w:val="-6"/>
        </w:rPr>
        <w:t xml:space="preserve"> </w:t>
      </w:r>
      <w:r>
        <w:t>value</w:t>
      </w:r>
      <w:r>
        <w:rPr>
          <w:spacing w:val="-6"/>
        </w:rPr>
        <w:t xml:space="preserve"> </w:t>
      </w:r>
      <w:r>
        <w:t>of</w:t>
      </w:r>
      <w:r>
        <w:rPr>
          <w:spacing w:val="-6"/>
        </w:rPr>
        <w:t xml:space="preserve"> </w:t>
      </w:r>
      <w:r>
        <w:t>`b_{j}`</w:t>
      </w:r>
      <w:r>
        <w:rPr>
          <w:spacing w:val="-6"/>
        </w:rPr>
        <w:t xml:space="preserve"> </w:t>
      </w:r>
      <w:r>
        <w:t>such</w:t>
      </w:r>
      <w:r>
        <w:rPr>
          <w:spacing w:val="-6"/>
        </w:rPr>
        <w:t xml:space="preserve"> </w:t>
      </w:r>
      <w:r>
        <w:t>that</w:t>
      </w:r>
      <w:r>
        <w:rPr>
          <w:spacing w:val="-6"/>
        </w:rPr>
        <w:t xml:space="preserve"> </w:t>
      </w:r>
      <w:r>
        <w:t>the</w:t>
      </w:r>
      <w:r>
        <w:rPr>
          <w:spacing w:val="-6"/>
        </w:rPr>
        <w:t xml:space="preserve"> </w:t>
      </w:r>
      <w:r>
        <w:t>expected</w:t>
      </w:r>
      <w:r>
        <w:rPr>
          <w:spacing w:val="-6"/>
        </w:rPr>
        <w:t xml:space="preserve"> </w:t>
      </w:r>
      <w:r>
        <w:t>overall</w:t>
      </w:r>
      <w:r>
        <w:rPr>
          <w:spacing w:val="-6"/>
        </w:rPr>
        <w:t xml:space="preserve"> </w:t>
      </w:r>
      <w:r>
        <w:t>student</w:t>
      </w:r>
      <w:r>
        <w:rPr>
          <w:spacing w:val="-6"/>
        </w:rPr>
        <w:t xml:space="preserve"> </w:t>
      </w:r>
      <w:r>
        <w:t>sample</w:t>
      </w:r>
      <w:r>
        <w:rPr>
          <w:spacing w:val="-6"/>
        </w:rPr>
        <w:t xml:space="preserve"> </w:t>
      </w:r>
      <w:r>
        <w:t>yield</w:t>
      </w:r>
      <w:r>
        <w:rPr>
          <w:spacing w:val="-6"/>
        </w:rPr>
        <w:t xml:space="preserve"> </w:t>
      </w:r>
      <w:r>
        <w:t>matches</w:t>
      </w:r>
      <w:r>
        <w:rPr>
          <w:spacing w:val="-6"/>
        </w:rPr>
        <w:t xml:space="preserve"> </w:t>
      </w:r>
      <w:r>
        <w:t>the</w:t>
      </w:r>
      <w:r>
        <w:rPr>
          <w:spacing w:val="-6"/>
        </w:rPr>
        <w:t xml:space="preserve"> </w:t>
      </w:r>
      <w:r>
        <w:t>desired</w:t>
      </w:r>
      <w:r>
        <w:rPr>
          <w:spacing w:val="-6"/>
        </w:rPr>
        <w:t xml:space="preserve"> </w:t>
      </w:r>
      <w:r>
        <w:t>targets</w:t>
      </w:r>
      <w:r>
        <w:rPr>
          <w:spacing w:val="-6"/>
        </w:rPr>
        <w:t xml:space="preserve"> </w:t>
      </w:r>
      <w:r>
        <w:t>specified</w:t>
      </w:r>
      <w:r>
        <w:rPr>
          <w:spacing w:val="-6"/>
        </w:rPr>
        <w:t xml:space="preserve"> </w:t>
      </w:r>
      <w:r>
        <w:t>by</w:t>
      </w:r>
      <w:r>
        <w:rPr>
          <w:spacing w:val="-6"/>
        </w:rPr>
        <w:t xml:space="preserve"> </w:t>
      </w:r>
      <w:r>
        <w:t>the</w:t>
      </w:r>
      <w:r>
        <w:rPr>
          <w:spacing w:val="-6"/>
        </w:rPr>
        <w:t xml:space="preserve"> </w:t>
      </w:r>
      <w:r>
        <w:t>design,</w:t>
      </w:r>
      <w:r>
        <w:rPr>
          <w:spacing w:val="-6"/>
        </w:rPr>
        <w:t xml:space="preserve"> </w:t>
      </w:r>
      <w:r>
        <w:t>where</w:t>
      </w:r>
      <w:r>
        <w:rPr>
          <w:spacing w:val="-6"/>
        </w:rPr>
        <w:t xml:space="preserve"> </w:t>
      </w:r>
      <w:r>
        <w:t>the</w:t>
      </w:r>
      <w:r>
        <w:rPr>
          <w:spacing w:val="-6"/>
        </w:rPr>
        <w:t xml:space="preserve"> </w:t>
      </w:r>
      <w:r>
        <w:t>expected</w:t>
      </w:r>
      <w:r>
        <w:rPr>
          <w:spacing w:val="-6"/>
        </w:rPr>
        <w:t xml:space="preserve"> </w:t>
      </w:r>
      <w:r>
        <w:t>yield</w:t>
      </w:r>
      <w:r>
        <w:rPr>
          <w:spacing w:val="-6"/>
        </w:rPr>
        <w:t xml:space="preserve"> </w:t>
      </w:r>
      <w:r>
        <w:t>is</w:t>
      </w:r>
      <w:r>
        <w:rPr>
          <w:spacing w:val="-6"/>
        </w:rPr>
        <w:t xml:space="preserve"> </w:t>
      </w:r>
      <w:r>
        <w:t>calculated by summing the product of an individual school’s probability and its student sample yield across all schools in the frame.</w:t>
      </w:r>
    </w:p>
    <w:p w:rsidR="003F5784" w14:paraId="5C364A2B" w14:textId="77777777">
      <w:pPr>
        <w:pStyle w:val="BodyText"/>
        <w:spacing w:before="204" w:line="238" w:lineRule="exact"/>
        <w:ind w:left="109"/>
      </w:pPr>
      <w:r>
        <w:t>The</w:t>
      </w:r>
      <w:r>
        <w:rPr>
          <w:spacing w:val="-7"/>
        </w:rPr>
        <w:t xml:space="preserve"> </w:t>
      </w:r>
      <w:r>
        <w:t>school's</w:t>
      </w:r>
      <w:r>
        <w:rPr>
          <w:spacing w:val="-6"/>
        </w:rPr>
        <w:t xml:space="preserve"> </w:t>
      </w:r>
      <w:r>
        <w:t>probability</w:t>
      </w:r>
      <w:r>
        <w:rPr>
          <w:spacing w:val="-6"/>
        </w:rPr>
        <w:t xml:space="preserve"> </w:t>
      </w:r>
      <w:r>
        <w:t>of</w:t>
      </w:r>
      <w:r>
        <w:rPr>
          <w:spacing w:val="-6"/>
        </w:rPr>
        <w:t xml:space="preserve"> </w:t>
      </w:r>
      <w:r>
        <w:t>selection</w:t>
      </w:r>
      <w:r>
        <w:rPr>
          <w:spacing w:val="-6"/>
        </w:rPr>
        <w:t xml:space="preserve"> </w:t>
      </w:r>
      <w:r>
        <w:t>`pi_{js}`</w:t>
      </w:r>
      <w:r>
        <w:rPr>
          <w:spacing w:val="-6"/>
        </w:rPr>
        <w:t xml:space="preserve"> </w:t>
      </w:r>
      <w:r>
        <w:t>was</w:t>
      </w:r>
      <w:r>
        <w:rPr>
          <w:spacing w:val="-7"/>
        </w:rPr>
        <w:t xml:space="preserve"> </w:t>
      </w:r>
      <w:r>
        <w:t>given</w:t>
      </w:r>
      <w:r>
        <w:rPr>
          <w:spacing w:val="-6"/>
        </w:rPr>
        <w:t xml:space="preserve"> </w:t>
      </w:r>
      <w:r>
        <w:t>by:</w:t>
      </w:r>
      <w:r>
        <w:rPr>
          <w:spacing w:val="-6"/>
        </w:rPr>
        <w:t xml:space="preserve"> </w:t>
      </w:r>
      <w:r>
        <w:rPr>
          <w:spacing w:val="-2"/>
        </w:rPr>
        <w:t>\begin{equation}</w:t>
      </w:r>
    </w:p>
    <w:p w:rsidR="003F5784" w14:paraId="29C8401E" w14:textId="77777777">
      <w:pPr>
        <w:pStyle w:val="BodyText"/>
        <w:spacing w:line="238" w:lineRule="exact"/>
        <w:ind w:left="109"/>
      </w:pPr>
      <w:r>
        <w:rPr>
          <w:spacing w:val="-2"/>
        </w:rPr>
        <w:t>\pi_{js}=min(E_{js},1).</w:t>
      </w:r>
    </w:p>
    <w:p w:rsidR="003F5784" w14:paraId="02509957" w14:textId="77777777">
      <w:pPr>
        <w:spacing w:line="238" w:lineRule="exact"/>
        <w:sectPr>
          <w:pgSz w:w="15840" w:h="12240" w:orient="landscape"/>
          <w:pgMar w:top="480" w:right="440" w:bottom="460" w:left="460" w:header="284" w:footer="275" w:gutter="0"/>
          <w:cols w:space="720"/>
        </w:sectPr>
      </w:pPr>
    </w:p>
    <w:p w:rsidR="003F5784" w14:paraId="69175B4C" w14:textId="77777777">
      <w:pPr>
        <w:pStyle w:val="BodyText"/>
        <w:spacing w:before="72"/>
        <w:ind w:left="109"/>
      </w:pPr>
      <w:r>
        <w:rPr>
          <w:spacing w:val="-2"/>
        </w:rPr>
        <w:t>\end{equation}</w:t>
      </w:r>
    </w:p>
    <w:p w:rsidR="003F5784" w14:paraId="40165165" w14:textId="77777777">
      <w:pPr>
        <w:pStyle w:val="BodyText"/>
        <w:spacing w:before="208" w:line="232" w:lineRule="auto"/>
        <w:ind w:left="109"/>
      </w:pPr>
      <w:r>
        <w:t>In</w:t>
      </w:r>
      <w:r>
        <w:rPr>
          <w:spacing w:val="-7"/>
        </w:rPr>
        <w:t xml:space="preserve"> </w:t>
      </w:r>
      <w:r>
        <w:t>addition,</w:t>
      </w:r>
      <w:r>
        <w:rPr>
          <w:spacing w:val="-7"/>
        </w:rPr>
        <w:t xml:space="preserve"> </w:t>
      </w:r>
      <w:r>
        <w:t>new</w:t>
      </w:r>
      <w:r>
        <w:rPr>
          <w:spacing w:val="-7"/>
        </w:rPr>
        <w:t xml:space="preserve"> </w:t>
      </w:r>
      <w:r>
        <w:t>and</w:t>
      </w:r>
      <w:r>
        <w:rPr>
          <w:spacing w:val="-7"/>
        </w:rPr>
        <w:t xml:space="preserve"> </w:t>
      </w:r>
      <w:r>
        <w:t>newly-eligible</w:t>
      </w:r>
      <w:r>
        <w:rPr>
          <w:spacing w:val="-7"/>
        </w:rPr>
        <w:t xml:space="preserve"> </w:t>
      </w:r>
      <w:r>
        <w:t>Catholic</w:t>
      </w:r>
      <w:r>
        <w:rPr>
          <w:spacing w:val="-7"/>
        </w:rPr>
        <w:t xml:space="preserve"> </w:t>
      </w:r>
      <w:r>
        <w:t>schools</w:t>
      </w:r>
      <w:r>
        <w:rPr>
          <w:spacing w:val="-7"/>
        </w:rPr>
        <w:t xml:space="preserve"> </w:t>
      </w:r>
      <w:r>
        <w:t>were</w:t>
      </w:r>
      <w:r>
        <w:rPr>
          <w:spacing w:val="-7"/>
        </w:rPr>
        <w:t xml:space="preserve"> </w:t>
      </w:r>
      <w:r>
        <w:t>sampled</w:t>
      </w:r>
      <w:r>
        <w:rPr>
          <w:spacing w:val="-7"/>
        </w:rPr>
        <w:t xml:space="preserve"> </w:t>
      </w:r>
      <w:r>
        <w:t>from</w:t>
      </w:r>
      <w:r>
        <w:rPr>
          <w:spacing w:val="-7"/>
        </w:rPr>
        <w:t xml:space="preserve"> </w:t>
      </w:r>
      <w:r>
        <w:t>the</w:t>
      </w:r>
      <w:r>
        <w:rPr>
          <w:spacing w:val="-7"/>
        </w:rPr>
        <w:t xml:space="preserve"> </w:t>
      </w:r>
      <w:r>
        <w:t>new-school</w:t>
      </w:r>
      <w:r>
        <w:rPr>
          <w:spacing w:val="-7"/>
        </w:rPr>
        <w:t xml:space="preserve"> </w:t>
      </w:r>
      <w:r>
        <w:t>frame.</w:t>
      </w:r>
      <w:r>
        <w:rPr>
          <w:spacing w:val="-10"/>
        </w:rPr>
        <w:t xml:space="preserve"> </w:t>
      </w:r>
      <w:r>
        <w:t>The</w:t>
      </w:r>
      <w:r>
        <w:rPr>
          <w:spacing w:val="-7"/>
        </w:rPr>
        <w:t xml:space="preserve"> </w:t>
      </w:r>
      <w:r>
        <w:t>assigned</w:t>
      </w:r>
      <w:r>
        <w:rPr>
          <w:spacing w:val="-7"/>
        </w:rPr>
        <w:t xml:space="preserve"> </w:t>
      </w:r>
      <w:r>
        <w:t>measures</w:t>
      </w:r>
      <w:r>
        <w:rPr>
          <w:spacing w:val="-7"/>
        </w:rPr>
        <w:t xml:space="preserve"> </w:t>
      </w:r>
      <w:r>
        <w:t>of</w:t>
      </w:r>
      <w:r>
        <w:rPr>
          <w:spacing w:val="-7"/>
        </w:rPr>
        <w:t xml:space="preserve"> </w:t>
      </w:r>
      <w:r>
        <w:t>size</w:t>
      </w:r>
      <w:r>
        <w:rPr>
          <w:spacing w:val="-7"/>
        </w:rPr>
        <w:t xml:space="preserve"> </w:t>
      </w:r>
      <w:r>
        <w:t>for</w:t>
      </w:r>
      <w:r>
        <w:rPr>
          <w:spacing w:val="-7"/>
        </w:rPr>
        <w:t xml:space="preserve"> </w:t>
      </w:r>
      <w:r>
        <w:t>these</w:t>
      </w:r>
      <w:r>
        <w:rPr>
          <w:spacing w:val="-7"/>
        </w:rPr>
        <w:t xml:space="preserve"> </w:t>
      </w:r>
      <w:r>
        <w:t>schools,</w:t>
      </w:r>
      <w:r>
        <w:rPr>
          <w:spacing w:val="-7"/>
        </w:rPr>
        <w:t xml:space="preserve"> </w:t>
      </w:r>
      <w:r>
        <w:t>\begin{equation} E_{js}=min(b_{j}\times MOS_{js}\times \pi_{djs}^{-1} , u_{j}),</w:t>
      </w:r>
    </w:p>
    <w:p w:rsidR="003F5784" w14:paraId="333D77EB" w14:textId="77777777">
      <w:pPr>
        <w:pStyle w:val="BodyText"/>
        <w:spacing w:line="232" w:lineRule="auto"/>
        <w:ind w:left="109" w:right="318"/>
      </w:pPr>
      <w:r>
        <w:t>\end{equation}</w:t>
      </w:r>
      <w:r>
        <w:rPr>
          <w:spacing w:val="-5"/>
        </w:rPr>
        <w:t xml:space="preserve"> </w:t>
      </w:r>
      <w:r>
        <w:t>used</w:t>
      </w:r>
      <w:r>
        <w:rPr>
          <w:spacing w:val="-5"/>
        </w:rPr>
        <w:t xml:space="preserve"> </w:t>
      </w:r>
      <w:r>
        <w:t>the</w:t>
      </w:r>
      <w:r>
        <w:rPr>
          <w:spacing w:val="-5"/>
        </w:rPr>
        <w:t xml:space="preserve"> </w:t>
      </w:r>
      <w:r>
        <w:t>`b_{j}`</w:t>
      </w:r>
      <w:r>
        <w:rPr>
          <w:spacing w:val="-5"/>
        </w:rPr>
        <w:t xml:space="preserve"> </w:t>
      </w:r>
      <w:r>
        <w:t>and</w:t>
      </w:r>
      <w:r>
        <w:rPr>
          <w:spacing w:val="-5"/>
        </w:rPr>
        <w:t xml:space="preserve"> </w:t>
      </w:r>
      <w:r>
        <w:t>`u_{j}`</w:t>
      </w:r>
      <w:r>
        <w:rPr>
          <w:spacing w:val="-5"/>
        </w:rPr>
        <w:t xml:space="preserve"> </w:t>
      </w:r>
      <w:r>
        <w:t>values</w:t>
      </w:r>
      <w:r>
        <w:rPr>
          <w:spacing w:val="-5"/>
        </w:rPr>
        <w:t xml:space="preserve"> </w:t>
      </w:r>
      <w:r>
        <w:t>from</w:t>
      </w:r>
      <w:r>
        <w:rPr>
          <w:spacing w:val="-5"/>
        </w:rPr>
        <w:t xml:space="preserve"> </w:t>
      </w:r>
      <w:r>
        <w:t>the</w:t>
      </w:r>
      <w:r>
        <w:rPr>
          <w:spacing w:val="-5"/>
        </w:rPr>
        <w:t xml:space="preserve"> </w:t>
      </w:r>
      <w:r>
        <w:t>main</w:t>
      </w:r>
      <w:r>
        <w:rPr>
          <w:spacing w:val="-5"/>
        </w:rPr>
        <w:t xml:space="preserve"> </w:t>
      </w:r>
      <w:r>
        <w:t>school</w:t>
      </w:r>
      <w:r>
        <w:rPr>
          <w:spacing w:val="-5"/>
        </w:rPr>
        <w:t xml:space="preserve"> </w:t>
      </w:r>
      <w:r>
        <w:t>sample</w:t>
      </w:r>
      <w:r>
        <w:rPr>
          <w:spacing w:val="-5"/>
        </w:rPr>
        <w:t xml:space="preserve"> </w:t>
      </w:r>
      <w:r>
        <w:t>for</w:t>
      </w:r>
      <w:r>
        <w:rPr>
          <w:spacing w:val="-5"/>
        </w:rPr>
        <w:t xml:space="preserve"> </w:t>
      </w:r>
      <w:r>
        <w:t>the</w:t>
      </w:r>
      <w:r>
        <w:rPr>
          <w:spacing w:val="-5"/>
        </w:rPr>
        <w:t xml:space="preserve"> </w:t>
      </w:r>
      <w:r>
        <w:t>grade</w:t>
      </w:r>
      <w:r>
        <w:rPr>
          <w:spacing w:val="-5"/>
        </w:rPr>
        <w:t xml:space="preserve"> </w:t>
      </w:r>
      <w:r>
        <w:t>and</w:t>
      </w:r>
      <w:r>
        <w:rPr>
          <w:spacing w:val="-5"/>
        </w:rPr>
        <w:t xml:space="preserve"> </w:t>
      </w:r>
      <w:r>
        <w:t>school</w:t>
      </w:r>
      <w:r>
        <w:rPr>
          <w:spacing w:val="-5"/>
        </w:rPr>
        <w:t xml:space="preserve"> </w:t>
      </w:r>
      <w:r>
        <w:t>type</w:t>
      </w:r>
      <w:r>
        <w:rPr>
          <w:spacing w:val="-5"/>
        </w:rPr>
        <w:t xml:space="preserve"> </w:t>
      </w:r>
      <w:r>
        <w:t>(i.e.,</w:t>
      </w:r>
      <w:r>
        <w:rPr>
          <w:spacing w:val="-5"/>
        </w:rPr>
        <w:t xml:space="preserve"> </w:t>
      </w:r>
      <w:r>
        <w:t>the</w:t>
      </w:r>
      <w:r>
        <w:rPr>
          <w:spacing w:val="-5"/>
        </w:rPr>
        <w:t xml:space="preserve"> </w:t>
      </w:r>
      <w:r>
        <w:t>same</w:t>
      </w:r>
      <w:r>
        <w:rPr>
          <w:spacing w:val="-5"/>
        </w:rPr>
        <w:t xml:space="preserve"> </w:t>
      </w:r>
      <w:r>
        <w:t>sampling</w:t>
      </w:r>
      <w:r>
        <w:rPr>
          <w:spacing w:val="-5"/>
        </w:rPr>
        <w:t xml:space="preserve"> </w:t>
      </w:r>
      <w:r>
        <w:t>rates</w:t>
      </w:r>
      <w:r>
        <w:rPr>
          <w:spacing w:val="-5"/>
        </w:rPr>
        <w:t xml:space="preserve"> </w:t>
      </w:r>
      <w:r>
        <w:t>as</w:t>
      </w:r>
      <w:r>
        <w:rPr>
          <w:spacing w:val="-5"/>
        </w:rPr>
        <w:t xml:space="preserve"> </w:t>
      </w:r>
      <w:r>
        <w:t>for</w:t>
      </w:r>
      <w:r>
        <w:rPr>
          <w:spacing w:val="-5"/>
        </w:rPr>
        <w:t xml:space="preserve"> </w:t>
      </w:r>
      <w:r>
        <w:t>the</w:t>
      </w:r>
      <w:r>
        <w:rPr>
          <w:spacing w:val="-5"/>
        </w:rPr>
        <w:t xml:space="preserve"> </w:t>
      </w:r>
      <w:r>
        <w:t>main</w:t>
      </w:r>
      <w:r>
        <w:rPr>
          <w:spacing w:val="-5"/>
        </w:rPr>
        <w:t xml:space="preserve"> </w:t>
      </w:r>
      <w:r>
        <w:t>school</w:t>
      </w:r>
      <w:r>
        <w:rPr>
          <w:spacing w:val="-5"/>
        </w:rPr>
        <w:t xml:space="preserve"> </w:t>
      </w:r>
      <w:r>
        <w:t>sample). The variable `pi_{djs}` is the probability of selection of the diocese into the new-school diocese `d` sample.</w:t>
      </w:r>
    </w:p>
    <w:p w:rsidR="003F5784" w14:paraId="582E3F3F" w14:textId="77777777">
      <w:pPr>
        <w:pStyle w:val="BodyText"/>
        <w:spacing w:before="210" w:line="232" w:lineRule="auto"/>
        <w:ind w:left="109" w:firstLine="52"/>
      </w:pPr>
      <w:r>
        <w:t>In</w:t>
      </w:r>
      <w:r>
        <w:rPr>
          <w:spacing w:val="-5"/>
        </w:rPr>
        <w:t xml:space="preserve"> </w:t>
      </w:r>
      <w:r>
        <w:t>addition,</w:t>
      </w:r>
      <w:r>
        <w:rPr>
          <w:spacing w:val="-5"/>
        </w:rPr>
        <w:t xml:space="preserve"> </w:t>
      </w:r>
      <w:r>
        <w:t>an</w:t>
      </w:r>
      <w:r>
        <w:rPr>
          <w:spacing w:val="-5"/>
        </w:rPr>
        <w:t xml:space="preserve"> </w:t>
      </w:r>
      <w:r>
        <w:t>adjustment</w:t>
      </w:r>
      <w:r>
        <w:rPr>
          <w:spacing w:val="-5"/>
        </w:rPr>
        <w:t xml:space="preserve"> </w:t>
      </w:r>
      <w:r>
        <w:t>was</w:t>
      </w:r>
      <w:r>
        <w:rPr>
          <w:spacing w:val="-5"/>
        </w:rPr>
        <w:t xml:space="preserve"> </w:t>
      </w:r>
      <w:r>
        <w:t>made</w:t>
      </w:r>
      <w:r>
        <w:rPr>
          <w:spacing w:val="-5"/>
        </w:rPr>
        <w:t xml:space="preserve"> </w:t>
      </w:r>
      <w:r>
        <w:t>to</w:t>
      </w:r>
      <w:r>
        <w:rPr>
          <w:spacing w:val="-5"/>
        </w:rPr>
        <w:t xml:space="preserve"> </w:t>
      </w:r>
      <w:r>
        <w:t>the</w:t>
      </w:r>
      <w:r>
        <w:rPr>
          <w:spacing w:val="-5"/>
        </w:rPr>
        <w:t xml:space="preserve"> </w:t>
      </w:r>
      <w:r>
        <w:t>initial</w:t>
      </w:r>
      <w:r>
        <w:rPr>
          <w:spacing w:val="-5"/>
        </w:rPr>
        <w:t xml:space="preserve"> </w:t>
      </w:r>
      <w:r>
        <w:t>measures</w:t>
      </w:r>
      <w:r>
        <w:rPr>
          <w:spacing w:val="-5"/>
        </w:rPr>
        <w:t xml:space="preserve"> </w:t>
      </w:r>
      <w:r>
        <w:t>of</w:t>
      </w:r>
      <w:r>
        <w:rPr>
          <w:spacing w:val="-5"/>
        </w:rPr>
        <w:t xml:space="preserve"> </w:t>
      </w:r>
      <w:r>
        <w:t>size</w:t>
      </w:r>
      <w:r>
        <w:rPr>
          <w:spacing w:val="-5"/>
        </w:rPr>
        <w:t xml:space="preserve"> </w:t>
      </w:r>
      <w:r>
        <w:t>in</w:t>
      </w:r>
      <w:r>
        <w:rPr>
          <w:spacing w:val="-5"/>
        </w:rPr>
        <w:t xml:space="preserve"> </w:t>
      </w:r>
      <w:r>
        <w:t>an</w:t>
      </w:r>
      <w:r>
        <w:rPr>
          <w:spacing w:val="-5"/>
        </w:rPr>
        <w:t xml:space="preserve"> </w:t>
      </w:r>
      <w:r>
        <w:t>attempt</w:t>
      </w:r>
      <w:r>
        <w:rPr>
          <w:spacing w:val="-5"/>
        </w:rPr>
        <w:t xml:space="preserve"> </w:t>
      </w:r>
      <w:r>
        <w:t>to</w:t>
      </w:r>
      <w:r>
        <w:rPr>
          <w:spacing w:val="-5"/>
        </w:rPr>
        <w:t xml:space="preserve"> </w:t>
      </w:r>
      <w:r>
        <w:t>reduce</w:t>
      </w:r>
      <w:r>
        <w:rPr>
          <w:spacing w:val="-5"/>
        </w:rPr>
        <w:t xml:space="preserve"> </w:t>
      </w:r>
      <w:r>
        <w:t>school</w:t>
      </w:r>
      <w:r>
        <w:rPr>
          <w:spacing w:val="-5"/>
        </w:rPr>
        <w:t xml:space="preserve"> </w:t>
      </w:r>
      <w:r>
        <w:t>burden</w:t>
      </w:r>
      <w:r>
        <w:rPr>
          <w:spacing w:val="-5"/>
        </w:rPr>
        <w:t xml:space="preserve"> </w:t>
      </w:r>
      <w:r>
        <w:t>by</w:t>
      </w:r>
      <w:r>
        <w:rPr>
          <w:spacing w:val="-5"/>
        </w:rPr>
        <w:t xml:space="preserve"> </w:t>
      </w:r>
      <w:r>
        <w:t>minimizing</w:t>
      </w:r>
      <w:r>
        <w:rPr>
          <w:spacing w:val="-5"/>
        </w:rPr>
        <w:t xml:space="preserve"> </w:t>
      </w:r>
      <w:r>
        <w:t>the</w:t>
      </w:r>
      <w:r>
        <w:rPr>
          <w:spacing w:val="-5"/>
        </w:rPr>
        <w:t xml:space="preserve"> </w:t>
      </w:r>
      <w:r>
        <w:t>number</w:t>
      </w:r>
      <w:r>
        <w:rPr>
          <w:spacing w:val="-5"/>
        </w:rPr>
        <w:t xml:space="preserve"> </w:t>
      </w:r>
      <w:r>
        <w:t>of</w:t>
      </w:r>
      <w:r>
        <w:rPr>
          <w:spacing w:val="-5"/>
        </w:rPr>
        <w:t xml:space="preserve"> </w:t>
      </w:r>
      <w:r>
        <w:t>schools</w:t>
      </w:r>
      <w:r>
        <w:rPr>
          <w:spacing w:val="-5"/>
        </w:rPr>
        <w:t xml:space="preserve"> </w:t>
      </w:r>
      <w:r>
        <w:t>selected</w:t>
      </w:r>
      <w:r>
        <w:rPr>
          <w:spacing w:val="-5"/>
        </w:rPr>
        <w:t xml:space="preserve"> </w:t>
      </w:r>
      <w:r>
        <w:t>for</w:t>
      </w:r>
      <w:r>
        <w:rPr>
          <w:spacing w:val="-5"/>
        </w:rPr>
        <w:t xml:space="preserve"> </w:t>
      </w:r>
      <w:r>
        <w:t>the</w:t>
      </w:r>
      <w:r>
        <w:rPr>
          <w:spacing w:val="-5"/>
        </w:rPr>
        <w:t xml:space="preserve"> </w:t>
      </w:r>
      <w:r>
        <w:t>NAEP</w:t>
      </w:r>
      <w:r>
        <w:rPr>
          <w:spacing w:val="-13"/>
        </w:rPr>
        <w:t xml:space="preserve"> </w:t>
      </w:r>
      <w:r>
        <w:t>2022 national civics and U.S. history assessment and the NAEP</w:t>
      </w:r>
      <w:r>
        <w:rPr>
          <w:spacing w:val="-7"/>
        </w:rPr>
        <w:t xml:space="preserve"> </w:t>
      </w:r>
      <w:r>
        <w:t>2022 national reading and mathematics assessment in private schools.</w:t>
      </w:r>
      <w:r>
        <w:rPr>
          <w:spacing w:val="-3"/>
        </w:rPr>
        <w:t xml:space="preserve"> </w:t>
      </w:r>
      <w:r>
        <w:t>The NAEP</w:t>
      </w:r>
      <w:r>
        <w:rPr>
          <w:spacing w:val="-7"/>
        </w:rPr>
        <w:t xml:space="preserve"> </w:t>
      </w:r>
      <w:r>
        <w:t>sampling procedures used an adaptation of the Keyfitz process to compute conditional measures of size that, by design, minimized the overlap of schools selected for both assessments.</w:t>
      </w:r>
    </w:p>
    <w:p w:rsidR="003F5784" w14:paraId="013D3BAB" w14:textId="77777777">
      <w:pPr>
        <w:pStyle w:val="BodyText"/>
        <w:spacing w:before="198"/>
      </w:pPr>
    </w:p>
    <w:p w:rsidR="003F5784" w14:paraId="2526B231" w14:textId="77777777">
      <w:pPr>
        <w:ind w:left="884"/>
        <w:rPr>
          <w:sz w:val="18"/>
        </w:rPr>
      </w:pPr>
      <w:hyperlink r:id="rId34">
        <w:r>
          <w:rPr>
            <w:spacing w:val="-2"/>
            <w:w w:val="105"/>
            <w:sz w:val="18"/>
          </w:rPr>
          <w:t>http://nces.ed.gov/nationsreportcard/tdw/sample_design/2022/computation_of_measures_of_size_for_the_2022_eighth_grade_private_school_nat_assess_in_civics_and_us_history.aspx</w:t>
        </w:r>
      </w:hyperlink>
    </w:p>
    <w:p w:rsidR="003F5784" w14:paraId="588EB594" w14:textId="77777777">
      <w:pPr>
        <w:pStyle w:val="BodyText"/>
        <w:spacing w:before="11"/>
        <w:rPr>
          <w:sz w:val="14"/>
        </w:rPr>
      </w:pPr>
      <w:r>
        <w:rPr>
          <w:noProof/>
        </w:rPr>
        <mc:AlternateContent>
          <mc:Choice Requires="wps">
            <w:drawing>
              <wp:anchor distT="0" distB="0" distL="0" distR="0" simplePos="0" relativeHeight="251745280" behindDoc="1" locked="0" layoutInCell="1" allowOverlap="1">
                <wp:simplePos x="0" y="0"/>
                <wp:positionH relativeFrom="page">
                  <wp:posOffset>361937</wp:posOffset>
                </wp:positionH>
                <wp:positionV relativeFrom="paragraph">
                  <wp:posOffset>124706</wp:posOffset>
                </wp:positionV>
                <wp:extent cx="9339580" cy="8890"/>
                <wp:effectExtent l="0" t="0" r="0" b="0"/>
                <wp:wrapTopAndBottom/>
                <wp:docPr id="48" name="Graphic 4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80"/>
                              </a:lnTo>
                              <a:lnTo>
                                <a:pt x="8280" y="8280"/>
                              </a:lnTo>
                              <a:lnTo>
                                <a:pt x="9335110" y="8280"/>
                              </a:lnTo>
                              <a:lnTo>
                                <a:pt x="9338970" y="8280"/>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48" o:spid="_x0000_s1040" style="width:735.4pt;height:0.7pt;margin-top:9.8pt;margin-left:28.5pt;mso-position-horizontal-relative:page;mso-wrap-distance-bottom:0;mso-wrap-distance-left:0;mso-wrap-distance-right:0;mso-wrap-distance-top:0;mso-wrap-style:square;position:absolute;visibility:visible;v-text-anchor:top;z-index:-251570176" coordsize="9339580,8890" path="m9338970,12l9335110,12l8280,12,,,,8280l8280,8280l9335110,8280l9338970,8280l9338970,12xe" fillcolor="gray" stroked="f">
                <v:path arrowok="t"/>
                <w10:wrap type="topAndBottom"/>
              </v:shape>
            </w:pict>
          </mc:Fallback>
        </mc:AlternateContent>
      </w:r>
    </w:p>
    <w:p w:rsidR="003F5784" w14:paraId="75D8C172" w14:textId="77777777">
      <w:pPr>
        <w:pStyle w:val="BodyText"/>
        <w:rPr>
          <w:sz w:val="18"/>
        </w:rPr>
      </w:pPr>
    </w:p>
    <w:p w:rsidR="003F5784" w14:paraId="1782304C" w14:textId="77777777">
      <w:pPr>
        <w:pStyle w:val="BodyText"/>
        <w:spacing w:before="206"/>
        <w:rPr>
          <w:sz w:val="18"/>
        </w:rPr>
      </w:pPr>
    </w:p>
    <w:p w:rsidR="003F5784" w14:paraId="78838D14" w14:textId="234C86D0">
      <w:pPr>
        <w:pStyle w:val="Heading1"/>
        <w:spacing w:line="244" w:lineRule="auto"/>
        <w:ind w:right="334"/>
        <w:jc w:val="both"/>
      </w:pPr>
      <w:r>
        <w:t>NAEP</w:t>
      </w:r>
      <w:r>
        <w:rPr>
          <w:spacing w:val="-12"/>
        </w:rPr>
        <w:t xml:space="preserve"> </w:t>
      </w:r>
      <w:r>
        <w:t>Technical Documentation</w:t>
      </w:r>
      <w:r w:rsidR="007073E7">
        <w:t xml:space="preserve"> </w:t>
      </w:r>
      <w:r>
        <w:t>School Sample Sizes: PSS-Based and New-School Sampling Frames for the 2022 Eighth-Grade Private School National Assessment in Civics and U.S. History</w:t>
      </w:r>
    </w:p>
    <w:p w:rsidR="003F5784" w14:paraId="69C81E51" w14:textId="77777777">
      <w:pPr>
        <w:pStyle w:val="BodyText"/>
        <w:spacing w:before="275" w:line="232" w:lineRule="auto"/>
        <w:ind w:left="109" w:right="402"/>
      </w:pPr>
      <w:r>
        <w:t>The</w:t>
      </w:r>
      <w:r>
        <w:rPr>
          <w:spacing w:val="-6"/>
        </w:rPr>
        <w:t xml:space="preserve"> </w:t>
      </w:r>
      <w:r>
        <w:t>following</w:t>
      </w:r>
      <w:r>
        <w:rPr>
          <w:spacing w:val="-7"/>
        </w:rPr>
        <w:t xml:space="preserve"> </w:t>
      </w:r>
      <w:r>
        <w:t>table</w:t>
      </w:r>
      <w:r>
        <w:rPr>
          <w:spacing w:val="-6"/>
        </w:rPr>
        <w:t xml:space="preserve"> </w:t>
      </w:r>
      <w:r>
        <w:t>presents</w:t>
      </w:r>
      <w:r>
        <w:rPr>
          <w:spacing w:val="-7"/>
        </w:rPr>
        <w:t xml:space="preserve"> </w:t>
      </w:r>
      <w:r>
        <w:t>the</w:t>
      </w:r>
      <w:r>
        <w:rPr>
          <w:spacing w:val="-6"/>
        </w:rPr>
        <w:t xml:space="preserve"> </w:t>
      </w:r>
      <w:r>
        <w:t>number</w:t>
      </w:r>
      <w:r>
        <w:rPr>
          <w:spacing w:val="-7"/>
        </w:rPr>
        <w:t xml:space="preserve"> </w:t>
      </w:r>
      <w:r>
        <w:t>of</w:t>
      </w:r>
      <w:r>
        <w:rPr>
          <w:spacing w:val="-6"/>
        </w:rPr>
        <w:t xml:space="preserve"> </w:t>
      </w:r>
      <w:r>
        <w:t>schools</w:t>
      </w:r>
      <w:r>
        <w:rPr>
          <w:spacing w:val="-7"/>
        </w:rPr>
        <w:t xml:space="preserve"> </w:t>
      </w:r>
      <w:r>
        <w:t>selected</w:t>
      </w:r>
      <w:r>
        <w:rPr>
          <w:spacing w:val="-6"/>
        </w:rPr>
        <w:t xml:space="preserve"> </w:t>
      </w:r>
      <w:r>
        <w:t>for</w:t>
      </w:r>
      <w:r>
        <w:rPr>
          <w:spacing w:val="-7"/>
        </w:rPr>
        <w:t xml:space="preserve"> </w:t>
      </w:r>
      <w:r>
        <w:t>the</w:t>
      </w:r>
      <w:r>
        <w:rPr>
          <w:spacing w:val="-6"/>
        </w:rPr>
        <w:t xml:space="preserve"> </w:t>
      </w:r>
      <w:r>
        <w:t>eighth-grade</w:t>
      </w:r>
      <w:r>
        <w:rPr>
          <w:spacing w:val="-7"/>
        </w:rPr>
        <w:t xml:space="preserve"> </w:t>
      </w:r>
      <w:r>
        <w:t>private</w:t>
      </w:r>
      <w:r>
        <w:rPr>
          <w:spacing w:val="-6"/>
        </w:rPr>
        <w:t xml:space="preserve"> </w:t>
      </w:r>
      <w:r>
        <w:t>school</w:t>
      </w:r>
      <w:r>
        <w:rPr>
          <w:spacing w:val="-7"/>
        </w:rPr>
        <w:t xml:space="preserve"> </w:t>
      </w:r>
      <w:r>
        <w:t>sample</w:t>
      </w:r>
      <w:r>
        <w:rPr>
          <w:spacing w:val="-6"/>
        </w:rPr>
        <w:t xml:space="preserve"> </w:t>
      </w:r>
      <w:r>
        <w:t>by</w:t>
      </w:r>
      <w:r>
        <w:rPr>
          <w:spacing w:val="-7"/>
        </w:rPr>
        <w:t xml:space="preserve"> </w:t>
      </w:r>
      <w:r>
        <w:rPr>
          <w:color w:val="0066CC"/>
        </w:rPr>
        <w:t>sampling</w:t>
      </w:r>
      <w:r>
        <w:rPr>
          <w:color w:val="0066CC"/>
          <w:spacing w:val="-6"/>
        </w:rPr>
        <w:t xml:space="preserve"> </w:t>
      </w:r>
      <w:r>
        <w:rPr>
          <w:color w:val="0066CC"/>
        </w:rPr>
        <w:t>frame</w:t>
      </w:r>
      <w:r>
        <w:rPr>
          <w:color w:val="0066CC"/>
          <w:spacing w:val="-7"/>
        </w:rPr>
        <w:t xml:space="preserve"> </w:t>
      </w:r>
      <w:r>
        <w:t>(Private</w:t>
      </w:r>
      <w:r>
        <w:rPr>
          <w:spacing w:val="-6"/>
        </w:rPr>
        <w:t xml:space="preserve"> </w:t>
      </w:r>
      <w:r>
        <w:t>School</w:t>
      </w:r>
      <w:r>
        <w:rPr>
          <w:spacing w:val="-7"/>
        </w:rPr>
        <w:t xml:space="preserve"> </w:t>
      </w:r>
      <w:r>
        <w:t>Universe</w:t>
      </w:r>
      <w:r>
        <w:rPr>
          <w:spacing w:val="-6"/>
        </w:rPr>
        <w:t xml:space="preserve"> </w:t>
      </w:r>
      <w:r>
        <w:t>Survey</w:t>
      </w:r>
      <w:r>
        <w:rPr>
          <w:spacing w:val="-7"/>
        </w:rPr>
        <w:t xml:space="preserve"> </w:t>
      </w:r>
      <w:r>
        <w:t>[PSS]-based</w:t>
      </w:r>
      <w:r>
        <w:rPr>
          <w:spacing w:val="-6"/>
        </w:rPr>
        <w:t xml:space="preserve"> </w:t>
      </w:r>
      <w:r>
        <w:t>and new-school) and private school affiliation.</w:t>
      </w:r>
    </w:p>
    <w:p w:rsidR="003F5784" w14:paraId="3D3FF28D" w14:textId="77777777">
      <w:pPr>
        <w:pStyle w:val="BodyText"/>
        <w:spacing w:before="92"/>
      </w:pPr>
    </w:p>
    <w:p w:rsidR="003F5784" w14:paraId="5948DEFE" w14:textId="77777777">
      <w:pPr>
        <w:pStyle w:val="Heading2"/>
      </w:pPr>
      <w:r>
        <w:t>Number</w:t>
      </w:r>
      <w:r>
        <w:rPr>
          <w:spacing w:val="-11"/>
        </w:rPr>
        <w:t xml:space="preserve"> </w:t>
      </w:r>
      <w:r>
        <w:t>of</w:t>
      </w:r>
      <w:r>
        <w:rPr>
          <w:spacing w:val="-6"/>
        </w:rPr>
        <w:t xml:space="preserve"> </w:t>
      </w:r>
      <w:r>
        <w:t>schools</w:t>
      </w:r>
      <w:r>
        <w:rPr>
          <w:spacing w:val="-6"/>
        </w:rPr>
        <w:t xml:space="preserve"> </w:t>
      </w:r>
      <w:r>
        <w:t>in</w:t>
      </w:r>
      <w:r>
        <w:rPr>
          <w:spacing w:val="-7"/>
        </w:rPr>
        <w:t xml:space="preserve"> </w:t>
      </w:r>
      <w:r>
        <w:t>the</w:t>
      </w:r>
      <w:r>
        <w:rPr>
          <w:spacing w:val="-6"/>
        </w:rPr>
        <w:t xml:space="preserve"> </w:t>
      </w:r>
      <w:r>
        <w:t>total,</w:t>
      </w:r>
      <w:r>
        <w:rPr>
          <w:spacing w:val="-7"/>
        </w:rPr>
        <w:t xml:space="preserve"> </w:t>
      </w:r>
      <w:r>
        <w:t>PSS-based</w:t>
      </w:r>
      <w:r>
        <w:rPr>
          <w:spacing w:val="-6"/>
        </w:rPr>
        <w:t xml:space="preserve"> </w:t>
      </w:r>
      <w:r>
        <w:t>and</w:t>
      </w:r>
      <w:r>
        <w:rPr>
          <w:spacing w:val="-7"/>
        </w:rPr>
        <w:t xml:space="preserve"> </w:t>
      </w:r>
      <w:r>
        <w:t>new-school</w:t>
      </w:r>
      <w:r>
        <w:rPr>
          <w:spacing w:val="-6"/>
        </w:rPr>
        <w:t xml:space="preserve"> </w:t>
      </w:r>
      <w:r>
        <w:t>samples,</w:t>
      </w:r>
      <w:r>
        <w:rPr>
          <w:spacing w:val="-7"/>
        </w:rPr>
        <w:t xml:space="preserve"> </w:t>
      </w:r>
      <w:r>
        <w:t>grade</w:t>
      </w:r>
      <w:r>
        <w:rPr>
          <w:spacing w:val="-6"/>
        </w:rPr>
        <w:t xml:space="preserve"> </w:t>
      </w:r>
      <w:r>
        <w:t>8</w:t>
      </w:r>
      <w:r>
        <w:rPr>
          <w:spacing w:val="-7"/>
        </w:rPr>
        <w:t xml:space="preserve"> </w:t>
      </w:r>
      <w:r>
        <w:t>private</w:t>
      </w:r>
      <w:r>
        <w:rPr>
          <w:spacing w:val="-6"/>
        </w:rPr>
        <w:t xml:space="preserve"> </w:t>
      </w:r>
      <w:r>
        <w:t>national</w:t>
      </w:r>
      <w:r>
        <w:rPr>
          <w:spacing w:val="-6"/>
        </w:rPr>
        <w:t xml:space="preserve"> </w:t>
      </w:r>
      <w:r>
        <w:t>assessment,</w:t>
      </w:r>
      <w:r>
        <w:rPr>
          <w:spacing w:val="-7"/>
        </w:rPr>
        <w:t xml:space="preserve"> </w:t>
      </w:r>
      <w:r>
        <w:t>by</w:t>
      </w:r>
      <w:r>
        <w:rPr>
          <w:spacing w:val="-6"/>
        </w:rPr>
        <w:t xml:space="preserve"> </w:t>
      </w:r>
      <w:r>
        <w:t>school</w:t>
      </w:r>
      <w:r>
        <w:rPr>
          <w:spacing w:val="-7"/>
        </w:rPr>
        <w:t xml:space="preserve"> </w:t>
      </w:r>
      <w:r>
        <w:t>type:</w:t>
      </w:r>
      <w:r>
        <w:rPr>
          <w:spacing w:val="-6"/>
        </w:rPr>
        <w:t xml:space="preserve"> </w:t>
      </w:r>
      <w:r>
        <w:rPr>
          <w:spacing w:val="-4"/>
        </w:rPr>
        <w:t>2022</w:t>
      </w:r>
    </w:p>
    <w:p w:rsidR="003F5784" w14:paraId="5B9F92F5"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3434"/>
        <w:gridCol w:w="4140"/>
        <w:gridCol w:w="3849"/>
        <w:gridCol w:w="2560"/>
      </w:tblGrid>
      <w:tr w14:paraId="6DCD9A4B" w14:textId="77777777">
        <w:tblPrEx>
          <w:tblW w:w="0" w:type="auto"/>
          <w:tblInd w:w="482" w:type="dxa"/>
          <w:tblLayout w:type="fixed"/>
          <w:tblCellMar>
            <w:left w:w="0" w:type="dxa"/>
            <w:right w:w="0" w:type="dxa"/>
          </w:tblCellMar>
          <w:tblLook w:val="01E0"/>
        </w:tblPrEx>
        <w:trPr>
          <w:trHeight w:val="267"/>
        </w:trPr>
        <w:tc>
          <w:tcPr>
            <w:tcW w:w="3434" w:type="dxa"/>
            <w:tcBorders>
              <w:top w:val="single" w:sz="18" w:space="0" w:color="800000"/>
              <w:bottom w:val="single" w:sz="18" w:space="0" w:color="800000"/>
            </w:tcBorders>
          </w:tcPr>
          <w:p w:rsidR="003F5784" w14:paraId="13D5B54C" w14:textId="77777777">
            <w:pPr>
              <w:pStyle w:val="TableParagraph"/>
              <w:spacing w:before="9" w:line="238" w:lineRule="exact"/>
              <w:ind w:left="120"/>
              <w:jc w:val="left"/>
              <w:rPr>
                <w:sz w:val="21"/>
              </w:rPr>
            </w:pPr>
            <w:r>
              <w:rPr>
                <w:sz w:val="21"/>
              </w:rPr>
              <w:t>School</w:t>
            </w:r>
            <w:r>
              <w:rPr>
                <w:spacing w:val="-7"/>
                <w:sz w:val="21"/>
              </w:rPr>
              <w:t xml:space="preserve"> </w:t>
            </w:r>
            <w:r>
              <w:rPr>
                <w:spacing w:val="-4"/>
                <w:sz w:val="21"/>
              </w:rPr>
              <w:t>type</w:t>
            </w:r>
          </w:p>
        </w:tc>
        <w:tc>
          <w:tcPr>
            <w:tcW w:w="4140" w:type="dxa"/>
            <w:tcBorders>
              <w:top w:val="single" w:sz="18" w:space="0" w:color="800000"/>
              <w:bottom w:val="single" w:sz="18" w:space="0" w:color="800000"/>
            </w:tcBorders>
          </w:tcPr>
          <w:p w:rsidR="003F5784" w14:paraId="0898D47E" w14:textId="77777777">
            <w:pPr>
              <w:pStyle w:val="TableParagraph"/>
              <w:spacing w:before="9" w:line="238" w:lineRule="exact"/>
              <w:ind w:right="924"/>
              <w:rPr>
                <w:sz w:val="21"/>
              </w:rPr>
            </w:pPr>
            <w:r>
              <w:rPr>
                <w:spacing w:val="-2"/>
                <w:sz w:val="21"/>
              </w:rPr>
              <w:t>Total</w:t>
            </w:r>
            <w:r>
              <w:rPr>
                <w:spacing w:val="-3"/>
                <w:sz w:val="21"/>
              </w:rPr>
              <w:t xml:space="preserve"> </w:t>
            </w:r>
            <w:r>
              <w:rPr>
                <w:spacing w:val="-2"/>
                <w:sz w:val="21"/>
              </w:rPr>
              <w:t>school sample</w:t>
            </w:r>
          </w:p>
        </w:tc>
        <w:tc>
          <w:tcPr>
            <w:tcW w:w="3849" w:type="dxa"/>
            <w:tcBorders>
              <w:top w:val="single" w:sz="18" w:space="0" w:color="800000"/>
              <w:bottom w:val="single" w:sz="18" w:space="0" w:color="800000"/>
            </w:tcBorders>
          </w:tcPr>
          <w:p w:rsidR="003F5784" w14:paraId="6A1C9BDF" w14:textId="77777777">
            <w:pPr>
              <w:pStyle w:val="TableParagraph"/>
              <w:spacing w:before="9" w:line="238" w:lineRule="exact"/>
              <w:ind w:right="787"/>
              <w:rPr>
                <w:sz w:val="21"/>
              </w:rPr>
            </w:pPr>
            <w:r>
              <w:rPr>
                <w:sz w:val="21"/>
              </w:rPr>
              <w:t>PSS-based</w:t>
            </w:r>
            <w:r>
              <w:rPr>
                <w:spacing w:val="-9"/>
                <w:sz w:val="21"/>
              </w:rPr>
              <w:t xml:space="preserve"> </w:t>
            </w:r>
            <w:r>
              <w:rPr>
                <w:sz w:val="21"/>
              </w:rPr>
              <w:t>school</w:t>
            </w:r>
            <w:r>
              <w:rPr>
                <w:spacing w:val="-8"/>
                <w:sz w:val="21"/>
              </w:rPr>
              <w:t xml:space="preserve"> </w:t>
            </w:r>
            <w:r>
              <w:rPr>
                <w:spacing w:val="-2"/>
                <w:sz w:val="21"/>
              </w:rPr>
              <w:t>sample</w:t>
            </w:r>
          </w:p>
        </w:tc>
        <w:tc>
          <w:tcPr>
            <w:tcW w:w="2560" w:type="dxa"/>
            <w:tcBorders>
              <w:top w:val="single" w:sz="18" w:space="0" w:color="800000"/>
              <w:bottom w:val="single" w:sz="18" w:space="0" w:color="800000"/>
            </w:tcBorders>
          </w:tcPr>
          <w:p w:rsidR="003F5784" w14:paraId="66949965" w14:textId="77777777">
            <w:pPr>
              <w:pStyle w:val="TableParagraph"/>
              <w:spacing w:before="9" w:line="238" w:lineRule="exact"/>
              <w:ind w:right="116"/>
              <w:rPr>
                <w:sz w:val="21"/>
              </w:rPr>
            </w:pPr>
            <w:r>
              <w:rPr>
                <w:sz w:val="21"/>
              </w:rPr>
              <w:t>New-school</w:t>
            </w:r>
            <w:r>
              <w:rPr>
                <w:spacing w:val="-12"/>
                <w:sz w:val="21"/>
              </w:rPr>
              <w:t xml:space="preserve"> </w:t>
            </w:r>
            <w:r>
              <w:rPr>
                <w:spacing w:val="-2"/>
                <w:sz w:val="21"/>
              </w:rPr>
              <w:t>sample</w:t>
            </w:r>
          </w:p>
        </w:tc>
      </w:tr>
      <w:tr w14:paraId="080A33EA" w14:textId="77777777">
        <w:tblPrEx>
          <w:tblW w:w="0" w:type="auto"/>
          <w:tblInd w:w="482" w:type="dxa"/>
          <w:tblLayout w:type="fixed"/>
          <w:tblCellMar>
            <w:left w:w="0" w:type="dxa"/>
            <w:right w:w="0" w:type="dxa"/>
          </w:tblCellMar>
          <w:tblLook w:val="01E0"/>
        </w:tblPrEx>
        <w:trPr>
          <w:trHeight w:val="278"/>
        </w:trPr>
        <w:tc>
          <w:tcPr>
            <w:tcW w:w="3434" w:type="dxa"/>
            <w:tcBorders>
              <w:top w:val="single" w:sz="18" w:space="0" w:color="800000"/>
            </w:tcBorders>
          </w:tcPr>
          <w:p w:rsidR="003F5784" w14:paraId="03A530F3" w14:textId="77777777">
            <w:pPr>
              <w:pStyle w:val="TableParagraph"/>
              <w:spacing w:before="9"/>
              <w:ind w:left="370"/>
              <w:jc w:val="left"/>
              <w:rPr>
                <w:b/>
                <w:sz w:val="21"/>
              </w:rPr>
            </w:pPr>
            <w:r>
              <w:rPr>
                <w:b/>
                <w:sz w:val="21"/>
              </w:rPr>
              <w:t>All</w:t>
            </w:r>
            <w:r>
              <w:rPr>
                <w:b/>
                <w:spacing w:val="-4"/>
                <w:sz w:val="21"/>
              </w:rPr>
              <w:t xml:space="preserve"> </w:t>
            </w:r>
            <w:r>
              <w:rPr>
                <w:b/>
                <w:spacing w:val="-2"/>
                <w:sz w:val="21"/>
              </w:rPr>
              <w:t>private</w:t>
            </w:r>
          </w:p>
        </w:tc>
        <w:tc>
          <w:tcPr>
            <w:tcW w:w="4140" w:type="dxa"/>
            <w:tcBorders>
              <w:top w:val="single" w:sz="18" w:space="0" w:color="800000"/>
            </w:tcBorders>
          </w:tcPr>
          <w:p w:rsidR="003F5784" w14:paraId="73539DEF" w14:textId="77777777">
            <w:pPr>
              <w:pStyle w:val="TableParagraph"/>
              <w:spacing w:before="9"/>
              <w:ind w:right="924"/>
              <w:rPr>
                <w:b/>
                <w:sz w:val="21"/>
              </w:rPr>
            </w:pPr>
            <w:r>
              <w:rPr>
                <w:b/>
                <w:spacing w:val="-5"/>
                <w:sz w:val="21"/>
              </w:rPr>
              <w:t>170</w:t>
            </w:r>
          </w:p>
        </w:tc>
        <w:tc>
          <w:tcPr>
            <w:tcW w:w="3849" w:type="dxa"/>
            <w:tcBorders>
              <w:top w:val="single" w:sz="18" w:space="0" w:color="800000"/>
            </w:tcBorders>
          </w:tcPr>
          <w:p w:rsidR="003F5784" w14:paraId="69DEDAD9" w14:textId="77777777">
            <w:pPr>
              <w:pStyle w:val="TableParagraph"/>
              <w:spacing w:before="9"/>
              <w:ind w:right="787"/>
              <w:rPr>
                <w:b/>
                <w:sz w:val="21"/>
              </w:rPr>
            </w:pPr>
            <w:r>
              <w:rPr>
                <w:b/>
                <w:spacing w:val="-5"/>
                <w:sz w:val="21"/>
              </w:rPr>
              <w:t>170</w:t>
            </w:r>
          </w:p>
        </w:tc>
        <w:tc>
          <w:tcPr>
            <w:tcW w:w="2560" w:type="dxa"/>
            <w:tcBorders>
              <w:top w:val="single" w:sz="18" w:space="0" w:color="800000"/>
            </w:tcBorders>
          </w:tcPr>
          <w:p w:rsidR="003F5784" w14:paraId="257EAEF2" w14:textId="77777777">
            <w:pPr>
              <w:pStyle w:val="TableParagraph"/>
              <w:spacing w:before="9"/>
              <w:ind w:right="116"/>
              <w:rPr>
                <w:b/>
                <w:sz w:val="21"/>
              </w:rPr>
            </w:pPr>
            <w:r>
              <w:rPr>
                <w:b/>
                <w:spacing w:val="-10"/>
                <w:sz w:val="21"/>
              </w:rPr>
              <w:t>#</w:t>
            </w:r>
          </w:p>
        </w:tc>
      </w:tr>
      <w:tr w14:paraId="20D90751" w14:textId="77777777">
        <w:tblPrEx>
          <w:tblW w:w="0" w:type="auto"/>
          <w:tblInd w:w="482" w:type="dxa"/>
          <w:tblLayout w:type="fixed"/>
          <w:tblCellMar>
            <w:left w:w="0" w:type="dxa"/>
            <w:right w:w="0" w:type="dxa"/>
          </w:tblCellMar>
          <w:tblLook w:val="01E0"/>
        </w:tblPrEx>
        <w:trPr>
          <w:trHeight w:val="286"/>
        </w:trPr>
        <w:tc>
          <w:tcPr>
            <w:tcW w:w="3434" w:type="dxa"/>
          </w:tcPr>
          <w:p w:rsidR="003F5784" w14:paraId="0A763BC1" w14:textId="77777777">
            <w:pPr>
              <w:pStyle w:val="TableParagraph"/>
              <w:ind w:left="120"/>
              <w:jc w:val="left"/>
              <w:rPr>
                <w:sz w:val="21"/>
              </w:rPr>
            </w:pPr>
            <w:r>
              <w:rPr>
                <w:spacing w:val="-2"/>
                <w:sz w:val="21"/>
              </w:rPr>
              <w:t>Catholic</w:t>
            </w:r>
          </w:p>
        </w:tc>
        <w:tc>
          <w:tcPr>
            <w:tcW w:w="4140" w:type="dxa"/>
          </w:tcPr>
          <w:p w:rsidR="003F5784" w14:paraId="74DF00E0" w14:textId="77777777">
            <w:pPr>
              <w:pStyle w:val="TableParagraph"/>
              <w:ind w:right="924"/>
              <w:rPr>
                <w:sz w:val="21"/>
              </w:rPr>
            </w:pPr>
            <w:r>
              <w:rPr>
                <w:spacing w:val="-5"/>
                <w:sz w:val="21"/>
              </w:rPr>
              <w:t>40</w:t>
            </w:r>
          </w:p>
        </w:tc>
        <w:tc>
          <w:tcPr>
            <w:tcW w:w="3849" w:type="dxa"/>
          </w:tcPr>
          <w:p w:rsidR="003F5784" w14:paraId="2A318032" w14:textId="77777777">
            <w:pPr>
              <w:pStyle w:val="TableParagraph"/>
              <w:ind w:right="787"/>
              <w:rPr>
                <w:sz w:val="21"/>
              </w:rPr>
            </w:pPr>
            <w:r>
              <w:rPr>
                <w:spacing w:val="-5"/>
                <w:sz w:val="21"/>
              </w:rPr>
              <w:t>40</w:t>
            </w:r>
          </w:p>
        </w:tc>
        <w:tc>
          <w:tcPr>
            <w:tcW w:w="2560" w:type="dxa"/>
          </w:tcPr>
          <w:p w:rsidR="003F5784" w14:paraId="480FCA84" w14:textId="77777777">
            <w:pPr>
              <w:pStyle w:val="TableParagraph"/>
              <w:ind w:right="116"/>
              <w:rPr>
                <w:sz w:val="21"/>
              </w:rPr>
            </w:pPr>
            <w:r>
              <w:rPr>
                <w:spacing w:val="-10"/>
                <w:sz w:val="21"/>
              </w:rPr>
              <w:t>#</w:t>
            </w:r>
          </w:p>
        </w:tc>
      </w:tr>
      <w:tr w14:paraId="0ECDD48B" w14:textId="77777777">
        <w:tblPrEx>
          <w:tblW w:w="0" w:type="auto"/>
          <w:tblInd w:w="482" w:type="dxa"/>
          <w:tblLayout w:type="fixed"/>
          <w:tblCellMar>
            <w:left w:w="0" w:type="dxa"/>
            <w:right w:w="0" w:type="dxa"/>
          </w:tblCellMar>
          <w:tblLook w:val="01E0"/>
        </w:tblPrEx>
        <w:trPr>
          <w:trHeight w:val="286"/>
        </w:trPr>
        <w:tc>
          <w:tcPr>
            <w:tcW w:w="3434" w:type="dxa"/>
          </w:tcPr>
          <w:p w:rsidR="003F5784" w14:paraId="40FA6E57" w14:textId="77777777">
            <w:pPr>
              <w:pStyle w:val="TableParagraph"/>
              <w:ind w:left="120"/>
              <w:jc w:val="left"/>
              <w:rPr>
                <w:sz w:val="21"/>
              </w:rPr>
            </w:pPr>
            <w:r>
              <w:rPr>
                <w:sz w:val="21"/>
              </w:rPr>
              <w:t>Non-Catholic</w:t>
            </w:r>
            <w:r>
              <w:rPr>
                <w:spacing w:val="-13"/>
                <w:sz w:val="21"/>
              </w:rPr>
              <w:t xml:space="preserve"> </w:t>
            </w:r>
            <w:r>
              <w:rPr>
                <w:spacing w:val="-2"/>
                <w:sz w:val="21"/>
              </w:rPr>
              <w:t>private</w:t>
            </w:r>
          </w:p>
        </w:tc>
        <w:tc>
          <w:tcPr>
            <w:tcW w:w="4140" w:type="dxa"/>
          </w:tcPr>
          <w:p w:rsidR="003F5784" w14:paraId="6267D71F" w14:textId="77777777">
            <w:pPr>
              <w:pStyle w:val="TableParagraph"/>
              <w:ind w:right="924"/>
              <w:rPr>
                <w:sz w:val="21"/>
              </w:rPr>
            </w:pPr>
            <w:r>
              <w:rPr>
                <w:spacing w:val="-5"/>
                <w:sz w:val="21"/>
              </w:rPr>
              <w:t>110</w:t>
            </w:r>
          </w:p>
        </w:tc>
        <w:tc>
          <w:tcPr>
            <w:tcW w:w="3849" w:type="dxa"/>
          </w:tcPr>
          <w:p w:rsidR="003F5784" w14:paraId="44B4A018" w14:textId="77777777">
            <w:pPr>
              <w:pStyle w:val="TableParagraph"/>
              <w:ind w:right="787"/>
              <w:rPr>
                <w:sz w:val="21"/>
              </w:rPr>
            </w:pPr>
            <w:r>
              <w:rPr>
                <w:spacing w:val="-5"/>
                <w:sz w:val="21"/>
              </w:rPr>
              <w:t>110</w:t>
            </w:r>
          </w:p>
        </w:tc>
        <w:tc>
          <w:tcPr>
            <w:tcW w:w="2560" w:type="dxa"/>
          </w:tcPr>
          <w:p w:rsidR="003F5784" w14:paraId="606E9EC5" w14:textId="77777777">
            <w:pPr>
              <w:pStyle w:val="TableParagraph"/>
              <w:ind w:right="116"/>
              <w:rPr>
                <w:sz w:val="21"/>
              </w:rPr>
            </w:pPr>
            <w:r>
              <w:rPr>
                <w:spacing w:val="-10"/>
                <w:sz w:val="21"/>
              </w:rPr>
              <w:t>†</w:t>
            </w:r>
          </w:p>
        </w:tc>
      </w:tr>
      <w:tr w14:paraId="6434E163" w14:textId="77777777">
        <w:tblPrEx>
          <w:tblW w:w="0" w:type="auto"/>
          <w:tblInd w:w="482" w:type="dxa"/>
          <w:tblLayout w:type="fixed"/>
          <w:tblCellMar>
            <w:left w:w="0" w:type="dxa"/>
            <w:right w:w="0" w:type="dxa"/>
          </w:tblCellMar>
          <w:tblLook w:val="01E0"/>
        </w:tblPrEx>
        <w:trPr>
          <w:trHeight w:val="288"/>
        </w:trPr>
        <w:tc>
          <w:tcPr>
            <w:tcW w:w="3434" w:type="dxa"/>
            <w:tcBorders>
              <w:bottom w:val="single" w:sz="18" w:space="0" w:color="800000"/>
            </w:tcBorders>
          </w:tcPr>
          <w:p w:rsidR="003F5784" w14:paraId="095F9E55" w14:textId="7204E969">
            <w:pPr>
              <w:pStyle w:val="TableParagraph"/>
              <w:ind w:left="120"/>
              <w:jc w:val="left"/>
              <w:rPr>
                <w:sz w:val="21"/>
              </w:rPr>
            </w:pPr>
            <w:r>
              <w:rPr>
                <w:sz w:val="21"/>
              </w:rPr>
              <w:t>Unknown</w:t>
            </w:r>
            <w:r>
              <w:rPr>
                <w:spacing w:val="-10"/>
                <w:sz w:val="21"/>
              </w:rPr>
              <w:t xml:space="preserve"> </w:t>
            </w:r>
            <w:r w:rsidR="008F0E55">
              <w:rPr>
                <w:spacing w:val="-2"/>
                <w:sz w:val="21"/>
              </w:rPr>
              <w:t>affiliation</w:t>
            </w:r>
          </w:p>
        </w:tc>
        <w:tc>
          <w:tcPr>
            <w:tcW w:w="4140" w:type="dxa"/>
            <w:tcBorders>
              <w:bottom w:val="single" w:sz="18" w:space="0" w:color="800000"/>
            </w:tcBorders>
          </w:tcPr>
          <w:p w:rsidR="003F5784" w14:paraId="3449E172" w14:textId="77777777">
            <w:pPr>
              <w:pStyle w:val="TableParagraph"/>
              <w:ind w:right="924"/>
              <w:rPr>
                <w:sz w:val="21"/>
              </w:rPr>
            </w:pPr>
            <w:r>
              <w:rPr>
                <w:spacing w:val="-5"/>
                <w:sz w:val="21"/>
              </w:rPr>
              <w:t>30</w:t>
            </w:r>
          </w:p>
        </w:tc>
        <w:tc>
          <w:tcPr>
            <w:tcW w:w="3849" w:type="dxa"/>
            <w:tcBorders>
              <w:bottom w:val="single" w:sz="18" w:space="0" w:color="800000"/>
            </w:tcBorders>
          </w:tcPr>
          <w:p w:rsidR="003F5784" w14:paraId="115A9F98" w14:textId="77777777">
            <w:pPr>
              <w:pStyle w:val="TableParagraph"/>
              <w:ind w:right="787"/>
              <w:rPr>
                <w:sz w:val="21"/>
              </w:rPr>
            </w:pPr>
            <w:r>
              <w:rPr>
                <w:spacing w:val="-5"/>
                <w:sz w:val="21"/>
              </w:rPr>
              <w:t>30</w:t>
            </w:r>
          </w:p>
        </w:tc>
        <w:tc>
          <w:tcPr>
            <w:tcW w:w="2560" w:type="dxa"/>
            <w:tcBorders>
              <w:bottom w:val="single" w:sz="18" w:space="0" w:color="800000"/>
            </w:tcBorders>
          </w:tcPr>
          <w:p w:rsidR="003F5784" w14:paraId="5CA94124" w14:textId="77777777">
            <w:pPr>
              <w:pStyle w:val="TableParagraph"/>
              <w:ind w:right="116"/>
              <w:rPr>
                <w:sz w:val="21"/>
              </w:rPr>
            </w:pPr>
            <w:r>
              <w:rPr>
                <w:spacing w:val="-10"/>
                <w:sz w:val="21"/>
              </w:rPr>
              <w:t>†</w:t>
            </w:r>
          </w:p>
        </w:tc>
      </w:tr>
      <w:tr w14:paraId="3DAF35BC" w14:textId="77777777">
        <w:tblPrEx>
          <w:tblW w:w="0" w:type="auto"/>
          <w:tblInd w:w="482" w:type="dxa"/>
          <w:tblLayout w:type="fixed"/>
          <w:tblCellMar>
            <w:left w:w="0" w:type="dxa"/>
            <w:right w:w="0" w:type="dxa"/>
          </w:tblCellMar>
          <w:tblLook w:val="01E0"/>
        </w:tblPrEx>
        <w:trPr>
          <w:trHeight w:val="1175"/>
        </w:trPr>
        <w:tc>
          <w:tcPr>
            <w:tcW w:w="13983" w:type="dxa"/>
            <w:gridSpan w:val="4"/>
            <w:tcBorders>
              <w:top w:val="single" w:sz="18" w:space="0" w:color="800000"/>
            </w:tcBorders>
          </w:tcPr>
          <w:p w:rsidR="003F5784" w14:paraId="5BB76E9A" w14:textId="77777777">
            <w:pPr>
              <w:pStyle w:val="TableParagraph"/>
              <w:spacing w:before="0" w:line="235"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p w:rsidR="003F5784" w14:paraId="271AE968" w14:textId="77777777">
            <w:pPr>
              <w:pStyle w:val="TableParagraph"/>
              <w:spacing w:before="0" w:line="235" w:lineRule="exact"/>
              <w:ind w:left="120"/>
              <w:jc w:val="left"/>
              <w:rPr>
                <w:sz w:val="21"/>
              </w:rPr>
            </w:pPr>
            <w:r>
              <w:rPr>
                <w:sz w:val="21"/>
              </w:rPr>
              <w:t>†</w:t>
            </w:r>
            <w:r>
              <w:rPr>
                <w:spacing w:val="-4"/>
                <w:sz w:val="21"/>
              </w:rPr>
              <w:t xml:space="preserve"> </w:t>
            </w:r>
            <w:r>
              <w:rPr>
                <w:sz w:val="21"/>
              </w:rPr>
              <w:t>Not</w:t>
            </w:r>
            <w:r>
              <w:rPr>
                <w:spacing w:val="-3"/>
                <w:sz w:val="21"/>
              </w:rPr>
              <w:t xml:space="preserve"> </w:t>
            </w:r>
            <w:r>
              <w:rPr>
                <w:spacing w:val="-2"/>
                <w:sz w:val="21"/>
              </w:rPr>
              <w:t>applicable.</w:t>
            </w:r>
          </w:p>
          <w:p w:rsidR="003F5784" w14:paraId="4E78FDFE" w14:textId="77777777">
            <w:pPr>
              <w:pStyle w:val="TableParagraph"/>
              <w:spacing w:before="0" w:line="235" w:lineRule="exact"/>
              <w:ind w:left="120"/>
              <w:jc w:val="left"/>
              <w:rPr>
                <w:sz w:val="21"/>
              </w:rPr>
            </w:pPr>
            <w:r>
              <w:rPr>
                <w:sz w:val="21"/>
              </w:rPr>
              <w:t>NOTE:</w:t>
            </w:r>
            <w:r>
              <w:rPr>
                <w:spacing w:val="-5"/>
                <w:sz w:val="21"/>
              </w:rPr>
              <w:t xml:space="preserve"> </w:t>
            </w:r>
            <w:r>
              <w:rPr>
                <w:sz w:val="21"/>
              </w:rPr>
              <w:t>Numbers</w:t>
            </w:r>
            <w:r>
              <w:rPr>
                <w:spacing w:val="-5"/>
                <w:sz w:val="21"/>
              </w:rPr>
              <w:t xml:space="preserve"> </w:t>
            </w:r>
            <w:r>
              <w:rPr>
                <w:sz w:val="21"/>
              </w:rPr>
              <w:t>of</w:t>
            </w:r>
            <w:r>
              <w:rPr>
                <w:spacing w:val="-5"/>
                <w:sz w:val="21"/>
              </w:rPr>
              <w:t xml:space="preserve"> </w:t>
            </w:r>
            <w:r>
              <w:rPr>
                <w:sz w:val="21"/>
              </w:rPr>
              <w:t>schools</w:t>
            </w:r>
            <w:r>
              <w:rPr>
                <w:spacing w:val="-5"/>
                <w:sz w:val="21"/>
              </w:rPr>
              <w:t xml:space="preserve"> </w:t>
            </w:r>
            <w:r>
              <w:rPr>
                <w:sz w:val="21"/>
              </w:rPr>
              <w:t>are</w:t>
            </w:r>
            <w:r>
              <w:rPr>
                <w:spacing w:val="-5"/>
                <w:sz w:val="21"/>
              </w:rPr>
              <w:t xml:space="preserve"> </w:t>
            </w:r>
            <w:r>
              <w:rPr>
                <w:sz w:val="21"/>
              </w:rPr>
              <w:t>rounded</w:t>
            </w:r>
            <w:r>
              <w:rPr>
                <w:spacing w:val="-5"/>
                <w:sz w:val="21"/>
              </w:rPr>
              <w:t xml:space="preserve"> </w:t>
            </w:r>
            <w:r>
              <w:rPr>
                <w:sz w:val="21"/>
              </w:rPr>
              <w:t>to</w:t>
            </w:r>
            <w:r>
              <w:rPr>
                <w:spacing w:val="-5"/>
                <w:sz w:val="21"/>
              </w:rPr>
              <w:t xml:space="preserve"> </w:t>
            </w:r>
            <w:r>
              <w:rPr>
                <w:sz w:val="21"/>
              </w:rPr>
              <w:t>nearest</w:t>
            </w:r>
            <w:r>
              <w:rPr>
                <w:spacing w:val="-5"/>
                <w:sz w:val="21"/>
              </w:rPr>
              <w:t xml:space="preserve"> </w:t>
            </w:r>
            <w:r>
              <w:rPr>
                <w:sz w:val="21"/>
              </w:rPr>
              <w:t>ten.</w:t>
            </w:r>
            <w:r>
              <w:rPr>
                <w:spacing w:val="-5"/>
                <w:sz w:val="21"/>
              </w:rPr>
              <w:t xml:space="preserve"> </w:t>
            </w:r>
            <w:r>
              <w:rPr>
                <w:sz w:val="21"/>
              </w:rPr>
              <w:t>Detail</w:t>
            </w:r>
            <w:r>
              <w:rPr>
                <w:spacing w:val="-5"/>
                <w:sz w:val="21"/>
              </w:rPr>
              <w:t xml:space="preserve"> </w:t>
            </w:r>
            <w:r>
              <w:rPr>
                <w:sz w:val="21"/>
              </w:rPr>
              <w:t>may</w:t>
            </w:r>
            <w:r>
              <w:rPr>
                <w:spacing w:val="-5"/>
                <w:sz w:val="21"/>
              </w:rPr>
              <w:t xml:space="preserve"> </w:t>
            </w:r>
            <w:r>
              <w:rPr>
                <w:sz w:val="21"/>
              </w:rPr>
              <w:t>not</w:t>
            </w:r>
            <w:r>
              <w:rPr>
                <w:spacing w:val="-5"/>
                <w:sz w:val="21"/>
              </w:rPr>
              <w:t xml:space="preserve"> </w:t>
            </w:r>
            <w:r>
              <w:rPr>
                <w:sz w:val="21"/>
              </w:rPr>
              <w:t>sum</w:t>
            </w:r>
            <w:r>
              <w:rPr>
                <w:spacing w:val="-5"/>
                <w:sz w:val="21"/>
              </w:rPr>
              <w:t xml:space="preserve"> </w:t>
            </w:r>
            <w:r>
              <w:rPr>
                <w:sz w:val="21"/>
              </w:rPr>
              <w:t>to</w:t>
            </w:r>
            <w:r>
              <w:rPr>
                <w:spacing w:val="-5"/>
                <w:sz w:val="21"/>
              </w:rPr>
              <w:t xml:space="preserve"> </w:t>
            </w:r>
            <w:r>
              <w:rPr>
                <w:sz w:val="21"/>
              </w:rPr>
              <w:t>totals</w:t>
            </w:r>
            <w:r>
              <w:rPr>
                <w:spacing w:val="-5"/>
                <w:sz w:val="21"/>
              </w:rPr>
              <w:t xml:space="preserve"> </w:t>
            </w:r>
            <w:r>
              <w:rPr>
                <w:sz w:val="21"/>
              </w:rPr>
              <w:t>due</w:t>
            </w:r>
            <w:r>
              <w:rPr>
                <w:spacing w:val="-5"/>
                <w:sz w:val="21"/>
              </w:rPr>
              <w:t xml:space="preserve"> </w:t>
            </w:r>
            <w:r>
              <w:rPr>
                <w:sz w:val="21"/>
              </w:rPr>
              <w:t>to</w:t>
            </w:r>
            <w:r>
              <w:rPr>
                <w:spacing w:val="-5"/>
                <w:sz w:val="21"/>
              </w:rPr>
              <w:t xml:space="preserve"> </w:t>
            </w:r>
            <w:r>
              <w:rPr>
                <w:spacing w:val="-2"/>
                <w:sz w:val="21"/>
              </w:rPr>
              <w:t>rounding.</w:t>
            </w:r>
          </w:p>
          <w:p w:rsidR="003F5784" w14:paraId="12B4D07E" w14:textId="77777777">
            <w:pPr>
              <w:pStyle w:val="TableParagraph"/>
              <w:spacing w:before="0" w:line="234" w:lineRule="exact"/>
              <w:ind w:left="120"/>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Progress (NAEP), 2022 National Civics and U.S. History Assessments.</w:t>
            </w:r>
          </w:p>
        </w:tc>
      </w:tr>
    </w:tbl>
    <w:p w:rsidR="003F5784" w14:paraId="05AD3D79" w14:textId="77777777">
      <w:pPr>
        <w:pStyle w:val="BodyText"/>
        <w:rPr>
          <w:b/>
        </w:rPr>
      </w:pPr>
    </w:p>
    <w:p w:rsidR="003F5784" w14:paraId="621C0C11" w14:textId="77777777">
      <w:pPr>
        <w:pStyle w:val="BodyText"/>
        <w:rPr>
          <w:b/>
        </w:rPr>
      </w:pPr>
    </w:p>
    <w:p w:rsidR="003F5784" w14:paraId="6907E275" w14:textId="77777777">
      <w:pPr>
        <w:pStyle w:val="BodyText"/>
        <w:spacing w:before="172"/>
        <w:rPr>
          <w:b/>
        </w:rPr>
      </w:pPr>
    </w:p>
    <w:p w:rsidR="003F5784" w14:paraId="6E878D20" w14:textId="77777777">
      <w:pPr>
        <w:ind w:left="559"/>
        <w:rPr>
          <w:sz w:val="18"/>
        </w:rPr>
      </w:pPr>
      <w:hyperlink r:id="rId35">
        <w:r>
          <w:rPr>
            <w:spacing w:val="-2"/>
            <w:w w:val="105"/>
            <w:sz w:val="18"/>
          </w:rPr>
          <w:t>http://nces.ed.gov/nationsreportcard/tdw/sample_design/2022/sch_samp_sizes_pss_based_and_new_school_samp_frames_for_the_2022_eighth_grade_priv_sch_nat_assess_civics_hist.aspx</w:t>
        </w:r>
      </w:hyperlink>
    </w:p>
    <w:p w:rsidR="003F5784" w14:paraId="613DF0AB" w14:textId="77777777">
      <w:pPr>
        <w:pStyle w:val="BodyText"/>
        <w:rPr>
          <w:sz w:val="16"/>
        </w:rPr>
      </w:pPr>
      <w:r>
        <w:rPr>
          <w:noProof/>
        </w:rPr>
        <mc:AlternateContent>
          <mc:Choice Requires="wps">
            <w:drawing>
              <wp:anchor distT="0" distB="0" distL="0" distR="0" simplePos="0" relativeHeight="251747328" behindDoc="1" locked="0" layoutInCell="1" allowOverlap="1">
                <wp:simplePos x="0" y="0"/>
                <wp:positionH relativeFrom="page">
                  <wp:posOffset>361937</wp:posOffset>
                </wp:positionH>
                <wp:positionV relativeFrom="paragraph">
                  <wp:posOffset>132071</wp:posOffset>
                </wp:positionV>
                <wp:extent cx="9339580" cy="8890"/>
                <wp:effectExtent l="0" t="0" r="0" b="0"/>
                <wp:wrapTopAndBottom/>
                <wp:docPr id="49" name="Graphic 49"/>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49" o:spid="_x0000_s1041" style="width:735.4pt;height:0.7pt;margin-top:10.4pt;margin-left:28.5pt;mso-position-horizontal-relative:page;mso-wrap-distance-bottom:0;mso-wrap-distance-left:0;mso-wrap-distance-right:0;mso-wrap-distance-top:0;mso-wrap-style:square;position:absolute;visibility:visible;v-text-anchor:top;z-index:-251568128" coordsize="9339580,8890" path="m9338970,l9335110,l8280,,,,,8280l8280,8280l9335110,8280l9338970,8280l9338970,xe" fillcolor="gray" stroked="f">
                <v:path arrowok="t"/>
                <w10:wrap type="topAndBottom"/>
              </v:shape>
            </w:pict>
          </mc:Fallback>
        </mc:AlternateContent>
      </w:r>
    </w:p>
    <w:p w:rsidR="003F5784" w14:paraId="2046CDA1" w14:textId="77777777">
      <w:pPr>
        <w:rPr>
          <w:sz w:val="16"/>
        </w:rPr>
        <w:sectPr>
          <w:pgSz w:w="15840" w:h="12240" w:orient="landscape"/>
          <w:pgMar w:top="480" w:right="440" w:bottom="460" w:left="460" w:header="284" w:footer="275" w:gutter="0"/>
          <w:cols w:space="720"/>
        </w:sectPr>
      </w:pPr>
    </w:p>
    <w:p w:rsidR="003F5784" w14:paraId="574B567B" w14:textId="49DC8D7D">
      <w:pPr>
        <w:pStyle w:val="Heading1"/>
        <w:spacing w:before="81" w:line="244" w:lineRule="auto"/>
        <w:ind w:right="1264"/>
      </w:pPr>
      <w:r>
        <w:t>NAEP</w:t>
      </w:r>
      <w:r>
        <w:rPr>
          <w:spacing w:val="-16"/>
        </w:rPr>
        <w:t xml:space="preserve"> </w:t>
      </w:r>
      <w:r>
        <w:t>Technical Documentation</w:t>
      </w:r>
      <w:r w:rsidR="007073E7">
        <w:t xml:space="preserve"> </w:t>
      </w:r>
      <w:r>
        <w:t>Stratification of Schools for the 2022 Eighth- Grade</w:t>
      </w:r>
      <w:r>
        <w:rPr>
          <w:spacing w:val="40"/>
        </w:rPr>
        <w:t xml:space="preserve"> </w:t>
      </w:r>
      <w:r>
        <w:t>Private</w:t>
      </w:r>
      <w:r>
        <w:rPr>
          <w:spacing w:val="40"/>
        </w:rPr>
        <w:t xml:space="preserve"> </w:t>
      </w:r>
      <w:r>
        <w:t>School</w:t>
      </w:r>
      <w:r>
        <w:rPr>
          <w:spacing w:val="40"/>
        </w:rPr>
        <w:t xml:space="preserve"> </w:t>
      </w:r>
      <w:r>
        <w:t>National Assessment</w:t>
      </w:r>
      <w:r>
        <w:rPr>
          <w:spacing w:val="40"/>
        </w:rPr>
        <w:t xml:space="preserve"> </w:t>
      </w:r>
      <w:r>
        <w:t>in</w:t>
      </w:r>
      <w:r>
        <w:rPr>
          <w:spacing w:val="40"/>
        </w:rPr>
        <w:t xml:space="preserve"> </w:t>
      </w:r>
      <w:r>
        <w:t>Civics</w:t>
      </w:r>
      <w:r>
        <w:rPr>
          <w:spacing w:val="40"/>
        </w:rPr>
        <w:t xml:space="preserve"> </w:t>
      </w:r>
      <w:r>
        <w:t>and</w:t>
      </w:r>
      <w:r>
        <w:rPr>
          <w:spacing w:val="40"/>
        </w:rPr>
        <w:t xml:space="preserve"> </w:t>
      </w:r>
      <w:r>
        <w:t>U.S.</w:t>
      </w:r>
      <w:r>
        <w:rPr>
          <w:spacing w:val="40"/>
        </w:rPr>
        <w:t xml:space="preserve"> </w:t>
      </w:r>
      <w:r>
        <w:t>History</w:t>
      </w:r>
    </w:p>
    <w:p w:rsidR="003F5784" w14:paraId="004180FB" w14:textId="77777777">
      <w:pPr>
        <w:pStyle w:val="BodyText"/>
        <w:spacing w:before="273" w:line="232" w:lineRule="auto"/>
        <w:ind w:left="109"/>
      </w:pPr>
      <w:r>
        <w:t>The</w:t>
      </w:r>
      <w:r>
        <w:rPr>
          <w:spacing w:val="-6"/>
        </w:rPr>
        <w:t xml:space="preserve"> </w:t>
      </w:r>
      <w:r>
        <w:t>purpose</w:t>
      </w:r>
      <w:r>
        <w:rPr>
          <w:spacing w:val="-6"/>
        </w:rPr>
        <w:t xml:space="preserve"> </w:t>
      </w:r>
      <w:r>
        <w:t>of</w:t>
      </w:r>
      <w:r>
        <w:rPr>
          <w:spacing w:val="-6"/>
        </w:rPr>
        <w:t xml:space="preserve"> </w:t>
      </w:r>
      <w:r>
        <w:t>school</w:t>
      </w:r>
      <w:r>
        <w:rPr>
          <w:spacing w:val="-6"/>
        </w:rPr>
        <w:t xml:space="preserve"> </w:t>
      </w:r>
      <w:r>
        <w:t>stratification</w:t>
      </w:r>
      <w:r>
        <w:rPr>
          <w:spacing w:val="-6"/>
        </w:rPr>
        <w:t xml:space="preserve"> </w:t>
      </w:r>
      <w:r>
        <w:t>is</w:t>
      </w:r>
      <w:r>
        <w:rPr>
          <w:spacing w:val="-6"/>
        </w:rPr>
        <w:t xml:space="preserve"> </w:t>
      </w:r>
      <w:r>
        <w:t>to</w:t>
      </w:r>
      <w:r>
        <w:rPr>
          <w:spacing w:val="-6"/>
        </w:rPr>
        <w:t xml:space="preserve"> </w:t>
      </w:r>
      <w:r>
        <w:t>increase</w:t>
      </w:r>
      <w:r>
        <w:rPr>
          <w:spacing w:val="-6"/>
        </w:rPr>
        <w:t xml:space="preserve"> </w:t>
      </w:r>
      <w:r>
        <w:t>the</w:t>
      </w:r>
      <w:r>
        <w:rPr>
          <w:spacing w:val="-6"/>
        </w:rPr>
        <w:t xml:space="preserve"> </w:t>
      </w:r>
      <w:r>
        <w:t>efficiency</w:t>
      </w:r>
      <w:r>
        <w:rPr>
          <w:spacing w:val="-6"/>
        </w:rPr>
        <w:t xml:space="preserve"> </w:t>
      </w:r>
      <w:r>
        <w:t>and</w:t>
      </w:r>
      <w:r>
        <w:rPr>
          <w:spacing w:val="-6"/>
        </w:rPr>
        <w:t xml:space="preserve"> </w:t>
      </w:r>
      <w:r>
        <w:t>ensure</w:t>
      </w:r>
      <w:r>
        <w:rPr>
          <w:spacing w:val="-6"/>
        </w:rPr>
        <w:t xml:space="preserve"> </w:t>
      </w:r>
      <w:r>
        <w:t>the</w:t>
      </w:r>
      <w:r>
        <w:rPr>
          <w:spacing w:val="-6"/>
        </w:rPr>
        <w:t xml:space="preserve"> </w:t>
      </w:r>
      <w:r>
        <w:t>representativeness</w:t>
      </w:r>
      <w:r>
        <w:rPr>
          <w:spacing w:val="-6"/>
        </w:rPr>
        <w:t xml:space="preserve"> </w:t>
      </w:r>
      <w:r>
        <w:t>of</w:t>
      </w:r>
      <w:r>
        <w:rPr>
          <w:spacing w:val="-6"/>
        </w:rPr>
        <w:t xml:space="preserve"> </w:t>
      </w:r>
      <w:r>
        <w:t>school</w:t>
      </w:r>
      <w:r>
        <w:rPr>
          <w:spacing w:val="-6"/>
        </w:rPr>
        <w:t xml:space="preserve"> </w:t>
      </w:r>
      <w:r>
        <w:t>samples</w:t>
      </w:r>
      <w:r>
        <w:rPr>
          <w:spacing w:val="-6"/>
        </w:rPr>
        <w:t xml:space="preserve"> </w:t>
      </w:r>
      <w:r>
        <w:t>in</w:t>
      </w:r>
      <w:r>
        <w:rPr>
          <w:spacing w:val="-6"/>
        </w:rPr>
        <w:t xml:space="preserve"> </w:t>
      </w:r>
      <w:r>
        <w:t>terms</w:t>
      </w:r>
      <w:r>
        <w:rPr>
          <w:spacing w:val="-6"/>
        </w:rPr>
        <w:t xml:space="preserve"> </w:t>
      </w:r>
      <w:r>
        <w:t>of</w:t>
      </w:r>
      <w:r>
        <w:rPr>
          <w:spacing w:val="-6"/>
        </w:rPr>
        <w:t xml:space="preserve"> </w:t>
      </w:r>
      <w:r>
        <w:t>important</w:t>
      </w:r>
      <w:r>
        <w:rPr>
          <w:spacing w:val="-6"/>
        </w:rPr>
        <w:t xml:space="preserve"> </w:t>
      </w:r>
      <w:r>
        <w:t>school-level</w:t>
      </w:r>
      <w:r>
        <w:rPr>
          <w:spacing w:val="-6"/>
        </w:rPr>
        <w:t xml:space="preserve"> </w:t>
      </w:r>
      <w:r>
        <w:t>characteristics,</w:t>
      </w:r>
      <w:r>
        <w:rPr>
          <w:spacing w:val="-6"/>
        </w:rPr>
        <w:t xml:space="preserve"> </w:t>
      </w:r>
      <w:r>
        <w:t>such</w:t>
      </w:r>
      <w:r>
        <w:rPr>
          <w:spacing w:val="-6"/>
        </w:rPr>
        <w:t xml:space="preserve"> </w:t>
      </w:r>
      <w:r>
        <w:t>as geography (e.g., census region), urbanicity, and race/ethnicity composition. NAEP</w:t>
      </w:r>
      <w:r>
        <w:rPr>
          <w:spacing w:val="-7"/>
        </w:rPr>
        <w:t xml:space="preserve"> </w:t>
      </w:r>
      <w:r>
        <w:t>school sampling utilizes two types of stratification: explicit and implicit.</w:t>
      </w:r>
    </w:p>
    <w:p w:rsidR="003F5784" w14:paraId="6BFDDDEB" w14:textId="77777777">
      <w:pPr>
        <w:pStyle w:val="BodyText"/>
        <w:spacing w:before="210" w:line="232" w:lineRule="auto"/>
        <w:ind w:left="109"/>
      </w:pPr>
      <w:r>
        <w:t>Explicit</w:t>
      </w:r>
      <w:r>
        <w:rPr>
          <w:spacing w:val="-7"/>
        </w:rPr>
        <w:t xml:space="preserve"> </w:t>
      </w:r>
      <w:r>
        <w:t>stratification</w:t>
      </w:r>
      <w:r>
        <w:rPr>
          <w:spacing w:val="-7"/>
        </w:rPr>
        <w:t xml:space="preserve"> </w:t>
      </w:r>
      <w:r>
        <w:t>partitions</w:t>
      </w:r>
      <w:r>
        <w:rPr>
          <w:spacing w:val="-7"/>
        </w:rPr>
        <w:t xml:space="preserve"> </w:t>
      </w:r>
      <w:r>
        <w:t>the</w:t>
      </w:r>
      <w:r>
        <w:rPr>
          <w:spacing w:val="-7"/>
        </w:rPr>
        <w:t xml:space="preserve"> </w:t>
      </w:r>
      <w:r>
        <w:t>sampling</w:t>
      </w:r>
      <w:r>
        <w:rPr>
          <w:spacing w:val="-7"/>
        </w:rPr>
        <w:t xml:space="preserve"> </w:t>
      </w:r>
      <w:r>
        <w:t>frame</w:t>
      </w:r>
      <w:r>
        <w:rPr>
          <w:spacing w:val="-7"/>
        </w:rPr>
        <w:t xml:space="preserve"> </w:t>
      </w:r>
      <w:r>
        <w:t>into</w:t>
      </w:r>
      <w:r>
        <w:rPr>
          <w:spacing w:val="-7"/>
        </w:rPr>
        <w:t xml:space="preserve"> </w:t>
      </w:r>
      <w:r>
        <w:t>mutually</w:t>
      </w:r>
      <w:r>
        <w:rPr>
          <w:spacing w:val="-7"/>
        </w:rPr>
        <w:t xml:space="preserve"> </w:t>
      </w:r>
      <w:r>
        <w:t>exclusive</w:t>
      </w:r>
      <w:r>
        <w:rPr>
          <w:spacing w:val="-7"/>
        </w:rPr>
        <w:t xml:space="preserve"> </w:t>
      </w:r>
      <w:r>
        <w:t>groupings</w:t>
      </w:r>
      <w:r>
        <w:rPr>
          <w:spacing w:val="-7"/>
        </w:rPr>
        <w:t xml:space="preserve"> </w:t>
      </w:r>
      <w:r>
        <w:t>called</w:t>
      </w:r>
      <w:r>
        <w:rPr>
          <w:spacing w:val="-7"/>
        </w:rPr>
        <w:t xml:space="preserve"> </w:t>
      </w:r>
      <w:r>
        <w:t>strata.</w:t>
      </w:r>
      <w:r>
        <w:rPr>
          <w:spacing w:val="-11"/>
        </w:rPr>
        <w:t xml:space="preserve"> </w:t>
      </w:r>
      <w:r>
        <w:t>The</w:t>
      </w:r>
      <w:r>
        <w:rPr>
          <w:spacing w:val="-7"/>
        </w:rPr>
        <w:t xml:space="preserve"> </w:t>
      </w:r>
      <w:r>
        <w:t>systematic</w:t>
      </w:r>
      <w:r>
        <w:rPr>
          <w:spacing w:val="-7"/>
        </w:rPr>
        <w:t xml:space="preserve"> </w:t>
      </w:r>
      <w:r>
        <w:t>samples</w:t>
      </w:r>
      <w:r>
        <w:rPr>
          <w:spacing w:val="-7"/>
        </w:rPr>
        <w:t xml:space="preserve"> </w:t>
      </w:r>
      <w:r>
        <w:t>selected</w:t>
      </w:r>
      <w:r>
        <w:rPr>
          <w:spacing w:val="-7"/>
        </w:rPr>
        <w:t xml:space="preserve"> </w:t>
      </w:r>
      <w:r>
        <w:t>from</w:t>
      </w:r>
      <w:r>
        <w:rPr>
          <w:spacing w:val="-7"/>
        </w:rPr>
        <w:t xml:space="preserve"> </w:t>
      </w:r>
      <w:r>
        <w:t>these</w:t>
      </w:r>
      <w:r>
        <w:rPr>
          <w:spacing w:val="-7"/>
        </w:rPr>
        <w:t xml:space="preserve"> </w:t>
      </w:r>
      <w:r>
        <w:t>strata</w:t>
      </w:r>
      <w:r>
        <w:rPr>
          <w:spacing w:val="-7"/>
        </w:rPr>
        <w:t xml:space="preserve"> </w:t>
      </w:r>
      <w:r>
        <w:t>are</w:t>
      </w:r>
      <w:r>
        <w:rPr>
          <w:spacing w:val="-7"/>
        </w:rPr>
        <w:t xml:space="preserve"> </w:t>
      </w:r>
      <w:r>
        <w:t>independent,</w:t>
      </w:r>
      <w:r>
        <w:rPr>
          <w:spacing w:val="-7"/>
        </w:rPr>
        <w:t xml:space="preserve"> </w:t>
      </w:r>
      <w:r>
        <w:t>meaning that</w:t>
      </w:r>
      <w:r>
        <w:rPr>
          <w:spacing w:val="-5"/>
        </w:rPr>
        <w:t xml:space="preserve"> </w:t>
      </w:r>
      <w:r>
        <w:t>each</w:t>
      </w:r>
      <w:r>
        <w:rPr>
          <w:spacing w:val="-5"/>
        </w:rPr>
        <w:t xml:space="preserve"> </w:t>
      </w:r>
      <w:r>
        <w:t>sample</w:t>
      </w:r>
      <w:r>
        <w:rPr>
          <w:spacing w:val="-5"/>
        </w:rPr>
        <w:t xml:space="preserve"> </w:t>
      </w:r>
      <w:r>
        <w:t>is</w:t>
      </w:r>
      <w:r>
        <w:rPr>
          <w:spacing w:val="-5"/>
        </w:rPr>
        <w:t xml:space="preserve"> </w:t>
      </w:r>
      <w:r>
        <w:t>selected</w:t>
      </w:r>
      <w:r>
        <w:rPr>
          <w:spacing w:val="-5"/>
        </w:rPr>
        <w:t xml:space="preserve"> </w:t>
      </w:r>
      <w:r>
        <w:t>with</w:t>
      </w:r>
      <w:r>
        <w:rPr>
          <w:spacing w:val="-5"/>
        </w:rPr>
        <w:t xml:space="preserve"> </w:t>
      </w:r>
      <w:r>
        <w:t>its</w:t>
      </w:r>
      <w:r>
        <w:rPr>
          <w:spacing w:val="-5"/>
        </w:rPr>
        <w:t xml:space="preserve"> </w:t>
      </w:r>
      <w:r>
        <w:t>own</w:t>
      </w:r>
      <w:r>
        <w:rPr>
          <w:spacing w:val="-5"/>
        </w:rPr>
        <w:t xml:space="preserve"> </w:t>
      </w:r>
      <w:r>
        <w:t>unique</w:t>
      </w:r>
      <w:r>
        <w:rPr>
          <w:spacing w:val="-5"/>
        </w:rPr>
        <w:t xml:space="preserve"> </w:t>
      </w:r>
      <w:r>
        <w:t>random</w:t>
      </w:r>
      <w:r>
        <w:rPr>
          <w:spacing w:val="-5"/>
        </w:rPr>
        <w:t xml:space="preserve"> </w:t>
      </w:r>
      <w:r>
        <w:t>start.</w:t>
      </w:r>
      <w:r>
        <w:rPr>
          <w:spacing w:val="-5"/>
        </w:rPr>
        <w:t xml:space="preserve"> </w:t>
      </w:r>
      <w:r>
        <w:t>Implicit</w:t>
      </w:r>
      <w:r>
        <w:rPr>
          <w:spacing w:val="-5"/>
        </w:rPr>
        <w:t xml:space="preserve"> </w:t>
      </w:r>
      <w:r>
        <w:t>stratification</w:t>
      </w:r>
      <w:r>
        <w:rPr>
          <w:spacing w:val="-5"/>
        </w:rPr>
        <w:t xml:space="preserve"> </w:t>
      </w:r>
      <w:r>
        <w:t>involves</w:t>
      </w:r>
      <w:r>
        <w:rPr>
          <w:spacing w:val="-5"/>
        </w:rPr>
        <w:t xml:space="preserve"> </w:t>
      </w:r>
      <w:r>
        <w:t>sorting</w:t>
      </w:r>
      <w:r>
        <w:rPr>
          <w:spacing w:val="-5"/>
        </w:rPr>
        <w:t xml:space="preserve"> </w:t>
      </w:r>
      <w:r>
        <w:t>the</w:t>
      </w:r>
      <w:r>
        <w:rPr>
          <w:spacing w:val="-5"/>
        </w:rPr>
        <w:t xml:space="preserve"> </w:t>
      </w:r>
      <w:r>
        <w:t>sampling</w:t>
      </w:r>
      <w:r>
        <w:rPr>
          <w:spacing w:val="-5"/>
        </w:rPr>
        <w:t xml:space="preserve"> </w:t>
      </w:r>
      <w:r>
        <w:t>frame,</w:t>
      </w:r>
      <w:r>
        <w:rPr>
          <w:spacing w:val="-5"/>
        </w:rPr>
        <w:t xml:space="preserve"> </w:t>
      </w:r>
      <w:r>
        <w:t>as</w:t>
      </w:r>
      <w:r>
        <w:rPr>
          <w:spacing w:val="-5"/>
        </w:rPr>
        <w:t xml:space="preserve"> </w:t>
      </w:r>
      <w:r>
        <w:t>opposed</w:t>
      </w:r>
      <w:r>
        <w:rPr>
          <w:spacing w:val="-5"/>
        </w:rPr>
        <w:t xml:space="preserve"> </w:t>
      </w:r>
      <w:r>
        <w:t>to</w:t>
      </w:r>
      <w:r>
        <w:rPr>
          <w:spacing w:val="-5"/>
        </w:rPr>
        <w:t xml:space="preserve"> </w:t>
      </w:r>
      <w:r>
        <w:t>grouping</w:t>
      </w:r>
      <w:r>
        <w:rPr>
          <w:spacing w:val="-5"/>
        </w:rPr>
        <w:t xml:space="preserve"> </w:t>
      </w:r>
      <w:r>
        <w:t>the</w:t>
      </w:r>
      <w:r>
        <w:rPr>
          <w:spacing w:val="-5"/>
        </w:rPr>
        <w:t xml:space="preserve"> </w:t>
      </w:r>
      <w:r>
        <w:t>frame.</w:t>
      </w:r>
      <w:r>
        <w:rPr>
          <w:spacing w:val="-5"/>
        </w:rPr>
        <w:t xml:space="preserve"> </w:t>
      </w:r>
      <w:r>
        <w:t>For</w:t>
      </w:r>
      <w:r>
        <w:rPr>
          <w:spacing w:val="-5"/>
        </w:rPr>
        <w:t xml:space="preserve"> </w:t>
      </w:r>
      <w:r>
        <w:t>NAEP,</w:t>
      </w:r>
      <w:r>
        <w:rPr>
          <w:spacing w:val="-5"/>
        </w:rPr>
        <w:t xml:space="preserve"> </w:t>
      </w:r>
      <w:r>
        <w:t>schools are sorted in serpentine fashion by key school characteristics within sampling strata and sampled systematically using this ordering.</w:t>
      </w:r>
      <w:r>
        <w:rPr>
          <w:spacing w:val="-3"/>
        </w:rPr>
        <w:t xml:space="preserve"> </w:t>
      </w:r>
      <w:r>
        <w:t>This type of stratification ensures the representativeness of the school samples with respect to the key school characteristics.</w:t>
      </w:r>
    </w:p>
    <w:p w:rsidR="003F5784" w14:paraId="05377E2E" w14:textId="77777777">
      <w:pPr>
        <w:pStyle w:val="BodyText"/>
        <w:spacing w:before="210" w:line="232" w:lineRule="auto"/>
        <w:ind w:left="109"/>
      </w:pPr>
      <w:r>
        <w:t>Explicit</w:t>
      </w:r>
      <w:r>
        <w:rPr>
          <w:spacing w:val="-8"/>
        </w:rPr>
        <w:t xml:space="preserve"> </w:t>
      </w:r>
      <w:r>
        <w:t>stratification</w:t>
      </w:r>
      <w:r>
        <w:rPr>
          <w:spacing w:val="-7"/>
        </w:rPr>
        <w:t xml:space="preserve"> </w:t>
      </w:r>
      <w:r>
        <w:t>for</w:t>
      </w:r>
      <w:r>
        <w:rPr>
          <w:spacing w:val="-7"/>
        </w:rPr>
        <w:t xml:space="preserve"> </w:t>
      </w:r>
      <w:r>
        <w:t>the</w:t>
      </w:r>
      <w:r>
        <w:rPr>
          <w:spacing w:val="-7"/>
        </w:rPr>
        <w:t xml:space="preserve"> </w:t>
      </w:r>
      <w:r>
        <w:t>NAEP</w:t>
      </w:r>
      <w:r>
        <w:rPr>
          <w:spacing w:val="-14"/>
        </w:rPr>
        <w:t xml:space="preserve"> </w:t>
      </w:r>
      <w:r>
        <w:t>2022</w:t>
      </w:r>
      <w:r>
        <w:rPr>
          <w:spacing w:val="-6"/>
        </w:rPr>
        <w:t xml:space="preserve"> </w:t>
      </w:r>
      <w:r>
        <w:t>private</w:t>
      </w:r>
      <w:r>
        <w:rPr>
          <w:spacing w:val="-7"/>
        </w:rPr>
        <w:t xml:space="preserve"> </w:t>
      </w:r>
      <w:r>
        <w:t>school</w:t>
      </w:r>
      <w:r>
        <w:rPr>
          <w:spacing w:val="-7"/>
        </w:rPr>
        <w:t xml:space="preserve"> </w:t>
      </w:r>
      <w:r>
        <w:t>samples</w:t>
      </w:r>
      <w:r>
        <w:rPr>
          <w:spacing w:val="-7"/>
        </w:rPr>
        <w:t xml:space="preserve"> </w:t>
      </w:r>
      <w:r>
        <w:t>was</w:t>
      </w:r>
      <w:r>
        <w:rPr>
          <w:spacing w:val="-7"/>
        </w:rPr>
        <w:t xml:space="preserve"> </w:t>
      </w:r>
      <w:r>
        <w:t>by</w:t>
      </w:r>
      <w:r>
        <w:rPr>
          <w:spacing w:val="-7"/>
        </w:rPr>
        <w:t xml:space="preserve"> </w:t>
      </w:r>
      <w:r>
        <w:t>private</w:t>
      </w:r>
      <w:r>
        <w:rPr>
          <w:spacing w:val="-7"/>
        </w:rPr>
        <w:t xml:space="preserve"> </w:t>
      </w:r>
      <w:r>
        <w:t>school</w:t>
      </w:r>
      <w:r>
        <w:rPr>
          <w:spacing w:val="-7"/>
        </w:rPr>
        <w:t xml:space="preserve"> </w:t>
      </w:r>
      <w:r>
        <w:t>type:</w:t>
      </w:r>
      <w:r>
        <w:rPr>
          <w:spacing w:val="-7"/>
        </w:rPr>
        <w:t xml:space="preserve"> </w:t>
      </w:r>
      <w:r>
        <w:t>Catholic,</w:t>
      </w:r>
      <w:r>
        <w:rPr>
          <w:spacing w:val="-7"/>
        </w:rPr>
        <w:t xml:space="preserve"> </w:t>
      </w:r>
      <w:r>
        <w:t>non-Catholic,</w:t>
      </w:r>
      <w:r>
        <w:rPr>
          <w:spacing w:val="-7"/>
        </w:rPr>
        <w:t xml:space="preserve"> </w:t>
      </w:r>
      <w:r>
        <w:t>and</w:t>
      </w:r>
      <w:r>
        <w:rPr>
          <w:spacing w:val="-7"/>
        </w:rPr>
        <w:t xml:space="preserve"> </w:t>
      </w:r>
      <w:r>
        <w:t>unknown</w:t>
      </w:r>
      <w:r>
        <w:rPr>
          <w:spacing w:val="-7"/>
        </w:rPr>
        <w:t xml:space="preserve"> </w:t>
      </w:r>
      <w:r>
        <w:t>affiliation.</w:t>
      </w:r>
      <w:r>
        <w:rPr>
          <w:spacing w:val="-7"/>
        </w:rPr>
        <w:t xml:space="preserve"> </w:t>
      </w:r>
      <w:r>
        <w:t>Private</w:t>
      </w:r>
      <w:r>
        <w:rPr>
          <w:spacing w:val="-7"/>
        </w:rPr>
        <w:t xml:space="preserve"> </w:t>
      </w:r>
      <w:r>
        <w:t>school</w:t>
      </w:r>
      <w:r>
        <w:rPr>
          <w:spacing w:val="-7"/>
        </w:rPr>
        <w:t xml:space="preserve"> </w:t>
      </w:r>
      <w:r>
        <w:t>affiliation</w:t>
      </w:r>
      <w:r>
        <w:rPr>
          <w:spacing w:val="-7"/>
        </w:rPr>
        <w:t xml:space="preserve"> </w:t>
      </w:r>
      <w:r>
        <w:t>was unknown for nonrespondents to the NCES Private School Universe Survey (PSS) for the past three cycles.</w:t>
      </w:r>
    </w:p>
    <w:p w:rsidR="003F5784" w14:paraId="3CF06BAD" w14:textId="77777777">
      <w:pPr>
        <w:pStyle w:val="BodyText"/>
        <w:spacing w:before="209" w:line="232" w:lineRule="auto"/>
        <w:ind w:left="109" w:right="179"/>
      </w:pPr>
      <w:r>
        <w:t>The</w:t>
      </w:r>
      <w:r>
        <w:rPr>
          <w:spacing w:val="-7"/>
        </w:rPr>
        <w:t xml:space="preserve"> </w:t>
      </w:r>
      <w:r>
        <w:t>implicit</w:t>
      </w:r>
      <w:r>
        <w:rPr>
          <w:spacing w:val="-7"/>
        </w:rPr>
        <w:t xml:space="preserve"> </w:t>
      </w:r>
      <w:r>
        <w:t>stratification</w:t>
      </w:r>
      <w:r>
        <w:rPr>
          <w:spacing w:val="-7"/>
        </w:rPr>
        <w:t xml:space="preserve"> </w:t>
      </w:r>
      <w:r>
        <w:t>of</w:t>
      </w:r>
      <w:r>
        <w:rPr>
          <w:spacing w:val="-7"/>
        </w:rPr>
        <w:t xml:space="preserve"> </w:t>
      </w:r>
      <w:r>
        <w:t>the</w:t>
      </w:r>
      <w:r>
        <w:rPr>
          <w:spacing w:val="-7"/>
        </w:rPr>
        <w:t xml:space="preserve"> </w:t>
      </w:r>
      <w:r>
        <w:t>schools</w:t>
      </w:r>
      <w:r>
        <w:rPr>
          <w:spacing w:val="-7"/>
        </w:rPr>
        <w:t xml:space="preserve"> </w:t>
      </w:r>
      <w:r>
        <w:t>involved</w:t>
      </w:r>
      <w:r>
        <w:rPr>
          <w:spacing w:val="-7"/>
        </w:rPr>
        <w:t xml:space="preserve"> </w:t>
      </w:r>
      <w:r>
        <w:t>four</w:t>
      </w:r>
      <w:r>
        <w:rPr>
          <w:spacing w:val="-7"/>
        </w:rPr>
        <w:t xml:space="preserve"> </w:t>
      </w:r>
      <w:r>
        <w:t>dimensions.</w:t>
      </w:r>
      <w:r>
        <w:rPr>
          <w:spacing w:val="-11"/>
        </w:rPr>
        <w:t xml:space="preserve"> </w:t>
      </w:r>
      <w:r>
        <w:t>Within</w:t>
      </w:r>
      <w:r>
        <w:rPr>
          <w:spacing w:val="-7"/>
        </w:rPr>
        <w:t xml:space="preserve"> </w:t>
      </w:r>
      <w:r>
        <w:t>each</w:t>
      </w:r>
      <w:r>
        <w:rPr>
          <w:spacing w:val="-7"/>
        </w:rPr>
        <w:t xml:space="preserve"> </w:t>
      </w:r>
      <w:r>
        <w:t>explicit</w:t>
      </w:r>
      <w:r>
        <w:rPr>
          <w:spacing w:val="-7"/>
        </w:rPr>
        <w:t xml:space="preserve"> </w:t>
      </w:r>
      <w:r>
        <w:t>stratum,</w:t>
      </w:r>
      <w:r>
        <w:rPr>
          <w:spacing w:val="-7"/>
        </w:rPr>
        <w:t xml:space="preserve"> </w:t>
      </w:r>
      <w:r>
        <w:t>the</w:t>
      </w:r>
      <w:r>
        <w:rPr>
          <w:spacing w:val="-7"/>
        </w:rPr>
        <w:t xml:space="preserve"> </w:t>
      </w:r>
      <w:r>
        <w:t>private</w:t>
      </w:r>
      <w:r>
        <w:rPr>
          <w:spacing w:val="-7"/>
        </w:rPr>
        <w:t xml:space="preserve"> </w:t>
      </w:r>
      <w:r>
        <w:t>schools</w:t>
      </w:r>
      <w:r>
        <w:rPr>
          <w:spacing w:val="-7"/>
        </w:rPr>
        <w:t xml:space="preserve"> </w:t>
      </w:r>
      <w:r>
        <w:t>were</w:t>
      </w:r>
      <w:r>
        <w:rPr>
          <w:spacing w:val="-7"/>
        </w:rPr>
        <w:t xml:space="preserve"> </w:t>
      </w:r>
      <w:r>
        <w:t>hierarchically</w:t>
      </w:r>
      <w:r>
        <w:rPr>
          <w:spacing w:val="-7"/>
        </w:rPr>
        <w:t xml:space="preserve"> </w:t>
      </w:r>
      <w:r>
        <w:t>sorted</w:t>
      </w:r>
      <w:r>
        <w:rPr>
          <w:spacing w:val="-7"/>
        </w:rPr>
        <w:t xml:space="preserve"> </w:t>
      </w:r>
      <w:r>
        <w:t>by</w:t>
      </w:r>
      <w:r>
        <w:rPr>
          <w:spacing w:val="-7"/>
        </w:rPr>
        <w:t xml:space="preserve"> </w:t>
      </w:r>
      <w:r>
        <w:t>census</w:t>
      </w:r>
      <w:r>
        <w:rPr>
          <w:spacing w:val="-7"/>
        </w:rPr>
        <w:t xml:space="preserve"> </w:t>
      </w:r>
      <w:r>
        <w:t>region,</w:t>
      </w:r>
      <w:r>
        <w:rPr>
          <w:spacing w:val="-7"/>
        </w:rPr>
        <w:t xml:space="preserve"> </w:t>
      </w:r>
      <w:r>
        <w:t>urbanicity status, race/ethnicity status, and estimated grade enrollment.</w:t>
      </w:r>
      <w:r>
        <w:rPr>
          <w:spacing w:val="-3"/>
        </w:rPr>
        <w:t xml:space="preserve"> </w:t>
      </w:r>
      <w:r>
        <w:t>The implicit stratification in this four-fold hierarchical stratification was achieved via a "serpentine sort".</w:t>
      </w:r>
    </w:p>
    <w:p w:rsidR="003F5784" w14:paraId="6E5F91D4" w14:textId="77777777">
      <w:pPr>
        <w:pStyle w:val="BodyText"/>
        <w:spacing w:before="209" w:line="232" w:lineRule="auto"/>
        <w:ind w:left="109" w:right="117"/>
      </w:pPr>
      <w:r>
        <w:t>Census</w:t>
      </w:r>
      <w:r>
        <w:rPr>
          <w:spacing w:val="-6"/>
        </w:rPr>
        <w:t xml:space="preserve"> </w:t>
      </w:r>
      <w:r>
        <w:t>region</w:t>
      </w:r>
      <w:r>
        <w:rPr>
          <w:spacing w:val="-6"/>
        </w:rPr>
        <w:t xml:space="preserve"> </w:t>
      </w:r>
      <w:r>
        <w:t>was</w:t>
      </w:r>
      <w:r>
        <w:rPr>
          <w:spacing w:val="-6"/>
        </w:rPr>
        <w:t xml:space="preserve"> </w:t>
      </w:r>
      <w:r>
        <w:t>used</w:t>
      </w:r>
      <w:r>
        <w:rPr>
          <w:spacing w:val="-6"/>
        </w:rPr>
        <w:t xml:space="preserve"> </w:t>
      </w:r>
      <w:r>
        <w:t>as</w:t>
      </w:r>
      <w:r>
        <w:rPr>
          <w:spacing w:val="-6"/>
        </w:rPr>
        <w:t xml:space="preserve"> </w:t>
      </w:r>
      <w:r>
        <w:t>the</w:t>
      </w:r>
      <w:r>
        <w:rPr>
          <w:spacing w:val="-6"/>
        </w:rPr>
        <w:t xml:space="preserve"> </w:t>
      </w:r>
      <w:r>
        <w:t>first</w:t>
      </w:r>
      <w:r>
        <w:rPr>
          <w:spacing w:val="-6"/>
        </w:rPr>
        <w:t xml:space="preserve"> </w:t>
      </w:r>
      <w:r>
        <w:t>level</w:t>
      </w:r>
      <w:r>
        <w:rPr>
          <w:spacing w:val="-6"/>
        </w:rPr>
        <w:t xml:space="preserve"> </w:t>
      </w:r>
      <w:r>
        <w:t>of</w:t>
      </w:r>
      <w:r>
        <w:rPr>
          <w:spacing w:val="-6"/>
        </w:rPr>
        <w:t xml:space="preserve"> </w:t>
      </w:r>
      <w:r>
        <w:t>implicit</w:t>
      </w:r>
      <w:r>
        <w:rPr>
          <w:spacing w:val="-6"/>
        </w:rPr>
        <w:t xml:space="preserve"> </w:t>
      </w:r>
      <w:r>
        <w:t>stratification</w:t>
      </w:r>
      <w:r>
        <w:rPr>
          <w:spacing w:val="-6"/>
        </w:rPr>
        <w:t xml:space="preserve"> </w:t>
      </w:r>
      <w:r>
        <w:t>for</w:t>
      </w:r>
      <w:r>
        <w:rPr>
          <w:spacing w:val="-6"/>
        </w:rPr>
        <w:t xml:space="preserve"> </w:t>
      </w:r>
      <w:r>
        <w:t>the</w:t>
      </w:r>
      <w:r>
        <w:rPr>
          <w:spacing w:val="-6"/>
        </w:rPr>
        <w:t xml:space="preserve"> </w:t>
      </w:r>
      <w:r>
        <w:t>NAEP</w:t>
      </w:r>
      <w:r>
        <w:rPr>
          <w:spacing w:val="-13"/>
        </w:rPr>
        <w:t xml:space="preserve"> </w:t>
      </w:r>
      <w:r>
        <w:t>2022</w:t>
      </w:r>
      <w:r>
        <w:rPr>
          <w:spacing w:val="-6"/>
        </w:rPr>
        <w:t xml:space="preserve"> </w:t>
      </w:r>
      <w:r>
        <w:t>private</w:t>
      </w:r>
      <w:r>
        <w:rPr>
          <w:spacing w:val="-6"/>
        </w:rPr>
        <w:t xml:space="preserve"> </w:t>
      </w:r>
      <w:r>
        <w:t>school</w:t>
      </w:r>
      <w:r>
        <w:rPr>
          <w:spacing w:val="-6"/>
        </w:rPr>
        <w:t xml:space="preserve"> </w:t>
      </w:r>
      <w:r>
        <w:t>sample.</w:t>
      </w:r>
      <w:r>
        <w:rPr>
          <w:spacing w:val="-6"/>
        </w:rPr>
        <w:t xml:space="preserve"> </w:t>
      </w:r>
      <w:r>
        <w:t>For</w:t>
      </w:r>
      <w:r>
        <w:rPr>
          <w:spacing w:val="-6"/>
        </w:rPr>
        <w:t xml:space="preserve"> </w:t>
      </w:r>
      <w:r>
        <w:t>Catholic</w:t>
      </w:r>
      <w:r>
        <w:rPr>
          <w:spacing w:val="-6"/>
        </w:rPr>
        <w:t xml:space="preserve"> </w:t>
      </w:r>
      <w:r>
        <w:t>and</w:t>
      </w:r>
      <w:r>
        <w:rPr>
          <w:spacing w:val="-6"/>
        </w:rPr>
        <w:t xml:space="preserve"> </w:t>
      </w:r>
      <w:r>
        <w:t>non-Catholic</w:t>
      </w:r>
      <w:r>
        <w:rPr>
          <w:spacing w:val="-6"/>
        </w:rPr>
        <w:t xml:space="preserve"> </w:t>
      </w:r>
      <w:r>
        <w:t>schools,</w:t>
      </w:r>
      <w:r>
        <w:rPr>
          <w:spacing w:val="-6"/>
        </w:rPr>
        <w:t xml:space="preserve"> </w:t>
      </w:r>
      <w:r>
        <w:t>all</w:t>
      </w:r>
      <w:r>
        <w:rPr>
          <w:spacing w:val="-6"/>
        </w:rPr>
        <w:t xml:space="preserve"> </w:t>
      </w:r>
      <w:r>
        <w:t>four</w:t>
      </w:r>
      <w:r>
        <w:rPr>
          <w:spacing w:val="-6"/>
        </w:rPr>
        <w:t xml:space="preserve"> </w:t>
      </w:r>
      <w:r>
        <w:t>census</w:t>
      </w:r>
      <w:r>
        <w:rPr>
          <w:spacing w:val="-6"/>
        </w:rPr>
        <w:t xml:space="preserve"> </w:t>
      </w:r>
      <w:r>
        <w:t>regions</w:t>
      </w:r>
      <w:r>
        <w:rPr>
          <w:spacing w:val="-6"/>
        </w:rPr>
        <w:t xml:space="preserve"> </w:t>
      </w:r>
      <w:r>
        <w:t>were used as strata. For schools with unknown affiliation, two strata based on census region were formed by combining the Northeast and Midwest into one stratum and the South and West into another.</w:t>
      </w:r>
    </w:p>
    <w:p w:rsidR="003F5784" w14:paraId="636A64E1" w14:textId="77777777">
      <w:pPr>
        <w:pStyle w:val="BodyText"/>
        <w:spacing w:before="210" w:line="232" w:lineRule="auto"/>
        <w:ind w:left="109" w:right="318"/>
      </w:pPr>
      <w:r>
        <w:t>The</w:t>
      </w:r>
      <w:r>
        <w:rPr>
          <w:spacing w:val="-7"/>
        </w:rPr>
        <w:t xml:space="preserve"> </w:t>
      </w:r>
      <w:r>
        <w:t>next</w:t>
      </w:r>
      <w:r>
        <w:rPr>
          <w:spacing w:val="-7"/>
        </w:rPr>
        <w:t xml:space="preserve"> </w:t>
      </w:r>
      <w:r>
        <w:t>level</w:t>
      </w:r>
      <w:r>
        <w:rPr>
          <w:spacing w:val="-7"/>
        </w:rPr>
        <w:t xml:space="preserve"> </w:t>
      </w:r>
      <w:r>
        <w:t>of</w:t>
      </w:r>
      <w:r>
        <w:rPr>
          <w:spacing w:val="-7"/>
        </w:rPr>
        <w:t xml:space="preserve"> </w:t>
      </w:r>
      <w:r>
        <w:t>stratification</w:t>
      </w:r>
      <w:r>
        <w:rPr>
          <w:spacing w:val="-7"/>
        </w:rPr>
        <w:t xml:space="preserve"> </w:t>
      </w:r>
      <w:r>
        <w:t>was</w:t>
      </w:r>
      <w:r>
        <w:rPr>
          <w:spacing w:val="-7"/>
        </w:rPr>
        <w:t xml:space="preserve"> </w:t>
      </w:r>
      <w:r>
        <w:t>an</w:t>
      </w:r>
      <w:r>
        <w:rPr>
          <w:spacing w:val="-7"/>
        </w:rPr>
        <w:t xml:space="preserve"> </w:t>
      </w:r>
      <w:r>
        <w:t>urbanicity</w:t>
      </w:r>
      <w:r>
        <w:rPr>
          <w:spacing w:val="-7"/>
        </w:rPr>
        <w:t xml:space="preserve"> </w:t>
      </w:r>
      <w:r>
        <w:t>classification</w:t>
      </w:r>
      <w:r>
        <w:rPr>
          <w:spacing w:val="-7"/>
        </w:rPr>
        <w:t xml:space="preserve"> </w:t>
      </w:r>
      <w:r>
        <w:t>based</w:t>
      </w:r>
      <w:r>
        <w:rPr>
          <w:spacing w:val="-7"/>
        </w:rPr>
        <w:t xml:space="preserve"> </w:t>
      </w:r>
      <w:r>
        <w:t>on</w:t>
      </w:r>
      <w:r>
        <w:rPr>
          <w:spacing w:val="-7"/>
        </w:rPr>
        <w:t xml:space="preserve"> </w:t>
      </w:r>
      <w:r>
        <w:t>urban-centric</w:t>
      </w:r>
      <w:r>
        <w:rPr>
          <w:spacing w:val="-7"/>
        </w:rPr>
        <w:t xml:space="preserve"> </w:t>
      </w:r>
      <w:r>
        <w:t>locale,</w:t>
      </w:r>
      <w:r>
        <w:rPr>
          <w:spacing w:val="-7"/>
        </w:rPr>
        <w:t xml:space="preserve"> </w:t>
      </w:r>
      <w:r>
        <w:t>as</w:t>
      </w:r>
      <w:r>
        <w:rPr>
          <w:spacing w:val="-7"/>
        </w:rPr>
        <w:t xml:space="preserve"> </w:t>
      </w:r>
      <w:r>
        <w:t>specified</w:t>
      </w:r>
      <w:r>
        <w:rPr>
          <w:spacing w:val="-7"/>
        </w:rPr>
        <w:t xml:space="preserve"> </w:t>
      </w:r>
      <w:r>
        <w:t>on</w:t>
      </w:r>
      <w:r>
        <w:rPr>
          <w:spacing w:val="-7"/>
        </w:rPr>
        <w:t xml:space="preserve"> </w:t>
      </w:r>
      <w:r>
        <w:t>the</w:t>
      </w:r>
      <w:r>
        <w:rPr>
          <w:spacing w:val="-7"/>
        </w:rPr>
        <w:t xml:space="preserve"> </w:t>
      </w:r>
      <w:r>
        <w:t>PSS.</w:t>
      </w:r>
      <w:r>
        <w:rPr>
          <w:spacing w:val="-10"/>
        </w:rPr>
        <w:t xml:space="preserve"> </w:t>
      </w:r>
      <w:r>
        <w:t>Within</w:t>
      </w:r>
      <w:r>
        <w:rPr>
          <w:spacing w:val="-7"/>
        </w:rPr>
        <w:t xml:space="preserve"> </w:t>
      </w:r>
      <w:r>
        <w:t>a</w:t>
      </w:r>
      <w:r>
        <w:rPr>
          <w:spacing w:val="-7"/>
        </w:rPr>
        <w:t xml:space="preserve"> </w:t>
      </w:r>
      <w:r>
        <w:t>census</w:t>
      </w:r>
      <w:r>
        <w:rPr>
          <w:spacing w:val="-7"/>
        </w:rPr>
        <w:t xml:space="preserve"> </w:t>
      </w:r>
      <w:r>
        <w:t>region-based</w:t>
      </w:r>
      <w:r>
        <w:rPr>
          <w:spacing w:val="-7"/>
        </w:rPr>
        <w:t xml:space="preserve"> </w:t>
      </w:r>
      <w:r>
        <w:t>stratum,</w:t>
      </w:r>
      <w:r>
        <w:rPr>
          <w:spacing w:val="-7"/>
        </w:rPr>
        <w:t xml:space="preserve"> </w:t>
      </w:r>
      <w:r>
        <w:t>urban-centric locale cells that were too small were collapsed.</w:t>
      </w:r>
      <w:r>
        <w:rPr>
          <w:spacing w:val="-3"/>
        </w:rPr>
        <w:t xml:space="preserve"> </w:t>
      </w:r>
      <w:r>
        <w:t>The criterion for adequacy was that the cell had to have an expected school sample size of at least six.</w:t>
      </w:r>
    </w:p>
    <w:p w:rsidR="003F5784" w14:paraId="03ACF71D" w14:textId="77777777">
      <w:pPr>
        <w:pStyle w:val="BodyText"/>
        <w:spacing w:before="235" w:line="232" w:lineRule="auto"/>
        <w:ind w:left="109" w:right="179"/>
      </w:pPr>
      <w:r>
        <w:t>The urbanicity variable was equal to the original urban-centric locale if no collapsing was necessary to cover an inadequate original cell. If collapsing was necessary, the scheme</w:t>
      </w:r>
      <w:r>
        <w:rPr>
          <w:spacing w:val="-1"/>
        </w:rPr>
        <w:t xml:space="preserve"> </w:t>
      </w:r>
      <w:r>
        <w:t>was</w:t>
      </w:r>
      <w:r>
        <w:rPr>
          <w:spacing w:val="-1"/>
        </w:rPr>
        <w:t xml:space="preserve"> </w:t>
      </w:r>
      <w:r>
        <w:t>to</w:t>
      </w:r>
      <w:r>
        <w:rPr>
          <w:spacing w:val="-1"/>
        </w:rPr>
        <w:t xml:space="preserve"> </w:t>
      </w:r>
      <w:r>
        <w:t>first</w:t>
      </w:r>
      <w:r>
        <w:rPr>
          <w:spacing w:val="-1"/>
        </w:rPr>
        <w:t xml:space="preserve"> </w:t>
      </w:r>
      <w:r>
        <w:t>collapse</w:t>
      </w:r>
      <w:r>
        <w:rPr>
          <w:spacing w:val="-1"/>
        </w:rPr>
        <w:t xml:space="preserve"> </w:t>
      </w:r>
      <w:r>
        <w:t>within</w:t>
      </w:r>
      <w:r>
        <w:rPr>
          <w:spacing w:val="-1"/>
        </w:rPr>
        <w:t xml:space="preserve"> </w:t>
      </w:r>
      <w:r>
        <w:t>the</w:t>
      </w:r>
      <w:r>
        <w:rPr>
          <w:spacing w:val="-1"/>
        </w:rPr>
        <w:t xml:space="preserve"> </w:t>
      </w:r>
      <w:r>
        <w:t>four</w:t>
      </w:r>
      <w:r>
        <w:rPr>
          <w:spacing w:val="-1"/>
        </w:rPr>
        <w:t xml:space="preserve"> </w:t>
      </w:r>
      <w:r>
        <w:t>major</w:t>
      </w:r>
      <w:r>
        <w:rPr>
          <w:spacing w:val="-1"/>
        </w:rPr>
        <w:t xml:space="preserve"> </w:t>
      </w:r>
      <w:r>
        <w:t>strata</w:t>
      </w:r>
      <w:r>
        <w:rPr>
          <w:spacing w:val="-1"/>
        </w:rPr>
        <w:t xml:space="preserve"> </w:t>
      </w:r>
      <w:r>
        <w:t>(city,</w:t>
      </w:r>
      <w:r>
        <w:rPr>
          <w:spacing w:val="-1"/>
        </w:rPr>
        <w:t xml:space="preserve"> </w:t>
      </w:r>
      <w:r>
        <w:t>suburbs,</w:t>
      </w:r>
      <w:r>
        <w:rPr>
          <w:spacing w:val="-1"/>
        </w:rPr>
        <w:t xml:space="preserve"> </w:t>
      </w:r>
      <w:r>
        <w:t>town,</w:t>
      </w:r>
      <w:r>
        <w:rPr>
          <w:spacing w:val="-1"/>
        </w:rPr>
        <w:t xml:space="preserve"> </w:t>
      </w:r>
      <w:r>
        <w:t>and</w:t>
      </w:r>
      <w:r>
        <w:rPr>
          <w:spacing w:val="-1"/>
        </w:rPr>
        <w:t xml:space="preserve"> </w:t>
      </w:r>
      <w:r>
        <w:t>rural).</w:t>
      </w:r>
      <w:r>
        <w:rPr>
          <w:spacing w:val="-1"/>
        </w:rPr>
        <w:t xml:space="preserve"> </w:t>
      </w:r>
      <w:r>
        <w:t>For</w:t>
      </w:r>
      <w:r>
        <w:rPr>
          <w:spacing w:val="-1"/>
        </w:rPr>
        <w:t xml:space="preserve"> </w:t>
      </w:r>
      <w:r>
        <w:t>example,</w:t>
      </w:r>
      <w:r>
        <w:rPr>
          <w:spacing w:val="-1"/>
        </w:rPr>
        <w:t xml:space="preserve"> </w:t>
      </w:r>
      <w:r>
        <w:t>if</w:t>
      </w:r>
      <w:r>
        <w:rPr>
          <w:spacing w:val="-1"/>
        </w:rPr>
        <w:t xml:space="preserve"> </w:t>
      </w:r>
      <w:r>
        <w:t>the</w:t>
      </w:r>
      <w:r>
        <w:rPr>
          <w:spacing w:val="-1"/>
        </w:rPr>
        <w:t xml:space="preserve"> </w:t>
      </w:r>
      <w:r>
        <w:t>expected</w:t>
      </w:r>
      <w:r>
        <w:rPr>
          <w:spacing w:val="-1"/>
        </w:rPr>
        <w:t xml:space="preserve"> </w:t>
      </w:r>
      <w:r>
        <w:t>number</w:t>
      </w:r>
      <w:r>
        <w:rPr>
          <w:spacing w:val="-1"/>
        </w:rPr>
        <w:t xml:space="preserve"> </w:t>
      </w:r>
      <w:r>
        <w:t>of</w:t>
      </w:r>
      <w:r>
        <w:rPr>
          <w:spacing w:val="-1"/>
        </w:rPr>
        <w:t xml:space="preserve"> </w:t>
      </w:r>
      <w:r>
        <w:t>large</w:t>
      </w:r>
      <w:r>
        <w:rPr>
          <w:spacing w:val="-1"/>
        </w:rPr>
        <w:t xml:space="preserve"> </w:t>
      </w:r>
      <w:r>
        <w:t>city</w:t>
      </w:r>
      <w:r>
        <w:rPr>
          <w:spacing w:val="-1"/>
        </w:rPr>
        <w:t xml:space="preserve"> </w:t>
      </w:r>
      <w:r>
        <w:t>schools</w:t>
      </w:r>
      <w:r>
        <w:rPr>
          <w:spacing w:val="-1"/>
        </w:rPr>
        <w:t xml:space="preserve"> </w:t>
      </w:r>
      <w:r>
        <w:t>sampled</w:t>
      </w:r>
      <w:r>
        <w:rPr>
          <w:spacing w:val="-1"/>
        </w:rPr>
        <w:t xml:space="preserve"> </w:t>
      </w:r>
      <w:r>
        <w:t>was</w:t>
      </w:r>
      <w:r>
        <w:rPr>
          <w:spacing w:val="-1"/>
        </w:rPr>
        <w:t xml:space="preserve"> </w:t>
      </w:r>
      <w:r>
        <w:t>less</w:t>
      </w:r>
      <w:r>
        <w:rPr>
          <w:spacing w:val="-1"/>
        </w:rPr>
        <w:t xml:space="preserve"> </w:t>
      </w:r>
      <w:r>
        <w:t>than</w:t>
      </w:r>
      <w:r>
        <w:rPr>
          <w:spacing w:val="-1"/>
        </w:rPr>
        <w:t xml:space="preserve"> </w:t>
      </w:r>
      <w:r>
        <w:t>six, large</w:t>
      </w:r>
      <w:r>
        <w:rPr>
          <w:spacing w:val="-6"/>
        </w:rPr>
        <w:t xml:space="preserve"> </w:t>
      </w:r>
      <w:r>
        <w:t>city</w:t>
      </w:r>
      <w:r>
        <w:rPr>
          <w:spacing w:val="-6"/>
        </w:rPr>
        <w:t xml:space="preserve"> </w:t>
      </w:r>
      <w:r>
        <w:t>was</w:t>
      </w:r>
      <w:r>
        <w:rPr>
          <w:spacing w:val="-6"/>
        </w:rPr>
        <w:t xml:space="preserve"> </w:t>
      </w:r>
      <w:r>
        <w:t>collapsed</w:t>
      </w:r>
      <w:r>
        <w:rPr>
          <w:spacing w:val="-6"/>
        </w:rPr>
        <w:t xml:space="preserve"> </w:t>
      </w:r>
      <w:r>
        <w:t>with</w:t>
      </w:r>
      <w:r>
        <w:rPr>
          <w:spacing w:val="-6"/>
        </w:rPr>
        <w:t xml:space="preserve"> </w:t>
      </w:r>
      <w:r>
        <w:t>midsize</w:t>
      </w:r>
      <w:r>
        <w:rPr>
          <w:spacing w:val="-6"/>
        </w:rPr>
        <w:t xml:space="preserve"> </w:t>
      </w:r>
      <w:r>
        <w:t>city.</w:t>
      </w:r>
      <w:r>
        <w:rPr>
          <w:spacing w:val="-6"/>
        </w:rPr>
        <w:t xml:space="preserve"> </w:t>
      </w:r>
      <w:r>
        <w:t>If</w:t>
      </w:r>
      <w:r>
        <w:rPr>
          <w:spacing w:val="-6"/>
        </w:rPr>
        <w:t xml:space="preserve"> </w:t>
      </w:r>
      <w:r>
        <w:t>the</w:t>
      </w:r>
      <w:r>
        <w:rPr>
          <w:spacing w:val="-6"/>
        </w:rPr>
        <w:t xml:space="preserve"> </w:t>
      </w:r>
      <w:r>
        <w:t>collapsed</w:t>
      </w:r>
      <w:r>
        <w:rPr>
          <w:spacing w:val="-6"/>
        </w:rPr>
        <w:t xml:space="preserve"> </w:t>
      </w:r>
      <w:r>
        <w:t>cell</w:t>
      </w:r>
      <w:r>
        <w:rPr>
          <w:spacing w:val="-6"/>
        </w:rPr>
        <w:t xml:space="preserve"> </w:t>
      </w:r>
      <w:r>
        <w:t>was</w:t>
      </w:r>
      <w:r>
        <w:rPr>
          <w:spacing w:val="-6"/>
        </w:rPr>
        <w:t xml:space="preserve"> </w:t>
      </w:r>
      <w:r>
        <w:t>still</w:t>
      </w:r>
      <w:r>
        <w:rPr>
          <w:spacing w:val="-6"/>
        </w:rPr>
        <w:t xml:space="preserve"> </w:t>
      </w:r>
      <w:r>
        <w:t>inadequate,</w:t>
      </w:r>
      <w:r>
        <w:rPr>
          <w:spacing w:val="-6"/>
        </w:rPr>
        <w:t xml:space="preserve"> </w:t>
      </w:r>
      <w:r>
        <w:t>they</w:t>
      </w:r>
      <w:r>
        <w:rPr>
          <w:spacing w:val="-6"/>
        </w:rPr>
        <w:t xml:space="preserve"> </w:t>
      </w:r>
      <w:r>
        <w:t>were</w:t>
      </w:r>
      <w:r>
        <w:rPr>
          <w:spacing w:val="-6"/>
        </w:rPr>
        <w:t xml:space="preserve"> </w:t>
      </w:r>
      <w:r>
        <w:t>further</w:t>
      </w:r>
      <w:r>
        <w:rPr>
          <w:spacing w:val="-6"/>
        </w:rPr>
        <w:t xml:space="preserve"> </w:t>
      </w:r>
      <w:r>
        <w:t>collapsed</w:t>
      </w:r>
      <w:r>
        <w:rPr>
          <w:spacing w:val="-6"/>
        </w:rPr>
        <w:t xml:space="preserve"> </w:t>
      </w:r>
      <w:r>
        <w:t>with</w:t>
      </w:r>
      <w:r>
        <w:rPr>
          <w:spacing w:val="-6"/>
        </w:rPr>
        <w:t xml:space="preserve"> </w:t>
      </w:r>
      <w:r>
        <w:t>small</w:t>
      </w:r>
      <w:r>
        <w:rPr>
          <w:spacing w:val="-6"/>
        </w:rPr>
        <w:t xml:space="preserve"> </w:t>
      </w:r>
      <w:r>
        <w:t>city.</w:t>
      </w:r>
      <w:r>
        <w:rPr>
          <w:spacing w:val="-6"/>
        </w:rPr>
        <w:t xml:space="preserve"> </w:t>
      </w:r>
      <w:r>
        <w:t>If</w:t>
      </w:r>
      <w:r>
        <w:rPr>
          <w:spacing w:val="-6"/>
        </w:rPr>
        <w:t xml:space="preserve"> </w:t>
      </w:r>
      <w:r>
        <w:t>a</w:t>
      </w:r>
      <w:r>
        <w:rPr>
          <w:spacing w:val="-6"/>
        </w:rPr>
        <w:t xml:space="preserve"> </w:t>
      </w:r>
      <w:r>
        <w:t>major</w:t>
      </w:r>
      <w:r>
        <w:rPr>
          <w:spacing w:val="-6"/>
        </w:rPr>
        <w:t xml:space="preserve"> </w:t>
      </w:r>
      <w:r>
        <w:t>stratum</w:t>
      </w:r>
      <w:r>
        <w:rPr>
          <w:spacing w:val="-6"/>
        </w:rPr>
        <w:t xml:space="preserve"> </w:t>
      </w:r>
      <w:r>
        <w:t>cell</w:t>
      </w:r>
      <w:r>
        <w:rPr>
          <w:spacing w:val="-6"/>
        </w:rPr>
        <w:t xml:space="preserve"> </w:t>
      </w:r>
      <w:r>
        <w:t>(all</w:t>
      </w:r>
      <w:r>
        <w:rPr>
          <w:spacing w:val="-6"/>
        </w:rPr>
        <w:t xml:space="preserve"> </w:t>
      </w:r>
      <w:r>
        <w:t>three</w:t>
      </w:r>
      <w:r>
        <w:rPr>
          <w:spacing w:val="-6"/>
        </w:rPr>
        <w:t xml:space="preserve"> </w:t>
      </w:r>
      <w:r>
        <w:t>cells</w:t>
      </w:r>
      <w:r>
        <w:rPr>
          <w:spacing w:val="-6"/>
        </w:rPr>
        <w:t xml:space="preserve"> </w:t>
      </w:r>
      <w:r>
        <w:t>collapsed together) was still deficient, it was collapsed with a neighboring major stratum cell. For example, city would be collapsed with suburbs.</w:t>
      </w:r>
    </w:p>
    <w:p w:rsidR="003F5784" w14:paraId="1D90D22D" w14:textId="77777777">
      <w:pPr>
        <w:pStyle w:val="BodyText"/>
        <w:spacing w:before="236" w:line="232" w:lineRule="auto"/>
        <w:ind w:left="109" w:right="179"/>
      </w:pPr>
      <w:r>
        <w:t>The</w:t>
      </w:r>
      <w:r>
        <w:rPr>
          <w:spacing w:val="-4"/>
        </w:rPr>
        <w:t xml:space="preserve"> </w:t>
      </w:r>
      <w:r>
        <w:t>last</w:t>
      </w:r>
      <w:r>
        <w:rPr>
          <w:spacing w:val="-4"/>
        </w:rPr>
        <w:t xml:space="preserve"> </w:t>
      </w:r>
      <w:r>
        <w:t>stage</w:t>
      </w:r>
      <w:r>
        <w:rPr>
          <w:spacing w:val="-4"/>
        </w:rPr>
        <w:t xml:space="preserve"> </w:t>
      </w:r>
      <w:r>
        <w:t>of</w:t>
      </w:r>
      <w:r>
        <w:rPr>
          <w:spacing w:val="-4"/>
        </w:rPr>
        <w:t xml:space="preserve"> </w:t>
      </w:r>
      <w:r>
        <w:t>stratification</w:t>
      </w:r>
      <w:r>
        <w:rPr>
          <w:spacing w:val="-4"/>
        </w:rPr>
        <w:t xml:space="preserve"> </w:t>
      </w:r>
      <w:r>
        <w:t>was</w:t>
      </w:r>
      <w:r>
        <w:rPr>
          <w:spacing w:val="-4"/>
        </w:rPr>
        <w:t xml:space="preserve"> </w:t>
      </w:r>
      <w:r>
        <w:t>a</w:t>
      </w:r>
      <w:r>
        <w:rPr>
          <w:spacing w:val="-4"/>
        </w:rPr>
        <w:t xml:space="preserve"> </w:t>
      </w:r>
      <w:r>
        <w:t>division</w:t>
      </w:r>
      <w:r>
        <w:rPr>
          <w:spacing w:val="-4"/>
        </w:rPr>
        <w:t xml:space="preserve"> </w:t>
      </w:r>
      <w:r>
        <w:t>of</w:t>
      </w:r>
      <w:r>
        <w:rPr>
          <w:spacing w:val="-4"/>
        </w:rPr>
        <w:t xml:space="preserve"> </w:t>
      </w:r>
      <w:r>
        <w:t>the</w:t>
      </w:r>
      <w:r>
        <w:rPr>
          <w:spacing w:val="-4"/>
        </w:rPr>
        <w:t xml:space="preserve"> </w:t>
      </w:r>
      <w:r>
        <w:t>geographic/urbanicity</w:t>
      </w:r>
      <w:r>
        <w:rPr>
          <w:spacing w:val="-4"/>
        </w:rPr>
        <w:t xml:space="preserve"> </w:t>
      </w:r>
      <w:r>
        <w:t>strata</w:t>
      </w:r>
      <w:r>
        <w:rPr>
          <w:spacing w:val="-4"/>
        </w:rPr>
        <w:t xml:space="preserve"> </w:t>
      </w:r>
      <w:r>
        <w:t>into</w:t>
      </w:r>
      <w:r>
        <w:rPr>
          <w:spacing w:val="-4"/>
        </w:rPr>
        <w:t xml:space="preserve"> </w:t>
      </w:r>
      <w:r>
        <w:t>race/ethnicity</w:t>
      </w:r>
      <w:r>
        <w:rPr>
          <w:spacing w:val="-4"/>
        </w:rPr>
        <w:t xml:space="preserve"> </w:t>
      </w:r>
      <w:r>
        <w:t>strata</w:t>
      </w:r>
      <w:r>
        <w:rPr>
          <w:spacing w:val="-4"/>
        </w:rPr>
        <w:t xml:space="preserve"> </w:t>
      </w:r>
      <w:r>
        <w:t>if</w:t>
      </w:r>
      <w:r>
        <w:rPr>
          <w:spacing w:val="-4"/>
        </w:rPr>
        <w:t xml:space="preserve"> </w:t>
      </w:r>
      <w:r>
        <w:t>the</w:t>
      </w:r>
      <w:r>
        <w:rPr>
          <w:spacing w:val="-4"/>
        </w:rPr>
        <w:t xml:space="preserve"> </w:t>
      </w:r>
      <w:r>
        <w:t>expected</w:t>
      </w:r>
      <w:r>
        <w:rPr>
          <w:spacing w:val="-4"/>
        </w:rPr>
        <w:t xml:space="preserve"> </w:t>
      </w:r>
      <w:r>
        <w:t>number</w:t>
      </w:r>
      <w:r>
        <w:rPr>
          <w:spacing w:val="-4"/>
        </w:rPr>
        <w:t xml:space="preserve"> </w:t>
      </w:r>
      <w:r>
        <w:t>of</w:t>
      </w:r>
      <w:r>
        <w:rPr>
          <w:spacing w:val="-4"/>
        </w:rPr>
        <w:t xml:space="preserve"> </w:t>
      </w:r>
      <w:r>
        <w:t>schools</w:t>
      </w:r>
      <w:r>
        <w:rPr>
          <w:spacing w:val="-4"/>
        </w:rPr>
        <w:t xml:space="preserve"> </w:t>
      </w:r>
      <w:r>
        <w:t>sampled</w:t>
      </w:r>
      <w:r>
        <w:rPr>
          <w:spacing w:val="-4"/>
        </w:rPr>
        <w:t xml:space="preserve"> </w:t>
      </w:r>
      <w:r>
        <w:t>was</w:t>
      </w:r>
      <w:r>
        <w:rPr>
          <w:spacing w:val="-4"/>
        </w:rPr>
        <w:t xml:space="preserve"> </w:t>
      </w:r>
      <w:r>
        <w:t>large</w:t>
      </w:r>
      <w:r>
        <w:rPr>
          <w:spacing w:val="-4"/>
        </w:rPr>
        <w:t xml:space="preserve"> </w:t>
      </w:r>
      <w:r>
        <w:t>enough</w:t>
      </w:r>
      <w:r>
        <w:rPr>
          <w:spacing w:val="-4"/>
        </w:rPr>
        <w:t xml:space="preserve"> </w:t>
      </w:r>
      <w:r>
        <w:t>(i.e.,</w:t>
      </w:r>
      <w:r>
        <w:rPr>
          <w:spacing w:val="-4"/>
        </w:rPr>
        <w:t xml:space="preserve"> </w:t>
      </w:r>
      <w:r>
        <w:t>at least</w:t>
      </w:r>
      <w:r>
        <w:rPr>
          <w:spacing w:val="-6"/>
        </w:rPr>
        <w:t xml:space="preserve"> </w:t>
      </w:r>
      <w:r>
        <w:t>equal</w:t>
      </w:r>
      <w:r>
        <w:rPr>
          <w:spacing w:val="-6"/>
        </w:rPr>
        <w:t xml:space="preserve"> </w:t>
      </w:r>
      <w:r>
        <w:t>to</w:t>
      </w:r>
      <w:r>
        <w:rPr>
          <w:spacing w:val="-6"/>
        </w:rPr>
        <w:t xml:space="preserve"> </w:t>
      </w:r>
      <w:r>
        <w:t>12).</w:t>
      </w:r>
      <w:r>
        <w:rPr>
          <w:spacing w:val="-9"/>
        </w:rPr>
        <w:t xml:space="preserve"> </w:t>
      </w:r>
      <w:r>
        <w:t>This</w:t>
      </w:r>
      <w:r>
        <w:rPr>
          <w:spacing w:val="-6"/>
        </w:rPr>
        <w:t xml:space="preserve"> </w:t>
      </w:r>
      <w:r>
        <w:t>was</w:t>
      </w:r>
      <w:r>
        <w:rPr>
          <w:spacing w:val="-6"/>
        </w:rPr>
        <w:t xml:space="preserve"> </w:t>
      </w:r>
      <w:r>
        <w:t>done</w:t>
      </w:r>
      <w:r>
        <w:rPr>
          <w:spacing w:val="-6"/>
        </w:rPr>
        <w:t xml:space="preserve"> </w:t>
      </w:r>
      <w:r>
        <w:t>by</w:t>
      </w:r>
      <w:r>
        <w:rPr>
          <w:spacing w:val="-6"/>
        </w:rPr>
        <w:t xml:space="preserve"> </w:t>
      </w:r>
      <w:r>
        <w:t>deciding</w:t>
      </w:r>
      <w:r>
        <w:rPr>
          <w:spacing w:val="-6"/>
        </w:rPr>
        <w:t xml:space="preserve"> </w:t>
      </w:r>
      <w:r>
        <w:t>first</w:t>
      </w:r>
      <w:r>
        <w:rPr>
          <w:spacing w:val="-6"/>
        </w:rPr>
        <w:t xml:space="preserve"> </w:t>
      </w:r>
      <w:r>
        <w:t>on</w:t>
      </w:r>
      <w:r>
        <w:rPr>
          <w:spacing w:val="-6"/>
        </w:rPr>
        <w:t xml:space="preserve"> </w:t>
      </w:r>
      <w:r>
        <w:t>the</w:t>
      </w:r>
      <w:r>
        <w:rPr>
          <w:spacing w:val="-6"/>
        </w:rPr>
        <w:t xml:space="preserve"> </w:t>
      </w:r>
      <w:r>
        <w:t>number</w:t>
      </w:r>
      <w:r>
        <w:rPr>
          <w:spacing w:val="-6"/>
        </w:rPr>
        <w:t xml:space="preserve"> </w:t>
      </w:r>
      <w:r>
        <w:t>of</w:t>
      </w:r>
      <w:r>
        <w:rPr>
          <w:spacing w:val="-6"/>
        </w:rPr>
        <w:t xml:space="preserve"> </w:t>
      </w:r>
      <w:r>
        <w:t>race/ethnicity</w:t>
      </w:r>
      <w:r>
        <w:rPr>
          <w:spacing w:val="-6"/>
        </w:rPr>
        <w:t xml:space="preserve"> </w:t>
      </w:r>
      <w:r>
        <w:t>strata</w:t>
      </w:r>
      <w:r>
        <w:rPr>
          <w:spacing w:val="-6"/>
        </w:rPr>
        <w:t xml:space="preserve"> </w:t>
      </w:r>
      <w:r>
        <w:t>and</w:t>
      </w:r>
      <w:r>
        <w:rPr>
          <w:spacing w:val="-6"/>
        </w:rPr>
        <w:t xml:space="preserve"> </w:t>
      </w:r>
      <w:r>
        <w:t>then</w:t>
      </w:r>
      <w:r>
        <w:rPr>
          <w:spacing w:val="-6"/>
        </w:rPr>
        <w:t xml:space="preserve"> </w:t>
      </w:r>
      <w:r>
        <w:t>dividing</w:t>
      </w:r>
      <w:r>
        <w:rPr>
          <w:spacing w:val="-6"/>
        </w:rPr>
        <w:t xml:space="preserve"> </w:t>
      </w:r>
      <w:r>
        <w:t>the</w:t>
      </w:r>
      <w:r>
        <w:rPr>
          <w:spacing w:val="-6"/>
        </w:rPr>
        <w:t xml:space="preserve"> </w:t>
      </w:r>
      <w:r>
        <w:t>geography/urbanicity</w:t>
      </w:r>
      <w:r>
        <w:rPr>
          <w:spacing w:val="-6"/>
        </w:rPr>
        <w:t xml:space="preserve"> </w:t>
      </w:r>
      <w:r>
        <w:t>stratum</w:t>
      </w:r>
      <w:r>
        <w:rPr>
          <w:spacing w:val="-6"/>
        </w:rPr>
        <w:t xml:space="preserve"> </w:t>
      </w:r>
      <w:r>
        <w:t>into</w:t>
      </w:r>
      <w:r>
        <w:rPr>
          <w:spacing w:val="-6"/>
        </w:rPr>
        <w:t xml:space="preserve"> </w:t>
      </w:r>
      <w:r>
        <w:t>that</w:t>
      </w:r>
      <w:r>
        <w:rPr>
          <w:spacing w:val="-6"/>
        </w:rPr>
        <w:t xml:space="preserve"> </w:t>
      </w:r>
      <w:r>
        <w:t>many</w:t>
      </w:r>
      <w:r>
        <w:rPr>
          <w:spacing w:val="-6"/>
        </w:rPr>
        <w:t xml:space="preserve"> </w:t>
      </w:r>
      <w:r>
        <w:t>pieces.</w:t>
      </w:r>
      <w:r>
        <w:rPr>
          <w:spacing w:val="-9"/>
        </w:rPr>
        <w:t xml:space="preserve"> </w:t>
      </w:r>
      <w:r>
        <w:t>The</w:t>
      </w:r>
      <w:r>
        <w:rPr>
          <w:spacing w:val="-6"/>
        </w:rPr>
        <w:t xml:space="preserve"> </w:t>
      </w:r>
      <w:r>
        <w:t>school frame was sorted by the percentage of students in each school who were Black, Hispanic, or</w:t>
      </w:r>
      <w:r>
        <w:rPr>
          <w:spacing w:val="-10"/>
        </w:rPr>
        <w:t xml:space="preserve"> </w:t>
      </w:r>
      <w:r>
        <w:t>American Indian/Alaska Native.</w:t>
      </w:r>
      <w:r>
        <w:rPr>
          <w:spacing w:val="-3"/>
        </w:rPr>
        <w:t xml:space="preserve"> </w:t>
      </w:r>
      <w:r>
        <w:t>The three racial/ethnic groups defining the race/ethnicity strata were those that have historically performed substantially lower on NAEP</w:t>
      </w:r>
      <w:r>
        <w:rPr>
          <w:spacing w:val="-7"/>
        </w:rPr>
        <w:t xml:space="preserve"> </w:t>
      </w:r>
      <w:r>
        <w:t>assessments than</w:t>
      </w:r>
      <w:r>
        <w:rPr>
          <w:spacing w:val="-3"/>
        </w:rPr>
        <w:t xml:space="preserve"> </w:t>
      </w:r>
      <w:r>
        <w:t>White students.</w:t>
      </w:r>
      <w:r>
        <w:rPr>
          <w:spacing w:val="-3"/>
        </w:rPr>
        <w:t xml:space="preserve"> </w:t>
      </w:r>
      <w:r>
        <w:t>The sorted list was then divided into pieces, with roughly an equal expected number of sampled schools in each piece.</w:t>
      </w:r>
    </w:p>
    <w:p w:rsidR="003F5784" w14:paraId="57DBDC7E" w14:textId="77777777">
      <w:pPr>
        <w:pStyle w:val="BodyText"/>
        <w:spacing w:before="230"/>
        <w:ind w:left="109"/>
      </w:pPr>
      <w:r>
        <w:t>Finally,</w:t>
      </w:r>
      <w:r>
        <w:rPr>
          <w:spacing w:val="-9"/>
        </w:rPr>
        <w:t xml:space="preserve"> </w:t>
      </w:r>
      <w:r>
        <w:t>schools</w:t>
      </w:r>
      <w:r>
        <w:rPr>
          <w:spacing w:val="-8"/>
        </w:rPr>
        <w:t xml:space="preserve"> </w:t>
      </w:r>
      <w:r>
        <w:t>were</w:t>
      </w:r>
      <w:r>
        <w:rPr>
          <w:spacing w:val="-8"/>
        </w:rPr>
        <w:t xml:space="preserve"> </w:t>
      </w:r>
      <w:r>
        <w:t>sorted</w:t>
      </w:r>
      <w:r>
        <w:rPr>
          <w:spacing w:val="-8"/>
        </w:rPr>
        <w:t xml:space="preserve"> </w:t>
      </w:r>
      <w:r>
        <w:t>within</w:t>
      </w:r>
      <w:r>
        <w:rPr>
          <w:spacing w:val="-8"/>
        </w:rPr>
        <w:t xml:space="preserve"> </w:t>
      </w:r>
      <w:r>
        <w:t>stratification</w:t>
      </w:r>
      <w:r>
        <w:rPr>
          <w:spacing w:val="-8"/>
        </w:rPr>
        <w:t xml:space="preserve"> </w:t>
      </w:r>
      <w:r>
        <w:t>cells</w:t>
      </w:r>
      <w:r>
        <w:rPr>
          <w:spacing w:val="-8"/>
        </w:rPr>
        <w:t xml:space="preserve"> </w:t>
      </w:r>
      <w:r>
        <w:t>by</w:t>
      </w:r>
      <w:r>
        <w:rPr>
          <w:spacing w:val="-8"/>
        </w:rPr>
        <w:t xml:space="preserve"> </w:t>
      </w:r>
      <w:r>
        <w:t>estimated</w:t>
      </w:r>
      <w:r>
        <w:rPr>
          <w:spacing w:val="-8"/>
        </w:rPr>
        <w:t xml:space="preserve"> </w:t>
      </w:r>
      <w:r>
        <w:t>grade</w:t>
      </w:r>
      <w:r>
        <w:rPr>
          <w:spacing w:val="-8"/>
        </w:rPr>
        <w:t xml:space="preserve"> </w:t>
      </w:r>
      <w:r>
        <w:rPr>
          <w:spacing w:val="-2"/>
        </w:rPr>
        <w:t>enrollment.</w:t>
      </w:r>
    </w:p>
    <w:p w:rsidR="003F5784" w14:paraId="28A6A6F1" w14:textId="77777777">
      <w:pPr>
        <w:pStyle w:val="BodyText"/>
      </w:pPr>
    </w:p>
    <w:p w:rsidR="003F5784" w14:paraId="1C5F24E0" w14:textId="77777777">
      <w:pPr>
        <w:pStyle w:val="BodyText"/>
      </w:pPr>
    </w:p>
    <w:p w:rsidR="003F5784" w14:paraId="09165722" w14:textId="77777777">
      <w:pPr>
        <w:pStyle w:val="BodyText"/>
        <w:spacing w:before="157"/>
      </w:pPr>
    </w:p>
    <w:p w:rsidR="003F5784" w14:paraId="391957D8" w14:textId="77777777">
      <w:pPr>
        <w:ind w:left="1645"/>
        <w:rPr>
          <w:sz w:val="18"/>
        </w:rPr>
      </w:pPr>
      <w:hyperlink r:id="rId36">
        <w:r>
          <w:rPr>
            <w:spacing w:val="-2"/>
            <w:w w:val="105"/>
            <w:sz w:val="18"/>
          </w:rPr>
          <w:t>http://nces.ed.gov/nationsreportcard/tdw/sample_design/2022/stratification_of_schools_for_the_2022_eighth_grade_private_school_nat_assess_in_civics_and_us_history.aspx</w:t>
        </w:r>
      </w:hyperlink>
    </w:p>
    <w:p w:rsidR="003F5784" w14:paraId="1C4BBE8E" w14:textId="77777777">
      <w:pPr>
        <w:pStyle w:val="BodyText"/>
        <w:spacing w:before="11"/>
        <w:rPr>
          <w:sz w:val="14"/>
        </w:rPr>
      </w:pPr>
      <w:r>
        <w:rPr>
          <w:noProof/>
        </w:rPr>
        <mc:AlternateContent>
          <mc:Choice Requires="wps">
            <w:drawing>
              <wp:anchor distT="0" distB="0" distL="0" distR="0" simplePos="0" relativeHeight="251749376" behindDoc="1" locked="0" layoutInCell="1" allowOverlap="1">
                <wp:simplePos x="0" y="0"/>
                <wp:positionH relativeFrom="page">
                  <wp:posOffset>361937</wp:posOffset>
                </wp:positionH>
                <wp:positionV relativeFrom="paragraph">
                  <wp:posOffset>124451</wp:posOffset>
                </wp:positionV>
                <wp:extent cx="9339580" cy="8890"/>
                <wp:effectExtent l="0" t="0" r="0" b="0"/>
                <wp:wrapTopAndBottom/>
                <wp:docPr id="50" name="Graphic 50"/>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0" o:spid="_x0000_s1042" style="width:735.4pt;height:0.7pt;margin-top:9.8pt;margin-left:28.5pt;mso-position-horizontal-relative:page;mso-wrap-distance-bottom:0;mso-wrap-distance-left:0;mso-wrap-distance-right:0;mso-wrap-distance-top:0;mso-wrap-style:square;position:absolute;visibility:visible;v-text-anchor:top;z-index:-251566080" coordsize="9339580,8890" path="m9338970,l9335110,l8280,,,,,8280l8280,8280l9335110,8280l9338970,8280l9338970,xe" fillcolor="gray" stroked="f">
                <v:path arrowok="t"/>
                <w10:wrap type="topAndBottom"/>
              </v:shape>
            </w:pict>
          </mc:Fallback>
        </mc:AlternateContent>
      </w:r>
    </w:p>
    <w:p w:rsidR="003F5784" w14:paraId="20DA1332" w14:textId="77777777">
      <w:pPr>
        <w:rPr>
          <w:sz w:val="14"/>
        </w:rPr>
        <w:sectPr>
          <w:pgSz w:w="15840" w:h="12240" w:orient="landscape"/>
          <w:pgMar w:top="480" w:right="440" w:bottom="460" w:left="460" w:header="284" w:footer="275" w:gutter="0"/>
          <w:cols w:space="720"/>
        </w:sectPr>
      </w:pPr>
    </w:p>
    <w:p w:rsidR="003F5784" w14:paraId="691F352F" w14:textId="2D2CC988">
      <w:pPr>
        <w:pStyle w:val="Heading1"/>
        <w:spacing w:before="81" w:line="244" w:lineRule="auto"/>
      </w:pPr>
      <w:r>
        <w:t>NAEP</w:t>
      </w:r>
      <w:r>
        <w:rPr>
          <w:spacing w:val="-15"/>
        </w:rPr>
        <w:t xml:space="preserve"> </w:t>
      </w:r>
      <w:r>
        <w:t>Technical Documentation</w:t>
      </w:r>
      <w:r w:rsidR="007073E7">
        <w:t xml:space="preserve"> </w:t>
      </w:r>
      <w:r>
        <w:t>Student Sample Selection for the 2022 Eighth- Grade</w:t>
      </w:r>
      <w:r>
        <w:rPr>
          <w:spacing w:val="40"/>
        </w:rPr>
        <w:t xml:space="preserve"> </w:t>
      </w:r>
      <w:r>
        <w:t>Private</w:t>
      </w:r>
      <w:r>
        <w:rPr>
          <w:spacing w:val="40"/>
        </w:rPr>
        <w:t xml:space="preserve"> </w:t>
      </w:r>
      <w:r>
        <w:t>School</w:t>
      </w:r>
      <w:r>
        <w:rPr>
          <w:spacing w:val="40"/>
        </w:rPr>
        <w:t xml:space="preserve"> </w:t>
      </w:r>
      <w:r>
        <w:t>National Assessment</w:t>
      </w:r>
      <w:r>
        <w:rPr>
          <w:spacing w:val="40"/>
        </w:rPr>
        <w:t xml:space="preserve"> </w:t>
      </w:r>
      <w:r>
        <w:t>in</w:t>
      </w:r>
      <w:r>
        <w:rPr>
          <w:spacing w:val="40"/>
        </w:rPr>
        <w:t xml:space="preserve"> </w:t>
      </w:r>
      <w:r>
        <w:t>Civics</w:t>
      </w:r>
      <w:r>
        <w:rPr>
          <w:spacing w:val="40"/>
        </w:rPr>
        <w:t xml:space="preserve"> </w:t>
      </w:r>
      <w:r>
        <w:t>and</w:t>
      </w:r>
      <w:r>
        <w:rPr>
          <w:spacing w:val="40"/>
        </w:rPr>
        <w:t xml:space="preserve"> </w:t>
      </w:r>
      <w:r>
        <w:t>U.S.</w:t>
      </w:r>
      <w:r>
        <w:rPr>
          <w:spacing w:val="40"/>
        </w:rPr>
        <w:t xml:space="preserve"> </w:t>
      </w:r>
      <w:r>
        <w:t>History</w:t>
      </w:r>
    </w:p>
    <w:p w:rsidR="003F5784" w14:paraId="6D484BF9" w14:textId="77777777">
      <w:pPr>
        <w:pStyle w:val="BodyText"/>
        <w:spacing w:before="245"/>
        <w:rPr>
          <w:b/>
          <w:sz w:val="41"/>
        </w:rPr>
      </w:pPr>
    </w:p>
    <w:p w:rsidR="003F5784" w14:paraId="099791FC" w14:textId="77777777">
      <w:pPr>
        <w:pStyle w:val="BodyText"/>
        <w:spacing w:line="232" w:lineRule="auto"/>
        <w:ind w:left="109"/>
      </w:pPr>
      <w:r>
        <w:t>The</w:t>
      </w:r>
      <w:r>
        <w:rPr>
          <w:spacing w:val="-6"/>
        </w:rPr>
        <w:t xml:space="preserve"> </w:t>
      </w:r>
      <w:r>
        <w:t>sampling</w:t>
      </w:r>
      <w:r>
        <w:rPr>
          <w:spacing w:val="-6"/>
        </w:rPr>
        <w:t xml:space="preserve"> </w:t>
      </w:r>
      <w:r>
        <w:t>of</w:t>
      </w:r>
      <w:r>
        <w:rPr>
          <w:spacing w:val="-6"/>
        </w:rPr>
        <w:t xml:space="preserve"> </w:t>
      </w:r>
      <w:r>
        <w:t>students</w:t>
      </w:r>
      <w:r>
        <w:rPr>
          <w:spacing w:val="-6"/>
        </w:rPr>
        <w:t xml:space="preserve"> </w:t>
      </w:r>
      <w:r>
        <w:t>for</w:t>
      </w:r>
      <w:r>
        <w:rPr>
          <w:spacing w:val="-6"/>
        </w:rPr>
        <w:t xml:space="preserve"> </w:t>
      </w:r>
      <w:r>
        <w:t>the</w:t>
      </w:r>
      <w:r>
        <w:rPr>
          <w:spacing w:val="-6"/>
        </w:rPr>
        <w:t xml:space="preserve"> </w:t>
      </w:r>
      <w:r>
        <w:t>private</w:t>
      </w:r>
      <w:r>
        <w:rPr>
          <w:spacing w:val="-6"/>
        </w:rPr>
        <w:t xml:space="preserve"> </w:t>
      </w:r>
      <w:r>
        <w:t>school</w:t>
      </w:r>
      <w:r>
        <w:rPr>
          <w:spacing w:val="-6"/>
        </w:rPr>
        <w:t xml:space="preserve"> </w:t>
      </w:r>
      <w:r>
        <w:t>assessments</w:t>
      </w:r>
      <w:r>
        <w:rPr>
          <w:spacing w:val="-6"/>
        </w:rPr>
        <w:t xml:space="preserve"> </w:t>
      </w:r>
      <w:r>
        <w:t>in</w:t>
      </w:r>
      <w:r>
        <w:rPr>
          <w:spacing w:val="-6"/>
        </w:rPr>
        <w:t xml:space="preserve"> </w:t>
      </w:r>
      <w:r>
        <w:t>civics</w:t>
      </w:r>
      <w:r>
        <w:rPr>
          <w:spacing w:val="-6"/>
        </w:rPr>
        <w:t xml:space="preserve"> </w:t>
      </w:r>
      <w:r>
        <w:t>and</w:t>
      </w:r>
      <w:r>
        <w:rPr>
          <w:spacing w:val="-6"/>
        </w:rPr>
        <w:t xml:space="preserve"> </w:t>
      </w:r>
      <w:r>
        <w:t>U.S.</w:t>
      </w:r>
      <w:r>
        <w:rPr>
          <w:spacing w:val="-6"/>
        </w:rPr>
        <w:t xml:space="preserve"> </w:t>
      </w:r>
      <w:r>
        <w:t>history</w:t>
      </w:r>
      <w:r>
        <w:rPr>
          <w:spacing w:val="-6"/>
        </w:rPr>
        <w:t xml:space="preserve"> </w:t>
      </w:r>
      <w:r>
        <w:t>at</w:t>
      </w:r>
      <w:r>
        <w:rPr>
          <w:spacing w:val="-6"/>
        </w:rPr>
        <w:t xml:space="preserve"> </w:t>
      </w:r>
      <w:r>
        <w:t>eighth</w:t>
      </w:r>
      <w:r>
        <w:rPr>
          <w:spacing w:val="-6"/>
        </w:rPr>
        <w:t xml:space="preserve"> </w:t>
      </w:r>
      <w:r>
        <w:t>grade</w:t>
      </w:r>
      <w:r>
        <w:rPr>
          <w:spacing w:val="-6"/>
        </w:rPr>
        <w:t xml:space="preserve"> </w:t>
      </w:r>
      <w:r>
        <w:t>involved</w:t>
      </w:r>
      <w:r>
        <w:rPr>
          <w:spacing w:val="-6"/>
        </w:rPr>
        <w:t xml:space="preserve"> </w:t>
      </w:r>
      <w:r>
        <w:t>two</w:t>
      </w:r>
      <w:r>
        <w:rPr>
          <w:spacing w:val="-6"/>
        </w:rPr>
        <w:t xml:space="preserve"> </w:t>
      </w:r>
      <w:r>
        <w:t>steps:</w:t>
      </w:r>
      <w:r>
        <w:rPr>
          <w:spacing w:val="-6"/>
        </w:rPr>
        <w:t xml:space="preserve"> </w:t>
      </w:r>
      <w:r>
        <w:t>(1)</w:t>
      </w:r>
      <w:r>
        <w:rPr>
          <w:spacing w:val="-6"/>
        </w:rPr>
        <w:t xml:space="preserve"> </w:t>
      </w:r>
      <w:r>
        <w:t>sampling</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targeted</w:t>
      </w:r>
      <w:r>
        <w:rPr>
          <w:spacing w:val="-6"/>
        </w:rPr>
        <w:t xml:space="preserve"> </w:t>
      </w:r>
      <w:r>
        <w:t>grade</w:t>
      </w:r>
      <w:r>
        <w:rPr>
          <w:spacing w:val="-6"/>
        </w:rPr>
        <w:t xml:space="preserve"> </w:t>
      </w:r>
      <w:r>
        <w:t>(eighth) from each sampled school, and (2) assignment of assessment subject (civics or U.S. history) to the sampled students.</w:t>
      </w:r>
    </w:p>
    <w:p w:rsidR="003F5784" w14:paraId="16C83436" w14:textId="77777777">
      <w:pPr>
        <w:pStyle w:val="Heading2"/>
        <w:spacing w:before="203"/>
        <w:ind w:left="109"/>
      </w:pPr>
      <w:r>
        <w:t>Sampling</w:t>
      </w:r>
      <w:r>
        <w:rPr>
          <w:spacing w:val="-9"/>
        </w:rPr>
        <w:t xml:space="preserve"> </w:t>
      </w:r>
      <w:r>
        <w:t>Students</w:t>
      </w:r>
      <w:r>
        <w:rPr>
          <w:spacing w:val="-8"/>
        </w:rPr>
        <w:t xml:space="preserve"> </w:t>
      </w:r>
      <w:r>
        <w:t>within</w:t>
      </w:r>
      <w:r>
        <w:rPr>
          <w:spacing w:val="-9"/>
        </w:rPr>
        <w:t xml:space="preserve"> </w:t>
      </w:r>
      <w:r>
        <w:t>Sampled</w:t>
      </w:r>
      <w:r>
        <w:rPr>
          <w:spacing w:val="-8"/>
        </w:rPr>
        <w:t xml:space="preserve"> </w:t>
      </w:r>
      <w:r>
        <w:rPr>
          <w:spacing w:val="-2"/>
        </w:rPr>
        <w:t>Schools</w:t>
      </w:r>
    </w:p>
    <w:p w:rsidR="003F5784" w14:paraId="1987AFEB" w14:textId="77777777">
      <w:pPr>
        <w:pStyle w:val="BodyText"/>
        <w:spacing w:before="208" w:line="232" w:lineRule="auto"/>
        <w:ind w:left="109"/>
      </w:pPr>
      <w:r>
        <w:t>Within</w:t>
      </w:r>
      <w:r>
        <w:rPr>
          <w:spacing w:val="-6"/>
        </w:rPr>
        <w:t xml:space="preserve"> </w:t>
      </w:r>
      <w:r>
        <w:t>each</w:t>
      </w:r>
      <w:r>
        <w:rPr>
          <w:spacing w:val="-6"/>
        </w:rPr>
        <w:t xml:space="preserve"> </w:t>
      </w:r>
      <w:r>
        <w:t>sampled</w:t>
      </w:r>
      <w:r>
        <w:rPr>
          <w:spacing w:val="-6"/>
        </w:rPr>
        <w:t xml:space="preserve"> </w:t>
      </w:r>
      <w:r>
        <w:t>school,</w:t>
      </w:r>
      <w:r>
        <w:rPr>
          <w:spacing w:val="-6"/>
        </w:rPr>
        <w:t xml:space="preserve"> </w:t>
      </w:r>
      <w:r>
        <w:t>a</w:t>
      </w:r>
      <w:r>
        <w:rPr>
          <w:spacing w:val="-6"/>
        </w:rPr>
        <w:t xml:space="preserve"> </w:t>
      </w:r>
      <w:r>
        <w:rPr>
          <w:color w:val="0066CC"/>
        </w:rPr>
        <w:t>sample</w:t>
      </w:r>
      <w:r>
        <w:rPr>
          <w:color w:val="0066CC"/>
          <w:spacing w:val="-6"/>
        </w:rPr>
        <w:t xml:space="preserve"> </w:t>
      </w:r>
      <w:r>
        <w:t>of</w:t>
      </w:r>
      <w:r>
        <w:rPr>
          <w:spacing w:val="-6"/>
        </w:rPr>
        <w:t xml:space="preserve"> </w:t>
      </w:r>
      <w:r>
        <w:t>students</w:t>
      </w:r>
      <w:r>
        <w:rPr>
          <w:spacing w:val="-6"/>
        </w:rPr>
        <w:t xml:space="preserve"> </w:t>
      </w:r>
      <w:r>
        <w:t>was</w:t>
      </w:r>
      <w:r>
        <w:rPr>
          <w:spacing w:val="-6"/>
        </w:rPr>
        <w:t xml:space="preserve"> </w:t>
      </w:r>
      <w:r>
        <w:t>selected</w:t>
      </w:r>
      <w:r>
        <w:rPr>
          <w:spacing w:val="-6"/>
        </w:rPr>
        <w:t xml:space="preserve"> </w:t>
      </w:r>
      <w:r>
        <w:t>from</w:t>
      </w:r>
      <w:r>
        <w:rPr>
          <w:spacing w:val="-6"/>
        </w:rPr>
        <w:t xml:space="preserve"> </w:t>
      </w:r>
      <w:r>
        <w:t>a</w:t>
      </w:r>
      <w:r>
        <w:rPr>
          <w:spacing w:val="-6"/>
        </w:rPr>
        <w:t xml:space="preserve"> </w:t>
      </w:r>
      <w:r>
        <w:t>list</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targeted</w:t>
      </w:r>
      <w:r>
        <w:rPr>
          <w:spacing w:val="-6"/>
        </w:rPr>
        <w:t xml:space="preserve"> </w:t>
      </w:r>
      <w:r>
        <w:t>grade</w:t>
      </w:r>
      <w:r>
        <w:rPr>
          <w:spacing w:val="-6"/>
        </w:rPr>
        <w:t xml:space="preserve"> </w:t>
      </w:r>
      <w:r>
        <w:t>such</w:t>
      </w:r>
      <w:r>
        <w:rPr>
          <w:spacing w:val="-6"/>
        </w:rPr>
        <w:t xml:space="preserve"> </w:t>
      </w:r>
      <w:r>
        <w:t>that</w:t>
      </w:r>
      <w:r>
        <w:rPr>
          <w:spacing w:val="-6"/>
        </w:rPr>
        <w:t xml:space="preserve"> </w:t>
      </w:r>
      <w:r>
        <w:t>every</w:t>
      </w:r>
      <w:r>
        <w:rPr>
          <w:spacing w:val="-6"/>
        </w:rPr>
        <w:t xml:space="preserve"> </w:t>
      </w:r>
      <w:r>
        <w:t>student</w:t>
      </w:r>
      <w:r>
        <w:rPr>
          <w:spacing w:val="-6"/>
        </w:rPr>
        <w:t xml:space="preserve"> </w:t>
      </w:r>
      <w:r>
        <w:t>had</w:t>
      </w:r>
      <w:r>
        <w:rPr>
          <w:spacing w:val="-6"/>
        </w:rPr>
        <w:t xml:space="preserve"> </w:t>
      </w:r>
      <w:r>
        <w:t>an</w:t>
      </w:r>
      <w:r>
        <w:rPr>
          <w:spacing w:val="-6"/>
        </w:rPr>
        <w:t xml:space="preserve"> </w:t>
      </w:r>
      <w:r>
        <w:t>equal</w:t>
      </w:r>
      <w:r>
        <w:rPr>
          <w:spacing w:val="-6"/>
        </w:rPr>
        <w:t xml:space="preserve"> </w:t>
      </w:r>
      <w:r>
        <w:t>chance</w:t>
      </w:r>
      <w:r>
        <w:rPr>
          <w:spacing w:val="-6"/>
        </w:rPr>
        <w:t xml:space="preserve"> </w:t>
      </w:r>
      <w:r>
        <w:t>of</w:t>
      </w:r>
      <w:r>
        <w:rPr>
          <w:spacing w:val="-6"/>
        </w:rPr>
        <w:t xml:space="preserve"> </w:t>
      </w:r>
      <w:r>
        <w:t>selection.</w:t>
      </w:r>
      <w:r>
        <w:rPr>
          <w:spacing w:val="-9"/>
        </w:rPr>
        <w:t xml:space="preserve"> </w:t>
      </w:r>
      <w:r>
        <w:t>The</w:t>
      </w:r>
      <w:r>
        <w:rPr>
          <w:spacing w:val="-6"/>
        </w:rPr>
        <w:t xml:space="preserve"> </w:t>
      </w:r>
      <w:r>
        <w:t>student lists</w:t>
      </w:r>
      <w:r>
        <w:rPr>
          <w:spacing w:val="-4"/>
        </w:rPr>
        <w:t xml:space="preserve"> </w:t>
      </w:r>
      <w:r>
        <w:t>were</w:t>
      </w:r>
      <w:r>
        <w:rPr>
          <w:spacing w:val="-4"/>
        </w:rPr>
        <w:t xml:space="preserve"> </w:t>
      </w:r>
      <w:r>
        <w:t>submitted</w:t>
      </w:r>
      <w:r>
        <w:rPr>
          <w:spacing w:val="-4"/>
        </w:rPr>
        <w:t xml:space="preserve"> </w:t>
      </w:r>
      <w:r>
        <w:t>either</w:t>
      </w:r>
      <w:r>
        <w:rPr>
          <w:spacing w:val="-4"/>
        </w:rPr>
        <w:t xml:space="preserve"> </w:t>
      </w:r>
      <w:r>
        <w:t>electronically</w:t>
      </w:r>
      <w:r>
        <w:rPr>
          <w:spacing w:val="-4"/>
        </w:rPr>
        <w:t xml:space="preserve"> </w:t>
      </w:r>
      <w:r>
        <w:t>using</w:t>
      </w:r>
      <w:r>
        <w:rPr>
          <w:spacing w:val="-4"/>
        </w:rPr>
        <w:t xml:space="preserve"> </w:t>
      </w:r>
      <w:r>
        <w:t>a</w:t>
      </w:r>
      <w:r>
        <w:rPr>
          <w:spacing w:val="-4"/>
        </w:rPr>
        <w:t xml:space="preserve"> </w:t>
      </w:r>
      <w:r>
        <w:t>system</w:t>
      </w:r>
      <w:r>
        <w:rPr>
          <w:spacing w:val="-4"/>
        </w:rPr>
        <w:t xml:space="preserve"> </w:t>
      </w:r>
      <w:r>
        <w:t>known</w:t>
      </w:r>
      <w:r>
        <w:rPr>
          <w:spacing w:val="-4"/>
        </w:rPr>
        <w:t xml:space="preserve"> </w:t>
      </w:r>
      <w:r>
        <w:t>as</w:t>
      </w:r>
      <w:r>
        <w:rPr>
          <w:spacing w:val="-4"/>
        </w:rPr>
        <w:t xml:space="preserve"> </w:t>
      </w:r>
      <w:r>
        <w:rPr>
          <w:color w:val="0066CC"/>
        </w:rPr>
        <w:t>E-filing</w:t>
      </w:r>
      <w:r>
        <w:rPr>
          <w:color w:val="0066CC"/>
          <w:spacing w:val="-4"/>
        </w:rPr>
        <w:t xml:space="preserve"> </w:t>
      </w:r>
      <w:r>
        <w:t>or</w:t>
      </w:r>
      <w:r>
        <w:rPr>
          <w:spacing w:val="-4"/>
        </w:rPr>
        <w:t xml:space="preserve"> </w:t>
      </w:r>
      <w:r>
        <w:t>on</w:t>
      </w:r>
      <w:r>
        <w:rPr>
          <w:spacing w:val="-4"/>
        </w:rPr>
        <w:t xml:space="preserve"> </w:t>
      </w:r>
      <w:r>
        <w:t>paper.</w:t>
      </w:r>
      <w:r>
        <w:rPr>
          <w:spacing w:val="-4"/>
        </w:rPr>
        <w:t xml:space="preserve"> </w:t>
      </w:r>
      <w:r>
        <w:t>In</w:t>
      </w:r>
      <w:r>
        <w:rPr>
          <w:spacing w:val="-4"/>
        </w:rPr>
        <w:t xml:space="preserve"> </w:t>
      </w:r>
      <w:r>
        <w:t>E-filing</w:t>
      </w:r>
      <w:r>
        <w:rPr>
          <w:spacing w:val="-4"/>
        </w:rPr>
        <w:t xml:space="preserve"> </w:t>
      </w:r>
      <w:r>
        <w:t>for</w:t>
      </w:r>
      <w:r>
        <w:rPr>
          <w:spacing w:val="-4"/>
        </w:rPr>
        <w:t xml:space="preserve"> </w:t>
      </w:r>
      <w:r>
        <w:t>private</w:t>
      </w:r>
      <w:r>
        <w:rPr>
          <w:spacing w:val="-4"/>
        </w:rPr>
        <w:t xml:space="preserve"> </w:t>
      </w:r>
      <w:r>
        <w:t>schools,</w:t>
      </w:r>
      <w:r>
        <w:rPr>
          <w:spacing w:val="-4"/>
        </w:rPr>
        <w:t xml:space="preserve"> </w:t>
      </w:r>
      <w:r>
        <w:t>student</w:t>
      </w:r>
      <w:r>
        <w:rPr>
          <w:spacing w:val="-4"/>
        </w:rPr>
        <w:t xml:space="preserve"> </w:t>
      </w:r>
      <w:r>
        <w:t>lists</w:t>
      </w:r>
      <w:r>
        <w:rPr>
          <w:spacing w:val="-4"/>
        </w:rPr>
        <w:t xml:space="preserve"> </w:t>
      </w:r>
      <w:r>
        <w:t>are</w:t>
      </w:r>
      <w:r>
        <w:rPr>
          <w:spacing w:val="-4"/>
        </w:rPr>
        <w:t xml:space="preserve"> </w:t>
      </w:r>
      <w:r>
        <w:t>submitted</w:t>
      </w:r>
      <w:r>
        <w:rPr>
          <w:spacing w:val="-4"/>
        </w:rPr>
        <w:t xml:space="preserve"> </w:t>
      </w:r>
      <w:r>
        <w:t>one</w:t>
      </w:r>
      <w:r>
        <w:rPr>
          <w:spacing w:val="-4"/>
        </w:rPr>
        <w:t xml:space="preserve"> </w:t>
      </w:r>
      <w:r>
        <w:t>school</w:t>
      </w:r>
      <w:r>
        <w:rPr>
          <w:spacing w:val="-4"/>
        </w:rPr>
        <w:t xml:space="preserve"> </w:t>
      </w:r>
      <w:r>
        <w:t>at</w:t>
      </w:r>
      <w:r>
        <w:rPr>
          <w:spacing w:val="-4"/>
        </w:rPr>
        <w:t xml:space="preserve"> </w:t>
      </w:r>
      <w:r>
        <w:t>a</w:t>
      </w:r>
      <w:r>
        <w:rPr>
          <w:spacing w:val="-4"/>
        </w:rPr>
        <w:t xml:space="preserve"> </w:t>
      </w:r>
      <w:r>
        <w:t>time</w:t>
      </w:r>
      <w:r>
        <w:rPr>
          <w:spacing w:val="-4"/>
        </w:rPr>
        <w:t xml:space="preserve"> </w:t>
      </w:r>
      <w:r>
        <w:t>by</w:t>
      </w:r>
      <w:r>
        <w:rPr>
          <w:spacing w:val="-4"/>
        </w:rPr>
        <w:t xml:space="preserve"> </w:t>
      </w:r>
      <w:r>
        <w:rPr>
          <w:color w:val="0066CC"/>
        </w:rPr>
        <w:t xml:space="preserve">school coordinators </w:t>
      </w:r>
      <w:r>
        <w:t xml:space="preserve">in Excel files. E-filing allows schools to easily submit student demographic data electronically with the student lists, easing the burden on </w:t>
      </w:r>
      <w:r>
        <w:rPr>
          <w:color w:val="0066CC"/>
        </w:rPr>
        <w:t xml:space="preserve">field supervisors </w:t>
      </w:r>
      <w:r>
        <w:t>and school coordinators.</w:t>
      </w:r>
    </w:p>
    <w:p w:rsidR="003F5784" w14:paraId="05749BF9" w14:textId="77777777">
      <w:pPr>
        <w:pStyle w:val="BodyText"/>
        <w:spacing w:before="210" w:line="232" w:lineRule="auto"/>
        <w:ind w:left="109" w:right="318"/>
      </w:pPr>
      <w:r>
        <w:t>Schools</w:t>
      </w:r>
      <w:r>
        <w:rPr>
          <w:spacing w:val="-6"/>
        </w:rPr>
        <w:t xml:space="preserve"> </w:t>
      </w:r>
      <w:r>
        <w:t>that</w:t>
      </w:r>
      <w:r>
        <w:rPr>
          <w:spacing w:val="-6"/>
        </w:rPr>
        <w:t xml:space="preserve"> </w:t>
      </w:r>
      <w:r>
        <w:t>are</w:t>
      </w:r>
      <w:r>
        <w:rPr>
          <w:spacing w:val="-6"/>
        </w:rPr>
        <w:t xml:space="preserve"> </w:t>
      </w:r>
      <w:r>
        <w:t>unable</w:t>
      </w:r>
      <w:r>
        <w:rPr>
          <w:spacing w:val="-6"/>
        </w:rPr>
        <w:t xml:space="preserve"> </w:t>
      </w:r>
      <w:r>
        <w:t>to</w:t>
      </w:r>
      <w:r>
        <w:rPr>
          <w:spacing w:val="-6"/>
        </w:rPr>
        <w:t xml:space="preserve"> </w:t>
      </w:r>
      <w:r>
        <w:t>submit</w:t>
      </w:r>
      <w:r>
        <w:rPr>
          <w:spacing w:val="-6"/>
        </w:rPr>
        <w:t xml:space="preserve"> </w:t>
      </w:r>
      <w:r>
        <w:t>their</w:t>
      </w:r>
      <w:r>
        <w:rPr>
          <w:spacing w:val="-6"/>
        </w:rPr>
        <w:t xml:space="preserve"> </w:t>
      </w:r>
      <w:r>
        <w:t>student</w:t>
      </w:r>
      <w:r>
        <w:rPr>
          <w:spacing w:val="-6"/>
        </w:rPr>
        <w:t xml:space="preserve"> </w:t>
      </w:r>
      <w:r>
        <w:t>lists</w:t>
      </w:r>
      <w:r>
        <w:rPr>
          <w:spacing w:val="-6"/>
        </w:rPr>
        <w:t xml:space="preserve"> </w:t>
      </w:r>
      <w:r>
        <w:t>using</w:t>
      </w:r>
      <w:r>
        <w:rPr>
          <w:spacing w:val="-6"/>
        </w:rPr>
        <w:t xml:space="preserve"> </w:t>
      </w:r>
      <w:r>
        <w:t>the</w:t>
      </w:r>
      <w:r>
        <w:rPr>
          <w:spacing w:val="-6"/>
        </w:rPr>
        <w:t xml:space="preserve"> </w:t>
      </w:r>
      <w:r>
        <w:t>E-filing</w:t>
      </w:r>
      <w:r>
        <w:rPr>
          <w:spacing w:val="-6"/>
        </w:rPr>
        <w:t xml:space="preserve"> </w:t>
      </w:r>
      <w:r>
        <w:t>system</w:t>
      </w:r>
      <w:r>
        <w:rPr>
          <w:spacing w:val="-6"/>
        </w:rPr>
        <w:t xml:space="preserve"> </w:t>
      </w:r>
      <w:r>
        <w:t>provide</w:t>
      </w:r>
      <w:r>
        <w:rPr>
          <w:spacing w:val="-6"/>
        </w:rPr>
        <w:t xml:space="preserve"> </w:t>
      </w:r>
      <w:r>
        <w:t>hardcopy</w:t>
      </w:r>
      <w:r>
        <w:rPr>
          <w:spacing w:val="-6"/>
        </w:rPr>
        <w:t xml:space="preserve"> </w:t>
      </w:r>
      <w:r>
        <w:t>lists</w:t>
      </w:r>
      <w:r>
        <w:rPr>
          <w:spacing w:val="-6"/>
        </w:rPr>
        <w:t xml:space="preserve"> </w:t>
      </w:r>
      <w:r>
        <w:t>to</w:t>
      </w:r>
      <w:r>
        <w:rPr>
          <w:spacing w:val="-6"/>
        </w:rPr>
        <w:t xml:space="preserve"> </w:t>
      </w:r>
      <w:r>
        <w:t>NAEP</w:t>
      </w:r>
      <w:r>
        <w:rPr>
          <w:spacing w:val="-13"/>
        </w:rPr>
        <w:t xml:space="preserve"> </w:t>
      </w:r>
      <w:r>
        <w:t>field</w:t>
      </w:r>
      <w:r>
        <w:rPr>
          <w:spacing w:val="-6"/>
        </w:rPr>
        <w:t xml:space="preserve"> </w:t>
      </w:r>
      <w:r>
        <w:t>supervisors.</w:t>
      </w:r>
      <w:r>
        <w:rPr>
          <w:spacing w:val="-6"/>
        </w:rPr>
        <w:t xml:space="preserve"> </w:t>
      </w:r>
      <w:r>
        <w:t>In</w:t>
      </w:r>
      <w:r>
        <w:rPr>
          <w:spacing w:val="-6"/>
        </w:rPr>
        <w:t xml:space="preserve"> </w:t>
      </w:r>
      <w:r>
        <w:t>2022,</w:t>
      </w:r>
      <w:r>
        <w:rPr>
          <w:spacing w:val="-6"/>
        </w:rPr>
        <w:t xml:space="preserve"> </w:t>
      </w:r>
      <w:r>
        <w:t>most</w:t>
      </w:r>
      <w:r>
        <w:rPr>
          <w:spacing w:val="-6"/>
        </w:rPr>
        <w:t xml:space="preserve"> </w:t>
      </w:r>
      <w:r>
        <w:t>eighth-grade</w:t>
      </w:r>
      <w:r>
        <w:rPr>
          <w:spacing w:val="-6"/>
        </w:rPr>
        <w:t xml:space="preserve"> </w:t>
      </w:r>
      <w:r>
        <w:t>private</w:t>
      </w:r>
      <w:r>
        <w:rPr>
          <w:spacing w:val="-6"/>
        </w:rPr>
        <w:t xml:space="preserve"> </w:t>
      </w:r>
      <w:r>
        <w:t>schools</w:t>
      </w:r>
      <w:r>
        <w:rPr>
          <w:spacing w:val="-6"/>
        </w:rPr>
        <w:t xml:space="preserve"> </w:t>
      </w:r>
      <w:r>
        <w:t>in the national assessment in civics and U.S. history provided hardcopy lists.</w:t>
      </w:r>
      <w:r>
        <w:rPr>
          <w:spacing w:val="-10"/>
        </w:rPr>
        <w:t xml:space="preserve"> </w:t>
      </w:r>
      <w:r>
        <w:t>About 76 percent of the participating schools submitted hardcopy lists while 24 percent of the participating schools E-filed.</w:t>
      </w:r>
    </w:p>
    <w:p w:rsidR="003F5784" w14:paraId="65904B83" w14:textId="77777777">
      <w:pPr>
        <w:pStyle w:val="BodyText"/>
        <w:spacing w:before="209" w:line="232" w:lineRule="auto"/>
        <w:ind w:left="109" w:right="179"/>
      </w:pPr>
      <w:r>
        <w:t>In</w:t>
      </w:r>
      <w:r>
        <w:rPr>
          <w:spacing w:val="-6"/>
        </w:rPr>
        <w:t xml:space="preserve"> </w:t>
      </w:r>
      <w:r>
        <w:t>year-round</w:t>
      </w:r>
      <w:r>
        <w:rPr>
          <w:spacing w:val="-6"/>
        </w:rPr>
        <w:t xml:space="preserve"> </w:t>
      </w:r>
      <w:r>
        <w:t>multi-track</w:t>
      </w:r>
      <w:r>
        <w:rPr>
          <w:spacing w:val="-6"/>
        </w:rPr>
        <w:t xml:space="preserve"> </w:t>
      </w:r>
      <w:r>
        <w:t>schools,</w:t>
      </w:r>
      <w:r>
        <w:rPr>
          <w:spacing w:val="-6"/>
        </w:rPr>
        <w:t xml:space="preserve"> </w:t>
      </w:r>
      <w:r>
        <w:t>students</w:t>
      </w:r>
      <w:r>
        <w:rPr>
          <w:spacing w:val="-6"/>
        </w:rPr>
        <w:t xml:space="preserve"> </w:t>
      </w:r>
      <w:r>
        <w:t>in</w:t>
      </w:r>
      <w:r>
        <w:rPr>
          <w:spacing w:val="-6"/>
        </w:rPr>
        <w:t xml:space="preserve"> </w:t>
      </w:r>
      <w:r>
        <w:t>tracks</w:t>
      </w:r>
      <w:r>
        <w:rPr>
          <w:spacing w:val="-6"/>
        </w:rPr>
        <w:t xml:space="preserve"> </w:t>
      </w:r>
      <w:r>
        <w:t>scheduled</w:t>
      </w:r>
      <w:r>
        <w:rPr>
          <w:spacing w:val="-6"/>
        </w:rPr>
        <w:t xml:space="preserve"> </w:t>
      </w:r>
      <w:r>
        <w:t>to</w:t>
      </w:r>
      <w:r>
        <w:rPr>
          <w:spacing w:val="-6"/>
        </w:rPr>
        <w:t xml:space="preserve"> </w:t>
      </w:r>
      <w:r>
        <w:t>be</w:t>
      </w:r>
      <w:r>
        <w:rPr>
          <w:spacing w:val="-6"/>
        </w:rPr>
        <w:t xml:space="preserve"> </w:t>
      </w:r>
      <w:r>
        <w:t>on</w:t>
      </w:r>
      <w:r>
        <w:rPr>
          <w:spacing w:val="-6"/>
        </w:rPr>
        <w:t xml:space="preserve"> </w:t>
      </w:r>
      <w:r>
        <w:t>break</w:t>
      </w:r>
      <w:r>
        <w:rPr>
          <w:spacing w:val="-6"/>
        </w:rPr>
        <w:t xml:space="preserve"> </w:t>
      </w:r>
      <w:r>
        <w:t>on</w:t>
      </w:r>
      <w:r>
        <w:rPr>
          <w:spacing w:val="-6"/>
        </w:rPr>
        <w:t xml:space="preserve"> </w:t>
      </w:r>
      <w:r>
        <w:t>the</w:t>
      </w:r>
      <w:r>
        <w:rPr>
          <w:spacing w:val="-6"/>
        </w:rPr>
        <w:t xml:space="preserve"> </w:t>
      </w:r>
      <w:r>
        <w:t>assessment</w:t>
      </w:r>
      <w:r>
        <w:rPr>
          <w:spacing w:val="-6"/>
        </w:rPr>
        <w:t xml:space="preserve"> </w:t>
      </w:r>
      <w:r>
        <w:t>day</w:t>
      </w:r>
      <w:r>
        <w:rPr>
          <w:spacing w:val="-6"/>
        </w:rPr>
        <w:t xml:space="preserve"> </w:t>
      </w:r>
      <w:r>
        <w:t>were</w:t>
      </w:r>
      <w:r>
        <w:rPr>
          <w:spacing w:val="-6"/>
        </w:rPr>
        <w:t xml:space="preserve"> </w:t>
      </w:r>
      <w:r>
        <w:t>removed</w:t>
      </w:r>
      <w:r>
        <w:rPr>
          <w:spacing w:val="-6"/>
        </w:rPr>
        <w:t xml:space="preserve"> </w:t>
      </w:r>
      <w:r>
        <w:t>from</w:t>
      </w:r>
      <w:r>
        <w:rPr>
          <w:spacing w:val="-6"/>
        </w:rPr>
        <w:t xml:space="preserve"> </w:t>
      </w:r>
      <w:r>
        <w:t>the</w:t>
      </w:r>
      <w:r>
        <w:rPr>
          <w:spacing w:val="-6"/>
        </w:rPr>
        <w:t xml:space="preserve"> </w:t>
      </w:r>
      <w:r>
        <w:t>student</w:t>
      </w:r>
      <w:r>
        <w:rPr>
          <w:spacing w:val="-6"/>
        </w:rPr>
        <w:t xml:space="preserve"> </w:t>
      </w:r>
      <w:r>
        <w:t>lists</w:t>
      </w:r>
      <w:r>
        <w:rPr>
          <w:spacing w:val="-6"/>
        </w:rPr>
        <w:t xml:space="preserve"> </w:t>
      </w:r>
      <w:r>
        <w:t>prior</w:t>
      </w:r>
      <w:r>
        <w:rPr>
          <w:spacing w:val="-6"/>
        </w:rPr>
        <w:t xml:space="preserve"> </w:t>
      </w:r>
      <w:r>
        <w:t>to</w:t>
      </w:r>
      <w:r>
        <w:rPr>
          <w:spacing w:val="-6"/>
        </w:rPr>
        <w:t xml:space="preserve"> </w:t>
      </w:r>
      <w:r>
        <w:t>sampling.</w:t>
      </w:r>
      <w:r>
        <w:rPr>
          <w:spacing w:val="-6"/>
        </w:rPr>
        <w:t xml:space="preserve"> </w:t>
      </w:r>
      <w:r>
        <w:t>(</w:t>
      </w:r>
      <w:r>
        <w:rPr>
          <w:color w:val="0066CC"/>
        </w:rPr>
        <w:t>Student</w:t>
      </w:r>
      <w:r>
        <w:rPr>
          <w:color w:val="0066CC"/>
          <w:spacing w:val="-6"/>
        </w:rPr>
        <w:t xml:space="preserve"> </w:t>
      </w:r>
      <w:r>
        <w:rPr>
          <w:color w:val="0066CC"/>
        </w:rPr>
        <w:t xml:space="preserve">base weights </w:t>
      </w:r>
      <w:r>
        <w:t>were adjusted to account for these students.)</w:t>
      </w:r>
    </w:p>
    <w:p w:rsidR="003F5784" w14:paraId="6BADD94C" w14:textId="18C7D477">
      <w:pPr>
        <w:pStyle w:val="BodyText"/>
        <w:spacing w:before="210" w:line="232" w:lineRule="auto"/>
        <w:ind w:left="109" w:right="117"/>
      </w:pPr>
      <w:r>
        <w:t>The</w:t>
      </w:r>
      <w:r>
        <w:rPr>
          <w:spacing w:val="-6"/>
        </w:rPr>
        <w:t xml:space="preserve"> </w:t>
      </w:r>
      <w:r>
        <w:t>sampling</w:t>
      </w:r>
      <w:r>
        <w:rPr>
          <w:spacing w:val="-6"/>
        </w:rPr>
        <w:t xml:space="preserve"> </w:t>
      </w:r>
      <w:r>
        <w:t>process</w:t>
      </w:r>
      <w:r>
        <w:rPr>
          <w:spacing w:val="-6"/>
        </w:rPr>
        <w:t xml:space="preserve"> </w:t>
      </w:r>
      <w:r>
        <w:t>was</w:t>
      </w:r>
      <w:r>
        <w:rPr>
          <w:spacing w:val="-6"/>
        </w:rPr>
        <w:t xml:space="preserve"> </w:t>
      </w:r>
      <w:r>
        <w:t>very</w:t>
      </w:r>
      <w:r>
        <w:rPr>
          <w:spacing w:val="-6"/>
        </w:rPr>
        <w:t xml:space="preserve"> </w:t>
      </w:r>
      <w:r>
        <w:t>similar,</w:t>
      </w:r>
      <w:r>
        <w:rPr>
          <w:spacing w:val="-6"/>
        </w:rPr>
        <w:t xml:space="preserve"> </w:t>
      </w:r>
      <w:r>
        <w:t>regardless</w:t>
      </w:r>
      <w:r>
        <w:rPr>
          <w:spacing w:val="-6"/>
        </w:rPr>
        <w:t xml:space="preserve"> </w:t>
      </w:r>
      <w:r>
        <w:t>of</w:t>
      </w:r>
      <w:r>
        <w:rPr>
          <w:spacing w:val="-6"/>
        </w:rPr>
        <w:t xml:space="preserve"> </w:t>
      </w:r>
      <w:r>
        <w:t>list</w:t>
      </w:r>
      <w:r>
        <w:rPr>
          <w:spacing w:val="-6"/>
        </w:rPr>
        <w:t xml:space="preserve"> </w:t>
      </w:r>
      <w:r>
        <w:t>submission</w:t>
      </w:r>
      <w:r>
        <w:rPr>
          <w:spacing w:val="-6"/>
        </w:rPr>
        <w:t xml:space="preserve"> </w:t>
      </w:r>
      <w:r>
        <w:t>type.</w:t>
      </w:r>
      <w:r>
        <w:rPr>
          <w:spacing w:val="-10"/>
        </w:rPr>
        <w:t xml:space="preserve"> </w:t>
      </w:r>
      <w:r>
        <w:t>The</w:t>
      </w:r>
      <w:r>
        <w:rPr>
          <w:spacing w:val="-6"/>
        </w:rPr>
        <w:t xml:space="preserve"> </w:t>
      </w:r>
      <w:r>
        <w:t>sampling</w:t>
      </w:r>
      <w:r>
        <w:rPr>
          <w:spacing w:val="-6"/>
        </w:rPr>
        <w:t xml:space="preserve"> </w:t>
      </w:r>
      <w:r>
        <w:t>process</w:t>
      </w:r>
      <w:r>
        <w:rPr>
          <w:spacing w:val="-6"/>
        </w:rPr>
        <w:t xml:space="preserve"> </w:t>
      </w:r>
      <w:r>
        <w:t>was</w:t>
      </w:r>
      <w:r>
        <w:rPr>
          <w:spacing w:val="-6"/>
        </w:rPr>
        <w:t xml:space="preserve"> </w:t>
      </w:r>
      <w:r>
        <w:rPr>
          <w:color w:val="0066CC"/>
        </w:rPr>
        <w:t>systematic</w:t>
      </w:r>
      <w:r>
        <w:rPr>
          <w:color w:val="0066CC"/>
          <w:spacing w:val="-6"/>
        </w:rPr>
        <w:t xml:space="preserve"> </w:t>
      </w:r>
      <w:r>
        <w:t>(e.g.,</w:t>
      </w:r>
      <w:r>
        <w:rPr>
          <w:spacing w:val="-6"/>
        </w:rPr>
        <w:t xml:space="preserve"> </w:t>
      </w:r>
      <w:r>
        <w:t>if</w:t>
      </w:r>
      <w:r>
        <w:rPr>
          <w:spacing w:val="-6"/>
        </w:rPr>
        <w:t xml:space="preserve"> </w:t>
      </w:r>
      <w:r>
        <w:t>the</w:t>
      </w:r>
      <w:r>
        <w:rPr>
          <w:spacing w:val="-6"/>
        </w:rPr>
        <w:t xml:space="preserve"> </w:t>
      </w:r>
      <w:r>
        <w:t>sampling</w:t>
      </w:r>
      <w:r>
        <w:rPr>
          <w:spacing w:val="-6"/>
        </w:rPr>
        <w:t xml:space="preserve"> </w:t>
      </w:r>
      <w:r>
        <w:t>rate</w:t>
      </w:r>
      <w:r>
        <w:rPr>
          <w:spacing w:val="-6"/>
        </w:rPr>
        <w:t xml:space="preserve"> </w:t>
      </w:r>
      <w:r>
        <w:t>was</w:t>
      </w:r>
      <w:r>
        <w:rPr>
          <w:spacing w:val="-6"/>
        </w:rPr>
        <w:t xml:space="preserve"> </w:t>
      </w:r>
      <w:r>
        <w:t>one-half,</w:t>
      </w:r>
      <w:r>
        <w:rPr>
          <w:spacing w:val="-6"/>
        </w:rPr>
        <w:t xml:space="preserve"> </w:t>
      </w:r>
      <w:r>
        <w:t>a</w:t>
      </w:r>
      <w:r>
        <w:rPr>
          <w:spacing w:val="-6"/>
        </w:rPr>
        <w:t xml:space="preserve"> </w:t>
      </w:r>
      <w:r>
        <w:t>random</w:t>
      </w:r>
      <w:r>
        <w:rPr>
          <w:spacing w:val="-6"/>
        </w:rPr>
        <w:t xml:space="preserve"> </w:t>
      </w:r>
      <w:r>
        <w:t>starting</w:t>
      </w:r>
      <w:r>
        <w:rPr>
          <w:spacing w:val="-6"/>
        </w:rPr>
        <w:t xml:space="preserve"> </w:t>
      </w:r>
      <w:r>
        <w:t xml:space="preserve">point of one or two was chosen, and every other student on the list was selected). For E-filed schools only, where demographic data was submitted for every student in the school, students were sorted by </w:t>
      </w:r>
      <w:r w:rsidR="00B4162D">
        <w:t>sex</w:t>
      </w:r>
      <w:r>
        <w:t xml:space="preserve"> and race/ethnicity before the sample was selected to implicitly stratify the sample.</w:t>
      </w:r>
    </w:p>
    <w:p w:rsidR="003F5784" w14:paraId="07762A5B" w14:textId="77777777">
      <w:pPr>
        <w:pStyle w:val="BodyText"/>
        <w:spacing w:before="203" w:line="439" w:lineRule="auto"/>
        <w:ind w:left="109" w:right="318"/>
      </w:pPr>
      <w:r>
        <w:t>In</w:t>
      </w:r>
      <w:r>
        <w:rPr>
          <w:spacing w:val="-6"/>
        </w:rPr>
        <w:t xml:space="preserve"> </w:t>
      </w:r>
      <w:r>
        <w:t>schools</w:t>
      </w:r>
      <w:r>
        <w:rPr>
          <w:spacing w:val="-6"/>
        </w:rPr>
        <w:t xml:space="preserve"> </w:t>
      </w:r>
      <w:r>
        <w:t>with</w:t>
      </w:r>
      <w:r>
        <w:rPr>
          <w:spacing w:val="-6"/>
        </w:rPr>
        <w:t xml:space="preserve"> </w:t>
      </w:r>
      <w:r>
        <w:t>up</w:t>
      </w:r>
      <w:r>
        <w:rPr>
          <w:spacing w:val="-6"/>
        </w:rPr>
        <w:t xml:space="preserve"> </w:t>
      </w:r>
      <w:r>
        <w:t>to</w:t>
      </w:r>
      <w:r>
        <w:rPr>
          <w:spacing w:val="-6"/>
        </w:rPr>
        <w:t xml:space="preserve"> </w:t>
      </w:r>
      <w:r>
        <w:t>52</w:t>
      </w:r>
      <w:r>
        <w:rPr>
          <w:spacing w:val="-6"/>
        </w:rPr>
        <w:t xml:space="preserve"> </w:t>
      </w:r>
      <w:r>
        <w:t>students</w:t>
      </w:r>
      <w:r>
        <w:rPr>
          <w:spacing w:val="-6"/>
        </w:rPr>
        <w:t xml:space="preserve"> </w:t>
      </w:r>
      <w:r>
        <w:t>in</w:t>
      </w:r>
      <w:r>
        <w:rPr>
          <w:spacing w:val="-6"/>
        </w:rPr>
        <w:t xml:space="preserve"> </w:t>
      </w:r>
      <w:r>
        <w:t>the</w:t>
      </w:r>
      <w:r>
        <w:rPr>
          <w:spacing w:val="-6"/>
        </w:rPr>
        <w:t xml:space="preserve"> </w:t>
      </w:r>
      <w:r>
        <w:t>targeted</w:t>
      </w:r>
      <w:r>
        <w:rPr>
          <w:spacing w:val="-6"/>
        </w:rPr>
        <w:t xml:space="preserve"> </w:t>
      </w:r>
      <w:r>
        <w:t>grade,</w:t>
      </w:r>
      <w:r>
        <w:rPr>
          <w:spacing w:val="-6"/>
        </w:rPr>
        <w:t xml:space="preserve"> </w:t>
      </w:r>
      <w:r>
        <w:t>all</w:t>
      </w:r>
      <w:r>
        <w:rPr>
          <w:spacing w:val="-6"/>
        </w:rPr>
        <w:t xml:space="preserve"> </w:t>
      </w:r>
      <w:r>
        <w:t>students</w:t>
      </w:r>
      <w:r>
        <w:rPr>
          <w:spacing w:val="-6"/>
        </w:rPr>
        <w:t xml:space="preserve"> </w:t>
      </w:r>
      <w:r>
        <w:t>were</w:t>
      </w:r>
      <w:r>
        <w:rPr>
          <w:spacing w:val="-6"/>
        </w:rPr>
        <w:t xml:space="preserve"> </w:t>
      </w:r>
      <w:r>
        <w:t>selected.</w:t>
      </w:r>
      <w:r>
        <w:rPr>
          <w:spacing w:val="-6"/>
        </w:rPr>
        <w:t xml:space="preserve"> </w:t>
      </w:r>
      <w:r>
        <w:t>In</w:t>
      </w:r>
      <w:r>
        <w:rPr>
          <w:spacing w:val="-6"/>
        </w:rPr>
        <w:t xml:space="preserve"> </w:t>
      </w:r>
      <w:r>
        <w:t>schools</w:t>
      </w:r>
      <w:r>
        <w:rPr>
          <w:spacing w:val="-6"/>
        </w:rPr>
        <w:t xml:space="preserve"> </w:t>
      </w:r>
      <w:r>
        <w:t>with</w:t>
      </w:r>
      <w:r>
        <w:rPr>
          <w:spacing w:val="-6"/>
        </w:rPr>
        <w:t xml:space="preserve"> </w:t>
      </w:r>
      <w:r>
        <w:t>more</w:t>
      </w:r>
      <w:r>
        <w:rPr>
          <w:spacing w:val="-6"/>
        </w:rPr>
        <w:t xml:space="preserve"> </w:t>
      </w:r>
      <w:r>
        <w:t>than</w:t>
      </w:r>
      <w:r>
        <w:rPr>
          <w:spacing w:val="-6"/>
        </w:rPr>
        <w:t xml:space="preserve"> </w:t>
      </w:r>
      <w:r>
        <w:t>52</w:t>
      </w:r>
      <w:r>
        <w:rPr>
          <w:spacing w:val="-6"/>
        </w:rPr>
        <w:t xml:space="preserve"> </w:t>
      </w:r>
      <w:r>
        <w:t>students,</w:t>
      </w:r>
      <w:r>
        <w:rPr>
          <w:spacing w:val="-6"/>
        </w:rPr>
        <w:t xml:space="preserve"> </w:t>
      </w:r>
      <w:r>
        <w:t>systematic</w:t>
      </w:r>
      <w:r>
        <w:rPr>
          <w:spacing w:val="-6"/>
        </w:rPr>
        <w:t xml:space="preserve"> </w:t>
      </w:r>
      <w:r>
        <w:t>samples</w:t>
      </w:r>
      <w:r>
        <w:rPr>
          <w:spacing w:val="-6"/>
        </w:rPr>
        <w:t xml:space="preserve"> </w:t>
      </w:r>
      <w:r>
        <w:t>of</w:t>
      </w:r>
      <w:r>
        <w:rPr>
          <w:spacing w:val="-6"/>
        </w:rPr>
        <w:t xml:space="preserve"> </w:t>
      </w:r>
      <w:r>
        <w:t>50</w:t>
      </w:r>
      <w:r>
        <w:rPr>
          <w:spacing w:val="-6"/>
        </w:rPr>
        <w:t xml:space="preserve"> </w:t>
      </w:r>
      <w:r>
        <w:t>students</w:t>
      </w:r>
      <w:r>
        <w:rPr>
          <w:spacing w:val="-6"/>
        </w:rPr>
        <w:t xml:space="preserve"> </w:t>
      </w:r>
      <w:r>
        <w:t>were</w:t>
      </w:r>
      <w:r>
        <w:rPr>
          <w:spacing w:val="-6"/>
        </w:rPr>
        <w:t xml:space="preserve"> </w:t>
      </w:r>
      <w:r>
        <w:t>selected. Some students enrolled in the school after the sample was selected. In such cases, new enrollees were sampled at the same rate as the students on the original list.</w:t>
      </w:r>
    </w:p>
    <w:p w:rsidR="003F5784" w14:paraId="5B438E58" w14:textId="77777777">
      <w:pPr>
        <w:pStyle w:val="Heading2"/>
        <w:spacing w:before="3"/>
        <w:ind w:left="109"/>
      </w:pPr>
      <w:r>
        <w:t>Assigning</w:t>
      </w:r>
      <w:r>
        <w:rPr>
          <w:spacing w:val="-14"/>
        </w:rPr>
        <w:t xml:space="preserve"> </w:t>
      </w:r>
      <w:r>
        <w:t>Assessment</w:t>
      </w:r>
      <w:r>
        <w:rPr>
          <w:spacing w:val="-13"/>
        </w:rPr>
        <w:t xml:space="preserve"> </w:t>
      </w:r>
      <w:r>
        <w:t>Subject</w:t>
      </w:r>
      <w:r>
        <w:rPr>
          <w:spacing w:val="-8"/>
        </w:rPr>
        <w:t xml:space="preserve"> </w:t>
      </w:r>
      <w:r>
        <w:t>to</w:t>
      </w:r>
      <w:r>
        <w:rPr>
          <w:spacing w:val="-8"/>
        </w:rPr>
        <w:t xml:space="preserve"> </w:t>
      </w:r>
      <w:r>
        <w:t>Sampled</w:t>
      </w:r>
      <w:r>
        <w:rPr>
          <w:spacing w:val="-9"/>
        </w:rPr>
        <w:t xml:space="preserve"> </w:t>
      </w:r>
      <w:r>
        <w:rPr>
          <w:spacing w:val="-2"/>
        </w:rPr>
        <w:t>Students</w:t>
      </w:r>
    </w:p>
    <w:p w:rsidR="003F5784" w14:paraId="49B8A308" w14:textId="77777777">
      <w:pPr>
        <w:pStyle w:val="BodyText"/>
        <w:spacing w:before="200"/>
        <w:rPr>
          <w:b/>
        </w:rPr>
      </w:pPr>
    </w:p>
    <w:p w:rsidR="003F5784" w14:paraId="4B53344F" w14:textId="77777777">
      <w:pPr>
        <w:pStyle w:val="BodyText"/>
        <w:spacing w:line="232" w:lineRule="auto"/>
        <w:ind w:left="109" w:right="179"/>
      </w:pPr>
      <w:r>
        <w:t>Sampled</w:t>
      </w:r>
      <w:r>
        <w:rPr>
          <w:spacing w:val="-1"/>
        </w:rPr>
        <w:t xml:space="preserve"> </w:t>
      </w:r>
      <w:r>
        <w:t>students,</w:t>
      </w:r>
      <w:r>
        <w:rPr>
          <w:spacing w:val="-1"/>
        </w:rPr>
        <w:t xml:space="preserve"> </w:t>
      </w:r>
      <w:r>
        <w:t>including</w:t>
      </w:r>
      <w:r>
        <w:rPr>
          <w:spacing w:val="-1"/>
        </w:rPr>
        <w:t xml:space="preserve"> </w:t>
      </w:r>
      <w:r>
        <w:t>new</w:t>
      </w:r>
      <w:r>
        <w:rPr>
          <w:spacing w:val="-1"/>
        </w:rPr>
        <w:t xml:space="preserve"> </w:t>
      </w:r>
      <w:r>
        <w:t>enrollees,</w:t>
      </w:r>
      <w:r>
        <w:rPr>
          <w:spacing w:val="-1"/>
        </w:rPr>
        <w:t xml:space="preserve"> </w:t>
      </w:r>
      <w:r>
        <w:t>in</w:t>
      </w:r>
      <w:r>
        <w:rPr>
          <w:spacing w:val="-1"/>
        </w:rPr>
        <w:t xml:space="preserve"> </w:t>
      </w:r>
      <w:r>
        <w:t>each</w:t>
      </w:r>
      <w:r>
        <w:rPr>
          <w:spacing w:val="-1"/>
        </w:rPr>
        <w:t xml:space="preserve"> </w:t>
      </w:r>
      <w:r>
        <w:t>participating</w:t>
      </w:r>
      <w:r>
        <w:rPr>
          <w:spacing w:val="-1"/>
        </w:rPr>
        <w:t xml:space="preserve"> </w:t>
      </w:r>
      <w:r>
        <w:t>sampled</w:t>
      </w:r>
      <w:r>
        <w:rPr>
          <w:spacing w:val="-1"/>
        </w:rPr>
        <w:t xml:space="preserve"> </w:t>
      </w:r>
      <w:r>
        <w:t>school</w:t>
      </w:r>
      <w:r>
        <w:rPr>
          <w:spacing w:val="-1"/>
        </w:rPr>
        <w:t xml:space="preserve"> </w:t>
      </w:r>
      <w:r>
        <w:t>were</w:t>
      </w:r>
      <w:r>
        <w:rPr>
          <w:spacing w:val="-1"/>
        </w:rPr>
        <w:t xml:space="preserve"> </w:t>
      </w:r>
      <w:r>
        <w:t>assigned</w:t>
      </w:r>
      <w:r>
        <w:rPr>
          <w:spacing w:val="-1"/>
        </w:rPr>
        <w:t xml:space="preserve"> </w:t>
      </w:r>
      <w:r>
        <w:t>to</w:t>
      </w:r>
      <w:r>
        <w:rPr>
          <w:spacing w:val="-1"/>
        </w:rPr>
        <w:t xml:space="preserve"> </w:t>
      </w:r>
      <w:r>
        <w:t>either</w:t>
      </w:r>
      <w:r>
        <w:rPr>
          <w:spacing w:val="-1"/>
        </w:rPr>
        <w:t xml:space="preserve"> </w:t>
      </w:r>
      <w:r>
        <w:t>the</w:t>
      </w:r>
      <w:r>
        <w:rPr>
          <w:spacing w:val="-1"/>
        </w:rPr>
        <w:t xml:space="preserve"> </w:t>
      </w:r>
      <w:r>
        <w:t>civics</w:t>
      </w:r>
      <w:r>
        <w:rPr>
          <w:spacing w:val="-1"/>
        </w:rPr>
        <w:t xml:space="preserve"> </w:t>
      </w:r>
      <w:r>
        <w:t>or</w:t>
      </w:r>
      <w:r>
        <w:rPr>
          <w:spacing w:val="-1"/>
        </w:rPr>
        <w:t xml:space="preserve"> </w:t>
      </w:r>
      <w:r>
        <w:t>U.S.</w:t>
      </w:r>
      <w:r>
        <w:rPr>
          <w:spacing w:val="-1"/>
        </w:rPr>
        <w:t xml:space="preserve"> </w:t>
      </w:r>
      <w:r>
        <w:t>history</w:t>
      </w:r>
      <w:r>
        <w:rPr>
          <w:spacing w:val="-1"/>
        </w:rPr>
        <w:t xml:space="preserve"> </w:t>
      </w:r>
      <w:r>
        <w:t>assessment</w:t>
      </w:r>
      <w:r>
        <w:rPr>
          <w:spacing w:val="-1"/>
        </w:rPr>
        <w:t xml:space="preserve"> </w:t>
      </w:r>
      <w:r>
        <w:t>at</w:t>
      </w:r>
      <w:r>
        <w:rPr>
          <w:spacing w:val="-1"/>
        </w:rPr>
        <w:t xml:space="preserve"> </w:t>
      </w:r>
      <w:r>
        <w:t>rates</w:t>
      </w:r>
      <w:r>
        <w:rPr>
          <w:spacing w:val="-1"/>
        </w:rPr>
        <w:t xml:space="preserve"> </w:t>
      </w:r>
      <w:r>
        <w:t>of</w:t>
      </w:r>
      <w:r>
        <w:rPr>
          <w:spacing w:val="-1"/>
        </w:rPr>
        <w:t xml:space="preserve"> </w:t>
      </w:r>
      <w:r>
        <w:t>49</w:t>
      </w:r>
      <w:r>
        <w:rPr>
          <w:spacing w:val="-1"/>
        </w:rPr>
        <w:t xml:space="preserve"> </w:t>
      </w:r>
      <w:r>
        <w:t>percent</w:t>
      </w:r>
      <w:r>
        <w:rPr>
          <w:spacing w:val="-1"/>
        </w:rPr>
        <w:t xml:space="preserve"> </w:t>
      </w:r>
      <w:r>
        <w:t>and</w:t>
      </w:r>
      <w:r>
        <w:rPr>
          <w:spacing w:val="-1"/>
        </w:rPr>
        <w:t xml:space="preserve"> </w:t>
      </w:r>
      <w:r>
        <w:t>51 percent,</w:t>
      </w:r>
      <w:r>
        <w:rPr>
          <w:spacing w:val="-4"/>
        </w:rPr>
        <w:t xml:space="preserve"> </w:t>
      </w:r>
      <w:r>
        <w:t>respectively,</w:t>
      </w:r>
      <w:r>
        <w:rPr>
          <w:spacing w:val="-4"/>
        </w:rPr>
        <w:t xml:space="preserve"> </w:t>
      </w:r>
      <w:r>
        <w:t>using</w:t>
      </w:r>
      <w:r>
        <w:rPr>
          <w:spacing w:val="-4"/>
        </w:rPr>
        <w:t xml:space="preserve"> </w:t>
      </w:r>
      <w:r>
        <w:t>a</w:t>
      </w:r>
      <w:r>
        <w:rPr>
          <w:spacing w:val="-4"/>
        </w:rPr>
        <w:t xml:space="preserve"> </w:t>
      </w:r>
      <w:r>
        <w:t>process</w:t>
      </w:r>
      <w:r>
        <w:rPr>
          <w:spacing w:val="-4"/>
        </w:rPr>
        <w:t xml:space="preserve"> </w:t>
      </w:r>
      <w:r>
        <w:t>known</w:t>
      </w:r>
      <w:r>
        <w:rPr>
          <w:spacing w:val="-4"/>
        </w:rPr>
        <w:t xml:space="preserve"> </w:t>
      </w:r>
      <w:r>
        <w:t>as</w:t>
      </w:r>
      <w:r>
        <w:rPr>
          <w:spacing w:val="-5"/>
        </w:rPr>
        <w:t xml:space="preserve"> </w:t>
      </w:r>
      <w:r>
        <w:rPr>
          <w:color w:val="0066CC"/>
        </w:rPr>
        <w:t>spiraling</w:t>
      </w:r>
      <w:r>
        <w:t>.</w:t>
      </w:r>
      <w:r>
        <w:rPr>
          <w:spacing w:val="-4"/>
        </w:rPr>
        <w:t xml:space="preserve"> </w:t>
      </w:r>
      <w:r>
        <w:t>In</w:t>
      </w:r>
      <w:r>
        <w:rPr>
          <w:spacing w:val="-4"/>
        </w:rPr>
        <w:t xml:space="preserve"> </w:t>
      </w:r>
      <w:r>
        <w:t>this</w:t>
      </w:r>
      <w:r>
        <w:rPr>
          <w:spacing w:val="-4"/>
        </w:rPr>
        <w:t xml:space="preserve"> </w:t>
      </w:r>
      <w:r>
        <w:t>process,</w:t>
      </w:r>
      <w:r>
        <w:rPr>
          <w:spacing w:val="-4"/>
        </w:rPr>
        <w:t xml:space="preserve"> </w:t>
      </w:r>
      <w:r>
        <w:t>test</w:t>
      </w:r>
      <w:r>
        <w:rPr>
          <w:spacing w:val="-4"/>
        </w:rPr>
        <w:t xml:space="preserve"> </w:t>
      </w:r>
      <w:r>
        <w:t>forms</w:t>
      </w:r>
      <w:r>
        <w:rPr>
          <w:spacing w:val="-4"/>
        </w:rPr>
        <w:t xml:space="preserve"> </w:t>
      </w:r>
      <w:r>
        <w:t>were</w:t>
      </w:r>
      <w:r>
        <w:rPr>
          <w:spacing w:val="-5"/>
        </w:rPr>
        <w:t xml:space="preserve"> </w:t>
      </w:r>
      <w:r>
        <w:t>randomly</w:t>
      </w:r>
      <w:r>
        <w:rPr>
          <w:spacing w:val="-4"/>
        </w:rPr>
        <w:t xml:space="preserve"> </w:t>
      </w:r>
      <w:r>
        <w:t>assigned</w:t>
      </w:r>
      <w:r>
        <w:rPr>
          <w:spacing w:val="-4"/>
        </w:rPr>
        <w:t xml:space="preserve"> </w:t>
      </w:r>
      <w:r>
        <w:t>to</w:t>
      </w:r>
      <w:r>
        <w:rPr>
          <w:spacing w:val="-4"/>
        </w:rPr>
        <w:t xml:space="preserve"> </w:t>
      </w:r>
      <w:r>
        <w:t>sampled</w:t>
      </w:r>
      <w:r>
        <w:rPr>
          <w:spacing w:val="-4"/>
        </w:rPr>
        <w:t xml:space="preserve"> </w:t>
      </w:r>
      <w:r>
        <w:t>students</w:t>
      </w:r>
      <w:r>
        <w:rPr>
          <w:spacing w:val="-4"/>
        </w:rPr>
        <w:t xml:space="preserve"> </w:t>
      </w:r>
      <w:r>
        <w:t>from</w:t>
      </w:r>
      <w:r>
        <w:rPr>
          <w:spacing w:val="-4"/>
        </w:rPr>
        <w:t xml:space="preserve"> </w:t>
      </w:r>
      <w:r>
        <w:t>test</w:t>
      </w:r>
      <w:r>
        <w:rPr>
          <w:spacing w:val="-5"/>
        </w:rPr>
        <w:t xml:space="preserve"> </w:t>
      </w:r>
      <w:r>
        <w:t>form</w:t>
      </w:r>
      <w:r>
        <w:rPr>
          <w:spacing w:val="-4"/>
        </w:rPr>
        <w:t xml:space="preserve"> </w:t>
      </w:r>
      <w:r>
        <w:t>sets</w:t>
      </w:r>
      <w:r>
        <w:rPr>
          <w:spacing w:val="-4"/>
        </w:rPr>
        <w:t xml:space="preserve"> </w:t>
      </w:r>
      <w:r>
        <w:t>that</w:t>
      </w:r>
      <w:r>
        <w:rPr>
          <w:spacing w:val="-4"/>
        </w:rPr>
        <w:t xml:space="preserve"> </w:t>
      </w:r>
      <w:r>
        <w:t>had,</w:t>
      </w:r>
      <w:r>
        <w:rPr>
          <w:spacing w:val="-4"/>
        </w:rPr>
        <w:t xml:space="preserve"> </w:t>
      </w:r>
      <w:r>
        <w:t>on</w:t>
      </w:r>
      <w:r>
        <w:rPr>
          <w:spacing w:val="-4"/>
        </w:rPr>
        <w:t xml:space="preserve"> </w:t>
      </w:r>
      <w:r>
        <w:t>average,</w:t>
      </w:r>
      <w:r>
        <w:rPr>
          <w:spacing w:val="-4"/>
        </w:rPr>
        <w:t xml:space="preserve"> </w:t>
      </w:r>
      <w:r>
        <w:t>a ratio</w:t>
      </w:r>
      <w:r>
        <w:rPr>
          <w:spacing w:val="-5"/>
        </w:rPr>
        <w:t xml:space="preserve"> </w:t>
      </w:r>
      <w:r>
        <w:t>of</w:t>
      </w:r>
      <w:r>
        <w:rPr>
          <w:spacing w:val="-5"/>
        </w:rPr>
        <w:t xml:space="preserve"> </w:t>
      </w:r>
      <w:r>
        <w:t>26</w:t>
      </w:r>
      <w:r>
        <w:rPr>
          <w:spacing w:val="-5"/>
        </w:rPr>
        <w:t xml:space="preserve"> </w:t>
      </w:r>
      <w:r>
        <w:t>civics</w:t>
      </w:r>
      <w:r>
        <w:rPr>
          <w:spacing w:val="-5"/>
        </w:rPr>
        <w:t xml:space="preserve"> </w:t>
      </w:r>
      <w:r>
        <w:t>forms</w:t>
      </w:r>
      <w:r>
        <w:rPr>
          <w:spacing w:val="-5"/>
        </w:rPr>
        <w:t xml:space="preserve"> </w:t>
      </w:r>
      <w:r>
        <w:t>to</w:t>
      </w:r>
      <w:r>
        <w:rPr>
          <w:spacing w:val="-5"/>
        </w:rPr>
        <w:t xml:space="preserve"> </w:t>
      </w:r>
      <w:r>
        <w:t>26</w:t>
      </w:r>
      <w:r>
        <w:rPr>
          <w:spacing w:val="-5"/>
        </w:rPr>
        <w:t xml:space="preserve"> </w:t>
      </w:r>
      <w:r>
        <w:t>U.S.</w:t>
      </w:r>
      <w:r>
        <w:rPr>
          <w:spacing w:val="-5"/>
        </w:rPr>
        <w:t xml:space="preserve"> </w:t>
      </w:r>
      <w:r>
        <w:t>history</w:t>
      </w:r>
      <w:r>
        <w:rPr>
          <w:spacing w:val="-5"/>
        </w:rPr>
        <w:t xml:space="preserve"> </w:t>
      </w:r>
      <w:r>
        <w:t>forms.</w:t>
      </w:r>
      <w:r>
        <w:rPr>
          <w:spacing w:val="-5"/>
        </w:rPr>
        <w:t xml:space="preserve"> </w:t>
      </w:r>
      <w:r>
        <w:t>Students</w:t>
      </w:r>
      <w:r>
        <w:rPr>
          <w:spacing w:val="-5"/>
        </w:rPr>
        <w:t xml:space="preserve"> </w:t>
      </w:r>
      <w:r>
        <w:t>receiving</w:t>
      </w:r>
      <w:r>
        <w:rPr>
          <w:spacing w:val="-5"/>
        </w:rPr>
        <w:t xml:space="preserve"> </w:t>
      </w:r>
      <w:r>
        <w:t>a</w:t>
      </w:r>
      <w:r>
        <w:rPr>
          <w:spacing w:val="-5"/>
        </w:rPr>
        <w:t xml:space="preserve"> </w:t>
      </w:r>
      <w:r>
        <w:t>civics</w:t>
      </w:r>
      <w:r>
        <w:rPr>
          <w:spacing w:val="-5"/>
        </w:rPr>
        <w:t xml:space="preserve"> </w:t>
      </w:r>
      <w:r>
        <w:t>form</w:t>
      </w:r>
      <w:r>
        <w:rPr>
          <w:spacing w:val="-5"/>
        </w:rPr>
        <w:t xml:space="preserve"> </w:t>
      </w:r>
      <w:r>
        <w:t>were</w:t>
      </w:r>
      <w:r>
        <w:rPr>
          <w:spacing w:val="-5"/>
        </w:rPr>
        <w:t xml:space="preserve"> </w:t>
      </w:r>
      <w:r>
        <w:t>in</w:t>
      </w:r>
      <w:r>
        <w:rPr>
          <w:spacing w:val="-5"/>
        </w:rPr>
        <w:t xml:space="preserve"> </w:t>
      </w:r>
      <w:r>
        <w:t>the</w:t>
      </w:r>
      <w:r>
        <w:rPr>
          <w:spacing w:val="-5"/>
        </w:rPr>
        <w:t xml:space="preserve"> </w:t>
      </w:r>
      <w:r>
        <w:t>civics</w:t>
      </w:r>
      <w:r>
        <w:rPr>
          <w:spacing w:val="-5"/>
        </w:rPr>
        <w:t xml:space="preserve"> </w:t>
      </w:r>
      <w:r>
        <w:t>assessment,</w:t>
      </w:r>
      <w:r>
        <w:rPr>
          <w:spacing w:val="-5"/>
        </w:rPr>
        <w:t xml:space="preserve"> </w:t>
      </w:r>
      <w:r>
        <w:t>and</w:t>
      </w:r>
      <w:r>
        <w:rPr>
          <w:spacing w:val="-5"/>
        </w:rPr>
        <w:t xml:space="preserve"> </w:t>
      </w:r>
      <w:r>
        <w:t>students</w:t>
      </w:r>
      <w:r>
        <w:rPr>
          <w:spacing w:val="-5"/>
        </w:rPr>
        <w:t xml:space="preserve"> </w:t>
      </w:r>
      <w:r>
        <w:t>receiving</w:t>
      </w:r>
      <w:r>
        <w:rPr>
          <w:spacing w:val="-5"/>
        </w:rPr>
        <w:t xml:space="preserve"> </w:t>
      </w:r>
      <w:r>
        <w:t>a</w:t>
      </w:r>
      <w:r>
        <w:rPr>
          <w:spacing w:val="-5"/>
        </w:rPr>
        <w:t xml:space="preserve"> </w:t>
      </w:r>
      <w:r>
        <w:t>U.S.</w:t>
      </w:r>
      <w:r>
        <w:rPr>
          <w:spacing w:val="-5"/>
        </w:rPr>
        <w:t xml:space="preserve"> </w:t>
      </w:r>
      <w:r>
        <w:t>history</w:t>
      </w:r>
      <w:r>
        <w:rPr>
          <w:spacing w:val="-5"/>
        </w:rPr>
        <w:t xml:space="preserve"> </w:t>
      </w:r>
      <w:r>
        <w:t>form</w:t>
      </w:r>
      <w:r>
        <w:rPr>
          <w:spacing w:val="-5"/>
        </w:rPr>
        <w:t xml:space="preserve"> </w:t>
      </w:r>
      <w:r>
        <w:t>were</w:t>
      </w:r>
      <w:r>
        <w:rPr>
          <w:spacing w:val="-5"/>
        </w:rPr>
        <w:t xml:space="preserve"> </w:t>
      </w:r>
      <w:r>
        <w:t>in</w:t>
      </w:r>
      <w:r>
        <w:rPr>
          <w:spacing w:val="-5"/>
        </w:rPr>
        <w:t xml:space="preserve"> </w:t>
      </w:r>
      <w:r>
        <w:t>the</w:t>
      </w:r>
      <w:r>
        <w:rPr>
          <w:spacing w:val="-5"/>
        </w:rPr>
        <w:t xml:space="preserve"> </w:t>
      </w:r>
      <w:r>
        <w:t>U.S. history assessment.</w:t>
      </w:r>
    </w:p>
    <w:p w:rsidR="003F5784" w14:paraId="520AA2B3" w14:textId="77777777">
      <w:pPr>
        <w:pStyle w:val="BodyText"/>
      </w:pPr>
    </w:p>
    <w:p w:rsidR="003F5784" w14:paraId="7D108B5C" w14:textId="77777777">
      <w:pPr>
        <w:pStyle w:val="BodyText"/>
      </w:pPr>
    </w:p>
    <w:p w:rsidR="003F5784" w14:paraId="7EBF3C8F" w14:textId="77777777">
      <w:pPr>
        <w:pStyle w:val="BodyText"/>
      </w:pPr>
    </w:p>
    <w:p w:rsidR="003F5784" w14:paraId="098328C6" w14:textId="77777777">
      <w:pPr>
        <w:pStyle w:val="BodyText"/>
        <w:spacing w:before="153"/>
      </w:pPr>
    </w:p>
    <w:p w:rsidR="003F5784" w14:paraId="07BFD9EC" w14:textId="77777777">
      <w:pPr>
        <w:ind w:left="1801"/>
        <w:rPr>
          <w:sz w:val="18"/>
        </w:rPr>
      </w:pPr>
      <w:hyperlink r:id="rId37">
        <w:r>
          <w:rPr>
            <w:spacing w:val="-2"/>
            <w:w w:val="105"/>
            <w:sz w:val="18"/>
          </w:rPr>
          <w:t>http://nces.ed.gov/nationsreportcard/tdw/sample_design/2022/student_sample_selection_for_the_2022_8th_grade_private_school_nat_assess_in_civics_and_us_history.aspx</w:t>
        </w:r>
      </w:hyperlink>
    </w:p>
    <w:p w:rsidR="003F5784" w14:paraId="6617E9BB" w14:textId="77777777">
      <w:pPr>
        <w:pStyle w:val="BodyText"/>
        <w:spacing w:before="10"/>
        <w:rPr>
          <w:sz w:val="14"/>
        </w:rPr>
      </w:pPr>
      <w:r>
        <w:rPr>
          <w:noProof/>
        </w:rPr>
        <mc:AlternateContent>
          <mc:Choice Requires="wps">
            <w:drawing>
              <wp:anchor distT="0" distB="0" distL="0" distR="0" simplePos="0" relativeHeight="251751424" behindDoc="1" locked="0" layoutInCell="1" allowOverlap="1">
                <wp:simplePos x="0" y="0"/>
                <wp:positionH relativeFrom="page">
                  <wp:posOffset>361937</wp:posOffset>
                </wp:positionH>
                <wp:positionV relativeFrom="paragraph">
                  <wp:posOffset>123813</wp:posOffset>
                </wp:positionV>
                <wp:extent cx="9339580" cy="8890"/>
                <wp:effectExtent l="0" t="0" r="0" b="0"/>
                <wp:wrapTopAndBottom/>
                <wp:docPr id="51" name="Graphic 51"/>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1" o:spid="_x0000_s1043" style="width:735.4pt;height:0.7pt;margin-top:9.75pt;margin-left:28.5pt;mso-position-horizontal-relative:page;mso-wrap-distance-bottom:0;mso-wrap-distance-left:0;mso-wrap-distance-right:0;mso-wrap-distance-top:0;mso-wrap-style:square;position:absolute;visibility:visible;v-text-anchor:top;z-index:-251564032" coordsize="9339580,8890" path="m9338970,l9335110,l8280,,,,,8280l8280,8280l9335110,8280l9338970,8280l9338970,xe" fillcolor="gray" stroked="f">
                <v:path arrowok="t"/>
                <w10:wrap type="topAndBottom"/>
              </v:shape>
            </w:pict>
          </mc:Fallback>
        </mc:AlternateContent>
      </w:r>
    </w:p>
    <w:p w:rsidR="003F5784" w14:paraId="3E6E9136" w14:textId="77777777">
      <w:pPr>
        <w:rPr>
          <w:sz w:val="14"/>
        </w:rPr>
        <w:sectPr>
          <w:pgSz w:w="15840" w:h="12240" w:orient="landscape"/>
          <w:pgMar w:top="480" w:right="440" w:bottom="460" w:left="460" w:header="284" w:footer="275" w:gutter="0"/>
          <w:cols w:space="720"/>
        </w:sectPr>
      </w:pPr>
    </w:p>
    <w:p w:rsidR="003F5784" w14:paraId="32C59C22" w14:textId="189242BA">
      <w:pPr>
        <w:pStyle w:val="Heading1"/>
        <w:spacing w:before="81" w:line="244" w:lineRule="auto"/>
      </w:pPr>
      <w:r>
        <w:t>NAEP</w:t>
      </w:r>
      <w:r>
        <w:rPr>
          <w:spacing w:val="-13"/>
        </w:rPr>
        <w:t xml:space="preserve"> </w:t>
      </w:r>
      <w:r>
        <w:t>Technical Documentation</w:t>
      </w:r>
      <w:r w:rsidR="00E666D0">
        <w:t xml:space="preserve"> </w:t>
      </w:r>
      <w:r>
        <w:t>Substitute Schools for the 2022 Eighth-Grade Private School National Assessment in Civics and U.S. History</w:t>
      </w:r>
    </w:p>
    <w:p w:rsidR="003F5784" w14:paraId="6203A42F" w14:textId="77777777">
      <w:pPr>
        <w:pStyle w:val="BodyText"/>
        <w:spacing w:before="273" w:line="232" w:lineRule="auto"/>
        <w:ind w:left="109" w:right="318"/>
      </w:pPr>
      <w:r>
        <w:t>Though</w:t>
      </w:r>
      <w:r>
        <w:rPr>
          <w:spacing w:val="-6"/>
        </w:rPr>
        <w:t xml:space="preserve"> </w:t>
      </w:r>
      <w:r>
        <w:t>efforts</w:t>
      </w:r>
      <w:r>
        <w:rPr>
          <w:spacing w:val="-6"/>
        </w:rPr>
        <w:t xml:space="preserve"> </w:t>
      </w:r>
      <w:r>
        <w:t>were</w:t>
      </w:r>
      <w:r>
        <w:rPr>
          <w:spacing w:val="-6"/>
        </w:rPr>
        <w:t xml:space="preserve"> </w:t>
      </w:r>
      <w:r>
        <w:t>made</w:t>
      </w:r>
      <w:r>
        <w:rPr>
          <w:spacing w:val="-6"/>
        </w:rPr>
        <w:t xml:space="preserve"> </w:t>
      </w:r>
      <w:r>
        <w:t>to</w:t>
      </w:r>
      <w:r>
        <w:rPr>
          <w:spacing w:val="-6"/>
        </w:rPr>
        <w:t xml:space="preserve"> </w:t>
      </w:r>
      <w:r>
        <w:t>secure</w:t>
      </w:r>
      <w:r>
        <w:rPr>
          <w:spacing w:val="-6"/>
        </w:rPr>
        <w:t xml:space="preserve"> </w:t>
      </w:r>
      <w:r>
        <w:t>the</w:t>
      </w:r>
      <w:r>
        <w:rPr>
          <w:spacing w:val="-6"/>
        </w:rPr>
        <w:t xml:space="preserve"> </w:t>
      </w:r>
      <w:r>
        <w:t>participation</w:t>
      </w:r>
      <w:r>
        <w:rPr>
          <w:spacing w:val="-6"/>
        </w:rPr>
        <w:t xml:space="preserve"> </w:t>
      </w:r>
      <w:r>
        <w:t>of</w:t>
      </w:r>
      <w:r>
        <w:rPr>
          <w:spacing w:val="-6"/>
        </w:rPr>
        <w:t xml:space="preserve"> </w:t>
      </w:r>
      <w:r>
        <w:t>all</w:t>
      </w:r>
      <w:r>
        <w:rPr>
          <w:spacing w:val="-6"/>
        </w:rPr>
        <w:t xml:space="preserve"> </w:t>
      </w:r>
      <w:r>
        <w:t>schools</w:t>
      </w:r>
      <w:r>
        <w:rPr>
          <w:spacing w:val="-6"/>
        </w:rPr>
        <w:t xml:space="preserve"> </w:t>
      </w:r>
      <w:r>
        <w:t>selected,</w:t>
      </w:r>
      <w:r>
        <w:rPr>
          <w:spacing w:val="-6"/>
        </w:rPr>
        <w:t xml:space="preserve"> </w:t>
      </w:r>
      <w:r>
        <w:t>it</w:t>
      </w:r>
      <w:r>
        <w:rPr>
          <w:spacing w:val="-6"/>
        </w:rPr>
        <w:t xml:space="preserve"> </w:t>
      </w:r>
      <w:r>
        <w:t>was</w:t>
      </w:r>
      <w:r>
        <w:rPr>
          <w:spacing w:val="-6"/>
        </w:rPr>
        <w:t xml:space="preserve"> </w:t>
      </w:r>
      <w:r>
        <w:t>anticipated</w:t>
      </w:r>
      <w:r>
        <w:rPr>
          <w:spacing w:val="-6"/>
        </w:rPr>
        <w:t xml:space="preserve"> </w:t>
      </w:r>
      <w:r>
        <w:t>that</w:t>
      </w:r>
      <w:r>
        <w:rPr>
          <w:spacing w:val="-6"/>
        </w:rPr>
        <w:t xml:space="preserve"> </w:t>
      </w:r>
      <w:r>
        <w:t>not</w:t>
      </w:r>
      <w:r>
        <w:rPr>
          <w:spacing w:val="-6"/>
        </w:rPr>
        <w:t xml:space="preserve"> </w:t>
      </w:r>
      <w:r>
        <w:t>all</w:t>
      </w:r>
      <w:r>
        <w:rPr>
          <w:spacing w:val="-6"/>
        </w:rPr>
        <w:t xml:space="preserve"> </w:t>
      </w:r>
      <w:r>
        <w:t>schools</w:t>
      </w:r>
      <w:r>
        <w:rPr>
          <w:spacing w:val="-6"/>
        </w:rPr>
        <w:t xml:space="preserve"> </w:t>
      </w:r>
      <w:r>
        <w:t>would</w:t>
      </w:r>
      <w:r>
        <w:rPr>
          <w:spacing w:val="-6"/>
        </w:rPr>
        <w:t xml:space="preserve"> </w:t>
      </w:r>
      <w:r>
        <w:t>choose</w:t>
      </w:r>
      <w:r>
        <w:rPr>
          <w:spacing w:val="-6"/>
        </w:rPr>
        <w:t xml:space="preserve"> </w:t>
      </w:r>
      <w:r>
        <w:t>to</w:t>
      </w:r>
      <w:r>
        <w:rPr>
          <w:spacing w:val="-6"/>
        </w:rPr>
        <w:t xml:space="preserve"> </w:t>
      </w:r>
      <w:r>
        <w:t>participate.</w:t>
      </w:r>
      <w:r>
        <w:rPr>
          <w:spacing w:val="-6"/>
        </w:rPr>
        <w:t xml:space="preserve"> </w:t>
      </w:r>
      <w:r>
        <w:t>NAEP</w:t>
      </w:r>
      <w:r>
        <w:rPr>
          <w:spacing w:val="-13"/>
        </w:rPr>
        <w:t xml:space="preserve"> </w:t>
      </w:r>
      <w:r>
        <w:t>uses</w:t>
      </w:r>
      <w:r>
        <w:rPr>
          <w:spacing w:val="-6"/>
        </w:rPr>
        <w:t xml:space="preserve"> </w:t>
      </w:r>
      <w:r>
        <w:t>school</w:t>
      </w:r>
      <w:r>
        <w:rPr>
          <w:spacing w:val="-6"/>
        </w:rPr>
        <w:t xml:space="preserve"> </w:t>
      </w:r>
      <w:r>
        <w:t>substitution to mitigate the effect of bias due to nonresponse.</w:t>
      </w:r>
      <w:r>
        <w:rPr>
          <w:spacing w:val="-10"/>
        </w:rPr>
        <w:t xml:space="preserve"> </w:t>
      </w:r>
      <w:r>
        <w:t>A</w:t>
      </w:r>
      <w:r>
        <w:rPr>
          <w:spacing w:val="-10"/>
        </w:rPr>
        <w:t xml:space="preserve"> </w:t>
      </w:r>
      <w:r>
        <w:t>nonparticipating sampled school is replaced by its substitute when the original school is considered a final refusal.</w:t>
      </w:r>
    </w:p>
    <w:p w:rsidR="003F5784" w14:paraId="40BE8520" w14:textId="77777777">
      <w:pPr>
        <w:pStyle w:val="BodyText"/>
        <w:spacing w:before="210" w:line="232" w:lineRule="auto"/>
        <w:ind w:left="109" w:right="122"/>
      </w:pPr>
      <w:r>
        <w:t>For</w:t>
      </w:r>
      <w:r>
        <w:rPr>
          <w:spacing w:val="-7"/>
        </w:rPr>
        <w:t xml:space="preserve"> </w:t>
      </w:r>
      <w:r>
        <w:t>the</w:t>
      </w:r>
      <w:r>
        <w:rPr>
          <w:spacing w:val="-7"/>
        </w:rPr>
        <w:t xml:space="preserve"> </w:t>
      </w:r>
      <w:r>
        <w:t>eighth-grade</w:t>
      </w:r>
      <w:r>
        <w:rPr>
          <w:spacing w:val="-7"/>
        </w:rPr>
        <w:t xml:space="preserve"> </w:t>
      </w:r>
      <w:r>
        <w:t>private</w:t>
      </w:r>
      <w:r>
        <w:rPr>
          <w:spacing w:val="-7"/>
        </w:rPr>
        <w:t xml:space="preserve"> </w:t>
      </w:r>
      <w:r>
        <w:t>school</w:t>
      </w:r>
      <w:r>
        <w:rPr>
          <w:spacing w:val="-7"/>
        </w:rPr>
        <w:t xml:space="preserve"> </w:t>
      </w:r>
      <w:r>
        <w:t>national</w:t>
      </w:r>
      <w:r>
        <w:rPr>
          <w:spacing w:val="-7"/>
        </w:rPr>
        <w:t xml:space="preserve"> </w:t>
      </w:r>
      <w:r>
        <w:t>sample,</w:t>
      </w:r>
      <w:r>
        <w:rPr>
          <w:spacing w:val="-7"/>
        </w:rPr>
        <w:t xml:space="preserve"> </w:t>
      </w:r>
      <w:r>
        <w:t>substitute</w:t>
      </w:r>
      <w:r>
        <w:rPr>
          <w:spacing w:val="-7"/>
        </w:rPr>
        <w:t xml:space="preserve"> </w:t>
      </w:r>
      <w:r>
        <w:t>schools</w:t>
      </w:r>
      <w:r>
        <w:rPr>
          <w:spacing w:val="-7"/>
        </w:rPr>
        <w:t xml:space="preserve"> </w:t>
      </w:r>
      <w:r>
        <w:t>were</w:t>
      </w:r>
      <w:r>
        <w:rPr>
          <w:spacing w:val="-7"/>
        </w:rPr>
        <w:t xml:space="preserve"> </w:t>
      </w:r>
      <w:r>
        <w:t>preselected</w:t>
      </w:r>
      <w:r>
        <w:rPr>
          <w:spacing w:val="-7"/>
        </w:rPr>
        <w:t xml:space="preserve"> </w:t>
      </w:r>
      <w:r>
        <w:t>for</w:t>
      </w:r>
      <w:r>
        <w:rPr>
          <w:spacing w:val="-7"/>
        </w:rPr>
        <w:t xml:space="preserve"> </w:t>
      </w:r>
      <w:r>
        <w:t>all</w:t>
      </w:r>
      <w:r>
        <w:rPr>
          <w:spacing w:val="-7"/>
        </w:rPr>
        <w:t xml:space="preserve"> </w:t>
      </w:r>
      <w:r>
        <w:t>sampled</w:t>
      </w:r>
      <w:r>
        <w:rPr>
          <w:spacing w:val="-7"/>
        </w:rPr>
        <w:t xml:space="preserve"> </w:t>
      </w:r>
      <w:r>
        <w:t>schools</w:t>
      </w:r>
      <w:r>
        <w:rPr>
          <w:spacing w:val="-7"/>
        </w:rPr>
        <w:t xml:space="preserve"> </w:t>
      </w:r>
      <w:r>
        <w:t>with</w:t>
      </w:r>
      <w:r>
        <w:rPr>
          <w:spacing w:val="-7"/>
        </w:rPr>
        <w:t xml:space="preserve"> </w:t>
      </w:r>
      <w:r>
        <w:t>known</w:t>
      </w:r>
      <w:r>
        <w:rPr>
          <w:spacing w:val="-7"/>
        </w:rPr>
        <w:t xml:space="preserve"> </w:t>
      </w:r>
      <w:r>
        <w:t>affiliation</w:t>
      </w:r>
      <w:r>
        <w:rPr>
          <w:spacing w:val="-7"/>
        </w:rPr>
        <w:t xml:space="preserve"> </w:t>
      </w:r>
      <w:r>
        <w:t>from</w:t>
      </w:r>
      <w:r>
        <w:rPr>
          <w:spacing w:val="-7"/>
        </w:rPr>
        <w:t xml:space="preserve"> </w:t>
      </w:r>
      <w:r>
        <w:t>the</w:t>
      </w:r>
      <w:r>
        <w:rPr>
          <w:spacing w:val="-7"/>
        </w:rPr>
        <w:t xml:space="preserve"> </w:t>
      </w:r>
      <w:r>
        <w:t>Private</w:t>
      </w:r>
      <w:r>
        <w:rPr>
          <w:spacing w:val="-7"/>
        </w:rPr>
        <w:t xml:space="preserve"> </w:t>
      </w:r>
      <w:r>
        <w:t>School</w:t>
      </w:r>
      <w:r>
        <w:rPr>
          <w:spacing w:val="-7"/>
        </w:rPr>
        <w:t xml:space="preserve"> </w:t>
      </w:r>
      <w:r>
        <w:t>Universe</w:t>
      </w:r>
      <w:r>
        <w:rPr>
          <w:spacing w:val="-7"/>
        </w:rPr>
        <w:t xml:space="preserve"> </w:t>
      </w:r>
      <w:r>
        <w:t>Survey (PSS)-based</w:t>
      </w:r>
      <w:r>
        <w:rPr>
          <w:spacing w:val="-4"/>
        </w:rPr>
        <w:t xml:space="preserve"> </w:t>
      </w:r>
      <w:r>
        <w:t>frame</w:t>
      </w:r>
      <w:r>
        <w:rPr>
          <w:spacing w:val="-4"/>
        </w:rPr>
        <w:t xml:space="preserve"> </w:t>
      </w:r>
      <w:r>
        <w:t>by</w:t>
      </w:r>
      <w:r>
        <w:rPr>
          <w:spacing w:val="-4"/>
        </w:rPr>
        <w:t xml:space="preserve"> </w:t>
      </w:r>
      <w:r>
        <w:t>sorting</w:t>
      </w:r>
      <w:r>
        <w:rPr>
          <w:spacing w:val="-4"/>
        </w:rPr>
        <w:t xml:space="preserve"> </w:t>
      </w:r>
      <w:r>
        <w:t>the</w:t>
      </w:r>
      <w:r>
        <w:rPr>
          <w:spacing w:val="-4"/>
        </w:rPr>
        <w:t xml:space="preserve"> </w:t>
      </w:r>
      <w:r>
        <w:t>school</w:t>
      </w:r>
      <w:r>
        <w:rPr>
          <w:spacing w:val="-4"/>
        </w:rPr>
        <w:t xml:space="preserve"> </w:t>
      </w:r>
      <w:r>
        <w:t>frame</w:t>
      </w:r>
      <w:r>
        <w:rPr>
          <w:spacing w:val="-4"/>
        </w:rPr>
        <w:t xml:space="preserve"> </w:t>
      </w:r>
      <w:r>
        <w:t>file</w:t>
      </w:r>
      <w:r>
        <w:rPr>
          <w:spacing w:val="-4"/>
        </w:rPr>
        <w:t xml:space="preserve"> </w:t>
      </w:r>
      <w:r>
        <w:t>according</w:t>
      </w:r>
      <w:r>
        <w:rPr>
          <w:spacing w:val="-4"/>
        </w:rPr>
        <w:t xml:space="preserve"> </w:t>
      </w:r>
      <w:r>
        <w:t>to</w:t>
      </w:r>
      <w:r>
        <w:rPr>
          <w:spacing w:val="-4"/>
        </w:rPr>
        <w:t xml:space="preserve"> </w:t>
      </w:r>
      <w:r>
        <w:t>the</w:t>
      </w:r>
      <w:r>
        <w:rPr>
          <w:spacing w:val="-4"/>
        </w:rPr>
        <w:t xml:space="preserve"> </w:t>
      </w:r>
      <w:r>
        <w:t>actual</w:t>
      </w:r>
      <w:r>
        <w:rPr>
          <w:spacing w:val="-4"/>
        </w:rPr>
        <w:t xml:space="preserve"> </w:t>
      </w:r>
      <w:r>
        <w:t>order</w:t>
      </w:r>
      <w:r>
        <w:rPr>
          <w:spacing w:val="-4"/>
        </w:rPr>
        <w:t xml:space="preserve"> </w:t>
      </w:r>
      <w:r>
        <w:t>used</w:t>
      </w:r>
      <w:r>
        <w:rPr>
          <w:spacing w:val="-4"/>
        </w:rPr>
        <w:t xml:space="preserve"> </w:t>
      </w:r>
      <w:r>
        <w:t>in</w:t>
      </w:r>
      <w:r>
        <w:rPr>
          <w:spacing w:val="-4"/>
        </w:rPr>
        <w:t xml:space="preserve"> </w:t>
      </w:r>
      <w:r>
        <w:t>sample</w:t>
      </w:r>
      <w:r>
        <w:rPr>
          <w:spacing w:val="-4"/>
        </w:rPr>
        <w:t xml:space="preserve"> </w:t>
      </w:r>
      <w:r>
        <w:t>selection</w:t>
      </w:r>
      <w:r>
        <w:rPr>
          <w:spacing w:val="-4"/>
        </w:rPr>
        <w:t xml:space="preserve"> </w:t>
      </w:r>
      <w:r>
        <w:t>(the</w:t>
      </w:r>
      <w:r>
        <w:rPr>
          <w:spacing w:val="-4"/>
        </w:rPr>
        <w:t xml:space="preserve"> </w:t>
      </w:r>
      <w:r>
        <w:rPr>
          <w:color w:val="0066CC"/>
        </w:rPr>
        <w:t>implicit</w:t>
      </w:r>
      <w:r>
        <w:rPr>
          <w:color w:val="0066CC"/>
          <w:spacing w:val="-4"/>
        </w:rPr>
        <w:t xml:space="preserve"> </w:t>
      </w:r>
      <w:r>
        <w:rPr>
          <w:color w:val="0066CC"/>
        </w:rPr>
        <w:t>stratification</w:t>
      </w:r>
      <w:r>
        <w:t>).</w:t>
      </w:r>
      <w:r>
        <w:rPr>
          <w:spacing w:val="-4"/>
        </w:rPr>
        <w:t xml:space="preserve"> </w:t>
      </w:r>
      <w:r>
        <w:t>Sampled</w:t>
      </w:r>
      <w:r>
        <w:rPr>
          <w:spacing w:val="-4"/>
        </w:rPr>
        <w:t xml:space="preserve"> </w:t>
      </w:r>
      <w:r>
        <w:t>schools</w:t>
      </w:r>
      <w:r>
        <w:rPr>
          <w:spacing w:val="-4"/>
        </w:rPr>
        <w:t xml:space="preserve"> </w:t>
      </w:r>
      <w:r>
        <w:t>with</w:t>
      </w:r>
      <w:r>
        <w:rPr>
          <w:spacing w:val="-4"/>
        </w:rPr>
        <w:t xml:space="preserve"> </w:t>
      </w:r>
      <w:r>
        <w:t>unknown</w:t>
      </w:r>
      <w:r>
        <w:rPr>
          <w:spacing w:val="-4"/>
        </w:rPr>
        <w:t xml:space="preserve"> </w:t>
      </w:r>
      <w:r>
        <w:t>affiliation were not assigned substitutes.</w:t>
      </w:r>
    </w:p>
    <w:p w:rsidR="003F5784" w14:paraId="68060599" w14:textId="77777777">
      <w:pPr>
        <w:pStyle w:val="BodyText"/>
        <w:spacing w:before="209" w:line="232" w:lineRule="auto"/>
        <w:ind w:left="109" w:right="179"/>
      </w:pPr>
      <w:r>
        <w:t>Schools</w:t>
      </w:r>
      <w:r>
        <w:rPr>
          <w:spacing w:val="-6"/>
        </w:rPr>
        <w:t xml:space="preserve"> </w:t>
      </w:r>
      <w:r>
        <w:t>were</w:t>
      </w:r>
      <w:r>
        <w:rPr>
          <w:spacing w:val="-6"/>
        </w:rPr>
        <w:t xml:space="preserve"> </w:t>
      </w:r>
      <w:r>
        <w:t>disqualified</w:t>
      </w:r>
      <w:r>
        <w:rPr>
          <w:spacing w:val="-6"/>
        </w:rPr>
        <w:t xml:space="preserve"> </w:t>
      </w:r>
      <w:r>
        <w:t>as</w:t>
      </w:r>
      <w:r>
        <w:rPr>
          <w:spacing w:val="-6"/>
        </w:rPr>
        <w:t xml:space="preserve"> </w:t>
      </w:r>
      <w:r>
        <w:t>potential</w:t>
      </w:r>
      <w:r>
        <w:rPr>
          <w:spacing w:val="-6"/>
        </w:rPr>
        <w:t xml:space="preserve"> </w:t>
      </w:r>
      <w:r>
        <w:t>substitutes</w:t>
      </w:r>
      <w:r>
        <w:rPr>
          <w:spacing w:val="-6"/>
        </w:rPr>
        <w:t xml:space="preserve"> </w:t>
      </w:r>
      <w:r>
        <w:t>if</w:t>
      </w:r>
      <w:r>
        <w:rPr>
          <w:spacing w:val="-6"/>
        </w:rPr>
        <w:t xml:space="preserve"> </w:t>
      </w:r>
      <w:r>
        <w:t>they</w:t>
      </w:r>
      <w:r>
        <w:rPr>
          <w:spacing w:val="-6"/>
        </w:rPr>
        <w:t xml:space="preserve"> </w:t>
      </w:r>
      <w:r>
        <w:t>were</w:t>
      </w:r>
      <w:r>
        <w:rPr>
          <w:spacing w:val="-6"/>
        </w:rPr>
        <w:t xml:space="preserve"> </w:t>
      </w:r>
      <w:r>
        <w:t>already</w:t>
      </w:r>
      <w:r>
        <w:rPr>
          <w:spacing w:val="-6"/>
        </w:rPr>
        <w:t xml:space="preserve"> </w:t>
      </w:r>
      <w:r>
        <w:t>selected</w:t>
      </w:r>
      <w:r>
        <w:rPr>
          <w:spacing w:val="-6"/>
        </w:rPr>
        <w:t xml:space="preserve"> </w:t>
      </w:r>
      <w:r>
        <w:t>in</w:t>
      </w:r>
      <w:r>
        <w:rPr>
          <w:spacing w:val="-6"/>
        </w:rPr>
        <w:t xml:space="preserve"> </w:t>
      </w:r>
      <w:r>
        <w:t>the</w:t>
      </w:r>
      <w:r>
        <w:rPr>
          <w:spacing w:val="-6"/>
        </w:rPr>
        <w:t xml:space="preserve"> </w:t>
      </w:r>
      <w:r>
        <w:t>private</w:t>
      </w:r>
      <w:r>
        <w:rPr>
          <w:spacing w:val="-6"/>
        </w:rPr>
        <w:t xml:space="preserve"> </w:t>
      </w:r>
      <w:r>
        <w:t>school</w:t>
      </w:r>
      <w:r>
        <w:rPr>
          <w:spacing w:val="-6"/>
        </w:rPr>
        <w:t xml:space="preserve"> </w:t>
      </w:r>
      <w:r>
        <w:t>sample</w:t>
      </w:r>
      <w:r>
        <w:rPr>
          <w:spacing w:val="-6"/>
        </w:rPr>
        <w:t xml:space="preserve"> </w:t>
      </w:r>
      <w:r>
        <w:t>or</w:t>
      </w:r>
      <w:r>
        <w:rPr>
          <w:spacing w:val="-6"/>
        </w:rPr>
        <w:t xml:space="preserve"> </w:t>
      </w:r>
      <w:r>
        <w:t>assigned</w:t>
      </w:r>
      <w:r>
        <w:rPr>
          <w:spacing w:val="-6"/>
        </w:rPr>
        <w:t xml:space="preserve"> </w:t>
      </w:r>
      <w:r>
        <w:t>as</w:t>
      </w:r>
      <w:r>
        <w:rPr>
          <w:spacing w:val="-6"/>
        </w:rPr>
        <w:t xml:space="preserve"> </w:t>
      </w:r>
      <w:r>
        <w:t>a</w:t>
      </w:r>
      <w:r>
        <w:rPr>
          <w:spacing w:val="-6"/>
        </w:rPr>
        <w:t xml:space="preserve"> </w:t>
      </w:r>
      <w:r>
        <w:t>substitute</w:t>
      </w:r>
      <w:r>
        <w:rPr>
          <w:spacing w:val="-6"/>
        </w:rPr>
        <w:t xml:space="preserve"> </w:t>
      </w:r>
      <w:r>
        <w:t>for</w:t>
      </w:r>
      <w:r>
        <w:rPr>
          <w:spacing w:val="-6"/>
        </w:rPr>
        <w:t xml:space="preserve"> </w:t>
      </w:r>
      <w:r>
        <w:t>another</w:t>
      </w:r>
      <w:r>
        <w:rPr>
          <w:spacing w:val="-6"/>
        </w:rPr>
        <w:t xml:space="preserve"> </w:t>
      </w:r>
      <w:r>
        <w:t>private</w:t>
      </w:r>
      <w:r>
        <w:rPr>
          <w:spacing w:val="-6"/>
        </w:rPr>
        <w:t xml:space="preserve"> </w:t>
      </w:r>
      <w:r>
        <w:t>school</w:t>
      </w:r>
      <w:r>
        <w:rPr>
          <w:spacing w:val="-6"/>
        </w:rPr>
        <w:t xml:space="preserve"> </w:t>
      </w:r>
      <w:r>
        <w:t>(earlier</w:t>
      </w:r>
      <w:r>
        <w:rPr>
          <w:spacing w:val="-6"/>
        </w:rPr>
        <w:t xml:space="preserve"> </w:t>
      </w:r>
      <w:r>
        <w:t>in</w:t>
      </w:r>
      <w:r>
        <w:rPr>
          <w:spacing w:val="-6"/>
        </w:rPr>
        <w:t xml:space="preserve"> </w:t>
      </w:r>
      <w:r>
        <w:t>the sort ordering).</w:t>
      </w:r>
    </w:p>
    <w:p w:rsidR="003F5784" w14:paraId="4A11AAC7" w14:textId="77777777">
      <w:pPr>
        <w:pStyle w:val="BodyText"/>
        <w:spacing w:before="209" w:line="232" w:lineRule="auto"/>
        <w:ind w:left="109"/>
      </w:pPr>
      <w:r>
        <w:t>The two candidates for substitutes were then the two nearest neighbors of the originally sampled school in the frame sort order.</w:t>
      </w:r>
      <w:r>
        <w:rPr>
          <w:spacing w:val="-4"/>
        </w:rPr>
        <w:t xml:space="preserve"> </w:t>
      </w:r>
      <w:r>
        <w:t>To be eligible as a potential substitute, the neighbor</w:t>
      </w:r>
      <w:r>
        <w:rPr>
          <w:spacing w:val="-6"/>
        </w:rPr>
        <w:t xml:space="preserve"> </w:t>
      </w:r>
      <w:r>
        <w:t>needed</w:t>
      </w:r>
      <w:r>
        <w:rPr>
          <w:spacing w:val="-6"/>
        </w:rPr>
        <w:t xml:space="preserve"> </w:t>
      </w:r>
      <w:r>
        <w:t>to</w:t>
      </w:r>
      <w:r>
        <w:rPr>
          <w:spacing w:val="-6"/>
        </w:rPr>
        <w:t xml:space="preserve"> </w:t>
      </w:r>
      <w:r>
        <w:t>be</w:t>
      </w:r>
      <w:r>
        <w:rPr>
          <w:spacing w:val="-6"/>
        </w:rPr>
        <w:t xml:space="preserve"> </w:t>
      </w:r>
      <w:r>
        <w:t>a</w:t>
      </w:r>
      <w:r>
        <w:rPr>
          <w:spacing w:val="-6"/>
        </w:rPr>
        <w:t xml:space="preserve"> </w:t>
      </w:r>
      <w:r>
        <w:t>nonsampled</w:t>
      </w:r>
      <w:r>
        <w:rPr>
          <w:spacing w:val="-6"/>
        </w:rPr>
        <w:t xml:space="preserve"> </w:t>
      </w:r>
      <w:r>
        <w:t>school</w:t>
      </w:r>
      <w:r>
        <w:rPr>
          <w:spacing w:val="-6"/>
        </w:rPr>
        <w:t xml:space="preserve"> </w:t>
      </w:r>
      <w:r>
        <w:t>(for</w:t>
      </w:r>
      <w:r>
        <w:rPr>
          <w:spacing w:val="-6"/>
        </w:rPr>
        <w:t xml:space="preserve"> </w:t>
      </w:r>
      <w:r>
        <w:t>any</w:t>
      </w:r>
      <w:r>
        <w:rPr>
          <w:spacing w:val="-6"/>
        </w:rPr>
        <w:t xml:space="preserve"> </w:t>
      </w:r>
      <w:r>
        <w:t>grade),</w:t>
      </w:r>
      <w:r>
        <w:rPr>
          <w:spacing w:val="-6"/>
        </w:rPr>
        <w:t xml:space="preserve"> </w:t>
      </w:r>
      <w:r>
        <w:t>and</w:t>
      </w:r>
      <w:r>
        <w:rPr>
          <w:spacing w:val="-6"/>
        </w:rPr>
        <w:t xml:space="preserve"> </w:t>
      </w:r>
      <w:r>
        <w:t>within</w:t>
      </w:r>
      <w:r>
        <w:rPr>
          <w:spacing w:val="-6"/>
        </w:rPr>
        <w:t xml:space="preserve"> </w:t>
      </w:r>
      <w:r>
        <w:t>the</w:t>
      </w:r>
      <w:r>
        <w:rPr>
          <w:spacing w:val="-6"/>
        </w:rPr>
        <w:t xml:space="preserve"> </w:t>
      </w:r>
      <w:r>
        <w:t>same</w:t>
      </w:r>
      <w:r>
        <w:rPr>
          <w:spacing w:val="-6"/>
        </w:rPr>
        <w:t xml:space="preserve"> </w:t>
      </w:r>
      <w:r>
        <w:t>explicit</w:t>
      </w:r>
      <w:r>
        <w:rPr>
          <w:spacing w:val="-6"/>
        </w:rPr>
        <w:t xml:space="preserve"> </w:t>
      </w:r>
      <w:r>
        <w:t>sampling</w:t>
      </w:r>
      <w:r>
        <w:rPr>
          <w:spacing w:val="-6"/>
        </w:rPr>
        <w:t xml:space="preserve"> </w:t>
      </w:r>
      <w:r>
        <w:t>stratum</w:t>
      </w:r>
      <w:r>
        <w:rPr>
          <w:spacing w:val="-6"/>
        </w:rPr>
        <w:t xml:space="preserve"> </w:t>
      </w:r>
      <w:r>
        <w:t>and</w:t>
      </w:r>
      <w:r>
        <w:rPr>
          <w:spacing w:val="-6"/>
        </w:rPr>
        <w:t xml:space="preserve"> </w:t>
      </w:r>
      <w:r>
        <w:t>of</w:t>
      </w:r>
      <w:r>
        <w:rPr>
          <w:spacing w:val="-6"/>
        </w:rPr>
        <w:t xml:space="preserve"> </w:t>
      </w:r>
      <w:r>
        <w:t>the</w:t>
      </w:r>
      <w:r>
        <w:rPr>
          <w:spacing w:val="-6"/>
        </w:rPr>
        <w:t xml:space="preserve"> </w:t>
      </w:r>
      <w:r>
        <w:t>same</w:t>
      </w:r>
      <w:r>
        <w:rPr>
          <w:spacing w:val="-6"/>
        </w:rPr>
        <w:t xml:space="preserve"> </w:t>
      </w:r>
      <w:r>
        <w:t>affiliation</w:t>
      </w:r>
      <w:r>
        <w:rPr>
          <w:spacing w:val="-6"/>
        </w:rPr>
        <w:t xml:space="preserve"> </w:t>
      </w:r>
      <w:r>
        <w:t>as</w:t>
      </w:r>
      <w:r>
        <w:rPr>
          <w:spacing w:val="-6"/>
        </w:rPr>
        <w:t xml:space="preserve"> </w:t>
      </w:r>
      <w:r>
        <w:t>the</w:t>
      </w:r>
      <w:r>
        <w:rPr>
          <w:spacing w:val="-6"/>
        </w:rPr>
        <w:t xml:space="preserve"> </w:t>
      </w:r>
      <w:r>
        <w:t>originally</w:t>
      </w:r>
      <w:r>
        <w:rPr>
          <w:spacing w:val="-6"/>
        </w:rPr>
        <w:t xml:space="preserve"> </w:t>
      </w:r>
      <w:r>
        <w:t>sampled</w:t>
      </w:r>
      <w:r>
        <w:rPr>
          <w:spacing w:val="-6"/>
        </w:rPr>
        <w:t xml:space="preserve"> </w:t>
      </w:r>
      <w:r>
        <w:t>school.</w:t>
      </w:r>
      <w:r>
        <w:rPr>
          <w:spacing w:val="-6"/>
        </w:rPr>
        <w:t xml:space="preserve"> </w:t>
      </w:r>
      <w:r>
        <w:t>If</w:t>
      </w:r>
      <w:r>
        <w:rPr>
          <w:spacing w:val="-6"/>
        </w:rPr>
        <w:t xml:space="preserve"> </w:t>
      </w:r>
      <w:r>
        <w:t>both nearest</w:t>
      </w:r>
      <w:r>
        <w:rPr>
          <w:spacing w:val="-1"/>
        </w:rPr>
        <w:t xml:space="preserve"> </w:t>
      </w:r>
      <w:r>
        <w:t>neighbors</w:t>
      </w:r>
      <w:r>
        <w:rPr>
          <w:spacing w:val="-1"/>
        </w:rPr>
        <w:t xml:space="preserve"> </w:t>
      </w:r>
      <w:r>
        <w:t>were</w:t>
      </w:r>
      <w:r>
        <w:rPr>
          <w:spacing w:val="-1"/>
        </w:rPr>
        <w:t xml:space="preserve"> </w:t>
      </w:r>
      <w:r>
        <w:t>eligible</w:t>
      </w:r>
      <w:r>
        <w:rPr>
          <w:spacing w:val="-1"/>
        </w:rPr>
        <w:t xml:space="preserve"> </w:t>
      </w:r>
      <w:r>
        <w:t>to</w:t>
      </w:r>
      <w:r>
        <w:rPr>
          <w:spacing w:val="-1"/>
        </w:rPr>
        <w:t xml:space="preserve"> </w:t>
      </w:r>
      <w:r>
        <w:t>be</w:t>
      </w:r>
      <w:r>
        <w:rPr>
          <w:spacing w:val="-1"/>
        </w:rPr>
        <w:t xml:space="preserve"> </w:t>
      </w:r>
      <w:r>
        <w:t>substitutes,</w:t>
      </w:r>
      <w:r>
        <w:rPr>
          <w:spacing w:val="-1"/>
        </w:rPr>
        <w:t xml:space="preserve"> </w:t>
      </w:r>
      <w:r>
        <w:t>the</w:t>
      </w:r>
      <w:r>
        <w:rPr>
          <w:spacing w:val="-1"/>
        </w:rPr>
        <w:t xml:space="preserve"> </w:t>
      </w:r>
      <w:r>
        <w:t>one</w:t>
      </w:r>
      <w:r>
        <w:rPr>
          <w:spacing w:val="-1"/>
        </w:rPr>
        <w:t xml:space="preserve"> </w:t>
      </w:r>
      <w:r>
        <w:t>with</w:t>
      </w:r>
      <w:r>
        <w:rPr>
          <w:spacing w:val="-1"/>
        </w:rPr>
        <w:t xml:space="preserve"> </w:t>
      </w:r>
      <w:r>
        <w:t>a</w:t>
      </w:r>
      <w:r>
        <w:rPr>
          <w:spacing w:val="-1"/>
        </w:rPr>
        <w:t xml:space="preserve"> </w:t>
      </w:r>
      <w:r>
        <w:t>closer</w:t>
      </w:r>
      <w:r>
        <w:rPr>
          <w:spacing w:val="-1"/>
        </w:rPr>
        <w:t xml:space="preserve"> </w:t>
      </w:r>
      <w:r>
        <w:t>grade</w:t>
      </w:r>
      <w:r>
        <w:rPr>
          <w:spacing w:val="-1"/>
        </w:rPr>
        <w:t xml:space="preserve"> </w:t>
      </w:r>
      <w:r>
        <w:t>enrollment</w:t>
      </w:r>
      <w:r>
        <w:rPr>
          <w:spacing w:val="-1"/>
        </w:rPr>
        <w:t xml:space="preserve"> </w:t>
      </w:r>
      <w:r>
        <w:t>was</w:t>
      </w:r>
      <w:r>
        <w:rPr>
          <w:spacing w:val="-1"/>
        </w:rPr>
        <w:t xml:space="preserve"> </w:t>
      </w:r>
      <w:r>
        <w:t>chosen.</w:t>
      </w:r>
      <w:r>
        <w:rPr>
          <w:spacing w:val="-1"/>
        </w:rPr>
        <w:t xml:space="preserve"> </w:t>
      </w:r>
      <w:r>
        <w:t>If</w:t>
      </w:r>
      <w:r>
        <w:rPr>
          <w:spacing w:val="-1"/>
        </w:rPr>
        <w:t xml:space="preserve"> </w:t>
      </w:r>
      <w:r>
        <w:t>both</w:t>
      </w:r>
      <w:r>
        <w:rPr>
          <w:spacing w:val="-1"/>
        </w:rPr>
        <w:t xml:space="preserve"> </w:t>
      </w:r>
      <w:r>
        <w:t>nearest</w:t>
      </w:r>
      <w:r>
        <w:rPr>
          <w:spacing w:val="-1"/>
        </w:rPr>
        <w:t xml:space="preserve"> </w:t>
      </w:r>
      <w:r>
        <w:t>neighbors</w:t>
      </w:r>
      <w:r>
        <w:rPr>
          <w:spacing w:val="-1"/>
        </w:rPr>
        <w:t xml:space="preserve"> </w:t>
      </w:r>
      <w:r>
        <w:t>had</w:t>
      </w:r>
      <w:r>
        <w:rPr>
          <w:spacing w:val="-1"/>
        </w:rPr>
        <w:t xml:space="preserve"> </w:t>
      </w:r>
      <w:r>
        <w:t>the</w:t>
      </w:r>
      <w:r>
        <w:rPr>
          <w:spacing w:val="-1"/>
        </w:rPr>
        <w:t xml:space="preserve"> </w:t>
      </w:r>
      <w:r>
        <w:t>same</w:t>
      </w:r>
      <w:r>
        <w:rPr>
          <w:spacing w:val="-1"/>
        </w:rPr>
        <w:t xml:space="preserve"> </w:t>
      </w:r>
      <w:r>
        <w:t>grade</w:t>
      </w:r>
      <w:r>
        <w:rPr>
          <w:spacing w:val="-1"/>
        </w:rPr>
        <w:t xml:space="preserve"> </w:t>
      </w:r>
      <w:r>
        <w:t>enrollment</w:t>
      </w:r>
      <w:r>
        <w:rPr>
          <w:spacing w:val="-1"/>
        </w:rPr>
        <w:t xml:space="preserve"> </w:t>
      </w:r>
      <w:r>
        <w:t>(an</w:t>
      </w:r>
      <w:r>
        <w:rPr>
          <w:spacing w:val="-1"/>
        </w:rPr>
        <w:t xml:space="preserve"> </w:t>
      </w:r>
      <w:r>
        <w:t>uncommon occurrence), one of the two was randomly selected.</w:t>
      </w:r>
    </w:p>
    <w:p w:rsidR="003F5784" w14:paraId="22D17939" w14:textId="77777777">
      <w:pPr>
        <w:pStyle w:val="BodyText"/>
        <w:spacing w:before="205"/>
        <w:ind w:left="109"/>
      </w:pPr>
      <w:r>
        <w:t>In</w:t>
      </w:r>
      <w:r>
        <w:rPr>
          <w:spacing w:val="-8"/>
        </w:rPr>
        <w:t xml:space="preserve"> </w:t>
      </w:r>
      <w:r>
        <w:t>the</w:t>
      </w:r>
      <w:r>
        <w:rPr>
          <w:spacing w:val="-7"/>
        </w:rPr>
        <w:t xml:space="preserve"> </w:t>
      </w:r>
      <w:r>
        <w:t>eighth-grade</w:t>
      </w:r>
      <w:r>
        <w:rPr>
          <w:spacing w:val="-7"/>
        </w:rPr>
        <w:t xml:space="preserve"> </w:t>
      </w:r>
      <w:r>
        <w:t>private</w:t>
      </w:r>
      <w:r>
        <w:rPr>
          <w:spacing w:val="-7"/>
        </w:rPr>
        <w:t xml:space="preserve"> </w:t>
      </w:r>
      <w:r>
        <w:t>school</w:t>
      </w:r>
      <w:r>
        <w:rPr>
          <w:spacing w:val="-7"/>
        </w:rPr>
        <w:t xml:space="preserve"> </w:t>
      </w:r>
      <w:r>
        <w:t>sample,</w:t>
      </w:r>
      <w:r>
        <w:rPr>
          <w:spacing w:val="-7"/>
        </w:rPr>
        <w:t xml:space="preserve"> </w:t>
      </w:r>
      <w:r>
        <w:t>seven</w:t>
      </w:r>
      <w:r>
        <w:rPr>
          <w:spacing w:val="-7"/>
        </w:rPr>
        <w:t xml:space="preserve"> </w:t>
      </w:r>
      <w:r>
        <w:t>substitute</w:t>
      </w:r>
      <w:r>
        <w:rPr>
          <w:spacing w:val="-7"/>
        </w:rPr>
        <w:t xml:space="preserve"> </w:t>
      </w:r>
      <w:r>
        <w:t>schools</w:t>
      </w:r>
      <w:r>
        <w:rPr>
          <w:spacing w:val="-7"/>
        </w:rPr>
        <w:t xml:space="preserve"> </w:t>
      </w:r>
      <w:r>
        <w:t>ultimately</w:t>
      </w:r>
      <w:r>
        <w:rPr>
          <w:spacing w:val="-7"/>
        </w:rPr>
        <w:t xml:space="preserve"> </w:t>
      </w:r>
      <w:r>
        <w:rPr>
          <w:spacing w:val="-2"/>
        </w:rPr>
        <w:t>participated.</w:t>
      </w:r>
    </w:p>
    <w:p w:rsidR="003F5784" w14:paraId="59244CE2" w14:textId="77777777">
      <w:pPr>
        <w:pStyle w:val="BodyText"/>
      </w:pPr>
    </w:p>
    <w:p w:rsidR="003F5784" w14:paraId="60A65763" w14:textId="77777777">
      <w:pPr>
        <w:pStyle w:val="BodyText"/>
      </w:pPr>
    </w:p>
    <w:p w:rsidR="003F5784" w14:paraId="68735046" w14:textId="77777777">
      <w:pPr>
        <w:pStyle w:val="BodyText"/>
        <w:spacing w:before="156"/>
      </w:pPr>
    </w:p>
    <w:p w:rsidR="003F5784" w14:paraId="2ADB6912" w14:textId="77777777">
      <w:pPr>
        <w:ind w:right="113"/>
        <w:jc w:val="right"/>
        <w:rPr>
          <w:sz w:val="18"/>
        </w:rPr>
      </w:pPr>
      <w:hyperlink r:id="rId38">
        <w:r>
          <w:rPr>
            <w:spacing w:val="-2"/>
            <w:w w:val="105"/>
            <w:sz w:val="18"/>
          </w:rPr>
          <w:t>http://nces.ed.gov/nationsreportcard/tdw/sample_design/2022/substitute_schools_for_the_2022_8th_grade_private_school_nat_assess_in_civics_and_us_history.aspx</w:t>
        </w:r>
      </w:hyperlink>
    </w:p>
    <w:p w:rsidR="003F5784" w14:paraId="3E5A90A3" w14:textId="77777777">
      <w:pPr>
        <w:pStyle w:val="BodyText"/>
        <w:spacing w:before="11"/>
        <w:rPr>
          <w:sz w:val="14"/>
        </w:rPr>
      </w:pPr>
      <w:r>
        <w:rPr>
          <w:noProof/>
        </w:rPr>
        <mc:AlternateContent>
          <mc:Choice Requires="wps">
            <w:drawing>
              <wp:anchor distT="0" distB="0" distL="0" distR="0" simplePos="0" relativeHeight="251753472" behindDoc="1" locked="0" layoutInCell="1" allowOverlap="1">
                <wp:simplePos x="0" y="0"/>
                <wp:positionH relativeFrom="page">
                  <wp:posOffset>361937</wp:posOffset>
                </wp:positionH>
                <wp:positionV relativeFrom="paragraph">
                  <wp:posOffset>124682</wp:posOffset>
                </wp:positionV>
                <wp:extent cx="9339580" cy="8890"/>
                <wp:effectExtent l="0" t="0" r="0" b="0"/>
                <wp:wrapTopAndBottom/>
                <wp:docPr id="52" name="Graphic 52"/>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8280" y="8280"/>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2" o:spid="_x0000_s1044" style="width:735.4pt;height:0.7pt;margin-top:9.8pt;margin-left:28.5pt;mso-position-horizontal-relative:page;mso-wrap-distance-bottom:0;mso-wrap-distance-left:0;mso-wrap-distance-right:0;mso-wrap-distance-top:0;mso-wrap-style:square;position:absolute;visibility:visible;v-text-anchor:top;z-index:-251561984" coordsize="9339580,8890" path="m9338970,l9335110,l8280,,,,,8267l8280,8280l9335110,8267l9338970,8267l9338970,xe" fillcolor="gray" stroked="f">
                <v:path arrowok="t"/>
                <w10:wrap type="topAndBottom"/>
              </v:shape>
            </w:pict>
          </mc:Fallback>
        </mc:AlternateContent>
      </w:r>
    </w:p>
    <w:p w:rsidR="003F5784" w14:paraId="336B806D" w14:textId="77777777">
      <w:pPr>
        <w:pStyle w:val="BodyText"/>
        <w:rPr>
          <w:sz w:val="18"/>
        </w:rPr>
      </w:pPr>
    </w:p>
    <w:p w:rsidR="003F5784" w14:paraId="3E2AACD1" w14:textId="77777777">
      <w:pPr>
        <w:pStyle w:val="BodyText"/>
        <w:spacing w:before="206"/>
        <w:rPr>
          <w:sz w:val="18"/>
        </w:rPr>
      </w:pPr>
    </w:p>
    <w:p w:rsidR="003F5784" w14:paraId="063491E4" w14:textId="3BC8F92B">
      <w:pPr>
        <w:pStyle w:val="Heading1"/>
        <w:spacing w:line="244" w:lineRule="auto"/>
      </w:pPr>
      <w:r>
        <w:t>NAEP</w:t>
      </w:r>
      <w:r>
        <w:rPr>
          <w:spacing w:val="-17"/>
        </w:rPr>
        <w:t xml:space="preserve"> </w:t>
      </w:r>
      <w:r>
        <w:t>Technical Documentation</w:t>
      </w:r>
      <w:r w:rsidR="00E666D0">
        <w:t xml:space="preserve"> </w:t>
      </w:r>
      <w:r>
        <w:t>Target Population for the 2022 Eighth-Grade Private School National Assessment in Civics and U.S. History</w:t>
      </w:r>
    </w:p>
    <w:p w:rsidR="003F5784" w14:paraId="29CD81A4" w14:textId="77777777">
      <w:pPr>
        <w:pStyle w:val="BodyText"/>
        <w:spacing w:before="274" w:line="232" w:lineRule="auto"/>
        <w:ind w:left="109"/>
      </w:pPr>
      <w:r>
        <w:t>The</w:t>
      </w:r>
      <w:r>
        <w:rPr>
          <w:spacing w:val="-6"/>
        </w:rPr>
        <w:t xml:space="preserve"> </w:t>
      </w:r>
      <w:r>
        <w:t>target</w:t>
      </w:r>
      <w:r>
        <w:rPr>
          <w:spacing w:val="-6"/>
        </w:rPr>
        <w:t xml:space="preserve"> </w:t>
      </w:r>
      <w:r>
        <w:t>populations</w:t>
      </w:r>
      <w:r>
        <w:rPr>
          <w:spacing w:val="-6"/>
        </w:rPr>
        <w:t xml:space="preserve"> </w:t>
      </w:r>
      <w:r>
        <w:t>for</w:t>
      </w:r>
      <w:r>
        <w:rPr>
          <w:spacing w:val="-6"/>
        </w:rPr>
        <w:t xml:space="preserve"> </w:t>
      </w:r>
      <w:r>
        <w:t>the</w:t>
      </w:r>
      <w:r>
        <w:rPr>
          <w:spacing w:val="-6"/>
        </w:rPr>
        <w:t xml:space="preserve"> </w:t>
      </w:r>
      <w:r>
        <w:t>2022</w:t>
      </w:r>
      <w:r>
        <w:rPr>
          <w:spacing w:val="-6"/>
        </w:rPr>
        <w:t xml:space="preserve"> </w:t>
      </w:r>
      <w:r>
        <w:t>eighth-grade</w:t>
      </w:r>
      <w:r>
        <w:rPr>
          <w:spacing w:val="-6"/>
        </w:rPr>
        <w:t xml:space="preserve"> </w:t>
      </w:r>
      <w:r>
        <w:t>private</w:t>
      </w:r>
      <w:r>
        <w:rPr>
          <w:spacing w:val="-6"/>
        </w:rPr>
        <w:t xml:space="preserve"> </w:t>
      </w:r>
      <w:r>
        <w:t>school</w:t>
      </w:r>
      <w:r>
        <w:rPr>
          <w:spacing w:val="-6"/>
        </w:rPr>
        <w:t xml:space="preserve"> </w:t>
      </w:r>
      <w:r>
        <w:t>national</w:t>
      </w:r>
      <w:r>
        <w:rPr>
          <w:spacing w:val="-6"/>
        </w:rPr>
        <w:t xml:space="preserve"> </w:t>
      </w:r>
      <w:r>
        <w:t>assessment</w:t>
      </w:r>
      <w:r>
        <w:rPr>
          <w:spacing w:val="-6"/>
        </w:rPr>
        <w:t xml:space="preserve"> </w:t>
      </w:r>
      <w:r>
        <w:t>in</w:t>
      </w:r>
      <w:r>
        <w:rPr>
          <w:spacing w:val="-6"/>
        </w:rPr>
        <w:t xml:space="preserve"> </w:t>
      </w:r>
      <w:r>
        <w:t>civics</w:t>
      </w:r>
      <w:r>
        <w:rPr>
          <w:spacing w:val="-6"/>
        </w:rPr>
        <w:t xml:space="preserve"> </w:t>
      </w:r>
      <w:r>
        <w:t>and</w:t>
      </w:r>
      <w:r>
        <w:rPr>
          <w:spacing w:val="-6"/>
        </w:rPr>
        <w:t xml:space="preserve"> </w:t>
      </w:r>
      <w:r>
        <w:t>U.S.</w:t>
      </w:r>
      <w:r>
        <w:rPr>
          <w:spacing w:val="-6"/>
        </w:rPr>
        <w:t xml:space="preserve"> </w:t>
      </w:r>
      <w:r>
        <w:t>history</w:t>
      </w:r>
      <w:r>
        <w:rPr>
          <w:spacing w:val="-6"/>
        </w:rPr>
        <w:t xml:space="preserve"> </w:t>
      </w:r>
      <w:r>
        <w:t>were</w:t>
      </w:r>
      <w:r>
        <w:rPr>
          <w:spacing w:val="-6"/>
        </w:rPr>
        <w:t xml:space="preserve"> </w:t>
      </w:r>
      <w:r>
        <w:t>defined</w:t>
      </w:r>
      <w:r>
        <w:rPr>
          <w:spacing w:val="-6"/>
        </w:rPr>
        <w:t xml:space="preserve"> </w:t>
      </w:r>
      <w:r>
        <w:t>as</w:t>
      </w:r>
      <w:r>
        <w:rPr>
          <w:spacing w:val="-6"/>
        </w:rPr>
        <w:t xml:space="preserve"> </w:t>
      </w:r>
      <w:r>
        <w:t>all</w:t>
      </w:r>
      <w:r>
        <w:rPr>
          <w:spacing w:val="-6"/>
        </w:rPr>
        <w:t xml:space="preserve"> </w:t>
      </w:r>
      <w:r>
        <w:t>eighth-grade</w:t>
      </w:r>
      <w:r>
        <w:rPr>
          <w:spacing w:val="-6"/>
        </w:rPr>
        <w:t xml:space="preserve"> </w:t>
      </w:r>
      <w:r>
        <w:t>students</w:t>
      </w:r>
      <w:r>
        <w:rPr>
          <w:spacing w:val="-6"/>
        </w:rPr>
        <w:t xml:space="preserve"> </w:t>
      </w:r>
      <w:r>
        <w:t>who</w:t>
      </w:r>
      <w:r>
        <w:rPr>
          <w:spacing w:val="-6"/>
        </w:rPr>
        <w:t xml:space="preserve"> </w:t>
      </w:r>
      <w:r>
        <w:t>were</w:t>
      </w:r>
      <w:r>
        <w:rPr>
          <w:spacing w:val="-6"/>
        </w:rPr>
        <w:t xml:space="preserve"> </w:t>
      </w:r>
      <w:r>
        <w:t>enrolled</w:t>
      </w:r>
      <w:r>
        <w:rPr>
          <w:spacing w:val="-6"/>
        </w:rPr>
        <w:t xml:space="preserve"> </w:t>
      </w:r>
      <w:r>
        <w:t>in private schools located within the 50 states and the District of Columbia.</w:t>
      </w:r>
    </w:p>
    <w:p w:rsidR="003F5784" w14:paraId="4BF331B1" w14:textId="77777777">
      <w:pPr>
        <w:pStyle w:val="BodyText"/>
      </w:pPr>
    </w:p>
    <w:p w:rsidR="003F5784" w14:paraId="4BC62738" w14:textId="77777777">
      <w:pPr>
        <w:pStyle w:val="BodyText"/>
      </w:pPr>
    </w:p>
    <w:p w:rsidR="003F5784" w14:paraId="0BDB79F8" w14:textId="77777777">
      <w:pPr>
        <w:pStyle w:val="BodyText"/>
        <w:spacing w:before="145"/>
      </w:pPr>
    </w:p>
    <w:p w:rsidR="003F5784" w14:paraId="7DE2E4C6" w14:textId="77777777">
      <w:pPr>
        <w:ind w:right="113"/>
        <w:jc w:val="right"/>
        <w:rPr>
          <w:sz w:val="18"/>
        </w:rPr>
      </w:pPr>
      <w:hyperlink r:id="rId39">
        <w:r>
          <w:rPr>
            <w:spacing w:val="-2"/>
            <w:w w:val="105"/>
            <w:sz w:val="18"/>
          </w:rPr>
          <w:t>http://nces.ed.gov/nationsreportcard/tdw/sample_design/2022/target_population_for_the_2022_eighth_grade_private_school_nat_assess_in_civics_and_us_history.aspx</w:t>
        </w:r>
      </w:hyperlink>
    </w:p>
    <w:p w:rsidR="003F5784" w14:paraId="046F7D4A" w14:textId="77777777">
      <w:pPr>
        <w:pStyle w:val="BodyText"/>
        <w:spacing w:before="1"/>
        <w:rPr>
          <w:sz w:val="16"/>
        </w:rPr>
      </w:pPr>
      <w:r>
        <w:rPr>
          <w:noProof/>
        </w:rPr>
        <mc:AlternateContent>
          <mc:Choice Requires="wps">
            <w:drawing>
              <wp:anchor distT="0" distB="0" distL="0" distR="0" simplePos="0" relativeHeight="251755520" behindDoc="1" locked="0" layoutInCell="1" allowOverlap="1">
                <wp:simplePos x="0" y="0"/>
                <wp:positionH relativeFrom="page">
                  <wp:posOffset>361937</wp:posOffset>
                </wp:positionH>
                <wp:positionV relativeFrom="paragraph">
                  <wp:posOffset>132705</wp:posOffset>
                </wp:positionV>
                <wp:extent cx="9339580" cy="8890"/>
                <wp:effectExtent l="0" t="0" r="0" b="0"/>
                <wp:wrapTopAndBottom/>
                <wp:docPr id="53" name="Graphic 53"/>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3" o:spid="_x0000_s1045" style="width:735.4pt;height:0.7pt;margin-top:10.45pt;margin-left:28.5pt;mso-position-horizontal-relative:page;mso-wrap-distance-bottom:0;mso-wrap-distance-left:0;mso-wrap-distance-right:0;mso-wrap-distance-top:0;mso-wrap-style:square;position:absolute;visibility:visible;v-text-anchor:top;z-index:-251559936" coordsize="9339580,8890" path="m9338970,l9335110,l8280,,,,,8280l8280,8280l9335110,8280l9338970,8280l9338970,xe" fillcolor="gray" stroked="f">
                <v:path arrowok="t"/>
                <w10:wrap type="topAndBottom"/>
              </v:shape>
            </w:pict>
          </mc:Fallback>
        </mc:AlternateContent>
      </w:r>
    </w:p>
    <w:p w:rsidR="003F5784" w14:paraId="44262F03" w14:textId="77777777">
      <w:pPr>
        <w:rPr>
          <w:sz w:val="16"/>
        </w:rPr>
        <w:sectPr>
          <w:pgSz w:w="15840" w:h="12240" w:orient="landscape"/>
          <w:pgMar w:top="480" w:right="440" w:bottom="460" w:left="460" w:header="284" w:footer="275" w:gutter="0"/>
          <w:cols w:space="720"/>
        </w:sectPr>
      </w:pPr>
    </w:p>
    <w:p w:rsidR="003F5784" w14:paraId="07E66999" w14:textId="612E5C35">
      <w:pPr>
        <w:pStyle w:val="Heading1"/>
        <w:spacing w:before="81" w:line="244" w:lineRule="auto"/>
      </w:pPr>
      <w:r>
        <w:t>NAEP</w:t>
      </w:r>
      <w:r>
        <w:rPr>
          <w:spacing w:val="-11"/>
        </w:rPr>
        <w:t xml:space="preserve"> </w:t>
      </w:r>
      <w:r>
        <w:t>Technical Documentation</w:t>
      </w:r>
      <w:r w:rsidR="007C5BC2">
        <w:t xml:space="preserve"> </w:t>
      </w:r>
      <w:r>
        <w:t>2022 Eighth-Grade Public School National Assessment in Civics and U.S. History</w:t>
      </w:r>
    </w:p>
    <w:p w:rsidR="003F5784" w14:paraId="2D6DCE74" w14:textId="77777777">
      <w:pPr>
        <w:pStyle w:val="BodyText"/>
        <w:spacing w:before="5"/>
        <w:rPr>
          <w:b/>
          <w:sz w:val="15"/>
        </w:rPr>
      </w:pPr>
    </w:p>
    <w:p w:rsidR="003F5784" w14:paraId="6895F0A2" w14:textId="77777777">
      <w:pPr>
        <w:rPr>
          <w:sz w:val="15"/>
        </w:rPr>
        <w:sectPr>
          <w:pgSz w:w="15840" w:h="12240" w:orient="landscape"/>
          <w:pgMar w:top="480" w:right="440" w:bottom="460" w:left="460" w:header="284" w:footer="275" w:gutter="0"/>
          <w:cols w:space="720"/>
        </w:sectPr>
      </w:pPr>
    </w:p>
    <w:p w:rsidR="003F5784" w14:paraId="5B3D7567" w14:textId="77777777">
      <w:pPr>
        <w:pStyle w:val="BodyText"/>
        <w:spacing w:before="96" w:line="232" w:lineRule="auto"/>
        <w:ind w:left="109" w:right="38"/>
      </w:pPr>
      <w:r>
        <w:t>The</w:t>
      </w:r>
      <w:r>
        <w:rPr>
          <w:spacing w:val="-5"/>
        </w:rPr>
        <w:t xml:space="preserve"> </w:t>
      </w:r>
      <w:r>
        <w:t>eighth-grade</w:t>
      </w:r>
      <w:r>
        <w:rPr>
          <w:spacing w:val="-5"/>
        </w:rPr>
        <w:t xml:space="preserve"> </w:t>
      </w:r>
      <w:r>
        <w:t>public</w:t>
      </w:r>
      <w:r>
        <w:rPr>
          <w:spacing w:val="-5"/>
        </w:rPr>
        <w:t xml:space="preserve"> </w:t>
      </w:r>
      <w:r>
        <w:t>school</w:t>
      </w:r>
      <w:r>
        <w:rPr>
          <w:spacing w:val="-5"/>
        </w:rPr>
        <w:t xml:space="preserve"> </w:t>
      </w:r>
      <w:r>
        <w:t>samples</w:t>
      </w:r>
      <w:r>
        <w:rPr>
          <w:spacing w:val="-5"/>
        </w:rPr>
        <w:t xml:space="preserve"> </w:t>
      </w:r>
      <w:r>
        <w:t>for</w:t>
      </w:r>
      <w:r>
        <w:rPr>
          <w:spacing w:val="-5"/>
        </w:rPr>
        <w:t xml:space="preserve"> </w:t>
      </w:r>
      <w:r>
        <w:t>the</w:t>
      </w:r>
      <w:r>
        <w:rPr>
          <w:spacing w:val="-5"/>
        </w:rPr>
        <w:t xml:space="preserve"> </w:t>
      </w:r>
      <w:r>
        <w:t>national</w:t>
      </w:r>
      <w:r>
        <w:rPr>
          <w:spacing w:val="-5"/>
        </w:rPr>
        <w:t xml:space="preserve"> </w:t>
      </w:r>
      <w:r>
        <w:t>assessments</w:t>
      </w:r>
      <w:r>
        <w:rPr>
          <w:spacing w:val="-5"/>
        </w:rPr>
        <w:t xml:space="preserve"> </w:t>
      </w:r>
      <w:r>
        <w:t>in</w:t>
      </w:r>
      <w:r>
        <w:rPr>
          <w:spacing w:val="-5"/>
        </w:rPr>
        <w:t xml:space="preserve"> </w:t>
      </w:r>
      <w:r>
        <w:t>civics</w:t>
      </w:r>
      <w:r>
        <w:rPr>
          <w:spacing w:val="-5"/>
        </w:rPr>
        <w:t xml:space="preserve"> </w:t>
      </w:r>
      <w:r>
        <w:t>and</w:t>
      </w:r>
      <w:r>
        <w:rPr>
          <w:spacing w:val="-5"/>
        </w:rPr>
        <w:t xml:space="preserve"> </w:t>
      </w:r>
      <w:r>
        <w:t>U.S.</w:t>
      </w:r>
      <w:r>
        <w:rPr>
          <w:spacing w:val="-5"/>
        </w:rPr>
        <w:t xml:space="preserve"> </w:t>
      </w:r>
      <w:r>
        <w:t>history</w:t>
      </w:r>
      <w:r>
        <w:rPr>
          <w:spacing w:val="-5"/>
        </w:rPr>
        <w:t xml:space="preserve"> </w:t>
      </w:r>
      <w:r>
        <w:t>were</w:t>
      </w:r>
      <w:r>
        <w:rPr>
          <w:spacing w:val="-5"/>
        </w:rPr>
        <w:t xml:space="preserve"> </w:t>
      </w:r>
      <w:r>
        <w:t>designed</w:t>
      </w:r>
      <w:r>
        <w:rPr>
          <w:spacing w:val="-5"/>
        </w:rPr>
        <w:t xml:space="preserve"> </w:t>
      </w:r>
      <w:r>
        <w:t>to</w:t>
      </w:r>
      <w:r>
        <w:rPr>
          <w:spacing w:val="-5"/>
        </w:rPr>
        <w:t xml:space="preserve"> </w:t>
      </w:r>
      <w:r>
        <w:t>produce</w:t>
      </w:r>
      <w:r>
        <w:rPr>
          <w:spacing w:val="-5"/>
        </w:rPr>
        <w:t xml:space="preserve"> </w:t>
      </w:r>
      <w:r>
        <w:t>nationally representative</w:t>
      </w:r>
      <w:r>
        <w:rPr>
          <w:spacing w:val="-6"/>
        </w:rPr>
        <w:t xml:space="preserve"> </w:t>
      </w:r>
      <w:r>
        <w:t>samples</w:t>
      </w:r>
      <w:r>
        <w:rPr>
          <w:spacing w:val="-6"/>
        </w:rPr>
        <w:t xml:space="preserve"> </w:t>
      </w:r>
      <w:r>
        <w:t>of</w:t>
      </w:r>
      <w:r>
        <w:rPr>
          <w:spacing w:val="-6"/>
        </w:rPr>
        <w:t xml:space="preserve"> </w:t>
      </w:r>
      <w:r>
        <w:t>students</w:t>
      </w:r>
      <w:r>
        <w:rPr>
          <w:spacing w:val="-6"/>
        </w:rPr>
        <w:t xml:space="preserve"> </w:t>
      </w:r>
      <w:r>
        <w:t>enrolled</w:t>
      </w:r>
      <w:r>
        <w:rPr>
          <w:spacing w:val="-6"/>
        </w:rPr>
        <w:t xml:space="preserve"> </w:t>
      </w:r>
      <w:r>
        <w:t>in</w:t>
      </w:r>
      <w:r>
        <w:rPr>
          <w:spacing w:val="-6"/>
        </w:rPr>
        <w:t xml:space="preserve"> </w:t>
      </w:r>
      <w:r>
        <w:t>grade</w:t>
      </w:r>
      <w:r>
        <w:rPr>
          <w:spacing w:val="-6"/>
        </w:rPr>
        <w:t xml:space="preserve"> </w:t>
      </w:r>
      <w:r>
        <w:t>eight</w:t>
      </w:r>
      <w:r>
        <w:rPr>
          <w:spacing w:val="-6"/>
        </w:rPr>
        <w:t xml:space="preserve"> </w:t>
      </w:r>
      <w:r>
        <w:t>in</w:t>
      </w:r>
      <w:r>
        <w:rPr>
          <w:spacing w:val="-6"/>
        </w:rPr>
        <w:t xml:space="preserve"> </w:t>
      </w:r>
      <w:r>
        <w:t>public</w:t>
      </w:r>
      <w:r>
        <w:rPr>
          <w:spacing w:val="-6"/>
        </w:rPr>
        <w:t xml:space="preserve"> </w:t>
      </w:r>
      <w:r>
        <w:t>schools</w:t>
      </w:r>
      <w:r>
        <w:rPr>
          <w:spacing w:val="-6"/>
        </w:rPr>
        <w:t xml:space="preserve"> </w:t>
      </w:r>
      <w:r>
        <w:t>in</w:t>
      </w:r>
      <w:r>
        <w:rPr>
          <w:spacing w:val="-6"/>
        </w:rPr>
        <w:t xml:space="preserve"> </w:t>
      </w:r>
      <w:r>
        <w:t>the</w:t>
      </w:r>
      <w:r>
        <w:rPr>
          <w:spacing w:val="-6"/>
        </w:rPr>
        <w:t xml:space="preserve"> </w:t>
      </w:r>
      <w:r>
        <w:t>United</w:t>
      </w:r>
      <w:r>
        <w:rPr>
          <w:spacing w:val="-6"/>
        </w:rPr>
        <w:t xml:space="preserve"> </w:t>
      </w:r>
      <w:r>
        <w:t>States.</w:t>
      </w:r>
      <w:r>
        <w:rPr>
          <w:spacing w:val="-10"/>
        </w:rPr>
        <w:t xml:space="preserve"> </w:t>
      </w:r>
      <w:r>
        <w:t>The</w:t>
      </w:r>
      <w:r>
        <w:rPr>
          <w:spacing w:val="-6"/>
        </w:rPr>
        <w:t xml:space="preserve"> </w:t>
      </w:r>
      <w:r>
        <w:t>target</w:t>
      </w:r>
      <w:r>
        <w:rPr>
          <w:spacing w:val="-6"/>
        </w:rPr>
        <w:t xml:space="preserve"> </w:t>
      </w:r>
      <w:r>
        <w:t>sample</w:t>
      </w:r>
      <w:r>
        <w:rPr>
          <w:spacing w:val="-6"/>
        </w:rPr>
        <w:t xml:space="preserve"> </w:t>
      </w:r>
      <w:r>
        <w:t>sizes</w:t>
      </w:r>
      <w:r>
        <w:rPr>
          <w:spacing w:val="-6"/>
        </w:rPr>
        <w:t xml:space="preserve"> </w:t>
      </w:r>
      <w:r>
        <w:t>of</w:t>
      </w:r>
      <w:r>
        <w:rPr>
          <w:spacing w:val="-6"/>
        </w:rPr>
        <w:t xml:space="preserve"> </w:t>
      </w:r>
      <w:r>
        <w:t>assessed students</w:t>
      </w:r>
      <w:r>
        <w:rPr>
          <w:spacing w:val="-3"/>
        </w:rPr>
        <w:t xml:space="preserve"> </w:t>
      </w:r>
      <w:r>
        <w:t>for</w:t>
      </w:r>
      <w:r>
        <w:rPr>
          <w:spacing w:val="-3"/>
        </w:rPr>
        <w:t xml:space="preserve"> </w:t>
      </w:r>
      <w:r>
        <w:t>the</w:t>
      </w:r>
      <w:r>
        <w:rPr>
          <w:spacing w:val="-3"/>
        </w:rPr>
        <w:t xml:space="preserve"> </w:t>
      </w:r>
      <w:r>
        <w:t>eighth-grade</w:t>
      </w:r>
      <w:r>
        <w:rPr>
          <w:spacing w:val="-3"/>
        </w:rPr>
        <w:t xml:space="preserve"> </w:t>
      </w:r>
      <w:r>
        <w:t>public</w:t>
      </w:r>
      <w:r>
        <w:rPr>
          <w:spacing w:val="-3"/>
        </w:rPr>
        <w:t xml:space="preserve"> </w:t>
      </w:r>
      <w:r>
        <w:t>school</w:t>
      </w:r>
      <w:r>
        <w:rPr>
          <w:spacing w:val="-3"/>
        </w:rPr>
        <w:t xml:space="preserve"> </w:t>
      </w:r>
      <w:r>
        <w:t>samples</w:t>
      </w:r>
      <w:r>
        <w:rPr>
          <w:spacing w:val="-3"/>
        </w:rPr>
        <w:t xml:space="preserve"> </w:t>
      </w:r>
      <w:r>
        <w:t>was</w:t>
      </w:r>
      <w:r>
        <w:rPr>
          <w:spacing w:val="-3"/>
        </w:rPr>
        <w:t xml:space="preserve"> </w:t>
      </w:r>
      <w:r>
        <w:t>14,400</w:t>
      </w:r>
      <w:r>
        <w:rPr>
          <w:spacing w:val="-3"/>
        </w:rPr>
        <w:t xml:space="preserve"> </w:t>
      </w:r>
      <w:r>
        <w:t>(7,200</w:t>
      </w:r>
      <w:r>
        <w:rPr>
          <w:spacing w:val="-3"/>
        </w:rPr>
        <w:t xml:space="preserve"> </w:t>
      </w:r>
      <w:r>
        <w:t>per</w:t>
      </w:r>
      <w:r>
        <w:rPr>
          <w:spacing w:val="-3"/>
        </w:rPr>
        <w:t xml:space="preserve"> </w:t>
      </w:r>
      <w:r>
        <w:t>subject).</w:t>
      </w:r>
      <w:r>
        <w:rPr>
          <w:spacing w:val="-3"/>
        </w:rPr>
        <w:t xml:space="preserve"> </w:t>
      </w:r>
      <w:r>
        <w:t>Prior</w:t>
      </w:r>
      <w:r>
        <w:rPr>
          <w:spacing w:val="-3"/>
        </w:rPr>
        <w:t xml:space="preserve"> </w:t>
      </w:r>
      <w:r>
        <w:t>to</w:t>
      </w:r>
      <w:r>
        <w:rPr>
          <w:spacing w:val="-3"/>
        </w:rPr>
        <w:t xml:space="preserve"> </w:t>
      </w:r>
      <w:r>
        <w:t>sampling,</w:t>
      </w:r>
      <w:r>
        <w:rPr>
          <w:spacing w:val="-3"/>
        </w:rPr>
        <w:t xml:space="preserve"> </w:t>
      </w:r>
      <w:r>
        <w:t>the</w:t>
      </w:r>
      <w:r>
        <w:rPr>
          <w:spacing w:val="-3"/>
        </w:rPr>
        <w:t xml:space="preserve"> </w:t>
      </w:r>
      <w:r>
        <w:t>target</w:t>
      </w:r>
      <w:r>
        <w:rPr>
          <w:spacing w:val="-3"/>
        </w:rPr>
        <w:t xml:space="preserve"> </w:t>
      </w:r>
      <w:r>
        <w:t>sample</w:t>
      </w:r>
      <w:r>
        <w:rPr>
          <w:spacing w:val="-3"/>
        </w:rPr>
        <w:t xml:space="preserve"> </w:t>
      </w:r>
      <w:r>
        <w:t>sizes</w:t>
      </w:r>
      <w:r>
        <w:rPr>
          <w:spacing w:val="-3"/>
        </w:rPr>
        <w:t xml:space="preserve"> </w:t>
      </w:r>
      <w:r>
        <w:t>were adjusted upward to offset expected school and student attrition due to nonresponse and ineligibility.</w:t>
      </w:r>
    </w:p>
    <w:p w:rsidR="003F5784" w14:paraId="5FCDE89A" w14:textId="77777777">
      <w:pPr>
        <w:pStyle w:val="BodyText"/>
        <w:spacing w:before="210" w:line="232" w:lineRule="auto"/>
        <w:ind w:left="109" w:right="38"/>
      </w:pPr>
      <w:r>
        <w:t>Samples</w:t>
      </w:r>
      <w:r>
        <w:rPr>
          <w:spacing w:val="-7"/>
        </w:rPr>
        <w:t xml:space="preserve"> </w:t>
      </w:r>
      <w:r>
        <w:t>were</w:t>
      </w:r>
      <w:r>
        <w:rPr>
          <w:spacing w:val="-7"/>
        </w:rPr>
        <w:t xml:space="preserve"> </w:t>
      </w:r>
      <w:r>
        <w:t>selected</w:t>
      </w:r>
      <w:r>
        <w:rPr>
          <w:spacing w:val="-7"/>
        </w:rPr>
        <w:t xml:space="preserve"> </w:t>
      </w:r>
      <w:r>
        <w:t>using</w:t>
      </w:r>
      <w:r>
        <w:rPr>
          <w:spacing w:val="-7"/>
        </w:rPr>
        <w:t xml:space="preserve"> </w:t>
      </w:r>
      <w:r>
        <w:t>a</w:t>
      </w:r>
      <w:r>
        <w:rPr>
          <w:spacing w:val="-7"/>
        </w:rPr>
        <w:t xml:space="preserve"> </w:t>
      </w:r>
      <w:r>
        <w:t>two-stage</w:t>
      </w:r>
      <w:r>
        <w:rPr>
          <w:spacing w:val="-7"/>
        </w:rPr>
        <w:t xml:space="preserve"> </w:t>
      </w:r>
      <w:r>
        <w:t>probability-based</w:t>
      </w:r>
      <w:r>
        <w:rPr>
          <w:spacing w:val="-7"/>
        </w:rPr>
        <w:t xml:space="preserve"> </w:t>
      </w:r>
      <w:r>
        <w:t>design</w:t>
      </w:r>
      <w:r>
        <w:rPr>
          <w:spacing w:val="-7"/>
        </w:rPr>
        <w:t xml:space="preserve"> </w:t>
      </w:r>
      <w:r>
        <w:t>that</w:t>
      </w:r>
      <w:r>
        <w:rPr>
          <w:spacing w:val="-7"/>
        </w:rPr>
        <w:t xml:space="preserve"> </w:t>
      </w:r>
      <w:r>
        <w:t>involved</w:t>
      </w:r>
      <w:r>
        <w:rPr>
          <w:spacing w:val="-7"/>
        </w:rPr>
        <w:t xml:space="preserve"> </w:t>
      </w:r>
      <w:r>
        <w:t>selection</w:t>
      </w:r>
      <w:r>
        <w:rPr>
          <w:spacing w:val="-7"/>
        </w:rPr>
        <w:t xml:space="preserve"> </w:t>
      </w:r>
      <w:r>
        <w:t>of</w:t>
      </w:r>
      <w:r>
        <w:rPr>
          <w:spacing w:val="-7"/>
        </w:rPr>
        <w:t xml:space="preserve"> </w:t>
      </w:r>
      <w:r>
        <w:t>schools</w:t>
      </w:r>
      <w:r>
        <w:rPr>
          <w:spacing w:val="-7"/>
        </w:rPr>
        <w:t xml:space="preserve"> </w:t>
      </w:r>
      <w:r>
        <w:t>from</w:t>
      </w:r>
      <w:r>
        <w:rPr>
          <w:spacing w:val="-7"/>
        </w:rPr>
        <w:t xml:space="preserve"> </w:t>
      </w:r>
      <w:r>
        <w:t>within</w:t>
      </w:r>
      <w:r>
        <w:rPr>
          <w:spacing w:val="-7"/>
        </w:rPr>
        <w:t xml:space="preserve"> </w:t>
      </w:r>
      <w:r>
        <w:t>strata</w:t>
      </w:r>
      <w:r>
        <w:rPr>
          <w:spacing w:val="-7"/>
        </w:rPr>
        <w:t xml:space="preserve"> </w:t>
      </w:r>
      <w:r>
        <w:t>and</w:t>
      </w:r>
      <w:r>
        <w:rPr>
          <w:spacing w:val="-7"/>
        </w:rPr>
        <w:t xml:space="preserve"> </w:t>
      </w:r>
      <w:r>
        <w:t>selection</w:t>
      </w:r>
      <w:r>
        <w:rPr>
          <w:spacing w:val="-7"/>
        </w:rPr>
        <w:t xml:space="preserve"> </w:t>
      </w:r>
      <w:r>
        <w:t>of students within schools.</w:t>
      </w:r>
      <w:r>
        <w:rPr>
          <w:spacing w:val="-1"/>
        </w:rPr>
        <w:t xml:space="preserve"> </w:t>
      </w:r>
      <w:r>
        <w:t>The first-stage sample of schools was selected with probability proportional to a measure of size based on estimated grade-specific enrollment in the schools.</w:t>
      </w:r>
    </w:p>
    <w:p w:rsidR="003F5784" w14:paraId="79614345" w14:textId="77777777">
      <w:pPr>
        <w:pStyle w:val="BodyText"/>
        <w:spacing w:before="209" w:line="232" w:lineRule="auto"/>
        <w:ind w:left="109" w:right="38"/>
      </w:pPr>
      <w:r>
        <w:t>The</w:t>
      </w:r>
      <w:r>
        <w:rPr>
          <w:spacing w:val="-6"/>
        </w:rPr>
        <w:t xml:space="preserve"> </w:t>
      </w:r>
      <w:r>
        <w:t>sampling</w:t>
      </w:r>
      <w:r>
        <w:rPr>
          <w:spacing w:val="-6"/>
        </w:rPr>
        <w:t xml:space="preserve"> </w:t>
      </w:r>
      <w:r>
        <w:t>of</w:t>
      </w:r>
      <w:r>
        <w:rPr>
          <w:spacing w:val="-6"/>
        </w:rPr>
        <w:t xml:space="preserve"> </w:t>
      </w:r>
      <w:r>
        <w:t>students</w:t>
      </w:r>
      <w:r>
        <w:rPr>
          <w:spacing w:val="-6"/>
        </w:rPr>
        <w:t xml:space="preserve"> </w:t>
      </w:r>
      <w:r>
        <w:t>at</w:t>
      </w:r>
      <w:r>
        <w:rPr>
          <w:spacing w:val="-6"/>
        </w:rPr>
        <w:t xml:space="preserve"> </w:t>
      </w:r>
      <w:r>
        <w:t>the</w:t>
      </w:r>
      <w:r>
        <w:rPr>
          <w:spacing w:val="-6"/>
        </w:rPr>
        <w:t xml:space="preserve"> </w:t>
      </w:r>
      <w:r>
        <w:t>second-stage</w:t>
      </w:r>
      <w:r>
        <w:rPr>
          <w:spacing w:val="-6"/>
        </w:rPr>
        <w:t xml:space="preserve"> </w:t>
      </w:r>
      <w:r>
        <w:t>involved</w:t>
      </w:r>
      <w:r>
        <w:rPr>
          <w:spacing w:val="-6"/>
        </w:rPr>
        <w:t xml:space="preserve"> </w:t>
      </w:r>
      <w:r>
        <w:t>two</w:t>
      </w:r>
      <w:r>
        <w:rPr>
          <w:spacing w:val="-6"/>
        </w:rPr>
        <w:t xml:space="preserve"> </w:t>
      </w:r>
      <w:r>
        <w:t>steps:</w:t>
      </w:r>
      <w:r>
        <w:rPr>
          <w:spacing w:val="-6"/>
        </w:rPr>
        <w:t xml:space="preserve"> </w:t>
      </w:r>
      <w:r>
        <w:t>(1)</w:t>
      </w:r>
      <w:r>
        <w:rPr>
          <w:spacing w:val="-6"/>
        </w:rPr>
        <w:t xml:space="preserve"> </w:t>
      </w:r>
      <w:r>
        <w:t>sampling</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targeted</w:t>
      </w:r>
      <w:r>
        <w:rPr>
          <w:spacing w:val="-6"/>
        </w:rPr>
        <w:t xml:space="preserve"> </w:t>
      </w:r>
      <w:r>
        <w:t>grade</w:t>
      </w:r>
      <w:r>
        <w:rPr>
          <w:spacing w:val="-6"/>
        </w:rPr>
        <w:t xml:space="preserve"> </w:t>
      </w:r>
      <w:r>
        <w:t>(eighth)</w:t>
      </w:r>
      <w:r>
        <w:rPr>
          <w:spacing w:val="-6"/>
        </w:rPr>
        <w:t xml:space="preserve"> </w:t>
      </w:r>
      <w:r>
        <w:t>from</w:t>
      </w:r>
      <w:r>
        <w:rPr>
          <w:spacing w:val="-6"/>
        </w:rPr>
        <w:t xml:space="preserve"> </w:t>
      </w:r>
      <w:r>
        <w:t>each sampled school, and (2) assignment of assessment subject (civics or U.S. history) to the sampled students.</w:t>
      </w:r>
    </w:p>
    <w:p w:rsidR="003F5784" w14:paraId="235E9A6A" w14:textId="77777777">
      <w:pPr>
        <w:pStyle w:val="BodyText"/>
      </w:pPr>
    </w:p>
    <w:p w:rsidR="003F5784" w14:paraId="7F56A128" w14:textId="77777777">
      <w:pPr>
        <w:pStyle w:val="BodyText"/>
      </w:pPr>
    </w:p>
    <w:p w:rsidR="003F5784" w14:paraId="397174C4" w14:textId="77777777">
      <w:pPr>
        <w:pStyle w:val="BodyText"/>
        <w:spacing w:before="159"/>
      </w:pPr>
    </w:p>
    <w:p w:rsidR="003F5784" w14:paraId="50995925" w14:textId="77777777">
      <w:pPr>
        <w:ind w:left="1024"/>
        <w:rPr>
          <w:sz w:val="18"/>
        </w:rPr>
      </w:pPr>
      <w:hyperlink r:id="rId40">
        <w:r>
          <w:rPr>
            <w:spacing w:val="-2"/>
            <w:sz w:val="18"/>
          </w:rPr>
          <w:t>http://nces.ed.gov/nationsreportcard/tdw/sample_design/2022/2022_eighth_grade_public_school_nat_assess_in_civics_and_us_history.aspx</w:t>
        </w:r>
      </w:hyperlink>
    </w:p>
    <w:p w:rsidR="003F5784" w14:paraId="25FDC765" w14:textId="77777777">
      <w:pPr>
        <w:pStyle w:val="BodyText"/>
        <w:spacing w:before="90" w:line="439" w:lineRule="auto"/>
        <w:ind w:left="109" w:right="928"/>
      </w:pPr>
      <w:r>
        <w:br w:type="column"/>
      </w:r>
      <w:r>
        <w:t>Target Population Sampling Frame Stratification of Schools School Sample Selection Substitute Schools Ineligible Schools Student</w:t>
      </w:r>
      <w:r>
        <w:rPr>
          <w:spacing w:val="-14"/>
        </w:rPr>
        <w:t xml:space="preserve"> </w:t>
      </w:r>
      <w:r>
        <w:t>Sample</w:t>
      </w:r>
      <w:r>
        <w:rPr>
          <w:spacing w:val="-13"/>
        </w:rPr>
        <w:t xml:space="preserve"> </w:t>
      </w:r>
      <w:r>
        <w:t>Selection</w:t>
      </w:r>
    </w:p>
    <w:p w:rsidR="003F5784" w14:paraId="13D73733" w14:textId="77777777">
      <w:pPr>
        <w:pStyle w:val="BodyText"/>
        <w:spacing w:before="9"/>
        <w:ind w:left="109"/>
      </w:pPr>
      <w:r>
        <w:t>School</w:t>
      </w:r>
      <w:r>
        <w:rPr>
          <w:spacing w:val="-7"/>
        </w:rPr>
        <w:t xml:space="preserve"> </w:t>
      </w:r>
      <w:r>
        <w:t>and</w:t>
      </w:r>
      <w:r>
        <w:rPr>
          <w:spacing w:val="-6"/>
        </w:rPr>
        <w:t xml:space="preserve"> </w:t>
      </w:r>
      <w:r>
        <w:t>Student</w:t>
      </w:r>
      <w:r>
        <w:rPr>
          <w:spacing w:val="-6"/>
        </w:rPr>
        <w:t xml:space="preserve"> </w:t>
      </w:r>
      <w:r>
        <w:rPr>
          <w:spacing w:val="-2"/>
        </w:rPr>
        <w:t>Participation</w:t>
      </w:r>
    </w:p>
    <w:p w:rsidR="003F5784" w14:paraId="426D5A45" w14:textId="77777777">
      <w:pPr>
        <w:sectPr>
          <w:type w:val="continuous"/>
          <w:pgSz w:w="15840" w:h="12240" w:orient="landscape"/>
          <w:pgMar w:top="480" w:right="440" w:bottom="460" w:left="460" w:header="284" w:footer="275" w:gutter="0"/>
          <w:cols w:num="2" w:space="720" w:equalWidth="0">
            <w:col w:w="11607" w:space="144"/>
            <w:col w:w="3189"/>
          </w:cols>
        </w:sectPr>
      </w:pPr>
    </w:p>
    <w:p w:rsidR="003F5784" w14:paraId="782CF27D" w14:textId="77777777">
      <w:pPr>
        <w:pStyle w:val="BodyText"/>
        <w:rPr>
          <w:sz w:val="17"/>
        </w:rPr>
      </w:pPr>
    </w:p>
    <w:p w:rsidR="003F5784" w14:paraId="6F5F950D" w14:textId="77777777">
      <w:pPr>
        <w:pStyle w:val="BodyText"/>
        <w:spacing w:line="20" w:lineRule="exact"/>
        <w:ind w:left="110"/>
        <w:rPr>
          <w:sz w:val="2"/>
        </w:rPr>
      </w:pPr>
      <w:r>
        <w:rPr>
          <w:noProof/>
          <w:sz w:val="2"/>
        </w:rPr>
        <mc:AlternateContent>
          <mc:Choice Requires="wpg">
            <w:drawing>
              <wp:inline distT="0" distB="0" distL="0" distR="0">
                <wp:extent cx="7274559" cy="8890"/>
                <wp:effectExtent l="0" t="0" r="0" b="0"/>
                <wp:docPr id="54" name="Group 54"/>
                <wp:cNvGraphicFramePr/>
                <a:graphic xmlns:a="http://schemas.openxmlformats.org/drawingml/2006/main">
                  <a:graphicData uri="http://schemas.microsoft.com/office/word/2010/wordprocessingGroup">
                    <wpg:wgp xmlns:wpg="http://schemas.microsoft.com/office/word/2010/wordprocessingGroup">
                      <wpg:cNvGrpSpPr/>
                      <wpg:grpSpPr>
                        <a:xfrm>
                          <a:off x="0" y="0"/>
                          <a:ext cx="7274559" cy="8890"/>
                          <a:chOff x="0" y="0"/>
                          <a:chExt cx="7274559" cy="8890"/>
                        </a:xfrm>
                      </wpg:grpSpPr>
                      <wps:wsp xmlns:wps="http://schemas.microsoft.com/office/word/2010/wordprocessingShape">
                        <wps:cNvPr id="55" name="Graphic 55"/>
                        <wps:cNvSpPr/>
                        <wps:spPr>
                          <a:xfrm>
                            <a:off x="-12" y="1"/>
                            <a:ext cx="7274559" cy="8890"/>
                          </a:xfrm>
                          <a:custGeom>
                            <a:avLst/>
                            <a:gdLst/>
                            <a:rect l="l" t="t" r="r" b="b"/>
                            <a:pathLst>
                              <a:path fill="norm" h="8890" w="7274559" stroke="1">
                                <a:moveTo>
                                  <a:pt x="7274433" y="0"/>
                                </a:moveTo>
                                <a:lnTo>
                                  <a:pt x="7266152" y="0"/>
                                </a:lnTo>
                                <a:lnTo>
                                  <a:pt x="8280" y="0"/>
                                </a:lnTo>
                                <a:lnTo>
                                  <a:pt x="0" y="0"/>
                                </a:lnTo>
                                <a:lnTo>
                                  <a:pt x="0" y="8267"/>
                                </a:lnTo>
                                <a:lnTo>
                                  <a:pt x="8280" y="8267"/>
                                </a:lnTo>
                                <a:lnTo>
                                  <a:pt x="7266152" y="8267"/>
                                </a:lnTo>
                                <a:lnTo>
                                  <a:pt x="7274433" y="8267"/>
                                </a:lnTo>
                                <a:lnTo>
                                  <a:pt x="7274433" y="0"/>
                                </a:lnTo>
                                <a:close/>
                              </a:path>
                            </a:pathLst>
                          </a:custGeom>
                          <a:solidFill>
                            <a:srgbClr val="808080"/>
                          </a:solidFill>
                        </wps:spPr>
                        <wps:bodyPr wrap="square" lIns="0" tIns="0" rIns="0" bIns="0" rtlCol="0">
                          <a:prstTxWarp prst="textNoShape">
                            <a:avLst/>
                          </a:prstTxWarp>
                        </wps:bodyPr>
                      </wps:wsp>
                    </wpg:wgp>
                  </a:graphicData>
                </a:graphic>
              </wp:inline>
            </w:drawing>
          </mc:Choice>
          <mc:Fallback>
            <w:pict>
              <v:group id="Group 54" o:spid="_x0000_i1046" style="width:572.8pt;height:0.7pt;mso-position-horizontal-relative:char;mso-position-vertical-relative:line" coordsize="72745,88">
                <v:shape id="Graphic 55" o:spid="_x0000_s1047" style="width:72745;height:88;mso-wrap-style:square;position:absolute;visibility:visible;v-text-anchor:top" coordsize="7274559,8890" path="m7274433,l7266152,l8280,,,,,8267l8280,8267l7266152,8267l7274433,8267l7274433,xe" fillcolor="gray" stroked="f">
                  <v:path arrowok="t"/>
                </v:shape>
                <w10:wrap type="none"/>
                <w10:anchorlock/>
              </v:group>
            </w:pict>
          </mc:Fallback>
        </mc:AlternateContent>
      </w:r>
    </w:p>
    <w:p w:rsidR="003F5784" w14:paraId="40E60670" w14:textId="77777777">
      <w:pPr>
        <w:pStyle w:val="BodyText"/>
        <w:spacing w:before="142"/>
        <w:rPr>
          <w:sz w:val="41"/>
        </w:rPr>
      </w:pPr>
    </w:p>
    <w:p w:rsidR="003F5784" w14:paraId="5391D41F" w14:textId="4A945A29">
      <w:pPr>
        <w:pStyle w:val="Heading1"/>
      </w:pPr>
      <w:r>
        <w:t>NAEP</w:t>
      </w:r>
      <w:r>
        <w:rPr>
          <w:spacing w:val="-22"/>
        </w:rPr>
        <w:t xml:space="preserve"> </w:t>
      </w:r>
      <w:r>
        <w:t>Technical</w:t>
      </w:r>
      <w:r>
        <w:rPr>
          <w:spacing w:val="11"/>
        </w:rPr>
        <w:t xml:space="preserve"> </w:t>
      </w:r>
      <w:r>
        <w:t>Documentation</w:t>
      </w:r>
      <w:r w:rsidR="007C5BC2">
        <w:t xml:space="preserve"> </w:t>
      </w:r>
      <w:r>
        <w:t>Ineligible</w:t>
      </w:r>
      <w:r>
        <w:rPr>
          <w:spacing w:val="11"/>
        </w:rPr>
        <w:t xml:space="preserve"> </w:t>
      </w:r>
      <w:r>
        <w:t>Schools</w:t>
      </w:r>
      <w:r>
        <w:rPr>
          <w:spacing w:val="11"/>
        </w:rPr>
        <w:t xml:space="preserve"> </w:t>
      </w:r>
      <w:r>
        <w:t>for</w:t>
      </w:r>
      <w:r>
        <w:rPr>
          <w:spacing w:val="3"/>
        </w:rPr>
        <w:t xml:space="preserve"> </w:t>
      </w:r>
      <w:r>
        <w:t>the</w:t>
      </w:r>
      <w:r>
        <w:rPr>
          <w:spacing w:val="11"/>
        </w:rPr>
        <w:t xml:space="preserve"> </w:t>
      </w:r>
      <w:r>
        <w:rPr>
          <w:spacing w:val="-4"/>
        </w:rPr>
        <w:t>2022</w:t>
      </w:r>
    </w:p>
    <w:p w:rsidR="003F5784" w14:paraId="1C839682" w14:textId="77777777">
      <w:pPr>
        <w:spacing w:before="11"/>
        <w:ind w:left="109"/>
        <w:rPr>
          <w:b/>
          <w:sz w:val="41"/>
        </w:rPr>
      </w:pPr>
      <w:r>
        <w:rPr>
          <w:b/>
          <w:sz w:val="41"/>
        </w:rPr>
        <w:t>Eighth-Grade</w:t>
      </w:r>
      <w:r>
        <w:rPr>
          <w:b/>
          <w:spacing w:val="13"/>
          <w:sz w:val="41"/>
        </w:rPr>
        <w:t xml:space="preserve"> </w:t>
      </w:r>
      <w:r>
        <w:rPr>
          <w:b/>
          <w:sz w:val="41"/>
        </w:rPr>
        <w:t>Public</w:t>
      </w:r>
      <w:r>
        <w:rPr>
          <w:b/>
          <w:spacing w:val="14"/>
          <w:sz w:val="41"/>
        </w:rPr>
        <w:t xml:space="preserve"> </w:t>
      </w:r>
      <w:r>
        <w:rPr>
          <w:b/>
          <w:sz w:val="41"/>
        </w:rPr>
        <w:t>School</w:t>
      </w:r>
      <w:r>
        <w:rPr>
          <w:b/>
          <w:spacing w:val="13"/>
          <w:sz w:val="41"/>
        </w:rPr>
        <w:t xml:space="preserve"> </w:t>
      </w:r>
      <w:r>
        <w:rPr>
          <w:b/>
          <w:sz w:val="41"/>
        </w:rPr>
        <w:t>National</w:t>
      </w:r>
      <w:r>
        <w:rPr>
          <w:b/>
          <w:spacing w:val="-12"/>
          <w:sz w:val="41"/>
        </w:rPr>
        <w:t xml:space="preserve"> </w:t>
      </w:r>
      <w:r>
        <w:rPr>
          <w:b/>
          <w:sz w:val="41"/>
        </w:rPr>
        <w:t>Assessment</w:t>
      </w:r>
      <w:r>
        <w:rPr>
          <w:b/>
          <w:spacing w:val="14"/>
          <w:sz w:val="41"/>
        </w:rPr>
        <w:t xml:space="preserve"> </w:t>
      </w:r>
      <w:r>
        <w:rPr>
          <w:b/>
          <w:sz w:val="41"/>
        </w:rPr>
        <w:t>in</w:t>
      </w:r>
      <w:r>
        <w:rPr>
          <w:b/>
          <w:spacing w:val="13"/>
          <w:sz w:val="41"/>
        </w:rPr>
        <w:t xml:space="preserve"> </w:t>
      </w:r>
      <w:r>
        <w:rPr>
          <w:b/>
          <w:sz w:val="41"/>
        </w:rPr>
        <w:t>Civics</w:t>
      </w:r>
      <w:r>
        <w:rPr>
          <w:b/>
          <w:spacing w:val="14"/>
          <w:sz w:val="41"/>
        </w:rPr>
        <w:t xml:space="preserve"> </w:t>
      </w:r>
      <w:r>
        <w:rPr>
          <w:b/>
          <w:sz w:val="41"/>
        </w:rPr>
        <w:t>and</w:t>
      </w:r>
      <w:r>
        <w:rPr>
          <w:b/>
          <w:spacing w:val="13"/>
          <w:sz w:val="41"/>
        </w:rPr>
        <w:t xml:space="preserve"> </w:t>
      </w:r>
      <w:r>
        <w:rPr>
          <w:b/>
          <w:sz w:val="41"/>
        </w:rPr>
        <w:t>U.S.</w:t>
      </w:r>
      <w:r>
        <w:rPr>
          <w:b/>
          <w:spacing w:val="14"/>
          <w:sz w:val="41"/>
        </w:rPr>
        <w:t xml:space="preserve"> </w:t>
      </w:r>
      <w:r>
        <w:rPr>
          <w:b/>
          <w:spacing w:val="-2"/>
          <w:sz w:val="41"/>
        </w:rPr>
        <w:t>History</w:t>
      </w:r>
    </w:p>
    <w:p w:rsidR="003F5784" w14:paraId="7F31CC9E" w14:textId="77777777">
      <w:pPr>
        <w:pStyle w:val="BodyText"/>
        <w:spacing w:before="1"/>
        <w:rPr>
          <w:b/>
          <w:sz w:val="16"/>
        </w:rPr>
      </w:pPr>
    </w:p>
    <w:p w:rsidR="003F5784" w14:paraId="3483CFF8" w14:textId="77777777">
      <w:pPr>
        <w:rPr>
          <w:sz w:val="16"/>
        </w:rPr>
        <w:sectPr>
          <w:type w:val="continuous"/>
          <w:pgSz w:w="15840" w:h="12240" w:orient="landscape"/>
          <w:pgMar w:top="480" w:right="440" w:bottom="460" w:left="460" w:header="284" w:footer="275" w:gutter="0"/>
          <w:cols w:space="720"/>
        </w:sectPr>
      </w:pPr>
    </w:p>
    <w:p w:rsidR="003F5784" w14:paraId="3FCE3FA0" w14:textId="77777777">
      <w:pPr>
        <w:pStyle w:val="BodyText"/>
        <w:spacing w:before="96" w:line="232" w:lineRule="auto"/>
        <w:ind w:left="109" w:right="38"/>
      </w:pPr>
      <w:r>
        <w:t>The</w:t>
      </w:r>
      <w:r>
        <w:rPr>
          <w:spacing w:val="-4"/>
        </w:rPr>
        <w:t xml:space="preserve"> </w:t>
      </w:r>
      <w:r>
        <w:t>Common</w:t>
      </w:r>
      <w:r>
        <w:rPr>
          <w:spacing w:val="-4"/>
        </w:rPr>
        <w:t xml:space="preserve"> </w:t>
      </w:r>
      <w:r>
        <w:t>Core</w:t>
      </w:r>
      <w:r>
        <w:rPr>
          <w:spacing w:val="-4"/>
        </w:rPr>
        <w:t xml:space="preserve"> </w:t>
      </w:r>
      <w:r>
        <w:t>of</w:t>
      </w:r>
      <w:r>
        <w:rPr>
          <w:spacing w:val="-4"/>
        </w:rPr>
        <w:t xml:space="preserve"> </w:t>
      </w:r>
      <w:r>
        <w:t>Data</w:t>
      </w:r>
      <w:r>
        <w:rPr>
          <w:spacing w:val="-4"/>
        </w:rPr>
        <w:t xml:space="preserve"> </w:t>
      </w:r>
      <w:r>
        <w:t>(CCD)-based</w:t>
      </w:r>
      <w:r>
        <w:rPr>
          <w:spacing w:val="-4"/>
        </w:rPr>
        <w:t xml:space="preserve"> </w:t>
      </w:r>
      <w:r>
        <w:t>public</w:t>
      </w:r>
      <w:r>
        <w:rPr>
          <w:spacing w:val="-4"/>
        </w:rPr>
        <w:t xml:space="preserve"> </w:t>
      </w:r>
      <w:r>
        <w:t>school</w:t>
      </w:r>
      <w:r>
        <w:rPr>
          <w:spacing w:val="-4"/>
        </w:rPr>
        <w:t xml:space="preserve"> </w:t>
      </w:r>
      <w:r>
        <w:t>frame,</w:t>
      </w:r>
      <w:r>
        <w:rPr>
          <w:spacing w:val="-4"/>
        </w:rPr>
        <w:t xml:space="preserve"> </w:t>
      </w:r>
      <w:r>
        <w:t>from</w:t>
      </w:r>
      <w:r>
        <w:rPr>
          <w:spacing w:val="-4"/>
        </w:rPr>
        <w:t xml:space="preserve"> </w:t>
      </w:r>
      <w:r>
        <w:t>which</w:t>
      </w:r>
      <w:r>
        <w:rPr>
          <w:spacing w:val="-4"/>
        </w:rPr>
        <w:t xml:space="preserve"> </w:t>
      </w:r>
      <w:r>
        <w:t>most</w:t>
      </w:r>
      <w:r>
        <w:rPr>
          <w:spacing w:val="-4"/>
        </w:rPr>
        <w:t xml:space="preserve"> </w:t>
      </w:r>
      <w:r>
        <w:t>of</w:t>
      </w:r>
      <w:r>
        <w:rPr>
          <w:spacing w:val="-4"/>
        </w:rPr>
        <w:t xml:space="preserve"> </w:t>
      </w:r>
      <w:r>
        <w:t>the</w:t>
      </w:r>
      <w:r>
        <w:rPr>
          <w:spacing w:val="-4"/>
        </w:rPr>
        <w:t xml:space="preserve"> </w:t>
      </w:r>
      <w:r>
        <w:t>sampled</w:t>
      </w:r>
      <w:r>
        <w:rPr>
          <w:spacing w:val="-4"/>
        </w:rPr>
        <w:t xml:space="preserve"> </w:t>
      </w:r>
      <w:r>
        <w:t>schools</w:t>
      </w:r>
      <w:r>
        <w:rPr>
          <w:spacing w:val="-4"/>
        </w:rPr>
        <w:t xml:space="preserve"> </w:t>
      </w:r>
      <w:r>
        <w:t>were</w:t>
      </w:r>
      <w:r>
        <w:rPr>
          <w:spacing w:val="-4"/>
        </w:rPr>
        <w:t xml:space="preserve"> </w:t>
      </w:r>
      <w:r>
        <w:t>drawn,</w:t>
      </w:r>
      <w:r>
        <w:rPr>
          <w:spacing w:val="-4"/>
        </w:rPr>
        <w:t xml:space="preserve"> </w:t>
      </w:r>
      <w:r>
        <w:t>corresponds to</w:t>
      </w:r>
      <w:r>
        <w:rPr>
          <w:spacing w:val="-7"/>
        </w:rPr>
        <w:t xml:space="preserve"> </w:t>
      </w:r>
      <w:r>
        <w:t>the</w:t>
      </w:r>
      <w:r>
        <w:rPr>
          <w:spacing w:val="-7"/>
        </w:rPr>
        <w:t xml:space="preserve"> </w:t>
      </w:r>
      <w:r>
        <w:t>2019–2020</w:t>
      </w:r>
      <w:r>
        <w:rPr>
          <w:spacing w:val="-7"/>
        </w:rPr>
        <w:t xml:space="preserve"> </w:t>
      </w:r>
      <w:r>
        <w:t>school</w:t>
      </w:r>
      <w:r>
        <w:rPr>
          <w:spacing w:val="-7"/>
        </w:rPr>
        <w:t xml:space="preserve"> </w:t>
      </w:r>
      <w:r>
        <w:t>year,</w:t>
      </w:r>
      <w:r>
        <w:rPr>
          <w:spacing w:val="-7"/>
        </w:rPr>
        <w:t xml:space="preserve"> </w:t>
      </w:r>
      <w:r>
        <w:t>two</w:t>
      </w:r>
      <w:r>
        <w:rPr>
          <w:spacing w:val="-7"/>
        </w:rPr>
        <w:t xml:space="preserve"> </w:t>
      </w:r>
      <w:r>
        <w:t>years</w:t>
      </w:r>
      <w:r>
        <w:rPr>
          <w:spacing w:val="-7"/>
        </w:rPr>
        <w:t xml:space="preserve"> </w:t>
      </w:r>
      <w:r>
        <w:t>prior</w:t>
      </w:r>
      <w:r>
        <w:rPr>
          <w:spacing w:val="-7"/>
        </w:rPr>
        <w:t xml:space="preserve"> </w:t>
      </w:r>
      <w:r>
        <w:t>to</w:t>
      </w:r>
      <w:r>
        <w:rPr>
          <w:spacing w:val="-7"/>
        </w:rPr>
        <w:t xml:space="preserve"> </w:t>
      </w:r>
      <w:r>
        <w:t>the</w:t>
      </w:r>
      <w:r>
        <w:rPr>
          <w:spacing w:val="-7"/>
        </w:rPr>
        <w:t xml:space="preserve"> </w:t>
      </w:r>
      <w:r>
        <w:t>assessment</w:t>
      </w:r>
      <w:r>
        <w:rPr>
          <w:spacing w:val="-7"/>
        </w:rPr>
        <w:t xml:space="preserve"> </w:t>
      </w:r>
      <w:r>
        <w:t>school</w:t>
      </w:r>
      <w:r>
        <w:rPr>
          <w:spacing w:val="-7"/>
        </w:rPr>
        <w:t xml:space="preserve"> </w:t>
      </w:r>
      <w:r>
        <w:t>year.</w:t>
      </w:r>
      <w:r>
        <w:rPr>
          <w:spacing w:val="-7"/>
        </w:rPr>
        <w:t xml:space="preserve"> </w:t>
      </w:r>
      <w:r>
        <w:t>During</w:t>
      </w:r>
      <w:r>
        <w:rPr>
          <w:spacing w:val="-7"/>
        </w:rPr>
        <w:t xml:space="preserve"> </w:t>
      </w:r>
      <w:r>
        <w:t>the</w:t>
      </w:r>
      <w:r>
        <w:rPr>
          <w:spacing w:val="-7"/>
        </w:rPr>
        <w:t xml:space="preserve"> </w:t>
      </w:r>
      <w:r>
        <w:t>intervening</w:t>
      </w:r>
      <w:r>
        <w:rPr>
          <w:spacing w:val="-7"/>
        </w:rPr>
        <w:t xml:space="preserve"> </w:t>
      </w:r>
      <w:r>
        <w:t>period,</w:t>
      </w:r>
      <w:r>
        <w:rPr>
          <w:spacing w:val="-7"/>
        </w:rPr>
        <w:t xml:space="preserve"> </w:t>
      </w:r>
      <w:r>
        <w:t>some</w:t>
      </w:r>
      <w:r>
        <w:rPr>
          <w:spacing w:val="-7"/>
        </w:rPr>
        <w:t xml:space="preserve"> </w:t>
      </w:r>
      <w:r>
        <w:t>of</w:t>
      </w:r>
      <w:r>
        <w:rPr>
          <w:spacing w:val="-7"/>
        </w:rPr>
        <w:t xml:space="preserve"> </w:t>
      </w:r>
      <w:r>
        <w:t>these</w:t>
      </w:r>
      <w:r>
        <w:rPr>
          <w:spacing w:val="-7"/>
        </w:rPr>
        <w:t xml:space="preserve"> </w:t>
      </w:r>
      <w:r>
        <w:t>schools either closed, no longer offered the grade of interest, or were ineligible for other reasons. In such cases, the sampled school was coded as ineligible.</w:t>
      </w:r>
    </w:p>
    <w:p w:rsidR="003F5784" w14:paraId="666BB17E" w14:textId="77777777">
      <w:pPr>
        <w:pStyle w:val="BodyText"/>
        <w:spacing w:before="90" w:line="439" w:lineRule="auto"/>
        <w:ind w:left="109"/>
      </w:pPr>
      <w:r>
        <w:br w:type="column"/>
      </w:r>
      <w:r>
        <w:t>Total and Eligible Schools Sampled Eligibility</w:t>
      </w:r>
      <w:r>
        <w:rPr>
          <w:spacing w:val="-14"/>
        </w:rPr>
        <w:t xml:space="preserve"> </w:t>
      </w:r>
      <w:r>
        <w:t>Status</w:t>
      </w:r>
      <w:r>
        <w:rPr>
          <w:spacing w:val="-13"/>
        </w:rPr>
        <w:t xml:space="preserve"> </w:t>
      </w:r>
      <w:r>
        <w:t>of</w:t>
      </w:r>
      <w:r>
        <w:rPr>
          <w:spacing w:val="-13"/>
        </w:rPr>
        <w:t xml:space="preserve"> </w:t>
      </w:r>
      <w:r>
        <w:t>Schools</w:t>
      </w:r>
      <w:r>
        <w:rPr>
          <w:spacing w:val="-13"/>
        </w:rPr>
        <w:t xml:space="preserve"> </w:t>
      </w:r>
      <w:r>
        <w:t>Sampled</w:t>
      </w:r>
    </w:p>
    <w:p w:rsidR="003F5784" w14:paraId="4C851CD8" w14:textId="77777777">
      <w:pPr>
        <w:spacing w:line="439" w:lineRule="auto"/>
        <w:sectPr>
          <w:type w:val="continuous"/>
          <w:pgSz w:w="15840" w:h="12240" w:orient="landscape"/>
          <w:pgMar w:top="480" w:right="440" w:bottom="460" w:left="460" w:header="284" w:footer="275" w:gutter="0"/>
          <w:cols w:num="2" w:space="720" w:equalWidth="0">
            <w:col w:w="10989" w:space="368"/>
            <w:col w:w="3583"/>
          </w:cols>
        </w:sectPr>
      </w:pPr>
    </w:p>
    <w:p w:rsidR="003F5784" w14:paraId="29B05DCA" w14:textId="77777777">
      <w:pPr>
        <w:pStyle w:val="BodyText"/>
        <w:rPr>
          <w:sz w:val="18"/>
        </w:rPr>
      </w:pPr>
    </w:p>
    <w:p w:rsidR="003F5784" w14:paraId="6E0AE79F" w14:textId="77777777">
      <w:pPr>
        <w:pStyle w:val="BodyText"/>
        <w:rPr>
          <w:sz w:val="18"/>
        </w:rPr>
      </w:pPr>
    </w:p>
    <w:p w:rsidR="003F5784" w14:paraId="3364A56A" w14:textId="77777777">
      <w:pPr>
        <w:pStyle w:val="BodyText"/>
        <w:rPr>
          <w:sz w:val="18"/>
        </w:rPr>
      </w:pPr>
    </w:p>
    <w:p w:rsidR="003F5784" w14:paraId="372AA7A7" w14:textId="77777777">
      <w:pPr>
        <w:pStyle w:val="BodyText"/>
        <w:spacing w:before="43"/>
        <w:rPr>
          <w:sz w:val="18"/>
        </w:rPr>
      </w:pPr>
    </w:p>
    <w:p w:rsidR="003F5784" w14:paraId="7A6E8AD4" w14:textId="77777777">
      <w:pPr>
        <w:ind w:left="2187"/>
        <w:rPr>
          <w:sz w:val="18"/>
        </w:rPr>
      </w:pPr>
      <w:hyperlink r:id="rId41">
        <w:r>
          <w:rPr>
            <w:spacing w:val="-2"/>
            <w:w w:val="105"/>
            <w:sz w:val="18"/>
          </w:rPr>
          <w:t>http://nces.ed.gov/nationsreportcard/tdw/sample_design/2022/ineligible_schools_for_the_2022_eighth_grade_public_school_nat_assess_in_civics_and_us_history.aspx</w:t>
        </w:r>
      </w:hyperlink>
    </w:p>
    <w:p w:rsidR="003F5784" w14:paraId="7DD0ED0F" w14:textId="77777777">
      <w:pPr>
        <w:pStyle w:val="BodyText"/>
        <w:spacing w:before="1"/>
        <w:rPr>
          <w:sz w:val="16"/>
        </w:rPr>
      </w:pPr>
      <w:r>
        <w:rPr>
          <w:noProof/>
        </w:rPr>
        <mc:AlternateContent>
          <mc:Choice Requires="wps">
            <w:drawing>
              <wp:anchor distT="0" distB="0" distL="0" distR="0" simplePos="0" relativeHeight="251757568" behindDoc="1" locked="0" layoutInCell="1" allowOverlap="1">
                <wp:simplePos x="0" y="0"/>
                <wp:positionH relativeFrom="page">
                  <wp:posOffset>361937</wp:posOffset>
                </wp:positionH>
                <wp:positionV relativeFrom="paragraph">
                  <wp:posOffset>132756</wp:posOffset>
                </wp:positionV>
                <wp:extent cx="9339580" cy="8890"/>
                <wp:effectExtent l="0" t="0" r="0" b="0"/>
                <wp:wrapTopAndBottom/>
                <wp:docPr id="56" name="Graphic 5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6" o:spid="_x0000_s1048" style="width:735.4pt;height:0.7pt;margin-top:10.45pt;margin-left:28.5pt;mso-position-horizontal-relative:page;mso-wrap-distance-bottom:0;mso-wrap-distance-left:0;mso-wrap-distance-right:0;mso-wrap-distance-top:0;mso-wrap-style:square;position:absolute;visibility:visible;v-text-anchor:top;z-index:-251557888" coordsize="9339580,8890" path="m9338970,l9335110,l8280,,,,,8280l8280,8280l9335110,8280l9338970,8280l9338970,xe" fillcolor="gray" stroked="f">
                <v:path arrowok="t"/>
                <w10:wrap type="topAndBottom"/>
              </v:shape>
            </w:pict>
          </mc:Fallback>
        </mc:AlternateContent>
      </w:r>
    </w:p>
    <w:p w:rsidR="003F5784" w14:paraId="53235701" w14:textId="77777777">
      <w:pPr>
        <w:pStyle w:val="BodyText"/>
        <w:rPr>
          <w:sz w:val="18"/>
        </w:rPr>
      </w:pPr>
    </w:p>
    <w:p w:rsidR="003F5784" w14:paraId="0DCD9343" w14:textId="77777777">
      <w:pPr>
        <w:pStyle w:val="BodyText"/>
        <w:spacing w:before="193"/>
        <w:rPr>
          <w:sz w:val="18"/>
        </w:rPr>
      </w:pPr>
    </w:p>
    <w:p w:rsidR="003F5784" w14:paraId="22973946" w14:textId="1B0B78A1">
      <w:pPr>
        <w:pStyle w:val="Heading1"/>
        <w:spacing w:line="244" w:lineRule="auto"/>
        <w:ind w:right="318"/>
      </w:pPr>
      <w:r>
        <w:t>NAEP</w:t>
      </w:r>
      <w:r>
        <w:rPr>
          <w:spacing w:val="-16"/>
        </w:rPr>
        <w:t xml:space="preserve"> </w:t>
      </w:r>
      <w:r>
        <w:t>Technical Documentation</w:t>
      </w:r>
      <w:r w:rsidR="004833F9">
        <w:t xml:space="preserve"> </w:t>
      </w:r>
      <w:r>
        <w:t>Eligibility Status of Schools Sampled for the 2022 Eighth-Grade</w:t>
      </w:r>
      <w:r>
        <w:rPr>
          <w:spacing w:val="40"/>
        </w:rPr>
        <w:t xml:space="preserve"> </w:t>
      </w:r>
      <w:r>
        <w:t>Public</w:t>
      </w:r>
      <w:r>
        <w:rPr>
          <w:spacing w:val="40"/>
        </w:rPr>
        <w:t xml:space="preserve"> </w:t>
      </w:r>
      <w:r>
        <w:t>School</w:t>
      </w:r>
      <w:r>
        <w:rPr>
          <w:spacing w:val="40"/>
        </w:rPr>
        <w:t xml:space="preserve"> </w:t>
      </w:r>
      <w:r>
        <w:t>National Assessment</w:t>
      </w:r>
      <w:r>
        <w:rPr>
          <w:spacing w:val="40"/>
        </w:rPr>
        <w:t xml:space="preserve"> </w:t>
      </w:r>
      <w:r>
        <w:t>in</w:t>
      </w:r>
      <w:r>
        <w:rPr>
          <w:spacing w:val="40"/>
        </w:rPr>
        <w:t xml:space="preserve"> </w:t>
      </w:r>
      <w:r>
        <w:t>Civics</w:t>
      </w:r>
      <w:r>
        <w:rPr>
          <w:spacing w:val="40"/>
        </w:rPr>
        <w:t xml:space="preserve"> </w:t>
      </w:r>
      <w:r>
        <w:t>and</w:t>
      </w:r>
      <w:r>
        <w:rPr>
          <w:spacing w:val="40"/>
        </w:rPr>
        <w:t xml:space="preserve"> </w:t>
      </w:r>
      <w:r>
        <w:t>U.S.</w:t>
      </w:r>
      <w:r>
        <w:rPr>
          <w:spacing w:val="40"/>
        </w:rPr>
        <w:t xml:space="preserve"> </w:t>
      </w:r>
      <w:r>
        <w:t>History</w:t>
      </w:r>
    </w:p>
    <w:p w:rsidR="003F5784" w14:paraId="1E7CF44B" w14:textId="77777777">
      <w:pPr>
        <w:spacing w:line="244" w:lineRule="auto"/>
        <w:sectPr>
          <w:type w:val="continuous"/>
          <w:pgSz w:w="15840" w:h="12240" w:orient="landscape"/>
          <w:pgMar w:top="480" w:right="440" w:bottom="460" w:left="460" w:header="284" w:footer="275" w:gutter="0"/>
          <w:cols w:space="720"/>
        </w:sectPr>
      </w:pPr>
    </w:p>
    <w:p w:rsidR="003F5784" w14:paraId="3AB4AE20" w14:textId="77777777">
      <w:pPr>
        <w:pStyle w:val="BodyText"/>
        <w:spacing w:before="78" w:line="232" w:lineRule="auto"/>
        <w:ind w:left="109"/>
      </w:pPr>
      <w:r>
        <w:t>The</w:t>
      </w:r>
      <w:r>
        <w:rPr>
          <w:spacing w:val="-7"/>
        </w:rPr>
        <w:t xml:space="preserve"> </w:t>
      </w:r>
      <w:r>
        <w:t>following</w:t>
      </w:r>
      <w:r>
        <w:rPr>
          <w:spacing w:val="-7"/>
        </w:rPr>
        <w:t xml:space="preserve"> </w:t>
      </w:r>
      <w:r>
        <w:t>table</w:t>
      </w:r>
      <w:r>
        <w:rPr>
          <w:spacing w:val="-7"/>
        </w:rPr>
        <w:t xml:space="preserve"> </w:t>
      </w:r>
      <w:r>
        <w:t>shows</w:t>
      </w:r>
      <w:r>
        <w:rPr>
          <w:spacing w:val="-7"/>
        </w:rPr>
        <w:t xml:space="preserve"> </w:t>
      </w:r>
      <w:r>
        <w:t>the</w:t>
      </w:r>
      <w:r>
        <w:rPr>
          <w:spacing w:val="-7"/>
        </w:rPr>
        <w:t xml:space="preserve"> </w:t>
      </w:r>
      <w:r>
        <w:t>unweighted</w:t>
      </w:r>
      <w:r>
        <w:rPr>
          <w:spacing w:val="-7"/>
        </w:rPr>
        <w:t xml:space="preserve"> </w:t>
      </w:r>
      <w:r>
        <w:t>counts</w:t>
      </w:r>
      <w:r>
        <w:rPr>
          <w:spacing w:val="-7"/>
        </w:rPr>
        <w:t xml:space="preserve"> </w:t>
      </w:r>
      <w:r>
        <w:t>and</w:t>
      </w:r>
      <w:r>
        <w:rPr>
          <w:spacing w:val="-7"/>
        </w:rPr>
        <w:t xml:space="preserve"> </w:t>
      </w:r>
      <w:r>
        <w:t>percentages</w:t>
      </w:r>
      <w:r>
        <w:rPr>
          <w:spacing w:val="-7"/>
        </w:rPr>
        <w:t xml:space="preserve"> </w:t>
      </w:r>
      <w:r>
        <w:t>of</w:t>
      </w:r>
      <w:r>
        <w:rPr>
          <w:spacing w:val="-7"/>
        </w:rPr>
        <w:t xml:space="preserve"> </w:t>
      </w:r>
      <w:r>
        <w:t>sampled</w:t>
      </w:r>
      <w:r>
        <w:rPr>
          <w:spacing w:val="-7"/>
        </w:rPr>
        <w:t xml:space="preserve"> </w:t>
      </w:r>
      <w:r>
        <w:t>schools</w:t>
      </w:r>
      <w:r>
        <w:rPr>
          <w:spacing w:val="-7"/>
        </w:rPr>
        <w:t xml:space="preserve"> </w:t>
      </w:r>
      <w:r>
        <w:t>that</w:t>
      </w:r>
      <w:r>
        <w:rPr>
          <w:spacing w:val="-7"/>
        </w:rPr>
        <w:t xml:space="preserve"> </w:t>
      </w:r>
      <w:r>
        <w:t>were</w:t>
      </w:r>
      <w:r>
        <w:rPr>
          <w:spacing w:val="-7"/>
        </w:rPr>
        <w:t xml:space="preserve"> </w:t>
      </w:r>
      <w:r>
        <w:t>eligible</w:t>
      </w:r>
      <w:r>
        <w:rPr>
          <w:spacing w:val="-7"/>
        </w:rPr>
        <w:t xml:space="preserve"> </w:t>
      </w:r>
      <w:r>
        <w:t>and</w:t>
      </w:r>
      <w:r>
        <w:rPr>
          <w:spacing w:val="-7"/>
        </w:rPr>
        <w:t xml:space="preserve"> </w:t>
      </w:r>
      <w:r>
        <w:t>ineligible,</w:t>
      </w:r>
      <w:r>
        <w:rPr>
          <w:spacing w:val="-7"/>
        </w:rPr>
        <w:t xml:space="preserve"> </w:t>
      </w:r>
      <w:r>
        <w:t>by</w:t>
      </w:r>
      <w:r>
        <w:rPr>
          <w:spacing w:val="-7"/>
        </w:rPr>
        <w:t xml:space="preserve"> </w:t>
      </w:r>
      <w:r>
        <w:t>reason</w:t>
      </w:r>
      <w:r>
        <w:rPr>
          <w:spacing w:val="-7"/>
        </w:rPr>
        <w:t xml:space="preserve"> </w:t>
      </w:r>
      <w:r>
        <w:t>for</w:t>
      </w:r>
      <w:r>
        <w:rPr>
          <w:spacing w:val="-7"/>
        </w:rPr>
        <w:t xml:space="preserve"> </w:t>
      </w:r>
      <w:r>
        <w:t>ineligibility,</w:t>
      </w:r>
      <w:r>
        <w:rPr>
          <w:spacing w:val="-7"/>
        </w:rPr>
        <w:t xml:space="preserve"> </w:t>
      </w:r>
      <w:r>
        <w:t>for</w:t>
      </w:r>
      <w:r>
        <w:rPr>
          <w:spacing w:val="-7"/>
        </w:rPr>
        <w:t xml:space="preserve"> </w:t>
      </w:r>
      <w:r>
        <w:t>the</w:t>
      </w:r>
      <w:r>
        <w:rPr>
          <w:spacing w:val="-7"/>
        </w:rPr>
        <w:t xml:space="preserve"> </w:t>
      </w:r>
      <w:r>
        <w:t>eighth-grade</w:t>
      </w:r>
      <w:r>
        <w:rPr>
          <w:spacing w:val="-7"/>
        </w:rPr>
        <w:t xml:space="preserve"> </w:t>
      </w:r>
      <w:r>
        <w:t>public school sample for the national assessments in civics and U.S. history.</w:t>
      </w:r>
    </w:p>
    <w:p w:rsidR="003F5784" w14:paraId="4088C30A" w14:textId="77777777">
      <w:pPr>
        <w:pStyle w:val="BodyText"/>
        <w:spacing w:before="92"/>
      </w:pPr>
    </w:p>
    <w:p w:rsidR="003F5784" w14:paraId="59AF2010" w14:textId="77777777">
      <w:pPr>
        <w:pStyle w:val="Heading2"/>
      </w:pPr>
      <w:r>
        <w:t>Sampled</w:t>
      </w:r>
      <w:r>
        <w:rPr>
          <w:spacing w:val="-9"/>
        </w:rPr>
        <w:t xml:space="preserve"> </w:t>
      </w:r>
      <w:r>
        <w:t>public</w:t>
      </w:r>
      <w:r>
        <w:rPr>
          <w:spacing w:val="-8"/>
        </w:rPr>
        <w:t xml:space="preserve"> </w:t>
      </w:r>
      <w:r>
        <w:t>schools,</w:t>
      </w:r>
      <w:r>
        <w:rPr>
          <w:spacing w:val="-9"/>
        </w:rPr>
        <w:t xml:space="preserve"> </w:t>
      </w:r>
      <w:r>
        <w:t>eighth-grade</w:t>
      </w:r>
      <w:r>
        <w:rPr>
          <w:spacing w:val="-8"/>
        </w:rPr>
        <w:t xml:space="preserve"> </w:t>
      </w:r>
      <w:r>
        <w:t>national</w:t>
      </w:r>
      <w:r>
        <w:rPr>
          <w:spacing w:val="-8"/>
        </w:rPr>
        <w:t xml:space="preserve"> </w:t>
      </w:r>
      <w:r>
        <w:t>assessment,</w:t>
      </w:r>
      <w:r>
        <w:rPr>
          <w:spacing w:val="-9"/>
        </w:rPr>
        <w:t xml:space="preserve"> </w:t>
      </w:r>
      <w:r>
        <w:t>by</w:t>
      </w:r>
      <w:r>
        <w:rPr>
          <w:spacing w:val="-8"/>
        </w:rPr>
        <w:t xml:space="preserve"> </w:t>
      </w:r>
      <w:r>
        <w:t>eligibility</w:t>
      </w:r>
      <w:r>
        <w:rPr>
          <w:spacing w:val="-8"/>
        </w:rPr>
        <w:t xml:space="preserve"> </w:t>
      </w:r>
      <w:r>
        <w:t>status:</w:t>
      </w:r>
      <w:r>
        <w:rPr>
          <w:spacing w:val="-9"/>
        </w:rPr>
        <w:t xml:space="preserve"> </w:t>
      </w:r>
      <w:r>
        <w:rPr>
          <w:spacing w:val="-4"/>
        </w:rPr>
        <w:t>2022</w:t>
      </w:r>
    </w:p>
    <w:p w:rsidR="003F5784" w14:paraId="2E6DDFF4"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5945"/>
        <w:gridCol w:w="5163"/>
        <w:gridCol w:w="2874"/>
      </w:tblGrid>
      <w:tr w14:paraId="47E77483" w14:textId="77777777">
        <w:tblPrEx>
          <w:tblW w:w="0" w:type="auto"/>
          <w:tblInd w:w="482" w:type="dxa"/>
          <w:tblLayout w:type="fixed"/>
          <w:tblCellMar>
            <w:left w:w="0" w:type="dxa"/>
            <w:right w:w="0" w:type="dxa"/>
          </w:tblCellMar>
          <w:tblLook w:val="01E0"/>
        </w:tblPrEx>
        <w:trPr>
          <w:trHeight w:val="267"/>
        </w:trPr>
        <w:tc>
          <w:tcPr>
            <w:tcW w:w="5945" w:type="dxa"/>
            <w:tcBorders>
              <w:top w:val="single" w:sz="18" w:space="0" w:color="800000"/>
              <w:bottom w:val="single" w:sz="18" w:space="0" w:color="800000"/>
            </w:tcBorders>
          </w:tcPr>
          <w:p w:rsidR="003F5784" w14:paraId="48355AD3" w14:textId="77777777">
            <w:pPr>
              <w:pStyle w:val="TableParagraph"/>
              <w:spacing w:before="9" w:line="238" w:lineRule="exact"/>
              <w:ind w:left="120"/>
              <w:jc w:val="left"/>
              <w:rPr>
                <w:sz w:val="21"/>
              </w:rPr>
            </w:pPr>
            <w:r>
              <w:rPr>
                <w:sz w:val="21"/>
              </w:rPr>
              <w:t>Eligibility</w:t>
            </w:r>
            <w:r>
              <w:rPr>
                <w:spacing w:val="-10"/>
                <w:sz w:val="21"/>
              </w:rPr>
              <w:t xml:space="preserve"> </w:t>
            </w:r>
            <w:r>
              <w:rPr>
                <w:spacing w:val="-2"/>
                <w:sz w:val="21"/>
              </w:rPr>
              <w:t>status</w:t>
            </w:r>
          </w:p>
        </w:tc>
        <w:tc>
          <w:tcPr>
            <w:tcW w:w="5163" w:type="dxa"/>
            <w:tcBorders>
              <w:top w:val="single" w:sz="18" w:space="0" w:color="800000"/>
              <w:bottom w:val="single" w:sz="18" w:space="0" w:color="800000"/>
            </w:tcBorders>
          </w:tcPr>
          <w:p w:rsidR="003F5784" w14:paraId="41EA198F" w14:textId="77777777">
            <w:pPr>
              <w:pStyle w:val="TableParagraph"/>
              <w:spacing w:before="9" w:line="238" w:lineRule="exact"/>
              <w:ind w:right="778"/>
              <w:rPr>
                <w:sz w:val="21"/>
              </w:rPr>
            </w:pPr>
            <w:r>
              <w:rPr>
                <w:sz w:val="21"/>
              </w:rPr>
              <w:t>Unweighted</w:t>
            </w:r>
            <w:r>
              <w:rPr>
                <w:spacing w:val="-7"/>
                <w:sz w:val="21"/>
              </w:rPr>
              <w:t xml:space="preserve"> </w:t>
            </w:r>
            <w:r>
              <w:rPr>
                <w:sz w:val="21"/>
              </w:rPr>
              <w:t>count</w:t>
            </w:r>
            <w:r>
              <w:rPr>
                <w:spacing w:val="-7"/>
                <w:sz w:val="21"/>
              </w:rPr>
              <w:t xml:space="preserve"> </w:t>
            </w:r>
            <w:r>
              <w:rPr>
                <w:sz w:val="21"/>
              </w:rPr>
              <w:t>of</w:t>
            </w:r>
            <w:r>
              <w:rPr>
                <w:spacing w:val="-6"/>
                <w:sz w:val="21"/>
              </w:rPr>
              <w:t xml:space="preserve"> </w:t>
            </w:r>
            <w:r>
              <w:rPr>
                <w:spacing w:val="-2"/>
                <w:sz w:val="21"/>
              </w:rPr>
              <w:t>schools</w:t>
            </w:r>
          </w:p>
        </w:tc>
        <w:tc>
          <w:tcPr>
            <w:tcW w:w="2874" w:type="dxa"/>
            <w:tcBorders>
              <w:top w:val="single" w:sz="18" w:space="0" w:color="800000"/>
              <w:bottom w:val="single" w:sz="18" w:space="0" w:color="800000"/>
            </w:tcBorders>
          </w:tcPr>
          <w:p w:rsidR="003F5784" w14:paraId="4CE352AC" w14:textId="77777777">
            <w:pPr>
              <w:pStyle w:val="TableParagraph"/>
              <w:spacing w:before="9" w:line="238" w:lineRule="exact"/>
              <w:ind w:right="115"/>
              <w:rPr>
                <w:sz w:val="21"/>
              </w:rPr>
            </w:pPr>
            <w:r>
              <w:rPr>
                <w:sz w:val="21"/>
              </w:rPr>
              <w:t>Unweighted</w:t>
            </w:r>
            <w:r>
              <w:rPr>
                <w:spacing w:val="-12"/>
                <w:sz w:val="21"/>
              </w:rPr>
              <w:t xml:space="preserve"> </w:t>
            </w:r>
            <w:r>
              <w:rPr>
                <w:spacing w:val="-2"/>
                <w:sz w:val="21"/>
              </w:rPr>
              <w:t>percentage</w:t>
            </w:r>
          </w:p>
        </w:tc>
      </w:tr>
      <w:tr w14:paraId="315BEBA5" w14:textId="77777777">
        <w:tblPrEx>
          <w:tblW w:w="0" w:type="auto"/>
          <w:tblInd w:w="482" w:type="dxa"/>
          <w:tblLayout w:type="fixed"/>
          <w:tblCellMar>
            <w:left w:w="0" w:type="dxa"/>
            <w:right w:w="0" w:type="dxa"/>
          </w:tblCellMar>
          <w:tblLook w:val="01E0"/>
        </w:tblPrEx>
        <w:trPr>
          <w:trHeight w:val="278"/>
        </w:trPr>
        <w:tc>
          <w:tcPr>
            <w:tcW w:w="5945" w:type="dxa"/>
            <w:tcBorders>
              <w:top w:val="single" w:sz="18" w:space="0" w:color="800000"/>
            </w:tcBorders>
          </w:tcPr>
          <w:p w:rsidR="003F5784" w14:paraId="156DB23D" w14:textId="77777777">
            <w:pPr>
              <w:pStyle w:val="TableParagraph"/>
              <w:spacing w:before="9"/>
              <w:ind w:left="515"/>
              <w:jc w:val="left"/>
              <w:rPr>
                <w:b/>
                <w:sz w:val="21"/>
              </w:rPr>
            </w:pPr>
            <w:r>
              <w:rPr>
                <w:b/>
                <w:sz w:val="21"/>
              </w:rPr>
              <w:t>All</w:t>
            </w:r>
            <w:r>
              <w:rPr>
                <w:b/>
                <w:spacing w:val="-7"/>
                <w:sz w:val="21"/>
              </w:rPr>
              <w:t xml:space="preserve"> </w:t>
            </w:r>
            <w:r>
              <w:rPr>
                <w:b/>
                <w:sz w:val="21"/>
              </w:rPr>
              <w:t>sampled</w:t>
            </w:r>
            <w:r>
              <w:rPr>
                <w:b/>
                <w:spacing w:val="-6"/>
                <w:sz w:val="21"/>
              </w:rPr>
              <w:t xml:space="preserve"> </w:t>
            </w:r>
            <w:r>
              <w:rPr>
                <w:b/>
                <w:sz w:val="21"/>
              </w:rPr>
              <w:t>public</w:t>
            </w:r>
            <w:r>
              <w:rPr>
                <w:b/>
                <w:spacing w:val="-6"/>
                <w:sz w:val="21"/>
              </w:rPr>
              <w:t xml:space="preserve"> </w:t>
            </w:r>
            <w:r>
              <w:rPr>
                <w:b/>
                <w:spacing w:val="-2"/>
                <w:sz w:val="21"/>
              </w:rPr>
              <w:t>schools</w:t>
            </w:r>
          </w:p>
        </w:tc>
        <w:tc>
          <w:tcPr>
            <w:tcW w:w="5163" w:type="dxa"/>
            <w:tcBorders>
              <w:top w:val="single" w:sz="18" w:space="0" w:color="800000"/>
            </w:tcBorders>
          </w:tcPr>
          <w:p w:rsidR="003F5784" w14:paraId="2C5B902C" w14:textId="77777777">
            <w:pPr>
              <w:pStyle w:val="TableParagraph"/>
              <w:spacing w:before="9"/>
              <w:ind w:right="778"/>
              <w:rPr>
                <w:b/>
                <w:sz w:val="21"/>
              </w:rPr>
            </w:pPr>
            <w:r>
              <w:rPr>
                <w:b/>
                <w:spacing w:val="-5"/>
                <w:sz w:val="21"/>
              </w:rPr>
              <w:t>400</w:t>
            </w:r>
          </w:p>
        </w:tc>
        <w:tc>
          <w:tcPr>
            <w:tcW w:w="2874" w:type="dxa"/>
            <w:tcBorders>
              <w:top w:val="single" w:sz="18" w:space="0" w:color="800000"/>
            </w:tcBorders>
          </w:tcPr>
          <w:p w:rsidR="003F5784" w14:paraId="4FB6C2CC" w14:textId="77777777">
            <w:pPr>
              <w:pStyle w:val="TableParagraph"/>
              <w:spacing w:before="9"/>
              <w:ind w:right="115"/>
              <w:rPr>
                <w:b/>
                <w:sz w:val="21"/>
              </w:rPr>
            </w:pPr>
            <w:r>
              <w:rPr>
                <w:b/>
                <w:spacing w:val="-2"/>
                <w:sz w:val="21"/>
              </w:rPr>
              <w:t>100.00</w:t>
            </w:r>
          </w:p>
        </w:tc>
      </w:tr>
      <w:tr w14:paraId="5D7FBF20" w14:textId="77777777">
        <w:tblPrEx>
          <w:tblW w:w="0" w:type="auto"/>
          <w:tblInd w:w="482" w:type="dxa"/>
          <w:tblLayout w:type="fixed"/>
          <w:tblCellMar>
            <w:left w:w="0" w:type="dxa"/>
            <w:right w:w="0" w:type="dxa"/>
          </w:tblCellMar>
          <w:tblLook w:val="01E0"/>
        </w:tblPrEx>
        <w:trPr>
          <w:trHeight w:val="286"/>
        </w:trPr>
        <w:tc>
          <w:tcPr>
            <w:tcW w:w="5945" w:type="dxa"/>
          </w:tcPr>
          <w:p w:rsidR="003F5784" w14:paraId="2E6BE31F" w14:textId="77777777">
            <w:pPr>
              <w:pStyle w:val="TableParagraph"/>
              <w:ind w:left="120"/>
              <w:jc w:val="left"/>
              <w:rPr>
                <w:sz w:val="21"/>
              </w:rPr>
            </w:pPr>
            <w:r>
              <w:rPr>
                <w:spacing w:val="-2"/>
                <w:sz w:val="21"/>
              </w:rPr>
              <w:t>Eligible</w:t>
            </w:r>
          </w:p>
        </w:tc>
        <w:tc>
          <w:tcPr>
            <w:tcW w:w="5163" w:type="dxa"/>
          </w:tcPr>
          <w:p w:rsidR="003F5784" w14:paraId="7BF4EF5B" w14:textId="77777777">
            <w:pPr>
              <w:pStyle w:val="TableParagraph"/>
              <w:ind w:right="778"/>
              <w:rPr>
                <w:sz w:val="21"/>
              </w:rPr>
            </w:pPr>
            <w:r>
              <w:rPr>
                <w:spacing w:val="-5"/>
                <w:sz w:val="21"/>
              </w:rPr>
              <w:t>390</w:t>
            </w:r>
          </w:p>
        </w:tc>
        <w:tc>
          <w:tcPr>
            <w:tcW w:w="2874" w:type="dxa"/>
          </w:tcPr>
          <w:p w:rsidR="003F5784" w14:paraId="7E8F60C1" w14:textId="77777777">
            <w:pPr>
              <w:pStyle w:val="TableParagraph"/>
              <w:ind w:right="115"/>
              <w:rPr>
                <w:sz w:val="21"/>
              </w:rPr>
            </w:pPr>
            <w:r>
              <w:rPr>
                <w:spacing w:val="-2"/>
                <w:sz w:val="21"/>
              </w:rPr>
              <w:t>96.51</w:t>
            </w:r>
          </w:p>
        </w:tc>
      </w:tr>
      <w:tr w14:paraId="2036F317" w14:textId="77777777">
        <w:tblPrEx>
          <w:tblW w:w="0" w:type="auto"/>
          <w:tblInd w:w="482" w:type="dxa"/>
          <w:tblLayout w:type="fixed"/>
          <w:tblCellMar>
            <w:left w:w="0" w:type="dxa"/>
            <w:right w:w="0" w:type="dxa"/>
          </w:tblCellMar>
          <w:tblLook w:val="01E0"/>
        </w:tblPrEx>
        <w:trPr>
          <w:trHeight w:val="286"/>
        </w:trPr>
        <w:tc>
          <w:tcPr>
            <w:tcW w:w="5945" w:type="dxa"/>
          </w:tcPr>
          <w:p w:rsidR="003F5784" w14:paraId="08D427F0" w14:textId="77777777">
            <w:pPr>
              <w:pStyle w:val="TableParagraph"/>
              <w:ind w:left="120"/>
              <w:jc w:val="left"/>
              <w:rPr>
                <w:sz w:val="21"/>
              </w:rPr>
            </w:pPr>
            <w:r>
              <w:rPr>
                <w:spacing w:val="-2"/>
                <w:sz w:val="21"/>
              </w:rPr>
              <w:t>Ineligible</w:t>
            </w:r>
          </w:p>
        </w:tc>
        <w:tc>
          <w:tcPr>
            <w:tcW w:w="5163" w:type="dxa"/>
          </w:tcPr>
          <w:p w:rsidR="003F5784" w14:paraId="4E0CD896" w14:textId="77777777">
            <w:pPr>
              <w:pStyle w:val="TableParagraph"/>
              <w:ind w:right="778"/>
              <w:rPr>
                <w:sz w:val="21"/>
              </w:rPr>
            </w:pPr>
            <w:r>
              <w:rPr>
                <w:spacing w:val="-5"/>
                <w:sz w:val="21"/>
              </w:rPr>
              <w:t>14</w:t>
            </w:r>
          </w:p>
        </w:tc>
        <w:tc>
          <w:tcPr>
            <w:tcW w:w="2874" w:type="dxa"/>
          </w:tcPr>
          <w:p w:rsidR="003F5784" w14:paraId="5DDDC762" w14:textId="77777777">
            <w:pPr>
              <w:pStyle w:val="TableParagraph"/>
              <w:ind w:right="115"/>
              <w:rPr>
                <w:sz w:val="21"/>
              </w:rPr>
            </w:pPr>
            <w:r>
              <w:rPr>
                <w:spacing w:val="-4"/>
                <w:sz w:val="21"/>
              </w:rPr>
              <w:t>3.49</w:t>
            </w:r>
          </w:p>
        </w:tc>
      </w:tr>
      <w:tr w14:paraId="722F0BAF" w14:textId="77777777">
        <w:tblPrEx>
          <w:tblW w:w="0" w:type="auto"/>
          <w:tblInd w:w="482" w:type="dxa"/>
          <w:tblLayout w:type="fixed"/>
          <w:tblCellMar>
            <w:left w:w="0" w:type="dxa"/>
            <w:right w:w="0" w:type="dxa"/>
          </w:tblCellMar>
          <w:tblLook w:val="01E0"/>
        </w:tblPrEx>
        <w:trPr>
          <w:trHeight w:val="286"/>
        </w:trPr>
        <w:tc>
          <w:tcPr>
            <w:tcW w:w="5945" w:type="dxa"/>
          </w:tcPr>
          <w:p w:rsidR="003F5784" w14:paraId="77186FD3" w14:textId="77777777">
            <w:pPr>
              <w:pStyle w:val="TableParagraph"/>
              <w:ind w:left="370"/>
              <w:jc w:val="left"/>
              <w:rPr>
                <w:sz w:val="21"/>
              </w:rPr>
            </w:pPr>
            <w:r>
              <w:rPr>
                <w:sz w:val="21"/>
              </w:rPr>
              <w:t>Has</w:t>
            </w:r>
            <w:r>
              <w:rPr>
                <w:spacing w:val="-6"/>
                <w:sz w:val="21"/>
              </w:rPr>
              <w:t xml:space="preserve"> </w:t>
            </w:r>
            <w:r>
              <w:rPr>
                <w:sz w:val="21"/>
              </w:rPr>
              <w:t>sampled</w:t>
            </w:r>
            <w:r>
              <w:rPr>
                <w:spacing w:val="-5"/>
                <w:sz w:val="21"/>
              </w:rPr>
              <w:t xml:space="preserve"> </w:t>
            </w:r>
            <w:r>
              <w:rPr>
                <w:sz w:val="21"/>
              </w:rPr>
              <w:t>grade,</w:t>
            </w:r>
            <w:r>
              <w:rPr>
                <w:spacing w:val="-6"/>
                <w:sz w:val="21"/>
              </w:rPr>
              <w:t xml:space="preserve"> </w:t>
            </w:r>
            <w:r>
              <w:rPr>
                <w:sz w:val="21"/>
              </w:rPr>
              <w:t>but</w:t>
            </w:r>
            <w:r>
              <w:rPr>
                <w:spacing w:val="-5"/>
                <w:sz w:val="21"/>
              </w:rPr>
              <w:t xml:space="preserve"> </w:t>
            </w:r>
            <w:r>
              <w:rPr>
                <w:sz w:val="21"/>
              </w:rPr>
              <w:t>no</w:t>
            </w:r>
            <w:r>
              <w:rPr>
                <w:spacing w:val="-6"/>
                <w:sz w:val="21"/>
              </w:rPr>
              <w:t xml:space="preserve"> </w:t>
            </w:r>
            <w:r>
              <w:rPr>
                <w:sz w:val="21"/>
              </w:rPr>
              <w:t>eligible</w:t>
            </w:r>
            <w:r>
              <w:rPr>
                <w:spacing w:val="-5"/>
                <w:sz w:val="21"/>
              </w:rPr>
              <w:t xml:space="preserve"> </w:t>
            </w:r>
            <w:r>
              <w:rPr>
                <w:spacing w:val="-2"/>
                <w:sz w:val="21"/>
              </w:rPr>
              <w:t>students</w:t>
            </w:r>
          </w:p>
        </w:tc>
        <w:tc>
          <w:tcPr>
            <w:tcW w:w="5163" w:type="dxa"/>
          </w:tcPr>
          <w:p w:rsidR="003F5784" w14:paraId="7F86F3E0" w14:textId="77777777">
            <w:pPr>
              <w:pStyle w:val="TableParagraph"/>
              <w:ind w:right="778"/>
              <w:rPr>
                <w:sz w:val="21"/>
              </w:rPr>
            </w:pPr>
            <w:r>
              <w:rPr>
                <w:spacing w:val="-10"/>
                <w:sz w:val="21"/>
              </w:rPr>
              <w:t>0</w:t>
            </w:r>
          </w:p>
        </w:tc>
        <w:tc>
          <w:tcPr>
            <w:tcW w:w="2874" w:type="dxa"/>
          </w:tcPr>
          <w:p w:rsidR="003F5784" w14:paraId="7746CCE3" w14:textId="77777777">
            <w:pPr>
              <w:pStyle w:val="TableParagraph"/>
              <w:ind w:right="115"/>
              <w:rPr>
                <w:sz w:val="21"/>
              </w:rPr>
            </w:pPr>
            <w:r>
              <w:rPr>
                <w:spacing w:val="-4"/>
                <w:sz w:val="21"/>
              </w:rPr>
              <w:t>0.00</w:t>
            </w:r>
          </w:p>
        </w:tc>
      </w:tr>
      <w:tr w14:paraId="7379F213" w14:textId="77777777">
        <w:tblPrEx>
          <w:tblW w:w="0" w:type="auto"/>
          <w:tblInd w:w="482" w:type="dxa"/>
          <w:tblLayout w:type="fixed"/>
          <w:tblCellMar>
            <w:left w:w="0" w:type="dxa"/>
            <w:right w:w="0" w:type="dxa"/>
          </w:tblCellMar>
          <w:tblLook w:val="01E0"/>
        </w:tblPrEx>
        <w:trPr>
          <w:trHeight w:val="286"/>
        </w:trPr>
        <w:tc>
          <w:tcPr>
            <w:tcW w:w="5945" w:type="dxa"/>
          </w:tcPr>
          <w:p w:rsidR="003F5784" w14:paraId="11E03615" w14:textId="77777777">
            <w:pPr>
              <w:pStyle w:val="TableParagraph"/>
              <w:ind w:left="370"/>
              <w:jc w:val="left"/>
              <w:rPr>
                <w:sz w:val="21"/>
              </w:rPr>
            </w:pPr>
            <w:r>
              <w:rPr>
                <w:sz w:val="21"/>
              </w:rPr>
              <w:t>Does</w:t>
            </w:r>
            <w:r>
              <w:rPr>
                <w:spacing w:val="-6"/>
                <w:sz w:val="21"/>
              </w:rPr>
              <w:t xml:space="preserve"> </w:t>
            </w:r>
            <w:r>
              <w:rPr>
                <w:sz w:val="21"/>
              </w:rPr>
              <w:t>not</w:t>
            </w:r>
            <w:r>
              <w:rPr>
                <w:spacing w:val="-5"/>
                <w:sz w:val="21"/>
              </w:rPr>
              <w:t xml:space="preserve"> </w:t>
            </w:r>
            <w:r>
              <w:rPr>
                <w:sz w:val="21"/>
              </w:rPr>
              <w:t>have</w:t>
            </w:r>
            <w:r>
              <w:rPr>
                <w:spacing w:val="-6"/>
                <w:sz w:val="21"/>
              </w:rPr>
              <w:t xml:space="preserve"> </w:t>
            </w:r>
            <w:r>
              <w:rPr>
                <w:sz w:val="21"/>
              </w:rPr>
              <w:t>sampled</w:t>
            </w:r>
            <w:r>
              <w:rPr>
                <w:spacing w:val="-5"/>
                <w:sz w:val="21"/>
              </w:rPr>
              <w:t xml:space="preserve"> </w:t>
            </w:r>
            <w:r>
              <w:rPr>
                <w:spacing w:val="-2"/>
                <w:sz w:val="21"/>
              </w:rPr>
              <w:t>grade</w:t>
            </w:r>
          </w:p>
        </w:tc>
        <w:tc>
          <w:tcPr>
            <w:tcW w:w="5163" w:type="dxa"/>
          </w:tcPr>
          <w:p w:rsidR="003F5784" w14:paraId="618780B2" w14:textId="77777777">
            <w:pPr>
              <w:pStyle w:val="TableParagraph"/>
              <w:ind w:right="778"/>
              <w:rPr>
                <w:sz w:val="21"/>
              </w:rPr>
            </w:pPr>
            <w:r>
              <w:rPr>
                <w:spacing w:val="-10"/>
                <w:sz w:val="21"/>
              </w:rPr>
              <w:t>5</w:t>
            </w:r>
          </w:p>
        </w:tc>
        <w:tc>
          <w:tcPr>
            <w:tcW w:w="2874" w:type="dxa"/>
          </w:tcPr>
          <w:p w:rsidR="003F5784" w14:paraId="266107EE" w14:textId="77777777">
            <w:pPr>
              <w:pStyle w:val="TableParagraph"/>
              <w:ind w:right="115"/>
              <w:rPr>
                <w:sz w:val="21"/>
              </w:rPr>
            </w:pPr>
            <w:r>
              <w:rPr>
                <w:spacing w:val="-4"/>
                <w:sz w:val="21"/>
              </w:rPr>
              <w:t>1.25</w:t>
            </w:r>
          </w:p>
        </w:tc>
      </w:tr>
      <w:tr w14:paraId="323AADA7" w14:textId="77777777">
        <w:tblPrEx>
          <w:tblW w:w="0" w:type="auto"/>
          <w:tblInd w:w="482" w:type="dxa"/>
          <w:tblLayout w:type="fixed"/>
          <w:tblCellMar>
            <w:left w:w="0" w:type="dxa"/>
            <w:right w:w="0" w:type="dxa"/>
          </w:tblCellMar>
          <w:tblLook w:val="01E0"/>
        </w:tblPrEx>
        <w:trPr>
          <w:trHeight w:val="286"/>
        </w:trPr>
        <w:tc>
          <w:tcPr>
            <w:tcW w:w="5945" w:type="dxa"/>
          </w:tcPr>
          <w:p w:rsidR="003F5784" w14:paraId="2848C115" w14:textId="77777777">
            <w:pPr>
              <w:pStyle w:val="TableParagraph"/>
              <w:ind w:left="370"/>
              <w:jc w:val="left"/>
              <w:rPr>
                <w:sz w:val="21"/>
              </w:rPr>
            </w:pPr>
            <w:r>
              <w:rPr>
                <w:spacing w:val="-2"/>
                <w:sz w:val="21"/>
              </w:rPr>
              <w:t>Closed</w:t>
            </w:r>
          </w:p>
        </w:tc>
        <w:tc>
          <w:tcPr>
            <w:tcW w:w="5163" w:type="dxa"/>
          </w:tcPr>
          <w:p w:rsidR="003F5784" w14:paraId="0A2417FA" w14:textId="77777777">
            <w:pPr>
              <w:pStyle w:val="TableParagraph"/>
              <w:ind w:right="778"/>
              <w:rPr>
                <w:sz w:val="21"/>
              </w:rPr>
            </w:pPr>
            <w:r>
              <w:rPr>
                <w:spacing w:val="-10"/>
                <w:sz w:val="21"/>
              </w:rPr>
              <w:t>3</w:t>
            </w:r>
          </w:p>
        </w:tc>
        <w:tc>
          <w:tcPr>
            <w:tcW w:w="2874" w:type="dxa"/>
          </w:tcPr>
          <w:p w:rsidR="003F5784" w14:paraId="25B88107" w14:textId="77777777">
            <w:pPr>
              <w:pStyle w:val="TableParagraph"/>
              <w:ind w:right="115"/>
              <w:rPr>
                <w:sz w:val="21"/>
              </w:rPr>
            </w:pPr>
            <w:r>
              <w:rPr>
                <w:spacing w:val="-4"/>
                <w:sz w:val="21"/>
              </w:rPr>
              <w:t>0.75</w:t>
            </w:r>
          </w:p>
        </w:tc>
      </w:tr>
      <w:tr w14:paraId="11F646DA" w14:textId="77777777">
        <w:tblPrEx>
          <w:tblW w:w="0" w:type="auto"/>
          <w:tblInd w:w="482" w:type="dxa"/>
          <w:tblLayout w:type="fixed"/>
          <w:tblCellMar>
            <w:left w:w="0" w:type="dxa"/>
            <w:right w:w="0" w:type="dxa"/>
          </w:tblCellMar>
          <w:tblLook w:val="01E0"/>
        </w:tblPrEx>
        <w:trPr>
          <w:trHeight w:val="286"/>
        </w:trPr>
        <w:tc>
          <w:tcPr>
            <w:tcW w:w="5945" w:type="dxa"/>
          </w:tcPr>
          <w:p w:rsidR="003F5784" w14:paraId="1024BDC8" w14:textId="77777777">
            <w:pPr>
              <w:pStyle w:val="TableParagraph"/>
              <w:ind w:left="370"/>
              <w:jc w:val="left"/>
              <w:rPr>
                <w:sz w:val="21"/>
              </w:rPr>
            </w:pPr>
            <w:r>
              <w:rPr>
                <w:sz w:val="21"/>
              </w:rPr>
              <w:t>Not</w:t>
            </w:r>
            <w:r>
              <w:rPr>
                <w:spacing w:val="-5"/>
                <w:sz w:val="21"/>
              </w:rPr>
              <w:t xml:space="preserve"> </w:t>
            </w:r>
            <w:r>
              <w:rPr>
                <w:sz w:val="21"/>
              </w:rPr>
              <w:t>a</w:t>
            </w:r>
            <w:r>
              <w:rPr>
                <w:spacing w:val="-4"/>
                <w:sz w:val="21"/>
              </w:rPr>
              <w:t xml:space="preserve"> </w:t>
            </w:r>
            <w:r>
              <w:rPr>
                <w:sz w:val="21"/>
              </w:rPr>
              <w:t>regular</w:t>
            </w:r>
            <w:r>
              <w:rPr>
                <w:spacing w:val="-5"/>
                <w:sz w:val="21"/>
              </w:rPr>
              <w:t xml:space="preserve"> </w:t>
            </w:r>
            <w:r>
              <w:rPr>
                <w:spacing w:val="-2"/>
                <w:sz w:val="21"/>
              </w:rPr>
              <w:t>school</w:t>
            </w:r>
          </w:p>
        </w:tc>
        <w:tc>
          <w:tcPr>
            <w:tcW w:w="5163" w:type="dxa"/>
          </w:tcPr>
          <w:p w:rsidR="003F5784" w14:paraId="6C915A86" w14:textId="77777777">
            <w:pPr>
              <w:pStyle w:val="TableParagraph"/>
              <w:ind w:right="778"/>
              <w:rPr>
                <w:sz w:val="21"/>
              </w:rPr>
            </w:pPr>
            <w:r>
              <w:rPr>
                <w:spacing w:val="-10"/>
                <w:sz w:val="21"/>
              </w:rPr>
              <w:t>6</w:t>
            </w:r>
          </w:p>
        </w:tc>
        <w:tc>
          <w:tcPr>
            <w:tcW w:w="2874" w:type="dxa"/>
          </w:tcPr>
          <w:p w:rsidR="003F5784" w14:paraId="1F4AC1B7" w14:textId="77777777">
            <w:pPr>
              <w:pStyle w:val="TableParagraph"/>
              <w:ind w:right="115"/>
              <w:rPr>
                <w:sz w:val="21"/>
              </w:rPr>
            </w:pPr>
            <w:r>
              <w:rPr>
                <w:spacing w:val="-4"/>
                <w:sz w:val="21"/>
              </w:rPr>
              <w:t>1.50</w:t>
            </w:r>
          </w:p>
        </w:tc>
      </w:tr>
      <w:tr w14:paraId="58F1B26C" w14:textId="77777777">
        <w:tblPrEx>
          <w:tblW w:w="0" w:type="auto"/>
          <w:tblInd w:w="482" w:type="dxa"/>
          <w:tblLayout w:type="fixed"/>
          <w:tblCellMar>
            <w:left w:w="0" w:type="dxa"/>
            <w:right w:w="0" w:type="dxa"/>
          </w:tblCellMar>
          <w:tblLook w:val="01E0"/>
        </w:tblPrEx>
        <w:trPr>
          <w:trHeight w:val="286"/>
        </w:trPr>
        <w:tc>
          <w:tcPr>
            <w:tcW w:w="5945" w:type="dxa"/>
          </w:tcPr>
          <w:p w:rsidR="003F5784" w14:paraId="3008C39B" w14:textId="77777777">
            <w:pPr>
              <w:pStyle w:val="TableParagraph"/>
              <w:ind w:left="370"/>
              <w:jc w:val="left"/>
              <w:rPr>
                <w:sz w:val="21"/>
              </w:rPr>
            </w:pPr>
            <w:r>
              <w:rPr>
                <w:sz w:val="21"/>
              </w:rPr>
              <w:t>Duplicate</w:t>
            </w:r>
            <w:r>
              <w:rPr>
                <w:spacing w:val="-7"/>
                <w:sz w:val="21"/>
              </w:rPr>
              <w:t xml:space="preserve"> </w:t>
            </w:r>
            <w:r>
              <w:rPr>
                <w:sz w:val="21"/>
              </w:rPr>
              <w:t>on</w:t>
            </w:r>
            <w:r>
              <w:rPr>
                <w:spacing w:val="-7"/>
                <w:sz w:val="21"/>
              </w:rPr>
              <w:t xml:space="preserve"> </w:t>
            </w:r>
            <w:r>
              <w:rPr>
                <w:sz w:val="21"/>
              </w:rPr>
              <w:t>sampling</w:t>
            </w:r>
            <w:r>
              <w:rPr>
                <w:spacing w:val="-7"/>
                <w:sz w:val="21"/>
              </w:rPr>
              <w:t xml:space="preserve"> </w:t>
            </w:r>
            <w:r>
              <w:rPr>
                <w:spacing w:val="-4"/>
                <w:sz w:val="21"/>
              </w:rPr>
              <w:t>frame</w:t>
            </w:r>
          </w:p>
        </w:tc>
        <w:tc>
          <w:tcPr>
            <w:tcW w:w="5163" w:type="dxa"/>
          </w:tcPr>
          <w:p w:rsidR="003F5784" w14:paraId="5B44E3CE" w14:textId="77777777">
            <w:pPr>
              <w:pStyle w:val="TableParagraph"/>
              <w:ind w:right="778"/>
              <w:rPr>
                <w:sz w:val="21"/>
              </w:rPr>
            </w:pPr>
            <w:r>
              <w:rPr>
                <w:spacing w:val="-10"/>
                <w:sz w:val="21"/>
              </w:rPr>
              <w:t>0</w:t>
            </w:r>
          </w:p>
        </w:tc>
        <w:tc>
          <w:tcPr>
            <w:tcW w:w="2874" w:type="dxa"/>
          </w:tcPr>
          <w:p w:rsidR="003F5784" w14:paraId="7CE42F26" w14:textId="77777777">
            <w:pPr>
              <w:pStyle w:val="TableParagraph"/>
              <w:ind w:right="115"/>
              <w:rPr>
                <w:sz w:val="21"/>
              </w:rPr>
            </w:pPr>
            <w:r>
              <w:rPr>
                <w:spacing w:val="-4"/>
                <w:sz w:val="21"/>
              </w:rPr>
              <w:t>0.00</w:t>
            </w:r>
          </w:p>
        </w:tc>
      </w:tr>
      <w:tr w14:paraId="6CB5A005" w14:textId="77777777">
        <w:tblPrEx>
          <w:tblW w:w="0" w:type="auto"/>
          <w:tblInd w:w="482" w:type="dxa"/>
          <w:tblLayout w:type="fixed"/>
          <w:tblCellMar>
            <w:left w:w="0" w:type="dxa"/>
            <w:right w:w="0" w:type="dxa"/>
          </w:tblCellMar>
          <w:tblLook w:val="01E0"/>
        </w:tblPrEx>
        <w:trPr>
          <w:trHeight w:val="288"/>
        </w:trPr>
        <w:tc>
          <w:tcPr>
            <w:tcW w:w="5945" w:type="dxa"/>
            <w:tcBorders>
              <w:bottom w:val="single" w:sz="18" w:space="0" w:color="800000"/>
            </w:tcBorders>
          </w:tcPr>
          <w:p w:rsidR="003F5784" w14:paraId="4B56CF8C" w14:textId="77777777">
            <w:pPr>
              <w:pStyle w:val="TableParagraph"/>
              <w:ind w:left="370"/>
              <w:jc w:val="left"/>
              <w:rPr>
                <w:sz w:val="21"/>
              </w:rPr>
            </w:pPr>
            <w:r>
              <w:rPr>
                <w:sz w:val="21"/>
              </w:rPr>
              <w:t>Other</w:t>
            </w:r>
            <w:r>
              <w:rPr>
                <w:spacing w:val="-6"/>
                <w:sz w:val="21"/>
              </w:rPr>
              <w:t xml:space="preserve"> </w:t>
            </w:r>
            <w:r>
              <w:rPr>
                <w:spacing w:val="-2"/>
                <w:sz w:val="21"/>
              </w:rPr>
              <w:t>ineligible</w:t>
            </w:r>
          </w:p>
        </w:tc>
        <w:tc>
          <w:tcPr>
            <w:tcW w:w="5163" w:type="dxa"/>
            <w:tcBorders>
              <w:bottom w:val="single" w:sz="18" w:space="0" w:color="800000"/>
            </w:tcBorders>
          </w:tcPr>
          <w:p w:rsidR="003F5784" w14:paraId="5C65006E" w14:textId="77777777">
            <w:pPr>
              <w:pStyle w:val="TableParagraph"/>
              <w:ind w:right="778"/>
              <w:rPr>
                <w:sz w:val="21"/>
              </w:rPr>
            </w:pPr>
            <w:r>
              <w:rPr>
                <w:spacing w:val="-10"/>
                <w:sz w:val="21"/>
              </w:rPr>
              <w:t>0</w:t>
            </w:r>
          </w:p>
        </w:tc>
        <w:tc>
          <w:tcPr>
            <w:tcW w:w="2874" w:type="dxa"/>
            <w:tcBorders>
              <w:bottom w:val="single" w:sz="18" w:space="0" w:color="800000"/>
            </w:tcBorders>
          </w:tcPr>
          <w:p w:rsidR="003F5784" w14:paraId="29CE5C3F" w14:textId="77777777">
            <w:pPr>
              <w:pStyle w:val="TableParagraph"/>
              <w:ind w:right="115"/>
              <w:rPr>
                <w:sz w:val="21"/>
              </w:rPr>
            </w:pPr>
            <w:r>
              <w:rPr>
                <w:spacing w:val="-4"/>
                <w:sz w:val="21"/>
              </w:rPr>
              <w:t>0.00</w:t>
            </w:r>
          </w:p>
        </w:tc>
      </w:tr>
      <w:tr w14:paraId="49D7021E" w14:textId="77777777">
        <w:tblPrEx>
          <w:tblW w:w="0" w:type="auto"/>
          <w:tblInd w:w="482" w:type="dxa"/>
          <w:tblLayout w:type="fixed"/>
          <w:tblCellMar>
            <w:left w:w="0" w:type="dxa"/>
            <w:right w:w="0" w:type="dxa"/>
          </w:tblCellMar>
          <w:tblLook w:val="01E0"/>
        </w:tblPrEx>
        <w:trPr>
          <w:trHeight w:val="472"/>
        </w:trPr>
        <w:tc>
          <w:tcPr>
            <w:tcW w:w="13982" w:type="dxa"/>
            <w:gridSpan w:val="3"/>
            <w:tcBorders>
              <w:top w:val="single" w:sz="18" w:space="0" w:color="800000"/>
            </w:tcBorders>
          </w:tcPr>
          <w:p w:rsidR="003F5784" w14:paraId="0EC8D66E" w14:textId="77777777">
            <w:pPr>
              <w:pStyle w:val="TableParagraph"/>
              <w:spacing w:before="0" w:line="234" w:lineRule="exact"/>
              <w:ind w:left="120"/>
              <w:jc w:val="left"/>
              <w:rPr>
                <w:sz w:val="21"/>
              </w:rPr>
            </w:pPr>
            <w:r>
              <w:rPr>
                <w:sz w:val="21"/>
              </w:rPr>
              <w:t>NOTE:</w:t>
            </w:r>
            <w:r>
              <w:rPr>
                <w:spacing w:val="-6"/>
                <w:sz w:val="21"/>
              </w:rPr>
              <w:t xml:space="preserve"> </w:t>
            </w:r>
            <w:r>
              <w:rPr>
                <w:sz w:val="21"/>
              </w:rPr>
              <w:t>Numbers</w:t>
            </w:r>
            <w:r>
              <w:rPr>
                <w:spacing w:val="-6"/>
                <w:sz w:val="21"/>
              </w:rPr>
              <w:t xml:space="preserve"> </w:t>
            </w:r>
            <w:r>
              <w:rPr>
                <w:sz w:val="21"/>
              </w:rPr>
              <w:t>of</w:t>
            </w:r>
            <w:r>
              <w:rPr>
                <w:spacing w:val="-6"/>
                <w:sz w:val="21"/>
              </w:rPr>
              <w:t xml:space="preserve"> </w:t>
            </w:r>
            <w:r>
              <w:rPr>
                <w:sz w:val="21"/>
              </w:rPr>
              <w:t>schools</w:t>
            </w:r>
            <w:r>
              <w:rPr>
                <w:spacing w:val="-6"/>
                <w:sz w:val="21"/>
              </w:rPr>
              <w:t xml:space="preserve"> </w:t>
            </w:r>
            <w:r>
              <w:rPr>
                <w:sz w:val="21"/>
              </w:rPr>
              <w:t>are</w:t>
            </w:r>
            <w:r>
              <w:rPr>
                <w:spacing w:val="-6"/>
                <w:sz w:val="21"/>
              </w:rPr>
              <w:t xml:space="preserve"> </w:t>
            </w:r>
            <w:r>
              <w:rPr>
                <w:sz w:val="21"/>
              </w:rPr>
              <w:t>rounded</w:t>
            </w:r>
            <w:r>
              <w:rPr>
                <w:spacing w:val="-6"/>
                <w:sz w:val="21"/>
              </w:rPr>
              <w:t xml:space="preserve"> </w:t>
            </w:r>
            <w:r>
              <w:rPr>
                <w:sz w:val="21"/>
              </w:rPr>
              <w:t>to</w:t>
            </w:r>
            <w:r>
              <w:rPr>
                <w:spacing w:val="-6"/>
                <w:sz w:val="21"/>
              </w:rPr>
              <w:t xml:space="preserve"> </w:t>
            </w:r>
            <w:r>
              <w:rPr>
                <w:sz w:val="21"/>
              </w:rPr>
              <w:t>nearest</w:t>
            </w:r>
            <w:r>
              <w:rPr>
                <w:spacing w:val="-6"/>
                <w:sz w:val="21"/>
              </w:rPr>
              <w:t xml:space="preserve"> </w:t>
            </w:r>
            <w:r>
              <w:rPr>
                <w:sz w:val="21"/>
              </w:rPr>
              <w:t>ten,</w:t>
            </w:r>
            <w:r>
              <w:rPr>
                <w:spacing w:val="-6"/>
                <w:sz w:val="21"/>
              </w:rPr>
              <w:t xml:space="preserve"> </w:t>
            </w:r>
            <w:r>
              <w:rPr>
                <w:sz w:val="21"/>
              </w:rPr>
              <w:t>except</w:t>
            </w:r>
            <w:r>
              <w:rPr>
                <w:spacing w:val="-6"/>
                <w:sz w:val="21"/>
              </w:rPr>
              <w:t xml:space="preserve"> </w:t>
            </w:r>
            <w:r>
              <w:rPr>
                <w:sz w:val="21"/>
              </w:rPr>
              <w:t>those</w:t>
            </w:r>
            <w:r>
              <w:rPr>
                <w:spacing w:val="-6"/>
                <w:sz w:val="21"/>
              </w:rPr>
              <w:t xml:space="preserve"> </w:t>
            </w:r>
            <w:r>
              <w:rPr>
                <w:sz w:val="21"/>
              </w:rPr>
              <w:t>pertaining</w:t>
            </w:r>
            <w:r>
              <w:rPr>
                <w:spacing w:val="-6"/>
                <w:sz w:val="21"/>
              </w:rPr>
              <w:t xml:space="preserve"> </w:t>
            </w:r>
            <w:r>
              <w:rPr>
                <w:sz w:val="21"/>
              </w:rPr>
              <w:t>to</w:t>
            </w:r>
            <w:r>
              <w:rPr>
                <w:spacing w:val="-6"/>
                <w:sz w:val="21"/>
              </w:rPr>
              <w:t xml:space="preserve"> </w:t>
            </w:r>
            <w:r>
              <w:rPr>
                <w:sz w:val="21"/>
              </w:rPr>
              <w:t>ineligible</w:t>
            </w:r>
            <w:r>
              <w:rPr>
                <w:spacing w:val="-6"/>
                <w:sz w:val="21"/>
              </w:rPr>
              <w:t xml:space="preserve"> </w:t>
            </w:r>
            <w:r>
              <w:rPr>
                <w:sz w:val="21"/>
              </w:rPr>
              <w:t>schools.</w:t>
            </w:r>
            <w:r>
              <w:rPr>
                <w:spacing w:val="-6"/>
                <w:sz w:val="21"/>
              </w:rPr>
              <w:t xml:space="preserve"> </w:t>
            </w:r>
            <w:r>
              <w:rPr>
                <w:sz w:val="21"/>
              </w:rPr>
              <w:t>Detail</w:t>
            </w:r>
            <w:r>
              <w:rPr>
                <w:spacing w:val="-6"/>
                <w:sz w:val="21"/>
              </w:rPr>
              <w:t xml:space="preserve"> </w:t>
            </w:r>
            <w:r>
              <w:rPr>
                <w:sz w:val="21"/>
              </w:rPr>
              <w:t>may</w:t>
            </w:r>
            <w:r>
              <w:rPr>
                <w:spacing w:val="-6"/>
                <w:sz w:val="21"/>
              </w:rPr>
              <w:t xml:space="preserve"> </w:t>
            </w:r>
            <w:r>
              <w:rPr>
                <w:sz w:val="21"/>
              </w:rPr>
              <w:t>not</w:t>
            </w:r>
            <w:r>
              <w:rPr>
                <w:spacing w:val="-6"/>
                <w:sz w:val="21"/>
              </w:rPr>
              <w:t xml:space="preserve"> </w:t>
            </w:r>
            <w:r>
              <w:rPr>
                <w:sz w:val="21"/>
              </w:rPr>
              <w:t>sum</w:t>
            </w:r>
            <w:r>
              <w:rPr>
                <w:spacing w:val="-6"/>
                <w:sz w:val="21"/>
              </w:rPr>
              <w:t xml:space="preserve"> </w:t>
            </w:r>
            <w:r>
              <w:rPr>
                <w:sz w:val="21"/>
              </w:rPr>
              <w:t>to</w:t>
            </w:r>
            <w:r>
              <w:rPr>
                <w:spacing w:val="-6"/>
                <w:sz w:val="21"/>
              </w:rPr>
              <w:t xml:space="preserve"> </w:t>
            </w:r>
            <w:r>
              <w:rPr>
                <w:sz w:val="21"/>
              </w:rPr>
              <w:t>total</w:t>
            </w:r>
            <w:r>
              <w:rPr>
                <w:spacing w:val="-6"/>
                <w:sz w:val="21"/>
              </w:rPr>
              <w:t xml:space="preserve"> </w:t>
            </w:r>
            <w:r>
              <w:rPr>
                <w:sz w:val="21"/>
              </w:rPr>
              <w:t>due</w:t>
            </w:r>
            <w:r>
              <w:rPr>
                <w:spacing w:val="-6"/>
                <w:sz w:val="21"/>
              </w:rPr>
              <w:t xml:space="preserve"> </w:t>
            </w:r>
            <w:r>
              <w:rPr>
                <w:sz w:val="21"/>
              </w:rPr>
              <w:t>to</w:t>
            </w:r>
            <w:r>
              <w:rPr>
                <w:spacing w:val="-6"/>
                <w:sz w:val="21"/>
              </w:rPr>
              <w:t xml:space="preserve"> </w:t>
            </w:r>
            <w:r>
              <w:rPr>
                <w:sz w:val="21"/>
              </w:rPr>
              <w:t>rounding.</w:t>
            </w:r>
            <w:r>
              <w:rPr>
                <w:spacing w:val="-6"/>
                <w:sz w:val="21"/>
              </w:rPr>
              <w:t xml:space="preserve"> </w:t>
            </w:r>
            <w:r>
              <w:rPr>
                <w:sz w:val="21"/>
              </w:rPr>
              <w:t>Percentages</w:t>
            </w:r>
            <w:r>
              <w:rPr>
                <w:spacing w:val="-6"/>
                <w:sz w:val="21"/>
              </w:rPr>
              <w:t xml:space="preserve"> </w:t>
            </w:r>
            <w:r>
              <w:rPr>
                <w:sz w:val="21"/>
              </w:rPr>
              <w:t>are based on unrounded counts.</w:t>
            </w:r>
          </w:p>
        </w:tc>
      </w:tr>
    </w:tbl>
    <w:p w:rsidR="003F5784" w14:paraId="58790FAA" w14:textId="77777777">
      <w:pPr>
        <w:pStyle w:val="BodyText"/>
        <w:spacing w:before="4"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National Civics and U.S. History Assessments.</w:t>
      </w:r>
    </w:p>
    <w:p w:rsidR="003F5784" w14:paraId="375AD3A3" w14:textId="77777777">
      <w:pPr>
        <w:pStyle w:val="BodyText"/>
      </w:pPr>
    </w:p>
    <w:p w:rsidR="003F5784" w14:paraId="3275D6C1" w14:textId="77777777">
      <w:pPr>
        <w:pStyle w:val="BodyText"/>
      </w:pPr>
    </w:p>
    <w:p w:rsidR="003F5784" w14:paraId="6DBC68FA" w14:textId="77777777">
      <w:pPr>
        <w:pStyle w:val="BodyText"/>
        <w:spacing w:before="197"/>
      </w:pPr>
    </w:p>
    <w:p w:rsidR="003F5784" w14:paraId="701427DE" w14:textId="77777777">
      <w:pPr>
        <w:ind w:left="913"/>
        <w:rPr>
          <w:sz w:val="18"/>
        </w:rPr>
      </w:pPr>
      <w:hyperlink r:id="rId42">
        <w:r>
          <w:rPr>
            <w:spacing w:val="-2"/>
            <w:w w:val="105"/>
            <w:sz w:val="18"/>
          </w:rPr>
          <w:t>http://nces.ed.gov/nationsreportcard/tdw/sample_design/2022/eligibility_status_of_schools_sampled_for_the_2022_eighth_grade_public_school_nat_assess_in_civics_and_us_hist.aspx</w:t>
        </w:r>
      </w:hyperlink>
    </w:p>
    <w:p w:rsidR="003F5784" w14:paraId="504A62F6" w14:textId="77777777">
      <w:pPr>
        <w:pStyle w:val="BodyText"/>
        <w:spacing w:before="1"/>
        <w:rPr>
          <w:sz w:val="16"/>
        </w:rPr>
      </w:pPr>
      <w:r>
        <w:rPr>
          <w:noProof/>
        </w:rPr>
        <mc:AlternateContent>
          <mc:Choice Requires="wps">
            <w:drawing>
              <wp:anchor distT="0" distB="0" distL="0" distR="0" simplePos="0" relativeHeight="251759616" behindDoc="1" locked="0" layoutInCell="1" allowOverlap="1">
                <wp:simplePos x="0" y="0"/>
                <wp:positionH relativeFrom="page">
                  <wp:posOffset>361937</wp:posOffset>
                </wp:positionH>
                <wp:positionV relativeFrom="paragraph">
                  <wp:posOffset>132910</wp:posOffset>
                </wp:positionV>
                <wp:extent cx="9339580" cy="8890"/>
                <wp:effectExtent l="0" t="0" r="0" b="0"/>
                <wp:wrapTopAndBottom/>
                <wp:docPr id="57" name="Graphic 57"/>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80"/>
                              </a:lnTo>
                              <a:lnTo>
                                <a:pt x="8280" y="8280"/>
                              </a:lnTo>
                              <a:lnTo>
                                <a:pt x="9335110" y="8280"/>
                              </a:lnTo>
                              <a:lnTo>
                                <a:pt x="9338970" y="8280"/>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7" o:spid="_x0000_s1049" style="width:735.4pt;height:0.7pt;margin-top:10.45pt;margin-left:28.5pt;mso-position-horizontal-relative:page;mso-wrap-distance-bottom:0;mso-wrap-distance-left:0;mso-wrap-distance-right:0;mso-wrap-distance-top:0;mso-wrap-style:square;position:absolute;visibility:visible;v-text-anchor:top;z-index:-251555840" coordsize="9339580,8890" path="m9338970,12l9335110,12l8280,12,,,,8280l8280,8280l9335110,8280l9338970,8280l9338970,12xe" fillcolor="gray" stroked="f">
                <v:path arrowok="t"/>
                <w10:wrap type="topAndBottom"/>
              </v:shape>
            </w:pict>
          </mc:Fallback>
        </mc:AlternateContent>
      </w:r>
    </w:p>
    <w:p w:rsidR="003F5784" w14:paraId="50C3662F" w14:textId="77777777">
      <w:pPr>
        <w:pStyle w:val="BodyText"/>
        <w:rPr>
          <w:sz w:val="18"/>
        </w:rPr>
      </w:pPr>
    </w:p>
    <w:p w:rsidR="003F5784" w14:paraId="73340BB6" w14:textId="77777777">
      <w:pPr>
        <w:pStyle w:val="BodyText"/>
        <w:spacing w:before="193"/>
        <w:rPr>
          <w:sz w:val="18"/>
        </w:rPr>
      </w:pPr>
    </w:p>
    <w:p w:rsidR="003F5784" w14:paraId="2EB241E0" w14:textId="221F8571">
      <w:pPr>
        <w:pStyle w:val="Heading1"/>
        <w:spacing w:line="244" w:lineRule="auto"/>
        <w:ind w:right="588"/>
      </w:pPr>
      <w:r>
        <w:t>NAEP</w:t>
      </w:r>
      <w:r>
        <w:rPr>
          <w:spacing w:val="-20"/>
        </w:rPr>
        <w:t xml:space="preserve"> </w:t>
      </w:r>
      <w:r>
        <w:t>Technical Documentation</w:t>
      </w:r>
      <w:r w:rsidR="004833F9">
        <w:t xml:space="preserve"> </w:t>
      </w:r>
      <w:r>
        <w:t>Total and Eligible Sampled Schools for the 2022 Eighth-Grade</w:t>
      </w:r>
      <w:r>
        <w:rPr>
          <w:spacing w:val="40"/>
        </w:rPr>
        <w:t xml:space="preserve"> </w:t>
      </w:r>
      <w:r>
        <w:t>Public</w:t>
      </w:r>
      <w:r>
        <w:rPr>
          <w:spacing w:val="40"/>
        </w:rPr>
        <w:t xml:space="preserve"> </w:t>
      </w:r>
      <w:r>
        <w:t>School</w:t>
      </w:r>
      <w:r>
        <w:rPr>
          <w:spacing w:val="40"/>
        </w:rPr>
        <w:t xml:space="preserve"> </w:t>
      </w:r>
      <w:r>
        <w:t>National Assessment</w:t>
      </w:r>
      <w:r>
        <w:rPr>
          <w:spacing w:val="40"/>
        </w:rPr>
        <w:t xml:space="preserve"> </w:t>
      </w:r>
      <w:r>
        <w:t>in</w:t>
      </w:r>
      <w:r>
        <w:rPr>
          <w:spacing w:val="40"/>
        </w:rPr>
        <w:t xml:space="preserve"> </w:t>
      </w:r>
      <w:r>
        <w:t>Civics</w:t>
      </w:r>
      <w:r>
        <w:rPr>
          <w:spacing w:val="40"/>
        </w:rPr>
        <w:t xml:space="preserve"> </w:t>
      </w:r>
      <w:r>
        <w:t>and</w:t>
      </w:r>
      <w:r>
        <w:rPr>
          <w:spacing w:val="40"/>
        </w:rPr>
        <w:t xml:space="preserve"> </w:t>
      </w:r>
      <w:r>
        <w:t>U.S.</w:t>
      </w:r>
      <w:r>
        <w:rPr>
          <w:spacing w:val="40"/>
        </w:rPr>
        <w:t xml:space="preserve"> </w:t>
      </w:r>
      <w:r>
        <w:t>History</w:t>
      </w:r>
    </w:p>
    <w:p w:rsidR="003F5784" w14:paraId="0795F27D" w14:textId="77777777">
      <w:pPr>
        <w:pStyle w:val="BodyText"/>
        <w:spacing w:before="287" w:line="232" w:lineRule="auto"/>
        <w:ind w:left="109"/>
      </w:pPr>
      <w:r>
        <w:t>The</w:t>
      </w:r>
      <w:r>
        <w:rPr>
          <w:spacing w:val="-6"/>
        </w:rPr>
        <w:t xml:space="preserve"> </w:t>
      </w:r>
      <w:r>
        <w:t>following</w:t>
      </w:r>
      <w:r>
        <w:rPr>
          <w:spacing w:val="-6"/>
        </w:rPr>
        <w:t xml:space="preserve"> </w:t>
      </w:r>
      <w:r>
        <w:t>table</w:t>
      </w:r>
      <w:r>
        <w:rPr>
          <w:spacing w:val="-6"/>
        </w:rPr>
        <w:t xml:space="preserve"> </w:t>
      </w:r>
      <w:r>
        <w:t>presents</w:t>
      </w:r>
      <w:r>
        <w:rPr>
          <w:spacing w:val="-6"/>
        </w:rPr>
        <w:t xml:space="preserve"> </w:t>
      </w:r>
      <w:r>
        <w:t>unweighted</w:t>
      </w:r>
      <w:r>
        <w:rPr>
          <w:spacing w:val="-6"/>
        </w:rPr>
        <w:t xml:space="preserve"> </w:t>
      </w:r>
      <w:r>
        <w:t>counts</w:t>
      </w:r>
      <w:r>
        <w:rPr>
          <w:spacing w:val="-6"/>
        </w:rPr>
        <w:t xml:space="preserve"> </w:t>
      </w:r>
      <w:r>
        <w:t>and</w:t>
      </w:r>
      <w:r>
        <w:rPr>
          <w:spacing w:val="-6"/>
        </w:rPr>
        <w:t xml:space="preserve"> </w:t>
      </w:r>
      <w:r>
        <w:t>percentages</w:t>
      </w:r>
      <w:r>
        <w:rPr>
          <w:spacing w:val="-6"/>
        </w:rPr>
        <w:t xml:space="preserve"> </w:t>
      </w:r>
      <w:r>
        <w:t>of</w:t>
      </w:r>
      <w:r>
        <w:rPr>
          <w:spacing w:val="-6"/>
        </w:rPr>
        <w:t xml:space="preserve"> </w:t>
      </w:r>
      <w:r>
        <w:t>ineligible</w:t>
      </w:r>
      <w:r>
        <w:rPr>
          <w:spacing w:val="-6"/>
        </w:rPr>
        <w:t xml:space="preserve"> </w:t>
      </w:r>
      <w:r>
        <w:t>and</w:t>
      </w:r>
      <w:r>
        <w:rPr>
          <w:spacing w:val="-6"/>
        </w:rPr>
        <w:t xml:space="preserve"> </w:t>
      </w:r>
      <w:r>
        <w:t>eligible</w:t>
      </w:r>
      <w:r>
        <w:rPr>
          <w:spacing w:val="-6"/>
        </w:rPr>
        <w:t xml:space="preserve"> </w:t>
      </w:r>
      <w:r>
        <w:t>schools</w:t>
      </w:r>
      <w:r>
        <w:rPr>
          <w:spacing w:val="-6"/>
        </w:rPr>
        <w:t xml:space="preserve"> </w:t>
      </w:r>
      <w:r>
        <w:t>by</w:t>
      </w:r>
      <w:r>
        <w:rPr>
          <w:spacing w:val="-6"/>
        </w:rPr>
        <w:t xml:space="preserve"> </w:t>
      </w:r>
      <w:r>
        <w:t>census</w:t>
      </w:r>
      <w:r>
        <w:rPr>
          <w:spacing w:val="-6"/>
        </w:rPr>
        <w:t xml:space="preserve"> </w:t>
      </w:r>
      <w:r>
        <w:t>region</w:t>
      </w:r>
      <w:r>
        <w:rPr>
          <w:spacing w:val="-6"/>
        </w:rPr>
        <w:t xml:space="preserve"> </w:t>
      </w:r>
      <w:r>
        <w:t>in</w:t>
      </w:r>
      <w:r>
        <w:rPr>
          <w:spacing w:val="-6"/>
        </w:rPr>
        <w:t xml:space="preserve"> </w:t>
      </w:r>
      <w:r>
        <w:t>the</w:t>
      </w:r>
      <w:r>
        <w:rPr>
          <w:spacing w:val="-6"/>
        </w:rPr>
        <w:t xml:space="preserve"> </w:t>
      </w:r>
      <w:r>
        <w:t>eighth-grade</w:t>
      </w:r>
      <w:r>
        <w:rPr>
          <w:spacing w:val="-6"/>
        </w:rPr>
        <w:t xml:space="preserve"> </w:t>
      </w:r>
      <w:r>
        <w:t>public</w:t>
      </w:r>
      <w:r>
        <w:rPr>
          <w:spacing w:val="-6"/>
        </w:rPr>
        <w:t xml:space="preserve"> </w:t>
      </w:r>
      <w:r>
        <w:t>school</w:t>
      </w:r>
      <w:r>
        <w:rPr>
          <w:spacing w:val="-6"/>
        </w:rPr>
        <w:t xml:space="preserve"> </w:t>
      </w:r>
      <w:r>
        <w:t>sample</w:t>
      </w:r>
      <w:r>
        <w:rPr>
          <w:spacing w:val="-6"/>
        </w:rPr>
        <w:t xml:space="preserve"> </w:t>
      </w:r>
      <w:r>
        <w:t>for</w:t>
      </w:r>
      <w:r>
        <w:rPr>
          <w:spacing w:val="-6"/>
        </w:rPr>
        <w:t xml:space="preserve"> </w:t>
      </w:r>
      <w:r>
        <w:t>the</w:t>
      </w:r>
      <w:r>
        <w:rPr>
          <w:spacing w:val="-6"/>
        </w:rPr>
        <w:t xml:space="preserve"> </w:t>
      </w:r>
      <w:r>
        <w:t>national assessments in civics and U.S. history.</w:t>
      </w:r>
    </w:p>
    <w:p w:rsidR="003F5784" w14:paraId="1E845D29" w14:textId="77777777">
      <w:pPr>
        <w:pStyle w:val="BodyText"/>
        <w:spacing w:before="92"/>
      </w:pPr>
    </w:p>
    <w:p w:rsidR="003F5784" w14:paraId="56F6A6C4" w14:textId="77777777">
      <w:pPr>
        <w:pStyle w:val="Heading2"/>
      </w:pPr>
      <w:r>
        <w:t>Eligibility</w:t>
      </w:r>
      <w:r>
        <w:rPr>
          <w:spacing w:val="-8"/>
        </w:rPr>
        <w:t xml:space="preserve"> </w:t>
      </w:r>
      <w:r>
        <w:t>status</w:t>
      </w:r>
      <w:r>
        <w:rPr>
          <w:spacing w:val="-8"/>
        </w:rPr>
        <w:t xml:space="preserve"> </w:t>
      </w:r>
      <w:r>
        <w:t>of</w:t>
      </w:r>
      <w:r>
        <w:rPr>
          <w:spacing w:val="-8"/>
        </w:rPr>
        <w:t xml:space="preserve"> </w:t>
      </w:r>
      <w:r>
        <w:t>sampled</w:t>
      </w:r>
      <w:r>
        <w:rPr>
          <w:spacing w:val="-8"/>
        </w:rPr>
        <w:t xml:space="preserve"> </w:t>
      </w:r>
      <w:r>
        <w:t>public</w:t>
      </w:r>
      <w:r>
        <w:rPr>
          <w:spacing w:val="-8"/>
        </w:rPr>
        <w:t xml:space="preserve"> </w:t>
      </w:r>
      <w:r>
        <w:t>schools,</w:t>
      </w:r>
      <w:r>
        <w:rPr>
          <w:spacing w:val="-8"/>
        </w:rPr>
        <w:t xml:space="preserve"> </w:t>
      </w:r>
      <w:r>
        <w:t>eighth-grade</w:t>
      </w:r>
      <w:r>
        <w:rPr>
          <w:spacing w:val="-8"/>
        </w:rPr>
        <w:t xml:space="preserve"> </w:t>
      </w:r>
      <w:r>
        <w:t>national</w:t>
      </w:r>
      <w:r>
        <w:rPr>
          <w:spacing w:val="-8"/>
        </w:rPr>
        <w:t xml:space="preserve"> </w:t>
      </w:r>
      <w:r>
        <w:t>assessment,</w:t>
      </w:r>
      <w:r>
        <w:rPr>
          <w:spacing w:val="-8"/>
        </w:rPr>
        <w:t xml:space="preserve"> </w:t>
      </w:r>
      <w:r>
        <w:t>by</w:t>
      </w:r>
      <w:r>
        <w:rPr>
          <w:spacing w:val="-8"/>
        </w:rPr>
        <w:t xml:space="preserve"> </w:t>
      </w:r>
      <w:r>
        <w:t>census</w:t>
      </w:r>
      <w:r>
        <w:rPr>
          <w:spacing w:val="-8"/>
        </w:rPr>
        <w:t xml:space="preserve"> </w:t>
      </w:r>
      <w:r>
        <w:t>region:</w:t>
      </w:r>
      <w:r>
        <w:rPr>
          <w:spacing w:val="-8"/>
        </w:rPr>
        <w:t xml:space="preserve"> </w:t>
      </w:r>
      <w:r>
        <w:rPr>
          <w:spacing w:val="-4"/>
        </w:rPr>
        <w:t>2022</w:t>
      </w:r>
    </w:p>
    <w:p w:rsidR="003F5784" w14:paraId="4F6881DF" w14:textId="77777777">
      <w:pPr>
        <w:pStyle w:val="BodyText"/>
        <w:spacing w:before="10" w:after="1"/>
        <w:rPr>
          <w:b/>
          <w:sz w:val="11"/>
        </w:rPr>
      </w:pPr>
    </w:p>
    <w:tbl>
      <w:tblPr>
        <w:tblW w:w="0" w:type="auto"/>
        <w:tblInd w:w="482" w:type="dxa"/>
        <w:tblLayout w:type="fixed"/>
        <w:tblCellMar>
          <w:left w:w="0" w:type="dxa"/>
          <w:right w:w="0" w:type="dxa"/>
        </w:tblCellMar>
        <w:tblLook w:val="01E0"/>
      </w:tblPr>
      <w:tblGrid>
        <w:gridCol w:w="2150"/>
        <w:gridCol w:w="4030"/>
        <w:gridCol w:w="4530"/>
        <w:gridCol w:w="3275"/>
      </w:tblGrid>
      <w:tr w14:paraId="353705CB" w14:textId="77777777">
        <w:tblPrEx>
          <w:tblW w:w="0" w:type="auto"/>
          <w:tblInd w:w="482" w:type="dxa"/>
          <w:tblLayout w:type="fixed"/>
          <w:tblCellMar>
            <w:left w:w="0" w:type="dxa"/>
            <w:right w:w="0" w:type="dxa"/>
          </w:tblCellMar>
          <w:tblLook w:val="01E0"/>
        </w:tblPrEx>
        <w:trPr>
          <w:trHeight w:val="267"/>
        </w:trPr>
        <w:tc>
          <w:tcPr>
            <w:tcW w:w="2150" w:type="dxa"/>
            <w:tcBorders>
              <w:top w:val="single" w:sz="18" w:space="0" w:color="800000"/>
              <w:bottom w:val="single" w:sz="18" w:space="0" w:color="800000"/>
            </w:tcBorders>
          </w:tcPr>
          <w:p w:rsidR="003F5784" w14:paraId="774B2B97" w14:textId="77777777">
            <w:pPr>
              <w:pStyle w:val="TableParagraph"/>
              <w:spacing w:before="9" w:line="238" w:lineRule="exact"/>
              <w:ind w:left="120"/>
              <w:jc w:val="left"/>
              <w:rPr>
                <w:sz w:val="21"/>
              </w:rPr>
            </w:pPr>
            <w:r>
              <w:rPr>
                <w:sz w:val="21"/>
              </w:rPr>
              <w:t>Census</w:t>
            </w:r>
            <w:r>
              <w:rPr>
                <w:spacing w:val="-8"/>
                <w:sz w:val="21"/>
              </w:rPr>
              <w:t xml:space="preserve"> </w:t>
            </w:r>
            <w:r>
              <w:rPr>
                <w:spacing w:val="-2"/>
                <w:sz w:val="21"/>
              </w:rPr>
              <w:t>region</w:t>
            </w:r>
          </w:p>
        </w:tc>
        <w:tc>
          <w:tcPr>
            <w:tcW w:w="4030" w:type="dxa"/>
            <w:tcBorders>
              <w:top w:val="single" w:sz="18" w:space="0" w:color="800000"/>
              <w:bottom w:val="single" w:sz="18" w:space="0" w:color="800000"/>
            </w:tcBorders>
          </w:tcPr>
          <w:p w:rsidR="003F5784" w14:paraId="19D4290F" w14:textId="77777777">
            <w:pPr>
              <w:pStyle w:val="TableParagraph"/>
              <w:spacing w:before="9" w:line="238" w:lineRule="exact"/>
              <w:ind w:left="843"/>
              <w:jc w:val="left"/>
              <w:rPr>
                <w:sz w:val="21"/>
              </w:rPr>
            </w:pPr>
            <w:r>
              <w:rPr>
                <w:sz w:val="21"/>
              </w:rPr>
              <w:t>Eligibility</w:t>
            </w:r>
            <w:r>
              <w:rPr>
                <w:spacing w:val="-10"/>
                <w:sz w:val="21"/>
              </w:rPr>
              <w:t xml:space="preserve"> </w:t>
            </w:r>
            <w:r>
              <w:rPr>
                <w:spacing w:val="-2"/>
                <w:sz w:val="21"/>
              </w:rPr>
              <w:t>status</w:t>
            </w:r>
          </w:p>
        </w:tc>
        <w:tc>
          <w:tcPr>
            <w:tcW w:w="4530" w:type="dxa"/>
            <w:tcBorders>
              <w:top w:val="single" w:sz="18" w:space="0" w:color="800000"/>
              <w:bottom w:val="single" w:sz="18" w:space="0" w:color="800000"/>
            </w:tcBorders>
          </w:tcPr>
          <w:p w:rsidR="003F5784" w14:paraId="7B37D8D2" w14:textId="77777777">
            <w:pPr>
              <w:pStyle w:val="TableParagraph"/>
              <w:spacing w:before="9" w:line="238" w:lineRule="exact"/>
              <w:ind w:right="1178"/>
              <w:rPr>
                <w:sz w:val="21"/>
              </w:rPr>
            </w:pPr>
            <w:r>
              <w:rPr>
                <w:sz w:val="21"/>
              </w:rPr>
              <w:t>Unweighted</w:t>
            </w:r>
            <w:r>
              <w:rPr>
                <w:spacing w:val="-12"/>
                <w:sz w:val="21"/>
              </w:rPr>
              <w:t xml:space="preserve"> </w:t>
            </w:r>
            <w:r>
              <w:rPr>
                <w:spacing w:val="-2"/>
                <w:sz w:val="21"/>
              </w:rPr>
              <w:t>count</w:t>
            </w:r>
          </w:p>
        </w:tc>
        <w:tc>
          <w:tcPr>
            <w:tcW w:w="3275" w:type="dxa"/>
            <w:tcBorders>
              <w:top w:val="single" w:sz="18" w:space="0" w:color="800000"/>
              <w:bottom w:val="single" w:sz="18" w:space="0" w:color="800000"/>
            </w:tcBorders>
          </w:tcPr>
          <w:p w:rsidR="003F5784" w14:paraId="2885EF38" w14:textId="77777777">
            <w:pPr>
              <w:pStyle w:val="TableParagraph"/>
              <w:spacing w:before="9" w:line="238" w:lineRule="exact"/>
              <w:ind w:right="118"/>
              <w:rPr>
                <w:sz w:val="21"/>
              </w:rPr>
            </w:pPr>
            <w:r>
              <w:rPr>
                <w:sz w:val="21"/>
              </w:rPr>
              <w:t>Unweighted</w:t>
            </w:r>
            <w:r>
              <w:rPr>
                <w:spacing w:val="-12"/>
                <w:sz w:val="21"/>
              </w:rPr>
              <w:t xml:space="preserve"> </w:t>
            </w:r>
            <w:r>
              <w:rPr>
                <w:spacing w:val="-2"/>
                <w:sz w:val="21"/>
              </w:rPr>
              <w:t>percentage</w:t>
            </w:r>
          </w:p>
        </w:tc>
      </w:tr>
      <w:tr w14:paraId="322FA7BD" w14:textId="77777777">
        <w:tblPrEx>
          <w:tblW w:w="0" w:type="auto"/>
          <w:tblInd w:w="482" w:type="dxa"/>
          <w:tblLayout w:type="fixed"/>
          <w:tblCellMar>
            <w:left w:w="0" w:type="dxa"/>
            <w:right w:w="0" w:type="dxa"/>
          </w:tblCellMar>
          <w:tblLook w:val="01E0"/>
        </w:tblPrEx>
        <w:trPr>
          <w:trHeight w:val="280"/>
        </w:trPr>
        <w:tc>
          <w:tcPr>
            <w:tcW w:w="2150" w:type="dxa"/>
            <w:tcBorders>
              <w:top w:val="single" w:sz="18" w:space="0" w:color="800000"/>
              <w:bottom w:val="single" w:sz="18" w:space="0" w:color="800000"/>
            </w:tcBorders>
          </w:tcPr>
          <w:p w:rsidR="003F5784" w14:paraId="1AE61D68" w14:textId="77777777">
            <w:pPr>
              <w:pStyle w:val="TableParagraph"/>
              <w:spacing w:before="9"/>
              <w:ind w:left="120"/>
              <w:jc w:val="left"/>
              <w:rPr>
                <w:sz w:val="21"/>
              </w:rPr>
            </w:pPr>
            <w:r>
              <w:rPr>
                <w:spacing w:val="-2"/>
                <w:sz w:val="21"/>
              </w:rPr>
              <w:t>Total</w:t>
            </w:r>
          </w:p>
        </w:tc>
        <w:tc>
          <w:tcPr>
            <w:tcW w:w="4030" w:type="dxa"/>
            <w:tcBorders>
              <w:top w:val="single" w:sz="18" w:space="0" w:color="800000"/>
              <w:bottom w:val="single" w:sz="18" w:space="0" w:color="800000"/>
            </w:tcBorders>
          </w:tcPr>
          <w:p w:rsidR="003F5784" w14:paraId="0902DE66" w14:textId="77777777">
            <w:pPr>
              <w:pStyle w:val="TableParagraph"/>
              <w:spacing w:before="9"/>
              <w:ind w:left="1093"/>
              <w:jc w:val="left"/>
              <w:rPr>
                <w:b/>
                <w:sz w:val="21"/>
              </w:rPr>
            </w:pPr>
            <w:r>
              <w:rPr>
                <w:b/>
                <w:spacing w:val="-2"/>
                <w:sz w:val="21"/>
              </w:rPr>
              <w:t>Total</w:t>
            </w:r>
          </w:p>
        </w:tc>
        <w:tc>
          <w:tcPr>
            <w:tcW w:w="4530" w:type="dxa"/>
            <w:tcBorders>
              <w:top w:val="single" w:sz="18" w:space="0" w:color="800000"/>
              <w:bottom w:val="single" w:sz="18" w:space="0" w:color="800000"/>
            </w:tcBorders>
          </w:tcPr>
          <w:p w:rsidR="003F5784" w14:paraId="4E1AAAB2" w14:textId="77777777">
            <w:pPr>
              <w:pStyle w:val="TableParagraph"/>
              <w:spacing w:before="9"/>
              <w:ind w:right="1178"/>
              <w:rPr>
                <w:b/>
                <w:sz w:val="21"/>
              </w:rPr>
            </w:pPr>
            <w:r>
              <w:rPr>
                <w:b/>
                <w:spacing w:val="-5"/>
                <w:sz w:val="21"/>
              </w:rPr>
              <w:t>400</w:t>
            </w:r>
          </w:p>
        </w:tc>
        <w:tc>
          <w:tcPr>
            <w:tcW w:w="3275" w:type="dxa"/>
            <w:tcBorders>
              <w:top w:val="single" w:sz="18" w:space="0" w:color="800000"/>
              <w:bottom w:val="single" w:sz="18" w:space="0" w:color="800000"/>
            </w:tcBorders>
          </w:tcPr>
          <w:p w:rsidR="003F5784" w14:paraId="70135EFB" w14:textId="77777777">
            <w:pPr>
              <w:pStyle w:val="TableParagraph"/>
              <w:spacing w:before="9"/>
              <w:ind w:right="118"/>
              <w:rPr>
                <w:b/>
                <w:sz w:val="21"/>
              </w:rPr>
            </w:pPr>
            <w:r>
              <w:rPr>
                <w:b/>
                <w:spacing w:val="-2"/>
                <w:sz w:val="21"/>
              </w:rPr>
              <w:t>100.00</w:t>
            </w:r>
          </w:p>
        </w:tc>
      </w:tr>
      <w:tr w14:paraId="42F92AB1" w14:textId="77777777">
        <w:tblPrEx>
          <w:tblW w:w="0" w:type="auto"/>
          <w:tblInd w:w="482" w:type="dxa"/>
          <w:tblLayout w:type="fixed"/>
          <w:tblCellMar>
            <w:left w:w="0" w:type="dxa"/>
            <w:right w:w="0" w:type="dxa"/>
          </w:tblCellMar>
          <w:tblLook w:val="01E0"/>
        </w:tblPrEx>
        <w:trPr>
          <w:trHeight w:val="237"/>
        </w:trPr>
        <w:tc>
          <w:tcPr>
            <w:tcW w:w="13985" w:type="dxa"/>
            <w:gridSpan w:val="4"/>
            <w:tcBorders>
              <w:top w:val="single" w:sz="18" w:space="0" w:color="800000"/>
            </w:tcBorders>
          </w:tcPr>
          <w:p w:rsidR="003F5784" w14:paraId="6942CE81" w14:textId="77777777">
            <w:pPr>
              <w:pStyle w:val="TableParagraph"/>
              <w:spacing w:before="0" w:line="218" w:lineRule="exact"/>
              <w:ind w:left="120"/>
              <w:jc w:val="left"/>
              <w:rPr>
                <w:sz w:val="21"/>
              </w:rPr>
            </w:pPr>
            <w:r>
              <w:rPr>
                <w:sz w:val="21"/>
              </w:rPr>
              <w:t>NOTE:</w:t>
            </w:r>
            <w:r>
              <w:rPr>
                <w:spacing w:val="-6"/>
                <w:sz w:val="21"/>
              </w:rPr>
              <w:t xml:space="preserve"> </w:t>
            </w:r>
            <w:r>
              <w:rPr>
                <w:sz w:val="21"/>
              </w:rPr>
              <w:t>Numbers</w:t>
            </w:r>
            <w:r>
              <w:rPr>
                <w:spacing w:val="-5"/>
                <w:sz w:val="21"/>
              </w:rPr>
              <w:t xml:space="preserve"> </w:t>
            </w:r>
            <w:r>
              <w:rPr>
                <w:sz w:val="21"/>
              </w:rPr>
              <w:t>of</w:t>
            </w:r>
            <w:r>
              <w:rPr>
                <w:spacing w:val="-6"/>
                <w:sz w:val="21"/>
              </w:rPr>
              <w:t xml:space="preserve"> </w:t>
            </w:r>
            <w:r>
              <w:rPr>
                <w:sz w:val="21"/>
              </w:rPr>
              <w:t>schools</w:t>
            </w:r>
            <w:r>
              <w:rPr>
                <w:spacing w:val="-6"/>
                <w:sz w:val="21"/>
              </w:rPr>
              <w:t xml:space="preserve"> </w:t>
            </w:r>
            <w:r>
              <w:rPr>
                <w:sz w:val="21"/>
              </w:rPr>
              <w:t>are</w:t>
            </w:r>
            <w:r>
              <w:rPr>
                <w:spacing w:val="-5"/>
                <w:sz w:val="21"/>
              </w:rPr>
              <w:t xml:space="preserve"> </w:t>
            </w:r>
            <w:r>
              <w:rPr>
                <w:sz w:val="21"/>
              </w:rPr>
              <w:t>rounded</w:t>
            </w:r>
            <w:r>
              <w:rPr>
                <w:spacing w:val="-6"/>
                <w:sz w:val="21"/>
              </w:rPr>
              <w:t xml:space="preserve"> </w:t>
            </w:r>
            <w:r>
              <w:rPr>
                <w:sz w:val="21"/>
              </w:rPr>
              <w:t>to</w:t>
            </w:r>
            <w:r>
              <w:rPr>
                <w:spacing w:val="-5"/>
                <w:sz w:val="21"/>
              </w:rPr>
              <w:t xml:space="preserve"> </w:t>
            </w:r>
            <w:r>
              <w:rPr>
                <w:sz w:val="21"/>
              </w:rPr>
              <w:t>nearest</w:t>
            </w:r>
            <w:r>
              <w:rPr>
                <w:spacing w:val="-6"/>
                <w:sz w:val="21"/>
              </w:rPr>
              <w:t xml:space="preserve"> </w:t>
            </w:r>
            <w:r>
              <w:rPr>
                <w:sz w:val="21"/>
              </w:rPr>
              <w:t>ten.</w:t>
            </w:r>
            <w:r>
              <w:rPr>
                <w:spacing w:val="-5"/>
                <w:sz w:val="21"/>
              </w:rPr>
              <w:t xml:space="preserve"> </w:t>
            </w:r>
            <w:r>
              <w:rPr>
                <w:sz w:val="21"/>
              </w:rPr>
              <w:t>Detail</w:t>
            </w:r>
            <w:r>
              <w:rPr>
                <w:spacing w:val="-6"/>
                <w:sz w:val="21"/>
              </w:rPr>
              <w:t xml:space="preserve"> </w:t>
            </w:r>
            <w:r>
              <w:rPr>
                <w:sz w:val="21"/>
              </w:rPr>
              <w:t>may</w:t>
            </w:r>
            <w:r>
              <w:rPr>
                <w:spacing w:val="-5"/>
                <w:sz w:val="21"/>
              </w:rPr>
              <w:t xml:space="preserve"> </w:t>
            </w:r>
            <w:r>
              <w:rPr>
                <w:sz w:val="21"/>
              </w:rPr>
              <w:t>not</w:t>
            </w:r>
            <w:r>
              <w:rPr>
                <w:spacing w:val="-6"/>
                <w:sz w:val="21"/>
              </w:rPr>
              <w:t xml:space="preserve"> </w:t>
            </w:r>
            <w:r>
              <w:rPr>
                <w:sz w:val="21"/>
              </w:rPr>
              <w:t>sum</w:t>
            </w:r>
            <w:r>
              <w:rPr>
                <w:spacing w:val="-5"/>
                <w:sz w:val="21"/>
              </w:rPr>
              <w:t xml:space="preserve"> </w:t>
            </w:r>
            <w:r>
              <w:rPr>
                <w:sz w:val="21"/>
              </w:rPr>
              <w:t>to</w:t>
            </w:r>
            <w:r>
              <w:rPr>
                <w:spacing w:val="-6"/>
                <w:sz w:val="21"/>
              </w:rPr>
              <w:t xml:space="preserve"> </w:t>
            </w:r>
            <w:r>
              <w:rPr>
                <w:sz w:val="21"/>
              </w:rPr>
              <w:t>total</w:t>
            </w:r>
            <w:r>
              <w:rPr>
                <w:spacing w:val="-5"/>
                <w:sz w:val="21"/>
              </w:rPr>
              <w:t xml:space="preserve"> </w:t>
            </w:r>
            <w:r>
              <w:rPr>
                <w:sz w:val="21"/>
              </w:rPr>
              <w:t>due</w:t>
            </w:r>
            <w:r>
              <w:rPr>
                <w:spacing w:val="-6"/>
                <w:sz w:val="21"/>
              </w:rPr>
              <w:t xml:space="preserve"> </w:t>
            </w:r>
            <w:r>
              <w:rPr>
                <w:sz w:val="21"/>
              </w:rPr>
              <w:t>to</w:t>
            </w:r>
            <w:r>
              <w:rPr>
                <w:spacing w:val="-5"/>
                <w:sz w:val="21"/>
              </w:rPr>
              <w:t xml:space="preserve"> </w:t>
            </w:r>
            <w:r>
              <w:rPr>
                <w:sz w:val="21"/>
              </w:rPr>
              <w:t>rounding.</w:t>
            </w:r>
            <w:r>
              <w:rPr>
                <w:spacing w:val="-6"/>
                <w:sz w:val="21"/>
              </w:rPr>
              <w:t xml:space="preserve"> </w:t>
            </w:r>
            <w:r>
              <w:rPr>
                <w:sz w:val="21"/>
              </w:rPr>
              <w:t>Percentages</w:t>
            </w:r>
            <w:r>
              <w:rPr>
                <w:spacing w:val="-5"/>
                <w:sz w:val="21"/>
              </w:rPr>
              <w:t xml:space="preserve"> </w:t>
            </w:r>
            <w:r>
              <w:rPr>
                <w:sz w:val="21"/>
              </w:rPr>
              <w:t>are</w:t>
            </w:r>
            <w:r>
              <w:rPr>
                <w:spacing w:val="-6"/>
                <w:sz w:val="21"/>
              </w:rPr>
              <w:t xml:space="preserve"> </w:t>
            </w:r>
            <w:r>
              <w:rPr>
                <w:sz w:val="21"/>
              </w:rPr>
              <w:t>based</w:t>
            </w:r>
            <w:r>
              <w:rPr>
                <w:spacing w:val="-5"/>
                <w:sz w:val="21"/>
              </w:rPr>
              <w:t xml:space="preserve"> </w:t>
            </w:r>
            <w:r>
              <w:rPr>
                <w:sz w:val="21"/>
              </w:rPr>
              <w:t>on</w:t>
            </w:r>
            <w:r>
              <w:rPr>
                <w:spacing w:val="-6"/>
                <w:sz w:val="21"/>
              </w:rPr>
              <w:t xml:space="preserve"> </w:t>
            </w:r>
            <w:r>
              <w:rPr>
                <w:sz w:val="21"/>
              </w:rPr>
              <w:t>unrounded</w:t>
            </w:r>
            <w:r>
              <w:rPr>
                <w:spacing w:val="-5"/>
                <w:sz w:val="21"/>
              </w:rPr>
              <w:t xml:space="preserve"> </w:t>
            </w:r>
            <w:r>
              <w:rPr>
                <w:spacing w:val="-2"/>
                <w:sz w:val="21"/>
              </w:rPr>
              <w:t>counts.</w:t>
            </w:r>
          </w:p>
        </w:tc>
      </w:tr>
    </w:tbl>
    <w:p w:rsidR="003F5784" w14:paraId="6BE79D7E" w14:textId="77777777">
      <w:pPr>
        <w:pStyle w:val="BodyText"/>
        <w:spacing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National Civics and U.S. History Assessments.</w:t>
      </w:r>
    </w:p>
    <w:p w:rsidR="003F5784" w14:paraId="2F91D8C5" w14:textId="77777777">
      <w:pPr>
        <w:spacing w:line="232" w:lineRule="auto"/>
        <w:sectPr>
          <w:pgSz w:w="15840" w:h="12240" w:orient="landscape"/>
          <w:pgMar w:top="480" w:right="440" w:bottom="460" w:left="460" w:header="284" w:footer="275" w:gutter="0"/>
          <w:cols w:space="720"/>
        </w:sectPr>
      </w:pPr>
    </w:p>
    <w:p w:rsidR="003F5784" w14:paraId="0935C9EC" w14:textId="77777777">
      <w:pPr>
        <w:pStyle w:val="BodyText"/>
        <w:tabs>
          <w:tab w:val="left" w:pos="3468"/>
          <w:tab w:val="left" w:pos="8469"/>
          <w:tab w:val="left" w:pos="12365"/>
        </w:tabs>
        <w:spacing w:before="98" w:after="20"/>
        <w:ind w:left="595"/>
      </w:pPr>
      <w:r>
        <w:t>Census</w:t>
      </w:r>
      <w:r>
        <w:rPr>
          <w:spacing w:val="-8"/>
        </w:rPr>
        <w:t xml:space="preserve"> </w:t>
      </w:r>
      <w:r>
        <w:rPr>
          <w:spacing w:val="-2"/>
        </w:rPr>
        <w:t>region</w:t>
      </w:r>
      <w:r>
        <w:tab/>
        <w:t>Eligibility</w:t>
      </w:r>
      <w:r>
        <w:rPr>
          <w:spacing w:val="-10"/>
        </w:rPr>
        <w:t xml:space="preserve"> </w:t>
      </w:r>
      <w:r>
        <w:rPr>
          <w:spacing w:val="-2"/>
        </w:rPr>
        <w:t>status</w:t>
      </w:r>
      <w:r>
        <w:tab/>
        <w:t>Unweighted</w:t>
      </w:r>
      <w:r>
        <w:rPr>
          <w:spacing w:val="-12"/>
        </w:rPr>
        <w:t xml:space="preserve"> </w:t>
      </w:r>
      <w:r>
        <w:rPr>
          <w:spacing w:val="-2"/>
        </w:rPr>
        <w:t>count</w:t>
      </w:r>
      <w:r>
        <w:tab/>
        <w:t>Unweighted</w:t>
      </w:r>
      <w:r>
        <w:rPr>
          <w:spacing w:val="-12"/>
        </w:rPr>
        <w:t xml:space="preserve"> </w:t>
      </w:r>
      <w:r>
        <w:rPr>
          <w:spacing w:val="-2"/>
        </w:rPr>
        <w:t>percentage</w:t>
      </w:r>
    </w:p>
    <w:tbl>
      <w:tblPr>
        <w:tblW w:w="0" w:type="auto"/>
        <w:tblInd w:w="482" w:type="dxa"/>
        <w:tblLayout w:type="fixed"/>
        <w:tblCellMar>
          <w:left w:w="0" w:type="dxa"/>
          <w:right w:w="0" w:type="dxa"/>
        </w:tblCellMar>
        <w:tblLook w:val="01E0"/>
      </w:tblPr>
      <w:tblGrid>
        <w:gridCol w:w="2087"/>
        <w:gridCol w:w="4417"/>
        <w:gridCol w:w="4906"/>
        <w:gridCol w:w="2574"/>
      </w:tblGrid>
      <w:tr w14:paraId="45741F04" w14:textId="77777777">
        <w:tblPrEx>
          <w:tblW w:w="0" w:type="auto"/>
          <w:tblInd w:w="482" w:type="dxa"/>
          <w:tblLayout w:type="fixed"/>
          <w:tblCellMar>
            <w:left w:w="0" w:type="dxa"/>
            <w:right w:w="0" w:type="dxa"/>
          </w:tblCellMar>
          <w:tblLook w:val="01E0"/>
        </w:tblPrEx>
        <w:trPr>
          <w:trHeight w:val="278"/>
        </w:trPr>
        <w:tc>
          <w:tcPr>
            <w:tcW w:w="2087" w:type="dxa"/>
            <w:tcBorders>
              <w:top w:val="single" w:sz="18" w:space="0" w:color="800000"/>
            </w:tcBorders>
          </w:tcPr>
          <w:p w:rsidR="003F5784" w14:paraId="6F9019BB" w14:textId="77777777">
            <w:pPr>
              <w:pStyle w:val="TableParagraph"/>
              <w:spacing w:before="0"/>
              <w:jc w:val="left"/>
              <w:rPr>
                <w:sz w:val="20"/>
              </w:rPr>
            </w:pPr>
          </w:p>
        </w:tc>
        <w:tc>
          <w:tcPr>
            <w:tcW w:w="4417" w:type="dxa"/>
            <w:tcBorders>
              <w:top w:val="single" w:sz="18" w:space="0" w:color="800000"/>
            </w:tcBorders>
          </w:tcPr>
          <w:p w:rsidR="003F5784" w14:paraId="06380137" w14:textId="77777777">
            <w:pPr>
              <w:pStyle w:val="TableParagraph"/>
              <w:spacing w:before="9"/>
              <w:ind w:left="906"/>
              <w:jc w:val="left"/>
              <w:rPr>
                <w:sz w:val="21"/>
              </w:rPr>
            </w:pPr>
            <w:r>
              <w:rPr>
                <w:spacing w:val="-2"/>
                <w:sz w:val="21"/>
              </w:rPr>
              <w:t>Ineligible</w:t>
            </w:r>
          </w:p>
        </w:tc>
        <w:tc>
          <w:tcPr>
            <w:tcW w:w="4906" w:type="dxa"/>
            <w:tcBorders>
              <w:top w:val="single" w:sz="18" w:space="0" w:color="800000"/>
            </w:tcBorders>
          </w:tcPr>
          <w:p w:rsidR="003F5784" w14:paraId="2D934C36" w14:textId="77777777">
            <w:pPr>
              <w:pStyle w:val="TableParagraph"/>
              <w:spacing w:before="9"/>
              <w:ind w:right="1878"/>
              <w:rPr>
                <w:sz w:val="21"/>
              </w:rPr>
            </w:pPr>
            <w:r>
              <w:rPr>
                <w:spacing w:val="-5"/>
                <w:sz w:val="21"/>
              </w:rPr>
              <w:t>10</w:t>
            </w:r>
          </w:p>
        </w:tc>
        <w:tc>
          <w:tcPr>
            <w:tcW w:w="2574" w:type="dxa"/>
            <w:tcBorders>
              <w:top w:val="single" w:sz="18" w:space="0" w:color="800000"/>
            </w:tcBorders>
          </w:tcPr>
          <w:p w:rsidR="003F5784" w14:paraId="06DF740F" w14:textId="77777777">
            <w:pPr>
              <w:pStyle w:val="TableParagraph"/>
              <w:spacing w:before="9"/>
              <w:ind w:right="117"/>
              <w:rPr>
                <w:sz w:val="21"/>
              </w:rPr>
            </w:pPr>
            <w:r>
              <w:rPr>
                <w:spacing w:val="-4"/>
                <w:sz w:val="21"/>
              </w:rPr>
              <w:t>3.49</w:t>
            </w:r>
          </w:p>
        </w:tc>
      </w:tr>
      <w:tr w14:paraId="37E57450" w14:textId="77777777">
        <w:tblPrEx>
          <w:tblW w:w="0" w:type="auto"/>
          <w:tblInd w:w="482" w:type="dxa"/>
          <w:tblLayout w:type="fixed"/>
          <w:tblCellMar>
            <w:left w:w="0" w:type="dxa"/>
            <w:right w:w="0" w:type="dxa"/>
          </w:tblCellMar>
          <w:tblLook w:val="01E0"/>
        </w:tblPrEx>
        <w:trPr>
          <w:trHeight w:val="286"/>
        </w:trPr>
        <w:tc>
          <w:tcPr>
            <w:tcW w:w="2087" w:type="dxa"/>
          </w:tcPr>
          <w:p w:rsidR="003F5784" w14:paraId="12D6C5CE" w14:textId="77777777">
            <w:pPr>
              <w:pStyle w:val="TableParagraph"/>
              <w:spacing w:before="0"/>
              <w:jc w:val="left"/>
              <w:rPr>
                <w:sz w:val="20"/>
              </w:rPr>
            </w:pPr>
          </w:p>
        </w:tc>
        <w:tc>
          <w:tcPr>
            <w:tcW w:w="4417" w:type="dxa"/>
          </w:tcPr>
          <w:p w:rsidR="003F5784" w14:paraId="546F3226" w14:textId="77777777">
            <w:pPr>
              <w:pStyle w:val="TableParagraph"/>
              <w:ind w:left="906"/>
              <w:jc w:val="left"/>
              <w:rPr>
                <w:sz w:val="21"/>
              </w:rPr>
            </w:pPr>
            <w:r>
              <w:rPr>
                <w:spacing w:val="-2"/>
                <w:sz w:val="21"/>
              </w:rPr>
              <w:t>Eligible</w:t>
            </w:r>
          </w:p>
        </w:tc>
        <w:tc>
          <w:tcPr>
            <w:tcW w:w="4906" w:type="dxa"/>
          </w:tcPr>
          <w:p w:rsidR="003F5784" w14:paraId="48E3AC21" w14:textId="77777777">
            <w:pPr>
              <w:pStyle w:val="TableParagraph"/>
              <w:ind w:right="1878"/>
              <w:rPr>
                <w:sz w:val="21"/>
              </w:rPr>
            </w:pPr>
            <w:r>
              <w:rPr>
                <w:spacing w:val="-5"/>
                <w:sz w:val="21"/>
              </w:rPr>
              <w:t>390</w:t>
            </w:r>
          </w:p>
        </w:tc>
        <w:tc>
          <w:tcPr>
            <w:tcW w:w="2574" w:type="dxa"/>
          </w:tcPr>
          <w:p w:rsidR="003F5784" w14:paraId="614F3D09" w14:textId="77777777">
            <w:pPr>
              <w:pStyle w:val="TableParagraph"/>
              <w:ind w:right="117"/>
              <w:rPr>
                <w:sz w:val="21"/>
              </w:rPr>
            </w:pPr>
            <w:r>
              <w:rPr>
                <w:spacing w:val="-2"/>
                <w:sz w:val="21"/>
              </w:rPr>
              <w:t>96.51</w:t>
            </w:r>
          </w:p>
        </w:tc>
      </w:tr>
      <w:tr w14:paraId="1C681595" w14:textId="77777777">
        <w:tblPrEx>
          <w:tblW w:w="0" w:type="auto"/>
          <w:tblInd w:w="482" w:type="dxa"/>
          <w:tblLayout w:type="fixed"/>
          <w:tblCellMar>
            <w:left w:w="0" w:type="dxa"/>
            <w:right w:w="0" w:type="dxa"/>
          </w:tblCellMar>
          <w:tblLook w:val="01E0"/>
        </w:tblPrEx>
        <w:trPr>
          <w:trHeight w:val="286"/>
        </w:trPr>
        <w:tc>
          <w:tcPr>
            <w:tcW w:w="2087" w:type="dxa"/>
          </w:tcPr>
          <w:p w:rsidR="003F5784" w14:paraId="78ABE611" w14:textId="77777777">
            <w:pPr>
              <w:pStyle w:val="TableParagraph"/>
              <w:ind w:left="120"/>
              <w:jc w:val="left"/>
              <w:rPr>
                <w:sz w:val="21"/>
              </w:rPr>
            </w:pPr>
            <w:r>
              <w:rPr>
                <w:spacing w:val="-2"/>
                <w:sz w:val="21"/>
              </w:rPr>
              <w:t>Northeast</w:t>
            </w:r>
          </w:p>
        </w:tc>
        <w:tc>
          <w:tcPr>
            <w:tcW w:w="4417" w:type="dxa"/>
          </w:tcPr>
          <w:p w:rsidR="003F5784" w14:paraId="75A6258A" w14:textId="77777777">
            <w:pPr>
              <w:pStyle w:val="TableParagraph"/>
              <w:ind w:left="1156"/>
              <w:jc w:val="left"/>
              <w:rPr>
                <w:b/>
                <w:sz w:val="21"/>
              </w:rPr>
            </w:pPr>
            <w:r>
              <w:rPr>
                <w:b/>
                <w:spacing w:val="-2"/>
                <w:sz w:val="21"/>
              </w:rPr>
              <w:t>Total</w:t>
            </w:r>
          </w:p>
        </w:tc>
        <w:tc>
          <w:tcPr>
            <w:tcW w:w="4906" w:type="dxa"/>
          </w:tcPr>
          <w:p w:rsidR="003F5784" w14:paraId="01FB19A5" w14:textId="77777777">
            <w:pPr>
              <w:pStyle w:val="TableParagraph"/>
              <w:ind w:right="1878"/>
              <w:rPr>
                <w:b/>
                <w:sz w:val="21"/>
              </w:rPr>
            </w:pPr>
            <w:r>
              <w:rPr>
                <w:b/>
                <w:spacing w:val="-5"/>
                <w:sz w:val="21"/>
              </w:rPr>
              <w:t>60</w:t>
            </w:r>
          </w:p>
        </w:tc>
        <w:tc>
          <w:tcPr>
            <w:tcW w:w="2574" w:type="dxa"/>
          </w:tcPr>
          <w:p w:rsidR="003F5784" w14:paraId="191381D2" w14:textId="77777777">
            <w:pPr>
              <w:pStyle w:val="TableParagraph"/>
              <w:ind w:right="117"/>
              <w:rPr>
                <w:b/>
                <w:sz w:val="21"/>
              </w:rPr>
            </w:pPr>
            <w:r>
              <w:rPr>
                <w:b/>
                <w:spacing w:val="-2"/>
                <w:sz w:val="21"/>
              </w:rPr>
              <w:t>100.00</w:t>
            </w:r>
          </w:p>
        </w:tc>
      </w:tr>
      <w:tr w14:paraId="188AB97C" w14:textId="77777777">
        <w:tblPrEx>
          <w:tblW w:w="0" w:type="auto"/>
          <w:tblInd w:w="482" w:type="dxa"/>
          <w:tblLayout w:type="fixed"/>
          <w:tblCellMar>
            <w:left w:w="0" w:type="dxa"/>
            <w:right w:w="0" w:type="dxa"/>
          </w:tblCellMar>
          <w:tblLook w:val="01E0"/>
        </w:tblPrEx>
        <w:trPr>
          <w:trHeight w:val="286"/>
        </w:trPr>
        <w:tc>
          <w:tcPr>
            <w:tcW w:w="2087" w:type="dxa"/>
          </w:tcPr>
          <w:p w:rsidR="003F5784" w14:paraId="6010B9C3" w14:textId="77777777">
            <w:pPr>
              <w:pStyle w:val="TableParagraph"/>
              <w:spacing w:before="0"/>
              <w:jc w:val="left"/>
              <w:rPr>
                <w:sz w:val="20"/>
              </w:rPr>
            </w:pPr>
          </w:p>
        </w:tc>
        <w:tc>
          <w:tcPr>
            <w:tcW w:w="4417" w:type="dxa"/>
          </w:tcPr>
          <w:p w:rsidR="003F5784" w14:paraId="7CB3565D" w14:textId="77777777">
            <w:pPr>
              <w:pStyle w:val="TableParagraph"/>
              <w:ind w:left="906"/>
              <w:jc w:val="left"/>
              <w:rPr>
                <w:sz w:val="21"/>
              </w:rPr>
            </w:pPr>
            <w:r>
              <w:rPr>
                <w:spacing w:val="-2"/>
                <w:sz w:val="21"/>
              </w:rPr>
              <w:t>Ineligible</w:t>
            </w:r>
          </w:p>
        </w:tc>
        <w:tc>
          <w:tcPr>
            <w:tcW w:w="4906" w:type="dxa"/>
          </w:tcPr>
          <w:p w:rsidR="003F5784" w14:paraId="0705168A" w14:textId="77777777">
            <w:pPr>
              <w:pStyle w:val="TableParagraph"/>
              <w:ind w:right="1878"/>
              <w:rPr>
                <w:sz w:val="21"/>
              </w:rPr>
            </w:pPr>
            <w:r>
              <w:rPr>
                <w:spacing w:val="-10"/>
                <w:sz w:val="21"/>
              </w:rPr>
              <w:t>0</w:t>
            </w:r>
          </w:p>
        </w:tc>
        <w:tc>
          <w:tcPr>
            <w:tcW w:w="2574" w:type="dxa"/>
          </w:tcPr>
          <w:p w:rsidR="003F5784" w14:paraId="693E5D35" w14:textId="77777777">
            <w:pPr>
              <w:pStyle w:val="TableParagraph"/>
              <w:ind w:right="117"/>
              <w:rPr>
                <w:sz w:val="21"/>
              </w:rPr>
            </w:pPr>
            <w:r>
              <w:rPr>
                <w:spacing w:val="-4"/>
                <w:sz w:val="21"/>
              </w:rPr>
              <w:t>5.45</w:t>
            </w:r>
          </w:p>
        </w:tc>
      </w:tr>
      <w:tr w14:paraId="3A0D198A" w14:textId="77777777">
        <w:tblPrEx>
          <w:tblW w:w="0" w:type="auto"/>
          <w:tblInd w:w="482" w:type="dxa"/>
          <w:tblLayout w:type="fixed"/>
          <w:tblCellMar>
            <w:left w:w="0" w:type="dxa"/>
            <w:right w:w="0" w:type="dxa"/>
          </w:tblCellMar>
          <w:tblLook w:val="01E0"/>
        </w:tblPrEx>
        <w:trPr>
          <w:trHeight w:val="286"/>
        </w:trPr>
        <w:tc>
          <w:tcPr>
            <w:tcW w:w="2087" w:type="dxa"/>
          </w:tcPr>
          <w:p w:rsidR="003F5784" w14:paraId="1CFA8DDC" w14:textId="77777777">
            <w:pPr>
              <w:pStyle w:val="TableParagraph"/>
              <w:spacing w:before="0"/>
              <w:jc w:val="left"/>
              <w:rPr>
                <w:sz w:val="20"/>
              </w:rPr>
            </w:pPr>
          </w:p>
        </w:tc>
        <w:tc>
          <w:tcPr>
            <w:tcW w:w="4417" w:type="dxa"/>
          </w:tcPr>
          <w:p w:rsidR="003F5784" w14:paraId="5320F328" w14:textId="77777777">
            <w:pPr>
              <w:pStyle w:val="TableParagraph"/>
              <w:ind w:left="906"/>
              <w:jc w:val="left"/>
              <w:rPr>
                <w:sz w:val="21"/>
              </w:rPr>
            </w:pPr>
            <w:r>
              <w:rPr>
                <w:spacing w:val="-2"/>
                <w:sz w:val="21"/>
              </w:rPr>
              <w:t>Eligible</w:t>
            </w:r>
          </w:p>
        </w:tc>
        <w:tc>
          <w:tcPr>
            <w:tcW w:w="4906" w:type="dxa"/>
          </w:tcPr>
          <w:p w:rsidR="003F5784" w14:paraId="321D3540" w14:textId="77777777">
            <w:pPr>
              <w:pStyle w:val="TableParagraph"/>
              <w:ind w:right="1878"/>
              <w:rPr>
                <w:sz w:val="21"/>
              </w:rPr>
            </w:pPr>
            <w:r>
              <w:rPr>
                <w:spacing w:val="-5"/>
                <w:sz w:val="21"/>
              </w:rPr>
              <w:t>50</w:t>
            </w:r>
          </w:p>
        </w:tc>
        <w:tc>
          <w:tcPr>
            <w:tcW w:w="2574" w:type="dxa"/>
          </w:tcPr>
          <w:p w:rsidR="003F5784" w14:paraId="2590AB6C" w14:textId="77777777">
            <w:pPr>
              <w:pStyle w:val="TableParagraph"/>
              <w:ind w:right="117"/>
              <w:rPr>
                <w:sz w:val="21"/>
              </w:rPr>
            </w:pPr>
            <w:r>
              <w:rPr>
                <w:spacing w:val="-2"/>
                <w:sz w:val="21"/>
              </w:rPr>
              <w:t>94.55</w:t>
            </w:r>
          </w:p>
        </w:tc>
      </w:tr>
      <w:tr w14:paraId="77634EBE" w14:textId="77777777">
        <w:tblPrEx>
          <w:tblW w:w="0" w:type="auto"/>
          <w:tblInd w:w="482" w:type="dxa"/>
          <w:tblLayout w:type="fixed"/>
          <w:tblCellMar>
            <w:left w:w="0" w:type="dxa"/>
            <w:right w:w="0" w:type="dxa"/>
          </w:tblCellMar>
          <w:tblLook w:val="01E0"/>
        </w:tblPrEx>
        <w:trPr>
          <w:trHeight w:val="286"/>
        </w:trPr>
        <w:tc>
          <w:tcPr>
            <w:tcW w:w="2087" w:type="dxa"/>
          </w:tcPr>
          <w:p w:rsidR="003F5784" w14:paraId="23998BAA" w14:textId="77777777">
            <w:pPr>
              <w:pStyle w:val="TableParagraph"/>
              <w:ind w:left="120"/>
              <w:jc w:val="left"/>
              <w:rPr>
                <w:sz w:val="21"/>
              </w:rPr>
            </w:pPr>
            <w:r>
              <w:rPr>
                <w:spacing w:val="-2"/>
                <w:sz w:val="21"/>
              </w:rPr>
              <w:t>Midwest</w:t>
            </w:r>
          </w:p>
        </w:tc>
        <w:tc>
          <w:tcPr>
            <w:tcW w:w="4417" w:type="dxa"/>
          </w:tcPr>
          <w:p w:rsidR="003F5784" w14:paraId="548FCC01" w14:textId="77777777">
            <w:pPr>
              <w:pStyle w:val="TableParagraph"/>
              <w:ind w:left="1156"/>
              <w:jc w:val="left"/>
              <w:rPr>
                <w:b/>
                <w:sz w:val="21"/>
              </w:rPr>
            </w:pPr>
            <w:r>
              <w:rPr>
                <w:b/>
                <w:spacing w:val="-2"/>
                <w:sz w:val="21"/>
              </w:rPr>
              <w:t>Total</w:t>
            </w:r>
          </w:p>
        </w:tc>
        <w:tc>
          <w:tcPr>
            <w:tcW w:w="4906" w:type="dxa"/>
          </w:tcPr>
          <w:p w:rsidR="003F5784" w14:paraId="2B9214A3" w14:textId="77777777">
            <w:pPr>
              <w:pStyle w:val="TableParagraph"/>
              <w:ind w:right="1878"/>
              <w:rPr>
                <w:b/>
                <w:sz w:val="21"/>
              </w:rPr>
            </w:pPr>
            <w:r>
              <w:rPr>
                <w:b/>
                <w:spacing w:val="-5"/>
                <w:sz w:val="21"/>
              </w:rPr>
              <w:t>70</w:t>
            </w:r>
          </w:p>
        </w:tc>
        <w:tc>
          <w:tcPr>
            <w:tcW w:w="2574" w:type="dxa"/>
          </w:tcPr>
          <w:p w:rsidR="003F5784" w14:paraId="1E2E75A0" w14:textId="77777777">
            <w:pPr>
              <w:pStyle w:val="TableParagraph"/>
              <w:ind w:right="117"/>
              <w:rPr>
                <w:b/>
                <w:sz w:val="21"/>
              </w:rPr>
            </w:pPr>
            <w:r>
              <w:rPr>
                <w:b/>
                <w:spacing w:val="-2"/>
                <w:sz w:val="21"/>
              </w:rPr>
              <w:t>100.00</w:t>
            </w:r>
          </w:p>
        </w:tc>
      </w:tr>
      <w:tr w14:paraId="57BDA0A4" w14:textId="77777777">
        <w:tblPrEx>
          <w:tblW w:w="0" w:type="auto"/>
          <w:tblInd w:w="482" w:type="dxa"/>
          <w:tblLayout w:type="fixed"/>
          <w:tblCellMar>
            <w:left w:w="0" w:type="dxa"/>
            <w:right w:w="0" w:type="dxa"/>
          </w:tblCellMar>
          <w:tblLook w:val="01E0"/>
        </w:tblPrEx>
        <w:trPr>
          <w:trHeight w:val="286"/>
        </w:trPr>
        <w:tc>
          <w:tcPr>
            <w:tcW w:w="2087" w:type="dxa"/>
          </w:tcPr>
          <w:p w:rsidR="003F5784" w14:paraId="37D0C423" w14:textId="77777777">
            <w:pPr>
              <w:pStyle w:val="TableParagraph"/>
              <w:spacing w:before="0"/>
              <w:jc w:val="left"/>
              <w:rPr>
                <w:sz w:val="20"/>
              </w:rPr>
            </w:pPr>
          </w:p>
        </w:tc>
        <w:tc>
          <w:tcPr>
            <w:tcW w:w="4417" w:type="dxa"/>
          </w:tcPr>
          <w:p w:rsidR="003F5784" w14:paraId="5F0148F5" w14:textId="77777777">
            <w:pPr>
              <w:pStyle w:val="TableParagraph"/>
              <w:ind w:left="906"/>
              <w:jc w:val="left"/>
              <w:rPr>
                <w:sz w:val="21"/>
              </w:rPr>
            </w:pPr>
            <w:r>
              <w:rPr>
                <w:spacing w:val="-2"/>
                <w:sz w:val="21"/>
              </w:rPr>
              <w:t>Ineligible</w:t>
            </w:r>
          </w:p>
        </w:tc>
        <w:tc>
          <w:tcPr>
            <w:tcW w:w="4906" w:type="dxa"/>
          </w:tcPr>
          <w:p w:rsidR="003F5784" w14:paraId="4F58BB77" w14:textId="77777777">
            <w:pPr>
              <w:pStyle w:val="TableParagraph"/>
              <w:ind w:right="1878"/>
              <w:rPr>
                <w:sz w:val="21"/>
              </w:rPr>
            </w:pPr>
            <w:r>
              <w:rPr>
                <w:spacing w:val="-10"/>
                <w:sz w:val="21"/>
              </w:rPr>
              <w:t>0</w:t>
            </w:r>
          </w:p>
        </w:tc>
        <w:tc>
          <w:tcPr>
            <w:tcW w:w="2574" w:type="dxa"/>
          </w:tcPr>
          <w:p w:rsidR="003F5784" w14:paraId="1A1CA39E" w14:textId="77777777">
            <w:pPr>
              <w:pStyle w:val="TableParagraph"/>
              <w:ind w:right="117"/>
              <w:rPr>
                <w:sz w:val="21"/>
              </w:rPr>
            </w:pPr>
            <w:r>
              <w:rPr>
                <w:spacing w:val="-4"/>
                <w:sz w:val="21"/>
              </w:rPr>
              <w:t>1.41</w:t>
            </w:r>
          </w:p>
        </w:tc>
      </w:tr>
      <w:tr w14:paraId="0466A370" w14:textId="77777777">
        <w:tblPrEx>
          <w:tblW w:w="0" w:type="auto"/>
          <w:tblInd w:w="482" w:type="dxa"/>
          <w:tblLayout w:type="fixed"/>
          <w:tblCellMar>
            <w:left w:w="0" w:type="dxa"/>
            <w:right w:w="0" w:type="dxa"/>
          </w:tblCellMar>
          <w:tblLook w:val="01E0"/>
        </w:tblPrEx>
        <w:trPr>
          <w:trHeight w:val="286"/>
        </w:trPr>
        <w:tc>
          <w:tcPr>
            <w:tcW w:w="2087" w:type="dxa"/>
          </w:tcPr>
          <w:p w:rsidR="003F5784" w14:paraId="20C88EEB" w14:textId="77777777">
            <w:pPr>
              <w:pStyle w:val="TableParagraph"/>
              <w:spacing w:before="0"/>
              <w:jc w:val="left"/>
              <w:rPr>
                <w:sz w:val="20"/>
              </w:rPr>
            </w:pPr>
          </w:p>
        </w:tc>
        <w:tc>
          <w:tcPr>
            <w:tcW w:w="4417" w:type="dxa"/>
          </w:tcPr>
          <w:p w:rsidR="003F5784" w14:paraId="491F90F5" w14:textId="77777777">
            <w:pPr>
              <w:pStyle w:val="TableParagraph"/>
              <w:ind w:left="906"/>
              <w:jc w:val="left"/>
              <w:rPr>
                <w:sz w:val="21"/>
              </w:rPr>
            </w:pPr>
            <w:r>
              <w:rPr>
                <w:spacing w:val="-2"/>
                <w:sz w:val="21"/>
              </w:rPr>
              <w:t>Eligible</w:t>
            </w:r>
          </w:p>
        </w:tc>
        <w:tc>
          <w:tcPr>
            <w:tcW w:w="4906" w:type="dxa"/>
          </w:tcPr>
          <w:p w:rsidR="003F5784" w14:paraId="5B08DAB3" w14:textId="77777777">
            <w:pPr>
              <w:pStyle w:val="TableParagraph"/>
              <w:ind w:right="1878"/>
              <w:rPr>
                <w:sz w:val="21"/>
              </w:rPr>
            </w:pPr>
            <w:r>
              <w:rPr>
                <w:spacing w:val="-5"/>
                <w:sz w:val="21"/>
              </w:rPr>
              <w:t>70</w:t>
            </w:r>
          </w:p>
        </w:tc>
        <w:tc>
          <w:tcPr>
            <w:tcW w:w="2574" w:type="dxa"/>
          </w:tcPr>
          <w:p w:rsidR="003F5784" w14:paraId="7DBADABE" w14:textId="77777777">
            <w:pPr>
              <w:pStyle w:val="TableParagraph"/>
              <w:ind w:right="117"/>
              <w:rPr>
                <w:sz w:val="21"/>
              </w:rPr>
            </w:pPr>
            <w:r>
              <w:rPr>
                <w:spacing w:val="-2"/>
                <w:sz w:val="21"/>
              </w:rPr>
              <w:t>98.59</w:t>
            </w:r>
          </w:p>
        </w:tc>
      </w:tr>
      <w:tr w14:paraId="6B358E94" w14:textId="77777777">
        <w:tblPrEx>
          <w:tblW w:w="0" w:type="auto"/>
          <w:tblInd w:w="482" w:type="dxa"/>
          <w:tblLayout w:type="fixed"/>
          <w:tblCellMar>
            <w:left w:w="0" w:type="dxa"/>
            <w:right w:w="0" w:type="dxa"/>
          </w:tblCellMar>
          <w:tblLook w:val="01E0"/>
        </w:tblPrEx>
        <w:trPr>
          <w:trHeight w:val="286"/>
        </w:trPr>
        <w:tc>
          <w:tcPr>
            <w:tcW w:w="2087" w:type="dxa"/>
          </w:tcPr>
          <w:p w:rsidR="003F5784" w14:paraId="7098AF44" w14:textId="77777777">
            <w:pPr>
              <w:pStyle w:val="TableParagraph"/>
              <w:ind w:left="120"/>
              <w:jc w:val="left"/>
              <w:rPr>
                <w:sz w:val="21"/>
              </w:rPr>
            </w:pPr>
            <w:r>
              <w:rPr>
                <w:spacing w:val="-2"/>
                <w:sz w:val="21"/>
              </w:rPr>
              <w:t>South</w:t>
            </w:r>
          </w:p>
        </w:tc>
        <w:tc>
          <w:tcPr>
            <w:tcW w:w="4417" w:type="dxa"/>
          </w:tcPr>
          <w:p w:rsidR="003F5784" w14:paraId="2C88AAA8" w14:textId="77777777">
            <w:pPr>
              <w:pStyle w:val="TableParagraph"/>
              <w:ind w:left="1156"/>
              <w:jc w:val="left"/>
              <w:rPr>
                <w:b/>
                <w:sz w:val="21"/>
              </w:rPr>
            </w:pPr>
            <w:r>
              <w:rPr>
                <w:b/>
                <w:spacing w:val="-2"/>
                <w:sz w:val="21"/>
              </w:rPr>
              <w:t>Total</w:t>
            </w:r>
          </w:p>
        </w:tc>
        <w:tc>
          <w:tcPr>
            <w:tcW w:w="4906" w:type="dxa"/>
          </w:tcPr>
          <w:p w:rsidR="003F5784" w14:paraId="1207B8B0" w14:textId="77777777">
            <w:pPr>
              <w:pStyle w:val="TableParagraph"/>
              <w:ind w:right="1878"/>
              <w:rPr>
                <w:b/>
                <w:sz w:val="21"/>
              </w:rPr>
            </w:pPr>
            <w:r>
              <w:rPr>
                <w:b/>
                <w:spacing w:val="-5"/>
                <w:sz w:val="21"/>
              </w:rPr>
              <w:t>170</w:t>
            </w:r>
          </w:p>
        </w:tc>
        <w:tc>
          <w:tcPr>
            <w:tcW w:w="2574" w:type="dxa"/>
          </w:tcPr>
          <w:p w:rsidR="003F5784" w14:paraId="4D45009E" w14:textId="77777777">
            <w:pPr>
              <w:pStyle w:val="TableParagraph"/>
              <w:ind w:right="117"/>
              <w:rPr>
                <w:b/>
                <w:sz w:val="21"/>
              </w:rPr>
            </w:pPr>
            <w:r>
              <w:rPr>
                <w:b/>
                <w:spacing w:val="-2"/>
                <w:sz w:val="21"/>
              </w:rPr>
              <w:t>100.00</w:t>
            </w:r>
          </w:p>
        </w:tc>
      </w:tr>
      <w:tr w14:paraId="0E8E5D86" w14:textId="77777777">
        <w:tblPrEx>
          <w:tblW w:w="0" w:type="auto"/>
          <w:tblInd w:w="482" w:type="dxa"/>
          <w:tblLayout w:type="fixed"/>
          <w:tblCellMar>
            <w:left w:w="0" w:type="dxa"/>
            <w:right w:w="0" w:type="dxa"/>
          </w:tblCellMar>
          <w:tblLook w:val="01E0"/>
        </w:tblPrEx>
        <w:trPr>
          <w:trHeight w:val="286"/>
        </w:trPr>
        <w:tc>
          <w:tcPr>
            <w:tcW w:w="2087" w:type="dxa"/>
          </w:tcPr>
          <w:p w:rsidR="003F5784" w14:paraId="00ABB42A" w14:textId="77777777">
            <w:pPr>
              <w:pStyle w:val="TableParagraph"/>
              <w:spacing w:before="0"/>
              <w:jc w:val="left"/>
              <w:rPr>
                <w:sz w:val="20"/>
              </w:rPr>
            </w:pPr>
          </w:p>
        </w:tc>
        <w:tc>
          <w:tcPr>
            <w:tcW w:w="4417" w:type="dxa"/>
          </w:tcPr>
          <w:p w:rsidR="003F5784" w14:paraId="562B4E0D" w14:textId="77777777">
            <w:pPr>
              <w:pStyle w:val="TableParagraph"/>
              <w:ind w:left="906"/>
              <w:jc w:val="left"/>
              <w:rPr>
                <w:sz w:val="21"/>
              </w:rPr>
            </w:pPr>
            <w:r>
              <w:rPr>
                <w:spacing w:val="-2"/>
                <w:sz w:val="21"/>
              </w:rPr>
              <w:t>Ineligible</w:t>
            </w:r>
          </w:p>
        </w:tc>
        <w:tc>
          <w:tcPr>
            <w:tcW w:w="4906" w:type="dxa"/>
          </w:tcPr>
          <w:p w:rsidR="003F5784" w14:paraId="565E3BAA" w14:textId="77777777">
            <w:pPr>
              <w:pStyle w:val="TableParagraph"/>
              <w:ind w:right="1878"/>
              <w:rPr>
                <w:sz w:val="21"/>
              </w:rPr>
            </w:pPr>
            <w:r>
              <w:rPr>
                <w:spacing w:val="-10"/>
                <w:sz w:val="21"/>
              </w:rPr>
              <w:t>0</w:t>
            </w:r>
          </w:p>
        </w:tc>
        <w:tc>
          <w:tcPr>
            <w:tcW w:w="2574" w:type="dxa"/>
          </w:tcPr>
          <w:p w:rsidR="003F5784" w14:paraId="7823C01F" w14:textId="77777777">
            <w:pPr>
              <w:pStyle w:val="TableParagraph"/>
              <w:ind w:right="117"/>
              <w:rPr>
                <w:sz w:val="21"/>
              </w:rPr>
            </w:pPr>
            <w:r>
              <w:rPr>
                <w:spacing w:val="-4"/>
                <w:sz w:val="21"/>
              </w:rPr>
              <w:t>2.35</w:t>
            </w:r>
          </w:p>
        </w:tc>
      </w:tr>
      <w:tr w14:paraId="23DE6B76" w14:textId="77777777">
        <w:tblPrEx>
          <w:tblW w:w="0" w:type="auto"/>
          <w:tblInd w:w="482" w:type="dxa"/>
          <w:tblLayout w:type="fixed"/>
          <w:tblCellMar>
            <w:left w:w="0" w:type="dxa"/>
            <w:right w:w="0" w:type="dxa"/>
          </w:tblCellMar>
          <w:tblLook w:val="01E0"/>
        </w:tblPrEx>
        <w:trPr>
          <w:trHeight w:val="286"/>
        </w:trPr>
        <w:tc>
          <w:tcPr>
            <w:tcW w:w="2087" w:type="dxa"/>
          </w:tcPr>
          <w:p w:rsidR="003F5784" w14:paraId="06A6A5B1" w14:textId="77777777">
            <w:pPr>
              <w:pStyle w:val="TableParagraph"/>
              <w:spacing w:before="0"/>
              <w:jc w:val="left"/>
              <w:rPr>
                <w:sz w:val="20"/>
              </w:rPr>
            </w:pPr>
          </w:p>
        </w:tc>
        <w:tc>
          <w:tcPr>
            <w:tcW w:w="4417" w:type="dxa"/>
          </w:tcPr>
          <w:p w:rsidR="003F5784" w14:paraId="422F19C5" w14:textId="77777777">
            <w:pPr>
              <w:pStyle w:val="TableParagraph"/>
              <w:ind w:left="906"/>
              <w:jc w:val="left"/>
              <w:rPr>
                <w:sz w:val="21"/>
              </w:rPr>
            </w:pPr>
            <w:r>
              <w:rPr>
                <w:spacing w:val="-2"/>
                <w:sz w:val="21"/>
              </w:rPr>
              <w:t>Eligible</w:t>
            </w:r>
          </w:p>
        </w:tc>
        <w:tc>
          <w:tcPr>
            <w:tcW w:w="4906" w:type="dxa"/>
          </w:tcPr>
          <w:p w:rsidR="003F5784" w14:paraId="23FC6353" w14:textId="77777777">
            <w:pPr>
              <w:pStyle w:val="TableParagraph"/>
              <w:ind w:right="1878"/>
              <w:rPr>
                <w:sz w:val="21"/>
              </w:rPr>
            </w:pPr>
            <w:r>
              <w:rPr>
                <w:spacing w:val="-5"/>
                <w:sz w:val="21"/>
              </w:rPr>
              <w:t>170</w:t>
            </w:r>
          </w:p>
        </w:tc>
        <w:tc>
          <w:tcPr>
            <w:tcW w:w="2574" w:type="dxa"/>
          </w:tcPr>
          <w:p w:rsidR="003F5784" w14:paraId="247B28F1" w14:textId="77777777">
            <w:pPr>
              <w:pStyle w:val="TableParagraph"/>
              <w:ind w:right="117"/>
              <w:rPr>
                <w:sz w:val="21"/>
              </w:rPr>
            </w:pPr>
            <w:r>
              <w:rPr>
                <w:spacing w:val="-2"/>
                <w:sz w:val="21"/>
              </w:rPr>
              <w:t>97.65</w:t>
            </w:r>
          </w:p>
        </w:tc>
      </w:tr>
      <w:tr w14:paraId="379BCF78" w14:textId="77777777">
        <w:tblPrEx>
          <w:tblW w:w="0" w:type="auto"/>
          <w:tblInd w:w="482" w:type="dxa"/>
          <w:tblLayout w:type="fixed"/>
          <w:tblCellMar>
            <w:left w:w="0" w:type="dxa"/>
            <w:right w:w="0" w:type="dxa"/>
          </w:tblCellMar>
          <w:tblLook w:val="01E0"/>
        </w:tblPrEx>
        <w:trPr>
          <w:trHeight w:val="286"/>
        </w:trPr>
        <w:tc>
          <w:tcPr>
            <w:tcW w:w="2087" w:type="dxa"/>
          </w:tcPr>
          <w:p w:rsidR="003F5784" w14:paraId="26CD5367" w14:textId="77777777">
            <w:pPr>
              <w:pStyle w:val="TableParagraph"/>
              <w:ind w:left="120"/>
              <w:jc w:val="left"/>
              <w:rPr>
                <w:sz w:val="21"/>
              </w:rPr>
            </w:pPr>
            <w:r>
              <w:rPr>
                <w:spacing w:val="-4"/>
                <w:sz w:val="21"/>
              </w:rPr>
              <w:t>West</w:t>
            </w:r>
          </w:p>
        </w:tc>
        <w:tc>
          <w:tcPr>
            <w:tcW w:w="4417" w:type="dxa"/>
          </w:tcPr>
          <w:p w:rsidR="003F5784" w14:paraId="2E055F79" w14:textId="77777777">
            <w:pPr>
              <w:pStyle w:val="TableParagraph"/>
              <w:ind w:left="1156"/>
              <w:jc w:val="left"/>
              <w:rPr>
                <w:b/>
                <w:sz w:val="21"/>
              </w:rPr>
            </w:pPr>
            <w:r>
              <w:rPr>
                <w:b/>
                <w:spacing w:val="-2"/>
                <w:sz w:val="21"/>
              </w:rPr>
              <w:t>Total</w:t>
            </w:r>
          </w:p>
        </w:tc>
        <w:tc>
          <w:tcPr>
            <w:tcW w:w="4906" w:type="dxa"/>
          </w:tcPr>
          <w:p w:rsidR="003F5784" w14:paraId="1F2C829F" w14:textId="77777777">
            <w:pPr>
              <w:pStyle w:val="TableParagraph"/>
              <w:ind w:right="1878"/>
              <w:rPr>
                <w:b/>
                <w:sz w:val="21"/>
              </w:rPr>
            </w:pPr>
            <w:r>
              <w:rPr>
                <w:b/>
                <w:spacing w:val="-5"/>
                <w:sz w:val="21"/>
              </w:rPr>
              <w:t>110</w:t>
            </w:r>
          </w:p>
        </w:tc>
        <w:tc>
          <w:tcPr>
            <w:tcW w:w="2574" w:type="dxa"/>
          </w:tcPr>
          <w:p w:rsidR="003F5784" w14:paraId="099BC330" w14:textId="77777777">
            <w:pPr>
              <w:pStyle w:val="TableParagraph"/>
              <w:ind w:right="117"/>
              <w:rPr>
                <w:b/>
                <w:sz w:val="21"/>
              </w:rPr>
            </w:pPr>
            <w:r>
              <w:rPr>
                <w:b/>
                <w:spacing w:val="-2"/>
                <w:sz w:val="21"/>
              </w:rPr>
              <w:t>100.00</w:t>
            </w:r>
          </w:p>
        </w:tc>
      </w:tr>
      <w:tr w14:paraId="0663CF01" w14:textId="77777777">
        <w:tblPrEx>
          <w:tblW w:w="0" w:type="auto"/>
          <w:tblInd w:w="482" w:type="dxa"/>
          <w:tblLayout w:type="fixed"/>
          <w:tblCellMar>
            <w:left w:w="0" w:type="dxa"/>
            <w:right w:w="0" w:type="dxa"/>
          </w:tblCellMar>
          <w:tblLook w:val="01E0"/>
        </w:tblPrEx>
        <w:trPr>
          <w:trHeight w:val="286"/>
        </w:trPr>
        <w:tc>
          <w:tcPr>
            <w:tcW w:w="2087" w:type="dxa"/>
          </w:tcPr>
          <w:p w:rsidR="003F5784" w14:paraId="6F730FEC" w14:textId="77777777">
            <w:pPr>
              <w:pStyle w:val="TableParagraph"/>
              <w:spacing w:before="0"/>
              <w:jc w:val="left"/>
              <w:rPr>
                <w:sz w:val="20"/>
              </w:rPr>
            </w:pPr>
          </w:p>
        </w:tc>
        <w:tc>
          <w:tcPr>
            <w:tcW w:w="4417" w:type="dxa"/>
          </w:tcPr>
          <w:p w:rsidR="003F5784" w14:paraId="2C36CF11" w14:textId="77777777">
            <w:pPr>
              <w:pStyle w:val="TableParagraph"/>
              <w:ind w:left="906"/>
              <w:jc w:val="left"/>
              <w:rPr>
                <w:sz w:val="21"/>
              </w:rPr>
            </w:pPr>
            <w:r>
              <w:rPr>
                <w:spacing w:val="-2"/>
                <w:sz w:val="21"/>
              </w:rPr>
              <w:t>Ineligible</w:t>
            </w:r>
          </w:p>
        </w:tc>
        <w:tc>
          <w:tcPr>
            <w:tcW w:w="4906" w:type="dxa"/>
          </w:tcPr>
          <w:p w:rsidR="003F5784" w14:paraId="4DB27C3E" w14:textId="77777777">
            <w:pPr>
              <w:pStyle w:val="TableParagraph"/>
              <w:ind w:right="1878"/>
              <w:rPr>
                <w:sz w:val="21"/>
              </w:rPr>
            </w:pPr>
            <w:r>
              <w:rPr>
                <w:spacing w:val="-5"/>
                <w:sz w:val="21"/>
              </w:rPr>
              <w:t>10</w:t>
            </w:r>
          </w:p>
        </w:tc>
        <w:tc>
          <w:tcPr>
            <w:tcW w:w="2574" w:type="dxa"/>
          </w:tcPr>
          <w:p w:rsidR="003F5784" w14:paraId="535531C9" w14:textId="77777777">
            <w:pPr>
              <w:pStyle w:val="TableParagraph"/>
              <w:ind w:right="117"/>
              <w:rPr>
                <w:sz w:val="21"/>
              </w:rPr>
            </w:pPr>
            <w:r>
              <w:rPr>
                <w:spacing w:val="-4"/>
                <w:sz w:val="21"/>
              </w:rPr>
              <w:t>5.71</w:t>
            </w:r>
          </w:p>
        </w:tc>
      </w:tr>
      <w:tr w14:paraId="65515400" w14:textId="77777777">
        <w:tblPrEx>
          <w:tblW w:w="0" w:type="auto"/>
          <w:tblInd w:w="482" w:type="dxa"/>
          <w:tblLayout w:type="fixed"/>
          <w:tblCellMar>
            <w:left w:w="0" w:type="dxa"/>
            <w:right w:w="0" w:type="dxa"/>
          </w:tblCellMar>
          <w:tblLook w:val="01E0"/>
        </w:tblPrEx>
        <w:trPr>
          <w:trHeight w:val="288"/>
        </w:trPr>
        <w:tc>
          <w:tcPr>
            <w:tcW w:w="2087" w:type="dxa"/>
            <w:tcBorders>
              <w:bottom w:val="single" w:sz="18" w:space="0" w:color="800000"/>
            </w:tcBorders>
          </w:tcPr>
          <w:p w:rsidR="003F5784" w14:paraId="3E090AD1" w14:textId="77777777">
            <w:pPr>
              <w:pStyle w:val="TableParagraph"/>
              <w:spacing w:before="0"/>
              <w:jc w:val="left"/>
              <w:rPr>
                <w:sz w:val="20"/>
              </w:rPr>
            </w:pPr>
          </w:p>
        </w:tc>
        <w:tc>
          <w:tcPr>
            <w:tcW w:w="4417" w:type="dxa"/>
            <w:tcBorders>
              <w:bottom w:val="single" w:sz="18" w:space="0" w:color="800000"/>
            </w:tcBorders>
          </w:tcPr>
          <w:p w:rsidR="003F5784" w14:paraId="7BF0C944" w14:textId="77777777">
            <w:pPr>
              <w:pStyle w:val="TableParagraph"/>
              <w:ind w:left="906"/>
              <w:jc w:val="left"/>
              <w:rPr>
                <w:sz w:val="21"/>
              </w:rPr>
            </w:pPr>
            <w:r>
              <w:rPr>
                <w:spacing w:val="-2"/>
                <w:sz w:val="21"/>
              </w:rPr>
              <w:t>Eligible</w:t>
            </w:r>
          </w:p>
        </w:tc>
        <w:tc>
          <w:tcPr>
            <w:tcW w:w="4906" w:type="dxa"/>
            <w:tcBorders>
              <w:bottom w:val="single" w:sz="18" w:space="0" w:color="800000"/>
            </w:tcBorders>
          </w:tcPr>
          <w:p w:rsidR="003F5784" w14:paraId="5F6631A2" w14:textId="77777777">
            <w:pPr>
              <w:pStyle w:val="TableParagraph"/>
              <w:ind w:right="1878"/>
              <w:rPr>
                <w:sz w:val="21"/>
              </w:rPr>
            </w:pPr>
            <w:r>
              <w:rPr>
                <w:spacing w:val="-5"/>
                <w:sz w:val="21"/>
              </w:rPr>
              <w:t>100</w:t>
            </w:r>
          </w:p>
        </w:tc>
        <w:tc>
          <w:tcPr>
            <w:tcW w:w="2574" w:type="dxa"/>
            <w:tcBorders>
              <w:bottom w:val="single" w:sz="18" w:space="0" w:color="800000"/>
            </w:tcBorders>
          </w:tcPr>
          <w:p w:rsidR="003F5784" w14:paraId="6E8AFE79" w14:textId="77777777">
            <w:pPr>
              <w:pStyle w:val="TableParagraph"/>
              <w:ind w:right="117"/>
              <w:rPr>
                <w:sz w:val="21"/>
              </w:rPr>
            </w:pPr>
            <w:r>
              <w:rPr>
                <w:spacing w:val="-2"/>
                <w:sz w:val="21"/>
              </w:rPr>
              <w:t>94.29</w:t>
            </w:r>
          </w:p>
        </w:tc>
      </w:tr>
    </w:tbl>
    <w:p w:rsidR="003F5784" w14:paraId="7C108180" w14:textId="77777777">
      <w:pPr>
        <w:pStyle w:val="BodyText"/>
        <w:spacing w:before="3" w:line="238" w:lineRule="exact"/>
        <w:ind w:left="595"/>
      </w:pPr>
      <w:r>
        <w:t>NOTE:</w:t>
      </w:r>
      <w:r>
        <w:rPr>
          <w:spacing w:val="-6"/>
        </w:rPr>
        <w:t xml:space="preserve"> </w:t>
      </w:r>
      <w:r>
        <w:t>Numbers</w:t>
      </w:r>
      <w:r>
        <w:rPr>
          <w:spacing w:val="-5"/>
        </w:rPr>
        <w:t xml:space="preserve"> </w:t>
      </w:r>
      <w:r>
        <w:t>of</w:t>
      </w:r>
      <w:r>
        <w:rPr>
          <w:spacing w:val="-6"/>
        </w:rPr>
        <w:t xml:space="preserve"> </w:t>
      </w:r>
      <w:r>
        <w:t>schools</w:t>
      </w:r>
      <w:r>
        <w:rPr>
          <w:spacing w:val="-6"/>
        </w:rPr>
        <w:t xml:space="preserve"> </w:t>
      </w:r>
      <w:r>
        <w:t>are</w:t>
      </w:r>
      <w:r>
        <w:rPr>
          <w:spacing w:val="-5"/>
        </w:rPr>
        <w:t xml:space="preserve"> </w:t>
      </w:r>
      <w:r>
        <w:t>rounded</w:t>
      </w:r>
      <w:r>
        <w:rPr>
          <w:spacing w:val="-6"/>
        </w:rPr>
        <w:t xml:space="preserve"> </w:t>
      </w:r>
      <w:r>
        <w:t>to</w:t>
      </w:r>
      <w:r>
        <w:rPr>
          <w:spacing w:val="-5"/>
        </w:rPr>
        <w:t xml:space="preserve"> </w:t>
      </w:r>
      <w:r>
        <w:t>nearest</w:t>
      </w:r>
      <w:r>
        <w:rPr>
          <w:spacing w:val="-6"/>
        </w:rPr>
        <w:t xml:space="preserve"> </w:t>
      </w:r>
      <w:r>
        <w:t>ten.</w:t>
      </w:r>
      <w:r>
        <w:rPr>
          <w:spacing w:val="-5"/>
        </w:rPr>
        <w:t xml:space="preserve"> </w:t>
      </w:r>
      <w:r>
        <w:t>Detail</w:t>
      </w:r>
      <w:r>
        <w:rPr>
          <w:spacing w:val="-6"/>
        </w:rPr>
        <w:t xml:space="preserve"> </w:t>
      </w:r>
      <w:r>
        <w:t>may</w:t>
      </w:r>
      <w:r>
        <w:rPr>
          <w:spacing w:val="-5"/>
        </w:rPr>
        <w:t xml:space="preserve"> </w:t>
      </w:r>
      <w:r>
        <w:t>not</w:t>
      </w:r>
      <w:r>
        <w:rPr>
          <w:spacing w:val="-6"/>
        </w:rPr>
        <w:t xml:space="preserve"> </w:t>
      </w:r>
      <w:r>
        <w:t>sum</w:t>
      </w:r>
      <w:r>
        <w:rPr>
          <w:spacing w:val="-5"/>
        </w:rPr>
        <w:t xml:space="preserve"> </w:t>
      </w:r>
      <w:r>
        <w:t>to</w:t>
      </w:r>
      <w:r>
        <w:rPr>
          <w:spacing w:val="-6"/>
        </w:rPr>
        <w:t xml:space="preserve"> </w:t>
      </w:r>
      <w:r>
        <w:t>total</w:t>
      </w:r>
      <w:r>
        <w:rPr>
          <w:spacing w:val="-5"/>
        </w:rPr>
        <w:t xml:space="preserve"> </w:t>
      </w:r>
      <w:r>
        <w:t>due</w:t>
      </w:r>
      <w:r>
        <w:rPr>
          <w:spacing w:val="-6"/>
        </w:rPr>
        <w:t xml:space="preserve"> </w:t>
      </w:r>
      <w:r>
        <w:t>to</w:t>
      </w:r>
      <w:r>
        <w:rPr>
          <w:spacing w:val="-5"/>
        </w:rPr>
        <w:t xml:space="preserve"> </w:t>
      </w:r>
      <w:r>
        <w:t>rounding.</w:t>
      </w:r>
      <w:r>
        <w:rPr>
          <w:spacing w:val="-6"/>
        </w:rPr>
        <w:t xml:space="preserve"> </w:t>
      </w:r>
      <w:r>
        <w:t>Percentages</w:t>
      </w:r>
      <w:r>
        <w:rPr>
          <w:spacing w:val="-5"/>
        </w:rPr>
        <w:t xml:space="preserve"> </w:t>
      </w:r>
      <w:r>
        <w:t>are</w:t>
      </w:r>
      <w:r>
        <w:rPr>
          <w:spacing w:val="-6"/>
        </w:rPr>
        <w:t xml:space="preserve"> </w:t>
      </w:r>
      <w:r>
        <w:t>based</w:t>
      </w:r>
      <w:r>
        <w:rPr>
          <w:spacing w:val="-5"/>
        </w:rPr>
        <w:t xml:space="preserve"> </w:t>
      </w:r>
      <w:r>
        <w:t>on</w:t>
      </w:r>
      <w:r>
        <w:rPr>
          <w:spacing w:val="-6"/>
        </w:rPr>
        <w:t xml:space="preserve"> </w:t>
      </w:r>
      <w:r>
        <w:t>unrounded</w:t>
      </w:r>
      <w:r>
        <w:rPr>
          <w:spacing w:val="-5"/>
        </w:rPr>
        <w:t xml:space="preserve"> </w:t>
      </w:r>
      <w:r>
        <w:rPr>
          <w:spacing w:val="-2"/>
        </w:rPr>
        <w:t>counts.</w:t>
      </w:r>
    </w:p>
    <w:p w:rsidR="003F5784" w14:paraId="20451538" w14:textId="77777777">
      <w:pPr>
        <w:pStyle w:val="BodyText"/>
        <w:spacing w:before="3"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National Civics and U.S. History Assessments.</w:t>
      </w:r>
    </w:p>
    <w:p w:rsidR="003F5784" w14:paraId="154BD9CA" w14:textId="77777777">
      <w:pPr>
        <w:pStyle w:val="BodyText"/>
      </w:pPr>
    </w:p>
    <w:p w:rsidR="003F5784" w14:paraId="19EEE90F" w14:textId="77777777">
      <w:pPr>
        <w:pStyle w:val="BodyText"/>
      </w:pPr>
    </w:p>
    <w:p w:rsidR="003F5784" w14:paraId="7D6FB3A5" w14:textId="77777777">
      <w:pPr>
        <w:pStyle w:val="BodyText"/>
        <w:spacing w:before="197"/>
      </w:pPr>
    </w:p>
    <w:p w:rsidR="003F5784" w14:paraId="414BC0EB" w14:textId="77777777">
      <w:pPr>
        <w:spacing w:before="1"/>
        <w:ind w:left="821"/>
        <w:rPr>
          <w:sz w:val="18"/>
        </w:rPr>
      </w:pPr>
      <w:hyperlink r:id="rId43">
        <w:r>
          <w:rPr>
            <w:spacing w:val="-2"/>
            <w:w w:val="105"/>
            <w:sz w:val="18"/>
          </w:rPr>
          <w:t>http://nces.ed.gov/nationsreportcard/tdw/sample_design/2022/total_and_eligible_sampled_schools_for_the_2022_eighth_grade_public_school_nat_assess_in_civics_and_us_history.aspx</w:t>
        </w:r>
      </w:hyperlink>
    </w:p>
    <w:p w:rsidR="003F5784" w14:paraId="1234DA81" w14:textId="77777777">
      <w:pPr>
        <w:pStyle w:val="BodyText"/>
        <w:rPr>
          <w:sz w:val="16"/>
        </w:rPr>
      </w:pPr>
      <w:r>
        <w:rPr>
          <w:noProof/>
        </w:rPr>
        <mc:AlternateContent>
          <mc:Choice Requires="wps">
            <w:drawing>
              <wp:anchor distT="0" distB="0" distL="0" distR="0" simplePos="0" relativeHeight="251761664" behindDoc="1" locked="0" layoutInCell="1" allowOverlap="1">
                <wp:simplePos x="0" y="0"/>
                <wp:positionH relativeFrom="page">
                  <wp:posOffset>361937</wp:posOffset>
                </wp:positionH>
                <wp:positionV relativeFrom="paragraph">
                  <wp:posOffset>132401</wp:posOffset>
                </wp:positionV>
                <wp:extent cx="9339580" cy="8890"/>
                <wp:effectExtent l="0" t="0" r="0" b="0"/>
                <wp:wrapTopAndBottom/>
                <wp:docPr id="58" name="Graphic 5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8280" y="8267"/>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8" o:spid="_x0000_s1050" style="width:735.4pt;height:0.7pt;margin-top:10.45pt;margin-left:28.5pt;mso-position-horizontal-relative:page;mso-wrap-distance-bottom:0;mso-wrap-distance-left:0;mso-wrap-distance-right:0;mso-wrap-distance-top:0;mso-wrap-style:square;position:absolute;visibility:visible;v-text-anchor:top;z-index:-251553792" coordsize="9339580,8890" path="m9338970,l9335110,l8280,,,,,8267l8280,8267l9335110,8267l9338970,8267l9338970,xe" fillcolor="gray" stroked="f">
                <v:path arrowok="t"/>
                <w10:wrap type="topAndBottom"/>
              </v:shape>
            </w:pict>
          </mc:Fallback>
        </mc:AlternateContent>
      </w:r>
    </w:p>
    <w:p w:rsidR="003F5784" w14:paraId="10AF4641" w14:textId="77777777">
      <w:pPr>
        <w:pStyle w:val="BodyText"/>
        <w:rPr>
          <w:sz w:val="18"/>
        </w:rPr>
      </w:pPr>
    </w:p>
    <w:p w:rsidR="003F5784" w14:paraId="2F26F8B7" w14:textId="77777777">
      <w:pPr>
        <w:pStyle w:val="BodyText"/>
        <w:spacing w:before="193"/>
        <w:rPr>
          <w:sz w:val="18"/>
        </w:rPr>
      </w:pPr>
    </w:p>
    <w:p w:rsidR="003F5784" w14:paraId="05205ACD" w14:textId="2E4F086F">
      <w:pPr>
        <w:pStyle w:val="Heading1"/>
        <w:spacing w:line="244" w:lineRule="auto"/>
        <w:ind w:right="1264"/>
      </w:pPr>
      <w:r>
        <w:t>NAEP</w:t>
      </w:r>
      <w:r>
        <w:rPr>
          <w:spacing w:val="-14"/>
        </w:rPr>
        <w:t xml:space="preserve"> </w:t>
      </w:r>
      <w:r>
        <w:t>Technical Documentation</w:t>
      </w:r>
      <w:r w:rsidR="004833F9">
        <w:t xml:space="preserve"> </w:t>
      </w:r>
      <w:r>
        <w:t>Sampling Frame for the 2022 Eighth-Grade Public School National Assessment in Civics and U.S. History</w:t>
      </w:r>
    </w:p>
    <w:p w:rsidR="003F5784" w14:paraId="4548278A" w14:textId="77777777">
      <w:pPr>
        <w:pStyle w:val="BodyText"/>
        <w:spacing w:before="7"/>
        <w:rPr>
          <w:b/>
          <w:sz w:val="16"/>
        </w:rPr>
      </w:pPr>
    </w:p>
    <w:p w:rsidR="003F5784" w14:paraId="7C21B464" w14:textId="77777777">
      <w:pPr>
        <w:rPr>
          <w:sz w:val="16"/>
        </w:rPr>
        <w:sectPr>
          <w:pgSz w:w="15840" w:h="12240" w:orient="landscape"/>
          <w:pgMar w:top="480" w:right="440" w:bottom="460" w:left="460" w:header="284" w:footer="275" w:gutter="0"/>
          <w:cols w:space="720"/>
        </w:sectPr>
      </w:pPr>
    </w:p>
    <w:p w:rsidR="003F5784" w14:paraId="341269AC" w14:textId="77777777">
      <w:pPr>
        <w:pStyle w:val="BodyText"/>
        <w:spacing w:before="96" w:line="232" w:lineRule="auto"/>
        <w:ind w:left="109" w:right="38"/>
      </w:pPr>
      <w:r>
        <w:t>The</w:t>
      </w:r>
      <w:r>
        <w:rPr>
          <w:spacing w:val="-4"/>
        </w:rPr>
        <w:t xml:space="preserve"> </w:t>
      </w:r>
      <w:r>
        <w:t>primary</w:t>
      </w:r>
      <w:r>
        <w:rPr>
          <w:spacing w:val="-4"/>
        </w:rPr>
        <w:t xml:space="preserve"> </w:t>
      </w:r>
      <w:r>
        <w:t>sampling</w:t>
      </w:r>
      <w:r>
        <w:rPr>
          <w:spacing w:val="-4"/>
        </w:rPr>
        <w:t xml:space="preserve"> </w:t>
      </w:r>
      <w:r>
        <w:t>frame</w:t>
      </w:r>
      <w:r>
        <w:rPr>
          <w:spacing w:val="-4"/>
        </w:rPr>
        <w:t xml:space="preserve"> </w:t>
      </w:r>
      <w:r>
        <w:t>for</w:t>
      </w:r>
      <w:r>
        <w:rPr>
          <w:spacing w:val="-4"/>
        </w:rPr>
        <w:t xml:space="preserve"> </w:t>
      </w:r>
      <w:r>
        <w:t>the</w:t>
      </w:r>
      <w:r>
        <w:rPr>
          <w:spacing w:val="-4"/>
        </w:rPr>
        <w:t xml:space="preserve"> </w:t>
      </w:r>
      <w:r>
        <w:t>2022</w:t>
      </w:r>
      <w:r>
        <w:rPr>
          <w:spacing w:val="-4"/>
        </w:rPr>
        <w:t xml:space="preserve"> </w:t>
      </w:r>
      <w:r>
        <w:t>eighth-grade</w:t>
      </w:r>
      <w:r>
        <w:rPr>
          <w:spacing w:val="-4"/>
        </w:rPr>
        <w:t xml:space="preserve"> </w:t>
      </w:r>
      <w:r>
        <w:t>public</w:t>
      </w:r>
      <w:r>
        <w:rPr>
          <w:spacing w:val="-4"/>
        </w:rPr>
        <w:t xml:space="preserve"> </w:t>
      </w:r>
      <w:r>
        <w:t>school</w:t>
      </w:r>
      <w:r>
        <w:rPr>
          <w:spacing w:val="-4"/>
        </w:rPr>
        <w:t xml:space="preserve"> </w:t>
      </w:r>
      <w:r>
        <w:t>samples</w:t>
      </w:r>
      <w:r>
        <w:rPr>
          <w:spacing w:val="-4"/>
        </w:rPr>
        <w:t xml:space="preserve"> </w:t>
      </w:r>
      <w:r>
        <w:t>for</w:t>
      </w:r>
      <w:r>
        <w:rPr>
          <w:spacing w:val="-4"/>
        </w:rPr>
        <w:t xml:space="preserve"> </w:t>
      </w:r>
      <w:r>
        <w:t>the</w:t>
      </w:r>
      <w:r>
        <w:rPr>
          <w:spacing w:val="-4"/>
        </w:rPr>
        <w:t xml:space="preserve"> </w:t>
      </w:r>
      <w:r>
        <w:t>civics</w:t>
      </w:r>
      <w:r>
        <w:rPr>
          <w:spacing w:val="-4"/>
        </w:rPr>
        <w:t xml:space="preserve"> </w:t>
      </w:r>
      <w:r>
        <w:t>and</w:t>
      </w:r>
      <w:r>
        <w:rPr>
          <w:spacing w:val="-4"/>
        </w:rPr>
        <w:t xml:space="preserve"> </w:t>
      </w:r>
      <w:r>
        <w:t>U.S.</w:t>
      </w:r>
      <w:r>
        <w:rPr>
          <w:spacing w:val="-4"/>
        </w:rPr>
        <w:t xml:space="preserve"> </w:t>
      </w:r>
      <w:r>
        <w:t>history</w:t>
      </w:r>
      <w:r>
        <w:rPr>
          <w:spacing w:val="-4"/>
        </w:rPr>
        <w:t xml:space="preserve"> </w:t>
      </w:r>
      <w:r>
        <w:t>assessments</w:t>
      </w:r>
      <w:r>
        <w:rPr>
          <w:spacing w:val="-4"/>
        </w:rPr>
        <w:t xml:space="preserve"> </w:t>
      </w:r>
      <w:r>
        <w:t>was</w:t>
      </w:r>
      <w:r>
        <w:rPr>
          <w:spacing w:val="-4"/>
        </w:rPr>
        <w:t xml:space="preserve"> </w:t>
      </w:r>
      <w:r>
        <w:t>developed from</w:t>
      </w:r>
      <w:r>
        <w:rPr>
          <w:spacing w:val="-7"/>
        </w:rPr>
        <w:t xml:space="preserve"> </w:t>
      </w:r>
      <w:r>
        <w:t>the</w:t>
      </w:r>
      <w:r>
        <w:rPr>
          <w:spacing w:val="-7"/>
        </w:rPr>
        <w:t xml:space="preserve"> </w:t>
      </w:r>
      <w:r>
        <w:t>Common</w:t>
      </w:r>
      <w:r>
        <w:rPr>
          <w:spacing w:val="-7"/>
        </w:rPr>
        <w:t xml:space="preserve"> </w:t>
      </w:r>
      <w:r>
        <w:t>Core</w:t>
      </w:r>
      <w:r>
        <w:rPr>
          <w:spacing w:val="-7"/>
        </w:rPr>
        <w:t xml:space="preserve"> </w:t>
      </w:r>
      <w:r>
        <w:t>of</w:t>
      </w:r>
      <w:r>
        <w:rPr>
          <w:spacing w:val="-7"/>
        </w:rPr>
        <w:t xml:space="preserve"> </w:t>
      </w:r>
      <w:r>
        <w:t>Data</w:t>
      </w:r>
      <w:r>
        <w:rPr>
          <w:spacing w:val="-7"/>
        </w:rPr>
        <w:t xml:space="preserve"> </w:t>
      </w:r>
      <w:r>
        <w:t>(CCD)</w:t>
      </w:r>
      <w:r>
        <w:rPr>
          <w:spacing w:val="-7"/>
        </w:rPr>
        <w:t xml:space="preserve"> </w:t>
      </w:r>
      <w:r>
        <w:t>file</w:t>
      </w:r>
      <w:r>
        <w:rPr>
          <w:spacing w:val="-7"/>
        </w:rPr>
        <w:t xml:space="preserve"> </w:t>
      </w:r>
      <w:r>
        <w:t>corresponding</w:t>
      </w:r>
      <w:r>
        <w:rPr>
          <w:spacing w:val="-7"/>
        </w:rPr>
        <w:t xml:space="preserve"> </w:t>
      </w:r>
      <w:r>
        <w:t>to</w:t>
      </w:r>
      <w:r>
        <w:rPr>
          <w:spacing w:val="-7"/>
        </w:rPr>
        <w:t xml:space="preserve"> </w:t>
      </w:r>
      <w:r>
        <w:t>the</w:t>
      </w:r>
      <w:r>
        <w:rPr>
          <w:spacing w:val="-7"/>
        </w:rPr>
        <w:t xml:space="preserve"> </w:t>
      </w:r>
      <w:r>
        <w:t>2019–2020</w:t>
      </w:r>
      <w:r>
        <w:rPr>
          <w:spacing w:val="-7"/>
        </w:rPr>
        <w:t xml:space="preserve"> </w:t>
      </w:r>
      <w:r>
        <w:t>school</w:t>
      </w:r>
      <w:r>
        <w:rPr>
          <w:spacing w:val="-7"/>
        </w:rPr>
        <w:t xml:space="preserve"> </w:t>
      </w:r>
      <w:r>
        <w:t>year.</w:t>
      </w:r>
      <w:r>
        <w:rPr>
          <w:spacing w:val="-11"/>
        </w:rPr>
        <w:t xml:space="preserve"> </w:t>
      </w:r>
      <w:r>
        <w:t>The</w:t>
      </w:r>
      <w:r>
        <w:rPr>
          <w:spacing w:val="-7"/>
        </w:rPr>
        <w:t xml:space="preserve"> </w:t>
      </w:r>
      <w:r>
        <w:t>CCD</w:t>
      </w:r>
      <w:r>
        <w:rPr>
          <w:spacing w:val="-7"/>
        </w:rPr>
        <w:t xml:space="preserve"> </w:t>
      </w:r>
      <w:r>
        <w:t>file</w:t>
      </w:r>
      <w:r>
        <w:rPr>
          <w:spacing w:val="-7"/>
        </w:rPr>
        <w:t xml:space="preserve"> </w:t>
      </w:r>
      <w:r>
        <w:t>is</w:t>
      </w:r>
      <w:r>
        <w:rPr>
          <w:spacing w:val="-7"/>
        </w:rPr>
        <w:t xml:space="preserve"> </w:t>
      </w:r>
      <w:r>
        <w:t>the</w:t>
      </w:r>
      <w:r>
        <w:rPr>
          <w:spacing w:val="-7"/>
        </w:rPr>
        <w:t xml:space="preserve"> </w:t>
      </w:r>
      <w:r>
        <w:t>Department</w:t>
      </w:r>
      <w:r>
        <w:rPr>
          <w:spacing w:val="-7"/>
        </w:rPr>
        <w:t xml:space="preserve"> </w:t>
      </w:r>
      <w:r>
        <w:t>of</w:t>
      </w:r>
      <w:r>
        <w:rPr>
          <w:spacing w:val="-7"/>
        </w:rPr>
        <w:t xml:space="preserve"> </w:t>
      </w:r>
      <w:r>
        <w:t>Education’s primary database of public elementary and secondary schools in the United States including U.S. territories. It includes all regular public,</w:t>
      </w:r>
      <w:r>
        <w:rPr>
          <w:spacing w:val="-5"/>
        </w:rPr>
        <w:t xml:space="preserve"> </w:t>
      </w:r>
      <w:r>
        <w:t>state-operated</w:t>
      </w:r>
      <w:r>
        <w:rPr>
          <w:spacing w:val="-4"/>
        </w:rPr>
        <w:t xml:space="preserve"> </w:t>
      </w:r>
      <w:r>
        <w:t>public,</w:t>
      </w:r>
      <w:r>
        <w:rPr>
          <w:spacing w:val="-4"/>
        </w:rPr>
        <w:t xml:space="preserve"> </w:t>
      </w:r>
      <w:r>
        <w:t>Bureau</w:t>
      </w:r>
      <w:r>
        <w:rPr>
          <w:spacing w:val="-4"/>
        </w:rPr>
        <w:t xml:space="preserve"> </w:t>
      </w:r>
      <w:r>
        <w:t>of</w:t>
      </w:r>
      <w:r>
        <w:rPr>
          <w:spacing w:val="-4"/>
        </w:rPr>
        <w:t xml:space="preserve"> </w:t>
      </w:r>
      <w:r>
        <w:t>Indian</w:t>
      </w:r>
      <w:r>
        <w:rPr>
          <w:spacing w:val="-4"/>
        </w:rPr>
        <w:t xml:space="preserve"> </w:t>
      </w:r>
      <w:r>
        <w:t>Education</w:t>
      </w:r>
      <w:r>
        <w:rPr>
          <w:spacing w:val="-4"/>
        </w:rPr>
        <w:t xml:space="preserve"> </w:t>
      </w:r>
      <w:r>
        <w:t>(BIE),</w:t>
      </w:r>
      <w:r>
        <w:rPr>
          <w:spacing w:val="-4"/>
        </w:rPr>
        <w:t xml:space="preserve"> </w:t>
      </w:r>
      <w:r>
        <w:t>and</w:t>
      </w:r>
      <w:r>
        <w:rPr>
          <w:spacing w:val="-4"/>
        </w:rPr>
        <w:t xml:space="preserve"> </w:t>
      </w:r>
      <w:r>
        <w:t>Department</w:t>
      </w:r>
      <w:r>
        <w:rPr>
          <w:spacing w:val="-4"/>
        </w:rPr>
        <w:t xml:space="preserve"> </w:t>
      </w:r>
      <w:r>
        <w:t>of</w:t>
      </w:r>
      <w:r>
        <w:rPr>
          <w:spacing w:val="-4"/>
        </w:rPr>
        <w:t xml:space="preserve"> </w:t>
      </w:r>
      <w:r>
        <w:t>Defense</w:t>
      </w:r>
      <w:r>
        <w:rPr>
          <w:spacing w:val="-4"/>
        </w:rPr>
        <w:t xml:space="preserve"> </w:t>
      </w:r>
      <w:r>
        <w:t>Education</w:t>
      </w:r>
      <w:r>
        <w:rPr>
          <w:spacing w:val="-14"/>
        </w:rPr>
        <w:t xml:space="preserve"> </w:t>
      </w:r>
      <w:r>
        <w:t>Activity</w:t>
      </w:r>
      <w:r>
        <w:rPr>
          <w:spacing w:val="-3"/>
        </w:rPr>
        <w:t xml:space="preserve"> </w:t>
      </w:r>
      <w:r>
        <w:t>(DoDEA)</w:t>
      </w:r>
      <w:r>
        <w:rPr>
          <w:spacing w:val="-4"/>
        </w:rPr>
        <w:t xml:space="preserve"> </w:t>
      </w:r>
      <w:r>
        <w:t>schools</w:t>
      </w:r>
      <w:r>
        <w:rPr>
          <w:spacing w:val="-4"/>
        </w:rPr>
        <w:t xml:space="preserve"> </w:t>
      </w:r>
      <w:r>
        <w:t>open during the 2019–2020 school year.</w:t>
      </w:r>
      <w:r>
        <w:rPr>
          <w:spacing w:val="-1"/>
        </w:rPr>
        <w:t xml:space="preserve"> </w:t>
      </w:r>
      <w:r>
        <w:t>This eighth-grade sampling frame is referred to as the CCD-based sampling frame.</w:t>
      </w:r>
    </w:p>
    <w:p w:rsidR="003F5784" w14:paraId="416CC360" w14:textId="77777777">
      <w:pPr>
        <w:spacing w:before="24"/>
        <w:rPr>
          <w:sz w:val="21"/>
        </w:rPr>
      </w:pPr>
      <w:r>
        <w:br w:type="column"/>
      </w:r>
    </w:p>
    <w:p w:rsidR="003F5784" w14:paraId="04901631" w14:textId="77777777">
      <w:pPr>
        <w:pStyle w:val="BodyText"/>
        <w:spacing w:line="232" w:lineRule="auto"/>
        <w:ind w:left="109" w:right="734"/>
      </w:pPr>
      <w:r>
        <w:t>Eighth-Grade</w:t>
      </w:r>
      <w:r>
        <w:rPr>
          <w:spacing w:val="-14"/>
        </w:rPr>
        <w:t xml:space="preserve"> </w:t>
      </w:r>
      <w:r>
        <w:t>Schools</w:t>
      </w:r>
      <w:r>
        <w:rPr>
          <w:spacing w:val="-13"/>
        </w:rPr>
        <w:t xml:space="preserve"> </w:t>
      </w:r>
      <w:r>
        <w:t xml:space="preserve">and </w:t>
      </w:r>
      <w:r>
        <w:rPr>
          <w:spacing w:val="-2"/>
        </w:rPr>
        <w:t>Enrollment</w:t>
      </w:r>
    </w:p>
    <w:p w:rsidR="003F5784" w14:paraId="26B000E3" w14:textId="77777777">
      <w:pPr>
        <w:pStyle w:val="BodyText"/>
        <w:spacing w:before="203"/>
        <w:ind w:left="109"/>
      </w:pPr>
      <w:r>
        <w:t>New-School</w:t>
      </w:r>
      <w:r>
        <w:rPr>
          <w:spacing w:val="-11"/>
        </w:rPr>
        <w:t xml:space="preserve"> </w:t>
      </w:r>
      <w:r>
        <w:t>Sampling</w:t>
      </w:r>
      <w:r>
        <w:rPr>
          <w:spacing w:val="-10"/>
        </w:rPr>
        <w:t xml:space="preserve"> </w:t>
      </w:r>
      <w:r>
        <w:rPr>
          <w:spacing w:val="-2"/>
        </w:rPr>
        <w:t>Frame</w:t>
      </w:r>
    </w:p>
    <w:p w:rsidR="003F5784" w14:paraId="491EC8F3" w14:textId="77777777">
      <w:pPr>
        <w:sectPr>
          <w:type w:val="continuous"/>
          <w:pgSz w:w="15840" w:h="12240" w:orient="landscape"/>
          <w:pgMar w:top="480" w:right="440" w:bottom="460" w:left="460" w:header="284" w:footer="275" w:gutter="0"/>
          <w:cols w:num="2" w:space="720" w:equalWidth="0">
            <w:col w:w="11555" w:space="332"/>
            <w:col w:w="3053"/>
          </w:cols>
        </w:sectPr>
      </w:pPr>
    </w:p>
    <w:p w:rsidR="003F5784" w14:paraId="3D0FECDE" w14:textId="77777777">
      <w:pPr>
        <w:pStyle w:val="BodyText"/>
        <w:spacing w:before="210" w:line="232" w:lineRule="auto"/>
        <w:ind w:left="109" w:right="179"/>
      </w:pPr>
      <w:r>
        <w:t>A</w:t>
      </w:r>
      <w:r>
        <w:rPr>
          <w:spacing w:val="-14"/>
        </w:rPr>
        <w:t xml:space="preserve"> </w:t>
      </w:r>
      <w:r>
        <w:t>secondary</w:t>
      </w:r>
      <w:r>
        <w:rPr>
          <w:spacing w:val="-8"/>
        </w:rPr>
        <w:t xml:space="preserve"> </w:t>
      </w:r>
      <w:r>
        <w:t>sampling</w:t>
      </w:r>
      <w:r>
        <w:rPr>
          <w:spacing w:val="-6"/>
        </w:rPr>
        <w:t xml:space="preserve"> </w:t>
      </w:r>
      <w:r>
        <w:t>frame</w:t>
      </w:r>
      <w:r>
        <w:rPr>
          <w:spacing w:val="-6"/>
        </w:rPr>
        <w:t xml:space="preserve"> </w:t>
      </w:r>
      <w:r>
        <w:t>was</w:t>
      </w:r>
      <w:r>
        <w:rPr>
          <w:spacing w:val="-6"/>
        </w:rPr>
        <w:t xml:space="preserve"> </w:t>
      </w:r>
      <w:r>
        <w:t>also</w:t>
      </w:r>
      <w:r>
        <w:rPr>
          <w:spacing w:val="-6"/>
        </w:rPr>
        <w:t xml:space="preserve"> </w:t>
      </w:r>
      <w:r>
        <w:t>created</w:t>
      </w:r>
      <w:r>
        <w:rPr>
          <w:spacing w:val="-6"/>
        </w:rPr>
        <w:t xml:space="preserve"> </w:t>
      </w:r>
      <w:r>
        <w:t>for</w:t>
      </w:r>
      <w:r>
        <w:rPr>
          <w:spacing w:val="-6"/>
        </w:rPr>
        <w:t xml:space="preserve"> </w:t>
      </w:r>
      <w:r>
        <w:t>these</w:t>
      </w:r>
      <w:r>
        <w:rPr>
          <w:spacing w:val="-6"/>
        </w:rPr>
        <w:t xml:space="preserve"> </w:t>
      </w:r>
      <w:r>
        <w:t>samples</w:t>
      </w:r>
      <w:r>
        <w:rPr>
          <w:spacing w:val="-6"/>
        </w:rPr>
        <w:t xml:space="preserve"> </w:t>
      </w:r>
      <w:r>
        <w:t>to</w:t>
      </w:r>
      <w:r>
        <w:rPr>
          <w:spacing w:val="-6"/>
        </w:rPr>
        <w:t xml:space="preserve"> </w:t>
      </w:r>
      <w:r>
        <w:t>account</w:t>
      </w:r>
      <w:r>
        <w:rPr>
          <w:spacing w:val="-6"/>
        </w:rPr>
        <w:t xml:space="preserve"> </w:t>
      </w:r>
      <w:r>
        <w:t>for</w:t>
      </w:r>
      <w:r>
        <w:rPr>
          <w:spacing w:val="-6"/>
        </w:rPr>
        <w:t xml:space="preserve"> </w:t>
      </w:r>
      <w:r>
        <w:t>schools</w:t>
      </w:r>
      <w:r>
        <w:rPr>
          <w:spacing w:val="-6"/>
        </w:rPr>
        <w:t xml:space="preserve"> </w:t>
      </w:r>
      <w:r>
        <w:t>that</w:t>
      </w:r>
      <w:r>
        <w:rPr>
          <w:spacing w:val="-6"/>
        </w:rPr>
        <w:t xml:space="preserve"> </w:t>
      </w:r>
      <w:r>
        <w:t>newly</w:t>
      </w:r>
      <w:r>
        <w:rPr>
          <w:spacing w:val="-6"/>
        </w:rPr>
        <w:t xml:space="preserve"> </w:t>
      </w:r>
      <w:r>
        <w:t>opened</w:t>
      </w:r>
      <w:r>
        <w:rPr>
          <w:spacing w:val="-6"/>
        </w:rPr>
        <w:t xml:space="preserve"> </w:t>
      </w:r>
      <w:r>
        <w:t>or</w:t>
      </w:r>
      <w:r>
        <w:rPr>
          <w:spacing w:val="-6"/>
        </w:rPr>
        <w:t xml:space="preserve"> </w:t>
      </w:r>
      <w:r>
        <w:t>became</w:t>
      </w:r>
      <w:r>
        <w:rPr>
          <w:spacing w:val="-6"/>
        </w:rPr>
        <w:t xml:space="preserve"> </w:t>
      </w:r>
      <w:r>
        <w:t>newly</w:t>
      </w:r>
      <w:r>
        <w:rPr>
          <w:spacing w:val="-6"/>
        </w:rPr>
        <w:t xml:space="preserve"> </w:t>
      </w:r>
      <w:r>
        <w:t>eligible</w:t>
      </w:r>
      <w:r>
        <w:rPr>
          <w:spacing w:val="-6"/>
        </w:rPr>
        <w:t xml:space="preserve"> </w:t>
      </w:r>
      <w:r>
        <w:t>between</w:t>
      </w:r>
      <w:r>
        <w:rPr>
          <w:spacing w:val="-6"/>
        </w:rPr>
        <w:t xml:space="preserve"> </w:t>
      </w:r>
      <w:r>
        <w:t>the</w:t>
      </w:r>
      <w:r>
        <w:rPr>
          <w:spacing w:val="-6"/>
        </w:rPr>
        <w:t xml:space="preserve"> </w:t>
      </w:r>
      <w:r>
        <w:t>2019–2020</w:t>
      </w:r>
      <w:r>
        <w:rPr>
          <w:spacing w:val="-6"/>
        </w:rPr>
        <w:t xml:space="preserve"> </w:t>
      </w:r>
      <w:r>
        <w:t>and</w:t>
      </w:r>
      <w:r>
        <w:rPr>
          <w:spacing w:val="-6"/>
        </w:rPr>
        <w:t xml:space="preserve"> </w:t>
      </w:r>
      <w:r>
        <w:t>2021–2022 school years.</w:t>
      </w:r>
      <w:r>
        <w:rPr>
          <w:spacing w:val="-1"/>
        </w:rPr>
        <w:t xml:space="preserve"> </w:t>
      </w:r>
      <w:r>
        <w:t>This frame contains brand-new and newly-eligible eighth-grade schools and is referred to as the new-school sampling frame.</w:t>
      </w:r>
    </w:p>
    <w:p w:rsidR="003F5784" w14:paraId="26FECB47" w14:textId="77777777">
      <w:pPr>
        <w:pStyle w:val="BodyText"/>
        <w:spacing w:before="209" w:line="232" w:lineRule="auto"/>
        <w:ind w:left="109"/>
      </w:pPr>
      <w:r>
        <w:t>Both sampling frames excluded ungraded schools, vocational schools with no enrollment, special education-only schools, prison and hospital schools, home school entities, virtual</w:t>
      </w:r>
      <w:r>
        <w:rPr>
          <w:spacing w:val="-8"/>
        </w:rPr>
        <w:t xml:space="preserve"> </w:t>
      </w:r>
      <w:r>
        <w:t>or</w:t>
      </w:r>
      <w:r>
        <w:rPr>
          <w:spacing w:val="-8"/>
        </w:rPr>
        <w:t xml:space="preserve"> </w:t>
      </w:r>
      <w:r>
        <w:t>online</w:t>
      </w:r>
      <w:r>
        <w:rPr>
          <w:spacing w:val="-8"/>
        </w:rPr>
        <w:t xml:space="preserve"> </w:t>
      </w:r>
      <w:r>
        <w:t>schools,</w:t>
      </w:r>
      <w:r>
        <w:rPr>
          <w:spacing w:val="-8"/>
        </w:rPr>
        <w:t xml:space="preserve"> </w:t>
      </w:r>
      <w:r>
        <w:t>adult</w:t>
      </w:r>
      <w:r>
        <w:rPr>
          <w:spacing w:val="-8"/>
        </w:rPr>
        <w:t xml:space="preserve"> </w:t>
      </w:r>
      <w:r>
        <w:t>and</w:t>
      </w:r>
      <w:r>
        <w:rPr>
          <w:spacing w:val="-8"/>
        </w:rPr>
        <w:t xml:space="preserve"> </w:t>
      </w:r>
      <w:r>
        <w:t>evening</w:t>
      </w:r>
      <w:r>
        <w:rPr>
          <w:spacing w:val="-8"/>
        </w:rPr>
        <w:t xml:space="preserve"> </w:t>
      </w:r>
      <w:r>
        <w:t>schools,</w:t>
      </w:r>
      <w:r>
        <w:rPr>
          <w:spacing w:val="-8"/>
        </w:rPr>
        <w:t xml:space="preserve"> </w:t>
      </w:r>
      <w:r>
        <w:t>and</w:t>
      </w:r>
      <w:r>
        <w:rPr>
          <w:spacing w:val="-8"/>
        </w:rPr>
        <w:t xml:space="preserve"> </w:t>
      </w:r>
      <w:r>
        <w:t>juvenile</w:t>
      </w:r>
      <w:r>
        <w:rPr>
          <w:spacing w:val="-8"/>
        </w:rPr>
        <w:t xml:space="preserve"> </w:t>
      </w:r>
      <w:r>
        <w:t>correctional</w:t>
      </w:r>
      <w:r>
        <w:rPr>
          <w:spacing w:val="-8"/>
        </w:rPr>
        <w:t xml:space="preserve"> </w:t>
      </w:r>
      <w:r>
        <w:t>institutions.</w:t>
      </w:r>
      <w:r>
        <w:rPr>
          <w:spacing w:val="-11"/>
        </w:rPr>
        <w:t xml:space="preserve"> </w:t>
      </w:r>
      <w:r>
        <w:t>Vocational</w:t>
      </w:r>
      <w:r>
        <w:rPr>
          <w:spacing w:val="-8"/>
        </w:rPr>
        <w:t xml:space="preserve"> </w:t>
      </w:r>
      <w:r>
        <w:t>schools</w:t>
      </w:r>
      <w:r>
        <w:rPr>
          <w:spacing w:val="-8"/>
        </w:rPr>
        <w:t xml:space="preserve"> </w:t>
      </w:r>
      <w:r>
        <w:t>with</w:t>
      </w:r>
      <w:r>
        <w:rPr>
          <w:spacing w:val="-8"/>
        </w:rPr>
        <w:t xml:space="preserve"> </w:t>
      </w:r>
      <w:r>
        <w:t>no</w:t>
      </w:r>
      <w:r>
        <w:rPr>
          <w:spacing w:val="-8"/>
        </w:rPr>
        <w:t xml:space="preserve"> </w:t>
      </w:r>
      <w:r>
        <w:t>enrollment</w:t>
      </w:r>
      <w:r>
        <w:rPr>
          <w:spacing w:val="-8"/>
        </w:rPr>
        <w:t xml:space="preserve"> </w:t>
      </w:r>
      <w:r>
        <w:t>serve</w:t>
      </w:r>
      <w:r>
        <w:rPr>
          <w:spacing w:val="-8"/>
        </w:rPr>
        <w:t xml:space="preserve"> </w:t>
      </w:r>
      <w:r>
        <w:t>students</w:t>
      </w:r>
      <w:r>
        <w:rPr>
          <w:spacing w:val="-8"/>
        </w:rPr>
        <w:t xml:space="preserve"> </w:t>
      </w:r>
      <w:r>
        <w:t>who</w:t>
      </w:r>
      <w:r>
        <w:rPr>
          <w:spacing w:val="-8"/>
        </w:rPr>
        <w:t xml:space="preserve"> </w:t>
      </w:r>
      <w:r>
        <w:t>split</w:t>
      </w:r>
      <w:r>
        <w:rPr>
          <w:spacing w:val="-8"/>
        </w:rPr>
        <w:t xml:space="preserve"> </w:t>
      </w:r>
      <w:r>
        <w:t>their</w:t>
      </w:r>
      <w:r>
        <w:rPr>
          <w:spacing w:val="-8"/>
        </w:rPr>
        <w:t xml:space="preserve"> </w:t>
      </w:r>
      <w:r>
        <w:t>time</w:t>
      </w:r>
      <w:r>
        <w:rPr>
          <w:spacing w:val="-8"/>
        </w:rPr>
        <w:t xml:space="preserve"> </w:t>
      </w:r>
      <w:r>
        <w:t>between</w:t>
      </w:r>
      <w:r>
        <w:rPr>
          <w:spacing w:val="-8"/>
        </w:rPr>
        <w:t xml:space="preserve"> </w:t>
      </w:r>
      <w:r>
        <w:t>the vocational school and their home school.</w:t>
      </w:r>
    </w:p>
    <w:p w:rsidR="003F5784" w14:paraId="17C93957" w14:textId="77777777">
      <w:pPr>
        <w:spacing w:line="232" w:lineRule="auto"/>
        <w:sectPr>
          <w:type w:val="continuous"/>
          <w:pgSz w:w="15840" w:h="12240" w:orient="landscape"/>
          <w:pgMar w:top="480" w:right="440" w:bottom="460" w:left="460" w:header="284" w:footer="275" w:gutter="0"/>
          <w:cols w:space="720"/>
        </w:sectPr>
      </w:pPr>
    </w:p>
    <w:p w:rsidR="003F5784" w14:paraId="1DA96A37" w14:textId="77777777">
      <w:pPr>
        <w:pStyle w:val="BodyText"/>
        <w:rPr>
          <w:sz w:val="18"/>
        </w:rPr>
      </w:pPr>
    </w:p>
    <w:p w:rsidR="003F5784" w14:paraId="075C8EE2" w14:textId="77777777">
      <w:pPr>
        <w:pStyle w:val="BodyText"/>
        <w:rPr>
          <w:sz w:val="18"/>
        </w:rPr>
      </w:pPr>
    </w:p>
    <w:p w:rsidR="003F5784" w14:paraId="04E231D9" w14:textId="77777777">
      <w:pPr>
        <w:pStyle w:val="BodyText"/>
        <w:spacing w:before="118"/>
        <w:rPr>
          <w:sz w:val="18"/>
        </w:rPr>
      </w:pPr>
    </w:p>
    <w:p w:rsidR="003F5784" w14:paraId="749EF8B8" w14:textId="77777777">
      <w:pPr>
        <w:ind w:right="113"/>
        <w:jc w:val="right"/>
        <w:rPr>
          <w:sz w:val="18"/>
        </w:rPr>
      </w:pPr>
      <w:hyperlink r:id="rId44">
        <w:r>
          <w:rPr>
            <w:spacing w:val="-2"/>
            <w:w w:val="105"/>
            <w:sz w:val="18"/>
          </w:rPr>
          <w:t>http://nces.ed.gov/nationsreportcard/tdw/sample_design/2022/sampling_frame_for_the_2022_eighth_grade_public_school_nat_assess_in_civics_and_us_history.aspx</w:t>
        </w:r>
      </w:hyperlink>
    </w:p>
    <w:p w:rsidR="003F5784" w14:paraId="11B88F1A" w14:textId="77777777">
      <w:pPr>
        <w:pStyle w:val="BodyText"/>
        <w:rPr>
          <w:sz w:val="16"/>
        </w:rPr>
      </w:pPr>
      <w:r>
        <w:rPr>
          <w:noProof/>
        </w:rPr>
        <mc:AlternateContent>
          <mc:Choice Requires="wps">
            <w:drawing>
              <wp:anchor distT="0" distB="0" distL="0" distR="0" simplePos="0" relativeHeight="251763712" behindDoc="1" locked="0" layoutInCell="1" allowOverlap="1">
                <wp:simplePos x="0" y="0"/>
                <wp:positionH relativeFrom="page">
                  <wp:posOffset>361937</wp:posOffset>
                </wp:positionH>
                <wp:positionV relativeFrom="paragraph">
                  <wp:posOffset>132641</wp:posOffset>
                </wp:positionV>
                <wp:extent cx="9339580" cy="8890"/>
                <wp:effectExtent l="0" t="0" r="0" b="0"/>
                <wp:wrapTopAndBottom/>
                <wp:docPr id="59" name="Graphic 59"/>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9" o:spid="_x0000_s1051" style="width:735.4pt;height:0.7pt;margin-top:10.45pt;margin-left:28.5pt;mso-position-horizontal-relative:page;mso-wrap-distance-bottom:0;mso-wrap-distance-left:0;mso-wrap-distance-right:0;mso-wrap-distance-top:0;mso-wrap-style:square;position:absolute;visibility:visible;v-text-anchor:top;z-index:-251551744" coordsize="9339580,8890" path="m9338970,l9335110,l8280,,,,,8267l9335110,8280l9338970,8280l9338970,xe" fillcolor="gray" stroked="f">
                <v:path arrowok="t"/>
                <w10:wrap type="topAndBottom"/>
              </v:shape>
            </w:pict>
          </mc:Fallback>
        </mc:AlternateContent>
      </w:r>
    </w:p>
    <w:p w:rsidR="003F5784" w14:paraId="70568D6B" w14:textId="77777777">
      <w:pPr>
        <w:pStyle w:val="BodyText"/>
        <w:rPr>
          <w:sz w:val="18"/>
        </w:rPr>
      </w:pPr>
    </w:p>
    <w:p w:rsidR="003F5784" w14:paraId="437C2BD2" w14:textId="77777777">
      <w:pPr>
        <w:pStyle w:val="BodyText"/>
        <w:spacing w:before="193"/>
        <w:rPr>
          <w:sz w:val="18"/>
        </w:rPr>
      </w:pPr>
    </w:p>
    <w:p w:rsidR="003F5784" w14:paraId="0DA9EB23" w14:textId="29034FA2">
      <w:pPr>
        <w:pStyle w:val="Heading1"/>
        <w:spacing w:line="244" w:lineRule="auto"/>
      </w:pPr>
      <w:r>
        <w:t>NAEP</w:t>
      </w:r>
      <w:r>
        <w:rPr>
          <w:spacing w:val="-15"/>
        </w:rPr>
        <w:t xml:space="preserve"> </w:t>
      </w:r>
      <w:r>
        <w:t>Technical Documentation</w:t>
      </w:r>
      <w:r w:rsidR="004833F9">
        <w:t xml:space="preserve"> </w:t>
      </w:r>
      <w:r>
        <w:t>Eighth-Grade Schools and Enrollment in the 2022 Public School Civics and U.S. History Sampling Frame</w:t>
      </w:r>
    </w:p>
    <w:p w:rsidR="003F5784" w14:paraId="4AAE5B02" w14:textId="77777777">
      <w:pPr>
        <w:pStyle w:val="BodyText"/>
        <w:spacing w:before="287" w:line="232" w:lineRule="auto"/>
        <w:ind w:left="109" w:right="179"/>
      </w:pPr>
      <w:r>
        <w:t>The</w:t>
      </w:r>
      <w:r>
        <w:rPr>
          <w:spacing w:val="-6"/>
        </w:rPr>
        <w:t xml:space="preserve"> </w:t>
      </w:r>
      <w:r>
        <w:t>following</w:t>
      </w:r>
      <w:r>
        <w:rPr>
          <w:spacing w:val="-6"/>
        </w:rPr>
        <w:t xml:space="preserve"> </w:t>
      </w:r>
      <w:r>
        <w:t>table</w:t>
      </w:r>
      <w:r>
        <w:rPr>
          <w:spacing w:val="-6"/>
        </w:rPr>
        <w:t xml:space="preserve"> </w:t>
      </w:r>
      <w:r>
        <w:t>presents</w:t>
      </w:r>
      <w:r>
        <w:rPr>
          <w:spacing w:val="-6"/>
        </w:rPr>
        <w:t xml:space="preserve"> </w:t>
      </w:r>
      <w:r>
        <w:t>the</w:t>
      </w:r>
      <w:r>
        <w:rPr>
          <w:spacing w:val="-6"/>
        </w:rPr>
        <w:t xml:space="preserve"> </w:t>
      </w:r>
      <w:r>
        <w:t>number</w:t>
      </w:r>
      <w:r>
        <w:rPr>
          <w:spacing w:val="-6"/>
        </w:rPr>
        <w:t xml:space="preserve"> </w:t>
      </w:r>
      <w:r>
        <w:t>of</w:t>
      </w:r>
      <w:r>
        <w:rPr>
          <w:spacing w:val="-6"/>
        </w:rPr>
        <w:t xml:space="preserve"> </w:t>
      </w:r>
      <w:r>
        <w:t>eighth-grade</w:t>
      </w:r>
      <w:r>
        <w:rPr>
          <w:spacing w:val="-6"/>
        </w:rPr>
        <w:t xml:space="preserve"> </w:t>
      </w:r>
      <w:r>
        <w:t>public</w:t>
      </w:r>
      <w:r>
        <w:rPr>
          <w:spacing w:val="-6"/>
        </w:rPr>
        <w:t xml:space="preserve"> </w:t>
      </w:r>
      <w:r>
        <w:t>schools</w:t>
      </w:r>
      <w:r>
        <w:rPr>
          <w:spacing w:val="-6"/>
        </w:rPr>
        <w:t xml:space="preserve"> </w:t>
      </w:r>
      <w:r>
        <w:t>and</w:t>
      </w:r>
      <w:r>
        <w:rPr>
          <w:spacing w:val="-6"/>
        </w:rPr>
        <w:t xml:space="preserve"> </w:t>
      </w:r>
      <w:r>
        <w:t>its</w:t>
      </w:r>
      <w:r>
        <w:rPr>
          <w:spacing w:val="-6"/>
        </w:rPr>
        <w:t xml:space="preserve"> </w:t>
      </w:r>
      <w:r>
        <w:t>estimated</w:t>
      </w:r>
      <w:r>
        <w:rPr>
          <w:spacing w:val="-6"/>
        </w:rPr>
        <w:t xml:space="preserve"> </w:t>
      </w:r>
      <w:r>
        <w:t>enrollment,</w:t>
      </w:r>
      <w:r>
        <w:rPr>
          <w:spacing w:val="-6"/>
        </w:rPr>
        <w:t xml:space="preserve"> </w:t>
      </w:r>
      <w:r>
        <w:t>as</w:t>
      </w:r>
      <w:r>
        <w:rPr>
          <w:spacing w:val="-6"/>
        </w:rPr>
        <w:t xml:space="preserve"> </w:t>
      </w:r>
      <w:r>
        <w:t>contained</w:t>
      </w:r>
      <w:r>
        <w:rPr>
          <w:spacing w:val="-6"/>
        </w:rPr>
        <w:t xml:space="preserve"> </w:t>
      </w:r>
      <w:r>
        <w:t>in</w:t>
      </w:r>
      <w:r>
        <w:rPr>
          <w:spacing w:val="-6"/>
        </w:rPr>
        <w:t xml:space="preserve"> </w:t>
      </w:r>
      <w:r>
        <w:t>the</w:t>
      </w:r>
      <w:r>
        <w:rPr>
          <w:spacing w:val="-6"/>
        </w:rPr>
        <w:t xml:space="preserve"> </w:t>
      </w:r>
      <w:r>
        <w:t>Common</w:t>
      </w:r>
      <w:r>
        <w:rPr>
          <w:spacing w:val="-6"/>
        </w:rPr>
        <w:t xml:space="preserve"> </w:t>
      </w:r>
      <w:r>
        <w:t>Core</w:t>
      </w:r>
      <w:r>
        <w:rPr>
          <w:spacing w:val="-6"/>
        </w:rPr>
        <w:t xml:space="preserve"> </w:t>
      </w:r>
      <w:r>
        <w:t>of</w:t>
      </w:r>
      <w:r>
        <w:rPr>
          <w:spacing w:val="-6"/>
        </w:rPr>
        <w:t xml:space="preserve"> </w:t>
      </w:r>
      <w:r>
        <w:t>Data</w:t>
      </w:r>
      <w:r>
        <w:rPr>
          <w:spacing w:val="-6"/>
        </w:rPr>
        <w:t xml:space="preserve"> </w:t>
      </w:r>
      <w:r>
        <w:t>(CCD)-based</w:t>
      </w:r>
      <w:r>
        <w:rPr>
          <w:spacing w:val="-6"/>
        </w:rPr>
        <w:t xml:space="preserve"> </w:t>
      </w:r>
      <w:r>
        <w:t>sampling</w:t>
      </w:r>
      <w:r>
        <w:rPr>
          <w:spacing w:val="-6"/>
        </w:rPr>
        <w:t xml:space="preserve"> </w:t>
      </w:r>
      <w:r>
        <w:t>frame, by census region, for the national assessments in civics and U.S. history.</w:t>
      </w:r>
    </w:p>
    <w:p w:rsidR="003F5784" w14:paraId="1DE62589" w14:textId="77777777">
      <w:pPr>
        <w:pStyle w:val="BodyText"/>
        <w:spacing w:before="98"/>
      </w:pPr>
    </w:p>
    <w:p w:rsidR="003F5784" w14:paraId="213AA907" w14:textId="77777777">
      <w:pPr>
        <w:pStyle w:val="Heading2"/>
        <w:spacing w:line="232" w:lineRule="auto"/>
        <w:ind w:left="2892" w:right="2975"/>
      </w:pPr>
      <w:r>
        <w:t>Number</w:t>
      </w:r>
      <w:r>
        <w:rPr>
          <w:spacing w:val="-13"/>
        </w:rPr>
        <w:t xml:space="preserve"> </w:t>
      </w:r>
      <w:r>
        <w:t>of</w:t>
      </w:r>
      <w:r>
        <w:rPr>
          <w:spacing w:val="-10"/>
        </w:rPr>
        <w:t xml:space="preserve"> </w:t>
      </w:r>
      <w:r>
        <w:t>schools</w:t>
      </w:r>
      <w:r>
        <w:rPr>
          <w:spacing w:val="-10"/>
        </w:rPr>
        <w:t xml:space="preserve"> </w:t>
      </w:r>
      <w:r>
        <w:t>and</w:t>
      </w:r>
      <w:r>
        <w:rPr>
          <w:spacing w:val="-10"/>
        </w:rPr>
        <w:t xml:space="preserve"> </w:t>
      </w:r>
      <w:r>
        <w:t>estimated</w:t>
      </w:r>
      <w:r>
        <w:rPr>
          <w:spacing w:val="-10"/>
        </w:rPr>
        <w:t xml:space="preserve"> </w:t>
      </w:r>
      <w:r>
        <w:t>enrollment</w:t>
      </w:r>
      <w:r>
        <w:rPr>
          <w:spacing w:val="-10"/>
        </w:rPr>
        <w:t xml:space="preserve"> </w:t>
      </w:r>
      <w:r>
        <w:t>in</w:t>
      </w:r>
      <w:r>
        <w:rPr>
          <w:spacing w:val="-10"/>
        </w:rPr>
        <w:t xml:space="preserve"> </w:t>
      </w:r>
      <w:r>
        <w:t>CCD-based</w:t>
      </w:r>
      <w:r>
        <w:rPr>
          <w:spacing w:val="-10"/>
        </w:rPr>
        <w:t xml:space="preserve"> </w:t>
      </w:r>
      <w:r>
        <w:t>eighth-grade</w:t>
      </w:r>
      <w:r>
        <w:rPr>
          <w:spacing w:val="-10"/>
        </w:rPr>
        <w:t xml:space="preserve"> </w:t>
      </w:r>
      <w:r>
        <w:t>public</w:t>
      </w:r>
      <w:r>
        <w:rPr>
          <w:spacing w:val="-10"/>
        </w:rPr>
        <w:t xml:space="preserve"> </w:t>
      </w:r>
      <w:r>
        <w:t>school</w:t>
      </w:r>
      <w:r>
        <w:rPr>
          <w:spacing w:val="-10"/>
        </w:rPr>
        <w:t xml:space="preserve"> </w:t>
      </w:r>
      <w:r>
        <w:t>sampling frame,</w:t>
      </w:r>
      <w:r>
        <w:rPr>
          <w:spacing w:val="40"/>
        </w:rPr>
        <w:t xml:space="preserve"> </w:t>
      </w:r>
      <w:r>
        <w:t>national assessment, by census region: 2022</w:t>
      </w:r>
    </w:p>
    <w:p w:rsidR="003F5784" w14:paraId="6273241E" w14:textId="77777777">
      <w:pPr>
        <w:pStyle w:val="BodyText"/>
        <w:spacing w:before="1"/>
        <w:rPr>
          <w:b/>
          <w:sz w:val="12"/>
        </w:rPr>
      </w:pPr>
    </w:p>
    <w:tbl>
      <w:tblPr>
        <w:tblW w:w="0" w:type="auto"/>
        <w:tblInd w:w="2906" w:type="dxa"/>
        <w:tblLayout w:type="fixed"/>
        <w:tblCellMar>
          <w:left w:w="0" w:type="dxa"/>
          <w:right w:w="0" w:type="dxa"/>
        </w:tblCellMar>
        <w:tblLook w:val="01E0"/>
      </w:tblPr>
      <w:tblGrid>
        <w:gridCol w:w="2043"/>
        <w:gridCol w:w="1803"/>
        <w:gridCol w:w="1496"/>
        <w:gridCol w:w="2660"/>
        <w:gridCol w:w="1147"/>
      </w:tblGrid>
      <w:tr w14:paraId="4D120415" w14:textId="77777777">
        <w:tblPrEx>
          <w:tblW w:w="0" w:type="auto"/>
          <w:tblInd w:w="2906" w:type="dxa"/>
          <w:tblLayout w:type="fixed"/>
          <w:tblCellMar>
            <w:left w:w="0" w:type="dxa"/>
            <w:right w:w="0" w:type="dxa"/>
          </w:tblCellMar>
          <w:tblLook w:val="01E0"/>
        </w:tblPrEx>
        <w:trPr>
          <w:trHeight w:val="267"/>
        </w:trPr>
        <w:tc>
          <w:tcPr>
            <w:tcW w:w="2043" w:type="dxa"/>
            <w:tcBorders>
              <w:top w:val="single" w:sz="18" w:space="0" w:color="800000"/>
              <w:bottom w:val="single" w:sz="18" w:space="0" w:color="800000"/>
            </w:tcBorders>
          </w:tcPr>
          <w:p w:rsidR="003F5784" w14:paraId="763D840A" w14:textId="77777777">
            <w:pPr>
              <w:pStyle w:val="TableParagraph"/>
              <w:spacing w:before="9" w:line="238" w:lineRule="exact"/>
              <w:ind w:left="111"/>
              <w:jc w:val="left"/>
              <w:rPr>
                <w:sz w:val="21"/>
              </w:rPr>
            </w:pPr>
            <w:r>
              <w:rPr>
                <w:sz w:val="21"/>
              </w:rPr>
              <w:t>Census</w:t>
            </w:r>
            <w:r>
              <w:rPr>
                <w:spacing w:val="-8"/>
                <w:sz w:val="21"/>
              </w:rPr>
              <w:t xml:space="preserve"> </w:t>
            </w:r>
            <w:r>
              <w:rPr>
                <w:spacing w:val="-2"/>
                <w:sz w:val="21"/>
              </w:rPr>
              <w:t>region</w:t>
            </w:r>
          </w:p>
        </w:tc>
        <w:tc>
          <w:tcPr>
            <w:tcW w:w="1803" w:type="dxa"/>
            <w:tcBorders>
              <w:top w:val="single" w:sz="18" w:space="0" w:color="800000"/>
              <w:bottom w:val="single" w:sz="18" w:space="0" w:color="800000"/>
            </w:tcBorders>
          </w:tcPr>
          <w:p w:rsidR="003F5784" w14:paraId="30FF581D" w14:textId="77777777">
            <w:pPr>
              <w:pStyle w:val="TableParagraph"/>
              <w:spacing w:before="9" w:line="238" w:lineRule="exact"/>
              <w:ind w:right="396"/>
              <w:rPr>
                <w:sz w:val="21"/>
              </w:rPr>
            </w:pPr>
            <w:r>
              <w:rPr>
                <w:spacing w:val="-2"/>
                <w:sz w:val="21"/>
              </w:rPr>
              <w:t>Schools</w:t>
            </w:r>
          </w:p>
        </w:tc>
        <w:tc>
          <w:tcPr>
            <w:tcW w:w="1496" w:type="dxa"/>
            <w:tcBorders>
              <w:top w:val="single" w:sz="18" w:space="0" w:color="800000"/>
              <w:bottom w:val="single" w:sz="18" w:space="0" w:color="800000"/>
            </w:tcBorders>
          </w:tcPr>
          <w:p w:rsidR="003F5784" w14:paraId="4EE41A57" w14:textId="77777777">
            <w:pPr>
              <w:pStyle w:val="TableParagraph"/>
              <w:spacing w:before="9" w:line="238" w:lineRule="exact"/>
              <w:ind w:left="81" w:right="154"/>
              <w:jc w:val="center"/>
              <w:rPr>
                <w:sz w:val="21"/>
              </w:rPr>
            </w:pPr>
            <w:r>
              <w:rPr>
                <w:spacing w:val="-2"/>
                <w:sz w:val="21"/>
              </w:rPr>
              <w:t>Percent</w:t>
            </w:r>
          </w:p>
        </w:tc>
        <w:tc>
          <w:tcPr>
            <w:tcW w:w="2660" w:type="dxa"/>
            <w:tcBorders>
              <w:top w:val="single" w:sz="18" w:space="0" w:color="800000"/>
              <w:bottom w:val="single" w:sz="18" w:space="0" w:color="800000"/>
            </w:tcBorders>
          </w:tcPr>
          <w:p w:rsidR="003F5784" w14:paraId="1FD3523A" w14:textId="77777777">
            <w:pPr>
              <w:pStyle w:val="TableParagraph"/>
              <w:spacing w:before="9" w:line="238" w:lineRule="exact"/>
              <w:ind w:right="397"/>
              <w:rPr>
                <w:sz w:val="21"/>
              </w:rPr>
            </w:pPr>
            <w:r>
              <w:rPr>
                <w:sz w:val="21"/>
              </w:rPr>
              <w:t>Estimated</w:t>
            </w:r>
            <w:r>
              <w:rPr>
                <w:spacing w:val="-10"/>
                <w:sz w:val="21"/>
              </w:rPr>
              <w:t xml:space="preserve"> </w:t>
            </w:r>
            <w:r>
              <w:rPr>
                <w:spacing w:val="-2"/>
                <w:sz w:val="21"/>
              </w:rPr>
              <w:t>enrollment</w:t>
            </w:r>
          </w:p>
        </w:tc>
        <w:tc>
          <w:tcPr>
            <w:tcW w:w="1147" w:type="dxa"/>
            <w:tcBorders>
              <w:top w:val="single" w:sz="18" w:space="0" w:color="800000"/>
              <w:bottom w:val="single" w:sz="18" w:space="0" w:color="800000"/>
            </w:tcBorders>
          </w:tcPr>
          <w:p w:rsidR="003F5784" w14:paraId="09062DA7" w14:textId="77777777">
            <w:pPr>
              <w:pStyle w:val="TableParagraph"/>
              <w:spacing w:before="9" w:line="238" w:lineRule="exact"/>
              <w:ind w:right="121"/>
              <w:rPr>
                <w:sz w:val="21"/>
              </w:rPr>
            </w:pPr>
            <w:r>
              <w:rPr>
                <w:spacing w:val="-2"/>
                <w:sz w:val="21"/>
              </w:rPr>
              <w:t>Percent</w:t>
            </w:r>
          </w:p>
        </w:tc>
      </w:tr>
      <w:tr w14:paraId="2D1317D0" w14:textId="77777777">
        <w:tblPrEx>
          <w:tblW w:w="0" w:type="auto"/>
          <w:tblInd w:w="2906" w:type="dxa"/>
          <w:tblLayout w:type="fixed"/>
          <w:tblCellMar>
            <w:left w:w="0" w:type="dxa"/>
            <w:right w:w="0" w:type="dxa"/>
          </w:tblCellMar>
          <w:tblLook w:val="01E0"/>
        </w:tblPrEx>
        <w:trPr>
          <w:trHeight w:val="278"/>
        </w:trPr>
        <w:tc>
          <w:tcPr>
            <w:tcW w:w="2043" w:type="dxa"/>
            <w:tcBorders>
              <w:top w:val="single" w:sz="18" w:space="0" w:color="800000"/>
            </w:tcBorders>
          </w:tcPr>
          <w:p w:rsidR="003F5784" w14:paraId="47337E1C" w14:textId="77777777">
            <w:pPr>
              <w:pStyle w:val="TableParagraph"/>
              <w:spacing w:before="9"/>
              <w:ind w:left="361"/>
              <w:jc w:val="left"/>
              <w:rPr>
                <w:b/>
                <w:sz w:val="21"/>
              </w:rPr>
            </w:pPr>
            <w:r>
              <w:rPr>
                <w:b/>
                <w:spacing w:val="-2"/>
                <w:sz w:val="21"/>
              </w:rPr>
              <w:t>Total</w:t>
            </w:r>
          </w:p>
        </w:tc>
        <w:tc>
          <w:tcPr>
            <w:tcW w:w="1803" w:type="dxa"/>
            <w:tcBorders>
              <w:top w:val="single" w:sz="18" w:space="0" w:color="800000"/>
            </w:tcBorders>
          </w:tcPr>
          <w:p w:rsidR="003F5784" w14:paraId="1D79C1E7" w14:textId="77777777">
            <w:pPr>
              <w:pStyle w:val="TableParagraph"/>
              <w:spacing w:before="9"/>
              <w:ind w:right="396"/>
              <w:rPr>
                <w:b/>
                <w:sz w:val="21"/>
              </w:rPr>
            </w:pPr>
            <w:r>
              <w:rPr>
                <w:b/>
                <w:spacing w:val="-2"/>
                <w:sz w:val="21"/>
              </w:rPr>
              <w:t>29,272</w:t>
            </w:r>
          </w:p>
        </w:tc>
        <w:tc>
          <w:tcPr>
            <w:tcW w:w="1496" w:type="dxa"/>
            <w:tcBorders>
              <w:top w:val="single" w:sz="18" w:space="0" w:color="800000"/>
            </w:tcBorders>
          </w:tcPr>
          <w:p w:rsidR="003F5784" w14:paraId="63108A91" w14:textId="77777777">
            <w:pPr>
              <w:pStyle w:val="TableParagraph"/>
              <w:spacing w:before="9"/>
              <w:ind w:left="81" w:right="102"/>
              <w:jc w:val="center"/>
              <w:rPr>
                <w:b/>
                <w:sz w:val="21"/>
              </w:rPr>
            </w:pPr>
            <w:r>
              <w:rPr>
                <w:b/>
                <w:spacing w:val="-2"/>
                <w:sz w:val="21"/>
              </w:rPr>
              <w:t>100.00</w:t>
            </w:r>
          </w:p>
        </w:tc>
        <w:tc>
          <w:tcPr>
            <w:tcW w:w="2660" w:type="dxa"/>
            <w:tcBorders>
              <w:top w:val="single" w:sz="18" w:space="0" w:color="800000"/>
            </w:tcBorders>
          </w:tcPr>
          <w:p w:rsidR="003F5784" w14:paraId="0CA0B9BD" w14:textId="77777777">
            <w:pPr>
              <w:pStyle w:val="TableParagraph"/>
              <w:spacing w:before="9"/>
              <w:ind w:right="397"/>
              <w:rPr>
                <w:b/>
                <w:sz w:val="21"/>
              </w:rPr>
            </w:pPr>
            <w:r>
              <w:rPr>
                <w:b/>
                <w:spacing w:val="-2"/>
                <w:sz w:val="21"/>
              </w:rPr>
              <w:t>3,844,110</w:t>
            </w:r>
          </w:p>
        </w:tc>
        <w:tc>
          <w:tcPr>
            <w:tcW w:w="1147" w:type="dxa"/>
            <w:tcBorders>
              <w:top w:val="single" w:sz="18" w:space="0" w:color="800000"/>
            </w:tcBorders>
          </w:tcPr>
          <w:p w:rsidR="003F5784" w14:paraId="0D025211" w14:textId="77777777">
            <w:pPr>
              <w:pStyle w:val="TableParagraph"/>
              <w:spacing w:before="9"/>
              <w:ind w:right="121"/>
              <w:rPr>
                <w:b/>
                <w:sz w:val="21"/>
              </w:rPr>
            </w:pPr>
            <w:r>
              <w:rPr>
                <w:b/>
                <w:spacing w:val="-2"/>
                <w:sz w:val="21"/>
              </w:rPr>
              <w:t>100.00</w:t>
            </w:r>
          </w:p>
        </w:tc>
      </w:tr>
      <w:tr w14:paraId="009B86C0" w14:textId="77777777">
        <w:tblPrEx>
          <w:tblW w:w="0" w:type="auto"/>
          <w:tblInd w:w="2906" w:type="dxa"/>
          <w:tblLayout w:type="fixed"/>
          <w:tblCellMar>
            <w:left w:w="0" w:type="dxa"/>
            <w:right w:w="0" w:type="dxa"/>
          </w:tblCellMar>
          <w:tblLook w:val="01E0"/>
        </w:tblPrEx>
        <w:trPr>
          <w:trHeight w:val="286"/>
        </w:trPr>
        <w:tc>
          <w:tcPr>
            <w:tcW w:w="2043" w:type="dxa"/>
          </w:tcPr>
          <w:p w:rsidR="003F5784" w14:paraId="508564E6" w14:textId="77777777">
            <w:pPr>
              <w:pStyle w:val="TableParagraph"/>
              <w:ind w:left="111"/>
              <w:jc w:val="left"/>
              <w:rPr>
                <w:sz w:val="21"/>
              </w:rPr>
            </w:pPr>
            <w:r>
              <w:rPr>
                <w:spacing w:val="-2"/>
                <w:sz w:val="21"/>
              </w:rPr>
              <w:t>Northeast</w:t>
            </w:r>
          </w:p>
        </w:tc>
        <w:tc>
          <w:tcPr>
            <w:tcW w:w="1803" w:type="dxa"/>
          </w:tcPr>
          <w:p w:rsidR="003F5784" w14:paraId="287C9955" w14:textId="77777777">
            <w:pPr>
              <w:pStyle w:val="TableParagraph"/>
              <w:ind w:right="396"/>
              <w:rPr>
                <w:sz w:val="21"/>
              </w:rPr>
            </w:pPr>
            <w:r>
              <w:rPr>
                <w:spacing w:val="-2"/>
                <w:sz w:val="21"/>
              </w:rPr>
              <w:t>4,538</w:t>
            </w:r>
          </w:p>
        </w:tc>
        <w:tc>
          <w:tcPr>
            <w:tcW w:w="1496" w:type="dxa"/>
          </w:tcPr>
          <w:p w:rsidR="003F5784" w14:paraId="4F131A2F" w14:textId="77777777">
            <w:pPr>
              <w:pStyle w:val="TableParagraph"/>
              <w:ind w:left="154" w:right="73"/>
              <w:jc w:val="center"/>
              <w:rPr>
                <w:sz w:val="21"/>
              </w:rPr>
            </w:pPr>
            <w:r>
              <w:rPr>
                <w:spacing w:val="-2"/>
                <w:sz w:val="21"/>
              </w:rPr>
              <w:t>15.50</w:t>
            </w:r>
          </w:p>
        </w:tc>
        <w:tc>
          <w:tcPr>
            <w:tcW w:w="2660" w:type="dxa"/>
          </w:tcPr>
          <w:p w:rsidR="003F5784" w14:paraId="2AE061C8" w14:textId="77777777">
            <w:pPr>
              <w:pStyle w:val="TableParagraph"/>
              <w:ind w:right="397"/>
              <w:rPr>
                <w:sz w:val="21"/>
              </w:rPr>
            </w:pPr>
            <w:r>
              <w:rPr>
                <w:spacing w:val="-2"/>
                <w:sz w:val="21"/>
              </w:rPr>
              <w:t>587,506</w:t>
            </w:r>
          </w:p>
        </w:tc>
        <w:tc>
          <w:tcPr>
            <w:tcW w:w="1147" w:type="dxa"/>
          </w:tcPr>
          <w:p w:rsidR="003F5784" w14:paraId="7D13EDED" w14:textId="77777777">
            <w:pPr>
              <w:pStyle w:val="TableParagraph"/>
              <w:ind w:right="121"/>
              <w:rPr>
                <w:sz w:val="21"/>
              </w:rPr>
            </w:pPr>
            <w:r>
              <w:rPr>
                <w:spacing w:val="-2"/>
                <w:sz w:val="21"/>
              </w:rPr>
              <w:t>15.28</w:t>
            </w:r>
          </w:p>
        </w:tc>
      </w:tr>
      <w:tr w14:paraId="11D77B1D" w14:textId="77777777">
        <w:tblPrEx>
          <w:tblW w:w="0" w:type="auto"/>
          <w:tblInd w:w="2906" w:type="dxa"/>
          <w:tblLayout w:type="fixed"/>
          <w:tblCellMar>
            <w:left w:w="0" w:type="dxa"/>
            <w:right w:w="0" w:type="dxa"/>
          </w:tblCellMar>
          <w:tblLook w:val="01E0"/>
        </w:tblPrEx>
        <w:trPr>
          <w:trHeight w:val="286"/>
        </w:trPr>
        <w:tc>
          <w:tcPr>
            <w:tcW w:w="2043" w:type="dxa"/>
          </w:tcPr>
          <w:p w:rsidR="003F5784" w14:paraId="698D2BB8" w14:textId="77777777">
            <w:pPr>
              <w:pStyle w:val="TableParagraph"/>
              <w:ind w:left="111"/>
              <w:jc w:val="left"/>
              <w:rPr>
                <w:sz w:val="21"/>
              </w:rPr>
            </w:pPr>
            <w:r>
              <w:rPr>
                <w:spacing w:val="-2"/>
                <w:sz w:val="21"/>
              </w:rPr>
              <w:t>Midwest</w:t>
            </w:r>
          </w:p>
        </w:tc>
        <w:tc>
          <w:tcPr>
            <w:tcW w:w="1803" w:type="dxa"/>
          </w:tcPr>
          <w:p w:rsidR="003F5784" w14:paraId="67D325FB" w14:textId="77777777">
            <w:pPr>
              <w:pStyle w:val="TableParagraph"/>
              <w:ind w:right="396"/>
              <w:rPr>
                <w:sz w:val="21"/>
              </w:rPr>
            </w:pPr>
            <w:r>
              <w:rPr>
                <w:spacing w:val="-2"/>
                <w:sz w:val="21"/>
              </w:rPr>
              <w:t>7,843</w:t>
            </w:r>
          </w:p>
        </w:tc>
        <w:tc>
          <w:tcPr>
            <w:tcW w:w="1496" w:type="dxa"/>
          </w:tcPr>
          <w:p w:rsidR="003F5784" w14:paraId="2A650851" w14:textId="77777777">
            <w:pPr>
              <w:pStyle w:val="TableParagraph"/>
              <w:ind w:left="154" w:right="73"/>
              <w:jc w:val="center"/>
              <w:rPr>
                <w:sz w:val="21"/>
              </w:rPr>
            </w:pPr>
            <w:r>
              <w:rPr>
                <w:spacing w:val="-2"/>
                <w:sz w:val="21"/>
              </w:rPr>
              <w:t>26.79</w:t>
            </w:r>
          </w:p>
        </w:tc>
        <w:tc>
          <w:tcPr>
            <w:tcW w:w="2660" w:type="dxa"/>
          </w:tcPr>
          <w:p w:rsidR="003F5784" w14:paraId="00FCE81E" w14:textId="77777777">
            <w:pPr>
              <w:pStyle w:val="TableParagraph"/>
              <w:ind w:right="397"/>
              <w:rPr>
                <w:sz w:val="21"/>
              </w:rPr>
            </w:pPr>
            <w:r>
              <w:rPr>
                <w:spacing w:val="-2"/>
                <w:sz w:val="21"/>
              </w:rPr>
              <w:t>789,395</w:t>
            </w:r>
          </w:p>
        </w:tc>
        <w:tc>
          <w:tcPr>
            <w:tcW w:w="1147" w:type="dxa"/>
          </w:tcPr>
          <w:p w:rsidR="003F5784" w14:paraId="01616E77" w14:textId="77777777">
            <w:pPr>
              <w:pStyle w:val="TableParagraph"/>
              <w:ind w:right="121"/>
              <w:rPr>
                <w:sz w:val="21"/>
              </w:rPr>
            </w:pPr>
            <w:r>
              <w:rPr>
                <w:spacing w:val="-2"/>
                <w:sz w:val="21"/>
              </w:rPr>
              <w:t>20.54</w:t>
            </w:r>
          </w:p>
        </w:tc>
      </w:tr>
      <w:tr w14:paraId="2A887D50" w14:textId="77777777">
        <w:tblPrEx>
          <w:tblW w:w="0" w:type="auto"/>
          <w:tblInd w:w="2906" w:type="dxa"/>
          <w:tblLayout w:type="fixed"/>
          <w:tblCellMar>
            <w:left w:w="0" w:type="dxa"/>
            <w:right w:w="0" w:type="dxa"/>
          </w:tblCellMar>
          <w:tblLook w:val="01E0"/>
        </w:tblPrEx>
        <w:trPr>
          <w:trHeight w:val="286"/>
        </w:trPr>
        <w:tc>
          <w:tcPr>
            <w:tcW w:w="2043" w:type="dxa"/>
          </w:tcPr>
          <w:p w:rsidR="003F5784" w14:paraId="129AC923" w14:textId="77777777">
            <w:pPr>
              <w:pStyle w:val="TableParagraph"/>
              <w:ind w:left="111"/>
              <w:jc w:val="left"/>
              <w:rPr>
                <w:sz w:val="21"/>
              </w:rPr>
            </w:pPr>
            <w:r>
              <w:rPr>
                <w:spacing w:val="-2"/>
                <w:sz w:val="21"/>
              </w:rPr>
              <w:t>South</w:t>
            </w:r>
          </w:p>
        </w:tc>
        <w:tc>
          <w:tcPr>
            <w:tcW w:w="1803" w:type="dxa"/>
          </w:tcPr>
          <w:p w:rsidR="003F5784" w14:paraId="5722F461" w14:textId="77777777">
            <w:pPr>
              <w:pStyle w:val="TableParagraph"/>
              <w:ind w:right="396"/>
              <w:rPr>
                <w:sz w:val="21"/>
              </w:rPr>
            </w:pPr>
            <w:r>
              <w:rPr>
                <w:spacing w:val="-2"/>
                <w:sz w:val="21"/>
              </w:rPr>
              <w:t>9,594</w:t>
            </w:r>
          </w:p>
        </w:tc>
        <w:tc>
          <w:tcPr>
            <w:tcW w:w="1496" w:type="dxa"/>
          </w:tcPr>
          <w:p w:rsidR="003F5784" w14:paraId="73061952" w14:textId="77777777">
            <w:pPr>
              <w:pStyle w:val="TableParagraph"/>
              <w:ind w:left="154" w:right="73"/>
              <w:jc w:val="center"/>
              <w:rPr>
                <w:sz w:val="21"/>
              </w:rPr>
            </w:pPr>
            <w:r>
              <w:rPr>
                <w:spacing w:val="-2"/>
                <w:sz w:val="21"/>
              </w:rPr>
              <w:t>32.78</w:t>
            </w:r>
          </w:p>
        </w:tc>
        <w:tc>
          <w:tcPr>
            <w:tcW w:w="2660" w:type="dxa"/>
          </w:tcPr>
          <w:p w:rsidR="003F5784" w14:paraId="4C064C7C" w14:textId="77777777">
            <w:pPr>
              <w:pStyle w:val="TableParagraph"/>
              <w:ind w:right="397"/>
              <w:rPr>
                <w:sz w:val="21"/>
              </w:rPr>
            </w:pPr>
            <w:r>
              <w:rPr>
                <w:spacing w:val="-2"/>
                <w:sz w:val="21"/>
              </w:rPr>
              <w:t>1,526,006</w:t>
            </w:r>
          </w:p>
        </w:tc>
        <w:tc>
          <w:tcPr>
            <w:tcW w:w="1147" w:type="dxa"/>
          </w:tcPr>
          <w:p w:rsidR="003F5784" w14:paraId="28B107E4" w14:textId="77777777">
            <w:pPr>
              <w:pStyle w:val="TableParagraph"/>
              <w:ind w:right="121"/>
              <w:rPr>
                <w:sz w:val="21"/>
              </w:rPr>
            </w:pPr>
            <w:r>
              <w:rPr>
                <w:spacing w:val="-2"/>
                <w:sz w:val="21"/>
              </w:rPr>
              <w:t>39.70</w:t>
            </w:r>
          </w:p>
        </w:tc>
      </w:tr>
      <w:tr w14:paraId="64DF1A1A" w14:textId="77777777">
        <w:tblPrEx>
          <w:tblW w:w="0" w:type="auto"/>
          <w:tblInd w:w="2906" w:type="dxa"/>
          <w:tblLayout w:type="fixed"/>
          <w:tblCellMar>
            <w:left w:w="0" w:type="dxa"/>
            <w:right w:w="0" w:type="dxa"/>
          </w:tblCellMar>
          <w:tblLook w:val="01E0"/>
        </w:tblPrEx>
        <w:trPr>
          <w:trHeight w:val="288"/>
        </w:trPr>
        <w:tc>
          <w:tcPr>
            <w:tcW w:w="2043" w:type="dxa"/>
            <w:tcBorders>
              <w:bottom w:val="single" w:sz="18" w:space="0" w:color="800000"/>
            </w:tcBorders>
          </w:tcPr>
          <w:p w:rsidR="003F5784" w14:paraId="513C247A" w14:textId="77777777">
            <w:pPr>
              <w:pStyle w:val="TableParagraph"/>
              <w:ind w:left="111"/>
              <w:jc w:val="left"/>
              <w:rPr>
                <w:sz w:val="21"/>
              </w:rPr>
            </w:pPr>
            <w:r>
              <w:rPr>
                <w:spacing w:val="-4"/>
                <w:sz w:val="21"/>
              </w:rPr>
              <w:t>West</w:t>
            </w:r>
          </w:p>
        </w:tc>
        <w:tc>
          <w:tcPr>
            <w:tcW w:w="1803" w:type="dxa"/>
            <w:tcBorders>
              <w:bottom w:val="single" w:sz="18" w:space="0" w:color="800000"/>
            </w:tcBorders>
          </w:tcPr>
          <w:p w:rsidR="003F5784" w14:paraId="0B5041ED" w14:textId="77777777">
            <w:pPr>
              <w:pStyle w:val="TableParagraph"/>
              <w:ind w:right="396"/>
              <w:rPr>
                <w:sz w:val="21"/>
              </w:rPr>
            </w:pPr>
            <w:r>
              <w:rPr>
                <w:spacing w:val="-2"/>
                <w:sz w:val="21"/>
              </w:rPr>
              <w:t>7,297</w:t>
            </w:r>
          </w:p>
        </w:tc>
        <w:tc>
          <w:tcPr>
            <w:tcW w:w="1496" w:type="dxa"/>
            <w:tcBorders>
              <w:bottom w:val="single" w:sz="18" w:space="0" w:color="800000"/>
            </w:tcBorders>
          </w:tcPr>
          <w:p w:rsidR="003F5784" w14:paraId="20FDE044" w14:textId="77777777">
            <w:pPr>
              <w:pStyle w:val="TableParagraph"/>
              <w:ind w:left="154" w:right="73"/>
              <w:jc w:val="center"/>
              <w:rPr>
                <w:sz w:val="21"/>
              </w:rPr>
            </w:pPr>
            <w:r>
              <w:rPr>
                <w:spacing w:val="-2"/>
                <w:sz w:val="21"/>
              </w:rPr>
              <w:t>24.93</w:t>
            </w:r>
          </w:p>
        </w:tc>
        <w:tc>
          <w:tcPr>
            <w:tcW w:w="2660" w:type="dxa"/>
            <w:tcBorders>
              <w:bottom w:val="single" w:sz="18" w:space="0" w:color="800000"/>
            </w:tcBorders>
          </w:tcPr>
          <w:p w:rsidR="003F5784" w14:paraId="469148E6" w14:textId="77777777">
            <w:pPr>
              <w:pStyle w:val="TableParagraph"/>
              <w:ind w:right="397"/>
              <w:rPr>
                <w:sz w:val="21"/>
              </w:rPr>
            </w:pPr>
            <w:r>
              <w:rPr>
                <w:spacing w:val="-2"/>
                <w:sz w:val="21"/>
              </w:rPr>
              <w:t>941,203</w:t>
            </w:r>
          </w:p>
        </w:tc>
        <w:tc>
          <w:tcPr>
            <w:tcW w:w="1147" w:type="dxa"/>
            <w:tcBorders>
              <w:bottom w:val="single" w:sz="18" w:space="0" w:color="800000"/>
            </w:tcBorders>
          </w:tcPr>
          <w:p w:rsidR="003F5784" w14:paraId="4EA6823C" w14:textId="77777777">
            <w:pPr>
              <w:pStyle w:val="TableParagraph"/>
              <w:ind w:right="121"/>
              <w:rPr>
                <w:sz w:val="21"/>
              </w:rPr>
            </w:pPr>
            <w:r>
              <w:rPr>
                <w:spacing w:val="-2"/>
                <w:sz w:val="21"/>
              </w:rPr>
              <w:t>24.48</w:t>
            </w:r>
          </w:p>
        </w:tc>
      </w:tr>
      <w:tr w14:paraId="3DB07A80" w14:textId="77777777">
        <w:tblPrEx>
          <w:tblW w:w="0" w:type="auto"/>
          <w:tblInd w:w="2906" w:type="dxa"/>
          <w:tblLayout w:type="fixed"/>
          <w:tblCellMar>
            <w:left w:w="0" w:type="dxa"/>
            <w:right w:w="0" w:type="dxa"/>
          </w:tblCellMar>
          <w:tblLook w:val="01E0"/>
        </w:tblPrEx>
        <w:trPr>
          <w:trHeight w:val="706"/>
        </w:trPr>
        <w:tc>
          <w:tcPr>
            <w:tcW w:w="9149" w:type="dxa"/>
            <w:gridSpan w:val="5"/>
            <w:tcBorders>
              <w:top w:val="single" w:sz="18" w:space="0" w:color="800000"/>
            </w:tcBorders>
          </w:tcPr>
          <w:p w:rsidR="003F5784" w14:paraId="5DF93D45" w14:textId="77777777">
            <w:pPr>
              <w:pStyle w:val="TableParagraph"/>
              <w:spacing w:before="0" w:line="234" w:lineRule="exact"/>
              <w:ind w:left="111" w:right="256"/>
              <w:jc w:val="left"/>
              <w:rPr>
                <w:sz w:val="21"/>
              </w:rPr>
            </w:pPr>
            <w:r>
              <w:rPr>
                <w:sz w:val="21"/>
              </w:rPr>
              <w:t>SOURCE:</w:t>
            </w:r>
            <w:r>
              <w:rPr>
                <w:spacing w:val="-9"/>
                <w:sz w:val="21"/>
              </w:rPr>
              <w:t xml:space="preserve"> </w:t>
            </w:r>
            <w:r>
              <w:rPr>
                <w:sz w:val="21"/>
              </w:rPr>
              <w:t>U.S.</w:t>
            </w:r>
            <w:r>
              <w:rPr>
                <w:spacing w:val="-9"/>
                <w:sz w:val="21"/>
              </w:rPr>
              <w:t xml:space="preserve"> </w:t>
            </w:r>
            <w:r>
              <w:rPr>
                <w:sz w:val="21"/>
              </w:rPr>
              <w:t>Department</w:t>
            </w:r>
            <w:r>
              <w:rPr>
                <w:spacing w:val="-9"/>
                <w:sz w:val="21"/>
              </w:rPr>
              <w:t xml:space="preserve"> </w:t>
            </w:r>
            <w:r>
              <w:rPr>
                <w:sz w:val="21"/>
              </w:rPr>
              <w:t>of</w:t>
            </w:r>
            <w:r>
              <w:rPr>
                <w:spacing w:val="-9"/>
                <w:sz w:val="21"/>
              </w:rPr>
              <w:t xml:space="preserve"> </w:t>
            </w:r>
            <w:r>
              <w:rPr>
                <w:sz w:val="21"/>
              </w:rPr>
              <w:t>Education,</w:t>
            </w:r>
            <w:r>
              <w:rPr>
                <w:spacing w:val="-9"/>
                <w:sz w:val="21"/>
              </w:rPr>
              <w:t xml:space="preserve"> </w:t>
            </w:r>
            <w:r>
              <w:rPr>
                <w:sz w:val="21"/>
              </w:rPr>
              <w:t>Institute</w:t>
            </w:r>
            <w:r>
              <w:rPr>
                <w:spacing w:val="-9"/>
                <w:sz w:val="21"/>
              </w:rPr>
              <w:t xml:space="preserve"> </w:t>
            </w:r>
            <w:r>
              <w:rPr>
                <w:sz w:val="21"/>
              </w:rPr>
              <w:t>of</w:t>
            </w:r>
            <w:r>
              <w:rPr>
                <w:spacing w:val="-9"/>
                <w:sz w:val="21"/>
              </w:rPr>
              <w:t xml:space="preserve"> </w:t>
            </w:r>
            <w:r>
              <w:rPr>
                <w:sz w:val="21"/>
              </w:rPr>
              <w:t>Education</w:t>
            </w:r>
            <w:r>
              <w:rPr>
                <w:spacing w:val="-9"/>
                <w:sz w:val="21"/>
              </w:rPr>
              <w:t xml:space="preserve"> </w:t>
            </w:r>
            <w:r>
              <w:rPr>
                <w:sz w:val="21"/>
              </w:rPr>
              <w:t>Sciences,</w:t>
            </w:r>
            <w:r>
              <w:rPr>
                <w:spacing w:val="-9"/>
                <w:sz w:val="21"/>
              </w:rPr>
              <w:t xml:space="preserve"> </w:t>
            </w:r>
            <w:r>
              <w:rPr>
                <w:sz w:val="21"/>
              </w:rPr>
              <w:t>National</w:t>
            </w:r>
            <w:r>
              <w:rPr>
                <w:spacing w:val="-9"/>
                <w:sz w:val="21"/>
              </w:rPr>
              <w:t xml:space="preserve"> </w:t>
            </w:r>
            <w:r>
              <w:rPr>
                <w:sz w:val="21"/>
              </w:rPr>
              <w:t>Center</w:t>
            </w:r>
            <w:r>
              <w:rPr>
                <w:spacing w:val="-9"/>
                <w:sz w:val="21"/>
              </w:rPr>
              <w:t xml:space="preserve"> </w:t>
            </w:r>
            <w:r>
              <w:rPr>
                <w:sz w:val="21"/>
              </w:rPr>
              <w:t>for</w:t>
            </w:r>
            <w:r>
              <w:rPr>
                <w:spacing w:val="-9"/>
                <w:sz w:val="21"/>
              </w:rPr>
              <w:t xml:space="preserve"> </w:t>
            </w:r>
            <w:r>
              <w:rPr>
                <w:sz w:val="21"/>
              </w:rPr>
              <w:t>Education Statistics,</w:t>
            </w:r>
            <w:r>
              <w:rPr>
                <w:spacing w:val="-3"/>
                <w:sz w:val="21"/>
              </w:rPr>
              <w:t xml:space="preserve"> </w:t>
            </w:r>
            <w:r>
              <w:rPr>
                <w:sz w:val="21"/>
              </w:rPr>
              <w:t>National</w:t>
            </w:r>
            <w:r>
              <w:rPr>
                <w:spacing w:val="-14"/>
                <w:sz w:val="21"/>
              </w:rPr>
              <w:t xml:space="preserve"> </w:t>
            </w:r>
            <w:r>
              <w:rPr>
                <w:sz w:val="21"/>
              </w:rPr>
              <w:t>Assessment</w:t>
            </w:r>
            <w:r>
              <w:rPr>
                <w:spacing w:val="-2"/>
                <w:sz w:val="21"/>
              </w:rPr>
              <w:t xml:space="preserve"> </w:t>
            </w:r>
            <w:r>
              <w:rPr>
                <w:sz w:val="21"/>
              </w:rPr>
              <w:t>of</w:t>
            </w:r>
            <w:r>
              <w:rPr>
                <w:spacing w:val="-3"/>
                <w:sz w:val="21"/>
              </w:rPr>
              <w:t xml:space="preserve"> </w:t>
            </w:r>
            <w:r>
              <w:rPr>
                <w:sz w:val="21"/>
              </w:rPr>
              <w:t>Educational</w:t>
            </w:r>
            <w:r>
              <w:rPr>
                <w:spacing w:val="-3"/>
                <w:sz w:val="21"/>
              </w:rPr>
              <w:t xml:space="preserve"> </w:t>
            </w:r>
            <w:r>
              <w:rPr>
                <w:sz w:val="21"/>
              </w:rPr>
              <w:t>Progress</w:t>
            </w:r>
            <w:r>
              <w:rPr>
                <w:spacing w:val="-3"/>
                <w:sz w:val="21"/>
              </w:rPr>
              <w:t xml:space="preserve"> </w:t>
            </w:r>
            <w:r>
              <w:rPr>
                <w:sz w:val="21"/>
              </w:rPr>
              <w:t>(NAEP),</w:t>
            </w:r>
            <w:r>
              <w:rPr>
                <w:spacing w:val="-3"/>
                <w:sz w:val="21"/>
              </w:rPr>
              <w:t xml:space="preserve"> </w:t>
            </w:r>
            <w:r>
              <w:rPr>
                <w:sz w:val="21"/>
              </w:rPr>
              <w:t>2022</w:t>
            </w:r>
            <w:r>
              <w:rPr>
                <w:spacing w:val="-3"/>
                <w:sz w:val="21"/>
              </w:rPr>
              <w:t xml:space="preserve"> </w:t>
            </w:r>
            <w:r>
              <w:rPr>
                <w:sz w:val="21"/>
              </w:rPr>
              <w:t>National</w:t>
            </w:r>
            <w:r>
              <w:rPr>
                <w:spacing w:val="-3"/>
                <w:sz w:val="21"/>
              </w:rPr>
              <w:t xml:space="preserve"> </w:t>
            </w:r>
            <w:r>
              <w:rPr>
                <w:sz w:val="21"/>
              </w:rPr>
              <w:t>Civics</w:t>
            </w:r>
            <w:r>
              <w:rPr>
                <w:spacing w:val="-3"/>
                <w:sz w:val="21"/>
              </w:rPr>
              <w:t xml:space="preserve"> </w:t>
            </w:r>
            <w:r>
              <w:rPr>
                <w:sz w:val="21"/>
              </w:rPr>
              <w:t>and</w:t>
            </w:r>
            <w:r>
              <w:rPr>
                <w:spacing w:val="-3"/>
                <w:sz w:val="21"/>
              </w:rPr>
              <w:t xml:space="preserve"> </w:t>
            </w:r>
            <w:r>
              <w:rPr>
                <w:sz w:val="21"/>
              </w:rPr>
              <w:t>U.S.</w:t>
            </w:r>
            <w:r>
              <w:rPr>
                <w:spacing w:val="-3"/>
                <w:sz w:val="21"/>
              </w:rPr>
              <w:t xml:space="preserve"> </w:t>
            </w:r>
            <w:r>
              <w:rPr>
                <w:sz w:val="21"/>
              </w:rPr>
              <w:t xml:space="preserve">History </w:t>
            </w:r>
            <w:r>
              <w:rPr>
                <w:spacing w:val="-2"/>
                <w:sz w:val="21"/>
              </w:rPr>
              <w:t>Assessments.</w:t>
            </w:r>
          </w:p>
        </w:tc>
      </w:tr>
    </w:tbl>
    <w:p w:rsidR="003F5784" w14:paraId="365852B2" w14:textId="77777777">
      <w:pPr>
        <w:pStyle w:val="BodyText"/>
        <w:rPr>
          <w:b/>
        </w:rPr>
      </w:pPr>
    </w:p>
    <w:p w:rsidR="003F5784" w14:paraId="75695A77" w14:textId="77777777">
      <w:pPr>
        <w:pStyle w:val="BodyText"/>
        <w:rPr>
          <w:b/>
        </w:rPr>
      </w:pPr>
    </w:p>
    <w:p w:rsidR="003F5784" w14:paraId="65C08555" w14:textId="77777777">
      <w:pPr>
        <w:pStyle w:val="BodyText"/>
        <w:spacing w:before="198"/>
        <w:rPr>
          <w:b/>
        </w:rPr>
      </w:pPr>
    </w:p>
    <w:p w:rsidR="003F5784" w14:paraId="25C802B2" w14:textId="77777777">
      <w:pPr>
        <w:ind w:right="113"/>
        <w:jc w:val="right"/>
        <w:rPr>
          <w:sz w:val="18"/>
        </w:rPr>
      </w:pPr>
      <w:hyperlink r:id="rId45">
        <w:r>
          <w:rPr>
            <w:spacing w:val="-2"/>
            <w:w w:val="105"/>
            <w:sz w:val="18"/>
          </w:rPr>
          <w:t>http://nces.ed.gov/nationsreportcard/tdw/sample_design/2022/eighth_grade_schools_and_enrollment_in_the_2022_public_school_civics_and_us_history_sampling_frame.aspx</w:t>
        </w:r>
      </w:hyperlink>
    </w:p>
    <w:p w:rsidR="003F5784" w14:paraId="051C20F6" w14:textId="77777777">
      <w:pPr>
        <w:pStyle w:val="BodyText"/>
        <w:spacing w:before="11"/>
        <w:rPr>
          <w:sz w:val="14"/>
        </w:rPr>
      </w:pPr>
      <w:r>
        <w:rPr>
          <w:noProof/>
        </w:rPr>
        <mc:AlternateContent>
          <mc:Choice Requires="wps">
            <w:drawing>
              <wp:anchor distT="0" distB="0" distL="0" distR="0" simplePos="0" relativeHeight="251765760" behindDoc="1" locked="0" layoutInCell="1" allowOverlap="1">
                <wp:simplePos x="0" y="0"/>
                <wp:positionH relativeFrom="page">
                  <wp:posOffset>361937</wp:posOffset>
                </wp:positionH>
                <wp:positionV relativeFrom="paragraph">
                  <wp:posOffset>124629</wp:posOffset>
                </wp:positionV>
                <wp:extent cx="9339580" cy="8890"/>
                <wp:effectExtent l="0" t="0" r="0" b="0"/>
                <wp:wrapTopAndBottom/>
                <wp:docPr id="60" name="Graphic 60"/>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80"/>
                              </a:lnTo>
                              <a:lnTo>
                                <a:pt x="8280" y="8280"/>
                              </a:lnTo>
                              <a:lnTo>
                                <a:pt x="9335110" y="8280"/>
                              </a:lnTo>
                              <a:lnTo>
                                <a:pt x="9338970" y="8280"/>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60" o:spid="_x0000_s1052" style="width:735.4pt;height:0.7pt;margin-top:9.8pt;margin-left:28.5pt;mso-position-horizontal-relative:page;mso-wrap-distance-bottom:0;mso-wrap-distance-left:0;mso-wrap-distance-right:0;mso-wrap-distance-top:0;mso-wrap-style:square;position:absolute;visibility:visible;v-text-anchor:top;z-index:-251549696" coordsize="9339580,8890" path="m9338970,12l9335110,12l8280,12,,,,8280l8280,8280l9335110,8280l9338970,8280l9338970,12xe" fillcolor="gray" stroked="f">
                <v:path arrowok="t"/>
                <w10:wrap type="topAndBottom"/>
              </v:shape>
            </w:pict>
          </mc:Fallback>
        </mc:AlternateContent>
      </w:r>
    </w:p>
    <w:p w:rsidR="003F5784" w14:paraId="23293CFC" w14:textId="77777777">
      <w:pPr>
        <w:pStyle w:val="BodyText"/>
        <w:rPr>
          <w:sz w:val="18"/>
        </w:rPr>
      </w:pPr>
    </w:p>
    <w:p w:rsidR="003F5784" w14:paraId="00154B32" w14:textId="77777777">
      <w:pPr>
        <w:pStyle w:val="BodyText"/>
        <w:spacing w:before="206"/>
        <w:rPr>
          <w:sz w:val="18"/>
        </w:rPr>
      </w:pPr>
    </w:p>
    <w:p w:rsidR="003F5784" w14:paraId="4BF260C1" w14:textId="7F12D45D">
      <w:pPr>
        <w:pStyle w:val="Heading1"/>
        <w:spacing w:line="244" w:lineRule="auto"/>
      </w:pPr>
      <w:r>
        <w:t>NAEP</w:t>
      </w:r>
      <w:r>
        <w:rPr>
          <w:spacing w:val="-14"/>
        </w:rPr>
        <w:t xml:space="preserve"> </w:t>
      </w:r>
      <w:r>
        <w:t>Technical Documentation</w:t>
      </w:r>
      <w:r w:rsidR="004833F9">
        <w:t xml:space="preserve"> </w:t>
      </w:r>
      <w:r>
        <w:t>New-School Sampling Frame for the 2022 Eighth- Grade Public School National Assessment in Civics and U.S. History</w:t>
      </w:r>
    </w:p>
    <w:p w:rsidR="003F5784" w14:paraId="2C76B0AC" w14:textId="77777777">
      <w:pPr>
        <w:pStyle w:val="BodyText"/>
        <w:spacing w:before="274" w:line="232" w:lineRule="auto"/>
        <w:ind w:left="109" w:right="179"/>
      </w:pPr>
      <w:r>
        <w:t xml:space="preserve">The primary sampling frame for the 2022 eighth-grade public school sample for the national assessments in civics and U.S. history was constructed using the most current </w:t>
      </w:r>
      <w:r>
        <w:rPr>
          <w:color w:val="0066CC"/>
        </w:rPr>
        <w:t>Common Core of Data (CCD)</w:t>
      </w:r>
      <w:r>
        <w:rPr>
          <w:color w:val="0066CC"/>
          <w:spacing w:val="40"/>
        </w:rPr>
        <w:t xml:space="preserve"> </w:t>
      </w:r>
      <w:r>
        <w:t>file available from NCES.</w:t>
      </w:r>
      <w:r>
        <w:rPr>
          <w:spacing w:val="-3"/>
        </w:rPr>
        <w:t xml:space="preserve"> </w:t>
      </w:r>
      <w:r>
        <w:t>This file contained schools that were in existence during the 2019–2020 school year (i.e., it was two years out of date).</w:t>
      </w:r>
      <w:r>
        <w:rPr>
          <w:spacing w:val="-7"/>
        </w:rPr>
        <w:t xml:space="preserve"> </w:t>
      </w:r>
      <w:r>
        <w:t>During</w:t>
      </w:r>
      <w:r>
        <w:rPr>
          <w:spacing w:val="-7"/>
        </w:rPr>
        <w:t xml:space="preserve"> </w:t>
      </w:r>
      <w:r>
        <w:t>the</w:t>
      </w:r>
      <w:r>
        <w:rPr>
          <w:spacing w:val="-7"/>
        </w:rPr>
        <w:t xml:space="preserve"> </w:t>
      </w:r>
      <w:r>
        <w:t>subsequent</w:t>
      </w:r>
      <w:r>
        <w:rPr>
          <w:spacing w:val="-7"/>
        </w:rPr>
        <w:t xml:space="preserve"> </w:t>
      </w:r>
      <w:r>
        <w:t>2-year</w:t>
      </w:r>
      <w:r>
        <w:rPr>
          <w:spacing w:val="-7"/>
        </w:rPr>
        <w:t xml:space="preserve"> </w:t>
      </w:r>
      <w:r>
        <w:t>period,</w:t>
      </w:r>
      <w:r>
        <w:rPr>
          <w:spacing w:val="-7"/>
        </w:rPr>
        <w:t xml:space="preserve"> </w:t>
      </w:r>
      <w:r>
        <w:t>undoubtedly</w:t>
      </w:r>
      <w:r>
        <w:rPr>
          <w:spacing w:val="-7"/>
        </w:rPr>
        <w:t xml:space="preserve"> </w:t>
      </w:r>
      <w:r>
        <w:t>some</w:t>
      </w:r>
      <w:r>
        <w:rPr>
          <w:spacing w:val="-7"/>
        </w:rPr>
        <w:t xml:space="preserve"> </w:t>
      </w:r>
      <w:r>
        <w:t>schools</w:t>
      </w:r>
      <w:r>
        <w:rPr>
          <w:spacing w:val="-7"/>
        </w:rPr>
        <w:t xml:space="preserve"> </w:t>
      </w:r>
      <w:r>
        <w:t>closed,</w:t>
      </w:r>
      <w:r>
        <w:rPr>
          <w:spacing w:val="-7"/>
        </w:rPr>
        <w:t xml:space="preserve"> </w:t>
      </w:r>
      <w:r>
        <w:t>some</w:t>
      </w:r>
      <w:r>
        <w:rPr>
          <w:spacing w:val="-7"/>
        </w:rPr>
        <w:t xml:space="preserve"> </w:t>
      </w:r>
      <w:r>
        <w:t>changed</w:t>
      </w:r>
      <w:r>
        <w:rPr>
          <w:spacing w:val="-7"/>
        </w:rPr>
        <w:t xml:space="preserve"> </w:t>
      </w:r>
      <w:r>
        <w:t>structure</w:t>
      </w:r>
      <w:r>
        <w:rPr>
          <w:spacing w:val="-7"/>
        </w:rPr>
        <w:t xml:space="preserve"> </w:t>
      </w:r>
      <w:r>
        <w:t>(one</w:t>
      </w:r>
      <w:r>
        <w:rPr>
          <w:spacing w:val="-7"/>
        </w:rPr>
        <w:t xml:space="preserve"> </w:t>
      </w:r>
      <w:r>
        <w:t>school</w:t>
      </w:r>
      <w:r>
        <w:rPr>
          <w:spacing w:val="-7"/>
        </w:rPr>
        <w:t xml:space="preserve"> </w:t>
      </w:r>
      <w:r>
        <w:t>becoming</w:t>
      </w:r>
      <w:r>
        <w:rPr>
          <w:spacing w:val="-7"/>
        </w:rPr>
        <w:t xml:space="preserve"> </w:t>
      </w:r>
      <w:r>
        <w:t>two</w:t>
      </w:r>
      <w:r>
        <w:rPr>
          <w:spacing w:val="-7"/>
        </w:rPr>
        <w:t xml:space="preserve"> </w:t>
      </w:r>
      <w:r>
        <w:t>schools,</w:t>
      </w:r>
      <w:r>
        <w:rPr>
          <w:spacing w:val="-7"/>
        </w:rPr>
        <w:t xml:space="preserve"> </w:t>
      </w:r>
      <w:r>
        <w:t>for</w:t>
      </w:r>
      <w:r>
        <w:rPr>
          <w:spacing w:val="-7"/>
        </w:rPr>
        <w:t xml:space="preserve"> </w:t>
      </w:r>
      <w:r>
        <w:t>example),</w:t>
      </w:r>
      <w:r>
        <w:rPr>
          <w:spacing w:val="-7"/>
        </w:rPr>
        <w:t xml:space="preserve"> </w:t>
      </w:r>
      <w:r>
        <w:t>some</w:t>
      </w:r>
      <w:r>
        <w:rPr>
          <w:spacing w:val="-7"/>
        </w:rPr>
        <w:t xml:space="preserve"> </w:t>
      </w:r>
      <w:r>
        <w:t>newly</w:t>
      </w:r>
      <w:r>
        <w:rPr>
          <w:spacing w:val="-7"/>
        </w:rPr>
        <w:t xml:space="preserve"> </w:t>
      </w:r>
      <w:r>
        <w:t>opened, and still others changed their grade span.</w:t>
      </w:r>
    </w:p>
    <w:p w:rsidR="003F5784" w14:paraId="60646E74" w14:textId="77777777">
      <w:pPr>
        <w:spacing w:line="232" w:lineRule="auto"/>
        <w:sectPr>
          <w:pgSz w:w="15840" w:h="12240" w:orient="landscape"/>
          <w:pgMar w:top="480" w:right="440" w:bottom="460" w:left="460" w:header="284" w:footer="275" w:gutter="0"/>
          <w:cols w:space="720"/>
        </w:sectPr>
      </w:pPr>
    </w:p>
    <w:p w:rsidR="003F5784" w14:paraId="07EE4C49" w14:textId="77777777">
      <w:pPr>
        <w:pStyle w:val="BodyText"/>
        <w:spacing w:before="78" w:line="232" w:lineRule="auto"/>
        <w:ind w:left="109"/>
      </w:pPr>
      <w:r>
        <w:t>A</w:t>
      </w:r>
      <w:r>
        <w:rPr>
          <w:spacing w:val="-14"/>
        </w:rPr>
        <w:t xml:space="preserve"> </w:t>
      </w:r>
      <w:r>
        <w:t>supplemental</w:t>
      </w:r>
      <w:r>
        <w:rPr>
          <w:spacing w:val="-7"/>
        </w:rPr>
        <w:t xml:space="preserve"> </w:t>
      </w:r>
      <w:r>
        <w:t>sample</w:t>
      </w:r>
      <w:r>
        <w:rPr>
          <w:spacing w:val="-6"/>
        </w:rPr>
        <w:t xml:space="preserve"> </w:t>
      </w:r>
      <w:r>
        <w:t>was</w:t>
      </w:r>
      <w:r>
        <w:rPr>
          <w:spacing w:val="-6"/>
        </w:rPr>
        <w:t xml:space="preserve"> </w:t>
      </w:r>
      <w:r>
        <w:t>selected</w:t>
      </w:r>
      <w:r>
        <w:rPr>
          <w:spacing w:val="-6"/>
        </w:rPr>
        <w:t xml:space="preserve"> </w:t>
      </w:r>
      <w:r>
        <w:t>from</w:t>
      </w:r>
      <w:r>
        <w:rPr>
          <w:spacing w:val="-6"/>
        </w:rPr>
        <w:t xml:space="preserve"> </w:t>
      </w:r>
      <w:r>
        <w:t>a</w:t>
      </w:r>
      <w:r>
        <w:rPr>
          <w:spacing w:val="-6"/>
        </w:rPr>
        <w:t xml:space="preserve"> </w:t>
      </w:r>
      <w:r>
        <w:t>list</w:t>
      </w:r>
      <w:r>
        <w:rPr>
          <w:spacing w:val="-6"/>
        </w:rPr>
        <w:t xml:space="preserve"> </w:t>
      </w:r>
      <w:r>
        <w:t>of</w:t>
      </w:r>
      <w:r>
        <w:rPr>
          <w:spacing w:val="-6"/>
        </w:rPr>
        <w:t xml:space="preserve"> </w:t>
      </w:r>
      <w:r>
        <w:t>schools</w:t>
      </w:r>
      <w:r>
        <w:rPr>
          <w:spacing w:val="-6"/>
        </w:rPr>
        <w:t xml:space="preserve"> </w:t>
      </w:r>
      <w:r>
        <w:t>that</w:t>
      </w:r>
      <w:r>
        <w:rPr>
          <w:spacing w:val="-6"/>
        </w:rPr>
        <w:t xml:space="preserve"> </w:t>
      </w:r>
      <w:r>
        <w:t>were</w:t>
      </w:r>
      <w:r>
        <w:rPr>
          <w:spacing w:val="-6"/>
        </w:rPr>
        <w:t xml:space="preserve"> </w:t>
      </w:r>
      <w:r>
        <w:t>new</w:t>
      </w:r>
      <w:r>
        <w:rPr>
          <w:spacing w:val="-6"/>
        </w:rPr>
        <w:t xml:space="preserve"> </w:t>
      </w:r>
      <w:r>
        <w:t>or</w:t>
      </w:r>
      <w:r>
        <w:rPr>
          <w:spacing w:val="-6"/>
        </w:rPr>
        <w:t xml:space="preserve"> </w:t>
      </w:r>
      <w:r>
        <w:t>had</w:t>
      </w:r>
      <w:r>
        <w:rPr>
          <w:spacing w:val="-6"/>
        </w:rPr>
        <w:t xml:space="preserve"> </w:t>
      </w:r>
      <w:r>
        <w:t>become</w:t>
      </w:r>
      <w:r>
        <w:rPr>
          <w:spacing w:val="-6"/>
        </w:rPr>
        <w:t xml:space="preserve"> </w:t>
      </w:r>
      <w:r>
        <w:t>newly</w:t>
      </w:r>
      <w:r>
        <w:rPr>
          <w:spacing w:val="-6"/>
        </w:rPr>
        <w:t xml:space="preserve"> </w:t>
      </w:r>
      <w:r>
        <w:t>eligible</w:t>
      </w:r>
      <w:r>
        <w:rPr>
          <w:spacing w:val="-6"/>
        </w:rPr>
        <w:t xml:space="preserve"> </w:t>
      </w:r>
      <w:r>
        <w:t>sometime</w:t>
      </w:r>
      <w:r>
        <w:rPr>
          <w:spacing w:val="-6"/>
        </w:rPr>
        <w:t xml:space="preserve"> </w:t>
      </w:r>
      <w:r>
        <w:t>after</w:t>
      </w:r>
      <w:r>
        <w:rPr>
          <w:spacing w:val="-6"/>
        </w:rPr>
        <w:t xml:space="preserve"> </w:t>
      </w:r>
      <w:r>
        <w:t>the</w:t>
      </w:r>
      <w:r>
        <w:rPr>
          <w:spacing w:val="-6"/>
        </w:rPr>
        <w:t xml:space="preserve"> </w:t>
      </w:r>
      <w:r>
        <w:t>2019–2020</w:t>
      </w:r>
      <w:r>
        <w:rPr>
          <w:spacing w:val="-6"/>
        </w:rPr>
        <w:t xml:space="preserve"> </w:t>
      </w:r>
      <w:r>
        <w:t>school</w:t>
      </w:r>
      <w:r>
        <w:rPr>
          <w:spacing w:val="-6"/>
        </w:rPr>
        <w:t xml:space="preserve"> </w:t>
      </w:r>
      <w:r>
        <w:t>year.</w:t>
      </w:r>
      <w:r>
        <w:rPr>
          <w:spacing w:val="-9"/>
        </w:rPr>
        <w:t xml:space="preserve"> </w:t>
      </w:r>
      <w:r>
        <w:t>The</w:t>
      </w:r>
      <w:r>
        <w:rPr>
          <w:spacing w:val="-6"/>
        </w:rPr>
        <w:t xml:space="preserve"> </w:t>
      </w:r>
      <w:r>
        <w:t>goal</w:t>
      </w:r>
      <w:r>
        <w:rPr>
          <w:spacing w:val="-6"/>
        </w:rPr>
        <w:t xml:space="preserve"> </w:t>
      </w:r>
      <w:r>
        <w:t>was</w:t>
      </w:r>
      <w:r>
        <w:rPr>
          <w:spacing w:val="-6"/>
        </w:rPr>
        <w:t xml:space="preserve"> </w:t>
      </w:r>
      <w:r>
        <w:t>to</w:t>
      </w:r>
      <w:r>
        <w:rPr>
          <w:spacing w:val="-6"/>
        </w:rPr>
        <w:t xml:space="preserve"> </w:t>
      </w:r>
      <w:r>
        <w:t>allow</w:t>
      </w:r>
      <w:r>
        <w:rPr>
          <w:spacing w:val="-6"/>
        </w:rPr>
        <w:t xml:space="preserve"> </w:t>
      </w:r>
      <w:r>
        <w:t>every new school a chance of selection, thereby fully covering the target population of schools in operation during the 2021–2022 school year. It was infeasible to ask every school district</w:t>
      </w:r>
      <w:r>
        <w:rPr>
          <w:spacing w:val="-1"/>
        </w:rPr>
        <w:t xml:space="preserve"> </w:t>
      </w:r>
      <w:r>
        <w:t>in</w:t>
      </w:r>
      <w:r>
        <w:rPr>
          <w:spacing w:val="-1"/>
        </w:rPr>
        <w:t xml:space="preserve"> </w:t>
      </w:r>
      <w:r>
        <w:t>the</w:t>
      </w:r>
      <w:r>
        <w:rPr>
          <w:spacing w:val="-1"/>
        </w:rPr>
        <w:t xml:space="preserve"> </w:t>
      </w:r>
      <w:r>
        <w:t>United</w:t>
      </w:r>
      <w:r>
        <w:rPr>
          <w:spacing w:val="-1"/>
        </w:rPr>
        <w:t xml:space="preserve"> </w:t>
      </w:r>
      <w:r>
        <w:t>States</w:t>
      </w:r>
      <w:r>
        <w:rPr>
          <w:spacing w:val="-1"/>
        </w:rPr>
        <w:t xml:space="preserve"> </w:t>
      </w:r>
      <w:r>
        <w:t>to</w:t>
      </w:r>
      <w:r>
        <w:rPr>
          <w:spacing w:val="-1"/>
        </w:rPr>
        <w:t xml:space="preserve"> </w:t>
      </w:r>
      <w:r>
        <w:t>provide</w:t>
      </w:r>
      <w:r>
        <w:rPr>
          <w:spacing w:val="-1"/>
        </w:rPr>
        <w:t xml:space="preserve"> </w:t>
      </w:r>
      <w:r>
        <w:t>a</w:t>
      </w:r>
      <w:r>
        <w:rPr>
          <w:spacing w:val="-1"/>
        </w:rPr>
        <w:t xml:space="preserve"> </w:t>
      </w:r>
      <w:r>
        <w:t>supplemental</w:t>
      </w:r>
      <w:r>
        <w:rPr>
          <w:spacing w:val="-1"/>
        </w:rPr>
        <w:t xml:space="preserve"> </w:t>
      </w:r>
      <w:r>
        <w:t>school</w:t>
      </w:r>
      <w:r>
        <w:rPr>
          <w:spacing w:val="-1"/>
        </w:rPr>
        <w:t xml:space="preserve"> </w:t>
      </w:r>
      <w:r>
        <w:t>frame,</w:t>
      </w:r>
      <w:r>
        <w:rPr>
          <w:spacing w:val="-1"/>
        </w:rPr>
        <w:t xml:space="preserve"> </w:t>
      </w:r>
      <w:r>
        <w:t>so</w:t>
      </w:r>
      <w:r>
        <w:rPr>
          <w:spacing w:val="-1"/>
        </w:rPr>
        <w:t xml:space="preserve"> </w:t>
      </w:r>
      <w:r>
        <w:t>a</w:t>
      </w:r>
      <w:r>
        <w:rPr>
          <w:spacing w:val="-1"/>
        </w:rPr>
        <w:t xml:space="preserve"> </w:t>
      </w:r>
      <w:r>
        <w:t>two-stage</w:t>
      </w:r>
      <w:r>
        <w:rPr>
          <w:spacing w:val="-1"/>
        </w:rPr>
        <w:t xml:space="preserve"> </w:t>
      </w:r>
      <w:r>
        <w:t>procedure</w:t>
      </w:r>
      <w:r>
        <w:rPr>
          <w:spacing w:val="-1"/>
        </w:rPr>
        <w:t xml:space="preserve"> </w:t>
      </w:r>
      <w:r>
        <w:t>was</w:t>
      </w:r>
      <w:r>
        <w:rPr>
          <w:spacing w:val="-1"/>
        </w:rPr>
        <w:t xml:space="preserve"> </w:t>
      </w:r>
      <w:r>
        <w:t>employed.</w:t>
      </w:r>
      <w:r>
        <w:rPr>
          <w:spacing w:val="-1"/>
        </w:rPr>
        <w:t xml:space="preserve"> </w:t>
      </w:r>
      <w:r>
        <w:t>First,</w:t>
      </w:r>
      <w:r>
        <w:rPr>
          <w:spacing w:val="-1"/>
        </w:rPr>
        <w:t xml:space="preserve"> </w:t>
      </w:r>
      <w:r>
        <w:t>a</w:t>
      </w:r>
      <w:r>
        <w:rPr>
          <w:spacing w:val="-1"/>
        </w:rPr>
        <w:t xml:space="preserve"> </w:t>
      </w:r>
      <w:r>
        <w:t>sample</w:t>
      </w:r>
      <w:r>
        <w:rPr>
          <w:spacing w:val="-1"/>
        </w:rPr>
        <w:t xml:space="preserve"> </w:t>
      </w:r>
      <w:r>
        <w:t>of</w:t>
      </w:r>
      <w:r>
        <w:rPr>
          <w:spacing w:val="-1"/>
        </w:rPr>
        <w:t xml:space="preserve"> </w:t>
      </w:r>
      <w:r>
        <w:t>school</w:t>
      </w:r>
      <w:r>
        <w:rPr>
          <w:spacing w:val="-1"/>
        </w:rPr>
        <w:t xml:space="preserve"> </w:t>
      </w:r>
      <w:r>
        <w:t>districts</w:t>
      </w:r>
      <w:r>
        <w:rPr>
          <w:spacing w:val="-1"/>
        </w:rPr>
        <w:t xml:space="preserve"> </w:t>
      </w:r>
      <w:r>
        <w:t>was</w:t>
      </w:r>
      <w:r>
        <w:rPr>
          <w:spacing w:val="-1"/>
        </w:rPr>
        <w:t xml:space="preserve"> </w:t>
      </w:r>
      <w:r>
        <w:t>selected</w:t>
      </w:r>
      <w:r>
        <w:rPr>
          <w:spacing w:val="-1"/>
        </w:rPr>
        <w:t xml:space="preserve"> </w:t>
      </w:r>
      <w:r>
        <w:t>within</w:t>
      </w:r>
      <w:r>
        <w:rPr>
          <w:spacing w:val="-1"/>
        </w:rPr>
        <w:t xml:space="preserve"> </w:t>
      </w:r>
      <w:r>
        <w:t>each</w:t>
      </w:r>
      <w:r>
        <w:rPr>
          <w:spacing w:val="-1"/>
        </w:rPr>
        <w:t xml:space="preserve"> </w:t>
      </w:r>
      <w:r>
        <w:t>state. Then each State or</w:t>
      </w:r>
      <w:r>
        <w:rPr>
          <w:spacing w:val="-3"/>
        </w:rPr>
        <w:t xml:space="preserve"> </w:t>
      </w:r>
      <w:r>
        <w:t>Trial Urban District</w:t>
      </w:r>
      <w:r>
        <w:rPr>
          <w:spacing w:val="-11"/>
        </w:rPr>
        <w:t xml:space="preserve"> </w:t>
      </w:r>
      <w:r>
        <w:t>Assessment (TUDA) Coordinator was sent a list of the schools within their sampled districts that had been present on the 2019–2020 CCD file.</w:t>
      </w:r>
      <w:r>
        <w:rPr>
          <w:spacing w:val="-1"/>
        </w:rPr>
        <w:t xml:space="preserve"> </w:t>
      </w:r>
      <w:r>
        <w:t>The Coordinators were asked to add in any new schools and update grade span for the schools on this list.</w:t>
      </w:r>
    </w:p>
    <w:p w:rsidR="003F5784" w14:paraId="5BF12E76" w14:textId="77777777">
      <w:pPr>
        <w:pStyle w:val="BodyText"/>
        <w:spacing w:before="205" w:line="439" w:lineRule="auto"/>
        <w:ind w:left="109" w:right="588"/>
      </w:pPr>
      <w:r>
        <w:t>The</w:t>
      </w:r>
      <w:r>
        <w:rPr>
          <w:spacing w:val="-6"/>
        </w:rPr>
        <w:t xml:space="preserve"> </w:t>
      </w:r>
      <w:r>
        <w:t>new-school</w:t>
      </w:r>
      <w:r>
        <w:rPr>
          <w:spacing w:val="-6"/>
        </w:rPr>
        <w:t xml:space="preserve"> </w:t>
      </w:r>
      <w:r>
        <w:t>process</w:t>
      </w:r>
      <w:r>
        <w:rPr>
          <w:spacing w:val="-6"/>
        </w:rPr>
        <w:t xml:space="preserve"> </w:t>
      </w:r>
      <w:r>
        <w:t>began</w:t>
      </w:r>
      <w:r>
        <w:rPr>
          <w:spacing w:val="-6"/>
        </w:rPr>
        <w:t xml:space="preserve"> </w:t>
      </w:r>
      <w:r>
        <w:t>with</w:t>
      </w:r>
      <w:r>
        <w:rPr>
          <w:spacing w:val="-6"/>
        </w:rPr>
        <w:t xml:space="preserve"> </w:t>
      </w:r>
      <w:r>
        <w:t>the</w:t>
      </w:r>
      <w:r>
        <w:rPr>
          <w:spacing w:val="-6"/>
        </w:rPr>
        <w:t xml:space="preserve"> </w:t>
      </w:r>
      <w:r>
        <w:t>preparation</w:t>
      </w:r>
      <w:r>
        <w:rPr>
          <w:spacing w:val="-6"/>
        </w:rPr>
        <w:t xml:space="preserve"> </w:t>
      </w:r>
      <w:r>
        <w:t>of</w:t>
      </w:r>
      <w:r>
        <w:rPr>
          <w:spacing w:val="-6"/>
        </w:rPr>
        <w:t xml:space="preserve"> </w:t>
      </w:r>
      <w:r>
        <w:t>a</w:t>
      </w:r>
      <w:r>
        <w:rPr>
          <w:spacing w:val="-6"/>
        </w:rPr>
        <w:t xml:space="preserve"> </w:t>
      </w:r>
      <w:r>
        <w:t>district-level</w:t>
      </w:r>
      <w:r>
        <w:rPr>
          <w:spacing w:val="-6"/>
        </w:rPr>
        <w:t xml:space="preserve"> </w:t>
      </w:r>
      <w:r>
        <w:t>frame.</w:t>
      </w:r>
      <w:r>
        <w:rPr>
          <w:spacing w:val="-10"/>
        </w:rPr>
        <w:t xml:space="preserve"> </w:t>
      </w:r>
      <w:r>
        <w:t>The</w:t>
      </w:r>
      <w:r>
        <w:rPr>
          <w:spacing w:val="-6"/>
        </w:rPr>
        <w:t xml:space="preserve"> </w:t>
      </w:r>
      <w:r>
        <w:t>starting</w:t>
      </w:r>
      <w:r>
        <w:rPr>
          <w:spacing w:val="-6"/>
        </w:rPr>
        <w:t xml:space="preserve"> </w:t>
      </w:r>
      <w:r>
        <w:t>point</w:t>
      </w:r>
      <w:r>
        <w:rPr>
          <w:spacing w:val="-6"/>
        </w:rPr>
        <w:t xml:space="preserve"> </w:t>
      </w:r>
      <w:r>
        <w:t>was</w:t>
      </w:r>
      <w:r>
        <w:rPr>
          <w:spacing w:val="-6"/>
        </w:rPr>
        <w:t xml:space="preserve"> </w:t>
      </w:r>
      <w:r>
        <w:t>a</w:t>
      </w:r>
      <w:r>
        <w:rPr>
          <w:spacing w:val="-6"/>
        </w:rPr>
        <w:t xml:space="preserve"> </w:t>
      </w:r>
      <w:r>
        <w:t>file</w:t>
      </w:r>
      <w:r>
        <w:rPr>
          <w:spacing w:val="-6"/>
        </w:rPr>
        <w:t xml:space="preserve"> </w:t>
      </w:r>
      <w:r>
        <w:t>containing</w:t>
      </w:r>
      <w:r>
        <w:rPr>
          <w:spacing w:val="-6"/>
        </w:rPr>
        <w:t xml:space="preserve"> </w:t>
      </w:r>
      <w:r>
        <w:t>every</w:t>
      </w:r>
      <w:r>
        <w:rPr>
          <w:spacing w:val="-6"/>
        </w:rPr>
        <w:t xml:space="preserve"> </w:t>
      </w:r>
      <w:r>
        <w:t>public</w:t>
      </w:r>
      <w:r>
        <w:rPr>
          <w:spacing w:val="-6"/>
        </w:rPr>
        <w:t xml:space="preserve"> </w:t>
      </w:r>
      <w:r>
        <w:t>school</w:t>
      </w:r>
      <w:r>
        <w:rPr>
          <w:spacing w:val="-6"/>
        </w:rPr>
        <w:t xml:space="preserve"> </w:t>
      </w:r>
      <w:r>
        <w:t>district</w:t>
      </w:r>
      <w:r>
        <w:rPr>
          <w:spacing w:val="-6"/>
        </w:rPr>
        <w:t xml:space="preserve"> </w:t>
      </w:r>
      <w:r>
        <w:t>in</w:t>
      </w:r>
      <w:r>
        <w:rPr>
          <w:spacing w:val="-6"/>
        </w:rPr>
        <w:t xml:space="preserve"> </w:t>
      </w:r>
      <w:r>
        <w:t>the</w:t>
      </w:r>
      <w:r>
        <w:rPr>
          <w:spacing w:val="-6"/>
        </w:rPr>
        <w:t xml:space="preserve"> </w:t>
      </w:r>
      <w:r>
        <w:t>United</w:t>
      </w:r>
      <w:r>
        <w:rPr>
          <w:spacing w:val="-6"/>
        </w:rPr>
        <w:t xml:space="preserve"> </w:t>
      </w:r>
      <w:r>
        <w:t xml:space="preserve">States. Specific districts were designated as in sample with </w:t>
      </w:r>
      <w:r>
        <w:rPr>
          <w:color w:val="0066CC"/>
        </w:rPr>
        <w:t>certainty</w:t>
      </w:r>
      <w:r>
        <w:t>. They included the following districts:</w:t>
      </w:r>
    </w:p>
    <w:p w:rsidR="003F5784" w14:paraId="4E904992" w14:textId="77777777">
      <w:pPr>
        <w:pStyle w:val="BodyText"/>
        <w:spacing w:before="8" w:line="232" w:lineRule="auto"/>
        <w:ind w:left="422" w:right="6889"/>
      </w:pPr>
      <w:r>
        <w:rPr>
          <w:noProof/>
          <w:position w:val="3"/>
        </w:rPr>
        <w:drawing>
          <wp:inline distT="0" distB="0" distL="0" distR="0">
            <wp:extent cx="41379" cy="41378"/>
            <wp:effectExtent l="0" t="0" r="0" b="0"/>
            <wp:docPr id="61" name="Image 61"/>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xmlns:r="http://schemas.openxmlformats.org/officeDocument/2006/relationships" r:embed="rId10" cstate="print"/>
                    <a:stretch>
                      <a:fillRect/>
                    </a:stretch>
                  </pic:blipFill>
                  <pic:spPr>
                    <a:xfrm>
                      <a:off x="0" y="0"/>
                      <a:ext cx="41379" cy="41378"/>
                    </a:xfrm>
                    <a:prstGeom prst="rect">
                      <a:avLst/>
                    </a:prstGeom>
                  </pic:spPr>
                </pic:pic>
              </a:graphicData>
            </a:graphic>
          </wp:inline>
        </w:drawing>
      </w:r>
      <w:r>
        <w:rPr>
          <w:spacing w:val="80"/>
          <w:sz w:val="20"/>
        </w:rPr>
        <w:t xml:space="preserve"> </w:t>
      </w:r>
      <w:r>
        <w:t>districts</w:t>
      </w:r>
      <w:r>
        <w:rPr>
          <w:spacing w:val="-6"/>
        </w:rPr>
        <w:t xml:space="preserve"> </w:t>
      </w:r>
      <w:r>
        <w:t>in</w:t>
      </w:r>
      <w:r>
        <w:rPr>
          <w:spacing w:val="-6"/>
        </w:rPr>
        <w:t xml:space="preserve"> </w:t>
      </w:r>
      <w:r>
        <w:t>jurisdictions</w:t>
      </w:r>
      <w:r>
        <w:rPr>
          <w:spacing w:val="-6"/>
        </w:rPr>
        <w:t xml:space="preserve"> </w:t>
      </w:r>
      <w:r>
        <w:t>where</w:t>
      </w:r>
      <w:r>
        <w:rPr>
          <w:spacing w:val="-6"/>
        </w:rPr>
        <w:t xml:space="preserve"> </w:t>
      </w:r>
      <w:r>
        <w:t>all</w:t>
      </w:r>
      <w:r>
        <w:rPr>
          <w:spacing w:val="-6"/>
        </w:rPr>
        <w:t xml:space="preserve"> </w:t>
      </w:r>
      <w:r>
        <w:t>schools</w:t>
      </w:r>
      <w:r>
        <w:rPr>
          <w:spacing w:val="-6"/>
        </w:rPr>
        <w:t xml:space="preserve"> </w:t>
      </w:r>
      <w:r>
        <w:t>were</w:t>
      </w:r>
      <w:r>
        <w:rPr>
          <w:spacing w:val="-6"/>
        </w:rPr>
        <w:t xml:space="preserve"> </w:t>
      </w:r>
      <w:r>
        <w:t>selected</w:t>
      </w:r>
      <w:r>
        <w:rPr>
          <w:spacing w:val="-6"/>
        </w:rPr>
        <w:t xml:space="preserve"> </w:t>
      </w:r>
      <w:r>
        <w:t>for</w:t>
      </w:r>
      <w:r>
        <w:rPr>
          <w:spacing w:val="-6"/>
        </w:rPr>
        <w:t xml:space="preserve"> </w:t>
      </w:r>
      <w:r>
        <w:t>sample</w:t>
      </w:r>
      <w:r>
        <w:rPr>
          <w:spacing w:val="-6"/>
        </w:rPr>
        <w:t xml:space="preserve"> </w:t>
      </w:r>
      <w:r>
        <w:t>at</w:t>
      </w:r>
      <w:r>
        <w:rPr>
          <w:spacing w:val="-6"/>
        </w:rPr>
        <w:t xml:space="preserve"> </w:t>
      </w:r>
      <w:r>
        <w:t>either</w:t>
      </w:r>
      <w:r>
        <w:rPr>
          <w:spacing w:val="-6"/>
        </w:rPr>
        <w:t xml:space="preserve"> </w:t>
      </w:r>
      <w:r>
        <w:t>grade</w:t>
      </w:r>
      <w:r>
        <w:rPr>
          <w:spacing w:val="-6"/>
        </w:rPr>
        <w:t xml:space="preserve"> </w:t>
      </w:r>
      <w:r>
        <w:t>4</w:t>
      </w:r>
      <w:r>
        <w:rPr>
          <w:spacing w:val="-6"/>
        </w:rPr>
        <w:t xml:space="preserve"> </w:t>
      </w:r>
      <w:r>
        <w:t>or</w:t>
      </w:r>
      <w:r>
        <w:rPr>
          <w:spacing w:val="-6"/>
        </w:rPr>
        <w:t xml:space="preserve"> </w:t>
      </w:r>
      <w:r>
        <w:t xml:space="preserve">8; </w:t>
      </w:r>
      <w:r>
        <w:rPr>
          <w:noProof/>
          <w:position w:val="3"/>
        </w:rPr>
        <w:drawing>
          <wp:inline distT="0" distB="0" distL="0" distR="0">
            <wp:extent cx="41379" cy="41362"/>
            <wp:effectExtent l="0" t="0" r="0" b="0"/>
            <wp:docPr id="62" name="Image 62"/>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xmlns:r="http://schemas.openxmlformats.org/officeDocument/2006/relationships" r:embed="rId46" cstate="print"/>
                    <a:stretch>
                      <a:fillRect/>
                    </a:stretch>
                  </pic:blipFill>
                  <pic:spPr>
                    <a:xfrm>
                      <a:off x="0" y="0"/>
                      <a:ext cx="41379" cy="41362"/>
                    </a:xfrm>
                    <a:prstGeom prst="rect">
                      <a:avLst/>
                    </a:prstGeom>
                  </pic:spPr>
                </pic:pic>
              </a:graphicData>
            </a:graphic>
          </wp:inline>
        </w:drawing>
      </w:r>
      <w:r>
        <w:rPr>
          <w:spacing w:val="80"/>
        </w:rPr>
        <w:t xml:space="preserve"> </w:t>
      </w:r>
      <w:r>
        <w:t>state-operated districts;</w:t>
      </w:r>
    </w:p>
    <w:p w:rsidR="003F5784" w14:paraId="106344AD" w14:textId="77777777">
      <w:pPr>
        <w:pStyle w:val="BodyText"/>
        <w:spacing w:line="233" w:lineRule="exact"/>
        <w:ind w:left="422"/>
      </w:pPr>
      <w:r>
        <w:rPr>
          <w:noProof/>
          <w:position w:val="3"/>
        </w:rPr>
        <w:drawing>
          <wp:inline distT="0" distB="0" distL="0" distR="0">
            <wp:extent cx="41379" cy="41362"/>
            <wp:effectExtent l="0" t="0" r="0" b="0"/>
            <wp:docPr id="63" name="Image 63"/>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xmlns:r="http://schemas.openxmlformats.org/officeDocument/2006/relationships" r:embed="rId47" cstate="print"/>
                    <a:stretch>
                      <a:fillRect/>
                    </a:stretch>
                  </pic:blipFill>
                  <pic:spPr>
                    <a:xfrm>
                      <a:off x="0" y="0"/>
                      <a:ext cx="41379" cy="41362"/>
                    </a:xfrm>
                    <a:prstGeom prst="rect">
                      <a:avLst/>
                    </a:prstGeom>
                  </pic:spPr>
                </pic:pic>
              </a:graphicData>
            </a:graphic>
          </wp:inline>
        </w:drawing>
      </w:r>
      <w:r>
        <w:rPr>
          <w:spacing w:val="80"/>
          <w:sz w:val="20"/>
        </w:rPr>
        <w:t xml:space="preserve"> </w:t>
      </w:r>
      <w:r>
        <w:t>districts in states with fewer than 10 districts;</w:t>
      </w:r>
    </w:p>
    <w:p w:rsidR="003F5784" w14:paraId="4B4E6422" w14:textId="77777777">
      <w:pPr>
        <w:pStyle w:val="BodyText"/>
        <w:spacing w:before="2" w:line="232" w:lineRule="auto"/>
        <w:ind w:left="422" w:right="6637"/>
      </w:pPr>
      <w:r>
        <w:rPr>
          <w:noProof/>
          <w:position w:val="3"/>
        </w:rPr>
        <w:drawing>
          <wp:inline distT="0" distB="0" distL="0" distR="0">
            <wp:extent cx="41379" cy="41362"/>
            <wp:effectExtent l="0" t="0" r="0" b="0"/>
            <wp:docPr id="64" name="Image 64"/>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xmlns:r="http://schemas.openxmlformats.org/officeDocument/2006/relationships" r:embed="rId48" cstate="print"/>
                    <a:stretch>
                      <a:fillRect/>
                    </a:stretch>
                  </pic:blipFill>
                  <pic:spPr>
                    <a:xfrm>
                      <a:off x="0" y="0"/>
                      <a:ext cx="41379" cy="41362"/>
                    </a:xfrm>
                    <a:prstGeom prst="rect">
                      <a:avLst/>
                    </a:prstGeom>
                  </pic:spPr>
                </pic:pic>
              </a:graphicData>
            </a:graphic>
          </wp:inline>
        </w:drawing>
      </w:r>
      <w:r>
        <w:rPr>
          <w:spacing w:val="77"/>
          <w:sz w:val="20"/>
        </w:rPr>
        <w:t xml:space="preserve"> </w:t>
      </w:r>
      <w:r>
        <w:t>charter-only</w:t>
      </w:r>
      <w:r>
        <w:rPr>
          <w:spacing w:val="-7"/>
        </w:rPr>
        <w:t xml:space="preserve"> </w:t>
      </w:r>
      <w:r>
        <w:t>districts</w:t>
      </w:r>
      <w:r>
        <w:rPr>
          <w:spacing w:val="-7"/>
        </w:rPr>
        <w:t xml:space="preserve"> </w:t>
      </w:r>
      <w:r>
        <w:t>(that</w:t>
      </w:r>
      <w:r>
        <w:rPr>
          <w:spacing w:val="-7"/>
        </w:rPr>
        <w:t xml:space="preserve"> </w:t>
      </w:r>
      <w:r>
        <w:t>is,</w:t>
      </w:r>
      <w:r>
        <w:rPr>
          <w:spacing w:val="-7"/>
        </w:rPr>
        <w:t xml:space="preserve"> </w:t>
      </w:r>
      <w:r>
        <w:t>districts</w:t>
      </w:r>
      <w:r>
        <w:rPr>
          <w:spacing w:val="-7"/>
        </w:rPr>
        <w:t xml:space="preserve"> </w:t>
      </w:r>
      <w:r>
        <w:t>containing</w:t>
      </w:r>
      <w:r>
        <w:rPr>
          <w:spacing w:val="-7"/>
        </w:rPr>
        <w:t xml:space="preserve"> </w:t>
      </w:r>
      <w:r>
        <w:t>no</w:t>
      </w:r>
      <w:r>
        <w:rPr>
          <w:spacing w:val="-7"/>
        </w:rPr>
        <w:t xml:space="preserve"> </w:t>
      </w:r>
      <w:r>
        <w:t>schools</w:t>
      </w:r>
      <w:r>
        <w:rPr>
          <w:spacing w:val="-7"/>
        </w:rPr>
        <w:t xml:space="preserve"> </w:t>
      </w:r>
      <w:r>
        <w:t>other</w:t>
      </w:r>
      <w:r>
        <w:rPr>
          <w:spacing w:val="-7"/>
        </w:rPr>
        <w:t xml:space="preserve"> </w:t>
      </w:r>
      <w:r>
        <w:t>than</w:t>
      </w:r>
      <w:r>
        <w:rPr>
          <w:spacing w:val="-7"/>
        </w:rPr>
        <w:t xml:space="preserve"> </w:t>
      </w:r>
      <w:r>
        <w:t>charter</w:t>
      </w:r>
      <w:r>
        <w:rPr>
          <w:spacing w:val="-7"/>
        </w:rPr>
        <w:t xml:space="preserve"> </w:t>
      </w:r>
      <w:r>
        <w:t>schools);</w:t>
      </w:r>
      <w:r>
        <w:rPr>
          <w:spacing w:val="-7"/>
        </w:rPr>
        <w:t xml:space="preserve"> </w:t>
      </w:r>
      <w:r>
        <w:t xml:space="preserve">and </w:t>
      </w:r>
      <w:r>
        <w:rPr>
          <w:noProof/>
          <w:position w:val="3"/>
        </w:rPr>
        <w:drawing>
          <wp:inline distT="0" distB="0" distL="0" distR="0">
            <wp:extent cx="41379" cy="41362"/>
            <wp:effectExtent l="0" t="0" r="0" b="0"/>
            <wp:docPr id="65" name="Image 65"/>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xmlns:r="http://schemas.openxmlformats.org/officeDocument/2006/relationships" r:embed="rId49" cstate="print"/>
                    <a:stretch>
                      <a:fillRect/>
                    </a:stretch>
                  </pic:blipFill>
                  <pic:spPr>
                    <a:xfrm>
                      <a:off x="0" y="0"/>
                      <a:ext cx="41379" cy="41362"/>
                    </a:xfrm>
                    <a:prstGeom prst="rect">
                      <a:avLst/>
                    </a:prstGeom>
                  </pic:spPr>
                </pic:pic>
              </a:graphicData>
            </a:graphic>
          </wp:inline>
        </w:drawing>
      </w:r>
      <w:r>
        <w:rPr>
          <w:spacing w:val="80"/>
          <w:w w:val="150"/>
        </w:rPr>
        <w:t xml:space="preserve"> </w:t>
      </w:r>
      <w:r>
        <w:t>TUDA districts.</w:t>
      </w:r>
    </w:p>
    <w:p w:rsidR="003F5784" w14:paraId="19644A8A" w14:textId="77777777">
      <w:pPr>
        <w:pStyle w:val="BodyText"/>
        <w:spacing w:before="209" w:line="232" w:lineRule="auto"/>
        <w:ind w:left="109" w:right="179"/>
      </w:pPr>
      <w:r>
        <w:t>Then</w:t>
      </w:r>
      <w:r>
        <w:rPr>
          <w:spacing w:val="-6"/>
        </w:rPr>
        <w:t xml:space="preserve"> </w:t>
      </w:r>
      <w:r>
        <w:t>noncertainty</w:t>
      </w:r>
      <w:r>
        <w:rPr>
          <w:spacing w:val="-6"/>
        </w:rPr>
        <w:t xml:space="preserve"> </w:t>
      </w:r>
      <w:r>
        <w:t>districts</w:t>
      </w:r>
      <w:r>
        <w:rPr>
          <w:spacing w:val="-6"/>
        </w:rPr>
        <w:t xml:space="preserve"> </w:t>
      </w:r>
      <w:r>
        <w:t>were</w:t>
      </w:r>
      <w:r>
        <w:rPr>
          <w:spacing w:val="-6"/>
        </w:rPr>
        <w:t xml:space="preserve"> </w:t>
      </w:r>
      <w:r>
        <w:t>classified</w:t>
      </w:r>
      <w:r>
        <w:rPr>
          <w:spacing w:val="-6"/>
        </w:rPr>
        <w:t xml:space="preserve"> </w:t>
      </w:r>
      <w:r>
        <w:t>as</w:t>
      </w:r>
      <w:r>
        <w:rPr>
          <w:spacing w:val="-6"/>
        </w:rPr>
        <w:t xml:space="preserve"> </w:t>
      </w:r>
      <w:r>
        <w:t>small,</w:t>
      </w:r>
      <w:r>
        <w:rPr>
          <w:spacing w:val="-6"/>
        </w:rPr>
        <w:t xml:space="preserve"> </w:t>
      </w:r>
      <w:r>
        <w:t>medium,</w:t>
      </w:r>
      <w:r>
        <w:rPr>
          <w:spacing w:val="-6"/>
        </w:rPr>
        <w:t xml:space="preserve"> </w:t>
      </w:r>
      <w:r>
        <w:t>or</w:t>
      </w:r>
      <w:r>
        <w:rPr>
          <w:spacing w:val="-6"/>
        </w:rPr>
        <w:t xml:space="preserve"> </w:t>
      </w:r>
      <w:r>
        <w:t>large</w:t>
      </w:r>
      <w:r>
        <w:rPr>
          <w:spacing w:val="-6"/>
        </w:rPr>
        <w:t xml:space="preserve"> </w:t>
      </w:r>
      <w:r>
        <w:t>based</w:t>
      </w:r>
      <w:r>
        <w:rPr>
          <w:spacing w:val="-6"/>
        </w:rPr>
        <w:t xml:space="preserve"> </w:t>
      </w:r>
      <w:r>
        <w:t>on</w:t>
      </w:r>
      <w:r>
        <w:rPr>
          <w:spacing w:val="-6"/>
        </w:rPr>
        <w:t xml:space="preserve"> </w:t>
      </w:r>
      <w:r>
        <w:t>the</w:t>
      </w:r>
      <w:r>
        <w:rPr>
          <w:spacing w:val="-6"/>
        </w:rPr>
        <w:t xml:space="preserve"> </w:t>
      </w:r>
      <w:r>
        <w:t>number</w:t>
      </w:r>
      <w:r>
        <w:rPr>
          <w:spacing w:val="-6"/>
        </w:rPr>
        <w:t xml:space="preserve"> </w:t>
      </w:r>
      <w:r>
        <w:t>of</w:t>
      </w:r>
      <w:r>
        <w:rPr>
          <w:spacing w:val="-6"/>
        </w:rPr>
        <w:t xml:space="preserve"> </w:t>
      </w:r>
      <w:r>
        <w:t>schools</w:t>
      </w:r>
      <w:r>
        <w:rPr>
          <w:spacing w:val="-6"/>
        </w:rPr>
        <w:t xml:space="preserve"> </w:t>
      </w:r>
      <w:r>
        <w:t>and</w:t>
      </w:r>
      <w:r>
        <w:rPr>
          <w:spacing w:val="-6"/>
        </w:rPr>
        <w:t xml:space="preserve"> </w:t>
      </w:r>
      <w:r>
        <w:t>student</w:t>
      </w:r>
      <w:r>
        <w:rPr>
          <w:spacing w:val="-6"/>
        </w:rPr>
        <w:t xml:space="preserve"> </w:t>
      </w:r>
      <w:r>
        <w:t>enrollment</w:t>
      </w:r>
      <w:r>
        <w:rPr>
          <w:spacing w:val="-6"/>
        </w:rPr>
        <w:t xml:space="preserve"> </w:t>
      </w:r>
      <w:r>
        <w:t>of</w:t>
      </w:r>
      <w:r>
        <w:rPr>
          <w:spacing w:val="-6"/>
        </w:rPr>
        <w:t xml:space="preserve"> </w:t>
      </w:r>
      <w:r>
        <w:t>schools</w:t>
      </w:r>
      <w:r>
        <w:rPr>
          <w:spacing w:val="-6"/>
        </w:rPr>
        <w:t xml:space="preserve"> </w:t>
      </w:r>
      <w:r>
        <w:t>from</w:t>
      </w:r>
      <w:r>
        <w:rPr>
          <w:spacing w:val="-6"/>
        </w:rPr>
        <w:t xml:space="preserve"> </w:t>
      </w:r>
      <w:r>
        <w:t>the</w:t>
      </w:r>
      <w:r>
        <w:rPr>
          <w:spacing w:val="-6"/>
        </w:rPr>
        <w:t xml:space="preserve"> </w:t>
      </w:r>
      <w:r>
        <w:t>CCD-based</w:t>
      </w:r>
      <w:r>
        <w:rPr>
          <w:spacing w:val="-6"/>
        </w:rPr>
        <w:t xml:space="preserve"> </w:t>
      </w:r>
      <w:r>
        <w:t>public</w:t>
      </w:r>
      <w:r>
        <w:rPr>
          <w:spacing w:val="-6"/>
        </w:rPr>
        <w:t xml:space="preserve"> </w:t>
      </w:r>
      <w:r>
        <w:t xml:space="preserve">school </w:t>
      </w:r>
      <w:r>
        <w:rPr>
          <w:spacing w:val="-2"/>
        </w:rPr>
        <w:t>frame.</w:t>
      </w:r>
    </w:p>
    <w:p w:rsidR="003F5784" w14:paraId="378C4FF9" w14:textId="77777777">
      <w:pPr>
        <w:pStyle w:val="BodyText"/>
        <w:spacing w:before="210" w:line="232" w:lineRule="auto"/>
        <w:ind w:left="109" w:right="179"/>
      </w:pPr>
      <w:r>
        <w:t>A</w:t>
      </w:r>
      <w:r>
        <w:rPr>
          <w:spacing w:val="-14"/>
        </w:rPr>
        <w:t xml:space="preserve"> </w:t>
      </w:r>
      <w:r>
        <w:t>district</w:t>
      </w:r>
      <w:r>
        <w:rPr>
          <w:spacing w:val="-6"/>
        </w:rPr>
        <w:t xml:space="preserve"> </w:t>
      </w:r>
      <w:r>
        <w:t>was</w:t>
      </w:r>
      <w:r>
        <w:rPr>
          <w:spacing w:val="-5"/>
        </w:rPr>
        <w:t xml:space="preserve"> </w:t>
      </w:r>
      <w:r>
        <w:t>considered</w:t>
      </w:r>
      <w:r>
        <w:rPr>
          <w:spacing w:val="-5"/>
        </w:rPr>
        <w:t xml:space="preserve"> </w:t>
      </w:r>
      <w:r>
        <w:t>to</w:t>
      </w:r>
      <w:r>
        <w:rPr>
          <w:spacing w:val="-5"/>
        </w:rPr>
        <w:t xml:space="preserve"> </w:t>
      </w:r>
      <w:r>
        <w:t>be</w:t>
      </w:r>
      <w:r>
        <w:rPr>
          <w:spacing w:val="-5"/>
        </w:rPr>
        <w:t xml:space="preserve"> </w:t>
      </w:r>
      <w:r>
        <w:t>small</w:t>
      </w:r>
      <w:r>
        <w:rPr>
          <w:spacing w:val="-5"/>
        </w:rPr>
        <w:t xml:space="preserve"> </w:t>
      </w:r>
      <w:r>
        <w:t>if</w:t>
      </w:r>
      <w:r>
        <w:rPr>
          <w:spacing w:val="-5"/>
        </w:rPr>
        <w:t xml:space="preserve"> </w:t>
      </w:r>
      <w:r>
        <w:t>it</w:t>
      </w:r>
      <w:r>
        <w:rPr>
          <w:spacing w:val="-5"/>
        </w:rPr>
        <w:t xml:space="preserve"> </w:t>
      </w:r>
      <w:r>
        <w:t>contained</w:t>
      </w:r>
      <w:r>
        <w:rPr>
          <w:spacing w:val="-5"/>
        </w:rPr>
        <w:t xml:space="preserve"> </w:t>
      </w:r>
      <w:r>
        <w:t>no</w:t>
      </w:r>
      <w:r>
        <w:rPr>
          <w:spacing w:val="-5"/>
        </w:rPr>
        <w:t xml:space="preserve"> </w:t>
      </w:r>
      <w:r>
        <w:t>more</w:t>
      </w:r>
      <w:r>
        <w:rPr>
          <w:spacing w:val="-5"/>
        </w:rPr>
        <w:t xml:space="preserve"> </w:t>
      </w:r>
      <w:r>
        <w:t>than</w:t>
      </w:r>
      <w:r>
        <w:rPr>
          <w:spacing w:val="-5"/>
        </w:rPr>
        <w:t xml:space="preserve"> </w:t>
      </w:r>
      <w:r>
        <w:t>one</w:t>
      </w:r>
      <w:r>
        <w:rPr>
          <w:spacing w:val="-5"/>
        </w:rPr>
        <w:t xml:space="preserve"> </w:t>
      </w:r>
      <w:r>
        <w:t>school</w:t>
      </w:r>
      <w:r>
        <w:rPr>
          <w:spacing w:val="-5"/>
        </w:rPr>
        <w:t xml:space="preserve"> </w:t>
      </w:r>
      <w:r>
        <w:t>at</w:t>
      </w:r>
      <w:r>
        <w:rPr>
          <w:spacing w:val="-5"/>
        </w:rPr>
        <w:t xml:space="preserve"> </w:t>
      </w:r>
      <w:r>
        <w:t>each</w:t>
      </w:r>
      <w:r>
        <w:rPr>
          <w:spacing w:val="-5"/>
        </w:rPr>
        <w:t xml:space="preserve"> </w:t>
      </w:r>
      <w:r>
        <w:t>targeted</w:t>
      </w:r>
      <w:r>
        <w:rPr>
          <w:spacing w:val="-5"/>
        </w:rPr>
        <w:t xml:space="preserve"> </w:t>
      </w:r>
      <w:r>
        <w:t>grade</w:t>
      </w:r>
      <w:r>
        <w:rPr>
          <w:spacing w:val="-5"/>
        </w:rPr>
        <w:t xml:space="preserve"> </w:t>
      </w:r>
      <w:r>
        <w:t>(4</w:t>
      </w:r>
      <w:r>
        <w:rPr>
          <w:spacing w:val="-5"/>
        </w:rPr>
        <w:t xml:space="preserve"> </w:t>
      </w:r>
      <w:r>
        <w:t>or</w:t>
      </w:r>
      <w:r>
        <w:rPr>
          <w:spacing w:val="-5"/>
        </w:rPr>
        <w:t xml:space="preserve"> </w:t>
      </w:r>
      <w:r>
        <w:t>8).</w:t>
      </w:r>
      <w:r>
        <w:rPr>
          <w:spacing w:val="-5"/>
        </w:rPr>
        <w:t xml:space="preserve"> </w:t>
      </w:r>
      <w:r>
        <w:t>During</w:t>
      </w:r>
      <w:r>
        <w:rPr>
          <w:spacing w:val="-5"/>
        </w:rPr>
        <w:t xml:space="preserve"> </w:t>
      </w:r>
      <w:r>
        <w:t>school</w:t>
      </w:r>
      <w:r>
        <w:rPr>
          <w:spacing w:val="-5"/>
        </w:rPr>
        <w:t xml:space="preserve"> </w:t>
      </w:r>
      <w:r>
        <w:t>recruitment,</w:t>
      </w:r>
      <w:r>
        <w:rPr>
          <w:spacing w:val="-5"/>
        </w:rPr>
        <w:t xml:space="preserve"> </w:t>
      </w:r>
      <w:r>
        <w:t>the</w:t>
      </w:r>
      <w:r>
        <w:rPr>
          <w:spacing w:val="-5"/>
        </w:rPr>
        <w:t xml:space="preserve"> </w:t>
      </w:r>
      <w:r>
        <w:t>Coordinators</w:t>
      </w:r>
      <w:r>
        <w:rPr>
          <w:spacing w:val="-5"/>
        </w:rPr>
        <w:t xml:space="preserve"> </w:t>
      </w:r>
      <w:r>
        <w:t>were</w:t>
      </w:r>
      <w:r>
        <w:rPr>
          <w:spacing w:val="-5"/>
        </w:rPr>
        <w:t xml:space="preserve"> </w:t>
      </w:r>
      <w:r>
        <w:t>asked</w:t>
      </w:r>
      <w:r>
        <w:rPr>
          <w:spacing w:val="-5"/>
        </w:rPr>
        <w:t xml:space="preserve"> </w:t>
      </w:r>
      <w:r>
        <w:t>to</w:t>
      </w:r>
      <w:r>
        <w:rPr>
          <w:spacing w:val="-5"/>
        </w:rPr>
        <w:t xml:space="preserve"> </w:t>
      </w:r>
      <w:r>
        <w:t>identify schools within their district that newly offered the targeted grade. Every identified new school was added to the sample. From a sampling perspective, the new school was viewed as an “annex” to the sampled school which meant that it had a well-defined probability of selection equal to that of the sampled school.</w:t>
      </w:r>
      <w:r>
        <w:rPr>
          <w:spacing w:val="-3"/>
        </w:rPr>
        <w:t xml:space="preserve"> </w:t>
      </w:r>
      <w:r>
        <w:t>When a school in a small district was sampled from the CCD-based frame, its associated new school was automatically sampled as well.</w:t>
      </w:r>
    </w:p>
    <w:p w:rsidR="003F5784" w14:paraId="1CE4D402" w14:textId="77777777">
      <w:pPr>
        <w:pStyle w:val="BodyText"/>
        <w:spacing w:before="210" w:line="232" w:lineRule="auto"/>
        <w:ind w:left="109" w:right="207"/>
      </w:pPr>
      <w:r>
        <w:t xml:space="preserve">Within each jurisdiction, districts that were neither certainty selections nor small were divided into two </w:t>
      </w:r>
      <w:r>
        <w:rPr>
          <w:color w:val="0066CC"/>
        </w:rPr>
        <w:t>strata</w:t>
      </w:r>
      <w:r>
        <w:t>, one containing large-size districts and a second containing medium-size</w:t>
      </w:r>
      <w:r>
        <w:rPr>
          <w:spacing w:val="-7"/>
        </w:rPr>
        <w:t xml:space="preserve"> </w:t>
      </w:r>
      <w:r>
        <w:t>districts.</w:t>
      </w:r>
      <w:r>
        <w:rPr>
          <w:spacing w:val="-10"/>
        </w:rPr>
        <w:t xml:space="preserve"> </w:t>
      </w:r>
      <w:r>
        <w:t>These</w:t>
      </w:r>
      <w:r>
        <w:rPr>
          <w:spacing w:val="-7"/>
        </w:rPr>
        <w:t xml:space="preserve"> </w:t>
      </w:r>
      <w:r>
        <w:t>strata</w:t>
      </w:r>
      <w:r>
        <w:rPr>
          <w:spacing w:val="-7"/>
        </w:rPr>
        <w:t xml:space="preserve"> </w:t>
      </w:r>
      <w:r>
        <w:t>were</w:t>
      </w:r>
      <w:r>
        <w:rPr>
          <w:spacing w:val="-7"/>
        </w:rPr>
        <w:t xml:space="preserve"> </w:t>
      </w:r>
      <w:r>
        <w:t>defined</w:t>
      </w:r>
      <w:r>
        <w:rPr>
          <w:spacing w:val="-7"/>
        </w:rPr>
        <w:t xml:space="preserve"> </w:t>
      </w:r>
      <w:r>
        <w:t>by</w:t>
      </w:r>
      <w:r>
        <w:rPr>
          <w:spacing w:val="-7"/>
        </w:rPr>
        <w:t xml:space="preserve"> </w:t>
      </w:r>
      <w:r>
        <w:t>computing</w:t>
      </w:r>
      <w:r>
        <w:rPr>
          <w:spacing w:val="-7"/>
        </w:rPr>
        <w:t xml:space="preserve"> </w:t>
      </w:r>
      <w:r>
        <w:t>the</w:t>
      </w:r>
      <w:r>
        <w:rPr>
          <w:spacing w:val="-7"/>
        </w:rPr>
        <w:t xml:space="preserve"> </w:t>
      </w:r>
      <w:r>
        <w:t>percentage</w:t>
      </w:r>
      <w:r>
        <w:rPr>
          <w:spacing w:val="-7"/>
        </w:rPr>
        <w:t xml:space="preserve"> </w:t>
      </w:r>
      <w:r>
        <w:t>of</w:t>
      </w:r>
      <w:r>
        <w:rPr>
          <w:spacing w:val="-7"/>
        </w:rPr>
        <w:t xml:space="preserve"> </w:t>
      </w:r>
      <w:r>
        <w:t>jurisdiction</w:t>
      </w:r>
      <w:r>
        <w:rPr>
          <w:spacing w:val="-7"/>
        </w:rPr>
        <w:t xml:space="preserve"> </w:t>
      </w:r>
      <w:r>
        <w:t>grade</w:t>
      </w:r>
      <w:r>
        <w:rPr>
          <w:spacing w:val="-7"/>
        </w:rPr>
        <w:t xml:space="preserve"> </w:t>
      </w:r>
      <w:r>
        <w:t>4</w:t>
      </w:r>
      <w:r>
        <w:rPr>
          <w:spacing w:val="-7"/>
        </w:rPr>
        <w:t xml:space="preserve"> </w:t>
      </w:r>
      <w:r>
        <w:t>and</w:t>
      </w:r>
      <w:r>
        <w:rPr>
          <w:spacing w:val="-7"/>
        </w:rPr>
        <w:t xml:space="preserve"> </w:t>
      </w:r>
      <w:r>
        <w:t>8</w:t>
      </w:r>
      <w:r>
        <w:rPr>
          <w:spacing w:val="-7"/>
        </w:rPr>
        <w:t xml:space="preserve"> </w:t>
      </w:r>
      <w:r>
        <w:t>enrollment</w:t>
      </w:r>
      <w:r>
        <w:rPr>
          <w:spacing w:val="-7"/>
        </w:rPr>
        <w:t xml:space="preserve"> </w:t>
      </w:r>
      <w:r>
        <w:t>represented</w:t>
      </w:r>
      <w:r>
        <w:rPr>
          <w:spacing w:val="-7"/>
        </w:rPr>
        <w:t xml:space="preserve"> </w:t>
      </w:r>
      <w:r>
        <w:t>by</w:t>
      </w:r>
      <w:r>
        <w:rPr>
          <w:spacing w:val="-7"/>
        </w:rPr>
        <w:t xml:space="preserve"> </w:t>
      </w:r>
      <w:r>
        <w:t>each</w:t>
      </w:r>
      <w:r>
        <w:rPr>
          <w:spacing w:val="-7"/>
        </w:rPr>
        <w:t xml:space="preserve"> </w:t>
      </w:r>
      <w:r>
        <w:t>district,</w:t>
      </w:r>
      <w:r>
        <w:rPr>
          <w:spacing w:val="-7"/>
        </w:rPr>
        <w:t xml:space="preserve"> </w:t>
      </w:r>
      <w:r>
        <w:t>sorting</w:t>
      </w:r>
      <w:r>
        <w:rPr>
          <w:spacing w:val="-7"/>
        </w:rPr>
        <w:t xml:space="preserve"> </w:t>
      </w:r>
      <w:r>
        <w:t>in</w:t>
      </w:r>
      <w:r>
        <w:rPr>
          <w:spacing w:val="-7"/>
        </w:rPr>
        <w:t xml:space="preserve"> </w:t>
      </w:r>
      <w:r>
        <w:t>descending</w:t>
      </w:r>
      <w:r>
        <w:rPr>
          <w:spacing w:val="-7"/>
        </w:rPr>
        <w:t xml:space="preserve"> </w:t>
      </w:r>
      <w:r>
        <w:t>order, and cumulating the percentages.</w:t>
      </w:r>
      <w:r>
        <w:rPr>
          <w:spacing w:val="-11"/>
        </w:rPr>
        <w:t xml:space="preserve"> </w:t>
      </w:r>
      <w:r>
        <w:t>All districts up to and including the first district at or above the 80th cumulative percentage were defined as large districts.</w:t>
      </w:r>
      <w:r>
        <w:rPr>
          <w:spacing w:val="-3"/>
        </w:rPr>
        <w:t xml:space="preserve"> </w:t>
      </w:r>
      <w:r>
        <w:t>The remaining districts were defined as medium districts.</w:t>
      </w:r>
    </w:p>
    <w:p w:rsidR="003F5784" w14:paraId="11A60E52" w14:textId="77777777">
      <w:pPr>
        <w:pStyle w:val="BodyText"/>
        <w:spacing w:before="210" w:line="232" w:lineRule="auto"/>
        <w:ind w:left="109"/>
      </w:pPr>
      <w:r>
        <w:t>A</w:t>
      </w:r>
      <w:r>
        <w:rPr>
          <w:spacing w:val="-14"/>
        </w:rPr>
        <w:t xml:space="preserve"> </w:t>
      </w:r>
      <w:r>
        <w:t>simplified</w:t>
      </w:r>
      <w:r>
        <w:rPr>
          <w:spacing w:val="-9"/>
        </w:rPr>
        <w:t xml:space="preserve"> </w:t>
      </w:r>
      <w:r>
        <w:t>example</w:t>
      </w:r>
      <w:r>
        <w:rPr>
          <w:spacing w:val="-7"/>
        </w:rPr>
        <w:t xml:space="preserve"> </w:t>
      </w:r>
      <w:r>
        <w:t>is</w:t>
      </w:r>
      <w:r>
        <w:rPr>
          <w:spacing w:val="-7"/>
        </w:rPr>
        <w:t xml:space="preserve"> </w:t>
      </w:r>
      <w:r>
        <w:t>given</w:t>
      </w:r>
      <w:r>
        <w:rPr>
          <w:spacing w:val="-7"/>
        </w:rPr>
        <w:t xml:space="preserve"> </w:t>
      </w:r>
      <w:r>
        <w:t>below.</w:t>
      </w:r>
      <w:r>
        <w:rPr>
          <w:spacing w:val="-10"/>
        </w:rPr>
        <w:t xml:space="preserve"> </w:t>
      </w:r>
      <w:r>
        <w:t>The</w:t>
      </w:r>
      <w:r>
        <w:rPr>
          <w:spacing w:val="-7"/>
        </w:rPr>
        <w:t xml:space="preserve"> </w:t>
      </w:r>
      <w:r>
        <w:t>state's</w:t>
      </w:r>
      <w:r>
        <w:rPr>
          <w:spacing w:val="-7"/>
        </w:rPr>
        <w:t xml:space="preserve"> </w:t>
      </w:r>
      <w:r>
        <w:t>districts</w:t>
      </w:r>
      <w:r>
        <w:rPr>
          <w:spacing w:val="-7"/>
        </w:rPr>
        <w:t xml:space="preserve"> </w:t>
      </w:r>
      <w:r>
        <w:t>are</w:t>
      </w:r>
      <w:r>
        <w:rPr>
          <w:spacing w:val="-7"/>
        </w:rPr>
        <w:t xml:space="preserve"> </w:t>
      </w:r>
      <w:r>
        <w:t>ordered</w:t>
      </w:r>
      <w:r>
        <w:rPr>
          <w:spacing w:val="-7"/>
        </w:rPr>
        <w:t xml:space="preserve"> </w:t>
      </w:r>
      <w:r>
        <w:t>by</w:t>
      </w:r>
      <w:r>
        <w:rPr>
          <w:spacing w:val="-7"/>
        </w:rPr>
        <w:t xml:space="preserve"> </w:t>
      </w:r>
      <w:r>
        <w:t>descending</w:t>
      </w:r>
      <w:r>
        <w:rPr>
          <w:spacing w:val="-7"/>
        </w:rPr>
        <w:t xml:space="preserve"> </w:t>
      </w:r>
      <w:r>
        <w:t>percentage</w:t>
      </w:r>
      <w:r>
        <w:rPr>
          <w:spacing w:val="-7"/>
        </w:rPr>
        <w:t xml:space="preserve"> </w:t>
      </w:r>
      <w:r>
        <w:t>enrollment.</w:t>
      </w:r>
      <w:r>
        <w:rPr>
          <w:spacing w:val="-10"/>
        </w:rPr>
        <w:t xml:space="preserve"> </w:t>
      </w:r>
      <w:r>
        <w:t>The</w:t>
      </w:r>
      <w:r>
        <w:rPr>
          <w:spacing w:val="-7"/>
        </w:rPr>
        <w:t xml:space="preserve"> </w:t>
      </w:r>
      <w:r>
        <w:t>first</w:t>
      </w:r>
      <w:r>
        <w:rPr>
          <w:spacing w:val="-7"/>
        </w:rPr>
        <w:t xml:space="preserve"> </w:t>
      </w:r>
      <w:r>
        <w:t>six</w:t>
      </w:r>
      <w:r>
        <w:rPr>
          <w:spacing w:val="-7"/>
        </w:rPr>
        <w:t xml:space="preserve"> </w:t>
      </w:r>
      <w:r>
        <w:t>become</w:t>
      </w:r>
      <w:r>
        <w:rPr>
          <w:spacing w:val="-7"/>
        </w:rPr>
        <w:t xml:space="preserve"> </w:t>
      </w:r>
      <w:r>
        <w:t>large</w:t>
      </w:r>
      <w:r>
        <w:rPr>
          <w:spacing w:val="-7"/>
        </w:rPr>
        <w:t xml:space="preserve"> </w:t>
      </w:r>
      <w:r>
        <w:t>districts</w:t>
      </w:r>
      <w:r>
        <w:rPr>
          <w:spacing w:val="-7"/>
        </w:rPr>
        <w:t xml:space="preserve"> </w:t>
      </w:r>
      <w:r>
        <w:t>and</w:t>
      </w:r>
      <w:r>
        <w:rPr>
          <w:spacing w:val="-7"/>
        </w:rPr>
        <w:t xml:space="preserve"> </w:t>
      </w:r>
      <w:r>
        <w:t>the</w:t>
      </w:r>
      <w:r>
        <w:rPr>
          <w:spacing w:val="-7"/>
        </w:rPr>
        <w:t xml:space="preserve"> </w:t>
      </w:r>
      <w:r>
        <w:t>last</w:t>
      </w:r>
      <w:r>
        <w:rPr>
          <w:spacing w:val="-7"/>
        </w:rPr>
        <w:t xml:space="preserve"> </w:t>
      </w:r>
      <w:r>
        <w:t>six</w:t>
      </w:r>
      <w:r>
        <w:rPr>
          <w:spacing w:val="-7"/>
        </w:rPr>
        <w:t xml:space="preserve"> </w:t>
      </w:r>
      <w:r>
        <w:t>become</w:t>
      </w:r>
      <w:r>
        <w:rPr>
          <w:spacing w:val="-7"/>
        </w:rPr>
        <w:t xml:space="preserve"> </w:t>
      </w:r>
      <w:r>
        <w:t xml:space="preserve">medium </w:t>
      </w:r>
      <w:r>
        <w:rPr>
          <w:spacing w:val="-2"/>
        </w:rPr>
        <w:t>districts.</w:t>
      </w:r>
    </w:p>
    <w:p w:rsidR="003F5784" w14:paraId="2A801F1B" w14:textId="77777777">
      <w:pPr>
        <w:pStyle w:val="BodyText"/>
        <w:spacing w:before="92"/>
      </w:pPr>
    </w:p>
    <w:p w:rsidR="003F5784" w14:paraId="103614F2" w14:textId="77777777">
      <w:pPr>
        <w:ind w:left="477"/>
        <w:rPr>
          <w:b/>
          <w:sz w:val="21"/>
        </w:rPr>
      </w:pPr>
      <w:r>
        <w:rPr>
          <w:b/>
          <w:sz w:val="20"/>
        </w:rPr>
        <w:t>Large-size</w:t>
      </w:r>
      <w:r>
        <w:rPr>
          <w:b/>
          <w:spacing w:val="-1"/>
          <w:sz w:val="20"/>
        </w:rPr>
        <w:t xml:space="preserve"> </w:t>
      </w:r>
      <w:r>
        <w:rPr>
          <w:b/>
          <w:sz w:val="20"/>
        </w:rPr>
        <w:t>and medium-size</w:t>
      </w:r>
      <w:r>
        <w:rPr>
          <w:b/>
          <w:spacing w:val="-1"/>
          <w:sz w:val="20"/>
        </w:rPr>
        <w:t xml:space="preserve"> </w:t>
      </w:r>
      <w:r>
        <w:rPr>
          <w:b/>
          <w:sz w:val="20"/>
        </w:rPr>
        <w:t>district strata</w:t>
      </w:r>
      <w:r>
        <w:rPr>
          <w:b/>
          <w:spacing w:val="-1"/>
          <w:sz w:val="20"/>
        </w:rPr>
        <w:t xml:space="preserve"> </w:t>
      </w:r>
      <w:r>
        <w:rPr>
          <w:b/>
          <w:sz w:val="20"/>
        </w:rPr>
        <w:t>example, by enrollment,</w:t>
      </w:r>
      <w:r>
        <w:rPr>
          <w:b/>
          <w:spacing w:val="-1"/>
          <w:sz w:val="20"/>
        </w:rPr>
        <w:t xml:space="preserve"> </w:t>
      </w:r>
      <w:r>
        <w:rPr>
          <w:b/>
          <w:sz w:val="20"/>
        </w:rPr>
        <w:t>stratum, and</w:t>
      </w:r>
      <w:r>
        <w:rPr>
          <w:b/>
          <w:spacing w:val="-1"/>
          <w:sz w:val="20"/>
        </w:rPr>
        <w:t xml:space="preserve"> </w:t>
      </w:r>
      <w:r>
        <w:rPr>
          <w:b/>
          <w:sz w:val="20"/>
        </w:rPr>
        <w:t>district</w:t>
      </w:r>
      <w:r>
        <w:rPr>
          <w:b/>
          <w:sz w:val="21"/>
        </w:rPr>
        <w:t>,</w:t>
      </w:r>
      <w:r>
        <w:rPr>
          <w:b/>
          <w:spacing w:val="-1"/>
          <w:sz w:val="21"/>
        </w:rPr>
        <w:t xml:space="preserve"> </w:t>
      </w:r>
      <w:r>
        <w:rPr>
          <w:b/>
          <w:spacing w:val="-4"/>
          <w:sz w:val="21"/>
        </w:rPr>
        <w:t>2022</w:t>
      </w:r>
    </w:p>
    <w:p w:rsidR="003F5784" w14:paraId="05CE3BFE"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2395"/>
        <w:gridCol w:w="5093"/>
        <w:gridCol w:w="5086"/>
        <w:gridCol w:w="1408"/>
      </w:tblGrid>
      <w:tr w14:paraId="361077D6" w14:textId="77777777">
        <w:tblPrEx>
          <w:tblW w:w="0" w:type="auto"/>
          <w:tblInd w:w="482" w:type="dxa"/>
          <w:tblLayout w:type="fixed"/>
          <w:tblCellMar>
            <w:left w:w="0" w:type="dxa"/>
            <w:right w:w="0" w:type="dxa"/>
          </w:tblCellMar>
          <w:tblLook w:val="01E0"/>
        </w:tblPrEx>
        <w:trPr>
          <w:trHeight w:val="267"/>
        </w:trPr>
        <w:tc>
          <w:tcPr>
            <w:tcW w:w="2395" w:type="dxa"/>
            <w:tcBorders>
              <w:top w:val="single" w:sz="18" w:space="0" w:color="800000"/>
              <w:bottom w:val="single" w:sz="18" w:space="0" w:color="800000"/>
            </w:tcBorders>
          </w:tcPr>
          <w:p w:rsidR="003F5784" w14:paraId="53E03BF7" w14:textId="77777777">
            <w:pPr>
              <w:pStyle w:val="TableParagraph"/>
              <w:spacing w:before="9" w:line="238" w:lineRule="exact"/>
              <w:ind w:left="120"/>
              <w:jc w:val="left"/>
              <w:rPr>
                <w:sz w:val="21"/>
              </w:rPr>
            </w:pPr>
            <w:r>
              <w:rPr>
                <w:spacing w:val="-2"/>
                <w:sz w:val="21"/>
              </w:rPr>
              <w:t>District</w:t>
            </w:r>
          </w:p>
        </w:tc>
        <w:tc>
          <w:tcPr>
            <w:tcW w:w="5093" w:type="dxa"/>
            <w:tcBorders>
              <w:top w:val="single" w:sz="18" w:space="0" w:color="800000"/>
              <w:bottom w:val="single" w:sz="18" w:space="0" w:color="800000"/>
            </w:tcBorders>
          </w:tcPr>
          <w:p w:rsidR="003F5784" w14:paraId="5C695183" w14:textId="77777777">
            <w:pPr>
              <w:pStyle w:val="TableParagraph"/>
              <w:spacing w:before="9" w:line="238" w:lineRule="exact"/>
              <w:ind w:right="1571"/>
              <w:rPr>
                <w:sz w:val="21"/>
              </w:rPr>
            </w:pPr>
            <w:r>
              <w:rPr>
                <w:sz w:val="21"/>
              </w:rPr>
              <w:t>Percentage</w:t>
            </w:r>
            <w:r>
              <w:rPr>
                <w:spacing w:val="-11"/>
                <w:sz w:val="21"/>
              </w:rPr>
              <w:t xml:space="preserve"> </w:t>
            </w:r>
            <w:r>
              <w:rPr>
                <w:spacing w:val="-2"/>
                <w:sz w:val="21"/>
              </w:rPr>
              <w:t>enrollment</w:t>
            </w:r>
          </w:p>
        </w:tc>
        <w:tc>
          <w:tcPr>
            <w:tcW w:w="5086" w:type="dxa"/>
            <w:tcBorders>
              <w:top w:val="single" w:sz="18" w:space="0" w:color="800000"/>
              <w:bottom w:val="single" w:sz="18" w:space="0" w:color="800000"/>
            </w:tcBorders>
          </w:tcPr>
          <w:p w:rsidR="003F5784" w14:paraId="4F69062D" w14:textId="77777777">
            <w:pPr>
              <w:pStyle w:val="TableParagraph"/>
              <w:spacing w:before="9" w:line="238" w:lineRule="exact"/>
              <w:ind w:right="625"/>
              <w:rPr>
                <w:sz w:val="21"/>
              </w:rPr>
            </w:pPr>
            <w:r>
              <w:rPr>
                <w:sz w:val="21"/>
              </w:rPr>
              <w:t>Cumulative</w:t>
            </w:r>
            <w:r>
              <w:rPr>
                <w:spacing w:val="-11"/>
                <w:sz w:val="21"/>
              </w:rPr>
              <w:t xml:space="preserve"> </w:t>
            </w:r>
            <w:r>
              <w:rPr>
                <w:sz w:val="21"/>
              </w:rPr>
              <w:t>percentage</w:t>
            </w:r>
            <w:r>
              <w:rPr>
                <w:spacing w:val="-10"/>
                <w:sz w:val="21"/>
              </w:rPr>
              <w:t xml:space="preserve"> </w:t>
            </w:r>
            <w:r>
              <w:rPr>
                <w:spacing w:val="-2"/>
                <w:sz w:val="21"/>
              </w:rPr>
              <w:t>enrollment</w:t>
            </w:r>
          </w:p>
        </w:tc>
        <w:tc>
          <w:tcPr>
            <w:tcW w:w="1408" w:type="dxa"/>
            <w:tcBorders>
              <w:top w:val="single" w:sz="18" w:space="0" w:color="800000"/>
              <w:bottom w:val="single" w:sz="18" w:space="0" w:color="800000"/>
            </w:tcBorders>
          </w:tcPr>
          <w:p w:rsidR="003F5784" w14:paraId="0B1EC24B" w14:textId="77777777">
            <w:pPr>
              <w:pStyle w:val="TableParagraph"/>
              <w:spacing w:before="9" w:line="238" w:lineRule="exact"/>
              <w:ind w:right="115"/>
              <w:rPr>
                <w:sz w:val="21"/>
              </w:rPr>
            </w:pPr>
            <w:r>
              <w:rPr>
                <w:spacing w:val="-2"/>
                <w:sz w:val="21"/>
              </w:rPr>
              <w:t>Stratum</w:t>
            </w:r>
          </w:p>
        </w:tc>
      </w:tr>
      <w:tr w14:paraId="79945AE6" w14:textId="77777777">
        <w:tblPrEx>
          <w:tblW w:w="0" w:type="auto"/>
          <w:tblInd w:w="482" w:type="dxa"/>
          <w:tblLayout w:type="fixed"/>
          <w:tblCellMar>
            <w:left w:w="0" w:type="dxa"/>
            <w:right w:w="0" w:type="dxa"/>
          </w:tblCellMar>
          <w:tblLook w:val="01E0"/>
        </w:tblPrEx>
        <w:trPr>
          <w:trHeight w:val="278"/>
        </w:trPr>
        <w:tc>
          <w:tcPr>
            <w:tcW w:w="2395" w:type="dxa"/>
            <w:tcBorders>
              <w:top w:val="single" w:sz="18" w:space="0" w:color="800000"/>
            </w:tcBorders>
          </w:tcPr>
          <w:p w:rsidR="003F5784" w14:paraId="30D21640" w14:textId="77777777">
            <w:pPr>
              <w:pStyle w:val="TableParagraph"/>
              <w:spacing w:before="9"/>
              <w:ind w:left="120"/>
              <w:jc w:val="left"/>
              <w:rPr>
                <w:sz w:val="21"/>
              </w:rPr>
            </w:pPr>
            <w:r>
              <w:rPr>
                <w:spacing w:val="-10"/>
                <w:sz w:val="21"/>
              </w:rPr>
              <w:t>1</w:t>
            </w:r>
          </w:p>
        </w:tc>
        <w:tc>
          <w:tcPr>
            <w:tcW w:w="5093" w:type="dxa"/>
            <w:tcBorders>
              <w:top w:val="single" w:sz="18" w:space="0" w:color="800000"/>
            </w:tcBorders>
          </w:tcPr>
          <w:p w:rsidR="003F5784" w14:paraId="06AC4FFF" w14:textId="77777777">
            <w:pPr>
              <w:pStyle w:val="TableParagraph"/>
              <w:spacing w:before="9"/>
              <w:ind w:right="1571"/>
              <w:rPr>
                <w:sz w:val="21"/>
              </w:rPr>
            </w:pPr>
            <w:r>
              <w:rPr>
                <w:spacing w:val="-5"/>
                <w:sz w:val="21"/>
              </w:rPr>
              <w:t>20</w:t>
            </w:r>
          </w:p>
        </w:tc>
        <w:tc>
          <w:tcPr>
            <w:tcW w:w="5086" w:type="dxa"/>
            <w:tcBorders>
              <w:top w:val="single" w:sz="18" w:space="0" w:color="800000"/>
            </w:tcBorders>
          </w:tcPr>
          <w:p w:rsidR="003F5784" w14:paraId="1B85ACB3" w14:textId="77777777">
            <w:pPr>
              <w:pStyle w:val="TableParagraph"/>
              <w:spacing w:before="9"/>
              <w:ind w:right="625"/>
              <w:rPr>
                <w:sz w:val="21"/>
              </w:rPr>
            </w:pPr>
            <w:r>
              <w:rPr>
                <w:spacing w:val="-5"/>
                <w:sz w:val="21"/>
              </w:rPr>
              <w:t>20</w:t>
            </w:r>
          </w:p>
        </w:tc>
        <w:tc>
          <w:tcPr>
            <w:tcW w:w="1408" w:type="dxa"/>
            <w:tcBorders>
              <w:top w:val="single" w:sz="18" w:space="0" w:color="800000"/>
            </w:tcBorders>
          </w:tcPr>
          <w:p w:rsidR="003F5784" w14:paraId="723F184E" w14:textId="77777777">
            <w:pPr>
              <w:pStyle w:val="TableParagraph"/>
              <w:spacing w:before="9"/>
              <w:ind w:right="115"/>
              <w:rPr>
                <w:sz w:val="21"/>
              </w:rPr>
            </w:pPr>
            <w:r>
              <w:rPr>
                <w:spacing w:val="-10"/>
                <w:sz w:val="21"/>
              </w:rPr>
              <w:t>L</w:t>
            </w:r>
          </w:p>
        </w:tc>
      </w:tr>
      <w:tr w14:paraId="118BAB5D" w14:textId="77777777">
        <w:tblPrEx>
          <w:tblW w:w="0" w:type="auto"/>
          <w:tblInd w:w="482" w:type="dxa"/>
          <w:tblLayout w:type="fixed"/>
          <w:tblCellMar>
            <w:left w:w="0" w:type="dxa"/>
            <w:right w:w="0" w:type="dxa"/>
          </w:tblCellMar>
          <w:tblLook w:val="01E0"/>
        </w:tblPrEx>
        <w:trPr>
          <w:trHeight w:val="286"/>
        </w:trPr>
        <w:tc>
          <w:tcPr>
            <w:tcW w:w="2395" w:type="dxa"/>
          </w:tcPr>
          <w:p w:rsidR="003F5784" w14:paraId="4B701F6B" w14:textId="77777777">
            <w:pPr>
              <w:pStyle w:val="TableParagraph"/>
              <w:ind w:left="120"/>
              <w:jc w:val="left"/>
              <w:rPr>
                <w:sz w:val="21"/>
              </w:rPr>
            </w:pPr>
            <w:r>
              <w:rPr>
                <w:spacing w:val="-10"/>
                <w:sz w:val="21"/>
              </w:rPr>
              <w:t>2</w:t>
            </w:r>
          </w:p>
        </w:tc>
        <w:tc>
          <w:tcPr>
            <w:tcW w:w="5093" w:type="dxa"/>
          </w:tcPr>
          <w:p w:rsidR="003F5784" w14:paraId="27721B12" w14:textId="77777777">
            <w:pPr>
              <w:pStyle w:val="TableParagraph"/>
              <w:ind w:right="1571"/>
              <w:rPr>
                <w:sz w:val="21"/>
              </w:rPr>
            </w:pPr>
            <w:r>
              <w:rPr>
                <w:spacing w:val="-5"/>
                <w:sz w:val="21"/>
              </w:rPr>
              <w:t>20</w:t>
            </w:r>
          </w:p>
        </w:tc>
        <w:tc>
          <w:tcPr>
            <w:tcW w:w="5086" w:type="dxa"/>
          </w:tcPr>
          <w:p w:rsidR="003F5784" w14:paraId="5F855B27" w14:textId="77777777">
            <w:pPr>
              <w:pStyle w:val="TableParagraph"/>
              <w:ind w:right="625"/>
              <w:rPr>
                <w:sz w:val="21"/>
              </w:rPr>
            </w:pPr>
            <w:r>
              <w:rPr>
                <w:spacing w:val="-5"/>
                <w:sz w:val="21"/>
              </w:rPr>
              <w:t>40</w:t>
            </w:r>
          </w:p>
        </w:tc>
        <w:tc>
          <w:tcPr>
            <w:tcW w:w="1408" w:type="dxa"/>
          </w:tcPr>
          <w:p w:rsidR="003F5784" w14:paraId="1A06CA4D" w14:textId="77777777">
            <w:pPr>
              <w:pStyle w:val="TableParagraph"/>
              <w:ind w:right="115"/>
              <w:rPr>
                <w:sz w:val="21"/>
              </w:rPr>
            </w:pPr>
            <w:r>
              <w:rPr>
                <w:spacing w:val="-10"/>
                <w:sz w:val="21"/>
              </w:rPr>
              <w:t>L</w:t>
            </w:r>
          </w:p>
        </w:tc>
      </w:tr>
      <w:tr w14:paraId="2F649498" w14:textId="77777777">
        <w:tblPrEx>
          <w:tblW w:w="0" w:type="auto"/>
          <w:tblInd w:w="482" w:type="dxa"/>
          <w:tblLayout w:type="fixed"/>
          <w:tblCellMar>
            <w:left w:w="0" w:type="dxa"/>
            <w:right w:w="0" w:type="dxa"/>
          </w:tblCellMar>
          <w:tblLook w:val="01E0"/>
        </w:tblPrEx>
        <w:trPr>
          <w:trHeight w:val="286"/>
        </w:trPr>
        <w:tc>
          <w:tcPr>
            <w:tcW w:w="2395" w:type="dxa"/>
          </w:tcPr>
          <w:p w:rsidR="003F5784" w14:paraId="3639DBE3" w14:textId="77777777">
            <w:pPr>
              <w:pStyle w:val="TableParagraph"/>
              <w:ind w:left="120"/>
              <w:jc w:val="left"/>
              <w:rPr>
                <w:sz w:val="21"/>
              </w:rPr>
            </w:pPr>
            <w:r>
              <w:rPr>
                <w:spacing w:val="-10"/>
                <w:sz w:val="21"/>
              </w:rPr>
              <w:t>3</w:t>
            </w:r>
          </w:p>
        </w:tc>
        <w:tc>
          <w:tcPr>
            <w:tcW w:w="5093" w:type="dxa"/>
          </w:tcPr>
          <w:p w:rsidR="003F5784" w14:paraId="64B569C8" w14:textId="77777777">
            <w:pPr>
              <w:pStyle w:val="TableParagraph"/>
              <w:ind w:right="1571"/>
              <w:rPr>
                <w:sz w:val="21"/>
              </w:rPr>
            </w:pPr>
            <w:r>
              <w:rPr>
                <w:spacing w:val="-5"/>
                <w:sz w:val="21"/>
              </w:rPr>
              <w:t>15</w:t>
            </w:r>
          </w:p>
        </w:tc>
        <w:tc>
          <w:tcPr>
            <w:tcW w:w="5086" w:type="dxa"/>
          </w:tcPr>
          <w:p w:rsidR="003F5784" w14:paraId="1EA80117" w14:textId="77777777">
            <w:pPr>
              <w:pStyle w:val="TableParagraph"/>
              <w:ind w:right="625"/>
              <w:rPr>
                <w:sz w:val="21"/>
              </w:rPr>
            </w:pPr>
            <w:r>
              <w:rPr>
                <w:spacing w:val="-5"/>
                <w:sz w:val="21"/>
              </w:rPr>
              <w:t>55</w:t>
            </w:r>
          </w:p>
        </w:tc>
        <w:tc>
          <w:tcPr>
            <w:tcW w:w="1408" w:type="dxa"/>
          </w:tcPr>
          <w:p w:rsidR="003F5784" w14:paraId="2E3E8442" w14:textId="77777777">
            <w:pPr>
              <w:pStyle w:val="TableParagraph"/>
              <w:ind w:right="115"/>
              <w:rPr>
                <w:sz w:val="21"/>
              </w:rPr>
            </w:pPr>
            <w:r>
              <w:rPr>
                <w:spacing w:val="-10"/>
                <w:sz w:val="21"/>
              </w:rPr>
              <w:t>L</w:t>
            </w:r>
          </w:p>
        </w:tc>
      </w:tr>
      <w:tr w14:paraId="516E21FB" w14:textId="77777777">
        <w:tblPrEx>
          <w:tblW w:w="0" w:type="auto"/>
          <w:tblInd w:w="482" w:type="dxa"/>
          <w:tblLayout w:type="fixed"/>
          <w:tblCellMar>
            <w:left w:w="0" w:type="dxa"/>
            <w:right w:w="0" w:type="dxa"/>
          </w:tblCellMar>
          <w:tblLook w:val="01E0"/>
        </w:tblPrEx>
        <w:trPr>
          <w:trHeight w:val="286"/>
        </w:trPr>
        <w:tc>
          <w:tcPr>
            <w:tcW w:w="2395" w:type="dxa"/>
          </w:tcPr>
          <w:p w:rsidR="003F5784" w14:paraId="40A56309" w14:textId="77777777">
            <w:pPr>
              <w:pStyle w:val="TableParagraph"/>
              <w:ind w:left="120"/>
              <w:jc w:val="left"/>
              <w:rPr>
                <w:sz w:val="21"/>
              </w:rPr>
            </w:pPr>
            <w:r>
              <w:rPr>
                <w:spacing w:val="-10"/>
                <w:sz w:val="21"/>
              </w:rPr>
              <w:t>4</w:t>
            </w:r>
          </w:p>
        </w:tc>
        <w:tc>
          <w:tcPr>
            <w:tcW w:w="5093" w:type="dxa"/>
          </w:tcPr>
          <w:p w:rsidR="003F5784" w14:paraId="23D5259D" w14:textId="77777777">
            <w:pPr>
              <w:pStyle w:val="TableParagraph"/>
              <w:ind w:right="1571"/>
              <w:rPr>
                <w:sz w:val="21"/>
              </w:rPr>
            </w:pPr>
            <w:r>
              <w:rPr>
                <w:spacing w:val="-5"/>
                <w:sz w:val="21"/>
              </w:rPr>
              <w:t>10</w:t>
            </w:r>
          </w:p>
        </w:tc>
        <w:tc>
          <w:tcPr>
            <w:tcW w:w="5086" w:type="dxa"/>
          </w:tcPr>
          <w:p w:rsidR="003F5784" w14:paraId="4310CD9A" w14:textId="77777777">
            <w:pPr>
              <w:pStyle w:val="TableParagraph"/>
              <w:ind w:right="625"/>
              <w:rPr>
                <w:sz w:val="21"/>
              </w:rPr>
            </w:pPr>
            <w:r>
              <w:rPr>
                <w:spacing w:val="-5"/>
                <w:sz w:val="21"/>
              </w:rPr>
              <w:t>65</w:t>
            </w:r>
          </w:p>
        </w:tc>
        <w:tc>
          <w:tcPr>
            <w:tcW w:w="1408" w:type="dxa"/>
          </w:tcPr>
          <w:p w:rsidR="003F5784" w14:paraId="76AC776A" w14:textId="77777777">
            <w:pPr>
              <w:pStyle w:val="TableParagraph"/>
              <w:ind w:right="115"/>
              <w:rPr>
                <w:sz w:val="21"/>
              </w:rPr>
            </w:pPr>
            <w:r>
              <w:rPr>
                <w:spacing w:val="-10"/>
                <w:sz w:val="21"/>
              </w:rPr>
              <w:t>L</w:t>
            </w:r>
          </w:p>
        </w:tc>
      </w:tr>
      <w:tr w14:paraId="2498042A" w14:textId="77777777">
        <w:tblPrEx>
          <w:tblW w:w="0" w:type="auto"/>
          <w:tblInd w:w="482" w:type="dxa"/>
          <w:tblLayout w:type="fixed"/>
          <w:tblCellMar>
            <w:left w:w="0" w:type="dxa"/>
            <w:right w:w="0" w:type="dxa"/>
          </w:tblCellMar>
          <w:tblLook w:val="01E0"/>
        </w:tblPrEx>
        <w:trPr>
          <w:trHeight w:val="286"/>
        </w:trPr>
        <w:tc>
          <w:tcPr>
            <w:tcW w:w="2395" w:type="dxa"/>
          </w:tcPr>
          <w:p w:rsidR="003F5784" w14:paraId="091A796C" w14:textId="77777777">
            <w:pPr>
              <w:pStyle w:val="TableParagraph"/>
              <w:ind w:left="120"/>
              <w:jc w:val="left"/>
              <w:rPr>
                <w:sz w:val="21"/>
              </w:rPr>
            </w:pPr>
            <w:r>
              <w:rPr>
                <w:spacing w:val="-10"/>
                <w:sz w:val="21"/>
              </w:rPr>
              <w:t>5</w:t>
            </w:r>
          </w:p>
        </w:tc>
        <w:tc>
          <w:tcPr>
            <w:tcW w:w="5093" w:type="dxa"/>
          </w:tcPr>
          <w:p w:rsidR="003F5784" w14:paraId="57B0D28A" w14:textId="77777777">
            <w:pPr>
              <w:pStyle w:val="TableParagraph"/>
              <w:ind w:right="1571"/>
              <w:rPr>
                <w:sz w:val="21"/>
              </w:rPr>
            </w:pPr>
            <w:r>
              <w:rPr>
                <w:spacing w:val="-5"/>
                <w:sz w:val="21"/>
              </w:rPr>
              <w:t>10</w:t>
            </w:r>
          </w:p>
        </w:tc>
        <w:tc>
          <w:tcPr>
            <w:tcW w:w="5086" w:type="dxa"/>
          </w:tcPr>
          <w:p w:rsidR="003F5784" w14:paraId="3589DBB7" w14:textId="77777777">
            <w:pPr>
              <w:pStyle w:val="TableParagraph"/>
              <w:ind w:right="625"/>
              <w:rPr>
                <w:sz w:val="21"/>
              </w:rPr>
            </w:pPr>
            <w:r>
              <w:rPr>
                <w:spacing w:val="-5"/>
                <w:sz w:val="21"/>
              </w:rPr>
              <w:t>75</w:t>
            </w:r>
          </w:p>
        </w:tc>
        <w:tc>
          <w:tcPr>
            <w:tcW w:w="1408" w:type="dxa"/>
          </w:tcPr>
          <w:p w:rsidR="003F5784" w14:paraId="04BEBE52" w14:textId="77777777">
            <w:pPr>
              <w:pStyle w:val="TableParagraph"/>
              <w:ind w:right="115"/>
              <w:rPr>
                <w:sz w:val="21"/>
              </w:rPr>
            </w:pPr>
            <w:r>
              <w:rPr>
                <w:spacing w:val="-10"/>
                <w:sz w:val="21"/>
              </w:rPr>
              <w:t>L</w:t>
            </w:r>
          </w:p>
        </w:tc>
      </w:tr>
      <w:tr w14:paraId="2FC677BA" w14:textId="77777777">
        <w:tblPrEx>
          <w:tblW w:w="0" w:type="auto"/>
          <w:tblInd w:w="482" w:type="dxa"/>
          <w:tblLayout w:type="fixed"/>
          <w:tblCellMar>
            <w:left w:w="0" w:type="dxa"/>
            <w:right w:w="0" w:type="dxa"/>
          </w:tblCellMar>
          <w:tblLook w:val="01E0"/>
        </w:tblPrEx>
        <w:trPr>
          <w:trHeight w:val="286"/>
        </w:trPr>
        <w:tc>
          <w:tcPr>
            <w:tcW w:w="2395" w:type="dxa"/>
          </w:tcPr>
          <w:p w:rsidR="003F5784" w14:paraId="76E497D2" w14:textId="77777777">
            <w:pPr>
              <w:pStyle w:val="TableParagraph"/>
              <w:ind w:left="120"/>
              <w:jc w:val="left"/>
              <w:rPr>
                <w:sz w:val="21"/>
              </w:rPr>
            </w:pPr>
            <w:r>
              <w:rPr>
                <w:spacing w:val="-10"/>
                <w:sz w:val="21"/>
              </w:rPr>
              <w:t>6</w:t>
            </w:r>
          </w:p>
        </w:tc>
        <w:tc>
          <w:tcPr>
            <w:tcW w:w="5093" w:type="dxa"/>
          </w:tcPr>
          <w:p w:rsidR="003F5784" w14:paraId="3AA147F4" w14:textId="77777777">
            <w:pPr>
              <w:pStyle w:val="TableParagraph"/>
              <w:ind w:right="1571"/>
              <w:rPr>
                <w:sz w:val="21"/>
              </w:rPr>
            </w:pPr>
            <w:r>
              <w:rPr>
                <w:spacing w:val="-5"/>
                <w:sz w:val="21"/>
              </w:rPr>
              <w:t>10</w:t>
            </w:r>
          </w:p>
        </w:tc>
        <w:tc>
          <w:tcPr>
            <w:tcW w:w="5086" w:type="dxa"/>
          </w:tcPr>
          <w:p w:rsidR="003F5784" w14:paraId="58522E6F" w14:textId="77777777">
            <w:pPr>
              <w:pStyle w:val="TableParagraph"/>
              <w:ind w:right="625"/>
              <w:rPr>
                <w:sz w:val="21"/>
              </w:rPr>
            </w:pPr>
            <w:r>
              <w:rPr>
                <w:spacing w:val="-5"/>
                <w:sz w:val="21"/>
              </w:rPr>
              <w:t>85</w:t>
            </w:r>
          </w:p>
        </w:tc>
        <w:tc>
          <w:tcPr>
            <w:tcW w:w="1408" w:type="dxa"/>
          </w:tcPr>
          <w:p w:rsidR="003F5784" w14:paraId="63CC4D83" w14:textId="77777777">
            <w:pPr>
              <w:pStyle w:val="TableParagraph"/>
              <w:ind w:right="115"/>
              <w:rPr>
                <w:sz w:val="21"/>
              </w:rPr>
            </w:pPr>
            <w:r>
              <w:rPr>
                <w:spacing w:val="-10"/>
                <w:sz w:val="21"/>
              </w:rPr>
              <w:t>L</w:t>
            </w:r>
          </w:p>
        </w:tc>
      </w:tr>
      <w:tr w14:paraId="4634709D" w14:textId="77777777">
        <w:tblPrEx>
          <w:tblW w:w="0" w:type="auto"/>
          <w:tblInd w:w="482" w:type="dxa"/>
          <w:tblLayout w:type="fixed"/>
          <w:tblCellMar>
            <w:left w:w="0" w:type="dxa"/>
            <w:right w:w="0" w:type="dxa"/>
          </w:tblCellMar>
          <w:tblLook w:val="01E0"/>
        </w:tblPrEx>
        <w:trPr>
          <w:trHeight w:val="286"/>
        </w:trPr>
        <w:tc>
          <w:tcPr>
            <w:tcW w:w="2395" w:type="dxa"/>
          </w:tcPr>
          <w:p w:rsidR="003F5784" w14:paraId="6BEBEBF1" w14:textId="77777777">
            <w:pPr>
              <w:pStyle w:val="TableParagraph"/>
              <w:ind w:left="120"/>
              <w:jc w:val="left"/>
              <w:rPr>
                <w:sz w:val="21"/>
              </w:rPr>
            </w:pPr>
            <w:r>
              <w:rPr>
                <w:spacing w:val="-10"/>
                <w:sz w:val="21"/>
              </w:rPr>
              <w:t>7</w:t>
            </w:r>
          </w:p>
        </w:tc>
        <w:tc>
          <w:tcPr>
            <w:tcW w:w="5093" w:type="dxa"/>
          </w:tcPr>
          <w:p w:rsidR="003F5784" w14:paraId="54C7606E" w14:textId="77777777">
            <w:pPr>
              <w:pStyle w:val="TableParagraph"/>
              <w:ind w:right="1571"/>
              <w:rPr>
                <w:sz w:val="21"/>
              </w:rPr>
            </w:pPr>
            <w:r>
              <w:rPr>
                <w:spacing w:val="-10"/>
                <w:sz w:val="21"/>
              </w:rPr>
              <w:t>5</w:t>
            </w:r>
          </w:p>
        </w:tc>
        <w:tc>
          <w:tcPr>
            <w:tcW w:w="5086" w:type="dxa"/>
          </w:tcPr>
          <w:p w:rsidR="003F5784" w14:paraId="7FCB3ABE" w14:textId="77777777">
            <w:pPr>
              <w:pStyle w:val="TableParagraph"/>
              <w:ind w:right="625"/>
              <w:rPr>
                <w:sz w:val="21"/>
              </w:rPr>
            </w:pPr>
            <w:r>
              <w:rPr>
                <w:spacing w:val="-5"/>
                <w:sz w:val="21"/>
              </w:rPr>
              <w:t>90</w:t>
            </w:r>
          </w:p>
        </w:tc>
        <w:tc>
          <w:tcPr>
            <w:tcW w:w="1408" w:type="dxa"/>
          </w:tcPr>
          <w:p w:rsidR="003F5784" w14:paraId="3299829C" w14:textId="77777777">
            <w:pPr>
              <w:pStyle w:val="TableParagraph"/>
              <w:ind w:right="115"/>
              <w:rPr>
                <w:sz w:val="21"/>
              </w:rPr>
            </w:pPr>
            <w:r>
              <w:rPr>
                <w:spacing w:val="-10"/>
                <w:sz w:val="21"/>
              </w:rPr>
              <w:t>M</w:t>
            </w:r>
          </w:p>
        </w:tc>
      </w:tr>
      <w:tr w14:paraId="20C06F26" w14:textId="77777777">
        <w:tblPrEx>
          <w:tblW w:w="0" w:type="auto"/>
          <w:tblInd w:w="482" w:type="dxa"/>
          <w:tblLayout w:type="fixed"/>
          <w:tblCellMar>
            <w:left w:w="0" w:type="dxa"/>
            <w:right w:w="0" w:type="dxa"/>
          </w:tblCellMar>
          <w:tblLook w:val="01E0"/>
        </w:tblPrEx>
        <w:trPr>
          <w:trHeight w:val="286"/>
        </w:trPr>
        <w:tc>
          <w:tcPr>
            <w:tcW w:w="2395" w:type="dxa"/>
          </w:tcPr>
          <w:p w:rsidR="003F5784" w14:paraId="64D11DFC" w14:textId="77777777">
            <w:pPr>
              <w:pStyle w:val="TableParagraph"/>
              <w:ind w:left="120"/>
              <w:jc w:val="left"/>
              <w:rPr>
                <w:sz w:val="21"/>
              </w:rPr>
            </w:pPr>
            <w:r>
              <w:rPr>
                <w:spacing w:val="-10"/>
                <w:sz w:val="21"/>
              </w:rPr>
              <w:t>8</w:t>
            </w:r>
          </w:p>
        </w:tc>
        <w:tc>
          <w:tcPr>
            <w:tcW w:w="5093" w:type="dxa"/>
          </w:tcPr>
          <w:p w:rsidR="003F5784" w14:paraId="45783C6A" w14:textId="77777777">
            <w:pPr>
              <w:pStyle w:val="TableParagraph"/>
              <w:ind w:right="1571"/>
              <w:rPr>
                <w:sz w:val="21"/>
              </w:rPr>
            </w:pPr>
            <w:r>
              <w:rPr>
                <w:spacing w:val="-10"/>
                <w:sz w:val="21"/>
              </w:rPr>
              <w:t>2</w:t>
            </w:r>
          </w:p>
        </w:tc>
        <w:tc>
          <w:tcPr>
            <w:tcW w:w="5086" w:type="dxa"/>
          </w:tcPr>
          <w:p w:rsidR="003F5784" w14:paraId="30B28F9E" w14:textId="77777777">
            <w:pPr>
              <w:pStyle w:val="TableParagraph"/>
              <w:ind w:right="625"/>
              <w:rPr>
                <w:sz w:val="21"/>
              </w:rPr>
            </w:pPr>
            <w:r>
              <w:rPr>
                <w:spacing w:val="-5"/>
                <w:sz w:val="21"/>
              </w:rPr>
              <w:t>92</w:t>
            </w:r>
          </w:p>
        </w:tc>
        <w:tc>
          <w:tcPr>
            <w:tcW w:w="1408" w:type="dxa"/>
          </w:tcPr>
          <w:p w:rsidR="003F5784" w14:paraId="4D3C6375" w14:textId="77777777">
            <w:pPr>
              <w:pStyle w:val="TableParagraph"/>
              <w:ind w:right="115"/>
              <w:rPr>
                <w:sz w:val="21"/>
              </w:rPr>
            </w:pPr>
            <w:r>
              <w:rPr>
                <w:spacing w:val="-10"/>
                <w:sz w:val="21"/>
              </w:rPr>
              <w:t>M</w:t>
            </w:r>
          </w:p>
        </w:tc>
      </w:tr>
      <w:tr w14:paraId="4F19593F" w14:textId="77777777">
        <w:tblPrEx>
          <w:tblW w:w="0" w:type="auto"/>
          <w:tblInd w:w="482" w:type="dxa"/>
          <w:tblLayout w:type="fixed"/>
          <w:tblCellMar>
            <w:left w:w="0" w:type="dxa"/>
            <w:right w:w="0" w:type="dxa"/>
          </w:tblCellMar>
          <w:tblLook w:val="01E0"/>
        </w:tblPrEx>
        <w:trPr>
          <w:trHeight w:val="286"/>
        </w:trPr>
        <w:tc>
          <w:tcPr>
            <w:tcW w:w="2395" w:type="dxa"/>
          </w:tcPr>
          <w:p w:rsidR="003F5784" w14:paraId="1174D103" w14:textId="77777777">
            <w:pPr>
              <w:pStyle w:val="TableParagraph"/>
              <w:ind w:left="120"/>
              <w:jc w:val="left"/>
              <w:rPr>
                <w:sz w:val="21"/>
              </w:rPr>
            </w:pPr>
            <w:r>
              <w:rPr>
                <w:spacing w:val="-10"/>
                <w:sz w:val="21"/>
              </w:rPr>
              <w:t>9</w:t>
            </w:r>
          </w:p>
        </w:tc>
        <w:tc>
          <w:tcPr>
            <w:tcW w:w="5093" w:type="dxa"/>
          </w:tcPr>
          <w:p w:rsidR="003F5784" w14:paraId="49830926" w14:textId="77777777">
            <w:pPr>
              <w:pStyle w:val="TableParagraph"/>
              <w:ind w:right="1571"/>
              <w:rPr>
                <w:sz w:val="21"/>
              </w:rPr>
            </w:pPr>
            <w:r>
              <w:rPr>
                <w:spacing w:val="-10"/>
                <w:sz w:val="21"/>
              </w:rPr>
              <w:t>2</w:t>
            </w:r>
          </w:p>
        </w:tc>
        <w:tc>
          <w:tcPr>
            <w:tcW w:w="5086" w:type="dxa"/>
          </w:tcPr>
          <w:p w:rsidR="003F5784" w14:paraId="4302E553" w14:textId="77777777">
            <w:pPr>
              <w:pStyle w:val="TableParagraph"/>
              <w:ind w:right="625"/>
              <w:rPr>
                <w:sz w:val="21"/>
              </w:rPr>
            </w:pPr>
            <w:r>
              <w:rPr>
                <w:spacing w:val="-5"/>
                <w:sz w:val="21"/>
              </w:rPr>
              <w:t>94</w:t>
            </w:r>
          </w:p>
        </w:tc>
        <w:tc>
          <w:tcPr>
            <w:tcW w:w="1408" w:type="dxa"/>
          </w:tcPr>
          <w:p w:rsidR="003F5784" w14:paraId="612477EB" w14:textId="77777777">
            <w:pPr>
              <w:pStyle w:val="TableParagraph"/>
              <w:ind w:right="115"/>
              <w:rPr>
                <w:sz w:val="21"/>
              </w:rPr>
            </w:pPr>
            <w:r>
              <w:rPr>
                <w:spacing w:val="-10"/>
                <w:sz w:val="21"/>
              </w:rPr>
              <w:t>M</w:t>
            </w:r>
          </w:p>
        </w:tc>
      </w:tr>
      <w:tr w14:paraId="63FA6475" w14:textId="77777777">
        <w:tblPrEx>
          <w:tblW w:w="0" w:type="auto"/>
          <w:tblInd w:w="482" w:type="dxa"/>
          <w:tblLayout w:type="fixed"/>
          <w:tblCellMar>
            <w:left w:w="0" w:type="dxa"/>
            <w:right w:w="0" w:type="dxa"/>
          </w:tblCellMar>
          <w:tblLook w:val="01E0"/>
        </w:tblPrEx>
        <w:trPr>
          <w:trHeight w:val="258"/>
        </w:trPr>
        <w:tc>
          <w:tcPr>
            <w:tcW w:w="2395" w:type="dxa"/>
          </w:tcPr>
          <w:p w:rsidR="003F5784" w14:paraId="1A81AECA" w14:textId="77777777">
            <w:pPr>
              <w:pStyle w:val="TableParagraph"/>
              <w:spacing w:line="221" w:lineRule="exact"/>
              <w:ind w:left="120"/>
              <w:jc w:val="left"/>
              <w:rPr>
                <w:sz w:val="21"/>
              </w:rPr>
            </w:pPr>
            <w:r>
              <w:rPr>
                <w:spacing w:val="-5"/>
                <w:sz w:val="21"/>
              </w:rPr>
              <w:t>10</w:t>
            </w:r>
          </w:p>
        </w:tc>
        <w:tc>
          <w:tcPr>
            <w:tcW w:w="5093" w:type="dxa"/>
          </w:tcPr>
          <w:p w:rsidR="003F5784" w14:paraId="7C1B3A3F" w14:textId="77777777">
            <w:pPr>
              <w:pStyle w:val="TableParagraph"/>
              <w:spacing w:line="221" w:lineRule="exact"/>
              <w:ind w:right="1571"/>
              <w:rPr>
                <w:sz w:val="21"/>
              </w:rPr>
            </w:pPr>
            <w:r>
              <w:rPr>
                <w:spacing w:val="-10"/>
                <w:sz w:val="21"/>
              </w:rPr>
              <w:t>2</w:t>
            </w:r>
          </w:p>
        </w:tc>
        <w:tc>
          <w:tcPr>
            <w:tcW w:w="5086" w:type="dxa"/>
          </w:tcPr>
          <w:p w:rsidR="003F5784" w14:paraId="3B966BF0" w14:textId="77777777">
            <w:pPr>
              <w:pStyle w:val="TableParagraph"/>
              <w:spacing w:line="221" w:lineRule="exact"/>
              <w:ind w:right="625"/>
              <w:rPr>
                <w:sz w:val="21"/>
              </w:rPr>
            </w:pPr>
            <w:r>
              <w:rPr>
                <w:spacing w:val="-5"/>
                <w:sz w:val="21"/>
              </w:rPr>
              <w:t>96</w:t>
            </w:r>
          </w:p>
        </w:tc>
        <w:tc>
          <w:tcPr>
            <w:tcW w:w="1408" w:type="dxa"/>
          </w:tcPr>
          <w:p w:rsidR="003F5784" w14:paraId="14B7A324" w14:textId="77777777">
            <w:pPr>
              <w:pStyle w:val="TableParagraph"/>
              <w:spacing w:line="221" w:lineRule="exact"/>
              <w:ind w:right="115"/>
              <w:rPr>
                <w:sz w:val="21"/>
              </w:rPr>
            </w:pPr>
            <w:r>
              <w:rPr>
                <w:spacing w:val="-10"/>
                <w:sz w:val="21"/>
              </w:rPr>
              <w:t>M</w:t>
            </w:r>
          </w:p>
        </w:tc>
      </w:tr>
    </w:tbl>
    <w:p w:rsidR="003F5784" w14:paraId="17ECC82E" w14:textId="77777777">
      <w:pPr>
        <w:spacing w:line="221" w:lineRule="exact"/>
        <w:rPr>
          <w:sz w:val="21"/>
        </w:rPr>
        <w:sectPr>
          <w:pgSz w:w="15840" w:h="12240" w:orient="landscape"/>
          <w:pgMar w:top="480" w:right="440" w:bottom="460" w:left="460" w:header="284" w:footer="275" w:gutter="0"/>
          <w:cols w:space="720"/>
        </w:sectPr>
      </w:pPr>
    </w:p>
    <w:p w:rsidR="003F5784" w14:paraId="71C840DC" w14:textId="77777777">
      <w:pPr>
        <w:pStyle w:val="BodyText"/>
        <w:tabs>
          <w:tab w:val="left" w:pos="4519"/>
          <w:tab w:val="left" w:pos="9537"/>
          <w:tab w:val="left" w:pos="13679"/>
        </w:tabs>
        <w:spacing w:before="98" w:after="20"/>
        <w:ind w:left="595"/>
      </w:pPr>
      <w:r>
        <w:rPr>
          <w:spacing w:val="-2"/>
        </w:rPr>
        <w:t>District</w:t>
      </w:r>
      <w:r>
        <w:tab/>
        <w:t>Percentage</w:t>
      </w:r>
      <w:r>
        <w:rPr>
          <w:spacing w:val="-11"/>
        </w:rPr>
        <w:t xml:space="preserve"> </w:t>
      </w:r>
      <w:r>
        <w:rPr>
          <w:spacing w:val="-2"/>
        </w:rPr>
        <w:t>enrollment</w:t>
      </w:r>
      <w:r>
        <w:tab/>
        <w:t>Cumulative</w:t>
      </w:r>
      <w:r>
        <w:rPr>
          <w:spacing w:val="-11"/>
        </w:rPr>
        <w:t xml:space="preserve"> </w:t>
      </w:r>
      <w:r>
        <w:t>percentage</w:t>
      </w:r>
      <w:r>
        <w:rPr>
          <w:spacing w:val="-10"/>
        </w:rPr>
        <w:t xml:space="preserve"> </w:t>
      </w:r>
      <w:r>
        <w:rPr>
          <w:spacing w:val="-2"/>
        </w:rPr>
        <w:t>enrollment</w:t>
      </w:r>
      <w:r>
        <w:tab/>
      </w:r>
      <w:r>
        <w:rPr>
          <w:spacing w:val="-2"/>
        </w:rPr>
        <w:t>Stratum</w:t>
      </w:r>
    </w:p>
    <w:tbl>
      <w:tblPr>
        <w:tblW w:w="0" w:type="auto"/>
        <w:tblInd w:w="482" w:type="dxa"/>
        <w:tblLayout w:type="fixed"/>
        <w:tblCellMar>
          <w:left w:w="0" w:type="dxa"/>
          <w:right w:w="0" w:type="dxa"/>
        </w:tblCellMar>
        <w:tblLook w:val="01E0"/>
      </w:tblPr>
      <w:tblGrid>
        <w:gridCol w:w="3070"/>
        <w:gridCol w:w="4458"/>
        <w:gridCol w:w="5040"/>
        <w:gridCol w:w="1418"/>
      </w:tblGrid>
      <w:tr w14:paraId="22674BCE" w14:textId="77777777" w:rsidTr="008F0E55">
        <w:tblPrEx>
          <w:tblW w:w="0" w:type="auto"/>
          <w:tblInd w:w="482" w:type="dxa"/>
          <w:tblLayout w:type="fixed"/>
          <w:tblCellMar>
            <w:left w:w="0" w:type="dxa"/>
            <w:right w:w="0" w:type="dxa"/>
          </w:tblCellMar>
          <w:tblLook w:val="01E0"/>
        </w:tblPrEx>
        <w:trPr>
          <w:trHeight w:val="278"/>
        </w:trPr>
        <w:tc>
          <w:tcPr>
            <w:tcW w:w="3070" w:type="dxa"/>
            <w:tcBorders>
              <w:top w:val="single" w:sz="18" w:space="0" w:color="800000"/>
            </w:tcBorders>
          </w:tcPr>
          <w:p w:rsidR="003F5784" w14:paraId="2A6D21F2" w14:textId="77777777">
            <w:pPr>
              <w:pStyle w:val="TableParagraph"/>
              <w:spacing w:before="9"/>
              <w:ind w:left="120"/>
              <w:jc w:val="left"/>
              <w:rPr>
                <w:sz w:val="21"/>
              </w:rPr>
            </w:pPr>
            <w:r>
              <w:rPr>
                <w:spacing w:val="-5"/>
                <w:sz w:val="21"/>
              </w:rPr>
              <w:t>11</w:t>
            </w:r>
          </w:p>
        </w:tc>
        <w:tc>
          <w:tcPr>
            <w:tcW w:w="4458" w:type="dxa"/>
            <w:tcBorders>
              <w:top w:val="single" w:sz="18" w:space="0" w:color="800000"/>
            </w:tcBorders>
          </w:tcPr>
          <w:p w:rsidR="003F5784" w14:paraId="37BC1BA7" w14:textId="77777777">
            <w:pPr>
              <w:pStyle w:val="TableParagraph"/>
              <w:spacing w:before="9"/>
              <w:ind w:right="119"/>
              <w:jc w:val="center"/>
              <w:rPr>
                <w:sz w:val="21"/>
              </w:rPr>
            </w:pPr>
            <w:r>
              <w:rPr>
                <w:spacing w:val="-10"/>
                <w:sz w:val="21"/>
              </w:rPr>
              <w:t>2</w:t>
            </w:r>
          </w:p>
        </w:tc>
        <w:tc>
          <w:tcPr>
            <w:tcW w:w="5040" w:type="dxa"/>
            <w:tcBorders>
              <w:top w:val="single" w:sz="18" w:space="0" w:color="800000"/>
            </w:tcBorders>
          </w:tcPr>
          <w:p w:rsidR="003F5784" w14:paraId="467DAE3C" w14:textId="77777777">
            <w:pPr>
              <w:pStyle w:val="TableParagraph"/>
              <w:spacing w:before="9"/>
              <w:ind w:right="865"/>
              <w:rPr>
                <w:sz w:val="21"/>
              </w:rPr>
            </w:pPr>
            <w:r>
              <w:rPr>
                <w:spacing w:val="-5"/>
                <w:sz w:val="21"/>
              </w:rPr>
              <w:t>98</w:t>
            </w:r>
          </w:p>
        </w:tc>
        <w:tc>
          <w:tcPr>
            <w:tcW w:w="1418" w:type="dxa"/>
            <w:tcBorders>
              <w:top w:val="single" w:sz="18" w:space="0" w:color="800000"/>
            </w:tcBorders>
          </w:tcPr>
          <w:p w:rsidR="003F5784" w14:paraId="5E920218" w14:textId="77777777">
            <w:pPr>
              <w:pStyle w:val="TableParagraph"/>
              <w:spacing w:before="9"/>
              <w:ind w:right="119"/>
              <w:rPr>
                <w:sz w:val="21"/>
              </w:rPr>
            </w:pPr>
            <w:r>
              <w:rPr>
                <w:spacing w:val="-10"/>
                <w:sz w:val="21"/>
              </w:rPr>
              <w:t>M</w:t>
            </w:r>
          </w:p>
        </w:tc>
      </w:tr>
      <w:tr w14:paraId="5EEB0928" w14:textId="77777777" w:rsidTr="008F0E55">
        <w:tblPrEx>
          <w:tblW w:w="0" w:type="auto"/>
          <w:tblInd w:w="482" w:type="dxa"/>
          <w:tblLayout w:type="fixed"/>
          <w:tblCellMar>
            <w:left w:w="0" w:type="dxa"/>
            <w:right w:w="0" w:type="dxa"/>
          </w:tblCellMar>
          <w:tblLook w:val="01E0"/>
        </w:tblPrEx>
        <w:trPr>
          <w:trHeight w:val="288"/>
        </w:trPr>
        <w:tc>
          <w:tcPr>
            <w:tcW w:w="3070" w:type="dxa"/>
            <w:tcBorders>
              <w:bottom w:val="single" w:sz="18" w:space="0" w:color="800000"/>
            </w:tcBorders>
          </w:tcPr>
          <w:p w:rsidR="003F5784" w14:paraId="6FD3E5B1" w14:textId="77777777">
            <w:pPr>
              <w:pStyle w:val="TableParagraph"/>
              <w:ind w:left="120"/>
              <w:jc w:val="left"/>
              <w:rPr>
                <w:sz w:val="21"/>
              </w:rPr>
            </w:pPr>
            <w:r>
              <w:rPr>
                <w:spacing w:val="-5"/>
                <w:sz w:val="21"/>
              </w:rPr>
              <w:t>12</w:t>
            </w:r>
          </w:p>
        </w:tc>
        <w:tc>
          <w:tcPr>
            <w:tcW w:w="4458" w:type="dxa"/>
            <w:tcBorders>
              <w:bottom w:val="single" w:sz="18" w:space="0" w:color="800000"/>
            </w:tcBorders>
          </w:tcPr>
          <w:p w:rsidR="003F5784" w14:paraId="2F1F988F" w14:textId="77777777">
            <w:pPr>
              <w:pStyle w:val="TableParagraph"/>
              <w:ind w:right="119"/>
              <w:jc w:val="center"/>
              <w:rPr>
                <w:sz w:val="21"/>
              </w:rPr>
            </w:pPr>
            <w:r>
              <w:rPr>
                <w:spacing w:val="-10"/>
                <w:sz w:val="21"/>
              </w:rPr>
              <w:t>2</w:t>
            </w:r>
          </w:p>
        </w:tc>
        <w:tc>
          <w:tcPr>
            <w:tcW w:w="5040" w:type="dxa"/>
            <w:tcBorders>
              <w:bottom w:val="single" w:sz="18" w:space="0" w:color="800000"/>
            </w:tcBorders>
          </w:tcPr>
          <w:p w:rsidR="003F5784" w14:paraId="6A2C7718" w14:textId="77777777">
            <w:pPr>
              <w:pStyle w:val="TableParagraph"/>
              <w:ind w:right="865"/>
              <w:rPr>
                <w:sz w:val="21"/>
              </w:rPr>
            </w:pPr>
            <w:r>
              <w:rPr>
                <w:spacing w:val="-5"/>
                <w:sz w:val="21"/>
              </w:rPr>
              <w:t>100</w:t>
            </w:r>
          </w:p>
        </w:tc>
        <w:tc>
          <w:tcPr>
            <w:tcW w:w="1418" w:type="dxa"/>
            <w:tcBorders>
              <w:bottom w:val="single" w:sz="18" w:space="0" w:color="800000"/>
            </w:tcBorders>
          </w:tcPr>
          <w:p w:rsidR="003F5784" w14:paraId="46E1C90E" w14:textId="77777777">
            <w:pPr>
              <w:pStyle w:val="TableParagraph"/>
              <w:ind w:right="119"/>
              <w:rPr>
                <w:sz w:val="21"/>
              </w:rPr>
            </w:pPr>
            <w:r>
              <w:rPr>
                <w:spacing w:val="-10"/>
                <w:sz w:val="21"/>
              </w:rPr>
              <w:t>M</w:t>
            </w:r>
          </w:p>
        </w:tc>
      </w:tr>
      <w:tr w14:paraId="037151D0" w14:textId="77777777">
        <w:tblPrEx>
          <w:tblW w:w="0" w:type="auto"/>
          <w:tblInd w:w="482" w:type="dxa"/>
          <w:tblLayout w:type="fixed"/>
          <w:tblCellMar>
            <w:left w:w="0" w:type="dxa"/>
            <w:right w:w="0" w:type="dxa"/>
          </w:tblCellMar>
          <w:tblLook w:val="01E0"/>
        </w:tblPrEx>
        <w:trPr>
          <w:trHeight w:val="472"/>
        </w:trPr>
        <w:tc>
          <w:tcPr>
            <w:tcW w:w="13986" w:type="dxa"/>
            <w:gridSpan w:val="4"/>
            <w:tcBorders>
              <w:top w:val="single" w:sz="18" w:space="0" w:color="800000"/>
            </w:tcBorders>
          </w:tcPr>
          <w:p w:rsidR="003F5784" w14:paraId="79CB3305" w14:textId="77777777">
            <w:pPr>
              <w:pStyle w:val="TableParagraph"/>
              <w:spacing w:before="0" w:line="234" w:lineRule="exact"/>
              <w:ind w:left="120"/>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 xml:space="preserve">Progress (NAEP), 2022 </w:t>
            </w:r>
            <w:r>
              <w:rPr>
                <w:sz w:val="18"/>
              </w:rPr>
              <w:t>National Grade 8 Civics and U.S. History Assessments</w:t>
            </w:r>
            <w:r>
              <w:rPr>
                <w:sz w:val="21"/>
              </w:rPr>
              <w:t>.</w:t>
            </w:r>
          </w:p>
        </w:tc>
      </w:tr>
    </w:tbl>
    <w:p w:rsidR="003F5784" w14:paraId="2D5C49F1" w14:textId="77777777">
      <w:pPr>
        <w:pStyle w:val="BodyText"/>
        <w:spacing w:before="225"/>
      </w:pPr>
    </w:p>
    <w:p w:rsidR="003F5784" w14:paraId="488D70ED" w14:textId="77777777">
      <w:pPr>
        <w:pStyle w:val="BodyText"/>
        <w:spacing w:before="1" w:line="232" w:lineRule="auto"/>
        <w:ind w:left="109" w:right="361"/>
      </w:pPr>
      <w:r>
        <w:t>The target sample size for each jurisdiction was 10 districts total across the medium-size and large-size district strata.</w:t>
      </w:r>
      <w:r>
        <w:rPr>
          <w:spacing w:val="-4"/>
        </w:rPr>
        <w:t xml:space="preserve"> </w:t>
      </w:r>
      <w:r>
        <w:t>Where possible, eight districts were selected from the large-size</w:t>
      </w:r>
      <w:r>
        <w:rPr>
          <w:spacing w:val="-6"/>
        </w:rPr>
        <w:t xml:space="preserve"> </w:t>
      </w:r>
      <w:r>
        <w:t>district</w:t>
      </w:r>
      <w:r>
        <w:rPr>
          <w:spacing w:val="-6"/>
        </w:rPr>
        <w:t xml:space="preserve"> </w:t>
      </w:r>
      <w:r>
        <w:t>stratum</w:t>
      </w:r>
      <w:r>
        <w:rPr>
          <w:spacing w:val="-6"/>
        </w:rPr>
        <w:t xml:space="preserve"> </w:t>
      </w:r>
      <w:r>
        <w:t>and</w:t>
      </w:r>
      <w:r>
        <w:rPr>
          <w:spacing w:val="-6"/>
        </w:rPr>
        <w:t xml:space="preserve"> </w:t>
      </w:r>
      <w:r>
        <w:t>two</w:t>
      </w:r>
      <w:r>
        <w:rPr>
          <w:spacing w:val="-6"/>
        </w:rPr>
        <w:t xml:space="preserve"> </w:t>
      </w:r>
      <w:r>
        <w:t>districts</w:t>
      </w:r>
      <w:r>
        <w:rPr>
          <w:spacing w:val="-6"/>
        </w:rPr>
        <w:t xml:space="preserve"> </w:t>
      </w:r>
      <w:r>
        <w:t>from</w:t>
      </w:r>
      <w:r>
        <w:rPr>
          <w:spacing w:val="-6"/>
        </w:rPr>
        <w:t xml:space="preserve"> </w:t>
      </w:r>
      <w:r>
        <w:t>the</w:t>
      </w:r>
      <w:r>
        <w:rPr>
          <w:spacing w:val="-6"/>
        </w:rPr>
        <w:t xml:space="preserve"> </w:t>
      </w:r>
      <w:r>
        <w:t>medium-size</w:t>
      </w:r>
      <w:r>
        <w:rPr>
          <w:spacing w:val="-6"/>
        </w:rPr>
        <w:t xml:space="preserve"> </w:t>
      </w:r>
      <w:r>
        <w:t>district</w:t>
      </w:r>
      <w:r>
        <w:rPr>
          <w:spacing w:val="-6"/>
        </w:rPr>
        <w:t xml:space="preserve"> </w:t>
      </w:r>
      <w:r>
        <w:t>stratum.</w:t>
      </w:r>
      <w:r>
        <w:rPr>
          <w:spacing w:val="-6"/>
        </w:rPr>
        <w:t xml:space="preserve"> </w:t>
      </w:r>
      <w:r>
        <w:t>However,</w:t>
      </w:r>
      <w:r>
        <w:rPr>
          <w:spacing w:val="-6"/>
        </w:rPr>
        <w:t xml:space="preserve"> </w:t>
      </w:r>
      <w:r>
        <w:t>in</w:t>
      </w:r>
      <w:r>
        <w:rPr>
          <w:spacing w:val="-6"/>
        </w:rPr>
        <w:t xml:space="preserve"> </w:t>
      </w:r>
      <w:r>
        <w:t>the</w:t>
      </w:r>
      <w:r>
        <w:rPr>
          <w:spacing w:val="-6"/>
        </w:rPr>
        <w:t xml:space="preserve"> </w:t>
      </w:r>
      <w:r>
        <w:t>example</w:t>
      </w:r>
      <w:r>
        <w:rPr>
          <w:spacing w:val="-6"/>
        </w:rPr>
        <w:t xml:space="preserve"> </w:t>
      </w:r>
      <w:r>
        <w:t>above,</w:t>
      </w:r>
      <w:r>
        <w:rPr>
          <w:spacing w:val="-6"/>
        </w:rPr>
        <w:t xml:space="preserve"> </w:t>
      </w:r>
      <w:r>
        <w:t>since</w:t>
      </w:r>
      <w:r>
        <w:rPr>
          <w:spacing w:val="-6"/>
        </w:rPr>
        <w:t xml:space="preserve"> </w:t>
      </w:r>
      <w:r>
        <w:t>there</w:t>
      </w:r>
      <w:r>
        <w:rPr>
          <w:spacing w:val="-6"/>
        </w:rPr>
        <w:t xml:space="preserve"> </w:t>
      </w:r>
      <w:r>
        <w:t>are</w:t>
      </w:r>
      <w:r>
        <w:rPr>
          <w:spacing w:val="-6"/>
        </w:rPr>
        <w:t xml:space="preserve"> </w:t>
      </w:r>
      <w:r>
        <w:t>only</w:t>
      </w:r>
      <w:r>
        <w:rPr>
          <w:spacing w:val="-6"/>
        </w:rPr>
        <w:t xml:space="preserve"> </w:t>
      </w:r>
      <w:r>
        <w:t>six</w:t>
      </w:r>
      <w:r>
        <w:rPr>
          <w:spacing w:val="-6"/>
        </w:rPr>
        <w:t xml:space="preserve"> </w:t>
      </w:r>
      <w:r>
        <w:t>large</w:t>
      </w:r>
      <w:r>
        <w:rPr>
          <w:spacing w:val="-6"/>
        </w:rPr>
        <w:t xml:space="preserve"> </w:t>
      </w:r>
      <w:r>
        <w:t>districts,</w:t>
      </w:r>
      <w:r>
        <w:rPr>
          <w:spacing w:val="-6"/>
        </w:rPr>
        <w:t xml:space="preserve"> </w:t>
      </w:r>
      <w:r>
        <w:t>all</w:t>
      </w:r>
      <w:r>
        <w:rPr>
          <w:spacing w:val="-6"/>
        </w:rPr>
        <w:t xml:space="preserve"> </w:t>
      </w:r>
      <w:r>
        <w:t>of</w:t>
      </w:r>
      <w:r>
        <w:rPr>
          <w:spacing w:val="-6"/>
        </w:rPr>
        <w:t xml:space="preserve"> </w:t>
      </w:r>
      <w:r>
        <w:t>the</w:t>
      </w:r>
      <w:r>
        <w:rPr>
          <w:spacing w:val="-6"/>
        </w:rPr>
        <w:t xml:space="preserve"> </w:t>
      </w:r>
      <w:r>
        <w:t>districts</w:t>
      </w:r>
      <w:r>
        <w:rPr>
          <w:spacing w:val="-6"/>
        </w:rPr>
        <w:t xml:space="preserve"> </w:t>
      </w:r>
      <w:r>
        <w:t>in the large district stratum and four districts from the medium district stratum would have been selected for the new-school inquiry.</w:t>
      </w:r>
    </w:p>
    <w:p w:rsidR="003F5784" w14:paraId="75320DC9" w14:textId="77777777">
      <w:pPr>
        <w:pStyle w:val="BodyText"/>
        <w:spacing w:before="209" w:line="232" w:lineRule="auto"/>
        <w:ind w:left="109" w:right="733"/>
        <w:jc w:val="both"/>
      </w:pPr>
      <w:r>
        <w:t>If</w:t>
      </w:r>
      <w:r>
        <w:rPr>
          <w:spacing w:val="-7"/>
        </w:rPr>
        <w:t xml:space="preserve"> </w:t>
      </w:r>
      <w:r>
        <w:t>sampling</w:t>
      </w:r>
      <w:r>
        <w:rPr>
          <w:spacing w:val="-7"/>
        </w:rPr>
        <w:t xml:space="preserve"> </w:t>
      </w:r>
      <w:r>
        <w:t>was</w:t>
      </w:r>
      <w:r>
        <w:rPr>
          <w:spacing w:val="-7"/>
        </w:rPr>
        <w:t xml:space="preserve"> </w:t>
      </w:r>
      <w:r>
        <w:t>needed</w:t>
      </w:r>
      <w:r>
        <w:rPr>
          <w:spacing w:val="-7"/>
        </w:rPr>
        <w:t xml:space="preserve"> </w:t>
      </w:r>
      <w:r>
        <w:t>in</w:t>
      </w:r>
      <w:r>
        <w:rPr>
          <w:spacing w:val="-7"/>
        </w:rPr>
        <w:t xml:space="preserve"> </w:t>
      </w:r>
      <w:r>
        <w:t>the</w:t>
      </w:r>
      <w:r>
        <w:rPr>
          <w:spacing w:val="-7"/>
        </w:rPr>
        <w:t xml:space="preserve"> </w:t>
      </w:r>
      <w:r>
        <w:t>medium-size</w:t>
      </w:r>
      <w:r>
        <w:rPr>
          <w:spacing w:val="-7"/>
        </w:rPr>
        <w:t xml:space="preserve"> </w:t>
      </w:r>
      <w:r>
        <w:t>district</w:t>
      </w:r>
      <w:r>
        <w:rPr>
          <w:spacing w:val="-7"/>
        </w:rPr>
        <w:t xml:space="preserve"> </w:t>
      </w:r>
      <w:r>
        <w:t>stratum,</w:t>
      </w:r>
      <w:r>
        <w:rPr>
          <w:spacing w:val="-7"/>
        </w:rPr>
        <w:t xml:space="preserve"> </w:t>
      </w:r>
      <w:r>
        <w:t>districts</w:t>
      </w:r>
      <w:r>
        <w:rPr>
          <w:spacing w:val="-7"/>
        </w:rPr>
        <w:t xml:space="preserve"> </w:t>
      </w:r>
      <w:r>
        <w:t>in</w:t>
      </w:r>
      <w:r>
        <w:rPr>
          <w:spacing w:val="-7"/>
        </w:rPr>
        <w:t xml:space="preserve"> </w:t>
      </w:r>
      <w:r>
        <w:t>this</w:t>
      </w:r>
      <w:r>
        <w:rPr>
          <w:spacing w:val="-7"/>
        </w:rPr>
        <w:t xml:space="preserve"> </w:t>
      </w:r>
      <w:r>
        <w:t>stratum</w:t>
      </w:r>
      <w:r>
        <w:rPr>
          <w:spacing w:val="-7"/>
        </w:rPr>
        <w:t xml:space="preserve"> </w:t>
      </w:r>
      <w:r>
        <w:t>were</w:t>
      </w:r>
      <w:r>
        <w:rPr>
          <w:spacing w:val="-7"/>
        </w:rPr>
        <w:t xml:space="preserve"> </w:t>
      </w:r>
      <w:r>
        <w:t>selected</w:t>
      </w:r>
      <w:r>
        <w:rPr>
          <w:spacing w:val="-7"/>
        </w:rPr>
        <w:t xml:space="preserve"> </w:t>
      </w:r>
      <w:r>
        <w:t>with</w:t>
      </w:r>
      <w:r>
        <w:rPr>
          <w:spacing w:val="-7"/>
        </w:rPr>
        <w:t xml:space="preserve"> </w:t>
      </w:r>
      <w:r>
        <w:t>equal</w:t>
      </w:r>
      <w:r>
        <w:rPr>
          <w:spacing w:val="-7"/>
        </w:rPr>
        <w:t xml:space="preserve"> </w:t>
      </w:r>
      <w:r>
        <w:t>probability.</w:t>
      </w:r>
      <w:r>
        <w:rPr>
          <w:spacing w:val="-7"/>
        </w:rPr>
        <w:t xml:space="preserve"> </w:t>
      </w:r>
      <w:r>
        <w:t>If</w:t>
      </w:r>
      <w:r>
        <w:rPr>
          <w:spacing w:val="-7"/>
        </w:rPr>
        <w:t xml:space="preserve"> </w:t>
      </w:r>
      <w:r>
        <w:t>sampling</w:t>
      </w:r>
      <w:r>
        <w:rPr>
          <w:spacing w:val="-7"/>
        </w:rPr>
        <w:t xml:space="preserve"> </w:t>
      </w:r>
      <w:r>
        <w:t>was</w:t>
      </w:r>
      <w:r>
        <w:rPr>
          <w:spacing w:val="-7"/>
        </w:rPr>
        <w:t xml:space="preserve"> </w:t>
      </w:r>
      <w:r>
        <w:t>needed</w:t>
      </w:r>
      <w:r>
        <w:rPr>
          <w:spacing w:val="-7"/>
        </w:rPr>
        <w:t xml:space="preserve"> </w:t>
      </w:r>
      <w:r>
        <w:t>in</w:t>
      </w:r>
      <w:r>
        <w:rPr>
          <w:spacing w:val="-7"/>
        </w:rPr>
        <w:t xml:space="preserve"> </w:t>
      </w:r>
      <w:r>
        <w:t>the</w:t>
      </w:r>
      <w:r>
        <w:rPr>
          <w:spacing w:val="-7"/>
        </w:rPr>
        <w:t xml:space="preserve"> </w:t>
      </w:r>
      <w:r>
        <w:t>large-size</w:t>
      </w:r>
      <w:r>
        <w:rPr>
          <w:spacing w:val="-7"/>
        </w:rPr>
        <w:t xml:space="preserve"> </w:t>
      </w:r>
      <w:r>
        <w:t>district stratum,</w:t>
      </w:r>
      <w:r>
        <w:rPr>
          <w:spacing w:val="-4"/>
        </w:rPr>
        <w:t xml:space="preserve"> </w:t>
      </w:r>
      <w:r>
        <w:t>the</w:t>
      </w:r>
      <w:r>
        <w:rPr>
          <w:spacing w:val="-4"/>
        </w:rPr>
        <w:t xml:space="preserve"> </w:t>
      </w:r>
      <w:r>
        <w:t>districts</w:t>
      </w:r>
      <w:r>
        <w:rPr>
          <w:spacing w:val="-4"/>
        </w:rPr>
        <w:t xml:space="preserve"> </w:t>
      </w:r>
      <w:r>
        <w:t>in</w:t>
      </w:r>
      <w:r>
        <w:rPr>
          <w:spacing w:val="-4"/>
        </w:rPr>
        <w:t xml:space="preserve"> </w:t>
      </w:r>
      <w:r>
        <w:t>this</w:t>
      </w:r>
      <w:r>
        <w:rPr>
          <w:spacing w:val="-4"/>
        </w:rPr>
        <w:t xml:space="preserve"> </w:t>
      </w:r>
      <w:r>
        <w:t>stratum</w:t>
      </w:r>
      <w:r>
        <w:rPr>
          <w:spacing w:val="-4"/>
        </w:rPr>
        <w:t xml:space="preserve"> </w:t>
      </w:r>
      <w:r>
        <w:t>were</w:t>
      </w:r>
      <w:r>
        <w:rPr>
          <w:spacing w:val="-4"/>
        </w:rPr>
        <w:t xml:space="preserve"> </w:t>
      </w:r>
      <w:r>
        <w:t>sampled</w:t>
      </w:r>
      <w:r>
        <w:rPr>
          <w:spacing w:val="-4"/>
        </w:rPr>
        <w:t xml:space="preserve"> </w:t>
      </w:r>
      <w:r>
        <w:t>with</w:t>
      </w:r>
      <w:r>
        <w:rPr>
          <w:spacing w:val="-4"/>
        </w:rPr>
        <w:t xml:space="preserve"> </w:t>
      </w:r>
      <w:r>
        <w:t>probability</w:t>
      </w:r>
      <w:r>
        <w:rPr>
          <w:spacing w:val="-4"/>
        </w:rPr>
        <w:t xml:space="preserve"> </w:t>
      </w:r>
      <w:r>
        <w:t>proportional</w:t>
      </w:r>
      <w:r>
        <w:rPr>
          <w:spacing w:val="-4"/>
        </w:rPr>
        <w:t xml:space="preserve"> </w:t>
      </w:r>
      <w:r>
        <w:t>to</w:t>
      </w:r>
      <w:r>
        <w:rPr>
          <w:spacing w:val="-4"/>
        </w:rPr>
        <w:t xml:space="preserve"> </w:t>
      </w:r>
      <w:r>
        <w:t>enrollment.</w:t>
      </w:r>
      <w:r>
        <w:rPr>
          <w:spacing w:val="-8"/>
        </w:rPr>
        <w:t xml:space="preserve"> </w:t>
      </w:r>
      <w:r>
        <w:t>These</w:t>
      </w:r>
      <w:r>
        <w:rPr>
          <w:spacing w:val="-4"/>
        </w:rPr>
        <w:t xml:space="preserve"> </w:t>
      </w:r>
      <w:r>
        <w:t>probabilities</w:t>
      </w:r>
      <w:r>
        <w:rPr>
          <w:spacing w:val="-4"/>
        </w:rPr>
        <w:t xml:space="preserve"> </w:t>
      </w:r>
      <w:r>
        <w:t>were</w:t>
      </w:r>
      <w:r>
        <w:rPr>
          <w:spacing w:val="-4"/>
        </w:rPr>
        <w:t xml:space="preserve"> </w:t>
      </w:r>
      <w:r>
        <w:t>retained</w:t>
      </w:r>
      <w:r>
        <w:rPr>
          <w:spacing w:val="-4"/>
        </w:rPr>
        <w:t xml:space="preserve"> </w:t>
      </w:r>
      <w:r>
        <w:t>and</w:t>
      </w:r>
      <w:r>
        <w:rPr>
          <w:spacing w:val="-4"/>
        </w:rPr>
        <w:t xml:space="preserve"> </w:t>
      </w:r>
      <w:r>
        <w:t>used</w:t>
      </w:r>
      <w:r>
        <w:rPr>
          <w:spacing w:val="-4"/>
        </w:rPr>
        <w:t xml:space="preserve"> </w:t>
      </w:r>
      <w:r>
        <w:t>in</w:t>
      </w:r>
      <w:r>
        <w:rPr>
          <w:spacing w:val="-4"/>
        </w:rPr>
        <w:t xml:space="preserve"> </w:t>
      </w:r>
      <w:r>
        <w:t>later</w:t>
      </w:r>
      <w:r>
        <w:rPr>
          <w:spacing w:val="-4"/>
        </w:rPr>
        <w:t xml:space="preserve"> </w:t>
      </w:r>
      <w:r>
        <w:t>stages</w:t>
      </w:r>
      <w:r>
        <w:rPr>
          <w:spacing w:val="-4"/>
        </w:rPr>
        <w:t xml:space="preserve"> </w:t>
      </w:r>
      <w:r>
        <w:t>of</w:t>
      </w:r>
      <w:r>
        <w:rPr>
          <w:spacing w:val="-4"/>
        </w:rPr>
        <w:t xml:space="preserve"> </w:t>
      </w:r>
      <w:r>
        <w:t>sampling</w:t>
      </w:r>
      <w:r>
        <w:rPr>
          <w:spacing w:val="-4"/>
        </w:rPr>
        <w:t xml:space="preserve"> </w:t>
      </w:r>
      <w:r>
        <w:t>and weighting of new schools.</w:t>
      </w:r>
    </w:p>
    <w:p w:rsidR="003F5784" w14:paraId="1C47C21F" w14:textId="77777777">
      <w:pPr>
        <w:pStyle w:val="BodyText"/>
        <w:spacing w:before="210" w:line="232" w:lineRule="auto"/>
        <w:ind w:left="109" w:right="179"/>
      </w:pPr>
      <w:r>
        <w:t>The</w:t>
      </w:r>
      <w:r>
        <w:rPr>
          <w:spacing w:val="-5"/>
        </w:rPr>
        <w:t xml:space="preserve"> </w:t>
      </w:r>
      <w:r>
        <w:t>selected</w:t>
      </w:r>
      <w:r>
        <w:rPr>
          <w:spacing w:val="-5"/>
        </w:rPr>
        <w:t xml:space="preserve"> </w:t>
      </w:r>
      <w:r>
        <w:t>districts</w:t>
      </w:r>
      <w:r>
        <w:rPr>
          <w:spacing w:val="-5"/>
        </w:rPr>
        <w:t xml:space="preserve"> </w:t>
      </w:r>
      <w:r>
        <w:t>in</w:t>
      </w:r>
      <w:r>
        <w:rPr>
          <w:spacing w:val="-5"/>
        </w:rPr>
        <w:t xml:space="preserve"> </w:t>
      </w:r>
      <w:r>
        <w:t>each</w:t>
      </w:r>
      <w:r>
        <w:rPr>
          <w:spacing w:val="-5"/>
        </w:rPr>
        <w:t xml:space="preserve"> </w:t>
      </w:r>
      <w:r>
        <w:t>jurisdiction</w:t>
      </w:r>
      <w:r>
        <w:rPr>
          <w:spacing w:val="-5"/>
        </w:rPr>
        <w:t xml:space="preserve"> </w:t>
      </w:r>
      <w:r>
        <w:t>were</w:t>
      </w:r>
      <w:r>
        <w:rPr>
          <w:spacing w:val="-5"/>
        </w:rPr>
        <w:t xml:space="preserve"> </w:t>
      </w:r>
      <w:r>
        <w:t>then</w:t>
      </w:r>
      <w:r>
        <w:rPr>
          <w:spacing w:val="-5"/>
        </w:rPr>
        <w:t xml:space="preserve"> </w:t>
      </w:r>
      <w:r>
        <w:t>sent</w:t>
      </w:r>
      <w:r>
        <w:rPr>
          <w:spacing w:val="-5"/>
        </w:rPr>
        <w:t xml:space="preserve"> </w:t>
      </w:r>
      <w:r>
        <w:t>a</w:t>
      </w:r>
      <w:r>
        <w:rPr>
          <w:spacing w:val="-5"/>
        </w:rPr>
        <w:t xml:space="preserve"> </w:t>
      </w:r>
      <w:r>
        <w:t>listing</w:t>
      </w:r>
      <w:r>
        <w:rPr>
          <w:spacing w:val="-5"/>
        </w:rPr>
        <w:t xml:space="preserve"> </w:t>
      </w:r>
      <w:r>
        <w:t>of</w:t>
      </w:r>
      <w:r>
        <w:rPr>
          <w:spacing w:val="-5"/>
        </w:rPr>
        <w:t xml:space="preserve"> </w:t>
      </w:r>
      <w:r>
        <w:t>all</w:t>
      </w:r>
      <w:r>
        <w:rPr>
          <w:spacing w:val="-5"/>
        </w:rPr>
        <w:t xml:space="preserve"> </w:t>
      </w:r>
      <w:r>
        <w:t>their</w:t>
      </w:r>
      <w:r>
        <w:rPr>
          <w:spacing w:val="-5"/>
        </w:rPr>
        <w:t xml:space="preserve"> </w:t>
      </w:r>
      <w:r>
        <w:t>schools</w:t>
      </w:r>
      <w:r>
        <w:rPr>
          <w:spacing w:val="-5"/>
        </w:rPr>
        <w:t xml:space="preserve"> </w:t>
      </w:r>
      <w:r>
        <w:t>that</w:t>
      </w:r>
      <w:r>
        <w:rPr>
          <w:spacing w:val="-5"/>
        </w:rPr>
        <w:t xml:space="preserve"> </w:t>
      </w:r>
      <w:r>
        <w:t>appeared</w:t>
      </w:r>
      <w:r>
        <w:rPr>
          <w:spacing w:val="-5"/>
        </w:rPr>
        <w:t xml:space="preserve"> </w:t>
      </w:r>
      <w:r>
        <w:t>on</w:t>
      </w:r>
      <w:r>
        <w:rPr>
          <w:spacing w:val="-5"/>
        </w:rPr>
        <w:t xml:space="preserve"> </w:t>
      </w:r>
      <w:r>
        <w:t>the</w:t>
      </w:r>
      <w:r>
        <w:rPr>
          <w:spacing w:val="-5"/>
        </w:rPr>
        <w:t xml:space="preserve"> </w:t>
      </w:r>
      <w:r>
        <w:t>2019–2020</w:t>
      </w:r>
      <w:r>
        <w:rPr>
          <w:spacing w:val="-5"/>
        </w:rPr>
        <w:t xml:space="preserve"> </w:t>
      </w:r>
      <w:r>
        <w:t>CCD</w:t>
      </w:r>
      <w:r>
        <w:rPr>
          <w:spacing w:val="-5"/>
        </w:rPr>
        <w:t xml:space="preserve"> </w:t>
      </w:r>
      <w:r>
        <w:t>file</w:t>
      </w:r>
      <w:r>
        <w:rPr>
          <w:spacing w:val="-5"/>
        </w:rPr>
        <w:t xml:space="preserve"> </w:t>
      </w:r>
      <w:r>
        <w:t>and</w:t>
      </w:r>
      <w:r>
        <w:rPr>
          <w:spacing w:val="-5"/>
        </w:rPr>
        <w:t xml:space="preserve"> </w:t>
      </w:r>
      <w:r>
        <w:t>were</w:t>
      </w:r>
      <w:r>
        <w:rPr>
          <w:spacing w:val="-5"/>
        </w:rPr>
        <w:t xml:space="preserve"> </w:t>
      </w:r>
      <w:r>
        <w:t>asked</w:t>
      </w:r>
      <w:r>
        <w:rPr>
          <w:spacing w:val="-5"/>
        </w:rPr>
        <w:t xml:space="preserve"> </w:t>
      </w:r>
      <w:r>
        <w:t>to</w:t>
      </w:r>
      <w:r>
        <w:rPr>
          <w:spacing w:val="-5"/>
        </w:rPr>
        <w:t xml:space="preserve"> </w:t>
      </w:r>
      <w:r>
        <w:t>provide</w:t>
      </w:r>
      <w:r>
        <w:rPr>
          <w:spacing w:val="-5"/>
        </w:rPr>
        <w:t xml:space="preserve"> </w:t>
      </w:r>
      <w:r>
        <w:t>information</w:t>
      </w:r>
      <w:r>
        <w:rPr>
          <w:spacing w:val="-5"/>
        </w:rPr>
        <w:t xml:space="preserve"> </w:t>
      </w:r>
      <w:r>
        <w:t>about</w:t>
      </w:r>
      <w:r>
        <w:rPr>
          <w:spacing w:val="-5"/>
        </w:rPr>
        <w:t xml:space="preserve"> </w:t>
      </w:r>
      <w:r>
        <w:t>the new</w:t>
      </w:r>
      <w:r>
        <w:rPr>
          <w:spacing w:val="-2"/>
        </w:rPr>
        <w:t xml:space="preserve"> </w:t>
      </w:r>
      <w:r>
        <w:t>schools</w:t>
      </w:r>
      <w:r>
        <w:rPr>
          <w:spacing w:val="-2"/>
        </w:rPr>
        <w:t xml:space="preserve"> </w:t>
      </w:r>
      <w:r>
        <w:t>not</w:t>
      </w:r>
      <w:r>
        <w:rPr>
          <w:spacing w:val="-2"/>
        </w:rPr>
        <w:t xml:space="preserve"> </w:t>
      </w:r>
      <w:r>
        <w:t>included</w:t>
      </w:r>
      <w:r>
        <w:rPr>
          <w:spacing w:val="-2"/>
        </w:rPr>
        <w:t xml:space="preserve"> </w:t>
      </w:r>
      <w:r>
        <w:t>in</w:t>
      </w:r>
      <w:r>
        <w:rPr>
          <w:spacing w:val="-2"/>
        </w:rPr>
        <w:t xml:space="preserve"> </w:t>
      </w:r>
      <w:r>
        <w:t>the</w:t>
      </w:r>
      <w:r>
        <w:rPr>
          <w:spacing w:val="-2"/>
        </w:rPr>
        <w:t xml:space="preserve"> </w:t>
      </w:r>
      <w:r>
        <w:t>file</w:t>
      </w:r>
      <w:r>
        <w:rPr>
          <w:spacing w:val="-2"/>
        </w:rPr>
        <w:t xml:space="preserve"> </w:t>
      </w:r>
      <w:r>
        <w:t>and</w:t>
      </w:r>
      <w:r>
        <w:rPr>
          <w:spacing w:val="-2"/>
        </w:rPr>
        <w:t xml:space="preserve"> </w:t>
      </w:r>
      <w:r>
        <w:t>grade</w:t>
      </w:r>
      <w:r>
        <w:rPr>
          <w:spacing w:val="-2"/>
        </w:rPr>
        <w:t xml:space="preserve"> </w:t>
      </w:r>
      <w:r>
        <w:t>span</w:t>
      </w:r>
      <w:r>
        <w:rPr>
          <w:spacing w:val="-2"/>
        </w:rPr>
        <w:t xml:space="preserve"> </w:t>
      </w:r>
      <w:r>
        <w:t>changes</w:t>
      </w:r>
      <w:r>
        <w:rPr>
          <w:spacing w:val="-2"/>
        </w:rPr>
        <w:t xml:space="preserve"> </w:t>
      </w:r>
      <w:r>
        <w:t>of</w:t>
      </w:r>
      <w:r>
        <w:rPr>
          <w:spacing w:val="-2"/>
        </w:rPr>
        <w:t xml:space="preserve"> </w:t>
      </w:r>
      <w:r>
        <w:t>existing</w:t>
      </w:r>
      <w:r>
        <w:rPr>
          <w:spacing w:val="-2"/>
        </w:rPr>
        <w:t xml:space="preserve"> </w:t>
      </w:r>
      <w:r>
        <w:t>schools.</w:t>
      </w:r>
      <w:r>
        <w:rPr>
          <w:spacing w:val="-6"/>
        </w:rPr>
        <w:t xml:space="preserve"> </w:t>
      </w:r>
      <w:r>
        <w:t>These</w:t>
      </w:r>
      <w:r>
        <w:rPr>
          <w:spacing w:val="-2"/>
        </w:rPr>
        <w:t xml:space="preserve"> </w:t>
      </w:r>
      <w:r>
        <w:t>listings</w:t>
      </w:r>
      <w:r>
        <w:rPr>
          <w:spacing w:val="-2"/>
        </w:rPr>
        <w:t xml:space="preserve"> </w:t>
      </w:r>
      <w:r>
        <w:t>provided</w:t>
      </w:r>
      <w:r>
        <w:rPr>
          <w:spacing w:val="-2"/>
        </w:rPr>
        <w:t xml:space="preserve"> </w:t>
      </w:r>
      <w:r>
        <w:t>by</w:t>
      </w:r>
      <w:r>
        <w:rPr>
          <w:spacing w:val="-2"/>
        </w:rPr>
        <w:t xml:space="preserve"> </w:t>
      </w:r>
      <w:r>
        <w:t>the</w:t>
      </w:r>
      <w:r>
        <w:rPr>
          <w:spacing w:val="-2"/>
        </w:rPr>
        <w:t xml:space="preserve"> </w:t>
      </w:r>
      <w:r>
        <w:t>selected</w:t>
      </w:r>
      <w:r>
        <w:rPr>
          <w:spacing w:val="-2"/>
        </w:rPr>
        <w:t xml:space="preserve"> </w:t>
      </w:r>
      <w:r>
        <w:t>districts</w:t>
      </w:r>
      <w:r>
        <w:rPr>
          <w:spacing w:val="-2"/>
        </w:rPr>
        <w:t xml:space="preserve"> </w:t>
      </w:r>
      <w:r>
        <w:t>were</w:t>
      </w:r>
      <w:r>
        <w:rPr>
          <w:spacing w:val="-2"/>
        </w:rPr>
        <w:t xml:space="preserve"> </w:t>
      </w:r>
      <w:r>
        <w:t>used</w:t>
      </w:r>
      <w:r>
        <w:rPr>
          <w:spacing w:val="-2"/>
        </w:rPr>
        <w:t xml:space="preserve"> </w:t>
      </w:r>
      <w:r>
        <w:t>as</w:t>
      </w:r>
      <w:r>
        <w:rPr>
          <w:spacing w:val="-2"/>
        </w:rPr>
        <w:t xml:space="preserve"> </w:t>
      </w:r>
      <w:r>
        <w:t>sampling</w:t>
      </w:r>
      <w:r>
        <w:rPr>
          <w:spacing w:val="-2"/>
        </w:rPr>
        <w:t xml:space="preserve"> </w:t>
      </w:r>
      <w:r>
        <w:t>frames</w:t>
      </w:r>
      <w:r>
        <w:rPr>
          <w:spacing w:val="-2"/>
        </w:rPr>
        <w:t xml:space="preserve"> </w:t>
      </w:r>
      <w:r>
        <w:t>for</w:t>
      </w:r>
      <w:r>
        <w:rPr>
          <w:spacing w:val="-2"/>
        </w:rPr>
        <w:t xml:space="preserve"> </w:t>
      </w:r>
      <w:r>
        <w:t>selection</w:t>
      </w:r>
      <w:r>
        <w:rPr>
          <w:spacing w:val="-2"/>
        </w:rPr>
        <w:t xml:space="preserve"> </w:t>
      </w:r>
      <w:r>
        <w:t>of new public schools and updates of existing schools.</w:t>
      </w:r>
      <w:r>
        <w:rPr>
          <w:spacing w:val="-3"/>
        </w:rPr>
        <w:t xml:space="preserve"> </w:t>
      </w:r>
      <w:r>
        <w:t>This process was conducted through the NAEP</w:t>
      </w:r>
      <w:r>
        <w:rPr>
          <w:spacing w:val="-7"/>
        </w:rPr>
        <w:t xml:space="preserve"> </w:t>
      </w:r>
      <w:r>
        <w:t>State or</w:t>
      </w:r>
      <w:r>
        <w:rPr>
          <w:spacing w:val="-3"/>
        </w:rPr>
        <w:t xml:space="preserve"> </w:t>
      </w:r>
      <w:r>
        <w:t>TUDA</w:t>
      </w:r>
      <w:r>
        <w:rPr>
          <w:spacing w:val="-10"/>
        </w:rPr>
        <w:t xml:space="preserve"> </w:t>
      </w:r>
      <w:r>
        <w:t>Coordinator in each jurisdiction.</w:t>
      </w:r>
      <w:r>
        <w:rPr>
          <w:spacing w:val="-3"/>
        </w:rPr>
        <w:t xml:space="preserve"> </w:t>
      </w:r>
      <w:r>
        <w:t>The Coordinators were sent the information for all sampled districts in their respective states and were responsible for returning the completed updates.</w:t>
      </w:r>
    </w:p>
    <w:p w:rsidR="003F5784" w14:paraId="07EEDA89" w14:textId="77777777">
      <w:pPr>
        <w:pStyle w:val="BodyText"/>
        <w:spacing w:before="204"/>
        <w:ind w:left="109"/>
        <w:jc w:val="both"/>
      </w:pPr>
      <w:r>
        <w:t>The</w:t>
      </w:r>
      <w:r>
        <w:rPr>
          <w:spacing w:val="-7"/>
        </w:rPr>
        <w:t xml:space="preserve"> </w:t>
      </w:r>
      <w:r>
        <w:t>following</w:t>
      </w:r>
      <w:r>
        <w:rPr>
          <w:spacing w:val="-6"/>
        </w:rPr>
        <w:t xml:space="preserve"> </w:t>
      </w:r>
      <w:r>
        <w:t>table</w:t>
      </w:r>
      <w:r>
        <w:rPr>
          <w:spacing w:val="-7"/>
        </w:rPr>
        <w:t xml:space="preserve"> </w:t>
      </w:r>
      <w:r>
        <w:t>presents</w:t>
      </w:r>
      <w:r>
        <w:rPr>
          <w:spacing w:val="-6"/>
        </w:rPr>
        <w:t xml:space="preserve"> </w:t>
      </w:r>
      <w:r>
        <w:t>the</w:t>
      </w:r>
      <w:r>
        <w:rPr>
          <w:spacing w:val="-7"/>
        </w:rPr>
        <w:t xml:space="preserve"> </w:t>
      </w:r>
      <w:r>
        <w:t>number</w:t>
      </w:r>
      <w:r>
        <w:rPr>
          <w:spacing w:val="-6"/>
        </w:rPr>
        <w:t xml:space="preserve"> </w:t>
      </w:r>
      <w:r>
        <w:t>and</w:t>
      </w:r>
      <w:r>
        <w:rPr>
          <w:spacing w:val="-7"/>
        </w:rPr>
        <w:t xml:space="preserve"> </w:t>
      </w:r>
      <w:r>
        <w:t>percentage</w:t>
      </w:r>
      <w:r>
        <w:rPr>
          <w:spacing w:val="-6"/>
        </w:rPr>
        <w:t xml:space="preserve"> </w:t>
      </w:r>
      <w:r>
        <w:t>of</w:t>
      </w:r>
      <w:r>
        <w:rPr>
          <w:spacing w:val="-7"/>
        </w:rPr>
        <w:t xml:space="preserve"> </w:t>
      </w:r>
      <w:r>
        <w:t>schools</w:t>
      </w:r>
      <w:r>
        <w:rPr>
          <w:spacing w:val="-6"/>
        </w:rPr>
        <w:t xml:space="preserve"> </w:t>
      </w:r>
      <w:r>
        <w:t>and</w:t>
      </w:r>
      <w:r>
        <w:rPr>
          <w:spacing w:val="-7"/>
        </w:rPr>
        <w:t xml:space="preserve"> </w:t>
      </w:r>
      <w:r>
        <w:t>average</w:t>
      </w:r>
      <w:r>
        <w:rPr>
          <w:spacing w:val="-6"/>
        </w:rPr>
        <w:t xml:space="preserve"> </w:t>
      </w:r>
      <w:r>
        <w:t>estimated</w:t>
      </w:r>
      <w:r>
        <w:rPr>
          <w:spacing w:val="-7"/>
        </w:rPr>
        <w:t xml:space="preserve"> </w:t>
      </w:r>
      <w:r>
        <w:t>grade</w:t>
      </w:r>
      <w:r>
        <w:rPr>
          <w:spacing w:val="-6"/>
        </w:rPr>
        <w:t xml:space="preserve"> </w:t>
      </w:r>
      <w:r>
        <w:t>enrollment</w:t>
      </w:r>
      <w:r>
        <w:rPr>
          <w:spacing w:val="-7"/>
        </w:rPr>
        <w:t xml:space="preserve"> </w:t>
      </w:r>
      <w:r>
        <w:t>for</w:t>
      </w:r>
      <w:r>
        <w:rPr>
          <w:spacing w:val="-6"/>
        </w:rPr>
        <w:t xml:space="preserve"> </w:t>
      </w:r>
      <w:r>
        <w:t>the</w:t>
      </w:r>
      <w:r>
        <w:rPr>
          <w:spacing w:val="-7"/>
        </w:rPr>
        <w:t xml:space="preserve"> </w:t>
      </w:r>
      <w:r>
        <w:t>eighth-grade</w:t>
      </w:r>
      <w:r>
        <w:rPr>
          <w:spacing w:val="-6"/>
        </w:rPr>
        <w:t xml:space="preserve"> </w:t>
      </w:r>
      <w:r>
        <w:t>new-school</w:t>
      </w:r>
      <w:r>
        <w:rPr>
          <w:spacing w:val="-7"/>
        </w:rPr>
        <w:t xml:space="preserve"> </w:t>
      </w:r>
      <w:r>
        <w:t>frame</w:t>
      </w:r>
      <w:r>
        <w:rPr>
          <w:spacing w:val="-6"/>
        </w:rPr>
        <w:t xml:space="preserve"> </w:t>
      </w:r>
      <w:r>
        <w:t>by</w:t>
      </w:r>
      <w:r>
        <w:rPr>
          <w:spacing w:val="-7"/>
        </w:rPr>
        <w:t xml:space="preserve"> </w:t>
      </w:r>
      <w:r>
        <w:t>census</w:t>
      </w:r>
      <w:r>
        <w:rPr>
          <w:spacing w:val="-6"/>
        </w:rPr>
        <w:t xml:space="preserve"> </w:t>
      </w:r>
      <w:r>
        <w:rPr>
          <w:spacing w:val="-2"/>
        </w:rPr>
        <w:t>region.</w:t>
      </w:r>
    </w:p>
    <w:p w:rsidR="003F5784" w14:paraId="714260E1" w14:textId="77777777">
      <w:pPr>
        <w:pStyle w:val="BodyText"/>
        <w:spacing w:before="96"/>
      </w:pPr>
    </w:p>
    <w:p w:rsidR="003F5784" w14:paraId="1A8B90E6" w14:textId="77777777">
      <w:pPr>
        <w:pStyle w:val="Heading2"/>
        <w:spacing w:line="232" w:lineRule="auto"/>
        <w:ind w:right="588"/>
      </w:pPr>
      <w:r>
        <w:t>Eighth-grade</w:t>
      </w:r>
      <w:r>
        <w:rPr>
          <w:spacing w:val="-8"/>
        </w:rPr>
        <w:t xml:space="preserve"> </w:t>
      </w:r>
      <w:r>
        <w:t>new</w:t>
      </w:r>
      <w:r>
        <w:rPr>
          <w:spacing w:val="-8"/>
        </w:rPr>
        <w:t xml:space="preserve"> </w:t>
      </w:r>
      <w:r>
        <w:t>school</w:t>
      </w:r>
      <w:r>
        <w:rPr>
          <w:spacing w:val="-8"/>
        </w:rPr>
        <w:t xml:space="preserve"> </w:t>
      </w:r>
      <w:r>
        <w:t>frame</w:t>
      </w:r>
      <w:r>
        <w:rPr>
          <w:spacing w:val="-8"/>
        </w:rPr>
        <w:t xml:space="preserve"> </w:t>
      </w:r>
      <w:r>
        <w:t>for</w:t>
      </w:r>
      <w:r>
        <w:rPr>
          <w:spacing w:val="-11"/>
        </w:rPr>
        <w:t xml:space="preserve"> </w:t>
      </w:r>
      <w:r>
        <w:t>the</w:t>
      </w:r>
      <w:r>
        <w:rPr>
          <w:spacing w:val="-8"/>
        </w:rPr>
        <w:t xml:space="preserve"> </w:t>
      </w:r>
      <w:r>
        <w:t>public</w:t>
      </w:r>
      <w:r>
        <w:rPr>
          <w:spacing w:val="-8"/>
        </w:rPr>
        <w:t xml:space="preserve"> </w:t>
      </w:r>
      <w:r>
        <w:t>school</w:t>
      </w:r>
      <w:r>
        <w:rPr>
          <w:spacing w:val="-8"/>
        </w:rPr>
        <w:t xml:space="preserve"> </w:t>
      </w:r>
      <w:r>
        <w:t>national</w:t>
      </w:r>
      <w:r>
        <w:rPr>
          <w:spacing w:val="-8"/>
        </w:rPr>
        <w:t xml:space="preserve"> </w:t>
      </w:r>
      <w:r>
        <w:t>assessment:</w:t>
      </w:r>
      <w:r>
        <w:rPr>
          <w:spacing w:val="-8"/>
        </w:rPr>
        <w:t xml:space="preserve"> </w:t>
      </w:r>
      <w:r>
        <w:t>number</w:t>
      </w:r>
      <w:r>
        <w:rPr>
          <w:spacing w:val="-11"/>
        </w:rPr>
        <w:t xml:space="preserve"> </w:t>
      </w:r>
      <w:r>
        <w:t>and</w:t>
      </w:r>
      <w:r>
        <w:rPr>
          <w:spacing w:val="-8"/>
        </w:rPr>
        <w:t xml:space="preserve"> </w:t>
      </w:r>
      <w:r>
        <w:t>percentage</w:t>
      </w:r>
      <w:r>
        <w:rPr>
          <w:spacing w:val="-8"/>
        </w:rPr>
        <w:t xml:space="preserve"> </w:t>
      </w:r>
      <w:r>
        <w:t>of</w:t>
      </w:r>
      <w:r>
        <w:rPr>
          <w:spacing w:val="-8"/>
        </w:rPr>
        <w:t xml:space="preserve"> </w:t>
      </w:r>
      <w:r>
        <w:t>schools</w:t>
      </w:r>
      <w:r>
        <w:rPr>
          <w:spacing w:val="-8"/>
        </w:rPr>
        <w:t xml:space="preserve"> </w:t>
      </w:r>
      <w:r>
        <w:t>and</w:t>
      </w:r>
      <w:r>
        <w:rPr>
          <w:spacing w:val="-8"/>
        </w:rPr>
        <w:t xml:space="preserve"> </w:t>
      </w:r>
      <w:r>
        <w:t>estimated</w:t>
      </w:r>
      <w:r>
        <w:rPr>
          <w:spacing w:val="-8"/>
        </w:rPr>
        <w:t xml:space="preserve"> </w:t>
      </w:r>
      <w:r>
        <w:t>enrollment,</w:t>
      </w:r>
      <w:r>
        <w:rPr>
          <w:spacing w:val="-8"/>
        </w:rPr>
        <w:t xml:space="preserve"> </w:t>
      </w:r>
      <w:r>
        <w:t>by</w:t>
      </w:r>
      <w:r>
        <w:rPr>
          <w:spacing w:val="-8"/>
        </w:rPr>
        <w:t xml:space="preserve"> </w:t>
      </w:r>
      <w:r>
        <w:t>census</w:t>
      </w:r>
      <w:r>
        <w:rPr>
          <w:spacing w:val="-8"/>
        </w:rPr>
        <w:t xml:space="preserve"> </w:t>
      </w:r>
      <w:r>
        <w:t xml:space="preserve">region: </w:t>
      </w:r>
      <w:r>
        <w:rPr>
          <w:spacing w:val="-4"/>
        </w:rPr>
        <w:t>2022</w:t>
      </w:r>
    </w:p>
    <w:p w:rsidR="003F5784" w14:paraId="77429673" w14:textId="77777777">
      <w:pPr>
        <w:pStyle w:val="BodyText"/>
        <w:spacing w:before="1"/>
        <w:rPr>
          <w:b/>
          <w:sz w:val="12"/>
        </w:rPr>
      </w:pPr>
    </w:p>
    <w:tbl>
      <w:tblPr>
        <w:tblW w:w="0" w:type="auto"/>
        <w:tblInd w:w="482" w:type="dxa"/>
        <w:tblLayout w:type="fixed"/>
        <w:tblCellMar>
          <w:left w:w="0" w:type="dxa"/>
          <w:right w:w="0" w:type="dxa"/>
        </w:tblCellMar>
        <w:tblLook w:val="01E0"/>
      </w:tblPr>
      <w:tblGrid>
        <w:gridCol w:w="3463"/>
        <w:gridCol w:w="3964"/>
        <w:gridCol w:w="3526"/>
        <w:gridCol w:w="3030"/>
      </w:tblGrid>
      <w:tr w14:paraId="41E5632B" w14:textId="77777777">
        <w:tblPrEx>
          <w:tblW w:w="0" w:type="auto"/>
          <w:tblInd w:w="482" w:type="dxa"/>
          <w:tblLayout w:type="fixed"/>
          <w:tblCellMar>
            <w:left w:w="0" w:type="dxa"/>
            <w:right w:w="0" w:type="dxa"/>
          </w:tblCellMar>
          <w:tblLook w:val="01E0"/>
        </w:tblPrEx>
        <w:trPr>
          <w:trHeight w:val="267"/>
        </w:trPr>
        <w:tc>
          <w:tcPr>
            <w:tcW w:w="3463" w:type="dxa"/>
            <w:tcBorders>
              <w:top w:val="single" w:sz="18" w:space="0" w:color="800000"/>
              <w:bottom w:val="single" w:sz="18" w:space="0" w:color="800000"/>
            </w:tcBorders>
          </w:tcPr>
          <w:p w:rsidR="003F5784" w14:paraId="5092C43E" w14:textId="77777777">
            <w:pPr>
              <w:pStyle w:val="TableParagraph"/>
              <w:spacing w:before="9" w:line="238" w:lineRule="exact"/>
              <w:ind w:left="120"/>
              <w:jc w:val="left"/>
              <w:rPr>
                <w:sz w:val="21"/>
              </w:rPr>
            </w:pPr>
            <w:r>
              <w:rPr>
                <w:sz w:val="21"/>
              </w:rPr>
              <w:t>Census</w:t>
            </w:r>
            <w:r>
              <w:rPr>
                <w:spacing w:val="-8"/>
                <w:sz w:val="21"/>
              </w:rPr>
              <w:t xml:space="preserve"> </w:t>
            </w:r>
            <w:r>
              <w:rPr>
                <w:spacing w:val="-2"/>
                <w:sz w:val="21"/>
              </w:rPr>
              <w:t>region</w:t>
            </w:r>
          </w:p>
        </w:tc>
        <w:tc>
          <w:tcPr>
            <w:tcW w:w="3964" w:type="dxa"/>
            <w:tcBorders>
              <w:top w:val="single" w:sz="18" w:space="0" w:color="800000"/>
              <w:bottom w:val="single" w:sz="18" w:space="0" w:color="800000"/>
            </w:tcBorders>
          </w:tcPr>
          <w:p w:rsidR="003F5784" w14:paraId="297F7224" w14:textId="77777777">
            <w:pPr>
              <w:pStyle w:val="TableParagraph"/>
              <w:spacing w:before="9" w:line="238" w:lineRule="exact"/>
              <w:ind w:right="1145"/>
              <w:rPr>
                <w:sz w:val="21"/>
              </w:rPr>
            </w:pPr>
            <w:r>
              <w:rPr>
                <w:spacing w:val="-2"/>
                <w:sz w:val="21"/>
              </w:rPr>
              <w:t>Schools</w:t>
            </w:r>
          </w:p>
        </w:tc>
        <w:tc>
          <w:tcPr>
            <w:tcW w:w="3526" w:type="dxa"/>
            <w:tcBorders>
              <w:top w:val="single" w:sz="18" w:space="0" w:color="800000"/>
              <w:bottom w:val="single" w:sz="18" w:space="0" w:color="800000"/>
            </w:tcBorders>
          </w:tcPr>
          <w:p w:rsidR="003F5784" w14:paraId="194A8CF9" w14:textId="77777777">
            <w:pPr>
              <w:pStyle w:val="TableParagraph"/>
              <w:spacing w:before="9" w:line="238" w:lineRule="exact"/>
              <w:ind w:right="1460"/>
              <w:rPr>
                <w:sz w:val="21"/>
              </w:rPr>
            </w:pPr>
            <w:r>
              <w:rPr>
                <w:spacing w:val="-2"/>
                <w:sz w:val="21"/>
              </w:rPr>
              <w:t>Percentage</w:t>
            </w:r>
          </w:p>
        </w:tc>
        <w:tc>
          <w:tcPr>
            <w:tcW w:w="3030" w:type="dxa"/>
            <w:tcBorders>
              <w:top w:val="single" w:sz="18" w:space="0" w:color="800000"/>
              <w:bottom w:val="single" w:sz="18" w:space="0" w:color="800000"/>
            </w:tcBorders>
          </w:tcPr>
          <w:p w:rsidR="003F5784" w14:paraId="5C0EE148" w14:textId="77777777">
            <w:pPr>
              <w:pStyle w:val="TableParagraph"/>
              <w:spacing w:before="9" w:line="238" w:lineRule="exact"/>
              <w:ind w:right="116"/>
              <w:rPr>
                <w:sz w:val="21"/>
              </w:rPr>
            </w:pPr>
            <w:r>
              <w:rPr>
                <w:sz w:val="21"/>
              </w:rPr>
              <w:t>Mean</w:t>
            </w:r>
            <w:r>
              <w:rPr>
                <w:spacing w:val="-7"/>
                <w:sz w:val="21"/>
              </w:rPr>
              <w:t xml:space="preserve"> </w:t>
            </w:r>
            <w:r>
              <w:rPr>
                <w:sz w:val="21"/>
              </w:rPr>
              <w:t>school</w:t>
            </w:r>
            <w:r>
              <w:rPr>
                <w:spacing w:val="-6"/>
                <w:sz w:val="21"/>
              </w:rPr>
              <w:t xml:space="preserve"> </w:t>
            </w:r>
            <w:r>
              <w:rPr>
                <w:spacing w:val="-4"/>
                <w:sz w:val="21"/>
              </w:rPr>
              <w:t>size</w:t>
            </w:r>
          </w:p>
        </w:tc>
      </w:tr>
      <w:tr w14:paraId="31D9995E" w14:textId="77777777">
        <w:tblPrEx>
          <w:tblW w:w="0" w:type="auto"/>
          <w:tblInd w:w="482" w:type="dxa"/>
          <w:tblLayout w:type="fixed"/>
          <w:tblCellMar>
            <w:left w:w="0" w:type="dxa"/>
            <w:right w:w="0" w:type="dxa"/>
          </w:tblCellMar>
          <w:tblLook w:val="01E0"/>
        </w:tblPrEx>
        <w:trPr>
          <w:trHeight w:val="278"/>
        </w:trPr>
        <w:tc>
          <w:tcPr>
            <w:tcW w:w="3463" w:type="dxa"/>
            <w:tcBorders>
              <w:top w:val="single" w:sz="18" w:space="0" w:color="800000"/>
            </w:tcBorders>
          </w:tcPr>
          <w:p w:rsidR="003F5784" w14:paraId="181A4490" w14:textId="77777777">
            <w:pPr>
              <w:pStyle w:val="TableParagraph"/>
              <w:spacing w:before="9"/>
              <w:ind w:left="627"/>
              <w:jc w:val="left"/>
              <w:rPr>
                <w:b/>
                <w:sz w:val="21"/>
              </w:rPr>
            </w:pPr>
            <w:r>
              <w:rPr>
                <w:b/>
                <w:spacing w:val="-2"/>
                <w:sz w:val="21"/>
              </w:rPr>
              <w:t>Total</w:t>
            </w:r>
          </w:p>
        </w:tc>
        <w:tc>
          <w:tcPr>
            <w:tcW w:w="3964" w:type="dxa"/>
            <w:tcBorders>
              <w:top w:val="single" w:sz="18" w:space="0" w:color="800000"/>
            </w:tcBorders>
          </w:tcPr>
          <w:p w:rsidR="003F5784" w14:paraId="42C4F6EB" w14:textId="77777777">
            <w:pPr>
              <w:pStyle w:val="TableParagraph"/>
              <w:spacing w:before="9"/>
              <w:ind w:right="1145"/>
              <w:rPr>
                <w:b/>
                <w:sz w:val="21"/>
              </w:rPr>
            </w:pPr>
            <w:r>
              <w:rPr>
                <w:b/>
                <w:spacing w:val="-5"/>
                <w:sz w:val="21"/>
              </w:rPr>
              <w:t>340</w:t>
            </w:r>
          </w:p>
        </w:tc>
        <w:tc>
          <w:tcPr>
            <w:tcW w:w="3526" w:type="dxa"/>
            <w:tcBorders>
              <w:top w:val="single" w:sz="18" w:space="0" w:color="800000"/>
            </w:tcBorders>
          </w:tcPr>
          <w:p w:rsidR="003F5784" w14:paraId="19416E77" w14:textId="77777777">
            <w:pPr>
              <w:pStyle w:val="TableParagraph"/>
              <w:spacing w:before="9"/>
              <w:ind w:right="1460"/>
              <w:rPr>
                <w:b/>
                <w:sz w:val="21"/>
              </w:rPr>
            </w:pPr>
            <w:r>
              <w:rPr>
                <w:b/>
                <w:spacing w:val="-2"/>
                <w:sz w:val="21"/>
              </w:rPr>
              <w:t>100.00</w:t>
            </w:r>
          </w:p>
        </w:tc>
        <w:tc>
          <w:tcPr>
            <w:tcW w:w="3030" w:type="dxa"/>
            <w:tcBorders>
              <w:top w:val="single" w:sz="18" w:space="0" w:color="800000"/>
            </w:tcBorders>
          </w:tcPr>
          <w:p w:rsidR="003F5784" w14:paraId="7E377D94" w14:textId="77777777">
            <w:pPr>
              <w:pStyle w:val="TableParagraph"/>
              <w:spacing w:before="9"/>
              <w:ind w:right="116"/>
              <w:rPr>
                <w:b/>
                <w:sz w:val="21"/>
              </w:rPr>
            </w:pPr>
            <w:r>
              <w:rPr>
                <w:b/>
                <w:spacing w:val="-5"/>
                <w:sz w:val="21"/>
              </w:rPr>
              <w:t>57</w:t>
            </w:r>
          </w:p>
        </w:tc>
      </w:tr>
      <w:tr w14:paraId="76A40CF8" w14:textId="77777777">
        <w:tblPrEx>
          <w:tblW w:w="0" w:type="auto"/>
          <w:tblInd w:w="482" w:type="dxa"/>
          <w:tblLayout w:type="fixed"/>
          <w:tblCellMar>
            <w:left w:w="0" w:type="dxa"/>
            <w:right w:w="0" w:type="dxa"/>
          </w:tblCellMar>
          <w:tblLook w:val="01E0"/>
        </w:tblPrEx>
        <w:trPr>
          <w:trHeight w:val="286"/>
        </w:trPr>
        <w:tc>
          <w:tcPr>
            <w:tcW w:w="3463" w:type="dxa"/>
          </w:tcPr>
          <w:p w:rsidR="003F5784" w14:paraId="03DD75B5" w14:textId="77777777">
            <w:pPr>
              <w:pStyle w:val="TableParagraph"/>
              <w:ind w:left="120"/>
              <w:jc w:val="left"/>
              <w:rPr>
                <w:sz w:val="21"/>
              </w:rPr>
            </w:pPr>
            <w:r>
              <w:rPr>
                <w:spacing w:val="-2"/>
                <w:sz w:val="21"/>
              </w:rPr>
              <w:t>Northeast</w:t>
            </w:r>
          </w:p>
        </w:tc>
        <w:tc>
          <w:tcPr>
            <w:tcW w:w="3964" w:type="dxa"/>
          </w:tcPr>
          <w:p w:rsidR="003F5784" w14:paraId="61F949F6" w14:textId="77777777">
            <w:pPr>
              <w:pStyle w:val="TableParagraph"/>
              <w:ind w:right="1145"/>
              <w:rPr>
                <w:sz w:val="21"/>
              </w:rPr>
            </w:pPr>
            <w:r>
              <w:rPr>
                <w:spacing w:val="-5"/>
                <w:sz w:val="21"/>
              </w:rPr>
              <w:t>51</w:t>
            </w:r>
          </w:p>
        </w:tc>
        <w:tc>
          <w:tcPr>
            <w:tcW w:w="3526" w:type="dxa"/>
          </w:tcPr>
          <w:p w:rsidR="003F5784" w14:paraId="33975ED3" w14:textId="77777777">
            <w:pPr>
              <w:pStyle w:val="TableParagraph"/>
              <w:ind w:right="1460"/>
              <w:rPr>
                <w:sz w:val="21"/>
              </w:rPr>
            </w:pPr>
            <w:r>
              <w:rPr>
                <w:spacing w:val="-2"/>
                <w:sz w:val="21"/>
              </w:rPr>
              <w:t>15.00</w:t>
            </w:r>
          </w:p>
        </w:tc>
        <w:tc>
          <w:tcPr>
            <w:tcW w:w="3030" w:type="dxa"/>
          </w:tcPr>
          <w:p w:rsidR="003F5784" w14:paraId="511D932D" w14:textId="77777777">
            <w:pPr>
              <w:pStyle w:val="TableParagraph"/>
              <w:ind w:right="116"/>
              <w:rPr>
                <w:sz w:val="21"/>
              </w:rPr>
            </w:pPr>
            <w:r>
              <w:rPr>
                <w:spacing w:val="-5"/>
                <w:sz w:val="21"/>
              </w:rPr>
              <w:t>104</w:t>
            </w:r>
          </w:p>
        </w:tc>
      </w:tr>
      <w:tr w14:paraId="554F2BA2" w14:textId="77777777">
        <w:tblPrEx>
          <w:tblW w:w="0" w:type="auto"/>
          <w:tblInd w:w="482" w:type="dxa"/>
          <w:tblLayout w:type="fixed"/>
          <w:tblCellMar>
            <w:left w:w="0" w:type="dxa"/>
            <w:right w:w="0" w:type="dxa"/>
          </w:tblCellMar>
          <w:tblLook w:val="01E0"/>
        </w:tblPrEx>
        <w:trPr>
          <w:trHeight w:val="286"/>
        </w:trPr>
        <w:tc>
          <w:tcPr>
            <w:tcW w:w="3463" w:type="dxa"/>
          </w:tcPr>
          <w:p w:rsidR="003F5784" w14:paraId="0E928E51" w14:textId="77777777">
            <w:pPr>
              <w:pStyle w:val="TableParagraph"/>
              <w:ind w:left="120"/>
              <w:jc w:val="left"/>
              <w:rPr>
                <w:sz w:val="21"/>
              </w:rPr>
            </w:pPr>
            <w:r>
              <w:rPr>
                <w:spacing w:val="-2"/>
                <w:sz w:val="21"/>
              </w:rPr>
              <w:t>Midwest</w:t>
            </w:r>
          </w:p>
        </w:tc>
        <w:tc>
          <w:tcPr>
            <w:tcW w:w="3964" w:type="dxa"/>
          </w:tcPr>
          <w:p w:rsidR="003F5784" w14:paraId="276A7598" w14:textId="77777777">
            <w:pPr>
              <w:pStyle w:val="TableParagraph"/>
              <w:ind w:right="1145"/>
              <w:rPr>
                <w:sz w:val="21"/>
              </w:rPr>
            </w:pPr>
            <w:r>
              <w:rPr>
                <w:spacing w:val="-5"/>
                <w:sz w:val="21"/>
              </w:rPr>
              <w:t>68</w:t>
            </w:r>
          </w:p>
        </w:tc>
        <w:tc>
          <w:tcPr>
            <w:tcW w:w="3526" w:type="dxa"/>
          </w:tcPr>
          <w:p w:rsidR="003F5784" w14:paraId="3A2E1C97" w14:textId="77777777">
            <w:pPr>
              <w:pStyle w:val="TableParagraph"/>
              <w:ind w:right="1460"/>
              <w:rPr>
                <w:sz w:val="21"/>
              </w:rPr>
            </w:pPr>
            <w:r>
              <w:rPr>
                <w:spacing w:val="-2"/>
                <w:sz w:val="21"/>
              </w:rPr>
              <w:t>20.00</w:t>
            </w:r>
          </w:p>
        </w:tc>
        <w:tc>
          <w:tcPr>
            <w:tcW w:w="3030" w:type="dxa"/>
          </w:tcPr>
          <w:p w:rsidR="003F5784" w14:paraId="160B9491" w14:textId="77777777">
            <w:pPr>
              <w:pStyle w:val="TableParagraph"/>
              <w:ind w:right="116"/>
              <w:rPr>
                <w:sz w:val="21"/>
              </w:rPr>
            </w:pPr>
            <w:r>
              <w:rPr>
                <w:spacing w:val="-5"/>
                <w:sz w:val="21"/>
              </w:rPr>
              <w:t>36</w:t>
            </w:r>
          </w:p>
        </w:tc>
      </w:tr>
      <w:tr w14:paraId="63462A32" w14:textId="77777777">
        <w:tblPrEx>
          <w:tblW w:w="0" w:type="auto"/>
          <w:tblInd w:w="482" w:type="dxa"/>
          <w:tblLayout w:type="fixed"/>
          <w:tblCellMar>
            <w:left w:w="0" w:type="dxa"/>
            <w:right w:w="0" w:type="dxa"/>
          </w:tblCellMar>
          <w:tblLook w:val="01E0"/>
        </w:tblPrEx>
        <w:trPr>
          <w:trHeight w:val="286"/>
        </w:trPr>
        <w:tc>
          <w:tcPr>
            <w:tcW w:w="3463" w:type="dxa"/>
          </w:tcPr>
          <w:p w:rsidR="003F5784" w14:paraId="5949BF17" w14:textId="77777777">
            <w:pPr>
              <w:pStyle w:val="TableParagraph"/>
              <w:ind w:left="120"/>
              <w:jc w:val="left"/>
              <w:rPr>
                <w:sz w:val="21"/>
              </w:rPr>
            </w:pPr>
            <w:r>
              <w:rPr>
                <w:spacing w:val="-2"/>
                <w:sz w:val="21"/>
              </w:rPr>
              <w:t>South</w:t>
            </w:r>
          </w:p>
        </w:tc>
        <w:tc>
          <w:tcPr>
            <w:tcW w:w="3964" w:type="dxa"/>
          </w:tcPr>
          <w:p w:rsidR="003F5784" w14:paraId="7D34BC01" w14:textId="77777777">
            <w:pPr>
              <w:pStyle w:val="TableParagraph"/>
              <w:ind w:right="1145"/>
              <w:rPr>
                <w:sz w:val="21"/>
              </w:rPr>
            </w:pPr>
            <w:r>
              <w:rPr>
                <w:spacing w:val="-5"/>
                <w:sz w:val="21"/>
              </w:rPr>
              <w:t>159</w:t>
            </w:r>
          </w:p>
        </w:tc>
        <w:tc>
          <w:tcPr>
            <w:tcW w:w="3526" w:type="dxa"/>
          </w:tcPr>
          <w:p w:rsidR="003F5784" w14:paraId="6B1D6CB8" w14:textId="77777777">
            <w:pPr>
              <w:pStyle w:val="TableParagraph"/>
              <w:ind w:right="1460"/>
              <w:rPr>
                <w:sz w:val="21"/>
              </w:rPr>
            </w:pPr>
            <w:r>
              <w:rPr>
                <w:spacing w:val="-2"/>
                <w:sz w:val="21"/>
              </w:rPr>
              <w:t>46.76</w:t>
            </w:r>
          </w:p>
        </w:tc>
        <w:tc>
          <w:tcPr>
            <w:tcW w:w="3030" w:type="dxa"/>
          </w:tcPr>
          <w:p w:rsidR="003F5784" w14:paraId="62E0C082" w14:textId="77777777">
            <w:pPr>
              <w:pStyle w:val="TableParagraph"/>
              <w:ind w:right="116"/>
              <w:rPr>
                <w:sz w:val="21"/>
              </w:rPr>
            </w:pPr>
            <w:r>
              <w:rPr>
                <w:spacing w:val="-5"/>
                <w:sz w:val="21"/>
              </w:rPr>
              <w:t>51</w:t>
            </w:r>
          </w:p>
        </w:tc>
      </w:tr>
      <w:tr w14:paraId="1FE9A55D" w14:textId="77777777">
        <w:tblPrEx>
          <w:tblW w:w="0" w:type="auto"/>
          <w:tblInd w:w="482" w:type="dxa"/>
          <w:tblLayout w:type="fixed"/>
          <w:tblCellMar>
            <w:left w:w="0" w:type="dxa"/>
            <w:right w:w="0" w:type="dxa"/>
          </w:tblCellMar>
          <w:tblLook w:val="01E0"/>
        </w:tblPrEx>
        <w:trPr>
          <w:trHeight w:val="288"/>
        </w:trPr>
        <w:tc>
          <w:tcPr>
            <w:tcW w:w="3463" w:type="dxa"/>
            <w:tcBorders>
              <w:bottom w:val="single" w:sz="18" w:space="0" w:color="800000"/>
            </w:tcBorders>
          </w:tcPr>
          <w:p w:rsidR="003F5784" w14:paraId="15CD9A61" w14:textId="77777777">
            <w:pPr>
              <w:pStyle w:val="TableParagraph"/>
              <w:ind w:left="120"/>
              <w:jc w:val="left"/>
              <w:rPr>
                <w:sz w:val="21"/>
              </w:rPr>
            </w:pPr>
            <w:r>
              <w:rPr>
                <w:spacing w:val="-4"/>
                <w:sz w:val="21"/>
              </w:rPr>
              <w:t>West</w:t>
            </w:r>
          </w:p>
        </w:tc>
        <w:tc>
          <w:tcPr>
            <w:tcW w:w="3964" w:type="dxa"/>
            <w:tcBorders>
              <w:bottom w:val="single" w:sz="18" w:space="0" w:color="800000"/>
            </w:tcBorders>
          </w:tcPr>
          <w:p w:rsidR="003F5784" w14:paraId="0BA84964" w14:textId="77777777">
            <w:pPr>
              <w:pStyle w:val="TableParagraph"/>
              <w:ind w:right="1145"/>
              <w:rPr>
                <w:sz w:val="21"/>
              </w:rPr>
            </w:pPr>
            <w:r>
              <w:rPr>
                <w:spacing w:val="-5"/>
                <w:sz w:val="21"/>
              </w:rPr>
              <w:t>62</w:t>
            </w:r>
          </w:p>
        </w:tc>
        <w:tc>
          <w:tcPr>
            <w:tcW w:w="3526" w:type="dxa"/>
            <w:tcBorders>
              <w:bottom w:val="single" w:sz="18" w:space="0" w:color="800000"/>
            </w:tcBorders>
          </w:tcPr>
          <w:p w:rsidR="003F5784" w14:paraId="5214461D" w14:textId="77777777">
            <w:pPr>
              <w:pStyle w:val="TableParagraph"/>
              <w:ind w:right="1460"/>
              <w:rPr>
                <w:sz w:val="21"/>
              </w:rPr>
            </w:pPr>
            <w:r>
              <w:rPr>
                <w:spacing w:val="-2"/>
                <w:sz w:val="21"/>
              </w:rPr>
              <w:t>18.24</w:t>
            </w:r>
          </w:p>
        </w:tc>
        <w:tc>
          <w:tcPr>
            <w:tcW w:w="3030" w:type="dxa"/>
            <w:tcBorders>
              <w:bottom w:val="single" w:sz="18" w:space="0" w:color="800000"/>
            </w:tcBorders>
          </w:tcPr>
          <w:p w:rsidR="003F5784" w14:paraId="6ED296A2" w14:textId="77777777">
            <w:pPr>
              <w:pStyle w:val="TableParagraph"/>
              <w:ind w:right="116"/>
              <w:rPr>
                <w:sz w:val="21"/>
              </w:rPr>
            </w:pPr>
            <w:r>
              <w:rPr>
                <w:spacing w:val="-5"/>
                <w:sz w:val="21"/>
              </w:rPr>
              <w:t>54</w:t>
            </w:r>
          </w:p>
        </w:tc>
      </w:tr>
      <w:tr w14:paraId="37227F1B" w14:textId="77777777">
        <w:tblPrEx>
          <w:tblW w:w="0" w:type="auto"/>
          <w:tblInd w:w="482" w:type="dxa"/>
          <w:tblLayout w:type="fixed"/>
          <w:tblCellMar>
            <w:left w:w="0" w:type="dxa"/>
            <w:right w:w="0" w:type="dxa"/>
          </w:tblCellMar>
          <w:tblLook w:val="01E0"/>
        </w:tblPrEx>
        <w:trPr>
          <w:trHeight w:val="706"/>
        </w:trPr>
        <w:tc>
          <w:tcPr>
            <w:tcW w:w="13983" w:type="dxa"/>
            <w:gridSpan w:val="4"/>
            <w:tcBorders>
              <w:top w:val="single" w:sz="18" w:space="0" w:color="800000"/>
            </w:tcBorders>
          </w:tcPr>
          <w:p w:rsidR="003F5784" w14:paraId="61799276" w14:textId="77777777">
            <w:pPr>
              <w:pStyle w:val="TableParagraph"/>
              <w:spacing w:before="0" w:line="235" w:lineRule="exact"/>
              <w:ind w:left="120"/>
              <w:jc w:val="left"/>
              <w:rPr>
                <w:sz w:val="21"/>
              </w:rPr>
            </w:pPr>
            <w:r>
              <w:rPr>
                <w:sz w:val="21"/>
              </w:rPr>
              <w:t>NOTE:</w:t>
            </w:r>
            <w:r>
              <w:rPr>
                <w:spacing w:val="-5"/>
                <w:sz w:val="21"/>
              </w:rPr>
              <w:t xml:space="preserve"> </w:t>
            </w:r>
            <w:r>
              <w:rPr>
                <w:sz w:val="21"/>
              </w:rPr>
              <w:t>Detail</w:t>
            </w:r>
            <w:r>
              <w:rPr>
                <w:spacing w:val="-5"/>
                <w:sz w:val="21"/>
              </w:rPr>
              <w:t xml:space="preserve"> </w:t>
            </w:r>
            <w:r>
              <w:rPr>
                <w:sz w:val="21"/>
              </w:rPr>
              <w:t>may</w:t>
            </w:r>
            <w:r>
              <w:rPr>
                <w:spacing w:val="-5"/>
                <w:sz w:val="21"/>
              </w:rPr>
              <w:t xml:space="preserve"> </w:t>
            </w:r>
            <w:r>
              <w:rPr>
                <w:sz w:val="21"/>
              </w:rPr>
              <w:t>not</w:t>
            </w:r>
            <w:r>
              <w:rPr>
                <w:spacing w:val="-5"/>
                <w:sz w:val="21"/>
              </w:rPr>
              <w:t xml:space="preserve"> </w:t>
            </w:r>
            <w:r>
              <w:rPr>
                <w:sz w:val="21"/>
              </w:rPr>
              <w:t>sum</w:t>
            </w:r>
            <w:r>
              <w:rPr>
                <w:spacing w:val="-5"/>
                <w:sz w:val="21"/>
              </w:rPr>
              <w:t xml:space="preserve"> </w:t>
            </w:r>
            <w:r>
              <w:rPr>
                <w:sz w:val="21"/>
              </w:rPr>
              <w:t>to</w:t>
            </w:r>
            <w:r>
              <w:rPr>
                <w:spacing w:val="-5"/>
                <w:sz w:val="21"/>
              </w:rPr>
              <w:t xml:space="preserve"> </w:t>
            </w:r>
            <w:r>
              <w:rPr>
                <w:sz w:val="21"/>
              </w:rPr>
              <w:t>totals</w:t>
            </w:r>
            <w:r>
              <w:rPr>
                <w:spacing w:val="-5"/>
                <w:sz w:val="21"/>
              </w:rPr>
              <w:t xml:space="preserve"> </w:t>
            </w:r>
            <w:r>
              <w:rPr>
                <w:sz w:val="21"/>
              </w:rPr>
              <w:t>because</w:t>
            </w:r>
            <w:r>
              <w:rPr>
                <w:spacing w:val="-5"/>
                <w:sz w:val="21"/>
              </w:rPr>
              <w:t xml:space="preserve"> </w:t>
            </w:r>
            <w:r>
              <w:rPr>
                <w:sz w:val="21"/>
              </w:rPr>
              <w:t>of</w:t>
            </w:r>
            <w:r>
              <w:rPr>
                <w:spacing w:val="-5"/>
                <w:sz w:val="21"/>
              </w:rPr>
              <w:t xml:space="preserve"> </w:t>
            </w:r>
            <w:r>
              <w:rPr>
                <w:spacing w:val="-2"/>
                <w:sz w:val="21"/>
              </w:rPr>
              <w:t>rounding.</w:t>
            </w:r>
          </w:p>
          <w:p w:rsidR="003F5784" w14:paraId="0FF4A31E" w14:textId="77777777">
            <w:pPr>
              <w:pStyle w:val="TableParagraph"/>
              <w:spacing w:before="0" w:line="234" w:lineRule="exact"/>
              <w:ind w:left="120"/>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Progress (NAEP), 2022 National Grade 8 Civics and U.S. History</w:t>
            </w:r>
            <w:r>
              <w:rPr>
                <w:spacing w:val="-2"/>
                <w:sz w:val="21"/>
              </w:rPr>
              <w:t xml:space="preserve"> </w:t>
            </w:r>
            <w:r>
              <w:rPr>
                <w:sz w:val="21"/>
              </w:rPr>
              <w:t>Assessments.</w:t>
            </w:r>
          </w:p>
        </w:tc>
      </w:tr>
    </w:tbl>
    <w:p w:rsidR="003F5784" w14:paraId="4172F40B" w14:textId="77777777">
      <w:pPr>
        <w:pStyle w:val="BodyText"/>
        <w:rPr>
          <w:b/>
        </w:rPr>
      </w:pPr>
    </w:p>
    <w:p w:rsidR="003F5784" w14:paraId="72091D8A" w14:textId="77777777">
      <w:pPr>
        <w:pStyle w:val="BodyText"/>
        <w:rPr>
          <w:b/>
        </w:rPr>
      </w:pPr>
    </w:p>
    <w:p w:rsidR="003F5784" w14:paraId="62BF2547" w14:textId="77777777">
      <w:pPr>
        <w:pStyle w:val="BodyText"/>
        <w:rPr>
          <w:b/>
        </w:rPr>
      </w:pPr>
    </w:p>
    <w:p w:rsidR="003F5784" w14:paraId="5A05EF3B" w14:textId="77777777">
      <w:pPr>
        <w:pStyle w:val="BodyText"/>
        <w:spacing w:before="165"/>
        <w:rPr>
          <w:b/>
        </w:rPr>
      </w:pPr>
    </w:p>
    <w:p w:rsidR="003F5784" w14:paraId="30B78D7D" w14:textId="77777777">
      <w:pPr>
        <w:ind w:left="1343"/>
        <w:rPr>
          <w:sz w:val="18"/>
        </w:rPr>
      </w:pPr>
      <w:hyperlink r:id="rId50">
        <w:r>
          <w:rPr>
            <w:spacing w:val="-2"/>
            <w:w w:val="105"/>
            <w:sz w:val="18"/>
          </w:rPr>
          <w:t>http://nces.ed.gov/nationsreportcard/tdw/sample_design/2022/new_school_sampling_frame_for_the_2022_eighth_grade_public_school_nat_assess_in_civics_and_us_history.aspx</w:t>
        </w:r>
      </w:hyperlink>
    </w:p>
    <w:p w:rsidR="003F5784" w14:paraId="0CBBD333" w14:textId="77777777">
      <w:pPr>
        <w:pStyle w:val="BodyText"/>
        <w:spacing w:before="1"/>
        <w:rPr>
          <w:sz w:val="16"/>
        </w:rPr>
      </w:pPr>
      <w:r>
        <w:rPr>
          <w:noProof/>
        </w:rPr>
        <mc:AlternateContent>
          <mc:Choice Requires="wps">
            <w:drawing>
              <wp:anchor distT="0" distB="0" distL="0" distR="0" simplePos="0" relativeHeight="251767808" behindDoc="1" locked="0" layoutInCell="1" allowOverlap="1">
                <wp:simplePos x="0" y="0"/>
                <wp:positionH relativeFrom="page">
                  <wp:posOffset>361937</wp:posOffset>
                </wp:positionH>
                <wp:positionV relativeFrom="paragraph">
                  <wp:posOffset>132707</wp:posOffset>
                </wp:positionV>
                <wp:extent cx="9339580" cy="8890"/>
                <wp:effectExtent l="0" t="0" r="0" b="0"/>
                <wp:wrapTopAndBottom/>
                <wp:docPr id="66" name="Graphic 6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66" o:spid="_x0000_s1053" style="width:735.4pt;height:0.7pt;margin-top:10.45pt;margin-left:28.5pt;mso-position-horizontal-relative:page;mso-wrap-distance-bottom:0;mso-wrap-distance-left:0;mso-wrap-distance-right:0;mso-wrap-distance-top:0;mso-wrap-style:square;position:absolute;visibility:visible;v-text-anchor:top;z-index:-251547648" coordsize="9339580,8890" path="m9338970,l9335110,l8280,,,,,8267l9335110,8280l9338970,8280l9338970,xe" fillcolor="gray" stroked="f">
                <v:path arrowok="t"/>
                <w10:wrap type="topAndBottom"/>
              </v:shape>
            </w:pict>
          </mc:Fallback>
        </mc:AlternateContent>
      </w:r>
    </w:p>
    <w:p w:rsidR="003F5784" w14:paraId="1CA1F664" w14:textId="77777777">
      <w:pPr>
        <w:rPr>
          <w:sz w:val="16"/>
        </w:rPr>
        <w:sectPr>
          <w:pgSz w:w="15840" w:h="12240" w:orient="landscape"/>
          <w:pgMar w:top="480" w:right="440" w:bottom="460" w:left="460" w:header="284" w:footer="275" w:gutter="0"/>
          <w:cols w:space="720"/>
        </w:sectPr>
      </w:pPr>
    </w:p>
    <w:p w:rsidR="003F5784" w14:paraId="0C7609E9" w14:textId="1069DDD0">
      <w:pPr>
        <w:pStyle w:val="Heading1"/>
        <w:spacing w:before="81" w:line="244" w:lineRule="auto"/>
        <w:ind w:right="1133"/>
      </w:pPr>
      <w:r>
        <w:t>NAEP</w:t>
      </w:r>
      <w:r>
        <w:rPr>
          <w:spacing w:val="-16"/>
        </w:rPr>
        <w:t xml:space="preserve"> </w:t>
      </w:r>
      <w:r>
        <w:t>Technical Documentation</w:t>
      </w:r>
      <w:r w:rsidR="004833F9">
        <w:t xml:space="preserve"> </w:t>
      </w:r>
      <w:r>
        <w:t>School and Student Participation in the 2022 Eighth-Grade</w:t>
      </w:r>
      <w:r>
        <w:rPr>
          <w:spacing w:val="40"/>
        </w:rPr>
        <w:t xml:space="preserve"> </w:t>
      </w:r>
      <w:r>
        <w:t>Public</w:t>
      </w:r>
      <w:r>
        <w:rPr>
          <w:spacing w:val="40"/>
        </w:rPr>
        <w:t xml:space="preserve"> </w:t>
      </w:r>
      <w:r>
        <w:t>School</w:t>
      </w:r>
      <w:r>
        <w:rPr>
          <w:spacing w:val="40"/>
        </w:rPr>
        <w:t xml:space="preserve"> </w:t>
      </w:r>
      <w:r>
        <w:t>National Assessment</w:t>
      </w:r>
      <w:r>
        <w:rPr>
          <w:spacing w:val="40"/>
        </w:rPr>
        <w:t xml:space="preserve"> </w:t>
      </w:r>
      <w:r>
        <w:t>in</w:t>
      </w:r>
      <w:r>
        <w:rPr>
          <w:spacing w:val="40"/>
        </w:rPr>
        <w:t xml:space="preserve"> </w:t>
      </w:r>
      <w:r>
        <w:t>Civics</w:t>
      </w:r>
      <w:r>
        <w:rPr>
          <w:spacing w:val="40"/>
        </w:rPr>
        <w:t xml:space="preserve"> </w:t>
      </w:r>
      <w:r>
        <w:t>and</w:t>
      </w:r>
      <w:r>
        <w:rPr>
          <w:spacing w:val="40"/>
        </w:rPr>
        <w:t xml:space="preserve"> </w:t>
      </w:r>
      <w:r>
        <w:t>U.S.</w:t>
      </w:r>
      <w:r>
        <w:rPr>
          <w:spacing w:val="40"/>
        </w:rPr>
        <w:t xml:space="preserve"> </w:t>
      </w:r>
      <w:r>
        <w:t>History</w:t>
      </w:r>
    </w:p>
    <w:p w:rsidR="003F5784" w14:paraId="2766F03C" w14:textId="77777777">
      <w:pPr>
        <w:pStyle w:val="BodyText"/>
        <w:spacing w:before="5"/>
        <w:rPr>
          <w:b/>
          <w:sz w:val="15"/>
        </w:rPr>
      </w:pPr>
    </w:p>
    <w:p w:rsidR="003F5784" w14:paraId="331AF74D" w14:textId="77777777">
      <w:pPr>
        <w:rPr>
          <w:sz w:val="15"/>
        </w:rPr>
        <w:sectPr>
          <w:pgSz w:w="15840" w:h="12240" w:orient="landscape"/>
          <w:pgMar w:top="480" w:right="440" w:bottom="460" w:left="460" w:header="284" w:footer="275" w:gutter="0"/>
          <w:cols w:space="720"/>
        </w:sectPr>
      </w:pPr>
    </w:p>
    <w:p w:rsidR="003F5784" w14:paraId="2C8E2615" w14:textId="77777777">
      <w:pPr>
        <w:pStyle w:val="BodyText"/>
        <w:spacing w:before="96" w:line="232" w:lineRule="auto"/>
        <w:ind w:left="109"/>
      </w:pPr>
      <w:r>
        <w:t>The</w:t>
      </w:r>
      <w:r>
        <w:rPr>
          <w:spacing w:val="-7"/>
        </w:rPr>
        <w:t xml:space="preserve"> </w:t>
      </w:r>
      <w:r>
        <w:t>tables</w:t>
      </w:r>
      <w:r>
        <w:rPr>
          <w:spacing w:val="-7"/>
        </w:rPr>
        <w:t xml:space="preserve"> </w:t>
      </w:r>
      <w:r>
        <w:t>linked</w:t>
      </w:r>
      <w:r>
        <w:rPr>
          <w:spacing w:val="-7"/>
        </w:rPr>
        <w:t xml:space="preserve"> </w:t>
      </w:r>
      <w:r>
        <w:t>to</w:t>
      </w:r>
      <w:r>
        <w:rPr>
          <w:spacing w:val="-7"/>
        </w:rPr>
        <w:t xml:space="preserve"> </w:t>
      </w:r>
      <w:r>
        <w:t>the</w:t>
      </w:r>
      <w:r>
        <w:rPr>
          <w:spacing w:val="-7"/>
        </w:rPr>
        <w:t xml:space="preserve"> </w:t>
      </w:r>
      <w:r>
        <w:t>right</w:t>
      </w:r>
      <w:r>
        <w:rPr>
          <w:spacing w:val="-7"/>
        </w:rPr>
        <w:t xml:space="preserve"> </w:t>
      </w:r>
      <w:r>
        <w:t>present</w:t>
      </w:r>
      <w:r>
        <w:rPr>
          <w:spacing w:val="-7"/>
        </w:rPr>
        <w:t xml:space="preserve"> </w:t>
      </w:r>
      <w:r>
        <w:t>weighted</w:t>
      </w:r>
      <w:r>
        <w:rPr>
          <w:spacing w:val="-7"/>
        </w:rPr>
        <w:t xml:space="preserve"> </w:t>
      </w:r>
      <w:r>
        <w:t>school</w:t>
      </w:r>
      <w:r>
        <w:rPr>
          <w:spacing w:val="-7"/>
        </w:rPr>
        <w:t xml:space="preserve"> </w:t>
      </w:r>
      <w:r>
        <w:t>and</w:t>
      </w:r>
      <w:r>
        <w:rPr>
          <w:spacing w:val="-7"/>
        </w:rPr>
        <w:t xml:space="preserve"> </w:t>
      </w:r>
      <w:r>
        <w:t>student</w:t>
      </w:r>
      <w:r>
        <w:rPr>
          <w:spacing w:val="-7"/>
        </w:rPr>
        <w:t xml:space="preserve"> </w:t>
      </w:r>
      <w:r>
        <w:t>participation</w:t>
      </w:r>
      <w:r>
        <w:rPr>
          <w:spacing w:val="-7"/>
        </w:rPr>
        <w:t xml:space="preserve"> </w:t>
      </w:r>
      <w:r>
        <w:t>rates,</w:t>
      </w:r>
      <w:r>
        <w:rPr>
          <w:spacing w:val="-7"/>
        </w:rPr>
        <w:t xml:space="preserve"> </w:t>
      </w:r>
      <w:r>
        <w:t>student</w:t>
      </w:r>
      <w:r>
        <w:rPr>
          <w:spacing w:val="-7"/>
        </w:rPr>
        <w:t xml:space="preserve"> </w:t>
      </w:r>
      <w:r>
        <w:t>exclusion</w:t>
      </w:r>
      <w:r>
        <w:rPr>
          <w:spacing w:val="-7"/>
        </w:rPr>
        <w:t xml:space="preserve"> </w:t>
      </w:r>
      <w:r>
        <w:t>rates,</w:t>
      </w:r>
      <w:r>
        <w:rPr>
          <w:spacing w:val="-7"/>
        </w:rPr>
        <w:t xml:space="preserve"> </w:t>
      </w:r>
      <w:r>
        <w:t>and</w:t>
      </w:r>
      <w:r>
        <w:rPr>
          <w:spacing w:val="-7"/>
        </w:rPr>
        <w:t xml:space="preserve"> </w:t>
      </w:r>
      <w:r>
        <w:t>student</w:t>
      </w:r>
      <w:r>
        <w:rPr>
          <w:spacing w:val="-7"/>
        </w:rPr>
        <w:t xml:space="preserve"> </w:t>
      </w:r>
      <w:r>
        <w:t>full-time remote rates for the eighth-grade public school national civics and U.S. history samples.</w:t>
      </w:r>
    </w:p>
    <w:p w:rsidR="003F5784" w14:paraId="6457B6B0" w14:textId="77777777">
      <w:pPr>
        <w:pStyle w:val="BodyText"/>
        <w:spacing w:before="209" w:line="232" w:lineRule="auto"/>
        <w:ind w:left="109"/>
      </w:pPr>
      <w:r>
        <w:t>A</w:t>
      </w:r>
      <w:r>
        <w:rPr>
          <w:spacing w:val="-14"/>
        </w:rPr>
        <w:t xml:space="preserve"> </w:t>
      </w:r>
      <w:r>
        <w:t>weighted</w:t>
      </w:r>
      <w:r>
        <w:rPr>
          <w:spacing w:val="-9"/>
        </w:rPr>
        <w:t xml:space="preserve"> </w:t>
      </w:r>
      <w:r>
        <w:t>school</w:t>
      </w:r>
      <w:r>
        <w:rPr>
          <w:spacing w:val="-7"/>
        </w:rPr>
        <w:t xml:space="preserve"> </w:t>
      </w:r>
      <w:r>
        <w:t>participation</w:t>
      </w:r>
      <w:r>
        <w:rPr>
          <w:spacing w:val="-7"/>
        </w:rPr>
        <w:t xml:space="preserve"> </w:t>
      </w:r>
      <w:r>
        <w:t>rate</w:t>
      </w:r>
      <w:r>
        <w:rPr>
          <w:spacing w:val="-7"/>
        </w:rPr>
        <w:t xml:space="preserve"> </w:t>
      </w:r>
      <w:r>
        <w:t>indicates</w:t>
      </w:r>
      <w:r>
        <w:rPr>
          <w:spacing w:val="-7"/>
        </w:rPr>
        <w:t xml:space="preserve"> </w:t>
      </w:r>
      <w:r>
        <w:t>the</w:t>
      </w:r>
      <w:r>
        <w:rPr>
          <w:spacing w:val="-7"/>
        </w:rPr>
        <w:t xml:space="preserve"> </w:t>
      </w:r>
      <w:r>
        <w:t>percentage</w:t>
      </w:r>
      <w:r>
        <w:rPr>
          <w:spacing w:val="-7"/>
        </w:rPr>
        <w:t xml:space="preserve"> </w:t>
      </w:r>
      <w:r>
        <w:t>of</w:t>
      </w:r>
      <w:r>
        <w:rPr>
          <w:spacing w:val="-7"/>
        </w:rPr>
        <w:t xml:space="preserve"> </w:t>
      </w:r>
      <w:r>
        <w:t>the</w:t>
      </w:r>
      <w:r>
        <w:rPr>
          <w:spacing w:val="-7"/>
        </w:rPr>
        <w:t xml:space="preserve"> </w:t>
      </w:r>
      <w:r>
        <w:t>student</w:t>
      </w:r>
      <w:r>
        <w:rPr>
          <w:spacing w:val="-7"/>
        </w:rPr>
        <w:t xml:space="preserve"> </w:t>
      </w:r>
      <w:r>
        <w:t>population</w:t>
      </w:r>
      <w:r>
        <w:rPr>
          <w:spacing w:val="-7"/>
        </w:rPr>
        <w:t xml:space="preserve"> </w:t>
      </w:r>
      <w:r>
        <w:t>that</w:t>
      </w:r>
      <w:r>
        <w:rPr>
          <w:spacing w:val="-7"/>
        </w:rPr>
        <w:t xml:space="preserve"> </w:t>
      </w:r>
      <w:r>
        <w:t>is</w:t>
      </w:r>
      <w:r>
        <w:rPr>
          <w:spacing w:val="-7"/>
        </w:rPr>
        <w:t xml:space="preserve"> </w:t>
      </w:r>
      <w:r>
        <w:t>directly</w:t>
      </w:r>
      <w:r>
        <w:rPr>
          <w:spacing w:val="-7"/>
        </w:rPr>
        <w:t xml:space="preserve"> </w:t>
      </w:r>
      <w:r>
        <w:t>represented</w:t>
      </w:r>
      <w:r>
        <w:rPr>
          <w:spacing w:val="-7"/>
        </w:rPr>
        <w:t xml:space="preserve"> </w:t>
      </w:r>
      <w:r>
        <w:t>by</w:t>
      </w:r>
      <w:r>
        <w:rPr>
          <w:spacing w:val="-7"/>
        </w:rPr>
        <w:t xml:space="preserve"> </w:t>
      </w:r>
      <w:r>
        <w:t>the</w:t>
      </w:r>
      <w:r>
        <w:rPr>
          <w:spacing w:val="-7"/>
        </w:rPr>
        <w:t xml:space="preserve"> </w:t>
      </w:r>
      <w:r>
        <w:t>participating school sample.</w:t>
      </w:r>
    </w:p>
    <w:p w:rsidR="003F5784" w14:paraId="14086D95" w14:textId="77777777">
      <w:pPr>
        <w:pStyle w:val="BodyText"/>
        <w:spacing w:before="209" w:line="232" w:lineRule="auto"/>
        <w:ind w:left="109"/>
      </w:pPr>
      <w:r>
        <w:t>A</w:t>
      </w:r>
      <w:r>
        <w:rPr>
          <w:spacing w:val="-14"/>
        </w:rPr>
        <w:t xml:space="preserve"> </w:t>
      </w:r>
      <w:r>
        <w:t>weighted</w:t>
      </w:r>
      <w:r>
        <w:rPr>
          <w:spacing w:val="-9"/>
        </w:rPr>
        <w:t xml:space="preserve"> </w:t>
      </w:r>
      <w:r>
        <w:t>student</w:t>
      </w:r>
      <w:r>
        <w:rPr>
          <w:spacing w:val="-7"/>
        </w:rPr>
        <w:t xml:space="preserve"> </w:t>
      </w:r>
      <w:r>
        <w:t>participation</w:t>
      </w:r>
      <w:r>
        <w:rPr>
          <w:spacing w:val="-7"/>
        </w:rPr>
        <w:t xml:space="preserve"> </w:t>
      </w:r>
      <w:r>
        <w:t>rate</w:t>
      </w:r>
      <w:r>
        <w:rPr>
          <w:spacing w:val="-7"/>
        </w:rPr>
        <w:t xml:space="preserve"> </w:t>
      </w:r>
      <w:r>
        <w:t>indicates</w:t>
      </w:r>
      <w:r>
        <w:rPr>
          <w:spacing w:val="-7"/>
        </w:rPr>
        <w:t xml:space="preserve"> </w:t>
      </w:r>
      <w:r>
        <w:t>the</w:t>
      </w:r>
      <w:r>
        <w:rPr>
          <w:spacing w:val="-7"/>
        </w:rPr>
        <w:t xml:space="preserve"> </w:t>
      </w:r>
      <w:r>
        <w:t>percentage</w:t>
      </w:r>
      <w:r>
        <w:rPr>
          <w:spacing w:val="-7"/>
        </w:rPr>
        <w:t xml:space="preserve"> </w:t>
      </w:r>
      <w:r>
        <w:t>of</w:t>
      </w:r>
      <w:r>
        <w:rPr>
          <w:spacing w:val="-7"/>
        </w:rPr>
        <w:t xml:space="preserve"> </w:t>
      </w:r>
      <w:r>
        <w:t>the</w:t>
      </w:r>
      <w:r>
        <w:rPr>
          <w:spacing w:val="-7"/>
        </w:rPr>
        <w:t xml:space="preserve"> </w:t>
      </w:r>
      <w:r>
        <w:t>student</w:t>
      </w:r>
      <w:r>
        <w:rPr>
          <w:spacing w:val="-7"/>
        </w:rPr>
        <w:t xml:space="preserve"> </w:t>
      </w:r>
      <w:r>
        <w:t>population</w:t>
      </w:r>
      <w:r>
        <w:rPr>
          <w:spacing w:val="-7"/>
        </w:rPr>
        <w:t xml:space="preserve"> </w:t>
      </w:r>
      <w:r>
        <w:t>that</w:t>
      </w:r>
      <w:r>
        <w:rPr>
          <w:spacing w:val="-7"/>
        </w:rPr>
        <w:t xml:space="preserve"> </w:t>
      </w:r>
      <w:r>
        <w:t>is</w:t>
      </w:r>
      <w:r>
        <w:rPr>
          <w:spacing w:val="-7"/>
        </w:rPr>
        <w:t xml:space="preserve"> </w:t>
      </w:r>
      <w:r>
        <w:t>directly</w:t>
      </w:r>
      <w:r>
        <w:rPr>
          <w:spacing w:val="-7"/>
        </w:rPr>
        <w:t xml:space="preserve"> </w:t>
      </w:r>
      <w:r>
        <w:t>represented</w:t>
      </w:r>
      <w:r>
        <w:rPr>
          <w:spacing w:val="-7"/>
        </w:rPr>
        <w:t xml:space="preserve"> </w:t>
      </w:r>
      <w:r>
        <w:t>by</w:t>
      </w:r>
      <w:r>
        <w:rPr>
          <w:spacing w:val="-7"/>
        </w:rPr>
        <w:t xml:space="preserve"> </w:t>
      </w:r>
      <w:r>
        <w:t>the</w:t>
      </w:r>
      <w:r>
        <w:rPr>
          <w:spacing w:val="-7"/>
        </w:rPr>
        <w:t xml:space="preserve"> </w:t>
      </w:r>
      <w:r>
        <w:t>assessed students from within participating schools.</w:t>
      </w:r>
    </w:p>
    <w:p w:rsidR="003F5784" w14:paraId="2260B955" w14:textId="77777777">
      <w:pPr>
        <w:pStyle w:val="BodyText"/>
        <w:spacing w:before="204"/>
        <w:ind w:left="109"/>
      </w:pPr>
      <w:r>
        <w:t>A</w:t>
      </w:r>
      <w:r>
        <w:rPr>
          <w:spacing w:val="-14"/>
        </w:rPr>
        <w:t xml:space="preserve"> </w:t>
      </w:r>
      <w:r>
        <w:t>weighted</w:t>
      </w:r>
      <w:r>
        <w:rPr>
          <w:spacing w:val="-9"/>
        </w:rPr>
        <w:t xml:space="preserve"> </w:t>
      </w:r>
      <w:r>
        <w:t>exclusion</w:t>
      </w:r>
      <w:r>
        <w:rPr>
          <w:spacing w:val="-6"/>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7"/>
        </w:rPr>
        <w:t xml:space="preserve"> </w:t>
      </w:r>
      <w:r>
        <w:t>population</w:t>
      </w:r>
      <w:r>
        <w:rPr>
          <w:spacing w:val="-6"/>
        </w:rPr>
        <w:t xml:space="preserve"> </w:t>
      </w:r>
      <w:r>
        <w:t>that</w:t>
      </w:r>
      <w:r>
        <w:rPr>
          <w:spacing w:val="-6"/>
        </w:rPr>
        <w:t xml:space="preserve"> </w:t>
      </w:r>
      <w:r>
        <w:t>would</w:t>
      </w:r>
      <w:r>
        <w:rPr>
          <w:spacing w:val="-6"/>
        </w:rPr>
        <w:t xml:space="preserve"> </w:t>
      </w:r>
      <w:r>
        <w:t>be</w:t>
      </w:r>
      <w:r>
        <w:rPr>
          <w:spacing w:val="-6"/>
        </w:rPr>
        <w:t xml:space="preserve"> </w:t>
      </w:r>
      <w:r>
        <w:t>excluded</w:t>
      </w:r>
      <w:r>
        <w:rPr>
          <w:spacing w:val="-6"/>
        </w:rPr>
        <w:t xml:space="preserve"> </w:t>
      </w:r>
      <w:r>
        <w:t>from</w:t>
      </w:r>
      <w:r>
        <w:rPr>
          <w:spacing w:val="-6"/>
        </w:rPr>
        <w:t xml:space="preserve"> </w:t>
      </w:r>
      <w:r>
        <w:t>the</w:t>
      </w:r>
      <w:r>
        <w:rPr>
          <w:spacing w:val="-6"/>
        </w:rPr>
        <w:t xml:space="preserve"> </w:t>
      </w:r>
      <w:r>
        <w:t>assessment.</w:t>
      </w:r>
      <w:r>
        <w:rPr>
          <w:spacing w:val="-6"/>
        </w:rPr>
        <w:t xml:space="preserve"> </w:t>
      </w:r>
      <w:r>
        <w:rPr>
          <w:spacing w:val="-2"/>
        </w:rPr>
        <w:t>Students</w:t>
      </w:r>
    </w:p>
    <w:p w:rsidR="003F5784" w14:paraId="73B2C14D" w14:textId="77777777">
      <w:pPr>
        <w:pStyle w:val="BodyText"/>
        <w:spacing w:before="90"/>
        <w:ind w:left="109"/>
      </w:pPr>
      <w:r>
        <w:br w:type="column"/>
      </w:r>
      <w:r>
        <w:rPr>
          <w:spacing w:val="-2"/>
        </w:rPr>
        <w:t>Weighted</w:t>
      </w:r>
      <w:r>
        <w:t xml:space="preserve"> </w:t>
      </w:r>
      <w:r>
        <w:rPr>
          <w:spacing w:val="-2"/>
        </w:rPr>
        <w:t>School</w:t>
      </w:r>
      <w:r>
        <w:rPr>
          <w:spacing w:val="1"/>
        </w:rPr>
        <w:t xml:space="preserve"> </w:t>
      </w:r>
      <w:r>
        <w:rPr>
          <w:spacing w:val="-2"/>
        </w:rPr>
        <w:t>Response</w:t>
      </w:r>
      <w:r>
        <w:t xml:space="preserve"> </w:t>
      </w:r>
      <w:r>
        <w:rPr>
          <w:spacing w:val="-2"/>
        </w:rPr>
        <w:t>Rates</w:t>
      </w:r>
    </w:p>
    <w:p w:rsidR="003F5784" w14:paraId="2BAE957E" w14:textId="77777777">
      <w:pPr>
        <w:pStyle w:val="BodyText"/>
        <w:spacing w:before="208" w:line="232" w:lineRule="auto"/>
        <w:ind w:left="109"/>
      </w:pPr>
      <w:r>
        <w:rPr>
          <w:spacing w:val="-2"/>
        </w:rPr>
        <w:t>Weighted</w:t>
      </w:r>
      <w:r>
        <w:rPr>
          <w:spacing w:val="-7"/>
        </w:rPr>
        <w:t xml:space="preserve"> </w:t>
      </w:r>
      <w:r>
        <w:rPr>
          <w:spacing w:val="-2"/>
        </w:rPr>
        <w:t>Student</w:t>
      </w:r>
      <w:r>
        <w:rPr>
          <w:spacing w:val="-7"/>
        </w:rPr>
        <w:t xml:space="preserve"> </w:t>
      </w:r>
      <w:r>
        <w:rPr>
          <w:spacing w:val="-2"/>
        </w:rPr>
        <w:t>Response</w:t>
      </w:r>
      <w:r>
        <w:rPr>
          <w:spacing w:val="-7"/>
        </w:rPr>
        <w:t xml:space="preserve"> </w:t>
      </w:r>
      <w:r>
        <w:rPr>
          <w:spacing w:val="-2"/>
        </w:rPr>
        <w:t xml:space="preserve">and </w:t>
      </w:r>
      <w:r>
        <w:t>Exclusion Rates for Civics</w:t>
      </w:r>
    </w:p>
    <w:p w:rsidR="003F5784" w14:paraId="63A9D99D" w14:textId="77777777">
      <w:pPr>
        <w:pStyle w:val="BodyText"/>
        <w:spacing w:before="209" w:line="232" w:lineRule="auto"/>
        <w:ind w:left="109"/>
      </w:pPr>
      <w:r>
        <w:t>Weighted</w:t>
      </w:r>
      <w:r>
        <w:rPr>
          <w:spacing w:val="-6"/>
        </w:rPr>
        <w:t xml:space="preserve"> </w:t>
      </w:r>
      <w:r>
        <w:t>Student</w:t>
      </w:r>
      <w:r>
        <w:rPr>
          <w:spacing w:val="-6"/>
        </w:rPr>
        <w:t xml:space="preserve"> </w:t>
      </w:r>
      <w:r>
        <w:t>Response</w:t>
      </w:r>
      <w:r>
        <w:rPr>
          <w:spacing w:val="-6"/>
        </w:rPr>
        <w:t xml:space="preserve"> </w:t>
      </w:r>
      <w:r>
        <w:t>and Exclusion</w:t>
      </w:r>
      <w:r>
        <w:rPr>
          <w:spacing w:val="-6"/>
        </w:rPr>
        <w:t xml:space="preserve"> </w:t>
      </w:r>
      <w:r>
        <w:t>Rates</w:t>
      </w:r>
      <w:r>
        <w:rPr>
          <w:spacing w:val="-6"/>
        </w:rPr>
        <w:t xml:space="preserve"> </w:t>
      </w:r>
      <w:r>
        <w:t>for</w:t>
      </w:r>
      <w:r>
        <w:rPr>
          <w:spacing w:val="-6"/>
        </w:rPr>
        <w:t xml:space="preserve"> </w:t>
      </w:r>
      <w:r>
        <w:t>U.S.</w:t>
      </w:r>
      <w:r>
        <w:rPr>
          <w:spacing w:val="-6"/>
        </w:rPr>
        <w:t xml:space="preserve"> </w:t>
      </w:r>
      <w:r>
        <w:rPr>
          <w:spacing w:val="-2"/>
        </w:rPr>
        <w:t>History</w:t>
      </w:r>
    </w:p>
    <w:p w:rsidR="003F5784" w14:paraId="060E49E2" w14:textId="77777777">
      <w:pPr>
        <w:spacing w:line="232" w:lineRule="auto"/>
        <w:sectPr>
          <w:type w:val="continuous"/>
          <w:pgSz w:w="15840" w:h="12240" w:orient="landscape"/>
          <w:pgMar w:top="480" w:right="440" w:bottom="460" w:left="460" w:header="284" w:footer="275" w:gutter="0"/>
          <w:cols w:num="2" w:space="720" w:equalWidth="0">
            <w:col w:w="11362" w:space="395"/>
            <w:col w:w="3183"/>
          </w:cols>
        </w:sectPr>
      </w:pPr>
    </w:p>
    <w:p w:rsidR="003F5784" w14:paraId="6D352184" w14:textId="77777777">
      <w:pPr>
        <w:pStyle w:val="BodyText"/>
        <w:spacing w:line="232" w:lineRule="auto"/>
        <w:ind w:left="109" w:right="318"/>
      </w:pPr>
      <w:r>
        <w:t>are</w:t>
      </w:r>
      <w:r>
        <w:rPr>
          <w:spacing w:val="-6"/>
        </w:rPr>
        <w:t xml:space="preserve"> </w:t>
      </w:r>
      <w:r>
        <w:t>generally</w:t>
      </w:r>
      <w:r>
        <w:rPr>
          <w:spacing w:val="-6"/>
        </w:rPr>
        <w:t xml:space="preserve"> </w:t>
      </w:r>
      <w:r>
        <w:t>excluded</w:t>
      </w:r>
      <w:r>
        <w:rPr>
          <w:spacing w:val="-6"/>
        </w:rPr>
        <w:t xml:space="preserve"> </w:t>
      </w:r>
      <w:r>
        <w:t>from</w:t>
      </w:r>
      <w:r>
        <w:rPr>
          <w:spacing w:val="-6"/>
        </w:rPr>
        <w:t xml:space="preserve"> </w:t>
      </w:r>
      <w:r>
        <w:t>a</w:t>
      </w:r>
      <w:r>
        <w:rPr>
          <w:spacing w:val="-6"/>
        </w:rPr>
        <w:t xml:space="preserve"> </w:t>
      </w:r>
      <w:r>
        <w:t>NAEP</w:t>
      </w:r>
      <w:r>
        <w:rPr>
          <w:spacing w:val="-13"/>
        </w:rPr>
        <w:t xml:space="preserve"> </w:t>
      </w:r>
      <w:r>
        <w:t>assessment</w:t>
      </w:r>
      <w:r>
        <w:rPr>
          <w:spacing w:val="-6"/>
        </w:rPr>
        <w:t xml:space="preserve"> </w:t>
      </w:r>
      <w:r>
        <w:t>if</w:t>
      </w:r>
      <w:r>
        <w:rPr>
          <w:spacing w:val="-6"/>
        </w:rPr>
        <w:t xml:space="preserve"> </w:t>
      </w:r>
      <w:r>
        <w:t>they</w:t>
      </w:r>
      <w:r>
        <w:rPr>
          <w:spacing w:val="-6"/>
        </w:rPr>
        <w:t xml:space="preserve"> </w:t>
      </w:r>
      <w:r>
        <w:t>have</w:t>
      </w:r>
      <w:r>
        <w:rPr>
          <w:spacing w:val="-6"/>
        </w:rPr>
        <w:t xml:space="preserve"> </w:t>
      </w:r>
      <w:r>
        <w:t>a</w:t>
      </w:r>
      <w:r>
        <w:rPr>
          <w:spacing w:val="-6"/>
        </w:rPr>
        <w:t xml:space="preserve"> </w:t>
      </w:r>
      <w:r>
        <w:t>disability</w:t>
      </w:r>
      <w:r>
        <w:rPr>
          <w:spacing w:val="-6"/>
        </w:rPr>
        <w:t xml:space="preserve"> </w:t>
      </w:r>
      <w:r>
        <w:t>or</w:t>
      </w:r>
      <w:r>
        <w:rPr>
          <w:spacing w:val="-6"/>
        </w:rPr>
        <w:t xml:space="preserve"> </w:t>
      </w:r>
      <w:r>
        <w:t>limited</w:t>
      </w:r>
      <w:r>
        <w:rPr>
          <w:spacing w:val="-6"/>
        </w:rPr>
        <w:t xml:space="preserve"> </w:t>
      </w:r>
      <w:r>
        <w:t>English</w:t>
      </w:r>
      <w:r>
        <w:rPr>
          <w:spacing w:val="-6"/>
        </w:rPr>
        <w:t xml:space="preserve"> </w:t>
      </w:r>
      <w:r>
        <w:t>language</w:t>
      </w:r>
      <w:r>
        <w:rPr>
          <w:spacing w:val="-6"/>
        </w:rPr>
        <w:t xml:space="preserve"> </w:t>
      </w:r>
      <w:r>
        <w:t>proficiency</w:t>
      </w:r>
      <w:r>
        <w:rPr>
          <w:spacing w:val="-6"/>
        </w:rPr>
        <w:t xml:space="preserve"> </w:t>
      </w:r>
      <w:r>
        <w:t>that</w:t>
      </w:r>
      <w:r>
        <w:rPr>
          <w:spacing w:val="-6"/>
        </w:rPr>
        <w:t xml:space="preserve"> </w:t>
      </w:r>
      <w:r>
        <w:t>prevents</w:t>
      </w:r>
      <w:r>
        <w:rPr>
          <w:spacing w:val="-6"/>
        </w:rPr>
        <w:t xml:space="preserve"> </w:t>
      </w:r>
      <w:r>
        <w:t>them</w:t>
      </w:r>
      <w:r>
        <w:rPr>
          <w:spacing w:val="-6"/>
        </w:rPr>
        <w:t xml:space="preserve"> </w:t>
      </w:r>
      <w:r>
        <w:t>from</w:t>
      </w:r>
      <w:r>
        <w:rPr>
          <w:spacing w:val="-6"/>
        </w:rPr>
        <w:t xml:space="preserve"> </w:t>
      </w:r>
      <w:r>
        <w:t>taking</w:t>
      </w:r>
      <w:r>
        <w:rPr>
          <w:spacing w:val="-6"/>
        </w:rPr>
        <w:t xml:space="preserve"> </w:t>
      </w:r>
      <w:r>
        <w:t>the</w:t>
      </w:r>
      <w:r>
        <w:rPr>
          <w:spacing w:val="-6"/>
        </w:rPr>
        <w:t xml:space="preserve"> </w:t>
      </w:r>
      <w:r>
        <w:t>assessment</w:t>
      </w:r>
      <w:r>
        <w:rPr>
          <w:spacing w:val="-6"/>
        </w:rPr>
        <w:t xml:space="preserve"> </w:t>
      </w:r>
      <w:r>
        <w:t>altogether</w:t>
      </w:r>
      <w:r>
        <w:rPr>
          <w:spacing w:val="-6"/>
        </w:rPr>
        <w:t xml:space="preserve"> </w:t>
      </w:r>
      <w:r>
        <w:t>or the accommodations they require to take the assessment were unavailable.</w:t>
      </w:r>
    </w:p>
    <w:p w:rsidR="003F5784" w14:paraId="2A53AA8F" w14:textId="77777777">
      <w:pPr>
        <w:pStyle w:val="BodyText"/>
        <w:spacing w:before="202"/>
        <w:ind w:left="109"/>
      </w:pPr>
      <w:r>
        <w:t>A</w:t>
      </w:r>
      <w:r>
        <w:rPr>
          <w:spacing w:val="-14"/>
        </w:rPr>
        <w:t xml:space="preserve"> </w:t>
      </w:r>
      <w:r>
        <w:t>weighted</w:t>
      </w:r>
      <w:r>
        <w:rPr>
          <w:spacing w:val="-9"/>
        </w:rPr>
        <w:t xml:space="preserve"> </w:t>
      </w:r>
      <w:r>
        <w:t>full-time</w:t>
      </w:r>
      <w:r>
        <w:rPr>
          <w:spacing w:val="-6"/>
        </w:rPr>
        <w:t xml:space="preserve"> </w:t>
      </w:r>
      <w:r>
        <w:t>remote</w:t>
      </w:r>
      <w:r>
        <w:rPr>
          <w:spacing w:val="-6"/>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6"/>
        </w:rPr>
        <w:t xml:space="preserve"> </w:t>
      </w:r>
      <w:r>
        <w:t>of</w:t>
      </w:r>
      <w:r>
        <w:rPr>
          <w:spacing w:val="-7"/>
        </w:rPr>
        <w:t xml:space="preserve"> </w:t>
      </w:r>
      <w:r>
        <w:t>the</w:t>
      </w:r>
      <w:r>
        <w:rPr>
          <w:spacing w:val="-6"/>
        </w:rPr>
        <w:t xml:space="preserve"> </w:t>
      </w:r>
      <w:r>
        <w:t>student</w:t>
      </w:r>
      <w:r>
        <w:rPr>
          <w:spacing w:val="-6"/>
        </w:rPr>
        <w:t xml:space="preserve"> </w:t>
      </w:r>
      <w:r>
        <w:t>population</w:t>
      </w:r>
      <w:r>
        <w:rPr>
          <w:spacing w:val="-6"/>
        </w:rPr>
        <w:t xml:space="preserve"> </w:t>
      </w:r>
      <w:r>
        <w:t>that</w:t>
      </w:r>
      <w:r>
        <w:rPr>
          <w:spacing w:val="-6"/>
        </w:rPr>
        <w:t xml:space="preserve"> </w:t>
      </w:r>
      <w:r>
        <w:t>is</w:t>
      </w:r>
      <w:r>
        <w:rPr>
          <w:spacing w:val="-6"/>
        </w:rPr>
        <w:t xml:space="preserve"> </w:t>
      </w:r>
      <w:r>
        <w:t>full-time</w:t>
      </w:r>
      <w:r>
        <w:rPr>
          <w:spacing w:val="-6"/>
        </w:rPr>
        <w:t xml:space="preserve"> </w:t>
      </w:r>
      <w:r>
        <w:rPr>
          <w:spacing w:val="-2"/>
        </w:rPr>
        <w:t>remote.</w:t>
      </w:r>
    </w:p>
    <w:p w:rsidR="003F5784" w14:paraId="66C2EF1D" w14:textId="77777777">
      <w:pPr>
        <w:pStyle w:val="BodyText"/>
        <w:spacing w:before="208" w:line="232" w:lineRule="auto"/>
        <w:ind w:left="109" w:right="117"/>
      </w:pPr>
      <w:r>
        <w:t>Weighted</w:t>
      </w:r>
      <w:r>
        <w:rPr>
          <w:spacing w:val="-7"/>
        </w:rPr>
        <w:t xml:space="preserve"> </w:t>
      </w:r>
      <w:r>
        <w:t>school</w:t>
      </w:r>
      <w:r>
        <w:rPr>
          <w:spacing w:val="-7"/>
        </w:rPr>
        <w:t xml:space="preserve"> </w:t>
      </w:r>
      <w:r>
        <w:t>participation</w:t>
      </w:r>
      <w:r>
        <w:rPr>
          <w:spacing w:val="-7"/>
        </w:rPr>
        <w:t xml:space="preserve"> </w:t>
      </w:r>
      <w:r>
        <w:t>rates</w:t>
      </w:r>
      <w:r>
        <w:rPr>
          <w:spacing w:val="-7"/>
        </w:rPr>
        <w:t xml:space="preserve"> </w:t>
      </w:r>
      <w:r>
        <w:t>are</w:t>
      </w:r>
      <w:r>
        <w:rPr>
          <w:spacing w:val="-7"/>
        </w:rPr>
        <w:t xml:space="preserve"> </w:t>
      </w:r>
      <w:r>
        <w:t>calculated</w:t>
      </w:r>
      <w:r>
        <w:rPr>
          <w:spacing w:val="-7"/>
        </w:rPr>
        <w:t xml:space="preserve"> </w:t>
      </w:r>
      <w:r>
        <w:t>by</w:t>
      </w:r>
      <w:r>
        <w:rPr>
          <w:spacing w:val="-7"/>
        </w:rPr>
        <w:t xml:space="preserve"> </w:t>
      </w:r>
      <w:r>
        <w:t>dividing</w:t>
      </w:r>
      <w:r>
        <w:rPr>
          <w:spacing w:val="-7"/>
        </w:rPr>
        <w:t xml:space="preserve"> </w:t>
      </w:r>
      <w:r>
        <w:t>the</w:t>
      </w:r>
      <w:r>
        <w:rPr>
          <w:spacing w:val="-7"/>
        </w:rPr>
        <w:t xml:space="preserve"> </w:t>
      </w:r>
      <w:r>
        <w:t>sum</w:t>
      </w:r>
      <w:r>
        <w:rPr>
          <w:spacing w:val="-7"/>
        </w:rPr>
        <w:t xml:space="preserve"> </w:t>
      </w:r>
      <w:r>
        <w:t>of</w:t>
      </w:r>
      <w:r>
        <w:rPr>
          <w:spacing w:val="-7"/>
        </w:rPr>
        <w:t xml:space="preserve"> </w:t>
      </w:r>
      <w:r>
        <w:t>school</w:t>
      </w:r>
      <w:r>
        <w:rPr>
          <w:spacing w:val="-7"/>
        </w:rPr>
        <w:t xml:space="preserve"> </w:t>
      </w:r>
      <w:r>
        <w:t>base</w:t>
      </w:r>
      <w:r>
        <w:rPr>
          <w:spacing w:val="-7"/>
        </w:rPr>
        <w:t xml:space="preserve"> </w:t>
      </w:r>
      <w:r>
        <w:t>weights,</w:t>
      </w:r>
      <w:r>
        <w:rPr>
          <w:spacing w:val="-7"/>
        </w:rPr>
        <w:t xml:space="preserve"> </w:t>
      </w:r>
      <w:r>
        <w:t>weighted</w:t>
      </w:r>
      <w:r>
        <w:rPr>
          <w:spacing w:val="-7"/>
        </w:rPr>
        <w:t xml:space="preserve"> </w:t>
      </w:r>
      <w:r>
        <w:t>by</w:t>
      </w:r>
      <w:r>
        <w:rPr>
          <w:spacing w:val="-7"/>
        </w:rPr>
        <w:t xml:space="preserve"> </w:t>
      </w:r>
      <w:r>
        <w:t>student</w:t>
      </w:r>
      <w:r>
        <w:rPr>
          <w:spacing w:val="-7"/>
        </w:rPr>
        <w:t xml:space="preserve"> </w:t>
      </w:r>
      <w:r>
        <w:t>enrollment</w:t>
      </w:r>
      <w:r>
        <w:rPr>
          <w:spacing w:val="-7"/>
        </w:rPr>
        <w:t xml:space="preserve"> </w:t>
      </w:r>
      <w:r>
        <w:t>of</w:t>
      </w:r>
      <w:r>
        <w:rPr>
          <w:spacing w:val="-7"/>
        </w:rPr>
        <w:t xml:space="preserve"> </w:t>
      </w:r>
      <w:r>
        <w:t>the</w:t>
      </w:r>
      <w:r>
        <w:rPr>
          <w:spacing w:val="-7"/>
        </w:rPr>
        <w:t xml:space="preserve"> </w:t>
      </w:r>
      <w:r>
        <w:t>targeted</w:t>
      </w:r>
      <w:r>
        <w:rPr>
          <w:spacing w:val="-7"/>
        </w:rPr>
        <w:t xml:space="preserve"> </w:t>
      </w:r>
      <w:r>
        <w:t>grade,</w:t>
      </w:r>
      <w:r>
        <w:rPr>
          <w:spacing w:val="-7"/>
        </w:rPr>
        <w:t xml:space="preserve"> </w:t>
      </w:r>
      <w:r>
        <w:t>for</w:t>
      </w:r>
      <w:r>
        <w:rPr>
          <w:spacing w:val="-7"/>
        </w:rPr>
        <w:t xml:space="preserve"> </w:t>
      </w:r>
      <w:r>
        <w:t>all</w:t>
      </w:r>
      <w:r>
        <w:rPr>
          <w:spacing w:val="-7"/>
        </w:rPr>
        <w:t xml:space="preserve"> </w:t>
      </w:r>
      <w:r>
        <w:t>participating</w:t>
      </w:r>
      <w:r>
        <w:rPr>
          <w:spacing w:val="-7"/>
        </w:rPr>
        <w:t xml:space="preserve"> </w:t>
      </w:r>
      <w:r>
        <w:t>schools by</w:t>
      </w:r>
      <w:r>
        <w:rPr>
          <w:spacing w:val="-6"/>
        </w:rPr>
        <w:t xml:space="preserve"> </w:t>
      </w:r>
      <w:r>
        <w:t>the</w:t>
      </w:r>
      <w:r>
        <w:rPr>
          <w:spacing w:val="-6"/>
        </w:rPr>
        <w:t xml:space="preserve"> </w:t>
      </w:r>
      <w:r>
        <w:t>sum</w:t>
      </w:r>
      <w:r>
        <w:rPr>
          <w:spacing w:val="-6"/>
        </w:rPr>
        <w:t xml:space="preserve"> </w:t>
      </w:r>
      <w:r>
        <w:t>of</w:t>
      </w:r>
      <w:r>
        <w:rPr>
          <w:spacing w:val="-6"/>
        </w:rPr>
        <w:t xml:space="preserve"> </w:t>
      </w:r>
      <w:r>
        <w:t>the</w:t>
      </w:r>
      <w:r>
        <w:rPr>
          <w:spacing w:val="-6"/>
        </w:rPr>
        <w:t xml:space="preserve"> </w:t>
      </w:r>
      <w:r>
        <w:t>base</w:t>
      </w:r>
      <w:r>
        <w:rPr>
          <w:spacing w:val="-6"/>
        </w:rPr>
        <w:t xml:space="preserve"> </w:t>
      </w:r>
      <w:r>
        <w:t>weights,</w:t>
      </w:r>
      <w:r>
        <w:rPr>
          <w:spacing w:val="-6"/>
        </w:rPr>
        <w:t xml:space="preserve"> </w:t>
      </w:r>
      <w:r>
        <w:t>weighted</w:t>
      </w:r>
      <w:r>
        <w:rPr>
          <w:spacing w:val="-6"/>
        </w:rPr>
        <w:t xml:space="preserve"> </w:t>
      </w:r>
      <w:r>
        <w:t>by</w:t>
      </w:r>
      <w:r>
        <w:rPr>
          <w:spacing w:val="-6"/>
        </w:rPr>
        <w:t xml:space="preserve"> </w:t>
      </w:r>
      <w:r>
        <w:t>student</w:t>
      </w:r>
      <w:r>
        <w:rPr>
          <w:spacing w:val="-6"/>
        </w:rPr>
        <w:t xml:space="preserve"> </w:t>
      </w:r>
      <w:r>
        <w:t>enrollment</w:t>
      </w:r>
      <w:r>
        <w:rPr>
          <w:spacing w:val="-6"/>
        </w:rPr>
        <w:t xml:space="preserve"> </w:t>
      </w:r>
      <w:r>
        <w:t>of</w:t>
      </w:r>
      <w:r>
        <w:rPr>
          <w:spacing w:val="-6"/>
        </w:rPr>
        <w:t xml:space="preserve"> </w:t>
      </w:r>
      <w:r>
        <w:t>the</w:t>
      </w:r>
      <w:r>
        <w:rPr>
          <w:spacing w:val="-6"/>
        </w:rPr>
        <w:t xml:space="preserve"> </w:t>
      </w:r>
      <w:r>
        <w:t>target</w:t>
      </w:r>
      <w:r>
        <w:rPr>
          <w:spacing w:val="-6"/>
        </w:rPr>
        <w:t xml:space="preserve"> </w:t>
      </w:r>
      <w:r>
        <w:t>grade,</w:t>
      </w:r>
      <w:r>
        <w:rPr>
          <w:spacing w:val="-6"/>
        </w:rPr>
        <w:t xml:space="preserve"> </w:t>
      </w:r>
      <w:r>
        <w:t>for</w:t>
      </w:r>
      <w:r>
        <w:rPr>
          <w:spacing w:val="-6"/>
        </w:rPr>
        <w:t xml:space="preserve"> </w:t>
      </w:r>
      <w:r>
        <w:t>all</w:t>
      </w:r>
      <w:r>
        <w:rPr>
          <w:spacing w:val="-6"/>
        </w:rPr>
        <w:t xml:space="preserve"> </w:t>
      </w:r>
      <w:r>
        <w:t>eligible</w:t>
      </w:r>
      <w:r>
        <w:rPr>
          <w:spacing w:val="-6"/>
        </w:rPr>
        <w:t xml:space="preserve"> </w:t>
      </w:r>
      <w:r>
        <w:t>schools.</w:t>
      </w:r>
      <w:r>
        <w:rPr>
          <w:spacing w:val="-6"/>
        </w:rPr>
        <w:t xml:space="preserve"> </w:t>
      </w:r>
      <w:r>
        <w:t>Eligible</w:t>
      </w:r>
      <w:r>
        <w:rPr>
          <w:spacing w:val="-6"/>
        </w:rPr>
        <w:t xml:space="preserve"> </w:t>
      </w:r>
      <w:r>
        <w:t>schools</w:t>
      </w:r>
      <w:r>
        <w:rPr>
          <w:spacing w:val="-6"/>
        </w:rPr>
        <w:t xml:space="preserve"> </w:t>
      </w:r>
      <w:r>
        <w:t>are</w:t>
      </w:r>
      <w:r>
        <w:rPr>
          <w:spacing w:val="-6"/>
        </w:rPr>
        <w:t xml:space="preserve"> </w:t>
      </w:r>
      <w:r>
        <w:t>all</w:t>
      </w:r>
      <w:r>
        <w:rPr>
          <w:spacing w:val="-6"/>
        </w:rPr>
        <w:t xml:space="preserve"> </w:t>
      </w:r>
      <w:r>
        <w:t>sampled</w:t>
      </w:r>
      <w:r>
        <w:rPr>
          <w:spacing w:val="-6"/>
        </w:rPr>
        <w:t xml:space="preserve"> </w:t>
      </w:r>
      <w:r>
        <w:t>schools</w:t>
      </w:r>
      <w:r>
        <w:rPr>
          <w:spacing w:val="-6"/>
        </w:rPr>
        <w:t xml:space="preserve"> </w:t>
      </w:r>
      <w:r>
        <w:t>except</w:t>
      </w:r>
      <w:r>
        <w:rPr>
          <w:spacing w:val="-6"/>
        </w:rPr>
        <w:t xml:space="preserve"> </w:t>
      </w:r>
      <w:r>
        <w:t>those</w:t>
      </w:r>
      <w:r>
        <w:rPr>
          <w:spacing w:val="-6"/>
        </w:rPr>
        <w:t xml:space="preserve"> </w:t>
      </w:r>
      <w:r>
        <w:t>considered</w:t>
      </w:r>
      <w:r>
        <w:rPr>
          <w:spacing w:val="-6"/>
        </w:rPr>
        <w:t xml:space="preserve"> </w:t>
      </w:r>
      <w:r>
        <w:t>out- of-scope.</w:t>
      </w:r>
      <w:r>
        <w:rPr>
          <w:spacing w:val="-3"/>
        </w:rPr>
        <w:t xml:space="preserve"> </w:t>
      </w:r>
      <w:r>
        <w:t>The base weight is assigned to all sampled schools and is the inverse of the probability of selection.</w:t>
      </w:r>
      <w:r>
        <w:rPr>
          <w:spacing w:val="-3"/>
        </w:rPr>
        <w:t xml:space="preserve"> </w:t>
      </w:r>
      <w:r>
        <w:t>The weighted school participation rates in these tables reflect participation prior to substitution.</w:t>
      </w:r>
      <w:r>
        <w:rPr>
          <w:spacing w:val="-3"/>
        </w:rPr>
        <w:t xml:space="preserve"> </w:t>
      </w:r>
      <w:r>
        <w:t>That is, participating substitute schools that took the place of refusing originally sampled schools are not included in the numerator.</w:t>
      </w:r>
    </w:p>
    <w:p w:rsidR="003F5784" w14:paraId="5F5C0A18" w14:textId="77777777">
      <w:pPr>
        <w:pStyle w:val="BodyText"/>
        <w:spacing w:before="210" w:line="232" w:lineRule="auto"/>
        <w:ind w:left="109" w:right="179"/>
      </w:pPr>
      <w:r>
        <w:t>Weighted student participation rates are calculated by dividing the sum of the student base weights for all assessed students by the sum of the student base weights for all assessable students. (See below for the response dispositions of NAEP</w:t>
      </w:r>
      <w:r>
        <w:rPr>
          <w:spacing w:val="-7"/>
        </w:rPr>
        <w:t xml:space="preserve"> </w:t>
      </w:r>
      <w:r>
        <w:t>sampled students.) Students deemed assessable are those who were assessed or absent.</w:t>
      </w:r>
      <w:r>
        <w:rPr>
          <w:spacing w:val="-3"/>
        </w:rPr>
        <w:t xml:space="preserve"> </w:t>
      </w:r>
      <w:r>
        <w:t>They do not include</w:t>
      </w:r>
      <w:r>
        <w:rPr>
          <w:spacing w:val="-6"/>
        </w:rPr>
        <w:t xml:space="preserve"> </w:t>
      </w:r>
      <w:r>
        <w:t>students</w:t>
      </w:r>
      <w:r>
        <w:rPr>
          <w:spacing w:val="-6"/>
        </w:rPr>
        <w:t xml:space="preserve"> </w:t>
      </w:r>
      <w:r>
        <w:t>that</w:t>
      </w:r>
      <w:r>
        <w:rPr>
          <w:spacing w:val="-6"/>
        </w:rPr>
        <w:t xml:space="preserve"> </w:t>
      </w:r>
      <w:r>
        <w:t>were</w:t>
      </w:r>
      <w:r>
        <w:rPr>
          <w:spacing w:val="-6"/>
        </w:rPr>
        <w:t xml:space="preserve"> </w:t>
      </w:r>
      <w:r>
        <w:t>not</w:t>
      </w:r>
      <w:r>
        <w:rPr>
          <w:spacing w:val="-6"/>
        </w:rPr>
        <w:t xml:space="preserve"> </w:t>
      </w:r>
      <w:r>
        <w:t>eligible</w:t>
      </w:r>
      <w:r>
        <w:rPr>
          <w:spacing w:val="-6"/>
        </w:rPr>
        <w:t xml:space="preserve"> </w:t>
      </w:r>
      <w:r>
        <w:t>(primarily</w:t>
      </w:r>
      <w:r>
        <w:rPr>
          <w:spacing w:val="-6"/>
        </w:rPr>
        <w:t xml:space="preserve"> </w:t>
      </w:r>
      <w:r>
        <w:t>made</w:t>
      </w:r>
      <w:r>
        <w:rPr>
          <w:spacing w:val="-6"/>
        </w:rPr>
        <w:t xml:space="preserve"> </w:t>
      </w:r>
      <w:r>
        <w:t>up</w:t>
      </w:r>
      <w:r>
        <w:rPr>
          <w:spacing w:val="-6"/>
        </w:rPr>
        <w:t xml:space="preserve"> </w:t>
      </w:r>
      <w:r>
        <w:t>of</w:t>
      </w:r>
      <w:r>
        <w:rPr>
          <w:spacing w:val="-6"/>
        </w:rPr>
        <w:t xml:space="preserve"> </w:t>
      </w:r>
      <w:r>
        <w:t>withdrawn</w:t>
      </w:r>
      <w:r>
        <w:rPr>
          <w:spacing w:val="-6"/>
        </w:rPr>
        <w:t xml:space="preserve"> </w:t>
      </w:r>
      <w:r>
        <w:t>or</w:t>
      </w:r>
      <w:r>
        <w:rPr>
          <w:spacing w:val="-6"/>
        </w:rPr>
        <w:t xml:space="preserve"> </w:t>
      </w:r>
      <w:r>
        <w:t>graduated</w:t>
      </w:r>
      <w:r>
        <w:rPr>
          <w:spacing w:val="-6"/>
        </w:rPr>
        <w:t xml:space="preserve"> </w:t>
      </w:r>
      <w:r>
        <w:t>students)</w:t>
      </w:r>
      <w:r>
        <w:rPr>
          <w:spacing w:val="-6"/>
        </w:rPr>
        <w:t xml:space="preserve"> </w:t>
      </w:r>
      <w:r>
        <w:t>or</w:t>
      </w:r>
      <w:r>
        <w:rPr>
          <w:spacing w:val="-6"/>
        </w:rPr>
        <w:t xml:space="preserve"> </w:t>
      </w:r>
      <w:r>
        <w:t>students</w:t>
      </w:r>
      <w:r>
        <w:rPr>
          <w:spacing w:val="-6"/>
        </w:rPr>
        <w:t xml:space="preserve"> </w:t>
      </w:r>
      <w:r>
        <w:t>with</w:t>
      </w:r>
      <w:r>
        <w:rPr>
          <w:spacing w:val="-6"/>
        </w:rPr>
        <w:t xml:space="preserve"> </w:t>
      </w:r>
      <w:r>
        <w:t>disabilities</w:t>
      </w:r>
      <w:r>
        <w:rPr>
          <w:spacing w:val="-6"/>
        </w:rPr>
        <w:t xml:space="preserve"> </w:t>
      </w:r>
      <w:r>
        <w:t>(SD)</w:t>
      </w:r>
      <w:r>
        <w:rPr>
          <w:spacing w:val="-6"/>
        </w:rPr>
        <w:t xml:space="preserve"> </w:t>
      </w:r>
      <w:r>
        <w:t>or</w:t>
      </w:r>
      <w:r>
        <w:rPr>
          <w:spacing w:val="-6"/>
        </w:rPr>
        <w:t xml:space="preserve"> </w:t>
      </w:r>
      <w:r>
        <w:t>English</w:t>
      </w:r>
      <w:r>
        <w:rPr>
          <w:spacing w:val="-6"/>
        </w:rPr>
        <w:t xml:space="preserve"> </w:t>
      </w:r>
      <w:r>
        <w:t>learners</w:t>
      </w:r>
      <w:r>
        <w:rPr>
          <w:spacing w:val="-6"/>
        </w:rPr>
        <w:t xml:space="preserve"> </w:t>
      </w:r>
      <w:r>
        <w:t>(EL)</w:t>
      </w:r>
      <w:r>
        <w:rPr>
          <w:spacing w:val="-6"/>
        </w:rPr>
        <w:t xml:space="preserve"> </w:t>
      </w:r>
      <w:r>
        <w:t>who</w:t>
      </w:r>
      <w:r>
        <w:rPr>
          <w:spacing w:val="-6"/>
        </w:rPr>
        <w:t xml:space="preserve"> </w:t>
      </w:r>
      <w:r>
        <w:t>were</w:t>
      </w:r>
      <w:r>
        <w:rPr>
          <w:spacing w:val="-6"/>
        </w:rPr>
        <w:t xml:space="preserve"> </w:t>
      </w:r>
      <w:r>
        <w:t>excluded from the assessment.</w:t>
      </w:r>
    </w:p>
    <w:p w:rsidR="003F5784" w14:paraId="68FC1D66" w14:textId="77777777">
      <w:pPr>
        <w:pStyle w:val="BodyText"/>
        <w:spacing w:before="210" w:line="232" w:lineRule="auto"/>
        <w:ind w:left="109"/>
      </w:pPr>
      <w:r>
        <w:t>Weighted</w:t>
      </w:r>
      <w:r>
        <w:rPr>
          <w:spacing w:val="-7"/>
        </w:rPr>
        <w:t xml:space="preserve"> </w:t>
      </w:r>
      <w:r>
        <w:t>student</w:t>
      </w:r>
      <w:r>
        <w:rPr>
          <w:spacing w:val="-7"/>
        </w:rPr>
        <w:t xml:space="preserve"> </w:t>
      </w:r>
      <w:r>
        <w:t>exclusion</w:t>
      </w:r>
      <w:r>
        <w:rPr>
          <w:spacing w:val="-7"/>
        </w:rPr>
        <w:t xml:space="preserve"> </w:t>
      </w:r>
      <w:r>
        <w:t>rates</w:t>
      </w:r>
      <w:r>
        <w:rPr>
          <w:spacing w:val="-7"/>
        </w:rPr>
        <w:t xml:space="preserve"> </w:t>
      </w:r>
      <w:r>
        <w:t>are</w:t>
      </w:r>
      <w:r>
        <w:rPr>
          <w:spacing w:val="-7"/>
        </w:rPr>
        <w:t xml:space="preserve"> </w:t>
      </w:r>
      <w:r>
        <w:t>calculated</w:t>
      </w:r>
      <w:r>
        <w:rPr>
          <w:spacing w:val="-7"/>
        </w:rPr>
        <w:t xml:space="preserve"> </w:t>
      </w:r>
      <w:r>
        <w:t>by</w:t>
      </w:r>
      <w:r>
        <w:rPr>
          <w:spacing w:val="-7"/>
        </w:rPr>
        <w:t xml:space="preserve"> </w:t>
      </w:r>
      <w:r>
        <w:t>dividing</w:t>
      </w:r>
      <w:r>
        <w:rPr>
          <w:spacing w:val="-7"/>
        </w:rPr>
        <w:t xml:space="preserve"> </w:t>
      </w:r>
      <w:r>
        <w:t>the</w:t>
      </w:r>
      <w:r>
        <w:rPr>
          <w:spacing w:val="-7"/>
        </w:rPr>
        <w:t xml:space="preserve"> </w:t>
      </w:r>
      <w:r>
        <w:t>sum</w:t>
      </w:r>
      <w:r>
        <w:rPr>
          <w:spacing w:val="-7"/>
        </w:rPr>
        <w:t xml:space="preserve"> </w:t>
      </w:r>
      <w:r>
        <w:t>of</w:t>
      </w:r>
      <w:r>
        <w:rPr>
          <w:spacing w:val="-7"/>
        </w:rPr>
        <w:t xml:space="preserve"> </w:t>
      </w:r>
      <w:r>
        <w:t>the</w:t>
      </w:r>
      <w:r>
        <w:rPr>
          <w:spacing w:val="-7"/>
        </w:rPr>
        <w:t xml:space="preserve"> </w:t>
      </w:r>
      <w:r>
        <w:t>school</w:t>
      </w:r>
      <w:r>
        <w:rPr>
          <w:spacing w:val="-7"/>
        </w:rPr>
        <w:t xml:space="preserve"> </w:t>
      </w:r>
      <w:r>
        <w:t>nonresponse-adjusted</w:t>
      </w:r>
      <w:r>
        <w:rPr>
          <w:spacing w:val="-7"/>
        </w:rPr>
        <w:t xml:space="preserve"> </w:t>
      </w:r>
      <w:r>
        <w:t>student</w:t>
      </w:r>
      <w:r>
        <w:rPr>
          <w:spacing w:val="-7"/>
        </w:rPr>
        <w:t xml:space="preserve"> </w:t>
      </w:r>
      <w:r>
        <w:t>base</w:t>
      </w:r>
      <w:r>
        <w:rPr>
          <w:spacing w:val="-7"/>
        </w:rPr>
        <w:t xml:space="preserve"> </w:t>
      </w:r>
      <w:r>
        <w:t>weights</w:t>
      </w:r>
      <w:r>
        <w:rPr>
          <w:spacing w:val="-7"/>
        </w:rPr>
        <w:t xml:space="preserve"> </w:t>
      </w:r>
      <w:r>
        <w:t>for</w:t>
      </w:r>
      <w:r>
        <w:rPr>
          <w:spacing w:val="-7"/>
        </w:rPr>
        <w:t xml:space="preserve"> </w:t>
      </w:r>
      <w:r>
        <w:t>all</w:t>
      </w:r>
      <w:r>
        <w:rPr>
          <w:spacing w:val="-7"/>
        </w:rPr>
        <w:t xml:space="preserve"> </w:t>
      </w:r>
      <w:r>
        <w:t>excluded</w:t>
      </w:r>
      <w:r>
        <w:rPr>
          <w:spacing w:val="-7"/>
        </w:rPr>
        <w:t xml:space="preserve"> </w:t>
      </w:r>
      <w:r>
        <w:t>students</w:t>
      </w:r>
      <w:r>
        <w:rPr>
          <w:spacing w:val="-7"/>
        </w:rPr>
        <w:t xml:space="preserve"> </w:t>
      </w:r>
      <w:r>
        <w:t>by</w:t>
      </w:r>
      <w:r>
        <w:rPr>
          <w:spacing w:val="-7"/>
        </w:rPr>
        <w:t xml:space="preserve"> </w:t>
      </w:r>
      <w:r>
        <w:t>the</w:t>
      </w:r>
      <w:r>
        <w:rPr>
          <w:spacing w:val="-7"/>
        </w:rPr>
        <w:t xml:space="preserve"> </w:t>
      </w:r>
      <w:r>
        <w:t>sum</w:t>
      </w:r>
      <w:r>
        <w:rPr>
          <w:spacing w:val="-7"/>
        </w:rPr>
        <w:t xml:space="preserve"> </w:t>
      </w:r>
      <w:r>
        <w:t>for</w:t>
      </w:r>
      <w:r>
        <w:rPr>
          <w:spacing w:val="-7"/>
        </w:rPr>
        <w:t xml:space="preserve"> </w:t>
      </w:r>
      <w:r>
        <w:t>all assessable and excluded students.</w:t>
      </w:r>
    </w:p>
    <w:p w:rsidR="003F5784" w14:paraId="2B00B45D" w14:textId="77777777">
      <w:pPr>
        <w:pStyle w:val="BodyText"/>
        <w:spacing w:before="209" w:line="232" w:lineRule="auto"/>
        <w:ind w:left="109"/>
      </w:pPr>
      <w:r>
        <w:t>Weighted</w:t>
      </w:r>
      <w:r>
        <w:rPr>
          <w:spacing w:val="-7"/>
        </w:rPr>
        <w:t xml:space="preserve"> </w:t>
      </w:r>
      <w:r>
        <w:t>student</w:t>
      </w:r>
      <w:r>
        <w:rPr>
          <w:spacing w:val="-7"/>
        </w:rPr>
        <w:t xml:space="preserve"> </w:t>
      </w:r>
      <w:r>
        <w:t>full-time</w:t>
      </w:r>
      <w:r>
        <w:rPr>
          <w:spacing w:val="-7"/>
        </w:rPr>
        <w:t xml:space="preserve"> </w:t>
      </w:r>
      <w:r>
        <w:t>remote</w:t>
      </w:r>
      <w:r>
        <w:rPr>
          <w:spacing w:val="-7"/>
        </w:rPr>
        <w:t xml:space="preserve"> </w:t>
      </w:r>
      <w:r>
        <w:t>rates</w:t>
      </w:r>
      <w:r>
        <w:rPr>
          <w:spacing w:val="-7"/>
        </w:rPr>
        <w:t xml:space="preserve"> </w:t>
      </w:r>
      <w:r>
        <w:t>are</w:t>
      </w:r>
      <w:r>
        <w:rPr>
          <w:spacing w:val="-7"/>
        </w:rPr>
        <w:t xml:space="preserve"> </w:t>
      </w:r>
      <w:r>
        <w:t>calculated</w:t>
      </w:r>
      <w:r>
        <w:rPr>
          <w:spacing w:val="-7"/>
        </w:rPr>
        <w:t xml:space="preserve"> </w:t>
      </w:r>
      <w:r>
        <w:t>by</w:t>
      </w:r>
      <w:r>
        <w:rPr>
          <w:spacing w:val="-7"/>
        </w:rPr>
        <w:t xml:space="preserve"> </w:t>
      </w:r>
      <w:r>
        <w:t>dividing</w:t>
      </w:r>
      <w:r>
        <w:rPr>
          <w:spacing w:val="-7"/>
        </w:rPr>
        <w:t xml:space="preserve"> </w:t>
      </w:r>
      <w:r>
        <w:t>the</w:t>
      </w:r>
      <w:r>
        <w:rPr>
          <w:spacing w:val="-7"/>
        </w:rPr>
        <w:t xml:space="preserve"> </w:t>
      </w:r>
      <w:r>
        <w:t>sum</w:t>
      </w:r>
      <w:r>
        <w:rPr>
          <w:spacing w:val="-7"/>
        </w:rPr>
        <w:t xml:space="preserve"> </w:t>
      </w:r>
      <w:r>
        <w:t>of</w:t>
      </w:r>
      <w:r>
        <w:rPr>
          <w:spacing w:val="-7"/>
        </w:rPr>
        <w:t xml:space="preserve"> </w:t>
      </w:r>
      <w:r>
        <w:t>the</w:t>
      </w:r>
      <w:r>
        <w:rPr>
          <w:spacing w:val="-7"/>
        </w:rPr>
        <w:t xml:space="preserve"> </w:t>
      </w:r>
      <w:r>
        <w:t>school</w:t>
      </w:r>
      <w:r>
        <w:rPr>
          <w:spacing w:val="-7"/>
        </w:rPr>
        <w:t xml:space="preserve"> </w:t>
      </w:r>
      <w:r>
        <w:t>nonresponse-adjusted</w:t>
      </w:r>
      <w:r>
        <w:rPr>
          <w:spacing w:val="-7"/>
        </w:rPr>
        <w:t xml:space="preserve"> </w:t>
      </w:r>
      <w:r>
        <w:t>student</w:t>
      </w:r>
      <w:r>
        <w:rPr>
          <w:spacing w:val="-7"/>
        </w:rPr>
        <w:t xml:space="preserve"> </w:t>
      </w:r>
      <w:r>
        <w:t>base</w:t>
      </w:r>
      <w:r>
        <w:rPr>
          <w:spacing w:val="-7"/>
        </w:rPr>
        <w:t xml:space="preserve"> </w:t>
      </w:r>
      <w:r>
        <w:t>weights</w:t>
      </w:r>
      <w:r>
        <w:rPr>
          <w:spacing w:val="-7"/>
        </w:rPr>
        <w:t xml:space="preserve"> </w:t>
      </w:r>
      <w:r>
        <w:t>for</w:t>
      </w:r>
      <w:r>
        <w:rPr>
          <w:spacing w:val="-7"/>
        </w:rPr>
        <w:t xml:space="preserve"> </w:t>
      </w:r>
      <w:r>
        <w:t>all</w:t>
      </w:r>
      <w:r>
        <w:rPr>
          <w:spacing w:val="-7"/>
        </w:rPr>
        <w:t xml:space="preserve"> </w:t>
      </w:r>
      <w:r>
        <w:t>full-time</w:t>
      </w:r>
      <w:r>
        <w:rPr>
          <w:spacing w:val="-7"/>
        </w:rPr>
        <w:t xml:space="preserve"> </w:t>
      </w:r>
      <w:r>
        <w:t>remote</w:t>
      </w:r>
      <w:r>
        <w:rPr>
          <w:spacing w:val="-7"/>
        </w:rPr>
        <w:t xml:space="preserve"> </w:t>
      </w:r>
      <w:r>
        <w:t>students</w:t>
      </w:r>
      <w:r>
        <w:rPr>
          <w:spacing w:val="-7"/>
        </w:rPr>
        <w:t xml:space="preserve"> </w:t>
      </w:r>
      <w:r>
        <w:t>by</w:t>
      </w:r>
      <w:r>
        <w:rPr>
          <w:spacing w:val="-7"/>
        </w:rPr>
        <w:t xml:space="preserve"> </w:t>
      </w:r>
      <w:r>
        <w:t>the</w:t>
      </w:r>
      <w:r>
        <w:rPr>
          <w:spacing w:val="-7"/>
        </w:rPr>
        <w:t xml:space="preserve"> </w:t>
      </w:r>
      <w:r>
        <w:t>sum for all assessable, excluded, and full-time remote students.</w:t>
      </w:r>
    </w:p>
    <w:p w:rsidR="003F5784" w14:paraId="55141340" w14:textId="77777777">
      <w:pPr>
        <w:pStyle w:val="BodyText"/>
        <w:spacing w:before="5" w:line="440" w:lineRule="atLeast"/>
        <w:ind w:left="422" w:right="6183" w:hanging="313"/>
      </w:pPr>
      <w:r>
        <w:t>Every</w:t>
      </w:r>
      <w:r>
        <w:rPr>
          <w:spacing w:val="-8"/>
        </w:rPr>
        <w:t xml:space="preserve"> </w:t>
      </w:r>
      <w:r>
        <w:t>student</w:t>
      </w:r>
      <w:r>
        <w:rPr>
          <w:spacing w:val="-8"/>
        </w:rPr>
        <w:t xml:space="preserve"> </w:t>
      </w:r>
      <w:r>
        <w:t>sampled</w:t>
      </w:r>
      <w:r>
        <w:rPr>
          <w:spacing w:val="-8"/>
        </w:rPr>
        <w:t xml:space="preserve"> </w:t>
      </w:r>
      <w:r>
        <w:t>for</w:t>
      </w:r>
      <w:r>
        <w:rPr>
          <w:spacing w:val="-8"/>
        </w:rPr>
        <w:t xml:space="preserve"> </w:t>
      </w:r>
      <w:r>
        <w:t>NAEP</w:t>
      </w:r>
      <w:r>
        <w:rPr>
          <w:spacing w:val="-14"/>
        </w:rPr>
        <w:t xml:space="preserve"> </w:t>
      </w:r>
      <w:r>
        <w:t>is</w:t>
      </w:r>
      <w:r>
        <w:rPr>
          <w:spacing w:val="-7"/>
        </w:rPr>
        <w:t xml:space="preserve"> </w:t>
      </w:r>
      <w:r>
        <w:t>classified</w:t>
      </w:r>
      <w:r>
        <w:rPr>
          <w:spacing w:val="-8"/>
        </w:rPr>
        <w:t xml:space="preserve"> </w:t>
      </w:r>
      <w:r>
        <w:t>into</w:t>
      </w:r>
      <w:r>
        <w:rPr>
          <w:spacing w:val="-8"/>
        </w:rPr>
        <w:t xml:space="preserve"> </w:t>
      </w:r>
      <w:r>
        <w:t>one</w:t>
      </w:r>
      <w:r>
        <w:rPr>
          <w:spacing w:val="-8"/>
        </w:rPr>
        <w:t xml:space="preserve"> </w:t>
      </w:r>
      <w:r>
        <w:t>of</w:t>
      </w:r>
      <w:r>
        <w:rPr>
          <w:spacing w:val="-8"/>
        </w:rPr>
        <w:t xml:space="preserve"> </w:t>
      </w:r>
      <w:r>
        <w:t>the</w:t>
      </w:r>
      <w:r>
        <w:rPr>
          <w:spacing w:val="-8"/>
        </w:rPr>
        <w:t xml:space="preserve"> </w:t>
      </w:r>
      <w:r>
        <w:t>following</w:t>
      </w:r>
      <w:r>
        <w:rPr>
          <w:spacing w:val="-8"/>
        </w:rPr>
        <w:t xml:space="preserve"> </w:t>
      </w:r>
      <w:r>
        <w:t>response</w:t>
      </w:r>
      <w:r>
        <w:rPr>
          <w:spacing w:val="-8"/>
        </w:rPr>
        <w:t xml:space="preserve"> </w:t>
      </w:r>
      <w:r>
        <w:t>disposition</w:t>
      </w:r>
      <w:r>
        <w:rPr>
          <w:spacing w:val="-8"/>
        </w:rPr>
        <w:t xml:space="preserve"> </w:t>
      </w:r>
      <w:r>
        <w:t xml:space="preserve">categories: </w:t>
      </w:r>
      <w:r>
        <w:rPr>
          <w:noProof/>
          <w:position w:val="3"/>
        </w:rPr>
        <w:drawing>
          <wp:inline distT="0" distB="0" distL="0" distR="0">
            <wp:extent cx="41379" cy="41362"/>
            <wp:effectExtent l="0" t="0" r="0" b="0"/>
            <wp:docPr id="67" name="Image 67"/>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xmlns:r="http://schemas.openxmlformats.org/officeDocument/2006/relationships" r:embed="rId51" cstate="print"/>
                    <a:stretch>
                      <a:fillRect/>
                    </a:stretch>
                  </pic:blipFill>
                  <pic:spPr>
                    <a:xfrm>
                      <a:off x="0" y="0"/>
                      <a:ext cx="41379" cy="41362"/>
                    </a:xfrm>
                    <a:prstGeom prst="rect">
                      <a:avLst/>
                    </a:prstGeom>
                  </pic:spPr>
                </pic:pic>
              </a:graphicData>
            </a:graphic>
          </wp:inline>
        </w:drawing>
      </w:r>
      <w:r>
        <w:rPr>
          <w:spacing w:val="40"/>
        </w:rPr>
        <w:t xml:space="preserve"> </w:t>
      </w:r>
      <w:r>
        <w:t>Assessed</w:t>
      </w:r>
    </w:p>
    <w:p w:rsidR="003F5784" w14:paraId="7E335251" w14:textId="77777777">
      <w:pPr>
        <w:pStyle w:val="BodyText"/>
        <w:spacing w:line="234" w:lineRule="exact"/>
        <w:ind w:left="422"/>
      </w:pPr>
      <w:r>
        <w:rPr>
          <w:noProof/>
          <w:position w:val="3"/>
        </w:rPr>
        <w:drawing>
          <wp:inline distT="0" distB="0" distL="0" distR="0">
            <wp:extent cx="41379" cy="41362"/>
            <wp:effectExtent l="0" t="0" r="0" b="0"/>
            <wp:docPr id="68" name="Image 68"/>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xmlns:r="http://schemas.openxmlformats.org/officeDocument/2006/relationships" r:embed="rId52" cstate="print"/>
                    <a:stretch>
                      <a:fillRect/>
                    </a:stretch>
                  </pic:blipFill>
                  <pic:spPr>
                    <a:xfrm>
                      <a:off x="0" y="0"/>
                      <a:ext cx="41379" cy="41362"/>
                    </a:xfrm>
                    <a:prstGeom prst="rect">
                      <a:avLst/>
                    </a:prstGeom>
                  </pic:spPr>
                </pic:pic>
              </a:graphicData>
            </a:graphic>
          </wp:inline>
        </w:drawing>
      </w:r>
      <w:r>
        <w:rPr>
          <w:spacing w:val="80"/>
          <w:sz w:val="20"/>
        </w:rPr>
        <w:t xml:space="preserve"> </w:t>
      </w:r>
      <w:r>
        <w:t>Absent</w:t>
      </w:r>
    </w:p>
    <w:p w:rsidR="003F5784" w14:paraId="11E9E5FD" w14:textId="77777777">
      <w:pPr>
        <w:pStyle w:val="BodyText"/>
        <w:spacing w:before="2" w:line="232" w:lineRule="auto"/>
        <w:ind w:left="422" w:right="10739"/>
      </w:pPr>
      <w:r>
        <w:rPr>
          <w:noProof/>
          <w:position w:val="3"/>
        </w:rPr>
        <w:drawing>
          <wp:inline distT="0" distB="0" distL="0" distR="0">
            <wp:extent cx="41379" cy="41362"/>
            <wp:effectExtent l="0" t="0" r="0" b="0"/>
            <wp:docPr id="69" name="Image 69"/>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xmlns:r="http://schemas.openxmlformats.org/officeDocument/2006/relationships" r:embed="rId53" cstate="print"/>
                    <a:stretch>
                      <a:fillRect/>
                    </a:stretch>
                  </pic:blipFill>
                  <pic:spPr>
                    <a:xfrm>
                      <a:off x="0" y="0"/>
                      <a:ext cx="41379" cy="41362"/>
                    </a:xfrm>
                    <a:prstGeom prst="rect">
                      <a:avLst/>
                    </a:prstGeom>
                  </pic:spPr>
                </pic:pic>
              </a:graphicData>
            </a:graphic>
          </wp:inline>
        </w:drawing>
      </w:r>
      <w:r>
        <w:rPr>
          <w:spacing w:val="79"/>
          <w:sz w:val="20"/>
        </w:rPr>
        <w:t xml:space="preserve"> </w:t>
      </w:r>
      <w:r>
        <w:t>Excluded</w:t>
      </w:r>
      <w:r>
        <w:rPr>
          <w:spacing w:val="-7"/>
        </w:rPr>
        <w:t xml:space="preserve"> </w:t>
      </w:r>
      <w:r>
        <w:t>(must</w:t>
      </w:r>
      <w:r>
        <w:rPr>
          <w:spacing w:val="-7"/>
        </w:rPr>
        <w:t xml:space="preserve"> </w:t>
      </w:r>
      <w:r>
        <w:t>be</w:t>
      </w:r>
      <w:r>
        <w:rPr>
          <w:spacing w:val="-7"/>
        </w:rPr>
        <w:t xml:space="preserve"> </w:t>
      </w:r>
      <w:r>
        <w:t>SD,</w:t>
      </w:r>
      <w:r>
        <w:rPr>
          <w:spacing w:val="-7"/>
        </w:rPr>
        <w:t xml:space="preserve"> </w:t>
      </w:r>
      <w:r>
        <w:t>EL,</w:t>
      </w:r>
      <w:r>
        <w:rPr>
          <w:spacing w:val="-7"/>
        </w:rPr>
        <w:t xml:space="preserve"> </w:t>
      </w:r>
      <w:r>
        <w:t>or</w:t>
      </w:r>
      <w:r>
        <w:rPr>
          <w:spacing w:val="-7"/>
        </w:rPr>
        <w:t xml:space="preserve"> </w:t>
      </w:r>
      <w:r>
        <w:t>SD</w:t>
      </w:r>
      <w:r>
        <w:rPr>
          <w:spacing w:val="-7"/>
        </w:rPr>
        <w:t xml:space="preserve"> </w:t>
      </w:r>
      <w:r>
        <w:t>and</w:t>
      </w:r>
      <w:r>
        <w:rPr>
          <w:spacing w:val="-7"/>
        </w:rPr>
        <w:t xml:space="preserve"> </w:t>
      </w:r>
      <w:r>
        <w:t xml:space="preserve">EL) </w:t>
      </w:r>
      <w:r>
        <w:rPr>
          <w:noProof/>
          <w:position w:val="3"/>
        </w:rPr>
        <w:drawing>
          <wp:inline distT="0" distB="0" distL="0" distR="0">
            <wp:extent cx="41379" cy="41362"/>
            <wp:effectExtent l="0" t="0" r="0" b="0"/>
            <wp:docPr id="70" name="Image 70"/>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xmlns:r="http://schemas.openxmlformats.org/officeDocument/2006/relationships" r:embed="rId54" cstate="print"/>
                    <a:stretch>
                      <a:fillRect/>
                    </a:stretch>
                  </pic:blipFill>
                  <pic:spPr>
                    <a:xfrm>
                      <a:off x="0" y="0"/>
                      <a:ext cx="41379" cy="41362"/>
                    </a:xfrm>
                    <a:prstGeom prst="rect">
                      <a:avLst/>
                    </a:prstGeom>
                  </pic:spPr>
                </pic:pic>
              </a:graphicData>
            </a:graphic>
          </wp:inline>
        </w:drawing>
      </w:r>
      <w:r>
        <w:rPr>
          <w:spacing w:val="80"/>
        </w:rPr>
        <w:t xml:space="preserve"> </w:t>
      </w:r>
      <w:r>
        <w:t>Withdrawn or Graduated (ineligible)</w:t>
      </w:r>
    </w:p>
    <w:p w:rsidR="003F5784" w14:paraId="5528D86D" w14:textId="77777777">
      <w:pPr>
        <w:pStyle w:val="BodyText"/>
        <w:spacing w:line="236" w:lineRule="exact"/>
        <w:ind w:left="422"/>
      </w:pPr>
      <w:r>
        <w:rPr>
          <w:noProof/>
          <w:position w:val="3"/>
        </w:rPr>
        <w:drawing>
          <wp:inline distT="0" distB="0" distL="0" distR="0">
            <wp:extent cx="41379" cy="41362"/>
            <wp:effectExtent l="0" t="0" r="0" b="0"/>
            <wp:docPr id="71" name="Image 71"/>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xmlns:r="http://schemas.openxmlformats.org/officeDocument/2006/relationships" r:embed="rId29" cstate="print"/>
                    <a:stretch>
                      <a:fillRect/>
                    </a:stretch>
                  </pic:blipFill>
                  <pic:spPr>
                    <a:xfrm>
                      <a:off x="0" y="0"/>
                      <a:ext cx="41379" cy="41362"/>
                    </a:xfrm>
                    <a:prstGeom prst="rect">
                      <a:avLst/>
                    </a:prstGeom>
                  </pic:spPr>
                </pic:pic>
              </a:graphicData>
            </a:graphic>
          </wp:inline>
        </w:drawing>
      </w:r>
      <w:r>
        <w:rPr>
          <w:spacing w:val="80"/>
          <w:sz w:val="20"/>
        </w:rPr>
        <w:t xml:space="preserve"> </w:t>
      </w:r>
      <w:r>
        <w:t>Full-time remote</w:t>
      </w:r>
    </w:p>
    <w:p w:rsidR="003F5784" w14:paraId="1B03AC4F" w14:textId="77777777">
      <w:pPr>
        <w:pStyle w:val="BodyText"/>
      </w:pPr>
    </w:p>
    <w:p w:rsidR="003F5784" w14:paraId="76F61CF3" w14:textId="77777777">
      <w:pPr>
        <w:pStyle w:val="BodyText"/>
        <w:spacing w:before="162"/>
      </w:pPr>
    </w:p>
    <w:p w:rsidR="003F5784" w14:paraId="5AC196B4" w14:textId="77777777">
      <w:pPr>
        <w:pStyle w:val="BodyText"/>
        <w:ind w:left="109"/>
      </w:pPr>
      <w:r>
        <w:t>Assessed</w:t>
      </w:r>
      <w:r>
        <w:rPr>
          <w:spacing w:val="-7"/>
        </w:rPr>
        <w:t xml:space="preserve"> </w:t>
      </w:r>
      <w:r>
        <w:t>students</w:t>
      </w:r>
      <w:r>
        <w:rPr>
          <w:spacing w:val="-7"/>
        </w:rPr>
        <w:t xml:space="preserve"> </w:t>
      </w:r>
      <w:r>
        <w:t>were</w:t>
      </w:r>
      <w:r>
        <w:rPr>
          <w:spacing w:val="-6"/>
        </w:rPr>
        <w:t xml:space="preserve"> </w:t>
      </w:r>
      <w:r>
        <w:t>students</w:t>
      </w:r>
      <w:r>
        <w:rPr>
          <w:spacing w:val="-7"/>
        </w:rPr>
        <w:t xml:space="preserve"> </w:t>
      </w:r>
      <w:r>
        <w:t>that</w:t>
      </w:r>
      <w:r>
        <w:rPr>
          <w:spacing w:val="-7"/>
        </w:rPr>
        <w:t xml:space="preserve"> </w:t>
      </w:r>
      <w:r>
        <w:t>completed</w:t>
      </w:r>
      <w:r>
        <w:rPr>
          <w:spacing w:val="-6"/>
        </w:rPr>
        <w:t xml:space="preserve"> </w:t>
      </w:r>
      <w:r>
        <w:t>an</w:t>
      </w:r>
      <w:r>
        <w:rPr>
          <w:spacing w:val="-7"/>
        </w:rPr>
        <w:t xml:space="preserve"> </w:t>
      </w:r>
      <w:r>
        <w:rPr>
          <w:spacing w:val="-2"/>
        </w:rPr>
        <w:t>assessment.</w:t>
      </w:r>
    </w:p>
    <w:p w:rsidR="003F5784" w14:paraId="4FBF5E1E" w14:textId="77777777">
      <w:pPr>
        <w:sectPr>
          <w:type w:val="continuous"/>
          <w:pgSz w:w="15840" w:h="12240" w:orient="landscape"/>
          <w:pgMar w:top="480" w:right="440" w:bottom="460" w:left="460" w:header="284" w:footer="275" w:gutter="0"/>
          <w:cols w:space="720"/>
        </w:sectPr>
      </w:pPr>
    </w:p>
    <w:p w:rsidR="003F5784" w14:paraId="7B8A7FDC" w14:textId="77777777">
      <w:pPr>
        <w:pStyle w:val="BodyText"/>
        <w:spacing w:before="78" w:line="232" w:lineRule="auto"/>
        <w:ind w:left="109"/>
      </w:pPr>
      <w:r>
        <w:t>Absent</w:t>
      </w:r>
      <w:r>
        <w:rPr>
          <w:spacing w:val="-6"/>
        </w:rPr>
        <w:t xml:space="preserve"> </w:t>
      </w:r>
      <w:r>
        <w:t>students</w:t>
      </w:r>
      <w:r>
        <w:rPr>
          <w:spacing w:val="-6"/>
        </w:rPr>
        <w:t xml:space="preserve"> </w:t>
      </w:r>
      <w:r>
        <w:t>were</w:t>
      </w:r>
      <w:r>
        <w:rPr>
          <w:spacing w:val="-6"/>
        </w:rPr>
        <w:t xml:space="preserve"> </w:t>
      </w:r>
      <w:r>
        <w:t>students</w:t>
      </w:r>
      <w:r>
        <w:rPr>
          <w:spacing w:val="-6"/>
        </w:rPr>
        <w:t xml:space="preserve"> </w:t>
      </w:r>
      <w:r>
        <w:t>who</w:t>
      </w:r>
      <w:r>
        <w:rPr>
          <w:spacing w:val="-6"/>
        </w:rPr>
        <w:t xml:space="preserve"> </w:t>
      </w:r>
      <w:r>
        <w:t>were</w:t>
      </w:r>
      <w:r>
        <w:rPr>
          <w:spacing w:val="-6"/>
        </w:rPr>
        <w:t xml:space="preserve"> </w:t>
      </w:r>
      <w:r>
        <w:t>eligible</w:t>
      </w:r>
      <w:r>
        <w:rPr>
          <w:spacing w:val="-6"/>
        </w:rPr>
        <w:t xml:space="preserve"> </w:t>
      </w:r>
      <w:r>
        <w:t>to</w:t>
      </w:r>
      <w:r>
        <w:rPr>
          <w:spacing w:val="-6"/>
        </w:rPr>
        <w:t xml:space="preserve"> </w:t>
      </w:r>
      <w:r>
        <w:t>take</w:t>
      </w:r>
      <w:r>
        <w:rPr>
          <w:spacing w:val="-6"/>
        </w:rPr>
        <w:t xml:space="preserve"> </w:t>
      </w:r>
      <w:r>
        <w:t>an</w:t>
      </w:r>
      <w:r>
        <w:rPr>
          <w:spacing w:val="-6"/>
        </w:rPr>
        <w:t xml:space="preserve"> </w:t>
      </w:r>
      <w:r>
        <w:t>assessment</w:t>
      </w:r>
      <w:r>
        <w:rPr>
          <w:spacing w:val="-6"/>
        </w:rPr>
        <w:t xml:space="preserve"> </w:t>
      </w:r>
      <w:r>
        <w:t>but</w:t>
      </w:r>
      <w:r>
        <w:rPr>
          <w:spacing w:val="-6"/>
        </w:rPr>
        <w:t xml:space="preserve"> </w:t>
      </w:r>
      <w:r>
        <w:t>were</w:t>
      </w:r>
      <w:r>
        <w:rPr>
          <w:spacing w:val="-6"/>
        </w:rPr>
        <w:t xml:space="preserve"> </w:t>
      </w:r>
      <w:r>
        <w:t>absent</w:t>
      </w:r>
      <w:r>
        <w:rPr>
          <w:spacing w:val="-6"/>
        </w:rPr>
        <w:t xml:space="preserve"> </w:t>
      </w:r>
      <w:r>
        <w:t>from</w:t>
      </w:r>
      <w:r>
        <w:rPr>
          <w:spacing w:val="-6"/>
        </w:rPr>
        <w:t xml:space="preserve"> </w:t>
      </w:r>
      <w:r>
        <w:t>the</w:t>
      </w:r>
      <w:r>
        <w:rPr>
          <w:spacing w:val="-6"/>
        </w:rPr>
        <w:t xml:space="preserve"> </w:t>
      </w:r>
      <w:r>
        <w:t>initial</w:t>
      </w:r>
      <w:r>
        <w:rPr>
          <w:spacing w:val="-6"/>
        </w:rPr>
        <w:t xml:space="preserve"> </w:t>
      </w:r>
      <w:r>
        <w:t>session</w:t>
      </w:r>
      <w:r>
        <w:rPr>
          <w:spacing w:val="-6"/>
        </w:rPr>
        <w:t xml:space="preserve"> </w:t>
      </w:r>
      <w:r>
        <w:t>and</w:t>
      </w:r>
      <w:r>
        <w:rPr>
          <w:spacing w:val="-6"/>
        </w:rPr>
        <w:t xml:space="preserve"> </w:t>
      </w:r>
      <w:r>
        <w:t>the</w:t>
      </w:r>
      <w:r>
        <w:rPr>
          <w:spacing w:val="-6"/>
        </w:rPr>
        <w:t xml:space="preserve"> </w:t>
      </w:r>
      <w:r>
        <w:t>makeup</w:t>
      </w:r>
      <w:r>
        <w:rPr>
          <w:spacing w:val="-6"/>
        </w:rPr>
        <w:t xml:space="preserve"> </w:t>
      </w:r>
      <w:r>
        <w:t>session</w:t>
      </w:r>
      <w:r>
        <w:rPr>
          <w:spacing w:val="-6"/>
        </w:rPr>
        <w:t xml:space="preserve"> </w:t>
      </w:r>
      <w:r>
        <w:t>if</w:t>
      </w:r>
      <w:r>
        <w:rPr>
          <w:spacing w:val="-6"/>
        </w:rPr>
        <w:t xml:space="preserve"> </w:t>
      </w:r>
      <w:r>
        <w:t>one</w:t>
      </w:r>
      <w:r>
        <w:rPr>
          <w:spacing w:val="-6"/>
        </w:rPr>
        <w:t xml:space="preserve"> </w:t>
      </w:r>
      <w:r>
        <w:t>was</w:t>
      </w:r>
      <w:r>
        <w:rPr>
          <w:spacing w:val="-6"/>
        </w:rPr>
        <w:t xml:space="preserve"> </w:t>
      </w:r>
      <w:r>
        <w:t>offered.</w:t>
      </w:r>
      <w:r>
        <w:rPr>
          <w:spacing w:val="-6"/>
        </w:rPr>
        <w:t xml:space="preserve"> </w:t>
      </w:r>
      <w:r>
        <w:t>(Note,</w:t>
      </w:r>
      <w:r>
        <w:rPr>
          <w:spacing w:val="-6"/>
        </w:rPr>
        <w:t xml:space="preserve"> </w:t>
      </w:r>
      <w:r>
        <w:t>some</w:t>
      </w:r>
      <w:r>
        <w:rPr>
          <w:spacing w:val="-6"/>
        </w:rPr>
        <w:t xml:space="preserve"> </w:t>
      </w:r>
      <w:r>
        <w:t>schools, not all, had make-up sessions for students who were absent from the initial session.)</w:t>
      </w:r>
    </w:p>
    <w:p w:rsidR="003F5784" w14:paraId="0B580865" w14:textId="77777777">
      <w:pPr>
        <w:pStyle w:val="BodyText"/>
        <w:spacing w:before="209" w:line="232" w:lineRule="auto"/>
        <w:ind w:left="109"/>
      </w:pPr>
      <w:r>
        <w:t>Excluded</w:t>
      </w:r>
      <w:r>
        <w:rPr>
          <w:spacing w:val="-6"/>
        </w:rPr>
        <w:t xml:space="preserve"> </w:t>
      </w:r>
      <w:r>
        <w:t>students</w:t>
      </w:r>
      <w:r>
        <w:rPr>
          <w:spacing w:val="-6"/>
        </w:rPr>
        <w:t xml:space="preserve"> </w:t>
      </w:r>
      <w:r>
        <w:t>were</w:t>
      </w:r>
      <w:r>
        <w:rPr>
          <w:spacing w:val="-6"/>
        </w:rPr>
        <w:t xml:space="preserve"> </w:t>
      </w:r>
      <w:r>
        <w:t>determined</w:t>
      </w:r>
      <w:r>
        <w:rPr>
          <w:spacing w:val="-6"/>
        </w:rPr>
        <w:t xml:space="preserve"> </w:t>
      </w:r>
      <w:r>
        <w:t>by</w:t>
      </w:r>
      <w:r>
        <w:rPr>
          <w:spacing w:val="-6"/>
        </w:rPr>
        <w:t xml:space="preserve"> </w:t>
      </w:r>
      <w:r>
        <w:t>their</w:t>
      </w:r>
      <w:r>
        <w:rPr>
          <w:spacing w:val="-6"/>
        </w:rPr>
        <w:t xml:space="preserve"> </w:t>
      </w:r>
      <w:r>
        <w:t>school</w:t>
      </w:r>
      <w:r>
        <w:rPr>
          <w:spacing w:val="-6"/>
        </w:rPr>
        <w:t xml:space="preserve"> </w:t>
      </w:r>
      <w:r>
        <w:t>to</w:t>
      </w:r>
      <w:r>
        <w:rPr>
          <w:spacing w:val="-6"/>
        </w:rPr>
        <w:t xml:space="preserve"> </w:t>
      </w:r>
      <w:r>
        <w:t>be</w:t>
      </w:r>
      <w:r>
        <w:rPr>
          <w:spacing w:val="-6"/>
        </w:rPr>
        <w:t xml:space="preserve"> </w:t>
      </w:r>
      <w:r>
        <w:t>unable</w:t>
      </w:r>
      <w:r>
        <w:rPr>
          <w:spacing w:val="-6"/>
        </w:rPr>
        <w:t xml:space="preserve"> </w:t>
      </w:r>
      <w:r>
        <w:t>to</w:t>
      </w:r>
      <w:r>
        <w:rPr>
          <w:spacing w:val="-6"/>
        </w:rPr>
        <w:t xml:space="preserve"> </w:t>
      </w:r>
      <w:r>
        <w:t>meaningfully</w:t>
      </w:r>
      <w:r>
        <w:rPr>
          <w:spacing w:val="-6"/>
        </w:rPr>
        <w:t xml:space="preserve"> </w:t>
      </w:r>
      <w:r>
        <w:t>take</w:t>
      </w:r>
      <w:r>
        <w:rPr>
          <w:spacing w:val="-6"/>
        </w:rPr>
        <w:t xml:space="preserve"> </w:t>
      </w:r>
      <w:r>
        <w:t>the</w:t>
      </w:r>
      <w:r>
        <w:rPr>
          <w:spacing w:val="-6"/>
        </w:rPr>
        <w:t xml:space="preserve"> </w:t>
      </w:r>
      <w:r>
        <w:t>NAEP</w:t>
      </w:r>
      <w:r>
        <w:rPr>
          <w:spacing w:val="-14"/>
        </w:rPr>
        <w:t xml:space="preserve"> </w:t>
      </w:r>
      <w:r>
        <w:t>assessment</w:t>
      </w:r>
      <w:r>
        <w:rPr>
          <w:spacing w:val="-5"/>
        </w:rPr>
        <w:t xml:space="preserve"> </w:t>
      </w:r>
      <w:r>
        <w:t>in</w:t>
      </w:r>
      <w:r>
        <w:rPr>
          <w:spacing w:val="-6"/>
        </w:rPr>
        <w:t xml:space="preserve"> </w:t>
      </w:r>
      <w:r>
        <w:t>their</w:t>
      </w:r>
      <w:r>
        <w:rPr>
          <w:spacing w:val="-6"/>
        </w:rPr>
        <w:t xml:space="preserve"> </w:t>
      </w:r>
      <w:r>
        <w:t>assigned</w:t>
      </w:r>
      <w:r>
        <w:rPr>
          <w:spacing w:val="-6"/>
        </w:rPr>
        <w:t xml:space="preserve"> </w:t>
      </w:r>
      <w:r>
        <w:t>subject,</w:t>
      </w:r>
      <w:r>
        <w:rPr>
          <w:spacing w:val="-6"/>
        </w:rPr>
        <w:t xml:space="preserve"> </w:t>
      </w:r>
      <w:r>
        <w:t>even</w:t>
      </w:r>
      <w:r>
        <w:rPr>
          <w:spacing w:val="-6"/>
        </w:rPr>
        <w:t xml:space="preserve"> </w:t>
      </w:r>
      <w:r>
        <w:t>with</w:t>
      </w:r>
      <w:r>
        <w:rPr>
          <w:spacing w:val="-6"/>
        </w:rPr>
        <w:t xml:space="preserve"> </w:t>
      </w:r>
      <w:r>
        <w:t>an</w:t>
      </w:r>
      <w:r>
        <w:rPr>
          <w:spacing w:val="-6"/>
        </w:rPr>
        <w:t xml:space="preserve"> </w:t>
      </w:r>
      <w:r>
        <w:t>accommodation.</w:t>
      </w:r>
      <w:r>
        <w:rPr>
          <w:spacing w:val="-6"/>
        </w:rPr>
        <w:t xml:space="preserve"> </w:t>
      </w:r>
      <w:r>
        <w:t>Excluded students must also be classified as SD and/or EL.</w:t>
      </w:r>
    </w:p>
    <w:p w:rsidR="003F5784" w14:paraId="4B46CCB4" w14:textId="77777777">
      <w:pPr>
        <w:pStyle w:val="BodyText"/>
        <w:spacing w:before="204" w:line="439" w:lineRule="auto"/>
        <w:ind w:left="109" w:right="2245"/>
      </w:pPr>
      <w:r>
        <w:t>Withdrawn</w:t>
      </w:r>
      <w:r>
        <w:rPr>
          <w:spacing w:val="-8"/>
        </w:rPr>
        <w:t xml:space="preserve"> </w:t>
      </w:r>
      <w:r>
        <w:t>or</w:t>
      </w:r>
      <w:r>
        <w:rPr>
          <w:spacing w:val="-8"/>
        </w:rPr>
        <w:t xml:space="preserve"> </w:t>
      </w:r>
      <w:r>
        <w:t>graduated</w:t>
      </w:r>
      <w:r>
        <w:rPr>
          <w:spacing w:val="-8"/>
        </w:rPr>
        <w:t xml:space="preserve"> </w:t>
      </w:r>
      <w:r>
        <w:t>students</w:t>
      </w:r>
      <w:r>
        <w:rPr>
          <w:spacing w:val="-8"/>
        </w:rPr>
        <w:t xml:space="preserve"> </w:t>
      </w:r>
      <w:r>
        <w:t>are</w:t>
      </w:r>
      <w:r>
        <w:rPr>
          <w:spacing w:val="-8"/>
        </w:rPr>
        <w:t xml:space="preserve"> </w:t>
      </w:r>
      <w:r>
        <w:t>those</w:t>
      </w:r>
      <w:r>
        <w:rPr>
          <w:spacing w:val="-8"/>
        </w:rPr>
        <w:t xml:space="preserve"> </w:t>
      </w:r>
      <w:r>
        <w:t>who</w:t>
      </w:r>
      <w:r>
        <w:rPr>
          <w:spacing w:val="-8"/>
        </w:rPr>
        <w:t xml:space="preserve"> </w:t>
      </w:r>
      <w:r>
        <w:t>have</w:t>
      </w:r>
      <w:r>
        <w:rPr>
          <w:spacing w:val="-8"/>
        </w:rPr>
        <w:t xml:space="preserve"> </w:t>
      </w:r>
      <w:r>
        <w:t>left</w:t>
      </w:r>
      <w:r>
        <w:rPr>
          <w:spacing w:val="-8"/>
        </w:rPr>
        <w:t xml:space="preserve"> </w:t>
      </w:r>
      <w:r>
        <w:t>the</w:t>
      </w:r>
      <w:r>
        <w:rPr>
          <w:spacing w:val="-8"/>
        </w:rPr>
        <w:t xml:space="preserve"> </w:t>
      </w:r>
      <w:r>
        <w:t>school</w:t>
      </w:r>
      <w:r>
        <w:rPr>
          <w:spacing w:val="-8"/>
        </w:rPr>
        <w:t xml:space="preserve"> </w:t>
      </w:r>
      <w:r>
        <w:t>before</w:t>
      </w:r>
      <w:r>
        <w:rPr>
          <w:spacing w:val="-8"/>
        </w:rPr>
        <w:t xml:space="preserve"> </w:t>
      </w:r>
      <w:r>
        <w:t>the</w:t>
      </w:r>
      <w:r>
        <w:rPr>
          <w:spacing w:val="-8"/>
        </w:rPr>
        <w:t xml:space="preserve"> </w:t>
      </w:r>
      <w:r>
        <w:t>original</w:t>
      </w:r>
      <w:r>
        <w:rPr>
          <w:spacing w:val="-8"/>
        </w:rPr>
        <w:t xml:space="preserve"> </w:t>
      </w:r>
      <w:r>
        <w:t>assessment.</w:t>
      </w:r>
      <w:r>
        <w:rPr>
          <w:spacing w:val="-11"/>
        </w:rPr>
        <w:t xml:space="preserve"> </w:t>
      </w:r>
      <w:r>
        <w:t>These</w:t>
      </w:r>
      <w:r>
        <w:rPr>
          <w:spacing w:val="-8"/>
        </w:rPr>
        <w:t xml:space="preserve"> </w:t>
      </w:r>
      <w:r>
        <w:t>students</w:t>
      </w:r>
      <w:r>
        <w:rPr>
          <w:spacing w:val="-8"/>
        </w:rPr>
        <w:t xml:space="preserve"> </w:t>
      </w:r>
      <w:r>
        <w:t>are</w:t>
      </w:r>
      <w:r>
        <w:rPr>
          <w:spacing w:val="-8"/>
        </w:rPr>
        <w:t xml:space="preserve"> </w:t>
      </w:r>
      <w:r>
        <w:t>considered</w:t>
      </w:r>
      <w:r>
        <w:rPr>
          <w:spacing w:val="-8"/>
        </w:rPr>
        <w:t xml:space="preserve"> </w:t>
      </w:r>
      <w:r>
        <w:t>ineligible</w:t>
      </w:r>
      <w:r>
        <w:rPr>
          <w:spacing w:val="-8"/>
        </w:rPr>
        <w:t xml:space="preserve"> </w:t>
      </w:r>
      <w:r>
        <w:t>for</w:t>
      </w:r>
      <w:r>
        <w:rPr>
          <w:spacing w:val="-8"/>
        </w:rPr>
        <w:t xml:space="preserve"> </w:t>
      </w:r>
      <w:r>
        <w:t>NAEP. Full-time remote students are enrolled in brick-and-mortar schools but do not attend school in person.</w:t>
      </w:r>
      <w:r>
        <w:rPr>
          <w:spacing w:val="-3"/>
        </w:rPr>
        <w:t xml:space="preserve"> </w:t>
      </w:r>
      <w:r>
        <w:t>They are considered not assessable for NAEP.</w:t>
      </w:r>
    </w:p>
    <w:p w:rsidR="003F5784" w14:paraId="7627F033" w14:textId="77777777">
      <w:pPr>
        <w:pStyle w:val="BodyText"/>
      </w:pPr>
    </w:p>
    <w:p w:rsidR="003F5784" w14:paraId="7536DA6C" w14:textId="77777777">
      <w:pPr>
        <w:pStyle w:val="BodyText"/>
        <w:spacing w:before="186"/>
      </w:pPr>
    </w:p>
    <w:p w:rsidR="003F5784" w14:paraId="546651DA" w14:textId="77777777">
      <w:pPr>
        <w:ind w:left="1092"/>
        <w:rPr>
          <w:sz w:val="18"/>
        </w:rPr>
      </w:pPr>
      <w:hyperlink r:id="rId55">
        <w:r>
          <w:rPr>
            <w:spacing w:val="-2"/>
            <w:w w:val="105"/>
            <w:sz w:val="18"/>
          </w:rPr>
          <w:t>http://nces.ed.gov/nationsreportcard/tdw/sample_design/2022/school_and_student_participation_in_the_2022_eighth_grade_public_school_nat_assess_in_civics_and_us_history.aspx</w:t>
        </w:r>
      </w:hyperlink>
    </w:p>
    <w:p w:rsidR="003F5784" w14:paraId="745EF255" w14:textId="77777777">
      <w:pPr>
        <w:pStyle w:val="BodyText"/>
        <w:rPr>
          <w:sz w:val="16"/>
        </w:rPr>
      </w:pPr>
      <w:r>
        <w:rPr>
          <w:noProof/>
        </w:rPr>
        <mc:AlternateContent>
          <mc:Choice Requires="wps">
            <w:drawing>
              <wp:anchor distT="0" distB="0" distL="0" distR="0" simplePos="0" relativeHeight="251769856" behindDoc="1" locked="0" layoutInCell="1" allowOverlap="1">
                <wp:simplePos x="0" y="0"/>
                <wp:positionH relativeFrom="page">
                  <wp:posOffset>361937</wp:posOffset>
                </wp:positionH>
                <wp:positionV relativeFrom="paragraph">
                  <wp:posOffset>132548</wp:posOffset>
                </wp:positionV>
                <wp:extent cx="9339580" cy="8890"/>
                <wp:effectExtent l="0" t="0" r="0" b="0"/>
                <wp:wrapTopAndBottom/>
                <wp:docPr id="72" name="Graphic 72"/>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80"/>
                              </a:lnTo>
                              <a:lnTo>
                                <a:pt x="9335110" y="8293"/>
                              </a:lnTo>
                              <a:lnTo>
                                <a:pt x="9338970" y="8293"/>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72" o:spid="_x0000_s1054" style="width:735.4pt;height:0.7pt;margin-top:10.45pt;margin-left:28.5pt;mso-position-horizontal-relative:page;mso-wrap-distance-bottom:0;mso-wrap-distance-left:0;mso-wrap-distance-right:0;mso-wrap-distance-top:0;mso-wrap-style:square;position:absolute;visibility:visible;v-text-anchor:top;z-index:-251545600" coordsize="9339580,8890" path="m9338970,12l9335110,12l8280,12,,,,8280l9335110,8293l9338970,8293l9338970,12xe" fillcolor="gray" stroked="f">
                <v:path arrowok="t"/>
                <w10:wrap type="topAndBottom"/>
              </v:shape>
            </w:pict>
          </mc:Fallback>
        </mc:AlternateContent>
      </w:r>
    </w:p>
    <w:p w:rsidR="003F5784" w14:paraId="7983946C" w14:textId="77777777">
      <w:pPr>
        <w:pStyle w:val="BodyText"/>
        <w:rPr>
          <w:sz w:val="18"/>
        </w:rPr>
      </w:pPr>
    </w:p>
    <w:p w:rsidR="003F5784" w14:paraId="47E1E2A7" w14:textId="77777777">
      <w:pPr>
        <w:pStyle w:val="BodyText"/>
        <w:spacing w:before="193"/>
        <w:rPr>
          <w:sz w:val="18"/>
        </w:rPr>
      </w:pPr>
    </w:p>
    <w:p w:rsidR="003F5784" w14:paraId="3FC0FE67" w14:textId="486F28F0">
      <w:pPr>
        <w:pStyle w:val="Heading1"/>
        <w:spacing w:line="244" w:lineRule="auto"/>
        <w:ind w:right="1003"/>
      </w:pPr>
      <w:r>
        <w:t>NAEP</w:t>
      </w:r>
      <w:r>
        <w:rPr>
          <w:spacing w:val="-18"/>
        </w:rPr>
        <w:t xml:space="preserve"> </w:t>
      </w:r>
      <w:r>
        <w:t>Technical Documentation</w:t>
      </w:r>
      <w:r w:rsidR="004833F9">
        <w:t xml:space="preserve"> </w:t>
      </w:r>
      <w:r>
        <w:t>Weighted School Response Rates for the 2022 Eighth-Grade</w:t>
      </w:r>
      <w:r>
        <w:rPr>
          <w:spacing w:val="40"/>
        </w:rPr>
        <w:t xml:space="preserve"> </w:t>
      </w:r>
      <w:r>
        <w:t>Public</w:t>
      </w:r>
      <w:r>
        <w:rPr>
          <w:spacing w:val="40"/>
        </w:rPr>
        <w:t xml:space="preserve"> </w:t>
      </w:r>
      <w:r>
        <w:t>School</w:t>
      </w:r>
      <w:r>
        <w:rPr>
          <w:spacing w:val="40"/>
        </w:rPr>
        <w:t xml:space="preserve"> </w:t>
      </w:r>
      <w:r>
        <w:t>National Assessment</w:t>
      </w:r>
      <w:r>
        <w:rPr>
          <w:spacing w:val="40"/>
        </w:rPr>
        <w:t xml:space="preserve"> </w:t>
      </w:r>
      <w:r>
        <w:t>in</w:t>
      </w:r>
      <w:r>
        <w:rPr>
          <w:spacing w:val="40"/>
        </w:rPr>
        <w:t xml:space="preserve"> </w:t>
      </w:r>
      <w:r>
        <w:t>Civics</w:t>
      </w:r>
      <w:r>
        <w:rPr>
          <w:spacing w:val="40"/>
        </w:rPr>
        <w:t xml:space="preserve"> </w:t>
      </w:r>
      <w:r>
        <w:t>and</w:t>
      </w:r>
      <w:r>
        <w:rPr>
          <w:spacing w:val="40"/>
        </w:rPr>
        <w:t xml:space="preserve"> </w:t>
      </w:r>
      <w:r>
        <w:t>U.S.</w:t>
      </w:r>
      <w:r>
        <w:rPr>
          <w:spacing w:val="40"/>
        </w:rPr>
        <w:t xml:space="preserve"> </w:t>
      </w:r>
      <w:r>
        <w:t>History</w:t>
      </w:r>
    </w:p>
    <w:p w:rsidR="003F5784" w14:paraId="69EC982C" w14:textId="77777777">
      <w:pPr>
        <w:pStyle w:val="BodyText"/>
        <w:spacing w:before="287" w:line="232" w:lineRule="auto"/>
        <w:ind w:left="109"/>
      </w:pPr>
      <w:r>
        <w:t>The</w:t>
      </w:r>
      <w:r>
        <w:rPr>
          <w:spacing w:val="-7"/>
        </w:rPr>
        <w:t xml:space="preserve"> </w:t>
      </w:r>
      <w:r>
        <w:t>following</w:t>
      </w:r>
      <w:r>
        <w:rPr>
          <w:spacing w:val="-7"/>
        </w:rPr>
        <w:t xml:space="preserve"> </w:t>
      </w:r>
      <w:r>
        <w:t>table</w:t>
      </w:r>
      <w:r>
        <w:rPr>
          <w:spacing w:val="-7"/>
        </w:rPr>
        <w:t xml:space="preserve"> </w:t>
      </w:r>
      <w:r>
        <w:t>presents</w:t>
      </w:r>
      <w:r>
        <w:rPr>
          <w:spacing w:val="-7"/>
        </w:rPr>
        <w:t xml:space="preserve"> </w:t>
      </w:r>
      <w:r>
        <w:t>unweighted</w:t>
      </w:r>
      <w:r>
        <w:rPr>
          <w:spacing w:val="-7"/>
        </w:rPr>
        <w:t xml:space="preserve"> </w:t>
      </w:r>
      <w:r>
        <w:t>counts</w:t>
      </w:r>
      <w:r>
        <w:rPr>
          <w:spacing w:val="-7"/>
        </w:rPr>
        <w:t xml:space="preserve"> </w:t>
      </w:r>
      <w:r>
        <w:t>of</w:t>
      </w:r>
      <w:r>
        <w:rPr>
          <w:spacing w:val="-7"/>
        </w:rPr>
        <w:t xml:space="preserve"> </w:t>
      </w:r>
      <w:r>
        <w:t>eligible</w:t>
      </w:r>
      <w:r>
        <w:rPr>
          <w:spacing w:val="-7"/>
        </w:rPr>
        <w:t xml:space="preserve"> </w:t>
      </w:r>
      <w:r>
        <w:t>sampled</w:t>
      </w:r>
      <w:r>
        <w:rPr>
          <w:spacing w:val="-7"/>
        </w:rPr>
        <w:t xml:space="preserve"> </w:t>
      </w:r>
      <w:r>
        <w:t>and</w:t>
      </w:r>
      <w:r>
        <w:rPr>
          <w:spacing w:val="-7"/>
        </w:rPr>
        <w:t xml:space="preserve"> </w:t>
      </w:r>
      <w:r>
        <w:t>participating</w:t>
      </w:r>
      <w:r>
        <w:rPr>
          <w:spacing w:val="-7"/>
        </w:rPr>
        <w:t xml:space="preserve"> </w:t>
      </w:r>
      <w:r>
        <w:t>schools</w:t>
      </w:r>
      <w:r>
        <w:rPr>
          <w:spacing w:val="-7"/>
        </w:rPr>
        <w:t xml:space="preserve"> </w:t>
      </w:r>
      <w:r>
        <w:t>and</w:t>
      </w:r>
      <w:r>
        <w:rPr>
          <w:spacing w:val="-7"/>
        </w:rPr>
        <w:t xml:space="preserve"> </w:t>
      </w:r>
      <w:r>
        <w:t>weighted</w:t>
      </w:r>
      <w:r>
        <w:rPr>
          <w:spacing w:val="-7"/>
        </w:rPr>
        <w:t xml:space="preserve"> </w:t>
      </w:r>
      <w:r>
        <w:t>school</w:t>
      </w:r>
      <w:r>
        <w:rPr>
          <w:spacing w:val="-7"/>
        </w:rPr>
        <w:t xml:space="preserve"> </w:t>
      </w:r>
      <w:r>
        <w:t>response</w:t>
      </w:r>
      <w:r>
        <w:rPr>
          <w:spacing w:val="-7"/>
        </w:rPr>
        <w:t xml:space="preserve"> </w:t>
      </w:r>
      <w:r>
        <w:t>rates,</w:t>
      </w:r>
      <w:r>
        <w:rPr>
          <w:spacing w:val="-7"/>
        </w:rPr>
        <w:t xml:space="preserve"> </w:t>
      </w:r>
      <w:r>
        <w:t>by</w:t>
      </w:r>
      <w:r>
        <w:rPr>
          <w:spacing w:val="-7"/>
        </w:rPr>
        <w:t xml:space="preserve"> </w:t>
      </w:r>
      <w:r>
        <w:t>census</w:t>
      </w:r>
      <w:r>
        <w:rPr>
          <w:spacing w:val="-7"/>
        </w:rPr>
        <w:t xml:space="preserve"> </w:t>
      </w:r>
      <w:r>
        <w:t>region,</w:t>
      </w:r>
      <w:r>
        <w:rPr>
          <w:spacing w:val="-7"/>
        </w:rPr>
        <w:t xml:space="preserve"> </w:t>
      </w:r>
      <w:r>
        <w:t>for</w:t>
      </w:r>
      <w:r>
        <w:rPr>
          <w:spacing w:val="-7"/>
        </w:rPr>
        <w:t xml:space="preserve"> </w:t>
      </w:r>
      <w:r>
        <w:t>the</w:t>
      </w:r>
      <w:r>
        <w:rPr>
          <w:spacing w:val="-7"/>
        </w:rPr>
        <w:t xml:space="preserve"> </w:t>
      </w:r>
      <w:r>
        <w:t>eighth-grade</w:t>
      </w:r>
      <w:r>
        <w:rPr>
          <w:spacing w:val="-7"/>
        </w:rPr>
        <w:t xml:space="preserve"> </w:t>
      </w:r>
      <w:r>
        <w:t>public school national civics and U.S. history samples.</w:t>
      </w:r>
    </w:p>
    <w:p w:rsidR="003F5784" w14:paraId="3496B942" w14:textId="77777777">
      <w:pPr>
        <w:pStyle w:val="BodyText"/>
        <w:spacing w:before="209" w:line="232" w:lineRule="auto"/>
        <w:ind w:left="109" w:right="318"/>
      </w:pPr>
      <w:r>
        <w:t>A</w:t>
      </w:r>
      <w:r>
        <w:rPr>
          <w:spacing w:val="-14"/>
        </w:rPr>
        <w:t xml:space="preserve"> </w:t>
      </w:r>
      <w:r>
        <w:t>weighted</w:t>
      </w:r>
      <w:r>
        <w:rPr>
          <w:spacing w:val="-8"/>
        </w:rPr>
        <w:t xml:space="preserve"> </w:t>
      </w:r>
      <w:r>
        <w:t>school</w:t>
      </w:r>
      <w:r>
        <w:rPr>
          <w:spacing w:val="-6"/>
        </w:rPr>
        <w:t xml:space="preserve"> </w:t>
      </w:r>
      <w:r>
        <w:t>response</w:t>
      </w:r>
      <w:r>
        <w:rPr>
          <w:spacing w:val="-6"/>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6"/>
        </w:rPr>
        <w:t xml:space="preserve"> </w:t>
      </w:r>
      <w:r>
        <w:t>of</w:t>
      </w:r>
      <w:r>
        <w:rPr>
          <w:spacing w:val="-6"/>
        </w:rPr>
        <w:t xml:space="preserve"> </w:t>
      </w:r>
      <w:r>
        <w:t>the</w:t>
      </w:r>
      <w:r>
        <w:rPr>
          <w:spacing w:val="-6"/>
        </w:rPr>
        <w:t xml:space="preserve"> </w:t>
      </w:r>
      <w:r>
        <w:t>student</w:t>
      </w:r>
      <w:r>
        <w:rPr>
          <w:spacing w:val="-6"/>
        </w:rPr>
        <w:t xml:space="preserve"> </w:t>
      </w:r>
      <w:r>
        <w:t>population</w:t>
      </w:r>
      <w:r>
        <w:rPr>
          <w:spacing w:val="-6"/>
        </w:rPr>
        <w:t xml:space="preserve"> </w:t>
      </w:r>
      <w:r>
        <w:t>that</w:t>
      </w:r>
      <w:r>
        <w:rPr>
          <w:spacing w:val="-6"/>
        </w:rPr>
        <w:t xml:space="preserve"> </w:t>
      </w:r>
      <w:r>
        <w:t>is</w:t>
      </w:r>
      <w:r>
        <w:rPr>
          <w:spacing w:val="-6"/>
        </w:rPr>
        <w:t xml:space="preserve"> </w:t>
      </w:r>
      <w:r>
        <w:t>directly</w:t>
      </w:r>
      <w:r>
        <w:rPr>
          <w:spacing w:val="-6"/>
        </w:rPr>
        <w:t xml:space="preserve"> </w:t>
      </w:r>
      <w:r>
        <w:t>represented</w:t>
      </w:r>
      <w:r>
        <w:rPr>
          <w:spacing w:val="-6"/>
        </w:rPr>
        <w:t xml:space="preserve"> </w:t>
      </w:r>
      <w:r>
        <w:t>by</w:t>
      </w:r>
      <w:r>
        <w:rPr>
          <w:spacing w:val="-6"/>
        </w:rPr>
        <w:t xml:space="preserve"> </w:t>
      </w:r>
      <w:r>
        <w:t>the</w:t>
      </w:r>
      <w:r>
        <w:rPr>
          <w:spacing w:val="-6"/>
        </w:rPr>
        <w:t xml:space="preserve"> </w:t>
      </w:r>
      <w:r>
        <w:t>participating</w:t>
      </w:r>
      <w:r>
        <w:rPr>
          <w:spacing w:val="-6"/>
        </w:rPr>
        <w:t xml:space="preserve"> </w:t>
      </w:r>
      <w:r>
        <w:t>school</w:t>
      </w:r>
      <w:r>
        <w:rPr>
          <w:spacing w:val="-6"/>
        </w:rPr>
        <w:t xml:space="preserve"> </w:t>
      </w:r>
      <w:r>
        <w:t>sample.</w:t>
      </w:r>
      <w:r>
        <w:rPr>
          <w:spacing w:val="-10"/>
        </w:rPr>
        <w:t xml:space="preserve"> </w:t>
      </w:r>
      <w:r>
        <w:t>These</w:t>
      </w:r>
      <w:r>
        <w:rPr>
          <w:spacing w:val="-6"/>
        </w:rPr>
        <w:t xml:space="preserve"> </w:t>
      </w:r>
      <w:r>
        <w:t>response</w:t>
      </w:r>
      <w:r>
        <w:rPr>
          <w:spacing w:val="-6"/>
        </w:rPr>
        <w:t xml:space="preserve"> </w:t>
      </w:r>
      <w:r>
        <w:t>rates</w:t>
      </w:r>
      <w:r>
        <w:rPr>
          <w:spacing w:val="-6"/>
        </w:rPr>
        <w:t xml:space="preserve"> </w:t>
      </w:r>
      <w:r>
        <w:t>are based on the original sample of schools (excluding substitutes).</w:t>
      </w:r>
    </w:p>
    <w:p w:rsidR="003F5784" w14:paraId="154DFAB0" w14:textId="77777777">
      <w:pPr>
        <w:pStyle w:val="BodyText"/>
        <w:spacing w:before="98"/>
      </w:pPr>
    </w:p>
    <w:p w:rsidR="003F5784" w14:paraId="6B96E004" w14:textId="77777777">
      <w:pPr>
        <w:pStyle w:val="Heading2"/>
        <w:spacing w:line="232" w:lineRule="auto"/>
        <w:ind w:right="179"/>
      </w:pPr>
      <w:r>
        <w:t>Eligible</w:t>
      </w:r>
      <w:r>
        <w:rPr>
          <w:spacing w:val="-7"/>
        </w:rPr>
        <w:t xml:space="preserve"> </w:t>
      </w:r>
      <w:r>
        <w:t>and</w:t>
      </w:r>
      <w:r>
        <w:rPr>
          <w:spacing w:val="-7"/>
        </w:rPr>
        <w:t xml:space="preserve"> </w:t>
      </w:r>
      <w:r>
        <w:t>participating</w:t>
      </w:r>
      <w:r>
        <w:rPr>
          <w:spacing w:val="-7"/>
        </w:rPr>
        <w:t xml:space="preserve"> </w:t>
      </w:r>
      <w:r>
        <w:t>school</w:t>
      </w:r>
      <w:r>
        <w:rPr>
          <w:spacing w:val="-7"/>
        </w:rPr>
        <w:t xml:space="preserve"> </w:t>
      </w:r>
      <w:r>
        <w:t>counts</w:t>
      </w:r>
      <w:r>
        <w:rPr>
          <w:spacing w:val="-7"/>
        </w:rPr>
        <w:t xml:space="preserve"> </w:t>
      </w:r>
      <w:r>
        <w:t>and</w:t>
      </w:r>
      <w:r>
        <w:rPr>
          <w:spacing w:val="-7"/>
        </w:rPr>
        <w:t xml:space="preserve"> </w:t>
      </w:r>
      <w:r>
        <w:t>weighted</w:t>
      </w:r>
      <w:r>
        <w:rPr>
          <w:spacing w:val="-7"/>
        </w:rPr>
        <w:t xml:space="preserve"> </w:t>
      </w:r>
      <w:r>
        <w:t>school</w:t>
      </w:r>
      <w:r>
        <w:rPr>
          <w:spacing w:val="-7"/>
        </w:rPr>
        <w:t xml:space="preserve"> </w:t>
      </w:r>
      <w:r>
        <w:t>response</w:t>
      </w:r>
      <w:r>
        <w:rPr>
          <w:spacing w:val="-7"/>
        </w:rPr>
        <w:t xml:space="preserve"> </w:t>
      </w:r>
      <w:r>
        <w:t>rates</w:t>
      </w:r>
      <w:r>
        <w:rPr>
          <w:spacing w:val="-7"/>
        </w:rPr>
        <w:t xml:space="preserve"> </w:t>
      </w:r>
      <w:r>
        <w:t>for</w:t>
      </w:r>
      <w:r>
        <w:rPr>
          <w:spacing w:val="-11"/>
        </w:rPr>
        <w:t xml:space="preserve"> </w:t>
      </w:r>
      <w:r>
        <w:t>eighth-grade</w:t>
      </w:r>
      <w:r>
        <w:rPr>
          <w:spacing w:val="-7"/>
        </w:rPr>
        <w:t xml:space="preserve"> </w:t>
      </w:r>
      <w:r>
        <w:t>public</w:t>
      </w:r>
      <w:r>
        <w:rPr>
          <w:spacing w:val="-7"/>
        </w:rPr>
        <w:t xml:space="preserve"> </w:t>
      </w:r>
      <w:r>
        <w:t>schools,</w:t>
      </w:r>
      <w:r>
        <w:rPr>
          <w:spacing w:val="-7"/>
        </w:rPr>
        <w:t xml:space="preserve"> </w:t>
      </w:r>
      <w:r>
        <w:t>national</w:t>
      </w:r>
      <w:r>
        <w:rPr>
          <w:spacing w:val="-7"/>
        </w:rPr>
        <w:t xml:space="preserve"> </w:t>
      </w:r>
      <w:r>
        <w:t>civics</w:t>
      </w:r>
      <w:r>
        <w:rPr>
          <w:spacing w:val="-7"/>
        </w:rPr>
        <w:t xml:space="preserve"> </w:t>
      </w:r>
      <w:r>
        <w:t>and</w:t>
      </w:r>
      <w:r>
        <w:rPr>
          <w:spacing w:val="-7"/>
        </w:rPr>
        <w:t xml:space="preserve"> </w:t>
      </w:r>
      <w:r>
        <w:t>U.S.</w:t>
      </w:r>
      <w:r>
        <w:rPr>
          <w:spacing w:val="-7"/>
        </w:rPr>
        <w:t xml:space="preserve"> </w:t>
      </w:r>
      <w:r>
        <w:t>history</w:t>
      </w:r>
      <w:r>
        <w:rPr>
          <w:spacing w:val="-7"/>
        </w:rPr>
        <w:t xml:space="preserve"> </w:t>
      </w:r>
      <w:r>
        <w:t>assessments,</w:t>
      </w:r>
      <w:r>
        <w:rPr>
          <w:spacing w:val="-7"/>
        </w:rPr>
        <w:t xml:space="preserve"> </w:t>
      </w:r>
      <w:r>
        <w:t>by census region: 2022</w:t>
      </w:r>
    </w:p>
    <w:p w:rsidR="003F5784" w14:paraId="161CEE7E" w14:textId="77777777">
      <w:pPr>
        <w:pStyle w:val="BodyText"/>
        <w:spacing w:before="1"/>
        <w:rPr>
          <w:b/>
          <w:sz w:val="12"/>
        </w:rPr>
      </w:pPr>
    </w:p>
    <w:tbl>
      <w:tblPr>
        <w:tblW w:w="0" w:type="auto"/>
        <w:tblInd w:w="482" w:type="dxa"/>
        <w:tblLayout w:type="fixed"/>
        <w:tblCellMar>
          <w:left w:w="0" w:type="dxa"/>
          <w:right w:w="0" w:type="dxa"/>
        </w:tblCellMar>
        <w:tblLook w:val="01E0"/>
      </w:tblPr>
      <w:tblGrid>
        <w:gridCol w:w="2011"/>
        <w:gridCol w:w="4200"/>
        <w:gridCol w:w="3745"/>
        <w:gridCol w:w="4028"/>
      </w:tblGrid>
      <w:tr w14:paraId="3C02E6F1" w14:textId="77777777">
        <w:tblPrEx>
          <w:tblW w:w="0" w:type="auto"/>
          <w:tblInd w:w="482" w:type="dxa"/>
          <w:tblLayout w:type="fixed"/>
          <w:tblCellMar>
            <w:left w:w="0" w:type="dxa"/>
            <w:right w:w="0" w:type="dxa"/>
          </w:tblCellMar>
          <w:tblLook w:val="01E0"/>
        </w:tblPrEx>
        <w:trPr>
          <w:trHeight w:val="267"/>
        </w:trPr>
        <w:tc>
          <w:tcPr>
            <w:tcW w:w="2011" w:type="dxa"/>
            <w:tcBorders>
              <w:top w:val="single" w:sz="18" w:space="0" w:color="800000"/>
              <w:bottom w:val="single" w:sz="18" w:space="0" w:color="800000"/>
            </w:tcBorders>
          </w:tcPr>
          <w:p w:rsidR="003F5784" w14:paraId="6EF6271F" w14:textId="77777777">
            <w:pPr>
              <w:pStyle w:val="TableParagraph"/>
              <w:spacing w:before="9" w:line="238" w:lineRule="exact"/>
              <w:ind w:left="120"/>
              <w:jc w:val="left"/>
              <w:rPr>
                <w:sz w:val="21"/>
              </w:rPr>
            </w:pPr>
            <w:r>
              <w:rPr>
                <w:sz w:val="21"/>
              </w:rPr>
              <w:t>Census</w:t>
            </w:r>
            <w:r>
              <w:rPr>
                <w:spacing w:val="-8"/>
                <w:sz w:val="21"/>
              </w:rPr>
              <w:t xml:space="preserve"> </w:t>
            </w:r>
            <w:r>
              <w:rPr>
                <w:spacing w:val="-2"/>
                <w:sz w:val="21"/>
              </w:rPr>
              <w:t>region</w:t>
            </w:r>
          </w:p>
        </w:tc>
        <w:tc>
          <w:tcPr>
            <w:tcW w:w="4200" w:type="dxa"/>
            <w:tcBorders>
              <w:top w:val="single" w:sz="18" w:space="0" w:color="800000"/>
              <w:bottom w:val="single" w:sz="18" w:space="0" w:color="800000"/>
            </w:tcBorders>
          </w:tcPr>
          <w:p w:rsidR="003F5784" w14:paraId="7447B7CF" w14:textId="77777777">
            <w:pPr>
              <w:pStyle w:val="TableParagraph"/>
              <w:spacing w:before="9" w:line="238" w:lineRule="exact"/>
              <w:ind w:right="482"/>
              <w:rPr>
                <w:sz w:val="21"/>
              </w:rPr>
            </w:pPr>
            <w:r>
              <w:rPr>
                <w:sz w:val="21"/>
              </w:rPr>
              <w:t>Number</w:t>
            </w:r>
            <w:r>
              <w:rPr>
                <w:spacing w:val="-7"/>
                <w:sz w:val="21"/>
              </w:rPr>
              <w:t xml:space="preserve"> </w:t>
            </w:r>
            <w:r>
              <w:rPr>
                <w:sz w:val="21"/>
              </w:rPr>
              <w:t>of</w:t>
            </w:r>
            <w:r>
              <w:rPr>
                <w:spacing w:val="-6"/>
                <w:sz w:val="21"/>
              </w:rPr>
              <w:t xml:space="preserve"> </w:t>
            </w:r>
            <w:r>
              <w:rPr>
                <w:sz w:val="21"/>
              </w:rPr>
              <w:t>eligible</w:t>
            </w:r>
            <w:r>
              <w:rPr>
                <w:spacing w:val="-7"/>
                <w:sz w:val="21"/>
              </w:rPr>
              <w:t xml:space="preserve"> </w:t>
            </w:r>
            <w:r>
              <w:rPr>
                <w:sz w:val="21"/>
              </w:rPr>
              <w:t>sampled</w:t>
            </w:r>
            <w:r>
              <w:rPr>
                <w:spacing w:val="-6"/>
                <w:sz w:val="21"/>
              </w:rPr>
              <w:t xml:space="preserve"> </w:t>
            </w:r>
            <w:r>
              <w:rPr>
                <w:spacing w:val="-2"/>
                <w:sz w:val="21"/>
              </w:rPr>
              <w:t>schools</w:t>
            </w:r>
          </w:p>
        </w:tc>
        <w:tc>
          <w:tcPr>
            <w:tcW w:w="3745" w:type="dxa"/>
            <w:tcBorders>
              <w:top w:val="single" w:sz="18" w:space="0" w:color="800000"/>
              <w:bottom w:val="single" w:sz="18" w:space="0" w:color="800000"/>
            </w:tcBorders>
          </w:tcPr>
          <w:p w:rsidR="003F5784" w14:paraId="7E638199" w14:textId="77777777">
            <w:pPr>
              <w:pStyle w:val="TableParagraph"/>
              <w:spacing w:before="9" w:line="238" w:lineRule="exact"/>
              <w:ind w:right="564"/>
              <w:rPr>
                <w:sz w:val="21"/>
              </w:rPr>
            </w:pPr>
            <w:r>
              <w:rPr>
                <w:sz w:val="21"/>
              </w:rPr>
              <w:t>Number</w:t>
            </w:r>
            <w:r>
              <w:rPr>
                <w:spacing w:val="-8"/>
                <w:sz w:val="21"/>
              </w:rPr>
              <w:t xml:space="preserve"> </w:t>
            </w:r>
            <w:r>
              <w:rPr>
                <w:sz w:val="21"/>
              </w:rPr>
              <w:t>of</w:t>
            </w:r>
            <w:r>
              <w:rPr>
                <w:spacing w:val="-7"/>
                <w:sz w:val="21"/>
              </w:rPr>
              <w:t xml:space="preserve"> </w:t>
            </w:r>
            <w:r>
              <w:rPr>
                <w:sz w:val="21"/>
              </w:rPr>
              <w:t>participating</w:t>
            </w:r>
            <w:r>
              <w:rPr>
                <w:spacing w:val="-8"/>
                <w:sz w:val="21"/>
              </w:rPr>
              <w:t xml:space="preserve"> </w:t>
            </w:r>
            <w:r>
              <w:rPr>
                <w:spacing w:val="-2"/>
                <w:sz w:val="21"/>
              </w:rPr>
              <w:t>schools</w:t>
            </w:r>
          </w:p>
        </w:tc>
        <w:tc>
          <w:tcPr>
            <w:tcW w:w="4028" w:type="dxa"/>
            <w:tcBorders>
              <w:top w:val="single" w:sz="18" w:space="0" w:color="800000"/>
              <w:bottom w:val="single" w:sz="18" w:space="0" w:color="800000"/>
            </w:tcBorders>
          </w:tcPr>
          <w:p w:rsidR="003F5784" w14:paraId="4A6FBF18" w14:textId="77777777">
            <w:pPr>
              <w:pStyle w:val="TableParagraph"/>
              <w:spacing w:before="9" w:line="238" w:lineRule="exact"/>
              <w:ind w:right="117"/>
              <w:rPr>
                <w:sz w:val="21"/>
              </w:rPr>
            </w:pPr>
            <w:r>
              <w:rPr>
                <w:sz w:val="21"/>
              </w:rPr>
              <w:t>Weighted</w:t>
            </w:r>
            <w:r>
              <w:rPr>
                <w:spacing w:val="-12"/>
                <w:sz w:val="21"/>
              </w:rPr>
              <w:t xml:space="preserve"> </w:t>
            </w:r>
            <w:r>
              <w:rPr>
                <w:sz w:val="21"/>
              </w:rPr>
              <w:t>school</w:t>
            </w:r>
            <w:r>
              <w:rPr>
                <w:spacing w:val="-11"/>
                <w:sz w:val="21"/>
              </w:rPr>
              <w:t xml:space="preserve"> </w:t>
            </w:r>
            <w:r>
              <w:rPr>
                <w:sz w:val="21"/>
              </w:rPr>
              <w:t>response</w:t>
            </w:r>
            <w:r>
              <w:rPr>
                <w:spacing w:val="-11"/>
                <w:sz w:val="21"/>
              </w:rPr>
              <w:t xml:space="preserve"> </w:t>
            </w:r>
            <w:r>
              <w:rPr>
                <w:sz w:val="21"/>
              </w:rPr>
              <w:t>rate</w:t>
            </w:r>
            <w:r>
              <w:rPr>
                <w:spacing w:val="-12"/>
                <w:sz w:val="21"/>
              </w:rPr>
              <w:t xml:space="preserve"> </w:t>
            </w:r>
            <w:r>
              <w:rPr>
                <w:spacing w:val="-2"/>
                <w:sz w:val="21"/>
              </w:rPr>
              <w:t>(percent)</w:t>
            </w:r>
          </w:p>
        </w:tc>
      </w:tr>
      <w:tr w14:paraId="13AF50C3" w14:textId="77777777">
        <w:tblPrEx>
          <w:tblW w:w="0" w:type="auto"/>
          <w:tblInd w:w="482" w:type="dxa"/>
          <w:tblLayout w:type="fixed"/>
          <w:tblCellMar>
            <w:left w:w="0" w:type="dxa"/>
            <w:right w:w="0" w:type="dxa"/>
          </w:tblCellMar>
          <w:tblLook w:val="01E0"/>
        </w:tblPrEx>
        <w:trPr>
          <w:trHeight w:val="278"/>
        </w:trPr>
        <w:tc>
          <w:tcPr>
            <w:tcW w:w="2011" w:type="dxa"/>
            <w:tcBorders>
              <w:top w:val="single" w:sz="18" w:space="0" w:color="800000"/>
            </w:tcBorders>
          </w:tcPr>
          <w:p w:rsidR="003F5784" w14:paraId="5662829E" w14:textId="77777777">
            <w:pPr>
              <w:pStyle w:val="TableParagraph"/>
              <w:spacing w:before="9"/>
              <w:ind w:left="370"/>
              <w:jc w:val="left"/>
              <w:rPr>
                <w:b/>
                <w:sz w:val="21"/>
              </w:rPr>
            </w:pPr>
            <w:r>
              <w:rPr>
                <w:b/>
                <w:spacing w:val="-2"/>
                <w:sz w:val="21"/>
              </w:rPr>
              <w:t>National</w:t>
            </w:r>
          </w:p>
        </w:tc>
        <w:tc>
          <w:tcPr>
            <w:tcW w:w="4200" w:type="dxa"/>
            <w:tcBorders>
              <w:top w:val="single" w:sz="18" w:space="0" w:color="800000"/>
            </w:tcBorders>
          </w:tcPr>
          <w:p w:rsidR="003F5784" w14:paraId="1C39C3CA" w14:textId="77777777">
            <w:pPr>
              <w:pStyle w:val="TableParagraph"/>
              <w:spacing w:before="9"/>
              <w:ind w:right="482"/>
              <w:rPr>
                <w:b/>
                <w:sz w:val="21"/>
              </w:rPr>
            </w:pPr>
            <w:r>
              <w:rPr>
                <w:b/>
                <w:spacing w:val="-5"/>
                <w:sz w:val="21"/>
              </w:rPr>
              <w:t>390</w:t>
            </w:r>
          </w:p>
        </w:tc>
        <w:tc>
          <w:tcPr>
            <w:tcW w:w="3745" w:type="dxa"/>
            <w:tcBorders>
              <w:top w:val="single" w:sz="18" w:space="0" w:color="800000"/>
            </w:tcBorders>
          </w:tcPr>
          <w:p w:rsidR="003F5784" w14:paraId="6F18CE6F" w14:textId="77777777">
            <w:pPr>
              <w:pStyle w:val="TableParagraph"/>
              <w:spacing w:before="9"/>
              <w:ind w:right="564"/>
              <w:rPr>
                <w:b/>
                <w:sz w:val="21"/>
              </w:rPr>
            </w:pPr>
            <w:r>
              <w:rPr>
                <w:b/>
                <w:spacing w:val="-5"/>
                <w:sz w:val="21"/>
              </w:rPr>
              <w:t>360</w:t>
            </w:r>
          </w:p>
        </w:tc>
        <w:tc>
          <w:tcPr>
            <w:tcW w:w="4028" w:type="dxa"/>
            <w:tcBorders>
              <w:top w:val="single" w:sz="18" w:space="0" w:color="800000"/>
            </w:tcBorders>
          </w:tcPr>
          <w:p w:rsidR="003F5784" w14:paraId="25B45F0E" w14:textId="77777777">
            <w:pPr>
              <w:pStyle w:val="TableParagraph"/>
              <w:spacing w:before="9"/>
              <w:ind w:right="117"/>
              <w:rPr>
                <w:b/>
                <w:sz w:val="21"/>
              </w:rPr>
            </w:pPr>
            <w:r>
              <w:rPr>
                <w:b/>
                <w:spacing w:val="-2"/>
                <w:sz w:val="21"/>
              </w:rPr>
              <w:t>91.00</w:t>
            </w:r>
          </w:p>
        </w:tc>
      </w:tr>
      <w:tr w14:paraId="7F5A8BD1" w14:textId="77777777">
        <w:tblPrEx>
          <w:tblW w:w="0" w:type="auto"/>
          <w:tblInd w:w="482" w:type="dxa"/>
          <w:tblLayout w:type="fixed"/>
          <w:tblCellMar>
            <w:left w:w="0" w:type="dxa"/>
            <w:right w:w="0" w:type="dxa"/>
          </w:tblCellMar>
          <w:tblLook w:val="01E0"/>
        </w:tblPrEx>
        <w:trPr>
          <w:trHeight w:val="286"/>
        </w:trPr>
        <w:tc>
          <w:tcPr>
            <w:tcW w:w="2011" w:type="dxa"/>
          </w:tcPr>
          <w:p w:rsidR="003F5784" w14:paraId="47BA16EA" w14:textId="77777777">
            <w:pPr>
              <w:pStyle w:val="TableParagraph"/>
              <w:ind w:left="120"/>
              <w:jc w:val="left"/>
              <w:rPr>
                <w:sz w:val="21"/>
              </w:rPr>
            </w:pPr>
            <w:r>
              <w:rPr>
                <w:spacing w:val="-2"/>
                <w:sz w:val="21"/>
              </w:rPr>
              <w:t>Northeast</w:t>
            </w:r>
          </w:p>
        </w:tc>
        <w:tc>
          <w:tcPr>
            <w:tcW w:w="4200" w:type="dxa"/>
          </w:tcPr>
          <w:p w:rsidR="003F5784" w14:paraId="490DF330" w14:textId="77777777">
            <w:pPr>
              <w:pStyle w:val="TableParagraph"/>
              <w:ind w:right="482"/>
              <w:rPr>
                <w:sz w:val="21"/>
              </w:rPr>
            </w:pPr>
            <w:r>
              <w:rPr>
                <w:spacing w:val="-5"/>
                <w:sz w:val="21"/>
              </w:rPr>
              <w:t>50</w:t>
            </w:r>
          </w:p>
        </w:tc>
        <w:tc>
          <w:tcPr>
            <w:tcW w:w="3745" w:type="dxa"/>
          </w:tcPr>
          <w:p w:rsidR="003F5784" w14:paraId="37374CA8" w14:textId="77777777">
            <w:pPr>
              <w:pStyle w:val="TableParagraph"/>
              <w:ind w:right="564"/>
              <w:rPr>
                <w:sz w:val="21"/>
              </w:rPr>
            </w:pPr>
            <w:r>
              <w:rPr>
                <w:spacing w:val="-5"/>
                <w:sz w:val="21"/>
              </w:rPr>
              <w:t>50</w:t>
            </w:r>
          </w:p>
        </w:tc>
        <w:tc>
          <w:tcPr>
            <w:tcW w:w="4028" w:type="dxa"/>
          </w:tcPr>
          <w:p w:rsidR="003F5784" w14:paraId="5F84A92A" w14:textId="77777777">
            <w:pPr>
              <w:pStyle w:val="TableParagraph"/>
              <w:ind w:right="117"/>
              <w:rPr>
                <w:sz w:val="21"/>
              </w:rPr>
            </w:pPr>
            <w:r>
              <w:rPr>
                <w:spacing w:val="-2"/>
                <w:sz w:val="21"/>
              </w:rPr>
              <w:t>87.13</w:t>
            </w:r>
          </w:p>
        </w:tc>
      </w:tr>
      <w:tr w14:paraId="7C127D32" w14:textId="77777777">
        <w:tblPrEx>
          <w:tblW w:w="0" w:type="auto"/>
          <w:tblInd w:w="482" w:type="dxa"/>
          <w:tblLayout w:type="fixed"/>
          <w:tblCellMar>
            <w:left w:w="0" w:type="dxa"/>
            <w:right w:w="0" w:type="dxa"/>
          </w:tblCellMar>
          <w:tblLook w:val="01E0"/>
        </w:tblPrEx>
        <w:trPr>
          <w:trHeight w:val="286"/>
        </w:trPr>
        <w:tc>
          <w:tcPr>
            <w:tcW w:w="2011" w:type="dxa"/>
          </w:tcPr>
          <w:p w:rsidR="003F5784" w14:paraId="4FB2CFC7" w14:textId="77777777">
            <w:pPr>
              <w:pStyle w:val="TableParagraph"/>
              <w:ind w:left="120"/>
              <w:jc w:val="left"/>
              <w:rPr>
                <w:sz w:val="21"/>
              </w:rPr>
            </w:pPr>
            <w:r>
              <w:rPr>
                <w:spacing w:val="-2"/>
                <w:sz w:val="21"/>
              </w:rPr>
              <w:t>Midwest</w:t>
            </w:r>
          </w:p>
        </w:tc>
        <w:tc>
          <w:tcPr>
            <w:tcW w:w="4200" w:type="dxa"/>
          </w:tcPr>
          <w:p w:rsidR="003F5784" w14:paraId="19D9F311" w14:textId="77777777">
            <w:pPr>
              <w:pStyle w:val="TableParagraph"/>
              <w:ind w:right="482"/>
              <w:rPr>
                <w:sz w:val="21"/>
              </w:rPr>
            </w:pPr>
            <w:r>
              <w:rPr>
                <w:spacing w:val="-5"/>
                <w:sz w:val="21"/>
              </w:rPr>
              <w:t>70</w:t>
            </w:r>
          </w:p>
        </w:tc>
        <w:tc>
          <w:tcPr>
            <w:tcW w:w="3745" w:type="dxa"/>
          </w:tcPr>
          <w:p w:rsidR="003F5784" w14:paraId="594E8A9F" w14:textId="77777777">
            <w:pPr>
              <w:pStyle w:val="TableParagraph"/>
              <w:ind w:right="564"/>
              <w:rPr>
                <w:sz w:val="21"/>
              </w:rPr>
            </w:pPr>
            <w:r>
              <w:rPr>
                <w:spacing w:val="-5"/>
                <w:sz w:val="21"/>
              </w:rPr>
              <w:t>70</w:t>
            </w:r>
          </w:p>
        </w:tc>
        <w:tc>
          <w:tcPr>
            <w:tcW w:w="4028" w:type="dxa"/>
          </w:tcPr>
          <w:p w:rsidR="003F5784" w14:paraId="3528DF7D" w14:textId="77777777">
            <w:pPr>
              <w:pStyle w:val="TableParagraph"/>
              <w:ind w:right="117"/>
              <w:rPr>
                <w:sz w:val="21"/>
              </w:rPr>
            </w:pPr>
            <w:r>
              <w:rPr>
                <w:spacing w:val="-2"/>
                <w:sz w:val="21"/>
              </w:rPr>
              <w:t>91.59</w:t>
            </w:r>
          </w:p>
        </w:tc>
      </w:tr>
      <w:tr w14:paraId="7740491F" w14:textId="77777777">
        <w:tblPrEx>
          <w:tblW w:w="0" w:type="auto"/>
          <w:tblInd w:w="482" w:type="dxa"/>
          <w:tblLayout w:type="fixed"/>
          <w:tblCellMar>
            <w:left w:w="0" w:type="dxa"/>
            <w:right w:w="0" w:type="dxa"/>
          </w:tblCellMar>
          <w:tblLook w:val="01E0"/>
        </w:tblPrEx>
        <w:trPr>
          <w:trHeight w:val="286"/>
        </w:trPr>
        <w:tc>
          <w:tcPr>
            <w:tcW w:w="2011" w:type="dxa"/>
          </w:tcPr>
          <w:p w:rsidR="003F5784" w14:paraId="6C59EF9B" w14:textId="77777777">
            <w:pPr>
              <w:pStyle w:val="TableParagraph"/>
              <w:ind w:left="120"/>
              <w:jc w:val="left"/>
              <w:rPr>
                <w:sz w:val="21"/>
              </w:rPr>
            </w:pPr>
            <w:r>
              <w:rPr>
                <w:spacing w:val="-2"/>
                <w:sz w:val="21"/>
              </w:rPr>
              <w:t>South</w:t>
            </w:r>
          </w:p>
        </w:tc>
        <w:tc>
          <w:tcPr>
            <w:tcW w:w="4200" w:type="dxa"/>
          </w:tcPr>
          <w:p w:rsidR="003F5784" w14:paraId="514A04AB" w14:textId="77777777">
            <w:pPr>
              <w:pStyle w:val="TableParagraph"/>
              <w:ind w:right="482"/>
              <w:rPr>
                <w:sz w:val="21"/>
              </w:rPr>
            </w:pPr>
            <w:r>
              <w:rPr>
                <w:spacing w:val="-5"/>
                <w:sz w:val="21"/>
              </w:rPr>
              <w:t>170</w:t>
            </w:r>
          </w:p>
        </w:tc>
        <w:tc>
          <w:tcPr>
            <w:tcW w:w="3745" w:type="dxa"/>
          </w:tcPr>
          <w:p w:rsidR="003F5784" w14:paraId="1FA1FB99" w14:textId="77777777">
            <w:pPr>
              <w:pStyle w:val="TableParagraph"/>
              <w:ind w:right="564"/>
              <w:rPr>
                <w:sz w:val="21"/>
              </w:rPr>
            </w:pPr>
            <w:r>
              <w:rPr>
                <w:spacing w:val="-5"/>
                <w:sz w:val="21"/>
              </w:rPr>
              <w:t>160</w:t>
            </w:r>
          </w:p>
        </w:tc>
        <w:tc>
          <w:tcPr>
            <w:tcW w:w="4028" w:type="dxa"/>
          </w:tcPr>
          <w:p w:rsidR="003F5784" w14:paraId="243DF081" w14:textId="77777777">
            <w:pPr>
              <w:pStyle w:val="TableParagraph"/>
              <w:ind w:right="117"/>
              <w:rPr>
                <w:sz w:val="21"/>
              </w:rPr>
            </w:pPr>
            <w:r>
              <w:rPr>
                <w:spacing w:val="-2"/>
                <w:sz w:val="21"/>
              </w:rPr>
              <w:t>96.50</w:t>
            </w:r>
          </w:p>
        </w:tc>
      </w:tr>
      <w:tr w14:paraId="1DAB96E4" w14:textId="77777777">
        <w:tblPrEx>
          <w:tblW w:w="0" w:type="auto"/>
          <w:tblInd w:w="482" w:type="dxa"/>
          <w:tblLayout w:type="fixed"/>
          <w:tblCellMar>
            <w:left w:w="0" w:type="dxa"/>
            <w:right w:w="0" w:type="dxa"/>
          </w:tblCellMar>
          <w:tblLook w:val="01E0"/>
        </w:tblPrEx>
        <w:trPr>
          <w:trHeight w:val="288"/>
        </w:trPr>
        <w:tc>
          <w:tcPr>
            <w:tcW w:w="2011" w:type="dxa"/>
            <w:tcBorders>
              <w:bottom w:val="single" w:sz="18" w:space="0" w:color="800000"/>
            </w:tcBorders>
          </w:tcPr>
          <w:p w:rsidR="003F5784" w14:paraId="7842164E" w14:textId="77777777">
            <w:pPr>
              <w:pStyle w:val="TableParagraph"/>
              <w:ind w:left="120"/>
              <w:jc w:val="left"/>
              <w:rPr>
                <w:sz w:val="21"/>
              </w:rPr>
            </w:pPr>
            <w:r>
              <w:rPr>
                <w:spacing w:val="-4"/>
                <w:sz w:val="21"/>
              </w:rPr>
              <w:t>West</w:t>
            </w:r>
          </w:p>
        </w:tc>
        <w:tc>
          <w:tcPr>
            <w:tcW w:w="4200" w:type="dxa"/>
            <w:tcBorders>
              <w:bottom w:val="single" w:sz="18" w:space="0" w:color="800000"/>
            </w:tcBorders>
          </w:tcPr>
          <w:p w:rsidR="003F5784" w14:paraId="1A5EABD8" w14:textId="77777777">
            <w:pPr>
              <w:pStyle w:val="TableParagraph"/>
              <w:ind w:right="482"/>
              <w:rPr>
                <w:sz w:val="21"/>
              </w:rPr>
            </w:pPr>
            <w:r>
              <w:rPr>
                <w:spacing w:val="-5"/>
                <w:sz w:val="21"/>
              </w:rPr>
              <w:t>100</w:t>
            </w:r>
          </w:p>
        </w:tc>
        <w:tc>
          <w:tcPr>
            <w:tcW w:w="3745" w:type="dxa"/>
            <w:tcBorders>
              <w:bottom w:val="single" w:sz="18" w:space="0" w:color="800000"/>
            </w:tcBorders>
          </w:tcPr>
          <w:p w:rsidR="003F5784" w14:paraId="3CF33A89" w14:textId="77777777">
            <w:pPr>
              <w:pStyle w:val="TableParagraph"/>
              <w:ind w:right="564"/>
              <w:rPr>
                <w:sz w:val="21"/>
              </w:rPr>
            </w:pPr>
            <w:r>
              <w:rPr>
                <w:spacing w:val="-5"/>
                <w:sz w:val="21"/>
              </w:rPr>
              <w:t>80</w:t>
            </w:r>
          </w:p>
        </w:tc>
        <w:tc>
          <w:tcPr>
            <w:tcW w:w="4028" w:type="dxa"/>
            <w:tcBorders>
              <w:bottom w:val="single" w:sz="18" w:space="0" w:color="800000"/>
            </w:tcBorders>
          </w:tcPr>
          <w:p w:rsidR="003F5784" w14:paraId="5A197508" w14:textId="77777777">
            <w:pPr>
              <w:pStyle w:val="TableParagraph"/>
              <w:ind w:right="117"/>
              <w:rPr>
                <w:sz w:val="21"/>
              </w:rPr>
            </w:pPr>
            <w:r>
              <w:rPr>
                <w:spacing w:val="-2"/>
                <w:sz w:val="21"/>
              </w:rPr>
              <w:t>83.29</w:t>
            </w:r>
          </w:p>
        </w:tc>
      </w:tr>
      <w:tr w14:paraId="4C0F7111" w14:textId="77777777">
        <w:tblPrEx>
          <w:tblW w:w="0" w:type="auto"/>
          <w:tblInd w:w="482" w:type="dxa"/>
          <w:tblLayout w:type="fixed"/>
          <w:tblCellMar>
            <w:left w:w="0" w:type="dxa"/>
            <w:right w:w="0" w:type="dxa"/>
          </w:tblCellMar>
          <w:tblLook w:val="01E0"/>
        </w:tblPrEx>
        <w:trPr>
          <w:trHeight w:val="237"/>
        </w:trPr>
        <w:tc>
          <w:tcPr>
            <w:tcW w:w="9956" w:type="dxa"/>
            <w:gridSpan w:val="3"/>
            <w:tcBorders>
              <w:top w:val="single" w:sz="18" w:space="0" w:color="800000"/>
            </w:tcBorders>
          </w:tcPr>
          <w:p w:rsidR="003F5784" w14:paraId="5AC85A48" w14:textId="77777777">
            <w:pPr>
              <w:pStyle w:val="TableParagraph"/>
              <w:spacing w:before="0" w:line="218" w:lineRule="exact"/>
              <w:ind w:left="120"/>
              <w:jc w:val="left"/>
              <w:rPr>
                <w:sz w:val="21"/>
              </w:rPr>
            </w:pPr>
            <w:r>
              <w:rPr>
                <w:sz w:val="21"/>
              </w:rPr>
              <w:t>NOTE:</w:t>
            </w:r>
            <w:r>
              <w:rPr>
                <w:spacing w:val="-5"/>
                <w:sz w:val="21"/>
              </w:rPr>
              <w:t xml:space="preserve"> </w:t>
            </w:r>
            <w:r>
              <w:rPr>
                <w:sz w:val="21"/>
              </w:rPr>
              <w:t>Numbers</w:t>
            </w:r>
            <w:r>
              <w:rPr>
                <w:spacing w:val="-5"/>
                <w:sz w:val="21"/>
              </w:rPr>
              <w:t xml:space="preserve"> </w:t>
            </w:r>
            <w:r>
              <w:rPr>
                <w:sz w:val="21"/>
              </w:rPr>
              <w:t>of</w:t>
            </w:r>
            <w:r>
              <w:rPr>
                <w:spacing w:val="-5"/>
                <w:sz w:val="21"/>
              </w:rPr>
              <w:t xml:space="preserve"> </w:t>
            </w:r>
            <w:r>
              <w:rPr>
                <w:sz w:val="21"/>
              </w:rPr>
              <w:t>schools</w:t>
            </w:r>
            <w:r>
              <w:rPr>
                <w:spacing w:val="-5"/>
                <w:sz w:val="21"/>
              </w:rPr>
              <w:t xml:space="preserve"> </w:t>
            </w:r>
            <w:r>
              <w:rPr>
                <w:sz w:val="21"/>
              </w:rPr>
              <w:t>are</w:t>
            </w:r>
            <w:r>
              <w:rPr>
                <w:spacing w:val="-5"/>
                <w:sz w:val="21"/>
              </w:rPr>
              <w:t xml:space="preserve"> </w:t>
            </w:r>
            <w:r>
              <w:rPr>
                <w:sz w:val="21"/>
              </w:rPr>
              <w:t>rounded</w:t>
            </w:r>
            <w:r>
              <w:rPr>
                <w:spacing w:val="-5"/>
                <w:sz w:val="21"/>
              </w:rPr>
              <w:t xml:space="preserve"> </w:t>
            </w:r>
            <w:r>
              <w:rPr>
                <w:sz w:val="21"/>
              </w:rPr>
              <w:t>to</w:t>
            </w:r>
            <w:r>
              <w:rPr>
                <w:spacing w:val="-5"/>
                <w:sz w:val="21"/>
              </w:rPr>
              <w:t xml:space="preserve"> </w:t>
            </w:r>
            <w:r>
              <w:rPr>
                <w:sz w:val="21"/>
              </w:rPr>
              <w:t>nearest</w:t>
            </w:r>
            <w:r>
              <w:rPr>
                <w:spacing w:val="-5"/>
                <w:sz w:val="21"/>
              </w:rPr>
              <w:t xml:space="preserve"> </w:t>
            </w:r>
            <w:r>
              <w:rPr>
                <w:sz w:val="21"/>
              </w:rPr>
              <w:t>ten.</w:t>
            </w:r>
            <w:r>
              <w:rPr>
                <w:spacing w:val="-5"/>
                <w:sz w:val="21"/>
              </w:rPr>
              <w:t xml:space="preserve"> </w:t>
            </w:r>
            <w:r>
              <w:rPr>
                <w:sz w:val="21"/>
              </w:rPr>
              <w:t>Detail</w:t>
            </w:r>
            <w:r>
              <w:rPr>
                <w:spacing w:val="-5"/>
                <w:sz w:val="21"/>
              </w:rPr>
              <w:t xml:space="preserve"> </w:t>
            </w:r>
            <w:r>
              <w:rPr>
                <w:sz w:val="21"/>
              </w:rPr>
              <w:t>may</w:t>
            </w:r>
            <w:r>
              <w:rPr>
                <w:spacing w:val="-5"/>
                <w:sz w:val="21"/>
              </w:rPr>
              <w:t xml:space="preserve"> </w:t>
            </w:r>
            <w:r>
              <w:rPr>
                <w:sz w:val="21"/>
              </w:rPr>
              <w:t>not</w:t>
            </w:r>
            <w:r>
              <w:rPr>
                <w:spacing w:val="-5"/>
                <w:sz w:val="21"/>
              </w:rPr>
              <w:t xml:space="preserve"> </w:t>
            </w:r>
            <w:r>
              <w:rPr>
                <w:sz w:val="21"/>
              </w:rPr>
              <w:t>sum</w:t>
            </w:r>
            <w:r>
              <w:rPr>
                <w:spacing w:val="-5"/>
                <w:sz w:val="21"/>
              </w:rPr>
              <w:t xml:space="preserve"> </w:t>
            </w:r>
            <w:r>
              <w:rPr>
                <w:sz w:val="21"/>
              </w:rPr>
              <w:t>to</w:t>
            </w:r>
            <w:r>
              <w:rPr>
                <w:spacing w:val="-5"/>
                <w:sz w:val="21"/>
              </w:rPr>
              <w:t xml:space="preserve"> </w:t>
            </w:r>
            <w:r>
              <w:rPr>
                <w:sz w:val="21"/>
              </w:rPr>
              <w:t>totals</w:t>
            </w:r>
            <w:r>
              <w:rPr>
                <w:spacing w:val="-5"/>
                <w:sz w:val="21"/>
              </w:rPr>
              <w:t xml:space="preserve"> </w:t>
            </w:r>
            <w:r>
              <w:rPr>
                <w:sz w:val="21"/>
              </w:rPr>
              <w:t>due</w:t>
            </w:r>
            <w:r>
              <w:rPr>
                <w:spacing w:val="-5"/>
                <w:sz w:val="21"/>
              </w:rPr>
              <w:t xml:space="preserve"> </w:t>
            </w:r>
            <w:r>
              <w:rPr>
                <w:sz w:val="21"/>
              </w:rPr>
              <w:t>to</w:t>
            </w:r>
            <w:r>
              <w:rPr>
                <w:spacing w:val="-5"/>
                <w:sz w:val="21"/>
              </w:rPr>
              <w:t xml:space="preserve"> </w:t>
            </w:r>
            <w:r>
              <w:rPr>
                <w:spacing w:val="-2"/>
                <w:sz w:val="21"/>
              </w:rPr>
              <w:t>rounding.</w:t>
            </w:r>
          </w:p>
        </w:tc>
        <w:tc>
          <w:tcPr>
            <w:tcW w:w="4028" w:type="dxa"/>
            <w:tcBorders>
              <w:top w:val="single" w:sz="18" w:space="0" w:color="800000"/>
            </w:tcBorders>
          </w:tcPr>
          <w:p w:rsidR="003F5784" w14:paraId="533C5180" w14:textId="77777777">
            <w:pPr>
              <w:pStyle w:val="TableParagraph"/>
              <w:spacing w:before="0"/>
              <w:jc w:val="left"/>
              <w:rPr>
                <w:sz w:val="16"/>
              </w:rPr>
            </w:pPr>
          </w:p>
        </w:tc>
      </w:tr>
    </w:tbl>
    <w:p w:rsidR="003F5784" w14:paraId="077183A7" w14:textId="77777777">
      <w:pPr>
        <w:pStyle w:val="BodyText"/>
        <w:spacing w:before="1"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National Civics and U.S. History Assessments.</w:t>
      </w:r>
    </w:p>
    <w:p w:rsidR="003F5784" w14:paraId="28D4556B" w14:textId="77777777">
      <w:pPr>
        <w:pStyle w:val="BodyText"/>
      </w:pPr>
    </w:p>
    <w:p w:rsidR="003F5784" w14:paraId="74DDA2BD" w14:textId="77777777">
      <w:pPr>
        <w:pStyle w:val="BodyText"/>
      </w:pPr>
    </w:p>
    <w:p w:rsidR="003F5784" w14:paraId="75B927B1" w14:textId="77777777">
      <w:pPr>
        <w:pStyle w:val="BodyText"/>
        <w:spacing w:before="198"/>
      </w:pPr>
    </w:p>
    <w:p w:rsidR="003F5784" w14:paraId="5B349507" w14:textId="77777777">
      <w:pPr>
        <w:ind w:left="1082"/>
        <w:rPr>
          <w:sz w:val="18"/>
        </w:rPr>
      </w:pPr>
      <w:hyperlink r:id="rId56">
        <w:r>
          <w:rPr>
            <w:spacing w:val="-2"/>
            <w:w w:val="105"/>
            <w:sz w:val="18"/>
          </w:rPr>
          <w:t>http://nces.ed.gov/nationsreportcard/tdw/sample_design/2022/weighted_school_response_rates_for_the_2022_eighth_grade_public_school_nat_assess_in_civics_and_us_history.aspx</w:t>
        </w:r>
      </w:hyperlink>
    </w:p>
    <w:p w:rsidR="003F5784" w14:paraId="0B4624C2" w14:textId="77777777">
      <w:pPr>
        <w:rPr>
          <w:sz w:val="18"/>
        </w:rPr>
        <w:sectPr>
          <w:pgSz w:w="15840" w:h="12240" w:orient="landscape"/>
          <w:pgMar w:top="480" w:right="440" w:bottom="460" w:left="460" w:header="284" w:footer="275" w:gutter="0"/>
          <w:cols w:space="720"/>
        </w:sectPr>
      </w:pPr>
    </w:p>
    <w:p w:rsidR="003F5784" w14:paraId="1CFCD995" w14:textId="77777777">
      <w:pPr>
        <w:pStyle w:val="BodyText"/>
        <w:spacing w:before="5"/>
        <w:rPr>
          <w:sz w:val="7"/>
        </w:rPr>
      </w:pPr>
    </w:p>
    <w:p w:rsidR="003F5784" w14:paraId="2B33D7F6" w14:textId="77777777">
      <w:pPr>
        <w:pStyle w:val="BodyText"/>
        <w:spacing w:line="20" w:lineRule="exact"/>
        <w:ind w:left="110"/>
        <w:rPr>
          <w:sz w:val="2"/>
        </w:rPr>
      </w:pPr>
      <w:r>
        <w:rPr>
          <w:noProof/>
          <w:sz w:val="2"/>
        </w:rPr>
        <mc:AlternateContent>
          <mc:Choice Requires="wpg">
            <w:drawing>
              <wp:inline distT="0" distB="0" distL="0" distR="0">
                <wp:extent cx="9339580" cy="8890"/>
                <wp:effectExtent l="0" t="0" r="0" b="0"/>
                <wp:docPr id="73" name="Group 73"/>
                <wp:cNvGraphicFramePr/>
                <a:graphic xmlns:a="http://schemas.openxmlformats.org/drawingml/2006/main">
                  <a:graphicData uri="http://schemas.microsoft.com/office/word/2010/wordprocessingGroup">
                    <wpg:wgp xmlns:wpg="http://schemas.microsoft.com/office/word/2010/wordprocessingGroup">
                      <wpg:cNvGrpSpPr/>
                      <wpg:grpSpPr>
                        <a:xfrm>
                          <a:off x="0" y="0"/>
                          <a:ext cx="9339580" cy="8890"/>
                          <a:chOff x="0" y="0"/>
                          <a:chExt cx="9339580" cy="8890"/>
                        </a:xfrm>
                      </wpg:grpSpPr>
                      <wps:wsp xmlns:wps="http://schemas.microsoft.com/office/word/2010/wordprocessingShape">
                        <wps:cNvPr id="74" name="Graphic 74"/>
                        <wps:cNvSpPr/>
                        <wps:spPr>
                          <a:xfrm>
                            <a:off x="-12" y="-4"/>
                            <a:ext cx="9339580" cy="8890"/>
                          </a:xfrm>
                          <a:custGeom>
                            <a:avLst/>
                            <a:gdLst/>
                            <a:rect l="l" t="t" r="r" b="b"/>
                            <a:pathLst>
                              <a:path fill="norm" h="8890" w="9339580" stroke="1">
                                <a:moveTo>
                                  <a:pt x="9338970" y="0"/>
                                </a:moveTo>
                                <a:lnTo>
                                  <a:pt x="9335110" y="0"/>
                                </a:lnTo>
                                <a:lnTo>
                                  <a:pt x="828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wpg:wgp>
                  </a:graphicData>
                </a:graphic>
              </wp:inline>
            </w:drawing>
          </mc:Choice>
          <mc:Fallback>
            <w:pict>
              <v:group id="Group 73" o:spid="_x0000_i1055" style="width:735.4pt;height:0.7pt;mso-position-horizontal-relative:char;mso-position-vertical-relative:line" coordsize="93395,88">
                <v:shape id="Graphic 74" o:spid="_x0000_s1056" style="width:93395;height:88;mso-wrap-style:square;position:absolute;visibility:visible;v-text-anchor:top" coordsize="9339580,8890" path="m9338970,l9335110,l8280,,,,,8280l8280,8280l9335110,8280l9338970,8280l9338970,xe" fillcolor="gray" stroked="f">
                  <v:path arrowok="t"/>
                </v:shape>
                <w10:wrap type="none"/>
                <w10:anchorlock/>
              </v:group>
            </w:pict>
          </mc:Fallback>
        </mc:AlternateContent>
      </w:r>
    </w:p>
    <w:p w:rsidR="003F5784" w14:paraId="7EF0BFFF" w14:textId="77777777">
      <w:pPr>
        <w:pStyle w:val="BodyText"/>
        <w:spacing w:before="129"/>
        <w:rPr>
          <w:sz w:val="41"/>
        </w:rPr>
      </w:pPr>
    </w:p>
    <w:p w:rsidR="003F5784" w14:paraId="75028C59" w14:textId="6B8257C0">
      <w:pPr>
        <w:pStyle w:val="Heading1"/>
        <w:spacing w:line="244" w:lineRule="auto"/>
        <w:ind w:right="179"/>
      </w:pPr>
      <w:r>
        <w:t>NAEP</w:t>
      </w:r>
      <w:r>
        <w:rPr>
          <w:spacing w:val="-15"/>
        </w:rPr>
        <w:t xml:space="preserve"> </w:t>
      </w:r>
      <w:r>
        <w:t>Technical Documentation</w:t>
      </w:r>
      <w:r w:rsidR="004833F9">
        <w:t xml:space="preserve"> </w:t>
      </w:r>
      <w:r>
        <w:t>Weighted Student Response and Exclusion Rates for the 2022 Eighth-Grade Public School National Civics Assessment</w:t>
      </w:r>
    </w:p>
    <w:p w:rsidR="003F5784" w14:paraId="7DCF3621" w14:textId="77777777">
      <w:pPr>
        <w:pStyle w:val="BodyText"/>
        <w:spacing w:before="286" w:line="232" w:lineRule="auto"/>
        <w:ind w:left="109"/>
      </w:pPr>
      <w:r>
        <w:t>The</w:t>
      </w:r>
      <w:r>
        <w:rPr>
          <w:spacing w:val="-7"/>
        </w:rPr>
        <w:t xml:space="preserve"> </w:t>
      </w:r>
      <w:r>
        <w:t>following</w:t>
      </w:r>
      <w:r>
        <w:rPr>
          <w:spacing w:val="-7"/>
        </w:rPr>
        <w:t xml:space="preserve"> </w:t>
      </w:r>
      <w:r>
        <w:t>table</w:t>
      </w:r>
      <w:r>
        <w:rPr>
          <w:spacing w:val="-7"/>
        </w:rPr>
        <w:t xml:space="preserve"> </w:t>
      </w:r>
      <w:r>
        <w:t>presents</w:t>
      </w:r>
      <w:r>
        <w:rPr>
          <w:spacing w:val="-7"/>
        </w:rPr>
        <w:t xml:space="preserve"> </w:t>
      </w:r>
      <w:r>
        <w:t>weighted</w:t>
      </w:r>
      <w:r>
        <w:rPr>
          <w:spacing w:val="-7"/>
        </w:rPr>
        <w:t xml:space="preserve"> </w:t>
      </w:r>
      <w:r>
        <w:t>student</w:t>
      </w:r>
      <w:r>
        <w:rPr>
          <w:spacing w:val="-7"/>
        </w:rPr>
        <w:t xml:space="preserve"> </w:t>
      </w:r>
      <w:r>
        <w:t>response,</w:t>
      </w:r>
      <w:r>
        <w:rPr>
          <w:spacing w:val="-7"/>
        </w:rPr>
        <w:t xml:space="preserve"> </w:t>
      </w:r>
      <w:r>
        <w:t>exclusion,</w:t>
      </w:r>
      <w:r>
        <w:rPr>
          <w:spacing w:val="-7"/>
        </w:rPr>
        <w:t xml:space="preserve"> </w:t>
      </w:r>
      <w:r>
        <w:t>and</w:t>
      </w:r>
      <w:r>
        <w:rPr>
          <w:spacing w:val="-7"/>
        </w:rPr>
        <w:t xml:space="preserve"> </w:t>
      </w:r>
      <w:r>
        <w:t>full-time</w:t>
      </w:r>
      <w:r>
        <w:rPr>
          <w:spacing w:val="-7"/>
        </w:rPr>
        <w:t xml:space="preserve"> </w:t>
      </w:r>
      <w:r>
        <w:t>remote</w:t>
      </w:r>
      <w:r>
        <w:rPr>
          <w:spacing w:val="-7"/>
        </w:rPr>
        <w:t xml:space="preserve"> </w:t>
      </w:r>
      <w:r>
        <w:t>rates,</w:t>
      </w:r>
      <w:r>
        <w:rPr>
          <w:spacing w:val="-7"/>
        </w:rPr>
        <w:t xml:space="preserve"> </w:t>
      </w:r>
      <w:r>
        <w:t>by</w:t>
      </w:r>
      <w:r>
        <w:rPr>
          <w:spacing w:val="-7"/>
        </w:rPr>
        <w:t xml:space="preserve"> </w:t>
      </w:r>
      <w:r>
        <w:t>census</w:t>
      </w:r>
      <w:r>
        <w:rPr>
          <w:spacing w:val="-7"/>
        </w:rPr>
        <w:t xml:space="preserve"> </w:t>
      </w:r>
      <w:r>
        <w:t>region,</w:t>
      </w:r>
      <w:r>
        <w:rPr>
          <w:spacing w:val="-7"/>
        </w:rPr>
        <w:t xml:space="preserve"> </w:t>
      </w:r>
      <w:r>
        <w:t>for</w:t>
      </w:r>
      <w:r>
        <w:rPr>
          <w:spacing w:val="-7"/>
        </w:rPr>
        <w:t xml:space="preserve"> </w:t>
      </w:r>
      <w:r>
        <w:t>eighth-grade</w:t>
      </w:r>
      <w:r>
        <w:rPr>
          <w:spacing w:val="-7"/>
        </w:rPr>
        <w:t xml:space="preserve"> </w:t>
      </w:r>
      <w:r>
        <w:t>public</w:t>
      </w:r>
      <w:r>
        <w:rPr>
          <w:spacing w:val="-7"/>
        </w:rPr>
        <w:t xml:space="preserve"> </w:t>
      </w:r>
      <w:r>
        <w:t>school</w:t>
      </w:r>
      <w:r>
        <w:rPr>
          <w:spacing w:val="-7"/>
        </w:rPr>
        <w:t xml:space="preserve"> </w:t>
      </w:r>
      <w:r>
        <w:t>students</w:t>
      </w:r>
      <w:r>
        <w:rPr>
          <w:spacing w:val="-7"/>
        </w:rPr>
        <w:t xml:space="preserve"> </w:t>
      </w:r>
      <w:r>
        <w:t>in</w:t>
      </w:r>
      <w:r>
        <w:rPr>
          <w:spacing w:val="-7"/>
        </w:rPr>
        <w:t xml:space="preserve"> </w:t>
      </w:r>
      <w:r>
        <w:t>the</w:t>
      </w:r>
      <w:r>
        <w:rPr>
          <w:spacing w:val="-7"/>
        </w:rPr>
        <w:t xml:space="preserve"> </w:t>
      </w:r>
      <w:r>
        <w:t>national</w:t>
      </w:r>
      <w:r>
        <w:rPr>
          <w:spacing w:val="-7"/>
        </w:rPr>
        <w:t xml:space="preserve"> </w:t>
      </w:r>
      <w:r>
        <w:t xml:space="preserve">civics sample. Separate exclusion rates are provided for </w:t>
      </w:r>
      <w:r>
        <w:rPr>
          <w:color w:val="0066CC"/>
        </w:rPr>
        <w:t xml:space="preserve">students with disabilities (SD) </w:t>
      </w:r>
      <w:r>
        <w:t xml:space="preserve">and </w:t>
      </w:r>
      <w:r>
        <w:rPr>
          <w:color w:val="0066CC"/>
        </w:rPr>
        <w:t>English learners (EL)</w:t>
      </w:r>
      <w:r>
        <w:t>.</w:t>
      </w:r>
    </w:p>
    <w:p w:rsidR="003F5784" w14:paraId="115C7D50" w14:textId="77777777">
      <w:pPr>
        <w:pStyle w:val="BodyText"/>
        <w:spacing w:before="210" w:line="232" w:lineRule="auto"/>
        <w:ind w:left="109"/>
      </w:pPr>
      <w:r>
        <w:t>A</w:t>
      </w:r>
      <w:r>
        <w:rPr>
          <w:spacing w:val="-10"/>
        </w:rPr>
        <w:t xml:space="preserve"> </w:t>
      </w:r>
      <w:r>
        <w:t>weighted student response rate indicates the percentage of the student population that is directly represented by the assessed students from within participating schools.</w:t>
      </w:r>
      <w:r>
        <w:rPr>
          <w:spacing w:val="-10"/>
        </w:rPr>
        <w:t xml:space="preserve"> </w:t>
      </w:r>
      <w:r>
        <w:t>A weighted</w:t>
      </w:r>
      <w:r>
        <w:rPr>
          <w:spacing w:val="-6"/>
        </w:rPr>
        <w:t xml:space="preserve"> </w:t>
      </w:r>
      <w:r>
        <w:t>exclusion</w:t>
      </w:r>
      <w:r>
        <w:rPr>
          <w:spacing w:val="-6"/>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population</w:t>
      </w:r>
      <w:r>
        <w:rPr>
          <w:spacing w:val="-6"/>
        </w:rPr>
        <w:t xml:space="preserve"> </w:t>
      </w:r>
      <w:r>
        <w:t>that</w:t>
      </w:r>
      <w:r>
        <w:rPr>
          <w:spacing w:val="-6"/>
        </w:rPr>
        <w:t xml:space="preserve"> </w:t>
      </w:r>
      <w:r>
        <w:t>would</w:t>
      </w:r>
      <w:r>
        <w:rPr>
          <w:spacing w:val="-6"/>
        </w:rPr>
        <w:t xml:space="preserve"> </w:t>
      </w:r>
      <w:r>
        <w:t>be</w:t>
      </w:r>
      <w:r>
        <w:rPr>
          <w:spacing w:val="-6"/>
        </w:rPr>
        <w:t xml:space="preserve"> </w:t>
      </w:r>
      <w:r>
        <w:t>excluded</w:t>
      </w:r>
      <w:r>
        <w:rPr>
          <w:spacing w:val="-6"/>
        </w:rPr>
        <w:t xml:space="preserve"> </w:t>
      </w:r>
      <w:r>
        <w:t>from</w:t>
      </w:r>
      <w:r>
        <w:rPr>
          <w:spacing w:val="-6"/>
        </w:rPr>
        <w:t xml:space="preserve"> </w:t>
      </w:r>
      <w:r>
        <w:t>the</w:t>
      </w:r>
      <w:r>
        <w:rPr>
          <w:spacing w:val="-6"/>
        </w:rPr>
        <w:t xml:space="preserve"> </w:t>
      </w:r>
      <w:r>
        <w:t>assessment.</w:t>
      </w:r>
      <w:r>
        <w:rPr>
          <w:spacing w:val="-10"/>
        </w:rPr>
        <w:t xml:space="preserve"> </w:t>
      </w:r>
      <w:r>
        <w:t>The</w:t>
      </w:r>
      <w:r>
        <w:rPr>
          <w:spacing w:val="-6"/>
        </w:rPr>
        <w:t xml:space="preserve"> </w:t>
      </w:r>
      <w:r>
        <w:t>weighted</w:t>
      </w:r>
      <w:r>
        <w:rPr>
          <w:spacing w:val="-6"/>
        </w:rPr>
        <w:t xml:space="preserve"> </w:t>
      </w:r>
      <w:r>
        <w:t>student</w:t>
      </w:r>
      <w:r>
        <w:rPr>
          <w:spacing w:val="-6"/>
        </w:rPr>
        <w:t xml:space="preserve"> </w:t>
      </w:r>
      <w:r>
        <w:t>full-time</w:t>
      </w:r>
      <w:r>
        <w:rPr>
          <w:spacing w:val="-6"/>
        </w:rPr>
        <w:t xml:space="preserve"> </w:t>
      </w:r>
      <w:r>
        <w:t>remote</w:t>
      </w:r>
      <w:r>
        <w:rPr>
          <w:spacing w:val="-6"/>
        </w:rPr>
        <w:t xml:space="preserve"> </w:t>
      </w:r>
      <w:r>
        <w:t>rate</w:t>
      </w:r>
      <w:r>
        <w:rPr>
          <w:spacing w:val="-6"/>
        </w:rPr>
        <w:t xml:space="preserve"> </w:t>
      </w:r>
      <w:r>
        <w:t>indicates the percentage of the student population that is full-time remote (enrolled in brick-and-mortar schools but do not attend school in person).</w:t>
      </w:r>
    </w:p>
    <w:p w:rsidR="003F5784" w14:paraId="24401A24" w14:textId="77777777">
      <w:pPr>
        <w:pStyle w:val="BodyText"/>
        <w:spacing w:before="92"/>
      </w:pPr>
    </w:p>
    <w:p w:rsidR="003F5784" w14:paraId="4A3793C5" w14:textId="77777777">
      <w:pPr>
        <w:pStyle w:val="Heading2"/>
      </w:pPr>
      <w:r>
        <w:t>Weighted</w:t>
      </w:r>
      <w:r>
        <w:rPr>
          <w:spacing w:val="-9"/>
        </w:rPr>
        <w:t xml:space="preserve"> </w:t>
      </w:r>
      <w:r>
        <w:t>student</w:t>
      </w:r>
      <w:r>
        <w:rPr>
          <w:spacing w:val="-9"/>
        </w:rPr>
        <w:t xml:space="preserve"> </w:t>
      </w:r>
      <w:r>
        <w:t>response,</w:t>
      </w:r>
      <w:r>
        <w:rPr>
          <w:spacing w:val="-9"/>
        </w:rPr>
        <w:t xml:space="preserve"> </w:t>
      </w:r>
      <w:r>
        <w:t>exclusion,</w:t>
      </w:r>
      <w:r>
        <w:rPr>
          <w:spacing w:val="-9"/>
        </w:rPr>
        <w:t xml:space="preserve"> </w:t>
      </w:r>
      <w:r>
        <w:t>and</w:t>
      </w:r>
      <w:r>
        <w:rPr>
          <w:spacing w:val="-9"/>
        </w:rPr>
        <w:t xml:space="preserve"> </w:t>
      </w:r>
      <w:r>
        <w:t>full-time</w:t>
      </w:r>
      <w:r>
        <w:rPr>
          <w:spacing w:val="-9"/>
        </w:rPr>
        <w:t xml:space="preserve"> </w:t>
      </w:r>
      <w:r>
        <w:t>remote</w:t>
      </w:r>
      <w:r>
        <w:rPr>
          <w:spacing w:val="-9"/>
        </w:rPr>
        <w:t xml:space="preserve"> </w:t>
      </w:r>
      <w:r>
        <w:t>rates</w:t>
      </w:r>
      <w:r>
        <w:rPr>
          <w:spacing w:val="-9"/>
        </w:rPr>
        <w:t xml:space="preserve"> </w:t>
      </w:r>
      <w:r>
        <w:t>for</w:t>
      </w:r>
      <w:r>
        <w:rPr>
          <w:spacing w:val="-12"/>
        </w:rPr>
        <w:t xml:space="preserve"> </w:t>
      </w:r>
      <w:r>
        <w:t>eighth-grade</w:t>
      </w:r>
      <w:r>
        <w:rPr>
          <w:spacing w:val="-9"/>
        </w:rPr>
        <w:t xml:space="preserve"> </w:t>
      </w:r>
      <w:r>
        <w:t>public</w:t>
      </w:r>
      <w:r>
        <w:rPr>
          <w:spacing w:val="-9"/>
        </w:rPr>
        <w:t xml:space="preserve"> </w:t>
      </w:r>
      <w:r>
        <w:t>schools,</w:t>
      </w:r>
      <w:r>
        <w:rPr>
          <w:spacing w:val="-9"/>
        </w:rPr>
        <w:t xml:space="preserve"> </w:t>
      </w:r>
      <w:r>
        <w:t>national</w:t>
      </w:r>
      <w:r>
        <w:rPr>
          <w:spacing w:val="-9"/>
        </w:rPr>
        <w:t xml:space="preserve"> </w:t>
      </w:r>
      <w:r>
        <w:t>civics</w:t>
      </w:r>
      <w:r>
        <w:rPr>
          <w:spacing w:val="-9"/>
        </w:rPr>
        <w:t xml:space="preserve"> </w:t>
      </w:r>
      <w:r>
        <w:t>assessment,</w:t>
      </w:r>
      <w:r>
        <w:rPr>
          <w:spacing w:val="-9"/>
        </w:rPr>
        <w:t xml:space="preserve"> </w:t>
      </w:r>
      <w:r>
        <w:t>by</w:t>
      </w:r>
      <w:r>
        <w:rPr>
          <w:spacing w:val="-9"/>
        </w:rPr>
        <w:t xml:space="preserve"> </w:t>
      </w:r>
      <w:r>
        <w:t>census</w:t>
      </w:r>
      <w:r>
        <w:rPr>
          <w:spacing w:val="-9"/>
        </w:rPr>
        <w:t xml:space="preserve"> </w:t>
      </w:r>
      <w:r>
        <w:t>region:</w:t>
      </w:r>
      <w:r>
        <w:rPr>
          <w:spacing w:val="-8"/>
        </w:rPr>
        <w:t xml:space="preserve"> </w:t>
      </w:r>
      <w:r>
        <w:rPr>
          <w:spacing w:val="-4"/>
        </w:rPr>
        <w:t>2022</w:t>
      </w:r>
    </w:p>
    <w:p w:rsidR="003F5784" w14:paraId="512CCB5A"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1453"/>
        <w:gridCol w:w="2684"/>
        <w:gridCol w:w="3583"/>
        <w:gridCol w:w="3595"/>
        <w:gridCol w:w="2670"/>
      </w:tblGrid>
      <w:tr w14:paraId="1CB68A7D" w14:textId="77777777">
        <w:tblPrEx>
          <w:tblW w:w="0" w:type="auto"/>
          <w:tblInd w:w="482" w:type="dxa"/>
          <w:tblLayout w:type="fixed"/>
          <w:tblCellMar>
            <w:left w:w="0" w:type="dxa"/>
            <w:right w:w="0" w:type="dxa"/>
          </w:tblCellMar>
          <w:tblLook w:val="01E0"/>
        </w:tblPrEx>
        <w:trPr>
          <w:trHeight w:val="502"/>
        </w:trPr>
        <w:tc>
          <w:tcPr>
            <w:tcW w:w="1453" w:type="dxa"/>
            <w:tcBorders>
              <w:top w:val="single" w:sz="18" w:space="0" w:color="800000"/>
              <w:bottom w:val="single" w:sz="18" w:space="0" w:color="800000"/>
            </w:tcBorders>
          </w:tcPr>
          <w:p w:rsidR="003F5784" w14:paraId="3E820CEB" w14:textId="77777777">
            <w:pPr>
              <w:pStyle w:val="TableParagraph"/>
              <w:spacing w:before="2"/>
              <w:jc w:val="left"/>
              <w:rPr>
                <w:b/>
                <w:sz w:val="21"/>
              </w:rPr>
            </w:pPr>
          </w:p>
          <w:p w:rsidR="003F5784" w14:paraId="1E366951" w14:textId="77777777">
            <w:pPr>
              <w:pStyle w:val="TableParagraph"/>
              <w:spacing w:before="0" w:line="238" w:lineRule="exact"/>
              <w:ind w:left="120"/>
              <w:jc w:val="left"/>
              <w:rPr>
                <w:sz w:val="21"/>
              </w:rPr>
            </w:pPr>
            <w:r>
              <w:rPr>
                <w:sz w:val="21"/>
              </w:rPr>
              <w:t>Census</w:t>
            </w:r>
            <w:r>
              <w:rPr>
                <w:spacing w:val="-8"/>
                <w:sz w:val="21"/>
              </w:rPr>
              <w:t xml:space="preserve"> </w:t>
            </w:r>
            <w:r>
              <w:rPr>
                <w:spacing w:val="-2"/>
                <w:sz w:val="21"/>
              </w:rPr>
              <w:t>region</w:t>
            </w:r>
          </w:p>
        </w:tc>
        <w:tc>
          <w:tcPr>
            <w:tcW w:w="2684" w:type="dxa"/>
            <w:tcBorders>
              <w:top w:val="single" w:sz="18" w:space="0" w:color="800000"/>
              <w:bottom w:val="single" w:sz="18" w:space="0" w:color="800000"/>
            </w:tcBorders>
          </w:tcPr>
          <w:p w:rsidR="003F5784" w14:paraId="28730904" w14:textId="77777777">
            <w:pPr>
              <w:pStyle w:val="TableParagraph"/>
              <w:spacing w:before="9" w:line="238" w:lineRule="exact"/>
              <w:ind w:right="306"/>
              <w:rPr>
                <w:sz w:val="21"/>
              </w:rPr>
            </w:pPr>
            <w:r>
              <w:rPr>
                <w:spacing w:val="-2"/>
                <w:sz w:val="21"/>
              </w:rPr>
              <w:t>Weighted student response</w:t>
            </w:r>
          </w:p>
          <w:p w:rsidR="003F5784" w14:paraId="602DA7F5" w14:textId="77777777">
            <w:pPr>
              <w:pStyle w:val="TableParagraph"/>
              <w:spacing w:before="0" w:line="235" w:lineRule="exact"/>
              <w:ind w:right="306"/>
              <w:rPr>
                <w:sz w:val="21"/>
              </w:rPr>
            </w:pPr>
            <w:r>
              <w:rPr>
                <w:sz w:val="21"/>
              </w:rPr>
              <w:t>rates</w:t>
            </w:r>
            <w:r>
              <w:rPr>
                <w:spacing w:val="-5"/>
                <w:sz w:val="21"/>
              </w:rPr>
              <w:t xml:space="preserve"> </w:t>
            </w:r>
            <w:r>
              <w:rPr>
                <w:spacing w:val="-2"/>
                <w:sz w:val="21"/>
              </w:rPr>
              <w:t>(percent)</w:t>
            </w:r>
          </w:p>
        </w:tc>
        <w:tc>
          <w:tcPr>
            <w:tcW w:w="3583" w:type="dxa"/>
            <w:tcBorders>
              <w:top w:val="single" w:sz="18" w:space="0" w:color="800000"/>
              <w:bottom w:val="single" w:sz="18" w:space="0" w:color="800000"/>
            </w:tcBorders>
          </w:tcPr>
          <w:p w:rsidR="003F5784" w14:paraId="5291431C" w14:textId="77777777">
            <w:pPr>
              <w:pStyle w:val="TableParagraph"/>
              <w:spacing w:before="14" w:line="234" w:lineRule="exact"/>
              <w:ind w:left="986" w:right="299" w:hanging="678"/>
              <w:jc w:val="left"/>
              <w:rPr>
                <w:sz w:val="21"/>
              </w:rPr>
            </w:pPr>
            <w:r>
              <w:rPr>
                <w:sz w:val="21"/>
              </w:rPr>
              <w:t>Weighted</w:t>
            </w:r>
            <w:r>
              <w:rPr>
                <w:spacing w:val="-14"/>
                <w:sz w:val="21"/>
              </w:rPr>
              <w:t xml:space="preserve"> </w:t>
            </w:r>
            <w:r>
              <w:rPr>
                <w:sz w:val="21"/>
              </w:rPr>
              <w:t>percentage</w:t>
            </w:r>
            <w:r>
              <w:rPr>
                <w:spacing w:val="-13"/>
                <w:sz w:val="21"/>
              </w:rPr>
              <w:t xml:space="preserve"> </w:t>
            </w:r>
            <w:r>
              <w:rPr>
                <w:sz w:val="21"/>
              </w:rPr>
              <w:t>of</w:t>
            </w:r>
            <w:r>
              <w:rPr>
                <w:spacing w:val="-13"/>
                <w:sz w:val="21"/>
              </w:rPr>
              <w:t xml:space="preserve"> </w:t>
            </w:r>
            <w:r>
              <w:rPr>
                <w:sz w:val="21"/>
              </w:rPr>
              <w:t>all</w:t>
            </w:r>
            <w:r>
              <w:rPr>
                <w:spacing w:val="-13"/>
                <w:sz w:val="21"/>
              </w:rPr>
              <w:t xml:space="preserve"> </w:t>
            </w:r>
            <w:r>
              <w:rPr>
                <w:sz w:val="21"/>
              </w:rPr>
              <w:t>students who</w:t>
            </w:r>
            <w:r>
              <w:rPr>
                <w:spacing w:val="-5"/>
                <w:sz w:val="21"/>
              </w:rPr>
              <w:t xml:space="preserve"> </w:t>
            </w:r>
            <w:r>
              <w:rPr>
                <w:sz w:val="21"/>
              </w:rPr>
              <w:t>were</w:t>
            </w:r>
            <w:r>
              <w:rPr>
                <w:spacing w:val="-4"/>
                <w:sz w:val="21"/>
              </w:rPr>
              <w:t xml:space="preserve"> </w:t>
            </w:r>
            <w:r>
              <w:rPr>
                <w:sz w:val="21"/>
              </w:rPr>
              <w:t>SD</w:t>
            </w:r>
            <w:r>
              <w:rPr>
                <w:spacing w:val="-5"/>
                <w:sz w:val="21"/>
              </w:rPr>
              <w:t xml:space="preserve"> </w:t>
            </w:r>
            <w:r>
              <w:rPr>
                <w:sz w:val="21"/>
              </w:rPr>
              <w:t>and</w:t>
            </w:r>
            <w:r>
              <w:rPr>
                <w:spacing w:val="-4"/>
                <w:sz w:val="21"/>
              </w:rPr>
              <w:t xml:space="preserve"> </w:t>
            </w:r>
            <w:r>
              <w:rPr>
                <w:spacing w:val="-2"/>
                <w:sz w:val="21"/>
              </w:rPr>
              <w:t>excluded</w:t>
            </w:r>
          </w:p>
        </w:tc>
        <w:tc>
          <w:tcPr>
            <w:tcW w:w="3595" w:type="dxa"/>
            <w:tcBorders>
              <w:top w:val="single" w:sz="18" w:space="0" w:color="800000"/>
              <w:bottom w:val="single" w:sz="18" w:space="0" w:color="800000"/>
            </w:tcBorders>
          </w:tcPr>
          <w:p w:rsidR="003F5784" w14:paraId="29C87299" w14:textId="77777777">
            <w:pPr>
              <w:pStyle w:val="TableParagraph"/>
              <w:spacing w:before="14" w:line="234" w:lineRule="exact"/>
              <w:ind w:left="999" w:right="318" w:hanging="698"/>
              <w:jc w:val="left"/>
              <w:rPr>
                <w:sz w:val="21"/>
              </w:rPr>
            </w:pPr>
            <w:r>
              <w:rPr>
                <w:sz w:val="21"/>
              </w:rPr>
              <w:t>Weighted</w:t>
            </w:r>
            <w:r>
              <w:rPr>
                <w:spacing w:val="-14"/>
                <w:sz w:val="21"/>
              </w:rPr>
              <w:t xml:space="preserve"> </w:t>
            </w:r>
            <w:r>
              <w:rPr>
                <w:sz w:val="21"/>
              </w:rPr>
              <w:t>percentage</w:t>
            </w:r>
            <w:r>
              <w:rPr>
                <w:spacing w:val="-13"/>
                <w:sz w:val="21"/>
              </w:rPr>
              <w:t xml:space="preserve"> </w:t>
            </w:r>
            <w:r>
              <w:rPr>
                <w:sz w:val="21"/>
              </w:rPr>
              <w:t>of</w:t>
            </w:r>
            <w:r>
              <w:rPr>
                <w:spacing w:val="-13"/>
                <w:sz w:val="21"/>
              </w:rPr>
              <w:t xml:space="preserve"> </w:t>
            </w:r>
            <w:r>
              <w:rPr>
                <w:sz w:val="21"/>
              </w:rPr>
              <w:t>all</w:t>
            </w:r>
            <w:r>
              <w:rPr>
                <w:spacing w:val="-13"/>
                <w:sz w:val="21"/>
              </w:rPr>
              <w:t xml:space="preserve"> </w:t>
            </w:r>
            <w:r>
              <w:rPr>
                <w:sz w:val="21"/>
              </w:rPr>
              <w:t>students who</w:t>
            </w:r>
            <w:r>
              <w:rPr>
                <w:spacing w:val="-5"/>
                <w:sz w:val="21"/>
              </w:rPr>
              <w:t xml:space="preserve"> </w:t>
            </w:r>
            <w:r>
              <w:rPr>
                <w:sz w:val="21"/>
              </w:rPr>
              <w:t>were</w:t>
            </w:r>
            <w:r>
              <w:rPr>
                <w:spacing w:val="-4"/>
                <w:sz w:val="21"/>
              </w:rPr>
              <w:t xml:space="preserve"> </w:t>
            </w:r>
            <w:r>
              <w:rPr>
                <w:sz w:val="21"/>
              </w:rPr>
              <w:t>EL</w:t>
            </w:r>
            <w:r>
              <w:rPr>
                <w:spacing w:val="-12"/>
                <w:sz w:val="21"/>
              </w:rPr>
              <w:t xml:space="preserve"> </w:t>
            </w:r>
            <w:r>
              <w:rPr>
                <w:sz w:val="21"/>
              </w:rPr>
              <w:t>and</w:t>
            </w:r>
            <w:r>
              <w:rPr>
                <w:spacing w:val="-5"/>
                <w:sz w:val="21"/>
              </w:rPr>
              <w:t xml:space="preserve"> </w:t>
            </w:r>
            <w:r>
              <w:rPr>
                <w:spacing w:val="-2"/>
                <w:sz w:val="21"/>
              </w:rPr>
              <w:t>excluded</w:t>
            </w:r>
          </w:p>
        </w:tc>
        <w:tc>
          <w:tcPr>
            <w:tcW w:w="2670" w:type="dxa"/>
            <w:tcBorders>
              <w:top w:val="single" w:sz="18" w:space="0" w:color="800000"/>
              <w:bottom w:val="single" w:sz="18" w:space="0" w:color="800000"/>
            </w:tcBorders>
          </w:tcPr>
          <w:p w:rsidR="003F5784" w14:paraId="09E120DE" w14:textId="77777777">
            <w:pPr>
              <w:pStyle w:val="TableParagraph"/>
              <w:spacing w:before="14" w:line="234" w:lineRule="exact"/>
              <w:ind w:left="720" w:right="117" w:hanging="401"/>
              <w:jc w:val="left"/>
              <w:rPr>
                <w:sz w:val="21"/>
              </w:rPr>
            </w:pPr>
            <w:r>
              <w:rPr>
                <w:spacing w:val="-2"/>
                <w:sz w:val="21"/>
              </w:rPr>
              <w:t>Weighted</w:t>
            </w:r>
            <w:r>
              <w:rPr>
                <w:spacing w:val="-11"/>
                <w:sz w:val="21"/>
              </w:rPr>
              <w:t xml:space="preserve"> </w:t>
            </w:r>
            <w:r>
              <w:rPr>
                <w:spacing w:val="-2"/>
                <w:sz w:val="21"/>
              </w:rPr>
              <w:t>student</w:t>
            </w:r>
            <w:r>
              <w:rPr>
                <w:spacing w:val="-11"/>
                <w:sz w:val="21"/>
              </w:rPr>
              <w:t xml:space="preserve"> </w:t>
            </w:r>
            <w:r>
              <w:rPr>
                <w:spacing w:val="-2"/>
                <w:sz w:val="21"/>
              </w:rPr>
              <w:t xml:space="preserve">full-time </w:t>
            </w:r>
            <w:r>
              <w:rPr>
                <w:sz w:val="21"/>
              </w:rPr>
              <w:t>remote</w:t>
            </w:r>
            <w:r>
              <w:rPr>
                <w:spacing w:val="-6"/>
                <w:sz w:val="21"/>
              </w:rPr>
              <w:t xml:space="preserve"> </w:t>
            </w:r>
            <w:r>
              <w:rPr>
                <w:sz w:val="21"/>
              </w:rPr>
              <w:t>rates</w:t>
            </w:r>
            <w:r>
              <w:rPr>
                <w:spacing w:val="-6"/>
                <w:sz w:val="21"/>
              </w:rPr>
              <w:t xml:space="preserve"> </w:t>
            </w:r>
            <w:r>
              <w:rPr>
                <w:spacing w:val="-2"/>
                <w:sz w:val="21"/>
              </w:rPr>
              <w:t>(percent)</w:t>
            </w:r>
          </w:p>
        </w:tc>
      </w:tr>
      <w:tr w14:paraId="5D214742" w14:textId="77777777">
        <w:tblPrEx>
          <w:tblW w:w="0" w:type="auto"/>
          <w:tblInd w:w="482" w:type="dxa"/>
          <w:tblLayout w:type="fixed"/>
          <w:tblCellMar>
            <w:left w:w="0" w:type="dxa"/>
            <w:right w:w="0" w:type="dxa"/>
          </w:tblCellMar>
          <w:tblLook w:val="01E0"/>
        </w:tblPrEx>
        <w:trPr>
          <w:trHeight w:val="278"/>
        </w:trPr>
        <w:tc>
          <w:tcPr>
            <w:tcW w:w="1453" w:type="dxa"/>
            <w:tcBorders>
              <w:top w:val="single" w:sz="18" w:space="0" w:color="800000"/>
            </w:tcBorders>
          </w:tcPr>
          <w:p w:rsidR="003F5784" w14:paraId="21EBACD6" w14:textId="77777777">
            <w:pPr>
              <w:pStyle w:val="TableParagraph"/>
              <w:spacing w:before="9"/>
              <w:ind w:left="370"/>
              <w:jc w:val="left"/>
              <w:rPr>
                <w:b/>
                <w:sz w:val="21"/>
              </w:rPr>
            </w:pPr>
            <w:r>
              <w:rPr>
                <w:b/>
                <w:spacing w:val="-2"/>
                <w:sz w:val="21"/>
              </w:rPr>
              <w:t>National</w:t>
            </w:r>
          </w:p>
        </w:tc>
        <w:tc>
          <w:tcPr>
            <w:tcW w:w="2684" w:type="dxa"/>
            <w:tcBorders>
              <w:top w:val="single" w:sz="18" w:space="0" w:color="800000"/>
            </w:tcBorders>
          </w:tcPr>
          <w:p w:rsidR="003F5784" w14:paraId="695255E5" w14:textId="77777777">
            <w:pPr>
              <w:pStyle w:val="TableParagraph"/>
              <w:spacing w:before="9"/>
              <w:ind w:right="306"/>
              <w:rPr>
                <w:b/>
                <w:sz w:val="21"/>
              </w:rPr>
            </w:pPr>
            <w:r>
              <w:rPr>
                <w:b/>
                <w:spacing w:val="-2"/>
                <w:sz w:val="21"/>
              </w:rPr>
              <w:t>89.96</w:t>
            </w:r>
          </w:p>
        </w:tc>
        <w:tc>
          <w:tcPr>
            <w:tcW w:w="3583" w:type="dxa"/>
            <w:tcBorders>
              <w:top w:val="single" w:sz="18" w:space="0" w:color="800000"/>
            </w:tcBorders>
          </w:tcPr>
          <w:p w:rsidR="003F5784" w14:paraId="16B62F53" w14:textId="77777777">
            <w:pPr>
              <w:pStyle w:val="TableParagraph"/>
              <w:spacing w:before="9"/>
              <w:ind w:right="301"/>
              <w:rPr>
                <w:b/>
                <w:sz w:val="21"/>
              </w:rPr>
            </w:pPr>
            <w:r>
              <w:rPr>
                <w:b/>
                <w:spacing w:val="-4"/>
                <w:sz w:val="21"/>
              </w:rPr>
              <w:t>1.16</w:t>
            </w:r>
          </w:p>
        </w:tc>
        <w:tc>
          <w:tcPr>
            <w:tcW w:w="3595" w:type="dxa"/>
            <w:tcBorders>
              <w:top w:val="single" w:sz="18" w:space="0" w:color="800000"/>
            </w:tcBorders>
          </w:tcPr>
          <w:p w:rsidR="003F5784" w14:paraId="664243AA" w14:textId="77777777">
            <w:pPr>
              <w:pStyle w:val="TableParagraph"/>
              <w:spacing w:before="9"/>
              <w:ind w:right="319"/>
              <w:rPr>
                <w:b/>
                <w:sz w:val="21"/>
              </w:rPr>
            </w:pPr>
            <w:r>
              <w:rPr>
                <w:b/>
                <w:spacing w:val="-4"/>
                <w:sz w:val="21"/>
              </w:rPr>
              <w:t>0.60</w:t>
            </w:r>
          </w:p>
        </w:tc>
        <w:tc>
          <w:tcPr>
            <w:tcW w:w="2670" w:type="dxa"/>
            <w:tcBorders>
              <w:top w:val="single" w:sz="18" w:space="0" w:color="800000"/>
            </w:tcBorders>
          </w:tcPr>
          <w:p w:rsidR="003F5784" w14:paraId="172AB9A9" w14:textId="77777777">
            <w:pPr>
              <w:pStyle w:val="TableParagraph"/>
              <w:spacing w:before="9"/>
              <w:ind w:right="118"/>
              <w:rPr>
                <w:b/>
                <w:sz w:val="21"/>
              </w:rPr>
            </w:pPr>
            <w:r>
              <w:rPr>
                <w:b/>
                <w:spacing w:val="-4"/>
                <w:sz w:val="21"/>
              </w:rPr>
              <w:t>1.30</w:t>
            </w:r>
          </w:p>
        </w:tc>
      </w:tr>
      <w:tr w14:paraId="27E42881" w14:textId="77777777">
        <w:tblPrEx>
          <w:tblW w:w="0" w:type="auto"/>
          <w:tblInd w:w="482" w:type="dxa"/>
          <w:tblLayout w:type="fixed"/>
          <w:tblCellMar>
            <w:left w:w="0" w:type="dxa"/>
            <w:right w:w="0" w:type="dxa"/>
          </w:tblCellMar>
          <w:tblLook w:val="01E0"/>
        </w:tblPrEx>
        <w:trPr>
          <w:trHeight w:val="286"/>
        </w:trPr>
        <w:tc>
          <w:tcPr>
            <w:tcW w:w="1453" w:type="dxa"/>
          </w:tcPr>
          <w:p w:rsidR="003F5784" w14:paraId="60B79806" w14:textId="77777777">
            <w:pPr>
              <w:pStyle w:val="TableParagraph"/>
              <w:ind w:left="120"/>
              <w:jc w:val="left"/>
              <w:rPr>
                <w:sz w:val="21"/>
              </w:rPr>
            </w:pPr>
            <w:r>
              <w:rPr>
                <w:spacing w:val="-2"/>
                <w:sz w:val="21"/>
              </w:rPr>
              <w:t>Northeast</w:t>
            </w:r>
          </w:p>
        </w:tc>
        <w:tc>
          <w:tcPr>
            <w:tcW w:w="2684" w:type="dxa"/>
          </w:tcPr>
          <w:p w:rsidR="003F5784" w14:paraId="7E501157" w14:textId="77777777">
            <w:pPr>
              <w:pStyle w:val="TableParagraph"/>
              <w:ind w:right="306"/>
              <w:rPr>
                <w:sz w:val="21"/>
              </w:rPr>
            </w:pPr>
            <w:r>
              <w:rPr>
                <w:spacing w:val="-2"/>
                <w:sz w:val="21"/>
              </w:rPr>
              <w:t>87.98</w:t>
            </w:r>
          </w:p>
        </w:tc>
        <w:tc>
          <w:tcPr>
            <w:tcW w:w="3583" w:type="dxa"/>
          </w:tcPr>
          <w:p w:rsidR="003F5784" w14:paraId="60B63DC6" w14:textId="77777777">
            <w:pPr>
              <w:pStyle w:val="TableParagraph"/>
              <w:ind w:right="301"/>
              <w:rPr>
                <w:sz w:val="21"/>
              </w:rPr>
            </w:pPr>
            <w:r>
              <w:rPr>
                <w:spacing w:val="-4"/>
                <w:sz w:val="21"/>
              </w:rPr>
              <w:t>0.95</w:t>
            </w:r>
          </w:p>
        </w:tc>
        <w:tc>
          <w:tcPr>
            <w:tcW w:w="3595" w:type="dxa"/>
          </w:tcPr>
          <w:p w:rsidR="003F5784" w14:paraId="4A6CC8D8" w14:textId="77777777">
            <w:pPr>
              <w:pStyle w:val="TableParagraph"/>
              <w:ind w:right="319"/>
              <w:rPr>
                <w:sz w:val="21"/>
              </w:rPr>
            </w:pPr>
            <w:r>
              <w:rPr>
                <w:spacing w:val="-4"/>
                <w:sz w:val="21"/>
              </w:rPr>
              <w:t>0.61</w:t>
            </w:r>
          </w:p>
        </w:tc>
        <w:tc>
          <w:tcPr>
            <w:tcW w:w="2670" w:type="dxa"/>
          </w:tcPr>
          <w:p w:rsidR="003F5784" w14:paraId="4A61E03C" w14:textId="77777777">
            <w:pPr>
              <w:pStyle w:val="TableParagraph"/>
              <w:ind w:right="118"/>
              <w:rPr>
                <w:sz w:val="21"/>
              </w:rPr>
            </w:pPr>
            <w:r>
              <w:rPr>
                <w:spacing w:val="-4"/>
                <w:sz w:val="21"/>
              </w:rPr>
              <w:t>0.36</w:t>
            </w:r>
          </w:p>
        </w:tc>
      </w:tr>
      <w:tr w14:paraId="2EEC982B" w14:textId="77777777">
        <w:tblPrEx>
          <w:tblW w:w="0" w:type="auto"/>
          <w:tblInd w:w="482" w:type="dxa"/>
          <w:tblLayout w:type="fixed"/>
          <w:tblCellMar>
            <w:left w:w="0" w:type="dxa"/>
            <w:right w:w="0" w:type="dxa"/>
          </w:tblCellMar>
          <w:tblLook w:val="01E0"/>
        </w:tblPrEx>
        <w:trPr>
          <w:trHeight w:val="286"/>
        </w:trPr>
        <w:tc>
          <w:tcPr>
            <w:tcW w:w="1453" w:type="dxa"/>
          </w:tcPr>
          <w:p w:rsidR="003F5784" w14:paraId="76F29402" w14:textId="77777777">
            <w:pPr>
              <w:pStyle w:val="TableParagraph"/>
              <w:ind w:left="120"/>
              <w:jc w:val="left"/>
              <w:rPr>
                <w:sz w:val="21"/>
              </w:rPr>
            </w:pPr>
            <w:r>
              <w:rPr>
                <w:spacing w:val="-2"/>
                <w:sz w:val="21"/>
              </w:rPr>
              <w:t>Midwest</w:t>
            </w:r>
          </w:p>
        </w:tc>
        <w:tc>
          <w:tcPr>
            <w:tcW w:w="2684" w:type="dxa"/>
          </w:tcPr>
          <w:p w:rsidR="003F5784" w14:paraId="532504F1" w14:textId="77777777">
            <w:pPr>
              <w:pStyle w:val="TableParagraph"/>
              <w:ind w:right="306"/>
              <w:rPr>
                <w:sz w:val="21"/>
              </w:rPr>
            </w:pPr>
            <w:r>
              <w:rPr>
                <w:spacing w:val="-2"/>
                <w:sz w:val="21"/>
              </w:rPr>
              <w:t>91.13</w:t>
            </w:r>
          </w:p>
        </w:tc>
        <w:tc>
          <w:tcPr>
            <w:tcW w:w="3583" w:type="dxa"/>
          </w:tcPr>
          <w:p w:rsidR="003F5784" w14:paraId="4E3B60E6" w14:textId="77777777">
            <w:pPr>
              <w:pStyle w:val="TableParagraph"/>
              <w:ind w:right="301"/>
              <w:rPr>
                <w:sz w:val="21"/>
              </w:rPr>
            </w:pPr>
            <w:r>
              <w:rPr>
                <w:spacing w:val="-4"/>
                <w:sz w:val="21"/>
              </w:rPr>
              <w:t>1.04</w:t>
            </w:r>
          </w:p>
        </w:tc>
        <w:tc>
          <w:tcPr>
            <w:tcW w:w="3595" w:type="dxa"/>
          </w:tcPr>
          <w:p w:rsidR="003F5784" w14:paraId="57013F1B" w14:textId="77777777">
            <w:pPr>
              <w:pStyle w:val="TableParagraph"/>
              <w:ind w:right="319"/>
              <w:rPr>
                <w:sz w:val="21"/>
              </w:rPr>
            </w:pPr>
            <w:r>
              <w:rPr>
                <w:spacing w:val="-4"/>
                <w:sz w:val="21"/>
              </w:rPr>
              <w:t>0.49</w:t>
            </w:r>
          </w:p>
        </w:tc>
        <w:tc>
          <w:tcPr>
            <w:tcW w:w="2670" w:type="dxa"/>
          </w:tcPr>
          <w:p w:rsidR="003F5784" w14:paraId="65DEC9B2" w14:textId="77777777">
            <w:pPr>
              <w:pStyle w:val="TableParagraph"/>
              <w:ind w:right="118"/>
              <w:rPr>
                <w:sz w:val="21"/>
              </w:rPr>
            </w:pPr>
            <w:r>
              <w:rPr>
                <w:spacing w:val="-4"/>
                <w:sz w:val="21"/>
              </w:rPr>
              <w:t>0.77</w:t>
            </w:r>
          </w:p>
        </w:tc>
      </w:tr>
      <w:tr w14:paraId="78FD51F1" w14:textId="77777777">
        <w:tblPrEx>
          <w:tblW w:w="0" w:type="auto"/>
          <w:tblInd w:w="482" w:type="dxa"/>
          <w:tblLayout w:type="fixed"/>
          <w:tblCellMar>
            <w:left w:w="0" w:type="dxa"/>
            <w:right w:w="0" w:type="dxa"/>
          </w:tblCellMar>
          <w:tblLook w:val="01E0"/>
        </w:tblPrEx>
        <w:trPr>
          <w:trHeight w:val="286"/>
        </w:trPr>
        <w:tc>
          <w:tcPr>
            <w:tcW w:w="1453" w:type="dxa"/>
          </w:tcPr>
          <w:p w:rsidR="003F5784" w14:paraId="45966FAE" w14:textId="77777777">
            <w:pPr>
              <w:pStyle w:val="TableParagraph"/>
              <w:ind w:left="120"/>
              <w:jc w:val="left"/>
              <w:rPr>
                <w:sz w:val="21"/>
              </w:rPr>
            </w:pPr>
            <w:r>
              <w:rPr>
                <w:spacing w:val="-2"/>
                <w:sz w:val="21"/>
              </w:rPr>
              <w:t>South</w:t>
            </w:r>
          </w:p>
        </w:tc>
        <w:tc>
          <w:tcPr>
            <w:tcW w:w="2684" w:type="dxa"/>
          </w:tcPr>
          <w:p w:rsidR="003F5784" w14:paraId="374739AF" w14:textId="77777777">
            <w:pPr>
              <w:pStyle w:val="TableParagraph"/>
              <w:ind w:right="306"/>
              <w:rPr>
                <w:sz w:val="21"/>
              </w:rPr>
            </w:pPr>
            <w:r>
              <w:rPr>
                <w:spacing w:val="-2"/>
                <w:sz w:val="21"/>
              </w:rPr>
              <w:t>90.52</w:t>
            </w:r>
          </w:p>
        </w:tc>
        <w:tc>
          <w:tcPr>
            <w:tcW w:w="3583" w:type="dxa"/>
          </w:tcPr>
          <w:p w:rsidR="003F5784" w14:paraId="427CAF63" w14:textId="77777777">
            <w:pPr>
              <w:pStyle w:val="TableParagraph"/>
              <w:ind w:right="301"/>
              <w:rPr>
                <w:sz w:val="21"/>
              </w:rPr>
            </w:pPr>
            <w:r>
              <w:rPr>
                <w:spacing w:val="-4"/>
                <w:sz w:val="21"/>
              </w:rPr>
              <w:t>1.21</w:t>
            </w:r>
          </w:p>
        </w:tc>
        <w:tc>
          <w:tcPr>
            <w:tcW w:w="3595" w:type="dxa"/>
          </w:tcPr>
          <w:p w:rsidR="003F5784" w14:paraId="44614760" w14:textId="77777777">
            <w:pPr>
              <w:pStyle w:val="TableParagraph"/>
              <w:ind w:right="319"/>
              <w:rPr>
                <w:sz w:val="21"/>
              </w:rPr>
            </w:pPr>
            <w:r>
              <w:rPr>
                <w:spacing w:val="-4"/>
                <w:sz w:val="21"/>
              </w:rPr>
              <w:t>0.48</w:t>
            </w:r>
          </w:p>
        </w:tc>
        <w:tc>
          <w:tcPr>
            <w:tcW w:w="2670" w:type="dxa"/>
          </w:tcPr>
          <w:p w:rsidR="003F5784" w14:paraId="62FC029E" w14:textId="77777777">
            <w:pPr>
              <w:pStyle w:val="TableParagraph"/>
              <w:ind w:right="118"/>
              <w:rPr>
                <w:sz w:val="21"/>
              </w:rPr>
            </w:pPr>
            <w:r>
              <w:rPr>
                <w:spacing w:val="-4"/>
                <w:sz w:val="21"/>
              </w:rPr>
              <w:t>1.54</w:t>
            </w:r>
          </w:p>
        </w:tc>
      </w:tr>
      <w:tr w14:paraId="7FF53129" w14:textId="77777777">
        <w:tblPrEx>
          <w:tblW w:w="0" w:type="auto"/>
          <w:tblInd w:w="482" w:type="dxa"/>
          <w:tblLayout w:type="fixed"/>
          <w:tblCellMar>
            <w:left w:w="0" w:type="dxa"/>
            <w:right w:w="0" w:type="dxa"/>
          </w:tblCellMar>
          <w:tblLook w:val="01E0"/>
        </w:tblPrEx>
        <w:trPr>
          <w:trHeight w:val="288"/>
        </w:trPr>
        <w:tc>
          <w:tcPr>
            <w:tcW w:w="1453" w:type="dxa"/>
            <w:tcBorders>
              <w:bottom w:val="single" w:sz="18" w:space="0" w:color="800000"/>
            </w:tcBorders>
          </w:tcPr>
          <w:p w:rsidR="003F5784" w14:paraId="293D95FE" w14:textId="77777777">
            <w:pPr>
              <w:pStyle w:val="TableParagraph"/>
              <w:ind w:left="120"/>
              <w:jc w:val="left"/>
              <w:rPr>
                <w:sz w:val="21"/>
              </w:rPr>
            </w:pPr>
            <w:r>
              <w:rPr>
                <w:spacing w:val="-4"/>
                <w:sz w:val="21"/>
              </w:rPr>
              <w:t>West</w:t>
            </w:r>
          </w:p>
        </w:tc>
        <w:tc>
          <w:tcPr>
            <w:tcW w:w="2684" w:type="dxa"/>
            <w:tcBorders>
              <w:bottom w:val="single" w:sz="18" w:space="0" w:color="800000"/>
            </w:tcBorders>
          </w:tcPr>
          <w:p w:rsidR="003F5784" w14:paraId="3AB00C76" w14:textId="77777777">
            <w:pPr>
              <w:pStyle w:val="TableParagraph"/>
              <w:ind w:right="306"/>
              <w:rPr>
                <w:sz w:val="21"/>
              </w:rPr>
            </w:pPr>
            <w:r>
              <w:rPr>
                <w:spacing w:val="-2"/>
                <w:sz w:val="21"/>
              </w:rPr>
              <w:t>88.98</w:t>
            </w:r>
          </w:p>
        </w:tc>
        <w:tc>
          <w:tcPr>
            <w:tcW w:w="3583" w:type="dxa"/>
            <w:tcBorders>
              <w:bottom w:val="single" w:sz="18" w:space="0" w:color="800000"/>
            </w:tcBorders>
          </w:tcPr>
          <w:p w:rsidR="003F5784" w14:paraId="0EDAE6E2" w14:textId="77777777">
            <w:pPr>
              <w:pStyle w:val="TableParagraph"/>
              <w:ind w:right="301"/>
              <w:rPr>
                <w:sz w:val="21"/>
              </w:rPr>
            </w:pPr>
            <w:r>
              <w:rPr>
                <w:spacing w:val="-4"/>
                <w:sz w:val="21"/>
              </w:rPr>
              <w:t>1.31</w:t>
            </w:r>
          </w:p>
        </w:tc>
        <w:tc>
          <w:tcPr>
            <w:tcW w:w="3595" w:type="dxa"/>
            <w:tcBorders>
              <w:bottom w:val="single" w:sz="18" w:space="0" w:color="800000"/>
            </w:tcBorders>
          </w:tcPr>
          <w:p w:rsidR="003F5784" w14:paraId="7ED821AC" w14:textId="77777777">
            <w:pPr>
              <w:pStyle w:val="TableParagraph"/>
              <w:ind w:right="319"/>
              <w:rPr>
                <w:sz w:val="21"/>
              </w:rPr>
            </w:pPr>
            <w:r>
              <w:rPr>
                <w:spacing w:val="-4"/>
                <w:sz w:val="21"/>
              </w:rPr>
              <w:t>0.90</w:t>
            </w:r>
          </w:p>
        </w:tc>
        <w:tc>
          <w:tcPr>
            <w:tcW w:w="2670" w:type="dxa"/>
            <w:tcBorders>
              <w:bottom w:val="single" w:sz="18" w:space="0" w:color="800000"/>
            </w:tcBorders>
          </w:tcPr>
          <w:p w:rsidR="003F5784" w14:paraId="4490BED1" w14:textId="77777777">
            <w:pPr>
              <w:pStyle w:val="TableParagraph"/>
              <w:ind w:right="118"/>
              <w:rPr>
                <w:sz w:val="21"/>
              </w:rPr>
            </w:pPr>
            <w:r>
              <w:rPr>
                <w:spacing w:val="-4"/>
                <w:sz w:val="21"/>
              </w:rPr>
              <w:t>1.97</w:t>
            </w:r>
          </w:p>
        </w:tc>
      </w:tr>
      <w:tr w14:paraId="561F04CA" w14:textId="77777777">
        <w:tblPrEx>
          <w:tblW w:w="0" w:type="auto"/>
          <w:tblInd w:w="482" w:type="dxa"/>
          <w:tblLayout w:type="fixed"/>
          <w:tblCellMar>
            <w:left w:w="0" w:type="dxa"/>
            <w:right w:w="0" w:type="dxa"/>
          </w:tblCellMar>
          <w:tblLook w:val="01E0"/>
        </w:tblPrEx>
        <w:trPr>
          <w:trHeight w:val="472"/>
        </w:trPr>
        <w:tc>
          <w:tcPr>
            <w:tcW w:w="13985" w:type="dxa"/>
            <w:gridSpan w:val="5"/>
            <w:tcBorders>
              <w:top w:val="single" w:sz="18" w:space="0" w:color="800000"/>
            </w:tcBorders>
          </w:tcPr>
          <w:p w:rsidR="003F5784" w14:paraId="7C6BFEE8" w14:textId="77777777">
            <w:pPr>
              <w:pStyle w:val="TableParagraph"/>
              <w:spacing w:before="0" w:line="234" w:lineRule="exact"/>
              <w:ind w:left="120"/>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Progress (NAEP), 2022 Civics Assessment.</w:t>
            </w:r>
          </w:p>
        </w:tc>
      </w:tr>
    </w:tbl>
    <w:p w:rsidR="003F5784" w14:paraId="7F07929E" w14:textId="77777777">
      <w:pPr>
        <w:pStyle w:val="BodyText"/>
        <w:rPr>
          <w:b/>
        </w:rPr>
      </w:pPr>
    </w:p>
    <w:p w:rsidR="003F5784" w14:paraId="6090C469" w14:textId="77777777">
      <w:pPr>
        <w:pStyle w:val="BodyText"/>
        <w:rPr>
          <w:b/>
        </w:rPr>
      </w:pPr>
    </w:p>
    <w:p w:rsidR="003F5784" w14:paraId="2CCBEAA7" w14:textId="77777777">
      <w:pPr>
        <w:pStyle w:val="BodyText"/>
        <w:spacing w:before="197"/>
        <w:rPr>
          <w:b/>
        </w:rPr>
      </w:pPr>
    </w:p>
    <w:p w:rsidR="003F5784" w14:paraId="25F5E1D6" w14:textId="77777777">
      <w:pPr>
        <w:ind w:left="1320"/>
        <w:rPr>
          <w:sz w:val="18"/>
        </w:rPr>
      </w:pPr>
      <w:hyperlink r:id="rId57">
        <w:r>
          <w:rPr>
            <w:spacing w:val="-2"/>
            <w:w w:val="105"/>
            <w:sz w:val="18"/>
          </w:rPr>
          <w:t>http://nces.ed.gov/nationsreportcard/tdw/sample_design/2022/weighted_student_response_and_exclusion_rates_for_the_2022_eighth_grade_public_school_nat_civics_assess.aspx</w:t>
        </w:r>
      </w:hyperlink>
    </w:p>
    <w:p w:rsidR="003F5784" w14:paraId="64E5880F" w14:textId="77777777">
      <w:pPr>
        <w:pStyle w:val="BodyText"/>
        <w:spacing w:before="1"/>
        <w:rPr>
          <w:sz w:val="16"/>
        </w:rPr>
      </w:pPr>
      <w:r>
        <w:rPr>
          <w:noProof/>
        </w:rPr>
        <mc:AlternateContent>
          <mc:Choice Requires="wps">
            <w:drawing>
              <wp:anchor distT="0" distB="0" distL="0" distR="0" simplePos="0" relativeHeight="251771904" behindDoc="1" locked="0" layoutInCell="1" allowOverlap="1">
                <wp:simplePos x="0" y="0"/>
                <wp:positionH relativeFrom="page">
                  <wp:posOffset>361937</wp:posOffset>
                </wp:positionH>
                <wp:positionV relativeFrom="paragraph">
                  <wp:posOffset>132901</wp:posOffset>
                </wp:positionV>
                <wp:extent cx="9339580" cy="8890"/>
                <wp:effectExtent l="0" t="0" r="0" b="0"/>
                <wp:wrapTopAndBottom/>
                <wp:docPr id="75" name="Graphic 75"/>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80"/>
                              </a:lnTo>
                              <a:lnTo>
                                <a:pt x="8280" y="8280"/>
                              </a:lnTo>
                              <a:lnTo>
                                <a:pt x="9335110" y="8280"/>
                              </a:lnTo>
                              <a:lnTo>
                                <a:pt x="9338970" y="8280"/>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75" o:spid="_x0000_s1057" style="width:735.4pt;height:0.7pt;margin-top:10.45pt;margin-left:28.5pt;mso-position-horizontal-relative:page;mso-wrap-distance-bottom:0;mso-wrap-distance-left:0;mso-wrap-distance-right:0;mso-wrap-distance-top:0;mso-wrap-style:square;position:absolute;visibility:visible;v-text-anchor:top;z-index:-251543552" coordsize="9339580,8890" path="m9338970,12l9335110,12l8280,12,,,,8280l8280,8280l9335110,8280l9338970,8280l9338970,12xe" fillcolor="gray" stroked="f">
                <v:path arrowok="t"/>
                <w10:wrap type="topAndBottom"/>
              </v:shape>
            </w:pict>
          </mc:Fallback>
        </mc:AlternateContent>
      </w:r>
    </w:p>
    <w:p w:rsidR="003F5784" w14:paraId="54A1A5ED" w14:textId="77777777">
      <w:pPr>
        <w:pStyle w:val="BodyText"/>
        <w:rPr>
          <w:sz w:val="18"/>
        </w:rPr>
      </w:pPr>
    </w:p>
    <w:p w:rsidR="003F5784" w14:paraId="58676650" w14:textId="77777777">
      <w:pPr>
        <w:pStyle w:val="BodyText"/>
        <w:spacing w:before="193"/>
        <w:rPr>
          <w:sz w:val="18"/>
        </w:rPr>
      </w:pPr>
    </w:p>
    <w:p w:rsidR="003F5784" w14:paraId="11CCF683" w14:textId="026D556B">
      <w:pPr>
        <w:pStyle w:val="Heading1"/>
        <w:spacing w:line="244" w:lineRule="auto"/>
        <w:ind w:right="179"/>
      </w:pPr>
      <w:r>
        <w:t>NAEP</w:t>
      </w:r>
      <w:r>
        <w:rPr>
          <w:spacing w:val="-15"/>
        </w:rPr>
        <w:t xml:space="preserve"> </w:t>
      </w:r>
      <w:r>
        <w:t>Technical Documentation</w:t>
      </w:r>
      <w:r w:rsidR="004833F9">
        <w:t xml:space="preserve"> </w:t>
      </w:r>
      <w:r>
        <w:t>Weighted Student Response and Exclusion Rates for the</w:t>
      </w:r>
      <w:r>
        <w:rPr>
          <w:spacing w:val="40"/>
        </w:rPr>
        <w:t xml:space="preserve"> </w:t>
      </w:r>
      <w:r>
        <w:t>2022</w:t>
      </w:r>
      <w:r>
        <w:rPr>
          <w:spacing w:val="40"/>
        </w:rPr>
        <w:t xml:space="preserve"> </w:t>
      </w:r>
      <w:r>
        <w:t>Eighth-Grade</w:t>
      </w:r>
      <w:r>
        <w:rPr>
          <w:spacing w:val="40"/>
        </w:rPr>
        <w:t xml:space="preserve"> </w:t>
      </w:r>
      <w:r>
        <w:t>Public</w:t>
      </w:r>
      <w:r>
        <w:rPr>
          <w:spacing w:val="40"/>
        </w:rPr>
        <w:t xml:space="preserve"> </w:t>
      </w:r>
      <w:r>
        <w:t>School</w:t>
      </w:r>
      <w:r>
        <w:rPr>
          <w:spacing w:val="40"/>
        </w:rPr>
        <w:t xml:space="preserve"> </w:t>
      </w:r>
      <w:r>
        <w:t>National</w:t>
      </w:r>
      <w:r>
        <w:rPr>
          <w:spacing w:val="40"/>
        </w:rPr>
        <w:t xml:space="preserve"> </w:t>
      </w:r>
      <w:r>
        <w:t>U.S.</w:t>
      </w:r>
      <w:r>
        <w:rPr>
          <w:spacing w:val="40"/>
        </w:rPr>
        <w:t xml:space="preserve"> </w:t>
      </w:r>
      <w:r>
        <w:t>History Assessment</w:t>
      </w:r>
    </w:p>
    <w:p w:rsidR="003F5784" w14:paraId="7F19C532" w14:textId="77777777">
      <w:pPr>
        <w:pStyle w:val="BodyText"/>
        <w:spacing w:before="287" w:line="232" w:lineRule="auto"/>
        <w:ind w:left="109"/>
      </w:pPr>
      <w:r>
        <w:t>The</w:t>
      </w:r>
      <w:r>
        <w:rPr>
          <w:spacing w:val="-6"/>
        </w:rPr>
        <w:t xml:space="preserve"> </w:t>
      </w:r>
      <w:r>
        <w:t>following</w:t>
      </w:r>
      <w:r>
        <w:rPr>
          <w:spacing w:val="-7"/>
        </w:rPr>
        <w:t xml:space="preserve"> </w:t>
      </w:r>
      <w:r>
        <w:t>table</w:t>
      </w:r>
      <w:r>
        <w:rPr>
          <w:spacing w:val="-6"/>
        </w:rPr>
        <w:t xml:space="preserve"> </w:t>
      </w:r>
      <w:r>
        <w:t>presents</w:t>
      </w:r>
      <w:r>
        <w:rPr>
          <w:spacing w:val="-7"/>
        </w:rPr>
        <w:t xml:space="preserve"> </w:t>
      </w:r>
      <w:r>
        <w:t>weighted</w:t>
      </w:r>
      <w:r>
        <w:rPr>
          <w:spacing w:val="-6"/>
        </w:rPr>
        <w:t xml:space="preserve"> </w:t>
      </w:r>
      <w:r>
        <w:t>student</w:t>
      </w:r>
      <w:r>
        <w:rPr>
          <w:spacing w:val="-7"/>
        </w:rPr>
        <w:t xml:space="preserve"> </w:t>
      </w:r>
      <w:r>
        <w:t>response,</w:t>
      </w:r>
      <w:r>
        <w:rPr>
          <w:spacing w:val="-6"/>
        </w:rPr>
        <w:t xml:space="preserve"> </w:t>
      </w:r>
      <w:r>
        <w:t>exclusion,</w:t>
      </w:r>
      <w:r>
        <w:rPr>
          <w:spacing w:val="-7"/>
        </w:rPr>
        <w:t xml:space="preserve"> </w:t>
      </w:r>
      <w:r>
        <w:t>and</w:t>
      </w:r>
      <w:r>
        <w:rPr>
          <w:spacing w:val="-6"/>
        </w:rPr>
        <w:t xml:space="preserve"> </w:t>
      </w:r>
      <w:r>
        <w:t>full-time</w:t>
      </w:r>
      <w:r>
        <w:rPr>
          <w:spacing w:val="-7"/>
        </w:rPr>
        <w:t xml:space="preserve"> </w:t>
      </w:r>
      <w:r>
        <w:t>remote</w:t>
      </w:r>
      <w:r>
        <w:rPr>
          <w:spacing w:val="-6"/>
        </w:rPr>
        <w:t xml:space="preserve"> </w:t>
      </w:r>
      <w:r>
        <w:t>rates,</w:t>
      </w:r>
      <w:r>
        <w:rPr>
          <w:spacing w:val="-7"/>
        </w:rPr>
        <w:t xml:space="preserve"> </w:t>
      </w:r>
      <w:r>
        <w:t>by</w:t>
      </w:r>
      <w:r>
        <w:rPr>
          <w:spacing w:val="-6"/>
        </w:rPr>
        <w:t xml:space="preserve"> </w:t>
      </w:r>
      <w:r>
        <w:t>census</w:t>
      </w:r>
      <w:r>
        <w:rPr>
          <w:spacing w:val="-7"/>
        </w:rPr>
        <w:t xml:space="preserve"> </w:t>
      </w:r>
      <w:r>
        <w:t>region,</w:t>
      </w:r>
      <w:r>
        <w:rPr>
          <w:spacing w:val="-6"/>
        </w:rPr>
        <w:t xml:space="preserve"> </w:t>
      </w:r>
      <w:r>
        <w:t>for</w:t>
      </w:r>
      <w:r>
        <w:rPr>
          <w:spacing w:val="-7"/>
        </w:rPr>
        <w:t xml:space="preserve"> </w:t>
      </w:r>
      <w:r>
        <w:t>eighth-grade</w:t>
      </w:r>
      <w:r>
        <w:rPr>
          <w:spacing w:val="-6"/>
        </w:rPr>
        <w:t xml:space="preserve"> </w:t>
      </w:r>
      <w:r>
        <w:t>public</w:t>
      </w:r>
      <w:r>
        <w:rPr>
          <w:spacing w:val="-7"/>
        </w:rPr>
        <w:t xml:space="preserve"> </w:t>
      </w:r>
      <w:r>
        <w:t>school</w:t>
      </w:r>
      <w:r>
        <w:rPr>
          <w:spacing w:val="-6"/>
        </w:rPr>
        <w:t xml:space="preserve"> </w:t>
      </w:r>
      <w:r>
        <w:t>students</w:t>
      </w:r>
      <w:r>
        <w:rPr>
          <w:spacing w:val="-7"/>
        </w:rPr>
        <w:t xml:space="preserve"> </w:t>
      </w:r>
      <w:r>
        <w:t>in</w:t>
      </w:r>
      <w:r>
        <w:rPr>
          <w:spacing w:val="-6"/>
        </w:rPr>
        <w:t xml:space="preserve"> </w:t>
      </w:r>
      <w:r>
        <w:t>the</w:t>
      </w:r>
      <w:r>
        <w:rPr>
          <w:spacing w:val="-7"/>
        </w:rPr>
        <w:t xml:space="preserve"> </w:t>
      </w:r>
      <w:r>
        <w:t>national</w:t>
      </w:r>
      <w:r>
        <w:rPr>
          <w:spacing w:val="-6"/>
        </w:rPr>
        <w:t xml:space="preserve"> </w:t>
      </w:r>
      <w:r>
        <w:t xml:space="preserve">U.S. history sample. Separate exclusion rates are provided for </w:t>
      </w:r>
      <w:r>
        <w:rPr>
          <w:color w:val="0066CC"/>
        </w:rPr>
        <w:t xml:space="preserve">students with disabilities (SD) </w:t>
      </w:r>
      <w:r>
        <w:t xml:space="preserve">and </w:t>
      </w:r>
      <w:r>
        <w:rPr>
          <w:color w:val="0066CC"/>
        </w:rPr>
        <w:t>English learners (EL)</w:t>
      </w:r>
      <w:r>
        <w:t>.</w:t>
      </w:r>
    </w:p>
    <w:p w:rsidR="003F5784" w14:paraId="1AAF058E" w14:textId="77777777">
      <w:pPr>
        <w:pStyle w:val="BodyText"/>
        <w:spacing w:before="209" w:line="232" w:lineRule="auto"/>
        <w:ind w:left="109"/>
      </w:pPr>
      <w:r>
        <w:t>A</w:t>
      </w:r>
      <w:r>
        <w:rPr>
          <w:spacing w:val="-10"/>
        </w:rPr>
        <w:t xml:space="preserve"> </w:t>
      </w:r>
      <w:r>
        <w:t>weighted student response rate indicates the percentage of the student population that is directly represented by the assessed students from within participating schools.</w:t>
      </w:r>
      <w:r>
        <w:rPr>
          <w:spacing w:val="-10"/>
        </w:rPr>
        <w:t xml:space="preserve"> </w:t>
      </w:r>
      <w:r>
        <w:t>A weighted</w:t>
      </w:r>
      <w:r>
        <w:rPr>
          <w:spacing w:val="-6"/>
        </w:rPr>
        <w:t xml:space="preserve"> </w:t>
      </w:r>
      <w:r>
        <w:t>exclusion</w:t>
      </w:r>
      <w:r>
        <w:rPr>
          <w:spacing w:val="-6"/>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population</w:t>
      </w:r>
      <w:r>
        <w:rPr>
          <w:spacing w:val="-6"/>
        </w:rPr>
        <w:t xml:space="preserve"> </w:t>
      </w:r>
      <w:r>
        <w:t>that</w:t>
      </w:r>
      <w:r>
        <w:rPr>
          <w:spacing w:val="-6"/>
        </w:rPr>
        <w:t xml:space="preserve"> </w:t>
      </w:r>
      <w:r>
        <w:t>would</w:t>
      </w:r>
      <w:r>
        <w:rPr>
          <w:spacing w:val="-6"/>
        </w:rPr>
        <w:t xml:space="preserve"> </w:t>
      </w:r>
      <w:r>
        <w:t>be</w:t>
      </w:r>
      <w:r>
        <w:rPr>
          <w:spacing w:val="-6"/>
        </w:rPr>
        <w:t xml:space="preserve"> </w:t>
      </w:r>
      <w:r>
        <w:t>excluded</w:t>
      </w:r>
      <w:r>
        <w:rPr>
          <w:spacing w:val="-6"/>
        </w:rPr>
        <w:t xml:space="preserve"> </w:t>
      </w:r>
      <w:r>
        <w:t>from</w:t>
      </w:r>
      <w:r>
        <w:rPr>
          <w:spacing w:val="-6"/>
        </w:rPr>
        <w:t xml:space="preserve"> </w:t>
      </w:r>
      <w:r>
        <w:t>the</w:t>
      </w:r>
      <w:r>
        <w:rPr>
          <w:spacing w:val="-6"/>
        </w:rPr>
        <w:t xml:space="preserve"> </w:t>
      </w:r>
      <w:r>
        <w:t>assessment.</w:t>
      </w:r>
      <w:r>
        <w:rPr>
          <w:spacing w:val="-10"/>
        </w:rPr>
        <w:t xml:space="preserve"> </w:t>
      </w:r>
      <w:r>
        <w:t>The</w:t>
      </w:r>
      <w:r>
        <w:rPr>
          <w:spacing w:val="-6"/>
        </w:rPr>
        <w:t xml:space="preserve"> </w:t>
      </w:r>
      <w:r>
        <w:t>weighted</w:t>
      </w:r>
      <w:r>
        <w:rPr>
          <w:spacing w:val="-6"/>
        </w:rPr>
        <w:t xml:space="preserve"> </w:t>
      </w:r>
      <w:r>
        <w:t>student</w:t>
      </w:r>
      <w:r>
        <w:rPr>
          <w:spacing w:val="-6"/>
        </w:rPr>
        <w:t xml:space="preserve"> </w:t>
      </w:r>
      <w:r>
        <w:t>full-time</w:t>
      </w:r>
      <w:r>
        <w:rPr>
          <w:spacing w:val="-6"/>
        </w:rPr>
        <w:t xml:space="preserve"> </w:t>
      </w:r>
      <w:r>
        <w:t>remote</w:t>
      </w:r>
      <w:r>
        <w:rPr>
          <w:spacing w:val="-6"/>
        </w:rPr>
        <w:t xml:space="preserve"> </w:t>
      </w:r>
      <w:r>
        <w:t>rate</w:t>
      </w:r>
      <w:r>
        <w:rPr>
          <w:spacing w:val="-6"/>
        </w:rPr>
        <w:t xml:space="preserve"> </w:t>
      </w:r>
      <w:r>
        <w:t>indicates the percentage of the student population that is full-time remote (enrolled in brick-and-mortar schools but do not attend school in person).</w:t>
      </w:r>
    </w:p>
    <w:p w:rsidR="003F5784" w14:paraId="4774CBC3" w14:textId="77777777">
      <w:pPr>
        <w:spacing w:line="232" w:lineRule="auto"/>
        <w:sectPr>
          <w:pgSz w:w="15840" w:h="12240" w:orient="landscape"/>
          <w:pgMar w:top="480" w:right="440" w:bottom="460" w:left="460" w:header="284" w:footer="275" w:gutter="0"/>
          <w:cols w:space="720"/>
        </w:sectPr>
      </w:pPr>
    </w:p>
    <w:p w:rsidR="003F5784" w14:paraId="66B9D400" w14:textId="77777777">
      <w:pPr>
        <w:pStyle w:val="Heading2"/>
        <w:spacing w:before="203"/>
      </w:pPr>
      <w:r>
        <w:t>Weighted</w:t>
      </w:r>
      <w:r>
        <w:rPr>
          <w:spacing w:val="-9"/>
        </w:rPr>
        <w:t xml:space="preserve"> </w:t>
      </w:r>
      <w:r>
        <w:t>student</w:t>
      </w:r>
      <w:r>
        <w:rPr>
          <w:spacing w:val="-9"/>
        </w:rPr>
        <w:t xml:space="preserve"> </w:t>
      </w:r>
      <w:r>
        <w:t>response,</w:t>
      </w:r>
      <w:r>
        <w:rPr>
          <w:spacing w:val="-9"/>
        </w:rPr>
        <w:t xml:space="preserve"> </w:t>
      </w:r>
      <w:r>
        <w:t>exclusion,</w:t>
      </w:r>
      <w:r>
        <w:rPr>
          <w:spacing w:val="-9"/>
        </w:rPr>
        <w:t xml:space="preserve"> </w:t>
      </w:r>
      <w:r>
        <w:t>and</w:t>
      </w:r>
      <w:r>
        <w:rPr>
          <w:spacing w:val="-8"/>
        </w:rPr>
        <w:t xml:space="preserve"> </w:t>
      </w:r>
      <w:r>
        <w:t>full-time</w:t>
      </w:r>
      <w:r>
        <w:rPr>
          <w:spacing w:val="-9"/>
        </w:rPr>
        <w:t xml:space="preserve"> </w:t>
      </w:r>
      <w:r>
        <w:t>remote</w:t>
      </w:r>
      <w:r>
        <w:rPr>
          <w:spacing w:val="-9"/>
        </w:rPr>
        <w:t xml:space="preserve"> </w:t>
      </w:r>
      <w:r>
        <w:t>rates</w:t>
      </w:r>
      <w:r>
        <w:rPr>
          <w:spacing w:val="-9"/>
        </w:rPr>
        <w:t xml:space="preserve"> </w:t>
      </w:r>
      <w:r>
        <w:t>for</w:t>
      </w:r>
      <w:r>
        <w:rPr>
          <w:spacing w:val="-12"/>
        </w:rPr>
        <w:t xml:space="preserve"> </w:t>
      </w:r>
      <w:r>
        <w:t>eighth-grade</w:t>
      </w:r>
      <w:r>
        <w:rPr>
          <w:spacing w:val="-9"/>
        </w:rPr>
        <w:t xml:space="preserve"> </w:t>
      </w:r>
      <w:r>
        <w:t>public</w:t>
      </w:r>
      <w:r>
        <w:rPr>
          <w:spacing w:val="-8"/>
        </w:rPr>
        <w:t xml:space="preserve"> </w:t>
      </w:r>
      <w:r>
        <w:t>schools,</w:t>
      </w:r>
      <w:r>
        <w:rPr>
          <w:spacing w:val="-9"/>
        </w:rPr>
        <w:t xml:space="preserve"> </w:t>
      </w:r>
      <w:r>
        <w:t>national</w:t>
      </w:r>
      <w:r>
        <w:rPr>
          <w:spacing w:val="-9"/>
        </w:rPr>
        <w:t xml:space="preserve"> </w:t>
      </w:r>
      <w:r>
        <w:t>U.S.</w:t>
      </w:r>
      <w:r>
        <w:rPr>
          <w:spacing w:val="-9"/>
        </w:rPr>
        <w:t xml:space="preserve"> </w:t>
      </w:r>
      <w:r>
        <w:t>history</w:t>
      </w:r>
      <w:r>
        <w:rPr>
          <w:spacing w:val="-8"/>
        </w:rPr>
        <w:t xml:space="preserve"> </w:t>
      </w:r>
      <w:r>
        <w:t>assessment,</w:t>
      </w:r>
      <w:r>
        <w:rPr>
          <w:spacing w:val="-9"/>
        </w:rPr>
        <w:t xml:space="preserve"> </w:t>
      </w:r>
      <w:r>
        <w:t>by</w:t>
      </w:r>
      <w:r>
        <w:rPr>
          <w:spacing w:val="-9"/>
        </w:rPr>
        <w:t xml:space="preserve"> </w:t>
      </w:r>
      <w:r>
        <w:t>census</w:t>
      </w:r>
      <w:r>
        <w:rPr>
          <w:spacing w:val="-9"/>
        </w:rPr>
        <w:t xml:space="preserve"> </w:t>
      </w:r>
      <w:r>
        <w:t>region:</w:t>
      </w:r>
      <w:r>
        <w:rPr>
          <w:spacing w:val="-9"/>
        </w:rPr>
        <w:t xml:space="preserve"> </w:t>
      </w:r>
      <w:r>
        <w:rPr>
          <w:spacing w:val="-4"/>
        </w:rPr>
        <w:t>2022</w:t>
      </w:r>
    </w:p>
    <w:p w:rsidR="003F5784" w14:paraId="0206EDE1"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1453"/>
        <w:gridCol w:w="2684"/>
        <w:gridCol w:w="3583"/>
        <w:gridCol w:w="3595"/>
        <w:gridCol w:w="2670"/>
      </w:tblGrid>
      <w:tr w14:paraId="5898C564" w14:textId="77777777">
        <w:tblPrEx>
          <w:tblW w:w="0" w:type="auto"/>
          <w:tblInd w:w="482" w:type="dxa"/>
          <w:tblLayout w:type="fixed"/>
          <w:tblCellMar>
            <w:left w:w="0" w:type="dxa"/>
            <w:right w:w="0" w:type="dxa"/>
          </w:tblCellMar>
          <w:tblLook w:val="01E0"/>
        </w:tblPrEx>
        <w:trPr>
          <w:trHeight w:val="502"/>
        </w:trPr>
        <w:tc>
          <w:tcPr>
            <w:tcW w:w="1453" w:type="dxa"/>
            <w:tcBorders>
              <w:top w:val="single" w:sz="18" w:space="0" w:color="800000"/>
              <w:bottom w:val="single" w:sz="18" w:space="0" w:color="800000"/>
            </w:tcBorders>
          </w:tcPr>
          <w:p w:rsidR="003F5784" w14:paraId="5EE0771A" w14:textId="77777777">
            <w:pPr>
              <w:pStyle w:val="TableParagraph"/>
              <w:spacing w:before="2"/>
              <w:jc w:val="left"/>
              <w:rPr>
                <w:b/>
                <w:sz w:val="21"/>
              </w:rPr>
            </w:pPr>
          </w:p>
          <w:p w:rsidR="003F5784" w14:paraId="6445FA49" w14:textId="77777777">
            <w:pPr>
              <w:pStyle w:val="TableParagraph"/>
              <w:spacing w:before="0" w:line="238" w:lineRule="exact"/>
              <w:ind w:left="120"/>
              <w:jc w:val="left"/>
              <w:rPr>
                <w:sz w:val="21"/>
              </w:rPr>
            </w:pPr>
            <w:r>
              <w:rPr>
                <w:sz w:val="21"/>
              </w:rPr>
              <w:t>Census</w:t>
            </w:r>
            <w:r>
              <w:rPr>
                <w:spacing w:val="-8"/>
                <w:sz w:val="21"/>
              </w:rPr>
              <w:t xml:space="preserve"> </w:t>
            </w:r>
            <w:r>
              <w:rPr>
                <w:spacing w:val="-2"/>
                <w:sz w:val="21"/>
              </w:rPr>
              <w:t>region</w:t>
            </w:r>
          </w:p>
        </w:tc>
        <w:tc>
          <w:tcPr>
            <w:tcW w:w="2684" w:type="dxa"/>
            <w:tcBorders>
              <w:top w:val="single" w:sz="18" w:space="0" w:color="800000"/>
              <w:bottom w:val="single" w:sz="18" w:space="0" w:color="800000"/>
            </w:tcBorders>
          </w:tcPr>
          <w:p w:rsidR="003F5784" w14:paraId="6B9FAB31" w14:textId="77777777">
            <w:pPr>
              <w:pStyle w:val="TableParagraph"/>
              <w:spacing w:before="9" w:line="238" w:lineRule="exact"/>
              <w:ind w:right="306"/>
              <w:rPr>
                <w:sz w:val="21"/>
              </w:rPr>
            </w:pPr>
            <w:r>
              <w:rPr>
                <w:spacing w:val="-2"/>
                <w:sz w:val="21"/>
              </w:rPr>
              <w:t>Weighted student response</w:t>
            </w:r>
          </w:p>
          <w:p w:rsidR="003F5784" w14:paraId="67776D7C" w14:textId="77777777">
            <w:pPr>
              <w:pStyle w:val="TableParagraph"/>
              <w:spacing w:before="0" w:line="235" w:lineRule="exact"/>
              <w:ind w:right="306"/>
              <w:rPr>
                <w:sz w:val="21"/>
              </w:rPr>
            </w:pPr>
            <w:r>
              <w:rPr>
                <w:sz w:val="21"/>
              </w:rPr>
              <w:t>rates</w:t>
            </w:r>
            <w:r>
              <w:rPr>
                <w:spacing w:val="-5"/>
                <w:sz w:val="21"/>
              </w:rPr>
              <w:t xml:space="preserve"> </w:t>
            </w:r>
            <w:r>
              <w:rPr>
                <w:spacing w:val="-2"/>
                <w:sz w:val="21"/>
              </w:rPr>
              <w:t>(percent)</w:t>
            </w:r>
          </w:p>
        </w:tc>
        <w:tc>
          <w:tcPr>
            <w:tcW w:w="3583" w:type="dxa"/>
            <w:tcBorders>
              <w:top w:val="single" w:sz="18" w:space="0" w:color="800000"/>
              <w:bottom w:val="single" w:sz="18" w:space="0" w:color="800000"/>
            </w:tcBorders>
          </w:tcPr>
          <w:p w:rsidR="003F5784" w14:paraId="6BB02375" w14:textId="77777777">
            <w:pPr>
              <w:pStyle w:val="TableParagraph"/>
              <w:spacing w:before="14" w:line="234" w:lineRule="exact"/>
              <w:ind w:left="986" w:right="299" w:hanging="678"/>
              <w:jc w:val="left"/>
              <w:rPr>
                <w:sz w:val="21"/>
              </w:rPr>
            </w:pPr>
            <w:r>
              <w:rPr>
                <w:sz w:val="21"/>
              </w:rPr>
              <w:t>Weighted</w:t>
            </w:r>
            <w:r>
              <w:rPr>
                <w:spacing w:val="-14"/>
                <w:sz w:val="21"/>
              </w:rPr>
              <w:t xml:space="preserve"> </w:t>
            </w:r>
            <w:r>
              <w:rPr>
                <w:sz w:val="21"/>
              </w:rPr>
              <w:t>percentage</w:t>
            </w:r>
            <w:r>
              <w:rPr>
                <w:spacing w:val="-13"/>
                <w:sz w:val="21"/>
              </w:rPr>
              <w:t xml:space="preserve"> </w:t>
            </w:r>
            <w:r>
              <w:rPr>
                <w:sz w:val="21"/>
              </w:rPr>
              <w:t>of</w:t>
            </w:r>
            <w:r>
              <w:rPr>
                <w:spacing w:val="-13"/>
                <w:sz w:val="21"/>
              </w:rPr>
              <w:t xml:space="preserve"> </w:t>
            </w:r>
            <w:r>
              <w:rPr>
                <w:sz w:val="21"/>
              </w:rPr>
              <w:t>all</w:t>
            </w:r>
            <w:r>
              <w:rPr>
                <w:spacing w:val="-13"/>
                <w:sz w:val="21"/>
              </w:rPr>
              <w:t xml:space="preserve"> </w:t>
            </w:r>
            <w:r>
              <w:rPr>
                <w:sz w:val="21"/>
              </w:rPr>
              <w:t>students who</w:t>
            </w:r>
            <w:r>
              <w:rPr>
                <w:spacing w:val="-5"/>
                <w:sz w:val="21"/>
              </w:rPr>
              <w:t xml:space="preserve"> </w:t>
            </w:r>
            <w:r>
              <w:rPr>
                <w:sz w:val="21"/>
              </w:rPr>
              <w:t>were</w:t>
            </w:r>
            <w:r>
              <w:rPr>
                <w:spacing w:val="-4"/>
                <w:sz w:val="21"/>
              </w:rPr>
              <w:t xml:space="preserve"> </w:t>
            </w:r>
            <w:r>
              <w:rPr>
                <w:sz w:val="21"/>
              </w:rPr>
              <w:t>SD</w:t>
            </w:r>
            <w:r>
              <w:rPr>
                <w:spacing w:val="-5"/>
                <w:sz w:val="21"/>
              </w:rPr>
              <w:t xml:space="preserve"> </w:t>
            </w:r>
            <w:r>
              <w:rPr>
                <w:sz w:val="21"/>
              </w:rPr>
              <w:t>and</w:t>
            </w:r>
            <w:r>
              <w:rPr>
                <w:spacing w:val="-4"/>
                <w:sz w:val="21"/>
              </w:rPr>
              <w:t xml:space="preserve"> </w:t>
            </w:r>
            <w:r>
              <w:rPr>
                <w:spacing w:val="-2"/>
                <w:sz w:val="21"/>
              </w:rPr>
              <w:t>excluded</w:t>
            </w:r>
          </w:p>
        </w:tc>
        <w:tc>
          <w:tcPr>
            <w:tcW w:w="3595" w:type="dxa"/>
            <w:tcBorders>
              <w:top w:val="single" w:sz="18" w:space="0" w:color="800000"/>
              <w:bottom w:val="single" w:sz="18" w:space="0" w:color="800000"/>
            </w:tcBorders>
          </w:tcPr>
          <w:p w:rsidR="003F5784" w14:paraId="5F4D318B" w14:textId="77777777">
            <w:pPr>
              <w:pStyle w:val="TableParagraph"/>
              <w:spacing w:before="14" w:line="234" w:lineRule="exact"/>
              <w:ind w:left="999" w:right="318" w:hanging="698"/>
              <w:jc w:val="left"/>
              <w:rPr>
                <w:sz w:val="21"/>
              </w:rPr>
            </w:pPr>
            <w:r>
              <w:rPr>
                <w:sz w:val="21"/>
              </w:rPr>
              <w:t>Weighted</w:t>
            </w:r>
            <w:r>
              <w:rPr>
                <w:spacing w:val="-14"/>
                <w:sz w:val="21"/>
              </w:rPr>
              <w:t xml:space="preserve"> </w:t>
            </w:r>
            <w:r>
              <w:rPr>
                <w:sz w:val="21"/>
              </w:rPr>
              <w:t>percentage</w:t>
            </w:r>
            <w:r>
              <w:rPr>
                <w:spacing w:val="-13"/>
                <w:sz w:val="21"/>
              </w:rPr>
              <w:t xml:space="preserve"> </w:t>
            </w:r>
            <w:r>
              <w:rPr>
                <w:sz w:val="21"/>
              </w:rPr>
              <w:t>of</w:t>
            </w:r>
            <w:r>
              <w:rPr>
                <w:spacing w:val="-13"/>
                <w:sz w:val="21"/>
              </w:rPr>
              <w:t xml:space="preserve"> </w:t>
            </w:r>
            <w:r>
              <w:rPr>
                <w:sz w:val="21"/>
              </w:rPr>
              <w:t>all</w:t>
            </w:r>
            <w:r>
              <w:rPr>
                <w:spacing w:val="-13"/>
                <w:sz w:val="21"/>
              </w:rPr>
              <w:t xml:space="preserve"> </w:t>
            </w:r>
            <w:r>
              <w:rPr>
                <w:sz w:val="21"/>
              </w:rPr>
              <w:t>students who</w:t>
            </w:r>
            <w:r>
              <w:rPr>
                <w:spacing w:val="-5"/>
                <w:sz w:val="21"/>
              </w:rPr>
              <w:t xml:space="preserve"> </w:t>
            </w:r>
            <w:r>
              <w:rPr>
                <w:sz w:val="21"/>
              </w:rPr>
              <w:t>were</w:t>
            </w:r>
            <w:r>
              <w:rPr>
                <w:spacing w:val="-4"/>
                <w:sz w:val="21"/>
              </w:rPr>
              <w:t xml:space="preserve"> </w:t>
            </w:r>
            <w:r>
              <w:rPr>
                <w:sz w:val="21"/>
              </w:rPr>
              <w:t>EL</w:t>
            </w:r>
            <w:r>
              <w:rPr>
                <w:spacing w:val="-12"/>
                <w:sz w:val="21"/>
              </w:rPr>
              <w:t xml:space="preserve"> </w:t>
            </w:r>
            <w:r>
              <w:rPr>
                <w:sz w:val="21"/>
              </w:rPr>
              <w:t>and</w:t>
            </w:r>
            <w:r>
              <w:rPr>
                <w:spacing w:val="-5"/>
                <w:sz w:val="21"/>
              </w:rPr>
              <w:t xml:space="preserve"> </w:t>
            </w:r>
            <w:r>
              <w:rPr>
                <w:spacing w:val="-2"/>
                <w:sz w:val="21"/>
              </w:rPr>
              <w:t>excluded</w:t>
            </w:r>
          </w:p>
        </w:tc>
        <w:tc>
          <w:tcPr>
            <w:tcW w:w="2670" w:type="dxa"/>
            <w:tcBorders>
              <w:top w:val="single" w:sz="18" w:space="0" w:color="800000"/>
              <w:bottom w:val="single" w:sz="18" w:space="0" w:color="800000"/>
            </w:tcBorders>
          </w:tcPr>
          <w:p w:rsidR="003F5784" w14:paraId="2F728D05" w14:textId="77777777">
            <w:pPr>
              <w:pStyle w:val="TableParagraph"/>
              <w:spacing w:before="14" w:line="234" w:lineRule="exact"/>
              <w:ind w:left="720" w:right="117" w:hanging="401"/>
              <w:jc w:val="left"/>
              <w:rPr>
                <w:sz w:val="21"/>
              </w:rPr>
            </w:pPr>
            <w:r>
              <w:rPr>
                <w:spacing w:val="-2"/>
                <w:sz w:val="21"/>
              </w:rPr>
              <w:t>Weighted</w:t>
            </w:r>
            <w:r>
              <w:rPr>
                <w:spacing w:val="-11"/>
                <w:sz w:val="21"/>
              </w:rPr>
              <w:t xml:space="preserve"> </w:t>
            </w:r>
            <w:r>
              <w:rPr>
                <w:spacing w:val="-2"/>
                <w:sz w:val="21"/>
              </w:rPr>
              <w:t>student</w:t>
            </w:r>
            <w:r>
              <w:rPr>
                <w:spacing w:val="-11"/>
                <w:sz w:val="21"/>
              </w:rPr>
              <w:t xml:space="preserve"> </w:t>
            </w:r>
            <w:r>
              <w:rPr>
                <w:spacing w:val="-2"/>
                <w:sz w:val="21"/>
              </w:rPr>
              <w:t xml:space="preserve">full-time </w:t>
            </w:r>
            <w:r>
              <w:rPr>
                <w:sz w:val="21"/>
              </w:rPr>
              <w:t>remote</w:t>
            </w:r>
            <w:r>
              <w:rPr>
                <w:spacing w:val="-6"/>
                <w:sz w:val="21"/>
              </w:rPr>
              <w:t xml:space="preserve"> </w:t>
            </w:r>
            <w:r>
              <w:rPr>
                <w:sz w:val="21"/>
              </w:rPr>
              <w:t>rates</w:t>
            </w:r>
            <w:r>
              <w:rPr>
                <w:spacing w:val="-6"/>
                <w:sz w:val="21"/>
              </w:rPr>
              <w:t xml:space="preserve"> </w:t>
            </w:r>
            <w:r>
              <w:rPr>
                <w:spacing w:val="-2"/>
                <w:sz w:val="21"/>
              </w:rPr>
              <w:t>(percent)</w:t>
            </w:r>
          </w:p>
        </w:tc>
      </w:tr>
      <w:tr w14:paraId="241DA935" w14:textId="77777777">
        <w:tblPrEx>
          <w:tblW w:w="0" w:type="auto"/>
          <w:tblInd w:w="482" w:type="dxa"/>
          <w:tblLayout w:type="fixed"/>
          <w:tblCellMar>
            <w:left w:w="0" w:type="dxa"/>
            <w:right w:w="0" w:type="dxa"/>
          </w:tblCellMar>
          <w:tblLook w:val="01E0"/>
        </w:tblPrEx>
        <w:trPr>
          <w:trHeight w:val="278"/>
        </w:trPr>
        <w:tc>
          <w:tcPr>
            <w:tcW w:w="1453" w:type="dxa"/>
            <w:tcBorders>
              <w:top w:val="single" w:sz="18" w:space="0" w:color="800000"/>
            </w:tcBorders>
          </w:tcPr>
          <w:p w:rsidR="003F5784" w14:paraId="77D97F97" w14:textId="77777777">
            <w:pPr>
              <w:pStyle w:val="TableParagraph"/>
              <w:spacing w:before="9"/>
              <w:ind w:left="370"/>
              <w:jc w:val="left"/>
              <w:rPr>
                <w:b/>
                <w:sz w:val="21"/>
              </w:rPr>
            </w:pPr>
            <w:r>
              <w:rPr>
                <w:b/>
                <w:spacing w:val="-2"/>
                <w:sz w:val="21"/>
              </w:rPr>
              <w:t>National</w:t>
            </w:r>
          </w:p>
        </w:tc>
        <w:tc>
          <w:tcPr>
            <w:tcW w:w="2684" w:type="dxa"/>
            <w:tcBorders>
              <w:top w:val="single" w:sz="18" w:space="0" w:color="800000"/>
            </w:tcBorders>
          </w:tcPr>
          <w:p w:rsidR="003F5784" w14:paraId="6E00C421" w14:textId="77777777">
            <w:pPr>
              <w:pStyle w:val="TableParagraph"/>
              <w:spacing w:before="9"/>
              <w:ind w:right="306"/>
              <w:rPr>
                <w:b/>
                <w:sz w:val="21"/>
              </w:rPr>
            </w:pPr>
            <w:r>
              <w:rPr>
                <w:b/>
                <w:spacing w:val="-2"/>
                <w:sz w:val="21"/>
              </w:rPr>
              <w:t>89.58</w:t>
            </w:r>
          </w:p>
        </w:tc>
        <w:tc>
          <w:tcPr>
            <w:tcW w:w="3583" w:type="dxa"/>
            <w:tcBorders>
              <w:top w:val="single" w:sz="18" w:space="0" w:color="800000"/>
            </w:tcBorders>
          </w:tcPr>
          <w:p w:rsidR="003F5784" w14:paraId="2E7124FE" w14:textId="77777777">
            <w:pPr>
              <w:pStyle w:val="TableParagraph"/>
              <w:spacing w:before="9"/>
              <w:ind w:right="301"/>
              <w:rPr>
                <w:b/>
                <w:sz w:val="21"/>
              </w:rPr>
            </w:pPr>
            <w:r>
              <w:rPr>
                <w:b/>
                <w:spacing w:val="-4"/>
                <w:sz w:val="21"/>
              </w:rPr>
              <w:t>1.42</w:t>
            </w:r>
          </w:p>
        </w:tc>
        <w:tc>
          <w:tcPr>
            <w:tcW w:w="3595" w:type="dxa"/>
            <w:tcBorders>
              <w:top w:val="single" w:sz="18" w:space="0" w:color="800000"/>
            </w:tcBorders>
          </w:tcPr>
          <w:p w:rsidR="003F5784" w14:paraId="45A4F99E" w14:textId="77777777">
            <w:pPr>
              <w:pStyle w:val="TableParagraph"/>
              <w:spacing w:before="9"/>
              <w:ind w:right="319"/>
              <w:rPr>
                <w:b/>
                <w:sz w:val="21"/>
              </w:rPr>
            </w:pPr>
            <w:r>
              <w:rPr>
                <w:b/>
                <w:spacing w:val="-4"/>
                <w:sz w:val="21"/>
              </w:rPr>
              <w:t>0.51</w:t>
            </w:r>
          </w:p>
        </w:tc>
        <w:tc>
          <w:tcPr>
            <w:tcW w:w="2670" w:type="dxa"/>
            <w:tcBorders>
              <w:top w:val="single" w:sz="18" w:space="0" w:color="800000"/>
            </w:tcBorders>
          </w:tcPr>
          <w:p w:rsidR="003F5784" w14:paraId="6508F7F7" w14:textId="77777777">
            <w:pPr>
              <w:pStyle w:val="TableParagraph"/>
              <w:spacing w:before="9"/>
              <w:ind w:right="118"/>
              <w:rPr>
                <w:b/>
                <w:sz w:val="21"/>
              </w:rPr>
            </w:pPr>
            <w:r>
              <w:rPr>
                <w:b/>
                <w:spacing w:val="-4"/>
                <w:sz w:val="21"/>
              </w:rPr>
              <w:t>1.09</w:t>
            </w:r>
          </w:p>
        </w:tc>
      </w:tr>
      <w:tr w14:paraId="168630CC" w14:textId="77777777">
        <w:tblPrEx>
          <w:tblW w:w="0" w:type="auto"/>
          <w:tblInd w:w="482" w:type="dxa"/>
          <w:tblLayout w:type="fixed"/>
          <w:tblCellMar>
            <w:left w:w="0" w:type="dxa"/>
            <w:right w:w="0" w:type="dxa"/>
          </w:tblCellMar>
          <w:tblLook w:val="01E0"/>
        </w:tblPrEx>
        <w:trPr>
          <w:trHeight w:val="286"/>
        </w:trPr>
        <w:tc>
          <w:tcPr>
            <w:tcW w:w="1453" w:type="dxa"/>
          </w:tcPr>
          <w:p w:rsidR="003F5784" w14:paraId="20F10E01" w14:textId="77777777">
            <w:pPr>
              <w:pStyle w:val="TableParagraph"/>
              <w:ind w:left="120"/>
              <w:jc w:val="left"/>
              <w:rPr>
                <w:sz w:val="21"/>
              </w:rPr>
            </w:pPr>
            <w:r>
              <w:rPr>
                <w:spacing w:val="-2"/>
                <w:sz w:val="21"/>
              </w:rPr>
              <w:t>Northeast</w:t>
            </w:r>
          </w:p>
        </w:tc>
        <w:tc>
          <w:tcPr>
            <w:tcW w:w="2684" w:type="dxa"/>
          </w:tcPr>
          <w:p w:rsidR="003F5784" w14:paraId="5AB2F53C" w14:textId="77777777">
            <w:pPr>
              <w:pStyle w:val="TableParagraph"/>
              <w:ind w:right="306"/>
              <w:rPr>
                <w:sz w:val="21"/>
              </w:rPr>
            </w:pPr>
            <w:r>
              <w:rPr>
                <w:spacing w:val="-2"/>
                <w:sz w:val="21"/>
              </w:rPr>
              <w:t>88.37</w:t>
            </w:r>
          </w:p>
        </w:tc>
        <w:tc>
          <w:tcPr>
            <w:tcW w:w="3583" w:type="dxa"/>
          </w:tcPr>
          <w:p w:rsidR="003F5784" w14:paraId="1E76D378" w14:textId="77777777">
            <w:pPr>
              <w:pStyle w:val="TableParagraph"/>
              <w:ind w:right="301"/>
              <w:rPr>
                <w:sz w:val="21"/>
              </w:rPr>
            </w:pPr>
            <w:r>
              <w:rPr>
                <w:spacing w:val="-4"/>
                <w:sz w:val="21"/>
              </w:rPr>
              <w:t>1.33</w:t>
            </w:r>
          </w:p>
        </w:tc>
        <w:tc>
          <w:tcPr>
            <w:tcW w:w="3595" w:type="dxa"/>
          </w:tcPr>
          <w:p w:rsidR="003F5784" w14:paraId="4F9B5FCF" w14:textId="77777777">
            <w:pPr>
              <w:pStyle w:val="TableParagraph"/>
              <w:ind w:right="319"/>
              <w:rPr>
                <w:sz w:val="21"/>
              </w:rPr>
            </w:pPr>
            <w:r>
              <w:rPr>
                <w:spacing w:val="-4"/>
                <w:sz w:val="21"/>
              </w:rPr>
              <w:t>0.58</w:t>
            </w:r>
          </w:p>
        </w:tc>
        <w:tc>
          <w:tcPr>
            <w:tcW w:w="2670" w:type="dxa"/>
          </w:tcPr>
          <w:p w:rsidR="003F5784" w14:paraId="16B77167" w14:textId="77777777">
            <w:pPr>
              <w:pStyle w:val="TableParagraph"/>
              <w:ind w:right="118"/>
              <w:rPr>
                <w:sz w:val="21"/>
              </w:rPr>
            </w:pPr>
            <w:r>
              <w:rPr>
                <w:spacing w:val="-4"/>
                <w:sz w:val="21"/>
              </w:rPr>
              <w:t>0.64</w:t>
            </w:r>
          </w:p>
        </w:tc>
      </w:tr>
      <w:tr w14:paraId="08CCA756" w14:textId="77777777">
        <w:tblPrEx>
          <w:tblW w:w="0" w:type="auto"/>
          <w:tblInd w:w="482" w:type="dxa"/>
          <w:tblLayout w:type="fixed"/>
          <w:tblCellMar>
            <w:left w:w="0" w:type="dxa"/>
            <w:right w:w="0" w:type="dxa"/>
          </w:tblCellMar>
          <w:tblLook w:val="01E0"/>
        </w:tblPrEx>
        <w:trPr>
          <w:trHeight w:val="286"/>
        </w:trPr>
        <w:tc>
          <w:tcPr>
            <w:tcW w:w="1453" w:type="dxa"/>
          </w:tcPr>
          <w:p w:rsidR="003F5784" w14:paraId="350AB450" w14:textId="77777777">
            <w:pPr>
              <w:pStyle w:val="TableParagraph"/>
              <w:ind w:left="120"/>
              <w:jc w:val="left"/>
              <w:rPr>
                <w:sz w:val="21"/>
              </w:rPr>
            </w:pPr>
            <w:r>
              <w:rPr>
                <w:spacing w:val="-2"/>
                <w:sz w:val="21"/>
              </w:rPr>
              <w:t>Midwest</w:t>
            </w:r>
          </w:p>
        </w:tc>
        <w:tc>
          <w:tcPr>
            <w:tcW w:w="2684" w:type="dxa"/>
          </w:tcPr>
          <w:p w:rsidR="003F5784" w14:paraId="76B42F5C" w14:textId="77777777">
            <w:pPr>
              <w:pStyle w:val="TableParagraph"/>
              <w:ind w:right="306"/>
              <w:rPr>
                <w:sz w:val="21"/>
              </w:rPr>
            </w:pPr>
            <w:r>
              <w:rPr>
                <w:spacing w:val="-2"/>
                <w:sz w:val="21"/>
              </w:rPr>
              <w:t>90.85</w:t>
            </w:r>
          </w:p>
        </w:tc>
        <w:tc>
          <w:tcPr>
            <w:tcW w:w="3583" w:type="dxa"/>
          </w:tcPr>
          <w:p w:rsidR="003F5784" w14:paraId="7989D581" w14:textId="77777777">
            <w:pPr>
              <w:pStyle w:val="TableParagraph"/>
              <w:ind w:right="301"/>
              <w:rPr>
                <w:sz w:val="21"/>
              </w:rPr>
            </w:pPr>
            <w:r>
              <w:rPr>
                <w:spacing w:val="-4"/>
                <w:sz w:val="21"/>
              </w:rPr>
              <w:t>0.98</w:t>
            </w:r>
          </w:p>
        </w:tc>
        <w:tc>
          <w:tcPr>
            <w:tcW w:w="3595" w:type="dxa"/>
          </w:tcPr>
          <w:p w:rsidR="003F5784" w14:paraId="37D0A415" w14:textId="77777777">
            <w:pPr>
              <w:pStyle w:val="TableParagraph"/>
              <w:ind w:right="319"/>
              <w:rPr>
                <w:sz w:val="21"/>
              </w:rPr>
            </w:pPr>
            <w:r>
              <w:rPr>
                <w:spacing w:val="-4"/>
                <w:sz w:val="21"/>
              </w:rPr>
              <w:t>0.40</w:t>
            </w:r>
          </w:p>
        </w:tc>
        <w:tc>
          <w:tcPr>
            <w:tcW w:w="2670" w:type="dxa"/>
          </w:tcPr>
          <w:p w:rsidR="003F5784" w14:paraId="5A339AF6" w14:textId="77777777">
            <w:pPr>
              <w:pStyle w:val="TableParagraph"/>
              <w:ind w:right="118"/>
              <w:rPr>
                <w:sz w:val="21"/>
              </w:rPr>
            </w:pPr>
            <w:r>
              <w:rPr>
                <w:spacing w:val="-4"/>
                <w:sz w:val="21"/>
              </w:rPr>
              <w:t>0.86</w:t>
            </w:r>
          </w:p>
        </w:tc>
      </w:tr>
      <w:tr w14:paraId="70CCDA8F" w14:textId="77777777">
        <w:tblPrEx>
          <w:tblW w:w="0" w:type="auto"/>
          <w:tblInd w:w="482" w:type="dxa"/>
          <w:tblLayout w:type="fixed"/>
          <w:tblCellMar>
            <w:left w:w="0" w:type="dxa"/>
            <w:right w:w="0" w:type="dxa"/>
          </w:tblCellMar>
          <w:tblLook w:val="01E0"/>
        </w:tblPrEx>
        <w:trPr>
          <w:trHeight w:val="286"/>
        </w:trPr>
        <w:tc>
          <w:tcPr>
            <w:tcW w:w="1453" w:type="dxa"/>
          </w:tcPr>
          <w:p w:rsidR="003F5784" w14:paraId="2E3C4B29" w14:textId="77777777">
            <w:pPr>
              <w:pStyle w:val="TableParagraph"/>
              <w:ind w:left="120"/>
              <w:jc w:val="left"/>
              <w:rPr>
                <w:sz w:val="21"/>
              </w:rPr>
            </w:pPr>
            <w:r>
              <w:rPr>
                <w:spacing w:val="-2"/>
                <w:sz w:val="21"/>
              </w:rPr>
              <w:t>South</w:t>
            </w:r>
          </w:p>
        </w:tc>
        <w:tc>
          <w:tcPr>
            <w:tcW w:w="2684" w:type="dxa"/>
          </w:tcPr>
          <w:p w:rsidR="003F5784" w14:paraId="5A1C3138" w14:textId="77777777">
            <w:pPr>
              <w:pStyle w:val="TableParagraph"/>
              <w:ind w:right="306"/>
              <w:rPr>
                <w:sz w:val="21"/>
              </w:rPr>
            </w:pPr>
            <w:r>
              <w:rPr>
                <w:spacing w:val="-2"/>
                <w:sz w:val="21"/>
              </w:rPr>
              <w:t>89.70</w:t>
            </w:r>
          </w:p>
        </w:tc>
        <w:tc>
          <w:tcPr>
            <w:tcW w:w="3583" w:type="dxa"/>
          </w:tcPr>
          <w:p w:rsidR="003F5784" w14:paraId="06991C92" w14:textId="77777777">
            <w:pPr>
              <w:pStyle w:val="TableParagraph"/>
              <w:ind w:right="301"/>
              <w:rPr>
                <w:sz w:val="21"/>
              </w:rPr>
            </w:pPr>
            <w:r>
              <w:rPr>
                <w:spacing w:val="-4"/>
                <w:sz w:val="21"/>
              </w:rPr>
              <w:t>1.54</w:t>
            </w:r>
          </w:p>
        </w:tc>
        <w:tc>
          <w:tcPr>
            <w:tcW w:w="3595" w:type="dxa"/>
          </w:tcPr>
          <w:p w:rsidR="003F5784" w14:paraId="3AE9BDBE" w14:textId="77777777">
            <w:pPr>
              <w:pStyle w:val="TableParagraph"/>
              <w:ind w:right="319"/>
              <w:rPr>
                <w:sz w:val="21"/>
              </w:rPr>
            </w:pPr>
            <w:r>
              <w:rPr>
                <w:spacing w:val="-4"/>
                <w:sz w:val="21"/>
              </w:rPr>
              <w:t>0.52</w:t>
            </w:r>
          </w:p>
        </w:tc>
        <w:tc>
          <w:tcPr>
            <w:tcW w:w="2670" w:type="dxa"/>
          </w:tcPr>
          <w:p w:rsidR="003F5784" w14:paraId="3420FE69" w14:textId="77777777">
            <w:pPr>
              <w:pStyle w:val="TableParagraph"/>
              <w:ind w:right="118"/>
              <w:rPr>
                <w:sz w:val="21"/>
              </w:rPr>
            </w:pPr>
            <w:r>
              <w:rPr>
                <w:spacing w:val="-4"/>
                <w:sz w:val="21"/>
              </w:rPr>
              <w:t>1.08</w:t>
            </w:r>
          </w:p>
        </w:tc>
      </w:tr>
      <w:tr w14:paraId="275580A9" w14:textId="77777777">
        <w:tblPrEx>
          <w:tblW w:w="0" w:type="auto"/>
          <w:tblInd w:w="482" w:type="dxa"/>
          <w:tblLayout w:type="fixed"/>
          <w:tblCellMar>
            <w:left w:w="0" w:type="dxa"/>
            <w:right w:w="0" w:type="dxa"/>
          </w:tblCellMar>
          <w:tblLook w:val="01E0"/>
        </w:tblPrEx>
        <w:trPr>
          <w:trHeight w:val="288"/>
        </w:trPr>
        <w:tc>
          <w:tcPr>
            <w:tcW w:w="1453" w:type="dxa"/>
            <w:tcBorders>
              <w:bottom w:val="single" w:sz="18" w:space="0" w:color="800000"/>
            </w:tcBorders>
          </w:tcPr>
          <w:p w:rsidR="003F5784" w14:paraId="7DE986AC" w14:textId="77777777">
            <w:pPr>
              <w:pStyle w:val="TableParagraph"/>
              <w:ind w:left="120"/>
              <w:jc w:val="left"/>
              <w:rPr>
                <w:sz w:val="21"/>
              </w:rPr>
            </w:pPr>
            <w:r>
              <w:rPr>
                <w:spacing w:val="-4"/>
                <w:sz w:val="21"/>
              </w:rPr>
              <w:t>West</w:t>
            </w:r>
          </w:p>
        </w:tc>
        <w:tc>
          <w:tcPr>
            <w:tcW w:w="2684" w:type="dxa"/>
            <w:tcBorders>
              <w:bottom w:val="single" w:sz="18" w:space="0" w:color="800000"/>
            </w:tcBorders>
          </w:tcPr>
          <w:p w:rsidR="003F5784" w14:paraId="02E075E4" w14:textId="77777777">
            <w:pPr>
              <w:pStyle w:val="TableParagraph"/>
              <w:ind w:right="306"/>
              <w:rPr>
                <w:sz w:val="21"/>
              </w:rPr>
            </w:pPr>
            <w:r>
              <w:rPr>
                <w:spacing w:val="-2"/>
                <w:sz w:val="21"/>
              </w:rPr>
              <w:t>88.87</w:t>
            </w:r>
          </w:p>
        </w:tc>
        <w:tc>
          <w:tcPr>
            <w:tcW w:w="3583" w:type="dxa"/>
            <w:tcBorders>
              <w:bottom w:val="single" w:sz="18" w:space="0" w:color="800000"/>
            </w:tcBorders>
          </w:tcPr>
          <w:p w:rsidR="003F5784" w14:paraId="7817539D" w14:textId="77777777">
            <w:pPr>
              <w:pStyle w:val="TableParagraph"/>
              <w:ind w:right="301"/>
              <w:rPr>
                <w:sz w:val="21"/>
              </w:rPr>
            </w:pPr>
            <w:r>
              <w:rPr>
                <w:spacing w:val="-4"/>
                <w:sz w:val="21"/>
              </w:rPr>
              <w:t>1.68</w:t>
            </w:r>
          </w:p>
        </w:tc>
        <w:tc>
          <w:tcPr>
            <w:tcW w:w="3595" w:type="dxa"/>
            <w:tcBorders>
              <w:bottom w:val="single" w:sz="18" w:space="0" w:color="800000"/>
            </w:tcBorders>
          </w:tcPr>
          <w:p w:rsidR="003F5784" w14:paraId="31EF9930" w14:textId="77777777">
            <w:pPr>
              <w:pStyle w:val="TableParagraph"/>
              <w:ind w:right="319"/>
              <w:rPr>
                <w:sz w:val="21"/>
              </w:rPr>
            </w:pPr>
            <w:r>
              <w:rPr>
                <w:spacing w:val="-4"/>
                <w:sz w:val="21"/>
              </w:rPr>
              <w:t>0.56</w:t>
            </w:r>
          </w:p>
        </w:tc>
        <w:tc>
          <w:tcPr>
            <w:tcW w:w="2670" w:type="dxa"/>
            <w:tcBorders>
              <w:bottom w:val="single" w:sz="18" w:space="0" w:color="800000"/>
            </w:tcBorders>
          </w:tcPr>
          <w:p w:rsidR="003F5784" w14:paraId="4FD48740" w14:textId="77777777">
            <w:pPr>
              <w:pStyle w:val="TableParagraph"/>
              <w:ind w:right="118"/>
              <w:rPr>
                <w:sz w:val="21"/>
              </w:rPr>
            </w:pPr>
            <w:r>
              <w:rPr>
                <w:spacing w:val="-4"/>
                <w:sz w:val="21"/>
              </w:rPr>
              <w:t>1.63</w:t>
            </w:r>
          </w:p>
        </w:tc>
      </w:tr>
      <w:tr w14:paraId="23803144" w14:textId="77777777">
        <w:tblPrEx>
          <w:tblW w:w="0" w:type="auto"/>
          <w:tblInd w:w="482" w:type="dxa"/>
          <w:tblLayout w:type="fixed"/>
          <w:tblCellMar>
            <w:left w:w="0" w:type="dxa"/>
            <w:right w:w="0" w:type="dxa"/>
          </w:tblCellMar>
          <w:tblLook w:val="01E0"/>
        </w:tblPrEx>
        <w:trPr>
          <w:trHeight w:val="472"/>
        </w:trPr>
        <w:tc>
          <w:tcPr>
            <w:tcW w:w="13985" w:type="dxa"/>
            <w:gridSpan w:val="5"/>
            <w:tcBorders>
              <w:top w:val="single" w:sz="18" w:space="0" w:color="800000"/>
            </w:tcBorders>
          </w:tcPr>
          <w:p w:rsidR="003F5784" w14:paraId="1635A824" w14:textId="77777777">
            <w:pPr>
              <w:pStyle w:val="TableParagraph"/>
              <w:spacing w:before="0" w:line="234" w:lineRule="exact"/>
              <w:ind w:left="120"/>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Progress (NAEP), 2022 U.S. History Assessment.</w:t>
            </w:r>
          </w:p>
        </w:tc>
      </w:tr>
    </w:tbl>
    <w:p w:rsidR="003F5784" w14:paraId="07EEBC6C" w14:textId="77777777">
      <w:pPr>
        <w:pStyle w:val="BodyText"/>
        <w:rPr>
          <w:b/>
        </w:rPr>
      </w:pPr>
    </w:p>
    <w:p w:rsidR="003F5784" w14:paraId="6CBF2FFB" w14:textId="77777777">
      <w:pPr>
        <w:pStyle w:val="BodyText"/>
        <w:rPr>
          <w:b/>
        </w:rPr>
      </w:pPr>
    </w:p>
    <w:p w:rsidR="003F5784" w14:paraId="7DA0AB96" w14:textId="77777777">
      <w:pPr>
        <w:pStyle w:val="BodyText"/>
        <w:spacing w:before="197"/>
        <w:rPr>
          <w:b/>
        </w:rPr>
      </w:pPr>
    </w:p>
    <w:p w:rsidR="003F5784" w14:paraId="17E39FFE" w14:textId="77777777">
      <w:pPr>
        <w:ind w:left="1205"/>
        <w:rPr>
          <w:sz w:val="18"/>
        </w:rPr>
      </w:pPr>
      <w:hyperlink r:id="rId58">
        <w:r>
          <w:rPr>
            <w:spacing w:val="-2"/>
            <w:w w:val="105"/>
            <w:sz w:val="18"/>
          </w:rPr>
          <w:t>http://nces.ed.gov/nationsreportcard/tdw/sample_design/2022/weighted_student_response_and_exclusion_rates_for_the_2022_8th_grade_public_school_nat_us_history_assess.aspx</w:t>
        </w:r>
      </w:hyperlink>
    </w:p>
    <w:p w:rsidR="003F5784" w14:paraId="127D888D" w14:textId="77777777">
      <w:pPr>
        <w:pStyle w:val="BodyText"/>
        <w:spacing w:before="1"/>
        <w:rPr>
          <w:sz w:val="16"/>
        </w:rPr>
      </w:pPr>
      <w:r>
        <w:rPr>
          <w:noProof/>
        </w:rPr>
        <mc:AlternateContent>
          <mc:Choice Requires="wps">
            <w:drawing>
              <wp:anchor distT="0" distB="0" distL="0" distR="0" simplePos="0" relativeHeight="251773952" behindDoc="1" locked="0" layoutInCell="1" allowOverlap="1">
                <wp:simplePos x="0" y="0"/>
                <wp:positionH relativeFrom="page">
                  <wp:posOffset>361937</wp:posOffset>
                </wp:positionH>
                <wp:positionV relativeFrom="paragraph">
                  <wp:posOffset>132905</wp:posOffset>
                </wp:positionV>
                <wp:extent cx="9339580" cy="8890"/>
                <wp:effectExtent l="0" t="0" r="0" b="0"/>
                <wp:wrapTopAndBottom/>
                <wp:docPr id="76" name="Graphic 7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8280" y="8280"/>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76" o:spid="_x0000_s1058" style="width:735.4pt;height:0.7pt;margin-top:10.45pt;margin-left:28.5pt;mso-position-horizontal-relative:page;mso-wrap-distance-bottom:0;mso-wrap-distance-left:0;mso-wrap-distance-right:0;mso-wrap-distance-top:0;mso-wrap-style:square;position:absolute;visibility:visible;v-text-anchor:top;z-index:-251541504" coordsize="9339580,8890" path="m9338970,l9335110,l8280,,,,,8267l8280,8280l9335110,8267l9338970,8267l9338970,xe" fillcolor="gray" stroked="f">
                <v:path arrowok="t"/>
                <w10:wrap type="topAndBottom"/>
              </v:shape>
            </w:pict>
          </mc:Fallback>
        </mc:AlternateContent>
      </w:r>
    </w:p>
    <w:p w:rsidR="003F5784" w14:paraId="74EC4251" w14:textId="77777777">
      <w:pPr>
        <w:pStyle w:val="BodyText"/>
        <w:rPr>
          <w:sz w:val="18"/>
        </w:rPr>
      </w:pPr>
    </w:p>
    <w:p w:rsidR="003F5784" w14:paraId="26B90700" w14:textId="77777777">
      <w:pPr>
        <w:pStyle w:val="BodyText"/>
        <w:spacing w:before="193"/>
        <w:rPr>
          <w:sz w:val="18"/>
        </w:rPr>
      </w:pPr>
    </w:p>
    <w:p w:rsidR="003F5784" w14:paraId="234E624B" w14:textId="3772964E">
      <w:pPr>
        <w:pStyle w:val="Heading1"/>
        <w:spacing w:line="244" w:lineRule="auto"/>
        <w:ind w:right="179"/>
      </w:pPr>
      <w:r>
        <w:t>NAEP</w:t>
      </w:r>
      <w:r>
        <w:rPr>
          <w:spacing w:val="-16"/>
        </w:rPr>
        <w:t xml:space="preserve"> </w:t>
      </w:r>
      <w:r>
        <w:t>Technical Documentation</w:t>
      </w:r>
      <w:r w:rsidR="004833F9">
        <w:t xml:space="preserve"> </w:t>
      </w:r>
      <w:r>
        <w:t>School Sample Selection for the 2022 Eighth- Grade Public School National Assessment in Civics and U.S. History</w:t>
      </w:r>
    </w:p>
    <w:p w:rsidR="003F5784" w14:paraId="111DA22D" w14:textId="77777777">
      <w:pPr>
        <w:pStyle w:val="BodyText"/>
        <w:spacing w:before="7"/>
        <w:rPr>
          <w:b/>
          <w:sz w:val="16"/>
        </w:rPr>
      </w:pPr>
    </w:p>
    <w:p w:rsidR="003F5784" w14:paraId="38E36467" w14:textId="77777777">
      <w:pPr>
        <w:rPr>
          <w:sz w:val="16"/>
        </w:rPr>
        <w:sectPr>
          <w:pgSz w:w="15840" w:h="12240" w:orient="landscape"/>
          <w:pgMar w:top="480" w:right="440" w:bottom="460" w:left="460" w:header="284" w:footer="275" w:gutter="0"/>
          <w:cols w:space="720"/>
        </w:sectPr>
      </w:pPr>
    </w:p>
    <w:p w:rsidR="003F5784" w14:paraId="068F84E9" w14:textId="77777777">
      <w:pPr>
        <w:pStyle w:val="BodyText"/>
        <w:spacing w:before="96" w:line="232" w:lineRule="auto"/>
        <w:ind w:left="109" w:right="38"/>
      </w:pPr>
      <w:r>
        <w:t>The sampled schools for the eighth-grade public school national assessments in civics and U.S. history came from two frames: the primary public school sample frame constructed from the Common Core of Data (CCD) and the supplemental new-school sample frame. Schools were sampled from each school frame with probability proportional to size using systematic sampling. Prior to sampling,</w:t>
      </w:r>
      <w:r>
        <w:rPr>
          <w:spacing w:val="-5"/>
        </w:rPr>
        <w:t xml:space="preserve"> </w:t>
      </w:r>
      <w:r>
        <w:t>schools</w:t>
      </w:r>
      <w:r>
        <w:rPr>
          <w:spacing w:val="-5"/>
        </w:rPr>
        <w:t xml:space="preserve"> </w:t>
      </w:r>
      <w:r>
        <w:t>in</w:t>
      </w:r>
      <w:r>
        <w:rPr>
          <w:spacing w:val="-5"/>
        </w:rPr>
        <w:t xml:space="preserve"> </w:t>
      </w:r>
      <w:r>
        <w:t>each</w:t>
      </w:r>
      <w:r>
        <w:rPr>
          <w:spacing w:val="-5"/>
        </w:rPr>
        <w:t xml:space="preserve"> </w:t>
      </w:r>
      <w:r>
        <w:t>frame</w:t>
      </w:r>
      <w:r>
        <w:rPr>
          <w:spacing w:val="-5"/>
        </w:rPr>
        <w:t xml:space="preserve"> </w:t>
      </w:r>
      <w:r>
        <w:t>were</w:t>
      </w:r>
      <w:r>
        <w:rPr>
          <w:spacing w:val="-5"/>
        </w:rPr>
        <w:t xml:space="preserve"> </w:t>
      </w:r>
      <w:r>
        <w:t>sorted</w:t>
      </w:r>
      <w:r>
        <w:rPr>
          <w:spacing w:val="-5"/>
        </w:rPr>
        <w:t xml:space="preserve"> </w:t>
      </w:r>
      <w:r>
        <w:t>by</w:t>
      </w:r>
      <w:r>
        <w:rPr>
          <w:spacing w:val="-5"/>
        </w:rPr>
        <w:t xml:space="preserve"> </w:t>
      </w:r>
      <w:r>
        <w:t>the</w:t>
      </w:r>
      <w:r>
        <w:rPr>
          <w:spacing w:val="-5"/>
        </w:rPr>
        <w:t xml:space="preserve"> </w:t>
      </w:r>
      <w:r>
        <w:t>appropriate</w:t>
      </w:r>
      <w:r>
        <w:rPr>
          <w:spacing w:val="-5"/>
        </w:rPr>
        <w:t xml:space="preserve"> </w:t>
      </w:r>
      <w:r>
        <w:t>implicit</w:t>
      </w:r>
      <w:r>
        <w:rPr>
          <w:spacing w:val="-5"/>
        </w:rPr>
        <w:t xml:space="preserve"> </w:t>
      </w:r>
      <w:r>
        <w:t>stratification</w:t>
      </w:r>
      <w:r>
        <w:rPr>
          <w:spacing w:val="-5"/>
        </w:rPr>
        <w:t xml:space="preserve"> </w:t>
      </w:r>
      <w:r>
        <w:t>variables</w:t>
      </w:r>
      <w:r>
        <w:rPr>
          <w:spacing w:val="-5"/>
        </w:rPr>
        <w:t xml:space="preserve"> </w:t>
      </w:r>
      <w:r>
        <w:t>in</w:t>
      </w:r>
      <w:r>
        <w:rPr>
          <w:spacing w:val="-5"/>
        </w:rPr>
        <w:t xml:space="preserve"> </w:t>
      </w:r>
      <w:r>
        <w:t>a</w:t>
      </w:r>
      <w:r>
        <w:rPr>
          <w:spacing w:val="-5"/>
        </w:rPr>
        <w:t xml:space="preserve"> </w:t>
      </w:r>
      <w:r>
        <w:t>serpentine</w:t>
      </w:r>
      <w:r>
        <w:rPr>
          <w:spacing w:val="-5"/>
        </w:rPr>
        <w:t xml:space="preserve"> </w:t>
      </w:r>
      <w:r>
        <w:t>order.</w:t>
      </w:r>
      <w:r>
        <w:rPr>
          <w:spacing w:val="-5"/>
        </w:rPr>
        <w:t xml:space="preserve"> </w:t>
      </w:r>
      <w:r>
        <w:t>(For</w:t>
      </w:r>
      <w:r>
        <w:rPr>
          <w:spacing w:val="-5"/>
        </w:rPr>
        <w:t xml:space="preserve"> </w:t>
      </w:r>
      <w:r>
        <w:t>details</w:t>
      </w:r>
      <w:r>
        <w:rPr>
          <w:spacing w:val="-5"/>
        </w:rPr>
        <w:t xml:space="preserve"> </w:t>
      </w:r>
      <w:r>
        <w:t>on</w:t>
      </w:r>
      <w:r>
        <w:rPr>
          <w:spacing w:val="-5"/>
        </w:rPr>
        <w:t xml:space="preserve"> </w:t>
      </w:r>
      <w:r>
        <w:t>the implicit</w:t>
      </w:r>
      <w:r>
        <w:rPr>
          <w:spacing w:val="-12"/>
        </w:rPr>
        <w:t xml:space="preserve"> </w:t>
      </w:r>
      <w:r>
        <w:t>stratification</w:t>
      </w:r>
      <w:r>
        <w:rPr>
          <w:spacing w:val="-6"/>
        </w:rPr>
        <w:t xml:space="preserve"> </w:t>
      </w:r>
      <w:r>
        <w:t>variables</w:t>
      </w:r>
      <w:r>
        <w:rPr>
          <w:spacing w:val="-6"/>
        </w:rPr>
        <w:t xml:space="preserve"> </w:t>
      </w:r>
      <w:r>
        <w:t>used</w:t>
      </w:r>
      <w:r>
        <w:rPr>
          <w:spacing w:val="-6"/>
        </w:rPr>
        <w:t xml:space="preserve"> </w:t>
      </w:r>
      <w:r>
        <w:t>for</w:t>
      </w:r>
      <w:r>
        <w:rPr>
          <w:spacing w:val="-6"/>
        </w:rPr>
        <w:t xml:space="preserve"> </w:t>
      </w:r>
      <w:r>
        <w:t>these</w:t>
      </w:r>
      <w:r>
        <w:rPr>
          <w:spacing w:val="-6"/>
        </w:rPr>
        <w:t xml:space="preserve"> </w:t>
      </w:r>
      <w:r>
        <w:t>samples</w:t>
      </w:r>
      <w:r>
        <w:rPr>
          <w:spacing w:val="-6"/>
        </w:rPr>
        <w:t xml:space="preserve"> </w:t>
      </w:r>
      <w:r>
        <w:t>see</w:t>
      </w:r>
      <w:r>
        <w:rPr>
          <w:spacing w:val="-6"/>
        </w:rPr>
        <w:t xml:space="preserve"> </w:t>
      </w:r>
      <w:r>
        <w:t>the</w:t>
      </w:r>
      <w:r>
        <w:rPr>
          <w:spacing w:val="-6"/>
        </w:rPr>
        <w:t xml:space="preserve"> </w:t>
      </w:r>
      <w:r>
        <w:t>stratification</w:t>
      </w:r>
      <w:r>
        <w:rPr>
          <w:spacing w:val="-6"/>
        </w:rPr>
        <w:t xml:space="preserve"> </w:t>
      </w:r>
      <w:r>
        <w:t>page.)</w:t>
      </w:r>
      <w:r>
        <w:rPr>
          <w:spacing w:val="-14"/>
        </w:rPr>
        <w:t xml:space="preserve"> </w:t>
      </w:r>
      <w:r>
        <w:t>A</w:t>
      </w:r>
      <w:r>
        <w:rPr>
          <w:spacing w:val="-13"/>
        </w:rPr>
        <w:t xml:space="preserve"> </w:t>
      </w:r>
      <w:r>
        <w:t>school's</w:t>
      </w:r>
      <w:r>
        <w:rPr>
          <w:spacing w:val="-6"/>
        </w:rPr>
        <w:t xml:space="preserve"> </w:t>
      </w:r>
      <w:r>
        <w:t>measure</w:t>
      </w:r>
      <w:r>
        <w:rPr>
          <w:spacing w:val="-6"/>
        </w:rPr>
        <w:t xml:space="preserve"> </w:t>
      </w:r>
      <w:r>
        <w:t>of</w:t>
      </w:r>
      <w:r>
        <w:rPr>
          <w:spacing w:val="-6"/>
        </w:rPr>
        <w:t xml:space="preserve"> </w:t>
      </w:r>
      <w:r>
        <w:t>size</w:t>
      </w:r>
      <w:r>
        <w:rPr>
          <w:spacing w:val="-6"/>
        </w:rPr>
        <w:t xml:space="preserve"> </w:t>
      </w:r>
      <w:r>
        <w:t>was</w:t>
      </w:r>
      <w:r>
        <w:rPr>
          <w:spacing w:val="-6"/>
        </w:rPr>
        <w:t xml:space="preserve"> </w:t>
      </w:r>
      <w:r>
        <w:t>a</w:t>
      </w:r>
      <w:r>
        <w:rPr>
          <w:spacing w:val="-6"/>
        </w:rPr>
        <w:t xml:space="preserve"> </w:t>
      </w:r>
      <w:r>
        <w:t>complex</w:t>
      </w:r>
      <w:r>
        <w:rPr>
          <w:spacing w:val="-6"/>
        </w:rPr>
        <w:t xml:space="preserve"> </w:t>
      </w:r>
      <w:r>
        <w:t>function</w:t>
      </w:r>
      <w:r>
        <w:rPr>
          <w:spacing w:val="-6"/>
        </w:rPr>
        <w:t xml:space="preserve"> </w:t>
      </w:r>
      <w:r>
        <w:t>of the school's estimated grade enrollment. Only one hit was allowed for each school.</w:t>
      </w:r>
    </w:p>
    <w:p w:rsidR="003F5784" w14:paraId="4AEA88AE" w14:textId="77777777">
      <w:pPr>
        <w:pStyle w:val="BodyText"/>
        <w:spacing w:before="90"/>
        <w:ind w:left="109"/>
      </w:pPr>
      <w:r>
        <w:br w:type="column"/>
      </w:r>
      <w:r>
        <w:t>Computation</w:t>
      </w:r>
      <w:r>
        <w:rPr>
          <w:spacing w:val="-7"/>
        </w:rPr>
        <w:t xml:space="preserve"> </w:t>
      </w:r>
      <w:r>
        <w:t>of</w:t>
      </w:r>
      <w:r>
        <w:rPr>
          <w:spacing w:val="-7"/>
        </w:rPr>
        <w:t xml:space="preserve"> </w:t>
      </w:r>
      <w:r>
        <w:t>Measures</w:t>
      </w:r>
      <w:r>
        <w:rPr>
          <w:spacing w:val="-6"/>
        </w:rPr>
        <w:t xml:space="preserve"> </w:t>
      </w:r>
      <w:r>
        <w:t>of</w:t>
      </w:r>
      <w:r>
        <w:rPr>
          <w:spacing w:val="-7"/>
        </w:rPr>
        <w:t xml:space="preserve"> </w:t>
      </w:r>
      <w:r>
        <w:rPr>
          <w:spacing w:val="-4"/>
        </w:rPr>
        <w:t>Size</w:t>
      </w:r>
    </w:p>
    <w:p w:rsidR="003F5784" w14:paraId="228A513B" w14:textId="77777777">
      <w:pPr>
        <w:pStyle w:val="BodyText"/>
        <w:spacing w:before="234" w:line="232" w:lineRule="auto"/>
        <w:ind w:left="109"/>
      </w:pPr>
      <w:r>
        <w:t>School</w:t>
      </w:r>
      <w:r>
        <w:rPr>
          <w:spacing w:val="-14"/>
        </w:rPr>
        <w:t xml:space="preserve"> </w:t>
      </w:r>
      <w:r>
        <w:t>Sample</w:t>
      </w:r>
      <w:r>
        <w:rPr>
          <w:spacing w:val="-13"/>
        </w:rPr>
        <w:t xml:space="preserve"> </w:t>
      </w:r>
      <w:r>
        <w:t>Sizes:</w:t>
      </w:r>
      <w:r>
        <w:rPr>
          <w:spacing w:val="-13"/>
        </w:rPr>
        <w:t xml:space="preserve"> </w:t>
      </w:r>
      <w:r>
        <w:t>CCD-Based and New School</w:t>
      </w:r>
    </w:p>
    <w:p w:rsidR="003F5784" w14:paraId="2F5B0BFE" w14:textId="77777777">
      <w:pPr>
        <w:spacing w:line="232" w:lineRule="auto"/>
        <w:sectPr>
          <w:type w:val="continuous"/>
          <w:pgSz w:w="15840" w:h="12240" w:orient="landscape"/>
          <w:pgMar w:top="480" w:right="440" w:bottom="460" w:left="460" w:header="284" w:footer="275" w:gutter="0"/>
          <w:cols w:num="2" w:space="720" w:equalWidth="0">
            <w:col w:w="11451" w:space="306"/>
            <w:col w:w="3183"/>
          </w:cols>
        </w:sectPr>
      </w:pPr>
    </w:p>
    <w:p w:rsidR="003F5784" w14:paraId="52E7D4A8" w14:textId="77777777">
      <w:pPr>
        <w:pStyle w:val="BodyText"/>
        <w:spacing w:before="211" w:line="232" w:lineRule="auto"/>
        <w:ind w:left="109"/>
      </w:pPr>
      <w:r>
        <w:t>Schools</w:t>
      </w:r>
      <w:r>
        <w:rPr>
          <w:spacing w:val="-6"/>
        </w:rPr>
        <w:t xml:space="preserve"> </w:t>
      </w:r>
      <w:r>
        <w:t>from</w:t>
      </w:r>
      <w:r>
        <w:rPr>
          <w:spacing w:val="-6"/>
        </w:rPr>
        <w:t xml:space="preserve"> </w:t>
      </w:r>
      <w:r>
        <w:t>the</w:t>
      </w:r>
      <w:r>
        <w:rPr>
          <w:spacing w:val="-6"/>
        </w:rPr>
        <w:t xml:space="preserve"> </w:t>
      </w:r>
      <w:r>
        <w:t>CCD-based</w:t>
      </w:r>
      <w:r>
        <w:rPr>
          <w:spacing w:val="-6"/>
        </w:rPr>
        <w:t xml:space="preserve"> </w:t>
      </w:r>
      <w:r>
        <w:t>frame</w:t>
      </w:r>
      <w:r>
        <w:rPr>
          <w:spacing w:val="-6"/>
        </w:rPr>
        <w:t xml:space="preserve"> </w:t>
      </w:r>
      <w:r>
        <w:t>were</w:t>
      </w:r>
      <w:r>
        <w:rPr>
          <w:spacing w:val="-6"/>
        </w:rPr>
        <w:t xml:space="preserve"> </w:t>
      </w:r>
      <w:r>
        <w:t>sampled</w:t>
      </w:r>
      <w:r>
        <w:rPr>
          <w:spacing w:val="-6"/>
        </w:rPr>
        <w:t xml:space="preserve"> </w:t>
      </w:r>
      <w:r>
        <w:t>at</w:t>
      </w:r>
      <w:r>
        <w:rPr>
          <w:spacing w:val="-6"/>
        </w:rPr>
        <w:t xml:space="preserve"> </w:t>
      </w:r>
      <w:r>
        <w:t>a</w:t>
      </w:r>
      <w:r>
        <w:rPr>
          <w:spacing w:val="-6"/>
        </w:rPr>
        <w:t xml:space="preserve"> </w:t>
      </w:r>
      <w:r>
        <w:t>rate</w:t>
      </w:r>
      <w:r>
        <w:rPr>
          <w:spacing w:val="-6"/>
        </w:rPr>
        <w:t xml:space="preserve"> </w:t>
      </w:r>
      <w:r>
        <w:t>that</w:t>
      </w:r>
      <w:r>
        <w:rPr>
          <w:spacing w:val="-6"/>
        </w:rPr>
        <w:t xml:space="preserve"> </w:t>
      </w:r>
      <w:r>
        <w:t>would</w:t>
      </w:r>
      <w:r>
        <w:rPr>
          <w:spacing w:val="-6"/>
        </w:rPr>
        <w:t xml:space="preserve"> </w:t>
      </w:r>
      <w:r>
        <w:t>yield</w:t>
      </w:r>
      <w:r>
        <w:rPr>
          <w:spacing w:val="-6"/>
        </w:rPr>
        <w:t xml:space="preserve"> </w:t>
      </w:r>
      <w:r>
        <w:t>a</w:t>
      </w:r>
      <w:r>
        <w:rPr>
          <w:spacing w:val="-6"/>
        </w:rPr>
        <w:t xml:space="preserve"> </w:t>
      </w:r>
      <w:r>
        <w:t>national</w:t>
      </w:r>
      <w:r>
        <w:rPr>
          <w:spacing w:val="-6"/>
        </w:rPr>
        <w:t xml:space="preserve"> </w:t>
      </w:r>
      <w:r>
        <w:t>sample</w:t>
      </w:r>
      <w:r>
        <w:rPr>
          <w:spacing w:val="-6"/>
        </w:rPr>
        <w:t xml:space="preserve"> </w:t>
      </w:r>
      <w:r>
        <w:t>of</w:t>
      </w:r>
      <w:r>
        <w:rPr>
          <w:spacing w:val="-6"/>
        </w:rPr>
        <w:t xml:space="preserve"> </w:t>
      </w:r>
      <w:r>
        <w:t>14,400</w:t>
      </w:r>
      <w:r>
        <w:rPr>
          <w:spacing w:val="-6"/>
        </w:rPr>
        <w:t xml:space="preserve"> </w:t>
      </w:r>
      <w:r>
        <w:t>assessed</w:t>
      </w:r>
      <w:r>
        <w:rPr>
          <w:spacing w:val="-6"/>
        </w:rPr>
        <w:t xml:space="preserve"> </w:t>
      </w:r>
      <w:r>
        <w:t>students</w:t>
      </w:r>
      <w:r>
        <w:rPr>
          <w:spacing w:val="-6"/>
        </w:rPr>
        <w:t xml:space="preserve"> </w:t>
      </w:r>
      <w:r>
        <w:t>across</w:t>
      </w:r>
      <w:r>
        <w:rPr>
          <w:spacing w:val="-6"/>
        </w:rPr>
        <w:t xml:space="preserve"> </w:t>
      </w:r>
      <w:r>
        <w:t>both</w:t>
      </w:r>
      <w:r>
        <w:rPr>
          <w:spacing w:val="-6"/>
        </w:rPr>
        <w:t xml:space="preserve"> </w:t>
      </w:r>
      <w:r>
        <w:t>subjects.</w:t>
      </w:r>
      <w:r>
        <w:rPr>
          <w:spacing w:val="-6"/>
        </w:rPr>
        <w:t xml:space="preserve"> </w:t>
      </w:r>
      <w:r>
        <w:t>Schools</w:t>
      </w:r>
      <w:r>
        <w:rPr>
          <w:spacing w:val="-6"/>
        </w:rPr>
        <w:t xml:space="preserve"> </w:t>
      </w:r>
      <w:r>
        <w:t>from</w:t>
      </w:r>
      <w:r>
        <w:rPr>
          <w:spacing w:val="-6"/>
        </w:rPr>
        <w:t xml:space="preserve"> </w:t>
      </w:r>
      <w:r>
        <w:t>the</w:t>
      </w:r>
      <w:r>
        <w:rPr>
          <w:spacing w:val="-6"/>
        </w:rPr>
        <w:t xml:space="preserve"> </w:t>
      </w:r>
      <w:r>
        <w:t>new-school frame were sampled at the same rate as those from the CCD-based frame.</w:t>
      </w:r>
    </w:p>
    <w:p w:rsidR="003F5784" w14:paraId="22D61284" w14:textId="77777777">
      <w:pPr>
        <w:pStyle w:val="BodyText"/>
      </w:pPr>
    </w:p>
    <w:p w:rsidR="003F5784" w14:paraId="0991117F" w14:textId="77777777">
      <w:pPr>
        <w:pStyle w:val="BodyText"/>
      </w:pPr>
    </w:p>
    <w:p w:rsidR="003F5784" w14:paraId="1D58E9D0" w14:textId="77777777">
      <w:pPr>
        <w:pStyle w:val="BodyText"/>
        <w:spacing w:before="145"/>
      </w:pPr>
    </w:p>
    <w:p w:rsidR="003F5784" w14:paraId="770E9EA2" w14:textId="77777777">
      <w:pPr>
        <w:ind w:left="1676"/>
        <w:rPr>
          <w:sz w:val="18"/>
        </w:rPr>
      </w:pPr>
      <w:hyperlink r:id="rId59">
        <w:r>
          <w:rPr>
            <w:spacing w:val="-2"/>
            <w:w w:val="105"/>
            <w:sz w:val="18"/>
          </w:rPr>
          <w:t>http://nces.ed.gov/nationsreportcard/tdw/sample_design/2022/school_sample_selection_for_the_2022_eighth_grade_public_school_nat_assess_in_civics_and_us_history.aspx</w:t>
        </w:r>
      </w:hyperlink>
    </w:p>
    <w:p w:rsidR="003F5784" w14:paraId="06E8B766" w14:textId="77777777">
      <w:pPr>
        <w:pStyle w:val="BodyText"/>
        <w:spacing w:before="11"/>
        <w:rPr>
          <w:sz w:val="14"/>
        </w:rPr>
      </w:pPr>
      <w:r>
        <w:rPr>
          <w:noProof/>
        </w:rPr>
        <mc:AlternateContent>
          <mc:Choice Requires="wps">
            <w:drawing>
              <wp:anchor distT="0" distB="0" distL="0" distR="0" simplePos="0" relativeHeight="251776000" behindDoc="1" locked="0" layoutInCell="1" allowOverlap="1">
                <wp:simplePos x="0" y="0"/>
                <wp:positionH relativeFrom="page">
                  <wp:posOffset>361937</wp:posOffset>
                </wp:positionH>
                <wp:positionV relativeFrom="paragraph">
                  <wp:posOffset>124504</wp:posOffset>
                </wp:positionV>
                <wp:extent cx="9339580" cy="8890"/>
                <wp:effectExtent l="0" t="0" r="0" b="0"/>
                <wp:wrapTopAndBottom/>
                <wp:docPr id="77" name="Graphic 77"/>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8280" y="8267"/>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77" o:spid="_x0000_s1059" style="width:735.4pt;height:0.7pt;margin-top:9.8pt;margin-left:28.5pt;mso-position-horizontal-relative:page;mso-wrap-distance-bottom:0;mso-wrap-distance-left:0;mso-wrap-distance-right:0;mso-wrap-distance-top:0;mso-wrap-style:square;position:absolute;visibility:visible;v-text-anchor:top;z-index:-251539456" coordsize="9339580,8890" path="m9338970,l9335110,l8280,,,,,8267l8280,8267l9335110,8267l9338970,8267l9338970,xe" fillcolor="gray" stroked="f">
                <v:path arrowok="t"/>
                <w10:wrap type="topAndBottom"/>
              </v:shape>
            </w:pict>
          </mc:Fallback>
        </mc:AlternateContent>
      </w:r>
    </w:p>
    <w:p w:rsidR="003F5784" w14:paraId="28D071FD" w14:textId="77777777">
      <w:pPr>
        <w:rPr>
          <w:sz w:val="14"/>
        </w:rPr>
        <w:sectPr>
          <w:type w:val="continuous"/>
          <w:pgSz w:w="15840" w:h="12240" w:orient="landscape"/>
          <w:pgMar w:top="480" w:right="440" w:bottom="460" w:left="460" w:header="284" w:footer="275" w:gutter="0"/>
          <w:cols w:space="720"/>
        </w:sectPr>
      </w:pPr>
    </w:p>
    <w:p w:rsidR="003F5784" w14:paraId="5FB1B7A6" w14:textId="41FCFD2A">
      <w:pPr>
        <w:pStyle w:val="Heading1"/>
        <w:spacing w:before="81" w:line="244" w:lineRule="auto"/>
        <w:ind w:right="953"/>
      </w:pPr>
      <w:r>
        <w:t>NAEP</w:t>
      </w:r>
      <w:r>
        <w:rPr>
          <w:spacing w:val="-18"/>
        </w:rPr>
        <w:t xml:space="preserve"> </w:t>
      </w:r>
      <w:r>
        <w:t>Technical Documentation</w:t>
      </w:r>
      <w:r w:rsidR="004833F9">
        <w:t xml:space="preserve"> </w:t>
      </w:r>
      <w:r>
        <w:t>Computation of Measures of Size for the 2022 Eighth-Grade</w:t>
      </w:r>
      <w:r>
        <w:rPr>
          <w:spacing w:val="40"/>
        </w:rPr>
        <w:t xml:space="preserve"> </w:t>
      </w:r>
      <w:r>
        <w:t>Public</w:t>
      </w:r>
      <w:r>
        <w:rPr>
          <w:spacing w:val="40"/>
        </w:rPr>
        <w:t xml:space="preserve"> </w:t>
      </w:r>
      <w:r>
        <w:t>School</w:t>
      </w:r>
      <w:r>
        <w:rPr>
          <w:spacing w:val="40"/>
        </w:rPr>
        <w:t xml:space="preserve"> </w:t>
      </w:r>
      <w:r>
        <w:t>National Assessment</w:t>
      </w:r>
      <w:r>
        <w:rPr>
          <w:spacing w:val="40"/>
        </w:rPr>
        <w:t xml:space="preserve"> </w:t>
      </w:r>
      <w:r>
        <w:t>in</w:t>
      </w:r>
      <w:r>
        <w:rPr>
          <w:spacing w:val="40"/>
        </w:rPr>
        <w:t xml:space="preserve"> </w:t>
      </w:r>
      <w:r>
        <w:t>Civics</w:t>
      </w:r>
      <w:r>
        <w:rPr>
          <w:spacing w:val="40"/>
        </w:rPr>
        <w:t xml:space="preserve"> </w:t>
      </w:r>
      <w:r>
        <w:t>and</w:t>
      </w:r>
      <w:r>
        <w:rPr>
          <w:spacing w:val="40"/>
        </w:rPr>
        <w:t xml:space="preserve"> </w:t>
      </w:r>
      <w:r>
        <w:t>U.S.</w:t>
      </w:r>
      <w:r>
        <w:rPr>
          <w:spacing w:val="40"/>
        </w:rPr>
        <w:t xml:space="preserve"> </w:t>
      </w:r>
      <w:r>
        <w:t>History</w:t>
      </w:r>
    </w:p>
    <w:p w:rsidR="003F5784" w14:paraId="3FDF32BF" w14:textId="77777777">
      <w:pPr>
        <w:pStyle w:val="BodyText"/>
        <w:spacing w:before="273" w:line="232" w:lineRule="auto"/>
        <w:ind w:left="109"/>
      </w:pPr>
      <w:r>
        <w:t>In</w:t>
      </w:r>
      <w:r>
        <w:rPr>
          <w:spacing w:val="-6"/>
        </w:rPr>
        <w:t xml:space="preserve"> </w:t>
      </w:r>
      <w:r>
        <w:t>designing</w:t>
      </w:r>
      <w:r>
        <w:rPr>
          <w:spacing w:val="-6"/>
        </w:rPr>
        <w:t xml:space="preserve"> </w:t>
      </w:r>
      <w:r>
        <w:t>the</w:t>
      </w:r>
      <w:r>
        <w:rPr>
          <w:spacing w:val="-6"/>
        </w:rPr>
        <w:t xml:space="preserve"> </w:t>
      </w:r>
      <w:r>
        <w:t>eighth-grade</w:t>
      </w:r>
      <w:r>
        <w:rPr>
          <w:spacing w:val="-6"/>
        </w:rPr>
        <w:t xml:space="preserve"> </w:t>
      </w:r>
      <w:r>
        <w:t>public</w:t>
      </w:r>
      <w:r>
        <w:rPr>
          <w:spacing w:val="-6"/>
        </w:rPr>
        <w:t xml:space="preserve"> </w:t>
      </w:r>
      <w:r>
        <w:t>school</w:t>
      </w:r>
      <w:r>
        <w:rPr>
          <w:spacing w:val="-6"/>
        </w:rPr>
        <w:t xml:space="preserve"> </w:t>
      </w:r>
      <w:r>
        <w:t>civics</w:t>
      </w:r>
      <w:r>
        <w:rPr>
          <w:spacing w:val="-6"/>
        </w:rPr>
        <w:t xml:space="preserve"> </w:t>
      </w:r>
      <w:r>
        <w:t>and</w:t>
      </w:r>
      <w:r>
        <w:rPr>
          <w:spacing w:val="-6"/>
        </w:rPr>
        <w:t xml:space="preserve"> </w:t>
      </w:r>
      <w:r>
        <w:t>U.S.</w:t>
      </w:r>
      <w:r>
        <w:rPr>
          <w:spacing w:val="-6"/>
        </w:rPr>
        <w:t xml:space="preserve"> </w:t>
      </w:r>
      <w:r>
        <w:t>history</w:t>
      </w:r>
      <w:r>
        <w:rPr>
          <w:spacing w:val="-6"/>
        </w:rPr>
        <w:t xml:space="preserve"> </w:t>
      </w:r>
      <w:r>
        <w:t>assessment</w:t>
      </w:r>
      <w:r>
        <w:rPr>
          <w:spacing w:val="-6"/>
        </w:rPr>
        <w:t xml:space="preserve"> </w:t>
      </w:r>
      <w:r>
        <w:t>samples,</w:t>
      </w:r>
      <w:r>
        <w:rPr>
          <w:spacing w:val="-6"/>
        </w:rPr>
        <w:t xml:space="preserve"> </w:t>
      </w:r>
      <w:r>
        <w:t>six</w:t>
      </w:r>
      <w:r>
        <w:rPr>
          <w:spacing w:val="-6"/>
        </w:rPr>
        <w:t xml:space="preserve"> </w:t>
      </w:r>
      <w:r>
        <w:t>objectives</w:t>
      </w:r>
      <w:r>
        <w:rPr>
          <w:spacing w:val="-6"/>
        </w:rPr>
        <w:t xml:space="preserve"> </w:t>
      </w:r>
      <w:r>
        <w:t>underlie</w:t>
      </w:r>
      <w:r>
        <w:rPr>
          <w:spacing w:val="-6"/>
        </w:rPr>
        <w:t xml:space="preserve"> </w:t>
      </w:r>
      <w:r>
        <w:t>the</w:t>
      </w:r>
      <w:r>
        <w:rPr>
          <w:spacing w:val="-6"/>
        </w:rPr>
        <w:t xml:space="preserve"> </w:t>
      </w:r>
      <w:r>
        <w:t>process</w:t>
      </w:r>
      <w:r>
        <w:rPr>
          <w:spacing w:val="-6"/>
        </w:rPr>
        <w:t xml:space="preserve"> </w:t>
      </w:r>
      <w:r>
        <w:t>of</w:t>
      </w:r>
      <w:r>
        <w:rPr>
          <w:spacing w:val="-6"/>
        </w:rPr>
        <w:t xml:space="preserve"> </w:t>
      </w:r>
      <w:r>
        <w:t>determining</w:t>
      </w:r>
      <w:r>
        <w:rPr>
          <w:spacing w:val="-6"/>
        </w:rPr>
        <w:t xml:space="preserve"> </w:t>
      </w:r>
      <w:r>
        <w:t>the</w:t>
      </w:r>
      <w:r>
        <w:rPr>
          <w:spacing w:val="-6"/>
        </w:rPr>
        <w:t xml:space="preserve"> </w:t>
      </w:r>
      <w:r>
        <w:t>probability</w:t>
      </w:r>
      <w:r>
        <w:rPr>
          <w:spacing w:val="-6"/>
        </w:rPr>
        <w:t xml:space="preserve"> </w:t>
      </w:r>
      <w:r>
        <w:t>of</w:t>
      </w:r>
      <w:r>
        <w:rPr>
          <w:spacing w:val="-6"/>
        </w:rPr>
        <w:t xml:space="preserve"> </w:t>
      </w:r>
      <w:r>
        <w:t>selection</w:t>
      </w:r>
      <w:r>
        <w:rPr>
          <w:spacing w:val="-6"/>
        </w:rPr>
        <w:t xml:space="preserve"> </w:t>
      </w:r>
      <w:r>
        <w:t>for</w:t>
      </w:r>
      <w:r>
        <w:rPr>
          <w:spacing w:val="-6"/>
        </w:rPr>
        <w:t xml:space="preserve"> </w:t>
      </w:r>
      <w:r>
        <w:t>each school and the number of students to be sampled from each selected school:</w:t>
      </w:r>
    </w:p>
    <w:p w:rsidR="003F5784" w14:paraId="70AAA240" w14:textId="77777777">
      <w:pPr>
        <w:pStyle w:val="BodyText"/>
        <w:spacing w:before="204" w:line="238" w:lineRule="exact"/>
        <w:ind w:left="422"/>
      </w:pPr>
      <w:r>
        <w:rPr>
          <w:noProof/>
          <w:position w:val="3"/>
        </w:rPr>
        <w:drawing>
          <wp:inline distT="0" distB="0" distL="0" distR="0">
            <wp:extent cx="41379" cy="41362"/>
            <wp:effectExtent l="0" t="0" r="0" b="0"/>
            <wp:docPr id="78" name="Image 78"/>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xmlns:r="http://schemas.openxmlformats.org/officeDocument/2006/relationships" r:embed="rId60" cstate="print"/>
                    <a:stretch>
                      <a:fillRect/>
                    </a:stretch>
                  </pic:blipFill>
                  <pic:spPr>
                    <a:xfrm>
                      <a:off x="0" y="0"/>
                      <a:ext cx="41379" cy="41362"/>
                    </a:xfrm>
                    <a:prstGeom prst="rect">
                      <a:avLst/>
                    </a:prstGeom>
                  </pic:spPr>
                </pic:pic>
              </a:graphicData>
            </a:graphic>
          </wp:inline>
        </w:drawing>
      </w:r>
      <w:r>
        <w:rPr>
          <w:spacing w:val="80"/>
          <w:sz w:val="20"/>
        </w:rPr>
        <w:t xml:space="preserve"> </w:t>
      </w:r>
      <w:r>
        <w:t>to meet the overall target student sample size;</w:t>
      </w:r>
    </w:p>
    <w:p w:rsidR="003F5784" w14:paraId="5D1F5B6C" w14:textId="77777777">
      <w:pPr>
        <w:pStyle w:val="BodyText"/>
        <w:spacing w:before="2" w:line="232" w:lineRule="auto"/>
        <w:ind w:left="422" w:right="7155"/>
      </w:pPr>
      <w:r>
        <w:rPr>
          <w:noProof/>
          <w:position w:val="3"/>
        </w:rPr>
        <w:drawing>
          <wp:inline distT="0" distB="0" distL="0" distR="0">
            <wp:extent cx="41379" cy="41345"/>
            <wp:effectExtent l="0" t="0" r="0" b="0"/>
            <wp:docPr id="79" name="Image 79"/>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xmlns:r="http://schemas.openxmlformats.org/officeDocument/2006/relationships" r:embed="rId31" cstate="print"/>
                    <a:stretch>
                      <a:fillRect/>
                    </a:stretch>
                  </pic:blipFill>
                  <pic:spPr>
                    <a:xfrm>
                      <a:off x="0" y="0"/>
                      <a:ext cx="41379" cy="41345"/>
                    </a:xfrm>
                    <a:prstGeom prst="rect">
                      <a:avLst/>
                    </a:prstGeom>
                  </pic:spPr>
                </pic:pic>
              </a:graphicData>
            </a:graphic>
          </wp:inline>
        </w:drawing>
      </w:r>
      <w:r>
        <w:rPr>
          <w:spacing w:val="77"/>
          <w:sz w:val="20"/>
        </w:rPr>
        <w:t xml:space="preserve"> </w:t>
      </w:r>
      <w:r>
        <w:t>to</w:t>
      </w:r>
      <w:r>
        <w:rPr>
          <w:spacing w:val="-7"/>
        </w:rPr>
        <w:t xml:space="preserve"> </w:t>
      </w:r>
      <w:r>
        <w:t>select</w:t>
      </w:r>
      <w:r>
        <w:rPr>
          <w:spacing w:val="-7"/>
        </w:rPr>
        <w:t xml:space="preserve"> </w:t>
      </w:r>
      <w:r>
        <w:t>an</w:t>
      </w:r>
      <w:r>
        <w:rPr>
          <w:spacing w:val="-7"/>
        </w:rPr>
        <w:t xml:space="preserve"> </w:t>
      </w:r>
      <w:r>
        <w:t>equal-probability</w:t>
      </w:r>
      <w:r>
        <w:rPr>
          <w:spacing w:val="-7"/>
        </w:rPr>
        <w:t xml:space="preserve"> </w:t>
      </w:r>
      <w:r>
        <w:t>sample</w:t>
      </w:r>
      <w:r>
        <w:rPr>
          <w:spacing w:val="-7"/>
        </w:rPr>
        <w:t xml:space="preserve"> </w:t>
      </w:r>
      <w:r>
        <w:t>of</w:t>
      </w:r>
      <w:r>
        <w:rPr>
          <w:spacing w:val="-7"/>
        </w:rPr>
        <w:t xml:space="preserve"> </w:t>
      </w:r>
      <w:r>
        <w:t>students</w:t>
      </w:r>
      <w:r>
        <w:rPr>
          <w:spacing w:val="-7"/>
        </w:rPr>
        <w:t xml:space="preserve"> </w:t>
      </w:r>
      <w:r>
        <w:t>from</w:t>
      </w:r>
      <w:r>
        <w:rPr>
          <w:spacing w:val="-7"/>
        </w:rPr>
        <w:t xml:space="preserve"> </w:t>
      </w:r>
      <w:r>
        <w:t>each</w:t>
      </w:r>
      <w:r>
        <w:rPr>
          <w:spacing w:val="-7"/>
        </w:rPr>
        <w:t xml:space="preserve"> </w:t>
      </w:r>
      <w:r>
        <w:t>explicit</w:t>
      </w:r>
      <w:r>
        <w:rPr>
          <w:spacing w:val="-7"/>
        </w:rPr>
        <w:t xml:space="preserve"> </w:t>
      </w:r>
      <w:r>
        <w:t>sampling</w:t>
      </w:r>
      <w:r>
        <w:rPr>
          <w:spacing w:val="-7"/>
        </w:rPr>
        <w:t xml:space="preserve"> </w:t>
      </w:r>
      <w:r>
        <w:t xml:space="preserve">stratum; </w:t>
      </w:r>
      <w:r>
        <w:rPr>
          <w:noProof/>
          <w:position w:val="3"/>
        </w:rPr>
        <w:drawing>
          <wp:inline distT="0" distB="0" distL="0" distR="0">
            <wp:extent cx="41379" cy="41362"/>
            <wp:effectExtent l="0" t="0" r="0" b="0"/>
            <wp:docPr id="80" name="Image 80"/>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xmlns:r="http://schemas.openxmlformats.org/officeDocument/2006/relationships" r:embed="rId61" cstate="print"/>
                    <a:stretch>
                      <a:fillRect/>
                    </a:stretch>
                  </pic:blipFill>
                  <pic:spPr>
                    <a:xfrm>
                      <a:off x="0" y="0"/>
                      <a:ext cx="41379" cy="41362"/>
                    </a:xfrm>
                    <a:prstGeom prst="rect">
                      <a:avLst/>
                    </a:prstGeom>
                  </pic:spPr>
                </pic:pic>
              </a:graphicData>
            </a:graphic>
          </wp:inline>
        </w:drawing>
      </w:r>
      <w:r>
        <w:rPr>
          <w:spacing w:val="80"/>
        </w:rPr>
        <w:t xml:space="preserve"> </w:t>
      </w:r>
      <w:r>
        <w:t>to limit the number of students selected from any one school;</w:t>
      </w:r>
    </w:p>
    <w:p w:rsidR="003F5784" w14:paraId="170326E9" w14:textId="77777777">
      <w:pPr>
        <w:pStyle w:val="BodyText"/>
        <w:spacing w:line="233" w:lineRule="exact"/>
        <w:ind w:left="422"/>
      </w:pPr>
      <w:r>
        <w:rPr>
          <w:noProof/>
          <w:position w:val="3"/>
        </w:rPr>
        <w:drawing>
          <wp:inline distT="0" distB="0" distL="0" distR="0">
            <wp:extent cx="41379" cy="41362"/>
            <wp:effectExtent l="0" t="0" r="0" b="0"/>
            <wp:docPr id="81" name="Image 81"/>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xmlns:r="http://schemas.openxmlformats.org/officeDocument/2006/relationships" r:embed="rId62" cstate="print"/>
                    <a:stretch>
                      <a:fillRect/>
                    </a:stretch>
                  </pic:blipFill>
                  <pic:spPr>
                    <a:xfrm>
                      <a:off x="0" y="0"/>
                      <a:ext cx="41379" cy="41362"/>
                    </a:xfrm>
                    <a:prstGeom prst="rect">
                      <a:avLst/>
                    </a:prstGeom>
                  </pic:spPr>
                </pic:pic>
              </a:graphicData>
            </a:graphic>
          </wp:inline>
        </w:drawing>
      </w:r>
      <w:r>
        <w:rPr>
          <w:spacing w:val="80"/>
          <w:sz w:val="20"/>
        </w:rPr>
        <w:t xml:space="preserve"> </w:t>
      </w:r>
      <w:r>
        <w:t>to</w:t>
      </w:r>
      <w:r>
        <w:rPr>
          <w:spacing w:val="-1"/>
        </w:rPr>
        <w:t xml:space="preserve"> </w:t>
      </w:r>
      <w:r>
        <w:t>ensure</w:t>
      </w:r>
      <w:r>
        <w:rPr>
          <w:spacing w:val="-1"/>
        </w:rPr>
        <w:t xml:space="preserve"> </w:t>
      </w:r>
      <w:r>
        <w:t>that</w:t>
      </w:r>
      <w:r>
        <w:rPr>
          <w:spacing w:val="-1"/>
        </w:rPr>
        <w:t xml:space="preserve"> </w:t>
      </w:r>
      <w:r>
        <w:t>the</w:t>
      </w:r>
      <w:r>
        <w:rPr>
          <w:spacing w:val="-1"/>
        </w:rPr>
        <w:t xml:space="preserve"> </w:t>
      </w:r>
      <w:r>
        <w:t>sample</w:t>
      </w:r>
      <w:r>
        <w:rPr>
          <w:spacing w:val="-1"/>
        </w:rPr>
        <w:t xml:space="preserve"> </w:t>
      </w:r>
      <w:r>
        <w:t>within</w:t>
      </w:r>
      <w:r>
        <w:rPr>
          <w:spacing w:val="-1"/>
        </w:rPr>
        <w:t xml:space="preserve"> </w:t>
      </w:r>
      <w:r>
        <w:t>a</w:t>
      </w:r>
      <w:r>
        <w:rPr>
          <w:spacing w:val="-1"/>
        </w:rPr>
        <w:t xml:space="preserve"> </w:t>
      </w:r>
      <w:r>
        <w:t>school</w:t>
      </w:r>
      <w:r>
        <w:rPr>
          <w:spacing w:val="-1"/>
        </w:rPr>
        <w:t xml:space="preserve"> </w:t>
      </w:r>
      <w:r>
        <w:t>does</w:t>
      </w:r>
      <w:r>
        <w:rPr>
          <w:spacing w:val="-1"/>
        </w:rPr>
        <w:t xml:space="preserve"> </w:t>
      </w:r>
      <w:r>
        <w:t>not</w:t>
      </w:r>
      <w:r>
        <w:rPr>
          <w:spacing w:val="-1"/>
        </w:rPr>
        <w:t xml:space="preserve"> </w:t>
      </w:r>
      <w:r>
        <w:t>include</w:t>
      </w:r>
      <w:r>
        <w:rPr>
          <w:spacing w:val="-1"/>
        </w:rPr>
        <w:t xml:space="preserve"> </w:t>
      </w:r>
      <w:r>
        <w:t>a</w:t>
      </w:r>
      <w:r>
        <w:rPr>
          <w:spacing w:val="-1"/>
        </w:rPr>
        <w:t xml:space="preserve"> </w:t>
      </w:r>
      <w:r>
        <w:t>very</w:t>
      </w:r>
      <w:r>
        <w:rPr>
          <w:spacing w:val="-1"/>
        </w:rPr>
        <w:t xml:space="preserve"> </w:t>
      </w:r>
      <w:r>
        <w:t>high</w:t>
      </w:r>
      <w:r>
        <w:rPr>
          <w:spacing w:val="-1"/>
        </w:rPr>
        <w:t xml:space="preserve"> </w:t>
      </w:r>
      <w:r>
        <w:t>percentage</w:t>
      </w:r>
      <w:r>
        <w:rPr>
          <w:spacing w:val="-1"/>
        </w:rPr>
        <w:t xml:space="preserve"> </w:t>
      </w:r>
      <w:r>
        <w:t>of</w:t>
      </w:r>
      <w:r>
        <w:rPr>
          <w:spacing w:val="-1"/>
        </w:rPr>
        <w:t xml:space="preserve"> </w:t>
      </w:r>
      <w:r>
        <w:t>the</w:t>
      </w:r>
      <w:r>
        <w:rPr>
          <w:spacing w:val="-1"/>
        </w:rPr>
        <w:t xml:space="preserve"> </w:t>
      </w:r>
      <w:r>
        <w:t>students</w:t>
      </w:r>
      <w:r>
        <w:rPr>
          <w:spacing w:val="-1"/>
        </w:rPr>
        <w:t xml:space="preserve"> </w:t>
      </w:r>
      <w:r>
        <w:t>in</w:t>
      </w:r>
      <w:r>
        <w:rPr>
          <w:spacing w:val="-1"/>
        </w:rPr>
        <w:t xml:space="preserve"> </w:t>
      </w:r>
      <w:r>
        <w:t>the</w:t>
      </w:r>
      <w:r>
        <w:rPr>
          <w:spacing w:val="-1"/>
        </w:rPr>
        <w:t xml:space="preserve"> </w:t>
      </w:r>
      <w:r>
        <w:t>school,</w:t>
      </w:r>
      <w:r>
        <w:rPr>
          <w:spacing w:val="-1"/>
        </w:rPr>
        <w:t xml:space="preserve"> </w:t>
      </w:r>
      <w:r>
        <w:t>unless</w:t>
      </w:r>
      <w:r>
        <w:rPr>
          <w:spacing w:val="-1"/>
        </w:rPr>
        <w:t xml:space="preserve"> </w:t>
      </w:r>
      <w:r>
        <w:t>all</w:t>
      </w:r>
      <w:r>
        <w:rPr>
          <w:spacing w:val="-1"/>
        </w:rPr>
        <w:t xml:space="preserve"> </w:t>
      </w:r>
      <w:r>
        <w:t>students</w:t>
      </w:r>
      <w:r>
        <w:rPr>
          <w:spacing w:val="-1"/>
        </w:rPr>
        <w:t xml:space="preserve"> </w:t>
      </w:r>
      <w:r>
        <w:t>are</w:t>
      </w:r>
      <w:r>
        <w:rPr>
          <w:spacing w:val="-1"/>
        </w:rPr>
        <w:t xml:space="preserve"> </w:t>
      </w:r>
      <w:r>
        <w:t>included;</w:t>
      </w:r>
    </w:p>
    <w:p w:rsidR="003F5784" w14:paraId="6EF888F7" w14:textId="77777777">
      <w:pPr>
        <w:pStyle w:val="BodyText"/>
        <w:spacing w:before="3" w:line="232" w:lineRule="auto"/>
        <w:ind w:left="422" w:right="1862"/>
      </w:pPr>
      <w:r>
        <w:rPr>
          <w:noProof/>
          <w:position w:val="3"/>
        </w:rPr>
        <w:drawing>
          <wp:inline distT="0" distB="0" distL="0" distR="0">
            <wp:extent cx="41379" cy="41378"/>
            <wp:effectExtent l="0" t="0" r="0" b="0"/>
            <wp:docPr id="82" name="Image 82"/>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xmlns:r="http://schemas.openxmlformats.org/officeDocument/2006/relationships" r:embed="rId63" cstate="print"/>
                    <a:stretch>
                      <a:fillRect/>
                    </a:stretch>
                  </pic:blipFill>
                  <pic:spPr>
                    <a:xfrm>
                      <a:off x="0" y="0"/>
                      <a:ext cx="41379" cy="41378"/>
                    </a:xfrm>
                    <a:prstGeom prst="rect">
                      <a:avLst/>
                    </a:prstGeom>
                  </pic:spPr>
                </pic:pic>
              </a:graphicData>
            </a:graphic>
          </wp:inline>
        </w:drawing>
      </w:r>
      <w:r>
        <w:rPr>
          <w:spacing w:val="80"/>
          <w:sz w:val="20"/>
        </w:rPr>
        <w:t xml:space="preserve"> </w:t>
      </w:r>
      <w:r>
        <w:t>to</w:t>
      </w:r>
      <w:r>
        <w:rPr>
          <w:spacing w:val="-5"/>
        </w:rPr>
        <w:t xml:space="preserve"> </w:t>
      </w:r>
      <w:r>
        <w:t>reduce</w:t>
      </w:r>
      <w:r>
        <w:rPr>
          <w:spacing w:val="-5"/>
        </w:rPr>
        <w:t xml:space="preserve"> </w:t>
      </w:r>
      <w:r>
        <w:t>the</w:t>
      </w:r>
      <w:r>
        <w:rPr>
          <w:spacing w:val="-5"/>
        </w:rPr>
        <w:t xml:space="preserve"> </w:t>
      </w:r>
      <w:r>
        <w:t>sampling</w:t>
      </w:r>
      <w:r>
        <w:rPr>
          <w:spacing w:val="-5"/>
        </w:rPr>
        <w:t xml:space="preserve"> </w:t>
      </w:r>
      <w:r>
        <w:t>rate</w:t>
      </w:r>
      <w:r>
        <w:rPr>
          <w:spacing w:val="-5"/>
        </w:rPr>
        <w:t xml:space="preserve"> </w:t>
      </w:r>
      <w:r>
        <w:t>of</w:t>
      </w:r>
      <w:r>
        <w:rPr>
          <w:spacing w:val="-5"/>
        </w:rPr>
        <w:t xml:space="preserve"> </w:t>
      </w:r>
      <w:r>
        <w:t>small</w:t>
      </w:r>
      <w:r>
        <w:rPr>
          <w:spacing w:val="-5"/>
        </w:rPr>
        <w:t xml:space="preserve"> </w:t>
      </w:r>
      <w:r>
        <w:t>schools,</w:t>
      </w:r>
      <w:r>
        <w:rPr>
          <w:spacing w:val="-5"/>
        </w:rPr>
        <w:t xml:space="preserve"> </w:t>
      </w:r>
      <w:r>
        <w:t>in</w:t>
      </w:r>
      <w:r>
        <w:rPr>
          <w:spacing w:val="-5"/>
        </w:rPr>
        <w:t xml:space="preserve"> </w:t>
      </w:r>
      <w:r>
        <w:t>recognition</w:t>
      </w:r>
      <w:r>
        <w:rPr>
          <w:spacing w:val="-5"/>
        </w:rPr>
        <w:t xml:space="preserve"> </w:t>
      </w:r>
      <w:r>
        <w:t>of</w:t>
      </w:r>
      <w:r>
        <w:rPr>
          <w:spacing w:val="-5"/>
        </w:rPr>
        <w:t xml:space="preserve"> </w:t>
      </w:r>
      <w:r>
        <w:t>the</w:t>
      </w:r>
      <w:r>
        <w:rPr>
          <w:spacing w:val="-5"/>
        </w:rPr>
        <w:t xml:space="preserve"> </w:t>
      </w:r>
      <w:r>
        <w:t>greater</w:t>
      </w:r>
      <w:r>
        <w:rPr>
          <w:spacing w:val="-5"/>
        </w:rPr>
        <w:t xml:space="preserve"> </w:t>
      </w:r>
      <w:r>
        <w:t>cost</w:t>
      </w:r>
      <w:r>
        <w:rPr>
          <w:spacing w:val="-5"/>
        </w:rPr>
        <w:t xml:space="preserve"> </w:t>
      </w:r>
      <w:r>
        <w:t>and</w:t>
      </w:r>
      <w:r>
        <w:rPr>
          <w:spacing w:val="-5"/>
        </w:rPr>
        <w:t xml:space="preserve"> </w:t>
      </w:r>
      <w:r>
        <w:t>burden</w:t>
      </w:r>
      <w:r>
        <w:rPr>
          <w:spacing w:val="-5"/>
        </w:rPr>
        <w:t xml:space="preserve"> </w:t>
      </w:r>
      <w:r>
        <w:t>per</w:t>
      </w:r>
      <w:r>
        <w:rPr>
          <w:spacing w:val="-5"/>
        </w:rPr>
        <w:t xml:space="preserve"> </w:t>
      </w:r>
      <w:r>
        <w:t>student</w:t>
      </w:r>
      <w:r>
        <w:rPr>
          <w:spacing w:val="-5"/>
        </w:rPr>
        <w:t xml:space="preserve"> </w:t>
      </w:r>
      <w:r>
        <w:t>of</w:t>
      </w:r>
      <w:r>
        <w:rPr>
          <w:spacing w:val="-5"/>
        </w:rPr>
        <w:t xml:space="preserve"> </w:t>
      </w:r>
      <w:r>
        <w:t>conducting</w:t>
      </w:r>
      <w:r>
        <w:rPr>
          <w:spacing w:val="-5"/>
        </w:rPr>
        <w:t xml:space="preserve"> </w:t>
      </w:r>
      <w:r>
        <w:t>assessments</w:t>
      </w:r>
      <w:r>
        <w:rPr>
          <w:spacing w:val="-5"/>
        </w:rPr>
        <w:t xml:space="preserve"> </w:t>
      </w:r>
      <w:r>
        <w:t>in</w:t>
      </w:r>
      <w:r>
        <w:rPr>
          <w:spacing w:val="-5"/>
        </w:rPr>
        <w:t xml:space="preserve"> </w:t>
      </w:r>
      <w:r>
        <w:t>such</w:t>
      </w:r>
      <w:r>
        <w:rPr>
          <w:spacing w:val="-5"/>
        </w:rPr>
        <w:t xml:space="preserve"> </w:t>
      </w:r>
      <w:r>
        <w:t>schools;</w:t>
      </w:r>
      <w:r>
        <w:rPr>
          <w:spacing w:val="-5"/>
        </w:rPr>
        <w:t xml:space="preserve"> </w:t>
      </w:r>
      <w:r>
        <w:t xml:space="preserve">and </w:t>
      </w:r>
      <w:r>
        <w:rPr>
          <w:noProof/>
          <w:position w:val="3"/>
        </w:rPr>
        <w:drawing>
          <wp:inline distT="0" distB="0" distL="0" distR="0">
            <wp:extent cx="41379" cy="41362"/>
            <wp:effectExtent l="0" t="0" r="0" b="0"/>
            <wp:docPr id="83" name="Image 83"/>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xmlns:r="http://schemas.openxmlformats.org/officeDocument/2006/relationships" r:embed="rId64" cstate="print"/>
                    <a:stretch>
                      <a:fillRect/>
                    </a:stretch>
                  </pic:blipFill>
                  <pic:spPr>
                    <a:xfrm>
                      <a:off x="0" y="0"/>
                      <a:ext cx="41379" cy="41362"/>
                    </a:xfrm>
                    <a:prstGeom prst="rect">
                      <a:avLst/>
                    </a:prstGeom>
                  </pic:spPr>
                </pic:pic>
              </a:graphicData>
            </a:graphic>
          </wp:inline>
        </w:drawing>
      </w:r>
      <w:r>
        <w:rPr>
          <w:spacing w:val="80"/>
        </w:rPr>
        <w:t xml:space="preserve"> </w:t>
      </w:r>
      <w:r>
        <w:t>to increase the number of Black, Hispanic, and</w:t>
      </w:r>
      <w:r>
        <w:rPr>
          <w:spacing w:val="-8"/>
        </w:rPr>
        <w:t xml:space="preserve"> </w:t>
      </w:r>
      <w:r>
        <w:t>American Indian/Alaska Native (AI/AN) students in the sample.</w:t>
      </w:r>
    </w:p>
    <w:p w:rsidR="003F5784" w14:paraId="4FAB6124" w14:textId="77777777">
      <w:pPr>
        <w:pStyle w:val="BodyText"/>
        <w:spacing w:before="209" w:line="232" w:lineRule="auto"/>
        <w:ind w:left="109"/>
      </w:pPr>
      <w:r>
        <w:t>The</w:t>
      </w:r>
      <w:r>
        <w:rPr>
          <w:spacing w:val="-5"/>
        </w:rPr>
        <w:t xml:space="preserve"> </w:t>
      </w:r>
      <w:r>
        <w:t>goal</w:t>
      </w:r>
      <w:r>
        <w:rPr>
          <w:spacing w:val="-5"/>
        </w:rPr>
        <w:t xml:space="preserve"> </w:t>
      </w:r>
      <w:r>
        <w:t>in</w:t>
      </w:r>
      <w:r>
        <w:rPr>
          <w:spacing w:val="-5"/>
        </w:rPr>
        <w:t xml:space="preserve"> </w:t>
      </w:r>
      <w:r>
        <w:t>determining</w:t>
      </w:r>
      <w:r>
        <w:rPr>
          <w:spacing w:val="-5"/>
        </w:rPr>
        <w:t xml:space="preserve"> </w:t>
      </w:r>
      <w:r>
        <w:t>the</w:t>
      </w:r>
      <w:r>
        <w:rPr>
          <w:spacing w:val="-5"/>
        </w:rPr>
        <w:t xml:space="preserve"> </w:t>
      </w:r>
      <w:r>
        <w:t>school's</w:t>
      </w:r>
      <w:r>
        <w:rPr>
          <w:spacing w:val="-5"/>
        </w:rPr>
        <w:t xml:space="preserve"> </w:t>
      </w:r>
      <w:r>
        <w:t>measure</w:t>
      </w:r>
      <w:r>
        <w:rPr>
          <w:spacing w:val="-5"/>
        </w:rPr>
        <w:t xml:space="preserve"> </w:t>
      </w:r>
      <w:r>
        <w:t>of</w:t>
      </w:r>
      <w:r>
        <w:rPr>
          <w:spacing w:val="-5"/>
        </w:rPr>
        <w:t xml:space="preserve"> </w:t>
      </w:r>
      <w:r>
        <w:t>size</w:t>
      </w:r>
      <w:r>
        <w:rPr>
          <w:spacing w:val="-5"/>
        </w:rPr>
        <w:t xml:space="preserve"> </w:t>
      </w:r>
      <w:r>
        <w:t>(MOS)</w:t>
      </w:r>
      <w:r>
        <w:rPr>
          <w:spacing w:val="-5"/>
        </w:rPr>
        <w:t xml:space="preserve"> </w:t>
      </w:r>
      <w:r>
        <w:t>is</w:t>
      </w:r>
      <w:r>
        <w:rPr>
          <w:spacing w:val="-5"/>
        </w:rPr>
        <w:t xml:space="preserve"> </w:t>
      </w:r>
      <w:r>
        <w:t>to</w:t>
      </w:r>
      <w:r>
        <w:rPr>
          <w:spacing w:val="-5"/>
        </w:rPr>
        <w:t xml:space="preserve"> </w:t>
      </w:r>
      <w:r>
        <w:t>optimize</w:t>
      </w:r>
      <w:r>
        <w:rPr>
          <w:spacing w:val="-5"/>
        </w:rPr>
        <w:t xml:space="preserve"> </w:t>
      </w:r>
      <w:r>
        <w:t>across</w:t>
      </w:r>
      <w:r>
        <w:rPr>
          <w:spacing w:val="-5"/>
        </w:rPr>
        <w:t xml:space="preserve"> </w:t>
      </w:r>
      <w:r>
        <w:t>the</w:t>
      </w:r>
      <w:r>
        <w:rPr>
          <w:spacing w:val="-5"/>
        </w:rPr>
        <w:t xml:space="preserve"> </w:t>
      </w:r>
      <w:r>
        <w:t>middle</w:t>
      </w:r>
      <w:r>
        <w:rPr>
          <w:spacing w:val="-5"/>
        </w:rPr>
        <w:t xml:space="preserve"> </w:t>
      </w:r>
      <w:r>
        <w:t>four</w:t>
      </w:r>
      <w:r>
        <w:rPr>
          <w:spacing w:val="-5"/>
        </w:rPr>
        <w:t xml:space="preserve"> </w:t>
      </w:r>
      <w:r>
        <w:t>objectives</w:t>
      </w:r>
      <w:r>
        <w:rPr>
          <w:spacing w:val="-5"/>
        </w:rPr>
        <w:t xml:space="preserve"> </w:t>
      </w:r>
      <w:r>
        <w:t>in</w:t>
      </w:r>
      <w:r>
        <w:rPr>
          <w:spacing w:val="-5"/>
        </w:rPr>
        <w:t xml:space="preserve"> </w:t>
      </w:r>
      <w:r>
        <w:t>terms</w:t>
      </w:r>
      <w:r>
        <w:rPr>
          <w:spacing w:val="-5"/>
        </w:rPr>
        <w:t xml:space="preserve"> </w:t>
      </w:r>
      <w:r>
        <w:t>of</w:t>
      </w:r>
      <w:r>
        <w:rPr>
          <w:spacing w:val="-5"/>
        </w:rPr>
        <w:t xml:space="preserve"> </w:t>
      </w:r>
      <w:r>
        <w:t>maintaining</w:t>
      </w:r>
      <w:r>
        <w:rPr>
          <w:spacing w:val="-5"/>
        </w:rPr>
        <w:t xml:space="preserve"> </w:t>
      </w:r>
      <w:r>
        <w:t>the</w:t>
      </w:r>
      <w:r>
        <w:rPr>
          <w:spacing w:val="-5"/>
        </w:rPr>
        <w:t xml:space="preserve"> </w:t>
      </w:r>
      <w:r>
        <w:t>precision</w:t>
      </w:r>
      <w:r>
        <w:rPr>
          <w:spacing w:val="-5"/>
        </w:rPr>
        <w:t xml:space="preserve"> </w:t>
      </w:r>
      <w:r>
        <w:t>of</w:t>
      </w:r>
      <w:r>
        <w:rPr>
          <w:spacing w:val="-5"/>
        </w:rPr>
        <w:t xml:space="preserve"> </w:t>
      </w:r>
      <w:r>
        <w:t>estimates</w:t>
      </w:r>
      <w:r>
        <w:rPr>
          <w:spacing w:val="-5"/>
        </w:rPr>
        <w:t xml:space="preserve"> </w:t>
      </w:r>
      <w:r>
        <w:t>and</w:t>
      </w:r>
      <w:r>
        <w:rPr>
          <w:spacing w:val="-5"/>
        </w:rPr>
        <w:t xml:space="preserve"> </w:t>
      </w:r>
      <w:r>
        <w:t>the</w:t>
      </w:r>
      <w:r>
        <w:rPr>
          <w:spacing w:val="-5"/>
        </w:rPr>
        <w:t xml:space="preserve"> </w:t>
      </w:r>
      <w:r>
        <w:t>cost effectiveness of the sample design.</w:t>
      </w:r>
    </w:p>
    <w:p w:rsidR="003F5784" w14:paraId="7CBA9431" w14:textId="77777777">
      <w:pPr>
        <w:pStyle w:val="BodyText"/>
        <w:spacing w:before="209" w:line="232" w:lineRule="auto"/>
        <w:ind w:left="109"/>
      </w:pPr>
      <w:r>
        <w:t>Therefore,</w:t>
      </w:r>
      <w:r>
        <w:rPr>
          <w:spacing w:val="-6"/>
        </w:rPr>
        <w:t xml:space="preserve"> </w:t>
      </w:r>
      <w:r>
        <w:t>to</w:t>
      </w:r>
      <w:r>
        <w:rPr>
          <w:spacing w:val="-6"/>
        </w:rPr>
        <w:t xml:space="preserve"> </w:t>
      </w:r>
      <w:r>
        <w:t>meet</w:t>
      </w:r>
      <w:r>
        <w:rPr>
          <w:spacing w:val="-6"/>
        </w:rPr>
        <w:t xml:space="preserve"> </w:t>
      </w:r>
      <w:r>
        <w:t>the</w:t>
      </w:r>
      <w:r>
        <w:rPr>
          <w:spacing w:val="-6"/>
        </w:rPr>
        <w:t xml:space="preserve"> </w:t>
      </w:r>
      <w:r>
        <w:t>target</w:t>
      </w:r>
      <w:r>
        <w:rPr>
          <w:spacing w:val="-6"/>
        </w:rPr>
        <w:t xml:space="preserve"> </w:t>
      </w:r>
      <w:r>
        <w:t>student</w:t>
      </w:r>
      <w:r>
        <w:rPr>
          <w:spacing w:val="-6"/>
        </w:rPr>
        <w:t xml:space="preserve"> </w:t>
      </w:r>
      <w:r>
        <w:t>sample</w:t>
      </w:r>
      <w:r>
        <w:rPr>
          <w:spacing w:val="-6"/>
        </w:rPr>
        <w:t xml:space="preserve"> </w:t>
      </w:r>
      <w:r>
        <w:t>size</w:t>
      </w:r>
      <w:r>
        <w:rPr>
          <w:spacing w:val="-6"/>
        </w:rPr>
        <w:t xml:space="preserve"> </w:t>
      </w:r>
      <w:r>
        <w:t>objective</w:t>
      </w:r>
      <w:r>
        <w:rPr>
          <w:spacing w:val="-6"/>
        </w:rPr>
        <w:t xml:space="preserve"> </w:t>
      </w:r>
      <w:r>
        <w:t>and</w:t>
      </w:r>
      <w:r>
        <w:rPr>
          <w:spacing w:val="-6"/>
        </w:rPr>
        <w:t xml:space="preserve"> </w:t>
      </w:r>
      <w:r>
        <w:t>achieve</w:t>
      </w:r>
      <w:r>
        <w:rPr>
          <w:spacing w:val="-6"/>
        </w:rPr>
        <w:t xml:space="preserve"> </w:t>
      </w:r>
      <w:r>
        <w:t>a</w:t>
      </w:r>
      <w:r>
        <w:rPr>
          <w:spacing w:val="-6"/>
        </w:rPr>
        <w:t xml:space="preserve"> </w:t>
      </w:r>
      <w:r>
        <w:t>reasonable</w:t>
      </w:r>
      <w:r>
        <w:rPr>
          <w:spacing w:val="-6"/>
        </w:rPr>
        <w:t xml:space="preserve"> </w:t>
      </w:r>
      <w:r>
        <w:t>compromise</w:t>
      </w:r>
      <w:r>
        <w:rPr>
          <w:spacing w:val="-6"/>
        </w:rPr>
        <w:t xml:space="preserve"> </w:t>
      </w:r>
      <w:r>
        <w:t>among</w:t>
      </w:r>
      <w:r>
        <w:rPr>
          <w:spacing w:val="-6"/>
        </w:rPr>
        <w:t xml:space="preserve"> </w:t>
      </w:r>
      <w:r>
        <w:t>the</w:t>
      </w:r>
      <w:r>
        <w:rPr>
          <w:spacing w:val="-6"/>
        </w:rPr>
        <w:t xml:space="preserve"> </w:t>
      </w:r>
      <w:r>
        <w:t>next</w:t>
      </w:r>
      <w:r>
        <w:rPr>
          <w:spacing w:val="-6"/>
        </w:rPr>
        <w:t xml:space="preserve"> </w:t>
      </w:r>
      <w:r>
        <w:t>four</w:t>
      </w:r>
      <w:r>
        <w:rPr>
          <w:spacing w:val="-6"/>
        </w:rPr>
        <w:t xml:space="preserve"> </w:t>
      </w:r>
      <w:r>
        <w:t>objectives,</w:t>
      </w:r>
      <w:r>
        <w:rPr>
          <w:spacing w:val="-6"/>
        </w:rPr>
        <w:t xml:space="preserve"> </w:t>
      </w:r>
      <w:r>
        <w:t>the</w:t>
      </w:r>
      <w:r>
        <w:rPr>
          <w:spacing w:val="-6"/>
        </w:rPr>
        <w:t xml:space="preserve"> </w:t>
      </w:r>
      <w:r>
        <w:t>following</w:t>
      </w:r>
      <w:r>
        <w:rPr>
          <w:spacing w:val="-6"/>
        </w:rPr>
        <w:t xml:space="preserve"> </w:t>
      </w:r>
      <w:r>
        <w:t>algorithm</w:t>
      </w:r>
      <w:r>
        <w:rPr>
          <w:spacing w:val="-6"/>
        </w:rPr>
        <w:t xml:space="preserve"> </w:t>
      </w:r>
      <w:r>
        <w:t>was</w:t>
      </w:r>
      <w:r>
        <w:rPr>
          <w:spacing w:val="-6"/>
        </w:rPr>
        <w:t xml:space="preserve"> </w:t>
      </w:r>
      <w:r>
        <w:t>used</w:t>
      </w:r>
      <w:r>
        <w:rPr>
          <w:spacing w:val="-6"/>
        </w:rPr>
        <w:t xml:space="preserve"> </w:t>
      </w:r>
      <w:r>
        <w:t>to</w:t>
      </w:r>
      <w:r>
        <w:rPr>
          <w:spacing w:val="-6"/>
        </w:rPr>
        <w:t xml:space="preserve"> </w:t>
      </w:r>
      <w:r>
        <w:t>assign</w:t>
      </w:r>
      <w:r>
        <w:rPr>
          <w:spacing w:val="-6"/>
        </w:rPr>
        <w:t xml:space="preserve"> </w:t>
      </w:r>
      <w:r>
        <w:t>a measure</w:t>
      </w:r>
      <w:r>
        <w:rPr>
          <w:spacing w:val="-1"/>
        </w:rPr>
        <w:t xml:space="preserve"> </w:t>
      </w:r>
      <w:r>
        <w:t>of</w:t>
      </w:r>
      <w:r>
        <w:rPr>
          <w:spacing w:val="-1"/>
        </w:rPr>
        <w:t xml:space="preserve"> </w:t>
      </w:r>
      <w:r>
        <w:t>size</w:t>
      </w:r>
      <w:r>
        <w:rPr>
          <w:spacing w:val="-1"/>
        </w:rPr>
        <w:t xml:space="preserve"> </w:t>
      </w:r>
      <w:r>
        <w:t>to</w:t>
      </w:r>
      <w:r>
        <w:rPr>
          <w:spacing w:val="-1"/>
        </w:rPr>
        <w:t xml:space="preserve"> </w:t>
      </w:r>
      <w:r>
        <w:t>each</w:t>
      </w:r>
      <w:r>
        <w:rPr>
          <w:spacing w:val="-1"/>
        </w:rPr>
        <w:t xml:space="preserve"> </w:t>
      </w:r>
      <w:r>
        <w:t>school</w:t>
      </w:r>
      <w:r>
        <w:rPr>
          <w:spacing w:val="-1"/>
        </w:rPr>
        <w:t xml:space="preserve"> </w:t>
      </w:r>
      <w:r>
        <w:t>based</w:t>
      </w:r>
      <w:r>
        <w:rPr>
          <w:spacing w:val="-1"/>
        </w:rPr>
        <w:t xml:space="preserve"> </w:t>
      </w:r>
      <w:r>
        <w:t>on</w:t>
      </w:r>
      <w:r>
        <w:rPr>
          <w:spacing w:val="-1"/>
        </w:rPr>
        <w:t xml:space="preserve"> </w:t>
      </w:r>
      <w:r>
        <w:t>its</w:t>
      </w:r>
      <w:r>
        <w:rPr>
          <w:spacing w:val="-1"/>
        </w:rPr>
        <w:t xml:space="preserve"> </w:t>
      </w:r>
      <w:r>
        <w:t>estimated</w:t>
      </w:r>
      <w:r>
        <w:rPr>
          <w:spacing w:val="-1"/>
        </w:rPr>
        <w:t xml:space="preserve"> </w:t>
      </w:r>
      <w:r>
        <w:t>grade</w:t>
      </w:r>
      <w:r>
        <w:rPr>
          <w:spacing w:val="-1"/>
        </w:rPr>
        <w:t xml:space="preserve"> </w:t>
      </w:r>
      <w:r>
        <w:t>enrollment</w:t>
      </w:r>
      <w:r>
        <w:rPr>
          <w:spacing w:val="-1"/>
        </w:rPr>
        <w:t xml:space="preserve"> </w:t>
      </w:r>
      <w:r>
        <w:t>as</w:t>
      </w:r>
      <w:r>
        <w:rPr>
          <w:spacing w:val="-1"/>
        </w:rPr>
        <w:t xml:space="preserve"> </w:t>
      </w:r>
      <w:r>
        <w:t>indicated</w:t>
      </w:r>
      <w:r>
        <w:rPr>
          <w:spacing w:val="-1"/>
        </w:rPr>
        <w:t xml:space="preserve"> </w:t>
      </w:r>
      <w:r>
        <w:t>on</w:t>
      </w:r>
      <w:r>
        <w:rPr>
          <w:spacing w:val="-1"/>
        </w:rPr>
        <w:t xml:space="preserve"> </w:t>
      </w:r>
      <w:r>
        <w:t>the</w:t>
      </w:r>
      <w:r>
        <w:rPr>
          <w:spacing w:val="-1"/>
        </w:rPr>
        <w:t xml:space="preserve"> </w:t>
      </w:r>
      <w:r>
        <w:t>sampling</w:t>
      </w:r>
      <w:r>
        <w:rPr>
          <w:spacing w:val="-1"/>
        </w:rPr>
        <w:t xml:space="preserve"> </w:t>
      </w:r>
      <w:r>
        <w:t>frame.\begin{equation}</w:t>
      </w:r>
      <w:r>
        <w:rPr>
          <w:spacing w:val="-1"/>
        </w:rPr>
        <w:t xml:space="preserve"> </w:t>
      </w:r>
      <w:r>
        <w:t>MOS_{js}</w:t>
      </w:r>
      <w:r>
        <w:rPr>
          <w:spacing w:val="-1"/>
        </w:rPr>
        <w:t xml:space="preserve"> </w:t>
      </w:r>
      <w:r>
        <w:t>=</w:t>
      </w:r>
      <w:r>
        <w:rPr>
          <w:spacing w:val="-1"/>
        </w:rPr>
        <w:t xml:space="preserve"> </w:t>
      </w:r>
      <w:r>
        <w:t>\left\{\begin{array}{llll}</w:t>
      </w:r>
      <w:r>
        <w:rPr>
          <w:spacing w:val="-1"/>
        </w:rPr>
        <w:t xml:space="preserve"> </w:t>
      </w:r>
      <w:r>
        <w:t>x_{js}</w:t>
      </w:r>
      <w:r>
        <w:rPr>
          <w:spacing w:val="-1"/>
        </w:rPr>
        <w:t xml:space="preserve"> </w:t>
      </w:r>
      <w:r>
        <w:t>&amp;</w:t>
      </w:r>
    </w:p>
    <w:p w:rsidR="003F5784" w14:paraId="1CD40E25" w14:textId="77777777">
      <w:pPr>
        <w:pStyle w:val="BodyText"/>
        <w:spacing w:before="1" w:line="232" w:lineRule="auto"/>
        <w:ind w:left="109"/>
      </w:pPr>
      <w:r>
        <w:t>\text{if</w:t>
      </w:r>
      <w:r>
        <w:rPr>
          <w:spacing w:val="-5"/>
        </w:rPr>
        <w:t xml:space="preserve"> </w:t>
      </w:r>
      <w:r>
        <w:t>}</w:t>
      </w:r>
      <w:r>
        <w:rPr>
          <w:spacing w:val="-5"/>
        </w:rPr>
        <w:t xml:space="preserve"> </w:t>
      </w:r>
      <w:r>
        <w:t>z_{j}</w:t>
      </w:r>
      <w:r>
        <w:rPr>
          <w:spacing w:val="-5"/>
        </w:rPr>
        <w:t xml:space="preserve"> </w:t>
      </w:r>
      <w:r>
        <w:t>&lt;</w:t>
      </w:r>
      <w:r>
        <w:rPr>
          <w:spacing w:val="-5"/>
        </w:rPr>
        <w:t xml:space="preserve"> </w:t>
      </w:r>
      <w:r>
        <w:t>x_{js}</w:t>
      </w:r>
      <w:r>
        <w:rPr>
          <w:spacing w:val="-5"/>
        </w:rPr>
        <w:t xml:space="preserve"> </w:t>
      </w:r>
      <w:r>
        <w:t>\\[2pt]</w:t>
      </w:r>
      <w:r>
        <w:rPr>
          <w:spacing w:val="-5"/>
        </w:rPr>
        <w:t xml:space="preserve"> </w:t>
      </w:r>
      <w:r>
        <w:t>y_{j}</w:t>
      </w:r>
      <w:r>
        <w:rPr>
          <w:spacing w:val="-5"/>
        </w:rPr>
        <w:t xml:space="preserve"> </w:t>
      </w:r>
      <w:r>
        <w:t>&amp;</w:t>
      </w:r>
      <w:r>
        <w:rPr>
          <w:spacing w:val="-5"/>
        </w:rPr>
        <w:t xml:space="preserve"> </w:t>
      </w:r>
      <w:r>
        <w:t>\text{if</w:t>
      </w:r>
      <w:r>
        <w:rPr>
          <w:spacing w:val="-5"/>
        </w:rPr>
        <w:t xml:space="preserve"> </w:t>
      </w:r>
      <w:r>
        <w:t>}</w:t>
      </w:r>
      <w:r>
        <w:rPr>
          <w:spacing w:val="-5"/>
        </w:rPr>
        <w:t xml:space="preserve"> </w:t>
      </w:r>
      <w:r>
        <w:t>20</w:t>
      </w:r>
      <w:r>
        <w:rPr>
          <w:spacing w:val="-5"/>
        </w:rPr>
        <w:t xml:space="preserve"> </w:t>
      </w:r>
      <w:r>
        <w:t>&lt;</w:t>
      </w:r>
      <w:r>
        <w:rPr>
          <w:spacing w:val="-5"/>
        </w:rPr>
        <w:t xml:space="preserve"> </w:t>
      </w:r>
      <w:r>
        <w:t>x_{js}</w:t>
      </w:r>
      <w:r>
        <w:rPr>
          <w:spacing w:val="-5"/>
        </w:rPr>
        <w:t xml:space="preserve"> </w:t>
      </w:r>
      <w:r>
        <w:t>\leq{z_{j}}</w:t>
      </w:r>
      <w:r>
        <w:rPr>
          <w:spacing w:val="-5"/>
        </w:rPr>
        <w:t xml:space="preserve"> </w:t>
      </w:r>
      <w:r>
        <w:t>\\</w:t>
      </w:r>
      <w:r>
        <w:rPr>
          <w:spacing w:val="-5"/>
        </w:rPr>
        <w:t xml:space="preserve"> </w:t>
      </w:r>
      <w:r>
        <w:t>\biggl(\dfrac{y_j}{20}\biggr)</w:t>
      </w:r>
      <w:r>
        <w:rPr>
          <w:spacing w:val="-5"/>
        </w:rPr>
        <w:t xml:space="preserve"> </w:t>
      </w:r>
      <w:r>
        <w:t>\times</w:t>
      </w:r>
      <w:r>
        <w:rPr>
          <w:spacing w:val="-5"/>
        </w:rPr>
        <w:t xml:space="preserve"> </w:t>
      </w:r>
      <w:r>
        <w:t>x_{js}</w:t>
      </w:r>
      <w:r>
        <w:rPr>
          <w:spacing w:val="-5"/>
        </w:rPr>
        <w:t xml:space="preserve"> </w:t>
      </w:r>
      <w:r>
        <w:t>&amp;</w:t>
      </w:r>
      <w:r>
        <w:rPr>
          <w:spacing w:val="-5"/>
        </w:rPr>
        <w:t xml:space="preserve"> </w:t>
      </w:r>
      <w:r>
        <w:t>\text{if</w:t>
      </w:r>
      <w:r>
        <w:rPr>
          <w:spacing w:val="-5"/>
        </w:rPr>
        <w:t xml:space="preserve"> </w:t>
      </w:r>
      <w:r>
        <w:t>}</w:t>
      </w:r>
      <w:r>
        <w:rPr>
          <w:spacing w:val="-5"/>
        </w:rPr>
        <w:t xml:space="preserve"> </w:t>
      </w:r>
      <w:r>
        <w:t>5</w:t>
      </w:r>
      <w:r>
        <w:rPr>
          <w:spacing w:val="-5"/>
        </w:rPr>
        <w:t xml:space="preserve"> </w:t>
      </w:r>
      <w:r>
        <w:t>&lt;</w:t>
      </w:r>
      <w:r>
        <w:rPr>
          <w:spacing w:val="-5"/>
        </w:rPr>
        <w:t xml:space="preserve"> </w:t>
      </w:r>
      <w:r>
        <w:t>x_{js}</w:t>
      </w:r>
      <w:r>
        <w:rPr>
          <w:spacing w:val="-5"/>
        </w:rPr>
        <w:t xml:space="preserve"> </w:t>
      </w:r>
      <w:r>
        <w:t>\leq</w:t>
      </w:r>
      <w:r>
        <w:rPr>
          <w:spacing w:val="-5"/>
        </w:rPr>
        <w:t xml:space="preserve"> </w:t>
      </w:r>
      <w:r>
        <w:t>{20}</w:t>
      </w:r>
      <w:r>
        <w:rPr>
          <w:spacing w:val="-5"/>
        </w:rPr>
        <w:t xml:space="preserve"> </w:t>
      </w:r>
      <w:r>
        <w:t>\\</w:t>
      </w:r>
      <w:r>
        <w:rPr>
          <w:spacing w:val="-5"/>
        </w:rPr>
        <w:t xml:space="preserve"> </w:t>
      </w:r>
      <w:r>
        <w:t>\dfrac{y_j}{4}</w:t>
      </w:r>
      <w:r>
        <w:rPr>
          <w:spacing w:val="-5"/>
        </w:rPr>
        <w:t xml:space="preserve"> </w:t>
      </w:r>
      <w:r>
        <w:t>&amp; x_{js} \leq {5} \end{array}\right. \end{equation}</w:t>
      </w:r>
    </w:p>
    <w:p w:rsidR="003F5784" w14:paraId="0E2F5C1D" w14:textId="77777777">
      <w:pPr>
        <w:pStyle w:val="BodyText"/>
        <w:spacing w:before="209" w:line="232" w:lineRule="auto"/>
        <w:ind w:left="109" w:right="179"/>
      </w:pPr>
      <w:r>
        <w:t>where</w:t>
      </w:r>
      <w:r>
        <w:rPr>
          <w:spacing w:val="-6"/>
        </w:rPr>
        <w:t xml:space="preserve"> </w:t>
      </w:r>
      <w:r>
        <w:t>\(x_{js}\)</w:t>
      </w:r>
      <w:r>
        <w:rPr>
          <w:spacing w:val="-6"/>
        </w:rPr>
        <w:t xml:space="preserve"> </w:t>
      </w:r>
      <w:r>
        <w:t>is</w:t>
      </w:r>
      <w:r>
        <w:rPr>
          <w:spacing w:val="-6"/>
        </w:rPr>
        <w:t xml:space="preserve"> </w:t>
      </w:r>
      <w:r>
        <w:t>the</w:t>
      </w:r>
      <w:r>
        <w:rPr>
          <w:spacing w:val="-6"/>
        </w:rPr>
        <w:t xml:space="preserve"> </w:t>
      </w:r>
      <w:r>
        <w:t>estimated</w:t>
      </w:r>
      <w:r>
        <w:rPr>
          <w:spacing w:val="-6"/>
        </w:rPr>
        <w:t xml:space="preserve"> </w:t>
      </w:r>
      <w:r>
        <w:t>grade</w:t>
      </w:r>
      <w:r>
        <w:rPr>
          <w:spacing w:val="-6"/>
        </w:rPr>
        <w:t xml:space="preserve"> </w:t>
      </w:r>
      <w:r>
        <w:t>8</w:t>
      </w:r>
      <w:r>
        <w:rPr>
          <w:spacing w:val="-6"/>
        </w:rPr>
        <w:t xml:space="preserve"> </w:t>
      </w:r>
      <w:r>
        <w:t>enrollment</w:t>
      </w:r>
      <w:r>
        <w:rPr>
          <w:spacing w:val="-6"/>
        </w:rPr>
        <w:t xml:space="preserve"> </w:t>
      </w:r>
      <w:r>
        <w:t>for</w:t>
      </w:r>
      <w:r>
        <w:rPr>
          <w:spacing w:val="-6"/>
        </w:rPr>
        <w:t xml:space="preserve"> </w:t>
      </w:r>
      <w:r>
        <w:t>school</w:t>
      </w:r>
      <w:r>
        <w:rPr>
          <w:spacing w:val="-6"/>
        </w:rPr>
        <w:t xml:space="preserve"> </w:t>
      </w:r>
      <w:r>
        <w:t>\(s\)</w:t>
      </w:r>
      <w:r>
        <w:rPr>
          <w:spacing w:val="-6"/>
        </w:rPr>
        <w:t xml:space="preserve"> </w:t>
      </w:r>
      <w:r>
        <w:t>in</w:t>
      </w:r>
      <w:r>
        <w:rPr>
          <w:spacing w:val="-6"/>
        </w:rPr>
        <w:t xml:space="preserve"> </w:t>
      </w:r>
      <w:r>
        <w:t>stratum</w:t>
      </w:r>
      <w:r>
        <w:rPr>
          <w:spacing w:val="-6"/>
        </w:rPr>
        <w:t xml:space="preserve"> </w:t>
      </w:r>
      <w:r>
        <w:t>\(j\),</w:t>
      </w:r>
      <w:r>
        <w:rPr>
          <w:spacing w:val="-6"/>
        </w:rPr>
        <w:t xml:space="preserve"> </w:t>
      </w:r>
      <w:r>
        <w:t>and</w:t>
      </w:r>
      <w:r>
        <w:rPr>
          <w:spacing w:val="-6"/>
        </w:rPr>
        <w:t xml:space="preserve"> </w:t>
      </w:r>
      <w:r>
        <w:t>\(y_{j}\)</w:t>
      </w:r>
      <w:r>
        <w:rPr>
          <w:spacing w:val="-6"/>
        </w:rPr>
        <w:t xml:space="preserve"> </w:t>
      </w:r>
      <w:r>
        <w:t>is</w:t>
      </w:r>
      <w:r>
        <w:rPr>
          <w:spacing w:val="-6"/>
        </w:rPr>
        <w:t xml:space="preserve"> </w:t>
      </w:r>
      <w:r>
        <w:t>the</w:t>
      </w:r>
      <w:r>
        <w:rPr>
          <w:spacing w:val="-6"/>
        </w:rPr>
        <w:t xml:space="preserve"> </w:t>
      </w:r>
      <w:r>
        <w:t>target</w:t>
      </w:r>
      <w:r>
        <w:rPr>
          <w:spacing w:val="-6"/>
        </w:rPr>
        <w:t xml:space="preserve"> </w:t>
      </w:r>
      <w:r>
        <w:t>within-school</w:t>
      </w:r>
      <w:r>
        <w:rPr>
          <w:spacing w:val="-6"/>
        </w:rPr>
        <w:t xml:space="preserve"> </w:t>
      </w:r>
      <w:r>
        <w:t>student</w:t>
      </w:r>
      <w:r>
        <w:rPr>
          <w:spacing w:val="-6"/>
        </w:rPr>
        <w:t xml:space="preserve"> </w:t>
      </w:r>
      <w:r>
        <w:t>sample</w:t>
      </w:r>
      <w:r>
        <w:rPr>
          <w:spacing w:val="-6"/>
        </w:rPr>
        <w:t xml:space="preserve"> </w:t>
      </w:r>
      <w:r>
        <w:t>size</w:t>
      </w:r>
      <w:r>
        <w:rPr>
          <w:spacing w:val="-6"/>
        </w:rPr>
        <w:t xml:space="preserve"> </w:t>
      </w:r>
      <w:r>
        <w:t>for</w:t>
      </w:r>
      <w:r>
        <w:rPr>
          <w:spacing w:val="-6"/>
        </w:rPr>
        <w:t xml:space="preserve"> </w:t>
      </w:r>
      <w:r>
        <w:t>stratum</w:t>
      </w:r>
      <w:r>
        <w:rPr>
          <w:spacing w:val="-6"/>
        </w:rPr>
        <w:t xml:space="preserve"> </w:t>
      </w:r>
      <w:r>
        <w:t>\(j\),</w:t>
      </w:r>
      <w:r>
        <w:rPr>
          <w:spacing w:val="-6"/>
        </w:rPr>
        <w:t xml:space="preserve"> </w:t>
      </w:r>
      <w:r>
        <w:t>and</w:t>
      </w:r>
      <w:r>
        <w:rPr>
          <w:spacing w:val="-6"/>
        </w:rPr>
        <w:t xml:space="preserve"> </w:t>
      </w:r>
      <w:r>
        <w:t>`z_{js}`</w:t>
      </w:r>
      <w:r>
        <w:rPr>
          <w:spacing w:val="-6"/>
        </w:rPr>
        <w:t xml:space="preserve"> </w:t>
      </w:r>
      <w:r>
        <w:t>is the within-school take-all student cutoff for stratum `j` to which school `s` belongs.</w:t>
      </w:r>
    </w:p>
    <w:p w:rsidR="003F5784" w14:paraId="49ED80A1" w14:textId="77777777">
      <w:pPr>
        <w:pStyle w:val="BodyText"/>
        <w:spacing w:before="209" w:line="232" w:lineRule="auto"/>
        <w:ind w:left="109" w:right="318"/>
      </w:pPr>
      <w:r>
        <w:t>To</w:t>
      </w:r>
      <w:r>
        <w:rPr>
          <w:spacing w:val="-10"/>
        </w:rPr>
        <w:t xml:space="preserve"> </w:t>
      </w:r>
      <w:r>
        <w:t>increase</w:t>
      </w:r>
      <w:r>
        <w:rPr>
          <w:spacing w:val="-6"/>
        </w:rPr>
        <w:t xml:space="preserve"> </w:t>
      </w:r>
      <w:r>
        <w:t>the</w:t>
      </w:r>
      <w:r>
        <w:rPr>
          <w:spacing w:val="-6"/>
        </w:rPr>
        <w:t xml:space="preserve"> </w:t>
      </w:r>
      <w:r>
        <w:t>number</w:t>
      </w:r>
      <w:r>
        <w:rPr>
          <w:spacing w:val="-6"/>
        </w:rPr>
        <w:t xml:space="preserve"> </w:t>
      </w:r>
      <w:r>
        <w:t>of</w:t>
      </w:r>
      <w:r>
        <w:rPr>
          <w:spacing w:val="-14"/>
        </w:rPr>
        <w:t xml:space="preserve"> </w:t>
      </w:r>
      <w:r>
        <w:t>AI/AN</w:t>
      </w:r>
      <w:r>
        <w:rPr>
          <w:spacing w:val="-5"/>
        </w:rPr>
        <w:t xml:space="preserve"> </w:t>
      </w:r>
      <w:r>
        <w:t>students</w:t>
      </w:r>
      <w:r>
        <w:rPr>
          <w:spacing w:val="-6"/>
        </w:rPr>
        <w:t xml:space="preserve"> </w:t>
      </w:r>
      <w:r>
        <w:t>in</w:t>
      </w:r>
      <w:r>
        <w:rPr>
          <w:spacing w:val="-6"/>
        </w:rPr>
        <w:t xml:space="preserve"> </w:t>
      </w:r>
      <w:r>
        <w:t>the</w:t>
      </w:r>
      <w:r>
        <w:rPr>
          <w:spacing w:val="-6"/>
        </w:rPr>
        <w:t xml:space="preserve"> </w:t>
      </w:r>
      <w:r>
        <w:t>sample,</w:t>
      </w:r>
      <w:r>
        <w:rPr>
          <w:spacing w:val="-6"/>
        </w:rPr>
        <w:t xml:space="preserve"> </w:t>
      </w:r>
      <w:r>
        <w:t>the</w:t>
      </w:r>
      <w:r>
        <w:rPr>
          <w:spacing w:val="-6"/>
        </w:rPr>
        <w:t xml:space="preserve"> </w:t>
      </w:r>
      <w:r>
        <w:t>measures</w:t>
      </w:r>
      <w:r>
        <w:rPr>
          <w:spacing w:val="-6"/>
        </w:rPr>
        <w:t xml:space="preserve"> </w:t>
      </w:r>
      <w:r>
        <w:t>of</w:t>
      </w:r>
      <w:r>
        <w:rPr>
          <w:spacing w:val="-6"/>
        </w:rPr>
        <w:t xml:space="preserve"> </w:t>
      </w:r>
      <w:r>
        <w:t>size</w:t>
      </w:r>
      <w:r>
        <w:rPr>
          <w:spacing w:val="-6"/>
        </w:rPr>
        <w:t xml:space="preserve"> </w:t>
      </w:r>
      <w:r>
        <w:t>for</w:t>
      </w:r>
      <w:r>
        <w:rPr>
          <w:spacing w:val="-6"/>
        </w:rPr>
        <w:t xml:space="preserve"> </w:t>
      </w:r>
      <w:r>
        <w:t>schools</w:t>
      </w:r>
      <w:r>
        <w:rPr>
          <w:spacing w:val="-6"/>
        </w:rPr>
        <w:t xml:space="preserve"> </w:t>
      </w:r>
      <w:r>
        <w:t>with</w:t>
      </w:r>
      <w:r>
        <w:rPr>
          <w:spacing w:val="-6"/>
        </w:rPr>
        <w:t xml:space="preserve"> </w:t>
      </w:r>
      <w:r>
        <w:t>relatively</w:t>
      </w:r>
      <w:r>
        <w:rPr>
          <w:spacing w:val="-6"/>
        </w:rPr>
        <w:t xml:space="preserve"> </w:t>
      </w:r>
      <w:r>
        <w:t>high</w:t>
      </w:r>
      <w:r>
        <w:rPr>
          <w:spacing w:val="-6"/>
        </w:rPr>
        <w:t xml:space="preserve"> </w:t>
      </w:r>
      <w:r>
        <w:t>proportions</w:t>
      </w:r>
      <w:r>
        <w:rPr>
          <w:spacing w:val="-6"/>
        </w:rPr>
        <w:t xml:space="preserve"> </w:t>
      </w:r>
      <w:r>
        <w:t>of</w:t>
      </w:r>
      <w:r>
        <w:rPr>
          <w:spacing w:val="-14"/>
        </w:rPr>
        <w:t xml:space="preserve"> </w:t>
      </w:r>
      <w:r>
        <w:t>AI/AN</w:t>
      </w:r>
      <w:r>
        <w:rPr>
          <w:spacing w:val="-5"/>
        </w:rPr>
        <w:t xml:space="preserve"> </w:t>
      </w:r>
      <w:r>
        <w:t>students</w:t>
      </w:r>
      <w:r>
        <w:rPr>
          <w:spacing w:val="-6"/>
        </w:rPr>
        <w:t xml:space="preserve"> </w:t>
      </w:r>
      <w:r>
        <w:t>(5</w:t>
      </w:r>
      <w:r>
        <w:rPr>
          <w:spacing w:val="-6"/>
        </w:rPr>
        <w:t xml:space="preserve"> </w:t>
      </w:r>
      <w:r>
        <w:t>percent</w:t>
      </w:r>
      <w:r>
        <w:rPr>
          <w:spacing w:val="-6"/>
        </w:rPr>
        <w:t xml:space="preserve"> </w:t>
      </w:r>
      <w:r>
        <w:t>or</w:t>
      </w:r>
      <w:r>
        <w:rPr>
          <w:spacing w:val="-6"/>
        </w:rPr>
        <w:t xml:space="preserve"> </w:t>
      </w:r>
      <w:r>
        <w:t>more</w:t>
      </w:r>
      <w:r>
        <w:rPr>
          <w:spacing w:val="-6"/>
        </w:rPr>
        <w:t xml:space="preserve"> </w:t>
      </w:r>
      <w:r>
        <w:t>and</w:t>
      </w:r>
      <w:r>
        <w:rPr>
          <w:spacing w:val="-6"/>
        </w:rPr>
        <w:t xml:space="preserve"> </w:t>
      </w:r>
      <w:r>
        <w:t>with</w:t>
      </w:r>
      <w:r>
        <w:rPr>
          <w:spacing w:val="-6"/>
        </w:rPr>
        <w:t xml:space="preserve"> </w:t>
      </w:r>
      <w:r>
        <w:t>at least 5 AI/AN students in grade 8) were quadrupled.</w:t>
      </w:r>
    </w:p>
    <w:p w:rsidR="003F5784" w14:paraId="376C6DE4" w14:textId="77777777">
      <w:pPr>
        <w:pStyle w:val="BodyText"/>
        <w:spacing w:before="210" w:line="232" w:lineRule="auto"/>
        <w:ind w:left="109"/>
      </w:pPr>
      <w:r>
        <w:t>Likewise,</w:t>
      </w:r>
      <w:r>
        <w:rPr>
          <w:spacing w:val="-6"/>
        </w:rPr>
        <w:t xml:space="preserve"> </w:t>
      </w:r>
      <w:r>
        <w:t>to</w:t>
      </w:r>
      <w:r>
        <w:rPr>
          <w:spacing w:val="-6"/>
        </w:rPr>
        <w:t xml:space="preserve"> </w:t>
      </w:r>
      <w:r>
        <w:t>increase</w:t>
      </w:r>
      <w:r>
        <w:rPr>
          <w:spacing w:val="-6"/>
        </w:rPr>
        <w:t xml:space="preserve"> </w:t>
      </w:r>
      <w:r>
        <w:t>the</w:t>
      </w:r>
      <w:r>
        <w:rPr>
          <w:spacing w:val="-6"/>
        </w:rPr>
        <w:t xml:space="preserve"> </w:t>
      </w:r>
      <w:r>
        <w:t>number</w:t>
      </w:r>
      <w:r>
        <w:rPr>
          <w:spacing w:val="-6"/>
        </w:rPr>
        <w:t xml:space="preserve"> </w:t>
      </w:r>
      <w:r>
        <w:t>of</w:t>
      </w:r>
      <w:r>
        <w:rPr>
          <w:spacing w:val="-6"/>
        </w:rPr>
        <w:t xml:space="preserve"> </w:t>
      </w:r>
      <w:r>
        <w:t>Black</w:t>
      </w:r>
      <w:r>
        <w:rPr>
          <w:spacing w:val="-6"/>
        </w:rPr>
        <w:t xml:space="preserve"> </w:t>
      </w:r>
      <w:r>
        <w:t>and</w:t>
      </w:r>
      <w:r>
        <w:rPr>
          <w:spacing w:val="-6"/>
        </w:rPr>
        <w:t xml:space="preserve"> </w:t>
      </w:r>
      <w:r>
        <w:t>Hispanic</w:t>
      </w:r>
      <w:r>
        <w:rPr>
          <w:spacing w:val="-6"/>
        </w:rPr>
        <w:t xml:space="preserve"> </w:t>
      </w:r>
      <w:r>
        <w:t>students</w:t>
      </w:r>
      <w:r>
        <w:rPr>
          <w:spacing w:val="-6"/>
        </w:rPr>
        <w:t xml:space="preserve"> </w:t>
      </w:r>
      <w:r>
        <w:t>in</w:t>
      </w:r>
      <w:r>
        <w:rPr>
          <w:spacing w:val="-6"/>
        </w:rPr>
        <w:t xml:space="preserve"> </w:t>
      </w:r>
      <w:r>
        <w:t>the</w:t>
      </w:r>
      <w:r>
        <w:rPr>
          <w:spacing w:val="-6"/>
        </w:rPr>
        <w:t xml:space="preserve"> </w:t>
      </w:r>
      <w:r>
        <w:t>sample,</w:t>
      </w:r>
      <w:r>
        <w:rPr>
          <w:spacing w:val="-6"/>
        </w:rPr>
        <w:t xml:space="preserve"> </w:t>
      </w:r>
      <w:r>
        <w:t>the</w:t>
      </w:r>
      <w:r>
        <w:rPr>
          <w:spacing w:val="-6"/>
        </w:rPr>
        <w:t xml:space="preserve"> </w:t>
      </w:r>
      <w:r>
        <w:t>measures</w:t>
      </w:r>
      <w:r>
        <w:rPr>
          <w:spacing w:val="-6"/>
        </w:rPr>
        <w:t xml:space="preserve"> </w:t>
      </w:r>
      <w:r>
        <w:t>of</w:t>
      </w:r>
      <w:r>
        <w:rPr>
          <w:spacing w:val="-6"/>
        </w:rPr>
        <w:t xml:space="preserve"> </w:t>
      </w:r>
      <w:r>
        <w:t>size</w:t>
      </w:r>
      <w:r>
        <w:rPr>
          <w:spacing w:val="-6"/>
        </w:rPr>
        <w:t xml:space="preserve"> </w:t>
      </w:r>
      <w:r>
        <w:t>for</w:t>
      </w:r>
      <w:r>
        <w:rPr>
          <w:spacing w:val="-6"/>
        </w:rPr>
        <w:t xml:space="preserve"> </w:t>
      </w:r>
      <w:r>
        <w:t>schools</w:t>
      </w:r>
      <w:r>
        <w:rPr>
          <w:spacing w:val="-6"/>
        </w:rPr>
        <w:t xml:space="preserve"> </w:t>
      </w:r>
      <w:r>
        <w:t>with</w:t>
      </w:r>
      <w:r>
        <w:rPr>
          <w:spacing w:val="-6"/>
        </w:rPr>
        <w:t xml:space="preserve"> </w:t>
      </w:r>
      <w:r>
        <w:t>relatively</w:t>
      </w:r>
      <w:r>
        <w:rPr>
          <w:spacing w:val="-6"/>
        </w:rPr>
        <w:t xml:space="preserve"> </w:t>
      </w:r>
      <w:r>
        <w:t>high</w:t>
      </w:r>
      <w:r>
        <w:rPr>
          <w:spacing w:val="-6"/>
        </w:rPr>
        <w:t xml:space="preserve"> </w:t>
      </w:r>
      <w:r>
        <w:t>proportions</w:t>
      </w:r>
      <w:r>
        <w:rPr>
          <w:spacing w:val="-6"/>
        </w:rPr>
        <w:t xml:space="preserve"> </w:t>
      </w:r>
      <w:r>
        <w:t>of</w:t>
      </w:r>
      <w:r>
        <w:rPr>
          <w:spacing w:val="-6"/>
        </w:rPr>
        <w:t xml:space="preserve"> </w:t>
      </w:r>
      <w:r>
        <w:t>Black</w:t>
      </w:r>
      <w:r>
        <w:rPr>
          <w:spacing w:val="-6"/>
        </w:rPr>
        <w:t xml:space="preserve"> </w:t>
      </w:r>
      <w:r>
        <w:t>and</w:t>
      </w:r>
      <w:r>
        <w:rPr>
          <w:spacing w:val="-6"/>
        </w:rPr>
        <w:t xml:space="preserve"> </w:t>
      </w:r>
      <w:r>
        <w:t>Hispanic</w:t>
      </w:r>
      <w:r>
        <w:rPr>
          <w:spacing w:val="-6"/>
        </w:rPr>
        <w:t xml:space="preserve"> </w:t>
      </w:r>
      <w:r>
        <w:t>students (15 percent or more and with at least 10 Black or Hispanic students in grade 8) were doubled.</w:t>
      </w:r>
    </w:p>
    <w:p w:rsidR="003F5784" w14:paraId="55C08FA8" w14:textId="77777777">
      <w:pPr>
        <w:pStyle w:val="BodyText"/>
        <w:spacing w:before="209" w:line="232" w:lineRule="auto"/>
        <w:ind w:left="109" w:right="117"/>
      </w:pPr>
      <w:r>
        <w:t>This</w:t>
      </w:r>
      <w:r>
        <w:rPr>
          <w:spacing w:val="-10"/>
        </w:rPr>
        <w:t xml:space="preserve"> </w:t>
      </w:r>
      <w:r>
        <w:t>approach</w:t>
      </w:r>
      <w:r>
        <w:rPr>
          <w:spacing w:val="-7"/>
        </w:rPr>
        <w:t xml:space="preserve"> </w:t>
      </w:r>
      <w:r>
        <w:t>is</w:t>
      </w:r>
      <w:r>
        <w:rPr>
          <w:spacing w:val="-7"/>
        </w:rPr>
        <w:t xml:space="preserve"> </w:t>
      </w:r>
      <w:r>
        <w:t>effective</w:t>
      </w:r>
      <w:r>
        <w:rPr>
          <w:spacing w:val="-7"/>
        </w:rPr>
        <w:t xml:space="preserve"> </w:t>
      </w:r>
      <w:r>
        <w:t>in</w:t>
      </w:r>
      <w:r>
        <w:rPr>
          <w:spacing w:val="-7"/>
        </w:rPr>
        <w:t xml:space="preserve"> </w:t>
      </w:r>
      <w:r>
        <w:t>increasing</w:t>
      </w:r>
      <w:r>
        <w:rPr>
          <w:spacing w:val="-7"/>
        </w:rPr>
        <w:t xml:space="preserve"> </w:t>
      </w:r>
      <w:r>
        <w:t>the</w:t>
      </w:r>
      <w:r>
        <w:rPr>
          <w:spacing w:val="-7"/>
        </w:rPr>
        <w:t xml:space="preserve"> </w:t>
      </w:r>
      <w:r>
        <w:t>sample</w:t>
      </w:r>
      <w:r>
        <w:rPr>
          <w:spacing w:val="-7"/>
        </w:rPr>
        <w:t xml:space="preserve"> </w:t>
      </w:r>
      <w:r>
        <w:t>sizes</w:t>
      </w:r>
      <w:r>
        <w:rPr>
          <w:spacing w:val="-7"/>
        </w:rPr>
        <w:t xml:space="preserve"> </w:t>
      </w:r>
      <w:r>
        <w:t>of</w:t>
      </w:r>
      <w:r>
        <w:rPr>
          <w:spacing w:val="-14"/>
        </w:rPr>
        <w:t xml:space="preserve"> </w:t>
      </w:r>
      <w:r>
        <w:t>AI/AN,</w:t>
      </w:r>
      <w:r>
        <w:rPr>
          <w:spacing w:val="-6"/>
        </w:rPr>
        <w:t xml:space="preserve"> </w:t>
      </w:r>
      <w:r>
        <w:t>Black,</w:t>
      </w:r>
      <w:r>
        <w:rPr>
          <w:spacing w:val="-7"/>
        </w:rPr>
        <w:t xml:space="preserve"> </w:t>
      </w:r>
      <w:r>
        <w:t>and</w:t>
      </w:r>
      <w:r>
        <w:rPr>
          <w:spacing w:val="-7"/>
        </w:rPr>
        <w:t xml:space="preserve"> </w:t>
      </w:r>
      <w:r>
        <w:t>Hispanic</w:t>
      </w:r>
      <w:r>
        <w:rPr>
          <w:spacing w:val="-7"/>
        </w:rPr>
        <w:t xml:space="preserve"> </w:t>
      </w:r>
      <w:r>
        <w:t>students</w:t>
      </w:r>
      <w:r>
        <w:rPr>
          <w:spacing w:val="-7"/>
        </w:rPr>
        <w:t xml:space="preserve"> </w:t>
      </w:r>
      <w:r>
        <w:t>without</w:t>
      </w:r>
      <w:r>
        <w:rPr>
          <w:spacing w:val="-7"/>
        </w:rPr>
        <w:t xml:space="preserve"> </w:t>
      </w:r>
      <w:r>
        <w:t>inducing</w:t>
      </w:r>
      <w:r>
        <w:rPr>
          <w:spacing w:val="-7"/>
        </w:rPr>
        <w:t xml:space="preserve"> </w:t>
      </w:r>
      <w:r>
        <w:t>undesirably</w:t>
      </w:r>
      <w:r>
        <w:rPr>
          <w:spacing w:val="-7"/>
        </w:rPr>
        <w:t xml:space="preserve"> </w:t>
      </w:r>
      <w:r>
        <w:t>large</w:t>
      </w:r>
      <w:r>
        <w:rPr>
          <w:spacing w:val="-7"/>
        </w:rPr>
        <w:t xml:space="preserve"> </w:t>
      </w:r>
      <w:r>
        <w:t>design</w:t>
      </w:r>
      <w:r>
        <w:rPr>
          <w:spacing w:val="-7"/>
        </w:rPr>
        <w:t xml:space="preserve"> </w:t>
      </w:r>
      <w:r>
        <w:t>effects</w:t>
      </w:r>
      <w:r>
        <w:rPr>
          <w:spacing w:val="-7"/>
        </w:rPr>
        <w:t xml:space="preserve"> </w:t>
      </w:r>
      <w:r>
        <w:t>on</w:t>
      </w:r>
      <w:r>
        <w:rPr>
          <w:spacing w:val="-7"/>
        </w:rPr>
        <w:t xml:space="preserve"> </w:t>
      </w:r>
      <w:r>
        <w:t>the</w:t>
      </w:r>
      <w:r>
        <w:rPr>
          <w:spacing w:val="-7"/>
        </w:rPr>
        <w:t xml:space="preserve"> </w:t>
      </w:r>
      <w:r>
        <w:t>sample,</w:t>
      </w:r>
      <w:r>
        <w:rPr>
          <w:spacing w:val="-7"/>
        </w:rPr>
        <w:t xml:space="preserve"> </w:t>
      </w:r>
      <w:r>
        <w:t>either</w:t>
      </w:r>
      <w:r>
        <w:rPr>
          <w:spacing w:val="-7"/>
        </w:rPr>
        <w:t xml:space="preserve"> </w:t>
      </w:r>
      <w:r>
        <w:t>overall, or for particular subgroups.</w:t>
      </w:r>
    </w:p>
    <w:p w:rsidR="003F5784" w14:paraId="5753F2FA" w14:textId="77777777">
      <w:pPr>
        <w:pStyle w:val="BodyText"/>
        <w:spacing w:before="203" w:line="238" w:lineRule="exact"/>
        <w:ind w:left="109"/>
      </w:pPr>
      <w:r>
        <w:t>For</w:t>
      </w:r>
      <w:r>
        <w:rPr>
          <w:spacing w:val="-10"/>
        </w:rPr>
        <w:t xml:space="preserve"> </w:t>
      </w:r>
      <w:r>
        <w:t>schools</w:t>
      </w:r>
      <w:r>
        <w:rPr>
          <w:spacing w:val="-6"/>
        </w:rPr>
        <w:t xml:space="preserve"> </w:t>
      </w:r>
      <w:r>
        <w:t>with</w:t>
      </w:r>
      <w:r>
        <w:rPr>
          <w:spacing w:val="-7"/>
        </w:rPr>
        <w:t xml:space="preserve"> </w:t>
      </w:r>
      <w:r>
        <w:t>high</w:t>
      </w:r>
      <w:r>
        <w:rPr>
          <w:spacing w:val="-6"/>
        </w:rPr>
        <w:t xml:space="preserve"> </w:t>
      </w:r>
      <w:r>
        <w:t>proportions</w:t>
      </w:r>
      <w:r>
        <w:rPr>
          <w:spacing w:val="-7"/>
        </w:rPr>
        <w:t xml:space="preserve"> </w:t>
      </w:r>
      <w:r>
        <w:t>of</w:t>
      </w:r>
      <w:r>
        <w:rPr>
          <w:spacing w:val="-13"/>
        </w:rPr>
        <w:t xml:space="preserve"> </w:t>
      </w:r>
      <w:r>
        <w:t>AI/AN</w:t>
      </w:r>
      <w:r>
        <w:rPr>
          <w:spacing w:val="-6"/>
        </w:rPr>
        <w:t xml:space="preserve"> </w:t>
      </w:r>
      <w:r>
        <w:t>students,</w:t>
      </w:r>
      <w:r>
        <w:rPr>
          <w:spacing w:val="-7"/>
        </w:rPr>
        <w:t xml:space="preserve"> </w:t>
      </w:r>
      <w:r>
        <w:t>the</w:t>
      </w:r>
      <w:r>
        <w:rPr>
          <w:spacing w:val="-6"/>
        </w:rPr>
        <w:t xml:space="preserve"> </w:t>
      </w:r>
      <w:r>
        <w:t>preliminary</w:t>
      </w:r>
      <w:r>
        <w:rPr>
          <w:spacing w:val="-7"/>
        </w:rPr>
        <w:t xml:space="preserve"> </w:t>
      </w:r>
      <w:r>
        <w:t>measures</w:t>
      </w:r>
      <w:r>
        <w:rPr>
          <w:spacing w:val="-6"/>
        </w:rPr>
        <w:t xml:space="preserve"> </w:t>
      </w:r>
      <w:r>
        <w:t>of</w:t>
      </w:r>
      <w:r>
        <w:rPr>
          <w:spacing w:val="-6"/>
        </w:rPr>
        <w:t xml:space="preserve"> </w:t>
      </w:r>
      <w:r>
        <w:t>size</w:t>
      </w:r>
      <w:r>
        <w:rPr>
          <w:spacing w:val="-7"/>
        </w:rPr>
        <w:t xml:space="preserve"> </w:t>
      </w:r>
      <w:r>
        <w:t>were</w:t>
      </w:r>
      <w:r>
        <w:rPr>
          <w:spacing w:val="-6"/>
        </w:rPr>
        <w:t xml:space="preserve"> </w:t>
      </w:r>
      <w:r>
        <w:t>calculated</w:t>
      </w:r>
      <w:r>
        <w:rPr>
          <w:spacing w:val="-7"/>
        </w:rPr>
        <w:t xml:space="preserve"> </w:t>
      </w:r>
      <w:r>
        <w:t>as</w:t>
      </w:r>
      <w:r>
        <w:rPr>
          <w:spacing w:val="-6"/>
        </w:rPr>
        <w:t xml:space="preserve"> </w:t>
      </w:r>
      <w:r>
        <w:t>follows:</w:t>
      </w:r>
      <w:r>
        <w:rPr>
          <w:spacing w:val="-7"/>
        </w:rPr>
        <w:t xml:space="preserve"> </w:t>
      </w:r>
      <w:r>
        <w:t>\begin{equation}</w:t>
      </w:r>
      <w:r>
        <w:rPr>
          <w:spacing w:val="-6"/>
        </w:rPr>
        <w:t xml:space="preserve"> </w:t>
      </w:r>
      <w:r>
        <w:t>MOS_{js}</w:t>
      </w:r>
      <w:r>
        <w:rPr>
          <w:spacing w:val="-6"/>
        </w:rPr>
        <w:t xml:space="preserve"> </w:t>
      </w:r>
      <w:r>
        <w:t>=</w:t>
      </w:r>
      <w:r>
        <w:rPr>
          <w:spacing w:val="-7"/>
        </w:rPr>
        <w:t xml:space="preserve"> </w:t>
      </w:r>
      <w:r>
        <w:t>4</w:t>
      </w:r>
      <w:r>
        <w:rPr>
          <w:spacing w:val="-6"/>
        </w:rPr>
        <w:t xml:space="preserve"> </w:t>
      </w:r>
      <w:r>
        <w:t>\times</w:t>
      </w:r>
      <w:r>
        <w:rPr>
          <w:spacing w:val="-7"/>
        </w:rPr>
        <w:t xml:space="preserve"> </w:t>
      </w:r>
      <w:r>
        <w:t>\left\{</w:t>
      </w:r>
      <w:r>
        <w:rPr>
          <w:spacing w:val="-6"/>
        </w:rPr>
        <w:t xml:space="preserve"> </w:t>
      </w:r>
      <w:r>
        <w:rPr>
          <w:spacing w:val="-2"/>
        </w:rPr>
        <w:t>\begin{array}</w:t>
      </w:r>
    </w:p>
    <w:p w:rsidR="003F5784" w14:paraId="4A9D3D95" w14:textId="77777777">
      <w:pPr>
        <w:pStyle w:val="BodyText"/>
        <w:spacing w:line="235" w:lineRule="exact"/>
        <w:ind w:left="109"/>
      </w:pPr>
      <w:r>
        <w:t>{l}</w:t>
      </w:r>
      <w:r>
        <w:rPr>
          <w:spacing w:val="-6"/>
        </w:rPr>
        <w:t xml:space="preserve"> </w:t>
      </w:r>
      <w:r>
        <w:t>x_{js}</w:t>
      </w:r>
      <w:r>
        <w:rPr>
          <w:spacing w:val="-5"/>
        </w:rPr>
        <w:t xml:space="preserve"> </w:t>
      </w:r>
      <w:r>
        <w:t>&amp;</w:t>
      </w:r>
      <w:r>
        <w:rPr>
          <w:spacing w:val="-5"/>
        </w:rPr>
        <w:t xml:space="preserve"> </w:t>
      </w:r>
      <w:r>
        <w:t>\text{if</w:t>
      </w:r>
      <w:r>
        <w:rPr>
          <w:spacing w:val="-6"/>
        </w:rPr>
        <w:t xml:space="preserve"> </w:t>
      </w:r>
      <w:r>
        <w:t>}</w:t>
      </w:r>
      <w:r>
        <w:rPr>
          <w:spacing w:val="-5"/>
        </w:rPr>
        <w:t xml:space="preserve"> </w:t>
      </w:r>
      <w:r>
        <w:t>z_{j}</w:t>
      </w:r>
      <w:r>
        <w:rPr>
          <w:spacing w:val="-6"/>
        </w:rPr>
        <w:t xml:space="preserve"> </w:t>
      </w:r>
      <w:r>
        <w:t>&lt;</w:t>
      </w:r>
      <w:r>
        <w:rPr>
          <w:spacing w:val="-5"/>
        </w:rPr>
        <w:t xml:space="preserve"> </w:t>
      </w:r>
      <w:r>
        <w:t>x_{js}</w:t>
      </w:r>
      <w:r>
        <w:rPr>
          <w:spacing w:val="-5"/>
        </w:rPr>
        <w:t xml:space="preserve"> </w:t>
      </w:r>
      <w:r>
        <w:t>\\[2pt]</w:t>
      </w:r>
      <w:r>
        <w:rPr>
          <w:spacing w:val="-6"/>
        </w:rPr>
        <w:t xml:space="preserve"> </w:t>
      </w:r>
      <w:r>
        <w:t>y_{j}</w:t>
      </w:r>
      <w:r>
        <w:rPr>
          <w:spacing w:val="-5"/>
        </w:rPr>
        <w:t xml:space="preserve"> </w:t>
      </w:r>
      <w:r>
        <w:t>&amp;</w:t>
      </w:r>
      <w:r>
        <w:rPr>
          <w:spacing w:val="-5"/>
        </w:rPr>
        <w:t xml:space="preserve"> </w:t>
      </w:r>
      <w:r>
        <w:t>\text{if</w:t>
      </w:r>
      <w:r>
        <w:rPr>
          <w:spacing w:val="-6"/>
        </w:rPr>
        <w:t xml:space="preserve"> </w:t>
      </w:r>
      <w:r>
        <w:t>}</w:t>
      </w:r>
      <w:r>
        <w:rPr>
          <w:spacing w:val="-5"/>
        </w:rPr>
        <w:t xml:space="preserve"> </w:t>
      </w:r>
      <w:r>
        <w:t>20</w:t>
      </w:r>
      <w:r>
        <w:rPr>
          <w:spacing w:val="-5"/>
        </w:rPr>
        <w:t xml:space="preserve"> </w:t>
      </w:r>
      <w:r>
        <w:t>&lt;</w:t>
      </w:r>
      <w:r>
        <w:rPr>
          <w:spacing w:val="-6"/>
        </w:rPr>
        <w:t xml:space="preserve"> </w:t>
      </w:r>
      <w:r>
        <w:t>x_{js}</w:t>
      </w:r>
      <w:r>
        <w:rPr>
          <w:spacing w:val="-5"/>
        </w:rPr>
        <w:t xml:space="preserve"> </w:t>
      </w:r>
      <w:r>
        <w:t>\leq{z_{j}}</w:t>
      </w:r>
      <w:r>
        <w:rPr>
          <w:spacing w:val="-5"/>
        </w:rPr>
        <w:t xml:space="preserve"> </w:t>
      </w:r>
      <w:r>
        <w:t>\\</w:t>
      </w:r>
      <w:r>
        <w:rPr>
          <w:spacing w:val="-6"/>
        </w:rPr>
        <w:t xml:space="preserve"> </w:t>
      </w:r>
      <w:r>
        <w:t>\biggl(\dfrac{y_j}{20}\biggr)</w:t>
      </w:r>
      <w:r>
        <w:rPr>
          <w:spacing w:val="-5"/>
        </w:rPr>
        <w:t xml:space="preserve"> </w:t>
      </w:r>
      <w:r>
        <w:t>\times</w:t>
      </w:r>
      <w:r>
        <w:rPr>
          <w:spacing w:val="-5"/>
        </w:rPr>
        <w:t xml:space="preserve"> </w:t>
      </w:r>
      <w:r>
        <w:t>x_{js}</w:t>
      </w:r>
      <w:r>
        <w:rPr>
          <w:spacing w:val="-6"/>
        </w:rPr>
        <w:t xml:space="preserve"> </w:t>
      </w:r>
      <w:r>
        <w:t>&amp;</w:t>
      </w:r>
      <w:r>
        <w:rPr>
          <w:spacing w:val="-5"/>
        </w:rPr>
        <w:t xml:space="preserve"> </w:t>
      </w:r>
      <w:r>
        <w:t>\text{if</w:t>
      </w:r>
      <w:r>
        <w:rPr>
          <w:spacing w:val="-5"/>
        </w:rPr>
        <w:t xml:space="preserve"> </w:t>
      </w:r>
      <w:r>
        <w:t>}</w:t>
      </w:r>
      <w:r>
        <w:rPr>
          <w:spacing w:val="-6"/>
        </w:rPr>
        <w:t xml:space="preserve"> </w:t>
      </w:r>
      <w:r>
        <w:t>5</w:t>
      </w:r>
      <w:r>
        <w:rPr>
          <w:spacing w:val="-5"/>
        </w:rPr>
        <w:t xml:space="preserve"> </w:t>
      </w:r>
      <w:r>
        <w:t>&lt;</w:t>
      </w:r>
      <w:r>
        <w:rPr>
          <w:spacing w:val="-5"/>
        </w:rPr>
        <w:t xml:space="preserve"> </w:t>
      </w:r>
      <w:r>
        <w:t>x_{js}</w:t>
      </w:r>
      <w:r>
        <w:rPr>
          <w:spacing w:val="-6"/>
        </w:rPr>
        <w:t xml:space="preserve"> </w:t>
      </w:r>
      <w:r>
        <w:t>\leq</w:t>
      </w:r>
      <w:r>
        <w:rPr>
          <w:spacing w:val="-5"/>
        </w:rPr>
        <w:t xml:space="preserve"> </w:t>
      </w:r>
      <w:r>
        <w:t>{20}</w:t>
      </w:r>
      <w:r>
        <w:rPr>
          <w:spacing w:val="-5"/>
        </w:rPr>
        <w:t xml:space="preserve"> \\</w:t>
      </w:r>
    </w:p>
    <w:p w:rsidR="003F5784" w14:paraId="0D505207" w14:textId="77777777">
      <w:pPr>
        <w:pStyle w:val="BodyText"/>
        <w:spacing w:line="238" w:lineRule="exact"/>
        <w:ind w:left="109"/>
      </w:pPr>
      <w:r>
        <w:t>\dfrac{y_j}{4}</w:t>
      </w:r>
      <w:r>
        <w:rPr>
          <w:spacing w:val="-8"/>
        </w:rPr>
        <w:t xml:space="preserve"> </w:t>
      </w:r>
      <w:r>
        <w:t>&amp;</w:t>
      </w:r>
      <w:r>
        <w:rPr>
          <w:spacing w:val="-8"/>
        </w:rPr>
        <w:t xml:space="preserve"> </w:t>
      </w:r>
      <w:r>
        <w:t>x_{js}</w:t>
      </w:r>
      <w:r>
        <w:rPr>
          <w:spacing w:val="-8"/>
        </w:rPr>
        <w:t xml:space="preserve"> </w:t>
      </w:r>
      <w:r>
        <w:t>\leq</w:t>
      </w:r>
      <w:r>
        <w:rPr>
          <w:spacing w:val="-8"/>
        </w:rPr>
        <w:t xml:space="preserve"> </w:t>
      </w:r>
      <w:r>
        <w:t>{5}</w:t>
      </w:r>
      <w:r>
        <w:rPr>
          <w:spacing w:val="-8"/>
        </w:rPr>
        <w:t xml:space="preserve"> </w:t>
      </w:r>
      <w:r>
        <w:t>\end{array}\right.</w:t>
      </w:r>
      <w:r>
        <w:rPr>
          <w:spacing w:val="-8"/>
        </w:rPr>
        <w:t xml:space="preserve"> </w:t>
      </w:r>
      <w:r>
        <w:rPr>
          <w:spacing w:val="-2"/>
        </w:rPr>
        <w:t>\end{equation}</w:t>
      </w:r>
    </w:p>
    <w:p w:rsidR="003F5784" w14:paraId="5D67824D" w14:textId="77777777">
      <w:pPr>
        <w:pStyle w:val="BodyText"/>
        <w:spacing w:before="202" w:line="238" w:lineRule="exact"/>
        <w:ind w:left="109"/>
      </w:pPr>
      <w:r>
        <w:t>For</w:t>
      </w:r>
      <w:r>
        <w:rPr>
          <w:spacing w:val="-7"/>
        </w:rPr>
        <w:t xml:space="preserve"> </w:t>
      </w:r>
      <w:r>
        <w:t>schools</w:t>
      </w:r>
      <w:r>
        <w:rPr>
          <w:spacing w:val="-6"/>
        </w:rPr>
        <w:t xml:space="preserve"> </w:t>
      </w:r>
      <w:r>
        <w:t>with</w:t>
      </w:r>
      <w:r>
        <w:rPr>
          <w:spacing w:val="-7"/>
        </w:rPr>
        <w:t xml:space="preserve"> </w:t>
      </w:r>
      <w:r>
        <w:t>high</w:t>
      </w:r>
      <w:r>
        <w:rPr>
          <w:spacing w:val="-6"/>
        </w:rPr>
        <w:t xml:space="preserve"> </w:t>
      </w:r>
      <w:r>
        <w:t>proportions</w:t>
      </w:r>
      <w:r>
        <w:rPr>
          <w:spacing w:val="-6"/>
        </w:rPr>
        <w:t xml:space="preserve"> </w:t>
      </w:r>
      <w:r>
        <w:t>of</w:t>
      </w:r>
      <w:r>
        <w:rPr>
          <w:spacing w:val="-7"/>
        </w:rPr>
        <w:t xml:space="preserve"> </w:t>
      </w:r>
      <w:r>
        <w:t>Black</w:t>
      </w:r>
      <w:r>
        <w:rPr>
          <w:spacing w:val="-6"/>
        </w:rPr>
        <w:t xml:space="preserve"> </w:t>
      </w:r>
      <w:r>
        <w:t>and</w:t>
      </w:r>
      <w:r>
        <w:rPr>
          <w:spacing w:val="-6"/>
        </w:rPr>
        <w:t xml:space="preserve"> </w:t>
      </w:r>
      <w:r>
        <w:t>Hispanic</w:t>
      </w:r>
      <w:r>
        <w:rPr>
          <w:spacing w:val="-7"/>
        </w:rPr>
        <w:t xml:space="preserve"> </w:t>
      </w:r>
      <w:r>
        <w:t>students,</w:t>
      </w:r>
      <w:r>
        <w:rPr>
          <w:spacing w:val="-6"/>
        </w:rPr>
        <w:t xml:space="preserve"> </w:t>
      </w:r>
      <w:r>
        <w:t>the</w:t>
      </w:r>
      <w:r>
        <w:rPr>
          <w:spacing w:val="-6"/>
        </w:rPr>
        <w:t xml:space="preserve"> </w:t>
      </w:r>
      <w:r>
        <w:t>preliminary</w:t>
      </w:r>
      <w:r>
        <w:rPr>
          <w:spacing w:val="-7"/>
        </w:rPr>
        <w:t xml:space="preserve"> </w:t>
      </w:r>
      <w:r>
        <w:t>measures</w:t>
      </w:r>
      <w:r>
        <w:rPr>
          <w:spacing w:val="-6"/>
        </w:rPr>
        <w:t xml:space="preserve"> </w:t>
      </w:r>
      <w:r>
        <w:t>of</w:t>
      </w:r>
      <w:r>
        <w:rPr>
          <w:spacing w:val="-6"/>
        </w:rPr>
        <w:t xml:space="preserve"> </w:t>
      </w:r>
      <w:r>
        <w:t>size</w:t>
      </w:r>
      <w:r>
        <w:rPr>
          <w:spacing w:val="-7"/>
        </w:rPr>
        <w:t xml:space="preserve"> </w:t>
      </w:r>
      <w:r>
        <w:t>were</w:t>
      </w:r>
      <w:r>
        <w:rPr>
          <w:spacing w:val="-6"/>
        </w:rPr>
        <w:t xml:space="preserve"> </w:t>
      </w:r>
      <w:r>
        <w:t>calculated</w:t>
      </w:r>
      <w:r>
        <w:rPr>
          <w:spacing w:val="-6"/>
        </w:rPr>
        <w:t xml:space="preserve"> </w:t>
      </w:r>
      <w:r>
        <w:t>as</w:t>
      </w:r>
      <w:r>
        <w:rPr>
          <w:spacing w:val="-7"/>
        </w:rPr>
        <w:t xml:space="preserve"> </w:t>
      </w:r>
      <w:r>
        <w:t>follows:</w:t>
      </w:r>
      <w:r>
        <w:rPr>
          <w:spacing w:val="-6"/>
        </w:rPr>
        <w:t xml:space="preserve"> </w:t>
      </w:r>
      <w:r>
        <w:t>\begin{equation}</w:t>
      </w:r>
      <w:r>
        <w:rPr>
          <w:spacing w:val="-6"/>
        </w:rPr>
        <w:t xml:space="preserve"> </w:t>
      </w:r>
      <w:r>
        <w:t>MOS_{js}</w:t>
      </w:r>
      <w:r>
        <w:rPr>
          <w:spacing w:val="-7"/>
        </w:rPr>
        <w:t xml:space="preserve"> </w:t>
      </w:r>
      <w:r>
        <w:t>=</w:t>
      </w:r>
      <w:r>
        <w:rPr>
          <w:spacing w:val="-6"/>
        </w:rPr>
        <w:t xml:space="preserve"> </w:t>
      </w:r>
      <w:r>
        <w:t>2</w:t>
      </w:r>
      <w:r>
        <w:rPr>
          <w:spacing w:val="-6"/>
        </w:rPr>
        <w:t xml:space="preserve"> </w:t>
      </w:r>
      <w:r>
        <w:t>\times</w:t>
      </w:r>
      <w:r>
        <w:rPr>
          <w:spacing w:val="-7"/>
        </w:rPr>
        <w:t xml:space="preserve"> </w:t>
      </w:r>
      <w:r>
        <w:rPr>
          <w:spacing w:val="-2"/>
        </w:rPr>
        <w:t>\left\{</w:t>
      </w:r>
    </w:p>
    <w:p w:rsidR="003F5784" w14:paraId="66FEA0CF" w14:textId="77777777">
      <w:pPr>
        <w:pStyle w:val="BodyText"/>
        <w:spacing w:line="235" w:lineRule="exact"/>
        <w:ind w:left="109"/>
      </w:pPr>
      <w:r>
        <w:t>\begin{array}{l}</w:t>
      </w:r>
      <w:r>
        <w:rPr>
          <w:spacing w:val="-6"/>
        </w:rPr>
        <w:t xml:space="preserve"> </w:t>
      </w:r>
      <w:r>
        <w:t>x_{js}</w:t>
      </w:r>
      <w:r>
        <w:rPr>
          <w:spacing w:val="-6"/>
        </w:rPr>
        <w:t xml:space="preserve"> </w:t>
      </w:r>
      <w:r>
        <w:t>&amp;</w:t>
      </w:r>
      <w:r>
        <w:rPr>
          <w:spacing w:val="-6"/>
        </w:rPr>
        <w:t xml:space="preserve"> </w:t>
      </w:r>
      <w:r>
        <w:t>\text{if</w:t>
      </w:r>
      <w:r>
        <w:rPr>
          <w:spacing w:val="-6"/>
        </w:rPr>
        <w:t xml:space="preserve"> </w:t>
      </w:r>
      <w:r>
        <w:t>}</w:t>
      </w:r>
      <w:r>
        <w:rPr>
          <w:spacing w:val="-6"/>
        </w:rPr>
        <w:t xml:space="preserve"> </w:t>
      </w:r>
      <w:r>
        <w:t>z_{j}</w:t>
      </w:r>
      <w:r>
        <w:rPr>
          <w:spacing w:val="-5"/>
        </w:rPr>
        <w:t xml:space="preserve"> </w:t>
      </w:r>
      <w:r>
        <w:t>&lt;</w:t>
      </w:r>
      <w:r>
        <w:rPr>
          <w:spacing w:val="-6"/>
        </w:rPr>
        <w:t xml:space="preserve"> </w:t>
      </w:r>
      <w:r>
        <w:t>x_{js}</w:t>
      </w:r>
      <w:r>
        <w:rPr>
          <w:spacing w:val="-6"/>
        </w:rPr>
        <w:t xml:space="preserve"> </w:t>
      </w:r>
      <w:r>
        <w:t>\\[2pt]</w:t>
      </w:r>
      <w:r>
        <w:rPr>
          <w:spacing w:val="-6"/>
        </w:rPr>
        <w:t xml:space="preserve"> </w:t>
      </w:r>
      <w:r>
        <w:t>y_{j}</w:t>
      </w:r>
      <w:r>
        <w:rPr>
          <w:spacing w:val="-6"/>
        </w:rPr>
        <w:t xml:space="preserve"> </w:t>
      </w:r>
      <w:r>
        <w:t>&amp;</w:t>
      </w:r>
      <w:r>
        <w:rPr>
          <w:spacing w:val="-5"/>
        </w:rPr>
        <w:t xml:space="preserve"> </w:t>
      </w:r>
      <w:r>
        <w:t>\text{if</w:t>
      </w:r>
      <w:r>
        <w:rPr>
          <w:spacing w:val="-6"/>
        </w:rPr>
        <w:t xml:space="preserve"> </w:t>
      </w:r>
      <w:r>
        <w:t>}</w:t>
      </w:r>
      <w:r>
        <w:rPr>
          <w:spacing w:val="-6"/>
        </w:rPr>
        <w:t xml:space="preserve"> </w:t>
      </w:r>
      <w:r>
        <w:t>20</w:t>
      </w:r>
      <w:r>
        <w:rPr>
          <w:spacing w:val="-6"/>
        </w:rPr>
        <w:t xml:space="preserve"> </w:t>
      </w:r>
      <w:r>
        <w:t>&lt;</w:t>
      </w:r>
      <w:r>
        <w:rPr>
          <w:spacing w:val="-6"/>
        </w:rPr>
        <w:t xml:space="preserve"> </w:t>
      </w:r>
      <w:r>
        <w:t>x_{js}</w:t>
      </w:r>
      <w:r>
        <w:rPr>
          <w:spacing w:val="-6"/>
        </w:rPr>
        <w:t xml:space="preserve"> </w:t>
      </w:r>
      <w:r>
        <w:t>\leq{z_{j}}</w:t>
      </w:r>
      <w:r>
        <w:rPr>
          <w:spacing w:val="-5"/>
        </w:rPr>
        <w:t xml:space="preserve"> </w:t>
      </w:r>
      <w:r>
        <w:t>\\</w:t>
      </w:r>
      <w:r>
        <w:rPr>
          <w:spacing w:val="-6"/>
        </w:rPr>
        <w:t xml:space="preserve"> </w:t>
      </w:r>
      <w:r>
        <w:t>\biggl(\dfrac{y_j}{20}\biggr)</w:t>
      </w:r>
      <w:r>
        <w:rPr>
          <w:spacing w:val="-6"/>
        </w:rPr>
        <w:t xml:space="preserve"> </w:t>
      </w:r>
      <w:r>
        <w:t>\times</w:t>
      </w:r>
      <w:r>
        <w:rPr>
          <w:spacing w:val="-6"/>
        </w:rPr>
        <w:t xml:space="preserve"> </w:t>
      </w:r>
      <w:r>
        <w:t>x_{js}</w:t>
      </w:r>
      <w:r>
        <w:rPr>
          <w:spacing w:val="-6"/>
        </w:rPr>
        <w:t xml:space="preserve"> </w:t>
      </w:r>
      <w:r>
        <w:t>&amp;</w:t>
      </w:r>
      <w:r>
        <w:rPr>
          <w:spacing w:val="-5"/>
        </w:rPr>
        <w:t xml:space="preserve"> </w:t>
      </w:r>
      <w:r>
        <w:t>\text{if</w:t>
      </w:r>
      <w:r>
        <w:rPr>
          <w:spacing w:val="-6"/>
        </w:rPr>
        <w:t xml:space="preserve"> </w:t>
      </w:r>
      <w:r>
        <w:t>}</w:t>
      </w:r>
      <w:r>
        <w:rPr>
          <w:spacing w:val="-6"/>
        </w:rPr>
        <w:t xml:space="preserve"> </w:t>
      </w:r>
      <w:r>
        <w:t>5</w:t>
      </w:r>
      <w:r>
        <w:rPr>
          <w:spacing w:val="-6"/>
        </w:rPr>
        <w:t xml:space="preserve"> </w:t>
      </w:r>
      <w:r>
        <w:t>&lt;</w:t>
      </w:r>
      <w:r>
        <w:rPr>
          <w:spacing w:val="-6"/>
        </w:rPr>
        <w:t xml:space="preserve"> </w:t>
      </w:r>
      <w:r>
        <w:t>x_{js}</w:t>
      </w:r>
      <w:r>
        <w:rPr>
          <w:spacing w:val="-6"/>
        </w:rPr>
        <w:t xml:space="preserve"> </w:t>
      </w:r>
      <w:r>
        <w:rPr>
          <w:spacing w:val="-4"/>
        </w:rPr>
        <w:t>\leq</w:t>
      </w:r>
    </w:p>
    <w:p w:rsidR="003F5784" w14:paraId="516C0110" w14:textId="77777777">
      <w:pPr>
        <w:pStyle w:val="BodyText"/>
        <w:spacing w:line="238" w:lineRule="exact"/>
        <w:ind w:left="109"/>
      </w:pPr>
      <w:r>
        <w:t>{20}</w:t>
      </w:r>
      <w:r>
        <w:rPr>
          <w:spacing w:val="-7"/>
        </w:rPr>
        <w:t xml:space="preserve"> </w:t>
      </w:r>
      <w:r>
        <w:t>\\</w:t>
      </w:r>
      <w:r>
        <w:rPr>
          <w:spacing w:val="-7"/>
        </w:rPr>
        <w:t xml:space="preserve"> </w:t>
      </w:r>
      <w:r>
        <w:t>\dfrac{y_j}{4}</w:t>
      </w:r>
      <w:r>
        <w:rPr>
          <w:spacing w:val="-7"/>
        </w:rPr>
        <w:t xml:space="preserve"> </w:t>
      </w:r>
      <w:r>
        <w:t>&amp;</w:t>
      </w:r>
      <w:r>
        <w:rPr>
          <w:spacing w:val="-7"/>
        </w:rPr>
        <w:t xml:space="preserve"> </w:t>
      </w:r>
      <w:r>
        <w:t>x_{js}</w:t>
      </w:r>
      <w:r>
        <w:rPr>
          <w:spacing w:val="-6"/>
        </w:rPr>
        <w:t xml:space="preserve"> </w:t>
      </w:r>
      <w:r>
        <w:t>\leq</w:t>
      </w:r>
      <w:r>
        <w:rPr>
          <w:spacing w:val="-7"/>
        </w:rPr>
        <w:t xml:space="preserve"> </w:t>
      </w:r>
      <w:r>
        <w:t>{5}</w:t>
      </w:r>
      <w:r>
        <w:rPr>
          <w:spacing w:val="-7"/>
        </w:rPr>
        <w:t xml:space="preserve"> </w:t>
      </w:r>
      <w:r>
        <w:t>\end{array}\right.</w:t>
      </w:r>
      <w:r>
        <w:rPr>
          <w:spacing w:val="-7"/>
        </w:rPr>
        <w:t xml:space="preserve"> </w:t>
      </w:r>
      <w:r>
        <w:rPr>
          <w:spacing w:val="-2"/>
        </w:rPr>
        <w:t>\end{equation}</w:t>
      </w:r>
    </w:p>
    <w:p w:rsidR="003F5784" w14:paraId="377190D0" w14:textId="77777777">
      <w:pPr>
        <w:pStyle w:val="BodyText"/>
        <w:spacing w:before="207" w:line="232" w:lineRule="auto"/>
        <w:ind w:left="109"/>
      </w:pPr>
      <w:r>
        <w:t>For</w:t>
      </w:r>
      <w:r>
        <w:rPr>
          <w:spacing w:val="-9"/>
        </w:rPr>
        <w:t xml:space="preserve"> </w:t>
      </w:r>
      <w:r>
        <w:t>all</w:t>
      </w:r>
      <w:r>
        <w:rPr>
          <w:spacing w:val="-6"/>
        </w:rPr>
        <w:t xml:space="preserve"> </w:t>
      </w:r>
      <w:r>
        <w:t>other</w:t>
      </w:r>
      <w:r>
        <w:rPr>
          <w:spacing w:val="-6"/>
        </w:rPr>
        <w:t xml:space="preserve"> </w:t>
      </w:r>
      <w:r>
        <w:t>schools</w:t>
      </w:r>
      <w:r>
        <w:rPr>
          <w:spacing w:val="-6"/>
        </w:rPr>
        <w:t xml:space="preserve"> </w:t>
      </w:r>
      <w:r>
        <w:t>(those</w:t>
      </w:r>
      <w:r>
        <w:rPr>
          <w:spacing w:val="-6"/>
        </w:rPr>
        <w:t xml:space="preserve"> </w:t>
      </w:r>
      <w:r>
        <w:t>with</w:t>
      </w:r>
      <w:r>
        <w:rPr>
          <w:spacing w:val="-6"/>
        </w:rPr>
        <w:t xml:space="preserve"> </w:t>
      </w:r>
      <w:r>
        <w:t>low</w:t>
      </w:r>
      <w:r>
        <w:rPr>
          <w:spacing w:val="-6"/>
        </w:rPr>
        <w:t xml:space="preserve"> </w:t>
      </w:r>
      <w:r>
        <w:t>proportions</w:t>
      </w:r>
      <w:r>
        <w:rPr>
          <w:spacing w:val="-6"/>
        </w:rPr>
        <w:t xml:space="preserve"> </w:t>
      </w:r>
      <w:r>
        <w:t>of</w:t>
      </w:r>
      <w:r>
        <w:rPr>
          <w:spacing w:val="-14"/>
        </w:rPr>
        <w:t xml:space="preserve"> </w:t>
      </w:r>
      <w:r>
        <w:t>AI/AN</w:t>
      </w:r>
      <w:r>
        <w:rPr>
          <w:spacing w:val="-5"/>
        </w:rPr>
        <w:t xml:space="preserve"> </w:t>
      </w:r>
      <w:r>
        <w:t>and</w:t>
      </w:r>
      <w:r>
        <w:rPr>
          <w:spacing w:val="-6"/>
        </w:rPr>
        <w:t xml:space="preserve"> </w:t>
      </w:r>
      <w:r>
        <w:t>Black</w:t>
      </w:r>
      <w:r>
        <w:rPr>
          <w:spacing w:val="-6"/>
        </w:rPr>
        <w:t xml:space="preserve"> </w:t>
      </w:r>
      <w:r>
        <w:t>and</w:t>
      </w:r>
      <w:r>
        <w:rPr>
          <w:spacing w:val="-6"/>
        </w:rPr>
        <w:t xml:space="preserve"> </w:t>
      </w:r>
      <w:r>
        <w:t>Hispanic</w:t>
      </w:r>
      <w:r>
        <w:rPr>
          <w:spacing w:val="-6"/>
        </w:rPr>
        <w:t xml:space="preserve"> </w:t>
      </w:r>
      <w:r>
        <w:t>students),</w:t>
      </w:r>
      <w:r>
        <w:rPr>
          <w:spacing w:val="-6"/>
        </w:rPr>
        <w:t xml:space="preserve"> </w:t>
      </w:r>
      <w:r>
        <w:t>the</w:t>
      </w:r>
      <w:r>
        <w:rPr>
          <w:spacing w:val="-6"/>
        </w:rPr>
        <w:t xml:space="preserve"> </w:t>
      </w:r>
      <w:r>
        <w:t>preliminary</w:t>
      </w:r>
      <w:r>
        <w:rPr>
          <w:spacing w:val="-6"/>
        </w:rPr>
        <w:t xml:space="preserve"> </w:t>
      </w:r>
      <w:r>
        <w:t>measures</w:t>
      </w:r>
      <w:r>
        <w:rPr>
          <w:spacing w:val="-6"/>
        </w:rPr>
        <w:t xml:space="preserve"> </w:t>
      </w:r>
      <w:r>
        <w:t>of</w:t>
      </w:r>
      <w:r>
        <w:rPr>
          <w:spacing w:val="-6"/>
        </w:rPr>
        <w:t xml:space="preserve"> </w:t>
      </w:r>
      <w:r>
        <w:t>size</w:t>
      </w:r>
      <w:r>
        <w:rPr>
          <w:spacing w:val="-6"/>
        </w:rPr>
        <w:t xml:space="preserve"> </w:t>
      </w:r>
      <w:r>
        <w:t>were</w:t>
      </w:r>
      <w:r>
        <w:rPr>
          <w:spacing w:val="-6"/>
        </w:rPr>
        <w:t xml:space="preserve"> </w:t>
      </w:r>
      <w:r>
        <w:t>calculated</w:t>
      </w:r>
      <w:r>
        <w:rPr>
          <w:spacing w:val="-6"/>
        </w:rPr>
        <w:t xml:space="preserve"> </w:t>
      </w:r>
      <w:r>
        <w:t>as</w:t>
      </w:r>
      <w:r>
        <w:rPr>
          <w:spacing w:val="-6"/>
        </w:rPr>
        <w:t xml:space="preserve"> </w:t>
      </w:r>
      <w:r>
        <w:t>follows:</w:t>
      </w:r>
      <w:r>
        <w:rPr>
          <w:spacing w:val="-6"/>
        </w:rPr>
        <w:t xml:space="preserve"> </w:t>
      </w:r>
      <w:r>
        <w:t>\begin{equation} MOS_{js}</w:t>
      </w:r>
      <w:r>
        <w:rPr>
          <w:spacing w:val="-4"/>
        </w:rPr>
        <w:t xml:space="preserve"> </w:t>
      </w:r>
      <w:r>
        <w:t>=</w:t>
      </w:r>
      <w:r>
        <w:rPr>
          <w:spacing w:val="-4"/>
        </w:rPr>
        <w:t xml:space="preserve"> </w:t>
      </w:r>
      <w:r>
        <w:t>\left\{\begin{array}{llll}</w:t>
      </w:r>
      <w:r>
        <w:rPr>
          <w:spacing w:val="-4"/>
        </w:rPr>
        <w:t xml:space="preserve"> </w:t>
      </w:r>
      <w:r>
        <w:t>x_{js}</w:t>
      </w:r>
      <w:r>
        <w:rPr>
          <w:spacing w:val="-4"/>
        </w:rPr>
        <w:t xml:space="preserve"> </w:t>
      </w:r>
      <w:r>
        <w:t>&amp;</w:t>
      </w:r>
      <w:r>
        <w:rPr>
          <w:spacing w:val="-4"/>
        </w:rPr>
        <w:t xml:space="preserve"> </w:t>
      </w:r>
      <w:r>
        <w:t>\text{if</w:t>
      </w:r>
      <w:r>
        <w:rPr>
          <w:spacing w:val="-4"/>
        </w:rPr>
        <w:t xml:space="preserve"> </w:t>
      </w:r>
      <w:r>
        <w:t>}</w:t>
      </w:r>
      <w:r>
        <w:rPr>
          <w:spacing w:val="-4"/>
        </w:rPr>
        <w:t xml:space="preserve"> </w:t>
      </w:r>
      <w:r>
        <w:t>z_{j}</w:t>
      </w:r>
      <w:r>
        <w:rPr>
          <w:spacing w:val="-4"/>
        </w:rPr>
        <w:t xml:space="preserve"> </w:t>
      </w:r>
      <w:r>
        <w:t>&lt;</w:t>
      </w:r>
      <w:r>
        <w:rPr>
          <w:spacing w:val="-4"/>
        </w:rPr>
        <w:t xml:space="preserve"> </w:t>
      </w:r>
      <w:r>
        <w:t>x_{js}</w:t>
      </w:r>
      <w:r>
        <w:rPr>
          <w:spacing w:val="-4"/>
        </w:rPr>
        <w:t xml:space="preserve"> </w:t>
      </w:r>
      <w:r>
        <w:t>\\[2pt]</w:t>
      </w:r>
      <w:r>
        <w:rPr>
          <w:spacing w:val="-4"/>
        </w:rPr>
        <w:t xml:space="preserve"> </w:t>
      </w:r>
      <w:r>
        <w:t>y_{j}</w:t>
      </w:r>
      <w:r>
        <w:rPr>
          <w:spacing w:val="-4"/>
        </w:rPr>
        <w:t xml:space="preserve"> </w:t>
      </w:r>
      <w:r>
        <w:t>&amp;</w:t>
      </w:r>
      <w:r>
        <w:rPr>
          <w:spacing w:val="-4"/>
        </w:rPr>
        <w:t xml:space="preserve"> </w:t>
      </w:r>
      <w:r>
        <w:t>\text{if</w:t>
      </w:r>
      <w:r>
        <w:rPr>
          <w:spacing w:val="-4"/>
        </w:rPr>
        <w:t xml:space="preserve"> </w:t>
      </w:r>
      <w:r>
        <w:t>}</w:t>
      </w:r>
      <w:r>
        <w:rPr>
          <w:spacing w:val="-4"/>
        </w:rPr>
        <w:t xml:space="preserve"> </w:t>
      </w:r>
      <w:r>
        <w:t>20</w:t>
      </w:r>
      <w:r>
        <w:rPr>
          <w:spacing w:val="-4"/>
        </w:rPr>
        <w:t xml:space="preserve"> </w:t>
      </w:r>
      <w:r>
        <w:t>&lt;</w:t>
      </w:r>
      <w:r>
        <w:rPr>
          <w:spacing w:val="-4"/>
        </w:rPr>
        <w:t xml:space="preserve"> </w:t>
      </w:r>
      <w:r>
        <w:t>x_{js}</w:t>
      </w:r>
      <w:r>
        <w:rPr>
          <w:spacing w:val="-4"/>
        </w:rPr>
        <w:t xml:space="preserve"> </w:t>
      </w:r>
      <w:r>
        <w:t>\leq{z_{j}}</w:t>
      </w:r>
      <w:r>
        <w:rPr>
          <w:spacing w:val="-4"/>
        </w:rPr>
        <w:t xml:space="preserve"> </w:t>
      </w:r>
      <w:r>
        <w:t>\\</w:t>
      </w:r>
      <w:r>
        <w:rPr>
          <w:spacing w:val="-4"/>
        </w:rPr>
        <w:t xml:space="preserve"> </w:t>
      </w:r>
      <w:r>
        <w:t>\biggl(\dfrac{y_j}{20}\biggr)</w:t>
      </w:r>
      <w:r>
        <w:rPr>
          <w:spacing w:val="-4"/>
        </w:rPr>
        <w:t xml:space="preserve"> </w:t>
      </w:r>
      <w:r>
        <w:t>\times</w:t>
      </w:r>
      <w:r>
        <w:rPr>
          <w:spacing w:val="-4"/>
        </w:rPr>
        <w:t xml:space="preserve"> </w:t>
      </w:r>
      <w:r>
        <w:t>x_{js}</w:t>
      </w:r>
      <w:r>
        <w:rPr>
          <w:spacing w:val="-4"/>
        </w:rPr>
        <w:t xml:space="preserve"> </w:t>
      </w:r>
      <w:r>
        <w:t>&amp;</w:t>
      </w:r>
    </w:p>
    <w:p w:rsidR="003F5784" w14:paraId="1ACD58C7" w14:textId="77777777">
      <w:pPr>
        <w:pStyle w:val="BodyText"/>
        <w:spacing w:before="1" w:line="232" w:lineRule="auto"/>
        <w:ind w:left="109"/>
      </w:pPr>
      <w:r>
        <w:t>\text{if } 5 &lt; x_{js} \leq {20} \\ \dfrac{y_j}{4} &amp; x_{js} \leq {5} \end{array}\right. \end{equation} where \(x_{js}\) is the estimated grade 8 enrollment for school \(s\) in stratum</w:t>
      </w:r>
      <w:r>
        <w:rPr>
          <w:spacing w:val="-6"/>
        </w:rPr>
        <w:t xml:space="preserve"> </w:t>
      </w:r>
      <w:r>
        <w:t>\(j\),</w:t>
      </w:r>
      <w:r>
        <w:rPr>
          <w:spacing w:val="-6"/>
        </w:rPr>
        <w:t xml:space="preserve"> </w:t>
      </w:r>
      <w:r>
        <w:t>\(y_{j}\)</w:t>
      </w:r>
      <w:r>
        <w:rPr>
          <w:spacing w:val="-6"/>
        </w:rPr>
        <w:t xml:space="preserve"> </w:t>
      </w:r>
      <w:r>
        <w:t>is</w:t>
      </w:r>
      <w:r>
        <w:rPr>
          <w:spacing w:val="-6"/>
        </w:rPr>
        <w:t xml:space="preserve"> </w:t>
      </w:r>
      <w:r>
        <w:t>the</w:t>
      </w:r>
      <w:r>
        <w:rPr>
          <w:spacing w:val="-6"/>
        </w:rPr>
        <w:t xml:space="preserve"> </w:t>
      </w:r>
      <w:r>
        <w:t>target</w:t>
      </w:r>
      <w:r>
        <w:rPr>
          <w:spacing w:val="-6"/>
        </w:rPr>
        <w:t xml:space="preserve"> </w:t>
      </w:r>
      <w:r>
        <w:t>within-school</w:t>
      </w:r>
      <w:r>
        <w:rPr>
          <w:spacing w:val="-6"/>
        </w:rPr>
        <w:t xml:space="preserve"> </w:t>
      </w:r>
      <w:r>
        <w:t>student</w:t>
      </w:r>
      <w:r>
        <w:rPr>
          <w:spacing w:val="-6"/>
        </w:rPr>
        <w:t xml:space="preserve"> </w:t>
      </w:r>
      <w:r>
        <w:t>sample</w:t>
      </w:r>
      <w:r>
        <w:rPr>
          <w:spacing w:val="-6"/>
        </w:rPr>
        <w:t xml:space="preserve"> </w:t>
      </w:r>
      <w:r>
        <w:t>size</w:t>
      </w:r>
      <w:r>
        <w:rPr>
          <w:spacing w:val="-6"/>
        </w:rPr>
        <w:t xml:space="preserve"> </w:t>
      </w:r>
      <w:r>
        <w:t>for</w:t>
      </w:r>
      <w:r>
        <w:rPr>
          <w:spacing w:val="-6"/>
        </w:rPr>
        <w:t xml:space="preserve"> </w:t>
      </w:r>
      <w:r>
        <w:t>stratum</w:t>
      </w:r>
      <w:r>
        <w:rPr>
          <w:spacing w:val="-6"/>
        </w:rPr>
        <w:t xml:space="preserve"> </w:t>
      </w:r>
      <w:r>
        <w:t>\(j\),</w:t>
      </w:r>
      <w:r>
        <w:rPr>
          <w:spacing w:val="-6"/>
        </w:rPr>
        <w:t xml:space="preserve"> </w:t>
      </w:r>
      <w:r>
        <w:t>and</w:t>
      </w:r>
      <w:r>
        <w:rPr>
          <w:spacing w:val="-6"/>
        </w:rPr>
        <w:t xml:space="preserve"> </w:t>
      </w:r>
      <w:r>
        <w:t>`z_{js}`</w:t>
      </w:r>
      <w:r>
        <w:rPr>
          <w:spacing w:val="-6"/>
        </w:rPr>
        <w:t xml:space="preserve"> </w:t>
      </w:r>
      <w:r>
        <w:t>is</w:t>
      </w:r>
      <w:r>
        <w:rPr>
          <w:spacing w:val="-6"/>
        </w:rPr>
        <w:t xml:space="preserve"> </w:t>
      </w:r>
      <w:r>
        <w:t>the</w:t>
      </w:r>
      <w:r>
        <w:rPr>
          <w:spacing w:val="-6"/>
        </w:rPr>
        <w:t xml:space="preserve"> </w:t>
      </w:r>
      <w:r>
        <w:t>within-school</w:t>
      </w:r>
      <w:r>
        <w:rPr>
          <w:spacing w:val="-6"/>
        </w:rPr>
        <w:t xml:space="preserve"> </w:t>
      </w:r>
      <w:r>
        <w:t>take-all</w:t>
      </w:r>
      <w:r>
        <w:rPr>
          <w:spacing w:val="-6"/>
        </w:rPr>
        <w:t xml:space="preserve"> </w:t>
      </w:r>
      <w:r>
        <w:t>student</w:t>
      </w:r>
      <w:r>
        <w:rPr>
          <w:spacing w:val="-6"/>
        </w:rPr>
        <w:t xml:space="preserve"> </w:t>
      </w:r>
      <w:r>
        <w:t>cutoff</w:t>
      </w:r>
      <w:r>
        <w:rPr>
          <w:spacing w:val="-6"/>
        </w:rPr>
        <w:t xml:space="preserve"> </w:t>
      </w:r>
      <w:r>
        <w:t>for</w:t>
      </w:r>
      <w:r>
        <w:rPr>
          <w:spacing w:val="-6"/>
        </w:rPr>
        <w:t xml:space="preserve"> </w:t>
      </w:r>
      <w:r>
        <w:t>stratum</w:t>
      </w:r>
      <w:r>
        <w:rPr>
          <w:spacing w:val="-6"/>
        </w:rPr>
        <w:t xml:space="preserve"> </w:t>
      </w:r>
      <w:r>
        <w:t>`j`</w:t>
      </w:r>
      <w:r>
        <w:rPr>
          <w:spacing w:val="-6"/>
        </w:rPr>
        <w:t xml:space="preserve"> </w:t>
      </w:r>
      <w:r>
        <w:t>to</w:t>
      </w:r>
      <w:r>
        <w:rPr>
          <w:spacing w:val="-6"/>
        </w:rPr>
        <w:t xml:space="preserve"> </w:t>
      </w:r>
      <w:r>
        <w:t>which</w:t>
      </w:r>
      <w:r>
        <w:rPr>
          <w:spacing w:val="-6"/>
        </w:rPr>
        <w:t xml:space="preserve"> </w:t>
      </w:r>
      <w:r>
        <w:t>school</w:t>
      </w:r>
      <w:r>
        <w:rPr>
          <w:spacing w:val="-6"/>
        </w:rPr>
        <w:t xml:space="preserve"> </w:t>
      </w:r>
      <w:r>
        <w:t xml:space="preserve">`s` </w:t>
      </w:r>
      <w:r>
        <w:rPr>
          <w:spacing w:val="-2"/>
        </w:rPr>
        <w:t>belongs.</w:t>
      </w:r>
    </w:p>
    <w:p w:rsidR="003F5784" w14:paraId="52D37C45" w14:textId="77777777">
      <w:pPr>
        <w:spacing w:line="232" w:lineRule="auto"/>
        <w:sectPr>
          <w:pgSz w:w="15840" w:h="12240" w:orient="landscape"/>
          <w:pgMar w:top="480" w:right="440" w:bottom="460" w:left="460" w:header="284" w:footer="275" w:gutter="0"/>
          <w:cols w:space="720"/>
        </w:sectPr>
      </w:pPr>
    </w:p>
    <w:p w:rsidR="003F5784" w14:paraId="165342D4" w14:textId="77777777">
      <w:pPr>
        <w:pStyle w:val="BodyText"/>
      </w:pPr>
    </w:p>
    <w:p w:rsidR="003F5784" w14:paraId="133777BD" w14:textId="77777777">
      <w:pPr>
        <w:pStyle w:val="BodyText"/>
        <w:spacing w:before="32"/>
      </w:pPr>
    </w:p>
    <w:p w:rsidR="003F5784" w14:paraId="51F95464" w14:textId="77777777">
      <w:pPr>
        <w:pStyle w:val="BodyText"/>
        <w:ind w:left="109"/>
      </w:pPr>
      <w:r>
        <w:t>For</w:t>
      </w:r>
      <w:r>
        <w:rPr>
          <w:spacing w:val="-6"/>
        </w:rPr>
        <w:t xml:space="preserve"> </w:t>
      </w:r>
      <w:r>
        <w:t>the</w:t>
      </w:r>
      <w:r>
        <w:rPr>
          <w:spacing w:val="-6"/>
        </w:rPr>
        <w:t xml:space="preserve"> </w:t>
      </w:r>
      <w:r>
        <w:t>eighth-grade</w:t>
      </w:r>
      <w:r>
        <w:rPr>
          <w:spacing w:val="-6"/>
        </w:rPr>
        <w:t xml:space="preserve"> </w:t>
      </w:r>
      <w:r>
        <w:t>public</w:t>
      </w:r>
      <w:r>
        <w:rPr>
          <w:spacing w:val="-6"/>
        </w:rPr>
        <w:t xml:space="preserve"> </w:t>
      </w:r>
      <w:r>
        <w:t>school</w:t>
      </w:r>
      <w:r>
        <w:rPr>
          <w:spacing w:val="-6"/>
        </w:rPr>
        <w:t xml:space="preserve"> </w:t>
      </w:r>
      <w:r>
        <w:t>sample,</w:t>
      </w:r>
      <w:r>
        <w:rPr>
          <w:spacing w:val="-6"/>
        </w:rPr>
        <w:t xml:space="preserve"> </w:t>
      </w:r>
      <w:r>
        <w:t>the</w:t>
      </w:r>
      <w:r>
        <w:rPr>
          <w:spacing w:val="-6"/>
        </w:rPr>
        <w:t xml:space="preserve"> </w:t>
      </w:r>
      <w:r>
        <w:t>target</w:t>
      </w:r>
      <w:r>
        <w:rPr>
          <w:spacing w:val="-6"/>
        </w:rPr>
        <w:t xml:space="preserve"> </w:t>
      </w:r>
      <w:r>
        <w:t>sample</w:t>
      </w:r>
      <w:r>
        <w:rPr>
          <w:spacing w:val="-6"/>
        </w:rPr>
        <w:t xml:space="preserve"> </w:t>
      </w:r>
      <w:r>
        <w:t>size</w:t>
      </w:r>
      <w:r>
        <w:rPr>
          <w:spacing w:val="-6"/>
        </w:rPr>
        <w:t xml:space="preserve"> </w:t>
      </w:r>
      <w:r>
        <w:t>was</w:t>
      </w:r>
      <w:r>
        <w:rPr>
          <w:spacing w:val="-6"/>
        </w:rPr>
        <w:t xml:space="preserve"> </w:t>
      </w:r>
      <w:r>
        <w:t>50,</w:t>
      </w:r>
      <w:r>
        <w:rPr>
          <w:spacing w:val="-6"/>
        </w:rPr>
        <w:t xml:space="preserve"> </w:t>
      </w:r>
      <w:r>
        <w:t>and</w:t>
      </w:r>
      <w:r>
        <w:rPr>
          <w:spacing w:val="-6"/>
        </w:rPr>
        <w:t xml:space="preserve"> </w:t>
      </w:r>
      <w:r>
        <w:t>the</w:t>
      </w:r>
      <w:r>
        <w:rPr>
          <w:spacing w:val="-6"/>
        </w:rPr>
        <w:t xml:space="preserve"> </w:t>
      </w:r>
      <w:r>
        <w:t>take-all</w:t>
      </w:r>
      <w:r>
        <w:rPr>
          <w:spacing w:val="-6"/>
        </w:rPr>
        <w:t xml:space="preserve"> </w:t>
      </w:r>
      <w:r>
        <w:t>cutoff</w:t>
      </w:r>
      <w:r>
        <w:rPr>
          <w:spacing w:val="-5"/>
        </w:rPr>
        <w:t xml:space="preserve"> </w:t>
      </w:r>
      <w:r>
        <w:t>was</w:t>
      </w:r>
      <w:r>
        <w:rPr>
          <w:spacing w:val="-6"/>
        </w:rPr>
        <w:t xml:space="preserve"> </w:t>
      </w:r>
      <w:r>
        <w:rPr>
          <w:spacing w:val="-5"/>
        </w:rPr>
        <w:t>52.</w:t>
      </w:r>
    </w:p>
    <w:p w:rsidR="003F5784" w14:paraId="65276C26" w14:textId="77777777">
      <w:pPr>
        <w:pStyle w:val="BodyText"/>
        <w:spacing w:before="208" w:line="232" w:lineRule="auto"/>
        <w:ind w:left="109"/>
      </w:pPr>
      <w:r>
        <w:t>The</w:t>
      </w:r>
      <w:r>
        <w:rPr>
          <w:spacing w:val="-6"/>
        </w:rPr>
        <w:t xml:space="preserve"> </w:t>
      </w:r>
      <w:r>
        <w:t>preliminary</w:t>
      </w:r>
      <w:r>
        <w:rPr>
          <w:spacing w:val="-6"/>
        </w:rPr>
        <w:t xml:space="preserve"> </w:t>
      </w:r>
      <w:r>
        <w:t>school</w:t>
      </w:r>
      <w:r>
        <w:rPr>
          <w:spacing w:val="-6"/>
        </w:rPr>
        <w:t xml:space="preserve"> </w:t>
      </w:r>
      <w:r>
        <w:t>measure</w:t>
      </w:r>
      <w:r>
        <w:rPr>
          <w:spacing w:val="-6"/>
        </w:rPr>
        <w:t xml:space="preserve"> </w:t>
      </w:r>
      <w:r>
        <w:t>of</w:t>
      </w:r>
      <w:r>
        <w:rPr>
          <w:spacing w:val="-6"/>
        </w:rPr>
        <w:t xml:space="preserve"> </w:t>
      </w:r>
      <w:r>
        <w:t>size</w:t>
      </w:r>
      <w:r>
        <w:rPr>
          <w:spacing w:val="-6"/>
        </w:rPr>
        <w:t xml:space="preserve"> </w:t>
      </w:r>
      <w:r>
        <w:t>is</w:t>
      </w:r>
      <w:r>
        <w:rPr>
          <w:spacing w:val="-6"/>
        </w:rPr>
        <w:t xml:space="preserve"> </w:t>
      </w:r>
      <w:r>
        <w:t>rescaled</w:t>
      </w:r>
      <w:r>
        <w:rPr>
          <w:spacing w:val="-6"/>
        </w:rPr>
        <w:t xml:space="preserve"> </w:t>
      </w:r>
      <w:r>
        <w:t>to</w:t>
      </w:r>
      <w:r>
        <w:rPr>
          <w:spacing w:val="-6"/>
        </w:rPr>
        <w:t xml:space="preserve"> </w:t>
      </w:r>
      <w:r>
        <w:t>create</w:t>
      </w:r>
      <w:r>
        <w:rPr>
          <w:spacing w:val="-6"/>
        </w:rPr>
        <w:t xml:space="preserve"> </w:t>
      </w:r>
      <w:r>
        <w:t>an</w:t>
      </w:r>
      <w:r>
        <w:rPr>
          <w:spacing w:val="-6"/>
        </w:rPr>
        <w:t xml:space="preserve"> </w:t>
      </w:r>
      <w:r>
        <w:t>expected</w:t>
      </w:r>
      <w:r>
        <w:rPr>
          <w:spacing w:val="-6"/>
        </w:rPr>
        <w:t xml:space="preserve"> </w:t>
      </w:r>
      <w:r>
        <w:t>number</w:t>
      </w:r>
      <w:r>
        <w:rPr>
          <w:spacing w:val="-6"/>
        </w:rPr>
        <w:t xml:space="preserve"> </w:t>
      </w:r>
      <w:r>
        <w:t>of</w:t>
      </w:r>
      <w:r>
        <w:rPr>
          <w:spacing w:val="-6"/>
        </w:rPr>
        <w:t xml:space="preserve"> </w:t>
      </w:r>
      <w:r>
        <w:t>hits</w:t>
      </w:r>
      <w:r>
        <w:rPr>
          <w:spacing w:val="-6"/>
        </w:rPr>
        <w:t xml:space="preserve"> </w:t>
      </w:r>
      <w:r>
        <w:t>by</w:t>
      </w:r>
      <w:r>
        <w:rPr>
          <w:spacing w:val="-6"/>
        </w:rPr>
        <w:t xml:space="preserve"> </w:t>
      </w:r>
      <w:r>
        <w:t>applying</w:t>
      </w:r>
      <w:r>
        <w:rPr>
          <w:spacing w:val="-6"/>
        </w:rPr>
        <w:t xml:space="preserve"> </w:t>
      </w:r>
      <w:r>
        <w:t>a</w:t>
      </w:r>
      <w:r>
        <w:rPr>
          <w:spacing w:val="-6"/>
        </w:rPr>
        <w:t xml:space="preserve"> </w:t>
      </w:r>
      <w:r>
        <w:t>multiplicative</w:t>
      </w:r>
      <w:r>
        <w:rPr>
          <w:spacing w:val="-6"/>
        </w:rPr>
        <w:t xml:space="preserve"> </w:t>
      </w:r>
      <w:r>
        <w:t>constant</w:t>
      </w:r>
      <w:r>
        <w:rPr>
          <w:spacing w:val="-6"/>
        </w:rPr>
        <w:t xml:space="preserve"> </w:t>
      </w:r>
      <w:r>
        <w:t>\(b_{j}\),</w:t>
      </w:r>
      <w:r>
        <w:rPr>
          <w:spacing w:val="-6"/>
        </w:rPr>
        <w:t xml:space="preserve"> </w:t>
      </w:r>
      <w:r>
        <w:t>which</w:t>
      </w:r>
      <w:r>
        <w:rPr>
          <w:spacing w:val="-6"/>
        </w:rPr>
        <w:t xml:space="preserve"> </w:t>
      </w:r>
      <w:r>
        <w:t>varies</w:t>
      </w:r>
      <w:r>
        <w:rPr>
          <w:spacing w:val="-6"/>
        </w:rPr>
        <w:t xml:space="preserve"> </w:t>
      </w:r>
      <w:r>
        <w:t>by</w:t>
      </w:r>
      <w:r>
        <w:rPr>
          <w:spacing w:val="-6"/>
        </w:rPr>
        <w:t xml:space="preserve"> </w:t>
      </w:r>
      <w:r>
        <w:t>stratum</w:t>
      </w:r>
      <w:r>
        <w:rPr>
          <w:spacing w:val="-6"/>
        </w:rPr>
        <w:t xml:space="preserve"> </w:t>
      </w:r>
      <w:r>
        <w:t>\(j\).</w:t>
      </w:r>
      <w:r>
        <w:rPr>
          <w:spacing w:val="-6"/>
        </w:rPr>
        <w:t xml:space="preserve"> </w:t>
      </w:r>
      <w:r>
        <w:t>One</w:t>
      </w:r>
      <w:r>
        <w:rPr>
          <w:spacing w:val="-6"/>
        </w:rPr>
        <w:t xml:space="preserve"> </w:t>
      </w:r>
      <w:r>
        <w:t>can choose a value of \(b_{j}\) such that the expected overall student sample yield matches the desired target specified by the design, where the expected yield is calculated by summing the product of an individual school's probability and its student yield across all schools in the frame.</w:t>
      </w:r>
    </w:p>
    <w:p w:rsidR="003F5784" w14:paraId="346CD641" w14:textId="77777777">
      <w:pPr>
        <w:pStyle w:val="BodyText"/>
        <w:spacing w:before="209" w:line="232" w:lineRule="auto"/>
        <w:ind w:left="109" w:right="318"/>
      </w:pPr>
      <w:r>
        <w:t>It</w:t>
      </w:r>
      <w:r>
        <w:rPr>
          <w:spacing w:val="-7"/>
        </w:rPr>
        <w:t xml:space="preserve"> </w:t>
      </w:r>
      <w:r>
        <w:t>follows</w:t>
      </w:r>
      <w:r>
        <w:rPr>
          <w:spacing w:val="-7"/>
        </w:rPr>
        <w:t xml:space="preserve"> </w:t>
      </w:r>
      <w:r>
        <w:t>that</w:t>
      </w:r>
      <w:r>
        <w:rPr>
          <w:spacing w:val="-7"/>
        </w:rPr>
        <w:t xml:space="preserve"> </w:t>
      </w:r>
      <w:r>
        <w:t>the</w:t>
      </w:r>
      <w:r>
        <w:rPr>
          <w:spacing w:val="-7"/>
        </w:rPr>
        <w:t xml:space="preserve"> </w:t>
      </w:r>
      <w:r>
        <w:t>final</w:t>
      </w:r>
      <w:r>
        <w:rPr>
          <w:spacing w:val="-7"/>
        </w:rPr>
        <w:t xml:space="preserve"> </w:t>
      </w:r>
      <w:r>
        <w:t>measure</w:t>
      </w:r>
      <w:r>
        <w:rPr>
          <w:spacing w:val="-7"/>
        </w:rPr>
        <w:t xml:space="preserve"> </w:t>
      </w:r>
      <w:r>
        <w:t>of</w:t>
      </w:r>
      <w:r>
        <w:rPr>
          <w:spacing w:val="-7"/>
        </w:rPr>
        <w:t xml:space="preserve"> </w:t>
      </w:r>
      <w:r>
        <w:t>size,</w:t>
      </w:r>
      <w:r>
        <w:rPr>
          <w:spacing w:val="-7"/>
        </w:rPr>
        <w:t xml:space="preserve"> </w:t>
      </w:r>
      <w:r>
        <w:t>\(E_{js}\),</w:t>
      </w:r>
      <w:r>
        <w:rPr>
          <w:spacing w:val="-7"/>
        </w:rPr>
        <w:t xml:space="preserve"> </w:t>
      </w:r>
      <w:r>
        <w:t>was</w:t>
      </w:r>
      <w:r>
        <w:rPr>
          <w:spacing w:val="-7"/>
        </w:rPr>
        <w:t xml:space="preserve"> </w:t>
      </w:r>
      <w:r>
        <w:t>defined</w:t>
      </w:r>
      <w:r>
        <w:rPr>
          <w:spacing w:val="-7"/>
        </w:rPr>
        <w:t xml:space="preserve"> </w:t>
      </w:r>
      <w:r>
        <w:t>as:</w:t>
      </w:r>
      <w:r>
        <w:rPr>
          <w:spacing w:val="-7"/>
        </w:rPr>
        <w:t xml:space="preserve"> </w:t>
      </w:r>
      <w:r>
        <w:t>$$E_{js}=min(b_{j}\times</w:t>
      </w:r>
      <w:r>
        <w:rPr>
          <w:spacing w:val="-7"/>
        </w:rPr>
        <w:t xml:space="preserve"> </w:t>
      </w:r>
      <w:r>
        <w:t>MOS_{js},u_{j})$$</w:t>
      </w:r>
      <w:r>
        <w:rPr>
          <w:spacing w:val="-7"/>
        </w:rPr>
        <w:t xml:space="preserve"> </w:t>
      </w:r>
      <w:r>
        <w:t>where</w:t>
      </w:r>
      <w:r>
        <w:rPr>
          <w:spacing w:val="-7"/>
        </w:rPr>
        <w:t xml:space="preserve"> </w:t>
      </w:r>
      <w:r>
        <w:t>\(u_{j}\)</w:t>
      </w:r>
      <w:r>
        <w:rPr>
          <w:spacing w:val="-7"/>
        </w:rPr>
        <w:t xml:space="preserve"> </w:t>
      </w:r>
      <w:r>
        <w:t>is</w:t>
      </w:r>
      <w:r>
        <w:rPr>
          <w:spacing w:val="-7"/>
        </w:rPr>
        <w:t xml:space="preserve"> </w:t>
      </w:r>
      <w:r>
        <w:t>the</w:t>
      </w:r>
      <w:r>
        <w:rPr>
          <w:spacing w:val="-7"/>
        </w:rPr>
        <w:t xml:space="preserve"> </w:t>
      </w:r>
      <w:r>
        <w:t>maximum</w:t>
      </w:r>
      <w:r>
        <w:rPr>
          <w:spacing w:val="-7"/>
        </w:rPr>
        <w:t xml:space="preserve"> </w:t>
      </w:r>
      <w:r>
        <w:t>number</w:t>
      </w:r>
      <w:r>
        <w:rPr>
          <w:spacing w:val="-7"/>
        </w:rPr>
        <w:t xml:space="preserve"> </w:t>
      </w:r>
      <w:r>
        <w:t>of</w:t>
      </w:r>
      <w:r>
        <w:rPr>
          <w:spacing w:val="-7"/>
        </w:rPr>
        <w:t xml:space="preserve"> </w:t>
      </w:r>
      <w:r>
        <w:t>hits</w:t>
      </w:r>
      <w:r>
        <w:rPr>
          <w:spacing w:val="-7"/>
        </w:rPr>
        <w:t xml:space="preserve"> </w:t>
      </w:r>
      <w:r>
        <w:t>allowed. For the 2022 eighth-grade public school sample, the limit was one hit.</w:t>
      </w:r>
    </w:p>
    <w:p w:rsidR="003F5784" w14:paraId="4E645D65" w14:textId="77777777">
      <w:pPr>
        <w:pStyle w:val="BodyText"/>
        <w:spacing w:before="204"/>
        <w:ind w:left="109"/>
      </w:pPr>
      <w:r>
        <w:t>The</w:t>
      </w:r>
      <w:r>
        <w:rPr>
          <w:spacing w:val="-7"/>
        </w:rPr>
        <w:t xml:space="preserve"> </w:t>
      </w:r>
      <w:r>
        <w:t>school's</w:t>
      </w:r>
      <w:r>
        <w:rPr>
          <w:spacing w:val="-7"/>
        </w:rPr>
        <w:t xml:space="preserve"> </w:t>
      </w:r>
      <w:r>
        <w:t>probability</w:t>
      </w:r>
      <w:r>
        <w:rPr>
          <w:spacing w:val="-7"/>
        </w:rPr>
        <w:t xml:space="preserve"> </w:t>
      </w:r>
      <w:r>
        <w:t>of</w:t>
      </w:r>
      <w:r>
        <w:rPr>
          <w:spacing w:val="-6"/>
        </w:rPr>
        <w:t xml:space="preserve"> </w:t>
      </w:r>
      <w:r>
        <w:t>selection,</w:t>
      </w:r>
      <w:r>
        <w:rPr>
          <w:spacing w:val="-7"/>
        </w:rPr>
        <w:t xml:space="preserve"> </w:t>
      </w:r>
      <w:r>
        <w:t>`\pi_{js}`,</w:t>
      </w:r>
      <w:r>
        <w:rPr>
          <w:spacing w:val="-7"/>
        </w:rPr>
        <w:t xml:space="preserve"> </w:t>
      </w:r>
      <w:r>
        <w:t>was</w:t>
      </w:r>
      <w:r>
        <w:rPr>
          <w:spacing w:val="-6"/>
        </w:rPr>
        <w:t xml:space="preserve"> </w:t>
      </w:r>
      <w:r>
        <w:t>given</w:t>
      </w:r>
      <w:r>
        <w:rPr>
          <w:spacing w:val="-7"/>
        </w:rPr>
        <w:t xml:space="preserve"> </w:t>
      </w:r>
      <w:r>
        <w:rPr>
          <w:spacing w:val="-5"/>
        </w:rPr>
        <w:t>by:</w:t>
      </w:r>
    </w:p>
    <w:p w:rsidR="003F5784" w14:paraId="7B5FC71A" w14:textId="77777777">
      <w:pPr>
        <w:pStyle w:val="BodyText"/>
        <w:spacing w:before="201" w:line="238" w:lineRule="exact"/>
        <w:ind w:left="109"/>
      </w:pPr>
      <w:r>
        <w:rPr>
          <w:spacing w:val="-2"/>
        </w:rPr>
        <w:t>\begin{equation}</w:t>
      </w:r>
    </w:p>
    <w:p w:rsidR="003F5784" w14:paraId="2466215D" w14:textId="77777777">
      <w:pPr>
        <w:pStyle w:val="BodyText"/>
        <w:spacing w:line="235" w:lineRule="exact"/>
        <w:ind w:left="109"/>
      </w:pPr>
      <w:r>
        <w:rPr>
          <w:spacing w:val="-2"/>
        </w:rPr>
        <w:t>\pi_{js}=min(E_{js},1).</w:t>
      </w:r>
    </w:p>
    <w:p w:rsidR="003F5784" w14:paraId="7D1ABC6E" w14:textId="77777777">
      <w:pPr>
        <w:pStyle w:val="BodyText"/>
        <w:spacing w:line="235" w:lineRule="exact"/>
        <w:ind w:left="109"/>
      </w:pPr>
      <w:r>
        <w:t>\end{equation}</w:t>
      </w:r>
      <w:r>
        <w:rPr>
          <w:spacing w:val="-7"/>
        </w:rPr>
        <w:t xml:space="preserve"> </w:t>
      </w:r>
      <w:r>
        <w:t>In</w:t>
      </w:r>
      <w:r>
        <w:rPr>
          <w:spacing w:val="-7"/>
        </w:rPr>
        <w:t xml:space="preserve"> </w:t>
      </w:r>
      <w:r>
        <w:t>addition,</w:t>
      </w:r>
      <w:r>
        <w:rPr>
          <w:spacing w:val="-6"/>
        </w:rPr>
        <w:t xml:space="preserve"> </w:t>
      </w:r>
      <w:r>
        <w:t>new</w:t>
      </w:r>
      <w:r>
        <w:rPr>
          <w:spacing w:val="-7"/>
        </w:rPr>
        <w:t xml:space="preserve"> </w:t>
      </w:r>
      <w:r>
        <w:t>and</w:t>
      </w:r>
      <w:r>
        <w:rPr>
          <w:spacing w:val="-6"/>
        </w:rPr>
        <w:t xml:space="preserve"> </w:t>
      </w:r>
      <w:r>
        <w:t>newly-eligible</w:t>
      </w:r>
      <w:r>
        <w:rPr>
          <w:spacing w:val="-7"/>
        </w:rPr>
        <w:t xml:space="preserve"> </w:t>
      </w:r>
      <w:r>
        <w:t>schools</w:t>
      </w:r>
      <w:r>
        <w:rPr>
          <w:spacing w:val="-6"/>
        </w:rPr>
        <w:t xml:space="preserve"> </w:t>
      </w:r>
      <w:r>
        <w:t>were</w:t>
      </w:r>
      <w:r>
        <w:rPr>
          <w:spacing w:val="-7"/>
        </w:rPr>
        <w:t xml:space="preserve"> </w:t>
      </w:r>
      <w:r>
        <w:t>sampled</w:t>
      </w:r>
      <w:r>
        <w:rPr>
          <w:spacing w:val="-6"/>
        </w:rPr>
        <w:t xml:space="preserve"> </w:t>
      </w:r>
      <w:r>
        <w:t>from</w:t>
      </w:r>
      <w:r>
        <w:rPr>
          <w:spacing w:val="-7"/>
        </w:rPr>
        <w:t xml:space="preserve"> </w:t>
      </w:r>
      <w:r>
        <w:t>the</w:t>
      </w:r>
      <w:r>
        <w:rPr>
          <w:spacing w:val="-6"/>
        </w:rPr>
        <w:t xml:space="preserve"> </w:t>
      </w:r>
      <w:r>
        <w:t>new-school</w:t>
      </w:r>
      <w:r>
        <w:rPr>
          <w:spacing w:val="-7"/>
        </w:rPr>
        <w:t xml:space="preserve"> </w:t>
      </w:r>
      <w:r>
        <w:t>frame.</w:t>
      </w:r>
      <w:r>
        <w:rPr>
          <w:spacing w:val="-10"/>
        </w:rPr>
        <w:t xml:space="preserve"> </w:t>
      </w:r>
      <w:r>
        <w:t>The</w:t>
      </w:r>
      <w:r>
        <w:rPr>
          <w:spacing w:val="-6"/>
        </w:rPr>
        <w:t xml:space="preserve"> </w:t>
      </w:r>
      <w:r>
        <w:t>assigned</w:t>
      </w:r>
      <w:r>
        <w:rPr>
          <w:spacing w:val="-7"/>
        </w:rPr>
        <w:t xml:space="preserve"> </w:t>
      </w:r>
      <w:r>
        <w:t>measures</w:t>
      </w:r>
      <w:r>
        <w:rPr>
          <w:spacing w:val="-6"/>
        </w:rPr>
        <w:t xml:space="preserve"> </w:t>
      </w:r>
      <w:r>
        <w:t>of</w:t>
      </w:r>
      <w:r>
        <w:rPr>
          <w:spacing w:val="-7"/>
        </w:rPr>
        <w:t xml:space="preserve"> </w:t>
      </w:r>
      <w:r>
        <w:t>size</w:t>
      </w:r>
      <w:r>
        <w:rPr>
          <w:spacing w:val="-6"/>
        </w:rPr>
        <w:t xml:space="preserve"> </w:t>
      </w:r>
      <w:r>
        <w:t>for</w:t>
      </w:r>
      <w:r>
        <w:rPr>
          <w:spacing w:val="-7"/>
        </w:rPr>
        <w:t xml:space="preserve"> </w:t>
      </w:r>
      <w:r>
        <w:t>these</w:t>
      </w:r>
      <w:r>
        <w:rPr>
          <w:spacing w:val="-6"/>
        </w:rPr>
        <w:t xml:space="preserve"> </w:t>
      </w:r>
      <w:r>
        <w:rPr>
          <w:spacing w:val="-2"/>
        </w:rPr>
        <w:t>schools,</w:t>
      </w:r>
    </w:p>
    <w:p w:rsidR="003F5784" w14:paraId="05BBCB64" w14:textId="77777777">
      <w:pPr>
        <w:pStyle w:val="BodyText"/>
        <w:spacing w:before="3" w:line="232" w:lineRule="auto"/>
        <w:ind w:left="109"/>
      </w:pPr>
      <w:r>
        <w:t>$$E_{js}=min(b_{j}\times</w:t>
      </w:r>
      <w:r>
        <w:rPr>
          <w:spacing w:val="-7"/>
        </w:rPr>
        <w:t xml:space="preserve"> </w:t>
      </w:r>
      <w:r>
        <w:t>MOS_{js}</w:t>
      </w:r>
      <w:r>
        <w:rPr>
          <w:spacing w:val="-7"/>
        </w:rPr>
        <w:t xml:space="preserve"> </w:t>
      </w:r>
      <w:r>
        <w:t>\times</w:t>
      </w:r>
      <w:r>
        <w:rPr>
          <w:spacing w:val="-7"/>
        </w:rPr>
        <w:t xml:space="preserve"> </w:t>
      </w:r>
      <w:r>
        <w:t>\pi_{djs}^{-1},u_{j})$$</w:t>
      </w:r>
      <w:r>
        <w:rPr>
          <w:spacing w:val="-7"/>
        </w:rPr>
        <w:t xml:space="preserve"> </w:t>
      </w:r>
      <w:r>
        <w:t>used</w:t>
      </w:r>
      <w:r>
        <w:rPr>
          <w:spacing w:val="-7"/>
        </w:rPr>
        <w:t xml:space="preserve"> </w:t>
      </w:r>
      <w:r>
        <w:t>the</w:t>
      </w:r>
      <w:r>
        <w:rPr>
          <w:spacing w:val="-7"/>
        </w:rPr>
        <w:t xml:space="preserve"> </w:t>
      </w:r>
      <w:r>
        <w:t>\(b_{j}\)</w:t>
      </w:r>
      <w:r>
        <w:rPr>
          <w:spacing w:val="-7"/>
        </w:rPr>
        <w:t xml:space="preserve"> </w:t>
      </w:r>
      <w:r>
        <w:t>and</w:t>
      </w:r>
      <w:r>
        <w:rPr>
          <w:spacing w:val="-7"/>
        </w:rPr>
        <w:t xml:space="preserve"> </w:t>
      </w:r>
      <w:r>
        <w:t>\(u_{j}\)</w:t>
      </w:r>
      <w:r>
        <w:rPr>
          <w:spacing w:val="-7"/>
        </w:rPr>
        <w:t xml:space="preserve"> </w:t>
      </w:r>
      <w:r>
        <w:t>values</w:t>
      </w:r>
      <w:r>
        <w:rPr>
          <w:spacing w:val="-7"/>
        </w:rPr>
        <w:t xml:space="preserve"> </w:t>
      </w:r>
      <w:r>
        <w:t>from</w:t>
      </w:r>
      <w:r>
        <w:rPr>
          <w:spacing w:val="-7"/>
        </w:rPr>
        <w:t xml:space="preserve"> </w:t>
      </w:r>
      <w:r>
        <w:t>the</w:t>
      </w:r>
      <w:r>
        <w:rPr>
          <w:spacing w:val="-7"/>
        </w:rPr>
        <w:t xml:space="preserve"> </w:t>
      </w:r>
      <w:r>
        <w:t>CCD-based</w:t>
      </w:r>
      <w:r>
        <w:rPr>
          <w:spacing w:val="-7"/>
        </w:rPr>
        <w:t xml:space="preserve"> </w:t>
      </w:r>
      <w:r>
        <w:t>school</w:t>
      </w:r>
      <w:r>
        <w:rPr>
          <w:spacing w:val="-7"/>
        </w:rPr>
        <w:t xml:space="preserve"> </w:t>
      </w:r>
      <w:r>
        <w:t>frame</w:t>
      </w:r>
      <w:r>
        <w:rPr>
          <w:spacing w:val="-7"/>
        </w:rPr>
        <w:t xml:space="preserve"> </w:t>
      </w:r>
      <w:r>
        <w:t>for</w:t>
      </w:r>
      <w:r>
        <w:rPr>
          <w:spacing w:val="-7"/>
        </w:rPr>
        <w:t xml:space="preserve"> </w:t>
      </w:r>
      <w:r>
        <w:t>stratum</w:t>
      </w:r>
      <w:r>
        <w:rPr>
          <w:spacing w:val="-7"/>
        </w:rPr>
        <w:t xml:space="preserve"> </w:t>
      </w:r>
      <w:r>
        <w:t>\(j\)</w:t>
      </w:r>
      <w:r>
        <w:rPr>
          <w:spacing w:val="-7"/>
        </w:rPr>
        <w:t xml:space="preserve"> </w:t>
      </w:r>
      <w:r>
        <w:t>(i.e.,</w:t>
      </w:r>
      <w:r>
        <w:rPr>
          <w:spacing w:val="-7"/>
        </w:rPr>
        <w:t xml:space="preserve"> </w:t>
      </w:r>
      <w:r>
        <w:t>the</w:t>
      </w:r>
      <w:r>
        <w:rPr>
          <w:spacing w:val="-7"/>
        </w:rPr>
        <w:t xml:space="preserve"> </w:t>
      </w:r>
      <w:r>
        <w:t>same sampling rate as for the CCD-based school sample within each stratum). \(\pi_{djs}\) is the probability of selection of the district into the new-school district (\(d\)) sample.</w:t>
      </w:r>
    </w:p>
    <w:p w:rsidR="003F5784" w14:paraId="10765F86" w14:textId="77777777">
      <w:pPr>
        <w:pStyle w:val="BodyText"/>
      </w:pPr>
    </w:p>
    <w:p w:rsidR="003F5784" w14:paraId="283B40E4" w14:textId="77777777">
      <w:pPr>
        <w:pStyle w:val="BodyText"/>
        <w:spacing w:before="169"/>
      </w:pPr>
    </w:p>
    <w:p w:rsidR="003F5784" w14:paraId="043540ED" w14:textId="77777777">
      <w:pPr>
        <w:pStyle w:val="BodyText"/>
        <w:spacing w:line="232" w:lineRule="auto"/>
        <w:ind w:left="109" w:right="318"/>
      </w:pPr>
      <w:r>
        <w:t>In</w:t>
      </w:r>
      <w:r>
        <w:rPr>
          <w:spacing w:val="-5"/>
        </w:rPr>
        <w:t xml:space="preserve"> </w:t>
      </w:r>
      <w:r>
        <w:t>addition,</w:t>
      </w:r>
      <w:r>
        <w:rPr>
          <w:spacing w:val="-5"/>
        </w:rPr>
        <w:t xml:space="preserve"> </w:t>
      </w:r>
      <w:r>
        <w:t>an</w:t>
      </w:r>
      <w:r>
        <w:rPr>
          <w:spacing w:val="-5"/>
        </w:rPr>
        <w:t xml:space="preserve"> </w:t>
      </w:r>
      <w:r>
        <w:t>adjustment</w:t>
      </w:r>
      <w:r>
        <w:rPr>
          <w:spacing w:val="-5"/>
        </w:rPr>
        <w:t xml:space="preserve"> </w:t>
      </w:r>
      <w:r>
        <w:t>was</w:t>
      </w:r>
      <w:r>
        <w:rPr>
          <w:spacing w:val="-5"/>
        </w:rPr>
        <w:t xml:space="preserve"> </w:t>
      </w:r>
      <w:r>
        <w:t>made</w:t>
      </w:r>
      <w:r>
        <w:rPr>
          <w:spacing w:val="-5"/>
        </w:rPr>
        <w:t xml:space="preserve"> </w:t>
      </w:r>
      <w:r>
        <w:t>to</w:t>
      </w:r>
      <w:r>
        <w:rPr>
          <w:spacing w:val="-5"/>
        </w:rPr>
        <w:t xml:space="preserve"> </w:t>
      </w:r>
      <w:r>
        <w:t>the</w:t>
      </w:r>
      <w:r>
        <w:rPr>
          <w:spacing w:val="-5"/>
        </w:rPr>
        <w:t xml:space="preserve"> </w:t>
      </w:r>
      <w:r>
        <w:t>initial</w:t>
      </w:r>
      <w:r>
        <w:rPr>
          <w:spacing w:val="-5"/>
        </w:rPr>
        <w:t xml:space="preserve"> </w:t>
      </w:r>
      <w:r>
        <w:t>measures</w:t>
      </w:r>
      <w:r>
        <w:rPr>
          <w:spacing w:val="-5"/>
        </w:rPr>
        <w:t xml:space="preserve"> </w:t>
      </w:r>
      <w:r>
        <w:t>of</w:t>
      </w:r>
      <w:r>
        <w:rPr>
          <w:spacing w:val="-5"/>
        </w:rPr>
        <w:t xml:space="preserve"> </w:t>
      </w:r>
      <w:r>
        <w:t>size</w:t>
      </w:r>
      <w:r>
        <w:rPr>
          <w:spacing w:val="-5"/>
        </w:rPr>
        <w:t xml:space="preserve"> </w:t>
      </w:r>
      <w:r>
        <w:t>in</w:t>
      </w:r>
      <w:r>
        <w:rPr>
          <w:spacing w:val="-5"/>
        </w:rPr>
        <w:t xml:space="preserve"> </w:t>
      </w:r>
      <w:r>
        <w:t>an</w:t>
      </w:r>
      <w:r>
        <w:rPr>
          <w:spacing w:val="-5"/>
        </w:rPr>
        <w:t xml:space="preserve"> </w:t>
      </w:r>
      <w:r>
        <w:t>attempt</w:t>
      </w:r>
      <w:r>
        <w:rPr>
          <w:spacing w:val="-5"/>
        </w:rPr>
        <w:t xml:space="preserve"> </w:t>
      </w:r>
      <w:r>
        <w:t>to</w:t>
      </w:r>
      <w:r>
        <w:rPr>
          <w:spacing w:val="-5"/>
        </w:rPr>
        <w:t xml:space="preserve"> </w:t>
      </w:r>
      <w:r>
        <w:t>reduce</w:t>
      </w:r>
      <w:r>
        <w:rPr>
          <w:spacing w:val="-5"/>
        </w:rPr>
        <w:t xml:space="preserve"> </w:t>
      </w:r>
      <w:r>
        <w:t>school</w:t>
      </w:r>
      <w:r>
        <w:rPr>
          <w:spacing w:val="-5"/>
        </w:rPr>
        <w:t xml:space="preserve"> </w:t>
      </w:r>
      <w:r>
        <w:t>burden</w:t>
      </w:r>
      <w:r>
        <w:rPr>
          <w:spacing w:val="-5"/>
        </w:rPr>
        <w:t xml:space="preserve"> </w:t>
      </w:r>
      <w:r>
        <w:t>by</w:t>
      </w:r>
      <w:r>
        <w:rPr>
          <w:spacing w:val="-5"/>
        </w:rPr>
        <w:t xml:space="preserve"> </w:t>
      </w:r>
      <w:r>
        <w:t>minimizing</w:t>
      </w:r>
      <w:r>
        <w:rPr>
          <w:spacing w:val="-5"/>
        </w:rPr>
        <w:t xml:space="preserve"> </w:t>
      </w:r>
      <w:r>
        <w:t>the</w:t>
      </w:r>
      <w:r>
        <w:rPr>
          <w:spacing w:val="-5"/>
        </w:rPr>
        <w:t xml:space="preserve"> </w:t>
      </w:r>
      <w:r>
        <w:t>number</w:t>
      </w:r>
      <w:r>
        <w:rPr>
          <w:spacing w:val="-5"/>
        </w:rPr>
        <w:t xml:space="preserve"> </w:t>
      </w:r>
      <w:r>
        <w:t>of</w:t>
      </w:r>
      <w:r>
        <w:rPr>
          <w:spacing w:val="-5"/>
        </w:rPr>
        <w:t xml:space="preserve"> </w:t>
      </w:r>
      <w:r>
        <w:t>schools</w:t>
      </w:r>
      <w:r>
        <w:rPr>
          <w:spacing w:val="-5"/>
        </w:rPr>
        <w:t xml:space="preserve"> </w:t>
      </w:r>
      <w:r>
        <w:t>selected</w:t>
      </w:r>
      <w:r>
        <w:rPr>
          <w:spacing w:val="-5"/>
        </w:rPr>
        <w:t xml:space="preserve"> </w:t>
      </w:r>
      <w:r>
        <w:t>for</w:t>
      </w:r>
      <w:r>
        <w:rPr>
          <w:spacing w:val="-5"/>
        </w:rPr>
        <w:t xml:space="preserve"> </w:t>
      </w:r>
      <w:r>
        <w:t>both</w:t>
      </w:r>
      <w:r>
        <w:rPr>
          <w:spacing w:val="-5"/>
        </w:rPr>
        <w:t xml:space="preserve"> </w:t>
      </w:r>
      <w:r>
        <w:t>the</w:t>
      </w:r>
      <w:r>
        <w:rPr>
          <w:spacing w:val="-5"/>
        </w:rPr>
        <w:t xml:space="preserve"> </w:t>
      </w:r>
      <w:r>
        <w:t>NAEP 2022 national assessment and the NAEP</w:t>
      </w:r>
      <w:r>
        <w:rPr>
          <w:spacing w:val="-7"/>
        </w:rPr>
        <w:t xml:space="preserve"> </w:t>
      </w:r>
      <w:r>
        <w:t>2022 state assessments in public schools.</w:t>
      </w:r>
      <w:r>
        <w:rPr>
          <w:spacing w:val="-3"/>
        </w:rPr>
        <w:t xml:space="preserve"> </w:t>
      </w:r>
      <w:r>
        <w:t>The NAEP</w:t>
      </w:r>
      <w:r>
        <w:rPr>
          <w:spacing w:val="-7"/>
        </w:rPr>
        <w:t xml:space="preserve"> </w:t>
      </w:r>
      <w:r>
        <w:t>sampling procedures used an adaptation of the Keyfitz process to compute conditional measures of size that, by design, minimized the overlap of schools selected for both assessments.</w:t>
      </w:r>
    </w:p>
    <w:p w:rsidR="003F5784" w14:paraId="0A086C43" w14:textId="77777777">
      <w:pPr>
        <w:pStyle w:val="BodyText"/>
      </w:pPr>
    </w:p>
    <w:p w:rsidR="003F5784" w14:paraId="002E079B" w14:textId="77777777">
      <w:pPr>
        <w:pStyle w:val="BodyText"/>
      </w:pPr>
    </w:p>
    <w:p w:rsidR="003F5784" w14:paraId="00E680CE" w14:textId="77777777">
      <w:pPr>
        <w:pStyle w:val="BodyText"/>
        <w:spacing w:before="159"/>
      </w:pPr>
    </w:p>
    <w:p w:rsidR="003F5784" w14:paraId="25E81ADB" w14:textId="77777777">
      <w:pPr>
        <w:ind w:left="936"/>
        <w:rPr>
          <w:sz w:val="18"/>
        </w:rPr>
      </w:pPr>
      <w:hyperlink r:id="rId65">
        <w:r>
          <w:rPr>
            <w:spacing w:val="-2"/>
            <w:w w:val="105"/>
            <w:sz w:val="18"/>
          </w:rPr>
          <w:t>http://nces.ed.gov/nationsreportcard/tdw/sample_design/2022/computation_of_measures_of_size_for_the_2022_eighth_grade_public_school_nat_assess_in_civics_and_us_history.aspx</w:t>
        </w:r>
      </w:hyperlink>
    </w:p>
    <w:p w:rsidR="003F5784" w14:paraId="545B185D" w14:textId="77777777">
      <w:pPr>
        <w:pStyle w:val="BodyText"/>
        <w:spacing w:before="11"/>
        <w:rPr>
          <w:sz w:val="14"/>
        </w:rPr>
      </w:pPr>
      <w:r>
        <w:rPr>
          <w:noProof/>
        </w:rPr>
        <mc:AlternateContent>
          <mc:Choice Requires="wps">
            <w:drawing>
              <wp:anchor distT="0" distB="0" distL="0" distR="0" simplePos="0" relativeHeight="251778048" behindDoc="1" locked="0" layoutInCell="1" allowOverlap="1">
                <wp:simplePos x="0" y="0"/>
                <wp:positionH relativeFrom="page">
                  <wp:posOffset>361937</wp:posOffset>
                </wp:positionH>
                <wp:positionV relativeFrom="paragraph">
                  <wp:posOffset>124556</wp:posOffset>
                </wp:positionV>
                <wp:extent cx="9339580" cy="8890"/>
                <wp:effectExtent l="0" t="0" r="0" b="0"/>
                <wp:wrapTopAndBottom/>
                <wp:docPr id="84" name="Graphic 84"/>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84" o:spid="_x0000_s1060" style="width:735.4pt;height:0.7pt;margin-top:9.8pt;margin-left:28.5pt;mso-position-horizontal-relative:page;mso-wrap-distance-bottom:0;mso-wrap-distance-left:0;mso-wrap-distance-right:0;mso-wrap-distance-top:0;mso-wrap-style:square;position:absolute;visibility:visible;v-text-anchor:top;z-index:-251537408" coordsize="9339580,8890" path="m9338970,l9335110,l,,,8280l8280,8280l9335110,8280l9338970,8280l9338970,xe" fillcolor="gray" stroked="f">
                <v:path arrowok="t"/>
                <w10:wrap type="topAndBottom"/>
              </v:shape>
            </w:pict>
          </mc:Fallback>
        </mc:AlternateContent>
      </w:r>
    </w:p>
    <w:p w:rsidR="003F5784" w14:paraId="45C28DEA" w14:textId="77777777">
      <w:pPr>
        <w:pStyle w:val="BodyText"/>
        <w:rPr>
          <w:sz w:val="18"/>
        </w:rPr>
      </w:pPr>
    </w:p>
    <w:p w:rsidR="003F5784" w14:paraId="53CB1396" w14:textId="77777777">
      <w:pPr>
        <w:pStyle w:val="BodyText"/>
        <w:spacing w:before="206"/>
        <w:rPr>
          <w:sz w:val="18"/>
        </w:rPr>
      </w:pPr>
    </w:p>
    <w:p w:rsidR="003F5784" w14:paraId="30BB4992" w14:textId="2F6B7307">
      <w:pPr>
        <w:pStyle w:val="Heading1"/>
        <w:spacing w:line="244" w:lineRule="auto"/>
        <w:ind w:right="145"/>
        <w:jc w:val="both"/>
      </w:pPr>
      <w:r>
        <w:t>NAEP</w:t>
      </w:r>
      <w:r>
        <w:rPr>
          <w:spacing w:val="-11"/>
        </w:rPr>
        <w:t xml:space="preserve"> </w:t>
      </w:r>
      <w:r>
        <w:t>Technical Documentation</w:t>
      </w:r>
      <w:r w:rsidR="001057CE">
        <w:t xml:space="preserve"> </w:t>
      </w:r>
      <w:r>
        <w:t>School Sample Sizes: CCD-Based and New-School Sampling Frames for the 2022 Eighth-Grade Public School National</w:t>
      </w:r>
      <w:r>
        <w:rPr>
          <w:spacing w:val="-6"/>
        </w:rPr>
        <w:t xml:space="preserve"> </w:t>
      </w:r>
      <w:r>
        <w:t>Assessment in Civics and U.S. History</w:t>
      </w:r>
    </w:p>
    <w:p w:rsidR="003F5784" w14:paraId="1C0224FB" w14:textId="77777777">
      <w:pPr>
        <w:pStyle w:val="BodyText"/>
        <w:spacing w:before="275" w:line="232" w:lineRule="auto"/>
        <w:ind w:left="109" w:right="179"/>
      </w:pPr>
      <w:r>
        <w:t>The</w:t>
      </w:r>
      <w:r>
        <w:rPr>
          <w:spacing w:val="-6"/>
        </w:rPr>
        <w:t xml:space="preserve"> </w:t>
      </w:r>
      <w:r>
        <w:t>following</w:t>
      </w:r>
      <w:r>
        <w:rPr>
          <w:spacing w:val="-6"/>
        </w:rPr>
        <w:t xml:space="preserve"> </w:t>
      </w:r>
      <w:r>
        <w:t>table</w:t>
      </w:r>
      <w:r>
        <w:rPr>
          <w:spacing w:val="-6"/>
        </w:rPr>
        <w:t xml:space="preserve"> </w:t>
      </w:r>
      <w:r>
        <w:t>presents</w:t>
      </w:r>
      <w:r>
        <w:rPr>
          <w:spacing w:val="-6"/>
        </w:rPr>
        <w:t xml:space="preserve"> </w:t>
      </w:r>
      <w:r>
        <w:t>the</w:t>
      </w:r>
      <w:r>
        <w:rPr>
          <w:spacing w:val="-6"/>
        </w:rPr>
        <w:t xml:space="preserve"> </w:t>
      </w:r>
      <w:r>
        <w:t>number</w:t>
      </w:r>
      <w:r>
        <w:rPr>
          <w:spacing w:val="-6"/>
        </w:rPr>
        <w:t xml:space="preserve"> </w:t>
      </w:r>
      <w:r>
        <w:t>of</w:t>
      </w:r>
      <w:r>
        <w:rPr>
          <w:spacing w:val="-6"/>
        </w:rPr>
        <w:t xml:space="preserve"> </w:t>
      </w:r>
      <w:r>
        <w:t>schools</w:t>
      </w:r>
      <w:r>
        <w:rPr>
          <w:spacing w:val="-6"/>
        </w:rPr>
        <w:t xml:space="preserve"> </w:t>
      </w:r>
      <w:r>
        <w:t>selected</w:t>
      </w:r>
      <w:r>
        <w:rPr>
          <w:spacing w:val="-6"/>
        </w:rPr>
        <w:t xml:space="preserve"> </w:t>
      </w:r>
      <w:r>
        <w:t>for</w:t>
      </w:r>
      <w:r>
        <w:rPr>
          <w:spacing w:val="-6"/>
        </w:rPr>
        <w:t xml:space="preserve"> </w:t>
      </w:r>
      <w:r>
        <w:t>the</w:t>
      </w:r>
      <w:r>
        <w:rPr>
          <w:spacing w:val="-6"/>
        </w:rPr>
        <w:t xml:space="preserve"> </w:t>
      </w:r>
      <w:r>
        <w:t>eighth-grade</w:t>
      </w:r>
      <w:r>
        <w:rPr>
          <w:spacing w:val="-6"/>
        </w:rPr>
        <w:t xml:space="preserve"> </w:t>
      </w:r>
      <w:r>
        <w:t>public</w:t>
      </w:r>
      <w:r>
        <w:rPr>
          <w:spacing w:val="-6"/>
        </w:rPr>
        <w:t xml:space="preserve"> </w:t>
      </w:r>
      <w:r>
        <w:t>school</w:t>
      </w:r>
      <w:r>
        <w:rPr>
          <w:spacing w:val="-6"/>
        </w:rPr>
        <w:t xml:space="preserve"> </w:t>
      </w:r>
      <w:r>
        <w:t>sample</w:t>
      </w:r>
      <w:r>
        <w:rPr>
          <w:spacing w:val="-6"/>
        </w:rPr>
        <w:t xml:space="preserve"> </w:t>
      </w:r>
      <w:r>
        <w:t>by</w:t>
      </w:r>
      <w:r>
        <w:rPr>
          <w:spacing w:val="-6"/>
        </w:rPr>
        <w:t xml:space="preserve"> </w:t>
      </w:r>
      <w:r>
        <w:t>sampling</w:t>
      </w:r>
      <w:r>
        <w:rPr>
          <w:spacing w:val="-6"/>
        </w:rPr>
        <w:t xml:space="preserve"> </w:t>
      </w:r>
      <w:r>
        <w:t>frame</w:t>
      </w:r>
      <w:r>
        <w:rPr>
          <w:spacing w:val="-6"/>
        </w:rPr>
        <w:t xml:space="preserve"> </w:t>
      </w:r>
      <w:r>
        <w:t>(Common</w:t>
      </w:r>
      <w:r>
        <w:rPr>
          <w:spacing w:val="-6"/>
        </w:rPr>
        <w:t xml:space="preserve"> </w:t>
      </w:r>
      <w:r>
        <w:t>Core</w:t>
      </w:r>
      <w:r>
        <w:rPr>
          <w:spacing w:val="-6"/>
        </w:rPr>
        <w:t xml:space="preserve"> </w:t>
      </w:r>
      <w:r>
        <w:t>of</w:t>
      </w:r>
      <w:r>
        <w:rPr>
          <w:spacing w:val="-6"/>
        </w:rPr>
        <w:t xml:space="preserve"> </w:t>
      </w:r>
      <w:r>
        <w:t>Data</w:t>
      </w:r>
      <w:r>
        <w:rPr>
          <w:spacing w:val="-6"/>
        </w:rPr>
        <w:t xml:space="preserve"> </w:t>
      </w:r>
      <w:r>
        <w:t>[CCD]-based</w:t>
      </w:r>
      <w:r>
        <w:rPr>
          <w:spacing w:val="-6"/>
        </w:rPr>
        <w:t xml:space="preserve"> </w:t>
      </w:r>
      <w:r>
        <w:t>and</w:t>
      </w:r>
      <w:r>
        <w:rPr>
          <w:spacing w:val="-6"/>
        </w:rPr>
        <w:t xml:space="preserve"> </w:t>
      </w:r>
      <w:r>
        <w:t>new- school) and census region.</w:t>
      </w:r>
    </w:p>
    <w:p w:rsidR="003F5784" w14:paraId="19517AD7" w14:textId="77777777">
      <w:pPr>
        <w:pStyle w:val="BodyText"/>
        <w:spacing w:before="98"/>
      </w:pPr>
    </w:p>
    <w:p w:rsidR="003F5784" w14:paraId="65E252C9" w14:textId="77777777">
      <w:pPr>
        <w:pStyle w:val="Heading2"/>
        <w:spacing w:line="232" w:lineRule="auto"/>
        <w:ind w:left="2905" w:right="2975"/>
      </w:pPr>
      <w:r>
        <w:t>Public</w:t>
      </w:r>
      <w:r>
        <w:rPr>
          <w:spacing w:val="-9"/>
        </w:rPr>
        <w:t xml:space="preserve"> </w:t>
      </w:r>
      <w:r>
        <w:t>school</w:t>
      </w:r>
      <w:r>
        <w:rPr>
          <w:spacing w:val="-9"/>
        </w:rPr>
        <w:t xml:space="preserve"> </w:t>
      </w:r>
      <w:r>
        <w:t>sample</w:t>
      </w:r>
      <w:r>
        <w:rPr>
          <w:spacing w:val="-9"/>
        </w:rPr>
        <w:t xml:space="preserve"> </w:t>
      </w:r>
      <w:r>
        <w:t>counts</w:t>
      </w:r>
      <w:r>
        <w:rPr>
          <w:spacing w:val="-9"/>
        </w:rPr>
        <w:t xml:space="preserve"> </w:t>
      </w:r>
      <w:r>
        <w:t>for</w:t>
      </w:r>
      <w:r>
        <w:rPr>
          <w:spacing w:val="-12"/>
        </w:rPr>
        <w:t xml:space="preserve"> </w:t>
      </w:r>
      <w:r>
        <w:t>the</w:t>
      </w:r>
      <w:r>
        <w:rPr>
          <w:spacing w:val="-9"/>
        </w:rPr>
        <w:t xml:space="preserve"> </w:t>
      </w:r>
      <w:r>
        <w:t>eighth-grade</w:t>
      </w:r>
      <w:r>
        <w:rPr>
          <w:spacing w:val="-9"/>
        </w:rPr>
        <w:t xml:space="preserve"> </w:t>
      </w:r>
      <w:r>
        <w:t>national</w:t>
      </w:r>
      <w:r>
        <w:rPr>
          <w:spacing w:val="-9"/>
        </w:rPr>
        <w:t xml:space="preserve"> </w:t>
      </w:r>
      <w:r>
        <w:t>assessments,</w:t>
      </w:r>
      <w:r>
        <w:rPr>
          <w:spacing w:val="-9"/>
        </w:rPr>
        <w:t xml:space="preserve"> </w:t>
      </w:r>
      <w:r>
        <w:t>by</w:t>
      </w:r>
      <w:r>
        <w:rPr>
          <w:spacing w:val="-9"/>
        </w:rPr>
        <w:t xml:space="preserve"> </w:t>
      </w:r>
      <w:r>
        <w:t>census</w:t>
      </w:r>
      <w:r>
        <w:rPr>
          <w:spacing w:val="-9"/>
        </w:rPr>
        <w:t xml:space="preserve"> </w:t>
      </w:r>
      <w:r>
        <w:t>region</w:t>
      </w:r>
      <w:r>
        <w:rPr>
          <w:spacing w:val="-9"/>
        </w:rPr>
        <w:t xml:space="preserve"> </w:t>
      </w:r>
      <w:r>
        <w:t>and</w:t>
      </w:r>
      <w:r>
        <w:rPr>
          <w:spacing w:val="-9"/>
        </w:rPr>
        <w:t xml:space="preserve"> </w:t>
      </w:r>
      <w:r>
        <w:t>sampling frame (CCD-based, new-school): 2022</w:t>
      </w:r>
    </w:p>
    <w:p w:rsidR="003F5784" w14:paraId="368ECA34" w14:textId="77777777">
      <w:pPr>
        <w:pStyle w:val="BodyText"/>
        <w:spacing w:before="1"/>
        <w:rPr>
          <w:b/>
          <w:sz w:val="12"/>
        </w:rPr>
      </w:pPr>
    </w:p>
    <w:tbl>
      <w:tblPr>
        <w:tblW w:w="0" w:type="auto"/>
        <w:tblInd w:w="2919" w:type="dxa"/>
        <w:tblLayout w:type="fixed"/>
        <w:tblCellMar>
          <w:left w:w="0" w:type="dxa"/>
          <w:right w:w="0" w:type="dxa"/>
        </w:tblCellMar>
        <w:tblLook w:val="01E0"/>
      </w:tblPr>
      <w:tblGrid>
        <w:gridCol w:w="1844"/>
        <w:gridCol w:w="2467"/>
        <w:gridCol w:w="2754"/>
        <w:gridCol w:w="2059"/>
      </w:tblGrid>
      <w:tr w14:paraId="3B534740" w14:textId="77777777">
        <w:tblPrEx>
          <w:tblW w:w="0" w:type="auto"/>
          <w:tblInd w:w="2919" w:type="dxa"/>
          <w:tblLayout w:type="fixed"/>
          <w:tblCellMar>
            <w:left w:w="0" w:type="dxa"/>
            <w:right w:w="0" w:type="dxa"/>
          </w:tblCellMar>
          <w:tblLook w:val="01E0"/>
        </w:tblPrEx>
        <w:trPr>
          <w:trHeight w:val="267"/>
        </w:trPr>
        <w:tc>
          <w:tcPr>
            <w:tcW w:w="1844" w:type="dxa"/>
            <w:tcBorders>
              <w:top w:val="single" w:sz="18" w:space="0" w:color="800000"/>
              <w:bottom w:val="single" w:sz="18" w:space="0" w:color="800000"/>
            </w:tcBorders>
          </w:tcPr>
          <w:p w:rsidR="003F5784" w14:paraId="1EEFF6EC" w14:textId="77777777">
            <w:pPr>
              <w:pStyle w:val="TableParagraph"/>
              <w:spacing w:before="9" w:line="238" w:lineRule="exact"/>
              <w:ind w:left="111"/>
              <w:jc w:val="left"/>
              <w:rPr>
                <w:sz w:val="21"/>
              </w:rPr>
            </w:pPr>
            <w:r>
              <w:rPr>
                <w:sz w:val="21"/>
              </w:rPr>
              <w:t>Census</w:t>
            </w:r>
            <w:r>
              <w:rPr>
                <w:spacing w:val="-8"/>
                <w:sz w:val="21"/>
              </w:rPr>
              <w:t xml:space="preserve"> </w:t>
            </w:r>
            <w:r>
              <w:rPr>
                <w:spacing w:val="-2"/>
                <w:sz w:val="21"/>
              </w:rPr>
              <w:t>region</w:t>
            </w:r>
          </w:p>
        </w:tc>
        <w:tc>
          <w:tcPr>
            <w:tcW w:w="2467" w:type="dxa"/>
            <w:tcBorders>
              <w:top w:val="single" w:sz="18" w:space="0" w:color="800000"/>
              <w:bottom w:val="single" w:sz="18" w:space="0" w:color="800000"/>
            </w:tcBorders>
          </w:tcPr>
          <w:p w:rsidR="003F5784" w14:paraId="76E080E4" w14:textId="77777777">
            <w:pPr>
              <w:pStyle w:val="TableParagraph"/>
              <w:spacing w:before="9" w:line="238" w:lineRule="exact"/>
              <w:ind w:left="544"/>
              <w:jc w:val="left"/>
              <w:rPr>
                <w:sz w:val="21"/>
              </w:rPr>
            </w:pPr>
            <w:r>
              <w:rPr>
                <w:spacing w:val="-2"/>
                <w:sz w:val="21"/>
              </w:rPr>
              <w:t>Total</w:t>
            </w:r>
            <w:r>
              <w:rPr>
                <w:spacing w:val="-3"/>
                <w:sz w:val="21"/>
              </w:rPr>
              <w:t xml:space="preserve"> </w:t>
            </w:r>
            <w:r>
              <w:rPr>
                <w:spacing w:val="-2"/>
                <w:sz w:val="21"/>
              </w:rPr>
              <w:t>school sample</w:t>
            </w:r>
          </w:p>
        </w:tc>
        <w:tc>
          <w:tcPr>
            <w:tcW w:w="2754" w:type="dxa"/>
            <w:tcBorders>
              <w:top w:val="single" w:sz="18" w:space="0" w:color="800000"/>
              <w:bottom w:val="single" w:sz="18" w:space="0" w:color="800000"/>
            </w:tcBorders>
          </w:tcPr>
          <w:p w:rsidR="003F5784" w14:paraId="1DBD9DC5" w14:textId="77777777">
            <w:pPr>
              <w:pStyle w:val="TableParagraph"/>
              <w:spacing w:before="9" w:line="238" w:lineRule="exact"/>
              <w:ind w:left="255"/>
              <w:jc w:val="left"/>
              <w:rPr>
                <w:sz w:val="21"/>
              </w:rPr>
            </w:pPr>
            <w:r>
              <w:rPr>
                <w:sz w:val="21"/>
              </w:rPr>
              <w:t>CCD-based</w:t>
            </w:r>
            <w:r>
              <w:rPr>
                <w:spacing w:val="-9"/>
                <w:sz w:val="21"/>
              </w:rPr>
              <w:t xml:space="preserve"> </w:t>
            </w:r>
            <w:r>
              <w:rPr>
                <w:sz w:val="21"/>
              </w:rPr>
              <w:t>school</w:t>
            </w:r>
            <w:r>
              <w:rPr>
                <w:spacing w:val="-9"/>
                <w:sz w:val="21"/>
              </w:rPr>
              <w:t xml:space="preserve"> </w:t>
            </w:r>
            <w:r>
              <w:rPr>
                <w:spacing w:val="-2"/>
                <w:sz w:val="21"/>
              </w:rPr>
              <w:t>sample</w:t>
            </w:r>
          </w:p>
        </w:tc>
        <w:tc>
          <w:tcPr>
            <w:tcW w:w="2059" w:type="dxa"/>
            <w:tcBorders>
              <w:top w:val="single" w:sz="18" w:space="0" w:color="800000"/>
              <w:bottom w:val="single" w:sz="18" w:space="0" w:color="800000"/>
            </w:tcBorders>
          </w:tcPr>
          <w:p w:rsidR="003F5784" w14:paraId="0E5A5A9F" w14:textId="77777777">
            <w:pPr>
              <w:pStyle w:val="TableParagraph"/>
              <w:spacing w:before="9" w:line="238" w:lineRule="exact"/>
              <w:ind w:left="284"/>
              <w:jc w:val="left"/>
              <w:rPr>
                <w:sz w:val="21"/>
              </w:rPr>
            </w:pPr>
            <w:r>
              <w:rPr>
                <w:sz w:val="21"/>
              </w:rPr>
              <w:t>New-school</w:t>
            </w:r>
            <w:r>
              <w:rPr>
                <w:spacing w:val="-12"/>
                <w:sz w:val="21"/>
              </w:rPr>
              <w:t xml:space="preserve"> </w:t>
            </w:r>
            <w:r>
              <w:rPr>
                <w:spacing w:val="-2"/>
                <w:sz w:val="21"/>
              </w:rPr>
              <w:t>sample</w:t>
            </w:r>
          </w:p>
        </w:tc>
      </w:tr>
    </w:tbl>
    <w:p w:rsidR="003F5784" w14:paraId="04E132A7" w14:textId="77777777">
      <w:pPr>
        <w:spacing w:line="238" w:lineRule="exact"/>
        <w:rPr>
          <w:sz w:val="21"/>
        </w:rPr>
        <w:sectPr>
          <w:pgSz w:w="15840" w:h="12240" w:orient="landscape"/>
          <w:pgMar w:top="480" w:right="440" w:bottom="460" w:left="460" w:header="284" w:footer="275" w:gutter="0"/>
          <w:cols w:space="720"/>
        </w:sectPr>
      </w:pPr>
    </w:p>
    <w:p w:rsidR="003F5784" w14:paraId="4E60E052" w14:textId="77777777">
      <w:pPr>
        <w:pStyle w:val="BodyText"/>
        <w:tabs>
          <w:tab w:val="left" w:pos="5300"/>
          <w:tab w:val="left" w:pos="7478"/>
          <w:tab w:val="left" w:pos="10261"/>
        </w:tabs>
        <w:spacing w:before="98" w:after="20"/>
        <w:ind w:left="3023"/>
      </w:pPr>
      <w:r>
        <w:t>Census</w:t>
      </w:r>
      <w:r>
        <w:rPr>
          <w:spacing w:val="-8"/>
        </w:rPr>
        <w:t xml:space="preserve"> </w:t>
      </w:r>
      <w:r>
        <w:rPr>
          <w:spacing w:val="-2"/>
        </w:rPr>
        <w:t>region</w:t>
      </w:r>
      <w:r>
        <w:tab/>
      </w:r>
      <w:r>
        <w:rPr>
          <w:spacing w:val="-2"/>
        </w:rPr>
        <w:t>Total</w:t>
      </w:r>
      <w:r>
        <w:rPr>
          <w:spacing w:val="-3"/>
        </w:rPr>
        <w:t xml:space="preserve"> </w:t>
      </w:r>
      <w:r>
        <w:rPr>
          <w:spacing w:val="-2"/>
        </w:rPr>
        <w:t>school sample</w:t>
      </w:r>
      <w:r>
        <w:tab/>
        <w:t>CCD-based</w:t>
      </w:r>
      <w:r>
        <w:rPr>
          <w:spacing w:val="-9"/>
        </w:rPr>
        <w:t xml:space="preserve"> </w:t>
      </w:r>
      <w:r>
        <w:t>school</w:t>
      </w:r>
      <w:r>
        <w:rPr>
          <w:spacing w:val="-9"/>
        </w:rPr>
        <w:t xml:space="preserve"> </w:t>
      </w:r>
      <w:r>
        <w:rPr>
          <w:spacing w:val="-2"/>
        </w:rPr>
        <w:t>sample</w:t>
      </w:r>
      <w:r>
        <w:tab/>
        <w:t>New-school</w:t>
      </w:r>
      <w:r>
        <w:rPr>
          <w:spacing w:val="-12"/>
        </w:rPr>
        <w:t xml:space="preserve"> </w:t>
      </w:r>
      <w:r>
        <w:rPr>
          <w:spacing w:val="-2"/>
        </w:rPr>
        <w:t>sample</w:t>
      </w:r>
    </w:p>
    <w:tbl>
      <w:tblPr>
        <w:tblW w:w="0" w:type="auto"/>
        <w:tblInd w:w="2919" w:type="dxa"/>
        <w:tblLayout w:type="fixed"/>
        <w:tblCellMar>
          <w:left w:w="0" w:type="dxa"/>
          <w:right w:w="0" w:type="dxa"/>
        </w:tblCellMar>
        <w:tblLook w:val="01E0"/>
      </w:tblPr>
      <w:tblGrid>
        <w:gridCol w:w="2331"/>
        <w:gridCol w:w="2928"/>
        <w:gridCol w:w="2524"/>
        <w:gridCol w:w="1337"/>
      </w:tblGrid>
      <w:tr w14:paraId="7AEDD6CF" w14:textId="77777777">
        <w:tblPrEx>
          <w:tblW w:w="0" w:type="auto"/>
          <w:tblInd w:w="2919" w:type="dxa"/>
          <w:tblLayout w:type="fixed"/>
          <w:tblCellMar>
            <w:left w:w="0" w:type="dxa"/>
            <w:right w:w="0" w:type="dxa"/>
          </w:tblCellMar>
          <w:tblLook w:val="01E0"/>
        </w:tblPrEx>
        <w:trPr>
          <w:trHeight w:val="278"/>
        </w:trPr>
        <w:tc>
          <w:tcPr>
            <w:tcW w:w="2331" w:type="dxa"/>
            <w:tcBorders>
              <w:top w:val="single" w:sz="18" w:space="0" w:color="800000"/>
            </w:tcBorders>
          </w:tcPr>
          <w:p w:rsidR="003F5784" w14:paraId="758A97B5" w14:textId="77777777">
            <w:pPr>
              <w:pStyle w:val="TableParagraph"/>
              <w:spacing w:before="9"/>
              <w:ind w:left="361"/>
              <w:jc w:val="left"/>
              <w:rPr>
                <w:b/>
                <w:sz w:val="21"/>
              </w:rPr>
            </w:pPr>
            <w:r>
              <w:rPr>
                <w:b/>
                <w:spacing w:val="-2"/>
                <w:sz w:val="21"/>
              </w:rPr>
              <w:t>Total</w:t>
            </w:r>
          </w:p>
        </w:tc>
        <w:tc>
          <w:tcPr>
            <w:tcW w:w="2928" w:type="dxa"/>
            <w:tcBorders>
              <w:top w:val="single" w:sz="18" w:space="0" w:color="800000"/>
            </w:tcBorders>
          </w:tcPr>
          <w:p w:rsidR="003F5784" w14:paraId="60EAE680" w14:textId="77777777">
            <w:pPr>
              <w:pStyle w:val="TableParagraph"/>
              <w:spacing w:before="9"/>
              <w:ind w:right="1203"/>
              <w:rPr>
                <w:b/>
                <w:sz w:val="21"/>
              </w:rPr>
            </w:pPr>
            <w:r>
              <w:rPr>
                <w:b/>
                <w:spacing w:val="-5"/>
                <w:sz w:val="21"/>
              </w:rPr>
              <w:t>400</w:t>
            </w:r>
          </w:p>
        </w:tc>
        <w:tc>
          <w:tcPr>
            <w:tcW w:w="2524" w:type="dxa"/>
            <w:tcBorders>
              <w:top w:val="single" w:sz="18" w:space="0" w:color="800000"/>
            </w:tcBorders>
          </w:tcPr>
          <w:p w:rsidR="003F5784" w14:paraId="2E999E22" w14:textId="77777777">
            <w:pPr>
              <w:pStyle w:val="TableParagraph"/>
              <w:spacing w:before="9"/>
              <w:ind w:right="1001"/>
              <w:rPr>
                <w:b/>
                <w:sz w:val="21"/>
              </w:rPr>
            </w:pPr>
            <w:r>
              <w:rPr>
                <w:b/>
                <w:spacing w:val="-5"/>
                <w:sz w:val="21"/>
              </w:rPr>
              <w:t>400</w:t>
            </w:r>
          </w:p>
        </w:tc>
        <w:tc>
          <w:tcPr>
            <w:tcW w:w="1337" w:type="dxa"/>
            <w:tcBorders>
              <w:top w:val="single" w:sz="18" w:space="0" w:color="800000"/>
            </w:tcBorders>
          </w:tcPr>
          <w:p w:rsidR="003F5784" w14:paraId="56544BD4" w14:textId="77777777">
            <w:pPr>
              <w:pStyle w:val="TableParagraph"/>
              <w:spacing w:before="9"/>
              <w:ind w:right="118"/>
              <w:rPr>
                <w:b/>
                <w:sz w:val="21"/>
              </w:rPr>
            </w:pPr>
            <w:r>
              <w:rPr>
                <w:b/>
                <w:spacing w:val="-5"/>
                <w:sz w:val="21"/>
              </w:rPr>
              <w:t>10</w:t>
            </w:r>
          </w:p>
        </w:tc>
      </w:tr>
      <w:tr w14:paraId="2ACC9B9F" w14:textId="77777777">
        <w:tblPrEx>
          <w:tblW w:w="0" w:type="auto"/>
          <w:tblInd w:w="2919" w:type="dxa"/>
          <w:tblLayout w:type="fixed"/>
          <w:tblCellMar>
            <w:left w:w="0" w:type="dxa"/>
            <w:right w:w="0" w:type="dxa"/>
          </w:tblCellMar>
          <w:tblLook w:val="01E0"/>
        </w:tblPrEx>
        <w:trPr>
          <w:trHeight w:val="286"/>
        </w:trPr>
        <w:tc>
          <w:tcPr>
            <w:tcW w:w="2331" w:type="dxa"/>
          </w:tcPr>
          <w:p w:rsidR="003F5784" w14:paraId="1156B864" w14:textId="77777777">
            <w:pPr>
              <w:pStyle w:val="TableParagraph"/>
              <w:ind w:left="111"/>
              <w:jc w:val="left"/>
              <w:rPr>
                <w:sz w:val="21"/>
              </w:rPr>
            </w:pPr>
            <w:r>
              <w:rPr>
                <w:spacing w:val="-2"/>
                <w:sz w:val="21"/>
              </w:rPr>
              <w:t>Northeast</w:t>
            </w:r>
          </w:p>
        </w:tc>
        <w:tc>
          <w:tcPr>
            <w:tcW w:w="2928" w:type="dxa"/>
          </w:tcPr>
          <w:p w:rsidR="003F5784" w14:paraId="46EC8B1A" w14:textId="77777777">
            <w:pPr>
              <w:pStyle w:val="TableParagraph"/>
              <w:ind w:right="1203"/>
              <w:rPr>
                <w:sz w:val="21"/>
              </w:rPr>
            </w:pPr>
            <w:r>
              <w:rPr>
                <w:spacing w:val="-5"/>
                <w:sz w:val="21"/>
              </w:rPr>
              <w:t>60</w:t>
            </w:r>
          </w:p>
        </w:tc>
        <w:tc>
          <w:tcPr>
            <w:tcW w:w="2524" w:type="dxa"/>
          </w:tcPr>
          <w:p w:rsidR="003F5784" w14:paraId="7BA135D0" w14:textId="77777777">
            <w:pPr>
              <w:pStyle w:val="TableParagraph"/>
              <w:ind w:right="1001"/>
              <w:rPr>
                <w:sz w:val="21"/>
              </w:rPr>
            </w:pPr>
            <w:r>
              <w:rPr>
                <w:spacing w:val="-5"/>
                <w:sz w:val="21"/>
              </w:rPr>
              <w:t>50</w:t>
            </w:r>
          </w:p>
        </w:tc>
        <w:tc>
          <w:tcPr>
            <w:tcW w:w="1337" w:type="dxa"/>
          </w:tcPr>
          <w:p w:rsidR="003F5784" w14:paraId="729A76CD" w14:textId="77777777">
            <w:pPr>
              <w:pStyle w:val="TableParagraph"/>
              <w:ind w:right="118"/>
              <w:rPr>
                <w:sz w:val="21"/>
              </w:rPr>
            </w:pPr>
            <w:r>
              <w:rPr>
                <w:spacing w:val="-10"/>
                <w:sz w:val="21"/>
              </w:rPr>
              <w:t>#</w:t>
            </w:r>
          </w:p>
        </w:tc>
      </w:tr>
      <w:tr w14:paraId="42FE965C" w14:textId="77777777">
        <w:tblPrEx>
          <w:tblW w:w="0" w:type="auto"/>
          <w:tblInd w:w="2919" w:type="dxa"/>
          <w:tblLayout w:type="fixed"/>
          <w:tblCellMar>
            <w:left w:w="0" w:type="dxa"/>
            <w:right w:w="0" w:type="dxa"/>
          </w:tblCellMar>
          <w:tblLook w:val="01E0"/>
        </w:tblPrEx>
        <w:trPr>
          <w:trHeight w:val="286"/>
        </w:trPr>
        <w:tc>
          <w:tcPr>
            <w:tcW w:w="2331" w:type="dxa"/>
          </w:tcPr>
          <w:p w:rsidR="003F5784" w14:paraId="067AF410" w14:textId="77777777">
            <w:pPr>
              <w:pStyle w:val="TableParagraph"/>
              <w:ind w:left="111"/>
              <w:jc w:val="left"/>
              <w:rPr>
                <w:sz w:val="21"/>
              </w:rPr>
            </w:pPr>
            <w:r>
              <w:rPr>
                <w:spacing w:val="-2"/>
                <w:sz w:val="21"/>
              </w:rPr>
              <w:t>Midwest</w:t>
            </w:r>
          </w:p>
        </w:tc>
        <w:tc>
          <w:tcPr>
            <w:tcW w:w="2928" w:type="dxa"/>
          </w:tcPr>
          <w:p w:rsidR="003F5784" w14:paraId="35F1C05C" w14:textId="77777777">
            <w:pPr>
              <w:pStyle w:val="TableParagraph"/>
              <w:ind w:right="1203"/>
              <w:rPr>
                <w:sz w:val="21"/>
              </w:rPr>
            </w:pPr>
            <w:r>
              <w:rPr>
                <w:spacing w:val="-5"/>
                <w:sz w:val="21"/>
              </w:rPr>
              <w:t>70</w:t>
            </w:r>
          </w:p>
        </w:tc>
        <w:tc>
          <w:tcPr>
            <w:tcW w:w="2524" w:type="dxa"/>
          </w:tcPr>
          <w:p w:rsidR="003F5784" w14:paraId="166D6C41" w14:textId="77777777">
            <w:pPr>
              <w:pStyle w:val="TableParagraph"/>
              <w:ind w:right="1001"/>
              <w:rPr>
                <w:sz w:val="21"/>
              </w:rPr>
            </w:pPr>
            <w:r>
              <w:rPr>
                <w:spacing w:val="-5"/>
                <w:sz w:val="21"/>
              </w:rPr>
              <w:t>70</w:t>
            </w:r>
          </w:p>
        </w:tc>
        <w:tc>
          <w:tcPr>
            <w:tcW w:w="1337" w:type="dxa"/>
          </w:tcPr>
          <w:p w:rsidR="003F5784" w14:paraId="7EDEC37D" w14:textId="77777777">
            <w:pPr>
              <w:pStyle w:val="TableParagraph"/>
              <w:ind w:right="118"/>
              <w:rPr>
                <w:sz w:val="21"/>
              </w:rPr>
            </w:pPr>
            <w:r>
              <w:rPr>
                <w:spacing w:val="-10"/>
                <w:sz w:val="21"/>
              </w:rPr>
              <w:t>#</w:t>
            </w:r>
          </w:p>
        </w:tc>
      </w:tr>
      <w:tr w14:paraId="0504E50C" w14:textId="77777777">
        <w:tblPrEx>
          <w:tblW w:w="0" w:type="auto"/>
          <w:tblInd w:w="2919" w:type="dxa"/>
          <w:tblLayout w:type="fixed"/>
          <w:tblCellMar>
            <w:left w:w="0" w:type="dxa"/>
            <w:right w:w="0" w:type="dxa"/>
          </w:tblCellMar>
          <w:tblLook w:val="01E0"/>
        </w:tblPrEx>
        <w:trPr>
          <w:trHeight w:val="286"/>
        </w:trPr>
        <w:tc>
          <w:tcPr>
            <w:tcW w:w="2331" w:type="dxa"/>
          </w:tcPr>
          <w:p w:rsidR="003F5784" w14:paraId="3BDB1C51" w14:textId="77777777">
            <w:pPr>
              <w:pStyle w:val="TableParagraph"/>
              <w:ind w:left="111"/>
              <w:jc w:val="left"/>
              <w:rPr>
                <w:sz w:val="21"/>
              </w:rPr>
            </w:pPr>
            <w:r>
              <w:rPr>
                <w:spacing w:val="-2"/>
                <w:sz w:val="21"/>
              </w:rPr>
              <w:t>South</w:t>
            </w:r>
          </w:p>
        </w:tc>
        <w:tc>
          <w:tcPr>
            <w:tcW w:w="2928" w:type="dxa"/>
          </w:tcPr>
          <w:p w:rsidR="003F5784" w14:paraId="5FDA218C" w14:textId="77777777">
            <w:pPr>
              <w:pStyle w:val="TableParagraph"/>
              <w:ind w:right="1203"/>
              <w:rPr>
                <w:sz w:val="21"/>
              </w:rPr>
            </w:pPr>
            <w:r>
              <w:rPr>
                <w:spacing w:val="-5"/>
                <w:sz w:val="21"/>
              </w:rPr>
              <w:t>170</w:t>
            </w:r>
          </w:p>
        </w:tc>
        <w:tc>
          <w:tcPr>
            <w:tcW w:w="2524" w:type="dxa"/>
          </w:tcPr>
          <w:p w:rsidR="003F5784" w14:paraId="4E45D4B2" w14:textId="77777777">
            <w:pPr>
              <w:pStyle w:val="TableParagraph"/>
              <w:ind w:right="1001"/>
              <w:rPr>
                <w:sz w:val="21"/>
              </w:rPr>
            </w:pPr>
            <w:r>
              <w:rPr>
                <w:spacing w:val="-5"/>
                <w:sz w:val="21"/>
              </w:rPr>
              <w:t>170</w:t>
            </w:r>
          </w:p>
        </w:tc>
        <w:tc>
          <w:tcPr>
            <w:tcW w:w="1337" w:type="dxa"/>
          </w:tcPr>
          <w:p w:rsidR="003F5784" w14:paraId="67FD8C86" w14:textId="77777777">
            <w:pPr>
              <w:pStyle w:val="TableParagraph"/>
              <w:ind w:right="118"/>
              <w:rPr>
                <w:sz w:val="21"/>
              </w:rPr>
            </w:pPr>
            <w:r>
              <w:rPr>
                <w:spacing w:val="-10"/>
                <w:sz w:val="21"/>
              </w:rPr>
              <w:t>#</w:t>
            </w:r>
          </w:p>
        </w:tc>
      </w:tr>
      <w:tr w14:paraId="105962C2" w14:textId="77777777">
        <w:tblPrEx>
          <w:tblW w:w="0" w:type="auto"/>
          <w:tblInd w:w="2919" w:type="dxa"/>
          <w:tblLayout w:type="fixed"/>
          <w:tblCellMar>
            <w:left w:w="0" w:type="dxa"/>
            <w:right w:w="0" w:type="dxa"/>
          </w:tblCellMar>
          <w:tblLook w:val="01E0"/>
        </w:tblPrEx>
        <w:trPr>
          <w:trHeight w:val="288"/>
        </w:trPr>
        <w:tc>
          <w:tcPr>
            <w:tcW w:w="2331" w:type="dxa"/>
            <w:tcBorders>
              <w:bottom w:val="single" w:sz="18" w:space="0" w:color="800000"/>
            </w:tcBorders>
          </w:tcPr>
          <w:p w:rsidR="003F5784" w14:paraId="27D3B435" w14:textId="77777777">
            <w:pPr>
              <w:pStyle w:val="TableParagraph"/>
              <w:ind w:left="111"/>
              <w:jc w:val="left"/>
              <w:rPr>
                <w:sz w:val="21"/>
              </w:rPr>
            </w:pPr>
            <w:r>
              <w:rPr>
                <w:spacing w:val="-4"/>
                <w:sz w:val="21"/>
              </w:rPr>
              <w:t>West</w:t>
            </w:r>
          </w:p>
        </w:tc>
        <w:tc>
          <w:tcPr>
            <w:tcW w:w="2928" w:type="dxa"/>
            <w:tcBorders>
              <w:bottom w:val="single" w:sz="18" w:space="0" w:color="800000"/>
            </w:tcBorders>
          </w:tcPr>
          <w:p w:rsidR="003F5784" w14:paraId="7FB52D97" w14:textId="77777777">
            <w:pPr>
              <w:pStyle w:val="TableParagraph"/>
              <w:ind w:right="1203"/>
              <w:rPr>
                <w:sz w:val="21"/>
              </w:rPr>
            </w:pPr>
            <w:r>
              <w:rPr>
                <w:spacing w:val="-5"/>
                <w:sz w:val="21"/>
              </w:rPr>
              <w:t>110</w:t>
            </w:r>
          </w:p>
        </w:tc>
        <w:tc>
          <w:tcPr>
            <w:tcW w:w="2524" w:type="dxa"/>
            <w:tcBorders>
              <w:bottom w:val="single" w:sz="18" w:space="0" w:color="800000"/>
            </w:tcBorders>
          </w:tcPr>
          <w:p w:rsidR="003F5784" w14:paraId="64A2FFFA" w14:textId="77777777">
            <w:pPr>
              <w:pStyle w:val="TableParagraph"/>
              <w:ind w:right="1001"/>
              <w:rPr>
                <w:sz w:val="21"/>
              </w:rPr>
            </w:pPr>
            <w:r>
              <w:rPr>
                <w:spacing w:val="-5"/>
                <w:sz w:val="21"/>
              </w:rPr>
              <w:t>110</w:t>
            </w:r>
          </w:p>
        </w:tc>
        <w:tc>
          <w:tcPr>
            <w:tcW w:w="1337" w:type="dxa"/>
            <w:tcBorders>
              <w:bottom w:val="single" w:sz="18" w:space="0" w:color="800000"/>
            </w:tcBorders>
          </w:tcPr>
          <w:p w:rsidR="003F5784" w14:paraId="5C42F90E" w14:textId="77777777">
            <w:pPr>
              <w:pStyle w:val="TableParagraph"/>
              <w:ind w:right="118"/>
              <w:rPr>
                <w:sz w:val="21"/>
              </w:rPr>
            </w:pPr>
            <w:r>
              <w:rPr>
                <w:spacing w:val="-10"/>
                <w:sz w:val="21"/>
              </w:rPr>
              <w:t>#</w:t>
            </w:r>
          </w:p>
        </w:tc>
      </w:tr>
      <w:tr w14:paraId="74F92EDE" w14:textId="77777777">
        <w:tblPrEx>
          <w:tblW w:w="0" w:type="auto"/>
          <w:tblInd w:w="2919" w:type="dxa"/>
          <w:tblLayout w:type="fixed"/>
          <w:tblCellMar>
            <w:left w:w="0" w:type="dxa"/>
            <w:right w:w="0" w:type="dxa"/>
          </w:tblCellMar>
          <w:tblLook w:val="01E0"/>
        </w:tblPrEx>
        <w:trPr>
          <w:trHeight w:val="237"/>
        </w:trPr>
        <w:tc>
          <w:tcPr>
            <w:tcW w:w="2331" w:type="dxa"/>
            <w:tcBorders>
              <w:top w:val="single" w:sz="18" w:space="0" w:color="800000"/>
            </w:tcBorders>
          </w:tcPr>
          <w:p w:rsidR="003F5784" w14:paraId="502E69B1" w14:textId="77777777">
            <w:pPr>
              <w:pStyle w:val="TableParagraph"/>
              <w:spacing w:before="0" w:line="218" w:lineRule="exact"/>
              <w:ind w:left="111"/>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c>
          <w:tcPr>
            <w:tcW w:w="2928" w:type="dxa"/>
            <w:tcBorders>
              <w:top w:val="single" w:sz="18" w:space="0" w:color="800000"/>
            </w:tcBorders>
          </w:tcPr>
          <w:p w:rsidR="003F5784" w14:paraId="1F999481" w14:textId="77777777">
            <w:pPr>
              <w:pStyle w:val="TableParagraph"/>
              <w:spacing w:before="0"/>
              <w:jc w:val="left"/>
              <w:rPr>
                <w:sz w:val="16"/>
              </w:rPr>
            </w:pPr>
          </w:p>
        </w:tc>
        <w:tc>
          <w:tcPr>
            <w:tcW w:w="2524" w:type="dxa"/>
            <w:tcBorders>
              <w:top w:val="single" w:sz="18" w:space="0" w:color="800000"/>
            </w:tcBorders>
          </w:tcPr>
          <w:p w:rsidR="003F5784" w14:paraId="61E2CD3D" w14:textId="77777777">
            <w:pPr>
              <w:pStyle w:val="TableParagraph"/>
              <w:spacing w:before="0"/>
              <w:jc w:val="left"/>
              <w:rPr>
                <w:sz w:val="16"/>
              </w:rPr>
            </w:pPr>
          </w:p>
        </w:tc>
        <w:tc>
          <w:tcPr>
            <w:tcW w:w="1337" w:type="dxa"/>
            <w:tcBorders>
              <w:top w:val="single" w:sz="18" w:space="0" w:color="800000"/>
            </w:tcBorders>
          </w:tcPr>
          <w:p w:rsidR="003F5784" w14:paraId="54E875B9" w14:textId="77777777">
            <w:pPr>
              <w:pStyle w:val="TableParagraph"/>
              <w:spacing w:before="0"/>
              <w:jc w:val="left"/>
              <w:rPr>
                <w:sz w:val="16"/>
              </w:rPr>
            </w:pPr>
          </w:p>
        </w:tc>
      </w:tr>
    </w:tbl>
    <w:p w:rsidR="003F5784" w14:paraId="1687F3BC" w14:textId="77777777">
      <w:pPr>
        <w:pStyle w:val="BodyText"/>
        <w:spacing w:line="232" w:lineRule="auto"/>
        <w:ind w:left="3023" w:right="2975"/>
      </w:pPr>
      <w:r>
        <w:t>NOTE: Numbers of schools are rounded to nearest ten. Detail may not sum to totals due to rounding. SOURCE:</w:t>
      </w:r>
      <w:r>
        <w:rPr>
          <w:spacing w:val="-9"/>
        </w:rPr>
        <w:t xml:space="preserve"> </w:t>
      </w:r>
      <w:r>
        <w:t>U.S.</w:t>
      </w:r>
      <w:r>
        <w:rPr>
          <w:spacing w:val="-9"/>
        </w:rPr>
        <w:t xml:space="preserve"> </w:t>
      </w:r>
      <w:r>
        <w:t>Department</w:t>
      </w:r>
      <w:r>
        <w:rPr>
          <w:spacing w:val="-9"/>
        </w:rPr>
        <w:t xml:space="preserve"> </w:t>
      </w:r>
      <w:r>
        <w:t>of</w:t>
      </w:r>
      <w:r>
        <w:rPr>
          <w:spacing w:val="-9"/>
        </w:rPr>
        <w:t xml:space="preserve"> </w:t>
      </w:r>
      <w:r>
        <w:t>Education,</w:t>
      </w:r>
      <w:r>
        <w:rPr>
          <w:spacing w:val="-9"/>
        </w:rPr>
        <w:t xml:space="preserve"> </w:t>
      </w:r>
      <w:r>
        <w:t>Institute</w:t>
      </w:r>
      <w:r>
        <w:rPr>
          <w:spacing w:val="-9"/>
        </w:rPr>
        <w:t xml:space="preserve"> </w:t>
      </w:r>
      <w:r>
        <w:t>of</w:t>
      </w:r>
      <w:r>
        <w:rPr>
          <w:spacing w:val="-9"/>
        </w:rPr>
        <w:t xml:space="preserve"> </w:t>
      </w:r>
      <w:r>
        <w:t>Education</w:t>
      </w:r>
      <w:r>
        <w:rPr>
          <w:spacing w:val="-9"/>
        </w:rPr>
        <w:t xml:space="preserve"> </w:t>
      </w:r>
      <w:r>
        <w:t>Sciences,</w:t>
      </w:r>
      <w:r>
        <w:rPr>
          <w:spacing w:val="-9"/>
        </w:rPr>
        <w:t xml:space="preserve"> </w:t>
      </w:r>
      <w:r>
        <w:t>National</w:t>
      </w:r>
      <w:r>
        <w:rPr>
          <w:spacing w:val="-9"/>
        </w:rPr>
        <w:t xml:space="preserve"> </w:t>
      </w:r>
      <w:r>
        <w:t>Center</w:t>
      </w:r>
      <w:r>
        <w:rPr>
          <w:spacing w:val="-9"/>
        </w:rPr>
        <w:t xml:space="preserve"> </w:t>
      </w:r>
      <w:r>
        <w:t>for</w:t>
      </w:r>
      <w:r>
        <w:rPr>
          <w:spacing w:val="-9"/>
        </w:rPr>
        <w:t xml:space="preserve"> </w:t>
      </w:r>
      <w:r>
        <w:t>Education Statistics,</w:t>
      </w:r>
      <w:r>
        <w:rPr>
          <w:spacing w:val="-3"/>
        </w:rPr>
        <w:t xml:space="preserve"> </w:t>
      </w:r>
      <w:r>
        <w:t>National</w:t>
      </w:r>
      <w:r>
        <w:rPr>
          <w:spacing w:val="-14"/>
        </w:rPr>
        <w:t xml:space="preserve"> </w:t>
      </w:r>
      <w:r>
        <w:t>Assessment</w:t>
      </w:r>
      <w:r>
        <w:rPr>
          <w:spacing w:val="-2"/>
        </w:rPr>
        <w:t xml:space="preserve"> </w:t>
      </w:r>
      <w:r>
        <w:t>of</w:t>
      </w:r>
      <w:r>
        <w:rPr>
          <w:spacing w:val="-3"/>
        </w:rPr>
        <w:t xml:space="preserve"> </w:t>
      </w:r>
      <w:r>
        <w:t>Educational</w:t>
      </w:r>
      <w:r>
        <w:rPr>
          <w:spacing w:val="-3"/>
        </w:rPr>
        <w:t xml:space="preserve"> </w:t>
      </w:r>
      <w:r>
        <w:t>Progress</w:t>
      </w:r>
      <w:r>
        <w:rPr>
          <w:spacing w:val="-3"/>
        </w:rPr>
        <w:t xml:space="preserve"> </w:t>
      </w:r>
      <w:r>
        <w:t>(NAEP),</w:t>
      </w:r>
      <w:r>
        <w:rPr>
          <w:spacing w:val="-3"/>
        </w:rPr>
        <w:t xml:space="preserve"> </w:t>
      </w:r>
      <w:r>
        <w:t>2022</w:t>
      </w:r>
      <w:r>
        <w:rPr>
          <w:spacing w:val="-3"/>
        </w:rPr>
        <w:t xml:space="preserve"> </w:t>
      </w:r>
      <w:r>
        <w:t>National</w:t>
      </w:r>
      <w:r>
        <w:rPr>
          <w:spacing w:val="-3"/>
        </w:rPr>
        <w:t xml:space="preserve"> </w:t>
      </w:r>
      <w:r>
        <w:t>Civics</w:t>
      </w:r>
      <w:r>
        <w:rPr>
          <w:spacing w:val="-3"/>
        </w:rPr>
        <w:t xml:space="preserve"> </w:t>
      </w:r>
      <w:r>
        <w:t>and</w:t>
      </w:r>
      <w:r>
        <w:rPr>
          <w:spacing w:val="-3"/>
        </w:rPr>
        <w:t xml:space="preserve"> </w:t>
      </w:r>
      <w:r>
        <w:t>U.S.</w:t>
      </w:r>
      <w:r>
        <w:rPr>
          <w:spacing w:val="-3"/>
        </w:rPr>
        <w:t xml:space="preserve"> </w:t>
      </w:r>
      <w:r>
        <w:t xml:space="preserve">History </w:t>
      </w:r>
      <w:r>
        <w:rPr>
          <w:spacing w:val="-2"/>
        </w:rPr>
        <w:t>Assessments.</w:t>
      </w:r>
    </w:p>
    <w:p w:rsidR="003F5784" w14:paraId="789E3B26" w14:textId="77777777">
      <w:pPr>
        <w:pStyle w:val="BodyText"/>
      </w:pPr>
    </w:p>
    <w:p w:rsidR="003F5784" w14:paraId="6950286C" w14:textId="77777777">
      <w:pPr>
        <w:pStyle w:val="BodyText"/>
        <w:spacing w:before="205"/>
      </w:pPr>
    </w:p>
    <w:p w:rsidR="003F5784" w14:paraId="432BAEBF" w14:textId="77777777">
      <w:pPr>
        <w:spacing w:before="1"/>
        <w:ind w:left="404"/>
        <w:rPr>
          <w:sz w:val="18"/>
        </w:rPr>
      </w:pPr>
      <w:hyperlink r:id="rId66">
        <w:r>
          <w:rPr>
            <w:spacing w:val="-2"/>
            <w:w w:val="105"/>
            <w:sz w:val="18"/>
          </w:rPr>
          <w:t>http://nces.ed.gov/nationsreportcard/tdw/sample_design/2022/school_samp_ccd_based_and_new_sch_samp_frames_for_the_2022_8th_gr_pub_sch_nat_assess_in_civics_and_us_history.aspx</w:t>
        </w:r>
      </w:hyperlink>
    </w:p>
    <w:p w:rsidR="003F5784" w14:paraId="7DDBA45C" w14:textId="77777777">
      <w:pPr>
        <w:pStyle w:val="BodyText"/>
        <w:rPr>
          <w:sz w:val="16"/>
        </w:rPr>
      </w:pPr>
      <w:r>
        <w:rPr>
          <w:noProof/>
        </w:rPr>
        <mc:AlternateContent>
          <mc:Choice Requires="wps">
            <w:drawing>
              <wp:anchor distT="0" distB="0" distL="0" distR="0" simplePos="0" relativeHeight="251780096" behindDoc="1" locked="0" layoutInCell="1" allowOverlap="1">
                <wp:simplePos x="0" y="0"/>
                <wp:positionH relativeFrom="page">
                  <wp:posOffset>361937</wp:posOffset>
                </wp:positionH>
                <wp:positionV relativeFrom="paragraph">
                  <wp:posOffset>132489</wp:posOffset>
                </wp:positionV>
                <wp:extent cx="9339580" cy="8890"/>
                <wp:effectExtent l="0" t="0" r="0" b="0"/>
                <wp:wrapTopAndBottom/>
                <wp:docPr id="85" name="Graphic 85"/>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85" o:spid="_x0000_s1061" style="width:735.4pt;height:0.7pt;margin-top:10.45pt;margin-left:28.5pt;mso-position-horizontal-relative:page;mso-wrap-distance-bottom:0;mso-wrap-distance-left:0;mso-wrap-distance-right:0;mso-wrap-distance-top:0;mso-wrap-style:square;position:absolute;visibility:visible;v-text-anchor:top;z-index:-251535360" coordsize="9339580,8890" path="m9338970,l9335110,l8280,,,,,8267l9335110,8280l9338970,8280l9338970,xe" fillcolor="gray" stroked="f">
                <v:path arrowok="t"/>
                <w10:wrap type="topAndBottom"/>
              </v:shape>
            </w:pict>
          </mc:Fallback>
        </mc:AlternateContent>
      </w:r>
    </w:p>
    <w:p w:rsidR="003F5784" w14:paraId="6E3D487E" w14:textId="77777777">
      <w:pPr>
        <w:pStyle w:val="BodyText"/>
        <w:rPr>
          <w:sz w:val="18"/>
        </w:rPr>
      </w:pPr>
    </w:p>
    <w:p w:rsidR="003F5784" w14:paraId="4012F958" w14:textId="77777777">
      <w:pPr>
        <w:pStyle w:val="BodyText"/>
        <w:spacing w:before="193"/>
        <w:rPr>
          <w:sz w:val="18"/>
        </w:rPr>
      </w:pPr>
    </w:p>
    <w:p w:rsidR="003F5784" w14:paraId="32F46A47" w14:textId="4828A092">
      <w:pPr>
        <w:pStyle w:val="Heading1"/>
        <w:spacing w:line="244" w:lineRule="auto"/>
        <w:ind w:right="1264"/>
      </w:pPr>
      <w:r>
        <w:t>NAEP</w:t>
      </w:r>
      <w:r>
        <w:rPr>
          <w:spacing w:val="-16"/>
        </w:rPr>
        <w:t xml:space="preserve"> </w:t>
      </w:r>
      <w:r>
        <w:t>Technical Documentation</w:t>
      </w:r>
      <w:r w:rsidR="001057CE">
        <w:t xml:space="preserve"> </w:t>
      </w:r>
      <w:r>
        <w:t>Stratification of Schools for the 2022 Eighth- Grade Public School National Assessment in Civics and U.S. History</w:t>
      </w:r>
    </w:p>
    <w:p w:rsidR="003F5784" w14:paraId="659E004E" w14:textId="77777777">
      <w:pPr>
        <w:pStyle w:val="BodyText"/>
        <w:spacing w:before="287" w:line="232" w:lineRule="auto"/>
        <w:ind w:left="109"/>
      </w:pPr>
      <w:r>
        <w:t>The</w:t>
      </w:r>
      <w:r>
        <w:rPr>
          <w:spacing w:val="-6"/>
        </w:rPr>
        <w:t xml:space="preserve"> </w:t>
      </w:r>
      <w:r>
        <w:t>purpose</w:t>
      </w:r>
      <w:r>
        <w:rPr>
          <w:spacing w:val="-6"/>
        </w:rPr>
        <w:t xml:space="preserve"> </w:t>
      </w:r>
      <w:r>
        <w:t>of</w:t>
      </w:r>
      <w:r>
        <w:rPr>
          <w:spacing w:val="-6"/>
        </w:rPr>
        <w:t xml:space="preserve"> </w:t>
      </w:r>
      <w:r>
        <w:t>school</w:t>
      </w:r>
      <w:r>
        <w:rPr>
          <w:spacing w:val="-6"/>
        </w:rPr>
        <w:t xml:space="preserve"> </w:t>
      </w:r>
      <w:r>
        <w:rPr>
          <w:color w:val="0066CC"/>
        </w:rPr>
        <w:t>stratification</w:t>
      </w:r>
      <w:r>
        <w:rPr>
          <w:color w:val="0066CC"/>
          <w:spacing w:val="-6"/>
        </w:rPr>
        <w:t xml:space="preserve"> </w:t>
      </w:r>
      <w:r>
        <w:t>is</w:t>
      </w:r>
      <w:r>
        <w:rPr>
          <w:spacing w:val="-6"/>
        </w:rPr>
        <w:t xml:space="preserve"> </w:t>
      </w:r>
      <w:r>
        <w:t>to</w:t>
      </w:r>
      <w:r>
        <w:rPr>
          <w:spacing w:val="-6"/>
        </w:rPr>
        <w:t xml:space="preserve"> </w:t>
      </w:r>
      <w:r>
        <w:t>increase</w:t>
      </w:r>
      <w:r>
        <w:rPr>
          <w:spacing w:val="-6"/>
        </w:rPr>
        <w:t xml:space="preserve"> </w:t>
      </w:r>
      <w:r>
        <w:t>the</w:t>
      </w:r>
      <w:r>
        <w:rPr>
          <w:spacing w:val="-6"/>
        </w:rPr>
        <w:t xml:space="preserve"> </w:t>
      </w:r>
      <w:r>
        <w:t>efficiency</w:t>
      </w:r>
      <w:r>
        <w:rPr>
          <w:spacing w:val="-6"/>
        </w:rPr>
        <w:t xml:space="preserve"> </w:t>
      </w:r>
      <w:r>
        <w:t>and</w:t>
      </w:r>
      <w:r>
        <w:rPr>
          <w:spacing w:val="-6"/>
        </w:rPr>
        <w:t xml:space="preserve"> </w:t>
      </w:r>
      <w:r>
        <w:t>ensure</w:t>
      </w:r>
      <w:r>
        <w:rPr>
          <w:spacing w:val="-6"/>
        </w:rPr>
        <w:t xml:space="preserve"> </w:t>
      </w:r>
      <w:r>
        <w:t>the</w:t>
      </w:r>
      <w:r>
        <w:rPr>
          <w:spacing w:val="-6"/>
        </w:rPr>
        <w:t xml:space="preserve"> </w:t>
      </w:r>
      <w:r>
        <w:t>representativeness</w:t>
      </w:r>
      <w:r>
        <w:rPr>
          <w:spacing w:val="-6"/>
        </w:rPr>
        <w:t xml:space="preserve"> </w:t>
      </w:r>
      <w:r>
        <w:t>of</w:t>
      </w:r>
      <w:r>
        <w:rPr>
          <w:spacing w:val="-6"/>
        </w:rPr>
        <w:t xml:space="preserve"> </w:t>
      </w:r>
      <w:r>
        <w:t>school</w:t>
      </w:r>
      <w:r>
        <w:rPr>
          <w:spacing w:val="-6"/>
        </w:rPr>
        <w:t xml:space="preserve"> </w:t>
      </w:r>
      <w:r>
        <w:t>samples</w:t>
      </w:r>
      <w:r>
        <w:rPr>
          <w:spacing w:val="-6"/>
        </w:rPr>
        <w:t xml:space="preserve"> </w:t>
      </w:r>
      <w:r>
        <w:t>in</w:t>
      </w:r>
      <w:r>
        <w:rPr>
          <w:spacing w:val="-6"/>
        </w:rPr>
        <w:t xml:space="preserve"> </w:t>
      </w:r>
      <w:r>
        <w:t>terms</w:t>
      </w:r>
      <w:r>
        <w:rPr>
          <w:spacing w:val="-6"/>
        </w:rPr>
        <w:t xml:space="preserve"> </w:t>
      </w:r>
      <w:r>
        <w:t>of</w:t>
      </w:r>
      <w:r>
        <w:rPr>
          <w:spacing w:val="-6"/>
        </w:rPr>
        <w:t xml:space="preserve"> </w:t>
      </w:r>
      <w:r>
        <w:t>important</w:t>
      </w:r>
      <w:r>
        <w:rPr>
          <w:spacing w:val="-6"/>
        </w:rPr>
        <w:t xml:space="preserve"> </w:t>
      </w:r>
      <w:r>
        <w:t>school-level</w:t>
      </w:r>
      <w:r>
        <w:rPr>
          <w:spacing w:val="-6"/>
        </w:rPr>
        <w:t xml:space="preserve"> </w:t>
      </w:r>
      <w:r>
        <w:t>characteristics,</w:t>
      </w:r>
      <w:r>
        <w:rPr>
          <w:spacing w:val="-6"/>
        </w:rPr>
        <w:t xml:space="preserve"> </w:t>
      </w:r>
      <w:r>
        <w:t>such</w:t>
      </w:r>
      <w:r>
        <w:rPr>
          <w:spacing w:val="-6"/>
        </w:rPr>
        <w:t xml:space="preserve"> </w:t>
      </w:r>
      <w:r>
        <w:t>as geography (e.g., census division), urbanicity, and race/ethnicity composition. NAEP</w:t>
      </w:r>
      <w:r>
        <w:rPr>
          <w:spacing w:val="-7"/>
        </w:rPr>
        <w:t xml:space="preserve"> </w:t>
      </w:r>
      <w:r>
        <w:t>school sampling utilizes two types of stratification: explicit and implicit.</w:t>
      </w:r>
    </w:p>
    <w:p w:rsidR="003F5784" w14:paraId="797E9A5B" w14:textId="77777777">
      <w:pPr>
        <w:pStyle w:val="BodyText"/>
        <w:spacing w:before="209" w:line="232" w:lineRule="auto"/>
        <w:ind w:left="109"/>
      </w:pPr>
      <w:r>
        <w:rPr>
          <w:color w:val="0066CC"/>
        </w:rPr>
        <w:t>Explicit</w:t>
      </w:r>
      <w:r>
        <w:rPr>
          <w:color w:val="0066CC"/>
          <w:spacing w:val="-7"/>
        </w:rPr>
        <w:t xml:space="preserve"> </w:t>
      </w:r>
      <w:r>
        <w:rPr>
          <w:color w:val="0066CC"/>
        </w:rPr>
        <w:t>stratification</w:t>
      </w:r>
      <w:r>
        <w:rPr>
          <w:color w:val="0066CC"/>
          <w:spacing w:val="-7"/>
        </w:rPr>
        <w:t xml:space="preserve"> </w:t>
      </w:r>
      <w:r>
        <w:t>partitions</w:t>
      </w:r>
      <w:r>
        <w:rPr>
          <w:spacing w:val="-7"/>
        </w:rPr>
        <w:t xml:space="preserve"> </w:t>
      </w:r>
      <w:r>
        <w:t>the</w:t>
      </w:r>
      <w:r>
        <w:rPr>
          <w:spacing w:val="-7"/>
        </w:rPr>
        <w:t xml:space="preserve"> </w:t>
      </w:r>
      <w:r>
        <w:t>sampling</w:t>
      </w:r>
      <w:r>
        <w:rPr>
          <w:spacing w:val="-7"/>
        </w:rPr>
        <w:t xml:space="preserve"> </w:t>
      </w:r>
      <w:r>
        <w:t>frame</w:t>
      </w:r>
      <w:r>
        <w:rPr>
          <w:spacing w:val="-7"/>
        </w:rPr>
        <w:t xml:space="preserve"> </w:t>
      </w:r>
      <w:r>
        <w:t>into</w:t>
      </w:r>
      <w:r>
        <w:rPr>
          <w:spacing w:val="-7"/>
        </w:rPr>
        <w:t xml:space="preserve"> </w:t>
      </w:r>
      <w:r>
        <w:t>mutually</w:t>
      </w:r>
      <w:r>
        <w:rPr>
          <w:spacing w:val="-7"/>
        </w:rPr>
        <w:t xml:space="preserve"> </w:t>
      </w:r>
      <w:r>
        <w:t>exclusive</w:t>
      </w:r>
      <w:r>
        <w:rPr>
          <w:spacing w:val="-7"/>
        </w:rPr>
        <w:t xml:space="preserve"> </w:t>
      </w:r>
      <w:r>
        <w:t>groupings</w:t>
      </w:r>
      <w:r>
        <w:rPr>
          <w:spacing w:val="-7"/>
        </w:rPr>
        <w:t xml:space="preserve"> </w:t>
      </w:r>
      <w:r>
        <w:t>called</w:t>
      </w:r>
      <w:r>
        <w:rPr>
          <w:spacing w:val="-7"/>
        </w:rPr>
        <w:t xml:space="preserve"> </w:t>
      </w:r>
      <w:r>
        <w:t>strata.</w:t>
      </w:r>
      <w:r>
        <w:rPr>
          <w:spacing w:val="-11"/>
        </w:rPr>
        <w:t xml:space="preserve"> </w:t>
      </w:r>
      <w:r>
        <w:t>The</w:t>
      </w:r>
      <w:r>
        <w:rPr>
          <w:spacing w:val="-7"/>
        </w:rPr>
        <w:t xml:space="preserve"> </w:t>
      </w:r>
      <w:r>
        <w:t>systematic</w:t>
      </w:r>
      <w:r>
        <w:rPr>
          <w:spacing w:val="-7"/>
        </w:rPr>
        <w:t xml:space="preserve"> </w:t>
      </w:r>
      <w:r>
        <w:t>samples</w:t>
      </w:r>
      <w:r>
        <w:rPr>
          <w:spacing w:val="-7"/>
        </w:rPr>
        <w:t xml:space="preserve"> </w:t>
      </w:r>
      <w:r>
        <w:t>selected</w:t>
      </w:r>
      <w:r>
        <w:rPr>
          <w:spacing w:val="-7"/>
        </w:rPr>
        <w:t xml:space="preserve"> </w:t>
      </w:r>
      <w:r>
        <w:t>from</w:t>
      </w:r>
      <w:r>
        <w:rPr>
          <w:spacing w:val="-7"/>
        </w:rPr>
        <w:t xml:space="preserve"> </w:t>
      </w:r>
      <w:r>
        <w:t>these</w:t>
      </w:r>
      <w:r>
        <w:rPr>
          <w:spacing w:val="-7"/>
        </w:rPr>
        <w:t xml:space="preserve"> </w:t>
      </w:r>
      <w:r>
        <w:t>strata</w:t>
      </w:r>
      <w:r>
        <w:rPr>
          <w:spacing w:val="-7"/>
        </w:rPr>
        <w:t xml:space="preserve"> </w:t>
      </w:r>
      <w:r>
        <w:t>are</w:t>
      </w:r>
      <w:r>
        <w:rPr>
          <w:spacing w:val="-7"/>
        </w:rPr>
        <w:t xml:space="preserve"> </w:t>
      </w:r>
      <w:r>
        <w:t>independent,</w:t>
      </w:r>
      <w:r>
        <w:rPr>
          <w:spacing w:val="-7"/>
        </w:rPr>
        <w:t xml:space="preserve"> </w:t>
      </w:r>
      <w:r>
        <w:t>meaning that each sample is selected with its own unique random start.</w:t>
      </w:r>
    </w:p>
    <w:p w:rsidR="003F5784" w14:paraId="08F49617" w14:textId="77777777">
      <w:pPr>
        <w:pStyle w:val="BodyText"/>
        <w:spacing w:before="209" w:line="232" w:lineRule="auto"/>
        <w:ind w:left="109"/>
      </w:pPr>
      <w:r>
        <w:t>Implicit</w:t>
      </w:r>
      <w:r>
        <w:rPr>
          <w:spacing w:val="-7"/>
        </w:rPr>
        <w:t xml:space="preserve"> </w:t>
      </w:r>
      <w:r>
        <w:t>stratification</w:t>
      </w:r>
      <w:r>
        <w:rPr>
          <w:spacing w:val="-7"/>
        </w:rPr>
        <w:t xml:space="preserve"> </w:t>
      </w:r>
      <w:r>
        <w:t>involves</w:t>
      </w:r>
      <w:r>
        <w:rPr>
          <w:spacing w:val="-7"/>
        </w:rPr>
        <w:t xml:space="preserve"> </w:t>
      </w:r>
      <w:r>
        <w:t>sorting</w:t>
      </w:r>
      <w:r>
        <w:rPr>
          <w:spacing w:val="-7"/>
        </w:rPr>
        <w:t xml:space="preserve"> </w:t>
      </w:r>
      <w:r>
        <w:t>the</w:t>
      </w:r>
      <w:r>
        <w:rPr>
          <w:spacing w:val="-7"/>
        </w:rPr>
        <w:t xml:space="preserve"> </w:t>
      </w:r>
      <w:r>
        <w:t>sampling</w:t>
      </w:r>
      <w:r>
        <w:rPr>
          <w:spacing w:val="-7"/>
        </w:rPr>
        <w:t xml:space="preserve"> </w:t>
      </w:r>
      <w:r>
        <w:t>frame,</w:t>
      </w:r>
      <w:r>
        <w:rPr>
          <w:spacing w:val="-7"/>
        </w:rPr>
        <w:t xml:space="preserve"> </w:t>
      </w:r>
      <w:r>
        <w:t>as</w:t>
      </w:r>
      <w:r>
        <w:rPr>
          <w:spacing w:val="-7"/>
        </w:rPr>
        <w:t xml:space="preserve"> </w:t>
      </w:r>
      <w:r>
        <w:t>opposed</w:t>
      </w:r>
      <w:r>
        <w:rPr>
          <w:spacing w:val="-7"/>
        </w:rPr>
        <w:t xml:space="preserve"> </w:t>
      </w:r>
      <w:r>
        <w:t>to</w:t>
      </w:r>
      <w:r>
        <w:rPr>
          <w:spacing w:val="-7"/>
        </w:rPr>
        <w:t xml:space="preserve"> </w:t>
      </w:r>
      <w:r>
        <w:t>grouping</w:t>
      </w:r>
      <w:r>
        <w:rPr>
          <w:spacing w:val="-7"/>
        </w:rPr>
        <w:t xml:space="preserve"> </w:t>
      </w:r>
      <w:r>
        <w:t>the</w:t>
      </w:r>
      <w:r>
        <w:rPr>
          <w:spacing w:val="-7"/>
        </w:rPr>
        <w:t xml:space="preserve"> </w:t>
      </w:r>
      <w:r>
        <w:t>frame.</w:t>
      </w:r>
      <w:r>
        <w:rPr>
          <w:spacing w:val="-7"/>
        </w:rPr>
        <w:t xml:space="preserve"> </w:t>
      </w:r>
      <w:r>
        <w:t>For</w:t>
      </w:r>
      <w:r>
        <w:rPr>
          <w:spacing w:val="-7"/>
        </w:rPr>
        <w:t xml:space="preserve"> </w:t>
      </w:r>
      <w:r>
        <w:t>NAEP,</w:t>
      </w:r>
      <w:r>
        <w:rPr>
          <w:spacing w:val="-7"/>
        </w:rPr>
        <w:t xml:space="preserve"> </w:t>
      </w:r>
      <w:r>
        <w:t>schools</w:t>
      </w:r>
      <w:r>
        <w:rPr>
          <w:spacing w:val="-7"/>
        </w:rPr>
        <w:t xml:space="preserve"> </w:t>
      </w:r>
      <w:r>
        <w:t>are</w:t>
      </w:r>
      <w:r>
        <w:rPr>
          <w:spacing w:val="-7"/>
        </w:rPr>
        <w:t xml:space="preserve"> </w:t>
      </w:r>
      <w:r>
        <w:t>sorted</w:t>
      </w:r>
      <w:r>
        <w:rPr>
          <w:spacing w:val="-7"/>
        </w:rPr>
        <w:t xml:space="preserve"> </w:t>
      </w:r>
      <w:r>
        <w:t>in</w:t>
      </w:r>
      <w:r>
        <w:rPr>
          <w:spacing w:val="-7"/>
        </w:rPr>
        <w:t xml:space="preserve"> </w:t>
      </w:r>
      <w:r>
        <w:t>serpentine</w:t>
      </w:r>
      <w:r>
        <w:rPr>
          <w:spacing w:val="-7"/>
        </w:rPr>
        <w:t xml:space="preserve"> </w:t>
      </w:r>
      <w:r>
        <w:t>fashion</w:t>
      </w:r>
      <w:r>
        <w:rPr>
          <w:spacing w:val="-7"/>
        </w:rPr>
        <w:t xml:space="preserve"> </w:t>
      </w:r>
      <w:r>
        <w:t>by</w:t>
      </w:r>
      <w:r>
        <w:rPr>
          <w:spacing w:val="-7"/>
        </w:rPr>
        <w:t xml:space="preserve"> </w:t>
      </w:r>
      <w:r>
        <w:t>key</w:t>
      </w:r>
      <w:r>
        <w:rPr>
          <w:spacing w:val="-7"/>
        </w:rPr>
        <w:t xml:space="preserve"> </w:t>
      </w:r>
      <w:r>
        <w:t>school</w:t>
      </w:r>
      <w:r>
        <w:rPr>
          <w:spacing w:val="-7"/>
        </w:rPr>
        <w:t xml:space="preserve"> </w:t>
      </w:r>
      <w:r>
        <w:t>characteristics within</w:t>
      </w:r>
      <w:r>
        <w:rPr>
          <w:spacing w:val="-1"/>
        </w:rPr>
        <w:t xml:space="preserve"> </w:t>
      </w:r>
      <w:r>
        <w:t>sampling</w:t>
      </w:r>
      <w:r>
        <w:rPr>
          <w:spacing w:val="-1"/>
        </w:rPr>
        <w:t xml:space="preserve"> </w:t>
      </w:r>
      <w:r>
        <w:t>strata</w:t>
      </w:r>
      <w:r>
        <w:rPr>
          <w:spacing w:val="-1"/>
        </w:rPr>
        <w:t xml:space="preserve"> </w:t>
      </w:r>
      <w:r>
        <w:t>and</w:t>
      </w:r>
      <w:r>
        <w:rPr>
          <w:spacing w:val="-1"/>
        </w:rPr>
        <w:t xml:space="preserve"> </w:t>
      </w:r>
      <w:r>
        <w:t>sampled</w:t>
      </w:r>
      <w:r>
        <w:rPr>
          <w:spacing w:val="-1"/>
        </w:rPr>
        <w:t xml:space="preserve"> </w:t>
      </w:r>
      <w:r>
        <w:t>systematically</w:t>
      </w:r>
      <w:r>
        <w:rPr>
          <w:spacing w:val="-1"/>
        </w:rPr>
        <w:t xml:space="preserve"> </w:t>
      </w:r>
      <w:r>
        <w:t>using</w:t>
      </w:r>
      <w:r>
        <w:rPr>
          <w:spacing w:val="-1"/>
        </w:rPr>
        <w:t xml:space="preserve"> </w:t>
      </w:r>
      <w:r>
        <w:t>this</w:t>
      </w:r>
      <w:r>
        <w:rPr>
          <w:spacing w:val="-1"/>
        </w:rPr>
        <w:t xml:space="preserve"> </w:t>
      </w:r>
      <w:r>
        <w:t>ordering.</w:t>
      </w:r>
      <w:r>
        <w:rPr>
          <w:spacing w:val="-5"/>
        </w:rPr>
        <w:t xml:space="preserve"> </w:t>
      </w:r>
      <w:r>
        <w:t>This</w:t>
      </w:r>
      <w:r>
        <w:rPr>
          <w:spacing w:val="-1"/>
        </w:rPr>
        <w:t xml:space="preserve"> </w:t>
      </w:r>
      <w:r>
        <w:t>type</w:t>
      </w:r>
      <w:r>
        <w:rPr>
          <w:spacing w:val="-1"/>
        </w:rPr>
        <w:t xml:space="preserve"> </w:t>
      </w:r>
      <w:r>
        <w:t>of</w:t>
      </w:r>
      <w:r>
        <w:rPr>
          <w:spacing w:val="-1"/>
        </w:rPr>
        <w:t xml:space="preserve"> </w:t>
      </w:r>
      <w:r>
        <w:t>stratification</w:t>
      </w:r>
      <w:r>
        <w:rPr>
          <w:spacing w:val="-1"/>
        </w:rPr>
        <w:t xml:space="preserve"> </w:t>
      </w:r>
      <w:r>
        <w:t>ensures</w:t>
      </w:r>
      <w:r>
        <w:rPr>
          <w:spacing w:val="-1"/>
        </w:rPr>
        <w:t xml:space="preserve"> </w:t>
      </w:r>
      <w:r>
        <w:t>the</w:t>
      </w:r>
      <w:r>
        <w:rPr>
          <w:spacing w:val="-1"/>
        </w:rPr>
        <w:t xml:space="preserve"> </w:t>
      </w:r>
      <w:r>
        <w:t>representativeness</w:t>
      </w:r>
      <w:r>
        <w:rPr>
          <w:spacing w:val="-1"/>
        </w:rPr>
        <w:t xml:space="preserve"> </w:t>
      </w:r>
      <w:r>
        <w:t>of</w:t>
      </w:r>
      <w:r>
        <w:rPr>
          <w:spacing w:val="-1"/>
        </w:rPr>
        <w:t xml:space="preserve"> </w:t>
      </w:r>
      <w:r>
        <w:t>the</w:t>
      </w:r>
      <w:r>
        <w:rPr>
          <w:spacing w:val="-1"/>
        </w:rPr>
        <w:t xml:space="preserve"> </w:t>
      </w:r>
      <w:r>
        <w:t>school</w:t>
      </w:r>
      <w:r>
        <w:rPr>
          <w:spacing w:val="-1"/>
        </w:rPr>
        <w:t xml:space="preserve"> </w:t>
      </w:r>
      <w:r>
        <w:t>samples</w:t>
      </w:r>
      <w:r>
        <w:rPr>
          <w:spacing w:val="-1"/>
        </w:rPr>
        <w:t xml:space="preserve"> </w:t>
      </w:r>
      <w:r>
        <w:t>with</w:t>
      </w:r>
      <w:r>
        <w:rPr>
          <w:spacing w:val="-1"/>
        </w:rPr>
        <w:t xml:space="preserve"> </w:t>
      </w:r>
      <w:r>
        <w:t>respect</w:t>
      </w:r>
      <w:r>
        <w:rPr>
          <w:spacing w:val="-1"/>
        </w:rPr>
        <w:t xml:space="preserve"> </w:t>
      </w:r>
      <w:r>
        <w:t>to</w:t>
      </w:r>
      <w:r>
        <w:rPr>
          <w:spacing w:val="-1"/>
        </w:rPr>
        <w:t xml:space="preserve"> </w:t>
      </w:r>
      <w:r>
        <w:t>the</w:t>
      </w:r>
      <w:r>
        <w:rPr>
          <w:spacing w:val="-1"/>
        </w:rPr>
        <w:t xml:space="preserve"> </w:t>
      </w:r>
      <w:r>
        <w:t>key school characteristics.</w:t>
      </w:r>
    </w:p>
    <w:p w:rsidR="003F5784" w14:paraId="2A2E9BBE" w14:textId="77777777">
      <w:pPr>
        <w:pStyle w:val="BodyText"/>
        <w:spacing w:before="210" w:line="232" w:lineRule="auto"/>
        <w:ind w:left="109"/>
      </w:pPr>
      <w:r>
        <w:t>The</w:t>
      </w:r>
      <w:r>
        <w:rPr>
          <w:spacing w:val="-6"/>
        </w:rPr>
        <w:t xml:space="preserve"> </w:t>
      </w:r>
      <w:r>
        <w:t>sampling</w:t>
      </w:r>
      <w:r>
        <w:rPr>
          <w:spacing w:val="-6"/>
        </w:rPr>
        <w:t xml:space="preserve"> </w:t>
      </w:r>
      <w:r>
        <w:t>of</w:t>
      </w:r>
      <w:r>
        <w:rPr>
          <w:spacing w:val="-6"/>
        </w:rPr>
        <w:t xml:space="preserve"> </w:t>
      </w:r>
      <w:r>
        <w:t>public</w:t>
      </w:r>
      <w:r>
        <w:rPr>
          <w:spacing w:val="-6"/>
        </w:rPr>
        <w:t xml:space="preserve"> </w:t>
      </w:r>
      <w:r>
        <w:t>schools</w:t>
      </w:r>
      <w:r>
        <w:rPr>
          <w:spacing w:val="-6"/>
        </w:rPr>
        <w:t xml:space="preserve"> </w:t>
      </w:r>
      <w:r>
        <w:t>for</w:t>
      </w:r>
      <w:r>
        <w:rPr>
          <w:spacing w:val="-6"/>
        </w:rPr>
        <w:t xml:space="preserve"> </w:t>
      </w:r>
      <w:r>
        <w:t>the</w:t>
      </w:r>
      <w:r>
        <w:rPr>
          <w:spacing w:val="-6"/>
        </w:rPr>
        <w:t xml:space="preserve"> </w:t>
      </w:r>
      <w:r>
        <w:t>grade</w:t>
      </w:r>
      <w:r>
        <w:rPr>
          <w:spacing w:val="-6"/>
        </w:rPr>
        <w:t xml:space="preserve"> </w:t>
      </w:r>
      <w:r>
        <w:t>8</w:t>
      </w:r>
      <w:r>
        <w:rPr>
          <w:spacing w:val="-6"/>
        </w:rPr>
        <w:t xml:space="preserve"> </w:t>
      </w:r>
      <w:r>
        <w:t>assessments</w:t>
      </w:r>
      <w:r>
        <w:rPr>
          <w:spacing w:val="-6"/>
        </w:rPr>
        <w:t xml:space="preserve"> </w:t>
      </w:r>
      <w:r>
        <w:t>in</w:t>
      </w:r>
      <w:r>
        <w:rPr>
          <w:spacing w:val="-6"/>
        </w:rPr>
        <w:t xml:space="preserve"> </w:t>
      </w:r>
      <w:r>
        <w:t>civics</w:t>
      </w:r>
      <w:r>
        <w:rPr>
          <w:spacing w:val="-6"/>
        </w:rPr>
        <w:t xml:space="preserve"> </w:t>
      </w:r>
      <w:r>
        <w:t>and</w:t>
      </w:r>
      <w:r>
        <w:rPr>
          <w:spacing w:val="-6"/>
        </w:rPr>
        <w:t xml:space="preserve"> </w:t>
      </w:r>
      <w:r>
        <w:t>U.S.</w:t>
      </w:r>
      <w:r>
        <w:rPr>
          <w:spacing w:val="-6"/>
        </w:rPr>
        <w:t xml:space="preserve"> </w:t>
      </w:r>
      <w:r>
        <w:t>history</w:t>
      </w:r>
      <w:r>
        <w:rPr>
          <w:spacing w:val="-6"/>
        </w:rPr>
        <w:t xml:space="preserve"> </w:t>
      </w:r>
      <w:r>
        <w:t>did</w:t>
      </w:r>
      <w:r>
        <w:rPr>
          <w:spacing w:val="-6"/>
        </w:rPr>
        <w:t xml:space="preserve"> </w:t>
      </w:r>
      <w:r>
        <w:t>not</w:t>
      </w:r>
      <w:r>
        <w:rPr>
          <w:spacing w:val="-6"/>
        </w:rPr>
        <w:t xml:space="preserve"> </w:t>
      </w:r>
      <w:r>
        <w:t>involve</w:t>
      </w:r>
      <w:r>
        <w:rPr>
          <w:spacing w:val="-6"/>
        </w:rPr>
        <w:t xml:space="preserve"> </w:t>
      </w:r>
      <w:r>
        <w:t>any</w:t>
      </w:r>
      <w:r>
        <w:rPr>
          <w:spacing w:val="-6"/>
        </w:rPr>
        <w:t xml:space="preserve"> </w:t>
      </w:r>
      <w:r>
        <w:t>explicit</w:t>
      </w:r>
      <w:r>
        <w:rPr>
          <w:spacing w:val="-6"/>
        </w:rPr>
        <w:t xml:space="preserve"> </w:t>
      </w:r>
      <w:r>
        <w:t>stratification,</w:t>
      </w:r>
      <w:r>
        <w:rPr>
          <w:spacing w:val="-6"/>
        </w:rPr>
        <w:t xml:space="preserve"> </w:t>
      </w:r>
      <w:r>
        <w:t>but</w:t>
      </w:r>
      <w:r>
        <w:rPr>
          <w:spacing w:val="-6"/>
        </w:rPr>
        <w:t xml:space="preserve"> </w:t>
      </w:r>
      <w:r>
        <w:t>it</w:t>
      </w:r>
      <w:r>
        <w:rPr>
          <w:spacing w:val="-6"/>
        </w:rPr>
        <w:t xml:space="preserve"> </w:t>
      </w:r>
      <w:r>
        <w:t>involved</w:t>
      </w:r>
      <w:r>
        <w:rPr>
          <w:spacing w:val="-6"/>
        </w:rPr>
        <w:t xml:space="preserve"> </w:t>
      </w:r>
      <w:r>
        <w:t>six</w:t>
      </w:r>
      <w:r>
        <w:rPr>
          <w:spacing w:val="-6"/>
        </w:rPr>
        <w:t xml:space="preserve"> </w:t>
      </w:r>
      <w:r>
        <w:t>dimensions</w:t>
      </w:r>
      <w:r>
        <w:rPr>
          <w:spacing w:val="-6"/>
        </w:rPr>
        <w:t xml:space="preserve"> </w:t>
      </w:r>
      <w:r>
        <w:t>of</w:t>
      </w:r>
      <w:r>
        <w:rPr>
          <w:spacing w:val="-6"/>
        </w:rPr>
        <w:t xml:space="preserve"> </w:t>
      </w:r>
      <w:r>
        <w:t>implicit stratification. The frames were hierarchically sorted by the following in the order shown to create the implicit strata:</w:t>
      </w:r>
    </w:p>
    <w:p w:rsidR="003F5784" w14:paraId="59198204" w14:textId="77777777">
      <w:pPr>
        <w:pStyle w:val="BodyText"/>
        <w:spacing w:before="209" w:line="232" w:lineRule="auto"/>
        <w:ind w:left="422" w:right="9740"/>
      </w:pPr>
      <w:r>
        <w:rPr>
          <w:noProof/>
          <w:position w:val="3"/>
        </w:rPr>
        <w:drawing>
          <wp:inline distT="0" distB="0" distL="0" distR="0">
            <wp:extent cx="41379" cy="41362"/>
            <wp:effectExtent l="0" t="0" r="0" b="0"/>
            <wp:docPr id="86" name="Image 86"/>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xmlns:r="http://schemas.openxmlformats.org/officeDocument/2006/relationships" r:embed="rId67" cstate="print"/>
                    <a:stretch>
                      <a:fillRect/>
                    </a:stretch>
                  </pic:blipFill>
                  <pic:spPr>
                    <a:xfrm>
                      <a:off x="0" y="0"/>
                      <a:ext cx="41379" cy="41362"/>
                    </a:xfrm>
                    <a:prstGeom prst="rect">
                      <a:avLst/>
                    </a:prstGeom>
                  </pic:spPr>
                </pic:pic>
              </a:graphicData>
            </a:graphic>
          </wp:inline>
        </w:drawing>
      </w:r>
      <w:r>
        <w:rPr>
          <w:spacing w:val="66"/>
          <w:sz w:val="20"/>
        </w:rPr>
        <w:t xml:space="preserve"> </w:t>
      </w:r>
      <w:r>
        <w:t>American</w:t>
      </w:r>
      <w:r>
        <w:rPr>
          <w:spacing w:val="-11"/>
        </w:rPr>
        <w:t xml:space="preserve"> </w:t>
      </w:r>
      <w:r>
        <w:t>Indian/Alaska</w:t>
      </w:r>
      <w:r>
        <w:rPr>
          <w:spacing w:val="-11"/>
        </w:rPr>
        <w:t xml:space="preserve"> </w:t>
      </w:r>
      <w:r>
        <w:t>Native</w:t>
      </w:r>
      <w:r>
        <w:rPr>
          <w:spacing w:val="-11"/>
        </w:rPr>
        <w:t xml:space="preserve"> </w:t>
      </w:r>
      <w:r>
        <w:t>(AI/AN)</w:t>
      </w:r>
      <w:r>
        <w:rPr>
          <w:spacing w:val="-11"/>
        </w:rPr>
        <w:t xml:space="preserve"> </w:t>
      </w:r>
      <w:r>
        <w:t xml:space="preserve">composition; </w:t>
      </w:r>
      <w:r>
        <w:rPr>
          <w:noProof/>
          <w:position w:val="3"/>
        </w:rPr>
        <w:drawing>
          <wp:inline distT="0" distB="0" distL="0" distR="0">
            <wp:extent cx="41379" cy="41362"/>
            <wp:effectExtent l="0" t="0" r="0" b="0"/>
            <wp:docPr id="87" name="Image 87"/>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xmlns:r="http://schemas.openxmlformats.org/officeDocument/2006/relationships" r:embed="rId68" cstate="print"/>
                    <a:stretch>
                      <a:fillRect/>
                    </a:stretch>
                  </pic:blipFill>
                  <pic:spPr>
                    <a:xfrm>
                      <a:off x="0" y="0"/>
                      <a:ext cx="41379" cy="41362"/>
                    </a:xfrm>
                    <a:prstGeom prst="rect">
                      <a:avLst/>
                    </a:prstGeom>
                  </pic:spPr>
                </pic:pic>
              </a:graphicData>
            </a:graphic>
          </wp:inline>
        </w:drawing>
      </w:r>
      <w:r>
        <w:rPr>
          <w:spacing w:val="80"/>
        </w:rPr>
        <w:t xml:space="preserve"> </w:t>
      </w:r>
      <w:r>
        <w:t>Census division;</w:t>
      </w:r>
    </w:p>
    <w:p w:rsidR="003F5784" w14:paraId="429DC3EC" w14:textId="77777777">
      <w:pPr>
        <w:pStyle w:val="BodyText"/>
        <w:spacing w:line="233" w:lineRule="exact"/>
        <w:ind w:left="422"/>
      </w:pPr>
      <w:r>
        <w:rPr>
          <w:noProof/>
          <w:position w:val="3"/>
        </w:rPr>
        <w:drawing>
          <wp:inline distT="0" distB="0" distL="0" distR="0">
            <wp:extent cx="41379" cy="41362"/>
            <wp:effectExtent l="0" t="0" r="0" b="0"/>
            <wp:docPr id="88" name="Image 88"/>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xmlns:r="http://schemas.openxmlformats.org/officeDocument/2006/relationships" r:embed="rId69" cstate="print"/>
                    <a:stretch>
                      <a:fillRect/>
                    </a:stretch>
                  </pic:blipFill>
                  <pic:spPr>
                    <a:xfrm>
                      <a:off x="0" y="0"/>
                      <a:ext cx="41379" cy="41362"/>
                    </a:xfrm>
                    <a:prstGeom prst="rect">
                      <a:avLst/>
                    </a:prstGeom>
                  </pic:spPr>
                </pic:pic>
              </a:graphicData>
            </a:graphic>
          </wp:inline>
        </w:drawing>
      </w:r>
      <w:r>
        <w:rPr>
          <w:spacing w:val="80"/>
          <w:sz w:val="20"/>
        </w:rPr>
        <w:t xml:space="preserve"> </w:t>
      </w:r>
      <w:r>
        <w:t>urbanicity status;</w:t>
      </w:r>
    </w:p>
    <w:p w:rsidR="003F5784" w14:paraId="397200DD" w14:textId="77777777">
      <w:pPr>
        <w:pStyle w:val="BodyText"/>
        <w:spacing w:line="235" w:lineRule="exact"/>
        <w:ind w:left="422"/>
      </w:pPr>
      <w:r>
        <w:rPr>
          <w:noProof/>
          <w:position w:val="3"/>
        </w:rPr>
        <w:drawing>
          <wp:inline distT="0" distB="0" distL="0" distR="0">
            <wp:extent cx="41379" cy="41362"/>
            <wp:effectExtent l="0" t="0" r="0" b="0"/>
            <wp:docPr id="89" name="Image 89"/>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xmlns:r="http://schemas.openxmlformats.org/officeDocument/2006/relationships" r:embed="rId70" cstate="print"/>
                    <a:stretch>
                      <a:fillRect/>
                    </a:stretch>
                  </pic:blipFill>
                  <pic:spPr>
                    <a:xfrm>
                      <a:off x="0" y="0"/>
                      <a:ext cx="41379" cy="41362"/>
                    </a:xfrm>
                    <a:prstGeom prst="rect">
                      <a:avLst/>
                    </a:prstGeom>
                  </pic:spPr>
                </pic:pic>
              </a:graphicData>
            </a:graphic>
          </wp:inline>
        </w:drawing>
      </w:r>
      <w:r>
        <w:rPr>
          <w:spacing w:val="80"/>
          <w:sz w:val="20"/>
        </w:rPr>
        <w:t xml:space="preserve"> </w:t>
      </w:r>
      <w:r>
        <w:rPr>
          <w:spacing w:val="-2"/>
        </w:rPr>
        <w:t xml:space="preserve">Black/Hispanic </w:t>
      </w:r>
      <w:r>
        <w:t>composition;</w:t>
      </w:r>
    </w:p>
    <w:p w:rsidR="003F5784" w14:paraId="6597E6BD" w14:textId="77777777">
      <w:pPr>
        <w:pStyle w:val="BodyText"/>
        <w:spacing w:before="3" w:line="232" w:lineRule="auto"/>
        <w:ind w:left="422" w:right="4810"/>
      </w:pPr>
      <w:r>
        <w:rPr>
          <w:noProof/>
          <w:position w:val="3"/>
        </w:rPr>
        <w:drawing>
          <wp:inline distT="0" distB="0" distL="0" distR="0">
            <wp:extent cx="41379" cy="41362"/>
            <wp:effectExtent l="0" t="0" r="0" b="0"/>
            <wp:docPr id="90" name="Image 90"/>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xmlns:r="http://schemas.openxmlformats.org/officeDocument/2006/relationships" r:embed="rId71" cstate="print"/>
                    <a:stretch>
                      <a:fillRect/>
                    </a:stretch>
                  </pic:blipFill>
                  <pic:spPr>
                    <a:xfrm>
                      <a:off x="0" y="0"/>
                      <a:ext cx="41379" cy="41362"/>
                    </a:xfrm>
                    <a:prstGeom prst="rect">
                      <a:avLst/>
                    </a:prstGeom>
                  </pic:spPr>
                </pic:pic>
              </a:graphicData>
            </a:graphic>
          </wp:inline>
        </w:drawing>
      </w:r>
      <w:r>
        <w:rPr>
          <w:spacing w:val="74"/>
          <w:sz w:val="20"/>
        </w:rPr>
        <w:t xml:space="preserve"> </w:t>
      </w:r>
      <w:r>
        <w:t>school</w:t>
      </w:r>
      <w:r>
        <w:rPr>
          <w:spacing w:val="-7"/>
        </w:rPr>
        <w:t xml:space="preserve"> </w:t>
      </w:r>
      <w:r>
        <w:t>type</w:t>
      </w:r>
      <w:r>
        <w:rPr>
          <w:spacing w:val="-7"/>
        </w:rPr>
        <w:t xml:space="preserve"> </w:t>
      </w:r>
      <w:r>
        <w:t>(public,</w:t>
      </w:r>
      <w:r>
        <w:rPr>
          <w:spacing w:val="-7"/>
        </w:rPr>
        <w:t xml:space="preserve"> </w:t>
      </w:r>
      <w:r>
        <w:t>Bureau</w:t>
      </w:r>
      <w:r>
        <w:rPr>
          <w:spacing w:val="-7"/>
        </w:rPr>
        <w:t xml:space="preserve"> </w:t>
      </w:r>
      <w:r>
        <w:t>of</w:t>
      </w:r>
      <w:r>
        <w:rPr>
          <w:spacing w:val="-7"/>
        </w:rPr>
        <w:t xml:space="preserve"> </w:t>
      </w:r>
      <w:r>
        <w:t>Indian</w:t>
      </w:r>
      <w:r>
        <w:rPr>
          <w:spacing w:val="-7"/>
        </w:rPr>
        <w:t xml:space="preserve"> </w:t>
      </w:r>
      <w:r>
        <w:t>Education</w:t>
      </w:r>
      <w:r>
        <w:rPr>
          <w:spacing w:val="-7"/>
        </w:rPr>
        <w:t xml:space="preserve"> </w:t>
      </w:r>
      <w:r>
        <w:t>(BIE),</w:t>
      </w:r>
      <w:r>
        <w:rPr>
          <w:spacing w:val="-7"/>
        </w:rPr>
        <w:t xml:space="preserve"> </w:t>
      </w:r>
      <w:r>
        <w:t>Department</w:t>
      </w:r>
      <w:r>
        <w:rPr>
          <w:spacing w:val="-7"/>
        </w:rPr>
        <w:t xml:space="preserve"> </w:t>
      </w:r>
      <w:r>
        <w:t>of</w:t>
      </w:r>
      <w:r>
        <w:rPr>
          <w:spacing w:val="-7"/>
        </w:rPr>
        <w:t xml:space="preserve"> </w:t>
      </w:r>
      <w:r>
        <w:t>Defense</w:t>
      </w:r>
      <w:r>
        <w:rPr>
          <w:spacing w:val="-7"/>
        </w:rPr>
        <w:t xml:space="preserve"> </w:t>
      </w:r>
      <w:r>
        <w:t>Education</w:t>
      </w:r>
      <w:r>
        <w:rPr>
          <w:spacing w:val="-14"/>
        </w:rPr>
        <w:t xml:space="preserve"> </w:t>
      </w:r>
      <w:r>
        <w:t>Activity</w:t>
      </w:r>
      <w:r>
        <w:rPr>
          <w:spacing w:val="-6"/>
        </w:rPr>
        <w:t xml:space="preserve"> </w:t>
      </w:r>
      <w:r>
        <w:t>(DoDEA);</w:t>
      </w:r>
      <w:r>
        <w:rPr>
          <w:spacing w:val="-7"/>
        </w:rPr>
        <w:t xml:space="preserve"> </w:t>
      </w:r>
      <w:r>
        <w:t xml:space="preserve">and </w:t>
      </w:r>
      <w:r>
        <w:rPr>
          <w:noProof/>
          <w:position w:val="3"/>
        </w:rPr>
        <w:drawing>
          <wp:inline distT="0" distB="0" distL="0" distR="0">
            <wp:extent cx="41379" cy="41362"/>
            <wp:effectExtent l="0" t="0" r="0" b="0"/>
            <wp:docPr id="91" name="Image 91"/>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xmlns:r="http://schemas.openxmlformats.org/officeDocument/2006/relationships" r:embed="rId72" cstate="print"/>
                    <a:stretch>
                      <a:fillRect/>
                    </a:stretch>
                  </pic:blipFill>
                  <pic:spPr>
                    <a:xfrm>
                      <a:off x="0" y="0"/>
                      <a:ext cx="41379" cy="41362"/>
                    </a:xfrm>
                    <a:prstGeom prst="rect">
                      <a:avLst/>
                    </a:prstGeom>
                  </pic:spPr>
                </pic:pic>
              </a:graphicData>
            </a:graphic>
          </wp:inline>
        </w:drawing>
      </w:r>
      <w:r>
        <w:rPr>
          <w:spacing w:val="80"/>
        </w:rPr>
        <w:t xml:space="preserve"> </w:t>
      </w:r>
      <w:r>
        <w:t>median income (except for California schools where achievement data is used instead).</w:t>
      </w:r>
    </w:p>
    <w:p w:rsidR="003F5784" w14:paraId="0F7BD34E" w14:textId="77777777">
      <w:pPr>
        <w:spacing w:line="232" w:lineRule="auto"/>
        <w:sectPr>
          <w:pgSz w:w="15840" w:h="12240" w:orient="landscape"/>
          <w:pgMar w:top="480" w:right="440" w:bottom="460" w:left="460" w:header="284" w:footer="275" w:gutter="0"/>
          <w:cols w:space="720"/>
        </w:sectPr>
      </w:pPr>
    </w:p>
    <w:p w:rsidR="003F5784" w14:paraId="1C66075E" w14:textId="77777777">
      <w:pPr>
        <w:pStyle w:val="Heading2"/>
        <w:spacing w:before="72"/>
        <w:ind w:left="109"/>
      </w:pPr>
      <w:r>
        <w:t>AI/AN</w:t>
      </w:r>
      <w:r>
        <w:rPr>
          <w:spacing w:val="-7"/>
        </w:rPr>
        <w:t xml:space="preserve"> </w:t>
      </w:r>
      <w:r>
        <w:rPr>
          <w:spacing w:val="-2"/>
        </w:rPr>
        <w:t>Composition</w:t>
      </w:r>
    </w:p>
    <w:p w:rsidR="003F5784" w14:paraId="11356530" w14:textId="77777777">
      <w:pPr>
        <w:pStyle w:val="BodyText"/>
        <w:rPr>
          <w:b/>
        </w:rPr>
      </w:pPr>
    </w:p>
    <w:p w:rsidR="003F5784" w14:paraId="48779337" w14:textId="77777777">
      <w:pPr>
        <w:pStyle w:val="BodyText"/>
        <w:spacing w:before="168"/>
        <w:rPr>
          <w:b/>
        </w:rPr>
      </w:pPr>
    </w:p>
    <w:p w:rsidR="003F5784" w14:paraId="2E578856" w14:textId="77777777">
      <w:pPr>
        <w:pStyle w:val="BodyText"/>
        <w:spacing w:line="232" w:lineRule="auto"/>
        <w:ind w:left="109"/>
      </w:pPr>
      <w:r>
        <w:t>For</w:t>
      </w:r>
      <w:r>
        <w:rPr>
          <w:spacing w:val="-3"/>
        </w:rPr>
        <w:t xml:space="preserve"> </w:t>
      </w:r>
      <w:r>
        <w:t>the</w:t>
      </w:r>
      <w:r>
        <w:rPr>
          <w:spacing w:val="-3"/>
        </w:rPr>
        <w:t xml:space="preserve"> </w:t>
      </w:r>
      <w:r>
        <w:t>eighth-grade</w:t>
      </w:r>
      <w:r>
        <w:rPr>
          <w:spacing w:val="-3"/>
        </w:rPr>
        <w:t xml:space="preserve"> </w:t>
      </w:r>
      <w:r>
        <w:t>civics</w:t>
      </w:r>
      <w:r>
        <w:rPr>
          <w:spacing w:val="-3"/>
        </w:rPr>
        <w:t xml:space="preserve"> </w:t>
      </w:r>
      <w:r>
        <w:t>and</w:t>
      </w:r>
      <w:r>
        <w:rPr>
          <w:spacing w:val="-3"/>
        </w:rPr>
        <w:t xml:space="preserve"> </w:t>
      </w:r>
      <w:r>
        <w:t>U.S.</w:t>
      </w:r>
      <w:r>
        <w:rPr>
          <w:spacing w:val="-3"/>
        </w:rPr>
        <w:t xml:space="preserve"> </w:t>
      </w:r>
      <w:r>
        <w:t>history</w:t>
      </w:r>
      <w:r>
        <w:rPr>
          <w:spacing w:val="-3"/>
        </w:rPr>
        <w:t xml:space="preserve"> </w:t>
      </w:r>
      <w:r>
        <w:t>assessments</w:t>
      </w:r>
      <w:r>
        <w:rPr>
          <w:spacing w:val="-3"/>
        </w:rPr>
        <w:t xml:space="preserve"> </w:t>
      </w:r>
      <w:r>
        <w:t>in</w:t>
      </w:r>
      <w:r>
        <w:rPr>
          <w:spacing w:val="-3"/>
        </w:rPr>
        <w:t xml:space="preserve"> </w:t>
      </w:r>
      <w:r>
        <w:t>the</w:t>
      </w:r>
      <w:r>
        <w:rPr>
          <w:spacing w:val="-3"/>
        </w:rPr>
        <w:t xml:space="preserve"> </w:t>
      </w:r>
      <w:r>
        <w:t>national</w:t>
      </w:r>
      <w:r>
        <w:rPr>
          <w:spacing w:val="-3"/>
        </w:rPr>
        <w:t xml:space="preserve"> </w:t>
      </w:r>
      <w:r>
        <w:t>public</w:t>
      </w:r>
      <w:r>
        <w:rPr>
          <w:spacing w:val="-3"/>
        </w:rPr>
        <w:t xml:space="preserve"> </w:t>
      </w:r>
      <w:r>
        <w:t>school</w:t>
      </w:r>
      <w:r>
        <w:rPr>
          <w:spacing w:val="-3"/>
        </w:rPr>
        <w:t xml:space="preserve"> </w:t>
      </w:r>
      <w:r>
        <w:t>sample,</w:t>
      </w:r>
      <w:r>
        <w:rPr>
          <w:spacing w:val="-3"/>
        </w:rPr>
        <w:t xml:space="preserve"> </w:t>
      </w:r>
      <w:r>
        <w:t>implied</w:t>
      </w:r>
      <w:r>
        <w:rPr>
          <w:spacing w:val="-3"/>
        </w:rPr>
        <w:t xml:space="preserve"> </w:t>
      </w:r>
      <w:r>
        <w:t>strata</w:t>
      </w:r>
      <w:r>
        <w:rPr>
          <w:spacing w:val="-3"/>
        </w:rPr>
        <w:t xml:space="preserve"> </w:t>
      </w:r>
      <w:r>
        <w:t>were</w:t>
      </w:r>
      <w:r>
        <w:rPr>
          <w:spacing w:val="-3"/>
        </w:rPr>
        <w:t xml:space="preserve"> </w:t>
      </w:r>
      <w:r>
        <w:t>created</w:t>
      </w:r>
      <w:r>
        <w:rPr>
          <w:spacing w:val="-3"/>
        </w:rPr>
        <w:t xml:space="preserve"> </w:t>
      </w:r>
      <w:r>
        <w:t>by</w:t>
      </w:r>
      <w:r>
        <w:rPr>
          <w:spacing w:val="-3"/>
        </w:rPr>
        <w:t xml:space="preserve"> </w:t>
      </w:r>
      <w:r>
        <w:t>first</w:t>
      </w:r>
      <w:r>
        <w:rPr>
          <w:spacing w:val="-3"/>
        </w:rPr>
        <w:t xml:space="preserve"> </w:t>
      </w:r>
      <w:r>
        <w:t>classifying</w:t>
      </w:r>
      <w:r>
        <w:rPr>
          <w:spacing w:val="-3"/>
        </w:rPr>
        <w:t xml:space="preserve"> </w:t>
      </w:r>
      <w:r>
        <w:t>schools</w:t>
      </w:r>
      <w:r>
        <w:rPr>
          <w:spacing w:val="-3"/>
        </w:rPr>
        <w:t xml:space="preserve"> </w:t>
      </w:r>
      <w:r>
        <w:t>on</w:t>
      </w:r>
      <w:r>
        <w:rPr>
          <w:spacing w:val="-3"/>
        </w:rPr>
        <w:t xml:space="preserve"> </w:t>
      </w:r>
      <w:r>
        <w:t>the</w:t>
      </w:r>
      <w:r>
        <w:rPr>
          <w:spacing w:val="-3"/>
        </w:rPr>
        <w:t xml:space="preserve"> </w:t>
      </w:r>
      <w:r>
        <w:t>sampling</w:t>
      </w:r>
      <w:r>
        <w:rPr>
          <w:spacing w:val="-3"/>
        </w:rPr>
        <w:t xml:space="preserve"> </w:t>
      </w:r>
      <w:r>
        <w:t>frame</w:t>
      </w:r>
      <w:r>
        <w:rPr>
          <w:spacing w:val="-3"/>
        </w:rPr>
        <w:t xml:space="preserve"> </w:t>
      </w:r>
      <w:r>
        <w:t>as either</w:t>
      </w:r>
      <w:r>
        <w:rPr>
          <w:spacing w:val="-14"/>
        </w:rPr>
        <w:t xml:space="preserve"> </w:t>
      </w:r>
      <w:r>
        <w:t>low</w:t>
      </w:r>
      <w:r>
        <w:rPr>
          <w:spacing w:val="-13"/>
        </w:rPr>
        <w:t xml:space="preserve"> </w:t>
      </w:r>
      <w:r>
        <w:t>AI/AN</w:t>
      </w:r>
      <w:r>
        <w:rPr>
          <w:spacing w:val="-9"/>
        </w:rPr>
        <w:t xml:space="preserve"> </w:t>
      </w:r>
      <w:r>
        <w:t>or</w:t>
      </w:r>
      <w:r>
        <w:rPr>
          <w:spacing w:val="-6"/>
        </w:rPr>
        <w:t xml:space="preserve"> </w:t>
      </w:r>
      <w:r>
        <w:t>high</w:t>
      </w:r>
      <w:r>
        <w:rPr>
          <w:spacing w:val="-14"/>
        </w:rPr>
        <w:t xml:space="preserve"> </w:t>
      </w:r>
      <w:r>
        <w:t>AI/AN</w:t>
      </w:r>
      <w:r>
        <w:rPr>
          <w:spacing w:val="-5"/>
        </w:rPr>
        <w:t xml:space="preserve"> </w:t>
      </w:r>
      <w:r>
        <w:t>based</w:t>
      </w:r>
      <w:r>
        <w:rPr>
          <w:spacing w:val="-6"/>
        </w:rPr>
        <w:t xml:space="preserve"> </w:t>
      </w:r>
      <w:r>
        <w:t>on</w:t>
      </w:r>
      <w:r>
        <w:rPr>
          <w:spacing w:val="-6"/>
        </w:rPr>
        <w:t xml:space="preserve"> </w:t>
      </w:r>
      <w:r>
        <w:t>the</w:t>
      </w:r>
      <w:r>
        <w:rPr>
          <w:spacing w:val="-6"/>
        </w:rPr>
        <w:t xml:space="preserve"> </w:t>
      </w:r>
      <w:r>
        <w:t>percentage</w:t>
      </w:r>
      <w:r>
        <w:rPr>
          <w:spacing w:val="-6"/>
        </w:rPr>
        <w:t xml:space="preserve"> </w:t>
      </w:r>
      <w:r>
        <w:t>of</w:t>
      </w:r>
      <w:r>
        <w:rPr>
          <w:spacing w:val="-14"/>
        </w:rPr>
        <w:t xml:space="preserve"> </w:t>
      </w:r>
      <w:r>
        <w:t>AI/AN</w:t>
      </w:r>
      <w:r>
        <w:rPr>
          <w:spacing w:val="-5"/>
        </w:rPr>
        <w:t xml:space="preserve"> </w:t>
      </w:r>
      <w:r>
        <w:t>students</w:t>
      </w:r>
      <w:r>
        <w:rPr>
          <w:spacing w:val="-6"/>
        </w:rPr>
        <w:t xml:space="preserve"> </w:t>
      </w:r>
      <w:r>
        <w:t>in</w:t>
      </w:r>
      <w:r>
        <w:rPr>
          <w:spacing w:val="-6"/>
        </w:rPr>
        <w:t xml:space="preserve"> </w:t>
      </w:r>
      <w:r>
        <w:t>the</w:t>
      </w:r>
      <w:r>
        <w:rPr>
          <w:spacing w:val="-6"/>
        </w:rPr>
        <w:t xml:space="preserve"> </w:t>
      </w:r>
      <w:r>
        <w:t>targeted</w:t>
      </w:r>
      <w:r>
        <w:rPr>
          <w:spacing w:val="-6"/>
        </w:rPr>
        <w:t xml:space="preserve"> </w:t>
      </w:r>
      <w:r>
        <w:t>grade</w:t>
      </w:r>
      <w:r>
        <w:rPr>
          <w:spacing w:val="-6"/>
        </w:rPr>
        <w:t xml:space="preserve"> </w:t>
      </w:r>
      <w:r>
        <w:t>(the</w:t>
      </w:r>
      <w:r>
        <w:rPr>
          <w:spacing w:val="-6"/>
        </w:rPr>
        <w:t xml:space="preserve"> </w:t>
      </w:r>
      <w:r>
        <w:t>cutoff</w:t>
      </w:r>
      <w:r>
        <w:rPr>
          <w:spacing w:val="-6"/>
        </w:rPr>
        <w:t xml:space="preserve"> </w:t>
      </w:r>
      <w:r>
        <w:t>was</w:t>
      </w:r>
      <w:r>
        <w:rPr>
          <w:spacing w:val="-6"/>
        </w:rPr>
        <w:t xml:space="preserve"> </w:t>
      </w:r>
      <w:r>
        <w:t>5</w:t>
      </w:r>
      <w:r>
        <w:rPr>
          <w:spacing w:val="-6"/>
        </w:rPr>
        <w:t xml:space="preserve"> </w:t>
      </w:r>
      <w:r>
        <w:t>percent</w:t>
      </w:r>
      <w:r>
        <w:rPr>
          <w:spacing w:val="-14"/>
        </w:rPr>
        <w:t xml:space="preserve"> </w:t>
      </w:r>
      <w:r>
        <w:t>AI/AN</w:t>
      </w:r>
      <w:r>
        <w:rPr>
          <w:spacing w:val="-5"/>
        </w:rPr>
        <w:t xml:space="preserve"> </w:t>
      </w:r>
      <w:r>
        <w:t>students).</w:t>
      </w:r>
      <w:r>
        <w:rPr>
          <w:spacing w:val="-10"/>
        </w:rPr>
        <w:t xml:space="preserve"> </w:t>
      </w:r>
      <w:r>
        <w:t>The</w:t>
      </w:r>
      <w:r>
        <w:rPr>
          <w:spacing w:val="-6"/>
        </w:rPr>
        <w:t xml:space="preserve"> </w:t>
      </w:r>
      <w:r>
        <w:t>use</w:t>
      </w:r>
      <w:r>
        <w:rPr>
          <w:spacing w:val="-6"/>
        </w:rPr>
        <w:t xml:space="preserve"> </w:t>
      </w:r>
      <w:r>
        <w:t>of</w:t>
      </w:r>
      <w:r>
        <w:rPr>
          <w:spacing w:val="-14"/>
        </w:rPr>
        <w:t xml:space="preserve"> </w:t>
      </w:r>
      <w:r>
        <w:t>AI/AN</w:t>
      </w:r>
      <w:r>
        <w:rPr>
          <w:spacing w:val="-5"/>
        </w:rPr>
        <w:t xml:space="preserve"> </w:t>
      </w:r>
      <w:r>
        <w:t>classification</w:t>
      </w:r>
      <w:r>
        <w:rPr>
          <w:spacing w:val="-6"/>
        </w:rPr>
        <w:t xml:space="preserve"> </w:t>
      </w:r>
      <w:r>
        <w:t>in this manner is part of an oversampling scheme to ensure sufficient numbers of</w:t>
      </w:r>
      <w:r>
        <w:rPr>
          <w:spacing w:val="-11"/>
        </w:rPr>
        <w:t xml:space="preserve"> </w:t>
      </w:r>
      <w:r>
        <w:t>AI/AN students are present in the student samples. Grouping high</w:t>
      </w:r>
      <w:r>
        <w:rPr>
          <w:spacing w:val="-11"/>
        </w:rPr>
        <w:t xml:space="preserve"> </w:t>
      </w:r>
      <w:r>
        <w:t>AI/AN schools together in a sampling stratum helps bring schools with relatively large numbers of</w:t>
      </w:r>
      <w:r>
        <w:rPr>
          <w:spacing w:val="-10"/>
        </w:rPr>
        <w:t xml:space="preserve"> </w:t>
      </w:r>
      <w:r>
        <w:t>AI/AN students into the school sample. In turn, schools with more</w:t>
      </w:r>
      <w:r>
        <w:rPr>
          <w:spacing w:val="-10"/>
        </w:rPr>
        <w:t xml:space="preserve"> </w:t>
      </w:r>
      <w:r>
        <w:t>AI/AN students improve the chance that sufficient numbers of</w:t>
      </w:r>
      <w:r>
        <w:rPr>
          <w:spacing w:val="-4"/>
        </w:rPr>
        <w:t xml:space="preserve"> </w:t>
      </w:r>
      <w:r>
        <w:t>AI/AN students are included in the student samples.</w:t>
      </w:r>
    </w:p>
    <w:p w:rsidR="003F5784" w14:paraId="6F161F89" w14:textId="77777777">
      <w:pPr>
        <w:pStyle w:val="Heading2"/>
        <w:spacing w:before="204"/>
        <w:ind w:left="109"/>
      </w:pPr>
      <w:r>
        <w:t>Census</w:t>
      </w:r>
      <w:r>
        <w:rPr>
          <w:spacing w:val="-8"/>
        </w:rPr>
        <w:t xml:space="preserve"> </w:t>
      </w:r>
      <w:r>
        <w:rPr>
          <w:spacing w:val="-2"/>
        </w:rPr>
        <w:t>Division</w:t>
      </w:r>
    </w:p>
    <w:p w:rsidR="003F5784" w14:paraId="3EC4B1DF" w14:textId="77777777">
      <w:pPr>
        <w:pStyle w:val="BodyText"/>
        <w:spacing w:before="208" w:line="232" w:lineRule="auto"/>
        <w:ind w:left="109" w:right="179"/>
      </w:pPr>
      <w:r>
        <w:t>Within</w:t>
      </w:r>
      <w:r>
        <w:rPr>
          <w:spacing w:val="-7"/>
        </w:rPr>
        <w:t xml:space="preserve"> </w:t>
      </w:r>
      <w:r>
        <w:t>each</w:t>
      </w:r>
      <w:r>
        <w:rPr>
          <w:spacing w:val="-4"/>
        </w:rPr>
        <w:t xml:space="preserve"> </w:t>
      </w:r>
      <w:r>
        <w:t>of</w:t>
      </w:r>
      <w:r>
        <w:rPr>
          <w:spacing w:val="-4"/>
        </w:rPr>
        <w:t xml:space="preserve"> </w:t>
      </w:r>
      <w:r>
        <w:t>the</w:t>
      </w:r>
      <w:r>
        <w:rPr>
          <w:spacing w:val="-4"/>
        </w:rPr>
        <w:t xml:space="preserve"> </w:t>
      </w:r>
      <w:r>
        <w:t>low</w:t>
      </w:r>
      <w:r>
        <w:rPr>
          <w:spacing w:val="-4"/>
        </w:rPr>
        <w:t xml:space="preserve"> </w:t>
      </w:r>
      <w:r>
        <w:t>and</w:t>
      </w:r>
      <w:r>
        <w:rPr>
          <w:spacing w:val="-4"/>
        </w:rPr>
        <w:t xml:space="preserve"> </w:t>
      </w:r>
      <w:r>
        <w:t>high</w:t>
      </w:r>
      <w:r>
        <w:rPr>
          <w:spacing w:val="-14"/>
        </w:rPr>
        <w:t xml:space="preserve"> </w:t>
      </w:r>
      <w:r>
        <w:t>AI/AN</w:t>
      </w:r>
      <w:r>
        <w:rPr>
          <w:spacing w:val="-3"/>
        </w:rPr>
        <w:t xml:space="preserve"> </w:t>
      </w:r>
      <w:r>
        <w:t>classifications,</w:t>
      </w:r>
      <w:r>
        <w:rPr>
          <w:spacing w:val="-4"/>
        </w:rPr>
        <w:t xml:space="preserve"> </w:t>
      </w:r>
      <w:r>
        <w:t>schools</w:t>
      </w:r>
      <w:r>
        <w:rPr>
          <w:spacing w:val="-4"/>
        </w:rPr>
        <w:t xml:space="preserve"> </w:t>
      </w:r>
      <w:r>
        <w:t>were</w:t>
      </w:r>
      <w:r>
        <w:rPr>
          <w:spacing w:val="-4"/>
        </w:rPr>
        <w:t xml:space="preserve"> </w:t>
      </w:r>
      <w:r>
        <w:t>further</w:t>
      </w:r>
      <w:r>
        <w:rPr>
          <w:spacing w:val="-4"/>
        </w:rPr>
        <w:t xml:space="preserve"> </w:t>
      </w:r>
      <w:r>
        <w:t>classified</w:t>
      </w:r>
      <w:r>
        <w:rPr>
          <w:spacing w:val="-4"/>
        </w:rPr>
        <w:t xml:space="preserve"> </w:t>
      </w:r>
      <w:r>
        <w:t>into</w:t>
      </w:r>
      <w:r>
        <w:rPr>
          <w:spacing w:val="-4"/>
        </w:rPr>
        <w:t xml:space="preserve"> </w:t>
      </w:r>
      <w:r>
        <w:t>groups</w:t>
      </w:r>
      <w:r>
        <w:rPr>
          <w:spacing w:val="-4"/>
        </w:rPr>
        <w:t xml:space="preserve"> </w:t>
      </w:r>
      <w:r>
        <w:t>based</w:t>
      </w:r>
      <w:r>
        <w:rPr>
          <w:spacing w:val="-4"/>
        </w:rPr>
        <w:t xml:space="preserve"> </w:t>
      </w:r>
      <w:r>
        <w:t>on</w:t>
      </w:r>
      <w:r>
        <w:rPr>
          <w:spacing w:val="-4"/>
        </w:rPr>
        <w:t xml:space="preserve"> </w:t>
      </w:r>
      <w:r>
        <w:t>census</w:t>
      </w:r>
      <w:r>
        <w:rPr>
          <w:spacing w:val="-4"/>
        </w:rPr>
        <w:t xml:space="preserve"> </w:t>
      </w:r>
      <w:r>
        <w:t>division.</w:t>
      </w:r>
      <w:r>
        <w:rPr>
          <w:spacing w:val="-14"/>
        </w:rPr>
        <w:t xml:space="preserve"> </w:t>
      </w:r>
      <w:r>
        <w:t>A</w:t>
      </w:r>
      <w:r>
        <w:rPr>
          <w:spacing w:val="-13"/>
        </w:rPr>
        <w:t xml:space="preserve"> </w:t>
      </w:r>
      <w:r>
        <w:t>census</w:t>
      </w:r>
      <w:r>
        <w:rPr>
          <w:spacing w:val="-3"/>
        </w:rPr>
        <w:t xml:space="preserve"> </w:t>
      </w:r>
      <w:r>
        <w:t>division-based</w:t>
      </w:r>
      <w:r>
        <w:rPr>
          <w:spacing w:val="-4"/>
        </w:rPr>
        <w:t xml:space="preserve"> </w:t>
      </w:r>
      <w:r>
        <w:t>grouping</w:t>
      </w:r>
      <w:r>
        <w:rPr>
          <w:spacing w:val="-4"/>
        </w:rPr>
        <w:t xml:space="preserve"> </w:t>
      </w:r>
      <w:r>
        <w:t>can</w:t>
      </w:r>
      <w:r>
        <w:rPr>
          <w:spacing w:val="-4"/>
        </w:rPr>
        <w:t xml:space="preserve"> </w:t>
      </w:r>
      <w:r>
        <w:t>consist</w:t>
      </w:r>
      <w:r>
        <w:rPr>
          <w:spacing w:val="-4"/>
        </w:rPr>
        <w:t xml:space="preserve"> </w:t>
      </w:r>
      <w:r>
        <w:t>of</w:t>
      </w:r>
      <w:r>
        <w:rPr>
          <w:spacing w:val="-4"/>
        </w:rPr>
        <w:t xml:space="preserve"> </w:t>
      </w:r>
      <w:r>
        <w:t>a single</w:t>
      </w:r>
      <w:r>
        <w:rPr>
          <w:spacing w:val="-6"/>
        </w:rPr>
        <w:t xml:space="preserve"> </w:t>
      </w:r>
      <w:r>
        <w:t>census</w:t>
      </w:r>
      <w:r>
        <w:rPr>
          <w:spacing w:val="-6"/>
        </w:rPr>
        <w:t xml:space="preserve"> </w:t>
      </w:r>
      <w:r>
        <w:t>division,</w:t>
      </w:r>
      <w:r>
        <w:rPr>
          <w:spacing w:val="-6"/>
        </w:rPr>
        <w:t xml:space="preserve"> </w:t>
      </w:r>
      <w:r>
        <w:t>a</w:t>
      </w:r>
      <w:r>
        <w:rPr>
          <w:spacing w:val="-6"/>
        </w:rPr>
        <w:t xml:space="preserve"> </w:t>
      </w:r>
      <w:r>
        <w:t>set</w:t>
      </w:r>
      <w:r>
        <w:rPr>
          <w:spacing w:val="-6"/>
        </w:rPr>
        <w:t xml:space="preserve"> </w:t>
      </w:r>
      <w:r>
        <w:t>of</w:t>
      </w:r>
      <w:r>
        <w:rPr>
          <w:spacing w:val="-6"/>
        </w:rPr>
        <w:t xml:space="preserve"> </w:t>
      </w:r>
      <w:r>
        <w:t>neighboring</w:t>
      </w:r>
      <w:r>
        <w:rPr>
          <w:spacing w:val="-6"/>
        </w:rPr>
        <w:t xml:space="preserve"> </w:t>
      </w:r>
      <w:r>
        <w:t>census</w:t>
      </w:r>
      <w:r>
        <w:rPr>
          <w:spacing w:val="-6"/>
        </w:rPr>
        <w:t xml:space="preserve"> </w:t>
      </w:r>
      <w:r>
        <w:t>divisions,</w:t>
      </w:r>
      <w:r>
        <w:rPr>
          <w:spacing w:val="-6"/>
        </w:rPr>
        <w:t xml:space="preserve"> </w:t>
      </w:r>
      <w:r>
        <w:t>or</w:t>
      </w:r>
      <w:r>
        <w:rPr>
          <w:spacing w:val="-6"/>
        </w:rPr>
        <w:t xml:space="preserve"> </w:t>
      </w:r>
      <w:r>
        <w:t>a</w:t>
      </w:r>
      <w:r>
        <w:rPr>
          <w:spacing w:val="-6"/>
        </w:rPr>
        <w:t xml:space="preserve"> </w:t>
      </w:r>
      <w:r>
        <w:t>part</w:t>
      </w:r>
      <w:r>
        <w:rPr>
          <w:spacing w:val="-6"/>
        </w:rPr>
        <w:t xml:space="preserve"> </w:t>
      </w:r>
      <w:r>
        <w:t>of</w:t>
      </w:r>
      <w:r>
        <w:rPr>
          <w:spacing w:val="-6"/>
        </w:rPr>
        <w:t xml:space="preserve"> </w:t>
      </w:r>
      <w:r>
        <w:t>an</w:t>
      </w:r>
      <w:r>
        <w:rPr>
          <w:spacing w:val="-6"/>
        </w:rPr>
        <w:t xml:space="preserve"> </w:t>
      </w:r>
      <w:r>
        <w:t>individual</w:t>
      </w:r>
      <w:r>
        <w:rPr>
          <w:spacing w:val="-6"/>
        </w:rPr>
        <w:t xml:space="preserve"> </w:t>
      </w:r>
      <w:r>
        <w:t>census</w:t>
      </w:r>
      <w:r>
        <w:rPr>
          <w:spacing w:val="-6"/>
        </w:rPr>
        <w:t xml:space="preserve"> </w:t>
      </w:r>
      <w:r>
        <w:t>division.</w:t>
      </w:r>
      <w:r>
        <w:rPr>
          <w:spacing w:val="-9"/>
        </w:rPr>
        <w:t xml:space="preserve"> </w:t>
      </w:r>
      <w:r>
        <w:t>When</w:t>
      </w:r>
      <w:r>
        <w:rPr>
          <w:spacing w:val="-6"/>
        </w:rPr>
        <w:t xml:space="preserve"> </w:t>
      </w:r>
      <w:r>
        <w:t>census</w:t>
      </w:r>
      <w:r>
        <w:rPr>
          <w:spacing w:val="-6"/>
        </w:rPr>
        <w:t xml:space="preserve"> </w:t>
      </w:r>
      <w:r>
        <w:t>divisions</w:t>
      </w:r>
      <w:r>
        <w:rPr>
          <w:spacing w:val="-6"/>
        </w:rPr>
        <w:t xml:space="preserve"> </w:t>
      </w:r>
      <w:r>
        <w:t>are</w:t>
      </w:r>
      <w:r>
        <w:rPr>
          <w:spacing w:val="-6"/>
        </w:rPr>
        <w:t xml:space="preserve"> </w:t>
      </w:r>
      <w:r>
        <w:t>combined</w:t>
      </w:r>
      <w:r>
        <w:rPr>
          <w:spacing w:val="-6"/>
        </w:rPr>
        <w:t xml:space="preserve"> </w:t>
      </w:r>
      <w:r>
        <w:t>to</w:t>
      </w:r>
      <w:r>
        <w:rPr>
          <w:spacing w:val="-6"/>
        </w:rPr>
        <w:t xml:space="preserve"> </w:t>
      </w:r>
      <w:r>
        <w:t>form</w:t>
      </w:r>
      <w:r>
        <w:rPr>
          <w:spacing w:val="-6"/>
        </w:rPr>
        <w:t xml:space="preserve"> </w:t>
      </w:r>
      <w:r>
        <w:t>implied</w:t>
      </w:r>
      <w:r>
        <w:rPr>
          <w:spacing w:val="-6"/>
        </w:rPr>
        <w:t xml:space="preserve"> </w:t>
      </w:r>
      <w:r>
        <w:t>sampling</w:t>
      </w:r>
      <w:r>
        <w:rPr>
          <w:spacing w:val="-6"/>
        </w:rPr>
        <w:t xml:space="preserve"> </w:t>
      </w:r>
      <w:r>
        <w:t>strata,</w:t>
      </w:r>
      <w:r>
        <w:rPr>
          <w:spacing w:val="-6"/>
        </w:rPr>
        <w:t xml:space="preserve"> </w:t>
      </w:r>
      <w:r>
        <w:t>it is done generally within census regions. Because there are so few high</w:t>
      </w:r>
      <w:r>
        <w:rPr>
          <w:spacing w:val="-10"/>
        </w:rPr>
        <w:t xml:space="preserve"> </w:t>
      </w:r>
      <w:r>
        <w:t>AI/AN schools, the census division grouping within the high</w:t>
      </w:r>
      <w:r>
        <w:rPr>
          <w:spacing w:val="-10"/>
        </w:rPr>
        <w:t xml:space="preserve"> </w:t>
      </w:r>
      <w:r>
        <w:t>AI/AN stratum consisted of several neighboring census divisions.</w:t>
      </w:r>
    </w:p>
    <w:p w:rsidR="003F5784" w14:paraId="1AE88F75" w14:textId="77777777">
      <w:pPr>
        <w:pStyle w:val="BodyText"/>
        <w:spacing w:before="210" w:line="232" w:lineRule="auto"/>
        <w:ind w:left="109"/>
      </w:pPr>
      <w:r>
        <w:t>Within</w:t>
      </w:r>
      <w:r>
        <w:rPr>
          <w:spacing w:val="-10"/>
        </w:rPr>
        <w:t xml:space="preserve"> </w:t>
      </w:r>
      <w:r>
        <w:t>the</w:t>
      </w:r>
      <w:r>
        <w:rPr>
          <w:spacing w:val="-7"/>
        </w:rPr>
        <w:t xml:space="preserve"> </w:t>
      </w:r>
      <w:r>
        <w:t>low</w:t>
      </w:r>
      <w:r>
        <w:rPr>
          <w:spacing w:val="-14"/>
        </w:rPr>
        <w:t xml:space="preserve"> </w:t>
      </w:r>
      <w:r>
        <w:t>AI/AN</w:t>
      </w:r>
      <w:r>
        <w:rPr>
          <w:spacing w:val="-6"/>
        </w:rPr>
        <w:t xml:space="preserve"> </w:t>
      </w:r>
      <w:r>
        <w:t>stratum,</w:t>
      </w:r>
      <w:r>
        <w:rPr>
          <w:spacing w:val="-7"/>
        </w:rPr>
        <w:t xml:space="preserve"> </w:t>
      </w:r>
      <w:r>
        <w:t>each</w:t>
      </w:r>
      <w:r>
        <w:rPr>
          <w:spacing w:val="-7"/>
        </w:rPr>
        <w:t xml:space="preserve"> </w:t>
      </w:r>
      <w:r>
        <w:t>census</w:t>
      </w:r>
      <w:r>
        <w:rPr>
          <w:spacing w:val="-7"/>
        </w:rPr>
        <w:t xml:space="preserve"> </w:t>
      </w:r>
      <w:r>
        <w:t>division,</w:t>
      </w:r>
      <w:r>
        <w:rPr>
          <w:spacing w:val="-7"/>
        </w:rPr>
        <w:t xml:space="preserve"> </w:t>
      </w:r>
      <w:r>
        <w:t>except</w:t>
      </w:r>
      <w:r>
        <w:rPr>
          <w:spacing w:val="-7"/>
        </w:rPr>
        <w:t xml:space="preserve"> </w:t>
      </w:r>
      <w:r>
        <w:t>the</w:t>
      </w:r>
      <w:r>
        <w:rPr>
          <w:spacing w:val="-7"/>
        </w:rPr>
        <w:t xml:space="preserve"> </w:t>
      </w:r>
      <w:r>
        <w:t>Pacific</w:t>
      </w:r>
      <w:r>
        <w:rPr>
          <w:spacing w:val="-7"/>
        </w:rPr>
        <w:t xml:space="preserve"> </w:t>
      </w:r>
      <w:r>
        <w:t>Census</w:t>
      </w:r>
      <w:r>
        <w:rPr>
          <w:spacing w:val="-7"/>
        </w:rPr>
        <w:t xml:space="preserve"> </w:t>
      </w:r>
      <w:r>
        <w:t>Division,</w:t>
      </w:r>
      <w:r>
        <w:rPr>
          <w:spacing w:val="-7"/>
        </w:rPr>
        <w:t xml:space="preserve"> </w:t>
      </w:r>
      <w:r>
        <w:t>constituted</w:t>
      </w:r>
      <w:r>
        <w:rPr>
          <w:spacing w:val="-7"/>
        </w:rPr>
        <w:t xml:space="preserve"> </w:t>
      </w:r>
      <w:r>
        <w:t>a</w:t>
      </w:r>
      <w:r>
        <w:rPr>
          <w:spacing w:val="-7"/>
        </w:rPr>
        <w:t xml:space="preserve"> </w:t>
      </w:r>
      <w:r>
        <w:t>separate</w:t>
      </w:r>
      <w:r>
        <w:rPr>
          <w:spacing w:val="-7"/>
        </w:rPr>
        <w:t xml:space="preserve"> </w:t>
      </w:r>
      <w:r>
        <w:t>census</w:t>
      </w:r>
      <w:r>
        <w:rPr>
          <w:spacing w:val="-7"/>
        </w:rPr>
        <w:t xml:space="preserve"> </w:t>
      </w:r>
      <w:r>
        <w:t>division</w:t>
      </w:r>
      <w:r>
        <w:rPr>
          <w:spacing w:val="-7"/>
        </w:rPr>
        <w:t xml:space="preserve"> </w:t>
      </w:r>
      <w:r>
        <w:t>grouping.</w:t>
      </w:r>
      <w:r>
        <w:rPr>
          <w:spacing w:val="-10"/>
        </w:rPr>
        <w:t xml:space="preserve"> </w:t>
      </w:r>
      <w:r>
        <w:t>The</w:t>
      </w:r>
      <w:r>
        <w:rPr>
          <w:spacing w:val="-7"/>
        </w:rPr>
        <w:t xml:space="preserve"> </w:t>
      </w:r>
      <w:r>
        <w:t>Pacific</w:t>
      </w:r>
      <w:r>
        <w:rPr>
          <w:spacing w:val="-7"/>
        </w:rPr>
        <w:t xml:space="preserve"> </w:t>
      </w:r>
      <w:r>
        <w:t>Census</w:t>
      </w:r>
      <w:r>
        <w:rPr>
          <w:spacing w:val="-7"/>
        </w:rPr>
        <w:t xml:space="preserve"> </w:t>
      </w:r>
      <w:r>
        <w:t>Division</w:t>
      </w:r>
      <w:r>
        <w:rPr>
          <w:spacing w:val="-7"/>
        </w:rPr>
        <w:t xml:space="preserve"> </w:t>
      </w:r>
      <w:r>
        <w:t>was</w:t>
      </w:r>
      <w:r>
        <w:rPr>
          <w:spacing w:val="-7"/>
        </w:rPr>
        <w:t xml:space="preserve"> </w:t>
      </w:r>
      <w:r>
        <w:t>split into</w:t>
      </w:r>
      <w:r>
        <w:rPr>
          <w:spacing w:val="-1"/>
        </w:rPr>
        <w:t xml:space="preserve"> </w:t>
      </w:r>
      <w:r>
        <w:t>two</w:t>
      </w:r>
      <w:r>
        <w:rPr>
          <w:spacing w:val="-1"/>
        </w:rPr>
        <w:t xml:space="preserve"> </w:t>
      </w:r>
      <w:r>
        <w:t>parts:</w:t>
      </w:r>
      <w:r>
        <w:rPr>
          <w:spacing w:val="-1"/>
        </w:rPr>
        <w:t xml:space="preserve"> </w:t>
      </w:r>
      <w:r>
        <w:t>California</w:t>
      </w:r>
      <w:r>
        <w:rPr>
          <w:spacing w:val="-1"/>
        </w:rPr>
        <w:t xml:space="preserve"> </w:t>
      </w:r>
      <w:r>
        <w:t>in</w:t>
      </w:r>
      <w:r>
        <w:rPr>
          <w:spacing w:val="-1"/>
        </w:rPr>
        <w:t xml:space="preserve"> </w:t>
      </w:r>
      <w:r>
        <w:t>one</w:t>
      </w:r>
      <w:r>
        <w:rPr>
          <w:spacing w:val="-1"/>
        </w:rPr>
        <w:t xml:space="preserve"> </w:t>
      </w:r>
      <w:r>
        <w:t>part</w:t>
      </w:r>
      <w:r>
        <w:rPr>
          <w:spacing w:val="-1"/>
        </w:rPr>
        <w:t xml:space="preserve"> </w:t>
      </w:r>
      <w:r>
        <w:t>and</w:t>
      </w:r>
      <w:r>
        <w:rPr>
          <w:spacing w:val="-12"/>
        </w:rPr>
        <w:t xml:space="preserve"> </w:t>
      </w:r>
      <w:r>
        <w:t>Alaska,</w:t>
      </w:r>
      <w:r>
        <w:rPr>
          <w:spacing w:val="-1"/>
        </w:rPr>
        <w:t xml:space="preserve"> </w:t>
      </w:r>
      <w:r>
        <w:t>Hawaii,</w:t>
      </w:r>
      <w:r>
        <w:rPr>
          <w:spacing w:val="-1"/>
        </w:rPr>
        <w:t xml:space="preserve"> </w:t>
      </w:r>
      <w:r>
        <w:t>Oregon,</w:t>
      </w:r>
      <w:r>
        <w:rPr>
          <w:spacing w:val="-1"/>
        </w:rPr>
        <w:t xml:space="preserve"> </w:t>
      </w:r>
      <w:r>
        <w:t>and</w:t>
      </w:r>
      <w:r>
        <w:rPr>
          <w:spacing w:val="-5"/>
        </w:rPr>
        <w:t xml:space="preserve"> </w:t>
      </w:r>
      <w:r>
        <w:t>Washington</w:t>
      </w:r>
      <w:r>
        <w:rPr>
          <w:spacing w:val="-1"/>
        </w:rPr>
        <w:t xml:space="preserve"> </w:t>
      </w:r>
      <w:r>
        <w:t>in</w:t>
      </w:r>
      <w:r>
        <w:rPr>
          <w:spacing w:val="-1"/>
        </w:rPr>
        <w:t xml:space="preserve"> </w:t>
      </w:r>
      <w:r>
        <w:t>the</w:t>
      </w:r>
      <w:r>
        <w:rPr>
          <w:spacing w:val="-1"/>
        </w:rPr>
        <w:t xml:space="preserve"> </w:t>
      </w:r>
      <w:r>
        <w:t>other</w:t>
      </w:r>
      <w:r>
        <w:rPr>
          <w:spacing w:val="-1"/>
        </w:rPr>
        <w:t xml:space="preserve"> </w:t>
      </w:r>
      <w:r>
        <w:t>part.</w:t>
      </w:r>
      <w:r>
        <w:rPr>
          <w:spacing w:val="-5"/>
        </w:rPr>
        <w:t xml:space="preserve"> </w:t>
      </w:r>
      <w:r>
        <w:t>This</w:t>
      </w:r>
      <w:r>
        <w:rPr>
          <w:spacing w:val="-1"/>
        </w:rPr>
        <w:t xml:space="preserve"> </w:t>
      </w:r>
      <w:r>
        <w:t>was</w:t>
      </w:r>
      <w:r>
        <w:rPr>
          <w:spacing w:val="-1"/>
        </w:rPr>
        <w:t xml:space="preserve"> </w:t>
      </w:r>
      <w:r>
        <w:t>done</w:t>
      </w:r>
      <w:r>
        <w:rPr>
          <w:spacing w:val="-1"/>
        </w:rPr>
        <w:t xml:space="preserve"> </w:t>
      </w:r>
      <w:r>
        <w:t>purposely</w:t>
      </w:r>
      <w:r>
        <w:rPr>
          <w:spacing w:val="-1"/>
        </w:rPr>
        <w:t xml:space="preserve"> </w:t>
      </w:r>
      <w:r>
        <w:t>so</w:t>
      </w:r>
      <w:r>
        <w:rPr>
          <w:spacing w:val="-1"/>
        </w:rPr>
        <w:t xml:space="preserve"> </w:t>
      </w:r>
      <w:r>
        <w:t>that</w:t>
      </w:r>
      <w:r>
        <w:rPr>
          <w:spacing w:val="-1"/>
        </w:rPr>
        <w:t xml:space="preserve"> </w:t>
      </w:r>
      <w:r>
        <w:t>California</w:t>
      </w:r>
      <w:r>
        <w:rPr>
          <w:spacing w:val="-1"/>
        </w:rPr>
        <w:t xml:space="preserve"> </w:t>
      </w:r>
      <w:r>
        <w:t>could</w:t>
      </w:r>
      <w:r>
        <w:rPr>
          <w:spacing w:val="-1"/>
        </w:rPr>
        <w:t xml:space="preserve"> </w:t>
      </w:r>
      <w:r>
        <w:t>use</w:t>
      </w:r>
      <w:r>
        <w:rPr>
          <w:spacing w:val="-1"/>
        </w:rPr>
        <w:t xml:space="preserve"> </w:t>
      </w:r>
      <w:r>
        <w:t>achievement</w:t>
      </w:r>
      <w:r>
        <w:rPr>
          <w:spacing w:val="-1"/>
        </w:rPr>
        <w:t xml:space="preserve"> </w:t>
      </w:r>
      <w:r>
        <w:t>data</w:t>
      </w:r>
      <w:r>
        <w:rPr>
          <w:spacing w:val="-1"/>
        </w:rPr>
        <w:t xml:space="preserve"> </w:t>
      </w:r>
      <w:r>
        <w:t>as the last stratification variable instead of median income. See last paragraph for more detail.</w:t>
      </w:r>
    </w:p>
    <w:p w:rsidR="003F5784" w14:paraId="66D42E01" w14:textId="77777777">
      <w:pPr>
        <w:pStyle w:val="Heading2"/>
        <w:spacing w:before="203"/>
        <w:ind w:left="109"/>
      </w:pPr>
      <w:r>
        <w:t>Urbanicity</w:t>
      </w:r>
      <w:r>
        <w:rPr>
          <w:spacing w:val="-11"/>
        </w:rPr>
        <w:t xml:space="preserve"> </w:t>
      </w:r>
      <w:r>
        <w:rPr>
          <w:spacing w:val="-2"/>
        </w:rPr>
        <w:t>Status</w:t>
      </w:r>
    </w:p>
    <w:p w:rsidR="003F5784" w14:paraId="74F5C689" w14:textId="77777777">
      <w:pPr>
        <w:pStyle w:val="BodyText"/>
        <w:spacing w:before="208" w:line="232" w:lineRule="auto"/>
        <w:ind w:left="109" w:right="179"/>
      </w:pPr>
      <w:r>
        <w:t>The</w:t>
      </w:r>
      <w:r>
        <w:rPr>
          <w:spacing w:val="-6"/>
        </w:rPr>
        <w:t xml:space="preserve"> </w:t>
      </w:r>
      <w:r>
        <w:t>urbanicity</w:t>
      </w:r>
      <w:r>
        <w:rPr>
          <w:spacing w:val="-6"/>
        </w:rPr>
        <w:t xml:space="preserve"> </w:t>
      </w:r>
      <w:r>
        <w:t>classification</w:t>
      </w:r>
      <w:r>
        <w:rPr>
          <w:spacing w:val="-6"/>
        </w:rPr>
        <w:t xml:space="preserve"> </w:t>
      </w:r>
      <w:r>
        <w:t>strata</w:t>
      </w:r>
      <w:r>
        <w:rPr>
          <w:spacing w:val="-6"/>
        </w:rPr>
        <w:t xml:space="preserve"> </w:t>
      </w:r>
      <w:r>
        <w:t>were</w:t>
      </w:r>
      <w:r>
        <w:rPr>
          <w:spacing w:val="-6"/>
        </w:rPr>
        <w:t xml:space="preserve"> </w:t>
      </w:r>
      <w:r>
        <w:t>derived</w:t>
      </w:r>
      <w:r>
        <w:rPr>
          <w:spacing w:val="-6"/>
        </w:rPr>
        <w:t xml:space="preserve"> </w:t>
      </w:r>
      <w:r>
        <w:t>from</w:t>
      </w:r>
      <w:r>
        <w:rPr>
          <w:spacing w:val="-6"/>
        </w:rPr>
        <w:t xml:space="preserve"> </w:t>
      </w:r>
      <w:r>
        <w:t>the</w:t>
      </w:r>
      <w:r>
        <w:rPr>
          <w:spacing w:val="-6"/>
        </w:rPr>
        <w:t xml:space="preserve"> </w:t>
      </w:r>
      <w:r>
        <w:t>NCES</w:t>
      </w:r>
      <w:r>
        <w:rPr>
          <w:spacing w:val="-6"/>
        </w:rPr>
        <w:t xml:space="preserve"> </w:t>
      </w:r>
      <w:r>
        <w:t>urban-centric</w:t>
      </w:r>
      <w:r>
        <w:rPr>
          <w:spacing w:val="-6"/>
        </w:rPr>
        <w:t xml:space="preserve"> </w:t>
      </w:r>
      <w:r>
        <w:t>locale</w:t>
      </w:r>
      <w:r>
        <w:rPr>
          <w:spacing w:val="-6"/>
        </w:rPr>
        <w:t xml:space="preserve"> </w:t>
      </w:r>
      <w:r>
        <w:t>variable</w:t>
      </w:r>
      <w:r>
        <w:rPr>
          <w:spacing w:val="-6"/>
        </w:rPr>
        <w:t xml:space="preserve"> </w:t>
      </w:r>
      <w:r>
        <w:t>from</w:t>
      </w:r>
      <w:r>
        <w:rPr>
          <w:spacing w:val="-6"/>
        </w:rPr>
        <w:t xml:space="preserve"> </w:t>
      </w:r>
      <w:r>
        <w:t>the</w:t>
      </w:r>
      <w:r>
        <w:rPr>
          <w:spacing w:val="-6"/>
        </w:rPr>
        <w:t xml:space="preserve"> </w:t>
      </w:r>
      <w:r>
        <w:t>Common</w:t>
      </w:r>
      <w:r>
        <w:rPr>
          <w:spacing w:val="-6"/>
        </w:rPr>
        <w:t xml:space="preserve"> </w:t>
      </w:r>
      <w:r>
        <w:t>Core</w:t>
      </w:r>
      <w:r>
        <w:rPr>
          <w:spacing w:val="-6"/>
        </w:rPr>
        <w:t xml:space="preserve"> </w:t>
      </w:r>
      <w:r>
        <w:t>of</w:t>
      </w:r>
      <w:r>
        <w:rPr>
          <w:spacing w:val="-6"/>
        </w:rPr>
        <w:t xml:space="preserve"> </w:t>
      </w:r>
      <w:r>
        <w:t>Data</w:t>
      </w:r>
      <w:r>
        <w:rPr>
          <w:spacing w:val="-6"/>
        </w:rPr>
        <w:t xml:space="preserve"> </w:t>
      </w:r>
      <w:r>
        <w:t>(CCD),</w:t>
      </w:r>
      <w:r>
        <w:rPr>
          <w:spacing w:val="-6"/>
        </w:rPr>
        <w:t xml:space="preserve"> </w:t>
      </w:r>
      <w:r>
        <w:t>which</w:t>
      </w:r>
      <w:r>
        <w:rPr>
          <w:spacing w:val="-6"/>
        </w:rPr>
        <w:t xml:space="preserve"> </w:t>
      </w:r>
      <w:r>
        <w:t>classifies</w:t>
      </w:r>
      <w:r>
        <w:rPr>
          <w:spacing w:val="-6"/>
        </w:rPr>
        <w:t xml:space="preserve"> </w:t>
      </w:r>
      <w:r>
        <w:t>schools</w:t>
      </w:r>
      <w:r>
        <w:rPr>
          <w:spacing w:val="-6"/>
        </w:rPr>
        <w:t xml:space="preserve"> </w:t>
      </w:r>
      <w:r>
        <w:t>based</w:t>
      </w:r>
      <w:r>
        <w:rPr>
          <w:spacing w:val="-6"/>
        </w:rPr>
        <w:t xml:space="preserve"> </w:t>
      </w:r>
      <w:r>
        <w:t>on location ([1] city, [2] suburb, [3] town, [4] rural) and proximity to urbanized areas. Urban-centric locale has 12 possible values.</w:t>
      </w:r>
    </w:p>
    <w:p w:rsidR="003F5784" w14:paraId="13CE5E5F" w14:textId="77777777">
      <w:pPr>
        <w:pStyle w:val="BodyText"/>
        <w:spacing w:before="209" w:line="232" w:lineRule="auto"/>
        <w:ind w:left="109" w:right="179"/>
      </w:pPr>
      <w:r>
        <w:t>The urbanicity classification cells were created by starting with the original 12 NCES urban-centric locale categories within each</w:t>
      </w:r>
      <w:r>
        <w:rPr>
          <w:spacing w:val="-10"/>
        </w:rPr>
        <w:t xml:space="preserve"> </w:t>
      </w:r>
      <w:r>
        <w:t>AI/AN classification-by-census division grouping.</w:t>
      </w:r>
      <w:r>
        <w:rPr>
          <w:spacing w:val="-13"/>
        </w:rPr>
        <w:t xml:space="preserve"> </w:t>
      </w:r>
      <w:r>
        <w:t>Any</w:t>
      </w:r>
      <w:r>
        <w:rPr>
          <w:spacing w:val="-3"/>
        </w:rPr>
        <w:t xml:space="preserve"> </w:t>
      </w:r>
      <w:r>
        <w:t>cell</w:t>
      </w:r>
      <w:r>
        <w:rPr>
          <w:spacing w:val="-3"/>
        </w:rPr>
        <w:t xml:space="preserve"> </w:t>
      </w:r>
      <w:r>
        <w:t>with</w:t>
      </w:r>
      <w:r>
        <w:rPr>
          <w:spacing w:val="-3"/>
        </w:rPr>
        <w:t xml:space="preserve"> </w:t>
      </w:r>
      <w:r>
        <w:t>an</w:t>
      </w:r>
      <w:r>
        <w:rPr>
          <w:spacing w:val="-3"/>
        </w:rPr>
        <w:t xml:space="preserve"> </w:t>
      </w:r>
      <w:r>
        <w:t>expected</w:t>
      </w:r>
      <w:r>
        <w:rPr>
          <w:spacing w:val="-3"/>
        </w:rPr>
        <w:t xml:space="preserve"> </w:t>
      </w:r>
      <w:r>
        <w:t>school</w:t>
      </w:r>
      <w:r>
        <w:rPr>
          <w:spacing w:val="-3"/>
        </w:rPr>
        <w:t xml:space="preserve"> </w:t>
      </w:r>
      <w:r>
        <w:t>sample</w:t>
      </w:r>
      <w:r>
        <w:rPr>
          <w:spacing w:val="-3"/>
        </w:rPr>
        <w:t xml:space="preserve"> </w:t>
      </w:r>
      <w:r>
        <w:t>size</w:t>
      </w:r>
      <w:r>
        <w:rPr>
          <w:spacing w:val="-3"/>
        </w:rPr>
        <w:t xml:space="preserve"> </w:t>
      </w:r>
      <w:r>
        <w:t>less</w:t>
      </w:r>
      <w:r>
        <w:rPr>
          <w:spacing w:val="-3"/>
        </w:rPr>
        <w:t xml:space="preserve"> </w:t>
      </w:r>
      <w:r>
        <w:t>than</w:t>
      </w:r>
      <w:r>
        <w:rPr>
          <w:spacing w:val="-3"/>
        </w:rPr>
        <w:t xml:space="preserve"> </w:t>
      </w:r>
      <w:r>
        <w:t>four</w:t>
      </w:r>
      <w:r>
        <w:rPr>
          <w:spacing w:val="-3"/>
        </w:rPr>
        <w:t xml:space="preserve"> </w:t>
      </w:r>
      <w:r>
        <w:t>was</w:t>
      </w:r>
      <w:r>
        <w:rPr>
          <w:spacing w:val="-3"/>
        </w:rPr>
        <w:t xml:space="preserve"> </w:t>
      </w:r>
      <w:r>
        <w:t>combined</w:t>
      </w:r>
      <w:r>
        <w:rPr>
          <w:spacing w:val="-3"/>
        </w:rPr>
        <w:t xml:space="preserve"> </w:t>
      </w:r>
      <w:r>
        <w:t>with</w:t>
      </w:r>
      <w:r>
        <w:rPr>
          <w:spacing w:val="-3"/>
        </w:rPr>
        <w:t xml:space="preserve"> </w:t>
      </w:r>
      <w:r>
        <w:t>a</w:t>
      </w:r>
      <w:r>
        <w:rPr>
          <w:spacing w:val="-3"/>
        </w:rPr>
        <w:t xml:space="preserve"> </w:t>
      </w:r>
      <w:r>
        <w:t>neighboring</w:t>
      </w:r>
      <w:r>
        <w:rPr>
          <w:spacing w:val="-3"/>
        </w:rPr>
        <w:t xml:space="preserve"> </w:t>
      </w:r>
      <w:r>
        <w:t>cell</w:t>
      </w:r>
      <w:r>
        <w:rPr>
          <w:spacing w:val="-3"/>
        </w:rPr>
        <w:t xml:space="preserve"> </w:t>
      </w:r>
      <w:r>
        <w:t>within</w:t>
      </w:r>
      <w:r>
        <w:rPr>
          <w:spacing w:val="-3"/>
        </w:rPr>
        <w:t xml:space="preserve"> </w:t>
      </w:r>
      <w:r>
        <w:t>the</w:t>
      </w:r>
      <w:r>
        <w:rPr>
          <w:spacing w:val="-3"/>
        </w:rPr>
        <w:t xml:space="preserve"> </w:t>
      </w:r>
      <w:r>
        <w:t>same</w:t>
      </w:r>
      <w:r>
        <w:rPr>
          <w:spacing w:val="-3"/>
        </w:rPr>
        <w:t xml:space="preserve"> </w:t>
      </w:r>
      <w:r>
        <w:t>census</w:t>
      </w:r>
      <w:r>
        <w:rPr>
          <w:spacing w:val="-3"/>
        </w:rPr>
        <w:t xml:space="preserve"> </w:t>
      </w:r>
      <w:r>
        <w:t>division</w:t>
      </w:r>
      <w:r>
        <w:rPr>
          <w:spacing w:val="-3"/>
        </w:rPr>
        <w:t xml:space="preserve"> </w:t>
      </w:r>
      <w:r>
        <w:t>grouping.</w:t>
      </w:r>
      <w:r>
        <w:rPr>
          <w:spacing w:val="-3"/>
        </w:rPr>
        <w:t xml:space="preserve"> </w:t>
      </w:r>
      <w:r>
        <w:t>Collapsing</w:t>
      </w:r>
      <w:r>
        <w:rPr>
          <w:spacing w:val="-3"/>
        </w:rPr>
        <w:t xml:space="preserve"> </w:t>
      </w:r>
      <w:r>
        <w:t>was</w:t>
      </w:r>
      <w:r>
        <w:rPr>
          <w:spacing w:val="-3"/>
        </w:rPr>
        <w:t xml:space="preserve"> </w:t>
      </w:r>
      <w:r>
        <w:t>first done among the subcategories within a location class. (For example, the subcategories for location class city are (1) large, (2) mid-size, and (3) small. If one of these subcategories</w:t>
      </w:r>
      <w:r>
        <w:rPr>
          <w:spacing w:val="-5"/>
        </w:rPr>
        <w:t xml:space="preserve"> </w:t>
      </w:r>
      <w:r>
        <w:t>was</w:t>
      </w:r>
      <w:r>
        <w:rPr>
          <w:spacing w:val="-5"/>
        </w:rPr>
        <w:t xml:space="preserve"> </w:t>
      </w:r>
      <w:r>
        <w:t>deficient</w:t>
      </w:r>
      <w:r>
        <w:rPr>
          <w:spacing w:val="-5"/>
        </w:rPr>
        <w:t xml:space="preserve"> </w:t>
      </w:r>
      <w:r>
        <w:t>then</w:t>
      </w:r>
      <w:r>
        <w:rPr>
          <w:spacing w:val="-5"/>
        </w:rPr>
        <w:t xml:space="preserve"> </w:t>
      </w:r>
      <w:r>
        <w:t>either</w:t>
      </w:r>
      <w:r>
        <w:rPr>
          <w:spacing w:val="-5"/>
        </w:rPr>
        <w:t xml:space="preserve"> </w:t>
      </w:r>
      <w:r>
        <w:t>1</w:t>
      </w:r>
      <w:r>
        <w:rPr>
          <w:spacing w:val="-5"/>
        </w:rPr>
        <w:t xml:space="preserve"> </w:t>
      </w:r>
      <w:r>
        <w:t>was</w:t>
      </w:r>
      <w:r>
        <w:rPr>
          <w:spacing w:val="-5"/>
        </w:rPr>
        <w:t xml:space="preserve"> </w:t>
      </w:r>
      <w:r>
        <w:t>collapsed</w:t>
      </w:r>
      <w:r>
        <w:rPr>
          <w:spacing w:val="-5"/>
        </w:rPr>
        <w:t xml:space="preserve"> </w:t>
      </w:r>
      <w:r>
        <w:t>with</w:t>
      </w:r>
      <w:r>
        <w:rPr>
          <w:spacing w:val="-5"/>
        </w:rPr>
        <w:t xml:space="preserve"> </w:t>
      </w:r>
      <w:r>
        <w:t>2;</w:t>
      </w:r>
      <w:r>
        <w:rPr>
          <w:spacing w:val="-5"/>
        </w:rPr>
        <w:t xml:space="preserve"> </w:t>
      </w:r>
      <w:r>
        <w:t>3</w:t>
      </w:r>
      <w:r>
        <w:rPr>
          <w:spacing w:val="-5"/>
        </w:rPr>
        <w:t xml:space="preserve"> </w:t>
      </w:r>
      <w:r>
        <w:t>collapsed</w:t>
      </w:r>
      <w:r>
        <w:rPr>
          <w:spacing w:val="-5"/>
        </w:rPr>
        <w:t xml:space="preserve"> </w:t>
      </w:r>
      <w:r>
        <w:t>with</w:t>
      </w:r>
      <w:r>
        <w:rPr>
          <w:spacing w:val="-5"/>
        </w:rPr>
        <w:t xml:space="preserve"> </w:t>
      </w:r>
      <w:r>
        <w:t>2;</w:t>
      </w:r>
      <w:r>
        <w:rPr>
          <w:spacing w:val="-5"/>
        </w:rPr>
        <w:t xml:space="preserve"> </w:t>
      </w:r>
      <w:r>
        <w:t>or</w:t>
      </w:r>
      <w:r>
        <w:rPr>
          <w:spacing w:val="-5"/>
        </w:rPr>
        <w:t xml:space="preserve"> </w:t>
      </w:r>
      <w:r>
        <w:t>2</w:t>
      </w:r>
      <w:r>
        <w:rPr>
          <w:spacing w:val="-5"/>
        </w:rPr>
        <w:t xml:space="preserve"> </w:t>
      </w:r>
      <w:r>
        <w:t>collapsed</w:t>
      </w:r>
      <w:r>
        <w:rPr>
          <w:spacing w:val="-5"/>
        </w:rPr>
        <w:t xml:space="preserve"> </w:t>
      </w:r>
      <w:r>
        <w:t>with</w:t>
      </w:r>
      <w:r>
        <w:rPr>
          <w:spacing w:val="-5"/>
        </w:rPr>
        <w:t xml:space="preserve"> </w:t>
      </w:r>
      <w:r>
        <w:t>the</w:t>
      </w:r>
      <w:r>
        <w:rPr>
          <w:spacing w:val="-5"/>
        </w:rPr>
        <w:t xml:space="preserve"> </w:t>
      </w:r>
      <w:r>
        <w:t>smaller</w:t>
      </w:r>
      <w:r>
        <w:rPr>
          <w:spacing w:val="-5"/>
        </w:rPr>
        <w:t xml:space="preserve"> </w:t>
      </w:r>
      <w:r>
        <w:t>of</w:t>
      </w:r>
      <w:r>
        <w:rPr>
          <w:spacing w:val="-5"/>
        </w:rPr>
        <w:t xml:space="preserve"> </w:t>
      </w:r>
      <w:r>
        <w:t>1</w:t>
      </w:r>
      <w:r>
        <w:rPr>
          <w:spacing w:val="-5"/>
        </w:rPr>
        <w:t xml:space="preserve"> </w:t>
      </w:r>
      <w:r>
        <w:t>or</w:t>
      </w:r>
      <w:r>
        <w:rPr>
          <w:spacing w:val="-5"/>
        </w:rPr>
        <w:t xml:space="preserve"> </w:t>
      </w:r>
      <w:r>
        <w:t>3.)</w:t>
      </w:r>
      <w:r>
        <w:rPr>
          <w:spacing w:val="-5"/>
        </w:rPr>
        <w:t xml:space="preserve"> </w:t>
      </w:r>
      <w:r>
        <w:t>If</w:t>
      </w:r>
      <w:r>
        <w:rPr>
          <w:spacing w:val="-5"/>
        </w:rPr>
        <w:t xml:space="preserve"> </w:t>
      </w:r>
      <w:r>
        <w:t>the</w:t>
      </w:r>
      <w:r>
        <w:rPr>
          <w:spacing w:val="-5"/>
        </w:rPr>
        <w:t xml:space="preserve"> </w:t>
      </w:r>
      <w:r>
        <w:t>collapsed</w:t>
      </w:r>
      <w:r>
        <w:rPr>
          <w:spacing w:val="-5"/>
        </w:rPr>
        <w:t xml:space="preserve"> </w:t>
      </w:r>
      <w:r>
        <w:t>cell</w:t>
      </w:r>
      <w:r>
        <w:rPr>
          <w:spacing w:val="-5"/>
        </w:rPr>
        <w:t xml:space="preserve"> </w:t>
      </w:r>
      <w:r>
        <w:t>was</w:t>
      </w:r>
      <w:r>
        <w:rPr>
          <w:spacing w:val="-5"/>
        </w:rPr>
        <w:t xml:space="preserve"> </w:t>
      </w:r>
      <w:r>
        <w:t>still</w:t>
      </w:r>
      <w:r>
        <w:rPr>
          <w:spacing w:val="-5"/>
        </w:rPr>
        <w:t xml:space="preserve"> </w:t>
      </w:r>
      <w:r>
        <w:t>too</w:t>
      </w:r>
      <w:r>
        <w:rPr>
          <w:spacing w:val="-5"/>
        </w:rPr>
        <w:t xml:space="preserve"> </w:t>
      </w:r>
      <w:r>
        <w:t>small,</w:t>
      </w:r>
      <w:r>
        <w:rPr>
          <w:spacing w:val="-5"/>
        </w:rPr>
        <w:t xml:space="preserve"> </w:t>
      </w:r>
      <w:r>
        <w:t>all</w:t>
      </w:r>
      <w:r>
        <w:rPr>
          <w:spacing w:val="-5"/>
        </w:rPr>
        <w:t xml:space="preserve"> </w:t>
      </w:r>
      <w:r>
        <w:t>three subcategories within a location class were combined.</w:t>
      </w:r>
    </w:p>
    <w:p w:rsidR="003F5784" w14:paraId="6F072BDD" w14:textId="77777777">
      <w:pPr>
        <w:pStyle w:val="BodyText"/>
        <w:spacing w:before="211" w:line="232" w:lineRule="auto"/>
        <w:ind w:left="109" w:right="179"/>
      </w:pPr>
      <w:r>
        <w:t>If</w:t>
      </w:r>
      <w:r>
        <w:rPr>
          <w:spacing w:val="-6"/>
        </w:rPr>
        <w:t xml:space="preserve"> </w:t>
      </w:r>
      <w:r>
        <w:t>a</w:t>
      </w:r>
      <w:r>
        <w:rPr>
          <w:spacing w:val="-6"/>
        </w:rPr>
        <w:t xml:space="preserve"> </w:t>
      </w:r>
      <w:r>
        <w:t>collapsed</w:t>
      </w:r>
      <w:r>
        <w:rPr>
          <w:spacing w:val="-6"/>
        </w:rPr>
        <w:t xml:space="preserve"> </w:t>
      </w:r>
      <w:r>
        <w:t>location</w:t>
      </w:r>
      <w:r>
        <w:rPr>
          <w:spacing w:val="-6"/>
        </w:rPr>
        <w:t xml:space="preserve"> </w:t>
      </w:r>
      <w:r>
        <w:t>class</w:t>
      </w:r>
      <w:r>
        <w:rPr>
          <w:spacing w:val="-6"/>
        </w:rPr>
        <w:t xml:space="preserve"> </w:t>
      </w:r>
      <w:r>
        <w:t>still</w:t>
      </w:r>
      <w:r>
        <w:rPr>
          <w:spacing w:val="-6"/>
        </w:rPr>
        <w:t xml:space="preserve"> </w:t>
      </w:r>
      <w:r>
        <w:t>had</w:t>
      </w:r>
      <w:r>
        <w:rPr>
          <w:spacing w:val="-6"/>
        </w:rPr>
        <w:t xml:space="preserve"> </w:t>
      </w:r>
      <w:r>
        <w:t>an</w:t>
      </w:r>
      <w:r>
        <w:rPr>
          <w:spacing w:val="-6"/>
        </w:rPr>
        <w:t xml:space="preserve"> </w:t>
      </w:r>
      <w:r>
        <w:t>expected</w:t>
      </w:r>
      <w:r>
        <w:rPr>
          <w:spacing w:val="-6"/>
        </w:rPr>
        <w:t xml:space="preserve"> </w:t>
      </w:r>
      <w:r>
        <w:t>school</w:t>
      </w:r>
      <w:r>
        <w:rPr>
          <w:spacing w:val="-6"/>
        </w:rPr>
        <w:t xml:space="preserve"> </w:t>
      </w:r>
      <w:r>
        <w:t>sample</w:t>
      </w:r>
      <w:r>
        <w:rPr>
          <w:spacing w:val="-6"/>
        </w:rPr>
        <w:t xml:space="preserve"> </w:t>
      </w:r>
      <w:r>
        <w:t>size</w:t>
      </w:r>
      <w:r>
        <w:rPr>
          <w:spacing w:val="-6"/>
        </w:rPr>
        <w:t xml:space="preserve"> </w:t>
      </w:r>
      <w:r>
        <w:t>less</w:t>
      </w:r>
      <w:r>
        <w:rPr>
          <w:spacing w:val="-6"/>
        </w:rPr>
        <w:t xml:space="preserve"> </w:t>
      </w:r>
      <w:r>
        <w:t>than</w:t>
      </w:r>
      <w:r>
        <w:rPr>
          <w:spacing w:val="-6"/>
        </w:rPr>
        <w:t xml:space="preserve"> </w:t>
      </w:r>
      <w:r>
        <w:t>four,</w:t>
      </w:r>
      <w:r>
        <w:rPr>
          <w:spacing w:val="-6"/>
        </w:rPr>
        <w:t xml:space="preserve"> </w:t>
      </w:r>
      <w:r>
        <w:t>then</w:t>
      </w:r>
      <w:r>
        <w:rPr>
          <w:spacing w:val="-6"/>
        </w:rPr>
        <w:t xml:space="preserve"> </w:t>
      </w:r>
      <w:r>
        <w:t>it</w:t>
      </w:r>
      <w:r>
        <w:rPr>
          <w:spacing w:val="-6"/>
        </w:rPr>
        <w:t xml:space="preserve"> </w:t>
      </w:r>
      <w:r>
        <w:t>was</w:t>
      </w:r>
      <w:r>
        <w:rPr>
          <w:spacing w:val="-6"/>
        </w:rPr>
        <w:t xml:space="preserve"> </w:t>
      </w:r>
      <w:r>
        <w:t>collapsed</w:t>
      </w:r>
      <w:r>
        <w:rPr>
          <w:spacing w:val="-6"/>
        </w:rPr>
        <w:t xml:space="preserve"> </w:t>
      </w:r>
      <w:r>
        <w:t>with</w:t>
      </w:r>
      <w:r>
        <w:rPr>
          <w:spacing w:val="-6"/>
        </w:rPr>
        <w:t xml:space="preserve"> </w:t>
      </w:r>
      <w:r>
        <w:t>a</w:t>
      </w:r>
      <w:r>
        <w:rPr>
          <w:spacing w:val="-6"/>
        </w:rPr>
        <w:t xml:space="preserve"> </w:t>
      </w:r>
      <w:r>
        <w:t>neighboring</w:t>
      </w:r>
      <w:r>
        <w:rPr>
          <w:spacing w:val="-6"/>
        </w:rPr>
        <w:t xml:space="preserve"> </w:t>
      </w:r>
      <w:r>
        <w:t>collapsed</w:t>
      </w:r>
      <w:r>
        <w:rPr>
          <w:spacing w:val="-6"/>
        </w:rPr>
        <w:t xml:space="preserve"> </w:t>
      </w:r>
      <w:r>
        <w:t>location</w:t>
      </w:r>
      <w:r>
        <w:rPr>
          <w:spacing w:val="-6"/>
        </w:rPr>
        <w:t xml:space="preserve"> </w:t>
      </w:r>
      <w:r>
        <w:t>class.</w:t>
      </w:r>
      <w:r>
        <w:rPr>
          <w:spacing w:val="-9"/>
        </w:rPr>
        <w:t xml:space="preserve"> </w:t>
      </w:r>
      <w:r>
        <w:t>That</w:t>
      </w:r>
      <w:r>
        <w:rPr>
          <w:spacing w:val="-6"/>
        </w:rPr>
        <w:t xml:space="preserve"> </w:t>
      </w:r>
      <w:r>
        <w:t>is,</w:t>
      </w:r>
      <w:r>
        <w:rPr>
          <w:spacing w:val="-6"/>
        </w:rPr>
        <w:t xml:space="preserve"> </w:t>
      </w:r>
      <w:r>
        <w:t>location</w:t>
      </w:r>
      <w:r>
        <w:rPr>
          <w:spacing w:val="-6"/>
        </w:rPr>
        <w:t xml:space="preserve"> </w:t>
      </w:r>
      <w:r>
        <w:t>class</w:t>
      </w:r>
      <w:r>
        <w:rPr>
          <w:spacing w:val="-6"/>
        </w:rPr>
        <w:t xml:space="preserve"> </w:t>
      </w:r>
      <w:r>
        <w:t>1 would be collapsed with 2, or location class 3 would be collapsed with 4. If additional collapsing was necessary, all location classes were combined. No collapsing across census division strata was allowed or necessary.</w:t>
      </w:r>
    </w:p>
    <w:p w:rsidR="003F5784" w14:paraId="012AB6D3" w14:textId="77777777">
      <w:pPr>
        <w:pStyle w:val="BodyText"/>
        <w:spacing w:before="209" w:line="232" w:lineRule="auto"/>
        <w:ind w:left="109" w:right="179"/>
      </w:pPr>
      <w:r>
        <w:t>The</w:t>
      </w:r>
      <w:r>
        <w:rPr>
          <w:spacing w:val="-8"/>
        </w:rPr>
        <w:t xml:space="preserve"> </w:t>
      </w:r>
      <w:r>
        <w:t>result</w:t>
      </w:r>
      <w:r>
        <w:rPr>
          <w:spacing w:val="-6"/>
        </w:rPr>
        <w:t xml:space="preserve"> </w:t>
      </w:r>
      <w:r>
        <w:t>of</w:t>
      </w:r>
      <w:r>
        <w:rPr>
          <w:spacing w:val="-6"/>
        </w:rPr>
        <w:t xml:space="preserve"> </w:t>
      </w:r>
      <w:r>
        <w:t>this</w:t>
      </w:r>
      <w:r>
        <w:rPr>
          <w:spacing w:val="-6"/>
        </w:rPr>
        <w:t xml:space="preserve"> </w:t>
      </w:r>
      <w:r>
        <w:t>was</w:t>
      </w:r>
      <w:r>
        <w:rPr>
          <w:spacing w:val="-6"/>
        </w:rPr>
        <w:t xml:space="preserve"> </w:t>
      </w:r>
      <w:r>
        <w:t>a</w:t>
      </w:r>
      <w:r>
        <w:rPr>
          <w:spacing w:val="-6"/>
        </w:rPr>
        <w:t xml:space="preserve"> </w:t>
      </w:r>
      <w:r>
        <w:t>set</w:t>
      </w:r>
      <w:r>
        <w:rPr>
          <w:spacing w:val="-6"/>
        </w:rPr>
        <w:t xml:space="preserve"> </w:t>
      </w:r>
      <w:r>
        <w:t>of</w:t>
      </w:r>
      <w:r>
        <w:rPr>
          <w:spacing w:val="-6"/>
        </w:rPr>
        <w:t xml:space="preserve"> </w:t>
      </w:r>
      <w:r>
        <w:t>sampling</w:t>
      </w:r>
      <w:r>
        <w:rPr>
          <w:spacing w:val="-6"/>
        </w:rPr>
        <w:t xml:space="preserve"> </w:t>
      </w:r>
      <w:r>
        <w:t>strata</w:t>
      </w:r>
      <w:r>
        <w:rPr>
          <w:spacing w:val="-6"/>
        </w:rPr>
        <w:t xml:space="preserve"> </w:t>
      </w:r>
      <w:r>
        <w:t>defined</w:t>
      </w:r>
      <w:r>
        <w:rPr>
          <w:spacing w:val="-6"/>
        </w:rPr>
        <w:t xml:space="preserve"> </w:t>
      </w:r>
      <w:r>
        <w:t>by</w:t>
      </w:r>
      <w:r>
        <w:rPr>
          <w:spacing w:val="-14"/>
        </w:rPr>
        <w:t xml:space="preserve"> </w:t>
      </w:r>
      <w:r>
        <w:t>AI/AN</w:t>
      </w:r>
      <w:r>
        <w:rPr>
          <w:spacing w:val="-5"/>
        </w:rPr>
        <w:t xml:space="preserve"> </w:t>
      </w:r>
      <w:r>
        <w:t>classification,</w:t>
      </w:r>
      <w:r>
        <w:rPr>
          <w:spacing w:val="-6"/>
        </w:rPr>
        <w:t xml:space="preserve"> </w:t>
      </w:r>
      <w:r>
        <w:t>census</w:t>
      </w:r>
      <w:r>
        <w:rPr>
          <w:spacing w:val="-6"/>
        </w:rPr>
        <w:t xml:space="preserve"> </w:t>
      </w:r>
      <w:r>
        <w:t>division</w:t>
      </w:r>
      <w:r>
        <w:rPr>
          <w:spacing w:val="-6"/>
        </w:rPr>
        <w:t xml:space="preserve"> </w:t>
      </w:r>
      <w:r>
        <w:t>strata,</w:t>
      </w:r>
      <w:r>
        <w:rPr>
          <w:spacing w:val="-6"/>
        </w:rPr>
        <w:t xml:space="preserve"> </w:t>
      </w:r>
      <w:r>
        <w:t>and</w:t>
      </w:r>
      <w:r>
        <w:rPr>
          <w:spacing w:val="-6"/>
        </w:rPr>
        <w:t xml:space="preserve"> </w:t>
      </w:r>
      <w:r>
        <w:t>urbanicity</w:t>
      </w:r>
      <w:r>
        <w:rPr>
          <w:spacing w:val="-6"/>
        </w:rPr>
        <w:t xml:space="preserve"> </w:t>
      </w:r>
      <w:r>
        <w:t>classification</w:t>
      </w:r>
      <w:r>
        <w:rPr>
          <w:spacing w:val="-6"/>
        </w:rPr>
        <w:t xml:space="preserve"> </w:t>
      </w:r>
      <w:r>
        <w:t>having</w:t>
      </w:r>
      <w:r>
        <w:rPr>
          <w:spacing w:val="-6"/>
        </w:rPr>
        <w:t xml:space="preserve"> </w:t>
      </w:r>
      <w:r>
        <w:t>expected</w:t>
      </w:r>
      <w:r>
        <w:rPr>
          <w:spacing w:val="-6"/>
        </w:rPr>
        <w:t xml:space="preserve"> </w:t>
      </w:r>
      <w:r>
        <w:t>school</w:t>
      </w:r>
      <w:r>
        <w:rPr>
          <w:spacing w:val="-6"/>
        </w:rPr>
        <w:t xml:space="preserve"> </w:t>
      </w:r>
      <w:r>
        <w:t>sample</w:t>
      </w:r>
      <w:r>
        <w:rPr>
          <w:spacing w:val="-6"/>
        </w:rPr>
        <w:t xml:space="preserve"> </w:t>
      </w:r>
      <w:r>
        <w:t>sizes</w:t>
      </w:r>
      <w:r>
        <w:rPr>
          <w:spacing w:val="-6"/>
        </w:rPr>
        <w:t xml:space="preserve"> </w:t>
      </w:r>
      <w:r>
        <w:t>of</w:t>
      </w:r>
      <w:r>
        <w:rPr>
          <w:spacing w:val="-6"/>
        </w:rPr>
        <w:t xml:space="preserve"> </w:t>
      </w:r>
      <w:r>
        <w:t>at least four schools.</w:t>
      </w:r>
    </w:p>
    <w:p w:rsidR="003F5784" w14:paraId="5EB461BE" w14:textId="77777777">
      <w:pPr>
        <w:pStyle w:val="BodyText"/>
        <w:spacing w:before="203"/>
        <w:ind w:left="109"/>
      </w:pPr>
      <w:r>
        <w:t>No</w:t>
      </w:r>
      <w:r>
        <w:rPr>
          <w:spacing w:val="-10"/>
        </w:rPr>
        <w:t xml:space="preserve"> </w:t>
      </w:r>
      <w:r>
        <w:t>further</w:t>
      </w:r>
      <w:r>
        <w:rPr>
          <w:spacing w:val="-7"/>
        </w:rPr>
        <w:t xml:space="preserve"> </w:t>
      </w:r>
      <w:r>
        <w:t>implicit</w:t>
      </w:r>
      <w:r>
        <w:rPr>
          <w:spacing w:val="-6"/>
        </w:rPr>
        <w:t xml:space="preserve"> </w:t>
      </w:r>
      <w:r>
        <w:t>strata</w:t>
      </w:r>
      <w:r>
        <w:rPr>
          <w:spacing w:val="-7"/>
        </w:rPr>
        <w:t xml:space="preserve"> </w:t>
      </w:r>
      <w:r>
        <w:t>for</w:t>
      </w:r>
      <w:r>
        <w:rPr>
          <w:spacing w:val="-6"/>
        </w:rPr>
        <w:t xml:space="preserve"> </w:t>
      </w:r>
      <w:r>
        <w:t>High</w:t>
      </w:r>
      <w:r>
        <w:rPr>
          <w:spacing w:val="-13"/>
        </w:rPr>
        <w:t xml:space="preserve"> </w:t>
      </w:r>
      <w:r>
        <w:t>AI/AN</w:t>
      </w:r>
      <w:r>
        <w:rPr>
          <w:spacing w:val="-7"/>
        </w:rPr>
        <w:t xml:space="preserve"> </w:t>
      </w:r>
      <w:r>
        <w:t>schools</w:t>
      </w:r>
      <w:r>
        <w:rPr>
          <w:spacing w:val="-6"/>
        </w:rPr>
        <w:t xml:space="preserve"> </w:t>
      </w:r>
      <w:r>
        <w:t>were</w:t>
      </w:r>
      <w:r>
        <w:rPr>
          <w:spacing w:val="-7"/>
        </w:rPr>
        <w:t xml:space="preserve"> </w:t>
      </w:r>
      <w:r>
        <w:t>formed</w:t>
      </w:r>
      <w:r>
        <w:rPr>
          <w:spacing w:val="-6"/>
        </w:rPr>
        <w:t xml:space="preserve"> </w:t>
      </w:r>
      <w:r>
        <w:t>beyond</w:t>
      </w:r>
      <w:r>
        <w:rPr>
          <w:spacing w:val="-7"/>
        </w:rPr>
        <w:t xml:space="preserve"> </w:t>
      </w:r>
      <w:r>
        <w:t>urbanization</w:t>
      </w:r>
      <w:r>
        <w:rPr>
          <w:spacing w:val="-6"/>
        </w:rPr>
        <w:t xml:space="preserve"> </w:t>
      </w:r>
      <w:r>
        <w:rPr>
          <w:spacing w:val="-2"/>
        </w:rPr>
        <w:t>classification.</w:t>
      </w:r>
    </w:p>
    <w:p w:rsidR="003F5784" w14:paraId="49168C7E" w14:textId="77777777">
      <w:pPr>
        <w:pStyle w:val="Heading2"/>
        <w:spacing w:before="202"/>
        <w:ind w:left="109"/>
      </w:pPr>
      <w:r>
        <w:rPr>
          <w:spacing w:val="-2"/>
        </w:rPr>
        <w:t>Black/Hispanic</w:t>
      </w:r>
      <w:r>
        <w:rPr>
          <w:spacing w:val="13"/>
        </w:rPr>
        <w:t xml:space="preserve"> </w:t>
      </w:r>
      <w:r>
        <w:rPr>
          <w:spacing w:val="-2"/>
        </w:rPr>
        <w:t>Composition</w:t>
      </w:r>
    </w:p>
    <w:p w:rsidR="003F5784" w14:paraId="0118943F" w14:textId="77777777">
      <w:pPr>
        <w:pStyle w:val="BodyText"/>
        <w:spacing w:before="208" w:line="232" w:lineRule="auto"/>
        <w:ind w:left="109"/>
      </w:pPr>
      <w:r>
        <w:t>Low</w:t>
      </w:r>
      <w:r>
        <w:rPr>
          <w:spacing w:val="-13"/>
        </w:rPr>
        <w:t xml:space="preserve"> </w:t>
      </w:r>
      <w:r>
        <w:t>AI/AN</w:t>
      </w:r>
      <w:r>
        <w:rPr>
          <w:spacing w:val="-2"/>
        </w:rPr>
        <w:t xml:space="preserve"> </w:t>
      </w:r>
      <w:r>
        <w:t>schools</w:t>
      </w:r>
      <w:r>
        <w:rPr>
          <w:spacing w:val="-2"/>
        </w:rPr>
        <w:t xml:space="preserve"> </w:t>
      </w:r>
      <w:r>
        <w:t>within</w:t>
      </w:r>
      <w:r>
        <w:rPr>
          <w:spacing w:val="-2"/>
        </w:rPr>
        <w:t xml:space="preserve"> </w:t>
      </w:r>
      <w:r>
        <w:t>the</w:t>
      </w:r>
      <w:r>
        <w:rPr>
          <w:spacing w:val="-2"/>
        </w:rPr>
        <w:t xml:space="preserve"> </w:t>
      </w:r>
      <w:r>
        <w:t>nested</w:t>
      </w:r>
      <w:r>
        <w:rPr>
          <w:spacing w:val="-2"/>
        </w:rPr>
        <w:t xml:space="preserve"> </w:t>
      </w:r>
      <w:r>
        <w:t>urbanicity</w:t>
      </w:r>
      <w:r>
        <w:rPr>
          <w:spacing w:val="-2"/>
        </w:rPr>
        <w:t xml:space="preserve"> </w:t>
      </w:r>
      <w:r>
        <w:t>classification</w:t>
      </w:r>
      <w:r>
        <w:rPr>
          <w:spacing w:val="-2"/>
        </w:rPr>
        <w:t xml:space="preserve"> </w:t>
      </w:r>
      <w:r>
        <w:t>strata</w:t>
      </w:r>
      <w:r>
        <w:rPr>
          <w:spacing w:val="-2"/>
        </w:rPr>
        <w:t xml:space="preserve"> </w:t>
      </w:r>
      <w:r>
        <w:t>were</w:t>
      </w:r>
      <w:r>
        <w:rPr>
          <w:spacing w:val="-2"/>
        </w:rPr>
        <w:t xml:space="preserve"> </w:t>
      </w:r>
      <w:r>
        <w:t>further</w:t>
      </w:r>
      <w:r>
        <w:rPr>
          <w:spacing w:val="-2"/>
        </w:rPr>
        <w:t xml:space="preserve"> </w:t>
      </w:r>
      <w:r>
        <w:t>stratified</w:t>
      </w:r>
      <w:r>
        <w:rPr>
          <w:spacing w:val="-2"/>
        </w:rPr>
        <w:t xml:space="preserve"> </w:t>
      </w:r>
      <w:r>
        <w:t>into</w:t>
      </w:r>
      <w:r>
        <w:rPr>
          <w:spacing w:val="-2"/>
        </w:rPr>
        <w:t xml:space="preserve"> </w:t>
      </w:r>
      <w:r>
        <w:t>Black/Hispanic</w:t>
      </w:r>
      <w:r>
        <w:rPr>
          <w:spacing w:val="-2"/>
        </w:rPr>
        <w:t xml:space="preserve"> </w:t>
      </w:r>
      <w:r>
        <w:t>classification</w:t>
      </w:r>
      <w:r>
        <w:rPr>
          <w:spacing w:val="-2"/>
        </w:rPr>
        <w:t xml:space="preserve"> </w:t>
      </w:r>
      <w:r>
        <w:t>strata.</w:t>
      </w:r>
      <w:r>
        <w:rPr>
          <w:spacing w:val="-6"/>
        </w:rPr>
        <w:t xml:space="preserve"> </w:t>
      </w:r>
      <w:r>
        <w:t>The</w:t>
      </w:r>
      <w:r>
        <w:rPr>
          <w:spacing w:val="-2"/>
        </w:rPr>
        <w:t xml:space="preserve"> </w:t>
      </w:r>
      <w:r>
        <w:t>first</w:t>
      </w:r>
      <w:r>
        <w:rPr>
          <w:spacing w:val="-2"/>
        </w:rPr>
        <w:t xml:space="preserve"> </w:t>
      </w:r>
      <w:r>
        <w:t>division</w:t>
      </w:r>
      <w:r>
        <w:rPr>
          <w:spacing w:val="-2"/>
        </w:rPr>
        <w:t xml:space="preserve"> </w:t>
      </w:r>
      <w:r>
        <w:t>was</w:t>
      </w:r>
      <w:r>
        <w:rPr>
          <w:spacing w:val="-2"/>
        </w:rPr>
        <w:t xml:space="preserve"> </w:t>
      </w:r>
      <w:r>
        <w:t>the</w:t>
      </w:r>
      <w:r>
        <w:rPr>
          <w:spacing w:val="-2"/>
        </w:rPr>
        <w:t xml:space="preserve"> </w:t>
      </w:r>
      <w:r>
        <w:t>classification</w:t>
      </w:r>
      <w:r>
        <w:rPr>
          <w:spacing w:val="-2"/>
        </w:rPr>
        <w:t xml:space="preserve"> </w:t>
      </w:r>
      <w:r>
        <w:t>of schools</w:t>
      </w:r>
      <w:r>
        <w:rPr>
          <w:spacing w:val="-6"/>
        </w:rPr>
        <w:t xml:space="preserve"> </w:t>
      </w:r>
      <w:r>
        <w:t>as</w:t>
      </w:r>
      <w:r>
        <w:rPr>
          <w:spacing w:val="-6"/>
        </w:rPr>
        <w:t xml:space="preserve"> </w:t>
      </w:r>
      <w:r>
        <w:t>either</w:t>
      </w:r>
      <w:r>
        <w:rPr>
          <w:spacing w:val="-6"/>
        </w:rPr>
        <w:t xml:space="preserve"> </w:t>
      </w:r>
      <w:r>
        <w:t>low</w:t>
      </w:r>
      <w:r>
        <w:rPr>
          <w:spacing w:val="-6"/>
        </w:rPr>
        <w:t xml:space="preserve"> </w:t>
      </w:r>
      <w:r>
        <w:t>Black/Hispanic</w:t>
      </w:r>
      <w:r>
        <w:rPr>
          <w:spacing w:val="-6"/>
        </w:rPr>
        <w:t xml:space="preserve"> </w:t>
      </w:r>
      <w:r>
        <w:t>schools</w:t>
      </w:r>
      <w:r>
        <w:rPr>
          <w:spacing w:val="-6"/>
        </w:rPr>
        <w:t xml:space="preserve"> </w:t>
      </w:r>
      <w:r>
        <w:t>or</w:t>
      </w:r>
      <w:r>
        <w:rPr>
          <w:spacing w:val="-6"/>
        </w:rPr>
        <w:t xml:space="preserve"> </w:t>
      </w:r>
      <w:r>
        <w:t>high</w:t>
      </w:r>
      <w:r>
        <w:rPr>
          <w:spacing w:val="-6"/>
        </w:rPr>
        <w:t xml:space="preserve"> </w:t>
      </w:r>
      <w:r>
        <w:t>Black/Hispanic</w:t>
      </w:r>
      <w:r>
        <w:rPr>
          <w:spacing w:val="-6"/>
        </w:rPr>
        <w:t xml:space="preserve"> </w:t>
      </w:r>
      <w:r>
        <w:t>schools</w:t>
      </w:r>
      <w:r>
        <w:rPr>
          <w:spacing w:val="-6"/>
        </w:rPr>
        <w:t xml:space="preserve"> </w:t>
      </w:r>
      <w:r>
        <w:t>based</w:t>
      </w:r>
      <w:r>
        <w:rPr>
          <w:spacing w:val="-6"/>
        </w:rPr>
        <w:t xml:space="preserve"> </w:t>
      </w:r>
      <w:r>
        <w:t>on</w:t>
      </w:r>
      <w:r>
        <w:rPr>
          <w:spacing w:val="-6"/>
        </w:rPr>
        <w:t xml:space="preserve"> </w:t>
      </w:r>
      <w:r>
        <w:t>the</w:t>
      </w:r>
      <w:r>
        <w:rPr>
          <w:spacing w:val="-6"/>
        </w:rPr>
        <w:t xml:space="preserve"> </w:t>
      </w:r>
      <w:r>
        <w:t>total</w:t>
      </w:r>
      <w:r>
        <w:rPr>
          <w:spacing w:val="-6"/>
        </w:rPr>
        <w:t xml:space="preserve"> </w:t>
      </w:r>
      <w:r>
        <w:t>percentage</w:t>
      </w:r>
      <w:r>
        <w:rPr>
          <w:spacing w:val="-6"/>
        </w:rPr>
        <w:t xml:space="preserve"> </w:t>
      </w:r>
      <w:r>
        <w:t>of</w:t>
      </w:r>
      <w:r>
        <w:rPr>
          <w:spacing w:val="-6"/>
        </w:rPr>
        <w:t xml:space="preserve"> </w:t>
      </w:r>
      <w:r>
        <w:t>Black</w:t>
      </w:r>
      <w:r>
        <w:rPr>
          <w:spacing w:val="-6"/>
        </w:rPr>
        <w:t xml:space="preserve"> </w:t>
      </w:r>
      <w:r>
        <w:t>and</w:t>
      </w:r>
      <w:r>
        <w:rPr>
          <w:spacing w:val="-6"/>
        </w:rPr>
        <w:t xml:space="preserve"> </w:t>
      </w:r>
      <w:r>
        <w:t>Hispanic</w:t>
      </w:r>
      <w:r>
        <w:rPr>
          <w:spacing w:val="-6"/>
        </w:rPr>
        <w:t xml:space="preserve"> </w:t>
      </w:r>
      <w:r>
        <w:t>students</w:t>
      </w:r>
      <w:r>
        <w:rPr>
          <w:spacing w:val="-6"/>
        </w:rPr>
        <w:t xml:space="preserve"> </w:t>
      </w:r>
      <w:r>
        <w:t>in</w:t>
      </w:r>
      <w:r>
        <w:rPr>
          <w:spacing w:val="-6"/>
        </w:rPr>
        <w:t xml:space="preserve"> </w:t>
      </w:r>
      <w:r>
        <w:t>the</w:t>
      </w:r>
      <w:r>
        <w:rPr>
          <w:spacing w:val="-6"/>
        </w:rPr>
        <w:t xml:space="preserve"> </w:t>
      </w:r>
      <w:r>
        <w:t>target</w:t>
      </w:r>
      <w:r>
        <w:rPr>
          <w:spacing w:val="-6"/>
        </w:rPr>
        <w:t xml:space="preserve"> </w:t>
      </w:r>
      <w:r>
        <w:t>grade</w:t>
      </w:r>
      <w:r>
        <w:rPr>
          <w:spacing w:val="-6"/>
        </w:rPr>
        <w:t xml:space="preserve"> </w:t>
      </w:r>
      <w:r>
        <w:t>(the</w:t>
      </w:r>
      <w:r>
        <w:rPr>
          <w:spacing w:val="-6"/>
        </w:rPr>
        <w:t xml:space="preserve"> </w:t>
      </w:r>
      <w:r>
        <w:t>cutoff</w:t>
      </w:r>
      <w:r>
        <w:rPr>
          <w:spacing w:val="-6"/>
        </w:rPr>
        <w:t xml:space="preserve"> </w:t>
      </w:r>
      <w:r>
        <w:t>was</w:t>
      </w:r>
      <w:r>
        <w:rPr>
          <w:spacing w:val="-6"/>
        </w:rPr>
        <w:t xml:space="preserve"> </w:t>
      </w:r>
      <w:r>
        <w:t>15 percent total Black and Hispanic students).</w:t>
      </w:r>
      <w:r>
        <w:rPr>
          <w:spacing w:val="-3"/>
        </w:rPr>
        <w:t xml:space="preserve"> </w:t>
      </w:r>
      <w:r>
        <w:t>Within the high Black/Hispanic classification, the number of substrata was based on the expected school sample size.</w:t>
      </w:r>
    </w:p>
    <w:p w:rsidR="003F5784" w14:paraId="26FBD987" w14:textId="77777777">
      <w:pPr>
        <w:pStyle w:val="BodyText"/>
        <w:spacing w:before="203"/>
        <w:ind w:left="422"/>
      </w:pPr>
      <w:r>
        <w:rPr>
          <w:noProof/>
          <w:position w:val="3"/>
        </w:rPr>
        <w:drawing>
          <wp:inline distT="0" distB="0" distL="0" distR="0">
            <wp:extent cx="41379" cy="41362"/>
            <wp:effectExtent l="0" t="0" r="0" b="0"/>
            <wp:docPr id="92" name="Image 92"/>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xmlns:r="http://schemas.openxmlformats.org/officeDocument/2006/relationships" r:embed="rId73" cstate="print"/>
                    <a:stretch>
                      <a:fillRect/>
                    </a:stretch>
                  </pic:blipFill>
                  <pic:spPr>
                    <a:xfrm>
                      <a:off x="0" y="0"/>
                      <a:ext cx="41379" cy="41362"/>
                    </a:xfrm>
                    <a:prstGeom prst="rect">
                      <a:avLst/>
                    </a:prstGeom>
                  </pic:spPr>
                </pic:pic>
              </a:graphicData>
            </a:graphic>
          </wp:inline>
        </w:drawing>
      </w:r>
      <w:r>
        <w:rPr>
          <w:spacing w:val="80"/>
          <w:sz w:val="20"/>
        </w:rPr>
        <w:t xml:space="preserve"> </w:t>
      </w:r>
      <w:r>
        <w:t>If</w:t>
      </w:r>
      <w:r>
        <w:rPr>
          <w:spacing w:val="-1"/>
        </w:rPr>
        <w:t xml:space="preserve"> </w:t>
      </w:r>
      <w:r>
        <w:t>the</w:t>
      </w:r>
      <w:r>
        <w:rPr>
          <w:spacing w:val="-1"/>
        </w:rPr>
        <w:t xml:space="preserve"> </w:t>
      </w:r>
      <w:r>
        <w:t>expected</w:t>
      </w:r>
      <w:r>
        <w:rPr>
          <w:spacing w:val="-1"/>
        </w:rPr>
        <w:t xml:space="preserve"> </w:t>
      </w:r>
      <w:r>
        <w:t>school</w:t>
      </w:r>
      <w:r>
        <w:rPr>
          <w:spacing w:val="-1"/>
        </w:rPr>
        <w:t xml:space="preserve"> </w:t>
      </w:r>
      <w:r>
        <w:t>sample</w:t>
      </w:r>
      <w:r>
        <w:rPr>
          <w:spacing w:val="-1"/>
        </w:rPr>
        <w:t xml:space="preserve"> </w:t>
      </w:r>
      <w:r>
        <w:t>size</w:t>
      </w:r>
      <w:r>
        <w:rPr>
          <w:spacing w:val="-1"/>
        </w:rPr>
        <w:t xml:space="preserve"> </w:t>
      </w:r>
      <w:r>
        <w:t>of</w:t>
      </w:r>
      <w:r>
        <w:rPr>
          <w:spacing w:val="-1"/>
        </w:rPr>
        <w:t xml:space="preserve"> </w:t>
      </w:r>
      <w:r>
        <w:t>resultant</w:t>
      </w:r>
      <w:r>
        <w:rPr>
          <w:spacing w:val="-1"/>
        </w:rPr>
        <w:t xml:space="preserve"> </w:t>
      </w:r>
      <w:r>
        <w:t>stratum</w:t>
      </w:r>
      <w:r>
        <w:rPr>
          <w:spacing w:val="-1"/>
        </w:rPr>
        <w:t xml:space="preserve"> </w:t>
      </w:r>
      <w:r>
        <w:t>was</w:t>
      </w:r>
      <w:r>
        <w:rPr>
          <w:spacing w:val="-1"/>
        </w:rPr>
        <w:t xml:space="preserve"> </w:t>
      </w:r>
      <w:r>
        <w:t>less</w:t>
      </w:r>
      <w:r>
        <w:rPr>
          <w:spacing w:val="-1"/>
        </w:rPr>
        <w:t xml:space="preserve"> </w:t>
      </w:r>
      <w:r>
        <w:t>than</w:t>
      </w:r>
      <w:r>
        <w:rPr>
          <w:spacing w:val="-1"/>
        </w:rPr>
        <w:t xml:space="preserve"> </w:t>
      </w:r>
      <w:r>
        <w:t>or</w:t>
      </w:r>
      <w:r>
        <w:rPr>
          <w:spacing w:val="-1"/>
        </w:rPr>
        <w:t xml:space="preserve"> </w:t>
      </w:r>
      <w:r>
        <w:t>equal</w:t>
      </w:r>
      <w:r>
        <w:rPr>
          <w:spacing w:val="-1"/>
        </w:rPr>
        <w:t xml:space="preserve"> </w:t>
      </w:r>
      <w:r>
        <w:t>to</w:t>
      </w:r>
      <w:r>
        <w:rPr>
          <w:spacing w:val="-1"/>
        </w:rPr>
        <w:t xml:space="preserve"> </w:t>
      </w:r>
      <w:r>
        <w:t>8.0,</w:t>
      </w:r>
      <w:r>
        <w:rPr>
          <w:spacing w:val="-1"/>
        </w:rPr>
        <w:t xml:space="preserve"> </w:t>
      </w:r>
      <w:r>
        <w:t>then</w:t>
      </w:r>
      <w:r>
        <w:rPr>
          <w:spacing w:val="-1"/>
        </w:rPr>
        <w:t xml:space="preserve"> </w:t>
      </w:r>
      <w:r>
        <w:t>this</w:t>
      </w:r>
      <w:r>
        <w:rPr>
          <w:spacing w:val="-1"/>
        </w:rPr>
        <w:t xml:space="preserve"> </w:t>
      </w:r>
      <w:r>
        <w:t>was</w:t>
      </w:r>
      <w:r>
        <w:rPr>
          <w:spacing w:val="-1"/>
        </w:rPr>
        <w:t xml:space="preserve"> </w:t>
      </w:r>
      <w:r>
        <w:t>the</w:t>
      </w:r>
      <w:r>
        <w:rPr>
          <w:spacing w:val="-1"/>
        </w:rPr>
        <w:t xml:space="preserve"> </w:t>
      </w:r>
      <w:r>
        <w:t>final</w:t>
      </w:r>
      <w:r>
        <w:rPr>
          <w:spacing w:val="-1"/>
        </w:rPr>
        <w:t xml:space="preserve"> </w:t>
      </w:r>
      <w:r>
        <w:t>urbanicity-Black/Hispanic</w:t>
      </w:r>
      <w:r>
        <w:rPr>
          <w:spacing w:val="-1"/>
        </w:rPr>
        <w:t xml:space="preserve"> </w:t>
      </w:r>
      <w:r>
        <w:t>stratum;</w:t>
      </w:r>
    </w:p>
    <w:p w:rsidR="003F5784" w14:paraId="26D4E311" w14:textId="77777777">
      <w:pPr>
        <w:sectPr>
          <w:pgSz w:w="15840" w:h="12240" w:orient="landscape"/>
          <w:pgMar w:top="480" w:right="440" w:bottom="460" w:left="460" w:header="284" w:footer="275" w:gutter="0"/>
          <w:cols w:space="720"/>
        </w:sectPr>
      </w:pPr>
    </w:p>
    <w:p w:rsidR="003F5784" w14:paraId="5017CC0B" w14:textId="77777777">
      <w:pPr>
        <w:pStyle w:val="BodyText"/>
        <w:spacing w:before="72" w:line="238" w:lineRule="exact"/>
        <w:ind w:left="422"/>
      </w:pPr>
      <w:r>
        <w:rPr>
          <w:noProof/>
          <w:position w:val="3"/>
        </w:rPr>
        <w:drawing>
          <wp:inline distT="0" distB="0" distL="0" distR="0">
            <wp:extent cx="41379" cy="41362"/>
            <wp:effectExtent l="0" t="0" r="0" b="0"/>
            <wp:docPr id="93" name="Image 93"/>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xmlns:r="http://schemas.openxmlformats.org/officeDocument/2006/relationships" r:embed="rId74" cstate="print"/>
                    <a:stretch>
                      <a:fillRect/>
                    </a:stretch>
                  </pic:blipFill>
                  <pic:spPr>
                    <a:xfrm>
                      <a:off x="0" y="0"/>
                      <a:ext cx="41379" cy="41362"/>
                    </a:xfrm>
                    <a:prstGeom prst="rect">
                      <a:avLst/>
                    </a:prstGeom>
                  </pic:spPr>
                </pic:pic>
              </a:graphicData>
            </a:graphic>
          </wp:inline>
        </w:drawing>
      </w:r>
      <w:r>
        <w:rPr>
          <w:spacing w:val="80"/>
          <w:sz w:val="20"/>
        </w:rPr>
        <w:t xml:space="preserve"> </w:t>
      </w:r>
      <w:r>
        <w:t>if the expected sample size was greater than or equal to 8.0 and less than 12.0, there were two substrata;</w:t>
      </w:r>
    </w:p>
    <w:p w:rsidR="003F5784" w14:paraId="3BFBA16B" w14:textId="77777777">
      <w:pPr>
        <w:pStyle w:val="BodyText"/>
        <w:spacing w:before="3" w:line="232" w:lineRule="auto"/>
        <w:ind w:left="422" w:right="5082"/>
      </w:pPr>
      <w:r>
        <w:rPr>
          <w:noProof/>
          <w:position w:val="3"/>
        </w:rPr>
        <w:drawing>
          <wp:inline distT="0" distB="0" distL="0" distR="0">
            <wp:extent cx="41379" cy="41362"/>
            <wp:effectExtent l="0" t="0" r="0" b="0"/>
            <wp:docPr id="94" name="Image 94"/>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xmlns:r="http://schemas.openxmlformats.org/officeDocument/2006/relationships" r:embed="rId75" cstate="print"/>
                    <a:stretch>
                      <a:fillRect/>
                    </a:stretch>
                  </pic:blipFill>
                  <pic:spPr>
                    <a:xfrm>
                      <a:off x="0" y="0"/>
                      <a:ext cx="41379" cy="41362"/>
                    </a:xfrm>
                    <a:prstGeom prst="rect">
                      <a:avLst/>
                    </a:prstGeom>
                  </pic:spPr>
                </pic:pic>
              </a:graphicData>
            </a:graphic>
          </wp:inline>
        </w:drawing>
      </w:r>
      <w:r>
        <w:rPr>
          <w:spacing w:val="80"/>
          <w:sz w:val="20"/>
        </w:rPr>
        <w:t xml:space="preserve"> </w:t>
      </w:r>
      <w:r>
        <w:t>if</w:t>
      </w:r>
      <w:r>
        <w:rPr>
          <w:spacing w:val="-5"/>
        </w:rPr>
        <w:t xml:space="preserve"> </w:t>
      </w:r>
      <w:r>
        <w:t>the</w:t>
      </w:r>
      <w:r>
        <w:rPr>
          <w:spacing w:val="-5"/>
        </w:rPr>
        <w:t xml:space="preserve"> </w:t>
      </w:r>
      <w:r>
        <w:t>expected</w:t>
      </w:r>
      <w:r>
        <w:rPr>
          <w:spacing w:val="-5"/>
        </w:rPr>
        <w:t xml:space="preserve"> </w:t>
      </w:r>
      <w:r>
        <w:t>sample</w:t>
      </w:r>
      <w:r>
        <w:rPr>
          <w:spacing w:val="-5"/>
        </w:rPr>
        <w:t xml:space="preserve"> </w:t>
      </w:r>
      <w:r>
        <w:t>size</w:t>
      </w:r>
      <w:r>
        <w:rPr>
          <w:spacing w:val="-5"/>
        </w:rPr>
        <w:t xml:space="preserve"> </w:t>
      </w:r>
      <w:r>
        <w:t>was</w:t>
      </w:r>
      <w:r>
        <w:rPr>
          <w:spacing w:val="-5"/>
        </w:rPr>
        <w:t xml:space="preserve"> </w:t>
      </w:r>
      <w:r>
        <w:t>greater</w:t>
      </w:r>
      <w:r>
        <w:rPr>
          <w:spacing w:val="-5"/>
        </w:rPr>
        <w:t xml:space="preserve"> </w:t>
      </w:r>
      <w:r>
        <w:t>than</w:t>
      </w:r>
      <w:r>
        <w:rPr>
          <w:spacing w:val="-5"/>
        </w:rPr>
        <w:t xml:space="preserve"> </w:t>
      </w:r>
      <w:r>
        <w:t>or</w:t>
      </w:r>
      <w:r>
        <w:rPr>
          <w:spacing w:val="-5"/>
        </w:rPr>
        <w:t xml:space="preserve"> </w:t>
      </w:r>
      <w:r>
        <w:t>equal</w:t>
      </w:r>
      <w:r>
        <w:rPr>
          <w:spacing w:val="-5"/>
        </w:rPr>
        <w:t xml:space="preserve"> </w:t>
      </w:r>
      <w:r>
        <w:t>to</w:t>
      </w:r>
      <w:r>
        <w:rPr>
          <w:spacing w:val="-5"/>
        </w:rPr>
        <w:t xml:space="preserve"> </w:t>
      </w:r>
      <w:r>
        <w:t>12.0</w:t>
      </w:r>
      <w:r>
        <w:rPr>
          <w:spacing w:val="-5"/>
        </w:rPr>
        <w:t xml:space="preserve"> </w:t>
      </w:r>
      <w:r>
        <w:t>and</w:t>
      </w:r>
      <w:r>
        <w:rPr>
          <w:spacing w:val="-5"/>
        </w:rPr>
        <w:t xml:space="preserve"> </w:t>
      </w:r>
      <w:r>
        <w:t>less</w:t>
      </w:r>
      <w:r>
        <w:rPr>
          <w:spacing w:val="-5"/>
        </w:rPr>
        <w:t xml:space="preserve"> </w:t>
      </w:r>
      <w:r>
        <w:t>than</w:t>
      </w:r>
      <w:r>
        <w:rPr>
          <w:spacing w:val="-5"/>
        </w:rPr>
        <w:t xml:space="preserve"> </w:t>
      </w:r>
      <w:r>
        <w:t>16.0,</w:t>
      </w:r>
      <w:r>
        <w:rPr>
          <w:spacing w:val="-5"/>
        </w:rPr>
        <w:t xml:space="preserve"> </w:t>
      </w:r>
      <w:r>
        <w:t>there</w:t>
      </w:r>
      <w:r>
        <w:rPr>
          <w:spacing w:val="-5"/>
        </w:rPr>
        <w:t xml:space="preserve"> </w:t>
      </w:r>
      <w:r>
        <w:t>were</w:t>
      </w:r>
      <w:r>
        <w:rPr>
          <w:spacing w:val="-5"/>
        </w:rPr>
        <w:t xml:space="preserve"> </w:t>
      </w:r>
      <w:r>
        <w:t>three</w:t>
      </w:r>
      <w:r>
        <w:rPr>
          <w:spacing w:val="-5"/>
        </w:rPr>
        <w:t xml:space="preserve"> </w:t>
      </w:r>
      <w:r>
        <w:t>substrata;</w:t>
      </w:r>
      <w:r>
        <w:rPr>
          <w:spacing w:val="-5"/>
        </w:rPr>
        <w:t xml:space="preserve"> </w:t>
      </w:r>
      <w:r>
        <w:t xml:space="preserve">and </w:t>
      </w:r>
      <w:r>
        <w:rPr>
          <w:noProof/>
          <w:position w:val="3"/>
        </w:rPr>
        <w:drawing>
          <wp:inline distT="0" distB="0" distL="0" distR="0">
            <wp:extent cx="41379" cy="41362"/>
            <wp:effectExtent l="0" t="0" r="0" b="0"/>
            <wp:docPr id="95" name="Image 95"/>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xmlns:r="http://schemas.openxmlformats.org/officeDocument/2006/relationships" r:embed="rId76" cstate="print"/>
                    <a:stretch>
                      <a:fillRect/>
                    </a:stretch>
                  </pic:blipFill>
                  <pic:spPr>
                    <a:xfrm>
                      <a:off x="0" y="0"/>
                      <a:ext cx="41379" cy="41362"/>
                    </a:xfrm>
                    <a:prstGeom prst="rect">
                      <a:avLst/>
                    </a:prstGeom>
                  </pic:spPr>
                </pic:pic>
              </a:graphicData>
            </a:graphic>
          </wp:inline>
        </w:drawing>
      </w:r>
      <w:r>
        <w:rPr>
          <w:spacing w:val="80"/>
        </w:rPr>
        <w:t xml:space="preserve"> </w:t>
      </w:r>
      <w:r>
        <w:t>if the expected sample size was greater than or equal to 16.0, there were four substrata.</w:t>
      </w:r>
    </w:p>
    <w:p w:rsidR="003F5784" w14:paraId="3F6C58BE" w14:textId="77777777">
      <w:pPr>
        <w:pStyle w:val="BodyText"/>
        <w:spacing w:before="209" w:line="232" w:lineRule="auto"/>
        <w:ind w:left="109"/>
      </w:pPr>
      <w:r>
        <w:t>The</w:t>
      </w:r>
      <w:r>
        <w:rPr>
          <w:spacing w:val="-6"/>
        </w:rPr>
        <w:t xml:space="preserve"> </w:t>
      </w:r>
      <w:r>
        <w:t>substrata</w:t>
      </w:r>
      <w:r>
        <w:rPr>
          <w:spacing w:val="-6"/>
        </w:rPr>
        <w:t xml:space="preserve"> </w:t>
      </w:r>
      <w:r>
        <w:t>were</w:t>
      </w:r>
      <w:r>
        <w:rPr>
          <w:spacing w:val="-6"/>
        </w:rPr>
        <w:t xml:space="preserve"> </w:t>
      </w:r>
      <w:r>
        <w:t>defined</w:t>
      </w:r>
      <w:r>
        <w:rPr>
          <w:spacing w:val="-6"/>
        </w:rPr>
        <w:t xml:space="preserve"> </w:t>
      </w:r>
      <w:r>
        <w:t>by</w:t>
      </w:r>
      <w:r>
        <w:rPr>
          <w:spacing w:val="-6"/>
        </w:rPr>
        <w:t xml:space="preserve"> </w:t>
      </w:r>
      <w:r>
        <w:t>total</w:t>
      </w:r>
      <w:r>
        <w:rPr>
          <w:spacing w:val="-6"/>
        </w:rPr>
        <w:t xml:space="preserve"> </w:t>
      </w:r>
      <w:r>
        <w:t>percentage</w:t>
      </w:r>
      <w:r>
        <w:rPr>
          <w:spacing w:val="-6"/>
        </w:rPr>
        <w:t xml:space="preserve"> </w:t>
      </w:r>
      <w:r>
        <w:t>of</w:t>
      </w:r>
      <w:r>
        <w:rPr>
          <w:spacing w:val="-6"/>
        </w:rPr>
        <w:t xml:space="preserve"> </w:t>
      </w:r>
      <w:r>
        <w:t>Black</w:t>
      </w:r>
      <w:r>
        <w:rPr>
          <w:spacing w:val="-6"/>
        </w:rPr>
        <w:t xml:space="preserve"> </w:t>
      </w:r>
      <w:r>
        <w:t>and</w:t>
      </w:r>
      <w:r>
        <w:rPr>
          <w:spacing w:val="-6"/>
        </w:rPr>
        <w:t xml:space="preserve"> </w:t>
      </w:r>
      <w:r>
        <w:t>Hispanic</w:t>
      </w:r>
      <w:r>
        <w:rPr>
          <w:spacing w:val="-6"/>
        </w:rPr>
        <w:t xml:space="preserve"> </w:t>
      </w:r>
      <w:r>
        <w:t>students,</w:t>
      </w:r>
      <w:r>
        <w:rPr>
          <w:spacing w:val="-6"/>
        </w:rPr>
        <w:t xml:space="preserve"> </w:t>
      </w:r>
      <w:r>
        <w:t>with</w:t>
      </w:r>
      <w:r>
        <w:rPr>
          <w:spacing w:val="-6"/>
        </w:rPr>
        <w:t xml:space="preserve"> </w:t>
      </w:r>
      <w:r>
        <w:t>the</w:t>
      </w:r>
      <w:r>
        <w:rPr>
          <w:spacing w:val="-6"/>
        </w:rPr>
        <w:t xml:space="preserve"> </w:t>
      </w:r>
      <w:r>
        <w:t>cutoffs</w:t>
      </w:r>
      <w:r>
        <w:rPr>
          <w:spacing w:val="-6"/>
        </w:rPr>
        <w:t xml:space="preserve"> </w:t>
      </w:r>
      <w:r>
        <w:t>for</w:t>
      </w:r>
      <w:r>
        <w:rPr>
          <w:spacing w:val="-6"/>
        </w:rPr>
        <w:t xml:space="preserve"> </w:t>
      </w:r>
      <w:r>
        <w:t>substrata</w:t>
      </w:r>
      <w:r>
        <w:rPr>
          <w:spacing w:val="-6"/>
        </w:rPr>
        <w:t xml:space="preserve"> </w:t>
      </w:r>
      <w:r>
        <w:t>defined</w:t>
      </w:r>
      <w:r>
        <w:rPr>
          <w:spacing w:val="-6"/>
        </w:rPr>
        <w:t xml:space="preserve"> </w:t>
      </w:r>
      <w:r>
        <w:t>by</w:t>
      </w:r>
      <w:r>
        <w:rPr>
          <w:spacing w:val="-6"/>
        </w:rPr>
        <w:t xml:space="preserve"> </w:t>
      </w:r>
      <w:r>
        <w:t>weighted</w:t>
      </w:r>
      <w:r>
        <w:rPr>
          <w:spacing w:val="-6"/>
        </w:rPr>
        <w:t xml:space="preserve"> </w:t>
      </w:r>
      <w:r>
        <w:t>percentiles</w:t>
      </w:r>
      <w:r>
        <w:rPr>
          <w:spacing w:val="-6"/>
        </w:rPr>
        <w:t xml:space="preserve"> </w:t>
      </w:r>
      <w:r>
        <w:t>(with</w:t>
      </w:r>
      <w:r>
        <w:rPr>
          <w:spacing w:val="-6"/>
        </w:rPr>
        <w:t xml:space="preserve"> </w:t>
      </w:r>
      <w:r>
        <w:t>the</w:t>
      </w:r>
      <w:r>
        <w:rPr>
          <w:spacing w:val="-6"/>
        </w:rPr>
        <w:t xml:space="preserve"> </w:t>
      </w:r>
      <w:r>
        <w:t>weight</w:t>
      </w:r>
      <w:r>
        <w:rPr>
          <w:spacing w:val="-6"/>
        </w:rPr>
        <w:t xml:space="preserve"> </w:t>
      </w:r>
      <w:r>
        <w:t>equal</w:t>
      </w:r>
      <w:r>
        <w:rPr>
          <w:spacing w:val="-6"/>
        </w:rPr>
        <w:t xml:space="preserve"> </w:t>
      </w:r>
      <w:r>
        <w:t>to</w:t>
      </w:r>
      <w:r>
        <w:rPr>
          <w:spacing w:val="-6"/>
        </w:rPr>
        <w:t xml:space="preserve"> </w:t>
      </w:r>
      <w:r>
        <w:t>expected hits for each school).</w:t>
      </w:r>
    </w:p>
    <w:p w:rsidR="003F5784" w14:paraId="3A9546D1" w14:textId="77777777">
      <w:pPr>
        <w:pStyle w:val="BodyText"/>
        <w:spacing w:before="203" w:line="238" w:lineRule="exact"/>
        <w:ind w:left="422"/>
      </w:pPr>
      <w:r>
        <w:rPr>
          <w:noProof/>
          <w:position w:val="3"/>
        </w:rPr>
        <w:drawing>
          <wp:inline distT="0" distB="0" distL="0" distR="0">
            <wp:extent cx="41379" cy="41362"/>
            <wp:effectExtent l="0" t="0" r="0" b="0"/>
            <wp:docPr id="96" name="Image 96"/>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xmlns:r="http://schemas.openxmlformats.org/officeDocument/2006/relationships" r:embed="rId77" cstate="print"/>
                    <a:stretch>
                      <a:fillRect/>
                    </a:stretch>
                  </pic:blipFill>
                  <pic:spPr>
                    <a:xfrm>
                      <a:off x="0" y="0"/>
                      <a:ext cx="41379" cy="41362"/>
                    </a:xfrm>
                    <a:prstGeom prst="rect">
                      <a:avLst/>
                    </a:prstGeom>
                  </pic:spPr>
                </pic:pic>
              </a:graphicData>
            </a:graphic>
          </wp:inline>
        </w:drawing>
      </w:r>
      <w:r>
        <w:rPr>
          <w:spacing w:val="80"/>
          <w:sz w:val="20"/>
        </w:rPr>
        <w:t xml:space="preserve"> </w:t>
      </w:r>
      <w:r>
        <w:t>For two substrata, the cutoff was the weighted median;</w:t>
      </w:r>
    </w:p>
    <w:p w:rsidR="003F5784" w14:paraId="0BCA98F2" w14:textId="77777777">
      <w:pPr>
        <w:pStyle w:val="BodyText"/>
        <w:spacing w:before="3" w:line="232" w:lineRule="auto"/>
        <w:ind w:left="422" w:right="9048"/>
      </w:pPr>
      <w:r>
        <w:rPr>
          <w:noProof/>
          <w:position w:val="3"/>
        </w:rPr>
        <w:drawing>
          <wp:inline distT="0" distB="0" distL="0" distR="0">
            <wp:extent cx="41379" cy="41362"/>
            <wp:effectExtent l="0" t="0" r="0" b="0"/>
            <wp:docPr id="97" name="Image 97"/>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xmlns:r="http://schemas.openxmlformats.org/officeDocument/2006/relationships" r:embed="rId78" cstate="print"/>
                    <a:stretch>
                      <a:fillRect/>
                    </a:stretch>
                  </pic:blipFill>
                  <pic:spPr>
                    <a:xfrm>
                      <a:off x="0" y="0"/>
                      <a:ext cx="41379" cy="41362"/>
                    </a:xfrm>
                    <a:prstGeom prst="rect">
                      <a:avLst/>
                    </a:prstGeom>
                  </pic:spPr>
                </pic:pic>
              </a:graphicData>
            </a:graphic>
          </wp:inline>
        </w:drawing>
      </w:r>
      <w:r>
        <w:rPr>
          <w:spacing w:val="77"/>
          <w:sz w:val="20"/>
        </w:rPr>
        <w:t xml:space="preserve"> </w:t>
      </w:r>
      <w:r>
        <w:t>for</w:t>
      </w:r>
      <w:r>
        <w:rPr>
          <w:spacing w:val="-7"/>
        </w:rPr>
        <w:t xml:space="preserve"> </w:t>
      </w:r>
      <w:r>
        <w:t>three</w:t>
      </w:r>
      <w:r>
        <w:rPr>
          <w:spacing w:val="-7"/>
        </w:rPr>
        <w:t xml:space="preserve"> </w:t>
      </w:r>
      <w:r>
        <w:t>substrata,</w:t>
      </w:r>
      <w:r>
        <w:rPr>
          <w:spacing w:val="-7"/>
        </w:rPr>
        <w:t xml:space="preserve"> </w:t>
      </w:r>
      <w:r>
        <w:t>the</w:t>
      </w:r>
      <w:r>
        <w:rPr>
          <w:spacing w:val="-7"/>
        </w:rPr>
        <w:t xml:space="preserve"> </w:t>
      </w:r>
      <w:r>
        <w:t>weighted</w:t>
      </w:r>
      <w:r>
        <w:rPr>
          <w:spacing w:val="-7"/>
        </w:rPr>
        <w:t xml:space="preserve"> </w:t>
      </w:r>
      <w:r>
        <w:t>33rd</w:t>
      </w:r>
      <w:r>
        <w:rPr>
          <w:spacing w:val="-7"/>
        </w:rPr>
        <w:t xml:space="preserve"> </w:t>
      </w:r>
      <w:r>
        <w:t>and</w:t>
      </w:r>
      <w:r>
        <w:rPr>
          <w:spacing w:val="-7"/>
        </w:rPr>
        <w:t xml:space="preserve"> </w:t>
      </w:r>
      <w:r>
        <w:t>67th</w:t>
      </w:r>
      <w:r>
        <w:rPr>
          <w:spacing w:val="-7"/>
        </w:rPr>
        <w:t xml:space="preserve"> </w:t>
      </w:r>
      <w:r>
        <w:t>percentiles;</w:t>
      </w:r>
      <w:r>
        <w:rPr>
          <w:spacing w:val="-7"/>
        </w:rPr>
        <w:t xml:space="preserve"> </w:t>
      </w:r>
      <w:r>
        <w:t xml:space="preserve">and </w:t>
      </w:r>
      <w:r>
        <w:rPr>
          <w:noProof/>
          <w:position w:val="3"/>
        </w:rPr>
        <w:drawing>
          <wp:inline distT="0" distB="0" distL="0" distR="0">
            <wp:extent cx="41379" cy="41362"/>
            <wp:effectExtent l="0" t="0" r="0" b="0"/>
            <wp:docPr id="98" name="Image 98"/>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xmlns:r="http://schemas.openxmlformats.org/officeDocument/2006/relationships" r:embed="rId79" cstate="print"/>
                    <a:stretch>
                      <a:fillRect/>
                    </a:stretch>
                  </pic:blipFill>
                  <pic:spPr>
                    <a:xfrm>
                      <a:off x="0" y="0"/>
                      <a:ext cx="41379" cy="41362"/>
                    </a:xfrm>
                    <a:prstGeom prst="rect">
                      <a:avLst/>
                    </a:prstGeom>
                  </pic:spPr>
                </pic:pic>
              </a:graphicData>
            </a:graphic>
          </wp:inline>
        </w:drawing>
      </w:r>
      <w:r>
        <w:rPr>
          <w:spacing w:val="80"/>
        </w:rPr>
        <w:t xml:space="preserve"> </w:t>
      </w:r>
      <w:r>
        <w:t>for four substrata, the weighted median and quartiles.</w:t>
      </w:r>
    </w:p>
    <w:p w:rsidR="003F5784" w14:paraId="765A274B" w14:textId="77777777">
      <w:pPr>
        <w:pStyle w:val="BodyText"/>
        <w:spacing w:before="209" w:line="232" w:lineRule="auto"/>
        <w:ind w:left="109"/>
      </w:pPr>
      <w:r>
        <w:t>For</w:t>
      </w:r>
      <w:r>
        <w:rPr>
          <w:spacing w:val="-6"/>
        </w:rPr>
        <w:t xml:space="preserve"> </w:t>
      </w:r>
      <w:r>
        <w:t>the</w:t>
      </w:r>
      <w:r>
        <w:rPr>
          <w:spacing w:val="-6"/>
        </w:rPr>
        <w:t xml:space="preserve"> </w:t>
      </w:r>
      <w:r>
        <w:t>low</w:t>
      </w:r>
      <w:r>
        <w:rPr>
          <w:spacing w:val="-6"/>
        </w:rPr>
        <w:t xml:space="preserve"> </w:t>
      </w:r>
      <w:r>
        <w:t>Black/Hispanic</w:t>
      </w:r>
      <w:r>
        <w:rPr>
          <w:spacing w:val="-6"/>
        </w:rPr>
        <w:t xml:space="preserve"> </w:t>
      </w:r>
      <w:r>
        <w:t>classification,</w:t>
      </w:r>
      <w:r>
        <w:rPr>
          <w:spacing w:val="-6"/>
        </w:rPr>
        <w:t xml:space="preserve"> </w:t>
      </w:r>
      <w:r>
        <w:t>there</w:t>
      </w:r>
      <w:r>
        <w:rPr>
          <w:spacing w:val="-6"/>
        </w:rPr>
        <w:t xml:space="preserve"> </w:t>
      </w:r>
      <w:r>
        <w:t>were</w:t>
      </w:r>
      <w:r>
        <w:rPr>
          <w:spacing w:val="-6"/>
        </w:rPr>
        <w:t xml:space="preserve"> </w:t>
      </w:r>
      <w:r>
        <w:t>six</w:t>
      </w:r>
      <w:r>
        <w:rPr>
          <w:spacing w:val="-6"/>
        </w:rPr>
        <w:t xml:space="preserve"> </w:t>
      </w:r>
      <w:r>
        <w:t>urbanicity</w:t>
      </w:r>
      <w:r>
        <w:rPr>
          <w:spacing w:val="-6"/>
        </w:rPr>
        <w:t xml:space="preserve"> </w:t>
      </w:r>
      <w:r>
        <w:t>strata</w:t>
      </w:r>
      <w:r>
        <w:rPr>
          <w:spacing w:val="-6"/>
        </w:rPr>
        <w:t xml:space="preserve"> </w:t>
      </w:r>
      <w:r>
        <w:t>that</w:t>
      </w:r>
      <w:r>
        <w:rPr>
          <w:spacing w:val="-6"/>
        </w:rPr>
        <w:t xml:space="preserve"> </w:t>
      </w:r>
      <w:r>
        <w:t>had</w:t>
      </w:r>
      <w:r>
        <w:rPr>
          <w:spacing w:val="-6"/>
        </w:rPr>
        <w:t xml:space="preserve"> </w:t>
      </w:r>
      <w:r>
        <w:t>a</w:t>
      </w:r>
      <w:r>
        <w:rPr>
          <w:spacing w:val="-6"/>
        </w:rPr>
        <w:t xml:space="preserve"> </w:t>
      </w:r>
      <w:r>
        <w:t>large</w:t>
      </w:r>
      <w:r>
        <w:rPr>
          <w:spacing w:val="-6"/>
        </w:rPr>
        <w:t xml:space="preserve"> </w:t>
      </w:r>
      <w:r>
        <w:t>enough</w:t>
      </w:r>
      <w:r>
        <w:rPr>
          <w:spacing w:val="-6"/>
        </w:rPr>
        <w:t xml:space="preserve"> </w:t>
      </w:r>
      <w:r>
        <w:t>expected</w:t>
      </w:r>
      <w:r>
        <w:rPr>
          <w:spacing w:val="-6"/>
        </w:rPr>
        <w:t xml:space="preserve"> </w:t>
      </w:r>
      <w:r>
        <w:t>school</w:t>
      </w:r>
      <w:r>
        <w:rPr>
          <w:spacing w:val="-6"/>
        </w:rPr>
        <w:t xml:space="preserve"> </w:t>
      </w:r>
      <w:r>
        <w:t>sample</w:t>
      </w:r>
      <w:r>
        <w:rPr>
          <w:spacing w:val="-6"/>
        </w:rPr>
        <w:t xml:space="preserve"> </w:t>
      </w:r>
      <w:r>
        <w:t>size,</w:t>
      </w:r>
      <w:r>
        <w:rPr>
          <w:spacing w:val="-6"/>
        </w:rPr>
        <w:t xml:space="preserve"> </w:t>
      </w:r>
      <w:r>
        <w:t>and</w:t>
      </w:r>
      <w:r>
        <w:rPr>
          <w:spacing w:val="-6"/>
        </w:rPr>
        <w:t xml:space="preserve"> </w:t>
      </w:r>
      <w:r>
        <w:t>these</w:t>
      </w:r>
      <w:r>
        <w:rPr>
          <w:spacing w:val="-6"/>
        </w:rPr>
        <w:t xml:space="preserve"> </w:t>
      </w:r>
      <w:r>
        <w:t>were</w:t>
      </w:r>
      <w:r>
        <w:rPr>
          <w:spacing w:val="-6"/>
        </w:rPr>
        <w:t xml:space="preserve"> </w:t>
      </w:r>
      <w:r>
        <w:t>split</w:t>
      </w:r>
      <w:r>
        <w:rPr>
          <w:spacing w:val="-6"/>
        </w:rPr>
        <w:t xml:space="preserve"> </w:t>
      </w:r>
      <w:r>
        <w:t>into</w:t>
      </w:r>
      <w:r>
        <w:rPr>
          <w:spacing w:val="-6"/>
        </w:rPr>
        <w:t xml:space="preserve"> </w:t>
      </w:r>
      <w:r>
        <w:t>groups</w:t>
      </w:r>
      <w:r>
        <w:rPr>
          <w:spacing w:val="-6"/>
        </w:rPr>
        <w:t xml:space="preserve"> </w:t>
      </w:r>
      <w:r>
        <w:t>of</w:t>
      </w:r>
      <w:r>
        <w:rPr>
          <w:spacing w:val="-6"/>
        </w:rPr>
        <w:t xml:space="preserve"> </w:t>
      </w:r>
      <w:r>
        <w:t>states.</w:t>
      </w:r>
      <w:r>
        <w:rPr>
          <w:spacing w:val="-10"/>
        </w:rPr>
        <w:t xml:space="preserve"> </w:t>
      </w:r>
      <w:r>
        <w:t>Two</w:t>
      </w:r>
      <w:r>
        <w:rPr>
          <w:spacing w:val="-6"/>
        </w:rPr>
        <w:t xml:space="preserve"> </w:t>
      </w:r>
      <w:r>
        <w:t>or three state groups were formed using adjacent states if possible, while maintaining an expected school sample size of at least four for each state group for each of these six urbanicity strata.</w:t>
      </w:r>
    </w:p>
    <w:p w:rsidR="003F5784" w14:paraId="7BA26EF7" w14:textId="77777777">
      <w:pPr>
        <w:pStyle w:val="Heading2"/>
        <w:spacing w:before="204"/>
        <w:ind w:left="109"/>
      </w:pPr>
      <w:r>
        <w:t>School</w:t>
      </w:r>
      <w:r>
        <w:rPr>
          <w:spacing w:val="-11"/>
        </w:rPr>
        <w:t xml:space="preserve"> </w:t>
      </w:r>
      <w:r>
        <w:rPr>
          <w:spacing w:val="-4"/>
        </w:rPr>
        <w:t>Type</w:t>
      </w:r>
    </w:p>
    <w:p w:rsidR="003F5784" w14:paraId="2187EA5A" w14:textId="77777777">
      <w:pPr>
        <w:pStyle w:val="BodyText"/>
        <w:spacing w:before="201"/>
        <w:ind w:left="109"/>
      </w:pPr>
      <w:r>
        <w:t>The</w:t>
      </w:r>
      <w:r>
        <w:rPr>
          <w:spacing w:val="-6"/>
        </w:rPr>
        <w:t xml:space="preserve"> </w:t>
      </w:r>
      <w:r>
        <w:t>next</w:t>
      </w:r>
      <w:r>
        <w:rPr>
          <w:spacing w:val="-6"/>
        </w:rPr>
        <w:t xml:space="preserve"> </w:t>
      </w:r>
      <w:r>
        <w:t>implicit</w:t>
      </w:r>
      <w:r>
        <w:rPr>
          <w:spacing w:val="-5"/>
        </w:rPr>
        <w:t xml:space="preserve"> </w:t>
      </w:r>
      <w:r>
        <w:t>stratification</w:t>
      </w:r>
      <w:r>
        <w:rPr>
          <w:spacing w:val="-6"/>
        </w:rPr>
        <w:t xml:space="preserve"> </w:t>
      </w:r>
      <w:r>
        <w:t>variable</w:t>
      </w:r>
      <w:r>
        <w:rPr>
          <w:spacing w:val="-6"/>
        </w:rPr>
        <w:t xml:space="preserve"> </w:t>
      </w:r>
      <w:r>
        <w:t>was</w:t>
      </w:r>
      <w:r>
        <w:rPr>
          <w:spacing w:val="-6"/>
        </w:rPr>
        <w:t xml:space="preserve"> </w:t>
      </w:r>
      <w:r>
        <w:t>school</w:t>
      </w:r>
      <w:r>
        <w:rPr>
          <w:spacing w:val="-5"/>
        </w:rPr>
        <w:t xml:space="preserve"> </w:t>
      </w:r>
      <w:r>
        <w:t>type.</w:t>
      </w:r>
      <w:r>
        <w:rPr>
          <w:spacing w:val="-6"/>
        </w:rPr>
        <w:t xml:space="preserve"> </w:t>
      </w:r>
      <w:r>
        <w:t>School</w:t>
      </w:r>
      <w:r>
        <w:rPr>
          <w:spacing w:val="-6"/>
        </w:rPr>
        <w:t xml:space="preserve"> </w:t>
      </w:r>
      <w:r>
        <w:t>type</w:t>
      </w:r>
      <w:r>
        <w:rPr>
          <w:spacing w:val="-5"/>
        </w:rPr>
        <w:t xml:space="preserve"> </w:t>
      </w:r>
      <w:r>
        <w:t>takes</w:t>
      </w:r>
      <w:r>
        <w:rPr>
          <w:spacing w:val="-6"/>
        </w:rPr>
        <w:t xml:space="preserve"> </w:t>
      </w:r>
      <w:r>
        <w:t>on</w:t>
      </w:r>
      <w:r>
        <w:rPr>
          <w:spacing w:val="-6"/>
        </w:rPr>
        <w:t xml:space="preserve"> </w:t>
      </w:r>
      <w:r>
        <w:t>values</w:t>
      </w:r>
      <w:r>
        <w:rPr>
          <w:spacing w:val="-5"/>
        </w:rPr>
        <w:t xml:space="preserve"> </w:t>
      </w:r>
      <w:r>
        <w:t>of</w:t>
      </w:r>
      <w:r>
        <w:rPr>
          <w:spacing w:val="-6"/>
        </w:rPr>
        <w:t xml:space="preserve"> </w:t>
      </w:r>
      <w:r>
        <w:t>public,</w:t>
      </w:r>
      <w:r>
        <w:rPr>
          <w:spacing w:val="-6"/>
        </w:rPr>
        <w:t xml:space="preserve"> </w:t>
      </w:r>
      <w:r>
        <w:t>BIE,</w:t>
      </w:r>
      <w:r>
        <w:rPr>
          <w:spacing w:val="-5"/>
        </w:rPr>
        <w:t xml:space="preserve"> </w:t>
      </w:r>
      <w:r>
        <w:t>and</w:t>
      </w:r>
      <w:r>
        <w:rPr>
          <w:spacing w:val="-6"/>
        </w:rPr>
        <w:t xml:space="preserve"> </w:t>
      </w:r>
      <w:r>
        <w:rPr>
          <w:spacing w:val="-2"/>
        </w:rPr>
        <w:t>DoDEA.</w:t>
      </w:r>
    </w:p>
    <w:p w:rsidR="003F5784" w14:paraId="76363278" w14:textId="77777777">
      <w:pPr>
        <w:pStyle w:val="Heading2"/>
        <w:spacing w:before="202"/>
        <w:ind w:left="109"/>
      </w:pPr>
      <w:r>
        <w:t>Median</w:t>
      </w:r>
      <w:r>
        <w:rPr>
          <w:spacing w:val="-8"/>
        </w:rPr>
        <w:t xml:space="preserve"> </w:t>
      </w:r>
      <w:r>
        <w:rPr>
          <w:spacing w:val="-2"/>
        </w:rPr>
        <w:t>Income/Achievement</w:t>
      </w:r>
    </w:p>
    <w:p w:rsidR="003F5784" w14:paraId="183B1324" w14:textId="77777777">
      <w:pPr>
        <w:pStyle w:val="BodyText"/>
        <w:rPr>
          <w:b/>
        </w:rPr>
      </w:pPr>
    </w:p>
    <w:p w:rsidR="003F5784" w14:paraId="2D5A1522" w14:textId="77777777">
      <w:pPr>
        <w:pStyle w:val="BodyText"/>
        <w:spacing w:before="167"/>
        <w:rPr>
          <w:b/>
        </w:rPr>
      </w:pPr>
    </w:p>
    <w:p w:rsidR="003F5784" w14:paraId="73E99702" w14:textId="77777777">
      <w:pPr>
        <w:pStyle w:val="BodyText"/>
        <w:spacing w:before="1" w:line="232" w:lineRule="auto"/>
        <w:ind w:left="109" w:right="179"/>
      </w:pPr>
      <w:r>
        <w:t>The</w:t>
      </w:r>
      <w:r>
        <w:rPr>
          <w:spacing w:val="-6"/>
        </w:rPr>
        <w:t xml:space="preserve"> </w:t>
      </w:r>
      <w:r>
        <w:t>last</w:t>
      </w:r>
      <w:r>
        <w:rPr>
          <w:spacing w:val="-6"/>
        </w:rPr>
        <w:t xml:space="preserve"> </w:t>
      </w:r>
      <w:r>
        <w:t>implicit</w:t>
      </w:r>
      <w:r>
        <w:rPr>
          <w:spacing w:val="-6"/>
        </w:rPr>
        <w:t xml:space="preserve"> </w:t>
      </w:r>
      <w:r>
        <w:t>stratification</w:t>
      </w:r>
      <w:r>
        <w:rPr>
          <w:spacing w:val="-6"/>
        </w:rPr>
        <w:t xml:space="preserve"> </w:t>
      </w:r>
      <w:r>
        <w:t>variable</w:t>
      </w:r>
      <w:r>
        <w:rPr>
          <w:spacing w:val="-6"/>
        </w:rPr>
        <w:t xml:space="preserve"> </w:t>
      </w:r>
      <w:r>
        <w:t>was</w:t>
      </w:r>
      <w:r>
        <w:rPr>
          <w:spacing w:val="-6"/>
        </w:rPr>
        <w:t xml:space="preserve"> </w:t>
      </w:r>
      <w:r>
        <w:t>median</w:t>
      </w:r>
      <w:r>
        <w:rPr>
          <w:spacing w:val="-6"/>
        </w:rPr>
        <w:t xml:space="preserve"> </w:t>
      </w:r>
      <w:r>
        <w:t>income</w:t>
      </w:r>
      <w:r>
        <w:rPr>
          <w:spacing w:val="-6"/>
        </w:rPr>
        <w:t xml:space="preserve"> </w:t>
      </w:r>
      <w:r>
        <w:t>of</w:t>
      </w:r>
      <w:r>
        <w:rPr>
          <w:spacing w:val="-6"/>
        </w:rPr>
        <w:t xml:space="preserve"> </w:t>
      </w:r>
      <w:r>
        <w:t>the</w:t>
      </w:r>
      <w:r>
        <w:rPr>
          <w:spacing w:val="-6"/>
        </w:rPr>
        <w:t xml:space="preserve"> </w:t>
      </w:r>
      <w:r>
        <w:t>ZIP</w:t>
      </w:r>
      <w:r>
        <w:rPr>
          <w:spacing w:val="-13"/>
        </w:rPr>
        <w:t xml:space="preserve"> </w:t>
      </w:r>
      <w:r>
        <w:t>code</w:t>
      </w:r>
      <w:r>
        <w:rPr>
          <w:spacing w:val="-6"/>
        </w:rPr>
        <w:t xml:space="preserve"> </w:t>
      </w:r>
      <w:r>
        <w:t>area</w:t>
      </w:r>
      <w:r>
        <w:rPr>
          <w:spacing w:val="-6"/>
        </w:rPr>
        <w:t xml:space="preserve"> </w:t>
      </w:r>
      <w:r>
        <w:t>containing</w:t>
      </w:r>
      <w:r>
        <w:rPr>
          <w:spacing w:val="-6"/>
        </w:rPr>
        <w:t xml:space="preserve"> </w:t>
      </w:r>
      <w:r>
        <w:t>the</w:t>
      </w:r>
      <w:r>
        <w:rPr>
          <w:spacing w:val="-6"/>
        </w:rPr>
        <w:t xml:space="preserve"> </w:t>
      </w:r>
      <w:r>
        <w:t>school,</w:t>
      </w:r>
      <w:r>
        <w:rPr>
          <w:spacing w:val="-6"/>
        </w:rPr>
        <w:t xml:space="preserve"> </w:t>
      </w:r>
      <w:r>
        <w:t>except</w:t>
      </w:r>
      <w:r>
        <w:rPr>
          <w:spacing w:val="-6"/>
        </w:rPr>
        <w:t xml:space="preserve"> </w:t>
      </w:r>
      <w:r>
        <w:t>in</w:t>
      </w:r>
      <w:r>
        <w:rPr>
          <w:spacing w:val="-6"/>
        </w:rPr>
        <w:t xml:space="preserve"> </w:t>
      </w:r>
      <w:r>
        <w:t>California,</w:t>
      </w:r>
      <w:r>
        <w:rPr>
          <w:spacing w:val="-6"/>
        </w:rPr>
        <w:t xml:space="preserve"> </w:t>
      </w:r>
      <w:r>
        <w:t>where</w:t>
      </w:r>
      <w:r>
        <w:rPr>
          <w:spacing w:val="-6"/>
        </w:rPr>
        <w:t xml:space="preserve"> </w:t>
      </w:r>
      <w:r>
        <w:t>student</w:t>
      </w:r>
      <w:r>
        <w:rPr>
          <w:spacing w:val="-6"/>
        </w:rPr>
        <w:t xml:space="preserve"> </w:t>
      </w:r>
      <w:r>
        <w:t>achievement</w:t>
      </w:r>
      <w:r>
        <w:rPr>
          <w:spacing w:val="-6"/>
        </w:rPr>
        <w:t xml:space="preserve"> </w:t>
      </w:r>
      <w:r>
        <w:t>data</w:t>
      </w:r>
      <w:r>
        <w:rPr>
          <w:spacing w:val="-6"/>
        </w:rPr>
        <w:t xml:space="preserve"> </w:t>
      </w:r>
      <w:r>
        <w:t>was</w:t>
      </w:r>
      <w:r>
        <w:rPr>
          <w:spacing w:val="-6"/>
        </w:rPr>
        <w:t xml:space="preserve"> </w:t>
      </w:r>
      <w:r>
        <w:t>used.</w:t>
      </w:r>
      <w:r>
        <w:rPr>
          <w:spacing w:val="-6"/>
        </w:rPr>
        <w:t xml:space="preserve"> </w:t>
      </w:r>
      <w:r>
        <w:t>Schools in</w:t>
      </w:r>
      <w:r>
        <w:rPr>
          <w:spacing w:val="-1"/>
        </w:rPr>
        <w:t xml:space="preserve"> </w:t>
      </w:r>
      <w:r>
        <w:t>California</w:t>
      </w:r>
      <w:r>
        <w:rPr>
          <w:spacing w:val="-1"/>
        </w:rPr>
        <w:t xml:space="preserve"> </w:t>
      </w:r>
      <w:r>
        <w:t>contain</w:t>
      </w:r>
      <w:r>
        <w:rPr>
          <w:spacing w:val="-1"/>
        </w:rPr>
        <w:t xml:space="preserve"> </w:t>
      </w:r>
      <w:r>
        <w:t>more</w:t>
      </w:r>
      <w:r>
        <w:rPr>
          <w:spacing w:val="-1"/>
        </w:rPr>
        <w:t xml:space="preserve"> </w:t>
      </w:r>
      <w:r>
        <w:t>than</w:t>
      </w:r>
      <w:r>
        <w:rPr>
          <w:spacing w:val="-1"/>
        </w:rPr>
        <w:t xml:space="preserve"> </w:t>
      </w:r>
      <w:r>
        <w:t>12</w:t>
      </w:r>
      <w:r>
        <w:rPr>
          <w:spacing w:val="-1"/>
        </w:rPr>
        <w:t xml:space="preserve"> </w:t>
      </w:r>
      <w:r>
        <w:t>percent</w:t>
      </w:r>
      <w:r>
        <w:rPr>
          <w:spacing w:val="-1"/>
        </w:rPr>
        <w:t xml:space="preserve"> </w:t>
      </w:r>
      <w:r>
        <w:t>of</w:t>
      </w:r>
      <w:r>
        <w:rPr>
          <w:spacing w:val="-1"/>
        </w:rPr>
        <w:t xml:space="preserve"> </w:t>
      </w:r>
      <w:r>
        <w:t>the</w:t>
      </w:r>
      <w:r>
        <w:rPr>
          <w:spacing w:val="-1"/>
        </w:rPr>
        <w:t xml:space="preserve"> </w:t>
      </w:r>
      <w:r>
        <w:t>grade</w:t>
      </w:r>
      <w:r>
        <w:rPr>
          <w:spacing w:val="-1"/>
        </w:rPr>
        <w:t xml:space="preserve"> </w:t>
      </w:r>
      <w:r>
        <w:t>8</w:t>
      </w:r>
      <w:r>
        <w:rPr>
          <w:spacing w:val="-1"/>
        </w:rPr>
        <w:t xml:space="preserve"> </w:t>
      </w:r>
      <w:r>
        <w:t>students</w:t>
      </w:r>
      <w:r>
        <w:rPr>
          <w:spacing w:val="-1"/>
        </w:rPr>
        <w:t xml:space="preserve"> </w:t>
      </w:r>
      <w:r>
        <w:t>in</w:t>
      </w:r>
      <w:r>
        <w:rPr>
          <w:spacing w:val="-1"/>
        </w:rPr>
        <w:t xml:space="preserve"> </w:t>
      </w:r>
      <w:r>
        <w:t>the</w:t>
      </w:r>
      <w:r>
        <w:rPr>
          <w:spacing w:val="-1"/>
        </w:rPr>
        <w:t xml:space="preserve"> </w:t>
      </w:r>
      <w:r>
        <w:t>nation.</w:t>
      </w:r>
      <w:r>
        <w:rPr>
          <w:spacing w:val="-1"/>
        </w:rPr>
        <w:t xml:space="preserve"> </w:t>
      </w:r>
      <w:r>
        <w:t>Using</w:t>
      </w:r>
      <w:r>
        <w:rPr>
          <w:spacing w:val="-1"/>
        </w:rPr>
        <w:t xml:space="preserve"> </w:t>
      </w:r>
      <w:r>
        <w:t>achievement</w:t>
      </w:r>
      <w:r>
        <w:rPr>
          <w:spacing w:val="-1"/>
        </w:rPr>
        <w:t xml:space="preserve"> </w:t>
      </w:r>
      <w:r>
        <w:t>data</w:t>
      </w:r>
      <w:r>
        <w:rPr>
          <w:spacing w:val="-1"/>
        </w:rPr>
        <w:t xml:space="preserve"> </w:t>
      </w:r>
      <w:r>
        <w:t>provides</w:t>
      </w:r>
      <w:r>
        <w:rPr>
          <w:spacing w:val="-1"/>
        </w:rPr>
        <w:t xml:space="preserve"> </w:t>
      </w:r>
      <w:r>
        <w:t>a</w:t>
      </w:r>
      <w:r>
        <w:rPr>
          <w:spacing w:val="-1"/>
        </w:rPr>
        <w:t xml:space="preserve"> </w:t>
      </w:r>
      <w:r>
        <w:t>benefit.</w:t>
      </w:r>
      <w:r>
        <w:rPr>
          <w:spacing w:val="-12"/>
        </w:rPr>
        <w:t xml:space="preserve"> </w:t>
      </w:r>
      <w:r>
        <w:t>Achievement</w:t>
      </w:r>
      <w:r>
        <w:rPr>
          <w:spacing w:val="-1"/>
        </w:rPr>
        <w:t xml:space="preserve"> </w:t>
      </w:r>
      <w:r>
        <w:t>is</w:t>
      </w:r>
      <w:r>
        <w:rPr>
          <w:spacing w:val="-1"/>
        </w:rPr>
        <w:t xml:space="preserve"> </w:t>
      </w:r>
      <w:r>
        <w:t>a</w:t>
      </w:r>
      <w:r>
        <w:rPr>
          <w:spacing w:val="-1"/>
        </w:rPr>
        <w:t xml:space="preserve"> </w:t>
      </w:r>
      <w:r>
        <w:t>better</w:t>
      </w:r>
      <w:r>
        <w:rPr>
          <w:spacing w:val="-1"/>
        </w:rPr>
        <w:t xml:space="preserve"> </w:t>
      </w:r>
      <w:r>
        <w:t>sort</w:t>
      </w:r>
      <w:r>
        <w:rPr>
          <w:spacing w:val="-1"/>
        </w:rPr>
        <w:t xml:space="preserve"> </w:t>
      </w:r>
      <w:r>
        <w:t>variable</w:t>
      </w:r>
      <w:r>
        <w:rPr>
          <w:spacing w:val="-1"/>
        </w:rPr>
        <w:t xml:space="preserve"> </w:t>
      </w:r>
      <w:r>
        <w:t>than</w:t>
      </w:r>
      <w:r>
        <w:rPr>
          <w:spacing w:val="-1"/>
        </w:rPr>
        <w:t xml:space="preserve"> </w:t>
      </w:r>
      <w:r>
        <w:t>median income</w:t>
      </w:r>
      <w:r>
        <w:rPr>
          <w:spacing w:val="-3"/>
        </w:rPr>
        <w:t xml:space="preserve"> </w:t>
      </w:r>
      <w:r>
        <w:t>when</w:t>
      </w:r>
      <w:r>
        <w:rPr>
          <w:spacing w:val="-3"/>
        </w:rPr>
        <w:t xml:space="preserve"> </w:t>
      </w:r>
      <w:r>
        <w:t>ordering</w:t>
      </w:r>
      <w:r>
        <w:rPr>
          <w:spacing w:val="-3"/>
        </w:rPr>
        <w:t xml:space="preserve"> </w:t>
      </w:r>
      <w:r>
        <w:t>schools</w:t>
      </w:r>
      <w:r>
        <w:rPr>
          <w:spacing w:val="-3"/>
        </w:rPr>
        <w:t xml:space="preserve"> </w:t>
      </w:r>
      <w:r>
        <w:t>within</w:t>
      </w:r>
      <w:r>
        <w:rPr>
          <w:spacing w:val="-3"/>
        </w:rPr>
        <w:t xml:space="preserve"> </w:t>
      </w:r>
      <w:r>
        <w:t>a</w:t>
      </w:r>
      <w:r>
        <w:rPr>
          <w:spacing w:val="-3"/>
        </w:rPr>
        <w:t xml:space="preserve"> </w:t>
      </w:r>
      <w:r>
        <w:t>state</w:t>
      </w:r>
      <w:r>
        <w:rPr>
          <w:spacing w:val="-3"/>
        </w:rPr>
        <w:t xml:space="preserve"> </w:t>
      </w:r>
      <w:r>
        <w:t>because</w:t>
      </w:r>
      <w:r>
        <w:rPr>
          <w:spacing w:val="-3"/>
        </w:rPr>
        <w:t xml:space="preserve"> </w:t>
      </w:r>
      <w:r>
        <w:t>it</w:t>
      </w:r>
      <w:r>
        <w:rPr>
          <w:spacing w:val="-3"/>
        </w:rPr>
        <w:t xml:space="preserve"> </w:t>
      </w:r>
      <w:r>
        <w:t>is</w:t>
      </w:r>
      <w:r>
        <w:rPr>
          <w:spacing w:val="-3"/>
        </w:rPr>
        <w:t xml:space="preserve"> </w:t>
      </w:r>
      <w:r>
        <w:t>direct</w:t>
      </w:r>
      <w:r>
        <w:rPr>
          <w:spacing w:val="-3"/>
        </w:rPr>
        <w:t xml:space="preserve"> </w:t>
      </w:r>
      <w:r>
        <w:t>measure</w:t>
      </w:r>
      <w:r>
        <w:rPr>
          <w:spacing w:val="-3"/>
        </w:rPr>
        <w:t xml:space="preserve"> </w:t>
      </w:r>
      <w:r>
        <w:t>of</w:t>
      </w:r>
      <w:r>
        <w:rPr>
          <w:spacing w:val="-3"/>
        </w:rPr>
        <w:t xml:space="preserve"> </w:t>
      </w:r>
      <w:r>
        <w:t>student</w:t>
      </w:r>
      <w:r>
        <w:rPr>
          <w:spacing w:val="-3"/>
        </w:rPr>
        <w:t xml:space="preserve"> </w:t>
      </w:r>
      <w:r>
        <w:t>performance.</w:t>
      </w:r>
      <w:r>
        <w:rPr>
          <w:spacing w:val="-3"/>
        </w:rPr>
        <w:t xml:space="preserve"> </w:t>
      </w:r>
      <w:r>
        <w:t>However,</w:t>
      </w:r>
      <w:r>
        <w:rPr>
          <w:spacing w:val="-3"/>
        </w:rPr>
        <w:t xml:space="preserve"> </w:t>
      </w:r>
      <w:r>
        <w:t>when</w:t>
      </w:r>
      <w:r>
        <w:rPr>
          <w:spacing w:val="-3"/>
        </w:rPr>
        <w:t xml:space="preserve"> </w:t>
      </w:r>
      <w:r>
        <w:t>ordering</w:t>
      </w:r>
      <w:r>
        <w:rPr>
          <w:spacing w:val="-3"/>
        </w:rPr>
        <w:t xml:space="preserve"> </w:t>
      </w:r>
      <w:r>
        <w:t>schools</w:t>
      </w:r>
      <w:r>
        <w:rPr>
          <w:spacing w:val="-3"/>
        </w:rPr>
        <w:t xml:space="preserve"> </w:t>
      </w:r>
      <w:r>
        <w:t>across</w:t>
      </w:r>
      <w:r>
        <w:rPr>
          <w:spacing w:val="-3"/>
        </w:rPr>
        <w:t xml:space="preserve"> </w:t>
      </w:r>
      <w:r>
        <w:t>states,</w:t>
      </w:r>
      <w:r>
        <w:rPr>
          <w:spacing w:val="-3"/>
        </w:rPr>
        <w:t xml:space="preserve"> </w:t>
      </w:r>
      <w:r>
        <w:t>median</w:t>
      </w:r>
      <w:r>
        <w:rPr>
          <w:spacing w:val="-3"/>
        </w:rPr>
        <w:t xml:space="preserve"> </w:t>
      </w:r>
      <w:r>
        <w:t>income</w:t>
      </w:r>
      <w:r>
        <w:rPr>
          <w:spacing w:val="-3"/>
        </w:rPr>
        <w:t xml:space="preserve"> </w:t>
      </w:r>
      <w:r>
        <w:t>is</w:t>
      </w:r>
      <w:r>
        <w:rPr>
          <w:spacing w:val="-3"/>
        </w:rPr>
        <w:t xml:space="preserve"> </w:t>
      </w:r>
      <w:r>
        <w:t>better</w:t>
      </w:r>
      <w:r>
        <w:rPr>
          <w:spacing w:val="-3"/>
        </w:rPr>
        <w:t xml:space="preserve"> </w:t>
      </w:r>
      <w:r>
        <w:t>than achievement because states generally use different achievement measures while median income is a standard measure across states.</w:t>
      </w:r>
    </w:p>
    <w:p w:rsidR="003F5784" w14:paraId="635329E0" w14:textId="77777777">
      <w:pPr>
        <w:pStyle w:val="BodyText"/>
      </w:pPr>
    </w:p>
    <w:p w:rsidR="003F5784" w14:paraId="087A63D9" w14:textId="77777777">
      <w:pPr>
        <w:pStyle w:val="BodyText"/>
        <w:spacing w:before="179"/>
      </w:pPr>
    </w:p>
    <w:p w:rsidR="003F5784" w14:paraId="5A553DC5" w14:textId="77777777">
      <w:pPr>
        <w:ind w:left="1697"/>
        <w:rPr>
          <w:sz w:val="18"/>
        </w:rPr>
      </w:pPr>
      <w:hyperlink r:id="rId80">
        <w:r>
          <w:rPr>
            <w:spacing w:val="-2"/>
            <w:w w:val="105"/>
            <w:sz w:val="18"/>
          </w:rPr>
          <w:t>http://nces.ed.gov/nationsreportcard/tdw/sample_design/2022/stratification_of_schools_for_the_2022_eighth_grade_public_school_nat_assess_in_civics_and_us_history.aspx</w:t>
        </w:r>
      </w:hyperlink>
    </w:p>
    <w:p w:rsidR="003F5784" w14:paraId="132F826A" w14:textId="77777777">
      <w:pPr>
        <w:pStyle w:val="BodyText"/>
        <w:rPr>
          <w:sz w:val="16"/>
        </w:rPr>
      </w:pPr>
      <w:r>
        <w:rPr>
          <w:noProof/>
        </w:rPr>
        <mc:AlternateContent>
          <mc:Choice Requires="wps">
            <w:drawing>
              <wp:anchor distT="0" distB="0" distL="0" distR="0" simplePos="0" relativeHeight="251782144" behindDoc="1" locked="0" layoutInCell="1" allowOverlap="1">
                <wp:simplePos x="0" y="0"/>
                <wp:positionH relativeFrom="page">
                  <wp:posOffset>361937</wp:posOffset>
                </wp:positionH>
                <wp:positionV relativeFrom="paragraph">
                  <wp:posOffset>132531</wp:posOffset>
                </wp:positionV>
                <wp:extent cx="9339580" cy="8890"/>
                <wp:effectExtent l="0" t="0" r="0" b="0"/>
                <wp:wrapTopAndBottom/>
                <wp:docPr id="99" name="Graphic 99"/>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8280" y="8280"/>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99" o:spid="_x0000_s1062" style="width:735.4pt;height:0.7pt;margin-top:10.45pt;margin-left:28.5pt;mso-position-horizontal-relative:page;mso-wrap-distance-bottom:0;mso-wrap-distance-left:0;mso-wrap-distance-right:0;mso-wrap-distance-top:0;mso-wrap-style:square;position:absolute;visibility:visible;v-text-anchor:top;z-index:-251533312" coordsize="9339580,8890" path="m9338970,l9335110,l8280,,,,,8267l8280,8280l9335110,8267l9338970,8267l9338970,xe" fillcolor="gray" stroked="f">
                <v:path arrowok="t"/>
                <w10:wrap type="topAndBottom"/>
              </v:shape>
            </w:pict>
          </mc:Fallback>
        </mc:AlternateContent>
      </w:r>
    </w:p>
    <w:p w:rsidR="003F5784" w14:paraId="20AAD9CD" w14:textId="77777777">
      <w:pPr>
        <w:pStyle w:val="BodyText"/>
        <w:rPr>
          <w:sz w:val="18"/>
        </w:rPr>
      </w:pPr>
    </w:p>
    <w:p w:rsidR="003F5784" w14:paraId="55725747" w14:textId="77777777">
      <w:pPr>
        <w:pStyle w:val="BodyText"/>
        <w:spacing w:before="193"/>
        <w:rPr>
          <w:sz w:val="18"/>
        </w:rPr>
      </w:pPr>
    </w:p>
    <w:p w:rsidR="003F5784" w14:paraId="1E8B156A" w14:textId="59A4D063">
      <w:pPr>
        <w:pStyle w:val="Heading1"/>
        <w:spacing w:line="244" w:lineRule="auto"/>
      </w:pPr>
      <w:r>
        <w:t>NAEP</w:t>
      </w:r>
      <w:r>
        <w:rPr>
          <w:spacing w:val="-15"/>
        </w:rPr>
        <w:t xml:space="preserve"> </w:t>
      </w:r>
      <w:r>
        <w:t>Technical Documentation</w:t>
      </w:r>
      <w:r w:rsidR="001057CE">
        <w:t xml:space="preserve"> </w:t>
      </w:r>
      <w:r>
        <w:t>Student Sample Selection for the 2022 Eighth- Grade Public School National Assessment in Civics and U.S. History</w:t>
      </w:r>
    </w:p>
    <w:p w:rsidR="003F5784" w14:paraId="58C13615" w14:textId="77777777">
      <w:pPr>
        <w:pStyle w:val="BodyText"/>
        <w:spacing w:before="287" w:line="232" w:lineRule="auto"/>
        <w:ind w:left="109"/>
      </w:pPr>
      <w:r>
        <w:t>The</w:t>
      </w:r>
      <w:r>
        <w:rPr>
          <w:spacing w:val="-6"/>
        </w:rPr>
        <w:t xml:space="preserve"> </w:t>
      </w:r>
      <w:r>
        <w:t>sampling</w:t>
      </w:r>
      <w:r>
        <w:rPr>
          <w:spacing w:val="-6"/>
        </w:rPr>
        <w:t xml:space="preserve"> </w:t>
      </w:r>
      <w:r>
        <w:t>of</w:t>
      </w:r>
      <w:r>
        <w:rPr>
          <w:spacing w:val="-6"/>
        </w:rPr>
        <w:t xml:space="preserve"> </w:t>
      </w:r>
      <w:r>
        <w:t>students</w:t>
      </w:r>
      <w:r>
        <w:rPr>
          <w:spacing w:val="-6"/>
        </w:rPr>
        <w:t xml:space="preserve"> </w:t>
      </w:r>
      <w:r>
        <w:t>for</w:t>
      </w:r>
      <w:r>
        <w:rPr>
          <w:spacing w:val="-6"/>
        </w:rPr>
        <w:t xml:space="preserve"> </w:t>
      </w:r>
      <w:r>
        <w:t>the</w:t>
      </w:r>
      <w:r>
        <w:rPr>
          <w:spacing w:val="-6"/>
        </w:rPr>
        <w:t xml:space="preserve"> </w:t>
      </w:r>
      <w:r>
        <w:t>public</w:t>
      </w:r>
      <w:r>
        <w:rPr>
          <w:spacing w:val="-6"/>
        </w:rPr>
        <w:t xml:space="preserve"> </w:t>
      </w:r>
      <w:r>
        <w:t>school</w:t>
      </w:r>
      <w:r>
        <w:rPr>
          <w:spacing w:val="-6"/>
        </w:rPr>
        <w:t xml:space="preserve"> </w:t>
      </w:r>
      <w:r>
        <w:t>assessments</w:t>
      </w:r>
      <w:r>
        <w:rPr>
          <w:spacing w:val="-6"/>
        </w:rPr>
        <w:t xml:space="preserve"> </w:t>
      </w:r>
      <w:r>
        <w:t>in</w:t>
      </w:r>
      <w:r>
        <w:rPr>
          <w:spacing w:val="-6"/>
        </w:rPr>
        <w:t xml:space="preserve"> </w:t>
      </w:r>
      <w:r>
        <w:t>civics</w:t>
      </w:r>
      <w:r>
        <w:rPr>
          <w:spacing w:val="-6"/>
        </w:rPr>
        <w:t xml:space="preserve"> </w:t>
      </w:r>
      <w:r>
        <w:t>and</w:t>
      </w:r>
      <w:r>
        <w:rPr>
          <w:spacing w:val="-6"/>
        </w:rPr>
        <w:t xml:space="preserve"> </w:t>
      </w:r>
      <w:r>
        <w:t>U.S.</w:t>
      </w:r>
      <w:r>
        <w:rPr>
          <w:spacing w:val="-6"/>
        </w:rPr>
        <w:t xml:space="preserve"> </w:t>
      </w:r>
      <w:r>
        <w:t>history</w:t>
      </w:r>
      <w:r>
        <w:rPr>
          <w:spacing w:val="-6"/>
        </w:rPr>
        <w:t xml:space="preserve"> </w:t>
      </w:r>
      <w:r>
        <w:t>at</w:t>
      </w:r>
      <w:r>
        <w:rPr>
          <w:spacing w:val="-6"/>
        </w:rPr>
        <w:t xml:space="preserve"> </w:t>
      </w:r>
      <w:r>
        <w:t>eighth</w:t>
      </w:r>
      <w:r>
        <w:rPr>
          <w:spacing w:val="-6"/>
        </w:rPr>
        <w:t xml:space="preserve"> </w:t>
      </w:r>
      <w:r>
        <w:t>grade</w:t>
      </w:r>
      <w:r>
        <w:rPr>
          <w:spacing w:val="-6"/>
        </w:rPr>
        <w:t xml:space="preserve"> </w:t>
      </w:r>
      <w:r>
        <w:t>involved</w:t>
      </w:r>
      <w:r>
        <w:rPr>
          <w:spacing w:val="-6"/>
        </w:rPr>
        <w:t xml:space="preserve"> </w:t>
      </w:r>
      <w:r>
        <w:t>two</w:t>
      </w:r>
      <w:r>
        <w:rPr>
          <w:spacing w:val="-6"/>
        </w:rPr>
        <w:t xml:space="preserve"> </w:t>
      </w:r>
      <w:r>
        <w:t>steps:</w:t>
      </w:r>
      <w:r>
        <w:rPr>
          <w:spacing w:val="-6"/>
        </w:rPr>
        <w:t xml:space="preserve"> </w:t>
      </w:r>
      <w:r>
        <w:t>(1)</w:t>
      </w:r>
      <w:r>
        <w:rPr>
          <w:spacing w:val="-6"/>
        </w:rPr>
        <w:t xml:space="preserve"> </w:t>
      </w:r>
      <w:r>
        <w:t>sampling</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targeted</w:t>
      </w:r>
      <w:r>
        <w:rPr>
          <w:spacing w:val="-6"/>
        </w:rPr>
        <w:t xml:space="preserve"> </w:t>
      </w:r>
      <w:r>
        <w:t>grade</w:t>
      </w:r>
      <w:r>
        <w:rPr>
          <w:spacing w:val="-6"/>
        </w:rPr>
        <w:t xml:space="preserve"> </w:t>
      </w:r>
      <w:r>
        <w:t>(eighth) from each sampled school, and (2) assignment of assessment subject (civics or U.S. history) to the sampled students.</w:t>
      </w:r>
    </w:p>
    <w:p w:rsidR="003F5784" w14:paraId="0744B4C6" w14:textId="77777777">
      <w:pPr>
        <w:pStyle w:val="Heading2"/>
        <w:spacing w:before="203"/>
        <w:ind w:left="109"/>
      </w:pPr>
      <w:r>
        <w:t>Sampling</w:t>
      </w:r>
      <w:r>
        <w:rPr>
          <w:spacing w:val="-9"/>
        </w:rPr>
        <w:t xml:space="preserve"> </w:t>
      </w:r>
      <w:r>
        <w:t>Students</w:t>
      </w:r>
      <w:r>
        <w:rPr>
          <w:spacing w:val="-8"/>
        </w:rPr>
        <w:t xml:space="preserve"> </w:t>
      </w:r>
      <w:r>
        <w:t>within</w:t>
      </w:r>
      <w:r>
        <w:rPr>
          <w:spacing w:val="-9"/>
        </w:rPr>
        <w:t xml:space="preserve"> </w:t>
      </w:r>
      <w:r>
        <w:t>Sampled</w:t>
      </w:r>
      <w:r>
        <w:rPr>
          <w:spacing w:val="-8"/>
        </w:rPr>
        <w:t xml:space="preserve"> </w:t>
      </w:r>
      <w:r>
        <w:rPr>
          <w:spacing w:val="-2"/>
        </w:rPr>
        <w:t>Schools</w:t>
      </w:r>
    </w:p>
    <w:p w:rsidR="003F5784" w14:paraId="71D7CE0B" w14:textId="77777777">
      <w:pPr>
        <w:pStyle w:val="BodyText"/>
        <w:spacing w:before="208" w:line="232" w:lineRule="auto"/>
        <w:ind w:left="109" w:right="117"/>
      </w:pPr>
      <w:r>
        <w:t>Within</w:t>
      </w:r>
      <w:r>
        <w:rPr>
          <w:spacing w:val="-6"/>
        </w:rPr>
        <w:t xml:space="preserve"> </w:t>
      </w:r>
      <w:r>
        <w:t>each</w:t>
      </w:r>
      <w:r>
        <w:rPr>
          <w:spacing w:val="-6"/>
        </w:rPr>
        <w:t xml:space="preserve"> </w:t>
      </w:r>
      <w:r>
        <w:t>sampled</w:t>
      </w:r>
      <w:r>
        <w:rPr>
          <w:spacing w:val="-6"/>
        </w:rPr>
        <w:t xml:space="preserve"> </w:t>
      </w:r>
      <w:r>
        <w:t>school,</w:t>
      </w:r>
      <w:r>
        <w:rPr>
          <w:spacing w:val="-6"/>
        </w:rPr>
        <w:t xml:space="preserve"> </w:t>
      </w:r>
      <w:r>
        <w:t>a</w:t>
      </w:r>
      <w:r>
        <w:rPr>
          <w:spacing w:val="-6"/>
        </w:rPr>
        <w:t xml:space="preserve"> </w:t>
      </w:r>
      <w:r>
        <w:rPr>
          <w:color w:val="0066CC"/>
        </w:rPr>
        <w:t>sample</w:t>
      </w:r>
      <w:r>
        <w:rPr>
          <w:color w:val="0066CC"/>
          <w:spacing w:val="-6"/>
        </w:rPr>
        <w:t xml:space="preserve"> </w:t>
      </w:r>
      <w:r>
        <w:t>of</w:t>
      </w:r>
      <w:r>
        <w:rPr>
          <w:spacing w:val="-6"/>
        </w:rPr>
        <w:t xml:space="preserve"> </w:t>
      </w:r>
      <w:r>
        <w:t>students</w:t>
      </w:r>
      <w:r>
        <w:rPr>
          <w:spacing w:val="-6"/>
        </w:rPr>
        <w:t xml:space="preserve"> </w:t>
      </w:r>
      <w:r>
        <w:t>was</w:t>
      </w:r>
      <w:r>
        <w:rPr>
          <w:spacing w:val="-6"/>
        </w:rPr>
        <w:t xml:space="preserve"> </w:t>
      </w:r>
      <w:r>
        <w:t>selected</w:t>
      </w:r>
      <w:r>
        <w:rPr>
          <w:spacing w:val="-6"/>
        </w:rPr>
        <w:t xml:space="preserve"> </w:t>
      </w:r>
      <w:r>
        <w:t>from</w:t>
      </w:r>
      <w:r>
        <w:rPr>
          <w:spacing w:val="-6"/>
        </w:rPr>
        <w:t xml:space="preserve"> </w:t>
      </w:r>
      <w:r>
        <w:t>a</w:t>
      </w:r>
      <w:r>
        <w:rPr>
          <w:spacing w:val="-6"/>
        </w:rPr>
        <w:t xml:space="preserve"> </w:t>
      </w:r>
      <w:r>
        <w:t>list</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targeted</w:t>
      </w:r>
      <w:r>
        <w:rPr>
          <w:spacing w:val="-6"/>
        </w:rPr>
        <w:t xml:space="preserve"> </w:t>
      </w:r>
      <w:r>
        <w:t>grade</w:t>
      </w:r>
      <w:r>
        <w:rPr>
          <w:spacing w:val="-6"/>
        </w:rPr>
        <w:t xml:space="preserve"> </w:t>
      </w:r>
      <w:r>
        <w:t>such</w:t>
      </w:r>
      <w:r>
        <w:rPr>
          <w:spacing w:val="-6"/>
        </w:rPr>
        <w:t xml:space="preserve"> </w:t>
      </w:r>
      <w:r>
        <w:t>that</w:t>
      </w:r>
      <w:r>
        <w:rPr>
          <w:spacing w:val="-6"/>
        </w:rPr>
        <w:t xml:space="preserve"> </w:t>
      </w:r>
      <w:r>
        <w:t>every</w:t>
      </w:r>
      <w:r>
        <w:rPr>
          <w:spacing w:val="-6"/>
        </w:rPr>
        <w:t xml:space="preserve"> </w:t>
      </w:r>
      <w:r>
        <w:t>student</w:t>
      </w:r>
      <w:r>
        <w:rPr>
          <w:spacing w:val="-6"/>
        </w:rPr>
        <w:t xml:space="preserve"> </w:t>
      </w:r>
      <w:r>
        <w:t>had</w:t>
      </w:r>
      <w:r>
        <w:rPr>
          <w:spacing w:val="-6"/>
        </w:rPr>
        <w:t xml:space="preserve"> </w:t>
      </w:r>
      <w:r>
        <w:t>an</w:t>
      </w:r>
      <w:r>
        <w:rPr>
          <w:spacing w:val="-6"/>
        </w:rPr>
        <w:t xml:space="preserve"> </w:t>
      </w:r>
      <w:r>
        <w:t>equal</w:t>
      </w:r>
      <w:r>
        <w:rPr>
          <w:spacing w:val="-6"/>
        </w:rPr>
        <w:t xml:space="preserve"> </w:t>
      </w:r>
      <w:r>
        <w:t>chance</w:t>
      </w:r>
      <w:r>
        <w:rPr>
          <w:spacing w:val="-6"/>
        </w:rPr>
        <w:t xml:space="preserve"> </w:t>
      </w:r>
      <w:r>
        <w:t>of</w:t>
      </w:r>
      <w:r>
        <w:rPr>
          <w:spacing w:val="-6"/>
        </w:rPr>
        <w:t xml:space="preserve"> </w:t>
      </w:r>
      <w:r>
        <w:t>selection.</w:t>
      </w:r>
      <w:r>
        <w:rPr>
          <w:spacing w:val="-9"/>
        </w:rPr>
        <w:t xml:space="preserve"> </w:t>
      </w:r>
      <w:r>
        <w:t>The</w:t>
      </w:r>
      <w:r>
        <w:rPr>
          <w:spacing w:val="-6"/>
        </w:rPr>
        <w:t xml:space="preserve"> </w:t>
      </w:r>
      <w:r>
        <w:t xml:space="preserve">student lists were submitted either electronically using a system known as </w:t>
      </w:r>
      <w:r>
        <w:rPr>
          <w:color w:val="0066CC"/>
        </w:rPr>
        <w:t xml:space="preserve">E-filing </w:t>
      </w:r>
      <w:r>
        <w:t xml:space="preserve">or on paper. In E-filing, student lists are submitted as Excel files by either </w:t>
      </w:r>
      <w:r>
        <w:rPr>
          <w:color w:val="0066CC"/>
        </w:rPr>
        <w:t>school coordinators</w:t>
      </w:r>
      <w:r>
        <w:t xml:space="preserve">, </w:t>
      </w:r>
      <w:r>
        <w:rPr>
          <w:color w:val="0066CC"/>
        </w:rPr>
        <w:t>NAEP</w:t>
      </w:r>
      <w:r>
        <w:rPr>
          <w:color w:val="0066CC"/>
          <w:spacing w:val="-7"/>
        </w:rPr>
        <w:t xml:space="preserve"> </w:t>
      </w:r>
      <w:r>
        <w:rPr>
          <w:color w:val="0066CC"/>
        </w:rPr>
        <w:t>State Coordinators</w:t>
      </w:r>
      <w:r>
        <w:t xml:space="preserve">, or </w:t>
      </w:r>
      <w:r>
        <w:rPr>
          <w:color w:val="0066CC"/>
        </w:rPr>
        <w:t>NAEP</w:t>
      </w:r>
      <w:r>
        <w:rPr>
          <w:color w:val="0066CC"/>
          <w:spacing w:val="-10"/>
        </w:rPr>
        <w:t xml:space="preserve"> </w:t>
      </w:r>
      <w:r>
        <w:rPr>
          <w:color w:val="0066CC"/>
        </w:rPr>
        <w:t>TUDA</w:t>
      </w:r>
      <w:r>
        <w:rPr>
          <w:color w:val="0066CC"/>
          <w:spacing w:val="-10"/>
        </w:rPr>
        <w:t xml:space="preserve"> </w:t>
      </w:r>
      <w:r>
        <w:rPr>
          <w:color w:val="0066CC"/>
        </w:rPr>
        <w:t>Coordinators</w:t>
      </w:r>
      <w:r>
        <w:t>.</w:t>
      </w:r>
      <w:r>
        <w:rPr>
          <w:spacing w:val="40"/>
        </w:rPr>
        <w:t xml:space="preserve"> </w:t>
      </w:r>
      <w:r>
        <w:t>The files can be submitted for one school at a time (known as single school E-file submission) or for an entire</w:t>
      </w:r>
    </w:p>
    <w:p w:rsidR="003F5784" w14:paraId="7F086C16" w14:textId="77777777">
      <w:pPr>
        <w:spacing w:line="232" w:lineRule="auto"/>
        <w:sectPr>
          <w:pgSz w:w="15840" w:h="12240" w:orient="landscape"/>
          <w:pgMar w:top="480" w:right="440" w:bottom="460" w:left="460" w:header="284" w:footer="275" w:gutter="0"/>
          <w:cols w:space="720"/>
        </w:sectPr>
      </w:pPr>
    </w:p>
    <w:p w:rsidR="003F5784" w14:paraId="01277E02" w14:textId="77777777">
      <w:pPr>
        <w:pStyle w:val="BodyText"/>
        <w:spacing w:before="78" w:line="232" w:lineRule="auto"/>
        <w:ind w:left="109" w:right="179"/>
      </w:pPr>
      <w:r>
        <w:t>jurisdiction</w:t>
      </w:r>
      <w:r>
        <w:rPr>
          <w:spacing w:val="-7"/>
        </w:rPr>
        <w:t xml:space="preserve"> </w:t>
      </w:r>
      <w:r>
        <w:t>at</w:t>
      </w:r>
      <w:r>
        <w:rPr>
          <w:spacing w:val="-7"/>
        </w:rPr>
        <w:t xml:space="preserve"> </w:t>
      </w:r>
      <w:r>
        <w:t>once</w:t>
      </w:r>
      <w:r>
        <w:rPr>
          <w:spacing w:val="-7"/>
        </w:rPr>
        <w:t xml:space="preserve"> </w:t>
      </w:r>
      <w:r>
        <w:t>(known</w:t>
      </w:r>
      <w:r>
        <w:rPr>
          <w:spacing w:val="-7"/>
        </w:rPr>
        <w:t xml:space="preserve"> </w:t>
      </w:r>
      <w:r>
        <w:t>as</w:t>
      </w:r>
      <w:r>
        <w:rPr>
          <w:spacing w:val="-7"/>
        </w:rPr>
        <w:t xml:space="preserve"> </w:t>
      </w:r>
      <w:r>
        <w:t>multiple</w:t>
      </w:r>
      <w:r>
        <w:rPr>
          <w:spacing w:val="-7"/>
        </w:rPr>
        <w:t xml:space="preserve"> </w:t>
      </w:r>
      <w:r>
        <w:t>school</w:t>
      </w:r>
      <w:r>
        <w:rPr>
          <w:spacing w:val="-7"/>
        </w:rPr>
        <w:t xml:space="preserve"> </w:t>
      </w:r>
      <w:r>
        <w:t>E-file</w:t>
      </w:r>
      <w:r>
        <w:rPr>
          <w:spacing w:val="-7"/>
        </w:rPr>
        <w:t xml:space="preserve"> </w:t>
      </w:r>
      <w:r>
        <w:t>submission).</w:t>
      </w:r>
      <w:r>
        <w:rPr>
          <w:spacing w:val="-7"/>
        </w:rPr>
        <w:t xml:space="preserve"> </w:t>
      </w:r>
      <w:r>
        <w:t>E-filing</w:t>
      </w:r>
      <w:r>
        <w:rPr>
          <w:spacing w:val="-7"/>
        </w:rPr>
        <w:t xml:space="preserve"> </w:t>
      </w:r>
      <w:r>
        <w:t>allows</w:t>
      </w:r>
      <w:r>
        <w:rPr>
          <w:spacing w:val="-7"/>
        </w:rPr>
        <w:t xml:space="preserve"> </w:t>
      </w:r>
      <w:r>
        <w:t>schools</w:t>
      </w:r>
      <w:r>
        <w:rPr>
          <w:spacing w:val="-7"/>
        </w:rPr>
        <w:t xml:space="preserve"> </w:t>
      </w:r>
      <w:r>
        <w:t>to</w:t>
      </w:r>
      <w:r>
        <w:rPr>
          <w:spacing w:val="-7"/>
        </w:rPr>
        <w:t xml:space="preserve"> </w:t>
      </w:r>
      <w:r>
        <w:t>easily</w:t>
      </w:r>
      <w:r>
        <w:rPr>
          <w:spacing w:val="-7"/>
        </w:rPr>
        <w:t xml:space="preserve"> </w:t>
      </w:r>
      <w:r>
        <w:t>submit</w:t>
      </w:r>
      <w:r>
        <w:rPr>
          <w:spacing w:val="-7"/>
        </w:rPr>
        <w:t xml:space="preserve"> </w:t>
      </w:r>
      <w:r>
        <w:t>student</w:t>
      </w:r>
      <w:r>
        <w:rPr>
          <w:spacing w:val="-7"/>
        </w:rPr>
        <w:t xml:space="preserve"> </w:t>
      </w:r>
      <w:r>
        <w:t>demographic</w:t>
      </w:r>
      <w:r>
        <w:rPr>
          <w:spacing w:val="-7"/>
        </w:rPr>
        <w:t xml:space="preserve"> </w:t>
      </w:r>
      <w:r>
        <w:t>data</w:t>
      </w:r>
      <w:r>
        <w:rPr>
          <w:spacing w:val="-7"/>
        </w:rPr>
        <w:t xml:space="preserve"> </w:t>
      </w:r>
      <w:r>
        <w:t>electronically</w:t>
      </w:r>
      <w:r>
        <w:rPr>
          <w:spacing w:val="-7"/>
        </w:rPr>
        <w:t xml:space="preserve"> </w:t>
      </w:r>
      <w:r>
        <w:t>with</w:t>
      </w:r>
      <w:r>
        <w:rPr>
          <w:spacing w:val="-7"/>
        </w:rPr>
        <w:t xml:space="preserve"> </w:t>
      </w:r>
      <w:r>
        <w:t>the</w:t>
      </w:r>
      <w:r>
        <w:rPr>
          <w:spacing w:val="-7"/>
        </w:rPr>
        <w:t xml:space="preserve"> </w:t>
      </w:r>
      <w:r>
        <w:t>student</w:t>
      </w:r>
      <w:r>
        <w:rPr>
          <w:spacing w:val="-7"/>
        </w:rPr>
        <w:t xml:space="preserve"> </w:t>
      </w:r>
      <w:r>
        <w:t>lists,</w:t>
      </w:r>
      <w:r>
        <w:rPr>
          <w:spacing w:val="-7"/>
        </w:rPr>
        <w:t xml:space="preserve"> </w:t>
      </w:r>
      <w:r>
        <w:t xml:space="preserve">easing the burden on </w:t>
      </w:r>
      <w:r>
        <w:rPr>
          <w:color w:val="0066CC"/>
        </w:rPr>
        <w:t xml:space="preserve">field supervisors </w:t>
      </w:r>
      <w:r>
        <w:t>and school coordinators.</w:t>
      </w:r>
    </w:p>
    <w:p w:rsidR="003F5784" w14:paraId="6319C97F" w14:textId="77777777">
      <w:pPr>
        <w:pStyle w:val="BodyText"/>
        <w:spacing w:before="209" w:line="232" w:lineRule="auto"/>
        <w:ind w:left="109" w:right="179"/>
      </w:pPr>
      <w:r>
        <w:t>Schools</w:t>
      </w:r>
      <w:r>
        <w:rPr>
          <w:spacing w:val="-3"/>
        </w:rPr>
        <w:t xml:space="preserve"> </w:t>
      </w:r>
      <w:r>
        <w:t>that</w:t>
      </w:r>
      <w:r>
        <w:rPr>
          <w:spacing w:val="-3"/>
        </w:rPr>
        <w:t xml:space="preserve"> </w:t>
      </w:r>
      <w:r>
        <w:t>are</w:t>
      </w:r>
      <w:r>
        <w:rPr>
          <w:spacing w:val="-3"/>
        </w:rPr>
        <w:t xml:space="preserve"> </w:t>
      </w:r>
      <w:r>
        <w:t>unable</w:t>
      </w:r>
      <w:r>
        <w:rPr>
          <w:spacing w:val="-3"/>
        </w:rPr>
        <w:t xml:space="preserve"> </w:t>
      </w:r>
      <w:r>
        <w:t>to</w:t>
      </w:r>
      <w:r>
        <w:rPr>
          <w:spacing w:val="-3"/>
        </w:rPr>
        <w:t xml:space="preserve"> </w:t>
      </w:r>
      <w:r>
        <w:t>submit</w:t>
      </w:r>
      <w:r>
        <w:rPr>
          <w:spacing w:val="-3"/>
        </w:rPr>
        <w:t xml:space="preserve"> </w:t>
      </w:r>
      <w:r>
        <w:t>their</w:t>
      </w:r>
      <w:r>
        <w:rPr>
          <w:spacing w:val="-3"/>
        </w:rPr>
        <w:t xml:space="preserve"> </w:t>
      </w:r>
      <w:r>
        <w:t>student</w:t>
      </w:r>
      <w:r>
        <w:rPr>
          <w:spacing w:val="-3"/>
        </w:rPr>
        <w:t xml:space="preserve"> </w:t>
      </w:r>
      <w:r>
        <w:t>lists</w:t>
      </w:r>
      <w:r>
        <w:rPr>
          <w:spacing w:val="-3"/>
        </w:rPr>
        <w:t xml:space="preserve"> </w:t>
      </w:r>
      <w:r>
        <w:t>using</w:t>
      </w:r>
      <w:r>
        <w:rPr>
          <w:spacing w:val="-3"/>
        </w:rPr>
        <w:t xml:space="preserve"> </w:t>
      </w:r>
      <w:r>
        <w:t>the</w:t>
      </w:r>
      <w:r>
        <w:rPr>
          <w:spacing w:val="-3"/>
        </w:rPr>
        <w:t xml:space="preserve"> </w:t>
      </w:r>
      <w:r>
        <w:t>E-filing</w:t>
      </w:r>
      <w:r>
        <w:rPr>
          <w:spacing w:val="-3"/>
        </w:rPr>
        <w:t xml:space="preserve"> </w:t>
      </w:r>
      <w:r>
        <w:t>system</w:t>
      </w:r>
      <w:r>
        <w:rPr>
          <w:spacing w:val="-3"/>
        </w:rPr>
        <w:t xml:space="preserve"> </w:t>
      </w:r>
      <w:r>
        <w:t>provide</w:t>
      </w:r>
      <w:r>
        <w:rPr>
          <w:spacing w:val="-3"/>
        </w:rPr>
        <w:t xml:space="preserve"> </w:t>
      </w:r>
      <w:r>
        <w:t>hardcopy</w:t>
      </w:r>
      <w:r>
        <w:rPr>
          <w:spacing w:val="-3"/>
        </w:rPr>
        <w:t xml:space="preserve"> </w:t>
      </w:r>
      <w:r>
        <w:t>lists</w:t>
      </w:r>
      <w:r>
        <w:rPr>
          <w:spacing w:val="-3"/>
        </w:rPr>
        <w:t xml:space="preserve"> </w:t>
      </w:r>
      <w:r>
        <w:t>to</w:t>
      </w:r>
      <w:r>
        <w:rPr>
          <w:spacing w:val="-3"/>
        </w:rPr>
        <w:t xml:space="preserve"> </w:t>
      </w:r>
      <w:r>
        <w:t>NAEP</w:t>
      </w:r>
      <w:r>
        <w:rPr>
          <w:spacing w:val="-10"/>
        </w:rPr>
        <w:t xml:space="preserve"> </w:t>
      </w:r>
      <w:r>
        <w:t>field</w:t>
      </w:r>
      <w:r>
        <w:rPr>
          <w:spacing w:val="-3"/>
        </w:rPr>
        <w:t xml:space="preserve"> </w:t>
      </w:r>
      <w:r>
        <w:t>supervisors.</w:t>
      </w:r>
      <w:r>
        <w:rPr>
          <w:spacing w:val="-3"/>
        </w:rPr>
        <w:t xml:space="preserve"> </w:t>
      </w:r>
      <w:r>
        <w:t>In</w:t>
      </w:r>
      <w:r>
        <w:rPr>
          <w:spacing w:val="-3"/>
        </w:rPr>
        <w:t xml:space="preserve"> </w:t>
      </w:r>
      <w:r>
        <w:t>2022,</w:t>
      </w:r>
      <w:r>
        <w:rPr>
          <w:spacing w:val="-3"/>
        </w:rPr>
        <w:t xml:space="preserve"> </w:t>
      </w:r>
      <w:r>
        <w:t>approximately</w:t>
      </w:r>
      <w:r>
        <w:rPr>
          <w:spacing w:val="-3"/>
        </w:rPr>
        <w:t xml:space="preserve"> </w:t>
      </w:r>
      <w:r>
        <w:t>99</w:t>
      </w:r>
      <w:r>
        <w:rPr>
          <w:spacing w:val="-3"/>
        </w:rPr>
        <w:t xml:space="preserve"> </w:t>
      </w:r>
      <w:r>
        <w:t>percent</w:t>
      </w:r>
      <w:r>
        <w:rPr>
          <w:spacing w:val="-3"/>
        </w:rPr>
        <w:t xml:space="preserve"> </w:t>
      </w:r>
      <w:r>
        <w:t>of</w:t>
      </w:r>
      <w:r>
        <w:rPr>
          <w:spacing w:val="-3"/>
        </w:rPr>
        <w:t xml:space="preserve"> </w:t>
      </w:r>
      <w:r>
        <w:t>the participating</w:t>
      </w:r>
      <w:r>
        <w:rPr>
          <w:spacing w:val="-6"/>
        </w:rPr>
        <w:t xml:space="preserve"> </w:t>
      </w:r>
      <w:r>
        <w:t>eighth-grade</w:t>
      </w:r>
      <w:r>
        <w:rPr>
          <w:spacing w:val="-6"/>
        </w:rPr>
        <w:t xml:space="preserve"> </w:t>
      </w:r>
      <w:r>
        <w:t>public</w:t>
      </w:r>
      <w:r>
        <w:rPr>
          <w:spacing w:val="-6"/>
        </w:rPr>
        <w:t xml:space="preserve"> </w:t>
      </w:r>
      <w:r>
        <w:t>schools</w:t>
      </w:r>
      <w:r>
        <w:rPr>
          <w:spacing w:val="-6"/>
        </w:rPr>
        <w:t xml:space="preserve"> </w:t>
      </w:r>
      <w:r>
        <w:t>in</w:t>
      </w:r>
      <w:r>
        <w:rPr>
          <w:spacing w:val="-6"/>
        </w:rPr>
        <w:t xml:space="preserve"> </w:t>
      </w:r>
      <w:r>
        <w:t>the</w:t>
      </w:r>
      <w:r>
        <w:rPr>
          <w:spacing w:val="-6"/>
        </w:rPr>
        <w:t xml:space="preserve"> </w:t>
      </w:r>
      <w:r>
        <w:t>national</w:t>
      </w:r>
      <w:r>
        <w:rPr>
          <w:spacing w:val="-6"/>
        </w:rPr>
        <w:t xml:space="preserve"> </w:t>
      </w:r>
      <w:r>
        <w:t>assessment</w:t>
      </w:r>
      <w:r>
        <w:rPr>
          <w:spacing w:val="-6"/>
        </w:rPr>
        <w:t xml:space="preserve"> </w:t>
      </w:r>
      <w:r>
        <w:t>in</w:t>
      </w:r>
      <w:r>
        <w:rPr>
          <w:spacing w:val="-6"/>
        </w:rPr>
        <w:t xml:space="preserve"> </w:t>
      </w:r>
      <w:r>
        <w:t>civics</w:t>
      </w:r>
      <w:r>
        <w:rPr>
          <w:spacing w:val="-6"/>
        </w:rPr>
        <w:t xml:space="preserve"> </w:t>
      </w:r>
      <w:r>
        <w:t>and</w:t>
      </w:r>
      <w:r>
        <w:rPr>
          <w:spacing w:val="-6"/>
        </w:rPr>
        <w:t xml:space="preserve"> </w:t>
      </w:r>
      <w:r>
        <w:t>U.S.</w:t>
      </w:r>
      <w:r>
        <w:rPr>
          <w:spacing w:val="-6"/>
        </w:rPr>
        <w:t xml:space="preserve"> </w:t>
      </w:r>
      <w:r>
        <w:t>history</w:t>
      </w:r>
      <w:r>
        <w:rPr>
          <w:spacing w:val="-6"/>
        </w:rPr>
        <w:t xml:space="preserve"> </w:t>
      </w:r>
      <w:r>
        <w:t>E-filed</w:t>
      </w:r>
      <w:r>
        <w:rPr>
          <w:spacing w:val="-6"/>
        </w:rPr>
        <w:t xml:space="preserve"> </w:t>
      </w:r>
      <w:r>
        <w:t>their</w:t>
      </w:r>
      <w:r>
        <w:rPr>
          <w:spacing w:val="-6"/>
        </w:rPr>
        <w:t xml:space="preserve"> </w:t>
      </w:r>
      <w:r>
        <w:t>student</w:t>
      </w:r>
      <w:r>
        <w:rPr>
          <w:spacing w:val="-6"/>
        </w:rPr>
        <w:t xml:space="preserve"> </w:t>
      </w:r>
      <w:r>
        <w:t>lists</w:t>
      </w:r>
      <w:r>
        <w:rPr>
          <w:spacing w:val="-6"/>
        </w:rPr>
        <w:t xml:space="preserve"> </w:t>
      </w:r>
      <w:r>
        <w:t>while</w:t>
      </w:r>
      <w:r>
        <w:rPr>
          <w:spacing w:val="-6"/>
        </w:rPr>
        <w:t xml:space="preserve"> </w:t>
      </w:r>
      <w:r>
        <w:t>approximately</w:t>
      </w:r>
      <w:r>
        <w:rPr>
          <w:spacing w:val="-6"/>
        </w:rPr>
        <w:t xml:space="preserve"> </w:t>
      </w:r>
      <w:r>
        <w:t>1</w:t>
      </w:r>
      <w:r>
        <w:rPr>
          <w:spacing w:val="-6"/>
        </w:rPr>
        <w:t xml:space="preserve"> </w:t>
      </w:r>
      <w:r>
        <w:t>percent</w:t>
      </w:r>
      <w:r>
        <w:rPr>
          <w:spacing w:val="-6"/>
        </w:rPr>
        <w:t xml:space="preserve"> </w:t>
      </w:r>
      <w:r>
        <w:t>of</w:t>
      </w:r>
      <w:r>
        <w:rPr>
          <w:spacing w:val="-6"/>
        </w:rPr>
        <w:t xml:space="preserve"> </w:t>
      </w:r>
      <w:r>
        <w:t>the</w:t>
      </w:r>
      <w:r>
        <w:rPr>
          <w:spacing w:val="-6"/>
        </w:rPr>
        <w:t xml:space="preserve"> </w:t>
      </w:r>
      <w:r>
        <w:t>participating schools submitted hardcopy lists.</w:t>
      </w:r>
    </w:p>
    <w:p w:rsidR="003F5784" w14:paraId="6F5404DF" w14:textId="77777777">
      <w:pPr>
        <w:pStyle w:val="BodyText"/>
        <w:spacing w:before="210" w:line="232" w:lineRule="auto"/>
        <w:ind w:left="109" w:right="179"/>
      </w:pPr>
      <w:r>
        <w:t>In</w:t>
      </w:r>
      <w:r>
        <w:rPr>
          <w:spacing w:val="-6"/>
        </w:rPr>
        <w:t xml:space="preserve"> </w:t>
      </w:r>
      <w:r>
        <w:t>year-round</w:t>
      </w:r>
      <w:r>
        <w:rPr>
          <w:spacing w:val="-6"/>
        </w:rPr>
        <w:t xml:space="preserve"> </w:t>
      </w:r>
      <w:r>
        <w:t>multi-track</w:t>
      </w:r>
      <w:r>
        <w:rPr>
          <w:spacing w:val="-6"/>
        </w:rPr>
        <w:t xml:space="preserve"> </w:t>
      </w:r>
      <w:r>
        <w:t>schools,</w:t>
      </w:r>
      <w:r>
        <w:rPr>
          <w:spacing w:val="-6"/>
        </w:rPr>
        <w:t xml:space="preserve"> </w:t>
      </w:r>
      <w:r>
        <w:t>students</w:t>
      </w:r>
      <w:r>
        <w:rPr>
          <w:spacing w:val="-6"/>
        </w:rPr>
        <w:t xml:space="preserve"> </w:t>
      </w:r>
      <w:r>
        <w:t>in</w:t>
      </w:r>
      <w:r>
        <w:rPr>
          <w:spacing w:val="-6"/>
        </w:rPr>
        <w:t xml:space="preserve"> </w:t>
      </w:r>
      <w:r>
        <w:t>tracks</w:t>
      </w:r>
      <w:r>
        <w:rPr>
          <w:spacing w:val="-6"/>
        </w:rPr>
        <w:t xml:space="preserve"> </w:t>
      </w:r>
      <w:r>
        <w:t>scheduled</w:t>
      </w:r>
      <w:r>
        <w:rPr>
          <w:spacing w:val="-6"/>
        </w:rPr>
        <w:t xml:space="preserve"> </w:t>
      </w:r>
      <w:r>
        <w:t>to</w:t>
      </w:r>
      <w:r>
        <w:rPr>
          <w:spacing w:val="-6"/>
        </w:rPr>
        <w:t xml:space="preserve"> </w:t>
      </w:r>
      <w:r>
        <w:t>be</w:t>
      </w:r>
      <w:r>
        <w:rPr>
          <w:spacing w:val="-6"/>
        </w:rPr>
        <w:t xml:space="preserve"> </w:t>
      </w:r>
      <w:r>
        <w:t>on</w:t>
      </w:r>
      <w:r>
        <w:rPr>
          <w:spacing w:val="-6"/>
        </w:rPr>
        <w:t xml:space="preserve"> </w:t>
      </w:r>
      <w:r>
        <w:t>break</w:t>
      </w:r>
      <w:r>
        <w:rPr>
          <w:spacing w:val="-6"/>
        </w:rPr>
        <w:t xml:space="preserve"> </w:t>
      </w:r>
      <w:r>
        <w:t>on</w:t>
      </w:r>
      <w:r>
        <w:rPr>
          <w:spacing w:val="-6"/>
        </w:rPr>
        <w:t xml:space="preserve"> </w:t>
      </w:r>
      <w:r>
        <w:t>the</w:t>
      </w:r>
      <w:r>
        <w:rPr>
          <w:spacing w:val="-6"/>
        </w:rPr>
        <w:t xml:space="preserve"> </w:t>
      </w:r>
      <w:r>
        <w:t>assessment</w:t>
      </w:r>
      <w:r>
        <w:rPr>
          <w:spacing w:val="-6"/>
        </w:rPr>
        <w:t xml:space="preserve"> </w:t>
      </w:r>
      <w:r>
        <w:t>day</w:t>
      </w:r>
      <w:r>
        <w:rPr>
          <w:spacing w:val="-6"/>
        </w:rPr>
        <w:t xml:space="preserve"> </w:t>
      </w:r>
      <w:r>
        <w:t>were</w:t>
      </w:r>
      <w:r>
        <w:rPr>
          <w:spacing w:val="-6"/>
        </w:rPr>
        <w:t xml:space="preserve"> </w:t>
      </w:r>
      <w:r>
        <w:t>removed</w:t>
      </w:r>
      <w:r>
        <w:rPr>
          <w:spacing w:val="-6"/>
        </w:rPr>
        <w:t xml:space="preserve"> </w:t>
      </w:r>
      <w:r>
        <w:t>from</w:t>
      </w:r>
      <w:r>
        <w:rPr>
          <w:spacing w:val="-6"/>
        </w:rPr>
        <w:t xml:space="preserve"> </w:t>
      </w:r>
      <w:r>
        <w:t>the</w:t>
      </w:r>
      <w:r>
        <w:rPr>
          <w:spacing w:val="-6"/>
        </w:rPr>
        <w:t xml:space="preserve"> </w:t>
      </w:r>
      <w:r>
        <w:t>student</w:t>
      </w:r>
      <w:r>
        <w:rPr>
          <w:spacing w:val="-6"/>
        </w:rPr>
        <w:t xml:space="preserve"> </w:t>
      </w:r>
      <w:r>
        <w:t>lists</w:t>
      </w:r>
      <w:r>
        <w:rPr>
          <w:spacing w:val="-6"/>
        </w:rPr>
        <w:t xml:space="preserve"> </w:t>
      </w:r>
      <w:r>
        <w:t>prior</w:t>
      </w:r>
      <w:r>
        <w:rPr>
          <w:spacing w:val="-6"/>
        </w:rPr>
        <w:t xml:space="preserve"> </w:t>
      </w:r>
      <w:r>
        <w:t>to</w:t>
      </w:r>
      <w:r>
        <w:rPr>
          <w:spacing w:val="-6"/>
        </w:rPr>
        <w:t xml:space="preserve"> </w:t>
      </w:r>
      <w:r>
        <w:t>sampling.</w:t>
      </w:r>
      <w:r>
        <w:rPr>
          <w:spacing w:val="-6"/>
        </w:rPr>
        <w:t xml:space="preserve"> </w:t>
      </w:r>
      <w:r>
        <w:t>(</w:t>
      </w:r>
      <w:r>
        <w:rPr>
          <w:color w:val="0066CC"/>
        </w:rPr>
        <w:t>Student</w:t>
      </w:r>
      <w:r>
        <w:rPr>
          <w:color w:val="0066CC"/>
          <w:spacing w:val="-6"/>
        </w:rPr>
        <w:t xml:space="preserve"> </w:t>
      </w:r>
      <w:r>
        <w:rPr>
          <w:color w:val="0066CC"/>
        </w:rPr>
        <w:t xml:space="preserve">base weights </w:t>
      </w:r>
      <w:r>
        <w:t>were adjusted to account for these students.)</w:t>
      </w:r>
    </w:p>
    <w:p w:rsidR="003F5784" w14:paraId="054BCE5C" w14:textId="3B43B695">
      <w:pPr>
        <w:pStyle w:val="BodyText"/>
        <w:spacing w:before="209" w:line="232" w:lineRule="auto"/>
        <w:ind w:left="109" w:right="117"/>
      </w:pPr>
      <w:r>
        <w:t>The</w:t>
      </w:r>
      <w:r>
        <w:rPr>
          <w:spacing w:val="-6"/>
        </w:rPr>
        <w:t xml:space="preserve"> </w:t>
      </w:r>
      <w:r>
        <w:t>sampling</w:t>
      </w:r>
      <w:r>
        <w:rPr>
          <w:spacing w:val="-6"/>
        </w:rPr>
        <w:t xml:space="preserve"> </w:t>
      </w:r>
      <w:r>
        <w:t>process</w:t>
      </w:r>
      <w:r>
        <w:rPr>
          <w:spacing w:val="-6"/>
        </w:rPr>
        <w:t xml:space="preserve"> </w:t>
      </w:r>
      <w:r>
        <w:t>was</w:t>
      </w:r>
      <w:r>
        <w:rPr>
          <w:spacing w:val="-6"/>
        </w:rPr>
        <w:t xml:space="preserve"> </w:t>
      </w:r>
      <w:r>
        <w:t>very</w:t>
      </w:r>
      <w:r>
        <w:rPr>
          <w:spacing w:val="-6"/>
        </w:rPr>
        <w:t xml:space="preserve"> </w:t>
      </w:r>
      <w:r>
        <w:t>similar,</w:t>
      </w:r>
      <w:r>
        <w:rPr>
          <w:spacing w:val="-6"/>
        </w:rPr>
        <w:t xml:space="preserve"> </w:t>
      </w:r>
      <w:r>
        <w:t>regardless</w:t>
      </w:r>
      <w:r>
        <w:rPr>
          <w:spacing w:val="-6"/>
        </w:rPr>
        <w:t xml:space="preserve"> </w:t>
      </w:r>
      <w:r>
        <w:t>of</w:t>
      </w:r>
      <w:r>
        <w:rPr>
          <w:spacing w:val="-6"/>
        </w:rPr>
        <w:t xml:space="preserve"> </w:t>
      </w:r>
      <w:r>
        <w:t>list</w:t>
      </w:r>
      <w:r>
        <w:rPr>
          <w:spacing w:val="-6"/>
        </w:rPr>
        <w:t xml:space="preserve"> </w:t>
      </w:r>
      <w:r>
        <w:t>submission</w:t>
      </w:r>
      <w:r>
        <w:rPr>
          <w:spacing w:val="-6"/>
        </w:rPr>
        <w:t xml:space="preserve"> </w:t>
      </w:r>
      <w:r>
        <w:t>type.</w:t>
      </w:r>
      <w:r>
        <w:rPr>
          <w:spacing w:val="-10"/>
        </w:rPr>
        <w:t xml:space="preserve"> </w:t>
      </w:r>
      <w:r>
        <w:t>The</w:t>
      </w:r>
      <w:r>
        <w:rPr>
          <w:spacing w:val="-6"/>
        </w:rPr>
        <w:t xml:space="preserve"> </w:t>
      </w:r>
      <w:r>
        <w:t>sampling</w:t>
      </w:r>
      <w:r>
        <w:rPr>
          <w:spacing w:val="-6"/>
        </w:rPr>
        <w:t xml:space="preserve"> </w:t>
      </w:r>
      <w:r>
        <w:t>process</w:t>
      </w:r>
      <w:r>
        <w:rPr>
          <w:spacing w:val="-6"/>
        </w:rPr>
        <w:t xml:space="preserve"> </w:t>
      </w:r>
      <w:r>
        <w:t>was</w:t>
      </w:r>
      <w:r>
        <w:rPr>
          <w:spacing w:val="-6"/>
        </w:rPr>
        <w:t xml:space="preserve"> </w:t>
      </w:r>
      <w:r>
        <w:rPr>
          <w:color w:val="0066CC"/>
        </w:rPr>
        <w:t>systematic</w:t>
      </w:r>
      <w:r>
        <w:rPr>
          <w:color w:val="0066CC"/>
          <w:spacing w:val="-6"/>
        </w:rPr>
        <w:t xml:space="preserve"> </w:t>
      </w:r>
      <w:r>
        <w:t>(e.g.,</w:t>
      </w:r>
      <w:r>
        <w:rPr>
          <w:spacing w:val="-6"/>
        </w:rPr>
        <w:t xml:space="preserve"> </w:t>
      </w:r>
      <w:r>
        <w:t>if</w:t>
      </w:r>
      <w:r>
        <w:rPr>
          <w:spacing w:val="-6"/>
        </w:rPr>
        <w:t xml:space="preserve"> </w:t>
      </w:r>
      <w:r>
        <w:t>the</w:t>
      </w:r>
      <w:r>
        <w:rPr>
          <w:spacing w:val="-6"/>
        </w:rPr>
        <w:t xml:space="preserve"> </w:t>
      </w:r>
      <w:r>
        <w:t>sampling</w:t>
      </w:r>
      <w:r>
        <w:rPr>
          <w:spacing w:val="-6"/>
        </w:rPr>
        <w:t xml:space="preserve"> </w:t>
      </w:r>
      <w:r>
        <w:t>rate</w:t>
      </w:r>
      <w:r>
        <w:rPr>
          <w:spacing w:val="-6"/>
        </w:rPr>
        <w:t xml:space="preserve"> </w:t>
      </w:r>
      <w:r>
        <w:t>was</w:t>
      </w:r>
      <w:r>
        <w:rPr>
          <w:spacing w:val="-6"/>
        </w:rPr>
        <w:t xml:space="preserve"> </w:t>
      </w:r>
      <w:r>
        <w:t>one-half,</w:t>
      </w:r>
      <w:r>
        <w:rPr>
          <w:spacing w:val="-6"/>
        </w:rPr>
        <w:t xml:space="preserve"> </w:t>
      </w:r>
      <w:r>
        <w:t>a</w:t>
      </w:r>
      <w:r>
        <w:rPr>
          <w:spacing w:val="-6"/>
        </w:rPr>
        <w:t xml:space="preserve"> </w:t>
      </w:r>
      <w:r>
        <w:t>random</w:t>
      </w:r>
      <w:r>
        <w:rPr>
          <w:spacing w:val="-6"/>
        </w:rPr>
        <w:t xml:space="preserve"> </w:t>
      </w:r>
      <w:r>
        <w:t>starting</w:t>
      </w:r>
      <w:r>
        <w:rPr>
          <w:spacing w:val="-6"/>
        </w:rPr>
        <w:t xml:space="preserve"> </w:t>
      </w:r>
      <w:r>
        <w:t xml:space="preserve">point of one or two was chosen, and every other student on the list was selected). For E-filed schools only, where demographic data was submitted for every student in the school, students were sorted by </w:t>
      </w:r>
      <w:r w:rsidR="00B4162D">
        <w:t>sex</w:t>
      </w:r>
      <w:r>
        <w:t xml:space="preserve"> and race/ethnicity before the sample was selected to implicitly stratify the sample.</w:t>
      </w:r>
    </w:p>
    <w:p w:rsidR="003F5784" w14:paraId="48384FE6" w14:textId="77777777">
      <w:pPr>
        <w:pStyle w:val="BodyText"/>
        <w:spacing w:before="204" w:line="439" w:lineRule="auto"/>
        <w:ind w:left="109" w:right="318"/>
      </w:pPr>
      <w:r>
        <w:t>In</w:t>
      </w:r>
      <w:r>
        <w:rPr>
          <w:spacing w:val="-6"/>
        </w:rPr>
        <w:t xml:space="preserve"> </w:t>
      </w:r>
      <w:r>
        <w:t>schools</w:t>
      </w:r>
      <w:r>
        <w:rPr>
          <w:spacing w:val="-6"/>
        </w:rPr>
        <w:t xml:space="preserve"> </w:t>
      </w:r>
      <w:r>
        <w:t>with</w:t>
      </w:r>
      <w:r>
        <w:rPr>
          <w:spacing w:val="-6"/>
        </w:rPr>
        <w:t xml:space="preserve"> </w:t>
      </w:r>
      <w:r>
        <w:t>up</w:t>
      </w:r>
      <w:r>
        <w:rPr>
          <w:spacing w:val="-6"/>
        </w:rPr>
        <w:t xml:space="preserve"> </w:t>
      </w:r>
      <w:r>
        <w:t>to</w:t>
      </w:r>
      <w:r>
        <w:rPr>
          <w:spacing w:val="-6"/>
        </w:rPr>
        <w:t xml:space="preserve"> </w:t>
      </w:r>
      <w:r>
        <w:t>52</w:t>
      </w:r>
      <w:r>
        <w:rPr>
          <w:spacing w:val="-6"/>
        </w:rPr>
        <w:t xml:space="preserve"> </w:t>
      </w:r>
      <w:r>
        <w:t>students</w:t>
      </w:r>
      <w:r>
        <w:rPr>
          <w:spacing w:val="-6"/>
        </w:rPr>
        <w:t xml:space="preserve"> </w:t>
      </w:r>
      <w:r>
        <w:t>in</w:t>
      </w:r>
      <w:r>
        <w:rPr>
          <w:spacing w:val="-6"/>
        </w:rPr>
        <w:t xml:space="preserve"> </w:t>
      </w:r>
      <w:r>
        <w:t>the</w:t>
      </w:r>
      <w:r>
        <w:rPr>
          <w:spacing w:val="-6"/>
        </w:rPr>
        <w:t xml:space="preserve"> </w:t>
      </w:r>
      <w:r>
        <w:t>targeted</w:t>
      </w:r>
      <w:r>
        <w:rPr>
          <w:spacing w:val="-6"/>
        </w:rPr>
        <w:t xml:space="preserve"> </w:t>
      </w:r>
      <w:r>
        <w:t>grade,</w:t>
      </w:r>
      <w:r>
        <w:rPr>
          <w:spacing w:val="-6"/>
        </w:rPr>
        <w:t xml:space="preserve"> </w:t>
      </w:r>
      <w:r>
        <w:t>all</w:t>
      </w:r>
      <w:r>
        <w:rPr>
          <w:spacing w:val="-6"/>
        </w:rPr>
        <w:t xml:space="preserve"> </w:t>
      </w:r>
      <w:r>
        <w:t>students</w:t>
      </w:r>
      <w:r>
        <w:rPr>
          <w:spacing w:val="-6"/>
        </w:rPr>
        <w:t xml:space="preserve"> </w:t>
      </w:r>
      <w:r>
        <w:t>were</w:t>
      </w:r>
      <w:r>
        <w:rPr>
          <w:spacing w:val="-6"/>
        </w:rPr>
        <w:t xml:space="preserve"> </w:t>
      </w:r>
      <w:r>
        <w:t>selected.</w:t>
      </w:r>
      <w:r>
        <w:rPr>
          <w:spacing w:val="-6"/>
        </w:rPr>
        <w:t xml:space="preserve"> </w:t>
      </w:r>
      <w:r>
        <w:t>In</w:t>
      </w:r>
      <w:r>
        <w:rPr>
          <w:spacing w:val="-6"/>
        </w:rPr>
        <w:t xml:space="preserve"> </w:t>
      </w:r>
      <w:r>
        <w:t>schools</w:t>
      </w:r>
      <w:r>
        <w:rPr>
          <w:spacing w:val="-6"/>
        </w:rPr>
        <w:t xml:space="preserve"> </w:t>
      </w:r>
      <w:r>
        <w:t>with</w:t>
      </w:r>
      <w:r>
        <w:rPr>
          <w:spacing w:val="-6"/>
        </w:rPr>
        <w:t xml:space="preserve"> </w:t>
      </w:r>
      <w:r>
        <w:t>more</w:t>
      </w:r>
      <w:r>
        <w:rPr>
          <w:spacing w:val="-6"/>
        </w:rPr>
        <w:t xml:space="preserve"> </w:t>
      </w:r>
      <w:r>
        <w:t>than</w:t>
      </w:r>
      <w:r>
        <w:rPr>
          <w:spacing w:val="-6"/>
        </w:rPr>
        <w:t xml:space="preserve"> </w:t>
      </w:r>
      <w:r>
        <w:t>52</w:t>
      </w:r>
      <w:r>
        <w:rPr>
          <w:spacing w:val="-6"/>
        </w:rPr>
        <w:t xml:space="preserve"> </w:t>
      </w:r>
      <w:r>
        <w:t>students,</w:t>
      </w:r>
      <w:r>
        <w:rPr>
          <w:spacing w:val="-6"/>
        </w:rPr>
        <w:t xml:space="preserve"> </w:t>
      </w:r>
      <w:r>
        <w:t>systematic</w:t>
      </w:r>
      <w:r>
        <w:rPr>
          <w:spacing w:val="-6"/>
        </w:rPr>
        <w:t xml:space="preserve"> </w:t>
      </w:r>
      <w:r>
        <w:t>samples</w:t>
      </w:r>
      <w:r>
        <w:rPr>
          <w:spacing w:val="-6"/>
        </w:rPr>
        <w:t xml:space="preserve"> </w:t>
      </w:r>
      <w:r>
        <w:t>of</w:t>
      </w:r>
      <w:r>
        <w:rPr>
          <w:spacing w:val="-6"/>
        </w:rPr>
        <w:t xml:space="preserve"> </w:t>
      </w:r>
      <w:r>
        <w:t>50</w:t>
      </w:r>
      <w:r>
        <w:rPr>
          <w:spacing w:val="-6"/>
        </w:rPr>
        <w:t xml:space="preserve"> </w:t>
      </w:r>
      <w:r>
        <w:t>students</w:t>
      </w:r>
      <w:r>
        <w:rPr>
          <w:spacing w:val="-6"/>
        </w:rPr>
        <w:t xml:space="preserve"> </w:t>
      </w:r>
      <w:r>
        <w:t>were</w:t>
      </w:r>
      <w:r>
        <w:rPr>
          <w:spacing w:val="-6"/>
        </w:rPr>
        <w:t xml:space="preserve"> </w:t>
      </w:r>
      <w:r>
        <w:t>selected. Some students enrolled in the school after the sample was selected. In such cases, new enrollees were sampled at the same rate as the students on the original list.</w:t>
      </w:r>
    </w:p>
    <w:p w:rsidR="003F5784" w14:paraId="335E1867" w14:textId="77777777">
      <w:pPr>
        <w:pStyle w:val="Heading2"/>
        <w:spacing w:before="2"/>
        <w:ind w:left="109"/>
      </w:pPr>
      <w:r>
        <w:t>Assigning</w:t>
      </w:r>
      <w:r>
        <w:rPr>
          <w:spacing w:val="-14"/>
        </w:rPr>
        <w:t xml:space="preserve"> </w:t>
      </w:r>
      <w:r>
        <w:t>Assessment</w:t>
      </w:r>
      <w:r>
        <w:rPr>
          <w:spacing w:val="-13"/>
        </w:rPr>
        <w:t xml:space="preserve"> </w:t>
      </w:r>
      <w:r>
        <w:t>Subject</w:t>
      </w:r>
      <w:r>
        <w:rPr>
          <w:spacing w:val="-8"/>
        </w:rPr>
        <w:t xml:space="preserve"> </w:t>
      </w:r>
      <w:r>
        <w:t>to</w:t>
      </w:r>
      <w:r>
        <w:rPr>
          <w:spacing w:val="-8"/>
        </w:rPr>
        <w:t xml:space="preserve"> </w:t>
      </w:r>
      <w:r>
        <w:t>Sampled</w:t>
      </w:r>
      <w:r>
        <w:rPr>
          <w:spacing w:val="-9"/>
        </w:rPr>
        <w:t xml:space="preserve"> </w:t>
      </w:r>
      <w:r>
        <w:rPr>
          <w:spacing w:val="-2"/>
        </w:rPr>
        <w:t>Students</w:t>
      </w:r>
    </w:p>
    <w:p w:rsidR="003F5784" w14:paraId="3BDAE5D5" w14:textId="77777777">
      <w:pPr>
        <w:pStyle w:val="BodyText"/>
        <w:rPr>
          <w:b/>
        </w:rPr>
      </w:pPr>
    </w:p>
    <w:p w:rsidR="003F5784" w14:paraId="57B001FB" w14:textId="77777777">
      <w:pPr>
        <w:pStyle w:val="BodyText"/>
        <w:spacing w:before="194"/>
        <w:rPr>
          <w:b/>
        </w:rPr>
      </w:pPr>
    </w:p>
    <w:p w:rsidR="003F5784" w14:paraId="1648DFB7" w14:textId="77777777">
      <w:pPr>
        <w:pStyle w:val="BodyText"/>
        <w:spacing w:line="232" w:lineRule="auto"/>
        <w:ind w:left="109" w:right="179"/>
      </w:pPr>
      <w:r>
        <w:t>Sampled</w:t>
      </w:r>
      <w:r>
        <w:rPr>
          <w:spacing w:val="-1"/>
        </w:rPr>
        <w:t xml:space="preserve"> </w:t>
      </w:r>
      <w:r>
        <w:t>students,</w:t>
      </w:r>
      <w:r>
        <w:rPr>
          <w:spacing w:val="-1"/>
        </w:rPr>
        <w:t xml:space="preserve"> </w:t>
      </w:r>
      <w:r>
        <w:t>including</w:t>
      </w:r>
      <w:r>
        <w:rPr>
          <w:spacing w:val="-1"/>
        </w:rPr>
        <w:t xml:space="preserve"> </w:t>
      </w:r>
      <w:r>
        <w:t>new</w:t>
      </w:r>
      <w:r>
        <w:rPr>
          <w:spacing w:val="-1"/>
        </w:rPr>
        <w:t xml:space="preserve"> </w:t>
      </w:r>
      <w:r>
        <w:t>enrollees,</w:t>
      </w:r>
      <w:r>
        <w:rPr>
          <w:spacing w:val="-1"/>
        </w:rPr>
        <w:t xml:space="preserve"> </w:t>
      </w:r>
      <w:r>
        <w:t>in</w:t>
      </w:r>
      <w:r>
        <w:rPr>
          <w:spacing w:val="-1"/>
        </w:rPr>
        <w:t xml:space="preserve"> </w:t>
      </w:r>
      <w:r>
        <w:t>each</w:t>
      </w:r>
      <w:r>
        <w:rPr>
          <w:spacing w:val="-1"/>
        </w:rPr>
        <w:t xml:space="preserve"> </w:t>
      </w:r>
      <w:r>
        <w:t>participating</w:t>
      </w:r>
      <w:r>
        <w:rPr>
          <w:spacing w:val="-1"/>
        </w:rPr>
        <w:t xml:space="preserve"> </w:t>
      </w:r>
      <w:r>
        <w:t>sampled</w:t>
      </w:r>
      <w:r>
        <w:rPr>
          <w:spacing w:val="-1"/>
        </w:rPr>
        <w:t xml:space="preserve"> </w:t>
      </w:r>
      <w:r>
        <w:t>school</w:t>
      </w:r>
      <w:r>
        <w:rPr>
          <w:spacing w:val="-1"/>
        </w:rPr>
        <w:t xml:space="preserve"> </w:t>
      </w:r>
      <w:r>
        <w:t>were</w:t>
      </w:r>
      <w:r>
        <w:rPr>
          <w:spacing w:val="-1"/>
        </w:rPr>
        <w:t xml:space="preserve"> </w:t>
      </w:r>
      <w:r>
        <w:t>assigned</w:t>
      </w:r>
      <w:r>
        <w:rPr>
          <w:spacing w:val="-1"/>
        </w:rPr>
        <w:t xml:space="preserve"> </w:t>
      </w:r>
      <w:r>
        <w:t>to</w:t>
      </w:r>
      <w:r>
        <w:rPr>
          <w:spacing w:val="-1"/>
        </w:rPr>
        <w:t xml:space="preserve"> </w:t>
      </w:r>
      <w:r>
        <w:t>either</w:t>
      </w:r>
      <w:r>
        <w:rPr>
          <w:spacing w:val="-1"/>
        </w:rPr>
        <w:t xml:space="preserve"> </w:t>
      </w:r>
      <w:r>
        <w:t>the</w:t>
      </w:r>
      <w:r>
        <w:rPr>
          <w:spacing w:val="-1"/>
        </w:rPr>
        <w:t xml:space="preserve"> </w:t>
      </w:r>
      <w:r>
        <w:t>civics</w:t>
      </w:r>
      <w:r>
        <w:rPr>
          <w:spacing w:val="-1"/>
        </w:rPr>
        <w:t xml:space="preserve"> </w:t>
      </w:r>
      <w:r>
        <w:t>or</w:t>
      </w:r>
      <w:r>
        <w:rPr>
          <w:spacing w:val="-1"/>
        </w:rPr>
        <w:t xml:space="preserve"> </w:t>
      </w:r>
      <w:r>
        <w:t>U.S.</w:t>
      </w:r>
      <w:r>
        <w:rPr>
          <w:spacing w:val="-1"/>
        </w:rPr>
        <w:t xml:space="preserve"> </w:t>
      </w:r>
      <w:r>
        <w:t>history</w:t>
      </w:r>
      <w:r>
        <w:rPr>
          <w:spacing w:val="-1"/>
        </w:rPr>
        <w:t xml:space="preserve"> </w:t>
      </w:r>
      <w:r>
        <w:t>assessment</w:t>
      </w:r>
      <w:r>
        <w:rPr>
          <w:spacing w:val="-1"/>
        </w:rPr>
        <w:t xml:space="preserve"> </w:t>
      </w:r>
      <w:r>
        <w:t>at</w:t>
      </w:r>
      <w:r>
        <w:rPr>
          <w:spacing w:val="-1"/>
        </w:rPr>
        <w:t xml:space="preserve"> </w:t>
      </w:r>
      <w:r>
        <w:t>rates</w:t>
      </w:r>
      <w:r>
        <w:rPr>
          <w:spacing w:val="-1"/>
        </w:rPr>
        <w:t xml:space="preserve"> </w:t>
      </w:r>
      <w:r>
        <w:t>of</w:t>
      </w:r>
      <w:r>
        <w:rPr>
          <w:spacing w:val="-1"/>
        </w:rPr>
        <w:t xml:space="preserve"> </w:t>
      </w:r>
      <w:r>
        <w:t>49</w:t>
      </w:r>
      <w:r>
        <w:rPr>
          <w:spacing w:val="-1"/>
        </w:rPr>
        <w:t xml:space="preserve"> </w:t>
      </w:r>
      <w:r>
        <w:t>percent</w:t>
      </w:r>
      <w:r>
        <w:rPr>
          <w:spacing w:val="-1"/>
        </w:rPr>
        <w:t xml:space="preserve"> </w:t>
      </w:r>
      <w:r>
        <w:t>and</w:t>
      </w:r>
      <w:r>
        <w:rPr>
          <w:spacing w:val="-1"/>
        </w:rPr>
        <w:t xml:space="preserve"> </w:t>
      </w:r>
      <w:r>
        <w:t>51 percent,</w:t>
      </w:r>
      <w:r>
        <w:rPr>
          <w:spacing w:val="-4"/>
        </w:rPr>
        <w:t xml:space="preserve"> </w:t>
      </w:r>
      <w:r>
        <w:t>respectively,</w:t>
      </w:r>
      <w:r>
        <w:rPr>
          <w:spacing w:val="-4"/>
        </w:rPr>
        <w:t xml:space="preserve"> </w:t>
      </w:r>
      <w:r>
        <w:t>using</w:t>
      </w:r>
      <w:r>
        <w:rPr>
          <w:spacing w:val="-4"/>
        </w:rPr>
        <w:t xml:space="preserve"> </w:t>
      </w:r>
      <w:r>
        <w:t>a</w:t>
      </w:r>
      <w:r>
        <w:rPr>
          <w:spacing w:val="-4"/>
        </w:rPr>
        <w:t xml:space="preserve"> </w:t>
      </w:r>
      <w:r>
        <w:t>process</w:t>
      </w:r>
      <w:r>
        <w:rPr>
          <w:spacing w:val="-4"/>
        </w:rPr>
        <w:t xml:space="preserve"> </w:t>
      </w:r>
      <w:r>
        <w:t>known</w:t>
      </w:r>
      <w:r>
        <w:rPr>
          <w:spacing w:val="-4"/>
        </w:rPr>
        <w:t xml:space="preserve"> </w:t>
      </w:r>
      <w:r>
        <w:t>as</w:t>
      </w:r>
      <w:r>
        <w:rPr>
          <w:spacing w:val="-5"/>
        </w:rPr>
        <w:t xml:space="preserve"> </w:t>
      </w:r>
      <w:r>
        <w:rPr>
          <w:color w:val="0066CC"/>
        </w:rPr>
        <w:t>spiraling</w:t>
      </w:r>
      <w:r>
        <w:t>.</w:t>
      </w:r>
      <w:r>
        <w:rPr>
          <w:spacing w:val="-4"/>
        </w:rPr>
        <w:t xml:space="preserve"> </w:t>
      </w:r>
      <w:r>
        <w:t>In</w:t>
      </w:r>
      <w:r>
        <w:rPr>
          <w:spacing w:val="-4"/>
        </w:rPr>
        <w:t xml:space="preserve"> </w:t>
      </w:r>
      <w:r>
        <w:t>this</w:t>
      </w:r>
      <w:r>
        <w:rPr>
          <w:spacing w:val="-4"/>
        </w:rPr>
        <w:t xml:space="preserve"> </w:t>
      </w:r>
      <w:r>
        <w:t>process,</w:t>
      </w:r>
      <w:r>
        <w:rPr>
          <w:spacing w:val="-4"/>
        </w:rPr>
        <w:t xml:space="preserve"> </w:t>
      </w:r>
      <w:r>
        <w:t>test</w:t>
      </w:r>
      <w:r>
        <w:rPr>
          <w:spacing w:val="-4"/>
        </w:rPr>
        <w:t xml:space="preserve"> </w:t>
      </w:r>
      <w:r>
        <w:t>forms</w:t>
      </w:r>
      <w:r>
        <w:rPr>
          <w:spacing w:val="-4"/>
        </w:rPr>
        <w:t xml:space="preserve"> </w:t>
      </w:r>
      <w:r>
        <w:t>were</w:t>
      </w:r>
      <w:r>
        <w:rPr>
          <w:spacing w:val="-5"/>
        </w:rPr>
        <w:t xml:space="preserve"> </w:t>
      </w:r>
      <w:r>
        <w:t>randomly</w:t>
      </w:r>
      <w:r>
        <w:rPr>
          <w:spacing w:val="-4"/>
        </w:rPr>
        <w:t xml:space="preserve"> </w:t>
      </w:r>
      <w:r>
        <w:t>assigned</w:t>
      </w:r>
      <w:r>
        <w:rPr>
          <w:spacing w:val="-4"/>
        </w:rPr>
        <w:t xml:space="preserve"> </w:t>
      </w:r>
      <w:r>
        <w:t>to</w:t>
      </w:r>
      <w:r>
        <w:rPr>
          <w:spacing w:val="-4"/>
        </w:rPr>
        <w:t xml:space="preserve"> </w:t>
      </w:r>
      <w:r>
        <w:t>sampled</w:t>
      </w:r>
      <w:r>
        <w:rPr>
          <w:spacing w:val="-4"/>
        </w:rPr>
        <w:t xml:space="preserve"> </w:t>
      </w:r>
      <w:r>
        <w:t>students</w:t>
      </w:r>
      <w:r>
        <w:rPr>
          <w:spacing w:val="-4"/>
        </w:rPr>
        <w:t xml:space="preserve"> </w:t>
      </w:r>
      <w:r>
        <w:t>from</w:t>
      </w:r>
      <w:r>
        <w:rPr>
          <w:spacing w:val="-4"/>
        </w:rPr>
        <w:t xml:space="preserve"> </w:t>
      </w:r>
      <w:r>
        <w:t>test</w:t>
      </w:r>
      <w:r>
        <w:rPr>
          <w:spacing w:val="-5"/>
        </w:rPr>
        <w:t xml:space="preserve"> </w:t>
      </w:r>
      <w:r>
        <w:t>form</w:t>
      </w:r>
      <w:r>
        <w:rPr>
          <w:spacing w:val="-4"/>
        </w:rPr>
        <w:t xml:space="preserve"> </w:t>
      </w:r>
      <w:r>
        <w:t>sets</w:t>
      </w:r>
      <w:r>
        <w:rPr>
          <w:spacing w:val="-4"/>
        </w:rPr>
        <w:t xml:space="preserve"> </w:t>
      </w:r>
      <w:r>
        <w:t>that</w:t>
      </w:r>
      <w:r>
        <w:rPr>
          <w:spacing w:val="-4"/>
        </w:rPr>
        <w:t xml:space="preserve"> </w:t>
      </w:r>
      <w:r>
        <w:t>had,</w:t>
      </w:r>
      <w:r>
        <w:rPr>
          <w:spacing w:val="-4"/>
        </w:rPr>
        <w:t xml:space="preserve"> </w:t>
      </w:r>
      <w:r>
        <w:t>on</w:t>
      </w:r>
      <w:r>
        <w:rPr>
          <w:spacing w:val="-4"/>
        </w:rPr>
        <w:t xml:space="preserve"> </w:t>
      </w:r>
      <w:r>
        <w:t>average,</w:t>
      </w:r>
      <w:r>
        <w:rPr>
          <w:spacing w:val="-4"/>
        </w:rPr>
        <w:t xml:space="preserve"> </w:t>
      </w:r>
      <w:r>
        <w:t>a ratio</w:t>
      </w:r>
      <w:r>
        <w:rPr>
          <w:spacing w:val="-5"/>
        </w:rPr>
        <w:t xml:space="preserve"> </w:t>
      </w:r>
      <w:r>
        <w:t>of</w:t>
      </w:r>
      <w:r>
        <w:rPr>
          <w:spacing w:val="-5"/>
        </w:rPr>
        <w:t xml:space="preserve"> </w:t>
      </w:r>
      <w:r>
        <w:t>26</w:t>
      </w:r>
      <w:r>
        <w:rPr>
          <w:spacing w:val="-5"/>
        </w:rPr>
        <w:t xml:space="preserve"> </w:t>
      </w:r>
      <w:r>
        <w:t>civics</w:t>
      </w:r>
      <w:r>
        <w:rPr>
          <w:spacing w:val="-5"/>
        </w:rPr>
        <w:t xml:space="preserve"> </w:t>
      </w:r>
      <w:r>
        <w:t>forms</w:t>
      </w:r>
      <w:r>
        <w:rPr>
          <w:spacing w:val="-5"/>
        </w:rPr>
        <w:t xml:space="preserve"> </w:t>
      </w:r>
      <w:r>
        <w:t>to</w:t>
      </w:r>
      <w:r>
        <w:rPr>
          <w:spacing w:val="-5"/>
        </w:rPr>
        <w:t xml:space="preserve"> </w:t>
      </w:r>
      <w:r>
        <w:t>26</w:t>
      </w:r>
      <w:r>
        <w:rPr>
          <w:spacing w:val="-5"/>
        </w:rPr>
        <w:t xml:space="preserve"> </w:t>
      </w:r>
      <w:r>
        <w:t>U.S.</w:t>
      </w:r>
      <w:r>
        <w:rPr>
          <w:spacing w:val="-5"/>
        </w:rPr>
        <w:t xml:space="preserve"> </w:t>
      </w:r>
      <w:r>
        <w:t>history</w:t>
      </w:r>
      <w:r>
        <w:rPr>
          <w:spacing w:val="-5"/>
        </w:rPr>
        <w:t xml:space="preserve"> </w:t>
      </w:r>
      <w:r>
        <w:t>forms.</w:t>
      </w:r>
      <w:r>
        <w:rPr>
          <w:spacing w:val="-5"/>
        </w:rPr>
        <w:t xml:space="preserve"> </w:t>
      </w:r>
      <w:r>
        <w:t>Students</w:t>
      </w:r>
      <w:r>
        <w:rPr>
          <w:spacing w:val="-5"/>
        </w:rPr>
        <w:t xml:space="preserve"> </w:t>
      </w:r>
      <w:r>
        <w:t>receiving</w:t>
      </w:r>
      <w:r>
        <w:rPr>
          <w:spacing w:val="-5"/>
        </w:rPr>
        <w:t xml:space="preserve"> </w:t>
      </w:r>
      <w:r>
        <w:t>a</w:t>
      </w:r>
      <w:r>
        <w:rPr>
          <w:spacing w:val="-5"/>
        </w:rPr>
        <w:t xml:space="preserve"> </w:t>
      </w:r>
      <w:r>
        <w:t>civics</w:t>
      </w:r>
      <w:r>
        <w:rPr>
          <w:spacing w:val="-5"/>
        </w:rPr>
        <w:t xml:space="preserve"> </w:t>
      </w:r>
      <w:r>
        <w:t>form</w:t>
      </w:r>
      <w:r>
        <w:rPr>
          <w:spacing w:val="-5"/>
        </w:rPr>
        <w:t xml:space="preserve"> </w:t>
      </w:r>
      <w:r>
        <w:t>were</w:t>
      </w:r>
      <w:r>
        <w:rPr>
          <w:spacing w:val="-5"/>
        </w:rPr>
        <w:t xml:space="preserve"> </w:t>
      </w:r>
      <w:r>
        <w:t>in</w:t>
      </w:r>
      <w:r>
        <w:rPr>
          <w:spacing w:val="-5"/>
        </w:rPr>
        <w:t xml:space="preserve"> </w:t>
      </w:r>
      <w:r>
        <w:t>the</w:t>
      </w:r>
      <w:r>
        <w:rPr>
          <w:spacing w:val="-5"/>
        </w:rPr>
        <w:t xml:space="preserve"> </w:t>
      </w:r>
      <w:r>
        <w:t>civics</w:t>
      </w:r>
      <w:r>
        <w:rPr>
          <w:spacing w:val="-5"/>
        </w:rPr>
        <w:t xml:space="preserve"> </w:t>
      </w:r>
      <w:r>
        <w:t>assessment,</w:t>
      </w:r>
      <w:r>
        <w:rPr>
          <w:spacing w:val="-5"/>
        </w:rPr>
        <w:t xml:space="preserve"> </w:t>
      </w:r>
      <w:r>
        <w:t>and</w:t>
      </w:r>
      <w:r>
        <w:rPr>
          <w:spacing w:val="-5"/>
        </w:rPr>
        <w:t xml:space="preserve"> </w:t>
      </w:r>
      <w:r>
        <w:t>students</w:t>
      </w:r>
      <w:r>
        <w:rPr>
          <w:spacing w:val="-5"/>
        </w:rPr>
        <w:t xml:space="preserve"> </w:t>
      </w:r>
      <w:r>
        <w:t>receiving</w:t>
      </w:r>
      <w:r>
        <w:rPr>
          <w:spacing w:val="-5"/>
        </w:rPr>
        <w:t xml:space="preserve"> </w:t>
      </w:r>
      <w:r>
        <w:t>a</w:t>
      </w:r>
      <w:r>
        <w:rPr>
          <w:spacing w:val="-5"/>
        </w:rPr>
        <w:t xml:space="preserve"> </w:t>
      </w:r>
      <w:r>
        <w:t>U.S.</w:t>
      </w:r>
      <w:r>
        <w:rPr>
          <w:spacing w:val="-5"/>
        </w:rPr>
        <w:t xml:space="preserve"> </w:t>
      </w:r>
      <w:r>
        <w:t>history</w:t>
      </w:r>
      <w:r>
        <w:rPr>
          <w:spacing w:val="-5"/>
        </w:rPr>
        <w:t xml:space="preserve"> </w:t>
      </w:r>
      <w:r>
        <w:t>form</w:t>
      </w:r>
      <w:r>
        <w:rPr>
          <w:spacing w:val="-5"/>
        </w:rPr>
        <w:t xml:space="preserve"> </w:t>
      </w:r>
      <w:r>
        <w:t>were</w:t>
      </w:r>
      <w:r>
        <w:rPr>
          <w:spacing w:val="-5"/>
        </w:rPr>
        <w:t xml:space="preserve"> </w:t>
      </w:r>
      <w:r>
        <w:t>in</w:t>
      </w:r>
      <w:r>
        <w:rPr>
          <w:spacing w:val="-5"/>
        </w:rPr>
        <w:t xml:space="preserve"> </w:t>
      </w:r>
      <w:r>
        <w:t>the</w:t>
      </w:r>
      <w:r>
        <w:rPr>
          <w:spacing w:val="-5"/>
        </w:rPr>
        <w:t xml:space="preserve"> </w:t>
      </w:r>
      <w:r>
        <w:t>U.S. history assessment.</w:t>
      </w:r>
    </w:p>
    <w:p w:rsidR="003F5784" w14:paraId="04BB27AE" w14:textId="77777777">
      <w:pPr>
        <w:pStyle w:val="BodyText"/>
      </w:pPr>
    </w:p>
    <w:p w:rsidR="003F5784" w14:paraId="1AEDFA88" w14:textId="77777777">
      <w:pPr>
        <w:pStyle w:val="BodyText"/>
      </w:pPr>
    </w:p>
    <w:p w:rsidR="003F5784" w14:paraId="36B0EF5A" w14:textId="77777777">
      <w:pPr>
        <w:pStyle w:val="BodyText"/>
        <w:spacing w:before="146"/>
      </w:pPr>
    </w:p>
    <w:p w:rsidR="003F5784" w14:paraId="3CDB0F29" w14:textId="77777777">
      <w:pPr>
        <w:ind w:left="1624"/>
        <w:rPr>
          <w:sz w:val="18"/>
        </w:rPr>
      </w:pPr>
      <w:hyperlink r:id="rId81">
        <w:r>
          <w:rPr>
            <w:spacing w:val="-2"/>
            <w:w w:val="105"/>
            <w:sz w:val="18"/>
          </w:rPr>
          <w:t>http://nces.ed.gov/nationsreportcard/tdw/sample_design/2022/student_sample_selection_for_the_2022_eighth_grade_public_school_nat_assess_in_civics_and_us_history.aspx</w:t>
        </w:r>
      </w:hyperlink>
    </w:p>
    <w:p w:rsidR="003F5784" w14:paraId="3AE16BF7" w14:textId="77777777">
      <w:pPr>
        <w:pStyle w:val="BodyText"/>
        <w:spacing w:before="1"/>
        <w:rPr>
          <w:sz w:val="16"/>
        </w:rPr>
      </w:pPr>
      <w:r>
        <w:rPr>
          <w:noProof/>
        </w:rPr>
        <mc:AlternateContent>
          <mc:Choice Requires="wps">
            <w:drawing>
              <wp:anchor distT="0" distB="0" distL="0" distR="0" simplePos="0" relativeHeight="251784192" behindDoc="1" locked="0" layoutInCell="1" allowOverlap="1">
                <wp:simplePos x="0" y="0"/>
                <wp:positionH relativeFrom="page">
                  <wp:posOffset>361937</wp:posOffset>
                </wp:positionH>
                <wp:positionV relativeFrom="paragraph">
                  <wp:posOffset>132860</wp:posOffset>
                </wp:positionV>
                <wp:extent cx="9339580" cy="8890"/>
                <wp:effectExtent l="0" t="0" r="0" b="0"/>
                <wp:wrapTopAndBottom/>
                <wp:docPr id="100" name="Graphic 100"/>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8280" y="8280"/>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00" o:spid="_x0000_s1063" style="width:735.4pt;height:0.7pt;margin-top:10.45pt;margin-left:28.5pt;mso-position-horizontal-relative:page;mso-wrap-distance-bottom:0;mso-wrap-distance-left:0;mso-wrap-distance-right:0;mso-wrap-distance-top:0;mso-wrap-style:square;position:absolute;visibility:visible;v-text-anchor:top;z-index:-251531264" coordsize="9339580,8890" path="m9338970,l9335110,l8280,,,,,8267l8280,8280l9335110,8267l9338970,8267l9338970,xe" fillcolor="gray" stroked="f">
                <v:path arrowok="t"/>
                <w10:wrap type="topAndBottom"/>
              </v:shape>
            </w:pict>
          </mc:Fallback>
        </mc:AlternateContent>
      </w:r>
    </w:p>
    <w:p w:rsidR="003F5784" w14:paraId="74F7B4ED" w14:textId="77777777">
      <w:pPr>
        <w:pStyle w:val="BodyText"/>
        <w:rPr>
          <w:sz w:val="18"/>
        </w:rPr>
      </w:pPr>
    </w:p>
    <w:p w:rsidR="003F5784" w14:paraId="5DE4CBE7" w14:textId="77777777">
      <w:pPr>
        <w:pStyle w:val="BodyText"/>
        <w:spacing w:before="193"/>
        <w:rPr>
          <w:sz w:val="18"/>
        </w:rPr>
      </w:pPr>
    </w:p>
    <w:p w:rsidR="003F5784" w14:paraId="2D6F34A9" w14:textId="22DB4D85">
      <w:pPr>
        <w:pStyle w:val="Heading1"/>
        <w:spacing w:line="244" w:lineRule="auto"/>
        <w:ind w:right="179"/>
      </w:pPr>
      <w:r>
        <w:t>NAEP</w:t>
      </w:r>
      <w:r>
        <w:rPr>
          <w:spacing w:val="-13"/>
        </w:rPr>
        <w:t xml:space="preserve"> </w:t>
      </w:r>
      <w:r>
        <w:t>Technical Documentation</w:t>
      </w:r>
      <w:r w:rsidR="001057CE">
        <w:t xml:space="preserve"> </w:t>
      </w:r>
      <w:r>
        <w:t>Substitute Schools for the 2022 Eighth-Grade Public School National Assessment in Civics and U.S. History</w:t>
      </w:r>
    </w:p>
    <w:p w:rsidR="003F5784" w14:paraId="1E4405C6" w14:textId="77777777">
      <w:pPr>
        <w:pStyle w:val="BodyText"/>
        <w:spacing w:before="287" w:line="232" w:lineRule="auto"/>
        <w:ind w:left="109" w:right="318"/>
      </w:pPr>
      <w:r>
        <w:t>Though</w:t>
      </w:r>
      <w:r>
        <w:rPr>
          <w:spacing w:val="-6"/>
        </w:rPr>
        <w:t xml:space="preserve"> </w:t>
      </w:r>
      <w:r>
        <w:t>efforts</w:t>
      </w:r>
      <w:r>
        <w:rPr>
          <w:spacing w:val="-6"/>
        </w:rPr>
        <w:t xml:space="preserve"> </w:t>
      </w:r>
      <w:r>
        <w:t>were</w:t>
      </w:r>
      <w:r>
        <w:rPr>
          <w:spacing w:val="-6"/>
        </w:rPr>
        <w:t xml:space="preserve"> </w:t>
      </w:r>
      <w:r>
        <w:t>made</w:t>
      </w:r>
      <w:r>
        <w:rPr>
          <w:spacing w:val="-6"/>
        </w:rPr>
        <w:t xml:space="preserve"> </w:t>
      </w:r>
      <w:r>
        <w:t>to</w:t>
      </w:r>
      <w:r>
        <w:rPr>
          <w:spacing w:val="-6"/>
        </w:rPr>
        <w:t xml:space="preserve"> </w:t>
      </w:r>
      <w:r>
        <w:t>secure</w:t>
      </w:r>
      <w:r>
        <w:rPr>
          <w:spacing w:val="-6"/>
        </w:rPr>
        <w:t xml:space="preserve"> </w:t>
      </w:r>
      <w:r>
        <w:t>the</w:t>
      </w:r>
      <w:r>
        <w:rPr>
          <w:spacing w:val="-6"/>
        </w:rPr>
        <w:t xml:space="preserve"> </w:t>
      </w:r>
      <w:r>
        <w:t>participation</w:t>
      </w:r>
      <w:r>
        <w:rPr>
          <w:spacing w:val="-6"/>
        </w:rPr>
        <w:t xml:space="preserve"> </w:t>
      </w:r>
      <w:r>
        <w:t>of</w:t>
      </w:r>
      <w:r>
        <w:rPr>
          <w:spacing w:val="-6"/>
        </w:rPr>
        <w:t xml:space="preserve"> </w:t>
      </w:r>
      <w:r>
        <w:t>all</w:t>
      </w:r>
      <w:r>
        <w:rPr>
          <w:spacing w:val="-6"/>
        </w:rPr>
        <w:t xml:space="preserve"> </w:t>
      </w:r>
      <w:r>
        <w:t>schools</w:t>
      </w:r>
      <w:r>
        <w:rPr>
          <w:spacing w:val="-6"/>
        </w:rPr>
        <w:t xml:space="preserve"> </w:t>
      </w:r>
      <w:r>
        <w:t>selected,</w:t>
      </w:r>
      <w:r>
        <w:rPr>
          <w:spacing w:val="-6"/>
        </w:rPr>
        <w:t xml:space="preserve"> </w:t>
      </w:r>
      <w:r>
        <w:t>it</w:t>
      </w:r>
      <w:r>
        <w:rPr>
          <w:spacing w:val="-6"/>
        </w:rPr>
        <w:t xml:space="preserve"> </w:t>
      </w:r>
      <w:r>
        <w:t>was</w:t>
      </w:r>
      <w:r>
        <w:rPr>
          <w:spacing w:val="-6"/>
        </w:rPr>
        <w:t xml:space="preserve"> </w:t>
      </w:r>
      <w:r>
        <w:t>anticipated</w:t>
      </w:r>
      <w:r>
        <w:rPr>
          <w:spacing w:val="-6"/>
        </w:rPr>
        <w:t xml:space="preserve"> </w:t>
      </w:r>
      <w:r>
        <w:t>that</w:t>
      </w:r>
      <w:r>
        <w:rPr>
          <w:spacing w:val="-6"/>
        </w:rPr>
        <w:t xml:space="preserve"> </w:t>
      </w:r>
      <w:r>
        <w:t>not</w:t>
      </w:r>
      <w:r>
        <w:rPr>
          <w:spacing w:val="-6"/>
        </w:rPr>
        <w:t xml:space="preserve"> </w:t>
      </w:r>
      <w:r>
        <w:t>all</w:t>
      </w:r>
      <w:r>
        <w:rPr>
          <w:spacing w:val="-6"/>
        </w:rPr>
        <w:t xml:space="preserve"> </w:t>
      </w:r>
      <w:r>
        <w:t>schools</w:t>
      </w:r>
      <w:r>
        <w:rPr>
          <w:spacing w:val="-6"/>
        </w:rPr>
        <w:t xml:space="preserve"> </w:t>
      </w:r>
      <w:r>
        <w:t>would</w:t>
      </w:r>
      <w:r>
        <w:rPr>
          <w:spacing w:val="-6"/>
        </w:rPr>
        <w:t xml:space="preserve"> </w:t>
      </w:r>
      <w:r>
        <w:t>choose</w:t>
      </w:r>
      <w:r>
        <w:rPr>
          <w:spacing w:val="-6"/>
        </w:rPr>
        <w:t xml:space="preserve"> </w:t>
      </w:r>
      <w:r>
        <w:t>to</w:t>
      </w:r>
      <w:r>
        <w:rPr>
          <w:spacing w:val="-6"/>
        </w:rPr>
        <w:t xml:space="preserve"> </w:t>
      </w:r>
      <w:r>
        <w:t>participate.</w:t>
      </w:r>
      <w:r>
        <w:rPr>
          <w:spacing w:val="-6"/>
        </w:rPr>
        <w:t xml:space="preserve"> </w:t>
      </w:r>
      <w:r>
        <w:t>NAEP</w:t>
      </w:r>
      <w:r>
        <w:rPr>
          <w:spacing w:val="-13"/>
        </w:rPr>
        <w:t xml:space="preserve"> </w:t>
      </w:r>
      <w:r>
        <w:t>uses</w:t>
      </w:r>
      <w:r>
        <w:rPr>
          <w:spacing w:val="-6"/>
        </w:rPr>
        <w:t xml:space="preserve"> </w:t>
      </w:r>
      <w:r>
        <w:t>school</w:t>
      </w:r>
      <w:r>
        <w:rPr>
          <w:spacing w:val="-6"/>
        </w:rPr>
        <w:t xml:space="preserve"> </w:t>
      </w:r>
      <w:r>
        <w:t>substitution to mitigate the effect of bias due to nonresponse.</w:t>
      </w:r>
      <w:r>
        <w:rPr>
          <w:spacing w:val="-10"/>
        </w:rPr>
        <w:t xml:space="preserve"> </w:t>
      </w:r>
      <w:r>
        <w:t>A</w:t>
      </w:r>
      <w:r>
        <w:rPr>
          <w:spacing w:val="-10"/>
        </w:rPr>
        <w:t xml:space="preserve"> </w:t>
      </w:r>
      <w:r>
        <w:t>nonparticipating sampled school is replaced by its substitute when the original school is considered a final refusal.</w:t>
      </w:r>
    </w:p>
    <w:p w:rsidR="003F5784" w14:paraId="329E3042" w14:textId="77777777">
      <w:pPr>
        <w:pStyle w:val="BodyText"/>
        <w:spacing w:before="209" w:line="232" w:lineRule="auto"/>
        <w:ind w:left="109" w:right="179"/>
      </w:pPr>
      <w:r>
        <w:t>For the eighth-grade public school national sample, substitute schools were preselected for all sampled schools from the Common Core of Data (CCD)-based sampling frame by</w:t>
      </w:r>
      <w:r>
        <w:rPr>
          <w:spacing w:val="-1"/>
        </w:rPr>
        <w:t xml:space="preserve"> </w:t>
      </w:r>
      <w:r>
        <w:t>sorting</w:t>
      </w:r>
      <w:r>
        <w:rPr>
          <w:spacing w:val="-1"/>
        </w:rPr>
        <w:t xml:space="preserve"> </w:t>
      </w:r>
      <w:r>
        <w:t>the</w:t>
      </w:r>
      <w:r>
        <w:rPr>
          <w:spacing w:val="-1"/>
        </w:rPr>
        <w:t xml:space="preserve"> </w:t>
      </w:r>
      <w:r>
        <w:t>school</w:t>
      </w:r>
      <w:r>
        <w:rPr>
          <w:spacing w:val="-1"/>
        </w:rPr>
        <w:t xml:space="preserve"> </w:t>
      </w:r>
      <w:r>
        <w:t>frame</w:t>
      </w:r>
      <w:r>
        <w:rPr>
          <w:spacing w:val="-1"/>
        </w:rPr>
        <w:t xml:space="preserve"> </w:t>
      </w:r>
      <w:r>
        <w:t>file</w:t>
      </w:r>
      <w:r>
        <w:rPr>
          <w:spacing w:val="-1"/>
        </w:rPr>
        <w:t xml:space="preserve"> </w:t>
      </w:r>
      <w:r>
        <w:t>according</w:t>
      </w:r>
      <w:r>
        <w:rPr>
          <w:spacing w:val="-1"/>
        </w:rPr>
        <w:t xml:space="preserve"> </w:t>
      </w:r>
      <w:r>
        <w:t>to</w:t>
      </w:r>
      <w:r>
        <w:rPr>
          <w:spacing w:val="-1"/>
        </w:rPr>
        <w:t xml:space="preserve"> </w:t>
      </w:r>
      <w:r>
        <w:t>a</w:t>
      </w:r>
      <w:r>
        <w:rPr>
          <w:spacing w:val="-1"/>
        </w:rPr>
        <w:t xml:space="preserve"> </w:t>
      </w:r>
      <w:r>
        <w:t>sort</w:t>
      </w:r>
      <w:r>
        <w:rPr>
          <w:spacing w:val="-1"/>
        </w:rPr>
        <w:t xml:space="preserve"> </w:t>
      </w:r>
      <w:r>
        <w:t>order</w:t>
      </w:r>
      <w:r>
        <w:rPr>
          <w:spacing w:val="-1"/>
        </w:rPr>
        <w:t xml:space="preserve"> </w:t>
      </w:r>
      <w:r>
        <w:t>very</w:t>
      </w:r>
      <w:r>
        <w:rPr>
          <w:spacing w:val="-1"/>
        </w:rPr>
        <w:t xml:space="preserve"> </w:t>
      </w:r>
      <w:r>
        <w:t>close</w:t>
      </w:r>
      <w:r>
        <w:rPr>
          <w:spacing w:val="-1"/>
        </w:rPr>
        <w:t xml:space="preserve"> </w:t>
      </w:r>
      <w:r>
        <w:t>to</w:t>
      </w:r>
      <w:r>
        <w:rPr>
          <w:spacing w:val="-1"/>
        </w:rPr>
        <w:t xml:space="preserve"> </w:t>
      </w:r>
      <w:r>
        <w:t>that</w:t>
      </w:r>
      <w:r>
        <w:rPr>
          <w:spacing w:val="-1"/>
        </w:rPr>
        <w:t xml:space="preserve"> </w:t>
      </w:r>
      <w:r>
        <w:t>used</w:t>
      </w:r>
      <w:r>
        <w:rPr>
          <w:spacing w:val="-1"/>
        </w:rPr>
        <w:t xml:space="preserve"> </w:t>
      </w:r>
      <w:r>
        <w:t>in</w:t>
      </w:r>
      <w:r>
        <w:rPr>
          <w:spacing w:val="-1"/>
        </w:rPr>
        <w:t xml:space="preserve"> </w:t>
      </w:r>
      <w:r>
        <w:t>sample</w:t>
      </w:r>
      <w:r>
        <w:rPr>
          <w:spacing w:val="-1"/>
        </w:rPr>
        <w:t xml:space="preserve"> </w:t>
      </w:r>
      <w:r>
        <w:t>selection</w:t>
      </w:r>
      <w:r>
        <w:rPr>
          <w:spacing w:val="-1"/>
        </w:rPr>
        <w:t xml:space="preserve"> </w:t>
      </w:r>
      <w:r>
        <w:t>(the</w:t>
      </w:r>
      <w:r>
        <w:rPr>
          <w:spacing w:val="-1"/>
        </w:rPr>
        <w:t xml:space="preserve"> </w:t>
      </w:r>
      <w:r>
        <w:t>implicit</w:t>
      </w:r>
      <w:r>
        <w:rPr>
          <w:spacing w:val="-1"/>
        </w:rPr>
        <w:t xml:space="preserve"> </w:t>
      </w:r>
      <w:r>
        <w:t>stratification).</w:t>
      </w:r>
      <w:r>
        <w:rPr>
          <w:spacing w:val="-5"/>
        </w:rPr>
        <w:t xml:space="preserve"> </w:t>
      </w:r>
      <w:r>
        <w:t>The</w:t>
      </w:r>
      <w:r>
        <w:rPr>
          <w:spacing w:val="-1"/>
        </w:rPr>
        <w:t xml:space="preserve"> </w:t>
      </w:r>
      <w:r>
        <w:t>two</w:t>
      </w:r>
      <w:r>
        <w:rPr>
          <w:spacing w:val="-1"/>
        </w:rPr>
        <w:t xml:space="preserve"> </w:t>
      </w:r>
      <w:r>
        <w:t>exceptions</w:t>
      </w:r>
      <w:r>
        <w:rPr>
          <w:spacing w:val="-1"/>
        </w:rPr>
        <w:t xml:space="preserve"> </w:t>
      </w:r>
      <w:r>
        <w:t>to</w:t>
      </w:r>
      <w:r>
        <w:rPr>
          <w:spacing w:val="-1"/>
        </w:rPr>
        <w:t xml:space="preserve"> </w:t>
      </w:r>
      <w:r>
        <w:t>this</w:t>
      </w:r>
      <w:r>
        <w:rPr>
          <w:spacing w:val="-1"/>
        </w:rPr>
        <w:t xml:space="preserve"> </w:t>
      </w:r>
      <w:r>
        <w:t>were</w:t>
      </w:r>
      <w:r>
        <w:rPr>
          <w:spacing w:val="-1"/>
        </w:rPr>
        <w:t xml:space="preserve"> </w:t>
      </w:r>
      <w:r>
        <w:t>as</w:t>
      </w:r>
      <w:r>
        <w:rPr>
          <w:spacing w:val="-1"/>
        </w:rPr>
        <w:t xml:space="preserve"> </w:t>
      </w:r>
      <w:r>
        <w:t>follows:</w:t>
      </w:r>
      <w:r>
        <w:rPr>
          <w:spacing w:val="-1"/>
        </w:rPr>
        <w:t xml:space="preserve"> </w:t>
      </w:r>
      <w:r>
        <w:t>(1) estimated</w:t>
      </w:r>
      <w:r>
        <w:rPr>
          <w:spacing w:val="-6"/>
        </w:rPr>
        <w:t xml:space="preserve"> </w:t>
      </w:r>
      <w:r>
        <w:t>grade</w:t>
      </w:r>
      <w:r>
        <w:rPr>
          <w:spacing w:val="-6"/>
        </w:rPr>
        <w:t xml:space="preserve"> </w:t>
      </w:r>
      <w:r>
        <w:t>enrollment</w:t>
      </w:r>
      <w:r>
        <w:rPr>
          <w:spacing w:val="-6"/>
        </w:rPr>
        <w:t xml:space="preserve"> </w:t>
      </w:r>
      <w:r>
        <w:t>replaces</w:t>
      </w:r>
      <w:r>
        <w:rPr>
          <w:spacing w:val="-6"/>
        </w:rPr>
        <w:t xml:space="preserve"> </w:t>
      </w:r>
      <w:r>
        <w:t>median</w:t>
      </w:r>
      <w:r>
        <w:rPr>
          <w:spacing w:val="-6"/>
        </w:rPr>
        <w:t xml:space="preserve"> </w:t>
      </w:r>
      <w:r>
        <w:t>income</w:t>
      </w:r>
      <w:r>
        <w:rPr>
          <w:spacing w:val="-6"/>
        </w:rPr>
        <w:t xml:space="preserve"> </w:t>
      </w:r>
      <w:r>
        <w:t>(achievement)</w:t>
      </w:r>
      <w:r>
        <w:rPr>
          <w:spacing w:val="-6"/>
        </w:rPr>
        <w:t xml:space="preserve"> </w:t>
      </w:r>
      <w:r>
        <w:t>as</w:t>
      </w:r>
      <w:r>
        <w:rPr>
          <w:spacing w:val="-6"/>
        </w:rPr>
        <w:t xml:space="preserve"> </w:t>
      </w:r>
      <w:r>
        <w:t>the</w:t>
      </w:r>
      <w:r>
        <w:rPr>
          <w:spacing w:val="-6"/>
        </w:rPr>
        <w:t xml:space="preserve"> </w:t>
      </w:r>
      <w:r>
        <w:t>last</w:t>
      </w:r>
      <w:r>
        <w:rPr>
          <w:spacing w:val="-6"/>
        </w:rPr>
        <w:t xml:space="preserve"> </w:t>
      </w:r>
      <w:r>
        <w:t>sort</w:t>
      </w:r>
      <w:r>
        <w:rPr>
          <w:spacing w:val="-6"/>
        </w:rPr>
        <w:t xml:space="preserve"> </w:t>
      </w:r>
      <w:r>
        <w:t>variable,</w:t>
      </w:r>
      <w:r>
        <w:rPr>
          <w:spacing w:val="-6"/>
        </w:rPr>
        <w:t xml:space="preserve"> </w:t>
      </w:r>
      <w:r>
        <w:t>and</w:t>
      </w:r>
      <w:r>
        <w:rPr>
          <w:spacing w:val="-6"/>
        </w:rPr>
        <w:t xml:space="preserve"> </w:t>
      </w:r>
      <w:r>
        <w:t>(2)</w:t>
      </w:r>
      <w:r>
        <w:rPr>
          <w:spacing w:val="-6"/>
        </w:rPr>
        <w:t xml:space="preserve"> </w:t>
      </w:r>
      <w:r>
        <w:t>school</w:t>
      </w:r>
      <w:r>
        <w:rPr>
          <w:spacing w:val="-6"/>
        </w:rPr>
        <w:t xml:space="preserve"> </w:t>
      </w:r>
      <w:r>
        <w:t>type</w:t>
      </w:r>
      <w:r>
        <w:rPr>
          <w:spacing w:val="-6"/>
        </w:rPr>
        <w:t xml:space="preserve"> </w:t>
      </w:r>
      <w:r>
        <w:t>in</w:t>
      </w:r>
      <w:r>
        <w:rPr>
          <w:spacing w:val="-6"/>
        </w:rPr>
        <w:t xml:space="preserve"> </w:t>
      </w:r>
      <w:r>
        <w:t>the</w:t>
      </w:r>
      <w:r>
        <w:rPr>
          <w:spacing w:val="-6"/>
        </w:rPr>
        <w:t xml:space="preserve"> </w:t>
      </w:r>
      <w:r>
        <w:t>stratification</w:t>
      </w:r>
      <w:r>
        <w:rPr>
          <w:spacing w:val="-6"/>
        </w:rPr>
        <w:t xml:space="preserve"> </w:t>
      </w:r>
      <w:r>
        <w:t>hierarchy</w:t>
      </w:r>
      <w:r>
        <w:rPr>
          <w:spacing w:val="-6"/>
        </w:rPr>
        <w:t xml:space="preserve"> </w:t>
      </w:r>
      <w:r>
        <w:t>was</w:t>
      </w:r>
      <w:r>
        <w:rPr>
          <w:spacing w:val="-6"/>
        </w:rPr>
        <w:t xml:space="preserve"> </w:t>
      </w:r>
      <w:r>
        <w:t>crossed</w:t>
      </w:r>
      <w:r>
        <w:rPr>
          <w:spacing w:val="-6"/>
        </w:rPr>
        <w:t xml:space="preserve"> </w:t>
      </w:r>
      <w:r>
        <w:t>with</w:t>
      </w:r>
      <w:r>
        <w:rPr>
          <w:spacing w:val="-6"/>
        </w:rPr>
        <w:t xml:space="preserve"> </w:t>
      </w:r>
      <w:r>
        <w:t>state</w:t>
      </w:r>
      <w:r>
        <w:rPr>
          <w:spacing w:val="-6"/>
        </w:rPr>
        <w:t xml:space="preserve"> </w:t>
      </w:r>
      <w:r>
        <w:t>(rather</w:t>
      </w:r>
      <w:r>
        <w:rPr>
          <w:spacing w:val="-6"/>
        </w:rPr>
        <w:t xml:space="preserve"> </w:t>
      </w:r>
      <w:r>
        <w:t>than used alone).</w:t>
      </w:r>
      <w:r>
        <w:rPr>
          <w:spacing w:val="-3"/>
        </w:rPr>
        <w:t xml:space="preserve"> </w:t>
      </w:r>
      <w:r>
        <w:t>The first change guaranteed that the selected substitute would have a grade enrollment very close to that of the originally selected school.</w:t>
      </w:r>
      <w:r>
        <w:rPr>
          <w:spacing w:val="-3"/>
        </w:rPr>
        <w:t xml:space="preserve"> </w:t>
      </w:r>
      <w:r>
        <w:t>The second change guaranteed that any selected substitutes would be within the same state as the originally sampled nonresponding school.</w:t>
      </w:r>
    </w:p>
    <w:p w:rsidR="003F5784" w14:paraId="79AE17B5" w14:textId="77777777">
      <w:pPr>
        <w:spacing w:line="232" w:lineRule="auto"/>
        <w:sectPr>
          <w:pgSz w:w="15840" w:h="12240" w:orient="landscape"/>
          <w:pgMar w:top="480" w:right="440" w:bottom="460" w:left="460" w:header="284" w:footer="275" w:gutter="0"/>
          <w:cols w:space="720"/>
        </w:sectPr>
      </w:pPr>
    </w:p>
    <w:p w:rsidR="003F5784" w14:paraId="26D082C0" w14:textId="77777777">
      <w:pPr>
        <w:pStyle w:val="BodyText"/>
        <w:spacing w:before="78" w:line="232" w:lineRule="auto"/>
        <w:ind w:left="109" w:right="318"/>
      </w:pPr>
      <w:r>
        <w:t>Schools</w:t>
      </w:r>
      <w:r>
        <w:rPr>
          <w:spacing w:val="-6"/>
        </w:rPr>
        <w:t xml:space="preserve"> </w:t>
      </w:r>
      <w:r>
        <w:t>were</w:t>
      </w:r>
      <w:r>
        <w:rPr>
          <w:spacing w:val="-6"/>
        </w:rPr>
        <w:t xml:space="preserve"> </w:t>
      </w:r>
      <w:r>
        <w:t>disqualified</w:t>
      </w:r>
      <w:r>
        <w:rPr>
          <w:spacing w:val="-6"/>
        </w:rPr>
        <w:t xml:space="preserve"> </w:t>
      </w:r>
      <w:r>
        <w:t>as</w:t>
      </w:r>
      <w:r>
        <w:rPr>
          <w:spacing w:val="-6"/>
        </w:rPr>
        <w:t xml:space="preserve"> </w:t>
      </w:r>
      <w:r>
        <w:t>potential</w:t>
      </w:r>
      <w:r>
        <w:rPr>
          <w:spacing w:val="-6"/>
        </w:rPr>
        <w:t xml:space="preserve"> </w:t>
      </w:r>
      <w:r>
        <w:t>substitutes</w:t>
      </w:r>
      <w:r>
        <w:rPr>
          <w:spacing w:val="-6"/>
        </w:rPr>
        <w:t xml:space="preserve"> </w:t>
      </w:r>
      <w:r>
        <w:t>if</w:t>
      </w:r>
      <w:r>
        <w:rPr>
          <w:spacing w:val="-6"/>
        </w:rPr>
        <w:t xml:space="preserve"> </w:t>
      </w:r>
      <w:r>
        <w:t>they</w:t>
      </w:r>
      <w:r>
        <w:rPr>
          <w:spacing w:val="-6"/>
        </w:rPr>
        <w:t xml:space="preserve"> </w:t>
      </w:r>
      <w:r>
        <w:t>were</w:t>
      </w:r>
      <w:r>
        <w:rPr>
          <w:spacing w:val="-6"/>
        </w:rPr>
        <w:t xml:space="preserve"> </w:t>
      </w:r>
      <w:r>
        <w:t>already</w:t>
      </w:r>
      <w:r>
        <w:rPr>
          <w:spacing w:val="-6"/>
        </w:rPr>
        <w:t xml:space="preserve"> </w:t>
      </w:r>
      <w:r>
        <w:t>selected</w:t>
      </w:r>
      <w:r>
        <w:rPr>
          <w:spacing w:val="-6"/>
        </w:rPr>
        <w:t xml:space="preserve"> </w:t>
      </w:r>
      <w:r>
        <w:t>in</w:t>
      </w:r>
      <w:r>
        <w:rPr>
          <w:spacing w:val="-6"/>
        </w:rPr>
        <w:t xml:space="preserve"> </w:t>
      </w:r>
      <w:r>
        <w:t>the</w:t>
      </w:r>
      <w:r>
        <w:rPr>
          <w:spacing w:val="-6"/>
        </w:rPr>
        <w:t xml:space="preserve"> </w:t>
      </w:r>
      <w:r>
        <w:t>public</w:t>
      </w:r>
      <w:r>
        <w:rPr>
          <w:spacing w:val="-6"/>
        </w:rPr>
        <w:t xml:space="preserve"> </w:t>
      </w:r>
      <w:r>
        <w:t>school</w:t>
      </w:r>
      <w:r>
        <w:rPr>
          <w:spacing w:val="-6"/>
        </w:rPr>
        <w:t xml:space="preserve"> </w:t>
      </w:r>
      <w:r>
        <w:t>sample</w:t>
      </w:r>
      <w:r>
        <w:rPr>
          <w:spacing w:val="-6"/>
        </w:rPr>
        <w:t xml:space="preserve"> </w:t>
      </w:r>
      <w:r>
        <w:t>or</w:t>
      </w:r>
      <w:r>
        <w:rPr>
          <w:spacing w:val="-6"/>
        </w:rPr>
        <w:t xml:space="preserve"> </w:t>
      </w:r>
      <w:r>
        <w:t>assigned</w:t>
      </w:r>
      <w:r>
        <w:rPr>
          <w:spacing w:val="-6"/>
        </w:rPr>
        <w:t xml:space="preserve"> </w:t>
      </w:r>
      <w:r>
        <w:t>as</w:t>
      </w:r>
      <w:r>
        <w:rPr>
          <w:spacing w:val="-6"/>
        </w:rPr>
        <w:t xml:space="preserve"> </w:t>
      </w:r>
      <w:r>
        <w:t>a</w:t>
      </w:r>
      <w:r>
        <w:rPr>
          <w:spacing w:val="-6"/>
        </w:rPr>
        <w:t xml:space="preserve"> </w:t>
      </w:r>
      <w:r>
        <w:t>substitute</w:t>
      </w:r>
      <w:r>
        <w:rPr>
          <w:spacing w:val="-6"/>
        </w:rPr>
        <w:t xml:space="preserve"> </w:t>
      </w:r>
      <w:r>
        <w:t>for</w:t>
      </w:r>
      <w:r>
        <w:rPr>
          <w:spacing w:val="-6"/>
        </w:rPr>
        <w:t xml:space="preserve"> </w:t>
      </w:r>
      <w:r>
        <w:t>another</w:t>
      </w:r>
      <w:r>
        <w:rPr>
          <w:spacing w:val="-6"/>
        </w:rPr>
        <w:t xml:space="preserve"> </w:t>
      </w:r>
      <w:r>
        <w:t>public</w:t>
      </w:r>
      <w:r>
        <w:rPr>
          <w:spacing w:val="-6"/>
        </w:rPr>
        <w:t xml:space="preserve"> </w:t>
      </w:r>
      <w:r>
        <w:t>school</w:t>
      </w:r>
      <w:r>
        <w:rPr>
          <w:spacing w:val="-6"/>
        </w:rPr>
        <w:t xml:space="preserve"> </w:t>
      </w:r>
      <w:r>
        <w:t>(earlier</w:t>
      </w:r>
      <w:r>
        <w:rPr>
          <w:spacing w:val="-6"/>
        </w:rPr>
        <w:t xml:space="preserve"> </w:t>
      </w:r>
      <w:r>
        <w:t>in</w:t>
      </w:r>
      <w:r>
        <w:rPr>
          <w:spacing w:val="-6"/>
        </w:rPr>
        <w:t xml:space="preserve"> </w:t>
      </w:r>
      <w:r>
        <w:t>the sort ordering).</w:t>
      </w:r>
    </w:p>
    <w:p w:rsidR="003F5784" w14:paraId="2834CD4D" w14:textId="77777777">
      <w:pPr>
        <w:pStyle w:val="BodyText"/>
        <w:spacing w:before="209" w:line="232" w:lineRule="auto"/>
        <w:ind w:left="109" w:right="125"/>
      </w:pPr>
      <w:r>
        <w:t>The two candidates for substitutes were then the two nearest neighbors of the originally sampled school in this revised sort order.</w:t>
      </w:r>
      <w:r>
        <w:rPr>
          <w:spacing w:val="-4"/>
        </w:rPr>
        <w:t xml:space="preserve"> </w:t>
      </w:r>
      <w:r>
        <w:t>To be eligible as a potential substitute, the neighbor</w:t>
      </w:r>
      <w:r>
        <w:rPr>
          <w:spacing w:val="-6"/>
        </w:rPr>
        <w:t xml:space="preserve"> </w:t>
      </w:r>
      <w:r>
        <w:t>needed</w:t>
      </w:r>
      <w:r>
        <w:rPr>
          <w:spacing w:val="-6"/>
        </w:rPr>
        <w:t xml:space="preserve"> </w:t>
      </w:r>
      <w:r>
        <w:t>to</w:t>
      </w:r>
      <w:r>
        <w:rPr>
          <w:spacing w:val="-6"/>
        </w:rPr>
        <w:t xml:space="preserve"> </w:t>
      </w:r>
      <w:r>
        <w:t>be</w:t>
      </w:r>
      <w:r>
        <w:rPr>
          <w:spacing w:val="-6"/>
        </w:rPr>
        <w:t xml:space="preserve"> </w:t>
      </w:r>
      <w:r>
        <w:t>a</w:t>
      </w:r>
      <w:r>
        <w:rPr>
          <w:spacing w:val="-6"/>
        </w:rPr>
        <w:t xml:space="preserve"> </w:t>
      </w:r>
      <w:r>
        <w:t>nonsampled</w:t>
      </w:r>
      <w:r>
        <w:rPr>
          <w:spacing w:val="-6"/>
        </w:rPr>
        <w:t xml:space="preserve"> </w:t>
      </w:r>
      <w:r>
        <w:t>school</w:t>
      </w:r>
      <w:r>
        <w:rPr>
          <w:spacing w:val="-6"/>
        </w:rPr>
        <w:t xml:space="preserve"> </w:t>
      </w:r>
      <w:r>
        <w:t>(for</w:t>
      </w:r>
      <w:r>
        <w:rPr>
          <w:spacing w:val="-6"/>
        </w:rPr>
        <w:t xml:space="preserve"> </w:t>
      </w:r>
      <w:r>
        <w:t>any</w:t>
      </w:r>
      <w:r>
        <w:rPr>
          <w:spacing w:val="-6"/>
        </w:rPr>
        <w:t xml:space="preserve"> </w:t>
      </w:r>
      <w:r>
        <w:t>grade)</w:t>
      </w:r>
      <w:r>
        <w:rPr>
          <w:spacing w:val="-6"/>
        </w:rPr>
        <w:t xml:space="preserve"> </w:t>
      </w:r>
      <w:r>
        <w:t>and</w:t>
      </w:r>
      <w:r>
        <w:rPr>
          <w:spacing w:val="-6"/>
        </w:rPr>
        <w:t xml:space="preserve"> </w:t>
      </w:r>
      <w:r>
        <w:t>within</w:t>
      </w:r>
      <w:r>
        <w:rPr>
          <w:spacing w:val="-6"/>
        </w:rPr>
        <w:t xml:space="preserve"> </w:t>
      </w:r>
      <w:r>
        <w:t>the</w:t>
      </w:r>
      <w:r>
        <w:rPr>
          <w:spacing w:val="-6"/>
        </w:rPr>
        <w:t xml:space="preserve"> </w:t>
      </w:r>
      <w:r>
        <w:t>same</w:t>
      </w:r>
      <w:r>
        <w:rPr>
          <w:spacing w:val="-6"/>
        </w:rPr>
        <w:t xml:space="preserve"> </w:t>
      </w:r>
      <w:r>
        <w:t>explicit</w:t>
      </w:r>
      <w:r>
        <w:rPr>
          <w:spacing w:val="-6"/>
        </w:rPr>
        <w:t xml:space="preserve"> </w:t>
      </w:r>
      <w:r>
        <w:t>sampling</w:t>
      </w:r>
      <w:r>
        <w:rPr>
          <w:spacing w:val="-6"/>
        </w:rPr>
        <w:t xml:space="preserve"> </w:t>
      </w:r>
      <w:r>
        <w:t>stratum.</w:t>
      </w:r>
      <w:r>
        <w:rPr>
          <w:spacing w:val="-6"/>
        </w:rPr>
        <w:t xml:space="preserve"> </w:t>
      </w:r>
      <w:r>
        <w:t>If</w:t>
      </w:r>
      <w:r>
        <w:rPr>
          <w:spacing w:val="-6"/>
        </w:rPr>
        <w:t xml:space="preserve"> </w:t>
      </w:r>
      <w:r>
        <w:t>both</w:t>
      </w:r>
      <w:r>
        <w:rPr>
          <w:spacing w:val="-6"/>
        </w:rPr>
        <w:t xml:space="preserve"> </w:t>
      </w:r>
      <w:r>
        <w:t>nearest</w:t>
      </w:r>
      <w:r>
        <w:rPr>
          <w:spacing w:val="-6"/>
        </w:rPr>
        <w:t xml:space="preserve"> </w:t>
      </w:r>
      <w:r>
        <w:t>neighbors</w:t>
      </w:r>
      <w:r>
        <w:rPr>
          <w:spacing w:val="-6"/>
        </w:rPr>
        <w:t xml:space="preserve"> </w:t>
      </w:r>
      <w:r>
        <w:t>were</w:t>
      </w:r>
      <w:r>
        <w:rPr>
          <w:spacing w:val="-6"/>
        </w:rPr>
        <w:t xml:space="preserve"> </w:t>
      </w:r>
      <w:r>
        <w:t>eligible</w:t>
      </w:r>
      <w:r>
        <w:rPr>
          <w:spacing w:val="-6"/>
        </w:rPr>
        <w:t xml:space="preserve"> </w:t>
      </w:r>
      <w:r>
        <w:t>to</w:t>
      </w:r>
      <w:r>
        <w:rPr>
          <w:spacing w:val="-6"/>
        </w:rPr>
        <w:t xml:space="preserve"> </w:t>
      </w:r>
      <w:r>
        <w:t>be</w:t>
      </w:r>
      <w:r>
        <w:rPr>
          <w:spacing w:val="-6"/>
        </w:rPr>
        <w:t xml:space="preserve"> </w:t>
      </w:r>
      <w:r>
        <w:t>substitutes,</w:t>
      </w:r>
      <w:r>
        <w:rPr>
          <w:spacing w:val="-6"/>
        </w:rPr>
        <w:t xml:space="preserve"> </w:t>
      </w:r>
      <w:r>
        <w:t>the</w:t>
      </w:r>
      <w:r>
        <w:rPr>
          <w:spacing w:val="-6"/>
        </w:rPr>
        <w:t xml:space="preserve"> </w:t>
      </w:r>
      <w:r>
        <w:t>one</w:t>
      </w:r>
      <w:r>
        <w:rPr>
          <w:spacing w:val="-6"/>
        </w:rPr>
        <w:t xml:space="preserve"> </w:t>
      </w:r>
      <w:r>
        <w:t>with a closer grade enrollment was chosen. If both nearest neighbors had the same grade enrollment (an uncommon occurrence), one of the two was randomly selected.</w:t>
      </w:r>
    </w:p>
    <w:p w:rsidR="003F5784" w14:paraId="0CB4DCBD" w14:textId="77777777">
      <w:pPr>
        <w:pStyle w:val="BodyText"/>
        <w:spacing w:before="204"/>
        <w:ind w:left="109"/>
      </w:pPr>
      <w:r>
        <w:t>In</w:t>
      </w:r>
      <w:r>
        <w:rPr>
          <w:spacing w:val="-7"/>
        </w:rPr>
        <w:t xml:space="preserve"> </w:t>
      </w:r>
      <w:r>
        <w:t>the</w:t>
      </w:r>
      <w:r>
        <w:rPr>
          <w:spacing w:val="-7"/>
        </w:rPr>
        <w:t xml:space="preserve"> </w:t>
      </w:r>
      <w:r>
        <w:t>eighth-grade</w:t>
      </w:r>
      <w:r>
        <w:rPr>
          <w:spacing w:val="-7"/>
        </w:rPr>
        <w:t xml:space="preserve"> </w:t>
      </w:r>
      <w:r>
        <w:t>public</w:t>
      </w:r>
      <w:r>
        <w:rPr>
          <w:spacing w:val="-7"/>
        </w:rPr>
        <w:t xml:space="preserve"> </w:t>
      </w:r>
      <w:r>
        <w:t>school</w:t>
      </w:r>
      <w:r>
        <w:rPr>
          <w:spacing w:val="-7"/>
        </w:rPr>
        <w:t xml:space="preserve"> </w:t>
      </w:r>
      <w:r>
        <w:t>sample,</w:t>
      </w:r>
      <w:r>
        <w:rPr>
          <w:spacing w:val="-7"/>
        </w:rPr>
        <w:t xml:space="preserve"> </w:t>
      </w:r>
      <w:r>
        <w:t>seven</w:t>
      </w:r>
      <w:r>
        <w:rPr>
          <w:spacing w:val="-7"/>
        </w:rPr>
        <w:t xml:space="preserve"> </w:t>
      </w:r>
      <w:r>
        <w:t>substitute</w:t>
      </w:r>
      <w:r>
        <w:rPr>
          <w:spacing w:val="-7"/>
        </w:rPr>
        <w:t xml:space="preserve"> </w:t>
      </w:r>
      <w:r>
        <w:t>schools</w:t>
      </w:r>
      <w:r>
        <w:rPr>
          <w:spacing w:val="-7"/>
        </w:rPr>
        <w:t xml:space="preserve"> </w:t>
      </w:r>
      <w:r>
        <w:t>ultimately</w:t>
      </w:r>
      <w:r>
        <w:rPr>
          <w:spacing w:val="-7"/>
        </w:rPr>
        <w:t xml:space="preserve"> </w:t>
      </w:r>
      <w:r>
        <w:rPr>
          <w:spacing w:val="-2"/>
        </w:rPr>
        <w:t>participated.</w:t>
      </w:r>
    </w:p>
    <w:p w:rsidR="003F5784" w14:paraId="1185095E" w14:textId="77777777">
      <w:pPr>
        <w:pStyle w:val="BodyText"/>
      </w:pPr>
    </w:p>
    <w:p w:rsidR="003F5784" w14:paraId="37C5124C" w14:textId="77777777">
      <w:pPr>
        <w:pStyle w:val="BodyText"/>
      </w:pPr>
    </w:p>
    <w:p w:rsidR="003F5784" w14:paraId="1E5BBB76" w14:textId="77777777">
      <w:pPr>
        <w:pStyle w:val="BodyText"/>
        <w:spacing w:before="144"/>
      </w:pPr>
    </w:p>
    <w:p w:rsidR="003F5784" w14:paraId="40336D24" w14:textId="77777777">
      <w:pPr>
        <w:ind w:left="2176"/>
        <w:rPr>
          <w:sz w:val="18"/>
        </w:rPr>
      </w:pPr>
      <w:hyperlink r:id="rId82">
        <w:r>
          <w:rPr>
            <w:spacing w:val="-2"/>
            <w:w w:val="105"/>
            <w:sz w:val="18"/>
          </w:rPr>
          <w:t>http://nces.ed.gov/nationsreportcard/tdw/sample_design/2022/substitute_schools_for_the_2022_eighth_grade_public_school_nat_assess_in_civics_and_us_history.aspx</w:t>
        </w:r>
      </w:hyperlink>
    </w:p>
    <w:p w:rsidR="003F5784" w14:paraId="0FEEDEAA" w14:textId="77777777">
      <w:pPr>
        <w:pStyle w:val="BodyText"/>
        <w:rPr>
          <w:sz w:val="16"/>
        </w:rPr>
      </w:pPr>
      <w:r>
        <w:rPr>
          <w:noProof/>
        </w:rPr>
        <mc:AlternateContent>
          <mc:Choice Requires="wps">
            <w:drawing>
              <wp:anchor distT="0" distB="0" distL="0" distR="0" simplePos="0" relativeHeight="251786240" behindDoc="1" locked="0" layoutInCell="1" allowOverlap="1">
                <wp:simplePos x="0" y="0"/>
                <wp:positionH relativeFrom="page">
                  <wp:posOffset>361937</wp:posOffset>
                </wp:positionH>
                <wp:positionV relativeFrom="paragraph">
                  <wp:posOffset>132599</wp:posOffset>
                </wp:positionV>
                <wp:extent cx="9339580" cy="8890"/>
                <wp:effectExtent l="0" t="0" r="0" b="0"/>
                <wp:wrapTopAndBottom/>
                <wp:docPr id="101" name="Graphic 101"/>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67"/>
                              </a:lnTo>
                              <a:lnTo>
                                <a:pt x="8280" y="8280"/>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01" o:spid="_x0000_s1064" style="width:735.4pt;height:0.7pt;margin-top:10.45pt;margin-left:28.5pt;mso-position-horizontal-relative:page;mso-wrap-distance-bottom:0;mso-wrap-distance-left:0;mso-wrap-distance-right:0;mso-wrap-distance-top:0;mso-wrap-style:square;position:absolute;visibility:visible;v-text-anchor:top;z-index:-251529216" coordsize="9339580,8890" path="m9338970,l9335110,l,,,8267l8280,8280l9335110,8267l9338970,8267l9338970,xe" fillcolor="gray" stroked="f">
                <v:path arrowok="t"/>
                <w10:wrap type="topAndBottom"/>
              </v:shape>
            </w:pict>
          </mc:Fallback>
        </mc:AlternateContent>
      </w:r>
    </w:p>
    <w:p w:rsidR="003F5784" w14:paraId="59E0D867" w14:textId="77777777">
      <w:pPr>
        <w:pStyle w:val="BodyText"/>
        <w:rPr>
          <w:sz w:val="18"/>
        </w:rPr>
      </w:pPr>
    </w:p>
    <w:p w:rsidR="003F5784" w14:paraId="21DACD8C" w14:textId="77777777">
      <w:pPr>
        <w:pStyle w:val="BodyText"/>
        <w:spacing w:before="193"/>
        <w:rPr>
          <w:sz w:val="18"/>
        </w:rPr>
      </w:pPr>
    </w:p>
    <w:p w:rsidR="003F5784" w14:paraId="620C3D70" w14:textId="52399BD7">
      <w:pPr>
        <w:pStyle w:val="Heading1"/>
        <w:spacing w:line="244" w:lineRule="auto"/>
        <w:ind w:right="179"/>
      </w:pPr>
      <w:r>
        <w:t>NAEP</w:t>
      </w:r>
      <w:r>
        <w:rPr>
          <w:spacing w:val="-17"/>
        </w:rPr>
        <w:t xml:space="preserve"> </w:t>
      </w:r>
      <w:r>
        <w:t>Technical Documentation</w:t>
      </w:r>
      <w:r w:rsidR="001057CE">
        <w:t xml:space="preserve"> </w:t>
      </w:r>
      <w:r>
        <w:t>Target Population for the 2022 Eighth-Grade Public School National Assessment in Civics and U.S. History</w:t>
      </w:r>
    </w:p>
    <w:p w:rsidR="003F5784" w14:paraId="0A9DD9C4" w14:textId="77777777">
      <w:pPr>
        <w:pStyle w:val="BodyText"/>
        <w:spacing w:before="287" w:line="232" w:lineRule="auto"/>
        <w:ind w:left="109" w:right="545"/>
        <w:jc w:val="both"/>
      </w:pPr>
      <w:r>
        <w:t>The</w:t>
      </w:r>
      <w:r>
        <w:rPr>
          <w:spacing w:val="-6"/>
        </w:rPr>
        <w:t xml:space="preserve"> </w:t>
      </w:r>
      <w:r>
        <w:t>target</w:t>
      </w:r>
      <w:r>
        <w:rPr>
          <w:spacing w:val="-6"/>
        </w:rPr>
        <w:t xml:space="preserve"> </w:t>
      </w:r>
      <w:r>
        <w:t>population</w:t>
      </w:r>
      <w:r>
        <w:rPr>
          <w:spacing w:val="-6"/>
        </w:rPr>
        <w:t xml:space="preserve"> </w:t>
      </w:r>
      <w:r>
        <w:t>for</w:t>
      </w:r>
      <w:r>
        <w:rPr>
          <w:spacing w:val="-6"/>
        </w:rPr>
        <w:t xml:space="preserve"> </w:t>
      </w:r>
      <w:r>
        <w:t>the</w:t>
      </w:r>
      <w:r>
        <w:rPr>
          <w:spacing w:val="-6"/>
        </w:rPr>
        <w:t xml:space="preserve"> </w:t>
      </w:r>
      <w:r>
        <w:t>2022</w:t>
      </w:r>
      <w:r>
        <w:rPr>
          <w:spacing w:val="-6"/>
        </w:rPr>
        <w:t xml:space="preserve"> </w:t>
      </w:r>
      <w:r>
        <w:t>eighth-grade</w:t>
      </w:r>
      <w:r>
        <w:rPr>
          <w:spacing w:val="-6"/>
        </w:rPr>
        <w:t xml:space="preserve"> </w:t>
      </w:r>
      <w:r>
        <w:t>public</w:t>
      </w:r>
      <w:r>
        <w:rPr>
          <w:spacing w:val="-6"/>
        </w:rPr>
        <w:t xml:space="preserve"> </w:t>
      </w:r>
      <w:r>
        <w:t>school</w:t>
      </w:r>
      <w:r>
        <w:rPr>
          <w:spacing w:val="-6"/>
        </w:rPr>
        <w:t xml:space="preserve"> </w:t>
      </w:r>
      <w:r>
        <w:t>national</w:t>
      </w:r>
      <w:r>
        <w:rPr>
          <w:spacing w:val="-6"/>
        </w:rPr>
        <w:t xml:space="preserve"> </w:t>
      </w:r>
      <w:r>
        <w:t>assessments</w:t>
      </w:r>
      <w:r>
        <w:rPr>
          <w:spacing w:val="-6"/>
        </w:rPr>
        <w:t xml:space="preserve"> </w:t>
      </w:r>
      <w:r>
        <w:t>in</w:t>
      </w:r>
      <w:r>
        <w:rPr>
          <w:spacing w:val="-6"/>
        </w:rPr>
        <w:t xml:space="preserve"> </w:t>
      </w:r>
      <w:r>
        <w:t>civics</w:t>
      </w:r>
      <w:r>
        <w:rPr>
          <w:spacing w:val="-6"/>
        </w:rPr>
        <w:t xml:space="preserve"> </w:t>
      </w:r>
      <w:r>
        <w:t>and</w:t>
      </w:r>
      <w:r>
        <w:rPr>
          <w:spacing w:val="-6"/>
        </w:rPr>
        <w:t xml:space="preserve"> </w:t>
      </w:r>
      <w:r>
        <w:t>U.S.</w:t>
      </w:r>
      <w:r>
        <w:rPr>
          <w:spacing w:val="-6"/>
        </w:rPr>
        <w:t xml:space="preserve"> </w:t>
      </w:r>
      <w:r>
        <w:t>history</w:t>
      </w:r>
      <w:r>
        <w:rPr>
          <w:spacing w:val="-6"/>
        </w:rPr>
        <w:t xml:space="preserve"> </w:t>
      </w:r>
      <w:r>
        <w:t>was</w:t>
      </w:r>
      <w:r>
        <w:rPr>
          <w:spacing w:val="-6"/>
        </w:rPr>
        <w:t xml:space="preserve"> </w:t>
      </w:r>
      <w:r>
        <w:t>defined</w:t>
      </w:r>
      <w:r>
        <w:rPr>
          <w:spacing w:val="-6"/>
        </w:rPr>
        <w:t xml:space="preserve"> </w:t>
      </w:r>
      <w:r>
        <w:t>as</w:t>
      </w:r>
      <w:r>
        <w:rPr>
          <w:spacing w:val="-6"/>
        </w:rPr>
        <w:t xml:space="preserve"> </w:t>
      </w:r>
      <w:r>
        <w:t>all</w:t>
      </w:r>
      <w:r>
        <w:rPr>
          <w:spacing w:val="-6"/>
        </w:rPr>
        <w:t xml:space="preserve"> </w:t>
      </w:r>
      <w:r>
        <w:t>eighth-grade</w:t>
      </w:r>
      <w:r>
        <w:rPr>
          <w:spacing w:val="-6"/>
        </w:rPr>
        <w:t xml:space="preserve"> </w:t>
      </w:r>
      <w:r>
        <w:t>students</w:t>
      </w:r>
      <w:r>
        <w:rPr>
          <w:spacing w:val="-6"/>
        </w:rPr>
        <w:t xml:space="preserve"> </w:t>
      </w:r>
      <w:r>
        <w:t>who</w:t>
      </w:r>
      <w:r>
        <w:rPr>
          <w:spacing w:val="-6"/>
        </w:rPr>
        <w:t xml:space="preserve"> </w:t>
      </w:r>
      <w:r>
        <w:t>were</w:t>
      </w:r>
      <w:r>
        <w:rPr>
          <w:spacing w:val="-6"/>
        </w:rPr>
        <w:t xml:space="preserve"> </w:t>
      </w:r>
      <w:r>
        <w:t>enrolled</w:t>
      </w:r>
      <w:r>
        <w:rPr>
          <w:spacing w:val="-6"/>
        </w:rPr>
        <w:t xml:space="preserve"> </w:t>
      </w:r>
      <w:r>
        <w:t>in public</w:t>
      </w:r>
      <w:r>
        <w:rPr>
          <w:spacing w:val="-9"/>
        </w:rPr>
        <w:t xml:space="preserve"> </w:t>
      </w:r>
      <w:r>
        <w:t>schools,</w:t>
      </w:r>
      <w:r>
        <w:rPr>
          <w:spacing w:val="-6"/>
        </w:rPr>
        <w:t xml:space="preserve"> </w:t>
      </w:r>
      <w:r>
        <w:t>Bureau</w:t>
      </w:r>
      <w:r>
        <w:rPr>
          <w:spacing w:val="-6"/>
        </w:rPr>
        <w:t xml:space="preserve"> </w:t>
      </w:r>
      <w:r>
        <w:t>of</w:t>
      </w:r>
      <w:r>
        <w:rPr>
          <w:spacing w:val="-6"/>
        </w:rPr>
        <w:t xml:space="preserve"> </w:t>
      </w:r>
      <w:r>
        <w:t>Indian</w:t>
      </w:r>
      <w:r>
        <w:rPr>
          <w:spacing w:val="-6"/>
        </w:rPr>
        <w:t xml:space="preserve"> </w:t>
      </w:r>
      <w:r>
        <w:t>Education</w:t>
      </w:r>
      <w:r>
        <w:rPr>
          <w:spacing w:val="-6"/>
        </w:rPr>
        <w:t xml:space="preserve"> </w:t>
      </w:r>
      <w:r>
        <w:t>(BIE)</w:t>
      </w:r>
      <w:r>
        <w:rPr>
          <w:spacing w:val="-6"/>
        </w:rPr>
        <w:t xml:space="preserve"> </w:t>
      </w:r>
      <w:r>
        <w:t>schools,</w:t>
      </w:r>
      <w:r>
        <w:rPr>
          <w:spacing w:val="-6"/>
        </w:rPr>
        <w:t xml:space="preserve"> </w:t>
      </w:r>
      <w:r>
        <w:t>and</w:t>
      </w:r>
      <w:r>
        <w:rPr>
          <w:spacing w:val="-6"/>
        </w:rPr>
        <w:t xml:space="preserve"> </w:t>
      </w:r>
      <w:r>
        <w:t>Department</w:t>
      </w:r>
      <w:r>
        <w:rPr>
          <w:spacing w:val="-6"/>
        </w:rPr>
        <w:t xml:space="preserve"> </w:t>
      </w:r>
      <w:r>
        <w:t>of</w:t>
      </w:r>
      <w:r>
        <w:rPr>
          <w:spacing w:val="-6"/>
        </w:rPr>
        <w:t xml:space="preserve"> </w:t>
      </w:r>
      <w:r>
        <w:t>Defense</w:t>
      </w:r>
      <w:r>
        <w:rPr>
          <w:spacing w:val="-6"/>
        </w:rPr>
        <w:t xml:space="preserve"> </w:t>
      </w:r>
      <w:r>
        <w:t>Education</w:t>
      </w:r>
      <w:r>
        <w:rPr>
          <w:spacing w:val="-14"/>
        </w:rPr>
        <w:t xml:space="preserve"> </w:t>
      </w:r>
      <w:r>
        <w:t>Activity</w:t>
      </w:r>
      <w:r>
        <w:rPr>
          <w:spacing w:val="-5"/>
        </w:rPr>
        <w:t xml:space="preserve"> </w:t>
      </w:r>
      <w:r>
        <w:t>(DoDEA)</w:t>
      </w:r>
      <w:r>
        <w:rPr>
          <w:spacing w:val="-6"/>
        </w:rPr>
        <w:t xml:space="preserve"> </w:t>
      </w:r>
      <w:r>
        <w:t>schools</w:t>
      </w:r>
      <w:r>
        <w:rPr>
          <w:spacing w:val="-6"/>
        </w:rPr>
        <w:t xml:space="preserve"> </w:t>
      </w:r>
      <w:r>
        <w:t>located</w:t>
      </w:r>
      <w:r>
        <w:rPr>
          <w:spacing w:val="-6"/>
        </w:rPr>
        <w:t xml:space="preserve"> </w:t>
      </w:r>
      <w:r>
        <w:t>within</w:t>
      </w:r>
      <w:r>
        <w:rPr>
          <w:spacing w:val="-6"/>
        </w:rPr>
        <w:t xml:space="preserve"> </w:t>
      </w:r>
      <w:r>
        <w:t>the</w:t>
      </w:r>
      <w:r>
        <w:rPr>
          <w:spacing w:val="-6"/>
        </w:rPr>
        <w:t xml:space="preserve"> </w:t>
      </w:r>
      <w:r>
        <w:t>50</w:t>
      </w:r>
      <w:r>
        <w:rPr>
          <w:spacing w:val="-6"/>
        </w:rPr>
        <w:t xml:space="preserve"> </w:t>
      </w:r>
      <w:r>
        <w:t>states</w:t>
      </w:r>
      <w:r>
        <w:rPr>
          <w:spacing w:val="-6"/>
        </w:rPr>
        <w:t xml:space="preserve"> </w:t>
      </w:r>
      <w:r>
        <w:t>and</w:t>
      </w:r>
      <w:r>
        <w:rPr>
          <w:spacing w:val="-6"/>
        </w:rPr>
        <w:t xml:space="preserve"> </w:t>
      </w:r>
      <w:r>
        <w:t>the</w:t>
      </w:r>
      <w:r>
        <w:rPr>
          <w:spacing w:val="-6"/>
        </w:rPr>
        <w:t xml:space="preserve"> </w:t>
      </w:r>
      <w:r>
        <w:t>District</w:t>
      </w:r>
      <w:r>
        <w:rPr>
          <w:spacing w:val="-6"/>
        </w:rPr>
        <w:t xml:space="preserve"> </w:t>
      </w:r>
      <w:r>
        <w:t xml:space="preserve">of </w:t>
      </w:r>
      <w:r>
        <w:rPr>
          <w:spacing w:val="-2"/>
        </w:rPr>
        <w:t>Columbia.</w:t>
      </w:r>
    </w:p>
    <w:p w:rsidR="003F5784" w14:paraId="64B7F324" w14:textId="77777777">
      <w:pPr>
        <w:pStyle w:val="BodyText"/>
      </w:pPr>
    </w:p>
    <w:p w:rsidR="003F5784" w14:paraId="7FF79C18" w14:textId="77777777">
      <w:pPr>
        <w:pStyle w:val="BodyText"/>
      </w:pPr>
    </w:p>
    <w:p w:rsidR="003F5784" w14:paraId="592C33C3" w14:textId="77777777">
      <w:pPr>
        <w:pStyle w:val="BodyText"/>
        <w:spacing w:before="146"/>
      </w:pPr>
    </w:p>
    <w:p w:rsidR="003F5784" w14:paraId="0FCAA12D" w14:textId="77777777">
      <w:pPr>
        <w:ind w:left="2232"/>
        <w:rPr>
          <w:sz w:val="18"/>
        </w:rPr>
      </w:pPr>
      <w:hyperlink r:id="rId83">
        <w:r>
          <w:rPr>
            <w:spacing w:val="-2"/>
            <w:w w:val="105"/>
            <w:sz w:val="18"/>
          </w:rPr>
          <w:t>http://nces.ed.gov/nationsreportcard/tdw/sample_design/2022/target_population_for_the_2022_eighth_grade_public_school_nat_assess_in_civics_and_us_history.aspx</w:t>
        </w:r>
      </w:hyperlink>
    </w:p>
    <w:p w:rsidR="003F5784" w14:paraId="6B95ECF3" w14:textId="77777777">
      <w:pPr>
        <w:pStyle w:val="BodyText"/>
        <w:spacing w:before="10"/>
        <w:rPr>
          <w:sz w:val="14"/>
        </w:rPr>
      </w:pPr>
      <w:r>
        <w:rPr>
          <w:noProof/>
        </w:rPr>
        <mc:AlternateContent>
          <mc:Choice Requires="wps">
            <w:drawing>
              <wp:anchor distT="0" distB="0" distL="0" distR="0" simplePos="0" relativeHeight="251788288" behindDoc="1" locked="0" layoutInCell="1" allowOverlap="1">
                <wp:simplePos x="0" y="0"/>
                <wp:positionH relativeFrom="page">
                  <wp:posOffset>361937</wp:posOffset>
                </wp:positionH>
                <wp:positionV relativeFrom="paragraph">
                  <wp:posOffset>124290</wp:posOffset>
                </wp:positionV>
                <wp:extent cx="9339580" cy="8890"/>
                <wp:effectExtent l="0" t="0" r="0" b="0"/>
                <wp:wrapTopAndBottom/>
                <wp:docPr id="102" name="Graphic 102"/>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02" o:spid="_x0000_s1065" style="width:735.4pt;height:0.7pt;margin-top:9.8pt;margin-left:28.5pt;mso-position-horizontal-relative:page;mso-wrap-distance-bottom:0;mso-wrap-distance-left:0;mso-wrap-distance-right:0;mso-wrap-distance-top:0;mso-wrap-style:square;position:absolute;visibility:visible;v-text-anchor:top;z-index:-251527168" coordsize="9339580,8890" path="m9338970,l9335110,l,,,8280l8280,8280l9335110,8280l9338970,8280l9338970,xe" fillcolor="gray" stroked="f">
                <v:path arrowok="t"/>
                <w10:wrap type="topAndBottom"/>
              </v:shape>
            </w:pict>
          </mc:Fallback>
        </mc:AlternateContent>
      </w:r>
    </w:p>
    <w:p w:rsidR="003F5784" w14:paraId="71B0098E" w14:textId="77777777">
      <w:pPr>
        <w:pStyle w:val="BodyText"/>
        <w:rPr>
          <w:sz w:val="18"/>
        </w:rPr>
      </w:pPr>
    </w:p>
    <w:p w:rsidR="003F5784" w14:paraId="096B805B" w14:textId="77777777">
      <w:pPr>
        <w:pStyle w:val="BodyText"/>
        <w:spacing w:before="206"/>
        <w:rPr>
          <w:sz w:val="18"/>
        </w:rPr>
      </w:pPr>
    </w:p>
    <w:p w:rsidR="003F5784" w14:paraId="7C27C898" w14:textId="071C6D9C">
      <w:pPr>
        <w:pStyle w:val="Heading1"/>
        <w:spacing w:line="244" w:lineRule="auto"/>
      </w:pPr>
      <w:r>
        <w:t>NAEP</w:t>
      </w:r>
      <w:r>
        <w:rPr>
          <w:spacing w:val="-13"/>
        </w:rPr>
        <w:t xml:space="preserve"> </w:t>
      </w:r>
      <w:r>
        <w:t>Technical Documentation</w:t>
      </w:r>
      <w:r w:rsidR="001057CE">
        <w:t xml:space="preserve"> </w:t>
      </w:r>
      <w:r>
        <w:t>2022 Fourth- and Eighth-Grade Private School National Assessment in Mathematics and Reading</w:t>
      </w:r>
    </w:p>
    <w:p w:rsidR="003F5784" w14:paraId="1D476F80" w14:textId="77777777">
      <w:pPr>
        <w:pStyle w:val="BodyText"/>
        <w:spacing w:before="6"/>
        <w:rPr>
          <w:b/>
          <w:sz w:val="15"/>
        </w:rPr>
      </w:pPr>
    </w:p>
    <w:p w:rsidR="003F5784" w14:paraId="588D33C7" w14:textId="77777777">
      <w:pPr>
        <w:rPr>
          <w:sz w:val="15"/>
        </w:rPr>
        <w:sectPr>
          <w:pgSz w:w="15840" w:h="12240" w:orient="landscape"/>
          <w:pgMar w:top="480" w:right="440" w:bottom="460" w:left="460" w:header="284" w:footer="275" w:gutter="0"/>
          <w:cols w:space="720"/>
        </w:sectPr>
      </w:pPr>
    </w:p>
    <w:p w:rsidR="003F5784" w14:paraId="3C082E90" w14:textId="77777777">
      <w:pPr>
        <w:pStyle w:val="BodyText"/>
        <w:spacing w:before="95" w:line="232" w:lineRule="auto"/>
        <w:ind w:left="109" w:right="38"/>
      </w:pPr>
      <w:r>
        <w:t>The</w:t>
      </w:r>
      <w:r>
        <w:rPr>
          <w:spacing w:val="-7"/>
        </w:rPr>
        <w:t xml:space="preserve"> </w:t>
      </w:r>
      <w:r>
        <w:t>fourth-</w:t>
      </w:r>
      <w:r>
        <w:rPr>
          <w:spacing w:val="-7"/>
        </w:rPr>
        <w:t xml:space="preserve"> </w:t>
      </w:r>
      <w:r>
        <w:t>and</w:t>
      </w:r>
      <w:r>
        <w:rPr>
          <w:spacing w:val="-7"/>
        </w:rPr>
        <w:t xml:space="preserve"> </w:t>
      </w:r>
      <w:r>
        <w:t>eighth-grade</w:t>
      </w:r>
      <w:r>
        <w:rPr>
          <w:spacing w:val="-7"/>
        </w:rPr>
        <w:t xml:space="preserve"> </w:t>
      </w:r>
      <w:r>
        <w:t>private</w:t>
      </w:r>
      <w:r>
        <w:rPr>
          <w:spacing w:val="-7"/>
        </w:rPr>
        <w:t xml:space="preserve"> </w:t>
      </w:r>
      <w:r>
        <w:t>school</w:t>
      </w:r>
      <w:r>
        <w:rPr>
          <w:spacing w:val="-7"/>
        </w:rPr>
        <w:t xml:space="preserve"> </w:t>
      </w:r>
      <w:r>
        <w:t>samples</w:t>
      </w:r>
      <w:r>
        <w:rPr>
          <w:spacing w:val="-7"/>
        </w:rPr>
        <w:t xml:space="preserve"> </w:t>
      </w:r>
      <w:r>
        <w:t>for</w:t>
      </w:r>
      <w:r>
        <w:rPr>
          <w:spacing w:val="-7"/>
        </w:rPr>
        <w:t xml:space="preserve"> </w:t>
      </w:r>
      <w:r>
        <w:t>the</w:t>
      </w:r>
      <w:r>
        <w:rPr>
          <w:spacing w:val="-7"/>
        </w:rPr>
        <w:t xml:space="preserve"> </w:t>
      </w:r>
      <w:r>
        <w:t>national</w:t>
      </w:r>
      <w:r>
        <w:rPr>
          <w:spacing w:val="-7"/>
        </w:rPr>
        <w:t xml:space="preserve"> </w:t>
      </w:r>
      <w:r>
        <w:t>mathematics</w:t>
      </w:r>
      <w:r>
        <w:rPr>
          <w:spacing w:val="-7"/>
        </w:rPr>
        <w:t xml:space="preserve"> </w:t>
      </w:r>
      <w:r>
        <w:t>and</w:t>
      </w:r>
      <w:r>
        <w:rPr>
          <w:spacing w:val="-7"/>
        </w:rPr>
        <w:t xml:space="preserve"> </w:t>
      </w:r>
      <w:r>
        <w:t>reading</w:t>
      </w:r>
      <w:r>
        <w:rPr>
          <w:spacing w:val="-7"/>
        </w:rPr>
        <w:t xml:space="preserve"> </w:t>
      </w:r>
      <w:r>
        <w:t>assessments</w:t>
      </w:r>
      <w:r>
        <w:rPr>
          <w:spacing w:val="-7"/>
        </w:rPr>
        <w:t xml:space="preserve"> </w:t>
      </w:r>
      <w:r>
        <w:t>were</w:t>
      </w:r>
      <w:r>
        <w:rPr>
          <w:spacing w:val="-7"/>
        </w:rPr>
        <w:t xml:space="preserve"> </w:t>
      </w:r>
      <w:r>
        <w:t>designed</w:t>
      </w:r>
      <w:r>
        <w:rPr>
          <w:spacing w:val="-7"/>
        </w:rPr>
        <w:t xml:space="preserve"> </w:t>
      </w:r>
      <w:r>
        <w:t>to</w:t>
      </w:r>
      <w:r>
        <w:rPr>
          <w:spacing w:val="-7"/>
        </w:rPr>
        <w:t xml:space="preserve"> </w:t>
      </w:r>
      <w:r>
        <w:t>produce nationally representative samples of students enrolled in fourth and eighth grade in private schools in the United States.</w:t>
      </w:r>
    </w:p>
    <w:p w:rsidR="003F5784" w14:paraId="20EF18EA" w14:textId="77777777">
      <w:pPr>
        <w:pStyle w:val="BodyText"/>
        <w:spacing w:before="210" w:line="232" w:lineRule="auto"/>
        <w:ind w:left="109" w:right="38"/>
      </w:pPr>
      <w:r>
        <w:t>The</w:t>
      </w:r>
      <w:r>
        <w:rPr>
          <w:spacing w:val="-7"/>
        </w:rPr>
        <w:t xml:space="preserve"> </w:t>
      </w:r>
      <w:r>
        <w:t>target</w:t>
      </w:r>
      <w:r>
        <w:rPr>
          <w:spacing w:val="-7"/>
        </w:rPr>
        <w:t xml:space="preserve"> </w:t>
      </w:r>
      <w:r>
        <w:t>sample</w:t>
      </w:r>
      <w:r>
        <w:rPr>
          <w:spacing w:val="-7"/>
        </w:rPr>
        <w:t xml:space="preserve"> </w:t>
      </w:r>
      <w:r>
        <w:t>sizes</w:t>
      </w:r>
      <w:r>
        <w:rPr>
          <w:spacing w:val="-7"/>
        </w:rPr>
        <w:t xml:space="preserve"> </w:t>
      </w:r>
      <w:r>
        <w:t>of</w:t>
      </w:r>
      <w:r>
        <w:rPr>
          <w:spacing w:val="-7"/>
        </w:rPr>
        <w:t xml:space="preserve"> </w:t>
      </w:r>
      <w:r>
        <w:t>assessed</w:t>
      </w:r>
      <w:r>
        <w:rPr>
          <w:spacing w:val="-7"/>
        </w:rPr>
        <w:t xml:space="preserve"> </w:t>
      </w:r>
      <w:r>
        <w:t>students</w:t>
      </w:r>
      <w:r>
        <w:rPr>
          <w:spacing w:val="-7"/>
        </w:rPr>
        <w:t xml:space="preserve"> </w:t>
      </w:r>
      <w:r>
        <w:t>for</w:t>
      </w:r>
      <w:r>
        <w:rPr>
          <w:spacing w:val="-7"/>
        </w:rPr>
        <w:t xml:space="preserve"> </w:t>
      </w:r>
      <w:r>
        <w:t>each</w:t>
      </w:r>
      <w:r>
        <w:rPr>
          <w:spacing w:val="-7"/>
        </w:rPr>
        <w:t xml:space="preserve"> </w:t>
      </w:r>
      <w:r>
        <w:t>grade</w:t>
      </w:r>
      <w:r>
        <w:rPr>
          <w:spacing w:val="-7"/>
        </w:rPr>
        <w:t xml:space="preserve"> </w:t>
      </w:r>
      <w:r>
        <w:t>and</w:t>
      </w:r>
      <w:r>
        <w:rPr>
          <w:spacing w:val="-7"/>
        </w:rPr>
        <w:t xml:space="preserve"> </w:t>
      </w:r>
      <w:r>
        <w:t>subject</w:t>
      </w:r>
      <w:r>
        <w:rPr>
          <w:spacing w:val="-7"/>
        </w:rPr>
        <w:t xml:space="preserve"> </w:t>
      </w:r>
      <w:r>
        <w:t>are</w:t>
      </w:r>
      <w:r>
        <w:rPr>
          <w:spacing w:val="-7"/>
        </w:rPr>
        <w:t xml:space="preserve"> </w:t>
      </w:r>
      <w:r>
        <w:t>shown</w:t>
      </w:r>
      <w:r>
        <w:rPr>
          <w:spacing w:val="-7"/>
        </w:rPr>
        <w:t xml:space="preserve"> </w:t>
      </w:r>
      <w:r>
        <w:t>in</w:t>
      </w:r>
      <w:r>
        <w:rPr>
          <w:spacing w:val="-7"/>
        </w:rPr>
        <w:t xml:space="preserve"> </w:t>
      </w:r>
      <w:r>
        <w:t>the</w:t>
      </w:r>
      <w:r>
        <w:rPr>
          <w:spacing w:val="-7"/>
        </w:rPr>
        <w:t xml:space="preserve"> </w:t>
      </w:r>
      <w:r>
        <w:t>table</w:t>
      </w:r>
      <w:r>
        <w:rPr>
          <w:spacing w:val="-7"/>
        </w:rPr>
        <w:t xml:space="preserve"> </w:t>
      </w:r>
      <w:r>
        <w:t>below.</w:t>
      </w:r>
      <w:r>
        <w:rPr>
          <w:spacing w:val="-7"/>
        </w:rPr>
        <w:t xml:space="preserve"> </w:t>
      </w:r>
      <w:r>
        <w:t>Prior</w:t>
      </w:r>
      <w:r>
        <w:rPr>
          <w:spacing w:val="-7"/>
        </w:rPr>
        <w:t xml:space="preserve"> </w:t>
      </w:r>
      <w:r>
        <w:t>to</w:t>
      </w:r>
      <w:r>
        <w:rPr>
          <w:spacing w:val="-7"/>
        </w:rPr>
        <w:t xml:space="preserve"> </w:t>
      </w:r>
      <w:r>
        <w:t>sampling,</w:t>
      </w:r>
      <w:r>
        <w:rPr>
          <w:spacing w:val="-7"/>
        </w:rPr>
        <w:t xml:space="preserve"> </w:t>
      </w:r>
      <w:r>
        <w:t>these</w:t>
      </w:r>
      <w:r>
        <w:rPr>
          <w:spacing w:val="-7"/>
        </w:rPr>
        <w:t xml:space="preserve"> </w:t>
      </w:r>
      <w:r>
        <w:t>target sample sizes were adjusted upward to offset expected school and student attrition due to nonresponse and ineligibility.</w:t>
      </w:r>
    </w:p>
    <w:p w:rsidR="003F5784" w14:paraId="0F9B913E" w14:textId="77777777">
      <w:pPr>
        <w:pStyle w:val="BodyText"/>
        <w:spacing w:before="209" w:line="232" w:lineRule="auto"/>
        <w:ind w:left="109" w:right="38"/>
      </w:pPr>
      <w:r>
        <w:t xml:space="preserve">Samples were selected using a two-stage probability design that involved selection of schools within </w:t>
      </w:r>
      <w:r>
        <w:rPr>
          <w:color w:val="0066CC"/>
        </w:rPr>
        <w:t xml:space="preserve">strata </w:t>
      </w:r>
      <w:r>
        <w:t>and selection of students within</w:t>
      </w:r>
      <w:r>
        <w:rPr>
          <w:spacing w:val="-6"/>
        </w:rPr>
        <w:t xml:space="preserve"> </w:t>
      </w:r>
      <w:r>
        <w:t>schools.</w:t>
      </w:r>
      <w:r>
        <w:rPr>
          <w:spacing w:val="-10"/>
        </w:rPr>
        <w:t xml:space="preserve"> </w:t>
      </w:r>
      <w:r>
        <w:t>The</w:t>
      </w:r>
      <w:r>
        <w:rPr>
          <w:spacing w:val="-6"/>
        </w:rPr>
        <w:t xml:space="preserve"> </w:t>
      </w:r>
      <w:r>
        <w:t>first-stage</w:t>
      </w:r>
      <w:r>
        <w:rPr>
          <w:spacing w:val="-6"/>
        </w:rPr>
        <w:t xml:space="preserve"> </w:t>
      </w:r>
      <w:r>
        <w:t>samples</w:t>
      </w:r>
      <w:r>
        <w:rPr>
          <w:spacing w:val="-6"/>
        </w:rPr>
        <w:t xml:space="preserve"> </w:t>
      </w:r>
      <w:r>
        <w:t>of</w:t>
      </w:r>
      <w:r>
        <w:rPr>
          <w:spacing w:val="-6"/>
        </w:rPr>
        <w:t xml:space="preserve"> </w:t>
      </w:r>
      <w:r>
        <w:t>schools</w:t>
      </w:r>
      <w:r>
        <w:rPr>
          <w:spacing w:val="-6"/>
        </w:rPr>
        <w:t xml:space="preserve"> </w:t>
      </w:r>
      <w:r>
        <w:t>were</w:t>
      </w:r>
      <w:r>
        <w:rPr>
          <w:spacing w:val="-6"/>
        </w:rPr>
        <w:t xml:space="preserve"> </w:t>
      </w:r>
      <w:r>
        <w:t>selected</w:t>
      </w:r>
      <w:r>
        <w:rPr>
          <w:spacing w:val="-6"/>
        </w:rPr>
        <w:t xml:space="preserve"> </w:t>
      </w:r>
      <w:r>
        <w:t>with</w:t>
      </w:r>
      <w:r>
        <w:rPr>
          <w:spacing w:val="-6"/>
        </w:rPr>
        <w:t xml:space="preserve"> </w:t>
      </w:r>
      <w:r>
        <w:t>probability</w:t>
      </w:r>
      <w:r>
        <w:rPr>
          <w:spacing w:val="-6"/>
        </w:rPr>
        <w:t xml:space="preserve"> </w:t>
      </w:r>
      <w:r>
        <w:t>proportional</w:t>
      </w:r>
      <w:r>
        <w:rPr>
          <w:spacing w:val="-6"/>
        </w:rPr>
        <w:t xml:space="preserve"> </w:t>
      </w:r>
      <w:r>
        <w:t>to</w:t>
      </w:r>
      <w:r>
        <w:rPr>
          <w:spacing w:val="-6"/>
        </w:rPr>
        <w:t xml:space="preserve"> </w:t>
      </w:r>
      <w:r>
        <w:t>a</w:t>
      </w:r>
      <w:r>
        <w:rPr>
          <w:spacing w:val="-6"/>
        </w:rPr>
        <w:t xml:space="preserve"> </w:t>
      </w:r>
      <w:r>
        <w:rPr>
          <w:color w:val="0066CC"/>
        </w:rPr>
        <w:t>measure</w:t>
      </w:r>
      <w:r>
        <w:rPr>
          <w:color w:val="0066CC"/>
          <w:spacing w:val="-6"/>
        </w:rPr>
        <w:t xml:space="preserve"> </w:t>
      </w:r>
      <w:r>
        <w:rPr>
          <w:color w:val="0066CC"/>
        </w:rPr>
        <w:t>of</w:t>
      </w:r>
      <w:r>
        <w:rPr>
          <w:color w:val="0066CC"/>
          <w:spacing w:val="-6"/>
        </w:rPr>
        <w:t xml:space="preserve"> </w:t>
      </w:r>
      <w:r>
        <w:rPr>
          <w:color w:val="0066CC"/>
        </w:rPr>
        <w:t>size</w:t>
      </w:r>
      <w:r>
        <w:rPr>
          <w:color w:val="0066CC"/>
          <w:spacing w:val="-6"/>
        </w:rPr>
        <w:t xml:space="preserve"> </w:t>
      </w:r>
      <w:r>
        <w:t>based</w:t>
      </w:r>
      <w:r>
        <w:rPr>
          <w:spacing w:val="-6"/>
        </w:rPr>
        <w:t xml:space="preserve"> </w:t>
      </w:r>
      <w:r>
        <w:t>on</w:t>
      </w:r>
      <w:r>
        <w:rPr>
          <w:spacing w:val="-6"/>
        </w:rPr>
        <w:t xml:space="preserve"> </w:t>
      </w:r>
      <w:r>
        <w:t>the</w:t>
      </w:r>
      <w:r>
        <w:rPr>
          <w:spacing w:val="-6"/>
        </w:rPr>
        <w:t xml:space="preserve"> </w:t>
      </w:r>
      <w:r>
        <w:t>estimated grade-specific enrollment in the schools.</w:t>
      </w:r>
    </w:p>
    <w:p w:rsidR="003F5784" w14:paraId="5E1FAEE5" w14:textId="77777777">
      <w:pPr>
        <w:pStyle w:val="BodyText"/>
        <w:spacing w:before="90" w:line="439" w:lineRule="auto"/>
        <w:ind w:left="109" w:right="991"/>
      </w:pPr>
      <w:r>
        <w:br w:type="column"/>
        <w:t>Target Population Sampling Frame Stratification of Schools School</w:t>
      </w:r>
      <w:r>
        <w:rPr>
          <w:spacing w:val="-14"/>
        </w:rPr>
        <w:t xml:space="preserve"> </w:t>
      </w:r>
      <w:r>
        <w:t>Sample</w:t>
      </w:r>
      <w:r>
        <w:rPr>
          <w:spacing w:val="-13"/>
        </w:rPr>
        <w:t xml:space="preserve"> </w:t>
      </w:r>
      <w:r>
        <w:t>Selection Substitute Schools</w:t>
      </w:r>
    </w:p>
    <w:p w:rsidR="003F5784" w14:paraId="008569F3" w14:textId="77777777">
      <w:pPr>
        <w:spacing w:line="439" w:lineRule="auto"/>
        <w:sectPr>
          <w:type w:val="continuous"/>
          <w:pgSz w:w="15840" w:h="12240" w:orient="landscape"/>
          <w:pgMar w:top="480" w:right="440" w:bottom="460" w:left="460" w:header="284" w:footer="275" w:gutter="0"/>
          <w:cols w:num="2" w:space="720" w:equalWidth="0">
            <w:col w:w="11607" w:space="145"/>
            <w:col w:w="3188"/>
          </w:cols>
        </w:sectPr>
      </w:pPr>
    </w:p>
    <w:p w:rsidR="003F5784" w14:paraId="193E5231" w14:textId="77777777">
      <w:pPr>
        <w:pStyle w:val="BodyText"/>
        <w:spacing w:before="78" w:line="232" w:lineRule="auto"/>
        <w:ind w:left="109"/>
      </w:pPr>
      <w:r>
        <w:t>The</w:t>
      </w:r>
      <w:r>
        <w:rPr>
          <w:spacing w:val="-6"/>
        </w:rPr>
        <w:t xml:space="preserve"> </w:t>
      </w:r>
      <w:r>
        <w:t>sampling</w:t>
      </w:r>
      <w:r>
        <w:rPr>
          <w:spacing w:val="-6"/>
        </w:rPr>
        <w:t xml:space="preserve"> </w:t>
      </w:r>
      <w:r>
        <w:t>of</w:t>
      </w:r>
      <w:r>
        <w:rPr>
          <w:spacing w:val="-6"/>
        </w:rPr>
        <w:t xml:space="preserve"> </w:t>
      </w:r>
      <w:r>
        <w:t>students</w:t>
      </w:r>
      <w:r>
        <w:rPr>
          <w:spacing w:val="-6"/>
        </w:rPr>
        <w:t xml:space="preserve"> </w:t>
      </w:r>
      <w:r>
        <w:t>at</w:t>
      </w:r>
      <w:r>
        <w:rPr>
          <w:spacing w:val="-6"/>
        </w:rPr>
        <w:t xml:space="preserve"> </w:t>
      </w:r>
      <w:r>
        <w:t>the</w:t>
      </w:r>
      <w:r>
        <w:rPr>
          <w:spacing w:val="-6"/>
        </w:rPr>
        <w:t xml:space="preserve"> </w:t>
      </w:r>
      <w:r>
        <w:t>second-stage</w:t>
      </w:r>
      <w:r>
        <w:rPr>
          <w:spacing w:val="-6"/>
        </w:rPr>
        <w:t xml:space="preserve"> </w:t>
      </w:r>
      <w:r>
        <w:t>involved</w:t>
      </w:r>
      <w:r>
        <w:rPr>
          <w:spacing w:val="-6"/>
        </w:rPr>
        <w:t xml:space="preserve"> </w:t>
      </w:r>
      <w:r>
        <w:t>two</w:t>
      </w:r>
      <w:r>
        <w:rPr>
          <w:spacing w:val="-6"/>
        </w:rPr>
        <w:t xml:space="preserve"> </w:t>
      </w:r>
      <w:r>
        <w:t>steps:</w:t>
      </w:r>
      <w:r>
        <w:rPr>
          <w:spacing w:val="-6"/>
        </w:rPr>
        <w:t xml:space="preserve"> </w:t>
      </w:r>
      <w:r>
        <w:t>(1)</w:t>
      </w:r>
      <w:r>
        <w:rPr>
          <w:spacing w:val="-6"/>
        </w:rPr>
        <w:t xml:space="preserve"> </w:t>
      </w:r>
      <w:r>
        <w:t>sampling</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targeted</w:t>
      </w:r>
      <w:r>
        <w:rPr>
          <w:spacing w:val="-6"/>
        </w:rPr>
        <w:t xml:space="preserve"> </w:t>
      </w:r>
      <w:r>
        <w:t>grade</w:t>
      </w:r>
      <w:r>
        <w:rPr>
          <w:spacing w:val="-6"/>
        </w:rPr>
        <w:t xml:space="preserve"> </w:t>
      </w:r>
      <w:r>
        <w:t>(fourth</w:t>
      </w:r>
      <w:r>
        <w:rPr>
          <w:spacing w:val="-6"/>
        </w:rPr>
        <w:t xml:space="preserve"> </w:t>
      </w:r>
      <w:r>
        <w:t>or</w:t>
      </w:r>
      <w:r>
        <w:rPr>
          <w:spacing w:val="-6"/>
        </w:rPr>
        <w:t xml:space="preserve"> </w:t>
      </w:r>
      <w:r>
        <w:t>eighth)</w:t>
      </w:r>
      <w:r>
        <w:rPr>
          <w:spacing w:val="-6"/>
        </w:rPr>
        <w:t xml:space="preserve"> </w:t>
      </w:r>
      <w:r>
        <w:t>from each sampled school, and (2) assignment of assessment subject (mathematics or reading) to the sampled students.</w:t>
      </w:r>
    </w:p>
    <w:p w:rsidR="003F5784" w14:paraId="06E3DD26" w14:textId="77777777">
      <w:pPr>
        <w:pStyle w:val="BodyText"/>
        <w:spacing w:before="92"/>
      </w:pPr>
    </w:p>
    <w:p w:rsidR="003F5784" w14:paraId="6EA7B462" w14:textId="77777777">
      <w:pPr>
        <w:pStyle w:val="Heading2"/>
        <w:ind w:left="905"/>
      </w:pPr>
      <w:r>
        <w:t>Target</w:t>
      </w:r>
      <w:r>
        <w:rPr>
          <w:spacing w:val="-9"/>
        </w:rPr>
        <w:t xml:space="preserve"> </w:t>
      </w:r>
      <w:r>
        <w:t>sample</w:t>
      </w:r>
      <w:r>
        <w:rPr>
          <w:spacing w:val="-8"/>
        </w:rPr>
        <w:t xml:space="preserve"> </w:t>
      </w:r>
      <w:r>
        <w:t>sizes</w:t>
      </w:r>
      <w:r>
        <w:rPr>
          <w:spacing w:val="-8"/>
        </w:rPr>
        <w:t xml:space="preserve"> </w:t>
      </w:r>
      <w:r>
        <w:t>of</w:t>
      </w:r>
      <w:r>
        <w:rPr>
          <w:spacing w:val="-8"/>
        </w:rPr>
        <w:t xml:space="preserve"> </w:t>
      </w:r>
      <w:r>
        <w:t>assessed</w:t>
      </w:r>
      <w:r>
        <w:rPr>
          <w:spacing w:val="-9"/>
        </w:rPr>
        <w:t xml:space="preserve"> </w:t>
      </w:r>
      <w:r>
        <w:t>students,</w:t>
      </w:r>
      <w:r>
        <w:rPr>
          <w:spacing w:val="-8"/>
        </w:rPr>
        <w:t xml:space="preserve"> </w:t>
      </w:r>
      <w:r>
        <w:t>private</w:t>
      </w:r>
      <w:r>
        <w:rPr>
          <w:spacing w:val="-8"/>
        </w:rPr>
        <w:t xml:space="preserve"> </w:t>
      </w:r>
      <w:r>
        <w:t>school</w:t>
      </w:r>
      <w:r>
        <w:rPr>
          <w:spacing w:val="-8"/>
        </w:rPr>
        <w:t xml:space="preserve"> </w:t>
      </w:r>
      <w:r>
        <w:t>national</w:t>
      </w:r>
      <w:r>
        <w:rPr>
          <w:spacing w:val="-8"/>
        </w:rPr>
        <w:t xml:space="preserve"> </w:t>
      </w:r>
      <w:r>
        <w:t>assessment,</w:t>
      </w:r>
      <w:r>
        <w:rPr>
          <w:spacing w:val="-9"/>
        </w:rPr>
        <w:t xml:space="preserve"> </w:t>
      </w:r>
      <w:r>
        <w:t>by</w:t>
      </w:r>
      <w:r>
        <w:rPr>
          <w:spacing w:val="-8"/>
        </w:rPr>
        <w:t xml:space="preserve"> </w:t>
      </w:r>
      <w:r>
        <w:t>subject</w:t>
      </w:r>
      <w:r>
        <w:rPr>
          <w:spacing w:val="-8"/>
        </w:rPr>
        <w:t xml:space="preserve"> </w:t>
      </w:r>
      <w:r>
        <w:t>and</w:t>
      </w:r>
      <w:r>
        <w:rPr>
          <w:spacing w:val="-8"/>
        </w:rPr>
        <w:t xml:space="preserve"> </w:t>
      </w:r>
      <w:r>
        <w:t>grade:</w:t>
      </w:r>
      <w:r>
        <w:rPr>
          <w:spacing w:val="-9"/>
        </w:rPr>
        <w:t xml:space="preserve"> </w:t>
      </w:r>
      <w:r>
        <w:rPr>
          <w:spacing w:val="-4"/>
        </w:rPr>
        <w:t>2022</w:t>
      </w:r>
    </w:p>
    <w:p w:rsidR="003F5784" w14:paraId="32C0174A" w14:textId="77777777">
      <w:pPr>
        <w:pStyle w:val="BodyText"/>
        <w:spacing w:before="72" w:line="439" w:lineRule="auto"/>
        <w:ind w:left="109" w:right="928"/>
      </w:pPr>
      <w:r>
        <w:br w:type="column"/>
        <w:t>Ineligible Schools Student</w:t>
      </w:r>
      <w:r>
        <w:rPr>
          <w:spacing w:val="-14"/>
        </w:rPr>
        <w:t xml:space="preserve"> </w:t>
      </w:r>
      <w:r>
        <w:t>Sample</w:t>
      </w:r>
      <w:r>
        <w:rPr>
          <w:spacing w:val="-13"/>
        </w:rPr>
        <w:t xml:space="preserve"> </w:t>
      </w:r>
      <w:r>
        <w:t>Selection</w:t>
      </w:r>
    </w:p>
    <w:p w:rsidR="003F5784" w14:paraId="0E4A4189" w14:textId="77777777">
      <w:pPr>
        <w:pStyle w:val="BodyText"/>
        <w:spacing w:before="3"/>
        <w:ind w:left="109"/>
      </w:pPr>
      <w:r>
        <w:t>School</w:t>
      </w:r>
      <w:r>
        <w:rPr>
          <w:spacing w:val="-7"/>
        </w:rPr>
        <w:t xml:space="preserve"> </w:t>
      </w:r>
      <w:r>
        <w:t>and</w:t>
      </w:r>
      <w:r>
        <w:rPr>
          <w:spacing w:val="-6"/>
        </w:rPr>
        <w:t xml:space="preserve"> </w:t>
      </w:r>
      <w:r>
        <w:t>Student</w:t>
      </w:r>
      <w:r>
        <w:rPr>
          <w:spacing w:val="-6"/>
        </w:rPr>
        <w:t xml:space="preserve"> </w:t>
      </w:r>
      <w:r>
        <w:rPr>
          <w:spacing w:val="-2"/>
        </w:rPr>
        <w:t>Participation</w:t>
      </w:r>
    </w:p>
    <w:p w:rsidR="003F5784" w14:paraId="51C0DB77" w14:textId="77777777">
      <w:pPr>
        <w:sectPr>
          <w:pgSz w:w="15840" w:h="12240" w:orient="landscape"/>
          <w:pgMar w:top="480" w:right="440" w:bottom="460" w:left="460" w:header="284" w:footer="275" w:gutter="0"/>
          <w:cols w:num="2" w:space="720" w:equalWidth="0">
            <w:col w:w="11352" w:space="399"/>
            <w:col w:w="3189"/>
          </w:cols>
        </w:sectPr>
      </w:pPr>
    </w:p>
    <w:p w:rsidR="003F5784" w14:paraId="6EB054FF" w14:textId="77777777">
      <w:pPr>
        <w:pStyle w:val="BodyText"/>
        <w:spacing w:before="1"/>
        <w:rPr>
          <w:sz w:val="5"/>
        </w:rPr>
      </w:pPr>
    </w:p>
    <w:tbl>
      <w:tblPr>
        <w:tblW w:w="0" w:type="auto"/>
        <w:tblInd w:w="912" w:type="dxa"/>
        <w:tblLayout w:type="fixed"/>
        <w:tblCellMar>
          <w:left w:w="0" w:type="dxa"/>
          <w:right w:w="0" w:type="dxa"/>
        </w:tblCellMar>
        <w:tblLook w:val="01E0"/>
      </w:tblPr>
      <w:tblGrid>
        <w:gridCol w:w="2209"/>
        <w:gridCol w:w="2996"/>
        <w:gridCol w:w="3098"/>
        <w:gridCol w:w="1563"/>
      </w:tblGrid>
      <w:tr w14:paraId="7ED906ED" w14:textId="77777777">
        <w:tblPrEx>
          <w:tblW w:w="0" w:type="auto"/>
          <w:tblInd w:w="912" w:type="dxa"/>
          <w:tblLayout w:type="fixed"/>
          <w:tblCellMar>
            <w:left w:w="0" w:type="dxa"/>
            <w:right w:w="0" w:type="dxa"/>
          </w:tblCellMar>
          <w:tblLook w:val="01E0"/>
        </w:tblPrEx>
        <w:trPr>
          <w:trHeight w:val="267"/>
        </w:trPr>
        <w:tc>
          <w:tcPr>
            <w:tcW w:w="2209" w:type="dxa"/>
            <w:tcBorders>
              <w:top w:val="single" w:sz="18" w:space="0" w:color="800000"/>
              <w:bottom w:val="single" w:sz="18" w:space="0" w:color="800000"/>
            </w:tcBorders>
          </w:tcPr>
          <w:p w:rsidR="003F5784" w14:paraId="7DB9A2A2" w14:textId="77777777">
            <w:pPr>
              <w:pStyle w:val="TableParagraph"/>
              <w:spacing w:before="9" w:line="238" w:lineRule="exact"/>
              <w:ind w:left="117"/>
              <w:jc w:val="left"/>
              <w:rPr>
                <w:sz w:val="21"/>
              </w:rPr>
            </w:pPr>
            <w:r>
              <w:rPr>
                <w:spacing w:val="-2"/>
                <w:sz w:val="21"/>
              </w:rPr>
              <w:t>Grade</w:t>
            </w:r>
          </w:p>
        </w:tc>
        <w:tc>
          <w:tcPr>
            <w:tcW w:w="2996" w:type="dxa"/>
            <w:tcBorders>
              <w:top w:val="single" w:sz="18" w:space="0" w:color="800000"/>
              <w:bottom w:val="single" w:sz="18" w:space="0" w:color="800000"/>
            </w:tcBorders>
          </w:tcPr>
          <w:p w:rsidR="003F5784" w14:paraId="55A1258C" w14:textId="77777777">
            <w:pPr>
              <w:pStyle w:val="TableParagraph"/>
              <w:spacing w:before="9" w:line="238" w:lineRule="exact"/>
              <w:ind w:right="1042"/>
              <w:rPr>
                <w:sz w:val="21"/>
              </w:rPr>
            </w:pPr>
            <w:r>
              <w:rPr>
                <w:spacing w:val="-2"/>
                <w:sz w:val="21"/>
              </w:rPr>
              <w:t>Total</w:t>
            </w:r>
          </w:p>
        </w:tc>
        <w:tc>
          <w:tcPr>
            <w:tcW w:w="3098" w:type="dxa"/>
            <w:tcBorders>
              <w:top w:val="single" w:sz="18" w:space="0" w:color="800000"/>
              <w:bottom w:val="single" w:sz="18" w:space="0" w:color="800000"/>
            </w:tcBorders>
          </w:tcPr>
          <w:p w:rsidR="003F5784" w14:paraId="222A6013" w14:textId="77777777">
            <w:pPr>
              <w:pStyle w:val="TableParagraph"/>
              <w:spacing w:before="9" w:line="238" w:lineRule="exact"/>
              <w:ind w:right="974"/>
              <w:rPr>
                <w:sz w:val="21"/>
              </w:rPr>
            </w:pPr>
            <w:r>
              <w:rPr>
                <w:spacing w:val="-2"/>
                <w:sz w:val="21"/>
              </w:rPr>
              <w:t>Mathematics</w:t>
            </w:r>
          </w:p>
        </w:tc>
        <w:tc>
          <w:tcPr>
            <w:tcW w:w="1563" w:type="dxa"/>
            <w:tcBorders>
              <w:top w:val="single" w:sz="18" w:space="0" w:color="800000"/>
              <w:bottom w:val="single" w:sz="18" w:space="0" w:color="800000"/>
            </w:tcBorders>
          </w:tcPr>
          <w:p w:rsidR="003F5784" w14:paraId="4EB4882D" w14:textId="77777777">
            <w:pPr>
              <w:pStyle w:val="TableParagraph"/>
              <w:spacing w:before="9" w:line="238" w:lineRule="exact"/>
              <w:ind w:right="115"/>
              <w:rPr>
                <w:sz w:val="21"/>
              </w:rPr>
            </w:pPr>
            <w:r>
              <w:rPr>
                <w:spacing w:val="-2"/>
                <w:sz w:val="21"/>
              </w:rPr>
              <w:t>Reading</w:t>
            </w:r>
          </w:p>
        </w:tc>
      </w:tr>
      <w:tr w14:paraId="6CFDA6C3" w14:textId="77777777">
        <w:tblPrEx>
          <w:tblW w:w="0" w:type="auto"/>
          <w:tblInd w:w="912" w:type="dxa"/>
          <w:tblLayout w:type="fixed"/>
          <w:tblCellMar>
            <w:left w:w="0" w:type="dxa"/>
            <w:right w:w="0" w:type="dxa"/>
          </w:tblCellMar>
          <w:tblLook w:val="01E0"/>
        </w:tblPrEx>
        <w:trPr>
          <w:trHeight w:val="277"/>
        </w:trPr>
        <w:tc>
          <w:tcPr>
            <w:tcW w:w="2209" w:type="dxa"/>
            <w:tcBorders>
              <w:top w:val="single" w:sz="18" w:space="0" w:color="800000"/>
            </w:tcBorders>
          </w:tcPr>
          <w:p w:rsidR="003F5784" w14:paraId="66EBB778" w14:textId="77777777">
            <w:pPr>
              <w:pStyle w:val="TableParagraph"/>
              <w:spacing w:before="9"/>
              <w:ind w:left="270"/>
              <w:jc w:val="left"/>
              <w:rPr>
                <w:b/>
                <w:sz w:val="21"/>
              </w:rPr>
            </w:pPr>
            <w:r>
              <w:rPr>
                <w:b/>
                <w:spacing w:val="-2"/>
                <w:sz w:val="21"/>
              </w:rPr>
              <w:t>Total</w:t>
            </w:r>
          </w:p>
        </w:tc>
        <w:tc>
          <w:tcPr>
            <w:tcW w:w="2996" w:type="dxa"/>
            <w:tcBorders>
              <w:top w:val="single" w:sz="18" w:space="0" w:color="800000"/>
            </w:tcBorders>
          </w:tcPr>
          <w:p w:rsidR="003F5784" w14:paraId="7BEA5CB8" w14:textId="77777777">
            <w:pPr>
              <w:pStyle w:val="TableParagraph"/>
              <w:spacing w:before="9"/>
              <w:ind w:right="1042"/>
              <w:rPr>
                <w:b/>
                <w:sz w:val="21"/>
              </w:rPr>
            </w:pPr>
            <w:r>
              <w:rPr>
                <w:b/>
                <w:spacing w:val="-2"/>
                <w:sz w:val="21"/>
              </w:rPr>
              <w:t>9,400</w:t>
            </w:r>
          </w:p>
        </w:tc>
        <w:tc>
          <w:tcPr>
            <w:tcW w:w="3098" w:type="dxa"/>
            <w:tcBorders>
              <w:top w:val="single" w:sz="18" w:space="0" w:color="800000"/>
            </w:tcBorders>
          </w:tcPr>
          <w:p w:rsidR="003F5784" w14:paraId="68F3EEC9" w14:textId="77777777">
            <w:pPr>
              <w:pStyle w:val="TableParagraph"/>
              <w:spacing w:before="9"/>
              <w:ind w:right="974"/>
              <w:rPr>
                <w:b/>
                <w:sz w:val="21"/>
              </w:rPr>
            </w:pPr>
            <w:r>
              <w:rPr>
                <w:b/>
                <w:spacing w:val="-2"/>
                <w:sz w:val="21"/>
              </w:rPr>
              <w:t>4,700</w:t>
            </w:r>
          </w:p>
        </w:tc>
        <w:tc>
          <w:tcPr>
            <w:tcW w:w="1563" w:type="dxa"/>
            <w:tcBorders>
              <w:top w:val="single" w:sz="18" w:space="0" w:color="800000"/>
            </w:tcBorders>
          </w:tcPr>
          <w:p w:rsidR="003F5784" w14:paraId="711C7D3E" w14:textId="77777777">
            <w:pPr>
              <w:pStyle w:val="TableParagraph"/>
              <w:spacing w:before="9"/>
              <w:ind w:right="115"/>
              <w:rPr>
                <w:b/>
                <w:sz w:val="21"/>
              </w:rPr>
            </w:pPr>
            <w:r>
              <w:rPr>
                <w:b/>
                <w:spacing w:val="-2"/>
                <w:sz w:val="21"/>
              </w:rPr>
              <w:t>4,700</w:t>
            </w:r>
          </w:p>
        </w:tc>
      </w:tr>
      <w:tr w14:paraId="1A1C7812" w14:textId="77777777">
        <w:tblPrEx>
          <w:tblW w:w="0" w:type="auto"/>
          <w:tblInd w:w="912" w:type="dxa"/>
          <w:tblLayout w:type="fixed"/>
          <w:tblCellMar>
            <w:left w:w="0" w:type="dxa"/>
            <w:right w:w="0" w:type="dxa"/>
          </w:tblCellMar>
          <w:tblLook w:val="01E0"/>
        </w:tblPrEx>
        <w:trPr>
          <w:trHeight w:val="286"/>
        </w:trPr>
        <w:tc>
          <w:tcPr>
            <w:tcW w:w="2209" w:type="dxa"/>
          </w:tcPr>
          <w:p w:rsidR="003F5784" w14:paraId="59F36EC4" w14:textId="77777777">
            <w:pPr>
              <w:pStyle w:val="TableParagraph"/>
              <w:spacing w:before="19"/>
              <w:ind w:left="117"/>
              <w:jc w:val="left"/>
              <w:rPr>
                <w:sz w:val="21"/>
              </w:rPr>
            </w:pPr>
            <w:r>
              <w:rPr>
                <w:spacing w:val="-10"/>
                <w:sz w:val="21"/>
              </w:rPr>
              <w:t>4</w:t>
            </w:r>
          </w:p>
        </w:tc>
        <w:tc>
          <w:tcPr>
            <w:tcW w:w="2996" w:type="dxa"/>
          </w:tcPr>
          <w:p w:rsidR="003F5784" w14:paraId="6AED2CA4" w14:textId="77777777">
            <w:pPr>
              <w:pStyle w:val="TableParagraph"/>
              <w:spacing w:before="19"/>
              <w:ind w:right="1042"/>
              <w:rPr>
                <w:sz w:val="21"/>
              </w:rPr>
            </w:pPr>
            <w:r>
              <w:rPr>
                <w:spacing w:val="-2"/>
                <w:sz w:val="21"/>
              </w:rPr>
              <w:t>4,700</w:t>
            </w:r>
          </w:p>
        </w:tc>
        <w:tc>
          <w:tcPr>
            <w:tcW w:w="3098" w:type="dxa"/>
          </w:tcPr>
          <w:p w:rsidR="003F5784" w14:paraId="27D68ECF" w14:textId="77777777">
            <w:pPr>
              <w:pStyle w:val="TableParagraph"/>
              <w:spacing w:before="21"/>
              <w:ind w:right="974"/>
              <w:rPr>
                <w:sz w:val="18"/>
              </w:rPr>
            </w:pPr>
            <w:r>
              <w:rPr>
                <w:spacing w:val="-2"/>
                <w:sz w:val="18"/>
              </w:rPr>
              <w:t>2,350</w:t>
            </w:r>
          </w:p>
        </w:tc>
        <w:tc>
          <w:tcPr>
            <w:tcW w:w="1563" w:type="dxa"/>
          </w:tcPr>
          <w:p w:rsidR="003F5784" w14:paraId="6D315F28" w14:textId="77777777">
            <w:pPr>
              <w:pStyle w:val="TableParagraph"/>
              <w:spacing w:before="21"/>
              <w:ind w:right="115"/>
              <w:rPr>
                <w:sz w:val="18"/>
              </w:rPr>
            </w:pPr>
            <w:r>
              <w:rPr>
                <w:spacing w:val="-2"/>
                <w:sz w:val="18"/>
              </w:rPr>
              <w:t>2,350</w:t>
            </w:r>
          </w:p>
        </w:tc>
      </w:tr>
      <w:tr w14:paraId="748817DB" w14:textId="77777777">
        <w:tblPrEx>
          <w:tblW w:w="0" w:type="auto"/>
          <w:tblInd w:w="912" w:type="dxa"/>
          <w:tblLayout w:type="fixed"/>
          <w:tblCellMar>
            <w:left w:w="0" w:type="dxa"/>
            <w:right w:w="0" w:type="dxa"/>
          </w:tblCellMar>
          <w:tblLook w:val="01E0"/>
        </w:tblPrEx>
        <w:trPr>
          <w:trHeight w:val="290"/>
        </w:trPr>
        <w:tc>
          <w:tcPr>
            <w:tcW w:w="2209" w:type="dxa"/>
            <w:tcBorders>
              <w:bottom w:val="single" w:sz="18" w:space="0" w:color="800000"/>
            </w:tcBorders>
          </w:tcPr>
          <w:p w:rsidR="003F5784" w14:paraId="51370BCD" w14:textId="77777777">
            <w:pPr>
              <w:pStyle w:val="TableParagraph"/>
              <w:spacing w:before="19"/>
              <w:ind w:left="117"/>
              <w:jc w:val="left"/>
              <w:rPr>
                <w:sz w:val="21"/>
              </w:rPr>
            </w:pPr>
            <w:r>
              <w:rPr>
                <w:spacing w:val="-10"/>
                <w:sz w:val="21"/>
              </w:rPr>
              <w:t>8</w:t>
            </w:r>
          </w:p>
        </w:tc>
        <w:tc>
          <w:tcPr>
            <w:tcW w:w="2996" w:type="dxa"/>
            <w:tcBorders>
              <w:bottom w:val="single" w:sz="18" w:space="0" w:color="800000"/>
            </w:tcBorders>
          </w:tcPr>
          <w:p w:rsidR="003F5784" w14:paraId="47CC9954" w14:textId="77777777">
            <w:pPr>
              <w:pStyle w:val="TableParagraph"/>
              <w:spacing w:before="21"/>
              <w:ind w:right="1042"/>
              <w:rPr>
                <w:sz w:val="18"/>
              </w:rPr>
            </w:pPr>
            <w:r>
              <w:rPr>
                <w:spacing w:val="-2"/>
                <w:sz w:val="18"/>
              </w:rPr>
              <w:t>4,700</w:t>
            </w:r>
          </w:p>
        </w:tc>
        <w:tc>
          <w:tcPr>
            <w:tcW w:w="3098" w:type="dxa"/>
            <w:tcBorders>
              <w:bottom w:val="single" w:sz="18" w:space="0" w:color="800000"/>
            </w:tcBorders>
          </w:tcPr>
          <w:p w:rsidR="003F5784" w14:paraId="0F230DE6" w14:textId="77777777">
            <w:pPr>
              <w:pStyle w:val="TableParagraph"/>
              <w:spacing w:before="21"/>
              <w:ind w:right="974"/>
              <w:rPr>
                <w:sz w:val="18"/>
              </w:rPr>
            </w:pPr>
            <w:r>
              <w:rPr>
                <w:spacing w:val="-2"/>
                <w:sz w:val="18"/>
              </w:rPr>
              <w:t>2,350</w:t>
            </w:r>
          </w:p>
        </w:tc>
        <w:tc>
          <w:tcPr>
            <w:tcW w:w="1563" w:type="dxa"/>
            <w:tcBorders>
              <w:bottom w:val="single" w:sz="18" w:space="0" w:color="800000"/>
            </w:tcBorders>
          </w:tcPr>
          <w:p w:rsidR="003F5784" w14:paraId="4ED8F6FD" w14:textId="77777777">
            <w:pPr>
              <w:pStyle w:val="TableParagraph"/>
              <w:spacing w:before="21"/>
              <w:ind w:right="115"/>
              <w:rPr>
                <w:sz w:val="18"/>
              </w:rPr>
            </w:pPr>
            <w:r>
              <w:rPr>
                <w:spacing w:val="-2"/>
                <w:sz w:val="18"/>
              </w:rPr>
              <w:t>2,350</w:t>
            </w:r>
          </w:p>
        </w:tc>
      </w:tr>
      <w:tr w14:paraId="15204954" w14:textId="77777777">
        <w:tblPrEx>
          <w:tblW w:w="0" w:type="auto"/>
          <w:tblInd w:w="912" w:type="dxa"/>
          <w:tblLayout w:type="fixed"/>
          <w:tblCellMar>
            <w:left w:w="0" w:type="dxa"/>
            <w:right w:w="0" w:type="dxa"/>
          </w:tblCellMar>
          <w:tblLook w:val="01E0"/>
        </w:tblPrEx>
        <w:trPr>
          <w:trHeight w:val="489"/>
        </w:trPr>
        <w:tc>
          <w:tcPr>
            <w:tcW w:w="9866" w:type="dxa"/>
            <w:gridSpan w:val="4"/>
            <w:tcBorders>
              <w:top w:val="single" w:sz="18" w:space="0" w:color="800000"/>
            </w:tcBorders>
          </w:tcPr>
          <w:p w:rsidR="003F5784" w14:paraId="2408257F" w14:textId="77777777">
            <w:pPr>
              <w:pStyle w:val="TableParagraph"/>
              <w:spacing w:before="43"/>
              <w:ind w:left="117"/>
              <w:jc w:val="left"/>
              <w:rPr>
                <w:sz w:val="16"/>
              </w:rPr>
            </w:pPr>
            <w:r>
              <w:rPr>
                <w:w w:val="105"/>
                <w:sz w:val="16"/>
              </w:rPr>
              <w:t>SOURCE:</w:t>
            </w:r>
            <w:r>
              <w:rPr>
                <w:spacing w:val="-10"/>
                <w:w w:val="105"/>
                <w:sz w:val="16"/>
              </w:rPr>
              <w:t xml:space="preserve"> </w:t>
            </w:r>
            <w:r>
              <w:rPr>
                <w:w w:val="105"/>
                <w:sz w:val="16"/>
              </w:rPr>
              <w:t>U.S.</w:t>
            </w:r>
            <w:r>
              <w:rPr>
                <w:spacing w:val="-6"/>
                <w:w w:val="105"/>
                <w:sz w:val="16"/>
              </w:rPr>
              <w:t xml:space="preserve"> </w:t>
            </w:r>
            <w:r>
              <w:rPr>
                <w:w w:val="105"/>
                <w:sz w:val="16"/>
              </w:rPr>
              <w:t>Department</w:t>
            </w:r>
            <w:r>
              <w:rPr>
                <w:spacing w:val="-7"/>
                <w:w w:val="105"/>
                <w:sz w:val="16"/>
              </w:rPr>
              <w:t xml:space="preserve"> </w:t>
            </w:r>
            <w:r>
              <w:rPr>
                <w:w w:val="105"/>
                <w:sz w:val="16"/>
              </w:rPr>
              <w:t>of</w:t>
            </w:r>
            <w:r>
              <w:rPr>
                <w:spacing w:val="-6"/>
                <w:w w:val="105"/>
                <w:sz w:val="16"/>
              </w:rPr>
              <w:t xml:space="preserve"> </w:t>
            </w:r>
            <w:r>
              <w:rPr>
                <w:w w:val="105"/>
                <w:sz w:val="16"/>
              </w:rPr>
              <w:t>Education,</w:t>
            </w:r>
            <w:r>
              <w:rPr>
                <w:spacing w:val="-6"/>
                <w:w w:val="105"/>
                <w:sz w:val="16"/>
              </w:rPr>
              <w:t xml:space="preserve"> </w:t>
            </w:r>
            <w:r>
              <w:rPr>
                <w:w w:val="105"/>
                <w:sz w:val="16"/>
              </w:rPr>
              <w:t>Institute</w:t>
            </w:r>
            <w:r>
              <w:rPr>
                <w:spacing w:val="-6"/>
                <w:w w:val="105"/>
                <w:sz w:val="16"/>
              </w:rPr>
              <w:t xml:space="preserve"> </w:t>
            </w:r>
            <w:r>
              <w:rPr>
                <w:w w:val="105"/>
                <w:sz w:val="16"/>
              </w:rPr>
              <w:t>of</w:t>
            </w:r>
            <w:r>
              <w:rPr>
                <w:spacing w:val="-6"/>
                <w:w w:val="105"/>
                <w:sz w:val="16"/>
              </w:rPr>
              <w:t xml:space="preserve"> </w:t>
            </w:r>
            <w:r>
              <w:rPr>
                <w:w w:val="105"/>
                <w:sz w:val="16"/>
              </w:rPr>
              <w:t>Education</w:t>
            </w:r>
            <w:r>
              <w:rPr>
                <w:spacing w:val="-7"/>
                <w:w w:val="105"/>
                <w:sz w:val="16"/>
              </w:rPr>
              <w:t xml:space="preserve"> </w:t>
            </w:r>
            <w:r>
              <w:rPr>
                <w:w w:val="105"/>
                <w:sz w:val="16"/>
              </w:rPr>
              <w:t>Sciences,</w:t>
            </w:r>
            <w:r>
              <w:rPr>
                <w:spacing w:val="-6"/>
                <w:w w:val="105"/>
                <w:sz w:val="16"/>
              </w:rPr>
              <w:t xml:space="preserve"> </w:t>
            </w:r>
            <w:r>
              <w:rPr>
                <w:w w:val="105"/>
                <w:sz w:val="16"/>
              </w:rPr>
              <w:t>National</w:t>
            </w:r>
            <w:r>
              <w:rPr>
                <w:spacing w:val="-6"/>
                <w:w w:val="105"/>
                <w:sz w:val="16"/>
              </w:rPr>
              <w:t xml:space="preserve"> </w:t>
            </w:r>
            <w:r>
              <w:rPr>
                <w:w w:val="105"/>
                <w:sz w:val="16"/>
              </w:rPr>
              <w:t>Center</w:t>
            </w:r>
            <w:r>
              <w:rPr>
                <w:spacing w:val="-6"/>
                <w:w w:val="105"/>
                <w:sz w:val="16"/>
              </w:rPr>
              <w:t xml:space="preserve"> </w:t>
            </w:r>
            <w:r>
              <w:rPr>
                <w:w w:val="105"/>
                <w:sz w:val="16"/>
              </w:rPr>
              <w:t>for</w:t>
            </w:r>
            <w:r>
              <w:rPr>
                <w:spacing w:val="-6"/>
                <w:w w:val="105"/>
                <w:sz w:val="16"/>
              </w:rPr>
              <w:t xml:space="preserve"> </w:t>
            </w:r>
            <w:r>
              <w:rPr>
                <w:w w:val="105"/>
                <w:sz w:val="16"/>
              </w:rPr>
              <w:t>Education</w:t>
            </w:r>
            <w:r>
              <w:rPr>
                <w:spacing w:val="-6"/>
                <w:w w:val="105"/>
                <w:sz w:val="16"/>
              </w:rPr>
              <w:t xml:space="preserve"> </w:t>
            </w:r>
            <w:r>
              <w:rPr>
                <w:w w:val="105"/>
                <w:sz w:val="16"/>
              </w:rPr>
              <w:t>Statistics,</w:t>
            </w:r>
            <w:r>
              <w:rPr>
                <w:spacing w:val="-7"/>
                <w:w w:val="105"/>
                <w:sz w:val="16"/>
              </w:rPr>
              <w:t xml:space="preserve"> </w:t>
            </w:r>
            <w:r>
              <w:rPr>
                <w:w w:val="105"/>
                <w:sz w:val="16"/>
              </w:rPr>
              <w:t>National</w:t>
            </w:r>
            <w:r>
              <w:rPr>
                <w:spacing w:val="-10"/>
                <w:w w:val="105"/>
                <w:sz w:val="16"/>
              </w:rPr>
              <w:t xml:space="preserve"> </w:t>
            </w:r>
            <w:r>
              <w:rPr>
                <w:w w:val="105"/>
                <w:sz w:val="16"/>
              </w:rPr>
              <w:t>Assessment</w:t>
            </w:r>
            <w:r>
              <w:rPr>
                <w:spacing w:val="-6"/>
                <w:w w:val="105"/>
                <w:sz w:val="16"/>
              </w:rPr>
              <w:t xml:space="preserve"> </w:t>
            </w:r>
            <w:r>
              <w:rPr>
                <w:spacing w:val="-5"/>
                <w:w w:val="105"/>
                <w:sz w:val="16"/>
              </w:rPr>
              <w:t>of</w:t>
            </w:r>
          </w:p>
          <w:p w:rsidR="003F5784" w14:paraId="67933334" w14:textId="77777777">
            <w:pPr>
              <w:pStyle w:val="TableParagraph"/>
              <w:spacing w:before="77" w:line="165" w:lineRule="exact"/>
              <w:ind w:left="117"/>
              <w:jc w:val="left"/>
              <w:rPr>
                <w:sz w:val="16"/>
              </w:rPr>
            </w:pPr>
            <w:r>
              <w:rPr>
                <w:w w:val="105"/>
                <w:sz w:val="16"/>
              </w:rPr>
              <w:t>Educational</w:t>
            </w:r>
            <w:r>
              <w:rPr>
                <w:spacing w:val="-11"/>
                <w:w w:val="105"/>
                <w:sz w:val="16"/>
              </w:rPr>
              <w:t xml:space="preserve"> </w:t>
            </w:r>
            <w:r>
              <w:rPr>
                <w:w w:val="105"/>
                <w:sz w:val="16"/>
              </w:rPr>
              <w:t>Progress</w:t>
            </w:r>
            <w:r>
              <w:rPr>
                <w:spacing w:val="-7"/>
                <w:w w:val="105"/>
                <w:sz w:val="16"/>
              </w:rPr>
              <w:t xml:space="preserve"> </w:t>
            </w:r>
            <w:r>
              <w:rPr>
                <w:w w:val="105"/>
                <w:sz w:val="16"/>
              </w:rPr>
              <w:t>(NAEP),</w:t>
            </w:r>
            <w:r>
              <w:rPr>
                <w:spacing w:val="-6"/>
                <w:w w:val="105"/>
                <w:sz w:val="16"/>
              </w:rPr>
              <w:t xml:space="preserve"> </w:t>
            </w:r>
            <w:r>
              <w:rPr>
                <w:w w:val="105"/>
                <w:sz w:val="16"/>
              </w:rPr>
              <w:t>2022</w:t>
            </w:r>
            <w:r>
              <w:rPr>
                <w:spacing w:val="-7"/>
                <w:w w:val="105"/>
                <w:sz w:val="16"/>
              </w:rPr>
              <w:t xml:space="preserve"> </w:t>
            </w:r>
            <w:r>
              <w:rPr>
                <w:w w:val="105"/>
                <w:sz w:val="16"/>
              </w:rPr>
              <w:t>National</w:t>
            </w:r>
            <w:r>
              <w:rPr>
                <w:spacing w:val="-6"/>
                <w:w w:val="105"/>
                <w:sz w:val="16"/>
              </w:rPr>
              <w:t xml:space="preserve"> </w:t>
            </w:r>
            <w:r>
              <w:rPr>
                <w:w w:val="105"/>
                <w:sz w:val="16"/>
              </w:rPr>
              <w:t>Mathematics</w:t>
            </w:r>
            <w:r>
              <w:rPr>
                <w:spacing w:val="-7"/>
                <w:w w:val="105"/>
                <w:sz w:val="16"/>
              </w:rPr>
              <w:t xml:space="preserve"> </w:t>
            </w:r>
            <w:r>
              <w:rPr>
                <w:w w:val="105"/>
                <w:sz w:val="16"/>
              </w:rPr>
              <w:t>and</w:t>
            </w:r>
            <w:r>
              <w:rPr>
                <w:spacing w:val="-6"/>
                <w:w w:val="105"/>
                <w:sz w:val="16"/>
              </w:rPr>
              <w:t xml:space="preserve"> </w:t>
            </w:r>
            <w:r>
              <w:rPr>
                <w:w w:val="105"/>
                <w:sz w:val="16"/>
              </w:rPr>
              <w:t>Reading</w:t>
            </w:r>
            <w:r>
              <w:rPr>
                <w:spacing w:val="-11"/>
                <w:w w:val="105"/>
                <w:sz w:val="16"/>
              </w:rPr>
              <w:t xml:space="preserve"> </w:t>
            </w:r>
            <w:r>
              <w:rPr>
                <w:spacing w:val="-2"/>
                <w:w w:val="105"/>
                <w:sz w:val="16"/>
              </w:rPr>
              <w:t>Assessments.</w:t>
            </w:r>
          </w:p>
        </w:tc>
      </w:tr>
    </w:tbl>
    <w:p w:rsidR="003F5784" w14:paraId="12A9E386" w14:textId="77777777">
      <w:pPr>
        <w:pStyle w:val="BodyText"/>
        <w:rPr>
          <w:sz w:val="18"/>
        </w:rPr>
      </w:pPr>
    </w:p>
    <w:p w:rsidR="003F5784" w14:paraId="1A8A5483" w14:textId="77777777">
      <w:pPr>
        <w:pStyle w:val="BodyText"/>
        <w:rPr>
          <w:sz w:val="18"/>
        </w:rPr>
      </w:pPr>
    </w:p>
    <w:p w:rsidR="003F5784" w14:paraId="47D8EE58" w14:textId="77777777">
      <w:pPr>
        <w:pStyle w:val="BodyText"/>
        <w:spacing w:before="112"/>
        <w:rPr>
          <w:sz w:val="18"/>
        </w:rPr>
      </w:pPr>
    </w:p>
    <w:p w:rsidR="003F5784" w14:paraId="683C8E1E" w14:textId="77777777">
      <w:pPr>
        <w:spacing w:before="1"/>
        <w:ind w:left="2258"/>
        <w:rPr>
          <w:sz w:val="18"/>
        </w:rPr>
      </w:pPr>
      <w:hyperlink r:id="rId84">
        <w:r>
          <w:rPr>
            <w:spacing w:val="-2"/>
            <w:w w:val="105"/>
            <w:sz w:val="18"/>
          </w:rPr>
          <w:t>http://nces.ed.gov/nationsreportcard/tdw/sample_design/2022/2022_fourth_and_eighth_grade_private_school_national_assessment_in_mathematics_and_reading.aspx</w:t>
        </w:r>
      </w:hyperlink>
    </w:p>
    <w:p w:rsidR="003F5784" w14:paraId="7625012B" w14:textId="77777777">
      <w:pPr>
        <w:pStyle w:val="BodyText"/>
        <w:rPr>
          <w:sz w:val="16"/>
        </w:rPr>
      </w:pPr>
      <w:r>
        <w:rPr>
          <w:noProof/>
        </w:rPr>
        <mc:AlternateContent>
          <mc:Choice Requires="wps">
            <w:drawing>
              <wp:anchor distT="0" distB="0" distL="0" distR="0" simplePos="0" relativeHeight="251790336" behindDoc="1" locked="0" layoutInCell="1" allowOverlap="1">
                <wp:simplePos x="0" y="0"/>
                <wp:positionH relativeFrom="page">
                  <wp:posOffset>361937</wp:posOffset>
                </wp:positionH>
                <wp:positionV relativeFrom="paragraph">
                  <wp:posOffset>132458</wp:posOffset>
                </wp:positionV>
                <wp:extent cx="9339580" cy="8890"/>
                <wp:effectExtent l="0" t="0" r="0" b="0"/>
                <wp:wrapTopAndBottom/>
                <wp:docPr id="103" name="Graphic 103"/>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80"/>
                              </a:lnTo>
                              <a:lnTo>
                                <a:pt x="8280" y="8280"/>
                              </a:lnTo>
                              <a:lnTo>
                                <a:pt x="9335110" y="8280"/>
                              </a:lnTo>
                              <a:lnTo>
                                <a:pt x="9338970" y="8280"/>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03" o:spid="_x0000_s1066" style="width:735.4pt;height:0.7pt;margin-top:10.45pt;margin-left:28.5pt;mso-position-horizontal-relative:page;mso-wrap-distance-bottom:0;mso-wrap-distance-left:0;mso-wrap-distance-right:0;mso-wrap-distance-top:0;mso-wrap-style:square;position:absolute;visibility:visible;v-text-anchor:top;z-index:-251525120" coordsize="9339580,8890" path="m9338970,12l9335110,12l8280,12,,,,8280l8280,8280l9335110,8280l9338970,8280l9338970,12xe" fillcolor="gray" stroked="f">
                <v:path arrowok="t"/>
                <w10:wrap type="topAndBottom"/>
              </v:shape>
            </w:pict>
          </mc:Fallback>
        </mc:AlternateContent>
      </w:r>
    </w:p>
    <w:p w:rsidR="003F5784" w14:paraId="04AABA86" w14:textId="77777777">
      <w:pPr>
        <w:pStyle w:val="BodyText"/>
        <w:rPr>
          <w:sz w:val="18"/>
        </w:rPr>
      </w:pPr>
    </w:p>
    <w:p w:rsidR="003F5784" w14:paraId="24C24960" w14:textId="77777777">
      <w:pPr>
        <w:pStyle w:val="BodyText"/>
        <w:spacing w:before="193"/>
        <w:rPr>
          <w:sz w:val="18"/>
        </w:rPr>
      </w:pPr>
    </w:p>
    <w:p w:rsidR="003F5784" w14:paraId="4C859F2C" w14:textId="45E81C15">
      <w:pPr>
        <w:pStyle w:val="Heading1"/>
        <w:spacing w:line="244" w:lineRule="auto"/>
        <w:ind w:right="671"/>
      </w:pPr>
      <w:r>
        <w:t>NAEP Technical Documentation</w:t>
      </w:r>
      <w:r w:rsidR="00886D27">
        <w:t xml:space="preserve"> </w:t>
      </w:r>
      <w:r>
        <w:t>Ineligible Schools for the 2022 Fourth- and Eighth-Grade</w:t>
      </w:r>
      <w:r>
        <w:rPr>
          <w:spacing w:val="26"/>
        </w:rPr>
        <w:t xml:space="preserve"> </w:t>
      </w:r>
      <w:r>
        <w:t>Private</w:t>
      </w:r>
      <w:r>
        <w:rPr>
          <w:spacing w:val="26"/>
        </w:rPr>
        <w:t xml:space="preserve"> </w:t>
      </w:r>
      <w:r>
        <w:t>School</w:t>
      </w:r>
      <w:r>
        <w:rPr>
          <w:spacing w:val="26"/>
        </w:rPr>
        <w:t xml:space="preserve"> </w:t>
      </w:r>
      <w:r>
        <w:t>National</w:t>
      </w:r>
      <w:r>
        <w:rPr>
          <w:spacing w:val="-3"/>
        </w:rPr>
        <w:t xml:space="preserve"> </w:t>
      </w:r>
      <w:r>
        <w:t>Assessment</w:t>
      </w:r>
      <w:r>
        <w:rPr>
          <w:spacing w:val="26"/>
        </w:rPr>
        <w:t xml:space="preserve"> </w:t>
      </w:r>
      <w:r>
        <w:t>in</w:t>
      </w:r>
      <w:r>
        <w:rPr>
          <w:spacing w:val="26"/>
        </w:rPr>
        <w:t xml:space="preserve"> </w:t>
      </w:r>
      <w:r>
        <w:t>Mathematics</w:t>
      </w:r>
      <w:r>
        <w:rPr>
          <w:spacing w:val="26"/>
        </w:rPr>
        <w:t xml:space="preserve"> </w:t>
      </w:r>
      <w:r>
        <w:t>and</w:t>
      </w:r>
      <w:r>
        <w:rPr>
          <w:spacing w:val="26"/>
        </w:rPr>
        <w:t xml:space="preserve"> </w:t>
      </w:r>
      <w:r>
        <w:t>Reading</w:t>
      </w:r>
    </w:p>
    <w:p w:rsidR="003F5784" w14:paraId="3D3836C6" w14:textId="77777777">
      <w:pPr>
        <w:pStyle w:val="BodyText"/>
        <w:spacing w:before="7"/>
        <w:rPr>
          <w:b/>
          <w:sz w:val="16"/>
        </w:rPr>
      </w:pPr>
    </w:p>
    <w:p w:rsidR="003F5784" w14:paraId="309A10F7" w14:textId="77777777">
      <w:pPr>
        <w:rPr>
          <w:sz w:val="16"/>
        </w:rPr>
        <w:sectPr>
          <w:type w:val="continuous"/>
          <w:pgSz w:w="15840" w:h="12240" w:orient="landscape"/>
          <w:pgMar w:top="480" w:right="440" w:bottom="460" w:left="460" w:header="284" w:footer="275" w:gutter="0"/>
          <w:cols w:space="720"/>
        </w:sectPr>
      </w:pPr>
    </w:p>
    <w:p w:rsidR="003F5784" w14:paraId="21898EB4" w14:textId="77777777">
      <w:pPr>
        <w:pStyle w:val="BodyText"/>
        <w:spacing w:before="96" w:line="232" w:lineRule="auto"/>
        <w:ind w:left="109" w:right="38"/>
      </w:pPr>
      <w:r>
        <w:t>The Private School Universe Survey (PSS)-based private school frames, from which most of the sampled schools were drawn, correspond</w:t>
      </w:r>
      <w:r>
        <w:rPr>
          <w:spacing w:val="-7"/>
        </w:rPr>
        <w:t xml:space="preserve"> </w:t>
      </w:r>
      <w:r>
        <w:t>to</w:t>
      </w:r>
      <w:r>
        <w:rPr>
          <w:spacing w:val="-7"/>
        </w:rPr>
        <w:t xml:space="preserve"> </w:t>
      </w:r>
      <w:r>
        <w:t>the</w:t>
      </w:r>
      <w:r>
        <w:rPr>
          <w:spacing w:val="-7"/>
        </w:rPr>
        <w:t xml:space="preserve"> </w:t>
      </w:r>
      <w:r>
        <w:t>2019–2020</w:t>
      </w:r>
      <w:r>
        <w:rPr>
          <w:spacing w:val="-7"/>
        </w:rPr>
        <w:t xml:space="preserve"> </w:t>
      </w:r>
      <w:r>
        <w:t>school</w:t>
      </w:r>
      <w:r>
        <w:rPr>
          <w:spacing w:val="-7"/>
        </w:rPr>
        <w:t xml:space="preserve"> </w:t>
      </w:r>
      <w:r>
        <w:t>year,</w:t>
      </w:r>
      <w:r>
        <w:rPr>
          <w:spacing w:val="-7"/>
        </w:rPr>
        <w:t xml:space="preserve"> </w:t>
      </w:r>
      <w:r>
        <w:t>two</w:t>
      </w:r>
      <w:r>
        <w:rPr>
          <w:spacing w:val="-7"/>
        </w:rPr>
        <w:t xml:space="preserve"> </w:t>
      </w:r>
      <w:r>
        <w:t>years</w:t>
      </w:r>
      <w:r>
        <w:rPr>
          <w:spacing w:val="-7"/>
        </w:rPr>
        <w:t xml:space="preserve"> </w:t>
      </w:r>
      <w:r>
        <w:t>prior</w:t>
      </w:r>
      <w:r>
        <w:rPr>
          <w:spacing w:val="-7"/>
        </w:rPr>
        <w:t xml:space="preserve"> </w:t>
      </w:r>
      <w:r>
        <w:t>to</w:t>
      </w:r>
      <w:r>
        <w:rPr>
          <w:spacing w:val="-7"/>
        </w:rPr>
        <w:t xml:space="preserve"> </w:t>
      </w:r>
      <w:r>
        <w:t>the</w:t>
      </w:r>
      <w:r>
        <w:rPr>
          <w:spacing w:val="-7"/>
        </w:rPr>
        <w:t xml:space="preserve"> </w:t>
      </w:r>
      <w:r>
        <w:t>assessment</w:t>
      </w:r>
      <w:r>
        <w:rPr>
          <w:spacing w:val="-7"/>
        </w:rPr>
        <w:t xml:space="preserve"> </w:t>
      </w:r>
      <w:r>
        <w:t>school</w:t>
      </w:r>
      <w:r>
        <w:rPr>
          <w:spacing w:val="-7"/>
        </w:rPr>
        <w:t xml:space="preserve"> </w:t>
      </w:r>
      <w:r>
        <w:t>year.</w:t>
      </w:r>
      <w:r>
        <w:rPr>
          <w:spacing w:val="-7"/>
        </w:rPr>
        <w:t xml:space="preserve"> </w:t>
      </w:r>
      <w:r>
        <w:t>During</w:t>
      </w:r>
      <w:r>
        <w:rPr>
          <w:spacing w:val="-7"/>
        </w:rPr>
        <w:t xml:space="preserve"> </w:t>
      </w:r>
      <w:r>
        <w:t>the</w:t>
      </w:r>
      <w:r>
        <w:rPr>
          <w:spacing w:val="-7"/>
        </w:rPr>
        <w:t xml:space="preserve"> </w:t>
      </w:r>
      <w:r>
        <w:t>intervening</w:t>
      </w:r>
      <w:r>
        <w:rPr>
          <w:spacing w:val="-7"/>
        </w:rPr>
        <w:t xml:space="preserve"> </w:t>
      </w:r>
      <w:r>
        <w:t>period,</w:t>
      </w:r>
      <w:r>
        <w:rPr>
          <w:spacing w:val="-7"/>
        </w:rPr>
        <w:t xml:space="preserve"> </w:t>
      </w:r>
      <w:r>
        <w:t>some</w:t>
      </w:r>
      <w:r>
        <w:rPr>
          <w:spacing w:val="-7"/>
        </w:rPr>
        <w:t xml:space="preserve"> </w:t>
      </w:r>
      <w:r>
        <w:t>of</w:t>
      </w:r>
      <w:r>
        <w:rPr>
          <w:spacing w:val="-7"/>
        </w:rPr>
        <w:t xml:space="preserve"> </w:t>
      </w:r>
      <w:r>
        <w:t>these schools either closed, no longer offered the grade of interest, or were ineligible for other reasons. In such cases, the sampled schools were coded as ineligible.</w:t>
      </w:r>
    </w:p>
    <w:p w:rsidR="003F5784" w14:paraId="353440FF" w14:textId="77777777">
      <w:pPr>
        <w:pStyle w:val="BodyText"/>
        <w:spacing w:before="96" w:line="232" w:lineRule="auto"/>
        <w:ind w:left="109" w:right="834"/>
      </w:pPr>
      <w:r>
        <w:br w:type="column"/>
        <w:t>Total</w:t>
      </w:r>
      <w:r>
        <w:rPr>
          <w:spacing w:val="-14"/>
        </w:rPr>
        <w:t xml:space="preserve"> </w:t>
      </w:r>
      <w:r>
        <w:t>and</w:t>
      </w:r>
      <w:r>
        <w:rPr>
          <w:spacing w:val="-13"/>
        </w:rPr>
        <w:t xml:space="preserve"> </w:t>
      </w:r>
      <w:r>
        <w:t>Eligible</w:t>
      </w:r>
      <w:r>
        <w:rPr>
          <w:spacing w:val="-13"/>
        </w:rPr>
        <w:t xml:space="preserve"> </w:t>
      </w:r>
      <w:r>
        <w:t xml:space="preserve">Schools </w:t>
      </w:r>
      <w:r>
        <w:rPr>
          <w:spacing w:val="-2"/>
        </w:rPr>
        <w:t>Sampled</w:t>
      </w:r>
    </w:p>
    <w:p w:rsidR="003F5784" w14:paraId="30AE338E" w14:textId="77777777">
      <w:pPr>
        <w:pStyle w:val="BodyText"/>
        <w:spacing w:before="209" w:line="232" w:lineRule="auto"/>
        <w:ind w:left="109" w:right="24"/>
      </w:pPr>
      <w:r>
        <w:t>Eligibility</w:t>
      </w:r>
      <w:r>
        <w:rPr>
          <w:spacing w:val="-14"/>
        </w:rPr>
        <w:t xml:space="preserve"> </w:t>
      </w:r>
      <w:r>
        <w:t>Status</w:t>
      </w:r>
      <w:r>
        <w:rPr>
          <w:spacing w:val="-13"/>
        </w:rPr>
        <w:t xml:space="preserve"> </w:t>
      </w:r>
      <w:r>
        <w:t>of</w:t>
      </w:r>
      <w:r>
        <w:rPr>
          <w:spacing w:val="-13"/>
        </w:rPr>
        <w:t xml:space="preserve"> </w:t>
      </w:r>
      <w:r>
        <w:t xml:space="preserve">Schools </w:t>
      </w:r>
      <w:r>
        <w:rPr>
          <w:spacing w:val="-2"/>
        </w:rPr>
        <w:t>Sampled</w:t>
      </w:r>
    </w:p>
    <w:p w:rsidR="003F5784" w14:paraId="25FC9BEA" w14:textId="77777777">
      <w:pPr>
        <w:spacing w:line="232" w:lineRule="auto"/>
        <w:sectPr>
          <w:type w:val="continuous"/>
          <w:pgSz w:w="15840" w:h="12240" w:orient="landscape"/>
          <w:pgMar w:top="480" w:right="440" w:bottom="460" w:left="460" w:header="284" w:footer="275" w:gutter="0"/>
          <w:cols w:num="2" w:space="720" w:equalWidth="0">
            <w:col w:w="11290" w:space="493"/>
            <w:col w:w="3157"/>
          </w:cols>
        </w:sectPr>
      </w:pPr>
    </w:p>
    <w:p w:rsidR="003F5784" w14:paraId="66F624DD" w14:textId="77777777">
      <w:pPr>
        <w:pStyle w:val="BodyText"/>
        <w:rPr>
          <w:sz w:val="18"/>
        </w:rPr>
      </w:pPr>
    </w:p>
    <w:p w:rsidR="003F5784" w14:paraId="0BF12FB8" w14:textId="77777777">
      <w:pPr>
        <w:pStyle w:val="BodyText"/>
        <w:rPr>
          <w:sz w:val="18"/>
        </w:rPr>
      </w:pPr>
    </w:p>
    <w:p w:rsidR="003F5784" w14:paraId="3EC05BDE" w14:textId="77777777">
      <w:pPr>
        <w:pStyle w:val="BodyText"/>
        <w:spacing w:before="40"/>
        <w:rPr>
          <w:sz w:val="18"/>
        </w:rPr>
      </w:pPr>
    </w:p>
    <w:p w:rsidR="003F5784" w14:paraId="74912C10" w14:textId="77777777">
      <w:pPr>
        <w:spacing w:before="1"/>
        <w:ind w:left="2467"/>
        <w:rPr>
          <w:sz w:val="18"/>
        </w:rPr>
      </w:pPr>
      <w:hyperlink r:id="rId85">
        <w:r>
          <w:rPr>
            <w:spacing w:val="-2"/>
            <w:w w:val="105"/>
            <w:sz w:val="18"/>
          </w:rPr>
          <w:t>http://nces.ed.gov/nationsreportcard/tdw/sample_design/2022/ineligible_schools_for_the_2022_fourth_and_eighth_grade_private_school_national_assessment.aspx</w:t>
        </w:r>
      </w:hyperlink>
    </w:p>
    <w:p w:rsidR="003F5784" w14:paraId="0054488B" w14:textId="77777777">
      <w:pPr>
        <w:pStyle w:val="BodyText"/>
        <w:spacing w:before="10"/>
        <w:rPr>
          <w:sz w:val="14"/>
        </w:rPr>
      </w:pPr>
      <w:r>
        <w:rPr>
          <w:noProof/>
        </w:rPr>
        <mc:AlternateContent>
          <mc:Choice Requires="wps">
            <w:drawing>
              <wp:anchor distT="0" distB="0" distL="0" distR="0" simplePos="0" relativeHeight="251792384" behindDoc="1" locked="0" layoutInCell="1" allowOverlap="1">
                <wp:simplePos x="0" y="0"/>
                <wp:positionH relativeFrom="page">
                  <wp:posOffset>361937</wp:posOffset>
                </wp:positionH>
                <wp:positionV relativeFrom="paragraph">
                  <wp:posOffset>124208</wp:posOffset>
                </wp:positionV>
                <wp:extent cx="9339580" cy="8890"/>
                <wp:effectExtent l="0" t="0" r="0" b="0"/>
                <wp:wrapTopAndBottom/>
                <wp:docPr id="104" name="Graphic 104"/>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04" o:spid="_x0000_s1067" style="width:735.4pt;height:0.7pt;margin-top:9.8pt;margin-left:28.5pt;mso-position-horizontal-relative:page;mso-wrap-distance-bottom:0;mso-wrap-distance-left:0;mso-wrap-distance-right:0;mso-wrap-distance-top:0;mso-wrap-style:square;position:absolute;visibility:visible;v-text-anchor:top;z-index:-251523072" coordsize="9339580,8890" path="m9338970,l9335110,l8280,,,,,8280l8280,8280l9335110,8280l9338970,8280l9338970,xe" fillcolor="gray" stroked="f">
                <v:path arrowok="t"/>
                <w10:wrap type="topAndBottom"/>
              </v:shape>
            </w:pict>
          </mc:Fallback>
        </mc:AlternateContent>
      </w:r>
    </w:p>
    <w:p w:rsidR="003F5784" w14:paraId="3C6FB12C" w14:textId="77777777">
      <w:pPr>
        <w:pStyle w:val="BodyText"/>
        <w:rPr>
          <w:sz w:val="18"/>
        </w:rPr>
      </w:pPr>
    </w:p>
    <w:p w:rsidR="003F5784" w14:paraId="23ECB310" w14:textId="77777777">
      <w:pPr>
        <w:pStyle w:val="BodyText"/>
        <w:spacing w:before="206"/>
        <w:rPr>
          <w:sz w:val="18"/>
        </w:rPr>
      </w:pPr>
    </w:p>
    <w:p w:rsidR="003F5784" w14:paraId="4A9E3904" w14:textId="30BC99F3">
      <w:pPr>
        <w:pStyle w:val="Heading1"/>
        <w:spacing w:line="244" w:lineRule="auto"/>
        <w:ind w:right="318"/>
      </w:pPr>
      <w:r>
        <w:t>NAEP</w:t>
      </w:r>
      <w:r>
        <w:rPr>
          <w:spacing w:val="-16"/>
        </w:rPr>
        <w:t xml:space="preserve"> </w:t>
      </w:r>
      <w:r>
        <w:t>Technical Documentation</w:t>
      </w:r>
      <w:r w:rsidR="00886D27">
        <w:t xml:space="preserve"> </w:t>
      </w:r>
      <w:r>
        <w:t>Eligibility Status of Schools Sampled for the 2022 Fourth- and Eighth-Grade Private School National Assessment in Mathematics and Reading</w:t>
      </w:r>
    </w:p>
    <w:p w:rsidR="003F5784" w14:paraId="32FE1DE1" w14:textId="77777777">
      <w:pPr>
        <w:pStyle w:val="BodyText"/>
        <w:spacing w:before="275" w:line="232" w:lineRule="auto"/>
        <w:ind w:left="109" w:right="179"/>
      </w:pPr>
      <w:r>
        <w:t>The</w:t>
      </w:r>
      <w:r>
        <w:rPr>
          <w:spacing w:val="-7"/>
        </w:rPr>
        <w:t xml:space="preserve"> </w:t>
      </w:r>
      <w:r>
        <w:t>following</w:t>
      </w:r>
      <w:r>
        <w:rPr>
          <w:spacing w:val="-7"/>
        </w:rPr>
        <w:t xml:space="preserve"> </w:t>
      </w:r>
      <w:r>
        <w:t>table</w:t>
      </w:r>
      <w:r>
        <w:rPr>
          <w:spacing w:val="-7"/>
        </w:rPr>
        <w:t xml:space="preserve"> </w:t>
      </w:r>
      <w:r>
        <w:t>shows</w:t>
      </w:r>
      <w:r>
        <w:rPr>
          <w:spacing w:val="-7"/>
        </w:rPr>
        <w:t xml:space="preserve"> </w:t>
      </w:r>
      <w:r>
        <w:t>the</w:t>
      </w:r>
      <w:r>
        <w:rPr>
          <w:spacing w:val="-7"/>
        </w:rPr>
        <w:t xml:space="preserve"> </w:t>
      </w:r>
      <w:r>
        <w:t>unweighted</w:t>
      </w:r>
      <w:r>
        <w:rPr>
          <w:spacing w:val="-7"/>
        </w:rPr>
        <w:t xml:space="preserve"> </w:t>
      </w:r>
      <w:r>
        <w:t>counts</w:t>
      </w:r>
      <w:r>
        <w:rPr>
          <w:spacing w:val="-7"/>
        </w:rPr>
        <w:t xml:space="preserve"> </w:t>
      </w:r>
      <w:r>
        <w:t>and</w:t>
      </w:r>
      <w:r>
        <w:rPr>
          <w:spacing w:val="-7"/>
        </w:rPr>
        <w:t xml:space="preserve"> </w:t>
      </w:r>
      <w:r>
        <w:t>percentages</w:t>
      </w:r>
      <w:r>
        <w:rPr>
          <w:spacing w:val="-7"/>
        </w:rPr>
        <w:t xml:space="preserve"> </w:t>
      </w:r>
      <w:r>
        <w:t>of</w:t>
      </w:r>
      <w:r>
        <w:rPr>
          <w:spacing w:val="-7"/>
        </w:rPr>
        <w:t xml:space="preserve"> </w:t>
      </w:r>
      <w:r>
        <w:t>sampled</w:t>
      </w:r>
      <w:r>
        <w:rPr>
          <w:spacing w:val="-7"/>
        </w:rPr>
        <w:t xml:space="preserve"> </w:t>
      </w:r>
      <w:r>
        <w:t>schools</w:t>
      </w:r>
      <w:r>
        <w:rPr>
          <w:spacing w:val="-7"/>
        </w:rPr>
        <w:t xml:space="preserve"> </w:t>
      </w:r>
      <w:r>
        <w:t>that</w:t>
      </w:r>
      <w:r>
        <w:rPr>
          <w:spacing w:val="-7"/>
        </w:rPr>
        <w:t xml:space="preserve"> </w:t>
      </w:r>
      <w:r>
        <w:t>were</w:t>
      </w:r>
      <w:r>
        <w:rPr>
          <w:spacing w:val="-7"/>
        </w:rPr>
        <w:t xml:space="preserve"> </w:t>
      </w:r>
      <w:r>
        <w:t>eligible</w:t>
      </w:r>
      <w:r>
        <w:rPr>
          <w:spacing w:val="-7"/>
        </w:rPr>
        <w:t xml:space="preserve"> </w:t>
      </w:r>
      <w:r>
        <w:t>and</w:t>
      </w:r>
      <w:r>
        <w:rPr>
          <w:spacing w:val="-7"/>
        </w:rPr>
        <w:t xml:space="preserve"> </w:t>
      </w:r>
      <w:r>
        <w:t>ineligible,</w:t>
      </w:r>
      <w:r>
        <w:rPr>
          <w:spacing w:val="-7"/>
        </w:rPr>
        <w:t xml:space="preserve"> </w:t>
      </w:r>
      <w:r>
        <w:t>by</w:t>
      </w:r>
      <w:r>
        <w:rPr>
          <w:spacing w:val="-7"/>
        </w:rPr>
        <w:t xml:space="preserve"> </w:t>
      </w:r>
      <w:r>
        <w:t>reason</w:t>
      </w:r>
      <w:r>
        <w:rPr>
          <w:spacing w:val="-7"/>
        </w:rPr>
        <w:t xml:space="preserve"> </w:t>
      </w:r>
      <w:r>
        <w:t>for</w:t>
      </w:r>
      <w:r>
        <w:rPr>
          <w:spacing w:val="-7"/>
        </w:rPr>
        <w:t xml:space="preserve"> </w:t>
      </w:r>
      <w:r>
        <w:t>ineligibility,</w:t>
      </w:r>
      <w:r>
        <w:rPr>
          <w:spacing w:val="-7"/>
        </w:rPr>
        <w:t xml:space="preserve"> </w:t>
      </w:r>
      <w:r>
        <w:t>for</w:t>
      </w:r>
      <w:r>
        <w:rPr>
          <w:spacing w:val="-7"/>
        </w:rPr>
        <w:t xml:space="preserve"> </w:t>
      </w:r>
      <w:r>
        <w:t>the</w:t>
      </w:r>
      <w:r>
        <w:rPr>
          <w:spacing w:val="-7"/>
        </w:rPr>
        <w:t xml:space="preserve"> </w:t>
      </w:r>
      <w:r>
        <w:t>fourth-</w:t>
      </w:r>
      <w:r>
        <w:rPr>
          <w:spacing w:val="-7"/>
        </w:rPr>
        <w:t xml:space="preserve"> </w:t>
      </w:r>
      <w:r>
        <w:t>and</w:t>
      </w:r>
      <w:r>
        <w:rPr>
          <w:spacing w:val="-7"/>
        </w:rPr>
        <w:t xml:space="preserve"> </w:t>
      </w:r>
      <w:r>
        <w:t>eighth- grade private school national mathematics and reading samples.</w:t>
      </w:r>
    </w:p>
    <w:p w:rsidR="003F5784" w14:paraId="59CD08E5" w14:textId="77777777">
      <w:pPr>
        <w:spacing w:line="232" w:lineRule="auto"/>
        <w:sectPr>
          <w:type w:val="continuous"/>
          <w:pgSz w:w="15840" w:h="12240" w:orient="landscape"/>
          <w:pgMar w:top="480" w:right="440" w:bottom="460" w:left="460" w:header="284" w:footer="275" w:gutter="0"/>
          <w:cols w:space="720"/>
        </w:sectPr>
      </w:pPr>
    </w:p>
    <w:p w:rsidR="003F5784" w14:paraId="29DB0FF6" w14:textId="77777777">
      <w:pPr>
        <w:pStyle w:val="Heading2"/>
        <w:spacing w:before="203"/>
      </w:pPr>
      <w:r>
        <w:t>Sampled</w:t>
      </w:r>
      <w:r>
        <w:rPr>
          <w:spacing w:val="-8"/>
        </w:rPr>
        <w:t xml:space="preserve"> </w:t>
      </w:r>
      <w:r>
        <w:t>private</w:t>
      </w:r>
      <w:r>
        <w:rPr>
          <w:spacing w:val="-7"/>
        </w:rPr>
        <w:t xml:space="preserve"> </w:t>
      </w:r>
      <w:r>
        <w:t>schools,</w:t>
      </w:r>
      <w:r>
        <w:rPr>
          <w:spacing w:val="-8"/>
        </w:rPr>
        <w:t xml:space="preserve"> </w:t>
      </w:r>
      <w:r>
        <w:t>national</w:t>
      </w:r>
      <w:r>
        <w:rPr>
          <w:spacing w:val="-7"/>
        </w:rPr>
        <w:t xml:space="preserve"> </w:t>
      </w:r>
      <w:r>
        <w:t>assessment,</w:t>
      </w:r>
      <w:r>
        <w:rPr>
          <w:spacing w:val="-7"/>
        </w:rPr>
        <w:t xml:space="preserve"> </w:t>
      </w:r>
      <w:r>
        <w:t>by</w:t>
      </w:r>
      <w:r>
        <w:rPr>
          <w:spacing w:val="-8"/>
        </w:rPr>
        <w:t xml:space="preserve"> </w:t>
      </w:r>
      <w:r>
        <w:t>grade</w:t>
      </w:r>
      <w:r>
        <w:rPr>
          <w:spacing w:val="-7"/>
        </w:rPr>
        <w:t xml:space="preserve"> </w:t>
      </w:r>
      <w:r>
        <w:t>and</w:t>
      </w:r>
      <w:r>
        <w:rPr>
          <w:spacing w:val="-8"/>
        </w:rPr>
        <w:t xml:space="preserve"> </w:t>
      </w:r>
      <w:r>
        <w:t>eligibility</w:t>
      </w:r>
      <w:r>
        <w:rPr>
          <w:spacing w:val="-7"/>
        </w:rPr>
        <w:t xml:space="preserve"> </w:t>
      </w:r>
      <w:r>
        <w:t>status:</w:t>
      </w:r>
      <w:r>
        <w:rPr>
          <w:spacing w:val="-7"/>
        </w:rPr>
        <w:t xml:space="preserve"> </w:t>
      </w:r>
      <w:r>
        <w:rPr>
          <w:spacing w:val="-4"/>
        </w:rPr>
        <w:t>2022</w:t>
      </w:r>
    </w:p>
    <w:p w:rsidR="003F5784" w14:paraId="540010E1"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6046"/>
        <w:gridCol w:w="5088"/>
        <w:gridCol w:w="2851"/>
      </w:tblGrid>
      <w:tr w14:paraId="5E35BC3F" w14:textId="77777777">
        <w:tblPrEx>
          <w:tblW w:w="0" w:type="auto"/>
          <w:tblInd w:w="482" w:type="dxa"/>
          <w:tblLayout w:type="fixed"/>
          <w:tblCellMar>
            <w:left w:w="0" w:type="dxa"/>
            <w:right w:w="0" w:type="dxa"/>
          </w:tblCellMar>
          <w:tblLook w:val="01E0"/>
        </w:tblPrEx>
        <w:trPr>
          <w:trHeight w:val="267"/>
        </w:trPr>
        <w:tc>
          <w:tcPr>
            <w:tcW w:w="6046" w:type="dxa"/>
            <w:tcBorders>
              <w:top w:val="single" w:sz="18" w:space="0" w:color="800000"/>
              <w:bottom w:val="single" w:sz="18" w:space="0" w:color="800000"/>
            </w:tcBorders>
          </w:tcPr>
          <w:p w:rsidR="003F5784" w14:paraId="219470A4" w14:textId="77777777">
            <w:pPr>
              <w:pStyle w:val="TableParagraph"/>
              <w:spacing w:before="9" w:line="238" w:lineRule="exact"/>
              <w:ind w:left="120"/>
              <w:jc w:val="left"/>
              <w:rPr>
                <w:sz w:val="21"/>
              </w:rPr>
            </w:pPr>
            <w:r>
              <w:rPr>
                <w:sz w:val="21"/>
              </w:rPr>
              <w:t>Grade</w:t>
            </w:r>
            <w:r>
              <w:rPr>
                <w:spacing w:val="-7"/>
                <w:sz w:val="21"/>
              </w:rPr>
              <w:t xml:space="preserve"> </w:t>
            </w:r>
            <w:r>
              <w:rPr>
                <w:sz w:val="21"/>
              </w:rPr>
              <w:t>and</w:t>
            </w:r>
            <w:r>
              <w:rPr>
                <w:spacing w:val="-6"/>
                <w:sz w:val="21"/>
              </w:rPr>
              <w:t xml:space="preserve"> </w:t>
            </w:r>
            <w:r>
              <w:rPr>
                <w:sz w:val="21"/>
              </w:rPr>
              <w:t>eligibility</w:t>
            </w:r>
            <w:r>
              <w:rPr>
                <w:spacing w:val="-7"/>
                <w:sz w:val="21"/>
              </w:rPr>
              <w:t xml:space="preserve"> </w:t>
            </w:r>
            <w:r>
              <w:rPr>
                <w:spacing w:val="-2"/>
                <w:sz w:val="21"/>
              </w:rPr>
              <w:t>status</w:t>
            </w:r>
          </w:p>
        </w:tc>
        <w:tc>
          <w:tcPr>
            <w:tcW w:w="5088" w:type="dxa"/>
            <w:tcBorders>
              <w:top w:val="single" w:sz="18" w:space="0" w:color="800000"/>
              <w:bottom w:val="single" w:sz="18" w:space="0" w:color="800000"/>
            </w:tcBorders>
          </w:tcPr>
          <w:p w:rsidR="003F5784" w14:paraId="56B20271" w14:textId="77777777">
            <w:pPr>
              <w:pStyle w:val="TableParagraph"/>
              <w:spacing w:before="9" w:line="238" w:lineRule="exact"/>
              <w:ind w:right="755"/>
              <w:rPr>
                <w:sz w:val="21"/>
              </w:rPr>
            </w:pPr>
            <w:r>
              <w:rPr>
                <w:sz w:val="21"/>
              </w:rPr>
              <w:t>Unweighted</w:t>
            </w:r>
            <w:r>
              <w:rPr>
                <w:spacing w:val="-7"/>
                <w:sz w:val="21"/>
              </w:rPr>
              <w:t xml:space="preserve"> </w:t>
            </w:r>
            <w:r>
              <w:rPr>
                <w:sz w:val="21"/>
              </w:rPr>
              <w:t>count</w:t>
            </w:r>
            <w:r>
              <w:rPr>
                <w:spacing w:val="-7"/>
                <w:sz w:val="21"/>
              </w:rPr>
              <w:t xml:space="preserve"> </w:t>
            </w:r>
            <w:r>
              <w:rPr>
                <w:sz w:val="21"/>
              </w:rPr>
              <w:t>of</w:t>
            </w:r>
            <w:r>
              <w:rPr>
                <w:spacing w:val="-6"/>
                <w:sz w:val="21"/>
              </w:rPr>
              <w:t xml:space="preserve"> </w:t>
            </w:r>
            <w:r>
              <w:rPr>
                <w:spacing w:val="-2"/>
                <w:sz w:val="21"/>
              </w:rPr>
              <w:t>schools</w:t>
            </w:r>
          </w:p>
        </w:tc>
        <w:tc>
          <w:tcPr>
            <w:tcW w:w="2851" w:type="dxa"/>
            <w:tcBorders>
              <w:top w:val="single" w:sz="18" w:space="0" w:color="800000"/>
              <w:bottom w:val="single" w:sz="18" w:space="0" w:color="800000"/>
            </w:tcBorders>
          </w:tcPr>
          <w:p w:rsidR="003F5784" w14:paraId="0614921B" w14:textId="77777777">
            <w:pPr>
              <w:pStyle w:val="TableParagraph"/>
              <w:spacing w:before="9" w:line="238" w:lineRule="exact"/>
              <w:ind w:right="118"/>
              <w:rPr>
                <w:sz w:val="21"/>
              </w:rPr>
            </w:pPr>
            <w:r>
              <w:rPr>
                <w:sz w:val="21"/>
              </w:rPr>
              <w:t>Unweighted</w:t>
            </w:r>
            <w:r>
              <w:rPr>
                <w:spacing w:val="-12"/>
                <w:sz w:val="21"/>
              </w:rPr>
              <w:t xml:space="preserve"> </w:t>
            </w:r>
            <w:r>
              <w:rPr>
                <w:spacing w:val="-2"/>
                <w:sz w:val="21"/>
              </w:rPr>
              <w:t>percentage</w:t>
            </w:r>
          </w:p>
        </w:tc>
      </w:tr>
      <w:tr w14:paraId="5287A017" w14:textId="77777777">
        <w:tblPrEx>
          <w:tblW w:w="0" w:type="auto"/>
          <w:tblInd w:w="482" w:type="dxa"/>
          <w:tblLayout w:type="fixed"/>
          <w:tblCellMar>
            <w:left w:w="0" w:type="dxa"/>
            <w:right w:w="0" w:type="dxa"/>
          </w:tblCellMar>
          <w:tblLook w:val="01E0"/>
        </w:tblPrEx>
        <w:trPr>
          <w:trHeight w:val="278"/>
        </w:trPr>
        <w:tc>
          <w:tcPr>
            <w:tcW w:w="6046" w:type="dxa"/>
            <w:tcBorders>
              <w:top w:val="single" w:sz="18" w:space="0" w:color="800000"/>
            </w:tcBorders>
          </w:tcPr>
          <w:p w:rsidR="003F5784" w14:paraId="4E839DB2" w14:textId="77777777">
            <w:pPr>
              <w:pStyle w:val="TableParagraph"/>
              <w:spacing w:before="9"/>
              <w:ind w:right="1891"/>
              <w:rPr>
                <w:b/>
                <w:sz w:val="21"/>
              </w:rPr>
            </w:pPr>
            <w:r>
              <w:rPr>
                <w:b/>
                <w:sz w:val="21"/>
              </w:rPr>
              <w:t>All</w:t>
            </w:r>
            <w:r>
              <w:rPr>
                <w:b/>
                <w:spacing w:val="-9"/>
                <w:sz w:val="21"/>
              </w:rPr>
              <w:t xml:space="preserve"> </w:t>
            </w:r>
            <w:r>
              <w:rPr>
                <w:b/>
                <w:sz w:val="21"/>
              </w:rPr>
              <w:t>fourth-grade</w:t>
            </w:r>
            <w:r>
              <w:rPr>
                <w:b/>
                <w:spacing w:val="-8"/>
                <w:sz w:val="21"/>
              </w:rPr>
              <w:t xml:space="preserve"> </w:t>
            </w:r>
            <w:r>
              <w:rPr>
                <w:b/>
                <w:sz w:val="21"/>
              </w:rPr>
              <w:t>sampled</w:t>
            </w:r>
            <w:r>
              <w:rPr>
                <w:b/>
                <w:spacing w:val="-8"/>
                <w:sz w:val="21"/>
              </w:rPr>
              <w:t xml:space="preserve"> </w:t>
            </w:r>
            <w:r>
              <w:rPr>
                <w:b/>
                <w:sz w:val="21"/>
              </w:rPr>
              <w:t>private</w:t>
            </w:r>
            <w:r>
              <w:rPr>
                <w:b/>
                <w:spacing w:val="-8"/>
                <w:sz w:val="21"/>
              </w:rPr>
              <w:t xml:space="preserve"> </w:t>
            </w:r>
            <w:r>
              <w:rPr>
                <w:b/>
                <w:spacing w:val="-2"/>
                <w:sz w:val="21"/>
              </w:rPr>
              <w:t>schools</w:t>
            </w:r>
          </w:p>
        </w:tc>
        <w:tc>
          <w:tcPr>
            <w:tcW w:w="5088" w:type="dxa"/>
            <w:tcBorders>
              <w:top w:val="single" w:sz="18" w:space="0" w:color="800000"/>
            </w:tcBorders>
          </w:tcPr>
          <w:p w:rsidR="003F5784" w14:paraId="2A458337" w14:textId="77777777">
            <w:pPr>
              <w:pStyle w:val="TableParagraph"/>
              <w:spacing w:before="9"/>
              <w:ind w:right="755"/>
              <w:rPr>
                <w:b/>
                <w:sz w:val="21"/>
              </w:rPr>
            </w:pPr>
            <w:r>
              <w:rPr>
                <w:b/>
                <w:spacing w:val="-5"/>
                <w:sz w:val="21"/>
              </w:rPr>
              <w:t>390</w:t>
            </w:r>
          </w:p>
        </w:tc>
        <w:tc>
          <w:tcPr>
            <w:tcW w:w="2851" w:type="dxa"/>
            <w:tcBorders>
              <w:top w:val="single" w:sz="18" w:space="0" w:color="800000"/>
            </w:tcBorders>
          </w:tcPr>
          <w:p w:rsidR="003F5784" w14:paraId="47C7AEBF" w14:textId="77777777">
            <w:pPr>
              <w:pStyle w:val="TableParagraph"/>
              <w:spacing w:before="9"/>
              <w:ind w:right="118"/>
              <w:rPr>
                <w:b/>
                <w:sz w:val="21"/>
              </w:rPr>
            </w:pPr>
            <w:r>
              <w:rPr>
                <w:b/>
                <w:spacing w:val="-2"/>
                <w:sz w:val="21"/>
              </w:rPr>
              <w:t>100.00</w:t>
            </w:r>
          </w:p>
        </w:tc>
      </w:tr>
      <w:tr w14:paraId="51F0C283" w14:textId="77777777">
        <w:tblPrEx>
          <w:tblW w:w="0" w:type="auto"/>
          <w:tblInd w:w="482" w:type="dxa"/>
          <w:tblLayout w:type="fixed"/>
          <w:tblCellMar>
            <w:left w:w="0" w:type="dxa"/>
            <w:right w:w="0" w:type="dxa"/>
          </w:tblCellMar>
          <w:tblLook w:val="01E0"/>
        </w:tblPrEx>
        <w:trPr>
          <w:trHeight w:val="286"/>
        </w:trPr>
        <w:tc>
          <w:tcPr>
            <w:tcW w:w="6046" w:type="dxa"/>
          </w:tcPr>
          <w:p w:rsidR="003F5784" w14:paraId="38156FDE" w14:textId="77777777">
            <w:pPr>
              <w:pStyle w:val="TableParagraph"/>
              <w:ind w:left="120"/>
              <w:jc w:val="left"/>
              <w:rPr>
                <w:sz w:val="21"/>
              </w:rPr>
            </w:pPr>
            <w:r>
              <w:rPr>
                <w:spacing w:val="-2"/>
                <w:sz w:val="21"/>
              </w:rPr>
              <w:t>Eligible</w:t>
            </w:r>
          </w:p>
        </w:tc>
        <w:tc>
          <w:tcPr>
            <w:tcW w:w="5088" w:type="dxa"/>
          </w:tcPr>
          <w:p w:rsidR="003F5784" w14:paraId="29716580" w14:textId="77777777">
            <w:pPr>
              <w:pStyle w:val="TableParagraph"/>
              <w:ind w:right="755"/>
              <w:rPr>
                <w:sz w:val="21"/>
              </w:rPr>
            </w:pPr>
            <w:r>
              <w:rPr>
                <w:spacing w:val="-5"/>
                <w:sz w:val="21"/>
              </w:rPr>
              <w:t>340</w:t>
            </w:r>
          </w:p>
        </w:tc>
        <w:tc>
          <w:tcPr>
            <w:tcW w:w="2851" w:type="dxa"/>
          </w:tcPr>
          <w:p w:rsidR="003F5784" w14:paraId="7E4FAEC5" w14:textId="77777777">
            <w:pPr>
              <w:pStyle w:val="TableParagraph"/>
              <w:ind w:right="118"/>
              <w:rPr>
                <w:sz w:val="21"/>
              </w:rPr>
            </w:pPr>
            <w:r>
              <w:rPr>
                <w:spacing w:val="-2"/>
                <w:sz w:val="21"/>
              </w:rPr>
              <w:t>86.29</w:t>
            </w:r>
          </w:p>
        </w:tc>
      </w:tr>
      <w:tr w14:paraId="0C61E4F2" w14:textId="77777777">
        <w:tblPrEx>
          <w:tblW w:w="0" w:type="auto"/>
          <w:tblInd w:w="482" w:type="dxa"/>
          <w:tblLayout w:type="fixed"/>
          <w:tblCellMar>
            <w:left w:w="0" w:type="dxa"/>
            <w:right w:w="0" w:type="dxa"/>
          </w:tblCellMar>
          <w:tblLook w:val="01E0"/>
        </w:tblPrEx>
        <w:trPr>
          <w:trHeight w:val="286"/>
        </w:trPr>
        <w:tc>
          <w:tcPr>
            <w:tcW w:w="6046" w:type="dxa"/>
          </w:tcPr>
          <w:p w:rsidR="003F5784" w14:paraId="1C62FAAD" w14:textId="77777777">
            <w:pPr>
              <w:pStyle w:val="TableParagraph"/>
              <w:ind w:left="120"/>
              <w:jc w:val="left"/>
              <w:rPr>
                <w:sz w:val="21"/>
              </w:rPr>
            </w:pPr>
            <w:r>
              <w:rPr>
                <w:spacing w:val="-2"/>
                <w:sz w:val="21"/>
              </w:rPr>
              <w:t>Ineligible</w:t>
            </w:r>
          </w:p>
        </w:tc>
        <w:tc>
          <w:tcPr>
            <w:tcW w:w="5088" w:type="dxa"/>
          </w:tcPr>
          <w:p w:rsidR="003F5784" w14:paraId="1C378595" w14:textId="77777777">
            <w:pPr>
              <w:pStyle w:val="TableParagraph"/>
              <w:ind w:right="755"/>
              <w:rPr>
                <w:sz w:val="21"/>
              </w:rPr>
            </w:pPr>
            <w:r>
              <w:rPr>
                <w:spacing w:val="-5"/>
                <w:sz w:val="21"/>
              </w:rPr>
              <w:t>54</w:t>
            </w:r>
          </w:p>
        </w:tc>
        <w:tc>
          <w:tcPr>
            <w:tcW w:w="2851" w:type="dxa"/>
          </w:tcPr>
          <w:p w:rsidR="003F5784" w14:paraId="190C6A97" w14:textId="77777777">
            <w:pPr>
              <w:pStyle w:val="TableParagraph"/>
              <w:ind w:right="118"/>
              <w:rPr>
                <w:sz w:val="21"/>
              </w:rPr>
            </w:pPr>
            <w:r>
              <w:rPr>
                <w:spacing w:val="-2"/>
                <w:sz w:val="21"/>
              </w:rPr>
              <w:t>13.71</w:t>
            </w:r>
          </w:p>
        </w:tc>
      </w:tr>
      <w:tr w14:paraId="13148A0D" w14:textId="77777777">
        <w:tblPrEx>
          <w:tblW w:w="0" w:type="auto"/>
          <w:tblInd w:w="482" w:type="dxa"/>
          <w:tblLayout w:type="fixed"/>
          <w:tblCellMar>
            <w:left w:w="0" w:type="dxa"/>
            <w:right w:w="0" w:type="dxa"/>
          </w:tblCellMar>
          <w:tblLook w:val="01E0"/>
        </w:tblPrEx>
        <w:trPr>
          <w:trHeight w:val="286"/>
        </w:trPr>
        <w:tc>
          <w:tcPr>
            <w:tcW w:w="6046" w:type="dxa"/>
          </w:tcPr>
          <w:p w:rsidR="003F5784" w14:paraId="2298D356" w14:textId="77777777">
            <w:pPr>
              <w:pStyle w:val="TableParagraph"/>
              <w:ind w:left="370"/>
              <w:jc w:val="left"/>
              <w:rPr>
                <w:sz w:val="21"/>
              </w:rPr>
            </w:pPr>
            <w:r>
              <w:rPr>
                <w:sz w:val="21"/>
              </w:rPr>
              <w:t>Has</w:t>
            </w:r>
            <w:r>
              <w:rPr>
                <w:spacing w:val="-6"/>
                <w:sz w:val="21"/>
              </w:rPr>
              <w:t xml:space="preserve"> </w:t>
            </w:r>
            <w:r>
              <w:rPr>
                <w:sz w:val="21"/>
              </w:rPr>
              <w:t>sampled</w:t>
            </w:r>
            <w:r>
              <w:rPr>
                <w:spacing w:val="-5"/>
                <w:sz w:val="21"/>
              </w:rPr>
              <w:t xml:space="preserve"> </w:t>
            </w:r>
            <w:r>
              <w:rPr>
                <w:sz w:val="21"/>
              </w:rPr>
              <w:t>grade,</w:t>
            </w:r>
            <w:r>
              <w:rPr>
                <w:spacing w:val="-6"/>
                <w:sz w:val="21"/>
              </w:rPr>
              <w:t xml:space="preserve"> </w:t>
            </w:r>
            <w:r>
              <w:rPr>
                <w:sz w:val="21"/>
              </w:rPr>
              <w:t>but</w:t>
            </w:r>
            <w:r>
              <w:rPr>
                <w:spacing w:val="-5"/>
                <w:sz w:val="21"/>
              </w:rPr>
              <w:t xml:space="preserve"> </w:t>
            </w:r>
            <w:r>
              <w:rPr>
                <w:sz w:val="21"/>
              </w:rPr>
              <w:t>no</w:t>
            </w:r>
            <w:r>
              <w:rPr>
                <w:spacing w:val="-6"/>
                <w:sz w:val="21"/>
              </w:rPr>
              <w:t xml:space="preserve"> </w:t>
            </w:r>
            <w:r>
              <w:rPr>
                <w:sz w:val="21"/>
              </w:rPr>
              <w:t>eligible</w:t>
            </w:r>
            <w:r>
              <w:rPr>
                <w:spacing w:val="-5"/>
                <w:sz w:val="21"/>
              </w:rPr>
              <w:t xml:space="preserve"> </w:t>
            </w:r>
            <w:r>
              <w:rPr>
                <w:spacing w:val="-2"/>
                <w:sz w:val="21"/>
              </w:rPr>
              <w:t>students</w:t>
            </w:r>
          </w:p>
        </w:tc>
        <w:tc>
          <w:tcPr>
            <w:tcW w:w="5088" w:type="dxa"/>
          </w:tcPr>
          <w:p w:rsidR="003F5784" w14:paraId="5BF03F4A" w14:textId="77777777">
            <w:pPr>
              <w:pStyle w:val="TableParagraph"/>
              <w:ind w:right="755"/>
              <w:rPr>
                <w:sz w:val="21"/>
              </w:rPr>
            </w:pPr>
            <w:r>
              <w:rPr>
                <w:spacing w:val="-10"/>
                <w:sz w:val="21"/>
              </w:rPr>
              <w:t>5</w:t>
            </w:r>
          </w:p>
        </w:tc>
        <w:tc>
          <w:tcPr>
            <w:tcW w:w="2851" w:type="dxa"/>
          </w:tcPr>
          <w:p w:rsidR="003F5784" w14:paraId="2AB8EACD" w14:textId="77777777">
            <w:pPr>
              <w:pStyle w:val="TableParagraph"/>
              <w:ind w:right="118"/>
              <w:rPr>
                <w:sz w:val="21"/>
              </w:rPr>
            </w:pPr>
            <w:r>
              <w:rPr>
                <w:spacing w:val="-4"/>
                <w:sz w:val="21"/>
              </w:rPr>
              <w:t>1.27</w:t>
            </w:r>
          </w:p>
        </w:tc>
      </w:tr>
      <w:tr w14:paraId="21BA5276" w14:textId="77777777">
        <w:tblPrEx>
          <w:tblW w:w="0" w:type="auto"/>
          <w:tblInd w:w="482" w:type="dxa"/>
          <w:tblLayout w:type="fixed"/>
          <w:tblCellMar>
            <w:left w:w="0" w:type="dxa"/>
            <w:right w:w="0" w:type="dxa"/>
          </w:tblCellMar>
          <w:tblLook w:val="01E0"/>
        </w:tblPrEx>
        <w:trPr>
          <w:trHeight w:val="286"/>
        </w:trPr>
        <w:tc>
          <w:tcPr>
            <w:tcW w:w="6046" w:type="dxa"/>
          </w:tcPr>
          <w:p w:rsidR="003F5784" w14:paraId="1600C474" w14:textId="77777777">
            <w:pPr>
              <w:pStyle w:val="TableParagraph"/>
              <w:ind w:left="370"/>
              <w:jc w:val="left"/>
              <w:rPr>
                <w:sz w:val="21"/>
              </w:rPr>
            </w:pPr>
            <w:r>
              <w:rPr>
                <w:sz w:val="21"/>
              </w:rPr>
              <w:t>Does</w:t>
            </w:r>
            <w:r>
              <w:rPr>
                <w:spacing w:val="-6"/>
                <w:sz w:val="21"/>
              </w:rPr>
              <w:t xml:space="preserve"> </w:t>
            </w:r>
            <w:r>
              <w:rPr>
                <w:sz w:val="21"/>
              </w:rPr>
              <w:t>not</w:t>
            </w:r>
            <w:r>
              <w:rPr>
                <w:spacing w:val="-5"/>
                <w:sz w:val="21"/>
              </w:rPr>
              <w:t xml:space="preserve"> </w:t>
            </w:r>
            <w:r>
              <w:rPr>
                <w:sz w:val="21"/>
              </w:rPr>
              <w:t>have</w:t>
            </w:r>
            <w:r>
              <w:rPr>
                <w:spacing w:val="-6"/>
                <w:sz w:val="21"/>
              </w:rPr>
              <w:t xml:space="preserve"> </w:t>
            </w:r>
            <w:r>
              <w:rPr>
                <w:sz w:val="21"/>
              </w:rPr>
              <w:t>sampled</w:t>
            </w:r>
            <w:r>
              <w:rPr>
                <w:spacing w:val="-5"/>
                <w:sz w:val="21"/>
              </w:rPr>
              <w:t xml:space="preserve"> </w:t>
            </w:r>
            <w:r>
              <w:rPr>
                <w:spacing w:val="-2"/>
                <w:sz w:val="21"/>
              </w:rPr>
              <w:t>grade</w:t>
            </w:r>
          </w:p>
        </w:tc>
        <w:tc>
          <w:tcPr>
            <w:tcW w:w="5088" w:type="dxa"/>
          </w:tcPr>
          <w:p w:rsidR="003F5784" w14:paraId="367D64AB" w14:textId="77777777">
            <w:pPr>
              <w:pStyle w:val="TableParagraph"/>
              <w:ind w:right="755"/>
              <w:rPr>
                <w:sz w:val="21"/>
              </w:rPr>
            </w:pPr>
            <w:r>
              <w:rPr>
                <w:spacing w:val="-10"/>
                <w:sz w:val="21"/>
              </w:rPr>
              <w:t>8</w:t>
            </w:r>
          </w:p>
        </w:tc>
        <w:tc>
          <w:tcPr>
            <w:tcW w:w="2851" w:type="dxa"/>
          </w:tcPr>
          <w:p w:rsidR="003F5784" w14:paraId="038BB563" w14:textId="77777777">
            <w:pPr>
              <w:pStyle w:val="TableParagraph"/>
              <w:ind w:right="118"/>
              <w:rPr>
                <w:sz w:val="21"/>
              </w:rPr>
            </w:pPr>
            <w:r>
              <w:rPr>
                <w:spacing w:val="-4"/>
                <w:sz w:val="21"/>
              </w:rPr>
              <w:t>2.03</w:t>
            </w:r>
          </w:p>
        </w:tc>
      </w:tr>
      <w:tr w14:paraId="01389070" w14:textId="77777777">
        <w:tblPrEx>
          <w:tblW w:w="0" w:type="auto"/>
          <w:tblInd w:w="482" w:type="dxa"/>
          <w:tblLayout w:type="fixed"/>
          <w:tblCellMar>
            <w:left w:w="0" w:type="dxa"/>
            <w:right w:w="0" w:type="dxa"/>
          </w:tblCellMar>
          <w:tblLook w:val="01E0"/>
        </w:tblPrEx>
        <w:trPr>
          <w:trHeight w:val="286"/>
        </w:trPr>
        <w:tc>
          <w:tcPr>
            <w:tcW w:w="6046" w:type="dxa"/>
          </w:tcPr>
          <w:p w:rsidR="003F5784" w14:paraId="03FA34E4" w14:textId="77777777">
            <w:pPr>
              <w:pStyle w:val="TableParagraph"/>
              <w:ind w:left="370"/>
              <w:jc w:val="left"/>
              <w:rPr>
                <w:sz w:val="21"/>
              </w:rPr>
            </w:pPr>
            <w:r>
              <w:rPr>
                <w:spacing w:val="-2"/>
                <w:sz w:val="21"/>
              </w:rPr>
              <w:t>Closed</w:t>
            </w:r>
          </w:p>
        </w:tc>
        <w:tc>
          <w:tcPr>
            <w:tcW w:w="5088" w:type="dxa"/>
          </w:tcPr>
          <w:p w:rsidR="003F5784" w14:paraId="30CBAEE6" w14:textId="77777777">
            <w:pPr>
              <w:pStyle w:val="TableParagraph"/>
              <w:ind w:right="755"/>
              <w:rPr>
                <w:sz w:val="21"/>
              </w:rPr>
            </w:pPr>
            <w:r>
              <w:rPr>
                <w:spacing w:val="-5"/>
                <w:sz w:val="21"/>
              </w:rPr>
              <w:t>19</w:t>
            </w:r>
          </w:p>
        </w:tc>
        <w:tc>
          <w:tcPr>
            <w:tcW w:w="2851" w:type="dxa"/>
          </w:tcPr>
          <w:p w:rsidR="003F5784" w14:paraId="11017D82" w14:textId="77777777">
            <w:pPr>
              <w:pStyle w:val="TableParagraph"/>
              <w:ind w:right="118"/>
              <w:rPr>
                <w:sz w:val="21"/>
              </w:rPr>
            </w:pPr>
            <w:r>
              <w:rPr>
                <w:spacing w:val="-4"/>
                <w:sz w:val="21"/>
              </w:rPr>
              <w:t>4.82</w:t>
            </w:r>
          </w:p>
        </w:tc>
      </w:tr>
      <w:tr w14:paraId="13DAA605" w14:textId="77777777">
        <w:tblPrEx>
          <w:tblW w:w="0" w:type="auto"/>
          <w:tblInd w:w="482" w:type="dxa"/>
          <w:tblLayout w:type="fixed"/>
          <w:tblCellMar>
            <w:left w:w="0" w:type="dxa"/>
            <w:right w:w="0" w:type="dxa"/>
          </w:tblCellMar>
          <w:tblLook w:val="01E0"/>
        </w:tblPrEx>
        <w:trPr>
          <w:trHeight w:val="286"/>
        </w:trPr>
        <w:tc>
          <w:tcPr>
            <w:tcW w:w="6046" w:type="dxa"/>
          </w:tcPr>
          <w:p w:rsidR="003F5784" w14:paraId="7209D29B" w14:textId="77777777">
            <w:pPr>
              <w:pStyle w:val="TableParagraph"/>
              <w:ind w:left="370"/>
              <w:jc w:val="left"/>
              <w:rPr>
                <w:sz w:val="21"/>
              </w:rPr>
            </w:pPr>
            <w:r>
              <w:rPr>
                <w:sz w:val="21"/>
              </w:rPr>
              <w:t>Not</w:t>
            </w:r>
            <w:r>
              <w:rPr>
                <w:spacing w:val="-5"/>
                <w:sz w:val="21"/>
              </w:rPr>
              <w:t xml:space="preserve"> </w:t>
            </w:r>
            <w:r>
              <w:rPr>
                <w:sz w:val="21"/>
              </w:rPr>
              <w:t>a</w:t>
            </w:r>
            <w:r>
              <w:rPr>
                <w:spacing w:val="-4"/>
                <w:sz w:val="21"/>
              </w:rPr>
              <w:t xml:space="preserve"> </w:t>
            </w:r>
            <w:r>
              <w:rPr>
                <w:sz w:val="21"/>
              </w:rPr>
              <w:t>regular</w:t>
            </w:r>
            <w:r>
              <w:rPr>
                <w:spacing w:val="-5"/>
                <w:sz w:val="21"/>
              </w:rPr>
              <w:t xml:space="preserve"> </w:t>
            </w:r>
            <w:r>
              <w:rPr>
                <w:spacing w:val="-2"/>
                <w:sz w:val="21"/>
              </w:rPr>
              <w:t>school</w:t>
            </w:r>
          </w:p>
        </w:tc>
        <w:tc>
          <w:tcPr>
            <w:tcW w:w="5088" w:type="dxa"/>
          </w:tcPr>
          <w:p w:rsidR="003F5784" w14:paraId="7DE16DCE" w14:textId="77777777">
            <w:pPr>
              <w:pStyle w:val="TableParagraph"/>
              <w:ind w:right="755"/>
              <w:rPr>
                <w:sz w:val="21"/>
              </w:rPr>
            </w:pPr>
            <w:r>
              <w:rPr>
                <w:spacing w:val="-5"/>
                <w:sz w:val="21"/>
              </w:rPr>
              <w:t>19</w:t>
            </w:r>
          </w:p>
        </w:tc>
        <w:tc>
          <w:tcPr>
            <w:tcW w:w="2851" w:type="dxa"/>
          </w:tcPr>
          <w:p w:rsidR="003F5784" w14:paraId="4C3E79FC" w14:textId="77777777">
            <w:pPr>
              <w:pStyle w:val="TableParagraph"/>
              <w:ind w:right="118"/>
              <w:rPr>
                <w:sz w:val="21"/>
              </w:rPr>
            </w:pPr>
            <w:r>
              <w:rPr>
                <w:spacing w:val="-4"/>
                <w:sz w:val="21"/>
              </w:rPr>
              <w:t>4.82</w:t>
            </w:r>
          </w:p>
        </w:tc>
      </w:tr>
      <w:tr w14:paraId="55281133" w14:textId="77777777">
        <w:tblPrEx>
          <w:tblW w:w="0" w:type="auto"/>
          <w:tblInd w:w="482" w:type="dxa"/>
          <w:tblLayout w:type="fixed"/>
          <w:tblCellMar>
            <w:left w:w="0" w:type="dxa"/>
            <w:right w:w="0" w:type="dxa"/>
          </w:tblCellMar>
          <w:tblLook w:val="01E0"/>
        </w:tblPrEx>
        <w:trPr>
          <w:trHeight w:val="286"/>
        </w:trPr>
        <w:tc>
          <w:tcPr>
            <w:tcW w:w="6046" w:type="dxa"/>
          </w:tcPr>
          <w:p w:rsidR="003F5784" w14:paraId="461FCFC1" w14:textId="77777777">
            <w:pPr>
              <w:pStyle w:val="TableParagraph"/>
              <w:ind w:left="370"/>
              <w:jc w:val="left"/>
              <w:rPr>
                <w:sz w:val="21"/>
              </w:rPr>
            </w:pPr>
            <w:r>
              <w:rPr>
                <w:sz w:val="21"/>
              </w:rPr>
              <w:t>Duplicate</w:t>
            </w:r>
            <w:r>
              <w:rPr>
                <w:spacing w:val="-7"/>
                <w:sz w:val="21"/>
              </w:rPr>
              <w:t xml:space="preserve"> </w:t>
            </w:r>
            <w:r>
              <w:rPr>
                <w:sz w:val="21"/>
              </w:rPr>
              <w:t>on</w:t>
            </w:r>
            <w:r>
              <w:rPr>
                <w:spacing w:val="-7"/>
                <w:sz w:val="21"/>
              </w:rPr>
              <w:t xml:space="preserve"> </w:t>
            </w:r>
            <w:r>
              <w:rPr>
                <w:sz w:val="21"/>
              </w:rPr>
              <w:t>sampling</w:t>
            </w:r>
            <w:r>
              <w:rPr>
                <w:spacing w:val="-7"/>
                <w:sz w:val="21"/>
              </w:rPr>
              <w:t xml:space="preserve"> </w:t>
            </w:r>
            <w:r>
              <w:rPr>
                <w:spacing w:val="-4"/>
                <w:sz w:val="21"/>
              </w:rPr>
              <w:t>frame</w:t>
            </w:r>
          </w:p>
        </w:tc>
        <w:tc>
          <w:tcPr>
            <w:tcW w:w="5088" w:type="dxa"/>
          </w:tcPr>
          <w:p w:rsidR="003F5784" w14:paraId="4D71F2F5" w14:textId="77777777">
            <w:pPr>
              <w:pStyle w:val="TableParagraph"/>
              <w:ind w:right="755"/>
              <w:rPr>
                <w:sz w:val="21"/>
              </w:rPr>
            </w:pPr>
            <w:r>
              <w:rPr>
                <w:spacing w:val="-10"/>
                <w:sz w:val="21"/>
              </w:rPr>
              <w:t>2</w:t>
            </w:r>
          </w:p>
        </w:tc>
        <w:tc>
          <w:tcPr>
            <w:tcW w:w="2851" w:type="dxa"/>
          </w:tcPr>
          <w:p w:rsidR="003F5784" w14:paraId="278284A9" w14:textId="77777777">
            <w:pPr>
              <w:pStyle w:val="TableParagraph"/>
              <w:ind w:right="118"/>
              <w:rPr>
                <w:sz w:val="21"/>
              </w:rPr>
            </w:pPr>
            <w:r>
              <w:rPr>
                <w:spacing w:val="-4"/>
                <w:sz w:val="21"/>
              </w:rPr>
              <w:t>0.51</w:t>
            </w:r>
          </w:p>
        </w:tc>
      </w:tr>
      <w:tr w14:paraId="26856B97" w14:textId="77777777">
        <w:tblPrEx>
          <w:tblW w:w="0" w:type="auto"/>
          <w:tblInd w:w="482" w:type="dxa"/>
          <w:tblLayout w:type="fixed"/>
          <w:tblCellMar>
            <w:left w:w="0" w:type="dxa"/>
            <w:right w:w="0" w:type="dxa"/>
          </w:tblCellMar>
          <w:tblLook w:val="01E0"/>
        </w:tblPrEx>
        <w:trPr>
          <w:trHeight w:val="289"/>
        </w:trPr>
        <w:tc>
          <w:tcPr>
            <w:tcW w:w="6046" w:type="dxa"/>
            <w:tcBorders>
              <w:bottom w:val="single" w:sz="12" w:space="0" w:color="800000"/>
            </w:tcBorders>
          </w:tcPr>
          <w:p w:rsidR="003F5784" w14:paraId="7D28A824" w14:textId="77777777">
            <w:pPr>
              <w:pStyle w:val="TableParagraph"/>
              <w:ind w:left="370"/>
              <w:jc w:val="left"/>
              <w:rPr>
                <w:sz w:val="21"/>
              </w:rPr>
            </w:pPr>
            <w:r>
              <w:rPr>
                <w:sz w:val="21"/>
              </w:rPr>
              <w:t>Other</w:t>
            </w:r>
            <w:r>
              <w:rPr>
                <w:spacing w:val="-8"/>
                <w:sz w:val="21"/>
              </w:rPr>
              <w:t xml:space="preserve"> </w:t>
            </w:r>
            <w:r>
              <w:rPr>
                <w:sz w:val="21"/>
              </w:rPr>
              <w:t>ineligible</w:t>
            </w:r>
            <w:r>
              <w:rPr>
                <w:spacing w:val="-7"/>
                <w:sz w:val="21"/>
              </w:rPr>
              <w:t xml:space="preserve"> </w:t>
            </w:r>
            <w:r>
              <w:rPr>
                <w:spacing w:val="-2"/>
                <w:sz w:val="21"/>
              </w:rPr>
              <w:t>school</w:t>
            </w:r>
          </w:p>
        </w:tc>
        <w:tc>
          <w:tcPr>
            <w:tcW w:w="5088" w:type="dxa"/>
            <w:tcBorders>
              <w:bottom w:val="single" w:sz="12" w:space="0" w:color="800000"/>
            </w:tcBorders>
          </w:tcPr>
          <w:p w:rsidR="003F5784" w14:paraId="1BC76C62" w14:textId="77777777">
            <w:pPr>
              <w:pStyle w:val="TableParagraph"/>
              <w:ind w:right="755"/>
              <w:rPr>
                <w:sz w:val="21"/>
              </w:rPr>
            </w:pPr>
            <w:r>
              <w:rPr>
                <w:spacing w:val="-10"/>
                <w:sz w:val="21"/>
              </w:rPr>
              <w:t>1</w:t>
            </w:r>
          </w:p>
        </w:tc>
        <w:tc>
          <w:tcPr>
            <w:tcW w:w="2851" w:type="dxa"/>
            <w:tcBorders>
              <w:bottom w:val="single" w:sz="12" w:space="0" w:color="800000"/>
            </w:tcBorders>
          </w:tcPr>
          <w:p w:rsidR="003F5784" w14:paraId="4C95B674" w14:textId="77777777">
            <w:pPr>
              <w:pStyle w:val="TableParagraph"/>
              <w:ind w:right="118"/>
              <w:rPr>
                <w:sz w:val="21"/>
              </w:rPr>
            </w:pPr>
            <w:r>
              <w:rPr>
                <w:spacing w:val="-4"/>
                <w:sz w:val="21"/>
              </w:rPr>
              <w:t>0.25</w:t>
            </w:r>
          </w:p>
        </w:tc>
      </w:tr>
      <w:tr w14:paraId="14EC7555" w14:textId="77777777">
        <w:tblPrEx>
          <w:tblW w:w="0" w:type="auto"/>
          <w:tblInd w:w="482" w:type="dxa"/>
          <w:tblLayout w:type="fixed"/>
          <w:tblCellMar>
            <w:left w:w="0" w:type="dxa"/>
            <w:right w:w="0" w:type="dxa"/>
          </w:tblCellMar>
          <w:tblLook w:val="01E0"/>
        </w:tblPrEx>
        <w:trPr>
          <w:trHeight w:val="266"/>
        </w:trPr>
        <w:tc>
          <w:tcPr>
            <w:tcW w:w="6046" w:type="dxa"/>
            <w:tcBorders>
              <w:top w:val="single" w:sz="12" w:space="0" w:color="800000"/>
            </w:tcBorders>
          </w:tcPr>
          <w:p w:rsidR="003F5784" w14:paraId="677D4576" w14:textId="77777777">
            <w:pPr>
              <w:pStyle w:val="TableParagraph"/>
              <w:spacing w:before="0" w:line="239" w:lineRule="exact"/>
              <w:ind w:right="1902"/>
              <w:rPr>
                <w:b/>
                <w:sz w:val="21"/>
              </w:rPr>
            </w:pPr>
            <w:r>
              <w:rPr>
                <w:b/>
                <w:sz w:val="21"/>
              </w:rPr>
              <w:t>All</w:t>
            </w:r>
            <w:r>
              <w:rPr>
                <w:b/>
                <w:spacing w:val="-8"/>
                <w:sz w:val="21"/>
              </w:rPr>
              <w:t xml:space="preserve"> </w:t>
            </w:r>
            <w:r>
              <w:rPr>
                <w:b/>
                <w:sz w:val="21"/>
              </w:rPr>
              <w:t>eighth-grade</w:t>
            </w:r>
            <w:r>
              <w:rPr>
                <w:b/>
                <w:spacing w:val="-8"/>
                <w:sz w:val="21"/>
              </w:rPr>
              <w:t xml:space="preserve"> </w:t>
            </w:r>
            <w:r>
              <w:rPr>
                <w:b/>
                <w:sz w:val="21"/>
              </w:rPr>
              <w:t>sampled</w:t>
            </w:r>
            <w:r>
              <w:rPr>
                <w:b/>
                <w:spacing w:val="-8"/>
                <w:sz w:val="21"/>
              </w:rPr>
              <w:t xml:space="preserve"> </w:t>
            </w:r>
            <w:r>
              <w:rPr>
                <w:b/>
                <w:sz w:val="21"/>
              </w:rPr>
              <w:t>private</w:t>
            </w:r>
            <w:r>
              <w:rPr>
                <w:b/>
                <w:spacing w:val="-8"/>
                <w:sz w:val="21"/>
              </w:rPr>
              <w:t xml:space="preserve"> </w:t>
            </w:r>
            <w:r>
              <w:rPr>
                <w:b/>
                <w:spacing w:val="-2"/>
                <w:sz w:val="21"/>
              </w:rPr>
              <w:t>schools</w:t>
            </w:r>
          </w:p>
        </w:tc>
        <w:tc>
          <w:tcPr>
            <w:tcW w:w="5088" w:type="dxa"/>
            <w:tcBorders>
              <w:top w:val="single" w:sz="12" w:space="0" w:color="800000"/>
            </w:tcBorders>
          </w:tcPr>
          <w:p w:rsidR="003F5784" w14:paraId="4BDEB641" w14:textId="77777777">
            <w:pPr>
              <w:pStyle w:val="TableParagraph"/>
              <w:spacing w:before="0" w:line="239" w:lineRule="exact"/>
              <w:ind w:right="755"/>
              <w:rPr>
                <w:b/>
                <w:sz w:val="21"/>
              </w:rPr>
            </w:pPr>
            <w:r>
              <w:rPr>
                <w:b/>
                <w:spacing w:val="-5"/>
                <w:sz w:val="21"/>
              </w:rPr>
              <w:t>380</w:t>
            </w:r>
          </w:p>
        </w:tc>
        <w:tc>
          <w:tcPr>
            <w:tcW w:w="2851" w:type="dxa"/>
            <w:tcBorders>
              <w:top w:val="single" w:sz="12" w:space="0" w:color="800000"/>
            </w:tcBorders>
          </w:tcPr>
          <w:p w:rsidR="003F5784" w14:paraId="3A02B527" w14:textId="77777777">
            <w:pPr>
              <w:pStyle w:val="TableParagraph"/>
              <w:spacing w:before="0" w:line="239" w:lineRule="exact"/>
              <w:ind w:right="118"/>
              <w:rPr>
                <w:b/>
                <w:sz w:val="21"/>
              </w:rPr>
            </w:pPr>
            <w:r>
              <w:rPr>
                <w:b/>
                <w:spacing w:val="-2"/>
                <w:sz w:val="21"/>
              </w:rPr>
              <w:t>100.00</w:t>
            </w:r>
          </w:p>
        </w:tc>
      </w:tr>
      <w:tr w14:paraId="365E15C5" w14:textId="77777777">
        <w:tblPrEx>
          <w:tblW w:w="0" w:type="auto"/>
          <w:tblInd w:w="482" w:type="dxa"/>
          <w:tblLayout w:type="fixed"/>
          <w:tblCellMar>
            <w:left w:w="0" w:type="dxa"/>
            <w:right w:w="0" w:type="dxa"/>
          </w:tblCellMar>
          <w:tblLook w:val="01E0"/>
        </w:tblPrEx>
        <w:trPr>
          <w:trHeight w:val="286"/>
        </w:trPr>
        <w:tc>
          <w:tcPr>
            <w:tcW w:w="6046" w:type="dxa"/>
          </w:tcPr>
          <w:p w:rsidR="003F5784" w14:paraId="4E5E0164" w14:textId="77777777">
            <w:pPr>
              <w:pStyle w:val="TableParagraph"/>
              <w:ind w:left="120"/>
              <w:jc w:val="left"/>
              <w:rPr>
                <w:sz w:val="21"/>
              </w:rPr>
            </w:pPr>
            <w:r>
              <w:rPr>
                <w:spacing w:val="-2"/>
                <w:sz w:val="21"/>
              </w:rPr>
              <w:t>Eligible</w:t>
            </w:r>
          </w:p>
        </w:tc>
        <w:tc>
          <w:tcPr>
            <w:tcW w:w="5088" w:type="dxa"/>
          </w:tcPr>
          <w:p w:rsidR="003F5784" w14:paraId="0768260F" w14:textId="77777777">
            <w:pPr>
              <w:pStyle w:val="TableParagraph"/>
              <w:ind w:right="755"/>
              <w:rPr>
                <w:sz w:val="21"/>
              </w:rPr>
            </w:pPr>
            <w:r>
              <w:rPr>
                <w:spacing w:val="-5"/>
                <w:sz w:val="21"/>
              </w:rPr>
              <w:t>330</w:t>
            </w:r>
          </w:p>
        </w:tc>
        <w:tc>
          <w:tcPr>
            <w:tcW w:w="2851" w:type="dxa"/>
          </w:tcPr>
          <w:p w:rsidR="003F5784" w14:paraId="4188C0ED" w14:textId="77777777">
            <w:pPr>
              <w:pStyle w:val="TableParagraph"/>
              <w:ind w:right="118"/>
              <w:rPr>
                <w:sz w:val="21"/>
              </w:rPr>
            </w:pPr>
            <w:r>
              <w:rPr>
                <w:spacing w:val="-2"/>
                <w:sz w:val="21"/>
              </w:rPr>
              <w:t>86.95</w:t>
            </w:r>
          </w:p>
        </w:tc>
      </w:tr>
      <w:tr w14:paraId="44BA9C6A" w14:textId="77777777">
        <w:tblPrEx>
          <w:tblW w:w="0" w:type="auto"/>
          <w:tblInd w:w="482" w:type="dxa"/>
          <w:tblLayout w:type="fixed"/>
          <w:tblCellMar>
            <w:left w:w="0" w:type="dxa"/>
            <w:right w:w="0" w:type="dxa"/>
          </w:tblCellMar>
          <w:tblLook w:val="01E0"/>
        </w:tblPrEx>
        <w:trPr>
          <w:trHeight w:val="286"/>
        </w:trPr>
        <w:tc>
          <w:tcPr>
            <w:tcW w:w="6046" w:type="dxa"/>
          </w:tcPr>
          <w:p w:rsidR="003F5784" w14:paraId="5275FFF4" w14:textId="77777777">
            <w:pPr>
              <w:pStyle w:val="TableParagraph"/>
              <w:ind w:left="120"/>
              <w:jc w:val="left"/>
              <w:rPr>
                <w:sz w:val="21"/>
              </w:rPr>
            </w:pPr>
            <w:r>
              <w:rPr>
                <w:spacing w:val="-2"/>
                <w:sz w:val="21"/>
              </w:rPr>
              <w:t>Ineligible</w:t>
            </w:r>
          </w:p>
        </w:tc>
        <w:tc>
          <w:tcPr>
            <w:tcW w:w="5088" w:type="dxa"/>
          </w:tcPr>
          <w:p w:rsidR="003F5784" w14:paraId="13E9283B" w14:textId="77777777">
            <w:pPr>
              <w:pStyle w:val="TableParagraph"/>
              <w:ind w:right="755"/>
              <w:rPr>
                <w:sz w:val="21"/>
              </w:rPr>
            </w:pPr>
            <w:r>
              <w:rPr>
                <w:spacing w:val="-5"/>
                <w:sz w:val="21"/>
              </w:rPr>
              <w:t>50</w:t>
            </w:r>
          </w:p>
        </w:tc>
        <w:tc>
          <w:tcPr>
            <w:tcW w:w="2851" w:type="dxa"/>
          </w:tcPr>
          <w:p w:rsidR="003F5784" w14:paraId="72B92B2F" w14:textId="77777777">
            <w:pPr>
              <w:pStyle w:val="TableParagraph"/>
              <w:ind w:right="118"/>
              <w:rPr>
                <w:sz w:val="21"/>
              </w:rPr>
            </w:pPr>
            <w:r>
              <w:rPr>
                <w:spacing w:val="-2"/>
                <w:sz w:val="21"/>
              </w:rPr>
              <w:t>13.05</w:t>
            </w:r>
          </w:p>
        </w:tc>
      </w:tr>
      <w:tr w14:paraId="27F8E0CE" w14:textId="77777777">
        <w:tblPrEx>
          <w:tblW w:w="0" w:type="auto"/>
          <w:tblInd w:w="482" w:type="dxa"/>
          <w:tblLayout w:type="fixed"/>
          <w:tblCellMar>
            <w:left w:w="0" w:type="dxa"/>
            <w:right w:w="0" w:type="dxa"/>
          </w:tblCellMar>
          <w:tblLook w:val="01E0"/>
        </w:tblPrEx>
        <w:trPr>
          <w:trHeight w:val="286"/>
        </w:trPr>
        <w:tc>
          <w:tcPr>
            <w:tcW w:w="6046" w:type="dxa"/>
          </w:tcPr>
          <w:p w:rsidR="003F5784" w14:paraId="460F6F8A" w14:textId="77777777">
            <w:pPr>
              <w:pStyle w:val="TableParagraph"/>
              <w:ind w:left="370"/>
              <w:jc w:val="left"/>
              <w:rPr>
                <w:sz w:val="21"/>
              </w:rPr>
            </w:pPr>
            <w:r>
              <w:rPr>
                <w:sz w:val="21"/>
              </w:rPr>
              <w:t>Has</w:t>
            </w:r>
            <w:r>
              <w:rPr>
                <w:spacing w:val="-6"/>
                <w:sz w:val="21"/>
              </w:rPr>
              <w:t xml:space="preserve"> </w:t>
            </w:r>
            <w:r>
              <w:rPr>
                <w:sz w:val="21"/>
              </w:rPr>
              <w:t>sampled</w:t>
            </w:r>
            <w:r>
              <w:rPr>
                <w:spacing w:val="-5"/>
                <w:sz w:val="21"/>
              </w:rPr>
              <w:t xml:space="preserve"> </w:t>
            </w:r>
            <w:r>
              <w:rPr>
                <w:sz w:val="21"/>
              </w:rPr>
              <w:t>grade,</w:t>
            </w:r>
            <w:r>
              <w:rPr>
                <w:spacing w:val="-6"/>
                <w:sz w:val="21"/>
              </w:rPr>
              <w:t xml:space="preserve"> </w:t>
            </w:r>
            <w:r>
              <w:rPr>
                <w:sz w:val="21"/>
              </w:rPr>
              <w:t>but</w:t>
            </w:r>
            <w:r>
              <w:rPr>
                <w:spacing w:val="-5"/>
                <w:sz w:val="21"/>
              </w:rPr>
              <w:t xml:space="preserve"> </w:t>
            </w:r>
            <w:r>
              <w:rPr>
                <w:sz w:val="21"/>
              </w:rPr>
              <w:t>no</w:t>
            </w:r>
            <w:r>
              <w:rPr>
                <w:spacing w:val="-6"/>
                <w:sz w:val="21"/>
              </w:rPr>
              <w:t xml:space="preserve"> </w:t>
            </w:r>
            <w:r>
              <w:rPr>
                <w:sz w:val="21"/>
              </w:rPr>
              <w:t>eligible</w:t>
            </w:r>
            <w:r>
              <w:rPr>
                <w:spacing w:val="-5"/>
                <w:sz w:val="21"/>
              </w:rPr>
              <w:t xml:space="preserve"> </w:t>
            </w:r>
            <w:r>
              <w:rPr>
                <w:spacing w:val="-2"/>
                <w:sz w:val="21"/>
              </w:rPr>
              <w:t>students</w:t>
            </w:r>
          </w:p>
        </w:tc>
        <w:tc>
          <w:tcPr>
            <w:tcW w:w="5088" w:type="dxa"/>
          </w:tcPr>
          <w:p w:rsidR="003F5784" w14:paraId="5936E396" w14:textId="77777777">
            <w:pPr>
              <w:pStyle w:val="TableParagraph"/>
              <w:ind w:right="755"/>
              <w:rPr>
                <w:sz w:val="21"/>
              </w:rPr>
            </w:pPr>
            <w:r>
              <w:rPr>
                <w:spacing w:val="-10"/>
                <w:sz w:val="21"/>
              </w:rPr>
              <w:t>4</w:t>
            </w:r>
          </w:p>
        </w:tc>
        <w:tc>
          <w:tcPr>
            <w:tcW w:w="2851" w:type="dxa"/>
          </w:tcPr>
          <w:p w:rsidR="003F5784" w14:paraId="29C5E542" w14:textId="77777777">
            <w:pPr>
              <w:pStyle w:val="TableParagraph"/>
              <w:ind w:right="118"/>
              <w:rPr>
                <w:sz w:val="21"/>
              </w:rPr>
            </w:pPr>
            <w:r>
              <w:rPr>
                <w:spacing w:val="-4"/>
                <w:sz w:val="21"/>
              </w:rPr>
              <w:t>1.04</w:t>
            </w:r>
          </w:p>
        </w:tc>
      </w:tr>
      <w:tr w14:paraId="6DC80C52" w14:textId="77777777">
        <w:tblPrEx>
          <w:tblW w:w="0" w:type="auto"/>
          <w:tblInd w:w="482" w:type="dxa"/>
          <w:tblLayout w:type="fixed"/>
          <w:tblCellMar>
            <w:left w:w="0" w:type="dxa"/>
            <w:right w:w="0" w:type="dxa"/>
          </w:tblCellMar>
          <w:tblLook w:val="01E0"/>
        </w:tblPrEx>
        <w:trPr>
          <w:trHeight w:val="286"/>
        </w:trPr>
        <w:tc>
          <w:tcPr>
            <w:tcW w:w="6046" w:type="dxa"/>
          </w:tcPr>
          <w:p w:rsidR="003F5784" w14:paraId="11D511C9" w14:textId="77777777">
            <w:pPr>
              <w:pStyle w:val="TableParagraph"/>
              <w:ind w:left="370"/>
              <w:jc w:val="left"/>
              <w:rPr>
                <w:sz w:val="21"/>
              </w:rPr>
            </w:pPr>
            <w:r>
              <w:rPr>
                <w:sz w:val="21"/>
              </w:rPr>
              <w:t>Does</w:t>
            </w:r>
            <w:r>
              <w:rPr>
                <w:spacing w:val="-6"/>
                <w:sz w:val="21"/>
              </w:rPr>
              <w:t xml:space="preserve"> </w:t>
            </w:r>
            <w:r>
              <w:rPr>
                <w:sz w:val="21"/>
              </w:rPr>
              <w:t>not</w:t>
            </w:r>
            <w:r>
              <w:rPr>
                <w:spacing w:val="-5"/>
                <w:sz w:val="21"/>
              </w:rPr>
              <w:t xml:space="preserve"> </w:t>
            </w:r>
            <w:r>
              <w:rPr>
                <w:sz w:val="21"/>
              </w:rPr>
              <w:t>have</w:t>
            </w:r>
            <w:r>
              <w:rPr>
                <w:spacing w:val="-6"/>
                <w:sz w:val="21"/>
              </w:rPr>
              <w:t xml:space="preserve"> </w:t>
            </w:r>
            <w:r>
              <w:rPr>
                <w:sz w:val="21"/>
              </w:rPr>
              <w:t>sampled</w:t>
            </w:r>
            <w:r>
              <w:rPr>
                <w:spacing w:val="-5"/>
                <w:sz w:val="21"/>
              </w:rPr>
              <w:t xml:space="preserve"> </w:t>
            </w:r>
            <w:r>
              <w:rPr>
                <w:spacing w:val="-2"/>
                <w:sz w:val="21"/>
              </w:rPr>
              <w:t>grade</w:t>
            </w:r>
          </w:p>
        </w:tc>
        <w:tc>
          <w:tcPr>
            <w:tcW w:w="5088" w:type="dxa"/>
          </w:tcPr>
          <w:p w:rsidR="003F5784" w14:paraId="3618026B" w14:textId="77777777">
            <w:pPr>
              <w:pStyle w:val="TableParagraph"/>
              <w:ind w:right="755"/>
              <w:rPr>
                <w:sz w:val="21"/>
              </w:rPr>
            </w:pPr>
            <w:r>
              <w:rPr>
                <w:spacing w:val="-10"/>
                <w:sz w:val="21"/>
              </w:rPr>
              <w:t>7</w:t>
            </w:r>
          </w:p>
        </w:tc>
        <w:tc>
          <w:tcPr>
            <w:tcW w:w="2851" w:type="dxa"/>
          </w:tcPr>
          <w:p w:rsidR="003F5784" w14:paraId="522197C4" w14:textId="77777777">
            <w:pPr>
              <w:pStyle w:val="TableParagraph"/>
              <w:ind w:right="118"/>
              <w:rPr>
                <w:sz w:val="21"/>
              </w:rPr>
            </w:pPr>
            <w:r>
              <w:rPr>
                <w:spacing w:val="-4"/>
                <w:sz w:val="21"/>
              </w:rPr>
              <w:t>1.83</w:t>
            </w:r>
          </w:p>
        </w:tc>
      </w:tr>
      <w:tr w14:paraId="132CDB91" w14:textId="77777777">
        <w:tblPrEx>
          <w:tblW w:w="0" w:type="auto"/>
          <w:tblInd w:w="482" w:type="dxa"/>
          <w:tblLayout w:type="fixed"/>
          <w:tblCellMar>
            <w:left w:w="0" w:type="dxa"/>
            <w:right w:w="0" w:type="dxa"/>
          </w:tblCellMar>
          <w:tblLook w:val="01E0"/>
        </w:tblPrEx>
        <w:trPr>
          <w:trHeight w:val="286"/>
        </w:trPr>
        <w:tc>
          <w:tcPr>
            <w:tcW w:w="6046" w:type="dxa"/>
          </w:tcPr>
          <w:p w:rsidR="003F5784" w14:paraId="2E8DA8FD" w14:textId="77777777">
            <w:pPr>
              <w:pStyle w:val="TableParagraph"/>
              <w:ind w:left="370"/>
              <w:jc w:val="left"/>
              <w:rPr>
                <w:sz w:val="21"/>
              </w:rPr>
            </w:pPr>
            <w:r>
              <w:rPr>
                <w:spacing w:val="-2"/>
                <w:sz w:val="21"/>
              </w:rPr>
              <w:t>Closed</w:t>
            </w:r>
          </w:p>
        </w:tc>
        <w:tc>
          <w:tcPr>
            <w:tcW w:w="5088" w:type="dxa"/>
          </w:tcPr>
          <w:p w:rsidR="003F5784" w14:paraId="0B98CDDA" w14:textId="77777777">
            <w:pPr>
              <w:pStyle w:val="TableParagraph"/>
              <w:ind w:right="755"/>
              <w:rPr>
                <w:sz w:val="21"/>
              </w:rPr>
            </w:pPr>
            <w:r>
              <w:rPr>
                <w:spacing w:val="-5"/>
                <w:sz w:val="21"/>
              </w:rPr>
              <w:t>19</w:t>
            </w:r>
          </w:p>
        </w:tc>
        <w:tc>
          <w:tcPr>
            <w:tcW w:w="2851" w:type="dxa"/>
          </w:tcPr>
          <w:p w:rsidR="003F5784" w14:paraId="001DD2CE" w14:textId="77777777">
            <w:pPr>
              <w:pStyle w:val="TableParagraph"/>
              <w:ind w:right="118"/>
              <w:rPr>
                <w:sz w:val="21"/>
              </w:rPr>
            </w:pPr>
            <w:r>
              <w:rPr>
                <w:spacing w:val="-4"/>
                <w:sz w:val="21"/>
              </w:rPr>
              <w:t>4.96</w:t>
            </w:r>
          </w:p>
        </w:tc>
      </w:tr>
      <w:tr w14:paraId="5D8E7AD2" w14:textId="77777777">
        <w:tblPrEx>
          <w:tblW w:w="0" w:type="auto"/>
          <w:tblInd w:w="482" w:type="dxa"/>
          <w:tblLayout w:type="fixed"/>
          <w:tblCellMar>
            <w:left w:w="0" w:type="dxa"/>
            <w:right w:w="0" w:type="dxa"/>
          </w:tblCellMar>
          <w:tblLook w:val="01E0"/>
        </w:tblPrEx>
        <w:trPr>
          <w:trHeight w:val="286"/>
        </w:trPr>
        <w:tc>
          <w:tcPr>
            <w:tcW w:w="6046" w:type="dxa"/>
          </w:tcPr>
          <w:p w:rsidR="003F5784" w14:paraId="3AEFFC08" w14:textId="77777777">
            <w:pPr>
              <w:pStyle w:val="TableParagraph"/>
              <w:ind w:left="370"/>
              <w:jc w:val="left"/>
              <w:rPr>
                <w:sz w:val="21"/>
              </w:rPr>
            </w:pPr>
            <w:r>
              <w:rPr>
                <w:sz w:val="21"/>
              </w:rPr>
              <w:t>Not</w:t>
            </w:r>
            <w:r>
              <w:rPr>
                <w:spacing w:val="-5"/>
                <w:sz w:val="21"/>
              </w:rPr>
              <w:t xml:space="preserve"> </w:t>
            </w:r>
            <w:r>
              <w:rPr>
                <w:sz w:val="21"/>
              </w:rPr>
              <w:t>a</w:t>
            </w:r>
            <w:r>
              <w:rPr>
                <w:spacing w:val="-4"/>
                <w:sz w:val="21"/>
              </w:rPr>
              <w:t xml:space="preserve"> </w:t>
            </w:r>
            <w:r>
              <w:rPr>
                <w:sz w:val="21"/>
              </w:rPr>
              <w:t>regular</w:t>
            </w:r>
            <w:r>
              <w:rPr>
                <w:spacing w:val="-5"/>
                <w:sz w:val="21"/>
              </w:rPr>
              <w:t xml:space="preserve"> </w:t>
            </w:r>
            <w:r>
              <w:rPr>
                <w:spacing w:val="-2"/>
                <w:sz w:val="21"/>
              </w:rPr>
              <w:t>school</w:t>
            </w:r>
          </w:p>
        </w:tc>
        <w:tc>
          <w:tcPr>
            <w:tcW w:w="5088" w:type="dxa"/>
          </w:tcPr>
          <w:p w:rsidR="003F5784" w14:paraId="23A48326" w14:textId="77777777">
            <w:pPr>
              <w:pStyle w:val="TableParagraph"/>
              <w:ind w:right="755"/>
              <w:rPr>
                <w:sz w:val="21"/>
              </w:rPr>
            </w:pPr>
            <w:r>
              <w:rPr>
                <w:spacing w:val="-5"/>
                <w:sz w:val="21"/>
              </w:rPr>
              <w:t>20</w:t>
            </w:r>
          </w:p>
        </w:tc>
        <w:tc>
          <w:tcPr>
            <w:tcW w:w="2851" w:type="dxa"/>
          </w:tcPr>
          <w:p w:rsidR="003F5784" w14:paraId="7948165A" w14:textId="77777777">
            <w:pPr>
              <w:pStyle w:val="TableParagraph"/>
              <w:ind w:right="118"/>
              <w:rPr>
                <w:sz w:val="21"/>
              </w:rPr>
            </w:pPr>
            <w:r>
              <w:rPr>
                <w:spacing w:val="-4"/>
                <w:sz w:val="21"/>
              </w:rPr>
              <w:t>5.22</w:t>
            </w:r>
          </w:p>
        </w:tc>
      </w:tr>
      <w:tr w14:paraId="34D0F782" w14:textId="77777777">
        <w:tblPrEx>
          <w:tblW w:w="0" w:type="auto"/>
          <w:tblInd w:w="482" w:type="dxa"/>
          <w:tblLayout w:type="fixed"/>
          <w:tblCellMar>
            <w:left w:w="0" w:type="dxa"/>
            <w:right w:w="0" w:type="dxa"/>
          </w:tblCellMar>
          <w:tblLook w:val="01E0"/>
        </w:tblPrEx>
        <w:trPr>
          <w:trHeight w:val="286"/>
        </w:trPr>
        <w:tc>
          <w:tcPr>
            <w:tcW w:w="6046" w:type="dxa"/>
          </w:tcPr>
          <w:p w:rsidR="003F5784" w14:paraId="3E0ABB82" w14:textId="77777777">
            <w:pPr>
              <w:pStyle w:val="TableParagraph"/>
              <w:ind w:left="370"/>
              <w:jc w:val="left"/>
              <w:rPr>
                <w:sz w:val="21"/>
              </w:rPr>
            </w:pPr>
            <w:r>
              <w:rPr>
                <w:sz w:val="21"/>
              </w:rPr>
              <w:t>Duplicate</w:t>
            </w:r>
            <w:r>
              <w:rPr>
                <w:spacing w:val="-7"/>
                <w:sz w:val="21"/>
              </w:rPr>
              <w:t xml:space="preserve"> </w:t>
            </w:r>
            <w:r>
              <w:rPr>
                <w:sz w:val="21"/>
              </w:rPr>
              <w:t>on</w:t>
            </w:r>
            <w:r>
              <w:rPr>
                <w:spacing w:val="-7"/>
                <w:sz w:val="21"/>
              </w:rPr>
              <w:t xml:space="preserve"> </w:t>
            </w:r>
            <w:r>
              <w:rPr>
                <w:sz w:val="21"/>
              </w:rPr>
              <w:t>sampling</w:t>
            </w:r>
            <w:r>
              <w:rPr>
                <w:spacing w:val="-7"/>
                <w:sz w:val="21"/>
              </w:rPr>
              <w:t xml:space="preserve"> </w:t>
            </w:r>
            <w:r>
              <w:rPr>
                <w:spacing w:val="-4"/>
                <w:sz w:val="21"/>
              </w:rPr>
              <w:t>frame</w:t>
            </w:r>
          </w:p>
        </w:tc>
        <w:tc>
          <w:tcPr>
            <w:tcW w:w="5088" w:type="dxa"/>
          </w:tcPr>
          <w:p w:rsidR="003F5784" w14:paraId="3CC82F50" w14:textId="77777777">
            <w:pPr>
              <w:pStyle w:val="TableParagraph"/>
              <w:ind w:right="755"/>
              <w:rPr>
                <w:sz w:val="21"/>
              </w:rPr>
            </w:pPr>
            <w:r>
              <w:rPr>
                <w:spacing w:val="-10"/>
                <w:sz w:val="21"/>
              </w:rPr>
              <w:t>0</w:t>
            </w:r>
          </w:p>
        </w:tc>
        <w:tc>
          <w:tcPr>
            <w:tcW w:w="2851" w:type="dxa"/>
          </w:tcPr>
          <w:p w:rsidR="003F5784" w14:paraId="66CBD5AB" w14:textId="77777777">
            <w:pPr>
              <w:pStyle w:val="TableParagraph"/>
              <w:ind w:right="118"/>
              <w:rPr>
                <w:sz w:val="21"/>
              </w:rPr>
            </w:pPr>
            <w:r>
              <w:rPr>
                <w:spacing w:val="-4"/>
                <w:sz w:val="21"/>
              </w:rPr>
              <w:t>0.00</w:t>
            </w:r>
          </w:p>
        </w:tc>
      </w:tr>
      <w:tr w14:paraId="0E109320" w14:textId="77777777">
        <w:tblPrEx>
          <w:tblW w:w="0" w:type="auto"/>
          <w:tblInd w:w="482" w:type="dxa"/>
          <w:tblLayout w:type="fixed"/>
          <w:tblCellMar>
            <w:left w:w="0" w:type="dxa"/>
            <w:right w:w="0" w:type="dxa"/>
          </w:tblCellMar>
          <w:tblLook w:val="01E0"/>
        </w:tblPrEx>
        <w:trPr>
          <w:trHeight w:val="288"/>
        </w:trPr>
        <w:tc>
          <w:tcPr>
            <w:tcW w:w="6046" w:type="dxa"/>
            <w:tcBorders>
              <w:bottom w:val="single" w:sz="18" w:space="0" w:color="800000"/>
            </w:tcBorders>
          </w:tcPr>
          <w:p w:rsidR="003F5784" w14:paraId="4FB40FC4" w14:textId="77777777">
            <w:pPr>
              <w:pStyle w:val="TableParagraph"/>
              <w:ind w:left="370"/>
              <w:jc w:val="left"/>
              <w:rPr>
                <w:sz w:val="21"/>
              </w:rPr>
            </w:pPr>
            <w:r>
              <w:rPr>
                <w:sz w:val="21"/>
              </w:rPr>
              <w:t>Other</w:t>
            </w:r>
            <w:r>
              <w:rPr>
                <w:spacing w:val="-8"/>
                <w:sz w:val="21"/>
              </w:rPr>
              <w:t xml:space="preserve"> </w:t>
            </w:r>
            <w:r>
              <w:rPr>
                <w:sz w:val="21"/>
              </w:rPr>
              <w:t>ineligible</w:t>
            </w:r>
            <w:r>
              <w:rPr>
                <w:spacing w:val="-7"/>
                <w:sz w:val="21"/>
              </w:rPr>
              <w:t xml:space="preserve"> </w:t>
            </w:r>
            <w:r>
              <w:rPr>
                <w:spacing w:val="-2"/>
                <w:sz w:val="21"/>
              </w:rPr>
              <w:t>school</w:t>
            </w:r>
          </w:p>
        </w:tc>
        <w:tc>
          <w:tcPr>
            <w:tcW w:w="5088" w:type="dxa"/>
            <w:tcBorders>
              <w:bottom w:val="single" w:sz="18" w:space="0" w:color="800000"/>
            </w:tcBorders>
          </w:tcPr>
          <w:p w:rsidR="003F5784" w14:paraId="49CDAE5D" w14:textId="77777777">
            <w:pPr>
              <w:pStyle w:val="TableParagraph"/>
              <w:ind w:right="755"/>
              <w:rPr>
                <w:sz w:val="21"/>
              </w:rPr>
            </w:pPr>
            <w:r>
              <w:rPr>
                <w:spacing w:val="-10"/>
                <w:sz w:val="21"/>
              </w:rPr>
              <w:t>0</w:t>
            </w:r>
          </w:p>
        </w:tc>
        <w:tc>
          <w:tcPr>
            <w:tcW w:w="2851" w:type="dxa"/>
            <w:tcBorders>
              <w:bottom w:val="single" w:sz="18" w:space="0" w:color="800000"/>
            </w:tcBorders>
          </w:tcPr>
          <w:p w:rsidR="003F5784" w14:paraId="72A70FA8" w14:textId="77777777">
            <w:pPr>
              <w:pStyle w:val="TableParagraph"/>
              <w:ind w:right="118"/>
              <w:rPr>
                <w:sz w:val="21"/>
              </w:rPr>
            </w:pPr>
            <w:r>
              <w:rPr>
                <w:spacing w:val="-4"/>
                <w:sz w:val="21"/>
              </w:rPr>
              <w:t>0.00</w:t>
            </w:r>
          </w:p>
        </w:tc>
      </w:tr>
      <w:tr w14:paraId="7DD0451D" w14:textId="77777777">
        <w:tblPrEx>
          <w:tblW w:w="0" w:type="auto"/>
          <w:tblInd w:w="482" w:type="dxa"/>
          <w:tblLayout w:type="fixed"/>
          <w:tblCellMar>
            <w:left w:w="0" w:type="dxa"/>
            <w:right w:w="0" w:type="dxa"/>
          </w:tblCellMar>
          <w:tblLook w:val="01E0"/>
        </w:tblPrEx>
        <w:trPr>
          <w:trHeight w:val="472"/>
        </w:trPr>
        <w:tc>
          <w:tcPr>
            <w:tcW w:w="13985" w:type="dxa"/>
            <w:gridSpan w:val="3"/>
            <w:tcBorders>
              <w:top w:val="single" w:sz="18" w:space="0" w:color="800000"/>
            </w:tcBorders>
          </w:tcPr>
          <w:p w:rsidR="003F5784" w14:paraId="2CE8E61A" w14:textId="77777777">
            <w:pPr>
              <w:pStyle w:val="TableParagraph"/>
              <w:spacing w:before="0" w:line="234" w:lineRule="exact"/>
              <w:ind w:left="120"/>
              <w:jc w:val="left"/>
              <w:rPr>
                <w:sz w:val="21"/>
              </w:rPr>
            </w:pPr>
            <w:r>
              <w:rPr>
                <w:sz w:val="21"/>
              </w:rPr>
              <w:t>NOTE:</w:t>
            </w:r>
            <w:r>
              <w:rPr>
                <w:spacing w:val="-6"/>
                <w:sz w:val="21"/>
              </w:rPr>
              <w:t xml:space="preserve"> </w:t>
            </w:r>
            <w:r>
              <w:rPr>
                <w:sz w:val="21"/>
              </w:rPr>
              <w:t>Numbers</w:t>
            </w:r>
            <w:r>
              <w:rPr>
                <w:spacing w:val="-6"/>
                <w:sz w:val="21"/>
              </w:rPr>
              <w:t xml:space="preserve"> </w:t>
            </w:r>
            <w:r>
              <w:rPr>
                <w:sz w:val="21"/>
              </w:rPr>
              <w:t>of</w:t>
            </w:r>
            <w:r>
              <w:rPr>
                <w:spacing w:val="-6"/>
                <w:sz w:val="21"/>
              </w:rPr>
              <w:t xml:space="preserve"> </w:t>
            </w:r>
            <w:r>
              <w:rPr>
                <w:sz w:val="21"/>
              </w:rPr>
              <w:t>schools</w:t>
            </w:r>
            <w:r>
              <w:rPr>
                <w:spacing w:val="-6"/>
                <w:sz w:val="21"/>
              </w:rPr>
              <w:t xml:space="preserve"> </w:t>
            </w:r>
            <w:r>
              <w:rPr>
                <w:sz w:val="21"/>
              </w:rPr>
              <w:t>are</w:t>
            </w:r>
            <w:r>
              <w:rPr>
                <w:spacing w:val="-6"/>
                <w:sz w:val="21"/>
              </w:rPr>
              <w:t xml:space="preserve"> </w:t>
            </w:r>
            <w:r>
              <w:rPr>
                <w:sz w:val="21"/>
              </w:rPr>
              <w:t>rounded</w:t>
            </w:r>
            <w:r>
              <w:rPr>
                <w:spacing w:val="-6"/>
                <w:sz w:val="21"/>
              </w:rPr>
              <w:t xml:space="preserve"> </w:t>
            </w:r>
            <w:r>
              <w:rPr>
                <w:sz w:val="21"/>
              </w:rPr>
              <w:t>to</w:t>
            </w:r>
            <w:r>
              <w:rPr>
                <w:spacing w:val="-6"/>
                <w:sz w:val="21"/>
              </w:rPr>
              <w:t xml:space="preserve"> </w:t>
            </w:r>
            <w:r>
              <w:rPr>
                <w:sz w:val="21"/>
              </w:rPr>
              <w:t>nearest</w:t>
            </w:r>
            <w:r>
              <w:rPr>
                <w:spacing w:val="-6"/>
                <w:sz w:val="21"/>
              </w:rPr>
              <w:t xml:space="preserve"> </w:t>
            </w:r>
            <w:r>
              <w:rPr>
                <w:sz w:val="21"/>
              </w:rPr>
              <w:t>ten,</w:t>
            </w:r>
            <w:r>
              <w:rPr>
                <w:spacing w:val="-6"/>
                <w:sz w:val="21"/>
              </w:rPr>
              <w:t xml:space="preserve"> </w:t>
            </w:r>
            <w:r>
              <w:rPr>
                <w:sz w:val="21"/>
              </w:rPr>
              <w:t>except</w:t>
            </w:r>
            <w:r>
              <w:rPr>
                <w:spacing w:val="-6"/>
                <w:sz w:val="21"/>
              </w:rPr>
              <w:t xml:space="preserve"> </w:t>
            </w:r>
            <w:r>
              <w:rPr>
                <w:sz w:val="21"/>
              </w:rPr>
              <w:t>those</w:t>
            </w:r>
            <w:r>
              <w:rPr>
                <w:spacing w:val="-6"/>
                <w:sz w:val="21"/>
              </w:rPr>
              <w:t xml:space="preserve"> </w:t>
            </w:r>
            <w:r>
              <w:rPr>
                <w:sz w:val="21"/>
              </w:rPr>
              <w:t>pertaining</w:t>
            </w:r>
            <w:r>
              <w:rPr>
                <w:spacing w:val="-6"/>
                <w:sz w:val="21"/>
              </w:rPr>
              <w:t xml:space="preserve"> </w:t>
            </w:r>
            <w:r>
              <w:rPr>
                <w:sz w:val="21"/>
              </w:rPr>
              <w:t>to</w:t>
            </w:r>
            <w:r>
              <w:rPr>
                <w:spacing w:val="-6"/>
                <w:sz w:val="21"/>
              </w:rPr>
              <w:t xml:space="preserve"> </w:t>
            </w:r>
            <w:r>
              <w:rPr>
                <w:sz w:val="21"/>
              </w:rPr>
              <w:t>ineligible</w:t>
            </w:r>
            <w:r>
              <w:rPr>
                <w:spacing w:val="-6"/>
                <w:sz w:val="21"/>
              </w:rPr>
              <w:t xml:space="preserve"> </w:t>
            </w:r>
            <w:r>
              <w:rPr>
                <w:sz w:val="21"/>
              </w:rPr>
              <w:t>schools.</w:t>
            </w:r>
            <w:r>
              <w:rPr>
                <w:spacing w:val="-6"/>
                <w:sz w:val="21"/>
              </w:rPr>
              <w:t xml:space="preserve"> </w:t>
            </w:r>
            <w:r>
              <w:rPr>
                <w:sz w:val="21"/>
              </w:rPr>
              <w:t>Detail</w:t>
            </w:r>
            <w:r>
              <w:rPr>
                <w:spacing w:val="-6"/>
                <w:sz w:val="21"/>
              </w:rPr>
              <w:t xml:space="preserve"> </w:t>
            </w:r>
            <w:r>
              <w:rPr>
                <w:sz w:val="21"/>
              </w:rPr>
              <w:t>may</w:t>
            </w:r>
            <w:r>
              <w:rPr>
                <w:spacing w:val="-6"/>
                <w:sz w:val="21"/>
              </w:rPr>
              <w:t xml:space="preserve"> </w:t>
            </w:r>
            <w:r>
              <w:rPr>
                <w:sz w:val="21"/>
              </w:rPr>
              <w:t>not</w:t>
            </w:r>
            <w:r>
              <w:rPr>
                <w:spacing w:val="-6"/>
                <w:sz w:val="21"/>
              </w:rPr>
              <w:t xml:space="preserve"> </w:t>
            </w:r>
            <w:r>
              <w:rPr>
                <w:sz w:val="21"/>
              </w:rPr>
              <w:t>sum</w:t>
            </w:r>
            <w:r>
              <w:rPr>
                <w:spacing w:val="-6"/>
                <w:sz w:val="21"/>
              </w:rPr>
              <w:t xml:space="preserve"> </w:t>
            </w:r>
            <w:r>
              <w:rPr>
                <w:sz w:val="21"/>
              </w:rPr>
              <w:t>to</w:t>
            </w:r>
            <w:r>
              <w:rPr>
                <w:spacing w:val="-6"/>
                <w:sz w:val="21"/>
              </w:rPr>
              <w:t xml:space="preserve"> </w:t>
            </w:r>
            <w:r>
              <w:rPr>
                <w:sz w:val="21"/>
              </w:rPr>
              <w:t>totals</w:t>
            </w:r>
            <w:r>
              <w:rPr>
                <w:spacing w:val="-6"/>
                <w:sz w:val="21"/>
              </w:rPr>
              <w:t xml:space="preserve"> </w:t>
            </w:r>
            <w:r>
              <w:rPr>
                <w:sz w:val="21"/>
              </w:rPr>
              <w:t>due</w:t>
            </w:r>
            <w:r>
              <w:rPr>
                <w:spacing w:val="-6"/>
                <w:sz w:val="21"/>
              </w:rPr>
              <w:t xml:space="preserve"> </w:t>
            </w:r>
            <w:r>
              <w:rPr>
                <w:sz w:val="21"/>
              </w:rPr>
              <w:t>to</w:t>
            </w:r>
            <w:r>
              <w:rPr>
                <w:spacing w:val="-6"/>
                <w:sz w:val="21"/>
              </w:rPr>
              <w:t xml:space="preserve"> </w:t>
            </w:r>
            <w:r>
              <w:rPr>
                <w:sz w:val="21"/>
              </w:rPr>
              <w:t>rounding.</w:t>
            </w:r>
            <w:r>
              <w:rPr>
                <w:spacing w:val="-6"/>
                <w:sz w:val="21"/>
              </w:rPr>
              <w:t xml:space="preserve"> </w:t>
            </w:r>
            <w:r>
              <w:rPr>
                <w:sz w:val="21"/>
              </w:rPr>
              <w:t>Percentages</w:t>
            </w:r>
            <w:r>
              <w:rPr>
                <w:spacing w:val="-6"/>
                <w:sz w:val="21"/>
              </w:rPr>
              <w:t xml:space="preserve"> </w:t>
            </w:r>
            <w:r>
              <w:rPr>
                <w:sz w:val="21"/>
              </w:rPr>
              <w:t>are based on unrounded counts.</w:t>
            </w:r>
          </w:p>
        </w:tc>
      </w:tr>
    </w:tbl>
    <w:p w:rsidR="003F5784" w14:paraId="39F8694A" w14:textId="77777777">
      <w:pPr>
        <w:pStyle w:val="BodyText"/>
        <w:spacing w:before="10"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National Mathematics and Reading Assessments.</w:t>
      </w:r>
    </w:p>
    <w:p w:rsidR="003F5784" w14:paraId="09EC0A30" w14:textId="77777777">
      <w:pPr>
        <w:pStyle w:val="BodyText"/>
      </w:pPr>
    </w:p>
    <w:p w:rsidR="003F5784" w14:paraId="3F4F7FCC" w14:textId="77777777">
      <w:pPr>
        <w:pStyle w:val="BodyText"/>
        <w:spacing w:before="205"/>
      </w:pPr>
    </w:p>
    <w:p w:rsidR="003F5784" w14:paraId="67E67CF7" w14:textId="77777777">
      <w:pPr>
        <w:ind w:left="955"/>
        <w:rPr>
          <w:sz w:val="18"/>
        </w:rPr>
      </w:pPr>
      <w:hyperlink r:id="rId86">
        <w:r>
          <w:rPr>
            <w:spacing w:val="-2"/>
            <w:w w:val="105"/>
            <w:sz w:val="18"/>
          </w:rPr>
          <w:t>http://nces.ed.gov/nationsreportcard/tdw/sample_design/2022/eligibility_status_of_schools_sampled_for_the_2022_fourth_and_eighth_grade_private_school_national_assessment.aspx</w:t>
        </w:r>
      </w:hyperlink>
    </w:p>
    <w:p w:rsidR="003F5784" w14:paraId="1054F0FE" w14:textId="77777777">
      <w:pPr>
        <w:pStyle w:val="BodyText"/>
        <w:rPr>
          <w:sz w:val="16"/>
        </w:rPr>
      </w:pPr>
      <w:r>
        <w:rPr>
          <w:noProof/>
        </w:rPr>
        <mc:AlternateContent>
          <mc:Choice Requires="wps">
            <w:drawing>
              <wp:anchor distT="0" distB="0" distL="0" distR="0" simplePos="0" relativeHeight="251794432" behindDoc="1" locked="0" layoutInCell="1" allowOverlap="1">
                <wp:simplePos x="0" y="0"/>
                <wp:positionH relativeFrom="page">
                  <wp:posOffset>361937</wp:posOffset>
                </wp:positionH>
                <wp:positionV relativeFrom="paragraph">
                  <wp:posOffset>132530</wp:posOffset>
                </wp:positionV>
                <wp:extent cx="9339580" cy="8890"/>
                <wp:effectExtent l="0" t="0" r="0" b="0"/>
                <wp:wrapTopAndBottom/>
                <wp:docPr id="105" name="Graphic 105"/>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8280" y="8267"/>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05" o:spid="_x0000_s1068" style="width:735.4pt;height:0.7pt;margin-top:10.45pt;margin-left:28.5pt;mso-position-horizontal-relative:page;mso-wrap-distance-bottom:0;mso-wrap-distance-left:0;mso-wrap-distance-right:0;mso-wrap-distance-top:0;mso-wrap-style:square;position:absolute;visibility:visible;v-text-anchor:top;z-index:-251521024" coordsize="9339580,8890" path="m9338970,l9335110,l8280,,,,,8267l8280,8267l9335110,8267l9338970,8267l9338970,xe" fillcolor="gray" stroked="f">
                <v:path arrowok="t"/>
                <w10:wrap type="topAndBottom"/>
              </v:shape>
            </w:pict>
          </mc:Fallback>
        </mc:AlternateContent>
      </w:r>
    </w:p>
    <w:p w:rsidR="003F5784" w14:paraId="25ADEAE9" w14:textId="77777777">
      <w:pPr>
        <w:pStyle w:val="BodyText"/>
        <w:rPr>
          <w:sz w:val="18"/>
        </w:rPr>
      </w:pPr>
    </w:p>
    <w:p w:rsidR="003F5784" w14:paraId="1C19ADAF" w14:textId="77777777">
      <w:pPr>
        <w:pStyle w:val="BodyText"/>
        <w:spacing w:before="193"/>
        <w:rPr>
          <w:sz w:val="18"/>
        </w:rPr>
      </w:pPr>
    </w:p>
    <w:p w:rsidR="003F5784" w14:paraId="2028DF87" w14:textId="4E6AC63C">
      <w:pPr>
        <w:pStyle w:val="Heading1"/>
        <w:spacing w:line="244" w:lineRule="auto"/>
        <w:ind w:right="588"/>
      </w:pPr>
      <w:r>
        <w:t>NAEP</w:t>
      </w:r>
      <w:r>
        <w:rPr>
          <w:spacing w:val="-20"/>
        </w:rPr>
        <w:t xml:space="preserve"> </w:t>
      </w:r>
      <w:r>
        <w:t>Technical Documentation</w:t>
      </w:r>
      <w:r w:rsidR="00886D27">
        <w:t xml:space="preserve"> </w:t>
      </w:r>
      <w:r>
        <w:t>Total and Eligible Sampled Schools for the 2022 Fourth- and Eighth-Grade Private School National Assessment in Mathematics and Reading</w:t>
      </w:r>
    </w:p>
    <w:p w:rsidR="003F5784" w14:paraId="5B14066C" w14:textId="77777777">
      <w:pPr>
        <w:pStyle w:val="BodyText"/>
        <w:spacing w:before="288" w:line="232" w:lineRule="auto"/>
        <w:ind w:left="109"/>
      </w:pPr>
      <w:r>
        <w:t>The following table presents unweighted counts and percentages of ineligible and eligible schools by private school affiliation in the fourth- and eighth-grade private school national</w:t>
      </w:r>
      <w:r>
        <w:rPr>
          <w:spacing w:val="-7"/>
        </w:rPr>
        <w:t xml:space="preserve"> </w:t>
      </w:r>
      <w:r>
        <w:t>mathematics</w:t>
      </w:r>
      <w:r>
        <w:rPr>
          <w:spacing w:val="-7"/>
        </w:rPr>
        <w:t xml:space="preserve"> </w:t>
      </w:r>
      <w:r>
        <w:t>and</w:t>
      </w:r>
      <w:r>
        <w:rPr>
          <w:spacing w:val="-7"/>
        </w:rPr>
        <w:t xml:space="preserve"> </w:t>
      </w:r>
      <w:r>
        <w:t>reading</w:t>
      </w:r>
      <w:r>
        <w:rPr>
          <w:spacing w:val="-7"/>
        </w:rPr>
        <w:t xml:space="preserve"> </w:t>
      </w:r>
      <w:r>
        <w:t>samples.</w:t>
      </w:r>
      <w:r>
        <w:rPr>
          <w:spacing w:val="-7"/>
        </w:rPr>
        <w:t xml:space="preserve"> </w:t>
      </w:r>
      <w:r>
        <w:t>Schools</w:t>
      </w:r>
      <w:r>
        <w:rPr>
          <w:spacing w:val="-7"/>
        </w:rPr>
        <w:t xml:space="preserve"> </w:t>
      </w:r>
      <w:r>
        <w:t>whose</w:t>
      </w:r>
      <w:r>
        <w:rPr>
          <w:spacing w:val="-7"/>
        </w:rPr>
        <w:t xml:space="preserve"> </w:t>
      </w:r>
      <w:r>
        <w:t>private</w:t>
      </w:r>
      <w:r>
        <w:rPr>
          <w:spacing w:val="-7"/>
        </w:rPr>
        <w:t xml:space="preserve"> </w:t>
      </w:r>
      <w:r>
        <w:t>school</w:t>
      </w:r>
      <w:r>
        <w:rPr>
          <w:spacing w:val="-7"/>
        </w:rPr>
        <w:t xml:space="preserve"> </w:t>
      </w:r>
      <w:r>
        <w:t>affiliation</w:t>
      </w:r>
      <w:r>
        <w:rPr>
          <w:spacing w:val="-7"/>
        </w:rPr>
        <w:t xml:space="preserve"> </w:t>
      </w:r>
      <w:r>
        <w:t>was</w:t>
      </w:r>
      <w:r>
        <w:rPr>
          <w:spacing w:val="-7"/>
        </w:rPr>
        <w:t xml:space="preserve"> </w:t>
      </w:r>
      <w:r>
        <w:t>unknown</w:t>
      </w:r>
      <w:r>
        <w:rPr>
          <w:spacing w:val="-7"/>
        </w:rPr>
        <w:t xml:space="preserve"> </w:t>
      </w:r>
      <w:r>
        <w:t>at</w:t>
      </w:r>
      <w:r>
        <w:rPr>
          <w:spacing w:val="-7"/>
        </w:rPr>
        <w:t xml:space="preserve"> </w:t>
      </w:r>
      <w:r>
        <w:t>the</w:t>
      </w:r>
      <w:r>
        <w:rPr>
          <w:spacing w:val="-7"/>
        </w:rPr>
        <w:t xml:space="preserve"> </w:t>
      </w:r>
      <w:r>
        <w:t>time</w:t>
      </w:r>
      <w:r>
        <w:rPr>
          <w:spacing w:val="-7"/>
        </w:rPr>
        <w:t xml:space="preserve"> </w:t>
      </w:r>
      <w:r>
        <w:t>of</w:t>
      </w:r>
      <w:r>
        <w:rPr>
          <w:spacing w:val="-7"/>
        </w:rPr>
        <w:t xml:space="preserve"> </w:t>
      </w:r>
      <w:r>
        <w:t>sampling</w:t>
      </w:r>
      <w:r>
        <w:rPr>
          <w:spacing w:val="-7"/>
        </w:rPr>
        <w:t xml:space="preserve"> </w:t>
      </w:r>
      <w:r>
        <w:t>subsequently</w:t>
      </w:r>
      <w:r>
        <w:rPr>
          <w:spacing w:val="-7"/>
        </w:rPr>
        <w:t xml:space="preserve"> </w:t>
      </w:r>
      <w:r>
        <w:t>had</w:t>
      </w:r>
      <w:r>
        <w:rPr>
          <w:spacing w:val="-7"/>
        </w:rPr>
        <w:t xml:space="preserve"> </w:t>
      </w:r>
      <w:r>
        <w:t>their</w:t>
      </w:r>
      <w:r>
        <w:rPr>
          <w:spacing w:val="-7"/>
        </w:rPr>
        <w:t xml:space="preserve"> </w:t>
      </w:r>
      <w:r>
        <w:t>affiliation</w:t>
      </w:r>
      <w:r>
        <w:rPr>
          <w:spacing w:val="-7"/>
        </w:rPr>
        <w:t xml:space="preserve"> </w:t>
      </w:r>
      <w:r>
        <w:t>determined</w:t>
      </w:r>
      <w:r>
        <w:rPr>
          <w:spacing w:val="-7"/>
        </w:rPr>
        <w:t xml:space="preserve"> </w:t>
      </w:r>
      <w:r>
        <w:t>during</w:t>
      </w:r>
    </w:p>
    <w:p w:rsidR="003F5784" w14:paraId="2A4748E8" w14:textId="77777777">
      <w:pPr>
        <w:spacing w:line="232" w:lineRule="auto"/>
        <w:sectPr>
          <w:pgSz w:w="15840" w:h="12240" w:orient="landscape"/>
          <w:pgMar w:top="480" w:right="440" w:bottom="460" w:left="460" w:header="284" w:footer="275" w:gutter="0"/>
          <w:cols w:space="720"/>
        </w:sectPr>
      </w:pPr>
    </w:p>
    <w:p w:rsidR="003F5784" w14:paraId="0BC4C6CC" w14:textId="77777777">
      <w:pPr>
        <w:pStyle w:val="BodyText"/>
        <w:spacing w:before="72"/>
        <w:ind w:left="109"/>
      </w:pPr>
      <w:r>
        <w:t>data</w:t>
      </w:r>
      <w:r>
        <w:rPr>
          <w:spacing w:val="-6"/>
        </w:rPr>
        <w:t xml:space="preserve"> </w:t>
      </w:r>
      <w:r>
        <w:t>collection.</w:t>
      </w:r>
      <w:r>
        <w:rPr>
          <w:spacing w:val="-10"/>
        </w:rPr>
        <w:t xml:space="preserve"> </w:t>
      </w:r>
      <w:r>
        <w:t>Therefore,</w:t>
      </w:r>
      <w:r>
        <w:rPr>
          <w:spacing w:val="-6"/>
        </w:rPr>
        <w:t xml:space="preserve"> </w:t>
      </w:r>
      <w:r>
        <w:t>such</w:t>
      </w:r>
      <w:r>
        <w:rPr>
          <w:spacing w:val="-6"/>
        </w:rPr>
        <w:t xml:space="preserve"> </w:t>
      </w:r>
      <w:r>
        <w:t>schools</w:t>
      </w:r>
      <w:r>
        <w:rPr>
          <w:spacing w:val="-6"/>
        </w:rPr>
        <w:t xml:space="preserve"> </w:t>
      </w:r>
      <w:r>
        <w:t>are</w:t>
      </w:r>
      <w:r>
        <w:rPr>
          <w:spacing w:val="-6"/>
        </w:rPr>
        <w:t xml:space="preserve"> </w:t>
      </w:r>
      <w:r>
        <w:t>not</w:t>
      </w:r>
      <w:r>
        <w:rPr>
          <w:spacing w:val="-6"/>
        </w:rPr>
        <w:t xml:space="preserve"> </w:t>
      </w:r>
      <w:r>
        <w:t>broken</w:t>
      </w:r>
      <w:r>
        <w:rPr>
          <w:spacing w:val="-6"/>
        </w:rPr>
        <w:t xml:space="preserve"> </w:t>
      </w:r>
      <w:r>
        <w:t>out</w:t>
      </w:r>
      <w:r>
        <w:rPr>
          <w:spacing w:val="-6"/>
        </w:rPr>
        <w:t xml:space="preserve"> </w:t>
      </w:r>
      <w:r>
        <w:t>separately</w:t>
      </w:r>
      <w:r>
        <w:rPr>
          <w:spacing w:val="-6"/>
        </w:rPr>
        <w:t xml:space="preserve"> </w:t>
      </w:r>
      <w:r>
        <w:t>and</w:t>
      </w:r>
      <w:r>
        <w:rPr>
          <w:spacing w:val="-6"/>
        </w:rPr>
        <w:t xml:space="preserve"> </w:t>
      </w:r>
      <w:r>
        <w:t>not</w:t>
      </w:r>
      <w:r>
        <w:rPr>
          <w:spacing w:val="-6"/>
        </w:rPr>
        <w:t xml:space="preserve"> </w:t>
      </w:r>
      <w:r>
        <w:t>included</w:t>
      </w:r>
      <w:r>
        <w:rPr>
          <w:spacing w:val="-5"/>
        </w:rPr>
        <w:t xml:space="preserve"> </w:t>
      </w:r>
      <w:r>
        <w:t>in</w:t>
      </w:r>
      <w:r>
        <w:rPr>
          <w:spacing w:val="-6"/>
        </w:rPr>
        <w:t xml:space="preserve"> </w:t>
      </w:r>
      <w:r>
        <w:t>the</w:t>
      </w:r>
      <w:r>
        <w:rPr>
          <w:spacing w:val="-6"/>
        </w:rPr>
        <w:t xml:space="preserve"> </w:t>
      </w:r>
      <w:r>
        <w:t>following</w:t>
      </w:r>
      <w:r>
        <w:rPr>
          <w:spacing w:val="-6"/>
        </w:rPr>
        <w:t xml:space="preserve"> </w:t>
      </w:r>
      <w:r>
        <w:rPr>
          <w:spacing w:val="-2"/>
        </w:rPr>
        <w:t>table.</w:t>
      </w:r>
    </w:p>
    <w:p w:rsidR="003F5784" w14:paraId="170B43C6" w14:textId="77777777">
      <w:pPr>
        <w:pStyle w:val="BodyText"/>
        <w:spacing w:before="91"/>
      </w:pPr>
    </w:p>
    <w:p w:rsidR="003F5784" w14:paraId="2633B73B" w14:textId="77777777">
      <w:pPr>
        <w:pStyle w:val="Heading2"/>
      </w:pPr>
      <w:r>
        <w:t>Eligibility</w:t>
      </w:r>
      <w:r>
        <w:rPr>
          <w:spacing w:val="-7"/>
        </w:rPr>
        <w:t xml:space="preserve"> </w:t>
      </w:r>
      <w:r>
        <w:t>status</w:t>
      </w:r>
      <w:r>
        <w:rPr>
          <w:spacing w:val="-7"/>
        </w:rPr>
        <w:t xml:space="preserve"> </w:t>
      </w:r>
      <w:r>
        <w:t>of</w:t>
      </w:r>
      <w:r>
        <w:rPr>
          <w:spacing w:val="-7"/>
        </w:rPr>
        <w:t xml:space="preserve"> </w:t>
      </w:r>
      <w:r>
        <w:t>sampled</w:t>
      </w:r>
      <w:r>
        <w:rPr>
          <w:spacing w:val="-7"/>
        </w:rPr>
        <w:t xml:space="preserve"> </w:t>
      </w:r>
      <w:r>
        <w:t>private</w:t>
      </w:r>
      <w:r>
        <w:rPr>
          <w:spacing w:val="-7"/>
        </w:rPr>
        <w:t xml:space="preserve"> </w:t>
      </w:r>
      <w:r>
        <w:t>schools,</w:t>
      </w:r>
      <w:r>
        <w:rPr>
          <w:spacing w:val="-6"/>
        </w:rPr>
        <w:t xml:space="preserve"> </w:t>
      </w:r>
      <w:r>
        <w:t>national</w:t>
      </w:r>
      <w:r>
        <w:rPr>
          <w:spacing w:val="-7"/>
        </w:rPr>
        <w:t xml:space="preserve"> </w:t>
      </w:r>
      <w:r>
        <w:t>assessment,</w:t>
      </w:r>
      <w:r>
        <w:rPr>
          <w:spacing w:val="-7"/>
        </w:rPr>
        <w:t xml:space="preserve"> </w:t>
      </w:r>
      <w:r>
        <w:t>by</w:t>
      </w:r>
      <w:r>
        <w:rPr>
          <w:spacing w:val="-7"/>
        </w:rPr>
        <w:t xml:space="preserve"> </w:t>
      </w:r>
      <w:r>
        <w:t>grade</w:t>
      </w:r>
      <w:r>
        <w:rPr>
          <w:spacing w:val="-7"/>
        </w:rPr>
        <w:t xml:space="preserve"> </w:t>
      </w:r>
      <w:r>
        <w:t>and</w:t>
      </w:r>
      <w:r>
        <w:rPr>
          <w:spacing w:val="-7"/>
        </w:rPr>
        <w:t xml:space="preserve"> </w:t>
      </w:r>
      <w:r>
        <w:t>private</w:t>
      </w:r>
      <w:r>
        <w:rPr>
          <w:spacing w:val="-6"/>
        </w:rPr>
        <w:t xml:space="preserve"> </w:t>
      </w:r>
      <w:r>
        <w:t>school</w:t>
      </w:r>
      <w:r>
        <w:rPr>
          <w:spacing w:val="-7"/>
        </w:rPr>
        <w:t xml:space="preserve"> </w:t>
      </w:r>
      <w:r>
        <w:t>type:</w:t>
      </w:r>
      <w:r>
        <w:rPr>
          <w:spacing w:val="-7"/>
        </w:rPr>
        <w:t xml:space="preserve"> </w:t>
      </w:r>
      <w:r>
        <w:rPr>
          <w:spacing w:val="-4"/>
        </w:rPr>
        <w:t>2022</w:t>
      </w:r>
    </w:p>
    <w:p w:rsidR="003F5784" w14:paraId="29092408"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2003"/>
        <w:gridCol w:w="2180"/>
        <w:gridCol w:w="2461"/>
        <w:gridCol w:w="2670"/>
        <w:gridCol w:w="2231"/>
        <w:gridCol w:w="2438"/>
      </w:tblGrid>
      <w:tr w14:paraId="28D952AA" w14:textId="77777777">
        <w:tblPrEx>
          <w:tblW w:w="0" w:type="auto"/>
          <w:tblInd w:w="482" w:type="dxa"/>
          <w:tblLayout w:type="fixed"/>
          <w:tblCellMar>
            <w:left w:w="0" w:type="dxa"/>
            <w:right w:w="0" w:type="dxa"/>
          </w:tblCellMar>
          <w:tblLook w:val="01E0"/>
        </w:tblPrEx>
        <w:trPr>
          <w:trHeight w:val="268"/>
        </w:trPr>
        <w:tc>
          <w:tcPr>
            <w:tcW w:w="9314" w:type="dxa"/>
            <w:gridSpan w:val="4"/>
            <w:tcBorders>
              <w:top w:val="single" w:sz="18" w:space="0" w:color="800000"/>
            </w:tcBorders>
          </w:tcPr>
          <w:p w:rsidR="003F5784" w14:paraId="5EB81953" w14:textId="77777777">
            <w:pPr>
              <w:pStyle w:val="TableParagraph"/>
              <w:spacing w:before="9" w:line="239" w:lineRule="exact"/>
              <w:ind w:left="6093"/>
              <w:jc w:val="left"/>
              <w:rPr>
                <w:sz w:val="21"/>
              </w:rPr>
            </w:pPr>
            <w:r>
              <w:rPr>
                <w:sz w:val="21"/>
              </w:rPr>
              <w:t>Fourth</w:t>
            </w:r>
            <w:r>
              <w:rPr>
                <w:spacing w:val="-7"/>
                <w:sz w:val="21"/>
              </w:rPr>
              <w:t xml:space="preserve"> </w:t>
            </w:r>
            <w:r>
              <w:rPr>
                <w:spacing w:val="-2"/>
                <w:sz w:val="21"/>
              </w:rPr>
              <w:t>grade</w:t>
            </w:r>
          </w:p>
        </w:tc>
        <w:tc>
          <w:tcPr>
            <w:tcW w:w="4669" w:type="dxa"/>
            <w:gridSpan w:val="2"/>
            <w:tcBorders>
              <w:top w:val="single" w:sz="18" w:space="0" w:color="800000"/>
              <w:bottom w:val="single" w:sz="12" w:space="0" w:color="800000"/>
            </w:tcBorders>
          </w:tcPr>
          <w:p w:rsidR="003F5784" w14:paraId="57B07DDC" w14:textId="77777777">
            <w:pPr>
              <w:pStyle w:val="TableParagraph"/>
              <w:spacing w:before="9" w:line="239" w:lineRule="exact"/>
              <w:ind w:right="233"/>
              <w:jc w:val="center"/>
              <w:rPr>
                <w:sz w:val="21"/>
              </w:rPr>
            </w:pPr>
            <w:r>
              <w:rPr>
                <w:sz w:val="21"/>
              </w:rPr>
              <w:t>Eighth</w:t>
            </w:r>
            <w:r>
              <w:rPr>
                <w:spacing w:val="-7"/>
                <w:sz w:val="21"/>
              </w:rPr>
              <w:t xml:space="preserve"> </w:t>
            </w:r>
            <w:r>
              <w:rPr>
                <w:spacing w:val="-2"/>
                <w:sz w:val="21"/>
              </w:rPr>
              <w:t>grade</w:t>
            </w:r>
          </w:p>
        </w:tc>
      </w:tr>
      <w:tr w14:paraId="61ECA6DF" w14:textId="77777777">
        <w:tblPrEx>
          <w:tblW w:w="0" w:type="auto"/>
          <w:tblInd w:w="482" w:type="dxa"/>
          <w:tblLayout w:type="fixed"/>
          <w:tblCellMar>
            <w:left w:w="0" w:type="dxa"/>
            <w:right w:w="0" w:type="dxa"/>
          </w:tblCellMar>
          <w:tblLook w:val="01E0"/>
        </w:tblPrEx>
        <w:trPr>
          <w:trHeight w:val="268"/>
        </w:trPr>
        <w:tc>
          <w:tcPr>
            <w:tcW w:w="2003" w:type="dxa"/>
            <w:tcBorders>
              <w:bottom w:val="single" w:sz="18" w:space="0" w:color="800000"/>
            </w:tcBorders>
          </w:tcPr>
          <w:p w:rsidR="003F5784" w14:paraId="34451342" w14:textId="77777777">
            <w:pPr>
              <w:pStyle w:val="TableParagraph"/>
              <w:spacing w:before="10" w:line="238" w:lineRule="exact"/>
              <w:ind w:left="120"/>
              <w:jc w:val="left"/>
              <w:rPr>
                <w:sz w:val="21"/>
              </w:rPr>
            </w:pPr>
            <w:r>
              <w:rPr>
                <w:sz w:val="21"/>
              </w:rPr>
              <w:t>Private</w:t>
            </w:r>
            <w:r>
              <w:rPr>
                <w:spacing w:val="-7"/>
                <w:sz w:val="21"/>
              </w:rPr>
              <w:t xml:space="preserve"> </w:t>
            </w:r>
            <w:r>
              <w:rPr>
                <w:sz w:val="21"/>
              </w:rPr>
              <w:t>school</w:t>
            </w:r>
            <w:r>
              <w:rPr>
                <w:spacing w:val="-7"/>
                <w:sz w:val="21"/>
              </w:rPr>
              <w:t xml:space="preserve"> </w:t>
            </w:r>
            <w:r>
              <w:rPr>
                <w:spacing w:val="-4"/>
                <w:sz w:val="21"/>
              </w:rPr>
              <w:t>type</w:t>
            </w:r>
          </w:p>
        </w:tc>
        <w:tc>
          <w:tcPr>
            <w:tcW w:w="2180" w:type="dxa"/>
            <w:tcBorders>
              <w:bottom w:val="single" w:sz="18" w:space="0" w:color="800000"/>
            </w:tcBorders>
          </w:tcPr>
          <w:p w:rsidR="003F5784" w14:paraId="59009A1A" w14:textId="77777777">
            <w:pPr>
              <w:pStyle w:val="TableParagraph"/>
              <w:spacing w:before="10" w:line="238" w:lineRule="exact"/>
              <w:ind w:left="284"/>
              <w:jc w:val="left"/>
              <w:rPr>
                <w:sz w:val="21"/>
              </w:rPr>
            </w:pPr>
            <w:r>
              <w:rPr>
                <w:sz w:val="21"/>
              </w:rPr>
              <w:t>Eligibility</w:t>
            </w:r>
            <w:r>
              <w:rPr>
                <w:spacing w:val="-10"/>
                <w:sz w:val="21"/>
              </w:rPr>
              <w:t xml:space="preserve"> </w:t>
            </w:r>
            <w:r>
              <w:rPr>
                <w:spacing w:val="-2"/>
                <w:sz w:val="21"/>
              </w:rPr>
              <w:t>status</w:t>
            </w:r>
          </w:p>
        </w:tc>
        <w:tc>
          <w:tcPr>
            <w:tcW w:w="2461" w:type="dxa"/>
            <w:tcBorders>
              <w:top w:val="single" w:sz="12" w:space="0" w:color="800000"/>
              <w:bottom w:val="single" w:sz="18" w:space="0" w:color="800000"/>
            </w:tcBorders>
          </w:tcPr>
          <w:p w:rsidR="003F5784" w14:paraId="0724AA18" w14:textId="77777777">
            <w:pPr>
              <w:pStyle w:val="TableParagraph"/>
              <w:spacing w:before="10" w:line="238" w:lineRule="exact"/>
              <w:ind w:right="341"/>
              <w:rPr>
                <w:sz w:val="21"/>
              </w:rPr>
            </w:pPr>
            <w:r>
              <w:rPr>
                <w:sz w:val="21"/>
              </w:rPr>
              <w:t>Unweighted</w:t>
            </w:r>
            <w:r>
              <w:rPr>
                <w:spacing w:val="-12"/>
                <w:sz w:val="21"/>
              </w:rPr>
              <w:t xml:space="preserve"> </w:t>
            </w:r>
            <w:r>
              <w:rPr>
                <w:spacing w:val="-2"/>
                <w:sz w:val="21"/>
              </w:rPr>
              <w:t>count</w:t>
            </w:r>
          </w:p>
        </w:tc>
        <w:tc>
          <w:tcPr>
            <w:tcW w:w="2670" w:type="dxa"/>
            <w:tcBorders>
              <w:top w:val="single" w:sz="12" w:space="0" w:color="800000"/>
              <w:bottom w:val="single" w:sz="18" w:space="0" w:color="800000"/>
            </w:tcBorders>
          </w:tcPr>
          <w:p w:rsidR="003F5784" w14:paraId="249E1B9C" w14:textId="77777777">
            <w:pPr>
              <w:pStyle w:val="TableParagraph"/>
              <w:spacing w:before="10" w:line="238" w:lineRule="exact"/>
              <w:ind w:right="349"/>
              <w:rPr>
                <w:sz w:val="21"/>
              </w:rPr>
            </w:pPr>
            <w:r>
              <w:rPr>
                <w:sz w:val="21"/>
              </w:rPr>
              <w:t>Unweighted</w:t>
            </w:r>
            <w:r>
              <w:rPr>
                <w:spacing w:val="-12"/>
                <w:sz w:val="21"/>
              </w:rPr>
              <w:t xml:space="preserve"> </w:t>
            </w:r>
            <w:r>
              <w:rPr>
                <w:spacing w:val="-2"/>
                <w:sz w:val="21"/>
              </w:rPr>
              <w:t>percentage</w:t>
            </w:r>
          </w:p>
        </w:tc>
        <w:tc>
          <w:tcPr>
            <w:tcW w:w="2231" w:type="dxa"/>
            <w:tcBorders>
              <w:top w:val="single" w:sz="12" w:space="0" w:color="800000"/>
              <w:bottom w:val="single" w:sz="18" w:space="0" w:color="800000"/>
            </w:tcBorders>
          </w:tcPr>
          <w:p w:rsidR="003F5784" w14:paraId="6095EEAF" w14:textId="77777777">
            <w:pPr>
              <w:pStyle w:val="TableParagraph"/>
              <w:spacing w:before="10" w:line="238" w:lineRule="exact"/>
              <w:ind w:right="341"/>
              <w:rPr>
                <w:sz w:val="21"/>
              </w:rPr>
            </w:pPr>
            <w:r>
              <w:rPr>
                <w:sz w:val="21"/>
              </w:rPr>
              <w:t>Unweighted</w:t>
            </w:r>
            <w:r>
              <w:rPr>
                <w:spacing w:val="-12"/>
                <w:sz w:val="21"/>
              </w:rPr>
              <w:t xml:space="preserve"> </w:t>
            </w:r>
            <w:r>
              <w:rPr>
                <w:spacing w:val="-2"/>
                <w:sz w:val="21"/>
              </w:rPr>
              <w:t>count</w:t>
            </w:r>
          </w:p>
        </w:tc>
        <w:tc>
          <w:tcPr>
            <w:tcW w:w="2438" w:type="dxa"/>
            <w:tcBorders>
              <w:top w:val="single" w:sz="12" w:space="0" w:color="800000"/>
              <w:bottom w:val="single" w:sz="18" w:space="0" w:color="800000"/>
            </w:tcBorders>
          </w:tcPr>
          <w:p w:rsidR="003F5784" w14:paraId="72F2A68F" w14:textId="77777777">
            <w:pPr>
              <w:pStyle w:val="TableParagraph"/>
              <w:spacing w:before="10" w:line="238" w:lineRule="exact"/>
              <w:ind w:right="116"/>
              <w:rPr>
                <w:sz w:val="21"/>
              </w:rPr>
            </w:pPr>
            <w:r>
              <w:rPr>
                <w:sz w:val="21"/>
              </w:rPr>
              <w:t>Unweighted</w:t>
            </w:r>
            <w:r>
              <w:rPr>
                <w:spacing w:val="-12"/>
                <w:sz w:val="21"/>
              </w:rPr>
              <w:t xml:space="preserve"> </w:t>
            </w:r>
            <w:r>
              <w:rPr>
                <w:spacing w:val="-2"/>
                <w:sz w:val="21"/>
              </w:rPr>
              <w:t>percentage</w:t>
            </w:r>
          </w:p>
        </w:tc>
      </w:tr>
      <w:tr w14:paraId="789C8F98" w14:textId="77777777">
        <w:tblPrEx>
          <w:tblW w:w="0" w:type="auto"/>
          <w:tblInd w:w="482" w:type="dxa"/>
          <w:tblLayout w:type="fixed"/>
          <w:tblCellMar>
            <w:left w:w="0" w:type="dxa"/>
            <w:right w:w="0" w:type="dxa"/>
          </w:tblCellMar>
          <w:tblLook w:val="01E0"/>
        </w:tblPrEx>
        <w:trPr>
          <w:trHeight w:val="278"/>
        </w:trPr>
        <w:tc>
          <w:tcPr>
            <w:tcW w:w="2003" w:type="dxa"/>
            <w:tcBorders>
              <w:top w:val="single" w:sz="18" w:space="0" w:color="800000"/>
            </w:tcBorders>
          </w:tcPr>
          <w:p w:rsidR="003F5784" w14:paraId="4ECA9AA5" w14:textId="77777777">
            <w:pPr>
              <w:pStyle w:val="TableParagraph"/>
              <w:spacing w:before="9"/>
              <w:ind w:left="120"/>
              <w:jc w:val="left"/>
              <w:rPr>
                <w:sz w:val="21"/>
              </w:rPr>
            </w:pPr>
            <w:r>
              <w:rPr>
                <w:sz w:val="21"/>
              </w:rPr>
              <w:t>All</w:t>
            </w:r>
            <w:r>
              <w:rPr>
                <w:spacing w:val="-4"/>
                <w:sz w:val="21"/>
              </w:rPr>
              <w:t xml:space="preserve"> </w:t>
            </w:r>
            <w:r>
              <w:rPr>
                <w:spacing w:val="-2"/>
                <w:sz w:val="21"/>
              </w:rPr>
              <w:t>private</w:t>
            </w:r>
          </w:p>
        </w:tc>
        <w:tc>
          <w:tcPr>
            <w:tcW w:w="2180" w:type="dxa"/>
            <w:tcBorders>
              <w:top w:val="single" w:sz="18" w:space="0" w:color="800000"/>
            </w:tcBorders>
          </w:tcPr>
          <w:p w:rsidR="003F5784" w14:paraId="4D9B796B" w14:textId="77777777">
            <w:pPr>
              <w:pStyle w:val="TableParagraph"/>
              <w:spacing w:before="9"/>
              <w:ind w:left="534"/>
              <w:jc w:val="left"/>
              <w:rPr>
                <w:b/>
                <w:sz w:val="21"/>
              </w:rPr>
            </w:pPr>
            <w:r>
              <w:rPr>
                <w:b/>
                <w:spacing w:val="-2"/>
                <w:sz w:val="21"/>
              </w:rPr>
              <w:t>Total</w:t>
            </w:r>
          </w:p>
        </w:tc>
        <w:tc>
          <w:tcPr>
            <w:tcW w:w="2461" w:type="dxa"/>
            <w:tcBorders>
              <w:top w:val="single" w:sz="18" w:space="0" w:color="800000"/>
            </w:tcBorders>
          </w:tcPr>
          <w:p w:rsidR="003F5784" w14:paraId="608DD0AA" w14:textId="77777777">
            <w:pPr>
              <w:pStyle w:val="TableParagraph"/>
              <w:spacing w:before="9"/>
              <w:ind w:right="341"/>
              <w:rPr>
                <w:b/>
                <w:sz w:val="21"/>
              </w:rPr>
            </w:pPr>
            <w:r>
              <w:rPr>
                <w:b/>
                <w:spacing w:val="-5"/>
                <w:sz w:val="21"/>
              </w:rPr>
              <w:t>370</w:t>
            </w:r>
          </w:p>
        </w:tc>
        <w:tc>
          <w:tcPr>
            <w:tcW w:w="2670" w:type="dxa"/>
            <w:tcBorders>
              <w:top w:val="single" w:sz="18" w:space="0" w:color="800000"/>
            </w:tcBorders>
          </w:tcPr>
          <w:p w:rsidR="003F5784" w14:paraId="3B8AFEF2" w14:textId="77777777">
            <w:pPr>
              <w:pStyle w:val="TableParagraph"/>
              <w:spacing w:before="9"/>
              <w:ind w:right="349"/>
              <w:rPr>
                <w:b/>
                <w:sz w:val="21"/>
              </w:rPr>
            </w:pPr>
            <w:r>
              <w:rPr>
                <w:b/>
                <w:spacing w:val="-2"/>
                <w:sz w:val="21"/>
              </w:rPr>
              <w:t>100.00</w:t>
            </w:r>
          </w:p>
        </w:tc>
        <w:tc>
          <w:tcPr>
            <w:tcW w:w="2231" w:type="dxa"/>
            <w:tcBorders>
              <w:top w:val="single" w:sz="18" w:space="0" w:color="800000"/>
            </w:tcBorders>
          </w:tcPr>
          <w:p w:rsidR="003F5784" w14:paraId="5E63670C" w14:textId="77777777">
            <w:pPr>
              <w:pStyle w:val="TableParagraph"/>
              <w:spacing w:before="9"/>
              <w:ind w:right="341"/>
              <w:rPr>
                <w:b/>
                <w:sz w:val="21"/>
              </w:rPr>
            </w:pPr>
            <w:r>
              <w:rPr>
                <w:b/>
                <w:spacing w:val="-5"/>
                <w:sz w:val="21"/>
              </w:rPr>
              <w:t>360</w:t>
            </w:r>
          </w:p>
        </w:tc>
        <w:tc>
          <w:tcPr>
            <w:tcW w:w="2438" w:type="dxa"/>
            <w:tcBorders>
              <w:top w:val="single" w:sz="18" w:space="0" w:color="800000"/>
            </w:tcBorders>
          </w:tcPr>
          <w:p w:rsidR="003F5784" w14:paraId="26752F19" w14:textId="77777777">
            <w:pPr>
              <w:pStyle w:val="TableParagraph"/>
              <w:spacing w:before="9"/>
              <w:ind w:right="116"/>
              <w:rPr>
                <w:b/>
                <w:sz w:val="21"/>
              </w:rPr>
            </w:pPr>
            <w:r>
              <w:rPr>
                <w:b/>
                <w:spacing w:val="-2"/>
                <w:sz w:val="21"/>
              </w:rPr>
              <w:t>100.00</w:t>
            </w:r>
          </w:p>
        </w:tc>
      </w:tr>
      <w:tr w14:paraId="72FC10AA" w14:textId="77777777">
        <w:tblPrEx>
          <w:tblW w:w="0" w:type="auto"/>
          <w:tblInd w:w="482" w:type="dxa"/>
          <w:tblLayout w:type="fixed"/>
          <w:tblCellMar>
            <w:left w:w="0" w:type="dxa"/>
            <w:right w:w="0" w:type="dxa"/>
          </w:tblCellMar>
          <w:tblLook w:val="01E0"/>
        </w:tblPrEx>
        <w:trPr>
          <w:trHeight w:val="286"/>
        </w:trPr>
        <w:tc>
          <w:tcPr>
            <w:tcW w:w="2003" w:type="dxa"/>
          </w:tcPr>
          <w:p w:rsidR="003F5784" w14:paraId="293DBF4B" w14:textId="77777777">
            <w:pPr>
              <w:pStyle w:val="TableParagraph"/>
              <w:spacing w:before="0"/>
              <w:jc w:val="left"/>
              <w:rPr>
                <w:sz w:val="20"/>
              </w:rPr>
            </w:pPr>
          </w:p>
        </w:tc>
        <w:tc>
          <w:tcPr>
            <w:tcW w:w="2180" w:type="dxa"/>
          </w:tcPr>
          <w:p w:rsidR="003F5784" w14:paraId="40E06A80" w14:textId="77777777">
            <w:pPr>
              <w:pStyle w:val="TableParagraph"/>
              <w:ind w:left="284"/>
              <w:jc w:val="left"/>
              <w:rPr>
                <w:sz w:val="21"/>
              </w:rPr>
            </w:pPr>
            <w:r>
              <w:rPr>
                <w:spacing w:val="-2"/>
                <w:sz w:val="21"/>
              </w:rPr>
              <w:t>Ineligible</w:t>
            </w:r>
          </w:p>
        </w:tc>
        <w:tc>
          <w:tcPr>
            <w:tcW w:w="2461" w:type="dxa"/>
          </w:tcPr>
          <w:p w:rsidR="003F5784" w14:paraId="7C628A8F" w14:textId="77777777">
            <w:pPr>
              <w:pStyle w:val="TableParagraph"/>
              <w:ind w:right="341"/>
              <w:rPr>
                <w:sz w:val="21"/>
              </w:rPr>
            </w:pPr>
            <w:r>
              <w:rPr>
                <w:spacing w:val="-5"/>
                <w:sz w:val="21"/>
              </w:rPr>
              <w:t>40</w:t>
            </w:r>
          </w:p>
        </w:tc>
        <w:tc>
          <w:tcPr>
            <w:tcW w:w="2670" w:type="dxa"/>
          </w:tcPr>
          <w:p w:rsidR="003F5784" w14:paraId="6B6A9CE3" w14:textId="77777777">
            <w:pPr>
              <w:pStyle w:val="TableParagraph"/>
              <w:ind w:right="349"/>
              <w:rPr>
                <w:sz w:val="21"/>
              </w:rPr>
            </w:pPr>
            <w:r>
              <w:rPr>
                <w:spacing w:val="-2"/>
                <w:sz w:val="21"/>
              </w:rPr>
              <w:t>11.11</w:t>
            </w:r>
          </w:p>
        </w:tc>
        <w:tc>
          <w:tcPr>
            <w:tcW w:w="2231" w:type="dxa"/>
          </w:tcPr>
          <w:p w:rsidR="003F5784" w14:paraId="7411A3ED" w14:textId="77777777">
            <w:pPr>
              <w:pStyle w:val="TableParagraph"/>
              <w:ind w:right="341"/>
              <w:rPr>
                <w:sz w:val="21"/>
              </w:rPr>
            </w:pPr>
            <w:r>
              <w:rPr>
                <w:spacing w:val="-5"/>
                <w:sz w:val="21"/>
              </w:rPr>
              <w:t>30</w:t>
            </w:r>
          </w:p>
        </w:tc>
        <w:tc>
          <w:tcPr>
            <w:tcW w:w="2438" w:type="dxa"/>
          </w:tcPr>
          <w:p w:rsidR="003F5784" w14:paraId="63CAB7DA" w14:textId="77777777">
            <w:pPr>
              <w:pStyle w:val="TableParagraph"/>
              <w:ind w:right="116"/>
              <w:rPr>
                <w:sz w:val="21"/>
              </w:rPr>
            </w:pPr>
            <w:r>
              <w:rPr>
                <w:spacing w:val="-4"/>
                <w:sz w:val="21"/>
              </w:rPr>
              <w:t>9.22</w:t>
            </w:r>
          </w:p>
        </w:tc>
      </w:tr>
      <w:tr w14:paraId="204F9618" w14:textId="77777777">
        <w:tblPrEx>
          <w:tblW w:w="0" w:type="auto"/>
          <w:tblInd w:w="482" w:type="dxa"/>
          <w:tblLayout w:type="fixed"/>
          <w:tblCellMar>
            <w:left w:w="0" w:type="dxa"/>
            <w:right w:w="0" w:type="dxa"/>
          </w:tblCellMar>
          <w:tblLook w:val="01E0"/>
        </w:tblPrEx>
        <w:trPr>
          <w:trHeight w:val="289"/>
        </w:trPr>
        <w:tc>
          <w:tcPr>
            <w:tcW w:w="2003" w:type="dxa"/>
            <w:tcBorders>
              <w:bottom w:val="single" w:sz="12" w:space="0" w:color="800000"/>
            </w:tcBorders>
          </w:tcPr>
          <w:p w:rsidR="003F5784" w14:paraId="4B184E3B" w14:textId="77777777">
            <w:pPr>
              <w:pStyle w:val="TableParagraph"/>
              <w:spacing w:before="0"/>
              <w:jc w:val="left"/>
              <w:rPr>
                <w:sz w:val="20"/>
              </w:rPr>
            </w:pPr>
          </w:p>
        </w:tc>
        <w:tc>
          <w:tcPr>
            <w:tcW w:w="2180" w:type="dxa"/>
            <w:tcBorders>
              <w:bottom w:val="single" w:sz="12" w:space="0" w:color="800000"/>
            </w:tcBorders>
          </w:tcPr>
          <w:p w:rsidR="003F5784" w14:paraId="7E7E0CAA" w14:textId="77777777">
            <w:pPr>
              <w:pStyle w:val="TableParagraph"/>
              <w:ind w:left="284"/>
              <w:jc w:val="left"/>
              <w:rPr>
                <w:sz w:val="21"/>
              </w:rPr>
            </w:pPr>
            <w:r>
              <w:rPr>
                <w:spacing w:val="-2"/>
                <w:sz w:val="21"/>
              </w:rPr>
              <w:t>Eligible</w:t>
            </w:r>
          </w:p>
        </w:tc>
        <w:tc>
          <w:tcPr>
            <w:tcW w:w="2461" w:type="dxa"/>
            <w:tcBorders>
              <w:bottom w:val="single" w:sz="12" w:space="0" w:color="800000"/>
            </w:tcBorders>
          </w:tcPr>
          <w:p w:rsidR="003F5784" w14:paraId="44B8D0CA" w14:textId="77777777">
            <w:pPr>
              <w:pStyle w:val="TableParagraph"/>
              <w:ind w:right="341"/>
              <w:rPr>
                <w:sz w:val="21"/>
              </w:rPr>
            </w:pPr>
            <w:r>
              <w:rPr>
                <w:spacing w:val="-5"/>
                <w:sz w:val="21"/>
              </w:rPr>
              <w:t>330</w:t>
            </w:r>
          </w:p>
        </w:tc>
        <w:tc>
          <w:tcPr>
            <w:tcW w:w="2670" w:type="dxa"/>
            <w:tcBorders>
              <w:bottom w:val="single" w:sz="12" w:space="0" w:color="800000"/>
            </w:tcBorders>
          </w:tcPr>
          <w:p w:rsidR="003F5784" w14:paraId="012EB91E" w14:textId="77777777">
            <w:pPr>
              <w:pStyle w:val="TableParagraph"/>
              <w:ind w:right="349"/>
              <w:rPr>
                <w:sz w:val="21"/>
              </w:rPr>
            </w:pPr>
            <w:r>
              <w:rPr>
                <w:spacing w:val="-2"/>
                <w:sz w:val="21"/>
              </w:rPr>
              <w:t>88.89</w:t>
            </w:r>
          </w:p>
        </w:tc>
        <w:tc>
          <w:tcPr>
            <w:tcW w:w="2231" w:type="dxa"/>
            <w:tcBorders>
              <w:bottom w:val="single" w:sz="12" w:space="0" w:color="800000"/>
            </w:tcBorders>
          </w:tcPr>
          <w:p w:rsidR="003F5784" w14:paraId="78805E4E" w14:textId="77777777">
            <w:pPr>
              <w:pStyle w:val="TableParagraph"/>
              <w:ind w:right="341"/>
              <w:rPr>
                <w:sz w:val="21"/>
              </w:rPr>
            </w:pPr>
            <w:r>
              <w:rPr>
                <w:spacing w:val="-5"/>
                <w:sz w:val="21"/>
              </w:rPr>
              <w:t>330</w:t>
            </w:r>
          </w:p>
        </w:tc>
        <w:tc>
          <w:tcPr>
            <w:tcW w:w="2438" w:type="dxa"/>
            <w:tcBorders>
              <w:bottom w:val="single" w:sz="12" w:space="0" w:color="800000"/>
            </w:tcBorders>
          </w:tcPr>
          <w:p w:rsidR="003F5784" w14:paraId="6FAECF32" w14:textId="77777777">
            <w:pPr>
              <w:pStyle w:val="TableParagraph"/>
              <w:ind w:right="116"/>
              <w:rPr>
                <w:sz w:val="21"/>
              </w:rPr>
            </w:pPr>
            <w:r>
              <w:rPr>
                <w:spacing w:val="-2"/>
                <w:sz w:val="21"/>
              </w:rPr>
              <w:t>90.78</w:t>
            </w:r>
          </w:p>
        </w:tc>
      </w:tr>
      <w:tr w14:paraId="16009C44" w14:textId="77777777">
        <w:tblPrEx>
          <w:tblW w:w="0" w:type="auto"/>
          <w:tblInd w:w="482" w:type="dxa"/>
          <w:tblLayout w:type="fixed"/>
          <w:tblCellMar>
            <w:left w:w="0" w:type="dxa"/>
            <w:right w:w="0" w:type="dxa"/>
          </w:tblCellMar>
          <w:tblLook w:val="01E0"/>
        </w:tblPrEx>
        <w:trPr>
          <w:trHeight w:val="266"/>
        </w:trPr>
        <w:tc>
          <w:tcPr>
            <w:tcW w:w="2003" w:type="dxa"/>
            <w:tcBorders>
              <w:top w:val="single" w:sz="12" w:space="0" w:color="800000"/>
            </w:tcBorders>
          </w:tcPr>
          <w:p w:rsidR="003F5784" w14:paraId="283DE3F9" w14:textId="77777777">
            <w:pPr>
              <w:pStyle w:val="TableParagraph"/>
              <w:spacing w:before="0" w:line="239" w:lineRule="exact"/>
              <w:ind w:left="120"/>
              <w:jc w:val="left"/>
              <w:rPr>
                <w:sz w:val="21"/>
              </w:rPr>
            </w:pPr>
            <w:r>
              <w:rPr>
                <w:spacing w:val="-2"/>
                <w:sz w:val="21"/>
              </w:rPr>
              <w:t>Catholic</w:t>
            </w:r>
          </w:p>
        </w:tc>
        <w:tc>
          <w:tcPr>
            <w:tcW w:w="2180" w:type="dxa"/>
            <w:tcBorders>
              <w:top w:val="single" w:sz="12" w:space="0" w:color="800000"/>
            </w:tcBorders>
          </w:tcPr>
          <w:p w:rsidR="003F5784" w14:paraId="695F8558" w14:textId="77777777">
            <w:pPr>
              <w:pStyle w:val="TableParagraph"/>
              <w:spacing w:before="0" w:line="239" w:lineRule="exact"/>
              <w:ind w:left="534"/>
              <w:jc w:val="left"/>
              <w:rPr>
                <w:b/>
                <w:sz w:val="21"/>
              </w:rPr>
            </w:pPr>
            <w:r>
              <w:rPr>
                <w:b/>
                <w:spacing w:val="-2"/>
                <w:sz w:val="21"/>
              </w:rPr>
              <w:t>Total</w:t>
            </w:r>
          </w:p>
        </w:tc>
        <w:tc>
          <w:tcPr>
            <w:tcW w:w="2461" w:type="dxa"/>
            <w:tcBorders>
              <w:top w:val="single" w:sz="12" w:space="0" w:color="800000"/>
            </w:tcBorders>
          </w:tcPr>
          <w:p w:rsidR="003F5784" w14:paraId="108B8286" w14:textId="77777777">
            <w:pPr>
              <w:pStyle w:val="TableParagraph"/>
              <w:spacing w:before="0" w:line="239" w:lineRule="exact"/>
              <w:ind w:right="341"/>
              <w:rPr>
                <w:b/>
                <w:sz w:val="21"/>
              </w:rPr>
            </w:pPr>
            <w:r>
              <w:rPr>
                <w:b/>
                <w:spacing w:val="-5"/>
                <w:sz w:val="21"/>
              </w:rPr>
              <w:t>120</w:t>
            </w:r>
          </w:p>
        </w:tc>
        <w:tc>
          <w:tcPr>
            <w:tcW w:w="2670" w:type="dxa"/>
            <w:tcBorders>
              <w:top w:val="single" w:sz="12" w:space="0" w:color="800000"/>
            </w:tcBorders>
          </w:tcPr>
          <w:p w:rsidR="003F5784" w14:paraId="531B0454" w14:textId="77777777">
            <w:pPr>
              <w:pStyle w:val="TableParagraph"/>
              <w:spacing w:before="0" w:line="239" w:lineRule="exact"/>
              <w:ind w:right="349"/>
              <w:rPr>
                <w:b/>
                <w:sz w:val="21"/>
              </w:rPr>
            </w:pPr>
            <w:r>
              <w:rPr>
                <w:b/>
                <w:spacing w:val="-2"/>
                <w:sz w:val="21"/>
              </w:rPr>
              <w:t>100.00</w:t>
            </w:r>
          </w:p>
        </w:tc>
        <w:tc>
          <w:tcPr>
            <w:tcW w:w="2231" w:type="dxa"/>
            <w:tcBorders>
              <w:top w:val="single" w:sz="12" w:space="0" w:color="800000"/>
            </w:tcBorders>
          </w:tcPr>
          <w:p w:rsidR="003F5784" w14:paraId="4E81E674" w14:textId="77777777">
            <w:pPr>
              <w:pStyle w:val="TableParagraph"/>
              <w:spacing w:before="0" w:line="239" w:lineRule="exact"/>
              <w:ind w:right="341"/>
              <w:rPr>
                <w:b/>
                <w:sz w:val="21"/>
              </w:rPr>
            </w:pPr>
            <w:r>
              <w:rPr>
                <w:b/>
                <w:spacing w:val="-5"/>
                <w:sz w:val="21"/>
              </w:rPr>
              <w:t>110</w:t>
            </w:r>
          </w:p>
        </w:tc>
        <w:tc>
          <w:tcPr>
            <w:tcW w:w="2438" w:type="dxa"/>
            <w:tcBorders>
              <w:top w:val="single" w:sz="12" w:space="0" w:color="800000"/>
            </w:tcBorders>
          </w:tcPr>
          <w:p w:rsidR="003F5784" w14:paraId="6872C51B" w14:textId="77777777">
            <w:pPr>
              <w:pStyle w:val="TableParagraph"/>
              <w:spacing w:before="0" w:line="239" w:lineRule="exact"/>
              <w:ind w:right="116"/>
              <w:rPr>
                <w:b/>
                <w:sz w:val="21"/>
              </w:rPr>
            </w:pPr>
            <w:r>
              <w:rPr>
                <w:b/>
                <w:spacing w:val="-2"/>
                <w:sz w:val="21"/>
              </w:rPr>
              <w:t>100.00</w:t>
            </w:r>
          </w:p>
        </w:tc>
      </w:tr>
      <w:tr w14:paraId="6CF29A91" w14:textId="77777777">
        <w:tblPrEx>
          <w:tblW w:w="0" w:type="auto"/>
          <w:tblInd w:w="482" w:type="dxa"/>
          <w:tblLayout w:type="fixed"/>
          <w:tblCellMar>
            <w:left w:w="0" w:type="dxa"/>
            <w:right w:w="0" w:type="dxa"/>
          </w:tblCellMar>
          <w:tblLook w:val="01E0"/>
        </w:tblPrEx>
        <w:trPr>
          <w:trHeight w:val="286"/>
        </w:trPr>
        <w:tc>
          <w:tcPr>
            <w:tcW w:w="2003" w:type="dxa"/>
          </w:tcPr>
          <w:p w:rsidR="003F5784" w14:paraId="30778F0E" w14:textId="77777777">
            <w:pPr>
              <w:pStyle w:val="TableParagraph"/>
              <w:spacing w:before="0"/>
              <w:jc w:val="left"/>
              <w:rPr>
                <w:sz w:val="20"/>
              </w:rPr>
            </w:pPr>
          </w:p>
        </w:tc>
        <w:tc>
          <w:tcPr>
            <w:tcW w:w="2180" w:type="dxa"/>
          </w:tcPr>
          <w:p w:rsidR="003F5784" w14:paraId="75B7E852" w14:textId="77777777">
            <w:pPr>
              <w:pStyle w:val="TableParagraph"/>
              <w:ind w:left="284"/>
              <w:jc w:val="left"/>
              <w:rPr>
                <w:sz w:val="21"/>
              </w:rPr>
            </w:pPr>
            <w:r>
              <w:rPr>
                <w:spacing w:val="-2"/>
                <w:sz w:val="21"/>
              </w:rPr>
              <w:t>Ineligible</w:t>
            </w:r>
          </w:p>
        </w:tc>
        <w:tc>
          <w:tcPr>
            <w:tcW w:w="2461" w:type="dxa"/>
          </w:tcPr>
          <w:p w:rsidR="003F5784" w14:paraId="2B5882A2" w14:textId="77777777">
            <w:pPr>
              <w:pStyle w:val="TableParagraph"/>
              <w:ind w:right="341"/>
              <w:rPr>
                <w:sz w:val="21"/>
              </w:rPr>
            </w:pPr>
            <w:r>
              <w:rPr>
                <w:spacing w:val="-5"/>
                <w:sz w:val="21"/>
              </w:rPr>
              <w:t>10</w:t>
            </w:r>
          </w:p>
        </w:tc>
        <w:tc>
          <w:tcPr>
            <w:tcW w:w="2670" w:type="dxa"/>
          </w:tcPr>
          <w:p w:rsidR="003F5784" w14:paraId="7D98499A" w14:textId="77777777">
            <w:pPr>
              <w:pStyle w:val="TableParagraph"/>
              <w:ind w:right="349"/>
              <w:rPr>
                <w:sz w:val="21"/>
              </w:rPr>
            </w:pPr>
            <w:r>
              <w:rPr>
                <w:spacing w:val="-4"/>
                <w:sz w:val="21"/>
              </w:rPr>
              <w:t>5.08</w:t>
            </w:r>
          </w:p>
        </w:tc>
        <w:tc>
          <w:tcPr>
            <w:tcW w:w="2231" w:type="dxa"/>
          </w:tcPr>
          <w:p w:rsidR="003F5784" w14:paraId="564CA775" w14:textId="77777777">
            <w:pPr>
              <w:pStyle w:val="TableParagraph"/>
              <w:ind w:right="341"/>
              <w:rPr>
                <w:sz w:val="21"/>
              </w:rPr>
            </w:pPr>
            <w:r>
              <w:rPr>
                <w:spacing w:val="-5"/>
                <w:sz w:val="21"/>
              </w:rPr>
              <w:t>10</w:t>
            </w:r>
          </w:p>
        </w:tc>
        <w:tc>
          <w:tcPr>
            <w:tcW w:w="2438" w:type="dxa"/>
          </w:tcPr>
          <w:p w:rsidR="003F5784" w14:paraId="55C11FED" w14:textId="77777777">
            <w:pPr>
              <w:pStyle w:val="TableParagraph"/>
              <w:ind w:right="116"/>
              <w:rPr>
                <w:sz w:val="21"/>
              </w:rPr>
            </w:pPr>
            <w:r>
              <w:rPr>
                <w:spacing w:val="-4"/>
                <w:sz w:val="21"/>
              </w:rPr>
              <w:t>5.56</w:t>
            </w:r>
          </w:p>
        </w:tc>
      </w:tr>
      <w:tr w14:paraId="6DB36089" w14:textId="77777777">
        <w:tblPrEx>
          <w:tblW w:w="0" w:type="auto"/>
          <w:tblInd w:w="482" w:type="dxa"/>
          <w:tblLayout w:type="fixed"/>
          <w:tblCellMar>
            <w:left w:w="0" w:type="dxa"/>
            <w:right w:w="0" w:type="dxa"/>
          </w:tblCellMar>
          <w:tblLook w:val="01E0"/>
        </w:tblPrEx>
        <w:trPr>
          <w:trHeight w:val="289"/>
        </w:trPr>
        <w:tc>
          <w:tcPr>
            <w:tcW w:w="2003" w:type="dxa"/>
            <w:tcBorders>
              <w:bottom w:val="single" w:sz="12" w:space="0" w:color="800000"/>
            </w:tcBorders>
          </w:tcPr>
          <w:p w:rsidR="003F5784" w14:paraId="322093DA" w14:textId="77777777">
            <w:pPr>
              <w:pStyle w:val="TableParagraph"/>
              <w:spacing w:before="0"/>
              <w:jc w:val="left"/>
              <w:rPr>
                <w:sz w:val="20"/>
              </w:rPr>
            </w:pPr>
          </w:p>
        </w:tc>
        <w:tc>
          <w:tcPr>
            <w:tcW w:w="2180" w:type="dxa"/>
            <w:tcBorders>
              <w:bottom w:val="single" w:sz="12" w:space="0" w:color="800000"/>
            </w:tcBorders>
          </w:tcPr>
          <w:p w:rsidR="003F5784" w14:paraId="26D4F0AF" w14:textId="77777777">
            <w:pPr>
              <w:pStyle w:val="TableParagraph"/>
              <w:ind w:left="284"/>
              <w:jc w:val="left"/>
              <w:rPr>
                <w:sz w:val="21"/>
              </w:rPr>
            </w:pPr>
            <w:r>
              <w:rPr>
                <w:spacing w:val="-2"/>
                <w:sz w:val="21"/>
              </w:rPr>
              <w:t>Eligible</w:t>
            </w:r>
          </w:p>
        </w:tc>
        <w:tc>
          <w:tcPr>
            <w:tcW w:w="2461" w:type="dxa"/>
            <w:tcBorders>
              <w:bottom w:val="single" w:sz="12" w:space="0" w:color="800000"/>
            </w:tcBorders>
          </w:tcPr>
          <w:p w:rsidR="003F5784" w14:paraId="52221EEC" w14:textId="77777777">
            <w:pPr>
              <w:pStyle w:val="TableParagraph"/>
              <w:ind w:right="341"/>
              <w:rPr>
                <w:sz w:val="21"/>
              </w:rPr>
            </w:pPr>
            <w:r>
              <w:rPr>
                <w:spacing w:val="-5"/>
                <w:sz w:val="21"/>
              </w:rPr>
              <w:t>110</w:t>
            </w:r>
          </w:p>
        </w:tc>
        <w:tc>
          <w:tcPr>
            <w:tcW w:w="2670" w:type="dxa"/>
            <w:tcBorders>
              <w:bottom w:val="single" w:sz="12" w:space="0" w:color="800000"/>
            </w:tcBorders>
          </w:tcPr>
          <w:p w:rsidR="003F5784" w14:paraId="02092A2A" w14:textId="77777777">
            <w:pPr>
              <w:pStyle w:val="TableParagraph"/>
              <w:ind w:right="349"/>
              <w:rPr>
                <w:sz w:val="21"/>
              </w:rPr>
            </w:pPr>
            <w:r>
              <w:rPr>
                <w:spacing w:val="-2"/>
                <w:sz w:val="21"/>
              </w:rPr>
              <w:t>94.92</w:t>
            </w:r>
          </w:p>
        </w:tc>
        <w:tc>
          <w:tcPr>
            <w:tcW w:w="2231" w:type="dxa"/>
            <w:tcBorders>
              <w:bottom w:val="single" w:sz="12" w:space="0" w:color="800000"/>
            </w:tcBorders>
          </w:tcPr>
          <w:p w:rsidR="003F5784" w14:paraId="34A34C59" w14:textId="77777777">
            <w:pPr>
              <w:pStyle w:val="TableParagraph"/>
              <w:ind w:right="341"/>
              <w:rPr>
                <w:sz w:val="21"/>
              </w:rPr>
            </w:pPr>
            <w:r>
              <w:rPr>
                <w:spacing w:val="-5"/>
                <w:sz w:val="21"/>
              </w:rPr>
              <w:t>100</w:t>
            </w:r>
          </w:p>
        </w:tc>
        <w:tc>
          <w:tcPr>
            <w:tcW w:w="2438" w:type="dxa"/>
            <w:tcBorders>
              <w:bottom w:val="single" w:sz="12" w:space="0" w:color="800000"/>
            </w:tcBorders>
          </w:tcPr>
          <w:p w:rsidR="003F5784" w14:paraId="77B4C9EC" w14:textId="77777777">
            <w:pPr>
              <w:pStyle w:val="TableParagraph"/>
              <w:ind w:right="116"/>
              <w:rPr>
                <w:sz w:val="21"/>
              </w:rPr>
            </w:pPr>
            <w:r>
              <w:rPr>
                <w:spacing w:val="-2"/>
                <w:sz w:val="21"/>
              </w:rPr>
              <w:t>94.44</w:t>
            </w:r>
          </w:p>
        </w:tc>
      </w:tr>
      <w:tr w14:paraId="6CFB2A81" w14:textId="77777777">
        <w:tblPrEx>
          <w:tblW w:w="0" w:type="auto"/>
          <w:tblInd w:w="482" w:type="dxa"/>
          <w:tblLayout w:type="fixed"/>
          <w:tblCellMar>
            <w:left w:w="0" w:type="dxa"/>
            <w:right w:w="0" w:type="dxa"/>
          </w:tblCellMar>
          <w:tblLook w:val="01E0"/>
        </w:tblPrEx>
        <w:trPr>
          <w:trHeight w:val="266"/>
        </w:trPr>
        <w:tc>
          <w:tcPr>
            <w:tcW w:w="2003" w:type="dxa"/>
            <w:tcBorders>
              <w:top w:val="single" w:sz="12" w:space="0" w:color="800000"/>
            </w:tcBorders>
          </w:tcPr>
          <w:p w:rsidR="003F5784" w14:paraId="158B6713" w14:textId="77777777">
            <w:pPr>
              <w:pStyle w:val="TableParagraph"/>
              <w:spacing w:before="0" w:line="239" w:lineRule="exact"/>
              <w:ind w:left="120"/>
              <w:jc w:val="left"/>
              <w:rPr>
                <w:sz w:val="21"/>
              </w:rPr>
            </w:pPr>
            <w:r>
              <w:rPr>
                <w:spacing w:val="-2"/>
                <w:sz w:val="21"/>
              </w:rPr>
              <w:t>Non-Catholic</w:t>
            </w:r>
          </w:p>
        </w:tc>
        <w:tc>
          <w:tcPr>
            <w:tcW w:w="2180" w:type="dxa"/>
            <w:tcBorders>
              <w:top w:val="single" w:sz="12" w:space="0" w:color="800000"/>
            </w:tcBorders>
          </w:tcPr>
          <w:p w:rsidR="003F5784" w14:paraId="1FFE0EC2" w14:textId="77777777">
            <w:pPr>
              <w:pStyle w:val="TableParagraph"/>
              <w:spacing w:before="0" w:line="239" w:lineRule="exact"/>
              <w:ind w:left="534"/>
              <w:jc w:val="left"/>
              <w:rPr>
                <w:b/>
                <w:sz w:val="21"/>
              </w:rPr>
            </w:pPr>
            <w:r>
              <w:rPr>
                <w:b/>
                <w:spacing w:val="-2"/>
                <w:sz w:val="21"/>
              </w:rPr>
              <w:t>Total</w:t>
            </w:r>
          </w:p>
        </w:tc>
        <w:tc>
          <w:tcPr>
            <w:tcW w:w="2461" w:type="dxa"/>
            <w:tcBorders>
              <w:top w:val="single" w:sz="12" w:space="0" w:color="800000"/>
            </w:tcBorders>
          </w:tcPr>
          <w:p w:rsidR="003F5784" w14:paraId="7088ED8F" w14:textId="77777777">
            <w:pPr>
              <w:pStyle w:val="TableParagraph"/>
              <w:spacing w:before="0" w:line="239" w:lineRule="exact"/>
              <w:ind w:right="341"/>
              <w:rPr>
                <w:b/>
                <w:sz w:val="21"/>
              </w:rPr>
            </w:pPr>
            <w:r>
              <w:rPr>
                <w:b/>
                <w:spacing w:val="-5"/>
                <w:sz w:val="21"/>
              </w:rPr>
              <w:t>250</w:t>
            </w:r>
          </w:p>
        </w:tc>
        <w:tc>
          <w:tcPr>
            <w:tcW w:w="2670" w:type="dxa"/>
            <w:tcBorders>
              <w:top w:val="single" w:sz="12" w:space="0" w:color="800000"/>
            </w:tcBorders>
          </w:tcPr>
          <w:p w:rsidR="003F5784" w14:paraId="500E72EC" w14:textId="77777777">
            <w:pPr>
              <w:pStyle w:val="TableParagraph"/>
              <w:spacing w:before="0" w:line="239" w:lineRule="exact"/>
              <w:ind w:right="349"/>
              <w:rPr>
                <w:b/>
                <w:sz w:val="21"/>
              </w:rPr>
            </w:pPr>
            <w:r>
              <w:rPr>
                <w:b/>
                <w:spacing w:val="-2"/>
                <w:sz w:val="21"/>
              </w:rPr>
              <w:t>100.00</w:t>
            </w:r>
          </w:p>
        </w:tc>
        <w:tc>
          <w:tcPr>
            <w:tcW w:w="2231" w:type="dxa"/>
            <w:tcBorders>
              <w:top w:val="single" w:sz="12" w:space="0" w:color="800000"/>
            </w:tcBorders>
          </w:tcPr>
          <w:p w:rsidR="003F5784" w14:paraId="555B97D5" w14:textId="77777777">
            <w:pPr>
              <w:pStyle w:val="TableParagraph"/>
              <w:spacing w:before="0" w:line="239" w:lineRule="exact"/>
              <w:ind w:right="341"/>
              <w:rPr>
                <w:b/>
                <w:sz w:val="21"/>
              </w:rPr>
            </w:pPr>
            <w:r>
              <w:rPr>
                <w:b/>
                <w:spacing w:val="-5"/>
                <w:sz w:val="21"/>
              </w:rPr>
              <w:t>250</w:t>
            </w:r>
          </w:p>
        </w:tc>
        <w:tc>
          <w:tcPr>
            <w:tcW w:w="2438" w:type="dxa"/>
            <w:tcBorders>
              <w:top w:val="single" w:sz="12" w:space="0" w:color="800000"/>
            </w:tcBorders>
          </w:tcPr>
          <w:p w:rsidR="003F5784" w14:paraId="35DCA6E3" w14:textId="77777777">
            <w:pPr>
              <w:pStyle w:val="TableParagraph"/>
              <w:spacing w:before="0" w:line="239" w:lineRule="exact"/>
              <w:ind w:right="116"/>
              <w:rPr>
                <w:b/>
                <w:sz w:val="21"/>
              </w:rPr>
            </w:pPr>
            <w:r>
              <w:rPr>
                <w:b/>
                <w:spacing w:val="-2"/>
                <w:sz w:val="21"/>
              </w:rPr>
              <w:t>100.00</w:t>
            </w:r>
          </w:p>
        </w:tc>
      </w:tr>
      <w:tr w14:paraId="002C08D6" w14:textId="77777777">
        <w:tblPrEx>
          <w:tblW w:w="0" w:type="auto"/>
          <w:tblInd w:w="482" w:type="dxa"/>
          <w:tblLayout w:type="fixed"/>
          <w:tblCellMar>
            <w:left w:w="0" w:type="dxa"/>
            <w:right w:w="0" w:type="dxa"/>
          </w:tblCellMar>
          <w:tblLook w:val="01E0"/>
        </w:tblPrEx>
        <w:trPr>
          <w:trHeight w:val="286"/>
        </w:trPr>
        <w:tc>
          <w:tcPr>
            <w:tcW w:w="2003" w:type="dxa"/>
          </w:tcPr>
          <w:p w:rsidR="003F5784" w14:paraId="7A9A811C" w14:textId="77777777">
            <w:pPr>
              <w:pStyle w:val="TableParagraph"/>
              <w:spacing w:before="0"/>
              <w:jc w:val="left"/>
              <w:rPr>
                <w:sz w:val="20"/>
              </w:rPr>
            </w:pPr>
          </w:p>
        </w:tc>
        <w:tc>
          <w:tcPr>
            <w:tcW w:w="2180" w:type="dxa"/>
          </w:tcPr>
          <w:p w:rsidR="003F5784" w14:paraId="1457FEE5" w14:textId="77777777">
            <w:pPr>
              <w:pStyle w:val="TableParagraph"/>
              <w:ind w:left="284"/>
              <w:jc w:val="left"/>
              <w:rPr>
                <w:sz w:val="21"/>
              </w:rPr>
            </w:pPr>
            <w:r>
              <w:rPr>
                <w:spacing w:val="-2"/>
                <w:sz w:val="21"/>
              </w:rPr>
              <w:t>Ineligible</w:t>
            </w:r>
          </w:p>
        </w:tc>
        <w:tc>
          <w:tcPr>
            <w:tcW w:w="2461" w:type="dxa"/>
          </w:tcPr>
          <w:p w:rsidR="003F5784" w14:paraId="0EDA4414" w14:textId="77777777">
            <w:pPr>
              <w:pStyle w:val="TableParagraph"/>
              <w:ind w:right="341"/>
              <w:rPr>
                <w:sz w:val="21"/>
              </w:rPr>
            </w:pPr>
            <w:r>
              <w:rPr>
                <w:spacing w:val="-5"/>
                <w:sz w:val="21"/>
              </w:rPr>
              <w:t>40</w:t>
            </w:r>
          </w:p>
        </w:tc>
        <w:tc>
          <w:tcPr>
            <w:tcW w:w="2670" w:type="dxa"/>
          </w:tcPr>
          <w:p w:rsidR="003F5784" w14:paraId="66725F2C" w14:textId="77777777">
            <w:pPr>
              <w:pStyle w:val="TableParagraph"/>
              <w:ind w:right="349"/>
              <w:rPr>
                <w:sz w:val="21"/>
              </w:rPr>
            </w:pPr>
            <w:r>
              <w:rPr>
                <w:spacing w:val="-2"/>
                <w:sz w:val="21"/>
              </w:rPr>
              <w:t>13.94</w:t>
            </w:r>
          </w:p>
        </w:tc>
        <w:tc>
          <w:tcPr>
            <w:tcW w:w="2231" w:type="dxa"/>
          </w:tcPr>
          <w:p w:rsidR="003F5784" w14:paraId="4CBA05C2" w14:textId="77777777">
            <w:pPr>
              <w:pStyle w:val="TableParagraph"/>
              <w:ind w:right="341"/>
              <w:rPr>
                <w:sz w:val="21"/>
              </w:rPr>
            </w:pPr>
            <w:r>
              <w:rPr>
                <w:spacing w:val="-5"/>
                <w:sz w:val="21"/>
              </w:rPr>
              <w:t>30</w:t>
            </w:r>
          </w:p>
        </w:tc>
        <w:tc>
          <w:tcPr>
            <w:tcW w:w="2438" w:type="dxa"/>
          </w:tcPr>
          <w:p w:rsidR="003F5784" w14:paraId="177BB719" w14:textId="77777777">
            <w:pPr>
              <w:pStyle w:val="TableParagraph"/>
              <w:ind w:right="116"/>
              <w:rPr>
                <w:sz w:val="21"/>
              </w:rPr>
            </w:pPr>
            <w:r>
              <w:rPr>
                <w:spacing w:val="-2"/>
                <w:sz w:val="21"/>
              </w:rPr>
              <w:t>10.80</w:t>
            </w:r>
          </w:p>
        </w:tc>
      </w:tr>
      <w:tr w14:paraId="4D4531FE" w14:textId="77777777">
        <w:tblPrEx>
          <w:tblW w:w="0" w:type="auto"/>
          <w:tblInd w:w="482" w:type="dxa"/>
          <w:tblLayout w:type="fixed"/>
          <w:tblCellMar>
            <w:left w:w="0" w:type="dxa"/>
            <w:right w:w="0" w:type="dxa"/>
          </w:tblCellMar>
          <w:tblLook w:val="01E0"/>
        </w:tblPrEx>
        <w:trPr>
          <w:trHeight w:val="288"/>
        </w:trPr>
        <w:tc>
          <w:tcPr>
            <w:tcW w:w="2003" w:type="dxa"/>
            <w:tcBorders>
              <w:bottom w:val="single" w:sz="18" w:space="0" w:color="800000"/>
            </w:tcBorders>
          </w:tcPr>
          <w:p w:rsidR="003F5784" w14:paraId="345BA98C" w14:textId="77777777">
            <w:pPr>
              <w:pStyle w:val="TableParagraph"/>
              <w:spacing w:before="0"/>
              <w:jc w:val="left"/>
              <w:rPr>
                <w:sz w:val="20"/>
              </w:rPr>
            </w:pPr>
          </w:p>
        </w:tc>
        <w:tc>
          <w:tcPr>
            <w:tcW w:w="2180" w:type="dxa"/>
            <w:tcBorders>
              <w:bottom w:val="single" w:sz="18" w:space="0" w:color="800000"/>
            </w:tcBorders>
          </w:tcPr>
          <w:p w:rsidR="003F5784" w14:paraId="3B84355B" w14:textId="77777777">
            <w:pPr>
              <w:pStyle w:val="TableParagraph"/>
              <w:ind w:left="284"/>
              <w:jc w:val="left"/>
              <w:rPr>
                <w:sz w:val="21"/>
              </w:rPr>
            </w:pPr>
            <w:r>
              <w:rPr>
                <w:spacing w:val="-2"/>
                <w:sz w:val="21"/>
              </w:rPr>
              <w:t>Eligible</w:t>
            </w:r>
          </w:p>
        </w:tc>
        <w:tc>
          <w:tcPr>
            <w:tcW w:w="2461" w:type="dxa"/>
            <w:tcBorders>
              <w:bottom w:val="single" w:sz="18" w:space="0" w:color="800000"/>
            </w:tcBorders>
          </w:tcPr>
          <w:p w:rsidR="003F5784" w14:paraId="59FFAF96" w14:textId="77777777">
            <w:pPr>
              <w:pStyle w:val="TableParagraph"/>
              <w:ind w:right="341"/>
              <w:rPr>
                <w:sz w:val="21"/>
              </w:rPr>
            </w:pPr>
            <w:r>
              <w:rPr>
                <w:spacing w:val="-5"/>
                <w:sz w:val="21"/>
              </w:rPr>
              <w:t>220</w:t>
            </w:r>
          </w:p>
        </w:tc>
        <w:tc>
          <w:tcPr>
            <w:tcW w:w="2670" w:type="dxa"/>
            <w:tcBorders>
              <w:bottom w:val="single" w:sz="18" w:space="0" w:color="800000"/>
            </w:tcBorders>
          </w:tcPr>
          <w:p w:rsidR="003F5784" w14:paraId="40FFEAEE" w14:textId="77777777">
            <w:pPr>
              <w:pStyle w:val="TableParagraph"/>
              <w:ind w:right="349"/>
              <w:rPr>
                <w:sz w:val="21"/>
              </w:rPr>
            </w:pPr>
            <w:r>
              <w:rPr>
                <w:spacing w:val="-2"/>
                <w:sz w:val="21"/>
              </w:rPr>
              <w:t>86.06</w:t>
            </w:r>
          </w:p>
        </w:tc>
        <w:tc>
          <w:tcPr>
            <w:tcW w:w="2231" w:type="dxa"/>
            <w:tcBorders>
              <w:bottom w:val="single" w:sz="18" w:space="0" w:color="800000"/>
            </w:tcBorders>
          </w:tcPr>
          <w:p w:rsidR="003F5784" w14:paraId="34E47358" w14:textId="77777777">
            <w:pPr>
              <w:pStyle w:val="TableParagraph"/>
              <w:ind w:right="341"/>
              <w:rPr>
                <w:sz w:val="21"/>
              </w:rPr>
            </w:pPr>
            <w:r>
              <w:rPr>
                <w:spacing w:val="-5"/>
                <w:sz w:val="21"/>
              </w:rPr>
              <w:t>220</w:t>
            </w:r>
          </w:p>
        </w:tc>
        <w:tc>
          <w:tcPr>
            <w:tcW w:w="2438" w:type="dxa"/>
            <w:tcBorders>
              <w:bottom w:val="single" w:sz="18" w:space="0" w:color="800000"/>
            </w:tcBorders>
          </w:tcPr>
          <w:p w:rsidR="003F5784" w14:paraId="3B29CA5D" w14:textId="77777777">
            <w:pPr>
              <w:pStyle w:val="TableParagraph"/>
              <w:ind w:right="116"/>
              <w:rPr>
                <w:sz w:val="21"/>
              </w:rPr>
            </w:pPr>
            <w:r>
              <w:rPr>
                <w:spacing w:val="-2"/>
                <w:sz w:val="21"/>
              </w:rPr>
              <w:t>89.20</w:t>
            </w:r>
          </w:p>
        </w:tc>
      </w:tr>
      <w:tr w14:paraId="5C1A1634" w14:textId="77777777">
        <w:tblPrEx>
          <w:tblW w:w="0" w:type="auto"/>
          <w:tblInd w:w="482" w:type="dxa"/>
          <w:tblLayout w:type="fixed"/>
          <w:tblCellMar>
            <w:left w:w="0" w:type="dxa"/>
            <w:right w:w="0" w:type="dxa"/>
          </w:tblCellMar>
          <w:tblLook w:val="01E0"/>
        </w:tblPrEx>
        <w:trPr>
          <w:trHeight w:val="237"/>
        </w:trPr>
        <w:tc>
          <w:tcPr>
            <w:tcW w:w="13983" w:type="dxa"/>
            <w:gridSpan w:val="6"/>
            <w:tcBorders>
              <w:top w:val="single" w:sz="18" w:space="0" w:color="800000"/>
            </w:tcBorders>
          </w:tcPr>
          <w:p w:rsidR="003F5784" w14:paraId="729BBFCD" w14:textId="77777777">
            <w:pPr>
              <w:pStyle w:val="TableParagraph"/>
              <w:spacing w:before="0" w:line="218" w:lineRule="exact"/>
              <w:ind w:left="120"/>
              <w:jc w:val="left"/>
              <w:rPr>
                <w:sz w:val="21"/>
              </w:rPr>
            </w:pPr>
            <w:r>
              <w:rPr>
                <w:sz w:val="21"/>
              </w:rPr>
              <w:t>NOTE:</w:t>
            </w:r>
            <w:r>
              <w:rPr>
                <w:spacing w:val="-6"/>
                <w:sz w:val="21"/>
              </w:rPr>
              <w:t xml:space="preserve"> </w:t>
            </w:r>
            <w:r>
              <w:rPr>
                <w:sz w:val="21"/>
              </w:rPr>
              <w:t>Numbers</w:t>
            </w:r>
            <w:r>
              <w:rPr>
                <w:spacing w:val="-6"/>
                <w:sz w:val="21"/>
              </w:rPr>
              <w:t xml:space="preserve"> </w:t>
            </w:r>
            <w:r>
              <w:rPr>
                <w:sz w:val="21"/>
              </w:rPr>
              <w:t>of</w:t>
            </w:r>
            <w:r>
              <w:rPr>
                <w:spacing w:val="-5"/>
                <w:sz w:val="21"/>
              </w:rPr>
              <w:t xml:space="preserve"> </w:t>
            </w:r>
            <w:r>
              <w:rPr>
                <w:sz w:val="21"/>
              </w:rPr>
              <w:t>schools</w:t>
            </w:r>
            <w:r>
              <w:rPr>
                <w:spacing w:val="-6"/>
                <w:sz w:val="21"/>
              </w:rPr>
              <w:t xml:space="preserve"> </w:t>
            </w:r>
            <w:r>
              <w:rPr>
                <w:sz w:val="21"/>
              </w:rPr>
              <w:t>are</w:t>
            </w:r>
            <w:r>
              <w:rPr>
                <w:spacing w:val="-5"/>
                <w:sz w:val="21"/>
              </w:rPr>
              <w:t xml:space="preserve"> </w:t>
            </w:r>
            <w:r>
              <w:rPr>
                <w:sz w:val="21"/>
              </w:rPr>
              <w:t>rounded</w:t>
            </w:r>
            <w:r>
              <w:rPr>
                <w:spacing w:val="-6"/>
                <w:sz w:val="21"/>
              </w:rPr>
              <w:t xml:space="preserve"> </w:t>
            </w:r>
            <w:r>
              <w:rPr>
                <w:sz w:val="21"/>
              </w:rPr>
              <w:t>to</w:t>
            </w:r>
            <w:r>
              <w:rPr>
                <w:spacing w:val="-5"/>
                <w:sz w:val="21"/>
              </w:rPr>
              <w:t xml:space="preserve"> </w:t>
            </w:r>
            <w:r>
              <w:rPr>
                <w:sz w:val="21"/>
              </w:rPr>
              <w:t>nearest</w:t>
            </w:r>
            <w:r>
              <w:rPr>
                <w:spacing w:val="-6"/>
                <w:sz w:val="21"/>
              </w:rPr>
              <w:t xml:space="preserve"> </w:t>
            </w:r>
            <w:r>
              <w:rPr>
                <w:sz w:val="21"/>
              </w:rPr>
              <w:t>ten.</w:t>
            </w:r>
            <w:r>
              <w:rPr>
                <w:spacing w:val="-5"/>
                <w:sz w:val="21"/>
              </w:rPr>
              <w:t xml:space="preserve"> </w:t>
            </w:r>
            <w:r>
              <w:rPr>
                <w:sz w:val="21"/>
              </w:rPr>
              <w:t>Detail</w:t>
            </w:r>
            <w:r>
              <w:rPr>
                <w:spacing w:val="-6"/>
                <w:sz w:val="21"/>
              </w:rPr>
              <w:t xml:space="preserve"> </w:t>
            </w:r>
            <w:r>
              <w:rPr>
                <w:sz w:val="21"/>
              </w:rPr>
              <w:t>may</w:t>
            </w:r>
            <w:r>
              <w:rPr>
                <w:spacing w:val="-5"/>
                <w:sz w:val="21"/>
              </w:rPr>
              <w:t xml:space="preserve"> </w:t>
            </w:r>
            <w:r>
              <w:rPr>
                <w:sz w:val="21"/>
              </w:rPr>
              <w:t>not</w:t>
            </w:r>
            <w:r>
              <w:rPr>
                <w:spacing w:val="-6"/>
                <w:sz w:val="21"/>
              </w:rPr>
              <w:t xml:space="preserve"> </w:t>
            </w:r>
            <w:r>
              <w:rPr>
                <w:sz w:val="21"/>
              </w:rPr>
              <w:t>sum</w:t>
            </w:r>
            <w:r>
              <w:rPr>
                <w:spacing w:val="-5"/>
                <w:sz w:val="21"/>
              </w:rPr>
              <w:t xml:space="preserve"> </w:t>
            </w:r>
            <w:r>
              <w:rPr>
                <w:sz w:val="21"/>
              </w:rPr>
              <w:t>to</w:t>
            </w:r>
            <w:r>
              <w:rPr>
                <w:spacing w:val="-6"/>
                <w:sz w:val="21"/>
              </w:rPr>
              <w:t xml:space="preserve"> </w:t>
            </w:r>
            <w:r>
              <w:rPr>
                <w:sz w:val="21"/>
              </w:rPr>
              <w:t>totals</w:t>
            </w:r>
            <w:r>
              <w:rPr>
                <w:spacing w:val="-6"/>
                <w:sz w:val="21"/>
              </w:rPr>
              <w:t xml:space="preserve"> </w:t>
            </w:r>
            <w:r>
              <w:rPr>
                <w:sz w:val="21"/>
              </w:rPr>
              <w:t>due</w:t>
            </w:r>
            <w:r>
              <w:rPr>
                <w:spacing w:val="-5"/>
                <w:sz w:val="21"/>
              </w:rPr>
              <w:t xml:space="preserve"> </w:t>
            </w:r>
            <w:r>
              <w:rPr>
                <w:sz w:val="21"/>
              </w:rPr>
              <w:t>to</w:t>
            </w:r>
            <w:r>
              <w:rPr>
                <w:spacing w:val="-6"/>
                <w:sz w:val="21"/>
              </w:rPr>
              <w:t xml:space="preserve"> </w:t>
            </w:r>
            <w:r>
              <w:rPr>
                <w:sz w:val="21"/>
              </w:rPr>
              <w:t>rounding.</w:t>
            </w:r>
            <w:r>
              <w:rPr>
                <w:spacing w:val="-5"/>
                <w:sz w:val="21"/>
              </w:rPr>
              <w:t xml:space="preserve"> </w:t>
            </w:r>
            <w:r>
              <w:rPr>
                <w:sz w:val="21"/>
              </w:rPr>
              <w:t>Percentages</w:t>
            </w:r>
            <w:r>
              <w:rPr>
                <w:spacing w:val="-6"/>
                <w:sz w:val="21"/>
              </w:rPr>
              <w:t xml:space="preserve"> </w:t>
            </w:r>
            <w:r>
              <w:rPr>
                <w:sz w:val="21"/>
              </w:rPr>
              <w:t>are</w:t>
            </w:r>
            <w:r>
              <w:rPr>
                <w:spacing w:val="-5"/>
                <w:sz w:val="21"/>
              </w:rPr>
              <w:t xml:space="preserve"> </w:t>
            </w:r>
            <w:r>
              <w:rPr>
                <w:sz w:val="21"/>
              </w:rPr>
              <w:t>based</w:t>
            </w:r>
            <w:r>
              <w:rPr>
                <w:spacing w:val="-6"/>
                <w:sz w:val="21"/>
              </w:rPr>
              <w:t xml:space="preserve"> </w:t>
            </w:r>
            <w:r>
              <w:rPr>
                <w:sz w:val="21"/>
              </w:rPr>
              <w:t>on</w:t>
            </w:r>
            <w:r>
              <w:rPr>
                <w:spacing w:val="-5"/>
                <w:sz w:val="21"/>
              </w:rPr>
              <w:t xml:space="preserve"> </w:t>
            </w:r>
            <w:r>
              <w:rPr>
                <w:sz w:val="21"/>
              </w:rPr>
              <w:t>unrounded</w:t>
            </w:r>
            <w:r>
              <w:rPr>
                <w:spacing w:val="-6"/>
                <w:sz w:val="21"/>
              </w:rPr>
              <w:t xml:space="preserve"> </w:t>
            </w:r>
            <w:r>
              <w:rPr>
                <w:spacing w:val="-2"/>
                <w:sz w:val="21"/>
              </w:rPr>
              <w:t>counts.</w:t>
            </w:r>
          </w:p>
        </w:tc>
      </w:tr>
    </w:tbl>
    <w:p w:rsidR="003F5784" w14:paraId="6FD2B71C" w14:textId="77777777">
      <w:pPr>
        <w:pStyle w:val="BodyText"/>
        <w:spacing w:before="5"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National Mathematics and Reading Assessments.</w:t>
      </w:r>
    </w:p>
    <w:p w:rsidR="003F5784" w14:paraId="01C78E6F" w14:textId="77777777">
      <w:pPr>
        <w:pStyle w:val="BodyText"/>
      </w:pPr>
    </w:p>
    <w:p w:rsidR="003F5784" w14:paraId="5FAFE31B" w14:textId="77777777">
      <w:pPr>
        <w:pStyle w:val="BodyText"/>
      </w:pPr>
    </w:p>
    <w:p w:rsidR="003F5784" w14:paraId="79A87825" w14:textId="77777777">
      <w:pPr>
        <w:pStyle w:val="BodyText"/>
        <w:spacing w:before="197"/>
      </w:pPr>
    </w:p>
    <w:p w:rsidR="003F5784" w14:paraId="4F162584" w14:textId="77777777">
      <w:pPr>
        <w:spacing w:before="1"/>
        <w:ind w:left="1195"/>
        <w:rPr>
          <w:sz w:val="18"/>
        </w:rPr>
      </w:pPr>
      <w:hyperlink r:id="rId87">
        <w:r>
          <w:rPr>
            <w:spacing w:val="-2"/>
            <w:w w:val="105"/>
            <w:sz w:val="18"/>
          </w:rPr>
          <w:t>http://nces.ed.gov/nationsreportcard/tdw/sample_design/2022/total_and_eligible_sample_schools_for_the_2022_fourth_and_eighth_grade_private_school_national_assessment.aspx</w:t>
        </w:r>
      </w:hyperlink>
    </w:p>
    <w:p w:rsidR="003F5784" w14:paraId="1FAA1F62" w14:textId="77777777">
      <w:pPr>
        <w:pStyle w:val="BodyText"/>
        <w:rPr>
          <w:sz w:val="16"/>
        </w:rPr>
      </w:pPr>
      <w:r>
        <w:rPr>
          <w:noProof/>
        </w:rPr>
        <mc:AlternateContent>
          <mc:Choice Requires="wps">
            <w:drawing>
              <wp:anchor distT="0" distB="0" distL="0" distR="0" simplePos="0" relativeHeight="251796480" behindDoc="1" locked="0" layoutInCell="1" allowOverlap="1">
                <wp:simplePos x="0" y="0"/>
                <wp:positionH relativeFrom="page">
                  <wp:posOffset>361937</wp:posOffset>
                </wp:positionH>
                <wp:positionV relativeFrom="paragraph">
                  <wp:posOffset>132404</wp:posOffset>
                </wp:positionV>
                <wp:extent cx="9339580" cy="8890"/>
                <wp:effectExtent l="0" t="0" r="0" b="0"/>
                <wp:wrapTopAndBottom/>
                <wp:docPr id="106" name="Graphic 10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06" o:spid="_x0000_s1069" style="width:735.4pt;height:0.7pt;margin-top:10.45pt;margin-left:28.5pt;mso-position-horizontal-relative:page;mso-wrap-distance-bottom:0;mso-wrap-distance-left:0;mso-wrap-distance-right:0;mso-wrap-distance-top:0;mso-wrap-style:square;position:absolute;visibility:visible;v-text-anchor:top;z-index:-251518976" coordsize="9339580,8890" path="m9338970,l9335110,l,,,8280l8280,8280l9335110,8280l9338970,8280l9338970,xe" fillcolor="gray" stroked="f">
                <v:path arrowok="t"/>
                <w10:wrap type="topAndBottom"/>
              </v:shape>
            </w:pict>
          </mc:Fallback>
        </mc:AlternateContent>
      </w:r>
    </w:p>
    <w:p w:rsidR="003F5784" w14:paraId="5C82B1B1" w14:textId="77777777">
      <w:pPr>
        <w:pStyle w:val="BodyText"/>
        <w:rPr>
          <w:sz w:val="18"/>
        </w:rPr>
      </w:pPr>
    </w:p>
    <w:p w:rsidR="003F5784" w14:paraId="1CE7AAE5" w14:textId="77777777">
      <w:pPr>
        <w:pStyle w:val="BodyText"/>
        <w:spacing w:before="193"/>
        <w:rPr>
          <w:sz w:val="18"/>
        </w:rPr>
      </w:pPr>
    </w:p>
    <w:p w:rsidR="003F5784" w14:paraId="7E93D3A0" w14:textId="163F0315">
      <w:pPr>
        <w:pStyle w:val="Heading1"/>
        <w:spacing w:line="244" w:lineRule="auto"/>
      </w:pPr>
      <w:r>
        <w:t>NAEP</w:t>
      </w:r>
      <w:r>
        <w:rPr>
          <w:spacing w:val="-16"/>
        </w:rPr>
        <w:t xml:space="preserve"> </w:t>
      </w:r>
      <w:r>
        <w:t>Technical Documentation</w:t>
      </w:r>
      <w:r w:rsidR="00F3629E">
        <w:t xml:space="preserve"> </w:t>
      </w:r>
      <w:r>
        <w:t>Sampling Frame for the 2022 Fourth- and Eighth- Grade</w:t>
      </w:r>
      <w:r>
        <w:rPr>
          <w:spacing w:val="40"/>
        </w:rPr>
        <w:t xml:space="preserve"> </w:t>
      </w:r>
      <w:r>
        <w:t>Private</w:t>
      </w:r>
      <w:r>
        <w:rPr>
          <w:spacing w:val="40"/>
        </w:rPr>
        <w:t xml:space="preserve"> </w:t>
      </w:r>
      <w:r>
        <w:t>School</w:t>
      </w:r>
      <w:r>
        <w:rPr>
          <w:spacing w:val="40"/>
        </w:rPr>
        <w:t xml:space="preserve"> </w:t>
      </w:r>
      <w:r>
        <w:t>National Assessment</w:t>
      </w:r>
      <w:r>
        <w:rPr>
          <w:spacing w:val="40"/>
        </w:rPr>
        <w:t xml:space="preserve"> </w:t>
      </w:r>
      <w:r>
        <w:t>in</w:t>
      </w:r>
      <w:r>
        <w:rPr>
          <w:spacing w:val="40"/>
        </w:rPr>
        <w:t xml:space="preserve"> </w:t>
      </w:r>
      <w:r>
        <w:t>Mathematics</w:t>
      </w:r>
      <w:r>
        <w:rPr>
          <w:spacing w:val="40"/>
        </w:rPr>
        <w:t xml:space="preserve"> </w:t>
      </w:r>
      <w:r>
        <w:t>and</w:t>
      </w:r>
      <w:r>
        <w:rPr>
          <w:spacing w:val="40"/>
        </w:rPr>
        <w:t xml:space="preserve"> </w:t>
      </w:r>
      <w:r>
        <w:t>Reading</w:t>
      </w:r>
    </w:p>
    <w:p w:rsidR="003F5784" w14:paraId="082AA96C" w14:textId="77777777">
      <w:pPr>
        <w:pStyle w:val="BodyText"/>
        <w:spacing w:before="7"/>
        <w:rPr>
          <w:b/>
          <w:sz w:val="16"/>
        </w:rPr>
      </w:pPr>
    </w:p>
    <w:p w:rsidR="003F5784" w14:paraId="67B2574B" w14:textId="77777777">
      <w:pPr>
        <w:rPr>
          <w:sz w:val="16"/>
        </w:rPr>
        <w:sectPr>
          <w:pgSz w:w="15840" w:h="12240" w:orient="landscape"/>
          <w:pgMar w:top="480" w:right="440" w:bottom="460" w:left="460" w:header="284" w:footer="275" w:gutter="0"/>
          <w:cols w:space="720"/>
        </w:sectPr>
      </w:pPr>
    </w:p>
    <w:p w:rsidR="003F5784" w14:paraId="3FCBC7E4" w14:textId="77777777">
      <w:pPr>
        <w:pStyle w:val="BodyText"/>
        <w:spacing w:before="96" w:line="232" w:lineRule="auto"/>
        <w:ind w:left="109"/>
      </w:pPr>
      <w:r>
        <w:t>The</w:t>
      </w:r>
      <w:r>
        <w:rPr>
          <w:spacing w:val="-3"/>
        </w:rPr>
        <w:t xml:space="preserve"> </w:t>
      </w:r>
      <w:r>
        <w:t>primary</w:t>
      </w:r>
      <w:r>
        <w:rPr>
          <w:spacing w:val="-3"/>
        </w:rPr>
        <w:t xml:space="preserve"> </w:t>
      </w:r>
      <w:r>
        <w:t>sampling</w:t>
      </w:r>
      <w:r>
        <w:rPr>
          <w:spacing w:val="-3"/>
        </w:rPr>
        <w:t xml:space="preserve"> </w:t>
      </w:r>
      <w:r>
        <w:t>frames</w:t>
      </w:r>
      <w:r>
        <w:rPr>
          <w:spacing w:val="-3"/>
        </w:rPr>
        <w:t xml:space="preserve"> </w:t>
      </w:r>
      <w:r>
        <w:t>for</w:t>
      </w:r>
      <w:r>
        <w:rPr>
          <w:spacing w:val="-3"/>
        </w:rPr>
        <w:t xml:space="preserve"> </w:t>
      </w:r>
      <w:r>
        <w:t>the</w:t>
      </w:r>
      <w:r>
        <w:rPr>
          <w:spacing w:val="-3"/>
        </w:rPr>
        <w:t xml:space="preserve"> </w:t>
      </w:r>
      <w:r>
        <w:t>2022</w:t>
      </w:r>
      <w:r>
        <w:rPr>
          <w:spacing w:val="-3"/>
        </w:rPr>
        <w:t xml:space="preserve"> </w:t>
      </w:r>
      <w:r>
        <w:t>fourth-</w:t>
      </w:r>
      <w:r>
        <w:rPr>
          <w:spacing w:val="-3"/>
        </w:rPr>
        <w:t xml:space="preserve"> </w:t>
      </w:r>
      <w:r>
        <w:t>and</w:t>
      </w:r>
      <w:r>
        <w:rPr>
          <w:spacing w:val="-3"/>
        </w:rPr>
        <w:t xml:space="preserve"> </w:t>
      </w:r>
      <w:r>
        <w:t>eighth-grade</w:t>
      </w:r>
      <w:r>
        <w:rPr>
          <w:spacing w:val="-3"/>
        </w:rPr>
        <w:t xml:space="preserve"> </w:t>
      </w:r>
      <w:r>
        <w:t>private</w:t>
      </w:r>
      <w:r>
        <w:rPr>
          <w:spacing w:val="-3"/>
        </w:rPr>
        <w:t xml:space="preserve"> </w:t>
      </w:r>
      <w:r>
        <w:t>school</w:t>
      </w:r>
      <w:r>
        <w:rPr>
          <w:spacing w:val="-3"/>
        </w:rPr>
        <w:t xml:space="preserve"> </w:t>
      </w:r>
      <w:r>
        <w:t>samples</w:t>
      </w:r>
      <w:r>
        <w:rPr>
          <w:spacing w:val="-3"/>
        </w:rPr>
        <w:t xml:space="preserve"> </w:t>
      </w:r>
      <w:r>
        <w:t>for</w:t>
      </w:r>
      <w:r>
        <w:rPr>
          <w:spacing w:val="-3"/>
        </w:rPr>
        <w:t xml:space="preserve"> </w:t>
      </w:r>
      <w:r>
        <w:t>the</w:t>
      </w:r>
      <w:r>
        <w:rPr>
          <w:spacing w:val="-3"/>
        </w:rPr>
        <w:t xml:space="preserve"> </w:t>
      </w:r>
      <w:r>
        <w:t>national</w:t>
      </w:r>
      <w:r>
        <w:rPr>
          <w:spacing w:val="-3"/>
        </w:rPr>
        <w:t xml:space="preserve"> </w:t>
      </w:r>
      <w:r>
        <w:t>mathematics</w:t>
      </w:r>
      <w:r>
        <w:rPr>
          <w:spacing w:val="-3"/>
        </w:rPr>
        <w:t xml:space="preserve"> </w:t>
      </w:r>
      <w:r>
        <w:t>and reading</w:t>
      </w:r>
      <w:r>
        <w:rPr>
          <w:spacing w:val="-8"/>
        </w:rPr>
        <w:t xml:space="preserve"> </w:t>
      </w:r>
      <w:r>
        <w:t>assessments</w:t>
      </w:r>
      <w:r>
        <w:rPr>
          <w:spacing w:val="-8"/>
        </w:rPr>
        <w:t xml:space="preserve"> </w:t>
      </w:r>
      <w:r>
        <w:t>were</w:t>
      </w:r>
      <w:r>
        <w:rPr>
          <w:spacing w:val="-8"/>
        </w:rPr>
        <w:t xml:space="preserve"> </w:t>
      </w:r>
      <w:r>
        <w:t>developed</w:t>
      </w:r>
      <w:r>
        <w:rPr>
          <w:spacing w:val="-8"/>
        </w:rPr>
        <w:t xml:space="preserve"> </w:t>
      </w:r>
      <w:r>
        <w:t>from</w:t>
      </w:r>
      <w:r>
        <w:rPr>
          <w:spacing w:val="-8"/>
        </w:rPr>
        <w:t xml:space="preserve"> </w:t>
      </w:r>
      <w:r>
        <w:t>the</w:t>
      </w:r>
      <w:r>
        <w:rPr>
          <w:spacing w:val="-8"/>
        </w:rPr>
        <w:t xml:space="preserve"> </w:t>
      </w:r>
      <w:r>
        <w:rPr>
          <w:color w:val="0066CC"/>
        </w:rPr>
        <w:t>Private</w:t>
      </w:r>
      <w:r>
        <w:rPr>
          <w:color w:val="0066CC"/>
          <w:spacing w:val="-8"/>
        </w:rPr>
        <w:t xml:space="preserve"> </w:t>
      </w:r>
      <w:r>
        <w:rPr>
          <w:color w:val="0066CC"/>
        </w:rPr>
        <w:t>School</w:t>
      </w:r>
      <w:r>
        <w:rPr>
          <w:color w:val="0066CC"/>
          <w:spacing w:val="-8"/>
        </w:rPr>
        <w:t xml:space="preserve"> </w:t>
      </w:r>
      <w:r>
        <w:rPr>
          <w:color w:val="0066CC"/>
        </w:rPr>
        <w:t>Universe</w:t>
      </w:r>
      <w:r>
        <w:rPr>
          <w:color w:val="0066CC"/>
          <w:spacing w:val="-8"/>
        </w:rPr>
        <w:t xml:space="preserve"> </w:t>
      </w:r>
      <w:r>
        <w:rPr>
          <w:color w:val="0066CC"/>
        </w:rPr>
        <w:t>Survey</w:t>
      </w:r>
      <w:r>
        <w:rPr>
          <w:color w:val="0066CC"/>
          <w:spacing w:val="-8"/>
        </w:rPr>
        <w:t xml:space="preserve"> </w:t>
      </w:r>
      <w:r>
        <w:rPr>
          <w:color w:val="0066CC"/>
        </w:rPr>
        <w:t>(PSS)</w:t>
      </w:r>
      <w:r>
        <w:rPr>
          <w:color w:val="0066CC"/>
          <w:spacing w:val="-8"/>
        </w:rPr>
        <w:t xml:space="preserve"> </w:t>
      </w:r>
      <w:r>
        <w:t>corresponding</w:t>
      </w:r>
      <w:r>
        <w:rPr>
          <w:spacing w:val="-8"/>
        </w:rPr>
        <w:t xml:space="preserve"> </w:t>
      </w:r>
      <w:r>
        <w:t>to</w:t>
      </w:r>
      <w:r>
        <w:rPr>
          <w:spacing w:val="-8"/>
        </w:rPr>
        <w:t xml:space="preserve"> </w:t>
      </w:r>
      <w:r>
        <w:t>the</w:t>
      </w:r>
      <w:r>
        <w:rPr>
          <w:spacing w:val="-8"/>
        </w:rPr>
        <w:t xml:space="preserve"> </w:t>
      </w:r>
      <w:r>
        <w:t>2019–2020</w:t>
      </w:r>
      <w:r>
        <w:rPr>
          <w:spacing w:val="-8"/>
        </w:rPr>
        <w:t xml:space="preserve"> </w:t>
      </w:r>
      <w:r>
        <w:t>school year.</w:t>
      </w:r>
      <w:r>
        <w:rPr>
          <w:spacing w:val="-6"/>
        </w:rPr>
        <w:t xml:space="preserve"> </w:t>
      </w:r>
      <w:r>
        <w:t>The</w:t>
      </w:r>
      <w:r>
        <w:rPr>
          <w:spacing w:val="-2"/>
        </w:rPr>
        <w:t xml:space="preserve"> </w:t>
      </w:r>
      <w:r>
        <w:t>PSS</w:t>
      </w:r>
      <w:r>
        <w:rPr>
          <w:spacing w:val="-2"/>
        </w:rPr>
        <w:t xml:space="preserve"> </w:t>
      </w:r>
      <w:r>
        <w:t>file</w:t>
      </w:r>
      <w:r>
        <w:rPr>
          <w:spacing w:val="-2"/>
        </w:rPr>
        <w:t xml:space="preserve"> </w:t>
      </w:r>
      <w:r>
        <w:t>is</w:t>
      </w:r>
      <w:r>
        <w:rPr>
          <w:spacing w:val="-2"/>
        </w:rPr>
        <w:t xml:space="preserve"> </w:t>
      </w:r>
      <w:r>
        <w:t>the</w:t>
      </w:r>
      <w:r>
        <w:rPr>
          <w:spacing w:val="-2"/>
        </w:rPr>
        <w:t xml:space="preserve"> </w:t>
      </w:r>
      <w:r>
        <w:t>Department</w:t>
      </w:r>
      <w:r>
        <w:rPr>
          <w:spacing w:val="-2"/>
        </w:rPr>
        <w:t xml:space="preserve"> </w:t>
      </w:r>
      <w:r>
        <w:t>of</w:t>
      </w:r>
      <w:r>
        <w:rPr>
          <w:spacing w:val="-2"/>
        </w:rPr>
        <w:t xml:space="preserve"> </w:t>
      </w:r>
      <w:r>
        <w:t>Education’s</w:t>
      </w:r>
      <w:r>
        <w:rPr>
          <w:spacing w:val="-2"/>
        </w:rPr>
        <w:t xml:space="preserve"> </w:t>
      </w:r>
      <w:r>
        <w:t>primary</w:t>
      </w:r>
      <w:r>
        <w:rPr>
          <w:spacing w:val="-2"/>
        </w:rPr>
        <w:t xml:space="preserve"> </w:t>
      </w:r>
      <w:r>
        <w:t>database</w:t>
      </w:r>
      <w:r>
        <w:rPr>
          <w:spacing w:val="-2"/>
        </w:rPr>
        <w:t xml:space="preserve"> </w:t>
      </w:r>
      <w:r>
        <w:t>of</w:t>
      </w:r>
      <w:r>
        <w:rPr>
          <w:spacing w:val="-2"/>
        </w:rPr>
        <w:t xml:space="preserve"> </w:t>
      </w:r>
      <w:r>
        <w:t>elementary</w:t>
      </w:r>
      <w:r>
        <w:rPr>
          <w:spacing w:val="-2"/>
        </w:rPr>
        <w:t xml:space="preserve"> </w:t>
      </w:r>
      <w:r>
        <w:t>and</w:t>
      </w:r>
      <w:r>
        <w:rPr>
          <w:spacing w:val="-2"/>
        </w:rPr>
        <w:t xml:space="preserve"> </w:t>
      </w:r>
      <w:r>
        <w:t>secondary</w:t>
      </w:r>
      <w:r>
        <w:rPr>
          <w:spacing w:val="-2"/>
        </w:rPr>
        <w:t xml:space="preserve"> </w:t>
      </w:r>
      <w:r>
        <w:t>private</w:t>
      </w:r>
      <w:r>
        <w:rPr>
          <w:spacing w:val="-2"/>
        </w:rPr>
        <w:t xml:space="preserve"> </w:t>
      </w:r>
      <w:r>
        <w:t>schools</w:t>
      </w:r>
      <w:r>
        <w:rPr>
          <w:spacing w:val="-2"/>
        </w:rPr>
        <w:t xml:space="preserve"> </w:t>
      </w:r>
      <w:r>
        <w:t>in</w:t>
      </w:r>
      <w:r>
        <w:rPr>
          <w:spacing w:val="-2"/>
        </w:rPr>
        <w:t xml:space="preserve"> </w:t>
      </w:r>
      <w:r>
        <w:t>the</w:t>
      </w:r>
      <w:r>
        <w:rPr>
          <w:spacing w:val="-2"/>
        </w:rPr>
        <w:t xml:space="preserve"> </w:t>
      </w:r>
      <w:r>
        <w:t>50 states and the District of Columbia, and it is based on a survey conducted by the U.S. Census Bureau during the 2019–2020 school year. These sampling frames are referred to as the PSS-based sampling frames.</w:t>
      </w:r>
    </w:p>
    <w:p w:rsidR="003F5784" w14:paraId="07C04209" w14:textId="77777777">
      <w:pPr>
        <w:pStyle w:val="BodyText"/>
        <w:spacing w:before="204"/>
        <w:ind w:left="109"/>
      </w:pPr>
      <w:r>
        <w:t>Nonrespondents</w:t>
      </w:r>
      <w:r>
        <w:rPr>
          <w:spacing w:val="-6"/>
        </w:rPr>
        <w:t xml:space="preserve"> </w:t>
      </w:r>
      <w:r>
        <w:t>to</w:t>
      </w:r>
      <w:r>
        <w:rPr>
          <w:spacing w:val="-6"/>
        </w:rPr>
        <w:t xml:space="preserve"> </w:t>
      </w:r>
      <w:r>
        <w:t>the</w:t>
      </w:r>
      <w:r>
        <w:rPr>
          <w:spacing w:val="-6"/>
        </w:rPr>
        <w:t xml:space="preserve"> </w:t>
      </w:r>
      <w:r>
        <w:t>PSS</w:t>
      </w:r>
      <w:r>
        <w:rPr>
          <w:spacing w:val="-5"/>
        </w:rPr>
        <w:t xml:space="preserve"> </w:t>
      </w:r>
      <w:r>
        <w:t>were</w:t>
      </w:r>
      <w:r>
        <w:rPr>
          <w:spacing w:val="-6"/>
        </w:rPr>
        <w:t xml:space="preserve"> </w:t>
      </w:r>
      <w:r>
        <w:t>also</w:t>
      </w:r>
      <w:r>
        <w:rPr>
          <w:spacing w:val="-6"/>
        </w:rPr>
        <w:t xml:space="preserve"> </w:t>
      </w:r>
      <w:r>
        <w:t>included</w:t>
      </w:r>
      <w:r>
        <w:rPr>
          <w:spacing w:val="-6"/>
        </w:rPr>
        <w:t xml:space="preserve"> </w:t>
      </w:r>
      <w:r>
        <w:t>in</w:t>
      </w:r>
      <w:r>
        <w:rPr>
          <w:spacing w:val="-5"/>
        </w:rPr>
        <w:t xml:space="preserve"> </w:t>
      </w:r>
      <w:r>
        <w:t>the</w:t>
      </w:r>
      <w:r>
        <w:rPr>
          <w:spacing w:val="-6"/>
        </w:rPr>
        <w:t xml:space="preserve"> </w:t>
      </w:r>
      <w:r>
        <w:t>primary</w:t>
      </w:r>
      <w:r>
        <w:rPr>
          <w:spacing w:val="-6"/>
        </w:rPr>
        <w:t xml:space="preserve"> </w:t>
      </w:r>
      <w:r>
        <w:t>sampling</w:t>
      </w:r>
      <w:r>
        <w:rPr>
          <w:spacing w:val="-5"/>
        </w:rPr>
        <w:t xml:space="preserve"> </w:t>
      </w:r>
      <w:r>
        <w:t>frames.</w:t>
      </w:r>
      <w:r>
        <w:rPr>
          <w:spacing w:val="-6"/>
        </w:rPr>
        <w:t xml:space="preserve"> </w:t>
      </w:r>
      <w:r>
        <w:t>Since</w:t>
      </w:r>
      <w:r>
        <w:rPr>
          <w:spacing w:val="-6"/>
        </w:rPr>
        <w:t xml:space="preserve"> </w:t>
      </w:r>
      <w:r>
        <w:t>these</w:t>
      </w:r>
      <w:r>
        <w:rPr>
          <w:spacing w:val="-6"/>
        </w:rPr>
        <w:t xml:space="preserve"> </w:t>
      </w:r>
      <w:r>
        <w:t>schools</w:t>
      </w:r>
      <w:r>
        <w:rPr>
          <w:spacing w:val="-5"/>
        </w:rPr>
        <w:t xml:space="preserve"> </w:t>
      </w:r>
      <w:r>
        <w:t>did</w:t>
      </w:r>
      <w:r>
        <w:rPr>
          <w:spacing w:val="-6"/>
        </w:rPr>
        <w:t xml:space="preserve"> </w:t>
      </w:r>
      <w:r>
        <w:t>not</w:t>
      </w:r>
      <w:r>
        <w:rPr>
          <w:spacing w:val="-6"/>
        </w:rPr>
        <w:t xml:space="preserve"> </w:t>
      </w:r>
      <w:r>
        <w:t>respond</w:t>
      </w:r>
      <w:r>
        <w:rPr>
          <w:spacing w:val="-6"/>
        </w:rPr>
        <w:t xml:space="preserve"> </w:t>
      </w:r>
      <w:r>
        <w:t>to</w:t>
      </w:r>
      <w:r>
        <w:rPr>
          <w:spacing w:val="-5"/>
        </w:rPr>
        <w:t xml:space="preserve"> the</w:t>
      </w:r>
    </w:p>
    <w:p w:rsidR="003F5784" w14:paraId="75B1FC54" w14:textId="77777777">
      <w:pPr>
        <w:pStyle w:val="BodyText"/>
        <w:spacing w:before="96" w:line="232" w:lineRule="auto"/>
        <w:ind w:left="109"/>
      </w:pPr>
      <w:r>
        <w:br w:type="column"/>
        <w:t>Fourth-</w:t>
      </w:r>
      <w:r>
        <w:rPr>
          <w:spacing w:val="-14"/>
        </w:rPr>
        <w:t xml:space="preserve"> </w:t>
      </w:r>
      <w:r>
        <w:t>and</w:t>
      </w:r>
      <w:r>
        <w:rPr>
          <w:spacing w:val="-13"/>
        </w:rPr>
        <w:t xml:space="preserve"> </w:t>
      </w:r>
      <w:r>
        <w:t>Eighth-Grade</w:t>
      </w:r>
      <w:r>
        <w:rPr>
          <w:spacing w:val="-13"/>
        </w:rPr>
        <w:t xml:space="preserve"> </w:t>
      </w:r>
      <w:r>
        <w:t>Schools</w:t>
      </w:r>
      <w:r>
        <w:rPr>
          <w:spacing w:val="-13"/>
        </w:rPr>
        <w:t xml:space="preserve"> </w:t>
      </w:r>
      <w:r>
        <w:t xml:space="preserve">and </w:t>
      </w:r>
      <w:r>
        <w:rPr>
          <w:spacing w:val="-2"/>
        </w:rPr>
        <w:t>Enrollment</w:t>
      </w:r>
    </w:p>
    <w:p w:rsidR="003F5784" w14:paraId="482A1109" w14:textId="77777777">
      <w:pPr>
        <w:pStyle w:val="BodyText"/>
        <w:spacing w:before="203"/>
        <w:ind w:left="109"/>
      </w:pPr>
      <w:r>
        <w:rPr>
          <w:spacing w:val="-2"/>
          <w:u w:val="single"/>
        </w:rPr>
        <w:t>New-School</w:t>
      </w:r>
      <w:r>
        <w:rPr>
          <w:spacing w:val="7"/>
          <w:u w:val="single"/>
        </w:rPr>
        <w:t xml:space="preserve"> </w:t>
      </w:r>
      <w:r>
        <w:rPr>
          <w:spacing w:val="-2"/>
          <w:u w:val="single"/>
        </w:rPr>
        <w:t>Sampling</w:t>
      </w:r>
      <w:r>
        <w:rPr>
          <w:spacing w:val="-34"/>
        </w:rPr>
        <w:t xml:space="preserve"> </w:t>
      </w:r>
      <w:r>
        <w:rPr>
          <w:spacing w:val="-11"/>
          <w:u w:val="single"/>
        </w:rPr>
        <w:t xml:space="preserve"> </w:t>
      </w:r>
      <w:r>
        <w:rPr>
          <w:spacing w:val="-2"/>
          <w:u w:val="single"/>
        </w:rPr>
        <w:t>Frame</w:t>
      </w:r>
    </w:p>
    <w:p w:rsidR="003F5784" w14:paraId="10DC5D1D" w14:textId="77777777">
      <w:pPr>
        <w:sectPr>
          <w:type w:val="continuous"/>
          <w:pgSz w:w="15840" w:h="12240" w:orient="landscape"/>
          <w:pgMar w:top="480" w:right="440" w:bottom="460" w:left="460" w:header="284" w:footer="275" w:gutter="0"/>
          <w:cols w:num="2" w:space="720" w:equalWidth="0">
            <w:col w:w="10581" w:space="329"/>
            <w:col w:w="4030"/>
          </w:cols>
        </w:sectPr>
      </w:pPr>
    </w:p>
    <w:p w:rsidR="003F5784" w14:paraId="70ECE904" w14:textId="77777777">
      <w:pPr>
        <w:pStyle w:val="BodyText"/>
        <w:spacing w:line="232" w:lineRule="auto"/>
        <w:ind w:left="109"/>
      </w:pPr>
      <w:r>
        <w:t>PSS, their private school affiliation are unknown. Because NAEP</w:t>
      </w:r>
      <w:r>
        <w:rPr>
          <w:spacing w:val="-8"/>
        </w:rPr>
        <w:t xml:space="preserve"> </w:t>
      </w:r>
      <w:r>
        <w:t>response rates differ vastly by affiliation, to better estimate the target sample size of schools for each affiliation,</w:t>
      </w:r>
      <w:r>
        <w:rPr>
          <w:spacing w:val="-5"/>
        </w:rPr>
        <w:t xml:space="preserve"> </w:t>
      </w:r>
      <w:r>
        <w:t>additional</w:t>
      </w:r>
      <w:r>
        <w:rPr>
          <w:spacing w:val="-5"/>
        </w:rPr>
        <w:t xml:space="preserve"> </w:t>
      </w:r>
      <w:r>
        <w:t>work</w:t>
      </w:r>
      <w:r>
        <w:rPr>
          <w:spacing w:val="-5"/>
        </w:rPr>
        <w:t xml:space="preserve"> </w:t>
      </w:r>
      <w:r>
        <w:t>was</w:t>
      </w:r>
      <w:r>
        <w:rPr>
          <w:spacing w:val="-5"/>
        </w:rPr>
        <w:t xml:space="preserve"> </w:t>
      </w:r>
      <w:r>
        <w:t>done</w:t>
      </w:r>
      <w:r>
        <w:rPr>
          <w:spacing w:val="-5"/>
        </w:rPr>
        <w:t xml:space="preserve"> </w:t>
      </w:r>
      <w:r>
        <w:t>to</w:t>
      </w:r>
      <w:r>
        <w:rPr>
          <w:spacing w:val="-5"/>
        </w:rPr>
        <w:t xml:space="preserve"> </w:t>
      </w:r>
      <w:r>
        <w:t>obtain</w:t>
      </w:r>
      <w:r>
        <w:rPr>
          <w:spacing w:val="-5"/>
        </w:rPr>
        <w:t xml:space="preserve"> </w:t>
      </w:r>
      <w:r>
        <w:t>affiliation</w:t>
      </w:r>
      <w:r>
        <w:rPr>
          <w:spacing w:val="-5"/>
        </w:rPr>
        <w:t xml:space="preserve"> </w:t>
      </w:r>
      <w:r>
        <w:t>for</w:t>
      </w:r>
      <w:r>
        <w:rPr>
          <w:spacing w:val="-5"/>
        </w:rPr>
        <w:t xml:space="preserve"> </w:t>
      </w:r>
      <w:r>
        <w:t>these</w:t>
      </w:r>
      <w:r>
        <w:rPr>
          <w:spacing w:val="-5"/>
        </w:rPr>
        <w:t xml:space="preserve"> </w:t>
      </w:r>
      <w:r>
        <w:t>PSS</w:t>
      </w:r>
      <w:r>
        <w:rPr>
          <w:spacing w:val="-5"/>
        </w:rPr>
        <w:t xml:space="preserve"> </w:t>
      </w:r>
      <w:r>
        <w:t>nonrespondents.</w:t>
      </w:r>
      <w:r>
        <w:rPr>
          <w:spacing w:val="-5"/>
        </w:rPr>
        <w:t xml:space="preserve"> </w:t>
      </w:r>
      <w:r>
        <w:t>If</w:t>
      </w:r>
      <w:r>
        <w:rPr>
          <w:spacing w:val="-5"/>
        </w:rPr>
        <w:t xml:space="preserve"> </w:t>
      </w:r>
      <w:r>
        <w:t>a</w:t>
      </w:r>
      <w:r>
        <w:rPr>
          <w:spacing w:val="-5"/>
        </w:rPr>
        <w:t xml:space="preserve"> </w:t>
      </w:r>
      <w:r>
        <w:t>nonresponding</w:t>
      </w:r>
      <w:r>
        <w:rPr>
          <w:spacing w:val="-5"/>
        </w:rPr>
        <w:t xml:space="preserve"> </w:t>
      </w:r>
      <w:r>
        <w:t>school</w:t>
      </w:r>
      <w:r>
        <w:rPr>
          <w:spacing w:val="-5"/>
        </w:rPr>
        <w:t xml:space="preserve"> </w:t>
      </w:r>
      <w:r>
        <w:t>responded</w:t>
      </w:r>
      <w:r>
        <w:rPr>
          <w:spacing w:val="-5"/>
        </w:rPr>
        <w:t xml:space="preserve"> </w:t>
      </w:r>
      <w:r>
        <w:t>to</w:t>
      </w:r>
      <w:r>
        <w:rPr>
          <w:spacing w:val="-5"/>
        </w:rPr>
        <w:t xml:space="preserve"> </w:t>
      </w:r>
      <w:r>
        <w:t>a</w:t>
      </w:r>
      <w:r>
        <w:rPr>
          <w:spacing w:val="-5"/>
        </w:rPr>
        <w:t xml:space="preserve"> </w:t>
      </w:r>
      <w:r>
        <w:t>previous</w:t>
      </w:r>
      <w:r>
        <w:rPr>
          <w:spacing w:val="-5"/>
        </w:rPr>
        <w:t xml:space="preserve"> </w:t>
      </w:r>
      <w:r>
        <w:t>PSS</w:t>
      </w:r>
      <w:r>
        <w:rPr>
          <w:spacing w:val="-5"/>
        </w:rPr>
        <w:t xml:space="preserve"> </w:t>
      </w:r>
      <w:r>
        <w:t>(either</w:t>
      </w:r>
      <w:r>
        <w:rPr>
          <w:spacing w:val="-5"/>
        </w:rPr>
        <w:t xml:space="preserve"> </w:t>
      </w:r>
      <w:r>
        <w:t>two</w:t>
      </w:r>
      <w:r>
        <w:rPr>
          <w:spacing w:val="-5"/>
        </w:rPr>
        <w:t xml:space="preserve"> </w:t>
      </w:r>
      <w:r>
        <w:t>or</w:t>
      </w:r>
      <w:r>
        <w:rPr>
          <w:spacing w:val="-5"/>
        </w:rPr>
        <w:t xml:space="preserve"> </w:t>
      </w:r>
      <w:r>
        <w:t>four</w:t>
      </w:r>
      <w:r>
        <w:rPr>
          <w:spacing w:val="-5"/>
        </w:rPr>
        <w:t xml:space="preserve"> </w:t>
      </w:r>
      <w:r>
        <w:t>years</w:t>
      </w:r>
      <w:r>
        <w:rPr>
          <w:spacing w:val="-5"/>
        </w:rPr>
        <w:t xml:space="preserve"> </w:t>
      </w:r>
      <w:r>
        <w:t>prior), affiliation</w:t>
      </w:r>
      <w:r>
        <w:rPr>
          <w:spacing w:val="-6"/>
        </w:rPr>
        <w:t xml:space="preserve"> </w:t>
      </w:r>
      <w:r>
        <w:t>was</w:t>
      </w:r>
      <w:r>
        <w:rPr>
          <w:spacing w:val="-6"/>
        </w:rPr>
        <w:t xml:space="preserve"> </w:t>
      </w:r>
      <w:r>
        <w:t>obtained</w:t>
      </w:r>
      <w:r>
        <w:rPr>
          <w:spacing w:val="-6"/>
        </w:rPr>
        <w:t xml:space="preserve"> </w:t>
      </w:r>
      <w:r>
        <w:t>from</w:t>
      </w:r>
      <w:r>
        <w:rPr>
          <w:spacing w:val="-6"/>
        </w:rPr>
        <w:t xml:space="preserve"> </w:t>
      </w:r>
      <w:r>
        <w:t>the</w:t>
      </w:r>
      <w:r>
        <w:rPr>
          <w:spacing w:val="-6"/>
        </w:rPr>
        <w:t xml:space="preserve"> </w:t>
      </w:r>
      <w:r>
        <w:t>previous</w:t>
      </w:r>
      <w:r>
        <w:rPr>
          <w:spacing w:val="-6"/>
        </w:rPr>
        <w:t xml:space="preserve"> </w:t>
      </w:r>
      <w:r>
        <w:t>response.</w:t>
      </w:r>
      <w:r>
        <w:rPr>
          <w:spacing w:val="-6"/>
        </w:rPr>
        <w:t xml:space="preserve"> </w:t>
      </w:r>
      <w:r>
        <w:t>For</w:t>
      </w:r>
      <w:r>
        <w:rPr>
          <w:spacing w:val="-6"/>
        </w:rPr>
        <w:t xml:space="preserve"> </w:t>
      </w:r>
      <w:r>
        <w:t>those</w:t>
      </w:r>
      <w:r>
        <w:rPr>
          <w:spacing w:val="-6"/>
        </w:rPr>
        <w:t xml:space="preserve"> </w:t>
      </w:r>
      <w:r>
        <w:t>schools</w:t>
      </w:r>
      <w:r>
        <w:rPr>
          <w:spacing w:val="-6"/>
        </w:rPr>
        <w:t xml:space="preserve"> </w:t>
      </w:r>
      <w:r>
        <w:t>that</w:t>
      </w:r>
      <w:r>
        <w:rPr>
          <w:spacing w:val="-6"/>
        </w:rPr>
        <w:t xml:space="preserve"> </w:t>
      </w:r>
      <w:r>
        <w:t>were</w:t>
      </w:r>
      <w:r>
        <w:rPr>
          <w:spacing w:val="-6"/>
        </w:rPr>
        <w:t xml:space="preserve"> </w:t>
      </w:r>
      <w:r>
        <w:t>nonrespondents</w:t>
      </w:r>
      <w:r>
        <w:rPr>
          <w:spacing w:val="-6"/>
        </w:rPr>
        <w:t xml:space="preserve"> </w:t>
      </w:r>
      <w:r>
        <w:t>for</w:t>
      </w:r>
      <w:r>
        <w:rPr>
          <w:spacing w:val="-6"/>
        </w:rPr>
        <w:t xml:space="preserve"> </w:t>
      </w:r>
      <w:r>
        <w:t>the</w:t>
      </w:r>
      <w:r>
        <w:rPr>
          <w:spacing w:val="-6"/>
        </w:rPr>
        <w:t xml:space="preserve"> </w:t>
      </w:r>
      <w:r>
        <w:t>last</w:t>
      </w:r>
      <w:r>
        <w:rPr>
          <w:spacing w:val="-6"/>
        </w:rPr>
        <w:t xml:space="preserve"> </w:t>
      </w:r>
      <w:r>
        <w:t>three</w:t>
      </w:r>
      <w:r>
        <w:rPr>
          <w:spacing w:val="-6"/>
        </w:rPr>
        <w:t xml:space="preserve"> </w:t>
      </w:r>
      <w:r>
        <w:t>cycles</w:t>
      </w:r>
      <w:r>
        <w:rPr>
          <w:spacing w:val="-6"/>
        </w:rPr>
        <w:t xml:space="preserve"> </w:t>
      </w:r>
      <w:r>
        <w:t>of</w:t>
      </w:r>
      <w:r>
        <w:rPr>
          <w:spacing w:val="-6"/>
        </w:rPr>
        <w:t xml:space="preserve"> </w:t>
      </w:r>
      <w:r>
        <w:t>the</w:t>
      </w:r>
      <w:r>
        <w:rPr>
          <w:spacing w:val="-6"/>
        </w:rPr>
        <w:t xml:space="preserve"> </w:t>
      </w:r>
      <w:r>
        <w:t>PSS,</w:t>
      </w:r>
      <w:r>
        <w:rPr>
          <w:spacing w:val="-6"/>
        </w:rPr>
        <w:t xml:space="preserve"> </w:t>
      </w:r>
      <w:r>
        <w:t>in</w:t>
      </w:r>
      <w:r>
        <w:rPr>
          <w:spacing w:val="-6"/>
        </w:rPr>
        <w:t xml:space="preserve"> </w:t>
      </w:r>
      <w:r>
        <w:t>some</w:t>
      </w:r>
      <w:r>
        <w:rPr>
          <w:spacing w:val="-6"/>
        </w:rPr>
        <w:t xml:space="preserve"> </w:t>
      </w:r>
      <w:r>
        <w:t>cases</w:t>
      </w:r>
      <w:r>
        <w:rPr>
          <w:spacing w:val="-6"/>
        </w:rPr>
        <w:t xml:space="preserve"> </w:t>
      </w:r>
      <w:r>
        <w:t>internet</w:t>
      </w:r>
      <w:r>
        <w:rPr>
          <w:spacing w:val="-6"/>
        </w:rPr>
        <w:t xml:space="preserve"> </w:t>
      </w:r>
      <w:r>
        <w:t>research</w:t>
      </w:r>
      <w:r>
        <w:rPr>
          <w:spacing w:val="-6"/>
        </w:rPr>
        <w:t xml:space="preserve"> </w:t>
      </w:r>
      <w:r>
        <w:t>was</w:t>
      </w:r>
      <w:r>
        <w:rPr>
          <w:spacing w:val="-6"/>
        </w:rPr>
        <w:t xml:space="preserve"> </w:t>
      </w:r>
      <w:r>
        <w:t>used</w:t>
      </w:r>
      <w:r>
        <w:rPr>
          <w:spacing w:val="-6"/>
        </w:rPr>
        <w:t xml:space="preserve"> </w:t>
      </w:r>
      <w:r>
        <w:t>to establish affiliation. There were still schools with unknown affiliation remaining after this process.</w:t>
      </w:r>
    </w:p>
    <w:p w:rsidR="003F5784" w14:paraId="4BB4233B" w14:textId="77777777">
      <w:pPr>
        <w:spacing w:line="232" w:lineRule="auto"/>
        <w:sectPr>
          <w:type w:val="continuous"/>
          <w:pgSz w:w="15840" w:h="12240" w:orient="landscape"/>
          <w:pgMar w:top="480" w:right="440" w:bottom="460" w:left="460" w:header="284" w:footer="275" w:gutter="0"/>
          <w:cols w:space="720"/>
        </w:sectPr>
      </w:pPr>
    </w:p>
    <w:p w:rsidR="003F5784" w14:paraId="58B8741C" w14:textId="77777777">
      <w:pPr>
        <w:pStyle w:val="BodyText"/>
        <w:spacing w:before="78" w:line="232" w:lineRule="auto"/>
        <w:ind w:left="109" w:right="253"/>
        <w:jc w:val="both"/>
      </w:pPr>
      <w:r>
        <w:t>A</w:t>
      </w:r>
      <w:r>
        <w:rPr>
          <w:spacing w:val="-14"/>
        </w:rPr>
        <w:t xml:space="preserve"> </w:t>
      </w:r>
      <w:r>
        <w:t>secondary</w:t>
      </w:r>
      <w:r>
        <w:rPr>
          <w:spacing w:val="-7"/>
        </w:rPr>
        <w:t xml:space="preserve"> </w:t>
      </w:r>
      <w:r>
        <w:t>set</w:t>
      </w:r>
      <w:r>
        <w:rPr>
          <w:spacing w:val="-6"/>
        </w:rPr>
        <w:t xml:space="preserve"> </w:t>
      </w:r>
      <w:r>
        <w:t>of</w:t>
      </w:r>
      <w:r>
        <w:rPr>
          <w:spacing w:val="-6"/>
        </w:rPr>
        <w:t xml:space="preserve"> </w:t>
      </w:r>
      <w:r>
        <w:t>sampling</w:t>
      </w:r>
      <w:r>
        <w:rPr>
          <w:spacing w:val="-6"/>
        </w:rPr>
        <w:t xml:space="preserve"> </w:t>
      </w:r>
      <w:r>
        <w:t>frames</w:t>
      </w:r>
      <w:r>
        <w:rPr>
          <w:spacing w:val="-6"/>
        </w:rPr>
        <w:t xml:space="preserve"> </w:t>
      </w:r>
      <w:r>
        <w:t>were</w:t>
      </w:r>
      <w:r>
        <w:rPr>
          <w:spacing w:val="-6"/>
        </w:rPr>
        <w:t xml:space="preserve"> </w:t>
      </w:r>
      <w:r>
        <w:t>also</w:t>
      </w:r>
      <w:r>
        <w:rPr>
          <w:spacing w:val="-6"/>
        </w:rPr>
        <w:t xml:space="preserve"> </w:t>
      </w:r>
      <w:r>
        <w:t>created</w:t>
      </w:r>
      <w:r>
        <w:rPr>
          <w:spacing w:val="-6"/>
        </w:rPr>
        <w:t xml:space="preserve"> </w:t>
      </w:r>
      <w:r>
        <w:t>for</w:t>
      </w:r>
      <w:r>
        <w:rPr>
          <w:spacing w:val="-6"/>
        </w:rPr>
        <w:t xml:space="preserve"> </w:t>
      </w:r>
      <w:r>
        <w:t>these</w:t>
      </w:r>
      <w:r>
        <w:rPr>
          <w:spacing w:val="-6"/>
        </w:rPr>
        <w:t xml:space="preserve"> </w:t>
      </w:r>
      <w:r>
        <w:t>samples</w:t>
      </w:r>
      <w:r>
        <w:rPr>
          <w:spacing w:val="-6"/>
        </w:rPr>
        <w:t xml:space="preserve"> </w:t>
      </w:r>
      <w:r>
        <w:t>to</w:t>
      </w:r>
      <w:r>
        <w:rPr>
          <w:spacing w:val="-6"/>
        </w:rPr>
        <w:t xml:space="preserve"> </w:t>
      </w:r>
      <w:r>
        <w:t>account</w:t>
      </w:r>
      <w:r>
        <w:rPr>
          <w:spacing w:val="-6"/>
        </w:rPr>
        <w:t xml:space="preserve"> </w:t>
      </w:r>
      <w:r>
        <w:t>for</w:t>
      </w:r>
      <w:r>
        <w:rPr>
          <w:spacing w:val="-6"/>
        </w:rPr>
        <w:t xml:space="preserve"> </w:t>
      </w:r>
      <w:r>
        <w:t>schools</w:t>
      </w:r>
      <w:r>
        <w:rPr>
          <w:spacing w:val="-6"/>
        </w:rPr>
        <w:t xml:space="preserve"> </w:t>
      </w:r>
      <w:r>
        <w:t>that</w:t>
      </w:r>
      <w:r>
        <w:rPr>
          <w:spacing w:val="-6"/>
        </w:rPr>
        <w:t xml:space="preserve"> </w:t>
      </w:r>
      <w:r>
        <w:t>newly</w:t>
      </w:r>
      <w:r>
        <w:rPr>
          <w:spacing w:val="-6"/>
        </w:rPr>
        <w:t xml:space="preserve"> </w:t>
      </w:r>
      <w:r>
        <w:t>opened</w:t>
      </w:r>
      <w:r>
        <w:rPr>
          <w:spacing w:val="-6"/>
        </w:rPr>
        <w:t xml:space="preserve"> </w:t>
      </w:r>
      <w:r>
        <w:t>or</w:t>
      </w:r>
      <w:r>
        <w:rPr>
          <w:spacing w:val="-6"/>
        </w:rPr>
        <w:t xml:space="preserve"> </w:t>
      </w:r>
      <w:r>
        <w:t>became</w:t>
      </w:r>
      <w:r>
        <w:rPr>
          <w:spacing w:val="-6"/>
        </w:rPr>
        <w:t xml:space="preserve"> </w:t>
      </w:r>
      <w:r>
        <w:t>newly</w:t>
      </w:r>
      <w:r>
        <w:rPr>
          <w:spacing w:val="-6"/>
        </w:rPr>
        <w:t xml:space="preserve"> </w:t>
      </w:r>
      <w:r>
        <w:t>eligible</w:t>
      </w:r>
      <w:r>
        <w:rPr>
          <w:spacing w:val="-6"/>
        </w:rPr>
        <w:t xml:space="preserve"> </w:t>
      </w:r>
      <w:r>
        <w:t>between</w:t>
      </w:r>
      <w:r>
        <w:rPr>
          <w:spacing w:val="-6"/>
        </w:rPr>
        <w:t xml:space="preserve"> </w:t>
      </w:r>
      <w:r>
        <w:t>the</w:t>
      </w:r>
      <w:r>
        <w:rPr>
          <w:spacing w:val="-6"/>
        </w:rPr>
        <w:t xml:space="preserve"> </w:t>
      </w:r>
      <w:r>
        <w:t>2019–2020</w:t>
      </w:r>
      <w:r>
        <w:rPr>
          <w:spacing w:val="-6"/>
        </w:rPr>
        <w:t xml:space="preserve"> </w:t>
      </w:r>
      <w:r>
        <w:t>and</w:t>
      </w:r>
      <w:r>
        <w:rPr>
          <w:spacing w:val="-6"/>
        </w:rPr>
        <w:t xml:space="preserve"> </w:t>
      </w:r>
      <w:r>
        <w:t>2021– 2022</w:t>
      </w:r>
      <w:r>
        <w:rPr>
          <w:spacing w:val="-5"/>
        </w:rPr>
        <w:t xml:space="preserve"> </w:t>
      </w:r>
      <w:r>
        <w:t>school</w:t>
      </w:r>
      <w:r>
        <w:rPr>
          <w:spacing w:val="-5"/>
        </w:rPr>
        <w:t xml:space="preserve"> </w:t>
      </w:r>
      <w:r>
        <w:t>years.</w:t>
      </w:r>
      <w:r>
        <w:rPr>
          <w:spacing w:val="-9"/>
        </w:rPr>
        <w:t xml:space="preserve"> </w:t>
      </w:r>
      <w:r>
        <w:t>These</w:t>
      </w:r>
      <w:r>
        <w:rPr>
          <w:spacing w:val="-5"/>
        </w:rPr>
        <w:t xml:space="preserve"> </w:t>
      </w:r>
      <w:r>
        <w:t>frames</w:t>
      </w:r>
      <w:r>
        <w:rPr>
          <w:spacing w:val="-5"/>
        </w:rPr>
        <w:t xml:space="preserve"> </w:t>
      </w:r>
      <w:r>
        <w:t>contain</w:t>
      </w:r>
      <w:r>
        <w:rPr>
          <w:spacing w:val="-5"/>
        </w:rPr>
        <w:t xml:space="preserve"> </w:t>
      </w:r>
      <w:r>
        <w:t>brand-new</w:t>
      </w:r>
      <w:r>
        <w:rPr>
          <w:spacing w:val="-5"/>
        </w:rPr>
        <w:t xml:space="preserve"> </w:t>
      </w:r>
      <w:r>
        <w:t>and</w:t>
      </w:r>
      <w:r>
        <w:rPr>
          <w:spacing w:val="-5"/>
        </w:rPr>
        <w:t xml:space="preserve"> </w:t>
      </w:r>
      <w:r>
        <w:t>newly-eligible</w:t>
      </w:r>
      <w:r>
        <w:rPr>
          <w:spacing w:val="-5"/>
        </w:rPr>
        <w:t xml:space="preserve"> </w:t>
      </w:r>
      <w:r>
        <w:t>fourth-</w:t>
      </w:r>
      <w:r>
        <w:rPr>
          <w:spacing w:val="-5"/>
        </w:rPr>
        <w:t xml:space="preserve"> </w:t>
      </w:r>
      <w:r>
        <w:t>and</w:t>
      </w:r>
      <w:r>
        <w:rPr>
          <w:spacing w:val="-5"/>
        </w:rPr>
        <w:t xml:space="preserve"> </w:t>
      </w:r>
      <w:r>
        <w:t>eighth-grade</w:t>
      </w:r>
      <w:r>
        <w:rPr>
          <w:spacing w:val="-5"/>
        </w:rPr>
        <w:t xml:space="preserve"> </w:t>
      </w:r>
      <w:r>
        <w:t>schools</w:t>
      </w:r>
      <w:r>
        <w:rPr>
          <w:spacing w:val="-5"/>
        </w:rPr>
        <w:t xml:space="preserve"> </w:t>
      </w:r>
      <w:r>
        <w:t>and</w:t>
      </w:r>
      <w:r>
        <w:rPr>
          <w:spacing w:val="-5"/>
        </w:rPr>
        <w:t xml:space="preserve"> </w:t>
      </w:r>
      <w:r>
        <w:t>are</w:t>
      </w:r>
      <w:r>
        <w:rPr>
          <w:spacing w:val="-5"/>
        </w:rPr>
        <w:t xml:space="preserve"> </w:t>
      </w:r>
      <w:r>
        <w:t>referred</w:t>
      </w:r>
      <w:r>
        <w:rPr>
          <w:spacing w:val="-5"/>
        </w:rPr>
        <w:t xml:space="preserve"> </w:t>
      </w:r>
      <w:r>
        <w:t>to</w:t>
      </w:r>
      <w:r>
        <w:rPr>
          <w:spacing w:val="-5"/>
        </w:rPr>
        <w:t xml:space="preserve"> </w:t>
      </w:r>
      <w:r>
        <w:t>as</w:t>
      </w:r>
      <w:r>
        <w:rPr>
          <w:spacing w:val="-5"/>
        </w:rPr>
        <w:t xml:space="preserve"> </w:t>
      </w:r>
      <w:r>
        <w:t>the</w:t>
      </w:r>
      <w:r>
        <w:rPr>
          <w:spacing w:val="-5"/>
        </w:rPr>
        <w:t xml:space="preserve"> </w:t>
      </w:r>
      <w:r>
        <w:t>new-school</w:t>
      </w:r>
      <w:r>
        <w:rPr>
          <w:spacing w:val="-5"/>
        </w:rPr>
        <w:t xml:space="preserve"> </w:t>
      </w:r>
      <w:r>
        <w:t>sampling</w:t>
      </w:r>
      <w:r>
        <w:rPr>
          <w:spacing w:val="-5"/>
        </w:rPr>
        <w:t xml:space="preserve"> </w:t>
      </w:r>
      <w:r>
        <w:t>frames.</w:t>
      </w:r>
      <w:r>
        <w:rPr>
          <w:spacing w:val="-5"/>
        </w:rPr>
        <w:t xml:space="preserve"> </w:t>
      </w:r>
      <w:r>
        <w:t>Because</w:t>
      </w:r>
      <w:r>
        <w:rPr>
          <w:spacing w:val="-5"/>
        </w:rPr>
        <w:t xml:space="preserve"> </w:t>
      </w:r>
      <w:r>
        <w:t>there are no sources available to identify new schools for non-Catholic private schools, the new school frame for private schools contains only Catholic schools.</w:t>
      </w:r>
    </w:p>
    <w:p w:rsidR="003F5784" w14:paraId="374B42AB" w14:textId="77777777">
      <w:pPr>
        <w:pStyle w:val="BodyText"/>
        <w:spacing w:before="210" w:line="232" w:lineRule="auto"/>
        <w:ind w:left="109" w:right="179"/>
      </w:pPr>
      <w:r>
        <w:t>Both</w:t>
      </w:r>
      <w:r>
        <w:rPr>
          <w:spacing w:val="-6"/>
        </w:rPr>
        <w:t xml:space="preserve"> </w:t>
      </w:r>
      <w:r>
        <w:t>sets</w:t>
      </w:r>
      <w:r>
        <w:rPr>
          <w:spacing w:val="-6"/>
        </w:rPr>
        <w:t xml:space="preserve"> </w:t>
      </w:r>
      <w:r>
        <w:t>of</w:t>
      </w:r>
      <w:r>
        <w:rPr>
          <w:spacing w:val="-6"/>
        </w:rPr>
        <w:t xml:space="preserve"> </w:t>
      </w:r>
      <w:r>
        <w:t>sampling</w:t>
      </w:r>
      <w:r>
        <w:rPr>
          <w:spacing w:val="-6"/>
        </w:rPr>
        <w:t xml:space="preserve"> </w:t>
      </w:r>
      <w:r>
        <w:t>frames</w:t>
      </w:r>
      <w:r>
        <w:rPr>
          <w:spacing w:val="-6"/>
        </w:rPr>
        <w:t xml:space="preserve"> </w:t>
      </w:r>
      <w:r>
        <w:t>excluded</w:t>
      </w:r>
      <w:r>
        <w:rPr>
          <w:spacing w:val="-6"/>
        </w:rPr>
        <w:t xml:space="preserve"> </w:t>
      </w:r>
      <w:r>
        <w:t>schools</w:t>
      </w:r>
      <w:r>
        <w:rPr>
          <w:spacing w:val="-6"/>
        </w:rPr>
        <w:t xml:space="preserve"> </w:t>
      </w:r>
      <w:r>
        <w:t>that</w:t>
      </w:r>
      <w:r>
        <w:rPr>
          <w:spacing w:val="-6"/>
        </w:rPr>
        <w:t xml:space="preserve"> </w:t>
      </w:r>
      <w:r>
        <w:t>were</w:t>
      </w:r>
      <w:r>
        <w:rPr>
          <w:spacing w:val="-6"/>
        </w:rPr>
        <w:t xml:space="preserve"> </w:t>
      </w:r>
      <w:r>
        <w:t>ungraded,</w:t>
      </w:r>
      <w:r>
        <w:rPr>
          <w:spacing w:val="-6"/>
        </w:rPr>
        <w:t xml:space="preserve"> </w:t>
      </w:r>
      <w:r>
        <w:t>provided</w:t>
      </w:r>
      <w:r>
        <w:rPr>
          <w:spacing w:val="-6"/>
        </w:rPr>
        <w:t xml:space="preserve"> </w:t>
      </w:r>
      <w:r>
        <w:t>only</w:t>
      </w:r>
      <w:r>
        <w:rPr>
          <w:spacing w:val="-6"/>
        </w:rPr>
        <w:t xml:space="preserve"> </w:t>
      </w:r>
      <w:r>
        <w:t>special</w:t>
      </w:r>
      <w:r>
        <w:rPr>
          <w:spacing w:val="-6"/>
        </w:rPr>
        <w:t xml:space="preserve"> </w:t>
      </w:r>
      <w:r>
        <w:t>education,</w:t>
      </w:r>
      <w:r>
        <w:rPr>
          <w:spacing w:val="-6"/>
        </w:rPr>
        <w:t xml:space="preserve"> </w:t>
      </w:r>
      <w:r>
        <w:t>were</w:t>
      </w:r>
      <w:r>
        <w:rPr>
          <w:spacing w:val="-6"/>
        </w:rPr>
        <w:t xml:space="preserve"> </w:t>
      </w:r>
      <w:r>
        <w:t>part</w:t>
      </w:r>
      <w:r>
        <w:rPr>
          <w:spacing w:val="-6"/>
        </w:rPr>
        <w:t xml:space="preserve"> </w:t>
      </w:r>
      <w:r>
        <w:t>of</w:t>
      </w:r>
      <w:r>
        <w:rPr>
          <w:spacing w:val="-6"/>
        </w:rPr>
        <w:t xml:space="preserve"> </w:t>
      </w:r>
      <w:r>
        <w:t>hospital</w:t>
      </w:r>
      <w:r>
        <w:rPr>
          <w:spacing w:val="-6"/>
        </w:rPr>
        <w:t xml:space="preserve"> </w:t>
      </w:r>
      <w:r>
        <w:t>or</w:t>
      </w:r>
      <w:r>
        <w:rPr>
          <w:spacing w:val="-6"/>
        </w:rPr>
        <w:t xml:space="preserve"> </w:t>
      </w:r>
      <w:r>
        <w:t>treatment</w:t>
      </w:r>
      <w:r>
        <w:rPr>
          <w:spacing w:val="-6"/>
        </w:rPr>
        <w:t xml:space="preserve"> </w:t>
      </w:r>
      <w:r>
        <w:t>center</w:t>
      </w:r>
      <w:r>
        <w:rPr>
          <w:spacing w:val="-6"/>
        </w:rPr>
        <w:t xml:space="preserve"> </w:t>
      </w:r>
      <w:r>
        <w:t>programs,</w:t>
      </w:r>
      <w:r>
        <w:rPr>
          <w:spacing w:val="-6"/>
        </w:rPr>
        <w:t xml:space="preserve"> </w:t>
      </w:r>
      <w:r>
        <w:t>were</w:t>
      </w:r>
      <w:r>
        <w:rPr>
          <w:spacing w:val="-6"/>
        </w:rPr>
        <w:t xml:space="preserve"> </w:t>
      </w:r>
      <w:r>
        <w:t>juvenile correctional institutions, were home-school entities, or were for adult education.</w:t>
      </w:r>
    </w:p>
    <w:p w:rsidR="003F5784" w14:paraId="5D49748F" w14:textId="77777777">
      <w:pPr>
        <w:pStyle w:val="BodyText"/>
      </w:pPr>
    </w:p>
    <w:p w:rsidR="003F5784" w14:paraId="66097501" w14:textId="77777777">
      <w:pPr>
        <w:pStyle w:val="BodyText"/>
      </w:pPr>
    </w:p>
    <w:p w:rsidR="003F5784" w14:paraId="13DA8627" w14:textId="77777777">
      <w:pPr>
        <w:pStyle w:val="BodyText"/>
        <w:spacing w:before="145"/>
      </w:pPr>
    </w:p>
    <w:p w:rsidR="003F5784" w14:paraId="41593107" w14:textId="77777777">
      <w:pPr>
        <w:ind w:right="113"/>
        <w:jc w:val="right"/>
        <w:rPr>
          <w:sz w:val="18"/>
        </w:rPr>
      </w:pPr>
      <w:hyperlink r:id="rId88">
        <w:r>
          <w:rPr>
            <w:spacing w:val="-2"/>
            <w:w w:val="105"/>
            <w:sz w:val="18"/>
          </w:rPr>
          <w:t>http://nces.ed.gov/nationsreportcard/tdw/sample_design/2022/sampling_frame_for_the_2022_fourth_and_eighth_grade_private_school_national_assessment.aspx</w:t>
        </w:r>
      </w:hyperlink>
    </w:p>
    <w:p w:rsidR="003F5784" w14:paraId="15BAAF7D" w14:textId="77777777">
      <w:pPr>
        <w:pStyle w:val="BodyText"/>
        <w:spacing w:before="1"/>
        <w:rPr>
          <w:sz w:val="16"/>
        </w:rPr>
      </w:pPr>
      <w:r>
        <w:rPr>
          <w:noProof/>
        </w:rPr>
        <mc:AlternateContent>
          <mc:Choice Requires="wps">
            <w:drawing>
              <wp:anchor distT="0" distB="0" distL="0" distR="0" simplePos="0" relativeHeight="251798528" behindDoc="1" locked="0" layoutInCell="1" allowOverlap="1">
                <wp:simplePos x="0" y="0"/>
                <wp:positionH relativeFrom="page">
                  <wp:posOffset>361937</wp:posOffset>
                </wp:positionH>
                <wp:positionV relativeFrom="paragraph">
                  <wp:posOffset>132840</wp:posOffset>
                </wp:positionV>
                <wp:extent cx="9339580" cy="8890"/>
                <wp:effectExtent l="0" t="0" r="0" b="0"/>
                <wp:wrapTopAndBottom/>
                <wp:docPr id="107" name="Graphic 107"/>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80"/>
                              </a:lnTo>
                              <a:lnTo>
                                <a:pt x="8280" y="8280"/>
                              </a:lnTo>
                              <a:lnTo>
                                <a:pt x="9335110" y="8280"/>
                              </a:lnTo>
                              <a:lnTo>
                                <a:pt x="9338970" y="8280"/>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07" o:spid="_x0000_s1070" style="width:735.4pt;height:0.7pt;margin-top:10.45pt;margin-left:28.5pt;mso-position-horizontal-relative:page;mso-wrap-distance-bottom:0;mso-wrap-distance-left:0;mso-wrap-distance-right:0;mso-wrap-distance-top:0;mso-wrap-style:square;position:absolute;visibility:visible;v-text-anchor:top;z-index:-251516928" coordsize="9339580,8890" path="m9338970,12l9335110,12l8280,12,,,,8280l8280,8280l9335110,8280l9338970,8280l9338970,12xe" fillcolor="gray" stroked="f">
                <v:path arrowok="t"/>
                <w10:wrap type="topAndBottom"/>
              </v:shape>
            </w:pict>
          </mc:Fallback>
        </mc:AlternateContent>
      </w:r>
    </w:p>
    <w:p w:rsidR="003F5784" w14:paraId="35EB0F00" w14:textId="77777777">
      <w:pPr>
        <w:pStyle w:val="BodyText"/>
        <w:rPr>
          <w:sz w:val="18"/>
        </w:rPr>
      </w:pPr>
    </w:p>
    <w:p w:rsidR="003F5784" w14:paraId="15AB3C82" w14:textId="77777777">
      <w:pPr>
        <w:pStyle w:val="BodyText"/>
        <w:spacing w:before="193"/>
        <w:rPr>
          <w:sz w:val="18"/>
        </w:rPr>
      </w:pPr>
    </w:p>
    <w:p w:rsidR="003F5784" w14:paraId="653D01F8" w14:textId="0A6604F0">
      <w:pPr>
        <w:pStyle w:val="Heading1"/>
        <w:spacing w:line="244" w:lineRule="auto"/>
        <w:ind w:right="193"/>
      </w:pPr>
      <w:r>
        <w:t>NAEP Technical Documentation</w:t>
      </w:r>
      <w:r w:rsidR="00F3629E">
        <w:t xml:space="preserve"> </w:t>
      </w:r>
      <w:r>
        <w:t>Fourth- and Eighth-Grade Schools and Enrollment</w:t>
      </w:r>
      <w:r>
        <w:rPr>
          <w:spacing w:val="20"/>
        </w:rPr>
        <w:t xml:space="preserve"> </w:t>
      </w:r>
      <w:r>
        <w:t>in</w:t>
      </w:r>
      <w:r>
        <w:rPr>
          <w:spacing w:val="20"/>
        </w:rPr>
        <w:t xml:space="preserve"> </w:t>
      </w:r>
      <w:r>
        <w:t>the</w:t>
      </w:r>
      <w:r>
        <w:rPr>
          <w:spacing w:val="20"/>
        </w:rPr>
        <w:t xml:space="preserve"> </w:t>
      </w:r>
      <w:r>
        <w:t>2022</w:t>
      </w:r>
      <w:r>
        <w:rPr>
          <w:spacing w:val="20"/>
        </w:rPr>
        <w:t xml:space="preserve"> </w:t>
      </w:r>
      <w:r>
        <w:t>Private</w:t>
      </w:r>
      <w:r>
        <w:rPr>
          <w:spacing w:val="20"/>
        </w:rPr>
        <w:t xml:space="preserve"> </w:t>
      </w:r>
      <w:r>
        <w:t>School</w:t>
      </w:r>
      <w:r>
        <w:rPr>
          <w:spacing w:val="20"/>
        </w:rPr>
        <w:t xml:space="preserve"> </w:t>
      </w:r>
      <w:r>
        <w:t>Mathematics</w:t>
      </w:r>
      <w:r>
        <w:rPr>
          <w:spacing w:val="20"/>
        </w:rPr>
        <w:t xml:space="preserve"> </w:t>
      </w:r>
      <w:r>
        <w:t>and</w:t>
      </w:r>
      <w:r>
        <w:rPr>
          <w:spacing w:val="20"/>
        </w:rPr>
        <w:t xml:space="preserve"> </w:t>
      </w:r>
      <w:r>
        <w:t>Reading</w:t>
      </w:r>
      <w:r>
        <w:rPr>
          <w:spacing w:val="20"/>
        </w:rPr>
        <w:t xml:space="preserve"> </w:t>
      </w:r>
      <w:r>
        <w:t>Sampling</w:t>
      </w:r>
      <w:r>
        <w:rPr>
          <w:spacing w:val="20"/>
        </w:rPr>
        <w:t xml:space="preserve"> </w:t>
      </w:r>
      <w:r>
        <w:t>Frame</w:t>
      </w:r>
    </w:p>
    <w:p w:rsidR="003F5784" w14:paraId="70817084" w14:textId="77777777">
      <w:pPr>
        <w:pStyle w:val="BodyText"/>
        <w:spacing w:before="287" w:line="232" w:lineRule="auto"/>
        <w:ind w:left="109"/>
      </w:pPr>
      <w:r>
        <w:t>The</w:t>
      </w:r>
      <w:r>
        <w:rPr>
          <w:spacing w:val="-6"/>
        </w:rPr>
        <w:t xml:space="preserve"> </w:t>
      </w:r>
      <w:r>
        <w:t>following</w:t>
      </w:r>
      <w:r>
        <w:rPr>
          <w:spacing w:val="-6"/>
        </w:rPr>
        <w:t xml:space="preserve"> </w:t>
      </w:r>
      <w:r>
        <w:t>table</w:t>
      </w:r>
      <w:r>
        <w:rPr>
          <w:spacing w:val="-6"/>
        </w:rPr>
        <w:t xml:space="preserve"> </w:t>
      </w:r>
      <w:r>
        <w:t>presents</w:t>
      </w:r>
      <w:r>
        <w:rPr>
          <w:spacing w:val="-6"/>
        </w:rPr>
        <w:t xml:space="preserve"> </w:t>
      </w:r>
      <w:r>
        <w:t>the</w:t>
      </w:r>
      <w:r>
        <w:rPr>
          <w:spacing w:val="-6"/>
        </w:rPr>
        <w:t xml:space="preserve"> </w:t>
      </w:r>
      <w:r>
        <w:t>number</w:t>
      </w:r>
      <w:r>
        <w:rPr>
          <w:spacing w:val="-6"/>
        </w:rPr>
        <w:t xml:space="preserve"> </w:t>
      </w:r>
      <w:r>
        <w:t>of</w:t>
      </w:r>
      <w:r>
        <w:rPr>
          <w:spacing w:val="-6"/>
        </w:rPr>
        <w:t xml:space="preserve"> </w:t>
      </w:r>
      <w:r>
        <w:t>fourth-</w:t>
      </w:r>
      <w:r>
        <w:rPr>
          <w:spacing w:val="-6"/>
        </w:rPr>
        <w:t xml:space="preserve"> </w:t>
      </w:r>
      <w:r>
        <w:t>and</w:t>
      </w:r>
      <w:r>
        <w:rPr>
          <w:spacing w:val="-6"/>
        </w:rPr>
        <w:t xml:space="preserve"> </w:t>
      </w:r>
      <w:r>
        <w:t>eighth-grade</w:t>
      </w:r>
      <w:r>
        <w:rPr>
          <w:spacing w:val="-6"/>
        </w:rPr>
        <w:t xml:space="preserve"> </w:t>
      </w:r>
      <w:r>
        <w:t>private</w:t>
      </w:r>
      <w:r>
        <w:rPr>
          <w:spacing w:val="-6"/>
        </w:rPr>
        <w:t xml:space="preserve"> </w:t>
      </w:r>
      <w:r>
        <w:t>schools</w:t>
      </w:r>
      <w:r>
        <w:rPr>
          <w:spacing w:val="-6"/>
        </w:rPr>
        <w:t xml:space="preserve"> </w:t>
      </w:r>
      <w:r>
        <w:t>and</w:t>
      </w:r>
      <w:r>
        <w:rPr>
          <w:spacing w:val="-6"/>
        </w:rPr>
        <w:t xml:space="preserve"> </w:t>
      </w:r>
      <w:r>
        <w:t>their</w:t>
      </w:r>
      <w:r>
        <w:rPr>
          <w:spacing w:val="-6"/>
        </w:rPr>
        <w:t xml:space="preserve"> </w:t>
      </w:r>
      <w:r>
        <w:t>estimated</w:t>
      </w:r>
      <w:r>
        <w:rPr>
          <w:spacing w:val="-6"/>
        </w:rPr>
        <w:t xml:space="preserve"> </w:t>
      </w:r>
      <w:r>
        <w:t>enrollment</w:t>
      </w:r>
      <w:r>
        <w:rPr>
          <w:spacing w:val="-6"/>
        </w:rPr>
        <w:t xml:space="preserve"> </w:t>
      </w:r>
      <w:r>
        <w:t>as</w:t>
      </w:r>
      <w:r>
        <w:rPr>
          <w:spacing w:val="-6"/>
        </w:rPr>
        <w:t xml:space="preserve"> </w:t>
      </w:r>
      <w:r>
        <w:t>contained</w:t>
      </w:r>
      <w:r>
        <w:rPr>
          <w:spacing w:val="-6"/>
        </w:rPr>
        <w:t xml:space="preserve"> </w:t>
      </w:r>
      <w:r>
        <w:t>in</w:t>
      </w:r>
      <w:r>
        <w:rPr>
          <w:spacing w:val="-6"/>
        </w:rPr>
        <w:t xml:space="preserve"> </w:t>
      </w:r>
      <w:r>
        <w:t>the</w:t>
      </w:r>
      <w:r>
        <w:rPr>
          <w:spacing w:val="-6"/>
        </w:rPr>
        <w:t xml:space="preserve"> </w:t>
      </w:r>
      <w:r>
        <w:t>Private</w:t>
      </w:r>
      <w:r>
        <w:rPr>
          <w:spacing w:val="-6"/>
        </w:rPr>
        <w:t xml:space="preserve"> </w:t>
      </w:r>
      <w:r>
        <w:t>School</w:t>
      </w:r>
      <w:r>
        <w:rPr>
          <w:spacing w:val="-6"/>
        </w:rPr>
        <w:t xml:space="preserve"> </w:t>
      </w:r>
      <w:r>
        <w:t>Universe</w:t>
      </w:r>
      <w:r>
        <w:rPr>
          <w:spacing w:val="-6"/>
        </w:rPr>
        <w:t xml:space="preserve"> </w:t>
      </w:r>
      <w:r>
        <w:t>Survey</w:t>
      </w:r>
      <w:r>
        <w:rPr>
          <w:spacing w:val="-6"/>
        </w:rPr>
        <w:t xml:space="preserve"> </w:t>
      </w:r>
      <w:r>
        <w:t>(PSS)- based sampling frames, by private school affiliation, for the national mathematics and reading assessments. Grade-specific enrollment was estimated for each school as the average grade enrollment for grades 1 through 8.</w:t>
      </w:r>
    </w:p>
    <w:p w:rsidR="003F5784" w14:paraId="30C66799" w14:textId="77777777">
      <w:pPr>
        <w:pStyle w:val="BodyText"/>
        <w:spacing w:before="209" w:line="232" w:lineRule="auto"/>
        <w:ind w:left="109"/>
      </w:pPr>
      <w:r>
        <w:t>The</w:t>
      </w:r>
      <w:r>
        <w:rPr>
          <w:spacing w:val="-6"/>
        </w:rPr>
        <w:t xml:space="preserve"> </w:t>
      </w:r>
      <w:r>
        <w:t>counts</w:t>
      </w:r>
      <w:r>
        <w:rPr>
          <w:spacing w:val="-6"/>
        </w:rPr>
        <w:t xml:space="preserve"> </w:t>
      </w:r>
      <w:r>
        <w:t>in</w:t>
      </w:r>
      <w:r>
        <w:rPr>
          <w:spacing w:val="-6"/>
        </w:rPr>
        <w:t xml:space="preserve"> </w:t>
      </w:r>
      <w:r>
        <w:t>this</w:t>
      </w:r>
      <w:r>
        <w:rPr>
          <w:spacing w:val="-6"/>
        </w:rPr>
        <w:t xml:space="preserve"> </w:t>
      </w:r>
      <w:r>
        <w:t>table</w:t>
      </w:r>
      <w:r>
        <w:rPr>
          <w:spacing w:val="-6"/>
        </w:rPr>
        <w:t xml:space="preserve"> </w:t>
      </w:r>
      <w:r>
        <w:t>are</w:t>
      </w:r>
      <w:r>
        <w:rPr>
          <w:spacing w:val="-6"/>
        </w:rPr>
        <w:t xml:space="preserve"> </w:t>
      </w:r>
      <w:r>
        <w:t>for</w:t>
      </w:r>
      <w:r>
        <w:rPr>
          <w:spacing w:val="-6"/>
        </w:rPr>
        <w:t xml:space="preserve"> </w:t>
      </w:r>
      <w:r>
        <w:t>schools</w:t>
      </w:r>
      <w:r>
        <w:rPr>
          <w:spacing w:val="-6"/>
        </w:rPr>
        <w:t xml:space="preserve"> </w:t>
      </w:r>
      <w:r>
        <w:t>with</w:t>
      </w:r>
      <w:r>
        <w:rPr>
          <w:spacing w:val="-6"/>
        </w:rPr>
        <w:t xml:space="preserve"> </w:t>
      </w:r>
      <w:r>
        <w:t>known</w:t>
      </w:r>
      <w:r>
        <w:rPr>
          <w:spacing w:val="-6"/>
        </w:rPr>
        <w:t xml:space="preserve"> </w:t>
      </w:r>
      <w:r>
        <w:t>affiliation.</w:t>
      </w:r>
      <w:r>
        <w:rPr>
          <w:spacing w:val="-6"/>
        </w:rPr>
        <w:t xml:space="preserve"> </w:t>
      </w:r>
      <w:r>
        <w:t>Schools</w:t>
      </w:r>
      <w:r>
        <w:rPr>
          <w:spacing w:val="-6"/>
        </w:rPr>
        <w:t xml:space="preserve"> </w:t>
      </w:r>
      <w:r>
        <w:t>with</w:t>
      </w:r>
      <w:r>
        <w:rPr>
          <w:spacing w:val="-6"/>
        </w:rPr>
        <w:t xml:space="preserve"> </w:t>
      </w:r>
      <w:r>
        <w:t>unknown</w:t>
      </w:r>
      <w:r>
        <w:rPr>
          <w:spacing w:val="-6"/>
        </w:rPr>
        <w:t xml:space="preserve"> </w:t>
      </w:r>
      <w:r>
        <w:t>affiliation</w:t>
      </w:r>
      <w:r>
        <w:rPr>
          <w:spacing w:val="-6"/>
        </w:rPr>
        <w:t xml:space="preserve"> </w:t>
      </w:r>
      <w:r>
        <w:t>do</w:t>
      </w:r>
      <w:r>
        <w:rPr>
          <w:spacing w:val="-6"/>
        </w:rPr>
        <w:t xml:space="preserve"> </w:t>
      </w:r>
      <w:r>
        <w:t>not</w:t>
      </w:r>
      <w:r>
        <w:rPr>
          <w:spacing w:val="-6"/>
        </w:rPr>
        <w:t xml:space="preserve"> </w:t>
      </w:r>
      <w:r>
        <w:t>appear</w:t>
      </w:r>
      <w:r>
        <w:rPr>
          <w:spacing w:val="-6"/>
        </w:rPr>
        <w:t xml:space="preserve"> </w:t>
      </w:r>
      <w:r>
        <w:t>in</w:t>
      </w:r>
      <w:r>
        <w:rPr>
          <w:spacing w:val="-6"/>
        </w:rPr>
        <w:t xml:space="preserve"> </w:t>
      </w:r>
      <w:r>
        <w:t>the</w:t>
      </w:r>
      <w:r>
        <w:rPr>
          <w:spacing w:val="-6"/>
        </w:rPr>
        <w:t xml:space="preserve"> </w:t>
      </w:r>
      <w:r>
        <w:t>table</w:t>
      </w:r>
      <w:r>
        <w:rPr>
          <w:spacing w:val="-6"/>
        </w:rPr>
        <w:t xml:space="preserve"> </w:t>
      </w:r>
      <w:r>
        <w:t>because</w:t>
      </w:r>
      <w:r>
        <w:rPr>
          <w:spacing w:val="-6"/>
        </w:rPr>
        <w:t xml:space="preserve"> </w:t>
      </w:r>
      <w:r>
        <w:t>their</w:t>
      </w:r>
      <w:r>
        <w:rPr>
          <w:spacing w:val="-6"/>
        </w:rPr>
        <w:t xml:space="preserve"> </w:t>
      </w:r>
      <w:r>
        <w:t>grade</w:t>
      </w:r>
      <w:r>
        <w:rPr>
          <w:spacing w:val="-6"/>
        </w:rPr>
        <w:t xml:space="preserve"> </w:t>
      </w:r>
      <w:r>
        <w:t>span,</w:t>
      </w:r>
      <w:r>
        <w:rPr>
          <w:spacing w:val="-6"/>
        </w:rPr>
        <w:t xml:space="preserve"> </w:t>
      </w:r>
      <w:r>
        <w:t>affiliation,</w:t>
      </w:r>
      <w:r>
        <w:rPr>
          <w:spacing w:val="-6"/>
        </w:rPr>
        <w:t xml:space="preserve"> </w:t>
      </w:r>
      <w:r>
        <w:t>and</w:t>
      </w:r>
      <w:r>
        <w:rPr>
          <w:spacing w:val="-6"/>
        </w:rPr>
        <w:t xml:space="preserve"> </w:t>
      </w:r>
      <w:r>
        <w:t>enrollment were unknown.</w:t>
      </w:r>
      <w:r>
        <w:rPr>
          <w:spacing w:val="-11"/>
        </w:rPr>
        <w:t xml:space="preserve"> </w:t>
      </w:r>
      <w:r>
        <w:t>Although PSS is a school universe survey, participation is voluntary and not all private schools respond. Since the NAEP</w:t>
      </w:r>
      <w:r>
        <w:rPr>
          <w:spacing w:val="-8"/>
        </w:rPr>
        <w:t xml:space="preserve"> </w:t>
      </w:r>
      <w:r>
        <w:t>sample must represent all private schools, not just PSS respondents, a small sample of PSS nonrespondents with unknown affiliation was selected for each of the targeted grades to improve NAEP</w:t>
      </w:r>
      <w:r>
        <w:rPr>
          <w:spacing w:val="-7"/>
        </w:rPr>
        <w:t xml:space="preserve"> </w:t>
      </w:r>
      <w:r>
        <w:t>coverage.</w:t>
      </w:r>
    </w:p>
    <w:p w:rsidR="003F5784" w14:paraId="468124EF" w14:textId="77777777">
      <w:pPr>
        <w:pStyle w:val="BodyText"/>
        <w:spacing w:before="93"/>
      </w:pPr>
    </w:p>
    <w:p w:rsidR="003F5784" w14:paraId="6372C22F" w14:textId="77777777">
      <w:pPr>
        <w:pStyle w:val="Heading2"/>
      </w:pPr>
      <w:r>
        <w:t>Number</w:t>
      </w:r>
      <w:r>
        <w:rPr>
          <w:spacing w:val="-11"/>
        </w:rPr>
        <w:t xml:space="preserve"> </w:t>
      </w:r>
      <w:r>
        <w:t>of</w:t>
      </w:r>
      <w:r>
        <w:rPr>
          <w:spacing w:val="-7"/>
        </w:rPr>
        <w:t xml:space="preserve"> </w:t>
      </w:r>
      <w:r>
        <w:t>schools</w:t>
      </w:r>
      <w:r>
        <w:rPr>
          <w:spacing w:val="-8"/>
        </w:rPr>
        <w:t xml:space="preserve"> </w:t>
      </w:r>
      <w:r>
        <w:t>and</w:t>
      </w:r>
      <w:r>
        <w:rPr>
          <w:spacing w:val="-7"/>
        </w:rPr>
        <w:t xml:space="preserve"> </w:t>
      </w:r>
      <w:r>
        <w:t>enrollment</w:t>
      </w:r>
      <w:r>
        <w:rPr>
          <w:spacing w:val="-7"/>
        </w:rPr>
        <w:t xml:space="preserve"> </w:t>
      </w:r>
      <w:r>
        <w:t>in</w:t>
      </w:r>
      <w:r>
        <w:rPr>
          <w:spacing w:val="-7"/>
        </w:rPr>
        <w:t xml:space="preserve"> </w:t>
      </w:r>
      <w:r>
        <w:t>private</w:t>
      </w:r>
      <w:r>
        <w:rPr>
          <w:spacing w:val="-7"/>
        </w:rPr>
        <w:t xml:space="preserve"> </w:t>
      </w:r>
      <w:r>
        <w:t>school</w:t>
      </w:r>
      <w:r>
        <w:rPr>
          <w:spacing w:val="-8"/>
        </w:rPr>
        <w:t xml:space="preserve"> </w:t>
      </w:r>
      <w:r>
        <w:t>sampling</w:t>
      </w:r>
      <w:r>
        <w:rPr>
          <w:spacing w:val="-7"/>
        </w:rPr>
        <w:t xml:space="preserve"> </w:t>
      </w:r>
      <w:r>
        <w:t>frame,</w:t>
      </w:r>
      <w:r>
        <w:rPr>
          <w:spacing w:val="-7"/>
        </w:rPr>
        <w:t xml:space="preserve"> </w:t>
      </w:r>
      <w:r>
        <w:t>national</w:t>
      </w:r>
      <w:r>
        <w:rPr>
          <w:spacing w:val="-7"/>
        </w:rPr>
        <w:t xml:space="preserve"> </w:t>
      </w:r>
      <w:r>
        <w:t>assessment,</w:t>
      </w:r>
      <w:r>
        <w:rPr>
          <w:spacing w:val="-7"/>
        </w:rPr>
        <w:t xml:space="preserve"> </w:t>
      </w:r>
      <w:r>
        <w:t>by</w:t>
      </w:r>
      <w:r>
        <w:rPr>
          <w:spacing w:val="-7"/>
        </w:rPr>
        <w:t xml:space="preserve"> </w:t>
      </w:r>
      <w:r>
        <w:t>grade</w:t>
      </w:r>
      <w:r>
        <w:rPr>
          <w:spacing w:val="-8"/>
        </w:rPr>
        <w:t xml:space="preserve"> </w:t>
      </w:r>
      <w:r>
        <w:t>and</w:t>
      </w:r>
      <w:r>
        <w:rPr>
          <w:spacing w:val="-7"/>
        </w:rPr>
        <w:t xml:space="preserve"> </w:t>
      </w:r>
      <w:r>
        <w:t>affiliation:</w:t>
      </w:r>
      <w:r>
        <w:rPr>
          <w:spacing w:val="-7"/>
        </w:rPr>
        <w:t xml:space="preserve"> </w:t>
      </w:r>
      <w:r>
        <w:rPr>
          <w:spacing w:val="-4"/>
        </w:rPr>
        <w:t>2022</w:t>
      </w:r>
    </w:p>
    <w:p w:rsidR="003F5784" w14:paraId="44906B5A" w14:textId="77777777">
      <w:pPr>
        <w:pStyle w:val="BodyText"/>
        <w:spacing w:before="10" w:after="1"/>
        <w:rPr>
          <w:b/>
          <w:sz w:val="11"/>
        </w:rPr>
      </w:pPr>
    </w:p>
    <w:tbl>
      <w:tblPr>
        <w:tblW w:w="0" w:type="auto"/>
        <w:tblInd w:w="482" w:type="dxa"/>
        <w:tblLayout w:type="fixed"/>
        <w:tblCellMar>
          <w:left w:w="0" w:type="dxa"/>
          <w:right w:w="0" w:type="dxa"/>
        </w:tblCellMar>
        <w:tblLook w:val="01E0"/>
      </w:tblPr>
      <w:tblGrid>
        <w:gridCol w:w="1291"/>
        <w:gridCol w:w="4050"/>
        <w:gridCol w:w="5288"/>
        <w:gridCol w:w="3356"/>
      </w:tblGrid>
      <w:tr w14:paraId="2A597800" w14:textId="77777777">
        <w:tblPrEx>
          <w:tblW w:w="0" w:type="auto"/>
          <w:tblInd w:w="482" w:type="dxa"/>
          <w:tblLayout w:type="fixed"/>
          <w:tblCellMar>
            <w:left w:w="0" w:type="dxa"/>
            <w:right w:w="0" w:type="dxa"/>
          </w:tblCellMar>
          <w:tblLook w:val="01E0"/>
        </w:tblPrEx>
        <w:trPr>
          <w:trHeight w:val="267"/>
        </w:trPr>
        <w:tc>
          <w:tcPr>
            <w:tcW w:w="1291" w:type="dxa"/>
            <w:tcBorders>
              <w:top w:val="single" w:sz="18" w:space="0" w:color="800000"/>
              <w:bottom w:val="single" w:sz="18" w:space="0" w:color="800000"/>
            </w:tcBorders>
          </w:tcPr>
          <w:p w:rsidR="003F5784" w14:paraId="73733335" w14:textId="77777777">
            <w:pPr>
              <w:pStyle w:val="TableParagraph"/>
              <w:spacing w:before="9" w:line="238" w:lineRule="exact"/>
              <w:ind w:left="120"/>
              <w:jc w:val="left"/>
              <w:rPr>
                <w:sz w:val="21"/>
              </w:rPr>
            </w:pPr>
            <w:r>
              <w:rPr>
                <w:spacing w:val="-2"/>
                <w:sz w:val="21"/>
              </w:rPr>
              <w:t>Grade</w:t>
            </w:r>
          </w:p>
        </w:tc>
        <w:tc>
          <w:tcPr>
            <w:tcW w:w="4050" w:type="dxa"/>
            <w:tcBorders>
              <w:top w:val="single" w:sz="18" w:space="0" w:color="800000"/>
              <w:bottom w:val="single" w:sz="18" w:space="0" w:color="800000"/>
            </w:tcBorders>
          </w:tcPr>
          <w:p w:rsidR="003F5784" w14:paraId="25807E74" w14:textId="77777777">
            <w:pPr>
              <w:pStyle w:val="TableParagraph"/>
              <w:spacing w:before="9" w:line="238" w:lineRule="exact"/>
              <w:ind w:left="661"/>
              <w:jc w:val="left"/>
              <w:rPr>
                <w:sz w:val="21"/>
              </w:rPr>
            </w:pPr>
            <w:r>
              <w:rPr>
                <w:spacing w:val="-2"/>
                <w:sz w:val="21"/>
              </w:rPr>
              <w:t>Affiliation</w:t>
            </w:r>
          </w:p>
        </w:tc>
        <w:tc>
          <w:tcPr>
            <w:tcW w:w="5288" w:type="dxa"/>
            <w:tcBorders>
              <w:top w:val="single" w:sz="18" w:space="0" w:color="800000"/>
              <w:bottom w:val="single" w:sz="18" w:space="0" w:color="800000"/>
            </w:tcBorders>
          </w:tcPr>
          <w:p w:rsidR="003F5784" w14:paraId="4D7FE7E7" w14:textId="77777777">
            <w:pPr>
              <w:pStyle w:val="TableParagraph"/>
              <w:spacing w:before="9" w:line="238" w:lineRule="exact"/>
              <w:ind w:right="1446"/>
              <w:rPr>
                <w:sz w:val="21"/>
              </w:rPr>
            </w:pPr>
            <w:r>
              <w:rPr>
                <w:sz w:val="21"/>
              </w:rPr>
              <w:t>Number</w:t>
            </w:r>
            <w:r>
              <w:rPr>
                <w:spacing w:val="-6"/>
                <w:sz w:val="21"/>
              </w:rPr>
              <w:t xml:space="preserve"> </w:t>
            </w:r>
            <w:r>
              <w:rPr>
                <w:sz w:val="21"/>
              </w:rPr>
              <w:t>of</w:t>
            </w:r>
            <w:r>
              <w:rPr>
                <w:spacing w:val="-5"/>
                <w:sz w:val="21"/>
              </w:rPr>
              <w:t xml:space="preserve"> </w:t>
            </w:r>
            <w:r>
              <w:rPr>
                <w:spacing w:val="-2"/>
                <w:sz w:val="21"/>
              </w:rPr>
              <w:t>schools</w:t>
            </w:r>
          </w:p>
        </w:tc>
        <w:tc>
          <w:tcPr>
            <w:tcW w:w="3356" w:type="dxa"/>
            <w:tcBorders>
              <w:top w:val="single" w:sz="18" w:space="0" w:color="800000"/>
              <w:bottom w:val="single" w:sz="18" w:space="0" w:color="800000"/>
            </w:tcBorders>
          </w:tcPr>
          <w:p w:rsidR="003F5784" w14:paraId="3EF078DC" w14:textId="77777777">
            <w:pPr>
              <w:pStyle w:val="TableParagraph"/>
              <w:spacing w:before="9" w:line="238" w:lineRule="exact"/>
              <w:ind w:right="118"/>
              <w:rPr>
                <w:sz w:val="21"/>
              </w:rPr>
            </w:pPr>
            <w:r>
              <w:rPr>
                <w:sz w:val="21"/>
              </w:rPr>
              <w:t>Estimated</w:t>
            </w:r>
            <w:r>
              <w:rPr>
                <w:spacing w:val="-10"/>
                <w:sz w:val="21"/>
              </w:rPr>
              <w:t xml:space="preserve"> </w:t>
            </w:r>
            <w:r>
              <w:rPr>
                <w:spacing w:val="-2"/>
                <w:sz w:val="21"/>
              </w:rPr>
              <w:t>enrollment</w:t>
            </w:r>
          </w:p>
        </w:tc>
      </w:tr>
      <w:tr w14:paraId="5D3DBAC1" w14:textId="77777777">
        <w:tblPrEx>
          <w:tblW w:w="0" w:type="auto"/>
          <w:tblInd w:w="482" w:type="dxa"/>
          <w:tblLayout w:type="fixed"/>
          <w:tblCellMar>
            <w:left w:w="0" w:type="dxa"/>
            <w:right w:w="0" w:type="dxa"/>
          </w:tblCellMar>
          <w:tblLook w:val="01E0"/>
        </w:tblPrEx>
        <w:trPr>
          <w:trHeight w:val="278"/>
        </w:trPr>
        <w:tc>
          <w:tcPr>
            <w:tcW w:w="1291" w:type="dxa"/>
            <w:tcBorders>
              <w:top w:val="single" w:sz="18" w:space="0" w:color="800000"/>
            </w:tcBorders>
          </w:tcPr>
          <w:p w:rsidR="003F5784" w14:paraId="455D56F1" w14:textId="77777777">
            <w:pPr>
              <w:pStyle w:val="TableParagraph"/>
              <w:spacing w:before="9"/>
              <w:ind w:left="120"/>
              <w:jc w:val="left"/>
              <w:rPr>
                <w:sz w:val="21"/>
              </w:rPr>
            </w:pPr>
            <w:r>
              <w:rPr>
                <w:spacing w:val="-10"/>
                <w:sz w:val="21"/>
              </w:rPr>
              <w:t>4</w:t>
            </w:r>
          </w:p>
        </w:tc>
        <w:tc>
          <w:tcPr>
            <w:tcW w:w="4050" w:type="dxa"/>
            <w:tcBorders>
              <w:top w:val="single" w:sz="18" w:space="0" w:color="800000"/>
            </w:tcBorders>
          </w:tcPr>
          <w:p w:rsidR="003F5784" w14:paraId="28DD2535" w14:textId="77777777">
            <w:pPr>
              <w:pStyle w:val="TableParagraph"/>
              <w:spacing w:before="9"/>
              <w:ind w:left="911"/>
              <w:jc w:val="left"/>
              <w:rPr>
                <w:b/>
                <w:sz w:val="21"/>
              </w:rPr>
            </w:pPr>
            <w:r>
              <w:rPr>
                <w:b/>
                <w:spacing w:val="-2"/>
                <w:sz w:val="21"/>
              </w:rPr>
              <w:t>Total</w:t>
            </w:r>
          </w:p>
        </w:tc>
        <w:tc>
          <w:tcPr>
            <w:tcW w:w="5288" w:type="dxa"/>
            <w:tcBorders>
              <w:top w:val="single" w:sz="18" w:space="0" w:color="800000"/>
            </w:tcBorders>
          </w:tcPr>
          <w:p w:rsidR="003F5784" w14:paraId="46E92AEF" w14:textId="77777777">
            <w:pPr>
              <w:pStyle w:val="TableParagraph"/>
              <w:spacing w:before="9"/>
              <w:ind w:right="1446"/>
              <w:rPr>
                <w:b/>
                <w:sz w:val="21"/>
              </w:rPr>
            </w:pPr>
            <w:r>
              <w:rPr>
                <w:b/>
                <w:spacing w:val="-2"/>
                <w:sz w:val="21"/>
              </w:rPr>
              <w:t>18,352</w:t>
            </w:r>
          </w:p>
        </w:tc>
        <w:tc>
          <w:tcPr>
            <w:tcW w:w="3356" w:type="dxa"/>
            <w:tcBorders>
              <w:top w:val="single" w:sz="18" w:space="0" w:color="800000"/>
            </w:tcBorders>
          </w:tcPr>
          <w:p w:rsidR="003F5784" w14:paraId="7A20F401" w14:textId="77777777">
            <w:pPr>
              <w:pStyle w:val="TableParagraph"/>
              <w:spacing w:before="9"/>
              <w:ind w:right="118"/>
              <w:rPr>
                <w:b/>
                <w:sz w:val="21"/>
              </w:rPr>
            </w:pPr>
            <w:r>
              <w:rPr>
                <w:b/>
                <w:spacing w:val="-2"/>
                <w:sz w:val="21"/>
              </w:rPr>
              <w:t>320,372</w:t>
            </w:r>
          </w:p>
        </w:tc>
      </w:tr>
      <w:tr w14:paraId="6397D3FB" w14:textId="77777777">
        <w:tblPrEx>
          <w:tblW w:w="0" w:type="auto"/>
          <w:tblInd w:w="482" w:type="dxa"/>
          <w:tblLayout w:type="fixed"/>
          <w:tblCellMar>
            <w:left w:w="0" w:type="dxa"/>
            <w:right w:w="0" w:type="dxa"/>
          </w:tblCellMar>
          <w:tblLook w:val="01E0"/>
        </w:tblPrEx>
        <w:trPr>
          <w:trHeight w:val="286"/>
        </w:trPr>
        <w:tc>
          <w:tcPr>
            <w:tcW w:w="1291" w:type="dxa"/>
          </w:tcPr>
          <w:p w:rsidR="003F5784" w14:paraId="243269A3" w14:textId="77777777">
            <w:pPr>
              <w:pStyle w:val="TableParagraph"/>
              <w:spacing w:before="0"/>
              <w:jc w:val="left"/>
              <w:rPr>
                <w:sz w:val="20"/>
              </w:rPr>
            </w:pPr>
          </w:p>
        </w:tc>
        <w:tc>
          <w:tcPr>
            <w:tcW w:w="4050" w:type="dxa"/>
          </w:tcPr>
          <w:p w:rsidR="003F5784" w14:paraId="3D0B5ECB" w14:textId="77777777">
            <w:pPr>
              <w:pStyle w:val="TableParagraph"/>
              <w:ind w:left="661"/>
              <w:jc w:val="left"/>
              <w:rPr>
                <w:sz w:val="21"/>
              </w:rPr>
            </w:pPr>
            <w:r>
              <w:rPr>
                <w:spacing w:val="-2"/>
                <w:sz w:val="21"/>
              </w:rPr>
              <w:t>Catholic</w:t>
            </w:r>
          </w:p>
        </w:tc>
        <w:tc>
          <w:tcPr>
            <w:tcW w:w="5288" w:type="dxa"/>
          </w:tcPr>
          <w:p w:rsidR="003F5784" w14:paraId="78405DA5" w14:textId="77777777">
            <w:pPr>
              <w:pStyle w:val="TableParagraph"/>
              <w:ind w:right="1446"/>
              <w:rPr>
                <w:sz w:val="21"/>
              </w:rPr>
            </w:pPr>
            <w:r>
              <w:rPr>
                <w:spacing w:val="-2"/>
                <w:sz w:val="21"/>
              </w:rPr>
              <w:t>4,808</w:t>
            </w:r>
          </w:p>
        </w:tc>
        <w:tc>
          <w:tcPr>
            <w:tcW w:w="3356" w:type="dxa"/>
          </w:tcPr>
          <w:p w:rsidR="003F5784" w14:paraId="58558338" w14:textId="77777777">
            <w:pPr>
              <w:pStyle w:val="TableParagraph"/>
              <w:ind w:right="118"/>
              <w:rPr>
                <w:sz w:val="21"/>
              </w:rPr>
            </w:pPr>
            <w:r>
              <w:rPr>
                <w:spacing w:val="-2"/>
                <w:sz w:val="21"/>
              </w:rPr>
              <w:t>122,653</w:t>
            </w:r>
          </w:p>
        </w:tc>
      </w:tr>
      <w:tr w14:paraId="6008A703" w14:textId="77777777">
        <w:tblPrEx>
          <w:tblW w:w="0" w:type="auto"/>
          <w:tblInd w:w="482" w:type="dxa"/>
          <w:tblLayout w:type="fixed"/>
          <w:tblCellMar>
            <w:left w:w="0" w:type="dxa"/>
            <w:right w:w="0" w:type="dxa"/>
          </w:tblCellMar>
          <w:tblLook w:val="01E0"/>
        </w:tblPrEx>
        <w:trPr>
          <w:trHeight w:val="289"/>
        </w:trPr>
        <w:tc>
          <w:tcPr>
            <w:tcW w:w="1291" w:type="dxa"/>
            <w:tcBorders>
              <w:bottom w:val="single" w:sz="12" w:space="0" w:color="800000"/>
            </w:tcBorders>
          </w:tcPr>
          <w:p w:rsidR="003F5784" w14:paraId="52AC3FD1" w14:textId="77777777">
            <w:pPr>
              <w:pStyle w:val="TableParagraph"/>
              <w:spacing w:before="0"/>
              <w:jc w:val="left"/>
              <w:rPr>
                <w:sz w:val="20"/>
              </w:rPr>
            </w:pPr>
          </w:p>
        </w:tc>
        <w:tc>
          <w:tcPr>
            <w:tcW w:w="4050" w:type="dxa"/>
            <w:tcBorders>
              <w:bottom w:val="single" w:sz="12" w:space="0" w:color="800000"/>
            </w:tcBorders>
          </w:tcPr>
          <w:p w:rsidR="003F5784" w14:paraId="35190387" w14:textId="77777777">
            <w:pPr>
              <w:pStyle w:val="TableParagraph"/>
              <w:ind w:left="661"/>
              <w:jc w:val="left"/>
              <w:rPr>
                <w:sz w:val="21"/>
              </w:rPr>
            </w:pPr>
            <w:r>
              <w:rPr>
                <w:spacing w:val="-2"/>
                <w:sz w:val="21"/>
              </w:rPr>
              <w:t>Non-Catholic</w:t>
            </w:r>
          </w:p>
        </w:tc>
        <w:tc>
          <w:tcPr>
            <w:tcW w:w="5288" w:type="dxa"/>
            <w:tcBorders>
              <w:bottom w:val="single" w:sz="12" w:space="0" w:color="800000"/>
            </w:tcBorders>
          </w:tcPr>
          <w:p w:rsidR="003F5784" w14:paraId="1BA91A47" w14:textId="77777777">
            <w:pPr>
              <w:pStyle w:val="TableParagraph"/>
              <w:ind w:right="1446"/>
              <w:rPr>
                <w:sz w:val="21"/>
              </w:rPr>
            </w:pPr>
            <w:r>
              <w:rPr>
                <w:spacing w:val="-2"/>
                <w:sz w:val="21"/>
              </w:rPr>
              <w:t>13,544</w:t>
            </w:r>
          </w:p>
        </w:tc>
        <w:tc>
          <w:tcPr>
            <w:tcW w:w="3356" w:type="dxa"/>
            <w:tcBorders>
              <w:bottom w:val="single" w:sz="12" w:space="0" w:color="800000"/>
            </w:tcBorders>
          </w:tcPr>
          <w:p w:rsidR="003F5784" w14:paraId="4161CD2A" w14:textId="77777777">
            <w:pPr>
              <w:pStyle w:val="TableParagraph"/>
              <w:ind w:right="118"/>
              <w:rPr>
                <w:sz w:val="21"/>
              </w:rPr>
            </w:pPr>
            <w:r>
              <w:rPr>
                <w:spacing w:val="-2"/>
                <w:sz w:val="21"/>
              </w:rPr>
              <w:t>197,719</w:t>
            </w:r>
          </w:p>
        </w:tc>
      </w:tr>
      <w:tr w14:paraId="0EF7C82B" w14:textId="77777777">
        <w:tblPrEx>
          <w:tblW w:w="0" w:type="auto"/>
          <w:tblInd w:w="482" w:type="dxa"/>
          <w:tblLayout w:type="fixed"/>
          <w:tblCellMar>
            <w:left w:w="0" w:type="dxa"/>
            <w:right w:w="0" w:type="dxa"/>
          </w:tblCellMar>
          <w:tblLook w:val="01E0"/>
        </w:tblPrEx>
        <w:trPr>
          <w:trHeight w:val="266"/>
        </w:trPr>
        <w:tc>
          <w:tcPr>
            <w:tcW w:w="1291" w:type="dxa"/>
            <w:tcBorders>
              <w:top w:val="single" w:sz="12" w:space="0" w:color="800000"/>
            </w:tcBorders>
          </w:tcPr>
          <w:p w:rsidR="003F5784" w14:paraId="46FC075D" w14:textId="77777777">
            <w:pPr>
              <w:pStyle w:val="TableParagraph"/>
              <w:spacing w:before="0" w:line="239" w:lineRule="exact"/>
              <w:ind w:left="120"/>
              <w:jc w:val="left"/>
              <w:rPr>
                <w:sz w:val="21"/>
              </w:rPr>
            </w:pPr>
            <w:r>
              <w:rPr>
                <w:spacing w:val="-10"/>
                <w:sz w:val="21"/>
              </w:rPr>
              <w:t>8</w:t>
            </w:r>
          </w:p>
        </w:tc>
        <w:tc>
          <w:tcPr>
            <w:tcW w:w="4050" w:type="dxa"/>
            <w:tcBorders>
              <w:top w:val="single" w:sz="12" w:space="0" w:color="800000"/>
            </w:tcBorders>
          </w:tcPr>
          <w:p w:rsidR="003F5784" w14:paraId="4DB35C7E" w14:textId="77777777">
            <w:pPr>
              <w:pStyle w:val="TableParagraph"/>
              <w:spacing w:before="0" w:line="239" w:lineRule="exact"/>
              <w:ind w:left="911"/>
              <w:jc w:val="left"/>
              <w:rPr>
                <w:b/>
                <w:sz w:val="21"/>
              </w:rPr>
            </w:pPr>
            <w:r>
              <w:rPr>
                <w:b/>
                <w:spacing w:val="-2"/>
                <w:sz w:val="21"/>
              </w:rPr>
              <w:t>Total</w:t>
            </w:r>
          </w:p>
        </w:tc>
        <w:tc>
          <w:tcPr>
            <w:tcW w:w="5288" w:type="dxa"/>
            <w:tcBorders>
              <w:top w:val="single" w:sz="12" w:space="0" w:color="800000"/>
            </w:tcBorders>
          </w:tcPr>
          <w:p w:rsidR="003F5784" w14:paraId="74F02237" w14:textId="77777777">
            <w:pPr>
              <w:pStyle w:val="TableParagraph"/>
              <w:spacing w:before="0" w:line="239" w:lineRule="exact"/>
              <w:ind w:right="1446"/>
              <w:rPr>
                <w:b/>
                <w:sz w:val="21"/>
              </w:rPr>
            </w:pPr>
            <w:r>
              <w:rPr>
                <w:b/>
                <w:spacing w:val="-2"/>
                <w:sz w:val="21"/>
              </w:rPr>
              <w:t>16,894</w:t>
            </w:r>
          </w:p>
        </w:tc>
        <w:tc>
          <w:tcPr>
            <w:tcW w:w="3356" w:type="dxa"/>
            <w:tcBorders>
              <w:top w:val="single" w:sz="12" w:space="0" w:color="800000"/>
            </w:tcBorders>
          </w:tcPr>
          <w:p w:rsidR="003F5784" w14:paraId="3B5D8D05" w14:textId="77777777">
            <w:pPr>
              <w:pStyle w:val="TableParagraph"/>
              <w:spacing w:before="0" w:line="239" w:lineRule="exact"/>
              <w:ind w:right="118"/>
              <w:rPr>
                <w:b/>
                <w:sz w:val="21"/>
              </w:rPr>
            </w:pPr>
            <w:r>
              <w:rPr>
                <w:b/>
                <w:spacing w:val="-2"/>
                <w:sz w:val="21"/>
              </w:rPr>
              <w:t>317,439</w:t>
            </w:r>
          </w:p>
        </w:tc>
      </w:tr>
      <w:tr w14:paraId="75C0C3B5" w14:textId="77777777">
        <w:tblPrEx>
          <w:tblW w:w="0" w:type="auto"/>
          <w:tblInd w:w="482" w:type="dxa"/>
          <w:tblLayout w:type="fixed"/>
          <w:tblCellMar>
            <w:left w:w="0" w:type="dxa"/>
            <w:right w:w="0" w:type="dxa"/>
          </w:tblCellMar>
          <w:tblLook w:val="01E0"/>
        </w:tblPrEx>
        <w:trPr>
          <w:trHeight w:val="286"/>
        </w:trPr>
        <w:tc>
          <w:tcPr>
            <w:tcW w:w="1291" w:type="dxa"/>
          </w:tcPr>
          <w:p w:rsidR="003F5784" w14:paraId="52C6DACF" w14:textId="77777777">
            <w:pPr>
              <w:pStyle w:val="TableParagraph"/>
              <w:spacing w:before="0"/>
              <w:jc w:val="left"/>
              <w:rPr>
                <w:sz w:val="20"/>
              </w:rPr>
            </w:pPr>
          </w:p>
        </w:tc>
        <w:tc>
          <w:tcPr>
            <w:tcW w:w="4050" w:type="dxa"/>
          </w:tcPr>
          <w:p w:rsidR="003F5784" w14:paraId="31C51217" w14:textId="77777777">
            <w:pPr>
              <w:pStyle w:val="TableParagraph"/>
              <w:ind w:left="661"/>
              <w:jc w:val="left"/>
              <w:rPr>
                <w:sz w:val="21"/>
              </w:rPr>
            </w:pPr>
            <w:r>
              <w:rPr>
                <w:spacing w:val="-2"/>
                <w:sz w:val="21"/>
              </w:rPr>
              <w:t>Catholic</w:t>
            </w:r>
          </w:p>
        </w:tc>
        <w:tc>
          <w:tcPr>
            <w:tcW w:w="5288" w:type="dxa"/>
          </w:tcPr>
          <w:p w:rsidR="003F5784" w14:paraId="7053BC7E" w14:textId="77777777">
            <w:pPr>
              <w:pStyle w:val="TableParagraph"/>
              <w:ind w:right="1446"/>
              <w:rPr>
                <w:sz w:val="21"/>
              </w:rPr>
            </w:pPr>
            <w:r>
              <w:rPr>
                <w:spacing w:val="-2"/>
                <w:sz w:val="21"/>
              </w:rPr>
              <w:t>4,451</w:t>
            </w:r>
          </w:p>
        </w:tc>
        <w:tc>
          <w:tcPr>
            <w:tcW w:w="3356" w:type="dxa"/>
          </w:tcPr>
          <w:p w:rsidR="003F5784" w14:paraId="57731A32" w14:textId="77777777">
            <w:pPr>
              <w:pStyle w:val="TableParagraph"/>
              <w:ind w:right="118"/>
              <w:rPr>
                <w:sz w:val="21"/>
              </w:rPr>
            </w:pPr>
            <w:r>
              <w:rPr>
                <w:spacing w:val="-2"/>
                <w:sz w:val="21"/>
              </w:rPr>
              <w:t>124,017</w:t>
            </w:r>
          </w:p>
        </w:tc>
      </w:tr>
      <w:tr w14:paraId="362ECA16" w14:textId="77777777">
        <w:tblPrEx>
          <w:tblW w:w="0" w:type="auto"/>
          <w:tblInd w:w="482" w:type="dxa"/>
          <w:tblLayout w:type="fixed"/>
          <w:tblCellMar>
            <w:left w:w="0" w:type="dxa"/>
            <w:right w:w="0" w:type="dxa"/>
          </w:tblCellMar>
          <w:tblLook w:val="01E0"/>
        </w:tblPrEx>
        <w:trPr>
          <w:trHeight w:val="288"/>
        </w:trPr>
        <w:tc>
          <w:tcPr>
            <w:tcW w:w="1291" w:type="dxa"/>
            <w:tcBorders>
              <w:bottom w:val="single" w:sz="18" w:space="0" w:color="800000"/>
            </w:tcBorders>
          </w:tcPr>
          <w:p w:rsidR="003F5784" w14:paraId="7F20E4E5" w14:textId="77777777">
            <w:pPr>
              <w:pStyle w:val="TableParagraph"/>
              <w:spacing w:before="0"/>
              <w:jc w:val="left"/>
              <w:rPr>
                <w:sz w:val="20"/>
              </w:rPr>
            </w:pPr>
          </w:p>
        </w:tc>
        <w:tc>
          <w:tcPr>
            <w:tcW w:w="4050" w:type="dxa"/>
            <w:tcBorders>
              <w:bottom w:val="single" w:sz="18" w:space="0" w:color="800000"/>
            </w:tcBorders>
          </w:tcPr>
          <w:p w:rsidR="003F5784" w14:paraId="2BFA25FF" w14:textId="77777777">
            <w:pPr>
              <w:pStyle w:val="TableParagraph"/>
              <w:ind w:left="661"/>
              <w:jc w:val="left"/>
              <w:rPr>
                <w:sz w:val="21"/>
              </w:rPr>
            </w:pPr>
            <w:r>
              <w:rPr>
                <w:spacing w:val="-2"/>
                <w:sz w:val="21"/>
              </w:rPr>
              <w:t>Non-Catholic</w:t>
            </w:r>
          </w:p>
        </w:tc>
        <w:tc>
          <w:tcPr>
            <w:tcW w:w="5288" w:type="dxa"/>
            <w:tcBorders>
              <w:bottom w:val="single" w:sz="18" w:space="0" w:color="800000"/>
            </w:tcBorders>
          </w:tcPr>
          <w:p w:rsidR="003F5784" w14:paraId="36906468" w14:textId="77777777">
            <w:pPr>
              <w:pStyle w:val="TableParagraph"/>
              <w:ind w:right="1446"/>
              <w:rPr>
                <w:sz w:val="21"/>
              </w:rPr>
            </w:pPr>
            <w:r>
              <w:rPr>
                <w:spacing w:val="-2"/>
                <w:sz w:val="21"/>
              </w:rPr>
              <w:t>12,443</w:t>
            </w:r>
          </w:p>
        </w:tc>
        <w:tc>
          <w:tcPr>
            <w:tcW w:w="3356" w:type="dxa"/>
            <w:tcBorders>
              <w:bottom w:val="single" w:sz="18" w:space="0" w:color="800000"/>
            </w:tcBorders>
          </w:tcPr>
          <w:p w:rsidR="003F5784" w14:paraId="5C68A92B" w14:textId="77777777">
            <w:pPr>
              <w:pStyle w:val="TableParagraph"/>
              <w:ind w:right="118"/>
              <w:rPr>
                <w:sz w:val="21"/>
              </w:rPr>
            </w:pPr>
            <w:r>
              <w:rPr>
                <w:spacing w:val="-2"/>
                <w:sz w:val="21"/>
              </w:rPr>
              <w:t>193,422</w:t>
            </w:r>
          </w:p>
        </w:tc>
      </w:tr>
      <w:tr w14:paraId="20DFAE22" w14:textId="77777777">
        <w:tblPrEx>
          <w:tblW w:w="0" w:type="auto"/>
          <w:tblInd w:w="482" w:type="dxa"/>
          <w:tblLayout w:type="fixed"/>
          <w:tblCellMar>
            <w:left w:w="0" w:type="dxa"/>
            <w:right w:w="0" w:type="dxa"/>
          </w:tblCellMar>
          <w:tblLook w:val="01E0"/>
        </w:tblPrEx>
        <w:trPr>
          <w:trHeight w:val="472"/>
        </w:trPr>
        <w:tc>
          <w:tcPr>
            <w:tcW w:w="13985" w:type="dxa"/>
            <w:gridSpan w:val="4"/>
            <w:tcBorders>
              <w:top w:val="single" w:sz="18" w:space="0" w:color="800000"/>
            </w:tcBorders>
          </w:tcPr>
          <w:p w:rsidR="003F5784" w14:paraId="3C0B844F" w14:textId="77777777">
            <w:pPr>
              <w:pStyle w:val="TableParagraph"/>
              <w:spacing w:before="0" w:line="234" w:lineRule="exact"/>
              <w:ind w:left="120"/>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Progress (NAEP), 2022 National Mathematics and Reading Assessments.</w:t>
            </w:r>
          </w:p>
        </w:tc>
      </w:tr>
    </w:tbl>
    <w:p w:rsidR="003F5784" w14:paraId="40280340" w14:textId="77777777">
      <w:pPr>
        <w:pStyle w:val="BodyText"/>
        <w:rPr>
          <w:b/>
        </w:rPr>
      </w:pPr>
    </w:p>
    <w:p w:rsidR="003F5784" w14:paraId="5A11913B" w14:textId="77777777">
      <w:pPr>
        <w:pStyle w:val="BodyText"/>
        <w:rPr>
          <w:b/>
        </w:rPr>
      </w:pPr>
    </w:p>
    <w:p w:rsidR="003F5784" w14:paraId="6EFD5C3F" w14:textId="77777777">
      <w:pPr>
        <w:pStyle w:val="BodyText"/>
        <w:spacing w:before="198"/>
        <w:rPr>
          <w:b/>
        </w:rPr>
      </w:pPr>
    </w:p>
    <w:p w:rsidR="003F5784" w14:paraId="08C8D899" w14:textId="77777777">
      <w:pPr>
        <w:ind w:right="113"/>
        <w:jc w:val="right"/>
        <w:rPr>
          <w:sz w:val="18"/>
        </w:rPr>
      </w:pPr>
      <w:hyperlink r:id="rId89">
        <w:r>
          <w:rPr>
            <w:spacing w:val="-2"/>
            <w:w w:val="105"/>
            <w:sz w:val="18"/>
          </w:rPr>
          <w:t>http://nces.ed.gov/nationsreportcard/tdw/sample_design/2022/fourth_and_eighth_grade_schools_and_enrollment_in_the_2022_private_school_sampling_frame.aspx</w:t>
        </w:r>
      </w:hyperlink>
    </w:p>
    <w:p w:rsidR="003F5784" w14:paraId="1C2A14DD" w14:textId="77777777">
      <w:pPr>
        <w:pStyle w:val="BodyText"/>
        <w:spacing w:before="11"/>
        <w:rPr>
          <w:sz w:val="14"/>
        </w:rPr>
      </w:pPr>
      <w:r>
        <w:rPr>
          <w:noProof/>
        </w:rPr>
        <mc:AlternateContent>
          <mc:Choice Requires="wps">
            <w:drawing>
              <wp:anchor distT="0" distB="0" distL="0" distR="0" simplePos="0" relativeHeight="251800576" behindDoc="1" locked="0" layoutInCell="1" allowOverlap="1">
                <wp:simplePos x="0" y="0"/>
                <wp:positionH relativeFrom="page">
                  <wp:posOffset>361937</wp:posOffset>
                </wp:positionH>
                <wp:positionV relativeFrom="paragraph">
                  <wp:posOffset>124438</wp:posOffset>
                </wp:positionV>
                <wp:extent cx="9339580" cy="8890"/>
                <wp:effectExtent l="0" t="0" r="0" b="0"/>
                <wp:wrapTopAndBottom/>
                <wp:docPr id="108" name="Graphic 10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80"/>
                              </a:lnTo>
                              <a:lnTo>
                                <a:pt x="9335110" y="8293"/>
                              </a:lnTo>
                              <a:lnTo>
                                <a:pt x="9338970" y="8293"/>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08" o:spid="_x0000_s1071" style="width:735.4pt;height:0.7pt;margin-top:9.8pt;margin-left:28.5pt;mso-position-horizontal-relative:page;mso-wrap-distance-bottom:0;mso-wrap-distance-left:0;mso-wrap-distance-right:0;mso-wrap-distance-top:0;mso-wrap-style:square;position:absolute;visibility:visible;v-text-anchor:top;z-index:-251514880" coordsize="9339580,8890" path="m9338970,12l9335110,12l8280,12,,,,8280l9335110,8293l9338970,8293l9338970,12xe" fillcolor="gray" stroked="f">
                <v:path arrowok="t"/>
                <w10:wrap type="topAndBottom"/>
              </v:shape>
            </w:pict>
          </mc:Fallback>
        </mc:AlternateContent>
      </w:r>
    </w:p>
    <w:p w:rsidR="003F5784" w14:paraId="156F2D5E" w14:textId="77777777">
      <w:pPr>
        <w:rPr>
          <w:sz w:val="14"/>
        </w:rPr>
        <w:sectPr>
          <w:pgSz w:w="15840" w:h="12240" w:orient="landscape"/>
          <w:pgMar w:top="480" w:right="440" w:bottom="460" w:left="460" w:header="284" w:footer="275" w:gutter="0"/>
          <w:cols w:space="720"/>
        </w:sectPr>
      </w:pPr>
    </w:p>
    <w:p w:rsidR="003F5784" w14:paraId="652C22C6" w14:textId="77777777">
      <w:pPr>
        <w:pStyle w:val="BodyText"/>
        <w:spacing w:before="118"/>
        <w:rPr>
          <w:sz w:val="41"/>
        </w:rPr>
      </w:pPr>
    </w:p>
    <w:p w:rsidR="003F5784" w14:paraId="693EE589" w14:textId="06D82988">
      <w:pPr>
        <w:pStyle w:val="Heading1"/>
        <w:spacing w:line="244" w:lineRule="auto"/>
        <w:ind w:right="318"/>
      </w:pPr>
      <w:r>
        <w:t>NAEP</w:t>
      </w:r>
      <w:r>
        <w:rPr>
          <w:spacing w:val="-14"/>
        </w:rPr>
        <w:t xml:space="preserve"> </w:t>
      </w:r>
      <w:r>
        <w:t>Technical Documentation</w:t>
      </w:r>
      <w:r w:rsidR="00F3629E">
        <w:t xml:space="preserve"> </w:t>
      </w:r>
      <w:r>
        <w:t>New-School Sampling Frame for the 2022 Fourth- and Eighth-Grade Private School National Assessment in Mathematics and</w:t>
      </w:r>
      <w:r>
        <w:rPr>
          <w:spacing w:val="40"/>
        </w:rPr>
        <w:t xml:space="preserve"> </w:t>
      </w:r>
      <w:r>
        <w:rPr>
          <w:spacing w:val="-2"/>
        </w:rPr>
        <w:t>Reading</w:t>
      </w:r>
    </w:p>
    <w:p w:rsidR="003F5784" w14:paraId="2CF8B048" w14:textId="77777777">
      <w:pPr>
        <w:pStyle w:val="BodyText"/>
        <w:spacing w:before="288" w:line="232" w:lineRule="auto"/>
        <w:ind w:left="109" w:right="234"/>
        <w:jc w:val="both"/>
      </w:pPr>
      <w:r>
        <w:t>The</w:t>
      </w:r>
      <w:r>
        <w:rPr>
          <w:spacing w:val="-6"/>
        </w:rPr>
        <w:t xml:space="preserve"> </w:t>
      </w:r>
      <w:r>
        <w:t>NAEP</w:t>
      </w:r>
      <w:r>
        <w:rPr>
          <w:spacing w:val="-13"/>
        </w:rPr>
        <w:t xml:space="preserve"> </w:t>
      </w:r>
      <w:r>
        <w:t>2022</w:t>
      </w:r>
      <w:r>
        <w:rPr>
          <w:spacing w:val="-6"/>
        </w:rPr>
        <w:t xml:space="preserve"> </w:t>
      </w:r>
      <w:r>
        <w:t>private</w:t>
      </w:r>
      <w:r>
        <w:rPr>
          <w:spacing w:val="-6"/>
        </w:rPr>
        <w:t xml:space="preserve"> </w:t>
      </w:r>
      <w:r>
        <w:t>school</w:t>
      </w:r>
      <w:r>
        <w:rPr>
          <w:spacing w:val="-6"/>
        </w:rPr>
        <w:t xml:space="preserve"> </w:t>
      </w:r>
      <w:r>
        <w:t>frame</w:t>
      </w:r>
      <w:r>
        <w:rPr>
          <w:spacing w:val="-6"/>
        </w:rPr>
        <w:t xml:space="preserve"> </w:t>
      </w:r>
      <w:r>
        <w:t>was</w:t>
      </w:r>
      <w:r>
        <w:rPr>
          <w:spacing w:val="-6"/>
        </w:rPr>
        <w:t xml:space="preserve"> </w:t>
      </w:r>
      <w:r>
        <w:t>constructed</w:t>
      </w:r>
      <w:r>
        <w:rPr>
          <w:spacing w:val="-6"/>
        </w:rPr>
        <w:t xml:space="preserve"> </w:t>
      </w:r>
      <w:r>
        <w:t>using</w:t>
      </w:r>
      <w:r>
        <w:rPr>
          <w:spacing w:val="-6"/>
        </w:rPr>
        <w:t xml:space="preserve"> </w:t>
      </w:r>
      <w:r>
        <w:t>the</w:t>
      </w:r>
      <w:r>
        <w:rPr>
          <w:spacing w:val="-6"/>
        </w:rPr>
        <w:t xml:space="preserve"> </w:t>
      </w:r>
      <w:r>
        <w:t>most</w:t>
      </w:r>
      <w:r>
        <w:rPr>
          <w:spacing w:val="-6"/>
        </w:rPr>
        <w:t xml:space="preserve"> </w:t>
      </w:r>
      <w:r>
        <w:t>current</w:t>
      </w:r>
      <w:r>
        <w:rPr>
          <w:spacing w:val="-6"/>
        </w:rPr>
        <w:t xml:space="preserve"> </w:t>
      </w:r>
      <w:r>
        <w:rPr>
          <w:color w:val="0066CC"/>
        </w:rPr>
        <w:t>Private</w:t>
      </w:r>
      <w:r>
        <w:rPr>
          <w:color w:val="0066CC"/>
          <w:spacing w:val="-6"/>
        </w:rPr>
        <w:t xml:space="preserve"> </w:t>
      </w:r>
      <w:r>
        <w:rPr>
          <w:color w:val="0066CC"/>
        </w:rPr>
        <w:t>School</w:t>
      </w:r>
      <w:r>
        <w:rPr>
          <w:color w:val="0066CC"/>
          <w:spacing w:val="-6"/>
        </w:rPr>
        <w:t xml:space="preserve"> </w:t>
      </w:r>
      <w:r>
        <w:rPr>
          <w:color w:val="0066CC"/>
        </w:rPr>
        <w:t>Universe</w:t>
      </w:r>
      <w:r>
        <w:rPr>
          <w:color w:val="0066CC"/>
          <w:spacing w:val="-6"/>
        </w:rPr>
        <w:t xml:space="preserve"> </w:t>
      </w:r>
      <w:r>
        <w:rPr>
          <w:color w:val="0066CC"/>
        </w:rPr>
        <w:t>Survey</w:t>
      </w:r>
      <w:r>
        <w:rPr>
          <w:color w:val="0066CC"/>
          <w:spacing w:val="-6"/>
        </w:rPr>
        <w:t xml:space="preserve"> </w:t>
      </w:r>
      <w:r>
        <w:rPr>
          <w:color w:val="0066CC"/>
        </w:rPr>
        <w:t>(PSS)</w:t>
      </w:r>
      <w:r>
        <w:rPr>
          <w:color w:val="0066CC"/>
          <w:spacing w:val="-6"/>
        </w:rPr>
        <w:t xml:space="preserve"> </w:t>
      </w:r>
      <w:r>
        <w:t>file</w:t>
      </w:r>
      <w:r>
        <w:rPr>
          <w:spacing w:val="-6"/>
        </w:rPr>
        <w:t xml:space="preserve"> </w:t>
      </w:r>
      <w:r>
        <w:t>available</w:t>
      </w:r>
      <w:r>
        <w:rPr>
          <w:spacing w:val="-6"/>
        </w:rPr>
        <w:t xml:space="preserve"> </w:t>
      </w:r>
      <w:r>
        <w:t>from</w:t>
      </w:r>
      <w:r>
        <w:rPr>
          <w:spacing w:val="-6"/>
        </w:rPr>
        <w:t xml:space="preserve"> </w:t>
      </w:r>
      <w:r>
        <w:t>NCES.</w:t>
      </w:r>
      <w:r>
        <w:rPr>
          <w:spacing w:val="-10"/>
        </w:rPr>
        <w:t xml:space="preserve"> </w:t>
      </w:r>
      <w:r>
        <w:t>This</w:t>
      </w:r>
      <w:r>
        <w:rPr>
          <w:spacing w:val="-6"/>
        </w:rPr>
        <w:t xml:space="preserve"> </w:t>
      </w:r>
      <w:r>
        <w:t>file</w:t>
      </w:r>
      <w:r>
        <w:rPr>
          <w:spacing w:val="-6"/>
        </w:rPr>
        <w:t xml:space="preserve"> </w:t>
      </w:r>
      <w:r>
        <w:t>contained</w:t>
      </w:r>
      <w:r>
        <w:rPr>
          <w:spacing w:val="-6"/>
        </w:rPr>
        <w:t xml:space="preserve"> </w:t>
      </w:r>
      <w:r>
        <w:t>schools</w:t>
      </w:r>
      <w:r>
        <w:rPr>
          <w:spacing w:val="-6"/>
        </w:rPr>
        <w:t xml:space="preserve"> </w:t>
      </w:r>
      <w:r>
        <w:t>that were</w:t>
      </w:r>
      <w:r>
        <w:rPr>
          <w:spacing w:val="-6"/>
        </w:rPr>
        <w:t xml:space="preserve"> </w:t>
      </w:r>
      <w:r>
        <w:t>in</w:t>
      </w:r>
      <w:r>
        <w:rPr>
          <w:spacing w:val="-6"/>
        </w:rPr>
        <w:t xml:space="preserve"> </w:t>
      </w:r>
      <w:r>
        <w:t>existence</w:t>
      </w:r>
      <w:r>
        <w:rPr>
          <w:spacing w:val="-6"/>
        </w:rPr>
        <w:t xml:space="preserve"> </w:t>
      </w:r>
      <w:r>
        <w:t>during</w:t>
      </w:r>
      <w:r>
        <w:rPr>
          <w:spacing w:val="-6"/>
        </w:rPr>
        <w:t xml:space="preserve"> </w:t>
      </w:r>
      <w:r>
        <w:t>the</w:t>
      </w:r>
      <w:r>
        <w:rPr>
          <w:spacing w:val="-6"/>
        </w:rPr>
        <w:t xml:space="preserve"> </w:t>
      </w:r>
      <w:r>
        <w:t>2019–2020</w:t>
      </w:r>
      <w:r>
        <w:rPr>
          <w:spacing w:val="-6"/>
        </w:rPr>
        <w:t xml:space="preserve"> </w:t>
      </w:r>
      <w:r>
        <w:t>school</w:t>
      </w:r>
      <w:r>
        <w:rPr>
          <w:spacing w:val="-6"/>
        </w:rPr>
        <w:t xml:space="preserve"> </w:t>
      </w:r>
      <w:r>
        <w:t>year</w:t>
      </w:r>
      <w:r>
        <w:rPr>
          <w:spacing w:val="-6"/>
        </w:rPr>
        <w:t xml:space="preserve"> </w:t>
      </w:r>
      <w:r>
        <w:t>(i.e.,</w:t>
      </w:r>
      <w:r>
        <w:rPr>
          <w:spacing w:val="-6"/>
        </w:rPr>
        <w:t xml:space="preserve"> </w:t>
      </w:r>
      <w:r>
        <w:t>it</w:t>
      </w:r>
      <w:r>
        <w:rPr>
          <w:spacing w:val="-6"/>
        </w:rPr>
        <w:t xml:space="preserve"> </w:t>
      </w:r>
      <w:r>
        <w:t>was</w:t>
      </w:r>
      <w:r>
        <w:rPr>
          <w:spacing w:val="-6"/>
        </w:rPr>
        <w:t xml:space="preserve"> </w:t>
      </w:r>
      <w:r>
        <w:t>two</w:t>
      </w:r>
      <w:r>
        <w:rPr>
          <w:spacing w:val="-6"/>
        </w:rPr>
        <w:t xml:space="preserve"> </w:t>
      </w:r>
      <w:r>
        <w:t>years</w:t>
      </w:r>
      <w:r>
        <w:rPr>
          <w:spacing w:val="-6"/>
        </w:rPr>
        <w:t xml:space="preserve"> </w:t>
      </w:r>
      <w:r>
        <w:t>out</w:t>
      </w:r>
      <w:r>
        <w:rPr>
          <w:spacing w:val="-6"/>
        </w:rPr>
        <w:t xml:space="preserve"> </w:t>
      </w:r>
      <w:r>
        <w:t>of</w:t>
      </w:r>
      <w:r>
        <w:rPr>
          <w:spacing w:val="-6"/>
        </w:rPr>
        <w:t xml:space="preserve"> </w:t>
      </w:r>
      <w:r>
        <w:t>date).</w:t>
      </w:r>
      <w:r>
        <w:rPr>
          <w:spacing w:val="-6"/>
        </w:rPr>
        <w:t xml:space="preserve"> </w:t>
      </w:r>
      <w:r>
        <w:t>During</w:t>
      </w:r>
      <w:r>
        <w:rPr>
          <w:spacing w:val="-6"/>
        </w:rPr>
        <w:t xml:space="preserve"> </w:t>
      </w:r>
      <w:r>
        <w:t>the</w:t>
      </w:r>
      <w:r>
        <w:rPr>
          <w:spacing w:val="-6"/>
        </w:rPr>
        <w:t xml:space="preserve"> </w:t>
      </w:r>
      <w:r>
        <w:t>subsequent</w:t>
      </w:r>
      <w:r>
        <w:rPr>
          <w:spacing w:val="-6"/>
        </w:rPr>
        <w:t xml:space="preserve"> </w:t>
      </w:r>
      <w:r>
        <w:t>2-year</w:t>
      </w:r>
      <w:r>
        <w:rPr>
          <w:spacing w:val="-6"/>
        </w:rPr>
        <w:t xml:space="preserve"> </w:t>
      </w:r>
      <w:r>
        <w:t>period,</w:t>
      </w:r>
      <w:r>
        <w:rPr>
          <w:spacing w:val="-6"/>
        </w:rPr>
        <w:t xml:space="preserve"> </w:t>
      </w:r>
      <w:r>
        <w:t>undoubtedly,</w:t>
      </w:r>
      <w:r>
        <w:rPr>
          <w:spacing w:val="-6"/>
        </w:rPr>
        <w:t xml:space="preserve"> </w:t>
      </w:r>
      <w:r>
        <w:t>some</w:t>
      </w:r>
      <w:r>
        <w:rPr>
          <w:spacing w:val="-6"/>
        </w:rPr>
        <w:t xml:space="preserve"> </w:t>
      </w:r>
      <w:r>
        <w:t>schools</w:t>
      </w:r>
      <w:r>
        <w:rPr>
          <w:spacing w:val="-6"/>
        </w:rPr>
        <w:t xml:space="preserve"> </w:t>
      </w:r>
      <w:r>
        <w:t>closed,</w:t>
      </w:r>
      <w:r>
        <w:rPr>
          <w:spacing w:val="-6"/>
        </w:rPr>
        <w:t xml:space="preserve"> </w:t>
      </w:r>
      <w:r>
        <w:t>some</w:t>
      </w:r>
      <w:r>
        <w:rPr>
          <w:spacing w:val="-6"/>
        </w:rPr>
        <w:t xml:space="preserve"> </w:t>
      </w:r>
      <w:r>
        <w:t>changed structure (one school becoming two schools, for example), some newly opened, and still others changed their grade span.</w:t>
      </w:r>
    </w:p>
    <w:p w:rsidR="003F5784" w14:paraId="5B8F8921" w14:textId="77777777">
      <w:pPr>
        <w:pStyle w:val="BodyText"/>
        <w:spacing w:before="209" w:line="232" w:lineRule="auto"/>
        <w:ind w:left="109"/>
      </w:pPr>
      <w:r>
        <w:t>A</w:t>
      </w:r>
      <w:r>
        <w:rPr>
          <w:spacing w:val="-11"/>
        </w:rPr>
        <w:t xml:space="preserve"> </w:t>
      </w:r>
      <w:r>
        <w:t>supplemental sample was selected from a list of Catholic schools that were new or had become newly eligible sometime after the 2019–2020 school year.</w:t>
      </w:r>
      <w:r>
        <w:rPr>
          <w:spacing w:val="-4"/>
        </w:rPr>
        <w:t xml:space="preserve"> </w:t>
      </w:r>
      <w:r>
        <w:t>The goal was to allow</w:t>
      </w:r>
      <w:r>
        <w:rPr>
          <w:spacing w:val="-2"/>
        </w:rPr>
        <w:t xml:space="preserve"> </w:t>
      </w:r>
      <w:r>
        <w:t>every</w:t>
      </w:r>
      <w:r>
        <w:rPr>
          <w:spacing w:val="-2"/>
        </w:rPr>
        <w:t xml:space="preserve"> </w:t>
      </w:r>
      <w:r>
        <w:t>new</w:t>
      </w:r>
      <w:r>
        <w:rPr>
          <w:spacing w:val="-2"/>
        </w:rPr>
        <w:t xml:space="preserve"> </w:t>
      </w:r>
      <w:r>
        <w:t>Catholic</w:t>
      </w:r>
      <w:r>
        <w:rPr>
          <w:spacing w:val="-2"/>
        </w:rPr>
        <w:t xml:space="preserve"> </w:t>
      </w:r>
      <w:r>
        <w:t>school</w:t>
      </w:r>
      <w:r>
        <w:rPr>
          <w:spacing w:val="-2"/>
        </w:rPr>
        <w:t xml:space="preserve"> </w:t>
      </w:r>
      <w:r>
        <w:t>a</w:t>
      </w:r>
      <w:r>
        <w:rPr>
          <w:spacing w:val="-2"/>
        </w:rPr>
        <w:t xml:space="preserve"> </w:t>
      </w:r>
      <w:r>
        <w:t>chance</w:t>
      </w:r>
      <w:r>
        <w:rPr>
          <w:spacing w:val="-2"/>
        </w:rPr>
        <w:t xml:space="preserve"> </w:t>
      </w:r>
      <w:r>
        <w:t>of</w:t>
      </w:r>
      <w:r>
        <w:rPr>
          <w:spacing w:val="-2"/>
        </w:rPr>
        <w:t xml:space="preserve"> </w:t>
      </w:r>
      <w:r>
        <w:t>selection,</w:t>
      </w:r>
      <w:r>
        <w:rPr>
          <w:spacing w:val="-2"/>
        </w:rPr>
        <w:t xml:space="preserve"> </w:t>
      </w:r>
      <w:r>
        <w:t>thereby</w:t>
      </w:r>
      <w:r>
        <w:rPr>
          <w:spacing w:val="-2"/>
        </w:rPr>
        <w:t xml:space="preserve"> </w:t>
      </w:r>
      <w:r>
        <w:t>fully</w:t>
      </w:r>
      <w:r>
        <w:rPr>
          <w:spacing w:val="-2"/>
        </w:rPr>
        <w:t xml:space="preserve"> </w:t>
      </w:r>
      <w:r>
        <w:t>covering</w:t>
      </w:r>
      <w:r>
        <w:rPr>
          <w:spacing w:val="-2"/>
        </w:rPr>
        <w:t xml:space="preserve"> </w:t>
      </w:r>
      <w:r>
        <w:t>the</w:t>
      </w:r>
      <w:r>
        <w:rPr>
          <w:spacing w:val="-2"/>
        </w:rPr>
        <w:t xml:space="preserve"> </w:t>
      </w:r>
      <w:r>
        <w:t>target</w:t>
      </w:r>
      <w:r>
        <w:rPr>
          <w:spacing w:val="-2"/>
        </w:rPr>
        <w:t xml:space="preserve"> </w:t>
      </w:r>
      <w:r>
        <w:t>population</w:t>
      </w:r>
      <w:r>
        <w:rPr>
          <w:spacing w:val="-2"/>
        </w:rPr>
        <w:t xml:space="preserve"> </w:t>
      </w:r>
      <w:r>
        <w:t>of</w:t>
      </w:r>
      <w:r>
        <w:rPr>
          <w:spacing w:val="-2"/>
        </w:rPr>
        <w:t xml:space="preserve"> </w:t>
      </w:r>
      <w:r>
        <w:t>Catholic</w:t>
      </w:r>
      <w:r>
        <w:rPr>
          <w:spacing w:val="-2"/>
        </w:rPr>
        <w:t xml:space="preserve"> </w:t>
      </w:r>
      <w:r>
        <w:t>schools</w:t>
      </w:r>
      <w:r>
        <w:rPr>
          <w:spacing w:val="-2"/>
        </w:rPr>
        <w:t xml:space="preserve"> </w:t>
      </w:r>
      <w:r>
        <w:t>in</w:t>
      </w:r>
      <w:r>
        <w:rPr>
          <w:spacing w:val="-2"/>
        </w:rPr>
        <w:t xml:space="preserve"> </w:t>
      </w:r>
      <w:r>
        <w:t>operation</w:t>
      </w:r>
      <w:r>
        <w:rPr>
          <w:spacing w:val="-2"/>
        </w:rPr>
        <w:t xml:space="preserve"> </w:t>
      </w:r>
      <w:r>
        <w:t>during</w:t>
      </w:r>
      <w:r>
        <w:rPr>
          <w:spacing w:val="-2"/>
        </w:rPr>
        <w:t xml:space="preserve"> </w:t>
      </w:r>
      <w:r>
        <w:t>the</w:t>
      </w:r>
      <w:r>
        <w:rPr>
          <w:spacing w:val="-2"/>
        </w:rPr>
        <w:t xml:space="preserve"> </w:t>
      </w:r>
      <w:r>
        <w:t>2021–2022</w:t>
      </w:r>
      <w:r>
        <w:rPr>
          <w:spacing w:val="-2"/>
        </w:rPr>
        <w:t xml:space="preserve"> </w:t>
      </w:r>
      <w:r>
        <w:t>school</w:t>
      </w:r>
      <w:r>
        <w:rPr>
          <w:spacing w:val="-2"/>
        </w:rPr>
        <w:t xml:space="preserve"> </w:t>
      </w:r>
      <w:r>
        <w:t>year.</w:t>
      </w:r>
      <w:r>
        <w:rPr>
          <w:spacing w:val="-2"/>
        </w:rPr>
        <w:t xml:space="preserve"> </w:t>
      </w:r>
      <w:r>
        <w:t>It</w:t>
      </w:r>
      <w:r>
        <w:rPr>
          <w:spacing w:val="-2"/>
        </w:rPr>
        <w:t xml:space="preserve"> </w:t>
      </w:r>
      <w:r>
        <w:t>was infeasible</w:t>
      </w:r>
      <w:r>
        <w:rPr>
          <w:spacing w:val="-1"/>
        </w:rPr>
        <w:t xml:space="preserve"> </w:t>
      </w:r>
      <w:r>
        <w:t>to</w:t>
      </w:r>
      <w:r>
        <w:rPr>
          <w:spacing w:val="-1"/>
        </w:rPr>
        <w:t xml:space="preserve"> </w:t>
      </w:r>
      <w:r>
        <w:t>ask</w:t>
      </w:r>
      <w:r>
        <w:rPr>
          <w:spacing w:val="-1"/>
        </w:rPr>
        <w:t xml:space="preserve"> </w:t>
      </w:r>
      <w:r>
        <w:t>every</w:t>
      </w:r>
      <w:r>
        <w:rPr>
          <w:spacing w:val="-1"/>
        </w:rPr>
        <w:t xml:space="preserve"> </w:t>
      </w:r>
      <w:r>
        <w:t>Catholic</w:t>
      </w:r>
      <w:r>
        <w:rPr>
          <w:spacing w:val="-1"/>
        </w:rPr>
        <w:t xml:space="preserve"> </w:t>
      </w:r>
      <w:r>
        <w:t>diocese</w:t>
      </w:r>
      <w:r>
        <w:rPr>
          <w:spacing w:val="-1"/>
        </w:rPr>
        <w:t xml:space="preserve"> </w:t>
      </w:r>
      <w:r>
        <w:t>in</w:t>
      </w:r>
      <w:r>
        <w:rPr>
          <w:spacing w:val="-1"/>
        </w:rPr>
        <w:t xml:space="preserve"> </w:t>
      </w:r>
      <w:r>
        <w:t>the</w:t>
      </w:r>
      <w:r>
        <w:rPr>
          <w:spacing w:val="-1"/>
        </w:rPr>
        <w:t xml:space="preserve"> </w:t>
      </w:r>
      <w:r>
        <w:t>United</w:t>
      </w:r>
      <w:r>
        <w:rPr>
          <w:spacing w:val="-1"/>
        </w:rPr>
        <w:t xml:space="preserve"> </w:t>
      </w:r>
      <w:r>
        <w:t>States</w:t>
      </w:r>
      <w:r>
        <w:rPr>
          <w:spacing w:val="-1"/>
        </w:rPr>
        <w:t xml:space="preserve"> </w:t>
      </w:r>
      <w:r>
        <w:t>to</w:t>
      </w:r>
      <w:r>
        <w:rPr>
          <w:spacing w:val="-1"/>
        </w:rPr>
        <w:t xml:space="preserve"> </w:t>
      </w:r>
      <w:r>
        <w:t>provide</w:t>
      </w:r>
      <w:r>
        <w:rPr>
          <w:spacing w:val="-1"/>
        </w:rPr>
        <w:t xml:space="preserve"> </w:t>
      </w:r>
      <w:r>
        <w:t>a</w:t>
      </w:r>
      <w:r>
        <w:rPr>
          <w:spacing w:val="-1"/>
        </w:rPr>
        <w:t xml:space="preserve"> </w:t>
      </w:r>
      <w:r>
        <w:t>supplemental</w:t>
      </w:r>
      <w:r>
        <w:rPr>
          <w:spacing w:val="-1"/>
        </w:rPr>
        <w:t xml:space="preserve"> </w:t>
      </w:r>
      <w:r>
        <w:t>school</w:t>
      </w:r>
      <w:r>
        <w:rPr>
          <w:spacing w:val="-1"/>
        </w:rPr>
        <w:t xml:space="preserve"> </w:t>
      </w:r>
      <w:r>
        <w:t>frame,</w:t>
      </w:r>
      <w:r>
        <w:rPr>
          <w:spacing w:val="-1"/>
        </w:rPr>
        <w:t xml:space="preserve"> </w:t>
      </w:r>
      <w:r>
        <w:t>so</w:t>
      </w:r>
      <w:r>
        <w:rPr>
          <w:spacing w:val="-1"/>
        </w:rPr>
        <w:t xml:space="preserve"> </w:t>
      </w:r>
      <w:r>
        <w:t>a</w:t>
      </w:r>
      <w:r>
        <w:rPr>
          <w:spacing w:val="-1"/>
        </w:rPr>
        <w:t xml:space="preserve"> </w:t>
      </w:r>
      <w:r>
        <w:t>two-stage</w:t>
      </w:r>
      <w:r>
        <w:rPr>
          <w:spacing w:val="-1"/>
        </w:rPr>
        <w:t xml:space="preserve"> </w:t>
      </w:r>
      <w:r>
        <w:t>procedure</w:t>
      </w:r>
      <w:r>
        <w:rPr>
          <w:spacing w:val="-1"/>
        </w:rPr>
        <w:t xml:space="preserve"> </w:t>
      </w:r>
      <w:r>
        <w:t>was</w:t>
      </w:r>
      <w:r>
        <w:rPr>
          <w:spacing w:val="-1"/>
        </w:rPr>
        <w:t xml:space="preserve"> </w:t>
      </w:r>
      <w:r>
        <w:t>employed.</w:t>
      </w:r>
      <w:r>
        <w:rPr>
          <w:spacing w:val="-1"/>
        </w:rPr>
        <w:t xml:space="preserve"> </w:t>
      </w:r>
      <w:r>
        <w:t>First,</w:t>
      </w:r>
      <w:r>
        <w:rPr>
          <w:spacing w:val="-1"/>
        </w:rPr>
        <w:t xml:space="preserve"> </w:t>
      </w:r>
      <w:r>
        <w:t>a</w:t>
      </w:r>
      <w:r>
        <w:rPr>
          <w:spacing w:val="-1"/>
        </w:rPr>
        <w:t xml:space="preserve"> </w:t>
      </w:r>
      <w:r>
        <w:t>sample</w:t>
      </w:r>
      <w:r>
        <w:rPr>
          <w:spacing w:val="-1"/>
        </w:rPr>
        <w:t xml:space="preserve"> </w:t>
      </w:r>
      <w:r>
        <w:t>of</w:t>
      </w:r>
      <w:r>
        <w:rPr>
          <w:spacing w:val="-1"/>
        </w:rPr>
        <w:t xml:space="preserve"> </w:t>
      </w:r>
      <w:r>
        <w:t>dioceses</w:t>
      </w:r>
      <w:r>
        <w:rPr>
          <w:spacing w:val="-1"/>
        </w:rPr>
        <w:t xml:space="preserve"> </w:t>
      </w:r>
      <w:r>
        <w:t>was selected.</w:t>
      </w:r>
      <w:r>
        <w:rPr>
          <w:spacing w:val="-12"/>
        </w:rPr>
        <w:t xml:space="preserve"> </w:t>
      </w:r>
      <w:r>
        <w:t>Then</w:t>
      </w:r>
      <w:r>
        <w:rPr>
          <w:spacing w:val="-6"/>
        </w:rPr>
        <w:t xml:space="preserve"> </w:t>
      </w:r>
      <w:r>
        <w:t>the</w:t>
      </w:r>
      <w:r>
        <w:rPr>
          <w:spacing w:val="-6"/>
        </w:rPr>
        <w:t xml:space="preserve"> </w:t>
      </w:r>
      <w:r>
        <w:t>National</w:t>
      </w:r>
      <w:r>
        <w:rPr>
          <w:spacing w:val="-6"/>
        </w:rPr>
        <w:t xml:space="preserve"> </w:t>
      </w:r>
      <w:r>
        <w:t>Catholic</w:t>
      </w:r>
      <w:r>
        <w:rPr>
          <w:spacing w:val="-6"/>
        </w:rPr>
        <w:t xml:space="preserve"> </w:t>
      </w:r>
      <w:r>
        <w:t>Educational</w:t>
      </w:r>
      <w:r>
        <w:rPr>
          <w:spacing w:val="-14"/>
        </w:rPr>
        <w:t xml:space="preserve"> </w:t>
      </w:r>
      <w:r>
        <w:t>Association</w:t>
      </w:r>
      <w:r>
        <w:rPr>
          <w:spacing w:val="-5"/>
        </w:rPr>
        <w:t xml:space="preserve"> </w:t>
      </w:r>
      <w:r>
        <w:t>(NCEA)</w:t>
      </w:r>
      <w:r>
        <w:rPr>
          <w:spacing w:val="-6"/>
        </w:rPr>
        <w:t xml:space="preserve"> </w:t>
      </w:r>
      <w:r>
        <w:t>was</w:t>
      </w:r>
      <w:r>
        <w:rPr>
          <w:spacing w:val="-6"/>
        </w:rPr>
        <w:t xml:space="preserve"> </w:t>
      </w:r>
      <w:r>
        <w:t>sent</w:t>
      </w:r>
      <w:r>
        <w:rPr>
          <w:spacing w:val="-6"/>
        </w:rPr>
        <w:t xml:space="preserve"> </w:t>
      </w:r>
      <w:r>
        <w:t>a</w:t>
      </w:r>
      <w:r>
        <w:rPr>
          <w:spacing w:val="-6"/>
        </w:rPr>
        <w:t xml:space="preserve"> </w:t>
      </w:r>
      <w:r>
        <w:t>list</w:t>
      </w:r>
      <w:r>
        <w:rPr>
          <w:spacing w:val="-6"/>
        </w:rPr>
        <w:t xml:space="preserve"> </w:t>
      </w:r>
      <w:r>
        <w:t>of</w:t>
      </w:r>
      <w:r>
        <w:rPr>
          <w:spacing w:val="-6"/>
        </w:rPr>
        <w:t xml:space="preserve"> </w:t>
      </w:r>
      <w:r>
        <w:t>the</w:t>
      </w:r>
      <w:r>
        <w:rPr>
          <w:spacing w:val="-6"/>
        </w:rPr>
        <w:t xml:space="preserve"> </w:t>
      </w:r>
      <w:r>
        <w:t>schools</w:t>
      </w:r>
      <w:r>
        <w:rPr>
          <w:spacing w:val="-6"/>
        </w:rPr>
        <w:t xml:space="preserve"> </w:t>
      </w:r>
      <w:r>
        <w:t>within</w:t>
      </w:r>
      <w:r>
        <w:rPr>
          <w:spacing w:val="-6"/>
        </w:rPr>
        <w:t xml:space="preserve"> </w:t>
      </w:r>
      <w:r>
        <w:t>their</w:t>
      </w:r>
      <w:r>
        <w:rPr>
          <w:spacing w:val="-6"/>
        </w:rPr>
        <w:t xml:space="preserve"> </w:t>
      </w:r>
      <w:r>
        <w:t>sampled</w:t>
      </w:r>
      <w:r>
        <w:rPr>
          <w:spacing w:val="-6"/>
        </w:rPr>
        <w:t xml:space="preserve"> </w:t>
      </w:r>
      <w:r>
        <w:t>dioceses</w:t>
      </w:r>
      <w:r>
        <w:rPr>
          <w:spacing w:val="-6"/>
        </w:rPr>
        <w:t xml:space="preserve"> </w:t>
      </w:r>
      <w:r>
        <w:t>that</w:t>
      </w:r>
      <w:r>
        <w:rPr>
          <w:spacing w:val="-6"/>
        </w:rPr>
        <w:t xml:space="preserve"> </w:t>
      </w:r>
      <w:r>
        <w:t>had</w:t>
      </w:r>
      <w:r>
        <w:rPr>
          <w:spacing w:val="-6"/>
        </w:rPr>
        <w:t xml:space="preserve"> </w:t>
      </w:r>
      <w:r>
        <w:t>been</w:t>
      </w:r>
      <w:r>
        <w:rPr>
          <w:spacing w:val="-6"/>
        </w:rPr>
        <w:t xml:space="preserve"> </w:t>
      </w:r>
      <w:r>
        <w:t>present</w:t>
      </w:r>
      <w:r>
        <w:rPr>
          <w:spacing w:val="-6"/>
        </w:rPr>
        <w:t xml:space="preserve"> </w:t>
      </w:r>
      <w:r>
        <w:t>on</w:t>
      </w:r>
      <w:r>
        <w:rPr>
          <w:spacing w:val="-6"/>
        </w:rPr>
        <w:t xml:space="preserve"> </w:t>
      </w:r>
      <w:r>
        <w:t>the</w:t>
      </w:r>
      <w:r>
        <w:rPr>
          <w:spacing w:val="-6"/>
        </w:rPr>
        <w:t xml:space="preserve"> </w:t>
      </w:r>
      <w:r>
        <w:t>2019–2020</w:t>
      </w:r>
      <w:r>
        <w:rPr>
          <w:spacing w:val="-6"/>
        </w:rPr>
        <w:t xml:space="preserve"> </w:t>
      </w:r>
      <w:r>
        <w:t>PSS file. NCEA</w:t>
      </w:r>
      <w:r>
        <w:rPr>
          <w:spacing w:val="-8"/>
        </w:rPr>
        <w:t xml:space="preserve"> </w:t>
      </w:r>
      <w:r>
        <w:t>was asked to add in any new schools and update grade span for the schools on this list.</w:t>
      </w:r>
    </w:p>
    <w:p w:rsidR="003F5784" w14:paraId="2C8CA210" w14:textId="77777777">
      <w:pPr>
        <w:pStyle w:val="BodyText"/>
        <w:spacing w:before="210" w:line="232" w:lineRule="auto"/>
        <w:ind w:left="109"/>
      </w:pPr>
      <w:r>
        <w:t>The</w:t>
      </w:r>
      <w:r>
        <w:rPr>
          <w:spacing w:val="-6"/>
        </w:rPr>
        <w:t xml:space="preserve"> </w:t>
      </w:r>
      <w:r>
        <w:t>new-school</w:t>
      </w:r>
      <w:r>
        <w:rPr>
          <w:spacing w:val="-6"/>
        </w:rPr>
        <w:t xml:space="preserve"> </w:t>
      </w:r>
      <w:r>
        <w:t>process</w:t>
      </w:r>
      <w:r>
        <w:rPr>
          <w:spacing w:val="-6"/>
        </w:rPr>
        <w:t xml:space="preserve"> </w:t>
      </w:r>
      <w:r>
        <w:t>began</w:t>
      </w:r>
      <w:r>
        <w:rPr>
          <w:spacing w:val="-6"/>
        </w:rPr>
        <w:t xml:space="preserve"> </w:t>
      </w:r>
      <w:r>
        <w:t>with</w:t>
      </w:r>
      <w:r>
        <w:rPr>
          <w:spacing w:val="-6"/>
        </w:rPr>
        <w:t xml:space="preserve"> </w:t>
      </w:r>
      <w:r>
        <w:t>the</w:t>
      </w:r>
      <w:r>
        <w:rPr>
          <w:spacing w:val="-6"/>
        </w:rPr>
        <w:t xml:space="preserve"> </w:t>
      </w:r>
      <w:r>
        <w:t>preparation</w:t>
      </w:r>
      <w:r>
        <w:rPr>
          <w:spacing w:val="-6"/>
        </w:rPr>
        <w:t xml:space="preserve"> </w:t>
      </w:r>
      <w:r>
        <w:t>of</w:t>
      </w:r>
      <w:r>
        <w:rPr>
          <w:spacing w:val="-6"/>
        </w:rPr>
        <w:t xml:space="preserve"> </w:t>
      </w:r>
      <w:r>
        <w:t>a</w:t>
      </w:r>
      <w:r>
        <w:rPr>
          <w:spacing w:val="-6"/>
        </w:rPr>
        <w:t xml:space="preserve"> </w:t>
      </w:r>
      <w:r>
        <w:t>diocese-level</w:t>
      </w:r>
      <w:r>
        <w:rPr>
          <w:spacing w:val="-6"/>
        </w:rPr>
        <w:t xml:space="preserve"> </w:t>
      </w:r>
      <w:r>
        <w:t>frame.</w:t>
      </w:r>
      <w:r>
        <w:rPr>
          <w:spacing w:val="-9"/>
        </w:rPr>
        <w:t xml:space="preserve"> </w:t>
      </w:r>
      <w:r>
        <w:t>The</w:t>
      </w:r>
      <w:r>
        <w:rPr>
          <w:spacing w:val="-6"/>
        </w:rPr>
        <w:t xml:space="preserve"> </w:t>
      </w:r>
      <w:r>
        <w:t>starting</w:t>
      </w:r>
      <w:r>
        <w:rPr>
          <w:spacing w:val="-6"/>
        </w:rPr>
        <w:t xml:space="preserve"> </w:t>
      </w:r>
      <w:r>
        <w:t>point</w:t>
      </w:r>
      <w:r>
        <w:rPr>
          <w:spacing w:val="-6"/>
        </w:rPr>
        <w:t xml:space="preserve"> </w:t>
      </w:r>
      <w:r>
        <w:t>was</w:t>
      </w:r>
      <w:r>
        <w:rPr>
          <w:spacing w:val="-6"/>
        </w:rPr>
        <w:t xml:space="preserve"> </w:t>
      </w:r>
      <w:r>
        <w:t>a</w:t>
      </w:r>
      <w:r>
        <w:rPr>
          <w:spacing w:val="-6"/>
        </w:rPr>
        <w:t xml:space="preserve"> </w:t>
      </w:r>
      <w:r>
        <w:t>file</w:t>
      </w:r>
      <w:r>
        <w:rPr>
          <w:spacing w:val="-6"/>
        </w:rPr>
        <w:t xml:space="preserve"> </w:t>
      </w:r>
      <w:r>
        <w:t>containing</w:t>
      </w:r>
      <w:r>
        <w:rPr>
          <w:spacing w:val="-6"/>
        </w:rPr>
        <w:t xml:space="preserve"> </w:t>
      </w:r>
      <w:r>
        <w:t>every</w:t>
      </w:r>
      <w:r>
        <w:rPr>
          <w:spacing w:val="-6"/>
        </w:rPr>
        <w:t xml:space="preserve"> </w:t>
      </w:r>
      <w:r>
        <w:t>Catholic</w:t>
      </w:r>
      <w:r>
        <w:rPr>
          <w:spacing w:val="-6"/>
        </w:rPr>
        <w:t xml:space="preserve"> </w:t>
      </w:r>
      <w:r>
        <w:t>diocese</w:t>
      </w:r>
      <w:r>
        <w:rPr>
          <w:spacing w:val="-6"/>
        </w:rPr>
        <w:t xml:space="preserve"> </w:t>
      </w:r>
      <w:r>
        <w:t>in</w:t>
      </w:r>
      <w:r>
        <w:rPr>
          <w:spacing w:val="-6"/>
        </w:rPr>
        <w:t xml:space="preserve"> </w:t>
      </w:r>
      <w:r>
        <w:t>the</w:t>
      </w:r>
      <w:r>
        <w:rPr>
          <w:spacing w:val="-6"/>
        </w:rPr>
        <w:t xml:space="preserve"> </w:t>
      </w:r>
      <w:r>
        <w:t>U.S.</w:t>
      </w:r>
      <w:r>
        <w:rPr>
          <w:spacing w:val="-6"/>
        </w:rPr>
        <w:t xml:space="preserve"> </w:t>
      </w:r>
      <w:r>
        <w:t>classified</w:t>
      </w:r>
      <w:r>
        <w:rPr>
          <w:spacing w:val="-6"/>
        </w:rPr>
        <w:t xml:space="preserve"> </w:t>
      </w:r>
      <w:r>
        <w:t>as</w:t>
      </w:r>
      <w:r>
        <w:rPr>
          <w:spacing w:val="-6"/>
        </w:rPr>
        <w:t xml:space="preserve"> </w:t>
      </w:r>
      <w:r>
        <w:t>small, medium, or large based on the number of schools and student enrollment of schools from the PSS private school frame.</w:t>
      </w:r>
    </w:p>
    <w:p w:rsidR="003F5784" w14:paraId="2A3208F2" w14:textId="77777777">
      <w:pPr>
        <w:pStyle w:val="BodyText"/>
        <w:spacing w:before="210" w:line="232" w:lineRule="auto"/>
        <w:ind w:left="109" w:right="295"/>
        <w:jc w:val="both"/>
      </w:pPr>
      <w:r>
        <w:t>A</w:t>
      </w:r>
      <w:r>
        <w:rPr>
          <w:spacing w:val="-14"/>
        </w:rPr>
        <w:t xml:space="preserve"> </w:t>
      </w:r>
      <w:r>
        <w:t>diocese</w:t>
      </w:r>
      <w:r>
        <w:rPr>
          <w:spacing w:val="-3"/>
        </w:rPr>
        <w:t xml:space="preserve"> </w:t>
      </w:r>
      <w:r>
        <w:t>was</w:t>
      </w:r>
      <w:r>
        <w:rPr>
          <w:spacing w:val="-4"/>
        </w:rPr>
        <w:t xml:space="preserve"> </w:t>
      </w:r>
      <w:r>
        <w:t>considered</w:t>
      </w:r>
      <w:r>
        <w:rPr>
          <w:spacing w:val="-4"/>
        </w:rPr>
        <w:t xml:space="preserve"> </w:t>
      </w:r>
      <w:r>
        <w:t>to</w:t>
      </w:r>
      <w:r>
        <w:rPr>
          <w:spacing w:val="-4"/>
        </w:rPr>
        <w:t xml:space="preserve"> </w:t>
      </w:r>
      <w:r>
        <w:t>be</w:t>
      </w:r>
      <w:r>
        <w:rPr>
          <w:spacing w:val="-4"/>
        </w:rPr>
        <w:t xml:space="preserve"> </w:t>
      </w:r>
      <w:r>
        <w:t>small</w:t>
      </w:r>
      <w:r>
        <w:rPr>
          <w:spacing w:val="-4"/>
        </w:rPr>
        <w:t xml:space="preserve"> </w:t>
      </w:r>
      <w:r>
        <w:t>if</w:t>
      </w:r>
      <w:r>
        <w:rPr>
          <w:spacing w:val="-4"/>
        </w:rPr>
        <w:t xml:space="preserve"> </w:t>
      </w:r>
      <w:r>
        <w:t>it</w:t>
      </w:r>
      <w:r>
        <w:rPr>
          <w:spacing w:val="-4"/>
        </w:rPr>
        <w:t xml:space="preserve"> </w:t>
      </w:r>
      <w:r>
        <w:t>contained</w:t>
      </w:r>
      <w:r>
        <w:rPr>
          <w:spacing w:val="-4"/>
        </w:rPr>
        <w:t xml:space="preserve"> </w:t>
      </w:r>
      <w:r>
        <w:t>no</w:t>
      </w:r>
      <w:r>
        <w:rPr>
          <w:spacing w:val="-4"/>
        </w:rPr>
        <w:t xml:space="preserve"> </w:t>
      </w:r>
      <w:r>
        <w:t>more</w:t>
      </w:r>
      <w:r>
        <w:rPr>
          <w:spacing w:val="-4"/>
        </w:rPr>
        <w:t xml:space="preserve"> </w:t>
      </w:r>
      <w:r>
        <w:t>than</w:t>
      </w:r>
      <w:r>
        <w:rPr>
          <w:spacing w:val="-4"/>
        </w:rPr>
        <w:t xml:space="preserve"> </w:t>
      </w:r>
      <w:r>
        <w:t>one</w:t>
      </w:r>
      <w:r>
        <w:rPr>
          <w:spacing w:val="-4"/>
        </w:rPr>
        <w:t xml:space="preserve"> </w:t>
      </w:r>
      <w:r>
        <w:t>school</w:t>
      </w:r>
      <w:r>
        <w:rPr>
          <w:spacing w:val="-4"/>
        </w:rPr>
        <w:t xml:space="preserve"> </w:t>
      </w:r>
      <w:r>
        <w:t>at</w:t>
      </w:r>
      <w:r>
        <w:rPr>
          <w:spacing w:val="-4"/>
        </w:rPr>
        <w:t xml:space="preserve"> </w:t>
      </w:r>
      <w:r>
        <w:t>each</w:t>
      </w:r>
      <w:r>
        <w:rPr>
          <w:spacing w:val="-4"/>
        </w:rPr>
        <w:t xml:space="preserve"> </w:t>
      </w:r>
      <w:r>
        <w:t>targeted</w:t>
      </w:r>
      <w:r>
        <w:rPr>
          <w:spacing w:val="-4"/>
        </w:rPr>
        <w:t xml:space="preserve"> </w:t>
      </w:r>
      <w:r>
        <w:t>grade</w:t>
      </w:r>
      <w:r>
        <w:rPr>
          <w:spacing w:val="-4"/>
        </w:rPr>
        <w:t xml:space="preserve"> </w:t>
      </w:r>
      <w:r>
        <w:t>(4</w:t>
      </w:r>
      <w:r>
        <w:rPr>
          <w:spacing w:val="-4"/>
        </w:rPr>
        <w:t xml:space="preserve"> </w:t>
      </w:r>
      <w:r>
        <w:t>or</w:t>
      </w:r>
      <w:r>
        <w:rPr>
          <w:spacing w:val="-4"/>
        </w:rPr>
        <w:t xml:space="preserve"> </w:t>
      </w:r>
      <w:r>
        <w:t>8).</w:t>
      </w:r>
      <w:r>
        <w:rPr>
          <w:spacing w:val="-4"/>
        </w:rPr>
        <w:t xml:space="preserve"> </w:t>
      </w:r>
      <w:r>
        <w:t>During</w:t>
      </w:r>
      <w:r>
        <w:rPr>
          <w:spacing w:val="-4"/>
        </w:rPr>
        <w:t xml:space="preserve"> </w:t>
      </w:r>
      <w:r>
        <w:t>school</w:t>
      </w:r>
      <w:r>
        <w:rPr>
          <w:spacing w:val="-4"/>
        </w:rPr>
        <w:t xml:space="preserve"> </w:t>
      </w:r>
      <w:r>
        <w:t>recruitment,</w:t>
      </w:r>
      <w:r>
        <w:rPr>
          <w:spacing w:val="-4"/>
        </w:rPr>
        <w:t xml:space="preserve"> </w:t>
      </w:r>
      <w:r>
        <w:t>schools</w:t>
      </w:r>
      <w:r>
        <w:rPr>
          <w:spacing w:val="-4"/>
        </w:rPr>
        <w:t xml:space="preserve"> </w:t>
      </w:r>
      <w:r>
        <w:t>sampled</w:t>
      </w:r>
      <w:r>
        <w:rPr>
          <w:spacing w:val="-4"/>
        </w:rPr>
        <w:t xml:space="preserve"> </w:t>
      </w:r>
      <w:r>
        <w:t>from</w:t>
      </w:r>
      <w:r>
        <w:rPr>
          <w:spacing w:val="-4"/>
        </w:rPr>
        <w:t xml:space="preserve"> </w:t>
      </w:r>
      <w:r>
        <w:t>small</w:t>
      </w:r>
      <w:r>
        <w:rPr>
          <w:spacing w:val="-4"/>
        </w:rPr>
        <w:t xml:space="preserve"> </w:t>
      </w:r>
      <w:r>
        <w:t>dioceses were</w:t>
      </w:r>
      <w:r>
        <w:rPr>
          <w:spacing w:val="-6"/>
        </w:rPr>
        <w:t xml:space="preserve"> </w:t>
      </w:r>
      <w:r>
        <w:t>asked</w:t>
      </w:r>
      <w:r>
        <w:rPr>
          <w:spacing w:val="-6"/>
        </w:rPr>
        <w:t xml:space="preserve"> </w:t>
      </w:r>
      <w:r>
        <w:t>to</w:t>
      </w:r>
      <w:r>
        <w:rPr>
          <w:spacing w:val="-6"/>
        </w:rPr>
        <w:t xml:space="preserve"> </w:t>
      </w:r>
      <w:r>
        <w:t>identify</w:t>
      </w:r>
      <w:r>
        <w:rPr>
          <w:spacing w:val="-6"/>
        </w:rPr>
        <w:t xml:space="preserve"> </w:t>
      </w:r>
      <w:r>
        <w:t>schools</w:t>
      </w:r>
      <w:r>
        <w:rPr>
          <w:spacing w:val="-6"/>
        </w:rPr>
        <w:t xml:space="preserve"> </w:t>
      </w:r>
      <w:r>
        <w:t>within</w:t>
      </w:r>
      <w:r>
        <w:rPr>
          <w:spacing w:val="-6"/>
        </w:rPr>
        <w:t xml:space="preserve"> </w:t>
      </w:r>
      <w:r>
        <w:t>their</w:t>
      </w:r>
      <w:r>
        <w:rPr>
          <w:spacing w:val="-6"/>
        </w:rPr>
        <w:t xml:space="preserve"> </w:t>
      </w:r>
      <w:r>
        <w:t>dioceses</w:t>
      </w:r>
      <w:r>
        <w:rPr>
          <w:spacing w:val="-6"/>
        </w:rPr>
        <w:t xml:space="preserve"> </w:t>
      </w:r>
      <w:r>
        <w:t>that</w:t>
      </w:r>
      <w:r>
        <w:rPr>
          <w:spacing w:val="-6"/>
        </w:rPr>
        <w:t xml:space="preserve"> </w:t>
      </w:r>
      <w:r>
        <w:t>newly</w:t>
      </w:r>
      <w:r>
        <w:rPr>
          <w:spacing w:val="-6"/>
        </w:rPr>
        <w:t xml:space="preserve"> </w:t>
      </w:r>
      <w:r>
        <w:t>offered</w:t>
      </w:r>
      <w:r>
        <w:rPr>
          <w:spacing w:val="-6"/>
        </w:rPr>
        <w:t xml:space="preserve"> </w:t>
      </w:r>
      <w:r>
        <w:t>the</w:t>
      </w:r>
      <w:r>
        <w:rPr>
          <w:spacing w:val="-6"/>
        </w:rPr>
        <w:t xml:space="preserve"> </w:t>
      </w:r>
      <w:r>
        <w:t>targeted</w:t>
      </w:r>
      <w:r>
        <w:rPr>
          <w:spacing w:val="-6"/>
        </w:rPr>
        <w:t xml:space="preserve"> </w:t>
      </w:r>
      <w:r>
        <w:t>grade.</w:t>
      </w:r>
      <w:r>
        <w:rPr>
          <w:spacing w:val="-6"/>
        </w:rPr>
        <w:t xml:space="preserve"> </w:t>
      </w:r>
      <w:r>
        <w:t>Every</w:t>
      </w:r>
      <w:r>
        <w:rPr>
          <w:spacing w:val="-6"/>
        </w:rPr>
        <w:t xml:space="preserve"> </w:t>
      </w:r>
      <w:r>
        <w:t>identified</w:t>
      </w:r>
      <w:r>
        <w:rPr>
          <w:spacing w:val="-6"/>
        </w:rPr>
        <w:t xml:space="preserve"> </w:t>
      </w:r>
      <w:r>
        <w:t>new</w:t>
      </w:r>
      <w:r>
        <w:rPr>
          <w:spacing w:val="-6"/>
        </w:rPr>
        <w:t xml:space="preserve"> </w:t>
      </w:r>
      <w:r>
        <w:t>school</w:t>
      </w:r>
      <w:r>
        <w:rPr>
          <w:spacing w:val="-6"/>
        </w:rPr>
        <w:t xml:space="preserve"> </w:t>
      </w:r>
      <w:r>
        <w:t>was</w:t>
      </w:r>
      <w:r>
        <w:rPr>
          <w:spacing w:val="-6"/>
        </w:rPr>
        <w:t xml:space="preserve"> </w:t>
      </w:r>
      <w:r>
        <w:t>added</w:t>
      </w:r>
      <w:r>
        <w:rPr>
          <w:spacing w:val="-6"/>
        </w:rPr>
        <w:t xml:space="preserve"> </w:t>
      </w:r>
      <w:r>
        <w:t>to</w:t>
      </w:r>
      <w:r>
        <w:rPr>
          <w:spacing w:val="-6"/>
        </w:rPr>
        <w:t xml:space="preserve"> </w:t>
      </w:r>
      <w:r>
        <w:t>the</w:t>
      </w:r>
      <w:r>
        <w:rPr>
          <w:spacing w:val="-6"/>
        </w:rPr>
        <w:t xml:space="preserve"> </w:t>
      </w:r>
      <w:r>
        <w:t>sample.</w:t>
      </w:r>
      <w:r>
        <w:rPr>
          <w:spacing w:val="-6"/>
        </w:rPr>
        <w:t xml:space="preserve"> </w:t>
      </w:r>
      <w:r>
        <w:t>From</w:t>
      </w:r>
      <w:r>
        <w:rPr>
          <w:spacing w:val="-6"/>
        </w:rPr>
        <w:t xml:space="preserve"> </w:t>
      </w:r>
      <w:r>
        <w:t>a</w:t>
      </w:r>
      <w:r>
        <w:rPr>
          <w:spacing w:val="-6"/>
        </w:rPr>
        <w:t xml:space="preserve"> </w:t>
      </w:r>
      <w:r>
        <w:t>sampling</w:t>
      </w:r>
      <w:r>
        <w:rPr>
          <w:spacing w:val="-6"/>
        </w:rPr>
        <w:t xml:space="preserve"> </w:t>
      </w:r>
      <w:r>
        <w:t>perspective, the new school was viewed as an "annex" to the sampled school, which meant that it had a well-defined probability of selection equal to that of the sampled school.</w:t>
      </w:r>
      <w:r>
        <w:rPr>
          <w:spacing w:val="-3"/>
        </w:rPr>
        <w:t xml:space="preserve"> </w:t>
      </w:r>
      <w:r>
        <w:t>When</w:t>
      </w:r>
    </w:p>
    <w:p w:rsidR="003F5784" w14:paraId="5C8DEA2E" w14:textId="77777777">
      <w:pPr>
        <w:pStyle w:val="BodyText"/>
        <w:spacing w:line="237" w:lineRule="exact"/>
        <w:ind w:left="109"/>
        <w:jc w:val="both"/>
      </w:pPr>
      <w:r>
        <w:t>a</w:t>
      </w:r>
      <w:r>
        <w:rPr>
          <w:spacing w:val="-6"/>
        </w:rPr>
        <w:t xml:space="preserve"> </w:t>
      </w:r>
      <w:r>
        <w:t>school</w:t>
      </w:r>
      <w:r>
        <w:rPr>
          <w:spacing w:val="-5"/>
        </w:rPr>
        <w:t xml:space="preserve"> </w:t>
      </w:r>
      <w:r>
        <w:t>in</w:t>
      </w:r>
      <w:r>
        <w:rPr>
          <w:spacing w:val="-6"/>
        </w:rPr>
        <w:t xml:space="preserve"> </w:t>
      </w:r>
      <w:r>
        <w:t>a</w:t>
      </w:r>
      <w:r>
        <w:rPr>
          <w:spacing w:val="-5"/>
        </w:rPr>
        <w:t xml:space="preserve"> </w:t>
      </w:r>
      <w:r>
        <w:t>small</w:t>
      </w:r>
      <w:r>
        <w:rPr>
          <w:spacing w:val="-6"/>
        </w:rPr>
        <w:t xml:space="preserve"> </w:t>
      </w:r>
      <w:r>
        <w:t>diocese</w:t>
      </w:r>
      <w:r>
        <w:rPr>
          <w:spacing w:val="-5"/>
        </w:rPr>
        <w:t xml:space="preserve"> </w:t>
      </w:r>
      <w:r>
        <w:t>was</w:t>
      </w:r>
      <w:r>
        <w:rPr>
          <w:spacing w:val="-6"/>
        </w:rPr>
        <w:t xml:space="preserve"> </w:t>
      </w:r>
      <w:r>
        <w:t>sampled</w:t>
      </w:r>
      <w:r>
        <w:rPr>
          <w:spacing w:val="-5"/>
        </w:rPr>
        <w:t xml:space="preserve"> </w:t>
      </w:r>
      <w:r>
        <w:t>from</w:t>
      </w:r>
      <w:r>
        <w:rPr>
          <w:spacing w:val="-5"/>
        </w:rPr>
        <w:t xml:space="preserve"> </w:t>
      </w:r>
      <w:r>
        <w:t>the</w:t>
      </w:r>
      <w:r>
        <w:rPr>
          <w:spacing w:val="-6"/>
        </w:rPr>
        <w:t xml:space="preserve"> </w:t>
      </w:r>
      <w:r>
        <w:t>PSS</w:t>
      </w:r>
      <w:r>
        <w:rPr>
          <w:spacing w:val="-5"/>
        </w:rPr>
        <w:t xml:space="preserve"> </w:t>
      </w:r>
      <w:r>
        <w:t>frame,</w:t>
      </w:r>
      <w:r>
        <w:rPr>
          <w:spacing w:val="-6"/>
        </w:rPr>
        <w:t xml:space="preserve"> </w:t>
      </w:r>
      <w:r>
        <w:t>its</w:t>
      </w:r>
      <w:r>
        <w:rPr>
          <w:spacing w:val="-5"/>
        </w:rPr>
        <w:t xml:space="preserve"> </w:t>
      </w:r>
      <w:r>
        <w:t>associated</w:t>
      </w:r>
      <w:r>
        <w:rPr>
          <w:spacing w:val="-6"/>
        </w:rPr>
        <w:t xml:space="preserve"> </w:t>
      </w:r>
      <w:r>
        <w:t>new</w:t>
      </w:r>
      <w:r>
        <w:rPr>
          <w:spacing w:val="-5"/>
        </w:rPr>
        <w:t xml:space="preserve"> </w:t>
      </w:r>
      <w:r>
        <w:t>school</w:t>
      </w:r>
      <w:r>
        <w:rPr>
          <w:spacing w:val="-5"/>
        </w:rPr>
        <w:t xml:space="preserve"> </w:t>
      </w:r>
      <w:r>
        <w:t>was</w:t>
      </w:r>
      <w:r>
        <w:rPr>
          <w:spacing w:val="-6"/>
        </w:rPr>
        <w:t xml:space="preserve"> </w:t>
      </w:r>
      <w:r>
        <w:t>automatically</w:t>
      </w:r>
      <w:r>
        <w:rPr>
          <w:spacing w:val="-5"/>
        </w:rPr>
        <w:t xml:space="preserve"> </w:t>
      </w:r>
      <w:r>
        <w:t>sampled</w:t>
      </w:r>
      <w:r>
        <w:rPr>
          <w:spacing w:val="-6"/>
        </w:rPr>
        <w:t xml:space="preserve"> </w:t>
      </w:r>
      <w:r>
        <w:t>as</w:t>
      </w:r>
      <w:r>
        <w:rPr>
          <w:spacing w:val="-5"/>
        </w:rPr>
        <w:t xml:space="preserve"> </w:t>
      </w:r>
      <w:r>
        <w:rPr>
          <w:spacing w:val="-2"/>
        </w:rPr>
        <w:t>well.</w:t>
      </w:r>
    </w:p>
    <w:p w:rsidR="003F5784" w14:paraId="4B5DBE60" w14:textId="77777777">
      <w:pPr>
        <w:pStyle w:val="BodyText"/>
        <w:spacing w:before="207" w:line="232" w:lineRule="auto"/>
        <w:ind w:left="109" w:right="179"/>
      </w:pPr>
      <w:r>
        <w:t>Dioceses</w:t>
      </w:r>
      <w:r>
        <w:rPr>
          <w:spacing w:val="-6"/>
        </w:rPr>
        <w:t xml:space="preserve"> </w:t>
      </w:r>
      <w:r>
        <w:t>that</w:t>
      </w:r>
      <w:r>
        <w:rPr>
          <w:spacing w:val="-6"/>
        </w:rPr>
        <w:t xml:space="preserve"> </w:t>
      </w:r>
      <w:r>
        <w:t>were</w:t>
      </w:r>
      <w:r>
        <w:rPr>
          <w:spacing w:val="-6"/>
        </w:rPr>
        <w:t xml:space="preserve"> </w:t>
      </w:r>
      <w:r>
        <w:t>not</w:t>
      </w:r>
      <w:r>
        <w:rPr>
          <w:spacing w:val="-6"/>
        </w:rPr>
        <w:t xml:space="preserve"> </w:t>
      </w:r>
      <w:r>
        <w:t>small</w:t>
      </w:r>
      <w:r>
        <w:rPr>
          <w:spacing w:val="-6"/>
        </w:rPr>
        <w:t xml:space="preserve"> </w:t>
      </w:r>
      <w:r>
        <w:t>were</w:t>
      </w:r>
      <w:r>
        <w:rPr>
          <w:spacing w:val="-6"/>
        </w:rPr>
        <w:t xml:space="preserve"> </w:t>
      </w:r>
      <w:r>
        <w:t>further</w:t>
      </w:r>
      <w:r>
        <w:rPr>
          <w:spacing w:val="-6"/>
        </w:rPr>
        <w:t xml:space="preserve"> </w:t>
      </w:r>
      <w:r>
        <w:t>divided</w:t>
      </w:r>
      <w:r>
        <w:rPr>
          <w:spacing w:val="-6"/>
        </w:rPr>
        <w:t xml:space="preserve"> </w:t>
      </w:r>
      <w:r>
        <w:t>into</w:t>
      </w:r>
      <w:r>
        <w:rPr>
          <w:spacing w:val="-6"/>
        </w:rPr>
        <w:t xml:space="preserve"> </w:t>
      </w:r>
      <w:r>
        <w:t>two</w:t>
      </w:r>
      <w:r>
        <w:rPr>
          <w:spacing w:val="-6"/>
        </w:rPr>
        <w:t xml:space="preserve"> </w:t>
      </w:r>
      <w:r>
        <w:t>strata,</w:t>
      </w:r>
      <w:r>
        <w:rPr>
          <w:spacing w:val="-6"/>
        </w:rPr>
        <w:t xml:space="preserve"> </w:t>
      </w:r>
      <w:r>
        <w:t>one</w:t>
      </w:r>
      <w:r>
        <w:rPr>
          <w:spacing w:val="-6"/>
        </w:rPr>
        <w:t xml:space="preserve"> </w:t>
      </w:r>
      <w:r>
        <w:t>containing</w:t>
      </w:r>
      <w:r>
        <w:rPr>
          <w:spacing w:val="-6"/>
        </w:rPr>
        <w:t xml:space="preserve"> </w:t>
      </w:r>
      <w:r>
        <w:t>large-size</w:t>
      </w:r>
      <w:r>
        <w:rPr>
          <w:spacing w:val="-6"/>
        </w:rPr>
        <w:t xml:space="preserve"> </w:t>
      </w:r>
      <w:r>
        <w:t>dioceses</w:t>
      </w:r>
      <w:r>
        <w:rPr>
          <w:spacing w:val="-6"/>
        </w:rPr>
        <w:t xml:space="preserve"> </w:t>
      </w:r>
      <w:r>
        <w:t>and</w:t>
      </w:r>
      <w:r>
        <w:rPr>
          <w:spacing w:val="-6"/>
        </w:rPr>
        <w:t xml:space="preserve"> </w:t>
      </w:r>
      <w:r>
        <w:t>a</w:t>
      </w:r>
      <w:r>
        <w:rPr>
          <w:spacing w:val="-6"/>
        </w:rPr>
        <w:t xml:space="preserve"> </w:t>
      </w:r>
      <w:r>
        <w:t>second</w:t>
      </w:r>
      <w:r>
        <w:rPr>
          <w:spacing w:val="-6"/>
        </w:rPr>
        <w:t xml:space="preserve"> </w:t>
      </w:r>
      <w:r>
        <w:t>containing</w:t>
      </w:r>
      <w:r>
        <w:rPr>
          <w:spacing w:val="-6"/>
        </w:rPr>
        <w:t xml:space="preserve"> </w:t>
      </w:r>
      <w:r>
        <w:t>medium-size</w:t>
      </w:r>
      <w:r>
        <w:rPr>
          <w:spacing w:val="-6"/>
        </w:rPr>
        <w:t xml:space="preserve"> </w:t>
      </w:r>
      <w:r>
        <w:t>dioceses.</w:t>
      </w:r>
      <w:r>
        <w:rPr>
          <w:spacing w:val="-10"/>
        </w:rPr>
        <w:t xml:space="preserve"> </w:t>
      </w:r>
      <w:r>
        <w:t>These</w:t>
      </w:r>
      <w:r>
        <w:rPr>
          <w:spacing w:val="-6"/>
        </w:rPr>
        <w:t xml:space="preserve"> </w:t>
      </w:r>
      <w:r>
        <w:t>strata</w:t>
      </w:r>
      <w:r>
        <w:rPr>
          <w:spacing w:val="-6"/>
        </w:rPr>
        <w:t xml:space="preserve"> </w:t>
      </w:r>
      <w:r>
        <w:t>were</w:t>
      </w:r>
      <w:r>
        <w:rPr>
          <w:spacing w:val="-6"/>
        </w:rPr>
        <w:t xml:space="preserve"> </w:t>
      </w:r>
      <w:r>
        <w:t>defined by computing the percentage of grade 4 and 8 enrollment represented by each diocese, sorting in descending order, and cumulating the percentages.</w:t>
      </w:r>
      <w:r>
        <w:rPr>
          <w:spacing w:val="-11"/>
        </w:rPr>
        <w:t xml:space="preserve"> </w:t>
      </w:r>
      <w:r>
        <w:t>All dioceses up to</w:t>
      </w:r>
    </w:p>
    <w:p w:rsidR="003F5784" w14:paraId="665D56A5" w14:textId="77777777">
      <w:pPr>
        <w:pStyle w:val="BodyText"/>
        <w:spacing w:line="236" w:lineRule="exact"/>
        <w:ind w:left="109"/>
        <w:jc w:val="both"/>
      </w:pPr>
      <w:r>
        <w:t>and</w:t>
      </w:r>
      <w:r>
        <w:rPr>
          <w:spacing w:val="-7"/>
        </w:rPr>
        <w:t xml:space="preserve"> </w:t>
      </w:r>
      <w:r>
        <w:t>including</w:t>
      </w:r>
      <w:r>
        <w:rPr>
          <w:spacing w:val="-6"/>
        </w:rPr>
        <w:t xml:space="preserve"> </w:t>
      </w:r>
      <w:r>
        <w:t>the</w:t>
      </w:r>
      <w:r>
        <w:rPr>
          <w:spacing w:val="-6"/>
        </w:rPr>
        <w:t xml:space="preserve"> </w:t>
      </w:r>
      <w:r>
        <w:t>first</w:t>
      </w:r>
      <w:r>
        <w:rPr>
          <w:spacing w:val="-6"/>
        </w:rPr>
        <w:t xml:space="preserve"> </w:t>
      </w:r>
      <w:r>
        <w:t>diocese</w:t>
      </w:r>
      <w:r>
        <w:rPr>
          <w:spacing w:val="-6"/>
        </w:rPr>
        <w:t xml:space="preserve"> </w:t>
      </w:r>
      <w:r>
        <w:t>at</w:t>
      </w:r>
      <w:r>
        <w:rPr>
          <w:spacing w:val="-6"/>
        </w:rPr>
        <w:t xml:space="preserve"> </w:t>
      </w:r>
      <w:r>
        <w:t>or</w:t>
      </w:r>
      <w:r>
        <w:rPr>
          <w:spacing w:val="-6"/>
        </w:rPr>
        <w:t xml:space="preserve"> </w:t>
      </w:r>
      <w:r>
        <w:t>above</w:t>
      </w:r>
      <w:r>
        <w:rPr>
          <w:spacing w:val="-6"/>
        </w:rPr>
        <w:t xml:space="preserve"> </w:t>
      </w:r>
      <w:r>
        <w:t>the</w:t>
      </w:r>
      <w:r>
        <w:rPr>
          <w:spacing w:val="-6"/>
        </w:rPr>
        <w:t xml:space="preserve"> </w:t>
      </w:r>
      <w:r>
        <w:t>80th</w:t>
      </w:r>
      <w:r>
        <w:rPr>
          <w:spacing w:val="-7"/>
        </w:rPr>
        <w:t xml:space="preserve"> </w:t>
      </w:r>
      <w:r>
        <w:t>cumulative</w:t>
      </w:r>
      <w:r>
        <w:rPr>
          <w:spacing w:val="-6"/>
        </w:rPr>
        <w:t xml:space="preserve"> </w:t>
      </w:r>
      <w:r>
        <w:t>percentage</w:t>
      </w:r>
      <w:r>
        <w:rPr>
          <w:spacing w:val="-6"/>
        </w:rPr>
        <w:t xml:space="preserve"> </w:t>
      </w:r>
      <w:r>
        <w:t>were</w:t>
      </w:r>
      <w:r>
        <w:rPr>
          <w:spacing w:val="-6"/>
        </w:rPr>
        <w:t xml:space="preserve"> </w:t>
      </w:r>
      <w:r>
        <w:t>defined</w:t>
      </w:r>
      <w:r>
        <w:rPr>
          <w:spacing w:val="-6"/>
        </w:rPr>
        <w:t xml:space="preserve"> </w:t>
      </w:r>
      <w:r>
        <w:t>as</w:t>
      </w:r>
      <w:r>
        <w:rPr>
          <w:spacing w:val="-6"/>
        </w:rPr>
        <w:t xml:space="preserve"> </w:t>
      </w:r>
      <w:r>
        <w:t>large</w:t>
      </w:r>
      <w:r>
        <w:rPr>
          <w:spacing w:val="-6"/>
        </w:rPr>
        <w:t xml:space="preserve"> </w:t>
      </w:r>
      <w:r>
        <w:t>dioceses.</w:t>
      </w:r>
      <w:r>
        <w:rPr>
          <w:spacing w:val="-10"/>
        </w:rPr>
        <w:t xml:space="preserve"> </w:t>
      </w:r>
      <w:r>
        <w:t>The</w:t>
      </w:r>
      <w:r>
        <w:rPr>
          <w:spacing w:val="-6"/>
        </w:rPr>
        <w:t xml:space="preserve"> </w:t>
      </w:r>
      <w:r>
        <w:t>remaining</w:t>
      </w:r>
      <w:r>
        <w:rPr>
          <w:spacing w:val="-6"/>
        </w:rPr>
        <w:t xml:space="preserve"> </w:t>
      </w:r>
      <w:r>
        <w:t>dioceses</w:t>
      </w:r>
      <w:r>
        <w:rPr>
          <w:spacing w:val="-6"/>
        </w:rPr>
        <w:t xml:space="preserve"> </w:t>
      </w:r>
      <w:r>
        <w:t>were</w:t>
      </w:r>
      <w:r>
        <w:rPr>
          <w:spacing w:val="-6"/>
        </w:rPr>
        <w:t xml:space="preserve"> </w:t>
      </w:r>
      <w:r>
        <w:t>defined</w:t>
      </w:r>
      <w:r>
        <w:rPr>
          <w:spacing w:val="-6"/>
        </w:rPr>
        <w:t xml:space="preserve"> </w:t>
      </w:r>
      <w:r>
        <w:t>as</w:t>
      </w:r>
      <w:r>
        <w:rPr>
          <w:spacing w:val="-6"/>
        </w:rPr>
        <w:t xml:space="preserve"> </w:t>
      </w:r>
      <w:r>
        <w:t>medium</w:t>
      </w:r>
      <w:r>
        <w:rPr>
          <w:spacing w:val="-7"/>
        </w:rPr>
        <w:t xml:space="preserve"> </w:t>
      </w:r>
      <w:r>
        <w:rPr>
          <w:spacing w:val="-2"/>
        </w:rPr>
        <w:t>dioceses.</w:t>
      </w:r>
    </w:p>
    <w:p w:rsidR="003F5784" w14:paraId="25D1D5C1" w14:textId="77777777">
      <w:pPr>
        <w:pStyle w:val="BodyText"/>
        <w:spacing w:before="208" w:line="232" w:lineRule="auto"/>
        <w:ind w:left="109" w:right="179"/>
      </w:pPr>
      <w:r>
        <w:t>A</w:t>
      </w:r>
      <w:r>
        <w:rPr>
          <w:spacing w:val="-14"/>
        </w:rPr>
        <w:t xml:space="preserve"> </w:t>
      </w:r>
      <w:r>
        <w:t>simplified</w:t>
      </w:r>
      <w:r>
        <w:rPr>
          <w:spacing w:val="-9"/>
        </w:rPr>
        <w:t xml:space="preserve"> </w:t>
      </w:r>
      <w:r>
        <w:t>example</w:t>
      </w:r>
      <w:r>
        <w:rPr>
          <w:spacing w:val="-7"/>
        </w:rPr>
        <w:t xml:space="preserve"> </w:t>
      </w:r>
      <w:r>
        <w:t>is</w:t>
      </w:r>
      <w:r>
        <w:rPr>
          <w:spacing w:val="-7"/>
        </w:rPr>
        <w:t xml:space="preserve"> </w:t>
      </w:r>
      <w:r>
        <w:t>given</w:t>
      </w:r>
      <w:r>
        <w:rPr>
          <w:spacing w:val="-7"/>
        </w:rPr>
        <w:t xml:space="preserve"> </w:t>
      </w:r>
      <w:r>
        <w:t>below.</w:t>
      </w:r>
      <w:r>
        <w:rPr>
          <w:spacing w:val="-10"/>
        </w:rPr>
        <w:t xml:space="preserve"> </w:t>
      </w:r>
      <w:r>
        <w:t>The</w:t>
      </w:r>
      <w:r>
        <w:rPr>
          <w:spacing w:val="-7"/>
        </w:rPr>
        <w:t xml:space="preserve"> </w:t>
      </w:r>
      <w:r>
        <w:t>dioceses</w:t>
      </w:r>
      <w:r>
        <w:rPr>
          <w:spacing w:val="-7"/>
        </w:rPr>
        <w:t xml:space="preserve"> </w:t>
      </w:r>
      <w:r>
        <w:t>are</w:t>
      </w:r>
      <w:r>
        <w:rPr>
          <w:spacing w:val="-7"/>
        </w:rPr>
        <w:t xml:space="preserve"> </w:t>
      </w:r>
      <w:r>
        <w:t>ordered</w:t>
      </w:r>
      <w:r>
        <w:rPr>
          <w:spacing w:val="-7"/>
        </w:rPr>
        <w:t xml:space="preserve"> </w:t>
      </w:r>
      <w:r>
        <w:t>by</w:t>
      </w:r>
      <w:r>
        <w:rPr>
          <w:spacing w:val="-7"/>
        </w:rPr>
        <w:t xml:space="preserve"> </w:t>
      </w:r>
      <w:r>
        <w:t>descending</w:t>
      </w:r>
      <w:r>
        <w:rPr>
          <w:spacing w:val="-7"/>
        </w:rPr>
        <w:t xml:space="preserve"> </w:t>
      </w:r>
      <w:r>
        <w:t>percentage</w:t>
      </w:r>
      <w:r>
        <w:rPr>
          <w:spacing w:val="-7"/>
        </w:rPr>
        <w:t xml:space="preserve"> </w:t>
      </w:r>
      <w:r>
        <w:t>enrollment.</w:t>
      </w:r>
      <w:r>
        <w:rPr>
          <w:spacing w:val="-10"/>
        </w:rPr>
        <w:t xml:space="preserve"> </w:t>
      </w:r>
      <w:r>
        <w:t>The</w:t>
      </w:r>
      <w:r>
        <w:rPr>
          <w:spacing w:val="-7"/>
        </w:rPr>
        <w:t xml:space="preserve"> </w:t>
      </w:r>
      <w:r>
        <w:t>first</w:t>
      </w:r>
      <w:r>
        <w:rPr>
          <w:spacing w:val="-7"/>
        </w:rPr>
        <w:t xml:space="preserve"> </w:t>
      </w:r>
      <w:r>
        <w:t>six</w:t>
      </w:r>
      <w:r>
        <w:rPr>
          <w:spacing w:val="-7"/>
        </w:rPr>
        <w:t xml:space="preserve"> </w:t>
      </w:r>
      <w:r>
        <w:t>become</w:t>
      </w:r>
      <w:r>
        <w:rPr>
          <w:spacing w:val="-7"/>
        </w:rPr>
        <w:t xml:space="preserve"> </w:t>
      </w:r>
      <w:r>
        <w:t>large</w:t>
      </w:r>
      <w:r>
        <w:rPr>
          <w:spacing w:val="-7"/>
        </w:rPr>
        <w:t xml:space="preserve"> </w:t>
      </w:r>
      <w:r>
        <w:t>dioceses</w:t>
      </w:r>
      <w:r>
        <w:rPr>
          <w:spacing w:val="-7"/>
        </w:rPr>
        <w:t xml:space="preserve"> </w:t>
      </w:r>
      <w:r>
        <w:t>and</w:t>
      </w:r>
      <w:r>
        <w:rPr>
          <w:spacing w:val="-7"/>
        </w:rPr>
        <w:t xml:space="preserve"> </w:t>
      </w:r>
      <w:r>
        <w:t>the</w:t>
      </w:r>
      <w:r>
        <w:rPr>
          <w:spacing w:val="-7"/>
        </w:rPr>
        <w:t xml:space="preserve"> </w:t>
      </w:r>
      <w:r>
        <w:t>last</w:t>
      </w:r>
      <w:r>
        <w:rPr>
          <w:spacing w:val="-7"/>
        </w:rPr>
        <w:t xml:space="preserve"> </w:t>
      </w:r>
      <w:r>
        <w:t>six</w:t>
      </w:r>
      <w:r>
        <w:rPr>
          <w:spacing w:val="-7"/>
        </w:rPr>
        <w:t xml:space="preserve"> </w:t>
      </w:r>
      <w:r>
        <w:t>become</w:t>
      </w:r>
      <w:r>
        <w:rPr>
          <w:spacing w:val="-7"/>
        </w:rPr>
        <w:t xml:space="preserve"> </w:t>
      </w:r>
      <w:r>
        <w:t xml:space="preserve">medium </w:t>
      </w:r>
      <w:r>
        <w:rPr>
          <w:spacing w:val="-2"/>
        </w:rPr>
        <w:t>dioceses.</w:t>
      </w:r>
    </w:p>
    <w:p w:rsidR="003F5784" w14:paraId="7E021078" w14:textId="77777777">
      <w:pPr>
        <w:pStyle w:val="BodyText"/>
        <w:spacing w:before="98"/>
      </w:pPr>
    </w:p>
    <w:p w:rsidR="003F5784" w14:paraId="303ED71D" w14:textId="77777777">
      <w:pPr>
        <w:pStyle w:val="Heading2"/>
        <w:spacing w:line="232" w:lineRule="auto"/>
        <w:ind w:right="1264"/>
      </w:pPr>
      <w:r>
        <w:t>Example</w:t>
      </w:r>
      <w:r>
        <w:rPr>
          <w:spacing w:val="-8"/>
        </w:rPr>
        <w:t xml:space="preserve"> </w:t>
      </w:r>
      <w:r>
        <w:t>showing</w:t>
      </w:r>
      <w:r>
        <w:rPr>
          <w:spacing w:val="-8"/>
        </w:rPr>
        <w:t xml:space="preserve"> </w:t>
      </w:r>
      <w:r>
        <w:t>assignment</w:t>
      </w:r>
      <w:r>
        <w:rPr>
          <w:spacing w:val="-8"/>
        </w:rPr>
        <w:t xml:space="preserve"> </w:t>
      </w:r>
      <w:r>
        <w:t>of</w:t>
      </w:r>
      <w:r>
        <w:rPr>
          <w:spacing w:val="-8"/>
        </w:rPr>
        <w:t xml:space="preserve"> </w:t>
      </w:r>
      <w:r>
        <w:t>Catholic</w:t>
      </w:r>
      <w:r>
        <w:rPr>
          <w:spacing w:val="-8"/>
        </w:rPr>
        <w:t xml:space="preserve"> </w:t>
      </w:r>
      <w:r>
        <w:t>dioceses</w:t>
      </w:r>
      <w:r>
        <w:rPr>
          <w:spacing w:val="-8"/>
        </w:rPr>
        <w:t xml:space="preserve"> </w:t>
      </w:r>
      <w:r>
        <w:t>to</w:t>
      </w:r>
      <w:r>
        <w:rPr>
          <w:spacing w:val="-8"/>
        </w:rPr>
        <w:t xml:space="preserve"> </w:t>
      </w:r>
      <w:r>
        <w:t>the</w:t>
      </w:r>
      <w:r>
        <w:rPr>
          <w:spacing w:val="-8"/>
        </w:rPr>
        <w:t xml:space="preserve"> </w:t>
      </w:r>
      <w:r>
        <w:t>large-size</w:t>
      </w:r>
      <w:r>
        <w:rPr>
          <w:spacing w:val="-8"/>
        </w:rPr>
        <w:t xml:space="preserve"> </w:t>
      </w:r>
      <w:r>
        <w:t>and</w:t>
      </w:r>
      <w:r>
        <w:rPr>
          <w:spacing w:val="-8"/>
        </w:rPr>
        <w:t xml:space="preserve"> </w:t>
      </w:r>
      <w:r>
        <w:t>medium-size</w:t>
      </w:r>
      <w:r>
        <w:rPr>
          <w:spacing w:val="-8"/>
        </w:rPr>
        <w:t xml:space="preserve"> </w:t>
      </w:r>
      <w:r>
        <w:t>diocese</w:t>
      </w:r>
      <w:r>
        <w:rPr>
          <w:spacing w:val="-8"/>
        </w:rPr>
        <w:t xml:space="preserve"> </w:t>
      </w:r>
      <w:r>
        <w:t>strata,</w:t>
      </w:r>
      <w:r>
        <w:rPr>
          <w:spacing w:val="-8"/>
        </w:rPr>
        <w:t xml:space="preserve"> </w:t>
      </w:r>
      <w:r>
        <w:t>private</w:t>
      </w:r>
      <w:r>
        <w:rPr>
          <w:spacing w:val="-8"/>
        </w:rPr>
        <w:t xml:space="preserve"> </w:t>
      </w:r>
      <w:r>
        <w:t>school</w:t>
      </w:r>
      <w:r>
        <w:rPr>
          <w:spacing w:val="-8"/>
        </w:rPr>
        <w:t xml:space="preserve"> </w:t>
      </w:r>
      <w:r>
        <w:t>national</w:t>
      </w:r>
      <w:r>
        <w:rPr>
          <w:spacing w:val="-8"/>
        </w:rPr>
        <w:t xml:space="preserve"> </w:t>
      </w:r>
      <w:r>
        <w:t>mathematics</w:t>
      </w:r>
      <w:r>
        <w:rPr>
          <w:spacing w:val="-8"/>
        </w:rPr>
        <w:t xml:space="preserve"> </w:t>
      </w:r>
      <w:r>
        <w:t>and</w:t>
      </w:r>
      <w:r>
        <w:rPr>
          <w:spacing w:val="-8"/>
        </w:rPr>
        <w:t xml:space="preserve"> </w:t>
      </w:r>
      <w:r>
        <w:t>reading assessments: 2022</w:t>
      </w:r>
    </w:p>
    <w:p w:rsidR="003F5784" w14:paraId="75CF2F66" w14:textId="77777777">
      <w:pPr>
        <w:pStyle w:val="BodyText"/>
        <w:spacing w:after="1"/>
        <w:rPr>
          <w:b/>
          <w:sz w:val="12"/>
        </w:rPr>
      </w:pPr>
    </w:p>
    <w:tbl>
      <w:tblPr>
        <w:tblW w:w="0" w:type="auto"/>
        <w:tblInd w:w="482" w:type="dxa"/>
        <w:tblLayout w:type="fixed"/>
        <w:tblCellMar>
          <w:left w:w="0" w:type="dxa"/>
          <w:right w:w="0" w:type="dxa"/>
        </w:tblCellMar>
        <w:tblLook w:val="01E0"/>
      </w:tblPr>
      <w:tblGrid>
        <w:gridCol w:w="2653"/>
        <w:gridCol w:w="5026"/>
        <w:gridCol w:w="4929"/>
        <w:gridCol w:w="1374"/>
      </w:tblGrid>
      <w:tr w14:paraId="09292CB6" w14:textId="77777777">
        <w:tblPrEx>
          <w:tblW w:w="0" w:type="auto"/>
          <w:tblInd w:w="482" w:type="dxa"/>
          <w:tblLayout w:type="fixed"/>
          <w:tblCellMar>
            <w:left w:w="0" w:type="dxa"/>
            <w:right w:w="0" w:type="dxa"/>
          </w:tblCellMar>
          <w:tblLook w:val="01E0"/>
        </w:tblPrEx>
        <w:trPr>
          <w:trHeight w:val="267"/>
        </w:trPr>
        <w:tc>
          <w:tcPr>
            <w:tcW w:w="2653" w:type="dxa"/>
            <w:tcBorders>
              <w:top w:val="single" w:sz="18" w:space="0" w:color="800000"/>
              <w:bottom w:val="single" w:sz="18" w:space="0" w:color="800000"/>
            </w:tcBorders>
          </w:tcPr>
          <w:p w:rsidR="003F5784" w14:paraId="285A6147" w14:textId="77777777">
            <w:pPr>
              <w:pStyle w:val="TableParagraph"/>
              <w:spacing w:before="9" w:line="238" w:lineRule="exact"/>
              <w:ind w:left="120"/>
              <w:jc w:val="left"/>
              <w:rPr>
                <w:sz w:val="21"/>
              </w:rPr>
            </w:pPr>
            <w:r>
              <w:rPr>
                <w:spacing w:val="-2"/>
                <w:sz w:val="21"/>
              </w:rPr>
              <w:t>Diocese</w:t>
            </w:r>
          </w:p>
        </w:tc>
        <w:tc>
          <w:tcPr>
            <w:tcW w:w="5026" w:type="dxa"/>
            <w:tcBorders>
              <w:top w:val="single" w:sz="18" w:space="0" w:color="800000"/>
              <w:bottom w:val="single" w:sz="18" w:space="0" w:color="800000"/>
            </w:tcBorders>
          </w:tcPr>
          <w:p w:rsidR="003F5784" w14:paraId="2E52B923" w14:textId="77777777">
            <w:pPr>
              <w:pStyle w:val="TableParagraph"/>
              <w:spacing w:before="9" w:line="238" w:lineRule="exact"/>
              <w:ind w:right="1449"/>
              <w:rPr>
                <w:sz w:val="21"/>
              </w:rPr>
            </w:pPr>
            <w:r>
              <w:rPr>
                <w:sz w:val="21"/>
              </w:rPr>
              <w:t>Percentage</w:t>
            </w:r>
            <w:r>
              <w:rPr>
                <w:spacing w:val="-11"/>
                <w:sz w:val="21"/>
              </w:rPr>
              <w:t xml:space="preserve"> </w:t>
            </w:r>
            <w:r>
              <w:rPr>
                <w:spacing w:val="-2"/>
                <w:sz w:val="21"/>
              </w:rPr>
              <w:t>enrollment</w:t>
            </w:r>
          </w:p>
        </w:tc>
        <w:tc>
          <w:tcPr>
            <w:tcW w:w="4929" w:type="dxa"/>
            <w:tcBorders>
              <w:top w:val="single" w:sz="18" w:space="0" w:color="800000"/>
              <w:bottom w:val="single" w:sz="18" w:space="0" w:color="800000"/>
            </w:tcBorders>
          </w:tcPr>
          <w:p w:rsidR="003F5784" w14:paraId="36952D1C" w14:textId="77777777">
            <w:pPr>
              <w:pStyle w:val="TableParagraph"/>
              <w:spacing w:before="9" w:line="238" w:lineRule="exact"/>
              <w:ind w:right="591"/>
              <w:rPr>
                <w:sz w:val="21"/>
              </w:rPr>
            </w:pPr>
            <w:r>
              <w:rPr>
                <w:sz w:val="21"/>
              </w:rPr>
              <w:t>Cumulative</w:t>
            </w:r>
            <w:r>
              <w:rPr>
                <w:spacing w:val="-11"/>
                <w:sz w:val="21"/>
              </w:rPr>
              <w:t xml:space="preserve"> </w:t>
            </w:r>
            <w:r>
              <w:rPr>
                <w:sz w:val="21"/>
              </w:rPr>
              <w:t>percentage</w:t>
            </w:r>
            <w:r>
              <w:rPr>
                <w:spacing w:val="-10"/>
                <w:sz w:val="21"/>
              </w:rPr>
              <w:t xml:space="preserve"> </w:t>
            </w:r>
            <w:r>
              <w:rPr>
                <w:spacing w:val="-2"/>
                <w:sz w:val="21"/>
              </w:rPr>
              <w:t>enrollment</w:t>
            </w:r>
          </w:p>
        </w:tc>
        <w:tc>
          <w:tcPr>
            <w:tcW w:w="1374" w:type="dxa"/>
            <w:tcBorders>
              <w:top w:val="single" w:sz="18" w:space="0" w:color="800000"/>
              <w:bottom w:val="single" w:sz="18" w:space="0" w:color="800000"/>
            </w:tcBorders>
          </w:tcPr>
          <w:p w:rsidR="003F5784" w14:paraId="13F06A42" w14:textId="77777777">
            <w:pPr>
              <w:pStyle w:val="TableParagraph"/>
              <w:spacing w:before="9" w:line="238" w:lineRule="exact"/>
              <w:ind w:right="115"/>
              <w:rPr>
                <w:sz w:val="21"/>
              </w:rPr>
            </w:pPr>
            <w:r>
              <w:rPr>
                <w:spacing w:val="-2"/>
                <w:sz w:val="21"/>
              </w:rPr>
              <w:t>Stratum</w:t>
            </w:r>
          </w:p>
        </w:tc>
      </w:tr>
      <w:tr w14:paraId="769AE059" w14:textId="77777777">
        <w:tblPrEx>
          <w:tblW w:w="0" w:type="auto"/>
          <w:tblInd w:w="482" w:type="dxa"/>
          <w:tblLayout w:type="fixed"/>
          <w:tblCellMar>
            <w:left w:w="0" w:type="dxa"/>
            <w:right w:w="0" w:type="dxa"/>
          </w:tblCellMar>
          <w:tblLook w:val="01E0"/>
        </w:tblPrEx>
        <w:trPr>
          <w:trHeight w:val="278"/>
        </w:trPr>
        <w:tc>
          <w:tcPr>
            <w:tcW w:w="2653" w:type="dxa"/>
            <w:tcBorders>
              <w:top w:val="single" w:sz="18" w:space="0" w:color="800000"/>
            </w:tcBorders>
          </w:tcPr>
          <w:p w:rsidR="003F5784" w14:paraId="0BA50794" w14:textId="77777777">
            <w:pPr>
              <w:pStyle w:val="TableParagraph"/>
              <w:spacing w:before="9"/>
              <w:ind w:left="120"/>
              <w:jc w:val="left"/>
              <w:rPr>
                <w:sz w:val="21"/>
              </w:rPr>
            </w:pPr>
            <w:r>
              <w:rPr>
                <w:sz w:val="21"/>
              </w:rPr>
              <w:t>Diocese</w:t>
            </w:r>
            <w:r>
              <w:rPr>
                <w:spacing w:val="-8"/>
                <w:sz w:val="21"/>
              </w:rPr>
              <w:t xml:space="preserve"> </w:t>
            </w:r>
            <w:r>
              <w:rPr>
                <w:spacing w:val="-10"/>
                <w:sz w:val="21"/>
              </w:rPr>
              <w:t>1</w:t>
            </w:r>
          </w:p>
        </w:tc>
        <w:tc>
          <w:tcPr>
            <w:tcW w:w="5026" w:type="dxa"/>
            <w:tcBorders>
              <w:top w:val="single" w:sz="18" w:space="0" w:color="800000"/>
            </w:tcBorders>
          </w:tcPr>
          <w:p w:rsidR="003F5784" w14:paraId="55207ADA" w14:textId="77777777">
            <w:pPr>
              <w:pStyle w:val="TableParagraph"/>
              <w:spacing w:before="9"/>
              <w:ind w:right="1448"/>
              <w:rPr>
                <w:sz w:val="21"/>
              </w:rPr>
            </w:pPr>
            <w:r>
              <w:rPr>
                <w:spacing w:val="-5"/>
                <w:sz w:val="21"/>
              </w:rPr>
              <w:t>20</w:t>
            </w:r>
          </w:p>
        </w:tc>
        <w:tc>
          <w:tcPr>
            <w:tcW w:w="4929" w:type="dxa"/>
            <w:tcBorders>
              <w:top w:val="single" w:sz="18" w:space="0" w:color="800000"/>
            </w:tcBorders>
          </w:tcPr>
          <w:p w:rsidR="003F5784" w14:paraId="5A15DEFA" w14:textId="77777777">
            <w:pPr>
              <w:pStyle w:val="TableParagraph"/>
              <w:spacing w:before="9"/>
              <w:ind w:right="591"/>
              <w:rPr>
                <w:sz w:val="21"/>
              </w:rPr>
            </w:pPr>
            <w:r>
              <w:rPr>
                <w:spacing w:val="-5"/>
                <w:sz w:val="21"/>
              </w:rPr>
              <w:t>20</w:t>
            </w:r>
          </w:p>
        </w:tc>
        <w:tc>
          <w:tcPr>
            <w:tcW w:w="1374" w:type="dxa"/>
            <w:tcBorders>
              <w:top w:val="single" w:sz="18" w:space="0" w:color="800000"/>
            </w:tcBorders>
          </w:tcPr>
          <w:p w:rsidR="003F5784" w14:paraId="1417F83C" w14:textId="77777777">
            <w:pPr>
              <w:pStyle w:val="TableParagraph"/>
              <w:spacing w:before="9"/>
              <w:ind w:right="115"/>
              <w:rPr>
                <w:sz w:val="21"/>
              </w:rPr>
            </w:pPr>
            <w:r>
              <w:rPr>
                <w:spacing w:val="-10"/>
                <w:sz w:val="21"/>
              </w:rPr>
              <w:t>L</w:t>
            </w:r>
          </w:p>
        </w:tc>
      </w:tr>
      <w:tr w14:paraId="0BB29225" w14:textId="77777777">
        <w:tblPrEx>
          <w:tblW w:w="0" w:type="auto"/>
          <w:tblInd w:w="482" w:type="dxa"/>
          <w:tblLayout w:type="fixed"/>
          <w:tblCellMar>
            <w:left w:w="0" w:type="dxa"/>
            <w:right w:w="0" w:type="dxa"/>
          </w:tblCellMar>
          <w:tblLook w:val="01E0"/>
        </w:tblPrEx>
        <w:trPr>
          <w:trHeight w:val="286"/>
        </w:trPr>
        <w:tc>
          <w:tcPr>
            <w:tcW w:w="2653" w:type="dxa"/>
          </w:tcPr>
          <w:p w:rsidR="003F5784" w14:paraId="2E9DAC45" w14:textId="77777777">
            <w:pPr>
              <w:pStyle w:val="TableParagraph"/>
              <w:ind w:left="120"/>
              <w:jc w:val="left"/>
              <w:rPr>
                <w:sz w:val="21"/>
              </w:rPr>
            </w:pPr>
            <w:r>
              <w:rPr>
                <w:sz w:val="21"/>
              </w:rPr>
              <w:t>Diocese</w:t>
            </w:r>
            <w:r>
              <w:rPr>
                <w:spacing w:val="-8"/>
                <w:sz w:val="21"/>
              </w:rPr>
              <w:t xml:space="preserve"> </w:t>
            </w:r>
            <w:r>
              <w:rPr>
                <w:spacing w:val="-10"/>
                <w:sz w:val="21"/>
              </w:rPr>
              <w:t>2</w:t>
            </w:r>
          </w:p>
        </w:tc>
        <w:tc>
          <w:tcPr>
            <w:tcW w:w="5026" w:type="dxa"/>
          </w:tcPr>
          <w:p w:rsidR="003F5784" w14:paraId="71E6A94E" w14:textId="77777777">
            <w:pPr>
              <w:pStyle w:val="TableParagraph"/>
              <w:ind w:right="1448"/>
              <w:rPr>
                <w:sz w:val="21"/>
              </w:rPr>
            </w:pPr>
            <w:r>
              <w:rPr>
                <w:spacing w:val="-5"/>
                <w:sz w:val="21"/>
              </w:rPr>
              <w:t>20</w:t>
            </w:r>
          </w:p>
        </w:tc>
        <w:tc>
          <w:tcPr>
            <w:tcW w:w="4929" w:type="dxa"/>
          </w:tcPr>
          <w:p w:rsidR="003F5784" w14:paraId="38FA1829" w14:textId="77777777">
            <w:pPr>
              <w:pStyle w:val="TableParagraph"/>
              <w:ind w:right="591"/>
              <w:rPr>
                <w:sz w:val="21"/>
              </w:rPr>
            </w:pPr>
            <w:r>
              <w:rPr>
                <w:spacing w:val="-5"/>
                <w:sz w:val="21"/>
              </w:rPr>
              <w:t>40</w:t>
            </w:r>
          </w:p>
        </w:tc>
        <w:tc>
          <w:tcPr>
            <w:tcW w:w="1374" w:type="dxa"/>
          </w:tcPr>
          <w:p w:rsidR="003F5784" w14:paraId="6D7DBC6D" w14:textId="77777777">
            <w:pPr>
              <w:pStyle w:val="TableParagraph"/>
              <w:ind w:right="115"/>
              <w:rPr>
                <w:sz w:val="21"/>
              </w:rPr>
            </w:pPr>
            <w:r>
              <w:rPr>
                <w:spacing w:val="-10"/>
                <w:sz w:val="21"/>
              </w:rPr>
              <w:t>L</w:t>
            </w:r>
          </w:p>
        </w:tc>
      </w:tr>
      <w:tr w14:paraId="58A95B15" w14:textId="77777777">
        <w:tblPrEx>
          <w:tblW w:w="0" w:type="auto"/>
          <w:tblInd w:w="482" w:type="dxa"/>
          <w:tblLayout w:type="fixed"/>
          <w:tblCellMar>
            <w:left w:w="0" w:type="dxa"/>
            <w:right w:w="0" w:type="dxa"/>
          </w:tblCellMar>
          <w:tblLook w:val="01E0"/>
        </w:tblPrEx>
        <w:trPr>
          <w:trHeight w:val="286"/>
        </w:trPr>
        <w:tc>
          <w:tcPr>
            <w:tcW w:w="2653" w:type="dxa"/>
          </w:tcPr>
          <w:p w:rsidR="003F5784" w14:paraId="5C9D4252" w14:textId="77777777">
            <w:pPr>
              <w:pStyle w:val="TableParagraph"/>
              <w:ind w:left="120"/>
              <w:jc w:val="left"/>
              <w:rPr>
                <w:sz w:val="21"/>
              </w:rPr>
            </w:pPr>
            <w:r>
              <w:rPr>
                <w:sz w:val="21"/>
              </w:rPr>
              <w:t>Diocese</w:t>
            </w:r>
            <w:r>
              <w:rPr>
                <w:spacing w:val="-8"/>
                <w:sz w:val="21"/>
              </w:rPr>
              <w:t xml:space="preserve"> </w:t>
            </w:r>
            <w:r>
              <w:rPr>
                <w:spacing w:val="-10"/>
                <w:sz w:val="21"/>
              </w:rPr>
              <w:t>3</w:t>
            </w:r>
          </w:p>
        </w:tc>
        <w:tc>
          <w:tcPr>
            <w:tcW w:w="5026" w:type="dxa"/>
          </w:tcPr>
          <w:p w:rsidR="003F5784" w14:paraId="18063C6D" w14:textId="77777777">
            <w:pPr>
              <w:pStyle w:val="TableParagraph"/>
              <w:ind w:right="1448"/>
              <w:rPr>
                <w:sz w:val="21"/>
              </w:rPr>
            </w:pPr>
            <w:r>
              <w:rPr>
                <w:spacing w:val="-5"/>
                <w:sz w:val="21"/>
              </w:rPr>
              <w:t>15</w:t>
            </w:r>
          </w:p>
        </w:tc>
        <w:tc>
          <w:tcPr>
            <w:tcW w:w="4929" w:type="dxa"/>
          </w:tcPr>
          <w:p w:rsidR="003F5784" w14:paraId="4248E602" w14:textId="77777777">
            <w:pPr>
              <w:pStyle w:val="TableParagraph"/>
              <w:ind w:right="591"/>
              <w:rPr>
                <w:sz w:val="21"/>
              </w:rPr>
            </w:pPr>
            <w:r>
              <w:rPr>
                <w:spacing w:val="-5"/>
                <w:sz w:val="21"/>
              </w:rPr>
              <w:t>55</w:t>
            </w:r>
          </w:p>
        </w:tc>
        <w:tc>
          <w:tcPr>
            <w:tcW w:w="1374" w:type="dxa"/>
          </w:tcPr>
          <w:p w:rsidR="003F5784" w14:paraId="01ACAE5A" w14:textId="77777777">
            <w:pPr>
              <w:pStyle w:val="TableParagraph"/>
              <w:ind w:right="115"/>
              <w:rPr>
                <w:sz w:val="21"/>
              </w:rPr>
            </w:pPr>
            <w:r>
              <w:rPr>
                <w:spacing w:val="-10"/>
                <w:sz w:val="21"/>
              </w:rPr>
              <w:t>L</w:t>
            </w:r>
          </w:p>
        </w:tc>
      </w:tr>
      <w:tr w14:paraId="10855BD7" w14:textId="77777777">
        <w:tblPrEx>
          <w:tblW w:w="0" w:type="auto"/>
          <w:tblInd w:w="482" w:type="dxa"/>
          <w:tblLayout w:type="fixed"/>
          <w:tblCellMar>
            <w:left w:w="0" w:type="dxa"/>
            <w:right w:w="0" w:type="dxa"/>
          </w:tblCellMar>
          <w:tblLook w:val="01E0"/>
        </w:tblPrEx>
        <w:trPr>
          <w:trHeight w:val="286"/>
        </w:trPr>
        <w:tc>
          <w:tcPr>
            <w:tcW w:w="2653" w:type="dxa"/>
          </w:tcPr>
          <w:p w:rsidR="003F5784" w14:paraId="74180ACC" w14:textId="77777777">
            <w:pPr>
              <w:pStyle w:val="TableParagraph"/>
              <w:ind w:left="120"/>
              <w:jc w:val="left"/>
              <w:rPr>
                <w:sz w:val="21"/>
              </w:rPr>
            </w:pPr>
            <w:r>
              <w:rPr>
                <w:sz w:val="21"/>
              </w:rPr>
              <w:t>Diocese</w:t>
            </w:r>
            <w:r>
              <w:rPr>
                <w:spacing w:val="-8"/>
                <w:sz w:val="21"/>
              </w:rPr>
              <w:t xml:space="preserve"> </w:t>
            </w:r>
            <w:r>
              <w:rPr>
                <w:spacing w:val="-10"/>
                <w:sz w:val="21"/>
              </w:rPr>
              <w:t>4</w:t>
            </w:r>
          </w:p>
        </w:tc>
        <w:tc>
          <w:tcPr>
            <w:tcW w:w="5026" w:type="dxa"/>
          </w:tcPr>
          <w:p w:rsidR="003F5784" w14:paraId="5963209B" w14:textId="77777777">
            <w:pPr>
              <w:pStyle w:val="TableParagraph"/>
              <w:ind w:right="1448"/>
              <w:rPr>
                <w:sz w:val="21"/>
              </w:rPr>
            </w:pPr>
            <w:r>
              <w:rPr>
                <w:spacing w:val="-5"/>
                <w:sz w:val="21"/>
              </w:rPr>
              <w:t>10</w:t>
            </w:r>
          </w:p>
        </w:tc>
        <w:tc>
          <w:tcPr>
            <w:tcW w:w="4929" w:type="dxa"/>
          </w:tcPr>
          <w:p w:rsidR="003F5784" w14:paraId="4AE6B4BF" w14:textId="77777777">
            <w:pPr>
              <w:pStyle w:val="TableParagraph"/>
              <w:ind w:right="591"/>
              <w:rPr>
                <w:sz w:val="21"/>
              </w:rPr>
            </w:pPr>
            <w:r>
              <w:rPr>
                <w:spacing w:val="-5"/>
                <w:sz w:val="21"/>
              </w:rPr>
              <w:t>65</w:t>
            </w:r>
          </w:p>
        </w:tc>
        <w:tc>
          <w:tcPr>
            <w:tcW w:w="1374" w:type="dxa"/>
          </w:tcPr>
          <w:p w:rsidR="003F5784" w14:paraId="0FB0E672" w14:textId="77777777">
            <w:pPr>
              <w:pStyle w:val="TableParagraph"/>
              <w:ind w:right="115"/>
              <w:rPr>
                <w:sz w:val="21"/>
              </w:rPr>
            </w:pPr>
            <w:r>
              <w:rPr>
                <w:spacing w:val="-10"/>
                <w:sz w:val="21"/>
              </w:rPr>
              <w:t>L</w:t>
            </w:r>
          </w:p>
        </w:tc>
      </w:tr>
      <w:tr w14:paraId="31F7D5BA" w14:textId="77777777">
        <w:tblPrEx>
          <w:tblW w:w="0" w:type="auto"/>
          <w:tblInd w:w="482" w:type="dxa"/>
          <w:tblLayout w:type="fixed"/>
          <w:tblCellMar>
            <w:left w:w="0" w:type="dxa"/>
            <w:right w:w="0" w:type="dxa"/>
          </w:tblCellMar>
          <w:tblLook w:val="01E0"/>
        </w:tblPrEx>
        <w:trPr>
          <w:trHeight w:val="286"/>
        </w:trPr>
        <w:tc>
          <w:tcPr>
            <w:tcW w:w="2653" w:type="dxa"/>
          </w:tcPr>
          <w:p w:rsidR="003F5784" w14:paraId="6720F1F6" w14:textId="77777777">
            <w:pPr>
              <w:pStyle w:val="TableParagraph"/>
              <w:ind w:left="120"/>
              <w:jc w:val="left"/>
              <w:rPr>
                <w:sz w:val="21"/>
              </w:rPr>
            </w:pPr>
            <w:r>
              <w:rPr>
                <w:sz w:val="21"/>
              </w:rPr>
              <w:t>Diocese</w:t>
            </w:r>
            <w:r>
              <w:rPr>
                <w:spacing w:val="-8"/>
                <w:sz w:val="21"/>
              </w:rPr>
              <w:t xml:space="preserve"> </w:t>
            </w:r>
            <w:r>
              <w:rPr>
                <w:spacing w:val="-10"/>
                <w:sz w:val="21"/>
              </w:rPr>
              <w:t>5</w:t>
            </w:r>
          </w:p>
        </w:tc>
        <w:tc>
          <w:tcPr>
            <w:tcW w:w="5026" w:type="dxa"/>
          </w:tcPr>
          <w:p w:rsidR="003F5784" w14:paraId="75EF66AC" w14:textId="77777777">
            <w:pPr>
              <w:pStyle w:val="TableParagraph"/>
              <w:ind w:right="1448"/>
              <w:rPr>
                <w:sz w:val="21"/>
              </w:rPr>
            </w:pPr>
            <w:r>
              <w:rPr>
                <w:spacing w:val="-5"/>
                <w:sz w:val="21"/>
              </w:rPr>
              <w:t>10</w:t>
            </w:r>
          </w:p>
        </w:tc>
        <w:tc>
          <w:tcPr>
            <w:tcW w:w="4929" w:type="dxa"/>
          </w:tcPr>
          <w:p w:rsidR="003F5784" w14:paraId="7C42BB6F" w14:textId="77777777">
            <w:pPr>
              <w:pStyle w:val="TableParagraph"/>
              <w:ind w:right="591"/>
              <w:rPr>
                <w:sz w:val="21"/>
              </w:rPr>
            </w:pPr>
            <w:r>
              <w:rPr>
                <w:spacing w:val="-5"/>
                <w:sz w:val="21"/>
              </w:rPr>
              <w:t>75</w:t>
            </w:r>
          </w:p>
        </w:tc>
        <w:tc>
          <w:tcPr>
            <w:tcW w:w="1374" w:type="dxa"/>
          </w:tcPr>
          <w:p w:rsidR="003F5784" w14:paraId="271D8158" w14:textId="77777777">
            <w:pPr>
              <w:pStyle w:val="TableParagraph"/>
              <w:ind w:right="115"/>
              <w:rPr>
                <w:sz w:val="21"/>
              </w:rPr>
            </w:pPr>
            <w:r>
              <w:rPr>
                <w:spacing w:val="-10"/>
                <w:sz w:val="21"/>
              </w:rPr>
              <w:t>L</w:t>
            </w:r>
          </w:p>
        </w:tc>
      </w:tr>
      <w:tr w14:paraId="21FB100D" w14:textId="77777777">
        <w:tblPrEx>
          <w:tblW w:w="0" w:type="auto"/>
          <w:tblInd w:w="482" w:type="dxa"/>
          <w:tblLayout w:type="fixed"/>
          <w:tblCellMar>
            <w:left w:w="0" w:type="dxa"/>
            <w:right w:w="0" w:type="dxa"/>
          </w:tblCellMar>
          <w:tblLook w:val="01E0"/>
        </w:tblPrEx>
        <w:trPr>
          <w:trHeight w:val="286"/>
        </w:trPr>
        <w:tc>
          <w:tcPr>
            <w:tcW w:w="2653" w:type="dxa"/>
          </w:tcPr>
          <w:p w:rsidR="003F5784" w14:paraId="0BCF025C" w14:textId="77777777">
            <w:pPr>
              <w:pStyle w:val="TableParagraph"/>
              <w:ind w:left="120"/>
              <w:jc w:val="left"/>
              <w:rPr>
                <w:sz w:val="21"/>
              </w:rPr>
            </w:pPr>
            <w:r>
              <w:rPr>
                <w:sz w:val="21"/>
              </w:rPr>
              <w:t>Diocese</w:t>
            </w:r>
            <w:r>
              <w:rPr>
                <w:spacing w:val="-8"/>
                <w:sz w:val="21"/>
              </w:rPr>
              <w:t xml:space="preserve"> </w:t>
            </w:r>
            <w:r>
              <w:rPr>
                <w:spacing w:val="-10"/>
                <w:sz w:val="21"/>
              </w:rPr>
              <w:t>6</w:t>
            </w:r>
          </w:p>
        </w:tc>
        <w:tc>
          <w:tcPr>
            <w:tcW w:w="5026" w:type="dxa"/>
          </w:tcPr>
          <w:p w:rsidR="003F5784" w14:paraId="1F9A4955" w14:textId="77777777">
            <w:pPr>
              <w:pStyle w:val="TableParagraph"/>
              <w:ind w:right="1448"/>
              <w:rPr>
                <w:sz w:val="21"/>
              </w:rPr>
            </w:pPr>
            <w:r>
              <w:rPr>
                <w:spacing w:val="-5"/>
                <w:sz w:val="21"/>
              </w:rPr>
              <w:t>10</w:t>
            </w:r>
          </w:p>
        </w:tc>
        <w:tc>
          <w:tcPr>
            <w:tcW w:w="4929" w:type="dxa"/>
          </w:tcPr>
          <w:p w:rsidR="003F5784" w14:paraId="7CFC0769" w14:textId="77777777">
            <w:pPr>
              <w:pStyle w:val="TableParagraph"/>
              <w:ind w:right="591"/>
              <w:rPr>
                <w:sz w:val="21"/>
              </w:rPr>
            </w:pPr>
            <w:r>
              <w:rPr>
                <w:spacing w:val="-5"/>
                <w:sz w:val="21"/>
              </w:rPr>
              <w:t>85</w:t>
            </w:r>
          </w:p>
        </w:tc>
        <w:tc>
          <w:tcPr>
            <w:tcW w:w="1374" w:type="dxa"/>
          </w:tcPr>
          <w:p w:rsidR="003F5784" w14:paraId="6BB53690" w14:textId="77777777">
            <w:pPr>
              <w:pStyle w:val="TableParagraph"/>
              <w:ind w:right="115"/>
              <w:rPr>
                <w:sz w:val="21"/>
              </w:rPr>
            </w:pPr>
            <w:r>
              <w:rPr>
                <w:spacing w:val="-10"/>
                <w:sz w:val="21"/>
              </w:rPr>
              <w:t>L</w:t>
            </w:r>
          </w:p>
        </w:tc>
      </w:tr>
      <w:tr w14:paraId="149B479E" w14:textId="77777777">
        <w:tblPrEx>
          <w:tblW w:w="0" w:type="auto"/>
          <w:tblInd w:w="482" w:type="dxa"/>
          <w:tblLayout w:type="fixed"/>
          <w:tblCellMar>
            <w:left w:w="0" w:type="dxa"/>
            <w:right w:w="0" w:type="dxa"/>
          </w:tblCellMar>
          <w:tblLook w:val="01E0"/>
        </w:tblPrEx>
        <w:trPr>
          <w:trHeight w:val="258"/>
        </w:trPr>
        <w:tc>
          <w:tcPr>
            <w:tcW w:w="2653" w:type="dxa"/>
          </w:tcPr>
          <w:p w:rsidR="003F5784" w14:paraId="37A37F31" w14:textId="77777777">
            <w:pPr>
              <w:pStyle w:val="TableParagraph"/>
              <w:spacing w:line="221" w:lineRule="exact"/>
              <w:ind w:left="120"/>
              <w:jc w:val="left"/>
              <w:rPr>
                <w:sz w:val="21"/>
              </w:rPr>
            </w:pPr>
            <w:r>
              <w:rPr>
                <w:sz w:val="21"/>
              </w:rPr>
              <w:t>Diocese</w:t>
            </w:r>
            <w:r>
              <w:rPr>
                <w:spacing w:val="-8"/>
                <w:sz w:val="21"/>
              </w:rPr>
              <w:t xml:space="preserve"> </w:t>
            </w:r>
            <w:r>
              <w:rPr>
                <w:spacing w:val="-10"/>
                <w:sz w:val="21"/>
              </w:rPr>
              <w:t>7</w:t>
            </w:r>
          </w:p>
        </w:tc>
        <w:tc>
          <w:tcPr>
            <w:tcW w:w="5026" w:type="dxa"/>
          </w:tcPr>
          <w:p w:rsidR="003F5784" w14:paraId="165344AF" w14:textId="77777777">
            <w:pPr>
              <w:pStyle w:val="TableParagraph"/>
              <w:spacing w:line="221" w:lineRule="exact"/>
              <w:ind w:right="1448"/>
              <w:rPr>
                <w:sz w:val="21"/>
              </w:rPr>
            </w:pPr>
            <w:r>
              <w:rPr>
                <w:spacing w:val="-10"/>
                <w:sz w:val="21"/>
              </w:rPr>
              <w:t>5</w:t>
            </w:r>
          </w:p>
        </w:tc>
        <w:tc>
          <w:tcPr>
            <w:tcW w:w="4929" w:type="dxa"/>
          </w:tcPr>
          <w:p w:rsidR="003F5784" w14:paraId="137EA4CD" w14:textId="77777777">
            <w:pPr>
              <w:pStyle w:val="TableParagraph"/>
              <w:spacing w:line="221" w:lineRule="exact"/>
              <w:ind w:right="591"/>
              <w:rPr>
                <w:sz w:val="21"/>
              </w:rPr>
            </w:pPr>
            <w:r>
              <w:rPr>
                <w:spacing w:val="-5"/>
                <w:sz w:val="21"/>
              </w:rPr>
              <w:t>90</w:t>
            </w:r>
          </w:p>
        </w:tc>
        <w:tc>
          <w:tcPr>
            <w:tcW w:w="1374" w:type="dxa"/>
          </w:tcPr>
          <w:p w:rsidR="003F5784" w14:paraId="7C84FAED" w14:textId="77777777">
            <w:pPr>
              <w:pStyle w:val="TableParagraph"/>
              <w:spacing w:line="221" w:lineRule="exact"/>
              <w:ind w:right="115"/>
              <w:rPr>
                <w:sz w:val="21"/>
              </w:rPr>
            </w:pPr>
            <w:r>
              <w:rPr>
                <w:spacing w:val="-10"/>
                <w:sz w:val="21"/>
              </w:rPr>
              <w:t>M</w:t>
            </w:r>
          </w:p>
        </w:tc>
      </w:tr>
    </w:tbl>
    <w:p w:rsidR="003F5784" w14:paraId="24173312" w14:textId="77777777">
      <w:pPr>
        <w:spacing w:line="221" w:lineRule="exact"/>
        <w:rPr>
          <w:sz w:val="21"/>
        </w:rPr>
        <w:sectPr>
          <w:pgSz w:w="15840" w:h="12240" w:orient="landscape"/>
          <w:pgMar w:top="480" w:right="440" w:bottom="460" w:left="460" w:header="284" w:footer="275" w:gutter="0"/>
          <w:cols w:space="720"/>
        </w:sectPr>
      </w:pPr>
    </w:p>
    <w:p w:rsidR="003F5784" w14:paraId="290EF5A2" w14:textId="77777777">
      <w:pPr>
        <w:pStyle w:val="BodyText"/>
        <w:tabs>
          <w:tab w:val="left" w:pos="4832"/>
          <w:tab w:val="left" w:pos="9605"/>
          <w:tab w:val="left" w:pos="13679"/>
        </w:tabs>
        <w:spacing w:before="98" w:after="20"/>
        <w:ind w:left="595"/>
      </w:pPr>
      <w:r>
        <w:rPr>
          <w:spacing w:val="-2"/>
        </w:rPr>
        <w:t>Diocese</w:t>
      </w:r>
      <w:r>
        <w:tab/>
        <w:t>Percentage</w:t>
      </w:r>
      <w:r>
        <w:rPr>
          <w:spacing w:val="-11"/>
        </w:rPr>
        <w:t xml:space="preserve"> </w:t>
      </w:r>
      <w:r>
        <w:rPr>
          <w:spacing w:val="-2"/>
        </w:rPr>
        <w:t>enrollment</w:t>
      </w:r>
      <w:r>
        <w:tab/>
        <w:t>Cumulative</w:t>
      </w:r>
      <w:r>
        <w:rPr>
          <w:spacing w:val="-11"/>
        </w:rPr>
        <w:t xml:space="preserve"> </w:t>
      </w:r>
      <w:r>
        <w:t>percentage</w:t>
      </w:r>
      <w:r>
        <w:rPr>
          <w:spacing w:val="-10"/>
        </w:rPr>
        <w:t xml:space="preserve"> </w:t>
      </w:r>
      <w:r>
        <w:rPr>
          <w:spacing w:val="-2"/>
        </w:rPr>
        <w:t>enrollment</w:t>
      </w:r>
      <w:r>
        <w:tab/>
      </w:r>
      <w:r>
        <w:rPr>
          <w:spacing w:val="-2"/>
        </w:rPr>
        <w:t>Stratum</w:t>
      </w:r>
    </w:p>
    <w:tbl>
      <w:tblPr>
        <w:tblW w:w="0" w:type="auto"/>
        <w:tblInd w:w="482" w:type="dxa"/>
        <w:tblLayout w:type="fixed"/>
        <w:tblCellMar>
          <w:left w:w="0" w:type="dxa"/>
          <w:right w:w="0" w:type="dxa"/>
        </w:tblCellMar>
        <w:tblLook w:val="01E0"/>
      </w:tblPr>
      <w:tblGrid>
        <w:gridCol w:w="3588"/>
        <w:gridCol w:w="5377"/>
        <w:gridCol w:w="3882"/>
        <w:gridCol w:w="1137"/>
      </w:tblGrid>
      <w:tr w14:paraId="78E45FF2" w14:textId="77777777">
        <w:tblPrEx>
          <w:tblW w:w="0" w:type="auto"/>
          <w:tblInd w:w="482" w:type="dxa"/>
          <w:tblLayout w:type="fixed"/>
          <w:tblCellMar>
            <w:left w:w="0" w:type="dxa"/>
            <w:right w:w="0" w:type="dxa"/>
          </w:tblCellMar>
          <w:tblLook w:val="01E0"/>
        </w:tblPrEx>
        <w:trPr>
          <w:trHeight w:val="278"/>
        </w:trPr>
        <w:tc>
          <w:tcPr>
            <w:tcW w:w="3588" w:type="dxa"/>
            <w:tcBorders>
              <w:top w:val="single" w:sz="18" w:space="0" w:color="800000"/>
            </w:tcBorders>
          </w:tcPr>
          <w:p w:rsidR="003F5784" w14:paraId="3DF21541" w14:textId="77777777">
            <w:pPr>
              <w:pStyle w:val="TableParagraph"/>
              <w:spacing w:before="9"/>
              <w:ind w:left="120"/>
              <w:jc w:val="left"/>
              <w:rPr>
                <w:sz w:val="21"/>
              </w:rPr>
            </w:pPr>
            <w:r>
              <w:rPr>
                <w:sz w:val="21"/>
              </w:rPr>
              <w:t>Diocese</w:t>
            </w:r>
            <w:r>
              <w:rPr>
                <w:spacing w:val="-8"/>
                <w:sz w:val="21"/>
              </w:rPr>
              <w:t xml:space="preserve"> </w:t>
            </w:r>
            <w:r>
              <w:rPr>
                <w:spacing w:val="-10"/>
                <w:sz w:val="21"/>
              </w:rPr>
              <w:t>8</w:t>
            </w:r>
          </w:p>
        </w:tc>
        <w:tc>
          <w:tcPr>
            <w:tcW w:w="5377" w:type="dxa"/>
            <w:tcBorders>
              <w:top w:val="single" w:sz="18" w:space="0" w:color="800000"/>
            </w:tcBorders>
          </w:tcPr>
          <w:p w:rsidR="003F5784" w14:paraId="0B262A72" w14:textId="77777777">
            <w:pPr>
              <w:pStyle w:val="TableParagraph"/>
              <w:spacing w:before="9"/>
              <w:ind w:left="2535"/>
              <w:jc w:val="left"/>
              <w:rPr>
                <w:sz w:val="21"/>
              </w:rPr>
            </w:pPr>
            <w:r>
              <w:rPr>
                <w:spacing w:val="-10"/>
                <w:sz w:val="21"/>
              </w:rPr>
              <w:t>2</w:t>
            </w:r>
          </w:p>
        </w:tc>
        <w:tc>
          <w:tcPr>
            <w:tcW w:w="3882" w:type="dxa"/>
            <w:tcBorders>
              <w:top w:val="single" w:sz="18" w:space="0" w:color="800000"/>
            </w:tcBorders>
          </w:tcPr>
          <w:p w:rsidR="003F5784" w14:paraId="523703FF" w14:textId="77777777">
            <w:pPr>
              <w:pStyle w:val="TableParagraph"/>
              <w:spacing w:before="9"/>
              <w:ind w:right="830"/>
              <w:rPr>
                <w:sz w:val="21"/>
              </w:rPr>
            </w:pPr>
            <w:r>
              <w:rPr>
                <w:spacing w:val="-5"/>
                <w:sz w:val="21"/>
              </w:rPr>
              <w:t>92</w:t>
            </w:r>
          </w:p>
        </w:tc>
        <w:tc>
          <w:tcPr>
            <w:tcW w:w="1137" w:type="dxa"/>
            <w:tcBorders>
              <w:top w:val="single" w:sz="18" w:space="0" w:color="800000"/>
            </w:tcBorders>
          </w:tcPr>
          <w:p w:rsidR="003F5784" w14:paraId="23A12A66" w14:textId="77777777">
            <w:pPr>
              <w:pStyle w:val="TableParagraph"/>
              <w:spacing w:before="9"/>
              <w:ind w:right="117"/>
              <w:rPr>
                <w:sz w:val="21"/>
              </w:rPr>
            </w:pPr>
            <w:r>
              <w:rPr>
                <w:spacing w:val="-10"/>
                <w:sz w:val="21"/>
              </w:rPr>
              <w:t>M</w:t>
            </w:r>
          </w:p>
        </w:tc>
      </w:tr>
      <w:tr w14:paraId="7F74B312" w14:textId="77777777">
        <w:tblPrEx>
          <w:tblW w:w="0" w:type="auto"/>
          <w:tblInd w:w="482" w:type="dxa"/>
          <w:tblLayout w:type="fixed"/>
          <w:tblCellMar>
            <w:left w:w="0" w:type="dxa"/>
            <w:right w:w="0" w:type="dxa"/>
          </w:tblCellMar>
          <w:tblLook w:val="01E0"/>
        </w:tblPrEx>
        <w:trPr>
          <w:trHeight w:val="286"/>
        </w:trPr>
        <w:tc>
          <w:tcPr>
            <w:tcW w:w="3588" w:type="dxa"/>
          </w:tcPr>
          <w:p w:rsidR="003F5784" w14:paraId="6C41BF65" w14:textId="77777777">
            <w:pPr>
              <w:pStyle w:val="TableParagraph"/>
              <w:ind w:left="120"/>
              <w:jc w:val="left"/>
              <w:rPr>
                <w:sz w:val="21"/>
              </w:rPr>
            </w:pPr>
            <w:r>
              <w:rPr>
                <w:sz w:val="21"/>
              </w:rPr>
              <w:t>Diocese</w:t>
            </w:r>
            <w:r>
              <w:rPr>
                <w:spacing w:val="-8"/>
                <w:sz w:val="21"/>
              </w:rPr>
              <w:t xml:space="preserve"> </w:t>
            </w:r>
            <w:r>
              <w:rPr>
                <w:spacing w:val="-10"/>
                <w:sz w:val="21"/>
              </w:rPr>
              <w:t>9</w:t>
            </w:r>
          </w:p>
        </w:tc>
        <w:tc>
          <w:tcPr>
            <w:tcW w:w="5377" w:type="dxa"/>
          </w:tcPr>
          <w:p w:rsidR="003F5784" w14:paraId="315888E4" w14:textId="77777777">
            <w:pPr>
              <w:pStyle w:val="TableParagraph"/>
              <w:ind w:left="2535"/>
              <w:jc w:val="left"/>
              <w:rPr>
                <w:sz w:val="21"/>
              </w:rPr>
            </w:pPr>
            <w:r>
              <w:rPr>
                <w:spacing w:val="-10"/>
                <w:sz w:val="21"/>
              </w:rPr>
              <w:t>2</w:t>
            </w:r>
          </w:p>
        </w:tc>
        <w:tc>
          <w:tcPr>
            <w:tcW w:w="3882" w:type="dxa"/>
          </w:tcPr>
          <w:p w:rsidR="003F5784" w14:paraId="2C886EC4" w14:textId="77777777">
            <w:pPr>
              <w:pStyle w:val="TableParagraph"/>
              <w:ind w:right="830"/>
              <w:rPr>
                <w:sz w:val="21"/>
              </w:rPr>
            </w:pPr>
            <w:r>
              <w:rPr>
                <w:spacing w:val="-5"/>
                <w:sz w:val="21"/>
              </w:rPr>
              <w:t>94</w:t>
            </w:r>
          </w:p>
        </w:tc>
        <w:tc>
          <w:tcPr>
            <w:tcW w:w="1137" w:type="dxa"/>
          </w:tcPr>
          <w:p w:rsidR="003F5784" w14:paraId="090E2A2D" w14:textId="77777777">
            <w:pPr>
              <w:pStyle w:val="TableParagraph"/>
              <w:ind w:right="117"/>
              <w:rPr>
                <w:sz w:val="21"/>
              </w:rPr>
            </w:pPr>
            <w:r>
              <w:rPr>
                <w:spacing w:val="-10"/>
                <w:sz w:val="21"/>
              </w:rPr>
              <w:t>M</w:t>
            </w:r>
          </w:p>
        </w:tc>
      </w:tr>
      <w:tr w14:paraId="08E0C65C" w14:textId="77777777">
        <w:tblPrEx>
          <w:tblW w:w="0" w:type="auto"/>
          <w:tblInd w:w="482" w:type="dxa"/>
          <w:tblLayout w:type="fixed"/>
          <w:tblCellMar>
            <w:left w:w="0" w:type="dxa"/>
            <w:right w:w="0" w:type="dxa"/>
          </w:tblCellMar>
          <w:tblLook w:val="01E0"/>
        </w:tblPrEx>
        <w:trPr>
          <w:trHeight w:val="286"/>
        </w:trPr>
        <w:tc>
          <w:tcPr>
            <w:tcW w:w="3588" w:type="dxa"/>
          </w:tcPr>
          <w:p w:rsidR="003F5784" w14:paraId="3B06B89E" w14:textId="77777777">
            <w:pPr>
              <w:pStyle w:val="TableParagraph"/>
              <w:ind w:left="120"/>
              <w:jc w:val="left"/>
              <w:rPr>
                <w:sz w:val="21"/>
              </w:rPr>
            </w:pPr>
            <w:r>
              <w:rPr>
                <w:sz w:val="21"/>
              </w:rPr>
              <w:t>Diocese</w:t>
            </w:r>
            <w:r>
              <w:rPr>
                <w:spacing w:val="-8"/>
                <w:sz w:val="21"/>
              </w:rPr>
              <w:t xml:space="preserve"> </w:t>
            </w:r>
            <w:r>
              <w:rPr>
                <w:spacing w:val="-5"/>
                <w:sz w:val="21"/>
              </w:rPr>
              <w:t>10</w:t>
            </w:r>
          </w:p>
        </w:tc>
        <w:tc>
          <w:tcPr>
            <w:tcW w:w="5377" w:type="dxa"/>
          </w:tcPr>
          <w:p w:rsidR="003F5784" w14:paraId="0BE561A3" w14:textId="77777777">
            <w:pPr>
              <w:pStyle w:val="TableParagraph"/>
              <w:ind w:left="2535"/>
              <w:jc w:val="left"/>
              <w:rPr>
                <w:sz w:val="21"/>
              </w:rPr>
            </w:pPr>
            <w:r>
              <w:rPr>
                <w:spacing w:val="-10"/>
                <w:sz w:val="21"/>
              </w:rPr>
              <w:t>2</w:t>
            </w:r>
          </w:p>
        </w:tc>
        <w:tc>
          <w:tcPr>
            <w:tcW w:w="3882" w:type="dxa"/>
          </w:tcPr>
          <w:p w:rsidR="003F5784" w14:paraId="79DF74B1" w14:textId="77777777">
            <w:pPr>
              <w:pStyle w:val="TableParagraph"/>
              <w:ind w:right="830"/>
              <w:rPr>
                <w:sz w:val="21"/>
              </w:rPr>
            </w:pPr>
            <w:r>
              <w:rPr>
                <w:spacing w:val="-5"/>
                <w:sz w:val="21"/>
              </w:rPr>
              <w:t>96</w:t>
            </w:r>
          </w:p>
        </w:tc>
        <w:tc>
          <w:tcPr>
            <w:tcW w:w="1137" w:type="dxa"/>
          </w:tcPr>
          <w:p w:rsidR="003F5784" w14:paraId="0C8C9946" w14:textId="77777777">
            <w:pPr>
              <w:pStyle w:val="TableParagraph"/>
              <w:ind w:right="117"/>
              <w:rPr>
                <w:sz w:val="21"/>
              </w:rPr>
            </w:pPr>
            <w:r>
              <w:rPr>
                <w:spacing w:val="-10"/>
                <w:sz w:val="21"/>
              </w:rPr>
              <w:t>M</w:t>
            </w:r>
          </w:p>
        </w:tc>
      </w:tr>
      <w:tr w14:paraId="44DF1E39" w14:textId="77777777">
        <w:tblPrEx>
          <w:tblW w:w="0" w:type="auto"/>
          <w:tblInd w:w="482" w:type="dxa"/>
          <w:tblLayout w:type="fixed"/>
          <w:tblCellMar>
            <w:left w:w="0" w:type="dxa"/>
            <w:right w:w="0" w:type="dxa"/>
          </w:tblCellMar>
          <w:tblLook w:val="01E0"/>
        </w:tblPrEx>
        <w:trPr>
          <w:trHeight w:val="286"/>
        </w:trPr>
        <w:tc>
          <w:tcPr>
            <w:tcW w:w="3588" w:type="dxa"/>
          </w:tcPr>
          <w:p w:rsidR="003F5784" w14:paraId="3226662E" w14:textId="77777777">
            <w:pPr>
              <w:pStyle w:val="TableParagraph"/>
              <w:ind w:left="120"/>
              <w:jc w:val="left"/>
              <w:rPr>
                <w:sz w:val="21"/>
              </w:rPr>
            </w:pPr>
            <w:r>
              <w:rPr>
                <w:sz w:val="21"/>
              </w:rPr>
              <w:t>Diocese</w:t>
            </w:r>
            <w:r>
              <w:rPr>
                <w:spacing w:val="-8"/>
                <w:sz w:val="21"/>
              </w:rPr>
              <w:t xml:space="preserve"> </w:t>
            </w:r>
            <w:r>
              <w:rPr>
                <w:spacing w:val="-5"/>
                <w:sz w:val="21"/>
              </w:rPr>
              <w:t>11</w:t>
            </w:r>
          </w:p>
        </w:tc>
        <w:tc>
          <w:tcPr>
            <w:tcW w:w="5377" w:type="dxa"/>
          </w:tcPr>
          <w:p w:rsidR="003F5784" w14:paraId="062AB361" w14:textId="77777777">
            <w:pPr>
              <w:pStyle w:val="TableParagraph"/>
              <w:ind w:left="2535"/>
              <w:jc w:val="left"/>
              <w:rPr>
                <w:sz w:val="21"/>
              </w:rPr>
            </w:pPr>
            <w:r>
              <w:rPr>
                <w:spacing w:val="-10"/>
                <w:sz w:val="21"/>
              </w:rPr>
              <w:t>2</w:t>
            </w:r>
          </w:p>
        </w:tc>
        <w:tc>
          <w:tcPr>
            <w:tcW w:w="3882" w:type="dxa"/>
          </w:tcPr>
          <w:p w:rsidR="003F5784" w14:paraId="2F303A59" w14:textId="77777777">
            <w:pPr>
              <w:pStyle w:val="TableParagraph"/>
              <w:ind w:right="830"/>
              <w:rPr>
                <w:sz w:val="21"/>
              </w:rPr>
            </w:pPr>
            <w:r>
              <w:rPr>
                <w:spacing w:val="-5"/>
                <w:sz w:val="21"/>
              </w:rPr>
              <w:t>98</w:t>
            </w:r>
          </w:p>
        </w:tc>
        <w:tc>
          <w:tcPr>
            <w:tcW w:w="1137" w:type="dxa"/>
          </w:tcPr>
          <w:p w:rsidR="003F5784" w14:paraId="683B4551" w14:textId="77777777">
            <w:pPr>
              <w:pStyle w:val="TableParagraph"/>
              <w:ind w:right="117"/>
              <w:rPr>
                <w:sz w:val="21"/>
              </w:rPr>
            </w:pPr>
            <w:r>
              <w:rPr>
                <w:spacing w:val="-10"/>
                <w:sz w:val="21"/>
              </w:rPr>
              <w:t>M</w:t>
            </w:r>
          </w:p>
        </w:tc>
      </w:tr>
      <w:tr w14:paraId="21A3C508" w14:textId="77777777">
        <w:tblPrEx>
          <w:tblW w:w="0" w:type="auto"/>
          <w:tblInd w:w="482" w:type="dxa"/>
          <w:tblLayout w:type="fixed"/>
          <w:tblCellMar>
            <w:left w:w="0" w:type="dxa"/>
            <w:right w:w="0" w:type="dxa"/>
          </w:tblCellMar>
          <w:tblLook w:val="01E0"/>
        </w:tblPrEx>
        <w:trPr>
          <w:trHeight w:val="288"/>
        </w:trPr>
        <w:tc>
          <w:tcPr>
            <w:tcW w:w="3588" w:type="dxa"/>
            <w:tcBorders>
              <w:bottom w:val="single" w:sz="18" w:space="0" w:color="800000"/>
            </w:tcBorders>
          </w:tcPr>
          <w:p w:rsidR="003F5784" w14:paraId="3E975CD4" w14:textId="77777777">
            <w:pPr>
              <w:pStyle w:val="TableParagraph"/>
              <w:ind w:left="120"/>
              <w:jc w:val="left"/>
              <w:rPr>
                <w:sz w:val="21"/>
              </w:rPr>
            </w:pPr>
            <w:r>
              <w:rPr>
                <w:sz w:val="21"/>
              </w:rPr>
              <w:t>Diocese</w:t>
            </w:r>
            <w:r>
              <w:rPr>
                <w:spacing w:val="-8"/>
                <w:sz w:val="21"/>
              </w:rPr>
              <w:t xml:space="preserve"> </w:t>
            </w:r>
            <w:r>
              <w:rPr>
                <w:spacing w:val="-5"/>
                <w:sz w:val="21"/>
              </w:rPr>
              <w:t>12</w:t>
            </w:r>
          </w:p>
        </w:tc>
        <w:tc>
          <w:tcPr>
            <w:tcW w:w="5377" w:type="dxa"/>
            <w:tcBorders>
              <w:bottom w:val="single" w:sz="18" w:space="0" w:color="800000"/>
            </w:tcBorders>
          </w:tcPr>
          <w:p w:rsidR="003F5784" w14:paraId="4FD10EFA" w14:textId="77777777">
            <w:pPr>
              <w:pStyle w:val="TableParagraph"/>
              <w:ind w:left="2535"/>
              <w:jc w:val="left"/>
              <w:rPr>
                <w:sz w:val="21"/>
              </w:rPr>
            </w:pPr>
            <w:r>
              <w:rPr>
                <w:spacing w:val="-10"/>
                <w:sz w:val="21"/>
              </w:rPr>
              <w:t>2</w:t>
            </w:r>
          </w:p>
        </w:tc>
        <w:tc>
          <w:tcPr>
            <w:tcW w:w="3882" w:type="dxa"/>
            <w:tcBorders>
              <w:bottom w:val="single" w:sz="18" w:space="0" w:color="800000"/>
            </w:tcBorders>
          </w:tcPr>
          <w:p w:rsidR="003F5784" w14:paraId="22385E1F" w14:textId="77777777">
            <w:pPr>
              <w:pStyle w:val="TableParagraph"/>
              <w:ind w:right="830"/>
              <w:rPr>
                <w:sz w:val="21"/>
              </w:rPr>
            </w:pPr>
            <w:r>
              <w:rPr>
                <w:spacing w:val="-5"/>
                <w:sz w:val="21"/>
              </w:rPr>
              <w:t>100</w:t>
            </w:r>
          </w:p>
        </w:tc>
        <w:tc>
          <w:tcPr>
            <w:tcW w:w="1137" w:type="dxa"/>
            <w:tcBorders>
              <w:bottom w:val="single" w:sz="18" w:space="0" w:color="800000"/>
            </w:tcBorders>
          </w:tcPr>
          <w:p w:rsidR="003F5784" w14:paraId="677F81CF" w14:textId="77777777">
            <w:pPr>
              <w:pStyle w:val="TableParagraph"/>
              <w:ind w:right="117"/>
              <w:rPr>
                <w:sz w:val="21"/>
              </w:rPr>
            </w:pPr>
            <w:r>
              <w:rPr>
                <w:spacing w:val="-10"/>
                <w:sz w:val="21"/>
              </w:rPr>
              <w:t>M</w:t>
            </w:r>
          </w:p>
        </w:tc>
      </w:tr>
      <w:tr w14:paraId="4FAE359B" w14:textId="77777777">
        <w:tblPrEx>
          <w:tblW w:w="0" w:type="auto"/>
          <w:tblInd w:w="482" w:type="dxa"/>
          <w:tblLayout w:type="fixed"/>
          <w:tblCellMar>
            <w:left w:w="0" w:type="dxa"/>
            <w:right w:w="0" w:type="dxa"/>
          </w:tblCellMar>
          <w:tblLook w:val="01E0"/>
        </w:tblPrEx>
        <w:trPr>
          <w:trHeight w:val="472"/>
        </w:trPr>
        <w:tc>
          <w:tcPr>
            <w:tcW w:w="13984" w:type="dxa"/>
            <w:gridSpan w:val="4"/>
            <w:tcBorders>
              <w:top w:val="single" w:sz="18" w:space="0" w:color="800000"/>
            </w:tcBorders>
          </w:tcPr>
          <w:p w:rsidR="003F5784" w14:paraId="22CA8DCA" w14:textId="77777777">
            <w:pPr>
              <w:pStyle w:val="TableParagraph"/>
              <w:spacing w:before="0" w:line="234" w:lineRule="exact"/>
              <w:ind w:left="120"/>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Progress (NAEP), 2022 National Mathematics and Reading Assessments.</w:t>
            </w:r>
          </w:p>
        </w:tc>
      </w:tr>
    </w:tbl>
    <w:p w:rsidR="003F5784" w14:paraId="694B5020" w14:textId="77777777">
      <w:pPr>
        <w:pStyle w:val="BodyText"/>
        <w:spacing w:before="222"/>
      </w:pPr>
    </w:p>
    <w:p w:rsidR="003F5784" w14:paraId="094DCD25" w14:textId="77777777">
      <w:pPr>
        <w:pStyle w:val="BodyText"/>
        <w:ind w:left="109"/>
      </w:pPr>
      <w:r>
        <w:t>In</w:t>
      </w:r>
      <w:r>
        <w:rPr>
          <w:spacing w:val="-7"/>
        </w:rPr>
        <w:t xml:space="preserve"> </w:t>
      </w:r>
      <w:r>
        <w:t>actuality,</w:t>
      </w:r>
      <w:r>
        <w:rPr>
          <w:spacing w:val="-7"/>
        </w:rPr>
        <w:t xml:space="preserve"> </w:t>
      </w:r>
      <w:r>
        <w:t>there</w:t>
      </w:r>
      <w:r>
        <w:rPr>
          <w:spacing w:val="-6"/>
        </w:rPr>
        <w:t xml:space="preserve"> </w:t>
      </w:r>
      <w:r>
        <w:t>were</w:t>
      </w:r>
      <w:r>
        <w:rPr>
          <w:spacing w:val="-7"/>
        </w:rPr>
        <w:t xml:space="preserve"> </w:t>
      </w:r>
      <w:r>
        <w:t>77</w:t>
      </w:r>
      <w:r>
        <w:rPr>
          <w:spacing w:val="-7"/>
        </w:rPr>
        <w:t xml:space="preserve"> </w:t>
      </w:r>
      <w:r>
        <w:t>large</w:t>
      </w:r>
      <w:r>
        <w:rPr>
          <w:spacing w:val="-6"/>
        </w:rPr>
        <w:t xml:space="preserve"> </w:t>
      </w:r>
      <w:r>
        <w:t>and</w:t>
      </w:r>
      <w:r>
        <w:rPr>
          <w:spacing w:val="-7"/>
        </w:rPr>
        <w:t xml:space="preserve"> </w:t>
      </w:r>
      <w:r>
        <w:t>96</w:t>
      </w:r>
      <w:r>
        <w:rPr>
          <w:spacing w:val="-6"/>
        </w:rPr>
        <w:t xml:space="preserve"> </w:t>
      </w:r>
      <w:r>
        <w:t>medium</w:t>
      </w:r>
      <w:r>
        <w:rPr>
          <w:spacing w:val="-7"/>
        </w:rPr>
        <w:t xml:space="preserve"> </w:t>
      </w:r>
      <w:r>
        <w:t>dioceses</w:t>
      </w:r>
      <w:r>
        <w:rPr>
          <w:spacing w:val="-7"/>
        </w:rPr>
        <w:t xml:space="preserve"> </w:t>
      </w:r>
      <w:r>
        <w:t>in</w:t>
      </w:r>
      <w:r>
        <w:rPr>
          <w:spacing w:val="-6"/>
        </w:rPr>
        <w:t xml:space="preserve"> </w:t>
      </w:r>
      <w:r>
        <w:t>the</w:t>
      </w:r>
      <w:r>
        <w:rPr>
          <w:spacing w:val="-7"/>
        </w:rPr>
        <w:t xml:space="preserve"> </w:t>
      </w:r>
      <w:r>
        <w:t>sampling</w:t>
      </w:r>
      <w:r>
        <w:rPr>
          <w:spacing w:val="-7"/>
        </w:rPr>
        <w:t xml:space="preserve"> </w:t>
      </w:r>
      <w:r>
        <w:rPr>
          <w:spacing w:val="-2"/>
        </w:rPr>
        <w:t>frame.</w:t>
      </w:r>
    </w:p>
    <w:p w:rsidR="003F5784" w14:paraId="08C3BF0A" w14:textId="77777777">
      <w:pPr>
        <w:pStyle w:val="BodyText"/>
        <w:spacing w:before="207" w:line="232" w:lineRule="auto"/>
        <w:ind w:left="109" w:right="179"/>
      </w:pPr>
      <w:r>
        <w:t>The</w:t>
      </w:r>
      <w:r>
        <w:rPr>
          <w:spacing w:val="-6"/>
        </w:rPr>
        <w:t xml:space="preserve"> </w:t>
      </w:r>
      <w:r>
        <w:t>target</w:t>
      </w:r>
      <w:r>
        <w:rPr>
          <w:spacing w:val="-6"/>
        </w:rPr>
        <w:t xml:space="preserve"> </w:t>
      </w:r>
      <w:r>
        <w:t>sample</w:t>
      </w:r>
      <w:r>
        <w:rPr>
          <w:spacing w:val="-6"/>
        </w:rPr>
        <w:t xml:space="preserve"> </w:t>
      </w:r>
      <w:r>
        <w:t>size</w:t>
      </w:r>
      <w:r>
        <w:rPr>
          <w:spacing w:val="-6"/>
        </w:rPr>
        <w:t xml:space="preserve"> </w:t>
      </w:r>
      <w:r>
        <w:t>was</w:t>
      </w:r>
      <w:r>
        <w:rPr>
          <w:spacing w:val="-6"/>
        </w:rPr>
        <w:t xml:space="preserve"> </w:t>
      </w:r>
      <w:r>
        <w:t>10</w:t>
      </w:r>
      <w:r>
        <w:rPr>
          <w:spacing w:val="-6"/>
        </w:rPr>
        <w:t xml:space="preserve"> </w:t>
      </w:r>
      <w:r>
        <w:t>dioceses</w:t>
      </w:r>
      <w:r>
        <w:rPr>
          <w:spacing w:val="-6"/>
        </w:rPr>
        <w:t xml:space="preserve"> </w:t>
      </w:r>
      <w:r>
        <w:t>total</w:t>
      </w:r>
      <w:r>
        <w:rPr>
          <w:spacing w:val="-6"/>
        </w:rPr>
        <w:t xml:space="preserve"> </w:t>
      </w:r>
      <w:r>
        <w:t>across</w:t>
      </w:r>
      <w:r>
        <w:rPr>
          <w:spacing w:val="-6"/>
        </w:rPr>
        <w:t xml:space="preserve"> </w:t>
      </w:r>
      <w:r>
        <w:t>the</w:t>
      </w:r>
      <w:r>
        <w:rPr>
          <w:spacing w:val="-6"/>
        </w:rPr>
        <w:t xml:space="preserve"> </w:t>
      </w:r>
      <w:r>
        <w:t>medium-size</w:t>
      </w:r>
      <w:r>
        <w:rPr>
          <w:spacing w:val="-6"/>
        </w:rPr>
        <w:t xml:space="preserve"> </w:t>
      </w:r>
      <w:r>
        <w:t>and</w:t>
      </w:r>
      <w:r>
        <w:rPr>
          <w:spacing w:val="-6"/>
        </w:rPr>
        <w:t xml:space="preserve"> </w:t>
      </w:r>
      <w:r>
        <w:t>large-size</w:t>
      </w:r>
      <w:r>
        <w:rPr>
          <w:spacing w:val="-6"/>
        </w:rPr>
        <w:t xml:space="preserve"> </w:t>
      </w:r>
      <w:r>
        <w:t>diocese</w:t>
      </w:r>
      <w:r>
        <w:rPr>
          <w:spacing w:val="-6"/>
        </w:rPr>
        <w:t xml:space="preserve"> </w:t>
      </w:r>
      <w:r>
        <w:t>strata:</w:t>
      </w:r>
      <w:r>
        <w:rPr>
          <w:spacing w:val="-6"/>
        </w:rPr>
        <w:t xml:space="preserve"> </w:t>
      </w:r>
      <w:r>
        <w:t>eight</w:t>
      </w:r>
      <w:r>
        <w:rPr>
          <w:spacing w:val="-6"/>
        </w:rPr>
        <w:t xml:space="preserve"> </w:t>
      </w:r>
      <w:r>
        <w:t>from</w:t>
      </w:r>
      <w:r>
        <w:rPr>
          <w:spacing w:val="-6"/>
        </w:rPr>
        <w:t xml:space="preserve"> </w:t>
      </w:r>
      <w:r>
        <w:t>the</w:t>
      </w:r>
      <w:r>
        <w:rPr>
          <w:spacing w:val="-6"/>
        </w:rPr>
        <w:t xml:space="preserve"> </w:t>
      </w:r>
      <w:r>
        <w:t>large-size</w:t>
      </w:r>
      <w:r>
        <w:rPr>
          <w:spacing w:val="-6"/>
        </w:rPr>
        <w:t xml:space="preserve"> </w:t>
      </w:r>
      <w:r>
        <w:t>diocese</w:t>
      </w:r>
      <w:r>
        <w:rPr>
          <w:spacing w:val="-6"/>
        </w:rPr>
        <w:t xml:space="preserve"> </w:t>
      </w:r>
      <w:r>
        <w:t>stratum</w:t>
      </w:r>
      <w:r>
        <w:rPr>
          <w:spacing w:val="-6"/>
        </w:rPr>
        <w:t xml:space="preserve"> </w:t>
      </w:r>
      <w:r>
        <w:t>and</w:t>
      </w:r>
      <w:r>
        <w:rPr>
          <w:spacing w:val="-6"/>
        </w:rPr>
        <w:t xml:space="preserve"> </w:t>
      </w:r>
      <w:r>
        <w:t>two</w:t>
      </w:r>
      <w:r>
        <w:rPr>
          <w:spacing w:val="-6"/>
        </w:rPr>
        <w:t xml:space="preserve"> </w:t>
      </w:r>
      <w:r>
        <w:t>from</w:t>
      </w:r>
      <w:r>
        <w:rPr>
          <w:spacing w:val="-6"/>
        </w:rPr>
        <w:t xml:space="preserve"> </w:t>
      </w:r>
      <w:r>
        <w:t>the</w:t>
      </w:r>
      <w:r>
        <w:rPr>
          <w:spacing w:val="-6"/>
        </w:rPr>
        <w:t xml:space="preserve"> </w:t>
      </w:r>
      <w:r>
        <w:t>medium-size diocese stratum.</w:t>
      </w:r>
    </w:p>
    <w:p w:rsidR="003F5784" w14:paraId="588497C1" w14:textId="77777777">
      <w:pPr>
        <w:pStyle w:val="BodyText"/>
        <w:spacing w:before="210" w:line="232" w:lineRule="auto"/>
        <w:ind w:left="109"/>
      </w:pPr>
      <w:r>
        <w:t>In</w:t>
      </w:r>
      <w:r>
        <w:rPr>
          <w:spacing w:val="-8"/>
        </w:rPr>
        <w:t xml:space="preserve"> </w:t>
      </w:r>
      <w:r>
        <w:t>the</w:t>
      </w:r>
      <w:r>
        <w:rPr>
          <w:spacing w:val="-8"/>
        </w:rPr>
        <w:t xml:space="preserve"> </w:t>
      </w:r>
      <w:r>
        <w:t>medium-size</w:t>
      </w:r>
      <w:r>
        <w:rPr>
          <w:spacing w:val="-8"/>
        </w:rPr>
        <w:t xml:space="preserve"> </w:t>
      </w:r>
      <w:r>
        <w:t>diocese</w:t>
      </w:r>
      <w:r>
        <w:rPr>
          <w:spacing w:val="-8"/>
        </w:rPr>
        <w:t xml:space="preserve"> </w:t>
      </w:r>
      <w:r>
        <w:t>stratum,</w:t>
      </w:r>
      <w:r>
        <w:rPr>
          <w:spacing w:val="-8"/>
        </w:rPr>
        <w:t xml:space="preserve"> </w:t>
      </w:r>
      <w:r>
        <w:t>dioceses</w:t>
      </w:r>
      <w:r>
        <w:rPr>
          <w:spacing w:val="-8"/>
        </w:rPr>
        <w:t xml:space="preserve"> </w:t>
      </w:r>
      <w:r>
        <w:t>were</w:t>
      </w:r>
      <w:r>
        <w:rPr>
          <w:spacing w:val="-8"/>
        </w:rPr>
        <w:t xml:space="preserve"> </w:t>
      </w:r>
      <w:r>
        <w:t>selected</w:t>
      </w:r>
      <w:r>
        <w:rPr>
          <w:spacing w:val="-8"/>
        </w:rPr>
        <w:t xml:space="preserve"> </w:t>
      </w:r>
      <w:r>
        <w:t>with</w:t>
      </w:r>
      <w:r>
        <w:rPr>
          <w:spacing w:val="-8"/>
        </w:rPr>
        <w:t xml:space="preserve"> </w:t>
      </w:r>
      <w:r>
        <w:t>equal</w:t>
      </w:r>
      <w:r>
        <w:rPr>
          <w:spacing w:val="-8"/>
        </w:rPr>
        <w:t xml:space="preserve"> </w:t>
      </w:r>
      <w:r>
        <w:t>probability.</w:t>
      </w:r>
      <w:r>
        <w:rPr>
          <w:spacing w:val="-8"/>
        </w:rPr>
        <w:t xml:space="preserve"> </w:t>
      </w:r>
      <w:r>
        <w:t>In</w:t>
      </w:r>
      <w:r>
        <w:rPr>
          <w:spacing w:val="-8"/>
        </w:rPr>
        <w:t xml:space="preserve"> </w:t>
      </w:r>
      <w:r>
        <w:t>the</w:t>
      </w:r>
      <w:r>
        <w:rPr>
          <w:spacing w:val="-8"/>
        </w:rPr>
        <w:t xml:space="preserve"> </w:t>
      </w:r>
      <w:r>
        <w:t>large-size</w:t>
      </w:r>
      <w:r>
        <w:rPr>
          <w:spacing w:val="-8"/>
        </w:rPr>
        <w:t xml:space="preserve"> </w:t>
      </w:r>
      <w:r>
        <w:t>diocese</w:t>
      </w:r>
      <w:r>
        <w:rPr>
          <w:spacing w:val="-8"/>
        </w:rPr>
        <w:t xml:space="preserve"> </w:t>
      </w:r>
      <w:r>
        <w:t>stratum,</w:t>
      </w:r>
      <w:r>
        <w:rPr>
          <w:spacing w:val="-8"/>
        </w:rPr>
        <w:t xml:space="preserve"> </w:t>
      </w:r>
      <w:r>
        <w:t>dioceses</w:t>
      </w:r>
      <w:r>
        <w:rPr>
          <w:spacing w:val="-8"/>
        </w:rPr>
        <w:t xml:space="preserve"> </w:t>
      </w:r>
      <w:r>
        <w:t>were</w:t>
      </w:r>
      <w:r>
        <w:rPr>
          <w:spacing w:val="-8"/>
        </w:rPr>
        <w:t xml:space="preserve"> </w:t>
      </w:r>
      <w:r>
        <w:t>sampled</w:t>
      </w:r>
      <w:r>
        <w:rPr>
          <w:spacing w:val="-8"/>
        </w:rPr>
        <w:t xml:space="preserve"> </w:t>
      </w:r>
      <w:r>
        <w:t>with</w:t>
      </w:r>
      <w:r>
        <w:rPr>
          <w:spacing w:val="-8"/>
        </w:rPr>
        <w:t xml:space="preserve"> </w:t>
      </w:r>
      <w:r>
        <w:t>probability</w:t>
      </w:r>
      <w:r>
        <w:rPr>
          <w:spacing w:val="-8"/>
        </w:rPr>
        <w:t xml:space="preserve"> </w:t>
      </w:r>
      <w:r>
        <w:t>proportional</w:t>
      </w:r>
      <w:r>
        <w:rPr>
          <w:spacing w:val="-8"/>
        </w:rPr>
        <w:t xml:space="preserve"> </w:t>
      </w:r>
      <w:r>
        <w:t>to enrollment. These probabilities were retained and used in later stages of sampling and weighting of new schools.</w:t>
      </w:r>
    </w:p>
    <w:p w:rsidR="003F5784" w14:paraId="71BEBEFF" w14:textId="77777777">
      <w:pPr>
        <w:pStyle w:val="BodyText"/>
        <w:spacing w:before="209" w:line="232" w:lineRule="auto"/>
        <w:ind w:left="109"/>
      </w:pPr>
      <w:r>
        <w:t>NCEA</w:t>
      </w:r>
      <w:r>
        <w:rPr>
          <w:spacing w:val="-14"/>
        </w:rPr>
        <w:t xml:space="preserve"> </w:t>
      </w:r>
      <w:r>
        <w:t>was</w:t>
      </w:r>
      <w:r>
        <w:rPr>
          <w:spacing w:val="-6"/>
        </w:rPr>
        <w:t xml:space="preserve"> </w:t>
      </w:r>
      <w:r>
        <w:t>sent</w:t>
      </w:r>
      <w:r>
        <w:rPr>
          <w:spacing w:val="-5"/>
        </w:rPr>
        <w:t xml:space="preserve"> </w:t>
      </w:r>
      <w:r>
        <w:t>a</w:t>
      </w:r>
      <w:r>
        <w:rPr>
          <w:spacing w:val="-5"/>
        </w:rPr>
        <w:t xml:space="preserve"> </w:t>
      </w:r>
      <w:r>
        <w:t>listing</w:t>
      </w:r>
      <w:r>
        <w:rPr>
          <w:spacing w:val="-5"/>
        </w:rPr>
        <w:t xml:space="preserve"> </w:t>
      </w:r>
      <w:r>
        <w:t>of</w:t>
      </w:r>
      <w:r>
        <w:rPr>
          <w:spacing w:val="-5"/>
        </w:rPr>
        <w:t xml:space="preserve"> </w:t>
      </w:r>
      <w:r>
        <w:t>all</w:t>
      </w:r>
      <w:r>
        <w:rPr>
          <w:spacing w:val="-5"/>
        </w:rPr>
        <w:t xml:space="preserve"> </w:t>
      </w:r>
      <w:r>
        <w:t>the</w:t>
      </w:r>
      <w:r>
        <w:rPr>
          <w:spacing w:val="-5"/>
        </w:rPr>
        <w:t xml:space="preserve"> </w:t>
      </w:r>
      <w:r>
        <w:t>schools</w:t>
      </w:r>
      <w:r>
        <w:rPr>
          <w:spacing w:val="-5"/>
        </w:rPr>
        <w:t xml:space="preserve"> </w:t>
      </w:r>
      <w:r>
        <w:t>in</w:t>
      </w:r>
      <w:r>
        <w:rPr>
          <w:spacing w:val="-5"/>
        </w:rPr>
        <w:t xml:space="preserve"> </w:t>
      </w:r>
      <w:r>
        <w:t>the</w:t>
      </w:r>
      <w:r>
        <w:rPr>
          <w:spacing w:val="-5"/>
        </w:rPr>
        <w:t xml:space="preserve"> </w:t>
      </w:r>
      <w:r>
        <w:t>selected</w:t>
      </w:r>
      <w:r>
        <w:rPr>
          <w:spacing w:val="-5"/>
        </w:rPr>
        <w:t xml:space="preserve"> </w:t>
      </w:r>
      <w:r>
        <w:t>dioceses</w:t>
      </w:r>
      <w:r>
        <w:rPr>
          <w:spacing w:val="-5"/>
        </w:rPr>
        <w:t xml:space="preserve"> </w:t>
      </w:r>
      <w:r>
        <w:t>that</w:t>
      </w:r>
      <w:r>
        <w:rPr>
          <w:spacing w:val="-5"/>
        </w:rPr>
        <w:t xml:space="preserve"> </w:t>
      </w:r>
      <w:r>
        <w:t>appeared</w:t>
      </w:r>
      <w:r>
        <w:rPr>
          <w:spacing w:val="-5"/>
        </w:rPr>
        <w:t xml:space="preserve"> </w:t>
      </w:r>
      <w:r>
        <w:t>on</w:t>
      </w:r>
      <w:r>
        <w:rPr>
          <w:spacing w:val="-5"/>
        </w:rPr>
        <w:t xml:space="preserve"> </w:t>
      </w:r>
      <w:r>
        <w:t>the</w:t>
      </w:r>
      <w:r>
        <w:rPr>
          <w:spacing w:val="-5"/>
        </w:rPr>
        <w:t xml:space="preserve"> </w:t>
      </w:r>
      <w:r>
        <w:t>2019–2020</w:t>
      </w:r>
      <w:r>
        <w:rPr>
          <w:spacing w:val="-5"/>
        </w:rPr>
        <w:t xml:space="preserve"> </w:t>
      </w:r>
      <w:r>
        <w:t>PSS</w:t>
      </w:r>
      <w:r>
        <w:rPr>
          <w:spacing w:val="-5"/>
        </w:rPr>
        <w:t xml:space="preserve"> </w:t>
      </w:r>
      <w:r>
        <w:t>file</w:t>
      </w:r>
      <w:r>
        <w:rPr>
          <w:spacing w:val="-5"/>
        </w:rPr>
        <w:t xml:space="preserve"> </w:t>
      </w:r>
      <w:r>
        <w:t>and</w:t>
      </w:r>
      <w:r>
        <w:rPr>
          <w:spacing w:val="-5"/>
        </w:rPr>
        <w:t xml:space="preserve"> </w:t>
      </w:r>
      <w:r>
        <w:t>was</w:t>
      </w:r>
      <w:r>
        <w:rPr>
          <w:spacing w:val="-5"/>
        </w:rPr>
        <w:t xml:space="preserve"> </w:t>
      </w:r>
      <w:r>
        <w:t>asked</w:t>
      </w:r>
      <w:r>
        <w:rPr>
          <w:spacing w:val="-5"/>
        </w:rPr>
        <w:t xml:space="preserve"> </w:t>
      </w:r>
      <w:r>
        <w:t>to</w:t>
      </w:r>
      <w:r>
        <w:rPr>
          <w:spacing w:val="-5"/>
        </w:rPr>
        <w:t xml:space="preserve"> </w:t>
      </w:r>
      <w:r>
        <w:t>provide</w:t>
      </w:r>
      <w:r>
        <w:rPr>
          <w:spacing w:val="-5"/>
        </w:rPr>
        <w:t xml:space="preserve"> </w:t>
      </w:r>
      <w:r>
        <w:t>information</w:t>
      </w:r>
      <w:r>
        <w:rPr>
          <w:spacing w:val="-5"/>
        </w:rPr>
        <w:t xml:space="preserve"> </w:t>
      </w:r>
      <w:r>
        <w:t>about</w:t>
      </w:r>
      <w:r>
        <w:rPr>
          <w:spacing w:val="-5"/>
        </w:rPr>
        <w:t xml:space="preserve"> </w:t>
      </w:r>
      <w:r>
        <w:t>the</w:t>
      </w:r>
      <w:r>
        <w:rPr>
          <w:spacing w:val="-5"/>
        </w:rPr>
        <w:t xml:space="preserve"> </w:t>
      </w:r>
      <w:r>
        <w:t>new</w:t>
      </w:r>
      <w:r>
        <w:rPr>
          <w:spacing w:val="-5"/>
        </w:rPr>
        <w:t xml:space="preserve"> </w:t>
      </w:r>
      <w:r>
        <w:t>schools</w:t>
      </w:r>
      <w:r>
        <w:rPr>
          <w:spacing w:val="-5"/>
        </w:rPr>
        <w:t xml:space="preserve"> </w:t>
      </w:r>
      <w:r>
        <w:t>not included in the file and grade span changes of existing schools.</w:t>
      </w:r>
      <w:r>
        <w:rPr>
          <w:spacing w:val="-3"/>
        </w:rPr>
        <w:t xml:space="preserve"> </w:t>
      </w:r>
      <w:r>
        <w:t xml:space="preserve">These listings were used as sampling frames for selection of new Catholic schools and updates of existing </w:t>
      </w:r>
      <w:r>
        <w:rPr>
          <w:spacing w:val="-2"/>
        </w:rPr>
        <w:t>schools.</w:t>
      </w:r>
    </w:p>
    <w:p w:rsidR="003F5784" w14:paraId="3DB22E74" w14:textId="77777777">
      <w:pPr>
        <w:pStyle w:val="BodyText"/>
        <w:spacing w:before="209" w:line="232" w:lineRule="auto"/>
        <w:ind w:left="109" w:right="179"/>
      </w:pPr>
      <w:r>
        <w:t>The</w:t>
      </w:r>
      <w:r>
        <w:rPr>
          <w:spacing w:val="-6"/>
        </w:rPr>
        <w:t xml:space="preserve"> </w:t>
      </w:r>
      <w:r>
        <w:t>following</w:t>
      </w:r>
      <w:r>
        <w:rPr>
          <w:spacing w:val="-6"/>
        </w:rPr>
        <w:t xml:space="preserve"> </w:t>
      </w:r>
      <w:r>
        <w:t>table</w:t>
      </w:r>
      <w:r>
        <w:rPr>
          <w:spacing w:val="-6"/>
        </w:rPr>
        <w:t xml:space="preserve"> </w:t>
      </w:r>
      <w:r>
        <w:t>presents</w:t>
      </w:r>
      <w:r>
        <w:rPr>
          <w:spacing w:val="-6"/>
        </w:rPr>
        <w:t xml:space="preserve"> </w:t>
      </w:r>
      <w:r>
        <w:t>the</w:t>
      </w:r>
      <w:r>
        <w:rPr>
          <w:spacing w:val="-6"/>
        </w:rPr>
        <w:t xml:space="preserve"> </w:t>
      </w:r>
      <w:r>
        <w:t>number</w:t>
      </w:r>
      <w:r>
        <w:rPr>
          <w:spacing w:val="-6"/>
        </w:rPr>
        <w:t xml:space="preserve"> </w:t>
      </w:r>
      <w:r>
        <w:t>and</w:t>
      </w:r>
      <w:r>
        <w:rPr>
          <w:spacing w:val="-6"/>
        </w:rPr>
        <w:t xml:space="preserve"> </w:t>
      </w:r>
      <w:r>
        <w:t>percentage</w:t>
      </w:r>
      <w:r>
        <w:rPr>
          <w:spacing w:val="-6"/>
        </w:rPr>
        <w:t xml:space="preserve"> </w:t>
      </w:r>
      <w:r>
        <w:t>of</w:t>
      </w:r>
      <w:r>
        <w:rPr>
          <w:spacing w:val="-6"/>
        </w:rPr>
        <w:t xml:space="preserve"> </w:t>
      </w:r>
      <w:r>
        <w:t>schools</w:t>
      </w:r>
      <w:r>
        <w:rPr>
          <w:spacing w:val="-6"/>
        </w:rPr>
        <w:t xml:space="preserve"> </w:t>
      </w:r>
      <w:r>
        <w:t>and</w:t>
      </w:r>
      <w:r>
        <w:rPr>
          <w:spacing w:val="-6"/>
        </w:rPr>
        <w:t xml:space="preserve"> </w:t>
      </w:r>
      <w:r>
        <w:t>average</w:t>
      </w:r>
      <w:r>
        <w:rPr>
          <w:spacing w:val="-6"/>
        </w:rPr>
        <w:t xml:space="preserve"> </w:t>
      </w:r>
      <w:r>
        <w:t>estimated</w:t>
      </w:r>
      <w:r>
        <w:rPr>
          <w:spacing w:val="-6"/>
        </w:rPr>
        <w:t xml:space="preserve"> </w:t>
      </w:r>
      <w:r>
        <w:t>grade</w:t>
      </w:r>
      <w:r>
        <w:rPr>
          <w:spacing w:val="-6"/>
        </w:rPr>
        <w:t xml:space="preserve"> </w:t>
      </w:r>
      <w:r>
        <w:t>enrollment</w:t>
      </w:r>
      <w:r>
        <w:rPr>
          <w:spacing w:val="-6"/>
        </w:rPr>
        <w:t xml:space="preserve"> </w:t>
      </w:r>
      <w:r>
        <w:t>for</w:t>
      </w:r>
      <w:r>
        <w:rPr>
          <w:spacing w:val="-6"/>
        </w:rPr>
        <w:t xml:space="preserve"> </w:t>
      </w:r>
      <w:r>
        <w:t>the</w:t>
      </w:r>
      <w:r>
        <w:rPr>
          <w:spacing w:val="-6"/>
        </w:rPr>
        <w:t xml:space="preserve"> </w:t>
      </w:r>
      <w:r>
        <w:t>fourth-</w:t>
      </w:r>
      <w:r>
        <w:rPr>
          <w:spacing w:val="-6"/>
        </w:rPr>
        <w:t xml:space="preserve"> </w:t>
      </w:r>
      <w:r>
        <w:t>and</w:t>
      </w:r>
      <w:r>
        <w:rPr>
          <w:spacing w:val="-6"/>
        </w:rPr>
        <w:t xml:space="preserve"> </w:t>
      </w:r>
      <w:r>
        <w:t>eighth-grade</w:t>
      </w:r>
      <w:r>
        <w:rPr>
          <w:spacing w:val="-6"/>
        </w:rPr>
        <w:t xml:space="preserve"> </w:t>
      </w:r>
      <w:r>
        <w:t>"new-school"</w:t>
      </w:r>
      <w:r>
        <w:rPr>
          <w:spacing w:val="-6"/>
        </w:rPr>
        <w:t xml:space="preserve"> </w:t>
      </w:r>
      <w:r>
        <w:t>frame</w:t>
      </w:r>
      <w:r>
        <w:rPr>
          <w:spacing w:val="-6"/>
        </w:rPr>
        <w:t xml:space="preserve"> </w:t>
      </w:r>
      <w:r>
        <w:t>by</w:t>
      </w:r>
      <w:r>
        <w:rPr>
          <w:spacing w:val="-6"/>
        </w:rPr>
        <w:t xml:space="preserve"> </w:t>
      </w:r>
      <w:r>
        <w:t>census region.</w:t>
      </w:r>
      <w:r>
        <w:rPr>
          <w:spacing w:val="40"/>
        </w:rPr>
        <w:t xml:space="preserve"> </w:t>
      </w:r>
      <w:r>
        <w:t>There were no new schools in Midwest region.</w:t>
      </w:r>
    </w:p>
    <w:p w:rsidR="003F5784" w14:paraId="77ACEEAE" w14:textId="77777777">
      <w:pPr>
        <w:pStyle w:val="BodyText"/>
        <w:spacing w:before="98"/>
      </w:pPr>
    </w:p>
    <w:p w:rsidR="003F5784" w14:paraId="404D818C" w14:textId="77777777">
      <w:pPr>
        <w:pStyle w:val="Heading2"/>
        <w:spacing w:line="232" w:lineRule="auto"/>
        <w:ind w:left="2436" w:right="2245"/>
      </w:pPr>
      <w:r>
        <w:t>Number</w:t>
      </w:r>
      <w:r>
        <w:rPr>
          <w:spacing w:val="-11"/>
        </w:rPr>
        <w:t xml:space="preserve"> </w:t>
      </w:r>
      <w:r>
        <w:t>and</w:t>
      </w:r>
      <w:r>
        <w:rPr>
          <w:spacing w:val="-7"/>
        </w:rPr>
        <w:t xml:space="preserve"> </w:t>
      </w:r>
      <w:r>
        <w:t>percentage</w:t>
      </w:r>
      <w:r>
        <w:rPr>
          <w:spacing w:val="-7"/>
        </w:rPr>
        <w:t xml:space="preserve"> </w:t>
      </w:r>
      <w:r>
        <w:t>of</w:t>
      </w:r>
      <w:r>
        <w:rPr>
          <w:spacing w:val="-7"/>
        </w:rPr>
        <w:t xml:space="preserve"> </w:t>
      </w:r>
      <w:r>
        <w:t>schools</w:t>
      </w:r>
      <w:r>
        <w:rPr>
          <w:spacing w:val="-7"/>
        </w:rPr>
        <w:t xml:space="preserve"> </w:t>
      </w:r>
      <w:r>
        <w:t>and</w:t>
      </w:r>
      <w:r>
        <w:rPr>
          <w:spacing w:val="-7"/>
        </w:rPr>
        <w:t xml:space="preserve"> </w:t>
      </w:r>
      <w:r>
        <w:t>mean</w:t>
      </w:r>
      <w:r>
        <w:rPr>
          <w:spacing w:val="-7"/>
        </w:rPr>
        <w:t xml:space="preserve"> </w:t>
      </w:r>
      <w:r>
        <w:t>school</w:t>
      </w:r>
      <w:r>
        <w:rPr>
          <w:spacing w:val="-7"/>
        </w:rPr>
        <w:t xml:space="preserve"> </w:t>
      </w:r>
      <w:r>
        <w:t>size</w:t>
      </w:r>
      <w:r>
        <w:rPr>
          <w:spacing w:val="-7"/>
        </w:rPr>
        <w:t xml:space="preserve"> </w:t>
      </w:r>
      <w:r>
        <w:t>in</w:t>
      </w:r>
      <w:r>
        <w:rPr>
          <w:spacing w:val="-7"/>
        </w:rPr>
        <w:t xml:space="preserve"> </w:t>
      </w:r>
      <w:r>
        <w:t>the</w:t>
      </w:r>
      <w:r>
        <w:rPr>
          <w:spacing w:val="-7"/>
        </w:rPr>
        <w:t xml:space="preserve"> </w:t>
      </w:r>
      <w:r>
        <w:t>new-school</w:t>
      </w:r>
      <w:r>
        <w:rPr>
          <w:spacing w:val="-7"/>
        </w:rPr>
        <w:t xml:space="preserve"> </w:t>
      </w:r>
      <w:r>
        <w:t>frame,</w:t>
      </w:r>
      <w:r>
        <w:rPr>
          <w:spacing w:val="-7"/>
        </w:rPr>
        <w:t xml:space="preserve"> </w:t>
      </w:r>
      <w:r>
        <w:t>national</w:t>
      </w:r>
      <w:r>
        <w:rPr>
          <w:spacing w:val="-7"/>
        </w:rPr>
        <w:t xml:space="preserve"> </w:t>
      </w:r>
      <w:r>
        <w:t>private</w:t>
      </w:r>
      <w:r>
        <w:rPr>
          <w:spacing w:val="-7"/>
        </w:rPr>
        <w:t xml:space="preserve"> </w:t>
      </w:r>
      <w:r>
        <w:t>assessment,</w:t>
      </w:r>
      <w:r>
        <w:rPr>
          <w:spacing w:val="-7"/>
        </w:rPr>
        <w:t xml:space="preserve"> </w:t>
      </w:r>
      <w:r>
        <w:t>by grade and census region: 2022</w:t>
      </w:r>
    </w:p>
    <w:p w:rsidR="003F5784" w14:paraId="786FA6E8" w14:textId="77777777">
      <w:pPr>
        <w:pStyle w:val="BodyText"/>
        <w:spacing w:before="1"/>
        <w:rPr>
          <w:b/>
          <w:sz w:val="12"/>
        </w:rPr>
      </w:pPr>
    </w:p>
    <w:tbl>
      <w:tblPr>
        <w:tblW w:w="0" w:type="auto"/>
        <w:tblInd w:w="2450" w:type="dxa"/>
        <w:tblLayout w:type="fixed"/>
        <w:tblCellMar>
          <w:left w:w="0" w:type="dxa"/>
          <w:right w:w="0" w:type="dxa"/>
        </w:tblCellMar>
        <w:tblLook w:val="01E0"/>
      </w:tblPr>
      <w:tblGrid>
        <w:gridCol w:w="1864"/>
        <w:gridCol w:w="1314"/>
        <w:gridCol w:w="1395"/>
        <w:gridCol w:w="1515"/>
        <w:gridCol w:w="1191"/>
        <w:gridCol w:w="1395"/>
        <w:gridCol w:w="1392"/>
      </w:tblGrid>
      <w:tr w14:paraId="7A037B2A" w14:textId="77777777">
        <w:tblPrEx>
          <w:tblW w:w="0" w:type="auto"/>
          <w:tblInd w:w="2450" w:type="dxa"/>
          <w:tblLayout w:type="fixed"/>
          <w:tblCellMar>
            <w:left w:w="0" w:type="dxa"/>
            <w:right w:w="0" w:type="dxa"/>
          </w:tblCellMar>
          <w:tblLook w:val="01E0"/>
        </w:tblPrEx>
        <w:trPr>
          <w:trHeight w:val="261"/>
        </w:trPr>
        <w:tc>
          <w:tcPr>
            <w:tcW w:w="1864" w:type="dxa"/>
            <w:vMerge w:val="restart"/>
            <w:tcBorders>
              <w:top w:val="single" w:sz="18" w:space="0" w:color="800000"/>
              <w:bottom w:val="single" w:sz="18" w:space="0" w:color="800000"/>
            </w:tcBorders>
          </w:tcPr>
          <w:p w:rsidR="003F5784" w14:paraId="6E630452" w14:textId="77777777">
            <w:pPr>
              <w:pStyle w:val="TableParagraph"/>
              <w:spacing w:before="0"/>
              <w:jc w:val="left"/>
              <w:rPr>
                <w:b/>
                <w:sz w:val="21"/>
              </w:rPr>
            </w:pPr>
          </w:p>
          <w:p w:rsidR="003F5784" w14:paraId="67A9A94F" w14:textId="77777777">
            <w:pPr>
              <w:pStyle w:val="TableParagraph"/>
              <w:spacing w:before="60"/>
              <w:jc w:val="left"/>
              <w:rPr>
                <w:b/>
                <w:sz w:val="21"/>
              </w:rPr>
            </w:pPr>
          </w:p>
          <w:p w:rsidR="003F5784" w14:paraId="72D12EB6" w14:textId="77777777">
            <w:pPr>
              <w:pStyle w:val="TableParagraph"/>
              <w:spacing w:before="1" w:line="238" w:lineRule="exact"/>
              <w:ind w:left="111"/>
              <w:jc w:val="left"/>
              <w:rPr>
                <w:sz w:val="21"/>
              </w:rPr>
            </w:pPr>
            <w:r>
              <w:rPr>
                <w:sz w:val="21"/>
              </w:rPr>
              <w:t>Census</w:t>
            </w:r>
            <w:r>
              <w:rPr>
                <w:spacing w:val="-8"/>
                <w:sz w:val="21"/>
              </w:rPr>
              <w:t xml:space="preserve"> </w:t>
            </w:r>
            <w:r>
              <w:rPr>
                <w:spacing w:val="-2"/>
                <w:sz w:val="21"/>
              </w:rPr>
              <w:t>region</w:t>
            </w:r>
          </w:p>
        </w:tc>
        <w:tc>
          <w:tcPr>
            <w:tcW w:w="4224" w:type="dxa"/>
            <w:gridSpan w:val="3"/>
            <w:tcBorders>
              <w:top w:val="single" w:sz="18" w:space="0" w:color="800000"/>
              <w:bottom w:val="single" w:sz="12" w:space="0" w:color="800000"/>
            </w:tcBorders>
          </w:tcPr>
          <w:p w:rsidR="003F5784" w14:paraId="5DF9F55A" w14:textId="77777777">
            <w:pPr>
              <w:pStyle w:val="TableParagraph"/>
              <w:spacing w:before="9" w:line="232" w:lineRule="exact"/>
              <w:ind w:right="136"/>
              <w:jc w:val="center"/>
              <w:rPr>
                <w:sz w:val="21"/>
              </w:rPr>
            </w:pPr>
            <w:r>
              <w:rPr>
                <w:sz w:val="21"/>
              </w:rPr>
              <w:t>Grade</w:t>
            </w:r>
            <w:r>
              <w:rPr>
                <w:spacing w:val="-7"/>
                <w:sz w:val="21"/>
              </w:rPr>
              <w:t xml:space="preserve"> </w:t>
            </w:r>
            <w:r>
              <w:rPr>
                <w:spacing w:val="-10"/>
                <w:sz w:val="21"/>
              </w:rPr>
              <w:t>4</w:t>
            </w:r>
          </w:p>
        </w:tc>
        <w:tc>
          <w:tcPr>
            <w:tcW w:w="3978" w:type="dxa"/>
            <w:gridSpan w:val="3"/>
            <w:tcBorders>
              <w:top w:val="single" w:sz="18" w:space="0" w:color="800000"/>
              <w:bottom w:val="single" w:sz="12" w:space="0" w:color="800000"/>
            </w:tcBorders>
          </w:tcPr>
          <w:p w:rsidR="003F5784" w14:paraId="594653A3" w14:textId="77777777">
            <w:pPr>
              <w:pStyle w:val="TableParagraph"/>
              <w:spacing w:before="9" w:line="232" w:lineRule="exact"/>
              <w:ind w:right="140"/>
              <w:jc w:val="center"/>
              <w:rPr>
                <w:sz w:val="21"/>
              </w:rPr>
            </w:pPr>
            <w:r>
              <w:rPr>
                <w:sz w:val="21"/>
              </w:rPr>
              <w:t>Grade</w:t>
            </w:r>
            <w:r>
              <w:rPr>
                <w:spacing w:val="-7"/>
                <w:sz w:val="21"/>
              </w:rPr>
              <w:t xml:space="preserve"> </w:t>
            </w:r>
            <w:r>
              <w:rPr>
                <w:spacing w:val="-10"/>
                <w:sz w:val="21"/>
              </w:rPr>
              <w:t>8</w:t>
            </w:r>
          </w:p>
        </w:tc>
      </w:tr>
      <w:tr w14:paraId="2E6DE388" w14:textId="77777777">
        <w:tblPrEx>
          <w:tblW w:w="0" w:type="auto"/>
          <w:tblInd w:w="2450" w:type="dxa"/>
          <w:tblLayout w:type="fixed"/>
          <w:tblCellMar>
            <w:left w:w="0" w:type="dxa"/>
            <w:right w:w="0" w:type="dxa"/>
          </w:tblCellMar>
          <w:tblLook w:val="01E0"/>
        </w:tblPrEx>
        <w:trPr>
          <w:trHeight w:val="495"/>
        </w:trPr>
        <w:tc>
          <w:tcPr>
            <w:tcW w:w="1864" w:type="dxa"/>
            <w:vMerge/>
            <w:tcBorders>
              <w:top w:val="nil"/>
              <w:bottom w:val="single" w:sz="18" w:space="0" w:color="800000"/>
            </w:tcBorders>
          </w:tcPr>
          <w:p w:rsidR="003F5784" w14:paraId="7298EA1F" w14:textId="77777777">
            <w:pPr>
              <w:rPr>
                <w:sz w:val="2"/>
                <w:szCs w:val="2"/>
              </w:rPr>
            </w:pPr>
          </w:p>
        </w:tc>
        <w:tc>
          <w:tcPr>
            <w:tcW w:w="1314" w:type="dxa"/>
            <w:tcBorders>
              <w:top w:val="single" w:sz="12" w:space="0" w:color="800000"/>
              <w:bottom w:val="single" w:sz="18" w:space="0" w:color="800000"/>
            </w:tcBorders>
          </w:tcPr>
          <w:p w:rsidR="003F5784" w14:paraId="6F5AAECE" w14:textId="77777777">
            <w:pPr>
              <w:pStyle w:val="TableParagraph"/>
              <w:spacing w:before="237" w:line="238" w:lineRule="exact"/>
              <w:ind w:right="282"/>
              <w:rPr>
                <w:sz w:val="21"/>
              </w:rPr>
            </w:pPr>
            <w:r>
              <w:rPr>
                <w:spacing w:val="-2"/>
                <w:sz w:val="21"/>
              </w:rPr>
              <w:t>Schools</w:t>
            </w:r>
          </w:p>
        </w:tc>
        <w:tc>
          <w:tcPr>
            <w:tcW w:w="1395" w:type="dxa"/>
            <w:tcBorders>
              <w:top w:val="single" w:sz="12" w:space="0" w:color="800000"/>
              <w:bottom w:val="single" w:sz="18" w:space="0" w:color="800000"/>
            </w:tcBorders>
          </w:tcPr>
          <w:p w:rsidR="003F5784" w14:paraId="04F1054F" w14:textId="77777777">
            <w:pPr>
              <w:pStyle w:val="TableParagraph"/>
              <w:spacing w:before="237" w:line="238" w:lineRule="exact"/>
              <w:ind w:right="195"/>
              <w:rPr>
                <w:sz w:val="21"/>
              </w:rPr>
            </w:pPr>
            <w:r>
              <w:rPr>
                <w:spacing w:val="-2"/>
                <w:sz w:val="21"/>
              </w:rPr>
              <w:t>Percentage</w:t>
            </w:r>
          </w:p>
        </w:tc>
        <w:tc>
          <w:tcPr>
            <w:tcW w:w="1515" w:type="dxa"/>
            <w:tcBorders>
              <w:top w:val="single" w:sz="12" w:space="0" w:color="800000"/>
              <w:bottom w:val="single" w:sz="18" w:space="0" w:color="800000"/>
            </w:tcBorders>
          </w:tcPr>
          <w:p w:rsidR="003F5784" w14:paraId="2D654D8A" w14:textId="77777777">
            <w:pPr>
              <w:pStyle w:val="TableParagraph"/>
              <w:spacing w:before="3" w:line="238" w:lineRule="exact"/>
              <w:ind w:right="247"/>
              <w:rPr>
                <w:sz w:val="21"/>
              </w:rPr>
            </w:pPr>
            <w:r>
              <w:rPr>
                <w:sz w:val="21"/>
              </w:rPr>
              <w:t>Mean</w:t>
            </w:r>
            <w:r>
              <w:rPr>
                <w:spacing w:val="-6"/>
                <w:sz w:val="21"/>
              </w:rPr>
              <w:t xml:space="preserve"> </w:t>
            </w:r>
            <w:r>
              <w:rPr>
                <w:spacing w:val="-2"/>
                <w:sz w:val="21"/>
              </w:rPr>
              <w:t>school</w:t>
            </w:r>
          </w:p>
          <w:p w:rsidR="003F5784" w14:paraId="225C768F" w14:textId="77777777">
            <w:pPr>
              <w:pStyle w:val="TableParagraph"/>
              <w:spacing w:before="0" w:line="235" w:lineRule="exact"/>
              <w:ind w:right="247"/>
              <w:rPr>
                <w:sz w:val="21"/>
              </w:rPr>
            </w:pPr>
            <w:r>
              <w:rPr>
                <w:spacing w:val="-4"/>
                <w:sz w:val="21"/>
              </w:rPr>
              <w:t>size</w:t>
            </w:r>
          </w:p>
        </w:tc>
        <w:tc>
          <w:tcPr>
            <w:tcW w:w="1191" w:type="dxa"/>
            <w:tcBorders>
              <w:top w:val="single" w:sz="12" w:space="0" w:color="800000"/>
              <w:bottom w:val="single" w:sz="18" w:space="0" w:color="800000"/>
            </w:tcBorders>
          </w:tcPr>
          <w:p w:rsidR="003F5784" w14:paraId="503D141B" w14:textId="77777777">
            <w:pPr>
              <w:pStyle w:val="TableParagraph"/>
              <w:spacing w:before="237" w:line="238" w:lineRule="exact"/>
              <w:ind w:right="284"/>
              <w:rPr>
                <w:sz w:val="21"/>
              </w:rPr>
            </w:pPr>
            <w:r>
              <w:rPr>
                <w:spacing w:val="-2"/>
                <w:sz w:val="21"/>
              </w:rPr>
              <w:t>Schools</w:t>
            </w:r>
          </w:p>
        </w:tc>
        <w:tc>
          <w:tcPr>
            <w:tcW w:w="1395" w:type="dxa"/>
            <w:tcBorders>
              <w:top w:val="single" w:sz="12" w:space="0" w:color="800000"/>
              <w:bottom w:val="single" w:sz="18" w:space="0" w:color="800000"/>
            </w:tcBorders>
          </w:tcPr>
          <w:p w:rsidR="003F5784" w14:paraId="52392693" w14:textId="77777777">
            <w:pPr>
              <w:pStyle w:val="TableParagraph"/>
              <w:spacing w:before="237" w:line="238" w:lineRule="exact"/>
              <w:ind w:right="198"/>
              <w:rPr>
                <w:sz w:val="21"/>
              </w:rPr>
            </w:pPr>
            <w:r>
              <w:rPr>
                <w:spacing w:val="-2"/>
                <w:sz w:val="21"/>
              </w:rPr>
              <w:t>Percentage</w:t>
            </w:r>
          </w:p>
        </w:tc>
        <w:tc>
          <w:tcPr>
            <w:tcW w:w="1392" w:type="dxa"/>
            <w:tcBorders>
              <w:top w:val="single" w:sz="12" w:space="0" w:color="800000"/>
              <w:bottom w:val="single" w:sz="18" w:space="0" w:color="800000"/>
            </w:tcBorders>
          </w:tcPr>
          <w:p w:rsidR="003F5784" w14:paraId="7589BC47" w14:textId="77777777">
            <w:pPr>
              <w:pStyle w:val="TableParagraph"/>
              <w:spacing w:before="3" w:line="238" w:lineRule="exact"/>
              <w:ind w:right="126"/>
              <w:rPr>
                <w:sz w:val="21"/>
              </w:rPr>
            </w:pPr>
            <w:r>
              <w:rPr>
                <w:sz w:val="21"/>
              </w:rPr>
              <w:t>Mean</w:t>
            </w:r>
            <w:r>
              <w:rPr>
                <w:spacing w:val="-6"/>
                <w:sz w:val="21"/>
              </w:rPr>
              <w:t xml:space="preserve"> </w:t>
            </w:r>
            <w:r>
              <w:rPr>
                <w:spacing w:val="-2"/>
                <w:sz w:val="21"/>
              </w:rPr>
              <w:t>school</w:t>
            </w:r>
          </w:p>
          <w:p w:rsidR="003F5784" w14:paraId="4008D8B1" w14:textId="77777777">
            <w:pPr>
              <w:pStyle w:val="TableParagraph"/>
              <w:spacing w:before="0" w:line="235" w:lineRule="exact"/>
              <w:ind w:right="126"/>
              <w:rPr>
                <w:sz w:val="21"/>
              </w:rPr>
            </w:pPr>
            <w:r>
              <w:rPr>
                <w:spacing w:val="-4"/>
                <w:sz w:val="21"/>
              </w:rPr>
              <w:t>size</w:t>
            </w:r>
          </w:p>
        </w:tc>
      </w:tr>
      <w:tr w14:paraId="472A8456" w14:textId="77777777">
        <w:tblPrEx>
          <w:tblW w:w="0" w:type="auto"/>
          <w:tblInd w:w="2450" w:type="dxa"/>
          <w:tblLayout w:type="fixed"/>
          <w:tblCellMar>
            <w:left w:w="0" w:type="dxa"/>
            <w:right w:w="0" w:type="dxa"/>
          </w:tblCellMar>
          <w:tblLook w:val="01E0"/>
        </w:tblPrEx>
        <w:trPr>
          <w:trHeight w:val="285"/>
        </w:trPr>
        <w:tc>
          <w:tcPr>
            <w:tcW w:w="1864" w:type="dxa"/>
            <w:tcBorders>
              <w:top w:val="single" w:sz="18" w:space="0" w:color="800000"/>
            </w:tcBorders>
          </w:tcPr>
          <w:p w:rsidR="003F5784" w14:paraId="48BE9B18" w14:textId="77777777">
            <w:pPr>
              <w:pStyle w:val="TableParagraph"/>
              <w:spacing w:before="9"/>
              <w:ind w:left="361"/>
              <w:jc w:val="left"/>
              <w:rPr>
                <w:b/>
                <w:sz w:val="21"/>
              </w:rPr>
            </w:pPr>
            <w:r>
              <w:rPr>
                <w:b/>
                <w:spacing w:val="-2"/>
                <w:sz w:val="21"/>
              </w:rPr>
              <w:t>Total</w:t>
            </w:r>
          </w:p>
        </w:tc>
        <w:tc>
          <w:tcPr>
            <w:tcW w:w="1314" w:type="dxa"/>
            <w:tcBorders>
              <w:top w:val="single" w:sz="18" w:space="0" w:color="800000"/>
            </w:tcBorders>
          </w:tcPr>
          <w:p w:rsidR="003F5784" w14:paraId="5350B485" w14:textId="77777777">
            <w:pPr>
              <w:pStyle w:val="TableParagraph"/>
              <w:spacing w:before="9"/>
              <w:ind w:right="282"/>
              <w:rPr>
                <w:b/>
                <w:sz w:val="21"/>
              </w:rPr>
            </w:pPr>
            <w:r>
              <w:rPr>
                <w:b/>
                <w:spacing w:val="-5"/>
                <w:sz w:val="21"/>
              </w:rPr>
              <w:t>14</w:t>
            </w:r>
          </w:p>
        </w:tc>
        <w:tc>
          <w:tcPr>
            <w:tcW w:w="1395" w:type="dxa"/>
            <w:tcBorders>
              <w:top w:val="single" w:sz="18" w:space="0" w:color="800000"/>
            </w:tcBorders>
          </w:tcPr>
          <w:p w:rsidR="003F5784" w14:paraId="5A2A331F" w14:textId="77777777">
            <w:pPr>
              <w:pStyle w:val="TableParagraph"/>
              <w:spacing w:before="9"/>
              <w:ind w:right="195"/>
              <w:rPr>
                <w:b/>
                <w:sz w:val="21"/>
              </w:rPr>
            </w:pPr>
            <w:r>
              <w:rPr>
                <w:b/>
                <w:spacing w:val="-2"/>
                <w:sz w:val="21"/>
              </w:rPr>
              <w:t>100.00</w:t>
            </w:r>
          </w:p>
        </w:tc>
        <w:tc>
          <w:tcPr>
            <w:tcW w:w="1515" w:type="dxa"/>
            <w:tcBorders>
              <w:top w:val="single" w:sz="18" w:space="0" w:color="800000"/>
            </w:tcBorders>
          </w:tcPr>
          <w:p w:rsidR="003F5784" w14:paraId="1FF8202E" w14:textId="77777777">
            <w:pPr>
              <w:pStyle w:val="TableParagraph"/>
              <w:spacing w:before="9"/>
              <w:ind w:right="247"/>
              <w:rPr>
                <w:b/>
                <w:sz w:val="21"/>
              </w:rPr>
            </w:pPr>
            <w:r>
              <w:rPr>
                <w:b/>
                <w:spacing w:val="-5"/>
                <w:sz w:val="21"/>
              </w:rPr>
              <w:t>35</w:t>
            </w:r>
          </w:p>
        </w:tc>
        <w:tc>
          <w:tcPr>
            <w:tcW w:w="1191" w:type="dxa"/>
            <w:tcBorders>
              <w:top w:val="single" w:sz="18" w:space="0" w:color="800000"/>
            </w:tcBorders>
          </w:tcPr>
          <w:p w:rsidR="003F5784" w14:paraId="0CF7381D" w14:textId="77777777">
            <w:pPr>
              <w:pStyle w:val="TableParagraph"/>
              <w:spacing w:before="9"/>
              <w:ind w:right="284"/>
              <w:rPr>
                <w:b/>
                <w:sz w:val="21"/>
              </w:rPr>
            </w:pPr>
            <w:r>
              <w:rPr>
                <w:b/>
                <w:spacing w:val="-5"/>
                <w:sz w:val="21"/>
              </w:rPr>
              <w:t>16</w:t>
            </w:r>
          </w:p>
        </w:tc>
        <w:tc>
          <w:tcPr>
            <w:tcW w:w="1395" w:type="dxa"/>
            <w:tcBorders>
              <w:top w:val="single" w:sz="18" w:space="0" w:color="800000"/>
            </w:tcBorders>
          </w:tcPr>
          <w:p w:rsidR="003F5784" w14:paraId="03307B3E" w14:textId="77777777">
            <w:pPr>
              <w:pStyle w:val="TableParagraph"/>
              <w:spacing w:before="9"/>
              <w:ind w:right="198"/>
              <w:rPr>
                <w:b/>
                <w:sz w:val="21"/>
              </w:rPr>
            </w:pPr>
            <w:r>
              <w:rPr>
                <w:b/>
                <w:spacing w:val="-2"/>
                <w:sz w:val="21"/>
              </w:rPr>
              <w:t>100.00</w:t>
            </w:r>
          </w:p>
        </w:tc>
        <w:tc>
          <w:tcPr>
            <w:tcW w:w="1392" w:type="dxa"/>
            <w:tcBorders>
              <w:top w:val="single" w:sz="18" w:space="0" w:color="800000"/>
            </w:tcBorders>
          </w:tcPr>
          <w:p w:rsidR="003F5784" w14:paraId="75F4B0AB" w14:textId="77777777">
            <w:pPr>
              <w:pStyle w:val="TableParagraph"/>
              <w:spacing w:before="9"/>
              <w:ind w:right="126"/>
              <w:rPr>
                <w:b/>
                <w:sz w:val="21"/>
              </w:rPr>
            </w:pPr>
            <w:r>
              <w:rPr>
                <w:b/>
                <w:spacing w:val="-5"/>
                <w:sz w:val="21"/>
              </w:rPr>
              <w:t>35</w:t>
            </w:r>
          </w:p>
        </w:tc>
      </w:tr>
      <w:tr w14:paraId="5B9E4CCC" w14:textId="77777777">
        <w:tblPrEx>
          <w:tblW w:w="0" w:type="auto"/>
          <w:tblInd w:w="2450" w:type="dxa"/>
          <w:tblLayout w:type="fixed"/>
          <w:tblCellMar>
            <w:left w:w="0" w:type="dxa"/>
            <w:right w:w="0" w:type="dxa"/>
          </w:tblCellMar>
          <w:tblLook w:val="01E0"/>
        </w:tblPrEx>
        <w:trPr>
          <w:trHeight w:val="293"/>
        </w:trPr>
        <w:tc>
          <w:tcPr>
            <w:tcW w:w="1864" w:type="dxa"/>
          </w:tcPr>
          <w:p w:rsidR="003F5784" w14:paraId="4523BD85" w14:textId="77777777">
            <w:pPr>
              <w:pStyle w:val="TableParagraph"/>
              <w:spacing w:before="24"/>
              <w:ind w:left="111"/>
              <w:jc w:val="left"/>
              <w:rPr>
                <w:sz w:val="21"/>
              </w:rPr>
            </w:pPr>
            <w:r>
              <w:rPr>
                <w:spacing w:val="-2"/>
                <w:sz w:val="21"/>
              </w:rPr>
              <w:t>Northeast</w:t>
            </w:r>
          </w:p>
        </w:tc>
        <w:tc>
          <w:tcPr>
            <w:tcW w:w="1314" w:type="dxa"/>
          </w:tcPr>
          <w:p w:rsidR="003F5784" w14:paraId="072A6ED6" w14:textId="77777777">
            <w:pPr>
              <w:pStyle w:val="TableParagraph"/>
              <w:spacing w:before="24"/>
              <w:ind w:right="282"/>
              <w:rPr>
                <w:sz w:val="21"/>
              </w:rPr>
            </w:pPr>
            <w:r>
              <w:rPr>
                <w:spacing w:val="-5"/>
                <w:sz w:val="21"/>
              </w:rPr>
              <w:t>10</w:t>
            </w:r>
          </w:p>
        </w:tc>
        <w:tc>
          <w:tcPr>
            <w:tcW w:w="1395" w:type="dxa"/>
          </w:tcPr>
          <w:p w:rsidR="003F5784" w14:paraId="01EAC137" w14:textId="77777777">
            <w:pPr>
              <w:pStyle w:val="TableParagraph"/>
              <w:spacing w:before="24"/>
              <w:ind w:right="195"/>
              <w:rPr>
                <w:sz w:val="21"/>
              </w:rPr>
            </w:pPr>
            <w:r>
              <w:rPr>
                <w:spacing w:val="-2"/>
                <w:sz w:val="21"/>
              </w:rPr>
              <w:t>71.43</w:t>
            </w:r>
          </w:p>
        </w:tc>
        <w:tc>
          <w:tcPr>
            <w:tcW w:w="1515" w:type="dxa"/>
          </w:tcPr>
          <w:p w:rsidR="003F5784" w14:paraId="26031AAC" w14:textId="77777777">
            <w:pPr>
              <w:pStyle w:val="TableParagraph"/>
              <w:spacing w:before="24"/>
              <w:ind w:right="247"/>
              <w:rPr>
                <w:sz w:val="21"/>
              </w:rPr>
            </w:pPr>
            <w:r>
              <w:rPr>
                <w:spacing w:val="-5"/>
                <w:sz w:val="21"/>
              </w:rPr>
              <w:t>41</w:t>
            </w:r>
          </w:p>
        </w:tc>
        <w:tc>
          <w:tcPr>
            <w:tcW w:w="1191" w:type="dxa"/>
          </w:tcPr>
          <w:p w:rsidR="003F5784" w14:paraId="6022FB19" w14:textId="77777777">
            <w:pPr>
              <w:pStyle w:val="TableParagraph"/>
              <w:spacing w:before="24"/>
              <w:ind w:right="284"/>
              <w:rPr>
                <w:sz w:val="21"/>
              </w:rPr>
            </w:pPr>
            <w:r>
              <w:rPr>
                <w:spacing w:val="-5"/>
                <w:sz w:val="21"/>
              </w:rPr>
              <w:t>11</w:t>
            </w:r>
          </w:p>
        </w:tc>
        <w:tc>
          <w:tcPr>
            <w:tcW w:w="1395" w:type="dxa"/>
          </w:tcPr>
          <w:p w:rsidR="003F5784" w14:paraId="3907CAEB" w14:textId="77777777">
            <w:pPr>
              <w:pStyle w:val="TableParagraph"/>
              <w:spacing w:before="24"/>
              <w:ind w:right="198"/>
              <w:rPr>
                <w:sz w:val="21"/>
              </w:rPr>
            </w:pPr>
            <w:r>
              <w:rPr>
                <w:spacing w:val="-2"/>
                <w:sz w:val="21"/>
              </w:rPr>
              <w:t>68.75</w:t>
            </w:r>
          </w:p>
        </w:tc>
        <w:tc>
          <w:tcPr>
            <w:tcW w:w="1392" w:type="dxa"/>
          </w:tcPr>
          <w:p w:rsidR="003F5784" w14:paraId="7B00753B" w14:textId="77777777">
            <w:pPr>
              <w:pStyle w:val="TableParagraph"/>
              <w:spacing w:before="24"/>
              <w:ind w:right="126"/>
              <w:rPr>
                <w:sz w:val="21"/>
              </w:rPr>
            </w:pPr>
            <w:r>
              <w:rPr>
                <w:spacing w:val="-5"/>
                <w:sz w:val="21"/>
              </w:rPr>
              <w:t>39</w:t>
            </w:r>
          </w:p>
        </w:tc>
      </w:tr>
      <w:tr w14:paraId="00C1CB32" w14:textId="77777777">
        <w:tblPrEx>
          <w:tblW w:w="0" w:type="auto"/>
          <w:tblInd w:w="2450" w:type="dxa"/>
          <w:tblLayout w:type="fixed"/>
          <w:tblCellMar>
            <w:left w:w="0" w:type="dxa"/>
            <w:right w:w="0" w:type="dxa"/>
          </w:tblCellMar>
          <w:tblLook w:val="01E0"/>
        </w:tblPrEx>
        <w:trPr>
          <w:trHeight w:val="286"/>
        </w:trPr>
        <w:tc>
          <w:tcPr>
            <w:tcW w:w="1864" w:type="dxa"/>
          </w:tcPr>
          <w:p w:rsidR="003F5784" w14:paraId="62F50B65" w14:textId="77777777">
            <w:pPr>
              <w:pStyle w:val="TableParagraph"/>
              <w:ind w:left="111"/>
              <w:jc w:val="left"/>
              <w:rPr>
                <w:sz w:val="21"/>
              </w:rPr>
            </w:pPr>
            <w:r>
              <w:rPr>
                <w:spacing w:val="-2"/>
                <w:sz w:val="21"/>
              </w:rPr>
              <w:t>Midwest</w:t>
            </w:r>
          </w:p>
        </w:tc>
        <w:tc>
          <w:tcPr>
            <w:tcW w:w="1314" w:type="dxa"/>
          </w:tcPr>
          <w:p w:rsidR="003F5784" w14:paraId="6DC300FF" w14:textId="77777777">
            <w:pPr>
              <w:pStyle w:val="TableParagraph"/>
              <w:ind w:right="282"/>
              <w:rPr>
                <w:sz w:val="21"/>
              </w:rPr>
            </w:pPr>
            <w:r>
              <w:rPr>
                <w:spacing w:val="-10"/>
                <w:sz w:val="21"/>
              </w:rPr>
              <w:t>0</w:t>
            </w:r>
          </w:p>
        </w:tc>
        <w:tc>
          <w:tcPr>
            <w:tcW w:w="1395" w:type="dxa"/>
          </w:tcPr>
          <w:p w:rsidR="003F5784" w14:paraId="6D0A38A3" w14:textId="77777777">
            <w:pPr>
              <w:pStyle w:val="TableParagraph"/>
              <w:ind w:right="195"/>
              <w:rPr>
                <w:sz w:val="21"/>
              </w:rPr>
            </w:pPr>
            <w:r>
              <w:rPr>
                <w:spacing w:val="-4"/>
                <w:sz w:val="21"/>
              </w:rPr>
              <w:t>0.00</w:t>
            </w:r>
          </w:p>
        </w:tc>
        <w:tc>
          <w:tcPr>
            <w:tcW w:w="1515" w:type="dxa"/>
          </w:tcPr>
          <w:p w:rsidR="003F5784" w14:paraId="3C2BA4C0" w14:textId="77777777">
            <w:pPr>
              <w:pStyle w:val="TableParagraph"/>
              <w:ind w:right="247"/>
              <w:rPr>
                <w:sz w:val="21"/>
              </w:rPr>
            </w:pPr>
            <w:r>
              <w:rPr>
                <w:spacing w:val="-10"/>
                <w:sz w:val="21"/>
              </w:rPr>
              <w:t>0</w:t>
            </w:r>
          </w:p>
        </w:tc>
        <w:tc>
          <w:tcPr>
            <w:tcW w:w="1191" w:type="dxa"/>
          </w:tcPr>
          <w:p w:rsidR="003F5784" w14:paraId="715C2400" w14:textId="77777777">
            <w:pPr>
              <w:pStyle w:val="TableParagraph"/>
              <w:ind w:right="284"/>
              <w:rPr>
                <w:sz w:val="21"/>
              </w:rPr>
            </w:pPr>
            <w:r>
              <w:rPr>
                <w:spacing w:val="-10"/>
                <w:sz w:val="21"/>
              </w:rPr>
              <w:t>0</w:t>
            </w:r>
          </w:p>
        </w:tc>
        <w:tc>
          <w:tcPr>
            <w:tcW w:w="1395" w:type="dxa"/>
          </w:tcPr>
          <w:p w:rsidR="003F5784" w14:paraId="76DE146D" w14:textId="77777777">
            <w:pPr>
              <w:pStyle w:val="TableParagraph"/>
              <w:ind w:right="198"/>
              <w:rPr>
                <w:sz w:val="21"/>
              </w:rPr>
            </w:pPr>
            <w:r>
              <w:rPr>
                <w:spacing w:val="-4"/>
                <w:sz w:val="21"/>
              </w:rPr>
              <w:t>0.00</w:t>
            </w:r>
          </w:p>
        </w:tc>
        <w:tc>
          <w:tcPr>
            <w:tcW w:w="1392" w:type="dxa"/>
          </w:tcPr>
          <w:p w:rsidR="003F5784" w14:paraId="40C28053" w14:textId="77777777">
            <w:pPr>
              <w:pStyle w:val="TableParagraph"/>
              <w:ind w:right="126"/>
              <w:rPr>
                <w:sz w:val="21"/>
              </w:rPr>
            </w:pPr>
            <w:r>
              <w:rPr>
                <w:spacing w:val="-10"/>
                <w:sz w:val="21"/>
              </w:rPr>
              <w:t>0</w:t>
            </w:r>
          </w:p>
        </w:tc>
      </w:tr>
      <w:tr w14:paraId="166CC053" w14:textId="77777777">
        <w:tblPrEx>
          <w:tblW w:w="0" w:type="auto"/>
          <w:tblInd w:w="2450" w:type="dxa"/>
          <w:tblLayout w:type="fixed"/>
          <w:tblCellMar>
            <w:left w:w="0" w:type="dxa"/>
            <w:right w:w="0" w:type="dxa"/>
          </w:tblCellMar>
          <w:tblLook w:val="01E0"/>
        </w:tblPrEx>
        <w:trPr>
          <w:trHeight w:val="286"/>
        </w:trPr>
        <w:tc>
          <w:tcPr>
            <w:tcW w:w="1864" w:type="dxa"/>
          </w:tcPr>
          <w:p w:rsidR="003F5784" w14:paraId="259CE4E1" w14:textId="77777777">
            <w:pPr>
              <w:pStyle w:val="TableParagraph"/>
              <w:ind w:left="111"/>
              <w:jc w:val="left"/>
              <w:rPr>
                <w:sz w:val="21"/>
              </w:rPr>
            </w:pPr>
            <w:r>
              <w:rPr>
                <w:spacing w:val="-2"/>
                <w:sz w:val="21"/>
              </w:rPr>
              <w:t>South</w:t>
            </w:r>
          </w:p>
        </w:tc>
        <w:tc>
          <w:tcPr>
            <w:tcW w:w="1314" w:type="dxa"/>
          </w:tcPr>
          <w:p w:rsidR="003F5784" w14:paraId="0F05498F" w14:textId="77777777">
            <w:pPr>
              <w:pStyle w:val="TableParagraph"/>
              <w:ind w:right="282"/>
              <w:rPr>
                <w:sz w:val="21"/>
              </w:rPr>
            </w:pPr>
            <w:r>
              <w:rPr>
                <w:spacing w:val="-10"/>
                <w:sz w:val="21"/>
              </w:rPr>
              <w:t>3</w:t>
            </w:r>
          </w:p>
        </w:tc>
        <w:tc>
          <w:tcPr>
            <w:tcW w:w="1395" w:type="dxa"/>
          </w:tcPr>
          <w:p w:rsidR="003F5784" w14:paraId="58E3AC4E" w14:textId="77777777">
            <w:pPr>
              <w:pStyle w:val="TableParagraph"/>
              <w:ind w:right="195"/>
              <w:rPr>
                <w:sz w:val="21"/>
              </w:rPr>
            </w:pPr>
            <w:r>
              <w:rPr>
                <w:spacing w:val="-2"/>
                <w:sz w:val="21"/>
              </w:rPr>
              <w:t>21.43</w:t>
            </w:r>
          </w:p>
        </w:tc>
        <w:tc>
          <w:tcPr>
            <w:tcW w:w="1515" w:type="dxa"/>
          </w:tcPr>
          <w:p w:rsidR="003F5784" w14:paraId="31561B1E" w14:textId="77777777">
            <w:pPr>
              <w:pStyle w:val="TableParagraph"/>
              <w:ind w:right="247"/>
              <w:rPr>
                <w:sz w:val="21"/>
              </w:rPr>
            </w:pPr>
            <w:r>
              <w:rPr>
                <w:spacing w:val="-5"/>
                <w:sz w:val="21"/>
              </w:rPr>
              <w:t>15</w:t>
            </w:r>
          </w:p>
        </w:tc>
        <w:tc>
          <w:tcPr>
            <w:tcW w:w="1191" w:type="dxa"/>
          </w:tcPr>
          <w:p w:rsidR="003F5784" w14:paraId="4F5B29E9" w14:textId="77777777">
            <w:pPr>
              <w:pStyle w:val="TableParagraph"/>
              <w:ind w:right="284"/>
              <w:rPr>
                <w:sz w:val="21"/>
              </w:rPr>
            </w:pPr>
            <w:r>
              <w:rPr>
                <w:spacing w:val="-10"/>
                <w:sz w:val="21"/>
              </w:rPr>
              <w:t>3</w:t>
            </w:r>
          </w:p>
        </w:tc>
        <w:tc>
          <w:tcPr>
            <w:tcW w:w="1395" w:type="dxa"/>
          </w:tcPr>
          <w:p w:rsidR="003F5784" w14:paraId="7763AB94" w14:textId="77777777">
            <w:pPr>
              <w:pStyle w:val="TableParagraph"/>
              <w:ind w:right="198"/>
              <w:rPr>
                <w:sz w:val="21"/>
              </w:rPr>
            </w:pPr>
            <w:r>
              <w:rPr>
                <w:spacing w:val="-2"/>
                <w:sz w:val="21"/>
              </w:rPr>
              <w:t>18.75</w:t>
            </w:r>
          </w:p>
        </w:tc>
        <w:tc>
          <w:tcPr>
            <w:tcW w:w="1392" w:type="dxa"/>
          </w:tcPr>
          <w:p w:rsidR="003F5784" w14:paraId="45BA4819" w14:textId="77777777">
            <w:pPr>
              <w:pStyle w:val="TableParagraph"/>
              <w:ind w:right="126"/>
              <w:rPr>
                <w:sz w:val="21"/>
              </w:rPr>
            </w:pPr>
            <w:r>
              <w:rPr>
                <w:spacing w:val="-5"/>
                <w:sz w:val="21"/>
              </w:rPr>
              <w:t>15</w:t>
            </w:r>
          </w:p>
        </w:tc>
      </w:tr>
      <w:tr w14:paraId="2E5C0A77" w14:textId="77777777">
        <w:tblPrEx>
          <w:tblW w:w="0" w:type="auto"/>
          <w:tblInd w:w="2450" w:type="dxa"/>
          <w:tblLayout w:type="fixed"/>
          <w:tblCellMar>
            <w:left w:w="0" w:type="dxa"/>
            <w:right w:w="0" w:type="dxa"/>
          </w:tblCellMar>
          <w:tblLook w:val="01E0"/>
        </w:tblPrEx>
        <w:trPr>
          <w:trHeight w:val="288"/>
        </w:trPr>
        <w:tc>
          <w:tcPr>
            <w:tcW w:w="1864" w:type="dxa"/>
            <w:tcBorders>
              <w:bottom w:val="single" w:sz="18" w:space="0" w:color="800000"/>
            </w:tcBorders>
          </w:tcPr>
          <w:p w:rsidR="003F5784" w14:paraId="651AF070" w14:textId="77777777">
            <w:pPr>
              <w:pStyle w:val="TableParagraph"/>
              <w:ind w:left="111"/>
              <w:jc w:val="left"/>
              <w:rPr>
                <w:sz w:val="21"/>
              </w:rPr>
            </w:pPr>
            <w:r>
              <w:rPr>
                <w:spacing w:val="-4"/>
                <w:sz w:val="21"/>
              </w:rPr>
              <w:t>West</w:t>
            </w:r>
          </w:p>
        </w:tc>
        <w:tc>
          <w:tcPr>
            <w:tcW w:w="1314" w:type="dxa"/>
            <w:tcBorders>
              <w:bottom w:val="single" w:sz="18" w:space="0" w:color="800000"/>
            </w:tcBorders>
          </w:tcPr>
          <w:p w:rsidR="003F5784" w14:paraId="5586F30B" w14:textId="77777777">
            <w:pPr>
              <w:pStyle w:val="TableParagraph"/>
              <w:ind w:right="282"/>
              <w:rPr>
                <w:sz w:val="21"/>
              </w:rPr>
            </w:pPr>
            <w:r>
              <w:rPr>
                <w:spacing w:val="-10"/>
                <w:sz w:val="21"/>
              </w:rPr>
              <w:t>1</w:t>
            </w:r>
          </w:p>
        </w:tc>
        <w:tc>
          <w:tcPr>
            <w:tcW w:w="1395" w:type="dxa"/>
            <w:tcBorders>
              <w:bottom w:val="single" w:sz="18" w:space="0" w:color="800000"/>
            </w:tcBorders>
          </w:tcPr>
          <w:p w:rsidR="003F5784" w14:paraId="3526DE97" w14:textId="77777777">
            <w:pPr>
              <w:pStyle w:val="TableParagraph"/>
              <w:ind w:right="195"/>
              <w:rPr>
                <w:sz w:val="21"/>
              </w:rPr>
            </w:pPr>
            <w:r>
              <w:rPr>
                <w:spacing w:val="-4"/>
                <w:sz w:val="21"/>
              </w:rPr>
              <w:t>7.14</w:t>
            </w:r>
          </w:p>
        </w:tc>
        <w:tc>
          <w:tcPr>
            <w:tcW w:w="1515" w:type="dxa"/>
            <w:tcBorders>
              <w:bottom w:val="single" w:sz="18" w:space="0" w:color="800000"/>
            </w:tcBorders>
          </w:tcPr>
          <w:p w:rsidR="003F5784" w14:paraId="2F36086B" w14:textId="77777777">
            <w:pPr>
              <w:pStyle w:val="TableParagraph"/>
              <w:ind w:right="247"/>
              <w:rPr>
                <w:sz w:val="21"/>
              </w:rPr>
            </w:pPr>
            <w:r>
              <w:rPr>
                <w:spacing w:val="-5"/>
                <w:sz w:val="21"/>
              </w:rPr>
              <w:t>35</w:t>
            </w:r>
          </w:p>
        </w:tc>
        <w:tc>
          <w:tcPr>
            <w:tcW w:w="1191" w:type="dxa"/>
            <w:tcBorders>
              <w:bottom w:val="single" w:sz="18" w:space="0" w:color="800000"/>
            </w:tcBorders>
          </w:tcPr>
          <w:p w:rsidR="003F5784" w14:paraId="46EDC83D" w14:textId="77777777">
            <w:pPr>
              <w:pStyle w:val="TableParagraph"/>
              <w:ind w:right="284"/>
              <w:rPr>
                <w:sz w:val="21"/>
              </w:rPr>
            </w:pPr>
            <w:r>
              <w:rPr>
                <w:spacing w:val="-10"/>
                <w:sz w:val="21"/>
              </w:rPr>
              <w:t>2</w:t>
            </w:r>
          </w:p>
        </w:tc>
        <w:tc>
          <w:tcPr>
            <w:tcW w:w="1395" w:type="dxa"/>
            <w:tcBorders>
              <w:bottom w:val="single" w:sz="18" w:space="0" w:color="800000"/>
            </w:tcBorders>
          </w:tcPr>
          <w:p w:rsidR="003F5784" w14:paraId="2B279E0F" w14:textId="77777777">
            <w:pPr>
              <w:pStyle w:val="TableParagraph"/>
              <w:ind w:right="198"/>
              <w:rPr>
                <w:sz w:val="21"/>
              </w:rPr>
            </w:pPr>
            <w:r>
              <w:rPr>
                <w:spacing w:val="-2"/>
                <w:sz w:val="21"/>
              </w:rPr>
              <w:t>12.50</w:t>
            </w:r>
          </w:p>
        </w:tc>
        <w:tc>
          <w:tcPr>
            <w:tcW w:w="1392" w:type="dxa"/>
            <w:tcBorders>
              <w:bottom w:val="single" w:sz="18" w:space="0" w:color="800000"/>
            </w:tcBorders>
          </w:tcPr>
          <w:p w:rsidR="003F5784" w14:paraId="29E76D62" w14:textId="77777777">
            <w:pPr>
              <w:pStyle w:val="TableParagraph"/>
              <w:ind w:right="126"/>
              <w:rPr>
                <w:sz w:val="21"/>
              </w:rPr>
            </w:pPr>
            <w:r>
              <w:rPr>
                <w:spacing w:val="-5"/>
                <w:sz w:val="21"/>
              </w:rPr>
              <w:t>39</w:t>
            </w:r>
          </w:p>
        </w:tc>
      </w:tr>
      <w:tr w14:paraId="50E3A795" w14:textId="77777777">
        <w:tblPrEx>
          <w:tblW w:w="0" w:type="auto"/>
          <w:tblInd w:w="2450" w:type="dxa"/>
          <w:tblLayout w:type="fixed"/>
          <w:tblCellMar>
            <w:left w:w="0" w:type="dxa"/>
            <w:right w:w="0" w:type="dxa"/>
          </w:tblCellMar>
          <w:tblLook w:val="01E0"/>
        </w:tblPrEx>
        <w:trPr>
          <w:trHeight w:val="237"/>
        </w:trPr>
        <w:tc>
          <w:tcPr>
            <w:tcW w:w="10066" w:type="dxa"/>
            <w:gridSpan w:val="7"/>
            <w:tcBorders>
              <w:top w:val="single" w:sz="18" w:space="0" w:color="800000"/>
            </w:tcBorders>
          </w:tcPr>
          <w:p w:rsidR="003F5784" w14:paraId="1C0A441C" w14:textId="77777777">
            <w:pPr>
              <w:pStyle w:val="TableParagraph"/>
              <w:spacing w:before="0" w:line="218" w:lineRule="exact"/>
              <w:ind w:left="111"/>
              <w:jc w:val="left"/>
              <w:rPr>
                <w:sz w:val="21"/>
              </w:rPr>
            </w:pPr>
            <w:r>
              <w:rPr>
                <w:sz w:val="21"/>
              </w:rPr>
              <w:t>NOTE:</w:t>
            </w:r>
            <w:r>
              <w:rPr>
                <w:spacing w:val="-5"/>
                <w:sz w:val="21"/>
              </w:rPr>
              <w:t xml:space="preserve"> </w:t>
            </w:r>
            <w:r>
              <w:rPr>
                <w:sz w:val="21"/>
              </w:rPr>
              <w:t>Detail</w:t>
            </w:r>
            <w:r>
              <w:rPr>
                <w:spacing w:val="-5"/>
                <w:sz w:val="21"/>
              </w:rPr>
              <w:t xml:space="preserve"> </w:t>
            </w:r>
            <w:r>
              <w:rPr>
                <w:sz w:val="21"/>
              </w:rPr>
              <w:t>may</w:t>
            </w:r>
            <w:r>
              <w:rPr>
                <w:spacing w:val="-5"/>
                <w:sz w:val="21"/>
              </w:rPr>
              <w:t xml:space="preserve"> </w:t>
            </w:r>
            <w:r>
              <w:rPr>
                <w:sz w:val="21"/>
              </w:rPr>
              <w:t>not</w:t>
            </w:r>
            <w:r>
              <w:rPr>
                <w:spacing w:val="-5"/>
                <w:sz w:val="21"/>
              </w:rPr>
              <w:t xml:space="preserve"> </w:t>
            </w:r>
            <w:r>
              <w:rPr>
                <w:sz w:val="21"/>
              </w:rPr>
              <w:t>sum</w:t>
            </w:r>
            <w:r>
              <w:rPr>
                <w:spacing w:val="-5"/>
                <w:sz w:val="21"/>
              </w:rPr>
              <w:t xml:space="preserve"> </w:t>
            </w:r>
            <w:r>
              <w:rPr>
                <w:sz w:val="21"/>
              </w:rPr>
              <w:t>to</w:t>
            </w:r>
            <w:r>
              <w:rPr>
                <w:spacing w:val="-5"/>
                <w:sz w:val="21"/>
              </w:rPr>
              <w:t xml:space="preserve"> </w:t>
            </w:r>
            <w:r>
              <w:rPr>
                <w:sz w:val="21"/>
              </w:rPr>
              <w:t>totals</w:t>
            </w:r>
            <w:r>
              <w:rPr>
                <w:spacing w:val="-5"/>
                <w:sz w:val="21"/>
              </w:rPr>
              <w:t xml:space="preserve"> </w:t>
            </w:r>
            <w:r>
              <w:rPr>
                <w:sz w:val="21"/>
              </w:rPr>
              <w:t>because</w:t>
            </w:r>
            <w:r>
              <w:rPr>
                <w:spacing w:val="-5"/>
                <w:sz w:val="21"/>
              </w:rPr>
              <w:t xml:space="preserve"> </w:t>
            </w:r>
            <w:r>
              <w:rPr>
                <w:sz w:val="21"/>
              </w:rPr>
              <w:t>of</w:t>
            </w:r>
            <w:r>
              <w:rPr>
                <w:spacing w:val="-5"/>
                <w:sz w:val="21"/>
              </w:rPr>
              <w:t xml:space="preserve"> </w:t>
            </w:r>
            <w:r>
              <w:rPr>
                <w:spacing w:val="-2"/>
                <w:sz w:val="21"/>
              </w:rPr>
              <w:t>rounding.</w:t>
            </w:r>
          </w:p>
        </w:tc>
      </w:tr>
    </w:tbl>
    <w:p w:rsidR="003F5784" w14:paraId="48A0EEEC" w14:textId="77777777">
      <w:pPr>
        <w:pStyle w:val="BodyText"/>
        <w:spacing w:before="1" w:line="232" w:lineRule="auto"/>
        <w:ind w:left="2554" w:right="2245"/>
      </w:pPr>
      <w:r>
        <w:t>SOURCE:</w:t>
      </w:r>
      <w:r>
        <w:rPr>
          <w:spacing w:val="-9"/>
        </w:rPr>
        <w:t xml:space="preserve"> </w:t>
      </w:r>
      <w:r>
        <w:t>U.S.</w:t>
      </w:r>
      <w:r>
        <w:rPr>
          <w:spacing w:val="-9"/>
        </w:rPr>
        <w:t xml:space="preserve"> </w:t>
      </w:r>
      <w:r>
        <w:t>Department</w:t>
      </w:r>
      <w:r>
        <w:rPr>
          <w:spacing w:val="-9"/>
        </w:rPr>
        <w:t xml:space="preserve"> </w:t>
      </w:r>
      <w:r>
        <w:t>of</w:t>
      </w:r>
      <w:r>
        <w:rPr>
          <w:spacing w:val="-9"/>
        </w:rPr>
        <w:t xml:space="preserve"> </w:t>
      </w:r>
      <w:r>
        <w:t>Education,</w:t>
      </w:r>
      <w:r>
        <w:rPr>
          <w:spacing w:val="-9"/>
        </w:rPr>
        <w:t xml:space="preserve"> </w:t>
      </w:r>
      <w:r>
        <w:t>Institute</w:t>
      </w:r>
      <w:r>
        <w:rPr>
          <w:spacing w:val="-9"/>
        </w:rPr>
        <w:t xml:space="preserve"> </w:t>
      </w:r>
      <w:r>
        <w:t>of</w:t>
      </w:r>
      <w:r>
        <w:rPr>
          <w:spacing w:val="-9"/>
        </w:rPr>
        <w:t xml:space="preserve"> </w:t>
      </w:r>
      <w:r>
        <w:t>Education</w:t>
      </w:r>
      <w:r>
        <w:rPr>
          <w:spacing w:val="-9"/>
        </w:rPr>
        <w:t xml:space="preserve"> </w:t>
      </w:r>
      <w:r>
        <w:t>Sciences,</w:t>
      </w:r>
      <w:r>
        <w:rPr>
          <w:spacing w:val="-9"/>
        </w:rPr>
        <w:t xml:space="preserve"> </w:t>
      </w:r>
      <w:r>
        <w:t>National</w:t>
      </w:r>
      <w:r>
        <w:rPr>
          <w:spacing w:val="-9"/>
        </w:rPr>
        <w:t xml:space="preserve"> </w:t>
      </w:r>
      <w:r>
        <w:t>Center</w:t>
      </w:r>
      <w:r>
        <w:rPr>
          <w:spacing w:val="-9"/>
        </w:rPr>
        <w:t xml:space="preserve"> </w:t>
      </w:r>
      <w:r>
        <w:t>for</w:t>
      </w:r>
      <w:r>
        <w:rPr>
          <w:spacing w:val="-9"/>
        </w:rPr>
        <w:t xml:space="preserve"> </w:t>
      </w:r>
      <w:r>
        <w:t>Education</w:t>
      </w:r>
      <w:r>
        <w:rPr>
          <w:spacing w:val="-9"/>
        </w:rPr>
        <w:t xml:space="preserve"> </w:t>
      </w:r>
      <w:r>
        <w:t>Statistics, National</w:t>
      </w:r>
      <w:r>
        <w:rPr>
          <w:spacing w:val="-5"/>
        </w:rPr>
        <w:t xml:space="preserve"> </w:t>
      </w:r>
      <w:r>
        <w:t>Assessment of Educational Progress (NAEP), 2022 National Mathematics and Reading</w:t>
      </w:r>
      <w:r>
        <w:rPr>
          <w:spacing w:val="-5"/>
        </w:rPr>
        <w:t xml:space="preserve"> </w:t>
      </w:r>
      <w:r>
        <w:t>Assessments.</w:t>
      </w:r>
    </w:p>
    <w:p w:rsidR="003F5784" w14:paraId="60FAADDF" w14:textId="77777777">
      <w:pPr>
        <w:spacing w:line="232" w:lineRule="auto"/>
        <w:sectPr>
          <w:pgSz w:w="15840" w:h="12240" w:orient="landscape"/>
          <w:pgMar w:top="480" w:right="440" w:bottom="460" w:left="460" w:header="284" w:footer="275" w:gutter="0"/>
          <w:cols w:space="720"/>
        </w:sectPr>
      </w:pPr>
    </w:p>
    <w:p w:rsidR="003F5784" w14:paraId="0BED318F" w14:textId="77777777">
      <w:pPr>
        <w:spacing w:before="87"/>
        <w:ind w:left="1623"/>
        <w:rPr>
          <w:sz w:val="18"/>
        </w:rPr>
      </w:pPr>
      <w:hyperlink r:id="rId90">
        <w:r>
          <w:rPr>
            <w:spacing w:val="-2"/>
            <w:w w:val="105"/>
            <w:sz w:val="18"/>
          </w:rPr>
          <w:t>http://nces.ed.gov/nationsreportcard/tdw/sample_design/2022/new_school_sampling_frame_for_the_2022_fourth_and_eighth_grade_private_school_national_assessment.aspx</w:t>
        </w:r>
      </w:hyperlink>
    </w:p>
    <w:p w:rsidR="003F5784" w14:paraId="259303DB" w14:textId="77777777">
      <w:pPr>
        <w:pStyle w:val="BodyText"/>
        <w:spacing w:before="11"/>
        <w:rPr>
          <w:sz w:val="14"/>
        </w:rPr>
      </w:pPr>
      <w:r>
        <w:rPr>
          <w:noProof/>
        </w:rPr>
        <mc:AlternateContent>
          <mc:Choice Requires="wps">
            <w:drawing>
              <wp:anchor distT="0" distB="0" distL="0" distR="0" simplePos="0" relativeHeight="251802624" behindDoc="1" locked="0" layoutInCell="1" allowOverlap="1">
                <wp:simplePos x="0" y="0"/>
                <wp:positionH relativeFrom="page">
                  <wp:posOffset>361937</wp:posOffset>
                </wp:positionH>
                <wp:positionV relativeFrom="paragraph">
                  <wp:posOffset>124556</wp:posOffset>
                </wp:positionV>
                <wp:extent cx="9339580" cy="8890"/>
                <wp:effectExtent l="0" t="0" r="0" b="0"/>
                <wp:wrapTopAndBottom/>
                <wp:docPr id="109" name="Graphic 109"/>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80"/>
                              </a:lnTo>
                              <a:lnTo>
                                <a:pt x="9335110" y="8293"/>
                              </a:lnTo>
                              <a:lnTo>
                                <a:pt x="9338970" y="8293"/>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09" o:spid="_x0000_s1072" style="width:735.4pt;height:0.7pt;margin-top:9.8pt;margin-left:28.5pt;mso-position-horizontal-relative:page;mso-wrap-distance-bottom:0;mso-wrap-distance-left:0;mso-wrap-distance-right:0;mso-wrap-distance-top:0;mso-wrap-style:square;position:absolute;visibility:visible;v-text-anchor:top;z-index:-251512832" coordsize="9339580,8890" path="m9338970,25l9335110,25l8280,25,,,,8280l9335110,8293l9338970,8293l9338970,25xe" fillcolor="gray" stroked="f">
                <v:path arrowok="t"/>
                <w10:wrap type="topAndBottom"/>
              </v:shape>
            </w:pict>
          </mc:Fallback>
        </mc:AlternateContent>
      </w:r>
    </w:p>
    <w:p w:rsidR="003F5784" w14:paraId="1407B849" w14:textId="77777777">
      <w:pPr>
        <w:pStyle w:val="BodyText"/>
        <w:rPr>
          <w:sz w:val="18"/>
        </w:rPr>
      </w:pPr>
    </w:p>
    <w:p w:rsidR="003F5784" w14:paraId="07358630" w14:textId="77777777">
      <w:pPr>
        <w:pStyle w:val="BodyText"/>
        <w:spacing w:before="206"/>
        <w:rPr>
          <w:sz w:val="18"/>
        </w:rPr>
      </w:pPr>
    </w:p>
    <w:p w:rsidR="003F5784" w14:paraId="2B69A5B9" w14:textId="7ACC5D9B">
      <w:pPr>
        <w:pStyle w:val="Heading1"/>
        <w:spacing w:line="244" w:lineRule="auto"/>
        <w:ind w:right="764"/>
      </w:pPr>
      <w:r>
        <w:t>NAEP Technical Documentation</w:t>
      </w:r>
      <w:r w:rsidR="00B45CF5">
        <w:t xml:space="preserve"> </w:t>
      </w:r>
      <w:r>
        <w:t>School and Student Participation in the 2022 Fourth- and Eighth-Grade Private School National</w:t>
      </w:r>
      <w:r>
        <w:rPr>
          <w:spacing w:val="-3"/>
        </w:rPr>
        <w:t xml:space="preserve"> </w:t>
      </w:r>
      <w:r>
        <w:t>Assessment in Mathematics and Reading</w:t>
      </w:r>
    </w:p>
    <w:p w:rsidR="003F5784" w14:paraId="0F076C39" w14:textId="77777777">
      <w:pPr>
        <w:pStyle w:val="BodyText"/>
        <w:spacing w:before="7"/>
        <w:rPr>
          <w:b/>
          <w:sz w:val="15"/>
        </w:rPr>
      </w:pPr>
    </w:p>
    <w:p w:rsidR="003F5784" w14:paraId="2ACF7B29" w14:textId="77777777">
      <w:pPr>
        <w:rPr>
          <w:sz w:val="15"/>
        </w:rPr>
        <w:sectPr>
          <w:pgSz w:w="15840" w:h="12240" w:orient="landscape"/>
          <w:pgMar w:top="480" w:right="440" w:bottom="460" w:left="460" w:header="284" w:footer="275" w:gutter="0"/>
          <w:cols w:space="720"/>
        </w:sectPr>
      </w:pPr>
    </w:p>
    <w:p w:rsidR="003F5784" w14:paraId="74B48D10" w14:textId="77777777">
      <w:pPr>
        <w:pStyle w:val="BodyText"/>
        <w:spacing w:before="96" w:line="232" w:lineRule="auto"/>
        <w:ind w:left="109" w:right="4"/>
      </w:pPr>
      <w:r>
        <w:t>The</w:t>
      </w:r>
      <w:r>
        <w:rPr>
          <w:spacing w:val="-7"/>
        </w:rPr>
        <w:t xml:space="preserve"> </w:t>
      </w:r>
      <w:r>
        <w:t>tables</w:t>
      </w:r>
      <w:r>
        <w:rPr>
          <w:spacing w:val="-7"/>
        </w:rPr>
        <w:t xml:space="preserve"> </w:t>
      </w:r>
      <w:r>
        <w:t>linked</w:t>
      </w:r>
      <w:r>
        <w:rPr>
          <w:spacing w:val="-7"/>
        </w:rPr>
        <w:t xml:space="preserve"> </w:t>
      </w:r>
      <w:r>
        <w:t>to</w:t>
      </w:r>
      <w:r>
        <w:rPr>
          <w:spacing w:val="-7"/>
        </w:rPr>
        <w:t xml:space="preserve"> </w:t>
      </w:r>
      <w:r>
        <w:t>the</w:t>
      </w:r>
      <w:r>
        <w:rPr>
          <w:spacing w:val="-7"/>
        </w:rPr>
        <w:t xml:space="preserve"> </w:t>
      </w:r>
      <w:r>
        <w:t>right</w:t>
      </w:r>
      <w:r>
        <w:rPr>
          <w:spacing w:val="-7"/>
        </w:rPr>
        <w:t xml:space="preserve"> </w:t>
      </w:r>
      <w:r>
        <w:t>present</w:t>
      </w:r>
      <w:r>
        <w:rPr>
          <w:spacing w:val="-7"/>
        </w:rPr>
        <w:t xml:space="preserve"> </w:t>
      </w:r>
      <w:r>
        <w:t>weighted</w:t>
      </w:r>
      <w:r>
        <w:rPr>
          <w:spacing w:val="-7"/>
        </w:rPr>
        <w:t xml:space="preserve"> </w:t>
      </w:r>
      <w:r>
        <w:t>school</w:t>
      </w:r>
      <w:r>
        <w:rPr>
          <w:spacing w:val="-7"/>
        </w:rPr>
        <w:t xml:space="preserve"> </w:t>
      </w:r>
      <w:r>
        <w:t>and</w:t>
      </w:r>
      <w:r>
        <w:rPr>
          <w:spacing w:val="-7"/>
        </w:rPr>
        <w:t xml:space="preserve"> </w:t>
      </w:r>
      <w:r>
        <w:t>student</w:t>
      </w:r>
      <w:r>
        <w:rPr>
          <w:spacing w:val="-7"/>
        </w:rPr>
        <w:t xml:space="preserve"> </w:t>
      </w:r>
      <w:r>
        <w:t>participation</w:t>
      </w:r>
      <w:r>
        <w:rPr>
          <w:spacing w:val="-7"/>
        </w:rPr>
        <w:t xml:space="preserve"> </w:t>
      </w:r>
      <w:r>
        <w:t>rates,</w:t>
      </w:r>
      <w:r>
        <w:rPr>
          <w:spacing w:val="-7"/>
        </w:rPr>
        <w:t xml:space="preserve"> </w:t>
      </w:r>
      <w:r>
        <w:t>student</w:t>
      </w:r>
      <w:r>
        <w:rPr>
          <w:spacing w:val="-7"/>
        </w:rPr>
        <w:t xml:space="preserve"> </w:t>
      </w:r>
      <w:r>
        <w:t>exclusion</w:t>
      </w:r>
      <w:r>
        <w:rPr>
          <w:spacing w:val="-7"/>
        </w:rPr>
        <w:t xml:space="preserve"> </w:t>
      </w:r>
      <w:r>
        <w:t>rates,</w:t>
      </w:r>
      <w:r>
        <w:rPr>
          <w:spacing w:val="-7"/>
        </w:rPr>
        <w:t xml:space="preserve"> </w:t>
      </w:r>
      <w:r>
        <w:t>and</w:t>
      </w:r>
      <w:r>
        <w:rPr>
          <w:spacing w:val="-7"/>
        </w:rPr>
        <w:t xml:space="preserve"> </w:t>
      </w:r>
      <w:r>
        <w:t>student</w:t>
      </w:r>
      <w:r>
        <w:rPr>
          <w:spacing w:val="-7"/>
        </w:rPr>
        <w:t xml:space="preserve"> </w:t>
      </w:r>
      <w:r>
        <w:t>full-time</w:t>
      </w:r>
      <w:r>
        <w:rPr>
          <w:spacing w:val="-7"/>
        </w:rPr>
        <w:t xml:space="preserve"> </w:t>
      </w:r>
      <w:r>
        <w:t>remote rates for the fourth- and eighth-grade private school national mathematics and reading samples.</w:t>
      </w:r>
    </w:p>
    <w:p w:rsidR="003F5784" w14:paraId="4D948F5B" w14:textId="77777777">
      <w:pPr>
        <w:pStyle w:val="BodyText"/>
        <w:spacing w:before="209" w:line="232" w:lineRule="auto"/>
        <w:ind w:left="109" w:right="4"/>
      </w:pPr>
      <w:r>
        <w:t>A</w:t>
      </w:r>
      <w:r>
        <w:rPr>
          <w:spacing w:val="-14"/>
        </w:rPr>
        <w:t xml:space="preserve"> </w:t>
      </w:r>
      <w:r>
        <w:t>weighted</w:t>
      </w:r>
      <w:r>
        <w:rPr>
          <w:spacing w:val="-9"/>
        </w:rPr>
        <w:t xml:space="preserve"> </w:t>
      </w:r>
      <w:r>
        <w:t>school</w:t>
      </w:r>
      <w:r>
        <w:rPr>
          <w:spacing w:val="-7"/>
        </w:rPr>
        <w:t xml:space="preserve"> </w:t>
      </w:r>
      <w:r>
        <w:t>participation</w:t>
      </w:r>
      <w:r>
        <w:rPr>
          <w:spacing w:val="-7"/>
        </w:rPr>
        <w:t xml:space="preserve"> </w:t>
      </w:r>
      <w:r>
        <w:t>rate</w:t>
      </w:r>
      <w:r>
        <w:rPr>
          <w:spacing w:val="-7"/>
        </w:rPr>
        <w:t xml:space="preserve"> </w:t>
      </w:r>
      <w:r>
        <w:t>indicates</w:t>
      </w:r>
      <w:r>
        <w:rPr>
          <w:spacing w:val="-7"/>
        </w:rPr>
        <w:t xml:space="preserve"> </w:t>
      </w:r>
      <w:r>
        <w:t>the</w:t>
      </w:r>
      <w:r>
        <w:rPr>
          <w:spacing w:val="-7"/>
        </w:rPr>
        <w:t xml:space="preserve"> </w:t>
      </w:r>
      <w:r>
        <w:t>percentage</w:t>
      </w:r>
      <w:r>
        <w:rPr>
          <w:spacing w:val="-7"/>
        </w:rPr>
        <w:t xml:space="preserve"> </w:t>
      </w:r>
      <w:r>
        <w:t>of</w:t>
      </w:r>
      <w:r>
        <w:rPr>
          <w:spacing w:val="-7"/>
        </w:rPr>
        <w:t xml:space="preserve"> </w:t>
      </w:r>
      <w:r>
        <w:t>the</w:t>
      </w:r>
      <w:r>
        <w:rPr>
          <w:spacing w:val="-7"/>
        </w:rPr>
        <w:t xml:space="preserve"> </w:t>
      </w:r>
      <w:r>
        <w:t>student</w:t>
      </w:r>
      <w:r>
        <w:rPr>
          <w:spacing w:val="-7"/>
        </w:rPr>
        <w:t xml:space="preserve"> </w:t>
      </w:r>
      <w:r>
        <w:t>population</w:t>
      </w:r>
      <w:r>
        <w:rPr>
          <w:spacing w:val="-7"/>
        </w:rPr>
        <w:t xml:space="preserve"> </w:t>
      </w:r>
      <w:r>
        <w:t>that</w:t>
      </w:r>
      <w:r>
        <w:rPr>
          <w:spacing w:val="-7"/>
        </w:rPr>
        <w:t xml:space="preserve"> </w:t>
      </w:r>
      <w:r>
        <w:t>is</w:t>
      </w:r>
      <w:r>
        <w:rPr>
          <w:spacing w:val="-7"/>
        </w:rPr>
        <w:t xml:space="preserve"> </w:t>
      </w:r>
      <w:r>
        <w:t>directly</w:t>
      </w:r>
      <w:r>
        <w:rPr>
          <w:spacing w:val="-7"/>
        </w:rPr>
        <w:t xml:space="preserve"> </w:t>
      </w:r>
      <w:r>
        <w:t>represented</w:t>
      </w:r>
      <w:r>
        <w:rPr>
          <w:spacing w:val="-7"/>
        </w:rPr>
        <w:t xml:space="preserve"> </w:t>
      </w:r>
      <w:r>
        <w:t>by</w:t>
      </w:r>
      <w:r>
        <w:rPr>
          <w:spacing w:val="-7"/>
        </w:rPr>
        <w:t xml:space="preserve"> </w:t>
      </w:r>
      <w:r>
        <w:t>the</w:t>
      </w:r>
      <w:r>
        <w:rPr>
          <w:spacing w:val="-7"/>
        </w:rPr>
        <w:t xml:space="preserve"> </w:t>
      </w:r>
      <w:r>
        <w:t>participating school sample.</w:t>
      </w:r>
    </w:p>
    <w:p w:rsidR="003F5784" w14:paraId="574C694E" w14:textId="77777777">
      <w:pPr>
        <w:pStyle w:val="BodyText"/>
        <w:spacing w:before="209" w:line="232" w:lineRule="auto"/>
        <w:ind w:left="109" w:right="4"/>
      </w:pPr>
      <w:r>
        <w:t>A</w:t>
      </w:r>
      <w:r>
        <w:rPr>
          <w:spacing w:val="-14"/>
        </w:rPr>
        <w:t xml:space="preserve"> </w:t>
      </w:r>
      <w:r>
        <w:t>weighted</w:t>
      </w:r>
      <w:r>
        <w:rPr>
          <w:spacing w:val="-9"/>
        </w:rPr>
        <w:t xml:space="preserve"> </w:t>
      </w:r>
      <w:r>
        <w:t>student</w:t>
      </w:r>
      <w:r>
        <w:rPr>
          <w:spacing w:val="-7"/>
        </w:rPr>
        <w:t xml:space="preserve"> </w:t>
      </w:r>
      <w:r>
        <w:t>participation</w:t>
      </w:r>
      <w:r>
        <w:rPr>
          <w:spacing w:val="-7"/>
        </w:rPr>
        <w:t xml:space="preserve"> </w:t>
      </w:r>
      <w:r>
        <w:t>rate</w:t>
      </w:r>
      <w:r>
        <w:rPr>
          <w:spacing w:val="-7"/>
        </w:rPr>
        <w:t xml:space="preserve"> </w:t>
      </w:r>
      <w:r>
        <w:t>indicates</w:t>
      </w:r>
      <w:r>
        <w:rPr>
          <w:spacing w:val="-7"/>
        </w:rPr>
        <w:t xml:space="preserve"> </w:t>
      </w:r>
      <w:r>
        <w:t>the</w:t>
      </w:r>
      <w:r>
        <w:rPr>
          <w:spacing w:val="-7"/>
        </w:rPr>
        <w:t xml:space="preserve"> </w:t>
      </w:r>
      <w:r>
        <w:t>percentage</w:t>
      </w:r>
      <w:r>
        <w:rPr>
          <w:spacing w:val="-7"/>
        </w:rPr>
        <w:t xml:space="preserve"> </w:t>
      </w:r>
      <w:r>
        <w:t>of</w:t>
      </w:r>
      <w:r>
        <w:rPr>
          <w:spacing w:val="-7"/>
        </w:rPr>
        <w:t xml:space="preserve"> </w:t>
      </w:r>
      <w:r>
        <w:t>the</w:t>
      </w:r>
      <w:r>
        <w:rPr>
          <w:spacing w:val="-7"/>
        </w:rPr>
        <w:t xml:space="preserve"> </w:t>
      </w:r>
      <w:r>
        <w:t>student</w:t>
      </w:r>
      <w:r>
        <w:rPr>
          <w:spacing w:val="-7"/>
        </w:rPr>
        <w:t xml:space="preserve"> </w:t>
      </w:r>
      <w:r>
        <w:t>population</w:t>
      </w:r>
      <w:r>
        <w:rPr>
          <w:spacing w:val="-7"/>
        </w:rPr>
        <w:t xml:space="preserve"> </w:t>
      </w:r>
      <w:r>
        <w:t>that</w:t>
      </w:r>
      <w:r>
        <w:rPr>
          <w:spacing w:val="-7"/>
        </w:rPr>
        <w:t xml:space="preserve"> </w:t>
      </w:r>
      <w:r>
        <w:t>is</w:t>
      </w:r>
      <w:r>
        <w:rPr>
          <w:spacing w:val="-7"/>
        </w:rPr>
        <w:t xml:space="preserve"> </w:t>
      </w:r>
      <w:r>
        <w:t>directly</w:t>
      </w:r>
      <w:r>
        <w:rPr>
          <w:spacing w:val="-7"/>
        </w:rPr>
        <w:t xml:space="preserve"> </w:t>
      </w:r>
      <w:r>
        <w:t>represented</w:t>
      </w:r>
      <w:r>
        <w:rPr>
          <w:spacing w:val="-7"/>
        </w:rPr>
        <w:t xml:space="preserve"> </w:t>
      </w:r>
      <w:r>
        <w:t>by</w:t>
      </w:r>
      <w:r>
        <w:rPr>
          <w:spacing w:val="-7"/>
        </w:rPr>
        <w:t xml:space="preserve"> </w:t>
      </w:r>
      <w:r>
        <w:t>the</w:t>
      </w:r>
      <w:r>
        <w:rPr>
          <w:spacing w:val="-7"/>
        </w:rPr>
        <w:t xml:space="preserve"> </w:t>
      </w:r>
      <w:r>
        <w:t>assessed</w:t>
      </w:r>
      <w:r>
        <w:rPr>
          <w:spacing w:val="-7"/>
        </w:rPr>
        <w:t xml:space="preserve"> </w:t>
      </w:r>
      <w:r>
        <w:t>students from within participating schools.</w:t>
      </w:r>
    </w:p>
    <w:p w:rsidR="003F5784" w14:paraId="2970A79C" w14:textId="77777777">
      <w:pPr>
        <w:pStyle w:val="BodyText"/>
        <w:spacing w:before="209" w:line="232" w:lineRule="auto"/>
        <w:ind w:left="109" w:right="4"/>
      </w:pPr>
      <w:r>
        <w:t>A</w:t>
      </w:r>
      <w:r>
        <w:rPr>
          <w:spacing w:val="-14"/>
        </w:rPr>
        <w:t xml:space="preserve"> </w:t>
      </w:r>
      <w:r>
        <w:t>weighted</w:t>
      </w:r>
      <w:r>
        <w:rPr>
          <w:spacing w:val="-8"/>
        </w:rPr>
        <w:t xml:space="preserve"> </w:t>
      </w:r>
      <w:r>
        <w:t>exclusion</w:t>
      </w:r>
      <w:r>
        <w:rPr>
          <w:spacing w:val="-6"/>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population</w:t>
      </w:r>
      <w:r>
        <w:rPr>
          <w:spacing w:val="-6"/>
        </w:rPr>
        <w:t xml:space="preserve"> </w:t>
      </w:r>
      <w:r>
        <w:t>that</w:t>
      </w:r>
      <w:r>
        <w:rPr>
          <w:spacing w:val="-6"/>
        </w:rPr>
        <w:t xml:space="preserve"> </w:t>
      </w:r>
      <w:r>
        <w:t>would</w:t>
      </w:r>
      <w:r>
        <w:rPr>
          <w:spacing w:val="-6"/>
        </w:rPr>
        <w:t xml:space="preserve"> </w:t>
      </w:r>
      <w:r>
        <w:t>be</w:t>
      </w:r>
      <w:r>
        <w:rPr>
          <w:spacing w:val="-6"/>
        </w:rPr>
        <w:t xml:space="preserve"> </w:t>
      </w:r>
      <w:r>
        <w:t>excluded</w:t>
      </w:r>
      <w:r>
        <w:rPr>
          <w:spacing w:val="-6"/>
        </w:rPr>
        <w:t xml:space="preserve"> </w:t>
      </w:r>
      <w:r>
        <w:t>from</w:t>
      </w:r>
      <w:r>
        <w:rPr>
          <w:spacing w:val="-6"/>
        </w:rPr>
        <w:t xml:space="preserve"> </w:t>
      </w:r>
      <w:r>
        <w:t>the</w:t>
      </w:r>
      <w:r>
        <w:rPr>
          <w:spacing w:val="-6"/>
        </w:rPr>
        <w:t xml:space="preserve"> </w:t>
      </w:r>
      <w:r>
        <w:t>assessment.</w:t>
      </w:r>
      <w:r>
        <w:rPr>
          <w:spacing w:val="-6"/>
        </w:rPr>
        <w:t xml:space="preserve"> </w:t>
      </w:r>
      <w:r>
        <w:t>Students</w:t>
      </w:r>
      <w:r>
        <w:rPr>
          <w:spacing w:val="-6"/>
        </w:rPr>
        <w:t xml:space="preserve"> </w:t>
      </w:r>
      <w:r>
        <w:t>are generally excluded from a NAEP</w:t>
      </w:r>
      <w:r>
        <w:rPr>
          <w:spacing w:val="-6"/>
        </w:rPr>
        <w:t xml:space="preserve"> </w:t>
      </w:r>
      <w:r>
        <w:t>assessment if they have a disability or limited English language proficiency that prevents them from taking the assessment altogether or the accommodations they require to take the assessment were unavailable.</w:t>
      </w:r>
    </w:p>
    <w:p w:rsidR="003F5784" w14:paraId="61DAD014" w14:textId="77777777">
      <w:pPr>
        <w:pStyle w:val="BodyText"/>
        <w:spacing w:before="204"/>
        <w:ind w:left="109"/>
      </w:pPr>
      <w:r>
        <w:t>A</w:t>
      </w:r>
      <w:r>
        <w:rPr>
          <w:spacing w:val="-14"/>
        </w:rPr>
        <w:t xml:space="preserve"> </w:t>
      </w:r>
      <w:r>
        <w:t>weighted</w:t>
      </w:r>
      <w:r>
        <w:rPr>
          <w:spacing w:val="-9"/>
        </w:rPr>
        <w:t xml:space="preserve"> </w:t>
      </w:r>
      <w:r>
        <w:t>full-time</w:t>
      </w:r>
      <w:r>
        <w:rPr>
          <w:spacing w:val="-6"/>
        </w:rPr>
        <w:t xml:space="preserve"> </w:t>
      </w:r>
      <w:r>
        <w:t>remote</w:t>
      </w:r>
      <w:r>
        <w:rPr>
          <w:spacing w:val="-6"/>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6"/>
        </w:rPr>
        <w:t xml:space="preserve"> </w:t>
      </w:r>
      <w:r>
        <w:t>of</w:t>
      </w:r>
      <w:r>
        <w:rPr>
          <w:spacing w:val="-7"/>
        </w:rPr>
        <w:t xml:space="preserve"> </w:t>
      </w:r>
      <w:r>
        <w:t>the</w:t>
      </w:r>
      <w:r>
        <w:rPr>
          <w:spacing w:val="-6"/>
        </w:rPr>
        <w:t xml:space="preserve"> </w:t>
      </w:r>
      <w:r>
        <w:t>student</w:t>
      </w:r>
      <w:r>
        <w:rPr>
          <w:spacing w:val="-6"/>
        </w:rPr>
        <w:t xml:space="preserve"> </w:t>
      </w:r>
      <w:r>
        <w:t>population</w:t>
      </w:r>
      <w:r>
        <w:rPr>
          <w:spacing w:val="-6"/>
        </w:rPr>
        <w:t xml:space="preserve"> </w:t>
      </w:r>
      <w:r>
        <w:t>that</w:t>
      </w:r>
      <w:r>
        <w:rPr>
          <w:spacing w:val="-6"/>
        </w:rPr>
        <w:t xml:space="preserve"> </w:t>
      </w:r>
      <w:r>
        <w:t>is</w:t>
      </w:r>
      <w:r>
        <w:rPr>
          <w:spacing w:val="-6"/>
        </w:rPr>
        <w:t xml:space="preserve"> </w:t>
      </w:r>
      <w:r>
        <w:t>full-time</w:t>
      </w:r>
      <w:r>
        <w:rPr>
          <w:spacing w:val="-6"/>
        </w:rPr>
        <w:t xml:space="preserve"> </w:t>
      </w:r>
      <w:r>
        <w:rPr>
          <w:spacing w:val="-2"/>
        </w:rPr>
        <w:t>remote.</w:t>
      </w:r>
    </w:p>
    <w:p w:rsidR="003F5784" w14:paraId="226D8940" w14:textId="77777777">
      <w:pPr>
        <w:pStyle w:val="BodyText"/>
        <w:spacing w:before="96" w:line="232" w:lineRule="auto"/>
        <w:ind w:left="109" w:right="165"/>
      </w:pPr>
      <w:r>
        <w:br w:type="column"/>
      </w:r>
      <w:r>
        <w:rPr>
          <w:spacing w:val="-2"/>
        </w:rPr>
        <w:t>Weighted</w:t>
      </w:r>
      <w:r>
        <w:rPr>
          <w:spacing w:val="-12"/>
        </w:rPr>
        <w:t xml:space="preserve"> </w:t>
      </w:r>
      <w:r>
        <w:rPr>
          <w:spacing w:val="-2"/>
        </w:rPr>
        <w:t>School</w:t>
      </w:r>
      <w:r>
        <w:rPr>
          <w:spacing w:val="-11"/>
        </w:rPr>
        <w:t xml:space="preserve"> </w:t>
      </w:r>
      <w:r>
        <w:rPr>
          <w:spacing w:val="-2"/>
        </w:rPr>
        <w:t>Response Rates</w:t>
      </w:r>
    </w:p>
    <w:p w:rsidR="003F5784" w14:paraId="5F372B00" w14:textId="77777777">
      <w:pPr>
        <w:pStyle w:val="BodyText"/>
        <w:spacing w:before="209" w:line="232" w:lineRule="auto"/>
        <w:ind w:left="109" w:right="165"/>
      </w:pPr>
      <w:r>
        <w:rPr>
          <w:spacing w:val="-2"/>
        </w:rPr>
        <w:t>Weighted</w:t>
      </w:r>
      <w:r>
        <w:rPr>
          <w:spacing w:val="-12"/>
        </w:rPr>
        <w:t xml:space="preserve"> </w:t>
      </w:r>
      <w:r>
        <w:rPr>
          <w:spacing w:val="-2"/>
        </w:rPr>
        <w:t>Student</w:t>
      </w:r>
      <w:r>
        <w:rPr>
          <w:spacing w:val="-11"/>
        </w:rPr>
        <w:t xml:space="preserve"> </w:t>
      </w:r>
      <w:r>
        <w:rPr>
          <w:spacing w:val="-2"/>
        </w:rPr>
        <w:t xml:space="preserve">Response </w:t>
      </w:r>
      <w:r>
        <w:t xml:space="preserve">and Exclusion Rates for </w:t>
      </w:r>
      <w:r>
        <w:rPr>
          <w:spacing w:val="-2"/>
        </w:rPr>
        <w:t>Mathematics</w:t>
      </w:r>
    </w:p>
    <w:p w:rsidR="003F5784" w14:paraId="6279752A" w14:textId="77777777">
      <w:pPr>
        <w:pStyle w:val="BodyText"/>
        <w:spacing w:before="236" w:line="232" w:lineRule="auto"/>
        <w:ind w:left="109" w:right="165"/>
      </w:pPr>
      <w:r>
        <w:rPr>
          <w:spacing w:val="-2"/>
        </w:rPr>
        <w:t>Weighted</w:t>
      </w:r>
      <w:r>
        <w:rPr>
          <w:spacing w:val="-12"/>
        </w:rPr>
        <w:t xml:space="preserve"> </w:t>
      </w:r>
      <w:r>
        <w:rPr>
          <w:spacing w:val="-2"/>
        </w:rPr>
        <w:t>Student</w:t>
      </w:r>
      <w:r>
        <w:rPr>
          <w:spacing w:val="-11"/>
        </w:rPr>
        <w:t xml:space="preserve"> </w:t>
      </w:r>
      <w:r>
        <w:rPr>
          <w:spacing w:val="-2"/>
        </w:rPr>
        <w:t xml:space="preserve">Response </w:t>
      </w:r>
      <w:r>
        <w:t xml:space="preserve">and Exclusion Rates for </w:t>
      </w:r>
      <w:r>
        <w:rPr>
          <w:spacing w:val="-2"/>
        </w:rPr>
        <w:t>Reading</w:t>
      </w:r>
    </w:p>
    <w:p w:rsidR="003F5784" w14:paraId="6890C81D" w14:textId="77777777">
      <w:pPr>
        <w:spacing w:line="232" w:lineRule="auto"/>
        <w:sectPr>
          <w:type w:val="continuous"/>
          <w:pgSz w:w="15840" w:h="12240" w:orient="landscape"/>
          <w:pgMar w:top="480" w:right="440" w:bottom="460" w:left="460" w:header="284" w:footer="275" w:gutter="0"/>
          <w:cols w:num="2" w:space="720" w:equalWidth="0">
            <w:col w:w="11738" w:space="345"/>
            <w:col w:w="2857"/>
          </w:cols>
        </w:sectPr>
      </w:pPr>
    </w:p>
    <w:p w:rsidR="003F5784" w14:paraId="1559E40B" w14:textId="77777777">
      <w:pPr>
        <w:pStyle w:val="BodyText"/>
        <w:spacing w:before="208" w:line="232" w:lineRule="auto"/>
        <w:ind w:left="109" w:right="117"/>
      </w:pPr>
      <w:r>
        <w:t>Weighted</w:t>
      </w:r>
      <w:r>
        <w:rPr>
          <w:spacing w:val="-7"/>
        </w:rPr>
        <w:t xml:space="preserve"> </w:t>
      </w:r>
      <w:r>
        <w:t>school</w:t>
      </w:r>
      <w:r>
        <w:rPr>
          <w:spacing w:val="-7"/>
        </w:rPr>
        <w:t xml:space="preserve"> </w:t>
      </w:r>
      <w:r>
        <w:t>participation</w:t>
      </w:r>
      <w:r>
        <w:rPr>
          <w:spacing w:val="-7"/>
        </w:rPr>
        <w:t xml:space="preserve"> </w:t>
      </w:r>
      <w:r>
        <w:t>rates</w:t>
      </w:r>
      <w:r>
        <w:rPr>
          <w:spacing w:val="-7"/>
        </w:rPr>
        <w:t xml:space="preserve"> </w:t>
      </w:r>
      <w:r>
        <w:t>are</w:t>
      </w:r>
      <w:r>
        <w:rPr>
          <w:spacing w:val="-7"/>
        </w:rPr>
        <w:t xml:space="preserve"> </w:t>
      </w:r>
      <w:r>
        <w:t>calculated</w:t>
      </w:r>
      <w:r>
        <w:rPr>
          <w:spacing w:val="-7"/>
        </w:rPr>
        <w:t xml:space="preserve"> </w:t>
      </w:r>
      <w:r>
        <w:t>by</w:t>
      </w:r>
      <w:r>
        <w:rPr>
          <w:spacing w:val="-7"/>
        </w:rPr>
        <w:t xml:space="preserve"> </w:t>
      </w:r>
      <w:r>
        <w:t>dividing</w:t>
      </w:r>
      <w:r>
        <w:rPr>
          <w:spacing w:val="-7"/>
        </w:rPr>
        <w:t xml:space="preserve"> </w:t>
      </w:r>
      <w:r>
        <w:t>the</w:t>
      </w:r>
      <w:r>
        <w:rPr>
          <w:spacing w:val="-7"/>
        </w:rPr>
        <w:t xml:space="preserve"> </w:t>
      </w:r>
      <w:r>
        <w:t>sum</w:t>
      </w:r>
      <w:r>
        <w:rPr>
          <w:spacing w:val="-7"/>
        </w:rPr>
        <w:t xml:space="preserve"> </w:t>
      </w:r>
      <w:r>
        <w:t>of</w:t>
      </w:r>
      <w:r>
        <w:rPr>
          <w:spacing w:val="-7"/>
        </w:rPr>
        <w:t xml:space="preserve"> </w:t>
      </w:r>
      <w:r>
        <w:t>school</w:t>
      </w:r>
      <w:r>
        <w:rPr>
          <w:spacing w:val="-7"/>
        </w:rPr>
        <w:t xml:space="preserve"> </w:t>
      </w:r>
      <w:r>
        <w:t>base</w:t>
      </w:r>
      <w:r>
        <w:rPr>
          <w:spacing w:val="-7"/>
        </w:rPr>
        <w:t xml:space="preserve"> </w:t>
      </w:r>
      <w:r>
        <w:t>weights,</w:t>
      </w:r>
      <w:r>
        <w:rPr>
          <w:spacing w:val="-7"/>
        </w:rPr>
        <w:t xml:space="preserve"> </w:t>
      </w:r>
      <w:r>
        <w:t>weighted</w:t>
      </w:r>
      <w:r>
        <w:rPr>
          <w:spacing w:val="-7"/>
        </w:rPr>
        <w:t xml:space="preserve"> </w:t>
      </w:r>
      <w:r>
        <w:t>by</w:t>
      </w:r>
      <w:r>
        <w:rPr>
          <w:spacing w:val="-7"/>
        </w:rPr>
        <w:t xml:space="preserve"> </w:t>
      </w:r>
      <w:r>
        <w:t>student</w:t>
      </w:r>
      <w:r>
        <w:rPr>
          <w:spacing w:val="-7"/>
        </w:rPr>
        <w:t xml:space="preserve"> </w:t>
      </w:r>
      <w:r>
        <w:t>enrollment</w:t>
      </w:r>
      <w:r>
        <w:rPr>
          <w:spacing w:val="-7"/>
        </w:rPr>
        <w:t xml:space="preserve"> </w:t>
      </w:r>
      <w:r>
        <w:t>of</w:t>
      </w:r>
      <w:r>
        <w:rPr>
          <w:spacing w:val="-7"/>
        </w:rPr>
        <w:t xml:space="preserve"> </w:t>
      </w:r>
      <w:r>
        <w:t>the</w:t>
      </w:r>
      <w:r>
        <w:rPr>
          <w:spacing w:val="-7"/>
        </w:rPr>
        <w:t xml:space="preserve"> </w:t>
      </w:r>
      <w:r>
        <w:t>targeted</w:t>
      </w:r>
      <w:r>
        <w:rPr>
          <w:spacing w:val="-7"/>
        </w:rPr>
        <w:t xml:space="preserve"> </w:t>
      </w:r>
      <w:r>
        <w:t>grade,</w:t>
      </w:r>
      <w:r>
        <w:rPr>
          <w:spacing w:val="-7"/>
        </w:rPr>
        <w:t xml:space="preserve"> </w:t>
      </w:r>
      <w:r>
        <w:t>for</w:t>
      </w:r>
      <w:r>
        <w:rPr>
          <w:spacing w:val="-7"/>
        </w:rPr>
        <w:t xml:space="preserve"> </w:t>
      </w:r>
      <w:r>
        <w:t>all</w:t>
      </w:r>
      <w:r>
        <w:rPr>
          <w:spacing w:val="-7"/>
        </w:rPr>
        <w:t xml:space="preserve"> </w:t>
      </w:r>
      <w:r>
        <w:t>participating</w:t>
      </w:r>
      <w:r>
        <w:rPr>
          <w:spacing w:val="-7"/>
        </w:rPr>
        <w:t xml:space="preserve"> </w:t>
      </w:r>
      <w:r>
        <w:t>schools by</w:t>
      </w:r>
      <w:r>
        <w:rPr>
          <w:spacing w:val="-6"/>
        </w:rPr>
        <w:t xml:space="preserve"> </w:t>
      </w:r>
      <w:r>
        <w:t>the</w:t>
      </w:r>
      <w:r>
        <w:rPr>
          <w:spacing w:val="-6"/>
        </w:rPr>
        <w:t xml:space="preserve"> </w:t>
      </w:r>
      <w:r>
        <w:t>sum</w:t>
      </w:r>
      <w:r>
        <w:rPr>
          <w:spacing w:val="-6"/>
        </w:rPr>
        <w:t xml:space="preserve"> </w:t>
      </w:r>
      <w:r>
        <w:t>of</w:t>
      </w:r>
      <w:r>
        <w:rPr>
          <w:spacing w:val="-6"/>
        </w:rPr>
        <w:t xml:space="preserve"> </w:t>
      </w:r>
      <w:r>
        <w:t>the</w:t>
      </w:r>
      <w:r>
        <w:rPr>
          <w:spacing w:val="-6"/>
        </w:rPr>
        <w:t xml:space="preserve"> </w:t>
      </w:r>
      <w:r>
        <w:t>base</w:t>
      </w:r>
      <w:r>
        <w:rPr>
          <w:spacing w:val="-6"/>
        </w:rPr>
        <w:t xml:space="preserve"> </w:t>
      </w:r>
      <w:r>
        <w:t>weights,</w:t>
      </w:r>
      <w:r>
        <w:rPr>
          <w:spacing w:val="-6"/>
        </w:rPr>
        <w:t xml:space="preserve"> </w:t>
      </w:r>
      <w:r>
        <w:t>weighted</w:t>
      </w:r>
      <w:r>
        <w:rPr>
          <w:spacing w:val="-6"/>
        </w:rPr>
        <w:t xml:space="preserve"> </w:t>
      </w:r>
      <w:r>
        <w:t>by</w:t>
      </w:r>
      <w:r>
        <w:rPr>
          <w:spacing w:val="-6"/>
        </w:rPr>
        <w:t xml:space="preserve"> </w:t>
      </w:r>
      <w:r>
        <w:t>student</w:t>
      </w:r>
      <w:r>
        <w:rPr>
          <w:spacing w:val="-6"/>
        </w:rPr>
        <w:t xml:space="preserve"> </w:t>
      </w:r>
      <w:r>
        <w:t>enrollment</w:t>
      </w:r>
      <w:r>
        <w:rPr>
          <w:spacing w:val="-6"/>
        </w:rPr>
        <w:t xml:space="preserve"> </w:t>
      </w:r>
      <w:r>
        <w:t>of</w:t>
      </w:r>
      <w:r>
        <w:rPr>
          <w:spacing w:val="-6"/>
        </w:rPr>
        <w:t xml:space="preserve"> </w:t>
      </w:r>
      <w:r>
        <w:t>the</w:t>
      </w:r>
      <w:r>
        <w:rPr>
          <w:spacing w:val="-6"/>
        </w:rPr>
        <w:t xml:space="preserve"> </w:t>
      </w:r>
      <w:r>
        <w:t>target</w:t>
      </w:r>
      <w:r>
        <w:rPr>
          <w:spacing w:val="-6"/>
        </w:rPr>
        <w:t xml:space="preserve"> </w:t>
      </w:r>
      <w:r>
        <w:t>grade,</w:t>
      </w:r>
      <w:r>
        <w:rPr>
          <w:spacing w:val="-6"/>
        </w:rPr>
        <w:t xml:space="preserve"> </w:t>
      </w:r>
      <w:r>
        <w:t>for</w:t>
      </w:r>
      <w:r>
        <w:rPr>
          <w:spacing w:val="-6"/>
        </w:rPr>
        <w:t xml:space="preserve"> </w:t>
      </w:r>
      <w:r>
        <w:t>all</w:t>
      </w:r>
      <w:r>
        <w:rPr>
          <w:spacing w:val="-6"/>
        </w:rPr>
        <w:t xml:space="preserve"> </w:t>
      </w:r>
      <w:r>
        <w:t>eligible</w:t>
      </w:r>
      <w:r>
        <w:rPr>
          <w:spacing w:val="-6"/>
        </w:rPr>
        <w:t xml:space="preserve"> </w:t>
      </w:r>
      <w:r>
        <w:t>schools.</w:t>
      </w:r>
      <w:r>
        <w:rPr>
          <w:spacing w:val="-6"/>
        </w:rPr>
        <w:t xml:space="preserve"> </w:t>
      </w:r>
      <w:r>
        <w:t>Eligible</w:t>
      </w:r>
      <w:r>
        <w:rPr>
          <w:spacing w:val="-6"/>
        </w:rPr>
        <w:t xml:space="preserve"> </w:t>
      </w:r>
      <w:r>
        <w:t>schools</w:t>
      </w:r>
      <w:r>
        <w:rPr>
          <w:spacing w:val="-6"/>
        </w:rPr>
        <w:t xml:space="preserve"> </w:t>
      </w:r>
      <w:r>
        <w:t>are</w:t>
      </w:r>
      <w:r>
        <w:rPr>
          <w:spacing w:val="-6"/>
        </w:rPr>
        <w:t xml:space="preserve"> </w:t>
      </w:r>
      <w:r>
        <w:t>all</w:t>
      </w:r>
      <w:r>
        <w:rPr>
          <w:spacing w:val="-6"/>
        </w:rPr>
        <w:t xml:space="preserve"> </w:t>
      </w:r>
      <w:r>
        <w:t>sampled</w:t>
      </w:r>
      <w:r>
        <w:rPr>
          <w:spacing w:val="-6"/>
        </w:rPr>
        <w:t xml:space="preserve"> </w:t>
      </w:r>
      <w:r>
        <w:t>schools</w:t>
      </w:r>
      <w:r>
        <w:rPr>
          <w:spacing w:val="-6"/>
        </w:rPr>
        <w:t xml:space="preserve"> </w:t>
      </w:r>
      <w:r>
        <w:t>except</w:t>
      </w:r>
      <w:r>
        <w:rPr>
          <w:spacing w:val="-6"/>
        </w:rPr>
        <w:t xml:space="preserve"> </w:t>
      </w:r>
      <w:r>
        <w:t>those</w:t>
      </w:r>
      <w:r>
        <w:rPr>
          <w:spacing w:val="-6"/>
        </w:rPr>
        <w:t xml:space="preserve"> </w:t>
      </w:r>
      <w:r>
        <w:t>considered</w:t>
      </w:r>
      <w:r>
        <w:rPr>
          <w:spacing w:val="-6"/>
        </w:rPr>
        <w:t xml:space="preserve"> </w:t>
      </w:r>
      <w:r>
        <w:t>out- of-scope.</w:t>
      </w:r>
      <w:r>
        <w:rPr>
          <w:spacing w:val="-3"/>
        </w:rPr>
        <w:t xml:space="preserve"> </w:t>
      </w:r>
      <w:r>
        <w:t>The base weight is assigned to all sampled schools and is the inverse of the probability of selection.</w:t>
      </w:r>
      <w:r>
        <w:rPr>
          <w:spacing w:val="-3"/>
        </w:rPr>
        <w:t xml:space="preserve"> </w:t>
      </w:r>
      <w:r>
        <w:t>The weighted school participation rates in these tables reflect participation prior to substitution.</w:t>
      </w:r>
      <w:r>
        <w:rPr>
          <w:spacing w:val="-3"/>
        </w:rPr>
        <w:t xml:space="preserve"> </w:t>
      </w:r>
      <w:r>
        <w:t>That is, participating substitute schools that took the place of refusing originally sampled schools are not included in the numerator.</w:t>
      </w:r>
    </w:p>
    <w:p w:rsidR="003F5784" w14:paraId="348E35DD" w14:textId="77777777">
      <w:pPr>
        <w:pStyle w:val="BodyText"/>
        <w:spacing w:before="210" w:line="232" w:lineRule="auto"/>
        <w:ind w:left="109"/>
      </w:pPr>
      <w:r>
        <w:t>Weighted student participation rates are calculated by dividing the sum of the student base weights for all assessed students by the sum of the student base weights for all assessable students. (See below for the response dispositions of NAEP</w:t>
      </w:r>
      <w:r>
        <w:rPr>
          <w:spacing w:val="-7"/>
        </w:rPr>
        <w:t xml:space="preserve"> </w:t>
      </w:r>
      <w:r>
        <w:t>sampled students.) Students deemed assessable are those who were assessed or absent.</w:t>
      </w:r>
      <w:r>
        <w:rPr>
          <w:spacing w:val="-3"/>
        </w:rPr>
        <w:t xml:space="preserve"> </w:t>
      </w:r>
      <w:r>
        <w:t>They do not include</w:t>
      </w:r>
      <w:r>
        <w:rPr>
          <w:spacing w:val="-6"/>
        </w:rPr>
        <w:t xml:space="preserve"> </w:t>
      </w:r>
      <w:r>
        <w:t>students</w:t>
      </w:r>
      <w:r>
        <w:rPr>
          <w:spacing w:val="-6"/>
        </w:rPr>
        <w:t xml:space="preserve"> </w:t>
      </w:r>
      <w:r>
        <w:t>that</w:t>
      </w:r>
      <w:r>
        <w:rPr>
          <w:spacing w:val="-6"/>
        </w:rPr>
        <w:t xml:space="preserve"> </w:t>
      </w:r>
      <w:r>
        <w:t>were</w:t>
      </w:r>
      <w:r>
        <w:rPr>
          <w:spacing w:val="-6"/>
        </w:rPr>
        <w:t xml:space="preserve"> </w:t>
      </w:r>
      <w:r>
        <w:t>not</w:t>
      </w:r>
      <w:r>
        <w:rPr>
          <w:spacing w:val="-6"/>
        </w:rPr>
        <w:t xml:space="preserve"> </w:t>
      </w:r>
      <w:r>
        <w:t>eligible</w:t>
      </w:r>
      <w:r>
        <w:rPr>
          <w:spacing w:val="-6"/>
        </w:rPr>
        <w:t xml:space="preserve"> </w:t>
      </w:r>
      <w:r>
        <w:t>(primarily</w:t>
      </w:r>
      <w:r>
        <w:rPr>
          <w:spacing w:val="-6"/>
        </w:rPr>
        <w:t xml:space="preserve"> </w:t>
      </w:r>
      <w:r>
        <w:t>made</w:t>
      </w:r>
      <w:r>
        <w:rPr>
          <w:spacing w:val="-6"/>
        </w:rPr>
        <w:t xml:space="preserve"> </w:t>
      </w:r>
      <w:r>
        <w:t>up</w:t>
      </w:r>
      <w:r>
        <w:rPr>
          <w:spacing w:val="-6"/>
        </w:rPr>
        <w:t xml:space="preserve"> </w:t>
      </w:r>
      <w:r>
        <w:t>of</w:t>
      </w:r>
      <w:r>
        <w:rPr>
          <w:spacing w:val="-6"/>
        </w:rPr>
        <w:t xml:space="preserve"> </w:t>
      </w:r>
      <w:r>
        <w:t>withdrawn</w:t>
      </w:r>
      <w:r>
        <w:rPr>
          <w:spacing w:val="-6"/>
        </w:rPr>
        <w:t xml:space="preserve"> </w:t>
      </w:r>
      <w:r>
        <w:t>or</w:t>
      </w:r>
      <w:r>
        <w:rPr>
          <w:spacing w:val="-6"/>
        </w:rPr>
        <w:t xml:space="preserve"> </w:t>
      </w:r>
      <w:r>
        <w:t>graduated</w:t>
      </w:r>
      <w:r>
        <w:rPr>
          <w:spacing w:val="-6"/>
        </w:rPr>
        <w:t xml:space="preserve"> </w:t>
      </w:r>
      <w:r>
        <w:t>students)</w:t>
      </w:r>
      <w:r>
        <w:rPr>
          <w:spacing w:val="-6"/>
        </w:rPr>
        <w:t xml:space="preserve"> </w:t>
      </w:r>
      <w:r>
        <w:t>or</w:t>
      </w:r>
      <w:r>
        <w:rPr>
          <w:spacing w:val="-6"/>
        </w:rPr>
        <w:t xml:space="preserve"> </w:t>
      </w:r>
      <w:r>
        <w:t>students</w:t>
      </w:r>
      <w:r>
        <w:rPr>
          <w:spacing w:val="-6"/>
        </w:rPr>
        <w:t xml:space="preserve"> </w:t>
      </w:r>
      <w:r>
        <w:t>with</w:t>
      </w:r>
      <w:r>
        <w:rPr>
          <w:spacing w:val="-6"/>
        </w:rPr>
        <w:t xml:space="preserve"> </w:t>
      </w:r>
      <w:r>
        <w:t>disabilities</w:t>
      </w:r>
      <w:r>
        <w:rPr>
          <w:spacing w:val="-6"/>
        </w:rPr>
        <w:t xml:space="preserve"> </w:t>
      </w:r>
      <w:r>
        <w:t>(SD)</w:t>
      </w:r>
      <w:r>
        <w:rPr>
          <w:spacing w:val="-6"/>
        </w:rPr>
        <w:t xml:space="preserve"> </w:t>
      </w:r>
      <w:r>
        <w:t>or</w:t>
      </w:r>
      <w:r>
        <w:rPr>
          <w:spacing w:val="-6"/>
        </w:rPr>
        <w:t xml:space="preserve"> </w:t>
      </w:r>
      <w:r>
        <w:t>English</w:t>
      </w:r>
      <w:r>
        <w:rPr>
          <w:spacing w:val="-6"/>
        </w:rPr>
        <w:t xml:space="preserve"> </w:t>
      </w:r>
      <w:r>
        <w:t>learners</w:t>
      </w:r>
      <w:r>
        <w:rPr>
          <w:spacing w:val="-6"/>
        </w:rPr>
        <w:t xml:space="preserve"> </w:t>
      </w:r>
      <w:r>
        <w:t>(EL)</w:t>
      </w:r>
      <w:r>
        <w:rPr>
          <w:spacing w:val="-6"/>
        </w:rPr>
        <w:t xml:space="preserve"> </w:t>
      </w:r>
      <w:r>
        <w:t>students</w:t>
      </w:r>
      <w:r>
        <w:rPr>
          <w:spacing w:val="-6"/>
        </w:rPr>
        <w:t xml:space="preserve"> </w:t>
      </w:r>
      <w:r>
        <w:t>who</w:t>
      </w:r>
      <w:r>
        <w:rPr>
          <w:spacing w:val="-6"/>
        </w:rPr>
        <w:t xml:space="preserve"> </w:t>
      </w:r>
      <w:r>
        <w:t>were excluded from the assessment.</w:t>
      </w:r>
    </w:p>
    <w:p w:rsidR="003F5784" w14:paraId="4EB53E25" w14:textId="77777777">
      <w:pPr>
        <w:pStyle w:val="BodyText"/>
        <w:spacing w:before="210" w:line="232" w:lineRule="auto"/>
        <w:ind w:left="109"/>
      </w:pPr>
      <w:r>
        <w:t>Weighted</w:t>
      </w:r>
      <w:r>
        <w:rPr>
          <w:spacing w:val="-7"/>
        </w:rPr>
        <w:t xml:space="preserve"> </w:t>
      </w:r>
      <w:r>
        <w:t>student</w:t>
      </w:r>
      <w:r>
        <w:rPr>
          <w:spacing w:val="-7"/>
        </w:rPr>
        <w:t xml:space="preserve"> </w:t>
      </w:r>
      <w:r>
        <w:t>exclusion</w:t>
      </w:r>
      <w:r>
        <w:rPr>
          <w:spacing w:val="-7"/>
        </w:rPr>
        <w:t xml:space="preserve"> </w:t>
      </w:r>
      <w:r>
        <w:t>rates</w:t>
      </w:r>
      <w:r>
        <w:rPr>
          <w:spacing w:val="-7"/>
        </w:rPr>
        <w:t xml:space="preserve"> </w:t>
      </w:r>
      <w:r>
        <w:t>are</w:t>
      </w:r>
      <w:r>
        <w:rPr>
          <w:spacing w:val="-7"/>
        </w:rPr>
        <w:t xml:space="preserve"> </w:t>
      </w:r>
      <w:r>
        <w:t>calculated</w:t>
      </w:r>
      <w:r>
        <w:rPr>
          <w:spacing w:val="-7"/>
        </w:rPr>
        <w:t xml:space="preserve"> </w:t>
      </w:r>
      <w:r>
        <w:t>by</w:t>
      </w:r>
      <w:r>
        <w:rPr>
          <w:spacing w:val="-7"/>
        </w:rPr>
        <w:t xml:space="preserve"> </w:t>
      </w:r>
      <w:r>
        <w:t>dividing</w:t>
      </w:r>
      <w:r>
        <w:rPr>
          <w:spacing w:val="-7"/>
        </w:rPr>
        <w:t xml:space="preserve"> </w:t>
      </w:r>
      <w:r>
        <w:t>the</w:t>
      </w:r>
      <w:r>
        <w:rPr>
          <w:spacing w:val="-7"/>
        </w:rPr>
        <w:t xml:space="preserve"> </w:t>
      </w:r>
      <w:r>
        <w:t>sum</w:t>
      </w:r>
      <w:r>
        <w:rPr>
          <w:spacing w:val="-7"/>
        </w:rPr>
        <w:t xml:space="preserve"> </w:t>
      </w:r>
      <w:r>
        <w:t>of</w:t>
      </w:r>
      <w:r>
        <w:rPr>
          <w:spacing w:val="-7"/>
        </w:rPr>
        <w:t xml:space="preserve"> </w:t>
      </w:r>
      <w:r>
        <w:t>the</w:t>
      </w:r>
      <w:r>
        <w:rPr>
          <w:spacing w:val="-7"/>
        </w:rPr>
        <w:t xml:space="preserve"> </w:t>
      </w:r>
      <w:r>
        <w:t>school</w:t>
      </w:r>
      <w:r>
        <w:rPr>
          <w:spacing w:val="-7"/>
        </w:rPr>
        <w:t xml:space="preserve"> </w:t>
      </w:r>
      <w:r>
        <w:t>nonresponse-adjusted</w:t>
      </w:r>
      <w:r>
        <w:rPr>
          <w:spacing w:val="-7"/>
        </w:rPr>
        <w:t xml:space="preserve"> </w:t>
      </w:r>
      <w:r>
        <w:t>student</w:t>
      </w:r>
      <w:r>
        <w:rPr>
          <w:spacing w:val="-7"/>
        </w:rPr>
        <w:t xml:space="preserve"> </w:t>
      </w:r>
      <w:r>
        <w:t>base</w:t>
      </w:r>
      <w:r>
        <w:rPr>
          <w:spacing w:val="-7"/>
        </w:rPr>
        <w:t xml:space="preserve"> </w:t>
      </w:r>
      <w:r>
        <w:t>weights</w:t>
      </w:r>
      <w:r>
        <w:rPr>
          <w:spacing w:val="-7"/>
        </w:rPr>
        <w:t xml:space="preserve"> </w:t>
      </w:r>
      <w:r>
        <w:t>for</w:t>
      </w:r>
      <w:r>
        <w:rPr>
          <w:spacing w:val="-7"/>
        </w:rPr>
        <w:t xml:space="preserve"> </w:t>
      </w:r>
      <w:r>
        <w:t>all</w:t>
      </w:r>
      <w:r>
        <w:rPr>
          <w:spacing w:val="-7"/>
        </w:rPr>
        <w:t xml:space="preserve"> </w:t>
      </w:r>
      <w:r>
        <w:t>excluded</w:t>
      </w:r>
      <w:r>
        <w:rPr>
          <w:spacing w:val="-7"/>
        </w:rPr>
        <w:t xml:space="preserve"> </w:t>
      </w:r>
      <w:r>
        <w:t>students</w:t>
      </w:r>
      <w:r>
        <w:rPr>
          <w:spacing w:val="-7"/>
        </w:rPr>
        <w:t xml:space="preserve"> </w:t>
      </w:r>
      <w:r>
        <w:t>by</w:t>
      </w:r>
      <w:r>
        <w:rPr>
          <w:spacing w:val="-7"/>
        </w:rPr>
        <w:t xml:space="preserve"> </w:t>
      </w:r>
      <w:r>
        <w:t>the</w:t>
      </w:r>
      <w:r>
        <w:rPr>
          <w:spacing w:val="-7"/>
        </w:rPr>
        <w:t xml:space="preserve"> </w:t>
      </w:r>
      <w:r>
        <w:t>sum</w:t>
      </w:r>
      <w:r>
        <w:rPr>
          <w:spacing w:val="-7"/>
        </w:rPr>
        <w:t xml:space="preserve"> </w:t>
      </w:r>
      <w:r>
        <w:t>for</w:t>
      </w:r>
      <w:r>
        <w:rPr>
          <w:spacing w:val="-7"/>
        </w:rPr>
        <w:t xml:space="preserve"> </w:t>
      </w:r>
      <w:r>
        <w:t>all assessable and excluded students.</w:t>
      </w:r>
    </w:p>
    <w:p w:rsidR="003F5784" w14:paraId="1A1DE9A2" w14:textId="77777777">
      <w:pPr>
        <w:pStyle w:val="BodyText"/>
        <w:spacing w:before="209" w:line="232" w:lineRule="auto"/>
        <w:ind w:left="109"/>
      </w:pPr>
      <w:r>
        <w:t>Weighted</w:t>
      </w:r>
      <w:r>
        <w:rPr>
          <w:spacing w:val="-7"/>
        </w:rPr>
        <w:t xml:space="preserve"> </w:t>
      </w:r>
      <w:r>
        <w:t>student</w:t>
      </w:r>
      <w:r>
        <w:rPr>
          <w:spacing w:val="-7"/>
        </w:rPr>
        <w:t xml:space="preserve"> </w:t>
      </w:r>
      <w:r>
        <w:t>full-time</w:t>
      </w:r>
      <w:r>
        <w:rPr>
          <w:spacing w:val="-7"/>
        </w:rPr>
        <w:t xml:space="preserve"> </w:t>
      </w:r>
      <w:r>
        <w:t>remote</w:t>
      </w:r>
      <w:r>
        <w:rPr>
          <w:spacing w:val="-7"/>
        </w:rPr>
        <w:t xml:space="preserve"> </w:t>
      </w:r>
      <w:r>
        <w:t>rates</w:t>
      </w:r>
      <w:r>
        <w:rPr>
          <w:spacing w:val="-7"/>
        </w:rPr>
        <w:t xml:space="preserve"> </w:t>
      </w:r>
      <w:r>
        <w:t>are</w:t>
      </w:r>
      <w:r>
        <w:rPr>
          <w:spacing w:val="-7"/>
        </w:rPr>
        <w:t xml:space="preserve"> </w:t>
      </w:r>
      <w:r>
        <w:t>calculated</w:t>
      </w:r>
      <w:r>
        <w:rPr>
          <w:spacing w:val="-7"/>
        </w:rPr>
        <w:t xml:space="preserve"> </w:t>
      </w:r>
      <w:r>
        <w:t>by</w:t>
      </w:r>
      <w:r>
        <w:rPr>
          <w:spacing w:val="-7"/>
        </w:rPr>
        <w:t xml:space="preserve"> </w:t>
      </w:r>
      <w:r>
        <w:t>dividing</w:t>
      </w:r>
      <w:r>
        <w:rPr>
          <w:spacing w:val="-7"/>
        </w:rPr>
        <w:t xml:space="preserve"> </w:t>
      </w:r>
      <w:r>
        <w:t>the</w:t>
      </w:r>
      <w:r>
        <w:rPr>
          <w:spacing w:val="-7"/>
        </w:rPr>
        <w:t xml:space="preserve"> </w:t>
      </w:r>
      <w:r>
        <w:t>sum</w:t>
      </w:r>
      <w:r>
        <w:rPr>
          <w:spacing w:val="-7"/>
        </w:rPr>
        <w:t xml:space="preserve"> </w:t>
      </w:r>
      <w:r>
        <w:t>of</w:t>
      </w:r>
      <w:r>
        <w:rPr>
          <w:spacing w:val="-7"/>
        </w:rPr>
        <w:t xml:space="preserve"> </w:t>
      </w:r>
      <w:r>
        <w:t>the</w:t>
      </w:r>
      <w:r>
        <w:rPr>
          <w:spacing w:val="-7"/>
        </w:rPr>
        <w:t xml:space="preserve"> </w:t>
      </w:r>
      <w:r>
        <w:t>school</w:t>
      </w:r>
      <w:r>
        <w:rPr>
          <w:spacing w:val="-7"/>
        </w:rPr>
        <w:t xml:space="preserve"> </w:t>
      </w:r>
      <w:r>
        <w:t>nonresponse-adjusted</w:t>
      </w:r>
      <w:r>
        <w:rPr>
          <w:spacing w:val="-7"/>
        </w:rPr>
        <w:t xml:space="preserve"> </w:t>
      </w:r>
      <w:r>
        <w:t>student</w:t>
      </w:r>
      <w:r>
        <w:rPr>
          <w:spacing w:val="-7"/>
        </w:rPr>
        <w:t xml:space="preserve"> </w:t>
      </w:r>
      <w:r>
        <w:t>base</w:t>
      </w:r>
      <w:r>
        <w:rPr>
          <w:spacing w:val="-7"/>
        </w:rPr>
        <w:t xml:space="preserve"> </w:t>
      </w:r>
      <w:r>
        <w:t>weights</w:t>
      </w:r>
      <w:r>
        <w:rPr>
          <w:spacing w:val="-7"/>
        </w:rPr>
        <w:t xml:space="preserve"> </w:t>
      </w:r>
      <w:r>
        <w:t>for</w:t>
      </w:r>
      <w:r>
        <w:rPr>
          <w:spacing w:val="-7"/>
        </w:rPr>
        <w:t xml:space="preserve"> </w:t>
      </w:r>
      <w:r>
        <w:t>all</w:t>
      </w:r>
      <w:r>
        <w:rPr>
          <w:spacing w:val="-7"/>
        </w:rPr>
        <w:t xml:space="preserve"> </w:t>
      </w:r>
      <w:r>
        <w:t>full-time</w:t>
      </w:r>
      <w:r>
        <w:rPr>
          <w:spacing w:val="-7"/>
        </w:rPr>
        <w:t xml:space="preserve"> </w:t>
      </w:r>
      <w:r>
        <w:t>remote</w:t>
      </w:r>
      <w:r>
        <w:rPr>
          <w:spacing w:val="-7"/>
        </w:rPr>
        <w:t xml:space="preserve"> </w:t>
      </w:r>
      <w:r>
        <w:t>students</w:t>
      </w:r>
      <w:r>
        <w:rPr>
          <w:spacing w:val="-7"/>
        </w:rPr>
        <w:t xml:space="preserve"> </w:t>
      </w:r>
      <w:r>
        <w:t>by</w:t>
      </w:r>
      <w:r>
        <w:rPr>
          <w:spacing w:val="-7"/>
        </w:rPr>
        <w:t xml:space="preserve"> </w:t>
      </w:r>
      <w:r>
        <w:t>the</w:t>
      </w:r>
      <w:r>
        <w:rPr>
          <w:spacing w:val="-7"/>
        </w:rPr>
        <w:t xml:space="preserve"> </w:t>
      </w:r>
      <w:r>
        <w:t>sum for all assessable, excluded, and full-time remote students.</w:t>
      </w:r>
    </w:p>
    <w:p w:rsidR="003F5784" w14:paraId="0898BDAD" w14:textId="77777777">
      <w:pPr>
        <w:pStyle w:val="BodyText"/>
        <w:spacing w:before="5" w:line="440" w:lineRule="atLeast"/>
        <w:ind w:left="422" w:right="6183" w:hanging="313"/>
      </w:pPr>
      <w:r>
        <w:t>Every</w:t>
      </w:r>
      <w:r>
        <w:rPr>
          <w:spacing w:val="-8"/>
        </w:rPr>
        <w:t xml:space="preserve"> </w:t>
      </w:r>
      <w:r>
        <w:t>student</w:t>
      </w:r>
      <w:r>
        <w:rPr>
          <w:spacing w:val="-8"/>
        </w:rPr>
        <w:t xml:space="preserve"> </w:t>
      </w:r>
      <w:r>
        <w:t>sampled</w:t>
      </w:r>
      <w:r>
        <w:rPr>
          <w:spacing w:val="-8"/>
        </w:rPr>
        <w:t xml:space="preserve"> </w:t>
      </w:r>
      <w:r>
        <w:t>for</w:t>
      </w:r>
      <w:r>
        <w:rPr>
          <w:spacing w:val="-8"/>
        </w:rPr>
        <w:t xml:space="preserve"> </w:t>
      </w:r>
      <w:r>
        <w:t>NAEP</w:t>
      </w:r>
      <w:r>
        <w:rPr>
          <w:spacing w:val="-14"/>
        </w:rPr>
        <w:t xml:space="preserve"> </w:t>
      </w:r>
      <w:r>
        <w:t>is</w:t>
      </w:r>
      <w:r>
        <w:rPr>
          <w:spacing w:val="-7"/>
        </w:rPr>
        <w:t xml:space="preserve"> </w:t>
      </w:r>
      <w:r>
        <w:t>classified</w:t>
      </w:r>
      <w:r>
        <w:rPr>
          <w:spacing w:val="-8"/>
        </w:rPr>
        <w:t xml:space="preserve"> </w:t>
      </w:r>
      <w:r>
        <w:t>into</w:t>
      </w:r>
      <w:r>
        <w:rPr>
          <w:spacing w:val="-8"/>
        </w:rPr>
        <w:t xml:space="preserve"> </w:t>
      </w:r>
      <w:r>
        <w:t>one</w:t>
      </w:r>
      <w:r>
        <w:rPr>
          <w:spacing w:val="-8"/>
        </w:rPr>
        <w:t xml:space="preserve"> </w:t>
      </w:r>
      <w:r>
        <w:t>of</w:t>
      </w:r>
      <w:r>
        <w:rPr>
          <w:spacing w:val="-8"/>
        </w:rPr>
        <w:t xml:space="preserve"> </w:t>
      </w:r>
      <w:r>
        <w:t>the</w:t>
      </w:r>
      <w:r>
        <w:rPr>
          <w:spacing w:val="-8"/>
        </w:rPr>
        <w:t xml:space="preserve"> </w:t>
      </w:r>
      <w:r>
        <w:t>following</w:t>
      </w:r>
      <w:r>
        <w:rPr>
          <w:spacing w:val="-8"/>
        </w:rPr>
        <w:t xml:space="preserve"> </w:t>
      </w:r>
      <w:r>
        <w:t>response</w:t>
      </w:r>
      <w:r>
        <w:rPr>
          <w:spacing w:val="-8"/>
        </w:rPr>
        <w:t xml:space="preserve"> </w:t>
      </w:r>
      <w:r>
        <w:t>disposition</w:t>
      </w:r>
      <w:r>
        <w:rPr>
          <w:spacing w:val="-8"/>
        </w:rPr>
        <w:t xml:space="preserve"> </w:t>
      </w:r>
      <w:r>
        <w:t xml:space="preserve">categories: </w:t>
      </w:r>
      <w:r>
        <w:rPr>
          <w:noProof/>
          <w:position w:val="3"/>
        </w:rPr>
        <w:drawing>
          <wp:inline distT="0" distB="0" distL="0" distR="0">
            <wp:extent cx="41379" cy="41345"/>
            <wp:effectExtent l="0" t="0" r="0" b="0"/>
            <wp:docPr id="110" name="Image 110"/>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xmlns:r="http://schemas.openxmlformats.org/officeDocument/2006/relationships" r:embed="rId91" cstate="print"/>
                    <a:stretch>
                      <a:fillRect/>
                    </a:stretch>
                  </pic:blipFill>
                  <pic:spPr>
                    <a:xfrm>
                      <a:off x="0" y="0"/>
                      <a:ext cx="41379" cy="41345"/>
                    </a:xfrm>
                    <a:prstGeom prst="rect">
                      <a:avLst/>
                    </a:prstGeom>
                  </pic:spPr>
                </pic:pic>
              </a:graphicData>
            </a:graphic>
          </wp:inline>
        </w:drawing>
      </w:r>
      <w:r>
        <w:rPr>
          <w:spacing w:val="40"/>
        </w:rPr>
        <w:t xml:space="preserve"> </w:t>
      </w:r>
      <w:r>
        <w:t>Assessed</w:t>
      </w:r>
    </w:p>
    <w:p w:rsidR="003F5784" w14:paraId="66B156CF" w14:textId="77777777">
      <w:pPr>
        <w:pStyle w:val="BodyText"/>
        <w:spacing w:line="234" w:lineRule="exact"/>
        <w:ind w:left="422"/>
      </w:pPr>
      <w:r>
        <w:rPr>
          <w:noProof/>
          <w:position w:val="3"/>
        </w:rPr>
        <w:drawing>
          <wp:inline distT="0" distB="0" distL="0" distR="0">
            <wp:extent cx="41379" cy="41345"/>
            <wp:effectExtent l="0" t="0" r="0" b="0"/>
            <wp:docPr id="111" name="Image 111"/>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xmlns:r="http://schemas.openxmlformats.org/officeDocument/2006/relationships" r:embed="rId92" cstate="print"/>
                    <a:stretch>
                      <a:fillRect/>
                    </a:stretch>
                  </pic:blipFill>
                  <pic:spPr>
                    <a:xfrm>
                      <a:off x="0" y="0"/>
                      <a:ext cx="41379" cy="41345"/>
                    </a:xfrm>
                    <a:prstGeom prst="rect">
                      <a:avLst/>
                    </a:prstGeom>
                  </pic:spPr>
                </pic:pic>
              </a:graphicData>
            </a:graphic>
          </wp:inline>
        </w:drawing>
      </w:r>
      <w:r>
        <w:rPr>
          <w:spacing w:val="80"/>
          <w:sz w:val="20"/>
        </w:rPr>
        <w:t xml:space="preserve"> </w:t>
      </w:r>
      <w:r>
        <w:t>Absent</w:t>
      </w:r>
    </w:p>
    <w:p w:rsidR="003F5784" w14:paraId="3C5C2F8C" w14:textId="77777777">
      <w:pPr>
        <w:pStyle w:val="BodyText"/>
        <w:spacing w:line="238" w:lineRule="exact"/>
        <w:ind w:left="422"/>
      </w:pPr>
      <w:r>
        <w:rPr>
          <w:noProof/>
          <w:position w:val="3"/>
        </w:rPr>
        <w:drawing>
          <wp:inline distT="0" distB="0" distL="0" distR="0">
            <wp:extent cx="41379" cy="41378"/>
            <wp:effectExtent l="0" t="0" r="0" b="0"/>
            <wp:docPr id="112" name="Image 112"/>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xmlns:r="http://schemas.openxmlformats.org/officeDocument/2006/relationships" r:embed="rId93" cstate="print"/>
                    <a:stretch>
                      <a:fillRect/>
                    </a:stretch>
                  </pic:blipFill>
                  <pic:spPr>
                    <a:xfrm>
                      <a:off x="0" y="0"/>
                      <a:ext cx="41379" cy="41378"/>
                    </a:xfrm>
                    <a:prstGeom prst="rect">
                      <a:avLst/>
                    </a:prstGeom>
                  </pic:spPr>
                </pic:pic>
              </a:graphicData>
            </a:graphic>
          </wp:inline>
        </w:drawing>
      </w:r>
      <w:r>
        <w:rPr>
          <w:spacing w:val="80"/>
          <w:sz w:val="20"/>
        </w:rPr>
        <w:t xml:space="preserve"> </w:t>
      </w:r>
      <w:r>
        <w:t>Excluded (must be SD, EL, or SD and EL)</w:t>
      </w:r>
    </w:p>
    <w:p w:rsidR="003F5784" w14:paraId="3798DA5D" w14:textId="77777777">
      <w:pPr>
        <w:spacing w:line="238" w:lineRule="exact"/>
        <w:sectPr>
          <w:type w:val="continuous"/>
          <w:pgSz w:w="15840" w:h="12240" w:orient="landscape"/>
          <w:pgMar w:top="480" w:right="440" w:bottom="460" w:left="460" w:header="284" w:footer="275" w:gutter="0"/>
          <w:cols w:space="720"/>
        </w:sectPr>
      </w:pPr>
    </w:p>
    <w:p w:rsidR="003F5784" w14:paraId="7DFDE6B7" w14:textId="77777777">
      <w:pPr>
        <w:pStyle w:val="BodyText"/>
        <w:spacing w:before="78" w:line="232" w:lineRule="auto"/>
        <w:ind w:left="422" w:right="11249"/>
      </w:pPr>
      <w:r>
        <w:rPr>
          <w:noProof/>
          <w:position w:val="3"/>
        </w:rPr>
        <w:drawing>
          <wp:inline distT="0" distB="0" distL="0" distR="0">
            <wp:extent cx="41379" cy="41345"/>
            <wp:effectExtent l="0" t="0" r="0" b="0"/>
            <wp:docPr id="113" name="Image 113"/>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xmlns:r="http://schemas.openxmlformats.org/officeDocument/2006/relationships" r:embed="rId94" cstate="print"/>
                    <a:stretch>
                      <a:fillRect/>
                    </a:stretch>
                  </pic:blipFill>
                  <pic:spPr>
                    <a:xfrm>
                      <a:off x="0" y="0"/>
                      <a:ext cx="41379" cy="41345"/>
                    </a:xfrm>
                    <a:prstGeom prst="rect">
                      <a:avLst/>
                    </a:prstGeom>
                  </pic:spPr>
                </pic:pic>
              </a:graphicData>
            </a:graphic>
          </wp:inline>
        </w:drawing>
      </w:r>
      <w:r>
        <w:rPr>
          <w:spacing w:val="62"/>
          <w:sz w:val="20"/>
        </w:rPr>
        <w:t xml:space="preserve"> </w:t>
      </w:r>
      <w:r>
        <w:t>Withdrawn</w:t>
      </w:r>
      <w:r>
        <w:rPr>
          <w:spacing w:val="-13"/>
        </w:rPr>
        <w:t xml:space="preserve"> </w:t>
      </w:r>
      <w:r>
        <w:t>or</w:t>
      </w:r>
      <w:r>
        <w:rPr>
          <w:spacing w:val="-13"/>
        </w:rPr>
        <w:t xml:space="preserve"> </w:t>
      </w:r>
      <w:r>
        <w:t>Graduated</w:t>
      </w:r>
      <w:r>
        <w:rPr>
          <w:spacing w:val="-13"/>
        </w:rPr>
        <w:t xml:space="preserve"> </w:t>
      </w:r>
      <w:r>
        <w:t xml:space="preserve">(ineligible) </w:t>
      </w:r>
      <w:r>
        <w:rPr>
          <w:noProof/>
          <w:position w:val="3"/>
        </w:rPr>
        <w:drawing>
          <wp:inline distT="0" distB="0" distL="0" distR="0">
            <wp:extent cx="41379" cy="41345"/>
            <wp:effectExtent l="0" t="0" r="0" b="0"/>
            <wp:docPr id="114" name="Image 114"/>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xmlns:r="http://schemas.openxmlformats.org/officeDocument/2006/relationships" r:embed="rId95" cstate="print"/>
                    <a:stretch>
                      <a:fillRect/>
                    </a:stretch>
                  </pic:blipFill>
                  <pic:spPr>
                    <a:xfrm>
                      <a:off x="0" y="0"/>
                      <a:ext cx="41379" cy="41345"/>
                    </a:xfrm>
                    <a:prstGeom prst="rect">
                      <a:avLst/>
                    </a:prstGeom>
                  </pic:spPr>
                </pic:pic>
              </a:graphicData>
            </a:graphic>
          </wp:inline>
        </w:drawing>
      </w:r>
      <w:r>
        <w:rPr>
          <w:spacing w:val="80"/>
        </w:rPr>
        <w:t xml:space="preserve"> </w:t>
      </w:r>
      <w:r>
        <w:t>Full-time remote</w:t>
      </w:r>
    </w:p>
    <w:p w:rsidR="003F5784" w14:paraId="1088FEE2" w14:textId="77777777">
      <w:pPr>
        <w:pStyle w:val="BodyText"/>
      </w:pPr>
    </w:p>
    <w:p w:rsidR="003F5784" w14:paraId="72A6D613" w14:textId="77777777">
      <w:pPr>
        <w:pStyle w:val="BodyText"/>
        <w:spacing w:before="163"/>
      </w:pPr>
    </w:p>
    <w:p w:rsidR="003F5784" w14:paraId="056F9D07" w14:textId="77777777">
      <w:pPr>
        <w:pStyle w:val="BodyText"/>
        <w:spacing w:before="1"/>
        <w:ind w:left="109"/>
      </w:pPr>
      <w:r>
        <w:t>Assessed</w:t>
      </w:r>
      <w:r>
        <w:rPr>
          <w:spacing w:val="-7"/>
        </w:rPr>
        <w:t xml:space="preserve"> </w:t>
      </w:r>
      <w:r>
        <w:t>students</w:t>
      </w:r>
      <w:r>
        <w:rPr>
          <w:spacing w:val="-7"/>
        </w:rPr>
        <w:t xml:space="preserve"> </w:t>
      </w:r>
      <w:r>
        <w:t>were</w:t>
      </w:r>
      <w:r>
        <w:rPr>
          <w:spacing w:val="-6"/>
        </w:rPr>
        <w:t xml:space="preserve"> </w:t>
      </w:r>
      <w:r>
        <w:t>students</w:t>
      </w:r>
      <w:r>
        <w:rPr>
          <w:spacing w:val="-7"/>
        </w:rPr>
        <w:t xml:space="preserve"> </w:t>
      </w:r>
      <w:r>
        <w:t>that</w:t>
      </w:r>
      <w:r>
        <w:rPr>
          <w:spacing w:val="-7"/>
        </w:rPr>
        <w:t xml:space="preserve"> </w:t>
      </w:r>
      <w:r>
        <w:t>completed</w:t>
      </w:r>
      <w:r>
        <w:rPr>
          <w:spacing w:val="-6"/>
        </w:rPr>
        <w:t xml:space="preserve"> </w:t>
      </w:r>
      <w:r>
        <w:t>an</w:t>
      </w:r>
      <w:r>
        <w:rPr>
          <w:spacing w:val="-7"/>
        </w:rPr>
        <w:t xml:space="preserve"> </w:t>
      </w:r>
      <w:r>
        <w:rPr>
          <w:spacing w:val="-2"/>
        </w:rPr>
        <w:t>assessment.</w:t>
      </w:r>
    </w:p>
    <w:p w:rsidR="003F5784" w14:paraId="25E7CE6A" w14:textId="77777777">
      <w:pPr>
        <w:pStyle w:val="BodyText"/>
        <w:spacing w:before="207" w:line="232" w:lineRule="auto"/>
        <w:ind w:left="109"/>
      </w:pPr>
      <w:r>
        <w:t>Absent</w:t>
      </w:r>
      <w:r>
        <w:rPr>
          <w:spacing w:val="-6"/>
        </w:rPr>
        <w:t xml:space="preserve"> </w:t>
      </w:r>
      <w:r>
        <w:t>students</w:t>
      </w:r>
      <w:r>
        <w:rPr>
          <w:spacing w:val="-6"/>
        </w:rPr>
        <w:t xml:space="preserve"> </w:t>
      </w:r>
      <w:r>
        <w:t>were</w:t>
      </w:r>
      <w:r>
        <w:rPr>
          <w:spacing w:val="-6"/>
        </w:rPr>
        <w:t xml:space="preserve"> </w:t>
      </w:r>
      <w:r>
        <w:t>students</w:t>
      </w:r>
      <w:r>
        <w:rPr>
          <w:spacing w:val="-6"/>
        </w:rPr>
        <w:t xml:space="preserve"> </w:t>
      </w:r>
      <w:r>
        <w:t>who</w:t>
      </w:r>
      <w:r>
        <w:rPr>
          <w:spacing w:val="-6"/>
        </w:rPr>
        <w:t xml:space="preserve"> </w:t>
      </w:r>
      <w:r>
        <w:t>were</w:t>
      </w:r>
      <w:r>
        <w:rPr>
          <w:spacing w:val="-6"/>
        </w:rPr>
        <w:t xml:space="preserve"> </w:t>
      </w:r>
      <w:r>
        <w:t>eligible</w:t>
      </w:r>
      <w:r>
        <w:rPr>
          <w:spacing w:val="-6"/>
        </w:rPr>
        <w:t xml:space="preserve"> </w:t>
      </w:r>
      <w:r>
        <w:t>to</w:t>
      </w:r>
      <w:r>
        <w:rPr>
          <w:spacing w:val="-6"/>
        </w:rPr>
        <w:t xml:space="preserve"> </w:t>
      </w:r>
      <w:r>
        <w:t>take</w:t>
      </w:r>
      <w:r>
        <w:rPr>
          <w:spacing w:val="-6"/>
        </w:rPr>
        <w:t xml:space="preserve"> </w:t>
      </w:r>
      <w:r>
        <w:t>an</w:t>
      </w:r>
      <w:r>
        <w:rPr>
          <w:spacing w:val="-6"/>
        </w:rPr>
        <w:t xml:space="preserve"> </w:t>
      </w:r>
      <w:r>
        <w:t>assessment</w:t>
      </w:r>
      <w:r>
        <w:rPr>
          <w:spacing w:val="-6"/>
        </w:rPr>
        <w:t xml:space="preserve"> </w:t>
      </w:r>
      <w:r>
        <w:t>but</w:t>
      </w:r>
      <w:r>
        <w:rPr>
          <w:spacing w:val="-6"/>
        </w:rPr>
        <w:t xml:space="preserve"> </w:t>
      </w:r>
      <w:r>
        <w:t>were</w:t>
      </w:r>
      <w:r>
        <w:rPr>
          <w:spacing w:val="-6"/>
        </w:rPr>
        <w:t xml:space="preserve"> </w:t>
      </w:r>
      <w:r>
        <w:t>absent</w:t>
      </w:r>
      <w:r>
        <w:rPr>
          <w:spacing w:val="-6"/>
        </w:rPr>
        <w:t xml:space="preserve"> </w:t>
      </w:r>
      <w:r>
        <w:t>from</w:t>
      </w:r>
      <w:r>
        <w:rPr>
          <w:spacing w:val="-6"/>
        </w:rPr>
        <w:t xml:space="preserve"> </w:t>
      </w:r>
      <w:r>
        <w:t>the</w:t>
      </w:r>
      <w:r>
        <w:rPr>
          <w:spacing w:val="-6"/>
        </w:rPr>
        <w:t xml:space="preserve"> </w:t>
      </w:r>
      <w:r>
        <w:t>initial</w:t>
      </w:r>
      <w:r>
        <w:rPr>
          <w:spacing w:val="-6"/>
        </w:rPr>
        <w:t xml:space="preserve"> </w:t>
      </w:r>
      <w:r>
        <w:t>session</w:t>
      </w:r>
      <w:r>
        <w:rPr>
          <w:spacing w:val="-6"/>
        </w:rPr>
        <w:t xml:space="preserve"> </w:t>
      </w:r>
      <w:r>
        <w:t>and</w:t>
      </w:r>
      <w:r>
        <w:rPr>
          <w:spacing w:val="-6"/>
        </w:rPr>
        <w:t xml:space="preserve"> </w:t>
      </w:r>
      <w:r>
        <w:t>the</w:t>
      </w:r>
      <w:r>
        <w:rPr>
          <w:spacing w:val="-6"/>
        </w:rPr>
        <w:t xml:space="preserve"> </w:t>
      </w:r>
      <w:r>
        <w:t>makeup</w:t>
      </w:r>
      <w:r>
        <w:rPr>
          <w:spacing w:val="-6"/>
        </w:rPr>
        <w:t xml:space="preserve"> </w:t>
      </w:r>
      <w:r>
        <w:t>session</w:t>
      </w:r>
      <w:r>
        <w:rPr>
          <w:spacing w:val="-6"/>
        </w:rPr>
        <w:t xml:space="preserve"> </w:t>
      </w:r>
      <w:r>
        <w:t>if</w:t>
      </w:r>
      <w:r>
        <w:rPr>
          <w:spacing w:val="-6"/>
        </w:rPr>
        <w:t xml:space="preserve"> </w:t>
      </w:r>
      <w:r>
        <w:t>one</w:t>
      </w:r>
      <w:r>
        <w:rPr>
          <w:spacing w:val="-6"/>
        </w:rPr>
        <w:t xml:space="preserve"> </w:t>
      </w:r>
      <w:r>
        <w:t>was</w:t>
      </w:r>
      <w:r>
        <w:rPr>
          <w:spacing w:val="-6"/>
        </w:rPr>
        <w:t xml:space="preserve"> </w:t>
      </w:r>
      <w:r>
        <w:t>offered.</w:t>
      </w:r>
      <w:r>
        <w:rPr>
          <w:spacing w:val="-6"/>
        </w:rPr>
        <w:t xml:space="preserve"> </w:t>
      </w:r>
      <w:r>
        <w:t>(Note,</w:t>
      </w:r>
      <w:r>
        <w:rPr>
          <w:spacing w:val="-6"/>
        </w:rPr>
        <w:t xml:space="preserve"> </w:t>
      </w:r>
      <w:r>
        <w:t>some</w:t>
      </w:r>
      <w:r>
        <w:rPr>
          <w:spacing w:val="-6"/>
        </w:rPr>
        <w:t xml:space="preserve"> </w:t>
      </w:r>
      <w:r>
        <w:t>schools, not all, had make-up sessions for students who were absent from the initial session.)</w:t>
      </w:r>
    </w:p>
    <w:p w:rsidR="003F5784" w14:paraId="48E68D2D" w14:textId="77777777">
      <w:pPr>
        <w:pStyle w:val="BodyText"/>
        <w:spacing w:before="209" w:line="232" w:lineRule="auto"/>
        <w:ind w:left="109"/>
      </w:pPr>
      <w:r>
        <w:t>Excluded</w:t>
      </w:r>
      <w:r>
        <w:rPr>
          <w:spacing w:val="-6"/>
        </w:rPr>
        <w:t xml:space="preserve"> </w:t>
      </w:r>
      <w:r>
        <w:t>students</w:t>
      </w:r>
      <w:r>
        <w:rPr>
          <w:spacing w:val="-6"/>
        </w:rPr>
        <w:t xml:space="preserve"> </w:t>
      </w:r>
      <w:r>
        <w:t>were</w:t>
      </w:r>
      <w:r>
        <w:rPr>
          <w:spacing w:val="-6"/>
        </w:rPr>
        <w:t xml:space="preserve"> </w:t>
      </w:r>
      <w:r>
        <w:t>determined</w:t>
      </w:r>
      <w:r>
        <w:rPr>
          <w:spacing w:val="-6"/>
        </w:rPr>
        <w:t xml:space="preserve"> </w:t>
      </w:r>
      <w:r>
        <w:t>by</w:t>
      </w:r>
      <w:r>
        <w:rPr>
          <w:spacing w:val="-6"/>
        </w:rPr>
        <w:t xml:space="preserve"> </w:t>
      </w:r>
      <w:r>
        <w:t>their</w:t>
      </w:r>
      <w:r>
        <w:rPr>
          <w:spacing w:val="-6"/>
        </w:rPr>
        <w:t xml:space="preserve"> </w:t>
      </w:r>
      <w:r>
        <w:t>school</w:t>
      </w:r>
      <w:r>
        <w:rPr>
          <w:spacing w:val="-6"/>
        </w:rPr>
        <w:t xml:space="preserve"> </w:t>
      </w:r>
      <w:r>
        <w:t>to</w:t>
      </w:r>
      <w:r>
        <w:rPr>
          <w:spacing w:val="-6"/>
        </w:rPr>
        <w:t xml:space="preserve"> </w:t>
      </w:r>
      <w:r>
        <w:t>be</w:t>
      </w:r>
      <w:r>
        <w:rPr>
          <w:spacing w:val="-6"/>
        </w:rPr>
        <w:t xml:space="preserve"> </w:t>
      </w:r>
      <w:r>
        <w:t>unable</w:t>
      </w:r>
      <w:r>
        <w:rPr>
          <w:spacing w:val="-6"/>
        </w:rPr>
        <w:t xml:space="preserve"> </w:t>
      </w:r>
      <w:r>
        <w:t>to</w:t>
      </w:r>
      <w:r>
        <w:rPr>
          <w:spacing w:val="-6"/>
        </w:rPr>
        <w:t xml:space="preserve"> </w:t>
      </w:r>
      <w:r>
        <w:t>meaningfully</w:t>
      </w:r>
      <w:r>
        <w:rPr>
          <w:spacing w:val="-6"/>
        </w:rPr>
        <w:t xml:space="preserve"> </w:t>
      </w:r>
      <w:r>
        <w:t>take</w:t>
      </w:r>
      <w:r>
        <w:rPr>
          <w:spacing w:val="-6"/>
        </w:rPr>
        <w:t xml:space="preserve"> </w:t>
      </w:r>
      <w:r>
        <w:t>the</w:t>
      </w:r>
      <w:r>
        <w:rPr>
          <w:spacing w:val="-6"/>
        </w:rPr>
        <w:t xml:space="preserve"> </w:t>
      </w:r>
      <w:r>
        <w:t>NAEP</w:t>
      </w:r>
      <w:r>
        <w:rPr>
          <w:spacing w:val="-14"/>
        </w:rPr>
        <w:t xml:space="preserve"> </w:t>
      </w:r>
      <w:r>
        <w:t>assessment</w:t>
      </w:r>
      <w:r>
        <w:rPr>
          <w:spacing w:val="-5"/>
        </w:rPr>
        <w:t xml:space="preserve"> </w:t>
      </w:r>
      <w:r>
        <w:t>in</w:t>
      </w:r>
      <w:r>
        <w:rPr>
          <w:spacing w:val="-6"/>
        </w:rPr>
        <w:t xml:space="preserve"> </w:t>
      </w:r>
      <w:r>
        <w:t>their</w:t>
      </w:r>
      <w:r>
        <w:rPr>
          <w:spacing w:val="-6"/>
        </w:rPr>
        <w:t xml:space="preserve"> </w:t>
      </w:r>
      <w:r>
        <w:t>assigned</w:t>
      </w:r>
      <w:r>
        <w:rPr>
          <w:spacing w:val="-6"/>
        </w:rPr>
        <w:t xml:space="preserve"> </w:t>
      </w:r>
      <w:r>
        <w:t>subject,</w:t>
      </w:r>
      <w:r>
        <w:rPr>
          <w:spacing w:val="-6"/>
        </w:rPr>
        <w:t xml:space="preserve"> </w:t>
      </w:r>
      <w:r>
        <w:t>even</w:t>
      </w:r>
      <w:r>
        <w:rPr>
          <w:spacing w:val="-6"/>
        </w:rPr>
        <w:t xml:space="preserve"> </w:t>
      </w:r>
      <w:r>
        <w:t>with</w:t>
      </w:r>
      <w:r>
        <w:rPr>
          <w:spacing w:val="-6"/>
        </w:rPr>
        <w:t xml:space="preserve"> </w:t>
      </w:r>
      <w:r>
        <w:t>an</w:t>
      </w:r>
      <w:r>
        <w:rPr>
          <w:spacing w:val="-6"/>
        </w:rPr>
        <w:t xml:space="preserve"> </w:t>
      </w:r>
      <w:r>
        <w:t>accommodation.</w:t>
      </w:r>
      <w:r>
        <w:rPr>
          <w:spacing w:val="-6"/>
        </w:rPr>
        <w:t xml:space="preserve"> </w:t>
      </w:r>
      <w:r>
        <w:t>Excluded students must also be classified as SD and/or EL.</w:t>
      </w:r>
    </w:p>
    <w:p w:rsidR="003F5784" w14:paraId="4FC2DAED" w14:textId="77777777">
      <w:pPr>
        <w:pStyle w:val="BodyText"/>
        <w:spacing w:before="204" w:line="439" w:lineRule="auto"/>
        <w:ind w:left="109" w:right="2245"/>
      </w:pPr>
      <w:r>
        <w:t>Withdrawn</w:t>
      </w:r>
      <w:r>
        <w:rPr>
          <w:spacing w:val="-8"/>
        </w:rPr>
        <w:t xml:space="preserve"> </w:t>
      </w:r>
      <w:r>
        <w:t>or</w:t>
      </w:r>
      <w:r>
        <w:rPr>
          <w:spacing w:val="-8"/>
        </w:rPr>
        <w:t xml:space="preserve"> </w:t>
      </w:r>
      <w:r>
        <w:t>graduated</w:t>
      </w:r>
      <w:r>
        <w:rPr>
          <w:spacing w:val="-8"/>
        </w:rPr>
        <w:t xml:space="preserve"> </w:t>
      </w:r>
      <w:r>
        <w:t>students</w:t>
      </w:r>
      <w:r>
        <w:rPr>
          <w:spacing w:val="-8"/>
        </w:rPr>
        <w:t xml:space="preserve"> </w:t>
      </w:r>
      <w:r>
        <w:t>are</w:t>
      </w:r>
      <w:r>
        <w:rPr>
          <w:spacing w:val="-8"/>
        </w:rPr>
        <w:t xml:space="preserve"> </w:t>
      </w:r>
      <w:r>
        <w:t>those</w:t>
      </w:r>
      <w:r>
        <w:rPr>
          <w:spacing w:val="-8"/>
        </w:rPr>
        <w:t xml:space="preserve"> </w:t>
      </w:r>
      <w:r>
        <w:t>who</w:t>
      </w:r>
      <w:r>
        <w:rPr>
          <w:spacing w:val="-8"/>
        </w:rPr>
        <w:t xml:space="preserve"> </w:t>
      </w:r>
      <w:r>
        <w:t>have</w:t>
      </w:r>
      <w:r>
        <w:rPr>
          <w:spacing w:val="-8"/>
        </w:rPr>
        <w:t xml:space="preserve"> </w:t>
      </w:r>
      <w:r>
        <w:t>left</w:t>
      </w:r>
      <w:r>
        <w:rPr>
          <w:spacing w:val="-8"/>
        </w:rPr>
        <w:t xml:space="preserve"> </w:t>
      </w:r>
      <w:r>
        <w:t>the</w:t>
      </w:r>
      <w:r>
        <w:rPr>
          <w:spacing w:val="-8"/>
        </w:rPr>
        <w:t xml:space="preserve"> </w:t>
      </w:r>
      <w:r>
        <w:t>school</w:t>
      </w:r>
      <w:r>
        <w:rPr>
          <w:spacing w:val="-8"/>
        </w:rPr>
        <w:t xml:space="preserve"> </w:t>
      </w:r>
      <w:r>
        <w:t>before</w:t>
      </w:r>
      <w:r>
        <w:rPr>
          <w:spacing w:val="-8"/>
        </w:rPr>
        <w:t xml:space="preserve"> </w:t>
      </w:r>
      <w:r>
        <w:t>the</w:t>
      </w:r>
      <w:r>
        <w:rPr>
          <w:spacing w:val="-8"/>
        </w:rPr>
        <w:t xml:space="preserve"> </w:t>
      </w:r>
      <w:r>
        <w:t>original</w:t>
      </w:r>
      <w:r>
        <w:rPr>
          <w:spacing w:val="-8"/>
        </w:rPr>
        <w:t xml:space="preserve"> </w:t>
      </w:r>
      <w:r>
        <w:t>assessment.</w:t>
      </w:r>
      <w:r>
        <w:rPr>
          <w:spacing w:val="-11"/>
        </w:rPr>
        <w:t xml:space="preserve"> </w:t>
      </w:r>
      <w:r>
        <w:t>These</w:t>
      </w:r>
      <w:r>
        <w:rPr>
          <w:spacing w:val="-8"/>
        </w:rPr>
        <w:t xml:space="preserve"> </w:t>
      </w:r>
      <w:r>
        <w:t>students</w:t>
      </w:r>
      <w:r>
        <w:rPr>
          <w:spacing w:val="-8"/>
        </w:rPr>
        <w:t xml:space="preserve"> </w:t>
      </w:r>
      <w:r>
        <w:t>are</w:t>
      </w:r>
      <w:r>
        <w:rPr>
          <w:spacing w:val="-8"/>
        </w:rPr>
        <w:t xml:space="preserve"> </w:t>
      </w:r>
      <w:r>
        <w:t>considered</w:t>
      </w:r>
      <w:r>
        <w:rPr>
          <w:spacing w:val="-8"/>
        </w:rPr>
        <w:t xml:space="preserve"> </w:t>
      </w:r>
      <w:r>
        <w:t>ineligible</w:t>
      </w:r>
      <w:r>
        <w:rPr>
          <w:spacing w:val="-8"/>
        </w:rPr>
        <w:t xml:space="preserve"> </w:t>
      </w:r>
      <w:r>
        <w:t>for</w:t>
      </w:r>
      <w:r>
        <w:rPr>
          <w:spacing w:val="-8"/>
        </w:rPr>
        <w:t xml:space="preserve"> </w:t>
      </w:r>
      <w:r>
        <w:t>NAEP. Full-time remote students are enrolled in brick-and-mortar schools but do not attend school in person.</w:t>
      </w:r>
      <w:r>
        <w:rPr>
          <w:spacing w:val="-3"/>
        </w:rPr>
        <w:t xml:space="preserve"> </w:t>
      </w:r>
      <w:r>
        <w:t>They are considered not assessable for NAEP.</w:t>
      </w:r>
    </w:p>
    <w:p w:rsidR="003F5784" w14:paraId="01559F4D" w14:textId="77777777">
      <w:pPr>
        <w:pStyle w:val="BodyText"/>
      </w:pPr>
    </w:p>
    <w:p w:rsidR="003F5784" w14:paraId="4CCD0159" w14:textId="77777777">
      <w:pPr>
        <w:pStyle w:val="BodyText"/>
        <w:spacing w:before="186"/>
      </w:pPr>
    </w:p>
    <w:p w:rsidR="003F5784" w14:paraId="6FB98BE5" w14:textId="77777777">
      <w:pPr>
        <w:ind w:left="1372"/>
        <w:rPr>
          <w:sz w:val="18"/>
        </w:rPr>
      </w:pPr>
      <w:hyperlink r:id="rId96">
        <w:r>
          <w:rPr>
            <w:spacing w:val="-2"/>
            <w:w w:val="105"/>
            <w:sz w:val="18"/>
          </w:rPr>
          <w:t>http://nces.ed.gov/nationsreportcard/tdw/sample_design/2022/school_and_student_participation_in_the_2022_fourth_and_eighth_grade_private_school_national_assessment.aspx</w:t>
        </w:r>
      </w:hyperlink>
    </w:p>
    <w:p w:rsidR="003F5784" w14:paraId="3C38D052" w14:textId="77777777">
      <w:pPr>
        <w:pStyle w:val="BodyText"/>
        <w:rPr>
          <w:sz w:val="16"/>
        </w:rPr>
      </w:pPr>
      <w:r>
        <w:rPr>
          <w:noProof/>
        </w:rPr>
        <mc:AlternateContent>
          <mc:Choice Requires="wps">
            <w:drawing>
              <wp:anchor distT="0" distB="0" distL="0" distR="0" simplePos="0" relativeHeight="251804672" behindDoc="1" locked="0" layoutInCell="1" allowOverlap="1">
                <wp:simplePos x="0" y="0"/>
                <wp:positionH relativeFrom="page">
                  <wp:posOffset>361937</wp:posOffset>
                </wp:positionH>
                <wp:positionV relativeFrom="paragraph">
                  <wp:posOffset>132568</wp:posOffset>
                </wp:positionV>
                <wp:extent cx="9339580" cy="8890"/>
                <wp:effectExtent l="0" t="0" r="0" b="0"/>
                <wp:wrapTopAndBottom/>
                <wp:docPr id="115" name="Graphic 115"/>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67"/>
                              </a:lnTo>
                              <a:lnTo>
                                <a:pt x="9335110" y="8280"/>
                              </a:lnTo>
                              <a:lnTo>
                                <a:pt x="9338970" y="8280"/>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15" o:spid="_x0000_s1073" style="width:735.4pt;height:0.7pt;margin-top:10.45pt;margin-left:28.5pt;mso-position-horizontal-relative:page;mso-wrap-distance-bottom:0;mso-wrap-distance-left:0;mso-wrap-distance-right:0;mso-wrap-distance-top:0;mso-wrap-style:square;position:absolute;visibility:visible;v-text-anchor:top;z-index:-251510784" coordsize="9339580,8890" path="m9338970,12l9335110,12l8280,12,,,,8267l9335110,8280l9338970,8280l9338970,12xe" fillcolor="gray" stroked="f">
                <v:path arrowok="t"/>
                <w10:wrap type="topAndBottom"/>
              </v:shape>
            </w:pict>
          </mc:Fallback>
        </mc:AlternateContent>
      </w:r>
    </w:p>
    <w:p w:rsidR="003F5784" w14:paraId="6A9CA4A4" w14:textId="77777777">
      <w:pPr>
        <w:pStyle w:val="BodyText"/>
        <w:rPr>
          <w:sz w:val="18"/>
        </w:rPr>
      </w:pPr>
    </w:p>
    <w:p w:rsidR="003F5784" w14:paraId="16651307" w14:textId="77777777">
      <w:pPr>
        <w:pStyle w:val="BodyText"/>
        <w:spacing w:before="193"/>
        <w:rPr>
          <w:sz w:val="18"/>
        </w:rPr>
      </w:pPr>
    </w:p>
    <w:p w:rsidR="003F5784" w14:paraId="3E97B927" w14:textId="77777777">
      <w:pPr>
        <w:pStyle w:val="Heading1"/>
        <w:spacing w:line="244" w:lineRule="auto"/>
        <w:ind w:right="764"/>
      </w:pPr>
      <w:r>
        <w:t>NAEP</w:t>
      </w:r>
      <w:r>
        <w:rPr>
          <w:spacing w:val="-7"/>
        </w:rPr>
        <w:t xml:space="preserve"> </w:t>
      </w:r>
      <w:r>
        <w:t>Technical Documentation Weighted School Response Rates for the 2022 Fourth- and Eighth-Grade Private School National</w:t>
      </w:r>
      <w:r>
        <w:rPr>
          <w:spacing w:val="-3"/>
        </w:rPr>
        <w:t xml:space="preserve"> </w:t>
      </w:r>
      <w:r>
        <w:t>Assessment in Mathematics and Reading</w:t>
      </w:r>
    </w:p>
    <w:p w:rsidR="003F5784" w14:paraId="5DA6DD31" w14:textId="77777777">
      <w:pPr>
        <w:pStyle w:val="BodyText"/>
        <w:spacing w:before="288" w:line="232" w:lineRule="auto"/>
        <w:ind w:left="109" w:right="179"/>
      </w:pPr>
      <w:r>
        <w:t>The</w:t>
      </w:r>
      <w:r>
        <w:rPr>
          <w:spacing w:val="-6"/>
        </w:rPr>
        <w:t xml:space="preserve"> </w:t>
      </w:r>
      <w:r>
        <w:t>following</w:t>
      </w:r>
      <w:r>
        <w:rPr>
          <w:spacing w:val="-6"/>
        </w:rPr>
        <w:t xml:space="preserve"> </w:t>
      </w:r>
      <w:r>
        <w:t>table</w:t>
      </w:r>
      <w:r>
        <w:rPr>
          <w:spacing w:val="-6"/>
        </w:rPr>
        <w:t xml:space="preserve"> </w:t>
      </w:r>
      <w:r>
        <w:t>presents</w:t>
      </w:r>
      <w:r>
        <w:rPr>
          <w:spacing w:val="-6"/>
        </w:rPr>
        <w:t xml:space="preserve"> </w:t>
      </w:r>
      <w:r>
        <w:t>unweighted</w:t>
      </w:r>
      <w:r>
        <w:rPr>
          <w:spacing w:val="-6"/>
        </w:rPr>
        <w:t xml:space="preserve"> </w:t>
      </w:r>
      <w:r>
        <w:t>counts</w:t>
      </w:r>
      <w:r>
        <w:rPr>
          <w:spacing w:val="-6"/>
        </w:rPr>
        <w:t xml:space="preserve"> </w:t>
      </w:r>
      <w:r>
        <w:t>of</w:t>
      </w:r>
      <w:r>
        <w:rPr>
          <w:spacing w:val="-6"/>
        </w:rPr>
        <w:t xml:space="preserve"> </w:t>
      </w:r>
      <w:r>
        <w:t>eligible</w:t>
      </w:r>
      <w:r>
        <w:rPr>
          <w:spacing w:val="-6"/>
        </w:rPr>
        <w:t xml:space="preserve"> </w:t>
      </w:r>
      <w:r>
        <w:t>sampled</w:t>
      </w:r>
      <w:r>
        <w:rPr>
          <w:spacing w:val="-6"/>
        </w:rPr>
        <w:t xml:space="preserve"> </w:t>
      </w:r>
      <w:r>
        <w:t>and</w:t>
      </w:r>
      <w:r>
        <w:rPr>
          <w:spacing w:val="-6"/>
        </w:rPr>
        <w:t xml:space="preserve"> </w:t>
      </w:r>
      <w:r>
        <w:t>participating</w:t>
      </w:r>
      <w:r>
        <w:rPr>
          <w:spacing w:val="-6"/>
        </w:rPr>
        <w:t xml:space="preserve"> </w:t>
      </w:r>
      <w:r>
        <w:t>schools</w:t>
      </w:r>
      <w:r>
        <w:rPr>
          <w:spacing w:val="-6"/>
        </w:rPr>
        <w:t xml:space="preserve"> </w:t>
      </w:r>
      <w:r>
        <w:t>and</w:t>
      </w:r>
      <w:r>
        <w:rPr>
          <w:spacing w:val="-6"/>
        </w:rPr>
        <w:t xml:space="preserve"> </w:t>
      </w:r>
      <w:r>
        <w:t>weighted</w:t>
      </w:r>
      <w:r>
        <w:rPr>
          <w:spacing w:val="-6"/>
        </w:rPr>
        <w:t xml:space="preserve"> </w:t>
      </w:r>
      <w:r>
        <w:t>school</w:t>
      </w:r>
      <w:r>
        <w:rPr>
          <w:spacing w:val="-6"/>
        </w:rPr>
        <w:t xml:space="preserve"> </w:t>
      </w:r>
      <w:r>
        <w:t>response</w:t>
      </w:r>
      <w:r>
        <w:rPr>
          <w:spacing w:val="-6"/>
        </w:rPr>
        <w:t xml:space="preserve"> </w:t>
      </w:r>
      <w:r>
        <w:t>rates,</w:t>
      </w:r>
      <w:r>
        <w:rPr>
          <w:spacing w:val="-6"/>
        </w:rPr>
        <w:t xml:space="preserve"> </w:t>
      </w:r>
      <w:r>
        <w:t>by</w:t>
      </w:r>
      <w:r>
        <w:rPr>
          <w:spacing w:val="-6"/>
        </w:rPr>
        <w:t xml:space="preserve"> </w:t>
      </w:r>
      <w:r>
        <w:t>school</w:t>
      </w:r>
      <w:r>
        <w:rPr>
          <w:spacing w:val="-6"/>
        </w:rPr>
        <w:t xml:space="preserve"> </w:t>
      </w:r>
      <w:r>
        <w:t>type,</w:t>
      </w:r>
      <w:r>
        <w:rPr>
          <w:spacing w:val="-6"/>
        </w:rPr>
        <w:t xml:space="preserve"> </w:t>
      </w:r>
      <w:r>
        <w:t>for</w:t>
      </w:r>
      <w:r>
        <w:rPr>
          <w:spacing w:val="-6"/>
        </w:rPr>
        <w:t xml:space="preserve"> </w:t>
      </w:r>
      <w:r>
        <w:t>the</w:t>
      </w:r>
      <w:r>
        <w:rPr>
          <w:spacing w:val="-6"/>
        </w:rPr>
        <w:t xml:space="preserve"> </w:t>
      </w:r>
      <w:r>
        <w:t>fourth-</w:t>
      </w:r>
      <w:r>
        <w:rPr>
          <w:spacing w:val="-6"/>
        </w:rPr>
        <w:t xml:space="preserve"> </w:t>
      </w:r>
      <w:r>
        <w:t>and</w:t>
      </w:r>
      <w:r>
        <w:rPr>
          <w:spacing w:val="-6"/>
        </w:rPr>
        <w:t xml:space="preserve"> </w:t>
      </w:r>
      <w:r>
        <w:t>eighth- grade private school national mathematics and reading samples.</w:t>
      </w:r>
    </w:p>
    <w:p w:rsidR="003F5784" w14:paraId="65807A57" w14:textId="77777777">
      <w:pPr>
        <w:pStyle w:val="BodyText"/>
        <w:spacing w:before="209" w:line="232" w:lineRule="auto"/>
        <w:ind w:left="109" w:right="318"/>
      </w:pPr>
      <w:r>
        <w:t>A</w:t>
      </w:r>
      <w:r>
        <w:rPr>
          <w:spacing w:val="-14"/>
        </w:rPr>
        <w:t xml:space="preserve"> </w:t>
      </w:r>
      <w:r>
        <w:t>weighted</w:t>
      </w:r>
      <w:r>
        <w:rPr>
          <w:spacing w:val="-8"/>
        </w:rPr>
        <w:t xml:space="preserve"> </w:t>
      </w:r>
      <w:r>
        <w:t>school</w:t>
      </w:r>
      <w:r>
        <w:rPr>
          <w:spacing w:val="-6"/>
        </w:rPr>
        <w:t xml:space="preserve"> </w:t>
      </w:r>
      <w:r>
        <w:t>response</w:t>
      </w:r>
      <w:r>
        <w:rPr>
          <w:spacing w:val="-6"/>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6"/>
        </w:rPr>
        <w:t xml:space="preserve"> </w:t>
      </w:r>
      <w:r>
        <w:t>of</w:t>
      </w:r>
      <w:r>
        <w:rPr>
          <w:spacing w:val="-6"/>
        </w:rPr>
        <w:t xml:space="preserve"> </w:t>
      </w:r>
      <w:r>
        <w:t>the</w:t>
      </w:r>
      <w:r>
        <w:rPr>
          <w:spacing w:val="-6"/>
        </w:rPr>
        <w:t xml:space="preserve"> </w:t>
      </w:r>
      <w:r>
        <w:t>student</w:t>
      </w:r>
      <w:r>
        <w:rPr>
          <w:spacing w:val="-6"/>
        </w:rPr>
        <w:t xml:space="preserve"> </w:t>
      </w:r>
      <w:r>
        <w:t>population</w:t>
      </w:r>
      <w:r>
        <w:rPr>
          <w:spacing w:val="-6"/>
        </w:rPr>
        <w:t xml:space="preserve"> </w:t>
      </w:r>
      <w:r>
        <w:t>that</w:t>
      </w:r>
      <w:r>
        <w:rPr>
          <w:spacing w:val="-6"/>
        </w:rPr>
        <w:t xml:space="preserve"> </w:t>
      </w:r>
      <w:r>
        <w:t>is</w:t>
      </w:r>
      <w:r>
        <w:rPr>
          <w:spacing w:val="-6"/>
        </w:rPr>
        <w:t xml:space="preserve"> </w:t>
      </w:r>
      <w:r>
        <w:t>directly</w:t>
      </w:r>
      <w:r>
        <w:rPr>
          <w:spacing w:val="-6"/>
        </w:rPr>
        <w:t xml:space="preserve"> </w:t>
      </w:r>
      <w:r>
        <w:t>represented</w:t>
      </w:r>
      <w:r>
        <w:rPr>
          <w:spacing w:val="-6"/>
        </w:rPr>
        <w:t xml:space="preserve"> </w:t>
      </w:r>
      <w:r>
        <w:t>by</w:t>
      </w:r>
      <w:r>
        <w:rPr>
          <w:spacing w:val="-6"/>
        </w:rPr>
        <w:t xml:space="preserve"> </w:t>
      </w:r>
      <w:r>
        <w:t>the</w:t>
      </w:r>
      <w:r>
        <w:rPr>
          <w:spacing w:val="-6"/>
        </w:rPr>
        <w:t xml:space="preserve"> </w:t>
      </w:r>
      <w:r>
        <w:t>participating</w:t>
      </w:r>
      <w:r>
        <w:rPr>
          <w:spacing w:val="-6"/>
        </w:rPr>
        <w:t xml:space="preserve"> </w:t>
      </w:r>
      <w:r>
        <w:t>school</w:t>
      </w:r>
      <w:r>
        <w:rPr>
          <w:spacing w:val="-6"/>
        </w:rPr>
        <w:t xml:space="preserve"> </w:t>
      </w:r>
      <w:r>
        <w:t>sample.</w:t>
      </w:r>
      <w:r>
        <w:rPr>
          <w:spacing w:val="-10"/>
        </w:rPr>
        <w:t xml:space="preserve"> </w:t>
      </w:r>
      <w:r>
        <w:t>These</w:t>
      </w:r>
      <w:r>
        <w:rPr>
          <w:spacing w:val="-6"/>
        </w:rPr>
        <w:t xml:space="preserve"> </w:t>
      </w:r>
      <w:r>
        <w:t>response</w:t>
      </w:r>
      <w:r>
        <w:rPr>
          <w:spacing w:val="-6"/>
        </w:rPr>
        <w:t xml:space="preserve"> </w:t>
      </w:r>
      <w:r>
        <w:t>rates</w:t>
      </w:r>
      <w:r>
        <w:rPr>
          <w:spacing w:val="-6"/>
        </w:rPr>
        <w:t xml:space="preserve"> </w:t>
      </w:r>
      <w:r>
        <w:t>are based on the original sample of schools (excluding substitutes).</w:t>
      </w:r>
    </w:p>
    <w:p w:rsidR="003F5784" w14:paraId="0CE237C5" w14:textId="77777777">
      <w:pPr>
        <w:pStyle w:val="BodyText"/>
        <w:spacing w:before="98"/>
      </w:pPr>
    </w:p>
    <w:p w:rsidR="003F5784" w14:paraId="5D824413" w14:textId="77777777">
      <w:pPr>
        <w:pStyle w:val="Heading2"/>
        <w:spacing w:before="1" w:line="232" w:lineRule="auto"/>
      </w:pPr>
      <w:r>
        <w:t>Eligible</w:t>
      </w:r>
      <w:r>
        <w:rPr>
          <w:spacing w:val="-8"/>
        </w:rPr>
        <w:t xml:space="preserve"> </w:t>
      </w:r>
      <w:r>
        <w:t>and</w:t>
      </w:r>
      <w:r>
        <w:rPr>
          <w:spacing w:val="-8"/>
        </w:rPr>
        <w:t xml:space="preserve"> </w:t>
      </w:r>
      <w:r>
        <w:t>participating</w:t>
      </w:r>
      <w:r>
        <w:rPr>
          <w:spacing w:val="-8"/>
        </w:rPr>
        <w:t xml:space="preserve"> </w:t>
      </w:r>
      <w:r>
        <w:t>school</w:t>
      </w:r>
      <w:r>
        <w:rPr>
          <w:spacing w:val="-8"/>
        </w:rPr>
        <w:t xml:space="preserve"> </w:t>
      </w:r>
      <w:r>
        <w:t>counts</w:t>
      </w:r>
      <w:r>
        <w:rPr>
          <w:spacing w:val="-8"/>
        </w:rPr>
        <w:t xml:space="preserve"> </w:t>
      </w:r>
      <w:r>
        <w:t>and</w:t>
      </w:r>
      <w:r>
        <w:rPr>
          <w:spacing w:val="-8"/>
        </w:rPr>
        <w:t xml:space="preserve"> </w:t>
      </w:r>
      <w:r>
        <w:t>weighted</w:t>
      </w:r>
      <w:r>
        <w:rPr>
          <w:spacing w:val="-8"/>
        </w:rPr>
        <w:t xml:space="preserve"> </w:t>
      </w:r>
      <w:r>
        <w:t>school</w:t>
      </w:r>
      <w:r>
        <w:rPr>
          <w:spacing w:val="-8"/>
        </w:rPr>
        <w:t xml:space="preserve"> </w:t>
      </w:r>
      <w:r>
        <w:t>response</w:t>
      </w:r>
      <w:r>
        <w:rPr>
          <w:spacing w:val="-8"/>
        </w:rPr>
        <w:t xml:space="preserve"> </w:t>
      </w:r>
      <w:r>
        <w:t>rates</w:t>
      </w:r>
      <w:r>
        <w:rPr>
          <w:spacing w:val="-8"/>
        </w:rPr>
        <w:t xml:space="preserve"> </w:t>
      </w:r>
      <w:r>
        <w:t>for</w:t>
      </w:r>
      <w:r>
        <w:rPr>
          <w:spacing w:val="-11"/>
        </w:rPr>
        <w:t xml:space="preserve"> </w:t>
      </w:r>
      <w:r>
        <w:t>fourth-</w:t>
      </w:r>
      <w:r>
        <w:rPr>
          <w:spacing w:val="-8"/>
        </w:rPr>
        <w:t xml:space="preserve"> </w:t>
      </w:r>
      <w:r>
        <w:t>and</w:t>
      </w:r>
      <w:r>
        <w:rPr>
          <w:spacing w:val="-8"/>
        </w:rPr>
        <w:t xml:space="preserve"> </w:t>
      </w:r>
      <w:r>
        <w:t>eighth-grade</w:t>
      </w:r>
      <w:r>
        <w:rPr>
          <w:spacing w:val="-8"/>
        </w:rPr>
        <w:t xml:space="preserve"> </w:t>
      </w:r>
      <w:r>
        <w:t>private</w:t>
      </w:r>
      <w:r>
        <w:rPr>
          <w:spacing w:val="-8"/>
        </w:rPr>
        <w:t xml:space="preserve"> </w:t>
      </w:r>
      <w:r>
        <w:t>schools,</w:t>
      </w:r>
      <w:r>
        <w:rPr>
          <w:spacing w:val="-8"/>
        </w:rPr>
        <w:t xml:space="preserve"> </w:t>
      </w:r>
      <w:r>
        <w:t>national</w:t>
      </w:r>
      <w:r>
        <w:rPr>
          <w:spacing w:val="-8"/>
        </w:rPr>
        <w:t xml:space="preserve"> </w:t>
      </w:r>
      <w:r>
        <w:t>mathematics</w:t>
      </w:r>
      <w:r>
        <w:rPr>
          <w:spacing w:val="-8"/>
        </w:rPr>
        <w:t xml:space="preserve"> </w:t>
      </w:r>
      <w:r>
        <w:t>and</w:t>
      </w:r>
      <w:r>
        <w:rPr>
          <w:spacing w:val="-8"/>
        </w:rPr>
        <w:t xml:space="preserve"> </w:t>
      </w:r>
      <w:r>
        <w:t>reading assessments, by school type: 2022</w:t>
      </w:r>
    </w:p>
    <w:p w:rsidR="003F5784" w14:paraId="697A7FFD" w14:textId="77777777">
      <w:pPr>
        <w:pStyle w:val="BodyText"/>
        <w:rPr>
          <w:b/>
          <w:sz w:val="12"/>
        </w:rPr>
      </w:pPr>
    </w:p>
    <w:tbl>
      <w:tblPr>
        <w:tblW w:w="0" w:type="auto"/>
        <w:tblInd w:w="482" w:type="dxa"/>
        <w:tblLayout w:type="fixed"/>
        <w:tblCellMar>
          <w:left w:w="0" w:type="dxa"/>
          <w:right w:w="0" w:type="dxa"/>
        </w:tblCellMar>
        <w:tblLook w:val="01E0"/>
      </w:tblPr>
      <w:tblGrid>
        <w:gridCol w:w="874"/>
        <w:gridCol w:w="2292"/>
        <w:gridCol w:w="3763"/>
        <w:gridCol w:w="3296"/>
        <w:gridCol w:w="3762"/>
      </w:tblGrid>
      <w:tr w14:paraId="3B4864DA" w14:textId="77777777">
        <w:tblPrEx>
          <w:tblW w:w="0" w:type="auto"/>
          <w:tblInd w:w="482" w:type="dxa"/>
          <w:tblLayout w:type="fixed"/>
          <w:tblCellMar>
            <w:left w:w="0" w:type="dxa"/>
            <w:right w:w="0" w:type="dxa"/>
          </w:tblCellMar>
          <w:tblLook w:val="01E0"/>
        </w:tblPrEx>
        <w:trPr>
          <w:trHeight w:val="267"/>
        </w:trPr>
        <w:tc>
          <w:tcPr>
            <w:tcW w:w="874" w:type="dxa"/>
            <w:tcBorders>
              <w:top w:val="single" w:sz="18" w:space="0" w:color="800000"/>
              <w:bottom w:val="single" w:sz="18" w:space="0" w:color="800000"/>
            </w:tcBorders>
          </w:tcPr>
          <w:p w:rsidR="003F5784" w14:paraId="1B8D0D1D" w14:textId="77777777">
            <w:pPr>
              <w:pStyle w:val="TableParagraph"/>
              <w:spacing w:before="9" w:line="238" w:lineRule="exact"/>
              <w:ind w:left="120"/>
              <w:jc w:val="left"/>
              <w:rPr>
                <w:sz w:val="21"/>
              </w:rPr>
            </w:pPr>
            <w:r>
              <w:rPr>
                <w:spacing w:val="-2"/>
                <w:sz w:val="21"/>
              </w:rPr>
              <w:t>Grade</w:t>
            </w:r>
          </w:p>
        </w:tc>
        <w:tc>
          <w:tcPr>
            <w:tcW w:w="2292" w:type="dxa"/>
            <w:tcBorders>
              <w:top w:val="single" w:sz="18" w:space="0" w:color="800000"/>
              <w:bottom w:val="single" w:sz="18" w:space="0" w:color="800000"/>
            </w:tcBorders>
          </w:tcPr>
          <w:p w:rsidR="003F5784" w14:paraId="0D3CE336" w14:textId="77777777">
            <w:pPr>
              <w:pStyle w:val="TableParagraph"/>
              <w:spacing w:before="9" w:line="238" w:lineRule="exact"/>
              <w:ind w:left="243"/>
              <w:jc w:val="left"/>
              <w:rPr>
                <w:sz w:val="21"/>
              </w:rPr>
            </w:pPr>
            <w:r>
              <w:rPr>
                <w:sz w:val="21"/>
              </w:rPr>
              <w:t>Private</w:t>
            </w:r>
            <w:r>
              <w:rPr>
                <w:spacing w:val="-7"/>
                <w:sz w:val="21"/>
              </w:rPr>
              <w:t xml:space="preserve"> </w:t>
            </w:r>
            <w:r>
              <w:rPr>
                <w:sz w:val="21"/>
              </w:rPr>
              <w:t>school</w:t>
            </w:r>
            <w:r>
              <w:rPr>
                <w:spacing w:val="-7"/>
                <w:sz w:val="21"/>
              </w:rPr>
              <w:t xml:space="preserve"> </w:t>
            </w:r>
            <w:r>
              <w:rPr>
                <w:spacing w:val="-4"/>
                <w:sz w:val="21"/>
              </w:rPr>
              <w:t>type</w:t>
            </w:r>
          </w:p>
        </w:tc>
        <w:tc>
          <w:tcPr>
            <w:tcW w:w="3763" w:type="dxa"/>
            <w:tcBorders>
              <w:top w:val="single" w:sz="18" w:space="0" w:color="800000"/>
              <w:bottom w:val="single" w:sz="18" w:space="0" w:color="800000"/>
            </w:tcBorders>
          </w:tcPr>
          <w:p w:rsidR="003F5784" w14:paraId="73E541A4" w14:textId="77777777">
            <w:pPr>
              <w:pStyle w:val="TableParagraph"/>
              <w:spacing w:before="9" w:line="238" w:lineRule="exact"/>
              <w:ind w:right="300"/>
              <w:rPr>
                <w:sz w:val="21"/>
              </w:rPr>
            </w:pPr>
            <w:r>
              <w:rPr>
                <w:sz w:val="21"/>
              </w:rPr>
              <w:t>Number</w:t>
            </w:r>
            <w:r>
              <w:rPr>
                <w:spacing w:val="-7"/>
                <w:sz w:val="21"/>
              </w:rPr>
              <w:t xml:space="preserve"> </w:t>
            </w:r>
            <w:r>
              <w:rPr>
                <w:sz w:val="21"/>
              </w:rPr>
              <w:t>of</w:t>
            </w:r>
            <w:r>
              <w:rPr>
                <w:spacing w:val="-6"/>
                <w:sz w:val="21"/>
              </w:rPr>
              <w:t xml:space="preserve"> </w:t>
            </w:r>
            <w:r>
              <w:rPr>
                <w:sz w:val="21"/>
              </w:rPr>
              <w:t>eligible</w:t>
            </w:r>
            <w:r>
              <w:rPr>
                <w:spacing w:val="-7"/>
                <w:sz w:val="21"/>
              </w:rPr>
              <w:t xml:space="preserve"> </w:t>
            </w:r>
            <w:r>
              <w:rPr>
                <w:sz w:val="21"/>
              </w:rPr>
              <w:t>sampled</w:t>
            </w:r>
            <w:r>
              <w:rPr>
                <w:spacing w:val="-6"/>
                <w:sz w:val="21"/>
              </w:rPr>
              <w:t xml:space="preserve"> </w:t>
            </w:r>
            <w:r>
              <w:rPr>
                <w:spacing w:val="-2"/>
                <w:sz w:val="21"/>
              </w:rPr>
              <w:t>schools</w:t>
            </w:r>
          </w:p>
        </w:tc>
        <w:tc>
          <w:tcPr>
            <w:tcW w:w="3296" w:type="dxa"/>
            <w:tcBorders>
              <w:top w:val="single" w:sz="18" w:space="0" w:color="800000"/>
              <w:bottom w:val="single" w:sz="18" w:space="0" w:color="800000"/>
            </w:tcBorders>
          </w:tcPr>
          <w:p w:rsidR="003F5784" w14:paraId="3D14252B" w14:textId="77777777">
            <w:pPr>
              <w:pStyle w:val="TableParagraph"/>
              <w:spacing w:before="9" w:line="238" w:lineRule="exact"/>
              <w:ind w:right="300"/>
              <w:rPr>
                <w:sz w:val="21"/>
              </w:rPr>
            </w:pPr>
            <w:r>
              <w:rPr>
                <w:sz w:val="21"/>
              </w:rPr>
              <w:t>Number</w:t>
            </w:r>
            <w:r>
              <w:rPr>
                <w:spacing w:val="-8"/>
                <w:sz w:val="21"/>
              </w:rPr>
              <w:t xml:space="preserve"> </w:t>
            </w:r>
            <w:r>
              <w:rPr>
                <w:sz w:val="21"/>
              </w:rPr>
              <w:t>of</w:t>
            </w:r>
            <w:r>
              <w:rPr>
                <w:spacing w:val="-7"/>
                <w:sz w:val="21"/>
              </w:rPr>
              <w:t xml:space="preserve"> </w:t>
            </w:r>
            <w:r>
              <w:rPr>
                <w:sz w:val="21"/>
              </w:rPr>
              <w:t>participating</w:t>
            </w:r>
            <w:r>
              <w:rPr>
                <w:spacing w:val="-8"/>
                <w:sz w:val="21"/>
              </w:rPr>
              <w:t xml:space="preserve"> </w:t>
            </w:r>
            <w:r>
              <w:rPr>
                <w:spacing w:val="-2"/>
                <w:sz w:val="21"/>
              </w:rPr>
              <w:t>schools</w:t>
            </w:r>
          </w:p>
        </w:tc>
        <w:tc>
          <w:tcPr>
            <w:tcW w:w="3762" w:type="dxa"/>
            <w:tcBorders>
              <w:top w:val="single" w:sz="18" w:space="0" w:color="800000"/>
              <w:bottom w:val="single" w:sz="18" w:space="0" w:color="800000"/>
            </w:tcBorders>
          </w:tcPr>
          <w:p w:rsidR="003F5784" w14:paraId="48E2AE60" w14:textId="77777777">
            <w:pPr>
              <w:pStyle w:val="TableParagraph"/>
              <w:spacing w:before="9" w:line="238" w:lineRule="exact"/>
              <w:ind w:right="120"/>
              <w:rPr>
                <w:sz w:val="21"/>
              </w:rPr>
            </w:pPr>
            <w:r>
              <w:rPr>
                <w:sz w:val="21"/>
              </w:rPr>
              <w:t>Weighted</w:t>
            </w:r>
            <w:r>
              <w:rPr>
                <w:spacing w:val="-12"/>
                <w:sz w:val="21"/>
              </w:rPr>
              <w:t xml:space="preserve"> </w:t>
            </w:r>
            <w:r>
              <w:rPr>
                <w:sz w:val="21"/>
              </w:rPr>
              <w:t>school</w:t>
            </w:r>
            <w:r>
              <w:rPr>
                <w:spacing w:val="-11"/>
                <w:sz w:val="21"/>
              </w:rPr>
              <w:t xml:space="preserve"> </w:t>
            </w:r>
            <w:r>
              <w:rPr>
                <w:sz w:val="21"/>
              </w:rPr>
              <w:t>response</w:t>
            </w:r>
            <w:r>
              <w:rPr>
                <w:spacing w:val="-11"/>
                <w:sz w:val="21"/>
              </w:rPr>
              <w:t xml:space="preserve"> </w:t>
            </w:r>
            <w:r>
              <w:rPr>
                <w:sz w:val="21"/>
              </w:rPr>
              <w:t>rate</w:t>
            </w:r>
            <w:r>
              <w:rPr>
                <w:spacing w:val="-12"/>
                <w:sz w:val="21"/>
              </w:rPr>
              <w:t xml:space="preserve"> </w:t>
            </w:r>
            <w:r>
              <w:rPr>
                <w:spacing w:val="-2"/>
                <w:sz w:val="21"/>
              </w:rPr>
              <w:t>(percent)</w:t>
            </w:r>
          </w:p>
        </w:tc>
      </w:tr>
      <w:tr w14:paraId="4E2F0F8B" w14:textId="77777777">
        <w:tblPrEx>
          <w:tblW w:w="0" w:type="auto"/>
          <w:tblInd w:w="482" w:type="dxa"/>
          <w:tblLayout w:type="fixed"/>
          <w:tblCellMar>
            <w:left w:w="0" w:type="dxa"/>
            <w:right w:w="0" w:type="dxa"/>
          </w:tblCellMar>
          <w:tblLook w:val="01E0"/>
        </w:tblPrEx>
        <w:trPr>
          <w:trHeight w:val="280"/>
        </w:trPr>
        <w:tc>
          <w:tcPr>
            <w:tcW w:w="874" w:type="dxa"/>
            <w:tcBorders>
              <w:top w:val="single" w:sz="18" w:space="0" w:color="800000"/>
              <w:bottom w:val="single" w:sz="18" w:space="0" w:color="800000"/>
            </w:tcBorders>
          </w:tcPr>
          <w:p w:rsidR="003F5784" w14:paraId="6351E013" w14:textId="77777777">
            <w:pPr>
              <w:pStyle w:val="TableParagraph"/>
              <w:spacing w:before="9"/>
              <w:ind w:left="120"/>
              <w:jc w:val="left"/>
              <w:rPr>
                <w:sz w:val="21"/>
              </w:rPr>
            </w:pPr>
            <w:r>
              <w:rPr>
                <w:spacing w:val="-10"/>
                <w:sz w:val="21"/>
              </w:rPr>
              <w:t>4</w:t>
            </w:r>
          </w:p>
        </w:tc>
        <w:tc>
          <w:tcPr>
            <w:tcW w:w="2292" w:type="dxa"/>
            <w:tcBorders>
              <w:top w:val="single" w:sz="18" w:space="0" w:color="800000"/>
              <w:bottom w:val="single" w:sz="18" w:space="0" w:color="800000"/>
            </w:tcBorders>
          </w:tcPr>
          <w:p w:rsidR="003F5784" w14:paraId="570E33C9" w14:textId="77777777">
            <w:pPr>
              <w:pStyle w:val="TableParagraph"/>
              <w:spacing w:before="9"/>
              <w:ind w:left="493"/>
              <w:jc w:val="left"/>
              <w:rPr>
                <w:b/>
                <w:sz w:val="21"/>
              </w:rPr>
            </w:pPr>
            <w:r>
              <w:rPr>
                <w:b/>
                <w:sz w:val="21"/>
              </w:rPr>
              <w:t>All</w:t>
            </w:r>
            <w:r>
              <w:rPr>
                <w:b/>
                <w:spacing w:val="-4"/>
                <w:sz w:val="21"/>
              </w:rPr>
              <w:t xml:space="preserve"> </w:t>
            </w:r>
            <w:r>
              <w:rPr>
                <w:b/>
                <w:spacing w:val="-2"/>
                <w:sz w:val="21"/>
              </w:rPr>
              <w:t>private</w:t>
            </w:r>
          </w:p>
        </w:tc>
        <w:tc>
          <w:tcPr>
            <w:tcW w:w="3763" w:type="dxa"/>
            <w:tcBorders>
              <w:top w:val="single" w:sz="18" w:space="0" w:color="800000"/>
              <w:bottom w:val="single" w:sz="18" w:space="0" w:color="800000"/>
            </w:tcBorders>
          </w:tcPr>
          <w:p w:rsidR="003F5784" w14:paraId="56E57BA9" w14:textId="77777777">
            <w:pPr>
              <w:pStyle w:val="TableParagraph"/>
              <w:spacing w:before="9"/>
              <w:ind w:right="300"/>
              <w:rPr>
                <w:b/>
                <w:sz w:val="21"/>
              </w:rPr>
            </w:pPr>
            <w:r>
              <w:rPr>
                <w:b/>
                <w:spacing w:val="-5"/>
                <w:sz w:val="21"/>
              </w:rPr>
              <w:t>340</w:t>
            </w:r>
          </w:p>
        </w:tc>
        <w:tc>
          <w:tcPr>
            <w:tcW w:w="3296" w:type="dxa"/>
            <w:tcBorders>
              <w:top w:val="single" w:sz="18" w:space="0" w:color="800000"/>
              <w:bottom w:val="single" w:sz="18" w:space="0" w:color="800000"/>
            </w:tcBorders>
          </w:tcPr>
          <w:p w:rsidR="003F5784" w14:paraId="3CC5F3D6" w14:textId="77777777">
            <w:pPr>
              <w:pStyle w:val="TableParagraph"/>
              <w:spacing w:before="9"/>
              <w:ind w:right="300"/>
              <w:rPr>
                <w:b/>
                <w:sz w:val="21"/>
              </w:rPr>
            </w:pPr>
            <w:r>
              <w:rPr>
                <w:b/>
                <w:spacing w:val="-5"/>
                <w:sz w:val="21"/>
              </w:rPr>
              <w:t>150</w:t>
            </w:r>
          </w:p>
        </w:tc>
        <w:tc>
          <w:tcPr>
            <w:tcW w:w="3762" w:type="dxa"/>
            <w:tcBorders>
              <w:top w:val="single" w:sz="18" w:space="0" w:color="800000"/>
              <w:bottom w:val="single" w:sz="18" w:space="0" w:color="800000"/>
            </w:tcBorders>
          </w:tcPr>
          <w:p w:rsidR="003F5784" w14:paraId="112832BC" w14:textId="77777777">
            <w:pPr>
              <w:pStyle w:val="TableParagraph"/>
              <w:spacing w:before="9"/>
              <w:ind w:right="120"/>
              <w:rPr>
                <w:b/>
                <w:sz w:val="21"/>
              </w:rPr>
            </w:pPr>
            <w:r>
              <w:rPr>
                <w:b/>
                <w:spacing w:val="-2"/>
                <w:sz w:val="21"/>
              </w:rPr>
              <w:t>37.50</w:t>
            </w:r>
          </w:p>
        </w:tc>
      </w:tr>
      <w:tr w14:paraId="70E13C3A" w14:textId="77777777">
        <w:tblPrEx>
          <w:tblW w:w="0" w:type="auto"/>
          <w:tblInd w:w="482" w:type="dxa"/>
          <w:tblLayout w:type="fixed"/>
          <w:tblCellMar>
            <w:left w:w="0" w:type="dxa"/>
            <w:right w:w="0" w:type="dxa"/>
          </w:tblCellMar>
          <w:tblLook w:val="01E0"/>
        </w:tblPrEx>
        <w:trPr>
          <w:trHeight w:val="706"/>
        </w:trPr>
        <w:tc>
          <w:tcPr>
            <w:tcW w:w="13987" w:type="dxa"/>
            <w:gridSpan w:val="5"/>
            <w:tcBorders>
              <w:top w:val="single" w:sz="18" w:space="0" w:color="800000"/>
            </w:tcBorders>
          </w:tcPr>
          <w:p w:rsidR="003F5784" w14:paraId="7E7418A4" w14:textId="77777777">
            <w:pPr>
              <w:pStyle w:val="TableParagraph"/>
              <w:spacing w:before="0" w:line="235" w:lineRule="exact"/>
              <w:ind w:left="120"/>
              <w:jc w:val="left"/>
              <w:rPr>
                <w:sz w:val="21"/>
              </w:rPr>
            </w:pPr>
            <w:r>
              <w:rPr>
                <w:sz w:val="21"/>
              </w:rPr>
              <w:t>NOTE:</w:t>
            </w:r>
            <w:r>
              <w:rPr>
                <w:spacing w:val="-6"/>
                <w:sz w:val="21"/>
              </w:rPr>
              <w:t xml:space="preserve"> </w:t>
            </w:r>
            <w:r>
              <w:rPr>
                <w:sz w:val="21"/>
              </w:rPr>
              <w:t>Detail</w:t>
            </w:r>
            <w:r>
              <w:rPr>
                <w:spacing w:val="-6"/>
                <w:sz w:val="21"/>
              </w:rPr>
              <w:t xml:space="preserve"> </w:t>
            </w:r>
            <w:r>
              <w:rPr>
                <w:sz w:val="21"/>
              </w:rPr>
              <w:t>may</w:t>
            </w:r>
            <w:r>
              <w:rPr>
                <w:spacing w:val="-5"/>
                <w:sz w:val="21"/>
              </w:rPr>
              <w:t xml:space="preserve"> </w:t>
            </w:r>
            <w:r>
              <w:rPr>
                <w:sz w:val="21"/>
              </w:rPr>
              <w:t>not</w:t>
            </w:r>
            <w:r>
              <w:rPr>
                <w:spacing w:val="-6"/>
                <w:sz w:val="21"/>
              </w:rPr>
              <w:t xml:space="preserve"> </w:t>
            </w:r>
            <w:r>
              <w:rPr>
                <w:sz w:val="21"/>
              </w:rPr>
              <w:t>sum</w:t>
            </w:r>
            <w:r>
              <w:rPr>
                <w:spacing w:val="-5"/>
                <w:sz w:val="21"/>
              </w:rPr>
              <w:t xml:space="preserve"> </w:t>
            </w:r>
            <w:r>
              <w:rPr>
                <w:sz w:val="21"/>
              </w:rPr>
              <w:t>to</w:t>
            </w:r>
            <w:r>
              <w:rPr>
                <w:spacing w:val="-6"/>
                <w:sz w:val="21"/>
              </w:rPr>
              <w:t xml:space="preserve"> </w:t>
            </w:r>
            <w:r>
              <w:rPr>
                <w:sz w:val="21"/>
              </w:rPr>
              <w:t>total</w:t>
            </w:r>
            <w:r>
              <w:rPr>
                <w:spacing w:val="-5"/>
                <w:sz w:val="21"/>
              </w:rPr>
              <w:t xml:space="preserve"> </w:t>
            </w:r>
            <w:r>
              <w:rPr>
                <w:sz w:val="21"/>
              </w:rPr>
              <w:t>due</w:t>
            </w:r>
            <w:r>
              <w:rPr>
                <w:spacing w:val="-6"/>
                <w:sz w:val="21"/>
              </w:rPr>
              <w:t xml:space="preserve"> </w:t>
            </w:r>
            <w:r>
              <w:rPr>
                <w:sz w:val="21"/>
              </w:rPr>
              <w:t>to</w:t>
            </w:r>
            <w:r>
              <w:rPr>
                <w:spacing w:val="-5"/>
                <w:sz w:val="21"/>
              </w:rPr>
              <w:t xml:space="preserve"> </w:t>
            </w:r>
            <w:r>
              <w:rPr>
                <w:sz w:val="21"/>
              </w:rPr>
              <w:t>rounding.</w:t>
            </w:r>
            <w:r>
              <w:rPr>
                <w:spacing w:val="-6"/>
                <w:sz w:val="21"/>
              </w:rPr>
              <w:t xml:space="preserve"> </w:t>
            </w:r>
            <w:r>
              <w:rPr>
                <w:sz w:val="21"/>
              </w:rPr>
              <w:t>Percentages</w:t>
            </w:r>
            <w:r>
              <w:rPr>
                <w:spacing w:val="-5"/>
                <w:sz w:val="21"/>
              </w:rPr>
              <w:t xml:space="preserve"> </w:t>
            </w:r>
            <w:r>
              <w:rPr>
                <w:sz w:val="21"/>
              </w:rPr>
              <w:t>are</w:t>
            </w:r>
            <w:r>
              <w:rPr>
                <w:spacing w:val="-6"/>
                <w:sz w:val="21"/>
              </w:rPr>
              <w:t xml:space="preserve"> </w:t>
            </w:r>
            <w:r>
              <w:rPr>
                <w:sz w:val="21"/>
              </w:rPr>
              <w:t>based</w:t>
            </w:r>
            <w:r>
              <w:rPr>
                <w:spacing w:val="-5"/>
                <w:sz w:val="21"/>
              </w:rPr>
              <w:t xml:space="preserve"> </w:t>
            </w:r>
            <w:r>
              <w:rPr>
                <w:sz w:val="21"/>
              </w:rPr>
              <w:t>on</w:t>
            </w:r>
            <w:r>
              <w:rPr>
                <w:spacing w:val="-6"/>
                <w:sz w:val="21"/>
              </w:rPr>
              <w:t xml:space="preserve"> </w:t>
            </w:r>
            <w:r>
              <w:rPr>
                <w:sz w:val="21"/>
              </w:rPr>
              <w:t>unrounded</w:t>
            </w:r>
            <w:r>
              <w:rPr>
                <w:spacing w:val="-5"/>
                <w:sz w:val="21"/>
              </w:rPr>
              <w:t xml:space="preserve"> </w:t>
            </w:r>
            <w:r>
              <w:rPr>
                <w:spacing w:val="-2"/>
                <w:sz w:val="21"/>
              </w:rPr>
              <w:t>counts.</w:t>
            </w:r>
          </w:p>
          <w:p w:rsidR="003F5784" w14:paraId="46E240EA" w14:textId="77777777">
            <w:pPr>
              <w:pStyle w:val="TableParagraph"/>
              <w:spacing w:before="0" w:line="234" w:lineRule="exact"/>
              <w:ind w:left="120"/>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Progress (NAEP), 2022 National Mathematics and Reading Assessments.</w:t>
            </w:r>
          </w:p>
        </w:tc>
      </w:tr>
    </w:tbl>
    <w:p w:rsidR="003F5784" w14:paraId="0BD07A81" w14:textId="77777777">
      <w:pPr>
        <w:spacing w:line="234" w:lineRule="exact"/>
        <w:rPr>
          <w:sz w:val="21"/>
        </w:rPr>
        <w:sectPr>
          <w:pgSz w:w="15840" w:h="12240" w:orient="landscape"/>
          <w:pgMar w:top="480" w:right="440" w:bottom="460" w:left="460" w:header="284" w:footer="275" w:gutter="0"/>
          <w:cols w:space="720"/>
        </w:sectPr>
      </w:pPr>
    </w:p>
    <w:p w:rsidR="003F5784" w14:paraId="57F85D09" w14:textId="77777777">
      <w:pPr>
        <w:pStyle w:val="BodyText"/>
        <w:tabs>
          <w:tab w:val="left" w:pos="1592"/>
          <w:tab w:val="left" w:pos="4089"/>
          <w:tab w:val="left" w:pos="7704"/>
          <w:tab w:val="left" w:pos="10998"/>
        </w:tabs>
        <w:spacing w:before="98" w:after="20"/>
        <w:ind w:left="595"/>
      </w:pPr>
      <w:r>
        <w:rPr>
          <w:spacing w:val="-2"/>
        </w:rPr>
        <w:t>Grade</w:t>
      </w:r>
      <w:r>
        <w:tab/>
        <w:t>Private</w:t>
      </w:r>
      <w:r>
        <w:rPr>
          <w:spacing w:val="-7"/>
        </w:rPr>
        <w:t xml:space="preserve"> </w:t>
      </w:r>
      <w:r>
        <w:t>school</w:t>
      </w:r>
      <w:r>
        <w:rPr>
          <w:spacing w:val="-7"/>
        </w:rPr>
        <w:t xml:space="preserve"> </w:t>
      </w:r>
      <w:r>
        <w:rPr>
          <w:spacing w:val="-4"/>
        </w:rPr>
        <w:t>type</w:t>
      </w:r>
      <w:r>
        <w:tab/>
        <w:t>Number</w:t>
      </w:r>
      <w:r>
        <w:rPr>
          <w:spacing w:val="-7"/>
        </w:rPr>
        <w:t xml:space="preserve"> </w:t>
      </w:r>
      <w:r>
        <w:t>of</w:t>
      </w:r>
      <w:r>
        <w:rPr>
          <w:spacing w:val="-6"/>
        </w:rPr>
        <w:t xml:space="preserve"> </w:t>
      </w:r>
      <w:r>
        <w:t>eligible</w:t>
      </w:r>
      <w:r>
        <w:rPr>
          <w:spacing w:val="-7"/>
        </w:rPr>
        <w:t xml:space="preserve"> </w:t>
      </w:r>
      <w:r>
        <w:t>sampled</w:t>
      </w:r>
      <w:r>
        <w:rPr>
          <w:spacing w:val="-6"/>
        </w:rPr>
        <w:t xml:space="preserve"> </w:t>
      </w:r>
      <w:r>
        <w:rPr>
          <w:spacing w:val="-2"/>
        </w:rPr>
        <w:t>schools</w:t>
      </w:r>
      <w:r>
        <w:tab/>
        <w:t>Number</w:t>
      </w:r>
      <w:r>
        <w:rPr>
          <w:spacing w:val="-8"/>
        </w:rPr>
        <w:t xml:space="preserve"> </w:t>
      </w:r>
      <w:r>
        <w:t>of</w:t>
      </w:r>
      <w:r>
        <w:rPr>
          <w:spacing w:val="-7"/>
        </w:rPr>
        <w:t xml:space="preserve"> </w:t>
      </w:r>
      <w:r>
        <w:t>participating</w:t>
      </w:r>
      <w:r>
        <w:rPr>
          <w:spacing w:val="-8"/>
        </w:rPr>
        <w:t xml:space="preserve"> </w:t>
      </w:r>
      <w:r>
        <w:rPr>
          <w:spacing w:val="-2"/>
        </w:rPr>
        <w:t>schools</w:t>
      </w:r>
      <w:r>
        <w:tab/>
        <w:t>Weighted</w:t>
      </w:r>
      <w:r>
        <w:rPr>
          <w:spacing w:val="-12"/>
        </w:rPr>
        <w:t xml:space="preserve"> </w:t>
      </w:r>
      <w:r>
        <w:t>school</w:t>
      </w:r>
      <w:r>
        <w:rPr>
          <w:spacing w:val="-11"/>
        </w:rPr>
        <w:t xml:space="preserve"> </w:t>
      </w:r>
      <w:r>
        <w:t>response</w:t>
      </w:r>
      <w:r>
        <w:rPr>
          <w:spacing w:val="-11"/>
        </w:rPr>
        <w:t xml:space="preserve"> </w:t>
      </w:r>
      <w:r>
        <w:t>rate</w:t>
      </w:r>
      <w:r>
        <w:rPr>
          <w:spacing w:val="-12"/>
        </w:rPr>
        <w:t xml:space="preserve"> </w:t>
      </w:r>
      <w:r>
        <w:rPr>
          <w:spacing w:val="-2"/>
        </w:rPr>
        <w:t>(percent)</w:t>
      </w:r>
    </w:p>
    <w:tbl>
      <w:tblPr>
        <w:tblW w:w="0" w:type="auto"/>
        <w:tblInd w:w="482" w:type="dxa"/>
        <w:tblLayout w:type="fixed"/>
        <w:tblCellMar>
          <w:left w:w="0" w:type="dxa"/>
          <w:right w:w="0" w:type="dxa"/>
        </w:tblCellMar>
        <w:tblLook w:val="01E0"/>
      </w:tblPr>
      <w:tblGrid>
        <w:gridCol w:w="3208"/>
        <w:gridCol w:w="3690"/>
        <w:gridCol w:w="3330"/>
        <w:gridCol w:w="3756"/>
      </w:tblGrid>
      <w:tr w14:paraId="4B694E12" w14:textId="77777777" w:rsidTr="008F0E55">
        <w:tblPrEx>
          <w:tblW w:w="0" w:type="auto"/>
          <w:tblInd w:w="482" w:type="dxa"/>
          <w:tblLayout w:type="fixed"/>
          <w:tblCellMar>
            <w:left w:w="0" w:type="dxa"/>
            <w:right w:w="0" w:type="dxa"/>
          </w:tblCellMar>
          <w:tblLook w:val="01E0"/>
        </w:tblPrEx>
        <w:trPr>
          <w:trHeight w:val="278"/>
        </w:trPr>
        <w:tc>
          <w:tcPr>
            <w:tcW w:w="3208" w:type="dxa"/>
            <w:tcBorders>
              <w:top w:val="single" w:sz="18" w:space="0" w:color="800000"/>
            </w:tcBorders>
          </w:tcPr>
          <w:p w:rsidR="003F5784" w14:paraId="6E16089E" w14:textId="77777777">
            <w:pPr>
              <w:pStyle w:val="TableParagraph"/>
              <w:spacing w:before="9"/>
              <w:ind w:left="1117"/>
              <w:jc w:val="left"/>
              <w:rPr>
                <w:sz w:val="21"/>
              </w:rPr>
            </w:pPr>
            <w:r>
              <w:rPr>
                <w:spacing w:val="-2"/>
                <w:sz w:val="21"/>
              </w:rPr>
              <w:t>Catholic</w:t>
            </w:r>
          </w:p>
        </w:tc>
        <w:tc>
          <w:tcPr>
            <w:tcW w:w="3690" w:type="dxa"/>
            <w:tcBorders>
              <w:top w:val="single" w:sz="18" w:space="0" w:color="800000"/>
            </w:tcBorders>
          </w:tcPr>
          <w:p w:rsidR="003F5784" w14:paraId="5E559A3F" w14:textId="77777777">
            <w:pPr>
              <w:pStyle w:val="TableParagraph"/>
              <w:spacing w:before="9"/>
              <w:ind w:right="1489"/>
              <w:rPr>
                <w:sz w:val="21"/>
              </w:rPr>
            </w:pPr>
            <w:r>
              <w:rPr>
                <w:spacing w:val="-5"/>
                <w:sz w:val="21"/>
              </w:rPr>
              <w:t>110</w:t>
            </w:r>
          </w:p>
        </w:tc>
        <w:tc>
          <w:tcPr>
            <w:tcW w:w="3330" w:type="dxa"/>
            <w:tcBorders>
              <w:top w:val="single" w:sz="18" w:space="0" w:color="800000"/>
            </w:tcBorders>
          </w:tcPr>
          <w:p w:rsidR="003F5784" w14:paraId="150B3EAD" w14:textId="77777777">
            <w:pPr>
              <w:pStyle w:val="TableParagraph"/>
              <w:spacing w:before="9"/>
              <w:ind w:right="1734"/>
              <w:rPr>
                <w:sz w:val="21"/>
              </w:rPr>
            </w:pPr>
            <w:r>
              <w:rPr>
                <w:spacing w:val="-5"/>
                <w:sz w:val="21"/>
              </w:rPr>
              <w:t>90</w:t>
            </w:r>
          </w:p>
        </w:tc>
        <w:tc>
          <w:tcPr>
            <w:tcW w:w="3756" w:type="dxa"/>
            <w:tcBorders>
              <w:top w:val="single" w:sz="18" w:space="0" w:color="800000"/>
            </w:tcBorders>
          </w:tcPr>
          <w:p w:rsidR="003F5784" w14:paraId="6B7039E1" w14:textId="77777777">
            <w:pPr>
              <w:pStyle w:val="TableParagraph"/>
              <w:spacing w:before="9"/>
              <w:ind w:right="117"/>
              <w:rPr>
                <w:sz w:val="21"/>
              </w:rPr>
            </w:pPr>
            <w:r>
              <w:rPr>
                <w:spacing w:val="-2"/>
                <w:sz w:val="21"/>
              </w:rPr>
              <w:t>66.61</w:t>
            </w:r>
          </w:p>
        </w:tc>
      </w:tr>
      <w:tr w14:paraId="58D1F608" w14:textId="77777777" w:rsidTr="008F0E55">
        <w:tblPrEx>
          <w:tblW w:w="0" w:type="auto"/>
          <w:tblInd w:w="482" w:type="dxa"/>
          <w:tblLayout w:type="fixed"/>
          <w:tblCellMar>
            <w:left w:w="0" w:type="dxa"/>
            <w:right w:w="0" w:type="dxa"/>
          </w:tblCellMar>
          <w:tblLook w:val="01E0"/>
        </w:tblPrEx>
        <w:trPr>
          <w:trHeight w:val="289"/>
        </w:trPr>
        <w:tc>
          <w:tcPr>
            <w:tcW w:w="3208" w:type="dxa"/>
            <w:tcBorders>
              <w:bottom w:val="single" w:sz="12" w:space="0" w:color="800000"/>
            </w:tcBorders>
          </w:tcPr>
          <w:p w:rsidR="003F5784" w14:paraId="21E4E095" w14:textId="77777777">
            <w:pPr>
              <w:pStyle w:val="TableParagraph"/>
              <w:ind w:left="1117"/>
              <w:jc w:val="left"/>
              <w:rPr>
                <w:sz w:val="21"/>
              </w:rPr>
            </w:pPr>
            <w:r>
              <w:rPr>
                <w:spacing w:val="-2"/>
                <w:sz w:val="21"/>
              </w:rPr>
              <w:t>Non-Catholic</w:t>
            </w:r>
          </w:p>
        </w:tc>
        <w:tc>
          <w:tcPr>
            <w:tcW w:w="3690" w:type="dxa"/>
            <w:tcBorders>
              <w:bottom w:val="single" w:sz="12" w:space="0" w:color="800000"/>
            </w:tcBorders>
          </w:tcPr>
          <w:p w:rsidR="003F5784" w14:paraId="64887803" w14:textId="77777777">
            <w:pPr>
              <w:pStyle w:val="TableParagraph"/>
              <w:ind w:right="1489"/>
              <w:rPr>
                <w:sz w:val="21"/>
              </w:rPr>
            </w:pPr>
            <w:r>
              <w:rPr>
                <w:spacing w:val="-5"/>
                <w:sz w:val="21"/>
              </w:rPr>
              <w:t>230</w:t>
            </w:r>
          </w:p>
        </w:tc>
        <w:tc>
          <w:tcPr>
            <w:tcW w:w="3330" w:type="dxa"/>
            <w:tcBorders>
              <w:bottom w:val="single" w:sz="12" w:space="0" w:color="800000"/>
            </w:tcBorders>
          </w:tcPr>
          <w:p w:rsidR="003F5784" w14:paraId="6270FAA8" w14:textId="77777777">
            <w:pPr>
              <w:pStyle w:val="TableParagraph"/>
              <w:ind w:right="1734"/>
              <w:rPr>
                <w:sz w:val="21"/>
              </w:rPr>
            </w:pPr>
            <w:r>
              <w:rPr>
                <w:spacing w:val="-5"/>
                <w:sz w:val="21"/>
              </w:rPr>
              <w:t>60</w:t>
            </w:r>
          </w:p>
        </w:tc>
        <w:tc>
          <w:tcPr>
            <w:tcW w:w="3756" w:type="dxa"/>
            <w:tcBorders>
              <w:bottom w:val="single" w:sz="12" w:space="0" w:color="800000"/>
            </w:tcBorders>
          </w:tcPr>
          <w:p w:rsidR="003F5784" w14:paraId="234CEAA1" w14:textId="77777777">
            <w:pPr>
              <w:pStyle w:val="TableParagraph"/>
              <w:ind w:right="117"/>
              <w:rPr>
                <w:sz w:val="21"/>
              </w:rPr>
            </w:pPr>
            <w:r>
              <w:rPr>
                <w:spacing w:val="-2"/>
                <w:sz w:val="21"/>
              </w:rPr>
              <w:t>20.01</w:t>
            </w:r>
          </w:p>
        </w:tc>
      </w:tr>
      <w:tr w14:paraId="609A4AB4" w14:textId="77777777" w:rsidTr="008F0E55">
        <w:tblPrEx>
          <w:tblW w:w="0" w:type="auto"/>
          <w:tblInd w:w="482" w:type="dxa"/>
          <w:tblLayout w:type="fixed"/>
          <w:tblCellMar>
            <w:left w:w="0" w:type="dxa"/>
            <w:right w:w="0" w:type="dxa"/>
          </w:tblCellMar>
          <w:tblLook w:val="01E0"/>
        </w:tblPrEx>
        <w:trPr>
          <w:trHeight w:val="266"/>
        </w:trPr>
        <w:tc>
          <w:tcPr>
            <w:tcW w:w="3208" w:type="dxa"/>
            <w:tcBorders>
              <w:top w:val="single" w:sz="12" w:space="0" w:color="800000"/>
            </w:tcBorders>
          </w:tcPr>
          <w:p w:rsidR="003F5784" w14:paraId="09D87F0E" w14:textId="77777777">
            <w:pPr>
              <w:pStyle w:val="TableParagraph"/>
              <w:tabs>
                <w:tab w:val="left" w:pos="1367"/>
              </w:tabs>
              <w:spacing w:before="0" w:line="239" w:lineRule="exact"/>
              <w:ind w:left="120"/>
              <w:jc w:val="left"/>
              <w:rPr>
                <w:b/>
                <w:sz w:val="21"/>
              </w:rPr>
            </w:pPr>
            <w:r>
              <w:rPr>
                <w:spacing w:val="-10"/>
                <w:sz w:val="21"/>
              </w:rPr>
              <w:t>8</w:t>
            </w:r>
            <w:r>
              <w:rPr>
                <w:sz w:val="21"/>
              </w:rPr>
              <w:tab/>
            </w:r>
            <w:r>
              <w:rPr>
                <w:b/>
                <w:sz w:val="21"/>
              </w:rPr>
              <w:t>All</w:t>
            </w:r>
            <w:r>
              <w:rPr>
                <w:b/>
                <w:spacing w:val="-4"/>
                <w:sz w:val="21"/>
              </w:rPr>
              <w:t xml:space="preserve"> </w:t>
            </w:r>
            <w:r>
              <w:rPr>
                <w:b/>
                <w:spacing w:val="-2"/>
                <w:sz w:val="21"/>
              </w:rPr>
              <w:t>private</w:t>
            </w:r>
          </w:p>
        </w:tc>
        <w:tc>
          <w:tcPr>
            <w:tcW w:w="3690" w:type="dxa"/>
            <w:tcBorders>
              <w:top w:val="single" w:sz="12" w:space="0" w:color="800000"/>
            </w:tcBorders>
          </w:tcPr>
          <w:p w:rsidR="003F5784" w14:paraId="518EF003" w14:textId="77777777">
            <w:pPr>
              <w:pStyle w:val="TableParagraph"/>
              <w:spacing w:before="0" w:line="239" w:lineRule="exact"/>
              <w:ind w:right="1489"/>
              <w:rPr>
                <w:b/>
                <w:sz w:val="21"/>
              </w:rPr>
            </w:pPr>
            <w:r>
              <w:rPr>
                <w:b/>
                <w:spacing w:val="-5"/>
                <w:sz w:val="21"/>
              </w:rPr>
              <w:t>330</w:t>
            </w:r>
          </w:p>
        </w:tc>
        <w:tc>
          <w:tcPr>
            <w:tcW w:w="3330" w:type="dxa"/>
            <w:tcBorders>
              <w:top w:val="single" w:sz="12" w:space="0" w:color="800000"/>
            </w:tcBorders>
          </w:tcPr>
          <w:p w:rsidR="003F5784" w14:paraId="739A7835" w14:textId="77777777">
            <w:pPr>
              <w:pStyle w:val="TableParagraph"/>
              <w:spacing w:before="0" w:line="239" w:lineRule="exact"/>
              <w:ind w:right="1734"/>
              <w:rPr>
                <w:b/>
                <w:sz w:val="21"/>
              </w:rPr>
            </w:pPr>
            <w:r>
              <w:rPr>
                <w:b/>
                <w:spacing w:val="-5"/>
                <w:sz w:val="21"/>
              </w:rPr>
              <w:t>130</w:t>
            </w:r>
          </w:p>
        </w:tc>
        <w:tc>
          <w:tcPr>
            <w:tcW w:w="3756" w:type="dxa"/>
            <w:tcBorders>
              <w:top w:val="single" w:sz="12" w:space="0" w:color="800000"/>
            </w:tcBorders>
          </w:tcPr>
          <w:p w:rsidR="003F5784" w14:paraId="08027049" w14:textId="77777777">
            <w:pPr>
              <w:pStyle w:val="TableParagraph"/>
              <w:spacing w:before="0" w:line="239" w:lineRule="exact"/>
              <w:ind w:right="117"/>
              <w:rPr>
                <w:b/>
                <w:sz w:val="21"/>
              </w:rPr>
            </w:pPr>
            <w:r>
              <w:rPr>
                <w:b/>
                <w:spacing w:val="-2"/>
                <w:sz w:val="21"/>
              </w:rPr>
              <w:t>35.49</w:t>
            </w:r>
          </w:p>
        </w:tc>
      </w:tr>
      <w:tr w14:paraId="66B493AE" w14:textId="77777777" w:rsidTr="008F0E55">
        <w:tblPrEx>
          <w:tblW w:w="0" w:type="auto"/>
          <w:tblInd w:w="482" w:type="dxa"/>
          <w:tblLayout w:type="fixed"/>
          <w:tblCellMar>
            <w:left w:w="0" w:type="dxa"/>
            <w:right w:w="0" w:type="dxa"/>
          </w:tblCellMar>
          <w:tblLook w:val="01E0"/>
        </w:tblPrEx>
        <w:trPr>
          <w:trHeight w:val="286"/>
        </w:trPr>
        <w:tc>
          <w:tcPr>
            <w:tcW w:w="3208" w:type="dxa"/>
          </w:tcPr>
          <w:p w:rsidR="003F5784" w14:paraId="1A30BF59" w14:textId="77777777">
            <w:pPr>
              <w:pStyle w:val="TableParagraph"/>
              <w:ind w:left="1117"/>
              <w:jc w:val="left"/>
              <w:rPr>
                <w:sz w:val="21"/>
              </w:rPr>
            </w:pPr>
            <w:r>
              <w:rPr>
                <w:spacing w:val="-2"/>
                <w:sz w:val="21"/>
              </w:rPr>
              <w:t>Catholic</w:t>
            </w:r>
          </w:p>
        </w:tc>
        <w:tc>
          <w:tcPr>
            <w:tcW w:w="3690" w:type="dxa"/>
          </w:tcPr>
          <w:p w:rsidR="003F5784" w14:paraId="5B2978A5" w14:textId="77777777">
            <w:pPr>
              <w:pStyle w:val="TableParagraph"/>
              <w:ind w:right="1489"/>
              <w:rPr>
                <w:sz w:val="21"/>
              </w:rPr>
            </w:pPr>
            <w:r>
              <w:rPr>
                <w:spacing w:val="-5"/>
                <w:sz w:val="21"/>
              </w:rPr>
              <w:t>100</w:t>
            </w:r>
          </w:p>
        </w:tc>
        <w:tc>
          <w:tcPr>
            <w:tcW w:w="3330" w:type="dxa"/>
          </w:tcPr>
          <w:p w:rsidR="003F5784" w14:paraId="61063E70" w14:textId="77777777">
            <w:pPr>
              <w:pStyle w:val="TableParagraph"/>
              <w:ind w:right="1734"/>
              <w:rPr>
                <w:sz w:val="21"/>
              </w:rPr>
            </w:pPr>
            <w:r>
              <w:rPr>
                <w:spacing w:val="-5"/>
                <w:sz w:val="21"/>
              </w:rPr>
              <w:t>80</w:t>
            </w:r>
          </w:p>
        </w:tc>
        <w:tc>
          <w:tcPr>
            <w:tcW w:w="3756" w:type="dxa"/>
          </w:tcPr>
          <w:p w:rsidR="003F5784" w14:paraId="47962920" w14:textId="77777777">
            <w:pPr>
              <w:pStyle w:val="TableParagraph"/>
              <w:ind w:right="117"/>
              <w:rPr>
                <w:sz w:val="21"/>
              </w:rPr>
            </w:pPr>
            <w:r>
              <w:rPr>
                <w:spacing w:val="-2"/>
                <w:sz w:val="21"/>
              </w:rPr>
              <w:t>60.98</w:t>
            </w:r>
          </w:p>
        </w:tc>
      </w:tr>
      <w:tr w14:paraId="2533AEAB" w14:textId="77777777" w:rsidTr="008F0E55">
        <w:tblPrEx>
          <w:tblW w:w="0" w:type="auto"/>
          <w:tblInd w:w="482" w:type="dxa"/>
          <w:tblLayout w:type="fixed"/>
          <w:tblCellMar>
            <w:left w:w="0" w:type="dxa"/>
            <w:right w:w="0" w:type="dxa"/>
          </w:tblCellMar>
          <w:tblLook w:val="01E0"/>
        </w:tblPrEx>
        <w:trPr>
          <w:trHeight w:val="288"/>
        </w:trPr>
        <w:tc>
          <w:tcPr>
            <w:tcW w:w="3208" w:type="dxa"/>
            <w:tcBorders>
              <w:bottom w:val="single" w:sz="18" w:space="0" w:color="800000"/>
            </w:tcBorders>
          </w:tcPr>
          <w:p w:rsidR="003F5784" w14:paraId="389258FF" w14:textId="77777777">
            <w:pPr>
              <w:pStyle w:val="TableParagraph"/>
              <w:ind w:left="1117"/>
              <w:jc w:val="left"/>
              <w:rPr>
                <w:sz w:val="21"/>
              </w:rPr>
            </w:pPr>
            <w:r>
              <w:rPr>
                <w:spacing w:val="-2"/>
                <w:sz w:val="21"/>
              </w:rPr>
              <w:t>Non-Catholic</w:t>
            </w:r>
          </w:p>
        </w:tc>
        <w:tc>
          <w:tcPr>
            <w:tcW w:w="3690" w:type="dxa"/>
            <w:tcBorders>
              <w:bottom w:val="single" w:sz="18" w:space="0" w:color="800000"/>
            </w:tcBorders>
          </w:tcPr>
          <w:p w:rsidR="003F5784" w14:paraId="616CFFDB" w14:textId="77777777">
            <w:pPr>
              <w:pStyle w:val="TableParagraph"/>
              <w:ind w:right="1489"/>
              <w:rPr>
                <w:sz w:val="21"/>
              </w:rPr>
            </w:pPr>
            <w:r>
              <w:rPr>
                <w:spacing w:val="-5"/>
                <w:sz w:val="21"/>
              </w:rPr>
              <w:t>230</w:t>
            </w:r>
          </w:p>
        </w:tc>
        <w:tc>
          <w:tcPr>
            <w:tcW w:w="3330" w:type="dxa"/>
            <w:tcBorders>
              <w:bottom w:val="single" w:sz="18" w:space="0" w:color="800000"/>
            </w:tcBorders>
          </w:tcPr>
          <w:p w:rsidR="003F5784" w14:paraId="2DA070DE" w14:textId="77777777">
            <w:pPr>
              <w:pStyle w:val="TableParagraph"/>
              <w:ind w:right="1734"/>
              <w:rPr>
                <w:sz w:val="21"/>
              </w:rPr>
            </w:pPr>
            <w:r>
              <w:rPr>
                <w:spacing w:val="-5"/>
                <w:sz w:val="21"/>
              </w:rPr>
              <w:t>60</w:t>
            </w:r>
          </w:p>
        </w:tc>
        <w:tc>
          <w:tcPr>
            <w:tcW w:w="3756" w:type="dxa"/>
            <w:tcBorders>
              <w:bottom w:val="single" w:sz="18" w:space="0" w:color="800000"/>
            </w:tcBorders>
          </w:tcPr>
          <w:p w:rsidR="003F5784" w14:paraId="7F16B53C" w14:textId="77777777">
            <w:pPr>
              <w:pStyle w:val="TableParagraph"/>
              <w:ind w:right="117"/>
              <w:rPr>
                <w:sz w:val="21"/>
              </w:rPr>
            </w:pPr>
            <w:r>
              <w:rPr>
                <w:spacing w:val="-2"/>
                <w:sz w:val="21"/>
              </w:rPr>
              <w:t>19.80</w:t>
            </w:r>
          </w:p>
        </w:tc>
      </w:tr>
    </w:tbl>
    <w:p w:rsidR="003F5784" w14:paraId="4AC090F1" w14:textId="77777777">
      <w:pPr>
        <w:pStyle w:val="BodyText"/>
        <w:spacing w:line="235" w:lineRule="exact"/>
        <w:ind w:left="595"/>
      </w:pPr>
      <w:r>
        <w:t>NOTE:</w:t>
      </w:r>
      <w:r>
        <w:rPr>
          <w:spacing w:val="-6"/>
        </w:rPr>
        <w:t xml:space="preserve"> </w:t>
      </w:r>
      <w:r>
        <w:t>Detail</w:t>
      </w:r>
      <w:r>
        <w:rPr>
          <w:spacing w:val="-6"/>
        </w:rPr>
        <w:t xml:space="preserve"> </w:t>
      </w:r>
      <w:r>
        <w:t>may</w:t>
      </w:r>
      <w:r>
        <w:rPr>
          <w:spacing w:val="-5"/>
        </w:rPr>
        <w:t xml:space="preserve"> </w:t>
      </w:r>
      <w:r>
        <w:t>not</w:t>
      </w:r>
      <w:r>
        <w:rPr>
          <w:spacing w:val="-6"/>
        </w:rPr>
        <w:t xml:space="preserve"> </w:t>
      </w:r>
      <w:r>
        <w:t>sum</w:t>
      </w:r>
      <w:r>
        <w:rPr>
          <w:spacing w:val="-5"/>
        </w:rPr>
        <w:t xml:space="preserve"> </w:t>
      </w:r>
      <w:r>
        <w:t>to</w:t>
      </w:r>
      <w:r>
        <w:rPr>
          <w:spacing w:val="-6"/>
        </w:rPr>
        <w:t xml:space="preserve"> </w:t>
      </w:r>
      <w:r>
        <w:t>total</w:t>
      </w:r>
      <w:r>
        <w:rPr>
          <w:spacing w:val="-5"/>
        </w:rPr>
        <w:t xml:space="preserve"> </w:t>
      </w:r>
      <w:r>
        <w:t>due</w:t>
      </w:r>
      <w:r>
        <w:rPr>
          <w:spacing w:val="-6"/>
        </w:rPr>
        <w:t xml:space="preserve"> </w:t>
      </w:r>
      <w:r>
        <w:t>to</w:t>
      </w:r>
      <w:r>
        <w:rPr>
          <w:spacing w:val="-5"/>
        </w:rPr>
        <w:t xml:space="preserve"> </w:t>
      </w:r>
      <w:r>
        <w:t>rounding.</w:t>
      </w:r>
      <w:r>
        <w:rPr>
          <w:spacing w:val="-6"/>
        </w:rPr>
        <w:t xml:space="preserve"> </w:t>
      </w:r>
      <w:r>
        <w:t>Percentages</w:t>
      </w:r>
      <w:r>
        <w:rPr>
          <w:spacing w:val="-5"/>
        </w:rPr>
        <w:t xml:space="preserve"> </w:t>
      </w:r>
      <w:r>
        <w:t>are</w:t>
      </w:r>
      <w:r>
        <w:rPr>
          <w:spacing w:val="-6"/>
        </w:rPr>
        <w:t xml:space="preserve"> </w:t>
      </w:r>
      <w:r>
        <w:t>based</w:t>
      </w:r>
      <w:r>
        <w:rPr>
          <w:spacing w:val="-5"/>
        </w:rPr>
        <w:t xml:space="preserve"> </w:t>
      </w:r>
      <w:r>
        <w:t>on</w:t>
      </w:r>
      <w:r>
        <w:rPr>
          <w:spacing w:val="-6"/>
        </w:rPr>
        <w:t xml:space="preserve"> </w:t>
      </w:r>
      <w:r>
        <w:t>unrounded</w:t>
      </w:r>
      <w:r>
        <w:rPr>
          <w:spacing w:val="-5"/>
        </w:rPr>
        <w:t xml:space="preserve"> </w:t>
      </w:r>
      <w:r>
        <w:rPr>
          <w:spacing w:val="-2"/>
        </w:rPr>
        <w:t>counts.</w:t>
      </w:r>
    </w:p>
    <w:p w:rsidR="003F5784" w14:paraId="58853794"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National Mathematics and Reading Assessments.</w:t>
      </w:r>
    </w:p>
    <w:p w:rsidR="003F5784" w14:paraId="09B2144B" w14:textId="77777777">
      <w:pPr>
        <w:pStyle w:val="BodyText"/>
      </w:pPr>
    </w:p>
    <w:p w:rsidR="003F5784" w14:paraId="0FC12776" w14:textId="77777777">
      <w:pPr>
        <w:pStyle w:val="BodyText"/>
      </w:pPr>
    </w:p>
    <w:p w:rsidR="003F5784" w14:paraId="0013A5C6" w14:textId="77777777">
      <w:pPr>
        <w:pStyle w:val="BodyText"/>
        <w:spacing w:before="172"/>
      </w:pPr>
    </w:p>
    <w:p w:rsidR="003F5784" w14:paraId="0CCB507C" w14:textId="77777777">
      <w:pPr>
        <w:ind w:left="1362"/>
        <w:rPr>
          <w:sz w:val="18"/>
        </w:rPr>
      </w:pPr>
      <w:hyperlink r:id="rId97">
        <w:r>
          <w:rPr>
            <w:spacing w:val="-2"/>
            <w:w w:val="105"/>
            <w:sz w:val="18"/>
          </w:rPr>
          <w:t>http://nces.ed.gov/nationsreportcard/tdw/sample_design/2022/weighted_school_response_rates_for_the_2022_fourth_and_eighth_grade_private_school_national_assessment.aspx</w:t>
        </w:r>
      </w:hyperlink>
    </w:p>
    <w:p w:rsidR="003F5784" w14:paraId="6EDB5753" w14:textId="77777777">
      <w:pPr>
        <w:pStyle w:val="BodyText"/>
        <w:rPr>
          <w:sz w:val="16"/>
        </w:rPr>
      </w:pPr>
      <w:r>
        <w:rPr>
          <w:noProof/>
        </w:rPr>
        <mc:AlternateContent>
          <mc:Choice Requires="wps">
            <w:drawing>
              <wp:anchor distT="0" distB="0" distL="0" distR="0" simplePos="0" relativeHeight="251806720" behindDoc="1" locked="0" layoutInCell="1" allowOverlap="1">
                <wp:simplePos x="0" y="0"/>
                <wp:positionH relativeFrom="page">
                  <wp:posOffset>361937</wp:posOffset>
                </wp:positionH>
                <wp:positionV relativeFrom="paragraph">
                  <wp:posOffset>132527</wp:posOffset>
                </wp:positionV>
                <wp:extent cx="9339580" cy="8890"/>
                <wp:effectExtent l="0" t="0" r="0" b="0"/>
                <wp:wrapTopAndBottom/>
                <wp:docPr id="116" name="Graphic 11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8280" y="8280"/>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16" o:spid="_x0000_s1074" style="width:735.4pt;height:0.7pt;margin-top:10.45pt;margin-left:28.5pt;mso-position-horizontal-relative:page;mso-wrap-distance-bottom:0;mso-wrap-distance-left:0;mso-wrap-distance-right:0;mso-wrap-distance-top:0;mso-wrap-style:square;position:absolute;visibility:visible;v-text-anchor:top;z-index:-251508736" coordsize="9339580,8890" path="m9338970,l9335110,l8280,,,,,8267l8280,8280l9335110,8267l9338970,8267l9338970,xe" fillcolor="gray" stroked="f">
                <v:path arrowok="t"/>
                <w10:wrap type="topAndBottom"/>
              </v:shape>
            </w:pict>
          </mc:Fallback>
        </mc:AlternateContent>
      </w:r>
    </w:p>
    <w:p w:rsidR="003F5784" w14:paraId="6FB1EE13" w14:textId="77777777">
      <w:pPr>
        <w:pStyle w:val="BodyText"/>
        <w:rPr>
          <w:sz w:val="18"/>
        </w:rPr>
      </w:pPr>
    </w:p>
    <w:p w:rsidR="003F5784" w14:paraId="18073E53" w14:textId="77777777">
      <w:pPr>
        <w:pStyle w:val="BodyText"/>
        <w:spacing w:before="193"/>
        <w:rPr>
          <w:sz w:val="18"/>
        </w:rPr>
      </w:pPr>
    </w:p>
    <w:p w:rsidR="003F5784" w14:paraId="68EEAD86" w14:textId="0D300131">
      <w:pPr>
        <w:pStyle w:val="Heading1"/>
        <w:spacing w:line="244" w:lineRule="auto"/>
        <w:ind w:right="179"/>
      </w:pPr>
      <w:r>
        <w:t>NAEP</w:t>
      </w:r>
      <w:r>
        <w:rPr>
          <w:spacing w:val="-15"/>
        </w:rPr>
        <w:t xml:space="preserve"> </w:t>
      </w:r>
      <w:r>
        <w:t>Technical Documentation</w:t>
      </w:r>
      <w:r w:rsidR="00B45CF5">
        <w:t xml:space="preserve"> </w:t>
      </w:r>
      <w:r>
        <w:t xml:space="preserve">Weighted Student Response and Exclusion Rates for the 2022 Fourth- and Eighth-Grade Private School National Mathematics </w:t>
      </w:r>
      <w:r>
        <w:rPr>
          <w:spacing w:val="-2"/>
        </w:rPr>
        <w:t>Assessment</w:t>
      </w:r>
    </w:p>
    <w:p w:rsidR="003F5784" w14:paraId="2783D070" w14:textId="77777777">
      <w:pPr>
        <w:pStyle w:val="BodyText"/>
        <w:spacing w:before="288" w:line="232" w:lineRule="auto"/>
        <w:ind w:left="109" w:right="179"/>
      </w:pPr>
      <w:r>
        <w:t>The</w:t>
      </w:r>
      <w:r>
        <w:rPr>
          <w:spacing w:val="-7"/>
        </w:rPr>
        <w:t xml:space="preserve"> </w:t>
      </w:r>
      <w:r>
        <w:t>following</w:t>
      </w:r>
      <w:r>
        <w:rPr>
          <w:spacing w:val="-7"/>
        </w:rPr>
        <w:t xml:space="preserve"> </w:t>
      </w:r>
      <w:r>
        <w:t>table</w:t>
      </w:r>
      <w:r>
        <w:rPr>
          <w:spacing w:val="-7"/>
        </w:rPr>
        <w:t xml:space="preserve"> </w:t>
      </w:r>
      <w:r>
        <w:t>presents</w:t>
      </w:r>
      <w:r>
        <w:rPr>
          <w:spacing w:val="-7"/>
        </w:rPr>
        <w:t xml:space="preserve"> </w:t>
      </w:r>
      <w:r>
        <w:t>weighted</w:t>
      </w:r>
      <w:r>
        <w:rPr>
          <w:spacing w:val="-7"/>
        </w:rPr>
        <w:t xml:space="preserve"> </w:t>
      </w:r>
      <w:r>
        <w:t>student</w:t>
      </w:r>
      <w:r>
        <w:rPr>
          <w:spacing w:val="-7"/>
        </w:rPr>
        <w:t xml:space="preserve"> </w:t>
      </w:r>
      <w:r>
        <w:t>response,</w:t>
      </w:r>
      <w:r>
        <w:rPr>
          <w:spacing w:val="-7"/>
        </w:rPr>
        <w:t xml:space="preserve"> </w:t>
      </w:r>
      <w:r>
        <w:t>exclusion,</w:t>
      </w:r>
      <w:r>
        <w:rPr>
          <w:spacing w:val="-7"/>
        </w:rPr>
        <w:t xml:space="preserve"> </w:t>
      </w:r>
      <w:r>
        <w:t>and</w:t>
      </w:r>
      <w:r>
        <w:rPr>
          <w:spacing w:val="-7"/>
        </w:rPr>
        <w:t xml:space="preserve"> </w:t>
      </w:r>
      <w:r>
        <w:t>full-time</w:t>
      </w:r>
      <w:r>
        <w:rPr>
          <w:spacing w:val="-7"/>
        </w:rPr>
        <w:t xml:space="preserve"> </w:t>
      </w:r>
      <w:r>
        <w:t>remote</w:t>
      </w:r>
      <w:r>
        <w:rPr>
          <w:spacing w:val="-7"/>
        </w:rPr>
        <w:t xml:space="preserve"> </w:t>
      </w:r>
      <w:r>
        <w:t>rates,</w:t>
      </w:r>
      <w:r>
        <w:rPr>
          <w:spacing w:val="-7"/>
        </w:rPr>
        <w:t xml:space="preserve"> </w:t>
      </w:r>
      <w:r>
        <w:t>by</w:t>
      </w:r>
      <w:r>
        <w:rPr>
          <w:spacing w:val="-7"/>
        </w:rPr>
        <w:t xml:space="preserve"> </w:t>
      </w:r>
      <w:r>
        <w:t>school</w:t>
      </w:r>
      <w:r>
        <w:rPr>
          <w:spacing w:val="-7"/>
        </w:rPr>
        <w:t xml:space="preserve"> </w:t>
      </w:r>
      <w:r>
        <w:t>type,</w:t>
      </w:r>
      <w:r>
        <w:rPr>
          <w:spacing w:val="-7"/>
        </w:rPr>
        <w:t xml:space="preserve"> </w:t>
      </w:r>
      <w:r>
        <w:t>for</w:t>
      </w:r>
      <w:r>
        <w:rPr>
          <w:spacing w:val="-7"/>
        </w:rPr>
        <w:t xml:space="preserve"> </w:t>
      </w:r>
      <w:r>
        <w:t>the</w:t>
      </w:r>
      <w:r>
        <w:rPr>
          <w:spacing w:val="-7"/>
        </w:rPr>
        <w:t xml:space="preserve"> </w:t>
      </w:r>
      <w:r>
        <w:t>fourth-</w:t>
      </w:r>
      <w:r>
        <w:rPr>
          <w:spacing w:val="-7"/>
        </w:rPr>
        <w:t xml:space="preserve"> </w:t>
      </w:r>
      <w:r>
        <w:t>and</w:t>
      </w:r>
      <w:r>
        <w:rPr>
          <w:spacing w:val="-7"/>
        </w:rPr>
        <w:t xml:space="preserve"> </w:t>
      </w:r>
      <w:r>
        <w:t>eighth-grade</w:t>
      </w:r>
      <w:r>
        <w:rPr>
          <w:spacing w:val="-7"/>
        </w:rPr>
        <w:t xml:space="preserve"> </w:t>
      </w:r>
      <w:r>
        <w:t>private</w:t>
      </w:r>
      <w:r>
        <w:rPr>
          <w:spacing w:val="-7"/>
        </w:rPr>
        <w:t xml:space="preserve"> </w:t>
      </w:r>
      <w:r>
        <w:t>school</w:t>
      </w:r>
      <w:r>
        <w:rPr>
          <w:spacing w:val="-7"/>
        </w:rPr>
        <w:t xml:space="preserve"> </w:t>
      </w:r>
      <w:r>
        <w:t xml:space="preserve">national mathematics samples. Separate exclusion rates are provided for </w:t>
      </w:r>
      <w:r>
        <w:rPr>
          <w:color w:val="0066CC"/>
        </w:rPr>
        <w:t xml:space="preserve">students with disabilities (SD) </w:t>
      </w:r>
      <w:r>
        <w:t xml:space="preserve">and </w:t>
      </w:r>
      <w:r>
        <w:rPr>
          <w:color w:val="0066CC"/>
        </w:rPr>
        <w:t>English learners (EL)</w:t>
      </w:r>
      <w:r>
        <w:t>.</w:t>
      </w:r>
    </w:p>
    <w:p w:rsidR="003F5784" w14:paraId="06E01B9A" w14:textId="77777777">
      <w:pPr>
        <w:pStyle w:val="BodyText"/>
        <w:spacing w:before="209" w:line="232" w:lineRule="auto"/>
        <w:ind w:left="109"/>
      </w:pPr>
      <w:r>
        <w:t>A</w:t>
      </w:r>
      <w:r>
        <w:rPr>
          <w:spacing w:val="-10"/>
        </w:rPr>
        <w:t xml:space="preserve"> </w:t>
      </w:r>
      <w:r>
        <w:t>weighted student response rate indicates the percentage of the student population that is directly represented by the assessed students from within participating schools.</w:t>
      </w:r>
      <w:r>
        <w:rPr>
          <w:spacing w:val="-10"/>
        </w:rPr>
        <w:t xml:space="preserve"> </w:t>
      </w:r>
      <w:r>
        <w:t>A weighted</w:t>
      </w:r>
      <w:r>
        <w:rPr>
          <w:spacing w:val="-6"/>
        </w:rPr>
        <w:t xml:space="preserve"> </w:t>
      </w:r>
      <w:r>
        <w:t>exclusion</w:t>
      </w:r>
      <w:r>
        <w:rPr>
          <w:spacing w:val="-6"/>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population</w:t>
      </w:r>
      <w:r>
        <w:rPr>
          <w:spacing w:val="-6"/>
        </w:rPr>
        <w:t xml:space="preserve"> </w:t>
      </w:r>
      <w:r>
        <w:t>that</w:t>
      </w:r>
      <w:r>
        <w:rPr>
          <w:spacing w:val="-6"/>
        </w:rPr>
        <w:t xml:space="preserve"> </w:t>
      </w:r>
      <w:r>
        <w:t>would</w:t>
      </w:r>
      <w:r>
        <w:rPr>
          <w:spacing w:val="-6"/>
        </w:rPr>
        <w:t xml:space="preserve"> </w:t>
      </w:r>
      <w:r>
        <w:t>be</w:t>
      </w:r>
      <w:r>
        <w:rPr>
          <w:spacing w:val="-6"/>
        </w:rPr>
        <w:t xml:space="preserve"> </w:t>
      </w:r>
      <w:r>
        <w:t>excluded</w:t>
      </w:r>
      <w:r>
        <w:rPr>
          <w:spacing w:val="-6"/>
        </w:rPr>
        <w:t xml:space="preserve"> </w:t>
      </w:r>
      <w:r>
        <w:t>from</w:t>
      </w:r>
      <w:r>
        <w:rPr>
          <w:spacing w:val="-6"/>
        </w:rPr>
        <w:t xml:space="preserve"> </w:t>
      </w:r>
      <w:r>
        <w:t>the</w:t>
      </w:r>
      <w:r>
        <w:rPr>
          <w:spacing w:val="-6"/>
        </w:rPr>
        <w:t xml:space="preserve"> </w:t>
      </w:r>
      <w:r>
        <w:t>assessment.</w:t>
      </w:r>
      <w:r>
        <w:rPr>
          <w:spacing w:val="-10"/>
        </w:rPr>
        <w:t xml:space="preserve"> </w:t>
      </w:r>
      <w:r>
        <w:t>The</w:t>
      </w:r>
      <w:r>
        <w:rPr>
          <w:spacing w:val="-6"/>
        </w:rPr>
        <w:t xml:space="preserve"> </w:t>
      </w:r>
      <w:r>
        <w:t>weighted</w:t>
      </w:r>
      <w:r>
        <w:rPr>
          <w:spacing w:val="-6"/>
        </w:rPr>
        <w:t xml:space="preserve"> </w:t>
      </w:r>
      <w:r>
        <w:t>student</w:t>
      </w:r>
      <w:r>
        <w:rPr>
          <w:spacing w:val="-6"/>
        </w:rPr>
        <w:t xml:space="preserve"> </w:t>
      </w:r>
      <w:r>
        <w:t>full-time</w:t>
      </w:r>
      <w:r>
        <w:rPr>
          <w:spacing w:val="-6"/>
        </w:rPr>
        <w:t xml:space="preserve"> </w:t>
      </w:r>
      <w:r>
        <w:t>remote</w:t>
      </w:r>
      <w:r>
        <w:rPr>
          <w:spacing w:val="-6"/>
        </w:rPr>
        <w:t xml:space="preserve"> </w:t>
      </w:r>
      <w:r>
        <w:t>rate</w:t>
      </w:r>
      <w:r>
        <w:rPr>
          <w:spacing w:val="-6"/>
        </w:rPr>
        <w:t xml:space="preserve"> </w:t>
      </w:r>
      <w:r>
        <w:t>indicates the percentage of the student population that is full-time remote (enrolled in brick-and-mortar schools but do not attend school in person).</w:t>
      </w:r>
    </w:p>
    <w:p w:rsidR="003F5784" w14:paraId="5E8F9E49" w14:textId="77777777">
      <w:pPr>
        <w:pStyle w:val="BodyText"/>
        <w:spacing w:before="93"/>
      </w:pPr>
    </w:p>
    <w:p w:rsidR="003F5784" w14:paraId="46B85154" w14:textId="77777777">
      <w:pPr>
        <w:pStyle w:val="Heading2"/>
      </w:pPr>
      <w:r>
        <w:t>Weighted</w:t>
      </w:r>
      <w:r>
        <w:rPr>
          <w:spacing w:val="-9"/>
        </w:rPr>
        <w:t xml:space="preserve"> </w:t>
      </w:r>
      <w:r>
        <w:t>student</w:t>
      </w:r>
      <w:r>
        <w:rPr>
          <w:spacing w:val="-8"/>
        </w:rPr>
        <w:t xml:space="preserve"> </w:t>
      </w:r>
      <w:r>
        <w:t>response,</w:t>
      </w:r>
      <w:r>
        <w:rPr>
          <w:spacing w:val="-9"/>
        </w:rPr>
        <w:t xml:space="preserve"> </w:t>
      </w:r>
      <w:r>
        <w:t>exclusion,</w:t>
      </w:r>
      <w:r>
        <w:rPr>
          <w:spacing w:val="-8"/>
        </w:rPr>
        <w:t xml:space="preserve"> </w:t>
      </w:r>
      <w:r>
        <w:t>and</w:t>
      </w:r>
      <w:r>
        <w:rPr>
          <w:spacing w:val="-9"/>
        </w:rPr>
        <w:t xml:space="preserve"> </w:t>
      </w:r>
      <w:r>
        <w:t>full-time</w:t>
      </w:r>
      <w:r>
        <w:rPr>
          <w:spacing w:val="-8"/>
        </w:rPr>
        <w:t xml:space="preserve"> </w:t>
      </w:r>
      <w:r>
        <w:t>remote</w:t>
      </w:r>
      <w:r>
        <w:rPr>
          <w:spacing w:val="-8"/>
        </w:rPr>
        <w:t xml:space="preserve"> </w:t>
      </w:r>
      <w:r>
        <w:t>rates</w:t>
      </w:r>
      <w:r>
        <w:rPr>
          <w:spacing w:val="-9"/>
        </w:rPr>
        <w:t xml:space="preserve"> </w:t>
      </w:r>
      <w:r>
        <w:t>for</w:t>
      </w:r>
      <w:r>
        <w:rPr>
          <w:spacing w:val="-12"/>
        </w:rPr>
        <w:t xml:space="preserve"> </w:t>
      </w:r>
      <w:r>
        <w:t>private</w:t>
      </w:r>
      <w:r>
        <w:rPr>
          <w:spacing w:val="-8"/>
        </w:rPr>
        <w:t xml:space="preserve"> </w:t>
      </w:r>
      <w:r>
        <w:t>schools,</w:t>
      </w:r>
      <w:r>
        <w:rPr>
          <w:spacing w:val="-8"/>
        </w:rPr>
        <w:t xml:space="preserve"> </w:t>
      </w:r>
      <w:r>
        <w:t>national</w:t>
      </w:r>
      <w:r>
        <w:rPr>
          <w:spacing w:val="-9"/>
        </w:rPr>
        <w:t xml:space="preserve"> </w:t>
      </w:r>
      <w:r>
        <w:t>mathematics</w:t>
      </w:r>
      <w:r>
        <w:rPr>
          <w:spacing w:val="-8"/>
        </w:rPr>
        <w:t xml:space="preserve"> </w:t>
      </w:r>
      <w:r>
        <w:t>assessment,</w:t>
      </w:r>
      <w:r>
        <w:rPr>
          <w:spacing w:val="-9"/>
        </w:rPr>
        <w:t xml:space="preserve"> </w:t>
      </w:r>
      <w:r>
        <w:t>by</w:t>
      </w:r>
      <w:r>
        <w:rPr>
          <w:spacing w:val="-8"/>
        </w:rPr>
        <w:t xml:space="preserve"> </w:t>
      </w:r>
      <w:r>
        <w:t>grade</w:t>
      </w:r>
      <w:r>
        <w:rPr>
          <w:spacing w:val="-9"/>
        </w:rPr>
        <w:t xml:space="preserve"> </w:t>
      </w:r>
      <w:r>
        <w:t>and</w:t>
      </w:r>
      <w:r>
        <w:rPr>
          <w:spacing w:val="-8"/>
        </w:rPr>
        <w:t xml:space="preserve"> </w:t>
      </w:r>
      <w:r>
        <w:t>school</w:t>
      </w:r>
      <w:r>
        <w:rPr>
          <w:spacing w:val="-8"/>
        </w:rPr>
        <w:t xml:space="preserve"> </w:t>
      </w:r>
      <w:r>
        <w:t>type:</w:t>
      </w:r>
      <w:r>
        <w:rPr>
          <w:spacing w:val="-9"/>
        </w:rPr>
        <w:t xml:space="preserve"> </w:t>
      </w:r>
      <w:r>
        <w:rPr>
          <w:spacing w:val="-4"/>
        </w:rPr>
        <w:t>2022</w:t>
      </w:r>
    </w:p>
    <w:p w:rsidR="003F5784" w14:paraId="2814D231" w14:textId="77777777">
      <w:pPr>
        <w:pStyle w:val="BodyText"/>
        <w:spacing w:before="10" w:after="1"/>
        <w:rPr>
          <w:b/>
          <w:sz w:val="11"/>
        </w:rPr>
      </w:pPr>
    </w:p>
    <w:tbl>
      <w:tblPr>
        <w:tblW w:w="0" w:type="auto"/>
        <w:tblInd w:w="482" w:type="dxa"/>
        <w:tblLayout w:type="fixed"/>
        <w:tblCellMar>
          <w:left w:w="0" w:type="dxa"/>
          <w:right w:w="0" w:type="dxa"/>
        </w:tblCellMar>
        <w:tblLook w:val="01E0"/>
      </w:tblPr>
      <w:tblGrid>
        <w:gridCol w:w="789"/>
        <w:gridCol w:w="2825"/>
        <w:gridCol w:w="1950"/>
        <w:gridCol w:w="3153"/>
        <w:gridCol w:w="3130"/>
        <w:gridCol w:w="2138"/>
      </w:tblGrid>
      <w:tr w14:paraId="3693A510" w14:textId="77777777">
        <w:tblPrEx>
          <w:tblW w:w="0" w:type="auto"/>
          <w:tblInd w:w="482" w:type="dxa"/>
          <w:tblLayout w:type="fixed"/>
          <w:tblCellMar>
            <w:left w:w="0" w:type="dxa"/>
            <w:right w:w="0" w:type="dxa"/>
          </w:tblCellMar>
          <w:tblLook w:val="01E0"/>
        </w:tblPrEx>
        <w:trPr>
          <w:trHeight w:val="369"/>
        </w:trPr>
        <w:tc>
          <w:tcPr>
            <w:tcW w:w="5564" w:type="dxa"/>
            <w:gridSpan w:val="3"/>
            <w:tcBorders>
              <w:top w:val="single" w:sz="18" w:space="0" w:color="800000"/>
            </w:tcBorders>
          </w:tcPr>
          <w:p w:rsidR="003F5784" w14:paraId="41D07100" w14:textId="77777777">
            <w:pPr>
              <w:pStyle w:val="TableParagraph"/>
              <w:spacing w:before="9"/>
              <w:ind w:left="3522"/>
              <w:jc w:val="left"/>
              <w:rPr>
                <w:sz w:val="21"/>
              </w:rPr>
            </w:pPr>
            <w:r>
              <w:rPr>
                <w:spacing w:val="-2"/>
                <w:sz w:val="21"/>
              </w:rPr>
              <w:t>Weighted</w:t>
            </w:r>
            <w:r>
              <w:rPr>
                <w:spacing w:val="-11"/>
                <w:sz w:val="21"/>
              </w:rPr>
              <w:t xml:space="preserve"> </w:t>
            </w:r>
            <w:r>
              <w:rPr>
                <w:spacing w:val="-2"/>
                <w:sz w:val="21"/>
              </w:rPr>
              <w:t>student</w:t>
            </w:r>
          </w:p>
        </w:tc>
        <w:tc>
          <w:tcPr>
            <w:tcW w:w="3153" w:type="dxa"/>
            <w:tcBorders>
              <w:top w:val="single" w:sz="18" w:space="0" w:color="800000"/>
            </w:tcBorders>
          </w:tcPr>
          <w:p w:rsidR="003F5784" w14:paraId="748BE69D" w14:textId="77777777">
            <w:pPr>
              <w:pStyle w:val="TableParagraph"/>
              <w:spacing w:before="9"/>
              <w:ind w:right="583"/>
              <w:rPr>
                <w:sz w:val="21"/>
              </w:rPr>
            </w:pPr>
            <w:r>
              <w:rPr>
                <w:spacing w:val="-2"/>
                <w:sz w:val="21"/>
              </w:rPr>
              <w:t>Weighted</w:t>
            </w:r>
            <w:r>
              <w:rPr>
                <w:spacing w:val="-1"/>
                <w:sz w:val="21"/>
              </w:rPr>
              <w:t xml:space="preserve"> </w:t>
            </w:r>
            <w:r>
              <w:rPr>
                <w:spacing w:val="-2"/>
                <w:sz w:val="21"/>
              </w:rPr>
              <w:t>percentage</w:t>
            </w:r>
            <w:r>
              <w:rPr>
                <w:sz w:val="21"/>
              </w:rPr>
              <w:t xml:space="preserve"> </w:t>
            </w:r>
            <w:r>
              <w:rPr>
                <w:spacing w:val="-5"/>
                <w:sz w:val="21"/>
              </w:rPr>
              <w:t>of</w:t>
            </w:r>
          </w:p>
        </w:tc>
        <w:tc>
          <w:tcPr>
            <w:tcW w:w="3130" w:type="dxa"/>
            <w:tcBorders>
              <w:top w:val="single" w:sz="18" w:space="0" w:color="800000"/>
            </w:tcBorders>
          </w:tcPr>
          <w:p w:rsidR="003F5784" w14:paraId="361AF82B" w14:textId="77777777">
            <w:pPr>
              <w:pStyle w:val="TableParagraph"/>
              <w:spacing w:before="9"/>
              <w:ind w:right="568"/>
              <w:rPr>
                <w:sz w:val="21"/>
              </w:rPr>
            </w:pPr>
            <w:r>
              <w:rPr>
                <w:spacing w:val="-2"/>
                <w:sz w:val="21"/>
              </w:rPr>
              <w:t>Weighted</w:t>
            </w:r>
            <w:r>
              <w:rPr>
                <w:spacing w:val="-1"/>
                <w:sz w:val="21"/>
              </w:rPr>
              <w:t xml:space="preserve"> </w:t>
            </w:r>
            <w:r>
              <w:rPr>
                <w:spacing w:val="-2"/>
                <w:sz w:val="21"/>
              </w:rPr>
              <w:t>percentage</w:t>
            </w:r>
            <w:r>
              <w:rPr>
                <w:sz w:val="21"/>
              </w:rPr>
              <w:t xml:space="preserve"> </w:t>
            </w:r>
            <w:r>
              <w:rPr>
                <w:spacing w:val="-5"/>
                <w:sz w:val="21"/>
              </w:rPr>
              <w:t>of</w:t>
            </w:r>
          </w:p>
        </w:tc>
        <w:tc>
          <w:tcPr>
            <w:tcW w:w="2138" w:type="dxa"/>
            <w:tcBorders>
              <w:top w:val="single" w:sz="18" w:space="0" w:color="800000"/>
            </w:tcBorders>
          </w:tcPr>
          <w:p w:rsidR="003F5784" w14:paraId="43AF4916" w14:textId="77777777">
            <w:pPr>
              <w:pStyle w:val="TableParagraph"/>
              <w:spacing w:before="9"/>
              <w:ind w:right="118"/>
              <w:rPr>
                <w:sz w:val="21"/>
              </w:rPr>
            </w:pPr>
            <w:r>
              <w:rPr>
                <w:spacing w:val="-2"/>
                <w:sz w:val="21"/>
              </w:rPr>
              <w:t>Weighted</w:t>
            </w:r>
            <w:r>
              <w:rPr>
                <w:spacing w:val="-11"/>
                <w:sz w:val="21"/>
              </w:rPr>
              <w:t xml:space="preserve"> </w:t>
            </w:r>
            <w:r>
              <w:rPr>
                <w:spacing w:val="-2"/>
                <w:sz w:val="21"/>
              </w:rPr>
              <w:t>student</w:t>
            </w:r>
          </w:p>
        </w:tc>
      </w:tr>
      <w:tr w14:paraId="58949DE8" w14:textId="77777777">
        <w:tblPrEx>
          <w:tblW w:w="0" w:type="auto"/>
          <w:tblInd w:w="482" w:type="dxa"/>
          <w:tblLayout w:type="fixed"/>
          <w:tblCellMar>
            <w:left w:w="0" w:type="dxa"/>
            <w:right w:w="0" w:type="dxa"/>
          </w:tblCellMar>
          <w:tblLook w:val="01E0"/>
        </w:tblPrEx>
        <w:trPr>
          <w:trHeight w:val="367"/>
        </w:trPr>
        <w:tc>
          <w:tcPr>
            <w:tcW w:w="789" w:type="dxa"/>
            <w:tcBorders>
              <w:bottom w:val="single" w:sz="18" w:space="0" w:color="800000"/>
            </w:tcBorders>
          </w:tcPr>
          <w:p w:rsidR="003F5784" w14:paraId="59302902" w14:textId="77777777">
            <w:pPr>
              <w:pStyle w:val="TableParagraph"/>
              <w:spacing w:before="109" w:line="238" w:lineRule="exact"/>
              <w:ind w:left="120"/>
              <w:jc w:val="left"/>
              <w:rPr>
                <w:sz w:val="21"/>
              </w:rPr>
            </w:pPr>
            <w:r>
              <w:rPr>
                <w:spacing w:val="-2"/>
                <w:sz w:val="21"/>
              </w:rPr>
              <w:t>Grade</w:t>
            </w:r>
          </w:p>
        </w:tc>
        <w:tc>
          <w:tcPr>
            <w:tcW w:w="2825" w:type="dxa"/>
            <w:tcBorders>
              <w:bottom w:val="single" w:sz="18" w:space="0" w:color="800000"/>
            </w:tcBorders>
          </w:tcPr>
          <w:p w:rsidR="003F5784" w14:paraId="27A21588" w14:textId="77777777">
            <w:pPr>
              <w:pStyle w:val="TableParagraph"/>
              <w:spacing w:before="109" w:line="238" w:lineRule="exact"/>
              <w:ind w:left="158"/>
              <w:jc w:val="left"/>
              <w:rPr>
                <w:sz w:val="21"/>
              </w:rPr>
            </w:pPr>
            <w:r>
              <w:rPr>
                <w:sz w:val="21"/>
              </w:rPr>
              <w:t>Private</w:t>
            </w:r>
            <w:r>
              <w:rPr>
                <w:spacing w:val="-7"/>
                <w:sz w:val="21"/>
              </w:rPr>
              <w:t xml:space="preserve"> </w:t>
            </w:r>
            <w:r>
              <w:rPr>
                <w:sz w:val="21"/>
              </w:rPr>
              <w:t>school</w:t>
            </w:r>
            <w:r>
              <w:rPr>
                <w:spacing w:val="-7"/>
                <w:sz w:val="21"/>
              </w:rPr>
              <w:t xml:space="preserve"> </w:t>
            </w:r>
            <w:r>
              <w:rPr>
                <w:spacing w:val="-4"/>
                <w:sz w:val="21"/>
              </w:rPr>
              <w:t>type</w:t>
            </w:r>
          </w:p>
        </w:tc>
        <w:tc>
          <w:tcPr>
            <w:tcW w:w="1950" w:type="dxa"/>
            <w:tcBorders>
              <w:bottom w:val="single" w:sz="18" w:space="0" w:color="800000"/>
            </w:tcBorders>
          </w:tcPr>
          <w:p w:rsidR="003F5784" w14:paraId="1020DA27" w14:textId="77777777">
            <w:pPr>
              <w:pStyle w:val="TableParagraph"/>
              <w:spacing w:before="0" w:line="112" w:lineRule="exact"/>
              <w:ind w:left="262"/>
              <w:jc w:val="left"/>
              <w:rPr>
                <w:sz w:val="21"/>
              </w:rPr>
            </w:pPr>
            <w:r>
              <w:rPr>
                <w:sz w:val="21"/>
              </w:rPr>
              <w:t>response</w:t>
            </w:r>
            <w:r>
              <w:rPr>
                <w:spacing w:val="-9"/>
                <w:sz w:val="21"/>
              </w:rPr>
              <w:t xml:space="preserve"> </w:t>
            </w:r>
            <w:r>
              <w:rPr>
                <w:spacing w:val="-4"/>
                <w:sz w:val="21"/>
              </w:rPr>
              <w:t>rate</w:t>
            </w:r>
          </w:p>
          <w:p w:rsidR="003F5784" w14:paraId="575DB22E" w14:textId="77777777">
            <w:pPr>
              <w:pStyle w:val="TableParagraph"/>
              <w:spacing w:before="0" w:line="235" w:lineRule="exact"/>
              <w:ind w:left="604"/>
              <w:jc w:val="left"/>
              <w:rPr>
                <w:sz w:val="21"/>
              </w:rPr>
            </w:pPr>
            <w:r>
              <w:rPr>
                <w:spacing w:val="-2"/>
                <w:sz w:val="21"/>
              </w:rPr>
              <w:t>(percent)</w:t>
            </w:r>
          </w:p>
        </w:tc>
        <w:tc>
          <w:tcPr>
            <w:tcW w:w="3153" w:type="dxa"/>
            <w:tcBorders>
              <w:bottom w:val="single" w:sz="18" w:space="0" w:color="800000"/>
            </w:tcBorders>
          </w:tcPr>
          <w:p w:rsidR="003F5784" w14:paraId="40896867" w14:textId="77777777">
            <w:pPr>
              <w:pStyle w:val="TableParagraph"/>
              <w:spacing w:before="0" w:line="112" w:lineRule="exact"/>
              <w:ind w:left="82"/>
              <w:jc w:val="left"/>
              <w:rPr>
                <w:sz w:val="21"/>
              </w:rPr>
            </w:pPr>
            <w:r>
              <w:rPr>
                <w:sz w:val="21"/>
              </w:rPr>
              <w:t>all</w:t>
            </w:r>
            <w:r>
              <w:rPr>
                <w:spacing w:val="-5"/>
                <w:sz w:val="21"/>
              </w:rPr>
              <w:t xml:space="preserve"> </w:t>
            </w:r>
            <w:r>
              <w:rPr>
                <w:sz w:val="21"/>
              </w:rPr>
              <w:t>students</w:t>
            </w:r>
            <w:r>
              <w:rPr>
                <w:spacing w:val="-5"/>
                <w:sz w:val="21"/>
              </w:rPr>
              <w:t xml:space="preserve"> </w:t>
            </w:r>
            <w:r>
              <w:rPr>
                <w:sz w:val="21"/>
              </w:rPr>
              <w:t>who</w:t>
            </w:r>
            <w:r>
              <w:rPr>
                <w:spacing w:val="-5"/>
                <w:sz w:val="21"/>
              </w:rPr>
              <w:t xml:space="preserve"> </w:t>
            </w:r>
            <w:r>
              <w:rPr>
                <w:sz w:val="21"/>
              </w:rPr>
              <w:t>were</w:t>
            </w:r>
            <w:r>
              <w:rPr>
                <w:spacing w:val="-5"/>
                <w:sz w:val="21"/>
              </w:rPr>
              <w:t xml:space="preserve"> </w:t>
            </w:r>
            <w:r>
              <w:rPr>
                <w:sz w:val="21"/>
              </w:rPr>
              <w:t>SD</w:t>
            </w:r>
            <w:r>
              <w:rPr>
                <w:spacing w:val="-5"/>
                <w:sz w:val="21"/>
              </w:rPr>
              <w:t xml:space="preserve"> and</w:t>
            </w:r>
          </w:p>
          <w:p w:rsidR="003F5784" w14:paraId="7276FB27" w14:textId="77777777">
            <w:pPr>
              <w:pStyle w:val="TableParagraph"/>
              <w:spacing w:before="0" w:line="235" w:lineRule="exact"/>
              <w:ind w:left="1814"/>
              <w:jc w:val="left"/>
              <w:rPr>
                <w:sz w:val="21"/>
              </w:rPr>
            </w:pPr>
            <w:r>
              <w:rPr>
                <w:spacing w:val="-2"/>
                <w:sz w:val="21"/>
              </w:rPr>
              <w:t>excluded</w:t>
            </w:r>
          </w:p>
        </w:tc>
        <w:tc>
          <w:tcPr>
            <w:tcW w:w="3130" w:type="dxa"/>
            <w:tcBorders>
              <w:bottom w:val="single" w:sz="18" w:space="0" w:color="800000"/>
            </w:tcBorders>
          </w:tcPr>
          <w:p w:rsidR="003F5784" w14:paraId="598DE8CC" w14:textId="77777777">
            <w:pPr>
              <w:pStyle w:val="TableParagraph"/>
              <w:spacing w:before="0" w:line="112" w:lineRule="exact"/>
              <w:ind w:left="94"/>
              <w:jc w:val="left"/>
              <w:rPr>
                <w:sz w:val="21"/>
              </w:rPr>
            </w:pPr>
            <w:r>
              <w:rPr>
                <w:sz w:val="21"/>
              </w:rPr>
              <w:t>all</w:t>
            </w:r>
            <w:r>
              <w:rPr>
                <w:spacing w:val="-5"/>
                <w:sz w:val="21"/>
              </w:rPr>
              <w:t xml:space="preserve"> </w:t>
            </w:r>
            <w:r>
              <w:rPr>
                <w:sz w:val="21"/>
              </w:rPr>
              <w:t>students</w:t>
            </w:r>
            <w:r>
              <w:rPr>
                <w:spacing w:val="-5"/>
                <w:sz w:val="21"/>
              </w:rPr>
              <w:t xml:space="preserve"> </w:t>
            </w:r>
            <w:r>
              <w:rPr>
                <w:sz w:val="21"/>
              </w:rPr>
              <w:t>who</w:t>
            </w:r>
            <w:r>
              <w:rPr>
                <w:spacing w:val="-5"/>
                <w:sz w:val="21"/>
              </w:rPr>
              <w:t xml:space="preserve"> </w:t>
            </w:r>
            <w:r>
              <w:rPr>
                <w:sz w:val="21"/>
              </w:rPr>
              <w:t>were</w:t>
            </w:r>
            <w:r>
              <w:rPr>
                <w:spacing w:val="-5"/>
                <w:sz w:val="21"/>
              </w:rPr>
              <w:t xml:space="preserve"> </w:t>
            </w:r>
            <w:r>
              <w:rPr>
                <w:sz w:val="21"/>
              </w:rPr>
              <w:t>EL</w:t>
            </w:r>
            <w:r>
              <w:rPr>
                <w:spacing w:val="-13"/>
                <w:sz w:val="21"/>
              </w:rPr>
              <w:t xml:space="preserve"> </w:t>
            </w:r>
            <w:r>
              <w:rPr>
                <w:spacing w:val="-5"/>
                <w:sz w:val="21"/>
              </w:rPr>
              <w:t>and</w:t>
            </w:r>
          </w:p>
          <w:p w:rsidR="003F5784" w14:paraId="3428CE06" w14:textId="77777777">
            <w:pPr>
              <w:pStyle w:val="TableParagraph"/>
              <w:spacing w:before="0" w:line="235" w:lineRule="exact"/>
              <w:ind w:left="1806"/>
              <w:jc w:val="left"/>
              <w:rPr>
                <w:sz w:val="21"/>
              </w:rPr>
            </w:pPr>
            <w:r>
              <w:rPr>
                <w:spacing w:val="-2"/>
                <w:sz w:val="21"/>
              </w:rPr>
              <w:t>excluded</w:t>
            </w:r>
          </w:p>
        </w:tc>
        <w:tc>
          <w:tcPr>
            <w:tcW w:w="2138" w:type="dxa"/>
            <w:tcBorders>
              <w:bottom w:val="single" w:sz="18" w:space="0" w:color="800000"/>
            </w:tcBorders>
          </w:tcPr>
          <w:p w:rsidR="003F5784" w14:paraId="1C7495F2" w14:textId="77777777">
            <w:pPr>
              <w:pStyle w:val="TableParagraph"/>
              <w:spacing w:before="0" w:line="112" w:lineRule="exact"/>
              <w:ind w:left="211"/>
              <w:jc w:val="left"/>
              <w:rPr>
                <w:sz w:val="21"/>
              </w:rPr>
            </w:pPr>
            <w:r>
              <w:rPr>
                <w:sz w:val="21"/>
              </w:rPr>
              <w:t>full-time</w:t>
            </w:r>
            <w:r>
              <w:rPr>
                <w:spacing w:val="-8"/>
                <w:sz w:val="21"/>
              </w:rPr>
              <w:t xml:space="preserve"> </w:t>
            </w:r>
            <w:r>
              <w:rPr>
                <w:sz w:val="21"/>
              </w:rPr>
              <w:t>remote</w:t>
            </w:r>
            <w:r>
              <w:rPr>
                <w:spacing w:val="-8"/>
                <w:sz w:val="21"/>
              </w:rPr>
              <w:t xml:space="preserve"> </w:t>
            </w:r>
            <w:r>
              <w:rPr>
                <w:spacing w:val="-2"/>
                <w:sz w:val="21"/>
              </w:rPr>
              <w:t>rates</w:t>
            </w:r>
          </w:p>
          <w:p w:rsidR="003F5784" w14:paraId="3FA92F9E" w14:textId="77777777">
            <w:pPr>
              <w:pStyle w:val="TableParagraph"/>
              <w:spacing w:before="0" w:line="235" w:lineRule="exact"/>
              <w:ind w:left="1265"/>
              <w:jc w:val="left"/>
              <w:rPr>
                <w:sz w:val="21"/>
              </w:rPr>
            </w:pPr>
            <w:r>
              <w:rPr>
                <w:spacing w:val="-2"/>
                <w:sz w:val="21"/>
              </w:rPr>
              <w:t>(percent)</w:t>
            </w:r>
          </w:p>
        </w:tc>
      </w:tr>
      <w:tr w14:paraId="3E8610D8" w14:textId="77777777">
        <w:tblPrEx>
          <w:tblW w:w="0" w:type="auto"/>
          <w:tblInd w:w="482" w:type="dxa"/>
          <w:tblLayout w:type="fixed"/>
          <w:tblCellMar>
            <w:left w:w="0" w:type="dxa"/>
            <w:right w:w="0" w:type="dxa"/>
          </w:tblCellMar>
          <w:tblLook w:val="01E0"/>
        </w:tblPrEx>
        <w:trPr>
          <w:trHeight w:val="278"/>
        </w:trPr>
        <w:tc>
          <w:tcPr>
            <w:tcW w:w="789" w:type="dxa"/>
            <w:tcBorders>
              <w:top w:val="single" w:sz="18" w:space="0" w:color="800000"/>
            </w:tcBorders>
          </w:tcPr>
          <w:p w:rsidR="003F5784" w14:paraId="587AC17E" w14:textId="77777777">
            <w:pPr>
              <w:pStyle w:val="TableParagraph"/>
              <w:spacing w:before="9"/>
              <w:ind w:left="120"/>
              <w:jc w:val="left"/>
              <w:rPr>
                <w:sz w:val="21"/>
              </w:rPr>
            </w:pPr>
            <w:r>
              <w:rPr>
                <w:spacing w:val="-10"/>
                <w:sz w:val="21"/>
              </w:rPr>
              <w:t>4</w:t>
            </w:r>
          </w:p>
        </w:tc>
        <w:tc>
          <w:tcPr>
            <w:tcW w:w="2825" w:type="dxa"/>
            <w:tcBorders>
              <w:top w:val="single" w:sz="18" w:space="0" w:color="800000"/>
            </w:tcBorders>
          </w:tcPr>
          <w:p w:rsidR="003F5784" w14:paraId="785DF468" w14:textId="77777777">
            <w:pPr>
              <w:pStyle w:val="TableParagraph"/>
              <w:spacing w:before="9"/>
              <w:ind w:left="408"/>
              <w:jc w:val="left"/>
              <w:rPr>
                <w:b/>
                <w:sz w:val="21"/>
              </w:rPr>
            </w:pPr>
            <w:r>
              <w:rPr>
                <w:b/>
                <w:sz w:val="21"/>
              </w:rPr>
              <w:t>All</w:t>
            </w:r>
            <w:r>
              <w:rPr>
                <w:b/>
                <w:spacing w:val="-4"/>
                <w:sz w:val="21"/>
              </w:rPr>
              <w:t xml:space="preserve"> </w:t>
            </w:r>
            <w:r>
              <w:rPr>
                <w:b/>
                <w:spacing w:val="-2"/>
                <w:sz w:val="21"/>
              </w:rPr>
              <w:t>private</w:t>
            </w:r>
          </w:p>
        </w:tc>
        <w:tc>
          <w:tcPr>
            <w:tcW w:w="1950" w:type="dxa"/>
            <w:tcBorders>
              <w:top w:val="single" w:sz="18" w:space="0" w:color="800000"/>
            </w:tcBorders>
          </w:tcPr>
          <w:p w:rsidR="003F5784" w14:paraId="477640BA" w14:textId="77777777">
            <w:pPr>
              <w:pStyle w:val="TableParagraph"/>
              <w:spacing w:before="9"/>
              <w:ind w:right="591"/>
              <w:rPr>
                <w:b/>
                <w:sz w:val="21"/>
              </w:rPr>
            </w:pPr>
            <w:r>
              <w:rPr>
                <w:b/>
                <w:spacing w:val="-2"/>
                <w:sz w:val="21"/>
              </w:rPr>
              <w:t>93.71</w:t>
            </w:r>
          </w:p>
        </w:tc>
        <w:tc>
          <w:tcPr>
            <w:tcW w:w="3153" w:type="dxa"/>
            <w:tcBorders>
              <w:top w:val="single" w:sz="18" w:space="0" w:color="800000"/>
            </w:tcBorders>
          </w:tcPr>
          <w:p w:rsidR="003F5784" w14:paraId="1E9DFEA8" w14:textId="77777777">
            <w:pPr>
              <w:pStyle w:val="TableParagraph"/>
              <w:spacing w:before="9"/>
              <w:ind w:right="583"/>
              <w:rPr>
                <w:b/>
                <w:sz w:val="21"/>
              </w:rPr>
            </w:pPr>
            <w:r>
              <w:rPr>
                <w:b/>
                <w:spacing w:val="-4"/>
                <w:sz w:val="21"/>
              </w:rPr>
              <w:t>0.40</w:t>
            </w:r>
          </w:p>
        </w:tc>
        <w:tc>
          <w:tcPr>
            <w:tcW w:w="3130" w:type="dxa"/>
            <w:tcBorders>
              <w:top w:val="single" w:sz="18" w:space="0" w:color="800000"/>
            </w:tcBorders>
          </w:tcPr>
          <w:p w:rsidR="003F5784" w14:paraId="2E3F39C4" w14:textId="77777777">
            <w:pPr>
              <w:pStyle w:val="TableParagraph"/>
              <w:spacing w:before="9"/>
              <w:ind w:right="568"/>
              <w:rPr>
                <w:b/>
                <w:sz w:val="21"/>
              </w:rPr>
            </w:pPr>
            <w:r>
              <w:rPr>
                <w:b/>
                <w:spacing w:val="-4"/>
                <w:sz w:val="21"/>
              </w:rPr>
              <w:t>0.08</w:t>
            </w:r>
          </w:p>
        </w:tc>
        <w:tc>
          <w:tcPr>
            <w:tcW w:w="2138" w:type="dxa"/>
            <w:tcBorders>
              <w:top w:val="single" w:sz="18" w:space="0" w:color="800000"/>
            </w:tcBorders>
          </w:tcPr>
          <w:p w:rsidR="003F5784" w14:paraId="4A97D9A9" w14:textId="77777777">
            <w:pPr>
              <w:pStyle w:val="TableParagraph"/>
              <w:spacing w:before="9"/>
              <w:ind w:right="118"/>
              <w:rPr>
                <w:b/>
                <w:sz w:val="21"/>
              </w:rPr>
            </w:pPr>
            <w:r>
              <w:rPr>
                <w:b/>
                <w:spacing w:val="-4"/>
                <w:sz w:val="21"/>
              </w:rPr>
              <w:t>0.29</w:t>
            </w:r>
          </w:p>
        </w:tc>
      </w:tr>
      <w:tr w14:paraId="191C6C1E" w14:textId="77777777">
        <w:tblPrEx>
          <w:tblW w:w="0" w:type="auto"/>
          <w:tblInd w:w="482" w:type="dxa"/>
          <w:tblLayout w:type="fixed"/>
          <w:tblCellMar>
            <w:left w:w="0" w:type="dxa"/>
            <w:right w:w="0" w:type="dxa"/>
          </w:tblCellMar>
          <w:tblLook w:val="01E0"/>
        </w:tblPrEx>
        <w:trPr>
          <w:trHeight w:val="286"/>
        </w:trPr>
        <w:tc>
          <w:tcPr>
            <w:tcW w:w="789" w:type="dxa"/>
          </w:tcPr>
          <w:p w:rsidR="003F5784" w14:paraId="38411040" w14:textId="77777777">
            <w:pPr>
              <w:pStyle w:val="TableParagraph"/>
              <w:spacing w:before="0"/>
              <w:jc w:val="left"/>
              <w:rPr>
                <w:sz w:val="20"/>
              </w:rPr>
            </w:pPr>
          </w:p>
        </w:tc>
        <w:tc>
          <w:tcPr>
            <w:tcW w:w="2825" w:type="dxa"/>
          </w:tcPr>
          <w:p w:rsidR="003F5784" w14:paraId="331942AA" w14:textId="77777777">
            <w:pPr>
              <w:pStyle w:val="TableParagraph"/>
              <w:ind w:left="158"/>
              <w:jc w:val="left"/>
              <w:rPr>
                <w:sz w:val="21"/>
              </w:rPr>
            </w:pPr>
            <w:r>
              <w:rPr>
                <w:spacing w:val="-2"/>
                <w:sz w:val="21"/>
              </w:rPr>
              <w:t>Catholic</w:t>
            </w:r>
          </w:p>
        </w:tc>
        <w:tc>
          <w:tcPr>
            <w:tcW w:w="1950" w:type="dxa"/>
          </w:tcPr>
          <w:p w:rsidR="003F5784" w14:paraId="6B1F3E4F" w14:textId="77777777">
            <w:pPr>
              <w:pStyle w:val="TableParagraph"/>
              <w:ind w:right="591"/>
              <w:rPr>
                <w:sz w:val="21"/>
              </w:rPr>
            </w:pPr>
            <w:r>
              <w:rPr>
                <w:spacing w:val="-2"/>
                <w:sz w:val="21"/>
              </w:rPr>
              <w:t>93.67</w:t>
            </w:r>
          </w:p>
        </w:tc>
        <w:tc>
          <w:tcPr>
            <w:tcW w:w="3153" w:type="dxa"/>
          </w:tcPr>
          <w:p w:rsidR="003F5784" w14:paraId="28A652A3" w14:textId="77777777">
            <w:pPr>
              <w:pStyle w:val="TableParagraph"/>
              <w:ind w:right="583"/>
              <w:rPr>
                <w:sz w:val="21"/>
              </w:rPr>
            </w:pPr>
            <w:r>
              <w:rPr>
                <w:spacing w:val="-4"/>
                <w:sz w:val="21"/>
              </w:rPr>
              <w:t>0.15</w:t>
            </w:r>
          </w:p>
        </w:tc>
        <w:tc>
          <w:tcPr>
            <w:tcW w:w="3130" w:type="dxa"/>
          </w:tcPr>
          <w:p w:rsidR="003F5784" w14:paraId="0FBD0D76" w14:textId="77777777">
            <w:pPr>
              <w:pStyle w:val="TableParagraph"/>
              <w:ind w:right="568"/>
              <w:rPr>
                <w:sz w:val="21"/>
              </w:rPr>
            </w:pPr>
            <w:r>
              <w:rPr>
                <w:spacing w:val="-4"/>
                <w:sz w:val="21"/>
              </w:rPr>
              <w:t>0.21</w:t>
            </w:r>
          </w:p>
        </w:tc>
        <w:tc>
          <w:tcPr>
            <w:tcW w:w="2138" w:type="dxa"/>
          </w:tcPr>
          <w:p w:rsidR="003F5784" w14:paraId="62BA1DF7" w14:textId="77777777">
            <w:pPr>
              <w:pStyle w:val="TableParagraph"/>
              <w:ind w:right="118"/>
              <w:rPr>
                <w:sz w:val="21"/>
              </w:rPr>
            </w:pPr>
            <w:r>
              <w:rPr>
                <w:spacing w:val="-4"/>
                <w:sz w:val="21"/>
              </w:rPr>
              <w:t>0.25</w:t>
            </w:r>
          </w:p>
        </w:tc>
      </w:tr>
      <w:tr w14:paraId="11147910" w14:textId="77777777">
        <w:tblPrEx>
          <w:tblW w:w="0" w:type="auto"/>
          <w:tblInd w:w="482" w:type="dxa"/>
          <w:tblLayout w:type="fixed"/>
          <w:tblCellMar>
            <w:left w:w="0" w:type="dxa"/>
            <w:right w:w="0" w:type="dxa"/>
          </w:tblCellMar>
          <w:tblLook w:val="01E0"/>
        </w:tblPrEx>
        <w:trPr>
          <w:trHeight w:val="289"/>
        </w:trPr>
        <w:tc>
          <w:tcPr>
            <w:tcW w:w="789" w:type="dxa"/>
            <w:tcBorders>
              <w:bottom w:val="single" w:sz="12" w:space="0" w:color="800000"/>
            </w:tcBorders>
          </w:tcPr>
          <w:p w:rsidR="003F5784" w14:paraId="726C7723" w14:textId="77777777">
            <w:pPr>
              <w:pStyle w:val="TableParagraph"/>
              <w:spacing w:before="0"/>
              <w:jc w:val="left"/>
              <w:rPr>
                <w:sz w:val="20"/>
              </w:rPr>
            </w:pPr>
          </w:p>
        </w:tc>
        <w:tc>
          <w:tcPr>
            <w:tcW w:w="2825" w:type="dxa"/>
            <w:tcBorders>
              <w:bottom w:val="single" w:sz="12" w:space="0" w:color="800000"/>
            </w:tcBorders>
          </w:tcPr>
          <w:p w:rsidR="003F5784" w14:paraId="46237B6A" w14:textId="77777777">
            <w:pPr>
              <w:pStyle w:val="TableParagraph"/>
              <w:ind w:left="158"/>
              <w:jc w:val="left"/>
              <w:rPr>
                <w:sz w:val="21"/>
              </w:rPr>
            </w:pPr>
            <w:r>
              <w:rPr>
                <w:sz w:val="21"/>
              </w:rPr>
              <w:t>Non-Catholic</w:t>
            </w:r>
            <w:r>
              <w:rPr>
                <w:spacing w:val="-13"/>
                <w:sz w:val="21"/>
              </w:rPr>
              <w:t xml:space="preserve"> </w:t>
            </w:r>
            <w:r>
              <w:rPr>
                <w:spacing w:val="-2"/>
                <w:sz w:val="21"/>
              </w:rPr>
              <w:t>Private</w:t>
            </w:r>
          </w:p>
        </w:tc>
        <w:tc>
          <w:tcPr>
            <w:tcW w:w="1950" w:type="dxa"/>
            <w:tcBorders>
              <w:bottom w:val="single" w:sz="12" w:space="0" w:color="800000"/>
            </w:tcBorders>
          </w:tcPr>
          <w:p w:rsidR="003F5784" w14:paraId="5A427B88" w14:textId="77777777">
            <w:pPr>
              <w:pStyle w:val="TableParagraph"/>
              <w:ind w:right="591"/>
              <w:rPr>
                <w:sz w:val="21"/>
              </w:rPr>
            </w:pPr>
            <w:r>
              <w:rPr>
                <w:spacing w:val="-2"/>
                <w:sz w:val="21"/>
              </w:rPr>
              <w:t>93.77</w:t>
            </w:r>
          </w:p>
        </w:tc>
        <w:tc>
          <w:tcPr>
            <w:tcW w:w="3153" w:type="dxa"/>
            <w:tcBorders>
              <w:bottom w:val="single" w:sz="12" w:space="0" w:color="800000"/>
            </w:tcBorders>
          </w:tcPr>
          <w:p w:rsidR="003F5784" w14:paraId="4389EB12" w14:textId="77777777">
            <w:pPr>
              <w:pStyle w:val="TableParagraph"/>
              <w:ind w:right="583"/>
              <w:rPr>
                <w:sz w:val="21"/>
              </w:rPr>
            </w:pPr>
            <w:r>
              <w:rPr>
                <w:spacing w:val="-4"/>
                <w:sz w:val="21"/>
              </w:rPr>
              <w:t>0.54</w:t>
            </w:r>
          </w:p>
        </w:tc>
        <w:tc>
          <w:tcPr>
            <w:tcW w:w="3130" w:type="dxa"/>
            <w:tcBorders>
              <w:bottom w:val="single" w:sz="12" w:space="0" w:color="800000"/>
            </w:tcBorders>
          </w:tcPr>
          <w:p w:rsidR="003F5784" w14:paraId="1D0BE323" w14:textId="77777777">
            <w:pPr>
              <w:pStyle w:val="TableParagraph"/>
              <w:ind w:right="568"/>
              <w:rPr>
                <w:sz w:val="21"/>
              </w:rPr>
            </w:pPr>
            <w:r>
              <w:rPr>
                <w:spacing w:val="-10"/>
                <w:sz w:val="21"/>
              </w:rPr>
              <w:t>#</w:t>
            </w:r>
          </w:p>
        </w:tc>
        <w:tc>
          <w:tcPr>
            <w:tcW w:w="2138" w:type="dxa"/>
            <w:tcBorders>
              <w:bottom w:val="single" w:sz="12" w:space="0" w:color="800000"/>
            </w:tcBorders>
          </w:tcPr>
          <w:p w:rsidR="003F5784" w14:paraId="6C158822" w14:textId="77777777">
            <w:pPr>
              <w:pStyle w:val="TableParagraph"/>
              <w:ind w:right="118"/>
              <w:rPr>
                <w:sz w:val="21"/>
              </w:rPr>
            </w:pPr>
            <w:r>
              <w:rPr>
                <w:spacing w:val="-4"/>
                <w:sz w:val="21"/>
              </w:rPr>
              <w:t>0.31</w:t>
            </w:r>
          </w:p>
        </w:tc>
      </w:tr>
      <w:tr w14:paraId="33D278FE" w14:textId="77777777">
        <w:tblPrEx>
          <w:tblW w:w="0" w:type="auto"/>
          <w:tblInd w:w="482" w:type="dxa"/>
          <w:tblLayout w:type="fixed"/>
          <w:tblCellMar>
            <w:left w:w="0" w:type="dxa"/>
            <w:right w:w="0" w:type="dxa"/>
          </w:tblCellMar>
          <w:tblLook w:val="01E0"/>
        </w:tblPrEx>
        <w:trPr>
          <w:trHeight w:val="268"/>
        </w:trPr>
        <w:tc>
          <w:tcPr>
            <w:tcW w:w="789" w:type="dxa"/>
            <w:tcBorders>
              <w:top w:val="single" w:sz="12" w:space="0" w:color="800000"/>
              <w:bottom w:val="single" w:sz="18" w:space="0" w:color="800000"/>
            </w:tcBorders>
          </w:tcPr>
          <w:p w:rsidR="003F5784" w14:paraId="59752644" w14:textId="77777777">
            <w:pPr>
              <w:pStyle w:val="TableParagraph"/>
              <w:spacing w:before="0" w:line="239" w:lineRule="exact"/>
              <w:ind w:left="120"/>
              <w:jc w:val="left"/>
              <w:rPr>
                <w:sz w:val="21"/>
              </w:rPr>
            </w:pPr>
            <w:r>
              <w:rPr>
                <w:spacing w:val="-10"/>
                <w:sz w:val="21"/>
              </w:rPr>
              <w:t>8</w:t>
            </w:r>
          </w:p>
        </w:tc>
        <w:tc>
          <w:tcPr>
            <w:tcW w:w="2825" w:type="dxa"/>
            <w:tcBorders>
              <w:top w:val="single" w:sz="12" w:space="0" w:color="800000"/>
              <w:bottom w:val="single" w:sz="18" w:space="0" w:color="800000"/>
            </w:tcBorders>
          </w:tcPr>
          <w:p w:rsidR="003F5784" w14:paraId="7E49D52B" w14:textId="77777777">
            <w:pPr>
              <w:pStyle w:val="TableParagraph"/>
              <w:spacing w:before="0" w:line="239" w:lineRule="exact"/>
              <w:ind w:left="408"/>
              <w:jc w:val="left"/>
              <w:rPr>
                <w:b/>
                <w:sz w:val="21"/>
              </w:rPr>
            </w:pPr>
            <w:r>
              <w:rPr>
                <w:b/>
                <w:sz w:val="21"/>
              </w:rPr>
              <w:t>All</w:t>
            </w:r>
            <w:r>
              <w:rPr>
                <w:b/>
                <w:spacing w:val="-4"/>
                <w:sz w:val="21"/>
              </w:rPr>
              <w:t xml:space="preserve"> </w:t>
            </w:r>
            <w:r>
              <w:rPr>
                <w:b/>
                <w:spacing w:val="-2"/>
                <w:sz w:val="21"/>
              </w:rPr>
              <w:t>private</w:t>
            </w:r>
          </w:p>
        </w:tc>
        <w:tc>
          <w:tcPr>
            <w:tcW w:w="1950" w:type="dxa"/>
            <w:tcBorders>
              <w:top w:val="single" w:sz="12" w:space="0" w:color="800000"/>
              <w:bottom w:val="single" w:sz="18" w:space="0" w:color="800000"/>
            </w:tcBorders>
          </w:tcPr>
          <w:p w:rsidR="003F5784" w14:paraId="7183C3FC" w14:textId="77777777">
            <w:pPr>
              <w:pStyle w:val="TableParagraph"/>
              <w:spacing w:before="0" w:line="239" w:lineRule="exact"/>
              <w:ind w:right="591"/>
              <w:rPr>
                <w:b/>
                <w:sz w:val="21"/>
              </w:rPr>
            </w:pPr>
            <w:r>
              <w:rPr>
                <w:b/>
                <w:spacing w:val="-2"/>
                <w:sz w:val="21"/>
              </w:rPr>
              <w:t>93.97</w:t>
            </w:r>
          </w:p>
        </w:tc>
        <w:tc>
          <w:tcPr>
            <w:tcW w:w="3153" w:type="dxa"/>
            <w:tcBorders>
              <w:top w:val="single" w:sz="12" w:space="0" w:color="800000"/>
              <w:bottom w:val="single" w:sz="18" w:space="0" w:color="800000"/>
            </w:tcBorders>
          </w:tcPr>
          <w:p w:rsidR="003F5784" w14:paraId="67029401" w14:textId="77777777">
            <w:pPr>
              <w:pStyle w:val="TableParagraph"/>
              <w:spacing w:before="0" w:line="239" w:lineRule="exact"/>
              <w:ind w:right="583"/>
              <w:rPr>
                <w:b/>
                <w:sz w:val="21"/>
              </w:rPr>
            </w:pPr>
            <w:r>
              <w:rPr>
                <w:b/>
                <w:spacing w:val="-10"/>
                <w:sz w:val="21"/>
              </w:rPr>
              <w:t>#</w:t>
            </w:r>
          </w:p>
        </w:tc>
        <w:tc>
          <w:tcPr>
            <w:tcW w:w="3130" w:type="dxa"/>
            <w:tcBorders>
              <w:top w:val="single" w:sz="12" w:space="0" w:color="800000"/>
              <w:bottom w:val="single" w:sz="18" w:space="0" w:color="800000"/>
            </w:tcBorders>
          </w:tcPr>
          <w:p w:rsidR="003F5784" w14:paraId="68F4D522" w14:textId="77777777">
            <w:pPr>
              <w:pStyle w:val="TableParagraph"/>
              <w:spacing w:before="0" w:line="239" w:lineRule="exact"/>
              <w:ind w:right="568"/>
              <w:rPr>
                <w:b/>
                <w:sz w:val="21"/>
              </w:rPr>
            </w:pPr>
            <w:r>
              <w:rPr>
                <w:b/>
                <w:spacing w:val="-10"/>
                <w:sz w:val="21"/>
              </w:rPr>
              <w:t>#</w:t>
            </w:r>
          </w:p>
        </w:tc>
        <w:tc>
          <w:tcPr>
            <w:tcW w:w="2138" w:type="dxa"/>
            <w:tcBorders>
              <w:top w:val="single" w:sz="12" w:space="0" w:color="800000"/>
              <w:bottom w:val="single" w:sz="18" w:space="0" w:color="800000"/>
            </w:tcBorders>
          </w:tcPr>
          <w:p w:rsidR="003F5784" w14:paraId="13A17356" w14:textId="77777777">
            <w:pPr>
              <w:pStyle w:val="TableParagraph"/>
              <w:spacing w:before="0" w:line="239" w:lineRule="exact"/>
              <w:ind w:right="118"/>
              <w:rPr>
                <w:b/>
                <w:sz w:val="21"/>
              </w:rPr>
            </w:pPr>
            <w:r>
              <w:rPr>
                <w:b/>
                <w:spacing w:val="-4"/>
                <w:sz w:val="21"/>
              </w:rPr>
              <w:t>0.63</w:t>
            </w:r>
          </w:p>
        </w:tc>
      </w:tr>
      <w:tr w14:paraId="3066FA4B" w14:textId="77777777">
        <w:tblPrEx>
          <w:tblW w:w="0" w:type="auto"/>
          <w:tblInd w:w="482" w:type="dxa"/>
          <w:tblLayout w:type="fixed"/>
          <w:tblCellMar>
            <w:left w:w="0" w:type="dxa"/>
            <w:right w:w="0" w:type="dxa"/>
          </w:tblCellMar>
          <w:tblLook w:val="01E0"/>
        </w:tblPrEx>
        <w:trPr>
          <w:trHeight w:val="237"/>
        </w:trPr>
        <w:tc>
          <w:tcPr>
            <w:tcW w:w="5564" w:type="dxa"/>
            <w:gridSpan w:val="3"/>
            <w:tcBorders>
              <w:top w:val="single" w:sz="18" w:space="0" w:color="800000"/>
            </w:tcBorders>
          </w:tcPr>
          <w:p w:rsidR="003F5784" w14:paraId="2C787E71"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c>
          <w:tcPr>
            <w:tcW w:w="3153" w:type="dxa"/>
            <w:tcBorders>
              <w:top w:val="single" w:sz="18" w:space="0" w:color="800000"/>
            </w:tcBorders>
          </w:tcPr>
          <w:p w:rsidR="003F5784" w14:paraId="25978A8C" w14:textId="77777777">
            <w:pPr>
              <w:pStyle w:val="TableParagraph"/>
              <w:spacing w:before="0"/>
              <w:jc w:val="left"/>
              <w:rPr>
                <w:sz w:val="16"/>
              </w:rPr>
            </w:pPr>
          </w:p>
        </w:tc>
        <w:tc>
          <w:tcPr>
            <w:tcW w:w="3130" w:type="dxa"/>
            <w:tcBorders>
              <w:top w:val="single" w:sz="18" w:space="0" w:color="800000"/>
            </w:tcBorders>
          </w:tcPr>
          <w:p w:rsidR="003F5784" w14:paraId="41AADA00" w14:textId="77777777">
            <w:pPr>
              <w:pStyle w:val="TableParagraph"/>
              <w:spacing w:before="0"/>
              <w:jc w:val="left"/>
              <w:rPr>
                <w:sz w:val="16"/>
              </w:rPr>
            </w:pPr>
          </w:p>
        </w:tc>
        <w:tc>
          <w:tcPr>
            <w:tcW w:w="2138" w:type="dxa"/>
            <w:tcBorders>
              <w:top w:val="single" w:sz="18" w:space="0" w:color="800000"/>
            </w:tcBorders>
          </w:tcPr>
          <w:p w:rsidR="003F5784" w14:paraId="527A143B" w14:textId="77777777">
            <w:pPr>
              <w:pStyle w:val="TableParagraph"/>
              <w:spacing w:before="0"/>
              <w:jc w:val="left"/>
              <w:rPr>
                <w:sz w:val="16"/>
              </w:rPr>
            </w:pPr>
          </w:p>
        </w:tc>
      </w:tr>
    </w:tbl>
    <w:p w:rsidR="003F5784" w14:paraId="799CE76F" w14:textId="77777777">
      <w:pPr>
        <w:pStyle w:val="BodyText"/>
        <w:spacing w:before="1"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Mathematics Assessment.</w:t>
      </w:r>
    </w:p>
    <w:p w:rsidR="003F5784" w14:paraId="13678583" w14:textId="77777777">
      <w:pPr>
        <w:spacing w:line="232" w:lineRule="auto"/>
        <w:sectPr>
          <w:pgSz w:w="15840" w:h="12240" w:orient="landscape"/>
          <w:pgMar w:top="480" w:right="440" w:bottom="460" w:left="460" w:header="284" w:footer="275" w:gutter="0"/>
          <w:cols w:space="720"/>
        </w:sectPr>
      </w:pPr>
    </w:p>
    <w:p w:rsidR="003F5784" w14:paraId="0579B38E" w14:textId="77777777">
      <w:pPr>
        <w:pStyle w:val="BodyText"/>
      </w:pPr>
    </w:p>
    <w:p w:rsidR="003F5784" w14:paraId="28EA1492" w14:textId="77777777">
      <w:pPr>
        <w:pStyle w:val="BodyText"/>
        <w:spacing w:before="84"/>
      </w:pPr>
    </w:p>
    <w:p w:rsidR="003F5784" w14:paraId="3723F18B" w14:textId="77777777">
      <w:pPr>
        <w:pStyle w:val="BodyText"/>
        <w:tabs>
          <w:tab w:val="left" w:pos="1422"/>
        </w:tabs>
        <w:ind w:left="595"/>
      </w:pPr>
      <w:r>
        <w:rPr>
          <w:spacing w:val="-2"/>
        </w:rPr>
        <w:t>Grade</w:t>
      </w:r>
      <w:r>
        <w:tab/>
        <w:t>Private</w:t>
      </w:r>
      <w:r>
        <w:rPr>
          <w:spacing w:val="-7"/>
        </w:rPr>
        <w:t xml:space="preserve"> </w:t>
      </w:r>
      <w:r>
        <w:t>school</w:t>
      </w:r>
      <w:r>
        <w:rPr>
          <w:spacing w:val="-7"/>
        </w:rPr>
        <w:t xml:space="preserve"> </w:t>
      </w:r>
      <w:r>
        <w:rPr>
          <w:spacing w:val="-4"/>
        </w:rPr>
        <w:t>type</w:t>
      </w:r>
    </w:p>
    <w:p w:rsidR="003F5784" w14:paraId="78F6266D" w14:textId="77777777">
      <w:pPr>
        <w:pStyle w:val="BodyText"/>
        <w:spacing w:before="104" w:line="232" w:lineRule="auto"/>
        <w:ind w:left="949" w:right="38" w:hanging="355"/>
        <w:jc w:val="right"/>
      </w:pPr>
      <w:r>
        <w:br w:type="column"/>
      </w:r>
      <w:r>
        <w:rPr>
          <w:spacing w:val="-2"/>
        </w:rPr>
        <w:t>Weighted</w:t>
      </w:r>
      <w:r>
        <w:rPr>
          <w:spacing w:val="-12"/>
        </w:rPr>
        <w:t xml:space="preserve"> </w:t>
      </w:r>
      <w:r>
        <w:rPr>
          <w:spacing w:val="-2"/>
        </w:rPr>
        <w:t xml:space="preserve">student </w:t>
      </w:r>
      <w:r>
        <w:t>response</w:t>
      </w:r>
      <w:r>
        <w:rPr>
          <w:spacing w:val="-9"/>
        </w:rPr>
        <w:t xml:space="preserve"> </w:t>
      </w:r>
      <w:r>
        <w:rPr>
          <w:spacing w:val="-4"/>
        </w:rPr>
        <w:t>rate</w:t>
      </w:r>
    </w:p>
    <w:p w:rsidR="003F5784" w14:paraId="162D2800" w14:textId="77777777">
      <w:pPr>
        <w:pStyle w:val="BodyText"/>
        <w:spacing w:line="236" w:lineRule="exact"/>
        <w:ind w:right="38"/>
        <w:jc w:val="right"/>
      </w:pPr>
      <w:r>
        <w:rPr>
          <w:spacing w:val="-2"/>
        </w:rPr>
        <w:t>(percent)</w:t>
      </w:r>
    </w:p>
    <w:p w:rsidR="003F5784" w14:paraId="5D6439FA" w14:textId="77777777">
      <w:pPr>
        <w:pStyle w:val="BodyText"/>
        <w:spacing w:before="104" w:line="232" w:lineRule="auto"/>
        <w:ind w:left="595" w:right="38" w:firstLine="509"/>
        <w:jc w:val="right"/>
      </w:pPr>
      <w:r>
        <w:br w:type="column"/>
      </w:r>
      <w:r>
        <w:rPr>
          <w:spacing w:val="-2"/>
        </w:rPr>
        <w:t>Weighted</w:t>
      </w:r>
      <w:r>
        <w:rPr>
          <w:spacing w:val="-12"/>
        </w:rPr>
        <w:t xml:space="preserve"> </w:t>
      </w:r>
      <w:r>
        <w:rPr>
          <w:spacing w:val="-2"/>
        </w:rPr>
        <w:t>percentage</w:t>
      </w:r>
      <w:r>
        <w:rPr>
          <w:spacing w:val="-11"/>
        </w:rPr>
        <w:t xml:space="preserve"> </w:t>
      </w:r>
      <w:r>
        <w:rPr>
          <w:spacing w:val="-2"/>
        </w:rPr>
        <w:t xml:space="preserve">of </w:t>
      </w:r>
      <w:r>
        <w:t>all</w:t>
      </w:r>
      <w:r>
        <w:rPr>
          <w:spacing w:val="-5"/>
        </w:rPr>
        <w:t xml:space="preserve"> </w:t>
      </w:r>
      <w:r>
        <w:t>students</w:t>
      </w:r>
      <w:r>
        <w:rPr>
          <w:spacing w:val="-5"/>
        </w:rPr>
        <w:t xml:space="preserve"> </w:t>
      </w:r>
      <w:r>
        <w:t>who</w:t>
      </w:r>
      <w:r>
        <w:rPr>
          <w:spacing w:val="-5"/>
        </w:rPr>
        <w:t xml:space="preserve"> </w:t>
      </w:r>
      <w:r>
        <w:t>were</w:t>
      </w:r>
      <w:r>
        <w:rPr>
          <w:spacing w:val="-5"/>
        </w:rPr>
        <w:t xml:space="preserve"> </w:t>
      </w:r>
      <w:r>
        <w:t>SD</w:t>
      </w:r>
      <w:r>
        <w:rPr>
          <w:spacing w:val="-5"/>
        </w:rPr>
        <w:t xml:space="preserve"> and</w:t>
      </w:r>
    </w:p>
    <w:p w:rsidR="003F5784" w14:paraId="69110B94" w14:textId="77777777">
      <w:pPr>
        <w:pStyle w:val="BodyText"/>
        <w:spacing w:line="236" w:lineRule="exact"/>
        <w:ind w:right="38"/>
        <w:jc w:val="right"/>
      </w:pPr>
      <w:r>
        <w:rPr>
          <w:spacing w:val="-2"/>
        </w:rPr>
        <w:t>excluded</w:t>
      </w:r>
    </w:p>
    <w:p w:rsidR="003F5784" w14:paraId="4DF60BD9" w14:textId="77777777">
      <w:pPr>
        <w:pStyle w:val="BodyText"/>
        <w:spacing w:before="104" w:line="232" w:lineRule="auto"/>
        <w:ind w:left="595" w:right="38" w:firstLine="490"/>
        <w:jc w:val="right"/>
      </w:pPr>
      <w:r>
        <w:br w:type="column"/>
      </w:r>
      <w:r>
        <w:rPr>
          <w:spacing w:val="-2"/>
        </w:rPr>
        <w:t>Weighted</w:t>
      </w:r>
      <w:r>
        <w:rPr>
          <w:spacing w:val="-12"/>
        </w:rPr>
        <w:t xml:space="preserve"> </w:t>
      </w:r>
      <w:r>
        <w:rPr>
          <w:spacing w:val="-2"/>
        </w:rPr>
        <w:t>percentage</w:t>
      </w:r>
      <w:r>
        <w:rPr>
          <w:spacing w:val="-11"/>
        </w:rPr>
        <w:t xml:space="preserve"> </w:t>
      </w:r>
      <w:r>
        <w:rPr>
          <w:spacing w:val="-2"/>
        </w:rPr>
        <w:t xml:space="preserve">of </w:t>
      </w:r>
      <w:r>
        <w:t>all</w:t>
      </w:r>
      <w:r>
        <w:rPr>
          <w:spacing w:val="-5"/>
        </w:rPr>
        <w:t xml:space="preserve"> </w:t>
      </w:r>
      <w:r>
        <w:t>students</w:t>
      </w:r>
      <w:r>
        <w:rPr>
          <w:spacing w:val="-5"/>
        </w:rPr>
        <w:t xml:space="preserve"> </w:t>
      </w:r>
      <w:r>
        <w:t>who</w:t>
      </w:r>
      <w:r>
        <w:rPr>
          <w:spacing w:val="-5"/>
        </w:rPr>
        <w:t xml:space="preserve"> </w:t>
      </w:r>
      <w:r>
        <w:t>were</w:t>
      </w:r>
      <w:r>
        <w:rPr>
          <w:spacing w:val="-5"/>
        </w:rPr>
        <w:t xml:space="preserve"> </w:t>
      </w:r>
      <w:r>
        <w:t>EL</w:t>
      </w:r>
      <w:r>
        <w:rPr>
          <w:spacing w:val="-13"/>
        </w:rPr>
        <w:t xml:space="preserve"> </w:t>
      </w:r>
      <w:r>
        <w:rPr>
          <w:spacing w:val="-5"/>
        </w:rPr>
        <w:t>and</w:t>
      </w:r>
    </w:p>
    <w:p w:rsidR="003F5784" w14:paraId="733170ED" w14:textId="77777777">
      <w:pPr>
        <w:pStyle w:val="BodyText"/>
        <w:spacing w:line="236" w:lineRule="exact"/>
        <w:ind w:right="38"/>
        <w:jc w:val="right"/>
      </w:pPr>
      <w:r>
        <w:rPr>
          <w:spacing w:val="-2"/>
        </w:rPr>
        <w:t>excluded</w:t>
      </w:r>
    </w:p>
    <w:p w:rsidR="003F5784" w14:paraId="4AC61FEB" w14:textId="77777777">
      <w:pPr>
        <w:pStyle w:val="BodyText"/>
        <w:spacing w:before="104" w:line="232" w:lineRule="auto"/>
        <w:ind w:left="595" w:right="598" w:firstLine="358"/>
        <w:jc w:val="right"/>
      </w:pPr>
      <w:r>
        <w:br w:type="column"/>
      </w:r>
      <w:r>
        <w:rPr>
          <w:spacing w:val="-2"/>
        </w:rPr>
        <w:t>Weighted</w:t>
      </w:r>
      <w:r>
        <w:rPr>
          <w:spacing w:val="-12"/>
        </w:rPr>
        <w:t xml:space="preserve"> </w:t>
      </w:r>
      <w:r>
        <w:rPr>
          <w:spacing w:val="-2"/>
        </w:rPr>
        <w:t xml:space="preserve">student </w:t>
      </w:r>
      <w:r>
        <w:t>full-time</w:t>
      </w:r>
      <w:r>
        <w:rPr>
          <w:spacing w:val="-8"/>
        </w:rPr>
        <w:t xml:space="preserve"> </w:t>
      </w:r>
      <w:r>
        <w:t>remote</w:t>
      </w:r>
      <w:r>
        <w:rPr>
          <w:spacing w:val="-8"/>
        </w:rPr>
        <w:t xml:space="preserve"> </w:t>
      </w:r>
      <w:r>
        <w:rPr>
          <w:spacing w:val="-2"/>
        </w:rPr>
        <w:t>rates</w:t>
      </w:r>
    </w:p>
    <w:p w:rsidR="003F5784" w14:paraId="2DC362E6" w14:textId="77777777">
      <w:pPr>
        <w:pStyle w:val="BodyText"/>
        <w:spacing w:line="236" w:lineRule="exact"/>
        <w:ind w:right="598"/>
        <w:jc w:val="right"/>
      </w:pPr>
      <w:r>
        <w:rPr>
          <w:spacing w:val="-2"/>
        </w:rPr>
        <w:t>(percent)</w:t>
      </w:r>
    </w:p>
    <w:p w:rsidR="003F5784" w14:paraId="3BB5D3F1" w14:textId="77777777">
      <w:pPr>
        <w:spacing w:line="236" w:lineRule="exact"/>
        <w:jc w:val="right"/>
        <w:sectPr>
          <w:pgSz w:w="15840" w:h="12240" w:orient="landscape"/>
          <w:pgMar w:top="480" w:right="440" w:bottom="460" w:left="460" w:header="284" w:footer="275" w:gutter="0"/>
          <w:cols w:num="5" w:space="720" w:equalWidth="0">
            <w:col w:w="3061" w:space="341"/>
            <w:col w:w="2084" w:space="40"/>
            <w:col w:w="3120" w:space="45"/>
            <w:col w:w="3101" w:space="146"/>
            <w:col w:w="3002"/>
          </w:cols>
        </w:sectPr>
      </w:pPr>
    </w:p>
    <w:tbl>
      <w:tblPr>
        <w:tblW w:w="0" w:type="auto"/>
        <w:tblInd w:w="482" w:type="dxa"/>
        <w:tblLayout w:type="fixed"/>
        <w:tblCellMar>
          <w:left w:w="0" w:type="dxa"/>
          <w:right w:w="0" w:type="dxa"/>
        </w:tblCellMar>
        <w:tblLook w:val="01E0"/>
      </w:tblPr>
      <w:tblGrid>
        <w:gridCol w:w="3613"/>
        <w:gridCol w:w="1935"/>
        <w:gridCol w:w="3150"/>
        <w:gridCol w:w="3150"/>
        <w:gridCol w:w="2132"/>
      </w:tblGrid>
      <w:tr w14:paraId="1AF324C4" w14:textId="77777777" w:rsidTr="008F0E55">
        <w:tblPrEx>
          <w:tblW w:w="0" w:type="auto"/>
          <w:tblInd w:w="482" w:type="dxa"/>
          <w:tblLayout w:type="fixed"/>
          <w:tblCellMar>
            <w:left w:w="0" w:type="dxa"/>
            <w:right w:w="0" w:type="dxa"/>
          </w:tblCellMar>
          <w:tblLook w:val="01E0"/>
        </w:tblPrEx>
        <w:trPr>
          <w:trHeight w:val="278"/>
        </w:trPr>
        <w:tc>
          <w:tcPr>
            <w:tcW w:w="3613" w:type="dxa"/>
            <w:tcBorders>
              <w:top w:val="single" w:sz="18" w:space="0" w:color="800000"/>
            </w:tcBorders>
          </w:tcPr>
          <w:p w:rsidR="003F5784" w14:paraId="49909BD8" w14:textId="77777777">
            <w:pPr>
              <w:pStyle w:val="TableParagraph"/>
              <w:spacing w:before="9"/>
              <w:ind w:left="947"/>
              <w:jc w:val="left"/>
              <w:rPr>
                <w:sz w:val="21"/>
              </w:rPr>
            </w:pPr>
            <w:r>
              <w:rPr>
                <w:spacing w:val="-2"/>
                <w:sz w:val="21"/>
              </w:rPr>
              <w:t>Catholic</w:t>
            </w:r>
          </w:p>
        </w:tc>
        <w:tc>
          <w:tcPr>
            <w:tcW w:w="1935" w:type="dxa"/>
            <w:tcBorders>
              <w:top w:val="single" w:sz="18" w:space="0" w:color="800000"/>
            </w:tcBorders>
          </w:tcPr>
          <w:p w:rsidR="003F5784" w14:paraId="4BB77866" w14:textId="77777777">
            <w:pPr>
              <w:pStyle w:val="TableParagraph"/>
              <w:spacing w:before="9"/>
              <w:ind w:left="888"/>
              <w:jc w:val="left"/>
              <w:rPr>
                <w:sz w:val="21"/>
              </w:rPr>
            </w:pPr>
            <w:r>
              <w:rPr>
                <w:spacing w:val="-2"/>
                <w:sz w:val="21"/>
              </w:rPr>
              <w:t>94.09</w:t>
            </w:r>
          </w:p>
        </w:tc>
        <w:tc>
          <w:tcPr>
            <w:tcW w:w="3150" w:type="dxa"/>
            <w:tcBorders>
              <w:top w:val="single" w:sz="18" w:space="0" w:color="800000"/>
            </w:tcBorders>
          </w:tcPr>
          <w:p w:rsidR="003F5784" w14:paraId="5892AD1B" w14:textId="77777777">
            <w:pPr>
              <w:pStyle w:val="TableParagraph"/>
              <w:spacing w:before="9"/>
              <w:ind w:left="10"/>
              <w:jc w:val="center"/>
              <w:rPr>
                <w:sz w:val="21"/>
              </w:rPr>
            </w:pPr>
            <w:r>
              <w:rPr>
                <w:spacing w:val="-10"/>
                <w:sz w:val="21"/>
              </w:rPr>
              <w:t>#</w:t>
            </w:r>
          </w:p>
        </w:tc>
        <w:tc>
          <w:tcPr>
            <w:tcW w:w="3150" w:type="dxa"/>
            <w:tcBorders>
              <w:top w:val="single" w:sz="18" w:space="0" w:color="800000"/>
            </w:tcBorders>
          </w:tcPr>
          <w:p w:rsidR="003F5784" w14:paraId="0E07CCAA" w14:textId="77777777">
            <w:pPr>
              <w:pStyle w:val="TableParagraph"/>
              <w:spacing w:before="9"/>
              <w:ind w:right="1106"/>
              <w:rPr>
                <w:sz w:val="21"/>
              </w:rPr>
            </w:pPr>
            <w:r>
              <w:rPr>
                <w:spacing w:val="-10"/>
                <w:sz w:val="21"/>
              </w:rPr>
              <w:t>#</w:t>
            </w:r>
          </w:p>
        </w:tc>
        <w:tc>
          <w:tcPr>
            <w:tcW w:w="2132" w:type="dxa"/>
            <w:tcBorders>
              <w:top w:val="single" w:sz="18" w:space="0" w:color="800000"/>
            </w:tcBorders>
          </w:tcPr>
          <w:p w:rsidR="003F5784" w14:paraId="5C433FCB" w14:textId="77777777">
            <w:pPr>
              <w:pStyle w:val="TableParagraph"/>
              <w:spacing w:before="9"/>
              <w:ind w:right="113"/>
              <w:rPr>
                <w:sz w:val="21"/>
              </w:rPr>
            </w:pPr>
            <w:r>
              <w:rPr>
                <w:spacing w:val="-4"/>
                <w:sz w:val="21"/>
              </w:rPr>
              <w:t>0.28</w:t>
            </w:r>
          </w:p>
        </w:tc>
      </w:tr>
      <w:tr w14:paraId="7DF0376B" w14:textId="77777777" w:rsidTr="008F0E55">
        <w:tblPrEx>
          <w:tblW w:w="0" w:type="auto"/>
          <w:tblInd w:w="482" w:type="dxa"/>
          <w:tblLayout w:type="fixed"/>
          <w:tblCellMar>
            <w:left w:w="0" w:type="dxa"/>
            <w:right w:w="0" w:type="dxa"/>
          </w:tblCellMar>
          <w:tblLook w:val="01E0"/>
        </w:tblPrEx>
        <w:trPr>
          <w:trHeight w:val="288"/>
        </w:trPr>
        <w:tc>
          <w:tcPr>
            <w:tcW w:w="3613" w:type="dxa"/>
            <w:tcBorders>
              <w:bottom w:val="single" w:sz="18" w:space="0" w:color="800000"/>
            </w:tcBorders>
          </w:tcPr>
          <w:p w:rsidR="003F5784" w14:paraId="7CD63AC2" w14:textId="77777777">
            <w:pPr>
              <w:pStyle w:val="TableParagraph"/>
              <w:ind w:left="947"/>
              <w:jc w:val="left"/>
              <w:rPr>
                <w:sz w:val="21"/>
              </w:rPr>
            </w:pPr>
            <w:r>
              <w:rPr>
                <w:sz w:val="21"/>
              </w:rPr>
              <w:t>Non-Catholic</w:t>
            </w:r>
            <w:r>
              <w:rPr>
                <w:spacing w:val="-13"/>
                <w:sz w:val="21"/>
              </w:rPr>
              <w:t xml:space="preserve"> </w:t>
            </w:r>
            <w:r>
              <w:rPr>
                <w:spacing w:val="-2"/>
                <w:sz w:val="21"/>
              </w:rPr>
              <w:t>Private</w:t>
            </w:r>
          </w:p>
        </w:tc>
        <w:tc>
          <w:tcPr>
            <w:tcW w:w="1935" w:type="dxa"/>
            <w:tcBorders>
              <w:bottom w:val="single" w:sz="18" w:space="0" w:color="800000"/>
            </w:tcBorders>
          </w:tcPr>
          <w:p w:rsidR="003F5784" w14:paraId="41991039" w14:textId="77777777">
            <w:pPr>
              <w:pStyle w:val="TableParagraph"/>
              <w:ind w:left="888"/>
              <w:jc w:val="left"/>
              <w:rPr>
                <w:sz w:val="21"/>
              </w:rPr>
            </w:pPr>
            <w:r>
              <w:rPr>
                <w:spacing w:val="-2"/>
                <w:sz w:val="21"/>
              </w:rPr>
              <w:t>93.74</w:t>
            </w:r>
          </w:p>
        </w:tc>
        <w:tc>
          <w:tcPr>
            <w:tcW w:w="3150" w:type="dxa"/>
            <w:tcBorders>
              <w:bottom w:val="single" w:sz="18" w:space="0" w:color="800000"/>
            </w:tcBorders>
          </w:tcPr>
          <w:p w:rsidR="003F5784" w14:paraId="28103C57" w14:textId="77777777">
            <w:pPr>
              <w:pStyle w:val="TableParagraph"/>
              <w:ind w:left="10"/>
              <w:jc w:val="center"/>
              <w:rPr>
                <w:sz w:val="21"/>
              </w:rPr>
            </w:pPr>
            <w:r>
              <w:rPr>
                <w:spacing w:val="-10"/>
                <w:sz w:val="21"/>
              </w:rPr>
              <w:t>#</w:t>
            </w:r>
          </w:p>
        </w:tc>
        <w:tc>
          <w:tcPr>
            <w:tcW w:w="3150" w:type="dxa"/>
            <w:tcBorders>
              <w:bottom w:val="single" w:sz="18" w:space="0" w:color="800000"/>
            </w:tcBorders>
          </w:tcPr>
          <w:p w:rsidR="003F5784" w14:paraId="11E7A316" w14:textId="77777777">
            <w:pPr>
              <w:pStyle w:val="TableParagraph"/>
              <w:ind w:right="1106"/>
              <w:rPr>
                <w:sz w:val="21"/>
              </w:rPr>
            </w:pPr>
            <w:r>
              <w:rPr>
                <w:spacing w:val="-10"/>
                <w:sz w:val="21"/>
              </w:rPr>
              <w:t>#</w:t>
            </w:r>
          </w:p>
        </w:tc>
        <w:tc>
          <w:tcPr>
            <w:tcW w:w="2132" w:type="dxa"/>
            <w:tcBorders>
              <w:bottom w:val="single" w:sz="18" w:space="0" w:color="800000"/>
            </w:tcBorders>
          </w:tcPr>
          <w:p w:rsidR="003F5784" w14:paraId="7E682F6C" w14:textId="77777777">
            <w:pPr>
              <w:pStyle w:val="TableParagraph"/>
              <w:ind w:right="113"/>
              <w:rPr>
                <w:sz w:val="21"/>
              </w:rPr>
            </w:pPr>
            <w:r>
              <w:rPr>
                <w:spacing w:val="-4"/>
                <w:sz w:val="21"/>
              </w:rPr>
              <w:t>0.85</w:t>
            </w:r>
          </w:p>
        </w:tc>
      </w:tr>
    </w:tbl>
    <w:p w:rsidR="003F5784" w14:paraId="038B0760" w14:textId="77777777">
      <w:pPr>
        <w:pStyle w:val="BodyText"/>
        <w:spacing w:before="15" w:line="238" w:lineRule="exact"/>
        <w:ind w:left="595"/>
      </w:pPr>
      <w:r>
        <w:t>#</w:t>
      </w:r>
      <w:r>
        <w:rPr>
          <w:spacing w:val="-5"/>
        </w:rPr>
        <w:t xml:space="preserve"> </w:t>
      </w:r>
      <w:r>
        <w:t>Rounds</w:t>
      </w:r>
      <w:r>
        <w:rPr>
          <w:spacing w:val="-4"/>
        </w:rPr>
        <w:t xml:space="preserve"> </w:t>
      </w:r>
      <w:r>
        <w:t>to</w:t>
      </w:r>
      <w:r>
        <w:rPr>
          <w:spacing w:val="-4"/>
        </w:rPr>
        <w:t xml:space="preserve"> </w:t>
      </w:r>
      <w:r>
        <w:rPr>
          <w:spacing w:val="-2"/>
        </w:rPr>
        <w:t>zero.</w:t>
      </w:r>
    </w:p>
    <w:p w:rsidR="003F5784" w14:paraId="07A698F6"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Mathematics Assessment.</w:t>
      </w:r>
    </w:p>
    <w:p w:rsidR="003F5784" w14:paraId="1D46D9DB" w14:textId="77777777">
      <w:pPr>
        <w:pStyle w:val="BodyText"/>
      </w:pPr>
    </w:p>
    <w:p w:rsidR="003F5784" w14:paraId="42205AC9" w14:textId="77777777">
      <w:pPr>
        <w:pStyle w:val="BodyText"/>
      </w:pPr>
    </w:p>
    <w:p w:rsidR="003F5784" w14:paraId="6E479BA5" w14:textId="77777777">
      <w:pPr>
        <w:pStyle w:val="BodyText"/>
        <w:spacing w:before="198"/>
      </w:pPr>
    </w:p>
    <w:p w:rsidR="003F5784" w14:paraId="4C2B05D9" w14:textId="77777777">
      <w:pPr>
        <w:ind w:left="1081"/>
        <w:rPr>
          <w:sz w:val="18"/>
        </w:rPr>
      </w:pPr>
      <w:hyperlink r:id="rId98">
        <w:r>
          <w:rPr>
            <w:spacing w:val="-2"/>
            <w:w w:val="105"/>
            <w:sz w:val="18"/>
          </w:rPr>
          <w:t>http://nces.ed.gov/nationsreportcard/tdw/sample_design/2022/weighted_student_response_and_exclusion_rates_for_the_2022_private_school_national_mathematics_assessment.aspx</w:t>
        </w:r>
      </w:hyperlink>
    </w:p>
    <w:p w:rsidR="003F5784" w14:paraId="298C27E1" w14:textId="77777777">
      <w:pPr>
        <w:pStyle w:val="BodyText"/>
        <w:spacing w:before="1"/>
        <w:rPr>
          <w:sz w:val="16"/>
        </w:rPr>
      </w:pPr>
      <w:r>
        <w:rPr>
          <w:noProof/>
        </w:rPr>
        <mc:AlternateContent>
          <mc:Choice Requires="wps">
            <w:drawing>
              <wp:anchor distT="0" distB="0" distL="0" distR="0" simplePos="0" relativeHeight="251808768" behindDoc="1" locked="0" layoutInCell="1" allowOverlap="1">
                <wp:simplePos x="0" y="0"/>
                <wp:positionH relativeFrom="page">
                  <wp:posOffset>361937</wp:posOffset>
                </wp:positionH>
                <wp:positionV relativeFrom="paragraph">
                  <wp:posOffset>132735</wp:posOffset>
                </wp:positionV>
                <wp:extent cx="9339580" cy="8890"/>
                <wp:effectExtent l="0" t="0" r="0" b="0"/>
                <wp:wrapTopAndBottom/>
                <wp:docPr id="117" name="Graphic 117"/>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17" o:spid="_x0000_s1075" style="width:735.4pt;height:0.7pt;margin-top:10.45pt;margin-left:28.5pt;mso-position-horizontal-relative:page;mso-wrap-distance-bottom:0;mso-wrap-distance-left:0;mso-wrap-distance-right:0;mso-wrap-distance-top:0;mso-wrap-style:square;position:absolute;visibility:visible;v-text-anchor:top;z-index:-251506688" coordsize="9339580,8890" path="m9338970,l9335110,l8280,,,,,8280l8280,8280l9335110,8280l9338970,8280l9338970,xe" fillcolor="gray" stroked="f">
                <v:path arrowok="t"/>
                <w10:wrap type="topAndBottom"/>
              </v:shape>
            </w:pict>
          </mc:Fallback>
        </mc:AlternateContent>
      </w:r>
    </w:p>
    <w:p w:rsidR="003F5784" w14:paraId="00E2B89C" w14:textId="77777777">
      <w:pPr>
        <w:pStyle w:val="BodyText"/>
        <w:rPr>
          <w:sz w:val="18"/>
        </w:rPr>
      </w:pPr>
    </w:p>
    <w:p w:rsidR="003F5784" w14:paraId="14D0F24B" w14:textId="77777777">
      <w:pPr>
        <w:pStyle w:val="BodyText"/>
        <w:spacing w:before="193"/>
        <w:rPr>
          <w:sz w:val="18"/>
        </w:rPr>
      </w:pPr>
    </w:p>
    <w:p w:rsidR="003F5784" w14:paraId="2EEBF4E0" w14:textId="05AA6E46">
      <w:pPr>
        <w:pStyle w:val="Heading1"/>
        <w:spacing w:line="244" w:lineRule="auto"/>
        <w:ind w:right="318"/>
      </w:pPr>
      <w:r>
        <w:t>NAEP</w:t>
      </w:r>
      <w:r>
        <w:rPr>
          <w:spacing w:val="-15"/>
        </w:rPr>
        <w:t xml:space="preserve"> </w:t>
      </w:r>
      <w:r>
        <w:t>Technical Documentation</w:t>
      </w:r>
      <w:r w:rsidR="00B45CF5">
        <w:t xml:space="preserve"> </w:t>
      </w:r>
      <w:r>
        <w:t xml:space="preserve">Weighted Student Response and Exclusion Rates for the 2022 Fourth- and Eighth-Grade Private School National Reading </w:t>
      </w:r>
      <w:r>
        <w:rPr>
          <w:spacing w:val="-2"/>
        </w:rPr>
        <w:t>Assessment</w:t>
      </w:r>
    </w:p>
    <w:p w:rsidR="003F5784" w14:paraId="2D1DFB3F" w14:textId="77777777">
      <w:pPr>
        <w:pStyle w:val="BodyText"/>
        <w:spacing w:before="288" w:line="232" w:lineRule="auto"/>
        <w:ind w:left="109"/>
      </w:pPr>
      <w:r>
        <w:t>The</w:t>
      </w:r>
      <w:r>
        <w:rPr>
          <w:spacing w:val="-7"/>
        </w:rPr>
        <w:t xml:space="preserve"> </w:t>
      </w:r>
      <w:r>
        <w:t>following</w:t>
      </w:r>
      <w:r>
        <w:rPr>
          <w:spacing w:val="-7"/>
        </w:rPr>
        <w:t xml:space="preserve"> </w:t>
      </w:r>
      <w:r>
        <w:t>table</w:t>
      </w:r>
      <w:r>
        <w:rPr>
          <w:spacing w:val="-7"/>
        </w:rPr>
        <w:t xml:space="preserve"> </w:t>
      </w:r>
      <w:r>
        <w:t>presents</w:t>
      </w:r>
      <w:r>
        <w:rPr>
          <w:spacing w:val="-7"/>
        </w:rPr>
        <w:t xml:space="preserve"> </w:t>
      </w:r>
      <w:r>
        <w:t>weighted</w:t>
      </w:r>
      <w:r>
        <w:rPr>
          <w:spacing w:val="-7"/>
        </w:rPr>
        <w:t xml:space="preserve"> </w:t>
      </w:r>
      <w:r>
        <w:t>student</w:t>
      </w:r>
      <w:r>
        <w:rPr>
          <w:spacing w:val="-7"/>
        </w:rPr>
        <w:t xml:space="preserve"> </w:t>
      </w:r>
      <w:r>
        <w:t>response,</w:t>
      </w:r>
      <w:r>
        <w:rPr>
          <w:spacing w:val="-7"/>
        </w:rPr>
        <w:t xml:space="preserve"> </w:t>
      </w:r>
      <w:r>
        <w:t>exclusion,</w:t>
      </w:r>
      <w:r>
        <w:rPr>
          <w:spacing w:val="-7"/>
        </w:rPr>
        <w:t xml:space="preserve"> </w:t>
      </w:r>
      <w:r>
        <w:t>and</w:t>
      </w:r>
      <w:r>
        <w:rPr>
          <w:spacing w:val="-7"/>
        </w:rPr>
        <w:t xml:space="preserve"> </w:t>
      </w:r>
      <w:r>
        <w:t>full-time</w:t>
      </w:r>
      <w:r>
        <w:rPr>
          <w:spacing w:val="-7"/>
        </w:rPr>
        <w:t xml:space="preserve"> </w:t>
      </w:r>
      <w:r>
        <w:t>remote</w:t>
      </w:r>
      <w:r>
        <w:rPr>
          <w:spacing w:val="-7"/>
        </w:rPr>
        <w:t xml:space="preserve"> </w:t>
      </w:r>
      <w:r>
        <w:t>rates,</w:t>
      </w:r>
      <w:r>
        <w:rPr>
          <w:spacing w:val="-7"/>
        </w:rPr>
        <w:t xml:space="preserve"> </w:t>
      </w:r>
      <w:r>
        <w:t>by</w:t>
      </w:r>
      <w:r>
        <w:rPr>
          <w:spacing w:val="-7"/>
        </w:rPr>
        <w:t xml:space="preserve"> </w:t>
      </w:r>
      <w:r>
        <w:t>school</w:t>
      </w:r>
      <w:r>
        <w:rPr>
          <w:spacing w:val="-7"/>
        </w:rPr>
        <w:t xml:space="preserve"> </w:t>
      </w:r>
      <w:r>
        <w:t>type,</w:t>
      </w:r>
      <w:r>
        <w:rPr>
          <w:spacing w:val="-7"/>
        </w:rPr>
        <w:t xml:space="preserve"> </w:t>
      </w:r>
      <w:r>
        <w:t>for</w:t>
      </w:r>
      <w:r>
        <w:rPr>
          <w:spacing w:val="-7"/>
        </w:rPr>
        <w:t xml:space="preserve"> </w:t>
      </w:r>
      <w:r>
        <w:t>the</w:t>
      </w:r>
      <w:r>
        <w:rPr>
          <w:spacing w:val="-7"/>
        </w:rPr>
        <w:t xml:space="preserve"> </w:t>
      </w:r>
      <w:r>
        <w:t>fourth-</w:t>
      </w:r>
      <w:r>
        <w:rPr>
          <w:spacing w:val="-7"/>
        </w:rPr>
        <w:t xml:space="preserve"> </w:t>
      </w:r>
      <w:r>
        <w:t>and</w:t>
      </w:r>
      <w:r>
        <w:rPr>
          <w:spacing w:val="-7"/>
        </w:rPr>
        <w:t xml:space="preserve"> </w:t>
      </w:r>
      <w:r>
        <w:t>eighth-grade</w:t>
      </w:r>
      <w:r>
        <w:rPr>
          <w:spacing w:val="-7"/>
        </w:rPr>
        <w:t xml:space="preserve"> </w:t>
      </w:r>
      <w:r>
        <w:t>private</w:t>
      </w:r>
      <w:r>
        <w:rPr>
          <w:spacing w:val="-7"/>
        </w:rPr>
        <w:t xml:space="preserve"> </w:t>
      </w:r>
      <w:r>
        <w:t>school</w:t>
      </w:r>
      <w:r>
        <w:rPr>
          <w:spacing w:val="-7"/>
        </w:rPr>
        <w:t xml:space="preserve"> </w:t>
      </w:r>
      <w:r>
        <w:t>national</w:t>
      </w:r>
      <w:r>
        <w:rPr>
          <w:spacing w:val="-7"/>
        </w:rPr>
        <w:t xml:space="preserve"> </w:t>
      </w:r>
      <w:r>
        <w:t xml:space="preserve">reading samples. Separate exclusion rates are provided for </w:t>
      </w:r>
      <w:r>
        <w:rPr>
          <w:color w:val="0066CC"/>
        </w:rPr>
        <w:t xml:space="preserve">students with disabilities (SD) </w:t>
      </w:r>
      <w:r>
        <w:t xml:space="preserve">and </w:t>
      </w:r>
      <w:r>
        <w:rPr>
          <w:color w:val="0066CC"/>
        </w:rPr>
        <w:t>English learners (EL)</w:t>
      </w:r>
      <w:r>
        <w:t>.</w:t>
      </w:r>
    </w:p>
    <w:p w:rsidR="003F5784" w14:paraId="723C751D" w14:textId="77777777">
      <w:pPr>
        <w:pStyle w:val="BodyText"/>
        <w:spacing w:before="209" w:line="232" w:lineRule="auto"/>
        <w:ind w:left="109"/>
      </w:pPr>
      <w:r>
        <w:t>A</w:t>
      </w:r>
      <w:r>
        <w:rPr>
          <w:spacing w:val="-10"/>
        </w:rPr>
        <w:t xml:space="preserve"> </w:t>
      </w:r>
      <w:r>
        <w:t>weighted student response rate indicates the percentage of the student population that is directly represented by the assessed students from within participating schools.</w:t>
      </w:r>
      <w:r>
        <w:rPr>
          <w:spacing w:val="-10"/>
        </w:rPr>
        <w:t xml:space="preserve"> </w:t>
      </w:r>
      <w:r>
        <w:t>A weighted</w:t>
      </w:r>
      <w:r>
        <w:rPr>
          <w:spacing w:val="-6"/>
        </w:rPr>
        <w:t xml:space="preserve"> </w:t>
      </w:r>
      <w:r>
        <w:t>exclusion</w:t>
      </w:r>
      <w:r>
        <w:rPr>
          <w:spacing w:val="-6"/>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population</w:t>
      </w:r>
      <w:r>
        <w:rPr>
          <w:spacing w:val="-6"/>
        </w:rPr>
        <w:t xml:space="preserve"> </w:t>
      </w:r>
      <w:r>
        <w:t>that</w:t>
      </w:r>
      <w:r>
        <w:rPr>
          <w:spacing w:val="-6"/>
        </w:rPr>
        <w:t xml:space="preserve"> </w:t>
      </w:r>
      <w:r>
        <w:t>would</w:t>
      </w:r>
      <w:r>
        <w:rPr>
          <w:spacing w:val="-6"/>
        </w:rPr>
        <w:t xml:space="preserve"> </w:t>
      </w:r>
      <w:r>
        <w:t>be</w:t>
      </w:r>
      <w:r>
        <w:rPr>
          <w:spacing w:val="-6"/>
        </w:rPr>
        <w:t xml:space="preserve"> </w:t>
      </w:r>
      <w:r>
        <w:t>excluded</w:t>
      </w:r>
      <w:r>
        <w:rPr>
          <w:spacing w:val="-6"/>
        </w:rPr>
        <w:t xml:space="preserve"> </w:t>
      </w:r>
      <w:r>
        <w:t>from</w:t>
      </w:r>
      <w:r>
        <w:rPr>
          <w:spacing w:val="-6"/>
        </w:rPr>
        <w:t xml:space="preserve"> </w:t>
      </w:r>
      <w:r>
        <w:t>the</w:t>
      </w:r>
      <w:r>
        <w:rPr>
          <w:spacing w:val="-6"/>
        </w:rPr>
        <w:t xml:space="preserve"> </w:t>
      </w:r>
      <w:r>
        <w:t>assessment.</w:t>
      </w:r>
      <w:r>
        <w:rPr>
          <w:spacing w:val="-10"/>
        </w:rPr>
        <w:t xml:space="preserve"> </w:t>
      </w:r>
      <w:r>
        <w:t>The</w:t>
      </w:r>
      <w:r>
        <w:rPr>
          <w:spacing w:val="-6"/>
        </w:rPr>
        <w:t xml:space="preserve"> </w:t>
      </w:r>
      <w:r>
        <w:t>weighted</w:t>
      </w:r>
      <w:r>
        <w:rPr>
          <w:spacing w:val="-6"/>
        </w:rPr>
        <w:t xml:space="preserve"> </w:t>
      </w:r>
      <w:r>
        <w:t>student</w:t>
      </w:r>
      <w:r>
        <w:rPr>
          <w:spacing w:val="-6"/>
        </w:rPr>
        <w:t xml:space="preserve"> </w:t>
      </w:r>
      <w:r>
        <w:t>full-time</w:t>
      </w:r>
      <w:r>
        <w:rPr>
          <w:spacing w:val="-6"/>
        </w:rPr>
        <w:t xml:space="preserve"> </w:t>
      </w:r>
      <w:r>
        <w:t>remote</w:t>
      </w:r>
      <w:r>
        <w:rPr>
          <w:spacing w:val="-6"/>
        </w:rPr>
        <w:t xml:space="preserve"> </w:t>
      </w:r>
      <w:r>
        <w:t>rate</w:t>
      </w:r>
      <w:r>
        <w:rPr>
          <w:spacing w:val="-6"/>
        </w:rPr>
        <w:t xml:space="preserve"> </w:t>
      </w:r>
      <w:r>
        <w:t>indicates the percentage of the student population that is full-time remote (enrolled in brick-and-mortar schools but do not attend school in person).</w:t>
      </w:r>
    </w:p>
    <w:p w:rsidR="003F5784" w14:paraId="1465DE33" w14:textId="77777777">
      <w:pPr>
        <w:pStyle w:val="BodyText"/>
        <w:spacing w:before="93"/>
      </w:pPr>
    </w:p>
    <w:p w:rsidR="003F5784" w14:paraId="230A01C0" w14:textId="77777777">
      <w:pPr>
        <w:pStyle w:val="Heading2"/>
      </w:pPr>
      <w:r>
        <w:t>Weighted</w:t>
      </w:r>
      <w:r>
        <w:rPr>
          <w:spacing w:val="-9"/>
        </w:rPr>
        <w:t xml:space="preserve"> </w:t>
      </w:r>
      <w:r>
        <w:t>student</w:t>
      </w:r>
      <w:r>
        <w:rPr>
          <w:spacing w:val="-8"/>
        </w:rPr>
        <w:t xml:space="preserve"> </w:t>
      </w:r>
      <w:r>
        <w:t>response,</w:t>
      </w:r>
      <w:r>
        <w:rPr>
          <w:spacing w:val="-9"/>
        </w:rPr>
        <w:t xml:space="preserve"> </w:t>
      </w:r>
      <w:r>
        <w:t>exclusion,</w:t>
      </w:r>
      <w:r>
        <w:rPr>
          <w:spacing w:val="-8"/>
        </w:rPr>
        <w:t xml:space="preserve"> </w:t>
      </w:r>
      <w:r>
        <w:t>and</w:t>
      </w:r>
      <w:r>
        <w:rPr>
          <w:spacing w:val="-9"/>
        </w:rPr>
        <w:t xml:space="preserve"> </w:t>
      </w:r>
      <w:r>
        <w:t>full-time</w:t>
      </w:r>
      <w:r>
        <w:rPr>
          <w:spacing w:val="-8"/>
        </w:rPr>
        <w:t xml:space="preserve"> </w:t>
      </w:r>
      <w:r>
        <w:t>remote</w:t>
      </w:r>
      <w:r>
        <w:rPr>
          <w:spacing w:val="-9"/>
        </w:rPr>
        <w:t xml:space="preserve"> </w:t>
      </w:r>
      <w:r>
        <w:t>rates</w:t>
      </w:r>
      <w:r>
        <w:rPr>
          <w:spacing w:val="-8"/>
        </w:rPr>
        <w:t xml:space="preserve"> </w:t>
      </w:r>
      <w:r>
        <w:t>for</w:t>
      </w:r>
      <w:r>
        <w:rPr>
          <w:spacing w:val="-12"/>
        </w:rPr>
        <w:t xml:space="preserve"> </w:t>
      </w:r>
      <w:r>
        <w:t>private</w:t>
      </w:r>
      <w:r>
        <w:rPr>
          <w:spacing w:val="-8"/>
        </w:rPr>
        <w:t xml:space="preserve"> </w:t>
      </w:r>
      <w:r>
        <w:t>schools,</w:t>
      </w:r>
      <w:r>
        <w:rPr>
          <w:spacing w:val="-9"/>
        </w:rPr>
        <w:t xml:space="preserve"> </w:t>
      </w:r>
      <w:r>
        <w:t>national</w:t>
      </w:r>
      <w:r>
        <w:rPr>
          <w:spacing w:val="-8"/>
        </w:rPr>
        <w:t xml:space="preserve"> </w:t>
      </w:r>
      <w:r>
        <w:t>reading</w:t>
      </w:r>
      <w:r>
        <w:rPr>
          <w:spacing w:val="-9"/>
        </w:rPr>
        <w:t xml:space="preserve"> </w:t>
      </w:r>
      <w:r>
        <w:t>assessment,</w:t>
      </w:r>
      <w:r>
        <w:rPr>
          <w:spacing w:val="-8"/>
        </w:rPr>
        <w:t xml:space="preserve"> </w:t>
      </w:r>
      <w:r>
        <w:t>by</w:t>
      </w:r>
      <w:r>
        <w:rPr>
          <w:spacing w:val="-9"/>
        </w:rPr>
        <w:t xml:space="preserve"> </w:t>
      </w:r>
      <w:r>
        <w:t>gradae</w:t>
      </w:r>
      <w:r>
        <w:rPr>
          <w:spacing w:val="-8"/>
        </w:rPr>
        <w:t xml:space="preserve"> </w:t>
      </w:r>
      <w:r>
        <w:t>and</w:t>
      </w:r>
      <w:r>
        <w:rPr>
          <w:spacing w:val="-8"/>
        </w:rPr>
        <w:t xml:space="preserve"> </w:t>
      </w:r>
      <w:r>
        <w:t>school</w:t>
      </w:r>
      <w:r>
        <w:rPr>
          <w:spacing w:val="-9"/>
        </w:rPr>
        <w:t xml:space="preserve"> </w:t>
      </w:r>
      <w:r>
        <w:t>type:</w:t>
      </w:r>
      <w:r>
        <w:rPr>
          <w:spacing w:val="-8"/>
        </w:rPr>
        <w:t xml:space="preserve"> </w:t>
      </w:r>
      <w:r>
        <w:rPr>
          <w:spacing w:val="-4"/>
        </w:rPr>
        <w:t>2022</w:t>
      </w:r>
    </w:p>
    <w:p w:rsidR="003F5784" w14:paraId="51F1F791" w14:textId="77777777">
      <w:pPr>
        <w:pStyle w:val="BodyText"/>
        <w:spacing w:before="10" w:after="1"/>
        <w:rPr>
          <w:b/>
          <w:sz w:val="11"/>
        </w:rPr>
      </w:pPr>
    </w:p>
    <w:tbl>
      <w:tblPr>
        <w:tblW w:w="0" w:type="auto"/>
        <w:tblInd w:w="482" w:type="dxa"/>
        <w:tblLayout w:type="fixed"/>
        <w:tblCellMar>
          <w:left w:w="0" w:type="dxa"/>
          <w:right w:w="0" w:type="dxa"/>
        </w:tblCellMar>
        <w:tblLook w:val="01E0"/>
      </w:tblPr>
      <w:tblGrid>
        <w:gridCol w:w="783"/>
        <w:gridCol w:w="2805"/>
        <w:gridCol w:w="1943"/>
        <w:gridCol w:w="3167"/>
        <w:gridCol w:w="3141"/>
        <w:gridCol w:w="2141"/>
      </w:tblGrid>
      <w:tr w14:paraId="02C02E12" w14:textId="77777777">
        <w:tblPrEx>
          <w:tblW w:w="0" w:type="auto"/>
          <w:tblInd w:w="482" w:type="dxa"/>
          <w:tblLayout w:type="fixed"/>
          <w:tblCellMar>
            <w:left w:w="0" w:type="dxa"/>
            <w:right w:w="0" w:type="dxa"/>
          </w:tblCellMar>
          <w:tblLook w:val="01E0"/>
        </w:tblPrEx>
        <w:trPr>
          <w:trHeight w:val="369"/>
        </w:trPr>
        <w:tc>
          <w:tcPr>
            <w:tcW w:w="5531" w:type="dxa"/>
            <w:gridSpan w:val="3"/>
            <w:tcBorders>
              <w:top w:val="single" w:sz="18" w:space="0" w:color="800000"/>
            </w:tcBorders>
          </w:tcPr>
          <w:p w:rsidR="003F5784" w14:paraId="4AB36731" w14:textId="77777777">
            <w:pPr>
              <w:pStyle w:val="TableParagraph"/>
              <w:spacing w:before="9"/>
              <w:ind w:left="3483"/>
              <w:jc w:val="left"/>
              <w:rPr>
                <w:sz w:val="21"/>
              </w:rPr>
            </w:pPr>
            <w:r>
              <w:rPr>
                <w:spacing w:val="-2"/>
                <w:sz w:val="21"/>
              </w:rPr>
              <w:t>Weighted</w:t>
            </w:r>
            <w:r>
              <w:rPr>
                <w:spacing w:val="-11"/>
                <w:sz w:val="21"/>
              </w:rPr>
              <w:t xml:space="preserve"> </w:t>
            </w:r>
            <w:r>
              <w:rPr>
                <w:spacing w:val="-2"/>
                <w:sz w:val="21"/>
              </w:rPr>
              <w:t>student</w:t>
            </w:r>
          </w:p>
        </w:tc>
        <w:tc>
          <w:tcPr>
            <w:tcW w:w="3167" w:type="dxa"/>
            <w:tcBorders>
              <w:top w:val="single" w:sz="18" w:space="0" w:color="800000"/>
            </w:tcBorders>
          </w:tcPr>
          <w:p w:rsidR="003F5784" w14:paraId="5F8AA3C2" w14:textId="77777777">
            <w:pPr>
              <w:pStyle w:val="TableParagraph"/>
              <w:spacing w:before="9"/>
              <w:ind w:right="588"/>
              <w:rPr>
                <w:sz w:val="21"/>
              </w:rPr>
            </w:pPr>
            <w:r>
              <w:rPr>
                <w:spacing w:val="-2"/>
                <w:sz w:val="21"/>
              </w:rPr>
              <w:t>Weighted</w:t>
            </w:r>
            <w:r>
              <w:rPr>
                <w:spacing w:val="-1"/>
                <w:sz w:val="21"/>
              </w:rPr>
              <w:t xml:space="preserve"> </w:t>
            </w:r>
            <w:r>
              <w:rPr>
                <w:spacing w:val="-2"/>
                <w:sz w:val="21"/>
              </w:rPr>
              <w:t>percentage</w:t>
            </w:r>
            <w:r>
              <w:rPr>
                <w:sz w:val="21"/>
              </w:rPr>
              <w:t xml:space="preserve"> </w:t>
            </w:r>
            <w:r>
              <w:rPr>
                <w:spacing w:val="-5"/>
                <w:sz w:val="21"/>
              </w:rPr>
              <w:t>of</w:t>
            </w:r>
          </w:p>
        </w:tc>
        <w:tc>
          <w:tcPr>
            <w:tcW w:w="3141" w:type="dxa"/>
            <w:tcBorders>
              <w:top w:val="single" w:sz="18" w:space="0" w:color="800000"/>
            </w:tcBorders>
          </w:tcPr>
          <w:p w:rsidR="003F5784" w14:paraId="64B924F6" w14:textId="77777777">
            <w:pPr>
              <w:pStyle w:val="TableParagraph"/>
              <w:spacing w:before="9"/>
              <w:ind w:right="569"/>
              <w:rPr>
                <w:sz w:val="21"/>
              </w:rPr>
            </w:pPr>
            <w:r>
              <w:rPr>
                <w:spacing w:val="-2"/>
                <w:sz w:val="21"/>
              </w:rPr>
              <w:t>Weighted</w:t>
            </w:r>
            <w:r>
              <w:rPr>
                <w:spacing w:val="-1"/>
                <w:sz w:val="21"/>
              </w:rPr>
              <w:t xml:space="preserve"> </w:t>
            </w:r>
            <w:r>
              <w:rPr>
                <w:spacing w:val="-2"/>
                <w:sz w:val="21"/>
              </w:rPr>
              <w:t>percentage</w:t>
            </w:r>
            <w:r>
              <w:rPr>
                <w:sz w:val="21"/>
              </w:rPr>
              <w:t xml:space="preserve"> </w:t>
            </w:r>
            <w:r>
              <w:rPr>
                <w:spacing w:val="-5"/>
                <w:sz w:val="21"/>
              </w:rPr>
              <w:t>of</w:t>
            </w:r>
          </w:p>
        </w:tc>
        <w:tc>
          <w:tcPr>
            <w:tcW w:w="2141" w:type="dxa"/>
            <w:tcBorders>
              <w:top w:val="single" w:sz="18" w:space="0" w:color="800000"/>
            </w:tcBorders>
          </w:tcPr>
          <w:p w:rsidR="003F5784" w14:paraId="2DCBE941" w14:textId="77777777">
            <w:pPr>
              <w:pStyle w:val="TableParagraph"/>
              <w:spacing w:before="9"/>
              <w:ind w:right="113"/>
              <w:rPr>
                <w:sz w:val="21"/>
              </w:rPr>
            </w:pPr>
            <w:r>
              <w:rPr>
                <w:spacing w:val="-2"/>
                <w:sz w:val="21"/>
              </w:rPr>
              <w:t>Weighted</w:t>
            </w:r>
            <w:r>
              <w:rPr>
                <w:spacing w:val="-11"/>
                <w:sz w:val="21"/>
              </w:rPr>
              <w:t xml:space="preserve"> </w:t>
            </w:r>
            <w:r>
              <w:rPr>
                <w:spacing w:val="-2"/>
                <w:sz w:val="21"/>
              </w:rPr>
              <w:t>student</w:t>
            </w:r>
          </w:p>
        </w:tc>
      </w:tr>
      <w:tr w14:paraId="4041C60A" w14:textId="77777777">
        <w:tblPrEx>
          <w:tblW w:w="0" w:type="auto"/>
          <w:tblInd w:w="482" w:type="dxa"/>
          <w:tblLayout w:type="fixed"/>
          <w:tblCellMar>
            <w:left w:w="0" w:type="dxa"/>
            <w:right w:w="0" w:type="dxa"/>
          </w:tblCellMar>
          <w:tblLook w:val="01E0"/>
        </w:tblPrEx>
        <w:trPr>
          <w:trHeight w:val="367"/>
        </w:trPr>
        <w:tc>
          <w:tcPr>
            <w:tcW w:w="783" w:type="dxa"/>
            <w:tcBorders>
              <w:bottom w:val="single" w:sz="18" w:space="0" w:color="800000"/>
            </w:tcBorders>
          </w:tcPr>
          <w:p w:rsidR="003F5784" w14:paraId="21B418A5" w14:textId="77777777">
            <w:pPr>
              <w:pStyle w:val="TableParagraph"/>
              <w:spacing w:before="109" w:line="238" w:lineRule="exact"/>
              <w:ind w:left="120"/>
              <w:jc w:val="left"/>
              <w:rPr>
                <w:sz w:val="21"/>
              </w:rPr>
            </w:pPr>
            <w:r>
              <w:rPr>
                <w:spacing w:val="-2"/>
                <w:sz w:val="21"/>
              </w:rPr>
              <w:t>Grade</w:t>
            </w:r>
          </w:p>
        </w:tc>
        <w:tc>
          <w:tcPr>
            <w:tcW w:w="2805" w:type="dxa"/>
            <w:tcBorders>
              <w:bottom w:val="single" w:sz="18" w:space="0" w:color="800000"/>
            </w:tcBorders>
          </w:tcPr>
          <w:p w:rsidR="003F5784" w14:paraId="15223CF3" w14:textId="77777777">
            <w:pPr>
              <w:pStyle w:val="TableParagraph"/>
              <w:spacing w:before="109" w:line="238" w:lineRule="exact"/>
              <w:ind w:left="153"/>
              <w:jc w:val="left"/>
              <w:rPr>
                <w:sz w:val="21"/>
              </w:rPr>
            </w:pPr>
            <w:r>
              <w:rPr>
                <w:sz w:val="21"/>
              </w:rPr>
              <w:t>Private</w:t>
            </w:r>
            <w:r>
              <w:rPr>
                <w:spacing w:val="-7"/>
                <w:sz w:val="21"/>
              </w:rPr>
              <w:t xml:space="preserve"> </w:t>
            </w:r>
            <w:r>
              <w:rPr>
                <w:sz w:val="21"/>
              </w:rPr>
              <w:t>school</w:t>
            </w:r>
            <w:r>
              <w:rPr>
                <w:spacing w:val="-7"/>
                <w:sz w:val="21"/>
              </w:rPr>
              <w:t xml:space="preserve"> </w:t>
            </w:r>
            <w:r>
              <w:rPr>
                <w:spacing w:val="-4"/>
                <w:sz w:val="21"/>
              </w:rPr>
              <w:t>type</w:t>
            </w:r>
          </w:p>
        </w:tc>
        <w:tc>
          <w:tcPr>
            <w:tcW w:w="1943" w:type="dxa"/>
            <w:tcBorders>
              <w:bottom w:val="single" w:sz="18" w:space="0" w:color="800000"/>
            </w:tcBorders>
          </w:tcPr>
          <w:p w:rsidR="003F5784" w14:paraId="5D88F9F0" w14:textId="77777777">
            <w:pPr>
              <w:pStyle w:val="TableParagraph"/>
              <w:spacing w:before="0" w:line="112" w:lineRule="exact"/>
              <w:ind w:left="249"/>
              <w:jc w:val="left"/>
              <w:rPr>
                <w:sz w:val="21"/>
              </w:rPr>
            </w:pPr>
            <w:r>
              <w:rPr>
                <w:sz w:val="21"/>
              </w:rPr>
              <w:t>response</w:t>
            </w:r>
            <w:r>
              <w:rPr>
                <w:spacing w:val="-9"/>
                <w:sz w:val="21"/>
              </w:rPr>
              <w:t xml:space="preserve"> </w:t>
            </w:r>
            <w:r>
              <w:rPr>
                <w:spacing w:val="-4"/>
                <w:sz w:val="21"/>
              </w:rPr>
              <w:t>rate</w:t>
            </w:r>
          </w:p>
          <w:p w:rsidR="003F5784" w14:paraId="6AE946D9" w14:textId="77777777">
            <w:pPr>
              <w:pStyle w:val="TableParagraph"/>
              <w:spacing w:before="0" w:line="235" w:lineRule="exact"/>
              <w:ind w:left="591"/>
              <w:jc w:val="left"/>
              <w:rPr>
                <w:sz w:val="21"/>
              </w:rPr>
            </w:pPr>
            <w:r>
              <w:rPr>
                <w:spacing w:val="-2"/>
                <w:sz w:val="21"/>
              </w:rPr>
              <w:t>(percent)</w:t>
            </w:r>
          </w:p>
        </w:tc>
        <w:tc>
          <w:tcPr>
            <w:tcW w:w="3167" w:type="dxa"/>
            <w:tcBorders>
              <w:bottom w:val="single" w:sz="18" w:space="0" w:color="800000"/>
            </w:tcBorders>
          </w:tcPr>
          <w:p w:rsidR="003F5784" w14:paraId="124FEACC" w14:textId="77777777">
            <w:pPr>
              <w:pStyle w:val="TableParagraph"/>
              <w:spacing w:before="0" w:line="112" w:lineRule="exact"/>
              <w:ind w:left="92"/>
              <w:jc w:val="left"/>
              <w:rPr>
                <w:sz w:val="21"/>
              </w:rPr>
            </w:pPr>
            <w:r>
              <w:rPr>
                <w:sz w:val="21"/>
              </w:rPr>
              <w:t>all</w:t>
            </w:r>
            <w:r>
              <w:rPr>
                <w:spacing w:val="-5"/>
                <w:sz w:val="21"/>
              </w:rPr>
              <w:t xml:space="preserve"> </w:t>
            </w:r>
            <w:r>
              <w:rPr>
                <w:sz w:val="21"/>
              </w:rPr>
              <w:t>students</w:t>
            </w:r>
            <w:r>
              <w:rPr>
                <w:spacing w:val="-5"/>
                <w:sz w:val="21"/>
              </w:rPr>
              <w:t xml:space="preserve"> </w:t>
            </w:r>
            <w:r>
              <w:rPr>
                <w:sz w:val="21"/>
              </w:rPr>
              <w:t>who</w:t>
            </w:r>
            <w:r>
              <w:rPr>
                <w:spacing w:val="-5"/>
                <w:sz w:val="21"/>
              </w:rPr>
              <w:t xml:space="preserve"> </w:t>
            </w:r>
            <w:r>
              <w:rPr>
                <w:sz w:val="21"/>
              </w:rPr>
              <w:t>were</w:t>
            </w:r>
            <w:r>
              <w:rPr>
                <w:spacing w:val="-5"/>
                <w:sz w:val="21"/>
              </w:rPr>
              <w:t xml:space="preserve"> </w:t>
            </w:r>
            <w:r>
              <w:rPr>
                <w:sz w:val="21"/>
              </w:rPr>
              <w:t>SD</w:t>
            </w:r>
            <w:r>
              <w:rPr>
                <w:spacing w:val="-5"/>
                <w:sz w:val="21"/>
              </w:rPr>
              <w:t xml:space="preserve"> and</w:t>
            </w:r>
          </w:p>
          <w:p w:rsidR="003F5784" w14:paraId="1EEF403F" w14:textId="77777777">
            <w:pPr>
              <w:pStyle w:val="TableParagraph"/>
              <w:spacing w:before="0" w:line="235" w:lineRule="exact"/>
              <w:ind w:left="1823"/>
              <w:jc w:val="left"/>
              <w:rPr>
                <w:sz w:val="21"/>
              </w:rPr>
            </w:pPr>
            <w:r>
              <w:rPr>
                <w:spacing w:val="-2"/>
                <w:sz w:val="21"/>
              </w:rPr>
              <w:t>excluded</w:t>
            </w:r>
          </w:p>
        </w:tc>
        <w:tc>
          <w:tcPr>
            <w:tcW w:w="3141" w:type="dxa"/>
            <w:tcBorders>
              <w:bottom w:val="single" w:sz="18" w:space="0" w:color="800000"/>
            </w:tcBorders>
          </w:tcPr>
          <w:p w:rsidR="003F5784" w14:paraId="5B8063D6" w14:textId="77777777">
            <w:pPr>
              <w:pStyle w:val="TableParagraph"/>
              <w:spacing w:before="0" w:line="112" w:lineRule="exact"/>
              <w:ind w:left="104"/>
              <w:jc w:val="left"/>
              <w:rPr>
                <w:sz w:val="21"/>
              </w:rPr>
            </w:pPr>
            <w:r>
              <w:rPr>
                <w:sz w:val="21"/>
              </w:rPr>
              <w:t>all</w:t>
            </w:r>
            <w:r>
              <w:rPr>
                <w:spacing w:val="-5"/>
                <w:sz w:val="21"/>
              </w:rPr>
              <w:t xml:space="preserve"> </w:t>
            </w:r>
            <w:r>
              <w:rPr>
                <w:sz w:val="21"/>
              </w:rPr>
              <w:t>students</w:t>
            </w:r>
            <w:r>
              <w:rPr>
                <w:spacing w:val="-5"/>
                <w:sz w:val="21"/>
              </w:rPr>
              <w:t xml:space="preserve"> </w:t>
            </w:r>
            <w:r>
              <w:rPr>
                <w:sz w:val="21"/>
              </w:rPr>
              <w:t>who</w:t>
            </w:r>
            <w:r>
              <w:rPr>
                <w:spacing w:val="-5"/>
                <w:sz w:val="21"/>
              </w:rPr>
              <w:t xml:space="preserve"> </w:t>
            </w:r>
            <w:r>
              <w:rPr>
                <w:sz w:val="21"/>
              </w:rPr>
              <w:t>were</w:t>
            </w:r>
            <w:r>
              <w:rPr>
                <w:spacing w:val="-5"/>
                <w:sz w:val="21"/>
              </w:rPr>
              <w:t xml:space="preserve"> </w:t>
            </w:r>
            <w:r>
              <w:rPr>
                <w:sz w:val="21"/>
              </w:rPr>
              <w:t>EL</w:t>
            </w:r>
            <w:r>
              <w:rPr>
                <w:spacing w:val="-13"/>
                <w:sz w:val="21"/>
              </w:rPr>
              <w:t xml:space="preserve"> </w:t>
            </w:r>
            <w:r>
              <w:rPr>
                <w:spacing w:val="-5"/>
                <w:sz w:val="21"/>
              </w:rPr>
              <w:t>and</w:t>
            </w:r>
          </w:p>
          <w:p w:rsidR="003F5784" w14:paraId="6782F65C" w14:textId="77777777">
            <w:pPr>
              <w:pStyle w:val="TableParagraph"/>
              <w:spacing w:before="0" w:line="235" w:lineRule="exact"/>
              <w:ind w:left="1816"/>
              <w:jc w:val="left"/>
              <w:rPr>
                <w:sz w:val="21"/>
              </w:rPr>
            </w:pPr>
            <w:r>
              <w:rPr>
                <w:spacing w:val="-2"/>
                <w:sz w:val="21"/>
              </w:rPr>
              <w:t>excluded</w:t>
            </w:r>
          </w:p>
        </w:tc>
        <w:tc>
          <w:tcPr>
            <w:tcW w:w="2141" w:type="dxa"/>
            <w:tcBorders>
              <w:bottom w:val="single" w:sz="18" w:space="0" w:color="800000"/>
            </w:tcBorders>
          </w:tcPr>
          <w:p w:rsidR="003F5784" w14:paraId="26321DA9" w14:textId="77777777">
            <w:pPr>
              <w:pStyle w:val="TableParagraph"/>
              <w:spacing w:before="0" w:line="112" w:lineRule="exact"/>
              <w:ind w:left="219"/>
              <w:jc w:val="left"/>
              <w:rPr>
                <w:sz w:val="21"/>
              </w:rPr>
            </w:pPr>
            <w:r>
              <w:rPr>
                <w:sz w:val="21"/>
              </w:rPr>
              <w:t>full-time</w:t>
            </w:r>
            <w:r>
              <w:rPr>
                <w:spacing w:val="-8"/>
                <w:sz w:val="21"/>
              </w:rPr>
              <w:t xml:space="preserve"> </w:t>
            </w:r>
            <w:r>
              <w:rPr>
                <w:sz w:val="21"/>
              </w:rPr>
              <w:t>remote</w:t>
            </w:r>
            <w:r>
              <w:rPr>
                <w:spacing w:val="-8"/>
                <w:sz w:val="21"/>
              </w:rPr>
              <w:t xml:space="preserve"> </w:t>
            </w:r>
            <w:r>
              <w:rPr>
                <w:spacing w:val="-2"/>
                <w:sz w:val="21"/>
              </w:rPr>
              <w:t>rates</w:t>
            </w:r>
          </w:p>
          <w:p w:rsidR="003F5784" w14:paraId="6BA8A7FF" w14:textId="77777777">
            <w:pPr>
              <w:pStyle w:val="TableParagraph"/>
              <w:spacing w:before="0" w:line="235" w:lineRule="exact"/>
              <w:ind w:left="1273"/>
              <w:jc w:val="left"/>
              <w:rPr>
                <w:sz w:val="21"/>
              </w:rPr>
            </w:pPr>
            <w:r>
              <w:rPr>
                <w:spacing w:val="-2"/>
                <w:sz w:val="21"/>
              </w:rPr>
              <w:t>(percent)</w:t>
            </w:r>
          </w:p>
        </w:tc>
      </w:tr>
      <w:tr w14:paraId="08893ECA" w14:textId="77777777">
        <w:tblPrEx>
          <w:tblW w:w="0" w:type="auto"/>
          <w:tblInd w:w="482" w:type="dxa"/>
          <w:tblLayout w:type="fixed"/>
          <w:tblCellMar>
            <w:left w:w="0" w:type="dxa"/>
            <w:right w:w="0" w:type="dxa"/>
          </w:tblCellMar>
          <w:tblLook w:val="01E0"/>
        </w:tblPrEx>
        <w:trPr>
          <w:trHeight w:val="278"/>
        </w:trPr>
        <w:tc>
          <w:tcPr>
            <w:tcW w:w="783" w:type="dxa"/>
            <w:tcBorders>
              <w:top w:val="single" w:sz="18" w:space="0" w:color="800000"/>
            </w:tcBorders>
          </w:tcPr>
          <w:p w:rsidR="003F5784" w14:paraId="365756C2" w14:textId="77777777">
            <w:pPr>
              <w:pStyle w:val="TableParagraph"/>
              <w:spacing w:before="9"/>
              <w:ind w:left="120"/>
              <w:jc w:val="left"/>
              <w:rPr>
                <w:sz w:val="21"/>
              </w:rPr>
            </w:pPr>
            <w:r>
              <w:rPr>
                <w:spacing w:val="-10"/>
                <w:sz w:val="21"/>
              </w:rPr>
              <w:t>4</w:t>
            </w:r>
          </w:p>
        </w:tc>
        <w:tc>
          <w:tcPr>
            <w:tcW w:w="2805" w:type="dxa"/>
            <w:tcBorders>
              <w:top w:val="single" w:sz="18" w:space="0" w:color="800000"/>
            </w:tcBorders>
          </w:tcPr>
          <w:p w:rsidR="003F5784" w14:paraId="4FA8243F" w14:textId="77777777">
            <w:pPr>
              <w:pStyle w:val="TableParagraph"/>
              <w:spacing w:before="9"/>
              <w:ind w:left="403"/>
              <w:jc w:val="left"/>
              <w:rPr>
                <w:b/>
                <w:sz w:val="21"/>
              </w:rPr>
            </w:pPr>
            <w:r>
              <w:rPr>
                <w:b/>
                <w:sz w:val="21"/>
              </w:rPr>
              <w:t>All</w:t>
            </w:r>
            <w:r>
              <w:rPr>
                <w:b/>
                <w:spacing w:val="-4"/>
                <w:sz w:val="21"/>
              </w:rPr>
              <w:t xml:space="preserve"> </w:t>
            </w:r>
            <w:r>
              <w:rPr>
                <w:b/>
                <w:spacing w:val="-2"/>
                <w:sz w:val="21"/>
              </w:rPr>
              <w:t>private</w:t>
            </w:r>
          </w:p>
        </w:tc>
        <w:tc>
          <w:tcPr>
            <w:tcW w:w="1943" w:type="dxa"/>
            <w:tcBorders>
              <w:top w:val="single" w:sz="18" w:space="0" w:color="800000"/>
            </w:tcBorders>
          </w:tcPr>
          <w:p w:rsidR="003F5784" w14:paraId="00836194" w14:textId="77777777">
            <w:pPr>
              <w:pStyle w:val="TableParagraph"/>
              <w:spacing w:before="9"/>
              <w:ind w:right="597"/>
              <w:rPr>
                <w:b/>
                <w:sz w:val="21"/>
              </w:rPr>
            </w:pPr>
            <w:r>
              <w:rPr>
                <w:b/>
                <w:spacing w:val="-2"/>
                <w:sz w:val="21"/>
              </w:rPr>
              <w:t>94.12</w:t>
            </w:r>
          </w:p>
        </w:tc>
        <w:tc>
          <w:tcPr>
            <w:tcW w:w="3167" w:type="dxa"/>
            <w:tcBorders>
              <w:top w:val="single" w:sz="18" w:space="0" w:color="800000"/>
            </w:tcBorders>
          </w:tcPr>
          <w:p w:rsidR="003F5784" w14:paraId="4B431254" w14:textId="77777777">
            <w:pPr>
              <w:pStyle w:val="TableParagraph"/>
              <w:spacing w:before="9"/>
              <w:ind w:right="588"/>
              <w:rPr>
                <w:b/>
                <w:sz w:val="21"/>
              </w:rPr>
            </w:pPr>
            <w:r>
              <w:rPr>
                <w:b/>
                <w:spacing w:val="-4"/>
                <w:sz w:val="21"/>
              </w:rPr>
              <w:t>0.17</w:t>
            </w:r>
          </w:p>
        </w:tc>
        <w:tc>
          <w:tcPr>
            <w:tcW w:w="3141" w:type="dxa"/>
            <w:tcBorders>
              <w:top w:val="single" w:sz="18" w:space="0" w:color="800000"/>
            </w:tcBorders>
          </w:tcPr>
          <w:p w:rsidR="003F5784" w14:paraId="6722F6C2" w14:textId="77777777">
            <w:pPr>
              <w:pStyle w:val="TableParagraph"/>
              <w:spacing w:before="9"/>
              <w:ind w:right="569"/>
              <w:rPr>
                <w:b/>
                <w:sz w:val="21"/>
              </w:rPr>
            </w:pPr>
            <w:r>
              <w:rPr>
                <w:b/>
                <w:spacing w:val="-4"/>
                <w:sz w:val="21"/>
              </w:rPr>
              <w:t>0.09</w:t>
            </w:r>
          </w:p>
        </w:tc>
        <w:tc>
          <w:tcPr>
            <w:tcW w:w="2141" w:type="dxa"/>
            <w:tcBorders>
              <w:top w:val="single" w:sz="18" w:space="0" w:color="800000"/>
            </w:tcBorders>
          </w:tcPr>
          <w:p w:rsidR="003F5784" w14:paraId="43615867" w14:textId="77777777">
            <w:pPr>
              <w:pStyle w:val="TableParagraph"/>
              <w:spacing w:before="9"/>
              <w:ind w:right="113"/>
              <w:rPr>
                <w:b/>
                <w:sz w:val="21"/>
              </w:rPr>
            </w:pPr>
            <w:r>
              <w:rPr>
                <w:b/>
                <w:spacing w:val="-4"/>
                <w:sz w:val="21"/>
              </w:rPr>
              <w:t>0.37</w:t>
            </w:r>
          </w:p>
        </w:tc>
      </w:tr>
      <w:tr w14:paraId="6E537B3A" w14:textId="77777777">
        <w:tblPrEx>
          <w:tblW w:w="0" w:type="auto"/>
          <w:tblInd w:w="482" w:type="dxa"/>
          <w:tblLayout w:type="fixed"/>
          <w:tblCellMar>
            <w:left w:w="0" w:type="dxa"/>
            <w:right w:w="0" w:type="dxa"/>
          </w:tblCellMar>
          <w:tblLook w:val="01E0"/>
        </w:tblPrEx>
        <w:trPr>
          <w:trHeight w:val="286"/>
        </w:trPr>
        <w:tc>
          <w:tcPr>
            <w:tcW w:w="783" w:type="dxa"/>
          </w:tcPr>
          <w:p w:rsidR="003F5784" w14:paraId="143A76EB" w14:textId="77777777">
            <w:pPr>
              <w:pStyle w:val="TableParagraph"/>
              <w:spacing w:before="0"/>
              <w:jc w:val="left"/>
              <w:rPr>
                <w:sz w:val="20"/>
              </w:rPr>
            </w:pPr>
          </w:p>
        </w:tc>
        <w:tc>
          <w:tcPr>
            <w:tcW w:w="2805" w:type="dxa"/>
          </w:tcPr>
          <w:p w:rsidR="003F5784" w14:paraId="21F0DD4E" w14:textId="77777777">
            <w:pPr>
              <w:pStyle w:val="TableParagraph"/>
              <w:ind w:left="153"/>
              <w:jc w:val="left"/>
              <w:rPr>
                <w:sz w:val="21"/>
              </w:rPr>
            </w:pPr>
            <w:r>
              <w:rPr>
                <w:spacing w:val="-2"/>
                <w:sz w:val="21"/>
              </w:rPr>
              <w:t>Catholic</w:t>
            </w:r>
          </w:p>
        </w:tc>
        <w:tc>
          <w:tcPr>
            <w:tcW w:w="1943" w:type="dxa"/>
          </w:tcPr>
          <w:p w:rsidR="003F5784" w14:paraId="3066BB33" w14:textId="77777777">
            <w:pPr>
              <w:pStyle w:val="TableParagraph"/>
              <w:ind w:right="597"/>
              <w:rPr>
                <w:sz w:val="21"/>
              </w:rPr>
            </w:pPr>
            <w:r>
              <w:rPr>
                <w:spacing w:val="-2"/>
                <w:sz w:val="21"/>
              </w:rPr>
              <w:t>95.19</w:t>
            </w:r>
          </w:p>
        </w:tc>
        <w:tc>
          <w:tcPr>
            <w:tcW w:w="3167" w:type="dxa"/>
          </w:tcPr>
          <w:p w:rsidR="003F5784" w14:paraId="70286067" w14:textId="77777777">
            <w:pPr>
              <w:pStyle w:val="TableParagraph"/>
              <w:ind w:right="588"/>
              <w:rPr>
                <w:sz w:val="21"/>
              </w:rPr>
            </w:pPr>
            <w:r>
              <w:rPr>
                <w:spacing w:val="-4"/>
                <w:sz w:val="21"/>
              </w:rPr>
              <w:t>0.16</w:t>
            </w:r>
          </w:p>
        </w:tc>
        <w:tc>
          <w:tcPr>
            <w:tcW w:w="3141" w:type="dxa"/>
          </w:tcPr>
          <w:p w:rsidR="003F5784" w14:paraId="58073731" w14:textId="77777777">
            <w:pPr>
              <w:pStyle w:val="TableParagraph"/>
              <w:ind w:right="569"/>
              <w:rPr>
                <w:sz w:val="21"/>
              </w:rPr>
            </w:pPr>
            <w:r>
              <w:rPr>
                <w:spacing w:val="-4"/>
                <w:sz w:val="21"/>
              </w:rPr>
              <w:t>0.23</w:t>
            </w:r>
          </w:p>
        </w:tc>
        <w:tc>
          <w:tcPr>
            <w:tcW w:w="2141" w:type="dxa"/>
          </w:tcPr>
          <w:p w:rsidR="003F5784" w14:paraId="27DD42AC" w14:textId="77777777">
            <w:pPr>
              <w:pStyle w:val="TableParagraph"/>
              <w:ind w:right="113"/>
              <w:rPr>
                <w:sz w:val="21"/>
              </w:rPr>
            </w:pPr>
            <w:r>
              <w:rPr>
                <w:spacing w:val="-4"/>
                <w:sz w:val="21"/>
              </w:rPr>
              <w:t>0.41</w:t>
            </w:r>
          </w:p>
        </w:tc>
      </w:tr>
      <w:tr w14:paraId="41E86309" w14:textId="77777777">
        <w:tblPrEx>
          <w:tblW w:w="0" w:type="auto"/>
          <w:tblInd w:w="482" w:type="dxa"/>
          <w:tblLayout w:type="fixed"/>
          <w:tblCellMar>
            <w:left w:w="0" w:type="dxa"/>
            <w:right w:w="0" w:type="dxa"/>
          </w:tblCellMar>
          <w:tblLook w:val="01E0"/>
        </w:tblPrEx>
        <w:trPr>
          <w:trHeight w:val="289"/>
        </w:trPr>
        <w:tc>
          <w:tcPr>
            <w:tcW w:w="783" w:type="dxa"/>
            <w:tcBorders>
              <w:bottom w:val="single" w:sz="12" w:space="0" w:color="800000"/>
            </w:tcBorders>
          </w:tcPr>
          <w:p w:rsidR="003F5784" w14:paraId="13AB497F" w14:textId="77777777">
            <w:pPr>
              <w:pStyle w:val="TableParagraph"/>
              <w:spacing w:before="0"/>
              <w:jc w:val="left"/>
              <w:rPr>
                <w:sz w:val="20"/>
              </w:rPr>
            </w:pPr>
          </w:p>
        </w:tc>
        <w:tc>
          <w:tcPr>
            <w:tcW w:w="2805" w:type="dxa"/>
            <w:tcBorders>
              <w:bottom w:val="single" w:sz="12" w:space="0" w:color="800000"/>
            </w:tcBorders>
          </w:tcPr>
          <w:p w:rsidR="003F5784" w14:paraId="2D2F567E" w14:textId="77777777">
            <w:pPr>
              <w:pStyle w:val="TableParagraph"/>
              <w:ind w:left="153"/>
              <w:jc w:val="left"/>
              <w:rPr>
                <w:sz w:val="21"/>
              </w:rPr>
            </w:pPr>
            <w:r>
              <w:rPr>
                <w:sz w:val="21"/>
              </w:rPr>
              <w:t>Non-Catholic</w:t>
            </w:r>
            <w:r>
              <w:rPr>
                <w:spacing w:val="-13"/>
                <w:sz w:val="21"/>
              </w:rPr>
              <w:t xml:space="preserve"> </w:t>
            </w:r>
            <w:r>
              <w:rPr>
                <w:spacing w:val="-2"/>
                <w:sz w:val="21"/>
              </w:rPr>
              <w:t>Private</w:t>
            </w:r>
          </w:p>
        </w:tc>
        <w:tc>
          <w:tcPr>
            <w:tcW w:w="1943" w:type="dxa"/>
            <w:tcBorders>
              <w:bottom w:val="single" w:sz="12" w:space="0" w:color="800000"/>
            </w:tcBorders>
          </w:tcPr>
          <w:p w:rsidR="003F5784" w14:paraId="0C15F2F3" w14:textId="77777777">
            <w:pPr>
              <w:pStyle w:val="TableParagraph"/>
              <w:ind w:right="597"/>
              <w:rPr>
                <w:sz w:val="21"/>
              </w:rPr>
            </w:pPr>
            <w:r>
              <w:rPr>
                <w:spacing w:val="-2"/>
                <w:sz w:val="21"/>
              </w:rPr>
              <w:t>92.19</w:t>
            </w:r>
          </w:p>
        </w:tc>
        <w:tc>
          <w:tcPr>
            <w:tcW w:w="3167" w:type="dxa"/>
            <w:tcBorders>
              <w:bottom w:val="single" w:sz="12" w:space="0" w:color="800000"/>
            </w:tcBorders>
          </w:tcPr>
          <w:p w:rsidR="003F5784" w14:paraId="4115F938" w14:textId="77777777">
            <w:pPr>
              <w:pStyle w:val="TableParagraph"/>
              <w:ind w:right="588"/>
              <w:rPr>
                <w:sz w:val="21"/>
              </w:rPr>
            </w:pPr>
            <w:r>
              <w:rPr>
                <w:spacing w:val="-4"/>
                <w:sz w:val="21"/>
              </w:rPr>
              <w:t>0.17</w:t>
            </w:r>
          </w:p>
        </w:tc>
        <w:tc>
          <w:tcPr>
            <w:tcW w:w="3141" w:type="dxa"/>
            <w:tcBorders>
              <w:bottom w:val="single" w:sz="12" w:space="0" w:color="800000"/>
            </w:tcBorders>
          </w:tcPr>
          <w:p w:rsidR="003F5784" w14:paraId="0306A1E1" w14:textId="77777777">
            <w:pPr>
              <w:pStyle w:val="TableParagraph"/>
              <w:ind w:right="569"/>
              <w:rPr>
                <w:sz w:val="21"/>
              </w:rPr>
            </w:pPr>
            <w:r>
              <w:rPr>
                <w:spacing w:val="-10"/>
                <w:sz w:val="21"/>
              </w:rPr>
              <w:t>#</w:t>
            </w:r>
          </w:p>
        </w:tc>
        <w:tc>
          <w:tcPr>
            <w:tcW w:w="2141" w:type="dxa"/>
            <w:tcBorders>
              <w:bottom w:val="single" w:sz="12" w:space="0" w:color="800000"/>
            </w:tcBorders>
          </w:tcPr>
          <w:p w:rsidR="003F5784" w14:paraId="307CE19F" w14:textId="77777777">
            <w:pPr>
              <w:pStyle w:val="TableParagraph"/>
              <w:ind w:right="113"/>
              <w:rPr>
                <w:sz w:val="21"/>
              </w:rPr>
            </w:pPr>
            <w:r>
              <w:rPr>
                <w:spacing w:val="-4"/>
                <w:sz w:val="21"/>
              </w:rPr>
              <w:t>0.34</w:t>
            </w:r>
          </w:p>
        </w:tc>
      </w:tr>
      <w:tr w14:paraId="6E99A839" w14:textId="77777777">
        <w:tblPrEx>
          <w:tblW w:w="0" w:type="auto"/>
          <w:tblInd w:w="482" w:type="dxa"/>
          <w:tblLayout w:type="fixed"/>
          <w:tblCellMar>
            <w:left w:w="0" w:type="dxa"/>
            <w:right w:w="0" w:type="dxa"/>
          </w:tblCellMar>
          <w:tblLook w:val="01E0"/>
        </w:tblPrEx>
        <w:trPr>
          <w:trHeight w:val="266"/>
        </w:trPr>
        <w:tc>
          <w:tcPr>
            <w:tcW w:w="783" w:type="dxa"/>
            <w:tcBorders>
              <w:top w:val="single" w:sz="12" w:space="0" w:color="800000"/>
            </w:tcBorders>
          </w:tcPr>
          <w:p w:rsidR="003F5784" w14:paraId="0B2C2BB0" w14:textId="77777777">
            <w:pPr>
              <w:pStyle w:val="TableParagraph"/>
              <w:spacing w:before="0" w:line="239" w:lineRule="exact"/>
              <w:ind w:left="120"/>
              <w:jc w:val="left"/>
              <w:rPr>
                <w:sz w:val="21"/>
              </w:rPr>
            </w:pPr>
            <w:r>
              <w:rPr>
                <w:spacing w:val="-10"/>
                <w:sz w:val="21"/>
              </w:rPr>
              <w:t>8</w:t>
            </w:r>
          </w:p>
        </w:tc>
        <w:tc>
          <w:tcPr>
            <w:tcW w:w="2805" w:type="dxa"/>
            <w:tcBorders>
              <w:top w:val="single" w:sz="12" w:space="0" w:color="800000"/>
            </w:tcBorders>
          </w:tcPr>
          <w:p w:rsidR="003F5784" w14:paraId="3894A321" w14:textId="77777777">
            <w:pPr>
              <w:pStyle w:val="TableParagraph"/>
              <w:spacing w:before="0" w:line="239" w:lineRule="exact"/>
              <w:ind w:left="403"/>
              <w:jc w:val="left"/>
              <w:rPr>
                <w:b/>
                <w:sz w:val="21"/>
              </w:rPr>
            </w:pPr>
            <w:r>
              <w:rPr>
                <w:b/>
                <w:sz w:val="21"/>
              </w:rPr>
              <w:t>All</w:t>
            </w:r>
            <w:r>
              <w:rPr>
                <w:b/>
                <w:spacing w:val="-4"/>
                <w:sz w:val="21"/>
              </w:rPr>
              <w:t xml:space="preserve"> </w:t>
            </w:r>
            <w:r>
              <w:rPr>
                <w:b/>
                <w:spacing w:val="-2"/>
                <w:sz w:val="21"/>
              </w:rPr>
              <w:t>private</w:t>
            </w:r>
          </w:p>
        </w:tc>
        <w:tc>
          <w:tcPr>
            <w:tcW w:w="1943" w:type="dxa"/>
            <w:tcBorders>
              <w:top w:val="single" w:sz="12" w:space="0" w:color="800000"/>
            </w:tcBorders>
          </w:tcPr>
          <w:p w:rsidR="003F5784" w14:paraId="3942F890" w14:textId="77777777">
            <w:pPr>
              <w:pStyle w:val="TableParagraph"/>
              <w:spacing w:before="0" w:line="239" w:lineRule="exact"/>
              <w:ind w:right="597"/>
              <w:rPr>
                <w:b/>
                <w:sz w:val="21"/>
              </w:rPr>
            </w:pPr>
            <w:r>
              <w:rPr>
                <w:b/>
                <w:spacing w:val="-2"/>
                <w:sz w:val="21"/>
              </w:rPr>
              <w:t>94.86</w:t>
            </w:r>
          </w:p>
        </w:tc>
        <w:tc>
          <w:tcPr>
            <w:tcW w:w="3167" w:type="dxa"/>
            <w:tcBorders>
              <w:top w:val="single" w:sz="12" w:space="0" w:color="800000"/>
            </w:tcBorders>
          </w:tcPr>
          <w:p w:rsidR="003F5784" w14:paraId="59468267" w14:textId="77777777">
            <w:pPr>
              <w:pStyle w:val="TableParagraph"/>
              <w:spacing w:before="0" w:line="239" w:lineRule="exact"/>
              <w:ind w:right="588"/>
              <w:rPr>
                <w:b/>
                <w:sz w:val="21"/>
              </w:rPr>
            </w:pPr>
            <w:r>
              <w:rPr>
                <w:b/>
                <w:spacing w:val="-4"/>
                <w:sz w:val="21"/>
              </w:rPr>
              <w:t>0.14</w:t>
            </w:r>
          </w:p>
        </w:tc>
        <w:tc>
          <w:tcPr>
            <w:tcW w:w="3141" w:type="dxa"/>
            <w:tcBorders>
              <w:top w:val="single" w:sz="12" w:space="0" w:color="800000"/>
            </w:tcBorders>
          </w:tcPr>
          <w:p w:rsidR="003F5784" w14:paraId="01059E4F" w14:textId="77777777">
            <w:pPr>
              <w:pStyle w:val="TableParagraph"/>
              <w:spacing w:before="0" w:line="239" w:lineRule="exact"/>
              <w:ind w:right="569"/>
              <w:rPr>
                <w:b/>
                <w:sz w:val="21"/>
              </w:rPr>
            </w:pPr>
            <w:r>
              <w:rPr>
                <w:b/>
                <w:spacing w:val="-10"/>
                <w:sz w:val="21"/>
              </w:rPr>
              <w:t>#</w:t>
            </w:r>
          </w:p>
        </w:tc>
        <w:tc>
          <w:tcPr>
            <w:tcW w:w="2141" w:type="dxa"/>
            <w:tcBorders>
              <w:top w:val="single" w:sz="12" w:space="0" w:color="800000"/>
            </w:tcBorders>
          </w:tcPr>
          <w:p w:rsidR="003F5784" w14:paraId="4F96FDF6" w14:textId="77777777">
            <w:pPr>
              <w:pStyle w:val="TableParagraph"/>
              <w:spacing w:before="0" w:line="239" w:lineRule="exact"/>
              <w:ind w:right="113"/>
              <w:rPr>
                <w:b/>
                <w:sz w:val="21"/>
              </w:rPr>
            </w:pPr>
            <w:r>
              <w:rPr>
                <w:b/>
                <w:spacing w:val="-4"/>
                <w:sz w:val="21"/>
              </w:rPr>
              <w:t>0.26</w:t>
            </w:r>
          </w:p>
        </w:tc>
      </w:tr>
      <w:tr w14:paraId="6C3B50F8" w14:textId="77777777">
        <w:tblPrEx>
          <w:tblW w:w="0" w:type="auto"/>
          <w:tblInd w:w="482" w:type="dxa"/>
          <w:tblLayout w:type="fixed"/>
          <w:tblCellMar>
            <w:left w:w="0" w:type="dxa"/>
            <w:right w:w="0" w:type="dxa"/>
          </w:tblCellMar>
          <w:tblLook w:val="01E0"/>
        </w:tblPrEx>
        <w:trPr>
          <w:trHeight w:val="288"/>
        </w:trPr>
        <w:tc>
          <w:tcPr>
            <w:tcW w:w="783" w:type="dxa"/>
            <w:tcBorders>
              <w:bottom w:val="single" w:sz="18" w:space="0" w:color="800000"/>
            </w:tcBorders>
          </w:tcPr>
          <w:p w:rsidR="003F5784" w14:paraId="17D7808E" w14:textId="77777777">
            <w:pPr>
              <w:pStyle w:val="TableParagraph"/>
              <w:spacing w:before="0"/>
              <w:jc w:val="left"/>
              <w:rPr>
                <w:sz w:val="20"/>
              </w:rPr>
            </w:pPr>
          </w:p>
        </w:tc>
        <w:tc>
          <w:tcPr>
            <w:tcW w:w="2805" w:type="dxa"/>
            <w:tcBorders>
              <w:bottom w:val="single" w:sz="18" w:space="0" w:color="800000"/>
            </w:tcBorders>
          </w:tcPr>
          <w:p w:rsidR="003F5784" w14:paraId="416B8627" w14:textId="77777777">
            <w:pPr>
              <w:pStyle w:val="TableParagraph"/>
              <w:ind w:left="153"/>
              <w:jc w:val="left"/>
              <w:rPr>
                <w:sz w:val="21"/>
              </w:rPr>
            </w:pPr>
            <w:r>
              <w:rPr>
                <w:spacing w:val="-2"/>
                <w:sz w:val="21"/>
              </w:rPr>
              <w:t>Catholic</w:t>
            </w:r>
          </w:p>
        </w:tc>
        <w:tc>
          <w:tcPr>
            <w:tcW w:w="1943" w:type="dxa"/>
            <w:tcBorders>
              <w:bottom w:val="single" w:sz="18" w:space="0" w:color="800000"/>
            </w:tcBorders>
          </w:tcPr>
          <w:p w:rsidR="003F5784" w14:paraId="55065358" w14:textId="77777777">
            <w:pPr>
              <w:pStyle w:val="TableParagraph"/>
              <w:spacing w:before="45"/>
              <w:ind w:right="597"/>
              <w:rPr>
                <w:sz w:val="18"/>
              </w:rPr>
            </w:pPr>
            <w:r>
              <w:rPr>
                <w:spacing w:val="-2"/>
                <w:sz w:val="18"/>
              </w:rPr>
              <w:t>95.42</w:t>
            </w:r>
          </w:p>
        </w:tc>
        <w:tc>
          <w:tcPr>
            <w:tcW w:w="3167" w:type="dxa"/>
            <w:tcBorders>
              <w:bottom w:val="single" w:sz="18" w:space="0" w:color="800000"/>
            </w:tcBorders>
          </w:tcPr>
          <w:p w:rsidR="003F5784" w14:paraId="6EB83440" w14:textId="77777777">
            <w:pPr>
              <w:pStyle w:val="TableParagraph"/>
              <w:ind w:right="588"/>
              <w:rPr>
                <w:sz w:val="21"/>
              </w:rPr>
            </w:pPr>
            <w:r>
              <w:rPr>
                <w:spacing w:val="-10"/>
                <w:sz w:val="21"/>
              </w:rPr>
              <w:t>#</w:t>
            </w:r>
          </w:p>
        </w:tc>
        <w:tc>
          <w:tcPr>
            <w:tcW w:w="3141" w:type="dxa"/>
            <w:tcBorders>
              <w:bottom w:val="single" w:sz="18" w:space="0" w:color="800000"/>
            </w:tcBorders>
          </w:tcPr>
          <w:p w:rsidR="003F5784" w14:paraId="2BB980EC" w14:textId="77777777">
            <w:pPr>
              <w:pStyle w:val="TableParagraph"/>
              <w:ind w:right="569"/>
              <w:rPr>
                <w:sz w:val="21"/>
              </w:rPr>
            </w:pPr>
            <w:r>
              <w:rPr>
                <w:spacing w:val="-10"/>
                <w:sz w:val="21"/>
              </w:rPr>
              <w:t>#</w:t>
            </w:r>
          </w:p>
        </w:tc>
        <w:tc>
          <w:tcPr>
            <w:tcW w:w="2141" w:type="dxa"/>
            <w:tcBorders>
              <w:bottom w:val="single" w:sz="18" w:space="0" w:color="800000"/>
            </w:tcBorders>
          </w:tcPr>
          <w:p w:rsidR="003F5784" w14:paraId="0693B960" w14:textId="77777777">
            <w:pPr>
              <w:pStyle w:val="TableParagraph"/>
              <w:ind w:right="113"/>
              <w:rPr>
                <w:sz w:val="21"/>
              </w:rPr>
            </w:pPr>
            <w:r>
              <w:rPr>
                <w:spacing w:val="-10"/>
                <w:sz w:val="21"/>
              </w:rPr>
              <w:t>#</w:t>
            </w:r>
          </w:p>
        </w:tc>
      </w:tr>
      <w:tr w14:paraId="5E4DA6FD" w14:textId="77777777">
        <w:tblPrEx>
          <w:tblW w:w="0" w:type="auto"/>
          <w:tblInd w:w="482" w:type="dxa"/>
          <w:tblLayout w:type="fixed"/>
          <w:tblCellMar>
            <w:left w:w="0" w:type="dxa"/>
            <w:right w:w="0" w:type="dxa"/>
          </w:tblCellMar>
          <w:tblLook w:val="01E0"/>
        </w:tblPrEx>
        <w:trPr>
          <w:trHeight w:val="237"/>
        </w:trPr>
        <w:tc>
          <w:tcPr>
            <w:tcW w:w="3588" w:type="dxa"/>
            <w:gridSpan w:val="2"/>
            <w:tcBorders>
              <w:top w:val="single" w:sz="18" w:space="0" w:color="800000"/>
            </w:tcBorders>
          </w:tcPr>
          <w:p w:rsidR="003F5784" w14:paraId="3A9E23AB"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c>
          <w:tcPr>
            <w:tcW w:w="1943" w:type="dxa"/>
            <w:tcBorders>
              <w:top w:val="single" w:sz="18" w:space="0" w:color="800000"/>
            </w:tcBorders>
          </w:tcPr>
          <w:p w:rsidR="003F5784" w14:paraId="5FCB2E69" w14:textId="77777777">
            <w:pPr>
              <w:pStyle w:val="TableParagraph"/>
              <w:spacing w:before="0"/>
              <w:jc w:val="left"/>
              <w:rPr>
                <w:sz w:val="16"/>
              </w:rPr>
            </w:pPr>
          </w:p>
        </w:tc>
        <w:tc>
          <w:tcPr>
            <w:tcW w:w="3167" w:type="dxa"/>
            <w:tcBorders>
              <w:top w:val="single" w:sz="18" w:space="0" w:color="800000"/>
            </w:tcBorders>
          </w:tcPr>
          <w:p w:rsidR="003F5784" w14:paraId="10C06370" w14:textId="77777777">
            <w:pPr>
              <w:pStyle w:val="TableParagraph"/>
              <w:spacing w:before="0"/>
              <w:jc w:val="left"/>
              <w:rPr>
                <w:sz w:val="16"/>
              </w:rPr>
            </w:pPr>
          </w:p>
        </w:tc>
        <w:tc>
          <w:tcPr>
            <w:tcW w:w="3141" w:type="dxa"/>
            <w:tcBorders>
              <w:top w:val="single" w:sz="18" w:space="0" w:color="800000"/>
            </w:tcBorders>
          </w:tcPr>
          <w:p w:rsidR="003F5784" w14:paraId="3FB38BBD" w14:textId="77777777">
            <w:pPr>
              <w:pStyle w:val="TableParagraph"/>
              <w:spacing w:before="0"/>
              <w:jc w:val="left"/>
              <w:rPr>
                <w:sz w:val="16"/>
              </w:rPr>
            </w:pPr>
          </w:p>
        </w:tc>
        <w:tc>
          <w:tcPr>
            <w:tcW w:w="2141" w:type="dxa"/>
            <w:tcBorders>
              <w:top w:val="single" w:sz="18" w:space="0" w:color="800000"/>
            </w:tcBorders>
          </w:tcPr>
          <w:p w:rsidR="003F5784" w14:paraId="6604B982" w14:textId="77777777">
            <w:pPr>
              <w:pStyle w:val="TableParagraph"/>
              <w:spacing w:before="0"/>
              <w:jc w:val="left"/>
              <w:rPr>
                <w:sz w:val="16"/>
              </w:rPr>
            </w:pPr>
          </w:p>
        </w:tc>
      </w:tr>
    </w:tbl>
    <w:p w:rsidR="003F5784" w14:paraId="640C0DED" w14:textId="77777777">
      <w:pPr>
        <w:pStyle w:val="BodyText"/>
        <w:spacing w:before="1"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Reading Assessment.</w:t>
      </w:r>
    </w:p>
    <w:p w:rsidR="003F5784" w14:paraId="3D7F2B05" w14:textId="77777777">
      <w:pPr>
        <w:spacing w:line="232" w:lineRule="auto"/>
        <w:sectPr>
          <w:type w:val="continuous"/>
          <w:pgSz w:w="15840" w:h="12240" w:orient="landscape"/>
          <w:pgMar w:top="480" w:right="440" w:bottom="460" w:left="460" w:header="284" w:footer="275" w:gutter="0"/>
          <w:cols w:space="720"/>
        </w:sectPr>
      </w:pPr>
    </w:p>
    <w:p w:rsidR="003F5784" w14:paraId="52A22433" w14:textId="77777777">
      <w:pPr>
        <w:pStyle w:val="BodyText"/>
      </w:pPr>
    </w:p>
    <w:p w:rsidR="003F5784" w14:paraId="31539A03" w14:textId="77777777">
      <w:pPr>
        <w:pStyle w:val="BodyText"/>
        <w:spacing w:before="84"/>
      </w:pPr>
    </w:p>
    <w:p w:rsidR="003F5784" w14:paraId="6F4824A0" w14:textId="77777777">
      <w:pPr>
        <w:pStyle w:val="BodyText"/>
        <w:tabs>
          <w:tab w:val="left" w:pos="1411"/>
        </w:tabs>
        <w:spacing w:before="1"/>
        <w:ind w:left="595"/>
      </w:pPr>
      <w:r>
        <w:rPr>
          <w:spacing w:val="-2"/>
        </w:rPr>
        <w:t>Grade</w:t>
      </w:r>
      <w:r>
        <w:tab/>
        <w:t>Private</w:t>
      </w:r>
      <w:r>
        <w:rPr>
          <w:spacing w:val="-7"/>
        </w:rPr>
        <w:t xml:space="preserve"> </w:t>
      </w:r>
      <w:r>
        <w:t>school</w:t>
      </w:r>
      <w:r>
        <w:rPr>
          <w:spacing w:val="-7"/>
        </w:rPr>
        <w:t xml:space="preserve"> </w:t>
      </w:r>
      <w:r>
        <w:rPr>
          <w:spacing w:val="-4"/>
        </w:rPr>
        <w:t>type</w:t>
      </w:r>
    </w:p>
    <w:p w:rsidR="003F5784" w14:paraId="3DB20F87" w14:textId="77777777">
      <w:pPr>
        <w:pStyle w:val="BodyText"/>
        <w:spacing w:before="104" w:line="232" w:lineRule="auto"/>
        <w:ind w:left="949" w:right="38" w:hanging="355"/>
        <w:jc w:val="right"/>
      </w:pPr>
      <w:r>
        <w:br w:type="column"/>
      </w:r>
      <w:r>
        <w:rPr>
          <w:spacing w:val="-2"/>
        </w:rPr>
        <w:t>Weighted</w:t>
      </w:r>
      <w:r>
        <w:rPr>
          <w:spacing w:val="-12"/>
        </w:rPr>
        <w:t xml:space="preserve"> </w:t>
      </w:r>
      <w:r>
        <w:rPr>
          <w:spacing w:val="-2"/>
        </w:rPr>
        <w:t xml:space="preserve">student </w:t>
      </w:r>
      <w:r>
        <w:t>response</w:t>
      </w:r>
      <w:r>
        <w:rPr>
          <w:spacing w:val="-9"/>
        </w:rPr>
        <w:t xml:space="preserve"> </w:t>
      </w:r>
      <w:r>
        <w:rPr>
          <w:spacing w:val="-4"/>
        </w:rPr>
        <w:t>rate</w:t>
      </w:r>
    </w:p>
    <w:p w:rsidR="003F5784" w14:paraId="730A7C31" w14:textId="77777777">
      <w:pPr>
        <w:pStyle w:val="BodyText"/>
        <w:spacing w:line="236" w:lineRule="exact"/>
        <w:ind w:right="38"/>
        <w:jc w:val="right"/>
      </w:pPr>
      <w:r>
        <w:rPr>
          <w:spacing w:val="-2"/>
        </w:rPr>
        <w:t>(percent)</w:t>
      </w:r>
    </w:p>
    <w:p w:rsidR="003F5784" w14:paraId="744B4EF2" w14:textId="77777777">
      <w:pPr>
        <w:pStyle w:val="BodyText"/>
        <w:spacing w:before="104" w:line="232" w:lineRule="auto"/>
        <w:ind w:left="595" w:right="38" w:firstLine="509"/>
        <w:jc w:val="right"/>
      </w:pPr>
      <w:r>
        <w:br w:type="column"/>
      </w:r>
      <w:r>
        <w:rPr>
          <w:spacing w:val="-2"/>
        </w:rPr>
        <w:t>Weighted</w:t>
      </w:r>
      <w:r>
        <w:rPr>
          <w:spacing w:val="-12"/>
        </w:rPr>
        <w:t xml:space="preserve"> </w:t>
      </w:r>
      <w:r>
        <w:rPr>
          <w:spacing w:val="-2"/>
        </w:rPr>
        <w:t>percentage</w:t>
      </w:r>
      <w:r>
        <w:rPr>
          <w:spacing w:val="-11"/>
        </w:rPr>
        <w:t xml:space="preserve"> </w:t>
      </w:r>
      <w:r>
        <w:rPr>
          <w:spacing w:val="-2"/>
        </w:rPr>
        <w:t xml:space="preserve">of </w:t>
      </w:r>
      <w:r>
        <w:t>all</w:t>
      </w:r>
      <w:r>
        <w:rPr>
          <w:spacing w:val="-5"/>
        </w:rPr>
        <w:t xml:space="preserve"> </w:t>
      </w:r>
      <w:r>
        <w:t>students</w:t>
      </w:r>
      <w:r>
        <w:rPr>
          <w:spacing w:val="-5"/>
        </w:rPr>
        <w:t xml:space="preserve"> </w:t>
      </w:r>
      <w:r>
        <w:t>who</w:t>
      </w:r>
      <w:r>
        <w:rPr>
          <w:spacing w:val="-5"/>
        </w:rPr>
        <w:t xml:space="preserve"> </w:t>
      </w:r>
      <w:r>
        <w:t>were</w:t>
      </w:r>
      <w:r>
        <w:rPr>
          <w:spacing w:val="-5"/>
        </w:rPr>
        <w:t xml:space="preserve"> </w:t>
      </w:r>
      <w:r>
        <w:t>SD</w:t>
      </w:r>
      <w:r>
        <w:rPr>
          <w:spacing w:val="-5"/>
        </w:rPr>
        <w:t xml:space="preserve"> and</w:t>
      </w:r>
    </w:p>
    <w:p w:rsidR="003F5784" w14:paraId="08209087" w14:textId="77777777">
      <w:pPr>
        <w:pStyle w:val="BodyText"/>
        <w:spacing w:line="236" w:lineRule="exact"/>
        <w:ind w:right="38"/>
        <w:jc w:val="right"/>
      </w:pPr>
      <w:r>
        <w:rPr>
          <w:spacing w:val="-2"/>
        </w:rPr>
        <w:t>excluded</w:t>
      </w:r>
    </w:p>
    <w:p w:rsidR="003F5784" w14:paraId="64555332" w14:textId="77777777">
      <w:pPr>
        <w:pStyle w:val="BodyText"/>
        <w:spacing w:before="104" w:line="232" w:lineRule="auto"/>
        <w:ind w:left="595" w:right="38" w:firstLine="490"/>
        <w:jc w:val="right"/>
      </w:pPr>
      <w:r>
        <w:br w:type="column"/>
      </w:r>
      <w:r>
        <w:rPr>
          <w:spacing w:val="-2"/>
        </w:rPr>
        <w:t>Weighted</w:t>
      </w:r>
      <w:r>
        <w:rPr>
          <w:spacing w:val="-12"/>
        </w:rPr>
        <w:t xml:space="preserve"> </w:t>
      </w:r>
      <w:r>
        <w:rPr>
          <w:spacing w:val="-2"/>
        </w:rPr>
        <w:t>percentage</w:t>
      </w:r>
      <w:r>
        <w:rPr>
          <w:spacing w:val="-11"/>
        </w:rPr>
        <w:t xml:space="preserve"> </w:t>
      </w:r>
      <w:r>
        <w:rPr>
          <w:spacing w:val="-2"/>
        </w:rPr>
        <w:t xml:space="preserve">of </w:t>
      </w:r>
      <w:r>
        <w:t>all</w:t>
      </w:r>
      <w:r>
        <w:rPr>
          <w:spacing w:val="-5"/>
        </w:rPr>
        <w:t xml:space="preserve"> </w:t>
      </w:r>
      <w:r>
        <w:t>students</w:t>
      </w:r>
      <w:r>
        <w:rPr>
          <w:spacing w:val="-5"/>
        </w:rPr>
        <w:t xml:space="preserve"> </w:t>
      </w:r>
      <w:r>
        <w:t>who</w:t>
      </w:r>
      <w:r>
        <w:rPr>
          <w:spacing w:val="-5"/>
        </w:rPr>
        <w:t xml:space="preserve"> </w:t>
      </w:r>
      <w:r>
        <w:t>were</w:t>
      </w:r>
      <w:r>
        <w:rPr>
          <w:spacing w:val="-5"/>
        </w:rPr>
        <w:t xml:space="preserve"> </w:t>
      </w:r>
      <w:r>
        <w:t>EL</w:t>
      </w:r>
      <w:r>
        <w:rPr>
          <w:spacing w:val="-13"/>
        </w:rPr>
        <w:t xml:space="preserve"> </w:t>
      </w:r>
      <w:r>
        <w:rPr>
          <w:spacing w:val="-5"/>
        </w:rPr>
        <w:t>and</w:t>
      </w:r>
    </w:p>
    <w:p w:rsidR="003F5784" w14:paraId="3865A24C" w14:textId="77777777">
      <w:pPr>
        <w:pStyle w:val="BodyText"/>
        <w:spacing w:line="236" w:lineRule="exact"/>
        <w:ind w:right="38"/>
        <w:jc w:val="right"/>
      </w:pPr>
      <w:r>
        <w:rPr>
          <w:spacing w:val="-2"/>
        </w:rPr>
        <w:t>excluded</w:t>
      </w:r>
    </w:p>
    <w:p w:rsidR="003F5784" w14:paraId="2E0FFE20" w14:textId="77777777">
      <w:pPr>
        <w:pStyle w:val="BodyText"/>
        <w:spacing w:before="104" w:line="232" w:lineRule="auto"/>
        <w:ind w:left="595" w:right="598" w:firstLine="358"/>
        <w:jc w:val="right"/>
      </w:pPr>
      <w:r>
        <w:br w:type="column"/>
      </w:r>
      <w:r>
        <w:rPr>
          <w:spacing w:val="-2"/>
        </w:rPr>
        <w:t>Weighted</w:t>
      </w:r>
      <w:r>
        <w:rPr>
          <w:spacing w:val="-12"/>
        </w:rPr>
        <w:t xml:space="preserve"> </w:t>
      </w:r>
      <w:r>
        <w:rPr>
          <w:spacing w:val="-2"/>
        </w:rPr>
        <w:t xml:space="preserve">student </w:t>
      </w:r>
      <w:r>
        <w:t>full-time</w:t>
      </w:r>
      <w:r>
        <w:rPr>
          <w:spacing w:val="-8"/>
        </w:rPr>
        <w:t xml:space="preserve"> </w:t>
      </w:r>
      <w:r>
        <w:t>remote</w:t>
      </w:r>
      <w:r>
        <w:rPr>
          <w:spacing w:val="-8"/>
        </w:rPr>
        <w:t xml:space="preserve"> </w:t>
      </w:r>
      <w:r>
        <w:rPr>
          <w:spacing w:val="-2"/>
        </w:rPr>
        <w:t>rates</w:t>
      </w:r>
    </w:p>
    <w:p w:rsidR="003F5784" w14:paraId="3694D42A" w14:textId="77777777">
      <w:pPr>
        <w:pStyle w:val="BodyText"/>
        <w:spacing w:line="236" w:lineRule="exact"/>
        <w:ind w:right="598"/>
        <w:jc w:val="right"/>
      </w:pPr>
      <w:r>
        <w:rPr>
          <w:spacing w:val="-2"/>
        </w:rPr>
        <w:t>(percent)</w:t>
      </w:r>
    </w:p>
    <w:p w:rsidR="003F5784" w14:paraId="069C0E20" w14:textId="77777777">
      <w:pPr>
        <w:spacing w:line="236" w:lineRule="exact"/>
        <w:jc w:val="right"/>
        <w:sectPr>
          <w:pgSz w:w="15840" w:h="12240" w:orient="landscape"/>
          <w:pgMar w:top="480" w:right="440" w:bottom="460" w:left="460" w:header="284" w:footer="275" w:gutter="0"/>
          <w:cols w:num="5" w:space="720" w:equalWidth="0">
            <w:col w:w="3050" w:space="313"/>
            <w:col w:w="2084" w:space="55"/>
            <w:col w:w="3120" w:space="60"/>
            <w:col w:w="3101" w:space="155"/>
            <w:col w:w="3002"/>
          </w:cols>
        </w:sectPr>
      </w:pPr>
    </w:p>
    <w:tbl>
      <w:tblPr>
        <w:tblW w:w="0" w:type="auto"/>
        <w:tblInd w:w="482" w:type="dxa"/>
        <w:tblLayout w:type="fixed"/>
        <w:tblCellMar>
          <w:left w:w="0" w:type="dxa"/>
          <w:right w:w="0" w:type="dxa"/>
        </w:tblCellMar>
        <w:tblLook w:val="01E0"/>
      </w:tblPr>
      <w:tblGrid>
        <w:gridCol w:w="3618"/>
        <w:gridCol w:w="1930"/>
        <w:gridCol w:w="3150"/>
        <w:gridCol w:w="3150"/>
        <w:gridCol w:w="2135"/>
      </w:tblGrid>
      <w:tr w14:paraId="63462415" w14:textId="77777777" w:rsidTr="008F0E55">
        <w:tblPrEx>
          <w:tblW w:w="0" w:type="auto"/>
          <w:tblInd w:w="482" w:type="dxa"/>
          <w:tblLayout w:type="fixed"/>
          <w:tblCellMar>
            <w:left w:w="0" w:type="dxa"/>
            <w:right w:w="0" w:type="dxa"/>
          </w:tblCellMar>
          <w:tblLook w:val="01E0"/>
        </w:tblPrEx>
        <w:trPr>
          <w:trHeight w:val="280"/>
        </w:trPr>
        <w:tc>
          <w:tcPr>
            <w:tcW w:w="3618" w:type="dxa"/>
            <w:tcBorders>
              <w:top w:val="single" w:sz="18" w:space="0" w:color="800000"/>
              <w:bottom w:val="single" w:sz="18" w:space="0" w:color="800000"/>
            </w:tcBorders>
          </w:tcPr>
          <w:p w:rsidR="003F5784" w14:paraId="2BD6A450" w14:textId="77777777">
            <w:pPr>
              <w:pStyle w:val="TableParagraph"/>
              <w:spacing w:before="9"/>
              <w:ind w:left="936"/>
              <w:jc w:val="left"/>
              <w:rPr>
                <w:sz w:val="21"/>
              </w:rPr>
            </w:pPr>
            <w:r>
              <w:rPr>
                <w:sz w:val="21"/>
              </w:rPr>
              <w:t>Non-Catholic</w:t>
            </w:r>
            <w:r>
              <w:rPr>
                <w:spacing w:val="-13"/>
                <w:sz w:val="21"/>
              </w:rPr>
              <w:t xml:space="preserve"> </w:t>
            </w:r>
            <w:r>
              <w:rPr>
                <w:spacing w:val="-2"/>
                <w:sz w:val="21"/>
              </w:rPr>
              <w:t>Private</w:t>
            </w:r>
          </w:p>
        </w:tc>
        <w:tc>
          <w:tcPr>
            <w:tcW w:w="1930" w:type="dxa"/>
            <w:tcBorders>
              <w:top w:val="single" w:sz="18" w:space="0" w:color="800000"/>
              <w:bottom w:val="single" w:sz="18" w:space="0" w:color="800000"/>
            </w:tcBorders>
          </w:tcPr>
          <w:p w:rsidR="003F5784" w14:paraId="646A5DDD" w14:textId="77777777">
            <w:pPr>
              <w:pStyle w:val="TableParagraph"/>
              <w:spacing w:before="37"/>
              <w:ind w:left="903"/>
              <w:jc w:val="left"/>
              <w:rPr>
                <w:sz w:val="18"/>
              </w:rPr>
            </w:pPr>
            <w:r>
              <w:rPr>
                <w:spacing w:val="-2"/>
                <w:sz w:val="18"/>
              </w:rPr>
              <w:t>93.72</w:t>
            </w:r>
          </w:p>
        </w:tc>
        <w:tc>
          <w:tcPr>
            <w:tcW w:w="3150" w:type="dxa"/>
            <w:tcBorders>
              <w:top w:val="single" w:sz="18" w:space="0" w:color="800000"/>
              <w:bottom w:val="single" w:sz="18" w:space="0" w:color="800000"/>
            </w:tcBorders>
          </w:tcPr>
          <w:p w:rsidR="003F5784" w14:paraId="5F9FC817" w14:textId="77777777">
            <w:pPr>
              <w:pStyle w:val="TableParagraph"/>
              <w:spacing w:before="9"/>
              <w:ind w:right="119"/>
              <w:jc w:val="center"/>
              <w:rPr>
                <w:sz w:val="21"/>
              </w:rPr>
            </w:pPr>
            <w:r>
              <w:rPr>
                <w:spacing w:val="-4"/>
                <w:sz w:val="21"/>
              </w:rPr>
              <w:t>0.22</w:t>
            </w:r>
          </w:p>
        </w:tc>
        <w:tc>
          <w:tcPr>
            <w:tcW w:w="3150" w:type="dxa"/>
            <w:tcBorders>
              <w:top w:val="single" w:sz="18" w:space="0" w:color="800000"/>
              <w:bottom w:val="single" w:sz="18" w:space="0" w:color="800000"/>
            </w:tcBorders>
          </w:tcPr>
          <w:p w:rsidR="003F5784" w14:paraId="0FCC0E46" w14:textId="77777777">
            <w:pPr>
              <w:pStyle w:val="TableParagraph"/>
              <w:spacing w:before="9"/>
              <w:ind w:left="412"/>
              <w:jc w:val="center"/>
              <w:rPr>
                <w:sz w:val="21"/>
              </w:rPr>
            </w:pPr>
            <w:r>
              <w:rPr>
                <w:spacing w:val="-10"/>
                <w:sz w:val="21"/>
              </w:rPr>
              <w:t>#</w:t>
            </w:r>
          </w:p>
        </w:tc>
        <w:tc>
          <w:tcPr>
            <w:tcW w:w="2135" w:type="dxa"/>
            <w:tcBorders>
              <w:top w:val="single" w:sz="18" w:space="0" w:color="800000"/>
              <w:bottom w:val="single" w:sz="18" w:space="0" w:color="800000"/>
            </w:tcBorders>
          </w:tcPr>
          <w:p w:rsidR="003F5784" w14:paraId="224C46D5" w14:textId="77777777">
            <w:pPr>
              <w:pStyle w:val="TableParagraph"/>
              <w:spacing w:before="9"/>
              <w:ind w:right="116"/>
              <w:rPr>
                <w:sz w:val="21"/>
              </w:rPr>
            </w:pPr>
            <w:r>
              <w:rPr>
                <w:spacing w:val="-4"/>
                <w:sz w:val="21"/>
              </w:rPr>
              <w:t>0.43</w:t>
            </w:r>
          </w:p>
        </w:tc>
      </w:tr>
    </w:tbl>
    <w:p w:rsidR="003F5784" w14:paraId="14E31724" w14:textId="77777777">
      <w:pPr>
        <w:pStyle w:val="BodyText"/>
        <w:spacing w:before="14" w:line="238" w:lineRule="exact"/>
        <w:ind w:left="595"/>
      </w:pPr>
      <w:r>
        <w:t>#</w:t>
      </w:r>
      <w:r>
        <w:rPr>
          <w:spacing w:val="-5"/>
        </w:rPr>
        <w:t xml:space="preserve"> </w:t>
      </w:r>
      <w:r>
        <w:t>Rounds</w:t>
      </w:r>
      <w:r>
        <w:rPr>
          <w:spacing w:val="-4"/>
        </w:rPr>
        <w:t xml:space="preserve"> </w:t>
      </w:r>
      <w:r>
        <w:t>to</w:t>
      </w:r>
      <w:r>
        <w:rPr>
          <w:spacing w:val="-4"/>
        </w:rPr>
        <w:t xml:space="preserve"> </w:t>
      </w:r>
      <w:r>
        <w:rPr>
          <w:spacing w:val="-2"/>
        </w:rPr>
        <w:t>zero.</w:t>
      </w:r>
    </w:p>
    <w:p w:rsidR="003F5784" w14:paraId="66FB8DED"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Reading Assessment.</w:t>
      </w:r>
    </w:p>
    <w:p w:rsidR="003F5784" w14:paraId="5B80B2BC" w14:textId="77777777">
      <w:pPr>
        <w:pStyle w:val="BodyText"/>
      </w:pPr>
    </w:p>
    <w:p w:rsidR="003F5784" w14:paraId="7355B6E0" w14:textId="77777777">
      <w:pPr>
        <w:pStyle w:val="BodyText"/>
      </w:pPr>
    </w:p>
    <w:p w:rsidR="003F5784" w14:paraId="3A55B4BF" w14:textId="77777777">
      <w:pPr>
        <w:pStyle w:val="BodyText"/>
        <w:spacing w:before="198"/>
      </w:pPr>
    </w:p>
    <w:p w:rsidR="003F5784" w14:paraId="0503E985" w14:textId="77777777">
      <w:pPr>
        <w:ind w:left="1466"/>
        <w:rPr>
          <w:sz w:val="18"/>
        </w:rPr>
      </w:pPr>
      <w:hyperlink r:id="rId99">
        <w:r>
          <w:rPr>
            <w:spacing w:val="-2"/>
            <w:w w:val="105"/>
            <w:sz w:val="18"/>
          </w:rPr>
          <w:t>http://nces.ed.gov/nationsreportcard/tdw/sample_design/2022/weighted_student_response_and_exclusion_rates_for_the_2022_private_school_national_reading_assessment.aspx</w:t>
        </w:r>
      </w:hyperlink>
    </w:p>
    <w:p w:rsidR="003F5784" w14:paraId="02223689" w14:textId="77777777">
      <w:pPr>
        <w:pStyle w:val="BodyText"/>
        <w:rPr>
          <w:sz w:val="16"/>
        </w:rPr>
      </w:pPr>
      <w:r>
        <w:rPr>
          <w:noProof/>
        </w:rPr>
        <mc:AlternateContent>
          <mc:Choice Requires="wps">
            <w:drawing>
              <wp:anchor distT="0" distB="0" distL="0" distR="0" simplePos="0" relativeHeight="251810816" behindDoc="1" locked="0" layoutInCell="1" allowOverlap="1">
                <wp:simplePos x="0" y="0"/>
                <wp:positionH relativeFrom="page">
                  <wp:posOffset>361937</wp:posOffset>
                </wp:positionH>
                <wp:positionV relativeFrom="paragraph">
                  <wp:posOffset>132518</wp:posOffset>
                </wp:positionV>
                <wp:extent cx="9339580" cy="8890"/>
                <wp:effectExtent l="0" t="0" r="0" b="0"/>
                <wp:wrapTopAndBottom/>
                <wp:docPr id="118" name="Graphic 11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8280" y="8267"/>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18" o:spid="_x0000_s1076" style="width:735.4pt;height:0.7pt;margin-top:10.45pt;margin-left:28.5pt;mso-position-horizontal-relative:page;mso-wrap-distance-bottom:0;mso-wrap-distance-left:0;mso-wrap-distance-right:0;mso-wrap-distance-top:0;mso-wrap-style:square;position:absolute;visibility:visible;v-text-anchor:top;z-index:-251504640" coordsize="9339580,8890" path="m9338970,l9335110,l8280,,,,,8267l8280,8267l9335110,8267l9338970,8267l9338970,xe" fillcolor="gray" stroked="f">
                <v:path arrowok="t"/>
                <w10:wrap type="topAndBottom"/>
              </v:shape>
            </w:pict>
          </mc:Fallback>
        </mc:AlternateContent>
      </w:r>
    </w:p>
    <w:p w:rsidR="003F5784" w14:paraId="7592E77B" w14:textId="77777777">
      <w:pPr>
        <w:pStyle w:val="BodyText"/>
        <w:rPr>
          <w:sz w:val="18"/>
        </w:rPr>
      </w:pPr>
    </w:p>
    <w:p w:rsidR="003F5784" w14:paraId="1FC73EFE" w14:textId="77777777">
      <w:pPr>
        <w:pStyle w:val="BodyText"/>
        <w:spacing w:before="193"/>
        <w:rPr>
          <w:sz w:val="18"/>
        </w:rPr>
      </w:pPr>
    </w:p>
    <w:p w:rsidR="003F5784" w14:paraId="39C850A5" w14:textId="55084419">
      <w:pPr>
        <w:pStyle w:val="Heading1"/>
        <w:spacing w:line="244" w:lineRule="auto"/>
        <w:ind w:right="273"/>
      </w:pPr>
      <w:r>
        <w:t>NAEP</w:t>
      </w:r>
      <w:r>
        <w:rPr>
          <w:spacing w:val="-16"/>
        </w:rPr>
        <w:t xml:space="preserve"> </w:t>
      </w:r>
      <w:r>
        <w:t>Technical Documentation</w:t>
      </w:r>
      <w:r w:rsidR="003F61B6">
        <w:t xml:space="preserve"> </w:t>
      </w:r>
      <w:r>
        <w:t>School Sample Selection for the 2022 Fourth- and Eighth-Grade</w:t>
      </w:r>
      <w:r>
        <w:rPr>
          <w:spacing w:val="40"/>
        </w:rPr>
        <w:t xml:space="preserve"> </w:t>
      </w:r>
      <w:r>
        <w:t>Private</w:t>
      </w:r>
      <w:r>
        <w:rPr>
          <w:spacing w:val="40"/>
        </w:rPr>
        <w:t xml:space="preserve"> </w:t>
      </w:r>
      <w:r>
        <w:t>School</w:t>
      </w:r>
      <w:r>
        <w:rPr>
          <w:spacing w:val="40"/>
        </w:rPr>
        <w:t xml:space="preserve"> </w:t>
      </w:r>
      <w:r>
        <w:t>National Assessment</w:t>
      </w:r>
      <w:r>
        <w:rPr>
          <w:spacing w:val="40"/>
        </w:rPr>
        <w:t xml:space="preserve"> </w:t>
      </w:r>
      <w:r>
        <w:t>in</w:t>
      </w:r>
      <w:r>
        <w:rPr>
          <w:spacing w:val="40"/>
        </w:rPr>
        <w:t xml:space="preserve"> </w:t>
      </w:r>
      <w:r>
        <w:t>Mathematics</w:t>
      </w:r>
      <w:r>
        <w:rPr>
          <w:spacing w:val="40"/>
        </w:rPr>
        <w:t xml:space="preserve"> </w:t>
      </w:r>
      <w:r>
        <w:t>and</w:t>
      </w:r>
      <w:r>
        <w:rPr>
          <w:spacing w:val="40"/>
        </w:rPr>
        <w:t xml:space="preserve"> </w:t>
      </w:r>
      <w:r>
        <w:t>Reading</w:t>
      </w:r>
    </w:p>
    <w:p w:rsidR="003F5784" w14:paraId="54CA9086" w14:textId="77777777">
      <w:pPr>
        <w:pStyle w:val="BodyText"/>
        <w:spacing w:before="7"/>
        <w:rPr>
          <w:b/>
          <w:sz w:val="16"/>
        </w:rPr>
      </w:pPr>
    </w:p>
    <w:p w:rsidR="003F5784" w14:paraId="7A174290" w14:textId="77777777">
      <w:pPr>
        <w:rPr>
          <w:sz w:val="16"/>
        </w:rPr>
        <w:sectPr>
          <w:type w:val="continuous"/>
          <w:pgSz w:w="15840" w:h="12240" w:orient="landscape"/>
          <w:pgMar w:top="480" w:right="440" w:bottom="460" w:left="460" w:header="284" w:footer="275" w:gutter="0"/>
          <w:cols w:space="720"/>
        </w:sectPr>
      </w:pPr>
    </w:p>
    <w:p w:rsidR="003F5784" w14:paraId="69617F01" w14:textId="77777777">
      <w:pPr>
        <w:pStyle w:val="BodyText"/>
        <w:spacing w:before="96" w:line="232" w:lineRule="auto"/>
        <w:ind w:left="109" w:right="38"/>
      </w:pPr>
      <w:r>
        <w:t>The sampled schools for the fourth- and eighth-grade private school national assessments in mathematics and reading came from two frames:</w:t>
      </w:r>
      <w:r>
        <w:rPr>
          <w:spacing w:val="-4"/>
        </w:rPr>
        <w:t xml:space="preserve"> </w:t>
      </w:r>
      <w:r>
        <w:t>the</w:t>
      </w:r>
      <w:r>
        <w:rPr>
          <w:spacing w:val="-4"/>
        </w:rPr>
        <w:t xml:space="preserve"> </w:t>
      </w:r>
      <w:r>
        <w:t>primary</w:t>
      </w:r>
      <w:r>
        <w:rPr>
          <w:spacing w:val="-4"/>
        </w:rPr>
        <w:t xml:space="preserve"> </w:t>
      </w:r>
      <w:r>
        <w:t>private</w:t>
      </w:r>
      <w:r>
        <w:rPr>
          <w:spacing w:val="-4"/>
        </w:rPr>
        <w:t xml:space="preserve"> </w:t>
      </w:r>
      <w:r>
        <w:t>school</w:t>
      </w:r>
      <w:r>
        <w:rPr>
          <w:spacing w:val="-4"/>
        </w:rPr>
        <w:t xml:space="preserve"> </w:t>
      </w:r>
      <w:r>
        <w:t>sample</w:t>
      </w:r>
      <w:r>
        <w:rPr>
          <w:spacing w:val="-4"/>
        </w:rPr>
        <w:t xml:space="preserve"> </w:t>
      </w:r>
      <w:r>
        <w:t>frame</w:t>
      </w:r>
      <w:r>
        <w:rPr>
          <w:spacing w:val="-4"/>
        </w:rPr>
        <w:t xml:space="preserve"> </w:t>
      </w:r>
      <w:r>
        <w:t>constructed</w:t>
      </w:r>
      <w:r>
        <w:rPr>
          <w:spacing w:val="-4"/>
        </w:rPr>
        <w:t xml:space="preserve"> </w:t>
      </w:r>
      <w:r>
        <w:t>from</w:t>
      </w:r>
      <w:r>
        <w:rPr>
          <w:spacing w:val="-4"/>
        </w:rPr>
        <w:t xml:space="preserve"> </w:t>
      </w:r>
      <w:r>
        <w:t>the</w:t>
      </w:r>
      <w:r>
        <w:rPr>
          <w:spacing w:val="-4"/>
        </w:rPr>
        <w:t xml:space="preserve"> </w:t>
      </w:r>
      <w:r>
        <w:rPr>
          <w:color w:val="0066CC"/>
        </w:rPr>
        <w:t>Private</w:t>
      </w:r>
      <w:r>
        <w:rPr>
          <w:color w:val="0066CC"/>
          <w:spacing w:val="-4"/>
        </w:rPr>
        <w:t xml:space="preserve"> </w:t>
      </w:r>
      <w:r>
        <w:rPr>
          <w:color w:val="0066CC"/>
        </w:rPr>
        <w:t>School</w:t>
      </w:r>
      <w:r>
        <w:rPr>
          <w:color w:val="0066CC"/>
          <w:spacing w:val="-4"/>
        </w:rPr>
        <w:t xml:space="preserve"> </w:t>
      </w:r>
      <w:r>
        <w:rPr>
          <w:color w:val="0066CC"/>
        </w:rPr>
        <w:t>Universe</w:t>
      </w:r>
      <w:r>
        <w:rPr>
          <w:color w:val="0066CC"/>
          <w:spacing w:val="-4"/>
        </w:rPr>
        <w:t xml:space="preserve"> </w:t>
      </w:r>
      <w:r>
        <w:rPr>
          <w:color w:val="0066CC"/>
        </w:rPr>
        <w:t>Survey</w:t>
      </w:r>
      <w:r>
        <w:rPr>
          <w:color w:val="0066CC"/>
          <w:spacing w:val="-4"/>
        </w:rPr>
        <w:t xml:space="preserve"> </w:t>
      </w:r>
      <w:r>
        <w:rPr>
          <w:color w:val="0066CC"/>
        </w:rPr>
        <w:t>(PSS)</w:t>
      </w:r>
      <w:r>
        <w:rPr>
          <w:color w:val="0066CC"/>
          <w:spacing w:val="-4"/>
        </w:rPr>
        <w:t xml:space="preserve"> </w:t>
      </w:r>
      <w:r>
        <w:t>file</w:t>
      </w:r>
      <w:r>
        <w:rPr>
          <w:spacing w:val="-4"/>
        </w:rPr>
        <w:t xml:space="preserve"> </w:t>
      </w:r>
      <w:r>
        <w:t>and</w:t>
      </w:r>
      <w:r>
        <w:rPr>
          <w:spacing w:val="-4"/>
        </w:rPr>
        <w:t xml:space="preserve"> </w:t>
      </w:r>
      <w:r>
        <w:t>the</w:t>
      </w:r>
      <w:r>
        <w:rPr>
          <w:spacing w:val="-4"/>
        </w:rPr>
        <w:t xml:space="preserve"> </w:t>
      </w:r>
      <w:r>
        <w:t>supplemental</w:t>
      </w:r>
      <w:r>
        <w:rPr>
          <w:spacing w:val="-4"/>
        </w:rPr>
        <w:t xml:space="preserve"> </w:t>
      </w:r>
      <w:r>
        <w:t>new- school</w:t>
      </w:r>
      <w:r>
        <w:rPr>
          <w:spacing w:val="-1"/>
        </w:rPr>
        <w:t xml:space="preserve"> </w:t>
      </w:r>
      <w:r>
        <w:t>sample</w:t>
      </w:r>
      <w:r>
        <w:rPr>
          <w:spacing w:val="-1"/>
        </w:rPr>
        <w:t xml:space="preserve"> </w:t>
      </w:r>
      <w:r>
        <w:t>frame.</w:t>
      </w:r>
      <w:r>
        <w:rPr>
          <w:spacing w:val="-1"/>
        </w:rPr>
        <w:t xml:space="preserve"> </w:t>
      </w:r>
      <w:r>
        <w:t>Schools</w:t>
      </w:r>
      <w:r>
        <w:rPr>
          <w:spacing w:val="-1"/>
        </w:rPr>
        <w:t xml:space="preserve"> </w:t>
      </w:r>
      <w:r>
        <w:t>were</w:t>
      </w:r>
      <w:r>
        <w:rPr>
          <w:spacing w:val="-1"/>
        </w:rPr>
        <w:t xml:space="preserve"> </w:t>
      </w:r>
      <w:r>
        <w:t>sampled</w:t>
      </w:r>
      <w:r>
        <w:rPr>
          <w:spacing w:val="-1"/>
        </w:rPr>
        <w:t xml:space="preserve"> </w:t>
      </w:r>
      <w:r>
        <w:t>from</w:t>
      </w:r>
      <w:r>
        <w:rPr>
          <w:spacing w:val="-1"/>
        </w:rPr>
        <w:t xml:space="preserve"> </w:t>
      </w:r>
      <w:r>
        <w:t>each</w:t>
      </w:r>
      <w:r>
        <w:rPr>
          <w:spacing w:val="-1"/>
        </w:rPr>
        <w:t xml:space="preserve"> </w:t>
      </w:r>
      <w:r>
        <w:t>school</w:t>
      </w:r>
      <w:r>
        <w:rPr>
          <w:spacing w:val="-1"/>
        </w:rPr>
        <w:t xml:space="preserve"> </w:t>
      </w:r>
      <w:r>
        <w:t>frame</w:t>
      </w:r>
      <w:r>
        <w:rPr>
          <w:spacing w:val="-1"/>
        </w:rPr>
        <w:t xml:space="preserve"> </w:t>
      </w:r>
      <w:r>
        <w:t>with</w:t>
      </w:r>
      <w:r>
        <w:rPr>
          <w:spacing w:val="-1"/>
        </w:rPr>
        <w:t xml:space="preserve"> </w:t>
      </w:r>
      <w:r>
        <w:rPr>
          <w:color w:val="0066CC"/>
        </w:rPr>
        <w:t>probability</w:t>
      </w:r>
      <w:r>
        <w:rPr>
          <w:color w:val="0066CC"/>
          <w:spacing w:val="-1"/>
        </w:rPr>
        <w:t xml:space="preserve"> </w:t>
      </w:r>
      <w:r>
        <w:rPr>
          <w:color w:val="0066CC"/>
        </w:rPr>
        <w:t>proportional-to-size</w:t>
      </w:r>
      <w:r>
        <w:rPr>
          <w:color w:val="0066CC"/>
          <w:spacing w:val="-1"/>
        </w:rPr>
        <w:t xml:space="preserve"> </w:t>
      </w:r>
      <w:r>
        <w:rPr>
          <w:color w:val="0066CC"/>
        </w:rPr>
        <w:t>(PPS)</w:t>
      </w:r>
      <w:r>
        <w:rPr>
          <w:color w:val="0066CC"/>
          <w:spacing w:val="-1"/>
        </w:rPr>
        <w:t xml:space="preserve"> </w:t>
      </w:r>
      <w:r>
        <w:t>using</w:t>
      </w:r>
      <w:r>
        <w:rPr>
          <w:spacing w:val="-1"/>
        </w:rPr>
        <w:t xml:space="preserve"> </w:t>
      </w:r>
      <w:r>
        <w:t>systematic</w:t>
      </w:r>
      <w:r>
        <w:rPr>
          <w:spacing w:val="-1"/>
        </w:rPr>
        <w:t xml:space="preserve"> </w:t>
      </w:r>
      <w:r>
        <w:t xml:space="preserve">sampling. Prior to sampling, schools in each frame were sorted by the appropriate implicit stratification variables in a </w:t>
      </w:r>
      <w:r>
        <w:rPr>
          <w:color w:val="0066CC"/>
        </w:rPr>
        <w:t xml:space="preserve">serpentine </w:t>
      </w:r>
      <w:r>
        <w:t>order within each explicit</w:t>
      </w:r>
      <w:r>
        <w:rPr>
          <w:spacing w:val="-12"/>
        </w:rPr>
        <w:t xml:space="preserve"> </w:t>
      </w:r>
      <w:r>
        <w:t>sampling</w:t>
      </w:r>
      <w:r>
        <w:rPr>
          <w:spacing w:val="-6"/>
        </w:rPr>
        <w:t xml:space="preserve"> </w:t>
      </w:r>
      <w:r>
        <w:t>stratum.</w:t>
      </w:r>
      <w:r>
        <w:rPr>
          <w:spacing w:val="-6"/>
        </w:rPr>
        <w:t xml:space="preserve"> </w:t>
      </w:r>
      <w:r>
        <w:t>(For</w:t>
      </w:r>
      <w:r>
        <w:rPr>
          <w:spacing w:val="-6"/>
        </w:rPr>
        <w:t xml:space="preserve"> </w:t>
      </w:r>
      <w:r>
        <w:t>details</w:t>
      </w:r>
      <w:r>
        <w:rPr>
          <w:spacing w:val="-6"/>
        </w:rPr>
        <w:t xml:space="preserve"> </w:t>
      </w:r>
      <w:r>
        <w:t>on</w:t>
      </w:r>
      <w:r>
        <w:rPr>
          <w:spacing w:val="-6"/>
        </w:rPr>
        <w:t xml:space="preserve"> </w:t>
      </w:r>
      <w:r>
        <w:t>explicit</w:t>
      </w:r>
      <w:r>
        <w:rPr>
          <w:spacing w:val="-6"/>
        </w:rPr>
        <w:t xml:space="preserve"> </w:t>
      </w:r>
      <w:r>
        <w:t>and</w:t>
      </w:r>
      <w:r>
        <w:rPr>
          <w:spacing w:val="-6"/>
        </w:rPr>
        <w:t xml:space="preserve"> </w:t>
      </w:r>
      <w:r>
        <w:t>implicit</w:t>
      </w:r>
      <w:r>
        <w:rPr>
          <w:spacing w:val="-6"/>
        </w:rPr>
        <w:t xml:space="preserve"> </w:t>
      </w:r>
      <w:r>
        <w:t>strata</w:t>
      </w:r>
      <w:r>
        <w:rPr>
          <w:spacing w:val="-6"/>
        </w:rPr>
        <w:t xml:space="preserve"> </w:t>
      </w:r>
      <w:r>
        <w:t>used</w:t>
      </w:r>
      <w:r>
        <w:rPr>
          <w:spacing w:val="-6"/>
        </w:rPr>
        <w:t xml:space="preserve"> </w:t>
      </w:r>
      <w:r>
        <w:t>for</w:t>
      </w:r>
      <w:r>
        <w:rPr>
          <w:spacing w:val="-6"/>
        </w:rPr>
        <w:t xml:space="preserve"> </w:t>
      </w:r>
      <w:r>
        <w:t>these</w:t>
      </w:r>
      <w:r>
        <w:rPr>
          <w:spacing w:val="-6"/>
        </w:rPr>
        <w:t xml:space="preserve"> </w:t>
      </w:r>
      <w:r>
        <w:t>samples</w:t>
      </w:r>
      <w:r>
        <w:rPr>
          <w:spacing w:val="-6"/>
        </w:rPr>
        <w:t xml:space="preserve"> </w:t>
      </w:r>
      <w:r>
        <w:t>see</w:t>
      </w:r>
      <w:r>
        <w:rPr>
          <w:spacing w:val="-6"/>
        </w:rPr>
        <w:t xml:space="preserve"> </w:t>
      </w:r>
      <w:r>
        <w:t>the</w:t>
      </w:r>
      <w:r>
        <w:rPr>
          <w:spacing w:val="-6"/>
        </w:rPr>
        <w:t xml:space="preserve"> </w:t>
      </w:r>
      <w:r>
        <w:t>stratification</w:t>
      </w:r>
      <w:r>
        <w:rPr>
          <w:spacing w:val="-6"/>
        </w:rPr>
        <w:t xml:space="preserve"> </w:t>
      </w:r>
      <w:r>
        <w:t>page.)</w:t>
      </w:r>
      <w:r>
        <w:rPr>
          <w:spacing w:val="-14"/>
        </w:rPr>
        <w:t xml:space="preserve"> </w:t>
      </w:r>
      <w:r>
        <w:t>A</w:t>
      </w:r>
      <w:r>
        <w:rPr>
          <w:spacing w:val="-13"/>
        </w:rPr>
        <w:t xml:space="preserve"> </w:t>
      </w:r>
      <w:r>
        <w:t>school's</w:t>
      </w:r>
      <w:r>
        <w:rPr>
          <w:spacing w:val="-6"/>
        </w:rPr>
        <w:t xml:space="preserve"> </w:t>
      </w:r>
      <w:r>
        <w:t>measure</w:t>
      </w:r>
      <w:r>
        <w:rPr>
          <w:spacing w:val="-6"/>
        </w:rPr>
        <w:t xml:space="preserve"> </w:t>
      </w:r>
      <w:r>
        <w:t>of size was a complex function of the school's estimated grade enrollment. Only one hit was allowed for each school.</w:t>
      </w:r>
    </w:p>
    <w:p w:rsidR="003F5784" w14:paraId="5C522A65" w14:textId="77777777">
      <w:pPr>
        <w:pStyle w:val="BodyText"/>
        <w:spacing w:before="96" w:line="232" w:lineRule="auto"/>
        <w:ind w:left="109" w:right="18"/>
      </w:pPr>
      <w:r>
        <w:br w:type="column"/>
        <w:t>Computation</w:t>
      </w:r>
      <w:r>
        <w:rPr>
          <w:spacing w:val="-14"/>
        </w:rPr>
        <w:t xml:space="preserve"> </w:t>
      </w:r>
      <w:r>
        <w:t>of</w:t>
      </w:r>
      <w:r>
        <w:rPr>
          <w:spacing w:val="-13"/>
        </w:rPr>
        <w:t xml:space="preserve"> </w:t>
      </w:r>
      <w:r>
        <w:t>Measures</w:t>
      </w:r>
      <w:r>
        <w:rPr>
          <w:spacing w:val="-13"/>
        </w:rPr>
        <w:t xml:space="preserve"> </w:t>
      </w:r>
      <w:r>
        <w:t xml:space="preserve">of </w:t>
      </w:r>
      <w:r>
        <w:rPr>
          <w:spacing w:val="-4"/>
        </w:rPr>
        <w:t>Size</w:t>
      </w:r>
    </w:p>
    <w:p w:rsidR="003F5784" w14:paraId="57314725" w14:textId="77777777">
      <w:pPr>
        <w:pStyle w:val="BodyText"/>
        <w:spacing w:before="235" w:line="232" w:lineRule="auto"/>
        <w:ind w:left="109" w:right="18"/>
      </w:pPr>
      <w:r>
        <w:t>School</w:t>
      </w:r>
      <w:r>
        <w:rPr>
          <w:spacing w:val="-14"/>
        </w:rPr>
        <w:t xml:space="preserve"> </w:t>
      </w:r>
      <w:r>
        <w:t>Sample</w:t>
      </w:r>
      <w:r>
        <w:rPr>
          <w:spacing w:val="-13"/>
        </w:rPr>
        <w:t xml:space="preserve"> </w:t>
      </w:r>
      <w:r>
        <w:t>Sizes:</w:t>
      </w:r>
      <w:r>
        <w:rPr>
          <w:spacing w:val="-13"/>
        </w:rPr>
        <w:t xml:space="preserve"> </w:t>
      </w:r>
      <w:r>
        <w:t>Frame and New School</w:t>
      </w:r>
    </w:p>
    <w:p w:rsidR="003F5784" w14:paraId="18834A35" w14:textId="77777777">
      <w:pPr>
        <w:spacing w:line="232" w:lineRule="auto"/>
        <w:sectPr>
          <w:type w:val="continuous"/>
          <w:pgSz w:w="15840" w:h="12240" w:orient="landscape"/>
          <w:pgMar w:top="480" w:right="440" w:bottom="460" w:left="460" w:header="284" w:footer="275" w:gutter="0"/>
          <w:cols w:num="2" w:space="720" w:equalWidth="0">
            <w:col w:w="11926" w:space="234"/>
            <w:col w:w="2780"/>
          </w:cols>
        </w:sectPr>
      </w:pPr>
    </w:p>
    <w:p w:rsidR="003F5784" w14:paraId="7FC29F14" w14:textId="77777777">
      <w:pPr>
        <w:pStyle w:val="BodyText"/>
        <w:spacing w:before="211" w:line="232" w:lineRule="auto"/>
        <w:ind w:left="109"/>
      </w:pPr>
      <w:r>
        <w:t>Schools</w:t>
      </w:r>
      <w:r>
        <w:rPr>
          <w:spacing w:val="-6"/>
        </w:rPr>
        <w:t xml:space="preserve"> </w:t>
      </w:r>
      <w:r>
        <w:t>from</w:t>
      </w:r>
      <w:r>
        <w:rPr>
          <w:spacing w:val="-6"/>
        </w:rPr>
        <w:t xml:space="preserve"> </w:t>
      </w:r>
      <w:r>
        <w:t>the</w:t>
      </w:r>
      <w:r>
        <w:rPr>
          <w:spacing w:val="-6"/>
        </w:rPr>
        <w:t xml:space="preserve"> </w:t>
      </w:r>
      <w:r>
        <w:t>PSS-based</w:t>
      </w:r>
      <w:r>
        <w:rPr>
          <w:spacing w:val="-6"/>
        </w:rPr>
        <w:t xml:space="preserve"> </w:t>
      </w:r>
      <w:r>
        <w:t>frame</w:t>
      </w:r>
      <w:r>
        <w:rPr>
          <w:spacing w:val="-6"/>
        </w:rPr>
        <w:t xml:space="preserve"> </w:t>
      </w:r>
      <w:r>
        <w:t>were</w:t>
      </w:r>
      <w:r>
        <w:rPr>
          <w:spacing w:val="-6"/>
        </w:rPr>
        <w:t xml:space="preserve"> </w:t>
      </w:r>
      <w:r>
        <w:t>sampled</w:t>
      </w:r>
      <w:r>
        <w:rPr>
          <w:spacing w:val="-6"/>
        </w:rPr>
        <w:t xml:space="preserve"> </w:t>
      </w:r>
      <w:r>
        <w:t>at</w:t>
      </w:r>
      <w:r>
        <w:rPr>
          <w:spacing w:val="-6"/>
        </w:rPr>
        <w:t xml:space="preserve"> </w:t>
      </w:r>
      <w:r>
        <w:t>a</w:t>
      </w:r>
      <w:r>
        <w:rPr>
          <w:spacing w:val="-6"/>
        </w:rPr>
        <w:t xml:space="preserve"> </w:t>
      </w:r>
      <w:r>
        <w:t>rate</w:t>
      </w:r>
      <w:r>
        <w:rPr>
          <w:spacing w:val="-6"/>
        </w:rPr>
        <w:t xml:space="preserve"> </w:t>
      </w:r>
      <w:r>
        <w:t>that</w:t>
      </w:r>
      <w:r>
        <w:rPr>
          <w:spacing w:val="-6"/>
        </w:rPr>
        <w:t xml:space="preserve"> </w:t>
      </w:r>
      <w:r>
        <w:t>would</w:t>
      </w:r>
      <w:r>
        <w:rPr>
          <w:spacing w:val="-6"/>
        </w:rPr>
        <w:t xml:space="preserve"> </w:t>
      </w:r>
      <w:r>
        <w:t>yield</w:t>
      </w:r>
      <w:r>
        <w:rPr>
          <w:spacing w:val="-6"/>
        </w:rPr>
        <w:t xml:space="preserve"> </w:t>
      </w:r>
      <w:r>
        <w:t>a</w:t>
      </w:r>
      <w:r>
        <w:rPr>
          <w:spacing w:val="-6"/>
        </w:rPr>
        <w:t xml:space="preserve"> </w:t>
      </w:r>
      <w:r>
        <w:t>national</w:t>
      </w:r>
      <w:r>
        <w:rPr>
          <w:spacing w:val="-6"/>
        </w:rPr>
        <w:t xml:space="preserve"> </w:t>
      </w:r>
      <w:r>
        <w:t>sample</w:t>
      </w:r>
      <w:r>
        <w:rPr>
          <w:spacing w:val="-6"/>
        </w:rPr>
        <w:t xml:space="preserve"> </w:t>
      </w:r>
      <w:r>
        <w:t>of</w:t>
      </w:r>
      <w:r>
        <w:rPr>
          <w:spacing w:val="-6"/>
        </w:rPr>
        <w:t xml:space="preserve"> </w:t>
      </w:r>
      <w:r>
        <w:t>4,700</w:t>
      </w:r>
      <w:r>
        <w:rPr>
          <w:spacing w:val="-6"/>
        </w:rPr>
        <w:t xml:space="preserve"> </w:t>
      </w:r>
      <w:r>
        <w:t>assessed</w:t>
      </w:r>
      <w:r>
        <w:rPr>
          <w:spacing w:val="-6"/>
        </w:rPr>
        <w:t xml:space="preserve"> </w:t>
      </w:r>
      <w:r>
        <w:t>students</w:t>
      </w:r>
      <w:r>
        <w:rPr>
          <w:spacing w:val="-6"/>
        </w:rPr>
        <w:t xml:space="preserve"> </w:t>
      </w:r>
      <w:r>
        <w:t>(2,350</w:t>
      </w:r>
      <w:r>
        <w:rPr>
          <w:spacing w:val="-6"/>
        </w:rPr>
        <w:t xml:space="preserve"> </w:t>
      </w:r>
      <w:r>
        <w:t>each</w:t>
      </w:r>
      <w:r>
        <w:rPr>
          <w:spacing w:val="-6"/>
        </w:rPr>
        <w:t xml:space="preserve"> </w:t>
      </w:r>
      <w:r>
        <w:t>from</w:t>
      </w:r>
      <w:r>
        <w:rPr>
          <w:spacing w:val="-6"/>
        </w:rPr>
        <w:t xml:space="preserve"> </w:t>
      </w:r>
      <w:r>
        <w:t>the</w:t>
      </w:r>
      <w:r>
        <w:rPr>
          <w:spacing w:val="-6"/>
        </w:rPr>
        <w:t xml:space="preserve"> </w:t>
      </w:r>
      <w:r>
        <w:t>Catholic</w:t>
      </w:r>
      <w:r>
        <w:rPr>
          <w:spacing w:val="-6"/>
        </w:rPr>
        <w:t xml:space="preserve"> </w:t>
      </w:r>
      <w:r>
        <w:t>and</w:t>
      </w:r>
      <w:r>
        <w:rPr>
          <w:spacing w:val="-6"/>
        </w:rPr>
        <w:t xml:space="preserve"> </w:t>
      </w:r>
      <w:r>
        <w:t>non-Catholic</w:t>
      </w:r>
      <w:r>
        <w:rPr>
          <w:spacing w:val="-6"/>
        </w:rPr>
        <w:t xml:space="preserve"> </w:t>
      </w:r>
      <w:r>
        <w:t>school strata) at grade 4 and at grade 8. Catholic schools from the new-school frames were sampled at the same rate as those from the PSS-based frames.</w:t>
      </w:r>
    </w:p>
    <w:p w:rsidR="003F5784" w14:paraId="685DBB93" w14:textId="77777777">
      <w:pPr>
        <w:pStyle w:val="BodyText"/>
      </w:pPr>
    </w:p>
    <w:p w:rsidR="003F5784" w14:paraId="6EF1D33C" w14:textId="77777777">
      <w:pPr>
        <w:pStyle w:val="BodyText"/>
      </w:pPr>
    </w:p>
    <w:p w:rsidR="003F5784" w14:paraId="4E41A706" w14:textId="77777777">
      <w:pPr>
        <w:pStyle w:val="BodyText"/>
        <w:spacing w:before="145"/>
      </w:pPr>
    </w:p>
    <w:p w:rsidR="003F5784" w14:paraId="47B15F54" w14:textId="77777777">
      <w:pPr>
        <w:ind w:left="1956"/>
        <w:rPr>
          <w:sz w:val="18"/>
        </w:rPr>
      </w:pPr>
      <w:hyperlink r:id="rId100">
        <w:r>
          <w:rPr>
            <w:spacing w:val="-2"/>
            <w:w w:val="105"/>
            <w:sz w:val="18"/>
          </w:rPr>
          <w:t>http://nces.ed.gov/nationsreportcard/tdw/sample_design/2022/school_sample_selection_for_the_2022_fourth_and_eighth_grade_private_school_national_assessment.aspx</w:t>
        </w:r>
      </w:hyperlink>
    </w:p>
    <w:p w:rsidR="003F5784" w14:paraId="7AA304A9" w14:textId="77777777">
      <w:pPr>
        <w:pStyle w:val="BodyText"/>
        <w:spacing w:before="11"/>
        <w:rPr>
          <w:sz w:val="14"/>
        </w:rPr>
      </w:pPr>
      <w:r>
        <w:rPr>
          <w:noProof/>
        </w:rPr>
        <mc:AlternateContent>
          <mc:Choice Requires="wps">
            <w:drawing>
              <wp:anchor distT="0" distB="0" distL="0" distR="0" simplePos="0" relativeHeight="251812864" behindDoc="1" locked="0" layoutInCell="1" allowOverlap="1">
                <wp:simplePos x="0" y="0"/>
                <wp:positionH relativeFrom="page">
                  <wp:posOffset>361937</wp:posOffset>
                </wp:positionH>
                <wp:positionV relativeFrom="paragraph">
                  <wp:posOffset>124500</wp:posOffset>
                </wp:positionV>
                <wp:extent cx="9339580" cy="8890"/>
                <wp:effectExtent l="0" t="0" r="0" b="0"/>
                <wp:wrapTopAndBottom/>
                <wp:docPr id="119" name="Graphic 119"/>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8280" y="8267"/>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19" o:spid="_x0000_s1077" style="width:735.4pt;height:0.7pt;margin-top:9.8pt;margin-left:28.5pt;mso-position-horizontal-relative:page;mso-wrap-distance-bottom:0;mso-wrap-distance-left:0;mso-wrap-distance-right:0;mso-wrap-distance-top:0;mso-wrap-style:square;position:absolute;visibility:visible;v-text-anchor:top;z-index:-251502592" coordsize="9339580,8890" path="m9338970,l9335110,l8280,,,,,8267l8280,8267l9335110,8267l9338970,8267l9338970,xe" fillcolor="gray" stroked="f">
                <v:path arrowok="t"/>
                <w10:wrap type="topAndBottom"/>
              </v:shape>
            </w:pict>
          </mc:Fallback>
        </mc:AlternateContent>
      </w:r>
    </w:p>
    <w:p w:rsidR="003F5784" w14:paraId="5AF6BDDB" w14:textId="77777777">
      <w:pPr>
        <w:pStyle w:val="BodyText"/>
        <w:rPr>
          <w:sz w:val="18"/>
        </w:rPr>
      </w:pPr>
    </w:p>
    <w:p w:rsidR="003F5784" w14:paraId="46DE5B24" w14:textId="77777777">
      <w:pPr>
        <w:pStyle w:val="BodyText"/>
        <w:spacing w:before="206"/>
        <w:rPr>
          <w:sz w:val="18"/>
        </w:rPr>
      </w:pPr>
    </w:p>
    <w:p w:rsidR="003F5784" w14:paraId="5B5B5316" w14:textId="39294CB2">
      <w:pPr>
        <w:pStyle w:val="Heading1"/>
        <w:spacing w:line="244" w:lineRule="auto"/>
        <w:ind w:right="764"/>
      </w:pPr>
      <w:r>
        <w:t>NAEP</w:t>
      </w:r>
      <w:r>
        <w:rPr>
          <w:spacing w:val="-2"/>
        </w:rPr>
        <w:t xml:space="preserve"> </w:t>
      </w:r>
      <w:r>
        <w:t>Technical Documentation</w:t>
      </w:r>
      <w:r w:rsidR="003F61B6">
        <w:t xml:space="preserve"> </w:t>
      </w:r>
      <w:r>
        <w:t>Computation of Measures of Size for the 2022 Fourth- and Eighth-Grade Private School National</w:t>
      </w:r>
      <w:r>
        <w:rPr>
          <w:spacing w:val="-3"/>
        </w:rPr>
        <w:t xml:space="preserve"> </w:t>
      </w:r>
      <w:r>
        <w:t>Assessment in Mathematics and Reading</w:t>
      </w:r>
    </w:p>
    <w:p w:rsidR="003F5784" w14:paraId="598F591E" w14:textId="77777777">
      <w:pPr>
        <w:spacing w:line="244" w:lineRule="auto"/>
        <w:sectPr>
          <w:type w:val="continuous"/>
          <w:pgSz w:w="15840" w:h="12240" w:orient="landscape"/>
          <w:pgMar w:top="480" w:right="440" w:bottom="460" w:left="460" w:header="284" w:footer="275" w:gutter="0"/>
          <w:cols w:space="720"/>
        </w:sectPr>
      </w:pPr>
    </w:p>
    <w:p w:rsidR="003F5784" w14:paraId="6B5AC3D7" w14:textId="77777777">
      <w:pPr>
        <w:pStyle w:val="BodyText"/>
        <w:spacing w:before="78" w:line="232" w:lineRule="auto"/>
        <w:ind w:left="109"/>
      </w:pPr>
      <w:r>
        <w:t>There</w:t>
      </w:r>
      <w:r>
        <w:rPr>
          <w:spacing w:val="-6"/>
        </w:rPr>
        <w:t xml:space="preserve"> </w:t>
      </w:r>
      <w:r>
        <w:t>were</w:t>
      </w:r>
      <w:r>
        <w:rPr>
          <w:spacing w:val="-6"/>
        </w:rPr>
        <w:t xml:space="preserve"> </w:t>
      </w:r>
      <w:r>
        <w:t>five</w:t>
      </w:r>
      <w:r>
        <w:rPr>
          <w:spacing w:val="-6"/>
        </w:rPr>
        <w:t xml:space="preserve"> </w:t>
      </w:r>
      <w:r>
        <w:t>objectives</w:t>
      </w:r>
      <w:r>
        <w:rPr>
          <w:spacing w:val="-6"/>
        </w:rPr>
        <w:t xml:space="preserve"> </w:t>
      </w:r>
      <w:r>
        <w:t>underlying</w:t>
      </w:r>
      <w:r>
        <w:rPr>
          <w:spacing w:val="-6"/>
        </w:rPr>
        <w:t xml:space="preserve"> </w:t>
      </w:r>
      <w:r>
        <w:t>the</w:t>
      </w:r>
      <w:r>
        <w:rPr>
          <w:spacing w:val="-6"/>
        </w:rPr>
        <w:t xml:space="preserve"> </w:t>
      </w:r>
      <w:r>
        <w:t>process</w:t>
      </w:r>
      <w:r>
        <w:rPr>
          <w:spacing w:val="-6"/>
        </w:rPr>
        <w:t xml:space="preserve"> </w:t>
      </w:r>
      <w:r>
        <w:t>for</w:t>
      </w:r>
      <w:r>
        <w:rPr>
          <w:spacing w:val="-6"/>
        </w:rPr>
        <w:t xml:space="preserve"> </w:t>
      </w:r>
      <w:r>
        <w:t>determining</w:t>
      </w:r>
      <w:r>
        <w:rPr>
          <w:spacing w:val="-6"/>
        </w:rPr>
        <w:t xml:space="preserve"> </w:t>
      </w:r>
      <w:r>
        <w:t>the</w:t>
      </w:r>
      <w:r>
        <w:rPr>
          <w:spacing w:val="-6"/>
        </w:rPr>
        <w:t xml:space="preserve"> </w:t>
      </w:r>
      <w:r>
        <w:t>probability</w:t>
      </w:r>
      <w:r>
        <w:rPr>
          <w:spacing w:val="-6"/>
        </w:rPr>
        <w:t xml:space="preserve"> </w:t>
      </w:r>
      <w:r>
        <w:t>of</w:t>
      </w:r>
      <w:r>
        <w:rPr>
          <w:spacing w:val="-6"/>
        </w:rPr>
        <w:t xml:space="preserve"> </w:t>
      </w:r>
      <w:r>
        <w:t>selection</w:t>
      </w:r>
      <w:r>
        <w:rPr>
          <w:spacing w:val="-6"/>
        </w:rPr>
        <w:t xml:space="preserve"> </w:t>
      </w:r>
      <w:r>
        <w:t>for</w:t>
      </w:r>
      <w:r>
        <w:rPr>
          <w:spacing w:val="-6"/>
        </w:rPr>
        <w:t xml:space="preserve"> </w:t>
      </w:r>
      <w:r>
        <w:t>each</w:t>
      </w:r>
      <w:r>
        <w:rPr>
          <w:spacing w:val="-6"/>
        </w:rPr>
        <w:t xml:space="preserve"> </w:t>
      </w:r>
      <w:r>
        <w:t>school</w:t>
      </w:r>
      <w:r>
        <w:rPr>
          <w:spacing w:val="-6"/>
        </w:rPr>
        <w:t xml:space="preserve"> </w:t>
      </w:r>
      <w:r>
        <w:t>and</w:t>
      </w:r>
      <w:r>
        <w:rPr>
          <w:spacing w:val="-6"/>
        </w:rPr>
        <w:t xml:space="preserve"> </w:t>
      </w:r>
      <w:r>
        <w:t>for</w:t>
      </w:r>
      <w:r>
        <w:rPr>
          <w:spacing w:val="-6"/>
        </w:rPr>
        <w:t xml:space="preserve"> </w:t>
      </w:r>
      <w:r>
        <w:t>setting</w:t>
      </w:r>
      <w:r>
        <w:rPr>
          <w:spacing w:val="-6"/>
        </w:rPr>
        <w:t xml:space="preserve"> </w:t>
      </w:r>
      <w:r>
        <w:t>the</w:t>
      </w:r>
      <w:r>
        <w:rPr>
          <w:spacing w:val="-6"/>
        </w:rPr>
        <w:t xml:space="preserve"> </w:t>
      </w:r>
      <w:r>
        <w:t>number</w:t>
      </w:r>
      <w:r>
        <w:rPr>
          <w:spacing w:val="-6"/>
        </w:rPr>
        <w:t xml:space="preserve"> </w:t>
      </w:r>
      <w:r>
        <w:t>of</w:t>
      </w:r>
      <w:r>
        <w:rPr>
          <w:spacing w:val="-6"/>
        </w:rPr>
        <w:t xml:space="preserve"> </w:t>
      </w:r>
      <w:r>
        <w:t>students</w:t>
      </w:r>
      <w:r>
        <w:rPr>
          <w:spacing w:val="-6"/>
        </w:rPr>
        <w:t xml:space="preserve"> </w:t>
      </w:r>
      <w:r>
        <w:t>to</w:t>
      </w:r>
      <w:r>
        <w:rPr>
          <w:spacing w:val="-6"/>
        </w:rPr>
        <w:t xml:space="preserve"> </w:t>
      </w:r>
      <w:r>
        <w:t>be</w:t>
      </w:r>
      <w:r>
        <w:rPr>
          <w:spacing w:val="-6"/>
        </w:rPr>
        <w:t xml:space="preserve"> </w:t>
      </w:r>
      <w:r>
        <w:t>sampled</w:t>
      </w:r>
      <w:r>
        <w:rPr>
          <w:spacing w:val="-6"/>
        </w:rPr>
        <w:t xml:space="preserve"> </w:t>
      </w:r>
      <w:r>
        <w:t>within</w:t>
      </w:r>
      <w:r>
        <w:rPr>
          <w:spacing w:val="-6"/>
        </w:rPr>
        <w:t xml:space="preserve"> </w:t>
      </w:r>
      <w:r>
        <w:t>each selected school:</w:t>
      </w:r>
    </w:p>
    <w:p w:rsidR="003F5784" w14:paraId="1417F72F" w14:textId="77777777">
      <w:pPr>
        <w:pStyle w:val="BodyText"/>
        <w:spacing w:before="209" w:line="232" w:lineRule="auto"/>
        <w:ind w:left="422" w:right="9881"/>
      </w:pPr>
      <w:r>
        <w:rPr>
          <w:noProof/>
          <w:position w:val="3"/>
        </w:rPr>
        <w:drawing>
          <wp:inline distT="0" distB="0" distL="0" distR="0">
            <wp:extent cx="41379" cy="41345"/>
            <wp:effectExtent l="0" t="0" r="0" b="0"/>
            <wp:docPr id="120" name="Image 120"/>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xmlns:r="http://schemas.openxmlformats.org/officeDocument/2006/relationships" r:embed="rId101" cstate="print"/>
                    <a:stretch>
                      <a:fillRect/>
                    </a:stretch>
                  </pic:blipFill>
                  <pic:spPr>
                    <a:xfrm>
                      <a:off x="0" y="0"/>
                      <a:ext cx="41379" cy="41345"/>
                    </a:xfrm>
                    <a:prstGeom prst="rect">
                      <a:avLst/>
                    </a:prstGeom>
                  </pic:spPr>
                </pic:pic>
              </a:graphicData>
            </a:graphic>
          </wp:inline>
        </w:drawing>
      </w:r>
      <w:r>
        <w:rPr>
          <w:spacing w:val="78"/>
          <w:sz w:val="20"/>
        </w:rPr>
        <w:t xml:space="preserve"> </w:t>
      </w:r>
      <w:r>
        <w:t>to</w:t>
      </w:r>
      <w:r>
        <w:rPr>
          <w:spacing w:val="-7"/>
        </w:rPr>
        <w:t xml:space="preserve"> </w:t>
      </w:r>
      <w:r>
        <w:t>meet</w:t>
      </w:r>
      <w:r>
        <w:rPr>
          <w:spacing w:val="-7"/>
        </w:rPr>
        <w:t xml:space="preserve"> </w:t>
      </w:r>
      <w:r>
        <w:t>the</w:t>
      </w:r>
      <w:r>
        <w:rPr>
          <w:spacing w:val="-7"/>
        </w:rPr>
        <w:t xml:space="preserve"> </w:t>
      </w:r>
      <w:r>
        <w:t>target</w:t>
      </w:r>
      <w:r>
        <w:rPr>
          <w:spacing w:val="-7"/>
        </w:rPr>
        <w:t xml:space="preserve"> </w:t>
      </w:r>
      <w:r>
        <w:t>student</w:t>
      </w:r>
      <w:r>
        <w:rPr>
          <w:spacing w:val="-7"/>
        </w:rPr>
        <w:t xml:space="preserve"> </w:t>
      </w:r>
      <w:r>
        <w:t>sample</w:t>
      </w:r>
      <w:r>
        <w:rPr>
          <w:spacing w:val="-7"/>
        </w:rPr>
        <w:t xml:space="preserve"> </w:t>
      </w:r>
      <w:r>
        <w:t>size</w:t>
      </w:r>
      <w:r>
        <w:rPr>
          <w:spacing w:val="-7"/>
        </w:rPr>
        <w:t xml:space="preserve"> </w:t>
      </w:r>
      <w:r>
        <w:t>for</w:t>
      </w:r>
      <w:r>
        <w:rPr>
          <w:spacing w:val="-7"/>
        </w:rPr>
        <w:t xml:space="preserve"> </w:t>
      </w:r>
      <w:r>
        <w:t>each</w:t>
      </w:r>
      <w:r>
        <w:rPr>
          <w:spacing w:val="-7"/>
        </w:rPr>
        <w:t xml:space="preserve"> </w:t>
      </w:r>
      <w:r>
        <w:t xml:space="preserve">grade; </w:t>
      </w:r>
      <w:r>
        <w:rPr>
          <w:noProof/>
          <w:position w:val="3"/>
        </w:rPr>
        <w:drawing>
          <wp:inline distT="0" distB="0" distL="0" distR="0">
            <wp:extent cx="41379" cy="41345"/>
            <wp:effectExtent l="0" t="0" r="0" b="0"/>
            <wp:docPr id="121" name="Image 121"/>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xmlns:r="http://schemas.openxmlformats.org/officeDocument/2006/relationships" r:embed="rId102" cstate="print"/>
                    <a:stretch>
                      <a:fillRect/>
                    </a:stretch>
                  </pic:blipFill>
                  <pic:spPr>
                    <a:xfrm>
                      <a:off x="0" y="0"/>
                      <a:ext cx="41379" cy="41345"/>
                    </a:xfrm>
                    <a:prstGeom prst="rect">
                      <a:avLst/>
                    </a:prstGeom>
                  </pic:spPr>
                </pic:pic>
              </a:graphicData>
            </a:graphic>
          </wp:inline>
        </w:drawing>
      </w:r>
      <w:r>
        <w:rPr>
          <w:spacing w:val="80"/>
        </w:rPr>
        <w:t xml:space="preserve"> </w:t>
      </w:r>
      <w:r>
        <w:t>to select an equal-probability sample of students;</w:t>
      </w:r>
    </w:p>
    <w:p w:rsidR="003F5784" w14:paraId="76728516" w14:textId="77777777">
      <w:pPr>
        <w:pStyle w:val="BodyText"/>
        <w:spacing w:line="233" w:lineRule="exact"/>
        <w:ind w:left="422"/>
      </w:pPr>
      <w:r>
        <w:rPr>
          <w:noProof/>
          <w:position w:val="3"/>
        </w:rPr>
        <w:drawing>
          <wp:inline distT="0" distB="0" distL="0" distR="0">
            <wp:extent cx="41379" cy="41345"/>
            <wp:effectExtent l="0" t="0" r="0" b="0"/>
            <wp:docPr id="122" name="Image 122"/>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xmlns:r="http://schemas.openxmlformats.org/officeDocument/2006/relationships" r:embed="rId103" cstate="print"/>
                    <a:stretch>
                      <a:fillRect/>
                    </a:stretch>
                  </pic:blipFill>
                  <pic:spPr>
                    <a:xfrm>
                      <a:off x="0" y="0"/>
                      <a:ext cx="41379" cy="41345"/>
                    </a:xfrm>
                    <a:prstGeom prst="rect">
                      <a:avLst/>
                    </a:prstGeom>
                  </pic:spPr>
                </pic:pic>
              </a:graphicData>
            </a:graphic>
          </wp:inline>
        </w:drawing>
      </w:r>
      <w:r>
        <w:rPr>
          <w:spacing w:val="80"/>
          <w:sz w:val="20"/>
        </w:rPr>
        <w:t xml:space="preserve"> </w:t>
      </w:r>
      <w:r>
        <w:t>to limit the number of students selected from any one school;</w:t>
      </w:r>
    </w:p>
    <w:p w:rsidR="003F5784" w14:paraId="226893FB" w14:textId="77777777">
      <w:pPr>
        <w:pStyle w:val="BodyText"/>
        <w:spacing w:before="3" w:line="232" w:lineRule="auto"/>
        <w:ind w:left="422" w:right="2047"/>
      </w:pPr>
      <w:r>
        <w:rPr>
          <w:noProof/>
          <w:position w:val="3"/>
        </w:rPr>
        <w:drawing>
          <wp:inline distT="0" distB="0" distL="0" distR="0">
            <wp:extent cx="41379" cy="41378"/>
            <wp:effectExtent l="0" t="0" r="0" b="0"/>
            <wp:docPr id="123" name="Image 123"/>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xmlns:r="http://schemas.openxmlformats.org/officeDocument/2006/relationships" r:embed="rId104" cstate="print"/>
                    <a:stretch>
                      <a:fillRect/>
                    </a:stretch>
                  </pic:blipFill>
                  <pic:spPr>
                    <a:xfrm>
                      <a:off x="0" y="0"/>
                      <a:ext cx="41379" cy="41378"/>
                    </a:xfrm>
                    <a:prstGeom prst="rect">
                      <a:avLst/>
                    </a:prstGeom>
                  </pic:spPr>
                </pic:pic>
              </a:graphicData>
            </a:graphic>
          </wp:inline>
        </w:drawing>
      </w:r>
      <w:r>
        <w:rPr>
          <w:spacing w:val="80"/>
          <w:sz w:val="20"/>
        </w:rPr>
        <w:t xml:space="preserve"> </w:t>
      </w:r>
      <w:r>
        <w:t>to</w:t>
      </w:r>
      <w:r>
        <w:rPr>
          <w:spacing w:val="-5"/>
        </w:rPr>
        <w:t xml:space="preserve"> </w:t>
      </w:r>
      <w:r>
        <w:t>ensure</w:t>
      </w:r>
      <w:r>
        <w:rPr>
          <w:spacing w:val="-5"/>
        </w:rPr>
        <w:t xml:space="preserve"> </w:t>
      </w:r>
      <w:r>
        <w:t>that</w:t>
      </w:r>
      <w:r>
        <w:rPr>
          <w:spacing w:val="-5"/>
        </w:rPr>
        <w:t xml:space="preserve"> </w:t>
      </w:r>
      <w:r>
        <w:t>the</w:t>
      </w:r>
      <w:r>
        <w:rPr>
          <w:spacing w:val="-5"/>
        </w:rPr>
        <w:t xml:space="preserve"> </w:t>
      </w:r>
      <w:r>
        <w:t>sample</w:t>
      </w:r>
      <w:r>
        <w:rPr>
          <w:spacing w:val="-5"/>
        </w:rPr>
        <w:t xml:space="preserve"> </w:t>
      </w:r>
      <w:r>
        <w:t>within</w:t>
      </w:r>
      <w:r>
        <w:rPr>
          <w:spacing w:val="-5"/>
        </w:rPr>
        <w:t xml:space="preserve"> </w:t>
      </w:r>
      <w:r>
        <w:t>a</w:t>
      </w:r>
      <w:r>
        <w:rPr>
          <w:spacing w:val="-5"/>
        </w:rPr>
        <w:t xml:space="preserve"> </w:t>
      </w:r>
      <w:r>
        <w:t>school</w:t>
      </w:r>
      <w:r>
        <w:rPr>
          <w:spacing w:val="-5"/>
        </w:rPr>
        <w:t xml:space="preserve"> </w:t>
      </w:r>
      <w:r>
        <w:t>does</w:t>
      </w:r>
      <w:r>
        <w:rPr>
          <w:spacing w:val="-5"/>
        </w:rPr>
        <w:t xml:space="preserve"> </w:t>
      </w:r>
      <w:r>
        <w:t>not</w:t>
      </w:r>
      <w:r>
        <w:rPr>
          <w:spacing w:val="-5"/>
        </w:rPr>
        <w:t xml:space="preserve"> </w:t>
      </w:r>
      <w:r>
        <w:t>include</w:t>
      </w:r>
      <w:r>
        <w:rPr>
          <w:spacing w:val="-5"/>
        </w:rPr>
        <w:t xml:space="preserve"> </w:t>
      </w:r>
      <w:r>
        <w:t>a</w:t>
      </w:r>
      <w:r>
        <w:rPr>
          <w:spacing w:val="-5"/>
        </w:rPr>
        <w:t xml:space="preserve"> </w:t>
      </w:r>
      <w:r>
        <w:t>very</w:t>
      </w:r>
      <w:r>
        <w:rPr>
          <w:spacing w:val="-5"/>
        </w:rPr>
        <w:t xml:space="preserve"> </w:t>
      </w:r>
      <w:r>
        <w:t>high</w:t>
      </w:r>
      <w:r>
        <w:rPr>
          <w:spacing w:val="-5"/>
        </w:rPr>
        <w:t xml:space="preserve"> </w:t>
      </w:r>
      <w:r>
        <w:t>percentage</w:t>
      </w:r>
      <w:r>
        <w:rPr>
          <w:spacing w:val="-5"/>
        </w:rPr>
        <w:t xml:space="preserve"> </w:t>
      </w:r>
      <w:r>
        <w:t>of</w:t>
      </w:r>
      <w:r>
        <w:rPr>
          <w:spacing w:val="-5"/>
        </w:rPr>
        <w:t xml:space="preserve"> </w:t>
      </w:r>
      <w:r>
        <w:t>the</w:t>
      </w:r>
      <w:r>
        <w:rPr>
          <w:spacing w:val="-5"/>
        </w:rPr>
        <w:t xml:space="preserve"> </w:t>
      </w:r>
      <w:r>
        <w:t>students</w:t>
      </w:r>
      <w:r>
        <w:rPr>
          <w:spacing w:val="-5"/>
        </w:rPr>
        <w:t xml:space="preserve"> </w:t>
      </w:r>
      <w:r>
        <w:t>in</w:t>
      </w:r>
      <w:r>
        <w:rPr>
          <w:spacing w:val="-5"/>
        </w:rPr>
        <w:t xml:space="preserve"> </w:t>
      </w:r>
      <w:r>
        <w:t>the</w:t>
      </w:r>
      <w:r>
        <w:rPr>
          <w:spacing w:val="-5"/>
        </w:rPr>
        <w:t xml:space="preserve"> </w:t>
      </w:r>
      <w:r>
        <w:t>school,</w:t>
      </w:r>
      <w:r>
        <w:rPr>
          <w:spacing w:val="-5"/>
        </w:rPr>
        <w:t xml:space="preserve"> </w:t>
      </w:r>
      <w:r>
        <w:t>unless</w:t>
      </w:r>
      <w:r>
        <w:rPr>
          <w:spacing w:val="-5"/>
        </w:rPr>
        <w:t xml:space="preserve"> </w:t>
      </w:r>
      <w:r>
        <w:t>all</w:t>
      </w:r>
      <w:r>
        <w:rPr>
          <w:spacing w:val="-5"/>
        </w:rPr>
        <w:t xml:space="preserve"> </w:t>
      </w:r>
      <w:r>
        <w:t>students</w:t>
      </w:r>
      <w:r>
        <w:rPr>
          <w:spacing w:val="-5"/>
        </w:rPr>
        <w:t xml:space="preserve"> </w:t>
      </w:r>
      <w:r>
        <w:t>are</w:t>
      </w:r>
      <w:r>
        <w:rPr>
          <w:spacing w:val="-5"/>
        </w:rPr>
        <w:t xml:space="preserve"> </w:t>
      </w:r>
      <w:r>
        <w:t>included;</w:t>
      </w:r>
      <w:r>
        <w:rPr>
          <w:spacing w:val="-5"/>
        </w:rPr>
        <w:t xml:space="preserve"> </w:t>
      </w:r>
      <w:r>
        <w:t xml:space="preserve">and </w:t>
      </w:r>
      <w:r>
        <w:rPr>
          <w:noProof/>
          <w:position w:val="3"/>
        </w:rPr>
        <w:drawing>
          <wp:inline distT="0" distB="0" distL="0" distR="0">
            <wp:extent cx="41379" cy="41345"/>
            <wp:effectExtent l="0" t="0" r="0" b="0"/>
            <wp:docPr id="124" name="Image 124"/>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xmlns:r="http://schemas.openxmlformats.org/officeDocument/2006/relationships" r:embed="rId105" cstate="print"/>
                    <a:stretch>
                      <a:fillRect/>
                    </a:stretch>
                  </pic:blipFill>
                  <pic:spPr>
                    <a:xfrm>
                      <a:off x="0" y="0"/>
                      <a:ext cx="41379" cy="41345"/>
                    </a:xfrm>
                    <a:prstGeom prst="rect">
                      <a:avLst/>
                    </a:prstGeom>
                  </pic:spPr>
                </pic:pic>
              </a:graphicData>
            </a:graphic>
          </wp:inline>
        </w:drawing>
      </w:r>
      <w:r>
        <w:rPr>
          <w:spacing w:val="80"/>
        </w:rPr>
        <w:t xml:space="preserve"> </w:t>
      </w:r>
      <w:r>
        <w:t>to reduce the sampling rate of small schools, in recognition of the greater cost and burden per student of conducting assessments in such schools.</w:t>
      </w:r>
    </w:p>
    <w:p w:rsidR="003F5784" w14:paraId="2101C8BF" w14:textId="77777777">
      <w:pPr>
        <w:pStyle w:val="BodyText"/>
        <w:spacing w:before="209" w:line="232" w:lineRule="auto"/>
        <w:ind w:left="109"/>
      </w:pPr>
      <w:r>
        <w:t>The</w:t>
      </w:r>
      <w:r>
        <w:rPr>
          <w:spacing w:val="-5"/>
        </w:rPr>
        <w:t xml:space="preserve"> </w:t>
      </w:r>
      <w:r>
        <w:t>goal</w:t>
      </w:r>
      <w:r>
        <w:rPr>
          <w:spacing w:val="-5"/>
        </w:rPr>
        <w:t xml:space="preserve"> </w:t>
      </w:r>
      <w:r>
        <w:t>in</w:t>
      </w:r>
      <w:r>
        <w:rPr>
          <w:spacing w:val="-5"/>
        </w:rPr>
        <w:t xml:space="preserve"> </w:t>
      </w:r>
      <w:r>
        <w:t>determining</w:t>
      </w:r>
      <w:r>
        <w:rPr>
          <w:spacing w:val="-5"/>
        </w:rPr>
        <w:t xml:space="preserve"> </w:t>
      </w:r>
      <w:r>
        <w:t>the</w:t>
      </w:r>
      <w:r>
        <w:rPr>
          <w:spacing w:val="-5"/>
        </w:rPr>
        <w:t xml:space="preserve"> </w:t>
      </w:r>
      <w:r>
        <w:t>school's</w:t>
      </w:r>
      <w:r>
        <w:rPr>
          <w:spacing w:val="-5"/>
        </w:rPr>
        <w:t xml:space="preserve"> </w:t>
      </w:r>
      <w:r>
        <w:t>measure</w:t>
      </w:r>
      <w:r>
        <w:rPr>
          <w:spacing w:val="-5"/>
        </w:rPr>
        <w:t xml:space="preserve"> </w:t>
      </w:r>
      <w:r>
        <w:t>of</w:t>
      </w:r>
      <w:r>
        <w:rPr>
          <w:spacing w:val="-5"/>
        </w:rPr>
        <w:t xml:space="preserve"> </w:t>
      </w:r>
      <w:r>
        <w:t>size</w:t>
      </w:r>
      <w:r>
        <w:rPr>
          <w:spacing w:val="-5"/>
        </w:rPr>
        <w:t xml:space="preserve"> </w:t>
      </w:r>
      <w:r>
        <w:t>is</w:t>
      </w:r>
      <w:r>
        <w:rPr>
          <w:spacing w:val="-5"/>
        </w:rPr>
        <w:t xml:space="preserve"> </w:t>
      </w:r>
      <w:r>
        <w:t>to</w:t>
      </w:r>
      <w:r>
        <w:rPr>
          <w:spacing w:val="-5"/>
        </w:rPr>
        <w:t xml:space="preserve"> </w:t>
      </w:r>
      <w:r>
        <w:t>optimize</w:t>
      </w:r>
      <w:r>
        <w:rPr>
          <w:spacing w:val="-5"/>
        </w:rPr>
        <w:t xml:space="preserve"> </w:t>
      </w:r>
      <w:r>
        <w:t>across</w:t>
      </w:r>
      <w:r>
        <w:rPr>
          <w:spacing w:val="-5"/>
        </w:rPr>
        <w:t xml:space="preserve"> </w:t>
      </w:r>
      <w:r>
        <w:t>the</w:t>
      </w:r>
      <w:r>
        <w:rPr>
          <w:spacing w:val="-5"/>
        </w:rPr>
        <w:t xml:space="preserve"> </w:t>
      </w:r>
      <w:r>
        <w:t>last</w:t>
      </w:r>
      <w:r>
        <w:rPr>
          <w:spacing w:val="-5"/>
        </w:rPr>
        <w:t xml:space="preserve"> </w:t>
      </w:r>
      <w:r>
        <w:t>four</w:t>
      </w:r>
      <w:r>
        <w:rPr>
          <w:spacing w:val="-5"/>
        </w:rPr>
        <w:t xml:space="preserve"> </w:t>
      </w:r>
      <w:r>
        <w:t>objectives</w:t>
      </w:r>
      <w:r>
        <w:rPr>
          <w:spacing w:val="-5"/>
        </w:rPr>
        <w:t xml:space="preserve"> </w:t>
      </w:r>
      <w:r>
        <w:t>in</w:t>
      </w:r>
      <w:r>
        <w:rPr>
          <w:spacing w:val="-5"/>
        </w:rPr>
        <w:t xml:space="preserve"> </w:t>
      </w:r>
      <w:r>
        <w:t>terms</w:t>
      </w:r>
      <w:r>
        <w:rPr>
          <w:spacing w:val="-5"/>
        </w:rPr>
        <w:t xml:space="preserve"> </w:t>
      </w:r>
      <w:r>
        <w:t>of</w:t>
      </w:r>
      <w:r>
        <w:rPr>
          <w:spacing w:val="-5"/>
        </w:rPr>
        <w:t xml:space="preserve"> </w:t>
      </w:r>
      <w:r>
        <w:t>maintaining</w:t>
      </w:r>
      <w:r>
        <w:rPr>
          <w:spacing w:val="-5"/>
        </w:rPr>
        <w:t xml:space="preserve"> </w:t>
      </w:r>
      <w:r>
        <w:t>the</w:t>
      </w:r>
      <w:r>
        <w:rPr>
          <w:spacing w:val="-5"/>
        </w:rPr>
        <w:t xml:space="preserve"> </w:t>
      </w:r>
      <w:r>
        <w:t>precision</w:t>
      </w:r>
      <w:r>
        <w:rPr>
          <w:spacing w:val="-5"/>
        </w:rPr>
        <w:t xml:space="preserve"> </w:t>
      </w:r>
      <w:r>
        <w:t>of</w:t>
      </w:r>
      <w:r>
        <w:rPr>
          <w:spacing w:val="-5"/>
        </w:rPr>
        <w:t xml:space="preserve"> </w:t>
      </w:r>
      <w:r>
        <w:t>estimates</w:t>
      </w:r>
      <w:r>
        <w:rPr>
          <w:spacing w:val="-5"/>
        </w:rPr>
        <w:t xml:space="preserve"> </w:t>
      </w:r>
      <w:r>
        <w:t>and</w:t>
      </w:r>
      <w:r>
        <w:rPr>
          <w:spacing w:val="-5"/>
        </w:rPr>
        <w:t xml:space="preserve"> </w:t>
      </w:r>
      <w:r>
        <w:t>the</w:t>
      </w:r>
      <w:r>
        <w:rPr>
          <w:spacing w:val="-5"/>
        </w:rPr>
        <w:t xml:space="preserve"> </w:t>
      </w:r>
      <w:r>
        <w:t>cost</w:t>
      </w:r>
      <w:r>
        <w:rPr>
          <w:spacing w:val="-5"/>
        </w:rPr>
        <w:t xml:space="preserve"> </w:t>
      </w:r>
      <w:r>
        <w:t>effectiveness</w:t>
      </w:r>
      <w:r>
        <w:rPr>
          <w:spacing w:val="-5"/>
        </w:rPr>
        <w:t xml:space="preserve"> </w:t>
      </w:r>
      <w:r>
        <w:t>of the sample design.</w:t>
      </w:r>
    </w:p>
    <w:p w:rsidR="003F5784" w14:paraId="5C7F0294" w14:textId="77777777">
      <w:pPr>
        <w:pStyle w:val="BodyText"/>
        <w:spacing w:before="209" w:line="232" w:lineRule="auto"/>
        <w:ind w:left="109"/>
      </w:pPr>
      <w:r>
        <w:t>Therefore,</w:t>
      </w:r>
      <w:r>
        <w:rPr>
          <w:spacing w:val="-6"/>
        </w:rPr>
        <w:t xml:space="preserve"> </w:t>
      </w:r>
      <w:r>
        <w:t>to</w:t>
      </w:r>
      <w:r>
        <w:rPr>
          <w:spacing w:val="-6"/>
        </w:rPr>
        <w:t xml:space="preserve"> </w:t>
      </w:r>
      <w:r>
        <w:t>meet</w:t>
      </w:r>
      <w:r>
        <w:rPr>
          <w:spacing w:val="-6"/>
        </w:rPr>
        <w:t xml:space="preserve"> </w:t>
      </w:r>
      <w:r>
        <w:t>the</w:t>
      </w:r>
      <w:r>
        <w:rPr>
          <w:spacing w:val="-6"/>
        </w:rPr>
        <w:t xml:space="preserve"> </w:t>
      </w:r>
      <w:r>
        <w:t>target</w:t>
      </w:r>
      <w:r>
        <w:rPr>
          <w:spacing w:val="-6"/>
        </w:rPr>
        <w:t xml:space="preserve"> </w:t>
      </w:r>
      <w:r>
        <w:t>student</w:t>
      </w:r>
      <w:r>
        <w:rPr>
          <w:spacing w:val="-6"/>
        </w:rPr>
        <w:t xml:space="preserve"> </w:t>
      </w:r>
      <w:r>
        <w:t>sample</w:t>
      </w:r>
      <w:r>
        <w:rPr>
          <w:spacing w:val="-6"/>
        </w:rPr>
        <w:t xml:space="preserve"> </w:t>
      </w:r>
      <w:r>
        <w:t>size</w:t>
      </w:r>
      <w:r>
        <w:rPr>
          <w:spacing w:val="-6"/>
        </w:rPr>
        <w:t xml:space="preserve"> </w:t>
      </w:r>
      <w:r>
        <w:t>objective</w:t>
      </w:r>
      <w:r>
        <w:rPr>
          <w:spacing w:val="-6"/>
        </w:rPr>
        <w:t xml:space="preserve"> </w:t>
      </w:r>
      <w:r>
        <w:t>and</w:t>
      </w:r>
      <w:r>
        <w:rPr>
          <w:spacing w:val="-6"/>
        </w:rPr>
        <w:t xml:space="preserve"> </w:t>
      </w:r>
      <w:r>
        <w:t>achieve</w:t>
      </w:r>
      <w:r>
        <w:rPr>
          <w:spacing w:val="-6"/>
        </w:rPr>
        <w:t xml:space="preserve"> </w:t>
      </w:r>
      <w:r>
        <w:t>a</w:t>
      </w:r>
      <w:r>
        <w:rPr>
          <w:spacing w:val="-6"/>
        </w:rPr>
        <w:t xml:space="preserve"> </w:t>
      </w:r>
      <w:r>
        <w:t>reasonable</w:t>
      </w:r>
      <w:r>
        <w:rPr>
          <w:spacing w:val="-6"/>
        </w:rPr>
        <w:t xml:space="preserve"> </w:t>
      </w:r>
      <w:r>
        <w:t>compromise</w:t>
      </w:r>
      <w:r>
        <w:rPr>
          <w:spacing w:val="-6"/>
        </w:rPr>
        <w:t xml:space="preserve"> </w:t>
      </w:r>
      <w:r>
        <w:t>among</w:t>
      </w:r>
      <w:r>
        <w:rPr>
          <w:spacing w:val="-6"/>
        </w:rPr>
        <w:t xml:space="preserve"> </w:t>
      </w:r>
      <w:r>
        <w:t>the</w:t>
      </w:r>
      <w:r>
        <w:rPr>
          <w:spacing w:val="-6"/>
        </w:rPr>
        <w:t xml:space="preserve"> </w:t>
      </w:r>
      <w:r>
        <w:t>other</w:t>
      </w:r>
      <w:r>
        <w:rPr>
          <w:spacing w:val="-6"/>
        </w:rPr>
        <w:t xml:space="preserve"> </w:t>
      </w:r>
      <w:r>
        <w:t>four</w:t>
      </w:r>
      <w:r>
        <w:rPr>
          <w:spacing w:val="-6"/>
        </w:rPr>
        <w:t xml:space="preserve"> </w:t>
      </w:r>
      <w:r>
        <w:t>objectives,</w:t>
      </w:r>
      <w:r>
        <w:rPr>
          <w:spacing w:val="-6"/>
        </w:rPr>
        <w:t xml:space="preserve"> </w:t>
      </w:r>
      <w:r>
        <w:t>the</w:t>
      </w:r>
      <w:r>
        <w:rPr>
          <w:spacing w:val="-6"/>
        </w:rPr>
        <w:t xml:space="preserve"> </w:t>
      </w:r>
      <w:r>
        <w:t>following</w:t>
      </w:r>
      <w:r>
        <w:rPr>
          <w:spacing w:val="-6"/>
        </w:rPr>
        <w:t xml:space="preserve"> </w:t>
      </w:r>
      <w:r>
        <w:t>algorithm</w:t>
      </w:r>
      <w:r>
        <w:rPr>
          <w:spacing w:val="-6"/>
        </w:rPr>
        <w:t xml:space="preserve"> </w:t>
      </w:r>
      <w:r>
        <w:t>was</w:t>
      </w:r>
      <w:r>
        <w:rPr>
          <w:spacing w:val="-6"/>
        </w:rPr>
        <w:t xml:space="preserve"> </w:t>
      </w:r>
      <w:r>
        <w:t>used</w:t>
      </w:r>
      <w:r>
        <w:rPr>
          <w:spacing w:val="-6"/>
        </w:rPr>
        <w:t xml:space="preserve"> </w:t>
      </w:r>
      <w:r>
        <w:t>to</w:t>
      </w:r>
      <w:r>
        <w:rPr>
          <w:spacing w:val="-6"/>
        </w:rPr>
        <w:t xml:space="preserve"> </w:t>
      </w:r>
      <w:r>
        <w:t>assign</w:t>
      </w:r>
      <w:r>
        <w:rPr>
          <w:spacing w:val="-6"/>
        </w:rPr>
        <w:t xml:space="preserve"> </w:t>
      </w:r>
      <w:r>
        <w:t>a measure of size to each school based on its estimated grade enrollment as indicated on the sampling frame.</w:t>
      </w:r>
    </w:p>
    <w:p w:rsidR="003F5784" w14:paraId="0F92D4A4" w14:textId="77777777">
      <w:pPr>
        <w:pStyle w:val="BodyText"/>
        <w:spacing w:before="209" w:line="232" w:lineRule="auto"/>
        <w:ind w:left="109" w:right="179"/>
      </w:pPr>
      <w:r>
        <w:t>In</w:t>
      </w:r>
      <w:r>
        <w:rPr>
          <w:spacing w:val="-6"/>
        </w:rPr>
        <w:t xml:space="preserve"> </w:t>
      </w:r>
      <w:r>
        <w:t>the</w:t>
      </w:r>
      <w:r>
        <w:rPr>
          <w:spacing w:val="-6"/>
        </w:rPr>
        <w:t xml:space="preserve"> </w:t>
      </w:r>
      <w:r>
        <w:t>formula</w:t>
      </w:r>
      <w:r>
        <w:rPr>
          <w:spacing w:val="-6"/>
        </w:rPr>
        <w:t xml:space="preserve"> </w:t>
      </w:r>
      <w:r>
        <w:t>below,</w:t>
      </w:r>
      <w:r>
        <w:rPr>
          <w:spacing w:val="-6"/>
        </w:rPr>
        <w:t xml:space="preserve"> </w:t>
      </w:r>
      <w:r>
        <w:t>`x_{js}`</w:t>
      </w:r>
      <w:r>
        <w:rPr>
          <w:spacing w:val="-6"/>
        </w:rPr>
        <w:t xml:space="preserve"> </w:t>
      </w:r>
      <w:r>
        <w:t>is</w:t>
      </w:r>
      <w:r>
        <w:rPr>
          <w:spacing w:val="-6"/>
        </w:rPr>
        <w:t xml:space="preserve"> </w:t>
      </w:r>
      <w:r>
        <w:t>the</w:t>
      </w:r>
      <w:r>
        <w:rPr>
          <w:spacing w:val="-6"/>
        </w:rPr>
        <w:t xml:space="preserve"> </w:t>
      </w:r>
      <w:r>
        <w:t>estimated</w:t>
      </w:r>
      <w:r>
        <w:rPr>
          <w:spacing w:val="-6"/>
        </w:rPr>
        <w:t xml:space="preserve"> </w:t>
      </w:r>
      <w:r>
        <w:t>grade</w:t>
      </w:r>
      <w:r>
        <w:rPr>
          <w:spacing w:val="-6"/>
        </w:rPr>
        <w:t xml:space="preserve"> </w:t>
      </w:r>
      <w:r>
        <w:t>enrollment</w:t>
      </w:r>
      <w:r>
        <w:rPr>
          <w:spacing w:val="-6"/>
        </w:rPr>
        <w:t xml:space="preserve"> </w:t>
      </w:r>
      <w:r>
        <w:t>for</w:t>
      </w:r>
      <w:r>
        <w:rPr>
          <w:spacing w:val="-6"/>
        </w:rPr>
        <w:t xml:space="preserve"> </w:t>
      </w:r>
      <w:r>
        <w:t>stratum</w:t>
      </w:r>
      <w:r>
        <w:rPr>
          <w:spacing w:val="-6"/>
        </w:rPr>
        <w:t xml:space="preserve"> </w:t>
      </w:r>
      <w:r>
        <w:t>`j`</w:t>
      </w:r>
      <w:r>
        <w:rPr>
          <w:spacing w:val="-6"/>
        </w:rPr>
        <w:t xml:space="preserve"> </w:t>
      </w:r>
      <w:r>
        <w:t>and</w:t>
      </w:r>
      <w:r>
        <w:rPr>
          <w:spacing w:val="-6"/>
        </w:rPr>
        <w:t xml:space="preserve"> </w:t>
      </w:r>
      <w:r>
        <w:t>school</w:t>
      </w:r>
      <w:r>
        <w:rPr>
          <w:spacing w:val="-6"/>
        </w:rPr>
        <w:t xml:space="preserve"> </w:t>
      </w:r>
      <w:r>
        <w:t>`s`,</w:t>
      </w:r>
      <w:r>
        <w:rPr>
          <w:spacing w:val="-6"/>
        </w:rPr>
        <w:t xml:space="preserve"> </w:t>
      </w:r>
      <w:r>
        <w:t>`y_{j}`</w:t>
      </w:r>
      <w:r>
        <w:rPr>
          <w:spacing w:val="-6"/>
        </w:rPr>
        <w:t xml:space="preserve"> </w:t>
      </w:r>
      <w:r>
        <w:t>is</w:t>
      </w:r>
      <w:r>
        <w:rPr>
          <w:spacing w:val="-6"/>
        </w:rPr>
        <w:t xml:space="preserve"> </w:t>
      </w:r>
      <w:r>
        <w:t>the</w:t>
      </w:r>
      <w:r>
        <w:rPr>
          <w:spacing w:val="-6"/>
        </w:rPr>
        <w:t xml:space="preserve"> </w:t>
      </w:r>
      <w:r>
        <w:t>target</w:t>
      </w:r>
      <w:r>
        <w:rPr>
          <w:spacing w:val="-6"/>
        </w:rPr>
        <w:t xml:space="preserve"> </w:t>
      </w:r>
      <w:r>
        <w:t>within-school</w:t>
      </w:r>
      <w:r>
        <w:rPr>
          <w:spacing w:val="-6"/>
        </w:rPr>
        <w:t xml:space="preserve"> </w:t>
      </w:r>
      <w:r>
        <w:t>student</w:t>
      </w:r>
      <w:r>
        <w:rPr>
          <w:spacing w:val="-6"/>
        </w:rPr>
        <w:t xml:space="preserve"> </w:t>
      </w:r>
      <w:r>
        <w:t>sample</w:t>
      </w:r>
      <w:r>
        <w:rPr>
          <w:spacing w:val="-6"/>
        </w:rPr>
        <w:t xml:space="preserve"> </w:t>
      </w:r>
      <w:r>
        <w:t>size</w:t>
      </w:r>
      <w:r>
        <w:rPr>
          <w:spacing w:val="-6"/>
        </w:rPr>
        <w:t xml:space="preserve"> </w:t>
      </w:r>
      <w:r>
        <w:t>for</w:t>
      </w:r>
      <w:r>
        <w:rPr>
          <w:spacing w:val="-6"/>
        </w:rPr>
        <w:t xml:space="preserve"> </w:t>
      </w:r>
      <w:r>
        <w:t>stratum</w:t>
      </w:r>
      <w:r>
        <w:rPr>
          <w:spacing w:val="-6"/>
        </w:rPr>
        <w:t xml:space="preserve"> </w:t>
      </w:r>
      <w:r>
        <w:t>`j,`</w:t>
      </w:r>
      <w:r>
        <w:rPr>
          <w:spacing w:val="-6"/>
        </w:rPr>
        <w:t xml:space="preserve"> </w:t>
      </w:r>
      <w:r>
        <w:t>`z_{js}`</w:t>
      </w:r>
      <w:r>
        <w:rPr>
          <w:spacing w:val="-6"/>
        </w:rPr>
        <w:t xml:space="preserve"> </w:t>
      </w:r>
      <w:r>
        <w:t>is the within-school take-all student cutoff for stratum `j` to which school `s` belongs, and `P_{s}` is a primary sampling unit (PSU) weight associated with the private school universe (PSS) area sample.</w:t>
      </w:r>
    </w:p>
    <w:p w:rsidR="003F5784" w14:paraId="0EF44823" w14:textId="77777777">
      <w:pPr>
        <w:pStyle w:val="BodyText"/>
        <w:spacing w:before="228"/>
        <w:ind w:left="109"/>
      </w:pPr>
      <w:r>
        <w:t>For</w:t>
      </w:r>
      <w:r>
        <w:rPr>
          <w:spacing w:val="-6"/>
        </w:rPr>
        <w:t xml:space="preserve"> </w:t>
      </w:r>
      <w:r>
        <w:t>grades</w:t>
      </w:r>
      <w:r>
        <w:rPr>
          <w:spacing w:val="-5"/>
        </w:rPr>
        <w:t xml:space="preserve"> </w:t>
      </w:r>
      <w:r>
        <w:t>4</w:t>
      </w:r>
      <w:r>
        <w:rPr>
          <w:spacing w:val="-5"/>
        </w:rPr>
        <w:t xml:space="preserve"> </w:t>
      </w:r>
      <w:r>
        <w:t>and</w:t>
      </w:r>
      <w:r>
        <w:rPr>
          <w:spacing w:val="-6"/>
        </w:rPr>
        <w:t xml:space="preserve"> </w:t>
      </w:r>
      <w:r>
        <w:t>8,</w:t>
      </w:r>
      <w:r>
        <w:rPr>
          <w:spacing w:val="-5"/>
        </w:rPr>
        <w:t xml:space="preserve"> </w:t>
      </w:r>
      <w:r>
        <w:t>the</w:t>
      </w:r>
      <w:r>
        <w:rPr>
          <w:spacing w:val="-5"/>
        </w:rPr>
        <w:t xml:space="preserve"> </w:t>
      </w:r>
      <w:r>
        <w:t>target</w:t>
      </w:r>
      <w:r>
        <w:rPr>
          <w:spacing w:val="-5"/>
        </w:rPr>
        <w:t xml:space="preserve"> </w:t>
      </w:r>
      <w:r>
        <w:t>within</w:t>
      </w:r>
      <w:r>
        <w:rPr>
          <w:spacing w:val="-6"/>
        </w:rPr>
        <w:t xml:space="preserve"> </w:t>
      </w:r>
      <w:r>
        <w:t>school</w:t>
      </w:r>
      <w:r>
        <w:rPr>
          <w:spacing w:val="-5"/>
        </w:rPr>
        <w:t xml:space="preserve"> </w:t>
      </w:r>
      <w:r>
        <w:t>sample</w:t>
      </w:r>
      <w:r>
        <w:rPr>
          <w:spacing w:val="-5"/>
        </w:rPr>
        <w:t xml:space="preserve"> </w:t>
      </w:r>
      <w:r>
        <w:t>size</w:t>
      </w:r>
      <w:r>
        <w:rPr>
          <w:spacing w:val="-5"/>
        </w:rPr>
        <w:t xml:space="preserve"> </w:t>
      </w:r>
      <w:r>
        <w:t>(`y_{j}`)</w:t>
      </w:r>
      <w:r>
        <w:rPr>
          <w:spacing w:val="-6"/>
        </w:rPr>
        <w:t xml:space="preserve"> </w:t>
      </w:r>
      <w:r>
        <w:t>was</w:t>
      </w:r>
      <w:r>
        <w:rPr>
          <w:spacing w:val="-5"/>
        </w:rPr>
        <w:t xml:space="preserve"> </w:t>
      </w:r>
      <w:r>
        <w:t>50,</w:t>
      </w:r>
      <w:r>
        <w:rPr>
          <w:spacing w:val="-5"/>
        </w:rPr>
        <w:t xml:space="preserve"> </w:t>
      </w:r>
      <w:r>
        <w:t>and</w:t>
      </w:r>
      <w:r>
        <w:rPr>
          <w:spacing w:val="-5"/>
        </w:rPr>
        <w:t xml:space="preserve"> </w:t>
      </w:r>
      <w:r>
        <w:t>the</w:t>
      </w:r>
      <w:r>
        <w:rPr>
          <w:spacing w:val="-6"/>
        </w:rPr>
        <w:t xml:space="preserve"> </w:t>
      </w:r>
      <w:r>
        <w:t>take-all</w:t>
      </w:r>
      <w:r>
        <w:rPr>
          <w:spacing w:val="-5"/>
        </w:rPr>
        <w:t xml:space="preserve"> </w:t>
      </w:r>
      <w:r>
        <w:t>cut</w:t>
      </w:r>
      <w:r>
        <w:rPr>
          <w:spacing w:val="-5"/>
        </w:rPr>
        <w:t xml:space="preserve"> </w:t>
      </w:r>
      <w:r>
        <w:rPr>
          <w:rFonts w:ascii="Open Sans"/>
          <w:color w:val="363636"/>
        </w:rPr>
        <w:t>(`z_{js}`)</w:t>
      </w:r>
      <w:r>
        <w:rPr>
          <w:rFonts w:ascii="Open Sans"/>
          <w:color w:val="363636"/>
          <w:spacing w:val="-6"/>
        </w:rPr>
        <w:t xml:space="preserve"> </w:t>
      </w:r>
      <w:r>
        <w:t>was</w:t>
      </w:r>
      <w:r>
        <w:rPr>
          <w:spacing w:val="-5"/>
        </w:rPr>
        <w:t xml:space="preserve"> 52.</w:t>
      </w:r>
    </w:p>
    <w:p w:rsidR="003F5784" w14:paraId="4C800ECD" w14:textId="77777777">
      <w:pPr>
        <w:pStyle w:val="BodyText"/>
        <w:spacing w:before="211"/>
        <w:ind w:left="109"/>
      </w:pPr>
      <w:r>
        <w:t>For</w:t>
      </w:r>
      <w:r>
        <w:rPr>
          <w:spacing w:val="-7"/>
        </w:rPr>
        <w:t xml:space="preserve"> </w:t>
      </w:r>
      <w:r>
        <w:t>the</w:t>
      </w:r>
      <w:r>
        <w:rPr>
          <w:spacing w:val="-6"/>
        </w:rPr>
        <w:t xml:space="preserve"> </w:t>
      </w:r>
      <w:r>
        <w:t>fourth-</w:t>
      </w:r>
      <w:r>
        <w:rPr>
          <w:spacing w:val="-7"/>
        </w:rPr>
        <w:t xml:space="preserve"> </w:t>
      </w:r>
      <w:r>
        <w:t>and</w:t>
      </w:r>
      <w:r>
        <w:rPr>
          <w:spacing w:val="-6"/>
        </w:rPr>
        <w:t xml:space="preserve"> </w:t>
      </w:r>
      <w:r>
        <w:t>eighth-grade</w:t>
      </w:r>
      <w:r>
        <w:rPr>
          <w:spacing w:val="-6"/>
        </w:rPr>
        <w:t xml:space="preserve"> </w:t>
      </w:r>
      <w:r>
        <w:t>national</w:t>
      </w:r>
      <w:r>
        <w:rPr>
          <w:spacing w:val="-7"/>
        </w:rPr>
        <w:t xml:space="preserve"> </w:t>
      </w:r>
      <w:r>
        <w:t>assessment</w:t>
      </w:r>
      <w:r>
        <w:rPr>
          <w:spacing w:val="-6"/>
        </w:rPr>
        <w:t xml:space="preserve"> </w:t>
      </w:r>
      <w:r>
        <w:t>in</w:t>
      </w:r>
      <w:r>
        <w:rPr>
          <w:spacing w:val="-6"/>
        </w:rPr>
        <w:t xml:space="preserve"> </w:t>
      </w:r>
      <w:r>
        <w:t>mathematics</w:t>
      </w:r>
      <w:r>
        <w:rPr>
          <w:spacing w:val="-7"/>
        </w:rPr>
        <w:t xml:space="preserve"> </w:t>
      </w:r>
      <w:r>
        <w:t>and</w:t>
      </w:r>
      <w:r>
        <w:rPr>
          <w:spacing w:val="-6"/>
        </w:rPr>
        <w:t xml:space="preserve"> </w:t>
      </w:r>
      <w:r>
        <w:t>reading</w:t>
      </w:r>
      <w:r>
        <w:rPr>
          <w:spacing w:val="-6"/>
        </w:rPr>
        <w:t xml:space="preserve"> </w:t>
      </w:r>
      <w:r>
        <w:t>for</w:t>
      </w:r>
      <w:r>
        <w:rPr>
          <w:spacing w:val="-7"/>
        </w:rPr>
        <w:t xml:space="preserve"> </w:t>
      </w:r>
      <w:r>
        <w:t>private</w:t>
      </w:r>
      <w:r>
        <w:rPr>
          <w:spacing w:val="-6"/>
        </w:rPr>
        <w:t xml:space="preserve"> </w:t>
      </w:r>
      <w:r>
        <w:t>schools,</w:t>
      </w:r>
      <w:r>
        <w:rPr>
          <w:spacing w:val="-6"/>
        </w:rPr>
        <w:t xml:space="preserve"> </w:t>
      </w:r>
      <w:r>
        <w:t>the</w:t>
      </w:r>
      <w:r>
        <w:rPr>
          <w:spacing w:val="-7"/>
        </w:rPr>
        <w:t xml:space="preserve"> </w:t>
      </w:r>
      <w:r>
        <w:t>preliminary</w:t>
      </w:r>
      <w:r>
        <w:rPr>
          <w:spacing w:val="-6"/>
        </w:rPr>
        <w:t xml:space="preserve"> </w:t>
      </w:r>
      <w:r>
        <w:t>measures</w:t>
      </w:r>
      <w:r>
        <w:rPr>
          <w:spacing w:val="-7"/>
        </w:rPr>
        <w:t xml:space="preserve"> </w:t>
      </w:r>
      <w:r>
        <w:t>of</w:t>
      </w:r>
      <w:r>
        <w:rPr>
          <w:spacing w:val="-6"/>
        </w:rPr>
        <w:t xml:space="preserve"> </w:t>
      </w:r>
      <w:r>
        <w:t>size</w:t>
      </w:r>
      <w:r>
        <w:rPr>
          <w:spacing w:val="-6"/>
        </w:rPr>
        <w:t xml:space="preserve"> </w:t>
      </w:r>
      <w:r>
        <w:t>(MOS)</w:t>
      </w:r>
      <w:r>
        <w:rPr>
          <w:spacing w:val="-7"/>
        </w:rPr>
        <w:t xml:space="preserve"> </w:t>
      </w:r>
      <w:r>
        <w:t>were</w:t>
      </w:r>
      <w:r>
        <w:rPr>
          <w:spacing w:val="-6"/>
        </w:rPr>
        <w:t xml:space="preserve"> </w:t>
      </w:r>
      <w:r>
        <w:t>calculated</w:t>
      </w:r>
      <w:r>
        <w:rPr>
          <w:spacing w:val="-6"/>
        </w:rPr>
        <w:t xml:space="preserve"> </w:t>
      </w:r>
      <w:r>
        <w:t>as</w:t>
      </w:r>
      <w:r>
        <w:rPr>
          <w:spacing w:val="-7"/>
        </w:rPr>
        <w:t xml:space="preserve"> </w:t>
      </w:r>
      <w:r>
        <w:rPr>
          <w:spacing w:val="-2"/>
        </w:rPr>
        <w:t>follows:</w:t>
      </w:r>
    </w:p>
    <w:p w:rsidR="003F5784" w14:paraId="67C4AF21" w14:textId="77777777">
      <w:pPr>
        <w:pStyle w:val="BodyText"/>
        <w:spacing w:before="202" w:line="238" w:lineRule="exact"/>
        <w:ind w:left="109"/>
      </w:pPr>
      <w:r>
        <w:rPr>
          <w:spacing w:val="-2"/>
        </w:rPr>
        <w:t>\begin{equation}</w:t>
      </w:r>
    </w:p>
    <w:p w:rsidR="003F5784" w14:paraId="7F7F6AF6" w14:textId="77777777">
      <w:pPr>
        <w:pStyle w:val="BodyText"/>
        <w:spacing w:before="3" w:line="232" w:lineRule="auto"/>
        <w:ind w:left="109" w:right="10671"/>
      </w:pPr>
      <w:r>
        <w:t>MOS_{js}</w:t>
      </w:r>
      <w:r>
        <w:rPr>
          <w:spacing w:val="-14"/>
        </w:rPr>
        <w:t xml:space="preserve"> </w:t>
      </w:r>
      <w:r>
        <w:t>=</w:t>
      </w:r>
      <w:r>
        <w:rPr>
          <w:spacing w:val="-13"/>
        </w:rPr>
        <w:t xml:space="preserve"> </w:t>
      </w:r>
      <w:r>
        <w:t>P_{s}\times</w:t>
      </w:r>
      <w:r>
        <w:rPr>
          <w:spacing w:val="-13"/>
        </w:rPr>
        <w:t xml:space="preserve"> </w:t>
      </w:r>
      <w:r>
        <w:t>\left\{</w:t>
      </w:r>
      <w:r>
        <w:rPr>
          <w:spacing w:val="-13"/>
        </w:rPr>
        <w:t xml:space="preserve"> </w:t>
      </w:r>
      <w:r>
        <w:t>\begin{array}{l} x_{js} &amp; \text{if } z_{js} &lt; x_{js} \\[2pt]</w:t>
      </w:r>
    </w:p>
    <w:p w:rsidR="003F5784" w14:paraId="563767BC" w14:textId="77777777">
      <w:pPr>
        <w:pStyle w:val="BodyText"/>
        <w:spacing w:line="233" w:lineRule="exact"/>
        <w:ind w:left="109"/>
      </w:pPr>
      <w:r>
        <w:t>y_{j}</w:t>
      </w:r>
      <w:r>
        <w:rPr>
          <w:spacing w:val="-6"/>
        </w:rPr>
        <w:t xml:space="preserve"> </w:t>
      </w:r>
      <w:r>
        <w:t>&amp;</w:t>
      </w:r>
      <w:r>
        <w:rPr>
          <w:spacing w:val="-5"/>
        </w:rPr>
        <w:t xml:space="preserve"> </w:t>
      </w:r>
      <w:r>
        <w:t>\text{if</w:t>
      </w:r>
      <w:r>
        <w:rPr>
          <w:spacing w:val="-5"/>
        </w:rPr>
        <w:t xml:space="preserve"> </w:t>
      </w:r>
      <w:r>
        <w:t>}</w:t>
      </w:r>
      <w:r>
        <w:rPr>
          <w:spacing w:val="-5"/>
        </w:rPr>
        <w:t xml:space="preserve"> </w:t>
      </w:r>
      <w:r>
        <w:t>20</w:t>
      </w:r>
      <w:r>
        <w:rPr>
          <w:spacing w:val="-5"/>
        </w:rPr>
        <w:t xml:space="preserve"> </w:t>
      </w:r>
      <w:r>
        <w:t>&lt;</w:t>
      </w:r>
      <w:r>
        <w:rPr>
          <w:spacing w:val="-5"/>
        </w:rPr>
        <w:t xml:space="preserve"> </w:t>
      </w:r>
      <w:r>
        <w:t>x_{js}</w:t>
      </w:r>
      <w:r>
        <w:rPr>
          <w:spacing w:val="-5"/>
        </w:rPr>
        <w:t xml:space="preserve"> </w:t>
      </w:r>
      <w:r>
        <w:t>\leq{z_{js}}</w:t>
      </w:r>
      <w:r>
        <w:rPr>
          <w:spacing w:val="-5"/>
        </w:rPr>
        <w:t xml:space="preserve"> </w:t>
      </w:r>
      <w:r>
        <w:rPr>
          <w:spacing w:val="-2"/>
        </w:rPr>
        <w:t>\\[2pt]</w:t>
      </w:r>
    </w:p>
    <w:p w:rsidR="003F5784" w14:paraId="2693879E" w14:textId="77777777">
      <w:pPr>
        <w:pStyle w:val="BodyText"/>
        <w:spacing w:line="235" w:lineRule="exact"/>
        <w:ind w:left="109"/>
      </w:pPr>
      <w:r>
        <w:t>\left(\dfrac{y_j}{20}\right)</w:t>
      </w:r>
      <w:r>
        <w:rPr>
          <w:spacing w:val="-7"/>
        </w:rPr>
        <w:t xml:space="preserve"> </w:t>
      </w:r>
      <w:r>
        <w:t>\times</w:t>
      </w:r>
      <w:r>
        <w:rPr>
          <w:spacing w:val="-6"/>
        </w:rPr>
        <w:t xml:space="preserve"> </w:t>
      </w:r>
      <w:r>
        <w:t>x_{js}</w:t>
      </w:r>
      <w:r>
        <w:rPr>
          <w:spacing w:val="-6"/>
        </w:rPr>
        <w:t xml:space="preserve"> </w:t>
      </w:r>
      <w:r>
        <w:t>&amp;</w:t>
      </w:r>
      <w:r>
        <w:rPr>
          <w:spacing w:val="-6"/>
        </w:rPr>
        <w:t xml:space="preserve"> </w:t>
      </w:r>
      <w:r>
        <w:t>\text{if</w:t>
      </w:r>
      <w:r>
        <w:rPr>
          <w:spacing w:val="-7"/>
        </w:rPr>
        <w:t xml:space="preserve"> </w:t>
      </w:r>
      <w:r>
        <w:t>}</w:t>
      </w:r>
      <w:r>
        <w:rPr>
          <w:spacing w:val="-6"/>
        </w:rPr>
        <w:t xml:space="preserve"> </w:t>
      </w:r>
      <w:r>
        <w:t>5</w:t>
      </w:r>
      <w:r>
        <w:rPr>
          <w:spacing w:val="-6"/>
        </w:rPr>
        <w:t xml:space="preserve"> </w:t>
      </w:r>
      <w:r>
        <w:t>&lt;</w:t>
      </w:r>
      <w:r>
        <w:rPr>
          <w:spacing w:val="-6"/>
        </w:rPr>
        <w:t xml:space="preserve"> </w:t>
      </w:r>
      <w:r>
        <w:t>x_{js}</w:t>
      </w:r>
      <w:r>
        <w:rPr>
          <w:spacing w:val="-6"/>
        </w:rPr>
        <w:t xml:space="preserve"> </w:t>
      </w:r>
      <w:r>
        <w:t>\leq</w:t>
      </w:r>
      <w:r>
        <w:rPr>
          <w:spacing w:val="-7"/>
        </w:rPr>
        <w:t xml:space="preserve"> </w:t>
      </w:r>
      <w:r>
        <w:t>{20}</w:t>
      </w:r>
      <w:r>
        <w:rPr>
          <w:spacing w:val="-6"/>
        </w:rPr>
        <w:t xml:space="preserve"> </w:t>
      </w:r>
      <w:r>
        <w:rPr>
          <w:spacing w:val="-5"/>
        </w:rPr>
        <w:t>\\</w:t>
      </w:r>
    </w:p>
    <w:p w:rsidR="003F5784" w14:paraId="04C67698" w14:textId="77777777">
      <w:pPr>
        <w:pStyle w:val="BodyText"/>
        <w:spacing w:line="235" w:lineRule="exact"/>
        <w:ind w:left="109"/>
      </w:pPr>
      <w:r>
        <w:t>\dfrac{y_j}{4}</w:t>
      </w:r>
      <w:r>
        <w:rPr>
          <w:spacing w:val="-7"/>
        </w:rPr>
        <w:t xml:space="preserve"> </w:t>
      </w:r>
      <w:r>
        <w:t>&amp;</w:t>
      </w:r>
      <w:r>
        <w:rPr>
          <w:spacing w:val="-6"/>
        </w:rPr>
        <w:t xml:space="preserve"> </w:t>
      </w:r>
      <w:r>
        <w:t>x_{js}</w:t>
      </w:r>
      <w:r>
        <w:rPr>
          <w:spacing w:val="-6"/>
        </w:rPr>
        <w:t xml:space="preserve"> </w:t>
      </w:r>
      <w:r>
        <w:t>\leq</w:t>
      </w:r>
      <w:r>
        <w:rPr>
          <w:spacing w:val="-6"/>
        </w:rPr>
        <w:t xml:space="preserve"> </w:t>
      </w:r>
      <w:r>
        <w:t>{5}</w:t>
      </w:r>
      <w:r>
        <w:rPr>
          <w:spacing w:val="-7"/>
        </w:rPr>
        <w:t xml:space="preserve"> </w:t>
      </w:r>
      <w:r>
        <w:rPr>
          <w:spacing w:val="-2"/>
        </w:rPr>
        <w:t>\end{array}\right.</w:t>
      </w:r>
    </w:p>
    <w:p w:rsidR="003F5784" w14:paraId="4CC04F8E" w14:textId="77777777">
      <w:pPr>
        <w:pStyle w:val="BodyText"/>
        <w:spacing w:line="238" w:lineRule="exact"/>
        <w:ind w:left="109"/>
      </w:pPr>
      <w:r>
        <w:rPr>
          <w:spacing w:val="-2"/>
        </w:rPr>
        <w:t>\end{equation}</w:t>
      </w:r>
    </w:p>
    <w:p w:rsidR="003F5784" w14:paraId="08B8C61E" w14:textId="77777777">
      <w:pPr>
        <w:pStyle w:val="BodyText"/>
        <w:spacing w:before="201" w:line="465" w:lineRule="auto"/>
        <w:ind w:left="109" w:right="361"/>
      </w:pPr>
      <w:r>
        <w:t>The</w:t>
      </w:r>
      <w:r>
        <w:rPr>
          <w:spacing w:val="-6"/>
        </w:rPr>
        <w:t xml:space="preserve"> </w:t>
      </w:r>
      <w:r>
        <w:t>preliminary</w:t>
      </w:r>
      <w:r>
        <w:rPr>
          <w:spacing w:val="-6"/>
        </w:rPr>
        <w:t xml:space="preserve"> </w:t>
      </w:r>
      <w:r>
        <w:t>school</w:t>
      </w:r>
      <w:r>
        <w:rPr>
          <w:spacing w:val="-6"/>
        </w:rPr>
        <w:t xml:space="preserve"> </w:t>
      </w:r>
      <w:r>
        <w:t>measure</w:t>
      </w:r>
      <w:r>
        <w:rPr>
          <w:spacing w:val="-6"/>
        </w:rPr>
        <w:t xml:space="preserve"> </w:t>
      </w:r>
      <w:r>
        <w:t>of</w:t>
      </w:r>
      <w:r>
        <w:rPr>
          <w:spacing w:val="-6"/>
        </w:rPr>
        <w:t xml:space="preserve"> </w:t>
      </w:r>
      <w:r>
        <w:t>size</w:t>
      </w:r>
      <w:r>
        <w:rPr>
          <w:spacing w:val="-6"/>
        </w:rPr>
        <w:t xml:space="preserve"> </w:t>
      </w:r>
      <w:r>
        <w:t>is</w:t>
      </w:r>
      <w:r>
        <w:rPr>
          <w:spacing w:val="-6"/>
        </w:rPr>
        <w:t xml:space="preserve"> </w:t>
      </w:r>
      <w:r>
        <w:t>rescaled</w:t>
      </w:r>
      <w:r>
        <w:rPr>
          <w:spacing w:val="-6"/>
        </w:rPr>
        <w:t xml:space="preserve"> </w:t>
      </w:r>
      <w:r>
        <w:t>to</w:t>
      </w:r>
      <w:r>
        <w:rPr>
          <w:spacing w:val="-6"/>
        </w:rPr>
        <w:t xml:space="preserve"> </w:t>
      </w:r>
      <w:r>
        <w:t>create</w:t>
      </w:r>
      <w:r>
        <w:rPr>
          <w:spacing w:val="-6"/>
        </w:rPr>
        <w:t xml:space="preserve"> </w:t>
      </w:r>
      <w:r>
        <w:t>an</w:t>
      </w:r>
      <w:r>
        <w:rPr>
          <w:spacing w:val="-6"/>
        </w:rPr>
        <w:t xml:space="preserve"> </w:t>
      </w:r>
      <w:r>
        <w:t>expected</w:t>
      </w:r>
      <w:r>
        <w:rPr>
          <w:spacing w:val="-6"/>
        </w:rPr>
        <w:t xml:space="preserve"> </w:t>
      </w:r>
      <w:r>
        <w:t>number</w:t>
      </w:r>
      <w:r>
        <w:rPr>
          <w:spacing w:val="-6"/>
        </w:rPr>
        <w:t xml:space="preserve"> </w:t>
      </w:r>
      <w:r>
        <w:t>of</w:t>
      </w:r>
      <w:r>
        <w:rPr>
          <w:spacing w:val="-6"/>
        </w:rPr>
        <w:t xml:space="preserve"> </w:t>
      </w:r>
      <w:r>
        <w:t>hits</w:t>
      </w:r>
      <w:r>
        <w:rPr>
          <w:spacing w:val="-6"/>
        </w:rPr>
        <w:t xml:space="preserve"> </w:t>
      </w:r>
      <w:r>
        <w:t>by</w:t>
      </w:r>
      <w:r>
        <w:rPr>
          <w:spacing w:val="-6"/>
        </w:rPr>
        <w:t xml:space="preserve"> </w:t>
      </w:r>
      <w:r>
        <w:t>applying</w:t>
      </w:r>
      <w:r>
        <w:rPr>
          <w:spacing w:val="-6"/>
        </w:rPr>
        <w:t xml:space="preserve"> </w:t>
      </w:r>
      <w:r>
        <w:t>a</w:t>
      </w:r>
      <w:r>
        <w:rPr>
          <w:spacing w:val="-6"/>
        </w:rPr>
        <w:t xml:space="preserve"> </w:t>
      </w:r>
      <w:r>
        <w:t>multiplicative</w:t>
      </w:r>
      <w:r>
        <w:rPr>
          <w:spacing w:val="-6"/>
        </w:rPr>
        <w:t xml:space="preserve"> </w:t>
      </w:r>
      <w:r>
        <w:t>constant</w:t>
      </w:r>
      <w:r>
        <w:rPr>
          <w:spacing w:val="-6"/>
        </w:rPr>
        <w:t xml:space="preserve"> </w:t>
      </w:r>
      <w:r>
        <w:t>`b_{j}`,</w:t>
      </w:r>
      <w:r>
        <w:rPr>
          <w:spacing w:val="-6"/>
        </w:rPr>
        <w:t xml:space="preserve"> </w:t>
      </w:r>
      <w:r>
        <w:t>which</w:t>
      </w:r>
      <w:r>
        <w:rPr>
          <w:spacing w:val="-6"/>
        </w:rPr>
        <w:t xml:space="preserve"> </w:t>
      </w:r>
      <w:r>
        <w:t>varies</w:t>
      </w:r>
      <w:r>
        <w:rPr>
          <w:spacing w:val="-6"/>
        </w:rPr>
        <w:t xml:space="preserve"> </w:t>
      </w:r>
      <w:r>
        <w:t>by</w:t>
      </w:r>
      <w:r>
        <w:rPr>
          <w:spacing w:val="-6"/>
        </w:rPr>
        <w:t xml:space="preserve"> </w:t>
      </w:r>
      <w:r>
        <w:t>grade</w:t>
      </w:r>
      <w:r>
        <w:rPr>
          <w:spacing w:val="-6"/>
        </w:rPr>
        <w:t xml:space="preserve"> </w:t>
      </w:r>
      <w:r>
        <w:t>and</w:t>
      </w:r>
      <w:r>
        <w:rPr>
          <w:spacing w:val="-6"/>
        </w:rPr>
        <w:t xml:space="preserve"> </w:t>
      </w:r>
      <w:r>
        <w:t>school</w:t>
      </w:r>
      <w:r>
        <w:rPr>
          <w:spacing w:val="-6"/>
        </w:rPr>
        <w:t xml:space="preserve"> </w:t>
      </w:r>
      <w:r>
        <w:t>type. It follows that the final measure of size, `E_{js}`, was defined as:</w:t>
      </w:r>
    </w:p>
    <w:p w:rsidR="003F5784" w14:paraId="339523F9" w14:textId="77777777">
      <w:pPr>
        <w:pStyle w:val="BodyText"/>
        <w:spacing w:line="213" w:lineRule="exact"/>
        <w:ind w:left="109"/>
      </w:pPr>
      <w:r>
        <w:rPr>
          <w:spacing w:val="-2"/>
        </w:rPr>
        <w:t>\begin{equation}</w:t>
      </w:r>
    </w:p>
    <w:p w:rsidR="003F5784" w14:paraId="7B91CE56" w14:textId="77777777">
      <w:pPr>
        <w:pStyle w:val="BodyText"/>
        <w:spacing w:line="235" w:lineRule="exact"/>
        <w:ind w:left="109"/>
      </w:pPr>
      <w:r>
        <w:rPr>
          <w:spacing w:val="-2"/>
        </w:rPr>
        <w:t>E_{js}=min(b_{j}\times</w:t>
      </w:r>
      <w:r>
        <w:rPr>
          <w:spacing w:val="14"/>
        </w:rPr>
        <w:t xml:space="preserve"> </w:t>
      </w:r>
      <w:r>
        <w:rPr>
          <w:spacing w:val="-2"/>
        </w:rPr>
        <w:t>MOS_{js},</w:t>
      </w:r>
      <w:r>
        <w:rPr>
          <w:spacing w:val="15"/>
        </w:rPr>
        <w:t xml:space="preserve"> </w:t>
      </w:r>
      <w:r>
        <w:rPr>
          <w:spacing w:val="-2"/>
        </w:rPr>
        <w:t>u_{j}),</w:t>
      </w:r>
    </w:p>
    <w:p w:rsidR="003F5784" w14:paraId="23A5B301" w14:textId="77777777">
      <w:pPr>
        <w:pStyle w:val="BodyText"/>
        <w:spacing w:line="238" w:lineRule="exact"/>
        <w:ind w:left="109"/>
      </w:pPr>
      <w:r>
        <w:rPr>
          <w:spacing w:val="-2"/>
        </w:rPr>
        <w:t>\end{equation}</w:t>
      </w:r>
    </w:p>
    <w:p w:rsidR="003F5784" w14:paraId="26D0E749" w14:textId="77777777">
      <w:pPr>
        <w:pStyle w:val="BodyText"/>
        <w:spacing w:before="208" w:line="232" w:lineRule="auto"/>
        <w:ind w:left="109" w:right="179"/>
      </w:pPr>
      <w:r>
        <w:t>where</w:t>
      </w:r>
      <w:r>
        <w:rPr>
          <w:spacing w:val="-6"/>
        </w:rPr>
        <w:t xml:space="preserve"> </w:t>
      </w:r>
      <w:r>
        <w:t>`u_{j}`</w:t>
      </w:r>
      <w:r>
        <w:rPr>
          <w:spacing w:val="-6"/>
        </w:rPr>
        <w:t xml:space="preserve"> </w:t>
      </w:r>
      <w:r>
        <w:t>is</w:t>
      </w:r>
      <w:r>
        <w:rPr>
          <w:spacing w:val="-6"/>
        </w:rPr>
        <w:t xml:space="preserve"> </w:t>
      </w:r>
      <w:r>
        <w:t>the</w:t>
      </w:r>
      <w:r>
        <w:rPr>
          <w:spacing w:val="-6"/>
        </w:rPr>
        <w:t xml:space="preserve"> </w:t>
      </w:r>
      <w:r>
        <w:t>maximum</w:t>
      </w:r>
      <w:r>
        <w:rPr>
          <w:spacing w:val="-6"/>
        </w:rPr>
        <w:t xml:space="preserve"> </w:t>
      </w:r>
      <w:r>
        <w:t>number</w:t>
      </w:r>
      <w:r>
        <w:rPr>
          <w:spacing w:val="-6"/>
        </w:rPr>
        <w:t xml:space="preserve"> </w:t>
      </w:r>
      <w:r>
        <w:t>of</w:t>
      </w:r>
      <w:r>
        <w:rPr>
          <w:spacing w:val="-6"/>
        </w:rPr>
        <w:t xml:space="preserve"> </w:t>
      </w:r>
      <w:r>
        <w:t>hits</w:t>
      </w:r>
      <w:r>
        <w:rPr>
          <w:spacing w:val="-6"/>
        </w:rPr>
        <w:t xml:space="preserve"> </w:t>
      </w:r>
      <w:r>
        <w:t>allowed.</w:t>
      </w:r>
      <w:r>
        <w:rPr>
          <w:spacing w:val="-6"/>
        </w:rPr>
        <w:t xml:space="preserve"> </w:t>
      </w:r>
      <w:r>
        <w:t>For</w:t>
      </w:r>
      <w:r>
        <w:rPr>
          <w:spacing w:val="-6"/>
        </w:rPr>
        <w:t xml:space="preserve"> </w:t>
      </w:r>
      <w:r>
        <w:t>the</w:t>
      </w:r>
      <w:r>
        <w:rPr>
          <w:spacing w:val="-6"/>
        </w:rPr>
        <w:t xml:space="preserve"> </w:t>
      </w:r>
      <w:r>
        <w:t>fourth-</w:t>
      </w:r>
      <w:r>
        <w:rPr>
          <w:spacing w:val="-6"/>
        </w:rPr>
        <w:t xml:space="preserve"> </w:t>
      </w:r>
      <w:r>
        <w:t>and</w:t>
      </w:r>
      <w:r>
        <w:rPr>
          <w:spacing w:val="-6"/>
        </w:rPr>
        <w:t xml:space="preserve"> </w:t>
      </w:r>
      <w:r>
        <w:t>eighth-grade</w:t>
      </w:r>
      <w:r>
        <w:rPr>
          <w:spacing w:val="-6"/>
        </w:rPr>
        <w:t xml:space="preserve"> </w:t>
      </w:r>
      <w:r>
        <w:t>private</w:t>
      </w:r>
      <w:r>
        <w:rPr>
          <w:spacing w:val="-6"/>
        </w:rPr>
        <w:t xml:space="preserve"> </w:t>
      </w:r>
      <w:r>
        <w:t>school</w:t>
      </w:r>
      <w:r>
        <w:rPr>
          <w:spacing w:val="-6"/>
        </w:rPr>
        <w:t xml:space="preserve"> </w:t>
      </w:r>
      <w:r>
        <w:t>samples</w:t>
      </w:r>
      <w:r>
        <w:rPr>
          <w:spacing w:val="-6"/>
        </w:rPr>
        <w:t xml:space="preserve"> </w:t>
      </w:r>
      <w:r>
        <w:t>for</w:t>
      </w:r>
      <w:r>
        <w:rPr>
          <w:spacing w:val="-6"/>
        </w:rPr>
        <w:t xml:space="preserve"> </w:t>
      </w:r>
      <w:r>
        <w:t>the</w:t>
      </w:r>
      <w:r>
        <w:rPr>
          <w:spacing w:val="-6"/>
        </w:rPr>
        <w:t xml:space="preserve"> </w:t>
      </w:r>
      <w:r>
        <w:t>mathematics</w:t>
      </w:r>
      <w:r>
        <w:rPr>
          <w:spacing w:val="-6"/>
        </w:rPr>
        <w:t xml:space="preserve"> </w:t>
      </w:r>
      <w:r>
        <w:t>and</w:t>
      </w:r>
      <w:r>
        <w:rPr>
          <w:spacing w:val="-6"/>
        </w:rPr>
        <w:t xml:space="preserve"> </w:t>
      </w:r>
      <w:r>
        <w:t>reading</w:t>
      </w:r>
      <w:r>
        <w:rPr>
          <w:spacing w:val="-6"/>
        </w:rPr>
        <w:t xml:space="preserve"> </w:t>
      </w:r>
      <w:r>
        <w:t>assessments,</w:t>
      </w:r>
      <w:r>
        <w:rPr>
          <w:spacing w:val="-6"/>
        </w:rPr>
        <w:t xml:space="preserve"> </w:t>
      </w:r>
      <w:r>
        <w:t>the</w:t>
      </w:r>
      <w:r>
        <w:rPr>
          <w:spacing w:val="-6"/>
        </w:rPr>
        <w:t xml:space="preserve"> </w:t>
      </w:r>
      <w:r>
        <w:t>limit</w:t>
      </w:r>
      <w:r>
        <w:rPr>
          <w:spacing w:val="-6"/>
        </w:rPr>
        <w:t xml:space="preserve"> </w:t>
      </w:r>
      <w:r>
        <w:t>was</w:t>
      </w:r>
      <w:r>
        <w:rPr>
          <w:spacing w:val="-6"/>
        </w:rPr>
        <w:t xml:space="preserve"> </w:t>
      </w:r>
      <w:r>
        <w:t xml:space="preserve">one </w:t>
      </w:r>
      <w:r>
        <w:rPr>
          <w:spacing w:val="-4"/>
        </w:rPr>
        <w:t>hit.</w:t>
      </w:r>
    </w:p>
    <w:p w:rsidR="003F5784" w14:paraId="37459EA8" w14:textId="77777777">
      <w:pPr>
        <w:pStyle w:val="BodyText"/>
        <w:spacing w:before="209" w:line="232" w:lineRule="auto"/>
        <w:ind w:left="109" w:right="117"/>
      </w:pPr>
      <w:r>
        <w:t>One</w:t>
      </w:r>
      <w:r>
        <w:rPr>
          <w:spacing w:val="-6"/>
        </w:rPr>
        <w:t xml:space="preserve"> </w:t>
      </w:r>
      <w:r>
        <w:t>can</w:t>
      </w:r>
      <w:r>
        <w:rPr>
          <w:spacing w:val="-6"/>
        </w:rPr>
        <w:t xml:space="preserve"> </w:t>
      </w:r>
      <w:r>
        <w:t>choose</w:t>
      </w:r>
      <w:r>
        <w:rPr>
          <w:spacing w:val="-6"/>
        </w:rPr>
        <w:t xml:space="preserve"> </w:t>
      </w:r>
      <w:r>
        <w:t>a</w:t>
      </w:r>
      <w:r>
        <w:rPr>
          <w:spacing w:val="-6"/>
        </w:rPr>
        <w:t xml:space="preserve"> </w:t>
      </w:r>
      <w:r>
        <w:t>value</w:t>
      </w:r>
      <w:r>
        <w:rPr>
          <w:spacing w:val="-6"/>
        </w:rPr>
        <w:t xml:space="preserve"> </w:t>
      </w:r>
      <w:r>
        <w:t>of</w:t>
      </w:r>
      <w:r>
        <w:rPr>
          <w:spacing w:val="-6"/>
        </w:rPr>
        <w:t xml:space="preserve"> </w:t>
      </w:r>
      <w:r>
        <w:t>`b_{j}`</w:t>
      </w:r>
      <w:r>
        <w:rPr>
          <w:spacing w:val="-6"/>
        </w:rPr>
        <w:t xml:space="preserve"> </w:t>
      </w:r>
      <w:r>
        <w:t>such</w:t>
      </w:r>
      <w:r>
        <w:rPr>
          <w:spacing w:val="-6"/>
        </w:rPr>
        <w:t xml:space="preserve"> </w:t>
      </w:r>
      <w:r>
        <w:t>that</w:t>
      </w:r>
      <w:r>
        <w:rPr>
          <w:spacing w:val="-6"/>
        </w:rPr>
        <w:t xml:space="preserve"> </w:t>
      </w:r>
      <w:r>
        <w:t>the</w:t>
      </w:r>
      <w:r>
        <w:rPr>
          <w:spacing w:val="-6"/>
        </w:rPr>
        <w:t xml:space="preserve"> </w:t>
      </w:r>
      <w:r>
        <w:t>expected</w:t>
      </w:r>
      <w:r>
        <w:rPr>
          <w:spacing w:val="-6"/>
        </w:rPr>
        <w:t xml:space="preserve"> </w:t>
      </w:r>
      <w:r>
        <w:t>overall</w:t>
      </w:r>
      <w:r>
        <w:rPr>
          <w:spacing w:val="-6"/>
        </w:rPr>
        <w:t xml:space="preserve"> </w:t>
      </w:r>
      <w:r>
        <w:t>student</w:t>
      </w:r>
      <w:r>
        <w:rPr>
          <w:spacing w:val="-6"/>
        </w:rPr>
        <w:t xml:space="preserve"> </w:t>
      </w:r>
      <w:r>
        <w:t>sample</w:t>
      </w:r>
      <w:r>
        <w:rPr>
          <w:spacing w:val="-6"/>
        </w:rPr>
        <w:t xml:space="preserve"> </w:t>
      </w:r>
      <w:r>
        <w:t>yield</w:t>
      </w:r>
      <w:r>
        <w:rPr>
          <w:spacing w:val="-6"/>
        </w:rPr>
        <w:t xml:space="preserve"> </w:t>
      </w:r>
      <w:r>
        <w:t>matches</w:t>
      </w:r>
      <w:r>
        <w:rPr>
          <w:spacing w:val="-6"/>
        </w:rPr>
        <w:t xml:space="preserve"> </w:t>
      </w:r>
      <w:r>
        <w:t>the</w:t>
      </w:r>
      <w:r>
        <w:rPr>
          <w:spacing w:val="-6"/>
        </w:rPr>
        <w:t xml:space="preserve"> </w:t>
      </w:r>
      <w:r>
        <w:t>desired</w:t>
      </w:r>
      <w:r>
        <w:rPr>
          <w:spacing w:val="-6"/>
        </w:rPr>
        <w:t xml:space="preserve"> </w:t>
      </w:r>
      <w:r>
        <w:t>targets</w:t>
      </w:r>
      <w:r>
        <w:rPr>
          <w:spacing w:val="-6"/>
        </w:rPr>
        <w:t xml:space="preserve"> </w:t>
      </w:r>
      <w:r>
        <w:t>specified</w:t>
      </w:r>
      <w:r>
        <w:rPr>
          <w:spacing w:val="-6"/>
        </w:rPr>
        <w:t xml:space="preserve"> </w:t>
      </w:r>
      <w:r>
        <w:t>by</w:t>
      </w:r>
      <w:r>
        <w:rPr>
          <w:spacing w:val="-6"/>
        </w:rPr>
        <w:t xml:space="preserve"> </w:t>
      </w:r>
      <w:r>
        <w:t>the</w:t>
      </w:r>
      <w:r>
        <w:rPr>
          <w:spacing w:val="-6"/>
        </w:rPr>
        <w:t xml:space="preserve"> </w:t>
      </w:r>
      <w:r>
        <w:t>design,</w:t>
      </w:r>
      <w:r>
        <w:rPr>
          <w:spacing w:val="-6"/>
        </w:rPr>
        <w:t xml:space="preserve"> </w:t>
      </w:r>
      <w:r>
        <w:t>where</w:t>
      </w:r>
      <w:r>
        <w:rPr>
          <w:spacing w:val="-6"/>
        </w:rPr>
        <w:t xml:space="preserve"> </w:t>
      </w:r>
      <w:r>
        <w:t>the</w:t>
      </w:r>
      <w:r>
        <w:rPr>
          <w:spacing w:val="-6"/>
        </w:rPr>
        <w:t xml:space="preserve"> </w:t>
      </w:r>
      <w:r>
        <w:t>expected</w:t>
      </w:r>
      <w:r>
        <w:rPr>
          <w:spacing w:val="-6"/>
        </w:rPr>
        <w:t xml:space="preserve"> </w:t>
      </w:r>
      <w:r>
        <w:t>yield</w:t>
      </w:r>
      <w:r>
        <w:rPr>
          <w:spacing w:val="-6"/>
        </w:rPr>
        <w:t xml:space="preserve"> </w:t>
      </w:r>
      <w:r>
        <w:t>is</w:t>
      </w:r>
      <w:r>
        <w:rPr>
          <w:spacing w:val="-6"/>
        </w:rPr>
        <w:t xml:space="preserve"> </w:t>
      </w:r>
      <w:r>
        <w:t>calculated by summing the product of an individual school’s probability and its student sample yield across all schools in the frame.</w:t>
      </w:r>
    </w:p>
    <w:p w:rsidR="003F5784" w14:paraId="04E46349" w14:textId="77777777">
      <w:pPr>
        <w:pStyle w:val="BodyText"/>
        <w:spacing w:before="203" w:line="238" w:lineRule="exact"/>
        <w:ind w:left="109"/>
      </w:pPr>
      <w:r>
        <w:t>The</w:t>
      </w:r>
      <w:r>
        <w:rPr>
          <w:spacing w:val="-7"/>
        </w:rPr>
        <w:t xml:space="preserve"> </w:t>
      </w:r>
      <w:r>
        <w:t>school's</w:t>
      </w:r>
      <w:r>
        <w:rPr>
          <w:spacing w:val="-6"/>
        </w:rPr>
        <w:t xml:space="preserve"> </w:t>
      </w:r>
      <w:r>
        <w:t>probability</w:t>
      </w:r>
      <w:r>
        <w:rPr>
          <w:spacing w:val="-7"/>
        </w:rPr>
        <w:t xml:space="preserve"> </w:t>
      </w:r>
      <w:r>
        <w:t>of</w:t>
      </w:r>
      <w:r>
        <w:rPr>
          <w:spacing w:val="-6"/>
        </w:rPr>
        <w:t xml:space="preserve"> </w:t>
      </w:r>
      <w:r>
        <w:t>selection,</w:t>
      </w:r>
      <w:r>
        <w:rPr>
          <w:spacing w:val="-6"/>
        </w:rPr>
        <w:t xml:space="preserve"> </w:t>
      </w:r>
      <w:r>
        <w:t>`\pi_{js}`,</w:t>
      </w:r>
      <w:r>
        <w:rPr>
          <w:spacing w:val="-7"/>
        </w:rPr>
        <w:t xml:space="preserve"> </w:t>
      </w:r>
      <w:r>
        <w:t>was</w:t>
      </w:r>
      <w:r>
        <w:rPr>
          <w:spacing w:val="-6"/>
        </w:rPr>
        <w:t xml:space="preserve"> </w:t>
      </w:r>
      <w:r>
        <w:t>given</w:t>
      </w:r>
      <w:r>
        <w:rPr>
          <w:spacing w:val="-6"/>
        </w:rPr>
        <w:t xml:space="preserve"> </w:t>
      </w:r>
      <w:r>
        <w:t>by:</w:t>
      </w:r>
      <w:r>
        <w:rPr>
          <w:spacing w:val="-7"/>
        </w:rPr>
        <w:t xml:space="preserve"> </w:t>
      </w:r>
      <w:r>
        <w:rPr>
          <w:spacing w:val="-2"/>
        </w:rPr>
        <w:t>\begin{equation}</w:t>
      </w:r>
    </w:p>
    <w:p w:rsidR="003F5784" w14:paraId="48C1893D" w14:textId="77777777">
      <w:pPr>
        <w:pStyle w:val="BodyText"/>
        <w:spacing w:line="235" w:lineRule="exact"/>
        <w:ind w:left="109"/>
      </w:pPr>
      <w:r>
        <w:rPr>
          <w:spacing w:val="-2"/>
        </w:rPr>
        <w:t>\pi_{js}=min(E_{js},1).</w:t>
      </w:r>
    </w:p>
    <w:p w:rsidR="003F5784" w14:paraId="43BAB8F5" w14:textId="77777777">
      <w:pPr>
        <w:pStyle w:val="BodyText"/>
        <w:spacing w:line="238" w:lineRule="exact"/>
        <w:ind w:left="109"/>
      </w:pPr>
      <w:r>
        <w:rPr>
          <w:spacing w:val="-2"/>
        </w:rPr>
        <w:t>\end{equation}</w:t>
      </w:r>
    </w:p>
    <w:p w:rsidR="003F5784" w14:paraId="6D567A00" w14:textId="77777777">
      <w:pPr>
        <w:spacing w:line="238" w:lineRule="exact"/>
        <w:sectPr>
          <w:pgSz w:w="15840" w:h="12240" w:orient="landscape"/>
          <w:pgMar w:top="480" w:right="440" w:bottom="460" w:left="460" w:header="284" w:footer="275" w:gutter="0"/>
          <w:cols w:space="720"/>
        </w:sectPr>
      </w:pPr>
    </w:p>
    <w:p w:rsidR="003F5784" w14:paraId="29933A87" w14:textId="77777777">
      <w:pPr>
        <w:pStyle w:val="BodyText"/>
        <w:spacing w:before="72"/>
        <w:ind w:right="2659"/>
        <w:jc w:val="center"/>
      </w:pPr>
      <w:r>
        <w:t>In</w:t>
      </w:r>
      <w:r>
        <w:rPr>
          <w:spacing w:val="-7"/>
        </w:rPr>
        <w:t xml:space="preserve"> </w:t>
      </w:r>
      <w:r>
        <w:t>addition,</w:t>
      </w:r>
      <w:r>
        <w:rPr>
          <w:spacing w:val="-6"/>
        </w:rPr>
        <w:t xml:space="preserve"> </w:t>
      </w:r>
      <w:r>
        <w:t>new</w:t>
      </w:r>
      <w:r>
        <w:rPr>
          <w:spacing w:val="-6"/>
        </w:rPr>
        <w:t xml:space="preserve"> </w:t>
      </w:r>
      <w:r>
        <w:t>and</w:t>
      </w:r>
      <w:r>
        <w:rPr>
          <w:spacing w:val="-6"/>
        </w:rPr>
        <w:t xml:space="preserve"> </w:t>
      </w:r>
      <w:r>
        <w:t>newly-eligible</w:t>
      </w:r>
      <w:r>
        <w:rPr>
          <w:spacing w:val="-7"/>
        </w:rPr>
        <w:t xml:space="preserve"> </w:t>
      </w:r>
      <w:r>
        <w:t>Catholic</w:t>
      </w:r>
      <w:r>
        <w:rPr>
          <w:spacing w:val="-6"/>
        </w:rPr>
        <w:t xml:space="preserve"> </w:t>
      </w:r>
      <w:r>
        <w:t>schools</w:t>
      </w:r>
      <w:r>
        <w:rPr>
          <w:spacing w:val="-6"/>
        </w:rPr>
        <w:t xml:space="preserve"> </w:t>
      </w:r>
      <w:r>
        <w:t>were</w:t>
      </w:r>
      <w:r>
        <w:rPr>
          <w:spacing w:val="-6"/>
        </w:rPr>
        <w:t xml:space="preserve"> </w:t>
      </w:r>
      <w:r>
        <w:t>sampled</w:t>
      </w:r>
      <w:r>
        <w:rPr>
          <w:spacing w:val="-7"/>
        </w:rPr>
        <w:t xml:space="preserve"> </w:t>
      </w:r>
      <w:r>
        <w:t>from</w:t>
      </w:r>
      <w:r>
        <w:rPr>
          <w:spacing w:val="-6"/>
        </w:rPr>
        <w:t xml:space="preserve"> </w:t>
      </w:r>
      <w:r>
        <w:t>the</w:t>
      </w:r>
      <w:r>
        <w:rPr>
          <w:spacing w:val="-6"/>
        </w:rPr>
        <w:t xml:space="preserve"> </w:t>
      </w:r>
      <w:r>
        <w:t>new-school</w:t>
      </w:r>
      <w:r>
        <w:rPr>
          <w:spacing w:val="-6"/>
        </w:rPr>
        <w:t xml:space="preserve"> </w:t>
      </w:r>
      <w:r>
        <w:t>frame.</w:t>
      </w:r>
      <w:r>
        <w:rPr>
          <w:spacing w:val="-10"/>
        </w:rPr>
        <w:t xml:space="preserve"> </w:t>
      </w:r>
      <w:r>
        <w:t>The</w:t>
      </w:r>
      <w:r>
        <w:rPr>
          <w:spacing w:val="-6"/>
        </w:rPr>
        <w:t xml:space="preserve"> </w:t>
      </w:r>
      <w:r>
        <w:t>assigned</w:t>
      </w:r>
      <w:r>
        <w:rPr>
          <w:spacing w:val="-6"/>
        </w:rPr>
        <w:t xml:space="preserve"> </w:t>
      </w:r>
      <w:r>
        <w:t>measures</w:t>
      </w:r>
      <w:r>
        <w:rPr>
          <w:spacing w:val="-7"/>
        </w:rPr>
        <w:t xml:space="preserve"> </w:t>
      </w:r>
      <w:r>
        <w:t>of</w:t>
      </w:r>
      <w:r>
        <w:rPr>
          <w:spacing w:val="-6"/>
        </w:rPr>
        <w:t xml:space="preserve"> </w:t>
      </w:r>
      <w:r>
        <w:t>size</w:t>
      </w:r>
      <w:r>
        <w:rPr>
          <w:spacing w:val="-6"/>
        </w:rPr>
        <w:t xml:space="preserve"> </w:t>
      </w:r>
      <w:r>
        <w:t>for</w:t>
      </w:r>
      <w:r>
        <w:rPr>
          <w:spacing w:val="-6"/>
        </w:rPr>
        <w:t xml:space="preserve"> </w:t>
      </w:r>
      <w:r>
        <w:t>these</w:t>
      </w:r>
      <w:r>
        <w:rPr>
          <w:spacing w:val="-7"/>
        </w:rPr>
        <w:t xml:space="preserve"> </w:t>
      </w:r>
      <w:r>
        <w:rPr>
          <w:spacing w:val="-2"/>
        </w:rPr>
        <w:t>schools,</w:t>
      </w:r>
    </w:p>
    <w:p w:rsidR="003F5784" w14:paraId="10390F82" w14:textId="77777777">
      <w:pPr>
        <w:pStyle w:val="BodyText"/>
        <w:spacing w:before="202" w:line="238" w:lineRule="exact"/>
        <w:ind w:left="109"/>
      </w:pPr>
      <w:r>
        <w:rPr>
          <w:spacing w:val="-2"/>
        </w:rPr>
        <w:t>\begin{equation}</w:t>
      </w:r>
    </w:p>
    <w:p w:rsidR="003F5784" w14:paraId="7814A61F" w14:textId="77777777">
      <w:pPr>
        <w:pStyle w:val="BodyText"/>
        <w:spacing w:line="235" w:lineRule="exact"/>
        <w:ind w:left="109"/>
      </w:pPr>
      <w:r>
        <w:rPr>
          <w:spacing w:val="-2"/>
        </w:rPr>
        <w:t>E_{js}=min(b_{j}\times</w:t>
      </w:r>
      <w:r>
        <w:rPr>
          <w:spacing w:val="17"/>
        </w:rPr>
        <w:t xml:space="preserve"> </w:t>
      </w:r>
      <w:r>
        <w:rPr>
          <w:spacing w:val="-2"/>
        </w:rPr>
        <w:t>MOS_{js}\times\pi_{djs}^{-1}</w:t>
      </w:r>
      <w:r>
        <w:rPr>
          <w:spacing w:val="17"/>
        </w:rPr>
        <w:t xml:space="preserve"> </w:t>
      </w:r>
      <w:r>
        <w:rPr>
          <w:spacing w:val="-2"/>
        </w:rPr>
        <w:t>,</w:t>
      </w:r>
      <w:r>
        <w:rPr>
          <w:spacing w:val="17"/>
        </w:rPr>
        <w:t xml:space="preserve"> </w:t>
      </w:r>
      <w:r>
        <w:rPr>
          <w:spacing w:val="-2"/>
        </w:rPr>
        <w:t>u_{j}),</w:t>
      </w:r>
    </w:p>
    <w:p w:rsidR="003F5784" w14:paraId="4B35E06F" w14:textId="77777777">
      <w:pPr>
        <w:pStyle w:val="BodyText"/>
        <w:spacing w:line="238" w:lineRule="exact"/>
        <w:ind w:left="109"/>
      </w:pPr>
      <w:r>
        <w:rPr>
          <w:spacing w:val="-2"/>
        </w:rPr>
        <w:t>\end{equation}</w:t>
      </w:r>
    </w:p>
    <w:p w:rsidR="003F5784" w14:paraId="6CEFCED3" w14:textId="77777777">
      <w:pPr>
        <w:pStyle w:val="BodyText"/>
        <w:spacing w:before="201" w:line="238" w:lineRule="exact"/>
        <w:ind w:left="109"/>
      </w:pPr>
      <w:r>
        <w:t>used</w:t>
      </w:r>
      <w:r>
        <w:rPr>
          <w:spacing w:val="-6"/>
        </w:rPr>
        <w:t xml:space="preserve"> </w:t>
      </w:r>
      <w:r>
        <w:t>the</w:t>
      </w:r>
      <w:r>
        <w:rPr>
          <w:spacing w:val="-5"/>
        </w:rPr>
        <w:t xml:space="preserve"> </w:t>
      </w:r>
      <w:r>
        <w:t>`b_{j}`</w:t>
      </w:r>
      <w:r>
        <w:rPr>
          <w:spacing w:val="-5"/>
        </w:rPr>
        <w:t xml:space="preserve"> </w:t>
      </w:r>
      <w:r>
        <w:t>and</w:t>
      </w:r>
      <w:r>
        <w:rPr>
          <w:spacing w:val="-5"/>
        </w:rPr>
        <w:t xml:space="preserve"> </w:t>
      </w:r>
      <w:r>
        <w:t>`u_{j}`</w:t>
      </w:r>
      <w:r>
        <w:rPr>
          <w:spacing w:val="-5"/>
        </w:rPr>
        <w:t xml:space="preserve"> </w:t>
      </w:r>
      <w:r>
        <w:t>values</w:t>
      </w:r>
      <w:r>
        <w:rPr>
          <w:spacing w:val="-5"/>
        </w:rPr>
        <w:t xml:space="preserve"> </w:t>
      </w:r>
      <w:r>
        <w:t>from</w:t>
      </w:r>
      <w:r>
        <w:rPr>
          <w:spacing w:val="-6"/>
        </w:rPr>
        <w:t xml:space="preserve"> </w:t>
      </w:r>
      <w:r>
        <w:t>the</w:t>
      </w:r>
      <w:r>
        <w:rPr>
          <w:spacing w:val="-5"/>
        </w:rPr>
        <w:t xml:space="preserve"> </w:t>
      </w:r>
      <w:r>
        <w:t>main</w:t>
      </w:r>
      <w:r>
        <w:rPr>
          <w:spacing w:val="-5"/>
        </w:rPr>
        <w:t xml:space="preserve"> </w:t>
      </w:r>
      <w:r>
        <w:t>school</w:t>
      </w:r>
      <w:r>
        <w:rPr>
          <w:spacing w:val="-5"/>
        </w:rPr>
        <w:t xml:space="preserve"> </w:t>
      </w:r>
      <w:r>
        <w:t>sample</w:t>
      </w:r>
      <w:r>
        <w:rPr>
          <w:spacing w:val="-5"/>
        </w:rPr>
        <w:t xml:space="preserve"> </w:t>
      </w:r>
      <w:r>
        <w:t>for</w:t>
      </w:r>
      <w:r>
        <w:rPr>
          <w:spacing w:val="-5"/>
        </w:rPr>
        <w:t xml:space="preserve"> </w:t>
      </w:r>
      <w:r>
        <w:t>the</w:t>
      </w:r>
      <w:r>
        <w:rPr>
          <w:spacing w:val="-6"/>
        </w:rPr>
        <w:t xml:space="preserve"> </w:t>
      </w:r>
      <w:r>
        <w:t>grade</w:t>
      </w:r>
      <w:r>
        <w:rPr>
          <w:spacing w:val="-5"/>
        </w:rPr>
        <w:t xml:space="preserve"> </w:t>
      </w:r>
      <w:r>
        <w:t>and</w:t>
      </w:r>
      <w:r>
        <w:rPr>
          <w:spacing w:val="-5"/>
        </w:rPr>
        <w:t xml:space="preserve"> </w:t>
      </w:r>
      <w:r>
        <w:t>school</w:t>
      </w:r>
      <w:r>
        <w:rPr>
          <w:spacing w:val="-5"/>
        </w:rPr>
        <w:t xml:space="preserve"> </w:t>
      </w:r>
      <w:r>
        <w:t>type</w:t>
      </w:r>
      <w:r>
        <w:rPr>
          <w:spacing w:val="-5"/>
        </w:rPr>
        <w:t xml:space="preserve"> </w:t>
      </w:r>
      <w:r>
        <w:t>(i.e.,</w:t>
      </w:r>
      <w:r>
        <w:rPr>
          <w:spacing w:val="-5"/>
        </w:rPr>
        <w:t xml:space="preserve"> </w:t>
      </w:r>
      <w:r>
        <w:t>the</w:t>
      </w:r>
      <w:r>
        <w:rPr>
          <w:spacing w:val="-6"/>
        </w:rPr>
        <w:t xml:space="preserve"> </w:t>
      </w:r>
      <w:r>
        <w:t>same</w:t>
      </w:r>
      <w:r>
        <w:rPr>
          <w:spacing w:val="-5"/>
        </w:rPr>
        <w:t xml:space="preserve"> </w:t>
      </w:r>
      <w:r>
        <w:t>sampling</w:t>
      </w:r>
      <w:r>
        <w:rPr>
          <w:spacing w:val="-5"/>
        </w:rPr>
        <w:t xml:space="preserve"> </w:t>
      </w:r>
      <w:r>
        <w:t>rates</w:t>
      </w:r>
      <w:r>
        <w:rPr>
          <w:spacing w:val="-5"/>
        </w:rPr>
        <w:t xml:space="preserve"> </w:t>
      </w:r>
      <w:r>
        <w:t>as</w:t>
      </w:r>
      <w:r>
        <w:rPr>
          <w:spacing w:val="-5"/>
        </w:rPr>
        <w:t xml:space="preserve"> </w:t>
      </w:r>
      <w:r>
        <w:t>for</w:t>
      </w:r>
      <w:r>
        <w:rPr>
          <w:spacing w:val="-5"/>
        </w:rPr>
        <w:t xml:space="preserve"> </w:t>
      </w:r>
      <w:r>
        <w:t>the</w:t>
      </w:r>
      <w:r>
        <w:rPr>
          <w:spacing w:val="-5"/>
        </w:rPr>
        <w:t xml:space="preserve"> </w:t>
      </w:r>
      <w:r>
        <w:t>main</w:t>
      </w:r>
      <w:r>
        <w:rPr>
          <w:spacing w:val="-6"/>
        </w:rPr>
        <w:t xml:space="preserve"> </w:t>
      </w:r>
      <w:r>
        <w:t>school</w:t>
      </w:r>
      <w:r>
        <w:rPr>
          <w:spacing w:val="-5"/>
        </w:rPr>
        <w:t xml:space="preserve"> </w:t>
      </w:r>
      <w:r>
        <w:t>sample).</w:t>
      </w:r>
      <w:r>
        <w:rPr>
          <w:spacing w:val="-9"/>
        </w:rPr>
        <w:t xml:space="preserve"> </w:t>
      </w:r>
      <w:r>
        <w:t>The</w:t>
      </w:r>
      <w:r>
        <w:rPr>
          <w:spacing w:val="-5"/>
        </w:rPr>
        <w:t xml:space="preserve"> </w:t>
      </w:r>
      <w:r>
        <w:rPr>
          <w:spacing w:val="-2"/>
        </w:rPr>
        <w:t>variable</w:t>
      </w:r>
    </w:p>
    <w:p w:rsidR="003F5784" w14:paraId="46DE5FF3" w14:textId="77777777">
      <w:pPr>
        <w:pStyle w:val="BodyText"/>
        <w:spacing w:line="238" w:lineRule="exact"/>
        <w:ind w:left="109"/>
      </w:pPr>
      <w:r>
        <w:t>`\pi_{djs}`</w:t>
      </w:r>
      <w:r>
        <w:rPr>
          <w:spacing w:val="-6"/>
        </w:rPr>
        <w:t xml:space="preserve"> </w:t>
      </w:r>
      <w:r>
        <w:t>is</w:t>
      </w:r>
      <w:r>
        <w:rPr>
          <w:spacing w:val="-6"/>
        </w:rPr>
        <w:t xml:space="preserve"> </w:t>
      </w:r>
      <w:r>
        <w:t>the</w:t>
      </w:r>
      <w:r>
        <w:rPr>
          <w:spacing w:val="-6"/>
        </w:rPr>
        <w:t xml:space="preserve"> </w:t>
      </w:r>
      <w:r>
        <w:t>probability</w:t>
      </w:r>
      <w:r>
        <w:rPr>
          <w:spacing w:val="-6"/>
        </w:rPr>
        <w:t xml:space="preserve"> </w:t>
      </w:r>
      <w:r>
        <w:t>of</w:t>
      </w:r>
      <w:r>
        <w:rPr>
          <w:spacing w:val="-6"/>
        </w:rPr>
        <w:t xml:space="preserve"> </w:t>
      </w:r>
      <w:r>
        <w:t>selection</w:t>
      </w:r>
      <w:r>
        <w:rPr>
          <w:spacing w:val="-6"/>
        </w:rPr>
        <w:t xml:space="preserve"> </w:t>
      </w:r>
      <w:r>
        <w:t>of</w:t>
      </w:r>
      <w:r>
        <w:rPr>
          <w:spacing w:val="-5"/>
        </w:rPr>
        <w:t xml:space="preserve"> </w:t>
      </w:r>
      <w:r>
        <w:t>the</w:t>
      </w:r>
      <w:r>
        <w:rPr>
          <w:spacing w:val="-6"/>
        </w:rPr>
        <w:t xml:space="preserve"> </w:t>
      </w:r>
      <w:r>
        <w:t>diocese</w:t>
      </w:r>
      <w:r>
        <w:rPr>
          <w:spacing w:val="-6"/>
        </w:rPr>
        <w:t xml:space="preserve"> </w:t>
      </w:r>
      <w:r>
        <w:t>into</w:t>
      </w:r>
      <w:r>
        <w:rPr>
          <w:spacing w:val="-6"/>
        </w:rPr>
        <w:t xml:space="preserve"> </w:t>
      </w:r>
      <w:r>
        <w:t>the</w:t>
      </w:r>
      <w:r>
        <w:rPr>
          <w:spacing w:val="-6"/>
        </w:rPr>
        <w:t xml:space="preserve"> </w:t>
      </w:r>
      <w:r>
        <w:t>new-school</w:t>
      </w:r>
      <w:r>
        <w:rPr>
          <w:spacing w:val="-6"/>
        </w:rPr>
        <w:t xml:space="preserve"> </w:t>
      </w:r>
      <w:r>
        <w:t>diocese</w:t>
      </w:r>
      <w:r>
        <w:rPr>
          <w:spacing w:val="-5"/>
        </w:rPr>
        <w:t xml:space="preserve"> </w:t>
      </w:r>
      <w:r>
        <w:t>(`d`)</w:t>
      </w:r>
      <w:r>
        <w:rPr>
          <w:spacing w:val="-6"/>
        </w:rPr>
        <w:t xml:space="preserve"> </w:t>
      </w:r>
      <w:r>
        <w:rPr>
          <w:spacing w:val="-2"/>
        </w:rPr>
        <w:t>sample.</w:t>
      </w:r>
    </w:p>
    <w:p w:rsidR="003F5784" w14:paraId="5C13CB50" w14:textId="77777777">
      <w:pPr>
        <w:pStyle w:val="BodyText"/>
      </w:pPr>
    </w:p>
    <w:p w:rsidR="003F5784" w14:paraId="7E6B9453" w14:textId="77777777">
      <w:pPr>
        <w:pStyle w:val="BodyText"/>
      </w:pPr>
    </w:p>
    <w:p w:rsidR="003F5784" w14:paraId="0026334F" w14:textId="77777777">
      <w:pPr>
        <w:pStyle w:val="BodyText"/>
        <w:spacing w:before="144"/>
      </w:pPr>
    </w:p>
    <w:p w:rsidR="003F5784" w14:paraId="548B1A9D" w14:textId="77777777">
      <w:pPr>
        <w:ind w:left="1216"/>
        <w:rPr>
          <w:sz w:val="18"/>
        </w:rPr>
      </w:pPr>
      <w:hyperlink r:id="rId106">
        <w:r>
          <w:rPr>
            <w:spacing w:val="-2"/>
            <w:w w:val="105"/>
            <w:sz w:val="18"/>
          </w:rPr>
          <w:t>http://nces.ed.gov/nationsreportcard/tdw/sample_design/2022/computation_of_measures_of_size_for_the_2022_fourth_and_eighth_grade_private_school_national_assessment.aspx</w:t>
        </w:r>
      </w:hyperlink>
    </w:p>
    <w:p w:rsidR="003F5784" w14:paraId="7788ECB9" w14:textId="77777777">
      <w:pPr>
        <w:pStyle w:val="BodyText"/>
        <w:spacing w:before="1"/>
        <w:rPr>
          <w:sz w:val="16"/>
        </w:rPr>
      </w:pPr>
      <w:r>
        <w:rPr>
          <w:noProof/>
        </w:rPr>
        <mc:AlternateContent>
          <mc:Choice Requires="wps">
            <w:drawing>
              <wp:anchor distT="0" distB="0" distL="0" distR="0" simplePos="0" relativeHeight="251814912" behindDoc="1" locked="0" layoutInCell="1" allowOverlap="1">
                <wp:simplePos x="0" y="0"/>
                <wp:positionH relativeFrom="page">
                  <wp:posOffset>361937</wp:posOffset>
                </wp:positionH>
                <wp:positionV relativeFrom="paragraph">
                  <wp:posOffset>132884</wp:posOffset>
                </wp:positionV>
                <wp:extent cx="9339580" cy="8890"/>
                <wp:effectExtent l="0" t="0" r="0" b="0"/>
                <wp:wrapTopAndBottom/>
                <wp:docPr id="125" name="Graphic 125"/>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80"/>
                              </a:lnTo>
                              <a:lnTo>
                                <a:pt x="8280" y="8280"/>
                              </a:lnTo>
                              <a:lnTo>
                                <a:pt x="9335110" y="8280"/>
                              </a:lnTo>
                              <a:lnTo>
                                <a:pt x="9338970" y="8280"/>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25" o:spid="_x0000_s1078" style="width:735.4pt;height:0.7pt;margin-top:10.45pt;margin-left:28.5pt;mso-position-horizontal-relative:page;mso-wrap-distance-bottom:0;mso-wrap-distance-left:0;mso-wrap-distance-right:0;mso-wrap-distance-top:0;mso-wrap-style:square;position:absolute;visibility:visible;v-text-anchor:top;z-index:-251500544" coordsize="9339580,8890" path="m9338970,12l9335110,12l8280,12,,,,8280l8280,8280l9335110,8280l9338970,8280l9338970,12xe" fillcolor="gray" stroked="f">
                <v:path arrowok="t"/>
                <w10:wrap type="topAndBottom"/>
              </v:shape>
            </w:pict>
          </mc:Fallback>
        </mc:AlternateContent>
      </w:r>
    </w:p>
    <w:p w:rsidR="003F5784" w14:paraId="5AEE6ED0" w14:textId="77777777">
      <w:pPr>
        <w:pStyle w:val="BodyText"/>
        <w:rPr>
          <w:sz w:val="18"/>
        </w:rPr>
      </w:pPr>
    </w:p>
    <w:p w:rsidR="003F5784" w14:paraId="081E1A47" w14:textId="77777777">
      <w:pPr>
        <w:pStyle w:val="BodyText"/>
        <w:spacing w:before="193"/>
        <w:rPr>
          <w:sz w:val="18"/>
        </w:rPr>
      </w:pPr>
    </w:p>
    <w:p w:rsidR="003F5784" w14:paraId="05E2BAD0" w14:textId="00702BCC">
      <w:pPr>
        <w:pStyle w:val="Heading1"/>
        <w:spacing w:line="244" w:lineRule="auto"/>
        <w:ind w:right="179"/>
      </w:pPr>
      <w:r>
        <w:t>NAEP</w:t>
      </w:r>
      <w:r>
        <w:rPr>
          <w:spacing w:val="-12"/>
        </w:rPr>
        <w:t xml:space="preserve"> </w:t>
      </w:r>
      <w:r>
        <w:t>Technical Documentation</w:t>
      </w:r>
      <w:r w:rsidR="003F61B6">
        <w:t xml:space="preserve"> </w:t>
      </w:r>
      <w:r>
        <w:t>School Sample Sizes: PSS-Based and New-School for the 2022 Fourth- and Eighth-Grade Private School National Assessment in Mathematics and Reading</w:t>
      </w:r>
    </w:p>
    <w:p w:rsidR="003F5784" w14:paraId="662566B2" w14:textId="77777777">
      <w:pPr>
        <w:pStyle w:val="BodyText"/>
        <w:spacing w:before="288" w:line="232" w:lineRule="auto"/>
        <w:ind w:left="109" w:right="318"/>
      </w:pPr>
      <w:r>
        <w:t>The</w:t>
      </w:r>
      <w:r>
        <w:rPr>
          <w:spacing w:val="-6"/>
        </w:rPr>
        <w:t xml:space="preserve"> </w:t>
      </w:r>
      <w:r>
        <w:t>following</w:t>
      </w:r>
      <w:r>
        <w:rPr>
          <w:spacing w:val="-6"/>
        </w:rPr>
        <w:t xml:space="preserve"> </w:t>
      </w:r>
      <w:r>
        <w:t>table</w:t>
      </w:r>
      <w:r>
        <w:rPr>
          <w:spacing w:val="-6"/>
        </w:rPr>
        <w:t xml:space="preserve"> </w:t>
      </w:r>
      <w:r>
        <w:t>presents</w:t>
      </w:r>
      <w:r>
        <w:rPr>
          <w:spacing w:val="-6"/>
        </w:rPr>
        <w:t xml:space="preserve"> </w:t>
      </w:r>
      <w:r>
        <w:t>the</w:t>
      </w:r>
      <w:r>
        <w:rPr>
          <w:spacing w:val="-6"/>
        </w:rPr>
        <w:t xml:space="preserve"> </w:t>
      </w:r>
      <w:r>
        <w:t>number</w:t>
      </w:r>
      <w:r>
        <w:rPr>
          <w:spacing w:val="-6"/>
        </w:rPr>
        <w:t xml:space="preserve"> </w:t>
      </w:r>
      <w:r>
        <w:t>of</w:t>
      </w:r>
      <w:r>
        <w:rPr>
          <w:spacing w:val="-6"/>
        </w:rPr>
        <w:t xml:space="preserve"> </w:t>
      </w:r>
      <w:r>
        <w:t>schools</w:t>
      </w:r>
      <w:r>
        <w:rPr>
          <w:spacing w:val="-6"/>
        </w:rPr>
        <w:t xml:space="preserve"> </w:t>
      </w:r>
      <w:r>
        <w:t>selected</w:t>
      </w:r>
      <w:r>
        <w:rPr>
          <w:spacing w:val="-6"/>
        </w:rPr>
        <w:t xml:space="preserve"> </w:t>
      </w:r>
      <w:r>
        <w:t>for</w:t>
      </w:r>
      <w:r>
        <w:rPr>
          <w:spacing w:val="-6"/>
        </w:rPr>
        <w:t xml:space="preserve"> </w:t>
      </w:r>
      <w:r>
        <w:t>the</w:t>
      </w:r>
      <w:r>
        <w:rPr>
          <w:spacing w:val="-6"/>
        </w:rPr>
        <w:t xml:space="preserve"> </w:t>
      </w:r>
      <w:r>
        <w:t>fourth-</w:t>
      </w:r>
      <w:r>
        <w:rPr>
          <w:spacing w:val="-6"/>
        </w:rPr>
        <w:t xml:space="preserve"> </w:t>
      </w:r>
      <w:r>
        <w:t>and</w:t>
      </w:r>
      <w:r>
        <w:rPr>
          <w:spacing w:val="-6"/>
        </w:rPr>
        <w:t xml:space="preserve"> </w:t>
      </w:r>
      <w:r>
        <w:t>eighth-grade</w:t>
      </w:r>
      <w:r>
        <w:rPr>
          <w:spacing w:val="-6"/>
        </w:rPr>
        <w:t xml:space="preserve"> </w:t>
      </w:r>
      <w:r>
        <w:t>private</w:t>
      </w:r>
      <w:r>
        <w:rPr>
          <w:spacing w:val="-6"/>
        </w:rPr>
        <w:t xml:space="preserve"> </w:t>
      </w:r>
      <w:r>
        <w:t>school</w:t>
      </w:r>
      <w:r>
        <w:rPr>
          <w:spacing w:val="-6"/>
        </w:rPr>
        <w:t xml:space="preserve"> </w:t>
      </w:r>
      <w:r>
        <w:t>mathematics</w:t>
      </w:r>
      <w:r>
        <w:rPr>
          <w:spacing w:val="-6"/>
        </w:rPr>
        <w:t xml:space="preserve"> </w:t>
      </w:r>
      <w:r>
        <w:t>and</w:t>
      </w:r>
      <w:r>
        <w:rPr>
          <w:spacing w:val="-6"/>
        </w:rPr>
        <w:t xml:space="preserve"> </w:t>
      </w:r>
      <w:r>
        <w:t>reading</w:t>
      </w:r>
      <w:r>
        <w:rPr>
          <w:spacing w:val="-6"/>
        </w:rPr>
        <w:t xml:space="preserve"> </w:t>
      </w:r>
      <w:r>
        <w:t>samples</w:t>
      </w:r>
      <w:r>
        <w:rPr>
          <w:spacing w:val="-6"/>
        </w:rPr>
        <w:t xml:space="preserve"> </w:t>
      </w:r>
      <w:r>
        <w:t>by</w:t>
      </w:r>
      <w:r>
        <w:rPr>
          <w:spacing w:val="-6"/>
        </w:rPr>
        <w:t xml:space="preserve"> </w:t>
      </w:r>
      <w:r>
        <w:rPr>
          <w:color w:val="0066CC"/>
        </w:rPr>
        <w:t>sampling</w:t>
      </w:r>
      <w:r>
        <w:rPr>
          <w:color w:val="0066CC"/>
          <w:spacing w:val="-6"/>
        </w:rPr>
        <w:t xml:space="preserve"> </w:t>
      </w:r>
      <w:r>
        <w:rPr>
          <w:color w:val="0066CC"/>
        </w:rPr>
        <w:t>frame</w:t>
      </w:r>
      <w:r>
        <w:rPr>
          <w:color w:val="0066CC"/>
          <w:spacing w:val="-6"/>
        </w:rPr>
        <w:t xml:space="preserve"> </w:t>
      </w:r>
      <w:r>
        <w:t>(Private School Universe Survey [PSS]-based and new-school) and private school affiliation.</w:t>
      </w:r>
    </w:p>
    <w:p w:rsidR="003F5784" w14:paraId="43E1B027" w14:textId="77777777">
      <w:pPr>
        <w:pStyle w:val="BodyText"/>
        <w:spacing w:before="92"/>
      </w:pPr>
    </w:p>
    <w:p w:rsidR="003F5784" w14:paraId="442F9AD0" w14:textId="77777777">
      <w:pPr>
        <w:pStyle w:val="Heading2"/>
        <w:ind w:left="27" w:right="2659"/>
        <w:jc w:val="center"/>
      </w:pPr>
      <w:r>
        <w:t>Number</w:t>
      </w:r>
      <w:r>
        <w:rPr>
          <w:spacing w:val="-11"/>
        </w:rPr>
        <w:t xml:space="preserve"> </w:t>
      </w:r>
      <w:r>
        <w:t>of</w:t>
      </w:r>
      <w:r>
        <w:rPr>
          <w:spacing w:val="-6"/>
        </w:rPr>
        <w:t xml:space="preserve"> </w:t>
      </w:r>
      <w:r>
        <w:t>schools</w:t>
      </w:r>
      <w:r>
        <w:rPr>
          <w:spacing w:val="-7"/>
        </w:rPr>
        <w:t xml:space="preserve"> </w:t>
      </w:r>
      <w:r>
        <w:t>in</w:t>
      </w:r>
      <w:r>
        <w:rPr>
          <w:spacing w:val="-7"/>
        </w:rPr>
        <w:t xml:space="preserve"> </w:t>
      </w:r>
      <w:r>
        <w:t>the</w:t>
      </w:r>
      <w:r>
        <w:rPr>
          <w:spacing w:val="-6"/>
        </w:rPr>
        <w:t xml:space="preserve"> </w:t>
      </w:r>
      <w:r>
        <w:t>total,</w:t>
      </w:r>
      <w:r>
        <w:rPr>
          <w:spacing w:val="-7"/>
        </w:rPr>
        <w:t xml:space="preserve"> </w:t>
      </w:r>
      <w:r>
        <w:t>PSS-based,</w:t>
      </w:r>
      <w:r>
        <w:rPr>
          <w:spacing w:val="-6"/>
        </w:rPr>
        <w:t xml:space="preserve"> </w:t>
      </w:r>
      <w:r>
        <w:t>and</w:t>
      </w:r>
      <w:r>
        <w:rPr>
          <w:spacing w:val="-7"/>
        </w:rPr>
        <w:t xml:space="preserve"> </w:t>
      </w:r>
      <w:r>
        <w:t>new-school</w:t>
      </w:r>
      <w:r>
        <w:rPr>
          <w:spacing w:val="-7"/>
        </w:rPr>
        <w:t xml:space="preserve"> </w:t>
      </w:r>
      <w:r>
        <w:t>samples,</w:t>
      </w:r>
      <w:r>
        <w:rPr>
          <w:spacing w:val="-6"/>
        </w:rPr>
        <w:t xml:space="preserve"> </w:t>
      </w:r>
      <w:r>
        <w:t>national</w:t>
      </w:r>
      <w:r>
        <w:rPr>
          <w:spacing w:val="-7"/>
        </w:rPr>
        <w:t xml:space="preserve"> </w:t>
      </w:r>
      <w:r>
        <w:t>private</w:t>
      </w:r>
      <w:r>
        <w:rPr>
          <w:spacing w:val="-6"/>
        </w:rPr>
        <w:t xml:space="preserve"> </w:t>
      </w:r>
      <w:r>
        <w:t>assessment,</w:t>
      </w:r>
      <w:r>
        <w:rPr>
          <w:spacing w:val="-7"/>
        </w:rPr>
        <w:t xml:space="preserve"> </w:t>
      </w:r>
      <w:r>
        <w:t>by</w:t>
      </w:r>
      <w:r>
        <w:rPr>
          <w:spacing w:val="-7"/>
        </w:rPr>
        <w:t xml:space="preserve"> </w:t>
      </w:r>
      <w:r>
        <w:t>grade</w:t>
      </w:r>
      <w:r>
        <w:rPr>
          <w:spacing w:val="-6"/>
        </w:rPr>
        <w:t xml:space="preserve"> </w:t>
      </w:r>
      <w:r>
        <w:t>and</w:t>
      </w:r>
      <w:r>
        <w:rPr>
          <w:spacing w:val="-7"/>
        </w:rPr>
        <w:t xml:space="preserve"> </w:t>
      </w:r>
      <w:r>
        <w:t>school</w:t>
      </w:r>
      <w:r>
        <w:rPr>
          <w:spacing w:val="-7"/>
        </w:rPr>
        <w:t xml:space="preserve"> </w:t>
      </w:r>
      <w:r>
        <w:t>type:</w:t>
      </w:r>
      <w:r>
        <w:rPr>
          <w:spacing w:val="-6"/>
        </w:rPr>
        <w:t xml:space="preserve"> </w:t>
      </w:r>
      <w:r>
        <w:rPr>
          <w:spacing w:val="-4"/>
        </w:rPr>
        <w:t>2022</w:t>
      </w:r>
    </w:p>
    <w:p w:rsidR="003F5784" w14:paraId="715304D0"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4094"/>
        <w:gridCol w:w="3856"/>
        <w:gridCol w:w="3558"/>
        <w:gridCol w:w="2478"/>
      </w:tblGrid>
      <w:tr w14:paraId="26A9BBD1" w14:textId="77777777">
        <w:tblPrEx>
          <w:tblW w:w="0" w:type="auto"/>
          <w:tblInd w:w="482" w:type="dxa"/>
          <w:tblLayout w:type="fixed"/>
          <w:tblCellMar>
            <w:left w:w="0" w:type="dxa"/>
            <w:right w:w="0" w:type="dxa"/>
          </w:tblCellMar>
          <w:tblLook w:val="01E0"/>
        </w:tblPrEx>
        <w:trPr>
          <w:trHeight w:val="267"/>
        </w:trPr>
        <w:tc>
          <w:tcPr>
            <w:tcW w:w="4094" w:type="dxa"/>
            <w:tcBorders>
              <w:top w:val="single" w:sz="18" w:space="0" w:color="800000"/>
              <w:bottom w:val="single" w:sz="18" w:space="0" w:color="800000"/>
            </w:tcBorders>
          </w:tcPr>
          <w:p w:rsidR="003F5784" w14:paraId="18EC84F1" w14:textId="77777777">
            <w:pPr>
              <w:pStyle w:val="TableParagraph"/>
              <w:spacing w:before="9" w:line="238" w:lineRule="exact"/>
              <w:ind w:left="120"/>
              <w:jc w:val="left"/>
              <w:rPr>
                <w:sz w:val="21"/>
              </w:rPr>
            </w:pPr>
            <w:r>
              <w:rPr>
                <w:sz w:val="21"/>
              </w:rPr>
              <w:t>Grade</w:t>
            </w:r>
            <w:r>
              <w:rPr>
                <w:spacing w:val="-6"/>
                <w:sz w:val="21"/>
              </w:rPr>
              <w:t xml:space="preserve"> </w:t>
            </w:r>
            <w:r>
              <w:rPr>
                <w:sz w:val="21"/>
              </w:rPr>
              <w:t>and</w:t>
            </w:r>
            <w:r>
              <w:rPr>
                <w:spacing w:val="-6"/>
                <w:sz w:val="21"/>
              </w:rPr>
              <w:t xml:space="preserve"> </w:t>
            </w:r>
            <w:r>
              <w:rPr>
                <w:sz w:val="21"/>
              </w:rPr>
              <w:t>private</w:t>
            </w:r>
            <w:r>
              <w:rPr>
                <w:spacing w:val="-6"/>
                <w:sz w:val="21"/>
              </w:rPr>
              <w:t xml:space="preserve"> </w:t>
            </w:r>
            <w:r>
              <w:rPr>
                <w:sz w:val="21"/>
              </w:rPr>
              <w:t>school</w:t>
            </w:r>
            <w:r>
              <w:rPr>
                <w:spacing w:val="-6"/>
                <w:sz w:val="21"/>
              </w:rPr>
              <w:t xml:space="preserve"> </w:t>
            </w:r>
            <w:r>
              <w:rPr>
                <w:spacing w:val="-4"/>
                <w:sz w:val="21"/>
              </w:rPr>
              <w:t>type</w:t>
            </w:r>
          </w:p>
        </w:tc>
        <w:tc>
          <w:tcPr>
            <w:tcW w:w="3856" w:type="dxa"/>
            <w:tcBorders>
              <w:top w:val="single" w:sz="18" w:space="0" w:color="800000"/>
              <w:bottom w:val="single" w:sz="18" w:space="0" w:color="800000"/>
            </w:tcBorders>
          </w:tcPr>
          <w:p w:rsidR="003F5784" w14:paraId="44B4E240" w14:textId="77777777">
            <w:pPr>
              <w:pStyle w:val="TableParagraph"/>
              <w:spacing w:before="9" w:line="238" w:lineRule="exact"/>
              <w:ind w:right="716"/>
              <w:rPr>
                <w:sz w:val="21"/>
              </w:rPr>
            </w:pPr>
            <w:r>
              <w:rPr>
                <w:spacing w:val="-2"/>
                <w:sz w:val="21"/>
              </w:rPr>
              <w:t>Total</w:t>
            </w:r>
            <w:r>
              <w:rPr>
                <w:spacing w:val="-3"/>
                <w:sz w:val="21"/>
              </w:rPr>
              <w:t xml:space="preserve"> </w:t>
            </w:r>
            <w:r>
              <w:rPr>
                <w:spacing w:val="-2"/>
                <w:sz w:val="21"/>
              </w:rPr>
              <w:t>school sample</w:t>
            </w:r>
          </w:p>
        </w:tc>
        <w:tc>
          <w:tcPr>
            <w:tcW w:w="3558" w:type="dxa"/>
            <w:tcBorders>
              <w:top w:val="single" w:sz="18" w:space="0" w:color="800000"/>
              <w:bottom w:val="single" w:sz="18" w:space="0" w:color="800000"/>
            </w:tcBorders>
          </w:tcPr>
          <w:p w:rsidR="003F5784" w14:paraId="6A587CC7" w14:textId="77777777">
            <w:pPr>
              <w:pStyle w:val="TableParagraph"/>
              <w:spacing w:before="9" w:line="238" w:lineRule="exact"/>
              <w:ind w:right="706"/>
              <w:rPr>
                <w:sz w:val="21"/>
              </w:rPr>
            </w:pPr>
            <w:r>
              <w:rPr>
                <w:sz w:val="21"/>
              </w:rPr>
              <w:t>PSS-based</w:t>
            </w:r>
            <w:r>
              <w:rPr>
                <w:spacing w:val="-9"/>
                <w:sz w:val="21"/>
              </w:rPr>
              <w:t xml:space="preserve"> </w:t>
            </w:r>
            <w:r>
              <w:rPr>
                <w:sz w:val="21"/>
              </w:rPr>
              <w:t>school</w:t>
            </w:r>
            <w:r>
              <w:rPr>
                <w:spacing w:val="-8"/>
                <w:sz w:val="21"/>
              </w:rPr>
              <w:t xml:space="preserve"> </w:t>
            </w:r>
            <w:r>
              <w:rPr>
                <w:spacing w:val="-2"/>
                <w:sz w:val="21"/>
              </w:rPr>
              <w:t>sample</w:t>
            </w:r>
          </w:p>
        </w:tc>
        <w:tc>
          <w:tcPr>
            <w:tcW w:w="2478" w:type="dxa"/>
            <w:tcBorders>
              <w:top w:val="single" w:sz="18" w:space="0" w:color="800000"/>
              <w:bottom w:val="single" w:sz="18" w:space="0" w:color="800000"/>
            </w:tcBorders>
          </w:tcPr>
          <w:p w:rsidR="003F5784" w14:paraId="5FB7BBBA" w14:textId="77777777">
            <w:pPr>
              <w:pStyle w:val="TableParagraph"/>
              <w:spacing w:before="9" w:line="238" w:lineRule="exact"/>
              <w:ind w:right="119"/>
              <w:rPr>
                <w:sz w:val="21"/>
              </w:rPr>
            </w:pPr>
            <w:r>
              <w:rPr>
                <w:sz w:val="21"/>
              </w:rPr>
              <w:t>New-school</w:t>
            </w:r>
            <w:r>
              <w:rPr>
                <w:spacing w:val="-12"/>
                <w:sz w:val="21"/>
              </w:rPr>
              <w:t xml:space="preserve"> </w:t>
            </w:r>
            <w:r>
              <w:rPr>
                <w:spacing w:val="-2"/>
                <w:sz w:val="21"/>
              </w:rPr>
              <w:t>sample</w:t>
            </w:r>
          </w:p>
        </w:tc>
      </w:tr>
      <w:tr w14:paraId="1FEDAAFB" w14:textId="77777777">
        <w:tblPrEx>
          <w:tblW w:w="0" w:type="auto"/>
          <w:tblInd w:w="482" w:type="dxa"/>
          <w:tblLayout w:type="fixed"/>
          <w:tblCellMar>
            <w:left w:w="0" w:type="dxa"/>
            <w:right w:w="0" w:type="dxa"/>
          </w:tblCellMar>
          <w:tblLook w:val="01E0"/>
        </w:tblPrEx>
        <w:trPr>
          <w:trHeight w:val="278"/>
        </w:trPr>
        <w:tc>
          <w:tcPr>
            <w:tcW w:w="4094" w:type="dxa"/>
            <w:tcBorders>
              <w:top w:val="single" w:sz="18" w:space="0" w:color="800000"/>
            </w:tcBorders>
          </w:tcPr>
          <w:p w:rsidR="003F5784" w14:paraId="58971452" w14:textId="77777777">
            <w:pPr>
              <w:pStyle w:val="TableParagraph"/>
              <w:spacing w:before="9"/>
              <w:ind w:left="120"/>
              <w:jc w:val="left"/>
              <w:rPr>
                <w:sz w:val="21"/>
              </w:rPr>
            </w:pPr>
            <w:r>
              <w:rPr>
                <w:sz w:val="21"/>
              </w:rPr>
              <w:t>Grade</w:t>
            </w:r>
            <w:r>
              <w:rPr>
                <w:spacing w:val="-7"/>
                <w:sz w:val="21"/>
              </w:rPr>
              <w:t xml:space="preserve"> </w:t>
            </w:r>
            <w:r>
              <w:rPr>
                <w:spacing w:val="-10"/>
                <w:sz w:val="21"/>
              </w:rPr>
              <w:t>4</w:t>
            </w:r>
          </w:p>
        </w:tc>
        <w:tc>
          <w:tcPr>
            <w:tcW w:w="3856" w:type="dxa"/>
            <w:tcBorders>
              <w:top w:val="single" w:sz="18" w:space="0" w:color="800000"/>
            </w:tcBorders>
          </w:tcPr>
          <w:p w:rsidR="003F5784" w14:paraId="36F36DFF" w14:textId="77777777">
            <w:pPr>
              <w:pStyle w:val="TableParagraph"/>
              <w:spacing w:before="0"/>
              <w:jc w:val="left"/>
              <w:rPr>
                <w:sz w:val="20"/>
              </w:rPr>
            </w:pPr>
          </w:p>
        </w:tc>
        <w:tc>
          <w:tcPr>
            <w:tcW w:w="3558" w:type="dxa"/>
            <w:tcBorders>
              <w:top w:val="single" w:sz="18" w:space="0" w:color="800000"/>
            </w:tcBorders>
          </w:tcPr>
          <w:p w:rsidR="003F5784" w14:paraId="33CFB22B" w14:textId="77777777">
            <w:pPr>
              <w:pStyle w:val="TableParagraph"/>
              <w:spacing w:before="0"/>
              <w:jc w:val="left"/>
              <w:rPr>
                <w:sz w:val="20"/>
              </w:rPr>
            </w:pPr>
          </w:p>
        </w:tc>
        <w:tc>
          <w:tcPr>
            <w:tcW w:w="2478" w:type="dxa"/>
            <w:tcBorders>
              <w:top w:val="single" w:sz="18" w:space="0" w:color="800000"/>
            </w:tcBorders>
          </w:tcPr>
          <w:p w:rsidR="003F5784" w14:paraId="41F2EFFE" w14:textId="77777777">
            <w:pPr>
              <w:pStyle w:val="TableParagraph"/>
              <w:spacing w:before="0"/>
              <w:jc w:val="left"/>
              <w:rPr>
                <w:sz w:val="20"/>
              </w:rPr>
            </w:pPr>
          </w:p>
        </w:tc>
      </w:tr>
      <w:tr w14:paraId="67A67F62" w14:textId="77777777">
        <w:tblPrEx>
          <w:tblW w:w="0" w:type="auto"/>
          <w:tblInd w:w="482" w:type="dxa"/>
          <w:tblLayout w:type="fixed"/>
          <w:tblCellMar>
            <w:left w:w="0" w:type="dxa"/>
            <w:right w:w="0" w:type="dxa"/>
          </w:tblCellMar>
          <w:tblLook w:val="01E0"/>
        </w:tblPrEx>
        <w:trPr>
          <w:trHeight w:val="286"/>
        </w:trPr>
        <w:tc>
          <w:tcPr>
            <w:tcW w:w="4094" w:type="dxa"/>
          </w:tcPr>
          <w:p w:rsidR="003F5784" w14:paraId="7BC53280" w14:textId="77777777">
            <w:pPr>
              <w:pStyle w:val="TableParagraph"/>
              <w:ind w:left="370"/>
              <w:jc w:val="left"/>
              <w:rPr>
                <w:b/>
                <w:sz w:val="21"/>
              </w:rPr>
            </w:pPr>
            <w:r>
              <w:rPr>
                <w:b/>
                <w:sz w:val="21"/>
              </w:rPr>
              <w:t>All</w:t>
            </w:r>
            <w:r>
              <w:rPr>
                <w:b/>
                <w:spacing w:val="-4"/>
                <w:sz w:val="21"/>
              </w:rPr>
              <w:t xml:space="preserve"> </w:t>
            </w:r>
            <w:r>
              <w:rPr>
                <w:b/>
                <w:spacing w:val="-2"/>
                <w:sz w:val="21"/>
              </w:rPr>
              <w:t>private</w:t>
            </w:r>
          </w:p>
        </w:tc>
        <w:tc>
          <w:tcPr>
            <w:tcW w:w="3856" w:type="dxa"/>
          </w:tcPr>
          <w:p w:rsidR="003F5784" w14:paraId="572F581A" w14:textId="77777777">
            <w:pPr>
              <w:pStyle w:val="TableParagraph"/>
              <w:ind w:right="716"/>
              <w:rPr>
                <w:b/>
                <w:sz w:val="21"/>
              </w:rPr>
            </w:pPr>
            <w:r>
              <w:rPr>
                <w:b/>
                <w:spacing w:val="-5"/>
                <w:sz w:val="21"/>
              </w:rPr>
              <w:t>390</w:t>
            </w:r>
          </w:p>
        </w:tc>
        <w:tc>
          <w:tcPr>
            <w:tcW w:w="3558" w:type="dxa"/>
          </w:tcPr>
          <w:p w:rsidR="003F5784" w14:paraId="4E53C42C" w14:textId="77777777">
            <w:pPr>
              <w:pStyle w:val="TableParagraph"/>
              <w:ind w:right="706"/>
              <w:rPr>
                <w:b/>
                <w:sz w:val="21"/>
              </w:rPr>
            </w:pPr>
            <w:r>
              <w:rPr>
                <w:b/>
                <w:spacing w:val="-5"/>
                <w:sz w:val="21"/>
              </w:rPr>
              <w:t>390</w:t>
            </w:r>
          </w:p>
        </w:tc>
        <w:tc>
          <w:tcPr>
            <w:tcW w:w="2478" w:type="dxa"/>
          </w:tcPr>
          <w:p w:rsidR="003F5784" w14:paraId="7E99A6F2" w14:textId="77777777">
            <w:pPr>
              <w:pStyle w:val="TableParagraph"/>
              <w:ind w:right="119"/>
              <w:rPr>
                <w:b/>
                <w:sz w:val="21"/>
              </w:rPr>
            </w:pPr>
            <w:r>
              <w:rPr>
                <w:b/>
                <w:spacing w:val="-10"/>
                <w:sz w:val="21"/>
              </w:rPr>
              <w:t>#</w:t>
            </w:r>
          </w:p>
        </w:tc>
      </w:tr>
      <w:tr w14:paraId="6706C389" w14:textId="77777777">
        <w:tblPrEx>
          <w:tblW w:w="0" w:type="auto"/>
          <w:tblInd w:w="482" w:type="dxa"/>
          <w:tblLayout w:type="fixed"/>
          <w:tblCellMar>
            <w:left w:w="0" w:type="dxa"/>
            <w:right w:w="0" w:type="dxa"/>
          </w:tblCellMar>
          <w:tblLook w:val="01E0"/>
        </w:tblPrEx>
        <w:trPr>
          <w:trHeight w:val="286"/>
        </w:trPr>
        <w:tc>
          <w:tcPr>
            <w:tcW w:w="4094" w:type="dxa"/>
          </w:tcPr>
          <w:p w:rsidR="003F5784" w14:paraId="7971BAF9" w14:textId="77777777">
            <w:pPr>
              <w:pStyle w:val="TableParagraph"/>
              <w:ind w:left="120"/>
              <w:jc w:val="left"/>
              <w:rPr>
                <w:sz w:val="21"/>
              </w:rPr>
            </w:pPr>
            <w:r>
              <w:rPr>
                <w:spacing w:val="-2"/>
                <w:sz w:val="21"/>
              </w:rPr>
              <w:t>Catholic</w:t>
            </w:r>
          </w:p>
        </w:tc>
        <w:tc>
          <w:tcPr>
            <w:tcW w:w="3856" w:type="dxa"/>
          </w:tcPr>
          <w:p w:rsidR="003F5784" w14:paraId="1B1EE3A3" w14:textId="77777777">
            <w:pPr>
              <w:pStyle w:val="TableParagraph"/>
              <w:ind w:right="716"/>
              <w:rPr>
                <w:sz w:val="21"/>
              </w:rPr>
            </w:pPr>
            <w:r>
              <w:rPr>
                <w:spacing w:val="-5"/>
                <w:sz w:val="21"/>
              </w:rPr>
              <w:t>120</w:t>
            </w:r>
          </w:p>
        </w:tc>
        <w:tc>
          <w:tcPr>
            <w:tcW w:w="3558" w:type="dxa"/>
          </w:tcPr>
          <w:p w:rsidR="003F5784" w14:paraId="0B0F9D64" w14:textId="77777777">
            <w:pPr>
              <w:pStyle w:val="TableParagraph"/>
              <w:ind w:right="706"/>
              <w:rPr>
                <w:sz w:val="21"/>
              </w:rPr>
            </w:pPr>
            <w:r>
              <w:rPr>
                <w:spacing w:val="-5"/>
                <w:sz w:val="21"/>
              </w:rPr>
              <w:t>120</w:t>
            </w:r>
          </w:p>
        </w:tc>
        <w:tc>
          <w:tcPr>
            <w:tcW w:w="2478" w:type="dxa"/>
          </w:tcPr>
          <w:p w:rsidR="003F5784" w14:paraId="7115A924" w14:textId="77777777">
            <w:pPr>
              <w:pStyle w:val="TableParagraph"/>
              <w:ind w:right="119"/>
              <w:rPr>
                <w:sz w:val="21"/>
              </w:rPr>
            </w:pPr>
            <w:r>
              <w:rPr>
                <w:spacing w:val="-10"/>
                <w:sz w:val="21"/>
              </w:rPr>
              <w:t>#</w:t>
            </w:r>
          </w:p>
        </w:tc>
      </w:tr>
      <w:tr w14:paraId="12CF6B74" w14:textId="77777777">
        <w:tblPrEx>
          <w:tblW w:w="0" w:type="auto"/>
          <w:tblInd w:w="482" w:type="dxa"/>
          <w:tblLayout w:type="fixed"/>
          <w:tblCellMar>
            <w:left w:w="0" w:type="dxa"/>
            <w:right w:w="0" w:type="dxa"/>
          </w:tblCellMar>
          <w:tblLook w:val="01E0"/>
        </w:tblPrEx>
        <w:trPr>
          <w:trHeight w:val="286"/>
        </w:trPr>
        <w:tc>
          <w:tcPr>
            <w:tcW w:w="4094" w:type="dxa"/>
          </w:tcPr>
          <w:p w:rsidR="003F5784" w14:paraId="0988498C" w14:textId="77777777">
            <w:pPr>
              <w:pStyle w:val="TableParagraph"/>
              <w:ind w:left="120"/>
              <w:jc w:val="left"/>
              <w:rPr>
                <w:sz w:val="21"/>
              </w:rPr>
            </w:pPr>
            <w:r>
              <w:rPr>
                <w:spacing w:val="-2"/>
                <w:sz w:val="21"/>
              </w:rPr>
              <w:t>Non-Catholic</w:t>
            </w:r>
          </w:p>
        </w:tc>
        <w:tc>
          <w:tcPr>
            <w:tcW w:w="3856" w:type="dxa"/>
          </w:tcPr>
          <w:p w:rsidR="003F5784" w14:paraId="4C7A2D1E" w14:textId="77777777">
            <w:pPr>
              <w:pStyle w:val="TableParagraph"/>
              <w:ind w:right="716"/>
              <w:rPr>
                <w:sz w:val="21"/>
              </w:rPr>
            </w:pPr>
            <w:r>
              <w:rPr>
                <w:spacing w:val="-5"/>
                <w:sz w:val="21"/>
              </w:rPr>
              <w:t>250</w:t>
            </w:r>
          </w:p>
        </w:tc>
        <w:tc>
          <w:tcPr>
            <w:tcW w:w="3558" w:type="dxa"/>
          </w:tcPr>
          <w:p w:rsidR="003F5784" w14:paraId="0621A6A7" w14:textId="77777777">
            <w:pPr>
              <w:pStyle w:val="TableParagraph"/>
              <w:ind w:right="706"/>
              <w:rPr>
                <w:sz w:val="21"/>
              </w:rPr>
            </w:pPr>
            <w:r>
              <w:rPr>
                <w:spacing w:val="-5"/>
                <w:sz w:val="21"/>
              </w:rPr>
              <w:t>250</w:t>
            </w:r>
          </w:p>
        </w:tc>
        <w:tc>
          <w:tcPr>
            <w:tcW w:w="2478" w:type="dxa"/>
          </w:tcPr>
          <w:p w:rsidR="003F5784" w14:paraId="54030479" w14:textId="77777777">
            <w:pPr>
              <w:pStyle w:val="TableParagraph"/>
              <w:ind w:right="119"/>
              <w:rPr>
                <w:sz w:val="21"/>
              </w:rPr>
            </w:pPr>
            <w:r>
              <w:rPr>
                <w:spacing w:val="-10"/>
                <w:sz w:val="21"/>
              </w:rPr>
              <w:t>†</w:t>
            </w:r>
          </w:p>
        </w:tc>
      </w:tr>
      <w:tr w14:paraId="7EFD1C49" w14:textId="77777777">
        <w:tblPrEx>
          <w:tblW w:w="0" w:type="auto"/>
          <w:tblInd w:w="482" w:type="dxa"/>
          <w:tblLayout w:type="fixed"/>
          <w:tblCellMar>
            <w:left w:w="0" w:type="dxa"/>
            <w:right w:w="0" w:type="dxa"/>
          </w:tblCellMar>
          <w:tblLook w:val="01E0"/>
        </w:tblPrEx>
        <w:trPr>
          <w:trHeight w:val="289"/>
        </w:trPr>
        <w:tc>
          <w:tcPr>
            <w:tcW w:w="4094" w:type="dxa"/>
            <w:tcBorders>
              <w:bottom w:val="single" w:sz="12" w:space="0" w:color="800000"/>
            </w:tcBorders>
          </w:tcPr>
          <w:p w:rsidR="003F5784" w14:paraId="3A59FE48" w14:textId="77777777">
            <w:pPr>
              <w:pStyle w:val="TableParagraph"/>
              <w:ind w:left="120"/>
              <w:jc w:val="left"/>
              <w:rPr>
                <w:sz w:val="21"/>
              </w:rPr>
            </w:pPr>
            <w:r>
              <w:rPr>
                <w:sz w:val="21"/>
              </w:rPr>
              <w:t>Unknown</w:t>
            </w:r>
            <w:r>
              <w:rPr>
                <w:spacing w:val="-10"/>
                <w:sz w:val="21"/>
              </w:rPr>
              <w:t xml:space="preserve"> </w:t>
            </w:r>
            <w:r>
              <w:rPr>
                <w:spacing w:val="-2"/>
                <w:sz w:val="21"/>
              </w:rPr>
              <w:t>affiliation</w:t>
            </w:r>
          </w:p>
        </w:tc>
        <w:tc>
          <w:tcPr>
            <w:tcW w:w="3856" w:type="dxa"/>
            <w:tcBorders>
              <w:bottom w:val="single" w:sz="12" w:space="0" w:color="800000"/>
            </w:tcBorders>
          </w:tcPr>
          <w:p w:rsidR="003F5784" w14:paraId="297CF264" w14:textId="77777777">
            <w:pPr>
              <w:pStyle w:val="TableParagraph"/>
              <w:ind w:right="716"/>
              <w:rPr>
                <w:sz w:val="21"/>
              </w:rPr>
            </w:pPr>
            <w:r>
              <w:rPr>
                <w:spacing w:val="-5"/>
                <w:sz w:val="21"/>
              </w:rPr>
              <w:t>30</w:t>
            </w:r>
          </w:p>
        </w:tc>
        <w:tc>
          <w:tcPr>
            <w:tcW w:w="3558" w:type="dxa"/>
            <w:tcBorders>
              <w:bottom w:val="single" w:sz="12" w:space="0" w:color="800000"/>
            </w:tcBorders>
          </w:tcPr>
          <w:p w:rsidR="003F5784" w14:paraId="396B9ED3" w14:textId="77777777">
            <w:pPr>
              <w:pStyle w:val="TableParagraph"/>
              <w:ind w:right="706"/>
              <w:rPr>
                <w:sz w:val="21"/>
              </w:rPr>
            </w:pPr>
            <w:r>
              <w:rPr>
                <w:spacing w:val="-5"/>
                <w:sz w:val="21"/>
              </w:rPr>
              <w:t>30</w:t>
            </w:r>
          </w:p>
        </w:tc>
        <w:tc>
          <w:tcPr>
            <w:tcW w:w="2478" w:type="dxa"/>
            <w:tcBorders>
              <w:bottom w:val="single" w:sz="12" w:space="0" w:color="800000"/>
            </w:tcBorders>
          </w:tcPr>
          <w:p w:rsidR="003F5784" w14:paraId="70B8DCD7" w14:textId="77777777">
            <w:pPr>
              <w:pStyle w:val="TableParagraph"/>
              <w:ind w:right="119"/>
              <w:rPr>
                <w:sz w:val="21"/>
              </w:rPr>
            </w:pPr>
            <w:r>
              <w:rPr>
                <w:spacing w:val="-10"/>
                <w:sz w:val="21"/>
              </w:rPr>
              <w:t>†</w:t>
            </w:r>
          </w:p>
        </w:tc>
      </w:tr>
      <w:tr w14:paraId="51A6AF18" w14:textId="77777777">
        <w:tblPrEx>
          <w:tblW w:w="0" w:type="auto"/>
          <w:tblInd w:w="482" w:type="dxa"/>
          <w:tblLayout w:type="fixed"/>
          <w:tblCellMar>
            <w:left w:w="0" w:type="dxa"/>
            <w:right w:w="0" w:type="dxa"/>
          </w:tblCellMar>
          <w:tblLook w:val="01E0"/>
        </w:tblPrEx>
        <w:trPr>
          <w:trHeight w:val="266"/>
        </w:trPr>
        <w:tc>
          <w:tcPr>
            <w:tcW w:w="4094" w:type="dxa"/>
            <w:tcBorders>
              <w:top w:val="single" w:sz="12" w:space="0" w:color="800000"/>
            </w:tcBorders>
          </w:tcPr>
          <w:p w:rsidR="003F5784" w14:paraId="4F332A35" w14:textId="77777777">
            <w:pPr>
              <w:pStyle w:val="TableParagraph"/>
              <w:spacing w:before="0" w:line="239" w:lineRule="exact"/>
              <w:ind w:left="120"/>
              <w:jc w:val="left"/>
              <w:rPr>
                <w:sz w:val="21"/>
              </w:rPr>
            </w:pPr>
            <w:r>
              <w:rPr>
                <w:sz w:val="21"/>
              </w:rPr>
              <w:t>Grade</w:t>
            </w:r>
            <w:r>
              <w:rPr>
                <w:spacing w:val="-7"/>
                <w:sz w:val="21"/>
              </w:rPr>
              <w:t xml:space="preserve"> </w:t>
            </w:r>
            <w:r>
              <w:rPr>
                <w:spacing w:val="-10"/>
                <w:sz w:val="21"/>
              </w:rPr>
              <w:t>8</w:t>
            </w:r>
          </w:p>
        </w:tc>
        <w:tc>
          <w:tcPr>
            <w:tcW w:w="3856" w:type="dxa"/>
            <w:tcBorders>
              <w:top w:val="single" w:sz="12" w:space="0" w:color="800000"/>
            </w:tcBorders>
          </w:tcPr>
          <w:p w:rsidR="003F5784" w14:paraId="78E71FAC" w14:textId="77777777">
            <w:pPr>
              <w:pStyle w:val="TableParagraph"/>
              <w:spacing w:before="0"/>
              <w:jc w:val="left"/>
              <w:rPr>
                <w:sz w:val="18"/>
              </w:rPr>
            </w:pPr>
          </w:p>
        </w:tc>
        <w:tc>
          <w:tcPr>
            <w:tcW w:w="3558" w:type="dxa"/>
            <w:tcBorders>
              <w:top w:val="single" w:sz="12" w:space="0" w:color="800000"/>
            </w:tcBorders>
          </w:tcPr>
          <w:p w:rsidR="003F5784" w14:paraId="55B70351" w14:textId="77777777">
            <w:pPr>
              <w:pStyle w:val="TableParagraph"/>
              <w:spacing w:before="0"/>
              <w:jc w:val="left"/>
              <w:rPr>
                <w:sz w:val="18"/>
              </w:rPr>
            </w:pPr>
          </w:p>
        </w:tc>
        <w:tc>
          <w:tcPr>
            <w:tcW w:w="2478" w:type="dxa"/>
            <w:tcBorders>
              <w:top w:val="single" w:sz="12" w:space="0" w:color="800000"/>
            </w:tcBorders>
          </w:tcPr>
          <w:p w:rsidR="003F5784" w14:paraId="690721C0" w14:textId="77777777">
            <w:pPr>
              <w:pStyle w:val="TableParagraph"/>
              <w:spacing w:before="0"/>
              <w:jc w:val="left"/>
              <w:rPr>
                <w:sz w:val="18"/>
              </w:rPr>
            </w:pPr>
          </w:p>
        </w:tc>
      </w:tr>
      <w:tr w14:paraId="7358D70F" w14:textId="77777777">
        <w:tblPrEx>
          <w:tblW w:w="0" w:type="auto"/>
          <w:tblInd w:w="482" w:type="dxa"/>
          <w:tblLayout w:type="fixed"/>
          <w:tblCellMar>
            <w:left w:w="0" w:type="dxa"/>
            <w:right w:w="0" w:type="dxa"/>
          </w:tblCellMar>
          <w:tblLook w:val="01E0"/>
        </w:tblPrEx>
        <w:trPr>
          <w:trHeight w:val="286"/>
        </w:trPr>
        <w:tc>
          <w:tcPr>
            <w:tcW w:w="4094" w:type="dxa"/>
          </w:tcPr>
          <w:p w:rsidR="003F5784" w14:paraId="02981E97" w14:textId="77777777">
            <w:pPr>
              <w:pStyle w:val="TableParagraph"/>
              <w:ind w:left="370"/>
              <w:jc w:val="left"/>
              <w:rPr>
                <w:b/>
                <w:sz w:val="21"/>
              </w:rPr>
            </w:pPr>
            <w:r>
              <w:rPr>
                <w:b/>
                <w:sz w:val="21"/>
              </w:rPr>
              <w:t>All</w:t>
            </w:r>
            <w:r>
              <w:rPr>
                <w:b/>
                <w:spacing w:val="-4"/>
                <w:sz w:val="21"/>
              </w:rPr>
              <w:t xml:space="preserve"> </w:t>
            </w:r>
            <w:r>
              <w:rPr>
                <w:b/>
                <w:spacing w:val="-2"/>
                <w:sz w:val="21"/>
              </w:rPr>
              <w:t>private</w:t>
            </w:r>
          </w:p>
        </w:tc>
        <w:tc>
          <w:tcPr>
            <w:tcW w:w="3856" w:type="dxa"/>
          </w:tcPr>
          <w:p w:rsidR="003F5784" w14:paraId="20DA256E" w14:textId="77777777">
            <w:pPr>
              <w:pStyle w:val="TableParagraph"/>
              <w:ind w:right="716"/>
              <w:rPr>
                <w:b/>
                <w:sz w:val="21"/>
              </w:rPr>
            </w:pPr>
            <w:r>
              <w:rPr>
                <w:b/>
                <w:spacing w:val="-5"/>
                <w:sz w:val="21"/>
              </w:rPr>
              <w:t>380</w:t>
            </w:r>
          </w:p>
        </w:tc>
        <w:tc>
          <w:tcPr>
            <w:tcW w:w="3558" w:type="dxa"/>
          </w:tcPr>
          <w:p w:rsidR="003F5784" w14:paraId="6BDAA4A2" w14:textId="77777777">
            <w:pPr>
              <w:pStyle w:val="TableParagraph"/>
              <w:ind w:right="706"/>
              <w:rPr>
                <w:b/>
                <w:sz w:val="21"/>
              </w:rPr>
            </w:pPr>
            <w:r>
              <w:rPr>
                <w:b/>
                <w:spacing w:val="-5"/>
                <w:sz w:val="21"/>
              </w:rPr>
              <w:t>380</w:t>
            </w:r>
          </w:p>
        </w:tc>
        <w:tc>
          <w:tcPr>
            <w:tcW w:w="2478" w:type="dxa"/>
          </w:tcPr>
          <w:p w:rsidR="003F5784" w14:paraId="3DEACA1F" w14:textId="77777777">
            <w:pPr>
              <w:pStyle w:val="TableParagraph"/>
              <w:ind w:right="119"/>
              <w:rPr>
                <w:b/>
                <w:sz w:val="21"/>
              </w:rPr>
            </w:pPr>
            <w:r>
              <w:rPr>
                <w:b/>
                <w:spacing w:val="-10"/>
                <w:sz w:val="21"/>
              </w:rPr>
              <w:t>#</w:t>
            </w:r>
          </w:p>
        </w:tc>
      </w:tr>
      <w:tr w14:paraId="20186C9D" w14:textId="77777777">
        <w:tblPrEx>
          <w:tblW w:w="0" w:type="auto"/>
          <w:tblInd w:w="482" w:type="dxa"/>
          <w:tblLayout w:type="fixed"/>
          <w:tblCellMar>
            <w:left w:w="0" w:type="dxa"/>
            <w:right w:w="0" w:type="dxa"/>
          </w:tblCellMar>
          <w:tblLook w:val="01E0"/>
        </w:tblPrEx>
        <w:trPr>
          <w:trHeight w:val="286"/>
        </w:trPr>
        <w:tc>
          <w:tcPr>
            <w:tcW w:w="4094" w:type="dxa"/>
          </w:tcPr>
          <w:p w:rsidR="003F5784" w14:paraId="323F4573" w14:textId="77777777">
            <w:pPr>
              <w:pStyle w:val="TableParagraph"/>
              <w:ind w:left="120"/>
              <w:jc w:val="left"/>
              <w:rPr>
                <w:sz w:val="21"/>
              </w:rPr>
            </w:pPr>
            <w:r>
              <w:rPr>
                <w:spacing w:val="-2"/>
                <w:sz w:val="21"/>
              </w:rPr>
              <w:t>Catholic</w:t>
            </w:r>
          </w:p>
        </w:tc>
        <w:tc>
          <w:tcPr>
            <w:tcW w:w="3856" w:type="dxa"/>
          </w:tcPr>
          <w:p w:rsidR="003F5784" w14:paraId="40580EF0" w14:textId="77777777">
            <w:pPr>
              <w:pStyle w:val="TableParagraph"/>
              <w:ind w:right="716"/>
              <w:rPr>
                <w:sz w:val="21"/>
              </w:rPr>
            </w:pPr>
            <w:r>
              <w:rPr>
                <w:spacing w:val="-5"/>
                <w:sz w:val="21"/>
              </w:rPr>
              <w:t>110</w:t>
            </w:r>
          </w:p>
        </w:tc>
        <w:tc>
          <w:tcPr>
            <w:tcW w:w="3558" w:type="dxa"/>
          </w:tcPr>
          <w:p w:rsidR="003F5784" w14:paraId="0D41F5F1" w14:textId="77777777">
            <w:pPr>
              <w:pStyle w:val="TableParagraph"/>
              <w:ind w:right="706"/>
              <w:rPr>
                <w:sz w:val="21"/>
              </w:rPr>
            </w:pPr>
            <w:r>
              <w:rPr>
                <w:spacing w:val="-5"/>
                <w:sz w:val="21"/>
              </w:rPr>
              <w:t>110</w:t>
            </w:r>
          </w:p>
        </w:tc>
        <w:tc>
          <w:tcPr>
            <w:tcW w:w="2478" w:type="dxa"/>
          </w:tcPr>
          <w:p w:rsidR="003F5784" w14:paraId="3684CF7B" w14:textId="77777777">
            <w:pPr>
              <w:pStyle w:val="TableParagraph"/>
              <w:ind w:right="119"/>
              <w:rPr>
                <w:sz w:val="21"/>
              </w:rPr>
            </w:pPr>
            <w:r>
              <w:rPr>
                <w:spacing w:val="-10"/>
                <w:sz w:val="21"/>
              </w:rPr>
              <w:t>#</w:t>
            </w:r>
          </w:p>
        </w:tc>
      </w:tr>
      <w:tr w14:paraId="4252B5AE" w14:textId="77777777">
        <w:tblPrEx>
          <w:tblW w:w="0" w:type="auto"/>
          <w:tblInd w:w="482" w:type="dxa"/>
          <w:tblLayout w:type="fixed"/>
          <w:tblCellMar>
            <w:left w:w="0" w:type="dxa"/>
            <w:right w:w="0" w:type="dxa"/>
          </w:tblCellMar>
          <w:tblLook w:val="01E0"/>
        </w:tblPrEx>
        <w:trPr>
          <w:trHeight w:val="288"/>
        </w:trPr>
        <w:tc>
          <w:tcPr>
            <w:tcW w:w="4094" w:type="dxa"/>
            <w:tcBorders>
              <w:bottom w:val="single" w:sz="18" w:space="0" w:color="800000"/>
            </w:tcBorders>
          </w:tcPr>
          <w:p w:rsidR="003F5784" w14:paraId="640B8F16" w14:textId="77777777">
            <w:pPr>
              <w:pStyle w:val="TableParagraph"/>
              <w:ind w:left="120"/>
              <w:jc w:val="left"/>
              <w:rPr>
                <w:sz w:val="21"/>
              </w:rPr>
            </w:pPr>
            <w:r>
              <w:rPr>
                <w:spacing w:val="-2"/>
                <w:sz w:val="21"/>
              </w:rPr>
              <w:t>Non-Catholic</w:t>
            </w:r>
          </w:p>
        </w:tc>
        <w:tc>
          <w:tcPr>
            <w:tcW w:w="3856" w:type="dxa"/>
            <w:tcBorders>
              <w:bottom w:val="single" w:sz="18" w:space="0" w:color="800000"/>
            </w:tcBorders>
          </w:tcPr>
          <w:p w:rsidR="003F5784" w14:paraId="2A7D26D8" w14:textId="77777777">
            <w:pPr>
              <w:pStyle w:val="TableParagraph"/>
              <w:ind w:right="716"/>
              <w:rPr>
                <w:sz w:val="21"/>
              </w:rPr>
            </w:pPr>
            <w:r>
              <w:rPr>
                <w:spacing w:val="-5"/>
                <w:sz w:val="21"/>
              </w:rPr>
              <w:t>250</w:t>
            </w:r>
          </w:p>
        </w:tc>
        <w:tc>
          <w:tcPr>
            <w:tcW w:w="3558" w:type="dxa"/>
            <w:tcBorders>
              <w:bottom w:val="single" w:sz="18" w:space="0" w:color="800000"/>
            </w:tcBorders>
          </w:tcPr>
          <w:p w:rsidR="003F5784" w14:paraId="1E47FCDF" w14:textId="77777777">
            <w:pPr>
              <w:pStyle w:val="TableParagraph"/>
              <w:ind w:right="706"/>
              <w:rPr>
                <w:sz w:val="21"/>
              </w:rPr>
            </w:pPr>
            <w:r>
              <w:rPr>
                <w:spacing w:val="-5"/>
                <w:sz w:val="21"/>
              </w:rPr>
              <w:t>250</w:t>
            </w:r>
          </w:p>
        </w:tc>
        <w:tc>
          <w:tcPr>
            <w:tcW w:w="2478" w:type="dxa"/>
            <w:tcBorders>
              <w:bottom w:val="single" w:sz="18" w:space="0" w:color="800000"/>
            </w:tcBorders>
          </w:tcPr>
          <w:p w:rsidR="003F5784" w14:paraId="4ABCA6AA" w14:textId="77777777">
            <w:pPr>
              <w:pStyle w:val="TableParagraph"/>
              <w:ind w:right="119"/>
              <w:rPr>
                <w:sz w:val="21"/>
              </w:rPr>
            </w:pPr>
            <w:r>
              <w:rPr>
                <w:spacing w:val="-10"/>
                <w:sz w:val="21"/>
              </w:rPr>
              <w:t>†</w:t>
            </w:r>
          </w:p>
        </w:tc>
      </w:tr>
      <w:tr w14:paraId="5ADA6077" w14:textId="77777777">
        <w:tblPrEx>
          <w:tblW w:w="0" w:type="auto"/>
          <w:tblInd w:w="482" w:type="dxa"/>
          <w:tblLayout w:type="fixed"/>
          <w:tblCellMar>
            <w:left w:w="0" w:type="dxa"/>
            <w:right w:w="0" w:type="dxa"/>
          </w:tblCellMar>
          <w:tblLook w:val="01E0"/>
        </w:tblPrEx>
        <w:trPr>
          <w:trHeight w:val="1175"/>
        </w:trPr>
        <w:tc>
          <w:tcPr>
            <w:tcW w:w="13986" w:type="dxa"/>
            <w:gridSpan w:val="4"/>
            <w:tcBorders>
              <w:top w:val="single" w:sz="18" w:space="0" w:color="800000"/>
            </w:tcBorders>
          </w:tcPr>
          <w:p w:rsidR="003F5784" w14:paraId="7A109997" w14:textId="77777777">
            <w:pPr>
              <w:pStyle w:val="TableParagraph"/>
              <w:spacing w:before="0" w:line="235"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p w:rsidR="003F5784" w14:paraId="69E13DB3" w14:textId="77777777">
            <w:pPr>
              <w:pStyle w:val="TableParagraph"/>
              <w:spacing w:before="0" w:line="235" w:lineRule="exact"/>
              <w:ind w:left="120"/>
              <w:jc w:val="left"/>
              <w:rPr>
                <w:sz w:val="21"/>
              </w:rPr>
            </w:pPr>
            <w:r>
              <w:rPr>
                <w:sz w:val="21"/>
              </w:rPr>
              <w:t>†</w:t>
            </w:r>
            <w:r>
              <w:rPr>
                <w:spacing w:val="-4"/>
                <w:sz w:val="21"/>
              </w:rPr>
              <w:t xml:space="preserve"> </w:t>
            </w:r>
            <w:r>
              <w:rPr>
                <w:sz w:val="21"/>
              </w:rPr>
              <w:t>Not</w:t>
            </w:r>
            <w:r>
              <w:rPr>
                <w:spacing w:val="-3"/>
                <w:sz w:val="21"/>
              </w:rPr>
              <w:t xml:space="preserve"> </w:t>
            </w:r>
            <w:r>
              <w:rPr>
                <w:spacing w:val="-2"/>
                <w:sz w:val="21"/>
              </w:rPr>
              <w:t>applicable.</w:t>
            </w:r>
          </w:p>
          <w:p w:rsidR="003F5784" w14:paraId="0108E202" w14:textId="77777777">
            <w:pPr>
              <w:pStyle w:val="TableParagraph"/>
              <w:spacing w:before="0" w:line="235" w:lineRule="exact"/>
              <w:ind w:left="120"/>
              <w:jc w:val="left"/>
              <w:rPr>
                <w:sz w:val="21"/>
              </w:rPr>
            </w:pPr>
            <w:r>
              <w:rPr>
                <w:sz w:val="21"/>
              </w:rPr>
              <w:t>NOTE:</w:t>
            </w:r>
            <w:r>
              <w:rPr>
                <w:spacing w:val="-5"/>
                <w:sz w:val="21"/>
              </w:rPr>
              <w:t xml:space="preserve"> </w:t>
            </w:r>
            <w:r>
              <w:rPr>
                <w:sz w:val="21"/>
              </w:rPr>
              <w:t>Numbers</w:t>
            </w:r>
            <w:r>
              <w:rPr>
                <w:spacing w:val="-5"/>
                <w:sz w:val="21"/>
              </w:rPr>
              <w:t xml:space="preserve"> </w:t>
            </w:r>
            <w:r>
              <w:rPr>
                <w:sz w:val="21"/>
              </w:rPr>
              <w:t>of</w:t>
            </w:r>
            <w:r>
              <w:rPr>
                <w:spacing w:val="-5"/>
                <w:sz w:val="21"/>
              </w:rPr>
              <w:t xml:space="preserve"> </w:t>
            </w:r>
            <w:r>
              <w:rPr>
                <w:sz w:val="21"/>
              </w:rPr>
              <w:t>schools</w:t>
            </w:r>
            <w:r>
              <w:rPr>
                <w:spacing w:val="-5"/>
                <w:sz w:val="21"/>
              </w:rPr>
              <w:t xml:space="preserve"> </w:t>
            </w:r>
            <w:r>
              <w:rPr>
                <w:sz w:val="21"/>
              </w:rPr>
              <w:t>are</w:t>
            </w:r>
            <w:r>
              <w:rPr>
                <w:spacing w:val="-5"/>
                <w:sz w:val="21"/>
              </w:rPr>
              <w:t xml:space="preserve"> </w:t>
            </w:r>
            <w:r>
              <w:rPr>
                <w:sz w:val="21"/>
              </w:rPr>
              <w:t>rounded</w:t>
            </w:r>
            <w:r>
              <w:rPr>
                <w:spacing w:val="-5"/>
                <w:sz w:val="21"/>
              </w:rPr>
              <w:t xml:space="preserve"> </w:t>
            </w:r>
            <w:r>
              <w:rPr>
                <w:sz w:val="21"/>
              </w:rPr>
              <w:t>to</w:t>
            </w:r>
            <w:r>
              <w:rPr>
                <w:spacing w:val="-5"/>
                <w:sz w:val="21"/>
              </w:rPr>
              <w:t xml:space="preserve"> </w:t>
            </w:r>
            <w:r>
              <w:rPr>
                <w:sz w:val="21"/>
              </w:rPr>
              <w:t>nearest</w:t>
            </w:r>
            <w:r>
              <w:rPr>
                <w:spacing w:val="-5"/>
                <w:sz w:val="21"/>
              </w:rPr>
              <w:t xml:space="preserve"> </w:t>
            </w:r>
            <w:r>
              <w:rPr>
                <w:sz w:val="21"/>
              </w:rPr>
              <w:t>ten.</w:t>
            </w:r>
            <w:r>
              <w:rPr>
                <w:spacing w:val="-5"/>
                <w:sz w:val="21"/>
              </w:rPr>
              <w:t xml:space="preserve"> </w:t>
            </w:r>
            <w:r>
              <w:rPr>
                <w:sz w:val="21"/>
              </w:rPr>
              <w:t>Detail</w:t>
            </w:r>
            <w:r>
              <w:rPr>
                <w:spacing w:val="-5"/>
                <w:sz w:val="21"/>
              </w:rPr>
              <w:t xml:space="preserve"> </w:t>
            </w:r>
            <w:r>
              <w:rPr>
                <w:sz w:val="21"/>
              </w:rPr>
              <w:t>may</w:t>
            </w:r>
            <w:r>
              <w:rPr>
                <w:spacing w:val="-5"/>
                <w:sz w:val="21"/>
              </w:rPr>
              <w:t xml:space="preserve"> </w:t>
            </w:r>
            <w:r>
              <w:rPr>
                <w:sz w:val="21"/>
              </w:rPr>
              <w:t>not</w:t>
            </w:r>
            <w:r>
              <w:rPr>
                <w:spacing w:val="-5"/>
                <w:sz w:val="21"/>
              </w:rPr>
              <w:t xml:space="preserve"> </w:t>
            </w:r>
            <w:r>
              <w:rPr>
                <w:sz w:val="21"/>
              </w:rPr>
              <w:t>sum</w:t>
            </w:r>
            <w:r>
              <w:rPr>
                <w:spacing w:val="-5"/>
                <w:sz w:val="21"/>
              </w:rPr>
              <w:t xml:space="preserve"> </w:t>
            </w:r>
            <w:r>
              <w:rPr>
                <w:sz w:val="21"/>
              </w:rPr>
              <w:t>to</w:t>
            </w:r>
            <w:r>
              <w:rPr>
                <w:spacing w:val="-5"/>
                <w:sz w:val="21"/>
              </w:rPr>
              <w:t xml:space="preserve"> </w:t>
            </w:r>
            <w:r>
              <w:rPr>
                <w:sz w:val="21"/>
              </w:rPr>
              <w:t>totals</w:t>
            </w:r>
            <w:r>
              <w:rPr>
                <w:spacing w:val="-5"/>
                <w:sz w:val="21"/>
              </w:rPr>
              <w:t xml:space="preserve"> </w:t>
            </w:r>
            <w:r>
              <w:rPr>
                <w:sz w:val="21"/>
              </w:rPr>
              <w:t>due</w:t>
            </w:r>
            <w:r>
              <w:rPr>
                <w:spacing w:val="-5"/>
                <w:sz w:val="21"/>
              </w:rPr>
              <w:t xml:space="preserve"> </w:t>
            </w:r>
            <w:r>
              <w:rPr>
                <w:sz w:val="21"/>
              </w:rPr>
              <w:t>to</w:t>
            </w:r>
            <w:r>
              <w:rPr>
                <w:spacing w:val="-5"/>
                <w:sz w:val="21"/>
              </w:rPr>
              <w:t xml:space="preserve"> </w:t>
            </w:r>
            <w:r>
              <w:rPr>
                <w:spacing w:val="-2"/>
                <w:sz w:val="21"/>
              </w:rPr>
              <w:t>rounding.</w:t>
            </w:r>
          </w:p>
          <w:p w:rsidR="003F5784" w14:paraId="4CD3225E" w14:textId="77777777">
            <w:pPr>
              <w:pStyle w:val="TableParagraph"/>
              <w:spacing w:before="0" w:line="234" w:lineRule="exact"/>
              <w:ind w:left="120"/>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Progress (NAEP), 2022 National Mathematics and Reading Assessments.</w:t>
            </w:r>
          </w:p>
        </w:tc>
      </w:tr>
    </w:tbl>
    <w:p w:rsidR="003F5784" w14:paraId="06B3A541" w14:textId="77777777">
      <w:pPr>
        <w:spacing w:line="234" w:lineRule="exact"/>
        <w:rPr>
          <w:sz w:val="21"/>
        </w:rPr>
        <w:sectPr>
          <w:pgSz w:w="15840" w:h="12240" w:orient="landscape"/>
          <w:pgMar w:top="480" w:right="440" w:bottom="460" w:left="460" w:header="284" w:footer="275" w:gutter="0"/>
          <w:cols w:space="720"/>
        </w:sectPr>
      </w:pPr>
    </w:p>
    <w:p w:rsidR="003F5784" w14:paraId="34D750EE" w14:textId="77777777">
      <w:pPr>
        <w:pStyle w:val="BodyText"/>
        <w:tabs>
          <w:tab w:val="left" w:pos="6041"/>
          <w:tab w:val="left" w:pos="9143"/>
          <w:tab w:val="left" w:pos="12689"/>
        </w:tabs>
        <w:spacing w:before="98" w:after="20"/>
        <w:ind w:left="595"/>
      </w:pPr>
      <w:r>
        <w:t>Grade</w:t>
      </w:r>
      <w:r>
        <w:rPr>
          <w:spacing w:val="-6"/>
        </w:rPr>
        <w:t xml:space="preserve"> </w:t>
      </w:r>
      <w:r>
        <w:t>and</w:t>
      </w:r>
      <w:r>
        <w:rPr>
          <w:spacing w:val="-6"/>
        </w:rPr>
        <w:t xml:space="preserve"> </w:t>
      </w:r>
      <w:r>
        <w:t>private</w:t>
      </w:r>
      <w:r>
        <w:rPr>
          <w:spacing w:val="-6"/>
        </w:rPr>
        <w:t xml:space="preserve"> </w:t>
      </w:r>
      <w:r>
        <w:t>school</w:t>
      </w:r>
      <w:r>
        <w:rPr>
          <w:spacing w:val="-6"/>
        </w:rPr>
        <w:t xml:space="preserve"> </w:t>
      </w:r>
      <w:r>
        <w:rPr>
          <w:spacing w:val="-4"/>
        </w:rPr>
        <w:t>type</w:t>
      </w:r>
      <w:r>
        <w:tab/>
      </w:r>
      <w:r>
        <w:rPr>
          <w:spacing w:val="-2"/>
        </w:rPr>
        <w:t>Total</w:t>
      </w:r>
      <w:r>
        <w:rPr>
          <w:spacing w:val="-3"/>
        </w:rPr>
        <w:t xml:space="preserve"> </w:t>
      </w:r>
      <w:r>
        <w:rPr>
          <w:spacing w:val="-2"/>
        </w:rPr>
        <w:t>school sample</w:t>
      </w:r>
      <w:r>
        <w:tab/>
        <w:t>PSS-based</w:t>
      </w:r>
      <w:r>
        <w:rPr>
          <w:spacing w:val="-9"/>
        </w:rPr>
        <w:t xml:space="preserve"> </w:t>
      </w:r>
      <w:r>
        <w:t>school</w:t>
      </w:r>
      <w:r>
        <w:rPr>
          <w:spacing w:val="-8"/>
        </w:rPr>
        <w:t xml:space="preserve"> </w:t>
      </w:r>
      <w:r>
        <w:rPr>
          <w:spacing w:val="-2"/>
        </w:rPr>
        <w:t>sample</w:t>
      </w:r>
      <w:r>
        <w:tab/>
        <w:t>New-school</w:t>
      </w:r>
      <w:r>
        <w:rPr>
          <w:spacing w:val="-12"/>
        </w:rPr>
        <w:t xml:space="preserve"> </w:t>
      </w:r>
      <w:r>
        <w:rPr>
          <w:spacing w:val="-2"/>
        </w:rPr>
        <w:t>sample</w:t>
      </w:r>
    </w:p>
    <w:tbl>
      <w:tblPr>
        <w:tblW w:w="0" w:type="auto"/>
        <w:tblInd w:w="482" w:type="dxa"/>
        <w:tblLayout w:type="fixed"/>
        <w:tblCellMar>
          <w:left w:w="0" w:type="dxa"/>
          <w:right w:w="0" w:type="dxa"/>
        </w:tblCellMar>
        <w:tblLook w:val="01E0"/>
      </w:tblPr>
      <w:tblGrid>
        <w:gridCol w:w="4108"/>
        <w:gridCol w:w="3870"/>
        <w:gridCol w:w="3600"/>
        <w:gridCol w:w="2406"/>
      </w:tblGrid>
      <w:tr w14:paraId="33F2CEB9" w14:textId="77777777" w:rsidTr="008F0E55">
        <w:tblPrEx>
          <w:tblW w:w="0" w:type="auto"/>
          <w:tblInd w:w="482" w:type="dxa"/>
          <w:tblLayout w:type="fixed"/>
          <w:tblCellMar>
            <w:left w:w="0" w:type="dxa"/>
            <w:right w:w="0" w:type="dxa"/>
          </w:tblCellMar>
          <w:tblLook w:val="01E0"/>
        </w:tblPrEx>
        <w:trPr>
          <w:trHeight w:val="280"/>
        </w:trPr>
        <w:tc>
          <w:tcPr>
            <w:tcW w:w="4108" w:type="dxa"/>
            <w:tcBorders>
              <w:top w:val="single" w:sz="18" w:space="0" w:color="800000"/>
              <w:bottom w:val="single" w:sz="18" w:space="0" w:color="800000"/>
            </w:tcBorders>
          </w:tcPr>
          <w:p w:rsidR="003F5784" w14:paraId="43489BA5" w14:textId="77777777">
            <w:pPr>
              <w:pStyle w:val="TableParagraph"/>
              <w:spacing w:before="9"/>
              <w:ind w:left="120"/>
              <w:jc w:val="left"/>
              <w:rPr>
                <w:sz w:val="21"/>
              </w:rPr>
            </w:pPr>
            <w:r>
              <w:rPr>
                <w:sz w:val="21"/>
              </w:rPr>
              <w:t>Unknown</w:t>
            </w:r>
            <w:r>
              <w:rPr>
                <w:spacing w:val="-10"/>
                <w:sz w:val="21"/>
              </w:rPr>
              <w:t xml:space="preserve"> </w:t>
            </w:r>
            <w:r>
              <w:rPr>
                <w:spacing w:val="-2"/>
                <w:sz w:val="21"/>
              </w:rPr>
              <w:t>affiliation</w:t>
            </w:r>
          </w:p>
        </w:tc>
        <w:tc>
          <w:tcPr>
            <w:tcW w:w="3870" w:type="dxa"/>
            <w:tcBorders>
              <w:top w:val="single" w:sz="18" w:space="0" w:color="800000"/>
              <w:bottom w:val="single" w:sz="18" w:space="0" w:color="800000"/>
            </w:tcBorders>
          </w:tcPr>
          <w:p w:rsidR="003F5784" w14:paraId="5387D2F8" w14:textId="77777777">
            <w:pPr>
              <w:pStyle w:val="TableParagraph"/>
              <w:spacing w:before="9"/>
              <w:ind w:left="924"/>
              <w:jc w:val="center"/>
              <w:rPr>
                <w:sz w:val="21"/>
              </w:rPr>
            </w:pPr>
            <w:r>
              <w:rPr>
                <w:spacing w:val="-5"/>
                <w:sz w:val="21"/>
              </w:rPr>
              <w:t>30</w:t>
            </w:r>
          </w:p>
        </w:tc>
        <w:tc>
          <w:tcPr>
            <w:tcW w:w="3600" w:type="dxa"/>
            <w:tcBorders>
              <w:top w:val="single" w:sz="18" w:space="0" w:color="800000"/>
              <w:bottom w:val="single" w:sz="18" w:space="0" w:color="800000"/>
            </w:tcBorders>
          </w:tcPr>
          <w:p w:rsidR="003F5784" w14:paraId="1CB55F9E" w14:textId="77777777">
            <w:pPr>
              <w:pStyle w:val="TableParagraph"/>
              <w:spacing w:before="9"/>
              <w:ind w:left="200"/>
              <w:jc w:val="center"/>
              <w:rPr>
                <w:sz w:val="21"/>
              </w:rPr>
            </w:pPr>
            <w:r>
              <w:rPr>
                <w:spacing w:val="-5"/>
                <w:sz w:val="21"/>
              </w:rPr>
              <w:t>30</w:t>
            </w:r>
          </w:p>
        </w:tc>
        <w:tc>
          <w:tcPr>
            <w:tcW w:w="2406" w:type="dxa"/>
            <w:tcBorders>
              <w:top w:val="single" w:sz="18" w:space="0" w:color="800000"/>
              <w:bottom w:val="single" w:sz="18" w:space="0" w:color="800000"/>
            </w:tcBorders>
          </w:tcPr>
          <w:p w:rsidR="003F5784" w14:paraId="7521FCF9" w14:textId="77777777">
            <w:pPr>
              <w:pStyle w:val="TableParagraph"/>
              <w:spacing w:before="9"/>
              <w:ind w:right="117"/>
              <w:rPr>
                <w:sz w:val="21"/>
              </w:rPr>
            </w:pPr>
            <w:r>
              <w:rPr>
                <w:spacing w:val="-10"/>
                <w:sz w:val="21"/>
              </w:rPr>
              <w:t>†</w:t>
            </w:r>
          </w:p>
        </w:tc>
      </w:tr>
    </w:tbl>
    <w:p w:rsidR="003F5784" w14:paraId="04F16933" w14:textId="77777777">
      <w:pPr>
        <w:pStyle w:val="BodyText"/>
        <w:spacing w:line="232" w:lineRule="exact"/>
        <w:ind w:left="595"/>
      </w:pPr>
      <w:r>
        <w:t>#</w:t>
      </w:r>
      <w:r>
        <w:rPr>
          <w:spacing w:val="-5"/>
        </w:rPr>
        <w:t xml:space="preserve"> </w:t>
      </w:r>
      <w:r>
        <w:t>Rounds</w:t>
      </w:r>
      <w:r>
        <w:rPr>
          <w:spacing w:val="-4"/>
        </w:rPr>
        <w:t xml:space="preserve"> </w:t>
      </w:r>
      <w:r>
        <w:t>to</w:t>
      </w:r>
      <w:r>
        <w:rPr>
          <w:spacing w:val="-4"/>
        </w:rPr>
        <w:t xml:space="preserve"> </w:t>
      </w:r>
      <w:r>
        <w:rPr>
          <w:spacing w:val="-2"/>
        </w:rPr>
        <w:t>zero.</w:t>
      </w:r>
    </w:p>
    <w:p w:rsidR="003F5784" w14:paraId="3C5D82C6" w14:textId="77777777">
      <w:pPr>
        <w:pStyle w:val="BodyText"/>
        <w:spacing w:line="235" w:lineRule="exact"/>
        <w:ind w:left="595"/>
      </w:pPr>
      <w:r>
        <w:t>†</w:t>
      </w:r>
      <w:r>
        <w:rPr>
          <w:spacing w:val="-4"/>
        </w:rPr>
        <w:t xml:space="preserve"> </w:t>
      </w:r>
      <w:r>
        <w:t>Not</w:t>
      </w:r>
      <w:r>
        <w:rPr>
          <w:spacing w:val="-3"/>
        </w:rPr>
        <w:t xml:space="preserve"> </w:t>
      </w:r>
      <w:r>
        <w:rPr>
          <w:spacing w:val="-2"/>
        </w:rPr>
        <w:t>applicable.</w:t>
      </w:r>
    </w:p>
    <w:p w:rsidR="003F5784" w14:paraId="6A6EB713" w14:textId="77777777">
      <w:pPr>
        <w:pStyle w:val="BodyText"/>
        <w:spacing w:line="235" w:lineRule="exact"/>
        <w:ind w:left="595"/>
      </w:pPr>
      <w:r>
        <w:t>NOTE:</w:t>
      </w:r>
      <w:r>
        <w:rPr>
          <w:spacing w:val="-5"/>
        </w:rPr>
        <w:t xml:space="preserve"> </w:t>
      </w:r>
      <w:r>
        <w:t>Numbers</w:t>
      </w:r>
      <w:r>
        <w:rPr>
          <w:spacing w:val="-5"/>
        </w:rPr>
        <w:t xml:space="preserve"> </w:t>
      </w:r>
      <w:r>
        <w:t>of</w:t>
      </w:r>
      <w:r>
        <w:rPr>
          <w:spacing w:val="-5"/>
        </w:rPr>
        <w:t xml:space="preserve"> </w:t>
      </w:r>
      <w:r>
        <w:t>schools</w:t>
      </w:r>
      <w:r>
        <w:rPr>
          <w:spacing w:val="-5"/>
        </w:rPr>
        <w:t xml:space="preserve"> </w:t>
      </w:r>
      <w:r>
        <w:t>are</w:t>
      </w:r>
      <w:r>
        <w:rPr>
          <w:spacing w:val="-5"/>
        </w:rPr>
        <w:t xml:space="preserve"> </w:t>
      </w:r>
      <w:r>
        <w:t>rounded</w:t>
      </w:r>
      <w:r>
        <w:rPr>
          <w:spacing w:val="-5"/>
        </w:rPr>
        <w:t xml:space="preserve"> </w:t>
      </w:r>
      <w:r>
        <w:t>to</w:t>
      </w:r>
      <w:r>
        <w:rPr>
          <w:spacing w:val="-5"/>
        </w:rPr>
        <w:t xml:space="preserve"> </w:t>
      </w:r>
      <w:r>
        <w:t>nearest</w:t>
      </w:r>
      <w:r>
        <w:rPr>
          <w:spacing w:val="-5"/>
        </w:rPr>
        <w:t xml:space="preserve"> </w:t>
      </w:r>
      <w:r>
        <w:t>ten.</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due</w:t>
      </w:r>
      <w:r>
        <w:rPr>
          <w:spacing w:val="-5"/>
        </w:rPr>
        <w:t xml:space="preserve"> </w:t>
      </w:r>
      <w:r>
        <w:t>to</w:t>
      </w:r>
      <w:r>
        <w:rPr>
          <w:spacing w:val="-5"/>
        </w:rPr>
        <w:t xml:space="preserve"> </w:t>
      </w:r>
      <w:r>
        <w:rPr>
          <w:spacing w:val="-2"/>
        </w:rPr>
        <w:t>rounding.</w:t>
      </w:r>
    </w:p>
    <w:p w:rsidR="003F5784" w14:paraId="3472493E"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National Mathematics and Reading Assessments.</w:t>
      </w:r>
    </w:p>
    <w:p w:rsidR="003F5784" w14:paraId="1F70943C" w14:textId="77777777">
      <w:pPr>
        <w:pStyle w:val="BodyText"/>
      </w:pPr>
    </w:p>
    <w:p w:rsidR="003F5784" w14:paraId="3CF38AED" w14:textId="77777777">
      <w:pPr>
        <w:pStyle w:val="BodyText"/>
      </w:pPr>
    </w:p>
    <w:p w:rsidR="003F5784" w14:paraId="66258AB9" w14:textId="77777777">
      <w:pPr>
        <w:pStyle w:val="BodyText"/>
        <w:spacing w:before="172"/>
      </w:pPr>
    </w:p>
    <w:p w:rsidR="003F5784" w14:paraId="4947D93C" w14:textId="77777777">
      <w:pPr>
        <w:ind w:left="1518"/>
        <w:rPr>
          <w:sz w:val="18"/>
        </w:rPr>
      </w:pPr>
      <w:hyperlink r:id="rId107">
        <w:r>
          <w:rPr>
            <w:spacing w:val="-2"/>
            <w:w w:val="105"/>
            <w:sz w:val="18"/>
          </w:rPr>
          <w:t>http://nces.ed.gov/nationsreportcard/tdw/sample_design/2022/school_sample_sizes_list_frame_based_and_new_school_for_the_2022_private_school_national_assessment.aspx</w:t>
        </w:r>
      </w:hyperlink>
    </w:p>
    <w:p w:rsidR="003F5784" w14:paraId="6465C091" w14:textId="77777777">
      <w:pPr>
        <w:pStyle w:val="BodyText"/>
        <w:rPr>
          <w:sz w:val="16"/>
        </w:rPr>
      </w:pPr>
      <w:r>
        <w:rPr>
          <w:noProof/>
        </w:rPr>
        <mc:AlternateContent>
          <mc:Choice Requires="wps">
            <w:drawing>
              <wp:anchor distT="0" distB="0" distL="0" distR="0" simplePos="0" relativeHeight="251816960" behindDoc="1" locked="0" layoutInCell="1" allowOverlap="1">
                <wp:simplePos x="0" y="0"/>
                <wp:positionH relativeFrom="page">
                  <wp:posOffset>361937</wp:posOffset>
                </wp:positionH>
                <wp:positionV relativeFrom="paragraph">
                  <wp:posOffset>132531</wp:posOffset>
                </wp:positionV>
                <wp:extent cx="9339580" cy="8890"/>
                <wp:effectExtent l="0" t="0" r="0" b="0"/>
                <wp:wrapTopAndBottom/>
                <wp:docPr id="126" name="Graphic 12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26" o:spid="_x0000_s1079" style="width:735.4pt;height:0.7pt;margin-top:10.45pt;margin-left:28.5pt;mso-position-horizontal-relative:page;mso-wrap-distance-bottom:0;mso-wrap-distance-left:0;mso-wrap-distance-right:0;mso-wrap-distance-top:0;mso-wrap-style:square;position:absolute;visibility:visible;v-text-anchor:top;z-index:-251498496" coordsize="9339580,8890" path="m9338970,l9335110,l8280,,,,,8280l8280,8280l9335110,8280l9338970,8280l9338970,xe" fillcolor="gray" stroked="f">
                <v:path arrowok="t"/>
                <w10:wrap type="topAndBottom"/>
              </v:shape>
            </w:pict>
          </mc:Fallback>
        </mc:AlternateContent>
      </w:r>
    </w:p>
    <w:p w:rsidR="003F5784" w14:paraId="2E99587D" w14:textId="77777777">
      <w:pPr>
        <w:pStyle w:val="BodyText"/>
        <w:rPr>
          <w:sz w:val="18"/>
        </w:rPr>
      </w:pPr>
    </w:p>
    <w:p w:rsidR="003F5784" w14:paraId="4BE476C5" w14:textId="77777777">
      <w:pPr>
        <w:pStyle w:val="BodyText"/>
        <w:spacing w:before="193"/>
        <w:rPr>
          <w:sz w:val="18"/>
        </w:rPr>
      </w:pPr>
    </w:p>
    <w:p w:rsidR="003F5784" w14:paraId="16AD48B9" w14:textId="6A4CF07F">
      <w:pPr>
        <w:pStyle w:val="Heading1"/>
        <w:spacing w:line="244" w:lineRule="auto"/>
        <w:ind w:right="319"/>
      </w:pPr>
      <w:r>
        <w:t>NAEP</w:t>
      </w:r>
      <w:r>
        <w:rPr>
          <w:spacing w:val="-16"/>
        </w:rPr>
        <w:t xml:space="preserve"> </w:t>
      </w:r>
      <w:r>
        <w:t>Technical Documentation</w:t>
      </w:r>
      <w:r w:rsidR="003F61B6">
        <w:t xml:space="preserve"> </w:t>
      </w:r>
      <w:r>
        <w:t>Stratification of Schools for the 2022 Fourth- and Eighth-Grade</w:t>
      </w:r>
      <w:r>
        <w:rPr>
          <w:spacing w:val="40"/>
        </w:rPr>
        <w:t xml:space="preserve"> </w:t>
      </w:r>
      <w:r>
        <w:t>Private</w:t>
      </w:r>
      <w:r>
        <w:rPr>
          <w:spacing w:val="40"/>
        </w:rPr>
        <w:t xml:space="preserve"> </w:t>
      </w:r>
      <w:r>
        <w:t>School</w:t>
      </w:r>
      <w:r>
        <w:rPr>
          <w:spacing w:val="40"/>
        </w:rPr>
        <w:t xml:space="preserve"> </w:t>
      </w:r>
      <w:r>
        <w:t>National Assessment</w:t>
      </w:r>
      <w:r>
        <w:rPr>
          <w:spacing w:val="40"/>
        </w:rPr>
        <w:t xml:space="preserve"> </w:t>
      </w:r>
      <w:r>
        <w:t>in</w:t>
      </w:r>
      <w:r>
        <w:rPr>
          <w:spacing w:val="40"/>
        </w:rPr>
        <w:t xml:space="preserve"> </w:t>
      </w:r>
      <w:r>
        <w:t>Mathematics</w:t>
      </w:r>
      <w:r>
        <w:rPr>
          <w:spacing w:val="40"/>
        </w:rPr>
        <w:t xml:space="preserve"> </w:t>
      </w:r>
      <w:r>
        <w:t>and</w:t>
      </w:r>
      <w:r>
        <w:rPr>
          <w:spacing w:val="40"/>
        </w:rPr>
        <w:t xml:space="preserve"> </w:t>
      </w:r>
      <w:r>
        <w:t>Reading</w:t>
      </w:r>
    </w:p>
    <w:p w:rsidR="003F5784" w14:paraId="10CB9CEE" w14:textId="77777777">
      <w:pPr>
        <w:pStyle w:val="BodyText"/>
        <w:spacing w:before="287" w:line="232" w:lineRule="auto"/>
        <w:ind w:left="109"/>
      </w:pPr>
      <w:r>
        <w:t>The</w:t>
      </w:r>
      <w:r>
        <w:rPr>
          <w:spacing w:val="-6"/>
        </w:rPr>
        <w:t xml:space="preserve"> </w:t>
      </w:r>
      <w:r>
        <w:t>purpose</w:t>
      </w:r>
      <w:r>
        <w:rPr>
          <w:spacing w:val="-6"/>
        </w:rPr>
        <w:t xml:space="preserve"> </w:t>
      </w:r>
      <w:r>
        <w:t>of</w:t>
      </w:r>
      <w:r>
        <w:rPr>
          <w:spacing w:val="-6"/>
        </w:rPr>
        <w:t xml:space="preserve"> </w:t>
      </w:r>
      <w:r>
        <w:t>school</w:t>
      </w:r>
      <w:r>
        <w:rPr>
          <w:spacing w:val="-6"/>
        </w:rPr>
        <w:t xml:space="preserve"> </w:t>
      </w:r>
      <w:r>
        <w:t>stratification</w:t>
      </w:r>
      <w:r>
        <w:rPr>
          <w:spacing w:val="-6"/>
        </w:rPr>
        <w:t xml:space="preserve"> </w:t>
      </w:r>
      <w:r>
        <w:t>is</w:t>
      </w:r>
      <w:r>
        <w:rPr>
          <w:spacing w:val="-6"/>
        </w:rPr>
        <w:t xml:space="preserve"> </w:t>
      </w:r>
      <w:r>
        <w:t>to</w:t>
      </w:r>
      <w:r>
        <w:rPr>
          <w:spacing w:val="-6"/>
        </w:rPr>
        <w:t xml:space="preserve"> </w:t>
      </w:r>
      <w:r>
        <w:t>increase</w:t>
      </w:r>
      <w:r>
        <w:rPr>
          <w:spacing w:val="-6"/>
        </w:rPr>
        <w:t xml:space="preserve"> </w:t>
      </w:r>
      <w:r>
        <w:t>the</w:t>
      </w:r>
      <w:r>
        <w:rPr>
          <w:spacing w:val="-6"/>
        </w:rPr>
        <w:t xml:space="preserve"> </w:t>
      </w:r>
      <w:r>
        <w:t>efficiency</w:t>
      </w:r>
      <w:r>
        <w:rPr>
          <w:spacing w:val="-6"/>
        </w:rPr>
        <w:t xml:space="preserve"> </w:t>
      </w:r>
      <w:r>
        <w:t>and</w:t>
      </w:r>
      <w:r>
        <w:rPr>
          <w:spacing w:val="-6"/>
        </w:rPr>
        <w:t xml:space="preserve"> </w:t>
      </w:r>
      <w:r>
        <w:t>ensure</w:t>
      </w:r>
      <w:r>
        <w:rPr>
          <w:spacing w:val="-6"/>
        </w:rPr>
        <w:t xml:space="preserve"> </w:t>
      </w:r>
      <w:r>
        <w:t>the</w:t>
      </w:r>
      <w:r>
        <w:rPr>
          <w:spacing w:val="-6"/>
        </w:rPr>
        <w:t xml:space="preserve"> </w:t>
      </w:r>
      <w:r>
        <w:t>representativeness</w:t>
      </w:r>
      <w:r>
        <w:rPr>
          <w:spacing w:val="-6"/>
        </w:rPr>
        <w:t xml:space="preserve"> </w:t>
      </w:r>
      <w:r>
        <w:t>of</w:t>
      </w:r>
      <w:r>
        <w:rPr>
          <w:spacing w:val="-6"/>
        </w:rPr>
        <w:t xml:space="preserve"> </w:t>
      </w:r>
      <w:r>
        <w:t>school</w:t>
      </w:r>
      <w:r>
        <w:rPr>
          <w:spacing w:val="-6"/>
        </w:rPr>
        <w:t xml:space="preserve"> </w:t>
      </w:r>
      <w:r>
        <w:t>samples</w:t>
      </w:r>
      <w:r>
        <w:rPr>
          <w:spacing w:val="-6"/>
        </w:rPr>
        <w:t xml:space="preserve"> </w:t>
      </w:r>
      <w:r>
        <w:t>in</w:t>
      </w:r>
      <w:r>
        <w:rPr>
          <w:spacing w:val="-6"/>
        </w:rPr>
        <w:t xml:space="preserve"> </w:t>
      </w:r>
      <w:r>
        <w:t>terms</w:t>
      </w:r>
      <w:r>
        <w:rPr>
          <w:spacing w:val="-6"/>
        </w:rPr>
        <w:t xml:space="preserve"> </w:t>
      </w:r>
      <w:r>
        <w:t>of</w:t>
      </w:r>
      <w:r>
        <w:rPr>
          <w:spacing w:val="-6"/>
        </w:rPr>
        <w:t xml:space="preserve"> </w:t>
      </w:r>
      <w:r>
        <w:t>important</w:t>
      </w:r>
      <w:r>
        <w:rPr>
          <w:spacing w:val="-6"/>
        </w:rPr>
        <w:t xml:space="preserve"> </w:t>
      </w:r>
      <w:r>
        <w:t>school-level</w:t>
      </w:r>
      <w:r>
        <w:rPr>
          <w:spacing w:val="-6"/>
        </w:rPr>
        <w:t xml:space="preserve"> </w:t>
      </w:r>
      <w:r>
        <w:t>characteristics,</w:t>
      </w:r>
      <w:r>
        <w:rPr>
          <w:spacing w:val="-6"/>
        </w:rPr>
        <w:t xml:space="preserve"> </w:t>
      </w:r>
      <w:r>
        <w:t>such</w:t>
      </w:r>
      <w:r>
        <w:rPr>
          <w:spacing w:val="-6"/>
        </w:rPr>
        <w:t xml:space="preserve"> </w:t>
      </w:r>
      <w:r>
        <w:t>as geography (e.g., census region), urbanicity, and race/ethnicity composition. NAEP</w:t>
      </w:r>
      <w:r>
        <w:rPr>
          <w:spacing w:val="-7"/>
        </w:rPr>
        <w:t xml:space="preserve"> </w:t>
      </w:r>
      <w:r>
        <w:t>school sampling utilizes two types of stratification: explicit and implicit.</w:t>
      </w:r>
    </w:p>
    <w:p w:rsidR="003F5784" w14:paraId="6E500105" w14:textId="77777777">
      <w:pPr>
        <w:pStyle w:val="BodyText"/>
        <w:spacing w:before="209" w:line="232" w:lineRule="auto"/>
        <w:ind w:left="109"/>
      </w:pPr>
      <w:r>
        <w:t>Explicit</w:t>
      </w:r>
      <w:r>
        <w:rPr>
          <w:spacing w:val="-7"/>
        </w:rPr>
        <w:t xml:space="preserve"> </w:t>
      </w:r>
      <w:r>
        <w:t>stratification</w:t>
      </w:r>
      <w:r>
        <w:rPr>
          <w:spacing w:val="-7"/>
        </w:rPr>
        <w:t xml:space="preserve"> </w:t>
      </w:r>
      <w:r>
        <w:t>partitions</w:t>
      </w:r>
      <w:r>
        <w:rPr>
          <w:spacing w:val="-7"/>
        </w:rPr>
        <w:t xml:space="preserve"> </w:t>
      </w:r>
      <w:r>
        <w:t>the</w:t>
      </w:r>
      <w:r>
        <w:rPr>
          <w:spacing w:val="-7"/>
        </w:rPr>
        <w:t xml:space="preserve"> </w:t>
      </w:r>
      <w:r>
        <w:t>sampling</w:t>
      </w:r>
      <w:r>
        <w:rPr>
          <w:spacing w:val="-7"/>
        </w:rPr>
        <w:t xml:space="preserve"> </w:t>
      </w:r>
      <w:r>
        <w:t>frame</w:t>
      </w:r>
      <w:r>
        <w:rPr>
          <w:spacing w:val="-7"/>
        </w:rPr>
        <w:t xml:space="preserve"> </w:t>
      </w:r>
      <w:r>
        <w:t>into</w:t>
      </w:r>
      <w:r>
        <w:rPr>
          <w:spacing w:val="-7"/>
        </w:rPr>
        <w:t xml:space="preserve"> </w:t>
      </w:r>
      <w:r>
        <w:t>mutually</w:t>
      </w:r>
      <w:r>
        <w:rPr>
          <w:spacing w:val="-7"/>
        </w:rPr>
        <w:t xml:space="preserve"> </w:t>
      </w:r>
      <w:r>
        <w:t>exclusive</w:t>
      </w:r>
      <w:r>
        <w:rPr>
          <w:spacing w:val="-7"/>
        </w:rPr>
        <w:t xml:space="preserve"> </w:t>
      </w:r>
      <w:r>
        <w:t>groupings</w:t>
      </w:r>
      <w:r>
        <w:rPr>
          <w:spacing w:val="-7"/>
        </w:rPr>
        <w:t xml:space="preserve"> </w:t>
      </w:r>
      <w:r>
        <w:t>called</w:t>
      </w:r>
      <w:r>
        <w:rPr>
          <w:spacing w:val="-7"/>
        </w:rPr>
        <w:t xml:space="preserve"> </w:t>
      </w:r>
      <w:r>
        <w:t>strata.</w:t>
      </w:r>
      <w:r>
        <w:rPr>
          <w:spacing w:val="-11"/>
        </w:rPr>
        <w:t xml:space="preserve"> </w:t>
      </w:r>
      <w:r>
        <w:t>The</w:t>
      </w:r>
      <w:r>
        <w:rPr>
          <w:spacing w:val="-7"/>
        </w:rPr>
        <w:t xml:space="preserve"> </w:t>
      </w:r>
      <w:r>
        <w:t>systematic</w:t>
      </w:r>
      <w:r>
        <w:rPr>
          <w:spacing w:val="-7"/>
        </w:rPr>
        <w:t xml:space="preserve"> </w:t>
      </w:r>
      <w:r>
        <w:t>samples</w:t>
      </w:r>
      <w:r>
        <w:rPr>
          <w:spacing w:val="-7"/>
        </w:rPr>
        <w:t xml:space="preserve"> </w:t>
      </w:r>
      <w:r>
        <w:t>selected</w:t>
      </w:r>
      <w:r>
        <w:rPr>
          <w:spacing w:val="-7"/>
        </w:rPr>
        <w:t xml:space="preserve"> </w:t>
      </w:r>
      <w:r>
        <w:t>from</w:t>
      </w:r>
      <w:r>
        <w:rPr>
          <w:spacing w:val="-7"/>
        </w:rPr>
        <w:t xml:space="preserve"> </w:t>
      </w:r>
      <w:r>
        <w:t>these</w:t>
      </w:r>
      <w:r>
        <w:rPr>
          <w:spacing w:val="-7"/>
        </w:rPr>
        <w:t xml:space="preserve"> </w:t>
      </w:r>
      <w:r>
        <w:t>strata</w:t>
      </w:r>
      <w:r>
        <w:rPr>
          <w:spacing w:val="-7"/>
        </w:rPr>
        <w:t xml:space="preserve"> </w:t>
      </w:r>
      <w:r>
        <w:t>are</w:t>
      </w:r>
      <w:r>
        <w:rPr>
          <w:spacing w:val="-7"/>
        </w:rPr>
        <w:t xml:space="preserve"> </w:t>
      </w:r>
      <w:r>
        <w:t>independent,</w:t>
      </w:r>
      <w:r>
        <w:rPr>
          <w:spacing w:val="-7"/>
        </w:rPr>
        <w:t xml:space="preserve"> </w:t>
      </w:r>
      <w:r>
        <w:t>meaning that</w:t>
      </w:r>
      <w:r>
        <w:rPr>
          <w:spacing w:val="-5"/>
        </w:rPr>
        <w:t xml:space="preserve"> </w:t>
      </w:r>
      <w:r>
        <w:t>each</w:t>
      </w:r>
      <w:r>
        <w:rPr>
          <w:spacing w:val="-5"/>
        </w:rPr>
        <w:t xml:space="preserve"> </w:t>
      </w:r>
      <w:r>
        <w:t>sample</w:t>
      </w:r>
      <w:r>
        <w:rPr>
          <w:spacing w:val="-5"/>
        </w:rPr>
        <w:t xml:space="preserve"> </w:t>
      </w:r>
      <w:r>
        <w:t>is</w:t>
      </w:r>
      <w:r>
        <w:rPr>
          <w:spacing w:val="-5"/>
        </w:rPr>
        <w:t xml:space="preserve"> </w:t>
      </w:r>
      <w:r>
        <w:t>selected</w:t>
      </w:r>
      <w:r>
        <w:rPr>
          <w:spacing w:val="-5"/>
        </w:rPr>
        <w:t xml:space="preserve"> </w:t>
      </w:r>
      <w:r>
        <w:t>with</w:t>
      </w:r>
      <w:r>
        <w:rPr>
          <w:spacing w:val="-5"/>
        </w:rPr>
        <w:t xml:space="preserve"> </w:t>
      </w:r>
      <w:r>
        <w:t>its</w:t>
      </w:r>
      <w:r>
        <w:rPr>
          <w:spacing w:val="-5"/>
        </w:rPr>
        <w:t xml:space="preserve"> </w:t>
      </w:r>
      <w:r>
        <w:t>own</w:t>
      </w:r>
      <w:r>
        <w:rPr>
          <w:spacing w:val="-5"/>
        </w:rPr>
        <w:t xml:space="preserve"> </w:t>
      </w:r>
      <w:r>
        <w:t>unique</w:t>
      </w:r>
      <w:r>
        <w:rPr>
          <w:spacing w:val="-5"/>
        </w:rPr>
        <w:t xml:space="preserve"> </w:t>
      </w:r>
      <w:r>
        <w:t>random</w:t>
      </w:r>
      <w:r>
        <w:rPr>
          <w:spacing w:val="-5"/>
        </w:rPr>
        <w:t xml:space="preserve"> </w:t>
      </w:r>
      <w:r>
        <w:t>start.</w:t>
      </w:r>
      <w:r>
        <w:rPr>
          <w:spacing w:val="-5"/>
        </w:rPr>
        <w:t xml:space="preserve"> </w:t>
      </w:r>
      <w:r>
        <w:t>Implicit</w:t>
      </w:r>
      <w:r>
        <w:rPr>
          <w:spacing w:val="-5"/>
        </w:rPr>
        <w:t xml:space="preserve"> </w:t>
      </w:r>
      <w:r>
        <w:t>stratification</w:t>
      </w:r>
      <w:r>
        <w:rPr>
          <w:spacing w:val="-5"/>
        </w:rPr>
        <w:t xml:space="preserve"> </w:t>
      </w:r>
      <w:r>
        <w:t>involves</w:t>
      </w:r>
      <w:r>
        <w:rPr>
          <w:spacing w:val="-5"/>
        </w:rPr>
        <w:t xml:space="preserve"> </w:t>
      </w:r>
      <w:r>
        <w:t>sorting</w:t>
      </w:r>
      <w:r>
        <w:rPr>
          <w:spacing w:val="-5"/>
        </w:rPr>
        <w:t xml:space="preserve"> </w:t>
      </w:r>
      <w:r>
        <w:t>the</w:t>
      </w:r>
      <w:r>
        <w:rPr>
          <w:spacing w:val="-5"/>
        </w:rPr>
        <w:t xml:space="preserve"> </w:t>
      </w:r>
      <w:r>
        <w:t>sampling</w:t>
      </w:r>
      <w:r>
        <w:rPr>
          <w:spacing w:val="-5"/>
        </w:rPr>
        <w:t xml:space="preserve"> </w:t>
      </w:r>
      <w:r>
        <w:t>frame,</w:t>
      </w:r>
      <w:r>
        <w:rPr>
          <w:spacing w:val="-5"/>
        </w:rPr>
        <w:t xml:space="preserve"> </w:t>
      </w:r>
      <w:r>
        <w:t>as</w:t>
      </w:r>
      <w:r>
        <w:rPr>
          <w:spacing w:val="-5"/>
        </w:rPr>
        <w:t xml:space="preserve"> </w:t>
      </w:r>
      <w:r>
        <w:t>opposed</w:t>
      </w:r>
      <w:r>
        <w:rPr>
          <w:spacing w:val="-5"/>
        </w:rPr>
        <w:t xml:space="preserve"> </w:t>
      </w:r>
      <w:r>
        <w:t>to</w:t>
      </w:r>
      <w:r>
        <w:rPr>
          <w:spacing w:val="-5"/>
        </w:rPr>
        <w:t xml:space="preserve"> </w:t>
      </w:r>
      <w:r>
        <w:t>grouping</w:t>
      </w:r>
      <w:r>
        <w:rPr>
          <w:spacing w:val="-5"/>
        </w:rPr>
        <w:t xml:space="preserve"> </w:t>
      </w:r>
      <w:r>
        <w:t>the</w:t>
      </w:r>
      <w:r>
        <w:rPr>
          <w:spacing w:val="-5"/>
        </w:rPr>
        <w:t xml:space="preserve"> </w:t>
      </w:r>
      <w:r>
        <w:t>frame.</w:t>
      </w:r>
      <w:r>
        <w:rPr>
          <w:spacing w:val="-5"/>
        </w:rPr>
        <w:t xml:space="preserve"> </w:t>
      </w:r>
      <w:r>
        <w:t>For</w:t>
      </w:r>
      <w:r>
        <w:rPr>
          <w:spacing w:val="-5"/>
        </w:rPr>
        <w:t xml:space="preserve"> </w:t>
      </w:r>
      <w:r>
        <w:t>NAEP,</w:t>
      </w:r>
      <w:r>
        <w:rPr>
          <w:spacing w:val="-5"/>
        </w:rPr>
        <w:t xml:space="preserve"> </w:t>
      </w:r>
      <w:r>
        <w:t>schools are sorted in serpentine fashion by key school characteristics within sampling strata and sampled systematically using this ordering.</w:t>
      </w:r>
      <w:r>
        <w:rPr>
          <w:spacing w:val="-3"/>
        </w:rPr>
        <w:t xml:space="preserve"> </w:t>
      </w:r>
      <w:r>
        <w:t>This type of stratification ensures the representativeness of the school samples with respect to the key school characteristics.</w:t>
      </w:r>
    </w:p>
    <w:p w:rsidR="003F5784" w14:paraId="0E43FD41" w14:textId="77777777">
      <w:pPr>
        <w:pStyle w:val="BodyText"/>
        <w:spacing w:before="210" w:line="232" w:lineRule="auto"/>
        <w:ind w:left="109" w:right="179"/>
      </w:pPr>
      <w:r>
        <w:t>Explicit stratification for the NAEP</w:t>
      </w:r>
      <w:r>
        <w:rPr>
          <w:spacing w:val="-7"/>
        </w:rPr>
        <w:t xml:space="preserve"> </w:t>
      </w:r>
      <w:r>
        <w:t>2022 private school samples for mathematics and reading at grades 4 and 8 was by private school type: Catholic, non-Catholic, and unknown</w:t>
      </w:r>
      <w:r>
        <w:rPr>
          <w:spacing w:val="-7"/>
        </w:rPr>
        <w:t xml:space="preserve"> </w:t>
      </w:r>
      <w:r>
        <w:t>affiliation.</w:t>
      </w:r>
      <w:r>
        <w:rPr>
          <w:spacing w:val="-7"/>
        </w:rPr>
        <w:t xml:space="preserve"> </w:t>
      </w:r>
      <w:r>
        <w:t>Private</w:t>
      </w:r>
      <w:r>
        <w:rPr>
          <w:spacing w:val="-7"/>
        </w:rPr>
        <w:t xml:space="preserve"> </w:t>
      </w:r>
      <w:r>
        <w:t>school</w:t>
      </w:r>
      <w:r>
        <w:rPr>
          <w:spacing w:val="-7"/>
        </w:rPr>
        <w:t xml:space="preserve"> </w:t>
      </w:r>
      <w:r>
        <w:t>affiliation</w:t>
      </w:r>
      <w:r>
        <w:rPr>
          <w:spacing w:val="-7"/>
        </w:rPr>
        <w:t xml:space="preserve"> </w:t>
      </w:r>
      <w:r>
        <w:t>was</w:t>
      </w:r>
      <w:r>
        <w:rPr>
          <w:spacing w:val="-7"/>
        </w:rPr>
        <w:t xml:space="preserve"> </w:t>
      </w:r>
      <w:r>
        <w:t>unknown</w:t>
      </w:r>
      <w:r>
        <w:rPr>
          <w:spacing w:val="-7"/>
        </w:rPr>
        <w:t xml:space="preserve"> </w:t>
      </w:r>
      <w:r>
        <w:t>for</w:t>
      </w:r>
      <w:r>
        <w:rPr>
          <w:spacing w:val="-7"/>
        </w:rPr>
        <w:t xml:space="preserve"> </w:t>
      </w:r>
      <w:r>
        <w:t>schools</w:t>
      </w:r>
      <w:r>
        <w:rPr>
          <w:spacing w:val="-7"/>
        </w:rPr>
        <w:t xml:space="preserve"> </w:t>
      </w:r>
      <w:r>
        <w:t>that</w:t>
      </w:r>
      <w:r>
        <w:rPr>
          <w:spacing w:val="-7"/>
        </w:rPr>
        <w:t xml:space="preserve"> </w:t>
      </w:r>
      <w:r>
        <w:t>were</w:t>
      </w:r>
      <w:r>
        <w:rPr>
          <w:spacing w:val="-7"/>
        </w:rPr>
        <w:t xml:space="preserve"> </w:t>
      </w:r>
      <w:r>
        <w:t>nonrespondents</w:t>
      </w:r>
      <w:r>
        <w:rPr>
          <w:spacing w:val="-7"/>
        </w:rPr>
        <w:t xml:space="preserve"> </w:t>
      </w:r>
      <w:r>
        <w:t>to</w:t>
      </w:r>
      <w:r>
        <w:rPr>
          <w:spacing w:val="-7"/>
        </w:rPr>
        <w:t xml:space="preserve"> </w:t>
      </w:r>
      <w:r>
        <w:t>the</w:t>
      </w:r>
      <w:r>
        <w:rPr>
          <w:spacing w:val="-7"/>
        </w:rPr>
        <w:t xml:space="preserve"> </w:t>
      </w:r>
      <w:r>
        <w:t>NCES</w:t>
      </w:r>
      <w:r>
        <w:rPr>
          <w:spacing w:val="-7"/>
        </w:rPr>
        <w:t xml:space="preserve"> </w:t>
      </w:r>
      <w:r>
        <w:t>Private</w:t>
      </w:r>
      <w:r>
        <w:rPr>
          <w:spacing w:val="-7"/>
        </w:rPr>
        <w:t xml:space="preserve"> </w:t>
      </w:r>
      <w:r>
        <w:t>School</w:t>
      </w:r>
      <w:r>
        <w:rPr>
          <w:spacing w:val="-7"/>
        </w:rPr>
        <w:t xml:space="preserve"> </w:t>
      </w:r>
      <w:r>
        <w:t>Universe</w:t>
      </w:r>
      <w:r>
        <w:rPr>
          <w:spacing w:val="-7"/>
        </w:rPr>
        <w:t xml:space="preserve"> </w:t>
      </w:r>
      <w:r>
        <w:t>Survey</w:t>
      </w:r>
      <w:r>
        <w:rPr>
          <w:spacing w:val="-7"/>
        </w:rPr>
        <w:t xml:space="preserve"> </w:t>
      </w:r>
      <w:r>
        <w:t>(PSS)</w:t>
      </w:r>
      <w:r>
        <w:rPr>
          <w:spacing w:val="-7"/>
        </w:rPr>
        <w:t xml:space="preserve"> </w:t>
      </w:r>
      <w:r>
        <w:t>for</w:t>
      </w:r>
      <w:r>
        <w:rPr>
          <w:spacing w:val="-7"/>
        </w:rPr>
        <w:t xml:space="preserve"> </w:t>
      </w:r>
      <w:r>
        <w:t>the</w:t>
      </w:r>
      <w:r>
        <w:rPr>
          <w:spacing w:val="-7"/>
        </w:rPr>
        <w:t xml:space="preserve"> </w:t>
      </w:r>
      <w:r>
        <w:t>past</w:t>
      </w:r>
      <w:r>
        <w:rPr>
          <w:spacing w:val="-7"/>
        </w:rPr>
        <w:t xml:space="preserve"> </w:t>
      </w:r>
      <w:r>
        <w:t>three</w:t>
      </w:r>
      <w:r>
        <w:rPr>
          <w:spacing w:val="-7"/>
        </w:rPr>
        <w:t xml:space="preserve"> </w:t>
      </w:r>
      <w:r>
        <w:t>cycles.</w:t>
      </w:r>
    </w:p>
    <w:p w:rsidR="003F5784" w14:paraId="61575165" w14:textId="77777777">
      <w:pPr>
        <w:pStyle w:val="BodyText"/>
        <w:spacing w:before="209" w:line="232" w:lineRule="auto"/>
        <w:ind w:left="109"/>
      </w:pPr>
      <w:r>
        <w:t>The implicit stratification of the schools involved four dimensions.</w:t>
      </w:r>
      <w:r>
        <w:rPr>
          <w:spacing w:val="-3"/>
        </w:rPr>
        <w:t xml:space="preserve"> </w:t>
      </w:r>
      <w:r>
        <w:t>Within each explicit stratum, the private schools were hierarchically sorted by census region, urbanicity classification,</w:t>
      </w:r>
      <w:r>
        <w:rPr>
          <w:spacing w:val="-8"/>
        </w:rPr>
        <w:t xml:space="preserve"> </w:t>
      </w:r>
      <w:r>
        <w:t>race/ethnicity</w:t>
      </w:r>
      <w:r>
        <w:rPr>
          <w:spacing w:val="-8"/>
        </w:rPr>
        <w:t xml:space="preserve"> </w:t>
      </w:r>
      <w:r>
        <w:t>classification,</w:t>
      </w:r>
      <w:r>
        <w:rPr>
          <w:spacing w:val="-8"/>
        </w:rPr>
        <w:t xml:space="preserve"> </w:t>
      </w:r>
      <w:r>
        <w:t>and</w:t>
      </w:r>
      <w:r>
        <w:rPr>
          <w:spacing w:val="-8"/>
        </w:rPr>
        <w:t xml:space="preserve"> </w:t>
      </w:r>
      <w:r>
        <w:t>estimated</w:t>
      </w:r>
      <w:r>
        <w:rPr>
          <w:spacing w:val="-8"/>
        </w:rPr>
        <w:t xml:space="preserve"> </w:t>
      </w:r>
      <w:r>
        <w:t>grade</w:t>
      </w:r>
      <w:r>
        <w:rPr>
          <w:spacing w:val="-8"/>
        </w:rPr>
        <w:t xml:space="preserve"> </w:t>
      </w:r>
      <w:r>
        <w:t>enrollment.</w:t>
      </w:r>
      <w:r>
        <w:rPr>
          <w:spacing w:val="-12"/>
        </w:rPr>
        <w:t xml:space="preserve"> </w:t>
      </w:r>
      <w:r>
        <w:t>The</w:t>
      </w:r>
      <w:r>
        <w:rPr>
          <w:spacing w:val="-8"/>
        </w:rPr>
        <w:t xml:space="preserve"> </w:t>
      </w:r>
      <w:r>
        <w:t>implicit</w:t>
      </w:r>
      <w:r>
        <w:rPr>
          <w:spacing w:val="-8"/>
        </w:rPr>
        <w:t xml:space="preserve"> </w:t>
      </w:r>
      <w:r>
        <w:t>stratification</w:t>
      </w:r>
      <w:r>
        <w:rPr>
          <w:spacing w:val="-8"/>
        </w:rPr>
        <w:t xml:space="preserve"> </w:t>
      </w:r>
      <w:r>
        <w:t>in</w:t>
      </w:r>
      <w:r>
        <w:rPr>
          <w:spacing w:val="-8"/>
        </w:rPr>
        <w:t xml:space="preserve"> </w:t>
      </w:r>
      <w:r>
        <w:t>this</w:t>
      </w:r>
      <w:r>
        <w:rPr>
          <w:spacing w:val="-8"/>
        </w:rPr>
        <w:t xml:space="preserve"> </w:t>
      </w:r>
      <w:r>
        <w:t>four-fold</w:t>
      </w:r>
      <w:r>
        <w:rPr>
          <w:spacing w:val="-8"/>
        </w:rPr>
        <w:t xml:space="preserve"> </w:t>
      </w:r>
      <w:r>
        <w:t>hierarchical</w:t>
      </w:r>
      <w:r>
        <w:rPr>
          <w:spacing w:val="-8"/>
        </w:rPr>
        <w:t xml:space="preserve"> </w:t>
      </w:r>
      <w:r>
        <w:t>stratification</w:t>
      </w:r>
      <w:r>
        <w:rPr>
          <w:spacing w:val="-8"/>
        </w:rPr>
        <w:t xml:space="preserve"> </w:t>
      </w:r>
      <w:r>
        <w:t>was</w:t>
      </w:r>
      <w:r>
        <w:rPr>
          <w:spacing w:val="-8"/>
        </w:rPr>
        <w:t xml:space="preserve"> </w:t>
      </w:r>
      <w:r>
        <w:t>achieved</w:t>
      </w:r>
      <w:r>
        <w:rPr>
          <w:spacing w:val="-8"/>
        </w:rPr>
        <w:t xml:space="preserve"> </w:t>
      </w:r>
      <w:r>
        <w:t>via</w:t>
      </w:r>
      <w:r>
        <w:rPr>
          <w:spacing w:val="-8"/>
        </w:rPr>
        <w:t xml:space="preserve"> </w:t>
      </w:r>
      <w:r>
        <w:t>a</w:t>
      </w:r>
      <w:r>
        <w:rPr>
          <w:spacing w:val="-8"/>
        </w:rPr>
        <w:t xml:space="preserve"> </w:t>
      </w:r>
      <w:r>
        <w:t xml:space="preserve">"serpentine </w:t>
      </w:r>
      <w:r>
        <w:rPr>
          <w:spacing w:val="-2"/>
        </w:rPr>
        <w:t>sort."</w:t>
      </w:r>
    </w:p>
    <w:p w:rsidR="003F5784" w14:paraId="6DDA8507" w14:textId="77777777">
      <w:pPr>
        <w:pStyle w:val="BodyText"/>
        <w:spacing w:before="210" w:line="232" w:lineRule="auto"/>
        <w:ind w:left="109"/>
      </w:pPr>
      <w:r>
        <w:t>Census</w:t>
      </w:r>
      <w:r>
        <w:rPr>
          <w:spacing w:val="-8"/>
        </w:rPr>
        <w:t xml:space="preserve"> </w:t>
      </w:r>
      <w:r>
        <w:t>region</w:t>
      </w:r>
      <w:r>
        <w:rPr>
          <w:spacing w:val="-6"/>
        </w:rPr>
        <w:t xml:space="preserve"> </w:t>
      </w:r>
      <w:r>
        <w:t>was</w:t>
      </w:r>
      <w:r>
        <w:rPr>
          <w:spacing w:val="-6"/>
        </w:rPr>
        <w:t xml:space="preserve"> </w:t>
      </w:r>
      <w:r>
        <w:t>used</w:t>
      </w:r>
      <w:r>
        <w:rPr>
          <w:spacing w:val="-6"/>
        </w:rPr>
        <w:t xml:space="preserve"> </w:t>
      </w:r>
      <w:r>
        <w:t>as</w:t>
      </w:r>
      <w:r>
        <w:rPr>
          <w:spacing w:val="-6"/>
        </w:rPr>
        <w:t xml:space="preserve"> </w:t>
      </w:r>
      <w:r>
        <w:t>the</w:t>
      </w:r>
      <w:r>
        <w:rPr>
          <w:spacing w:val="-6"/>
        </w:rPr>
        <w:t xml:space="preserve"> </w:t>
      </w:r>
      <w:r>
        <w:t>first</w:t>
      </w:r>
      <w:r>
        <w:rPr>
          <w:spacing w:val="-6"/>
        </w:rPr>
        <w:t xml:space="preserve"> </w:t>
      </w:r>
      <w:r>
        <w:t>level</w:t>
      </w:r>
      <w:r>
        <w:rPr>
          <w:spacing w:val="-6"/>
        </w:rPr>
        <w:t xml:space="preserve"> </w:t>
      </w:r>
      <w:r>
        <w:t>of</w:t>
      </w:r>
      <w:r>
        <w:rPr>
          <w:spacing w:val="-6"/>
        </w:rPr>
        <w:t xml:space="preserve"> </w:t>
      </w:r>
      <w:r>
        <w:t>implicit</w:t>
      </w:r>
      <w:r>
        <w:rPr>
          <w:spacing w:val="-6"/>
        </w:rPr>
        <w:t xml:space="preserve"> </w:t>
      </w:r>
      <w:r>
        <w:t>stratification</w:t>
      </w:r>
      <w:r>
        <w:rPr>
          <w:spacing w:val="-6"/>
        </w:rPr>
        <w:t xml:space="preserve"> </w:t>
      </w:r>
      <w:r>
        <w:t>for</w:t>
      </w:r>
      <w:r>
        <w:rPr>
          <w:spacing w:val="-6"/>
        </w:rPr>
        <w:t xml:space="preserve"> </w:t>
      </w:r>
      <w:r>
        <w:t>the</w:t>
      </w:r>
      <w:r>
        <w:rPr>
          <w:spacing w:val="-6"/>
        </w:rPr>
        <w:t xml:space="preserve"> </w:t>
      </w:r>
      <w:r>
        <w:t>NAEP</w:t>
      </w:r>
      <w:r>
        <w:rPr>
          <w:spacing w:val="-13"/>
        </w:rPr>
        <w:t xml:space="preserve"> </w:t>
      </w:r>
      <w:r>
        <w:t>2022</w:t>
      </w:r>
      <w:r>
        <w:rPr>
          <w:spacing w:val="-6"/>
        </w:rPr>
        <w:t xml:space="preserve"> </w:t>
      </w:r>
      <w:r>
        <w:t>private</w:t>
      </w:r>
      <w:r>
        <w:rPr>
          <w:spacing w:val="-6"/>
        </w:rPr>
        <w:t xml:space="preserve"> </w:t>
      </w:r>
      <w:r>
        <w:t>school</w:t>
      </w:r>
      <w:r>
        <w:rPr>
          <w:spacing w:val="-6"/>
        </w:rPr>
        <w:t xml:space="preserve"> </w:t>
      </w:r>
      <w:r>
        <w:t>sample</w:t>
      </w:r>
      <w:r>
        <w:rPr>
          <w:spacing w:val="-6"/>
        </w:rPr>
        <w:t xml:space="preserve"> </w:t>
      </w:r>
      <w:r>
        <w:t>for</w:t>
      </w:r>
      <w:r>
        <w:rPr>
          <w:spacing w:val="-6"/>
        </w:rPr>
        <w:t xml:space="preserve"> </w:t>
      </w:r>
      <w:r>
        <w:t>mathematics</w:t>
      </w:r>
      <w:r>
        <w:rPr>
          <w:spacing w:val="-6"/>
        </w:rPr>
        <w:t xml:space="preserve"> </w:t>
      </w:r>
      <w:r>
        <w:t>and</w:t>
      </w:r>
      <w:r>
        <w:rPr>
          <w:spacing w:val="-6"/>
        </w:rPr>
        <w:t xml:space="preserve"> </w:t>
      </w:r>
      <w:r>
        <w:t>reading.</w:t>
      </w:r>
      <w:r>
        <w:rPr>
          <w:spacing w:val="-14"/>
        </w:rPr>
        <w:t xml:space="preserve"> </w:t>
      </w:r>
      <w:r>
        <w:t>All</w:t>
      </w:r>
      <w:r>
        <w:rPr>
          <w:spacing w:val="-5"/>
        </w:rPr>
        <w:t xml:space="preserve"> </w:t>
      </w:r>
      <w:r>
        <w:t>four</w:t>
      </w:r>
      <w:r>
        <w:rPr>
          <w:spacing w:val="-6"/>
        </w:rPr>
        <w:t xml:space="preserve"> </w:t>
      </w:r>
      <w:r>
        <w:t>census</w:t>
      </w:r>
      <w:r>
        <w:rPr>
          <w:spacing w:val="-6"/>
        </w:rPr>
        <w:t xml:space="preserve"> </w:t>
      </w:r>
      <w:r>
        <w:t>regions</w:t>
      </w:r>
      <w:r>
        <w:rPr>
          <w:spacing w:val="-6"/>
        </w:rPr>
        <w:t xml:space="preserve"> </w:t>
      </w:r>
      <w:r>
        <w:t>were</w:t>
      </w:r>
      <w:r>
        <w:rPr>
          <w:spacing w:val="-6"/>
        </w:rPr>
        <w:t xml:space="preserve"> </w:t>
      </w:r>
      <w:r>
        <w:t>used</w:t>
      </w:r>
      <w:r>
        <w:rPr>
          <w:spacing w:val="-6"/>
        </w:rPr>
        <w:t xml:space="preserve"> </w:t>
      </w:r>
      <w:r>
        <w:t xml:space="preserve">as </w:t>
      </w:r>
      <w:r>
        <w:rPr>
          <w:spacing w:val="-2"/>
        </w:rPr>
        <w:t>strata.</w:t>
      </w:r>
    </w:p>
    <w:p w:rsidR="003F5784" w14:paraId="732E489D" w14:textId="77777777">
      <w:pPr>
        <w:pStyle w:val="BodyText"/>
        <w:spacing w:before="209" w:line="232" w:lineRule="auto"/>
        <w:ind w:left="109" w:right="117"/>
      </w:pPr>
      <w:r>
        <w:t>The next level of stratification was an urbanicity classification based on urban-centric locale, as specified on the PSS.</w:t>
      </w:r>
      <w:r>
        <w:rPr>
          <w:spacing w:val="-3"/>
        </w:rPr>
        <w:t xml:space="preserve"> </w:t>
      </w:r>
      <w:r>
        <w:t>Within a census region-based stratum, urban-centric locale cells that were too small were collapsed.</w:t>
      </w:r>
      <w:r>
        <w:rPr>
          <w:spacing w:val="-3"/>
        </w:rPr>
        <w:t xml:space="preserve"> </w:t>
      </w:r>
      <w:r>
        <w:t>The criterion for adequacy was that the cell had to have an expected school sample size of at least six.</w:t>
      </w:r>
      <w:r>
        <w:rPr>
          <w:spacing w:val="-3"/>
        </w:rPr>
        <w:t xml:space="preserve"> </w:t>
      </w:r>
      <w:r>
        <w:t>The urbanicity variable was equal to the original urban-centric locale if no collapsing was necessary to cover an inadequate original cell. If collapsing was necessary, the scheme was to first collapse within</w:t>
      </w:r>
      <w:r>
        <w:rPr>
          <w:spacing w:val="-1"/>
        </w:rPr>
        <w:t xml:space="preserve"> </w:t>
      </w:r>
      <w:r>
        <w:t>the</w:t>
      </w:r>
      <w:r>
        <w:rPr>
          <w:spacing w:val="-1"/>
        </w:rPr>
        <w:t xml:space="preserve"> </w:t>
      </w:r>
      <w:r>
        <w:t>four</w:t>
      </w:r>
      <w:r>
        <w:rPr>
          <w:spacing w:val="-1"/>
        </w:rPr>
        <w:t xml:space="preserve"> </w:t>
      </w:r>
      <w:r>
        <w:t>major</w:t>
      </w:r>
      <w:r>
        <w:rPr>
          <w:spacing w:val="-1"/>
        </w:rPr>
        <w:t xml:space="preserve"> </w:t>
      </w:r>
      <w:r>
        <w:t>strata</w:t>
      </w:r>
      <w:r>
        <w:rPr>
          <w:spacing w:val="-1"/>
        </w:rPr>
        <w:t xml:space="preserve"> </w:t>
      </w:r>
      <w:r>
        <w:t>(city,</w:t>
      </w:r>
      <w:r>
        <w:rPr>
          <w:spacing w:val="-1"/>
        </w:rPr>
        <w:t xml:space="preserve"> </w:t>
      </w:r>
      <w:r>
        <w:t>suburbs,</w:t>
      </w:r>
      <w:r>
        <w:rPr>
          <w:spacing w:val="-1"/>
        </w:rPr>
        <w:t xml:space="preserve"> </w:t>
      </w:r>
      <w:r>
        <w:t>town,</w:t>
      </w:r>
      <w:r>
        <w:rPr>
          <w:spacing w:val="-1"/>
        </w:rPr>
        <w:t xml:space="preserve"> </w:t>
      </w:r>
      <w:r>
        <w:t>and</w:t>
      </w:r>
      <w:r>
        <w:rPr>
          <w:spacing w:val="-1"/>
        </w:rPr>
        <w:t xml:space="preserve"> </w:t>
      </w:r>
      <w:r>
        <w:t>rural).</w:t>
      </w:r>
      <w:r>
        <w:rPr>
          <w:spacing w:val="-1"/>
        </w:rPr>
        <w:t xml:space="preserve"> </w:t>
      </w:r>
      <w:r>
        <w:t>For</w:t>
      </w:r>
      <w:r>
        <w:rPr>
          <w:spacing w:val="-1"/>
        </w:rPr>
        <w:t xml:space="preserve"> </w:t>
      </w:r>
      <w:r>
        <w:t>example,</w:t>
      </w:r>
      <w:r>
        <w:rPr>
          <w:spacing w:val="-1"/>
        </w:rPr>
        <w:t xml:space="preserve"> </w:t>
      </w:r>
      <w:r>
        <w:t>if</w:t>
      </w:r>
      <w:r>
        <w:rPr>
          <w:spacing w:val="-1"/>
        </w:rPr>
        <w:t xml:space="preserve"> </w:t>
      </w:r>
      <w:r>
        <w:t>the</w:t>
      </w:r>
      <w:r>
        <w:rPr>
          <w:spacing w:val="-1"/>
        </w:rPr>
        <w:t xml:space="preserve"> </w:t>
      </w:r>
      <w:r>
        <w:t>expected</w:t>
      </w:r>
      <w:r>
        <w:rPr>
          <w:spacing w:val="-1"/>
        </w:rPr>
        <w:t xml:space="preserve"> </w:t>
      </w:r>
      <w:r>
        <w:t>number</w:t>
      </w:r>
      <w:r>
        <w:rPr>
          <w:spacing w:val="-1"/>
        </w:rPr>
        <w:t xml:space="preserve"> </w:t>
      </w:r>
      <w:r>
        <w:t>of</w:t>
      </w:r>
      <w:r>
        <w:rPr>
          <w:spacing w:val="-1"/>
        </w:rPr>
        <w:t xml:space="preserve"> </w:t>
      </w:r>
      <w:r>
        <w:t>large</w:t>
      </w:r>
      <w:r>
        <w:rPr>
          <w:spacing w:val="-1"/>
        </w:rPr>
        <w:t xml:space="preserve"> </w:t>
      </w:r>
      <w:r>
        <w:t>city</w:t>
      </w:r>
      <w:r>
        <w:rPr>
          <w:spacing w:val="-1"/>
        </w:rPr>
        <w:t xml:space="preserve"> </w:t>
      </w:r>
      <w:r>
        <w:t>schools</w:t>
      </w:r>
      <w:r>
        <w:rPr>
          <w:spacing w:val="-1"/>
        </w:rPr>
        <w:t xml:space="preserve"> </w:t>
      </w:r>
      <w:r>
        <w:t>sampled</w:t>
      </w:r>
      <w:r>
        <w:rPr>
          <w:spacing w:val="-1"/>
        </w:rPr>
        <w:t xml:space="preserve"> </w:t>
      </w:r>
      <w:r>
        <w:t>was</w:t>
      </w:r>
      <w:r>
        <w:rPr>
          <w:spacing w:val="-1"/>
        </w:rPr>
        <w:t xml:space="preserve"> </w:t>
      </w:r>
      <w:r>
        <w:t>less</w:t>
      </w:r>
      <w:r>
        <w:rPr>
          <w:spacing w:val="-1"/>
        </w:rPr>
        <w:t xml:space="preserve"> </w:t>
      </w:r>
      <w:r>
        <w:t>than</w:t>
      </w:r>
      <w:r>
        <w:rPr>
          <w:spacing w:val="-1"/>
        </w:rPr>
        <w:t xml:space="preserve"> </w:t>
      </w:r>
      <w:r>
        <w:t>six,</w:t>
      </w:r>
      <w:r>
        <w:rPr>
          <w:spacing w:val="-1"/>
        </w:rPr>
        <w:t xml:space="preserve"> </w:t>
      </w:r>
      <w:r>
        <w:t>large</w:t>
      </w:r>
      <w:r>
        <w:rPr>
          <w:spacing w:val="-1"/>
        </w:rPr>
        <w:t xml:space="preserve"> </w:t>
      </w:r>
      <w:r>
        <w:t>city</w:t>
      </w:r>
      <w:r>
        <w:rPr>
          <w:spacing w:val="-1"/>
        </w:rPr>
        <w:t xml:space="preserve"> </w:t>
      </w:r>
      <w:r>
        <w:t>was</w:t>
      </w:r>
      <w:r>
        <w:rPr>
          <w:spacing w:val="-1"/>
        </w:rPr>
        <w:t xml:space="preserve"> </w:t>
      </w:r>
      <w:r>
        <w:t>collapsed</w:t>
      </w:r>
      <w:r>
        <w:rPr>
          <w:spacing w:val="-1"/>
        </w:rPr>
        <w:t xml:space="preserve"> </w:t>
      </w:r>
      <w:r>
        <w:t>with midsize</w:t>
      </w:r>
      <w:r>
        <w:rPr>
          <w:spacing w:val="-6"/>
        </w:rPr>
        <w:t xml:space="preserve"> </w:t>
      </w:r>
      <w:r>
        <w:t>city.</w:t>
      </w:r>
      <w:r>
        <w:rPr>
          <w:spacing w:val="-6"/>
        </w:rPr>
        <w:t xml:space="preserve"> </w:t>
      </w:r>
      <w:r>
        <w:t>If</w:t>
      </w:r>
      <w:r>
        <w:rPr>
          <w:spacing w:val="-6"/>
        </w:rPr>
        <w:t xml:space="preserve"> </w:t>
      </w:r>
      <w:r>
        <w:t>the</w:t>
      </w:r>
      <w:r>
        <w:rPr>
          <w:spacing w:val="-6"/>
        </w:rPr>
        <w:t xml:space="preserve"> </w:t>
      </w:r>
      <w:r>
        <w:t>collapsed</w:t>
      </w:r>
      <w:r>
        <w:rPr>
          <w:spacing w:val="-6"/>
        </w:rPr>
        <w:t xml:space="preserve"> </w:t>
      </w:r>
      <w:r>
        <w:t>cell</w:t>
      </w:r>
      <w:r>
        <w:rPr>
          <w:spacing w:val="-6"/>
        </w:rPr>
        <w:t xml:space="preserve"> </w:t>
      </w:r>
      <w:r>
        <w:t>was</w:t>
      </w:r>
      <w:r>
        <w:rPr>
          <w:spacing w:val="-6"/>
        </w:rPr>
        <w:t xml:space="preserve"> </w:t>
      </w:r>
      <w:r>
        <w:t>still</w:t>
      </w:r>
      <w:r>
        <w:rPr>
          <w:spacing w:val="-6"/>
        </w:rPr>
        <w:t xml:space="preserve"> </w:t>
      </w:r>
      <w:r>
        <w:t>inadequate,</w:t>
      </w:r>
      <w:r>
        <w:rPr>
          <w:spacing w:val="-6"/>
        </w:rPr>
        <w:t xml:space="preserve"> </w:t>
      </w:r>
      <w:r>
        <w:t>they</w:t>
      </w:r>
      <w:r>
        <w:rPr>
          <w:spacing w:val="-6"/>
        </w:rPr>
        <w:t xml:space="preserve"> </w:t>
      </w:r>
      <w:r>
        <w:t>were</w:t>
      </w:r>
      <w:r>
        <w:rPr>
          <w:spacing w:val="-6"/>
        </w:rPr>
        <w:t xml:space="preserve"> </w:t>
      </w:r>
      <w:r>
        <w:t>further</w:t>
      </w:r>
      <w:r>
        <w:rPr>
          <w:spacing w:val="-6"/>
        </w:rPr>
        <w:t xml:space="preserve"> </w:t>
      </w:r>
      <w:r>
        <w:t>collapsed</w:t>
      </w:r>
      <w:r>
        <w:rPr>
          <w:spacing w:val="-6"/>
        </w:rPr>
        <w:t xml:space="preserve"> </w:t>
      </w:r>
      <w:r>
        <w:t>with</w:t>
      </w:r>
      <w:r>
        <w:rPr>
          <w:spacing w:val="-6"/>
        </w:rPr>
        <w:t xml:space="preserve"> </w:t>
      </w:r>
      <w:r>
        <w:t>small</w:t>
      </w:r>
      <w:r>
        <w:rPr>
          <w:spacing w:val="-6"/>
        </w:rPr>
        <w:t xml:space="preserve"> </w:t>
      </w:r>
      <w:r>
        <w:t>city.</w:t>
      </w:r>
      <w:r>
        <w:rPr>
          <w:spacing w:val="-6"/>
        </w:rPr>
        <w:t xml:space="preserve"> </w:t>
      </w:r>
      <w:r>
        <w:t>If</w:t>
      </w:r>
      <w:r>
        <w:rPr>
          <w:spacing w:val="-6"/>
        </w:rPr>
        <w:t xml:space="preserve"> </w:t>
      </w:r>
      <w:r>
        <w:t>a</w:t>
      </w:r>
      <w:r>
        <w:rPr>
          <w:spacing w:val="-6"/>
        </w:rPr>
        <w:t xml:space="preserve"> </w:t>
      </w:r>
      <w:r>
        <w:t>major</w:t>
      </w:r>
      <w:r>
        <w:rPr>
          <w:spacing w:val="-6"/>
        </w:rPr>
        <w:t xml:space="preserve"> </w:t>
      </w:r>
      <w:r>
        <w:t>stratum</w:t>
      </w:r>
      <w:r>
        <w:rPr>
          <w:spacing w:val="-6"/>
        </w:rPr>
        <w:t xml:space="preserve"> </w:t>
      </w:r>
      <w:r>
        <w:t>cell</w:t>
      </w:r>
      <w:r>
        <w:rPr>
          <w:spacing w:val="-6"/>
        </w:rPr>
        <w:t xml:space="preserve"> </w:t>
      </w:r>
      <w:r>
        <w:t>(all</w:t>
      </w:r>
      <w:r>
        <w:rPr>
          <w:spacing w:val="-6"/>
        </w:rPr>
        <w:t xml:space="preserve"> </w:t>
      </w:r>
      <w:r>
        <w:t>three</w:t>
      </w:r>
      <w:r>
        <w:rPr>
          <w:spacing w:val="-6"/>
        </w:rPr>
        <w:t xml:space="preserve"> </w:t>
      </w:r>
      <w:r>
        <w:t>cells</w:t>
      </w:r>
      <w:r>
        <w:rPr>
          <w:spacing w:val="-6"/>
        </w:rPr>
        <w:t xml:space="preserve"> </w:t>
      </w:r>
      <w:r>
        <w:t>collapsed</w:t>
      </w:r>
      <w:r>
        <w:rPr>
          <w:spacing w:val="-6"/>
        </w:rPr>
        <w:t xml:space="preserve"> </w:t>
      </w:r>
      <w:r>
        <w:t>together)</w:t>
      </w:r>
      <w:r>
        <w:rPr>
          <w:spacing w:val="-6"/>
        </w:rPr>
        <w:t xml:space="preserve"> </w:t>
      </w:r>
      <w:r>
        <w:t>was</w:t>
      </w:r>
      <w:r>
        <w:rPr>
          <w:spacing w:val="-6"/>
        </w:rPr>
        <w:t xml:space="preserve"> </w:t>
      </w:r>
      <w:r>
        <w:t>still</w:t>
      </w:r>
      <w:r>
        <w:rPr>
          <w:spacing w:val="-6"/>
        </w:rPr>
        <w:t xml:space="preserve"> </w:t>
      </w:r>
      <w:r>
        <w:t>deficient,</w:t>
      </w:r>
      <w:r>
        <w:rPr>
          <w:spacing w:val="-6"/>
        </w:rPr>
        <w:t xml:space="preserve"> </w:t>
      </w:r>
      <w:r>
        <w:t>it was collapsed with a neighboring major stratum cell. For example, city would be collapsed with suburbs.</w:t>
      </w:r>
    </w:p>
    <w:p w:rsidR="003F5784" w14:paraId="51A49E9A" w14:textId="77777777">
      <w:pPr>
        <w:pStyle w:val="BodyText"/>
        <w:spacing w:before="231"/>
        <w:ind w:left="109"/>
      </w:pPr>
      <w:r>
        <w:t>The</w:t>
      </w:r>
      <w:r>
        <w:rPr>
          <w:spacing w:val="-7"/>
        </w:rPr>
        <w:t xml:space="preserve"> </w:t>
      </w:r>
      <w:r>
        <w:t>last</w:t>
      </w:r>
      <w:r>
        <w:rPr>
          <w:spacing w:val="-6"/>
        </w:rPr>
        <w:t xml:space="preserve"> </w:t>
      </w:r>
      <w:r>
        <w:t>stage</w:t>
      </w:r>
      <w:r>
        <w:rPr>
          <w:spacing w:val="-6"/>
        </w:rPr>
        <w:t xml:space="preserve"> </w:t>
      </w:r>
      <w:r>
        <w:t>of</w:t>
      </w:r>
      <w:r>
        <w:rPr>
          <w:spacing w:val="-6"/>
        </w:rPr>
        <w:t xml:space="preserve"> </w:t>
      </w:r>
      <w:r>
        <w:t>stratification</w:t>
      </w:r>
      <w:r>
        <w:rPr>
          <w:spacing w:val="-6"/>
        </w:rPr>
        <w:t xml:space="preserve"> </w:t>
      </w:r>
      <w:r>
        <w:t>was</w:t>
      </w:r>
      <w:r>
        <w:rPr>
          <w:spacing w:val="-7"/>
        </w:rPr>
        <w:t xml:space="preserve"> </w:t>
      </w:r>
      <w:r>
        <w:t>a</w:t>
      </w:r>
      <w:r>
        <w:rPr>
          <w:spacing w:val="-6"/>
        </w:rPr>
        <w:t xml:space="preserve"> </w:t>
      </w:r>
      <w:r>
        <w:t>division</w:t>
      </w:r>
      <w:r>
        <w:rPr>
          <w:spacing w:val="-6"/>
        </w:rPr>
        <w:t xml:space="preserve"> </w:t>
      </w:r>
      <w:r>
        <w:t>of</w:t>
      </w:r>
      <w:r>
        <w:rPr>
          <w:spacing w:val="-6"/>
        </w:rPr>
        <w:t xml:space="preserve"> </w:t>
      </w:r>
      <w:r>
        <w:t>the</w:t>
      </w:r>
      <w:r>
        <w:rPr>
          <w:spacing w:val="-6"/>
        </w:rPr>
        <w:t xml:space="preserve"> </w:t>
      </w:r>
      <w:r>
        <w:t>geographic/urbanicity</w:t>
      </w:r>
      <w:r>
        <w:rPr>
          <w:spacing w:val="-6"/>
        </w:rPr>
        <w:t xml:space="preserve"> </w:t>
      </w:r>
      <w:r>
        <w:t>strata</w:t>
      </w:r>
      <w:r>
        <w:rPr>
          <w:spacing w:val="-7"/>
        </w:rPr>
        <w:t xml:space="preserve"> </w:t>
      </w:r>
      <w:r>
        <w:t>into</w:t>
      </w:r>
      <w:r>
        <w:rPr>
          <w:spacing w:val="-6"/>
        </w:rPr>
        <w:t xml:space="preserve"> </w:t>
      </w:r>
      <w:r>
        <w:t>race/ethnicity</w:t>
      </w:r>
      <w:r>
        <w:rPr>
          <w:spacing w:val="-6"/>
        </w:rPr>
        <w:t xml:space="preserve"> </w:t>
      </w:r>
      <w:r>
        <w:t>strata</w:t>
      </w:r>
      <w:r>
        <w:rPr>
          <w:spacing w:val="-6"/>
        </w:rPr>
        <w:t xml:space="preserve"> </w:t>
      </w:r>
      <w:r>
        <w:t>if</w:t>
      </w:r>
      <w:r>
        <w:rPr>
          <w:spacing w:val="-6"/>
        </w:rPr>
        <w:t xml:space="preserve"> </w:t>
      </w:r>
      <w:r>
        <w:t>the</w:t>
      </w:r>
      <w:r>
        <w:rPr>
          <w:spacing w:val="-6"/>
        </w:rPr>
        <w:t xml:space="preserve"> </w:t>
      </w:r>
      <w:r>
        <w:t>expected</w:t>
      </w:r>
      <w:r>
        <w:rPr>
          <w:spacing w:val="-7"/>
        </w:rPr>
        <w:t xml:space="preserve"> </w:t>
      </w:r>
      <w:r>
        <w:t>number</w:t>
      </w:r>
      <w:r>
        <w:rPr>
          <w:spacing w:val="-6"/>
        </w:rPr>
        <w:t xml:space="preserve"> </w:t>
      </w:r>
      <w:r>
        <w:t>of</w:t>
      </w:r>
      <w:r>
        <w:rPr>
          <w:spacing w:val="-6"/>
        </w:rPr>
        <w:t xml:space="preserve"> </w:t>
      </w:r>
      <w:r>
        <w:t>schools</w:t>
      </w:r>
      <w:r>
        <w:rPr>
          <w:spacing w:val="-6"/>
        </w:rPr>
        <w:t xml:space="preserve"> </w:t>
      </w:r>
      <w:r>
        <w:t>sampled</w:t>
      </w:r>
      <w:r>
        <w:rPr>
          <w:spacing w:val="-6"/>
        </w:rPr>
        <w:t xml:space="preserve"> </w:t>
      </w:r>
      <w:r>
        <w:t>was</w:t>
      </w:r>
      <w:r>
        <w:rPr>
          <w:spacing w:val="-7"/>
        </w:rPr>
        <w:t xml:space="preserve"> </w:t>
      </w:r>
      <w:r>
        <w:t>large</w:t>
      </w:r>
      <w:r>
        <w:rPr>
          <w:spacing w:val="-6"/>
        </w:rPr>
        <w:t xml:space="preserve"> </w:t>
      </w:r>
      <w:r>
        <w:t>enough</w:t>
      </w:r>
      <w:r>
        <w:rPr>
          <w:spacing w:val="-6"/>
        </w:rPr>
        <w:t xml:space="preserve"> </w:t>
      </w:r>
      <w:r>
        <w:t>(i.e.,</w:t>
      </w:r>
      <w:r>
        <w:rPr>
          <w:spacing w:val="-6"/>
        </w:rPr>
        <w:t xml:space="preserve"> </w:t>
      </w:r>
      <w:r>
        <w:rPr>
          <w:spacing w:val="-5"/>
        </w:rPr>
        <w:t>at</w:t>
      </w:r>
    </w:p>
    <w:p w:rsidR="003F5784" w14:paraId="3365659E" w14:textId="77777777">
      <w:pPr>
        <w:sectPr>
          <w:pgSz w:w="15840" w:h="12240" w:orient="landscape"/>
          <w:pgMar w:top="480" w:right="440" w:bottom="460" w:left="460" w:header="284" w:footer="275" w:gutter="0"/>
          <w:cols w:space="720"/>
        </w:sectPr>
      </w:pPr>
    </w:p>
    <w:p w:rsidR="003F5784" w14:paraId="53F838E9" w14:textId="77777777">
      <w:pPr>
        <w:pStyle w:val="BodyText"/>
        <w:spacing w:before="78" w:line="232" w:lineRule="auto"/>
        <w:ind w:left="109" w:right="179"/>
      </w:pPr>
      <w:r>
        <w:t>least</w:t>
      </w:r>
      <w:r>
        <w:rPr>
          <w:spacing w:val="-6"/>
        </w:rPr>
        <w:t xml:space="preserve"> </w:t>
      </w:r>
      <w:r>
        <w:t>equal</w:t>
      </w:r>
      <w:r>
        <w:rPr>
          <w:spacing w:val="-6"/>
        </w:rPr>
        <w:t xml:space="preserve"> </w:t>
      </w:r>
      <w:r>
        <w:t>to</w:t>
      </w:r>
      <w:r>
        <w:rPr>
          <w:spacing w:val="-6"/>
        </w:rPr>
        <w:t xml:space="preserve"> </w:t>
      </w:r>
      <w:r>
        <w:t>12).</w:t>
      </w:r>
      <w:r>
        <w:rPr>
          <w:spacing w:val="-9"/>
        </w:rPr>
        <w:t xml:space="preserve"> </w:t>
      </w:r>
      <w:r>
        <w:t>This</w:t>
      </w:r>
      <w:r>
        <w:rPr>
          <w:spacing w:val="-6"/>
        </w:rPr>
        <w:t xml:space="preserve"> </w:t>
      </w:r>
      <w:r>
        <w:t>was</w:t>
      </w:r>
      <w:r>
        <w:rPr>
          <w:spacing w:val="-6"/>
        </w:rPr>
        <w:t xml:space="preserve"> </w:t>
      </w:r>
      <w:r>
        <w:t>done</w:t>
      </w:r>
      <w:r>
        <w:rPr>
          <w:spacing w:val="-6"/>
        </w:rPr>
        <w:t xml:space="preserve"> </w:t>
      </w:r>
      <w:r>
        <w:t>by</w:t>
      </w:r>
      <w:r>
        <w:rPr>
          <w:spacing w:val="-6"/>
        </w:rPr>
        <w:t xml:space="preserve"> </w:t>
      </w:r>
      <w:r>
        <w:t>deciding</w:t>
      </w:r>
      <w:r>
        <w:rPr>
          <w:spacing w:val="-6"/>
        </w:rPr>
        <w:t xml:space="preserve"> </w:t>
      </w:r>
      <w:r>
        <w:t>first</w:t>
      </w:r>
      <w:r>
        <w:rPr>
          <w:spacing w:val="-6"/>
        </w:rPr>
        <w:t xml:space="preserve"> </w:t>
      </w:r>
      <w:r>
        <w:t>on</w:t>
      </w:r>
      <w:r>
        <w:rPr>
          <w:spacing w:val="-6"/>
        </w:rPr>
        <w:t xml:space="preserve"> </w:t>
      </w:r>
      <w:r>
        <w:t>the</w:t>
      </w:r>
      <w:r>
        <w:rPr>
          <w:spacing w:val="-6"/>
        </w:rPr>
        <w:t xml:space="preserve"> </w:t>
      </w:r>
      <w:r>
        <w:t>number</w:t>
      </w:r>
      <w:r>
        <w:rPr>
          <w:spacing w:val="-6"/>
        </w:rPr>
        <w:t xml:space="preserve"> </w:t>
      </w:r>
      <w:r>
        <w:t>of</w:t>
      </w:r>
      <w:r>
        <w:rPr>
          <w:spacing w:val="-6"/>
        </w:rPr>
        <w:t xml:space="preserve"> </w:t>
      </w:r>
      <w:r>
        <w:t>race/ethnicity</w:t>
      </w:r>
      <w:r>
        <w:rPr>
          <w:spacing w:val="-6"/>
        </w:rPr>
        <w:t xml:space="preserve"> </w:t>
      </w:r>
      <w:r>
        <w:t>strata</w:t>
      </w:r>
      <w:r>
        <w:rPr>
          <w:spacing w:val="-6"/>
        </w:rPr>
        <w:t xml:space="preserve"> </w:t>
      </w:r>
      <w:r>
        <w:t>and</w:t>
      </w:r>
      <w:r>
        <w:rPr>
          <w:spacing w:val="-6"/>
        </w:rPr>
        <w:t xml:space="preserve"> </w:t>
      </w:r>
      <w:r>
        <w:t>then</w:t>
      </w:r>
      <w:r>
        <w:rPr>
          <w:spacing w:val="-6"/>
        </w:rPr>
        <w:t xml:space="preserve"> </w:t>
      </w:r>
      <w:r>
        <w:t>dividing</w:t>
      </w:r>
      <w:r>
        <w:rPr>
          <w:spacing w:val="-6"/>
        </w:rPr>
        <w:t xml:space="preserve"> </w:t>
      </w:r>
      <w:r>
        <w:t>the</w:t>
      </w:r>
      <w:r>
        <w:rPr>
          <w:spacing w:val="-6"/>
        </w:rPr>
        <w:t xml:space="preserve"> </w:t>
      </w:r>
      <w:r>
        <w:t>geography/urbanicity</w:t>
      </w:r>
      <w:r>
        <w:rPr>
          <w:spacing w:val="-6"/>
        </w:rPr>
        <w:t xml:space="preserve"> </w:t>
      </w:r>
      <w:r>
        <w:t>stratum</w:t>
      </w:r>
      <w:r>
        <w:rPr>
          <w:spacing w:val="-6"/>
        </w:rPr>
        <w:t xml:space="preserve"> </w:t>
      </w:r>
      <w:r>
        <w:t>into</w:t>
      </w:r>
      <w:r>
        <w:rPr>
          <w:spacing w:val="-6"/>
        </w:rPr>
        <w:t xml:space="preserve"> </w:t>
      </w:r>
      <w:r>
        <w:t>that</w:t>
      </w:r>
      <w:r>
        <w:rPr>
          <w:spacing w:val="-6"/>
        </w:rPr>
        <w:t xml:space="preserve"> </w:t>
      </w:r>
      <w:r>
        <w:t>many</w:t>
      </w:r>
      <w:r>
        <w:rPr>
          <w:spacing w:val="-6"/>
        </w:rPr>
        <w:t xml:space="preserve"> </w:t>
      </w:r>
      <w:r>
        <w:t>pieces.</w:t>
      </w:r>
      <w:r>
        <w:rPr>
          <w:spacing w:val="-9"/>
        </w:rPr>
        <w:t xml:space="preserve"> </w:t>
      </w:r>
      <w:r>
        <w:t>The</w:t>
      </w:r>
      <w:r>
        <w:rPr>
          <w:spacing w:val="-6"/>
        </w:rPr>
        <w:t xml:space="preserve"> </w:t>
      </w:r>
      <w:r>
        <w:t>school frame was sorted by the percentage of students in each school who were Black, Hispanic, or</w:t>
      </w:r>
      <w:r>
        <w:rPr>
          <w:spacing w:val="-10"/>
        </w:rPr>
        <w:t xml:space="preserve"> </w:t>
      </w:r>
      <w:r>
        <w:t>American Indian/Alaska Native.</w:t>
      </w:r>
      <w:r>
        <w:rPr>
          <w:spacing w:val="-3"/>
        </w:rPr>
        <w:t xml:space="preserve"> </w:t>
      </w:r>
      <w:r>
        <w:t>The three racial/ethnic groups defining the race/ethnicity strata were those that have historically performed substantially lower on NAEP</w:t>
      </w:r>
      <w:r>
        <w:rPr>
          <w:spacing w:val="-7"/>
        </w:rPr>
        <w:t xml:space="preserve"> </w:t>
      </w:r>
      <w:r>
        <w:t>assessments than</w:t>
      </w:r>
      <w:r>
        <w:rPr>
          <w:spacing w:val="-3"/>
        </w:rPr>
        <w:t xml:space="preserve"> </w:t>
      </w:r>
      <w:r>
        <w:t>White students.</w:t>
      </w:r>
      <w:r>
        <w:rPr>
          <w:spacing w:val="-3"/>
        </w:rPr>
        <w:t xml:space="preserve"> </w:t>
      </w:r>
      <w:r>
        <w:t>The sorted list was then divided into pieces, with roughly an equal expected number of sampled schools in each piece.</w:t>
      </w:r>
    </w:p>
    <w:p w:rsidR="003F5784" w14:paraId="74AC2CAA" w14:textId="77777777">
      <w:pPr>
        <w:pStyle w:val="BodyText"/>
        <w:spacing w:before="230"/>
        <w:ind w:left="109"/>
      </w:pPr>
      <w:r>
        <w:t>Finally,</w:t>
      </w:r>
      <w:r>
        <w:rPr>
          <w:spacing w:val="-9"/>
        </w:rPr>
        <w:t xml:space="preserve"> </w:t>
      </w:r>
      <w:r>
        <w:t>schools</w:t>
      </w:r>
      <w:r>
        <w:rPr>
          <w:spacing w:val="-8"/>
        </w:rPr>
        <w:t xml:space="preserve"> </w:t>
      </w:r>
      <w:r>
        <w:t>were</w:t>
      </w:r>
      <w:r>
        <w:rPr>
          <w:spacing w:val="-8"/>
        </w:rPr>
        <w:t xml:space="preserve"> </w:t>
      </w:r>
      <w:r>
        <w:t>sorted</w:t>
      </w:r>
      <w:r>
        <w:rPr>
          <w:spacing w:val="-8"/>
        </w:rPr>
        <w:t xml:space="preserve"> </w:t>
      </w:r>
      <w:r>
        <w:t>within</w:t>
      </w:r>
      <w:r>
        <w:rPr>
          <w:spacing w:val="-8"/>
        </w:rPr>
        <w:t xml:space="preserve"> </w:t>
      </w:r>
      <w:r>
        <w:t>stratification</w:t>
      </w:r>
      <w:r>
        <w:rPr>
          <w:spacing w:val="-8"/>
        </w:rPr>
        <w:t xml:space="preserve"> </w:t>
      </w:r>
      <w:r>
        <w:t>cells</w:t>
      </w:r>
      <w:r>
        <w:rPr>
          <w:spacing w:val="-8"/>
        </w:rPr>
        <w:t xml:space="preserve"> </w:t>
      </w:r>
      <w:r>
        <w:t>by</w:t>
      </w:r>
      <w:r>
        <w:rPr>
          <w:spacing w:val="-8"/>
        </w:rPr>
        <w:t xml:space="preserve"> </w:t>
      </w:r>
      <w:r>
        <w:t>estimated</w:t>
      </w:r>
      <w:r>
        <w:rPr>
          <w:spacing w:val="-8"/>
        </w:rPr>
        <w:t xml:space="preserve"> </w:t>
      </w:r>
      <w:r>
        <w:t>grade</w:t>
      </w:r>
      <w:r>
        <w:rPr>
          <w:spacing w:val="-8"/>
        </w:rPr>
        <w:t xml:space="preserve"> </w:t>
      </w:r>
      <w:r>
        <w:rPr>
          <w:spacing w:val="-2"/>
        </w:rPr>
        <w:t>enrollment.</w:t>
      </w:r>
    </w:p>
    <w:p w:rsidR="003F5784" w14:paraId="0C3A76CA" w14:textId="77777777">
      <w:pPr>
        <w:pStyle w:val="BodyText"/>
      </w:pPr>
    </w:p>
    <w:p w:rsidR="003F5784" w14:paraId="39EBCEC4" w14:textId="77777777">
      <w:pPr>
        <w:pStyle w:val="BodyText"/>
      </w:pPr>
    </w:p>
    <w:p w:rsidR="003F5784" w14:paraId="26681590" w14:textId="77777777">
      <w:pPr>
        <w:pStyle w:val="BodyText"/>
        <w:spacing w:before="144"/>
      </w:pPr>
    </w:p>
    <w:p w:rsidR="003F5784" w14:paraId="020FFF6C" w14:textId="77777777">
      <w:pPr>
        <w:ind w:left="1977"/>
        <w:rPr>
          <w:sz w:val="18"/>
        </w:rPr>
      </w:pPr>
      <w:hyperlink r:id="rId108">
        <w:r>
          <w:rPr>
            <w:spacing w:val="-2"/>
            <w:w w:val="105"/>
            <w:sz w:val="18"/>
          </w:rPr>
          <w:t>http://nces.ed.gov/nationsreportcard/tdw/sample_design/2022/stratification_of_schools_for_the_2022_fourth_and_eighth_grade_private_school_national_assessment.aspx</w:t>
        </w:r>
      </w:hyperlink>
    </w:p>
    <w:p w:rsidR="003F5784" w14:paraId="3AC67800" w14:textId="77777777">
      <w:pPr>
        <w:pStyle w:val="BodyText"/>
        <w:spacing w:before="1"/>
        <w:rPr>
          <w:sz w:val="16"/>
        </w:rPr>
      </w:pPr>
      <w:r>
        <w:rPr>
          <w:noProof/>
        </w:rPr>
        <mc:AlternateContent>
          <mc:Choice Requires="wps">
            <w:drawing>
              <wp:anchor distT="0" distB="0" distL="0" distR="0" simplePos="0" relativeHeight="251819008" behindDoc="1" locked="0" layoutInCell="1" allowOverlap="1">
                <wp:simplePos x="0" y="0"/>
                <wp:positionH relativeFrom="page">
                  <wp:posOffset>361937</wp:posOffset>
                </wp:positionH>
                <wp:positionV relativeFrom="paragraph">
                  <wp:posOffset>132736</wp:posOffset>
                </wp:positionV>
                <wp:extent cx="9339580" cy="8890"/>
                <wp:effectExtent l="0" t="0" r="0" b="0"/>
                <wp:wrapTopAndBottom/>
                <wp:docPr id="127" name="Graphic 127"/>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67"/>
                              </a:lnTo>
                              <a:lnTo>
                                <a:pt x="9335110" y="8293"/>
                              </a:lnTo>
                              <a:lnTo>
                                <a:pt x="9338970" y="8293"/>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27" o:spid="_x0000_s1080" style="width:735.4pt;height:0.7pt;margin-top:10.45pt;margin-left:28.5pt;mso-position-horizontal-relative:page;mso-wrap-distance-bottom:0;mso-wrap-distance-left:0;mso-wrap-distance-right:0;mso-wrap-distance-top:0;mso-wrap-style:square;position:absolute;visibility:visible;v-text-anchor:top;z-index:-251496448" coordsize="9339580,8890" path="m9338970,25l9335110,25l8280,25,,,,8267l9335110,8293l9338970,8293l9338970,25xe" fillcolor="gray" stroked="f">
                <v:path arrowok="t"/>
                <w10:wrap type="topAndBottom"/>
              </v:shape>
            </w:pict>
          </mc:Fallback>
        </mc:AlternateContent>
      </w:r>
    </w:p>
    <w:p w:rsidR="003F5784" w14:paraId="6AF66075" w14:textId="77777777">
      <w:pPr>
        <w:pStyle w:val="BodyText"/>
        <w:rPr>
          <w:sz w:val="18"/>
        </w:rPr>
      </w:pPr>
    </w:p>
    <w:p w:rsidR="003F5784" w14:paraId="08DF4BCA" w14:textId="77777777">
      <w:pPr>
        <w:pStyle w:val="BodyText"/>
        <w:spacing w:before="193"/>
        <w:rPr>
          <w:sz w:val="18"/>
        </w:rPr>
      </w:pPr>
    </w:p>
    <w:p w:rsidR="003F5784" w14:paraId="796B2B6B" w14:textId="7299D97E">
      <w:pPr>
        <w:pStyle w:val="Heading1"/>
        <w:spacing w:line="244" w:lineRule="auto"/>
        <w:ind w:right="588"/>
      </w:pPr>
      <w:r>
        <w:t>NAEP</w:t>
      </w:r>
      <w:r>
        <w:rPr>
          <w:spacing w:val="-15"/>
        </w:rPr>
        <w:t xml:space="preserve"> </w:t>
      </w:r>
      <w:r>
        <w:t>Technical Documentation</w:t>
      </w:r>
      <w:r w:rsidR="00D02924">
        <w:t xml:space="preserve"> </w:t>
      </w:r>
      <w:r>
        <w:t xml:space="preserve">Student Sample Selection for the 2022 Fourth- and Eighth-Grade Private School National Assessment in Mathematics and </w:t>
      </w:r>
      <w:r>
        <w:rPr>
          <w:spacing w:val="-2"/>
        </w:rPr>
        <w:t>Reading</w:t>
      </w:r>
    </w:p>
    <w:p w:rsidR="003F5784" w14:paraId="1F6D9A10" w14:textId="77777777">
      <w:pPr>
        <w:pStyle w:val="BodyText"/>
        <w:spacing w:before="288" w:line="232" w:lineRule="auto"/>
        <w:ind w:left="109"/>
      </w:pPr>
      <w:r>
        <w:t>The</w:t>
      </w:r>
      <w:r>
        <w:rPr>
          <w:spacing w:val="-6"/>
        </w:rPr>
        <w:t xml:space="preserve"> </w:t>
      </w:r>
      <w:r>
        <w:t>sampling</w:t>
      </w:r>
      <w:r>
        <w:rPr>
          <w:spacing w:val="-6"/>
        </w:rPr>
        <w:t xml:space="preserve"> </w:t>
      </w:r>
      <w:r>
        <w:t>of</w:t>
      </w:r>
      <w:r>
        <w:rPr>
          <w:spacing w:val="-6"/>
        </w:rPr>
        <w:t xml:space="preserve"> </w:t>
      </w:r>
      <w:r>
        <w:t>students</w:t>
      </w:r>
      <w:r>
        <w:rPr>
          <w:spacing w:val="-6"/>
        </w:rPr>
        <w:t xml:space="preserve"> </w:t>
      </w:r>
      <w:r>
        <w:t>for</w:t>
      </w:r>
      <w:r>
        <w:rPr>
          <w:spacing w:val="-6"/>
        </w:rPr>
        <w:t xml:space="preserve"> </w:t>
      </w:r>
      <w:r>
        <w:t>the</w:t>
      </w:r>
      <w:r>
        <w:rPr>
          <w:spacing w:val="-6"/>
        </w:rPr>
        <w:t xml:space="preserve"> </w:t>
      </w:r>
      <w:r>
        <w:t>fourth-</w:t>
      </w:r>
      <w:r>
        <w:rPr>
          <w:spacing w:val="-6"/>
        </w:rPr>
        <w:t xml:space="preserve"> </w:t>
      </w:r>
      <w:r>
        <w:t>and</w:t>
      </w:r>
      <w:r>
        <w:rPr>
          <w:spacing w:val="-6"/>
        </w:rPr>
        <w:t xml:space="preserve"> </w:t>
      </w:r>
      <w:r>
        <w:t>eighth-grade</w:t>
      </w:r>
      <w:r>
        <w:rPr>
          <w:spacing w:val="-6"/>
        </w:rPr>
        <w:t xml:space="preserve"> </w:t>
      </w:r>
      <w:r>
        <w:t>private</w:t>
      </w:r>
      <w:r>
        <w:rPr>
          <w:spacing w:val="-6"/>
        </w:rPr>
        <w:t xml:space="preserve"> </w:t>
      </w:r>
      <w:r>
        <w:t>school</w:t>
      </w:r>
      <w:r>
        <w:rPr>
          <w:spacing w:val="-6"/>
        </w:rPr>
        <w:t xml:space="preserve"> </w:t>
      </w:r>
      <w:r>
        <w:t>national</w:t>
      </w:r>
      <w:r>
        <w:rPr>
          <w:spacing w:val="-6"/>
        </w:rPr>
        <w:t xml:space="preserve"> </w:t>
      </w:r>
      <w:r>
        <w:t>assessments</w:t>
      </w:r>
      <w:r>
        <w:rPr>
          <w:spacing w:val="-6"/>
        </w:rPr>
        <w:t xml:space="preserve"> </w:t>
      </w:r>
      <w:r>
        <w:t>in</w:t>
      </w:r>
      <w:r>
        <w:rPr>
          <w:spacing w:val="-6"/>
        </w:rPr>
        <w:t xml:space="preserve"> </w:t>
      </w:r>
      <w:r>
        <w:t>mathematics</w:t>
      </w:r>
      <w:r>
        <w:rPr>
          <w:spacing w:val="-6"/>
        </w:rPr>
        <w:t xml:space="preserve"> </w:t>
      </w:r>
      <w:r>
        <w:t>and</w:t>
      </w:r>
      <w:r>
        <w:rPr>
          <w:spacing w:val="-6"/>
        </w:rPr>
        <w:t xml:space="preserve"> </w:t>
      </w:r>
      <w:r>
        <w:t>reading</w:t>
      </w:r>
      <w:r>
        <w:rPr>
          <w:spacing w:val="-6"/>
        </w:rPr>
        <w:t xml:space="preserve"> </w:t>
      </w:r>
      <w:r>
        <w:t>involved</w:t>
      </w:r>
      <w:r>
        <w:rPr>
          <w:spacing w:val="-6"/>
        </w:rPr>
        <w:t xml:space="preserve"> </w:t>
      </w:r>
      <w:r>
        <w:t>two</w:t>
      </w:r>
      <w:r>
        <w:rPr>
          <w:spacing w:val="-6"/>
        </w:rPr>
        <w:t xml:space="preserve"> </w:t>
      </w:r>
      <w:r>
        <w:t>steps:</w:t>
      </w:r>
      <w:r>
        <w:rPr>
          <w:spacing w:val="-6"/>
        </w:rPr>
        <w:t xml:space="preserve"> </w:t>
      </w:r>
      <w:r>
        <w:t>(1)</w:t>
      </w:r>
      <w:r>
        <w:rPr>
          <w:spacing w:val="-6"/>
        </w:rPr>
        <w:t xml:space="preserve"> </w:t>
      </w:r>
      <w:r>
        <w:t>sampling</w:t>
      </w:r>
      <w:r>
        <w:rPr>
          <w:spacing w:val="-6"/>
        </w:rPr>
        <w:t xml:space="preserve"> </w:t>
      </w:r>
      <w:r>
        <w:t>of</w:t>
      </w:r>
      <w:r>
        <w:rPr>
          <w:spacing w:val="-6"/>
        </w:rPr>
        <w:t xml:space="preserve"> </w:t>
      </w:r>
      <w:r>
        <w:t>students</w:t>
      </w:r>
      <w:r>
        <w:rPr>
          <w:spacing w:val="-6"/>
        </w:rPr>
        <w:t xml:space="preserve"> </w:t>
      </w:r>
      <w:r>
        <w:t>in</w:t>
      </w:r>
      <w:r>
        <w:rPr>
          <w:spacing w:val="-6"/>
        </w:rPr>
        <w:t xml:space="preserve"> </w:t>
      </w:r>
      <w:r>
        <w:t>the targeted grade (fourth or eighth) from each sampled school, and (2) assignment of assessment subject (mathematics or reading) to the sampled students.</w:t>
      </w:r>
    </w:p>
    <w:p w:rsidR="003F5784" w14:paraId="4ABC2AC2" w14:textId="77777777">
      <w:pPr>
        <w:pStyle w:val="Heading2"/>
        <w:spacing w:before="204"/>
        <w:ind w:left="109"/>
      </w:pPr>
      <w:r>
        <w:t>Sampling</w:t>
      </w:r>
      <w:r>
        <w:rPr>
          <w:spacing w:val="-9"/>
        </w:rPr>
        <w:t xml:space="preserve"> </w:t>
      </w:r>
      <w:r>
        <w:t>Students</w:t>
      </w:r>
      <w:r>
        <w:rPr>
          <w:spacing w:val="-8"/>
        </w:rPr>
        <w:t xml:space="preserve"> </w:t>
      </w:r>
      <w:r>
        <w:t>within</w:t>
      </w:r>
      <w:r>
        <w:rPr>
          <w:spacing w:val="-9"/>
        </w:rPr>
        <w:t xml:space="preserve"> </w:t>
      </w:r>
      <w:r>
        <w:t>Sampled</w:t>
      </w:r>
      <w:r>
        <w:rPr>
          <w:spacing w:val="-8"/>
        </w:rPr>
        <w:t xml:space="preserve"> </w:t>
      </w:r>
      <w:r>
        <w:rPr>
          <w:spacing w:val="-2"/>
        </w:rPr>
        <w:t>Schools</w:t>
      </w:r>
    </w:p>
    <w:p w:rsidR="003F5784" w14:paraId="2FC1313D" w14:textId="77777777">
      <w:pPr>
        <w:pStyle w:val="BodyText"/>
        <w:spacing w:before="207" w:line="232" w:lineRule="auto"/>
        <w:ind w:left="109"/>
      </w:pPr>
      <w:r>
        <w:t>Within</w:t>
      </w:r>
      <w:r>
        <w:rPr>
          <w:spacing w:val="-6"/>
        </w:rPr>
        <w:t xml:space="preserve"> </w:t>
      </w:r>
      <w:r>
        <w:t>each</w:t>
      </w:r>
      <w:r>
        <w:rPr>
          <w:spacing w:val="-6"/>
        </w:rPr>
        <w:t xml:space="preserve"> </w:t>
      </w:r>
      <w:r>
        <w:t>sampled</w:t>
      </w:r>
      <w:r>
        <w:rPr>
          <w:spacing w:val="-6"/>
        </w:rPr>
        <w:t xml:space="preserve"> </w:t>
      </w:r>
      <w:r>
        <w:t>school,</w:t>
      </w:r>
      <w:r>
        <w:rPr>
          <w:spacing w:val="-6"/>
        </w:rPr>
        <w:t xml:space="preserve"> </w:t>
      </w:r>
      <w:r>
        <w:t>a</w:t>
      </w:r>
      <w:r>
        <w:rPr>
          <w:spacing w:val="-6"/>
        </w:rPr>
        <w:t xml:space="preserve"> </w:t>
      </w:r>
      <w:r>
        <w:rPr>
          <w:color w:val="0066CC"/>
        </w:rPr>
        <w:t>sample</w:t>
      </w:r>
      <w:r>
        <w:rPr>
          <w:color w:val="0066CC"/>
          <w:spacing w:val="-6"/>
        </w:rPr>
        <w:t xml:space="preserve"> </w:t>
      </w:r>
      <w:r>
        <w:t>of</w:t>
      </w:r>
      <w:r>
        <w:rPr>
          <w:spacing w:val="-6"/>
        </w:rPr>
        <w:t xml:space="preserve"> </w:t>
      </w:r>
      <w:r>
        <w:t>students</w:t>
      </w:r>
      <w:r>
        <w:rPr>
          <w:spacing w:val="-6"/>
        </w:rPr>
        <w:t xml:space="preserve"> </w:t>
      </w:r>
      <w:r>
        <w:t>was</w:t>
      </w:r>
      <w:r>
        <w:rPr>
          <w:spacing w:val="-6"/>
        </w:rPr>
        <w:t xml:space="preserve"> </w:t>
      </w:r>
      <w:r>
        <w:t>selected</w:t>
      </w:r>
      <w:r>
        <w:rPr>
          <w:spacing w:val="-6"/>
        </w:rPr>
        <w:t xml:space="preserve"> </w:t>
      </w:r>
      <w:r>
        <w:t>from</w:t>
      </w:r>
      <w:r>
        <w:rPr>
          <w:spacing w:val="-6"/>
        </w:rPr>
        <w:t xml:space="preserve"> </w:t>
      </w:r>
      <w:r>
        <w:t>a</w:t>
      </w:r>
      <w:r>
        <w:rPr>
          <w:spacing w:val="-6"/>
        </w:rPr>
        <w:t xml:space="preserve"> </w:t>
      </w:r>
      <w:r>
        <w:t>list</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targeted</w:t>
      </w:r>
      <w:r>
        <w:rPr>
          <w:spacing w:val="-6"/>
        </w:rPr>
        <w:t xml:space="preserve"> </w:t>
      </w:r>
      <w:r>
        <w:t>grade</w:t>
      </w:r>
      <w:r>
        <w:rPr>
          <w:spacing w:val="-6"/>
        </w:rPr>
        <w:t xml:space="preserve"> </w:t>
      </w:r>
      <w:r>
        <w:t>such</w:t>
      </w:r>
      <w:r>
        <w:rPr>
          <w:spacing w:val="-6"/>
        </w:rPr>
        <w:t xml:space="preserve"> </w:t>
      </w:r>
      <w:r>
        <w:t>that</w:t>
      </w:r>
      <w:r>
        <w:rPr>
          <w:spacing w:val="-6"/>
        </w:rPr>
        <w:t xml:space="preserve"> </w:t>
      </w:r>
      <w:r>
        <w:t>every</w:t>
      </w:r>
      <w:r>
        <w:rPr>
          <w:spacing w:val="-6"/>
        </w:rPr>
        <w:t xml:space="preserve"> </w:t>
      </w:r>
      <w:r>
        <w:t>student</w:t>
      </w:r>
      <w:r>
        <w:rPr>
          <w:spacing w:val="-6"/>
        </w:rPr>
        <w:t xml:space="preserve"> </w:t>
      </w:r>
      <w:r>
        <w:t>had</w:t>
      </w:r>
      <w:r>
        <w:rPr>
          <w:spacing w:val="-6"/>
        </w:rPr>
        <w:t xml:space="preserve"> </w:t>
      </w:r>
      <w:r>
        <w:t>an</w:t>
      </w:r>
      <w:r>
        <w:rPr>
          <w:spacing w:val="-6"/>
        </w:rPr>
        <w:t xml:space="preserve"> </w:t>
      </w:r>
      <w:r>
        <w:t>equal</w:t>
      </w:r>
      <w:r>
        <w:rPr>
          <w:spacing w:val="-6"/>
        </w:rPr>
        <w:t xml:space="preserve"> </w:t>
      </w:r>
      <w:r>
        <w:t>chance</w:t>
      </w:r>
      <w:r>
        <w:rPr>
          <w:spacing w:val="-6"/>
        </w:rPr>
        <w:t xml:space="preserve"> </w:t>
      </w:r>
      <w:r>
        <w:t>of</w:t>
      </w:r>
      <w:r>
        <w:rPr>
          <w:spacing w:val="-6"/>
        </w:rPr>
        <w:t xml:space="preserve"> </w:t>
      </w:r>
      <w:r>
        <w:t>selection.</w:t>
      </w:r>
      <w:r>
        <w:rPr>
          <w:spacing w:val="-9"/>
        </w:rPr>
        <w:t xml:space="preserve"> </w:t>
      </w:r>
      <w:r>
        <w:t>The</w:t>
      </w:r>
      <w:r>
        <w:rPr>
          <w:spacing w:val="-6"/>
        </w:rPr>
        <w:t xml:space="preserve"> </w:t>
      </w:r>
      <w:r>
        <w:t>student lists</w:t>
      </w:r>
      <w:r>
        <w:rPr>
          <w:spacing w:val="-4"/>
        </w:rPr>
        <w:t xml:space="preserve"> </w:t>
      </w:r>
      <w:r>
        <w:t>were</w:t>
      </w:r>
      <w:r>
        <w:rPr>
          <w:spacing w:val="-4"/>
        </w:rPr>
        <w:t xml:space="preserve"> </w:t>
      </w:r>
      <w:r>
        <w:t>submitted</w:t>
      </w:r>
      <w:r>
        <w:rPr>
          <w:spacing w:val="-4"/>
        </w:rPr>
        <w:t xml:space="preserve"> </w:t>
      </w:r>
      <w:r>
        <w:t>either</w:t>
      </w:r>
      <w:r>
        <w:rPr>
          <w:spacing w:val="-4"/>
        </w:rPr>
        <w:t xml:space="preserve"> </w:t>
      </w:r>
      <w:r>
        <w:t>electronically</w:t>
      </w:r>
      <w:r>
        <w:rPr>
          <w:spacing w:val="-4"/>
        </w:rPr>
        <w:t xml:space="preserve"> </w:t>
      </w:r>
      <w:r>
        <w:t>using</w:t>
      </w:r>
      <w:r>
        <w:rPr>
          <w:spacing w:val="-4"/>
        </w:rPr>
        <w:t xml:space="preserve"> </w:t>
      </w:r>
      <w:r>
        <w:t>a</w:t>
      </w:r>
      <w:r>
        <w:rPr>
          <w:spacing w:val="-4"/>
        </w:rPr>
        <w:t xml:space="preserve"> </w:t>
      </w:r>
      <w:r>
        <w:t>system</w:t>
      </w:r>
      <w:r>
        <w:rPr>
          <w:spacing w:val="-4"/>
        </w:rPr>
        <w:t xml:space="preserve"> </w:t>
      </w:r>
      <w:r>
        <w:t>known</w:t>
      </w:r>
      <w:r>
        <w:rPr>
          <w:spacing w:val="-4"/>
        </w:rPr>
        <w:t xml:space="preserve"> </w:t>
      </w:r>
      <w:r>
        <w:t>as</w:t>
      </w:r>
      <w:r>
        <w:rPr>
          <w:spacing w:val="-4"/>
        </w:rPr>
        <w:t xml:space="preserve"> </w:t>
      </w:r>
      <w:r>
        <w:rPr>
          <w:color w:val="0066CC"/>
        </w:rPr>
        <w:t>E-filing</w:t>
      </w:r>
      <w:r>
        <w:rPr>
          <w:color w:val="0066CC"/>
          <w:spacing w:val="-4"/>
        </w:rPr>
        <w:t xml:space="preserve"> </w:t>
      </w:r>
      <w:r>
        <w:t>or</w:t>
      </w:r>
      <w:r>
        <w:rPr>
          <w:spacing w:val="-4"/>
        </w:rPr>
        <w:t xml:space="preserve"> </w:t>
      </w:r>
      <w:r>
        <w:t>on</w:t>
      </w:r>
      <w:r>
        <w:rPr>
          <w:spacing w:val="-4"/>
        </w:rPr>
        <w:t xml:space="preserve"> </w:t>
      </w:r>
      <w:r>
        <w:t>paper.</w:t>
      </w:r>
      <w:r>
        <w:rPr>
          <w:spacing w:val="-4"/>
        </w:rPr>
        <w:t xml:space="preserve"> </w:t>
      </w:r>
      <w:r>
        <w:t>In</w:t>
      </w:r>
      <w:r>
        <w:rPr>
          <w:spacing w:val="-4"/>
        </w:rPr>
        <w:t xml:space="preserve"> </w:t>
      </w:r>
      <w:r>
        <w:t>E-filing</w:t>
      </w:r>
      <w:r>
        <w:rPr>
          <w:spacing w:val="-4"/>
        </w:rPr>
        <w:t xml:space="preserve"> </w:t>
      </w:r>
      <w:r>
        <w:t>for</w:t>
      </w:r>
      <w:r>
        <w:rPr>
          <w:spacing w:val="-4"/>
        </w:rPr>
        <w:t xml:space="preserve"> </w:t>
      </w:r>
      <w:r>
        <w:t>private</w:t>
      </w:r>
      <w:r>
        <w:rPr>
          <w:spacing w:val="-4"/>
        </w:rPr>
        <w:t xml:space="preserve"> </w:t>
      </w:r>
      <w:r>
        <w:t>schools,</w:t>
      </w:r>
      <w:r>
        <w:rPr>
          <w:spacing w:val="-4"/>
        </w:rPr>
        <w:t xml:space="preserve"> </w:t>
      </w:r>
      <w:r>
        <w:t>student</w:t>
      </w:r>
      <w:r>
        <w:rPr>
          <w:spacing w:val="-4"/>
        </w:rPr>
        <w:t xml:space="preserve"> </w:t>
      </w:r>
      <w:r>
        <w:t>lists</w:t>
      </w:r>
      <w:r>
        <w:rPr>
          <w:spacing w:val="-4"/>
        </w:rPr>
        <w:t xml:space="preserve"> </w:t>
      </w:r>
      <w:r>
        <w:t>are</w:t>
      </w:r>
      <w:r>
        <w:rPr>
          <w:spacing w:val="-4"/>
        </w:rPr>
        <w:t xml:space="preserve"> </w:t>
      </w:r>
      <w:r>
        <w:t>submitted</w:t>
      </w:r>
      <w:r>
        <w:rPr>
          <w:spacing w:val="-4"/>
        </w:rPr>
        <w:t xml:space="preserve"> </w:t>
      </w:r>
      <w:r>
        <w:t>one</w:t>
      </w:r>
      <w:r>
        <w:rPr>
          <w:spacing w:val="-4"/>
        </w:rPr>
        <w:t xml:space="preserve"> </w:t>
      </w:r>
      <w:r>
        <w:t>school</w:t>
      </w:r>
      <w:r>
        <w:rPr>
          <w:spacing w:val="-4"/>
        </w:rPr>
        <w:t xml:space="preserve"> </w:t>
      </w:r>
      <w:r>
        <w:t>at</w:t>
      </w:r>
      <w:r>
        <w:rPr>
          <w:spacing w:val="-4"/>
        </w:rPr>
        <w:t xml:space="preserve"> </w:t>
      </w:r>
      <w:r>
        <w:t>a</w:t>
      </w:r>
      <w:r>
        <w:rPr>
          <w:spacing w:val="-4"/>
        </w:rPr>
        <w:t xml:space="preserve"> </w:t>
      </w:r>
      <w:r>
        <w:t>time</w:t>
      </w:r>
      <w:r>
        <w:rPr>
          <w:spacing w:val="-4"/>
        </w:rPr>
        <w:t xml:space="preserve"> </w:t>
      </w:r>
      <w:r>
        <w:t>by</w:t>
      </w:r>
      <w:r>
        <w:rPr>
          <w:spacing w:val="-4"/>
        </w:rPr>
        <w:t xml:space="preserve"> </w:t>
      </w:r>
      <w:r>
        <w:rPr>
          <w:color w:val="0066CC"/>
        </w:rPr>
        <w:t xml:space="preserve">school coordinators </w:t>
      </w:r>
      <w:r>
        <w:t xml:space="preserve">in Excel files. E-filing allows schools to easily submit student demographic data electronically with the student lists, easing the burden on </w:t>
      </w:r>
      <w:r>
        <w:rPr>
          <w:color w:val="0066CC"/>
        </w:rPr>
        <w:t xml:space="preserve">field supervisors </w:t>
      </w:r>
      <w:r>
        <w:t>and school coordinators.</w:t>
      </w:r>
    </w:p>
    <w:p w:rsidR="003F5784" w14:paraId="218AC60E" w14:textId="77777777">
      <w:pPr>
        <w:pStyle w:val="BodyText"/>
        <w:spacing w:before="210" w:line="232" w:lineRule="auto"/>
        <w:ind w:left="109" w:right="179"/>
      </w:pPr>
      <w:r>
        <w:t>Schools</w:t>
      </w:r>
      <w:r>
        <w:rPr>
          <w:spacing w:val="-3"/>
        </w:rPr>
        <w:t xml:space="preserve"> </w:t>
      </w:r>
      <w:r>
        <w:t>that</w:t>
      </w:r>
      <w:r>
        <w:rPr>
          <w:spacing w:val="-3"/>
        </w:rPr>
        <w:t xml:space="preserve"> </w:t>
      </w:r>
      <w:r>
        <w:t>are</w:t>
      </w:r>
      <w:r>
        <w:rPr>
          <w:spacing w:val="-3"/>
        </w:rPr>
        <w:t xml:space="preserve"> </w:t>
      </w:r>
      <w:r>
        <w:t>unable</w:t>
      </w:r>
      <w:r>
        <w:rPr>
          <w:spacing w:val="-3"/>
        </w:rPr>
        <w:t xml:space="preserve"> </w:t>
      </w:r>
      <w:r>
        <w:t>to</w:t>
      </w:r>
      <w:r>
        <w:rPr>
          <w:spacing w:val="-3"/>
        </w:rPr>
        <w:t xml:space="preserve"> </w:t>
      </w:r>
      <w:r>
        <w:t>submit</w:t>
      </w:r>
      <w:r>
        <w:rPr>
          <w:spacing w:val="-3"/>
        </w:rPr>
        <w:t xml:space="preserve"> </w:t>
      </w:r>
      <w:r>
        <w:t>their</w:t>
      </w:r>
      <w:r>
        <w:rPr>
          <w:spacing w:val="-3"/>
        </w:rPr>
        <w:t xml:space="preserve"> </w:t>
      </w:r>
      <w:r>
        <w:t>student</w:t>
      </w:r>
      <w:r>
        <w:rPr>
          <w:spacing w:val="-3"/>
        </w:rPr>
        <w:t xml:space="preserve"> </w:t>
      </w:r>
      <w:r>
        <w:t>lists</w:t>
      </w:r>
      <w:r>
        <w:rPr>
          <w:spacing w:val="-3"/>
        </w:rPr>
        <w:t xml:space="preserve"> </w:t>
      </w:r>
      <w:r>
        <w:t>using</w:t>
      </w:r>
      <w:r>
        <w:rPr>
          <w:spacing w:val="-3"/>
        </w:rPr>
        <w:t xml:space="preserve"> </w:t>
      </w:r>
      <w:r>
        <w:t>the</w:t>
      </w:r>
      <w:r>
        <w:rPr>
          <w:spacing w:val="-3"/>
        </w:rPr>
        <w:t xml:space="preserve"> </w:t>
      </w:r>
      <w:r>
        <w:t>E-filing</w:t>
      </w:r>
      <w:r>
        <w:rPr>
          <w:spacing w:val="-3"/>
        </w:rPr>
        <w:t xml:space="preserve"> </w:t>
      </w:r>
      <w:r>
        <w:t>system</w:t>
      </w:r>
      <w:r>
        <w:rPr>
          <w:spacing w:val="-3"/>
        </w:rPr>
        <w:t xml:space="preserve"> </w:t>
      </w:r>
      <w:r>
        <w:t>provide</w:t>
      </w:r>
      <w:r>
        <w:rPr>
          <w:spacing w:val="-3"/>
        </w:rPr>
        <w:t xml:space="preserve"> </w:t>
      </w:r>
      <w:r>
        <w:t>hardcopy</w:t>
      </w:r>
      <w:r>
        <w:rPr>
          <w:spacing w:val="-3"/>
        </w:rPr>
        <w:t xml:space="preserve"> </w:t>
      </w:r>
      <w:r>
        <w:t>lists</w:t>
      </w:r>
      <w:r>
        <w:rPr>
          <w:spacing w:val="-3"/>
        </w:rPr>
        <w:t xml:space="preserve"> </w:t>
      </w:r>
      <w:r>
        <w:t>to</w:t>
      </w:r>
      <w:r>
        <w:rPr>
          <w:spacing w:val="-3"/>
        </w:rPr>
        <w:t xml:space="preserve"> </w:t>
      </w:r>
      <w:r>
        <w:t>NAEP</w:t>
      </w:r>
      <w:r>
        <w:rPr>
          <w:spacing w:val="-11"/>
        </w:rPr>
        <w:t xml:space="preserve"> </w:t>
      </w:r>
      <w:r>
        <w:t>field</w:t>
      </w:r>
      <w:r>
        <w:rPr>
          <w:spacing w:val="-3"/>
        </w:rPr>
        <w:t xml:space="preserve"> </w:t>
      </w:r>
      <w:r>
        <w:t>supervisors.</w:t>
      </w:r>
      <w:r>
        <w:rPr>
          <w:spacing w:val="-3"/>
        </w:rPr>
        <w:t xml:space="preserve"> </w:t>
      </w:r>
      <w:r>
        <w:t>In</w:t>
      </w:r>
      <w:r>
        <w:rPr>
          <w:spacing w:val="-3"/>
        </w:rPr>
        <w:t xml:space="preserve"> </w:t>
      </w:r>
      <w:r>
        <w:t>2022,</w:t>
      </w:r>
      <w:r>
        <w:rPr>
          <w:spacing w:val="-3"/>
        </w:rPr>
        <w:t xml:space="preserve"> </w:t>
      </w:r>
      <w:r>
        <w:t>most</w:t>
      </w:r>
      <w:r>
        <w:rPr>
          <w:spacing w:val="-3"/>
        </w:rPr>
        <w:t xml:space="preserve"> </w:t>
      </w:r>
      <w:r>
        <w:t>private</w:t>
      </w:r>
      <w:r>
        <w:rPr>
          <w:spacing w:val="-3"/>
        </w:rPr>
        <w:t xml:space="preserve"> </w:t>
      </w:r>
      <w:r>
        <w:t>schools</w:t>
      </w:r>
      <w:r>
        <w:rPr>
          <w:spacing w:val="-3"/>
        </w:rPr>
        <w:t xml:space="preserve"> </w:t>
      </w:r>
      <w:r>
        <w:t>in</w:t>
      </w:r>
      <w:r>
        <w:rPr>
          <w:spacing w:val="-3"/>
        </w:rPr>
        <w:t xml:space="preserve"> </w:t>
      </w:r>
      <w:r>
        <w:t>the</w:t>
      </w:r>
      <w:r>
        <w:rPr>
          <w:spacing w:val="-3"/>
        </w:rPr>
        <w:t xml:space="preserve"> </w:t>
      </w:r>
      <w:r>
        <w:t>national assessments</w:t>
      </w:r>
      <w:r>
        <w:rPr>
          <w:spacing w:val="-9"/>
        </w:rPr>
        <w:t xml:space="preserve"> </w:t>
      </w:r>
      <w:r>
        <w:t>in</w:t>
      </w:r>
      <w:r>
        <w:rPr>
          <w:spacing w:val="-7"/>
        </w:rPr>
        <w:t xml:space="preserve"> </w:t>
      </w:r>
      <w:r>
        <w:t>mathematics</w:t>
      </w:r>
      <w:r>
        <w:rPr>
          <w:spacing w:val="-7"/>
        </w:rPr>
        <w:t xml:space="preserve"> </w:t>
      </w:r>
      <w:r>
        <w:t>and</w:t>
      </w:r>
      <w:r>
        <w:rPr>
          <w:spacing w:val="-7"/>
        </w:rPr>
        <w:t xml:space="preserve"> </w:t>
      </w:r>
      <w:r>
        <w:t>reading</w:t>
      </w:r>
      <w:r>
        <w:rPr>
          <w:spacing w:val="-7"/>
        </w:rPr>
        <w:t xml:space="preserve"> </w:t>
      </w:r>
      <w:r>
        <w:t>submitted</w:t>
      </w:r>
      <w:r>
        <w:rPr>
          <w:spacing w:val="-7"/>
        </w:rPr>
        <w:t xml:space="preserve"> </w:t>
      </w:r>
      <w:r>
        <w:t>hardcopy</w:t>
      </w:r>
      <w:r>
        <w:rPr>
          <w:spacing w:val="-7"/>
        </w:rPr>
        <w:t xml:space="preserve"> </w:t>
      </w:r>
      <w:r>
        <w:t>lists</w:t>
      </w:r>
      <w:r>
        <w:rPr>
          <w:spacing w:val="-7"/>
        </w:rPr>
        <w:t xml:space="preserve"> </w:t>
      </w:r>
      <w:r>
        <w:t>rather</w:t>
      </w:r>
      <w:r>
        <w:rPr>
          <w:spacing w:val="-7"/>
        </w:rPr>
        <w:t xml:space="preserve"> </w:t>
      </w:r>
      <w:r>
        <w:t>than</w:t>
      </w:r>
      <w:r>
        <w:rPr>
          <w:spacing w:val="-7"/>
        </w:rPr>
        <w:t xml:space="preserve"> </w:t>
      </w:r>
      <w:r>
        <w:t>electronic</w:t>
      </w:r>
      <w:r>
        <w:rPr>
          <w:spacing w:val="-7"/>
        </w:rPr>
        <w:t xml:space="preserve"> </w:t>
      </w:r>
      <w:r>
        <w:t>lists.</w:t>
      </w:r>
      <w:r>
        <w:rPr>
          <w:spacing w:val="-14"/>
        </w:rPr>
        <w:t xml:space="preserve"> </w:t>
      </w:r>
      <w:r>
        <w:t>At</w:t>
      </w:r>
      <w:r>
        <w:rPr>
          <w:spacing w:val="-6"/>
        </w:rPr>
        <w:t xml:space="preserve"> </w:t>
      </w:r>
      <w:r>
        <w:t>fourth</w:t>
      </w:r>
      <w:r>
        <w:rPr>
          <w:spacing w:val="-7"/>
        </w:rPr>
        <w:t xml:space="preserve"> </w:t>
      </w:r>
      <w:r>
        <w:t>grade,</w:t>
      </w:r>
      <w:r>
        <w:rPr>
          <w:spacing w:val="-7"/>
        </w:rPr>
        <w:t xml:space="preserve"> </w:t>
      </w:r>
      <w:r>
        <w:t>72</w:t>
      </w:r>
      <w:r>
        <w:rPr>
          <w:spacing w:val="-7"/>
        </w:rPr>
        <w:t xml:space="preserve"> </w:t>
      </w:r>
      <w:r>
        <w:t>percent</w:t>
      </w:r>
      <w:r>
        <w:rPr>
          <w:spacing w:val="-7"/>
        </w:rPr>
        <w:t xml:space="preserve"> </w:t>
      </w:r>
      <w:r>
        <w:t>of</w:t>
      </w:r>
      <w:r>
        <w:rPr>
          <w:spacing w:val="-7"/>
        </w:rPr>
        <w:t xml:space="preserve"> </w:t>
      </w:r>
      <w:r>
        <w:t>the</w:t>
      </w:r>
      <w:r>
        <w:rPr>
          <w:spacing w:val="-7"/>
        </w:rPr>
        <w:t xml:space="preserve"> </w:t>
      </w:r>
      <w:r>
        <w:t>participating</w:t>
      </w:r>
      <w:r>
        <w:rPr>
          <w:spacing w:val="-7"/>
        </w:rPr>
        <w:t xml:space="preserve"> </w:t>
      </w:r>
      <w:r>
        <w:t>schools</w:t>
      </w:r>
      <w:r>
        <w:rPr>
          <w:spacing w:val="-7"/>
        </w:rPr>
        <w:t xml:space="preserve"> </w:t>
      </w:r>
      <w:r>
        <w:t>submitted</w:t>
      </w:r>
      <w:r>
        <w:rPr>
          <w:spacing w:val="-7"/>
        </w:rPr>
        <w:t xml:space="preserve"> </w:t>
      </w:r>
      <w:r>
        <w:t>hardcopy</w:t>
      </w:r>
      <w:r>
        <w:rPr>
          <w:spacing w:val="-7"/>
        </w:rPr>
        <w:t xml:space="preserve"> </w:t>
      </w:r>
      <w:r>
        <w:t>lists and 28 percent submitted electronic lists.</w:t>
      </w:r>
      <w:r>
        <w:rPr>
          <w:spacing w:val="-10"/>
        </w:rPr>
        <w:t xml:space="preserve"> </w:t>
      </w:r>
      <w:r>
        <w:t>At eighth grade, 70 percent of the schools submitted hardcopy lists, and 30 percent submitted electronic lists.</w:t>
      </w:r>
    </w:p>
    <w:p w:rsidR="003F5784" w14:paraId="63DCD935" w14:textId="77777777">
      <w:pPr>
        <w:pStyle w:val="BodyText"/>
        <w:spacing w:before="210" w:line="232" w:lineRule="auto"/>
        <w:ind w:left="109" w:right="179"/>
      </w:pPr>
      <w:r>
        <w:t>In</w:t>
      </w:r>
      <w:r>
        <w:rPr>
          <w:spacing w:val="-6"/>
        </w:rPr>
        <w:t xml:space="preserve"> </w:t>
      </w:r>
      <w:r>
        <w:t>year-round</w:t>
      </w:r>
      <w:r>
        <w:rPr>
          <w:spacing w:val="-6"/>
        </w:rPr>
        <w:t xml:space="preserve"> </w:t>
      </w:r>
      <w:r>
        <w:t>multi-track</w:t>
      </w:r>
      <w:r>
        <w:rPr>
          <w:spacing w:val="-6"/>
        </w:rPr>
        <w:t xml:space="preserve"> </w:t>
      </w:r>
      <w:r>
        <w:t>schools,</w:t>
      </w:r>
      <w:r>
        <w:rPr>
          <w:spacing w:val="-6"/>
        </w:rPr>
        <w:t xml:space="preserve"> </w:t>
      </w:r>
      <w:r>
        <w:t>students</w:t>
      </w:r>
      <w:r>
        <w:rPr>
          <w:spacing w:val="-6"/>
        </w:rPr>
        <w:t xml:space="preserve"> </w:t>
      </w:r>
      <w:r>
        <w:t>in</w:t>
      </w:r>
      <w:r>
        <w:rPr>
          <w:spacing w:val="-6"/>
        </w:rPr>
        <w:t xml:space="preserve"> </w:t>
      </w:r>
      <w:r>
        <w:t>tracks</w:t>
      </w:r>
      <w:r>
        <w:rPr>
          <w:spacing w:val="-6"/>
        </w:rPr>
        <w:t xml:space="preserve"> </w:t>
      </w:r>
      <w:r>
        <w:t>scheduled</w:t>
      </w:r>
      <w:r>
        <w:rPr>
          <w:spacing w:val="-6"/>
        </w:rPr>
        <w:t xml:space="preserve"> </w:t>
      </w:r>
      <w:r>
        <w:t>to</w:t>
      </w:r>
      <w:r>
        <w:rPr>
          <w:spacing w:val="-6"/>
        </w:rPr>
        <w:t xml:space="preserve"> </w:t>
      </w:r>
      <w:r>
        <w:t>be</w:t>
      </w:r>
      <w:r>
        <w:rPr>
          <w:spacing w:val="-6"/>
        </w:rPr>
        <w:t xml:space="preserve"> </w:t>
      </w:r>
      <w:r>
        <w:t>on</w:t>
      </w:r>
      <w:r>
        <w:rPr>
          <w:spacing w:val="-6"/>
        </w:rPr>
        <w:t xml:space="preserve"> </w:t>
      </w:r>
      <w:r>
        <w:t>break</w:t>
      </w:r>
      <w:r>
        <w:rPr>
          <w:spacing w:val="-6"/>
        </w:rPr>
        <w:t xml:space="preserve"> </w:t>
      </w:r>
      <w:r>
        <w:t>on</w:t>
      </w:r>
      <w:r>
        <w:rPr>
          <w:spacing w:val="-6"/>
        </w:rPr>
        <w:t xml:space="preserve"> </w:t>
      </w:r>
      <w:r>
        <w:t>the</w:t>
      </w:r>
      <w:r>
        <w:rPr>
          <w:spacing w:val="-6"/>
        </w:rPr>
        <w:t xml:space="preserve"> </w:t>
      </w:r>
      <w:r>
        <w:t>assessment</w:t>
      </w:r>
      <w:r>
        <w:rPr>
          <w:spacing w:val="-6"/>
        </w:rPr>
        <w:t xml:space="preserve"> </w:t>
      </w:r>
      <w:r>
        <w:t>day</w:t>
      </w:r>
      <w:r>
        <w:rPr>
          <w:spacing w:val="-6"/>
        </w:rPr>
        <w:t xml:space="preserve"> </w:t>
      </w:r>
      <w:r>
        <w:t>were</w:t>
      </w:r>
      <w:r>
        <w:rPr>
          <w:spacing w:val="-6"/>
        </w:rPr>
        <w:t xml:space="preserve"> </w:t>
      </w:r>
      <w:r>
        <w:t>removed</w:t>
      </w:r>
      <w:r>
        <w:rPr>
          <w:spacing w:val="-6"/>
        </w:rPr>
        <w:t xml:space="preserve"> </w:t>
      </w:r>
      <w:r>
        <w:t>from</w:t>
      </w:r>
      <w:r>
        <w:rPr>
          <w:spacing w:val="-6"/>
        </w:rPr>
        <w:t xml:space="preserve"> </w:t>
      </w:r>
      <w:r>
        <w:t>the</w:t>
      </w:r>
      <w:r>
        <w:rPr>
          <w:spacing w:val="-6"/>
        </w:rPr>
        <w:t xml:space="preserve"> </w:t>
      </w:r>
      <w:r>
        <w:t>student</w:t>
      </w:r>
      <w:r>
        <w:rPr>
          <w:spacing w:val="-6"/>
        </w:rPr>
        <w:t xml:space="preserve"> </w:t>
      </w:r>
      <w:r>
        <w:t>lists</w:t>
      </w:r>
      <w:r>
        <w:rPr>
          <w:spacing w:val="-6"/>
        </w:rPr>
        <w:t xml:space="preserve"> </w:t>
      </w:r>
      <w:r>
        <w:t>prior</w:t>
      </w:r>
      <w:r>
        <w:rPr>
          <w:spacing w:val="-6"/>
        </w:rPr>
        <w:t xml:space="preserve"> </w:t>
      </w:r>
      <w:r>
        <w:t>to</w:t>
      </w:r>
      <w:r>
        <w:rPr>
          <w:spacing w:val="-6"/>
        </w:rPr>
        <w:t xml:space="preserve"> </w:t>
      </w:r>
      <w:r>
        <w:t>sampling.</w:t>
      </w:r>
      <w:r>
        <w:rPr>
          <w:spacing w:val="-6"/>
        </w:rPr>
        <w:t xml:space="preserve"> </w:t>
      </w:r>
      <w:r>
        <w:t>(</w:t>
      </w:r>
      <w:r>
        <w:rPr>
          <w:color w:val="0066CC"/>
        </w:rPr>
        <w:t>Student</w:t>
      </w:r>
      <w:r>
        <w:rPr>
          <w:color w:val="0066CC"/>
          <w:spacing w:val="-6"/>
        </w:rPr>
        <w:t xml:space="preserve"> </w:t>
      </w:r>
      <w:r>
        <w:rPr>
          <w:color w:val="0066CC"/>
        </w:rPr>
        <w:t xml:space="preserve">base weights </w:t>
      </w:r>
      <w:r>
        <w:t>were adjusted to account for these students.)</w:t>
      </w:r>
    </w:p>
    <w:p w:rsidR="003F5784" w14:paraId="2A85A317" w14:textId="37B80F19">
      <w:pPr>
        <w:pStyle w:val="BodyText"/>
        <w:spacing w:before="209" w:line="232" w:lineRule="auto"/>
        <w:ind w:left="109" w:right="117"/>
      </w:pPr>
      <w:r>
        <w:t>The</w:t>
      </w:r>
      <w:r>
        <w:rPr>
          <w:spacing w:val="-6"/>
        </w:rPr>
        <w:t xml:space="preserve"> </w:t>
      </w:r>
      <w:r>
        <w:t>sampling</w:t>
      </w:r>
      <w:r>
        <w:rPr>
          <w:spacing w:val="-6"/>
        </w:rPr>
        <w:t xml:space="preserve"> </w:t>
      </w:r>
      <w:r>
        <w:t>process</w:t>
      </w:r>
      <w:r>
        <w:rPr>
          <w:spacing w:val="-6"/>
        </w:rPr>
        <w:t xml:space="preserve"> </w:t>
      </w:r>
      <w:r>
        <w:t>was</w:t>
      </w:r>
      <w:r>
        <w:rPr>
          <w:spacing w:val="-6"/>
        </w:rPr>
        <w:t xml:space="preserve"> </w:t>
      </w:r>
      <w:r>
        <w:t>very</w:t>
      </w:r>
      <w:r>
        <w:rPr>
          <w:spacing w:val="-6"/>
        </w:rPr>
        <w:t xml:space="preserve"> </w:t>
      </w:r>
      <w:r>
        <w:t>similar,</w:t>
      </w:r>
      <w:r>
        <w:rPr>
          <w:spacing w:val="-6"/>
        </w:rPr>
        <w:t xml:space="preserve"> </w:t>
      </w:r>
      <w:r>
        <w:t>regardless</w:t>
      </w:r>
      <w:r>
        <w:rPr>
          <w:spacing w:val="-6"/>
        </w:rPr>
        <w:t xml:space="preserve"> </w:t>
      </w:r>
      <w:r>
        <w:t>of</w:t>
      </w:r>
      <w:r>
        <w:rPr>
          <w:spacing w:val="-6"/>
        </w:rPr>
        <w:t xml:space="preserve"> </w:t>
      </w:r>
      <w:r>
        <w:t>list</w:t>
      </w:r>
      <w:r>
        <w:rPr>
          <w:spacing w:val="-6"/>
        </w:rPr>
        <w:t xml:space="preserve"> </w:t>
      </w:r>
      <w:r>
        <w:t>submission</w:t>
      </w:r>
      <w:r>
        <w:rPr>
          <w:spacing w:val="-6"/>
        </w:rPr>
        <w:t xml:space="preserve"> </w:t>
      </w:r>
      <w:r>
        <w:t>type.</w:t>
      </w:r>
      <w:r>
        <w:rPr>
          <w:spacing w:val="-10"/>
        </w:rPr>
        <w:t xml:space="preserve"> </w:t>
      </w:r>
      <w:r>
        <w:t>The</w:t>
      </w:r>
      <w:r>
        <w:rPr>
          <w:spacing w:val="-6"/>
        </w:rPr>
        <w:t xml:space="preserve"> </w:t>
      </w:r>
      <w:r>
        <w:t>sampling</w:t>
      </w:r>
      <w:r>
        <w:rPr>
          <w:spacing w:val="-6"/>
        </w:rPr>
        <w:t xml:space="preserve"> </w:t>
      </w:r>
      <w:r>
        <w:t>process</w:t>
      </w:r>
      <w:r>
        <w:rPr>
          <w:spacing w:val="-6"/>
        </w:rPr>
        <w:t xml:space="preserve"> </w:t>
      </w:r>
      <w:r>
        <w:t>was</w:t>
      </w:r>
      <w:r>
        <w:rPr>
          <w:spacing w:val="-6"/>
        </w:rPr>
        <w:t xml:space="preserve"> </w:t>
      </w:r>
      <w:r>
        <w:rPr>
          <w:color w:val="0066CC"/>
        </w:rPr>
        <w:t>systematic</w:t>
      </w:r>
      <w:r>
        <w:rPr>
          <w:color w:val="0066CC"/>
          <w:spacing w:val="-6"/>
        </w:rPr>
        <w:t xml:space="preserve"> </w:t>
      </w:r>
      <w:r>
        <w:t>(e.g.,</w:t>
      </w:r>
      <w:r>
        <w:rPr>
          <w:spacing w:val="-6"/>
        </w:rPr>
        <w:t xml:space="preserve"> </w:t>
      </w:r>
      <w:r>
        <w:t>if</w:t>
      </w:r>
      <w:r>
        <w:rPr>
          <w:spacing w:val="-6"/>
        </w:rPr>
        <w:t xml:space="preserve"> </w:t>
      </w:r>
      <w:r>
        <w:t>the</w:t>
      </w:r>
      <w:r>
        <w:rPr>
          <w:spacing w:val="-6"/>
        </w:rPr>
        <w:t xml:space="preserve"> </w:t>
      </w:r>
      <w:r>
        <w:t>sampling</w:t>
      </w:r>
      <w:r>
        <w:rPr>
          <w:spacing w:val="-6"/>
        </w:rPr>
        <w:t xml:space="preserve"> </w:t>
      </w:r>
      <w:r>
        <w:t>rate</w:t>
      </w:r>
      <w:r>
        <w:rPr>
          <w:spacing w:val="-6"/>
        </w:rPr>
        <w:t xml:space="preserve"> </w:t>
      </w:r>
      <w:r>
        <w:t>was</w:t>
      </w:r>
      <w:r>
        <w:rPr>
          <w:spacing w:val="-6"/>
        </w:rPr>
        <w:t xml:space="preserve"> </w:t>
      </w:r>
      <w:r>
        <w:t>one-half,</w:t>
      </w:r>
      <w:r>
        <w:rPr>
          <w:spacing w:val="-6"/>
        </w:rPr>
        <w:t xml:space="preserve"> </w:t>
      </w:r>
      <w:r>
        <w:t>a</w:t>
      </w:r>
      <w:r>
        <w:rPr>
          <w:spacing w:val="-6"/>
        </w:rPr>
        <w:t xml:space="preserve"> </w:t>
      </w:r>
      <w:r>
        <w:t>random</w:t>
      </w:r>
      <w:r>
        <w:rPr>
          <w:spacing w:val="-6"/>
        </w:rPr>
        <w:t xml:space="preserve"> </w:t>
      </w:r>
      <w:r>
        <w:t>starting</w:t>
      </w:r>
      <w:r>
        <w:rPr>
          <w:spacing w:val="-6"/>
        </w:rPr>
        <w:t xml:space="preserve"> </w:t>
      </w:r>
      <w:r>
        <w:t xml:space="preserve">point of one or two was chosen, and every other student on the list was selected). For E-filed schools only, where demographic data was submitted for every student on the frame, students were sorted by </w:t>
      </w:r>
      <w:r w:rsidR="00B4162D">
        <w:t>sex</w:t>
      </w:r>
      <w:r>
        <w:t xml:space="preserve"> and race/ethnicity before the sample was selected to implicitly stratify the sample.</w:t>
      </w:r>
    </w:p>
    <w:p w:rsidR="003F5784" w14:paraId="63CE8537" w14:textId="77777777">
      <w:pPr>
        <w:pStyle w:val="BodyText"/>
        <w:spacing w:before="204" w:line="439" w:lineRule="auto"/>
        <w:ind w:left="109" w:right="318"/>
      </w:pPr>
      <w:r>
        <w:t>In</w:t>
      </w:r>
      <w:r>
        <w:rPr>
          <w:spacing w:val="-6"/>
        </w:rPr>
        <w:t xml:space="preserve"> </w:t>
      </w:r>
      <w:r>
        <w:t>schools</w:t>
      </w:r>
      <w:r>
        <w:rPr>
          <w:spacing w:val="-6"/>
        </w:rPr>
        <w:t xml:space="preserve"> </w:t>
      </w:r>
      <w:r>
        <w:t>with</w:t>
      </w:r>
      <w:r>
        <w:rPr>
          <w:spacing w:val="-6"/>
        </w:rPr>
        <w:t xml:space="preserve"> </w:t>
      </w:r>
      <w:r>
        <w:t>up</w:t>
      </w:r>
      <w:r>
        <w:rPr>
          <w:spacing w:val="-6"/>
        </w:rPr>
        <w:t xml:space="preserve"> </w:t>
      </w:r>
      <w:r>
        <w:t>to</w:t>
      </w:r>
      <w:r>
        <w:rPr>
          <w:spacing w:val="-6"/>
        </w:rPr>
        <w:t xml:space="preserve"> </w:t>
      </w:r>
      <w:r>
        <w:t>52</w:t>
      </w:r>
      <w:r>
        <w:rPr>
          <w:spacing w:val="-6"/>
        </w:rPr>
        <w:t xml:space="preserve"> </w:t>
      </w:r>
      <w:r>
        <w:t>students</w:t>
      </w:r>
      <w:r>
        <w:rPr>
          <w:spacing w:val="-6"/>
        </w:rPr>
        <w:t xml:space="preserve"> </w:t>
      </w:r>
      <w:r>
        <w:t>in</w:t>
      </w:r>
      <w:r>
        <w:rPr>
          <w:spacing w:val="-6"/>
        </w:rPr>
        <w:t xml:space="preserve"> </w:t>
      </w:r>
      <w:r>
        <w:t>the</w:t>
      </w:r>
      <w:r>
        <w:rPr>
          <w:spacing w:val="-6"/>
        </w:rPr>
        <w:t xml:space="preserve"> </w:t>
      </w:r>
      <w:r>
        <w:t>targeted</w:t>
      </w:r>
      <w:r>
        <w:rPr>
          <w:spacing w:val="-6"/>
        </w:rPr>
        <w:t xml:space="preserve"> </w:t>
      </w:r>
      <w:r>
        <w:t>grade,</w:t>
      </w:r>
      <w:r>
        <w:rPr>
          <w:spacing w:val="-6"/>
        </w:rPr>
        <w:t xml:space="preserve"> </w:t>
      </w:r>
      <w:r>
        <w:t>all</w:t>
      </w:r>
      <w:r>
        <w:rPr>
          <w:spacing w:val="-6"/>
        </w:rPr>
        <w:t xml:space="preserve"> </w:t>
      </w:r>
      <w:r>
        <w:t>students</w:t>
      </w:r>
      <w:r>
        <w:rPr>
          <w:spacing w:val="-6"/>
        </w:rPr>
        <w:t xml:space="preserve"> </w:t>
      </w:r>
      <w:r>
        <w:t>were</w:t>
      </w:r>
      <w:r>
        <w:rPr>
          <w:spacing w:val="-6"/>
        </w:rPr>
        <w:t xml:space="preserve"> </w:t>
      </w:r>
      <w:r>
        <w:t>selected.</w:t>
      </w:r>
      <w:r>
        <w:rPr>
          <w:spacing w:val="-6"/>
        </w:rPr>
        <w:t xml:space="preserve"> </w:t>
      </w:r>
      <w:r>
        <w:t>In</w:t>
      </w:r>
      <w:r>
        <w:rPr>
          <w:spacing w:val="-6"/>
        </w:rPr>
        <w:t xml:space="preserve"> </w:t>
      </w:r>
      <w:r>
        <w:t>schools</w:t>
      </w:r>
      <w:r>
        <w:rPr>
          <w:spacing w:val="-6"/>
        </w:rPr>
        <w:t xml:space="preserve"> </w:t>
      </w:r>
      <w:r>
        <w:t>with</w:t>
      </w:r>
      <w:r>
        <w:rPr>
          <w:spacing w:val="-6"/>
        </w:rPr>
        <w:t xml:space="preserve"> </w:t>
      </w:r>
      <w:r>
        <w:t>more</w:t>
      </w:r>
      <w:r>
        <w:rPr>
          <w:spacing w:val="-6"/>
        </w:rPr>
        <w:t xml:space="preserve"> </w:t>
      </w:r>
      <w:r>
        <w:t>than</w:t>
      </w:r>
      <w:r>
        <w:rPr>
          <w:spacing w:val="-6"/>
        </w:rPr>
        <w:t xml:space="preserve"> </w:t>
      </w:r>
      <w:r>
        <w:t>52</w:t>
      </w:r>
      <w:r>
        <w:rPr>
          <w:spacing w:val="-6"/>
        </w:rPr>
        <w:t xml:space="preserve"> </w:t>
      </w:r>
      <w:r>
        <w:t>students,</w:t>
      </w:r>
      <w:r>
        <w:rPr>
          <w:spacing w:val="-6"/>
        </w:rPr>
        <w:t xml:space="preserve"> </w:t>
      </w:r>
      <w:r>
        <w:t>systematic</w:t>
      </w:r>
      <w:r>
        <w:rPr>
          <w:spacing w:val="-6"/>
        </w:rPr>
        <w:t xml:space="preserve"> </w:t>
      </w:r>
      <w:r>
        <w:t>samples</w:t>
      </w:r>
      <w:r>
        <w:rPr>
          <w:spacing w:val="-6"/>
        </w:rPr>
        <w:t xml:space="preserve"> </w:t>
      </w:r>
      <w:r>
        <w:t>of</w:t>
      </w:r>
      <w:r>
        <w:rPr>
          <w:spacing w:val="-6"/>
        </w:rPr>
        <w:t xml:space="preserve"> </w:t>
      </w:r>
      <w:r>
        <w:t>50</w:t>
      </w:r>
      <w:r>
        <w:rPr>
          <w:spacing w:val="-6"/>
        </w:rPr>
        <w:t xml:space="preserve"> </w:t>
      </w:r>
      <w:r>
        <w:t>students</w:t>
      </w:r>
      <w:r>
        <w:rPr>
          <w:spacing w:val="-6"/>
        </w:rPr>
        <w:t xml:space="preserve"> </w:t>
      </w:r>
      <w:r>
        <w:t>were</w:t>
      </w:r>
      <w:r>
        <w:rPr>
          <w:spacing w:val="-6"/>
        </w:rPr>
        <w:t xml:space="preserve"> </w:t>
      </w:r>
      <w:r>
        <w:t>selected. Some students enrolled in the school after the sample was selected. In such cases, new enrollees were sampled at the same rate as the students on the original list.</w:t>
      </w:r>
    </w:p>
    <w:p w:rsidR="003F5784" w14:paraId="04D98359" w14:textId="77777777">
      <w:pPr>
        <w:pStyle w:val="Heading2"/>
        <w:spacing w:before="2"/>
        <w:ind w:left="109"/>
      </w:pPr>
      <w:r>
        <w:t>Assigning</w:t>
      </w:r>
      <w:r>
        <w:rPr>
          <w:spacing w:val="-14"/>
        </w:rPr>
        <w:t xml:space="preserve"> </w:t>
      </w:r>
      <w:r>
        <w:t>Assessment</w:t>
      </w:r>
      <w:r>
        <w:rPr>
          <w:spacing w:val="-13"/>
        </w:rPr>
        <w:t xml:space="preserve"> </w:t>
      </w:r>
      <w:r>
        <w:t>Subject</w:t>
      </w:r>
      <w:r>
        <w:rPr>
          <w:spacing w:val="-8"/>
        </w:rPr>
        <w:t xml:space="preserve"> </w:t>
      </w:r>
      <w:r>
        <w:t>to</w:t>
      </w:r>
      <w:r>
        <w:rPr>
          <w:spacing w:val="-8"/>
        </w:rPr>
        <w:t xml:space="preserve"> </w:t>
      </w:r>
      <w:r>
        <w:t>Sampled</w:t>
      </w:r>
      <w:r>
        <w:rPr>
          <w:spacing w:val="-9"/>
        </w:rPr>
        <w:t xml:space="preserve"> </w:t>
      </w:r>
      <w:r>
        <w:rPr>
          <w:spacing w:val="-2"/>
        </w:rPr>
        <w:t>Students</w:t>
      </w:r>
    </w:p>
    <w:p w:rsidR="003F5784" w14:paraId="2790A42E" w14:textId="77777777">
      <w:pPr>
        <w:sectPr>
          <w:pgSz w:w="15840" w:h="12240" w:orient="landscape"/>
          <w:pgMar w:top="480" w:right="440" w:bottom="460" w:left="460" w:header="284" w:footer="275" w:gutter="0"/>
          <w:cols w:space="720"/>
        </w:sectPr>
      </w:pPr>
    </w:p>
    <w:p w:rsidR="003F5784" w14:paraId="72F7510C" w14:textId="77777777">
      <w:pPr>
        <w:pStyle w:val="BodyText"/>
        <w:spacing w:before="78" w:line="232" w:lineRule="auto"/>
        <w:ind w:left="109"/>
      </w:pPr>
      <w:r>
        <w:t>Sampled</w:t>
      </w:r>
      <w:r>
        <w:rPr>
          <w:spacing w:val="-6"/>
        </w:rPr>
        <w:t xml:space="preserve"> </w:t>
      </w:r>
      <w:r>
        <w:t>students,</w:t>
      </w:r>
      <w:r>
        <w:rPr>
          <w:spacing w:val="-6"/>
        </w:rPr>
        <w:t xml:space="preserve"> </w:t>
      </w:r>
      <w:r>
        <w:t>including</w:t>
      </w:r>
      <w:r>
        <w:rPr>
          <w:spacing w:val="-6"/>
        </w:rPr>
        <w:t xml:space="preserve"> </w:t>
      </w:r>
      <w:r>
        <w:t>new</w:t>
      </w:r>
      <w:r>
        <w:rPr>
          <w:spacing w:val="-6"/>
        </w:rPr>
        <w:t xml:space="preserve"> </w:t>
      </w:r>
      <w:r>
        <w:t>enrollees,</w:t>
      </w:r>
      <w:r>
        <w:rPr>
          <w:spacing w:val="-6"/>
        </w:rPr>
        <w:t xml:space="preserve"> </w:t>
      </w:r>
      <w:r>
        <w:t>in</w:t>
      </w:r>
      <w:r>
        <w:rPr>
          <w:spacing w:val="-6"/>
        </w:rPr>
        <w:t xml:space="preserve"> </w:t>
      </w:r>
      <w:r>
        <w:t>each</w:t>
      </w:r>
      <w:r>
        <w:rPr>
          <w:spacing w:val="-6"/>
        </w:rPr>
        <w:t xml:space="preserve"> </w:t>
      </w:r>
      <w:r>
        <w:t>participating</w:t>
      </w:r>
      <w:r>
        <w:rPr>
          <w:spacing w:val="-6"/>
        </w:rPr>
        <w:t xml:space="preserve"> </w:t>
      </w:r>
      <w:r>
        <w:t>sampled</w:t>
      </w:r>
      <w:r>
        <w:rPr>
          <w:spacing w:val="-6"/>
        </w:rPr>
        <w:t xml:space="preserve"> </w:t>
      </w:r>
      <w:r>
        <w:t>school</w:t>
      </w:r>
      <w:r>
        <w:rPr>
          <w:spacing w:val="-6"/>
        </w:rPr>
        <w:t xml:space="preserve"> </w:t>
      </w:r>
      <w:r>
        <w:t>were</w:t>
      </w:r>
      <w:r>
        <w:rPr>
          <w:spacing w:val="-6"/>
        </w:rPr>
        <w:t xml:space="preserve"> </w:t>
      </w:r>
      <w:r>
        <w:t>assigned</w:t>
      </w:r>
      <w:r>
        <w:rPr>
          <w:spacing w:val="-6"/>
        </w:rPr>
        <w:t xml:space="preserve"> </w:t>
      </w:r>
      <w:r>
        <w:t>to</w:t>
      </w:r>
      <w:r>
        <w:rPr>
          <w:spacing w:val="-6"/>
        </w:rPr>
        <w:t xml:space="preserve"> </w:t>
      </w:r>
      <w:r>
        <w:t>either</w:t>
      </w:r>
      <w:r>
        <w:rPr>
          <w:spacing w:val="-6"/>
        </w:rPr>
        <w:t xml:space="preserve"> </w:t>
      </w:r>
      <w:r>
        <w:t>the</w:t>
      </w:r>
      <w:r>
        <w:rPr>
          <w:spacing w:val="-6"/>
        </w:rPr>
        <w:t xml:space="preserve"> </w:t>
      </w:r>
      <w:r>
        <w:t>mathematics</w:t>
      </w:r>
      <w:r>
        <w:rPr>
          <w:spacing w:val="-6"/>
        </w:rPr>
        <w:t xml:space="preserve"> </w:t>
      </w:r>
      <w:r>
        <w:t>or</w:t>
      </w:r>
      <w:r>
        <w:rPr>
          <w:spacing w:val="-6"/>
        </w:rPr>
        <w:t xml:space="preserve"> </w:t>
      </w:r>
      <w:r>
        <w:t>the</w:t>
      </w:r>
      <w:r>
        <w:rPr>
          <w:spacing w:val="-6"/>
        </w:rPr>
        <w:t xml:space="preserve"> </w:t>
      </w:r>
      <w:r>
        <w:t>reading</w:t>
      </w:r>
      <w:r>
        <w:rPr>
          <w:spacing w:val="-6"/>
        </w:rPr>
        <w:t xml:space="preserve"> </w:t>
      </w:r>
      <w:r>
        <w:t>assessment</w:t>
      </w:r>
      <w:r>
        <w:rPr>
          <w:spacing w:val="-6"/>
        </w:rPr>
        <w:t xml:space="preserve"> </w:t>
      </w:r>
      <w:r>
        <w:t>at</w:t>
      </w:r>
      <w:r>
        <w:rPr>
          <w:spacing w:val="-6"/>
        </w:rPr>
        <w:t xml:space="preserve"> </w:t>
      </w:r>
      <w:r>
        <w:t>rates</w:t>
      </w:r>
      <w:r>
        <w:rPr>
          <w:spacing w:val="-6"/>
        </w:rPr>
        <w:t xml:space="preserve"> </w:t>
      </w:r>
      <w:r>
        <w:t>of</w:t>
      </w:r>
      <w:r>
        <w:rPr>
          <w:spacing w:val="-6"/>
        </w:rPr>
        <w:t xml:space="preserve"> </w:t>
      </w:r>
      <w:r>
        <w:t>52</w:t>
      </w:r>
      <w:r>
        <w:rPr>
          <w:spacing w:val="-6"/>
        </w:rPr>
        <w:t xml:space="preserve"> </w:t>
      </w:r>
      <w:r>
        <w:t>percent</w:t>
      </w:r>
      <w:r>
        <w:rPr>
          <w:spacing w:val="-6"/>
        </w:rPr>
        <w:t xml:space="preserve"> </w:t>
      </w:r>
      <w:r>
        <w:t>and</w:t>
      </w:r>
      <w:r>
        <w:rPr>
          <w:spacing w:val="-6"/>
        </w:rPr>
        <w:t xml:space="preserve"> </w:t>
      </w:r>
      <w:r>
        <w:t xml:space="preserve">48 percent, respectively for grade 4, or 50 percent for each subject for grade 8, using a process known as </w:t>
      </w:r>
      <w:r>
        <w:rPr>
          <w:color w:val="0066CC"/>
        </w:rPr>
        <w:t>spiraling</w:t>
      </w:r>
      <w:r>
        <w:t>. In this process, test forms were randomly assigned to sampled students</w:t>
      </w:r>
      <w:r>
        <w:rPr>
          <w:spacing w:val="-1"/>
        </w:rPr>
        <w:t xml:space="preserve"> </w:t>
      </w:r>
      <w:r>
        <w:t>from</w:t>
      </w:r>
      <w:r>
        <w:rPr>
          <w:spacing w:val="-1"/>
        </w:rPr>
        <w:t xml:space="preserve"> </w:t>
      </w:r>
      <w:r>
        <w:t>test</w:t>
      </w:r>
      <w:r>
        <w:rPr>
          <w:spacing w:val="-1"/>
        </w:rPr>
        <w:t xml:space="preserve"> </w:t>
      </w:r>
      <w:r>
        <w:t>form</w:t>
      </w:r>
      <w:r>
        <w:rPr>
          <w:spacing w:val="-1"/>
        </w:rPr>
        <w:t xml:space="preserve"> </w:t>
      </w:r>
      <w:r>
        <w:t>sets</w:t>
      </w:r>
      <w:r>
        <w:rPr>
          <w:spacing w:val="-1"/>
        </w:rPr>
        <w:t xml:space="preserve"> </w:t>
      </w:r>
      <w:r>
        <w:t>that</w:t>
      </w:r>
      <w:r>
        <w:rPr>
          <w:spacing w:val="-1"/>
        </w:rPr>
        <w:t xml:space="preserve"> </w:t>
      </w:r>
      <w:r>
        <w:t>had,</w:t>
      </w:r>
      <w:r>
        <w:rPr>
          <w:spacing w:val="-1"/>
        </w:rPr>
        <w:t xml:space="preserve"> </w:t>
      </w:r>
      <w:r>
        <w:t>on</w:t>
      </w:r>
      <w:r>
        <w:rPr>
          <w:spacing w:val="-1"/>
        </w:rPr>
        <w:t xml:space="preserve"> </w:t>
      </w:r>
      <w:r>
        <w:t>average,</w:t>
      </w:r>
      <w:r>
        <w:rPr>
          <w:spacing w:val="-1"/>
        </w:rPr>
        <w:t xml:space="preserve"> </w:t>
      </w:r>
      <w:r>
        <w:t>a</w:t>
      </w:r>
      <w:r>
        <w:rPr>
          <w:spacing w:val="-1"/>
        </w:rPr>
        <w:t xml:space="preserve"> </w:t>
      </w:r>
      <w:r>
        <w:t>ratio</w:t>
      </w:r>
      <w:r>
        <w:rPr>
          <w:spacing w:val="-1"/>
        </w:rPr>
        <w:t xml:space="preserve"> </w:t>
      </w:r>
      <w:r>
        <w:t>of</w:t>
      </w:r>
      <w:r>
        <w:rPr>
          <w:spacing w:val="-1"/>
        </w:rPr>
        <w:t xml:space="preserve"> </w:t>
      </w:r>
      <w:r>
        <w:t>26</w:t>
      </w:r>
      <w:r>
        <w:rPr>
          <w:spacing w:val="-1"/>
        </w:rPr>
        <w:t xml:space="preserve"> </w:t>
      </w:r>
      <w:r>
        <w:t>mathematics</w:t>
      </w:r>
      <w:r>
        <w:rPr>
          <w:spacing w:val="-1"/>
        </w:rPr>
        <w:t xml:space="preserve"> </w:t>
      </w:r>
      <w:r>
        <w:t>forms</w:t>
      </w:r>
      <w:r>
        <w:rPr>
          <w:spacing w:val="-1"/>
        </w:rPr>
        <w:t xml:space="preserve"> </w:t>
      </w:r>
      <w:r>
        <w:t>to</w:t>
      </w:r>
      <w:r>
        <w:rPr>
          <w:spacing w:val="-1"/>
        </w:rPr>
        <w:t xml:space="preserve"> </w:t>
      </w:r>
      <w:r>
        <w:t>24</w:t>
      </w:r>
      <w:r>
        <w:rPr>
          <w:spacing w:val="-1"/>
        </w:rPr>
        <w:t xml:space="preserve"> </w:t>
      </w:r>
      <w:r>
        <w:t>reading</w:t>
      </w:r>
      <w:r>
        <w:rPr>
          <w:spacing w:val="-1"/>
        </w:rPr>
        <w:t xml:space="preserve"> </w:t>
      </w:r>
      <w:r>
        <w:t>forms</w:t>
      </w:r>
      <w:r>
        <w:rPr>
          <w:spacing w:val="-1"/>
        </w:rPr>
        <w:t xml:space="preserve"> </w:t>
      </w:r>
      <w:r>
        <w:t>for</w:t>
      </w:r>
      <w:r>
        <w:rPr>
          <w:spacing w:val="-1"/>
        </w:rPr>
        <w:t xml:space="preserve"> </w:t>
      </w:r>
      <w:r>
        <w:t>grade</w:t>
      </w:r>
      <w:r>
        <w:rPr>
          <w:spacing w:val="-1"/>
        </w:rPr>
        <w:t xml:space="preserve"> </w:t>
      </w:r>
      <w:r>
        <w:t>4,</w:t>
      </w:r>
      <w:r>
        <w:rPr>
          <w:spacing w:val="-1"/>
        </w:rPr>
        <w:t xml:space="preserve"> </w:t>
      </w:r>
      <w:r>
        <w:t>and</w:t>
      </w:r>
      <w:r>
        <w:rPr>
          <w:spacing w:val="-1"/>
        </w:rPr>
        <w:t xml:space="preserve"> </w:t>
      </w:r>
      <w:r>
        <w:t>a</w:t>
      </w:r>
      <w:r>
        <w:rPr>
          <w:spacing w:val="-1"/>
        </w:rPr>
        <w:t xml:space="preserve"> </w:t>
      </w:r>
      <w:r>
        <w:t>ratio</w:t>
      </w:r>
      <w:r>
        <w:rPr>
          <w:spacing w:val="-1"/>
        </w:rPr>
        <w:t xml:space="preserve"> </w:t>
      </w:r>
      <w:r>
        <w:t>of</w:t>
      </w:r>
      <w:r>
        <w:rPr>
          <w:spacing w:val="-1"/>
        </w:rPr>
        <w:t xml:space="preserve"> </w:t>
      </w:r>
      <w:r>
        <w:t>25</w:t>
      </w:r>
      <w:r>
        <w:rPr>
          <w:spacing w:val="-1"/>
        </w:rPr>
        <w:t xml:space="preserve"> </w:t>
      </w:r>
      <w:r>
        <w:t>mathematics</w:t>
      </w:r>
      <w:r>
        <w:rPr>
          <w:spacing w:val="-1"/>
        </w:rPr>
        <w:t xml:space="preserve"> </w:t>
      </w:r>
      <w:r>
        <w:t>forms</w:t>
      </w:r>
      <w:r>
        <w:rPr>
          <w:spacing w:val="-1"/>
        </w:rPr>
        <w:t xml:space="preserve"> </w:t>
      </w:r>
      <w:r>
        <w:t>to</w:t>
      </w:r>
      <w:r>
        <w:rPr>
          <w:spacing w:val="-1"/>
        </w:rPr>
        <w:t xml:space="preserve"> </w:t>
      </w:r>
      <w:r>
        <w:t>25</w:t>
      </w:r>
      <w:r>
        <w:rPr>
          <w:spacing w:val="-1"/>
        </w:rPr>
        <w:t xml:space="preserve"> </w:t>
      </w:r>
      <w:r>
        <w:t>reading</w:t>
      </w:r>
      <w:r>
        <w:rPr>
          <w:spacing w:val="-1"/>
        </w:rPr>
        <w:t xml:space="preserve"> </w:t>
      </w:r>
      <w:r>
        <w:t>forms</w:t>
      </w:r>
      <w:r>
        <w:rPr>
          <w:spacing w:val="-1"/>
        </w:rPr>
        <w:t xml:space="preserve"> </w:t>
      </w:r>
      <w:r>
        <w:t>for grade 8. Students receiving a mathematics form were in the mathematics assessment, and students receiving a reading form were in the reading assessment.</w:t>
      </w:r>
    </w:p>
    <w:p w:rsidR="003F5784" w14:paraId="14ED3F7C" w14:textId="77777777">
      <w:pPr>
        <w:pStyle w:val="BodyText"/>
      </w:pPr>
    </w:p>
    <w:p w:rsidR="003F5784" w14:paraId="6CA930EA" w14:textId="77777777">
      <w:pPr>
        <w:pStyle w:val="BodyText"/>
      </w:pPr>
    </w:p>
    <w:p w:rsidR="003F5784" w14:paraId="31C67C0B" w14:textId="77777777">
      <w:pPr>
        <w:pStyle w:val="BodyText"/>
      </w:pPr>
    </w:p>
    <w:p w:rsidR="003F5784" w14:paraId="26916F5D" w14:textId="77777777">
      <w:pPr>
        <w:pStyle w:val="BodyText"/>
      </w:pPr>
    </w:p>
    <w:p w:rsidR="003F5784" w14:paraId="346A138F" w14:textId="77777777">
      <w:pPr>
        <w:pStyle w:val="BodyText"/>
        <w:spacing w:before="132"/>
      </w:pPr>
    </w:p>
    <w:p w:rsidR="003F5784" w14:paraId="647D2772" w14:textId="77777777">
      <w:pPr>
        <w:spacing w:before="1"/>
        <w:ind w:right="113"/>
        <w:jc w:val="right"/>
        <w:rPr>
          <w:sz w:val="18"/>
        </w:rPr>
      </w:pPr>
      <w:hyperlink r:id="rId109">
        <w:r>
          <w:rPr>
            <w:spacing w:val="-2"/>
            <w:w w:val="105"/>
            <w:sz w:val="18"/>
          </w:rPr>
          <w:t>http://nces.ed.gov/nationsreportcard/tdw/sample_design/2022/student_sample_selection_for_the_2022_fourth_and_eighth_grade_private_school_national_assessment.aspx</w:t>
        </w:r>
      </w:hyperlink>
    </w:p>
    <w:p w:rsidR="003F5784" w14:paraId="305F19BB" w14:textId="77777777">
      <w:pPr>
        <w:pStyle w:val="BodyText"/>
        <w:rPr>
          <w:sz w:val="16"/>
        </w:rPr>
      </w:pPr>
      <w:r>
        <w:rPr>
          <w:noProof/>
        </w:rPr>
        <mc:AlternateContent>
          <mc:Choice Requires="wps">
            <w:drawing>
              <wp:anchor distT="0" distB="0" distL="0" distR="0" simplePos="0" relativeHeight="251821056" behindDoc="1" locked="0" layoutInCell="1" allowOverlap="1">
                <wp:simplePos x="0" y="0"/>
                <wp:positionH relativeFrom="page">
                  <wp:posOffset>361937</wp:posOffset>
                </wp:positionH>
                <wp:positionV relativeFrom="paragraph">
                  <wp:posOffset>132419</wp:posOffset>
                </wp:positionV>
                <wp:extent cx="9339580" cy="8890"/>
                <wp:effectExtent l="0" t="0" r="0" b="0"/>
                <wp:wrapTopAndBottom/>
                <wp:docPr id="128" name="Graphic 12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80"/>
                              </a:lnTo>
                              <a:lnTo>
                                <a:pt x="9335110" y="8293"/>
                              </a:lnTo>
                              <a:lnTo>
                                <a:pt x="9338970" y="8293"/>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28" o:spid="_x0000_s1081" style="width:735.4pt;height:0.7pt;margin-top:10.45pt;margin-left:28.5pt;mso-position-horizontal-relative:page;mso-wrap-distance-bottom:0;mso-wrap-distance-left:0;mso-wrap-distance-right:0;mso-wrap-distance-top:0;mso-wrap-style:square;position:absolute;visibility:visible;v-text-anchor:top;z-index:-251494400" coordsize="9339580,8890" path="m9338970,12l9335110,12l8280,12,,,,8280l9335110,8293l9338970,8293l9338970,12xe" fillcolor="gray" stroked="f">
                <v:path arrowok="t"/>
                <w10:wrap type="topAndBottom"/>
              </v:shape>
            </w:pict>
          </mc:Fallback>
        </mc:AlternateContent>
      </w:r>
    </w:p>
    <w:p w:rsidR="003F5784" w14:paraId="4B6AE231" w14:textId="77777777">
      <w:pPr>
        <w:pStyle w:val="BodyText"/>
        <w:rPr>
          <w:sz w:val="18"/>
        </w:rPr>
      </w:pPr>
    </w:p>
    <w:p w:rsidR="003F5784" w14:paraId="5E7441AC" w14:textId="77777777">
      <w:pPr>
        <w:pStyle w:val="BodyText"/>
        <w:spacing w:before="193"/>
        <w:rPr>
          <w:sz w:val="18"/>
        </w:rPr>
      </w:pPr>
    </w:p>
    <w:p w:rsidR="003F5784" w14:paraId="2D085574" w14:textId="21558BD0">
      <w:pPr>
        <w:pStyle w:val="Heading1"/>
        <w:spacing w:line="244" w:lineRule="auto"/>
        <w:ind w:right="671"/>
      </w:pPr>
      <w:r>
        <w:t>NAEP Technical Documentation</w:t>
      </w:r>
      <w:r w:rsidR="00D02924">
        <w:t xml:space="preserve"> </w:t>
      </w:r>
      <w:r>
        <w:t>Substitute Schools for the 2022 Fourth- and Eighth-Grade</w:t>
      </w:r>
      <w:r>
        <w:rPr>
          <w:spacing w:val="26"/>
        </w:rPr>
        <w:t xml:space="preserve"> </w:t>
      </w:r>
      <w:r>
        <w:t>Private</w:t>
      </w:r>
      <w:r>
        <w:rPr>
          <w:spacing w:val="26"/>
        </w:rPr>
        <w:t xml:space="preserve"> </w:t>
      </w:r>
      <w:r>
        <w:t>School</w:t>
      </w:r>
      <w:r>
        <w:rPr>
          <w:spacing w:val="26"/>
        </w:rPr>
        <w:t xml:space="preserve"> </w:t>
      </w:r>
      <w:r>
        <w:t>National</w:t>
      </w:r>
      <w:r>
        <w:rPr>
          <w:spacing w:val="-3"/>
        </w:rPr>
        <w:t xml:space="preserve"> </w:t>
      </w:r>
      <w:r>
        <w:t>Assessment</w:t>
      </w:r>
      <w:r>
        <w:rPr>
          <w:spacing w:val="26"/>
        </w:rPr>
        <w:t xml:space="preserve"> </w:t>
      </w:r>
      <w:r>
        <w:t>in</w:t>
      </w:r>
      <w:r>
        <w:rPr>
          <w:spacing w:val="26"/>
        </w:rPr>
        <w:t xml:space="preserve"> </w:t>
      </w:r>
      <w:r>
        <w:t>Mathematics</w:t>
      </w:r>
      <w:r>
        <w:rPr>
          <w:spacing w:val="26"/>
        </w:rPr>
        <w:t xml:space="preserve"> </w:t>
      </w:r>
      <w:r>
        <w:t>and</w:t>
      </w:r>
      <w:r>
        <w:rPr>
          <w:spacing w:val="26"/>
        </w:rPr>
        <w:t xml:space="preserve"> </w:t>
      </w:r>
      <w:r>
        <w:t>Reading</w:t>
      </w:r>
    </w:p>
    <w:p w:rsidR="003F5784" w14:paraId="33C3012F" w14:textId="77777777">
      <w:pPr>
        <w:pStyle w:val="BodyText"/>
        <w:spacing w:before="287" w:line="232" w:lineRule="auto"/>
        <w:ind w:left="109" w:right="318"/>
      </w:pPr>
      <w:r>
        <w:t>Though</w:t>
      </w:r>
      <w:r>
        <w:rPr>
          <w:spacing w:val="-6"/>
        </w:rPr>
        <w:t xml:space="preserve"> </w:t>
      </w:r>
      <w:r>
        <w:t>efforts</w:t>
      </w:r>
      <w:r>
        <w:rPr>
          <w:spacing w:val="-6"/>
        </w:rPr>
        <w:t xml:space="preserve"> </w:t>
      </w:r>
      <w:r>
        <w:t>were</w:t>
      </w:r>
      <w:r>
        <w:rPr>
          <w:spacing w:val="-6"/>
        </w:rPr>
        <w:t xml:space="preserve"> </w:t>
      </w:r>
      <w:r>
        <w:t>made</w:t>
      </w:r>
      <w:r>
        <w:rPr>
          <w:spacing w:val="-6"/>
        </w:rPr>
        <w:t xml:space="preserve"> </w:t>
      </w:r>
      <w:r>
        <w:t>to</w:t>
      </w:r>
      <w:r>
        <w:rPr>
          <w:spacing w:val="-6"/>
        </w:rPr>
        <w:t xml:space="preserve"> </w:t>
      </w:r>
      <w:r>
        <w:t>secure</w:t>
      </w:r>
      <w:r>
        <w:rPr>
          <w:spacing w:val="-6"/>
        </w:rPr>
        <w:t xml:space="preserve"> </w:t>
      </w:r>
      <w:r>
        <w:t>the</w:t>
      </w:r>
      <w:r>
        <w:rPr>
          <w:spacing w:val="-6"/>
        </w:rPr>
        <w:t xml:space="preserve"> </w:t>
      </w:r>
      <w:r>
        <w:t>participation</w:t>
      </w:r>
      <w:r>
        <w:rPr>
          <w:spacing w:val="-6"/>
        </w:rPr>
        <w:t xml:space="preserve"> </w:t>
      </w:r>
      <w:r>
        <w:t>of</w:t>
      </w:r>
      <w:r>
        <w:rPr>
          <w:spacing w:val="-6"/>
        </w:rPr>
        <w:t xml:space="preserve"> </w:t>
      </w:r>
      <w:r>
        <w:t>all</w:t>
      </w:r>
      <w:r>
        <w:rPr>
          <w:spacing w:val="-6"/>
        </w:rPr>
        <w:t xml:space="preserve"> </w:t>
      </w:r>
      <w:r>
        <w:t>schools</w:t>
      </w:r>
      <w:r>
        <w:rPr>
          <w:spacing w:val="-6"/>
        </w:rPr>
        <w:t xml:space="preserve"> </w:t>
      </w:r>
      <w:r>
        <w:t>selected,</w:t>
      </w:r>
      <w:r>
        <w:rPr>
          <w:spacing w:val="-6"/>
        </w:rPr>
        <w:t xml:space="preserve"> </w:t>
      </w:r>
      <w:r>
        <w:t>it</w:t>
      </w:r>
      <w:r>
        <w:rPr>
          <w:spacing w:val="-6"/>
        </w:rPr>
        <w:t xml:space="preserve"> </w:t>
      </w:r>
      <w:r>
        <w:t>was</w:t>
      </w:r>
      <w:r>
        <w:rPr>
          <w:spacing w:val="-6"/>
        </w:rPr>
        <w:t xml:space="preserve"> </w:t>
      </w:r>
      <w:r>
        <w:t>anticipated</w:t>
      </w:r>
      <w:r>
        <w:rPr>
          <w:spacing w:val="-6"/>
        </w:rPr>
        <w:t xml:space="preserve"> </w:t>
      </w:r>
      <w:r>
        <w:t>that</w:t>
      </w:r>
      <w:r>
        <w:rPr>
          <w:spacing w:val="-6"/>
        </w:rPr>
        <w:t xml:space="preserve"> </w:t>
      </w:r>
      <w:r>
        <w:t>not</w:t>
      </w:r>
      <w:r>
        <w:rPr>
          <w:spacing w:val="-6"/>
        </w:rPr>
        <w:t xml:space="preserve"> </w:t>
      </w:r>
      <w:r>
        <w:t>all</w:t>
      </w:r>
      <w:r>
        <w:rPr>
          <w:spacing w:val="-6"/>
        </w:rPr>
        <w:t xml:space="preserve"> </w:t>
      </w:r>
      <w:r>
        <w:t>schools</w:t>
      </w:r>
      <w:r>
        <w:rPr>
          <w:spacing w:val="-6"/>
        </w:rPr>
        <w:t xml:space="preserve"> </w:t>
      </w:r>
      <w:r>
        <w:t>would</w:t>
      </w:r>
      <w:r>
        <w:rPr>
          <w:spacing w:val="-6"/>
        </w:rPr>
        <w:t xml:space="preserve"> </w:t>
      </w:r>
      <w:r>
        <w:t>choose</w:t>
      </w:r>
      <w:r>
        <w:rPr>
          <w:spacing w:val="-6"/>
        </w:rPr>
        <w:t xml:space="preserve"> </w:t>
      </w:r>
      <w:r>
        <w:t>to</w:t>
      </w:r>
      <w:r>
        <w:rPr>
          <w:spacing w:val="-6"/>
        </w:rPr>
        <w:t xml:space="preserve"> </w:t>
      </w:r>
      <w:r>
        <w:t>participate.</w:t>
      </w:r>
      <w:r>
        <w:rPr>
          <w:spacing w:val="-6"/>
        </w:rPr>
        <w:t xml:space="preserve"> </w:t>
      </w:r>
      <w:r>
        <w:t>NAEP</w:t>
      </w:r>
      <w:r>
        <w:rPr>
          <w:spacing w:val="-13"/>
        </w:rPr>
        <w:t xml:space="preserve"> </w:t>
      </w:r>
      <w:r>
        <w:t>uses</w:t>
      </w:r>
      <w:r>
        <w:rPr>
          <w:spacing w:val="-6"/>
        </w:rPr>
        <w:t xml:space="preserve"> </w:t>
      </w:r>
      <w:r>
        <w:t>school</w:t>
      </w:r>
      <w:r>
        <w:rPr>
          <w:spacing w:val="-6"/>
        </w:rPr>
        <w:t xml:space="preserve"> </w:t>
      </w:r>
      <w:r>
        <w:t>substitution to mitigate the effect of bias due to nonresponse.</w:t>
      </w:r>
      <w:r>
        <w:rPr>
          <w:spacing w:val="-10"/>
        </w:rPr>
        <w:t xml:space="preserve"> </w:t>
      </w:r>
      <w:r>
        <w:t>A</w:t>
      </w:r>
      <w:r>
        <w:rPr>
          <w:spacing w:val="-10"/>
        </w:rPr>
        <w:t xml:space="preserve"> </w:t>
      </w:r>
      <w:r>
        <w:t>nonparticipating sampled school is replaced by its substitute when the original school is considered a final refusal.</w:t>
      </w:r>
    </w:p>
    <w:p w:rsidR="003F5784" w14:paraId="5B112AD6" w14:textId="77777777">
      <w:pPr>
        <w:pStyle w:val="BodyText"/>
        <w:spacing w:before="209" w:line="232" w:lineRule="auto"/>
        <w:ind w:left="109" w:right="179"/>
      </w:pPr>
      <w:r>
        <w:t>For</w:t>
      </w:r>
      <w:r>
        <w:rPr>
          <w:spacing w:val="-7"/>
        </w:rPr>
        <w:t xml:space="preserve"> </w:t>
      </w:r>
      <w:r>
        <w:t>the</w:t>
      </w:r>
      <w:r>
        <w:rPr>
          <w:spacing w:val="-7"/>
        </w:rPr>
        <w:t xml:space="preserve"> </w:t>
      </w:r>
      <w:r>
        <w:t>fourth-</w:t>
      </w:r>
      <w:r>
        <w:rPr>
          <w:spacing w:val="-7"/>
        </w:rPr>
        <w:t xml:space="preserve"> </w:t>
      </w:r>
      <w:r>
        <w:t>and</w:t>
      </w:r>
      <w:r>
        <w:rPr>
          <w:spacing w:val="-7"/>
        </w:rPr>
        <w:t xml:space="preserve"> </w:t>
      </w:r>
      <w:r>
        <w:t>eighth-grade</w:t>
      </w:r>
      <w:r>
        <w:rPr>
          <w:spacing w:val="-7"/>
        </w:rPr>
        <w:t xml:space="preserve"> </w:t>
      </w:r>
      <w:r>
        <w:t>private</w:t>
      </w:r>
      <w:r>
        <w:rPr>
          <w:spacing w:val="-7"/>
        </w:rPr>
        <w:t xml:space="preserve"> </w:t>
      </w:r>
      <w:r>
        <w:t>school</w:t>
      </w:r>
      <w:r>
        <w:rPr>
          <w:spacing w:val="-7"/>
        </w:rPr>
        <w:t xml:space="preserve"> </w:t>
      </w:r>
      <w:r>
        <w:t>mathematics</w:t>
      </w:r>
      <w:r>
        <w:rPr>
          <w:spacing w:val="-7"/>
        </w:rPr>
        <w:t xml:space="preserve"> </w:t>
      </w:r>
      <w:r>
        <w:t>and</w:t>
      </w:r>
      <w:r>
        <w:rPr>
          <w:spacing w:val="-7"/>
        </w:rPr>
        <w:t xml:space="preserve"> </w:t>
      </w:r>
      <w:r>
        <w:t>reading</w:t>
      </w:r>
      <w:r>
        <w:rPr>
          <w:spacing w:val="-7"/>
        </w:rPr>
        <w:t xml:space="preserve"> </w:t>
      </w:r>
      <w:r>
        <w:t>samples,</w:t>
      </w:r>
      <w:r>
        <w:rPr>
          <w:spacing w:val="-7"/>
        </w:rPr>
        <w:t xml:space="preserve"> </w:t>
      </w:r>
      <w:r>
        <w:t>substitute</w:t>
      </w:r>
      <w:r>
        <w:rPr>
          <w:spacing w:val="-7"/>
        </w:rPr>
        <w:t xml:space="preserve"> </w:t>
      </w:r>
      <w:r>
        <w:t>schools</w:t>
      </w:r>
      <w:r>
        <w:rPr>
          <w:spacing w:val="-7"/>
        </w:rPr>
        <w:t xml:space="preserve"> </w:t>
      </w:r>
      <w:r>
        <w:t>were</w:t>
      </w:r>
      <w:r>
        <w:rPr>
          <w:spacing w:val="-7"/>
        </w:rPr>
        <w:t xml:space="preserve"> </w:t>
      </w:r>
      <w:r>
        <w:t>preselected</w:t>
      </w:r>
      <w:r>
        <w:rPr>
          <w:spacing w:val="-7"/>
        </w:rPr>
        <w:t xml:space="preserve"> </w:t>
      </w:r>
      <w:r>
        <w:t>for</w:t>
      </w:r>
      <w:r>
        <w:rPr>
          <w:spacing w:val="-7"/>
        </w:rPr>
        <w:t xml:space="preserve"> </w:t>
      </w:r>
      <w:r>
        <w:t>all</w:t>
      </w:r>
      <w:r>
        <w:rPr>
          <w:spacing w:val="-7"/>
        </w:rPr>
        <w:t xml:space="preserve"> </w:t>
      </w:r>
      <w:r>
        <w:t>sampled</w:t>
      </w:r>
      <w:r>
        <w:rPr>
          <w:spacing w:val="-7"/>
        </w:rPr>
        <w:t xml:space="preserve"> </w:t>
      </w:r>
      <w:r>
        <w:t>schools</w:t>
      </w:r>
      <w:r>
        <w:rPr>
          <w:spacing w:val="-7"/>
        </w:rPr>
        <w:t xml:space="preserve"> </w:t>
      </w:r>
      <w:r>
        <w:t>with</w:t>
      </w:r>
      <w:r>
        <w:rPr>
          <w:spacing w:val="-7"/>
        </w:rPr>
        <w:t xml:space="preserve"> </w:t>
      </w:r>
      <w:r>
        <w:t>known</w:t>
      </w:r>
      <w:r>
        <w:rPr>
          <w:spacing w:val="-7"/>
        </w:rPr>
        <w:t xml:space="preserve"> </w:t>
      </w:r>
      <w:r>
        <w:t>affiliation</w:t>
      </w:r>
      <w:r>
        <w:rPr>
          <w:spacing w:val="-7"/>
        </w:rPr>
        <w:t xml:space="preserve"> </w:t>
      </w:r>
      <w:r>
        <w:t>from</w:t>
      </w:r>
      <w:r>
        <w:rPr>
          <w:spacing w:val="-7"/>
        </w:rPr>
        <w:t xml:space="preserve"> </w:t>
      </w:r>
      <w:r>
        <w:t xml:space="preserve">the Private School Universe Survey (PSS)-based sampling frames by sorting the school frame files according to the actual order used in sample selection (the </w:t>
      </w:r>
      <w:r>
        <w:rPr>
          <w:color w:val="0066CC"/>
        </w:rPr>
        <w:t>implicit stratification</w:t>
      </w:r>
      <w:r>
        <w:t>). Sampled schools with unknown affiliation were not assigned substitutes.</w:t>
      </w:r>
    </w:p>
    <w:p w:rsidR="003F5784" w14:paraId="3CA52783" w14:textId="77777777">
      <w:pPr>
        <w:pStyle w:val="BodyText"/>
        <w:spacing w:before="210" w:line="232" w:lineRule="auto"/>
        <w:ind w:left="109" w:right="179"/>
      </w:pPr>
      <w:r>
        <w:t>Schools</w:t>
      </w:r>
      <w:r>
        <w:rPr>
          <w:spacing w:val="-6"/>
        </w:rPr>
        <w:t xml:space="preserve"> </w:t>
      </w:r>
      <w:r>
        <w:t>were</w:t>
      </w:r>
      <w:r>
        <w:rPr>
          <w:spacing w:val="-6"/>
        </w:rPr>
        <w:t xml:space="preserve"> </w:t>
      </w:r>
      <w:r>
        <w:t>disqualified</w:t>
      </w:r>
      <w:r>
        <w:rPr>
          <w:spacing w:val="-6"/>
        </w:rPr>
        <w:t xml:space="preserve"> </w:t>
      </w:r>
      <w:r>
        <w:t>as</w:t>
      </w:r>
      <w:r>
        <w:rPr>
          <w:spacing w:val="-6"/>
        </w:rPr>
        <w:t xml:space="preserve"> </w:t>
      </w:r>
      <w:r>
        <w:t>potential</w:t>
      </w:r>
      <w:r>
        <w:rPr>
          <w:spacing w:val="-6"/>
        </w:rPr>
        <w:t xml:space="preserve"> </w:t>
      </w:r>
      <w:r>
        <w:t>substitutes</w:t>
      </w:r>
      <w:r>
        <w:rPr>
          <w:spacing w:val="-6"/>
        </w:rPr>
        <w:t xml:space="preserve"> </w:t>
      </w:r>
      <w:r>
        <w:t>if</w:t>
      </w:r>
      <w:r>
        <w:rPr>
          <w:spacing w:val="-6"/>
        </w:rPr>
        <w:t xml:space="preserve"> </w:t>
      </w:r>
      <w:r>
        <w:t>they</w:t>
      </w:r>
      <w:r>
        <w:rPr>
          <w:spacing w:val="-6"/>
        </w:rPr>
        <w:t xml:space="preserve"> </w:t>
      </w:r>
      <w:r>
        <w:t>were</w:t>
      </w:r>
      <w:r>
        <w:rPr>
          <w:spacing w:val="-6"/>
        </w:rPr>
        <w:t xml:space="preserve"> </w:t>
      </w:r>
      <w:r>
        <w:t>already</w:t>
      </w:r>
      <w:r>
        <w:rPr>
          <w:spacing w:val="-6"/>
        </w:rPr>
        <w:t xml:space="preserve"> </w:t>
      </w:r>
      <w:r>
        <w:t>selected</w:t>
      </w:r>
      <w:r>
        <w:rPr>
          <w:spacing w:val="-6"/>
        </w:rPr>
        <w:t xml:space="preserve"> </w:t>
      </w:r>
      <w:r>
        <w:t>in</w:t>
      </w:r>
      <w:r>
        <w:rPr>
          <w:spacing w:val="-6"/>
        </w:rPr>
        <w:t xml:space="preserve"> </w:t>
      </w:r>
      <w:r>
        <w:t>the</w:t>
      </w:r>
      <w:r>
        <w:rPr>
          <w:spacing w:val="-6"/>
        </w:rPr>
        <w:t xml:space="preserve"> </w:t>
      </w:r>
      <w:r>
        <w:t>private</w:t>
      </w:r>
      <w:r>
        <w:rPr>
          <w:spacing w:val="-6"/>
        </w:rPr>
        <w:t xml:space="preserve"> </w:t>
      </w:r>
      <w:r>
        <w:t>school</w:t>
      </w:r>
      <w:r>
        <w:rPr>
          <w:spacing w:val="-6"/>
        </w:rPr>
        <w:t xml:space="preserve"> </w:t>
      </w:r>
      <w:r>
        <w:t>sample</w:t>
      </w:r>
      <w:r>
        <w:rPr>
          <w:spacing w:val="-6"/>
        </w:rPr>
        <w:t xml:space="preserve"> </w:t>
      </w:r>
      <w:r>
        <w:t>or</w:t>
      </w:r>
      <w:r>
        <w:rPr>
          <w:spacing w:val="-6"/>
        </w:rPr>
        <w:t xml:space="preserve"> </w:t>
      </w:r>
      <w:r>
        <w:t>assigned</w:t>
      </w:r>
      <w:r>
        <w:rPr>
          <w:spacing w:val="-6"/>
        </w:rPr>
        <w:t xml:space="preserve"> </w:t>
      </w:r>
      <w:r>
        <w:t>as</w:t>
      </w:r>
      <w:r>
        <w:rPr>
          <w:spacing w:val="-6"/>
        </w:rPr>
        <w:t xml:space="preserve"> </w:t>
      </w:r>
      <w:r>
        <w:t>a</w:t>
      </w:r>
      <w:r>
        <w:rPr>
          <w:spacing w:val="-6"/>
        </w:rPr>
        <w:t xml:space="preserve"> </w:t>
      </w:r>
      <w:r>
        <w:t>substitute</w:t>
      </w:r>
      <w:r>
        <w:rPr>
          <w:spacing w:val="-6"/>
        </w:rPr>
        <w:t xml:space="preserve"> </w:t>
      </w:r>
      <w:r>
        <w:t>for</w:t>
      </w:r>
      <w:r>
        <w:rPr>
          <w:spacing w:val="-6"/>
        </w:rPr>
        <w:t xml:space="preserve"> </w:t>
      </w:r>
      <w:r>
        <w:t>another</w:t>
      </w:r>
      <w:r>
        <w:rPr>
          <w:spacing w:val="-6"/>
        </w:rPr>
        <w:t xml:space="preserve"> </w:t>
      </w:r>
      <w:r>
        <w:t>private</w:t>
      </w:r>
      <w:r>
        <w:rPr>
          <w:spacing w:val="-6"/>
        </w:rPr>
        <w:t xml:space="preserve"> </w:t>
      </w:r>
      <w:r>
        <w:t>school</w:t>
      </w:r>
      <w:r>
        <w:rPr>
          <w:spacing w:val="-6"/>
        </w:rPr>
        <w:t xml:space="preserve"> </w:t>
      </w:r>
      <w:r>
        <w:t>(earlier</w:t>
      </w:r>
      <w:r>
        <w:rPr>
          <w:spacing w:val="-6"/>
        </w:rPr>
        <w:t xml:space="preserve"> </w:t>
      </w:r>
      <w:r>
        <w:t>in</w:t>
      </w:r>
      <w:r>
        <w:rPr>
          <w:spacing w:val="-6"/>
        </w:rPr>
        <w:t xml:space="preserve"> </w:t>
      </w:r>
      <w:r>
        <w:t>the sort ordering).</w:t>
      </w:r>
    </w:p>
    <w:p w:rsidR="003F5784" w14:paraId="26E9A947" w14:textId="77777777">
      <w:pPr>
        <w:pStyle w:val="BodyText"/>
        <w:spacing w:before="209" w:line="232" w:lineRule="auto"/>
        <w:ind w:left="109"/>
      </w:pPr>
      <w:r>
        <w:t>The two candidates for substitutes were then the two nearest neighbors of the originally sampled school in the frame sort order.</w:t>
      </w:r>
      <w:r>
        <w:rPr>
          <w:spacing w:val="-4"/>
        </w:rPr>
        <w:t xml:space="preserve"> </w:t>
      </w:r>
      <w:r>
        <w:t>To be eligible as a potential substitute, the neighbor</w:t>
      </w:r>
      <w:r>
        <w:rPr>
          <w:spacing w:val="-6"/>
        </w:rPr>
        <w:t xml:space="preserve"> </w:t>
      </w:r>
      <w:r>
        <w:t>needed</w:t>
      </w:r>
      <w:r>
        <w:rPr>
          <w:spacing w:val="-6"/>
        </w:rPr>
        <w:t xml:space="preserve"> </w:t>
      </w:r>
      <w:r>
        <w:t>to</w:t>
      </w:r>
      <w:r>
        <w:rPr>
          <w:spacing w:val="-6"/>
        </w:rPr>
        <w:t xml:space="preserve"> </w:t>
      </w:r>
      <w:r>
        <w:t>be</w:t>
      </w:r>
      <w:r>
        <w:rPr>
          <w:spacing w:val="-6"/>
        </w:rPr>
        <w:t xml:space="preserve"> </w:t>
      </w:r>
      <w:r>
        <w:t>a</w:t>
      </w:r>
      <w:r>
        <w:rPr>
          <w:spacing w:val="-6"/>
        </w:rPr>
        <w:t xml:space="preserve"> </w:t>
      </w:r>
      <w:r>
        <w:t>nonsampled</w:t>
      </w:r>
      <w:r>
        <w:rPr>
          <w:spacing w:val="-6"/>
        </w:rPr>
        <w:t xml:space="preserve"> </w:t>
      </w:r>
      <w:r>
        <w:t>school</w:t>
      </w:r>
      <w:r>
        <w:rPr>
          <w:spacing w:val="-6"/>
        </w:rPr>
        <w:t xml:space="preserve"> </w:t>
      </w:r>
      <w:r>
        <w:t>(for</w:t>
      </w:r>
      <w:r>
        <w:rPr>
          <w:spacing w:val="-6"/>
        </w:rPr>
        <w:t xml:space="preserve"> </w:t>
      </w:r>
      <w:r>
        <w:t>any</w:t>
      </w:r>
      <w:r>
        <w:rPr>
          <w:spacing w:val="-6"/>
        </w:rPr>
        <w:t xml:space="preserve"> </w:t>
      </w:r>
      <w:r>
        <w:t>grade),</w:t>
      </w:r>
      <w:r>
        <w:rPr>
          <w:spacing w:val="-6"/>
        </w:rPr>
        <w:t xml:space="preserve"> </w:t>
      </w:r>
      <w:r>
        <w:t>and</w:t>
      </w:r>
      <w:r>
        <w:rPr>
          <w:spacing w:val="-6"/>
        </w:rPr>
        <w:t xml:space="preserve"> </w:t>
      </w:r>
      <w:r>
        <w:t>within</w:t>
      </w:r>
      <w:r>
        <w:rPr>
          <w:spacing w:val="-6"/>
        </w:rPr>
        <w:t xml:space="preserve"> </w:t>
      </w:r>
      <w:r>
        <w:t>the</w:t>
      </w:r>
      <w:r>
        <w:rPr>
          <w:spacing w:val="-6"/>
        </w:rPr>
        <w:t xml:space="preserve"> </w:t>
      </w:r>
      <w:r>
        <w:t>same</w:t>
      </w:r>
      <w:r>
        <w:rPr>
          <w:spacing w:val="-6"/>
        </w:rPr>
        <w:t xml:space="preserve"> </w:t>
      </w:r>
      <w:r>
        <w:t>explicit</w:t>
      </w:r>
      <w:r>
        <w:rPr>
          <w:spacing w:val="-6"/>
        </w:rPr>
        <w:t xml:space="preserve"> </w:t>
      </w:r>
      <w:r>
        <w:t>sampling</w:t>
      </w:r>
      <w:r>
        <w:rPr>
          <w:spacing w:val="-6"/>
        </w:rPr>
        <w:t xml:space="preserve"> </w:t>
      </w:r>
      <w:r>
        <w:t>stratum</w:t>
      </w:r>
      <w:r>
        <w:rPr>
          <w:spacing w:val="-6"/>
        </w:rPr>
        <w:t xml:space="preserve"> </w:t>
      </w:r>
      <w:r>
        <w:t>and</w:t>
      </w:r>
      <w:r>
        <w:rPr>
          <w:spacing w:val="-6"/>
        </w:rPr>
        <w:t xml:space="preserve"> </w:t>
      </w:r>
      <w:r>
        <w:t>of</w:t>
      </w:r>
      <w:r>
        <w:rPr>
          <w:spacing w:val="-6"/>
        </w:rPr>
        <w:t xml:space="preserve"> </w:t>
      </w:r>
      <w:r>
        <w:t>the</w:t>
      </w:r>
      <w:r>
        <w:rPr>
          <w:spacing w:val="-6"/>
        </w:rPr>
        <w:t xml:space="preserve"> </w:t>
      </w:r>
      <w:r>
        <w:t>same</w:t>
      </w:r>
      <w:r>
        <w:rPr>
          <w:spacing w:val="-6"/>
        </w:rPr>
        <w:t xml:space="preserve"> </w:t>
      </w:r>
      <w:r>
        <w:t>affiliation</w:t>
      </w:r>
      <w:r>
        <w:rPr>
          <w:spacing w:val="-6"/>
        </w:rPr>
        <w:t xml:space="preserve"> </w:t>
      </w:r>
      <w:r>
        <w:t>as</w:t>
      </w:r>
      <w:r>
        <w:rPr>
          <w:spacing w:val="-6"/>
        </w:rPr>
        <w:t xml:space="preserve"> </w:t>
      </w:r>
      <w:r>
        <w:t>the</w:t>
      </w:r>
      <w:r>
        <w:rPr>
          <w:spacing w:val="-6"/>
        </w:rPr>
        <w:t xml:space="preserve"> </w:t>
      </w:r>
      <w:r>
        <w:t>originally</w:t>
      </w:r>
      <w:r>
        <w:rPr>
          <w:spacing w:val="-6"/>
        </w:rPr>
        <w:t xml:space="preserve"> </w:t>
      </w:r>
      <w:r>
        <w:t>sampled</w:t>
      </w:r>
      <w:r>
        <w:rPr>
          <w:spacing w:val="-6"/>
        </w:rPr>
        <w:t xml:space="preserve"> </w:t>
      </w:r>
      <w:r>
        <w:t>school.</w:t>
      </w:r>
      <w:r>
        <w:rPr>
          <w:spacing w:val="-6"/>
        </w:rPr>
        <w:t xml:space="preserve"> </w:t>
      </w:r>
      <w:r>
        <w:t>If</w:t>
      </w:r>
      <w:r>
        <w:rPr>
          <w:spacing w:val="-6"/>
        </w:rPr>
        <w:t xml:space="preserve"> </w:t>
      </w:r>
      <w:r>
        <w:t>both nearest</w:t>
      </w:r>
      <w:r>
        <w:rPr>
          <w:spacing w:val="-1"/>
        </w:rPr>
        <w:t xml:space="preserve"> </w:t>
      </w:r>
      <w:r>
        <w:t>neighbors</w:t>
      </w:r>
      <w:r>
        <w:rPr>
          <w:spacing w:val="-1"/>
        </w:rPr>
        <w:t xml:space="preserve"> </w:t>
      </w:r>
      <w:r>
        <w:t>were</w:t>
      </w:r>
      <w:r>
        <w:rPr>
          <w:spacing w:val="-1"/>
        </w:rPr>
        <w:t xml:space="preserve"> </w:t>
      </w:r>
      <w:r>
        <w:t>eligible</w:t>
      </w:r>
      <w:r>
        <w:rPr>
          <w:spacing w:val="-1"/>
        </w:rPr>
        <w:t xml:space="preserve"> </w:t>
      </w:r>
      <w:r>
        <w:t>to</w:t>
      </w:r>
      <w:r>
        <w:rPr>
          <w:spacing w:val="-1"/>
        </w:rPr>
        <w:t xml:space="preserve"> </w:t>
      </w:r>
      <w:r>
        <w:t>be</w:t>
      </w:r>
      <w:r>
        <w:rPr>
          <w:spacing w:val="-1"/>
        </w:rPr>
        <w:t xml:space="preserve"> </w:t>
      </w:r>
      <w:r>
        <w:t>substitutes,</w:t>
      </w:r>
      <w:r>
        <w:rPr>
          <w:spacing w:val="-1"/>
        </w:rPr>
        <w:t xml:space="preserve"> </w:t>
      </w:r>
      <w:r>
        <w:t>the</w:t>
      </w:r>
      <w:r>
        <w:rPr>
          <w:spacing w:val="-1"/>
        </w:rPr>
        <w:t xml:space="preserve"> </w:t>
      </w:r>
      <w:r>
        <w:t>one</w:t>
      </w:r>
      <w:r>
        <w:rPr>
          <w:spacing w:val="-1"/>
        </w:rPr>
        <w:t xml:space="preserve"> </w:t>
      </w:r>
      <w:r>
        <w:t>with</w:t>
      </w:r>
      <w:r>
        <w:rPr>
          <w:spacing w:val="-1"/>
        </w:rPr>
        <w:t xml:space="preserve"> </w:t>
      </w:r>
      <w:r>
        <w:t>a</w:t>
      </w:r>
      <w:r>
        <w:rPr>
          <w:spacing w:val="-1"/>
        </w:rPr>
        <w:t xml:space="preserve"> </w:t>
      </w:r>
      <w:r>
        <w:t>closer</w:t>
      </w:r>
      <w:r>
        <w:rPr>
          <w:spacing w:val="-1"/>
        </w:rPr>
        <w:t xml:space="preserve"> </w:t>
      </w:r>
      <w:r>
        <w:t>grade</w:t>
      </w:r>
      <w:r>
        <w:rPr>
          <w:spacing w:val="-1"/>
        </w:rPr>
        <w:t xml:space="preserve"> </w:t>
      </w:r>
      <w:r>
        <w:t>enrollment</w:t>
      </w:r>
      <w:r>
        <w:rPr>
          <w:spacing w:val="-1"/>
        </w:rPr>
        <w:t xml:space="preserve"> </w:t>
      </w:r>
      <w:r>
        <w:t>was</w:t>
      </w:r>
      <w:r>
        <w:rPr>
          <w:spacing w:val="-1"/>
        </w:rPr>
        <w:t xml:space="preserve"> </w:t>
      </w:r>
      <w:r>
        <w:t>chosen.</w:t>
      </w:r>
      <w:r>
        <w:rPr>
          <w:spacing w:val="-1"/>
        </w:rPr>
        <w:t xml:space="preserve"> </w:t>
      </w:r>
      <w:r>
        <w:t>If</w:t>
      </w:r>
      <w:r>
        <w:rPr>
          <w:spacing w:val="-1"/>
        </w:rPr>
        <w:t xml:space="preserve"> </w:t>
      </w:r>
      <w:r>
        <w:t>both</w:t>
      </w:r>
      <w:r>
        <w:rPr>
          <w:spacing w:val="-1"/>
        </w:rPr>
        <w:t xml:space="preserve"> </w:t>
      </w:r>
      <w:r>
        <w:t>nearest</w:t>
      </w:r>
      <w:r>
        <w:rPr>
          <w:spacing w:val="-1"/>
        </w:rPr>
        <w:t xml:space="preserve"> </w:t>
      </w:r>
      <w:r>
        <w:t>neighbors</w:t>
      </w:r>
      <w:r>
        <w:rPr>
          <w:spacing w:val="-1"/>
        </w:rPr>
        <w:t xml:space="preserve"> </w:t>
      </w:r>
      <w:r>
        <w:t>had</w:t>
      </w:r>
      <w:r>
        <w:rPr>
          <w:spacing w:val="-1"/>
        </w:rPr>
        <w:t xml:space="preserve"> </w:t>
      </w:r>
      <w:r>
        <w:t>the</w:t>
      </w:r>
      <w:r>
        <w:rPr>
          <w:spacing w:val="-1"/>
        </w:rPr>
        <w:t xml:space="preserve"> </w:t>
      </w:r>
      <w:r>
        <w:t>same</w:t>
      </w:r>
      <w:r>
        <w:rPr>
          <w:spacing w:val="-1"/>
        </w:rPr>
        <w:t xml:space="preserve"> </w:t>
      </w:r>
      <w:r>
        <w:t>grade</w:t>
      </w:r>
      <w:r>
        <w:rPr>
          <w:spacing w:val="-1"/>
        </w:rPr>
        <w:t xml:space="preserve"> </w:t>
      </w:r>
      <w:r>
        <w:t>enrollment</w:t>
      </w:r>
      <w:r>
        <w:rPr>
          <w:spacing w:val="-1"/>
        </w:rPr>
        <w:t xml:space="preserve"> </w:t>
      </w:r>
      <w:r>
        <w:t>(an</w:t>
      </w:r>
      <w:r>
        <w:rPr>
          <w:spacing w:val="-1"/>
        </w:rPr>
        <w:t xml:space="preserve"> </w:t>
      </w:r>
      <w:r>
        <w:t>uncommon occurrence), one of the two was randomly selected.</w:t>
      </w:r>
    </w:p>
    <w:p w:rsidR="003F5784" w14:paraId="6D0FD6B7" w14:textId="77777777">
      <w:pPr>
        <w:pStyle w:val="BodyText"/>
        <w:spacing w:before="210" w:line="232" w:lineRule="auto"/>
        <w:ind w:left="109" w:right="318"/>
      </w:pPr>
      <w:r>
        <w:t>In</w:t>
      </w:r>
      <w:r>
        <w:rPr>
          <w:spacing w:val="-7"/>
        </w:rPr>
        <w:t xml:space="preserve"> </w:t>
      </w:r>
      <w:r>
        <w:t>the</w:t>
      </w:r>
      <w:r>
        <w:rPr>
          <w:spacing w:val="-7"/>
        </w:rPr>
        <w:t xml:space="preserve"> </w:t>
      </w:r>
      <w:r>
        <w:t>fourth-grade</w:t>
      </w:r>
      <w:r>
        <w:rPr>
          <w:spacing w:val="-7"/>
        </w:rPr>
        <w:t xml:space="preserve"> </w:t>
      </w:r>
      <w:r>
        <w:t>private</w:t>
      </w:r>
      <w:r>
        <w:rPr>
          <w:spacing w:val="-7"/>
        </w:rPr>
        <w:t xml:space="preserve"> </w:t>
      </w:r>
      <w:r>
        <w:t>school</w:t>
      </w:r>
      <w:r>
        <w:rPr>
          <w:spacing w:val="-7"/>
        </w:rPr>
        <w:t xml:space="preserve"> </w:t>
      </w:r>
      <w:r>
        <w:t>mathematics</w:t>
      </w:r>
      <w:r>
        <w:rPr>
          <w:spacing w:val="-7"/>
        </w:rPr>
        <w:t xml:space="preserve"> </w:t>
      </w:r>
      <w:r>
        <w:t>and</w:t>
      </w:r>
      <w:r>
        <w:rPr>
          <w:spacing w:val="-7"/>
        </w:rPr>
        <w:t xml:space="preserve"> </w:t>
      </w:r>
      <w:r>
        <w:t>reading</w:t>
      </w:r>
      <w:r>
        <w:rPr>
          <w:spacing w:val="-7"/>
        </w:rPr>
        <w:t xml:space="preserve"> </w:t>
      </w:r>
      <w:r>
        <w:t>sample,</w:t>
      </w:r>
      <w:r>
        <w:rPr>
          <w:spacing w:val="-7"/>
        </w:rPr>
        <w:t xml:space="preserve"> </w:t>
      </w:r>
      <w:r>
        <w:t>16</w:t>
      </w:r>
      <w:r>
        <w:rPr>
          <w:spacing w:val="-7"/>
        </w:rPr>
        <w:t xml:space="preserve"> </w:t>
      </w:r>
      <w:r>
        <w:t>substitute</w:t>
      </w:r>
      <w:r>
        <w:rPr>
          <w:spacing w:val="-7"/>
        </w:rPr>
        <w:t xml:space="preserve"> </w:t>
      </w:r>
      <w:r>
        <w:t>schools</w:t>
      </w:r>
      <w:r>
        <w:rPr>
          <w:spacing w:val="-7"/>
        </w:rPr>
        <w:t xml:space="preserve"> </w:t>
      </w:r>
      <w:r>
        <w:t>ultimately</w:t>
      </w:r>
      <w:r>
        <w:rPr>
          <w:spacing w:val="-7"/>
        </w:rPr>
        <w:t xml:space="preserve"> </w:t>
      </w:r>
      <w:r>
        <w:t>participated.</w:t>
      </w:r>
      <w:r>
        <w:rPr>
          <w:spacing w:val="-7"/>
        </w:rPr>
        <w:t xml:space="preserve"> </w:t>
      </w:r>
      <w:r>
        <w:t>In</w:t>
      </w:r>
      <w:r>
        <w:rPr>
          <w:spacing w:val="-7"/>
        </w:rPr>
        <w:t xml:space="preserve"> </w:t>
      </w:r>
      <w:r>
        <w:t>the</w:t>
      </w:r>
      <w:r>
        <w:rPr>
          <w:spacing w:val="-7"/>
        </w:rPr>
        <w:t xml:space="preserve"> </w:t>
      </w:r>
      <w:r>
        <w:t>eighth-grade</w:t>
      </w:r>
      <w:r>
        <w:rPr>
          <w:spacing w:val="-7"/>
        </w:rPr>
        <w:t xml:space="preserve"> </w:t>
      </w:r>
      <w:r>
        <w:t>private</w:t>
      </w:r>
      <w:r>
        <w:rPr>
          <w:spacing w:val="-7"/>
        </w:rPr>
        <w:t xml:space="preserve"> </w:t>
      </w:r>
      <w:r>
        <w:t>school</w:t>
      </w:r>
      <w:r>
        <w:rPr>
          <w:spacing w:val="-7"/>
        </w:rPr>
        <w:t xml:space="preserve"> </w:t>
      </w:r>
      <w:r>
        <w:t>sample,</w:t>
      </w:r>
      <w:r>
        <w:rPr>
          <w:spacing w:val="-7"/>
        </w:rPr>
        <w:t xml:space="preserve"> </w:t>
      </w:r>
      <w:r>
        <w:t>14</w:t>
      </w:r>
      <w:r>
        <w:rPr>
          <w:spacing w:val="-7"/>
        </w:rPr>
        <w:t xml:space="preserve"> </w:t>
      </w:r>
      <w:r>
        <w:t>substitute schools participated.</w:t>
      </w:r>
    </w:p>
    <w:p w:rsidR="003F5784" w14:paraId="13AD2717" w14:textId="77777777">
      <w:pPr>
        <w:pStyle w:val="BodyText"/>
      </w:pPr>
    </w:p>
    <w:p w:rsidR="003F5784" w14:paraId="74C15387" w14:textId="77777777">
      <w:pPr>
        <w:pStyle w:val="BodyText"/>
      </w:pPr>
    </w:p>
    <w:p w:rsidR="003F5784" w14:paraId="37AE4865" w14:textId="77777777">
      <w:pPr>
        <w:pStyle w:val="BodyText"/>
        <w:spacing w:before="145"/>
      </w:pPr>
    </w:p>
    <w:p w:rsidR="003F5784" w14:paraId="341C2954" w14:textId="77777777">
      <w:pPr>
        <w:ind w:right="113"/>
        <w:jc w:val="right"/>
        <w:rPr>
          <w:sz w:val="18"/>
        </w:rPr>
      </w:pPr>
      <w:hyperlink r:id="rId110">
        <w:r>
          <w:rPr>
            <w:spacing w:val="-2"/>
            <w:w w:val="105"/>
            <w:sz w:val="18"/>
          </w:rPr>
          <w:t>http://nces.ed.gov/nationsreportcard/tdw/sample_design/2022/substitute_schools_for_the_2022_fourth_and_eighth_grade_private_school_national_assessment.aspx</w:t>
        </w:r>
      </w:hyperlink>
    </w:p>
    <w:p w:rsidR="003F5784" w14:paraId="376A3ECD" w14:textId="77777777">
      <w:pPr>
        <w:pStyle w:val="BodyText"/>
        <w:spacing w:before="11"/>
        <w:rPr>
          <w:sz w:val="14"/>
        </w:rPr>
      </w:pPr>
      <w:r>
        <w:rPr>
          <w:noProof/>
        </w:rPr>
        <mc:AlternateContent>
          <mc:Choice Requires="wps">
            <w:drawing>
              <wp:anchor distT="0" distB="0" distL="0" distR="0" simplePos="0" relativeHeight="251823104" behindDoc="1" locked="0" layoutInCell="1" allowOverlap="1">
                <wp:simplePos x="0" y="0"/>
                <wp:positionH relativeFrom="page">
                  <wp:posOffset>361937</wp:posOffset>
                </wp:positionH>
                <wp:positionV relativeFrom="paragraph">
                  <wp:posOffset>124438</wp:posOffset>
                </wp:positionV>
                <wp:extent cx="9339580" cy="8890"/>
                <wp:effectExtent l="0" t="0" r="0" b="0"/>
                <wp:wrapTopAndBottom/>
                <wp:docPr id="129" name="Graphic 129"/>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80"/>
                              </a:lnTo>
                              <a:lnTo>
                                <a:pt x="9335110" y="8293"/>
                              </a:lnTo>
                              <a:lnTo>
                                <a:pt x="9338970" y="8293"/>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29" o:spid="_x0000_s1082" style="width:735.4pt;height:0.7pt;margin-top:9.8pt;margin-left:28.5pt;mso-position-horizontal-relative:page;mso-wrap-distance-bottom:0;mso-wrap-distance-left:0;mso-wrap-distance-right:0;mso-wrap-distance-top:0;mso-wrap-style:square;position:absolute;visibility:visible;v-text-anchor:top;z-index:-251492352" coordsize="9339580,8890" path="m9338970,12l9335110,12l8280,12,,,,8280l9335110,8293l9338970,8293l9338970,12xe" fillcolor="gray" stroked="f">
                <v:path arrowok="t"/>
                <w10:wrap type="topAndBottom"/>
              </v:shape>
            </w:pict>
          </mc:Fallback>
        </mc:AlternateContent>
      </w:r>
    </w:p>
    <w:p w:rsidR="003F5784" w14:paraId="01F81CA9" w14:textId="77777777">
      <w:pPr>
        <w:rPr>
          <w:sz w:val="14"/>
        </w:rPr>
        <w:sectPr>
          <w:pgSz w:w="15840" w:h="12240" w:orient="landscape"/>
          <w:pgMar w:top="480" w:right="440" w:bottom="460" w:left="460" w:header="284" w:footer="275" w:gutter="0"/>
          <w:cols w:space="720"/>
        </w:sectPr>
      </w:pPr>
    </w:p>
    <w:p w:rsidR="003F5784" w14:paraId="26703F3C" w14:textId="69E16AB3">
      <w:pPr>
        <w:pStyle w:val="Heading1"/>
        <w:spacing w:before="81" w:line="244" w:lineRule="auto"/>
        <w:ind w:right="671"/>
      </w:pPr>
      <w:r>
        <w:t>NAEP</w:t>
      </w:r>
      <w:r>
        <w:rPr>
          <w:spacing w:val="-2"/>
        </w:rPr>
        <w:t xml:space="preserve"> </w:t>
      </w:r>
      <w:r>
        <w:t>Technical Documentation</w:t>
      </w:r>
      <w:r w:rsidR="00D02924">
        <w:t xml:space="preserve"> </w:t>
      </w:r>
      <w:r>
        <w:t>Target Population for the 2022 Fourth- and Eighth-Grade</w:t>
      </w:r>
      <w:r>
        <w:rPr>
          <w:spacing w:val="16"/>
        </w:rPr>
        <w:t xml:space="preserve"> </w:t>
      </w:r>
      <w:r>
        <w:t>Private</w:t>
      </w:r>
      <w:r>
        <w:rPr>
          <w:spacing w:val="15"/>
        </w:rPr>
        <w:t xml:space="preserve"> </w:t>
      </w:r>
      <w:r>
        <w:t>School</w:t>
      </w:r>
      <w:r>
        <w:rPr>
          <w:spacing w:val="16"/>
        </w:rPr>
        <w:t xml:space="preserve"> </w:t>
      </w:r>
      <w:r>
        <w:t>National</w:t>
      </w:r>
      <w:r>
        <w:rPr>
          <w:spacing w:val="-10"/>
        </w:rPr>
        <w:t xml:space="preserve"> </w:t>
      </w:r>
      <w:r>
        <w:t>Assessment</w:t>
      </w:r>
      <w:r>
        <w:rPr>
          <w:spacing w:val="16"/>
        </w:rPr>
        <w:t xml:space="preserve"> </w:t>
      </w:r>
      <w:r>
        <w:t>in</w:t>
      </w:r>
      <w:r>
        <w:rPr>
          <w:spacing w:val="16"/>
        </w:rPr>
        <w:t xml:space="preserve"> </w:t>
      </w:r>
      <w:r>
        <w:t>Mathematics</w:t>
      </w:r>
      <w:r>
        <w:rPr>
          <w:spacing w:val="16"/>
        </w:rPr>
        <w:t xml:space="preserve"> </w:t>
      </w:r>
      <w:r>
        <w:t>and</w:t>
      </w:r>
      <w:r>
        <w:rPr>
          <w:spacing w:val="16"/>
        </w:rPr>
        <w:t xml:space="preserve"> </w:t>
      </w:r>
      <w:r>
        <w:rPr>
          <w:spacing w:val="-2"/>
        </w:rPr>
        <w:t>Reading</w:t>
      </w:r>
    </w:p>
    <w:p w:rsidR="003F5784" w14:paraId="3B36B159" w14:textId="77777777">
      <w:pPr>
        <w:pStyle w:val="BodyText"/>
        <w:spacing w:before="273" w:line="232" w:lineRule="auto"/>
        <w:ind w:left="109" w:right="179"/>
      </w:pPr>
      <w:r>
        <w:t>The</w:t>
      </w:r>
      <w:r>
        <w:rPr>
          <w:spacing w:val="-7"/>
        </w:rPr>
        <w:t xml:space="preserve"> </w:t>
      </w:r>
      <w:r>
        <w:t>target</w:t>
      </w:r>
      <w:r>
        <w:rPr>
          <w:spacing w:val="-7"/>
        </w:rPr>
        <w:t xml:space="preserve"> </w:t>
      </w:r>
      <w:r>
        <w:t>populations</w:t>
      </w:r>
      <w:r>
        <w:rPr>
          <w:spacing w:val="-7"/>
        </w:rPr>
        <w:t xml:space="preserve"> </w:t>
      </w:r>
      <w:r>
        <w:t>for</w:t>
      </w:r>
      <w:r>
        <w:rPr>
          <w:spacing w:val="-7"/>
        </w:rPr>
        <w:t xml:space="preserve"> </w:t>
      </w:r>
      <w:r>
        <w:t>the</w:t>
      </w:r>
      <w:r>
        <w:rPr>
          <w:spacing w:val="-7"/>
        </w:rPr>
        <w:t xml:space="preserve"> </w:t>
      </w:r>
      <w:r>
        <w:t>2022</w:t>
      </w:r>
      <w:r>
        <w:rPr>
          <w:spacing w:val="-7"/>
        </w:rPr>
        <w:t xml:space="preserve"> </w:t>
      </w:r>
      <w:r>
        <w:t>fourth-</w:t>
      </w:r>
      <w:r>
        <w:rPr>
          <w:spacing w:val="-7"/>
        </w:rPr>
        <w:t xml:space="preserve"> </w:t>
      </w:r>
      <w:r>
        <w:t>and</w:t>
      </w:r>
      <w:r>
        <w:rPr>
          <w:spacing w:val="-7"/>
        </w:rPr>
        <w:t xml:space="preserve"> </w:t>
      </w:r>
      <w:r>
        <w:t>eighth-grade</w:t>
      </w:r>
      <w:r>
        <w:rPr>
          <w:spacing w:val="-7"/>
        </w:rPr>
        <w:t xml:space="preserve"> </w:t>
      </w:r>
      <w:r>
        <w:t>private</w:t>
      </w:r>
      <w:r>
        <w:rPr>
          <w:spacing w:val="-7"/>
        </w:rPr>
        <w:t xml:space="preserve"> </w:t>
      </w:r>
      <w:r>
        <w:t>school</w:t>
      </w:r>
      <w:r>
        <w:rPr>
          <w:spacing w:val="-7"/>
        </w:rPr>
        <w:t xml:space="preserve"> </w:t>
      </w:r>
      <w:r>
        <w:t>national</w:t>
      </w:r>
      <w:r>
        <w:rPr>
          <w:spacing w:val="-7"/>
        </w:rPr>
        <w:t xml:space="preserve"> </w:t>
      </w:r>
      <w:r>
        <w:t>assessments</w:t>
      </w:r>
      <w:r>
        <w:rPr>
          <w:spacing w:val="-7"/>
        </w:rPr>
        <w:t xml:space="preserve"> </w:t>
      </w:r>
      <w:r>
        <w:t>in</w:t>
      </w:r>
      <w:r>
        <w:rPr>
          <w:spacing w:val="-7"/>
        </w:rPr>
        <w:t xml:space="preserve"> </w:t>
      </w:r>
      <w:r>
        <w:t>mathematics</w:t>
      </w:r>
      <w:r>
        <w:rPr>
          <w:spacing w:val="-7"/>
        </w:rPr>
        <w:t xml:space="preserve"> </w:t>
      </w:r>
      <w:r>
        <w:t>and</w:t>
      </w:r>
      <w:r>
        <w:rPr>
          <w:spacing w:val="-7"/>
        </w:rPr>
        <w:t xml:space="preserve"> </w:t>
      </w:r>
      <w:r>
        <w:t>reading</w:t>
      </w:r>
      <w:r>
        <w:rPr>
          <w:spacing w:val="-7"/>
        </w:rPr>
        <w:t xml:space="preserve"> </w:t>
      </w:r>
      <w:r>
        <w:t>were</w:t>
      </w:r>
      <w:r>
        <w:rPr>
          <w:spacing w:val="-7"/>
        </w:rPr>
        <w:t xml:space="preserve"> </w:t>
      </w:r>
      <w:r>
        <w:t>defined</w:t>
      </w:r>
      <w:r>
        <w:rPr>
          <w:spacing w:val="-7"/>
        </w:rPr>
        <w:t xml:space="preserve"> </w:t>
      </w:r>
      <w:r>
        <w:t>as</w:t>
      </w:r>
      <w:r>
        <w:rPr>
          <w:spacing w:val="-7"/>
        </w:rPr>
        <w:t xml:space="preserve"> </w:t>
      </w:r>
      <w:r>
        <w:t>all</w:t>
      </w:r>
      <w:r>
        <w:rPr>
          <w:spacing w:val="-7"/>
        </w:rPr>
        <w:t xml:space="preserve"> </w:t>
      </w:r>
      <w:r>
        <w:t>fourth-</w:t>
      </w:r>
      <w:r>
        <w:rPr>
          <w:spacing w:val="-7"/>
        </w:rPr>
        <w:t xml:space="preserve"> </w:t>
      </w:r>
      <w:r>
        <w:t>and</w:t>
      </w:r>
      <w:r>
        <w:rPr>
          <w:spacing w:val="-7"/>
        </w:rPr>
        <w:t xml:space="preserve"> </w:t>
      </w:r>
      <w:r>
        <w:t>eighth-grade students who were enrolled in private schools located within the 50 states and the District of Columbia.</w:t>
      </w:r>
    </w:p>
    <w:p w:rsidR="003F5784" w14:paraId="3C3E77ED" w14:textId="77777777">
      <w:pPr>
        <w:pStyle w:val="BodyText"/>
        <w:spacing w:before="199"/>
      </w:pPr>
    </w:p>
    <w:p w:rsidR="003F5784" w14:paraId="438B9BB6" w14:textId="77777777">
      <w:pPr>
        <w:ind w:right="113"/>
        <w:jc w:val="right"/>
        <w:rPr>
          <w:sz w:val="18"/>
        </w:rPr>
      </w:pPr>
      <w:hyperlink r:id="rId111">
        <w:r>
          <w:rPr>
            <w:spacing w:val="-2"/>
            <w:w w:val="105"/>
            <w:sz w:val="18"/>
          </w:rPr>
          <w:t>http://nces.ed.gov/nationsreportcard/tdw/sample_design/2022/target_population_for_the_2022_fourth_and_eighth_grade_private_school_national_assessment.aspx</w:t>
        </w:r>
      </w:hyperlink>
    </w:p>
    <w:p w:rsidR="003F5784" w14:paraId="5DE15C13" w14:textId="77777777">
      <w:pPr>
        <w:pStyle w:val="BodyText"/>
        <w:spacing w:before="10"/>
        <w:rPr>
          <w:sz w:val="14"/>
        </w:rPr>
      </w:pPr>
      <w:r>
        <w:rPr>
          <w:noProof/>
        </w:rPr>
        <mc:AlternateContent>
          <mc:Choice Requires="wps">
            <w:drawing>
              <wp:anchor distT="0" distB="0" distL="0" distR="0" simplePos="0" relativeHeight="251825152" behindDoc="1" locked="0" layoutInCell="1" allowOverlap="1">
                <wp:simplePos x="0" y="0"/>
                <wp:positionH relativeFrom="page">
                  <wp:posOffset>361937</wp:posOffset>
                </wp:positionH>
                <wp:positionV relativeFrom="paragraph">
                  <wp:posOffset>124322</wp:posOffset>
                </wp:positionV>
                <wp:extent cx="9339580" cy="8890"/>
                <wp:effectExtent l="0" t="0" r="0" b="0"/>
                <wp:wrapTopAndBottom/>
                <wp:docPr id="130" name="Graphic 130"/>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67"/>
                              </a:lnTo>
                              <a:lnTo>
                                <a:pt x="9335110" y="8280"/>
                              </a:lnTo>
                              <a:lnTo>
                                <a:pt x="9338970" y="8280"/>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30" o:spid="_x0000_s1083" style="width:735.4pt;height:0.7pt;margin-top:9.8pt;margin-left:28.5pt;mso-position-horizontal-relative:page;mso-wrap-distance-bottom:0;mso-wrap-distance-left:0;mso-wrap-distance-right:0;mso-wrap-distance-top:0;mso-wrap-style:square;position:absolute;visibility:visible;v-text-anchor:top;z-index:-251490304" coordsize="9339580,8890" path="m9338970,12l9335110,12l8280,12,,,,8267l9335110,8280l9338970,8280l9338970,12xe" fillcolor="gray" stroked="f">
                <v:path arrowok="t"/>
                <w10:wrap type="topAndBottom"/>
              </v:shape>
            </w:pict>
          </mc:Fallback>
        </mc:AlternateContent>
      </w:r>
    </w:p>
    <w:p w:rsidR="003F5784" w14:paraId="29961F44" w14:textId="77777777">
      <w:pPr>
        <w:pStyle w:val="BodyText"/>
        <w:rPr>
          <w:sz w:val="18"/>
        </w:rPr>
      </w:pPr>
    </w:p>
    <w:p w:rsidR="003F5784" w14:paraId="7F3A4FC9" w14:textId="77777777">
      <w:pPr>
        <w:pStyle w:val="BodyText"/>
        <w:spacing w:before="206"/>
        <w:rPr>
          <w:sz w:val="18"/>
        </w:rPr>
      </w:pPr>
    </w:p>
    <w:p w:rsidR="003F5784" w14:paraId="7B13DB49" w14:textId="07C74174">
      <w:pPr>
        <w:pStyle w:val="Heading1"/>
        <w:spacing w:line="244" w:lineRule="auto"/>
      </w:pPr>
      <w:r>
        <w:t>NAEP</w:t>
      </w:r>
      <w:r>
        <w:rPr>
          <w:spacing w:val="-13"/>
        </w:rPr>
        <w:t xml:space="preserve"> </w:t>
      </w:r>
      <w:r>
        <w:t>Technical Documentation</w:t>
      </w:r>
      <w:r w:rsidR="00D02924">
        <w:t xml:space="preserve"> </w:t>
      </w:r>
      <w:r>
        <w:t>2022 Fourth- and Eighth-Grade Public School National Assessment in Mathematics and Reading</w:t>
      </w:r>
    </w:p>
    <w:p w:rsidR="003F5784" w14:paraId="43D076BB" w14:textId="77777777">
      <w:pPr>
        <w:pStyle w:val="BodyText"/>
        <w:spacing w:before="274" w:line="232" w:lineRule="auto"/>
        <w:ind w:left="109" w:right="264"/>
        <w:jc w:val="both"/>
      </w:pPr>
      <w:r>
        <w:t>For</w:t>
      </w:r>
      <w:r>
        <w:rPr>
          <w:spacing w:val="-6"/>
        </w:rPr>
        <w:t xml:space="preserve"> </w:t>
      </w:r>
      <w:r>
        <w:t>the</w:t>
      </w:r>
      <w:r>
        <w:rPr>
          <w:spacing w:val="-6"/>
        </w:rPr>
        <w:t xml:space="preserve"> </w:t>
      </w:r>
      <w:r>
        <w:t>mathematics</w:t>
      </w:r>
      <w:r>
        <w:rPr>
          <w:spacing w:val="-6"/>
        </w:rPr>
        <w:t xml:space="preserve"> </w:t>
      </w:r>
      <w:r>
        <w:t>and</w:t>
      </w:r>
      <w:r>
        <w:rPr>
          <w:spacing w:val="-6"/>
        </w:rPr>
        <w:t xml:space="preserve"> </w:t>
      </w:r>
      <w:r>
        <w:t>reading</w:t>
      </w:r>
      <w:r>
        <w:rPr>
          <w:spacing w:val="-6"/>
        </w:rPr>
        <w:t xml:space="preserve"> </w:t>
      </w:r>
      <w:r>
        <w:t>assessments</w:t>
      </w:r>
      <w:r>
        <w:rPr>
          <w:spacing w:val="-6"/>
        </w:rPr>
        <w:t xml:space="preserve"> </w:t>
      </w:r>
      <w:r>
        <w:t>in</w:t>
      </w:r>
      <w:r>
        <w:rPr>
          <w:spacing w:val="-6"/>
        </w:rPr>
        <w:t xml:space="preserve"> </w:t>
      </w:r>
      <w:r>
        <w:t>fourth-</w:t>
      </w:r>
      <w:r>
        <w:rPr>
          <w:spacing w:val="-6"/>
        </w:rPr>
        <w:t xml:space="preserve"> </w:t>
      </w:r>
      <w:r>
        <w:t>and</w:t>
      </w:r>
      <w:r>
        <w:rPr>
          <w:spacing w:val="-6"/>
        </w:rPr>
        <w:t xml:space="preserve"> </w:t>
      </w:r>
      <w:r>
        <w:t>eighth-grade</w:t>
      </w:r>
      <w:r>
        <w:rPr>
          <w:spacing w:val="-6"/>
        </w:rPr>
        <w:t xml:space="preserve"> </w:t>
      </w:r>
      <w:r>
        <w:t>public</w:t>
      </w:r>
      <w:r>
        <w:rPr>
          <w:spacing w:val="-6"/>
        </w:rPr>
        <w:t xml:space="preserve"> </w:t>
      </w:r>
      <w:r>
        <w:t>schools,</w:t>
      </w:r>
      <w:r>
        <w:rPr>
          <w:spacing w:val="-6"/>
        </w:rPr>
        <w:t xml:space="preserve"> </w:t>
      </w:r>
      <w:r>
        <w:t>the</w:t>
      </w:r>
      <w:r>
        <w:rPr>
          <w:spacing w:val="-6"/>
        </w:rPr>
        <w:t xml:space="preserve"> </w:t>
      </w:r>
      <w:r>
        <w:t>national</w:t>
      </w:r>
      <w:r>
        <w:rPr>
          <w:spacing w:val="-6"/>
        </w:rPr>
        <w:t xml:space="preserve"> </w:t>
      </w:r>
      <w:r>
        <w:t>samples</w:t>
      </w:r>
      <w:r>
        <w:rPr>
          <w:spacing w:val="-6"/>
        </w:rPr>
        <w:t xml:space="preserve"> </w:t>
      </w:r>
      <w:r>
        <w:t>were</w:t>
      </w:r>
      <w:r>
        <w:rPr>
          <w:spacing w:val="-6"/>
        </w:rPr>
        <w:t xml:space="preserve"> </w:t>
      </w:r>
      <w:r>
        <w:t>formed</w:t>
      </w:r>
      <w:r>
        <w:rPr>
          <w:spacing w:val="-6"/>
        </w:rPr>
        <w:t xml:space="preserve"> </w:t>
      </w:r>
      <w:r>
        <w:t>by</w:t>
      </w:r>
      <w:r>
        <w:rPr>
          <w:spacing w:val="-6"/>
        </w:rPr>
        <w:t xml:space="preserve"> </w:t>
      </w:r>
      <w:r>
        <w:t>the</w:t>
      </w:r>
      <w:r>
        <w:rPr>
          <w:spacing w:val="-6"/>
        </w:rPr>
        <w:t xml:space="preserve"> </w:t>
      </w:r>
      <w:r>
        <w:t>collective</w:t>
      </w:r>
      <w:r>
        <w:rPr>
          <w:spacing w:val="-6"/>
        </w:rPr>
        <w:t xml:space="preserve"> </w:t>
      </w:r>
      <w:r>
        <w:t>state</w:t>
      </w:r>
      <w:r>
        <w:rPr>
          <w:spacing w:val="-6"/>
        </w:rPr>
        <w:t xml:space="preserve"> </w:t>
      </w:r>
      <w:r>
        <w:t>assessment</w:t>
      </w:r>
      <w:r>
        <w:rPr>
          <w:spacing w:val="-6"/>
        </w:rPr>
        <w:t xml:space="preserve"> </w:t>
      </w:r>
      <w:r>
        <w:t>samples</w:t>
      </w:r>
      <w:r>
        <w:rPr>
          <w:spacing w:val="-6"/>
        </w:rPr>
        <w:t xml:space="preserve"> </w:t>
      </w:r>
      <w:r>
        <w:t>for</w:t>
      </w:r>
      <w:r>
        <w:rPr>
          <w:spacing w:val="-6"/>
        </w:rPr>
        <w:t xml:space="preserve"> </w:t>
      </w:r>
      <w:r>
        <w:t>each jurisdiction,</w:t>
      </w:r>
      <w:r>
        <w:rPr>
          <w:spacing w:val="-8"/>
        </w:rPr>
        <w:t xml:space="preserve"> </w:t>
      </w:r>
      <w:r>
        <w:t>including</w:t>
      </w:r>
      <w:r>
        <w:rPr>
          <w:spacing w:val="-5"/>
        </w:rPr>
        <w:t xml:space="preserve"> </w:t>
      </w:r>
      <w:r>
        <w:t>Bureau</w:t>
      </w:r>
      <w:r>
        <w:rPr>
          <w:spacing w:val="-5"/>
        </w:rPr>
        <w:t xml:space="preserve"> </w:t>
      </w:r>
      <w:r>
        <w:t>of</w:t>
      </w:r>
      <w:r>
        <w:rPr>
          <w:spacing w:val="-5"/>
        </w:rPr>
        <w:t xml:space="preserve"> </w:t>
      </w:r>
      <w:r>
        <w:t>Indian</w:t>
      </w:r>
      <w:r>
        <w:rPr>
          <w:spacing w:val="-5"/>
        </w:rPr>
        <w:t xml:space="preserve"> </w:t>
      </w:r>
      <w:r>
        <w:t>Education</w:t>
      </w:r>
      <w:r>
        <w:rPr>
          <w:spacing w:val="-5"/>
        </w:rPr>
        <w:t xml:space="preserve"> </w:t>
      </w:r>
      <w:r>
        <w:t>(BIE)</w:t>
      </w:r>
      <w:r>
        <w:rPr>
          <w:spacing w:val="-5"/>
        </w:rPr>
        <w:t xml:space="preserve"> </w:t>
      </w:r>
      <w:r>
        <w:t>and</w:t>
      </w:r>
      <w:r>
        <w:rPr>
          <w:spacing w:val="-5"/>
        </w:rPr>
        <w:t xml:space="preserve"> </w:t>
      </w:r>
      <w:r>
        <w:t>Department</w:t>
      </w:r>
      <w:r>
        <w:rPr>
          <w:spacing w:val="-5"/>
        </w:rPr>
        <w:t xml:space="preserve"> </w:t>
      </w:r>
      <w:r>
        <w:t>of</w:t>
      </w:r>
      <w:r>
        <w:rPr>
          <w:spacing w:val="-5"/>
        </w:rPr>
        <w:t xml:space="preserve"> </w:t>
      </w:r>
      <w:r>
        <w:t>Defense</w:t>
      </w:r>
      <w:r>
        <w:rPr>
          <w:spacing w:val="-5"/>
        </w:rPr>
        <w:t xml:space="preserve"> </w:t>
      </w:r>
      <w:r>
        <w:t>Educational</w:t>
      </w:r>
      <w:r>
        <w:rPr>
          <w:spacing w:val="-14"/>
        </w:rPr>
        <w:t xml:space="preserve"> </w:t>
      </w:r>
      <w:r>
        <w:t>Activity</w:t>
      </w:r>
      <w:r>
        <w:rPr>
          <w:spacing w:val="-4"/>
        </w:rPr>
        <w:t xml:space="preserve"> </w:t>
      </w:r>
      <w:r>
        <w:t>(DoDEA)</w:t>
      </w:r>
      <w:r>
        <w:rPr>
          <w:spacing w:val="-5"/>
        </w:rPr>
        <w:t xml:space="preserve"> </w:t>
      </w:r>
      <w:r>
        <w:t>schools.</w:t>
      </w:r>
      <w:r>
        <w:rPr>
          <w:spacing w:val="-14"/>
        </w:rPr>
        <w:t xml:space="preserve"> </w:t>
      </w:r>
      <w:r>
        <w:t>All</w:t>
      </w:r>
      <w:r>
        <w:rPr>
          <w:spacing w:val="-4"/>
        </w:rPr>
        <w:t xml:space="preserve"> </w:t>
      </w:r>
      <w:r>
        <w:t>jurisdictions</w:t>
      </w:r>
      <w:r>
        <w:rPr>
          <w:spacing w:val="-5"/>
        </w:rPr>
        <w:t xml:space="preserve"> </w:t>
      </w:r>
      <w:r>
        <w:t>participated</w:t>
      </w:r>
      <w:r>
        <w:rPr>
          <w:spacing w:val="-5"/>
        </w:rPr>
        <w:t xml:space="preserve"> </w:t>
      </w:r>
      <w:r>
        <w:t>in</w:t>
      </w:r>
      <w:r>
        <w:rPr>
          <w:spacing w:val="-5"/>
        </w:rPr>
        <w:t xml:space="preserve"> </w:t>
      </w:r>
      <w:r>
        <w:t>the</w:t>
      </w:r>
      <w:r>
        <w:rPr>
          <w:spacing w:val="-5"/>
        </w:rPr>
        <w:t xml:space="preserve"> </w:t>
      </w:r>
      <w:r>
        <w:t>mathematics and reading assessments, with the exception of Puerto Rico, where only the operational mathematics assessment was conducted.</w:t>
      </w:r>
    </w:p>
    <w:p w:rsidR="003F5784" w14:paraId="2F67BD79" w14:textId="77777777">
      <w:pPr>
        <w:pStyle w:val="BodyText"/>
      </w:pPr>
    </w:p>
    <w:p w:rsidR="003F5784" w14:paraId="39DCA71F" w14:textId="77777777">
      <w:pPr>
        <w:pStyle w:val="BodyText"/>
      </w:pPr>
    </w:p>
    <w:p w:rsidR="003F5784" w14:paraId="610413C5" w14:textId="77777777">
      <w:pPr>
        <w:pStyle w:val="BodyText"/>
      </w:pPr>
    </w:p>
    <w:p w:rsidR="003F5784" w14:paraId="74775FA7" w14:textId="77777777">
      <w:pPr>
        <w:pStyle w:val="BodyText"/>
      </w:pPr>
    </w:p>
    <w:p w:rsidR="003F5784" w14:paraId="229D89DF" w14:textId="77777777">
      <w:pPr>
        <w:pStyle w:val="BodyText"/>
        <w:spacing w:before="106"/>
      </w:pPr>
    </w:p>
    <w:p w:rsidR="003F5784" w14:paraId="10BF01C3" w14:textId="77777777">
      <w:pPr>
        <w:ind w:right="113"/>
        <w:jc w:val="right"/>
        <w:rPr>
          <w:sz w:val="18"/>
        </w:rPr>
      </w:pPr>
      <w:hyperlink r:id="rId112">
        <w:r>
          <w:rPr>
            <w:spacing w:val="-2"/>
            <w:w w:val="105"/>
            <w:sz w:val="18"/>
          </w:rPr>
          <w:t>http://nces.ed.gov/nationsreportcard/tdw/sample_design/2022/2022_fourth_and_eighth_grade_public_school_national_assessment_in_mathematics_and_reading.aspx</w:t>
        </w:r>
      </w:hyperlink>
    </w:p>
    <w:p w:rsidR="003F5784" w14:paraId="0AB34FD7" w14:textId="77777777">
      <w:pPr>
        <w:pStyle w:val="BodyText"/>
        <w:rPr>
          <w:sz w:val="16"/>
        </w:rPr>
      </w:pPr>
      <w:r>
        <w:rPr>
          <w:noProof/>
        </w:rPr>
        <mc:AlternateContent>
          <mc:Choice Requires="wps">
            <w:drawing>
              <wp:anchor distT="0" distB="0" distL="0" distR="0" simplePos="0" relativeHeight="251827200" behindDoc="1" locked="0" layoutInCell="1" allowOverlap="1">
                <wp:simplePos x="0" y="0"/>
                <wp:positionH relativeFrom="page">
                  <wp:posOffset>361937</wp:posOffset>
                </wp:positionH>
                <wp:positionV relativeFrom="paragraph">
                  <wp:posOffset>132655</wp:posOffset>
                </wp:positionV>
                <wp:extent cx="9339580" cy="8890"/>
                <wp:effectExtent l="0" t="0" r="0" b="0"/>
                <wp:wrapTopAndBottom/>
                <wp:docPr id="131" name="Graphic 131"/>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80"/>
                              </a:lnTo>
                              <a:lnTo>
                                <a:pt x="9335110" y="8293"/>
                              </a:lnTo>
                              <a:lnTo>
                                <a:pt x="9338970" y="8293"/>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31" o:spid="_x0000_s1084" style="width:735.4pt;height:0.7pt;margin-top:10.45pt;margin-left:28.5pt;mso-position-horizontal-relative:page;mso-wrap-distance-bottom:0;mso-wrap-distance-left:0;mso-wrap-distance-right:0;mso-wrap-distance-top:0;mso-wrap-style:square;position:absolute;visibility:visible;v-text-anchor:top;z-index:-251488256" coordsize="9339580,8890" path="m9338970,12l9335110,12l8280,12,,,,8280l9335110,8293l9338970,8293l9338970,12xe" fillcolor="gray" stroked="f">
                <v:path arrowok="t"/>
                <w10:wrap type="topAndBottom"/>
              </v:shape>
            </w:pict>
          </mc:Fallback>
        </mc:AlternateContent>
      </w:r>
    </w:p>
    <w:p w:rsidR="003F5784" w14:paraId="1C0A8ED9" w14:textId="77777777">
      <w:pPr>
        <w:pStyle w:val="BodyText"/>
        <w:rPr>
          <w:sz w:val="18"/>
        </w:rPr>
      </w:pPr>
    </w:p>
    <w:p w:rsidR="003F5784" w14:paraId="5C16E6F5" w14:textId="77777777">
      <w:pPr>
        <w:pStyle w:val="BodyText"/>
        <w:spacing w:before="193"/>
        <w:rPr>
          <w:sz w:val="18"/>
        </w:rPr>
      </w:pPr>
    </w:p>
    <w:p w:rsidR="003F5784" w14:paraId="75A733D2" w14:textId="0226AC40">
      <w:pPr>
        <w:pStyle w:val="Heading1"/>
        <w:spacing w:line="244" w:lineRule="auto"/>
      </w:pPr>
      <w:r>
        <w:t>NAEP</w:t>
      </w:r>
      <w:r>
        <w:rPr>
          <w:spacing w:val="-18"/>
        </w:rPr>
        <w:t xml:space="preserve"> </w:t>
      </w:r>
      <w:r>
        <w:t>Technical Documentation</w:t>
      </w:r>
      <w:r w:rsidR="00D02924">
        <w:t xml:space="preserve"> </w:t>
      </w:r>
      <w:r>
        <w:t>Sample Design for the 2022 National Long-Term Trend Assessment</w:t>
      </w:r>
    </w:p>
    <w:p w:rsidR="003F5784" w14:paraId="2A7BF1EE" w14:textId="77777777">
      <w:pPr>
        <w:pStyle w:val="BodyText"/>
        <w:spacing w:before="7"/>
        <w:rPr>
          <w:b/>
          <w:sz w:val="16"/>
        </w:rPr>
      </w:pPr>
    </w:p>
    <w:p w:rsidR="003F5784" w14:paraId="6FFD0E00" w14:textId="77777777">
      <w:pPr>
        <w:rPr>
          <w:sz w:val="16"/>
        </w:rPr>
        <w:sectPr>
          <w:pgSz w:w="15840" w:h="12240" w:orient="landscape"/>
          <w:pgMar w:top="480" w:right="440" w:bottom="460" w:left="460" w:header="284" w:footer="275" w:gutter="0"/>
          <w:cols w:space="720"/>
        </w:sectPr>
      </w:pPr>
    </w:p>
    <w:p w:rsidR="003F5784" w14:paraId="5A0F0E55" w14:textId="77777777">
      <w:pPr>
        <w:pStyle w:val="BodyText"/>
        <w:spacing w:before="96" w:line="232" w:lineRule="auto"/>
        <w:ind w:left="109" w:right="39"/>
      </w:pPr>
      <w:r>
        <w:t>Unlike</w:t>
      </w:r>
      <w:r>
        <w:rPr>
          <w:spacing w:val="-10"/>
        </w:rPr>
        <w:t xml:space="preserve"> </w:t>
      </w:r>
      <w:r>
        <w:t>most</w:t>
      </w:r>
      <w:r>
        <w:rPr>
          <w:spacing w:val="-9"/>
        </w:rPr>
        <w:t xml:space="preserve"> </w:t>
      </w:r>
      <w:r>
        <w:t>NAEP</w:t>
      </w:r>
      <w:r>
        <w:rPr>
          <w:spacing w:val="-14"/>
        </w:rPr>
        <w:t xml:space="preserve"> </w:t>
      </w:r>
      <w:r>
        <w:t>assessments,</w:t>
      </w:r>
      <w:r>
        <w:rPr>
          <w:spacing w:val="-8"/>
        </w:rPr>
        <w:t xml:space="preserve"> </w:t>
      </w:r>
      <w:r>
        <w:t>the</w:t>
      </w:r>
      <w:r>
        <w:rPr>
          <w:spacing w:val="-9"/>
        </w:rPr>
        <w:t xml:space="preserve"> </w:t>
      </w:r>
      <w:r>
        <w:t>2022</w:t>
      </w:r>
      <w:r>
        <w:rPr>
          <w:spacing w:val="-9"/>
        </w:rPr>
        <w:t xml:space="preserve"> </w:t>
      </w:r>
      <w:r>
        <w:t>long-term</w:t>
      </w:r>
      <w:r>
        <w:rPr>
          <w:spacing w:val="-9"/>
        </w:rPr>
        <w:t xml:space="preserve"> </w:t>
      </w:r>
      <w:r>
        <w:t>trend</w:t>
      </w:r>
      <w:r>
        <w:rPr>
          <w:spacing w:val="-9"/>
        </w:rPr>
        <w:t xml:space="preserve"> </w:t>
      </w:r>
      <w:r>
        <w:t>(LTT)</w:t>
      </w:r>
      <w:r>
        <w:rPr>
          <w:spacing w:val="-9"/>
        </w:rPr>
        <w:t xml:space="preserve"> </w:t>
      </w:r>
      <w:r>
        <w:t>assessments</w:t>
      </w:r>
      <w:r>
        <w:rPr>
          <w:spacing w:val="-9"/>
        </w:rPr>
        <w:t xml:space="preserve"> </w:t>
      </w:r>
      <w:r>
        <w:t>target</w:t>
      </w:r>
      <w:r>
        <w:rPr>
          <w:spacing w:val="-9"/>
        </w:rPr>
        <w:t xml:space="preserve"> </w:t>
      </w:r>
      <w:r>
        <w:t>students</w:t>
      </w:r>
      <w:r>
        <w:rPr>
          <w:spacing w:val="-9"/>
        </w:rPr>
        <w:t xml:space="preserve"> </w:t>
      </w:r>
      <w:r>
        <w:t>based</w:t>
      </w:r>
      <w:r>
        <w:rPr>
          <w:spacing w:val="-9"/>
        </w:rPr>
        <w:t xml:space="preserve"> </w:t>
      </w:r>
      <w:r>
        <w:t>on</w:t>
      </w:r>
      <w:r>
        <w:rPr>
          <w:spacing w:val="-9"/>
        </w:rPr>
        <w:t xml:space="preserve"> </w:t>
      </w:r>
      <w:r>
        <w:t>age</w:t>
      </w:r>
      <w:r>
        <w:rPr>
          <w:spacing w:val="-9"/>
        </w:rPr>
        <w:t xml:space="preserve"> </w:t>
      </w:r>
      <w:r>
        <w:t>rather</w:t>
      </w:r>
      <w:r>
        <w:rPr>
          <w:spacing w:val="-9"/>
        </w:rPr>
        <w:t xml:space="preserve"> </w:t>
      </w:r>
      <w:r>
        <w:t>than grade. The age populations for NAEP 2022 are as follows:</w:t>
      </w:r>
    </w:p>
    <w:p w:rsidR="003F5784" w14:paraId="0EA5C84B" w14:textId="77777777">
      <w:pPr>
        <w:pStyle w:val="BodyText"/>
        <w:spacing w:before="209" w:line="232" w:lineRule="auto"/>
        <w:ind w:left="422" w:right="39"/>
      </w:pPr>
      <w:r>
        <w:rPr>
          <w:noProof/>
          <w:position w:val="3"/>
        </w:rPr>
        <w:drawing>
          <wp:inline distT="0" distB="0" distL="0" distR="0">
            <wp:extent cx="41379" cy="41345"/>
            <wp:effectExtent l="0" t="0" r="0" b="0"/>
            <wp:docPr id="132" name="Image 132"/>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xmlns:r="http://schemas.openxmlformats.org/officeDocument/2006/relationships" r:embed="rId113" cstate="print"/>
                    <a:stretch>
                      <a:fillRect/>
                    </a:stretch>
                  </pic:blipFill>
                  <pic:spPr>
                    <a:xfrm>
                      <a:off x="0" y="0"/>
                      <a:ext cx="41379" cy="41345"/>
                    </a:xfrm>
                    <a:prstGeom prst="rect">
                      <a:avLst/>
                    </a:prstGeom>
                  </pic:spPr>
                </pic:pic>
              </a:graphicData>
            </a:graphic>
          </wp:inline>
        </w:drawing>
      </w:r>
      <w:r>
        <w:rPr>
          <w:spacing w:val="80"/>
          <w:sz w:val="20"/>
        </w:rPr>
        <w:t xml:space="preserve"> </w:t>
      </w:r>
      <w:r>
        <w:t>age</w:t>
      </w:r>
      <w:r>
        <w:rPr>
          <w:spacing w:val="-4"/>
        </w:rPr>
        <w:t xml:space="preserve"> </w:t>
      </w:r>
      <w:r>
        <w:t>9</w:t>
      </w:r>
      <w:r>
        <w:rPr>
          <w:spacing w:val="-4"/>
        </w:rPr>
        <w:t xml:space="preserve"> </w:t>
      </w:r>
      <w:r>
        <w:t>population:</w:t>
      </w:r>
      <w:r>
        <w:rPr>
          <w:spacing w:val="-4"/>
        </w:rPr>
        <w:t xml:space="preserve"> </w:t>
      </w:r>
      <w:r>
        <w:t>all</w:t>
      </w:r>
      <w:r>
        <w:rPr>
          <w:spacing w:val="-4"/>
        </w:rPr>
        <w:t xml:space="preserve"> </w:t>
      </w:r>
      <w:r>
        <w:t>students</w:t>
      </w:r>
      <w:r>
        <w:rPr>
          <w:spacing w:val="-4"/>
        </w:rPr>
        <w:t xml:space="preserve"> </w:t>
      </w:r>
      <w:r>
        <w:t>born</w:t>
      </w:r>
      <w:r>
        <w:rPr>
          <w:spacing w:val="-4"/>
        </w:rPr>
        <w:t xml:space="preserve"> </w:t>
      </w:r>
      <w:r>
        <w:t>in</w:t>
      </w:r>
      <w:r>
        <w:rPr>
          <w:spacing w:val="-4"/>
        </w:rPr>
        <w:t xml:space="preserve"> </w:t>
      </w:r>
      <w:r>
        <w:t>2012</w:t>
      </w:r>
      <w:r>
        <w:rPr>
          <w:spacing w:val="-4"/>
        </w:rPr>
        <w:t xml:space="preserve"> </w:t>
      </w:r>
      <w:r>
        <w:t>(i.e.,</w:t>
      </w:r>
      <w:r>
        <w:rPr>
          <w:spacing w:val="-4"/>
        </w:rPr>
        <w:t xml:space="preserve"> </w:t>
      </w:r>
      <w:r>
        <w:t>all</w:t>
      </w:r>
      <w:r>
        <w:rPr>
          <w:spacing w:val="-4"/>
        </w:rPr>
        <w:t xml:space="preserve"> </w:t>
      </w:r>
      <w:r>
        <w:t>students</w:t>
      </w:r>
      <w:r>
        <w:rPr>
          <w:spacing w:val="-4"/>
        </w:rPr>
        <w:t xml:space="preserve"> </w:t>
      </w:r>
      <w:r>
        <w:t>who</w:t>
      </w:r>
      <w:r>
        <w:rPr>
          <w:spacing w:val="-4"/>
        </w:rPr>
        <w:t xml:space="preserve"> </w:t>
      </w:r>
      <w:r>
        <w:t>were</w:t>
      </w:r>
      <w:r>
        <w:rPr>
          <w:spacing w:val="-4"/>
        </w:rPr>
        <w:t xml:space="preserve"> </w:t>
      </w:r>
      <w:r>
        <w:t>nine</w:t>
      </w:r>
      <w:r>
        <w:rPr>
          <w:spacing w:val="-4"/>
        </w:rPr>
        <w:t xml:space="preserve"> </w:t>
      </w:r>
      <w:r>
        <w:t>years</w:t>
      </w:r>
      <w:r>
        <w:rPr>
          <w:spacing w:val="-4"/>
        </w:rPr>
        <w:t xml:space="preserve"> </w:t>
      </w:r>
      <w:r>
        <w:t>old</w:t>
      </w:r>
      <w:r>
        <w:rPr>
          <w:spacing w:val="-4"/>
        </w:rPr>
        <w:t xml:space="preserve"> </w:t>
      </w:r>
      <w:r>
        <w:t>on</w:t>
      </w:r>
      <w:r>
        <w:rPr>
          <w:spacing w:val="-4"/>
        </w:rPr>
        <w:t xml:space="preserve"> </w:t>
      </w:r>
      <w:r>
        <w:t>December</w:t>
      </w:r>
      <w:r>
        <w:rPr>
          <w:spacing w:val="-4"/>
        </w:rPr>
        <w:t xml:space="preserve"> </w:t>
      </w:r>
      <w:r>
        <w:t>31,</w:t>
      </w:r>
      <w:r>
        <w:rPr>
          <w:spacing w:val="-4"/>
        </w:rPr>
        <w:t xml:space="preserve"> </w:t>
      </w:r>
      <w:r>
        <w:t>2021);</w:t>
      </w:r>
      <w:r>
        <w:rPr>
          <w:spacing w:val="-4"/>
        </w:rPr>
        <w:t xml:space="preserve"> </w:t>
      </w:r>
      <w:r>
        <w:t xml:space="preserve">and </w:t>
      </w:r>
      <w:r>
        <w:rPr>
          <w:noProof/>
          <w:position w:val="3"/>
        </w:rPr>
        <w:drawing>
          <wp:inline distT="0" distB="0" distL="0" distR="0">
            <wp:extent cx="41379" cy="41345"/>
            <wp:effectExtent l="0" t="0" r="0" b="0"/>
            <wp:docPr id="133" name="Image 133"/>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xmlns:r="http://schemas.openxmlformats.org/officeDocument/2006/relationships" r:embed="rId114" cstate="print"/>
                    <a:stretch>
                      <a:fillRect/>
                    </a:stretch>
                  </pic:blipFill>
                  <pic:spPr>
                    <a:xfrm>
                      <a:off x="0" y="0"/>
                      <a:ext cx="41379" cy="41345"/>
                    </a:xfrm>
                    <a:prstGeom prst="rect">
                      <a:avLst/>
                    </a:prstGeom>
                  </pic:spPr>
                </pic:pic>
              </a:graphicData>
            </a:graphic>
          </wp:inline>
        </w:drawing>
      </w:r>
      <w:r>
        <w:rPr>
          <w:spacing w:val="78"/>
        </w:rPr>
        <w:t xml:space="preserve"> </w:t>
      </w:r>
      <w:r>
        <w:t>age</w:t>
      </w:r>
      <w:r>
        <w:rPr>
          <w:spacing w:val="-5"/>
        </w:rPr>
        <w:t xml:space="preserve"> </w:t>
      </w:r>
      <w:r>
        <w:t>13</w:t>
      </w:r>
      <w:r>
        <w:rPr>
          <w:spacing w:val="-5"/>
        </w:rPr>
        <w:t xml:space="preserve"> </w:t>
      </w:r>
      <w:r>
        <w:t>population:</w:t>
      </w:r>
      <w:r>
        <w:rPr>
          <w:spacing w:val="-5"/>
        </w:rPr>
        <w:t xml:space="preserve"> </w:t>
      </w:r>
      <w:r>
        <w:t>all</w:t>
      </w:r>
      <w:r>
        <w:rPr>
          <w:spacing w:val="-5"/>
        </w:rPr>
        <w:t xml:space="preserve"> </w:t>
      </w:r>
      <w:r>
        <w:t>students</w:t>
      </w:r>
      <w:r>
        <w:rPr>
          <w:spacing w:val="-5"/>
        </w:rPr>
        <w:t xml:space="preserve"> </w:t>
      </w:r>
      <w:r>
        <w:t>born</w:t>
      </w:r>
      <w:r>
        <w:rPr>
          <w:spacing w:val="-5"/>
        </w:rPr>
        <w:t xml:space="preserve"> </w:t>
      </w:r>
      <w:r>
        <w:t>in</w:t>
      </w:r>
      <w:r>
        <w:rPr>
          <w:spacing w:val="-5"/>
        </w:rPr>
        <w:t xml:space="preserve"> </w:t>
      </w:r>
      <w:r>
        <w:t>2009</w:t>
      </w:r>
      <w:r>
        <w:rPr>
          <w:spacing w:val="-5"/>
        </w:rPr>
        <w:t xml:space="preserve"> </w:t>
      </w:r>
      <w:r>
        <w:t>(i.e.,</w:t>
      </w:r>
      <w:r>
        <w:rPr>
          <w:spacing w:val="-5"/>
        </w:rPr>
        <w:t xml:space="preserve"> </w:t>
      </w:r>
      <w:r>
        <w:t>all</w:t>
      </w:r>
      <w:r>
        <w:rPr>
          <w:spacing w:val="-5"/>
        </w:rPr>
        <w:t xml:space="preserve"> </w:t>
      </w:r>
      <w:r>
        <w:t>students</w:t>
      </w:r>
      <w:r>
        <w:rPr>
          <w:spacing w:val="-5"/>
        </w:rPr>
        <w:t xml:space="preserve"> </w:t>
      </w:r>
      <w:r>
        <w:t>who</w:t>
      </w:r>
      <w:r>
        <w:rPr>
          <w:spacing w:val="-5"/>
        </w:rPr>
        <w:t xml:space="preserve"> </w:t>
      </w:r>
      <w:r>
        <w:t>were</w:t>
      </w:r>
      <w:r>
        <w:rPr>
          <w:spacing w:val="-5"/>
        </w:rPr>
        <w:t xml:space="preserve"> </w:t>
      </w:r>
      <w:r>
        <w:t>thirteen</w:t>
      </w:r>
      <w:r>
        <w:rPr>
          <w:spacing w:val="-5"/>
        </w:rPr>
        <w:t xml:space="preserve"> </w:t>
      </w:r>
      <w:r>
        <w:t>years</w:t>
      </w:r>
      <w:r>
        <w:rPr>
          <w:spacing w:val="-5"/>
        </w:rPr>
        <w:t xml:space="preserve"> </w:t>
      </w:r>
      <w:r>
        <w:t>old</w:t>
      </w:r>
      <w:r>
        <w:rPr>
          <w:spacing w:val="-5"/>
        </w:rPr>
        <w:t xml:space="preserve"> </w:t>
      </w:r>
      <w:r>
        <w:t>on</w:t>
      </w:r>
      <w:r>
        <w:rPr>
          <w:spacing w:val="-5"/>
        </w:rPr>
        <w:t xml:space="preserve"> </w:t>
      </w:r>
      <w:r>
        <w:t>December</w:t>
      </w:r>
      <w:r>
        <w:rPr>
          <w:spacing w:val="-5"/>
        </w:rPr>
        <w:t xml:space="preserve"> </w:t>
      </w:r>
      <w:r>
        <w:t>31,</w:t>
      </w:r>
      <w:r>
        <w:rPr>
          <w:spacing w:val="-5"/>
        </w:rPr>
        <w:t xml:space="preserve"> </w:t>
      </w:r>
      <w:r>
        <w:t>2022).</w:t>
      </w:r>
    </w:p>
    <w:p w:rsidR="003F5784" w14:paraId="0901B0ED" w14:textId="77777777">
      <w:pPr>
        <w:pStyle w:val="BodyText"/>
        <w:spacing w:before="240" w:line="440" w:lineRule="atLeast"/>
        <w:ind w:left="422" w:right="39" w:hanging="313"/>
      </w:pPr>
      <w:r>
        <w:t>The</w:t>
      </w:r>
      <w:r>
        <w:rPr>
          <w:spacing w:val="-9"/>
        </w:rPr>
        <w:t xml:space="preserve"> </w:t>
      </w:r>
      <w:r>
        <w:t>NAEP</w:t>
      </w:r>
      <w:r>
        <w:rPr>
          <w:spacing w:val="-14"/>
        </w:rPr>
        <w:t xml:space="preserve"> </w:t>
      </w:r>
      <w:r>
        <w:t>2022</w:t>
      </w:r>
      <w:r>
        <w:rPr>
          <w:spacing w:val="-7"/>
        </w:rPr>
        <w:t xml:space="preserve"> </w:t>
      </w:r>
      <w:r>
        <w:t>sample</w:t>
      </w:r>
      <w:r>
        <w:rPr>
          <w:spacing w:val="-8"/>
        </w:rPr>
        <w:t xml:space="preserve"> </w:t>
      </w:r>
      <w:r>
        <w:t>design</w:t>
      </w:r>
      <w:r>
        <w:rPr>
          <w:spacing w:val="-8"/>
        </w:rPr>
        <w:t xml:space="preserve"> </w:t>
      </w:r>
      <w:r>
        <w:t>consisted</w:t>
      </w:r>
      <w:r>
        <w:rPr>
          <w:spacing w:val="-8"/>
        </w:rPr>
        <w:t xml:space="preserve"> </w:t>
      </w:r>
      <w:r>
        <w:t>of</w:t>
      </w:r>
      <w:r>
        <w:rPr>
          <w:spacing w:val="-8"/>
        </w:rPr>
        <w:t xml:space="preserve"> </w:t>
      </w:r>
      <w:r>
        <w:t>nationally</w:t>
      </w:r>
      <w:r>
        <w:rPr>
          <w:spacing w:val="-8"/>
        </w:rPr>
        <w:t xml:space="preserve"> </w:t>
      </w:r>
      <w:r>
        <w:t>representative</w:t>
      </w:r>
      <w:r>
        <w:rPr>
          <w:spacing w:val="-8"/>
        </w:rPr>
        <w:t xml:space="preserve"> </w:t>
      </w:r>
      <w:r>
        <w:t>samples</w:t>
      </w:r>
      <w:r>
        <w:rPr>
          <w:spacing w:val="-8"/>
        </w:rPr>
        <w:t xml:space="preserve"> </w:t>
      </w:r>
      <w:r>
        <w:t>of</w:t>
      </w:r>
      <w:r>
        <w:rPr>
          <w:spacing w:val="-8"/>
        </w:rPr>
        <w:t xml:space="preserve"> </w:t>
      </w:r>
      <w:r>
        <w:t>students</w:t>
      </w:r>
      <w:r>
        <w:rPr>
          <w:spacing w:val="-8"/>
        </w:rPr>
        <w:t xml:space="preserve"> </w:t>
      </w:r>
      <w:r>
        <w:t>for</w:t>
      </w:r>
      <w:r>
        <w:rPr>
          <w:spacing w:val="-8"/>
        </w:rPr>
        <w:t xml:space="preserve"> </w:t>
      </w:r>
      <w:r>
        <w:t>the</w:t>
      </w:r>
      <w:r>
        <w:rPr>
          <w:spacing w:val="-8"/>
        </w:rPr>
        <w:t xml:space="preserve"> </w:t>
      </w:r>
      <w:r>
        <w:t>following</w:t>
      </w:r>
      <w:r>
        <w:rPr>
          <w:spacing w:val="-8"/>
        </w:rPr>
        <w:t xml:space="preserve"> </w:t>
      </w:r>
      <w:r>
        <w:t xml:space="preserve">assessments: </w:t>
      </w:r>
      <w:r>
        <w:rPr>
          <w:noProof/>
          <w:position w:val="3"/>
        </w:rPr>
        <w:drawing>
          <wp:inline distT="0" distB="0" distL="0" distR="0">
            <wp:extent cx="41379" cy="41345"/>
            <wp:effectExtent l="0" t="0" r="0" b="0"/>
            <wp:docPr id="134" name="Image 134"/>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xmlns:r="http://schemas.openxmlformats.org/officeDocument/2006/relationships" r:embed="rId115" cstate="print"/>
                    <a:stretch>
                      <a:fillRect/>
                    </a:stretch>
                  </pic:blipFill>
                  <pic:spPr>
                    <a:xfrm>
                      <a:off x="0" y="0"/>
                      <a:ext cx="41379" cy="41345"/>
                    </a:xfrm>
                    <a:prstGeom prst="rect">
                      <a:avLst/>
                    </a:prstGeom>
                  </pic:spPr>
                </pic:pic>
              </a:graphicData>
            </a:graphic>
          </wp:inline>
        </w:drawing>
      </w:r>
      <w:r>
        <w:rPr>
          <w:spacing w:val="80"/>
        </w:rPr>
        <w:t xml:space="preserve"> </w:t>
      </w:r>
      <w:r>
        <w:t>reading at age 9;</w:t>
      </w:r>
    </w:p>
    <w:p w:rsidR="003F5784" w14:paraId="20ED391C" w14:textId="77777777">
      <w:pPr>
        <w:pStyle w:val="BodyText"/>
        <w:spacing w:before="90"/>
        <w:ind w:left="109"/>
        <w:jc w:val="both"/>
      </w:pPr>
      <w:r>
        <w:br w:type="column"/>
        <w:t>Selection</w:t>
      </w:r>
      <w:r>
        <w:rPr>
          <w:spacing w:val="-8"/>
        </w:rPr>
        <w:t xml:space="preserve"> </w:t>
      </w:r>
      <w:r>
        <w:t>of</w:t>
      </w:r>
      <w:r>
        <w:rPr>
          <w:spacing w:val="-7"/>
        </w:rPr>
        <w:t xml:space="preserve"> </w:t>
      </w:r>
      <w:r>
        <w:t>Primary</w:t>
      </w:r>
      <w:r>
        <w:rPr>
          <w:spacing w:val="-7"/>
        </w:rPr>
        <w:t xml:space="preserve"> </w:t>
      </w:r>
      <w:r>
        <w:t>Sampling</w:t>
      </w:r>
      <w:r>
        <w:rPr>
          <w:spacing w:val="-7"/>
        </w:rPr>
        <w:t xml:space="preserve"> </w:t>
      </w:r>
      <w:r>
        <w:rPr>
          <w:spacing w:val="-2"/>
        </w:rPr>
        <w:t>Units</w:t>
      </w:r>
    </w:p>
    <w:p w:rsidR="003F5784" w14:paraId="47B4A5D0" w14:textId="77777777">
      <w:pPr>
        <w:pStyle w:val="BodyText"/>
        <w:spacing w:before="202" w:line="439" w:lineRule="auto"/>
        <w:ind w:left="109" w:right="144"/>
        <w:jc w:val="both"/>
      </w:pPr>
      <w:r>
        <w:t>2022</w:t>
      </w:r>
      <w:r>
        <w:rPr>
          <w:spacing w:val="-10"/>
        </w:rPr>
        <w:t xml:space="preserve"> </w:t>
      </w:r>
      <w:r>
        <w:t>Public</w:t>
      </w:r>
      <w:r>
        <w:rPr>
          <w:spacing w:val="-7"/>
        </w:rPr>
        <w:t xml:space="preserve"> </w:t>
      </w:r>
      <w:r>
        <w:t>School</w:t>
      </w:r>
      <w:r>
        <w:rPr>
          <w:spacing w:val="-7"/>
        </w:rPr>
        <w:t xml:space="preserve"> </w:t>
      </w:r>
      <w:r>
        <w:t>Long-Term</w:t>
      </w:r>
      <w:r>
        <w:rPr>
          <w:spacing w:val="-11"/>
        </w:rPr>
        <w:t xml:space="preserve"> </w:t>
      </w:r>
      <w:r>
        <w:t>Trend</w:t>
      </w:r>
      <w:r>
        <w:rPr>
          <w:spacing w:val="-14"/>
        </w:rPr>
        <w:t xml:space="preserve"> </w:t>
      </w:r>
      <w:r>
        <w:t xml:space="preserve">Assessment </w:t>
      </w:r>
      <w:r>
        <w:rPr>
          <w:spacing w:val="-2"/>
        </w:rPr>
        <w:t>2022</w:t>
      </w:r>
      <w:r>
        <w:rPr>
          <w:spacing w:val="-3"/>
        </w:rPr>
        <w:t xml:space="preserve"> </w:t>
      </w:r>
      <w:r>
        <w:rPr>
          <w:spacing w:val="-2"/>
        </w:rPr>
        <w:t>Private School Long-Term</w:t>
      </w:r>
      <w:r>
        <w:rPr>
          <w:spacing w:val="-6"/>
        </w:rPr>
        <w:t xml:space="preserve"> </w:t>
      </w:r>
      <w:r>
        <w:rPr>
          <w:spacing w:val="-2"/>
        </w:rPr>
        <w:t>Trend</w:t>
      </w:r>
      <w:r>
        <w:rPr>
          <w:spacing w:val="-12"/>
        </w:rPr>
        <w:t xml:space="preserve"> </w:t>
      </w:r>
      <w:r>
        <w:rPr>
          <w:spacing w:val="-2"/>
        </w:rPr>
        <w:t xml:space="preserve">Assessment </w:t>
      </w:r>
      <w:r>
        <w:t>School and Student Participation Results</w:t>
      </w:r>
    </w:p>
    <w:p w:rsidR="003F5784" w14:paraId="7849F0B4" w14:textId="77777777">
      <w:pPr>
        <w:spacing w:line="439" w:lineRule="auto"/>
        <w:jc w:val="both"/>
        <w:sectPr>
          <w:type w:val="continuous"/>
          <w:pgSz w:w="15840" w:h="12240" w:orient="landscape"/>
          <w:pgMar w:top="480" w:right="440" w:bottom="460" w:left="460" w:header="284" w:footer="275" w:gutter="0"/>
          <w:cols w:num="2" w:space="720" w:equalWidth="0">
            <w:col w:w="10204" w:space="225"/>
            <w:col w:w="4511"/>
          </w:cols>
        </w:sectPr>
      </w:pPr>
    </w:p>
    <w:p w:rsidR="003F5784" w14:paraId="47A428EB" w14:textId="77777777">
      <w:pPr>
        <w:pStyle w:val="BodyText"/>
        <w:spacing w:before="78" w:line="232" w:lineRule="auto"/>
        <w:ind w:left="422" w:right="12395"/>
        <w:jc w:val="both"/>
      </w:pPr>
      <w:r>
        <w:rPr>
          <w:noProof/>
          <w:position w:val="3"/>
        </w:rPr>
        <w:drawing>
          <wp:inline distT="0" distB="0" distL="0" distR="0">
            <wp:extent cx="41379" cy="41345"/>
            <wp:effectExtent l="0" t="0" r="0" b="0"/>
            <wp:docPr id="135" name="Image 135"/>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xmlns:r="http://schemas.openxmlformats.org/officeDocument/2006/relationships" r:embed="rId91" cstate="print"/>
                    <a:stretch>
                      <a:fillRect/>
                    </a:stretch>
                  </pic:blipFill>
                  <pic:spPr>
                    <a:xfrm>
                      <a:off x="0" y="0"/>
                      <a:ext cx="41379" cy="41345"/>
                    </a:xfrm>
                    <a:prstGeom prst="rect">
                      <a:avLst/>
                    </a:prstGeom>
                  </pic:spPr>
                </pic:pic>
              </a:graphicData>
            </a:graphic>
          </wp:inline>
        </w:drawing>
      </w:r>
      <w:r>
        <w:rPr>
          <w:spacing w:val="80"/>
          <w:sz w:val="20"/>
        </w:rPr>
        <w:t xml:space="preserve"> </w:t>
      </w:r>
      <w:r>
        <w:t>mathematics at age 9;</w:t>
      </w:r>
      <w:r>
        <w:rPr>
          <w:spacing w:val="40"/>
        </w:rPr>
        <w:t xml:space="preserve"> </w:t>
      </w:r>
      <w:r>
        <w:rPr>
          <w:noProof/>
          <w:position w:val="3"/>
        </w:rPr>
        <w:drawing>
          <wp:inline distT="0" distB="0" distL="0" distR="0">
            <wp:extent cx="41379" cy="41345"/>
            <wp:effectExtent l="0" t="0" r="0" b="0"/>
            <wp:docPr id="136" name="Image 136"/>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xmlns:r="http://schemas.openxmlformats.org/officeDocument/2006/relationships" r:embed="rId116" cstate="print"/>
                    <a:stretch>
                      <a:fillRect/>
                    </a:stretch>
                  </pic:blipFill>
                  <pic:spPr>
                    <a:xfrm>
                      <a:off x="0" y="0"/>
                      <a:ext cx="41379" cy="41345"/>
                    </a:xfrm>
                    <a:prstGeom prst="rect">
                      <a:avLst/>
                    </a:prstGeom>
                  </pic:spPr>
                </pic:pic>
              </a:graphicData>
            </a:graphic>
          </wp:inline>
        </w:drawing>
      </w:r>
      <w:r>
        <w:rPr>
          <w:spacing w:val="80"/>
        </w:rPr>
        <w:t xml:space="preserve"> </w:t>
      </w:r>
      <w:r>
        <w:t xml:space="preserve">reading at age 13; and </w:t>
      </w:r>
      <w:r>
        <w:rPr>
          <w:noProof/>
          <w:position w:val="3"/>
        </w:rPr>
        <w:drawing>
          <wp:inline distT="0" distB="0" distL="0" distR="0">
            <wp:extent cx="41379" cy="41345"/>
            <wp:effectExtent l="0" t="0" r="0" b="0"/>
            <wp:docPr id="137" name="Image 137"/>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xmlns:r="http://schemas.openxmlformats.org/officeDocument/2006/relationships" r:embed="rId117" cstate="print"/>
                    <a:stretch>
                      <a:fillRect/>
                    </a:stretch>
                  </pic:blipFill>
                  <pic:spPr>
                    <a:xfrm>
                      <a:off x="0" y="0"/>
                      <a:ext cx="41379" cy="41345"/>
                    </a:xfrm>
                    <a:prstGeom prst="rect">
                      <a:avLst/>
                    </a:prstGeom>
                  </pic:spPr>
                </pic:pic>
              </a:graphicData>
            </a:graphic>
          </wp:inline>
        </w:drawing>
      </w:r>
      <w:r>
        <w:rPr>
          <w:spacing w:val="67"/>
        </w:rPr>
        <w:t xml:space="preserve"> </w:t>
      </w:r>
      <w:r>
        <w:t>mathematics</w:t>
      </w:r>
      <w:r>
        <w:rPr>
          <w:spacing w:val="-9"/>
        </w:rPr>
        <w:t xml:space="preserve"> </w:t>
      </w:r>
      <w:r>
        <w:t>at</w:t>
      </w:r>
      <w:r>
        <w:rPr>
          <w:spacing w:val="-9"/>
        </w:rPr>
        <w:t xml:space="preserve"> </w:t>
      </w:r>
      <w:r>
        <w:t>age</w:t>
      </w:r>
      <w:r>
        <w:rPr>
          <w:spacing w:val="-9"/>
        </w:rPr>
        <w:t xml:space="preserve"> </w:t>
      </w:r>
      <w:r>
        <w:t>13.</w:t>
      </w:r>
    </w:p>
    <w:p w:rsidR="003F5784" w14:paraId="7FC29F33" w14:textId="77777777">
      <w:pPr>
        <w:pStyle w:val="BodyText"/>
        <w:spacing w:before="5" w:line="440" w:lineRule="atLeast"/>
        <w:ind w:left="422" w:right="193" w:hanging="313"/>
        <w:jc w:val="both"/>
      </w:pPr>
      <w:r>
        <w:t>This</w:t>
      </w:r>
      <w:r>
        <w:rPr>
          <w:spacing w:val="-6"/>
        </w:rPr>
        <w:t xml:space="preserve"> </w:t>
      </w:r>
      <w:r>
        <w:t>was</w:t>
      </w:r>
      <w:r>
        <w:rPr>
          <w:spacing w:val="-6"/>
        </w:rPr>
        <w:t xml:space="preserve"> </w:t>
      </w:r>
      <w:r>
        <w:t>accomplished</w:t>
      </w:r>
      <w:r>
        <w:rPr>
          <w:spacing w:val="-6"/>
        </w:rPr>
        <w:t xml:space="preserve"> </w:t>
      </w:r>
      <w:r>
        <w:t>by</w:t>
      </w:r>
      <w:r>
        <w:rPr>
          <w:spacing w:val="-6"/>
        </w:rPr>
        <w:t xml:space="preserve"> </w:t>
      </w:r>
      <w:r>
        <w:t>designing</w:t>
      </w:r>
      <w:r>
        <w:rPr>
          <w:spacing w:val="-6"/>
        </w:rPr>
        <w:t xml:space="preserve"> </w:t>
      </w:r>
      <w:r>
        <w:t>separate</w:t>
      </w:r>
      <w:r>
        <w:rPr>
          <w:spacing w:val="-6"/>
        </w:rPr>
        <w:t xml:space="preserve"> </w:t>
      </w:r>
      <w:r>
        <w:t>sample</w:t>
      </w:r>
      <w:r>
        <w:rPr>
          <w:spacing w:val="-6"/>
        </w:rPr>
        <w:t xml:space="preserve"> </w:t>
      </w:r>
      <w:r>
        <w:t>components</w:t>
      </w:r>
      <w:r>
        <w:rPr>
          <w:spacing w:val="-6"/>
        </w:rPr>
        <w:t xml:space="preserve"> </w:t>
      </w:r>
      <w:r>
        <w:t>for</w:t>
      </w:r>
      <w:r>
        <w:rPr>
          <w:spacing w:val="-6"/>
        </w:rPr>
        <w:t xml:space="preserve"> </w:t>
      </w:r>
      <w:r>
        <w:t>public</w:t>
      </w:r>
      <w:r>
        <w:rPr>
          <w:spacing w:val="-6"/>
        </w:rPr>
        <w:t xml:space="preserve"> </w:t>
      </w:r>
      <w:r>
        <w:t>and</w:t>
      </w:r>
      <w:r>
        <w:rPr>
          <w:spacing w:val="-6"/>
        </w:rPr>
        <w:t xml:space="preserve"> </w:t>
      </w:r>
      <w:r>
        <w:t>private</w:t>
      </w:r>
      <w:r>
        <w:rPr>
          <w:spacing w:val="-6"/>
        </w:rPr>
        <w:t xml:space="preserve"> </w:t>
      </w:r>
      <w:r>
        <w:t>schools</w:t>
      </w:r>
      <w:r>
        <w:rPr>
          <w:spacing w:val="-6"/>
        </w:rPr>
        <w:t xml:space="preserve"> </w:t>
      </w:r>
      <w:r>
        <w:t>for</w:t>
      </w:r>
      <w:r>
        <w:rPr>
          <w:spacing w:val="-6"/>
        </w:rPr>
        <w:t xml:space="preserve"> </w:t>
      </w:r>
      <w:r>
        <w:t>each</w:t>
      </w:r>
      <w:r>
        <w:rPr>
          <w:spacing w:val="-6"/>
        </w:rPr>
        <w:t xml:space="preserve"> </w:t>
      </w:r>
      <w:r>
        <w:t>age.</w:t>
      </w:r>
      <w:r>
        <w:rPr>
          <w:spacing w:val="-10"/>
        </w:rPr>
        <w:t xml:space="preserve"> </w:t>
      </w:r>
      <w:r>
        <w:t>The</w:t>
      </w:r>
      <w:r>
        <w:rPr>
          <w:spacing w:val="-6"/>
        </w:rPr>
        <w:t xml:space="preserve"> </w:t>
      </w:r>
      <w:r>
        <w:t>selected</w:t>
      </w:r>
      <w:r>
        <w:rPr>
          <w:spacing w:val="-6"/>
        </w:rPr>
        <w:t xml:space="preserve"> </w:t>
      </w:r>
      <w:r>
        <w:t>samples</w:t>
      </w:r>
      <w:r>
        <w:rPr>
          <w:spacing w:val="-6"/>
        </w:rPr>
        <w:t xml:space="preserve"> </w:t>
      </w:r>
      <w:r>
        <w:t>were</w:t>
      </w:r>
      <w:r>
        <w:rPr>
          <w:spacing w:val="-6"/>
        </w:rPr>
        <w:t xml:space="preserve"> </w:t>
      </w:r>
      <w:r>
        <w:t>based</w:t>
      </w:r>
      <w:r>
        <w:rPr>
          <w:spacing w:val="-6"/>
        </w:rPr>
        <w:t xml:space="preserve"> </w:t>
      </w:r>
      <w:r>
        <w:t>on</w:t>
      </w:r>
      <w:r>
        <w:rPr>
          <w:spacing w:val="-6"/>
        </w:rPr>
        <w:t xml:space="preserve"> </w:t>
      </w:r>
      <w:r>
        <w:t>a</w:t>
      </w:r>
      <w:r>
        <w:rPr>
          <w:spacing w:val="-6"/>
        </w:rPr>
        <w:t xml:space="preserve"> </w:t>
      </w:r>
      <w:r>
        <w:t>three-stage</w:t>
      </w:r>
      <w:r>
        <w:rPr>
          <w:spacing w:val="-6"/>
        </w:rPr>
        <w:t xml:space="preserve"> </w:t>
      </w:r>
      <w:r>
        <w:t>sample</w:t>
      </w:r>
      <w:r>
        <w:rPr>
          <w:spacing w:val="-6"/>
        </w:rPr>
        <w:t xml:space="preserve"> </w:t>
      </w:r>
      <w:r>
        <w:t xml:space="preserve">design: </w:t>
      </w:r>
      <w:r>
        <w:rPr>
          <w:noProof/>
          <w:position w:val="3"/>
        </w:rPr>
        <w:drawing>
          <wp:inline distT="0" distB="0" distL="0" distR="0">
            <wp:extent cx="41379" cy="41345"/>
            <wp:effectExtent l="0" t="0" r="0" b="0"/>
            <wp:docPr id="138" name="Image 138"/>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xmlns:r="http://schemas.openxmlformats.org/officeDocument/2006/relationships" r:embed="rId118" cstate="print"/>
                    <a:stretch>
                      <a:fillRect/>
                    </a:stretch>
                  </pic:blipFill>
                  <pic:spPr>
                    <a:xfrm>
                      <a:off x="0" y="0"/>
                      <a:ext cx="41379" cy="41345"/>
                    </a:xfrm>
                    <a:prstGeom prst="rect">
                      <a:avLst/>
                    </a:prstGeom>
                  </pic:spPr>
                </pic:pic>
              </a:graphicData>
            </a:graphic>
          </wp:inline>
        </w:drawing>
      </w:r>
      <w:r>
        <w:rPr>
          <w:spacing w:val="80"/>
        </w:rPr>
        <w:t xml:space="preserve"> </w:t>
      </w:r>
      <w:r>
        <w:t>selection of primary sampling units (PSUs);</w:t>
      </w:r>
    </w:p>
    <w:p w:rsidR="003F5784" w14:paraId="686273F1" w14:textId="77777777">
      <w:pPr>
        <w:pStyle w:val="BodyText"/>
        <w:spacing w:before="2" w:line="232" w:lineRule="auto"/>
        <w:ind w:left="422" w:right="11162"/>
        <w:jc w:val="both"/>
      </w:pPr>
      <w:r>
        <w:rPr>
          <w:noProof/>
          <w:position w:val="3"/>
        </w:rPr>
        <w:drawing>
          <wp:inline distT="0" distB="0" distL="0" distR="0">
            <wp:extent cx="41379" cy="41345"/>
            <wp:effectExtent l="0" t="0" r="0" b="0"/>
            <wp:docPr id="139" name="Image 139"/>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xmlns:r="http://schemas.openxmlformats.org/officeDocument/2006/relationships" r:embed="rId119" cstate="print"/>
                    <a:stretch>
                      <a:fillRect/>
                    </a:stretch>
                  </pic:blipFill>
                  <pic:spPr>
                    <a:xfrm>
                      <a:off x="0" y="0"/>
                      <a:ext cx="41379" cy="41345"/>
                    </a:xfrm>
                    <a:prstGeom prst="rect">
                      <a:avLst/>
                    </a:prstGeom>
                  </pic:spPr>
                </pic:pic>
              </a:graphicData>
            </a:graphic>
          </wp:inline>
        </w:drawing>
      </w:r>
      <w:r>
        <w:rPr>
          <w:spacing w:val="40"/>
          <w:sz w:val="20"/>
        </w:rPr>
        <w:t xml:space="preserve"> </w:t>
      </w:r>
      <w:r>
        <w:t>selection</w:t>
      </w:r>
      <w:r>
        <w:rPr>
          <w:spacing w:val="-8"/>
        </w:rPr>
        <w:t xml:space="preserve"> </w:t>
      </w:r>
      <w:r>
        <w:t>of</w:t>
      </w:r>
      <w:r>
        <w:rPr>
          <w:spacing w:val="-8"/>
        </w:rPr>
        <w:t xml:space="preserve"> </w:t>
      </w:r>
      <w:r>
        <w:t>schools</w:t>
      </w:r>
      <w:r>
        <w:rPr>
          <w:spacing w:val="-8"/>
        </w:rPr>
        <w:t xml:space="preserve"> </w:t>
      </w:r>
      <w:r>
        <w:t>within</w:t>
      </w:r>
      <w:r>
        <w:rPr>
          <w:spacing w:val="-8"/>
        </w:rPr>
        <w:t xml:space="preserve"> </w:t>
      </w:r>
      <w:r>
        <w:t>strata;</w:t>
      </w:r>
      <w:r>
        <w:rPr>
          <w:spacing w:val="-8"/>
        </w:rPr>
        <w:t xml:space="preserve"> </w:t>
      </w:r>
      <w:r>
        <w:t xml:space="preserve">and </w:t>
      </w:r>
      <w:r>
        <w:rPr>
          <w:noProof/>
          <w:position w:val="3"/>
        </w:rPr>
        <w:drawing>
          <wp:inline distT="0" distB="0" distL="0" distR="0">
            <wp:extent cx="41379" cy="41345"/>
            <wp:effectExtent l="0" t="0" r="0" b="0"/>
            <wp:docPr id="140" name="Image 140"/>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xmlns:r="http://schemas.openxmlformats.org/officeDocument/2006/relationships" r:embed="rId71" cstate="print"/>
                    <a:stretch>
                      <a:fillRect/>
                    </a:stretch>
                  </pic:blipFill>
                  <pic:spPr>
                    <a:xfrm>
                      <a:off x="0" y="0"/>
                      <a:ext cx="41379" cy="41345"/>
                    </a:xfrm>
                    <a:prstGeom prst="rect">
                      <a:avLst/>
                    </a:prstGeom>
                  </pic:spPr>
                </pic:pic>
              </a:graphicData>
            </a:graphic>
          </wp:inline>
        </w:drawing>
      </w:r>
      <w:r>
        <w:rPr>
          <w:spacing w:val="80"/>
        </w:rPr>
        <w:t xml:space="preserve"> </w:t>
      </w:r>
      <w:r>
        <w:t>selection of students within schools.</w:t>
      </w:r>
    </w:p>
    <w:p w:rsidR="003F5784" w14:paraId="2406CDAD" w14:textId="77777777">
      <w:pPr>
        <w:pStyle w:val="BodyText"/>
        <w:spacing w:before="210" w:line="232" w:lineRule="auto"/>
        <w:ind w:left="109" w:right="179"/>
      </w:pPr>
      <w:r>
        <w:t>The</w:t>
      </w:r>
      <w:r>
        <w:rPr>
          <w:spacing w:val="-7"/>
        </w:rPr>
        <w:t xml:space="preserve"> </w:t>
      </w:r>
      <w:r>
        <w:t>samples</w:t>
      </w:r>
      <w:r>
        <w:rPr>
          <w:spacing w:val="-5"/>
        </w:rPr>
        <w:t xml:space="preserve"> </w:t>
      </w:r>
      <w:r>
        <w:t>of</w:t>
      </w:r>
      <w:r>
        <w:rPr>
          <w:spacing w:val="-5"/>
        </w:rPr>
        <w:t xml:space="preserve"> </w:t>
      </w:r>
      <w:r>
        <w:t>schools</w:t>
      </w:r>
      <w:r>
        <w:rPr>
          <w:spacing w:val="-5"/>
        </w:rPr>
        <w:t xml:space="preserve"> </w:t>
      </w:r>
      <w:r>
        <w:t>were</w:t>
      </w:r>
      <w:r>
        <w:rPr>
          <w:spacing w:val="-5"/>
        </w:rPr>
        <w:t xml:space="preserve"> </w:t>
      </w:r>
      <w:r>
        <w:t>selected</w:t>
      </w:r>
      <w:r>
        <w:rPr>
          <w:spacing w:val="-5"/>
        </w:rPr>
        <w:t xml:space="preserve"> </w:t>
      </w:r>
      <w:r>
        <w:t>with</w:t>
      </w:r>
      <w:r>
        <w:rPr>
          <w:spacing w:val="-5"/>
        </w:rPr>
        <w:t xml:space="preserve"> </w:t>
      </w:r>
      <w:r>
        <w:t>probability</w:t>
      </w:r>
      <w:r>
        <w:rPr>
          <w:spacing w:val="-5"/>
        </w:rPr>
        <w:t xml:space="preserve"> </w:t>
      </w:r>
      <w:r>
        <w:t>proportional</w:t>
      </w:r>
      <w:r>
        <w:rPr>
          <w:spacing w:val="-5"/>
        </w:rPr>
        <w:t xml:space="preserve"> </w:t>
      </w:r>
      <w:r>
        <w:t>to</w:t>
      </w:r>
      <w:r>
        <w:rPr>
          <w:spacing w:val="-5"/>
        </w:rPr>
        <w:t xml:space="preserve"> </w:t>
      </w:r>
      <w:r>
        <w:t>a</w:t>
      </w:r>
      <w:r>
        <w:rPr>
          <w:spacing w:val="-5"/>
        </w:rPr>
        <w:t xml:space="preserve"> </w:t>
      </w:r>
      <w:r>
        <w:t>measure</w:t>
      </w:r>
      <w:r>
        <w:rPr>
          <w:spacing w:val="-5"/>
        </w:rPr>
        <w:t xml:space="preserve"> </w:t>
      </w:r>
      <w:r>
        <w:t>of</w:t>
      </w:r>
      <w:r>
        <w:rPr>
          <w:spacing w:val="-5"/>
        </w:rPr>
        <w:t xml:space="preserve"> </w:t>
      </w:r>
      <w:r>
        <w:t>size</w:t>
      </w:r>
      <w:r>
        <w:rPr>
          <w:spacing w:val="-5"/>
        </w:rPr>
        <w:t xml:space="preserve"> </w:t>
      </w:r>
      <w:r>
        <w:t>based</w:t>
      </w:r>
      <w:r>
        <w:rPr>
          <w:spacing w:val="-5"/>
        </w:rPr>
        <w:t xml:space="preserve"> </w:t>
      </w:r>
      <w:r>
        <w:t>on</w:t>
      </w:r>
      <w:r>
        <w:rPr>
          <w:spacing w:val="-5"/>
        </w:rPr>
        <w:t xml:space="preserve"> </w:t>
      </w:r>
      <w:r>
        <w:t>the</w:t>
      </w:r>
      <w:r>
        <w:rPr>
          <w:spacing w:val="-5"/>
        </w:rPr>
        <w:t xml:space="preserve"> </w:t>
      </w:r>
      <w:r>
        <w:t>estimated</w:t>
      </w:r>
      <w:r>
        <w:rPr>
          <w:spacing w:val="-5"/>
        </w:rPr>
        <w:t xml:space="preserve"> </w:t>
      </w:r>
      <w:r>
        <w:t>age</w:t>
      </w:r>
      <w:r>
        <w:rPr>
          <w:spacing w:val="-5"/>
        </w:rPr>
        <w:t xml:space="preserve"> </w:t>
      </w:r>
      <w:r>
        <w:t>9</w:t>
      </w:r>
      <w:r>
        <w:rPr>
          <w:spacing w:val="-5"/>
        </w:rPr>
        <w:t xml:space="preserve"> </w:t>
      </w:r>
      <w:r>
        <w:t>or</w:t>
      </w:r>
      <w:r>
        <w:rPr>
          <w:spacing w:val="-5"/>
        </w:rPr>
        <w:t xml:space="preserve"> </w:t>
      </w:r>
      <w:r>
        <w:t>age</w:t>
      </w:r>
      <w:r>
        <w:rPr>
          <w:spacing w:val="-5"/>
        </w:rPr>
        <w:t xml:space="preserve"> </w:t>
      </w:r>
      <w:r>
        <w:t>13</w:t>
      </w:r>
      <w:r>
        <w:rPr>
          <w:spacing w:val="-5"/>
        </w:rPr>
        <w:t xml:space="preserve"> </w:t>
      </w:r>
      <w:r>
        <w:t>enrollment</w:t>
      </w:r>
      <w:r>
        <w:rPr>
          <w:spacing w:val="-5"/>
        </w:rPr>
        <w:t xml:space="preserve"> </w:t>
      </w:r>
      <w:r>
        <w:t>in</w:t>
      </w:r>
      <w:r>
        <w:rPr>
          <w:spacing w:val="-5"/>
        </w:rPr>
        <w:t xml:space="preserve"> </w:t>
      </w:r>
      <w:r>
        <w:t>the</w:t>
      </w:r>
      <w:r>
        <w:rPr>
          <w:spacing w:val="-5"/>
        </w:rPr>
        <w:t xml:space="preserve"> </w:t>
      </w:r>
      <w:r>
        <w:t>schools.</w:t>
      </w:r>
      <w:r>
        <w:rPr>
          <w:spacing w:val="-14"/>
        </w:rPr>
        <w:t xml:space="preserve"> </w:t>
      </w:r>
      <w:r>
        <w:t>An</w:t>
      </w:r>
      <w:r>
        <w:rPr>
          <w:spacing w:val="-4"/>
        </w:rPr>
        <w:t xml:space="preserve"> </w:t>
      </w:r>
      <w:r>
        <w:t>adjustment</w:t>
      </w:r>
      <w:r>
        <w:rPr>
          <w:spacing w:val="-5"/>
        </w:rPr>
        <w:t xml:space="preserve"> </w:t>
      </w:r>
      <w:r>
        <w:t>was made to the initial measures of size in an attempt to ensure the inclusion of all eligible schools that were part of the 2020 LTT</w:t>
      </w:r>
      <w:r>
        <w:rPr>
          <w:spacing w:val="-4"/>
        </w:rPr>
        <w:t xml:space="preserve"> </w:t>
      </w:r>
      <w:r>
        <w:t>sample for the respective age (9 or 13).</w:t>
      </w:r>
      <w:r>
        <w:rPr>
          <w:spacing w:val="-4"/>
        </w:rPr>
        <w:t xml:space="preserve"> </w:t>
      </w:r>
      <w:r>
        <w:t>The NAEP</w:t>
      </w:r>
      <w:r>
        <w:rPr>
          <w:spacing w:val="-13"/>
        </w:rPr>
        <w:t xml:space="preserve"> </w:t>
      </w:r>
      <w:r>
        <w:t>sampling</w:t>
      </w:r>
      <w:r>
        <w:rPr>
          <w:spacing w:val="-6"/>
        </w:rPr>
        <w:t xml:space="preserve"> </w:t>
      </w:r>
      <w:r>
        <w:t>procedures</w:t>
      </w:r>
      <w:r>
        <w:rPr>
          <w:spacing w:val="-6"/>
        </w:rPr>
        <w:t xml:space="preserve"> </w:t>
      </w:r>
      <w:r>
        <w:t>used</w:t>
      </w:r>
      <w:r>
        <w:rPr>
          <w:spacing w:val="-6"/>
        </w:rPr>
        <w:t xml:space="preserve"> </w:t>
      </w:r>
      <w:r>
        <w:t>an</w:t>
      </w:r>
      <w:r>
        <w:rPr>
          <w:spacing w:val="-6"/>
        </w:rPr>
        <w:t xml:space="preserve"> </w:t>
      </w:r>
      <w:r>
        <w:t>adaptation</w:t>
      </w:r>
      <w:r>
        <w:rPr>
          <w:spacing w:val="-6"/>
        </w:rPr>
        <w:t xml:space="preserve"> </w:t>
      </w:r>
      <w:r>
        <w:t>of</w:t>
      </w:r>
      <w:r>
        <w:rPr>
          <w:spacing w:val="-6"/>
        </w:rPr>
        <w:t xml:space="preserve"> </w:t>
      </w:r>
      <w:r>
        <w:t>the</w:t>
      </w:r>
      <w:r>
        <w:rPr>
          <w:spacing w:val="-6"/>
        </w:rPr>
        <w:t xml:space="preserve"> </w:t>
      </w:r>
      <w:r>
        <w:t>Keyfitz</w:t>
      </w:r>
      <w:r>
        <w:rPr>
          <w:spacing w:val="-6"/>
        </w:rPr>
        <w:t xml:space="preserve"> </w:t>
      </w:r>
      <w:r>
        <w:t>process</w:t>
      </w:r>
      <w:r>
        <w:rPr>
          <w:spacing w:val="-6"/>
        </w:rPr>
        <w:t xml:space="preserve"> </w:t>
      </w:r>
      <w:r>
        <w:t>to</w:t>
      </w:r>
      <w:r>
        <w:rPr>
          <w:spacing w:val="-6"/>
        </w:rPr>
        <w:t xml:space="preserve"> </w:t>
      </w:r>
      <w:r>
        <w:t>compute</w:t>
      </w:r>
      <w:r>
        <w:rPr>
          <w:spacing w:val="-6"/>
        </w:rPr>
        <w:t xml:space="preserve"> </w:t>
      </w:r>
      <w:r>
        <w:t>conditional</w:t>
      </w:r>
      <w:r>
        <w:rPr>
          <w:spacing w:val="-6"/>
        </w:rPr>
        <w:t xml:space="preserve"> </w:t>
      </w:r>
      <w:r>
        <w:t>measures</w:t>
      </w:r>
      <w:r>
        <w:rPr>
          <w:spacing w:val="-6"/>
        </w:rPr>
        <w:t xml:space="preserve"> </w:t>
      </w:r>
      <w:r>
        <w:t>of</w:t>
      </w:r>
      <w:r>
        <w:rPr>
          <w:spacing w:val="-6"/>
        </w:rPr>
        <w:t xml:space="preserve"> </w:t>
      </w:r>
      <w:r>
        <w:t>size</w:t>
      </w:r>
      <w:r>
        <w:rPr>
          <w:spacing w:val="-6"/>
        </w:rPr>
        <w:t xml:space="preserve"> </w:t>
      </w:r>
      <w:r>
        <w:t>that,</w:t>
      </w:r>
      <w:r>
        <w:rPr>
          <w:spacing w:val="-6"/>
        </w:rPr>
        <w:t xml:space="preserve"> </w:t>
      </w:r>
      <w:r>
        <w:t>by</w:t>
      </w:r>
      <w:r>
        <w:rPr>
          <w:spacing w:val="-6"/>
        </w:rPr>
        <w:t xml:space="preserve"> </w:t>
      </w:r>
      <w:r>
        <w:t>design,</w:t>
      </w:r>
      <w:r>
        <w:rPr>
          <w:spacing w:val="-6"/>
        </w:rPr>
        <w:t xml:space="preserve"> </w:t>
      </w:r>
      <w:r>
        <w:t>maximized</w:t>
      </w:r>
      <w:r>
        <w:rPr>
          <w:spacing w:val="-6"/>
        </w:rPr>
        <w:t xml:space="preserve"> </w:t>
      </w:r>
      <w:r>
        <w:t>the</w:t>
      </w:r>
      <w:r>
        <w:rPr>
          <w:spacing w:val="-6"/>
        </w:rPr>
        <w:t xml:space="preserve"> </w:t>
      </w:r>
      <w:r>
        <w:t>overlap</w:t>
      </w:r>
      <w:r>
        <w:rPr>
          <w:spacing w:val="-6"/>
        </w:rPr>
        <w:t xml:space="preserve"> </w:t>
      </w:r>
      <w:r>
        <w:t>of</w:t>
      </w:r>
      <w:r>
        <w:rPr>
          <w:spacing w:val="-6"/>
        </w:rPr>
        <w:t xml:space="preserve"> </w:t>
      </w:r>
      <w:r>
        <w:t>schools</w:t>
      </w:r>
      <w:r>
        <w:rPr>
          <w:spacing w:val="-6"/>
        </w:rPr>
        <w:t xml:space="preserve"> </w:t>
      </w:r>
      <w:r>
        <w:t>selected</w:t>
      </w:r>
      <w:r>
        <w:rPr>
          <w:spacing w:val="-6"/>
        </w:rPr>
        <w:t xml:space="preserve"> </w:t>
      </w:r>
      <w:r>
        <w:t>for both the 2020 and 2022 LTT assessments.</w:t>
      </w:r>
    </w:p>
    <w:p w:rsidR="003F5784" w14:paraId="340D399E" w14:textId="77777777">
      <w:pPr>
        <w:pStyle w:val="BodyText"/>
        <w:spacing w:before="210" w:line="232" w:lineRule="auto"/>
        <w:ind w:left="109"/>
      </w:pPr>
      <w:r>
        <w:t>The</w:t>
      </w:r>
      <w:r>
        <w:rPr>
          <w:spacing w:val="-6"/>
        </w:rPr>
        <w:t xml:space="preserve"> </w:t>
      </w:r>
      <w:r>
        <w:t>target</w:t>
      </w:r>
      <w:r>
        <w:rPr>
          <w:spacing w:val="-6"/>
        </w:rPr>
        <w:t xml:space="preserve"> </w:t>
      </w:r>
      <w:r>
        <w:t>population</w:t>
      </w:r>
      <w:r>
        <w:rPr>
          <w:spacing w:val="-6"/>
        </w:rPr>
        <w:t xml:space="preserve"> </w:t>
      </w:r>
      <w:r>
        <w:t>included</w:t>
      </w:r>
      <w:r>
        <w:rPr>
          <w:spacing w:val="-6"/>
        </w:rPr>
        <w:t xml:space="preserve"> </w:t>
      </w:r>
      <w:r>
        <w:t>all</w:t>
      </w:r>
      <w:r>
        <w:rPr>
          <w:spacing w:val="-6"/>
        </w:rPr>
        <w:t xml:space="preserve"> </w:t>
      </w:r>
      <w:r>
        <w:t>nine</w:t>
      </w:r>
      <w:r>
        <w:rPr>
          <w:spacing w:val="-6"/>
        </w:rPr>
        <w:t xml:space="preserve"> </w:t>
      </w:r>
      <w:r>
        <w:t>year</w:t>
      </w:r>
      <w:r>
        <w:rPr>
          <w:spacing w:val="-6"/>
        </w:rPr>
        <w:t xml:space="preserve"> </w:t>
      </w:r>
      <w:r>
        <w:t>old</w:t>
      </w:r>
      <w:r>
        <w:rPr>
          <w:spacing w:val="-6"/>
        </w:rPr>
        <w:t xml:space="preserve"> </w:t>
      </w:r>
      <w:r>
        <w:t>students</w:t>
      </w:r>
      <w:r>
        <w:rPr>
          <w:spacing w:val="-6"/>
        </w:rPr>
        <w:t xml:space="preserve"> </w:t>
      </w:r>
      <w:r>
        <w:t>or</w:t>
      </w:r>
      <w:r>
        <w:rPr>
          <w:spacing w:val="-6"/>
        </w:rPr>
        <w:t xml:space="preserve"> </w:t>
      </w:r>
      <w:r>
        <w:t>thirteen</w:t>
      </w:r>
      <w:r>
        <w:rPr>
          <w:spacing w:val="-6"/>
        </w:rPr>
        <w:t xml:space="preserve"> </w:t>
      </w:r>
      <w:r>
        <w:t>year</w:t>
      </w:r>
      <w:r>
        <w:rPr>
          <w:spacing w:val="-6"/>
        </w:rPr>
        <w:t xml:space="preserve"> </w:t>
      </w:r>
      <w:r>
        <w:t>old</w:t>
      </w:r>
      <w:r>
        <w:rPr>
          <w:spacing w:val="-6"/>
        </w:rPr>
        <w:t xml:space="preserve"> </w:t>
      </w:r>
      <w:r>
        <w:t>students</w:t>
      </w:r>
      <w:r>
        <w:rPr>
          <w:spacing w:val="-6"/>
        </w:rPr>
        <w:t xml:space="preserve"> </w:t>
      </w:r>
      <w:r>
        <w:t>(according</w:t>
      </w:r>
      <w:r>
        <w:rPr>
          <w:spacing w:val="-6"/>
        </w:rPr>
        <w:t xml:space="preserve"> </w:t>
      </w:r>
      <w:r>
        <w:t>to</w:t>
      </w:r>
      <w:r>
        <w:rPr>
          <w:spacing w:val="-6"/>
        </w:rPr>
        <w:t xml:space="preserve"> </w:t>
      </w:r>
      <w:r>
        <w:t>the</w:t>
      </w:r>
      <w:r>
        <w:rPr>
          <w:spacing w:val="-6"/>
        </w:rPr>
        <w:t xml:space="preserve"> </w:t>
      </w:r>
      <w:r>
        <w:t>age</w:t>
      </w:r>
      <w:r>
        <w:rPr>
          <w:spacing w:val="-6"/>
        </w:rPr>
        <w:t xml:space="preserve"> </w:t>
      </w:r>
      <w:r>
        <w:t>definitions</w:t>
      </w:r>
      <w:r>
        <w:rPr>
          <w:spacing w:val="-6"/>
        </w:rPr>
        <w:t xml:space="preserve"> </w:t>
      </w:r>
      <w:r>
        <w:t>above)</w:t>
      </w:r>
      <w:r>
        <w:rPr>
          <w:spacing w:val="-6"/>
        </w:rPr>
        <w:t xml:space="preserve"> </w:t>
      </w:r>
      <w:r>
        <w:t>in</w:t>
      </w:r>
      <w:r>
        <w:rPr>
          <w:spacing w:val="-6"/>
        </w:rPr>
        <w:t xml:space="preserve"> </w:t>
      </w:r>
      <w:r>
        <w:t>public</w:t>
      </w:r>
      <w:r>
        <w:rPr>
          <w:spacing w:val="-6"/>
        </w:rPr>
        <w:t xml:space="preserve"> </w:t>
      </w:r>
      <w:r>
        <w:t>and</w:t>
      </w:r>
      <w:r>
        <w:rPr>
          <w:spacing w:val="-6"/>
        </w:rPr>
        <w:t xml:space="preserve"> </w:t>
      </w:r>
      <w:r>
        <w:t>private</w:t>
      </w:r>
      <w:r>
        <w:rPr>
          <w:spacing w:val="-6"/>
        </w:rPr>
        <w:t xml:space="preserve"> </w:t>
      </w:r>
      <w:r>
        <w:t>schools,</w:t>
      </w:r>
      <w:r>
        <w:rPr>
          <w:spacing w:val="-6"/>
        </w:rPr>
        <w:t xml:space="preserve"> </w:t>
      </w:r>
      <w:r>
        <w:t>including</w:t>
      </w:r>
      <w:r>
        <w:rPr>
          <w:spacing w:val="-6"/>
        </w:rPr>
        <w:t xml:space="preserve"> </w:t>
      </w:r>
      <w:r>
        <w:t>Bureau</w:t>
      </w:r>
      <w:r>
        <w:rPr>
          <w:spacing w:val="-6"/>
        </w:rPr>
        <w:t xml:space="preserve"> </w:t>
      </w:r>
      <w:r>
        <w:t>of Indian Education (BIE) and Department of Defense Education</w:t>
      </w:r>
      <w:r>
        <w:rPr>
          <w:spacing w:val="-8"/>
        </w:rPr>
        <w:t xml:space="preserve"> </w:t>
      </w:r>
      <w:r>
        <w:t>Activity (DoDEA) schools located in the U.S. (but not overseas).</w:t>
      </w:r>
    </w:p>
    <w:p w:rsidR="003F5784" w14:paraId="7A683F15" w14:textId="77777777">
      <w:pPr>
        <w:pStyle w:val="BodyText"/>
        <w:spacing w:before="203" w:line="439" w:lineRule="auto"/>
        <w:ind w:left="109" w:right="5979"/>
      </w:pPr>
      <w:r>
        <w:t>All</w:t>
      </w:r>
      <w:r>
        <w:rPr>
          <w:spacing w:val="-10"/>
        </w:rPr>
        <w:t xml:space="preserve"> </w:t>
      </w:r>
      <w:r>
        <w:t>LTT</w:t>
      </w:r>
      <w:r>
        <w:rPr>
          <w:spacing w:val="-13"/>
        </w:rPr>
        <w:t xml:space="preserve"> </w:t>
      </w:r>
      <w:r>
        <w:t>assessments</w:t>
      </w:r>
      <w:r>
        <w:rPr>
          <w:spacing w:val="-10"/>
        </w:rPr>
        <w:t xml:space="preserve"> </w:t>
      </w:r>
      <w:r>
        <w:t>in</w:t>
      </w:r>
      <w:r>
        <w:rPr>
          <w:spacing w:val="-10"/>
        </w:rPr>
        <w:t xml:space="preserve"> </w:t>
      </w:r>
      <w:r>
        <w:t>2022</w:t>
      </w:r>
      <w:r>
        <w:rPr>
          <w:spacing w:val="-10"/>
        </w:rPr>
        <w:t xml:space="preserve"> </w:t>
      </w:r>
      <w:r>
        <w:t>were</w:t>
      </w:r>
      <w:r>
        <w:rPr>
          <w:spacing w:val="-10"/>
        </w:rPr>
        <w:t xml:space="preserve"> </w:t>
      </w:r>
      <w:r>
        <w:t>paper-based</w:t>
      </w:r>
      <w:r>
        <w:rPr>
          <w:spacing w:val="-10"/>
        </w:rPr>
        <w:t xml:space="preserve"> </w:t>
      </w:r>
      <w:r>
        <w:t>assessments</w:t>
      </w:r>
      <w:r>
        <w:rPr>
          <w:spacing w:val="-10"/>
        </w:rPr>
        <w:t xml:space="preserve"> </w:t>
      </w:r>
      <w:r>
        <w:t>(PBA)</w:t>
      </w:r>
      <w:r>
        <w:rPr>
          <w:spacing w:val="-10"/>
        </w:rPr>
        <w:t xml:space="preserve"> </w:t>
      </w:r>
      <w:r>
        <w:t>administered</w:t>
      </w:r>
      <w:r>
        <w:rPr>
          <w:spacing w:val="-10"/>
        </w:rPr>
        <w:t xml:space="preserve"> </w:t>
      </w:r>
      <w:r>
        <w:t>using</w:t>
      </w:r>
      <w:r>
        <w:rPr>
          <w:spacing w:val="-10"/>
        </w:rPr>
        <w:t xml:space="preserve"> </w:t>
      </w:r>
      <w:r>
        <w:t>paper</w:t>
      </w:r>
      <w:r>
        <w:rPr>
          <w:spacing w:val="-10"/>
        </w:rPr>
        <w:t xml:space="preserve"> </w:t>
      </w:r>
      <w:r>
        <w:t>and</w:t>
      </w:r>
      <w:r>
        <w:rPr>
          <w:spacing w:val="-10"/>
        </w:rPr>
        <w:t xml:space="preserve"> </w:t>
      </w:r>
      <w:r>
        <w:t>pencil. The sample design for the long-term trend assessments is described in more detail in subsequent pages.</w:t>
      </w:r>
    </w:p>
    <w:p w:rsidR="003F5784" w14:paraId="0C48FCEC" w14:textId="77777777">
      <w:pPr>
        <w:pStyle w:val="BodyText"/>
      </w:pPr>
    </w:p>
    <w:p w:rsidR="003F5784" w14:paraId="671B999D" w14:textId="77777777">
      <w:pPr>
        <w:pStyle w:val="BodyText"/>
        <w:spacing w:before="186"/>
      </w:pPr>
    </w:p>
    <w:p w:rsidR="003F5784" w14:paraId="28E0F880" w14:textId="77777777">
      <w:pPr>
        <w:ind w:left="4562"/>
        <w:rPr>
          <w:sz w:val="18"/>
        </w:rPr>
      </w:pPr>
      <w:hyperlink r:id="rId120">
        <w:r>
          <w:rPr>
            <w:spacing w:val="-2"/>
            <w:w w:val="105"/>
            <w:sz w:val="18"/>
          </w:rPr>
          <w:t>http://nces.ed.gov/nationsreportcard/tdw/sample_design/2022/sample_design_for_the_2022_national_long_term_trend_assessment.aspx</w:t>
        </w:r>
      </w:hyperlink>
    </w:p>
    <w:p w:rsidR="003F5784" w14:paraId="59A9FF85" w14:textId="77777777">
      <w:pPr>
        <w:pStyle w:val="BodyText"/>
        <w:spacing w:before="1"/>
        <w:rPr>
          <w:sz w:val="16"/>
        </w:rPr>
      </w:pPr>
      <w:r>
        <w:rPr>
          <w:noProof/>
        </w:rPr>
        <mc:AlternateContent>
          <mc:Choice Requires="wps">
            <w:drawing>
              <wp:anchor distT="0" distB="0" distL="0" distR="0" simplePos="0" relativeHeight="251829248" behindDoc="1" locked="0" layoutInCell="1" allowOverlap="1">
                <wp:simplePos x="0" y="0"/>
                <wp:positionH relativeFrom="page">
                  <wp:posOffset>361937</wp:posOffset>
                </wp:positionH>
                <wp:positionV relativeFrom="paragraph">
                  <wp:posOffset>132710</wp:posOffset>
                </wp:positionV>
                <wp:extent cx="9339580" cy="8890"/>
                <wp:effectExtent l="0" t="0" r="0" b="0"/>
                <wp:wrapTopAndBottom/>
                <wp:docPr id="141" name="Graphic 141"/>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67"/>
                              </a:lnTo>
                              <a:lnTo>
                                <a:pt x="9335110" y="8305"/>
                              </a:lnTo>
                              <a:lnTo>
                                <a:pt x="9338970" y="8305"/>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41" o:spid="_x0000_s1085" style="width:735.4pt;height:0.7pt;margin-top:10.45pt;margin-left:28.5pt;mso-position-horizontal-relative:page;mso-wrap-distance-bottom:0;mso-wrap-distance-left:0;mso-wrap-distance-right:0;mso-wrap-distance-top:0;mso-wrap-style:square;position:absolute;visibility:visible;v-text-anchor:top;z-index:-251486208" coordsize="9339580,8890" path="m9338970,25l9335110,25l8280,25,,,,8267l9335110,8305l9338970,8305l9338970,25xe" fillcolor="gray" stroked="f">
                <v:path arrowok="t"/>
                <w10:wrap type="topAndBottom"/>
              </v:shape>
            </w:pict>
          </mc:Fallback>
        </mc:AlternateContent>
      </w:r>
    </w:p>
    <w:p w:rsidR="003F5784" w14:paraId="69BC73EB" w14:textId="77777777">
      <w:pPr>
        <w:pStyle w:val="BodyText"/>
        <w:rPr>
          <w:sz w:val="18"/>
        </w:rPr>
      </w:pPr>
    </w:p>
    <w:p w:rsidR="003F5784" w14:paraId="7DB80012" w14:textId="77777777">
      <w:pPr>
        <w:pStyle w:val="BodyText"/>
        <w:spacing w:before="193"/>
        <w:rPr>
          <w:sz w:val="18"/>
        </w:rPr>
      </w:pPr>
    </w:p>
    <w:p w:rsidR="003F5784" w14:paraId="16E79C7E" w14:textId="20AAD411">
      <w:pPr>
        <w:pStyle w:val="Heading1"/>
      </w:pPr>
      <w:r>
        <w:t>NAEP</w:t>
      </w:r>
      <w:r>
        <w:rPr>
          <w:spacing w:val="-29"/>
        </w:rPr>
        <w:t xml:space="preserve"> </w:t>
      </w:r>
      <w:r>
        <w:t>Technical</w:t>
      </w:r>
      <w:r>
        <w:rPr>
          <w:spacing w:val="1"/>
        </w:rPr>
        <w:t xml:space="preserve"> </w:t>
      </w:r>
      <w:r>
        <w:t>Documentation</w:t>
      </w:r>
      <w:r w:rsidR="00D02924">
        <w:t xml:space="preserve"> </w:t>
      </w:r>
      <w:r>
        <w:t>2022</w:t>
      </w:r>
      <w:r>
        <w:rPr>
          <w:spacing w:val="1"/>
        </w:rPr>
        <w:t xml:space="preserve"> </w:t>
      </w:r>
      <w:r>
        <w:t>Private</w:t>
      </w:r>
      <w:r>
        <w:rPr>
          <w:spacing w:val="2"/>
        </w:rPr>
        <w:t xml:space="preserve"> </w:t>
      </w:r>
      <w:r>
        <w:t>School</w:t>
      </w:r>
      <w:r>
        <w:rPr>
          <w:spacing w:val="1"/>
        </w:rPr>
        <w:t xml:space="preserve"> </w:t>
      </w:r>
      <w:r>
        <w:t>Long-Term</w:t>
      </w:r>
      <w:r>
        <w:rPr>
          <w:spacing w:val="-6"/>
        </w:rPr>
        <w:t xml:space="preserve"> </w:t>
      </w:r>
      <w:r>
        <w:t>Trend</w:t>
      </w:r>
      <w:r>
        <w:rPr>
          <w:spacing w:val="-22"/>
        </w:rPr>
        <w:t xml:space="preserve"> </w:t>
      </w:r>
      <w:r>
        <w:rPr>
          <w:spacing w:val="-2"/>
        </w:rPr>
        <w:t>Assessment</w:t>
      </w:r>
    </w:p>
    <w:p w:rsidR="003F5784" w14:paraId="4E6B3B41" w14:textId="77777777">
      <w:pPr>
        <w:pStyle w:val="BodyText"/>
        <w:spacing w:before="4"/>
        <w:rPr>
          <w:b/>
          <w:sz w:val="17"/>
        </w:rPr>
      </w:pPr>
    </w:p>
    <w:p w:rsidR="003F5784" w14:paraId="02CD1046" w14:textId="77777777">
      <w:pPr>
        <w:rPr>
          <w:sz w:val="17"/>
        </w:rPr>
        <w:sectPr>
          <w:pgSz w:w="15840" w:h="12240" w:orient="landscape"/>
          <w:pgMar w:top="480" w:right="440" w:bottom="460" w:left="460" w:header="284" w:footer="275" w:gutter="0"/>
          <w:cols w:space="720"/>
        </w:sectPr>
      </w:pPr>
    </w:p>
    <w:p w:rsidR="003F5784" w14:paraId="0FF5F0E0" w14:textId="77777777">
      <w:pPr>
        <w:pStyle w:val="BodyText"/>
        <w:spacing w:before="95" w:line="232" w:lineRule="auto"/>
        <w:ind w:left="109" w:right="292"/>
      </w:pPr>
      <w:r>
        <w:t>The</w:t>
      </w:r>
      <w:r>
        <w:rPr>
          <w:spacing w:val="-6"/>
        </w:rPr>
        <w:t xml:space="preserve"> </w:t>
      </w:r>
      <w:r>
        <w:t>NAEP</w:t>
      </w:r>
      <w:r>
        <w:rPr>
          <w:spacing w:val="-14"/>
        </w:rPr>
        <w:t xml:space="preserve"> </w:t>
      </w:r>
      <w:r>
        <w:t>2022</w:t>
      </w:r>
      <w:r>
        <w:rPr>
          <w:spacing w:val="-5"/>
        </w:rPr>
        <w:t xml:space="preserve"> </w:t>
      </w:r>
      <w:r>
        <w:t>sample</w:t>
      </w:r>
      <w:r>
        <w:rPr>
          <w:spacing w:val="-6"/>
        </w:rPr>
        <w:t xml:space="preserve"> </w:t>
      </w:r>
      <w:r>
        <w:t>design</w:t>
      </w:r>
      <w:r>
        <w:rPr>
          <w:spacing w:val="-6"/>
        </w:rPr>
        <w:t xml:space="preserve"> </w:t>
      </w:r>
      <w:r>
        <w:t>yielded</w:t>
      </w:r>
      <w:r>
        <w:rPr>
          <w:spacing w:val="-6"/>
        </w:rPr>
        <w:t xml:space="preserve"> </w:t>
      </w:r>
      <w:r>
        <w:t>nationally</w:t>
      </w:r>
      <w:r>
        <w:rPr>
          <w:spacing w:val="-6"/>
        </w:rPr>
        <w:t xml:space="preserve"> </w:t>
      </w:r>
      <w:r>
        <w:t>representative</w:t>
      </w:r>
      <w:r>
        <w:rPr>
          <w:spacing w:val="-6"/>
        </w:rPr>
        <w:t xml:space="preserve"> </w:t>
      </w:r>
      <w:r>
        <w:t>samples</w:t>
      </w:r>
      <w:r>
        <w:rPr>
          <w:spacing w:val="-6"/>
        </w:rPr>
        <w:t xml:space="preserve"> </w:t>
      </w:r>
      <w:r>
        <w:t>of</w:t>
      </w:r>
      <w:r>
        <w:rPr>
          <w:spacing w:val="-6"/>
        </w:rPr>
        <w:t xml:space="preserve"> </w:t>
      </w:r>
      <w:r>
        <w:t>private</w:t>
      </w:r>
      <w:r>
        <w:rPr>
          <w:spacing w:val="-6"/>
        </w:rPr>
        <w:t xml:space="preserve"> </w:t>
      </w:r>
      <w:r>
        <w:t>school</w:t>
      </w:r>
      <w:r>
        <w:rPr>
          <w:spacing w:val="-6"/>
        </w:rPr>
        <w:t xml:space="preserve"> </w:t>
      </w:r>
      <w:r>
        <w:t>students</w:t>
      </w:r>
      <w:r>
        <w:rPr>
          <w:spacing w:val="-6"/>
        </w:rPr>
        <w:t xml:space="preserve"> </w:t>
      </w:r>
      <w:r>
        <w:t>at</w:t>
      </w:r>
      <w:r>
        <w:rPr>
          <w:spacing w:val="-6"/>
        </w:rPr>
        <w:t xml:space="preserve"> </w:t>
      </w:r>
      <w:r>
        <w:t>ages</w:t>
      </w:r>
      <w:r>
        <w:rPr>
          <w:spacing w:val="-6"/>
        </w:rPr>
        <w:t xml:space="preserve"> </w:t>
      </w:r>
      <w:r>
        <w:t>9</w:t>
      </w:r>
      <w:r>
        <w:rPr>
          <w:spacing w:val="-6"/>
        </w:rPr>
        <w:t xml:space="preserve"> </w:t>
      </w:r>
      <w:r>
        <w:t>and</w:t>
      </w:r>
      <w:r>
        <w:rPr>
          <w:spacing w:val="-6"/>
        </w:rPr>
        <w:t xml:space="preserve"> </w:t>
      </w:r>
      <w:r>
        <w:t>13</w:t>
      </w:r>
      <w:r>
        <w:rPr>
          <w:spacing w:val="-6"/>
        </w:rPr>
        <w:t xml:space="preserve"> </w:t>
      </w:r>
      <w:r>
        <w:t>for</w:t>
      </w:r>
      <w:r>
        <w:rPr>
          <w:spacing w:val="-6"/>
        </w:rPr>
        <w:t xml:space="preserve"> </w:t>
      </w:r>
      <w:r>
        <w:t>long-term</w:t>
      </w:r>
      <w:r>
        <w:rPr>
          <w:spacing w:val="-6"/>
        </w:rPr>
        <w:t xml:space="preserve"> </w:t>
      </w:r>
      <w:r>
        <w:t>trend (LTT) through a three-stage approach:</w:t>
      </w:r>
    </w:p>
    <w:p w:rsidR="003F5784" w14:paraId="692671A1" w14:textId="77777777">
      <w:pPr>
        <w:pStyle w:val="BodyText"/>
        <w:spacing w:before="210" w:line="232" w:lineRule="auto"/>
        <w:ind w:left="422" w:right="7919"/>
      </w:pPr>
      <w:r>
        <w:rPr>
          <w:noProof/>
          <w:position w:val="3"/>
        </w:rPr>
        <w:drawing>
          <wp:inline distT="0" distB="0" distL="0" distR="0">
            <wp:extent cx="41379" cy="41345"/>
            <wp:effectExtent l="0" t="0" r="0" b="0"/>
            <wp:docPr id="142" name="Image 142"/>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xmlns:r="http://schemas.openxmlformats.org/officeDocument/2006/relationships" r:embed="rId121" cstate="print"/>
                    <a:stretch>
                      <a:fillRect/>
                    </a:stretch>
                  </pic:blipFill>
                  <pic:spPr>
                    <a:xfrm>
                      <a:off x="0" y="0"/>
                      <a:ext cx="41379" cy="41345"/>
                    </a:xfrm>
                    <a:prstGeom prst="rect">
                      <a:avLst/>
                    </a:prstGeom>
                  </pic:spPr>
                </pic:pic>
              </a:graphicData>
            </a:graphic>
          </wp:inline>
        </w:drawing>
      </w:r>
      <w:r>
        <w:rPr>
          <w:spacing w:val="72"/>
          <w:sz w:val="20"/>
        </w:rPr>
        <w:t xml:space="preserve"> </w:t>
      </w:r>
      <w:r>
        <w:t>selection</w:t>
      </w:r>
      <w:r>
        <w:rPr>
          <w:spacing w:val="-9"/>
        </w:rPr>
        <w:t xml:space="preserve"> </w:t>
      </w:r>
      <w:r>
        <w:t>of</w:t>
      </w:r>
      <w:r>
        <w:rPr>
          <w:spacing w:val="-9"/>
        </w:rPr>
        <w:t xml:space="preserve"> </w:t>
      </w:r>
      <w:r>
        <w:t>primary</w:t>
      </w:r>
      <w:r>
        <w:rPr>
          <w:spacing w:val="-9"/>
        </w:rPr>
        <w:t xml:space="preserve"> </w:t>
      </w:r>
      <w:r>
        <w:t>sampling</w:t>
      </w:r>
      <w:r>
        <w:rPr>
          <w:spacing w:val="-9"/>
        </w:rPr>
        <w:t xml:space="preserve"> </w:t>
      </w:r>
      <w:r>
        <w:t>units</w:t>
      </w:r>
      <w:r>
        <w:rPr>
          <w:spacing w:val="-9"/>
        </w:rPr>
        <w:t xml:space="preserve"> </w:t>
      </w:r>
      <w:r>
        <w:t xml:space="preserve">(PSUs); </w:t>
      </w:r>
      <w:r>
        <w:rPr>
          <w:noProof/>
          <w:position w:val="3"/>
        </w:rPr>
        <w:drawing>
          <wp:inline distT="0" distB="0" distL="0" distR="0">
            <wp:extent cx="41379" cy="41345"/>
            <wp:effectExtent l="0" t="0" r="0" b="0"/>
            <wp:docPr id="143" name="Image 143"/>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xmlns:r="http://schemas.openxmlformats.org/officeDocument/2006/relationships" r:embed="rId122" cstate="print"/>
                    <a:stretch>
                      <a:fillRect/>
                    </a:stretch>
                  </pic:blipFill>
                  <pic:spPr>
                    <a:xfrm>
                      <a:off x="0" y="0"/>
                      <a:ext cx="41379" cy="41345"/>
                    </a:xfrm>
                    <a:prstGeom prst="rect">
                      <a:avLst/>
                    </a:prstGeom>
                  </pic:spPr>
                </pic:pic>
              </a:graphicData>
            </a:graphic>
          </wp:inline>
        </w:drawing>
      </w:r>
      <w:r>
        <w:rPr>
          <w:spacing w:val="80"/>
        </w:rPr>
        <w:t xml:space="preserve"> </w:t>
      </w:r>
      <w:r>
        <w:t>selection of schools within strata; and</w:t>
      </w:r>
    </w:p>
    <w:p w:rsidR="003F5784" w14:paraId="02E21D6F" w14:textId="77777777">
      <w:pPr>
        <w:pStyle w:val="BodyText"/>
        <w:spacing w:line="236" w:lineRule="exact"/>
        <w:ind w:left="422"/>
      </w:pPr>
      <w:r>
        <w:rPr>
          <w:noProof/>
          <w:position w:val="3"/>
        </w:rPr>
        <w:drawing>
          <wp:inline distT="0" distB="0" distL="0" distR="0">
            <wp:extent cx="41379" cy="41345"/>
            <wp:effectExtent l="0" t="0" r="0" b="0"/>
            <wp:docPr id="144" name="Image 144"/>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xmlns:r="http://schemas.openxmlformats.org/officeDocument/2006/relationships" r:embed="rId123" cstate="print"/>
                    <a:stretch>
                      <a:fillRect/>
                    </a:stretch>
                  </pic:blipFill>
                  <pic:spPr>
                    <a:xfrm>
                      <a:off x="0" y="0"/>
                      <a:ext cx="41379" cy="41345"/>
                    </a:xfrm>
                    <a:prstGeom prst="rect">
                      <a:avLst/>
                    </a:prstGeom>
                  </pic:spPr>
                </pic:pic>
              </a:graphicData>
            </a:graphic>
          </wp:inline>
        </w:drawing>
      </w:r>
      <w:r>
        <w:rPr>
          <w:spacing w:val="80"/>
          <w:sz w:val="20"/>
        </w:rPr>
        <w:t xml:space="preserve"> </w:t>
      </w:r>
      <w:r>
        <w:t>selection of students within schools.</w:t>
      </w:r>
    </w:p>
    <w:p w:rsidR="003F5784" w14:paraId="378FED0A" w14:textId="77777777">
      <w:pPr>
        <w:pStyle w:val="BodyText"/>
        <w:spacing w:before="201"/>
        <w:ind w:left="109"/>
      </w:pPr>
      <w:r>
        <w:t>The</w:t>
      </w:r>
      <w:r>
        <w:rPr>
          <w:spacing w:val="-6"/>
        </w:rPr>
        <w:t xml:space="preserve"> </w:t>
      </w:r>
      <w:r>
        <w:t>sample</w:t>
      </w:r>
      <w:r>
        <w:rPr>
          <w:spacing w:val="-5"/>
        </w:rPr>
        <w:t xml:space="preserve"> </w:t>
      </w:r>
      <w:r>
        <w:t>of</w:t>
      </w:r>
      <w:r>
        <w:rPr>
          <w:spacing w:val="-6"/>
        </w:rPr>
        <w:t xml:space="preserve"> </w:t>
      </w:r>
      <w:r>
        <w:t>schools</w:t>
      </w:r>
      <w:r>
        <w:rPr>
          <w:spacing w:val="-5"/>
        </w:rPr>
        <w:t xml:space="preserve"> </w:t>
      </w:r>
      <w:r>
        <w:t>was</w:t>
      </w:r>
      <w:r>
        <w:rPr>
          <w:spacing w:val="-6"/>
        </w:rPr>
        <w:t xml:space="preserve"> </w:t>
      </w:r>
      <w:r>
        <w:t>selected</w:t>
      </w:r>
      <w:r>
        <w:rPr>
          <w:spacing w:val="-5"/>
        </w:rPr>
        <w:t xml:space="preserve"> </w:t>
      </w:r>
      <w:r>
        <w:t>with</w:t>
      </w:r>
      <w:r>
        <w:rPr>
          <w:spacing w:val="-6"/>
        </w:rPr>
        <w:t xml:space="preserve"> </w:t>
      </w:r>
      <w:r>
        <w:t>probability</w:t>
      </w:r>
      <w:r>
        <w:rPr>
          <w:spacing w:val="-5"/>
        </w:rPr>
        <w:t xml:space="preserve"> </w:t>
      </w:r>
      <w:r>
        <w:t>proportional</w:t>
      </w:r>
      <w:r>
        <w:rPr>
          <w:spacing w:val="-6"/>
        </w:rPr>
        <w:t xml:space="preserve"> </w:t>
      </w:r>
      <w:r>
        <w:t>to</w:t>
      </w:r>
      <w:r>
        <w:rPr>
          <w:spacing w:val="-5"/>
        </w:rPr>
        <w:t xml:space="preserve"> </w:t>
      </w:r>
      <w:r>
        <w:t>a</w:t>
      </w:r>
      <w:r>
        <w:rPr>
          <w:spacing w:val="-6"/>
        </w:rPr>
        <w:t xml:space="preserve"> </w:t>
      </w:r>
      <w:r>
        <w:t>measure</w:t>
      </w:r>
      <w:r>
        <w:rPr>
          <w:spacing w:val="-5"/>
        </w:rPr>
        <w:t xml:space="preserve"> </w:t>
      </w:r>
      <w:r>
        <w:t>of</w:t>
      </w:r>
      <w:r>
        <w:rPr>
          <w:spacing w:val="-6"/>
        </w:rPr>
        <w:t xml:space="preserve"> </w:t>
      </w:r>
      <w:r>
        <w:t>size</w:t>
      </w:r>
      <w:r>
        <w:rPr>
          <w:spacing w:val="-5"/>
        </w:rPr>
        <w:t xml:space="preserve"> </w:t>
      </w:r>
      <w:r>
        <w:t>based</w:t>
      </w:r>
      <w:r>
        <w:rPr>
          <w:spacing w:val="-6"/>
        </w:rPr>
        <w:t xml:space="preserve"> </w:t>
      </w:r>
      <w:r>
        <w:t>on</w:t>
      </w:r>
      <w:r>
        <w:rPr>
          <w:spacing w:val="-5"/>
        </w:rPr>
        <w:t xml:space="preserve"> </w:t>
      </w:r>
      <w:r>
        <w:t>the</w:t>
      </w:r>
      <w:r>
        <w:rPr>
          <w:spacing w:val="-6"/>
        </w:rPr>
        <w:t xml:space="preserve"> </w:t>
      </w:r>
      <w:r>
        <w:t>estimated</w:t>
      </w:r>
      <w:r>
        <w:rPr>
          <w:spacing w:val="-5"/>
        </w:rPr>
        <w:t xml:space="preserve"> </w:t>
      </w:r>
      <w:r>
        <w:t>age</w:t>
      </w:r>
      <w:r>
        <w:rPr>
          <w:spacing w:val="-6"/>
        </w:rPr>
        <w:t xml:space="preserve"> </w:t>
      </w:r>
      <w:r>
        <w:t>enrollment</w:t>
      </w:r>
      <w:r>
        <w:rPr>
          <w:spacing w:val="-5"/>
        </w:rPr>
        <w:t xml:space="preserve"> </w:t>
      </w:r>
      <w:r>
        <w:t>in</w:t>
      </w:r>
      <w:r>
        <w:rPr>
          <w:spacing w:val="-6"/>
        </w:rPr>
        <w:t xml:space="preserve"> </w:t>
      </w:r>
      <w:r>
        <w:t>the</w:t>
      </w:r>
      <w:r>
        <w:rPr>
          <w:spacing w:val="-5"/>
        </w:rPr>
        <w:t xml:space="preserve"> </w:t>
      </w:r>
      <w:r>
        <w:rPr>
          <w:spacing w:val="-2"/>
        </w:rPr>
        <w:t>schools.</w:t>
      </w:r>
    </w:p>
    <w:p w:rsidR="003F5784" w14:paraId="27855794" w14:textId="77777777">
      <w:pPr>
        <w:pStyle w:val="BodyText"/>
        <w:spacing w:before="208" w:line="232" w:lineRule="auto"/>
        <w:ind w:left="109"/>
      </w:pPr>
      <w:r>
        <w:t>The</w:t>
      </w:r>
      <w:r>
        <w:rPr>
          <w:spacing w:val="-7"/>
        </w:rPr>
        <w:t xml:space="preserve"> </w:t>
      </w:r>
      <w:r>
        <w:t>2022</w:t>
      </w:r>
      <w:r>
        <w:rPr>
          <w:spacing w:val="-7"/>
        </w:rPr>
        <w:t xml:space="preserve"> </w:t>
      </w:r>
      <w:r>
        <w:t>sampling</w:t>
      </w:r>
      <w:r>
        <w:rPr>
          <w:spacing w:val="-7"/>
        </w:rPr>
        <w:t xml:space="preserve"> </w:t>
      </w:r>
      <w:r>
        <w:t>plan</w:t>
      </w:r>
      <w:r>
        <w:rPr>
          <w:spacing w:val="-7"/>
        </w:rPr>
        <w:t xml:space="preserve"> </w:t>
      </w:r>
      <w:r>
        <w:t>was</w:t>
      </w:r>
      <w:r>
        <w:rPr>
          <w:spacing w:val="-7"/>
        </w:rPr>
        <w:t xml:space="preserve"> </w:t>
      </w:r>
      <w:r>
        <w:t>designed</w:t>
      </w:r>
      <w:r>
        <w:rPr>
          <w:spacing w:val="-7"/>
        </w:rPr>
        <w:t xml:space="preserve"> </w:t>
      </w:r>
      <w:r>
        <w:t>to</w:t>
      </w:r>
      <w:r>
        <w:rPr>
          <w:spacing w:val="-7"/>
        </w:rPr>
        <w:t xml:space="preserve"> </w:t>
      </w:r>
      <w:r>
        <w:t>assess</w:t>
      </w:r>
      <w:r>
        <w:rPr>
          <w:spacing w:val="-7"/>
        </w:rPr>
        <w:t xml:space="preserve"> </w:t>
      </w:r>
      <w:r>
        <w:t>1,640</w:t>
      </w:r>
      <w:r>
        <w:rPr>
          <w:spacing w:val="-7"/>
        </w:rPr>
        <w:t xml:space="preserve"> </w:t>
      </w:r>
      <w:r>
        <w:t>students</w:t>
      </w:r>
      <w:r>
        <w:rPr>
          <w:spacing w:val="-7"/>
        </w:rPr>
        <w:t xml:space="preserve"> </w:t>
      </w:r>
      <w:r>
        <w:t>in</w:t>
      </w:r>
      <w:r>
        <w:rPr>
          <w:spacing w:val="-7"/>
        </w:rPr>
        <w:t xml:space="preserve"> </w:t>
      </w:r>
      <w:r>
        <w:t>private</w:t>
      </w:r>
      <w:r>
        <w:rPr>
          <w:spacing w:val="-7"/>
        </w:rPr>
        <w:t xml:space="preserve"> </w:t>
      </w:r>
      <w:r>
        <w:t>schools</w:t>
      </w:r>
      <w:r>
        <w:rPr>
          <w:spacing w:val="-7"/>
        </w:rPr>
        <w:t xml:space="preserve"> </w:t>
      </w:r>
      <w:r>
        <w:t>for</w:t>
      </w:r>
      <w:r>
        <w:rPr>
          <w:spacing w:val="-7"/>
        </w:rPr>
        <w:t xml:space="preserve"> </w:t>
      </w:r>
      <w:r>
        <w:t>LTT</w:t>
      </w:r>
      <w:r>
        <w:rPr>
          <w:spacing w:val="-10"/>
        </w:rPr>
        <w:t xml:space="preserve"> </w:t>
      </w:r>
      <w:r>
        <w:t>at</w:t>
      </w:r>
      <w:r>
        <w:rPr>
          <w:spacing w:val="-7"/>
        </w:rPr>
        <w:t xml:space="preserve"> </w:t>
      </w:r>
      <w:r>
        <w:t>each</w:t>
      </w:r>
      <w:r>
        <w:rPr>
          <w:spacing w:val="-7"/>
        </w:rPr>
        <w:t xml:space="preserve"> </w:t>
      </w:r>
      <w:r>
        <w:t>age.</w:t>
      </w:r>
      <w:r>
        <w:rPr>
          <w:spacing w:val="-10"/>
        </w:rPr>
        <w:t xml:space="preserve"> </w:t>
      </w:r>
      <w:r>
        <w:t>These</w:t>
      </w:r>
      <w:r>
        <w:rPr>
          <w:spacing w:val="-7"/>
        </w:rPr>
        <w:t xml:space="preserve"> </w:t>
      </w:r>
      <w:r>
        <w:t>students</w:t>
      </w:r>
      <w:r>
        <w:rPr>
          <w:spacing w:val="-7"/>
        </w:rPr>
        <w:t xml:space="preserve"> </w:t>
      </w:r>
      <w:r>
        <w:t>were</w:t>
      </w:r>
      <w:r>
        <w:rPr>
          <w:spacing w:val="-7"/>
        </w:rPr>
        <w:t xml:space="preserve"> </w:t>
      </w:r>
      <w:r>
        <w:t>allocated</w:t>
      </w:r>
      <w:r>
        <w:rPr>
          <w:spacing w:val="-7"/>
        </w:rPr>
        <w:t xml:space="preserve"> </w:t>
      </w:r>
      <w:r>
        <w:t>among</w:t>
      </w:r>
      <w:r>
        <w:rPr>
          <w:spacing w:val="-7"/>
        </w:rPr>
        <w:t xml:space="preserve"> </w:t>
      </w:r>
      <w:r>
        <w:t>tests in mathematics and reading.</w:t>
      </w:r>
      <w:r>
        <w:rPr>
          <w:spacing w:val="-3"/>
        </w:rPr>
        <w:t xml:space="preserve"> </w:t>
      </w:r>
      <w:r>
        <w:t>Target sample sizes were adjusted to reflect expected private school and student response and eligibility.</w:t>
      </w:r>
    </w:p>
    <w:p w:rsidR="003F5784" w14:paraId="417D830F" w14:textId="77777777">
      <w:pPr>
        <w:pStyle w:val="BodyText"/>
        <w:spacing w:before="209" w:line="232" w:lineRule="auto"/>
        <w:ind w:left="109"/>
      </w:pPr>
      <w:r>
        <w:t>Schools on the sampling frame were explicitly stratified prior to sampling by private school affiliation (Catholic, non-Catholic, and unknown affiliation).</w:t>
      </w:r>
      <w:r>
        <w:rPr>
          <w:spacing w:val="-1"/>
        </w:rPr>
        <w:t xml:space="preserve"> </w:t>
      </w:r>
      <w:r>
        <w:t>Within affiliation type, schools were implicitly stratified by PSU type (certainty/noncertainty). In certainty PSUs, further stratification</w:t>
      </w:r>
      <w:r>
        <w:rPr>
          <w:spacing w:val="-8"/>
        </w:rPr>
        <w:t xml:space="preserve"> </w:t>
      </w:r>
      <w:r>
        <w:t>was</w:t>
      </w:r>
      <w:r>
        <w:rPr>
          <w:spacing w:val="-8"/>
        </w:rPr>
        <w:t xml:space="preserve"> </w:t>
      </w:r>
      <w:r>
        <w:t>by</w:t>
      </w:r>
      <w:r>
        <w:rPr>
          <w:spacing w:val="-8"/>
        </w:rPr>
        <w:t xml:space="preserve"> </w:t>
      </w:r>
      <w:r>
        <w:t>census</w:t>
      </w:r>
      <w:r>
        <w:rPr>
          <w:spacing w:val="-8"/>
        </w:rPr>
        <w:t xml:space="preserve"> </w:t>
      </w:r>
      <w:r>
        <w:t>region,</w:t>
      </w:r>
      <w:r>
        <w:rPr>
          <w:spacing w:val="-8"/>
        </w:rPr>
        <w:t xml:space="preserve"> </w:t>
      </w:r>
      <w:r>
        <w:t>urbanization</w:t>
      </w:r>
      <w:r>
        <w:rPr>
          <w:spacing w:val="-8"/>
        </w:rPr>
        <w:t xml:space="preserve"> </w:t>
      </w:r>
      <w:r>
        <w:t>classification,</w:t>
      </w:r>
      <w:r>
        <w:rPr>
          <w:spacing w:val="-8"/>
        </w:rPr>
        <w:t xml:space="preserve"> </w:t>
      </w:r>
      <w:r>
        <w:t>and</w:t>
      </w:r>
      <w:r>
        <w:rPr>
          <w:spacing w:val="-8"/>
        </w:rPr>
        <w:t xml:space="preserve"> </w:t>
      </w:r>
      <w:r>
        <w:t>estimated</w:t>
      </w:r>
      <w:r>
        <w:rPr>
          <w:spacing w:val="-8"/>
        </w:rPr>
        <w:t xml:space="preserve"> </w:t>
      </w:r>
      <w:r>
        <w:t>age</w:t>
      </w:r>
      <w:r>
        <w:rPr>
          <w:spacing w:val="-8"/>
        </w:rPr>
        <w:t xml:space="preserve"> </w:t>
      </w:r>
      <w:r>
        <w:t>enrollment.</w:t>
      </w:r>
      <w:r>
        <w:rPr>
          <w:spacing w:val="-8"/>
        </w:rPr>
        <w:t xml:space="preserve"> </w:t>
      </w:r>
      <w:r>
        <w:t>In</w:t>
      </w:r>
      <w:r>
        <w:rPr>
          <w:spacing w:val="-8"/>
        </w:rPr>
        <w:t xml:space="preserve"> </w:t>
      </w:r>
      <w:r>
        <w:t>noncertainty</w:t>
      </w:r>
      <w:r>
        <w:rPr>
          <w:spacing w:val="-8"/>
        </w:rPr>
        <w:t xml:space="preserve"> </w:t>
      </w:r>
      <w:r>
        <w:t>PSUs,</w:t>
      </w:r>
      <w:r>
        <w:rPr>
          <w:spacing w:val="-8"/>
        </w:rPr>
        <w:t xml:space="preserve"> </w:t>
      </w:r>
      <w:r>
        <w:t>additional</w:t>
      </w:r>
      <w:r>
        <w:rPr>
          <w:spacing w:val="-8"/>
        </w:rPr>
        <w:t xml:space="preserve"> </w:t>
      </w:r>
      <w:r>
        <w:t>stratification</w:t>
      </w:r>
      <w:r>
        <w:rPr>
          <w:spacing w:val="-8"/>
        </w:rPr>
        <w:t xml:space="preserve"> </w:t>
      </w:r>
      <w:r>
        <w:t>was by PSU stratum, urbanization classification, and estimated age enrollment.</w:t>
      </w:r>
    </w:p>
    <w:p w:rsidR="003F5784" w14:paraId="0719BC6E" w14:textId="77777777">
      <w:pPr>
        <w:pStyle w:val="BodyText"/>
        <w:spacing w:before="90" w:line="439" w:lineRule="auto"/>
        <w:ind w:left="109" w:right="282"/>
      </w:pPr>
      <w:r>
        <w:br w:type="column"/>
        <w:t>Target Population Sampling Frame Stratification of Schools Sampling of Schools Substitute Schools Ineligible Schools Student</w:t>
      </w:r>
      <w:r>
        <w:rPr>
          <w:spacing w:val="-14"/>
        </w:rPr>
        <w:t xml:space="preserve"> </w:t>
      </w:r>
      <w:r>
        <w:t>Sample</w:t>
      </w:r>
      <w:r>
        <w:rPr>
          <w:spacing w:val="-13"/>
        </w:rPr>
        <w:t xml:space="preserve"> </w:t>
      </w:r>
      <w:r>
        <w:t>Selection</w:t>
      </w:r>
    </w:p>
    <w:p w:rsidR="003F5784" w14:paraId="015E839C" w14:textId="77777777">
      <w:pPr>
        <w:spacing w:line="439" w:lineRule="auto"/>
        <w:sectPr>
          <w:type w:val="continuous"/>
          <w:pgSz w:w="15840" w:h="12240" w:orient="landscape"/>
          <w:pgMar w:top="480" w:right="440" w:bottom="460" w:left="460" w:header="284" w:footer="275" w:gutter="0"/>
          <w:cols w:num="2" w:space="720" w:equalWidth="0">
            <w:col w:w="12221" w:space="182"/>
            <w:col w:w="2537"/>
          </w:cols>
        </w:sectPr>
      </w:pPr>
    </w:p>
    <w:p w:rsidR="003F5784" w14:paraId="21EB9B44" w14:textId="77777777">
      <w:pPr>
        <w:pStyle w:val="BodyText"/>
        <w:spacing w:before="72" w:line="238" w:lineRule="exact"/>
        <w:ind w:left="109"/>
      </w:pPr>
      <w:r>
        <w:t>From</w:t>
      </w:r>
      <w:r>
        <w:rPr>
          <w:spacing w:val="-7"/>
        </w:rPr>
        <w:t xml:space="preserve"> </w:t>
      </w:r>
      <w:r>
        <w:t>the</w:t>
      </w:r>
      <w:r>
        <w:rPr>
          <w:spacing w:val="-7"/>
        </w:rPr>
        <w:t xml:space="preserve"> </w:t>
      </w:r>
      <w:r>
        <w:t>stratified</w:t>
      </w:r>
      <w:r>
        <w:rPr>
          <w:spacing w:val="-7"/>
        </w:rPr>
        <w:t xml:space="preserve"> </w:t>
      </w:r>
      <w:r>
        <w:t>frame</w:t>
      </w:r>
      <w:r>
        <w:rPr>
          <w:spacing w:val="-6"/>
        </w:rPr>
        <w:t xml:space="preserve"> </w:t>
      </w:r>
      <w:r>
        <w:t>of</w:t>
      </w:r>
      <w:r>
        <w:rPr>
          <w:spacing w:val="-7"/>
        </w:rPr>
        <w:t xml:space="preserve"> </w:t>
      </w:r>
      <w:r>
        <w:t>private</w:t>
      </w:r>
      <w:r>
        <w:rPr>
          <w:spacing w:val="-7"/>
        </w:rPr>
        <w:t xml:space="preserve"> </w:t>
      </w:r>
      <w:r>
        <w:t>schools,</w:t>
      </w:r>
      <w:r>
        <w:rPr>
          <w:spacing w:val="-6"/>
        </w:rPr>
        <w:t xml:space="preserve"> </w:t>
      </w:r>
      <w:r>
        <w:t>systematic</w:t>
      </w:r>
      <w:r>
        <w:rPr>
          <w:spacing w:val="-7"/>
        </w:rPr>
        <w:t xml:space="preserve"> </w:t>
      </w:r>
      <w:r>
        <w:t>random</w:t>
      </w:r>
      <w:r>
        <w:rPr>
          <w:spacing w:val="-7"/>
        </w:rPr>
        <w:t xml:space="preserve"> </w:t>
      </w:r>
      <w:r>
        <w:t>samples</w:t>
      </w:r>
      <w:r>
        <w:rPr>
          <w:spacing w:val="-6"/>
        </w:rPr>
        <w:t xml:space="preserve"> </w:t>
      </w:r>
      <w:r>
        <w:t>of</w:t>
      </w:r>
      <w:r>
        <w:rPr>
          <w:spacing w:val="-7"/>
        </w:rPr>
        <w:t xml:space="preserve"> </w:t>
      </w:r>
      <w:r>
        <w:t>age-eligible</w:t>
      </w:r>
      <w:r>
        <w:rPr>
          <w:spacing w:val="-7"/>
        </w:rPr>
        <w:t xml:space="preserve"> </w:t>
      </w:r>
      <w:r>
        <w:t>schools</w:t>
      </w:r>
      <w:r>
        <w:rPr>
          <w:spacing w:val="-7"/>
        </w:rPr>
        <w:t xml:space="preserve"> </w:t>
      </w:r>
      <w:r>
        <w:t>were</w:t>
      </w:r>
      <w:r>
        <w:rPr>
          <w:spacing w:val="-6"/>
        </w:rPr>
        <w:t xml:space="preserve"> </w:t>
      </w:r>
      <w:r>
        <w:t>drawn</w:t>
      </w:r>
      <w:r>
        <w:rPr>
          <w:spacing w:val="-7"/>
        </w:rPr>
        <w:t xml:space="preserve"> </w:t>
      </w:r>
      <w:r>
        <w:t>with</w:t>
      </w:r>
      <w:r>
        <w:rPr>
          <w:spacing w:val="-7"/>
        </w:rPr>
        <w:t xml:space="preserve"> </w:t>
      </w:r>
      <w:r>
        <w:t>probability</w:t>
      </w:r>
      <w:r>
        <w:rPr>
          <w:spacing w:val="-6"/>
        </w:rPr>
        <w:t xml:space="preserve"> </w:t>
      </w:r>
      <w:r>
        <w:t>proportional</w:t>
      </w:r>
      <w:r>
        <w:rPr>
          <w:spacing w:val="-7"/>
        </w:rPr>
        <w:t xml:space="preserve"> </w:t>
      </w:r>
      <w:r>
        <w:t>to</w:t>
      </w:r>
      <w:r>
        <w:rPr>
          <w:spacing w:val="-7"/>
        </w:rPr>
        <w:t xml:space="preserve"> </w:t>
      </w:r>
      <w:r>
        <w:rPr>
          <w:spacing w:val="-10"/>
        </w:rPr>
        <w:t>a</w:t>
      </w:r>
    </w:p>
    <w:p w:rsidR="003F5784" w14:paraId="66B03DE5" w14:textId="77777777">
      <w:pPr>
        <w:pStyle w:val="BodyText"/>
        <w:spacing w:before="3" w:line="232" w:lineRule="auto"/>
        <w:ind w:left="109" w:right="179"/>
      </w:pPr>
      <w:r>
        <w:t>measure of size based on the estimated age enrollment of the school for the relevant age.</w:t>
      </w:r>
      <w:r>
        <w:rPr>
          <w:spacing w:val="-3"/>
        </w:rPr>
        <w:t xml:space="preserve"> </w:t>
      </w:r>
      <w:r>
        <w:t>The measures of size included an adjustment made in an attempt to ensure the inclusion</w:t>
      </w:r>
      <w:r>
        <w:rPr>
          <w:spacing w:val="-5"/>
        </w:rPr>
        <w:t xml:space="preserve"> </w:t>
      </w:r>
      <w:r>
        <w:t>of</w:t>
      </w:r>
      <w:r>
        <w:rPr>
          <w:spacing w:val="-5"/>
        </w:rPr>
        <w:t xml:space="preserve"> </w:t>
      </w:r>
      <w:r>
        <w:t>all</w:t>
      </w:r>
      <w:r>
        <w:rPr>
          <w:spacing w:val="-5"/>
        </w:rPr>
        <w:t xml:space="preserve"> </w:t>
      </w:r>
      <w:r>
        <w:t>eligible</w:t>
      </w:r>
      <w:r>
        <w:rPr>
          <w:spacing w:val="-5"/>
        </w:rPr>
        <w:t xml:space="preserve"> </w:t>
      </w:r>
      <w:r>
        <w:t>schools</w:t>
      </w:r>
      <w:r>
        <w:rPr>
          <w:spacing w:val="-5"/>
        </w:rPr>
        <w:t xml:space="preserve"> </w:t>
      </w:r>
      <w:r>
        <w:t>that</w:t>
      </w:r>
      <w:r>
        <w:rPr>
          <w:spacing w:val="-5"/>
        </w:rPr>
        <w:t xml:space="preserve"> </w:t>
      </w:r>
      <w:r>
        <w:t>were</w:t>
      </w:r>
      <w:r>
        <w:rPr>
          <w:spacing w:val="-5"/>
        </w:rPr>
        <w:t xml:space="preserve"> </w:t>
      </w:r>
      <w:r>
        <w:t>part</w:t>
      </w:r>
      <w:r>
        <w:rPr>
          <w:spacing w:val="-5"/>
        </w:rPr>
        <w:t xml:space="preserve"> </w:t>
      </w:r>
      <w:r>
        <w:t>of</w:t>
      </w:r>
      <w:r>
        <w:rPr>
          <w:spacing w:val="-5"/>
        </w:rPr>
        <w:t xml:space="preserve"> </w:t>
      </w:r>
      <w:r>
        <w:t>the</w:t>
      </w:r>
      <w:r>
        <w:rPr>
          <w:spacing w:val="-5"/>
        </w:rPr>
        <w:t xml:space="preserve"> </w:t>
      </w:r>
      <w:r>
        <w:t>2020</w:t>
      </w:r>
      <w:r>
        <w:rPr>
          <w:spacing w:val="-5"/>
        </w:rPr>
        <w:t xml:space="preserve"> </w:t>
      </w:r>
      <w:r>
        <w:t>private</w:t>
      </w:r>
      <w:r>
        <w:rPr>
          <w:spacing w:val="-5"/>
        </w:rPr>
        <w:t xml:space="preserve"> </w:t>
      </w:r>
      <w:r>
        <w:t>school</w:t>
      </w:r>
      <w:r>
        <w:rPr>
          <w:spacing w:val="-5"/>
        </w:rPr>
        <w:t xml:space="preserve"> </w:t>
      </w:r>
      <w:r>
        <w:t>long-term</w:t>
      </w:r>
      <w:r>
        <w:rPr>
          <w:spacing w:val="-5"/>
        </w:rPr>
        <w:t xml:space="preserve"> </w:t>
      </w:r>
      <w:r>
        <w:t>trend</w:t>
      </w:r>
      <w:r>
        <w:rPr>
          <w:spacing w:val="-5"/>
        </w:rPr>
        <w:t xml:space="preserve"> </w:t>
      </w:r>
      <w:r>
        <w:t>sample</w:t>
      </w:r>
      <w:r>
        <w:rPr>
          <w:spacing w:val="-5"/>
        </w:rPr>
        <w:t xml:space="preserve"> </w:t>
      </w:r>
      <w:r>
        <w:t>for</w:t>
      </w:r>
      <w:r>
        <w:rPr>
          <w:spacing w:val="-5"/>
        </w:rPr>
        <w:t xml:space="preserve"> </w:t>
      </w:r>
      <w:r>
        <w:t>ages</w:t>
      </w:r>
      <w:r>
        <w:rPr>
          <w:spacing w:val="-5"/>
        </w:rPr>
        <w:t xml:space="preserve"> </w:t>
      </w:r>
      <w:r>
        <w:t>9</w:t>
      </w:r>
      <w:r>
        <w:rPr>
          <w:spacing w:val="-5"/>
        </w:rPr>
        <w:t xml:space="preserve"> </w:t>
      </w:r>
      <w:r>
        <w:t>and</w:t>
      </w:r>
      <w:r>
        <w:rPr>
          <w:spacing w:val="-5"/>
        </w:rPr>
        <w:t xml:space="preserve"> </w:t>
      </w:r>
      <w:r>
        <w:t>13.</w:t>
      </w:r>
      <w:r>
        <w:rPr>
          <w:spacing w:val="-9"/>
        </w:rPr>
        <w:t xml:space="preserve"> </w:t>
      </w:r>
      <w:r>
        <w:t>The</w:t>
      </w:r>
      <w:r>
        <w:rPr>
          <w:spacing w:val="-5"/>
        </w:rPr>
        <w:t xml:space="preserve"> </w:t>
      </w:r>
      <w:r>
        <w:t>NAEP</w:t>
      </w:r>
      <w:r>
        <w:rPr>
          <w:spacing w:val="-13"/>
        </w:rPr>
        <w:t xml:space="preserve"> </w:t>
      </w:r>
      <w:r>
        <w:t>sampling</w:t>
      </w:r>
      <w:r>
        <w:rPr>
          <w:spacing w:val="-5"/>
        </w:rPr>
        <w:t xml:space="preserve"> </w:t>
      </w:r>
      <w:r>
        <w:t>procedures</w:t>
      </w:r>
      <w:r>
        <w:rPr>
          <w:spacing w:val="-5"/>
        </w:rPr>
        <w:t xml:space="preserve"> </w:t>
      </w:r>
      <w:r>
        <w:t>used</w:t>
      </w:r>
      <w:r>
        <w:rPr>
          <w:spacing w:val="-5"/>
        </w:rPr>
        <w:t xml:space="preserve"> </w:t>
      </w:r>
      <w:r>
        <w:t>an</w:t>
      </w:r>
      <w:r>
        <w:rPr>
          <w:spacing w:val="-5"/>
        </w:rPr>
        <w:t xml:space="preserve"> </w:t>
      </w:r>
      <w:r>
        <w:t>adaptation</w:t>
      </w:r>
      <w:r>
        <w:rPr>
          <w:spacing w:val="-5"/>
        </w:rPr>
        <w:t xml:space="preserve"> </w:t>
      </w:r>
      <w:r>
        <w:t>of</w:t>
      </w:r>
    </w:p>
    <w:p w:rsidR="003F5784" w14:paraId="12435665" w14:textId="77777777">
      <w:pPr>
        <w:pStyle w:val="BodyText"/>
        <w:spacing w:line="232" w:lineRule="auto"/>
        <w:ind w:left="109" w:right="179"/>
      </w:pPr>
      <w:r>
        <w:t>the</w:t>
      </w:r>
      <w:r>
        <w:rPr>
          <w:spacing w:val="-6"/>
        </w:rPr>
        <w:t xml:space="preserve"> </w:t>
      </w:r>
      <w:r>
        <w:t>Keyfitz</w:t>
      </w:r>
      <w:r>
        <w:rPr>
          <w:spacing w:val="-6"/>
        </w:rPr>
        <w:t xml:space="preserve"> </w:t>
      </w:r>
      <w:r>
        <w:t>process</w:t>
      </w:r>
      <w:r>
        <w:rPr>
          <w:spacing w:val="-6"/>
        </w:rPr>
        <w:t xml:space="preserve"> </w:t>
      </w:r>
      <w:r>
        <w:t>to</w:t>
      </w:r>
      <w:r>
        <w:rPr>
          <w:spacing w:val="-6"/>
        </w:rPr>
        <w:t xml:space="preserve"> </w:t>
      </w:r>
      <w:r>
        <w:t>compute</w:t>
      </w:r>
      <w:r>
        <w:rPr>
          <w:spacing w:val="-6"/>
        </w:rPr>
        <w:t xml:space="preserve"> </w:t>
      </w:r>
      <w:r>
        <w:t>conditional</w:t>
      </w:r>
      <w:r>
        <w:rPr>
          <w:spacing w:val="-6"/>
        </w:rPr>
        <w:t xml:space="preserve"> </w:t>
      </w:r>
      <w:r>
        <w:t>measures</w:t>
      </w:r>
      <w:r>
        <w:rPr>
          <w:spacing w:val="-6"/>
        </w:rPr>
        <w:t xml:space="preserve"> </w:t>
      </w:r>
      <w:r>
        <w:t>of</w:t>
      </w:r>
      <w:r>
        <w:rPr>
          <w:spacing w:val="-6"/>
        </w:rPr>
        <w:t xml:space="preserve"> </w:t>
      </w:r>
      <w:r>
        <w:t>size</w:t>
      </w:r>
      <w:r>
        <w:rPr>
          <w:spacing w:val="-6"/>
        </w:rPr>
        <w:t xml:space="preserve"> </w:t>
      </w:r>
      <w:r>
        <w:t>that,</w:t>
      </w:r>
      <w:r>
        <w:rPr>
          <w:spacing w:val="-6"/>
        </w:rPr>
        <w:t xml:space="preserve"> </w:t>
      </w:r>
      <w:r>
        <w:t>by</w:t>
      </w:r>
      <w:r>
        <w:rPr>
          <w:spacing w:val="-6"/>
        </w:rPr>
        <w:t xml:space="preserve"> </w:t>
      </w:r>
      <w:r>
        <w:t>design,</w:t>
      </w:r>
      <w:r>
        <w:rPr>
          <w:spacing w:val="-6"/>
        </w:rPr>
        <w:t xml:space="preserve"> </w:t>
      </w:r>
      <w:r>
        <w:t>maximized</w:t>
      </w:r>
      <w:r>
        <w:rPr>
          <w:spacing w:val="-6"/>
        </w:rPr>
        <w:t xml:space="preserve"> </w:t>
      </w:r>
      <w:r>
        <w:t>the</w:t>
      </w:r>
      <w:r>
        <w:rPr>
          <w:spacing w:val="-6"/>
        </w:rPr>
        <w:t xml:space="preserve"> </w:t>
      </w:r>
      <w:r>
        <w:t>overlap</w:t>
      </w:r>
      <w:r>
        <w:rPr>
          <w:spacing w:val="-6"/>
        </w:rPr>
        <w:t xml:space="preserve"> </w:t>
      </w:r>
      <w:r>
        <w:t>of</w:t>
      </w:r>
      <w:r>
        <w:rPr>
          <w:spacing w:val="-6"/>
        </w:rPr>
        <w:t xml:space="preserve"> </w:t>
      </w:r>
      <w:r>
        <w:t>schools</w:t>
      </w:r>
      <w:r>
        <w:rPr>
          <w:spacing w:val="-6"/>
        </w:rPr>
        <w:t xml:space="preserve"> </w:t>
      </w:r>
      <w:r>
        <w:t>selected</w:t>
      </w:r>
      <w:r>
        <w:rPr>
          <w:spacing w:val="-6"/>
        </w:rPr>
        <w:t xml:space="preserve"> </w:t>
      </w:r>
      <w:r>
        <w:t>for</w:t>
      </w:r>
      <w:r>
        <w:rPr>
          <w:spacing w:val="-6"/>
        </w:rPr>
        <w:t xml:space="preserve"> </w:t>
      </w:r>
      <w:r>
        <w:t>both</w:t>
      </w:r>
      <w:r>
        <w:rPr>
          <w:spacing w:val="-6"/>
        </w:rPr>
        <w:t xml:space="preserve"> </w:t>
      </w:r>
      <w:r>
        <w:t>the</w:t>
      </w:r>
      <w:r>
        <w:rPr>
          <w:spacing w:val="-6"/>
        </w:rPr>
        <w:t xml:space="preserve"> </w:t>
      </w:r>
      <w:r>
        <w:t>2020</w:t>
      </w:r>
      <w:r>
        <w:rPr>
          <w:spacing w:val="-6"/>
        </w:rPr>
        <w:t xml:space="preserve"> </w:t>
      </w:r>
      <w:r>
        <w:t>and</w:t>
      </w:r>
      <w:r>
        <w:rPr>
          <w:spacing w:val="-6"/>
        </w:rPr>
        <w:t xml:space="preserve"> </w:t>
      </w:r>
      <w:r>
        <w:t>2022</w:t>
      </w:r>
      <w:r>
        <w:rPr>
          <w:spacing w:val="-6"/>
        </w:rPr>
        <w:t xml:space="preserve"> </w:t>
      </w:r>
      <w:r>
        <w:t>long-term</w:t>
      </w:r>
      <w:r>
        <w:rPr>
          <w:spacing w:val="-6"/>
        </w:rPr>
        <w:t xml:space="preserve"> </w:t>
      </w:r>
      <w:r>
        <w:t>trend</w:t>
      </w:r>
      <w:r>
        <w:rPr>
          <w:spacing w:val="-6"/>
        </w:rPr>
        <w:t xml:space="preserve"> </w:t>
      </w:r>
      <w:r>
        <w:t>assessments at each age.</w:t>
      </w:r>
    </w:p>
    <w:p w:rsidR="003F5784" w14:paraId="3C56148B" w14:textId="77777777">
      <w:pPr>
        <w:pStyle w:val="BodyText"/>
        <w:spacing w:before="204"/>
        <w:ind w:left="109"/>
      </w:pPr>
      <w:r>
        <w:t>Each</w:t>
      </w:r>
      <w:r>
        <w:rPr>
          <w:spacing w:val="-6"/>
        </w:rPr>
        <w:t xml:space="preserve"> </w:t>
      </w:r>
      <w:r>
        <w:t>selected</w:t>
      </w:r>
      <w:r>
        <w:rPr>
          <w:spacing w:val="-6"/>
        </w:rPr>
        <w:t xml:space="preserve"> </w:t>
      </w:r>
      <w:r>
        <w:t>school</w:t>
      </w:r>
      <w:r>
        <w:rPr>
          <w:spacing w:val="-6"/>
        </w:rPr>
        <w:t xml:space="preserve"> </w:t>
      </w:r>
      <w:r>
        <w:t>in</w:t>
      </w:r>
      <w:r>
        <w:rPr>
          <w:spacing w:val="-6"/>
        </w:rPr>
        <w:t xml:space="preserve"> </w:t>
      </w:r>
      <w:r>
        <w:t>the</w:t>
      </w:r>
      <w:r>
        <w:rPr>
          <w:spacing w:val="-6"/>
        </w:rPr>
        <w:t xml:space="preserve"> </w:t>
      </w:r>
      <w:r>
        <w:t>private</w:t>
      </w:r>
      <w:r>
        <w:rPr>
          <w:spacing w:val="-6"/>
        </w:rPr>
        <w:t xml:space="preserve"> </w:t>
      </w:r>
      <w:r>
        <w:t>school</w:t>
      </w:r>
      <w:r>
        <w:rPr>
          <w:spacing w:val="-6"/>
        </w:rPr>
        <w:t xml:space="preserve"> </w:t>
      </w:r>
      <w:r>
        <w:t>sample</w:t>
      </w:r>
      <w:r>
        <w:rPr>
          <w:spacing w:val="-5"/>
        </w:rPr>
        <w:t xml:space="preserve"> </w:t>
      </w:r>
      <w:r>
        <w:t>provided</w:t>
      </w:r>
      <w:r>
        <w:rPr>
          <w:spacing w:val="-6"/>
        </w:rPr>
        <w:t xml:space="preserve"> </w:t>
      </w:r>
      <w:r>
        <w:t>a</w:t>
      </w:r>
      <w:r>
        <w:rPr>
          <w:spacing w:val="-6"/>
        </w:rPr>
        <w:t xml:space="preserve"> </w:t>
      </w:r>
      <w:r>
        <w:t>list</w:t>
      </w:r>
      <w:r>
        <w:rPr>
          <w:spacing w:val="-6"/>
        </w:rPr>
        <w:t xml:space="preserve"> </w:t>
      </w:r>
      <w:r>
        <w:t>of</w:t>
      </w:r>
      <w:r>
        <w:rPr>
          <w:spacing w:val="-6"/>
        </w:rPr>
        <w:t xml:space="preserve"> </w:t>
      </w:r>
      <w:r>
        <w:t>eligible</w:t>
      </w:r>
      <w:r>
        <w:rPr>
          <w:spacing w:val="-6"/>
        </w:rPr>
        <w:t xml:space="preserve"> </w:t>
      </w:r>
      <w:r>
        <w:t>enrolled</w:t>
      </w:r>
      <w:r>
        <w:rPr>
          <w:spacing w:val="-6"/>
        </w:rPr>
        <w:t xml:space="preserve"> </w:t>
      </w:r>
      <w:r>
        <w:t>students</w:t>
      </w:r>
      <w:r>
        <w:rPr>
          <w:spacing w:val="-6"/>
        </w:rPr>
        <w:t xml:space="preserve"> </w:t>
      </w:r>
      <w:r>
        <w:t>from</w:t>
      </w:r>
      <w:r>
        <w:rPr>
          <w:spacing w:val="-5"/>
        </w:rPr>
        <w:t xml:space="preserve"> </w:t>
      </w:r>
      <w:r>
        <w:t>which</w:t>
      </w:r>
      <w:r>
        <w:rPr>
          <w:spacing w:val="-6"/>
        </w:rPr>
        <w:t xml:space="preserve"> </w:t>
      </w:r>
      <w:r>
        <w:t>a</w:t>
      </w:r>
      <w:r>
        <w:rPr>
          <w:spacing w:val="-6"/>
        </w:rPr>
        <w:t xml:space="preserve"> </w:t>
      </w:r>
      <w:r>
        <w:t>systematic,</w:t>
      </w:r>
      <w:r>
        <w:rPr>
          <w:spacing w:val="-6"/>
        </w:rPr>
        <w:t xml:space="preserve"> </w:t>
      </w:r>
      <w:r>
        <w:t>equal</w:t>
      </w:r>
      <w:r>
        <w:rPr>
          <w:spacing w:val="-6"/>
        </w:rPr>
        <w:t xml:space="preserve"> </w:t>
      </w:r>
      <w:r>
        <w:t>probability</w:t>
      </w:r>
      <w:r>
        <w:rPr>
          <w:spacing w:val="-6"/>
        </w:rPr>
        <w:t xml:space="preserve"> </w:t>
      </w:r>
      <w:r>
        <w:t>sample</w:t>
      </w:r>
      <w:r>
        <w:rPr>
          <w:spacing w:val="-6"/>
        </w:rPr>
        <w:t xml:space="preserve"> </w:t>
      </w:r>
      <w:r>
        <w:t>of</w:t>
      </w:r>
      <w:r>
        <w:rPr>
          <w:spacing w:val="-6"/>
        </w:rPr>
        <w:t xml:space="preserve"> </w:t>
      </w:r>
      <w:r>
        <w:t>students</w:t>
      </w:r>
      <w:r>
        <w:rPr>
          <w:spacing w:val="-5"/>
        </w:rPr>
        <w:t xml:space="preserve"> </w:t>
      </w:r>
      <w:r>
        <w:t>was</w:t>
      </w:r>
      <w:r>
        <w:rPr>
          <w:spacing w:val="-6"/>
        </w:rPr>
        <w:t xml:space="preserve"> </w:t>
      </w:r>
      <w:r>
        <w:rPr>
          <w:spacing w:val="-2"/>
        </w:rPr>
        <w:t>drawn.</w:t>
      </w:r>
    </w:p>
    <w:p w:rsidR="003F5784" w14:paraId="4D5EE6A5" w14:textId="77777777">
      <w:pPr>
        <w:pStyle w:val="BodyText"/>
      </w:pPr>
    </w:p>
    <w:p w:rsidR="003F5784" w14:paraId="4CC33317" w14:textId="77777777">
      <w:pPr>
        <w:pStyle w:val="BodyText"/>
      </w:pPr>
    </w:p>
    <w:p w:rsidR="003F5784" w14:paraId="778BC973" w14:textId="77777777">
      <w:pPr>
        <w:pStyle w:val="BodyText"/>
        <w:spacing w:before="143"/>
      </w:pPr>
    </w:p>
    <w:p w:rsidR="003F5784" w14:paraId="48BC47A6" w14:textId="77777777">
      <w:pPr>
        <w:spacing w:before="1"/>
        <w:ind w:left="5906"/>
        <w:rPr>
          <w:sz w:val="18"/>
        </w:rPr>
      </w:pPr>
      <w:hyperlink r:id="rId124">
        <w:r>
          <w:rPr>
            <w:spacing w:val="-2"/>
            <w:w w:val="105"/>
            <w:sz w:val="18"/>
          </w:rPr>
          <w:t>http://nces.ed.gov/nationsreportcard/tdw/sample_design/2022/2022_private_school_long_term_trend_assessment.aspx</w:t>
        </w:r>
      </w:hyperlink>
    </w:p>
    <w:p w:rsidR="003F5784" w14:paraId="7A158358" w14:textId="77777777">
      <w:pPr>
        <w:pStyle w:val="BodyText"/>
        <w:rPr>
          <w:sz w:val="16"/>
        </w:rPr>
      </w:pPr>
      <w:r>
        <w:rPr>
          <w:noProof/>
        </w:rPr>
        <mc:AlternateContent>
          <mc:Choice Requires="wps">
            <w:drawing>
              <wp:anchor distT="0" distB="0" distL="0" distR="0" simplePos="0" relativeHeight="251831296" behindDoc="1" locked="0" layoutInCell="1" allowOverlap="1">
                <wp:simplePos x="0" y="0"/>
                <wp:positionH relativeFrom="page">
                  <wp:posOffset>361937</wp:posOffset>
                </wp:positionH>
                <wp:positionV relativeFrom="paragraph">
                  <wp:posOffset>132384</wp:posOffset>
                </wp:positionV>
                <wp:extent cx="9339580" cy="8890"/>
                <wp:effectExtent l="0" t="0" r="0" b="0"/>
                <wp:wrapTopAndBottom/>
                <wp:docPr id="145" name="Graphic 145"/>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45" o:spid="_x0000_s1086" style="width:735.4pt;height:0.7pt;margin-top:10.4pt;margin-left:28.5pt;mso-position-horizontal-relative:page;mso-wrap-distance-bottom:0;mso-wrap-distance-left:0;mso-wrap-distance-right:0;mso-wrap-distance-top:0;mso-wrap-style:square;position:absolute;visibility:visible;v-text-anchor:top;z-index:-251484160" coordsize="9339580,8890" path="m9338970,l9335110,l8280,,,,,8280l8280,8280l9335110,8280l9338970,8280l9338970,xe" fillcolor="gray" stroked="f">
                <v:path arrowok="t"/>
                <w10:wrap type="topAndBottom"/>
              </v:shape>
            </w:pict>
          </mc:Fallback>
        </mc:AlternateContent>
      </w:r>
    </w:p>
    <w:p w:rsidR="003F5784" w14:paraId="265CB138" w14:textId="77777777">
      <w:pPr>
        <w:pStyle w:val="BodyText"/>
        <w:rPr>
          <w:sz w:val="18"/>
        </w:rPr>
      </w:pPr>
    </w:p>
    <w:p w:rsidR="003F5784" w14:paraId="4D077AB3" w14:textId="77777777">
      <w:pPr>
        <w:pStyle w:val="BodyText"/>
        <w:spacing w:before="193"/>
        <w:rPr>
          <w:sz w:val="18"/>
        </w:rPr>
      </w:pPr>
    </w:p>
    <w:p w:rsidR="003F5784" w14:paraId="32FAF833" w14:textId="77777777">
      <w:pPr>
        <w:pStyle w:val="Heading1"/>
        <w:spacing w:line="244" w:lineRule="auto"/>
        <w:ind w:right="318"/>
      </w:pPr>
      <w:r>
        <w:t>NAEP</w:t>
      </w:r>
      <w:r>
        <w:rPr>
          <w:spacing w:val="-17"/>
        </w:rPr>
        <w:t xml:space="preserve"> </w:t>
      </w:r>
      <w:r>
        <w:t>Technical Documentation Ineligible Private Schools for the 2022 Long- Term Trend Assessment</w:t>
      </w:r>
    </w:p>
    <w:p w:rsidR="003F5784" w14:paraId="611087D4" w14:textId="77777777">
      <w:pPr>
        <w:pStyle w:val="BodyText"/>
        <w:spacing w:before="287" w:line="232" w:lineRule="auto"/>
        <w:ind w:left="109" w:right="393"/>
        <w:jc w:val="both"/>
      </w:pPr>
      <w:r>
        <w:t>The</w:t>
      </w:r>
      <w:r>
        <w:rPr>
          <w:spacing w:val="-6"/>
        </w:rPr>
        <w:t xml:space="preserve"> </w:t>
      </w:r>
      <w:r>
        <w:t>Private</w:t>
      </w:r>
      <w:r>
        <w:rPr>
          <w:spacing w:val="-6"/>
        </w:rPr>
        <w:t xml:space="preserve"> </w:t>
      </w:r>
      <w:r>
        <w:t>School</w:t>
      </w:r>
      <w:r>
        <w:rPr>
          <w:spacing w:val="-6"/>
        </w:rPr>
        <w:t xml:space="preserve"> </w:t>
      </w:r>
      <w:r>
        <w:t>Universe</w:t>
      </w:r>
      <w:r>
        <w:rPr>
          <w:spacing w:val="-6"/>
        </w:rPr>
        <w:t xml:space="preserve"> </w:t>
      </w:r>
      <w:r>
        <w:t>Survey</w:t>
      </w:r>
      <w:r>
        <w:rPr>
          <w:spacing w:val="-6"/>
        </w:rPr>
        <w:t xml:space="preserve"> </w:t>
      </w:r>
      <w:r>
        <w:t>(PSS)</w:t>
      </w:r>
      <w:r>
        <w:rPr>
          <w:spacing w:val="-6"/>
        </w:rPr>
        <w:t xml:space="preserve"> </w:t>
      </w:r>
      <w:r>
        <w:t>school</w:t>
      </w:r>
      <w:r>
        <w:rPr>
          <w:spacing w:val="-6"/>
        </w:rPr>
        <w:t xml:space="preserve"> </w:t>
      </w:r>
      <w:r>
        <w:t>file</w:t>
      </w:r>
      <w:r>
        <w:rPr>
          <w:spacing w:val="-6"/>
        </w:rPr>
        <w:t xml:space="preserve"> </w:t>
      </w:r>
      <w:r>
        <w:t>from</w:t>
      </w:r>
      <w:r>
        <w:rPr>
          <w:spacing w:val="-6"/>
        </w:rPr>
        <w:t xml:space="preserve"> </w:t>
      </w:r>
      <w:r>
        <w:t>which</w:t>
      </w:r>
      <w:r>
        <w:rPr>
          <w:spacing w:val="-6"/>
        </w:rPr>
        <w:t xml:space="preserve"> </w:t>
      </w:r>
      <w:r>
        <w:t>most</w:t>
      </w:r>
      <w:r>
        <w:rPr>
          <w:spacing w:val="-6"/>
        </w:rPr>
        <w:t xml:space="preserve"> </w:t>
      </w:r>
      <w:r>
        <w:t>of</w:t>
      </w:r>
      <w:r>
        <w:rPr>
          <w:spacing w:val="-6"/>
        </w:rPr>
        <w:t xml:space="preserve"> </w:t>
      </w:r>
      <w:r>
        <w:t>the</w:t>
      </w:r>
      <w:r>
        <w:rPr>
          <w:spacing w:val="-6"/>
        </w:rPr>
        <w:t xml:space="preserve"> </w:t>
      </w:r>
      <w:r>
        <w:t>sampled</w:t>
      </w:r>
      <w:r>
        <w:rPr>
          <w:spacing w:val="-6"/>
        </w:rPr>
        <w:t xml:space="preserve"> </w:t>
      </w:r>
      <w:r>
        <w:t>schools</w:t>
      </w:r>
      <w:r>
        <w:rPr>
          <w:spacing w:val="-6"/>
        </w:rPr>
        <w:t xml:space="preserve"> </w:t>
      </w:r>
      <w:r>
        <w:t>were</w:t>
      </w:r>
      <w:r>
        <w:rPr>
          <w:spacing w:val="-6"/>
        </w:rPr>
        <w:t xml:space="preserve"> </w:t>
      </w:r>
      <w:r>
        <w:t>drawn</w:t>
      </w:r>
      <w:r>
        <w:rPr>
          <w:spacing w:val="-6"/>
        </w:rPr>
        <w:t xml:space="preserve"> </w:t>
      </w:r>
      <w:r>
        <w:t>corresponds</w:t>
      </w:r>
      <w:r>
        <w:rPr>
          <w:spacing w:val="-6"/>
        </w:rPr>
        <w:t xml:space="preserve"> </w:t>
      </w:r>
      <w:r>
        <w:t>to</w:t>
      </w:r>
      <w:r>
        <w:rPr>
          <w:spacing w:val="-6"/>
        </w:rPr>
        <w:t xml:space="preserve"> </w:t>
      </w:r>
      <w:r>
        <w:t>the</w:t>
      </w:r>
      <w:r>
        <w:rPr>
          <w:spacing w:val="-6"/>
        </w:rPr>
        <w:t xml:space="preserve"> </w:t>
      </w:r>
      <w:r>
        <w:t>2019–2020</w:t>
      </w:r>
      <w:r>
        <w:rPr>
          <w:spacing w:val="-6"/>
        </w:rPr>
        <w:t xml:space="preserve"> </w:t>
      </w:r>
      <w:r>
        <w:t>school</w:t>
      </w:r>
      <w:r>
        <w:rPr>
          <w:spacing w:val="-6"/>
        </w:rPr>
        <w:t xml:space="preserve"> </w:t>
      </w:r>
      <w:r>
        <w:t>year,</w:t>
      </w:r>
      <w:r>
        <w:rPr>
          <w:spacing w:val="-6"/>
        </w:rPr>
        <w:t xml:space="preserve"> </w:t>
      </w:r>
      <w:r>
        <w:t>two</w:t>
      </w:r>
      <w:r>
        <w:rPr>
          <w:spacing w:val="-6"/>
        </w:rPr>
        <w:t xml:space="preserve"> </w:t>
      </w:r>
      <w:r>
        <w:t>years</w:t>
      </w:r>
      <w:r>
        <w:rPr>
          <w:spacing w:val="-6"/>
        </w:rPr>
        <w:t xml:space="preserve"> </w:t>
      </w:r>
      <w:r>
        <w:t>prior</w:t>
      </w:r>
      <w:r>
        <w:rPr>
          <w:spacing w:val="-6"/>
        </w:rPr>
        <w:t xml:space="preserve"> </w:t>
      </w:r>
      <w:r>
        <w:t>to</w:t>
      </w:r>
      <w:r>
        <w:rPr>
          <w:spacing w:val="-6"/>
        </w:rPr>
        <w:t xml:space="preserve"> </w:t>
      </w:r>
      <w:r>
        <w:t>the assessment</w:t>
      </w:r>
      <w:r>
        <w:rPr>
          <w:spacing w:val="-6"/>
        </w:rPr>
        <w:t xml:space="preserve"> </w:t>
      </w:r>
      <w:r>
        <w:t>school</w:t>
      </w:r>
      <w:r>
        <w:rPr>
          <w:spacing w:val="-6"/>
        </w:rPr>
        <w:t xml:space="preserve"> </w:t>
      </w:r>
      <w:r>
        <w:t>year.</w:t>
      </w:r>
      <w:r>
        <w:rPr>
          <w:spacing w:val="-6"/>
        </w:rPr>
        <w:t xml:space="preserve"> </w:t>
      </w:r>
      <w:r>
        <w:t>During</w:t>
      </w:r>
      <w:r>
        <w:rPr>
          <w:spacing w:val="-6"/>
        </w:rPr>
        <w:t xml:space="preserve"> </w:t>
      </w:r>
      <w:r>
        <w:t>the</w:t>
      </w:r>
      <w:r>
        <w:rPr>
          <w:spacing w:val="-6"/>
        </w:rPr>
        <w:t xml:space="preserve"> </w:t>
      </w:r>
      <w:r>
        <w:t>intervening</w:t>
      </w:r>
      <w:r>
        <w:rPr>
          <w:spacing w:val="-6"/>
        </w:rPr>
        <w:t xml:space="preserve"> </w:t>
      </w:r>
      <w:r>
        <w:t>period,</w:t>
      </w:r>
      <w:r>
        <w:rPr>
          <w:spacing w:val="-6"/>
        </w:rPr>
        <w:t xml:space="preserve"> </w:t>
      </w:r>
      <w:r>
        <w:t>some</w:t>
      </w:r>
      <w:r>
        <w:rPr>
          <w:spacing w:val="-6"/>
        </w:rPr>
        <w:t xml:space="preserve"> </w:t>
      </w:r>
      <w:r>
        <w:t>of</w:t>
      </w:r>
      <w:r>
        <w:rPr>
          <w:spacing w:val="-6"/>
        </w:rPr>
        <w:t xml:space="preserve"> </w:t>
      </w:r>
      <w:r>
        <w:t>these</w:t>
      </w:r>
      <w:r>
        <w:rPr>
          <w:spacing w:val="-6"/>
        </w:rPr>
        <w:t xml:space="preserve"> </w:t>
      </w:r>
      <w:r>
        <w:t>schools</w:t>
      </w:r>
      <w:r>
        <w:rPr>
          <w:spacing w:val="-6"/>
        </w:rPr>
        <w:t xml:space="preserve"> </w:t>
      </w:r>
      <w:r>
        <w:t>either</w:t>
      </w:r>
      <w:r>
        <w:rPr>
          <w:spacing w:val="-6"/>
        </w:rPr>
        <w:t xml:space="preserve"> </w:t>
      </w:r>
      <w:r>
        <w:t>closed,</w:t>
      </w:r>
      <w:r>
        <w:rPr>
          <w:spacing w:val="-6"/>
        </w:rPr>
        <w:t xml:space="preserve"> </w:t>
      </w:r>
      <w:r>
        <w:t>no</w:t>
      </w:r>
      <w:r>
        <w:rPr>
          <w:spacing w:val="-6"/>
        </w:rPr>
        <w:t xml:space="preserve"> </w:t>
      </w:r>
      <w:r>
        <w:t>longer</w:t>
      </w:r>
      <w:r>
        <w:rPr>
          <w:spacing w:val="-6"/>
        </w:rPr>
        <w:t xml:space="preserve"> </w:t>
      </w:r>
      <w:r>
        <w:t>offered</w:t>
      </w:r>
      <w:r>
        <w:rPr>
          <w:spacing w:val="-6"/>
        </w:rPr>
        <w:t xml:space="preserve"> </w:t>
      </w:r>
      <w:r>
        <w:t>grades</w:t>
      </w:r>
      <w:r>
        <w:rPr>
          <w:spacing w:val="-6"/>
        </w:rPr>
        <w:t xml:space="preserve"> </w:t>
      </w:r>
      <w:r>
        <w:t>for</w:t>
      </w:r>
      <w:r>
        <w:rPr>
          <w:spacing w:val="-6"/>
        </w:rPr>
        <w:t xml:space="preserve"> </w:t>
      </w:r>
      <w:r>
        <w:t>the</w:t>
      </w:r>
      <w:r>
        <w:rPr>
          <w:spacing w:val="-6"/>
        </w:rPr>
        <w:t xml:space="preserve"> </w:t>
      </w:r>
      <w:r>
        <w:t>age</w:t>
      </w:r>
      <w:r>
        <w:rPr>
          <w:spacing w:val="-6"/>
        </w:rPr>
        <w:t xml:space="preserve"> </w:t>
      </w:r>
      <w:r>
        <w:t>group</w:t>
      </w:r>
      <w:r>
        <w:rPr>
          <w:spacing w:val="-6"/>
        </w:rPr>
        <w:t xml:space="preserve"> </w:t>
      </w:r>
      <w:r>
        <w:t>of</w:t>
      </w:r>
      <w:r>
        <w:rPr>
          <w:spacing w:val="-6"/>
        </w:rPr>
        <w:t xml:space="preserve"> </w:t>
      </w:r>
      <w:r>
        <w:t>interest,</w:t>
      </w:r>
      <w:r>
        <w:rPr>
          <w:spacing w:val="-6"/>
        </w:rPr>
        <w:t xml:space="preserve"> </w:t>
      </w:r>
      <w:r>
        <w:t>or</w:t>
      </w:r>
      <w:r>
        <w:rPr>
          <w:spacing w:val="-6"/>
        </w:rPr>
        <w:t xml:space="preserve"> </w:t>
      </w:r>
      <w:r>
        <w:t>were</w:t>
      </w:r>
      <w:r>
        <w:rPr>
          <w:spacing w:val="-6"/>
        </w:rPr>
        <w:t xml:space="preserve"> </w:t>
      </w:r>
      <w:r>
        <w:t>ineligible</w:t>
      </w:r>
      <w:r>
        <w:rPr>
          <w:spacing w:val="-6"/>
        </w:rPr>
        <w:t xml:space="preserve"> </w:t>
      </w:r>
      <w:r>
        <w:t>for</w:t>
      </w:r>
      <w:r>
        <w:rPr>
          <w:spacing w:val="-6"/>
        </w:rPr>
        <w:t xml:space="preserve"> </w:t>
      </w:r>
      <w:r>
        <w:t>other reasons. In such cases, the sampled schools were coded as ineligible.</w:t>
      </w:r>
    </w:p>
    <w:p w:rsidR="003F5784" w14:paraId="5237BEE9" w14:textId="77777777">
      <w:pPr>
        <w:pStyle w:val="BodyText"/>
        <w:spacing w:before="204"/>
        <w:ind w:left="109"/>
        <w:jc w:val="both"/>
      </w:pPr>
      <w:r>
        <w:t>The</w:t>
      </w:r>
      <w:r>
        <w:rPr>
          <w:spacing w:val="-7"/>
        </w:rPr>
        <w:t xml:space="preserve"> </w:t>
      </w:r>
      <w:r>
        <w:t>table</w:t>
      </w:r>
      <w:r>
        <w:rPr>
          <w:spacing w:val="-6"/>
        </w:rPr>
        <w:t xml:space="preserve"> </w:t>
      </w:r>
      <w:r>
        <w:t>below</w:t>
      </w:r>
      <w:r>
        <w:rPr>
          <w:spacing w:val="-6"/>
        </w:rPr>
        <w:t xml:space="preserve"> </w:t>
      </w:r>
      <w:r>
        <w:t>presents</w:t>
      </w:r>
      <w:r>
        <w:rPr>
          <w:spacing w:val="-7"/>
        </w:rPr>
        <w:t xml:space="preserve"> </w:t>
      </w:r>
      <w:r>
        <w:t>unweighted</w:t>
      </w:r>
      <w:r>
        <w:rPr>
          <w:spacing w:val="-6"/>
        </w:rPr>
        <w:t xml:space="preserve"> </w:t>
      </w:r>
      <w:r>
        <w:t>counts</w:t>
      </w:r>
      <w:r>
        <w:rPr>
          <w:spacing w:val="-6"/>
        </w:rPr>
        <w:t xml:space="preserve"> </w:t>
      </w:r>
      <w:r>
        <w:t>of</w:t>
      </w:r>
      <w:r>
        <w:rPr>
          <w:spacing w:val="-6"/>
        </w:rPr>
        <w:t xml:space="preserve"> </w:t>
      </w:r>
      <w:r>
        <w:t>sampled</w:t>
      </w:r>
      <w:r>
        <w:rPr>
          <w:spacing w:val="-7"/>
        </w:rPr>
        <w:t xml:space="preserve"> </w:t>
      </w:r>
      <w:r>
        <w:t>private</w:t>
      </w:r>
      <w:r>
        <w:rPr>
          <w:spacing w:val="-6"/>
        </w:rPr>
        <w:t xml:space="preserve"> </w:t>
      </w:r>
      <w:r>
        <w:t>schools</w:t>
      </w:r>
      <w:r>
        <w:rPr>
          <w:spacing w:val="-6"/>
        </w:rPr>
        <w:t xml:space="preserve"> </w:t>
      </w:r>
      <w:r>
        <w:t>by</w:t>
      </w:r>
      <w:r>
        <w:rPr>
          <w:spacing w:val="-6"/>
        </w:rPr>
        <w:t xml:space="preserve"> </w:t>
      </w:r>
      <w:r>
        <w:t>eligibility</w:t>
      </w:r>
      <w:r>
        <w:rPr>
          <w:spacing w:val="-7"/>
        </w:rPr>
        <w:t xml:space="preserve"> </w:t>
      </w:r>
      <w:r>
        <w:t>status,</w:t>
      </w:r>
      <w:r>
        <w:rPr>
          <w:spacing w:val="-6"/>
        </w:rPr>
        <w:t xml:space="preserve"> </w:t>
      </w:r>
      <w:r>
        <w:t>including</w:t>
      </w:r>
      <w:r>
        <w:rPr>
          <w:spacing w:val="-6"/>
        </w:rPr>
        <w:t xml:space="preserve"> </w:t>
      </w:r>
      <w:r>
        <w:t>the</w:t>
      </w:r>
      <w:r>
        <w:rPr>
          <w:spacing w:val="-6"/>
        </w:rPr>
        <w:t xml:space="preserve"> </w:t>
      </w:r>
      <w:r>
        <w:t>reason</w:t>
      </w:r>
      <w:r>
        <w:rPr>
          <w:spacing w:val="-7"/>
        </w:rPr>
        <w:t xml:space="preserve"> </w:t>
      </w:r>
      <w:r>
        <w:t>for</w:t>
      </w:r>
      <w:r>
        <w:rPr>
          <w:spacing w:val="-6"/>
        </w:rPr>
        <w:t xml:space="preserve"> </w:t>
      </w:r>
      <w:r>
        <w:rPr>
          <w:spacing w:val="-2"/>
        </w:rPr>
        <w:t>ineligibility.</w:t>
      </w:r>
    </w:p>
    <w:p w:rsidR="003F5784" w14:paraId="3FA3C3E4" w14:textId="77777777">
      <w:pPr>
        <w:pStyle w:val="BodyText"/>
        <w:spacing w:before="90"/>
      </w:pPr>
    </w:p>
    <w:p w:rsidR="003F5784" w14:paraId="089ED41A" w14:textId="77777777">
      <w:pPr>
        <w:pStyle w:val="Heading2"/>
      </w:pPr>
      <w:r>
        <w:t>Number</w:t>
      </w:r>
      <w:r>
        <w:rPr>
          <w:spacing w:val="-11"/>
        </w:rPr>
        <w:t xml:space="preserve"> </w:t>
      </w:r>
      <w:r>
        <w:t>of</w:t>
      </w:r>
      <w:r>
        <w:rPr>
          <w:spacing w:val="-8"/>
        </w:rPr>
        <w:t xml:space="preserve"> </w:t>
      </w:r>
      <w:r>
        <w:t>sampled</w:t>
      </w:r>
      <w:r>
        <w:rPr>
          <w:spacing w:val="-7"/>
        </w:rPr>
        <w:t xml:space="preserve"> </w:t>
      </w:r>
      <w:r>
        <w:t>public</w:t>
      </w:r>
      <w:r>
        <w:rPr>
          <w:spacing w:val="-8"/>
        </w:rPr>
        <w:t xml:space="preserve"> </w:t>
      </w:r>
      <w:r>
        <w:t>schools,</w:t>
      </w:r>
      <w:r>
        <w:rPr>
          <w:spacing w:val="-7"/>
        </w:rPr>
        <w:t xml:space="preserve"> </w:t>
      </w:r>
      <w:r>
        <w:t>long-term</w:t>
      </w:r>
      <w:r>
        <w:rPr>
          <w:spacing w:val="-7"/>
        </w:rPr>
        <w:t xml:space="preserve"> </w:t>
      </w:r>
      <w:r>
        <w:t>trend</w:t>
      </w:r>
      <w:r>
        <w:rPr>
          <w:spacing w:val="-8"/>
        </w:rPr>
        <w:t xml:space="preserve"> </w:t>
      </w:r>
      <w:r>
        <w:t>assessment,</w:t>
      </w:r>
      <w:r>
        <w:rPr>
          <w:spacing w:val="-7"/>
        </w:rPr>
        <w:t xml:space="preserve"> </w:t>
      </w:r>
      <w:r>
        <w:t>by</w:t>
      </w:r>
      <w:r>
        <w:rPr>
          <w:spacing w:val="-8"/>
        </w:rPr>
        <w:t xml:space="preserve"> </w:t>
      </w:r>
      <w:r>
        <w:t>eligibility</w:t>
      </w:r>
      <w:r>
        <w:rPr>
          <w:spacing w:val="-7"/>
        </w:rPr>
        <w:t xml:space="preserve"> </w:t>
      </w:r>
      <w:r>
        <w:t>status</w:t>
      </w:r>
      <w:r>
        <w:rPr>
          <w:spacing w:val="-7"/>
        </w:rPr>
        <w:t xml:space="preserve"> </w:t>
      </w:r>
      <w:r>
        <w:t>within</w:t>
      </w:r>
      <w:r>
        <w:rPr>
          <w:spacing w:val="-8"/>
        </w:rPr>
        <w:t xml:space="preserve"> </w:t>
      </w:r>
      <w:r>
        <w:t>age:</w:t>
      </w:r>
      <w:r>
        <w:rPr>
          <w:spacing w:val="-7"/>
        </w:rPr>
        <w:t xml:space="preserve"> </w:t>
      </w:r>
      <w:r>
        <w:rPr>
          <w:spacing w:val="-4"/>
        </w:rPr>
        <w:t>2022</w:t>
      </w:r>
    </w:p>
    <w:p w:rsidR="003F5784" w14:paraId="503BADDB" w14:textId="77777777">
      <w:pPr>
        <w:pStyle w:val="BodyText"/>
        <w:spacing w:before="10" w:after="1"/>
        <w:rPr>
          <w:b/>
          <w:sz w:val="11"/>
        </w:rPr>
      </w:pPr>
    </w:p>
    <w:tbl>
      <w:tblPr>
        <w:tblW w:w="0" w:type="auto"/>
        <w:tblInd w:w="482" w:type="dxa"/>
        <w:tblLayout w:type="fixed"/>
        <w:tblCellMar>
          <w:left w:w="0" w:type="dxa"/>
          <w:right w:w="0" w:type="dxa"/>
        </w:tblCellMar>
        <w:tblLook w:val="01E0"/>
      </w:tblPr>
      <w:tblGrid>
        <w:gridCol w:w="5498"/>
        <w:gridCol w:w="5493"/>
        <w:gridCol w:w="2992"/>
      </w:tblGrid>
      <w:tr w14:paraId="2AA080C4" w14:textId="77777777">
        <w:tblPrEx>
          <w:tblW w:w="0" w:type="auto"/>
          <w:tblInd w:w="482" w:type="dxa"/>
          <w:tblLayout w:type="fixed"/>
          <w:tblCellMar>
            <w:left w:w="0" w:type="dxa"/>
            <w:right w:w="0" w:type="dxa"/>
          </w:tblCellMar>
          <w:tblLook w:val="01E0"/>
        </w:tblPrEx>
        <w:trPr>
          <w:trHeight w:val="267"/>
        </w:trPr>
        <w:tc>
          <w:tcPr>
            <w:tcW w:w="5498" w:type="dxa"/>
            <w:tcBorders>
              <w:top w:val="single" w:sz="18" w:space="0" w:color="800000"/>
              <w:bottom w:val="single" w:sz="18" w:space="0" w:color="800000"/>
            </w:tcBorders>
          </w:tcPr>
          <w:p w:rsidR="003F5784" w14:paraId="1C897E2E" w14:textId="77777777">
            <w:pPr>
              <w:pStyle w:val="TableParagraph"/>
              <w:spacing w:before="9" w:line="238" w:lineRule="exact"/>
              <w:ind w:left="120"/>
              <w:jc w:val="left"/>
              <w:rPr>
                <w:sz w:val="21"/>
              </w:rPr>
            </w:pPr>
            <w:r>
              <w:rPr>
                <w:sz w:val="21"/>
              </w:rPr>
              <w:t>Eligibility</w:t>
            </w:r>
            <w:r>
              <w:rPr>
                <w:spacing w:val="-10"/>
                <w:sz w:val="21"/>
              </w:rPr>
              <w:t xml:space="preserve"> </w:t>
            </w:r>
            <w:r>
              <w:rPr>
                <w:spacing w:val="-2"/>
                <w:sz w:val="21"/>
              </w:rPr>
              <w:t>Status</w:t>
            </w:r>
          </w:p>
        </w:tc>
        <w:tc>
          <w:tcPr>
            <w:tcW w:w="5493" w:type="dxa"/>
            <w:tcBorders>
              <w:top w:val="single" w:sz="18" w:space="0" w:color="800000"/>
              <w:bottom w:val="single" w:sz="18" w:space="0" w:color="800000"/>
            </w:tcBorders>
          </w:tcPr>
          <w:p w:rsidR="003F5784" w14:paraId="61BA7975" w14:textId="77777777">
            <w:pPr>
              <w:pStyle w:val="TableParagraph"/>
              <w:spacing w:before="9" w:line="238" w:lineRule="exact"/>
              <w:ind w:right="896"/>
              <w:rPr>
                <w:sz w:val="21"/>
              </w:rPr>
            </w:pPr>
            <w:r>
              <w:rPr>
                <w:sz w:val="21"/>
              </w:rPr>
              <w:t>Unweighted</w:t>
            </w:r>
            <w:r>
              <w:rPr>
                <w:spacing w:val="-7"/>
                <w:sz w:val="21"/>
              </w:rPr>
              <w:t xml:space="preserve"> </w:t>
            </w:r>
            <w:r>
              <w:rPr>
                <w:sz w:val="21"/>
              </w:rPr>
              <w:t>count</w:t>
            </w:r>
            <w:r>
              <w:rPr>
                <w:spacing w:val="-7"/>
                <w:sz w:val="21"/>
              </w:rPr>
              <w:t xml:space="preserve"> </w:t>
            </w:r>
            <w:r>
              <w:rPr>
                <w:sz w:val="21"/>
              </w:rPr>
              <w:t>of</w:t>
            </w:r>
            <w:r>
              <w:rPr>
                <w:spacing w:val="-6"/>
                <w:sz w:val="21"/>
              </w:rPr>
              <w:t xml:space="preserve"> </w:t>
            </w:r>
            <w:r>
              <w:rPr>
                <w:spacing w:val="-2"/>
                <w:sz w:val="21"/>
              </w:rPr>
              <w:t>schools</w:t>
            </w:r>
          </w:p>
        </w:tc>
        <w:tc>
          <w:tcPr>
            <w:tcW w:w="2992" w:type="dxa"/>
            <w:tcBorders>
              <w:top w:val="single" w:sz="18" w:space="0" w:color="800000"/>
              <w:bottom w:val="single" w:sz="18" w:space="0" w:color="800000"/>
            </w:tcBorders>
          </w:tcPr>
          <w:p w:rsidR="003F5784" w14:paraId="49D27A09" w14:textId="77777777">
            <w:pPr>
              <w:pStyle w:val="TableParagraph"/>
              <w:spacing w:before="9" w:line="238" w:lineRule="exact"/>
              <w:ind w:right="116"/>
              <w:rPr>
                <w:sz w:val="21"/>
              </w:rPr>
            </w:pPr>
            <w:r>
              <w:rPr>
                <w:sz w:val="21"/>
              </w:rPr>
              <w:t>Unweighted</w:t>
            </w:r>
            <w:r>
              <w:rPr>
                <w:spacing w:val="-12"/>
                <w:sz w:val="21"/>
              </w:rPr>
              <w:t xml:space="preserve"> </w:t>
            </w:r>
            <w:r>
              <w:rPr>
                <w:spacing w:val="-2"/>
                <w:sz w:val="21"/>
              </w:rPr>
              <w:t>percentage</w:t>
            </w:r>
          </w:p>
        </w:tc>
      </w:tr>
      <w:tr w14:paraId="53FE7328" w14:textId="77777777">
        <w:tblPrEx>
          <w:tblW w:w="0" w:type="auto"/>
          <w:tblInd w:w="482" w:type="dxa"/>
          <w:tblLayout w:type="fixed"/>
          <w:tblCellMar>
            <w:left w:w="0" w:type="dxa"/>
            <w:right w:w="0" w:type="dxa"/>
          </w:tblCellMar>
          <w:tblLook w:val="01E0"/>
        </w:tblPrEx>
        <w:trPr>
          <w:trHeight w:val="278"/>
        </w:trPr>
        <w:tc>
          <w:tcPr>
            <w:tcW w:w="5498" w:type="dxa"/>
            <w:tcBorders>
              <w:top w:val="single" w:sz="18" w:space="0" w:color="800000"/>
            </w:tcBorders>
          </w:tcPr>
          <w:p w:rsidR="003F5784" w14:paraId="6A789C58" w14:textId="77777777">
            <w:pPr>
              <w:pStyle w:val="TableParagraph"/>
              <w:spacing w:before="9"/>
              <w:ind w:left="370"/>
              <w:jc w:val="left"/>
              <w:rPr>
                <w:b/>
                <w:sz w:val="21"/>
              </w:rPr>
            </w:pPr>
            <w:r>
              <w:rPr>
                <w:b/>
                <w:sz w:val="21"/>
              </w:rPr>
              <w:t>All</w:t>
            </w:r>
            <w:r>
              <w:rPr>
                <w:b/>
                <w:spacing w:val="-5"/>
                <w:sz w:val="21"/>
              </w:rPr>
              <w:t xml:space="preserve"> </w:t>
            </w:r>
            <w:r>
              <w:rPr>
                <w:b/>
                <w:sz w:val="21"/>
              </w:rPr>
              <w:t>age</w:t>
            </w:r>
            <w:r>
              <w:rPr>
                <w:b/>
                <w:spacing w:val="-5"/>
                <w:sz w:val="21"/>
              </w:rPr>
              <w:t xml:space="preserve"> </w:t>
            </w:r>
            <w:r>
              <w:rPr>
                <w:b/>
                <w:sz w:val="21"/>
              </w:rPr>
              <w:t>9</w:t>
            </w:r>
            <w:r>
              <w:rPr>
                <w:b/>
                <w:spacing w:val="-5"/>
                <w:sz w:val="21"/>
              </w:rPr>
              <w:t xml:space="preserve"> </w:t>
            </w:r>
            <w:r>
              <w:rPr>
                <w:b/>
                <w:sz w:val="21"/>
              </w:rPr>
              <w:t>sampled</w:t>
            </w:r>
            <w:r>
              <w:rPr>
                <w:b/>
                <w:spacing w:val="-5"/>
                <w:sz w:val="21"/>
              </w:rPr>
              <w:t xml:space="preserve"> </w:t>
            </w:r>
            <w:r>
              <w:rPr>
                <w:b/>
                <w:sz w:val="21"/>
              </w:rPr>
              <w:t>public</w:t>
            </w:r>
            <w:r>
              <w:rPr>
                <w:b/>
                <w:spacing w:val="-5"/>
                <w:sz w:val="21"/>
              </w:rPr>
              <w:t xml:space="preserve"> </w:t>
            </w:r>
            <w:r>
              <w:rPr>
                <w:b/>
                <w:spacing w:val="-2"/>
                <w:sz w:val="21"/>
              </w:rPr>
              <w:t>schools</w:t>
            </w:r>
          </w:p>
        </w:tc>
        <w:tc>
          <w:tcPr>
            <w:tcW w:w="5493" w:type="dxa"/>
            <w:tcBorders>
              <w:top w:val="single" w:sz="18" w:space="0" w:color="800000"/>
            </w:tcBorders>
          </w:tcPr>
          <w:p w:rsidR="003F5784" w14:paraId="3012BE33" w14:textId="77777777">
            <w:pPr>
              <w:pStyle w:val="TableParagraph"/>
              <w:spacing w:before="9"/>
              <w:ind w:right="896"/>
              <w:rPr>
                <w:b/>
                <w:sz w:val="21"/>
              </w:rPr>
            </w:pPr>
            <w:r>
              <w:rPr>
                <w:b/>
                <w:spacing w:val="-5"/>
                <w:sz w:val="21"/>
              </w:rPr>
              <w:t>160</w:t>
            </w:r>
          </w:p>
        </w:tc>
        <w:tc>
          <w:tcPr>
            <w:tcW w:w="2992" w:type="dxa"/>
            <w:tcBorders>
              <w:top w:val="single" w:sz="18" w:space="0" w:color="800000"/>
            </w:tcBorders>
          </w:tcPr>
          <w:p w:rsidR="003F5784" w14:paraId="5A178963" w14:textId="77777777">
            <w:pPr>
              <w:pStyle w:val="TableParagraph"/>
              <w:spacing w:before="9"/>
              <w:ind w:right="116"/>
              <w:rPr>
                <w:b/>
                <w:sz w:val="21"/>
              </w:rPr>
            </w:pPr>
            <w:r>
              <w:rPr>
                <w:b/>
                <w:spacing w:val="-2"/>
                <w:sz w:val="21"/>
              </w:rPr>
              <w:t>100.00</w:t>
            </w:r>
          </w:p>
        </w:tc>
      </w:tr>
      <w:tr w14:paraId="52FE0AC2" w14:textId="77777777">
        <w:tblPrEx>
          <w:tblW w:w="0" w:type="auto"/>
          <w:tblInd w:w="482" w:type="dxa"/>
          <w:tblLayout w:type="fixed"/>
          <w:tblCellMar>
            <w:left w:w="0" w:type="dxa"/>
            <w:right w:w="0" w:type="dxa"/>
          </w:tblCellMar>
          <w:tblLook w:val="01E0"/>
        </w:tblPrEx>
        <w:trPr>
          <w:trHeight w:val="286"/>
        </w:trPr>
        <w:tc>
          <w:tcPr>
            <w:tcW w:w="5498" w:type="dxa"/>
          </w:tcPr>
          <w:p w:rsidR="003F5784" w14:paraId="6394975A" w14:textId="77777777">
            <w:pPr>
              <w:pStyle w:val="TableParagraph"/>
              <w:ind w:left="120"/>
              <w:jc w:val="left"/>
              <w:rPr>
                <w:sz w:val="21"/>
              </w:rPr>
            </w:pPr>
            <w:r>
              <w:rPr>
                <w:sz w:val="21"/>
              </w:rPr>
              <w:t>Eligible</w:t>
            </w:r>
            <w:r>
              <w:rPr>
                <w:spacing w:val="-8"/>
                <w:sz w:val="21"/>
              </w:rPr>
              <w:t xml:space="preserve"> </w:t>
            </w:r>
            <w:r>
              <w:rPr>
                <w:spacing w:val="-2"/>
                <w:sz w:val="21"/>
              </w:rPr>
              <w:t>schools</w:t>
            </w:r>
          </w:p>
        </w:tc>
        <w:tc>
          <w:tcPr>
            <w:tcW w:w="5493" w:type="dxa"/>
          </w:tcPr>
          <w:p w:rsidR="003F5784" w14:paraId="567F3F05" w14:textId="77777777">
            <w:pPr>
              <w:pStyle w:val="TableParagraph"/>
              <w:ind w:right="896"/>
              <w:rPr>
                <w:sz w:val="21"/>
              </w:rPr>
            </w:pPr>
            <w:r>
              <w:rPr>
                <w:spacing w:val="-5"/>
                <w:sz w:val="21"/>
              </w:rPr>
              <w:t>140</w:t>
            </w:r>
          </w:p>
        </w:tc>
        <w:tc>
          <w:tcPr>
            <w:tcW w:w="2992" w:type="dxa"/>
          </w:tcPr>
          <w:p w:rsidR="003F5784" w14:paraId="6AA18F29" w14:textId="77777777">
            <w:pPr>
              <w:pStyle w:val="TableParagraph"/>
              <w:ind w:right="116"/>
              <w:rPr>
                <w:sz w:val="21"/>
              </w:rPr>
            </w:pPr>
            <w:r>
              <w:rPr>
                <w:spacing w:val="-2"/>
                <w:sz w:val="21"/>
              </w:rPr>
              <w:t>82.93</w:t>
            </w:r>
          </w:p>
        </w:tc>
      </w:tr>
      <w:tr w14:paraId="69452A4C" w14:textId="77777777">
        <w:tblPrEx>
          <w:tblW w:w="0" w:type="auto"/>
          <w:tblInd w:w="482" w:type="dxa"/>
          <w:tblLayout w:type="fixed"/>
          <w:tblCellMar>
            <w:left w:w="0" w:type="dxa"/>
            <w:right w:w="0" w:type="dxa"/>
          </w:tblCellMar>
          <w:tblLook w:val="01E0"/>
        </w:tblPrEx>
        <w:trPr>
          <w:trHeight w:val="286"/>
        </w:trPr>
        <w:tc>
          <w:tcPr>
            <w:tcW w:w="5498" w:type="dxa"/>
          </w:tcPr>
          <w:p w:rsidR="003F5784" w14:paraId="76EF9FC5" w14:textId="77777777">
            <w:pPr>
              <w:pStyle w:val="TableParagraph"/>
              <w:ind w:left="120"/>
              <w:jc w:val="left"/>
              <w:rPr>
                <w:sz w:val="21"/>
              </w:rPr>
            </w:pPr>
            <w:r>
              <w:rPr>
                <w:sz w:val="21"/>
              </w:rPr>
              <w:t>No</w:t>
            </w:r>
            <w:r>
              <w:rPr>
                <w:spacing w:val="-8"/>
                <w:sz w:val="21"/>
              </w:rPr>
              <w:t xml:space="preserve"> </w:t>
            </w:r>
            <w:r>
              <w:rPr>
                <w:sz w:val="21"/>
              </w:rPr>
              <w:t>age-eligible</w:t>
            </w:r>
            <w:r>
              <w:rPr>
                <w:spacing w:val="-7"/>
                <w:sz w:val="21"/>
              </w:rPr>
              <w:t xml:space="preserve"> </w:t>
            </w:r>
            <w:r>
              <w:rPr>
                <w:spacing w:val="-2"/>
                <w:sz w:val="21"/>
              </w:rPr>
              <w:t>students</w:t>
            </w:r>
          </w:p>
        </w:tc>
        <w:tc>
          <w:tcPr>
            <w:tcW w:w="5493" w:type="dxa"/>
          </w:tcPr>
          <w:p w:rsidR="003F5784" w14:paraId="61D14CF7" w14:textId="77777777">
            <w:pPr>
              <w:pStyle w:val="TableParagraph"/>
              <w:ind w:right="896"/>
              <w:rPr>
                <w:sz w:val="21"/>
              </w:rPr>
            </w:pPr>
            <w:r>
              <w:rPr>
                <w:spacing w:val="-5"/>
                <w:sz w:val="21"/>
              </w:rPr>
              <w:t>11</w:t>
            </w:r>
          </w:p>
        </w:tc>
        <w:tc>
          <w:tcPr>
            <w:tcW w:w="2992" w:type="dxa"/>
          </w:tcPr>
          <w:p w:rsidR="003F5784" w14:paraId="35827812" w14:textId="77777777">
            <w:pPr>
              <w:pStyle w:val="TableParagraph"/>
              <w:ind w:right="116"/>
              <w:rPr>
                <w:sz w:val="21"/>
              </w:rPr>
            </w:pPr>
            <w:r>
              <w:rPr>
                <w:spacing w:val="-4"/>
                <w:sz w:val="21"/>
              </w:rPr>
              <w:t>6.71</w:t>
            </w:r>
          </w:p>
        </w:tc>
      </w:tr>
      <w:tr w14:paraId="43AC7F0A" w14:textId="77777777">
        <w:tblPrEx>
          <w:tblW w:w="0" w:type="auto"/>
          <w:tblInd w:w="482" w:type="dxa"/>
          <w:tblLayout w:type="fixed"/>
          <w:tblCellMar>
            <w:left w:w="0" w:type="dxa"/>
            <w:right w:w="0" w:type="dxa"/>
          </w:tblCellMar>
          <w:tblLook w:val="01E0"/>
        </w:tblPrEx>
        <w:trPr>
          <w:trHeight w:val="286"/>
        </w:trPr>
        <w:tc>
          <w:tcPr>
            <w:tcW w:w="5498" w:type="dxa"/>
          </w:tcPr>
          <w:p w:rsidR="003F5784" w14:paraId="1D7484B2" w14:textId="77777777">
            <w:pPr>
              <w:pStyle w:val="TableParagraph"/>
              <w:ind w:left="120"/>
              <w:jc w:val="left"/>
              <w:rPr>
                <w:sz w:val="21"/>
              </w:rPr>
            </w:pPr>
            <w:r>
              <w:rPr>
                <w:sz w:val="21"/>
              </w:rPr>
              <w:t>School</w:t>
            </w:r>
            <w:r>
              <w:rPr>
                <w:spacing w:val="-7"/>
                <w:sz w:val="21"/>
              </w:rPr>
              <w:t xml:space="preserve"> </w:t>
            </w:r>
            <w:r>
              <w:rPr>
                <w:spacing w:val="-2"/>
                <w:sz w:val="21"/>
              </w:rPr>
              <w:t>closed</w:t>
            </w:r>
          </w:p>
        </w:tc>
        <w:tc>
          <w:tcPr>
            <w:tcW w:w="5493" w:type="dxa"/>
          </w:tcPr>
          <w:p w:rsidR="003F5784" w14:paraId="1A136766" w14:textId="77777777">
            <w:pPr>
              <w:pStyle w:val="TableParagraph"/>
              <w:ind w:right="896"/>
              <w:rPr>
                <w:sz w:val="21"/>
              </w:rPr>
            </w:pPr>
            <w:r>
              <w:rPr>
                <w:spacing w:val="-5"/>
                <w:sz w:val="21"/>
              </w:rPr>
              <w:t>11</w:t>
            </w:r>
          </w:p>
        </w:tc>
        <w:tc>
          <w:tcPr>
            <w:tcW w:w="2992" w:type="dxa"/>
          </w:tcPr>
          <w:p w:rsidR="003F5784" w14:paraId="75727983" w14:textId="77777777">
            <w:pPr>
              <w:pStyle w:val="TableParagraph"/>
              <w:ind w:right="116"/>
              <w:rPr>
                <w:sz w:val="21"/>
              </w:rPr>
            </w:pPr>
            <w:r>
              <w:rPr>
                <w:spacing w:val="-4"/>
                <w:sz w:val="21"/>
              </w:rPr>
              <w:t>6.71</w:t>
            </w:r>
          </w:p>
        </w:tc>
      </w:tr>
      <w:tr w14:paraId="693507DC" w14:textId="77777777">
        <w:tblPrEx>
          <w:tblW w:w="0" w:type="auto"/>
          <w:tblInd w:w="482" w:type="dxa"/>
          <w:tblLayout w:type="fixed"/>
          <w:tblCellMar>
            <w:left w:w="0" w:type="dxa"/>
            <w:right w:w="0" w:type="dxa"/>
          </w:tblCellMar>
          <w:tblLook w:val="01E0"/>
        </w:tblPrEx>
        <w:trPr>
          <w:trHeight w:val="286"/>
        </w:trPr>
        <w:tc>
          <w:tcPr>
            <w:tcW w:w="5498" w:type="dxa"/>
          </w:tcPr>
          <w:p w:rsidR="003F5784" w14:paraId="4B928490" w14:textId="77777777">
            <w:pPr>
              <w:pStyle w:val="TableParagraph"/>
              <w:ind w:left="120"/>
              <w:jc w:val="left"/>
              <w:rPr>
                <w:sz w:val="21"/>
              </w:rPr>
            </w:pPr>
            <w:r>
              <w:rPr>
                <w:sz w:val="21"/>
              </w:rPr>
              <w:t>Not</w:t>
            </w:r>
            <w:r>
              <w:rPr>
                <w:spacing w:val="-5"/>
                <w:sz w:val="21"/>
              </w:rPr>
              <w:t xml:space="preserve"> </w:t>
            </w:r>
            <w:r>
              <w:rPr>
                <w:sz w:val="21"/>
              </w:rPr>
              <w:t>a</w:t>
            </w:r>
            <w:r>
              <w:rPr>
                <w:spacing w:val="-4"/>
                <w:sz w:val="21"/>
              </w:rPr>
              <w:t xml:space="preserve"> </w:t>
            </w:r>
            <w:r>
              <w:rPr>
                <w:sz w:val="21"/>
              </w:rPr>
              <w:t>regular</w:t>
            </w:r>
            <w:r>
              <w:rPr>
                <w:spacing w:val="-5"/>
                <w:sz w:val="21"/>
              </w:rPr>
              <w:t xml:space="preserve"> </w:t>
            </w:r>
            <w:r>
              <w:rPr>
                <w:spacing w:val="-2"/>
                <w:sz w:val="21"/>
              </w:rPr>
              <w:t>school</w:t>
            </w:r>
          </w:p>
        </w:tc>
        <w:tc>
          <w:tcPr>
            <w:tcW w:w="5493" w:type="dxa"/>
          </w:tcPr>
          <w:p w:rsidR="003F5784" w14:paraId="4EF471A9" w14:textId="77777777">
            <w:pPr>
              <w:pStyle w:val="TableParagraph"/>
              <w:ind w:right="896"/>
              <w:rPr>
                <w:sz w:val="21"/>
              </w:rPr>
            </w:pPr>
            <w:r>
              <w:rPr>
                <w:spacing w:val="-10"/>
                <w:sz w:val="21"/>
              </w:rPr>
              <w:t>4</w:t>
            </w:r>
          </w:p>
        </w:tc>
        <w:tc>
          <w:tcPr>
            <w:tcW w:w="2992" w:type="dxa"/>
          </w:tcPr>
          <w:p w:rsidR="003F5784" w14:paraId="12B94913" w14:textId="77777777">
            <w:pPr>
              <w:pStyle w:val="TableParagraph"/>
              <w:ind w:right="116"/>
              <w:rPr>
                <w:sz w:val="21"/>
              </w:rPr>
            </w:pPr>
            <w:r>
              <w:rPr>
                <w:spacing w:val="-4"/>
                <w:sz w:val="21"/>
              </w:rPr>
              <w:t>2.44</w:t>
            </w:r>
          </w:p>
        </w:tc>
      </w:tr>
      <w:tr w14:paraId="097AAE08" w14:textId="77777777">
        <w:tblPrEx>
          <w:tblW w:w="0" w:type="auto"/>
          <w:tblInd w:w="482" w:type="dxa"/>
          <w:tblLayout w:type="fixed"/>
          <w:tblCellMar>
            <w:left w:w="0" w:type="dxa"/>
            <w:right w:w="0" w:type="dxa"/>
          </w:tblCellMar>
          <w:tblLook w:val="01E0"/>
        </w:tblPrEx>
        <w:trPr>
          <w:trHeight w:val="286"/>
        </w:trPr>
        <w:tc>
          <w:tcPr>
            <w:tcW w:w="5498" w:type="dxa"/>
          </w:tcPr>
          <w:p w:rsidR="003F5784" w14:paraId="327B7856" w14:textId="77777777">
            <w:pPr>
              <w:pStyle w:val="TableParagraph"/>
              <w:ind w:left="120"/>
              <w:jc w:val="left"/>
              <w:rPr>
                <w:sz w:val="21"/>
              </w:rPr>
            </w:pPr>
            <w:r>
              <w:rPr>
                <w:sz w:val="21"/>
              </w:rPr>
              <w:t>Other</w:t>
            </w:r>
            <w:r>
              <w:rPr>
                <w:spacing w:val="-8"/>
                <w:sz w:val="21"/>
              </w:rPr>
              <w:t xml:space="preserve"> </w:t>
            </w:r>
            <w:r>
              <w:rPr>
                <w:sz w:val="21"/>
              </w:rPr>
              <w:t>ineligible</w:t>
            </w:r>
            <w:r>
              <w:rPr>
                <w:spacing w:val="-7"/>
                <w:sz w:val="21"/>
              </w:rPr>
              <w:t xml:space="preserve"> </w:t>
            </w:r>
            <w:r>
              <w:rPr>
                <w:spacing w:val="-2"/>
                <w:sz w:val="21"/>
              </w:rPr>
              <w:t>school</w:t>
            </w:r>
          </w:p>
        </w:tc>
        <w:tc>
          <w:tcPr>
            <w:tcW w:w="5493" w:type="dxa"/>
          </w:tcPr>
          <w:p w:rsidR="003F5784" w14:paraId="45C446EB" w14:textId="77777777">
            <w:pPr>
              <w:pStyle w:val="TableParagraph"/>
              <w:ind w:right="896"/>
              <w:rPr>
                <w:sz w:val="21"/>
              </w:rPr>
            </w:pPr>
            <w:r>
              <w:rPr>
                <w:spacing w:val="-10"/>
                <w:sz w:val="21"/>
              </w:rPr>
              <w:t>0</w:t>
            </w:r>
          </w:p>
        </w:tc>
        <w:tc>
          <w:tcPr>
            <w:tcW w:w="2992" w:type="dxa"/>
          </w:tcPr>
          <w:p w:rsidR="003F5784" w14:paraId="15E190BF" w14:textId="77777777">
            <w:pPr>
              <w:pStyle w:val="TableParagraph"/>
              <w:ind w:right="116"/>
              <w:rPr>
                <w:sz w:val="21"/>
              </w:rPr>
            </w:pPr>
            <w:r>
              <w:rPr>
                <w:spacing w:val="-4"/>
                <w:sz w:val="21"/>
              </w:rPr>
              <w:t>0.00</w:t>
            </w:r>
          </w:p>
        </w:tc>
      </w:tr>
      <w:tr w14:paraId="12B78A1B" w14:textId="77777777">
        <w:tblPrEx>
          <w:tblW w:w="0" w:type="auto"/>
          <w:tblInd w:w="482" w:type="dxa"/>
          <w:tblLayout w:type="fixed"/>
          <w:tblCellMar>
            <w:left w:w="0" w:type="dxa"/>
            <w:right w:w="0" w:type="dxa"/>
          </w:tblCellMar>
          <w:tblLook w:val="01E0"/>
        </w:tblPrEx>
        <w:trPr>
          <w:trHeight w:val="289"/>
        </w:trPr>
        <w:tc>
          <w:tcPr>
            <w:tcW w:w="5498" w:type="dxa"/>
            <w:tcBorders>
              <w:bottom w:val="single" w:sz="12" w:space="0" w:color="800000"/>
            </w:tcBorders>
          </w:tcPr>
          <w:p w:rsidR="003F5784" w14:paraId="427316B0" w14:textId="77777777">
            <w:pPr>
              <w:pStyle w:val="TableParagraph"/>
              <w:ind w:left="120"/>
              <w:jc w:val="left"/>
              <w:rPr>
                <w:sz w:val="21"/>
              </w:rPr>
            </w:pPr>
            <w:r>
              <w:rPr>
                <w:sz w:val="21"/>
              </w:rPr>
              <w:t>Duplicate</w:t>
            </w:r>
            <w:r>
              <w:rPr>
                <w:spacing w:val="-7"/>
                <w:sz w:val="21"/>
              </w:rPr>
              <w:t xml:space="preserve"> </w:t>
            </w:r>
            <w:r>
              <w:rPr>
                <w:sz w:val="21"/>
              </w:rPr>
              <w:t>on</w:t>
            </w:r>
            <w:r>
              <w:rPr>
                <w:spacing w:val="-7"/>
                <w:sz w:val="21"/>
              </w:rPr>
              <w:t xml:space="preserve"> </w:t>
            </w:r>
            <w:r>
              <w:rPr>
                <w:sz w:val="21"/>
              </w:rPr>
              <w:t>sampling</w:t>
            </w:r>
            <w:r>
              <w:rPr>
                <w:spacing w:val="-7"/>
                <w:sz w:val="21"/>
              </w:rPr>
              <w:t xml:space="preserve"> </w:t>
            </w:r>
            <w:r>
              <w:rPr>
                <w:spacing w:val="-4"/>
                <w:sz w:val="21"/>
              </w:rPr>
              <w:t>frame</w:t>
            </w:r>
          </w:p>
        </w:tc>
        <w:tc>
          <w:tcPr>
            <w:tcW w:w="5493" w:type="dxa"/>
            <w:tcBorders>
              <w:bottom w:val="single" w:sz="12" w:space="0" w:color="800000"/>
            </w:tcBorders>
          </w:tcPr>
          <w:p w:rsidR="003F5784" w14:paraId="543A371A" w14:textId="77777777">
            <w:pPr>
              <w:pStyle w:val="TableParagraph"/>
              <w:ind w:right="896"/>
              <w:rPr>
                <w:sz w:val="21"/>
              </w:rPr>
            </w:pPr>
            <w:r>
              <w:rPr>
                <w:spacing w:val="-10"/>
                <w:sz w:val="21"/>
              </w:rPr>
              <w:t>2</w:t>
            </w:r>
          </w:p>
        </w:tc>
        <w:tc>
          <w:tcPr>
            <w:tcW w:w="2992" w:type="dxa"/>
            <w:tcBorders>
              <w:bottom w:val="single" w:sz="12" w:space="0" w:color="800000"/>
            </w:tcBorders>
          </w:tcPr>
          <w:p w:rsidR="003F5784" w14:paraId="5860C021" w14:textId="77777777">
            <w:pPr>
              <w:pStyle w:val="TableParagraph"/>
              <w:ind w:right="116"/>
              <w:rPr>
                <w:sz w:val="21"/>
              </w:rPr>
            </w:pPr>
            <w:r>
              <w:rPr>
                <w:spacing w:val="-4"/>
                <w:sz w:val="21"/>
              </w:rPr>
              <w:t>1.22</w:t>
            </w:r>
          </w:p>
        </w:tc>
      </w:tr>
      <w:tr w14:paraId="6D7C6949" w14:textId="77777777">
        <w:tblPrEx>
          <w:tblW w:w="0" w:type="auto"/>
          <w:tblInd w:w="482" w:type="dxa"/>
          <w:tblLayout w:type="fixed"/>
          <w:tblCellMar>
            <w:left w:w="0" w:type="dxa"/>
            <w:right w:w="0" w:type="dxa"/>
          </w:tblCellMar>
          <w:tblLook w:val="01E0"/>
        </w:tblPrEx>
        <w:trPr>
          <w:trHeight w:val="266"/>
        </w:trPr>
        <w:tc>
          <w:tcPr>
            <w:tcW w:w="5498" w:type="dxa"/>
            <w:tcBorders>
              <w:top w:val="single" w:sz="12" w:space="0" w:color="800000"/>
            </w:tcBorders>
          </w:tcPr>
          <w:p w:rsidR="003F5784" w14:paraId="2639F8AA" w14:textId="77777777">
            <w:pPr>
              <w:pStyle w:val="TableParagraph"/>
              <w:spacing w:before="0" w:line="239" w:lineRule="exact"/>
              <w:ind w:left="370"/>
              <w:jc w:val="left"/>
              <w:rPr>
                <w:b/>
                <w:sz w:val="21"/>
              </w:rPr>
            </w:pPr>
            <w:r>
              <w:rPr>
                <w:b/>
                <w:sz w:val="21"/>
              </w:rPr>
              <w:t>All</w:t>
            </w:r>
            <w:r>
              <w:rPr>
                <w:b/>
                <w:spacing w:val="-6"/>
                <w:sz w:val="21"/>
              </w:rPr>
              <w:t xml:space="preserve"> </w:t>
            </w:r>
            <w:r>
              <w:rPr>
                <w:b/>
                <w:sz w:val="21"/>
              </w:rPr>
              <w:t>age</w:t>
            </w:r>
            <w:r>
              <w:rPr>
                <w:b/>
                <w:spacing w:val="-5"/>
                <w:sz w:val="21"/>
              </w:rPr>
              <w:t xml:space="preserve"> </w:t>
            </w:r>
            <w:r>
              <w:rPr>
                <w:b/>
                <w:sz w:val="21"/>
              </w:rPr>
              <w:t>13</w:t>
            </w:r>
            <w:r>
              <w:rPr>
                <w:b/>
                <w:spacing w:val="-5"/>
                <w:sz w:val="21"/>
              </w:rPr>
              <w:t xml:space="preserve"> </w:t>
            </w:r>
            <w:r>
              <w:rPr>
                <w:b/>
                <w:sz w:val="21"/>
              </w:rPr>
              <w:t>sampled</w:t>
            </w:r>
            <w:r>
              <w:rPr>
                <w:b/>
                <w:spacing w:val="-5"/>
                <w:sz w:val="21"/>
              </w:rPr>
              <w:t xml:space="preserve"> </w:t>
            </w:r>
            <w:r>
              <w:rPr>
                <w:b/>
                <w:sz w:val="21"/>
              </w:rPr>
              <w:t>public</w:t>
            </w:r>
            <w:r>
              <w:rPr>
                <w:b/>
                <w:spacing w:val="-5"/>
                <w:sz w:val="21"/>
              </w:rPr>
              <w:t xml:space="preserve"> </w:t>
            </w:r>
            <w:r>
              <w:rPr>
                <w:b/>
                <w:spacing w:val="-2"/>
                <w:sz w:val="21"/>
              </w:rPr>
              <w:t>schools</w:t>
            </w:r>
          </w:p>
        </w:tc>
        <w:tc>
          <w:tcPr>
            <w:tcW w:w="5493" w:type="dxa"/>
            <w:tcBorders>
              <w:top w:val="single" w:sz="12" w:space="0" w:color="800000"/>
            </w:tcBorders>
          </w:tcPr>
          <w:p w:rsidR="003F5784" w14:paraId="190556D8" w14:textId="77777777">
            <w:pPr>
              <w:pStyle w:val="TableParagraph"/>
              <w:spacing w:before="0" w:line="239" w:lineRule="exact"/>
              <w:ind w:right="896"/>
              <w:rPr>
                <w:b/>
                <w:sz w:val="21"/>
              </w:rPr>
            </w:pPr>
            <w:r>
              <w:rPr>
                <w:b/>
                <w:spacing w:val="-5"/>
                <w:sz w:val="21"/>
              </w:rPr>
              <w:t>180</w:t>
            </w:r>
          </w:p>
        </w:tc>
        <w:tc>
          <w:tcPr>
            <w:tcW w:w="2992" w:type="dxa"/>
            <w:tcBorders>
              <w:top w:val="single" w:sz="12" w:space="0" w:color="800000"/>
            </w:tcBorders>
          </w:tcPr>
          <w:p w:rsidR="003F5784" w14:paraId="7CE16213" w14:textId="77777777">
            <w:pPr>
              <w:pStyle w:val="TableParagraph"/>
              <w:spacing w:before="0" w:line="239" w:lineRule="exact"/>
              <w:ind w:right="116"/>
              <w:rPr>
                <w:b/>
                <w:sz w:val="21"/>
              </w:rPr>
            </w:pPr>
            <w:r>
              <w:rPr>
                <w:b/>
                <w:spacing w:val="-2"/>
                <w:sz w:val="21"/>
              </w:rPr>
              <w:t>100.00</w:t>
            </w:r>
          </w:p>
        </w:tc>
      </w:tr>
      <w:tr w14:paraId="1816594C" w14:textId="77777777">
        <w:tblPrEx>
          <w:tblW w:w="0" w:type="auto"/>
          <w:tblInd w:w="482" w:type="dxa"/>
          <w:tblLayout w:type="fixed"/>
          <w:tblCellMar>
            <w:left w:w="0" w:type="dxa"/>
            <w:right w:w="0" w:type="dxa"/>
          </w:tblCellMar>
          <w:tblLook w:val="01E0"/>
        </w:tblPrEx>
        <w:trPr>
          <w:trHeight w:val="286"/>
        </w:trPr>
        <w:tc>
          <w:tcPr>
            <w:tcW w:w="5498" w:type="dxa"/>
          </w:tcPr>
          <w:p w:rsidR="003F5784" w14:paraId="58E0156C" w14:textId="77777777">
            <w:pPr>
              <w:pStyle w:val="TableParagraph"/>
              <w:ind w:left="120"/>
              <w:jc w:val="left"/>
              <w:rPr>
                <w:sz w:val="21"/>
              </w:rPr>
            </w:pPr>
            <w:r>
              <w:rPr>
                <w:sz w:val="21"/>
              </w:rPr>
              <w:t>Eligible</w:t>
            </w:r>
            <w:r>
              <w:rPr>
                <w:spacing w:val="-8"/>
                <w:sz w:val="21"/>
              </w:rPr>
              <w:t xml:space="preserve"> </w:t>
            </w:r>
            <w:r>
              <w:rPr>
                <w:spacing w:val="-2"/>
                <w:sz w:val="21"/>
              </w:rPr>
              <w:t>schools</w:t>
            </w:r>
          </w:p>
        </w:tc>
        <w:tc>
          <w:tcPr>
            <w:tcW w:w="5493" w:type="dxa"/>
          </w:tcPr>
          <w:p w:rsidR="003F5784" w14:paraId="27A2AC79" w14:textId="77777777">
            <w:pPr>
              <w:pStyle w:val="TableParagraph"/>
              <w:ind w:right="896"/>
              <w:rPr>
                <w:sz w:val="21"/>
              </w:rPr>
            </w:pPr>
            <w:r>
              <w:rPr>
                <w:spacing w:val="-5"/>
                <w:sz w:val="21"/>
              </w:rPr>
              <w:t>140</w:t>
            </w:r>
          </w:p>
        </w:tc>
        <w:tc>
          <w:tcPr>
            <w:tcW w:w="2992" w:type="dxa"/>
          </w:tcPr>
          <w:p w:rsidR="003F5784" w14:paraId="26BF6870" w14:textId="77777777">
            <w:pPr>
              <w:pStyle w:val="TableParagraph"/>
              <w:ind w:right="116"/>
              <w:rPr>
                <w:sz w:val="21"/>
              </w:rPr>
            </w:pPr>
            <w:r>
              <w:rPr>
                <w:spacing w:val="-2"/>
                <w:sz w:val="21"/>
              </w:rPr>
              <w:t>75.96</w:t>
            </w:r>
          </w:p>
        </w:tc>
      </w:tr>
      <w:tr w14:paraId="175C190C" w14:textId="77777777">
        <w:tblPrEx>
          <w:tblW w:w="0" w:type="auto"/>
          <w:tblInd w:w="482" w:type="dxa"/>
          <w:tblLayout w:type="fixed"/>
          <w:tblCellMar>
            <w:left w:w="0" w:type="dxa"/>
            <w:right w:w="0" w:type="dxa"/>
          </w:tblCellMar>
          <w:tblLook w:val="01E0"/>
        </w:tblPrEx>
        <w:trPr>
          <w:trHeight w:val="286"/>
        </w:trPr>
        <w:tc>
          <w:tcPr>
            <w:tcW w:w="5498" w:type="dxa"/>
          </w:tcPr>
          <w:p w:rsidR="003F5784" w14:paraId="2C6C6C76" w14:textId="77777777">
            <w:pPr>
              <w:pStyle w:val="TableParagraph"/>
              <w:ind w:left="120"/>
              <w:jc w:val="left"/>
              <w:rPr>
                <w:sz w:val="21"/>
              </w:rPr>
            </w:pPr>
            <w:r>
              <w:rPr>
                <w:sz w:val="21"/>
              </w:rPr>
              <w:t>No</w:t>
            </w:r>
            <w:r>
              <w:rPr>
                <w:spacing w:val="-8"/>
                <w:sz w:val="21"/>
              </w:rPr>
              <w:t xml:space="preserve"> </w:t>
            </w:r>
            <w:r>
              <w:rPr>
                <w:sz w:val="21"/>
              </w:rPr>
              <w:t>age-eligible</w:t>
            </w:r>
            <w:r>
              <w:rPr>
                <w:spacing w:val="-7"/>
                <w:sz w:val="21"/>
              </w:rPr>
              <w:t xml:space="preserve"> </w:t>
            </w:r>
            <w:r>
              <w:rPr>
                <w:spacing w:val="-2"/>
                <w:sz w:val="21"/>
              </w:rPr>
              <w:t>students</w:t>
            </w:r>
          </w:p>
        </w:tc>
        <w:tc>
          <w:tcPr>
            <w:tcW w:w="5493" w:type="dxa"/>
          </w:tcPr>
          <w:p w:rsidR="003F5784" w14:paraId="5689B904" w14:textId="77777777">
            <w:pPr>
              <w:pStyle w:val="TableParagraph"/>
              <w:ind w:right="896"/>
              <w:rPr>
                <w:sz w:val="21"/>
              </w:rPr>
            </w:pPr>
            <w:r>
              <w:rPr>
                <w:spacing w:val="-5"/>
                <w:sz w:val="21"/>
              </w:rPr>
              <w:t>25</w:t>
            </w:r>
          </w:p>
        </w:tc>
        <w:tc>
          <w:tcPr>
            <w:tcW w:w="2992" w:type="dxa"/>
          </w:tcPr>
          <w:p w:rsidR="003F5784" w14:paraId="7C8BB999" w14:textId="77777777">
            <w:pPr>
              <w:pStyle w:val="TableParagraph"/>
              <w:ind w:right="116"/>
              <w:rPr>
                <w:sz w:val="21"/>
              </w:rPr>
            </w:pPr>
            <w:r>
              <w:rPr>
                <w:spacing w:val="-2"/>
                <w:sz w:val="21"/>
              </w:rPr>
              <w:t>13.66</w:t>
            </w:r>
          </w:p>
        </w:tc>
      </w:tr>
      <w:tr w14:paraId="7FCA8606" w14:textId="77777777">
        <w:tblPrEx>
          <w:tblW w:w="0" w:type="auto"/>
          <w:tblInd w:w="482" w:type="dxa"/>
          <w:tblLayout w:type="fixed"/>
          <w:tblCellMar>
            <w:left w:w="0" w:type="dxa"/>
            <w:right w:w="0" w:type="dxa"/>
          </w:tblCellMar>
          <w:tblLook w:val="01E0"/>
        </w:tblPrEx>
        <w:trPr>
          <w:trHeight w:val="288"/>
        </w:trPr>
        <w:tc>
          <w:tcPr>
            <w:tcW w:w="5498" w:type="dxa"/>
            <w:tcBorders>
              <w:bottom w:val="single" w:sz="18" w:space="0" w:color="800000"/>
            </w:tcBorders>
          </w:tcPr>
          <w:p w:rsidR="003F5784" w14:paraId="43399B94" w14:textId="77777777">
            <w:pPr>
              <w:pStyle w:val="TableParagraph"/>
              <w:ind w:left="120"/>
              <w:jc w:val="left"/>
              <w:rPr>
                <w:sz w:val="21"/>
              </w:rPr>
            </w:pPr>
            <w:r>
              <w:rPr>
                <w:sz w:val="21"/>
              </w:rPr>
              <w:t>School</w:t>
            </w:r>
            <w:r>
              <w:rPr>
                <w:spacing w:val="-7"/>
                <w:sz w:val="21"/>
              </w:rPr>
              <w:t xml:space="preserve"> </w:t>
            </w:r>
            <w:r>
              <w:rPr>
                <w:spacing w:val="-2"/>
                <w:sz w:val="21"/>
              </w:rPr>
              <w:t>closed</w:t>
            </w:r>
          </w:p>
        </w:tc>
        <w:tc>
          <w:tcPr>
            <w:tcW w:w="5493" w:type="dxa"/>
            <w:tcBorders>
              <w:bottom w:val="single" w:sz="18" w:space="0" w:color="800000"/>
            </w:tcBorders>
          </w:tcPr>
          <w:p w:rsidR="003F5784" w14:paraId="14125BC7" w14:textId="77777777">
            <w:pPr>
              <w:pStyle w:val="TableParagraph"/>
              <w:ind w:right="896"/>
              <w:rPr>
                <w:sz w:val="21"/>
              </w:rPr>
            </w:pPr>
            <w:r>
              <w:rPr>
                <w:spacing w:val="-10"/>
                <w:sz w:val="21"/>
              </w:rPr>
              <w:t>8</w:t>
            </w:r>
          </w:p>
        </w:tc>
        <w:tc>
          <w:tcPr>
            <w:tcW w:w="2992" w:type="dxa"/>
            <w:tcBorders>
              <w:bottom w:val="single" w:sz="18" w:space="0" w:color="800000"/>
            </w:tcBorders>
          </w:tcPr>
          <w:p w:rsidR="003F5784" w14:paraId="1F57A10F" w14:textId="77777777">
            <w:pPr>
              <w:pStyle w:val="TableParagraph"/>
              <w:ind w:right="116"/>
              <w:rPr>
                <w:sz w:val="21"/>
              </w:rPr>
            </w:pPr>
            <w:r>
              <w:rPr>
                <w:spacing w:val="-4"/>
                <w:sz w:val="21"/>
              </w:rPr>
              <w:t>4.37</w:t>
            </w:r>
          </w:p>
        </w:tc>
      </w:tr>
      <w:tr w14:paraId="565F6CC6" w14:textId="77777777">
        <w:tblPrEx>
          <w:tblW w:w="0" w:type="auto"/>
          <w:tblInd w:w="482" w:type="dxa"/>
          <w:tblLayout w:type="fixed"/>
          <w:tblCellMar>
            <w:left w:w="0" w:type="dxa"/>
            <w:right w:w="0" w:type="dxa"/>
          </w:tblCellMar>
          <w:tblLook w:val="01E0"/>
        </w:tblPrEx>
        <w:trPr>
          <w:trHeight w:val="237"/>
        </w:trPr>
        <w:tc>
          <w:tcPr>
            <w:tcW w:w="13983" w:type="dxa"/>
            <w:gridSpan w:val="3"/>
            <w:tcBorders>
              <w:top w:val="single" w:sz="18" w:space="0" w:color="800000"/>
            </w:tcBorders>
          </w:tcPr>
          <w:p w:rsidR="003F5784" w14:paraId="1784A29F" w14:textId="77777777">
            <w:pPr>
              <w:pStyle w:val="TableParagraph"/>
              <w:spacing w:before="0" w:line="218" w:lineRule="exact"/>
              <w:ind w:left="120"/>
              <w:jc w:val="left"/>
              <w:rPr>
                <w:sz w:val="21"/>
              </w:rPr>
            </w:pPr>
            <w:r>
              <w:rPr>
                <w:sz w:val="21"/>
              </w:rPr>
              <w:t>NOTE:</w:t>
            </w:r>
            <w:r>
              <w:rPr>
                <w:spacing w:val="-10"/>
                <w:sz w:val="21"/>
              </w:rPr>
              <w:t xml:space="preserve"> </w:t>
            </w:r>
            <w:r>
              <w:rPr>
                <w:sz w:val="21"/>
              </w:rPr>
              <w:t>Total</w:t>
            </w:r>
            <w:r>
              <w:rPr>
                <w:spacing w:val="-7"/>
                <w:sz w:val="21"/>
              </w:rPr>
              <w:t xml:space="preserve"> </w:t>
            </w:r>
            <w:r>
              <w:rPr>
                <w:sz w:val="21"/>
              </w:rPr>
              <w:t>and</w:t>
            </w:r>
            <w:r>
              <w:rPr>
                <w:spacing w:val="-6"/>
                <w:sz w:val="21"/>
              </w:rPr>
              <w:t xml:space="preserve"> </w:t>
            </w:r>
            <w:r>
              <w:rPr>
                <w:sz w:val="21"/>
              </w:rPr>
              <w:t>eligible</w:t>
            </w:r>
            <w:r>
              <w:rPr>
                <w:spacing w:val="-6"/>
                <w:sz w:val="21"/>
              </w:rPr>
              <w:t xml:space="preserve"> </w:t>
            </w:r>
            <w:r>
              <w:rPr>
                <w:sz w:val="21"/>
              </w:rPr>
              <w:t>school</w:t>
            </w:r>
            <w:r>
              <w:rPr>
                <w:spacing w:val="-6"/>
                <w:sz w:val="21"/>
              </w:rPr>
              <w:t xml:space="preserve"> </w:t>
            </w:r>
            <w:r>
              <w:rPr>
                <w:sz w:val="21"/>
              </w:rPr>
              <w:t>counts</w:t>
            </w:r>
            <w:r>
              <w:rPr>
                <w:spacing w:val="-6"/>
                <w:sz w:val="21"/>
              </w:rPr>
              <w:t xml:space="preserve"> </w:t>
            </w:r>
            <w:r>
              <w:rPr>
                <w:sz w:val="21"/>
              </w:rPr>
              <w:t>are</w:t>
            </w:r>
            <w:r>
              <w:rPr>
                <w:spacing w:val="-7"/>
                <w:sz w:val="21"/>
              </w:rPr>
              <w:t xml:space="preserve"> </w:t>
            </w:r>
            <w:r>
              <w:rPr>
                <w:sz w:val="21"/>
              </w:rPr>
              <w:t>rounded</w:t>
            </w:r>
            <w:r>
              <w:rPr>
                <w:spacing w:val="-6"/>
                <w:sz w:val="21"/>
              </w:rPr>
              <w:t xml:space="preserve"> </w:t>
            </w:r>
            <w:r>
              <w:rPr>
                <w:sz w:val="21"/>
              </w:rPr>
              <w:t>to</w:t>
            </w:r>
            <w:r>
              <w:rPr>
                <w:spacing w:val="-6"/>
                <w:sz w:val="21"/>
              </w:rPr>
              <w:t xml:space="preserve"> </w:t>
            </w:r>
            <w:r>
              <w:rPr>
                <w:sz w:val="21"/>
              </w:rPr>
              <w:t>nearest</w:t>
            </w:r>
            <w:r>
              <w:rPr>
                <w:spacing w:val="-6"/>
                <w:sz w:val="21"/>
              </w:rPr>
              <w:t xml:space="preserve"> </w:t>
            </w:r>
            <w:r>
              <w:rPr>
                <w:sz w:val="21"/>
              </w:rPr>
              <w:t>ten.</w:t>
            </w:r>
            <w:r>
              <w:rPr>
                <w:spacing w:val="-6"/>
                <w:sz w:val="21"/>
              </w:rPr>
              <w:t xml:space="preserve"> </w:t>
            </w:r>
            <w:r>
              <w:rPr>
                <w:sz w:val="21"/>
              </w:rPr>
              <w:t>Percentages</w:t>
            </w:r>
            <w:r>
              <w:rPr>
                <w:spacing w:val="-7"/>
                <w:sz w:val="21"/>
              </w:rPr>
              <w:t xml:space="preserve"> </w:t>
            </w:r>
            <w:r>
              <w:rPr>
                <w:sz w:val="21"/>
              </w:rPr>
              <w:t>are</w:t>
            </w:r>
            <w:r>
              <w:rPr>
                <w:spacing w:val="-6"/>
                <w:sz w:val="21"/>
              </w:rPr>
              <w:t xml:space="preserve"> </w:t>
            </w:r>
            <w:r>
              <w:rPr>
                <w:sz w:val="21"/>
              </w:rPr>
              <w:t>based</w:t>
            </w:r>
            <w:r>
              <w:rPr>
                <w:spacing w:val="-6"/>
                <w:sz w:val="21"/>
              </w:rPr>
              <w:t xml:space="preserve"> </w:t>
            </w:r>
            <w:r>
              <w:rPr>
                <w:sz w:val="21"/>
              </w:rPr>
              <w:t>on</w:t>
            </w:r>
            <w:r>
              <w:rPr>
                <w:spacing w:val="-6"/>
                <w:sz w:val="21"/>
              </w:rPr>
              <w:t xml:space="preserve"> </w:t>
            </w:r>
            <w:r>
              <w:rPr>
                <w:sz w:val="21"/>
              </w:rPr>
              <w:t>unrounded</w:t>
            </w:r>
            <w:r>
              <w:rPr>
                <w:spacing w:val="-7"/>
                <w:sz w:val="21"/>
              </w:rPr>
              <w:t xml:space="preserve"> </w:t>
            </w:r>
            <w:r>
              <w:rPr>
                <w:sz w:val="21"/>
              </w:rPr>
              <w:t>counts.</w:t>
            </w:r>
            <w:r>
              <w:rPr>
                <w:spacing w:val="-6"/>
                <w:sz w:val="21"/>
              </w:rPr>
              <w:t xml:space="preserve"> </w:t>
            </w:r>
            <w:r>
              <w:rPr>
                <w:sz w:val="21"/>
              </w:rPr>
              <w:t>Detail</w:t>
            </w:r>
            <w:r>
              <w:rPr>
                <w:spacing w:val="-6"/>
                <w:sz w:val="21"/>
              </w:rPr>
              <w:t xml:space="preserve"> </w:t>
            </w:r>
            <w:r>
              <w:rPr>
                <w:sz w:val="21"/>
              </w:rPr>
              <w:t>may</w:t>
            </w:r>
            <w:r>
              <w:rPr>
                <w:spacing w:val="-6"/>
                <w:sz w:val="21"/>
              </w:rPr>
              <w:t xml:space="preserve"> </w:t>
            </w:r>
            <w:r>
              <w:rPr>
                <w:sz w:val="21"/>
              </w:rPr>
              <w:t>not</w:t>
            </w:r>
            <w:r>
              <w:rPr>
                <w:spacing w:val="-6"/>
                <w:sz w:val="21"/>
              </w:rPr>
              <w:t xml:space="preserve"> </w:t>
            </w:r>
            <w:r>
              <w:rPr>
                <w:sz w:val="21"/>
              </w:rPr>
              <w:t>sum</w:t>
            </w:r>
            <w:r>
              <w:rPr>
                <w:spacing w:val="-7"/>
                <w:sz w:val="21"/>
              </w:rPr>
              <w:t xml:space="preserve"> </w:t>
            </w:r>
            <w:r>
              <w:rPr>
                <w:sz w:val="21"/>
              </w:rPr>
              <w:t>to</w:t>
            </w:r>
            <w:r>
              <w:rPr>
                <w:spacing w:val="-6"/>
                <w:sz w:val="21"/>
              </w:rPr>
              <w:t xml:space="preserve"> </w:t>
            </w:r>
            <w:r>
              <w:rPr>
                <w:sz w:val="21"/>
              </w:rPr>
              <w:t>totals</w:t>
            </w:r>
            <w:r>
              <w:rPr>
                <w:spacing w:val="-6"/>
                <w:sz w:val="21"/>
              </w:rPr>
              <w:t xml:space="preserve"> </w:t>
            </w:r>
            <w:r>
              <w:rPr>
                <w:sz w:val="21"/>
              </w:rPr>
              <w:t>because</w:t>
            </w:r>
            <w:r>
              <w:rPr>
                <w:spacing w:val="-6"/>
                <w:sz w:val="21"/>
              </w:rPr>
              <w:t xml:space="preserve"> </w:t>
            </w:r>
            <w:r>
              <w:rPr>
                <w:sz w:val="21"/>
              </w:rPr>
              <w:t>of</w:t>
            </w:r>
            <w:r>
              <w:rPr>
                <w:spacing w:val="-6"/>
                <w:sz w:val="21"/>
              </w:rPr>
              <w:t xml:space="preserve"> </w:t>
            </w:r>
            <w:r>
              <w:rPr>
                <w:spacing w:val="-2"/>
                <w:sz w:val="21"/>
              </w:rPr>
              <w:t>rounding.</w:t>
            </w:r>
          </w:p>
        </w:tc>
      </w:tr>
    </w:tbl>
    <w:p w:rsidR="003F5784" w14:paraId="25DCDEEB" w14:textId="77777777">
      <w:pPr>
        <w:pStyle w:val="BodyText"/>
        <w:spacing w:before="6"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2560A1EF" w14:textId="77777777">
      <w:pPr>
        <w:spacing w:line="232" w:lineRule="auto"/>
        <w:sectPr>
          <w:pgSz w:w="15840" w:h="12240" w:orient="landscape"/>
          <w:pgMar w:top="480" w:right="440" w:bottom="460" w:left="460" w:header="284" w:footer="275" w:gutter="0"/>
          <w:cols w:space="720"/>
        </w:sectPr>
      </w:pPr>
    </w:p>
    <w:p w:rsidR="003F5784" w14:paraId="07310905" w14:textId="77777777">
      <w:pPr>
        <w:pStyle w:val="BodyText"/>
        <w:tabs>
          <w:tab w:val="left" w:pos="8129"/>
          <w:tab w:val="left" w:pos="12365"/>
        </w:tabs>
        <w:spacing w:before="98" w:after="20"/>
        <w:ind w:left="595"/>
      </w:pPr>
      <w:r>
        <w:t>Eligibility</w:t>
      </w:r>
      <w:r>
        <w:rPr>
          <w:spacing w:val="-10"/>
        </w:rPr>
        <w:t xml:space="preserve"> </w:t>
      </w:r>
      <w:r>
        <w:rPr>
          <w:spacing w:val="-2"/>
        </w:rPr>
        <w:t>Status</w:t>
      </w:r>
      <w:r>
        <w:tab/>
        <w:t>Unweighted</w:t>
      </w:r>
      <w:r>
        <w:rPr>
          <w:spacing w:val="-7"/>
        </w:rPr>
        <w:t xml:space="preserve"> </w:t>
      </w:r>
      <w:r>
        <w:t>count</w:t>
      </w:r>
      <w:r>
        <w:rPr>
          <w:spacing w:val="-7"/>
        </w:rPr>
        <w:t xml:space="preserve"> </w:t>
      </w:r>
      <w:r>
        <w:t>of</w:t>
      </w:r>
      <w:r>
        <w:rPr>
          <w:spacing w:val="-6"/>
        </w:rPr>
        <w:t xml:space="preserve"> </w:t>
      </w:r>
      <w:r>
        <w:rPr>
          <w:spacing w:val="-2"/>
        </w:rPr>
        <w:t>schools</w:t>
      </w:r>
      <w:r>
        <w:tab/>
        <w:t>Unweighted</w:t>
      </w:r>
      <w:r>
        <w:rPr>
          <w:spacing w:val="-12"/>
        </w:rPr>
        <w:t xml:space="preserve"> </w:t>
      </w:r>
      <w:r>
        <w:rPr>
          <w:spacing w:val="-2"/>
        </w:rPr>
        <w:t>percentage</w:t>
      </w:r>
    </w:p>
    <w:tbl>
      <w:tblPr>
        <w:tblW w:w="0" w:type="auto"/>
        <w:tblInd w:w="482" w:type="dxa"/>
        <w:tblLayout w:type="fixed"/>
        <w:tblCellMar>
          <w:left w:w="0" w:type="dxa"/>
          <w:right w:w="0" w:type="dxa"/>
        </w:tblCellMar>
        <w:tblLook w:val="01E0"/>
      </w:tblPr>
      <w:tblGrid>
        <w:gridCol w:w="5458"/>
        <w:gridCol w:w="5490"/>
        <w:gridCol w:w="3036"/>
      </w:tblGrid>
      <w:tr w14:paraId="69B30091" w14:textId="77777777" w:rsidTr="008F0E55">
        <w:tblPrEx>
          <w:tblW w:w="0" w:type="auto"/>
          <w:tblInd w:w="482" w:type="dxa"/>
          <w:tblLayout w:type="fixed"/>
          <w:tblCellMar>
            <w:left w:w="0" w:type="dxa"/>
            <w:right w:w="0" w:type="dxa"/>
          </w:tblCellMar>
          <w:tblLook w:val="01E0"/>
        </w:tblPrEx>
        <w:trPr>
          <w:trHeight w:val="278"/>
        </w:trPr>
        <w:tc>
          <w:tcPr>
            <w:tcW w:w="5458" w:type="dxa"/>
            <w:tcBorders>
              <w:top w:val="single" w:sz="18" w:space="0" w:color="800000"/>
            </w:tcBorders>
          </w:tcPr>
          <w:p w:rsidR="003F5784" w14:paraId="7F33CB52" w14:textId="77777777">
            <w:pPr>
              <w:pStyle w:val="TableParagraph"/>
              <w:spacing w:before="9"/>
              <w:ind w:left="120"/>
              <w:jc w:val="left"/>
              <w:rPr>
                <w:sz w:val="21"/>
              </w:rPr>
            </w:pPr>
            <w:r>
              <w:rPr>
                <w:sz w:val="21"/>
              </w:rPr>
              <w:t>Not</w:t>
            </w:r>
            <w:r>
              <w:rPr>
                <w:spacing w:val="-5"/>
                <w:sz w:val="21"/>
              </w:rPr>
              <w:t xml:space="preserve"> </w:t>
            </w:r>
            <w:r>
              <w:rPr>
                <w:sz w:val="21"/>
              </w:rPr>
              <w:t>a</w:t>
            </w:r>
            <w:r>
              <w:rPr>
                <w:spacing w:val="-4"/>
                <w:sz w:val="21"/>
              </w:rPr>
              <w:t xml:space="preserve"> </w:t>
            </w:r>
            <w:r>
              <w:rPr>
                <w:sz w:val="21"/>
              </w:rPr>
              <w:t>regular</w:t>
            </w:r>
            <w:r>
              <w:rPr>
                <w:spacing w:val="-5"/>
                <w:sz w:val="21"/>
              </w:rPr>
              <w:t xml:space="preserve"> </w:t>
            </w:r>
            <w:r>
              <w:rPr>
                <w:spacing w:val="-2"/>
                <w:sz w:val="21"/>
              </w:rPr>
              <w:t>school</w:t>
            </w:r>
          </w:p>
        </w:tc>
        <w:tc>
          <w:tcPr>
            <w:tcW w:w="5490" w:type="dxa"/>
            <w:tcBorders>
              <w:top w:val="single" w:sz="18" w:space="0" w:color="800000"/>
            </w:tcBorders>
          </w:tcPr>
          <w:p w:rsidR="003F5784" w14:paraId="010C0613" w14:textId="77777777">
            <w:pPr>
              <w:pStyle w:val="TableParagraph"/>
              <w:spacing w:before="9"/>
              <w:ind w:right="1701"/>
              <w:rPr>
                <w:sz w:val="21"/>
              </w:rPr>
            </w:pPr>
            <w:r>
              <w:rPr>
                <w:spacing w:val="-5"/>
                <w:sz w:val="21"/>
              </w:rPr>
              <w:t>10</w:t>
            </w:r>
          </w:p>
        </w:tc>
        <w:tc>
          <w:tcPr>
            <w:tcW w:w="3036" w:type="dxa"/>
            <w:tcBorders>
              <w:top w:val="single" w:sz="18" w:space="0" w:color="800000"/>
            </w:tcBorders>
          </w:tcPr>
          <w:p w:rsidR="003F5784" w14:paraId="4551AEFD" w14:textId="77777777">
            <w:pPr>
              <w:pStyle w:val="TableParagraph"/>
              <w:spacing w:before="9"/>
              <w:ind w:right="117"/>
              <w:rPr>
                <w:sz w:val="21"/>
              </w:rPr>
            </w:pPr>
            <w:r>
              <w:rPr>
                <w:spacing w:val="-4"/>
                <w:sz w:val="21"/>
              </w:rPr>
              <w:t>5.46</w:t>
            </w:r>
          </w:p>
        </w:tc>
      </w:tr>
      <w:tr w14:paraId="59B6F20C" w14:textId="77777777" w:rsidTr="008F0E55">
        <w:tblPrEx>
          <w:tblW w:w="0" w:type="auto"/>
          <w:tblInd w:w="482" w:type="dxa"/>
          <w:tblLayout w:type="fixed"/>
          <w:tblCellMar>
            <w:left w:w="0" w:type="dxa"/>
            <w:right w:w="0" w:type="dxa"/>
          </w:tblCellMar>
          <w:tblLook w:val="01E0"/>
        </w:tblPrEx>
        <w:trPr>
          <w:trHeight w:val="286"/>
        </w:trPr>
        <w:tc>
          <w:tcPr>
            <w:tcW w:w="5458" w:type="dxa"/>
          </w:tcPr>
          <w:p w:rsidR="003F5784" w14:paraId="1329AC1F" w14:textId="77777777">
            <w:pPr>
              <w:pStyle w:val="TableParagraph"/>
              <w:ind w:left="120"/>
              <w:jc w:val="left"/>
              <w:rPr>
                <w:sz w:val="21"/>
              </w:rPr>
            </w:pPr>
            <w:r>
              <w:rPr>
                <w:sz w:val="21"/>
              </w:rPr>
              <w:t>Other</w:t>
            </w:r>
            <w:r>
              <w:rPr>
                <w:spacing w:val="-8"/>
                <w:sz w:val="21"/>
              </w:rPr>
              <w:t xml:space="preserve"> </w:t>
            </w:r>
            <w:r>
              <w:rPr>
                <w:sz w:val="21"/>
              </w:rPr>
              <w:t>ineligible</w:t>
            </w:r>
            <w:r>
              <w:rPr>
                <w:spacing w:val="-7"/>
                <w:sz w:val="21"/>
              </w:rPr>
              <w:t xml:space="preserve"> </w:t>
            </w:r>
            <w:r>
              <w:rPr>
                <w:spacing w:val="-2"/>
                <w:sz w:val="21"/>
              </w:rPr>
              <w:t>school</w:t>
            </w:r>
          </w:p>
        </w:tc>
        <w:tc>
          <w:tcPr>
            <w:tcW w:w="5490" w:type="dxa"/>
          </w:tcPr>
          <w:p w:rsidR="003F5784" w14:paraId="40BCD4E3" w14:textId="77777777">
            <w:pPr>
              <w:pStyle w:val="TableParagraph"/>
              <w:ind w:right="1701"/>
              <w:rPr>
                <w:sz w:val="21"/>
              </w:rPr>
            </w:pPr>
            <w:r>
              <w:rPr>
                <w:spacing w:val="-10"/>
                <w:sz w:val="21"/>
              </w:rPr>
              <w:t>0</w:t>
            </w:r>
          </w:p>
        </w:tc>
        <w:tc>
          <w:tcPr>
            <w:tcW w:w="3036" w:type="dxa"/>
          </w:tcPr>
          <w:p w:rsidR="003F5784" w14:paraId="273FE813" w14:textId="77777777">
            <w:pPr>
              <w:pStyle w:val="TableParagraph"/>
              <w:ind w:right="117"/>
              <w:rPr>
                <w:sz w:val="21"/>
              </w:rPr>
            </w:pPr>
            <w:r>
              <w:rPr>
                <w:spacing w:val="-4"/>
                <w:sz w:val="21"/>
              </w:rPr>
              <w:t>0.00</w:t>
            </w:r>
          </w:p>
        </w:tc>
      </w:tr>
      <w:tr w14:paraId="0377DF04" w14:textId="77777777" w:rsidTr="008F0E55">
        <w:tblPrEx>
          <w:tblW w:w="0" w:type="auto"/>
          <w:tblInd w:w="482" w:type="dxa"/>
          <w:tblLayout w:type="fixed"/>
          <w:tblCellMar>
            <w:left w:w="0" w:type="dxa"/>
            <w:right w:w="0" w:type="dxa"/>
          </w:tblCellMar>
          <w:tblLook w:val="01E0"/>
        </w:tblPrEx>
        <w:trPr>
          <w:trHeight w:val="288"/>
        </w:trPr>
        <w:tc>
          <w:tcPr>
            <w:tcW w:w="5458" w:type="dxa"/>
            <w:tcBorders>
              <w:bottom w:val="single" w:sz="18" w:space="0" w:color="800000"/>
            </w:tcBorders>
          </w:tcPr>
          <w:p w:rsidR="003F5784" w14:paraId="5A70ABB2" w14:textId="77777777">
            <w:pPr>
              <w:pStyle w:val="TableParagraph"/>
              <w:ind w:left="120"/>
              <w:jc w:val="left"/>
              <w:rPr>
                <w:sz w:val="21"/>
              </w:rPr>
            </w:pPr>
            <w:r>
              <w:rPr>
                <w:sz w:val="21"/>
              </w:rPr>
              <w:t>Duplicate</w:t>
            </w:r>
            <w:r>
              <w:rPr>
                <w:spacing w:val="-7"/>
                <w:sz w:val="21"/>
              </w:rPr>
              <w:t xml:space="preserve"> </w:t>
            </w:r>
            <w:r>
              <w:rPr>
                <w:sz w:val="21"/>
              </w:rPr>
              <w:t>on</w:t>
            </w:r>
            <w:r>
              <w:rPr>
                <w:spacing w:val="-7"/>
                <w:sz w:val="21"/>
              </w:rPr>
              <w:t xml:space="preserve"> </w:t>
            </w:r>
            <w:r>
              <w:rPr>
                <w:sz w:val="21"/>
              </w:rPr>
              <w:t>sampling</w:t>
            </w:r>
            <w:r>
              <w:rPr>
                <w:spacing w:val="-7"/>
                <w:sz w:val="21"/>
              </w:rPr>
              <w:t xml:space="preserve"> </w:t>
            </w:r>
            <w:r>
              <w:rPr>
                <w:spacing w:val="-4"/>
                <w:sz w:val="21"/>
              </w:rPr>
              <w:t>frame</w:t>
            </w:r>
          </w:p>
        </w:tc>
        <w:tc>
          <w:tcPr>
            <w:tcW w:w="5490" w:type="dxa"/>
            <w:tcBorders>
              <w:bottom w:val="single" w:sz="18" w:space="0" w:color="800000"/>
            </w:tcBorders>
          </w:tcPr>
          <w:p w:rsidR="003F5784" w14:paraId="2F77B6BD" w14:textId="77777777">
            <w:pPr>
              <w:pStyle w:val="TableParagraph"/>
              <w:ind w:right="1701"/>
              <w:rPr>
                <w:sz w:val="21"/>
              </w:rPr>
            </w:pPr>
            <w:r>
              <w:rPr>
                <w:spacing w:val="-10"/>
                <w:sz w:val="21"/>
              </w:rPr>
              <w:t>1</w:t>
            </w:r>
          </w:p>
        </w:tc>
        <w:tc>
          <w:tcPr>
            <w:tcW w:w="3036" w:type="dxa"/>
            <w:tcBorders>
              <w:bottom w:val="single" w:sz="18" w:space="0" w:color="800000"/>
            </w:tcBorders>
          </w:tcPr>
          <w:p w:rsidR="003F5784" w14:paraId="1EAA39CB" w14:textId="77777777">
            <w:pPr>
              <w:pStyle w:val="TableParagraph"/>
              <w:ind w:right="117"/>
              <w:rPr>
                <w:sz w:val="21"/>
              </w:rPr>
            </w:pPr>
            <w:r>
              <w:rPr>
                <w:spacing w:val="-4"/>
                <w:sz w:val="21"/>
              </w:rPr>
              <w:t>0.55</w:t>
            </w:r>
          </w:p>
        </w:tc>
      </w:tr>
    </w:tbl>
    <w:p w:rsidR="003F5784" w14:paraId="28B34DC2" w14:textId="77777777">
      <w:pPr>
        <w:pStyle w:val="BodyText"/>
        <w:spacing w:before="1" w:line="232" w:lineRule="auto"/>
        <w:ind w:left="595" w:right="833"/>
        <w:jc w:val="both"/>
      </w:pPr>
      <w:r>
        <w:t>NOTE:</w:t>
      </w:r>
      <w:r>
        <w:rPr>
          <w:spacing w:val="-10"/>
        </w:rPr>
        <w:t xml:space="preserve"> </w:t>
      </w:r>
      <w:r>
        <w:t>Total</w:t>
      </w:r>
      <w:r>
        <w:rPr>
          <w:spacing w:val="-6"/>
        </w:rPr>
        <w:t xml:space="preserve"> </w:t>
      </w:r>
      <w:r>
        <w:t>and</w:t>
      </w:r>
      <w:r>
        <w:rPr>
          <w:spacing w:val="-6"/>
        </w:rPr>
        <w:t xml:space="preserve"> </w:t>
      </w:r>
      <w:r>
        <w:t>eligible</w:t>
      </w:r>
      <w:r>
        <w:rPr>
          <w:spacing w:val="-6"/>
        </w:rPr>
        <w:t xml:space="preserve"> </w:t>
      </w:r>
      <w:r>
        <w:t>school</w:t>
      </w:r>
      <w:r>
        <w:rPr>
          <w:spacing w:val="-6"/>
        </w:rPr>
        <w:t xml:space="preserve"> </w:t>
      </w:r>
      <w:r>
        <w:t>counts</w:t>
      </w:r>
      <w:r>
        <w:rPr>
          <w:spacing w:val="-6"/>
        </w:rPr>
        <w:t xml:space="preserve"> </w:t>
      </w:r>
      <w:r>
        <w:t>are</w:t>
      </w:r>
      <w:r>
        <w:rPr>
          <w:spacing w:val="-6"/>
        </w:rPr>
        <w:t xml:space="preserve"> </w:t>
      </w:r>
      <w:r>
        <w:t>rounded</w:t>
      </w:r>
      <w:r>
        <w:rPr>
          <w:spacing w:val="-6"/>
        </w:rPr>
        <w:t xml:space="preserve"> </w:t>
      </w:r>
      <w:r>
        <w:t>to</w:t>
      </w:r>
      <w:r>
        <w:rPr>
          <w:spacing w:val="-6"/>
        </w:rPr>
        <w:t xml:space="preserve"> </w:t>
      </w:r>
      <w:r>
        <w:t>nearest</w:t>
      </w:r>
      <w:r>
        <w:rPr>
          <w:spacing w:val="-6"/>
        </w:rPr>
        <w:t xml:space="preserve"> </w:t>
      </w:r>
      <w:r>
        <w:t>ten.</w:t>
      </w:r>
      <w:r>
        <w:rPr>
          <w:spacing w:val="-6"/>
        </w:rPr>
        <w:t xml:space="preserve"> </w:t>
      </w:r>
      <w:r>
        <w:t>Percentages</w:t>
      </w:r>
      <w:r>
        <w:rPr>
          <w:spacing w:val="-6"/>
        </w:rPr>
        <w:t xml:space="preserve"> </w:t>
      </w:r>
      <w:r>
        <w:t>are</w:t>
      </w:r>
      <w:r>
        <w:rPr>
          <w:spacing w:val="-6"/>
        </w:rPr>
        <w:t xml:space="preserve"> </w:t>
      </w:r>
      <w:r>
        <w:t>based</w:t>
      </w:r>
      <w:r>
        <w:rPr>
          <w:spacing w:val="-6"/>
        </w:rPr>
        <w:t xml:space="preserve"> </w:t>
      </w:r>
      <w:r>
        <w:t>on</w:t>
      </w:r>
      <w:r>
        <w:rPr>
          <w:spacing w:val="-6"/>
        </w:rPr>
        <w:t xml:space="preserve"> </w:t>
      </w:r>
      <w:r>
        <w:t>unrounded</w:t>
      </w:r>
      <w:r>
        <w:rPr>
          <w:spacing w:val="-6"/>
        </w:rPr>
        <w:t xml:space="preserve"> </w:t>
      </w:r>
      <w:r>
        <w:t>counts.</w:t>
      </w:r>
      <w:r>
        <w:rPr>
          <w:spacing w:val="-6"/>
        </w:rPr>
        <w:t xml:space="preserve"> </w:t>
      </w:r>
      <w:r>
        <w:t>Detail</w:t>
      </w:r>
      <w:r>
        <w:rPr>
          <w:spacing w:val="-6"/>
        </w:rPr>
        <w:t xml:space="preserve"> </w:t>
      </w:r>
      <w:r>
        <w:t>may</w:t>
      </w:r>
      <w:r>
        <w:rPr>
          <w:spacing w:val="-6"/>
        </w:rPr>
        <w:t xml:space="preserve"> </w:t>
      </w:r>
      <w:r>
        <w:t>not</w:t>
      </w:r>
      <w:r>
        <w:rPr>
          <w:spacing w:val="-6"/>
        </w:rPr>
        <w:t xml:space="preserve"> </w:t>
      </w:r>
      <w:r>
        <w:t>sum</w:t>
      </w:r>
      <w:r>
        <w:rPr>
          <w:spacing w:val="-6"/>
        </w:rPr>
        <w:t xml:space="preserve"> </w:t>
      </w:r>
      <w:r>
        <w:t>to</w:t>
      </w:r>
      <w:r>
        <w:rPr>
          <w:spacing w:val="-6"/>
        </w:rPr>
        <w:t xml:space="preserve"> </w:t>
      </w:r>
      <w:r>
        <w:t>totals</w:t>
      </w:r>
      <w:r>
        <w:rPr>
          <w:spacing w:val="-6"/>
        </w:rPr>
        <w:t xml:space="preserve"> </w:t>
      </w:r>
      <w:r>
        <w:t>because</w:t>
      </w:r>
      <w:r>
        <w:rPr>
          <w:spacing w:val="-6"/>
        </w:rPr>
        <w:t xml:space="preserve"> </w:t>
      </w:r>
      <w:r>
        <w:t>of</w:t>
      </w:r>
      <w:r>
        <w:rPr>
          <w:spacing w:val="-6"/>
        </w:rPr>
        <w:t xml:space="preserve"> </w:t>
      </w:r>
      <w:r>
        <w:t>rounding. SOURCE:</w:t>
      </w:r>
      <w:r>
        <w:rPr>
          <w:spacing w:val="-9"/>
        </w:rPr>
        <w:t xml:space="preserve"> </w:t>
      </w:r>
      <w:r>
        <w:t>U.S.</w:t>
      </w:r>
      <w:r>
        <w:rPr>
          <w:spacing w:val="-6"/>
        </w:rPr>
        <w:t xml:space="preserve"> </w:t>
      </w:r>
      <w:r>
        <w:t>Department</w:t>
      </w:r>
      <w:r>
        <w:rPr>
          <w:spacing w:val="-6"/>
        </w:rPr>
        <w:t xml:space="preserve"> </w:t>
      </w:r>
      <w:r>
        <w:t>of</w:t>
      </w:r>
      <w:r>
        <w:rPr>
          <w:spacing w:val="-6"/>
        </w:rPr>
        <w:t xml:space="preserve"> </w:t>
      </w:r>
      <w:r>
        <w:t>Education,</w:t>
      </w:r>
      <w:r>
        <w:rPr>
          <w:spacing w:val="-6"/>
        </w:rPr>
        <w:t xml:space="preserve"> </w:t>
      </w:r>
      <w:r>
        <w:t>Institute</w:t>
      </w:r>
      <w:r>
        <w:rPr>
          <w:spacing w:val="-6"/>
        </w:rPr>
        <w:t xml:space="preserve"> </w:t>
      </w:r>
      <w:r>
        <w:t>of</w:t>
      </w:r>
      <w:r>
        <w:rPr>
          <w:spacing w:val="-6"/>
        </w:rPr>
        <w:t xml:space="preserve"> </w:t>
      </w:r>
      <w:r>
        <w:t>Education</w:t>
      </w:r>
      <w:r>
        <w:rPr>
          <w:spacing w:val="-6"/>
        </w:rPr>
        <w:t xml:space="preserve"> </w:t>
      </w:r>
      <w:r>
        <w:t>Sciences,</w:t>
      </w:r>
      <w:r>
        <w:rPr>
          <w:spacing w:val="-6"/>
        </w:rPr>
        <w:t xml:space="preserve"> </w:t>
      </w:r>
      <w:r>
        <w:t>National</w:t>
      </w:r>
      <w:r>
        <w:rPr>
          <w:spacing w:val="-6"/>
        </w:rPr>
        <w:t xml:space="preserve"> </w:t>
      </w:r>
      <w:r>
        <w:t>Center</w:t>
      </w:r>
      <w:r>
        <w:rPr>
          <w:spacing w:val="-6"/>
        </w:rPr>
        <w:t xml:space="preserve"> </w:t>
      </w:r>
      <w:r>
        <w:t>for</w:t>
      </w:r>
      <w:r>
        <w:rPr>
          <w:spacing w:val="-6"/>
        </w:rPr>
        <w:t xml:space="preserve"> </w:t>
      </w:r>
      <w:r>
        <w:t>Education</w:t>
      </w:r>
      <w:r>
        <w:rPr>
          <w:spacing w:val="-6"/>
        </w:rPr>
        <w:t xml:space="preserve"> </w:t>
      </w:r>
      <w:r>
        <w:t>Statistics,</w:t>
      </w:r>
      <w:r>
        <w:rPr>
          <w:spacing w:val="-6"/>
        </w:rPr>
        <w:t xml:space="preserve"> </w:t>
      </w:r>
      <w:r>
        <w:t>National</w:t>
      </w:r>
      <w:r>
        <w:rPr>
          <w:spacing w:val="-14"/>
        </w:rPr>
        <w:t xml:space="preserve"> </w:t>
      </w:r>
      <w:r>
        <w:t>Assessment</w:t>
      </w:r>
      <w:r>
        <w:rPr>
          <w:spacing w:val="-5"/>
        </w:rPr>
        <w:t xml:space="preserve"> </w:t>
      </w:r>
      <w:r>
        <w:t>of</w:t>
      </w:r>
      <w:r>
        <w:rPr>
          <w:spacing w:val="-6"/>
        </w:rPr>
        <w:t xml:space="preserve"> </w:t>
      </w:r>
      <w:r>
        <w:t>Educational</w:t>
      </w:r>
      <w:r>
        <w:rPr>
          <w:spacing w:val="-6"/>
        </w:rPr>
        <w:t xml:space="preserve"> </w:t>
      </w:r>
      <w:r>
        <w:t>Progress (NAEP), 2022 Long-Term Trend Assessment.</w:t>
      </w:r>
    </w:p>
    <w:p w:rsidR="003F5784" w14:paraId="01BAD2E3" w14:textId="77777777">
      <w:pPr>
        <w:pStyle w:val="BodyText"/>
        <w:spacing w:before="223"/>
      </w:pPr>
    </w:p>
    <w:p w:rsidR="003F5784" w14:paraId="773905E9" w14:textId="77777777">
      <w:pPr>
        <w:pStyle w:val="BodyText"/>
        <w:ind w:left="109"/>
      </w:pPr>
      <w:r>
        <w:t>The</w:t>
      </w:r>
      <w:r>
        <w:rPr>
          <w:spacing w:val="-7"/>
        </w:rPr>
        <w:t xml:space="preserve"> </w:t>
      </w:r>
      <w:r>
        <w:t>tables</w:t>
      </w:r>
      <w:r>
        <w:rPr>
          <w:spacing w:val="-6"/>
        </w:rPr>
        <w:t xml:space="preserve"> </w:t>
      </w:r>
      <w:r>
        <w:t>below</w:t>
      </w:r>
      <w:r>
        <w:rPr>
          <w:spacing w:val="-6"/>
        </w:rPr>
        <w:t xml:space="preserve"> </w:t>
      </w:r>
      <w:r>
        <w:t>present</w:t>
      </w:r>
      <w:r>
        <w:rPr>
          <w:spacing w:val="-6"/>
        </w:rPr>
        <w:t xml:space="preserve"> </w:t>
      </w:r>
      <w:r>
        <w:t>unweighted</w:t>
      </w:r>
      <w:r>
        <w:rPr>
          <w:spacing w:val="-6"/>
        </w:rPr>
        <w:t xml:space="preserve"> </w:t>
      </w:r>
      <w:r>
        <w:t>counts</w:t>
      </w:r>
      <w:r>
        <w:rPr>
          <w:spacing w:val="-6"/>
        </w:rPr>
        <w:t xml:space="preserve"> </w:t>
      </w:r>
      <w:r>
        <w:t>of</w:t>
      </w:r>
      <w:r>
        <w:rPr>
          <w:spacing w:val="-6"/>
        </w:rPr>
        <w:t xml:space="preserve"> </w:t>
      </w:r>
      <w:r>
        <w:t>sampled</w:t>
      </w:r>
      <w:r>
        <w:rPr>
          <w:spacing w:val="-7"/>
        </w:rPr>
        <w:t xml:space="preserve"> </w:t>
      </w:r>
      <w:r>
        <w:t>private</w:t>
      </w:r>
      <w:r>
        <w:rPr>
          <w:spacing w:val="-6"/>
        </w:rPr>
        <w:t xml:space="preserve"> </w:t>
      </w:r>
      <w:r>
        <w:t>schools</w:t>
      </w:r>
      <w:r>
        <w:rPr>
          <w:spacing w:val="-6"/>
        </w:rPr>
        <w:t xml:space="preserve"> </w:t>
      </w:r>
      <w:r>
        <w:t>by</w:t>
      </w:r>
      <w:r>
        <w:rPr>
          <w:spacing w:val="-6"/>
        </w:rPr>
        <w:t xml:space="preserve"> </w:t>
      </w:r>
      <w:r>
        <w:t>age,</w:t>
      </w:r>
      <w:r>
        <w:rPr>
          <w:spacing w:val="-6"/>
        </w:rPr>
        <w:t xml:space="preserve"> </w:t>
      </w:r>
      <w:r>
        <w:t>private</w:t>
      </w:r>
      <w:r>
        <w:rPr>
          <w:spacing w:val="-6"/>
        </w:rPr>
        <w:t xml:space="preserve"> </w:t>
      </w:r>
      <w:r>
        <w:t>school</w:t>
      </w:r>
      <w:r>
        <w:rPr>
          <w:spacing w:val="-6"/>
        </w:rPr>
        <w:t xml:space="preserve"> </w:t>
      </w:r>
      <w:r>
        <w:t>type</w:t>
      </w:r>
      <w:r>
        <w:rPr>
          <w:spacing w:val="-6"/>
        </w:rPr>
        <w:t xml:space="preserve"> </w:t>
      </w:r>
      <w:r>
        <w:t>and</w:t>
      </w:r>
      <w:r>
        <w:rPr>
          <w:spacing w:val="-7"/>
        </w:rPr>
        <w:t xml:space="preserve"> </w:t>
      </w:r>
      <w:r>
        <w:t>eligibility</w:t>
      </w:r>
      <w:r>
        <w:rPr>
          <w:spacing w:val="-6"/>
        </w:rPr>
        <w:t xml:space="preserve"> </w:t>
      </w:r>
      <w:r>
        <w:rPr>
          <w:spacing w:val="-2"/>
        </w:rPr>
        <w:t>status.</w:t>
      </w:r>
    </w:p>
    <w:p w:rsidR="003F5784" w14:paraId="61A4A55E" w14:textId="77777777">
      <w:pPr>
        <w:pStyle w:val="BodyText"/>
        <w:spacing w:before="91"/>
      </w:pPr>
    </w:p>
    <w:p w:rsidR="003F5784" w14:paraId="0469034F" w14:textId="77777777">
      <w:pPr>
        <w:pStyle w:val="Heading2"/>
        <w:ind w:left="657"/>
      </w:pPr>
      <w:r>
        <w:t>Number</w:t>
      </w:r>
      <w:r>
        <w:rPr>
          <w:spacing w:val="-11"/>
        </w:rPr>
        <w:t xml:space="preserve"> </w:t>
      </w:r>
      <w:r>
        <w:t>of</w:t>
      </w:r>
      <w:r>
        <w:rPr>
          <w:spacing w:val="-7"/>
        </w:rPr>
        <w:t xml:space="preserve"> </w:t>
      </w:r>
      <w:r>
        <w:t>sampled</w:t>
      </w:r>
      <w:r>
        <w:rPr>
          <w:spacing w:val="-7"/>
        </w:rPr>
        <w:t xml:space="preserve"> </w:t>
      </w:r>
      <w:r>
        <w:t>private</w:t>
      </w:r>
      <w:r>
        <w:rPr>
          <w:spacing w:val="-6"/>
        </w:rPr>
        <w:t xml:space="preserve"> </w:t>
      </w:r>
      <w:r>
        <w:t>schools,</w:t>
      </w:r>
      <w:r>
        <w:rPr>
          <w:spacing w:val="-7"/>
        </w:rPr>
        <w:t xml:space="preserve"> </w:t>
      </w:r>
      <w:r>
        <w:t>long-term</w:t>
      </w:r>
      <w:r>
        <w:rPr>
          <w:spacing w:val="-7"/>
        </w:rPr>
        <w:t xml:space="preserve"> </w:t>
      </w:r>
      <w:r>
        <w:t>trend</w:t>
      </w:r>
      <w:r>
        <w:rPr>
          <w:spacing w:val="-7"/>
        </w:rPr>
        <w:t xml:space="preserve"> </w:t>
      </w:r>
      <w:r>
        <w:t>assessment,</w:t>
      </w:r>
      <w:r>
        <w:rPr>
          <w:spacing w:val="-7"/>
        </w:rPr>
        <w:t xml:space="preserve"> </w:t>
      </w:r>
      <w:r>
        <w:t>age</w:t>
      </w:r>
      <w:r>
        <w:rPr>
          <w:spacing w:val="-6"/>
        </w:rPr>
        <w:t xml:space="preserve"> </w:t>
      </w:r>
      <w:r>
        <w:t>9,</w:t>
      </w:r>
      <w:r>
        <w:rPr>
          <w:spacing w:val="-7"/>
        </w:rPr>
        <w:t xml:space="preserve"> </w:t>
      </w:r>
      <w:r>
        <w:t>by</w:t>
      </w:r>
      <w:r>
        <w:rPr>
          <w:spacing w:val="-7"/>
        </w:rPr>
        <w:t xml:space="preserve"> </w:t>
      </w:r>
      <w:r>
        <w:t>private</w:t>
      </w:r>
      <w:r>
        <w:rPr>
          <w:spacing w:val="-7"/>
        </w:rPr>
        <w:t xml:space="preserve"> </w:t>
      </w:r>
      <w:r>
        <w:t>school</w:t>
      </w:r>
      <w:r>
        <w:rPr>
          <w:spacing w:val="-7"/>
        </w:rPr>
        <w:t xml:space="preserve"> </w:t>
      </w:r>
      <w:r>
        <w:t>type</w:t>
      </w:r>
      <w:r>
        <w:rPr>
          <w:spacing w:val="-7"/>
        </w:rPr>
        <w:t xml:space="preserve"> </w:t>
      </w:r>
      <w:r>
        <w:t>and</w:t>
      </w:r>
      <w:r>
        <w:rPr>
          <w:spacing w:val="-6"/>
        </w:rPr>
        <w:t xml:space="preserve"> </w:t>
      </w:r>
      <w:r>
        <w:t>eligibility</w:t>
      </w:r>
      <w:r>
        <w:rPr>
          <w:spacing w:val="-7"/>
        </w:rPr>
        <w:t xml:space="preserve"> </w:t>
      </w:r>
      <w:r>
        <w:t>status:</w:t>
      </w:r>
      <w:r>
        <w:rPr>
          <w:spacing w:val="-7"/>
        </w:rPr>
        <w:t xml:space="preserve"> </w:t>
      </w:r>
      <w:r>
        <w:rPr>
          <w:spacing w:val="-4"/>
        </w:rPr>
        <w:t>2022</w:t>
      </w:r>
    </w:p>
    <w:p w:rsidR="003F5784" w14:paraId="4BB0A05A" w14:textId="77777777">
      <w:pPr>
        <w:pStyle w:val="BodyText"/>
        <w:spacing w:before="10"/>
        <w:rPr>
          <w:b/>
          <w:sz w:val="11"/>
        </w:rPr>
      </w:pPr>
    </w:p>
    <w:tbl>
      <w:tblPr>
        <w:tblW w:w="0" w:type="auto"/>
        <w:tblInd w:w="664" w:type="dxa"/>
        <w:tblLayout w:type="fixed"/>
        <w:tblCellMar>
          <w:left w:w="0" w:type="dxa"/>
          <w:right w:w="0" w:type="dxa"/>
        </w:tblCellMar>
        <w:tblLook w:val="01E0"/>
      </w:tblPr>
      <w:tblGrid>
        <w:gridCol w:w="2408"/>
        <w:gridCol w:w="3545"/>
        <w:gridCol w:w="4747"/>
        <w:gridCol w:w="2920"/>
      </w:tblGrid>
      <w:tr w14:paraId="036F57B3" w14:textId="77777777">
        <w:tblPrEx>
          <w:tblW w:w="0" w:type="auto"/>
          <w:tblInd w:w="664" w:type="dxa"/>
          <w:tblLayout w:type="fixed"/>
          <w:tblCellMar>
            <w:left w:w="0" w:type="dxa"/>
            <w:right w:w="0" w:type="dxa"/>
          </w:tblCellMar>
          <w:tblLook w:val="01E0"/>
        </w:tblPrEx>
        <w:trPr>
          <w:trHeight w:val="267"/>
        </w:trPr>
        <w:tc>
          <w:tcPr>
            <w:tcW w:w="2408" w:type="dxa"/>
            <w:tcBorders>
              <w:top w:val="single" w:sz="18" w:space="0" w:color="800000"/>
              <w:bottom w:val="single" w:sz="18" w:space="0" w:color="800000"/>
            </w:tcBorders>
          </w:tcPr>
          <w:p w:rsidR="003F5784" w14:paraId="52046E71" w14:textId="77777777">
            <w:pPr>
              <w:pStyle w:val="TableParagraph"/>
              <w:spacing w:before="9" w:line="238" w:lineRule="exact"/>
              <w:ind w:left="117"/>
              <w:jc w:val="left"/>
              <w:rPr>
                <w:sz w:val="21"/>
              </w:rPr>
            </w:pPr>
            <w:r>
              <w:rPr>
                <w:sz w:val="21"/>
              </w:rPr>
              <w:t>Private</w:t>
            </w:r>
            <w:r>
              <w:rPr>
                <w:spacing w:val="-7"/>
                <w:sz w:val="21"/>
              </w:rPr>
              <w:t xml:space="preserve"> </w:t>
            </w:r>
            <w:r>
              <w:rPr>
                <w:sz w:val="21"/>
              </w:rPr>
              <w:t>school</w:t>
            </w:r>
            <w:r>
              <w:rPr>
                <w:spacing w:val="-7"/>
                <w:sz w:val="21"/>
              </w:rPr>
              <w:t xml:space="preserve"> </w:t>
            </w:r>
            <w:r>
              <w:rPr>
                <w:spacing w:val="-4"/>
                <w:sz w:val="21"/>
              </w:rPr>
              <w:t>type</w:t>
            </w:r>
          </w:p>
        </w:tc>
        <w:tc>
          <w:tcPr>
            <w:tcW w:w="3545" w:type="dxa"/>
            <w:tcBorders>
              <w:top w:val="single" w:sz="18" w:space="0" w:color="800000"/>
              <w:bottom w:val="single" w:sz="18" w:space="0" w:color="800000"/>
            </w:tcBorders>
          </w:tcPr>
          <w:p w:rsidR="003F5784" w14:paraId="0F0DC569" w14:textId="77777777">
            <w:pPr>
              <w:pStyle w:val="TableParagraph"/>
              <w:spacing w:before="9" w:line="238" w:lineRule="exact"/>
              <w:ind w:left="692"/>
              <w:jc w:val="left"/>
              <w:rPr>
                <w:sz w:val="21"/>
              </w:rPr>
            </w:pPr>
            <w:r>
              <w:rPr>
                <w:sz w:val="21"/>
              </w:rPr>
              <w:t>Eligibility</w:t>
            </w:r>
            <w:r>
              <w:rPr>
                <w:spacing w:val="-10"/>
                <w:sz w:val="21"/>
              </w:rPr>
              <w:t xml:space="preserve"> </w:t>
            </w:r>
            <w:r>
              <w:rPr>
                <w:spacing w:val="-2"/>
                <w:sz w:val="21"/>
              </w:rPr>
              <w:t>status</w:t>
            </w:r>
          </w:p>
        </w:tc>
        <w:tc>
          <w:tcPr>
            <w:tcW w:w="4747" w:type="dxa"/>
            <w:tcBorders>
              <w:top w:val="single" w:sz="18" w:space="0" w:color="800000"/>
              <w:bottom w:val="single" w:sz="18" w:space="0" w:color="800000"/>
            </w:tcBorders>
          </w:tcPr>
          <w:p w:rsidR="003F5784" w14:paraId="1E5B1740" w14:textId="77777777">
            <w:pPr>
              <w:pStyle w:val="TableParagraph"/>
              <w:spacing w:before="9" w:line="238" w:lineRule="exact"/>
              <w:ind w:right="826"/>
              <w:rPr>
                <w:sz w:val="21"/>
              </w:rPr>
            </w:pPr>
            <w:r>
              <w:rPr>
                <w:sz w:val="21"/>
              </w:rPr>
              <w:t>Unweighted</w:t>
            </w:r>
            <w:r>
              <w:rPr>
                <w:spacing w:val="-7"/>
                <w:sz w:val="21"/>
              </w:rPr>
              <w:t xml:space="preserve"> </w:t>
            </w:r>
            <w:r>
              <w:rPr>
                <w:sz w:val="21"/>
              </w:rPr>
              <w:t>count</w:t>
            </w:r>
            <w:r>
              <w:rPr>
                <w:spacing w:val="-7"/>
                <w:sz w:val="21"/>
              </w:rPr>
              <w:t xml:space="preserve"> </w:t>
            </w:r>
            <w:r>
              <w:rPr>
                <w:sz w:val="21"/>
              </w:rPr>
              <w:t>of</w:t>
            </w:r>
            <w:r>
              <w:rPr>
                <w:spacing w:val="-6"/>
                <w:sz w:val="21"/>
              </w:rPr>
              <w:t xml:space="preserve"> </w:t>
            </w:r>
            <w:r>
              <w:rPr>
                <w:spacing w:val="-2"/>
                <w:sz w:val="21"/>
              </w:rPr>
              <w:t>schools</w:t>
            </w:r>
          </w:p>
        </w:tc>
        <w:tc>
          <w:tcPr>
            <w:tcW w:w="2920" w:type="dxa"/>
            <w:tcBorders>
              <w:top w:val="single" w:sz="18" w:space="0" w:color="800000"/>
              <w:bottom w:val="single" w:sz="18" w:space="0" w:color="800000"/>
            </w:tcBorders>
          </w:tcPr>
          <w:p w:rsidR="003F5784" w14:paraId="2797BE61" w14:textId="77777777">
            <w:pPr>
              <w:pStyle w:val="TableParagraph"/>
              <w:spacing w:before="9" w:line="238" w:lineRule="exact"/>
              <w:ind w:right="115"/>
              <w:rPr>
                <w:sz w:val="21"/>
              </w:rPr>
            </w:pPr>
            <w:r>
              <w:rPr>
                <w:sz w:val="21"/>
              </w:rPr>
              <w:t>Unweighted</w:t>
            </w:r>
            <w:r>
              <w:rPr>
                <w:spacing w:val="-12"/>
                <w:sz w:val="21"/>
              </w:rPr>
              <w:t xml:space="preserve"> </w:t>
            </w:r>
            <w:r>
              <w:rPr>
                <w:spacing w:val="-2"/>
                <w:sz w:val="21"/>
              </w:rPr>
              <w:t>percentage</w:t>
            </w:r>
          </w:p>
        </w:tc>
      </w:tr>
      <w:tr w14:paraId="3F964A4D" w14:textId="77777777">
        <w:tblPrEx>
          <w:tblW w:w="0" w:type="auto"/>
          <w:tblInd w:w="664" w:type="dxa"/>
          <w:tblLayout w:type="fixed"/>
          <w:tblCellMar>
            <w:left w:w="0" w:type="dxa"/>
            <w:right w:w="0" w:type="dxa"/>
          </w:tblCellMar>
          <w:tblLook w:val="01E0"/>
        </w:tblPrEx>
        <w:trPr>
          <w:trHeight w:val="263"/>
        </w:trPr>
        <w:tc>
          <w:tcPr>
            <w:tcW w:w="2408" w:type="dxa"/>
            <w:vMerge w:val="restart"/>
            <w:tcBorders>
              <w:top w:val="single" w:sz="18" w:space="0" w:color="800000"/>
              <w:bottom w:val="single" w:sz="12" w:space="0" w:color="800000"/>
            </w:tcBorders>
          </w:tcPr>
          <w:p w:rsidR="003F5784" w14:paraId="618413F0" w14:textId="77777777">
            <w:pPr>
              <w:pStyle w:val="TableParagraph"/>
              <w:spacing w:before="9"/>
              <w:ind w:left="117"/>
              <w:jc w:val="left"/>
              <w:rPr>
                <w:sz w:val="21"/>
              </w:rPr>
            </w:pPr>
            <w:r>
              <w:rPr>
                <w:sz w:val="21"/>
              </w:rPr>
              <w:t>All</w:t>
            </w:r>
            <w:r>
              <w:rPr>
                <w:spacing w:val="-4"/>
                <w:sz w:val="21"/>
              </w:rPr>
              <w:t xml:space="preserve"> </w:t>
            </w:r>
            <w:r>
              <w:rPr>
                <w:spacing w:val="-2"/>
                <w:sz w:val="21"/>
              </w:rPr>
              <w:t>Private</w:t>
            </w:r>
          </w:p>
        </w:tc>
        <w:tc>
          <w:tcPr>
            <w:tcW w:w="3545" w:type="dxa"/>
            <w:tcBorders>
              <w:top w:val="single" w:sz="18" w:space="0" w:color="800000"/>
            </w:tcBorders>
          </w:tcPr>
          <w:p w:rsidR="003F5784" w14:paraId="22FDDAF2" w14:textId="77777777">
            <w:pPr>
              <w:pStyle w:val="TableParagraph"/>
              <w:spacing w:before="9" w:line="234" w:lineRule="exact"/>
              <w:ind w:left="942"/>
              <w:jc w:val="left"/>
              <w:rPr>
                <w:b/>
                <w:sz w:val="21"/>
              </w:rPr>
            </w:pPr>
            <w:r>
              <w:rPr>
                <w:b/>
                <w:spacing w:val="-2"/>
                <w:sz w:val="21"/>
              </w:rPr>
              <w:t>Total</w:t>
            </w:r>
          </w:p>
        </w:tc>
        <w:tc>
          <w:tcPr>
            <w:tcW w:w="4747" w:type="dxa"/>
            <w:tcBorders>
              <w:top w:val="single" w:sz="18" w:space="0" w:color="800000"/>
            </w:tcBorders>
          </w:tcPr>
          <w:p w:rsidR="003F5784" w14:paraId="7FC539F2" w14:textId="77777777">
            <w:pPr>
              <w:pStyle w:val="TableParagraph"/>
              <w:spacing w:before="9" w:line="234" w:lineRule="exact"/>
              <w:ind w:right="826"/>
              <w:rPr>
                <w:b/>
                <w:sz w:val="21"/>
              </w:rPr>
            </w:pPr>
            <w:r>
              <w:rPr>
                <w:b/>
                <w:spacing w:val="-5"/>
                <w:sz w:val="21"/>
              </w:rPr>
              <w:t>160</w:t>
            </w:r>
          </w:p>
        </w:tc>
        <w:tc>
          <w:tcPr>
            <w:tcW w:w="2920" w:type="dxa"/>
            <w:tcBorders>
              <w:top w:val="single" w:sz="18" w:space="0" w:color="800000"/>
            </w:tcBorders>
          </w:tcPr>
          <w:p w:rsidR="003F5784" w14:paraId="4C4CF66B" w14:textId="77777777">
            <w:pPr>
              <w:pStyle w:val="TableParagraph"/>
              <w:spacing w:before="9" w:line="234" w:lineRule="exact"/>
              <w:ind w:right="115"/>
              <w:rPr>
                <w:b/>
                <w:sz w:val="21"/>
              </w:rPr>
            </w:pPr>
            <w:r>
              <w:rPr>
                <w:b/>
                <w:spacing w:val="-2"/>
                <w:sz w:val="21"/>
              </w:rPr>
              <w:t>100.00</w:t>
            </w:r>
          </w:p>
        </w:tc>
      </w:tr>
      <w:tr w14:paraId="77D0F998" w14:textId="77777777">
        <w:tblPrEx>
          <w:tblW w:w="0" w:type="auto"/>
          <w:tblInd w:w="664" w:type="dxa"/>
          <w:tblLayout w:type="fixed"/>
          <w:tblCellMar>
            <w:left w:w="0" w:type="dxa"/>
            <w:right w:w="0" w:type="dxa"/>
          </w:tblCellMar>
          <w:tblLook w:val="01E0"/>
        </w:tblPrEx>
        <w:trPr>
          <w:trHeight w:val="256"/>
        </w:trPr>
        <w:tc>
          <w:tcPr>
            <w:tcW w:w="2408" w:type="dxa"/>
            <w:vMerge/>
            <w:tcBorders>
              <w:top w:val="nil"/>
              <w:bottom w:val="single" w:sz="12" w:space="0" w:color="800000"/>
            </w:tcBorders>
          </w:tcPr>
          <w:p w:rsidR="003F5784" w14:paraId="03AD473D" w14:textId="77777777">
            <w:pPr>
              <w:rPr>
                <w:sz w:val="2"/>
                <w:szCs w:val="2"/>
              </w:rPr>
            </w:pPr>
          </w:p>
        </w:tc>
        <w:tc>
          <w:tcPr>
            <w:tcW w:w="3545" w:type="dxa"/>
          </w:tcPr>
          <w:p w:rsidR="003F5784" w14:paraId="2992ABC7" w14:textId="77777777">
            <w:pPr>
              <w:pStyle w:val="TableParagraph"/>
              <w:spacing w:before="2" w:line="234" w:lineRule="exact"/>
              <w:ind w:left="692"/>
              <w:jc w:val="left"/>
              <w:rPr>
                <w:sz w:val="21"/>
              </w:rPr>
            </w:pPr>
            <w:r>
              <w:rPr>
                <w:spacing w:val="-2"/>
                <w:sz w:val="21"/>
              </w:rPr>
              <w:t>Eligible</w:t>
            </w:r>
          </w:p>
        </w:tc>
        <w:tc>
          <w:tcPr>
            <w:tcW w:w="4747" w:type="dxa"/>
          </w:tcPr>
          <w:p w:rsidR="003F5784" w14:paraId="7AD4C91B" w14:textId="77777777">
            <w:pPr>
              <w:pStyle w:val="TableParagraph"/>
              <w:spacing w:before="2" w:line="234" w:lineRule="exact"/>
              <w:ind w:right="826"/>
              <w:rPr>
                <w:sz w:val="21"/>
              </w:rPr>
            </w:pPr>
            <w:r>
              <w:rPr>
                <w:spacing w:val="-5"/>
                <w:sz w:val="21"/>
              </w:rPr>
              <w:t>140</w:t>
            </w:r>
          </w:p>
        </w:tc>
        <w:tc>
          <w:tcPr>
            <w:tcW w:w="2920" w:type="dxa"/>
          </w:tcPr>
          <w:p w:rsidR="003F5784" w14:paraId="50340C84" w14:textId="77777777">
            <w:pPr>
              <w:pStyle w:val="TableParagraph"/>
              <w:spacing w:before="2" w:line="234" w:lineRule="exact"/>
              <w:ind w:right="115"/>
              <w:rPr>
                <w:sz w:val="21"/>
              </w:rPr>
            </w:pPr>
            <w:r>
              <w:rPr>
                <w:spacing w:val="-2"/>
                <w:sz w:val="21"/>
              </w:rPr>
              <w:t>82.93</w:t>
            </w:r>
          </w:p>
        </w:tc>
      </w:tr>
      <w:tr w14:paraId="7F6BFBA8" w14:textId="77777777">
        <w:tblPrEx>
          <w:tblW w:w="0" w:type="auto"/>
          <w:tblInd w:w="664" w:type="dxa"/>
          <w:tblLayout w:type="fixed"/>
          <w:tblCellMar>
            <w:left w:w="0" w:type="dxa"/>
            <w:right w:w="0" w:type="dxa"/>
          </w:tblCellMar>
          <w:tblLook w:val="01E0"/>
        </w:tblPrEx>
        <w:trPr>
          <w:trHeight w:val="274"/>
        </w:trPr>
        <w:tc>
          <w:tcPr>
            <w:tcW w:w="2408" w:type="dxa"/>
            <w:vMerge/>
            <w:tcBorders>
              <w:top w:val="nil"/>
              <w:bottom w:val="single" w:sz="12" w:space="0" w:color="800000"/>
            </w:tcBorders>
          </w:tcPr>
          <w:p w:rsidR="003F5784" w14:paraId="27042DA9" w14:textId="77777777">
            <w:pPr>
              <w:rPr>
                <w:sz w:val="2"/>
                <w:szCs w:val="2"/>
              </w:rPr>
            </w:pPr>
          </w:p>
        </w:tc>
        <w:tc>
          <w:tcPr>
            <w:tcW w:w="3545" w:type="dxa"/>
            <w:tcBorders>
              <w:bottom w:val="single" w:sz="12" w:space="0" w:color="800000"/>
            </w:tcBorders>
          </w:tcPr>
          <w:p w:rsidR="003F5784" w14:paraId="66588688" w14:textId="77777777">
            <w:pPr>
              <w:pStyle w:val="TableParagraph"/>
              <w:spacing w:before="2"/>
              <w:ind w:left="692"/>
              <w:jc w:val="left"/>
              <w:rPr>
                <w:sz w:val="21"/>
              </w:rPr>
            </w:pPr>
            <w:r>
              <w:rPr>
                <w:spacing w:val="-2"/>
                <w:sz w:val="21"/>
              </w:rPr>
              <w:t>Ineligible</w:t>
            </w:r>
          </w:p>
        </w:tc>
        <w:tc>
          <w:tcPr>
            <w:tcW w:w="4747" w:type="dxa"/>
            <w:tcBorders>
              <w:bottom w:val="single" w:sz="12" w:space="0" w:color="800000"/>
            </w:tcBorders>
          </w:tcPr>
          <w:p w:rsidR="003F5784" w14:paraId="6D2DFCF3" w14:textId="77777777">
            <w:pPr>
              <w:pStyle w:val="TableParagraph"/>
              <w:spacing w:before="2"/>
              <w:ind w:right="826"/>
              <w:rPr>
                <w:sz w:val="21"/>
              </w:rPr>
            </w:pPr>
            <w:r>
              <w:rPr>
                <w:spacing w:val="-5"/>
                <w:sz w:val="21"/>
              </w:rPr>
              <w:t>28</w:t>
            </w:r>
          </w:p>
        </w:tc>
        <w:tc>
          <w:tcPr>
            <w:tcW w:w="2920" w:type="dxa"/>
            <w:tcBorders>
              <w:bottom w:val="single" w:sz="12" w:space="0" w:color="800000"/>
            </w:tcBorders>
          </w:tcPr>
          <w:p w:rsidR="003F5784" w14:paraId="184DE58C" w14:textId="77777777">
            <w:pPr>
              <w:pStyle w:val="TableParagraph"/>
              <w:spacing w:before="2"/>
              <w:ind w:right="115"/>
              <w:rPr>
                <w:sz w:val="21"/>
              </w:rPr>
            </w:pPr>
            <w:r>
              <w:rPr>
                <w:spacing w:val="-2"/>
                <w:sz w:val="21"/>
              </w:rPr>
              <w:t>17.08</w:t>
            </w:r>
          </w:p>
        </w:tc>
      </w:tr>
      <w:tr w14:paraId="03F61427" w14:textId="77777777">
        <w:tblPrEx>
          <w:tblW w:w="0" w:type="auto"/>
          <w:tblInd w:w="664" w:type="dxa"/>
          <w:tblLayout w:type="fixed"/>
          <w:tblCellMar>
            <w:left w:w="0" w:type="dxa"/>
            <w:right w:w="0" w:type="dxa"/>
          </w:tblCellMar>
          <w:tblLook w:val="01E0"/>
        </w:tblPrEx>
        <w:trPr>
          <w:trHeight w:val="251"/>
        </w:trPr>
        <w:tc>
          <w:tcPr>
            <w:tcW w:w="2408" w:type="dxa"/>
            <w:vMerge w:val="restart"/>
            <w:tcBorders>
              <w:top w:val="single" w:sz="12" w:space="0" w:color="800000"/>
              <w:bottom w:val="single" w:sz="12" w:space="0" w:color="800000"/>
            </w:tcBorders>
          </w:tcPr>
          <w:p w:rsidR="003F5784" w14:paraId="6CA24707" w14:textId="77777777">
            <w:pPr>
              <w:pStyle w:val="TableParagraph"/>
              <w:spacing w:before="0" w:line="239" w:lineRule="exact"/>
              <w:ind w:left="117"/>
              <w:jc w:val="left"/>
              <w:rPr>
                <w:sz w:val="21"/>
              </w:rPr>
            </w:pPr>
            <w:r>
              <w:rPr>
                <w:spacing w:val="-2"/>
                <w:sz w:val="21"/>
              </w:rPr>
              <w:t>Catholic</w:t>
            </w:r>
          </w:p>
        </w:tc>
        <w:tc>
          <w:tcPr>
            <w:tcW w:w="3545" w:type="dxa"/>
            <w:tcBorders>
              <w:top w:val="single" w:sz="12" w:space="0" w:color="800000"/>
            </w:tcBorders>
          </w:tcPr>
          <w:p w:rsidR="003F5784" w14:paraId="288BC012" w14:textId="77777777">
            <w:pPr>
              <w:pStyle w:val="TableParagraph"/>
              <w:spacing w:before="0" w:line="232" w:lineRule="exact"/>
              <w:ind w:left="942"/>
              <w:jc w:val="left"/>
              <w:rPr>
                <w:b/>
                <w:sz w:val="21"/>
              </w:rPr>
            </w:pPr>
            <w:r>
              <w:rPr>
                <w:b/>
                <w:spacing w:val="-2"/>
                <w:sz w:val="21"/>
              </w:rPr>
              <w:t>Total</w:t>
            </w:r>
          </w:p>
        </w:tc>
        <w:tc>
          <w:tcPr>
            <w:tcW w:w="4747" w:type="dxa"/>
            <w:tcBorders>
              <w:top w:val="single" w:sz="12" w:space="0" w:color="800000"/>
            </w:tcBorders>
          </w:tcPr>
          <w:p w:rsidR="003F5784" w14:paraId="14543501" w14:textId="77777777">
            <w:pPr>
              <w:pStyle w:val="TableParagraph"/>
              <w:spacing w:before="0" w:line="232" w:lineRule="exact"/>
              <w:ind w:right="826"/>
              <w:rPr>
                <w:b/>
                <w:sz w:val="21"/>
              </w:rPr>
            </w:pPr>
            <w:r>
              <w:rPr>
                <w:b/>
                <w:spacing w:val="-5"/>
                <w:sz w:val="21"/>
              </w:rPr>
              <w:t>50</w:t>
            </w:r>
          </w:p>
        </w:tc>
        <w:tc>
          <w:tcPr>
            <w:tcW w:w="2920" w:type="dxa"/>
            <w:tcBorders>
              <w:top w:val="single" w:sz="12" w:space="0" w:color="800000"/>
            </w:tcBorders>
          </w:tcPr>
          <w:p w:rsidR="003F5784" w14:paraId="7D821F42" w14:textId="77777777">
            <w:pPr>
              <w:pStyle w:val="TableParagraph"/>
              <w:spacing w:before="0" w:line="232" w:lineRule="exact"/>
              <w:ind w:right="115"/>
              <w:rPr>
                <w:b/>
                <w:sz w:val="21"/>
              </w:rPr>
            </w:pPr>
            <w:r>
              <w:rPr>
                <w:b/>
                <w:spacing w:val="-2"/>
                <w:sz w:val="21"/>
              </w:rPr>
              <w:t>100.00</w:t>
            </w:r>
          </w:p>
        </w:tc>
      </w:tr>
      <w:tr w14:paraId="4D7277B9" w14:textId="77777777">
        <w:tblPrEx>
          <w:tblW w:w="0" w:type="auto"/>
          <w:tblInd w:w="664" w:type="dxa"/>
          <w:tblLayout w:type="fixed"/>
          <w:tblCellMar>
            <w:left w:w="0" w:type="dxa"/>
            <w:right w:w="0" w:type="dxa"/>
          </w:tblCellMar>
          <w:tblLook w:val="01E0"/>
        </w:tblPrEx>
        <w:trPr>
          <w:trHeight w:val="256"/>
        </w:trPr>
        <w:tc>
          <w:tcPr>
            <w:tcW w:w="2408" w:type="dxa"/>
            <w:vMerge/>
            <w:tcBorders>
              <w:top w:val="nil"/>
              <w:bottom w:val="single" w:sz="12" w:space="0" w:color="800000"/>
            </w:tcBorders>
          </w:tcPr>
          <w:p w:rsidR="003F5784" w14:paraId="126FC24F" w14:textId="77777777">
            <w:pPr>
              <w:rPr>
                <w:sz w:val="2"/>
                <w:szCs w:val="2"/>
              </w:rPr>
            </w:pPr>
          </w:p>
        </w:tc>
        <w:tc>
          <w:tcPr>
            <w:tcW w:w="3545" w:type="dxa"/>
          </w:tcPr>
          <w:p w:rsidR="003F5784" w14:paraId="647E15A2" w14:textId="77777777">
            <w:pPr>
              <w:pStyle w:val="TableParagraph"/>
              <w:spacing w:before="2" w:line="234" w:lineRule="exact"/>
              <w:ind w:left="692"/>
              <w:jc w:val="left"/>
              <w:rPr>
                <w:sz w:val="21"/>
              </w:rPr>
            </w:pPr>
            <w:r>
              <w:rPr>
                <w:spacing w:val="-2"/>
                <w:sz w:val="21"/>
              </w:rPr>
              <w:t>Eligible</w:t>
            </w:r>
          </w:p>
        </w:tc>
        <w:tc>
          <w:tcPr>
            <w:tcW w:w="4747" w:type="dxa"/>
          </w:tcPr>
          <w:p w:rsidR="003F5784" w14:paraId="5410C5E3" w14:textId="77777777">
            <w:pPr>
              <w:pStyle w:val="TableParagraph"/>
              <w:spacing w:before="2" w:line="234" w:lineRule="exact"/>
              <w:ind w:right="826"/>
              <w:rPr>
                <w:sz w:val="21"/>
              </w:rPr>
            </w:pPr>
            <w:r>
              <w:rPr>
                <w:spacing w:val="-5"/>
                <w:sz w:val="21"/>
              </w:rPr>
              <w:t>40</w:t>
            </w:r>
          </w:p>
        </w:tc>
        <w:tc>
          <w:tcPr>
            <w:tcW w:w="2920" w:type="dxa"/>
          </w:tcPr>
          <w:p w:rsidR="003F5784" w14:paraId="22846DBC" w14:textId="77777777">
            <w:pPr>
              <w:pStyle w:val="TableParagraph"/>
              <w:spacing w:before="2" w:line="234" w:lineRule="exact"/>
              <w:ind w:right="115"/>
              <w:rPr>
                <w:sz w:val="21"/>
              </w:rPr>
            </w:pPr>
            <w:r>
              <w:rPr>
                <w:spacing w:val="-2"/>
                <w:sz w:val="21"/>
              </w:rPr>
              <w:t>91.67</w:t>
            </w:r>
          </w:p>
        </w:tc>
      </w:tr>
      <w:tr w14:paraId="080383B3" w14:textId="77777777">
        <w:tblPrEx>
          <w:tblW w:w="0" w:type="auto"/>
          <w:tblInd w:w="664" w:type="dxa"/>
          <w:tblLayout w:type="fixed"/>
          <w:tblCellMar>
            <w:left w:w="0" w:type="dxa"/>
            <w:right w:w="0" w:type="dxa"/>
          </w:tblCellMar>
          <w:tblLook w:val="01E0"/>
        </w:tblPrEx>
        <w:trPr>
          <w:trHeight w:val="274"/>
        </w:trPr>
        <w:tc>
          <w:tcPr>
            <w:tcW w:w="2408" w:type="dxa"/>
            <w:vMerge/>
            <w:tcBorders>
              <w:top w:val="nil"/>
              <w:bottom w:val="single" w:sz="12" w:space="0" w:color="800000"/>
            </w:tcBorders>
          </w:tcPr>
          <w:p w:rsidR="003F5784" w14:paraId="3B67D76A" w14:textId="77777777">
            <w:pPr>
              <w:rPr>
                <w:sz w:val="2"/>
                <w:szCs w:val="2"/>
              </w:rPr>
            </w:pPr>
          </w:p>
        </w:tc>
        <w:tc>
          <w:tcPr>
            <w:tcW w:w="3545" w:type="dxa"/>
            <w:tcBorders>
              <w:bottom w:val="single" w:sz="12" w:space="0" w:color="800000"/>
            </w:tcBorders>
          </w:tcPr>
          <w:p w:rsidR="003F5784" w14:paraId="19BFC3DE" w14:textId="77777777">
            <w:pPr>
              <w:pStyle w:val="TableParagraph"/>
              <w:spacing w:before="2"/>
              <w:ind w:left="692"/>
              <w:jc w:val="left"/>
              <w:rPr>
                <w:sz w:val="21"/>
              </w:rPr>
            </w:pPr>
            <w:r>
              <w:rPr>
                <w:spacing w:val="-2"/>
                <w:sz w:val="21"/>
              </w:rPr>
              <w:t>Ineligible</w:t>
            </w:r>
          </w:p>
        </w:tc>
        <w:tc>
          <w:tcPr>
            <w:tcW w:w="4747" w:type="dxa"/>
            <w:tcBorders>
              <w:bottom w:val="single" w:sz="12" w:space="0" w:color="800000"/>
            </w:tcBorders>
          </w:tcPr>
          <w:p w:rsidR="003F5784" w14:paraId="6CC9E4A0" w14:textId="77777777">
            <w:pPr>
              <w:pStyle w:val="TableParagraph"/>
              <w:spacing w:before="2"/>
              <w:ind w:right="826"/>
              <w:rPr>
                <w:sz w:val="21"/>
              </w:rPr>
            </w:pPr>
            <w:r>
              <w:rPr>
                <w:spacing w:val="-10"/>
                <w:sz w:val="21"/>
              </w:rPr>
              <w:t>4</w:t>
            </w:r>
          </w:p>
        </w:tc>
        <w:tc>
          <w:tcPr>
            <w:tcW w:w="2920" w:type="dxa"/>
            <w:tcBorders>
              <w:bottom w:val="single" w:sz="12" w:space="0" w:color="800000"/>
            </w:tcBorders>
          </w:tcPr>
          <w:p w:rsidR="003F5784" w14:paraId="1854CB2F" w14:textId="77777777">
            <w:pPr>
              <w:pStyle w:val="TableParagraph"/>
              <w:spacing w:before="2"/>
              <w:ind w:right="115"/>
              <w:rPr>
                <w:sz w:val="21"/>
              </w:rPr>
            </w:pPr>
            <w:r>
              <w:rPr>
                <w:spacing w:val="-4"/>
                <w:sz w:val="21"/>
              </w:rPr>
              <w:t>8.83</w:t>
            </w:r>
          </w:p>
        </w:tc>
      </w:tr>
      <w:tr w14:paraId="2C67EA9C" w14:textId="77777777">
        <w:tblPrEx>
          <w:tblW w:w="0" w:type="auto"/>
          <w:tblInd w:w="664" w:type="dxa"/>
          <w:tblLayout w:type="fixed"/>
          <w:tblCellMar>
            <w:left w:w="0" w:type="dxa"/>
            <w:right w:w="0" w:type="dxa"/>
          </w:tblCellMar>
          <w:tblLook w:val="01E0"/>
        </w:tblPrEx>
        <w:trPr>
          <w:trHeight w:val="244"/>
        </w:trPr>
        <w:tc>
          <w:tcPr>
            <w:tcW w:w="2408" w:type="dxa"/>
            <w:vMerge w:val="restart"/>
            <w:tcBorders>
              <w:top w:val="single" w:sz="12" w:space="0" w:color="800000"/>
              <w:bottom w:val="single" w:sz="18" w:space="0" w:color="800000"/>
            </w:tcBorders>
          </w:tcPr>
          <w:p w:rsidR="003F5784" w14:paraId="09E0114B" w14:textId="77777777">
            <w:pPr>
              <w:pStyle w:val="TableParagraph"/>
              <w:spacing w:before="0" w:line="239" w:lineRule="exact"/>
              <w:ind w:left="117"/>
              <w:jc w:val="left"/>
              <w:rPr>
                <w:sz w:val="21"/>
              </w:rPr>
            </w:pPr>
            <w:r>
              <w:rPr>
                <w:sz w:val="21"/>
              </w:rPr>
              <w:t>Other</w:t>
            </w:r>
            <w:r>
              <w:rPr>
                <w:spacing w:val="-6"/>
                <w:sz w:val="21"/>
              </w:rPr>
              <w:t xml:space="preserve"> </w:t>
            </w:r>
            <w:r>
              <w:rPr>
                <w:spacing w:val="-2"/>
                <w:sz w:val="21"/>
              </w:rPr>
              <w:t>Private</w:t>
            </w:r>
          </w:p>
        </w:tc>
        <w:tc>
          <w:tcPr>
            <w:tcW w:w="3545" w:type="dxa"/>
            <w:tcBorders>
              <w:top w:val="single" w:sz="12" w:space="0" w:color="800000"/>
            </w:tcBorders>
          </w:tcPr>
          <w:p w:rsidR="003F5784" w14:paraId="7404249D" w14:textId="77777777">
            <w:pPr>
              <w:pStyle w:val="TableParagraph"/>
              <w:spacing w:before="0" w:line="224" w:lineRule="exact"/>
              <w:ind w:left="942"/>
              <w:jc w:val="left"/>
              <w:rPr>
                <w:b/>
                <w:sz w:val="21"/>
              </w:rPr>
            </w:pPr>
            <w:r>
              <w:rPr>
                <w:b/>
                <w:spacing w:val="-2"/>
                <w:sz w:val="21"/>
              </w:rPr>
              <w:t>Total</w:t>
            </w:r>
          </w:p>
        </w:tc>
        <w:tc>
          <w:tcPr>
            <w:tcW w:w="4747" w:type="dxa"/>
            <w:tcBorders>
              <w:top w:val="single" w:sz="12" w:space="0" w:color="800000"/>
            </w:tcBorders>
          </w:tcPr>
          <w:p w:rsidR="003F5784" w14:paraId="5DFD87FB" w14:textId="77777777">
            <w:pPr>
              <w:pStyle w:val="TableParagraph"/>
              <w:spacing w:before="0" w:line="224" w:lineRule="exact"/>
              <w:ind w:right="826"/>
              <w:rPr>
                <w:b/>
                <w:sz w:val="21"/>
              </w:rPr>
            </w:pPr>
            <w:r>
              <w:rPr>
                <w:b/>
                <w:spacing w:val="-5"/>
                <w:sz w:val="21"/>
              </w:rPr>
              <w:t>120</w:t>
            </w:r>
          </w:p>
        </w:tc>
        <w:tc>
          <w:tcPr>
            <w:tcW w:w="2920" w:type="dxa"/>
            <w:tcBorders>
              <w:top w:val="single" w:sz="12" w:space="0" w:color="800000"/>
            </w:tcBorders>
          </w:tcPr>
          <w:p w:rsidR="003F5784" w14:paraId="62568638" w14:textId="77777777">
            <w:pPr>
              <w:pStyle w:val="TableParagraph"/>
              <w:spacing w:before="0" w:line="224" w:lineRule="exact"/>
              <w:ind w:right="115"/>
              <w:rPr>
                <w:b/>
                <w:sz w:val="21"/>
              </w:rPr>
            </w:pPr>
            <w:r>
              <w:rPr>
                <w:b/>
                <w:spacing w:val="-2"/>
                <w:sz w:val="21"/>
              </w:rPr>
              <w:t>100.00</w:t>
            </w:r>
          </w:p>
        </w:tc>
      </w:tr>
      <w:tr w14:paraId="5192BA8F" w14:textId="77777777">
        <w:tblPrEx>
          <w:tblW w:w="0" w:type="auto"/>
          <w:tblInd w:w="664" w:type="dxa"/>
          <w:tblLayout w:type="fixed"/>
          <w:tblCellMar>
            <w:left w:w="0" w:type="dxa"/>
            <w:right w:w="0" w:type="dxa"/>
          </w:tblCellMar>
          <w:tblLook w:val="01E0"/>
        </w:tblPrEx>
        <w:trPr>
          <w:trHeight w:val="241"/>
        </w:trPr>
        <w:tc>
          <w:tcPr>
            <w:tcW w:w="2408" w:type="dxa"/>
            <w:vMerge/>
            <w:tcBorders>
              <w:top w:val="nil"/>
              <w:bottom w:val="single" w:sz="18" w:space="0" w:color="800000"/>
            </w:tcBorders>
          </w:tcPr>
          <w:p w:rsidR="003F5784" w14:paraId="29A03B77" w14:textId="77777777">
            <w:pPr>
              <w:rPr>
                <w:sz w:val="2"/>
                <w:szCs w:val="2"/>
              </w:rPr>
            </w:pPr>
          </w:p>
        </w:tc>
        <w:tc>
          <w:tcPr>
            <w:tcW w:w="3545" w:type="dxa"/>
          </w:tcPr>
          <w:p w:rsidR="003F5784" w14:paraId="03160114" w14:textId="77777777">
            <w:pPr>
              <w:pStyle w:val="TableParagraph"/>
              <w:spacing w:before="0" w:line="222" w:lineRule="exact"/>
              <w:ind w:left="692"/>
              <w:jc w:val="left"/>
              <w:rPr>
                <w:sz w:val="21"/>
              </w:rPr>
            </w:pPr>
            <w:r>
              <w:rPr>
                <w:spacing w:val="-2"/>
                <w:sz w:val="21"/>
              </w:rPr>
              <w:t>Eligible</w:t>
            </w:r>
          </w:p>
        </w:tc>
        <w:tc>
          <w:tcPr>
            <w:tcW w:w="4747" w:type="dxa"/>
          </w:tcPr>
          <w:p w:rsidR="003F5784" w14:paraId="7E33FC42" w14:textId="77777777">
            <w:pPr>
              <w:pStyle w:val="TableParagraph"/>
              <w:spacing w:before="0" w:line="222" w:lineRule="exact"/>
              <w:ind w:right="826"/>
              <w:rPr>
                <w:sz w:val="21"/>
              </w:rPr>
            </w:pPr>
            <w:r>
              <w:rPr>
                <w:spacing w:val="-5"/>
                <w:sz w:val="21"/>
              </w:rPr>
              <w:t>90</w:t>
            </w:r>
          </w:p>
        </w:tc>
        <w:tc>
          <w:tcPr>
            <w:tcW w:w="2920" w:type="dxa"/>
          </w:tcPr>
          <w:p w:rsidR="003F5784" w14:paraId="2B615F53" w14:textId="77777777">
            <w:pPr>
              <w:pStyle w:val="TableParagraph"/>
              <w:spacing w:before="0" w:line="222" w:lineRule="exact"/>
              <w:ind w:right="115"/>
              <w:rPr>
                <w:sz w:val="21"/>
              </w:rPr>
            </w:pPr>
            <w:r>
              <w:rPr>
                <w:spacing w:val="-2"/>
                <w:sz w:val="21"/>
              </w:rPr>
              <w:t>79.31</w:t>
            </w:r>
          </w:p>
        </w:tc>
      </w:tr>
      <w:tr w14:paraId="712DF92A" w14:textId="77777777">
        <w:tblPrEx>
          <w:tblW w:w="0" w:type="auto"/>
          <w:tblInd w:w="664" w:type="dxa"/>
          <w:tblLayout w:type="fixed"/>
          <w:tblCellMar>
            <w:left w:w="0" w:type="dxa"/>
            <w:right w:w="0" w:type="dxa"/>
          </w:tblCellMar>
          <w:tblLook w:val="01E0"/>
        </w:tblPrEx>
        <w:trPr>
          <w:trHeight w:val="266"/>
        </w:trPr>
        <w:tc>
          <w:tcPr>
            <w:tcW w:w="2408" w:type="dxa"/>
            <w:vMerge/>
            <w:tcBorders>
              <w:top w:val="nil"/>
              <w:bottom w:val="single" w:sz="18" w:space="0" w:color="800000"/>
            </w:tcBorders>
          </w:tcPr>
          <w:p w:rsidR="003F5784" w14:paraId="050BDDC3" w14:textId="77777777">
            <w:pPr>
              <w:rPr>
                <w:sz w:val="2"/>
                <w:szCs w:val="2"/>
              </w:rPr>
            </w:pPr>
          </w:p>
        </w:tc>
        <w:tc>
          <w:tcPr>
            <w:tcW w:w="3545" w:type="dxa"/>
            <w:tcBorders>
              <w:bottom w:val="single" w:sz="18" w:space="0" w:color="800000"/>
            </w:tcBorders>
          </w:tcPr>
          <w:p w:rsidR="003F5784" w14:paraId="33474534" w14:textId="77777777">
            <w:pPr>
              <w:pStyle w:val="TableParagraph"/>
              <w:spacing w:before="0" w:line="237" w:lineRule="exact"/>
              <w:ind w:left="692"/>
              <w:jc w:val="left"/>
              <w:rPr>
                <w:sz w:val="21"/>
              </w:rPr>
            </w:pPr>
            <w:r>
              <w:rPr>
                <w:spacing w:val="-2"/>
                <w:sz w:val="21"/>
              </w:rPr>
              <w:t>Ineligible</w:t>
            </w:r>
          </w:p>
        </w:tc>
        <w:tc>
          <w:tcPr>
            <w:tcW w:w="4747" w:type="dxa"/>
            <w:tcBorders>
              <w:bottom w:val="single" w:sz="18" w:space="0" w:color="800000"/>
            </w:tcBorders>
          </w:tcPr>
          <w:p w:rsidR="003F5784" w14:paraId="50369AAE" w14:textId="77777777">
            <w:pPr>
              <w:pStyle w:val="TableParagraph"/>
              <w:spacing w:before="0" w:line="237" w:lineRule="exact"/>
              <w:ind w:right="826"/>
              <w:rPr>
                <w:sz w:val="21"/>
              </w:rPr>
            </w:pPr>
            <w:r>
              <w:rPr>
                <w:spacing w:val="-5"/>
                <w:sz w:val="21"/>
              </w:rPr>
              <w:t>24</w:t>
            </w:r>
          </w:p>
        </w:tc>
        <w:tc>
          <w:tcPr>
            <w:tcW w:w="2920" w:type="dxa"/>
            <w:tcBorders>
              <w:bottom w:val="single" w:sz="18" w:space="0" w:color="800000"/>
            </w:tcBorders>
          </w:tcPr>
          <w:p w:rsidR="003F5784" w14:paraId="59D8E74A" w14:textId="77777777">
            <w:pPr>
              <w:pStyle w:val="TableParagraph"/>
              <w:spacing w:before="0" w:line="237" w:lineRule="exact"/>
              <w:ind w:right="115"/>
              <w:rPr>
                <w:sz w:val="21"/>
              </w:rPr>
            </w:pPr>
            <w:r>
              <w:rPr>
                <w:spacing w:val="-2"/>
                <w:sz w:val="21"/>
              </w:rPr>
              <w:t>20.69</w:t>
            </w:r>
          </w:p>
        </w:tc>
      </w:tr>
      <w:tr w14:paraId="642D353B" w14:textId="77777777">
        <w:tblPrEx>
          <w:tblW w:w="0" w:type="auto"/>
          <w:tblInd w:w="664" w:type="dxa"/>
          <w:tblLayout w:type="fixed"/>
          <w:tblCellMar>
            <w:left w:w="0" w:type="dxa"/>
            <w:right w:w="0" w:type="dxa"/>
          </w:tblCellMar>
          <w:tblLook w:val="01E0"/>
        </w:tblPrEx>
        <w:trPr>
          <w:trHeight w:val="237"/>
        </w:trPr>
        <w:tc>
          <w:tcPr>
            <w:tcW w:w="13620" w:type="dxa"/>
            <w:gridSpan w:val="4"/>
            <w:tcBorders>
              <w:top w:val="single" w:sz="18" w:space="0" w:color="800000"/>
            </w:tcBorders>
          </w:tcPr>
          <w:p w:rsidR="003F5784" w14:paraId="0BBCC70F" w14:textId="77777777">
            <w:pPr>
              <w:pStyle w:val="TableParagraph"/>
              <w:spacing w:before="0" w:line="218" w:lineRule="exact"/>
              <w:ind w:left="117"/>
              <w:jc w:val="left"/>
              <w:rPr>
                <w:sz w:val="21"/>
              </w:rPr>
            </w:pPr>
            <w:r>
              <w:rPr>
                <w:sz w:val="21"/>
              </w:rPr>
              <w:t>NOTE:</w:t>
            </w:r>
            <w:r>
              <w:rPr>
                <w:spacing w:val="-10"/>
                <w:sz w:val="21"/>
              </w:rPr>
              <w:t xml:space="preserve"> </w:t>
            </w:r>
            <w:r>
              <w:rPr>
                <w:sz w:val="21"/>
              </w:rPr>
              <w:t>Total</w:t>
            </w:r>
            <w:r>
              <w:rPr>
                <w:spacing w:val="-6"/>
                <w:sz w:val="21"/>
              </w:rPr>
              <w:t xml:space="preserve"> </w:t>
            </w:r>
            <w:r>
              <w:rPr>
                <w:sz w:val="21"/>
              </w:rPr>
              <w:t>and</w:t>
            </w:r>
            <w:r>
              <w:rPr>
                <w:spacing w:val="-6"/>
                <w:sz w:val="21"/>
              </w:rPr>
              <w:t xml:space="preserve"> </w:t>
            </w:r>
            <w:r>
              <w:rPr>
                <w:sz w:val="21"/>
              </w:rPr>
              <w:t>eligible</w:t>
            </w:r>
            <w:r>
              <w:rPr>
                <w:spacing w:val="-6"/>
                <w:sz w:val="21"/>
              </w:rPr>
              <w:t xml:space="preserve"> </w:t>
            </w:r>
            <w:r>
              <w:rPr>
                <w:sz w:val="21"/>
              </w:rPr>
              <w:t>school</w:t>
            </w:r>
            <w:r>
              <w:rPr>
                <w:spacing w:val="-6"/>
                <w:sz w:val="21"/>
              </w:rPr>
              <w:t xml:space="preserve"> </w:t>
            </w:r>
            <w:r>
              <w:rPr>
                <w:sz w:val="21"/>
              </w:rPr>
              <w:t>counts</w:t>
            </w:r>
            <w:r>
              <w:rPr>
                <w:spacing w:val="-6"/>
                <w:sz w:val="21"/>
              </w:rPr>
              <w:t xml:space="preserve"> </w:t>
            </w:r>
            <w:r>
              <w:rPr>
                <w:sz w:val="21"/>
              </w:rPr>
              <w:t>are</w:t>
            </w:r>
            <w:r>
              <w:rPr>
                <w:spacing w:val="-6"/>
                <w:sz w:val="21"/>
              </w:rPr>
              <w:t xml:space="preserve"> </w:t>
            </w:r>
            <w:r>
              <w:rPr>
                <w:sz w:val="21"/>
              </w:rPr>
              <w:t>rounded</w:t>
            </w:r>
            <w:r>
              <w:rPr>
                <w:spacing w:val="-6"/>
                <w:sz w:val="21"/>
              </w:rPr>
              <w:t xml:space="preserve"> </w:t>
            </w:r>
            <w:r>
              <w:rPr>
                <w:sz w:val="21"/>
              </w:rPr>
              <w:t>to</w:t>
            </w:r>
            <w:r>
              <w:rPr>
                <w:spacing w:val="-6"/>
                <w:sz w:val="21"/>
              </w:rPr>
              <w:t xml:space="preserve"> </w:t>
            </w:r>
            <w:r>
              <w:rPr>
                <w:sz w:val="21"/>
              </w:rPr>
              <w:t>nearest</w:t>
            </w:r>
            <w:r>
              <w:rPr>
                <w:spacing w:val="-6"/>
                <w:sz w:val="21"/>
              </w:rPr>
              <w:t xml:space="preserve"> </w:t>
            </w:r>
            <w:r>
              <w:rPr>
                <w:sz w:val="21"/>
              </w:rPr>
              <w:t>ten.</w:t>
            </w:r>
            <w:r>
              <w:rPr>
                <w:spacing w:val="-6"/>
                <w:sz w:val="21"/>
              </w:rPr>
              <w:t xml:space="preserve"> </w:t>
            </w:r>
            <w:r>
              <w:rPr>
                <w:sz w:val="21"/>
              </w:rPr>
              <w:t>Percentages</w:t>
            </w:r>
            <w:r>
              <w:rPr>
                <w:spacing w:val="-7"/>
                <w:sz w:val="21"/>
              </w:rPr>
              <w:t xml:space="preserve"> </w:t>
            </w:r>
            <w:r>
              <w:rPr>
                <w:sz w:val="21"/>
              </w:rPr>
              <w:t>are</w:t>
            </w:r>
            <w:r>
              <w:rPr>
                <w:spacing w:val="-6"/>
                <w:sz w:val="21"/>
              </w:rPr>
              <w:t xml:space="preserve"> </w:t>
            </w:r>
            <w:r>
              <w:rPr>
                <w:sz w:val="21"/>
              </w:rPr>
              <w:t>based</w:t>
            </w:r>
            <w:r>
              <w:rPr>
                <w:spacing w:val="-6"/>
                <w:sz w:val="21"/>
              </w:rPr>
              <w:t xml:space="preserve"> </w:t>
            </w:r>
            <w:r>
              <w:rPr>
                <w:sz w:val="21"/>
              </w:rPr>
              <w:t>on</w:t>
            </w:r>
            <w:r>
              <w:rPr>
                <w:spacing w:val="-6"/>
                <w:sz w:val="21"/>
              </w:rPr>
              <w:t xml:space="preserve"> </w:t>
            </w:r>
            <w:r>
              <w:rPr>
                <w:sz w:val="21"/>
              </w:rPr>
              <w:t>unrounded</w:t>
            </w:r>
            <w:r>
              <w:rPr>
                <w:spacing w:val="-6"/>
                <w:sz w:val="21"/>
              </w:rPr>
              <w:t xml:space="preserve"> </w:t>
            </w:r>
            <w:r>
              <w:rPr>
                <w:sz w:val="21"/>
              </w:rPr>
              <w:t>counts.</w:t>
            </w:r>
            <w:r>
              <w:rPr>
                <w:spacing w:val="-6"/>
                <w:sz w:val="21"/>
              </w:rPr>
              <w:t xml:space="preserve"> </w:t>
            </w:r>
            <w:r>
              <w:rPr>
                <w:sz w:val="21"/>
              </w:rPr>
              <w:t>Detail</w:t>
            </w:r>
            <w:r>
              <w:rPr>
                <w:spacing w:val="-6"/>
                <w:sz w:val="21"/>
              </w:rPr>
              <w:t xml:space="preserve"> </w:t>
            </w:r>
            <w:r>
              <w:rPr>
                <w:sz w:val="21"/>
              </w:rPr>
              <w:t>may</w:t>
            </w:r>
            <w:r>
              <w:rPr>
                <w:spacing w:val="-6"/>
                <w:sz w:val="21"/>
              </w:rPr>
              <w:t xml:space="preserve"> </w:t>
            </w:r>
            <w:r>
              <w:rPr>
                <w:sz w:val="21"/>
              </w:rPr>
              <w:t>not</w:t>
            </w:r>
            <w:r>
              <w:rPr>
                <w:spacing w:val="-6"/>
                <w:sz w:val="21"/>
              </w:rPr>
              <w:t xml:space="preserve"> </w:t>
            </w:r>
            <w:r>
              <w:rPr>
                <w:sz w:val="21"/>
              </w:rPr>
              <w:t>sum</w:t>
            </w:r>
            <w:r>
              <w:rPr>
                <w:spacing w:val="-6"/>
                <w:sz w:val="21"/>
              </w:rPr>
              <w:t xml:space="preserve"> </w:t>
            </w:r>
            <w:r>
              <w:rPr>
                <w:sz w:val="21"/>
              </w:rPr>
              <w:t>to</w:t>
            </w:r>
            <w:r>
              <w:rPr>
                <w:spacing w:val="-6"/>
                <w:sz w:val="21"/>
              </w:rPr>
              <w:t xml:space="preserve"> </w:t>
            </w:r>
            <w:r>
              <w:rPr>
                <w:sz w:val="21"/>
              </w:rPr>
              <w:t>total</w:t>
            </w:r>
            <w:r>
              <w:rPr>
                <w:spacing w:val="-6"/>
                <w:sz w:val="21"/>
              </w:rPr>
              <w:t xml:space="preserve"> </w:t>
            </w:r>
            <w:r>
              <w:rPr>
                <w:sz w:val="21"/>
              </w:rPr>
              <w:t>due</w:t>
            </w:r>
            <w:r>
              <w:rPr>
                <w:spacing w:val="-6"/>
                <w:sz w:val="21"/>
              </w:rPr>
              <w:t xml:space="preserve"> </w:t>
            </w:r>
            <w:r>
              <w:rPr>
                <w:sz w:val="21"/>
              </w:rPr>
              <w:t>to</w:t>
            </w:r>
            <w:r>
              <w:rPr>
                <w:spacing w:val="-6"/>
                <w:sz w:val="21"/>
              </w:rPr>
              <w:t xml:space="preserve"> </w:t>
            </w:r>
            <w:r>
              <w:rPr>
                <w:spacing w:val="-2"/>
                <w:sz w:val="21"/>
              </w:rPr>
              <w:t>rounding.</w:t>
            </w:r>
          </w:p>
        </w:tc>
      </w:tr>
    </w:tbl>
    <w:p w:rsidR="003F5784" w14:paraId="35600DC6" w14:textId="77777777">
      <w:pPr>
        <w:pStyle w:val="BodyText"/>
        <w:spacing w:before="3" w:line="232" w:lineRule="auto"/>
        <w:ind w:left="775" w:right="1264"/>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 Progress (NAEP), 2022 Long-Term Trend Assessment.</w:t>
      </w:r>
    </w:p>
    <w:p w:rsidR="003F5784" w14:paraId="40FD29A4" w14:textId="77777777">
      <w:pPr>
        <w:pStyle w:val="BodyText"/>
        <w:spacing w:before="144"/>
      </w:pPr>
    </w:p>
    <w:p w:rsidR="003F5784" w14:paraId="4B3341B5" w14:textId="77777777">
      <w:pPr>
        <w:pStyle w:val="Heading2"/>
        <w:ind w:left="657"/>
      </w:pPr>
      <w:r>
        <w:t>Number</w:t>
      </w:r>
      <w:r>
        <w:rPr>
          <w:spacing w:val="-11"/>
        </w:rPr>
        <w:t xml:space="preserve"> </w:t>
      </w:r>
      <w:r>
        <w:t>of</w:t>
      </w:r>
      <w:r>
        <w:rPr>
          <w:spacing w:val="-7"/>
        </w:rPr>
        <w:t xml:space="preserve"> </w:t>
      </w:r>
      <w:r>
        <w:t>sampled</w:t>
      </w:r>
      <w:r>
        <w:rPr>
          <w:spacing w:val="-7"/>
        </w:rPr>
        <w:t xml:space="preserve"> </w:t>
      </w:r>
      <w:r>
        <w:t>private</w:t>
      </w:r>
      <w:r>
        <w:rPr>
          <w:spacing w:val="-7"/>
        </w:rPr>
        <w:t xml:space="preserve"> </w:t>
      </w:r>
      <w:r>
        <w:t>schools,</w:t>
      </w:r>
      <w:r>
        <w:rPr>
          <w:spacing w:val="-6"/>
        </w:rPr>
        <w:t xml:space="preserve"> </w:t>
      </w:r>
      <w:r>
        <w:t>long-term</w:t>
      </w:r>
      <w:r>
        <w:rPr>
          <w:spacing w:val="-7"/>
        </w:rPr>
        <w:t xml:space="preserve"> </w:t>
      </w:r>
      <w:r>
        <w:t>trend</w:t>
      </w:r>
      <w:r>
        <w:rPr>
          <w:spacing w:val="-7"/>
        </w:rPr>
        <w:t xml:space="preserve"> </w:t>
      </w:r>
      <w:r>
        <w:t>assessment,</w:t>
      </w:r>
      <w:r>
        <w:rPr>
          <w:spacing w:val="-7"/>
        </w:rPr>
        <w:t xml:space="preserve"> </w:t>
      </w:r>
      <w:r>
        <w:t>age</w:t>
      </w:r>
      <w:r>
        <w:rPr>
          <w:spacing w:val="-7"/>
        </w:rPr>
        <w:t xml:space="preserve"> </w:t>
      </w:r>
      <w:r>
        <w:t>13,</w:t>
      </w:r>
      <w:r>
        <w:rPr>
          <w:spacing w:val="-7"/>
        </w:rPr>
        <w:t xml:space="preserve"> </w:t>
      </w:r>
      <w:r>
        <w:t>by</w:t>
      </w:r>
      <w:r>
        <w:rPr>
          <w:spacing w:val="-7"/>
        </w:rPr>
        <w:t xml:space="preserve"> </w:t>
      </w:r>
      <w:r>
        <w:t>private</w:t>
      </w:r>
      <w:r>
        <w:rPr>
          <w:spacing w:val="-7"/>
        </w:rPr>
        <w:t xml:space="preserve"> </w:t>
      </w:r>
      <w:r>
        <w:t>school</w:t>
      </w:r>
      <w:r>
        <w:rPr>
          <w:spacing w:val="-7"/>
        </w:rPr>
        <w:t xml:space="preserve"> </w:t>
      </w:r>
      <w:r>
        <w:t>type</w:t>
      </w:r>
      <w:r>
        <w:rPr>
          <w:spacing w:val="-6"/>
        </w:rPr>
        <w:t xml:space="preserve"> </w:t>
      </w:r>
      <w:r>
        <w:t>and</w:t>
      </w:r>
      <w:r>
        <w:rPr>
          <w:spacing w:val="-7"/>
        </w:rPr>
        <w:t xml:space="preserve"> </w:t>
      </w:r>
      <w:r>
        <w:t>eligibility</w:t>
      </w:r>
      <w:r>
        <w:rPr>
          <w:spacing w:val="-7"/>
        </w:rPr>
        <w:t xml:space="preserve"> </w:t>
      </w:r>
      <w:r>
        <w:t>status:</w:t>
      </w:r>
      <w:r>
        <w:rPr>
          <w:spacing w:val="-7"/>
        </w:rPr>
        <w:t xml:space="preserve"> </w:t>
      </w:r>
      <w:r>
        <w:rPr>
          <w:spacing w:val="-4"/>
        </w:rPr>
        <w:t>2022</w:t>
      </w:r>
    </w:p>
    <w:p w:rsidR="003F5784" w14:paraId="086CA163" w14:textId="77777777">
      <w:pPr>
        <w:pStyle w:val="BodyText"/>
        <w:spacing w:before="11"/>
        <w:rPr>
          <w:b/>
          <w:sz w:val="11"/>
        </w:rPr>
      </w:pPr>
    </w:p>
    <w:tbl>
      <w:tblPr>
        <w:tblW w:w="0" w:type="auto"/>
        <w:tblInd w:w="664" w:type="dxa"/>
        <w:tblLayout w:type="fixed"/>
        <w:tblCellMar>
          <w:left w:w="0" w:type="dxa"/>
          <w:right w:w="0" w:type="dxa"/>
        </w:tblCellMar>
        <w:tblLook w:val="01E0"/>
      </w:tblPr>
      <w:tblGrid>
        <w:gridCol w:w="2408"/>
        <w:gridCol w:w="3545"/>
        <w:gridCol w:w="4747"/>
        <w:gridCol w:w="2920"/>
      </w:tblGrid>
      <w:tr w14:paraId="1550A254" w14:textId="77777777">
        <w:tblPrEx>
          <w:tblW w:w="0" w:type="auto"/>
          <w:tblInd w:w="664" w:type="dxa"/>
          <w:tblLayout w:type="fixed"/>
          <w:tblCellMar>
            <w:left w:w="0" w:type="dxa"/>
            <w:right w:w="0" w:type="dxa"/>
          </w:tblCellMar>
          <w:tblLook w:val="01E0"/>
        </w:tblPrEx>
        <w:trPr>
          <w:trHeight w:val="267"/>
        </w:trPr>
        <w:tc>
          <w:tcPr>
            <w:tcW w:w="2408" w:type="dxa"/>
            <w:tcBorders>
              <w:top w:val="single" w:sz="18" w:space="0" w:color="800000"/>
              <w:bottom w:val="single" w:sz="18" w:space="0" w:color="800000"/>
            </w:tcBorders>
          </w:tcPr>
          <w:p w:rsidR="003F5784" w14:paraId="4A780444" w14:textId="77777777">
            <w:pPr>
              <w:pStyle w:val="TableParagraph"/>
              <w:spacing w:before="9" w:line="238" w:lineRule="exact"/>
              <w:ind w:left="117"/>
              <w:jc w:val="left"/>
              <w:rPr>
                <w:sz w:val="21"/>
              </w:rPr>
            </w:pPr>
            <w:r>
              <w:rPr>
                <w:sz w:val="21"/>
              </w:rPr>
              <w:t>Private</w:t>
            </w:r>
            <w:r>
              <w:rPr>
                <w:spacing w:val="-7"/>
                <w:sz w:val="21"/>
              </w:rPr>
              <w:t xml:space="preserve"> </w:t>
            </w:r>
            <w:r>
              <w:rPr>
                <w:sz w:val="21"/>
              </w:rPr>
              <w:t>school</w:t>
            </w:r>
            <w:r>
              <w:rPr>
                <w:spacing w:val="-7"/>
                <w:sz w:val="21"/>
              </w:rPr>
              <w:t xml:space="preserve"> </w:t>
            </w:r>
            <w:r>
              <w:rPr>
                <w:spacing w:val="-4"/>
                <w:sz w:val="21"/>
              </w:rPr>
              <w:t>type</w:t>
            </w:r>
          </w:p>
        </w:tc>
        <w:tc>
          <w:tcPr>
            <w:tcW w:w="3545" w:type="dxa"/>
            <w:tcBorders>
              <w:top w:val="single" w:sz="18" w:space="0" w:color="800000"/>
              <w:bottom w:val="single" w:sz="18" w:space="0" w:color="800000"/>
            </w:tcBorders>
          </w:tcPr>
          <w:p w:rsidR="003F5784" w14:paraId="79489278" w14:textId="77777777">
            <w:pPr>
              <w:pStyle w:val="TableParagraph"/>
              <w:spacing w:before="9" w:line="238" w:lineRule="exact"/>
              <w:ind w:left="692"/>
              <w:jc w:val="left"/>
              <w:rPr>
                <w:sz w:val="21"/>
              </w:rPr>
            </w:pPr>
            <w:r>
              <w:rPr>
                <w:sz w:val="21"/>
              </w:rPr>
              <w:t>Eligibility</w:t>
            </w:r>
            <w:r>
              <w:rPr>
                <w:spacing w:val="-10"/>
                <w:sz w:val="21"/>
              </w:rPr>
              <w:t xml:space="preserve"> </w:t>
            </w:r>
            <w:r>
              <w:rPr>
                <w:spacing w:val="-2"/>
                <w:sz w:val="21"/>
              </w:rPr>
              <w:t>status</w:t>
            </w:r>
          </w:p>
        </w:tc>
        <w:tc>
          <w:tcPr>
            <w:tcW w:w="4747" w:type="dxa"/>
            <w:tcBorders>
              <w:top w:val="single" w:sz="18" w:space="0" w:color="800000"/>
              <w:bottom w:val="single" w:sz="18" w:space="0" w:color="800000"/>
            </w:tcBorders>
          </w:tcPr>
          <w:p w:rsidR="003F5784" w14:paraId="702809C4" w14:textId="77777777">
            <w:pPr>
              <w:pStyle w:val="TableParagraph"/>
              <w:spacing w:before="9" w:line="238" w:lineRule="exact"/>
              <w:ind w:right="826"/>
              <w:rPr>
                <w:sz w:val="21"/>
              </w:rPr>
            </w:pPr>
            <w:r>
              <w:rPr>
                <w:sz w:val="21"/>
              </w:rPr>
              <w:t>Unweighted</w:t>
            </w:r>
            <w:r>
              <w:rPr>
                <w:spacing w:val="-7"/>
                <w:sz w:val="21"/>
              </w:rPr>
              <w:t xml:space="preserve"> </w:t>
            </w:r>
            <w:r>
              <w:rPr>
                <w:sz w:val="21"/>
              </w:rPr>
              <w:t>count</w:t>
            </w:r>
            <w:r>
              <w:rPr>
                <w:spacing w:val="-7"/>
                <w:sz w:val="21"/>
              </w:rPr>
              <w:t xml:space="preserve"> </w:t>
            </w:r>
            <w:r>
              <w:rPr>
                <w:sz w:val="21"/>
              </w:rPr>
              <w:t>of</w:t>
            </w:r>
            <w:r>
              <w:rPr>
                <w:spacing w:val="-6"/>
                <w:sz w:val="21"/>
              </w:rPr>
              <w:t xml:space="preserve"> </w:t>
            </w:r>
            <w:r>
              <w:rPr>
                <w:spacing w:val="-2"/>
                <w:sz w:val="21"/>
              </w:rPr>
              <w:t>schools</w:t>
            </w:r>
          </w:p>
        </w:tc>
        <w:tc>
          <w:tcPr>
            <w:tcW w:w="2920" w:type="dxa"/>
            <w:tcBorders>
              <w:top w:val="single" w:sz="18" w:space="0" w:color="800000"/>
              <w:bottom w:val="single" w:sz="18" w:space="0" w:color="800000"/>
            </w:tcBorders>
          </w:tcPr>
          <w:p w:rsidR="003F5784" w14:paraId="4B0B8DED" w14:textId="77777777">
            <w:pPr>
              <w:pStyle w:val="TableParagraph"/>
              <w:spacing w:before="9" w:line="238" w:lineRule="exact"/>
              <w:ind w:right="115"/>
              <w:rPr>
                <w:sz w:val="21"/>
              </w:rPr>
            </w:pPr>
            <w:r>
              <w:rPr>
                <w:sz w:val="21"/>
              </w:rPr>
              <w:t>Unweighted</w:t>
            </w:r>
            <w:r>
              <w:rPr>
                <w:spacing w:val="-12"/>
                <w:sz w:val="21"/>
              </w:rPr>
              <w:t xml:space="preserve"> </w:t>
            </w:r>
            <w:r>
              <w:rPr>
                <w:spacing w:val="-2"/>
                <w:sz w:val="21"/>
              </w:rPr>
              <w:t>percentage</w:t>
            </w:r>
          </w:p>
        </w:tc>
      </w:tr>
      <w:tr w14:paraId="4BA7AAF9" w14:textId="77777777">
        <w:tblPrEx>
          <w:tblW w:w="0" w:type="auto"/>
          <w:tblInd w:w="664" w:type="dxa"/>
          <w:tblLayout w:type="fixed"/>
          <w:tblCellMar>
            <w:left w:w="0" w:type="dxa"/>
            <w:right w:w="0" w:type="dxa"/>
          </w:tblCellMar>
          <w:tblLook w:val="01E0"/>
        </w:tblPrEx>
        <w:trPr>
          <w:trHeight w:val="278"/>
        </w:trPr>
        <w:tc>
          <w:tcPr>
            <w:tcW w:w="2408" w:type="dxa"/>
            <w:tcBorders>
              <w:top w:val="single" w:sz="18" w:space="0" w:color="800000"/>
            </w:tcBorders>
          </w:tcPr>
          <w:p w:rsidR="003F5784" w14:paraId="51703333" w14:textId="77777777">
            <w:pPr>
              <w:pStyle w:val="TableParagraph"/>
              <w:spacing w:before="9"/>
              <w:ind w:left="117"/>
              <w:jc w:val="left"/>
              <w:rPr>
                <w:sz w:val="21"/>
              </w:rPr>
            </w:pPr>
            <w:r>
              <w:rPr>
                <w:sz w:val="21"/>
              </w:rPr>
              <w:t>All</w:t>
            </w:r>
            <w:r>
              <w:rPr>
                <w:spacing w:val="-4"/>
                <w:sz w:val="21"/>
              </w:rPr>
              <w:t xml:space="preserve"> </w:t>
            </w:r>
            <w:r>
              <w:rPr>
                <w:spacing w:val="-2"/>
                <w:sz w:val="21"/>
              </w:rPr>
              <w:t>Private</w:t>
            </w:r>
          </w:p>
        </w:tc>
        <w:tc>
          <w:tcPr>
            <w:tcW w:w="3545" w:type="dxa"/>
            <w:tcBorders>
              <w:top w:val="single" w:sz="18" w:space="0" w:color="800000"/>
            </w:tcBorders>
          </w:tcPr>
          <w:p w:rsidR="003F5784" w14:paraId="58691EB1" w14:textId="77777777">
            <w:pPr>
              <w:pStyle w:val="TableParagraph"/>
              <w:spacing w:before="9"/>
              <w:ind w:left="942"/>
              <w:jc w:val="left"/>
              <w:rPr>
                <w:b/>
                <w:sz w:val="21"/>
              </w:rPr>
            </w:pPr>
            <w:r>
              <w:rPr>
                <w:b/>
                <w:spacing w:val="-2"/>
                <w:sz w:val="21"/>
              </w:rPr>
              <w:t>Total</w:t>
            </w:r>
          </w:p>
        </w:tc>
        <w:tc>
          <w:tcPr>
            <w:tcW w:w="4747" w:type="dxa"/>
            <w:tcBorders>
              <w:top w:val="single" w:sz="18" w:space="0" w:color="800000"/>
            </w:tcBorders>
          </w:tcPr>
          <w:p w:rsidR="003F5784" w14:paraId="53CB4D1B" w14:textId="77777777">
            <w:pPr>
              <w:pStyle w:val="TableParagraph"/>
              <w:spacing w:before="9"/>
              <w:ind w:right="826"/>
              <w:rPr>
                <w:b/>
                <w:sz w:val="21"/>
              </w:rPr>
            </w:pPr>
            <w:r>
              <w:rPr>
                <w:b/>
                <w:spacing w:val="-5"/>
                <w:sz w:val="21"/>
              </w:rPr>
              <w:t>180</w:t>
            </w:r>
          </w:p>
        </w:tc>
        <w:tc>
          <w:tcPr>
            <w:tcW w:w="2920" w:type="dxa"/>
            <w:tcBorders>
              <w:top w:val="single" w:sz="18" w:space="0" w:color="800000"/>
            </w:tcBorders>
          </w:tcPr>
          <w:p w:rsidR="003F5784" w14:paraId="3959F8B9" w14:textId="77777777">
            <w:pPr>
              <w:pStyle w:val="TableParagraph"/>
              <w:spacing w:before="9"/>
              <w:ind w:right="115"/>
              <w:rPr>
                <w:b/>
                <w:sz w:val="21"/>
              </w:rPr>
            </w:pPr>
            <w:r>
              <w:rPr>
                <w:b/>
                <w:spacing w:val="-2"/>
                <w:sz w:val="21"/>
              </w:rPr>
              <w:t>100.00</w:t>
            </w:r>
          </w:p>
        </w:tc>
      </w:tr>
      <w:tr w14:paraId="0EF6BC15" w14:textId="77777777">
        <w:tblPrEx>
          <w:tblW w:w="0" w:type="auto"/>
          <w:tblInd w:w="664" w:type="dxa"/>
          <w:tblLayout w:type="fixed"/>
          <w:tblCellMar>
            <w:left w:w="0" w:type="dxa"/>
            <w:right w:w="0" w:type="dxa"/>
          </w:tblCellMar>
          <w:tblLook w:val="01E0"/>
        </w:tblPrEx>
        <w:trPr>
          <w:trHeight w:val="286"/>
        </w:trPr>
        <w:tc>
          <w:tcPr>
            <w:tcW w:w="2408" w:type="dxa"/>
          </w:tcPr>
          <w:p w:rsidR="003F5784" w14:paraId="7A56DD28" w14:textId="77777777">
            <w:pPr>
              <w:pStyle w:val="TableParagraph"/>
              <w:spacing w:before="0"/>
              <w:jc w:val="left"/>
              <w:rPr>
                <w:sz w:val="20"/>
              </w:rPr>
            </w:pPr>
          </w:p>
        </w:tc>
        <w:tc>
          <w:tcPr>
            <w:tcW w:w="3545" w:type="dxa"/>
          </w:tcPr>
          <w:p w:rsidR="003F5784" w14:paraId="716F4B67" w14:textId="77777777">
            <w:pPr>
              <w:pStyle w:val="TableParagraph"/>
              <w:ind w:left="692"/>
              <w:jc w:val="left"/>
              <w:rPr>
                <w:sz w:val="21"/>
              </w:rPr>
            </w:pPr>
            <w:r>
              <w:rPr>
                <w:spacing w:val="-2"/>
                <w:sz w:val="21"/>
              </w:rPr>
              <w:t>Eligible</w:t>
            </w:r>
          </w:p>
        </w:tc>
        <w:tc>
          <w:tcPr>
            <w:tcW w:w="4747" w:type="dxa"/>
          </w:tcPr>
          <w:p w:rsidR="003F5784" w14:paraId="55ACA2A1" w14:textId="77777777">
            <w:pPr>
              <w:pStyle w:val="TableParagraph"/>
              <w:ind w:right="826"/>
              <w:rPr>
                <w:sz w:val="21"/>
              </w:rPr>
            </w:pPr>
            <w:r>
              <w:rPr>
                <w:spacing w:val="-5"/>
                <w:sz w:val="21"/>
              </w:rPr>
              <w:t>140</w:t>
            </w:r>
          </w:p>
        </w:tc>
        <w:tc>
          <w:tcPr>
            <w:tcW w:w="2920" w:type="dxa"/>
          </w:tcPr>
          <w:p w:rsidR="003F5784" w14:paraId="5AE7F033" w14:textId="77777777">
            <w:pPr>
              <w:pStyle w:val="TableParagraph"/>
              <w:ind w:right="115"/>
              <w:rPr>
                <w:sz w:val="21"/>
              </w:rPr>
            </w:pPr>
            <w:r>
              <w:rPr>
                <w:spacing w:val="-2"/>
                <w:sz w:val="21"/>
              </w:rPr>
              <w:t>75.96</w:t>
            </w:r>
          </w:p>
        </w:tc>
      </w:tr>
      <w:tr w14:paraId="02C91DC8" w14:textId="77777777">
        <w:tblPrEx>
          <w:tblW w:w="0" w:type="auto"/>
          <w:tblInd w:w="664" w:type="dxa"/>
          <w:tblLayout w:type="fixed"/>
          <w:tblCellMar>
            <w:left w:w="0" w:type="dxa"/>
            <w:right w:w="0" w:type="dxa"/>
          </w:tblCellMar>
          <w:tblLook w:val="01E0"/>
        </w:tblPrEx>
        <w:trPr>
          <w:trHeight w:val="289"/>
        </w:trPr>
        <w:tc>
          <w:tcPr>
            <w:tcW w:w="2408" w:type="dxa"/>
            <w:tcBorders>
              <w:bottom w:val="single" w:sz="12" w:space="0" w:color="800000"/>
            </w:tcBorders>
          </w:tcPr>
          <w:p w:rsidR="003F5784" w14:paraId="2A9A2628" w14:textId="77777777">
            <w:pPr>
              <w:pStyle w:val="TableParagraph"/>
              <w:spacing w:before="0"/>
              <w:jc w:val="left"/>
              <w:rPr>
                <w:sz w:val="20"/>
              </w:rPr>
            </w:pPr>
          </w:p>
        </w:tc>
        <w:tc>
          <w:tcPr>
            <w:tcW w:w="3545" w:type="dxa"/>
            <w:tcBorders>
              <w:bottom w:val="single" w:sz="12" w:space="0" w:color="800000"/>
            </w:tcBorders>
          </w:tcPr>
          <w:p w:rsidR="003F5784" w14:paraId="76B68CAB" w14:textId="77777777">
            <w:pPr>
              <w:pStyle w:val="TableParagraph"/>
              <w:ind w:left="692"/>
              <w:jc w:val="left"/>
              <w:rPr>
                <w:sz w:val="21"/>
              </w:rPr>
            </w:pPr>
            <w:r>
              <w:rPr>
                <w:spacing w:val="-2"/>
                <w:sz w:val="21"/>
              </w:rPr>
              <w:t>Ineligible</w:t>
            </w:r>
          </w:p>
        </w:tc>
        <w:tc>
          <w:tcPr>
            <w:tcW w:w="4747" w:type="dxa"/>
            <w:tcBorders>
              <w:bottom w:val="single" w:sz="12" w:space="0" w:color="800000"/>
            </w:tcBorders>
          </w:tcPr>
          <w:p w:rsidR="003F5784" w14:paraId="543F688B" w14:textId="77777777">
            <w:pPr>
              <w:pStyle w:val="TableParagraph"/>
              <w:ind w:right="826"/>
              <w:rPr>
                <w:sz w:val="21"/>
              </w:rPr>
            </w:pPr>
            <w:r>
              <w:rPr>
                <w:spacing w:val="-5"/>
                <w:sz w:val="21"/>
              </w:rPr>
              <w:t>44</w:t>
            </w:r>
          </w:p>
        </w:tc>
        <w:tc>
          <w:tcPr>
            <w:tcW w:w="2920" w:type="dxa"/>
            <w:tcBorders>
              <w:bottom w:val="single" w:sz="12" w:space="0" w:color="800000"/>
            </w:tcBorders>
          </w:tcPr>
          <w:p w:rsidR="003F5784" w14:paraId="1F9A700B" w14:textId="77777777">
            <w:pPr>
              <w:pStyle w:val="TableParagraph"/>
              <w:ind w:right="115"/>
              <w:rPr>
                <w:sz w:val="21"/>
              </w:rPr>
            </w:pPr>
            <w:r>
              <w:rPr>
                <w:spacing w:val="-2"/>
                <w:sz w:val="21"/>
              </w:rPr>
              <w:t>24.04</w:t>
            </w:r>
          </w:p>
        </w:tc>
      </w:tr>
      <w:tr w14:paraId="0EA4D026" w14:textId="77777777">
        <w:tblPrEx>
          <w:tblW w:w="0" w:type="auto"/>
          <w:tblInd w:w="664" w:type="dxa"/>
          <w:tblLayout w:type="fixed"/>
          <w:tblCellMar>
            <w:left w:w="0" w:type="dxa"/>
            <w:right w:w="0" w:type="dxa"/>
          </w:tblCellMar>
          <w:tblLook w:val="01E0"/>
        </w:tblPrEx>
        <w:trPr>
          <w:trHeight w:val="266"/>
        </w:trPr>
        <w:tc>
          <w:tcPr>
            <w:tcW w:w="2408" w:type="dxa"/>
            <w:tcBorders>
              <w:top w:val="single" w:sz="12" w:space="0" w:color="800000"/>
            </w:tcBorders>
          </w:tcPr>
          <w:p w:rsidR="003F5784" w14:paraId="78883594" w14:textId="77777777">
            <w:pPr>
              <w:pStyle w:val="TableParagraph"/>
              <w:spacing w:before="0" w:line="239" w:lineRule="exact"/>
              <w:ind w:left="117"/>
              <w:jc w:val="left"/>
              <w:rPr>
                <w:sz w:val="21"/>
              </w:rPr>
            </w:pPr>
            <w:r>
              <w:rPr>
                <w:spacing w:val="-2"/>
                <w:sz w:val="21"/>
              </w:rPr>
              <w:t>Catholic</w:t>
            </w:r>
          </w:p>
        </w:tc>
        <w:tc>
          <w:tcPr>
            <w:tcW w:w="3545" w:type="dxa"/>
            <w:tcBorders>
              <w:top w:val="single" w:sz="12" w:space="0" w:color="800000"/>
            </w:tcBorders>
          </w:tcPr>
          <w:p w:rsidR="003F5784" w14:paraId="1C7C6A41" w14:textId="77777777">
            <w:pPr>
              <w:pStyle w:val="TableParagraph"/>
              <w:spacing w:before="0" w:line="239" w:lineRule="exact"/>
              <w:ind w:left="942"/>
              <w:jc w:val="left"/>
              <w:rPr>
                <w:b/>
                <w:sz w:val="21"/>
              </w:rPr>
            </w:pPr>
            <w:r>
              <w:rPr>
                <w:b/>
                <w:spacing w:val="-2"/>
                <w:sz w:val="21"/>
              </w:rPr>
              <w:t>Total</w:t>
            </w:r>
          </w:p>
        </w:tc>
        <w:tc>
          <w:tcPr>
            <w:tcW w:w="4747" w:type="dxa"/>
            <w:tcBorders>
              <w:top w:val="single" w:sz="12" w:space="0" w:color="800000"/>
            </w:tcBorders>
          </w:tcPr>
          <w:p w:rsidR="003F5784" w14:paraId="6C04F0FD" w14:textId="77777777">
            <w:pPr>
              <w:pStyle w:val="TableParagraph"/>
              <w:spacing w:before="0" w:line="239" w:lineRule="exact"/>
              <w:ind w:right="826"/>
              <w:rPr>
                <w:b/>
                <w:sz w:val="21"/>
              </w:rPr>
            </w:pPr>
            <w:r>
              <w:rPr>
                <w:b/>
                <w:spacing w:val="-5"/>
                <w:sz w:val="21"/>
              </w:rPr>
              <w:t>60</w:t>
            </w:r>
          </w:p>
        </w:tc>
        <w:tc>
          <w:tcPr>
            <w:tcW w:w="2920" w:type="dxa"/>
            <w:tcBorders>
              <w:top w:val="single" w:sz="12" w:space="0" w:color="800000"/>
            </w:tcBorders>
          </w:tcPr>
          <w:p w:rsidR="003F5784" w14:paraId="149E0EA7" w14:textId="77777777">
            <w:pPr>
              <w:pStyle w:val="TableParagraph"/>
              <w:spacing w:before="0" w:line="239" w:lineRule="exact"/>
              <w:ind w:right="115"/>
              <w:rPr>
                <w:b/>
                <w:sz w:val="21"/>
              </w:rPr>
            </w:pPr>
            <w:r>
              <w:rPr>
                <w:b/>
                <w:spacing w:val="-2"/>
                <w:sz w:val="21"/>
              </w:rPr>
              <w:t>100.00</w:t>
            </w:r>
          </w:p>
        </w:tc>
      </w:tr>
      <w:tr w14:paraId="52F1D342" w14:textId="77777777">
        <w:tblPrEx>
          <w:tblW w:w="0" w:type="auto"/>
          <w:tblInd w:w="664" w:type="dxa"/>
          <w:tblLayout w:type="fixed"/>
          <w:tblCellMar>
            <w:left w:w="0" w:type="dxa"/>
            <w:right w:w="0" w:type="dxa"/>
          </w:tblCellMar>
          <w:tblLook w:val="01E0"/>
        </w:tblPrEx>
        <w:trPr>
          <w:trHeight w:val="288"/>
        </w:trPr>
        <w:tc>
          <w:tcPr>
            <w:tcW w:w="2408" w:type="dxa"/>
            <w:tcBorders>
              <w:bottom w:val="single" w:sz="18" w:space="0" w:color="800000"/>
            </w:tcBorders>
          </w:tcPr>
          <w:p w:rsidR="003F5784" w14:paraId="63D1ED1D" w14:textId="77777777">
            <w:pPr>
              <w:pStyle w:val="TableParagraph"/>
              <w:spacing w:before="0"/>
              <w:jc w:val="left"/>
              <w:rPr>
                <w:sz w:val="20"/>
              </w:rPr>
            </w:pPr>
          </w:p>
        </w:tc>
        <w:tc>
          <w:tcPr>
            <w:tcW w:w="3545" w:type="dxa"/>
            <w:tcBorders>
              <w:bottom w:val="single" w:sz="18" w:space="0" w:color="800000"/>
            </w:tcBorders>
          </w:tcPr>
          <w:p w:rsidR="003F5784" w14:paraId="07824AEE" w14:textId="77777777">
            <w:pPr>
              <w:pStyle w:val="TableParagraph"/>
              <w:ind w:left="692"/>
              <w:jc w:val="left"/>
              <w:rPr>
                <w:sz w:val="21"/>
              </w:rPr>
            </w:pPr>
            <w:r>
              <w:rPr>
                <w:spacing w:val="-2"/>
                <w:sz w:val="21"/>
              </w:rPr>
              <w:t>Eligible</w:t>
            </w:r>
          </w:p>
        </w:tc>
        <w:tc>
          <w:tcPr>
            <w:tcW w:w="4747" w:type="dxa"/>
            <w:tcBorders>
              <w:bottom w:val="single" w:sz="18" w:space="0" w:color="800000"/>
            </w:tcBorders>
          </w:tcPr>
          <w:p w:rsidR="003F5784" w14:paraId="2C813453" w14:textId="77777777">
            <w:pPr>
              <w:pStyle w:val="TableParagraph"/>
              <w:ind w:right="826"/>
              <w:rPr>
                <w:sz w:val="21"/>
              </w:rPr>
            </w:pPr>
            <w:r>
              <w:rPr>
                <w:spacing w:val="-5"/>
                <w:sz w:val="21"/>
              </w:rPr>
              <w:t>52</w:t>
            </w:r>
          </w:p>
        </w:tc>
        <w:tc>
          <w:tcPr>
            <w:tcW w:w="2920" w:type="dxa"/>
            <w:tcBorders>
              <w:bottom w:val="single" w:sz="18" w:space="0" w:color="800000"/>
            </w:tcBorders>
          </w:tcPr>
          <w:p w:rsidR="003F5784" w14:paraId="73C11FE7" w14:textId="77777777">
            <w:pPr>
              <w:pStyle w:val="TableParagraph"/>
              <w:ind w:right="115"/>
              <w:rPr>
                <w:sz w:val="21"/>
              </w:rPr>
            </w:pPr>
            <w:r>
              <w:rPr>
                <w:spacing w:val="-2"/>
                <w:sz w:val="21"/>
              </w:rPr>
              <w:t>67.74</w:t>
            </w:r>
          </w:p>
        </w:tc>
      </w:tr>
      <w:tr w14:paraId="69366B2E" w14:textId="77777777">
        <w:tblPrEx>
          <w:tblW w:w="0" w:type="auto"/>
          <w:tblInd w:w="664" w:type="dxa"/>
          <w:tblLayout w:type="fixed"/>
          <w:tblCellMar>
            <w:left w:w="0" w:type="dxa"/>
            <w:right w:w="0" w:type="dxa"/>
          </w:tblCellMar>
          <w:tblLook w:val="01E0"/>
        </w:tblPrEx>
        <w:trPr>
          <w:trHeight w:val="237"/>
        </w:trPr>
        <w:tc>
          <w:tcPr>
            <w:tcW w:w="13620" w:type="dxa"/>
            <w:gridSpan w:val="4"/>
            <w:tcBorders>
              <w:top w:val="single" w:sz="18" w:space="0" w:color="800000"/>
            </w:tcBorders>
          </w:tcPr>
          <w:p w:rsidR="003F5784" w14:paraId="22426C03" w14:textId="77777777">
            <w:pPr>
              <w:pStyle w:val="TableParagraph"/>
              <w:spacing w:before="0" w:line="218" w:lineRule="exact"/>
              <w:ind w:left="117"/>
              <w:jc w:val="left"/>
              <w:rPr>
                <w:sz w:val="21"/>
              </w:rPr>
            </w:pPr>
            <w:r>
              <w:rPr>
                <w:sz w:val="21"/>
              </w:rPr>
              <w:t>NOTE:</w:t>
            </w:r>
            <w:r>
              <w:rPr>
                <w:spacing w:val="-10"/>
                <w:sz w:val="21"/>
              </w:rPr>
              <w:t xml:space="preserve"> </w:t>
            </w:r>
            <w:r>
              <w:rPr>
                <w:sz w:val="21"/>
              </w:rPr>
              <w:t>Total</w:t>
            </w:r>
            <w:r>
              <w:rPr>
                <w:spacing w:val="-6"/>
                <w:sz w:val="21"/>
              </w:rPr>
              <w:t xml:space="preserve"> </w:t>
            </w:r>
            <w:r>
              <w:rPr>
                <w:sz w:val="21"/>
              </w:rPr>
              <w:t>and</w:t>
            </w:r>
            <w:r>
              <w:rPr>
                <w:spacing w:val="-6"/>
                <w:sz w:val="21"/>
              </w:rPr>
              <w:t xml:space="preserve"> </w:t>
            </w:r>
            <w:r>
              <w:rPr>
                <w:sz w:val="21"/>
              </w:rPr>
              <w:t>eligible</w:t>
            </w:r>
            <w:r>
              <w:rPr>
                <w:spacing w:val="-6"/>
                <w:sz w:val="21"/>
              </w:rPr>
              <w:t xml:space="preserve"> </w:t>
            </w:r>
            <w:r>
              <w:rPr>
                <w:sz w:val="21"/>
              </w:rPr>
              <w:t>school</w:t>
            </w:r>
            <w:r>
              <w:rPr>
                <w:spacing w:val="-6"/>
                <w:sz w:val="21"/>
              </w:rPr>
              <w:t xml:space="preserve"> </w:t>
            </w:r>
            <w:r>
              <w:rPr>
                <w:sz w:val="21"/>
              </w:rPr>
              <w:t>counts</w:t>
            </w:r>
            <w:r>
              <w:rPr>
                <w:spacing w:val="-6"/>
                <w:sz w:val="21"/>
              </w:rPr>
              <w:t xml:space="preserve"> </w:t>
            </w:r>
            <w:r>
              <w:rPr>
                <w:sz w:val="21"/>
              </w:rPr>
              <w:t>are</w:t>
            </w:r>
            <w:r>
              <w:rPr>
                <w:spacing w:val="-6"/>
                <w:sz w:val="21"/>
              </w:rPr>
              <w:t xml:space="preserve"> </w:t>
            </w:r>
            <w:r>
              <w:rPr>
                <w:sz w:val="21"/>
              </w:rPr>
              <w:t>rounded</w:t>
            </w:r>
            <w:r>
              <w:rPr>
                <w:spacing w:val="-6"/>
                <w:sz w:val="21"/>
              </w:rPr>
              <w:t xml:space="preserve"> </w:t>
            </w:r>
            <w:r>
              <w:rPr>
                <w:sz w:val="21"/>
              </w:rPr>
              <w:t>to</w:t>
            </w:r>
            <w:r>
              <w:rPr>
                <w:spacing w:val="-6"/>
                <w:sz w:val="21"/>
              </w:rPr>
              <w:t xml:space="preserve"> </w:t>
            </w:r>
            <w:r>
              <w:rPr>
                <w:sz w:val="21"/>
              </w:rPr>
              <w:t>nearest</w:t>
            </w:r>
            <w:r>
              <w:rPr>
                <w:spacing w:val="-6"/>
                <w:sz w:val="21"/>
              </w:rPr>
              <w:t xml:space="preserve"> </w:t>
            </w:r>
            <w:r>
              <w:rPr>
                <w:sz w:val="21"/>
              </w:rPr>
              <w:t>ten.</w:t>
            </w:r>
            <w:r>
              <w:rPr>
                <w:spacing w:val="-6"/>
                <w:sz w:val="21"/>
              </w:rPr>
              <w:t xml:space="preserve"> </w:t>
            </w:r>
            <w:r>
              <w:rPr>
                <w:sz w:val="21"/>
              </w:rPr>
              <w:t>Percentages</w:t>
            </w:r>
            <w:r>
              <w:rPr>
                <w:spacing w:val="-7"/>
                <w:sz w:val="21"/>
              </w:rPr>
              <w:t xml:space="preserve"> </w:t>
            </w:r>
            <w:r>
              <w:rPr>
                <w:sz w:val="21"/>
              </w:rPr>
              <w:t>are</w:t>
            </w:r>
            <w:r>
              <w:rPr>
                <w:spacing w:val="-6"/>
                <w:sz w:val="21"/>
              </w:rPr>
              <w:t xml:space="preserve"> </w:t>
            </w:r>
            <w:r>
              <w:rPr>
                <w:sz w:val="21"/>
              </w:rPr>
              <w:t>based</w:t>
            </w:r>
            <w:r>
              <w:rPr>
                <w:spacing w:val="-6"/>
                <w:sz w:val="21"/>
              </w:rPr>
              <w:t xml:space="preserve"> </w:t>
            </w:r>
            <w:r>
              <w:rPr>
                <w:sz w:val="21"/>
              </w:rPr>
              <w:t>on</w:t>
            </w:r>
            <w:r>
              <w:rPr>
                <w:spacing w:val="-6"/>
                <w:sz w:val="21"/>
              </w:rPr>
              <w:t xml:space="preserve"> </w:t>
            </w:r>
            <w:r>
              <w:rPr>
                <w:sz w:val="21"/>
              </w:rPr>
              <w:t>unrounded</w:t>
            </w:r>
            <w:r>
              <w:rPr>
                <w:spacing w:val="-6"/>
                <w:sz w:val="21"/>
              </w:rPr>
              <w:t xml:space="preserve"> </w:t>
            </w:r>
            <w:r>
              <w:rPr>
                <w:sz w:val="21"/>
              </w:rPr>
              <w:t>counts.</w:t>
            </w:r>
            <w:r>
              <w:rPr>
                <w:spacing w:val="-6"/>
                <w:sz w:val="21"/>
              </w:rPr>
              <w:t xml:space="preserve"> </w:t>
            </w:r>
            <w:r>
              <w:rPr>
                <w:sz w:val="21"/>
              </w:rPr>
              <w:t>Detail</w:t>
            </w:r>
            <w:r>
              <w:rPr>
                <w:spacing w:val="-6"/>
                <w:sz w:val="21"/>
              </w:rPr>
              <w:t xml:space="preserve"> </w:t>
            </w:r>
            <w:r>
              <w:rPr>
                <w:sz w:val="21"/>
              </w:rPr>
              <w:t>may</w:t>
            </w:r>
            <w:r>
              <w:rPr>
                <w:spacing w:val="-6"/>
                <w:sz w:val="21"/>
              </w:rPr>
              <w:t xml:space="preserve"> </w:t>
            </w:r>
            <w:r>
              <w:rPr>
                <w:sz w:val="21"/>
              </w:rPr>
              <w:t>not</w:t>
            </w:r>
            <w:r>
              <w:rPr>
                <w:spacing w:val="-6"/>
                <w:sz w:val="21"/>
              </w:rPr>
              <w:t xml:space="preserve"> </w:t>
            </w:r>
            <w:r>
              <w:rPr>
                <w:sz w:val="21"/>
              </w:rPr>
              <w:t>sum</w:t>
            </w:r>
            <w:r>
              <w:rPr>
                <w:spacing w:val="-6"/>
                <w:sz w:val="21"/>
              </w:rPr>
              <w:t xml:space="preserve"> </w:t>
            </w:r>
            <w:r>
              <w:rPr>
                <w:sz w:val="21"/>
              </w:rPr>
              <w:t>to</w:t>
            </w:r>
            <w:r>
              <w:rPr>
                <w:spacing w:val="-6"/>
                <w:sz w:val="21"/>
              </w:rPr>
              <w:t xml:space="preserve"> </w:t>
            </w:r>
            <w:r>
              <w:rPr>
                <w:sz w:val="21"/>
              </w:rPr>
              <w:t>total</w:t>
            </w:r>
            <w:r>
              <w:rPr>
                <w:spacing w:val="-6"/>
                <w:sz w:val="21"/>
              </w:rPr>
              <w:t xml:space="preserve"> </w:t>
            </w:r>
            <w:r>
              <w:rPr>
                <w:sz w:val="21"/>
              </w:rPr>
              <w:t>due</w:t>
            </w:r>
            <w:r>
              <w:rPr>
                <w:spacing w:val="-6"/>
                <w:sz w:val="21"/>
              </w:rPr>
              <w:t xml:space="preserve"> </w:t>
            </w:r>
            <w:r>
              <w:rPr>
                <w:sz w:val="21"/>
              </w:rPr>
              <w:t>to</w:t>
            </w:r>
            <w:r>
              <w:rPr>
                <w:spacing w:val="-6"/>
                <w:sz w:val="21"/>
              </w:rPr>
              <w:t xml:space="preserve"> </w:t>
            </w:r>
            <w:r>
              <w:rPr>
                <w:spacing w:val="-2"/>
                <w:sz w:val="21"/>
              </w:rPr>
              <w:t>rounding.</w:t>
            </w:r>
          </w:p>
        </w:tc>
      </w:tr>
    </w:tbl>
    <w:p w:rsidR="003F5784" w14:paraId="67BAB779" w14:textId="77777777">
      <w:pPr>
        <w:pStyle w:val="BodyText"/>
        <w:spacing w:before="1" w:line="232" w:lineRule="auto"/>
        <w:ind w:left="775" w:right="1264"/>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 Progress (NAEP), 2022 Long-Term Trend Assessment.</w:t>
      </w:r>
    </w:p>
    <w:p w:rsidR="003F5784" w14:paraId="011D8F27" w14:textId="77777777">
      <w:pPr>
        <w:spacing w:line="232" w:lineRule="auto"/>
        <w:sectPr>
          <w:pgSz w:w="15840" w:h="12240" w:orient="landscape"/>
          <w:pgMar w:top="480" w:right="440" w:bottom="460" w:left="460" w:header="284" w:footer="275" w:gutter="0"/>
          <w:cols w:space="720"/>
        </w:sectPr>
      </w:pPr>
    </w:p>
    <w:p w:rsidR="003F5784" w14:paraId="660977C0" w14:textId="77777777">
      <w:pPr>
        <w:pStyle w:val="BodyText"/>
        <w:tabs>
          <w:tab w:val="left" w:pos="3757"/>
          <w:tab w:val="left" w:pos="8090"/>
          <w:tab w:val="left" w:pos="12185"/>
        </w:tabs>
        <w:spacing w:before="98" w:after="20"/>
        <w:ind w:left="775"/>
      </w:pPr>
      <w:r>
        <w:t>Private</w:t>
      </w:r>
      <w:r>
        <w:rPr>
          <w:spacing w:val="-7"/>
        </w:rPr>
        <w:t xml:space="preserve"> </w:t>
      </w:r>
      <w:r>
        <w:t>school</w:t>
      </w:r>
      <w:r>
        <w:rPr>
          <w:spacing w:val="-7"/>
        </w:rPr>
        <w:t xml:space="preserve"> </w:t>
      </w:r>
      <w:r>
        <w:rPr>
          <w:spacing w:val="-4"/>
        </w:rPr>
        <w:t>type</w:t>
      </w:r>
      <w:r>
        <w:tab/>
        <w:t>Eligibility</w:t>
      </w:r>
      <w:r>
        <w:rPr>
          <w:spacing w:val="-10"/>
        </w:rPr>
        <w:t xml:space="preserve"> </w:t>
      </w:r>
      <w:r>
        <w:rPr>
          <w:spacing w:val="-2"/>
        </w:rPr>
        <w:t>status</w:t>
      </w:r>
      <w:r>
        <w:tab/>
        <w:t>Unweighted</w:t>
      </w:r>
      <w:r>
        <w:rPr>
          <w:spacing w:val="-7"/>
        </w:rPr>
        <w:t xml:space="preserve"> </w:t>
      </w:r>
      <w:r>
        <w:t>count</w:t>
      </w:r>
      <w:r>
        <w:rPr>
          <w:spacing w:val="-7"/>
        </w:rPr>
        <w:t xml:space="preserve"> </w:t>
      </w:r>
      <w:r>
        <w:t>of</w:t>
      </w:r>
      <w:r>
        <w:rPr>
          <w:spacing w:val="-6"/>
        </w:rPr>
        <w:t xml:space="preserve"> </w:t>
      </w:r>
      <w:r>
        <w:rPr>
          <w:spacing w:val="-2"/>
        </w:rPr>
        <w:t>schools</w:t>
      </w:r>
      <w:r>
        <w:tab/>
        <w:t>Unweighted</w:t>
      </w:r>
      <w:r>
        <w:rPr>
          <w:spacing w:val="-12"/>
        </w:rPr>
        <w:t xml:space="preserve"> </w:t>
      </w:r>
      <w:r>
        <w:rPr>
          <w:spacing w:val="-2"/>
        </w:rPr>
        <w:t>percentage</w:t>
      </w:r>
    </w:p>
    <w:tbl>
      <w:tblPr>
        <w:tblW w:w="0" w:type="auto"/>
        <w:tblInd w:w="664" w:type="dxa"/>
        <w:tblLayout w:type="fixed"/>
        <w:tblCellMar>
          <w:left w:w="0" w:type="dxa"/>
          <w:right w:w="0" w:type="dxa"/>
        </w:tblCellMar>
        <w:tblLook w:val="01E0"/>
      </w:tblPr>
      <w:tblGrid>
        <w:gridCol w:w="2293"/>
        <w:gridCol w:w="4436"/>
        <w:gridCol w:w="4671"/>
        <w:gridCol w:w="2219"/>
      </w:tblGrid>
      <w:tr w14:paraId="3A294364" w14:textId="77777777">
        <w:tblPrEx>
          <w:tblW w:w="0" w:type="auto"/>
          <w:tblInd w:w="664" w:type="dxa"/>
          <w:tblLayout w:type="fixed"/>
          <w:tblCellMar>
            <w:left w:w="0" w:type="dxa"/>
            <w:right w:w="0" w:type="dxa"/>
          </w:tblCellMar>
          <w:tblLook w:val="01E0"/>
        </w:tblPrEx>
        <w:trPr>
          <w:trHeight w:val="281"/>
        </w:trPr>
        <w:tc>
          <w:tcPr>
            <w:tcW w:w="2293" w:type="dxa"/>
            <w:tcBorders>
              <w:top w:val="single" w:sz="18" w:space="0" w:color="800000"/>
              <w:bottom w:val="single" w:sz="12" w:space="0" w:color="800000"/>
            </w:tcBorders>
          </w:tcPr>
          <w:p w:rsidR="003F5784" w14:paraId="1443DD84" w14:textId="77777777">
            <w:pPr>
              <w:pStyle w:val="TableParagraph"/>
              <w:spacing w:before="0"/>
              <w:jc w:val="left"/>
              <w:rPr>
                <w:sz w:val="20"/>
              </w:rPr>
            </w:pPr>
          </w:p>
        </w:tc>
        <w:tc>
          <w:tcPr>
            <w:tcW w:w="4436" w:type="dxa"/>
            <w:tcBorders>
              <w:top w:val="single" w:sz="18" w:space="0" w:color="800000"/>
              <w:bottom w:val="single" w:sz="12" w:space="0" w:color="800000"/>
            </w:tcBorders>
          </w:tcPr>
          <w:p w:rsidR="003F5784" w14:paraId="0A95CAF4" w14:textId="77777777">
            <w:pPr>
              <w:pStyle w:val="TableParagraph"/>
              <w:spacing w:before="9"/>
              <w:ind w:left="807"/>
              <w:jc w:val="left"/>
              <w:rPr>
                <w:sz w:val="21"/>
              </w:rPr>
            </w:pPr>
            <w:r>
              <w:rPr>
                <w:spacing w:val="-2"/>
                <w:sz w:val="21"/>
              </w:rPr>
              <w:t>Ineligible</w:t>
            </w:r>
          </w:p>
        </w:tc>
        <w:tc>
          <w:tcPr>
            <w:tcW w:w="4671" w:type="dxa"/>
            <w:tcBorders>
              <w:top w:val="single" w:sz="18" w:space="0" w:color="800000"/>
              <w:bottom w:val="single" w:sz="12" w:space="0" w:color="800000"/>
            </w:tcBorders>
          </w:tcPr>
          <w:p w:rsidR="003F5784" w14:paraId="2F979662" w14:textId="77777777">
            <w:pPr>
              <w:pStyle w:val="TableParagraph"/>
              <w:spacing w:before="9"/>
              <w:ind w:right="1526"/>
              <w:rPr>
                <w:sz w:val="21"/>
              </w:rPr>
            </w:pPr>
            <w:r>
              <w:rPr>
                <w:spacing w:val="-5"/>
                <w:sz w:val="21"/>
              </w:rPr>
              <w:t>10</w:t>
            </w:r>
          </w:p>
        </w:tc>
        <w:tc>
          <w:tcPr>
            <w:tcW w:w="2219" w:type="dxa"/>
            <w:tcBorders>
              <w:top w:val="single" w:sz="18" w:space="0" w:color="800000"/>
              <w:bottom w:val="single" w:sz="12" w:space="0" w:color="800000"/>
            </w:tcBorders>
          </w:tcPr>
          <w:p w:rsidR="003F5784" w14:paraId="6570F9BA" w14:textId="77777777">
            <w:pPr>
              <w:pStyle w:val="TableParagraph"/>
              <w:spacing w:before="9"/>
              <w:ind w:right="114"/>
              <w:rPr>
                <w:sz w:val="21"/>
              </w:rPr>
            </w:pPr>
            <w:r>
              <w:rPr>
                <w:spacing w:val="-2"/>
                <w:sz w:val="21"/>
              </w:rPr>
              <w:t>32.26</w:t>
            </w:r>
          </w:p>
        </w:tc>
      </w:tr>
      <w:tr w14:paraId="57C83617" w14:textId="77777777">
        <w:tblPrEx>
          <w:tblW w:w="0" w:type="auto"/>
          <w:tblInd w:w="664" w:type="dxa"/>
          <w:tblLayout w:type="fixed"/>
          <w:tblCellMar>
            <w:left w:w="0" w:type="dxa"/>
            <w:right w:w="0" w:type="dxa"/>
          </w:tblCellMar>
          <w:tblLook w:val="01E0"/>
        </w:tblPrEx>
        <w:trPr>
          <w:trHeight w:val="266"/>
        </w:trPr>
        <w:tc>
          <w:tcPr>
            <w:tcW w:w="2293" w:type="dxa"/>
            <w:tcBorders>
              <w:top w:val="single" w:sz="12" w:space="0" w:color="800000"/>
            </w:tcBorders>
          </w:tcPr>
          <w:p w:rsidR="003F5784" w14:paraId="5C0B1F9B" w14:textId="77777777">
            <w:pPr>
              <w:pStyle w:val="TableParagraph"/>
              <w:spacing w:before="0" w:line="239" w:lineRule="exact"/>
              <w:ind w:left="117"/>
              <w:jc w:val="left"/>
              <w:rPr>
                <w:sz w:val="21"/>
              </w:rPr>
            </w:pPr>
            <w:r>
              <w:rPr>
                <w:sz w:val="21"/>
              </w:rPr>
              <w:t>Other</w:t>
            </w:r>
            <w:r>
              <w:rPr>
                <w:spacing w:val="-6"/>
                <w:sz w:val="21"/>
              </w:rPr>
              <w:t xml:space="preserve"> </w:t>
            </w:r>
            <w:r>
              <w:rPr>
                <w:spacing w:val="-2"/>
                <w:sz w:val="21"/>
              </w:rPr>
              <w:t>Private</w:t>
            </w:r>
          </w:p>
        </w:tc>
        <w:tc>
          <w:tcPr>
            <w:tcW w:w="4436" w:type="dxa"/>
            <w:tcBorders>
              <w:top w:val="single" w:sz="12" w:space="0" w:color="800000"/>
            </w:tcBorders>
          </w:tcPr>
          <w:p w:rsidR="003F5784" w14:paraId="31C853B4" w14:textId="77777777">
            <w:pPr>
              <w:pStyle w:val="TableParagraph"/>
              <w:spacing w:before="0" w:line="239" w:lineRule="exact"/>
              <w:ind w:left="1057"/>
              <w:jc w:val="left"/>
              <w:rPr>
                <w:b/>
                <w:sz w:val="21"/>
              </w:rPr>
            </w:pPr>
            <w:r>
              <w:rPr>
                <w:b/>
                <w:spacing w:val="-2"/>
                <w:sz w:val="21"/>
              </w:rPr>
              <w:t>Total</w:t>
            </w:r>
          </w:p>
        </w:tc>
        <w:tc>
          <w:tcPr>
            <w:tcW w:w="4671" w:type="dxa"/>
            <w:tcBorders>
              <w:top w:val="single" w:sz="12" w:space="0" w:color="800000"/>
            </w:tcBorders>
          </w:tcPr>
          <w:p w:rsidR="003F5784" w14:paraId="6D3FE46C" w14:textId="77777777">
            <w:pPr>
              <w:pStyle w:val="TableParagraph"/>
              <w:spacing w:before="0" w:line="239" w:lineRule="exact"/>
              <w:ind w:right="1526"/>
              <w:rPr>
                <w:b/>
                <w:sz w:val="21"/>
              </w:rPr>
            </w:pPr>
            <w:r>
              <w:rPr>
                <w:b/>
                <w:spacing w:val="-5"/>
                <w:sz w:val="21"/>
              </w:rPr>
              <w:t>120</w:t>
            </w:r>
          </w:p>
        </w:tc>
        <w:tc>
          <w:tcPr>
            <w:tcW w:w="2219" w:type="dxa"/>
            <w:tcBorders>
              <w:top w:val="single" w:sz="12" w:space="0" w:color="800000"/>
            </w:tcBorders>
          </w:tcPr>
          <w:p w:rsidR="003F5784" w14:paraId="472B00BD" w14:textId="77777777">
            <w:pPr>
              <w:pStyle w:val="TableParagraph"/>
              <w:spacing w:before="0" w:line="239" w:lineRule="exact"/>
              <w:ind w:right="114"/>
              <w:rPr>
                <w:b/>
                <w:sz w:val="21"/>
              </w:rPr>
            </w:pPr>
            <w:r>
              <w:rPr>
                <w:b/>
                <w:spacing w:val="-2"/>
                <w:sz w:val="21"/>
              </w:rPr>
              <w:t>100.00</w:t>
            </w:r>
          </w:p>
        </w:tc>
      </w:tr>
      <w:tr w14:paraId="147C9B88" w14:textId="77777777">
        <w:tblPrEx>
          <w:tblW w:w="0" w:type="auto"/>
          <w:tblInd w:w="664" w:type="dxa"/>
          <w:tblLayout w:type="fixed"/>
          <w:tblCellMar>
            <w:left w:w="0" w:type="dxa"/>
            <w:right w:w="0" w:type="dxa"/>
          </w:tblCellMar>
          <w:tblLook w:val="01E0"/>
        </w:tblPrEx>
        <w:trPr>
          <w:trHeight w:val="286"/>
        </w:trPr>
        <w:tc>
          <w:tcPr>
            <w:tcW w:w="2293" w:type="dxa"/>
          </w:tcPr>
          <w:p w:rsidR="003F5784" w14:paraId="36CFEB9E" w14:textId="77777777">
            <w:pPr>
              <w:pStyle w:val="TableParagraph"/>
              <w:spacing w:before="0"/>
              <w:jc w:val="left"/>
              <w:rPr>
                <w:sz w:val="20"/>
              </w:rPr>
            </w:pPr>
          </w:p>
        </w:tc>
        <w:tc>
          <w:tcPr>
            <w:tcW w:w="4436" w:type="dxa"/>
          </w:tcPr>
          <w:p w:rsidR="003F5784" w14:paraId="618EEF61" w14:textId="77777777">
            <w:pPr>
              <w:pStyle w:val="TableParagraph"/>
              <w:ind w:left="807"/>
              <w:jc w:val="left"/>
              <w:rPr>
                <w:sz w:val="21"/>
              </w:rPr>
            </w:pPr>
            <w:r>
              <w:rPr>
                <w:spacing w:val="-2"/>
                <w:sz w:val="21"/>
              </w:rPr>
              <w:t>Eligible</w:t>
            </w:r>
          </w:p>
        </w:tc>
        <w:tc>
          <w:tcPr>
            <w:tcW w:w="4671" w:type="dxa"/>
          </w:tcPr>
          <w:p w:rsidR="003F5784" w14:paraId="4382340E" w14:textId="77777777">
            <w:pPr>
              <w:pStyle w:val="TableParagraph"/>
              <w:ind w:right="1526"/>
              <w:rPr>
                <w:sz w:val="21"/>
              </w:rPr>
            </w:pPr>
            <w:r>
              <w:rPr>
                <w:spacing w:val="-5"/>
                <w:sz w:val="21"/>
              </w:rPr>
              <w:t>87</w:t>
            </w:r>
          </w:p>
        </w:tc>
        <w:tc>
          <w:tcPr>
            <w:tcW w:w="2219" w:type="dxa"/>
          </w:tcPr>
          <w:p w:rsidR="003F5784" w14:paraId="7513D26D" w14:textId="77777777">
            <w:pPr>
              <w:pStyle w:val="TableParagraph"/>
              <w:ind w:right="114"/>
              <w:rPr>
                <w:sz w:val="21"/>
              </w:rPr>
            </w:pPr>
            <w:r>
              <w:rPr>
                <w:spacing w:val="-2"/>
                <w:sz w:val="21"/>
              </w:rPr>
              <w:t>71.90</w:t>
            </w:r>
          </w:p>
        </w:tc>
      </w:tr>
      <w:tr w14:paraId="72E93ADC" w14:textId="77777777">
        <w:tblPrEx>
          <w:tblW w:w="0" w:type="auto"/>
          <w:tblInd w:w="664" w:type="dxa"/>
          <w:tblLayout w:type="fixed"/>
          <w:tblCellMar>
            <w:left w:w="0" w:type="dxa"/>
            <w:right w:w="0" w:type="dxa"/>
          </w:tblCellMar>
          <w:tblLook w:val="01E0"/>
        </w:tblPrEx>
        <w:trPr>
          <w:trHeight w:val="288"/>
        </w:trPr>
        <w:tc>
          <w:tcPr>
            <w:tcW w:w="2293" w:type="dxa"/>
            <w:tcBorders>
              <w:bottom w:val="single" w:sz="18" w:space="0" w:color="800000"/>
            </w:tcBorders>
          </w:tcPr>
          <w:p w:rsidR="003F5784" w14:paraId="0B6774AB" w14:textId="77777777">
            <w:pPr>
              <w:pStyle w:val="TableParagraph"/>
              <w:spacing w:before="0"/>
              <w:jc w:val="left"/>
              <w:rPr>
                <w:sz w:val="20"/>
              </w:rPr>
            </w:pPr>
          </w:p>
        </w:tc>
        <w:tc>
          <w:tcPr>
            <w:tcW w:w="4436" w:type="dxa"/>
            <w:tcBorders>
              <w:bottom w:val="single" w:sz="18" w:space="0" w:color="800000"/>
            </w:tcBorders>
          </w:tcPr>
          <w:p w:rsidR="003F5784" w14:paraId="1AF389CF" w14:textId="77777777">
            <w:pPr>
              <w:pStyle w:val="TableParagraph"/>
              <w:ind w:left="807"/>
              <w:jc w:val="left"/>
              <w:rPr>
                <w:sz w:val="21"/>
              </w:rPr>
            </w:pPr>
            <w:r>
              <w:rPr>
                <w:spacing w:val="-2"/>
                <w:sz w:val="21"/>
              </w:rPr>
              <w:t>Ineligible</w:t>
            </w:r>
          </w:p>
        </w:tc>
        <w:tc>
          <w:tcPr>
            <w:tcW w:w="4671" w:type="dxa"/>
            <w:tcBorders>
              <w:bottom w:val="single" w:sz="18" w:space="0" w:color="800000"/>
            </w:tcBorders>
          </w:tcPr>
          <w:p w:rsidR="003F5784" w14:paraId="0BFA7AD5" w14:textId="77777777">
            <w:pPr>
              <w:pStyle w:val="TableParagraph"/>
              <w:ind w:right="1526"/>
              <w:rPr>
                <w:sz w:val="21"/>
              </w:rPr>
            </w:pPr>
            <w:r>
              <w:rPr>
                <w:spacing w:val="-5"/>
                <w:sz w:val="21"/>
              </w:rPr>
              <w:t>34</w:t>
            </w:r>
          </w:p>
        </w:tc>
        <w:tc>
          <w:tcPr>
            <w:tcW w:w="2219" w:type="dxa"/>
            <w:tcBorders>
              <w:bottom w:val="single" w:sz="18" w:space="0" w:color="800000"/>
            </w:tcBorders>
          </w:tcPr>
          <w:p w:rsidR="003F5784" w14:paraId="2346EC70" w14:textId="77777777">
            <w:pPr>
              <w:pStyle w:val="TableParagraph"/>
              <w:ind w:right="114"/>
              <w:rPr>
                <w:sz w:val="21"/>
              </w:rPr>
            </w:pPr>
            <w:r>
              <w:rPr>
                <w:spacing w:val="-2"/>
                <w:sz w:val="21"/>
              </w:rPr>
              <w:t>28.10</w:t>
            </w:r>
          </w:p>
        </w:tc>
      </w:tr>
    </w:tbl>
    <w:p w:rsidR="003F5784" w14:paraId="7883F045" w14:textId="77777777">
      <w:pPr>
        <w:pStyle w:val="BodyText"/>
        <w:spacing w:before="2" w:line="232" w:lineRule="auto"/>
        <w:ind w:left="775" w:right="1003"/>
      </w:pPr>
      <w:r>
        <w:t>NOTE:</w:t>
      </w:r>
      <w:r>
        <w:rPr>
          <w:spacing w:val="-10"/>
        </w:rPr>
        <w:t xml:space="preserve"> </w:t>
      </w:r>
      <w:r>
        <w:t>Total</w:t>
      </w:r>
      <w:r>
        <w:rPr>
          <w:spacing w:val="-6"/>
        </w:rPr>
        <w:t xml:space="preserve"> </w:t>
      </w:r>
      <w:r>
        <w:t>and</w:t>
      </w:r>
      <w:r>
        <w:rPr>
          <w:spacing w:val="-6"/>
        </w:rPr>
        <w:t xml:space="preserve"> </w:t>
      </w:r>
      <w:r>
        <w:t>eligible</w:t>
      </w:r>
      <w:r>
        <w:rPr>
          <w:spacing w:val="-6"/>
        </w:rPr>
        <w:t xml:space="preserve"> </w:t>
      </w:r>
      <w:r>
        <w:t>school</w:t>
      </w:r>
      <w:r>
        <w:rPr>
          <w:spacing w:val="-6"/>
        </w:rPr>
        <w:t xml:space="preserve"> </w:t>
      </w:r>
      <w:r>
        <w:t>counts</w:t>
      </w:r>
      <w:r>
        <w:rPr>
          <w:spacing w:val="-6"/>
        </w:rPr>
        <w:t xml:space="preserve"> </w:t>
      </w:r>
      <w:r>
        <w:t>are</w:t>
      </w:r>
      <w:r>
        <w:rPr>
          <w:spacing w:val="-6"/>
        </w:rPr>
        <w:t xml:space="preserve"> </w:t>
      </w:r>
      <w:r>
        <w:t>rounded</w:t>
      </w:r>
      <w:r>
        <w:rPr>
          <w:spacing w:val="-6"/>
        </w:rPr>
        <w:t xml:space="preserve"> </w:t>
      </w:r>
      <w:r>
        <w:t>to</w:t>
      </w:r>
      <w:r>
        <w:rPr>
          <w:spacing w:val="-6"/>
        </w:rPr>
        <w:t xml:space="preserve"> </w:t>
      </w:r>
      <w:r>
        <w:t>nearest</w:t>
      </w:r>
      <w:r>
        <w:rPr>
          <w:spacing w:val="-6"/>
        </w:rPr>
        <w:t xml:space="preserve"> </w:t>
      </w:r>
      <w:r>
        <w:t>ten.</w:t>
      </w:r>
      <w:r>
        <w:rPr>
          <w:spacing w:val="-6"/>
        </w:rPr>
        <w:t xml:space="preserve"> </w:t>
      </w:r>
      <w:r>
        <w:t>Percentages</w:t>
      </w:r>
      <w:r>
        <w:rPr>
          <w:spacing w:val="-6"/>
        </w:rPr>
        <w:t xml:space="preserve"> </w:t>
      </w:r>
      <w:r>
        <w:t>are</w:t>
      </w:r>
      <w:r>
        <w:rPr>
          <w:spacing w:val="-6"/>
        </w:rPr>
        <w:t xml:space="preserve"> </w:t>
      </w:r>
      <w:r>
        <w:t>based</w:t>
      </w:r>
      <w:r>
        <w:rPr>
          <w:spacing w:val="-6"/>
        </w:rPr>
        <w:t xml:space="preserve"> </w:t>
      </w:r>
      <w:r>
        <w:t>on</w:t>
      </w:r>
      <w:r>
        <w:rPr>
          <w:spacing w:val="-6"/>
        </w:rPr>
        <w:t xml:space="preserve"> </w:t>
      </w:r>
      <w:r>
        <w:t>unrounded</w:t>
      </w:r>
      <w:r>
        <w:rPr>
          <w:spacing w:val="-6"/>
        </w:rPr>
        <w:t xml:space="preserve"> </w:t>
      </w:r>
      <w:r>
        <w:t>counts.</w:t>
      </w:r>
      <w:r>
        <w:rPr>
          <w:spacing w:val="-6"/>
        </w:rPr>
        <w:t xml:space="preserve"> </w:t>
      </w:r>
      <w:r>
        <w:t>Detail</w:t>
      </w:r>
      <w:r>
        <w:rPr>
          <w:spacing w:val="-6"/>
        </w:rPr>
        <w:t xml:space="preserve"> </w:t>
      </w:r>
      <w:r>
        <w:t>may</w:t>
      </w:r>
      <w:r>
        <w:rPr>
          <w:spacing w:val="-6"/>
        </w:rPr>
        <w:t xml:space="preserve"> </w:t>
      </w:r>
      <w:r>
        <w:t>not</w:t>
      </w:r>
      <w:r>
        <w:rPr>
          <w:spacing w:val="-6"/>
        </w:rPr>
        <w:t xml:space="preserve"> </w:t>
      </w:r>
      <w:r>
        <w:t>sum</w:t>
      </w:r>
      <w:r>
        <w:rPr>
          <w:spacing w:val="-6"/>
        </w:rPr>
        <w:t xml:space="preserve"> </w:t>
      </w:r>
      <w:r>
        <w:t>to</w:t>
      </w:r>
      <w:r>
        <w:rPr>
          <w:spacing w:val="-6"/>
        </w:rPr>
        <w:t xml:space="preserve"> </w:t>
      </w:r>
      <w:r>
        <w:t>total</w:t>
      </w:r>
      <w:r>
        <w:rPr>
          <w:spacing w:val="-6"/>
        </w:rPr>
        <w:t xml:space="preserve"> </w:t>
      </w:r>
      <w:r>
        <w:t>due</w:t>
      </w:r>
      <w:r>
        <w:rPr>
          <w:spacing w:val="-6"/>
        </w:rPr>
        <w:t xml:space="preserve"> </w:t>
      </w:r>
      <w:r>
        <w:t>to</w:t>
      </w:r>
      <w:r>
        <w:rPr>
          <w:spacing w:val="-6"/>
        </w:rPr>
        <w:t xml:space="preserve"> </w:t>
      </w:r>
      <w:r>
        <w:t>rounding. SOURCE: U.S. Department of Education, Institute of Education Sciences, National Center for Education Statistics, National</w:t>
      </w:r>
      <w:r>
        <w:rPr>
          <w:spacing w:val="-9"/>
        </w:rPr>
        <w:t xml:space="preserve"> </w:t>
      </w:r>
      <w:r>
        <w:t>Assessment of Educational Progress (NAEP), 2022 Long-Term Trend Assessment.</w:t>
      </w:r>
    </w:p>
    <w:p w:rsidR="003F5784" w14:paraId="78A58C10" w14:textId="77777777">
      <w:pPr>
        <w:pStyle w:val="BodyText"/>
      </w:pPr>
    </w:p>
    <w:p w:rsidR="003F5784" w14:paraId="01FB2B8A" w14:textId="77777777">
      <w:pPr>
        <w:pStyle w:val="BodyText"/>
      </w:pPr>
    </w:p>
    <w:p w:rsidR="003F5784" w14:paraId="1BC20C00" w14:textId="77777777">
      <w:pPr>
        <w:pStyle w:val="BodyText"/>
      </w:pPr>
    </w:p>
    <w:p w:rsidR="003F5784" w14:paraId="7E531EAF" w14:textId="77777777">
      <w:pPr>
        <w:pStyle w:val="BodyText"/>
      </w:pPr>
    </w:p>
    <w:p w:rsidR="003F5784" w14:paraId="55CD29BE" w14:textId="77777777">
      <w:pPr>
        <w:pStyle w:val="BodyText"/>
        <w:spacing w:before="184"/>
      </w:pPr>
    </w:p>
    <w:p w:rsidR="003F5784" w14:paraId="3AC735C4" w14:textId="77777777">
      <w:pPr>
        <w:ind w:left="4395"/>
        <w:rPr>
          <w:sz w:val="18"/>
        </w:rPr>
      </w:pPr>
      <w:hyperlink r:id="rId125">
        <w:r>
          <w:rPr>
            <w:spacing w:val="-2"/>
            <w:w w:val="105"/>
            <w:sz w:val="18"/>
          </w:rPr>
          <w:t>http://nces.ed.gov/nationsreportcard/tdw/sample_design/2022/ineligible_private_schools_for_the_2022_long_term_trend_assessment.aspx</w:t>
        </w:r>
      </w:hyperlink>
    </w:p>
    <w:p w:rsidR="003F5784" w14:paraId="07666E95" w14:textId="77777777">
      <w:pPr>
        <w:pStyle w:val="BodyText"/>
        <w:spacing w:before="1"/>
        <w:rPr>
          <w:sz w:val="16"/>
        </w:rPr>
      </w:pPr>
      <w:r>
        <w:rPr>
          <w:noProof/>
        </w:rPr>
        <mc:AlternateContent>
          <mc:Choice Requires="wps">
            <w:drawing>
              <wp:anchor distT="0" distB="0" distL="0" distR="0" simplePos="0" relativeHeight="251833344" behindDoc="1" locked="0" layoutInCell="1" allowOverlap="1">
                <wp:simplePos x="0" y="0"/>
                <wp:positionH relativeFrom="page">
                  <wp:posOffset>361937</wp:posOffset>
                </wp:positionH>
                <wp:positionV relativeFrom="paragraph">
                  <wp:posOffset>132927</wp:posOffset>
                </wp:positionV>
                <wp:extent cx="9339580" cy="8890"/>
                <wp:effectExtent l="0" t="0" r="0" b="0"/>
                <wp:wrapTopAndBottom/>
                <wp:docPr id="146" name="Graphic 14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67"/>
                              </a:lnTo>
                              <a:lnTo>
                                <a:pt x="9335110" y="8280"/>
                              </a:lnTo>
                              <a:lnTo>
                                <a:pt x="9338970" y="8280"/>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46" o:spid="_x0000_s1087" style="width:735.4pt;height:0.7pt;margin-top:10.45pt;margin-left:28.5pt;mso-position-horizontal-relative:page;mso-wrap-distance-bottom:0;mso-wrap-distance-left:0;mso-wrap-distance-right:0;mso-wrap-distance-top:0;mso-wrap-style:square;position:absolute;visibility:visible;v-text-anchor:top;z-index:-251482112" coordsize="9339580,8890" path="m9338970,12l9335110,12l8280,12,,,,8267l9335110,8280l9338970,8280l9338970,12xe" fillcolor="gray" stroked="f">
                <v:path arrowok="t"/>
                <w10:wrap type="topAndBottom"/>
              </v:shape>
            </w:pict>
          </mc:Fallback>
        </mc:AlternateContent>
      </w:r>
    </w:p>
    <w:p w:rsidR="003F5784" w14:paraId="7FACFD74" w14:textId="77777777">
      <w:pPr>
        <w:pStyle w:val="BodyText"/>
        <w:rPr>
          <w:sz w:val="18"/>
        </w:rPr>
      </w:pPr>
    </w:p>
    <w:p w:rsidR="003F5784" w14:paraId="2A84353E" w14:textId="77777777">
      <w:pPr>
        <w:pStyle w:val="BodyText"/>
        <w:spacing w:before="193"/>
        <w:rPr>
          <w:sz w:val="18"/>
        </w:rPr>
      </w:pPr>
    </w:p>
    <w:p w:rsidR="003F5784" w14:paraId="2CFB46CB" w14:textId="77777777">
      <w:pPr>
        <w:pStyle w:val="Heading1"/>
        <w:spacing w:line="244" w:lineRule="auto"/>
        <w:ind w:right="1085"/>
      </w:pPr>
      <w:r>
        <w:t>NAEP</w:t>
      </w:r>
      <w:r>
        <w:rPr>
          <w:spacing w:val="-17"/>
        </w:rPr>
        <w:t xml:space="preserve"> </w:t>
      </w:r>
      <w:r>
        <w:t>Technical Documentation Sampling Frame for the 2022 Private School Long-Term Trend Assessment</w:t>
      </w:r>
    </w:p>
    <w:p w:rsidR="003F5784" w14:paraId="3ED7A739" w14:textId="77777777">
      <w:pPr>
        <w:pStyle w:val="BodyText"/>
        <w:spacing w:before="7"/>
        <w:rPr>
          <w:b/>
          <w:sz w:val="16"/>
        </w:rPr>
      </w:pPr>
    </w:p>
    <w:p w:rsidR="003F5784" w14:paraId="72370880" w14:textId="77777777">
      <w:pPr>
        <w:rPr>
          <w:sz w:val="16"/>
        </w:rPr>
        <w:sectPr>
          <w:pgSz w:w="15840" w:h="12240" w:orient="landscape"/>
          <w:pgMar w:top="480" w:right="440" w:bottom="460" w:left="460" w:header="284" w:footer="275" w:gutter="0"/>
          <w:cols w:space="720"/>
        </w:sectPr>
      </w:pPr>
    </w:p>
    <w:p w:rsidR="003F5784" w14:paraId="444E0BB0" w14:textId="77777777">
      <w:pPr>
        <w:pStyle w:val="BodyText"/>
        <w:spacing w:before="96" w:line="232" w:lineRule="auto"/>
        <w:ind w:left="109"/>
      </w:pPr>
      <w:r>
        <w:t xml:space="preserve">The primary sampling frame for private schools was developed from the </w:t>
      </w:r>
      <w:r>
        <w:rPr>
          <w:color w:val="0066CC"/>
        </w:rPr>
        <w:t xml:space="preserve">Private School Universe Survey (PSS) </w:t>
      </w:r>
      <w:r>
        <w:t>corresponding to the 2019– 2020 school year.</w:t>
      </w:r>
      <w:r>
        <w:rPr>
          <w:spacing w:val="-3"/>
        </w:rPr>
        <w:t xml:space="preserve"> </w:t>
      </w:r>
      <w:r>
        <w:t>The PSS file is the Department of Education’s primary database of elementary and secondary private schools in the 50 states and</w:t>
      </w:r>
      <w:r>
        <w:rPr>
          <w:spacing w:val="-6"/>
        </w:rPr>
        <w:t xml:space="preserve"> </w:t>
      </w:r>
      <w:r>
        <w:t>the</w:t>
      </w:r>
      <w:r>
        <w:rPr>
          <w:spacing w:val="-6"/>
        </w:rPr>
        <w:t xml:space="preserve"> </w:t>
      </w:r>
      <w:r>
        <w:t>District</w:t>
      </w:r>
      <w:r>
        <w:rPr>
          <w:spacing w:val="-6"/>
        </w:rPr>
        <w:t xml:space="preserve"> </w:t>
      </w:r>
      <w:r>
        <w:t>of</w:t>
      </w:r>
      <w:r>
        <w:rPr>
          <w:spacing w:val="-6"/>
        </w:rPr>
        <w:t xml:space="preserve"> </w:t>
      </w:r>
      <w:r>
        <w:t>Columbia,</w:t>
      </w:r>
      <w:r>
        <w:rPr>
          <w:spacing w:val="-6"/>
        </w:rPr>
        <w:t xml:space="preserve"> </w:t>
      </w:r>
      <w:r>
        <w:t>and</w:t>
      </w:r>
      <w:r>
        <w:rPr>
          <w:spacing w:val="-6"/>
        </w:rPr>
        <w:t xml:space="preserve"> </w:t>
      </w:r>
      <w:r>
        <w:t>it</w:t>
      </w:r>
      <w:r>
        <w:rPr>
          <w:spacing w:val="-6"/>
        </w:rPr>
        <w:t xml:space="preserve"> </w:t>
      </w:r>
      <w:r>
        <w:t>is</w:t>
      </w:r>
      <w:r>
        <w:rPr>
          <w:spacing w:val="-6"/>
        </w:rPr>
        <w:t xml:space="preserve"> </w:t>
      </w:r>
      <w:r>
        <w:t>based</w:t>
      </w:r>
      <w:r>
        <w:rPr>
          <w:spacing w:val="-6"/>
        </w:rPr>
        <w:t xml:space="preserve"> </w:t>
      </w:r>
      <w:r>
        <w:t>on</w:t>
      </w:r>
      <w:r>
        <w:rPr>
          <w:spacing w:val="-6"/>
        </w:rPr>
        <w:t xml:space="preserve"> </w:t>
      </w:r>
      <w:r>
        <w:t>a</w:t>
      </w:r>
      <w:r>
        <w:rPr>
          <w:spacing w:val="-6"/>
        </w:rPr>
        <w:t xml:space="preserve"> </w:t>
      </w:r>
      <w:r>
        <w:t>survey</w:t>
      </w:r>
      <w:r>
        <w:rPr>
          <w:spacing w:val="-6"/>
        </w:rPr>
        <w:t xml:space="preserve"> </w:t>
      </w:r>
      <w:r>
        <w:t>conducted</w:t>
      </w:r>
      <w:r>
        <w:rPr>
          <w:spacing w:val="-6"/>
        </w:rPr>
        <w:t xml:space="preserve"> </w:t>
      </w:r>
      <w:r>
        <w:t>by</w:t>
      </w:r>
      <w:r>
        <w:rPr>
          <w:spacing w:val="-6"/>
        </w:rPr>
        <w:t xml:space="preserve"> </w:t>
      </w:r>
      <w:r>
        <w:t>the</w:t>
      </w:r>
      <w:r>
        <w:rPr>
          <w:spacing w:val="-6"/>
        </w:rPr>
        <w:t xml:space="preserve"> </w:t>
      </w:r>
      <w:r>
        <w:t>U.S.</w:t>
      </w:r>
      <w:r>
        <w:rPr>
          <w:spacing w:val="-6"/>
        </w:rPr>
        <w:t xml:space="preserve"> </w:t>
      </w:r>
      <w:r>
        <w:t>Census</w:t>
      </w:r>
      <w:r>
        <w:rPr>
          <w:spacing w:val="-6"/>
        </w:rPr>
        <w:t xml:space="preserve"> </w:t>
      </w:r>
      <w:r>
        <w:t>Bureau</w:t>
      </w:r>
      <w:r>
        <w:rPr>
          <w:spacing w:val="-6"/>
        </w:rPr>
        <w:t xml:space="preserve"> </w:t>
      </w:r>
      <w:r>
        <w:t>during</w:t>
      </w:r>
      <w:r>
        <w:rPr>
          <w:spacing w:val="-6"/>
        </w:rPr>
        <w:t xml:space="preserve"> </w:t>
      </w:r>
      <w:r>
        <w:t>the</w:t>
      </w:r>
      <w:r>
        <w:rPr>
          <w:spacing w:val="-6"/>
        </w:rPr>
        <w:t xml:space="preserve"> </w:t>
      </w:r>
      <w:r>
        <w:t>2019–2020</w:t>
      </w:r>
      <w:r>
        <w:rPr>
          <w:spacing w:val="-6"/>
        </w:rPr>
        <w:t xml:space="preserve"> </w:t>
      </w:r>
      <w:r>
        <w:t>school</w:t>
      </w:r>
      <w:r>
        <w:rPr>
          <w:spacing w:val="-6"/>
        </w:rPr>
        <w:t xml:space="preserve"> </w:t>
      </w:r>
      <w:r>
        <w:t>year.</w:t>
      </w:r>
      <w:r>
        <w:rPr>
          <w:spacing w:val="-10"/>
        </w:rPr>
        <w:t xml:space="preserve"> </w:t>
      </w:r>
      <w:r>
        <w:t>This</w:t>
      </w:r>
      <w:r>
        <w:rPr>
          <w:spacing w:val="-6"/>
        </w:rPr>
        <w:t xml:space="preserve"> </w:t>
      </w:r>
      <w:r>
        <w:t>sampling frame is referred to as the PSS-based sampling frame.</w:t>
      </w:r>
    </w:p>
    <w:p w:rsidR="003F5784" w14:paraId="01233C14" w14:textId="77777777">
      <w:pPr>
        <w:pStyle w:val="BodyText"/>
        <w:spacing w:before="204"/>
        <w:ind w:left="109"/>
      </w:pPr>
      <w:r>
        <w:t>The</w:t>
      </w:r>
      <w:r>
        <w:rPr>
          <w:spacing w:val="-7"/>
        </w:rPr>
        <w:t xml:space="preserve"> </w:t>
      </w:r>
      <w:r>
        <w:t>PSS-based</w:t>
      </w:r>
      <w:r>
        <w:rPr>
          <w:spacing w:val="-6"/>
        </w:rPr>
        <w:t xml:space="preserve"> </w:t>
      </w:r>
      <w:r>
        <w:t>sampling</w:t>
      </w:r>
      <w:r>
        <w:rPr>
          <w:spacing w:val="-7"/>
        </w:rPr>
        <w:t xml:space="preserve"> </w:t>
      </w:r>
      <w:r>
        <w:t>frame</w:t>
      </w:r>
      <w:r>
        <w:rPr>
          <w:spacing w:val="-6"/>
        </w:rPr>
        <w:t xml:space="preserve"> </w:t>
      </w:r>
      <w:r>
        <w:t>was</w:t>
      </w:r>
      <w:r>
        <w:rPr>
          <w:spacing w:val="-6"/>
        </w:rPr>
        <w:t xml:space="preserve"> </w:t>
      </w:r>
      <w:r>
        <w:t>restricted</w:t>
      </w:r>
      <w:r>
        <w:rPr>
          <w:spacing w:val="-6"/>
        </w:rPr>
        <w:t xml:space="preserve"> </w:t>
      </w:r>
      <w:r>
        <w:t>to</w:t>
      </w:r>
      <w:r>
        <w:rPr>
          <w:spacing w:val="-7"/>
        </w:rPr>
        <w:t xml:space="preserve"> </w:t>
      </w:r>
      <w:r>
        <w:t>schools</w:t>
      </w:r>
      <w:r>
        <w:rPr>
          <w:spacing w:val="-6"/>
        </w:rPr>
        <w:t xml:space="preserve"> </w:t>
      </w:r>
      <w:r>
        <w:t>located</w:t>
      </w:r>
      <w:r>
        <w:rPr>
          <w:spacing w:val="-6"/>
        </w:rPr>
        <w:t xml:space="preserve"> </w:t>
      </w:r>
      <w:r>
        <w:t>in</w:t>
      </w:r>
      <w:r>
        <w:rPr>
          <w:spacing w:val="-6"/>
        </w:rPr>
        <w:t xml:space="preserve"> </w:t>
      </w:r>
      <w:r>
        <w:t>the</w:t>
      </w:r>
      <w:r>
        <w:rPr>
          <w:spacing w:val="-7"/>
        </w:rPr>
        <w:t xml:space="preserve"> </w:t>
      </w:r>
      <w:r>
        <w:t>primary</w:t>
      </w:r>
      <w:r>
        <w:rPr>
          <w:spacing w:val="-6"/>
        </w:rPr>
        <w:t xml:space="preserve"> </w:t>
      </w:r>
      <w:r>
        <w:t>sampling</w:t>
      </w:r>
      <w:r>
        <w:rPr>
          <w:spacing w:val="-6"/>
        </w:rPr>
        <w:t xml:space="preserve"> </w:t>
      </w:r>
      <w:r>
        <w:t>units</w:t>
      </w:r>
      <w:r>
        <w:rPr>
          <w:spacing w:val="-7"/>
        </w:rPr>
        <w:t xml:space="preserve"> </w:t>
      </w:r>
      <w:r>
        <w:t>(PSUs)</w:t>
      </w:r>
      <w:r>
        <w:rPr>
          <w:spacing w:val="-6"/>
        </w:rPr>
        <w:t xml:space="preserve"> </w:t>
      </w:r>
      <w:r>
        <w:t>selected</w:t>
      </w:r>
      <w:r>
        <w:rPr>
          <w:spacing w:val="-6"/>
        </w:rPr>
        <w:t xml:space="preserve"> </w:t>
      </w:r>
      <w:r>
        <w:t>for</w:t>
      </w:r>
      <w:r>
        <w:rPr>
          <w:spacing w:val="-6"/>
        </w:rPr>
        <w:t xml:space="preserve"> </w:t>
      </w:r>
      <w:r>
        <w:t>the</w:t>
      </w:r>
      <w:r>
        <w:rPr>
          <w:spacing w:val="-7"/>
        </w:rPr>
        <w:t xml:space="preserve"> </w:t>
      </w:r>
      <w:r>
        <w:t>NAEP</w:t>
      </w:r>
      <w:r>
        <w:rPr>
          <w:spacing w:val="-13"/>
        </w:rPr>
        <w:t xml:space="preserve"> </w:t>
      </w:r>
      <w:r>
        <w:t>2022</w:t>
      </w:r>
      <w:r>
        <w:rPr>
          <w:spacing w:val="-6"/>
        </w:rPr>
        <w:t xml:space="preserve"> </w:t>
      </w:r>
      <w:r>
        <w:t>long-</w:t>
      </w:r>
      <w:r>
        <w:rPr>
          <w:spacing w:val="-4"/>
        </w:rPr>
        <w:t>term</w:t>
      </w:r>
    </w:p>
    <w:p w:rsidR="003F5784" w14:paraId="3FC47646" w14:textId="77777777">
      <w:pPr>
        <w:pStyle w:val="BodyText"/>
        <w:spacing w:before="181"/>
        <w:ind w:left="109"/>
      </w:pPr>
      <w:r>
        <w:br w:type="column"/>
        <w:t>Age</w:t>
      </w:r>
      <w:r>
        <w:rPr>
          <w:spacing w:val="-8"/>
        </w:rPr>
        <w:t xml:space="preserve"> </w:t>
      </w:r>
      <w:r>
        <w:t>Distribution</w:t>
      </w:r>
      <w:r>
        <w:rPr>
          <w:spacing w:val="-8"/>
        </w:rPr>
        <w:t xml:space="preserve"> </w:t>
      </w:r>
      <w:r>
        <w:rPr>
          <w:spacing w:val="-2"/>
        </w:rPr>
        <w:t>Fractions</w:t>
      </w:r>
    </w:p>
    <w:p w:rsidR="003F5784" w14:paraId="6EFA3F4F" w14:textId="77777777">
      <w:pPr>
        <w:pStyle w:val="BodyText"/>
        <w:spacing w:before="208" w:line="232" w:lineRule="auto"/>
        <w:ind w:left="109" w:right="551"/>
      </w:pPr>
      <w:r>
        <w:rPr>
          <w:spacing w:val="-2"/>
        </w:rPr>
        <w:t>New-School</w:t>
      </w:r>
      <w:r>
        <w:rPr>
          <w:spacing w:val="-12"/>
        </w:rPr>
        <w:t xml:space="preserve"> </w:t>
      </w:r>
      <w:r>
        <w:rPr>
          <w:spacing w:val="-2"/>
        </w:rPr>
        <w:t>Sampling Frame</w:t>
      </w:r>
    </w:p>
    <w:p w:rsidR="003F5784" w14:paraId="115BA3E0" w14:textId="77777777">
      <w:pPr>
        <w:spacing w:line="232" w:lineRule="auto"/>
        <w:sectPr>
          <w:type w:val="continuous"/>
          <w:pgSz w:w="15840" w:h="12240" w:orient="landscape"/>
          <w:pgMar w:top="480" w:right="440" w:bottom="460" w:left="460" w:header="284" w:footer="275" w:gutter="0"/>
          <w:cols w:num="2" w:space="720" w:equalWidth="0">
            <w:col w:w="12228" w:space="155"/>
            <w:col w:w="2557"/>
          </w:cols>
        </w:sectPr>
      </w:pPr>
    </w:p>
    <w:p w:rsidR="003F5784" w14:paraId="03AA8AB1" w14:textId="77777777">
      <w:pPr>
        <w:pStyle w:val="BodyText"/>
        <w:spacing w:line="232" w:lineRule="auto"/>
        <w:ind w:left="109" w:right="179"/>
      </w:pPr>
      <w:r>
        <w:t>trend (LTT) assessment. In addition, the sampling frame excluded ungraded schools, vocational schools with no enrollment, special-education-only schools, homeschool entities,</w:t>
      </w:r>
      <w:r>
        <w:rPr>
          <w:spacing w:val="-8"/>
        </w:rPr>
        <w:t xml:space="preserve"> </w:t>
      </w:r>
      <w:r>
        <w:t>prison</w:t>
      </w:r>
      <w:r>
        <w:rPr>
          <w:spacing w:val="-8"/>
        </w:rPr>
        <w:t xml:space="preserve"> </w:t>
      </w:r>
      <w:r>
        <w:t>and</w:t>
      </w:r>
      <w:r>
        <w:rPr>
          <w:spacing w:val="-8"/>
        </w:rPr>
        <w:t xml:space="preserve"> </w:t>
      </w:r>
      <w:r>
        <w:t>hospital</w:t>
      </w:r>
      <w:r>
        <w:rPr>
          <w:spacing w:val="-8"/>
        </w:rPr>
        <w:t xml:space="preserve"> </w:t>
      </w:r>
      <w:r>
        <w:t>schools,</w:t>
      </w:r>
      <w:r>
        <w:rPr>
          <w:spacing w:val="-8"/>
        </w:rPr>
        <w:t xml:space="preserve"> </w:t>
      </w:r>
      <w:r>
        <w:t>and</w:t>
      </w:r>
      <w:r>
        <w:rPr>
          <w:spacing w:val="-8"/>
        </w:rPr>
        <w:t xml:space="preserve"> </w:t>
      </w:r>
      <w:r>
        <w:t>juvenile</w:t>
      </w:r>
      <w:r>
        <w:rPr>
          <w:spacing w:val="-8"/>
        </w:rPr>
        <w:t xml:space="preserve"> </w:t>
      </w:r>
      <w:r>
        <w:t>correctional</w:t>
      </w:r>
      <w:r>
        <w:rPr>
          <w:spacing w:val="-8"/>
        </w:rPr>
        <w:t xml:space="preserve"> </w:t>
      </w:r>
      <w:r>
        <w:t>institutions.</w:t>
      </w:r>
      <w:r>
        <w:rPr>
          <w:spacing w:val="-11"/>
        </w:rPr>
        <w:t xml:space="preserve"> </w:t>
      </w:r>
      <w:r>
        <w:t>Vocational</w:t>
      </w:r>
      <w:r>
        <w:rPr>
          <w:spacing w:val="-8"/>
        </w:rPr>
        <w:t xml:space="preserve"> </w:t>
      </w:r>
      <w:r>
        <w:t>schools</w:t>
      </w:r>
      <w:r>
        <w:rPr>
          <w:spacing w:val="-8"/>
        </w:rPr>
        <w:t xml:space="preserve"> </w:t>
      </w:r>
      <w:r>
        <w:t>with</w:t>
      </w:r>
      <w:r>
        <w:rPr>
          <w:spacing w:val="-8"/>
        </w:rPr>
        <w:t xml:space="preserve"> </w:t>
      </w:r>
      <w:r>
        <w:t>no</w:t>
      </w:r>
      <w:r>
        <w:rPr>
          <w:spacing w:val="-8"/>
        </w:rPr>
        <w:t xml:space="preserve"> </w:t>
      </w:r>
      <w:r>
        <w:t>enrollment</w:t>
      </w:r>
      <w:r>
        <w:rPr>
          <w:spacing w:val="-8"/>
        </w:rPr>
        <w:t xml:space="preserve"> </w:t>
      </w:r>
      <w:r>
        <w:t>serve</w:t>
      </w:r>
      <w:r>
        <w:rPr>
          <w:spacing w:val="-8"/>
        </w:rPr>
        <w:t xml:space="preserve"> </w:t>
      </w:r>
      <w:r>
        <w:t>students</w:t>
      </w:r>
      <w:r>
        <w:rPr>
          <w:spacing w:val="-8"/>
        </w:rPr>
        <w:t xml:space="preserve"> </w:t>
      </w:r>
      <w:r>
        <w:t>who</w:t>
      </w:r>
      <w:r>
        <w:rPr>
          <w:spacing w:val="-8"/>
        </w:rPr>
        <w:t xml:space="preserve"> </w:t>
      </w:r>
      <w:r>
        <w:t>split</w:t>
      </w:r>
      <w:r>
        <w:rPr>
          <w:spacing w:val="-8"/>
        </w:rPr>
        <w:t xml:space="preserve"> </w:t>
      </w:r>
      <w:r>
        <w:t>their</w:t>
      </w:r>
      <w:r>
        <w:rPr>
          <w:spacing w:val="-8"/>
        </w:rPr>
        <w:t xml:space="preserve"> </w:t>
      </w:r>
      <w:r>
        <w:t>time</w:t>
      </w:r>
      <w:r>
        <w:rPr>
          <w:spacing w:val="-8"/>
        </w:rPr>
        <w:t xml:space="preserve"> </w:t>
      </w:r>
      <w:r>
        <w:t>between</w:t>
      </w:r>
      <w:r>
        <w:rPr>
          <w:spacing w:val="-8"/>
        </w:rPr>
        <w:t xml:space="preserve"> </w:t>
      </w:r>
      <w:r>
        <w:t>the</w:t>
      </w:r>
      <w:r>
        <w:rPr>
          <w:spacing w:val="-8"/>
        </w:rPr>
        <w:t xml:space="preserve"> </w:t>
      </w:r>
      <w:r>
        <w:t>vocational school and their home school.</w:t>
      </w:r>
    </w:p>
    <w:p w:rsidR="003F5784" w14:paraId="40975243" w14:textId="77777777">
      <w:pPr>
        <w:pStyle w:val="BodyText"/>
        <w:spacing w:before="209" w:line="232" w:lineRule="auto"/>
        <w:ind w:left="109"/>
      </w:pPr>
      <w:r>
        <w:t>The following table presents the number of schools and estimated enrollment for the PSS-based sampling frame by age population.</w:t>
      </w:r>
      <w:r>
        <w:rPr>
          <w:spacing w:val="-3"/>
        </w:rPr>
        <w:t xml:space="preserve"> </w:t>
      </w:r>
      <w:r>
        <w:t>The unweighted estimated enrollment is restricted</w:t>
      </w:r>
      <w:r>
        <w:rPr>
          <w:spacing w:val="-6"/>
        </w:rPr>
        <w:t xml:space="preserve"> </w:t>
      </w:r>
      <w:r>
        <w:t>to</w:t>
      </w:r>
      <w:r>
        <w:rPr>
          <w:spacing w:val="-6"/>
        </w:rPr>
        <w:t xml:space="preserve"> </w:t>
      </w:r>
      <w:r>
        <w:t>the</w:t>
      </w:r>
      <w:r>
        <w:rPr>
          <w:spacing w:val="-6"/>
        </w:rPr>
        <w:t xml:space="preserve"> </w:t>
      </w:r>
      <w:r>
        <w:t>selected</w:t>
      </w:r>
      <w:r>
        <w:rPr>
          <w:spacing w:val="-6"/>
        </w:rPr>
        <w:t xml:space="preserve"> </w:t>
      </w:r>
      <w:r>
        <w:t>PSUs.</w:t>
      </w:r>
      <w:r>
        <w:rPr>
          <w:spacing w:val="-10"/>
        </w:rPr>
        <w:t xml:space="preserve"> </w:t>
      </w:r>
      <w:r>
        <w:t>The</w:t>
      </w:r>
      <w:r>
        <w:rPr>
          <w:spacing w:val="-6"/>
        </w:rPr>
        <w:t xml:space="preserve"> </w:t>
      </w:r>
      <w:r>
        <w:t>weighted</w:t>
      </w:r>
      <w:r>
        <w:rPr>
          <w:spacing w:val="-6"/>
        </w:rPr>
        <w:t xml:space="preserve"> </w:t>
      </w:r>
      <w:r>
        <w:t>estimated</w:t>
      </w:r>
      <w:r>
        <w:rPr>
          <w:spacing w:val="-6"/>
        </w:rPr>
        <w:t xml:space="preserve"> </w:t>
      </w:r>
      <w:r>
        <w:t>enrollment</w:t>
      </w:r>
      <w:r>
        <w:rPr>
          <w:spacing w:val="-6"/>
        </w:rPr>
        <w:t xml:space="preserve"> </w:t>
      </w:r>
      <w:r>
        <w:t>incorporates</w:t>
      </w:r>
      <w:r>
        <w:rPr>
          <w:spacing w:val="-6"/>
        </w:rPr>
        <w:t xml:space="preserve"> </w:t>
      </w:r>
      <w:r>
        <w:t>the</w:t>
      </w:r>
      <w:r>
        <w:rPr>
          <w:spacing w:val="-6"/>
        </w:rPr>
        <w:t xml:space="preserve"> </w:t>
      </w:r>
      <w:r>
        <w:t>PSU</w:t>
      </w:r>
      <w:r>
        <w:rPr>
          <w:spacing w:val="-6"/>
        </w:rPr>
        <w:t xml:space="preserve"> </w:t>
      </w:r>
      <w:r>
        <w:t>weight</w:t>
      </w:r>
      <w:r>
        <w:rPr>
          <w:spacing w:val="-6"/>
        </w:rPr>
        <w:t xml:space="preserve"> </w:t>
      </w:r>
      <w:r>
        <w:t>(inverse</w:t>
      </w:r>
      <w:r>
        <w:rPr>
          <w:spacing w:val="-6"/>
        </w:rPr>
        <w:t xml:space="preserve"> </w:t>
      </w:r>
      <w:r>
        <w:t>of</w:t>
      </w:r>
      <w:r>
        <w:rPr>
          <w:spacing w:val="-6"/>
        </w:rPr>
        <w:t xml:space="preserve"> </w:t>
      </w:r>
      <w:r>
        <w:t>the</w:t>
      </w:r>
      <w:r>
        <w:rPr>
          <w:spacing w:val="-6"/>
        </w:rPr>
        <w:t xml:space="preserve"> </w:t>
      </w:r>
      <w:r>
        <w:t>probability</w:t>
      </w:r>
      <w:r>
        <w:rPr>
          <w:spacing w:val="-6"/>
        </w:rPr>
        <w:t xml:space="preserve"> </w:t>
      </w:r>
      <w:r>
        <w:t>of</w:t>
      </w:r>
      <w:r>
        <w:rPr>
          <w:spacing w:val="-6"/>
        </w:rPr>
        <w:t xml:space="preserve"> </w:t>
      </w:r>
      <w:r>
        <w:t>selecting</w:t>
      </w:r>
      <w:r>
        <w:rPr>
          <w:spacing w:val="-6"/>
        </w:rPr>
        <w:t xml:space="preserve"> </w:t>
      </w:r>
      <w:r>
        <w:t>the</w:t>
      </w:r>
      <w:r>
        <w:rPr>
          <w:spacing w:val="-6"/>
        </w:rPr>
        <w:t xml:space="preserve"> </w:t>
      </w:r>
      <w:r>
        <w:t>PSU)</w:t>
      </w:r>
      <w:r>
        <w:rPr>
          <w:spacing w:val="-6"/>
        </w:rPr>
        <w:t xml:space="preserve"> </w:t>
      </w:r>
      <w:r>
        <w:t>and</w:t>
      </w:r>
      <w:r>
        <w:rPr>
          <w:spacing w:val="-6"/>
        </w:rPr>
        <w:t xml:space="preserve"> </w:t>
      </w:r>
      <w:r>
        <w:t>the</w:t>
      </w:r>
      <w:r>
        <w:rPr>
          <w:spacing w:val="-6"/>
        </w:rPr>
        <w:t xml:space="preserve"> </w:t>
      </w:r>
      <w:r>
        <w:t>estimated</w:t>
      </w:r>
      <w:r>
        <w:rPr>
          <w:spacing w:val="-6"/>
        </w:rPr>
        <w:t xml:space="preserve"> </w:t>
      </w:r>
      <w:r>
        <w:t>age-eligible enrollment, and thus is a national estimate of the number of private school students in the age population.</w:t>
      </w:r>
      <w:r>
        <w:rPr>
          <w:spacing w:val="-3"/>
        </w:rPr>
        <w:t xml:space="preserve"> </w:t>
      </w:r>
      <w:r>
        <w:t>The age-eligible enrollment was estimated using age distribution fractions (see link above right) derived by grade for each age population.</w:t>
      </w:r>
    </w:p>
    <w:p w:rsidR="003F5784" w14:paraId="083BA365" w14:textId="77777777">
      <w:pPr>
        <w:pStyle w:val="BodyText"/>
      </w:pPr>
    </w:p>
    <w:p w:rsidR="003F5784" w14:paraId="72F7FF01" w14:textId="77777777">
      <w:pPr>
        <w:pStyle w:val="BodyText"/>
        <w:spacing w:before="85"/>
      </w:pPr>
    </w:p>
    <w:p w:rsidR="003F5784" w14:paraId="2EFEB4BD" w14:textId="77777777">
      <w:pPr>
        <w:pStyle w:val="Heading2"/>
        <w:spacing w:before="1"/>
      </w:pPr>
      <w:r>
        <w:t>Number</w:t>
      </w:r>
      <w:r>
        <w:rPr>
          <w:spacing w:val="-11"/>
        </w:rPr>
        <w:t xml:space="preserve"> </w:t>
      </w:r>
      <w:r>
        <w:t>of</w:t>
      </w:r>
      <w:r>
        <w:rPr>
          <w:spacing w:val="-8"/>
        </w:rPr>
        <w:t xml:space="preserve"> </w:t>
      </w:r>
      <w:r>
        <w:t>schools</w:t>
      </w:r>
      <w:r>
        <w:rPr>
          <w:spacing w:val="-7"/>
        </w:rPr>
        <w:t xml:space="preserve"> </w:t>
      </w:r>
      <w:r>
        <w:t>and</w:t>
      </w:r>
      <w:r>
        <w:rPr>
          <w:spacing w:val="-7"/>
        </w:rPr>
        <w:t xml:space="preserve"> </w:t>
      </w:r>
      <w:r>
        <w:t>enrollment</w:t>
      </w:r>
      <w:r>
        <w:rPr>
          <w:spacing w:val="-8"/>
        </w:rPr>
        <w:t xml:space="preserve"> </w:t>
      </w:r>
      <w:r>
        <w:t>in</w:t>
      </w:r>
      <w:r>
        <w:rPr>
          <w:spacing w:val="-7"/>
        </w:rPr>
        <w:t xml:space="preserve"> </w:t>
      </w:r>
      <w:r>
        <w:t>private</w:t>
      </w:r>
      <w:r>
        <w:rPr>
          <w:spacing w:val="-7"/>
        </w:rPr>
        <w:t xml:space="preserve"> </w:t>
      </w:r>
      <w:r>
        <w:t>school</w:t>
      </w:r>
      <w:r>
        <w:rPr>
          <w:spacing w:val="-7"/>
        </w:rPr>
        <w:t xml:space="preserve"> </w:t>
      </w:r>
      <w:r>
        <w:t>sampling</w:t>
      </w:r>
      <w:r>
        <w:rPr>
          <w:spacing w:val="-8"/>
        </w:rPr>
        <w:t xml:space="preserve"> </w:t>
      </w:r>
      <w:r>
        <w:t>frame,</w:t>
      </w:r>
      <w:r>
        <w:rPr>
          <w:spacing w:val="-7"/>
        </w:rPr>
        <w:t xml:space="preserve"> </w:t>
      </w:r>
      <w:r>
        <w:t>long-term</w:t>
      </w:r>
      <w:r>
        <w:rPr>
          <w:spacing w:val="-7"/>
        </w:rPr>
        <w:t xml:space="preserve"> </w:t>
      </w:r>
      <w:r>
        <w:t>trend</w:t>
      </w:r>
      <w:r>
        <w:rPr>
          <w:spacing w:val="-8"/>
        </w:rPr>
        <w:t xml:space="preserve"> </w:t>
      </w:r>
      <w:r>
        <w:t>assessment,</w:t>
      </w:r>
      <w:r>
        <w:rPr>
          <w:spacing w:val="-7"/>
        </w:rPr>
        <w:t xml:space="preserve"> </w:t>
      </w:r>
      <w:r>
        <w:t>by</w:t>
      </w:r>
      <w:r>
        <w:rPr>
          <w:spacing w:val="-7"/>
        </w:rPr>
        <w:t xml:space="preserve"> </w:t>
      </w:r>
      <w:r>
        <w:t>age</w:t>
      </w:r>
      <w:r>
        <w:rPr>
          <w:spacing w:val="-8"/>
        </w:rPr>
        <w:t xml:space="preserve"> </w:t>
      </w:r>
      <w:r>
        <w:t>and</w:t>
      </w:r>
      <w:r>
        <w:rPr>
          <w:spacing w:val="-7"/>
        </w:rPr>
        <w:t xml:space="preserve"> </w:t>
      </w:r>
      <w:r>
        <w:t>affiliation:</w:t>
      </w:r>
      <w:r>
        <w:rPr>
          <w:spacing w:val="-7"/>
        </w:rPr>
        <w:t xml:space="preserve"> </w:t>
      </w:r>
      <w:r>
        <w:rPr>
          <w:spacing w:val="-4"/>
        </w:rPr>
        <w:t>2022</w:t>
      </w:r>
    </w:p>
    <w:p w:rsidR="003F5784" w14:paraId="7C68755F"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725"/>
        <w:gridCol w:w="2311"/>
        <w:gridCol w:w="3381"/>
        <w:gridCol w:w="4138"/>
        <w:gridCol w:w="3432"/>
      </w:tblGrid>
      <w:tr w14:paraId="4E996CD5" w14:textId="77777777">
        <w:tblPrEx>
          <w:tblW w:w="0" w:type="auto"/>
          <w:tblInd w:w="482" w:type="dxa"/>
          <w:tblLayout w:type="fixed"/>
          <w:tblCellMar>
            <w:left w:w="0" w:type="dxa"/>
            <w:right w:w="0" w:type="dxa"/>
          </w:tblCellMar>
          <w:tblLook w:val="01E0"/>
        </w:tblPrEx>
        <w:trPr>
          <w:trHeight w:val="267"/>
        </w:trPr>
        <w:tc>
          <w:tcPr>
            <w:tcW w:w="725" w:type="dxa"/>
            <w:tcBorders>
              <w:top w:val="single" w:sz="18" w:space="0" w:color="800000"/>
              <w:bottom w:val="single" w:sz="18" w:space="0" w:color="800000"/>
            </w:tcBorders>
          </w:tcPr>
          <w:p w:rsidR="003F5784" w14:paraId="4E6BBEFD" w14:textId="77777777">
            <w:pPr>
              <w:pStyle w:val="TableParagraph"/>
              <w:spacing w:before="9" w:line="238" w:lineRule="exact"/>
              <w:ind w:left="120"/>
              <w:jc w:val="left"/>
              <w:rPr>
                <w:sz w:val="21"/>
              </w:rPr>
            </w:pPr>
            <w:r>
              <w:rPr>
                <w:spacing w:val="-5"/>
                <w:sz w:val="21"/>
              </w:rPr>
              <w:t>Age</w:t>
            </w:r>
          </w:p>
        </w:tc>
        <w:tc>
          <w:tcPr>
            <w:tcW w:w="2311" w:type="dxa"/>
            <w:tcBorders>
              <w:top w:val="single" w:sz="18" w:space="0" w:color="800000"/>
              <w:bottom w:val="single" w:sz="18" w:space="0" w:color="800000"/>
            </w:tcBorders>
          </w:tcPr>
          <w:p w:rsidR="003F5784" w14:paraId="168AC4F5" w14:textId="77777777">
            <w:pPr>
              <w:pStyle w:val="TableParagraph"/>
              <w:spacing w:before="9" w:line="238" w:lineRule="exact"/>
              <w:ind w:left="256"/>
              <w:jc w:val="left"/>
              <w:rPr>
                <w:sz w:val="21"/>
              </w:rPr>
            </w:pPr>
            <w:r>
              <w:rPr>
                <w:spacing w:val="-2"/>
                <w:sz w:val="21"/>
              </w:rPr>
              <w:t>Affiliation</w:t>
            </w:r>
          </w:p>
        </w:tc>
        <w:tc>
          <w:tcPr>
            <w:tcW w:w="3381" w:type="dxa"/>
            <w:tcBorders>
              <w:top w:val="single" w:sz="18" w:space="0" w:color="800000"/>
              <w:bottom w:val="single" w:sz="18" w:space="0" w:color="800000"/>
            </w:tcBorders>
          </w:tcPr>
          <w:p w:rsidR="003F5784" w14:paraId="64B2A4B2" w14:textId="77777777">
            <w:pPr>
              <w:pStyle w:val="TableParagraph"/>
              <w:spacing w:before="9" w:line="238" w:lineRule="exact"/>
              <w:ind w:left="1176"/>
              <w:jc w:val="left"/>
              <w:rPr>
                <w:sz w:val="21"/>
              </w:rPr>
            </w:pPr>
            <w:r>
              <w:rPr>
                <w:sz w:val="21"/>
              </w:rPr>
              <w:t>Number</w:t>
            </w:r>
            <w:r>
              <w:rPr>
                <w:spacing w:val="-6"/>
                <w:sz w:val="21"/>
              </w:rPr>
              <w:t xml:space="preserve"> </w:t>
            </w:r>
            <w:r>
              <w:rPr>
                <w:sz w:val="21"/>
              </w:rPr>
              <w:t>of</w:t>
            </w:r>
            <w:r>
              <w:rPr>
                <w:spacing w:val="-5"/>
                <w:sz w:val="21"/>
              </w:rPr>
              <w:t xml:space="preserve"> </w:t>
            </w:r>
            <w:r>
              <w:rPr>
                <w:spacing w:val="-2"/>
                <w:sz w:val="21"/>
              </w:rPr>
              <w:t>schools</w:t>
            </w:r>
          </w:p>
        </w:tc>
        <w:tc>
          <w:tcPr>
            <w:tcW w:w="4138" w:type="dxa"/>
            <w:tcBorders>
              <w:top w:val="single" w:sz="18" w:space="0" w:color="800000"/>
              <w:bottom w:val="single" w:sz="18" w:space="0" w:color="800000"/>
            </w:tcBorders>
          </w:tcPr>
          <w:p w:rsidR="003F5784" w14:paraId="34653B9F" w14:textId="77777777">
            <w:pPr>
              <w:pStyle w:val="TableParagraph"/>
              <w:spacing w:before="9" w:line="238" w:lineRule="exact"/>
              <w:ind w:left="615"/>
              <w:jc w:val="left"/>
              <w:rPr>
                <w:sz w:val="21"/>
              </w:rPr>
            </w:pPr>
            <w:r>
              <w:rPr>
                <w:sz w:val="21"/>
              </w:rPr>
              <w:t>Estimated</w:t>
            </w:r>
            <w:r>
              <w:rPr>
                <w:spacing w:val="-10"/>
                <w:sz w:val="21"/>
              </w:rPr>
              <w:t xml:space="preserve"> </w:t>
            </w:r>
            <w:r>
              <w:rPr>
                <w:sz w:val="21"/>
              </w:rPr>
              <w:t>enrollment</w:t>
            </w:r>
            <w:r>
              <w:rPr>
                <w:spacing w:val="-10"/>
                <w:sz w:val="21"/>
              </w:rPr>
              <w:t xml:space="preserve"> </w:t>
            </w:r>
            <w:r>
              <w:rPr>
                <w:spacing w:val="-2"/>
                <w:sz w:val="21"/>
              </w:rPr>
              <w:t>(unweighted)</w:t>
            </w:r>
          </w:p>
        </w:tc>
        <w:tc>
          <w:tcPr>
            <w:tcW w:w="3432" w:type="dxa"/>
            <w:tcBorders>
              <w:top w:val="single" w:sz="18" w:space="0" w:color="800000"/>
              <w:bottom w:val="single" w:sz="18" w:space="0" w:color="800000"/>
            </w:tcBorders>
          </w:tcPr>
          <w:p w:rsidR="003F5784" w14:paraId="2AAD1F60" w14:textId="77777777">
            <w:pPr>
              <w:pStyle w:val="TableParagraph"/>
              <w:spacing w:before="9" w:line="238" w:lineRule="exact"/>
              <w:ind w:left="564"/>
              <w:jc w:val="left"/>
              <w:rPr>
                <w:sz w:val="21"/>
              </w:rPr>
            </w:pPr>
            <w:r>
              <w:rPr>
                <w:sz w:val="21"/>
              </w:rPr>
              <w:t>Estimated</w:t>
            </w:r>
            <w:r>
              <w:rPr>
                <w:spacing w:val="-10"/>
                <w:sz w:val="21"/>
              </w:rPr>
              <w:t xml:space="preserve"> </w:t>
            </w:r>
            <w:r>
              <w:rPr>
                <w:sz w:val="21"/>
              </w:rPr>
              <w:t>enrollment</w:t>
            </w:r>
            <w:r>
              <w:rPr>
                <w:spacing w:val="-10"/>
                <w:sz w:val="21"/>
              </w:rPr>
              <w:t xml:space="preserve"> </w:t>
            </w:r>
            <w:r>
              <w:rPr>
                <w:spacing w:val="-2"/>
                <w:sz w:val="21"/>
              </w:rPr>
              <w:t>(weighted)</w:t>
            </w:r>
          </w:p>
        </w:tc>
      </w:tr>
    </w:tbl>
    <w:p w:rsidR="003F5784" w14:paraId="6EF101BD" w14:textId="77777777">
      <w:pPr>
        <w:spacing w:line="238" w:lineRule="exact"/>
        <w:rPr>
          <w:sz w:val="21"/>
        </w:rPr>
        <w:sectPr>
          <w:type w:val="continuous"/>
          <w:pgSz w:w="15840" w:h="12240" w:orient="landscape"/>
          <w:pgMar w:top="480" w:right="440" w:bottom="460" w:left="460" w:header="284" w:footer="275" w:gutter="0"/>
          <w:cols w:space="720"/>
        </w:sectPr>
      </w:pPr>
    </w:p>
    <w:p w:rsidR="003F5784" w14:paraId="2EDCB21D" w14:textId="77777777">
      <w:pPr>
        <w:pStyle w:val="BodyText"/>
        <w:tabs>
          <w:tab w:val="left" w:pos="1456"/>
          <w:tab w:val="left" w:pos="4686"/>
          <w:tab w:val="left" w:pos="7507"/>
          <w:tab w:val="left" w:pos="11594"/>
        </w:tabs>
        <w:spacing w:before="98" w:after="20"/>
        <w:ind w:left="595"/>
      </w:pPr>
      <w:r>
        <w:rPr>
          <w:spacing w:val="-5"/>
        </w:rPr>
        <w:t>Age</w:t>
      </w:r>
      <w:r>
        <w:tab/>
      </w:r>
      <w:r>
        <w:rPr>
          <w:spacing w:val="-2"/>
        </w:rPr>
        <w:t>Affiliation</w:t>
      </w:r>
      <w:r>
        <w:tab/>
        <w:t>Number</w:t>
      </w:r>
      <w:r>
        <w:rPr>
          <w:spacing w:val="-6"/>
        </w:rPr>
        <w:t xml:space="preserve"> </w:t>
      </w:r>
      <w:r>
        <w:t>of</w:t>
      </w:r>
      <w:r>
        <w:rPr>
          <w:spacing w:val="-5"/>
        </w:rPr>
        <w:t xml:space="preserve"> </w:t>
      </w:r>
      <w:r>
        <w:rPr>
          <w:spacing w:val="-2"/>
        </w:rPr>
        <w:t>schools</w:t>
      </w:r>
      <w:r>
        <w:tab/>
        <w:t>Estimated</w:t>
      </w:r>
      <w:r>
        <w:rPr>
          <w:spacing w:val="-10"/>
        </w:rPr>
        <w:t xml:space="preserve"> </w:t>
      </w:r>
      <w:r>
        <w:t>enrollment</w:t>
      </w:r>
      <w:r>
        <w:rPr>
          <w:spacing w:val="-10"/>
        </w:rPr>
        <w:t xml:space="preserve"> </w:t>
      </w:r>
      <w:r>
        <w:rPr>
          <w:spacing w:val="-2"/>
        </w:rPr>
        <w:t>(unweighted)</w:t>
      </w:r>
      <w:r>
        <w:tab/>
        <w:t>Estimated</w:t>
      </w:r>
      <w:r>
        <w:rPr>
          <w:spacing w:val="-10"/>
        </w:rPr>
        <w:t xml:space="preserve"> </w:t>
      </w:r>
      <w:r>
        <w:t>enrollment</w:t>
      </w:r>
      <w:r>
        <w:rPr>
          <w:spacing w:val="-10"/>
        </w:rPr>
        <w:t xml:space="preserve"> </w:t>
      </w:r>
      <w:r>
        <w:rPr>
          <w:spacing w:val="-2"/>
        </w:rPr>
        <w:t>(weighted)</w:t>
      </w:r>
    </w:p>
    <w:tbl>
      <w:tblPr>
        <w:tblW w:w="0" w:type="auto"/>
        <w:tblInd w:w="482" w:type="dxa"/>
        <w:tblLayout w:type="fixed"/>
        <w:tblCellMar>
          <w:left w:w="0" w:type="dxa"/>
          <w:right w:w="0" w:type="dxa"/>
        </w:tblCellMar>
        <w:tblLook w:val="01E0"/>
      </w:tblPr>
      <w:tblGrid>
        <w:gridCol w:w="655"/>
        <w:gridCol w:w="3295"/>
        <w:gridCol w:w="3604"/>
        <w:gridCol w:w="4033"/>
        <w:gridCol w:w="2398"/>
      </w:tblGrid>
      <w:tr w14:paraId="405C04AA" w14:textId="77777777">
        <w:tblPrEx>
          <w:tblW w:w="0" w:type="auto"/>
          <w:tblInd w:w="482" w:type="dxa"/>
          <w:tblLayout w:type="fixed"/>
          <w:tblCellMar>
            <w:left w:w="0" w:type="dxa"/>
            <w:right w:w="0" w:type="dxa"/>
          </w:tblCellMar>
          <w:tblLook w:val="01E0"/>
        </w:tblPrEx>
        <w:trPr>
          <w:trHeight w:val="263"/>
        </w:trPr>
        <w:tc>
          <w:tcPr>
            <w:tcW w:w="655" w:type="dxa"/>
            <w:vMerge w:val="restart"/>
            <w:tcBorders>
              <w:top w:val="single" w:sz="18" w:space="0" w:color="800000"/>
              <w:bottom w:val="single" w:sz="12" w:space="0" w:color="800000"/>
            </w:tcBorders>
          </w:tcPr>
          <w:p w:rsidR="003F5784" w14:paraId="63A9BF26" w14:textId="77777777">
            <w:pPr>
              <w:pStyle w:val="TableParagraph"/>
              <w:spacing w:before="9"/>
              <w:ind w:left="120"/>
              <w:jc w:val="left"/>
              <w:rPr>
                <w:sz w:val="21"/>
              </w:rPr>
            </w:pPr>
            <w:r>
              <w:rPr>
                <w:spacing w:val="-10"/>
                <w:sz w:val="21"/>
              </w:rPr>
              <w:t>9</w:t>
            </w:r>
          </w:p>
        </w:tc>
        <w:tc>
          <w:tcPr>
            <w:tcW w:w="3295" w:type="dxa"/>
            <w:tcBorders>
              <w:top w:val="single" w:sz="18" w:space="0" w:color="800000"/>
            </w:tcBorders>
          </w:tcPr>
          <w:p w:rsidR="003F5784" w14:paraId="021712FD" w14:textId="77777777">
            <w:pPr>
              <w:pStyle w:val="TableParagraph"/>
              <w:spacing w:before="9" w:line="234" w:lineRule="exact"/>
              <w:ind w:left="576"/>
              <w:jc w:val="left"/>
              <w:rPr>
                <w:b/>
                <w:sz w:val="21"/>
              </w:rPr>
            </w:pPr>
            <w:r>
              <w:rPr>
                <w:b/>
                <w:spacing w:val="-2"/>
                <w:sz w:val="21"/>
              </w:rPr>
              <w:t>Total</w:t>
            </w:r>
          </w:p>
        </w:tc>
        <w:tc>
          <w:tcPr>
            <w:tcW w:w="3604" w:type="dxa"/>
            <w:tcBorders>
              <w:top w:val="single" w:sz="18" w:space="0" w:color="800000"/>
            </w:tcBorders>
          </w:tcPr>
          <w:p w:rsidR="003F5784" w14:paraId="4A4022E4" w14:textId="77777777">
            <w:pPr>
              <w:pStyle w:val="TableParagraph"/>
              <w:spacing w:before="9" w:line="234" w:lineRule="exact"/>
              <w:ind w:left="1275"/>
              <w:jc w:val="left"/>
              <w:rPr>
                <w:b/>
                <w:sz w:val="21"/>
              </w:rPr>
            </w:pPr>
            <w:r>
              <w:rPr>
                <w:b/>
                <w:spacing w:val="-2"/>
                <w:sz w:val="21"/>
              </w:rPr>
              <w:t>12,090</w:t>
            </w:r>
          </w:p>
        </w:tc>
        <w:tc>
          <w:tcPr>
            <w:tcW w:w="4033" w:type="dxa"/>
            <w:tcBorders>
              <w:top w:val="single" w:sz="18" w:space="0" w:color="800000"/>
            </w:tcBorders>
          </w:tcPr>
          <w:p w:rsidR="003F5784" w14:paraId="19875A67" w14:textId="77777777">
            <w:pPr>
              <w:pStyle w:val="TableParagraph"/>
              <w:spacing w:before="9" w:line="234" w:lineRule="exact"/>
              <w:ind w:right="1599"/>
              <w:rPr>
                <w:b/>
                <w:sz w:val="21"/>
              </w:rPr>
            </w:pPr>
            <w:r>
              <w:rPr>
                <w:b/>
                <w:spacing w:val="-2"/>
                <w:sz w:val="21"/>
              </w:rPr>
              <w:t>212,540</w:t>
            </w:r>
          </w:p>
        </w:tc>
        <w:tc>
          <w:tcPr>
            <w:tcW w:w="2398" w:type="dxa"/>
            <w:tcBorders>
              <w:top w:val="single" w:sz="18" w:space="0" w:color="800000"/>
            </w:tcBorders>
          </w:tcPr>
          <w:p w:rsidR="003F5784" w14:paraId="78A3D62A" w14:textId="77777777">
            <w:pPr>
              <w:pStyle w:val="TableParagraph"/>
              <w:spacing w:before="9" w:line="234" w:lineRule="exact"/>
              <w:ind w:right="118"/>
              <w:rPr>
                <w:b/>
                <w:sz w:val="21"/>
              </w:rPr>
            </w:pPr>
            <w:r>
              <w:rPr>
                <w:b/>
                <w:spacing w:val="-2"/>
                <w:sz w:val="21"/>
              </w:rPr>
              <w:t>334,060</w:t>
            </w:r>
          </w:p>
        </w:tc>
      </w:tr>
      <w:tr w14:paraId="32040DCB" w14:textId="77777777">
        <w:tblPrEx>
          <w:tblW w:w="0" w:type="auto"/>
          <w:tblInd w:w="482" w:type="dxa"/>
          <w:tblLayout w:type="fixed"/>
          <w:tblCellMar>
            <w:left w:w="0" w:type="dxa"/>
            <w:right w:w="0" w:type="dxa"/>
          </w:tblCellMar>
          <w:tblLook w:val="01E0"/>
        </w:tblPrEx>
        <w:trPr>
          <w:trHeight w:val="256"/>
        </w:trPr>
        <w:tc>
          <w:tcPr>
            <w:tcW w:w="655" w:type="dxa"/>
            <w:vMerge/>
            <w:tcBorders>
              <w:top w:val="nil"/>
              <w:bottom w:val="single" w:sz="12" w:space="0" w:color="800000"/>
            </w:tcBorders>
          </w:tcPr>
          <w:p w:rsidR="003F5784" w14:paraId="252BCDE5" w14:textId="77777777">
            <w:pPr>
              <w:rPr>
                <w:sz w:val="2"/>
                <w:szCs w:val="2"/>
              </w:rPr>
            </w:pPr>
          </w:p>
        </w:tc>
        <w:tc>
          <w:tcPr>
            <w:tcW w:w="3295" w:type="dxa"/>
          </w:tcPr>
          <w:p w:rsidR="003F5784" w14:paraId="1C867F65" w14:textId="77777777">
            <w:pPr>
              <w:pStyle w:val="TableParagraph"/>
              <w:spacing w:before="2" w:line="234" w:lineRule="exact"/>
              <w:ind w:left="326"/>
              <w:jc w:val="left"/>
              <w:rPr>
                <w:sz w:val="21"/>
              </w:rPr>
            </w:pPr>
            <w:r>
              <w:rPr>
                <w:spacing w:val="-2"/>
                <w:sz w:val="21"/>
              </w:rPr>
              <w:t>Catholic</w:t>
            </w:r>
          </w:p>
        </w:tc>
        <w:tc>
          <w:tcPr>
            <w:tcW w:w="3604" w:type="dxa"/>
          </w:tcPr>
          <w:p w:rsidR="003F5784" w14:paraId="6ED1F7D1" w14:textId="77777777">
            <w:pPr>
              <w:pStyle w:val="TableParagraph"/>
              <w:spacing w:before="2" w:line="234" w:lineRule="exact"/>
              <w:ind w:left="1379"/>
              <w:jc w:val="left"/>
              <w:rPr>
                <w:sz w:val="21"/>
              </w:rPr>
            </w:pPr>
            <w:r>
              <w:rPr>
                <w:spacing w:val="-2"/>
                <w:sz w:val="21"/>
              </w:rPr>
              <w:t>2,788</w:t>
            </w:r>
          </w:p>
        </w:tc>
        <w:tc>
          <w:tcPr>
            <w:tcW w:w="4033" w:type="dxa"/>
          </w:tcPr>
          <w:p w:rsidR="003F5784" w14:paraId="081CFAA0" w14:textId="77777777">
            <w:pPr>
              <w:pStyle w:val="TableParagraph"/>
              <w:spacing w:before="2" w:line="234" w:lineRule="exact"/>
              <w:ind w:right="1599"/>
              <w:rPr>
                <w:sz w:val="21"/>
              </w:rPr>
            </w:pPr>
            <w:r>
              <w:rPr>
                <w:spacing w:val="-2"/>
                <w:sz w:val="21"/>
              </w:rPr>
              <w:t>76,511</w:t>
            </w:r>
          </w:p>
        </w:tc>
        <w:tc>
          <w:tcPr>
            <w:tcW w:w="2398" w:type="dxa"/>
          </w:tcPr>
          <w:p w:rsidR="003F5784" w14:paraId="5AC77C9A" w14:textId="77777777">
            <w:pPr>
              <w:pStyle w:val="TableParagraph"/>
              <w:spacing w:before="2" w:line="234" w:lineRule="exact"/>
              <w:ind w:right="118"/>
              <w:rPr>
                <w:sz w:val="21"/>
              </w:rPr>
            </w:pPr>
            <w:r>
              <w:rPr>
                <w:spacing w:val="-2"/>
                <w:sz w:val="21"/>
              </w:rPr>
              <w:t>118,126</w:t>
            </w:r>
          </w:p>
        </w:tc>
      </w:tr>
      <w:tr w14:paraId="193B2631" w14:textId="77777777">
        <w:tblPrEx>
          <w:tblW w:w="0" w:type="auto"/>
          <w:tblInd w:w="482" w:type="dxa"/>
          <w:tblLayout w:type="fixed"/>
          <w:tblCellMar>
            <w:left w:w="0" w:type="dxa"/>
            <w:right w:w="0" w:type="dxa"/>
          </w:tblCellMar>
          <w:tblLook w:val="01E0"/>
        </w:tblPrEx>
        <w:trPr>
          <w:trHeight w:val="256"/>
        </w:trPr>
        <w:tc>
          <w:tcPr>
            <w:tcW w:w="655" w:type="dxa"/>
            <w:vMerge/>
            <w:tcBorders>
              <w:top w:val="nil"/>
              <w:bottom w:val="single" w:sz="12" w:space="0" w:color="800000"/>
            </w:tcBorders>
          </w:tcPr>
          <w:p w:rsidR="003F5784" w14:paraId="6091E329" w14:textId="77777777">
            <w:pPr>
              <w:rPr>
                <w:sz w:val="2"/>
                <w:szCs w:val="2"/>
              </w:rPr>
            </w:pPr>
          </w:p>
        </w:tc>
        <w:tc>
          <w:tcPr>
            <w:tcW w:w="3295" w:type="dxa"/>
          </w:tcPr>
          <w:p w:rsidR="003F5784" w14:paraId="57C4817F" w14:textId="77777777">
            <w:pPr>
              <w:pStyle w:val="TableParagraph"/>
              <w:spacing w:before="2" w:line="234" w:lineRule="exact"/>
              <w:ind w:left="326"/>
              <w:jc w:val="left"/>
              <w:rPr>
                <w:sz w:val="21"/>
              </w:rPr>
            </w:pPr>
            <w:r>
              <w:rPr>
                <w:spacing w:val="-2"/>
                <w:sz w:val="21"/>
              </w:rPr>
              <w:t>Non-Catholic</w:t>
            </w:r>
          </w:p>
        </w:tc>
        <w:tc>
          <w:tcPr>
            <w:tcW w:w="3604" w:type="dxa"/>
          </w:tcPr>
          <w:p w:rsidR="003F5784" w14:paraId="28A8CAAB" w14:textId="77777777">
            <w:pPr>
              <w:pStyle w:val="TableParagraph"/>
              <w:spacing w:before="2" w:line="234" w:lineRule="exact"/>
              <w:ind w:left="1379"/>
              <w:jc w:val="left"/>
              <w:rPr>
                <w:sz w:val="21"/>
              </w:rPr>
            </w:pPr>
            <w:r>
              <w:rPr>
                <w:spacing w:val="-2"/>
                <w:sz w:val="21"/>
              </w:rPr>
              <w:t>7,398</w:t>
            </w:r>
          </w:p>
        </w:tc>
        <w:tc>
          <w:tcPr>
            <w:tcW w:w="4033" w:type="dxa"/>
          </w:tcPr>
          <w:p w:rsidR="003F5784" w14:paraId="6E73BA51" w14:textId="77777777">
            <w:pPr>
              <w:pStyle w:val="TableParagraph"/>
              <w:spacing w:before="2" w:line="234" w:lineRule="exact"/>
              <w:ind w:right="1599"/>
              <w:rPr>
                <w:sz w:val="21"/>
              </w:rPr>
            </w:pPr>
            <w:r>
              <w:rPr>
                <w:spacing w:val="-2"/>
                <w:sz w:val="21"/>
              </w:rPr>
              <w:t>126,509</w:t>
            </w:r>
          </w:p>
        </w:tc>
        <w:tc>
          <w:tcPr>
            <w:tcW w:w="2398" w:type="dxa"/>
          </w:tcPr>
          <w:p w:rsidR="003F5784" w14:paraId="68BF981B" w14:textId="77777777">
            <w:pPr>
              <w:pStyle w:val="TableParagraph"/>
              <w:spacing w:before="2" w:line="234" w:lineRule="exact"/>
              <w:ind w:right="118"/>
              <w:rPr>
                <w:sz w:val="21"/>
              </w:rPr>
            </w:pPr>
            <w:r>
              <w:rPr>
                <w:spacing w:val="-2"/>
                <w:sz w:val="21"/>
              </w:rPr>
              <w:t>202,890</w:t>
            </w:r>
          </w:p>
        </w:tc>
      </w:tr>
      <w:tr w14:paraId="292B5F11" w14:textId="77777777">
        <w:tblPrEx>
          <w:tblW w:w="0" w:type="auto"/>
          <w:tblInd w:w="482" w:type="dxa"/>
          <w:tblLayout w:type="fixed"/>
          <w:tblCellMar>
            <w:left w:w="0" w:type="dxa"/>
            <w:right w:w="0" w:type="dxa"/>
          </w:tblCellMar>
          <w:tblLook w:val="01E0"/>
        </w:tblPrEx>
        <w:trPr>
          <w:trHeight w:val="274"/>
        </w:trPr>
        <w:tc>
          <w:tcPr>
            <w:tcW w:w="655" w:type="dxa"/>
            <w:vMerge/>
            <w:tcBorders>
              <w:top w:val="nil"/>
              <w:bottom w:val="single" w:sz="12" w:space="0" w:color="800000"/>
            </w:tcBorders>
          </w:tcPr>
          <w:p w:rsidR="003F5784" w14:paraId="0D34EC3D" w14:textId="77777777">
            <w:pPr>
              <w:rPr>
                <w:sz w:val="2"/>
                <w:szCs w:val="2"/>
              </w:rPr>
            </w:pPr>
          </w:p>
        </w:tc>
        <w:tc>
          <w:tcPr>
            <w:tcW w:w="3295" w:type="dxa"/>
            <w:tcBorders>
              <w:bottom w:val="single" w:sz="12" w:space="0" w:color="800000"/>
            </w:tcBorders>
          </w:tcPr>
          <w:p w:rsidR="003F5784" w14:paraId="425789BF" w14:textId="77777777">
            <w:pPr>
              <w:pStyle w:val="TableParagraph"/>
              <w:spacing w:before="2"/>
              <w:ind w:left="326"/>
              <w:jc w:val="left"/>
              <w:rPr>
                <w:sz w:val="21"/>
              </w:rPr>
            </w:pPr>
            <w:r>
              <w:rPr>
                <w:sz w:val="21"/>
              </w:rPr>
              <w:t>Unknown</w:t>
            </w:r>
            <w:r>
              <w:rPr>
                <w:spacing w:val="-10"/>
                <w:sz w:val="21"/>
              </w:rPr>
              <w:t xml:space="preserve"> </w:t>
            </w:r>
            <w:r>
              <w:rPr>
                <w:spacing w:val="-2"/>
                <w:sz w:val="21"/>
              </w:rPr>
              <w:t>affiliation</w:t>
            </w:r>
          </w:p>
        </w:tc>
        <w:tc>
          <w:tcPr>
            <w:tcW w:w="3604" w:type="dxa"/>
            <w:tcBorders>
              <w:bottom w:val="single" w:sz="12" w:space="0" w:color="800000"/>
            </w:tcBorders>
          </w:tcPr>
          <w:p w:rsidR="003F5784" w14:paraId="334C36F5" w14:textId="77777777">
            <w:pPr>
              <w:pStyle w:val="TableParagraph"/>
              <w:spacing w:before="2"/>
              <w:ind w:left="1379"/>
              <w:jc w:val="left"/>
              <w:rPr>
                <w:sz w:val="21"/>
              </w:rPr>
            </w:pPr>
            <w:r>
              <w:rPr>
                <w:spacing w:val="-2"/>
                <w:sz w:val="21"/>
              </w:rPr>
              <w:t>1,904</w:t>
            </w:r>
          </w:p>
        </w:tc>
        <w:tc>
          <w:tcPr>
            <w:tcW w:w="4033" w:type="dxa"/>
            <w:tcBorders>
              <w:bottom w:val="single" w:sz="12" w:space="0" w:color="800000"/>
            </w:tcBorders>
          </w:tcPr>
          <w:p w:rsidR="003F5784" w14:paraId="0DE5354A" w14:textId="77777777">
            <w:pPr>
              <w:pStyle w:val="TableParagraph"/>
              <w:spacing w:before="2"/>
              <w:ind w:right="1599"/>
              <w:rPr>
                <w:sz w:val="21"/>
              </w:rPr>
            </w:pPr>
            <w:r>
              <w:rPr>
                <w:spacing w:val="-2"/>
                <w:sz w:val="21"/>
              </w:rPr>
              <w:t>9,520</w:t>
            </w:r>
          </w:p>
        </w:tc>
        <w:tc>
          <w:tcPr>
            <w:tcW w:w="2398" w:type="dxa"/>
            <w:tcBorders>
              <w:bottom w:val="single" w:sz="12" w:space="0" w:color="800000"/>
            </w:tcBorders>
          </w:tcPr>
          <w:p w:rsidR="003F5784" w14:paraId="2D3A1B05" w14:textId="77777777">
            <w:pPr>
              <w:pStyle w:val="TableParagraph"/>
              <w:spacing w:before="2"/>
              <w:ind w:right="118"/>
              <w:rPr>
                <w:sz w:val="21"/>
              </w:rPr>
            </w:pPr>
            <w:r>
              <w:rPr>
                <w:spacing w:val="-2"/>
                <w:sz w:val="21"/>
              </w:rPr>
              <w:t>13,044</w:t>
            </w:r>
          </w:p>
        </w:tc>
      </w:tr>
      <w:tr w14:paraId="1C9366FA" w14:textId="77777777">
        <w:tblPrEx>
          <w:tblW w:w="0" w:type="auto"/>
          <w:tblInd w:w="482" w:type="dxa"/>
          <w:tblLayout w:type="fixed"/>
          <w:tblCellMar>
            <w:left w:w="0" w:type="dxa"/>
            <w:right w:w="0" w:type="dxa"/>
          </w:tblCellMar>
          <w:tblLook w:val="01E0"/>
        </w:tblPrEx>
        <w:trPr>
          <w:trHeight w:val="244"/>
        </w:trPr>
        <w:tc>
          <w:tcPr>
            <w:tcW w:w="655" w:type="dxa"/>
            <w:vMerge w:val="restart"/>
            <w:tcBorders>
              <w:top w:val="single" w:sz="12" w:space="0" w:color="800000"/>
              <w:bottom w:val="single" w:sz="18" w:space="0" w:color="800000"/>
            </w:tcBorders>
          </w:tcPr>
          <w:p w:rsidR="003F5784" w14:paraId="7FEAD741" w14:textId="77777777">
            <w:pPr>
              <w:pStyle w:val="TableParagraph"/>
              <w:spacing w:before="0" w:line="239" w:lineRule="exact"/>
              <w:ind w:left="120"/>
              <w:jc w:val="left"/>
              <w:rPr>
                <w:sz w:val="21"/>
              </w:rPr>
            </w:pPr>
            <w:r>
              <w:rPr>
                <w:spacing w:val="-5"/>
                <w:sz w:val="21"/>
              </w:rPr>
              <w:t>13</w:t>
            </w:r>
          </w:p>
        </w:tc>
        <w:tc>
          <w:tcPr>
            <w:tcW w:w="3295" w:type="dxa"/>
            <w:tcBorders>
              <w:top w:val="single" w:sz="12" w:space="0" w:color="800000"/>
            </w:tcBorders>
          </w:tcPr>
          <w:p w:rsidR="003F5784" w14:paraId="6F50CEC6" w14:textId="77777777">
            <w:pPr>
              <w:pStyle w:val="TableParagraph"/>
              <w:spacing w:before="0" w:line="224" w:lineRule="exact"/>
              <w:ind w:left="576"/>
              <w:jc w:val="left"/>
              <w:rPr>
                <w:b/>
                <w:sz w:val="21"/>
              </w:rPr>
            </w:pPr>
            <w:r>
              <w:rPr>
                <w:b/>
                <w:spacing w:val="-2"/>
                <w:sz w:val="21"/>
              </w:rPr>
              <w:t>Total</w:t>
            </w:r>
          </w:p>
        </w:tc>
        <w:tc>
          <w:tcPr>
            <w:tcW w:w="3604" w:type="dxa"/>
            <w:tcBorders>
              <w:top w:val="single" w:sz="12" w:space="0" w:color="800000"/>
            </w:tcBorders>
          </w:tcPr>
          <w:p w:rsidR="003F5784" w14:paraId="0A196D01" w14:textId="77777777">
            <w:pPr>
              <w:pStyle w:val="TableParagraph"/>
              <w:spacing w:before="0" w:line="224" w:lineRule="exact"/>
              <w:ind w:left="1275"/>
              <w:jc w:val="left"/>
              <w:rPr>
                <w:b/>
                <w:sz w:val="21"/>
              </w:rPr>
            </w:pPr>
            <w:r>
              <w:rPr>
                <w:b/>
                <w:spacing w:val="-2"/>
                <w:sz w:val="21"/>
              </w:rPr>
              <w:t>12,749</w:t>
            </w:r>
          </w:p>
        </w:tc>
        <w:tc>
          <w:tcPr>
            <w:tcW w:w="4033" w:type="dxa"/>
            <w:tcBorders>
              <w:top w:val="single" w:sz="12" w:space="0" w:color="800000"/>
            </w:tcBorders>
          </w:tcPr>
          <w:p w:rsidR="003F5784" w14:paraId="0C778892" w14:textId="77777777">
            <w:pPr>
              <w:pStyle w:val="TableParagraph"/>
              <w:spacing w:before="0" w:line="224" w:lineRule="exact"/>
              <w:ind w:right="1599"/>
              <w:rPr>
                <w:b/>
                <w:sz w:val="21"/>
              </w:rPr>
            </w:pPr>
            <w:r>
              <w:rPr>
                <w:b/>
                <w:spacing w:val="-2"/>
                <w:sz w:val="21"/>
              </w:rPr>
              <w:t>213,077</w:t>
            </w:r>
          </w:p>
        </w:tc>
        <w:tc>
          <w:tcPr>
            <w:tcW w:w="2398" w:type="dxa"/>
            <w:tcBorders>
              <w:top w:val="single" w:sz="12" w:space="0" w:color="800000"/>
            </w:tcBorders>
          </w:tcPr>
          <w:p w:rsidR="003F5784" w14:paraId="60BF0E45" w14:textId="77777777">
            <w:pPr>
              <w:pStyle w:val="TableParagraph"/>
              <w:spacing w:before="0" w:line="224" w:lineRule="exact"/>
              <w:ind w:right="118"/>
              <w:rPr>
                <w:b/>
                <w:sz w:val="21"/>
              </w:rPr>
            </w:pPr>
            <w:r>
              <w:rPr>
                <w:b/>
                <w:spacing w:val="-2"/>
                <w:sz w:val="21"/>
              </w:rPr>
              <w:t>333,894</w:t>
            </w:r>
          </w:p>
        </w:tc>
      </w:tr>
      <w:tr w14:paraId="1D0AB703" w14:textId="77777777">
        <w:tblPrEx>
          <w:tblW w:w="0" w:type="auto"/>
          <w:tblInd w:w="482" w:type="dxa"/>
          <w:tblLayout w:type="fixed"/>
          <w:tblCellMar>
            <w:left w:w="0" w:type="dxa"/>
            <w:right w:w="0" w:type="dxa"/>
          </w:tblCellMar>
          <w:tblLook w:val="01E0"/>
        </w:tblPrEx>
        <w:trPr>
          <w:trHeight w:val="241"/>
        </w:trPr>
        <w:tc>
          <w:tcPr>
            <w:tcW w:w="655" w:type="dxa"/>
            <w:vMerge/>
            <w:tcBorders>
              <w:top w:val="nil"/>
              <w:bottom w:val="single" w:sz="18" w:space="0" w:color="800000"/>
            </w:tcBorders>
          </w:tcPr>
          <w:p w:rsidR="003F5784" w14:paraId="5DE24C9A" w14:textId="77777777">
            <w:pPr>
              <w:rPr>
                <w:sz w:val="2"/>
                <w:szCs w:val="2"/>
              </w:rPr>
            </w:pPr>
          </w:p>
        </w:tc>
        <w:tc>
          <w:tcPr>
            <w:tcW w:w="3295" w:type="dxa"/>
          </w:tcPr>
          <w:p w:rsidR="003F5784" w14:paraId="4DA18A3C" w14:textId="77777777">
            <w:pPr>
              <w:pStyle w:val="TableParagraph"/>
              <w:spacing w:before="0" w:line="222" w:lineRule="exact"/>
              <w:ind w:left="326"/>
              <w:jc w:val="left"/>
              <w:rPr>
                <w:sz w:val="21"/>
              </w:rPr>
            </w:pPr>
            <w:r>
              <w:rPr>
                <w:spacing w:val="-2"/>
                <w:sz w:val="21"/>
              </w:rPr>
              <w:t>Catholic</w:t>
            </w:r>
          </w:p>
        </w:tc>
        <w:tc>
          <w:tcPr>
            <w:tcW w:w="3604" w:type="dxa"/>
          </w:tcPr>
          <w:p w:rsidR="003F5784" w14:paraId="4940F4EA" w14:textId="77777777">
            <w:pPr>
              <w:pStyle w:val="TableParagraph"/>
              <w:spacing w:before="0" w:line="222" w:lineRule="exact"/>
              <w:ind w:left="1327"/>
              <w:jc w:val="left"/>
              <w:rPr>
                <w:sz w:val="21"/>
              </w:rPr>
            </w:pPr>
            <w:r>
              <w:rPr>
                <w:spacing w:val="-2"/>
                <w:sz w:val="21"/>
              </w:rPr>
              <w:t>31793</w:t>
            </w:r>
          </w:p>
        </w:tc>
        <w:tc>
          <w:tcPr>
            <w:tcW w:w="4033" w:type="dxa"/>
          </w:tcPr>
          <w:p w:rsidR="003F5784" w14:paraId="5C009C08" w14:textId="77777777">
            <w:pPr>
              <w:pStyle w:val="TableParagraph"/>
              <w:spacing w:before="0" w:line="222" w:lineRule="exact"/>
              <w:ind w:right="1599"/>
              <w:rPr>
                <w:sz w:val="21"/>
              </w:rPr>
            </w:pPr>
            <w:r>
              <w:rPr>
                <w:spacing w:val="-2"/>
                <w:sz w:val="21"/>
              </w:rPr>
              <w:t>79,894</w:t>
            </w:r>
          </w:p>
        </w:tc>
        <w:tc>
          <w:tcPr>
            <w:tcW w:w="2398" w:type="dxa"/>
          </w:tcPr>
          <w:p w:rsidR="003F5784" w14:paraId="1E6ED5BF" w14:textId="77777777">
            <w:pPr>
              <w:pStyle w:val="TableParagraph"/>
              <w:spacing w:before="0" w:line="222" w:lineRule="exact"/>
              <w:ind w:right="118"/>
              <w:rPr>
                <w:sz w:val="21"/>
              </w:rPr>
            </w:pPr>
            <w:r>
              <w:rPr>
                <w:spacing w:val="-2"/>
                <w:sz w:val="21"/>
              </w:rPr>
              <w:t>119,594</w:t>
            </w:r>
          </w:p>
        </w:tc>
      </w:tr>
      <w:tr w14:paraId="733AAF50" w14:textId="77777777">
        <w:tblPrEx>
          <w:tblW w:w="0" w:type="auto"/>
          <w:tblInd w:w="482" w:type="dxa"/>
          <w:tblLayout w:type="fixed"/>
          <w:tblCellMar>
            <w:left w:w="0" w:type="dxa"/>
            <w:right w:w="0" w:type="dxa"/>
          </w:tblCellMar>
          <w:tblLook w:val="01E0"/>
        </w:tblPrEx>
        <w:trPr>
          <w:trHeight w:val="241"/>
        </w:trPr>
        <w:tc>
          <w:tcPr>
            <w:tcW w:w="655" w:type="dxa"/>
            <w:vMerge/>
            <w:tcBorders>
              <w:top w:val="nil"/>
              <w:bottom w:val="single" w:sz="18" w:space="0" w:color="800000"/>
            </w:tcBorders>
          </w:tcPr>
          <w:p w:rsidR="003F5784" w14:paraId="3F1BB187" w14:textId="77777777">
            <w:pPr>
              <w:rPr>
                <w:sz w:val="2"/>
                <w:szCs w:val="2"/>
              </w:rPr>
            </w:pPr>
          </w:p>
        </w:tc>
        <w:tc>
          <w:tcPr>
            <w:tcW w:w="3295" w:type="dxa"/>
          </w:tcPr>
          <w:p w:rsidR="003F5784" w14:paraId="24764DCE" w14:textId="77777777">
            <w:pPr>
              <w:pStyle w:val="TableParagraph"/>
              <w:spacing w:before="0" w:line="222" w:lineRule="exact"/>
              <w:ind w:left="326"/>
              <w:jc w:val="left"/>
              <w:rPr>
                <w:sz w:val="21"/>
              </w:rPr>
            </w:pPr>
            <w:r>
              <w:rPr>
                <w:spacing w:val="-2"/>
                <w:sz w:val="21"/>
              </w:rPr>
              <w:t>Non-Catholic</w:t>
            </w:r>
          </w:p>
        </w:tc>
        <w:tc>
          <w:tcPr>
            <w:tcW w:w="3604" w:type="dxa"/>
          </w:tcPr>
          <w:p w:rsidR="003F5784" w14:paraId="69938F6E" w14:textId="77777777">
            <w:pPr>
              <w:pStyle w:val="TableParagraph"/>
              <w:spacing w:before="0" w:line="222" w:lineRule="exact"/>
              <w:ind w:left="1379"/>
              <w:jc w:val="left"/>
              <w:rPr>
                <w:sz w:val="21"/>
              </w:rPr>
            </w:pPr>
            <w:r>
              <w:rPr>
                <w:spacing w:val="-2"/>
                <w:sz w:val="21"/>
              </w:rPr>
              <w:t>7,467</w:t>
            </w:r>
          </w:p>
        </w:tc>
        <w:tc>
          <w:tcPr>
            <w:tcW w:w="4033" w:type="dxa"/>
          </w:tcPr>
          <w:p w:rsidR="003F5784" w14:paraId="5CF2669F" w14:textId="77777777">
            <w:pPr>
              <w:pStyle w:val="TableParagraph"/>
              <w:spacing w:before="0" w:line="222" w:lineRule="exact"/>
              <w:ind w:right="1599"/>
              <w:rPr>
                <w:sz w:val="21"/>
              </w:rPr>
            </w:pPr>
            <w:r>
              <w:rPr>
                <w:spacing w:val="-2"/>
                <w:sz w:val="21"/>
              </w:rPr>
              <w:t>123,668</w:t>
            </w:r>
          </w:p>
        </w:tc>
        <w:tc>
          <w:tcPr>
            <w:tcW w:w="2398" w:type="dxa"/>
          </w:tcPr>
          <w:p w:rsidR="003F5784" w14:paraId="5A57BEAC" w14:textId="77777777">
            <w:pPr>
              <w:pStyle w:val="TableParagraph"/>
              <w:spacing w:before="0" w:line="222" w:lineRule="exact"/>
              <w:ind w:right="118"/>
              <w:rPr>
                <w:sz w:val="21"/>
              </w:rPr>
            </w:pPr>
            <w:r>
              <w:rPr>
                <w:spacing w:val="-2"/>
                <w:sz w:val="21"/>
              </w:rPr>
              <w:t>201,261</w:t>
            </w:r>
          </w:p>
        </w:tc>
      </w:tr>
      <w:tr w14:paraId="5FCE5791" w14:textId="77777777">
        <w:tblPrEx>
          <w:tblW w:w="0" w:type="auto"/>
          <w:tblInd w:w="482" w:type="dxa"/>
          <w:tblLayout w:type="fixed"/>
          <w:tblCellMar>
            <w:left w:w="0" w:type="dxa"/>
            <w:right w:w="0" w:type="dxa"/>
          </w:tblCellMar>
          <w:tblLook w:val="01E0"/>
        </w:tblPrEx>
        <w:trPr>
          <w:trHeight w:val="266"/>
        </w:trPr>
        <w:tc>
          <w:tcPr>
            <w:tcW w:w="655" w:type="dxa"/>
            <w:vMerge/>
            <w:tcBorders>
              <w:top w:val="nil"/>
              <w:bottom w:val="single" w:sz="18" w:space="0" w:color="800000"/>
            </w:tcBorders>
          </w:tcPr>
          <w:p w:rsidR="003F5784" w14:paraId="2D64804E" w14:textId="77777777">
            <w:pPr>
              <w:rPr>
                <w:sz w:val="2"/>
                <w:szCs w:val="2"/>
              </w:rPr>
            </w:pPr>
          </w:p>
        </w:tc>
        <w:tc>
          <w:tcPr>
            <w:tcW w:w="3295" w:type="dxa"/>
            <w:tcBorders>
              <w:bottom w:val="single" w:sz="18" w:space="0" w:color="800000"/>
            </w:tcBorders>
          </w:tcPr>
          <w:p w:rsidR="003F5784" w14:paraId="039B0E13" w14:textId="77777777">
            <w:pPr>
              <w:pStyle w:val="TableParagraph"/>
              <w:spacing w:before="0" w:line="237" w:lineRule="exact"/>
              <w:ind w:left="326"/>
              <w:jc w:val="left"/>
              <w:rPr>
                <w:sz w:val="21"/>
              </w:rPr>
            </w:pPr>
            <w:r>
              <w:rPr>
                <w:sz w:val="21"/>
              </w:rPr>
              <w:t>Unknown</w:t>
            </w:r>
            <w:r>
              <w:rPr>
                <w:spacing w:val="-10"/>
                <w:sz w:val="21"/>
              </w:rPr>
              <w:t xml:space="preserve"> </w:t>
            </w:r>
            <w:r>
              <w:rPr>
                <w:spacing w:val="-2"/>
                <w:sz w:val="21"/>
              </w:rPr>
              <w:t>affiliation</w:t>
            </w:r>
          </w:p>
        </w:tc>
        <w:tc>
          <w:tcPr>
            <w:tcW w:w="3604" w:type="dxa"/>
            <w:tcBorders>
              <w:bottom w:val="single" w:sz="18" w:space="0" w:color="800000"/>
            </w:tcBorders>
          </w:tcPr>
          <w:p w:rsidR="003F5784" w14:paraId="6E77AB4B" w14:textId="77777777">
            <w:pPr>
              <w:pStyle w:val="TableParagraph"/>
              <w:spacing w:before="0" w:line="237" w:lineRule="exact"/>
              <w:ind w:left="1379"/>
              <w:jc w:val="left"/>
              <w:rPr>
                <w:sz w:val="21"/>
              </w:rPr>
            </w:pPr>
            <w:r>
              <w:rPr>
                <w:spacing w:val="-2"/>
                <w:sz w:val="21"/>
              </w:rPr>
              <w:t>1,903</w:t>
            </w:r>
          </w:p>
        </w:tc>
        <w:tc>
          <w:tcPr>
            <w:tcW w:w="4033" w:type="dxa"/>
            <w:tcBorders>
              <w:bottom w:val="single" w:sz="18" w:space="0" w:color="800000"/>
            </w:tcBorders>
          </w:tcPr>
          <w:p w:rsidR="003F5784" w14:paraId="7FF34584" w14:textId="77777777">
            <w:pPr>
              <w:pStyle w:val="TableParagraph"/>
              <w:spacing w:before="0" w:line="237" w:lineRule="exact"/>
              <w:ind w:right="1599"/>
              <w:rPr>
                <w:sz w:val="21"/>
              </w:rPr>
            </w:pPr>
            <w:r>
              <w:rPr>
                <w:spacing w:val="-2"/>
                <w:sz w:val="21"/>
              </w:rPr>
              <w:t>9,575</w:t>
            </w:r>
          </w:p>
        </w:tc>
        <w:tc>
          <w:tcPr>
            <w:tcW w:w="2398" w:type="dxa"/>
            <w:tcBorders>
              <w:bottom w:val="single" w:sz="18" w:space="0" w:color="800000"/>
            </w:tcBorders>
          </w:tcPr>
          <w:p w:rsidR="003F5784" w14:paraId="32BEE119" w14:textId="77777777">
            <w:pPr>
              <w:pStyle w:val="TableParagraph"/>
              <w:spacing w:before="0" w:line="237" w:lineRule="exact"/>
              <w:ind w:right="118"/>
              <w:rPr>
                <w:sz w:val="21"/>
              </w:rPr>
            </w:pPr>
            <w:r>
              <w:rPr>
                <w:spacing w:val="-2"/>
                <w:sz w:val="21"/>
              </w:rPr>
              <w:t>13,039</w:t>
            </w:r>
          </w:p>
        </w:tc>
      </w:tr>
      <w:tr w14:paraId="156658C5" w14:textId="77777777">
        <w:tblPrEx>
          <w:tblW w:w="0" w:type="auto"/>
          <w:tblInd w:w="482" w:type="dxa"/>
          <w:tblLayout w:type="fixed"/>
          <w:tblCellMar>
            <w:left w:w="0" w:type="dxa"/>
            <w:right w:w="0" w:type="dxa"/>
          </w:tblCellMar>
          <w:tblLook w:val="01E0"/>
        </w:tblPrEx>
        <w:trPr>
          <w:trHeight w:val="237"/>
        </w:trPr>
        <w:tc>
          <w:tcPr>
            <w:tcW w:w="13985" w:type="dxa"/>
            <w:gridSpan w:val="5"/>
            <w:tcBorders>
              <w:top w:val="single" w:sz="18" w:space="0" w:color="800000"/>
            </w:tcBorders>
          </w:tcPr>
          <w:p w:rsidR="003F5784" w14:paraId="0A024D91" w14:textId="77777777">
            <w:pPr>
              <w:pStyle w:val="TableParagraph"/>
              <w:spacing w:before="0" w:line="218" w:lineRule="exact"/>
              <w:ind w:left="120"/>
              <w:jc w:val="left"/>
              <w:rPr>
                <w:sz w:val="21"/>
              </w:rPr>
            </w:pPr>
            <w:r>
              <w:rPr>
                <w:sz w:val="21"/>
              </w:rPr>
              <w:t>NOTE:</w:t>
            </w:r>
            <w:r>
              <w:rPr>
                <w:spacing w:val="-5"/>
                <w:sz w:val="21"/>
              </w:rPr>
              <w:t xml:space="preserve"> </w:t>
            </w:r>
            <w:r>
              <w:rPr>
                <w:sz w:val="21"/>
              </w:rPr>
              <w:t>Detail</w:t>
            </w:r>
            <w:r>
              <w:rPr>
                <w:spacing w:val="-5"/>
                <w:sz w:val="21"/>
              </w:rPr>
              <w:t xml:space="preserve"> </w:t>
            </w:r>
            <w:r>
              <w:rPr>
                <w:sz w:val="21"/>
              </w:rPr>
              <w:t>may</w:t>
            </w:r>
            <w:r>
              <w:rPr>
                <w:spacing w:val="-4"/>
                <w:sz w:val="21"/>
              </w:rPr>
              <w:t xml:space="preserve"> </w:t>
            </w:r>
            <w:r>
              <w:rPr>
                <w:sz w:val="21"/>
              </w:rPr>
              <w:t>not</w:t>
            </w:r>
            <w:r>
              <w:rPr>
                <w:spacing w:val="-5"/>
                <w:sz w:val="21"/>
              </w:rPr>
              <w:t xml:space="preserve"> </w:t>
            </w:r>
            <w:r>
              <w:rPr>
                <w:sz w:val="21"/>
              </w:rPr>
              <w:t>sum</w:t>
            </w:r>
            <w:r>
              <w:rPr>
                <w:spacing w:val="-4"/>
                <w:sz w:val="21"/>
              </w:rPr>
              <w:t xml:space="preserve"> </w:t>
            </w:r>
            <w:r>
              <w:rPr>
                <w:sz w:val="21"/>
              </w:rPr>
              <w:t>to</w:t>
            </w:r>
            <w:r>
              <w:rPr>
                <w:spacing w:val="-5"/>
                <w:sz w:val="21"/>
              </w:rPr>
              <w:t xml:space="preserve"> </w:t>
            </w:r>
            <w:r>
              <w:rPr>
                <w:sz w:val="21"/>
              </w:rPr>
              <w:t>totals</w:t>
            </w:r>
            <w:r>
              <w:rPr>
                <w:spacing w:val="-4"/>
                <w:sz w:val="21"/>
              </w:rPr>
              <w:t xml:space="preserve"> </w:t>
            </w:r>
            <w:r>
              <w:rPr>
                <w:sz w:val="21"/>
              </w:rPr>
              <w:t>due</w:t>
            </w:r>
            <w:r>
              <w:rPr>
                <w:spacing w:val="-5"/>
                <w:sz w:val="21"/>
              </w:rPr>
              <w:t xml:space="preserve"> </w:t>
            </w:r>
            <w:r>
              <w:rPr>
                <w:sz w:val="21"/>
              </w:rPr>
              <w:t>to</w:t>
            </w:r>
            <w:r>
              <w:rPr>
                <w:spacing w:val="-4"/>
                <w:sz w:val="21"/>
              </w:rPr>
              <w:t xml:space="preserve"> </w:t>
            </w:r>
            <w:r>
              <w:rPr>
                <w:spacing w:val="-2"/>
                <w:sz w:val="21"/>
              </w:rPr>
              <w:t>rounding.</w:t>
            </w:r>
          </w:p>
        </w:tc>
      </w:tr>
    </w:tbl>
    <w:p w:rsidR="003F5784" w14:paraId="12682DAC"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41ACEA7D" w14:textId="77777777">
      <w:pPr>
        <w:pStyle w:val="BodyText"/>
        <w:spacing w:before="228"/>
      </w:pPr>
    </w:p>
    <w:p w:rsidR="003F5784" w14:paraId="21AC906F" w14:textId="77777777">
      <w:pPr>
        <w:pStyle w:val="BodyText"/>
        <w:spacing w:line="232" w:lineRule="auto"/>
        <w:ind w:left="109"/>
      </w:pPr>
      <w:r>
        <w:t>For</w:t>
      </w:r>
      <w:r>
        <w:rPr>
          <w:spacing w:val="-6"/>
        </w:rPr>
        <w:t xml:space="preserve"> </w:t>
      </w:r>
      <w:r>
        <w:t>quality</w:t>
      </w:r>
      <w:r>
        <w:rPr>
          <w:spacing w:val="-6"/>
        </w:rPr>
        <w:t xml:space="preserve"> </w:t>
      </w:r>
      <w:r>
        <w:t>control</w:t>
      </w:r>
      <w:r>
        <w:rPr>
          <w:spacing w:val="-6"/>
        </w:rPr>
        <w:t xml:space="preserve"> </w:t>
      </w:r>
      <w:r>
        <w:t>purposes,</w:t>
      </w:r>
      <w:r>
        <w:rPr>
          <w:spacing w:val="-6"/>
        </w:rPr>
        <w:t xml:space="preserve"> </w:t>
      </w:r>
      <w:r>
        <w:t>school</w:t>
      </w:r>
      <w:r>
        <w:rPr>
          <w:spacing w:val="-6"/>
        </w:rPr>
        <w:t xml:space="preserve"> </w:t>
      </w:r>
      <w:r>
        <w:t>and</w:t>
      </w:r>
      <w:r>
        <w:rPr>
          <w:spacing w:val="-6"/>
        </w:rPr>
        <w:t xml:space="preserve"> </w:t>
      </w:r>
      <w:r>
        <w:t>student</w:t>
      </w:r>
      <w:r>
        <w:rPr>
          <w:spacing w:val="-6"/>
        </w:rPr>
        <w:t xml:space="preserve"> </w:t>
      </w:r>
      <w:r>
        <w:t>counts</w:t>
      </w:r>
      <w:r>
        <w:rPr>
          <w:spacing w:val="-6"/>
        </w:rPr>
        <w:t xml:space="preserve"> </w:t>
      </w:r>
      <w:r>
        <w:t>from</w:t>
      </w:r>
      <w:r>
        <w:rPr>
          <w:spacing w:val="-6"/>
        </w:rPr>
        <w:t xml:space="preserve"> </w:t>
      </w:r>
      <w:r>
        <w:t>the</w:t>
      </w:r>
      <w:r>
        <w:rPr>
          <w:spacing w:val="-6"/>
        </w:rPr>
        <w:t xml:space="preserve"> </w:t>
      </w:r>
      <w:r>
        <w:t>sampling</w:t>
      </w:r>
      <w:r>
        <w:rPr>
          <w:spacing w:val="-6"/>
        </w:rPr>
        <w:t xml:space="preserve"> </w:t>
      </w:r>
      <w:r>
        <w:t>frame</w:t>
      </w:r>
      <w:r>
        <w:rPr>
          <w:spacing w:val="-6"/>
        </w:rPr>
        <w:t xml:space="preserve"> </w:t>
      </w:r>
      <w:r>
        <w:t>were</w:t>
      </w:r>
      <w:r>
        <w:rPr>
          <w:spacing w:val="-6"/>
        </w:rPr>
        <w:t xml:space="preserve"> </w:t>
      </w:r>
      <w:r>
        <w:t>compared</w:t>
      </w:r>
      <w:r>
        <w:rPr>
          <w:spacing w:val="-6"/>
        </w:rPr>
        <w:t xml:space="preserve"> </w:t>
      </w:r>
      <w:r>
        <w:t>to</w:t>
      </w:r>
      <w:r>
        <w:rPr>
          <w:spacing w:val="-6"/>
        </w:rPr>
        <w:t xml:space="preserve"> </w:t>
      </w:r>
      <w:r>
        <w:t>school</w:t>
      </w:r>
      <w:r>
        <w:rPr>
          <w:spacing w:val="-6"/>
        </w:rPr>
        <w:t xml:space="preserve"> </w:t>
      </w:r>
      <w:r>
        <w:t>and</w:t>
      </w:r>
      <w:r>
        <w:rPr>
          <w:spacing w:val="-6"/>
        </w:rPr>
        <w:t xml:space="preserve"> </w:t>
      </w:r>
      <w:r>
        <w:t>student</w:t>
      </w:r>
      <w:r>
        <w:rPr>
          <w:spacing w:val="-6"/>
        </w:rPr>
        <w:t xml:space="preserve"> </w:t>
      </w:r>
      <w:r>
        <w:t>counts</w:t>
      </w:r>
      <w:r>
        <w:rPr>
          <w:spacing w:val="-6"/>
        </w:rPr>
        <w:t xml:space="preserve"> </w:t>
      </w:r>
      <w:r>
        <w:t>from</w:t>
      </w:r>
      <w:r>
        <w:rPr>
          <w:spacing w:val="-6"/>
        </w:rPr>
        <w:t xml:space="preserve"> </w:t>
      </w:r>
      <w:r>
        <w:t>previous</w:t>
      </w:r>
      <w:r>
        <w:rPr>
          <w:spacing w:val="-6"/>
        </w:rPr>
        <w:t xml:space="preserve"> </w:t>
      </w:r>
      <w:r>
        <w:t>private</w:t>
      </w:r>
      <w:r>
        <w:rPr>
          <w:spacing w:val="-6"/>
        </w:rPr>
        <w:t xml:space="preserve"> </w:t>
      </w:r>
      <w:r>
        <w:t>school</w:t>
      </w:r>
      <w:r>
        <w:rPr>
          <w:spacing w:val="-6"/>
        </w:rPr>
        <w:t xml:space="preserve"> </w:t>
      </w:r>
      <w:r>
        <w:t>frames</w:t>
      </w:r>
      <w:r>
        <w:rPr>
          <w:spacing w:val="-6"/>
        </w:rPr>
        <w:t xml:space="preserve"> </w:t>
      </w:r>
      <w:r>
        <w:t>by</w:t>
      </w:r>
      <w:r>
        <w:rPr>
          <w:spacing w:val="-6"/>
        </w:rPr>
        <w:t xml:space="preserve"> </w:t>
      </w:r>
      <w:r>
        <w:t>grade</w:t>
      </w:r>
      <w:r>
        <w:rPr>
          <w:spacing w:val="-6"/>
        </w:rPr>
        <w:t xml:space="preserve"> </w:t>
      </w:r>
      <w:r>
        <w:t>(for grades 4 and 8). Comparisons were grade-based because most NAEP</w:t>
      </w:r>
      <w:r>
        <w:rPr>
          <w:spacing w:val="-7"/>
        </w:rPr>
        <w:t xml:space="preserve"> </w:t>
      </w:r>
      <w:r>
        <w:t>assessments are grade-based, and grade counts are a reasonable proxy for age counts for comparison purposes. No major discrepancies were found.</w:t>
      </w:r>
    </w:p>
    <w:p w:rsidR="003F5784" w14:paraId="742DAFB0" w14:textId="77777777">
      <w:pPr>
        <w:pStyle w:val="BodyText"/>
        <w:spacing w:before="210" w:line="232" w:lineRule="auto"/>
        <w:ind w:left="109" w:right="207"/>
      </w:pPr>
      <w:r>
        <w:t>A</w:t>
      </w:r>
      <w:r>
        <w:rPr>
          <w:spacing w:val="-10"/>
        </w:rPr>
        <w:t xml:space="preserve"> </w:t>
      </w:r>
      <w:r>
        <w:t>secondary sampling frame was also created for the age 9 sample to account for schools that newly opened or became newly eligible between the 2019–2020 and 2021– 2022</w:t>
      </w:r>
      <w:r>
        <w:rPr>
          <w:spacing w:val="-5"/>
        </w:rPr>
        <w:t xml:space="preserve"> </w:t>
      </w:r>
      <w:r>
        <w:t>school</w:t>
      </w:r>
      <w:r>
        <w:rPr>
          <w:spacing w:val="-5"/>
        </w:rPr>
        <w:t xml:space="preserve"> </w:t>
      </w:r>
      <w:r>
        <w:t>years.</w:t>
      </w:r>
      <w:r>
        <w:rPr>
          <w:spacing w:val="-9"/>
        </w:rPr>
        <w:t xml:space="preserve"> </w:t>
      </w:r>
      <w:r>
        <w:t>This</w:t>
      </w:r>
      <w:r>
        <w:rPr>
          <w:spacing w:val="-5"/>
        </w:rPr>
        <w:t xml:space="preserve"> </w:t>
      </w:r>
      <w:r>
        <w:t>frame</w:t>
      </w:r>
      <w:r>
        <w:rPr>
          <w:spacing w:val="-5"/>
        </w:rPr>
        <w:t xml:space="preserve"> </w:t>
      </w:r>
      <w:r>
        <w:t>contains</w:t>
      </w:r>
      <w:r>
        <w:rPr>
          <w:spacing w:val="-5"/>
        </w:rPr>
        <w:t xml:space="preserve"> </w:t>
      </w:r>
      <w:r>
        <w:t>brand-new</w:t>
      </w:r>
      <w:r>
        <w:rPr>
          <w:spacing w:val="-5"/>
        </w:rPr>
        <w:t xml:space="preserve"> </w:t>
      </w:r>
      <w:r>
        <w:t>and</w:t>
      </w:r>
      <w:r>
        <w:rPr>
          <w:spacing w:val="-5"/>
        </w:rPr>
        <w:t xml:space="preserve"> </w:t>
      </w:r>
      <w:r>
        <w:t>newly-eligible</w:t>
      </w:r>
      <w:r>
        <w:rPr>
          <w:spacing w:val="-5"/>
        </w:rPr>
        <w:t xml:space="preserve"> </w:t>
      </w:r>
      <w:r>
        <w:t>schools</w:t>
      </w:r>
      <w:r>
        <w:rPr>
          <w:spacing w:val="-5"/>
        </w:rPr>
        <w:t xml:space="preserve"> </w:t>
      </w:r>
      <w:r>
        <w:t>expected</w:t>
      </w:r>
      <w:r>
        <w:rPr>
          <w:spacing w:val="-5"/>
        </w:rPr>
        <w:t xml:space="preserve"> </w:t>
      </w:r>
      <w:r>
        <w:t>to</w:t>
      </w:r>
      <w:r>
        <w:rPr>
          <w:spacing w:val="-5"/>
        </w:rPr>
        <w:t xml:space="preserve"> </w:t>
      </w:r>
      <w:r>
        <w:t>have</w:t>
      </w:r>
      <w:r>
        <w:rPr>
          <w:spacing w:val="-5"/>
        </w:rPr>
        <w:t xml:space="preserve"> </w:t>
      </w:r>
      <w:r>
        <w:t>9</w:t>
      </w:r>
      <w:r>
        <w:rPr>
          <w:spacing w:val="-5"/>
        </w:rPr>
        <w:t xml:space="preserve"> </w:t>
      </w:r>
      <w:r>
        <w:t>year</w:t>
      </w:r>
      <w:r>
        <w:rPr>
          <w:spacing w:val="-5"/>
        </w:rPr>
        <w:t xml:space="preserve"> </w:t>
      </w:r>
      <w:r>
        <w:t>olds</w:t>
      </w:r>
      <w:r>
        <w:rPr>
          <w:spacing w:val="-5"/>
        </w:rPr>
        <w:t xml:space="preserve"> </w:t>
      </w:r>
      <w:r>
        <w:t>and</w:t>
      </w:r>
      <w:r>
        <w:rPr>
          <w:spacing w:val="-5"/>
        </w:rPr>
        <w:t xml:space="preserve"> </w:t>
      </w:r>
      <w:r>
        <w:t>is</w:t>
      </w:r>
      <w:r>
        <w:rPr>
          <w:spacing w:val="-5"/>
        </w:rPr>
        <w:t xml:space="preserve"> </w:t>
      </w:r>
      <w:r>
        <w:t>referred</w:t>
      </w:r>
      <w:r>
        <w:rPr>
          <w:spacing w:val="-5"/>
        </w:rPr>
        <w:t xml:space="preserve"> </w:t>
      </w:r>
      <w:r>
        <w:t>to</w:t>
      </w:r>
      <w:r>
        <w:rPr>
          <w:spacing w:val="-5"/>
        </w:rPr>
        <w:t xml:space="preserve"> </w:t>
      </w:r>
      <w:r>
        <w:t>as</w:t>
      </w:r>
      <w:r>
        <w:rPr>
          <w:spacing w:val="-5"/>
        </w:rPr>
        <w:t xml:space="preserve"> </w:t>
      </w:r>
      <w:r>
        <w:t>the</w:t>
      </w:r>
      <w:r>
        <w:rPr>
          <w:spacing w:val="-5"/>
        </w:rPr>
        <w:t xml:space="preserve"> </w:t>
      </w:r>
      <w:r>
        <w:t>new-school</w:t>
      </w:r>
      <w:r>
        <w:rPr>
          <w:spacing w:val="-5"/>
        </w:rPr>
        <w:t xml:space="preserve"> </w:t>
      </w:r>
      <w:r>
        <w:t>sampling</w:t>
      </w:r>
      <w:r>
        <w:rPr>
          <w:spacing w:val="-5"/>
        </w:rPr>
        <w:t xml:space="preserve"> </w:t>
      </w:r>
      <w:r>
        <w:t>frame.</w:t>
      </w:r>
      <w:r>
        <w:rPr>
          <w:spacing w:val="-5"/>
        </w:rPr>
        <w:t xml:space="preserve"> </w:t>
      </w:r>
      <w:r>
        <w:t>Because</w:t>
      </w:r>
      <w:r>
        <w:rPr>
          <w:spacing w:val="-5"/>
        </w:rPr>
        <w:t xml:space="preserve"> </w:t>
      </w:r>
      <w:r>
        <w:t>there are</w:t>
      </w:r>
      <w:r>
        <w:rPr>
          <w:spacing w:val="-6"/>
        </w:rPr>
        <w:t xml:space="preserve"> </w:t>
      </w:r>
      <w:r>
        <w:t>no</w:t>
      </w:r>
      <w:r>
        <w:rPr>
          <w:spacing w:val="-6"/>
        </w:rPr>
        <w:t xml:space="preserve"> </w:t>
      </w:r>
      <w:r>
        <w:t>sources</w:t>
      </w:r>
      <w:r>
        <w:rPr>
          <w:spacing w:val="-6"/>
        </w:rPr>
        <w:t xml:space="preserve"> </w:t>
      </w:r>
      <w:r>
        <w:t>available</w:t>
      </w:r>
      <w:r>
        <w:rPr>
          <w:spacing w:val="-6"/>
        </w:rPr>
        <w:t xml:space="preserve"> </w:t>
      </w:r>
      <w:r>
        <w:t>to</w:t>
      </w:r>
      <w:r>
        <w:rPr>
          <w:spacing w:val="-6"/>
        </w:rPr>
        <w:t xml:space="preserve"> </w:t>
      </w:r>
      <w:r>
        <w:t>identify</w:t>
      </w:r>
      <w:r>
        <w:rPr>
          <w:spacing w:val="-6"/>
        </w:rPr>
        <w:t xml:space="preserve"> </w:t>
      </w:r>
      <w:r>
        <w:t>new</w:t>
      </w:r>
      <w:r>
        <w:rPr>
          <w:spacing w:val="-6"/>
        </w:rPr>
        <w:t xml:space="preserve"> </w:t>
      </w:r>
      <w:r>
        <w:t>schools</w:t>
      </w:r>
      <w:r>
        <w:rPr>
          <w:spacing w:val="-6"/>
        </w:rPr>
        <w:t xml:space="preserve"> </w:t>
      </w:r>
      <w:r>
        <w:t>for</w:t>
      </w:r>
      <w:r>
        <w:rPr>
          <w:spacing w:val="-6"/>
        </w:rPr>
        <w:t xml:space="preserve"> </w:t>
      </w:r>
      <w:r>
        <w:t>non-Catholic</w:t>
      </w:r>
      <w:r>
        <w:rPr>
          <w:spacing w:val="-6"/>
        </w:rPr>
        <w:t xml:space="preserve"> </w:t>
      </w:r>
      <w:r>
        <w:t>private</w:t>
      </w:r>
      <w:r>
        <w:rPr>
          <w:spacing w:val="-6"/>
        </w:rPr>
        <w:t xml:space="preserve"> </w:t>
      </w:r>
      <w:r>
        <w:t>schools,</w:t>
      </w:r>
      <w:r>
        <w:rPr>
          <w:spacing w:val="-6"/>
        </w:rPr>
        <w:t xml:space="preserve"> </w:t>
      </w:r>
      <w:r>
        <w:t>the</w:t>
      </w:r>
      <w:r>
        <w:rPr>
          <w:spacing w:val="-6"/>
        </w:rPr>
        <w:t xml:space="preserve"> </w:t>
      </w:r>
      <w:r>
        <w:t>new</w:t>
      </w:r>
      <w:r>
        <w:rPr>
          <w:spacing w:val="-6"/>
        </w:rPr>
        <w:t xml:space="preserve"> </w:t>
      </w:r>
      <w:r>
        <w:t>school</w:t>
      </w:r>
      <w:r>
        <w:rPr>
          <w:spacing w:val="-6"/>
        </w:rPr>
        <w:t xml:space="preserve"> </w:t>
      </w:r>
      <w:r>
        <w:t>frame</w:t>
      </w:r>
      <w:r>
        <w:rPr>
          <w:spacing w:val="-6"/>
        </w:rPr>
        <w:t xml:space="preserve"> </w:t>
      </w:r>
      <w:r>
        <w:t>for</w:t>
      </w:r>
      <w:r>
        <w:rPr>
          <w:spacing w:val="-6"/>
        </w:rPr>
        <w:t xml:space="preserve"> </w:t>
      </w:r>
      <w:r>
        <w:t>private</w:t>
      </w:r>
      <w:r>
        <w:rPr>
          <w:spacing w:val="-6"/>
        </w:rPr>
        <w:t xml:space="preserve"> </w:t>
      </w:r>
      <w:r>
        <w:t>schools</w:t>
      </w:r>
      <w:r>
        <w:rPr>
          <w:spacing w:val="-6"/>
        </w:rPr>
        <w:t xml:space="preserve"> </w:t>
      </w:r>
      <w:r>
        <w:t>contains</w:t>
      </w:r>
      <w:r>
        <w:rPr>
          <w:spacing w:val="-6"/>
        </w:rPr>
        <w:t xml:space="preserve"> </w:t>
      </w:r>
      <w:r>
        <w:t>only</w:t>
      </w:r>
      <w:r>
        <w:rPr>
          <w:spacing w:val="-6"/>
        </w:rPr>
        <w:t xml:space="preserve"> </w:t>
      </w:r>
      <w:r>
        <w:t>Catholic</w:t>
      </w:r>
      <w:r>
        <w:rPr>
          <w:spacing w:val="-6"/>
        </w:rPr>
        <w:t xml:space="preserve"> </w:t>
      </w:r>
      <w:r>
        <w:t>schools.</w:t>
      </w:r>
      <w:r>
        <w:rPr>
          <w:spacing w:val="-6"/>
        </w:rPr>
        <w:t xml:space="preserve"> </w:t>
      </w:r>
      <w:r>
        <w:t>Like</w:t>
      </w:r>
      <w:r>
        <w:rPr>
          <w:spacing w:val="-6"/>
        </w:rPr>
        <w:t xml:space="preserve"> </w:t>
      </w:r>
      <w:r>
        <w:t>the</w:t>
      </w:r>
      <w:r>
        <w:rPr>
          <w:spacing w:val="-6"/>
        </w:rPr>
        <w:t xml:space="preserve"> </w:t>
      </w:r>
      <w:r>
        <w:t>PSS-based frame, the new-school sampling frame was restricted to schools in the selected PSUs and certain types of schools were excluded from the frame as described above.</w:t>
      </w:r>
    </w:p>
    <w:p w:rsidR="003F5784" w14:paraId="17B9EA14" w14:textId="77777777">
      <w:pPr>
        <w:pStyle w:val="BodyText"/>
      </w:pPr>
    </w:p>
    <w:p w:rsidR="003F5784" w14:paraId="5255AD8C" w14:textId="77777777">
      <w:pPr>
        <w:pStyle w:val="BodyText"/>
      </w:pPr>
    </w:p>
    <w:p w:rsidR="003F5784" w14:paraId="3BEFBB1C" w14:textId="77777777">
      <w:pPr>
        <w:pStyle w:val="BodyText"/>
        <w:spacing w:before="146"/>
      </w:pPr>
    </w:p>
    <w:p w:rsidR="003F5784" w14:paraId="76EA068C" w14:textId="77777777">
      <w:pPr>
        <w:ind w:left="3957"/>
        <w:rPr>
          <w:sz w:val="18"/>
        </w:rPr>
      </w:pPr>
      <w:hyperlink r:id="rId126">
        <w:r>
          <w:rPr>
            <w:spacing w:val="-2"/>
            <w:w w:val="105"/>
            <w:sz w:val="18"/>
          </w:rPr>
          <w:t>http://nces.ed.gov/nationsreportcard/tdw/sample_design/2022/sampling_frame_for_the_2022_private_school_long_term_trend_assessment.aspx</w:t>
        </w:r>
      </w:hyperlink>
    </w:p>
    <w:p w:rsidR="003F5784" w14:paraId="0B0A1FD9" w14:textId="77777777">
      <w:pPr>
        <w:pStyle w:val="BodyText"/>
        <w:rPr>
          <w:sz w:val="16"/>
        </w:rPr>
      </w:pPr>
      <w:r>
        <w:rPr>
          <w:noProof/>
        </w:rPr>
        <mc:AlternateContent>
          <mc:Choice Requires="wps">
            <w:drawing>
              <wp:anchor distT="0" distB="0" distL="0" distR="0" simplePos="0" relativeHeight="251835392" behindDoc="1" locked="0" layoutInCell="1" allowOverlap="1">
                <wp:simplePos x="0" y="0"/>
                <wp:positionH relativeFrom="page">
                  <wp:posOffset>361937</wp:posOffset>
                </wp:positionH>
                <wp:positionV relativeFrom="paragraph">
                  <wp:posOffset>132582</wp:posOffset>
                </wp:positionV>
                <wp:extent cx="9339580" cy="8890"/>
                <wp:effectExtent l="0" t="0" r="0" b="0"/>
                <wp:wrapTopAndBottom/>
                <wp:docPr id="147" name="Graphic 147"/>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80"/>
                              </a:lnTo>
                              <a:lnTo>
                                <a:pt x="9335110" y="8293"/>
                              </a:lnTo>
                              <a:lnTo>
                                <a:pt x="9338970" y="8293"/>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47" o:spid="_x0000_s1088" style="width:735.4pt;height:0.7pt;margin-top:10.45pt;margin-left:28.5pt;mso-position-horizontal-relative:page;mso-wrap-distance-bottom:0;mso-wrap-distance-left:0;mso-wrap-distance-right:0;mso-wrap-distance-top:0;mso-wrap-style:square;position:absolute;visibility:visible;v-text-anchor:top;z-index:-251480064" coordsize="9339580,8890" path="m9338970,12l9335110,12l8280,12,,,,8280l9335110,8293l9338970,8293l9338970,12xe" fillcolor="gray" stroked="f">
                <v:path arrowok="t"/>
                <w10:wrap type="topAndBottom"/>
              </v:shape>
            </w:pict>
          </mc:Fallback>
        </mc:AlternateContent>
      </w:r>
    </w:p>
    <w:p w:rsidR="003F5784" w14:paraId="1E748C65" w14:textId="77777777">
      <w:pPr>
        <w:pStyle w:val="BodyText"/>
        <w:rPr>
          <w:sz w:val="18"/>
        </w:rPr>
      </w:pPr>
    </w:p>
    <w:p w:rsidR="003F5784" w14:paraId="783AB9E2" w14:textId="77777777">
      <w:pPr>
        <w:pStyle w:val="BodyText"/>
        <w:spacing w:before="193"/>
        <w:rPr>
          <w:sz w:val="18"/>
        </w:rPr>
      </w:pPr>
    </w:p>
    <w:p w:rsidR="003F5784" w14:paraId="7FF9FFF8" w14:textId="337709AD">
      <w:pPr>
        <w:pStyle w:val="Heading1"/>
        <w:spacing w:line="244" w:lineRule="auto"/>
      </w:pPr>
      <w:r>
        <w:t>NAEP</w:t>
      </w:r>
      <w:r>
        <w:rPr>
          <w:spacing w:val="-15"/>
        </w:rPr>
        <w:t xml:space="preserve"> </w:t>
      </w:r>
      <w:r>
        <w:t>Technical Documentation</w:t>
      </w:r>
      <w:r w:rsidR="00B145F2">
        <w:t xml:space="preserve"> </w:t>
      </w:r>
      <w:r>
        <w:t>Age Distribution Fractions for the 2022 Private School Long-Term Trend (LTT) Assessment</w:t>
      </w:r>
    </w:p>
    <w:p w:rsidR="003F5784" w14:paraId="34DDCA73" w14:textId="77777777">
      <w:pPr>
        <w:pStyle w:val="BodyText"/>
        <w:spacing w:before="287" w:line="232" w:lineRule="auto"/>
        <w:ind w:left="109" w:right="117"/>
      </w:pPr>
      <w:r>
        <w:t>Age</w:t>
      </w:r>
      <w:r>
        <w:rPr>
          <w:spacing w:val="-6"/>
        </w:rPr>
        <w:t xml:space="preserve"> </w:t>
      </w:r>
      <w:r>
        <w:t>distribution</w:t>
      </w:r>
      <w:r>
        <w:rPr>
          <w:spacing w:val="-6"/>
        </w:rPr>
        <w:t xml:space="preserve"> </w:t>
      </w:r>
      <w:r>
        <w:t>fractions</w:t>
      </w:r>
      <w:r>
        <w:rPr>
          <w:spacing w:val="-6"/>
        </w:rPr>
        <w:t xml:space="preserve"> </w:t>
      </w:r>
      <w:r>
        <w:t>are</w:t>
      </w:r>
      <w:r>
        <w:rPr>
          <w:spacing w:val="-6"/>
        </w:rPr>
        <w:t xml:space="preserve"> </w:t>
      </w:r>
      <w:r>
        <w:t>estimated</w:t>
      </w:r>
      <w:r>
        <w:rPr>
          <w:spacing w:val="-6"/>
        </w:rPr>
        <w:t xml:space="preserve"> </w:t>
      </w:r>
      <w:r>
        <w:t>proportions</w:t>
      </w:r>
      <w:r>
        <w:rPr>
          <w:spacing w:val="-6"/>
        </w:rPr>
        <w:t xml:space="preserve"> </w:t>
      </w:r>
      <w:r>
        <w:t>of</w:t>
      </w:r>
      <w:r>
        <w:rPr>
          <w:spacing w:val="-6"/>
        </w:rPr>
        <w:t xml:space="preserve"> </w:t>
      </w:r>
      <w:r>
        <w:t>students</w:t>
      </w:r>
      <w:r>
        <w:rPr>
          <w:spacing w:val="-6"/>
        </w:rPr>
        <w:t xml:space="preserve"> </w:t>
      </w:r>
      <w:r>
        <w:t>in</w:t>
      </w:r>
      <w:r>
        <w:rPr>
          <w:spacing w:val="-6"/>
        </w:rPr>
        <w:t xml:space="preserve"> </w:t>
      </w:r>
      <w:r>
        <w:t>each</w:t>
      </w:r>
      <w:r>
        <w:rPr>
          <w:spacing w:val="-6"/>
        </w:rPr>
        <w:t xml:space="preserve"> </w:t>
      </w:r>
      <w:r>
        <w:t>grade</w:t>
      </w:r>
      <w:r>
        <w:rPr>
          <w:spacing w:val="-6"/>
        </w:rPr>
        <w:t xml:space="preserve"> </w:t>
      </w:r>
      <w:r>
        <w:t>that</w:t>
      </w:r>
      <w:r>
        <w:rPr>
          <w:spacing w:val="-6"/>
        </w:rPr>
        <w:t xml:space="preserve"> </w:t>
      </w:r>
      <w:r>
        <w:t>are</w:t>
      </w:r>
      <w:r>
        <w:rPr>
          <w:spacing w:val="-6"/>
        </w:rPr>
        <w:t xml:space="preserve"> </w:t>
      </w:r>
      <w:r>
        <w:t>age-eligible</w:t>
      </w:r>
      <w:r>
        <w:rPr>
          <w:spacing w:val="-6"/>
        </w:rPr>
        <w:t xml:space="preserve"> </w:t>
      </w:r>
      <w:r>
        <w:t>for</w:t>
      </w:r>
      <w:r>
        <w:rPr>
          <w:spacing w:val="-6"/>
        </w:rPr>
        <w:t xml:space="preserve"> </w:t>
      </w:r>
      <w:r>
        <w:t>sampling.</w:t>
      </w:r>
      <w:r>
        <w:rPr>
          <w:spacing w:val="-10"/>
        </w:rPr>
        <w:t xml:space="preserve"> </w:t>
      </w:r>
      <w:r>
        <w:t>The</w:t>
      </w:r>
      <w:r>
        <w:rPr>
          <w:spacing w:val="-6"/>
        </w:rPr>
        <w:t xml:space="preserve"> </w:t>
      </w:r>
      <w:r>
        <w:t>fractions</w:t>
      </w:r>
      <w:r>
        <w:rPr>
          <w:spacing w:val="-6"/>
        </w:rPr>
        <w:t xml:space="preserve"> </w:t>
      </w:r>
      <w:r>
        <w:t>are</w:t>
      </w:r>
      <w:r>
        <w:rPr>
          <w:spacing w:val="-6"/>
        </w:rPr>
        <w:t xml:space="preserve"> </w:t>
      </w:r>
      <w:r>
        <w:t>components</w:t>
      </w:r>
      <w:r>
        <w:rPr>
          <w:spacing w:val="-6"/>
        </w:rPr>
        <w:t xml:space="preserve"> </w:t>
      </w:r>
      <w:r>
        <w:t>in</w:t>
      </w:r>
      <w:r>
        <w:rPr>
          <w:spacing w:val="-6"/>
        </w:rPr>
        <w:t xml:space="preserve"> </w:t>
      </w:r>
      <w:r>
        <w:t>the</w:t>
      </w:r>
      <w:r>
        <w:rPr>
          <w:spacing w:val="-6"/>
        </w:rPr>
        <w:t xml:space="preserve"> </w:t>
      </w:r>
      <w:r>
        <w:t>school</w:t>
      </w:r>
      <w:r>
        <w:rPr>
          <w:spacing w:val="-6"/>
        </w:rPr>
        <w:t xml:space="preserve"> </w:t>
      </w:r>
      <w:r>
        <w:t>measure</w:t>
      </w:r>
      <w:r>
        <w:rPr>
          <w:spacing w:val="-6"/>
        </w:rPr>
        <w:t xml:space="preserve"> </w:t>
      </w:r>
      <w:r>
        <w:t>of</w:t>
      </w:r>
      <w:r>
        <w:rPr>
          <w:spacing w:val="-6"/>
        </w:rPr>
        <w:t xml:space="preserve"> </w:t>
      </w:r>
      <w:r>
        <w:t>size.</w:t>
      </w:r>
      <w:r>
        <w:rPr>
          <w:spacing w:val="-6"/>
        </w:rPr>
        <w:t xml:space="preserve"> </w:t>
      </w:r>
      <w:r>
        <w:t>For ages 9 and 13, a breakout by every year of birth cohort represented in the relevant grades was fully carried out.</w:t>
      </w:r>
      <w:r>
        <w:rPr>
          <w:spacing w:val="-4"/>
        </w:rPr>
        <w:t xml:space="preserve"> </w:t>
      </w:r>
      <w:r>
        <w:t>The age distribution fractions for the 2020 LTT</w:t>
      </w:r>
      <w:r>
        <w:rPr>
          <w:spacing w:val="-4"/>
        </w:rPr>
        <w:t xml:space="preserve"> </w:t>
      </w:r>
      <w:r>
        <w:t>assessments were also used for 2022.</w:t>
      </w:r>
      <w:r>
        <w:rPr>
          <w:spacing w:val="-3"/>
        </w:rPr>
        <w:t xml:space="preserve"> </w:t>
      </w:r>
      <w:r>
        <w:t>The computation of the age distribution fractions for the age 9 and 13 assessments starts with estimates derived from the NAEP</w:t>
      </w:r>
      <w:r>
        <w:rPr>
          <w:spacing w:val="-7"/>
        </w:rPr>
        <w:t xml:space="preserve"> </w:t>
      </w:r>
      <w:r>
        <w:t xml:space="preserve">2017 reading and mathematics assessments. For grades 4 and 8, estimates of the percentages of students by year of birth were computed separately for public and private schools by census </w:t>
      </w:r>
      <w:r>
        <w:rPr>
          <w:spacing w:val="-2"/>
        </w:rPr>
        <w:t>region.</w:t>
      </w:r>
    </w:p>
    <w:p w:rsidR="003F5784" w14:paraId="3BAC7345" w14:textId="77777777">
      <w:pPr>
        <w:pStyle w:val="BodyText"/>
        <w:spacing w:before="210" w:line="232" w:lineRule="auto"/>
        <w:ind w:left="109" w:right="179"/>
      </w:pPr>
      <w:r>
        <w:t>These</w:t>
      </w:r>
      <w:r>
        <w:rPr>
          <w:spacing w:val="-7"/>
        </w:rPr>
        <w:t xml:space="preserve"> </w:t>
      </w:r>
      <w:r>
        <w:t>estimates</w:t>
      </w:r>
      <w:r>
        <w:rPr>
          <w:spacing w:val="-7"/>
        </w:rPr>
        <w:t xml:space="preserve"> </w:t>
      </w:r>
      <w:r>
        <w:t>were</w:t>
      </w:r>
      <w:r>
        <w:rPr>
          <w:spacing w:val="-7"/>
        </w:rPr>
        <w:t xml:space="preserve"> </w:t>
      </w:r>
      <w:r>
        <w:t>determined</w:t>
      </w:r>
      <w:r>
        <w:rPr>
          <w:spacing w:val="-7"/>
        </w:rPr>
        <w:t xml:space="preserve"> </w:t>
      </w:r>
      <w:r>
        <w:t>by</w:t>
      </w:r>
      <w:r>
        <w:rPr>
          <w:spacing w:val="-7"/>
        </w:rPr>
        <w:t xml:space="preserve"> </w:t>
      </w:r>
      <w:r>
        <w:t>first</w:t>
      </w:r>
      <w:r>
        <w:rPr>
          <w:spacing w:val="-7"/>
        </w:rPr>
        <w:t xml:space="preserve"> </w:t>
      </w:r>
      <w:r>
        <w:t>computing</w:t>
      </w:r>
      <w:r>
        <w:rPr>
          <w:spacing w:val="-7"/>
        </w:rPr>
        <w:t xml:space="preserve"> </w:t>
      </w:r>
      <w:r>
        <w:t>the</w:t>
      </w:r>
      <w:r>
        <w:rPr>
          <w:spacing w:val="-7"/>
        </w:rPr>
        <w:t xml:space="preserve"> </w:t>
      </w:r>
      <w:r>
        <w:t>weighted</w:t>
      </w:r>
      <w:r>
        <w:rPr>
          <w:spacing w:val="-7"/>
        </w:rPr>
        <w:t xml:space="preserve"> </w:t>
      </w:r>
      <w:r>
        <w:t>counts</w:t>
      </w:r>
      <w:r>
        <w:rPr>
          <w:spacing w:val="-7"/>
        </w:rPr>
        <w:t xml:space="preserve"> </w:t>
      </w:r>
      <w:r>
        <w:t>of</w:t>
      </w:r>
      <w:r>
        <w:rPr>
          <w:spacing w:val="-7"/>
        </w:rPr>
        <w:t xml:space="preserve"> </w:t>
      </w:r>
      <w:r>
        <w:t>assessed,</w:t>
      </w:r>
      <w:r>
        <w:rPr>
          <w:spacing w:val="-7"/>
        </w:rPr>
        <w:t xml:space="preserve"> </w:t>
      </w:r>
      <w:r>
        <w:t>absent,</w:t>
      </w:r>
      <w:r>
        <w:rPr>
          <w:spacing w:val="-7"/>
        </w:rPr>
        <w:t xml:space="preserve"> </w:t>
      </w:r>
      <w:r>
        <w:t>and</w:t>
      </w:r>
      <w:r>
        <w:rPr>
          <w:spacing w:val="-7"/>
        </w:rPr>
        <w:t xml:space="preserve"> </w:t>
      </w:r>
      <w:r>
        <w:t>excluded</w:t>
      </w:r>
      <w:r>
        <w:rPr>
          <w:spacing w:val="-7"/>
        </w:rPr>
        <w:t xml:space="preserve"> </w:t>
      </w:r>
      <w:r>
        <w:t>students</w:t>
      </w:r>
      <w:r>
        <w:rPr>
          <w:spacing w:val="-7"/>
        </w:rPr>
        <w:t xml:space="preserve"> </w:t>
      </w:r>
      <w:r>
        <w:t>for</w:t>
      </w:r>
      <w:r>
        <w:rPr>
          <w:spacing w:val="-7"/>
        </w:rPr>
        <w:t xml:space="preserve"> </w:t>
      </w:r>
      <w:r>
        <w:t>the</w:t>
      </w:r>
      <w:r>
        <w:rPr>
          <w:spacing w:val="-7"/>
        </w:rPr>
        <w:t xml:space="preserve"> </w:t>
      </w:r>
      <w:r>
        <w:t>NAEP</w:t>
      </w:r>
      <w:r>
        <w:rPr>
          <w:spacing w:val="-14"/>
        </w:rPr>
        <w:t xml:space="preserve"> </w:t>
      </w:r>
      <w:r>
        <w:t>2017</w:t>
      </w:r>
      <w:r>
        <w:rPr>
          <w:spacing w:val="-6"/>
        </w:rPr>
        <w:t xml:space="preserve"> </w:t>
      </w:r>
      <w:r>
        <w:t>reading</w:t>
      </w:r>
      <w:r>
        <w:rPr>
          <w:spacing w:val="-7"/>
        </w:rPr>
        <w:t xml:space="preserve"> </w:t>
      </w:r>
      <w:r>
        <w:t>and</w:t>
      </w:r>
      <w:r>
        <w:rPr>
          <w:spacing w:val="-7"/>
        </w:rPr>
        <w:t xml:space="preserve"> </w:t>
      </w:r>
      <w:r>
        <w:t>mathematics</w:t>
      </w:r>
      <w:r>
        <w:rPr>
          <w:spacing w:val="-7"/>
        </w:rPr>
        <w:t xml:space="preserve"> </w:t>
      </w:r>
      <w:r>
        <w:t>assessments and</w:t>
      </w:r>
      <w:r>
        <w:rPr>
          <w:spacing w:val="-2"/>
        </w:rPr>
        <w:t xml:space="preserve"> </w:t>
      </w:r>
      <w:r>
        <w:t>then</w:t>
      </w:r>
      <w:r>
        <w:rPr>
          <w:spacing w:val="-2"/>
        </w:rPr>
        <w:t xml:space="preserve"> </w:t>
      </w:r>
      <w:r>
        <w:t>aggregating</w:t>
      </w:r>
      <w:r>
        <w:rPr>
          <w:spacing w:val="-2"/>
        </w:rPr>
        <w:t xml:space="preserve"> </w:t>
      </w:r>
      <w:r>
        <w:t>them.</w:t>
      </w:r>
      <w:r>
        <w:rPr>
          <w:spacing w:val="-6"/>
        </w:rPr>
        <w:t xml:space="preserve"> </w:t>
      </w:r>
      <w:r>
        <w:t>The</w:t>
      </w:r>
      <w:r>
        <w:rPr>
          <w:spacing w:val="-2"/>
        </w:rPr>
        <w:t xml:space="preserve"> </w:t>
      </w:r>
      <w:r>
        <w:t>student</w:t>
      </w:r>
      <w:r>
        <w:rPr>
          <w:spacing w:val="-2"/>
        </w:rPr>
        <w:t xml:space="preserve"> </w:t>
      </w:r>
      <w:r>
        <w:t>base</w:t>
      </w:r>
      <w:r>
        <w:rPr>
          <w:spacing w:val="-2"/>
        </w:rPr>
        <w:t xml:space="preserve"> </w:t>
      </w:r>
      <w:r>
        <w:t>weights</w:t>
      </w:r>
      <w:r>
        <w:rPr>
          <w:spacing w:val="-2"/>
        </w:rPr>
        <w:t xml:space="preserve"> </w:t>
      </w:r>
      <w:r>
        <w:t>were</w:t>
      </w:r>
      <w:r>
        <w:rPr>
          <w:spacing w:val="-2"/>
        </w:rPr>
        <w:t xml:space="preserve"> </w:t>
      </w:r>
      <w:r>
        <w:t>used</w:t>
      </w:r>
      <w:r>
        <w:rPr>
          <w:spacing w:val="-2"/>
        </w:rPr>
        <w:t xml:space="preserve"> </w:t>
      </w:r>
      <w:r>
        <w:t>for</w:t>
      </w:r>
      <w:r>
        <w:rPr>
          <w:spacing w:val="-2"/>
        </w:rPr>
        <w:t xml:space="preserve"> </w:t>
      </w:r>
      <w:r>
        <w:t>this</w:t>
      </w:r>
      <w:r>
        <w:rPr>
          <w:spacing w:val="-2"/>
        </w:rPr>
        <w:t xml:space="preserve"> </w:t>
      </w:r>
      <w:r>
        <w:t>purpose.</w:t>
      </w:r>
      <w:r>
        <w:rPr>
          <w:spacing w:val="-6"/>
        </w:rPr>
        <w:t xml:space="preserve"> </w:t>
      </w:r>
      <w:r>
        <w:t>The</w:t>
      </w:r>
      <w:r>
        <w:rPr>
          <w:spacing w:val="-2"/>
        </w:rPr>
        <w:t xml:space="preserve"> </w:t>
      </w:r>
      <w:r>
        <w:t>weighted</w:t>
      </w:r>
      <w:r>
        <w:rPr>
          <w:spacing w:val="-2"/>
        </w:rPr>
        <w:t xml:space="preserve"> </w:t>
      </w:r>
      <w:r>
        <w:t>aggregations</w:t>
      </w:r>
      <w:r>
        <w:rPr>
          <w:spacing w:val="-2"/>
        </w:rPr>
        <w:t xml:space="preserve"> </w:t>
      </w:r>
      <w:r>
        <w:t>are</w:t>
      </w:r>
      <w:r>
        <w:rPr>
          <w:spacing w:val="-2"/>
        </w:rPr>
        <w:t xml:space="preserve"> </w:t>
      </w:r>
      <w:r>
        <w:t>estimates</w:t>
      </w:r>
      <w:r>
        <w:rPr>
          <w:spacing w:val="-2"/>
        </w:rPr>
        <w:t xml:space="preserve"> </w:t>
      </w:r>
      <w:r>
        <w:t>of</w:t>
      </w:r>
      <w:r>
        <w:rPr>
          <w:spacing w:val="-2"/>
        </w:rPr>
        <w:t xml:space="preserve"> </w:t>
      </w:r>
      <w:r>
        <w:t>the</w:t>
      </w:r>
      <w:r>
        <w:rPr>
          <w:spacing w:val="-2"/>
        </w:rPr>
        <w:t xml:space="preserve"> </w:t>
      </w:r>
      <w:r>
        <w:t>total</w:t>
      </w:r>
      <w:r>
        <w:rPr>
          <w:spacing w:val="-2"/>
        </w:rPr>
        <w:t xml:space="preserve"> </w:t>
      </w:r>
      <w:r>
        <w:t>number</w:t>
      </w:r>
      <w:r>
        <w:rPr>
          <w:spacing w:val="-2"/>
        </w:rPr>
        <w:t xml:space="preserve"> </w:t>
      </w:r>
      <w:r>
        <w:t>of</w:t>
      </w:r>
      <w:r>
        <w:rPr>
          <w:spacing w:val="-2"/>
        </w:rPr>
        <w:t xml:space="preserve"> </w:t>
      </w:r>
      <w:r>
        <w:t>students</w:t>
      </w:r>
      <w:r>
        <w:rPr>
          <w:spacing w:val="-2"/>
        </w:rPr>
        <w:t xml:space="preserve"> </w:t>
      </w:r>
      <w:r>
        <w:t>by</w:t>
      </w:r>
      <w:r>
        <w:rPr>
          <w:spacing w:val="-2"/>
        </w:rPr>
        <w:t xml:space="preserve"> </w:t>
      </w:r>
      <w:r>
        <w:t>year</w:t>
      </w:r>
      <w:r>
        <w:rPr>
          <w:spacing w:val="-2"/>
        </w:rPr>
        <w:t xml:space="preserve"> </w:t>
      </w:r>
      <w:r>
        <w:t>of</w:t>
      </w:r>
      <w:r>
        <w:rPr>
          <w:spacing w:val="-2"/>
        </w:rPr>
        <w:t xml:space="preserve"> </w:t>
      </w:r>
      <w:r>
        <w:t>birth</w:t>
      </w:r>
      <w:r>
        <w:rPr>
          <w:spacing w:val="-2"/>
        </w:rPr>
        <w:t xml:space="preserve"> </w:t>
      </w:r>
      <w:r>
        <w:t>for grade 4 in the school year 2016–2017.</w:t>
      </w:r>
      <w:r>
        <w:rPr>
          <w:spacing w:val="-1"/>
        </w:rPr>
        <w:t xml:space="preserve"> </w:t>
      </w:r>
      <w:r>
        <w:t>The tables below present these estimates by region for fourth grade for private schools.</w:t>
      </w:r>
    </w:p>
    <w:p w:rsidR="003F5784" w14:paraId="61CF0192" w14:textId="77777777">
      <w:pPr>
        <w:spacing w:line="232" w:lineRule="auto"/>
        <w:sectPr>
          <w:pgSz w:w="15840" w:h="12240" w:orient="landscape"/>
          <w:pgMar w:top="480" w:right="440" w:bottom="460" w:left="460" w:header="284" w:footer="275" w:gutter="0"/>
          <w:cols w:space="720"/>
        </w:sectPr>
      </w:pPr>
    </w:p>
    <w:p w:rsidR="003F5784" w14:paraId="5D7C2045" w14:textId="77777777">
      <w:pPr>
        <w:pStyle w:val="Heading2"/>
        <w:spacing w:before="203"/>
      </w:pPr>
      <w:r>
        <w:t>Weighted</w:t>
      </w:r>
      <w:r>
        <w:rPr>
          <w:spacing w:val="-9"/>
        </w:rPr>
        <w:t xml:space="preserve"> </w:t>
      </w:r>
      <w:r>
        <w:t>aggregations</w:t>
      </w:r>
      <w:r>
        <w:rPr>
          <w:spacing w:val="-9"/>
        </w:rPr>
        <w:t xml:space="preserve"> </w:t>
      </w:r>
      <w:r>
        <w:t>and</w:t>
      </w:r>
      <w:r>
        <w:rPr>
          <w:spacing w:val="-9"/>
        </w:rPr>
        <w:t xml:space="preserve"> </w:t>
      </w:r>
      <w:r>
        <w:t>proportions</w:t>
      </w:r>
      <w:r>
        <w:rPr>
          <w:spacing w:val="-8"/>
        </w:rPr>
        <w:t xml:space="preserve"> </w:t>
      </w:r>
      <w:r>
        <w:t>from</w:t>
      </w:r>
      <w:r>
        <w:rPr>
          <w:spacing w:val="-9"/>
        </w:rPr>
        <w:t xml:space="preserve"> </w:t>
      </w:r>
      <w:r>
        <w:t>the</w:t>
      </w:r>
      <w:r>
        <w:rPr>
          <w:spacing w:val="-9"/>
        </w:rPr>
        <w:t xml:space="preserve"> </w:t>
      </w:r>
      <w:r>
        <w:t>grade</w:t>
      </w:r>
      <w:r>
        <w:rPr>
          <w:spacing w:val="-8"/>
        </w:rPr>
        <w:t xml:space="preserve"> </w:t>
      </w:r>
      <w:r>
        <w:t>4</w:t>
      </w:r>
      <w:r>
        <w:rPr>
          <w:spacing w:val="-9"/>
        </w:rPr>
        <w:t xml:space="preserve"> </w:t>
      </w:r>
      <w:r>
        <w:t>reading</w:t>
      </w:r>
      <w:r>
        <w:rPr>
          <w:spacing w:val="-9"/>
        </w:rPr>
        <w:t xml:space="preserve"> </w:t>
      </w:r>
      <w:r>
        <w:t>and</w:t>
      </w:r>
      <w:r>
        <w:rPr>
          <w:spacing w:val="-9"/>
        </w:rPr>
        <w:t xml:space="preserve"> </w:t>
      </w:r>
      <w:r>
        <w:t>mathematics</w:t>
      </w:r>
      <w:r>
        <w:rPr>
          <w:spacing w:val="-8"/>
        </w:rPr>
        <w:t xml:space="preserve"> </w:t>
      </w:r>
      <w:r>
        <w:t>assessments,</w:t>
      </w:r>
      <w:r>
        <w:rPr>
          <w:spacing w:val="-9"/>
        </w:rPr>
        <w:t xml:space="preserve"> </w:t>
      </w:r>
      <w:r>
        <w:t>private</w:t>
      </w:r>
      <w:r>
        <w:rPr>
          <w:spacing w:val="-9"/>
        </w:rPr>
        <w:t xml:space="preserve"> </w:t>
      </w:r>
      <w:r>
        <w:t>schools</w:t>
      </w:r>
      <w:r>
        <w:rPr>
          <w:spacing w:val="-8"/>
        </w:rPr>
        <w:t xml:space="preserve"> </w:t>
      </w:r>
      <w:r>
        <w:t>Northeast</w:t>
      </w:r>
      <w:r>
        <w:rPr>
          <w:spacing w:val="-9"/>
        </w:rPr>
        <w:t xml:space="preserve"> </w:t>
      </w:r>
      <w:r>
        <w:t>region,</w:t>
      </w:r>
      <w:r>
        <w:rPr>
          <w:spacing w:val="-9"/>
        </w:rPr>
        <w:t xml:space="preserve"> </w:t>
      </w:r>
      <w:r>
        <w:t>by</w:t>
      </w:r>
      <w:r>
        <w:rPr>
          <w:spacing w:val="-8"/>
        </w:rPr>
        <w:t xml:space="preserve"> </w:t>
      </w:r>
      <w:r>
        <w:t>year</w:t>
      </w:r>
      <w:r>
        <w:rPr>
          <w:spacing w:val="-13"/>
        </w:rPr>
        <w:t xml:space="preserve"> </w:t>
      </w:r>
      <w:r>
        <w:t>of</w:t>
      </w:r>
      <w:r>
        <w:rPr>
          <w:spacing w:val="-8"/>
        </w:rPr>
        <w:t xml:space="preserve"> </w:t>
      </w:r>
      <w:r>
        <w:t>birth:</w:t>
      </w:r>
      <w:r>
        <w:rPr>
          <w:spacing w:val="-9"/>
        </w:rPr>
        <w:t xml:space="preserve"> </w:t>
      </w:r>
      <w:r>
        <w:rPr>
          <w:spacing w:val="-4"/>
        </w:rPr>
        <w:t>2017</w:t>
      </w:r>
    </w:p>
    <w:p w:rsidR="003F5784" w14:paraId="7DEED5EC"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3447"/>
        <w:gridCol w:w="6396"/>
        <w:gridCol w:w="4140"/>
      </w:tblGrid>
      <w:tr w14:paraId="01B8FBB9" w14:textId="77777777">
        <w:tblPrEx>
          <w:tblW w:w="0" w:type="auto"/>
          <w:tblInd w:w="482" w:type="dxa"/>
          <w:tblLayout w:type="fixed"/>
          <w:tblCellMar>
            <w:left w:w="0" w:type="dxa"/>
            <w:right w:w="0" w:type="dxa"/>
          </w:tblCellMar>
          <w:tblLook w:val="01E0"/>
        </w:tblPrEx>
        <w:trPr>
          <w:trHeight w:val="267"/>
        </w:trPr>
        <w:tc>
          <w:tcPr>
            <w:tcW w:w="3447" w:type="dxa"/>
            <w:tcBorders>
              <w:top w:val="single" w:sz="18" w:space="0" w:color="800000"/>
              <w:bottom w:val="single" w:sz="18" w:space="0" w:color="800000"/>
            </w:tcBorders>
          </w:tcPr>
          <w:p w:rsidR="003F5784" w14:paraId="4E91BD4A" w14:textId="77777777">
            <w:pPr>
              <w:pStyle w:val="TableParagraph"/>
              <w:spacing w:before="9" w:line="238" w:lineRule="exact"/>
              <w:ind w:left="120"/>
              <w:jc w:val="left"/>
              <w:rPr>
                <w:sz w:val="21"/>
              </w:rPr>
            </w:pPr>
            <w:r>
              <w:rPr>
                <w:spacing w:val="-2"/>
                <w:sz w:val="21"/>
              </w:rPr>
              <w:t>Year</w:t>
            </w:r>
            <w:r>
              <w:rPr>
                <w:spacing w:val="-9"/>
                <w:sz w:val="21"/>
              </w:rPr>
              <w:t xml:space="preserve"> </w:t>
            </w:r>
            <w:r>
              <w:rPr>
                <w:spacing w:val="-2"/>
                <w:sz w:val="21"/>
              </w:rPr>
              <w:t>of</w:t>
            </w:r>
            <w:r>
              <w:rPr>
                <w:spacing w:val="-8"/>
                <w:sz w:val="21"/>
              </w:rPr>
              <w:t xml:space="preserve"> </w:t>
            </w:r>
            <w:r>
              <w:rPr>
                <w:spacing w:val="-2"/>
                <w:sz w:val="21"/>
              </w:rPr>
              <w:t>birth</w:t>
            </w:r>
          </w:p>
        </w:tc>
        <w:tc>
          <w:tcPr>
            <w:tcW w:w="6396" w:type="dxa"/>
            <w:tcBorders>
              <w:top w:val="single" w:sz="18" w:space="0" w:color="800000"/>
              <w:bottom w:val="single" w:sz="18" w:space="0" w:color="800000"/>
            </w:tcBorders>
          </w:tcPr>
          <w:p w:rsidR="003F5784" w14:paraId="481791C7" w14:textId="77777777">
            <w:pPr>
              <w:pStyle w:val="TableParagraph"/>
              <w:spacing w:before="9" w:line="238" w:lineRule="exact"/>
              <w:ind w:right="2211"/>
              <w:rPr>
                <w:sz w:val="21"/>
              </w:rPr>
            </w:pPr>
            <w:r>
              <w:rPr>
                <w:spacing w:val="-2"/>
                <w:sz w:val="21"/>
              </w:rPr>
              <w:t>Weighted</w:t>
            </w:r>
            <w:r>
              <w:rPr>
                <w:spacing w:val="-11"/>
                <w:sz w:val="21"/>
              </w:rPr>
              <w:t xml:space="preserve"> </w:t>
            </w:r>
            <w:r>
              <w:rPr>
                <w:spacing w:val="-2"/>
                <w:sz w:val="21"/>
              </w:rPr>
              <w:t>aggregations</w:t>
            </w:r>
          </w:p>
        </w:tc>
        <w:tc>
          <w:tcPr>
            <w:tcW w:w="4140" w:type="dxa"/>
            <w:tcBorders>
              <w:top w:val="single" w:sz="18" w:space="0" w:color="800000"/>
              <w:bottom w:val="single" w:sz="18" w:space="0" w:color="800000"/>
            </w:tcBorders>
          </w:tcPr>
          <w:p w:rsidR="003F5784" w14:paraId="4B406D96" w14:textId="77777777">
            <w:pPr>
              <w:pStyle w:val="TableParagraph"/>
              <w:spacing w:before="9" w:line="238" w:lineRule="exact"/>
              <w:ind w:right="116"/>
              <w:rPr>
                <w:sz w:val="21"/>
              </w:rPr>
            </w:pPr>
            <w:r>
              <w:rPr>
                <w:spacing w:val="-2"/>
                <w:sz w:val="21"/>
              </w:rPr>
              <w:t>Weighted</w:t>
            </w:r>
            <w:r>
              <w:rPr>
                <w:spacing w:val="-11"/>
                <w:sz w:val="21"/>
              </w:rPr>
              <w:t xml:space="preserve"> </w:t>
            </w:r>
            <w:r>
              <w:rPr>
                <w:spacing w:val="-2"/>
                <w:sz w:val="21"/>
              </w:rPr>
              <w:t>proportions</w:t>
            </w:r>
          </w:p>
        </w:tc>
      </w:tr>
      <w:tr w14:paraId="38FF433D" w14:textId="77777777">
        <w:tblPrEx>
          <w:tblW w:w="0" w:type="auto"/>
          <w:tblInd w:w="482" w:type="dxa"/>
          <w:tblLayout w:type="fixed"/>
          <w:tblCellMar>
            <w:left w:w="0" w:type="dxa"/>
            <w:right w:w="0" w:type="dxa"/>
          </w:tblCellMar>
          <w:tblLook w:val="01E0"/>
        </w:tblPrEx>
        <w:trPr>
          <w:trHeight w:val="278"/>
        </w:trPr>
        <w:tc>
          <w:tcPr>
            <w:tcW w:w="3447" w:type="dxa"/>
            <w:tcBorders>
              <w:top w:val="single" w:sz="18" w:space="0" w:color="800000"/>
            </w:tcBorders>
          </w:tcPr>
          <w:p w:rsidR="003F5784" w14:paraId="309D8EB9" w14:textId="77777777">
            <w:pPr>
              <w:pStyle w:val="TableParagraph"/>
              <w:spacing w:before="9"/>
              <w:ind w:left="370"/>
              <w:jc w:val="left"/>
              <w:rPr>
                <w:b/>
                <w:sz w:val="21"/>
              </w:rPr>
            </w:pPr>
            <w:r>
              <w:rPr>
                <w:b/>
                <w:spacing w:val="-2"/>
                <w:sz w:val="21"/>
              </w:rPr>
              <w:t>Total</w:t>
            </w:r>
          </w:p>
        </w:tc>
        <w:tc>
          <w:tcPr>
            <w:tcW w:w="6396" w:type="dxa"/>
            <w:tcBorders>
              <w:top w:val="single" w:sz="18" w:space="0" w:color="800000"/>
            </w:tcBorders>
          </w:tcPr>
          <w:p w:rsidR="003F5784" w14:paraId="277910A0" w14:textId="77777777">
            <w:pPr>
              <w:pStyle w:val="TableParagraph"/>
              <w:spacing w:before="9"/>
              <w:ind w:right="2211"/>
              <w:rPr>
                <w:b/>
                <w:sz w:val="21"/>
              </w:rPr>
            </w:pPr>
            <w:r>
              <w:rPr>
                <w:b/>
                <w:spacing w:val="-2"/>
                <w:sz w:val="21"/>
              </w:rPr>
              <w:t>59,000</w:t>
            </w:r>
          </w:p>
        </w:tc>
        <w:tc>
          <w:tcPr>
            <w:tcW w:w="4140" w:type="dxa"/>
            <w:tcBorders>
              <w:top w:val="single" w:sz="18" w:space="0" w:color="800000"/>
            </w:tcBorders>
          </w:tcPr>
          <w:p w:rsidR="003F5784" w14:paraId="6A7F8431" w14:textId="77777777">
            <w:pPr>
              <w:pStyle w:val="TableParagraph"/>
              <w:spacing w:before="9"/>
              <w:ind w:right="116"/>
              <w:rPr>
                <w:b/>
                <w:sz w:val="21"/>
              </w:rPr>
            </w:pPr>
            <w:r>
              <w:rPr>
                <w:b/>
                <w:spacing w:val="-4"/>
                <w:sz w:val="21"/>
              </w:rPr>
              <w:t>1.00</w:t>
            </w:r>
          </w:p>
        </w:tc>
      </w:tr>
      <w:tr w14:paraId="71735457" w14:textId="77777777">
        <w:tblPrEx>
          <w:tblW w:w="0" w:type="auto"/>
          <w:tblInd w:w="482" w:type="dxa"/>
          <w:tblLayout w:type="fixed"/>
          <w:tblCellMar>
            <w:left w:w="0" w:type="dxa"/>
            <w:right w:w="0" w:type="dxa"/>
          </w:tblCellMar>
          <w:tblLook w:val="01E0"/>
        </w:tblPrEx>
        <w:trPr>
          <w:trHeight w:val="286"/>
        </w:trPr>
        <w:tc>
          <w:tcPr>
            <w:tcW w:w="3447" w:type="dxa"/>
          </w:tcPr>
          <w:p w:rsidR="003F5784" w14:paraId="33C3432B" w14:textId="77777777">
            <w:pPr>
              <w:pStyle w:val="TableParagraph"/>
              <w:ind w:left="120"/>
              <w:jc w:val="left"/>
              <w:rPr>
                <w:sz w:val="21"/>
              </w:rPr>
            </w:pPr>
            <w:r>
              <w:rPr>
                <w:spacing w:val="-4"/>
                <w:sz w:val="21"/>
              </w:rPr>
              <w:t>2003</w:t>
            </w:r>
          </w:p>
        </w:tc>
        <w:tc>
          <w:tcPr>
            <w:tcW w:w="6396" w:type="dxa"/>
          </w:tcPr>
          <w:p w:rsidR="003F5784" w14:paraId="64F49173" w14:textId="77777777">
            <w:pPr>
              <w:pStyle w:val="TableParagraph"/>
              <w:ind w:right="2211"/>
              <w:rPr>
                <w:sz w:val="21"/>
              </w:rPr>
            </w:pPr>
            <w:r>
              <w:rPr>
                <w:spacing w:val="-5"/>
                <w:sz w:val="21"/>
              </w:rPr>
              <w:t>33</w:t>
            </w:r>
          </w:p>
        </w:tc>
        <w:tc>
          <w:tcPr>
            <w:tcW w:w="4140" w:type="dxa"/>
          </w:tcPr>
          <w:p w:rsidR="003F5784" w14:paraId="157CD7E6" w14:textId="77777777">
            <w:pPr>
              <w:pStyle w:val="TableParagraph"/>
              <w:ind w:right="116"/>
              <w:rPr>
                <w:sz w:val="21"/>
              </w:rPr>
            </w:pPr>
            <w:r>
              <w:rPr>
                <w:spacing w:val="-10"/>
                <w:sz w:val="21"/>
              </w:rPr>
              <w:t>#</w:t>
            </w:r>
          </w:p>
        </w:tc>
      </w:tr>
      <w:tr w14:paraId="05E7AC79" w14:textId="77777777">
        <w:tblPrEx>
          <w:tblW w:w="0" w:type="auto"/>
          <w:tblInd w:w="482" w:type="dxa"/>
          <w:tblLayout w:type="fixed"/>
          <w:tblCellMar>
            <w:left w:w="0" w:type="dxa"/>
            <w:right w:w="0" w:type="dxa"/>
          </w:tblCellMar>
          <w:tblLook w:val="01E0"/>
        </w:tblPrEx>
        <w:trPr>
          <w:trHeight w:val="286"/>
        </w:trPr>
        <w:tc>
          <w:tcPr>
            <w:tcW w:w="3447" w:type="dxa"/>
          </w:tcPr>
          <w:p w:rsidR="003F5784" w14:paraId="707779E0" w14:textId="77777777">
            <w:pPr>
              <w:pStyle w:val="TableParagraph"/>
              <w:ind w:left="120"/>
              <w:jc w:val="left"/>
              <w:rPr>
                <w:sz w:val="21"/>
              </w:rPr>
            </w:pPr>
            <w:r>
              <w:rPr>
                <w:spacing w:val="-4"/>
                <w:sz w:val="21"/>
              </w:rPr>
              <w:t>2004</w:t>
            </w:r>
          </w:p>
        </w:tc>
        <w:tc>
          <w:tcPr>
            <w:tcW w:w="6396" w:type="dxa"/>
          </w:tcPr>
          <w:p w:rsidR="003F5784" w14:paraId="328B7259" w14:textId="77777777">
            <w:pPr>
              <w:pStyle w:val="TableParagraph"/>
              <w:ind w:right="2211"/>
              <w:rPr>
                <w:sz w:val="21"/>
              </w:rPr>
            </w:pPr>
            <w:r>
              <w:rPr>
                <w:spacing w:val="-5"/>
                <w:sz w:val="21"/>
              </w:rPr>
              <w:t>33</w:t>
            </w:r>
          </w:p>
        </w:tc>
        <w:tc>
          <w:tcPr>
            <w:tcW w:w="4140" w:type="dxa"/>
          </w:tcPr>
          <w:p w:rsidR="003F5784" w14:paraId="2AAE906F" w14:textId="77777777">
            <w:pPr>
              <w:pStyle w:val="TableParagraph"/>
              <w:ind w:right="116"/>
              <w:rPr>
                <w:sz w:val="21"/>
              </w:rPr>
            </w:pPr>
            <w:r>
              <w:rPr>
                <w:spacing w:val="-10"/>
                <w:sz w:val="21"/>
              </w:rPr>
              <w:t>#</w:t>
            </w:r>
          </w:p>
        </w:tc>
      </w:tr>
      <w:tr w14:paraId="4C3305E7" w14:textId="77777777">
        <w:tblPrEx>
          <w:tblW w:w="0" w:type="auto"/>
          <w:tblInd w:w="482" w:type="dxa"/>
          <w:tblLayout w:type="fixed"/>
          <w:tblCellMar>
            <w:left w:w="0" w:type="dxa"/>
            <w:right w:w="0" w:type="dxa"/>
          </w:tblCellMar>
          <w:tblLook w:val="01E0"/>
        </w:tblPrEx>
        <w:trPr>
          <w:trHeight w:val="286"/>
        </w:trPr>
        <w:tc>
          <w:tcPr>
            <w:tcW w:w="3447" w:type="dxa"/>
          </w:tcPr>
          <w:p w:rsidR="003F5784" w14:paraId="23D04FA3" w14:textId="77777777">
            <w:pPr>
              <w:pStyle w:val="TableParagraph"/>
              <w:ind w:left="120"/>
              <w:jc w:val="left"/>
              <w:rPr>
                <w:sz w:val="21"/>
              </w:rPr>
            </w:pPr>
            <w:r>
              <w:rPr>
                <w:spacing w:val="-4"/>
                <w:sz w:val="21"/>
              </w:rPr>
              <w:t>2005</w:t>
            </w:r>
          </w:p>
        </w:tc>
        <w:tc>
          <w:tcPr>
            <w:tcW w:w="6396" w:type="dxa"/>
          </w:tcPr>
          <w:p w:rsidR="003F5784" w14:paraId="098BE41B" w14:textId="77777777">
            <w:pPr>
              <w:pStyle w:val="TableParagraph"/>
              <w:ind w:right="2211"/>
              <w:rPr>
                <w:sz w:val="21"/>
              </w:rPr>
            </w:pPr>
            <w:r>
              <w:rPr>
                <w:spacing w:val="-5"/>
                <w:sz w:val="21"/>
              </w:rPr>
              <w:t>293</w:t>
            </w:r>
          </w:p>
        </w:tc>
        <w:tc>
          <w:tcPr>
            <w:tcW w:w="4140" w:type="dxa"/>
          </w:tcPr>
          <w:p w:rsidR="003F5784" w14:paraId="56BA82A6" w14:textId="77777777">
            <w:pPr>
              <w:pStyle w:val="TableParagraph"/>
              <w:ind w:right="116"/>
              <w:rPr>
                <w:sz w:val="21"/>
              </w:rPr>
            </w:pPr>
            <w:r>
              <w:rPr>
                <w:spacing w:val="-10"/>
                <w:sz w:val="21"/>
              </w:rPr>
              <w:t>#</w:t>
            </w:r>
          </w:p>
        </w:tc>
      </w:tr>
      <w:tr w14:paraId="082FE65C" w14:textId="77777777">
        <w:tblPrEx>
          <w:tblW w:w="0" w:type="auto"/>
          <w:tblInd w:w="482" w:type="dxa"/>
          <w:tblLayout w:type="fixed"/>
          <w:tblCellMar>
            <w:left w:w="0" w:type="dxa"/>
            <w:right w:w="0" w:type="dxa"/>
          </w:tblCellMar>
          <w:tblLook w:val="01E0"/>
        </w:tblPrEx>
        <w:trPr>
          <w:trHeight w:val="286"/>
        </w:trPr>
        <w:tc>
          <w:tcPr>
            <w:tcW w:w="3447" w:type="dxa"/>
          </w:tcPr>
          <w:p w:rsidR="003F5784" w14:paraId="5C764276" w14:textId="77777777">
            <w:pPr>
              <w:pStyle w:val="TableParagraph"/>
              <w:ind w:left="120"/>
              <w:jc w:val="left"/>
              <w:rPr>
                <w:sz w:val="21"/>
              </w:rPr>
            </w:pPr>
            <w:r>
              <w:rPr>
                <w:spacing w:val="-4"/>
                <w:sz w:val="21"/>
              </w:rPr>
              <w:t>2006</w:t>
            </w:r>
          </w:p>
        </w:tc>
        <w:tc>
          <w:tcPr>
            <w:tcW w:w="6396" w:type="dxa"/>
          </w:tcPr>
          <w:p w:rsidR="003F5784" w14:paraId="3FE09703" w14:textId="77777777">
            <w:pPr>
              <w:pStyle w:val="TableParagraph"/>
              <w:ind w:right="2211"/>
              <w:rPr>
                <w:sz w:val="21"/>
              </w:rPr>
            </w:pPr>
            <w:r>
              <w:rPr>
                <w:spacing w:val="-2"/>
                <w:sz w:val="21"/>
              </w:rPr>
              <w:t>16,000</w:t>
            </w:r>
          </w:p>
        </w:tc>
        <w:tc>
          <w:tcPr>
            <w:tcW w:w="4140" w:type="dxa"/>
          </w:tcPr>
          <w:p w:rsidR="003F5784" w14:paraId="260E2861" w14:textId="77777777">
            <w:pPr>
              <w:pStyle w:val="TableParagraph"/>
              <w:ind w:right="116"/>
              <w:rPr>
                <w:sz w:val="21"/>
              </w:rPr>
            </w:pPr>
            <w:r>
              <w:rPr>
                <w:spacing w:val="-4"/>
                <w:sz w:val="21"/>
              </w:rPr>
              <w:t>0.26</w:t>
            </w:r>
          </w:p>
        </w:tc>
      </w:tr>
      <w:tr w14:paraId="41F345C8" w14:textId="77777777">
        <w:tblPrEx>
          <w:tblW w:w="0" w:type="auto"/>
          <w:tblInd w:w="482" w:type="dxa"/>
          <w:tblLayout w:type="fixed"/>
          <w:tblCellMar>
            <w:left w:w="0" w:type="dxa"/>
            <w:right w:w="0" w:type="dxa"/>
          </w:tblCellMar>
          <w:tblLook w:val="01E0"/>
        </w:tblPrEx>
        <w:trPr>
          <w:trHeight w:val="286"/>
        </w:trPr>
        <w:tc>
          <w:tcPr>
            <w:tcW w:w="3447" w:type="dxa"/>
          </w:tcPr>
          <w:p w:rsidR="003F5784" w14:paraId="30A51816" w14:textId="77777777">
            <w:pPr>
              <w:pStyle w:val="TableParagraph"/>
              <w:ind w:left="120"/>
              <w:jc w:val="left"/>
              <w:rPr>
                <w:sz w:val="21"/>
              </w:rPr>
            </w:pPr>
            <w:r>
              <w:rPr>
                <w:spacing w:val="-4"/>
                <w:sz w:val="21"/>
              </w:rPr>
              <w:t>2007</w:t>
            </w:r>
          </w:p>
        </w:tc>
        <w:tc>
          <w:tcPr>
            <w:tcW w:w="6396" w:type="dxa"/>
          </w:tcPr>
          <w:p w:rsidR="003F5784" w14:paraId="4899D477" w14:textId="77777777">
            <w:pPr>
              <w:pStyle w:val="TableParagraph"/>
              <w:ind w:right="2211"/>
              <w:rPr>
                <w:sz w:val="21"/>
              </w:rPr>
            </w:pPr>
            <w:r>
              <w:rPr>
                <w:spacing w:val="-2"/>
                <w:sz w:val="21"/>
              </w:rPr>
              <w:t>43,000</w:t>
            </w:r>
          </w:p>
        </w:tc>
        <w:tc>
          <w:tcPr>
            <w:tcW w:w="4140" w:type="dxa"/>
          </w:tcPr>
          <w:p w:rsidR="003F5784" w14:paraId="5078B637" w14:textId="77777777">
            <w:pPr>
              <w:pStyle w:val="TableParagraph"/>
              <w:ind w:right="116"/>
              <w:rPr>
                <w:sz w:val="21"/>
              </w:rPr>
            </w:pPr>
            <w:r>
              <w:rPr>
                <w:spacing w:val="-4"/>
                <w:sz w:val="21"/>
              </w:rPr>
              <w:t>0.73</w:t>
            </w:r>
          </w:p>
        </w:tc>
      </w:tr>
      <w:tr w14:paraId="299DEEBE" w14:textId="77777777">
        <w:tblPrEx>
          <w:tblW w:w="0" w:type="auto"/>
          <w:tblInd w:w="482" w:type="dxa"/>
          <w:tblLayout w:type="fixed"/>
          <w:tblCellMar>
            <w:left w:w="0" w:type="dxa"/>
            <w:right w:w="0" w:type="dxa"/>
          </w:tblCellMar>
          <w:tblLook w:val="01E0"/>
        </w:tblPrEx>
        <w:trPr>
          <w:trHeight w:val="286"/>
        </w:trPr>
        <w:tc>
          <w:tcPr>
            <w:tcW w:w="3447" w:type="dxa"/>
          </w:tcPr>
          <w:p w:rsidR="003F5784" w14:paraId="2CC8CF6A" w14:textId="77777777">
            <w:pPr>
              <w:pStyle w:val="TableParagraph"/>
              <w:ind w:left="120"/>
              <w:jc w:val="left"/>
              <w:rPr>
                <w:sz w:val="21"/>
              </w:rPr>
            </w:pPr>
            <w:r>
              <w:rPr>
                <w:spacing w:val="-4"/>
                <w:sz w:val="21"/>
              </w:rPr>
              <w:t>2008</w:t>
            </w:r>
          </w:p>
        </w:tc>
        <w:tc>
          <w:tcPr>
            <w:tcW w:w="6396" w:type="dxa"/>
          </w:tcPr>
          <w:p w:rsidR="003F5784" w14:paraId="2EC9F378" w14:textId="77777777">
            <w:pPr>
              <w:pStyle w:val="TableParagraph"/>
              <w:ind w:right="2211"/>
              <w:rPr>
                <w:sz w:val="21"/>
              </w:rPr>
            </w:pPr>
            <w:r>
              <w:rPr>
                <w:spacing w:val="-5"/>
                <w:sz w:val="21"/>
              </w:rPr>
              <w:t>335</w:t>
            </w:r>
          </w:p>
        </w:tc>
        <w:tc>
          <w:tcPr>
            <w:tcW w:w="4140" w:type="dxa"/>
          </w:tcPr>
          <w:p w:rsidR="003F5784" w14:paraId="148E13E5" w14:textId="77777777">
            <w:pPr>
              <w:pStyle w:val="TableParagraph"/>
              <w:ind w:right="116"/>
              <w:rPr>
                <w:sz w:val="21"/>
              </w:rPr>
            </w:pPr>
            <w:r>
              <w:rPr>
                <w:spacing w:val="-4"/>
                <w:sz w:val="21"/>
              </w:rPr>
              <w:t>0.01</w:t>
            </w:r>
          </w:p>
        </w:tc>
      </w:tr>
      <w:tr w14:paraId="06B60083" w14:textId="77777777">
        <w:tblPrEx>
          <w:tblW w:w="0" w:type="auto"/>
          <w:tblInd w:w="482" w:type="dxa"/>
          <w:tblLayout w:type="fixed"/>
          <w:tblCellMar>
            <w:left w:w="0" w:type="dxa"/>
            <w:right w:w="0" w:type="dxa"/>
          </w:tblCellMar>
          <w:tblLook w:val="01E0"/>
        </w:tblPrEx>
        <w:trPr>
          <w:trHeight w:val="288"/>
        </w:trPr>
        <w:tc>
          <w:tcPr>
            <w:tcW w:w="3447" w:type="dxa"/>
            <w:tcBorders>
              <w:bottom w:val="single" w:sz="18" w:space="0" w:color="800000"/>
            </w:tcBorders>
          </w:tcPr>
          <w:p w:rsidR="003F5784" w14:paraId="2ADCAB7E" w14:textId="77777777">
            <w:pPr>
              <w:pStyle w:val="TableParagraph"/>
              <w:ind w:left="120"/>
              <w:jc w:val="left"/>
              <w:rPr>
                <w:sz w:val="21"/>
              </w:rPr>
            </w:pPr>
            <w:r>
              <w:rPr>
                <w:spacing w:val="-4"/>
                <w:sz w:val="21"/>
              </w:rPr>
              <w:t>2009</w:t>
            </w:r>
          </w:p>
        </w:tc>
        <w:tc>
          <w:tcPr>
            <w:tcW w:w="6396" w:type="dxa"/>
            <w:tcBorders>
              <w:bottom w:val="single" w:sz="18" w:space="0" w:color="800000"/>
            </w:tcBorders>
          </w:tcPr>
          <w:p w:rsidR="003F5784" w14:paraId="6EABCAA6" w14:textId="77777777">
            <w:pPr>
              <w:pStyle w:val="TableParagraph"/>
              <w:ind w:right="2211"/>
              <w:rPr>
                <w:sz w:val="21"/>
              </w:rPr>
            </w:pPr>
            <w:r>
              <w:rPr>
                <w:spacing w:val="-5"/>
                <w:sz w:val="21"/>
              </w:rPr>
              <w:t>100</w:t>
            </w:r>
          </w:p>
        </w:tc>
        <w:tc>
          <w:tcPr>
            <w:tcW w:w="4140" w:type="dxa"/>
            <w:tcBorders>
              <w:bottom w:val="single" w:sz="18" w:space="0" w:color="800000"/>
            </w:tcBorders>
          </w:tcPr>
          <w:p w:rsidR="003F5784" w14:paraId="4F8A4641" w14:textId="77777777">
            <w:pPr>
              <w:pStyle w:val="TableParagraph"/>
              <w:ind w:right="116"/>
              <w:rPr>
                <w:sz w:val="21"/>
              </w:rPr>
            </w:pPr>
            <w:r>
              <w:rPr>
                <w:spacing w:val="-10"/>
                <w:sz w:val="21"/>
              </w:rPr>
              <w:t>#</w:t>
            </w:r>
          </w:p>
        </w:tc>
      </w:tr>
      <w:tr w14:paraId="642A2C2B" w14:textId="77777777">
        <w:tblPrEx>
          <w:tblW w:w="0" w:type="auto"/>
          <w:tblInd w:w="482" w:type="dxa"/>
          <w:tblLayout w:type="fixed"/>
          <w:tblCellMar>
            <w:left w:w="0" w:type="dxa"/>
            <w:right w:w="0" w:type="dxa"/>
          </w:tblCellMar>
          <w:tblLook w:val="01E0"/>
        </w:tblPrEx>
        <w:trPr>
          <w:trHeight w:val="237"/>
        </w:trPr>
        <w:tc>
          <w:tcPr>
            <w:tcW w:w="13983" w:type="dxa"/>
            <w:gridSpan w:val="3"/>
            <w:tcBorders>
              <w:top w:val="single" w:sz="18" w:space="0" w:color="800000"/>
            </w:tcBorders>
          </w:tcPr>
          <w:p w:rsidR="003F5784" w14:paraId="0F3E4D5A"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r>
    </w:tbl>
    <w:p w:rsidR="003F5784" w14:paraId="40ED497C" w14:textId="77777777">
      <w:pPr>
        <w:pStyle w:val="BodyText"/>
        <w:spacing w:line="235"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6A28E80C"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3E5AF192" w14:textId="77777777">
      <w:pPr>
        <w:pStyle w:val="BodyText"/>
        <w:spacing w:before="118"/>
      </w:pPr>
    </w:p>
    <w:p w:rsidR="003F5784" w14:paraId="41F24661" w14:textId="77777777">
      <w:pPr>
        <w:pStyle w:val="Heading2"/>
      </w:pPr>
      <w:r>
        <w:t>Weighted</w:t>
      </w:r>
      <w:r>
        <w:rPr>
          <w:spacing w:val="-9"/>
        </w:rPr>
        <w:t xml:space="preserve"> </w:t>
      </w:r>
      <w:r>
        <w:t>aggregations</w:t>
      </w:r>
      <w:r>
        <w:rPr>
          <w:spacing w:val="-9"/>
        </w:rPr>
        <w:t xml:space="preserve"> </w:t>
      </w:r>
      <w:r>
        <w:t>and</w:t>
      </w:r>
      <w:r>
        <w:rPr>
          <w:spacing w:val="-8"/>
        </w:rPr>
        <w:t xml:space="preserve"> </w:t>
      </w:r>
      <w:r>
        <w:t>proportions</w:t>
      </w:r>
      <w:r>
        <w:rPr>
          <w:spacing w:val="-9"/>
        </w:rPr>
        <w:t xml:space="preserve"> </w:t>
      </w:r>
      <w:r>
        <w:t>from</w:t>
      </w:r>
      <w:r>
        <w:rPr>
          <w:spacing w:val="-9"/>
        </w:rPr>
        <w:t xml:space="preserve"> </w:t>
      </w:r>
      <w:r>
        <w:t>the</w:t>
      </w:r>
      <w:r>
        <w:rPr>
          <w:spacing w:val="-8"/>
        </w:rPr>
        <w:t xml:space="preserve"> </w:t>
      </w:r>
      <w:r>
        <w:t>grade</w:t>
      </w:r>
      <w:r>
        <w:rPr>
          <w:spacing w:val="-9"/>
        </w:rPr>
        <w:t xml:space="preserve"> </w:t>
      </w:r>
      <w:r>
        <w:t>4</w:t>
      </w:r>
      <w:r>
        <w:rPr>
          <w:spacing w:val="-9"/>
        </w:rPr>
        <w:t xml:space="preserve"> </w:t>
      </w:r>
      <w:r>
        <w:t>reading</w:t>
      </w:r>
      <w:r>
        <w:rPr>
          <w:spacing w:val="-8"/>
        </w:rPr>
        <w:t xml:space="preserve"> </w:t>
      </w:r>
      <w:r>
        <w:t>and</w:t>
      </w:r>
      <w:r>
        <w:rPr>
          <w:spacing w:val="-9"/>
        </w:rPr>
        <w:t xml:space="preserve"> </w:t>
      </w:r>
      <w:r>
        <w:t>mathematics</w:t>
      </w:r>
      <w:r>
        <w:rPr>
          <w:spacing w:val="-9"/>
        </w:rPr>
        <w:t xml:space="preserve"> </w:t>
      </w:r>
      <w:r>
        <w:t>assessments,</w:t>
      </w:r>
      <w:r>
        <w:rPr>
          <w:spacing w:val="-8"/>
        </w:rPr>
        <w:t xml:space="preserve"> </w:t>
      </w:r>
      <w:r>
        <w:t>private</w:t>
      </w:r>
      <w:r>
        <w:rPr>
          <w:spacing w:val="-9"/>
        </w:rPr>
        <w:t xml:space="preserve"> </w:t>
      </w:r>
      <w:r>
        <w:t>schools</w:t>
      </w:r>
      <w:r>
        <w:rPr>
          <w:spacing w:val="-8"/>
        </w:rPr>
        <w:t xml:space="preserve"> </w:t>
      </w:r>
      <w:r>
        <w:t>Midwest</w:t>
      </w:r>
      <w:r>
        <w:rPr>
          <w:spacing w:val="-9"/>
        </w:rPr>
        <w:t xml:space="preserve"> </w:t>
      </w:r>
      <w:r>
        <w:t>region,</w:t>
      </w:r>
      <w:r>
        <w:rPr>
          <w:spacing w:val="-9"/>
        </w:rPr>
        <w:t xml:space="preserve"> </w:t>
      </w:r>
      <w:r>
        <w:t>by</w:t>
      </w:r>
      <w:r>
        <w:rPr>
          <w:spacing w:val="-8"/>
        </w:rPr>
        <w:t xml:space="preserve"> </w:t>
      </w:r>
      <w:r>
        <w:t>year</w:t>
      </w:r>
      <w:r>
        <w:rPr>
          <w:spacing w:val="-12"/>
        </w:rPr>
        <w:t xml:space="preserve"> </w:t>
      </w:r>
      <w:r>
        <w:t>of</w:t>
      </w:r>
      <w:r>
        <w:rPr>
          <w:spacing w:val="-9"/>
        </w:rPr>
        <w:t xml:space="preserve"> </w:t>
      </w:r>
      <w:r>
        <w:t>birth:</w:t>
      </w:r>
      <w:r>
        <w:rPr>
          <w:spacing w:val="-9"/>
        </w:rPr>
        <w:t xml:space="preserve"> </w:t>
      </w:r>
      <w:r>
        <w:rPr>
          <w:spacing w:val="-4"/>
        </w:rPr>
        <w:t>2017</w:t>
      </w:r>
    </w:p>
    <w:p w:rsidR="003F5784" w14:paraId="0682D700"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3447"/>
        <w:gridCol w:w="6396"/>
        <w:gridCol w:w="4140"/>
      </w:tblGrid>
      <w:tr w14:paraId="2B628241" w14:textId="77777777">
        <w:tblPrEx>
          <w:tblW w:w="0" w:type="auto"/>
          <w:tblInd w:w="482" w:type="dxa"/>
          <w:tblLayout w:type="fixed"/>
          <w:tblCellMar>
            <w:left w:w="0" w:type="dxa"/>
            <w:right w:w="0" w:type="dxa"/>
          </w:tblCellMar>
          <w:tblLook w:val="01E0"/>
        </w:tblPrEx>
        <w:trPr>
          <w:trHeight w:val="267"/>
        </w:trPr>
        <w:tc>
          <w:tcPr>
            <w:tcW w:w="3447" w:type="dxa"/>
            <w:tcBorders>
              <w:top w:val="single" w:sz="18" w:space="0" w:color="800000"/>
              <w:bottom w:val="single" w:sz="18" w:space="0" w:color="800000"/>
            </w:tcBorders>
          </w:tcPr>
          <w:p w:rsidR="003F5784" w14:paraId="647ED3B8" w14:textId="77777777">
            <w:pPr>
              <w:pStyle w:val="TableParagraph"/>
              <w:spacing w:before="9" w:line="238" w:lineRule="exact"/>
              <w:ind w:left="120"/>
              <w:jc w:val="left"/>
              <w:rPr>
                <w:sz w:val="21"/>
              </w:rPr>
            </w:pPr>
            <w:r>
              <w:rPr>
                <w:spacing w:val="-2"/>
                <w:sz w:val="21"/>
              </w:rPr>
              <w:t>Year</w:t>
            </w:r>
            <w:r>
              <w:rPr>
                <w:spacing w:val="-9"/>
                <w:sz w:val="21"/>
              </w:rPr>
              <w:t xml:space="preserve"> </w:t>
            </w:r>
            <w:r>
              <w:rPr>
                <w:spacing w:val="-2"/>
                <w:sz w:val="21"/>
              </w:rPr>
              <w:t>of</w:t>
            </w:r>
            <w:r>
              <w:rPr>
                <w:spacing w:val="-8"/>
                <w:sz w:val="21"/>
              </w:rPr>
              <w:t xml:space="preserve"> </w:t>
            </w:r>
            <w:r>
              <w:rPr>
                <w:spacing w:val="-2"/>
                <w:sz w:val="21"/>
              </w:rPr>
              <w:t>birth</w:t>
            </w:r>
          </w:p>
        </w:tc>
        <w:tc>
          <w:tcPr>
            <w:tcW w:w="6396" w:type="dxa"/>
            <w:tcBorders>
              <w:top w:val="single" w:sz="18" w:space="0" w:color="800000"/>
              <w:bottom w:val="single" w:sz="18" w:space="0" w:color="800000"/>
            </w:tcBorders>
          </w:tcPr>
          <w:p w:rsidR="003F5784" w14:paraId="708D26F0" w14:textId="77777777">
            <w:pPr>
              <w:pStyle w:val="TableParagraph"/>
              <w:spacing w:before="9" w:line="238" w:lineRule="exact"/>
              <w:ind w:right="2211"/>
              <w:rPr>
                <w:sz w:val="21"/>
              </w:rPr>
            </w:pPr>
            <w:r>
              <w:rPr>
                <w:spacing w:val="-2"/>
                <w:sz w:val="21"/>
              </w:rPr>
              <w:t>Weighted</w:t>
            </w:r>
            <w:r>
              <w:rPr>
                <w:spacing w:val="-11"/>
                <w:sz w:val="21"/>
              </w:rPr>
              <w:t xml:space="preserve"> </w:t>
            </w:r>
            <w:r>
              <w:rPr>
                <w:spacing w:val="-2"/>
                <w:sz w:val="21"/>
              </w:rPr>
              <w:t>aggregations</w:t>
            </w:r>
          </w:p>
        </w:tc>
        <w:tc>
          <w:tcPr>
            <w:tcW w:w="4140" w:type="dxa"/>
            <w:tcBorders>
              <w:top w:val="single" w:sz="18" w:space="0" w:color="800000"/>
              <w:bottom w:val="single" w:sz="18" w:space="0" w:color="800000"/>
            </w:tcBorders>
          </w:tcPr>
          <w:p w:rsidR="003F5784" w14:paraId="721BB102" w14:textId="77777777">
            <w:pPr>
              <w:pStyle w:val="TableParagraph"/>
              <w:spacing w:before="9" w:line="238" w:lineRule="exact"/>
              <w:ind w:right="116"/>
              <w:rPr>
                <w:sz w:val="21"/>
              </w:rPr>
            </w:pPr>
            <w:r>
              <w:rPr>
                <w:spacing w:val="-2"/>
                <w:sz w:val="21"/>
              </w:rPr>
              <w:t>Weighted</w:t>
            </w:r>
            <w:r>
              <w:rPr>
                <w:spacing w:val="-11"/>
                <w:sz w:val="21"/>
              </w:rPr>
              <w:t xml:space="preserve"> </w:t>
            </w:r>
            <w:r>
              <w:rPr>
                <w:spacing w:val="-2"/>
                <w:sz w:val="21"/>
              </w:rPr>
              <w:t>proportions</w:t>
            </w:r>
          </w:p>
        </w:tc>
      </w:tr>
      <w:tr w14:paraId="114AF359" w14:textId="77777777">
        <w:tblPrEx>
          <w:tblW w:w="0" w:type="auto"/>
          <w:tblInd w:w="482" w:type="dxa"/>
          <w:tblLayout w:type="fixed"/>
          <w:tblCellMar>
            <w:left w:w="0" w:type="dxa"/>
            <w:right w:w="0" w:type="dxa"/>
          </w:tblCellMar>
          <w:tblLook w:val="01E0"/>
        </w:tblPrEx>
        <w:trPr>
          <w:trHeight w:val="278"/>
        </w:trPr>
        <w:tc>
          <w:tcPr>
            <w:tcW w:w="3447" w:type="dxa"/>
            <w:tcBorders>
              <w:top w:val="single" w:sz="18" w:space="0" w:color="800000"/>
            </w:tcBorders>
          </w:tcPr>
          <w:p w:rsidR="003F5784" w14:paraId="7D2BBA12" w14:textId="77777777">
            <w:pPr>
              <w:pStyle w:val="TableParagraph"/>
              <w:spacing w:before="9"/>
              <w:ind w:left="370"/>
              <w:jc w:val="left"/>
              <w:rPr>
                <w:b/>
                <w:sz w:val="21"/>
              </w:rPr>
            </w:pPr>
            <w:r>
              <w:rPr>
                <w:b/>
                <w:spacing w:val="-2"/>
                <w:sz w:val="21"/>
              </w:rPr>
              <w:t>Total</w:t>
            </w:r>
          </w:p>
        </w:tc>
        <w:tc>
          <w:tcPr>
            <w:tcW w:w="6396" w:type="dxa"/>
            <w:tcBorders>
              <w:top w:val="single" w:sz="18" w:space="0" w:color="800000"/>
            </w:tcBorders>
          </w:tcPr>
          <w:p w:rsidR="003F5784" w14:paraId="118E492A" w14:textId="77777777">
            <w:pPr>
              <w:pStyle w:val="TableParagraph"/>
              <w:spacing w:before="9"/>
              <w:ind w:right="2211"/>
              <w:rPr>
                <w:b/>
                <w:sz w:val="21"/>
              </w:rPr>
            </w:pPr>
            <w:r>
              <w:rPr>
                <w:b/>
                <w:spacing w:val="-2"/>
                <w:sz w:val="21"/>
              </w:rPr>
              <w:t>85,000</w:t>
            </w:r>
          </w:p>
        </w:tc>
        <w:tc>
          <w:tcPr>
            <w:tcW w:w="4140" w:type="dxa"/>
            <w:tcBorders>
              <w:top w:val="single" w:sz="18" w:space="0" w:color="800000"/>
            </w:tcBorders>
          </w:tcPr>
          <w:p w:rsidR="003F5784" w14:paraId="1A999738" w14:textId="77777777">
            <w:pPr>
              <w:pStyle w:val="TableParagraph"/>
              <w:spacing w:before="9"/>
              <w:ind w:right="116"/>
              <w:rPr>
                <w:b/>
                <w:sz w:val="21"/>
              </w:rPr>
            </w:pPr>
            <w:r>
              <w:rPr>
                <w:b/>
                <w:spacing w:val="-4"/>
                <w:sz w:val="21"/>
              </w:rPr>
              <w:t>1.00</w:t>
            </w:r>
          </w:p>
        </w:tc>
      </w:tr>
      <w:tr w14:paraId="07DCEDBB" w14:textId="77777777">
        <w:tblPrEx>
          <w:tblW w:w="0" w:type="auto"/>
          <w:tblInd w:w="482" w:type="dxa"/>
          <w:tblLayout w:type="fixed"/>
          <w:tblCellMar>
            <w:left w:w="0" w:type="dxa"/>
            <w:right w:w="0" w:type="dxa"/>
          </w:tblCellMar>
          <w:tblLook w:val="01E0"/>
        </w:tblPrEx>
        <w:trPr>
          <w:trHeight w:val="286"/>
        </w:trPr>
        <w:tc>
          <w:tcPr>
            <w:tcW w:w="3447" w:type="dxa"/>
          </w:tcPr>
          <w:p w:rsidR="003F5784" w14:paraId="0366530F" w14:textId="77777777">
            <w:pPr>
              <w:pStyle w:val="TableParagraph"/>
              <w:ind w:left="120"/>
              <w:jc w:val="left"/>
              <w:rPr>
                <w:sz w:val="21"/>
              </w:rPr>
            </w:pPr>
            <w:r>
              <w:rPr>
                <w:spacing w:val="-4"/>
                <w:sz w:val="21"/>
              </w:rPr>
              <w:t>2005</w:t>
            </w:r>
          </w:p>
        </w:tc>
        <w:tc>
          <w:tcPr>
            <w:tcW w:w="6396" w:type="dxa"/>
          </w:tcPr>
          <w:p w:rsidR="003F5784" w14:paraId="078D22FF" w14:textId="77777777">
            <w:pPr>
              <w:pStyle w:val="TableParagraph"/>
              <w:ind w:right="2211"/>
              <w:rPr>
                <w:sz w:val="21"/>
              </w:rPr>
            </w:pPr>
            <w:r>
              <w:rPr>
                <w:spacing w:val="-5"/>
                <w:sz w:val="21"/>
              </w:rPr>
              <w:t>785</w:t>
            </w:r>
          </w:p>
        </w:tc>
        <w:tc>
          <w:tcPr>
            <w:tcW w:w="4140" w:type="dxa"/>
          </w:tcPr>
          <w:p w:rsidR="003F5784" w14:paraId="4C843B1F" w14:textId="77777777">
            <w:pPr>
              <w:pStyle w:val="TableParagraph"/>
              <w:ind w:right="116"/>
              <w:rPr>
                <w:sz w:val="21"/>
              </w:rPr>
            </w:pPr>
            <w:r>
              <w:rPr>
                <w:spacing w:val="-4"/>
                <w:sz w:val="21"/>
              </w:rPr>
              <w:t>0.01</w:t>
            </w:r>
          </w:p>
        </w:tc>
      </w:tr>
      <w:tr w14:paraId="0E9AF315" w14:textId="77777777">
        <w:tblPrEx>
          <w:tblW w:w="0" w:type="auto"/>
          <w:tblInd w:w="482" w:type="dxa"/>
          <w:tblLayout w:type="fixed"/>
          <w:tblCellMar>
            <w:left w:w="0" w:type="dxa"/>
            <w:right w:w="0" w:type="dxa"/>
          </w:tblCellMar>
          <w:tblLook w:val="01E0"/>
        </w:tblPrEx>
        <w:trPr>
          <w:trHeight w:val="286"/>
        </w:trPr>
        <w:tc>
          <w:tcPr>
            <w:tcW w:w="3447" w:type="dxa"/>
          </w:tcPr>
          <w:p w:rsidR="003F5784" w14:paraId="4198CDC4" w14:textId="77777777">
            <w:pPr>
              <w:pStyle w:val="TableParagraph"/>
              <w:ind w:left="120"/>
              <w:jc w:val="left"/>
              <w:rPr>
                <w:sz w:val="21"/>
              </w:rPr>
            </w:pPr>
            <w:r>
              <w:rPr>
                <w:spacing w:val="-4"/>
                <w:sz w:val="21"/>
              </w:rPr>
              <w:t>2006</w:t>
            </w:r>
          </w:p>
        </w:tc>
        <w:tc>
          <w:tcPr>
            <w:tcW w:w="6396" w:type="dxa"/>
          </w:tcPr>
          <w:p w:rsidR="003F5784" w14:paraId="1E1A9FD6" w14:textId="77777777">
            <w:pPr>
              <w:pStyle w:val="TableParagraph"/>
              <w:ind w:right="2211"/>
              <w:rPr>
                <w:sz w:val="21"/>
              </w:rPr>
            </w:pPr>
            <w:r>
              <w:rPr>
                <w:spacing w:val="-2"/>
                <w:sz w:val="21"/>
              </w:rPr>
              <w:t>37,000</w:t>
            </w:r>
          </w:p>
        </w:tc>
        <w:tc>
          <w:tcPr>
            <w:tcW w:w="4140" w:type="dxa"/>
          </w:tcPr>
          <w:p w:rsidR="003F5784" w14:paraId="7E72A117" w14:textId="77777777">
            <w:pPr>
              <w:pStyle w:val="TableParagraph"/>
              <w:ind w:right="116"/>
              <w:rPr>
                <w:sz w:val="21"/>
              </w:rPr>
            </w:pPr>
            <w:r>
              <w:rPr>
                <w:spacing w:val="-4"/>
                <w:sz w:val="21"/>
              </w:rPr>
              <w:t>0.43</w:t>
            </w:r>
          </w:p>
        </w:tc>
      </w:tr>
      <w:tr w14:paraId="42B49644" w14:textId="77777777">
        <w:tblPrEx>
          <w:tblW w:w="0" w:type="auto"/>
          <w:tblInd w:w="482" w:type="dxa"/>
          <w:tblLayout w:type="fixed"/>
          <w:tblCellMar>
            <w:left w:w="0" w:type="dxa"/>
            <w:right w:w="0" w:type="dxa"/>
          </w:tblCellMar>
          <w:tblLook w:val="01E0"/>
        </w:tblPrEx>
        <w:trPr>
          <w:trHeight w:val="286"/>
        </w:trPr>
        <w:tc>
          <w:tcPr>
            <w:tcW w:w="3447" w:type="dxa"/>
          </w:tcPr>
          <w:p w:rsidR="003F5784" w14:paraId="696C2CB1" w14:textId="77777777">
            <w:pPr>
              <w:pStyle w:val="TableParagraph"/>
              <w:ind w:left="120"/>
              <w:jc w:val="left"/>
              <w:rPr>
                <w:sz w:val="21"/>
              </w:rPr>
            </w:pPr>
            <w:r>
              <w:rPr>
                <w:spacing w:val="-4"/>
                <w:sz w:val="21"/>
              </w:rPr>
              <w:t>2007</w:t>
            </w:r>
          </w:p>
        </w:tc>
        <w:tc>
          <w:tcPr>
            <w:tcW w:w="6396" w:type="dxa"/>
          </w:tcPr>
          <w:p w:rsidR="003F5784" w14:paraId="75FB67C0" w14:textId="77777777">
            <w:pPr>
              <w:pStyle w:val="TableParagraph"/>
              <w:ind w:right="2211"/>
              <w:rPr>
                <w:sz w:val="21"/>
              </w:rPr>
            </w:pPr>
            <w:r>
              <w:rPr>
                <w:spacing w:val="-2"/>
                <w:sz w:val="21"/>
              </w:rPr>
              <w:t>48,000</w:t>
            </w:r>
          </w:p>
        </w:tc>
        <w:tc>
          <w:tcPr>
            <w:tcW w:w="4140" w:type="dxa"/>
          </w:tcPr>
          <w:p w:rsidR="003F5784" w14:paraId="48C82EB4" w14:textId="77777777">
            <w:pPr>
              <w:pStyle w:val="TableParagraph"/>
              <w:ind w:right="116"/>
              <w:rPr>
                <w:sz w:val="21"/>
              </w:rPr>
            </w:pPr>
            <w:r>
              <w:rPr>
                <w:spacing w:val="-4"/>
                <w:sz w:val="21"/>
              </w:rPr>
              <w:t>0.56</w:t>
            </w:r>
          </w:p>
        </w:tc>
      </w:tr>
      <w:tr w14:paraId="0721773A" w14:textId="77777777">
        <w:tblPrEx>
          <w:tblW w:w="0" w:type="auto"/>
          <w:tblInd w:w="482" w:type="dxa"/>
          <w:tblLayout w:type="fixed"/>
          <w:tblCellMar>
            <w:left w:w="0" w:type="dxa"/>
            <w:right w:w="0" w:type="dxa"/>
          </w:tblCellMar>
          <w:tblLook w:val="01E0"/>
        </w:tblPrEx>
        <w:trPr>
          <w:trHeight w:val="288"/>
        </w:trPr>
        <w:tc>
          <w:tcPr>
            <w:tcW w:w="3447" w:type="dxa"/>
            <w:tcBorders>
              <w:bottom w:val="single" w:sz="18" w:space="0" w:color="800000"/>
            </w:tcBorders>
          </w:tcPr>
          <w:p w:rsidR="003F5784" w14:paraId="24F5979B" w14:textId="77777777">
            <w:pPr>
              <w:pStyle w:val="TableParagraph"/>
              <w:ind w:left="120"/>
              <w:jc w:val="left"/>
              <w:rPr>
                <w:sz w:val="21"/>
              </w:rPr>
            </w:pPr>
            <w:r>
              <w:rPr>
                <w:spacing w:val="-4"/>
                <w:sz w:val="21"/>
              </w:rPr>
              <w:t>2008</w:t>
            </w:r>
          </w:p>
        </w:tc>
        <w:tc>
          <w:tcPr>
            <w:tcW w:w="6396" w:type="dxa"/>
            <w:tcBorders>
              <w:bottom w:val="single" w:sz="18" w:space="0" w:color="800000"/>
            </w:tcBorders>
          </w:tcPr>
          <w:p w:rsidR="003F5784" w14:paraId="7CC5D42C" w14:textId="77777777">
            <w:pPr>
              <w:pStyle w:val="TableParagraph"/>
              <w:ind w:right="2211"/>
              <w:rPr>
                <w:sz w:val="21"/>
              </w:rPr>
            </w:pPr>
            <w:r>
              <w:rPr>
                <w:spacing w:val="-5"/>
                <w:sz w:val="21"/>
              </w:rPr>
              <w:t>192</w:t>
            </w:r>
          </w:p>
        </w:tc>
        <w:tc>
          <w:tcPr>
            <w:tcW w:w="4140" w:type="dxa"/>
            <w:tcBorders>
              <w:bottom w:val="single" w:sz="18" w:space="0" w:color="800000"/>
            </w:tcBorders>
          </w:tcPr>
          <w:p w:rsidR="003F5784" w14:paraId="4C698509" w14:textId="77777777">
            <w:pPr>
              <w:pStyle w:val="TableParagraph"/>
              <w:ind w:right="116"/>
              <w:rPr>
                <w:sz w:val="21"/>
              </w:rPr>
            </w:pPr>
            <w:r>
              <w:rPr>
                <w:spacing w:val="-10"/>
                <w:sz w:val="21"/>
              </w:rPr>
              <w:t>#</w:t>
            </w:r>
          </w:p>
        </w:tc>
      </w:tr>
      <w:tr w14:paraId="3342CDAA" w14:textId="77777777">
        <w:tblPrEx>
          <w:tblW w:w="0" w:type="auto"/>
          <w:tblInd w:w="482" w:type="dxa"/>
          <w:tblLayout w:type="fixed"/>
          <w:tblCellMar>
            <w:left w:w="0" w:type="dxa"/>
            <w:right w:w="0" w:type="dxa"/>
          </w:tblCellMar>
          <w:tblLook w:val="01E0"/>
        </w:tblPrEx>
        <w:trPr>
          <w:trHeight w:val="237"/>
        </w:trPr>
        <w:tc>
          <w:tcPr>
            <w:tcW w:w="13983" w:type="dxa"/>
            <w:gridSpan w:val="3"/>
            <w:tcBorders>
              <w:top w:val="single" w:sz="18" w:space="0" w:color="800000"/>
            </w:tcBorders>
          </w:tcPr>
          <w:p w:rsidR="003F5784" w14:paraId="29E78E17"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r>
    </w:tbl>
    <w:p w:rsidR="003F5784" w14:paraId="24D8CD46" w14:textId="77777777">
      <w:pPr>
        <w:pStyle w:val="BodyText"/>
        <w:spacing w:line="233"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2C47BA17"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56BADF05" w14:textId="77777777">
      <w:pPr>
        <w:pStyle w:val="BodyText"/>
        <w:spacing w:before="118"/>
      </w:pPr>
    </w:p>
    <w:p w:rsidR="003F5784" w14:paraId="5A0A9469" w14:textId="77777777">
      <w:pPr>
        <w:pStyle w:val="Heading2"/>
      </w:pPr>
      <w:r>
        <w:t>Weighted</w:t>
      </w:r>
      <w:r>
        <w:rPr>
          <w:spacing w:val="-9"/>
        </w:rPr>
        <w:t xml:space="preserve"> </w:t>
      </w:r>
      <w:r>
        <w:t>aggregations</w:t>
      </w:r>
      <w:r>
        <w:rPr>
          <w:spacing w:val="-9"/>
        </w:rPr>
        <w:t xml:space="preserve"> </w:t>
      </w:r>
      <w:r>
        <w:t>and</w:t>
      </w:r>
      <w:r>
        <w:rPr>
          <w:spacing w:val="-8"/>
        </w:rPr>
        <w:t xml:space="preserve"> </w:t>
      </w:r>
      <w:r>
        <w:t>proportions</w:t>
      </w:r>
      <w:r>
        <w:rPr>
          <w:spacing w:val="-9"/>
        </w:rPr>
        <w:t xml:space="preserve"> </w:t>
      </w:r>
      <w:r>
        <w:t>from</w:t>
      </w:r>
      <w:r>
        <w:rPr>
          <w:spacing w:val="-8"/>
        </w:rPr>
        <w:t xml:space="preserve"> </w:t>
      </w:r>
      <w:r>
        <w:t>the</w:t>
      </w:r>
      <w:r>
        <w:rPr>
          <w:spacing w:val="-9"/>
        </w:rPr>
        <w:t xml:space="preserve"> </w:t>
      </w:r>
      <w:r>
        <w:t>grade</w:t>
      </w:r>
      <w:r>
        <w:rPr>
          <w:spacing w:val="-8"/>
        </w:rPr>
        <w:t xml:space="preserve"> </w:t>
      </w:r>
      <w:r>
        <w:t>4</w:t>
      </w:r>
      <w:r>
        <w:rPr>
          <w:spacing w:val="-9"/>
        </w:rPr>
        <w:t xml:space="preserve"> </w:t>
      </w:r>
      <w:r>
        <w:t>reading</w:t>
      </w:r>
      <w:r>
        <w:rPr>
          <w:spacing w:val="-8"/>
        </w:rPr>
        <w:t xml:space="preserve"> </w:t>
      </w:r>
      <w:r>
        <w:t>and</w:t>
      </w:r>
      <w:r>
        <w:rPr>
          <w:spacing w:val="-9"/>
        </w:rPr>
        <w:t xml:space="preserve"> </w:t>
      </w:r>
      <w:r>
        <w:t>mathematics</w:t>
      </w:r>
      <w:r>
        <w:rPr>
          <w:spacing w:val="-8"/>
        </w:rPr>
        <w:t xml:space="preserve"> </w:t>
      </w:r>
      <w:r>
        <w:t>assessments,</w:t>
      </w:r>
      <w:r>
        <w:rPr>
          <w:spacing w:val="-9"/>
        </w:rPr>
        <w:t xml:space="preserve"> </w:t>
      </w:r>
      <w:r>
        <w:t>private</w:t>
      </w:r>
      <w:r>
        <w:rPr>
          <w:spacing w:val="-8"/>
        </w:rPr>
        <w:t xml:space="preserve"> </w:t>
      </w:r>
      <w:r>
        <w:t>schools</w:t>
      </w:r>
      <w:r>
        <w:rPr>
          <w:spacing w:val="-9"/>
        </w:rPr>
        <w:t xml:space="preserve"> </w:t>
      </w:r>
      <w:r>
        <w:t>South</w:t>
      </w:r>
      <w:r>
        <w:rPr>
          <w:spacing w:val="-8"/>
        </w:rPr>
        <w:t xml:space="preserve"> </w:t>
      </w:r>
      <w:r>
        <w:t>region,</w:t>
      </w:r>
      <w:r>
        <w:rPr>
          <w:spacing w:val="-9"/>
        </w:rPr>
        <w:t xml:space="preserve"> </w:t>
      </w:r>
      <w:r>
        <w:t>by</w:t>
      </w:r>
      <w:r>
        <w:rPr>
          <w:spacing w:val="-8"/>
        </w:rPr>
        <w:t xml:space="preserve"> </w:t>
      </w:r>
      <w:r>
        <w:t>year</w:t>
      </w:r>
      <w:r>
        <w:rPr>
          <w:spacing w:val="-12"/>
        </w:rPr>
        <w:t xml:space="preserve"> </w:t>
      </w:r>
      <w:r>
        <w:t>of</w:t>
      </w:r>
      <w:r>
        <w:rPr>
          <w:spacing w:val="-9"/>
        </w:rPr>
        <w:t xml:space="preserve"> </w:t>
      </w:r>
      <w:r>
        <w:t>birth:</w:t>
      </w:r>
      <w:r>
        <w:rPr>
          <w:spacing w:val="-8"/>
        </w:rPr>
        <w:t xml:space="preserve"> </w:t>
      </w:r>
      <w:r>
        <w:rPr>
          <w:spacing w:val="-4"/>
        </w:rPr>
        <w:t>2017</w:t>
      </w:r>
    </w:p>
    <w:p w:rsidR="003F5784" w14:paraId="62EC78ED"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3447"/>
        <w:gridCol w:w="6396"/>
        <w:gridCol w:w="4140"/>
      </w:tblGrid>
      <w:tr w14:paraId="0A799CE8" w14:textId="77777777">
        <w:tblPrEx>
          <w:tblW w:w="0" w:type="auto"/>
          <w:tblInd w:w="482" w:type="dxa"/>
          <w:tblLayout w:type="fixed"/>
          <w:tblCellMar>
            <w:left w:w="0" w:type="dxa"/>
            <w:right w:w="0" w:type="dxa"/>
          </w:tblCellMar>
          <w:tblLook w:val="01E0"/>
        </w:tblPrEx>
        <w:trPr>
          <w:trHeight w:val="267"/>
        </w:trPr>
        <w:tc>
          <w:tcPr>
            <w:tcW w:w="3447" w:type="dxa"/>
            <w:tcBorders>
              <w:top w:val="single" w:sz="18" w:space="0" w:color="800000"/>
              <w:bottom w:val="single" w:sz="18" w:space="0" w:color="800000"/>
            </w:tcBorders>
          </w:tcPr>
          <w:p w:rsidR="003F5784" w14:paraId="24E814CF" w14:textId="77777777">
            <w:pPr>
              <w:pStyle w:val="TableParagraph"/>
              <w:spacing w:before="9" w:line="238" w:lineRule="exact"/>
              <w:ind w:left="120"/>
              <w:jc w:val="left"/>
              <w:rPr>
                <w:sz w:val="21"/>
              </w:rPr>
            </w:pPr>
            <w:r>
              <w:rPr>
                <w:spacing w:val="-2"/>
                <w:sz w:val="21"/>
              </w:rPr>
              <w:t>Year</w:t>
            </w:r>
            <w:r>
              <w:rPr>
                <w:spacing w:val="-9"/>
                <w:sz w:val="21"/>
              </w:rPr>
              <w:t xml:space="preserve"> </w:t>
            </w:r>
            <w:r>
              <w:rPr>
                <w:spacing w:val="-2"/>
                <w:sz w:val="21"/>
              </w:rPr>
              <w:t>of</w:t>
            </w:r>
            <w:r>
              <w:rPr>
                <w:spacing w:val="-8"/>
                <w:sz w:val="21"/>
              </w:rPr>
              <w:t xml:space="preserve"> </w:t>
            </w:r>
            <w:r>
              <w:rPr>
                <w:spacing w:val="-2"/>
                <w:sz w:val="21"/>
              </w:rPr>
              <w:t>birth</w:t>
            </w:r>
          </w:p>
        </w:tc>
        <w:tc>
          <w:tcPr>
            <w:tcW w:w="6396" w:type="dxa"/>
            <w:tcBorders>
              <w:top w:val="single" w:sz="18" w:space="0" w:color="800000"/>
              <w:bottom w:val="single" w:sz="18" w:space="0" w:color="800000"/>
            </w:tcBorders>
          </w:tcPr>
          <w:p w:rsidR="003F5784" w14:paraId="76731493" w14:textId="77777777">
            <w:pPr>
              <w:pStyle w:val="TableParagraph"/>
              <w:spacing w:before="9" w:line="238" w:lineRule="exact"/>
              <w:ind w:right="2211"/>
              <w:rPr>
                <w:sz w:val="21"/>
              </w:rPr>
            </w:pPr>
            <w:r>
              <w:rPr>
                <w:spacing w:val="-2"/>
                <w:sz w:val="21"/>
              </w:rPr>
              <w:t>Weighted</w:t>
            </w:r>
            <w:r>
              <w:rPr>
                <w:spacing w:val="-11"/>
                <w:sz w:val="21"/>
              </w:rPr>
              <w:t xml:space="preserve"> </w:t>
            </w:r>
            <w:r>
              <w:rPr>
                <w:spacing w:val="-2"/>
                <w:sz w:val="21"/>
              </w:rPr>
              <w:t>aggregations</w:t>
            </w:r>
          </w:p>
        </w:tc>
        <w:tc>
          <w:tcPr>
            <w:tcW w:w="4140" w:type="dxa"/>
            <w:tcBorders>
              <w:top w:val="single" w:sz="18" w:space="0" w:color="800000"/>
              <w:bottom w:val="single" w:sz="18" w:space="0" w:color="800000"/>
            </w:tcBorders>
          </w:tcPr>
          <w:p w:rsidR="003F5784" w14:paraId="37E94144" w14:textId="77777777">
            <w:pPr>
              <w:pStyle w:val="TableParagraph"/>
              <w:spacing w:before="9" w:line="238" w:lineRule="exact"/>
              <w:ind w:right="116"/>
              <w:rPr>
                <w:sz w:val="21"/>
              </w:rPr>
            </w:pPr>
            <w:r>
              <w:rPr>
                <w:spacing w:val="-2"/>
                <w:sz w:val="21"/>
              </w:rPr>
              <w:t>Weighted</w:t>
            </w:r>
            <w:r>
              <w:rPr>
                <w:spacing w:val="-11"/>
                <w:sz w:val="21"/>
              </w:rPr>
              <w:t xml:space="preserve"> </w:t>
            </w:r>
            <w:r>
              <w:rPr>
                <w:spacing w:val="-2"/>
                <w:sz w:val="21"/>
              </w:rPr>
              <w:t>proportions</w:t>
            </w:r>
          </w:p>
        </w:tc>
      </w:tr>
      <w:tr w14:paraId="31BA6DBA" w14:textId="77777777">
        <w:tblPrEx>
          <w:tblW w:w="0" w:type="auto"/>
          <w:tblInd w:w="482" w:type="dxa"/>
          <w:tblLayout w:type="fixed"/>
          <w:tblCellMar>
            <w:left w:w="0" w:type="dxa"/>
            <w:right w:w="0" w:type="dxa"/>
          </w:tblCellMar>
          <w:tblLook w:val="01E0"/>
        </w:tblPrEx>
        <w:trPr>
          <w:trHeight w:val="278"/>
        </w:trPr>
        <w:tc>
          <w:tcPr>
            <w:tcW w:w="3447" w:type="dxa"/>
            <w:tcBorders>
              <w:top w:val="single" w:sz="18" w:space="0" w:color="800000"/>
            </w:tcBorders>
          </w:tcPr>
          <w:p w:rsidR="003F5784" w14:paraId="76852387" w14:textId="77777777">
            <w:pPr>
              <w:pStyle w:val="TableParagraph"/>
              <w:spacing w:before="9"/>
              <w:ind w:left="370"/>
              <w:jc w:val="left"/>
              <w:rPr>
                <w:b/>
                <w:sz w:val="21"/>
              </w:rPr>
            </w:pPr>
            <w:r>
              <w:rPr>
                <w:b/>
                <w:spacing w:val="-2"/>
                <w:sz w:val="21"/>
              </w:rPr>
              <w:t>Total</w:t>
            </w:r>
          </w:p>
        </w:tc>
        <w:tc>
          <w:tcPr>
            <w:tcW w:w="6396" w:type="dxa"/>
            <w:tcBorders>
              <w:top w:val="single" w:sz="18" w:space="0" w:color="800000"/>
            </w:tcBorders>
          </w:tcPr>
          <w:p w:rsidR="003F5784" w14:paraId="6CB0FB89" w14:textId="77777777">
            <w:pPr>
              <w:pStyle w:val="TableParagraph"/>
              <w:spacing w:before="9"/>
              <w:ind w:right="2211"/>
              <w:rPr>
                <w:b/>
                <w:sz w:val="21"/>
              </w:rPr>
            </w:pPr>
            <w:r>
              <w:rPr>
                <w:b/>
                <w:spacing w:val="-2"/>
                <w:sz w:val="21"/>
              </w:rPr>
              <w:t>108,000</w:t>
            </w:r>
          </w:p>
        </w:tc>
        <w:tc>
          <w:tcPr>
            <w:tcW w:w="4140" w:type="dxa"/>
            <w:tcBorders>
              <w:top w:val="single" w:sz="18" w:space="0" w:color="800000"/>
            </w:tcBorders>
          </w:tcPr>
          <w:p w:rsidR="003F5784" w14:paraId="5CAE9C98" w14:textId="77777777">
            <w:pPr>
              <w:pStyle w:val="TableParagraph"/>
              <w:spacing w:before="9"/>
              <w:ind w:right="116"/>
              <w:rPr>
                <w:b/>
                <w:sz w:val="21"/>
              </w:rPr>
            </w:pPr>
            <w:r>
              <w:rPr>
                <w:b/>
                <w:spacing w:val="-4"/>
                <w:sz w:val="21"/>
              </w:rPr>
              <w:t>1.00</w:t>
            </w:r>
          </w:p>
        </w:tc>
      </w:tr>
      <w:tr w14:paraId="09BD0DD4" w14:textId="77777777">
        <w:tblPrEx>
          <w:tblW w:w="0" w:type="auto"/>
          <w:tblInd w:w="482" w:type="dxa"/>
          <w:tblLayout w:type="fixed"/>
          <w:tblCellMar>
            <w:left w:w="0" w:type="dxa"/>
            <w:right w:w="0" w:type="dxa"/>
          </w:tblCellMar>
          <w:tblLook w:val="01E0"/>
        </w:tblPrEx>
        <w:trPr>
          <w:trHeight w:val="286"/>
        </w:trPr>
        <w:tc>
          <w:tcPr>
            <w:tcW w:w="3447" w:type="dxa"/>
          </w:tcPr>
          <w:p w:rsidR="003F5784" w14:paraId="581051BC" w14:textId="77777777">
            <w:pPr>
              <w:pStyle w:val="TableParagraph"/>
              <w:ind w:left="120"/>
              <w:jc w:val="left"/>
              <w:rPr>
                <w:sz w:val="21"/>
              </w:rPr>
            </w:pPr>
            <w:r>
              <w:rPr>
                <w:spacing w:val="-4"/>
                <w:sz w:val="21"/>
              </w:rPr>
              <w:t>2005</w:t>
            </w:r>
          </w:p>
        </w:tc>
        <w:tc>
          <w:tcPr>
            <w:tcW w:w="6396" w:type="dxa"/>
          </w:tcPr>
          <w:p w:rsidR="003F5784" w14:paraId="051C78FC" w14:textId="77777777">
            <w:pPr>
              <w:pStyle w:val="TableParagraph"/>
              <w:ind w:right="2211"/>
              <w:rPr>
                <w:sz w:val="21"/>
              </w:rPr>
            </w:pPr>
            <w:r>
              <w:rPr>
                <w:spacing w:val="-2"/>
                <w:sz w:val="21"/>
              </w:rPr>
              <w:t>2,000</w:t>
            </w:r>
          </w:p>
        </w:tc>
        <w:tc>
          <w:tcPr>
            <w:tcW w:w="4140" w:type="dxa"/>
          </w:tcPr>
          <w:p w:rsidR="003F5784" w14:paraId="305A0D4D" w14:textId="77777777">
            <w:pPr>
              <w:pStyle w:val="TableParagraph"/>
              <w:ind w:right="116"/>
              <w:rPr>
                <w:sz w:val="21"/>
              </w:rPr>
            </w:pPr>
            <w:r>
              <w:rPr>
                <w:spacing w:val="-4"/>
                <w:sz w:val="21"/>
              </w:rPr>
              <w:t>0.02</w:t>
            </w:r>
          </w:p>
        </w:tc>
      </w:tr>
      <w:tr w14:paraId="7EA842B6" w14:textId="77777777">
        <w:tblPrEx>
          <w:tblW w:w="0" w:type="auto"/>
          <w:tblInd w:w="482" w:type="dxa"/>
          <w:tblLayout w:type="fixed"/>
          <w:tblCellMar>
            <w:left w:w="0" w:type="dxa"/>
            <w:right w:w="0" w:type="dxa"/>
          </w:tblCellMar>
          <w:tblLook w:val="01E0"/>
        </w:tblPrEx>
        <w:trPr>
          <w:trHeight w:val="286"/>
        </w:trPr>
        <w:tc>
          <w:tcPr>
            <w:tcW w:w="3447" w:type="dxa"/>
          </w:tcPr>
          <w:p w:rsidR="003F5784" w14:paraId="34C8431A" w14:textId="77777777">
            <w:pPr>
              <w:pStyle w:val="TableParagraph"/>
              <w:ind w:left="120"/>
              <w:jc w:val="left"/>
              <w:rPr>
                <w:sz w:val="21"/>
              </w:rPr>
            </w:pPr>
            <w:r>
              <w:rPr>
                <w:spacing w:val="-4"/>
                <w:sz w:val="21"/>
              </w:rPr>
              <w:t>2006</w:t>
            </w:r>
          </w:p>
        </w:tc>
        <w:tc>
          <w:tcPr>
            <w:tcW w:w="6396" w:type="dxa"/>
          </w:tcPr>
          <w:p w:rsidR="003F5784" w14:paraId="01C3020F" w14:textId="77777777">
            <w:pPr>
              <w:pStyle w:val="TableParagraph"/>
              <w:ind w:right="2211"/>
              <w:rPr>
                <w:sz w:val="21"/>
              </w:rPr>
            </w:pPr>
            <w:r>
              <w:rPr>
                <w:spacing w:val="-2"/>
                <w:sz w:val="21"/>
              </w:rPr>
              <w:t>42,000</w:t>
            </w:r>
          </w:p>
        </w:tc>
        <w:tc>
          <w:tcPr>
            <w:tcW w:w="4140" w:type="dxa"/>
          </w:tcPr>
          <w:p w:rsidR="003F5784" w14:paraId="3132A31C" w14:textId="77777777">
            <w:pPr>
              <w:pStyle w:val="TableParagraph"/>
              <w:ind w:right="116"/>
              <w:rPr>
                <w:sz w:val="21"/>
              </w:rPr>
            </w:pPr>
            <w:r>
              <w:rPr>
                <w:spacing w:val="-4"/>
                <w:sz w:val="21"/>
              </w:rPr>
              <w:t>0.39</w:t>
            </w:r>
          </w:p>
        </w:tc>
      </w:tr>
      <w:tr w14:paraId="2CD073D0" w14:textId="77777777">
        <w:tblPrEx>
          <w:tblW w:w="0" w:type="auto"/>
          <w:tblInd w:w="482" w:type="dxa"/>
          <w:tblLayout w:type="fixed"/>
          <w:tblCellMar>
            <w:left w:w="0" w:type="dxa"/>
            <w:right w:w="0" w:type="dxa"/>
          </w:tblCellMar>
          <w:tblLook w:val="01E0"/>
        </w:tblPrEx>
        <w:trPr>
          <w:trHeight w:val="288"/>
        </w:trPr>
        <w:tc>
          <w:tcPr>
            <w:tcW w:w="3447" w:type="dxa"/>
            <w:tcBorders>
              <w:bottom w:val="single" w:sz="18" w:space="0" w:color="800000"/>
            </w:tcBorders>
          </w:tcPr>
          <w:p w:rsidR="003F5784" w14:paraId="18143349" w14:textId="77777777">
            <w:pPr>
              <w:pStyle w:val="TableParagraph"/>
              <w:ind w:left="120"/>
              <w:jc w:val="left"/>
              <w:rPr>
                <w:sz w:val="21"/>
              </w:rPr>
            </w:pPr>
            <w:r>
              <w:rPr>
                <w:spacing w:val="-4"/>
                <w:sz w:val="21"/>
              </w:rPr>
              <w:t>2007</w:t>
            </w:r>
          </w:p>
        </w:tc>
        <w:tc>
          <w:tcPr>
            <w:tcW w:w="6396" w:type="dxa"/>
            <w:tcBorders>
              <w:bottom w:val="single" w:sz="18" w:space="0" w:color="800000"/>
            </w:tcBorders>
          </w:tcPr>
          <w:p w:rsidR="003F5784" w14:paraId="5A00320A" w14:textId="77777777">
            <w:pPr>
              <w:pStyle w:val="TableParagraph"/>
              <w:ind w:right="2211"/>
              <w:rPr>
                <w:sz w:val="21"/>
              </w:rPr>
            </w:pPr>
            <w:r>
              <w:rPr>
                <w:spacing w:val="-2"/>
                <w:sz w:val="21"/>
              </w:rPr>
              <w:t>63,000</w:t>
            </w:r>
          </w:p>
        </w:tc>
        <w:tc>
          <w:tcPr>
            <w:tcW w:w="4140" w:type="dxa"/>
            <w:tcBorders>
              <w:bottom w:val="single" w:sz="18" w:space="0" w:color="800000"/>
            </w:tcBorders>
          </w:tcPr>
          <w:p w:rsidR="003F5784" w14:paraId="548C7E27" w14:textId="77777777">
            <w:pPr>
              <w:pStyle w:val="TableParagraph"/>
              <w:ind w:right="116"/>
              <w:rPr>
                <w:sz w:val="21"/>
              </w:rPr>
            </w:pPr>
            <w:r>
              <w:rPr>
                <w:spacing w:val="-4"/>
                <w:sz w:val="21"/>
              </w:rPr>
              <w:t>0.58</w:t>
            </w:r>
          </w:p>
        </w:tc>
      </w:tr>
      <w:tr w14:paraId="62331691" w14:textId="77777777">
        <w:tblPrEx>
          <w:tblW w:w="0" w:type="auto"/>
          <w:tblInd w:w="482" w:type="dxa"/>
          <w:tblLayout w:type="fixed"/>
          <w:tblCellMar>
            <w:left w:w="0" w:type="dxa"/>
            <w:right w:w="0" w:type="dxa"/>
          </w:tblCellMar>
          <w:tblLook w:val="01E0"/>
        </w:tblPrEx>
        <w:trPr>
          <w:trHeight w:val="237"/>
        </w:trPr>
        <w:tc>
          <w:tcPr>
            <w:tcW w:w="13983" w:type="dxa"/>
            <w:gridSpan w:val="3"/>
            <w:tcBorders>
              <w:top w:val="single" w:sz="18" w:space="0" w:color="800000"/>
            </w:tcBorders>
          </w:tcPr>
          <w:p w:rsidR="003F5784" w14:paraId="53F7BDA4"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r>
    </w:tbl>
    <w:p w:rsidR="003F5784" w14:paraId="5CF59848" w14:textId="77777777">
      <w:pPr>
        <w:pStyle w:val="BodyText"/>
        <w:spacing w:line="232"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54DFF9AA"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2F79E419" w14:textId="77777777">
      <w:pPr>
        <w:spacing w:line="232" w:lineRule="auto"/>
        <w:sectPr>
          <w:pgSz w:w="15840" w:h="12240" w:orient="landscape"/>
          <w:pgMar w:top="480" w:right="440" w:bottom="460" w:left="460" w:header="284" w:footer="275" w:gutter="0"/>
          <w:cols w:space="720"/>
        </w:sectPr>
      </w:pPr>
    </w:p>
    <w:p w:rsidR="003F5784" w14:paraId="723057CA" w14:textId="77777777">
      <w:pPr>
        <w:pStyle w:val="BodyText"/>
        <w:tabs>
          <w:tab w:val="left" w:pos="6192"/>
          <w:tab w:val="left" w:pos="12532"/>
        </w:tabs>
        <w:spacing w:before="98" w:after="20"/>
        <w:ind w:left="595"/>
      </w:pPr>
      <w:r>
        <w:rPr>
          <w:spacing w:val="-2"/>
        </w:rPr>
        <w:t>Year</w:t>
      </w:r>
      <w:r>
        <w:rPr>
          <w:spacing w:val="-9"/>
        </w:rPr>
        <w:t xml:space="preserve"> </w:t>
      </w:r>
      <w:r>
        <w:rPr>
          <w:spacing w:val="-2"/>
        </w:rPr>
        <w:t>of</w:t>
      </w:r>
      <w:r>
        <w:rPr>
          <w:spacing w:val="-8"/>
        </w:rPr>
        <w:t xml:space="preserve"> </w:t>
      </w:r>
      <w:r>
        <w:rPr>
          <w:spacing w:val="-2"/>
        </w:rPr>
        <w:t>birth</w:t>
      </w:r>
      <w:r>
        <w:tab/>
      </w:r>
      <w:r>
        <w:rPr>
          <w:spacing w:val="-2"/>
        </w:rPr>
        <w:t>Weighted</w:t>
      </w:r>
      <w:r>
        <w:rPr>
          <w:spacing w:val="-11"/>
        </w:rPr>
        <w:t xml:space="preserve"> </w:t>
      </w:r>
      <w:r>
        <w:rPr>
          <w:spacing w:val="-2"/>
        </w:rPr>
        <w:t>aggregations</w:t>
      </w:r>
      <w:r>
        <w:tab/>
      </w:r>
      <w:r>
        <w:rPr>
          <w:spacing w:val="-2"/>
        </w:rPr>
        <w:t>Weighted</w:t>
      </w:r>
      <w:r>
        <w:rPr>
          <w:spacing w:val="-11"/>
        </w:rPr>
        <w:t xml:space="preserve"> </w:t>
      </w:r>
      <w:r>
        <w:rPr>
          <w:spacing w:val="-2"/>
        </w:rPr>
        <w:t>proportions</w:t>
      </w:r>
    </w:p>
    <w:tbl>
      <w:tblPr>
        <w:tblW w:w="0" w:type="auto"/>
        <w:tblInd w:w="482" w:type="dxa"/>
        <w:tblLayout w:type="fixed"/>
        <w:tblCellMar>
          <w:left w:w="0" w:type="dxa"/>
          <w:right w:w="0" w:type="dxa"/>
        </w:tblCellMar>
        <w:tblLook w:val="01E0"/>
      </w:tblPr>
      <w:tblGrid>
        <w:gridCol w:w="3927"/>
        <w:gridCol w:w="5941"/>
        <w:gridCol w:w="4116"/>
      </w:tblGrid>
      <w:tr w14:paraId="3C02F150" w14:textId="77777777" w:rsidTr="008F0E55">
        <w:tblPrEx>
          <w:tblW w:w="0" w:type="auto"/>
          <w:tblInd w:w="482" w:type="dxa"/>
          <w:tblLayout w:type="fixed"/>
          <w:tblCellMar>
            <w:left w:w="0" w:type="dxa"/>
            <w:right w:w="0" w:type="dxa"/>
          </w:tblCellMar>
          <w:tblLook w:val="01E0"/>
        </w:tblPrEx>
        <w:trPr>
          <w:trHeight w:val="280"/>
        </w:trPr>
        <w:tc>
          <w:tcPr>
            <w:tcW w:w="3927" w:type="dxa"/>
            <w:tcBorders>
              <w:top w:val="single" w:sz="18" w:space="0" w:color="800000"/>
              <w:bottom w:val="single" w:sz="18" w:space="0" w:color="800000"/>
            </w:tcBorders>
          </w:tcPr>
          <w:p w:rsidR="003F5784" w14:paraId="43A4CFE0" w14:textId="77777777">
            <w:pPr>
              <w:pStyle w:val="TableParagraph"/>
              <w:spacing w:before="9"/>
              <w:ind w:left="120"/>
              <w:jc w:val="left"/>
              <w:rPr>
                <w:sz w:val="21"/>
              </w:rPr>
            </w:pPr>
            <w:r>
              <w:rPr>
                <w:spacing w:val="-4"/>
                <w:sz w:val="21"/>
              </w:rPr>
              <w:t>2008</w:t>
            </w:r>
          </w:p>
        </w:tc>
        <w:tc>
          <w:tcPr>
            <w:tcW w:w="5941" w:type="dxa"/>
            <w:tcBorders>
              <w:top w:val="single" w:sz="18" w:space="0" w:color="800000"/>
              <w:bottom w:val="single" w:sz="18" w:space="0" w:color="800000"/>
            </w:tcBorders>
          </w:tcPr>
          <w:p w:rsidR="003F5784" w14:paraId="24C7A901" w14:textId="77777777">
            <w:pPr>
              <w:pStyle w:val="TableParagraph"/>
              <w:spacing w:before="9"/>
              <w:ind w:left="324"/>
              <w:jc w:val="center"/>
              <w:rPr>
                <w:sz w:val="21"/>
              </w:rPr>
            </w:pPr>
            <w:r>
              <w:rPr>
                <w:spacing w:val="-5"/>
                <w:sz w:val="21"/>
              </w:rPr>
              <w:t>524</w:t>
            </w:r>
          </w:p>
        </w:tc>
        <w:tc>
          <w:tcPr>
            <w:tcW w:w="4116" w:type="dxa"/>
            <w:tcBorders>
              <w:top w:val="single" w:sz="18" w:space="0" w:color="800000"/>
              <w:bottom w:val="single" w:sz="18" w:space="0" w:color="800000"/>
            </w:tcBorders>
          </w:tcPr>
          <w:p w:rsidR="003F5784" w14:paraId="1AAB6308" w14:textId="77777777">
            <w:pPr>
              <w:pStyle w:val="TableParagraph"/>
              <w:spacing w:before="9"/>
              <w:ind w:right="117"/>
              <w:rPr>
                <w:sz w:val="21"/>
              </w:rPr>
            </w:pPr>
            <w:r>
              <w:rPr>
                <w:spacing w:val="-10"/>
                <w:sz w:val="21"/>
              </w:rPr>
              <w:t>#</w:t>
            </w:r>
          </w:p>
        </w:tc>
      </w:tr>
    </w:tbl>
    <w:p w:rsidR="003F5784" w14:paraId="57F067DF" w14:textId="77777777">
      <w:pPr>
        <w:pStyle w:val="BodyText"/>
        <w:spacing w:line="232" w:lineRule="exact"/>
        <w:ind w:left="595"/>
      </w:pPr>
      <w:r>
        <w:t>#</w:t>
      </w:r>
      <w:r>
        <w:rPr>
          <w:spacing w:val="-5"/>
        </w:rPr>
        <w:t xml:space="preserve"> </w:t>
      </w:r>
      <w:r>
        <w:t>Rounds</w:t>
      </w:r>
      <w:r>
        <w:rPr>
          <w:spacing w:val="-4"/>
        </w:rPr>
        <w:t xml:space="preserve"> </w:t>
      </w:r>
      <w:r>
        <w:t>to</w:t>
      </w:r>
      <w:r>
        <w:rPr>
          <w:spacing w:val="-4"/>
        </w:rPr>
        <w:t xml:space="preserve"> </w:t>
      </w:r>
      <w:r>
        <w:rPr>
          <w:spacing w:val="-2"/>
        </w:rPr>
        <w:t>zero.</w:t>
      </w:r>
    </w:p>
    <w:p w:rsidR="003F5784" w14:paraId="3CCDBFBC" w14:textId="77777777">
      <w:pPr>
        <w:pStyle w:val="BodyText"/>
        <w:spacing w:line="235"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3C417473"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361D41DC" w14:textId="77777777">
      <w:pPr>
        <w:pStyle w:val="BodyText"/>
        <w:spacing w:before="118"/>
      </w:pPr>
    </w:p>
    <w:p w:rsidR="003F5784" w14:paraId="1B7465D9" w14:textId="77777777">
      <w:pPr>
        <w:pStyle w:val="Heading2"/>
      </w:pPr>
      <w:r>
        <w:t>Weighted</w:t>
      </w:r>
      <w:r>
        <w:rPr>
          <w:spacing w:val="-10"/>
        </w:rPr>
        <w:t xml:space="preserve"> </w:t>
      </w:r>
      <w:r>
        <w:t>aggregations</w:t>
      </w:r>
      <w:r>
        <w:rPr>
          <w:spacing w:val="-9"/>
        </w:rPr>
        <w:t xml:space="preserve"> </w:t>
      </w:r>
      <w:r>
        <w:t>and</w:t>
      </w:r>
      <w:r>
        <w:rPr>
          <w:spacing w:val="-9"/>
        </w:rPr>
        <w:t xml:space="preserve"> </w:t>
      </w:r>
      <w:r>
        <w:t>proportions</w:t>
      </w:r>
      <w:r>
        <w:rPr>
          <w:spacing w:val="-9"/>
        </w:rPr>
        <w:t xml:space="preserve"> </w:t>
      </w:r>
      <w:r>
        <w:t>from</w:t>
      </w:r>
      <w:r>
        <w:rPr>
          <w:spacing w:val="-9"/>
        </w:rPr>
        <w:t xml:space="preserve"> </w:t>
      </w:r>
      <w:r>
        <w:t>the</w:t>
      </w:r>
      <w:r>
        <w:rPr>
          <w:spacing w:val="-9"/>
        </w:rPr>
        <w:t xml:space="preserve"> </w:t>
      </w:r>
      <w:r>
        <w:t>grade</w:t>
      </w:r>
      <w:r>
        <w:rPr>
          <w:spacing w:val="-9"/>
        </w:rPr>
        <w:t xml:space="preserve"> </w:t>
      </w:r>
      <w:r>
        <w:t>4</w:t>
      </w:r>
      <w:r>
        <w:rPr>
          <w:spacing w:val="-9"/>
        </w:rPr>
        <w:t xml:space="preserve"> </w:t>
      </w:r>
      <w:r>
        <w:t>reading</w:t>
      </w:r>
      <w:r>
        <w:rPr>
          <w:spacing w:val="-10"/>
        </w:rPr>
        <w:t xml:space="preserve"> </w:t>
      </w:r>
      <w:r>
        <w:t>and</w:t>
      </w:r>
      <w:r>
        <w:rPr>
          <w:spacing w:val="-9"/>
        </w:rPr>
        <w:t xml:space="preserve"> </w:t>
      </w:r>
      <w:r>
        <w:t>mathematics</w:t>
      </w:r>
      <w:r>
        <w:rPr>
          <w:spacing w:val="-9"/>
        </w:rPr>
        <w:t xml:space="preserve"> </w:t>
      </w:r>
      <w:r>
        <w:t>assessments,</w:t>
      </w:r>
      <w:r>
        <w:rPr>
          <w:spacing w:val="-9"/>
        </w:rPr>
        <w:t xml:space="preserve"> </w:t>
      </w:r>
      <w:r>
        <w:t>private</w:t>
      </w:r>
      <w:r>
        <w:rPr>
          <w:spacing w:val="-9"/>
        </w:rPr>
        <w:t xml:space="preserve"> </w:t>
      </w:r>
      <w:r>
        <w:t>schools</w:t>
      </w:r>
      <w:r>
        <w:rPr>
          <w:spacing w:val="-13"/>
        </w:rPr>
        <w:t xml:space="preserve"> </w:t>
      </w:r>
      <w:r>
        <w:t>West</w:t>
      </w:r>
      <w:r>
        <w:rPr>
          <w:spacing w:val="-9"/>
        </w:rPr>
        <w:t xml:space="preserve"> </w:t>
      </w:r>
      <w:r>
        <w:t>region,</w:t>
      </w:r>
      <w:r>
        <w:rPr>
          <w:spacing w:val="-9"/>
        </w:rPr>
        <w:t xml:space="preserve"> </w:t>
      </w:r>
      <w:r>
        <w:t>by</w:t>
      </w:r>
      <w:r>
        <w:rPr>
          <w:spacing w:val="-9"/>
        </w:rPr>
        <w:t xml:space="preserve"> </w:t>
      </w:r>
      <w:r>
        <w:t>year</w:t>
      </w:r>
      <w:r>
        <w:rPr>
          <w:spacing w:val="-12"/>
        </w:rPr>
        <w:t xml:space="preserve"> </w:t>
      </w:r>
      <w:r>
        <w:t>of</w:t>
      </w:r>
      <w:r>
        <w:rPr>
          <w:spacing w:val="-9"/>
        </w:rPr>
        <w:t xml:space="preserve"> </w:t>
      </w:r>
      <w:r>
        <w:t>birth:</w:t>
      </w:r>
      <w:r>
        <w:rPr>
          <w:spacing w:val="-10"/>
        </w:rPr>
        <w:t xml:space="preserve"> </w:t>
      </w:r>
      <w:r>
        <w:rPr>
          <w:spacing w:val="-4"/>
        </w:rPr>
        <w:t>2017</w:t>
      </w:r>
    </w:p>
    <w:p w:rsidR="003F5784" w14:paraId="5B73EFE6"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3447"/>
        <w:gridCol w:w="6421"/>
        <w:gridCol w:w="4115"/>
      </w:tblGrid>
      <w:tr w14:paraId="6D7E99AA" w14:textId="77777777" w:rsidTr="008F0E55">
        <w:tblPrEx>
          <w:tblW w:w="0" w:type="auto"/>
          <w:tblInd w:w="482" w:type="dxa"/>
          <w:tblLayout w:type="fixed"/>
          <w:tblCellMar>
            <w:left w:w="0" w:type="dxa"/>
            <w:right w:w="0" w:type="dxa"/>
          </w:tblCellMar>
          <w:tblLook w:val="01E0"/>
        </w:tblPrEx>
        <w:trPr>
          <w:trHeight w:val="267"/>
        </w:trPr>
        <w:tc>
          <w:tcPr>
            <w:tcW w:w="3447" w:type="dxa"/>
            <w:tcBorders>
              <w:top w:val="single" w:sz="18" w:space="0" w:color="800000"/>
              <w:bottom w:val="single" w:sz="18" w:space="0" w:color="800000"/>
            </w:tcBorders>
          </w:tcPr>
          <w:p w:rsidR="003F5784" w14:paraId="09C741FE" w14:textId="77777777">
            <w:pPr>
              <w:pStyle w:val="TableParagraph"/>
              <w:spacing w:before="9" w:line="238" w:lineRule="exact"/>
              <w:ind w:left="120"/>
              <w:jc w:val="left"/>
              <w:rPr>
                <w:sz w:val="21"/>
              </w:rPr>
            </w:pPr>
            <w:r>
              <w:rPr>
                <w:spacing w:val="-2"/>
                <w:sz w:val="21"/>
              </w:rPr>
              <w:t>Year</w:t>
            </w:r>
            <w:r>
              <w:rPr>
                <w:spacing w:val="-9"/>
                <w:sz w:val="21"/>
              </w:rPr>
              <w:t xml:space="preserve"> </w:t>
            </w:r>
            <w:r>
              <w:rPr>
                <w:spacing w:val="-2"/>
                <w:sz w:val="21"/>
              </w:rPr>
              <w:t>of</w:t>
            </w:r>
            <w:r>
              <w:rPr>
                <w:spacing w:val="-8"/>
                <w:sz w:val="21"/>
              </w:rPr>
              <w:t xml:space="preserve"> </w:t>
            </w:r>
            <w:r>
              <w:rPr>
                <w:spacing w:val="-2"/>
                <w:sz w:val="21"/>
              </w:rPr>
              <w:t>birth</w:t>
            </w:r>
          </w:p>
        </w:tc>
        <w:tc>
          <w:tcPr>
            <w:tcW w:w="6421" w:type="dxa"/>
            <w:tcBorders>
              <w:top w:val="single" w:sz="18" w:space="0" w:color="800000"/>
              <w:bottom w:val="single" w:sz="18" w:space="0" w:color="800000"/>
            </w:tcBorders>
          </w:tcPr>
          <w:p w:rsidR="003F5784" w14:paraId="3C3B7548" w14:textId="77777777">
            <w:pPr>
              <w:pStyle w:val="TableParagraph"/>
              <w:spacing w:before="9" w:line="238" w:lineRule="exact"/>
              <w:ind w:right="2211"/>
              <w:rPr>
                <w:sz w:val="21"/>
              </w:rPr>
            </w:pPr>
            <w:r>
              <w:rPr>
                <w:spacing w:val="-2"/>
                <w:sz w:val="21"/>
              </w:rPr>
              <w:t>Weighted</w:t>
            </w:r>
            <w:r>
              <w:rPr>
                <w:spacing w:val="-11"/>
                <w:sz w:val="21"/>
              </w:rPr>
              <w:t xml:space="preserve"> </w:t>
            </w:r>
            <w:r>
              <w:rPr>
                <w:spacing w:val="-2"/>
                <w:sz w:val="21"/>
              </w:rPr>
              <w:t>aggregations</w:t>
            </w:r>
          </w:p>
        </w:tc>
        <w:tc>
          <w:tcPr>
            <w:tcW w:w="4115" w:type="dxa"/>
            <w:tcBorders>
              <w:top w:val="single" w:sz="18" w:space="0" w:color="800000"/>
              <w:bottom w:val="single" w:sz="18" w:space="0" w:color="800000"/>
            </w:tcBorders>
          </w:tcPr>
          <w:p w:rsidR="003F5784" w14:paraId="500F13FC" w14:textId="77777777">
            <w:pPr>
              <w:pStyle w:val="TableParagraph"/>
              <w:spacing w:before="9" w:line="238" w:lineRule="exact"/>
              <w:ind w:right="116"/>
              <w:rPr>
                <w:sz w:val="21"/>
              </w:rPr>
            </w:pPr>
            <w:r>
              <w:rPr>
                <w:spacing w:val="-2"/>
                <w:sz w:val="21"/>
              </w:rPr>
              <w:t>Weighted</w:t>
            </w:r>
            <w:r>
              <w:rPr>
                <w:spacing w:val="-11"/>
                <w:sz w:val="21"/>
              </w:rPr>
              <w:t xml:space="preserve"> </w:t>
            </w:r>
            <w:r>
              <w:rPr>
                <w:spacing w:val="-2"/>
                <w:sz w:val="21"/>
              </w:rPr>
              <w:t>proportions</w:t>
            </w:r>
          </w:p>
        </w:tc>
      </w:tr>
      <w:tr w14:paraId="28BDF91A" w14:textId="77777777" w:rsidTr="008F0E55">
        <w:tblPrEx>
          <w:tblW w:w="0" w:type="auto"/>
          <w:tblInd w:w="482" w:type="dxa"/>
          <w:tblLayout w:type="fixed"/>
          <w:tblCellMar>
            <w:left w:w="0" w:type="dxa"/>
            <w:right w:w="0" w:type="dxa"/>
          </w:tblCellMar>
          <w:tblLook w:val="01E0"/>
        </w:tblPrEx>
        <w:trPr>
          <w:trHeight w:val="278"/>
        </w:trPr>
        <w:tc>
          <w:tcPr>
            <w:tcW w:w="3447" w:type="dxa"/>
            <w:tcBorders>
              <w:top w:val="single" w:sz="18" w:space="0" w:color="800000"/>
            </w:tcBorders>
          </w:tcPr>
          <w:p w:rsidR="003F5784" w14:paraId="2CD9F6E9" w14:textId="77777777">
            <w:pPr>
              <w:pStyle w:val="TableParagraph"/>
              <w:spacing w:before="9"/>
              <w:ind w:left="370"/>
              <w:jc w:val="left"/>
              <w:rPr>
                <w:b/>
                <w:sz w:val="21"/>
              </w:rPr>
            </w:pPr>
            <w:r>
              <w:rPr>
                <w:b/>
                <w:spacing w:val="-2"/>
                <w:sz w:val="21"/>
              </w:rPr>
              <w:t>Total</w:t>
            </w:r>
          </w:p>
        </w:tc>
        <w:tc>
          <w:tcPr>
            <w:tcW w:w="6421" w:type="dxa"/>
            <w:tcBorders>
              <w:top w:val="single" w:sz="18" w:space="0" w:color="800000"/>
            </w:tcBorders>
          </w:tcPr>
          <w:p w:rsidR="003F5784" w14:paraId="40E20EB4" w14:textId="77777777">
            <w:pPr>
              <w:pStyle w:val="TableParagraph"/>
              <w:spacing w:before="9"/>
              <w:ind w:right="2211"/>
              <w:rPr>
                <w:b/>
                <w:sz w:val="21"/>
              </w:rPr>
            </w:pPr>
            <w:r>
              <w:rPr>
                <w:b/>
                <w:spacing w:val="-2"/>
                <w:sz w:val="21"/>
              </w:rPr>
              <w:t>60,000</w:t>
            </w:r>
          </w:p>
        </w:tc>
        <w:tc>
          <w:tcPr>
            <w:tcW w:w="4115" w:type="dxa"/>
            <w:tcBorders>
              <w:top w:val="single" w:sz="18" w:space="0" w:color="800000"/>
            </w:tcBorders>
          </w:tcPr>
          <w:p w:rsidR="003F5784" w14:paraId="3B5AE2DD" w14:textId="77777777">
            <w:pPr>
              <w:pStyle w:val="TableParagraph"/>
              <w:spacing w:before="9"/>
              <w:ind w:right="116"/>
              <w:rPr>
                <w:b/>
                <w:sz w:val="21"/>
              </w:rPr>
            </w:pPr>
            <w:r>
              <w:rPr>
                <w:b/>
                <w:spacing w:val="-4"/>
                <w:sz w:val="21"/>
              </w:rPr>
              <w:t>1.00</w:t>
            </w:r>
          </w:p>
        </w:tc>
      </w:tr>
      <w:tr w14:paraId="0AF2FDBB" w14:textId="77777777" w:rsidTr="008F0E55">
        <w:tblPrEx>
          <w:tblW w:w="0" w:type="auto"/>
          <w:tblInd w:w="482" w:type="dxa"/>
          <w:tblLayout w:type="fixed"/>
          <w:tblCellMar>
            <w:left w:w="0" w:type="dxa"/>
            <w:right w:w="0" w:type="dxa"/>
          </w:tblCellMar>
          <w:tblLook w:val="01E0"/>
        </w:tblPrEx>
        <w:trPr>
          <w:trHeight w:val="286"/>
        </w:trPr>
        <w:tc>
          <w:tcPr>
            <w:tcW w:w="3447" w:type="dxa"/>
          </w:tcPr>
          <w:p w:rsidR="003F5784" w14:paraId="1B0A127F" w14:textId="77777777">
            <w:pPr>
              <w:pStyle w:val="TableParagraph"/>
              <w:ind w:left="120"/>
              <w:jc w:val="left"/>
              <w:rPr>
                <w:sz w:val="21"/>
              </w:rPr>
            </w:pPr>
            <w:r>
              <w:rPr>
                <w:spacing w:val="-4"/>
                <w:sz w:val="21"/>
              </w:rPr>
              <w:t>2005</w:t>
            </w:r>
          </w:p>
        </w:tc>
        <w:tc>
          <w:tcPr>
            <w:tcW w:w="6421" w:type="dxa"/>
          </w:tcPr>
          <w:p w:rsidR="003F5784" w14:paraId="6C744084" w14:textId="77777777">
            <w:pPr>
              <w:pStyle w:val="TableParagraph"/>
              <w:ind w:right="2211"/>
              <w:rPr>
                <w:sz w:val="21"/>
              </w:rPr>
            </w:pPr>
            <w:r>
              <w:rPr>
                <w:spacing w:val="-5"/>
                <w:sz w:val="21"/>
              </w:rPr>
              <w:t>640</w:t>
            </w:r>
          </w:p>
        </w:tc>
        <w:tc>
          <w:tcPr>
            <w:tcW w:w="4115" w:type="dxa"/>
          </w:tcPr>
          <w:p w:rsidR="003F5784" w14:paraId="42DBF280" w14:textId="77777777">
            <w:pPr>
              <w:pStyle w:val="TableParagraph"/>
              <w:ind w:right="116"/>
              <w:rPr>
                <w:sz w:val="21"/>
              </w:rPr>
            </w:pPr>
            <w:r>
              <w:rPr>
                <w:spacing w:val="-4"/>
                <w:sz w:val="21"/>
              </w:rPr>
              <w:t>0.01</w:t>
            </w:r>
          </w:p>
        </w:tc>
      </w:tr>
      <w:tr w14:paraId="5E0D08D0" w14:textId="77777777" w:rsidTr="008F0E55">
        <w:tblPrEx>
          <w:tblW w:w="0" w:type="auto"/>
          <w:tblInd w:w="482" w:type="dxa"/>
          <w:tblLayout w:type="fixed"/>
          <w:tblCellMar>
            <w:left w:w="0" w:type="dxa"/>
            <w:right w:w="0" w:type="dxa"/>
          </w:tblCellMar>
          <w:tblLook w:val="01E0"/>
        </w:tblPrEx>
        <w:trPr>
          <w:trHeight w:val="286"/>
        </w:trPr>
        <w:tc>
          <w:tcPr>
            <w:tcW w:w="3447" w:type="dxa"/>
          </w:tcPr>
          <w:p w:rsidR="003F5784" w14:paraId="26FCB19F" w14:textId="77777777">
            <w:pPr>
              <w:pStyle w:val="TableParagraph"/>
              <w:ind w:left="120"/>
              <w:jc w:val="left"/>
              <w:rPr>
                <w:sz w:val="21"/>
              </w:rPr>
            </w:pPr>
            <w:r>
              <w:rPr>
                <w:spacing w:val="-4"/>
                <w:sz w:val="21"/>
              </w:rPr>
              <w:t>2006</w:t>
            </w:r>
          </w:p>
        </w:tc>
        <w:tc>
          <w:tcPr>
            <w:tcW w:w="6421" w:type="dxa"/>
          </w:tcPr>
          <w:p w:rsidR="003F5784" w14:paraId="4736ED90" w14:textId="77777777">
            <w:pPr>
              <w:pStyle w:val="TableParagraph"/>
              <w:ind w:right="2211"/>
              <w:rPr>
                <w:sz w:val="21"/>
              </w:rPr>
            </w:pPr>
            <w:r>
              <w:rPr>
                <w:spacing w:val="-2"/>
                <w:sz w:val="21"/>
              </w:rPr>
              <w:t>20,000</w:t>
            </w:r>
          </w:p>
        </w:tc>
        <w:tc>
          <w:tcPr>
            <w:tcW w:w="4115" w:type="dxa"/>
          </w:tcPr>
          <w:p w:rsidR="003F5784" w14:paraId="21448E1F" w14:textId="77777777">
            <w:pPr>
              <w:pStyle w:val="TableParagraph"/>
              <w:ind w:right="116"/>
              <w:rPr>
                <w:sz w:val="21"/>
              </w:rPr>
            </w:pPr>
            <w:r>
              <w:rPr>
                <w:spacing w:val="-4"/>
                <w:sz w:val="21"/>
              </w:rPr>
              <w:t>0.34</w:t>
            </w:r>
          </w:p>
        </w:tc>
      </w:tr>
      <w:tr w14:paraId="0DB6066A" w14:textId="77777777" w:rsidTr="008F0E55">
        <w:tblPrEx>
          <w:tblW w:w="0" w:type="auto"/>
          <w:tblInd w:w="482" w:type="dxa"/>
          <w:tblLayout w:type="fixed"/>
          <w:tblCellMar>
            <w:left w:w="0" w:type="dxa"/>
            <w:right w:w="0" w:type="dxa"/>
          </w:tblCellMar>
          <w:tblLook w:val="01E0"/>
        </w:tblPrEx>
        <w:trPr>
          <w:trHeight w:val="286"/>
        </w:trPr>
        <w:tc>
          <w:tcPr>
            <w:tcW w:w="3447" w:type="dxa"/>
          </w:tcPr>
          <w:p w:rsidR="003F5784" w14:paraId="3517ED54" w14:textId="77777777">
            <w:pPr>
              <w:pStyle w:val="TableParagraph"/>
              <w:ind w:left="120"/>
              <w:jc w:val="left"/>
              <w:rPr>
                <w:sz w:val="21"/>
              </w:rPr>
            </w:pPr>
            <w:r>
              <w:rPr>
                <w:spacing w:val="-4"/>
                <w:sz w:val="21"/>
              </w:rPr>
              <w:t>2007</w:t>
            </w:r>
          </w:p>
        </w:tc>
        <w:tc>
          <w:tcPr>
            <w:tcW w:w="6421" w:type="dxa"/>
          </w:tcPr>
          <w:p w:rsidR="003F5784" w14:paraId="71F87A37" w14:textId="77777777">
            <w:pPr>
              <w:pStyle w:val="TableParagraph"/>
              <w:ind w:right="2211"/>
              <w:rPr>
                <w:sz w:val="21"/>
              </w:rPr>
            </w:pPr>
            <w:r>
              <w:rPr>
                <w:spacing w:val="-2"/>
                <w:sz w:val="21"/>
              </w:rPr>
              <w:t>39,000</w:t>
            </w:r>
          </w:p>
        </w:tc>
        <w:tc>
          <w:tcPr>
            <w:tcW w:w="4115" w:type="dxa"/>
          </w:tcPr>
          <w:p w:rsidR="003F5784" w14:paraId="647593DA" w14:textId="77777777">
            <w:pPr>
              <w:pStyle w:val="TableParagraph"/>
              <w:ind w:right="116"/>
              <w:rPr>
                <w:sz w:val="21"/>
              </w:rPr>
            </w:pPr>
            <w:r>
              <w:rPr>
                <w:spacing w:val="-4"/>
                <w:sz w:val="21"/>
              </w:rPr>
              <w:t>0.65</w:t>
            </w:r>
          </w:p>
        </w:tc>
      </w:tr>
      <w:tr w14:paraId="7E99C2EE" w14:textId="77777777" w:rsidTr="008F0E55">
        <w:tblPrEx>
          <w:tblW w:w="0" w:type="auto"/>
          <w:tblInd w:w="482" w:type="dxa"/>
          <w:tblLayout w:type="fixed"/>
          <w:tblCellMar>
            <w:left w:w="0" w:type="dxa"/>
            <w:right w:w="0" w:type="dxa"/>
          </w:tblCellMar>
          <w:tblLook w:val="01E0"/>
        </w:tblPrEx>
        <w:trPr>
          <w:trHeight w:val="288"/>
        </w:trPr>
        <w:tc>
          <w:tcPr>
            <w:tcW w:w="3447" w:type="dxa"/>
            <w:tcBorders>
              <w:bottom w:val="single" w:sz="18" w:space="0" w:color="800000"/>
            </w:tcBorders>
          </w:tcPr>
          <w:p w:rsidR="003F5784" w14:paraId="1B20B96C" w14:textId="77777777">
            <w:pPr>
              <w:pStyle w:val="TableParagraph"/>
              <w:ind w:left="120"/>
              <w:jc w:val="left"/>
              <w:rPr>
                <w:sz w:val="21"/>
              </w:rPr>
            </w:pPr>
            <w:r>
              <w:rPr>
                <w:spacing w:val="-4"/>
                <w:sz w:val="21"/>
              </w:rPr>
              <w:t>2008</w:t>
            </w:r>
          </w:p>
        </w:tc>
        <w:tc>
          <w:tcPr>
            <w:tcW w:w="6421" w:type="dxa"/>
            <w:tcBorders>
              <w:bottom w:val="single" w:sz="18" w:space="0" w:color="800000"/>
            </w:tcBorders>
          </w:tcPr>
          <w:p w:rsidR="003F5784" w14:paraId="51761E74" w14:textId="77777777">
            <w:pPr>
              <w:pStyle w:val="TableParagraph"/>
              <w:ind w:right="2211"/>
              <w:rPr>
                <w:sz w:val="21"/>
              </w:rPr>
            </w:pPr>
            <w:r>
              <w:rPr>
                <w:spacing w:val="-5"/>
                <w:sz w:val="21"/>
              </w:rPr>
              <w:t>263</w:t>
            </w:r>
          </w:p>
        </w:tc>
        <w:tc>
          <w:tcPr>
            <w:tcW w:w="4115" w:type="dxa"/>
            <w:tcBorders>
              <w:bottom w:val="single" w:sz="18" w:space="0" w:color="800000"/>
            </w:tcBorders>
          </w:tcPr>
          <w:p w:rsidR="003F5784" w14:paraId="3B7B2726" w14:textId="77777777">
            <w:pPr>
              <w:pStyle w:val="TableParagraph"/>
              <w:ind w:right="116"/>
              <w:rPr>
                <w:sz w:val="21"/>
              </w:rPr>
            </w:pPr>
            <w:r>
              <w:rPr>
                <w:spacing w:val="-10"/>
                <w:sz w:val="21"/>
              </w:rPr>
              <w:t>#</w:t>
            </w:r>
          </w:p>
        </w:tc>
      </w:tr>
      <w:tr w14:paraId="5B939BA4" w14:textId="77777777">
        <w:tblPrEx>
          <w:tblW w:w="0" w:type="auto"/>
          <w:tblInd w:w="482" w:type="dxa"/>
          <w:tblLayout w:type="fixed"/>
          <w:tblCellMar>
            <w:left w:w="0" w:type="dxa"/>
            <w:right w:w="0" w:type="dxa"/>
          </w:tblCellMar>
          <w:tblLook w:val="01E0"/>
        </w:tblPrEx>
        <w:trPr>
          <w:trHeight w:val="237"/>
        </w:trPr>
        <w:tc>
          <w:tcPr>
            <w:tcW w:w="13983" w:type="dxa"/>
            <w:gridSpan w:val="3"/>
            <w:tcBorders>
              <w:top w:val="single" w:sz="18" w:space="0" w:color="800000"/>
            </w:tcBorders>
          </w:tcPr>
          <w:p w:rsidR="003F5784" w14:paraId="6BD81467"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r>
    </w:tbl>
    <w:p w:rsidR="003F5784" w14:paraId="48C6D5E4" w14:textId="77777777">
      <w:pPr>
        <w:pStyle w:val="BodyText"/>
        <w:spacing w:line="233"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0F087A93"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53531EB6" w14:textId="77777777">
      <w:pPr>
        <w:pStyle w:val="BodyText"/>
        <w:spacing w:before="228"/>
      </w:pPr>
    </w:p>
    <w:p w:rsidR="003F5784" w14:paraId="36CE06A2" w14:textId="77777777">
      <w:pPr>
        <w:pStyle w:val="BodyText"/>
        <w:spacing w:before="1" w:line="232" w:lineRule="auto"/>
        <w:ind w:left="109" w:right="179"/>
      </w:pPr>
      <w:r>
        <w:t>The combined percentages of the reading and mathematics assessments are the best estimates of the percentages of fourth-graders in school year 2016–2017 by year of birth. The objective is to get the percentages of those born in a particular year (e.g., 2007) who are in grades 2, 3, 4, and 5. Since direct estimates are not available, an indirect estimate can be obtained by assuming that the other grades have the identical distribution as fourth grade, but moved back or moved forward by one year.</w:t>
      </w:r>
      <w:r>
        <w:rPr>
          <w:spacing w:val="-4"/>
        </w:rPr>
        <w:t xml:space="preserve"> </w:t>
      </w:r>
      <w:r>
        <w:t>This effectively assumes</w:t>
      </w:r>
      <w:r>
        <w:rPr>
          <w:spacing w:val="-6"/>
        </w:rPr>
        <w:t xml:space="preserve"> </w:t>
      </w:r>
      <w:r>
        <w:t>a</w:t>
      </w:r>
      <w:r>
        <w:rPr>
          <w:spacing w:val="-6"/>
        </w:rPr>
        <w:t xml:space="preserve"> </w:t>
      </w:r>
      <w:r>
        <w:t>stationary</w:t>
      </w:r>
      <w:r>
        <w:rPr>
          <w:spacing w:val="-6"/>
        </w:rPr>
        <w:t xml:space="preserve"> </w:t>
      </w:r>
      <w:r>
        <w:t>distribution</w:t>
      </w:r>
      <w:r>
        <w:rPr>
          <w:spacing w:val="-6"/>
        </w:rPr>
        <w:t xml:space="preserve"> </w:t>
      </w:r>
      <w:r>
        <w:t>of</w:t>
      </w:r>
      <w:r>
        <w:rPr>
          <w:spacing w:val="-6"/>
        </w:rPr>
        <w:t xml:space="preserve"> </w:t>
      </w:r>
      <w:r>
        <w:t>age</w:t>
      </w:r>
      <w:r>
        <w:rPr>
          <w:spacing w:val="-6"/>
        </w:rPr>
        <w:t xml:space="preserve"> </w:t>
      </w:r>
      <w:r>
        <w:t>and</w:t>
      </w:r>
      <w:r>
        <w:rPr>
          <w:spacing w:val="-6"/>
        </w:rPr>
        <w:t xml:space="preserve"> </w:t>
      </w:r>
      <w:r>
        <w:t>grade,</w:t>
      </w:r>
      <w:r>
        <w:rPr>
          <w:spacing w:val="-6"/>
        </w:rPr>
        <w:t xml:space="preserve"> </w:t>
      </w:r>
      <w:r>
        <w:t>which</w:t>
      </w:r>
      <w:r>
        <w:rPr>
          <w:spacing w:val="-6"/>
        </w:rPr>
        <w:t xml:space="preserve"> </w:t>
      </w:r>
      <w:r>
        <w:t>is</w:t>
      </w:r>
      <w:r>
        <w:rPr>
          <w:spacing w:val="-6"/>
        </w:rPr>
        <w:t xml:space="preserve"> </w:t>
      </w:r>
      <w:r>
        <w:t>only</w:t>
      </w:r>
      <w:r>
        <w:rPr>
          <w:spacing w:val="-6"/>
        </w:rPr>
        <w:t xml:space="preserve"> </w:t>
      </w:r>
      <w:r>
        <w:t>a</w:t>
      </w:r>
      <w:r>
        <w:rPr>
          <w:spacing w:val="-6"/>
        </w:rPr>
        <w:t xml:space="preserve"> </w:t>
      </w:r>
      <w:r>
        <w:t>rough</w:t>
      </w:r>
      <w:r>
        <w:rPr>
          <w:spacing w:val="-6"/>
        </w:rPr>
        <w:t xml:space="preserve"> </w:t>
      </w:r>
      <w:r>
        <w:t>approximation</w:t>
      </w:r>
      <w:r>
        <w:rPr>
          <w:spacing w:val="-6"/>
        </w:rPr>
        <w:t xml:space="preserve"> </w:t>
      </w:r>
      <w:r>
        <w:t>of</w:t>
      </w:r>
      <w:r>
        <w:rPr>
          <w:spacing w:val="-6"/>
        </w:rPr>
        <w:t xml:space="preserve"> </w:t>
      </w:r>
      <w:r>
        <w:t>reality,</w:t>
      </w:r>
      <w:r>
        <w:rPr>
          <w:spacing w:val="-6"/>
        </w:rPr>
        <w:t xml:space="preserve"> </w:t>
      </w:r>
      <w:r>
        <w:t>but</w:t>
      </w:r>
      <w:r>
        <w:rPr>
          <w:spacing w:val="-6"/>
        </w:rPr>
        <w:t xml:space="preserve"> </w:t>
      </w:r>
      <w:r>
        <w:t>it</w:t>
      </w:r>
      <w:r>
        <w:rPr>
          <w:spacing w:val="-6"/>
        </w:rPr>
        <w:t xml:space="preserve"> </w:t>
      </w:r>
      <w:r>
        <w:t>suffices</w:t>
      </w:r>
      <w:r>
        <w:rPr>
          <w:spacing w:val="-6"/>
        </w:rPr>
        <w:t xml:space="preserve"> </w:t>
      </w:r>
      <w:r>
        <w:t>to</w:t>
      </w:r>
      <w:r>
        <w:rPr>
          <w:spacing w:val="-6"/>
        </w:rPr>
        <w:t xml:space="preserve"> </w:t>
      </w:r>
      <w:r>
        <w:t>give</w:t>
      </w:r>
      <w:r>
        <w:rPr>
          <w:spacing w:val="-6"/>
        </w:rPr>
        <w:t xml:space="preserve"> </w:t>
      </w:r>
      <w:r>
        <w:t>good</w:t>
      </w:r>
      <w:r>
        <w:rPr>
          <w:spacing w:val="-6"/>
        </w:rPr>
        <w:t xml:space="preserve"> </w:t>
      </w:r>
      <w:r>
        <w:t>measures</w:t>
      </w:r>
      <w:r>
        <w:rPr>
          <w:spacing w:val="-6"/>
        </w:rPr>
        <w:t xml:space="preserve"> </w:t>
      </w:r>
      <w:r>
        <w:t>of</w:t>
      </w:r>
      <w:r>
        <w:rPr>
          <w:spacing w:val="-6"/>
        </w:rPr>
        <w:t xml:space="preserve"> </w:t>
      </w:r>
      <w:r>
        <w:t>size.</w:t>
      </w:r>
      <w:r>
        <w:rPr>
          <w:spacing w:val="-10"/>
        </w:rPr>
        <w:t xml:space="preserve"> </w:t>
      </w:r>
      <w:r>
        <w:t>The</w:t>
      </w:r>
      <w:r>
        <w:rPr>
          <w:spacing w:val="-6"/>
        </w:rPr>
        <w:t xml:space="preserve"> </w:t>
      </w:r>
      <w:r>
        <w:t>derived</w:t>
      </w:r>
      <w:r>
        <w:rPr>
          <w:spacing w:val="-6"/>
        </w:rPr>
        <w:t xml:space="preserve"> </w:t>
      </w:r>
      <w:r>
        <w:t>percentages</w:t>
      </w:r>
      <w:r>
        <w:rPr>
          <w:spacing w:val="-6"/>
        </w:rPr>
        <w:t xml:space="preserve"> </w:t>
      </w:r>
      <w:r>
        <w:t>by</w:t>
      </w:r>
      <w:r>
        <w:rPr>
          <w:spacing w:val="-6"/>
        </w:rPr>
        <w:t xml:space="preserve"> </w:t>
      </w:r>
      <w:r>
        <w:t>age and grade using this stationarity approximation are illustrated for the Northeast region in the table below.</w:t>
      </w:r>
    </w:p>
    <w:p w:rsidR="003F5784" w14:paraId="18E13884" w14:textId="77777777">
      <w:pPr>
        <w:pStyle w:val="BodyText"/>
        <w:spacing w:before="93"/>
      </w:pPr>
    </w:p>
    <w:p w:rsidR="003F5784" w14:paraId="1341D442" w14:textId="77777777">
      <w:pPr>
        <w:pStyle w:val="Heading2"/>
      </w:pPr>
      <w:r>
        <w:t>Grade</w:t>
      </w:r>
      <w:r>
        <w:rPr>
          <w:spacing w:val="-10"/>
        </w:rPr>
        <w:t xml:space="preserve"> </w:t>
      </w:r>
      <w:r>
        <w:t>distribution</w:t>
      </w:r>
      <w:r>
        <w:rPr>
          <w:spacing w:val="-10"/>
        </w:rPr>
        <w:t xml:space="preserve"> </w:t>
      </w:r>
      <w:r>
        <w:t>for</w:t>
      </w:r>
      <w:r>
        <w:rPr>
          <w:spacing w:val="-12"/>
        </w:rPr>
        <w:t xml:space="preserve"> </w:t>
      </w:r>
      <w:r>
        <w:t>private</w:t>
      </w:r>
      <w:r>
        <w:rPr>
          <w:spacing w:val="-10"/>
        </w:rPr>
        <w:t xml:space="preserve"> </w:t>
      </w:r>
      <w:r>
        <w:t>schools</w:t>
      </w:r>
      <w:r>
        <w:rPr>
          <w:spacing w:val="-9"/>
        </w:rPr>
        <w:t xml:space="preserve"> </w:t>
      </w:r>
      <w:r>
        <w:t>Northeast</w:t>
      </w:r>
      <w:r>
        <w:rPr>
          <w:spacing w:val="-10"/>
        </w:rPr>
        <w:t xml:space="preserve"> </w:t>
      </w:r>
      <w:r>
        <w:t>region,</w:t>
      </w:r>
      <w:r>
        <w:rPr>
          <w:spacing w:val="-9"/>
        </w:rPr>
        <w:t xml:space="preserve"> </w:t>
      </w:r>
      <w:r>
        <w:t>2016–2017</w:t>
      </w:r>
      <w:r>
        <w:rPr>
          <w:spacing w:val="-10"/>
        </w:rPr>
        <w:t xml:space="preserve"> </w:t>
      </w:r>
      <w:r>
        <w:t>school</w:t>
      </w:r>
      <w:r>
        <w:rPr>
          <w:spacing w:val="-10"/>
        </w:rPr>
        <w:t xml:space="preserve"> </w:t>
      </w:r>
      <w:r>
        <w:t>year,</w:t>
      </w:r>
      <w:r>
        <w:rPr>
          <w:spacing w:val="-9"/>
        </w:rPr>
        <w:t xml:space="preserve"> </w:t>
      </w:r>
      <w:r>
        <w:t>assuming</w:t>
      </w:r>
      <w:r>
        <w:rPr>
          <w:spacing w:val="-10"/>
        </w:rPr>
        <w:t xml:space="preserve"> </w:t>
      </w:r>
      <w:r>
        <w:t>stationarity,</w:t>
      </w:r>
      <w:r>
        <w:rPr>
          <w:spacing w:val="-9"/>
        </w:rPr>
        <w:t xml:space="preserve"> </w:t>
      </w:r>
      <w:r>
        <w:t>by</w:t>
      </w:r>
      <w:r>
        <w:rPr>
          <w:spacing w:val="-10"/>
        </w:rPr>
        <w:t xml:space="preserve"> </w:t>
      </w:r>
      <w:r>
        <w:t>year</w:t>
      </w:r>
      <w:r>
        <w:rPr>
          <w:spacing w:val="-12"/>
        </w:rPr>
        <w:t xml:space="preserve"> </w:t>
      </w:r>
      <w:r>
        <w:t>of</w:t>
      </w:r>
      <w:r>
        <w:rPr>
          <w:spacing w:val="-10"/>
        </w:rPr>
        <w:t xml:space="preserve"> </w:t>
      </w:r>
      <w:r>
        <w:t>birth:</w:t>
      </w:r>
      <w:r>
        <w:rPr>
          <w:spacing w:val="-9"/>
        </w:rPr>
        <w:t xml:space="preserve"> </w:t>
      </w:r>
      <w:r>
        <w:rPr>
          <w:spacing w:val="-4"/>
        </w:rPr>
        <w:t>2017</w:t>
      </w:r>
    </w:p>
    <w:p w:rsidR="003F5784" w14:paraId="5F789335"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2453"/>
        <w:gridCol w:w="3036"/>
        <w:gridCol w:w="2284"/>
        <w:gridCol w:w="2357"/>
        <w:gridCol w:w="2154"/>
        <w:gridCol w:w="1697"/>
      </w:tblGrid>
      <w:tr w14:paraId="74116C61" w14:textId="77777777">
        <w:tblPrEx>
          <w:tblW w:w="0" w:type="auto"/>
          <w:tblInd w:w="482" w:type="dxa"/>
          <w:tblLayout w:type="fixed"/>
          <w:tblCellMar>
            <w:left w:w="0" w:type="dxa"/>
            <w:right w:w="0" w:type="dxa"/>
          </w:tblCellMar>
          <w:tblLook w:val="01E0"/>
        </w:tblPrEx>
        <w:trPr>
          <w:trHeight w:val="267"/>
        </w:trPr>
        <w:tc>
          <w:tcPr>
            <w:tcW w:w="2453" w:type="dxa"/>
            <w:tcBorders>
              <w:top w:val="single" w:sz="18" w:space="0" w:color="800000"/>
              <w:bottom w:val="single" w:sz="18" w:space="0" w:color="800000"/>
            </w:tcBorders>
          </w:tcPr>
          <w:p w:rsidR="003F5784" w14:paraId="2FB4510A" w14:textId="77777777">
            <w:pPr>
              <w:pStyle w:val="TableParagraph"/>
              <w:spacing w:before="9" w:line="238" w:lineRule="exact"/>
              <w:ind w:left="120"/>
              <w:jc w:val="left"/>
              <w:rPr>
                <w:sz w:val="21"/>
              </w:rPr>
            </w:pPr>
            <w:r>
              <w:rPr>
                <w:spacing w:val="-2"/>
                <w:sz w:val="21"/>
              </w:rPr>
              <w:t>Year</w:t>
            </w:r>
            <w:r>
              <w:rPr>
                <w:spacing w:val="-9"/>
                <w:sz w:val="21"/>
              </w:rPr>
              <w:t xml:space="preserve"> </w:t>
            </w:r>
            <w:r>
              <w:rPr>
                <w:spacing w:val="-2"/>
                <w:sz w:val="21"/>
              </w:rPr>
              <w:t>of</w:t>
            </w:r>
            <w:r>
              <w:rPr>
                <w:spacing w:val="-8"/>
                <w:sz w:val="21"/>
              </w:rPr>
              <w:t xml:space="preserve"> </w:t>
            </w:r>
            <w:r>
              <w:rPr>
                <w:spacing w:val="-2"/>
                <w:sz w:val="21"/>
              </w:rPr>
              <w:t>birth</w:t>
            </w:r>
          </w:p>
        </w:tc>
        <w:tc>
          <w:tcPr>
            <w:tcW w:w="3036" w:type="dxa"/>
            <w:tcBorders>
              <w:top w:val="single" w:sz="18" w:space="0" w:color="800000"/>
              <w:bottom w:val="single" w:sz="18" w:space="0" w:color="800000"/>
            </w:tcBorders>
          </w:tcPr>
          <w:p w:rsidR="003F5784" w14:paraId="3395BEFB" w14:textId="77777777">
            <w:pPr>
              <w:pStyle w:val="TableParagraph"/>
              <w:spacing w:before="9" w:line="238" w:lineRule="exact"/>
              <w:ind w:right="627"/>
              <w:rPr>
                <w:sz w:val="21"/>
              </w:rPr>
            </w:pPr>
            <w:r>
              <w:rPr>
                <w:sz w:val="21"/>
              </w:rPr>
              <w:t>Second</w:t>
            </w:r>
            <w:r>
              <w:rPr>
                <w:spacing w:val="-8"/>
                <w:sz w:val="21"/>
              </w:rPr>
              <w:t xml:space="preserve"> </w:t>
            </w:r>
            <w:r>
              <w:rPr>
                <w:spacing w:val="-2"/>
                <w:sz w:val="21"/>
              </w:rPr>
              <w:t>grade</w:t>
            </w:r>
          </w:p>
        </w:tc>
        <w:tc>
          <w:tcPr>
            <w:tcW w:w="2284" w:type="dxa"/>
            <w:tcBorders>
              <w:top w:val="single" w:sz="18" w:space="0" w:color="800000"/>
              <w:bottom w:val="single" w:sz="18" w:space="0" w:color="800000"/>
            </w:tcBorders>
          </w:tcPr>
          <w:p w:rsidR="003F5784" w14:paraId="12CC6E91" w14:textId="77777777">
            <w:pPr>
              <w:pStyle w:val="TableParagraph"/>
              <w:spacing w:before="9" w:line="238" w:lineRule="exact"/>
              <w:ind w:right="672"/>
              <w:rPr>
                <w:sz w:val="21"/>
              </w:rPr>
            </w:pPr>
            <w:r>
              <w:rPr>
                <w:sz w:val="21"/>
              </w:rPr>
              <w:t>Third</w:t>
            </w:r>
            <w:r>
              <w:rPr>
                <w:spacing w:val="-6"/>
                <w:sz w:val="21"/>
              </w:rPr>
              <w:t xml:space="preserve"> </w:t>
            </w:r>
            <w:r>
              <w:rPr>
                <w:spacing w:val="-2"/>
                <w:sz w:val="21"/>
              </w:rPr>
              <w:t>grade</w:t>
            </w:r>
          </w:p>
        </w:tc>
        <w:tc>
          <w:tcPr>
            <w:tcW w:w="2357" w:type="dxa"/>
            <w:tcBorders>
              <w:top w:val="single" w:sz="18" w:space="0" w:color="800000"/>
              <w:bottom w:val="single" w:sz="18" w:space="0" w:color="800000"/>
            </w:tcBorders>
          </w:tcPr>
          <w:p w:rsidR="003F5784" w14:paraId="47BA59D0" w14:textId="77777777">
            <w:pPr>
              <w:pStyle w:val="TableParagraph"/>
              <w:spacing w:before="9" w:line="238" w:lineRule="exact"/>
              <w:ind w:right="607"/>
              <w:rPr>
                <w:sz w:val="21"/>
              </w:rPr>
            </w:pPr>
            <w:r>
              <w:rPr>
                <w:sz w:val="21"/>
              </w:rPr>
              <w:t>Fourth</w:t>
            </w:r>
            <w:r>
              <w:rPr>
                <w:spacing w:val="-7"/>
                <w:sz w:val="21"/>
              </w:rPr>
              <w:t xml:space="preserve"> </w:t>
            </w:r>
            <w:r>
              <w:rPr>
                <w:spacing w:val="-2"/>
                <w:sz w:val="21"/>
              </w:rPr>
              <w:t>grade</w:t>
            </w:r>
          </w:p>
        </w:tc>
        <w:tc>
          <w:tcPr>
            <w:tcW w:w="2154" w:type="dxa"/>
            <w:tcBorders>
              <w:top w:val="single" w:sz="18" w:space="0" w:color="800000"/>
              <w:bottom w:val="single" w:sz="18" w:space="0" w:color="800000"/>
            </w:tcBorders>
          </w:tcPr>
          <w:p w:rsidR="003F5784" w14:paraId="53144FB0" w14:textId="77777777">
            <w:pPr>
              <w:pStyle w:val="TableParagraph"/>
              <w:spacing w:before="9" w:line="238" w:lineRule="exact"/>
              <w:ind w:right="619"/>
              <w:rPr>
                <w:sz w:val="21"/>
              </w:rPr>
            </w:pPr>
            <w:r>
              <w:rPr>
                <w:sz w:val="21"/>
              </w:rPr>
              <w:t>Fifth</w:t>
            </w:r>
            <w:r>
              <w:rPr>
                <w:spacing w:val="-6"/>
                <w:sz w:val="21"/>
              </w:rPr>
              <w:t xml:space="preserve"> </w:t>
            </w:r>
            <w:r>
              <w:rPr>
                <w:spacing w:val="-2"/>
                <w:sz w:val="21"/>
              </w:rPr>
              <w:t>grade</w:t>
            </w:r>
          </w:p>
        </w:tc>
        <w:tc>
          <w:tcPr>
            <w:tcW w:w="1697" w:type="dxa"/>
            <w:tcBorders>
              <w:top w:val="single" w:sz="18" w:space="0" w:color="800000"/>
              <w:bottom w:val="single" w:sz="18" w:space="0" w:color="800000"/>
            </w:tcBorders>
          </w:tcPr>
          <w:p w:rsidR="003F5784" w14:paraId="4D41E595" w14:textId="77777777">
            <w:pPr>
              <w:pStyle w:val="TableParagraph"/>
              <w:spacing w:before="9" w:line="238" w:lineRule="exact"/>
              <w:ind w:right="114"/>
              <w:rPr>
                <w:sz w:val="21"/>
              </w:rPr>
            </w:pPr>
            <w:r>
              <w:rPr>
                <w:sz w:val="21"/>
              </w:rPr>
              <w:t>Sixth</w:t>
            </w:r>
            <w:r>
              <w:rPr>
                <w:spacing w:val="-6"/>
                <w:sz w:val="21"/>
              </w:rPr>
              <w:t xml:space="preserve"> </w:t>
            </w:r>
            <w:r>
              <w:rPr>
                <w:spacing w:val="-2"/>
                <w:sz w:val="21"/>
              </w:rPr>
              <w:t>grade</w:t>
            </w:r>
          </w:p>
        </w:tc>
      </w:tr>
      <w:tr w14:paraId="3407ABE4" w14:textId="77777777">
        <w:tblPrEx>
          <w:tblW w:w="0" w:type="auto"/>
          <w:tblInd w:w="482" w:type="dxa"/>
          <w:tblLayout w:type="fixed"/>
          <w:tblCellMar>
            <w:left w:w="0" w:type="dxa"/>
            <w:right w:w="0" w:type="dxa"/>
          </w:tblCellMar>
          <w:tblLook w:val="01E0"/>
        </w:tblPrEx>
        <w:trPr>
          <w:trHeight w:val="278"/>
        </w:trPr>
        <w:tc>
          <w:tcPr>
            <w:tcW w:w="2453" w:type="dxa"/>
            <w:tcBorders>
              <w:top w:val="single" w:sz="18" w:space="0" w:color="800000"/>
            </w:tcBorders>
          </w:tcPr>
          <w:p w:rsidR="003F5784" w14:paraId="5B77AA9D" w14:textId="77777777">
            <w:pPr>
              <w:pStyle w:val="TableParagraph"/>
              <w:spacing w:before="9"/>
              <w:ind w:left="370"/>
              <w:jc w:val="left"/>
              <w:rPr>
                <w:b/>
                <w:sz w:val="21"/>
              </w:rPr>
            </w:pPr>
            <w:r>
              <w:rPr>
                <w:b/>
                <w:spacing w:val="-2"/>
                <w:sz w:val="21"/>
              </w:rPr>
              <w:t>Total</w:t>
            </w:r>
          </w:p>
        </w:tc>
        <w:tc>
          <w:tcPr>
            <w:tcW w:w="3036" w:type="dxa"/>
            <w:tcBorders>
              <w:top w:val="single" w:sz="18" w:space="0" w:color="800000"/>
            </w:tcBorders>
          </w:tcPr>
          <w:p w:rsidR="003F5784" w14:paraId="18D94019" w14:textId="77777777">
            <w:pPr>
              <w:pStyle w:val="TableParagraph"/>
              <w:spacing w:before="9"/>
              <w:ind w:right="627"/>
              <w:rPr>
                <w:b/>
                <w:sz w:val="21"/>
              </w:rPr>
            </w:pPr>
            <w:r>
              <w:rPr>
                <w:b/>
                <w:spacing w:val="-4"/>
                <w:sz w:val="21"/>
              </w:rPr>
              <w:t>1.00</w:t>
            </w:r>
          </w:p>
        </w:tc>
        <w:tc>
          <w:tcPr>
            <w:tcW w:w="2284" w:type="dxa"/>
            <w:tcBorders>
              <w:top w:val="single" w:sz="18" w:space="0" w:color="800000"/>
            </w:tcBorders>
          </w:tcPr>
          <w:p w:rsidR="003F5784" w14:paraId="617CCA9C" w14:textId="77777777">
            <w:pPr>
              <w:pStyle w:val="TableParagraph"/>
              <w:spacing w:before="9"/>
              <w:ind w:right="672"/>
              <w:rPr>
                <w:b/>
                <w:sz w:val="21"/>
              </w:rPr>
            </w:pPr>
            <w:r>
              <w:rPr>
                <w:b/>
                <w:spacing w:val="-4"/>
                <w:sz w:val="21"/>
              </w:rPr>
              <w:t>1.00</w:t>
            </w:r>
          </w:p>
        </w:tc>
        <w:tc>
          <w:tcPr>
            <w:tcW w:w="2357" w:type="dxa"/>
            <w:tcBorders>
              <w:top w:val="single" w:sz="18" w:space="0" w:color="800000"/>
            </w:tcBorders>
          </w:tcPr>
          <w:p w:rsidR="003F5784" w14:paraId="0B75A01C" w14:textId="77777777">
            <w:pPr>
              <w:pStyle w:val="TableParagraph"/>
              <w:spacing w:before="9"/>
              <w:ind w:right="607"/>
              <w:rPr>
                <w:b/>
                <w:sz w:val="21"/>
              </w:rPr>
            </w:pPr>
            <w:r>
              <w:rPr>
                <w:b/>
                <w:spacing w:val="-4"/>
                <w:sz w:val="21"/>
              </w:rPr>
              <w:t>1.00</w:t>
            </w:r>
          </w:p>
        </w:tc>
        <w:tc>
          <w:tcPr>
            <w:tcW w:w="2154" w:type="dxa"/>
            <w:tcBorders>
              <w:top w:val="single" w:sz="18" w:space="0" w:color="800000"/>
            </w:tcBorders>
          </w:tcPr>
          <w:p w:rsidR="003F5784" w14:paraId="3A8C190E" w14:textId="77777777">
            <w:pPr>
              <w:pStyle w:val="TableParagraph"/>
              <w:spacing w:before="9"/>
              <w:ind w:right="619"/>
              <w:rPr>
                <w:b/>
                <w:sz w:val="21"/>
              </w:rPr>
            </w:pPr>
            <w:r>
              <w:rPr>
                <w:b/>
                <w:spacing w:val="-4"/>
                <w:sz w:val="21"/>
              </w:rPr>
              <w:t>1.00</w:t>
            </w:r>
          </w:p>
        </w:tc>
        <w:tc>
          <w:tcPr>
            <w:tcW w:w="1697" w:type="dxa"/>
            <w:tcBorders>
              <w:top w:val="single" w:sz="18" w:space="0" w:color="800000"/>
            </w:tcBorders>
          </w:tcPr>
          <w:p w:rsidR="003F5784" w14:paraId="2BAA017C" w14:textId="77777777">
            <w:pPr>
              <w:pStyle w:val="TableParagraph"/>
              <w:spacing w:before="9"/>
              <w:ind w:right="114"/>
              <w:rPr>
                <w:b/>
                <w:sz w:val="21"/>
              </w:rPr>
            </w:pPr>
            <w:r>
              <w:rPr>
                <w:b/>
                <w:spacing w:val="-4"/>
                <w:sz w:val="21"/>
              </w:rPr>
              <w:t>1.00</w:t>
            </w:r>
          </w:p>
        </w:tc>
      </w:tr>
      <w:tr w14:paraId="1FD985DD" w14:textId="77777777">
        <w:tblPrEx>
          <w:tblW w:w="0" w:type="auto"/>
          <w:tblInd w:w="482" w:type="dxa"/>
          <w:tblLayout w:type="fixed"/>
          <w:tblCellMar>
            <w:left w:w="0" w:type="dxa"/>
            <w:right w:w="0" w:type="dxa"/>
          </w:tblCellMar>
          <w:tblLook w:val="01E0"/>
        </w:tblPrEx>
        <w:trPr>
          <w:trHeight w:val="286"/>
        </w:trPr>
        <w:tc>
          <w:tcPr>
            <w:tcW w:w="2453" w:type="dxa"/>
          </w:tcPr>
          <w:p w:rsidR="003F5784" w14:paraId="255A2C5C" w14:textId="77777777">
            <w:pPr>
              <w:pStyle w:val="TableParagraph"/>
              <w:ind w:left="120"/>
              <w:jc w:val="left"/>
              <w:rPr>
                <w:sz w:val="21"/>
              </w:rPr>
            </w:pPr>
            <w:r>
              <w:rPr>
                <w:spacing w:val="-4"/>
                <w:sz w:val="21"/>
              </w:rPr>
              <w:t>2003</w:t>
            </w:r>
          </w:p>
        </w:tc>
        <w:tc>
          <w:tcPr>
            <w:tcW w:w="3036" w:type="dxa"/>
          </w:tcPr>
          <w:p w:rsidR="003F5784" w14:paraId="0F6499CB" w14:textId="77777777">
            <w:pPr>
              <w:pStyle w:val="TableParagraph"/>
              <w:ind w:right="627"/>
              <w:rPr>
                <w:sz w:val="21"/>
              </w:rPr>
            </w:pPr>
            <w:r>
              <w:rPr>
                <w:spacing w:val="-10"/>
                <w:sz w:val="21"/>
              </w:rPr>
              <w:t>#</w:t>
            </w:r>
          </w:p>
        </w:tc>
        <w:tc>
          <w:tcPr>
            <w:tcW w:w="2284" w:type="dxa"/>
          </w:tcPr>
          <w:p w:rsidR="003F5784" w14:paraId="216CC874" w14:textId="77777777">
            <w:pPr>
              <w:pStyle w:val="TableParagraph"/>
              <w:ind w:right="672"/>
              <w:rPr>
                <w:sz w:val="21"/>
              </w:rPr>
            </w:pPr>
            <w:r>
              <w:rPr>
                <w:spacing w:val="-10"/>
                <w:sz w:val="21"/>
              </w:rPr>
              <w:t>#</w:t>
            </w:r>
          </w:p>
        </w:tc>
        <w:tc>
          <w:tcPr>
            <w:tcW w:w="2357" w:type="dxa"/>
          </w:tcPr>
          <w:p w:rsidR="003F5784" w14:paraId="6552DD75" w14:textId="77777777">
            <w:pPr>
              <w:pStyle w:val="TableParagraph"/>
              <w:ind w:right="607"/>
              <w:rPr>
                <w:sz w:val="21"/>
              </w:rPr>
            </w:pPr>
            <w:r>
              <w:rPr>
                <w:spacing w:val="-10"/>
                <w:sz w:val="21"/>
              </w:rPr>
              <w:t>#</w:t>
            </w:r>
          </w:p>
        </w:tc>
        <w:tc>
          <w:tcPr>
            <w:tcW w:w="2154" w:type="dxa"/>
          </w:tcPr>
          <w:p w:rsidR="003F5784" w14:paraId="3706D11C" w14:textId="77777777">
            <w:pPr>
              <w:pStyle w:val="TableParagraph"/>
              <w:ind w:right="619"/>
              <w:rPr>
                <w:sz w:val="21"/>
              </w:rPr>
            </w:pPr>
            <w:r>
              <w:rPr>
                <w:spacing w:val="-10"/>
                <w:sz w:val="21"/>
              </w:rPr>
              <w:t>#</w:t>
            </w:r>
          </w:p>
        </w:tc>
        <w:tc>
          <w:tcPr>
            <w:tcW w:w="1697" w:type="dxa"/>
          </w:tcPr>
          <w:p w:rsidR="003F5784" w14:paraId="1B90DF77" w14:textId="77777777">
            <w:pPr>
              <w:pStyle w:val="TableParagraph"/>
              <w:ind w:right="114"/>
              <w:rPr>
                <w:sz w:val="21"/>
              </w:rPr>
            </w:pPr>
            <w:r>
              <w:rPr>
                <w:spacing w:val="-10"/>
                <w:sz w:val="21"/>
              </w:rPr>
              <w:t>#</w:t>
            </w:r>
          </w:p>
        </w:tc>
      </w:tr>
      <w:tr w14:paraId="1842857E" w14:textId="77777777">
        <w:tblPrEx>
          <w:tblW w:w="0" w:type="auto"/>
          <w:tblInd w:w="482" w:type="dxa"/>
          <w:tblLayout w:type="fixed"/>
          <w:tblCellMar>
            <w:left w:w="0" w:type="dxa"/>
            <w:right w:w="0" w:type="dxa"/>
          </w:tblCellMar>
          <w:tblLook w:val="01E0"/>
        </w:tblPrEx>
        <w:trPr>
          <w:trHeight w:val="286"/>
        </w:trPr>
        <w:tc>
          <w:tcPr>
            <w:tcW w:w="2453" w:type="dxa"/>
          </w:tcPr>
          <w:p w:rsidR="003F5784" w14:paraId="76F13A83" w14:textId="77777777">
            <w:pPr>
              <w:pStyle w:val="TableParagraph"/>
              <w:ind w:left="120"/>
              <w:jc w:val="left"/>
              <w:rPr>
                <w:sz w:val="21"/>
              </w:rPr>
            </w:pPr>
            <w:r>
              <w:rPr>
                <w:spacing w:val="-4"/>
                <w:sz w:val="21"/>
              </w:rPr>
              <w:t>2004</w:t>
            </w:r>
          </w:p>
        </w:tc>
        <w:tc>
          <w:tcPr>
            <w:tcW w:w="3036" w:type="dxa"/>
          </w:tcPr>
          <w:p w:rsidR="003F5784" w14:paraId="1F5E9B85" w14:textId="77777777">
            <w:pPr>
              <w:pStyle w:val="TableParagraph"/>
              <w:ind w:right="627"/>
              <w:rPr>
                <w:sz w:val="21"/>
              </w:rPr>
            </w:pPr>
            <w:r>
              <w:rPr>
                <w:spacing w:val="-10"/>
                <w:sz w:val="21"/>
              </w:rPr>
              <w:t>#</w:t>
            </w:r>
          </w:p>
        </w:tc>
        <w:tc>
          <w:tcPr>
            <w:tcW w:w="2284" w:type="dxa"/>
          </w:tcPr>
          <w:p w:rsidR="003F5784" w14:paraId="0B80EE66" w14:textId="77777777">
            <w:pPr>
              <w:pStyle w:val="TableParagraph"/>
              <w:ind w:right="672"/>
              <w:rPr>
                <w:sz w:val="21"/>
              </w:rPr>
            </w:pPr>
            <w:r>
              <w:rPr>
                <w:spacing w:val="-10"/>
                <w:sz w:val="21"/>
              </w:rPr>
              <w:t>#</w:t>
            </w:r>
          </w:p>
        </w:tc>
        <w:tc>
          <w:tcPr>
            <w:tcW w:w="2357" w:type="dxa"/>
          </w:tcPr>
          <w:p w:rsidR="003F5784" w14:paraId="6C46718E" w14:textId="77777777">
            <w:pPr>
              <w:pStyle w:val="TableParagraph"/>
              <w:ind w:right="607"/>
              <w:rPr>
                <w:sz w:val="21"/>
              </w:rPr>
            </w:pPr>
            <w:r>
              <w:rPr>
                <w:spacing w:val="-10"/>
                <w:sz w:val="21"/>
              </w:rPr>
              <w:t>#</w:t>
            </w:r>
          </w:p>
        </w:tc>
        <w:tc>
          <w:tcPr>
            <w:tcW w:w="2154" w:type="dxa"/>
          </w:tcPr>
          <w:p w:rsidR="003F5784" w14:paraId="657F3EC2" w14:textId="77777777">
            <w:pPr>
              <w:pStyle w:val="TableParagraph"/>
              <w:ind w:right="619"/>
              <w:rPr>
                <w:sz w:val="21"/>
              </w:rPr>
            </w:pPr>
            <w:r>
              <w:rPr>
                <w:spacing w:val="-10"/>
                <w:sz w:val="21"/>
              </w:rPr>
              <w:t>#</w:t>
            </w:r>
          </w:p>
        </w:tc>
        <w:tc>
          <w:tcPr>
            <w:tcW w:w="1697" w:type="dxa"/>
          </w:tcPr>
          <w:p w:rsidR="003F5784" w14:paraId="5D978126" w14:textId="77777777">
            <w:pPr>
              <w:pStyle w:val="TableParagraph"/>
              <w:ind w:right="114"/>
              <w:rPr>
                <w:sz w:val="21"/>
              </w:rPr>
            </w:pPr>
            <w:r>
              <w:rPr>
                <w:spacing w:val="-4"/>
                <w:sz w:val="21"/>
              </w:rPr>
              <w:t>0.26</w:t>
            </w:r>
          </w:p>
        </w:tc>
      </w:tr>
      <w:tr w14:paraId="77C39D47" w14:textId="77777777">
        <w:tblPrEx>
          <w:tblW w:w="0" w:type="auto"/>
          <w:tblInd w:w="482" w:type="dxa"/>
          <w:tblLayout w:type="fixed"/>
          <w:tblCellMar>
            <w:left w:w="0" w:type="dxa"/>
            <w:right w:w="0" w:type="dxa"/>
          </w:tblCellMar>
          <w:tblLook w:val="01E0"/>
        </w:tblPrEx>
        <w:trPr>
          <w:trHeight w:val="286"/>
        </w:trPr>
        <w:tc>
          <w:tcPr>
            <w:tcW w:w="2453" w:type="dxa"/>
          </w:tcPr>
          <w:p w:rsidR="003F5784" w14:paraId="4B0801D3" w14:textId="77777777">
            <w:pPr>
              <w:pStyle w:val="TableParagraph"/>
              <w:ind w:left="120"/>
              <w:jc w:val="left"/>
              <w:rPr>
                <w:sz w:val="21"/>
              </w:rPr>
            </w:pPr>
            <w:r>
              <w:rPr>
                <w:spacing w:val="-4"/>
                <w:sz w:val="21"/>
              </w:rPr>
              <w:t>2005</w:t>
            </w:r>
          </w:p>
        </w:tc>
        <w:tc>
          <w:tcPr>
            <w:tcW w:w="3036" w:type="dxa"/>
          </w:tcPr>
          <w:p w:rsidR="003F5784" w14:paraId="0D3AC755" w14:textId="77777777">
            <w:pPr>
              <w:pStyle w:val="TableParagraph"/>
              <w:ind w:right="627"/>
              <w:rPr>
                <w:sz w:val="21"/>
              </w:rPr>
            </w:pPr>
            <w:r>
              <w:rPr>
                <w:spacing w:val="-10"/>
                <w:sz w:val="21"/>
              </w:rPr>
              <w:t>#</w:t>
            </w:r>
          </w:p>
        </w:tc>
        <w:tc>
          <w:tcPr>
            <w:tcW w:w="2284" w:type="dxa"/>
          </w:tcPr>
          <w:p w:rsidR="003F5784" w14:paraId="22FDCCE4" w14:textId="77777777">
            <w:pPr>
              <w:pStyle w:val="TableParagraph"/>
              <w:ind w:right="672"/>
              <w:rPr>
                <w:sz w:val="21"/>
              </w:rPr>
            </w:pPr>
            <w:r>
              <w:rPr>
                <w:spacing w:val="-10"/>
                <w:sz w:val="21"/>
              </w:rPr>
              <w:t>#</w:t>
            </w:r>
          </w:p>
        </w:tc>
        <w:tc>
          <w:tcPr>
            <w:tcW w:w="2357" w:type="dxa"/>
          </w:tcPr>
          <w:p w:rsidR="003F5784" w14:paraId="7DAA0577" w14:textId="77777777">
            <w:pPr>
              <w:pStyle w:val="TableParagraph"/>
              <w:ind w:right="607"/>
              <w:rPr>
                <w:sz w:val="21"/>
              </w:rPr>
            </w:pPr>
            <w:r>
              <w:rPr>
                <w:spacing w:val="-10"/>
                <w:sz w:val="21"/>
              </w:rPr>
              <w:t>#</w:t>
            </w:r>
          </w:p>
        </w:tc>
        <w:tc>
          <w:tcPr>
            <w:tcW w:w="2154" w:type="dxa"/>
          </w:tcPr>
          <w:p w:rsidR="003F5784" w14:paraId="7EA0A0BC" w14:textId="77777777">
            <w:pPr>
              <w:pStyle w:val="TableParagraph"/>
              <w:ind w:right="619"/>
              <w:rPr>
                <w:sz w:val="21"/>
              </w:rPr>
            </w:pPr>
            <w:r>
              <w:rPr>
                <w:spacing w:val="-4"/>
                <w:sz w:val="21"/>
              </w:rPr>
              <w:t>0.26</w:t>
            </w:r>
          </w:p>
        </w:tc>
        <w:tc>
          <w:tcPr>
            <w:tcW w:w="1697" w:type="dxa"/>
          </w:tcPr>
          <w:p w:rsidR="003F5784" w14:paraId="73434BE6" w14:textId="77777777">
            <w:pPr>
              <w:pStyle w:val="TableParagraph"/>
              <w:ind w:right="114"/>
              <w:rPr>
                <w:sz w:val="21"/>
              </w:rPr>
            </w:pPr>
            <w:r>
              <w:rPr>
                <w:spacing w:val="-4"/>
                <w:sz w:val="21"/>
              </w:rPr>
              <w:t>0.73</w:t>
            </w:r>
          </w:p>
        </w:tc>
      </w:tr>
      <w:tr w14:paraId="180D6287" w14:textId="77777777">
        <w:tblPrEx>
          <w:tblW w:w="0" w:type="auto"/>
          <w:tblInd w:w="482" w:type="dxa"/>
          <w:tblLayout w:type="fixed"/>
          <w:tblCellMar>
            <w:left w:w="0" w:type="dxa"/>
            <w:right w:w="0" w:type="dxa"/>
          </w:tblCellMar>
          <w:tblLook w:val="01E0"/>
        </w:tblPrEx>
        <w:trPr>
          <w:trHeight w:val="286"/>
        </w:trPr>
        <w:tc>
          <w:tcPr>
            <w:tcW w:w="2453" w:type="dxa"/>
          </w:tcPr>
          <w:p w:rsidR="003F5784" w14:paraId="2675AE32" w14:textId="77777777">
            <w:pPr>
              <w:pStyle w:val="TableParagraph"/>
              <w:ind w:left="120"/>
              <w:jc w:val="left"/>
              <w:rPr>
                <w:sz w:val="21"/>
              </w:rPr>
            </w:pPr>
            <w:r>
              <w:rPr>
                <w:spacing w:val="-4"/>
                <w:sz w:val="21"/>
              </w:rPr>
              <w:t>2006</w:t>
            </w:r>
          </w:p>
        </w:tc>
        <w:tc>
          <w:tcPr>
            <w:tcW w:w="3036" w:type="dxa"/>
          </w:tcPr>
          <w:p w:rsidR="003F5784" w14:paraId="0BA88251" w14:textId="77777777">
            <w:pPr>
              <w:pStyle w:val="TableParagraph"/>
              <w:ind w:right="627"/>
              <w:rPr>
                <w:sz w:val="21"/>
              </w:rPr>
            </w:pPr>
            <w:r>
              <w:rPr>
                <w:spacing w:val="-10"/>
                <w:sz w:val="21"/>
              </w:rPr>
              <w:t>#</w:t>
            </w:r>
          </w:p>
        </w:tc>
        <w:tc>
          <w:tcPr>
            <w:tcW w:w="2284" w:type="dxa"/>
          </w:tcPr>
          <w:p w:rsidR="003F5784" w14:paraId="5A9C2235" w14:textId="77777777">
            <w:pPr>
              <w:pStyle w:val="TableParagraph"/>
              <w:ind w:right="672"/>
              <w:rPr>
                <w:sz w:val="21"/>
              </w:rPr>
            </w:pPr>
            <w:r>
              <w:rPr>
                <w:spacing w:val="-10"/>
                <w:sz w:val="21"/>
              </w:rPr>
              <w:t>#</w:t>
            </w:r>
          </w:p>
        </w:tc>
        <w:tc>
          <w:tcPr>
            <w:tcW w:w="2357" w:type="dxa"/>
          </w:tcPr>
          <w:p w:rsidR="003F5784" w14:paraId="32D941B7" w14:textId="77777777">
            <w:pPr>
              <w:pStyle w:val="TableParagraph"/>
              <w:ind w:right="607"/>
              <w:rPr>
                <w:sz w:val="21"/>
              </w:rPr>
            </w:pPr>
            <w:r>
              <w:rPr>
                <w:spacing w:val="-4"/>
                <w:sz w:val="21"/>
              </w:rPr>
              <w:t>0.26</w:t>
            </w:r>
          </w:p>
        </w:tc>
        <w:tc>
          <w:tcPr>
            <w:tcW w:w="2154" w:type="dxa"/>
          </w:tcPr>
          <w:p w:rsidR="003F5784" w14:paraId="53BAE9FD" w14:textId="77777777">
            <w:pPr>
              <w:pStyle w:val="TableParagraph"/>
              <w:ind w:right="619"/>
              <w:rPr>
                <w:sz w:val="21"/>
              </w:rPr>
            </w:pPr>
            <w:r>
              <w:rPr>
                <w:spacing w:val="-4"/>
                <w:sz w:val="21"/>
              </w:rPr>
              <w:t>0.73</w:t>
            </w:r>
          </w:p>
        </w:tc>
        <w:tc>
          <w:tcPr>
            <w:tcW w:w="1697" w:type="dxa"/>
          </w:tcPr>
          <w:p w:rsidR="003F5784" w14:paraId="44AF66F3" w14:textId="77777777">
            <w:pPr>
              <w:pStyle w:val="TableParagraph"/>
              <w:ind w:right="114"/>
              <w:rPr>
                <w:sz w:val="21"/>
              </w:rPr>
            </w:pPr>
            <w:r>
              <w:rPr>
                <w:spacing w:val="-4"/>
                <w:sz w:val="21"/>
              </w:rPr>
              <w:t>0.01</w:t>
            </w:r>
          </w:p>
        </w:tc>
      </w:tr>
      <w:tr w14:paraId="02CAF9E7" w14:textId="77777777">
        <w:tblPrEx>
          <w:tblW w:w="0" w:type="auto"/>
          <w:tblInd w:w="482" w:type="dxa"/>
          <w:tblLayout w:type="fixed"/>
          <w:tblCellMar>
            <w:left w:w="0" w:type="dxa"/>
            <w:right w:w="0" w:type="dxa"/>
          </w:tblCellMar>
          <w:tblLook w:val="01E0"/>
        </w:tblPrEx>
        <w:trPr>
          <w:trHeight w:val="286"/>
        </w:trPr>
        <w:tc>
          <w:tcPr>
            <w:tcW w:w="2453" w:type="dxa"/>
          </w:tcPr>
          <w:p w:rsidR="003F5784" w14:paraId="54899E3F" w14:textId="77777777">
            <w:pPr>
              <w:pStyle w:val="TableParagraph"/>
              <w:ind w:left="120"/>
              <w:jc w:val="left"/>
              <w:rPr>
                <w:sz w:val="21"/>
              </w:rPr>
            </w:pPr>
            <w:r>
              <w:rPr>
                <w:spacing w:val="-4"/>
                <w:sz w:val="21"/>
              </w:rPr>
              <w:t>2007</w:t>
            </w:r>
          </w:p>
        </w:tc>
        <w:tc>
          <w:tcPr>
            <w:tcW w:w="3036" w:type="dxa"/>
          </w:tcPr>
          <w:p w:rsidR="003F5784" w14:paraId="3E88C27C" w14:textId="77777777">
            <w:pPr>
              <w:pStyle w:val="TableParagraph"/>
              <w:ind w:right="627"/>
              <w:rPr>
                <w:sz w:val="21"/>
              </w:rPr>
            </w:pPr>
            <w:r>
              <w:rPr>
                <w:spacing w:val="-10"/>
                <w:sz w:val="21"/>
              </w:rPr>
              <w:t>#</w:t>
            </w:r>
          </w:p>
        </w:tc>
        <w:tc>
          <w:tcPr>
            <w:tcW w:w="2284" w:type="dxa"/>
          </w:tcPr>
          <w:p w:rsidR="003F5784" w14:paraId="1F99E298" w14:textId="77777777">
            <w:pPr>
              <w:pStyle w:val="TableParagraph"/>
              <w:ind w:right="672"/>
              <w:rPr>
                <w:sz w:val="21"/>
              </w:rPr>
            </w:pPr>
            <w:r>
              <w:rPr>
                <w:spacing w:val="-4"/>
                <w:sz w:val="21"/>
              </w:rPr>
              <w:t>0.26</w:t>
            </w:r>
          </w:p>
        </w:tc>
        <w:tc>
          <w:tcPr>
            <w:tcW w:w="2357" w:type="dxa"/>
          </w:tcPr>
          <w:p w:rsidR="003F5784" w14:paraId="6D96A8FF" w14:textId="77777777">
            <w:pPr>
              <w:pStyle w:val="TableParagraph"/>
              <w:ind w:right="607"/>
              <w:rPr>
                <w:sz w:val="21"/>
              </w:rPr>
            </w:pPr>
            <w:r>
              <w:rPr>
                <w:spacing w:val="-4"/>
                <w:sz w:val="21"/>
              </w:rPr>
              <w:t>0.73</w:t>
            </w:r>
          </w:p>
        </w:tc>
        <w:tc>
          <w:tcPr>
            <w:tcW w:w="2154" w:type="dxa"/>
          </w:tcPr>
          <w:p w:rsidR="003F5784" w14:paraId="47DE3F4A" w14:textId="77777777">
            <w:pPr>
              <w:pStyle w:val="TableParagraph"/>
              <w:ind w:right="619"/>
              <w:rPr>
                <w:sz w:val="21"/>
              </w:rPr>
            </w:pPr>
            <w:r>
              <w:rPr>
                <w:spacing w:val="-4"/>
                <w:sz w:val="21"/>
              </w:rPr>
              <w:t>0.01</w:t>
            </w:r>
          </w:p>
        </w:tc>
        <w:tc>
          <w:tcPr>
            <w:tcW w:w="1697" w:type="dxa"/>
          </w:tcPr>
          <w:p w:rsidR="003F5784" w14:paraId="342ECF14" w14:textId="77777777">
            <w:pPr>
              <w:pStyle w:val="TableParagraph"/>
              <w:ind w:right="114"/>
              <w:rPr>
                <w:sz w:val="21"/>
              </w:rPr>
            </w:pPr>
            <w:r>
              <w:rPr>
                <w:spacing w:val="-10"/>
                <w:sz w:val="21"/>
              </w:rPr>
              <w:t>#</w:t>
            </w:r>
          </w:p>
        </w:tc>
      </w:tr>
      <w:tr w14:paraId="50DB6254" w14:textId="77777777">
        <w:tblPrEx>
          <w:tblW w:w="0" w:type="auto"/>
          <w:tblInd w:w="482" w:type="dxa"/>
          <w:tblLayout w:type="fixed"/>
          <w:tblCellMar>
            <w:left w:w="0" w:type="dxa"/>
            <w:right w:w="0" w:type="dxa"/>
          </w:tblCellMar>
          <w:tblLook w:val="01E0"/>
        </w:tblPrEx>
        <w:trPr>
          <w:trHeight w:val="286"/>
        </w:trPr>
        <w:tc>
          <w:tcPr>
            <w:tcW w:w="2453" w:type="dxa"/>
          </w:tcPr>
          <w:p w:rsidR="003F5784" w14:paraId="3FE1B8E8" w14:textId="77777777">
            <w:pPr>
              <w:pStyle w:val="TableParagraph"/>
              <w:ind w:left="120"/>
              <w:jc w:val="left"/>
              <w:rPr>
                <w:sz w:val="21"/>
              </w:rPr>
            </w:pPr>
            <w:r>
              <w:rPr>
                <w:spacing w:val="-4"/>
                <w:sz w:val="21"/>
              </w:rPr>
              <w:t>2008</w:t>
            </w:r>
          </w:p>
        </w:tc>
        <w:tc>
          <w:tcPr>
            <w:tcW w:w="3036" w:type="dxa"/>
          </w:tcPr>
          <w:p w:rsidR="003F5784" w14:paraId="517F79A5" w14:textId="77777777">
            <w:pPr>
              <w:pStyle w:val="TableParagraph"/>
              <w:ind w:right="627"/>
              <w:rPr>
                <w:sz w:val="21"/>
              </w:rPr>
            </w:pPr>
            <w:r>
              <w:rPr>
                <w:spacing w:val="-4"/>
                <w:sz w:val="21"/>
              </w:rPr>
              <w:t>0.26</w:t>
            </w:r>
          </w:p>
        </w:tc>
        <w:tc>
          <w:tcPr>
            <w:tcW w:w="2284" w:type="dxa"/>
          </w:tcPr>
          <w:p w:rsidR="003F5784" w14:paraId="226A85DC" w14:textId="77777777">
            <w:pPr>
              <w:pStyle w:val="TableParagraph"/>
              <w:ind w:right="672"/>
              <w:rPr>
                <w:sz w:val="21"/>
              </w:rPr>
            </w:pPr>
            <w:r>
              <w:rPr>
                <w:spacing w:val="-4"/>
                <w:sz w:val="21"/>
              </w:rPr>
              <w:t>0.73</w:t>
            </w:r>
          </w:p>
        </w:tc>
        <w:tc>
          <w:tcPr>
            <w:tcW w:w="2357" w:type="dxa"/>
          </w:tcPr>
          <w:p w:rsidR="003F5784" w14:paraId="6B9E175F" w14:textId="77777777">
            <w:pPr>
              <w:pStyle w:val="TableParagraph"/>
              <w:ind w:right="607"/>
              <w:rPr>
                <w:sz w:val="21"/>
              </w:rPr>
            </w:pPr>
            <w:r>
              <w:rPr>
                <w:spacing w:val="-4"/>
                <w:sz w:val="21"/>
              </w:rPr>
              <w:t>0.01</w:t>
            </w:r>
          </w:p>
        </w:tc>
        <w:tc>
          <w:tcPr>
            <w:tcW w:w="2154" w:type="dxa"/>
          </w:tcPr>
          <w:p w:rsidR="003F5784" w14:paraId="2AF3782C" w14:textId="77777777">
            <w:pPr>
              <w:pStyle w:val="TableParagraph"/>
              <w:ind w:right="619"/>
              <w:rPr>
                <w:sz w:val="21"/>
              </w:rPr>
            </w:pPr>
            <w:r>
              <w:rPr>
                <w:spacing w:val="-10"/>
                <w:sz w:val="21"/>
              </w:rPr>
              <w:t>#</w:t>
            </w:r>
          </w:p>
        </w:tc>
        <w:tc>
          <w:tcPr>
            <w:tcW w:w="1697" w:type="dxa"/>
          </w:tcPr>
          <w:p w:rsidR="003F5784" w14:paraId="5955EFBF" w14:textId="77777777">
            <w:pPr>
              <w:pStyle w:val="TableParagraph"/>
              <w:ind w:right="114"/>
              <w:rPr>
                <w:sz w:val="21"/>
              </w:rPr>
            </w:pPr>
            <w:r>
              <w:rPr>
                <w:spacing w:val="-10"/>
                <w:sz w:val="21"/>
              </w:rPr>
              <w:t>#</w:t>
            </w:r>
          </w:p>
        </w:tc>
      </w:tr>
      <w:tr w14:paraId="0E83987C" w14:textId="77777777">
        <w:tblPrEx>
          <w:tblW w:w="0" w:type="auto"/>
          <w:tblInd w:w="482" w:type="dxa"/>
          <w:tblLayout w:type="fixed"/>
          <w:tblCellMar>
            <w:left w:w="0" w:type="dxa"/>
            <w:right w:w="0" w:type="dxa"/>
          </w:tblCellMar>
          <w:tblLook w:val="01E0"/>
        </w:tblPrEx>
        <w:trPr>
          <w:trHeight w:val="288"/>
        </w:trPr>
        <w:tc>
          <w:tcPr>
            <w:tcW w:w="2453" w:type="dxa"/>
            <w:tcBorders>
              <w:bottom w:val="single" w:sz="18" w:space="0" w:color="800000"/>
            </w:tcBorders>
          </w:tcPr>
          <w:p w:rsidR="003F5784" w14:paraId="0B581898" w14:textId="77777777">
            <w:pPr>
              <w:pStyle w:val="TableParagraph"/>
              <w:ind w:left="120"/>
              <w:jc w:val="left"/>
              <w:rPr>
                <w:sz w:val="21"/>
              </w:rPr>
            </w:pPr>
            <w:r>
              <w:rPr>
                <w:spacing w:val="-4"/>
                <w:sz w:val="21"/>
              </w:rPr>
              <w:t>2009</w:t>
            </w:r>
          </w:p>
        </w:tc>
        <w:tc>
          <w:tcPr>
            <w:tcW w:w="3036" w:type="dxa"/>
            <w:tcBorders>
              <w:bottom w:val="single" w:sz="18" w:space="0" w:color="800000"/>
            </w:tcBorders>
          </w:tcPr>
          <w:p w:rsidR="003F5784" w14:paraId="4DB43E28" w14:textId="77777777">
            <w:pPr>
              <w:pStyle w:val="TableParagraph"/>
              <w:ind w:right="627"/>
              <w:rPr>
                <w:sz w:val="21"/>
              </w:rPr>
            </w:pPr>
            <w:r>
              <w:rPr>
                <w:spacing w:val="-4"/>
                <w:sz w:val="21"/>
              </w:rPr>
              <w:t>0.73</w:t>
            </w:r>
          </w:p>
        </w:tc>
        <w:tc>
          <w:tcPr>
            <w:tcW w:w="2284" w:type="dxa"/>
            <w:tcBorders>
              <w:bottom w:val="single" w:sz="18" w:space="0" w:color="800000"/>
            </w:tcBorders>
          </w:tcPr>
          <w:p w:rsidR="003F5784" w14:paraId="16C1748D" w14:textId="77777777">
            <w:pPr>
              <w:pStyle w:val="TableParagraph"/>
              <w:ind w:right="672"/>
              <w:rPr>
                <w:sz w:val="21"/>
              </w:rPr>
            </w:pPr>
            <w:r>
              <w:rPr>
                <w:spacing w:val="-4"/>
                <w:sz w:val="21"/>
              </w:rPr>
              <w:t>0.01</w:t>
            </w:r>
          </w:p>
        </w:tc>
        <w:tc>
          <w:tcPr>
            <w:tcW w:w="2357" w:type="dxa"/>
            <w:tcBorders>
              <w:bottom w:val="single" w:sz="18" w:space="0" w:color="800000"/>
            </w:tcBorders>
          </w:tcPr>
          <w:p w:rsidR="003F5784" w14:paraId="16A10DE8" w14:textId="77777777">
            <w:pPr>
              <w:pStyle w:val="TableParagraph"/>
              <w:ind w:right="607"/>
              <w:rPr>
                <w:sz w:val="21"/>
              </w:rPr>
            </w:pPr>
            <w:r>
              <w:rPr>
                <w:spacing w:val="-10"/>
                <w:sz w:val="21"/>
              </w:rPr>
              <w:t>#</w:t>
            </w:r>
          </w:p>
        </w:tc>
        <w:tc>
          <w:tcPr>
            <w:tcW w:w="2154" w:type="dxa"/>
            <w:tcBorders>
              <w:bottom w:val="single" w:sz="18" w:space="0" w:color="800000"/>
            </w:tcBorders>
          </w:tcPr>
          <w:p w:rsidR="003F5784" w14:paraId="3B9F381A" w14:textId="77777777">
            <w:pPr>
              <w:pStyle w:val="TableParagraph"/>
              <w:ind w:right="619"/>
              <w:rPr>
                <w:sz w:val="21"/>
              </w:rPr>
            </w:pPr>
            <w:r>
              <w:rPr>
                <w:spacing w:val="-10"/>
                <w:sz w:val="21"/>
              </w:rPr>
              <w:t>#</w:t>
            </w:r>
          </w:p>
        </w:tc>
        <w:tc>
          <w:tcPr>
            <w:tcW w:w="1697" w:type="dxa"/>
            <w:tcBorders>
              <w:bottom w:val="single" w:sz="18" w:space="0" w:color="800000"/>
            </w:tcBorders>
          </w:tcPr>
          <w:p w:rsidR="003F5784" w14:paraId="66380779" w14:textId="77777777">
            <w:pPr>
              <w:pStyle w:val="TableParagraph"/>
              <w:ind w:right="114"/>
              <w:rPr>
                <w:sz w:val="21"/>
              </w:rPr>
            </w:pPr>
            <w:r>
              <w:rPr>
                <w:spacing w:val="-10"/>
                <w:sz w:val="21"/>
              </w:rPr>
              <w:t>#</w:t>
            </w:r>
          </w:p>
        </w:tc>
      </w:tr>
      <w:tr w14:paraId="0CBB9D3F" w14:textId="77777777">
        <w:tblPrEx>
          <w:tblW w:w="0" w:type="auto"/>
          <w:tblInd w:w="482" w:type="dxa"/>
          <w:tblLayout w:type="fixed"/>
          <w:tblCellMar>
            <w:left w:w="0" w:type="dxa"/>
            <w:right w:w="0" w:type="dxa"/>
          </w:tblCellMar>
          <w:tblLook w:val="01E0"/>
        </w:tblPrEx>
        <w:trPr>
          <w:trHeight w:val="237"/>
        </w:trPr>
        <w:tc>
          <w:tcPr>
            <w:tcW w:w="13981" w:type="dxa"/>
            <w:gridSpan w:val="6"/>
            <w:tcBorders>
              <w:top w:val="single" w:sz="18" w:space="0" w:color="800000"/>
            </w:tcBorders>
          </w:tcPr>
          <w:p w:rsidR="003F5784" w14:paraId="697D7342"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r>
    </w:tbl>
    <w:p w:rsidR="003F5784" w14:paraId="148C2D71" w14:textId="77777777">
      <w:pPr>
        <w:pStyle w:val="BodyText"/>
        <w:spacing w:line="235"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60B7FA53"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0D0B3DCA" w14:textId="77777777">
      <w:pPr>
        <w:spacing w:line="232" w:lineRule="auto"/>
        <w:sectPr>
          <w:pgSz w:w="15840" w:h="12240" w:orient="landscape"/>
          <w:pgMar w:top="480" w:right="440" w:bottom="460" w:left="460" w:header="284" w:footer="275" w:gutter="0"/>
          <w:cols w:space="720"/>
        </w:sectPr>
      </w:pPr>
    </w:p>
    <w:p w:rsidR="003F5784" w14:paraId="034E16A0" w14:textId="77777777">
      <w:pPr>
        <w:pStyle w:val="BodyText"/>
      </w:pPr>
    </w:p>
    <w:p w:rsidR="003F5784" w14:paraId="65C699FE" w14:textId="77777777">
      <w:pPr>
        <w:pStyle w:val="BodyText"/>
        <w:spacing w:before="38"/>
      </w:pPr>
    </w:p>
    <w:p w:rsidR="003F5784" w14:paraId="0F0E8304" w14:textId="77777777">
      <w:pPr>
        <w:pStyle w:val="BodyText"/>
        <w:spacing w:line="232" w:lineRule="auto"/>
        <w:ind w:left="109"/>
      </w:pPr>
      <w:r>
        <w:t>In</w:t>
      </w:r>
      <w:r>
        <w:rPr>
          <w:spacing w:val="-6"/>
        </w:rPr>
        <w:t xml:space="preserve"> </w:t>
      </w:r>
      <w:r>
        <w:t>distribution,</w:t>
      </w:r>
      <w:r>
        <w:rPr>
          <w:spacing w:val="-6"/>
        </w:rPr>
        <w:t xml:space="preserve"> </w:t>
      </w:r>
      <w:r>
        <w:t>the</w:t>
      </w:r>
      <w:r>
        <w:rPr>
          <w:spacing w:val="-6"/>
        </w:rPr>
        <w:t xml:space="preserve"> </w:t>
      </w:r>
      <w:r>
        <w:t>third-graders</w:t>
      </w:r>
      <w:r>
        <w:rPr>
          <w:spacing w:val="-6"/>
        </w:rPr>
        <w:t xml:space="preserve"> </w:t>
      </w:r>
      <w:r>
        <w:t>are</w:t>
      </w:r>
      <w:r>
        <w:rPr>
          <w:spacing w:val="-6"/>
        </w:rPr>
        <w:t xml:space="preserve"> </w:t>
      </w:r>
      <w:r>
        <w:t>exactly</w:t>
      </w:r>
      <w:r>
        <w:rPr>
          <w:spacing w:val="-6"/>
        </w:rPr>
        <w:t xml:space="preserve"> </w:t>
      </w:r>
      <w:r>
        <w:t>one</w:t>
      </w:r>
      <w:r>
        <w:rPr>
          <w:spacing w:val="-6"/>
        </w:rPr>
        <w:t xml:space="preserve"> </w:t>
      </w:r>
      <w:r>
        <w:t>year</w:t>
      </w:r>
      <w:r>
        <w:rPr>
          <w:spacing w:val="-6"/>
        </w:rPr>
        <w:t xml:space="preserve"> </w:t>
      </w:r>
      <w:r>
        <w:t>younger,</w:t>
      </w:r>
      <w:r>
        <w:rPr>
          <w:spacing w:val="-6"/>
        </w:rPr>
        <w:t xml:space="preserve"> </w:t>
      </w:r>
      <w:r>
        <w:t>the</w:t>
      </w:r>
      <w:r>
        <w:rPr>
          <w:spacing w:val="-6"/>
        </w:rPr>
        <w:t xml:space="preserve"> </w:t>
      </w:r>
      <w:r>
        <w:t>second-graders</w:t>
      </w:r>
      <w:r>
        <w:rPr>
          <w:spacing w:val="-6"/>
        </w:rPr>
        <w:t xml:space="preserve"> </w:t>
      </w:r>
      <w:r>
        <w:t>exactly</w:t>
      </w:r>
      <w:r>
        <w:rPr>
          <w:spacing w:val="-6"/>
        </w:rPr>
        <w:t xml:space="preserve"> </w:t>
      </w:r>
      <w:r>
        <w:t>two</w:t>
      </w:r>
      <w:r>
        <w:rPr>
          <w:spacing w:val="-6"/>
        </w:rPr>
        <w:t xml:space="preserve"> </w:t>
      </w:r>
      <w:r>
        <w:t>years</w:t>
      </w:r>
      <w:r>
        <w:rPr>
          <w:spacing w:val="-6"/>
        </w:rPr>
        <w:t xml:space="preserve"> </w:t>
      </w:r>
      <w:r>
        <w:t>younger,</w:t>
      </w:r>
      <w:r>
        <w:rPr>
          <w:spacing w:val="-6"/>
        </w:rPr>
        <w:t xml:space="preserve"> </w:t>
      </w:r>
      <w:r>
        <w:t>etc.</w:t>
      </w:r>
      <w:r>
        <w:rPr>
          <w:spacing w:val="-6"/>
        </w:rPr>
        <w:t xml:space="preserve"> </w:t>
      </w:r>
      <w:r>
        <w:t>If</w:t>
      </w:r>
      <w:r>
        <w:rPr>
          <w:spacing w:val="-6"/>
        </w:rPr>
        <w:t xml:space="preserve"> </w:t>
      </w:r>
      <w:r>
        <w:t>we</w:t>
      </w:r>
      <w:r>
        <w:rPr>
          <w:spacing w:val="-6"/>
        </w:rPr>
        <w:t xml:space="preserve"> </w:t>
      </w:r>
      <w:r>
        <w:t>read</w:t>
      </w:r>
      <w:r>
        <w:rPr>
          <w:spacing w:val="-6"/>
        </w:rPr>
        <w:t xml:space="preserve"> </w:t>
      </w:r>
      <w:r>
        <w:t>across</w:t>
      </w:r>
      <w:r>
        <w:rPr>
          <w:spacing w:val="-6"/>
        </w:rPr>
        <w:t xml:space="preserve"> </w:t>
      </w:r>
      <w:r>
        <w:t>the</w:t>
      </w:r>
      <w:r>
        <w:rPr>
          <w:spacing w:val="-6"/>
        </w:rPr>
        <w:t xml:space="preserve"> </w:t>
      </w:r>
      <w:r>
        <w:t>grade</w:t>
      </w:r>
      <w:r>
        <w:rPr>
          <w:spacing w:val="-6"/>
        </w:rPr>
        <w:t xml:space="preserve"> </w:t>
      </w:r>
      <w:r>
        <w:t>distribution</w:t>
      </w:r>
      <w:r>
        <w:rPr>
          <w:spacing w:val="-6"/>
        </w:rPr>
        <w:t xml:space="preserve"> </w:t>
      </w:r>
      <w:r>
        <w:t>for</w:t>
      </w:r>
      <w:r>
        <w:rPr>
          <w:spacing w:val="-6"/>
        </w:rPr>
        <w:t xml:space="preserve"> </w:t>
      </w:r>
      <w:r>
        <w:t>those</w:t>
      </w:r>
      <w:r>
        <w:rPr>
          <w:spacing w:val="-6"/>
        </w:rPr>
        <w:t xml:space="preserve"> </w:t>
      </w:r>
      <w:r>
        <w:t>born</w:t>
      </w:r>
      <w:r>
        <w:rPr>
          <w:spacing w:val="-6"/>
        </w:rPr>
        <w:t xml:space="preserve"> </w:t>
      </w:r>
      <w:r>
        <w:t>in</w:t>
      </w:r>
      <w:r>
        <w:rPr>
          <w:spacing w:val="-6"/>
        </w:rPr>
        <w:t xml:space="preserve"> </w:t>
      </w:r>
      <w:r>
        <w:t>2007, we see that the percentages for second through sixth grades are equal to the percentages for 2005 through 2009 for fourth grade.</w:t>
      </w:r>
      <w:r>
        <w:rPr>
          <w:spacing w:val="-3"/>
        </w:rPr>
        <w:t xml:space="preserve"> </w:t>
      </w:r>
      <w:r>
        <w:t>The same logic was applied to all four tables provided above, yielding estimates of the percentages of nine year olds by grade that were used to compute school measures of size during the sampling of private schools.</w:t>
      </w:r>
    </w:p>
    <w:p w:rsidR="003F5784" w14:paraId="3AC4DD7C" w14:textId="77777777">
      <w:pPr>
        <w:spacing w:before="204"/>
        <w:ind w:right="1536"/>
        <w:jc w:val="right"/>
        <w:rPr>
          <w:i/>
          <w:sz w:val="21"/>
        </w:rPr>
      </w:pPr>
      <w:r>
        <w:rPr>
          <w:i/>
          <w:sz w:val="21"/>
        </w:rPr>
        <w:t>Back</w:t>
      </w:r>
      <w:r>
        <w:rPr>
          <w:i/>
          <w:spacing w:val="-4"/>
          <w:sz w:val="21"/>
        </w:rPr>
        <w:t xml:space="preserve"> </w:t>
      </w:r>
      <w:r>
        <w:rPr>
          <w:i/>
          <w:sz w:val="21"/>
        </w:rPr>
        <w:t>to</w:t>
      </w:r>
      <w:r>
        <w:rPr>
          <w:i/>
          <w:spacing w:val="-4"/>
          <w:sz w:val="21"/>
        </w:rPr>
        <w:t xml:space="preserve"> </w:t>
      </w:r>
      <w:r>
        <w:rPr>
          <w:i/>
          <w:spacing w:val="-5"/>
          <w:sz w:val="21"/>
        </w:rPr>
        <w:t>Top</w:t>
      </w:r>
    </w:p>
    <w:p w:rsidR="003F5784" w14:paraId="2D71BE42" w14:textId="77777777">
      <w:pPr>
        <w:pStyle w:val="BodyText"/>
        <w:spacing w:before="207" w:line="232" w:lineRule="auto"/>
        <w:ind w:left="109"/>
      </w:pPr>
      <w:r>
        <w:t>A</w:t>
      </w:r>
      <w:r>
        <w:rPr>
          <w:spacing w:val="-14"/>
        </w:rPr>
        <w:t xml:space="preserve"> </w:t>
      </w:r>
      <w:r>
        <w:t>similar</w:t>
      </w:r>
      <w:r>
        <w:rPr>
          <w:spacing w:val="-9"/>
        </w:rPr>
        <w:t xml:space="preserve"> </w:t>
      </w:r>
      <w:r>
        <w:t>logic</w:t>
      </w:r>
      <w:r>
        <w:rPr>
          <w:spacing w:val="-6"/>
        </w:rPr>
        <w:t xml:space="preserve"> </w:t>
      </w:r>
      <w:r>
        <w:t>applied</w:t>
      </w:r>
      <w:r>
        <w:rPr>
          <w:spacing w:val="-6"/>
        </w:rPr>
        <w:t xml:space="preserve"> </w:t>
      </w:r>
      <w:r>
        <w:t>to</w:t>
      </w:r>
      <w:r>
        <w:rPr>
          <w:spacing w:val="-6"/>
        </w:rPr>
        <w:t xml:space="preserve"> </w:t>
      </w:r>
      <w:r>
        <w:t>the</w:t>
      </w:r>
      <w:r>
        <w:rPr>
          <w:spacing w:val="-6"/>
        </w:rPr>
        <w:t xml:space="preserve"> </w:t>
      </w:r>
      <w:r>
        <w:t>age</w:t>
      </w:r>
      <w:r>
        <w:rPr>
          <w:spacing w:val="-6"/>
        </w:rPr>
        <w:t xml:space="preserve"> </w:t>
      </w:r>
      <w:r>
        <w:t>13</w:t>
      </w:r>
      <w:r>
        <w:rPr>
          <w:spacing w:val="-6"/>
        </w:rPr>
        <w:t xml:space="preserve"> </w:t>
      </w:r>
      <w:r>
        <w:t>sample.</w:t>
      </w:r>
      <w:r>
        <w:rPr>
          <w:spacing w:val="-6"/>
        </w:rPr>
        <w:t xml:space="preserve"> </w:t>
      </w:r>
      <w:r>
        <w:t>For</w:t>
      </w:r>
      <w:r>
        <w:rPr>
          <w:spacing w:val="-6"/>
        </w:rPr>
        <w:t xml:space="preserve"> </w:t>
      </w:r>
      <w:r>
        <w:t>the</w:t>
      </w:r>
      <w:r>
        <w:rPr>
          <w:spacing w:val="-6"/>
        </w:rPr>
        <w:t xml:space="preserve"> </w:t>
      </w:r>
      <w:r>
        <w:t>age</w:t>
      </w:r>
      <w:r>
        <w:rPr>
          <w:spacing w:val="-6"/>
        </w:rPr>
        <w:t xml:space="preserve"> </w:t>
      </w:r>
      <w:r>
        <w:t>13</w:t>
      </w:r>
      <w:r>
        <w:rPr>
          <w:spacing w:val="-6"/>
        </w:rPr>
        <w:t xml:space="preserve"> </w:t>
      </w:r>
      <w:r>
        <w:t>sample,</w:t>
      </w:r>
      <w:r>
        <w:rPr>
          <w:spacing w:val="-6"/>
        </w:rPr>
        <w:t xml:space="preserve"> </w:t>
      </w:r>
      <w:r>
        <w:t>the</w:t>
      </w:r>
      <w:r>
        <w:rPr>
          <w:spacing w:val="-6"/>
        </w:rPr>
        <w:t xml:space="preserve"> </w:t>
      </w:r>
      <w:r>
        <w:t>starting</w:t>
      </w:r>
      <w:r>
        <w:rPr>
          <w:spacing w:val="-6"/>
        </w:rPr>
        <w:t xml:space="preserve"> </w:t>
      </w:r>
      <w:r>
        <w:t>point</w:t>
      </w:r>
      <w:r>
        <w:rPr>
          <w:spacing w:val="-6"/>
        </w:rPr>
        <w:t xml:space="preserve"> </w:t>
      </w:r>
      <w:r>
        <w:t>was</w:t>
      </w:r>
      <w:r>
        <w:rPr>
          <w:spacing w:val="-6"/>
        </w:rPr>
        <w:t xml:space="preserve"> </w:t>
      </w:r>
      <w:r>
        <w:t>the</w:t>
      </w:r>
      <w:r>
        <w:rPr>
          <w:spacing w:val="-6"/>
        </w:rPr>
        <w:t xml:space="preserve"> </w:t>
      </w:r>
      <w:r>
        <w:t>NAEP</w:t>
      </w:r>
      <w:r>
        <w:rPr>
          <w:spacing w:val="-13"/>
        </w:rPr>
        <w:t xml:space="preserve"> </w:t>
      </w:r>
      <w:r>
        <w:t>2017</w:t>
      </w:r>
      <w:r>
        <w:rPr>
          <w:spacing w:val="-6"/>
        </w:rPr>
        <w:t xml:space="preserve"> </w:t>
      </w:r>
      <w:r>
        <w:t>grade</w:t>
      </w:r>
      <w:r>
        <w:rPr>
          <w:spacing w:val="-6"/>
        </w:rPr>
        <w:t xml:space="preserve"> </w:t>
      </w:r>
      <w:r>
        <w:t>8</w:t>
      </w:r>
      <w:r>
        <w:rPr>
          <w:spacing w:val="-6"/>
        </w:rPr>
        <w:t xml:space="preserve"> </w:t>
      </w:r>
      <w:r>
        <w:t>reading</w:t>
      </w:r>
      <w:r>
        <w:rPr>
          <w:spacing w:val="-6"/>
        </w:rPr>
        <w:t xml:space="preserve"> </w:t>
      </w:r>
      <w:r>
        <w:t>and</w:t>
      </w:r>
      <w:r>
        <w:rPr>
          <w:spacing w:val="-6"/>
        </w:rPr>
        <w:t xml:space="preserve"> </w:t>
      </w:r>
      <w:r>
        <w:t>mathematics</w:t>
      </w:r>
      <w:r>
        <w:rPr>
          <w:spacing w:val="-6"/>
        </w:rPr>
        <w:t xml:space="preserve"> </w:t>
      </w:r>
      <w:r>
        <w:t>assessments.</w:t>
      </w:r>
      <w:r>
        <w:rPr>
          <w:spacing w:val="-14"/>
        </w:rPr>
        <w:t xml:space="preserve"> </w:t>
      </w:r>
      <w:r>
        <w:t>Aggregated</w:t>
      </w:r>
      <w:r>
        <w:rPr>
          <w:spacing w:val="-5"/>
        </w:rPr>
        <w:t xml:space="preserve"> </w:t>
      </w:r>
      <w:r>
        <w:t>estimates were computed in the same way as for the age 9 sample.</w:t>
      </w:r>
      <w:r>
        <w:rPr>
          <w:spacing w:val="-3"/>
        </w:rPr>
        <w:t xml:space="preserve"> </w:t>
      </w:r>
      <w:r>
        <w:t>The four tables below provide these estimates by region for eighth grade for public schools.</w:t>
      </w:r>
    </w:p>
    <w:p w:rsidR="003F5784" w14:paraId="7F9CA624" w14:textId="77777777">
      <w:pPr>
        <w:pStyle w:val="BodyText"/>
        <w:spacing w:before="92"/>
      </w:pPr>
    </w:p>
    <w:p w:rsidR="003F5784" w14:paraId="379EADD0" w14:textId="77777777">
      <w:pPr>
        <w:pStyle w:val="Heading2"/>
        <w:spacing w:before="1"/>
      </w:pPr>
      <w:r>
        <w:t>Weighted</w:t>
      </w:r>
      <w:r>
        <w:rPr>
          <w:spacing w:val="-9"/>
        </w:rPr>
        <w:t xml:space="preserve"> </w:t>
      </w:r>
      <w:r>
        <w:t>aggregations</w:t>
      </w:r>
      <w:r>
        <w:rPr>
          <w:spacing w:val="-9"/>
        </w:rPr>
        <w:t xml:space="preserve"> </w:t>
      </w:r>
      <w:r>
        <w:t>and</w:t>
      </w:r>
      <w:r>
        <w:rPr>
          <w:spacing w:val="-9"/>
        </w:rPr>
        <w:t xml:space="preserve"> </w:t>
      </w:r>
      <w:r>
        <w:t>proportions</w:t>
      </w:r>
      <w:r>
        <w:rPr>
          <w:spacing w:val="-8"/>
        </w:rPr>
        <w:t xml:space="preserve"> </w:t>
      </w:r>
      <w:r>
        <w:t>from</w:t>
      </w:r>
      <w:r>
        <w:rPr>
          <w:spacing w:val="-9"/>
        </w:rPr>
        <w:t xml:space="preserve"> </w:t>
      </w:r>
      <w:r>
        <w:t>the</w:t>
      </w:r>
      <w:r>
        <w:rPr>
          <w:spacing w:val="-9"/>
        </w:rPr>
        <w:t xml:space="preserve"> </w:t>
      </w:r>
      <w:r>
        <w:t>grade</w:t>
      </w:r>
      <w:r>
        <w:rPr>
          <w:spacing w:val="-8"/>
        </w:rPr>
        <w:t xml:space="preserve"> </w:t>
      </w:r>
      <w:r>
        <w:t>8</w:t>
      </w:r>
      <w:r>
        <w:rPr>
          <w:spacing w:val="-9"/>
        </w:rPr>
        <w:t xml:space="preserve"> </w:t>
      </w:r>
      <w:r>
        <w:t>reading</w:t>
      </w:r>
      <w:r>
        <w:rPr>
          <w:spacing w:val="-9"/>
        </w:rPr>
        <w:t xml:space="preserve"> </w:t>
      </w:r>
      <w:r>
        <w:t>and</w:t>
      </w:r>
      <w:r>
        <w:rPr>
          <w:spacing w:val="-9"/>
        </w:rPr>
        <w:t xml:space="preserve"> </w:t>
      </w:r>
      <w:r>
        <w:t>mathematics</w:t>
      </w:r>
      <w:r>
        <w:rPr>
          <w:spacing w:val="-8"/>
        </w:rPr>
        <w:t xml:space="preserve"> </w:t>
      </w:r>
      <w:r>
        <w:t>assessments,</w:t>
      </w:r>
      <w:r>
        <w:rPr>
          <w:spacing w:val="-9"/>
        </w:rPr>
        <w:t xml:space="preserve"> </w:t>
      </w:r>
      <w:r>
        <w:t>private</w:t>
      </w:r>
      <w:r>
        <w:rPr>
          <w:spacing w:val="-9"/>
        </w:rPr>
        <w:t xml:space="preserve"> </w:t>
      </w:r>
      <w:r>
        <w:t>schools</w:t>
      </w:r>
      <w:r>
        <w:rPr>
          <w:spacing w:val="-8"/>
        </w:rPr>
        <w:t xml:space="preserve"> </w:t>
      </w:r>
      <w:r>
        <w:t>Northeast</w:t>
      </w:r>
      <w:r>
        <w:rPr>
          <w:spacing w:val="-9"/>
        </w:rPr>
        <w:t xml:space="preserve"> </w:t>
      </w:r>
      <w:r>
        <w:t>region,</w:t>
      </w:r>
      <w:r>
        <w:rPr>
          <w:spacing w:val="-9"/>
        </w:rPr>
        <w:t xml:space="preserve"> </w:t>
      </w:r>
      <w:r>
        <w:t>by</w:t>
      </w:r>
      <w:r>
        <w:rPr>
          <w:spacing w:val="-8"/>
        </w:rPr>
        <w:t xml:space="preserve"> </w:t>
      </w:r>
      <w:r>
        <w:t>year</w:t>
      </w:r>
      <w:r>
        <w:rPr>
          <w:spacing w:val="-13"/>
        </w:rPr>
        <w:t xml:space="preserve"> </w:t>
      </w:r>
      <w:r>
        <w:t>of</w:t>
      </w:r>
      <w:r>
        <w:rPr>
          <w:spacing w:val="-8"/>
        </w:rPr>
        <w:t xml:space="preserve"> </w:t>
      </w:r>
      <w:r>
        <w:t>birth:</w:t>
      </w:r>
      <w:r>
        <w:rPr>
          <w:spacing w:val="-9"/>
        </w:rPr>
        <w:t xml:space="preserve"> </w:t>
      </w:r>
      <w:r>
        <w:rPr>
          <w:spacing w:val="-4"/>
        </w:rPr>
        <w:t>2017</w:t>
      </w:r>
    </w:p>
    <w:p w:rsidR="003F5784" w14:paraId="5D7ECC6B"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3447"/>
        <w:gridCol w:w="6396"/>
        <w:gridCol w:w="4140"/>
      </w:tblGrid>
      <w:tr w14:paraId="71F9693A" w14:textId="77777777">
        <w:tblPrEx>
          <w:tblW w:w="0" w:type="auto"/>
          <w:tblInd w:w="482" w:type="dxa"/>
          <w:tblLayout w:type="fixed"/>
          <w:tblCellMar>
            <w:left w:w="0" w:type="dxa"/>
            <w:right w:w="0" w:type="dxa"/>
          </w:tblCellMar>
          <w:tblLook w:val="01E0"/>
        </w:tblPrEx>
        <w:trPr>
          <w:trHeight w:val="267"/>
        </w:trPr>
        <w:tc>
          <w:tcPr>
            <w:tcW w:w="3447" w:type="dxa"/>
            <w:tcBorders>
              <w:top w:val="single" w:sz="18" w:space="0" w:color="800000"/>
              <w:bottom w:val="single" w:sz="18" w:space="0" w:color="800000"/>
            </w:tcBorders>
          </w:tcPr>
          <w:p w:rsidR="003F5784" w14:paraId="64750620" w14:textId="77777777">
            <w:pPr>
              <w:pStyle w:val="TableParagraph"/>
              <w:spacing w:before="9" w:line="238" w:lineRule="exact"/>
              <w:ind w:left="120"/>
              <w:jc w:val="left"/>
              <w:rPr>
                <w:sz w:val="21"/>
              </w:rPr>
            </w:pPr>
            <w:r>
              <w:rPr>
                <w:spacing w:val="-2"/>
                <w:sz w:val="21"/>
              </w:rPr>
              <w:t>Year</w:t>
            </w:r>
            <w:r>
              <w:rPr>
                <w:spacing w:val="-9"/>
                <w:sz w:val="21"/>
              </w:rPr>
              <w:t xml:space="preserve"> </w:t>
            </w:r>
            <w:r>
              <w:rPr>
                <w:spacing w:val="-2"/>
                <w:sz w:val="21"/>
              </w:rPr>
              <w:t>of</w:t>
            </w:r>
            <w:r>
              <w:rPr>
                <w:spacing w:val="-8"/>
                <w:sz w:val="21"/>
              </w:rPr>
              <w:t xml:space="preserve"> </w:t>
            </w:r>
            <w:r>
              <w:rPr>
                <w:spacing w:val="-2"/>
                <w:sz w:val="21"/>
              </w:rPr>
              <w:t>birth</w:t>
            </w:r>
          </w:p>
        </w:tc>
        <w:tc>
          <w:tcPr>
            <w:tcW w:w="6396" w:type="dxa"/>
            <w:tcBorders>
              <w:top w:val="single" w:sz="18" w:space="0" w:color="800000"/>
              <w:bottom w:val="single" w:sz="18" w:space="0" w:color="800000"/>
            </w:tcBorders>
          </w:tcPr>
          <w:p w:rsidR="003F5784" w14:paraId="7878F0FC" w14:textId="77777777">
            <w:pPr>
              <w:pStyle w:val="TableParagraph"/>
              <w:spacing w:before="9" w:line="238" w:lineRule="exact"/>
              <w:ind w:right="2211"/>
              <w:rPr>
                <w:sz w:val="21"/>
              </w:rPr>
            </w:pPr>
            <w:r>
              <w:rPr>
                <w:spacing w:val="-2"/>
                <w:sz w:val="21"/>
              </w:rPr>
              <w:t>Weighted</w:t>
            </w:r>
            <w:r>
              <w:rPr>
                <w:spacing w:val="-11"/>
                <w:sz w:val="21"/>
              </w:rPr>
              <w:t xml:space="preserve"> </w:t>
            </w:r>
            <w:r>
              <w:rPr>
                <w:spacing w:val="-2"/>
                <w:sz w:val="21"/>
              </w:rPr>
              <w:t>aggregations</w:t>
            </w:r>
          </w:p>
        </w:tc>
        <w:tc>
          <w:tcPr>
            <w:tcW w:w="4140" w:type="dxa"/>
            <w:tcBorders>
              <w:top w:val="single" w:sz="18" w:space="0" w:color="800000"/>
              <w:bottom w:val="single" w:sz="18" w:space="0" w:color="800000"/>
            </w:tcBorders>
          </w:tcPr>
          <w:p w:rsidR="003F5784" w14:paraId="52C1DAF2" w14:textId="77777777">
            <w:pPr>
              <w:pStyle w:val="TableParagraph"/>
              <w:spacing w:before="9" w:line="238" w:lineRule="exact"/>
              <w:ind w:right="116"/>
              <w:rPr>
                <w:sz w:val="21"/>
              </w:rPr>
            </w:pPr>
            <w:r>
              <w:rPr>
                <w:spacing w:val="-2"/>
                <w:sz w:val="21"/>
              </w:rPr>
              <w:t>Weighted</w:t>
            </w:r>
            <w:r>
              <w:rPr>
                <w:spacing w:val="-11"/>
                <w:sz w:val="21"/>
              </w:rPr>
              <w:t xml:space="preserve"> </w:t>
            </w:r>
            <w:r>
              <w:rPr>
                <w:spacing w:val="-2"/>
                <w:sz w:val="21"/>
              </w:rPr>
              <w:t>proportions</w:t>
            </w:r>
          </w:p>
        </w:tc>
      </w:tr>
      <w:tr w14:paraId="16BFEF82" w14:textId="77777777">
        <w:tblPrEx>
          <w:tblW w:w="0" w:type="auto"/>
          <w:tblInd w:w="482" w:type="dxa"/>
          <w:tblLayout w:type="fixed"/>
          <w:tblCellMar>
            <w:left w:w="0" w:type="dxa"/>
            <w:right w:w="0" w:type="dxa"/>
          </w:tblCellMar>
          <w:tblLook w:val="01E0"/>
        </w:tblPrEx>
        <w:trPr>
          <w:trHeight w:val="278"/>
        </w:trPr>
        <w:tc>
          <w:tcPr>
            <w:tcW w:w="3447" w:type="dxa"/>
            <w:tcBorders>
              <w:top w:val="single" w:sz="18" w:space="0" w:color="800000"/>
            </w:tcBorders>
          </w:tcPr>
          <w:p w:rsidR="003F5784" w14:paraId="0846C4D1" w14:textId="77777777">
            <w:pPr>
              <w:pStyle w:val="TableParagraph"/>
              <w:spacing w:before="9"/>
              <w:ind w:left="370"/>
              <w:jc w:val="left"/>
              <w:rPr>
                <w:b/>
                <w:sz w:val="21"/>
              </w:rPr>
            </w:pPr>
            <w:r>
              <w:rPr>
                <w:b/>
                <w:spacing w:val="-2"/>
                <w:sz w:val="21"/>
              </w:rPr>
              <w:t>Total</w:t>
            </w:r>
          </w:p>
        </w:tc>
        <w:tc>
          <w:tcPr>
            <w:tcW w:w="6396" w:type="dxa"/>
            <w:tcBorders>
              <w:top w:val="single" w:sz="18" w:space="0" w:color="800000"/>
            </w:tcBorders>
          </w:tcPr>
          <w:p w:rsidR="003F5784" w14:paraId="1DF94B63" w14:textId="77777777">
            <w:pPr>
              <w:pStyle w:val="TableParagraph"/>
              <w:spacing w:before="9"/>
              <w:ind w:right="2211"/>
              <w:rPr>
                <w:b/>
                <w:sz w:val="21"/>
              </w:rPr>
            </w:pPr>
            <w:r>
              <w:rPr>
                <w:b/>
                <w:spacing w:val="-2"/>
                <w:sz w:val="21"/>
              </w:rPr>
              <w:t>63,000</w:t>
            </w:r>
          </w:p>
        </w:tc>
        <w:tc>
          <w:tcPr>
            <w:tcW w:w="4140" w:type="dxa"/>
            <w:tcBorders>
              <w:top w:val="single" w:sz="18" w:space="0" w:color="800000"/>
            </w:tcBorders>
          </w:tcPr>
          <w:p w:rsidR="003F5784" w14:paraId="7FCDD70C" w14:textId="77777777">
            <w:pPr>
              <w:pStyle w:val="TableParagraph"/>
              <w:spacing w:before="9"/>
              <w:ind w:right="116"/>
              <w:rPr>
                <w:b/>
                <w:sz w:val="21"/>
              </w:rPr>
            </w:pPr>
            <w:r>
              <w:rPr>
                <w:b/>
                <w:spacing w:val="-4"/>
                <w:sz w:val="21"/>
              </w:rPr>
              <w:t>1.00</w:t>
            </w:r>
          </w:p>
        </w:tc>
      </w:tr>
      <w:tr w14:paraId="6510C893" w14:textId="77777777">
        <w:tblPrEx>
          <w:tblW w:w="0" w:type="auto"/>
          <w:tblInd w:w="482" w:type="dxa"/>
          <w:tblLayout w:type="fixed"/>
          <w:tblCellMar>
            <w:left w:w="0" w:type="dxa"/>
            <w:right w:w="0" w:type="dxa"/>
          </w:tblCellMar>
          <w:tblLook w:val="01E0"/>
        </w:tblPrEx>
        <w:trPr>
          <w:trHeight w:val="286"/>
        </w:trPr>
        <w:tc>
          <w:tcPr>
            <w:tcW w:w="3447" w:type="dxa"/>
          </w:tcPr>
          <w:p w:rsidR="003F5784" w14:paraId="5C540359" w14:textId="77777777">
            <w:pPr>
              <w:pStyle w:val="TableParagraph"/>
              <w:ind w:left="120"/>
              <w:jc w:val="left"/>
              <w:rPr>
                <w:sz w:val="21"/>
              </w:rPr>
            </w:pPr>
            <w:r>
              <w:rPr>
                <w:spacing w:val="-4"/>
                <w:sz w:val="21"/>
              </w:rPr>
              <w:t>2000</w:t>
            </w:r>
          </w:p>
        </w:tc>
        <w:tc>
          <w:tcPr>
            <w:tcW w:w="6396" w:type="dxa"/>
          </w:tcPr>
          <w:p w:rsidR="003F5784" w14:paraId="1E116538" w14:textId="77777777">
            <w:pPr>
              <w:pStyle w:val="TableParagraph"/>
              <w:ind w:right="2211"/>
              <w:rPr>
                <w:sz w:val="21"/>
              </w:rPr>
            </w:pPr>
            <w:r>
              <w:rPr>
                <w:spacing w:val="-5"/>
                <w:sz w:val="21"/>
              </w:rPr>
              <w:t>156</w:t>
            </w:r>
          </w:p>
        </w:tc>
        <w:tc>
          <w:tcPr>
            <w:tcW w:w="4140" w:type="dxa"/>
          </w:tcPr>
          <w:p w:rsidR="003F5784" w14:paraId="1C64E0CD" w14:textId="77777777">
            <w:pPr>
              <w:pStyle w:val="TableParagraph"/>
              <w:ind w:right="116"/>
              <w:rPr>
                <w:sz w:val="21"/>
              </w:rPr>
            </w:pPr>
            <w:r>
              <w:rPr>
                <w:spacing w:val="-10"/>
                <w:sz w:val="21"/>
              </w:rPr>
              <w:t>#</w:t>
            </w:r>
          </w:p>
        </w:tc>
      </w:tr>
      <w:tr w14:paraId="7AB3B97A" w14:textId="77777777">
        <w:tblPrEx>
          <w:tblW w:w="0" w:type="auto"/>
          <w:tblInd w:w="482" w:type="dxa"/>
          <w:tblLayout w:type="fixed"/>
          <w:tblCellMar>
            <w:left w:w="0" w:type="dxa"/>
            <w:right w:w="0" w:type="dxa"/>
          </w:tblCellMar>
          <w:tblLook w:val="01E0"/>
        </w:tblPrEx>
        <w:trPr>
          <w:trHeight w:val="286"/>
        </w:trPr>
        <w:tc>
          <w:tcPr>
            <w:tcW w:w="3447" w:type="dxa"/>
          </w:tcPr>
          <w:p w:rsidR="003F5784" w14:paraId="4FEBA0C5" w14:textId="77777777">
            <w:pPr>
              <w:pStyle w:val="TableParagraph"/>
              <w:ind w:left="120"/>
              <w:jc w:val="left"/>
              <w:rPr>
                <w:sz w:val="21"/>
              </w:rPr>
            </w:pPr>
            <w:r>
              <w:rPr>
                <w:spacing w:val="-4"/>
                <w:sz w:val="21"/>
              </w:rPr>
              <w:t>2001</w:t>
            </w:r>
          </w:p>
        </w:tc>
        <w:tc>
          <w:tcPr>
            <w:tcW w:w="6396" w:type="dxa"/>
          </w:tcPr>
          <w:p w:rsidR="003F5784" w14:paraId="1D837897" w14:textId="77777777">
            <w:pPr>
              <w:pStyle w:val="TableParagraph"/>
              <w:ind w:right="2211"/>
              <w:rPr>
                <w:sz w:val="21"/>
              </w:rPr>
            </w:pPr>
            <w:r>
              <w:rPr>
                <w:spacing w:val="-5"/>
                <w:sz w:val="21"/>
              </w:rPr>
              <w:t>621</w:t>
            </w:r>
          </w:p>
        </w:tc>
        <w:tc>
          <w:tcPr>
            <w:tcW w:w="4140" w:type="dxa"/>
          </w:tcPr>
          <w:p w:rsidR="003F5784" w14:paraId="57B5F638" w14:textId="77777777">
            <w:pPr>
              <w:pStyle w:val="TableParagraph"/>
              <w:ind w:right="116"/>
              <w:rPr>
                <w:sz w:val="21"/>
              </w:rPr>
            </w:pPr>
            <w:r>
              <w:rPr>
                <w:spacing w:val="-4"/>
                <w:sz w:val="21"/>
              </w:rPr>
              <w:t>0.01</w:t>
            </w:r>
          </w:p>
        </w:tc>
      </w:tr>
      <w:tr w14:paraId="241D153D" w14:textId="77777777">
        <w:tblPrEx>
          <w:tblW w:w="0" w:type="auto"/>
          <w:tblInd w:w="482" w:type="dxa"/>
          <w:tblLayout w:type="fixed"/>
          <w:tblCellMar>
            <w:left w:w="0" w:type="dxa"/>
            <w:right w:w="0" w:type="dxa"/>
          </w:tblCellMar>
          <w:tblLook w:val="01E0"/>
        </w:tblPrEx>
        <w:trPr>
          <w:trHeight w:val="286"/>
        </w:trPr>
        <w:tc>
          <w:tcPr>
            <w:tcW w:w="3447" w:type="dxa"/>
          </w:tcPr>
          <w:p w:rsidR="003F5784" w14:paraId="5BDF762E" w14:textId="77777777">
            <w:pPr>
              <w:pStyle w:val="TableParagraph"/>
              <w:ind w:left="120"/>
              <w:jc w:val="left"/>
              <w:rPr>
                <w:sz w:val="21"/>
              </w:rPr>
            </w:pPr>
            <w:r>
              <w:rPr>
                <w:spacing w:val="-4"/>
                <w:sz w:val="21"/>
              </w:rPr>
              <w:t>2002</w:t>
            </w:r>
          </w:p>
        </w:tc>
        <w:tc>
          <w:tcPr>
            <w:tcW w:w="6396" w:type="dxa"/>
          </w:tcPr>
          <w:p w:rsidR="003F5784" w14:paraId="26C59C1A" w14:textId="77777777">
            <w:pPr>
              <w:pStyle w:val="TableParagraph"/>
              <w:ind w:right="2211"/>
              <w:rPr>
                <w:sz w:val="21"/>
              </w:rPr>
            </w:pPr>
            <w:r>
              <w:rPr>
                <w:spacing w:val="-2"/>
                <w:sz w:val="21"/>
              </w:rPr>
              <w:t>19,000</w:t>
            </w:r>
          </w:p>
        </w:tc>
        <w:tc>
          <w:tcPr>
            <w:tcW w:w="4140" w:type="dxa"/>
          </w:tcPr>
          <w:p w:rsidR="003F5784" w14:paraId="06025FAD" w14:textId="77777777">
            <w:pPr>
              <w:pStyle w:val="TableParagraph"/>
              <w:ind w:right="116"/>
              <w:rPr>
                <w:sz w:val="21"/>
              </w:rPr>
            </w:pPr>
            <w:r>
              <w:rPr>
                <w:spacing w:val="-4"/>
                <w:sz w:val="21"/>
              </w:rPr>
              <w:t>0.31</w:t>
            </w:r>
          </w:p>
        </w:tc>
      </w:tr>
      <w:tr w14:paraId="53166116" w14:textId="77777777">
        <w:tblPrEx>
          <w:tblW w:w="0" w:type="auto"/>
          <w:tblInd w:w="482" w:type="dxa"/>
          <w:tblLayout w:type="fixed"/>
          <w:tblCellMar>
            <w:left w:w="0" w:type="dxa"/>
            <w:right w:w="0" w:type="dxa"/>
          </w:tblCellMar>
          <w:tblLook w:val="01E0"/>
        </w:tblPrEx>
        <w:trPr>
          <w:trHeight w:val="286"/>
        </w:trPr>
        <w:tc>
          <w:tcPr>
            <w:tcW w:w="3447" w:type="dxa"/>
          </w:tcPr>
          <w:p w:rsidR="003F5784" w14:paraId="0AC49124" w14:textId="77777777">
            <w:pPr>
              <w:pStyle w:val="TableParagraph"/>
              <w:ind w:left="120"/>
              <w:jc w:val="left"/>
              <w:rPr>
                <w:sz w:val="21"/>
              </w:rPr>
            </w:pPr>
            <w:r>
              <w:rPr>
                <w:spacing w:val="-4"/>
                <w:sz w:val="21"/>
              </w:rPr>
              <w:t>2003</w:t>
            </w:r>
          </w:p>
        </w:tc>
        <w:tc>
          <w:tcPr>
            <w:tcW w:w="6396" w:type="dxa"/>
          </w:tcPr>
          <w:p w:rsidR="003F5784" w14:paraId="3200CC99" w14:textId="77777777">
            <w:pPr>
              <w:pStyle w:val="TableParagraph"/>
              <w:ind w:right="2211"/>
              <w:rPr>
                <w:sz w:val="21"/>
              </w:rPr>
            </w:pPr>
            <w:r>
              <w:rPr>
                <w:spacing w:val="-2"/>
                <w:sz w:val="21"/>
              </w:rPr>
              <w:t>42,000</w:t>
            </w:r>
          </w:p>
        </w:tc>
        <w:tc>
          <w:tcPr>
            <w:tcW w:w="4140" w:type="dxa"/>
          </w:tcPr>
          <w:p w:rsidR="003F5784" w14:paraId="63B5DE19" w14:textId="77777777">
            <w:pPr>
              <w:pStyle w:val="TableParagraph"/>
              <w:ind w:right="116"/>
              <w:rPr>
                <w:sz w:val="21"/>
              </w:rPr>
            </w:pPr>
            <w:r>
              <w:rPr>
                <w:spacing w:val="-4"/>
                <w:sz w:val="21"/>
              </w:rPr>
              <w:t>0.67</w:t>
            </w:r>
          </w:p>
        </w:tc>
      </w:tr>
      <w:tr w14:paraId="2ACE41A2" w14:textId="77777777">
        <w:tblPrEx>
          <w:tblW w:w="0" w:type="auto"/>
          <w:tblInd w:w="482" w:type="dxa"/>
          <w:tblLayout w:type="fixed"/>
          <w:tblCellMar>
            <w:left w:w="0" w:type="dxa"/>
            <w:right w:w="0" w:type="dxa"/>
          </w:tblCellMar>
          <w:tblLook w:val="01E0"/>
        </w:tblPrEx>
        <w:trPr>
          <w:trHeight w:val="288"/>
        </w:trPr>
        <w:tc>
          <w:tcPr>
            <w:tcW w:w="3447" w:type="dxa"/>
            <w:tcBorders>
              <w:bottom w:val="single" w:sz="18" w:space="0" w:color="800000"/>
            </w:tcBorders>
          </w:tcPr>
          <w:p w:rsidR="003F5784" w14:paraId="1C977A70" w14:textId="77777777">
            <w:pPr>
              <w:pStyle w:val="TableParagraph"/>
              <w:ind w:left="120"/>
              <w:jc w:val="left"/>
              <w:rPr>
                <w:sz w:val="21"/>
              </w:rPr>
            </w:pPr>
            <w:r>
              <w:rPr>
                <w:spacing w:val="-4"/>
                <w:sz w:val="21"/>
              </w:rPr>
              <w:t>2004</w:t>
            </w:r>
          </w:p>
        </w:tc>
        <w:tc>
          <w:tcPr>
            <w:tcW w:w="6396" w:type="dxa"/>
            <w:tcBorders>
              <w:bottom w:val="single" w:sz="18" w:space="0" w:color="800000"/>
            </w:tcBorders>
          </w:tcPr>
          <w:p w:rsidR="003F5784" w14:paraId="7A40CE4F" w14:textId="77777777">
            <w:pPr>
              <w:pStyle w:val="TableParagraph"/>
              <w:ind w:right="2211"/>
              <w:rPr>
                <w:sz w:val="21"/>
              </w:rPr>
            </w:pPr>
            <w:r>
              <w:rPr>
                <w:spacing w:val="-5"/>
                <w:sz w:val="21"/>
              </w:rPr>
              <w:t>675</w:t>
            </w:r>
          </w:p>
        </w:tc>
        <w:tc>
          <w:tcPr>
            <w:tcW w:w="4140" w:type="dxa"/>
            <w:tcBorders>
              <w:bottom w:val="single" w:sz="18" w:space="0" w:color="800000"/>
            </w:tcBorders>
          </w:tcPr>
          <w:p w:rsidR="003F5784" w14:paraId="2337B2AC" w14:textId="77777777">
            <w:pPr>
              <w:pStyle w:val="TableParagraph"/>
              <w:ind w:right="116"/>
              <w:rPr>
                <w:sz w:val="21"/>
              </w:rPr>
            </w:pPr>
            <w:r>
              <w:rPr>
                <w:spacing w:val="-4"/>
                <w:sz w:val="21"/>
              </w:rPr>
              <w:t>0.01</w:t>
            </w:r>
          </w:p>
        </w:tc>
      </w:tr>
      <w:tr w14:paraId="59B133B9" w14:textId="77777777">
        <w:tblPrEx>
          <w:tblW w:w="0" w:type="auto"/>
          <w:tblInd w:w="482" w:type="dxa"/>
          <w:tblLayout w:type="fixed"/>
          <w:tblCellMar>
            <w:left w:w="0" w:type="dxa"/>
            <w:right w:w="0" w:type="dxa"/>
          </w:tblCellMar>
          <w:tblLook w:val="01E0"/>
        </w:tblPrEx>
        <w:trPr>
          <w:trHeight w:val="237"/>
        </w:trPr>
        <w:tc>
          <w:tcPr>
            <w:tcW w:w="13983" w:type="dxa"/>
            <w:gridSpan w:val="3"/>
            <w:tcBorders>
              <w:top w:val="single" w:sz="18" w:space="0" w:color="800000"/>
            </w:tcBorders>
          </w:tcPr>
          <w:p w:rsidR="003F5784" w14:paraId="45B8B2D3"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r>
    </w:tbl>
    <w:p w:rsidR="003F5784" w14:paraId="7E1A2FB2" w14:textId="77777777">
      <w:pPr>
        <w:pStyle w:val="BodyText"/>
        <w:spacing w:line="234"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4DA4CAA8"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45FF66C6" w14:textId="77777777">
      <w:pPr>
        <w:pStyle w:val="BodyText"/>
        <w:spacing w:before="118"/>
      </w:pPr>
    </w:p>
    <w:p w:rsidR="003F5784" w14:paraId="7216884D" w14:textId="77777777">
      <w:pPr>
        <w:pStyle w:val="Heading2"/>
      </w:pPr>
      <w:r>
        <w:t>Weighted</w:t>
      </w:r>
      <w:r>
        <w:rPr>
          <w:spacing w:val="-9"/>
        </w:rPr>
        <w:t xml:space="preserve"> </w:t>
      </w:r>
      <w:r>
        <w:t>aggregations</w:t>
      </w:r>
      <w:r>
        <w:rPr>
          <w:spacing w:val="-9"/>
        </w:rPr>
        <w:t xml:space="preserve"> </w:t>
      </w:r>
      <w:r>
        <w:t>and</w:t>
      </w:r>
      <w:r>
        <w:rPr>
          <w:spacing w:val="-8"/>
        </w:rPr>
        <w:t xml:space="preserve"> </w:t>
      </w:r>
      <w:r>
        <w:t>proportions</w:t>
      </w:r>
      <w:r>
        <w:rPr>
          <w:spacing w:val="-9"/>
        </w:rPr>
        <w:t xml:space="preserve"> </w:t>
      </w:r>
      <w:r>
        <w:t>from</w:t>
      </w:r>
      <w:r>
        <w:rPr>
          <w:spacing w:val="-9"/>
        </w:rPr>
        <w:t xml:space="preserve"> </w:t>
      </w:r>
      <w:r>
        <w:t>the</w:t>
      </w:r>
      <w:r>
        <w:rPr>
          <w:spacing w:val="-8"/>
        </w:rPr>
        <w:t xml:space="preserve"> </w:t>
      </w:r>
      <w:r>
        <w:t>grade</w:t>
      </w:r>
      <w:r>
        <w:rPr>
          <w:spacing w:val="-9"/>
        </w:rPr>
        <w:t xml:space="preserve"> </w:t>
      </w:r>
      <w:r>
        <w:t>8</w:t>
      </w:r>
      <w:r>
        <w:rPr>
          <w:spacing w:val="-9"/>
        </w:rPr>
        <w:t xml:space="preserve"> </w:t>
      </w:r>
      <w:r>
        <w:t>reading</w:t>
      </w:r>
      <w:r>
        <w:rPr>
          <w:spacing w:val="-8"/>
        </w:rPr>
        <w:t xml:space="preserve"> </w:t>
      </w:r>
      <w:r>
        <w:t>and</w:t>
      </w:r>
      <w:r>
        <w:rPr>
          <w:spacing w:val="-9"/>
        </w:rPr>
        <w:t xml:space="preserve"> </w:t>
      </w:r>
      <w:r>
        <w:t>mathematics</w:t>
      </w:r>
      <w:r>
        <w:rPr>
          <w:spacing w:val="-9"/>
        </w:rPr>
        <w:t xml:space="preserve"> </w:t>
      </w:r>
      <w:r>
        <w:t>assessments,</w:t>
      </w:r>
      <w:r>
        <w:rPr>
          <w:spacing w:val="-8"/>
        </w:rPr>
        <w:t xml:space="preserve"> </w:t>
      </w:r>
      <w:r>
        <w:t>private</w:t>
      </w:r>
      <w:r>
        <w:rPr>
          <w:spacing w:val="-9"/>
        </w:rPr>
        <w:t xml:space="preserve"> </w:t>
      </w:r>
      <w:r>
        <w:t>schools</w:t>
      </w:r>
      <w:r>
        <w:rPr>
          <w:spacing w:val="-8"/>
        </w:rPr>
        <w:t xml:space="preserve"> </w:t>
      </w:r>
      <w:r>
        <w:t>Midwest</w:t>
      </w:r>
      <w:r>
        <w:rPr>
          <w:spacing w:val="-9"/>
        </w:rPr>
        <w:t xml:space="preserve"> </w:t>
      </w:r>
      <w:r>
        <w:t>region,</w:t>
      </w:r>
      <w:r>
        <w:rPr>
          <w:spacing w:val="-9"/>
        </w:rPr>
        <w:t xml:space="preserve"> </w:t>
      </w:r>
      <w:r>
        <w:t>by</w:t>
      </w:r>
      <w:r>
        <w:rPr>
          <w:spacing w:val="-8"/>
        </w:rPr>
        <w:t xml:space="preserve"> </w:t>
      </w:r>
      <w:r>
        <w:t>year</w:t>
      </w:r>
      <w:r>
        <w:rPr>
          <w:spacing w:val="-12"/>
        </w:rPr>
        <w:t xml:space="preserve"> </w:t>
      </w:r>
      <w:r>
        <w:t>of</w:t>
      </w:r>
      <w:r>
        <w:rPr>
          <w:spacing w:val="-9"/>
        </w:rPr>
        <w:t xml:space="preserve"> </w:t>
      </w:r>
      <w:r>
        <w:t>birth:</w:t>
      </w:r>
      <w:r>
        <w:rPr>
          <w:spacing w:val="-9"/>
        </w:rPr>
        <w:t xml:space="preserve"> </w:t>
      </w:r>
      <w:r>
        <w:rPr>
          <w:spacing w:val="-4"/>
        </w:rPr>
        <w:t>2017</w:t>
      </w:r>
    </w:p>
    <w:p w:rsidR="003F5784" w14:paraId="6577F206"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3447"/>
        <w:gridCol w:w="6396"/>
        <w:gridCol w:w="4140"/>
      </w:tblGrid>
      <w:tr w14:paraId="43DBC1E7" w14:textId="77777777">
        <w:tblPrEx>
          <w:tblW w:w="0" w:type="auto"/>
          <w:tblInd w:w="482" w:type="dxa"/>
          <w:tblLayout w:type="fixed"/>
          <w:tblCellMar>
            <w:left w:w="0" w:type="dxa"/>
            <w:right w:w="0" w:type="dxa"/>
          </w:tblCellMar>
          <w:tblLook w:val="01E0"/>
        </w:tblPrEx>
        <w:trPr>
          <w:trHeight w:val="267"/>
        </w:trPr>
        <w:tc>
          <w:tcPr>
            <w:tcW w:w="3447" w:type="dxa"/>
            <w:tcBorders>
              <w:top w:val="single" w:sz="18" w:space="0" w:color="800000"/>
              <w:bottom w:val="single" w:sz="18" w:space="0" w:color="800000"/>
            </w:tcBorders>
          </w:tcPr>
          <w:p w:rsidR="003F5784" w14:paraId="458CBA5A" w14:textId="77777777">
            <w:pPr>
              <w:pStyle w:val="TableParagraph"/>
              <w:spacing w:before="9" w:line="238" w:lineRule="exact"/>
              <w:ind w:left="120"/>
              <w:jc w:val="left"/>
              <w:rPr>
                <w:sz w:val="21"/>
              </w:rPr>
            </w:pPr>
            <w:r>
              <w:rPr>
                <w:spacing w:val="-2"/>
                <w:sz w:val="21"/>
              </w:rPr>
              <w:t>Year</w:t>
            </w:r>
            <w:r>
              <w:rPr>
                <w:spacing w:val="-9"/>
                <w:sz w:val="21"/>
              </w:rPr>
              <w:t xml:space="preserve"> </w:t>
            </w:r>
            <w:r>
              <w:rPr>
                <w:spacing w:val="-2"/>
                <w:sz w:val="21"/>
              </w:rPr>
              <w:t>of</w:t>
            </w:r>
            <w:r>
              <w:rPr>
                <w:spacing w:val="-8"/>
                <w:sz w:val="21"/>
              </w:rPr>
              <w:t xml:space="preserve"> </w:t>
            </w:r>
            <w:r>
              <w:rPr>
                <w:spacing w:val="-2"/>
                <w:sz w:val="21"/>
              </w:rPr>
              <w:t>birth</w:t>
            </w:r>
          </w:p>
        </w:tc>
        <w:tc>
          <w:tcPr>
            <w:tcW w:w="6396" w:type="dxa"/>
            <w:tcBorders>
              <w:top w:val="single" w:sz="18" w:space="0" w:color="800000"/>
              <w:bottom w:val="single" w:sz="18" w:space="0" w:color="800000"/>
            </w:tcBorders>
          </w:tcPr>
          <w:p w:rsidR="003F5784" w14:paraId="42D5F74C" w14:textId="77777777">
            <w:pPr>
              <w:pStyle w:val="TableParagraph"/>
              <w:spacing w:before="9" w:line="238" w:lineRule="exact"/>
              <w:ind w:right="2211"/>
              <w:rPr>
                <w:sz w:val="21"/>
              </w:rPr>
            </w:pPr>
            <w:r>
              <w:rPr>
                <w:spacing w:val="-2"/>
                <w:sz w:val="21"/>
              </w:rPr>
              <w:t>Weighted</w:t>
            </w:r>
            <w:r>
              <w:rPr>
                <w:spacing w:val="-11"/>
                <w:sz w:val="21"/>
              </w:rPr>
              <w:t xml:space="preserve"> </w:t>
            </w:r>
            <w:r>
              <w:rPr>
                <w:spacing w:val="-2"/>
                <w:sz w:val="21"/>
              </w:rPr>
              <w:t>aggregations</w:t>
            </w:r>
          </w:p>
        </w:tc>
        <w:tc>
          <w:tcPr>
            <w:tcW w:w="4140" w:type="dxa"/>
            <w:tcBorders>
              <w:top w:val="single" w:sz="18" w:space="0" w:color="800000"/>
              <w:bottom w:val="single" w:sz="18" w:space="0" w:color="800000"/>
            </w:tcBorders>
          </w:tcPr>
          <w:p w:rsidR="003F5784" w14:paraId="257CE7F7" w14:textId="77777777">
            <w:pPr>
              <w:pStyle w:val="TableParagraph"/>
              <w:spacing w:before="9" w:line="238" w:lineRule="exact"/>
              <w:ind w:right="116"/>
              <w:rPr>
                <w:sz w:val="21"/>
              </w:rPr>
            </w:pPr>
            <w:r>
              <w:rPr>
                <w:spacing w:val="-2"/>
                <w:sz w:val="21"/>
              </w:rPr>
              <w:t>Weighted</w:t>
            </w:r>
            <w:r>
              <w:rPr>
                <w:spacing w:val="-11"/>
                <w:sz w:val="21"/>
              </w:rPr>
              <w:t xml:space="preserve"> </w:t>
            </w:r>
            <w:r>
              <w:rPr>
                <w:spacing w:val="-2"/>
                <w:sz w:val="21"/>
              </w:rPr>
              <w:t>proportions</w:t>
            </w:r>
          </w:p>
        </w:tc>
      </w:tr>
      <w:tr w14:paraId="31CAEC0E" w14:textId="77777777">
        <w:tblPrEx>
          <w:tblW w:w="0" w:type="auto"/>
          <w:tblInd w:w="482" w:type="dxa"/>
          <w:tblLayout w:type="fixed"/>
          <w:tblCellMar>
            <w:left w:w="0" w:type="dxa"/>
            <w:right w:w="0" w:type="dxa"/>
          </w:tblCellMar>
          <w:tblLook w:val="01E0"/>
        </w:tblPrEx>
        <w:trPr>
          <w:trHeight w:val="278"/>
        </w:trPr>
        <w:tc>
          <w:tcPr>
            <w:tcW w:w="3447" w:type="dxa"/>
            <w:tcBorders>
              <w:top w:val="single" w:sz="18" w:space="0" w:color="800000"/>
            </w:tcBorders>
          </w:tcPr>
          <w:p w:rsidR="003F5784" w14:paraId="60AA8638" w14:textId="77777777">
            <w:pPr>
              <w:pStyle w:val="TableParagraph"/>
              <w:spacing w:before="9"/>
              <w:ind w:left="370"/>
              <w:jc w:val="left"/>
              <w:rPr>
                <w:b/>
                <w:sz w:val="21"/>
              </w:rPr>
            </w:pPr>
            <w:r>
              <w:rPr>
                <w:b/>
                <w:spacing w:val="-2"/>
                <w:sz w:val="21"/>
              </w:rPr>
              <w:t>Total</w:t>
            </w:r>
          </w:p>
        </w:tc>
        <w:tc>
          <w:tcPr>
            <w:tcW w:w="6396" w:type="dxa"/>
            <w:tcBorders>
              <w:top w:val="single" w:sz="18" w:space="0" w:color="800000"/>
            </w:tcBorders>
          </w:tcPr>
          <w:p w:rsidR="003F5784" w14:paraId="08EC013E" w14:textId="77777777">
            <w:pPr>
              <w:pStyle w:val="TableParagraph"/>
              <w:spacing w:before="9"/>
              <w:ind w:right="2211"/>
              <w:rPr>
                <w:b/>
                <w:sz w:val="21"/>
              </w:rPr>
            </w:pPr>
            <w:r>
              <w:rPr>
                <w:b/>
                <w:spacing w:val="-2"/>
                <w:sz w:val="21"/>
              </w:rPr>
              <w:t>78,000</w:t>
            </w:r>
          </w:p>
        </w:tc>
        <w:tc>
          <w:tcPr>
            <w:tcW w:w="4140" w:type="dxa"/>
            <w:tcBorders>
              <w:top w:val="single" w:sz="18" w:space="0" w:color="800000"/>
            </w:tcBorders>
          </w:tcPr>
          <w:p w:rsidR="003F5784" w14:paraId="60F85467" w14:textId="77777777">
            <w:pPr>
              <w:pStyle w:val="TableParagraph"/>
              <w:spacing w:before="9"/>
              <w:ind w:right="116"/>
              <w:rPr>
                <w:b/>
                <w:sz w:val="21"/>
              </w:rPr>
            </w:pPr>
            <w:r>
              <w:rPr>
                <w:b/>
                <w:spacing w:val="-4"/>
                <w:sz w:val="21"/>
              </w:rPr>
              <w:t>1.00</w:t>
            </w:r>
          </w:p>
        </w:tc>
      </w:tr>
      <w:tr w14:paraId="7CF5343C" w14:textId="77777777">
        <w:tblPrEx>
          <w:tblW w:w="0" w:type="auto"/>
          <w:tblInd w:w="482" w:type="dxa"/>
          <w:tblLayout w:type="fixed"/>
          <w:tblCellMar>
            <w:left w:w="0" w:type="dxa"/>
            <w:right w:w="0" w:type="dxa"/>
          </w:tblCellMar>
          <w:tblLook w:val="01E0"/>
        </w:tblPrEx>
        <w:trPr>
          <w:trHeight w:val="286"/>
        </w:trPr>
        <w:tc>
          <w:tcPr>
            <w:tcW w:w="3447" w:type="dxa"/>
          </w:tcPr>
          <w:p w:rsidR="003F5784" w14:paraId="50CE997F" w14:textId="77777777">
            <w:pPr>
              <w:pStyle w:val="TableParagraph"/>
              <w:ind w:left="120"/>
              <w:jc w:val="left"/>
              <w:rPr>
                <w:sz w:val="21"/>
              </w:rPr>
            </w:pPr>
            <w:r>
              <w:rPr>
                <w:spacing w:val="-4"/>
                <w:sz w:val="21"/>
              </w:rPr>
              <w:t>2001</w:t>
            </w:r>
          </w:p>
        </w:tc>
        <w:tc>
          <w:tcPr>
            <w:tcW w:w="6396" w:type="dxa"/>
          </w:tcPr>
          <w:p w:rsidR="003F5784" w14:paraId="20E370C2" w14:textId="77777777">
            <w:pPr>
              <w:pStyle w:val="TableParagraph"/>
              <w:ind w:right="2211"/>
              <w:rPr>
                <w:sz w:val="21"/>
              </w:rPr>
            </w:pPr>
            <w:r>
              <w:rPr>
                <w:spacing w:val="-5"/>
                <w:sz w:val="21"/>
              </w:rPr>
              <w:t>992</w:t>
            </w:r>
          </w:p>
        </w:tc>
        <w:tc>
          <w:tcPr>
            <w:tcW w:w="4140" w:type="dxa"/>
          </w:tcPr>
          <w:p w:rsidR="003F5784" w14:paraId="5069913A" w14:textId="77777777">
            <w:pPr>
              <w:pStyle w:val="TableParagraph"/>
              <w:ind w:right="116"/>
              <w:rPr>
                <w:sz w:val="21"/>
              </w:rPr>
            </w:pPr>
            <w:r>
              <w:rPr>
                <w:spacing w:val="-4"/>
                <w:sz w:val="21"/>
              </w:rPr>
              <w:t>0.01</w:t>
            </w:r>
          </w:p>
        </w:tc>
      </w:tr>
      <w:tr w14:paraId="4122E3BB" w14:textId="77777777">
        <w:tblPrEx>
          <w:tblW w:w="0" w:type="auto"/>
          <w:tblInd w:w="482" w:type="dxa"/>
          <w:tblLayout w:type="fixed"/>
          <w:tblCellMar>
            <w:left w:w="0" w:type="dxa"/>
            <w:right w:w="0" w:type="dxa"/>
          </w:tblCellMar>
          <w:tblLook w:val="01E0"/>
        </w:tblPrEx>
        <w:trPr>
          <w:trHeight w:val="286"/>
        </w:trPr>
        <w:tc>
          <w:tcPr>
            <w:tcW w:w="3447" w:type="dxa"/>
          </w:tcPr>
          <w:p w:rsidR="003F5784" w14:paraId="65E1DDA7" w14:textId="77777777">
            <w:pPr>
              <w:pStyle w:val="TableParagraph"/>
              <w:ind w:left="120"/>
              <w:jc w:val="left"/>
              <w:rPr>
                <w:sz w:val="21"/>
              </w:rPr>
            </w:pPr>
            <w:r>
              <w:rPr>
                <w:spacing w:val="-4"/>
                <w:sz w:val="21"/>
              </w:rPr>
              <w:t>2002</w:t>
            </w:r>
          </w:p>
        </w:tc>
        <w:tc>
          <w:tcPr>
            <w:tcW w:w="6396" w:type="dxa"/>
          </w:tcPr>
          <w:p w:rsidR="003F5784" w14:paraId="25013340" w14:textId="77777777">
            <w:pPr>
              <w:pStyle w:val="TableParagraph"/>
              <w:ind w:right="2211"/>
              <w:rPr>
                <w:sz w:val="21"/>
              </w:rPr>
            </w:pPr>
            <w:r>
              <w:rPr>
                <w:spacing w:val="-2"/>
                <w:sz w:val="21"/>
              </w:rPr>
              <w:t>31,000</w:t>
            </w:r>
          </w:p>
        </w:tc>
        <w:tc>
          <w:tcPr>
            <w:tcW w:w="4140" w:type="dxa"/>
          </w:tcPr>
          <w:p w:rsidR="003F5784" w14:paraId="3A17E116" w14:textId="77777777">
            <w:pPr>
              <w:pStyle w:val="TableParagraph"/>
              <w:ind w:right="116"/>
              <w:rPr>
                <w:sz w:val="21"/>
              </w:rPr>
            </w:pPr>
            <w:r>
              <w:rPr>
                <w:spacing w:val="-4"/>
                <w:sz w:val="21"/>
              </w:rPr>
              <w:t>0.40</w:t>
            </w:r>
          </w:p>
        </w:tc>
      </w:tr>
      <w:tr w14:paraId="63C029E4" w14:textId="77777777">
        <w:tblPrEx>
          <w:tblW w:w="0" w:type="auto"/>
          <w:tblInd w:w="482" w:type="dxa"/>
          <w:tblLayout w:type="fixed"/>
          <w:tblCellMar>
            <w:left w:w="0" w:type="dxa"/>
            <w:right w:w="0" w:type="dxa"/>
          </w:tblCellMar>
          <w:tblLook w:val="01E0"/>
        </w:tblPrEx>
        <w:trPr>
          <w:trHeight w:val="286"/>
        </w:trPr>
        <w:tc>
          <w:tcPr>
            <w:tcW w:w="3447" w:type="dxa"/>
          </w:tcPr>
          <w:p w:rsidR="003F5784" w14:paraId="7287557F" w14:textId="77777777">
            <w:pPr>
              <w:pStyle w:val="TableParagraph"/>
              <w:ind w:left="120"/>
              <w:jc w:val="left"/>
              <w:rPr>
                <w:sz w:val="21"/>
              </w:rPr>
            </w:pPr>
            <w:r>
              <w:rPr>
                <w:spacing w:val="-4"/>
                <w:sz w:val="21"/>
              </w:rPr>
              <w:t>2003</w:t>
            </w:r>
          </w:p>
        </w:tc>
        <w:tc>
          <w:tcPr>
            <w:tcW w:w="6396" w:type="dxa"/>
          </w:tcPr>
          <w:p w:rsidR="003F5784" w14:paraId="4CE7DDCD" w14:textId="77777777">
            <w:pPr>
              <w:pStyle w:val="TableParagraph"/>
              <w:ind w:right="2211"/>
              <w:rPr>
                <w:sz w:val="21"/>
              </w:rPr>
            </w:pPr>
            <w:r>
              <w:rPr>
                <w:spacing w:val="-2"/>
                <w:sz w:val="21"/>
              </w:rPr>
              <w:t>45,000</w:t>
            </w:r>
          </w:p>
        </w:tc>
        <w:tc>
          <w:tcPr>
            <w:tcW w:w="4140" w:type="dxa"/>
          </w:tcPr>
          <w:p w:rsidR="003F5784" w14:paraId="7634D444" w14:textId="77777777">
            <w:pPr>
              <w:pStyle w:val="TableParagraph"/>
              <w:ind w:right="116"/>
              <w:rPr>
                <w:sz w:val="21"/>
              </w:rPr>
            </w:pPr>
            <w:r>
              <w:rPr>
                <w:spacing w:val="-4"/>
                <w:sz w:val="21"/>
              </w:rPr>
              <w:t>0.58</w:t>
            </w:r>
          </w:p>
        </w:tc>
      </w:tr>
      <w:tr w14:paraId="682D2CDC" w14:textId="77777777">
        <w:tblPrEx>
          <w:tblW w:w="0" w:type="auto"/>
          <w:tblInd w:w="482" w:type="dxa"/>
          <w:tblLayout w:type="fixed"/>
          <w:tblCellMar>
            <w:left w:w="0" w:type="dxa"/>
            <w:right w:w="0" w:type="dxa"/>
          </w:tblCellMar>
          <w:tblLook w:val="01E0"/>
        </w:tblPrEx>
        <w:trPr>
          <w:trHeight w:val="288"/>
        </w:trPr>
        <w:tc>
          <w:tcPr>
            <w:tcW w:w="3447" w:type="dxa"/>
            <w:tcBorders>
              <w:bottom w:val="single" w:sz="18" w:space="0" w:color="800000"/>
            </w:tcBorders>
          </w:tcPr>
          <w:p w:rsidR="003F5784" w14:paraId="5E13ECF6" w14:textId="77777777">
            <w:pPr>
              <w:pStyle w:val="TableParagraph"/>
              <w:ind w:left="120"/>
              <w:jc w:val="left"/>
              <w:rPr>
                <w:sz w:val="21"/>
              </w:rPr>
            </w:pPr>
            <w:r>
              <w:rPr>
                <w:spacing w:val="-4"/>
                <w:sz w:val="21"/>
              </w:rPr>
              <w:t>2004</w:t>
            </w:r>
          </w:p>
        </w:tc>
        <w:tc>
          <w:tcPr>
            <w:tcW w:w="6396" w:type="dxa"/>
            <w:tcBorders>
              <w:bottom w:val="single" w:sz="18" w:space="0" w:color="800000"/>
            </w:tcBorders>
          </w:tcPr>
          <w:p w:rsidR="003F5784" w14:paraId="3D76911A" w14:textId="77777777">
            <w:pPr>
              <w:pStyle w:val="TableParagraph"/>
              <w:ind w:right="2211"/>
              <w:rPr>
                <w:sz w:val="21"/>
              </w:rPr>
            </w:pPr>
            <w:r>
              <w:rPr>
                <w:spacing w:val="-5"/>
                <w:sz w:val="21"/>
              </w:rPr>
              <w:t>173</w:t>
            </w:r>
          </w:p>
        </w:tc>
        <w:tc>
          <w:tcPr>
            <w:tcW w:w="4140" w:type="dxa"/>
            <w:tcBorders>
              <w:bottom w:val="single" w:sz="18" w:space="0" w:color="800000"/>
            </w:tcBorders>
          </w:tcPr>
          <w:p w:rsidR="003F5784" w14:paraId="08A97654" w14:textId="77777777">
            <w:pPr>
              <w:pStyle w:val="TableParagraph"/>
              <w:ind w:right="116"/>
              <w:rPr>
                <w:sz w:val="21"/>
              </w:rPr>
            </w:pPr>
            <w:r>
              <w:rPr>
                <w:spacing w:val="-10"/>
                <w:sz w:val="21"/>
              </w:rPr>
              <w:t>#</w:t>
            </w:r>
          </w:p>
        </w:tc>
      </w:tr>
      <w:tr w14:paraId="44325C32" w14:textId="77777777">
        <w:tblPrEx>
          <w:tblW w:w="0" w:type="auto"/>
          <w:tblInd w:w="482" w:type="dxa"/>
          <w:tblLayout w:type="fixed"/>
          <w:tblCellMar>
            <w:left w:w="0" w:type="dxa"/>
            <w:right w:w="0" w:type="dxa"/>
          </w:tblCellMar>
          <w:tblLook w:val="01E0"/>
        </w:tblPrEx>
        <w:trPr>
          <w:trHeight w:val="237"/>
        </w:trPr>
        <w:tc>
          <w:tcPr>
            <w:tcW w:w="13983" w:type="dxa"/>
            <w:gridSpan w:val="3"/>
            <w:tcBorders>
              <w:top w:val="single" w:sz="18" w:space="0" w:color="800000"/>
            </w:tcBorders>
          </w:tcPr>
          <w:p w:rsidR="003F5784" w14:paraId="281EE48A"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r>
    </w:tbl>
    <w:p w:rsidR="003F5784" w14:paraId="5B07D0BD" w14:textId="77777777">
      <w:pPr>
        <w:pStyle w:val="BodyText"/>
        <w:spacing w:line="233"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55DFD60C"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07238013" w14:textId="77777777">
      <w:pPr>
        <w:pStyle w:val="BodyText"/>
        <w:spacing w:before="118"/>
      </w:pPr>
    </w:p>
    <w:p w:rsidR="003F5784" w14:paraId="77F51A16" w14:textId="77777777">
      <w:pPr>
        <w:pStyle w:val="Heading2"/>
      </w:pPr>
      <w:r>
        <w:t>Weighted</w:t>
      </w:r>
      <w:r>
        <w:rPr>
          <w:spacing w:val="-9"/>
        </w:rPr>
        <w:t xml:space="preserve"> </w:t>
      </w:r>
      <w:r>
        <w:t>aggregations</w:t>
      </w:r>
      <w:r>
        <w:rPr>
          <w:spacing w:val="-9"/>
        </w:rPr>
        <w:t xml:space="preserve"> </w:t>
      </w:r>
      <w:r>
        <w:t>and</w:t>
      </w:r>
      <w:r>
        <w:rPr>
          <w:spacing w:val="-8"/>
        </w:rPr>
        <w:t xml:space="preserve"> </w:t>
      </w:r>
      <w:r>
        <w:t>proportions</w:t>
      </w:r>
      <w:r>
        <w:rPr>
          <w:spacing w:val="-9"/>
        </w:rPr>
        <w:t xml:space="preserve"> </w:t>
      </w:r>
      <w:r>
        <w:t>from</w:t>
      </w:r>
      <w:r>
        <w:rPr>
          <w:spacing w:val="-8"/>
        </w:rPr>
        <w:t xml:space="preserve"> </w:t>
      </w:r>
      <w:r>
        <w:t>the</w:t>
      </w:r>
      <w:r>
        <w:rPr>
          <w:spacing w:val="-9"/>
        </w:rPr>
        <w:t xml:space="preserve"> </w:t>
      </w:r>
      <w:r>
        <w:t>grade</w:t>
      </w:r>
      <w:r>
        <w:rPr>
          <w:spacing w:val="-8"/>
        </w:rPr>
        <w:t xml:space="preserve"> </w:t>
      </w:r>
      <w:r>
        <w:t>8</w:t>
      </w:r>
      <w:r>
        <w:rPr>
          <w:spacing w:val="-9"/>
        </w:rPr>
        <w:t xml:space="preserve"> </w:t>
      </w:r>
      <w:r>
        <w:t>reading</w:t>
      </w:r>
      <w:r>
        <w:rPr>
          <w:spacing w:val="-8"/>
        </w:rPr>
        <w:t xml:space="preserve"> </w:t>
      </w:r>
      <w:r>
        <w:t>and</w:t>
      </w:r>
      <w:r>
        <w:rPr>
          <w:spacing w:val="-9"/>
        </w:rPr>
        <w:t xml:space="preserve"> </w:t>
      </w:r>
      <w:r>
        <w:t>mathematics</w:t>
      </w:r>
      <w:r>
        <w:rPr>
          <w:spacing w:val="-8"/>
        </w:rPr>
        <w:t xml:space="preserve"> </w:t>
      </w:r>
      <w:r>
        <w:t>assessments,</w:t>
      </w:r>
      <w:r>
        <w:rPr>
          <w:spacing w:val="-9"/>
        </w:rPr>
        <w:t xml:space="preserve"> </w:t>
      </w:r>
      <w:r>
        <w:t>private</w:t>
      </w:r>
      <w:r>
        <w:rPr>
          <w:spacing w:val="-8"/>
        </w:rPr>
        <w:t xml:space="preserve"> </w:t>
      </w:r>
      <w:r>
        <w:t>schools</w:t>
      </w:r>
      <w:r>
        <w:rPr>
          <w:spacing w:val="-9"/>
        </w:rPr>
        <w:t xml:space="preserve"> </w:t>
      </w:r>
      <w:r>
        <w:t>South</w:t>
      </w:r>
      <w:r>
        <w:rPr>
          <w:spacing w:val="-8"/>
        </w:rPr>
        <w:t xml:space="preserve"> </w:t>
      </w:r>
      <w:r>
        <w:t>region,</w:t>
      </w:r>
      <w:r>
        <w:rPr>
          <w:spacing w:val="-9"/>
        </w:rPr>
        <w:t xml:space="preserve"> </w:t>
      </w:r>
      <w:r>
        <w:t>by</w:t>
      </w:r>
      <w:r>
        <w:rPr>
          <w:spacing w:val="-8"/>
        </w:rPr>
        <w:t xml:space="preserve"> </w:t>
      </w:r>
      <w:r>
        <w:t>year</w:t>
      </w:r>
      <w:r>
        <w:rPr>
          <w:spacing w:val="-12"/>
        </w:rPr>
        <w:t xml:space="preserve"> </w:t>
      </w:r>
      <w:r>
        <w:t>of</w:t>
      </w:r>
      <w:r>
        <w:rPr>
          <w:spacing w:val="-9"/>
        </w:rPr>
        <w:t xml:space="preserve"> </w:t>
      </w:r>
      <w:r>
        <w:t>birth:</w:t>
      </w:r>
      <w:r>
        <w:rPr>
          <w:spacing w:val="-8"/>
        </w:rPr>
        <w:t xml:space="preserve"> </w:t>
      </w:r>
      <w:r>
        <w:rPr>
          <w:spacing w:val="-4"/>
        </w:rPr>
        <w:t>2017</w:t>
      </w:r>
    </w:p>
    <w:p w:rsidR="003F5784" w14:paraId="10F6BF3F"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3928"/>
        <w:gridCol w:w="6660"/>
        <w:gridCol w:w="3396"/>
      </w:tblGrid>
      <w:tr w14:paraId="2FA3CAE3" w14:textId="77777777" w:rsidTr="008F0E55">
        <w:tblPrEx>
          <w:tblW w:w="0" w:type="auto"/>
          <w:tblInd w:w="482" w:type="dxa"/>
          <w:tblLayout w:type="fixed"/>
          <w:tblCellMar>
            <w:left w:w="0" w:type="dxa"/>
            <w:right w:w="0" w:type="dxa"/>
          </w:tblCellMar>
          <w:tblLook w:val="01E0"/>
        </w:tblPrEx>
        <w:trPr>
          <w:trHeight w:val="267"/>
        </w:trPr>
        <w:tc>
          <w:tcPr>
            <w:tcW w:w="3928" w:type="dxa"/>
            <w:tcBorders>
              <w:top w:val="single" w:sz="18" w:space="0" w:color="800000"/>
              <w:bottom w:val="single" w:sz="18" w:space="0" w:color="800000"/>
            </w:tcBorders>
          </w:tcPr>
          <w:p w:rsidR="003F5784" w14:paraId="65139419" w14:textId="77777777">
            <w:pPr>
              <w:pStyle w:val="TableParagraph"/>
              <w:spacing w:before="9" w:line="238" w:lineRule="exact"/>
              <w:ind w:left="120"/>
              <w:jc w:val="left"/>
              <w:rPr>
                <w:sz w:val="21"/>
              </w:rPr>
            </w:pPr>
            <w:r>
              <w:rPr>
                <w:spacing w:val="-2"/>
                <w:sz w:val="21"/>
              </w:rPr>
              <w:t>Year</w:t>
            </w:r>
            <w:r>
              <w:rPr>
                <w:spacing w:val="-9"/>
                <w:sz w:val="21"/>
              </w:rPr>
              <w:t xml:space="preserve"> </w:t>
            </w:r>
            <w:r>
              <w:rPr>
                <w:spacing w:val="-2"/>
                <w:sz w:val="21"/>
              </w:rPr>
              <w:t>of</w:t>
            </w:r>
            <w:r>
              <w:rPr>
                <w:spacing w:val="-8"/>
                <w:sz w:val="21"/>
              </w:rPr>
              <w:t xml:space="preserve"> </w:t>
            </w:r>
            <w:r>
              <w:rPr>
                <w:spacing w:val="-2"/>
                <w:sz w:val="21"/>
              </w:rPr>
              <w:t>birth</w:t>
            </w:r>
          </w:p>
        </w:tc>
        <w:tc>
          <w:tcPr>
            <w:tcW w:w="6660" w:type="dxa"/>
            <w:tcBorders>
              <w:top w:val="single" w:sz="18" w:space="0" w:color="800000"/>
              <w:bottom w:val="single" w:sz="18" w:space="0" w:color="800000"/>
            </w:tcBorders>
          </w:tcPr>
          <w:p w:rsidR="003F5784" w14:paraId="3B257679" w14:textId="77777777">
            <w:pPr>
              <w:pStyle w:val="TableParagraph"/>
              <w:spacing w:before="9" w:line="238" w:lineRule="exact"/>
              <w:ind w:left="57"/>
              <w:jc w:val="center"/>
              <w:rPr>
                <w:sz w:val="21"/>
              </w:rPr>
            </w:pPr>
            <w:r>
              <w:rPr>
                <w:spacing w:val="-2"/>
                <w:sz w:val="21"/>
              </w:rPr>
              <w:t>Weighted</w:t>
            </w:r>
            <w:r>
              <w:rPr>
                <w:spacing w:val="-11"/>
                <w:sz w:val="21"/>
              </w:rPr>
              <w:t xml:space="preserve"> </w:t>
            </w:r>
            <w:r>
              <w:rPr>
                <w:spacing w:val="-2"/>
                <w:sz w:val="21"/>
              </w:rPr>
              <w:t>aggregations</w:t>
            </w:r>
          </w:p>
        </w:tc>
        <w:tc>
          <w:tcPr>
            <w:tcW w:w="3396" w:type="dxa"/>
            <w:tcBorders>
              <w:top w:val="single" w:sz="18" w:space="0" w:color="800000"/>
              <w:bottom w:val="single" w:sz="18" w:space="0" w:color="800000"/>
            </w:tcBorders>
          </w:tcPr>
          <w:p w:rsidR="003F5784" w14:paraId="273ECF4F" w14:textId="77777777">
            <w:pPr>
              <w:pStyle w:val="TableParagraph"/>
              <w:spacing w:before="9" w:line="238" w:lineRule="exact"/>
              <w:ind w:left="2214"/>
              <w:jc w:val="left"/>
              <w:rPr>
                <w:sz w:val="21"/>
              </w:rPr>
            </w:pPr>
            <w:r>
              <w:rPr>
                <w:spacing w:val="-2"/>
                <w:sz w:val="21"/>
              </w:rPr>
              <w:t>Weighted</w:t>
            </w:r>
            <w:r>
              <w:rPr>
                <w:spacing w:val="-11"/>
                <w:sz w:val="21"/>
              </w:rPr>
              <w:t xml:space="preserve"> </w:t>
            </w:r>
            <w:r>
              <w:rPr>
                <w:spacing w:val="-2"/>
                <w:sz w:val="21"/>
              </w:rPr>
              <w:t>proportions</w:t>
            </w:r>
          </w:p>
        </w:tc>
      </w:tr>
    </w:tbl>
    <w:p w:rsidR="003F5784" w14:paraId="39AB415B" w14:textId="77777777">
      <w:pPr>
        <w:spacing w:line="238" w:lineRule="exact"/>
        <w:rPr>
          <w:sz w:val="21"/>
        </w:rPr>
        <w:sectPr>
          <w:pgSz w:w="15840" w:h="12240" w:orient="landscape"/>
          <w:pgMar w:top="480" w:right="440" w:bottom="460" w:left="460" w:header="284" w:footer="275" w:gutter="0"/>
          <w:cols w:space="720"/>
        </w:sectPr>
      </w:pPr>
    </w:p>
    <w:p w:rsidR="003F5784" w14:paraId="79F70032" w14:textId="77777777">
      <w:pPr>
        <w:pStyle w:val="BodyText"/>
        <w:tabs>
          <w:tab w:val="left" w:pos="6192"/>
          <w:tab w:val="left" w:pos="12532"/>
        </w:tabs>
        <w:spacing w:before="98" w:after="20"/>
        <w:ind w:left="595"/>
      </w:pPr>
      <w:r>
        <w:rPr>
          <w:spacing w:val="-2"/>
        </w:rPr>
        <w:t>Year</w:t>
      </w:r>
      <w:r>
        <w:rPr>
          <w:spacing w:val="-9"/>
        </w:rPr>
        <w:t xml:space="preserve"> </w:t>
      </w:r>
      <w:r>
        <w:rPr>
          <w:spacing w:val="-2"/>
        </w:rPr>
        <w:t>of</w:t>
      </w:r>
      <w:r>
        <w:rPr>
          <w:spacing w:val="-8"/>
        </w:rPr>
        <w:t xml:space="preserve"> </w:t>
      </w:r>
      <w:r>
        <w:rPr>
          <w:spacing w:val="-2"/>
        </w:rPr>
        <w:t>birth</w:t>
      </w:r>
      <w:r>
        <w:tab/>
      </w:r>
      <w:r>
        <w:rPr>
          <w:spacing w:val="-2"/>
        </w:rPr>
        <w:t>Weighted</w:t>
      </w:r>
      <w:r>
        <w:rPr>
          <w:spacing w:val="-11"/>
        </w:rPr>
        <w:t xml:space="preserve"> </w:t>
      </w:r>
      <w:r>
        <w:rPr>
          <w:spacing w:val="-2"/>
        </w:rPr>
        <w:t>aggregations</w:t>
      </w:r>
      <w:r>
        <w:tab/>
      </w:r>
      <w:r>
        <w:rPr>
          <w:spacing w:val="-2"/>
        </w:rPr>
        <w:t>Weighted</w:t>
      </w:r>
      <w:r>
        <w:rPr>
          <w:spacing w:val="-11"/>
        </w:rPr>
        <w:t xml:space="preserve"> </w:t>
      </w:r>
      <w:r>
        <w:rPr>
          <w:spacing w:val="-2"/>
        </w:rPr>
        <w:t>proportions</w:t>
      </w:r>
    </w:p>
    <w:tbl>
      <w:tblPr>
        <w:tblW w:w="0" w:type="auto"/>
        <w:tblInd w:w="482" w:type="dxa"/>
        <w:tblLayout w:type="fixed"/>
        <w:tblCellMar>
          <w:left w:w="0" w:type="dxa"/>
          <w:right w:w="0" w:type="dxa"/>
        </w:tblCellMar>
        <w:tblLook w:val="01E0"/>
      </w:tblPr>
      <w:tblGrid>
        <w:gridCol w:w="3901"/>
        <w:gridCol w:w="6665"/>
        <w:gridCol w:w="3420"/>
      </w:tblGrid>
      <w:tr w14:paraId="6B01D7CB" w14:textId="77777777">
        <w:tblPrEx>
          <w:tblW w:w="0" w:type="auto"/>
          <w:tblInd w:w="482" w:type="dxa"/>
          <w:tblLayout w:type="fixed"/>
          <w:tblCellMar>
            <w:left w:w="0" w:type="dxa"/>
            <w:right w:w="0" w:type="dxa"/>
          </w:tblCellMar>
          <w:tblLook w:val="01E0"/>
        </w:tblPrEx>
        <w:trPr>
          <w:trHeight w:val="278"/>
        </w:trPr>
        <w:tc>
          <w:tcPr>
            <w:tcW w:w="3901" w:type="dxa"/>
            <w:tcBorders>
              <w:top w:val="single" w:sz="18" w:space="0" w:color="800000"/>
            </w:tcBorders>
          </w:tcPr>
          <w:p w:rsidR="003F5784" w14:paraId="13CF6A97" w14:textId="77777777">
            <w:pPr>
              <w:pStyle w:val="TableParagraph"/>
              <w:spacing w:before="9"/>
              <w:ind w:left="370"/>
              <w:jc w:val="left"/>
              <w:rPr>
                <w:b/>
                <w:sz w:val="21"/>
              </w:rPr>
            </w:pPr>
            <w:r>
              <w:rPr>
                <w:b/>
                <w:spacing w:val="-2"/>
                <w:sz w:val="21"/>
              </w:rPr>
              <w:t>Total</w:t>
            </w:r>
          </w:p>
        </w:tc>
        <w:tc>
          <w:tcPr>
            <w:tcW w:w="6665" w:type="dxa"/>
            <w:tcBorders>
              <w:top w:val="single" w:sz="18" w:space="0" w:color="800000"/>
            </w:tcBorders>
          </w:tcPr>
          <w:p w:rsidR="003F5784" w14:paraId="1738D00A" w14:textId="77777777">
            <w:pPr>
              <w:pStyle w:val="TableParagraph"/>
              <w:spacing w:before="9"/>
              <w:ind w:right="2934"/>
              <w:rPr>
                <w:b/>
                <w:sz w:val="21"/>
              </w:rPr>
            </w:pPr>
            <w:r>
              <w:rPr>
                <w:b/>
                <w:spacing w:val="-2"/>
                <w:sz w:val="21"/>
              </w:rPr>
              <w:t>111,000</w:t>
            </w:r>
          </w:p>
        </w:tc>
        <w:tc>
          <w:tcPr>
            <w:tcW w:w="3420" w:type="dxa"/>
            <w:tcBorders>
              <w:top w:val="single" w:sz="18" w:space="0" w:color="800000"/>
            </w:tcBorders>
          </w:tcPr>
          <w:p w:rsidR="003F5784" w14:paraId="7991D769" w14:textId="77777777">
            <w:pPr>
              <w:pStyle w:val="TableParagraph"/>
              <w:spacing w:before="9"/>
              <w:ind w:right="119"/>
              <w:rPr>
                <w:b/>
                <w:sz w:val="21"/>
              </w:rPr>
            </w:pPr>
            <w:r>
              <w:rPr>
                <w:b/>
                <w:spacing w:val="-4"/>
                <w:sz w:val="21"/>
              </w:rPr>
              <w:t>1.00</w:t>
            </w:r>
          </w:p>
        </w:tc>
      </w:tr>
      <w:tr w14:paraId="4371B3AA" w14:textId="77777777">
        <w:tblPrEx>
          <w:tblW w:w="0" w:type="auto"/>
          <w:tblInd w:w="482" w:type="dxa"/>
          <w:tblLayout w:type="fixed"/>
          <w:tblCellMar>
            <w:left w:w="0" w:type="dxa"/>
            <w:right w:w="0" w:type="dxa"/>
          </w:tblCellMar>
          <w:tblLook w:val="01E0"/>
        </w:tblPrEx>
        <w:trPr>
          <w:trHeight w:val="286"/>
        </w:trPr>
        <w:tc>
          <w:tcPr>
            <w:tcW w:w="3901" w:type="dxa"/>
          </w:tcPr>
          <w:p w:rsidR="003F5784" w14:paraId="40C0824E" w14:textId="77777777">
            <w:pPr>
              <w:pStyle w:val="TableParagraph"/>
              <w:ind w:left="120"/>
              <w:jc w:val="left"/>
              <w:rPr>
                <w:sz w:val="21"/>
              </w:rPr>
            </w:pPr>
            <w:r>
              <w:rPr>
                <w:spacing w:val="-4"/>
                <w:sz w:val="21"/>
              </w:rPr>
              <w:t>2000</w:t>
            </w:r>
          </w:p>
        </w:tc>
        <w:tc>
          <w:tcPr>
            <w:tcW w:w="6665" w:type="dxa"/>
          </w:tcPr>
          <w:p w:rsidR="003F5784" w14:paraId="3453B20B" w14:textId="77777777">
            <w:pPr>
              <w:pStyle w:val="TableParagraph"/>
              <w:ind w:right="2934"/>
              <w:rPr>
                <w:sz w:val="21"/>
              </w:rPr>
            </w:pPr>
            <w:r>
              <w:rPr>
                <w:spacing w:val="-5"/>
                <w:sz w:val="21"/>
              </w:rPr>
              <w:t>75</w:t>
            </w:r>
          </w:p>
        </w:tc>
        <w:tc>
          <w:tcPr>
            <w:tcW w:w="3420" w:type="dxa"/>
          </w:tcPr>
          <w:p w:rsidR="003F5784" w14:paraId="09E22352" w14:textId="77777777">
            <w:pPr>
              <w:pStyle w:val="TableParagraph"/>
              <w:ind w:right="119"/>
              <w:rPr>
                <w:sz w:val="21"/>
              </w:rPr>
            </w:pPr>
            <w:r>
              <w:rPr>
                <w:spacing w:val="-10"/>
                <w:sz w:val="21"/>
              </w:rPr>
              <w:t>#</w:t>
            </w:r>
          </w:p>
        </w:tc>
      </w:tr>
      <w:tr w14:paraId="452BFB22" w14:textId="77777777">
        <w:tblPrEx>
          <w:tblW w:w="0" w:type="auto"/>
          <w:tblInd w:w="482" w:type="dxa"/>
          <w:tblLayout w:type="fixed"/>
          <w:tblCellMar>
            <w:left w:w="0" w:type="dxa"/>
            <w:right w:w="0" w:type="dxa"/>
          </w:tblCellMar>
          <w:tblLook w:val="01E0"/>
        </w:tblPrEx>
        <w:trPr>
          <w:trHeight w:val="286"/>
        </w:trPr>
        <w:tc>
          <w:tcPr>
            <w:tcW w:w="3901" w:type="dxa"/>
          </w:tcPr>
          <w:p w:rsidR="003F5784" w14:paraId="7C066768" w14:textId="77777777">
            <w:pPr>
              <w:pStyle w:val="TableParagraph"/>
              <w:ind w:left="120"/>
              <w:jc w:val="left"/>
              <w:rPr>
                <w:sz w:val="21"/>
              </w:rPr>
            </w:pPr>
            <w:r>
              <w:rPr>
                <w:spacing w:val="-4"/>
                <w:sz w:val="21"/>
              </w:rPr>
              <w:t>2001</w:t>
            </w:r>
          </w:p>
        </w:tc>
        <w:tc>
          <w:tcPr>
            <w:tcW w:w="6665" w:type="dxa"/>
          </w:tcPr>
          <w:p w:rsidR="003F5784" w14:paraId="1CB9FB24" w14:textId="77777777">
            <w:pPr>
              <w:pStyle w:val="TableParagraph"/>
              <w:ind w:right="2934"/>
              <w:rPr>
                <w:sz w:val="21"/>
              </w:rPr>
            </w:pPr>
            <w:r>
              <w:rPr>
                <w:spacing w:val="-2"/>
                <w:sz w:val="21"/>
              </w:rPr>
              <w:t>2,000</w:t>
            </w:r>
          </w:p>
        </w:tc>
        <w:tc>
          <w:tcPr>
            <w:tcW w:w="3420" w:type="dxa"/>
          </w:tcPr>
          <w:p w:rsidR="003F5784" w14:paraId="25E45F62" w14:textId="77777777">
            <w:pPr>
              <w:pStyle w:val="TableParagraph"/>
              <w:ind w:right="119"/>
              <w:rPr>
                <w:sz w:val="21"/>
              </w:rPr>
            </w:pPr>
            <w:r>
              <w:rPr>
                <w:spacing w:val="-4"/>
                <w:sz w:val="21"/>
              </w:rPr>
              <w:t>0.02</w:t>
            </w:r>
          </w:p>
        </w:tc>
      </w:tr>
      <w:tr w14:paraId="35C997B7" w14:textId="77777777">
        <w:tblPrEx>
          <w:tblW w:w="0" w:type="auto"/>
          <w:tblInd w:w="482" w:type="dxa"/>
          <w:tblLayout w:type="fixed"/>
          <w:tblCellMar>
            <w:left w:w="0" w:type="dxa"/>
            <w:right w:w="0" w:type="dxa"/>
          </w:tblCellMar>
          <w:tblLook w:val="01E0"/>
        </w:tblPrEx>
        <w:trPr>
          <w:trHeight w:val="286"/>
        </w:trPr>
        <w:tc>
          <w:tcPr>
            <w:tcW w:w="3901" w:type="dxa"/>
          </w:tcPr>
          <w:p w:rsidR="003F5784" w14:paraId="434E1A99" w14:textId="77777777">
            <w:pPr>
              <w:pStyle w:val="TableParagraph"/>
              <w:ind w:left="120"/>
              <w:jc w:val="left"/>
              <w:rPr>
                <w:sz w:val="21"/>
              </w:rPr>
            </w:pPr>
            <w:r>
              <w:rPr>
                <w:spacing w:val="-4"/>
                <w:sz w:val="21"/>
              </w:rPr>
              <w:t>2002</w:t>
            </w:r>
          </w:p>
        </w:tc>
        <w:tc>
          <w:tcPr>
            <w:tcW w:w="6665" w:type="dxa"/>
          </w:tcPr>
          <w:p w:rsidR="003F5784" w14:paraId="265F31DB" w14:textId="77777777">
            <w:pPr>
              <w:pStyle w:val="TableParagraph"/>
              <w:ind w:right="2934"/>
              <w:rPr>
                <w:sz w:val="21"/>
              </w:rPr>
            </w:pPr>
            <w:r>
              <w:rPr>
                <w:spacing w:val="-2"/>
                <w:sz w:val="21"/>
              </w:rPr>
              <w:t>46,000</w:t>
            </w:r>
          </w:p>
        </w:tc>
        <w:tc>
          <w:tcPr>
            <w:tcW w:w="3420" w:type="dxa"/>
          </w:tcPr>
          <w:p w:rsidR="003F5784" w14:paraId="2D0862F8" w14:textId="77777777">
            <w:pPr>
              <w:pStyle w:val="TableParagraph"/>
              <w:ind w:right="119"/>
              <w:rPr>
                <w:sz w:val="21"/>
              </w:rPr>
            </w:pPr>
            <w:r>
              <w:rPr>
                <w:spacing w:val="-4"/>
                <w:sz w:val="21"/>
              </w:rPr>
              <w:t>0.41</w:t>
            </w:r>
          </w:p>
        </w:tc>
      </w:tr>
      <w:tr w14:paraId="1FB39432" w14:textId="77777777">
        <w:tblPrEx>
          <w:tblW w:w="0" w:type="auto"/>
          <w:tblInd w:w="482" w:type="dxa"/>
          <w:tblLayout w:type="fixed"/>
          <w:tblCellMar>
            <w:left w:w="0" w:type="dxa"/>
            <w:right w:w="0" w:type="dxa"/>
          </w:tblCellMar>
          <w:tblLook w:val="01E0"/>
        </w:tblPrEx>
        <w:trPr>
          <w:trHeight w:val="286"/>
        </w:trPr>
        <w:tc>
          <w:tcPr>
            <w:tcW w:w="3901" w:type="dxa"/>
          </w:tcPr>
          <w:p w:rsidR="003F5784" w14:paraId="11CE163C" w14:textId="77777777">
            <w:pPr>
              <w:pStyle w:val="TableParagraph"/>
              <w:ind w:left="120"/>
              <w:jc w:val="left"/>
              <w:rPr>
                <w:sz w:val="21"/>
              </w:rPr>
            </w:pPr>
            <w:r>
              <w:rPr>
                <w:spacing w:val="-4"/>
                <w:sz w:val="21"/>
              </w:rPr>
              <w:t>2003</w:t>
            </w:r>
          </w:p>
        </w:tc>
        <w:tc>
          <w:tcPr>
            <w:tcW w:w="6665" w:type="dxa"/>
          </w:tcPr>
          <w:p w:rsidR="003F5784" w14:paraId="2A37AB9A" w14:textId="77777777">
            <w:pPr>
              <w:pStyle w:val="TableParagraph"/>
              <w:ind w:right="2934"/>
              <w:rPr>
                <w:sz w:val="21"/>
              </w:rPr>
            </w:pPr>
            <w:r>
              <w:rPr>
                <w:spacing w:val="-2"/>
                <w:sz w:val="21"/>
              </w:rPr>
              <w:t>63,000</w:t>
            </w:r>
          </w:p>
        </w:tc>
        <w:tc>
          <w:tcPr>
            <w:tcW w:w="3420" w:type="dxa"/>
          </w:tcPr>
          <w:p w:rsidR="003F5784" w14:paraId="34BF0871" w14:textId="77777777">
            <w:pPr>
              <w:pStyle w:val="TableParagraph"/>
              <w:ind w:right="119"/>
              <w:rPr>
                <w:sz w:val="21"/>
              </w:rPr>
            </w:pPr>
            <w:r>
              <w:rPr>
                <w:spacing w:val="-4"/>
                <w:sz w:val="21"/>
              </w:rPr>
              <w:t>0.57</w:t>
            </w:r>
          </w:p>
        </w:tc>
      </w:tr>
      <w:tr w14:paraId="52113E83" w14:textId="77777777">
        <w:tblPrEx>
          <w:tblW w:w="0" w:type="auto"/>
          <w:tblInd w:w="482" w:type="dxa"/>
          <w:tblLayout w:type="fixed"/>
          <w:tblCellMar>
            <w:left w:w="0" w:type="dxa"/>
            <w:right w:w="0" w:type="dxa"/>
          </w:tblCellMar>
          <w:tblLook w:val="01E0"/>
        </w:tblPrEx>
        <w:trPr>
          <w:trHeight w:val="288"/>
        </w:trPr>
        <w:tc>
          <w:tcPr>
            <w:tcW w:w="3901" w:type="dxa"/>
            <w:tcBorders>
              <w:bottom w:val="single" w:sz="18" w:space="0" w:color="800000"/>
            </w:tcBorders>
          </w:tcPr>
          <w:p w:rsidR="003F5784" w14:paraId="4748FE08" w14:textId="77777777">
            <w:pPr>
              <w:pStyle w:val="TableParagraph"/>
              <w:ind w:left="120"/>
              <w:jc w:val="left"/>
              <w:rPr>
                <w:sz w:val="21"/>
              </w:rPr>
            </w:pPr>
            <w:r>
              <w:rPr>
                <w:spacing w:val="-4"/>
                <w:sz w:val="21"/>
              </w:rPr>
              <w:t>2004</w:t>
            </w:r>
          </w:p>
        </w:tc>
        <w:tc>
          <w:tcPr>
            <w:tcW w:w="6665" w:type="dxa"/>
            <w:tcBorders>
              <w:bottom w:val="single" w:sz="18" w:space="0" w:color="800000"/>
            </w:tcBorders>
          </w:tcPr>
          <w:p w:rsidR="003F5784" w14:paraId="564657C4" w14:textId="77777777">
            <w:pPr>
              <w:pStyle w:val="TableParagraph"/>
              <w:ind w:right="2934"/>
              <w:rPr>
                <w:sz w:val="21"/>
              </w:rPr>
            </w:pPr>
            <w:r>
              <w:rPr>
                <w:spacing w:val="-5"/>
                <w:sz w:val="21"/>
              </w:rPr>
              <w:t>418</w:t>
            </w:r>
          </w:p>
        </w:tc>
        <w:tc>
          <w:tcPr>
            <w:tcW w:w="3420" w:type="dxa"/>
            <w:tcBorders>
              <w:bottom w:val="single" w:sz="18" w:space="0" w:color="800000"/>
            </w:tcBorders>
          </w:tcPr>
          <w:p w:rsidR="003F5784" w14:paraId="63A1D264" w14:textId="77777777">
            <w:pPr>
              <w:pStyle w:val="TableParagraph"/>
              <w:ind w:right="119"/>
              <w:rPr>
                <w:sz w:val="21"/>
              </w:rPr>
            </w:pPr>
            <w:r>
              <w:rPr>
                <w:spacing w:val="-10"/>
                <w:sz w:val="21"/>
              </w:rPr>
              <w:t>#</w:t>
            </w:r>
          </w:p>
        </w:tc>
      </w:tr>
      <w:tr w14:paraId="3681135B" w14:textId="77777777">
        <w:tblPrEx>
          <w:tblW w:w="0" w:type="auto"/>
          <w:tblInd w:w="482" w:type="dxa"/>
          <w:tblLayout w:type="fixed"/>
          <w:tblCellMar>
            <w:left w:w="0" w:type="dxa"/>
            <w:right w:w="0" w:type="dxa"/>
          </w:tblCellMar>
          <w:tblLook w:val="01E0"/>
        </w:tblPrEx>
        <w:trPr>
          <w:trHeight w:val="237"/>
        </w:trPr>
        <w:tc>
          <w:tcPr>
            <w:tcW w:w="13986" w:type="dxa"/>
            <w:gridSpan w:val="3"/>
            <w:tcBorders>
              <w:top w:val="single" w:sz="18" w:space="0" w:color="800000"/>
            </w:tcBorders>
          </w:tcPr>
          <w:p w:rsidR="003F5784" w14:paraId="7A980EEA"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r>
    </w:tbl>
    <w:p w:rsidR="003F5784" w14:paraId="10D056B7" w14:textId="77777777">
      <w:pPr>
        <w:pStyle w:val="BodyText"/>
        <w:spacing w:line="233"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239B56FD"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1964FDB5" w14:textId="77777777">
      <w:pPr>
        <w:pStyle w:val="BodyText"/>
        <w:spacing w:before="118"/>
      </w:pPr>
    </w:p>
    <w:p w:rsidR="003F5784" w14:paraId="5265BB68" w14:textId="77777777">
      <w:pPr>
        <w:pStyle w:val="Heading2"/>
      </w:pPr>
      <w:r>
        <w:t>Weighted</w:t>
      </w:r>
      <w:r>
        <w:rPr>
          <w:spacing w:val="-10"/>
        </w:rPr>
        <w:t xml:space="preserve"> </w:t>
      </w:r>
      <w:r>
        <w:t>aggregations</w:t>
      </w:r>
      <w:r>
        <w:rPr>
          <w:spacing w:val="-9"/>
        </w:rPr>
        <w:t xml:space="preserve"> </w:t>
      </w:r>
      <w:r>
        <w:t>and</w:t>
      </w:r>
      <w:r>
        <w:rPr>
          <w:spacing w:val="-9"/>
        </w:rPr>
        <w:t xml:space="preserve"> </w:t>
      </w:r>
      <w:r>
        <w:t>proportions</w:t>
      </w:r>
      <w:r>
        <w:rPr>
          <w:spacing w:val="-9"/>
        </w:rPr>
        <w:t xml:space="preserve"> </w:t>
      </w:r>
      <w:r>
        <w:t>from</w:t>
      </w:r>
      <w:r>
        <w:rPr>
          <w:spacing w:val="-9"/>
        </w:rPr>
        <w:t xml:space="preserve"> </w:t>
      </w:r>
      <w:r>
        <w:t>the</w:t>
      </w:r>
      <w:r>
        <w:rPr>
          <w:spacing w:val="-9"/>
        </w:rPr>
        <w:t xml:space="preserve"> </w:t>
      </w:r>
      <w:r>
        <w:t>grade</w:t>
      </w:r>
      <w:r>
        <w:rPr>
          <w:spacing w:val="-9"/>
        </w:rPr>
        <w:t xml:space="preserve"> </w:t>
      </w:r>
      <w:r>
        <w:t>8</w:t>
      </w:r>
      <w:r>
        <w:rPr>
          <w:spacing w:val="-9"/>
        </w:rPr>
        <w:t xml:space="preserve"> </w:t>
      </w:r>
      <w:r>
        <w:t>reading</w:t>
      </w:r>
      <w:r>
        <w:rPr>
          <w:spacing w:val="-10"/>
        </w:rPr>
        <w:t xml:space="preserve"> </w:t>
      </w:r>
      <w:r>
        <w:t>and</w:t>
      </w:r>
      <w:r>
        <w:rPr>
          <w:spacing w:val="-9"/>
        </w:rPr>
        <w:t xml:space="preserve"> </w:t>
      </w:r>
      <w:r>
        <w:t>mathematics</w:t>
      </w:r>
      <w:r>
        <w:rPr>
          <w:spacing w:val="-9"/>
        </w:rPr>
        <w:t xml:space="preserve"> </w:t>
      </w:r>
      <w:r>
        <w:t>assessments,</w:t>
      </w:r>
      <w:r>
        <w:rPr>
          <w:spacing w:val="-9"/>
        </w:rPr>
        <w:t xml:space="preserve"> </w:t>
      </w:r>
      <w:r>
        <w:t>private</w:t>
      </w:r>
      <w:r>
        <w:rPr>
          <w:spacing w:val="-9"/>
        </w:rPr>
        <w:t xml:space="preserve"> </w:t>
      </w:r>
      <w:r>
        <w:t>schools</w:t>
      </w:r>
      <w:r>
        <w:rPr>
          <w:spacing w:val="-13"/>
        </w:rPr>
        <w:t xml:space="preserve"> </w:t>
      </w:r>
      <w:r>
        <w:t>West</w:t>
      </w:r>
      <w:r>
        <w:rPr>
          <w:spacing w:val="-9"/>
        </w:rPr>
        <w:t xml:space="preserve"> </w:t>
      </w:r>
      <w:r>
        <w:t>region,</w:t>
      </w:r>
      <w:r>
        <w:rPr>
          <w:spacing w:val="-9"/>
        </w:rPr>
        <w:t xml:space="preserve"> </w:t>
      </w:r>
      <w:r>
        <w:t>by</w:t>
      </w:r>
      <w:r>
        <w:rPr>
          <w:spacing w:val="-9"/>
        </w:rPr>
        <w:t xml:space="preserve"> </w:t>
      </w:r>
      <w:r>
        <w:t>year</w:t>
      </w:r>
      <w:r>
        <w:rPr>
          <w:spacing w:val="-12"/>
        </w:rPr>
        <w:t xml:space="preserve"> </w:t>
      </w:r>
      <w:r>
        <w:t>of</w:t>
      </w:r>
      <w:r>
        <w:rPr>
          <w:spacing w:val="-9"/>
        </w:rPr>
        <w:t xml:space="preserve"> </w:t>
      </w:r>
      <w:r>
        <w:t>birth:</w:t>
      </w:r>
      <w:r>
        <w:rPr>
          <w:spacing w:val="-10"/>
        </w:rPr>
        <w:t xml:space="preserve"> </w:t>
      </w:r>
      <w:r>
        <w:rPr>
          <w:spacing w:val="-4"/>
        </w:rPr>
        <w:t>2017</w:t>
      </w:r>
    </w:p>
    <w:p w:rsidR="003F5784" w14:paraId="23D35688"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3928"/>
        <w:gridCol w:w="5915"/>
        <w:gridCol w:w="4140"/>
      </w:tblGrid>
      <w:tr w14:paraId="2A7E8B87" w14:textId="77777777" w:rsidTr="008F0E55">
        <w:tblPrEx>
          <w:tblW w:w="0" w:type="auto"/>
          <w:tblInd w:w="482" w:type="dxa"/>
          <w:tblLayout w:type="fixed"/>
          <w:tblCellMar>
            <w:left w:w="0" w:type="dxa"/>
            <w:right w:w="0" w:type="dxa"/>
          </w:tblCellMar>
          <w:tblLook w:val="01E0"/>
        </w:tblPrEx>
        <w:trPr>
          <w:trHeight w:val="267"/>
        </w:trPr>
        <w:tc>
          <w:tcPr>
            <w:tcW w:w="3928" w:type="dxa"/>
            <w:tcBorders>
              <w:top w:val="single" w:sz="18" w:space="0" w:color="800000"/>
              <w:bottom w:val="single" w:sz="18" w:space="0" w:color="800000"/>
            </w:tcBorders>
          </w:tcPr>
          <w:p w:rsidR="003F5784" w14:paraId="7DAB5966" w14:textId="77777777">
            <w:pPr>
              <w:pStyle w:val="TableParagraph"/>
              <w:spacing w:before="9" w:line="238" w:lineRule="exact"/>
              <w:ind w:left="120"/>
              <w:jc w:val="left"/>
              <w:rPr>
                <w:sz w:val="21"/>
              </w:rPr>
            </w:pPr>
            <w:r>
              <w:rPr>
                <w:spacing w:val="-2"/>
                <w:sz w:val="21"/>
              </w:rPr>
              <w:t>Year</w:t>
            </w:r>
            <w:r>
              <w:rPr>
                <w:spacing w:val="-9"/>
                <w:sz w:val="21"/>
              </w:rPr>
              <w:t xml:space="preserve"> </w:t>
            </w:r>
            <w:r>
              <w:rPr>
                <w:spacing w:val="-2"/>
                <w:sz w:val="21"/>
              </w:rPr>
              <w:t>of</w:t>
            </w:r>
            <w:r>
              <w:rPr>
                <w:spacing w:val="-8"/>
                <w:sz w:val="21"/>
              </w:rPr>
              <w:t xml:space="preserve"> </w:t>
            </w:r>
            <w:r>
              <w:rPr>
                <w:spacing w:val="-2"/>
                <w:sz w:val="21"/>
              </w:rPr>
              <w:t>birth</w:t>
            </w:r>
          </w:p>
        </w:tc>
        <w:tc>
          <w:tcPr>
            <w:tcW w:w="5915" w:type="dxa"/>
            <w:tcBorders>
              <w:top w:val="single" w:sz="18" w:space="0" w:color="800000"/>
              <w:bottom w:val="single" w:sz="18" w:space="0" w:color="800000"/>
            </w:tcBorders>
          </w:tcPr>
          <w:p w:rsidR="003F5784" w14:paraId="31918E86" w14:textId="77777777">
            <w:pPr>
              <w:pStyle w:val="TableParagraph"/>
              <w:spacing w:before="9" w:line="238" w:lineRule="exact"/>
              <w:ind w:right="2211"/>
              <w:rPr>
                <w:sz w:val="21"/>
              </w:rPr>
            </w:pPr>
            <w:r>
              <w:rPr>
                <w:spacing w:val="-2"/>
                <w:sz w:val="21"/>
              </w:rPr>
              <w:t>Weighted</w:t>
            </w:r>
            <w:r>
              <w:rPr>
                <w:spacing w:val="-11"/>
                <w:sz w:val="21"/>
              </w:rPr>
              <w:t xml:space="preserve"> </w:t>
            </w:r>
            <w:r>
              <w:rPr>
                <w:spacing w:val="-2"/>
                <w:sz w:val="21"/>
              </w:rPr>
              <w:t>aggregations</w:t>
            </w:r>
          </w:p>
        </w:tc>
        <w:tc>
          <w:tcPr>
            <w:tcW w:w="4140" w:type="dxa"/>
            <w:tcBorders>
              <w:top w:val="single" w:sz="18" w:space="0" w:color="800000"/>
              <w:bottom w:val="single" w:sz="18" w:space="0" w:color="800000"/>
            </w:tcBorders>
          </w:tcPr>
          <w:p w:rsidR="003F5784" w14:paraId="381576E2" w14:textId="77777777">
            <w:pPr>
              <w:pStyle w:val="TableParagraph"/>
              <w:spacing w:before="9" w:line="238" w:lineRule="exact"/>
              <w:ind w:right="116"/>
              <w:rPr>
                <w:sz w:val="21"/>
              </w:rPr>
            </w:pPr>
            <w:r>
              <w:rPr>
                <w:spacing w:val="-2"/>
                <w:sz w:val="21"/>
              </w:rPr>
              <w:t>Weighted</w:t>
            </w:r>
            <w:r>
              <w:rPr>
                <w:spacing w:val="-11"/>
                <w:sz w:val="21"/>
              </w:rPr>
              <w:t xml:space="preserve"> </w:t>
            </w:r>
            <w:r>
              <w:rPr>
                <w:spacing w:val="-2"/>
                <w:sz w:val="21"/>
              </w:rPr>
              <w:t>proportions</w:t>
            </w:r>
          </w:p>
        </w:tc>
      </w:tr>
      <w:tr w14:paraId="754BBF29" w14:textId="77777777" w:rsidTr="008F0E55">
        <w:tblPrEx>
          <w:tblW w:w="0" w:type="auto"/>
          <w:tblInd w:w="482" w:type="dxa"/>
          <w:tblLayout w:type="fixed"/>
          <w:tblCellMar>
            <w:left w:w="0" w:type="dxa"/>
            <w:right w:w="0" w:type="dxa"/>
          </w:tblCellMar>
          <w:tblLook w:val="01E0"/>
        </w:tblPrEx>
        <w:trPr>
          <w:trHeight w:val="278"/>
        </w:trPr>
        <w:tc>
          <w:tcPr>
            <w:tcW w:w="3928" w:type="dxa"/>
            <w:tcBorders>
              <w:top w:val="single" w:sz="18" w:space="0" w:color="800000"/>
            </w:tcBorders>
          </w:tcPr>
          <w:p w:rsidR="003F5784" w14:paraId="53BB8233" w14:textId="77777777">
            <w:pPr>
              <w:pStyle w:val="TableParagraph"/>
              <w:spacing w:before="9"/>
              <w:ind w:left="370"/>
              <w:jc w:val="left"/>
              <w:rPr>
                <w:b/>
                <w:sz w:val="21"/>
              </w:rPr>
            </w:pPr>
            <w:r>
              <w:rPr>
                <w:b/>
                <w:spacing w:val="-2"/>
                <w:sz w:val="21"/>
              </w:rPr>
              <w:t>Total</w:t>
            </w:r>
          </w:p>
        </w:tc>
        <w:tc>
          <w:tcPr>
            <w:tcW w:w="5915" w:type="dxa"/>
            <w:tcBorders>
              <w:top w:val="single" w:sz="18" w:space="0" w:color="800000"/>
            </w:tcBorders>
          </w:tcPr>
          <w:p w:rsidR="003F5784" w14:paraId="5B7EB54B" w14:textId="77777777">
            <w:pPr>
              <w:pStyle w:val="TableParagraph"/>
              <w:spacing w:before="9"/>
              <w:ind w:right="2211"/>
              <w:rPr>
                <w:b/>
                <w:sz w:val="21"/>
              </w:rPr>
            </w:pPr>
            <w:r>
              <w:rPr>
                <w:b/>
                <w:spacing w:val="-2"/>
                <w:sz w:val="21"/>
              </w:rPr>
              <w:t>52,000</w:t>
            </w:r>
          </w:p>
        </w:tc>
        <w:tc>
          <w:tcPr>
            <w:tcW w:w="4140" w:type="dxa"/>
            <w:tcBorders>
              <w:top w:val="single" w:sz="18" w:space="0" w:color="800000"/>
            </w:tcBorders>
          </w:tcPr>
          <w:p w:rsidR="003F5784" w14:paraId="26FDE520" w14:textId="77777777">
            <w:pPr>
              <w:pStyle w:val="TableParagraph"/>
              <w:spacing w:before="9"/>
              <w:ind w:right="116"/>
              <w:rPr>
                <w:b/>
                <w:sz w:val="21"/>
              </w:rPr>
            </w:pPr>
            <w:r>
              <w:rPr>
                <w:b/>
                <w:spacing w:val="-4"/>
                <w:sz w:val="21"/>
              </w:rPr>
              <w:t>1.00</w:t>
            </w:r>
          </w:p>
        </w:tc>
      </w:tr>
      <w:tr w14:paraId="79CBECDA" w14:textId="77777777" w:rsidTr="008F0E55">
        <w:tblPrEx>
          <w:tblW w:w="0" w:type="auto"/>
          <w:tblInd w:w="482" w:type="dxa"/>
          <w:tblLayout w:type="fixed"/>
          <w:tblCellMar>
            <w:left w:w="0" w:type="dxa"/>
            <w:right w:w="0" w:type="dxa"/>
          </w:tblCellMar>
          <w:tblLook w:val="01E0"/>
        </w:tblPrEx>
        <w:trPr>
          <w:trHeight w:val="286"/>
        </w:trPr>
        <w:tc>
          <w:tcPr>
            <w:tcW w:w="3928" w:type="dxa"/>
          </w:tcPr>
          <w:p w:rsidR="003F5784" w14:paraId="75F16D1F" w14:textId="77777777">
            <w:pPr>
              <w:pStyle w:val="TableParagraph"/>
              <w:ind w:left="120"/>
              <w:jc w:val="left"/>
              <w:rPr>
                <w:sz w:val="21"/>
              </w:rPr>
            </w:pPr>
            <w:r>
              <w:rPr>
                <w:spacing w:val="-4"/>
                <w:sz w:val="21"/>
              </w:rPr>
              <w:t>2000</w:t>
            </w:r>
          </w:p>
        </w:tc>
        <w:tc>
          <w:tcPr>
            <w:tcW w:w="5915" w:type="dxa"/>
          </w:tcPr>
          <w:p w:rsidR="003F5784" w14:paraId="49F42763" w14:textId="77777777">
            <w:pPr>
              <w:pStyle w:val="TableParagraph"/>
              <w:ind w:right="2211"/>
              <w:rPr>
                <w:sz w:val="21"/>
              </w:rPr>
            </w:pPr>
            <w:r>
              <w:rPr>
                <w:spacing w:val="-5"/>
                <w:sz w:val="21"/>
              </w:rPr>
              <w:t>29</w:t>
            </w:r>
          </w:p>
        </w:tc>
        <w:tc>
          <w:tcPr>
            <w:tcW w:w="4140" w:type="dxa"/>
          </w:tcPr>
          <w:p w:rsidR="003F5784" w14:paraId="3697D4CF" w14:textId="77777777">
            <w:pPr>
              <w:pStyle w:val="TableParagraph"/>
              <w:ind w:right="116"/>
              <w:rPr>
                <w:sz w:val="21"/>
              </w:rPr>
            </w:pPr>
            <w:r>
              <w:rPr>
                <w:spacing w:val="-10"/>
                <w:sz w:val="21"/>
              </w:rPr>
              <w:t>#</w:t>
            </w:r>
          </w:p>
        </w:tc>
      </w:tr>
      <w:tr w14:paraId="40F64F18" w14:textId="77777777" w:rsidTr="008F0E55">
        <w:tblPrEx>
          <w:tblW w:w="0" w:type="auto"/>
          <w:tblInd w:w="482" w:type="dxa"/>
          <w:tblLayout w:type="fixed"/>
          <w:tblCellMar>
            <w:left w:w="0" w:type="dxa"/>
            <w:right w:w="0" w:type="dxa"/>
          </w:tblCellMar>
          <w:tblLook w:val="01E0"/>
        </w:tblPrEx>
        <w:trPr>
          <w:trHeight w:val="286"/>
        </w:trPr>
        <w:tc>
          <w:tcPr>
            <w:tcW w:w="3928" w:type="dxa"/>
          </w:tcPr>
          <w:p w:rsidR="003F5784" w14:paraId="1F4A575E" w14:textId="77777777">
            <w:pPr>
              <w:pStyle w:val="TableParagraph"/>
              <w:ind w:left="120"/>
              <w:jc w:val="left"/>
              <w:rPr>
                <w:sz w:val="21"/>
              </w:rPr>
            </w:pPr>
            <w:r>
              <w:rPr>
                <w:spacing w:val="-4"/>
                <w:sz w:val="21"/>
              </w:rPr>
              <w:t>2001</w:t>
            </w:r>
          </w:p>
        </w:tc>
        <w:tc>
          <w:tcPr>
            <w:tcW w:w="5915" w:type="dxa"/>
          </w:tcPr>
          <w:p w:rsidR="003F5784" w14:paraId="0206617B" w14:textId="77777777">
            <w:pPr>
              <w:pStyle w:val="TableParagraph"/>
              <w:ind w:right="2211"/>
              <w:rPr>
                <w:sz w:val="21"/>
              </w:rPr>
            </w:pPr>
            <w:r>
              <w:rPr>
                <w:spacing w:val="-5"/>
                <w:sz w:val="21"/>
              </w:rPr>
              <w:t>503</w:t>
            </w:r>
          </w:p>
        </w:tc>
        <w:tc>
          <w:tcPr>
            <w:tcW w:w="4140" w:type="dxa"/>
          </w:tcPr>
          <w:p w:rsidR="003F5784" w14:paraId="49D6653A" w14:textId="77777777">
            <w:pPr>
              <w:pStyle w:val="TableParagraph"/>
              <w:ind w:right="116"/>
              <w:rPr>
                <w:sz w:val="21"/>
              </w:rPr>
            </w:pPr>
            <w:r>
              <w:rPr>
                <w:spacing w:val="-4"/>
                <w:sz w:val="21"/>
              </w:rPr>
              <w:t>0.01</w:t>
            </w:r>
          </w:p>
        </w:tc>
      </w:tr>
      <w:tr w14:paraId="1A7183A3" w14:textId="77777777" w:rsidTr="008F0E55">
        <w:tblPrEx>
          <w:tblW w:w="0" w:type="auto"/>
          <w:tblInd w:w="482" w:type="dxa"/>
          <w:tblLayout w:type="fixed"/>
          <w:tblCellMar>
            <w:left w:w="0" w:type="dxa"/>
            <w:right w:w="0" w:type="dxa"/>
          </w:tblCellMar>
          <w:tblLook w:val="01E0"/>
        </w:tblPrEx>
        <w:trPr>
          <w:trHeight w:val="286"/>
        </w:trPr>
        <w:tc>
          <w:tcPr>
            <w:tcW w:w="3928" w:type="dxa"/>
          </w:tcPr>
          <w:p w:rsidR="003F5784" w14:paraId="44452136" w14:textId="77777777">
            <w:pPr>
              <w:pStyle w:val="TableParagraph"/>
              <w:ind w:left="120"/>
              <w:jc w:val="left"/>
              <w:rPr>
                <w:sz w:val="21"/>
              </w:rPr>
            </w:pPr>
            <w:r>
              <w:rPr>
                <w:spacing w:val="-4"/>
                <w:sz w:val="21"/>
              </w:rPr>
              <w:t>2002</w:t>
            </w:r>
          </w:p>
        </w:tc>
        <w:tc>
          <w:tcPr>
            <w:tcW w:w="5915" w:type="dxa"/>
          </w:tcPr>
          <w:p w:rsidR="003F5784" w14:paraId="2B17F820" w14:textId="77777777">
            <w:pPr>
              <w:pStyle w:val="TableParagraph"/>
              <w:ind w:right="2211"/>
              <w:rPr>
                <w:sz w:val="21"/>
              </w:rPr>
            </w:pPr>
            <w:r>
              <w:rPr>
                <w:spacing w:val="-2"/>
                <w:sz w:val="21"/>
              </w:rPr>
              <w:t>15,000</w:t>
            </w:r>
          </w:p>
        </w:tc>
        <w:tc>
          <w:tcPr>
            <w:tcW w:w="4140" w:type="dxa"/>
          </w:tcPr>
          <w:p w:rsidR="003F5784" w14:paraId="51969F7E" w14:textId="77777777">
            <w:pPr>
              <w:pStyle w:val="TableParagraph"/>
              <w:ind w:right="116"/>
              <w:rPr>
                <w:sz w:val="21"/>
              </w:rPr>
            </w:pPr>
            <w:r>
              <w:rPr>
                <w:spacing w:val="-4"/>
                <w:sz w:val="21"/>
              </w:rPr>
              <w:t>0.28</w:t>
            </w:r>
          </w:p>
        </w:tc>
      </w:tr>
      <w:tr w14:paraId="77263598" w14:textId="77777777" w:rsidTr="008F0E55">
        <w:tblPrEx>
          <w:tblW w:w="0" w:type="auto"/>
          <w:tblInd w:w="482" w:type="dxa"/>
          <w:tblLayout w:type="fixed"/>
          <w:tblCellMar>
            <w:left w:w="0" w:type="dxa"/>
            <w:right w:w="0" w:type="dxa"/>
          </w:tblCellMar>
          <w:tblLook w:val="01E0"/>
        </w:tblPrEx>
        <w:trPr>
          <w:trHeight w:val="286"/>
        </w:trPr>
        <w:tc>
          <w:tcPr>
            <w:tcW w:w="3928" w:type="dxa"/>
          </w:tcPr>
          <w:p w:rsidR="003F5784" w14:paraId="0FD3B60C" w14:textId="77777777">
            <w:pPr>
              <w:pStyle w:val="TableParagraph"/>
              <w:ind w:left="120"/>
              <w:jc w:val="left"/>
              <w:rPr>
                <w:sz w:val="21"/>
              </w:rPr>
            </w:pPr>
            <w:r>
              <w:rPr>
                <w:spacing w:val="-4"/>
                <w:sz w:val="21"/>
              </w:rPr>
              <w:t>2003</w:t>
            </w:r>
          </w:p>
        </w:tc>
        <w:tc>
          <w:tcPr>
            <w:tcW w:w="5915" w:type="dxa"/>
          </w:tcPr>
          <w:p w:rsidR="003F5784" w14:paraId="47FB95D1" w14:textId="77777777">
            <w:pPr>
              <w:pStyle w:val="TableParagraph"/>
              <w:ind w:right="2211"/>
              <w:rPr>
                <w:sz w:val="21"/>
              </w:rPr>
            </w:pPr>
            <w:r>
              <w:rPr>
                <w:spacing w:val="-2"/>
                <w:sz w:val="21"/>
              </w:rPr>
              <w:t>37,000</w:t>
            </w:r>
          </w:p>
        </w:tc>
        <w:tc>
          <w:tcPr>
            <w:tcW w:w="4140" w:type="dxa"/>
          </w:tcPr>
          <w:p w:rsidR="003F5784" w14:paraId="19AF5A41" w14:textId="77777777">
            <w:pPr>
              <w:pStyle w:val="TableParagraph"/>
              <w:ind w:right="116"/>
              <w:rPr>
                <w:sz w:val="21"/>
              </w:rPr>
            </w:pPr>
            <w:r>
              <w:rPr>
                <w:spacing w:val="-4"/>
                <w:sz w:val="21"/>
              </w:rPr>
              <w:t>0.70</w:t>
            </w:r>
          </w:p>
        </w:tc>
      </w:tr>
      <w:tr w14:paraId="286B6B82" w14:textId="77777777" w:rsidTr="008F0E55">
        <w:tblPrEx>
          <w:tblW w:w="0" w:type="auto"/>
          <w:tblInd w:w="482" w:type="dxa"/>
          <w:tblLayout w:type="fixed"/>
          <w:tblCellMar>
            <w:left w:w="0" w:type="dxa"/>
            <w:right w:w="0" w:type="dxa"/>
          </w:tblCellMar>
          <w:tblLook w:val="01E0"/>
        </w:tblPrEx>
        <w:trPr>
          <w:trHeight w:val="288"/>
        </w:trPr>
        <w:tc>
          <w:tcPr>
            <w:tcW w:w="3928" w:type="dxa"/>
            <w:tcBorders>
              <w:bottom w:val="single" w:sz="18" w:space="0" w:color="800000"/>
            </w:tcBorders>
          </w:tcPr>
          <w:p w:rsidR="003F5784" w14:paraId="0FE2FB16" w14:textId="77777777">
            <w:pPr>
              <w:pStyle w:val="TableParagraph"/>
              <w:ind w:left="120"/>
              <w:jc w:val="left"/>
              <w:rPr>
                <w:sz w:val="21"/>
              </w:rPr>
            </w:pPr>
            <w:r>
              <w:rPr>
                <w:spacing w:val="-4"/>
                <w:sz w:val="21"/>
              </w:rPr>
              <w:t>2004</w:t>
            </w:r>
          </w:p>
        </w:tc>
        <w:tc>
          <w:tcPr>
            <w:tcW w:w="5915" w:type="dxa"/>
            <w:tcBorders>
              <w:bottom w:val="single" w:sz="18" w:space="0" w:color="800000"/>
            </w:tcBorders>
          </w:tcPr>
          <w:p w:rsidR="003F5784" w14:paraId="11C74001" w14:textId="77777777">
            <w:pPr>
              <w:pStyle w:val="TableParagraph"/>
              <w:ind w:right="2211"/>
              <w:rPr>
                <w:sz w:val="21"/>
              </w:rPr>
            </w:pPr>
            <w:r>
              <w:rPr>
                <w:spacing w:val="-5"/>
                <w:sz w:val="21"/>
              </w:rPr>
              <w:t>272</w:t>
            </w:r>
          </w:p>
        </w:tc>
        <w:tc>
          <w:tcPr>
            <w:tcW w:w="4140" w:type="dxa"/>
            <w:tcBorders>
              <w:bottom w:val="single" w:sz="18" w:space="0" w:color="800000"/>
            </w:tcBorders>
          </w:tcPr>
          <w:p w:rsidR="003F5784" w14:paraId="23EF2501" w14:textId="77777777">
            <w:pPr>
              <w:pStyle w:val="TableParagraph"/>
              <w:ind w:right="116"/>
              <w:rPr>
                <w:sz w:val="21"/>
              </w:rPr>
            </w:pPr>
            <w:r>
              <w:rPr>
                <w:spacing w:val="-4"/>
                <w:sz w:val="21"/>
              </w:rPr>
              <w:t>0.01</w:t>
            </w:r>
          </w:p>
        </w:tc>
      </w:tr>
      <w:tr w14:paraId="21A86304" w14:textId="77777777">
        <w:tblPrEx>
          <w:tblW w:w="0" w:type="auto"/>
          <w:tblInd w:w="482" w:type="dxa"/>
          <w:tblLayout w:type="fixed"/>
          <w:tblCellMar>
            <w:left w:w="0" w:type="dxa"/>
            <w:right w:w="0" w:type="dxa"/>
          </w:tblCellMar>
          <w:tblLook w:val="01E0"/>
        </w:tblPrEx>
        <w:trPr>
          <w:trHeight w:val="237"/>
        </w:trPr>
        <w:tc>
          <w:tcPr>
            <w:tcW w:w="13983" w:type="dxa"/>
            <w:gridSpan w:val="3"/>
            <w:tcBorders>
              <w:top w:val="single" w:sz="18" w:space="0" w:color="800000"/>
            </w:tcBorders>
          </w:tcPr>
          <w:p w:rsidR="003F5784" w14:paraId="3C083364"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r>
    </w:tbl>
    <w:p w:rsidR="003F5784" w14:paraId="53EB4234" w14:textId="77777777">
      <w:pPr>
        <w:pStyle w:val="BodyText"/>
        <w:spacing w:line="234"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0357B61C"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56F21541" w14:textId="77777777">
      <w:pPr>
        <w:pStyle w:val="BodyText"/>
      </w:pPr>
    </w:p>
    <w:p w:rsidR="003F5784" w14:paraId="20264A96" w14:textId="77777777">
      <w:pPr>
        <w:pStyle w:val="BodyText"/>
      </w:pPr>
    </w:p>
    <w:p w:rsidR="003F5784" w14:paraId="78082C83" w14:textId="77777777">
      <w:pPr>
        <w:pStyle w:val="BodyText"/>
      </w:pPr>
    </w:p>
    <w:p w:rsidR="003F5784" w14:paraId="6CA09D7D" w14:textId="77777777">
      <w:pPr>
        <w:pStyle w:val="BodyText"/>
        <w:spacing w:before="165"/>
      </w:pPr>
    </w:p>
    <w:p w:rsidR="003F5784" w14:paraId="68C6C702" w14:textId="77777777">
      <w:pPr>
        <w:ind w:left="3207"/>
        <w:rPr>
          <w:sz w:val="18"/>
        </w:rPr>
      </w:pPr>
      <w:hyperlink r:id="rId127">
        <w:r>
          <w:rPr>
            <w:spacing w:val="-2"/>
            <w:w w:val="105"/>
            <w:sz w:val="18"/>
          </w:rPr>
          <w:t>http://nces.ed.gov/nationsreportcard/tdw/sample_design/2022/age_distribution_fractions_for_the_2022_private_school_long_term_trend_assessment.aspx</w:t>
        </w:r>
      </w:hyperlink>
    </w:p>
    <w:p w:rsidR="003F5784" w14:paraId="2CCD88A5" w14:textId="77777777">
      <w:pPr>
        <w:pStyle w:val="BodyText"/>
        <w:rPr>
          <w:sz w:val="16"/>
        </w:rPr>
      </w:pPr>
      <w:r>
        <w:rPr>
          <w:noProof/>
        </w:rPr>
        <mc:AlternateContent>
          <mc:Choice Requires="wps">
            <w:drawing>
              <wp:anchor distT="0" distB="0" distL="0" distR="0" simplePos="0" relativeHeight="251837440" behindDoc="1" locked="0" layoutInCell="1" allowOverlap="1">
                <wp:simplePos x="0" y="0"/>
                <wp:positionH relativeFrom="page">
                  <wp:posOffset>361937</wp:posOffset>
                </wp:positionH>
                <wp:positionV relativeFrom="paragraph">
                  <wp:posOffset>132601</wp:posOffset>
                </wp:positionV>
                <wp:extent cx="9339580" cy="8890"/>
                <wp:effectExtent l="0" t="0" r="0" b="0"/>
                <wp:wrapTopAndBottom/>
                <wp:docPr id="148" name="Graphic 14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50"/>
                              </a:moveTo>
                              <a:lnTo>
                                <a:pt x="9335110" y="50"/>
                              </a:lnTo>
                              <a:lnTo>
                                <a:pt x="8280" y="50"/>
                              </a:lnTo>
                              <a:lnTo>
                                <a:pt x="0" y="0"/>
                              </a:lnTo>
                              <a:lnTo>
                                <a:pt x="0" y="8280"/>
                              </a:lnTo>
                              <a:lnTo>
                                <a:pt x="9335110" y="8318"/>
                              </a:lnTo>
                              <a:lnTo>
                                <a:pt x="9338970" y="8318"/>
                              </a:lnTo>
                              <a:lnTo>
                                <a:pt x="9338970" y="5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48" o:spid="_x0000_s1089" style="width:735.4pt;height:0.7pt;margin-top:10.45pt;margin-left:28.5pt;mso-position-horizontal-relative:page;mso-wrap-distance-bottom:0;mso-wrap-distance-left:0;mso-wrap-distance-right:0;mso-wrap-distance-top:0;mso-wrap-style:square;position:absolute;visibility:visible;v-text-anchor:top;z-index:-251478016" coordsize="9339580,8890" path="m9338970,50l9335110,50l8280,50,,,,8280l9335110,8318l9338970,8318l9338970,50xe" fillcolor="gray" stroked="f">
                <v:path arrowok="t"/>
                <w10:wrap type="topAndBottom"/>
              </v:shape>
            </w:pict>
          </mc:Fallback>
        </mc:AlternateContent>
      </w:r>
    </w:p>
    <w:p w:rsidR="003F5784" w14:paraId="63FFF183" w14:textId="77777777">
      <w:pPr>
        <w:pStyle w:val="BodyText"/>
        <w:rPr>
          <w:sz w:val="18"/>
        </w:rPr>
      </w:pPr>
    </w:p>
    <w:p w:rsidR="003F5784" w14:paraId="6CE12B0B" w14:textId="77777777">
      <w:pPr>
        <w:pStyle w:val="BodyText"/>
        <w:spacing w:before="193"/>
        <w:rPr>
          <w:sz w:val="18"/>
        </w:rPr>
      </w:pPr>
    </w:p>
    <w:p w:rsidR="003F5784" w14:paraId="153D39E3" w14:textId="6C30F22C">
      <w:pPr>
        <w:pStyle w:val="Heading1"/>
        <w:spacing w:line="244" w:lineRule="auto"/>
        <w:ind w:right="263"/>
        <w:jc w:val="both"/>
      </w:pPr>
      <w:r>
        <w:t>NAEP</w:t>
      </w:r>
      <w:r>
        <w:rPr>
          <w:spacing w:val="-14"/>
        </w:rPr>
        <w:t xml:space="preserve"> </w:t>
      </w:r>
      <w:r>
        <w:t>Technical Documentation</w:t>
      </w:r>
      <w:r w:rsidR="00B145F2">
        <w:t xml:space="preserve"> </w:t>
      </w:r>
      <w:r>
        <w:t>New-School Sampling Frame for the 2022 Private School Long-Term Trend Assessment</w:t>
      </w:r>
    </w:p>
    <w:p w:rsidR="003F5784" w14:paraId="68E27ABA" w14:textId="77777777">
      <w:pPr>
        <w:pStyle w:val="BodyText"/>
        <w:spacing w:before="287" w:line="232" w:lineRule="auto"/>
        <w:ind w:left="109" w:right="210"/>
        <w:jc w:val="both"/>
      </w:pPr>
      <w:r>
        <w:t>The</w:t>
      </w:r>
      <w:r>
        <w:rPr>
          <w:spacing w:val="-5"/>
        </w:rPr>
        <w:t xml:space="preserve"> </w:t>
      </w:r>
      <w:r>
        <w:t>NAEP</w:t>
      </w:r>
      <w:r>
        <w:rPr>
          <w:spacing w:val="-13"/>
        </w:rPr>
        <w:t xml:space="preserve"> </w:t>
      </w:r>
      <w:r>
        <w:t>2022</w:t>
      </w:r>
      <w:r>
        <w:rPr>
          <w:spacing w:val="-5"/>
        </w:rPr>
        <w:t xml:space="preserve"> </w:t>
      </w:r>
      <w:r>
        <w:t>private</w:t>
      </w:r>
      <w:r>
        <w:rPr>
          <w:spacing w:val="-5"/>
        </w:rPr>
        <w:t xml:space="preserve"> </w:t>
      </w:r>
      <w:r>
        <w:t>school</w:t>
      </w:r>
      <w:r>
        <w:rPr>
          <w:spacing w:val="-5"/>
        </w:rPr>
        <w:t xml:space="preserve"> </w:t>
      </w:r>
      <w:r>
        <w:t>frame</w:t>
      </w:r>
      <w:r>
        <w:rPr>
          <w:spacing w:val="-5"/>
        </w:rPr>
        <w:t xml:space="preserve"> </w:t>
      </w:r>
      <w:r>
        <w:t>was</w:t>
      </w:r>
      <w:r>
        <w:rPr>
          <w:spacing w:val="-5"/>
        </w:rPr>
        <w:t xml:space="preserve"> </w:t>
      </w:r>
      <w:r>
        <w:t>constructed</w:t>
      </w:r>
      <w:r>
        <w:rPr>
          <w:spacing w:val="-5"/>
        </w:rPr>
        <w:t xml:space="preserve"> </w:t>
      </w:r>
      <w:r>
        <w:t>using</w:t>
      </w:r>
      <w:r>
        <w:rPr>
          <w:spacing w:val="-5"/>
        </w:rPr>
        <w:t xml:space="preserve"> </w:t>
      </w:r>
      <w:r>
        <w:t>the</w:t>
      </w:r>
      <w:r>
        <w:rPr>
          <w:spacing w:val="-5"/>
        </w:rPr>
        <w:t xml:space="preserve"> </w:t>
      </w:r>
      <w:r>
        <w:t>most</w:t>
      </w:r>
      <w:r>
        <w:rPr>
          <w:spacing w:val="-5"/>
        </w:rPr>
        <w:t xml:space="preserve"> </w:t>
      </w:r>
      <w:r>
        <w:t>current</w:t>
      </w:r>
      <w:r>
        <w:rPr>
          <w:spacing w:val="-5"/>
        </w:rPr>
        <w:t xml:space="preserve"> </w:t>
      </w:r>
      <w:r>
        <w:rPr>
          <w:color w:val="0066CC"/>
        </w:rPr>
        <w:t>Private</w:t>
      </w:r>
      <w:r>
        <w:rPr>
          <w:color w:val="0066CC"/>
          <w:spacing w:val="-5"/>
        </w:rPr>
        <w:t xml:space="preserve"> </w:t>
      </w:r>
      <w:r>
        <w:rPr>
          <w:color w:val="0066CC"/>
        </w:rPr>
        <w:t>School</w:t>
      </w:r>
      <w:r>
        <w:rPr>
          <w:color w:val="0066CC"/>
          <w:spacing w:val="-5"/>
        </w:rPr>
        <w:t xml:space="preserve"> </w:t>
      </w:r>
      <w:r>
        <w:rPr>
          <w:color w:val="0066CC"/>
        </w:rPr>
        <w:t>Universe</w:t>
      </w:r>
      <w:r>
        <w:rPr>
          <w:color w:val="0066CC"/>
          <w:spacing w:val="-5"/>
        </w:rPr>
        <w:t xml:space="preserve"> </w:t>
      </w:r>
      <w:r>
        <w:rPr>
          <w:color w:val="0066CC"/>
        </w:rPr>
        <w:t>Survey</w:t>
      </w:r>
      <w:r>
        <w:rPr>
          <w:color w:val="0066CC"/>
          <w:spacing w:val="-5"/>
        </w:rPr>
        <w:t xml:space="preserve"> </w:t>
      </w:r>
      <w:r>
        <w:rPr>
          <w:color w:val="0066CC"/>
        </w:rPr>
        <w:t>(PSS)</w:t>
      </w:r>
      <w:r>
        <w:rPr>
          <w:color w:val="0066CC"/>
          <w:spacing w:val="-5"/>
        </w:rPr>
        <w:t xml:space="preserve"> </w:t>
      </w:r>
      <w:r>
        <w:t>file</w:t>
      </w:r>
      <w:r>
        <w:rPr>
          <w:spacing w:val="-5"/>
        </w:rPr>
        <w:t xml:space="preserve"> </w:t>
      </w:r>
      <w:r>
        <w:t>available</w:t>
      </w:r>
      <w:r>
        <w:rPr>
          <w:spacing w:val="-5"/>
        </w:rPr>
        <w:t xml:space="preserve"> </w:t>
      </w:r>
      <w:r>
        <w:t>from</w:t>
      </w:r>
      <w:r>
        <w:rPr>
          <w:spacing w:val="-5"/>
        </w:rPr>
        <w:t xml:space="preserve"> </w:t>
      </w:r>
      <w:r>
        <w:t>NCES.</w:t>
      </w:r>
      <w:r>
        <w:rPr>
          <w:spacing w:val="-9"/>
        </w:rPr>
        <w:t xml:space="preserve"> </w:t>
      </w:r>
      <w:r>
        <w:t>This</w:t>
      </w:r>
      <w:r>
        <w:rPr>
          <w:spacing w:val="-5"/>
        </w:rPr>
        <w:t xml:space="preserve"> </w:t>
      </w:r>
      <w:r>
        <w:t>file</w:t>
      </w:r>
      <w:r>
        <w:rPr>
          <w:spacing w:val="-5"/>
        </w:rPr>
        <w:t xml:space="preserve"> </w:t>
      </w:r>
      <w:r>
        <w:t>contained</w:t>
      </w:r>
      <w:r>
        <w:rPr>
          <w:spacing w:val="-5"/>
        </w:rPr>
        <w:t xml:space="preserve"> </w:t>
      </w:r>
      <w:r>
        <w:t>schools</w:t>
      </w:r>
      <w:r>
        <w:rPr>
          <w:spacing w:val="-5"/>
        </w:rPr>
        <w:t xml:space="preserve"> </w:t>
      </w:r>
      <w:r>
        <w:t>that were</w:t>
      </w:r>
      <w:r>
        <w:rPr>
          <w:spacing w:val="-7"/>
        </w:rPr>
        <w:t xml:space="preserve"> </w:t>
      </w:r>
      <w:r>
        <w:t>in</w:t>
      </w:r>
      <w:r>
        <w:rPr>
          <w:spacing w:val="-7"/>
        </w:rPr>
        <w:t xml:space="preserve"> </w:t>
      </w:r>
      <w:r>
        <w:t>existence</w:t>
      </w:r>
      <w:r>
        <w:rPr>
          <w:spacing w:val="-7"/>
        </w:rPr>
        <w:t xml:space="preserve"> </w:t>
      </w:r>
      <w:r>
        <w:t>during</w:t>
      </w:r>
      <w:r>
        <w:rPr>
          <w:spacing w:val="-7"/>
        </w:rPr>
        <w:t xml:space="preserve"> </w:t>
      </w:r>
      <w:r>
        <w:t>the</w:t>
      </w:r>
      <w:r>
        <w:rPr>
          <w:spacing w:val="-7"/>
        </w:rPr>
        <w:t xml:space="preserve"> </w:t>
      </w:r>
      <w:r>
        <w:t>2019–2020</w:t>
      </w:r>
      <w:r>
        <w:rPr>
          <w:spacing w:val="-7"/>
        </w:rPr>
        <w:t xml:space="preserve"> </w:t>
      </w:r>
      <w:r>
        <w:t>school</w:t>
      </w:r>
      <w:r>
        <w:rPr>
          <w:spacing w:val="-7"/>
        </w:rPr>
        <w:t xml:space="preserve"> </w:t>
      </w:r>
      <w:r>
        <w:t>year,</w:t>
      </w:r>
      <w:r>
        <w:rPr>
          <w:spacing w:val="-7"/>
        </w:rPr>
        <w:t xml:space="preserve"> </w:t>
      </w:r>
      <w:r>
        <w:t>(i.e.,</w:t>
      </w:r>
      <w:r>
        <w:rPr>
          <w:spacing w:val="-7"/>
        </w:rPr>
        <w:t xml:space="preserve"> </w:t>
      </w:r>
      <w:r>
        <w:t>it</w:t>
      </w:r>
      <w:r>
        <w:rPr>
          <w:spacing w:val="-7"/>
        </w:rPr>
        <w:t xml:space="preserve"> </w:t>
      </w:r>
      <w:r>
        <w:t>was</w:t>
      </w:r>
      <w:r>
        <w:rPr>
          <w:spacing w:val="-7"/>
        </w:rPr>
        <w:t xml:space="preserve"> </w:t>
      </w:r>
      <w:r>
        <w:t>two</w:t>
      </w:r>
      <w:r>
        <w:rPr>
          <w:spacing w:val="-7"/>
        </w:rPr>
        <w:t xml:space="preserve"> </w:t>
      </w:r>
      <w:r>
        <w:t>years</w:t>
      </w:r>
      <w:r>
        <w:rPr>
          <w:spacing w:val="-7"/>
        </w:rPr>
        <w:t xml:space="preserve"> </w:t>
      </w:r>
      <w:r>
        <w:t>out</w:t>
      </w:r>
      <w:r>
        <w:rPr>
          <w:spacing w:val="-7"/>
        </w:rPr>
        <w:t xml:space="preserve"> </w:t>
      </w:r>
      <w:r>
        <w:t>of</w:t>
      </w:r>
      <w:r>
        <w:rPr>
          <w:spacing w:val="-7"/>
        </w:rPr>
        <w:t xml:space="preserve"> </w:t>
      </w:r>
      <w:r>
        <w:t>date).</w:t>
      </w:r>
      <w:r>
        <w:rPr>
          <w:spacing w:val="-7"/>
        </w:rPr>
        <w:t xml:space="preserve"> </w:t>
      </w:r>
      <w:r>
        <w:t>During</w:t>
      </w:r>
      <w:r>
        <w:rPr>
          <w:spacing w:val="-7"/>
        </w:rPr>
        <w:t xml:space="preserve"> </w:t>
      </w:r>
      <w:r>
        <w:t>the</w:t>
      </w:r>
      <w:r>
        <w:rPr>
          <w:spacing w:val="-7"/>
        </w:rPr>
        <w:t xml:space="preserve"> </w:t>
      </w:r>
      <w:r>
        <w:t>subsequent</w:t>
      </w:r>
      <w:r>
        <w:rPr>
          <w:spacing w:val="-7"/>
        </w:rPr>
        <w:t xml:space="preserve"> </w:t>
      </w:r>
      <w:r>
        <w:t>2-year</w:t>
      </w:r>
      <w:r>
        <w:rPr>
          <w:spacing w:val="-7"/>
        </w:rPr>
        <w:t xml:space="preserve"> </w:t>
      </w:r>
      <w:r>
        <w:t>period,</w:t>
      </w:r>
      <w:r>
        <w:rPr>
          <w:spacing w:val="-7"/>
        </w:rPr>
        <w:t xml:space="preserve"> </w:t>
      </w:r>
      <w:r>
        <w:t>undoubtedly,</w:t>
      </w:r>
      <w:r>
        <w:rPr>
          <w:spacing w:val="-7"/>
        </w:rPr>
        <w:t xml:space="preserve"> </w:t>
      </w:r>
      <w:r>
        <w:t>some</w:t>
      </w:r>
      <w:r>
        <w:rPr>
          <w:spacing w:val="-7"/>
        </w:rPr>
        <w:t xml:space="preserve"> </w:t>
      </w:r>
      <w:r>
        <w:t>schools</w:t>
      </w:r>
      <w:r>
        <w:rPr>
          <w:spacing w:val="-7"/>
        </w:rPr>
        <w:t xml:space="preserve"> </w:t>
      </w:r>
      <w:r>
        <w:t>closed,</w:t>
      </w:r>
      <w:r>
        <w:rPr>
          <w:spacing w:val="-7"/>
        </w:rPr>
        <w:t xml:space="preserve"> </w:t>
      </w:r>
      <w:r>
        <w:t>some</w:t>
      </w:r>
      <w:r>
        <w:rPr>
          <w:spacing w:val="-7"/>
        </w:rPr>
        <w:t xml:space="preserve"> </w:t>
      </w:r>
      <w:r>
        <w:t>changed structure (one school becoming two schools, for example), some newly opened, and still others changed their grade span.</w:t>
      </w:r>
    </w:p>
    <w:p w:rsidR="003F5784" w14:paraId="538B136D" w14:textId="77777777">
      <w:pPr>
        <w:spacing w:line="232" w:lineRule="auto"/>
        <w:jc w:val="both"/>
        <w:sectPr>
          <w:pgSz w:w="15840" w:h="12240" w:orient="landscape"/>
          <w:pgMar w:top="480" w:right="440" w:bottom="460" w:left="460" w:header="284" w:footer="275" w:gutter="0"/>
          <w:cols w:space="720"/>
        </w:sectPr>
      </w:pPr>
    </w:p>
    <w:p w:rsidR="003F5784" w14:paraId="19751EFB" w14:textId="77777777">
      <w:pPr>
        <w:pStyle w:val="BodyText"/>
        <w:spacing w:before="78" w:line="232" w:lineRule="auto"/>
        <w:ind w:left="109"/>
      </w:pPr>
      <w:r>
        <w:t>A</w:t>
      </w:r>
      <w:r>
        <w:rPr>
          <w:spacing w:val="-11"/>
        </w:rPr>
        <w:t xml:space="preserve"> </w:t>
      </w:r>
      <w:r>
        <w:t>supplemental sample was selected from a list of Catholic schools that were new or had become newly eligible sometime after the 2019–2020 school year.</w:t>
      </w:r>
      <w:r>
        <w:rPr>
          <w:spacing w:val="-4"/>
        </w:rPr>
        <w:t xml:space="preserve"> </w:t>
      </w:r>
      <w:r>
        <w:t>The goal was to allow</w:t>
      </w:r>
      <w:r>
        <w:rPr>
          <w:spacing w:val="-2"/>
        </w:rPr>
        <w:t xml:space="preserve"> </w:t>
      </w:r>
      <w:r>
        <w:t>every</w:t>
      </w:r>
      <w:r>
        <w:rPr>
          <w:spacing w:val="-2"/>
        </w:rPr>
        <w:t xml:space="preserve"> </w:t>
      </w:r>
      <w:r>
        <w:t>new</w:t>
      </w:r>
      <w:r>
        <w:rPr>
          <w:spacing w:val="-2"/>
        </w:rPr>
        <w:t xml:space="preserve"> </w:t>
      </w:r>
      <w:r>
        <w:t>Catholic</w:t>
      </w:r>
      <w:r>
        <w:rPr>
          <w:spacing w:val="-2"/>
        </w:rPr>
        <w:t xml:space="preserve"> </w:t>
      </w:r>
      <w:r>
        <w:t>school</w:t>
      </w:r>
      <w:r>
        <w:rPr>
          <w:spacing w:val="-2"/>
        </w:rPr>
        <w:t xml:space="preserve"> </w:t>
      </w:r>
      <w:r>
        <w:t>a</w:t>
      </w:r>
      <w:r>
        <w:rPr>
          <w:spacing w:val="-2"/>
        </w:rPr>
        <w:t xml:space="preserve"> </w:t>
      </w:r>
      <w:r>
        <w:t>chance</w:t>
      </w:r>
      <w:r>
        <w:rPr>
          <w:spacing w:val="-2"/>
        </w:rPr>
        <w:t xml:space="preserve"> </w:t>
      </w:r>
      <w:r>
        <w:t>of</w:t>
      </w:r>
      <w:r>
        <w:rPr>
          <w:spacing w:val="-2"/>
        </w:rPr>
        <w:t xml:space="preserve"> </w:t>
      </w:r>
      <w:r>
        <w:t>selection,</w:t>
      </w:r>
      <w:r>
        <w:rPr>
          <w:spacing w:val="-2"/>
        </w:rPr>
        <w:t xml:space="preserve"> </w:t>
      </w:r>
      <w:r>
        <w:t>thereby</w:t>
      </w:r>
      <w:r>
        <w:rPr>
          <w:spacing w:val="-2"/>
        </w:rPr>
        <w:t xml:space="preserve"> </w:t>
      </w:r>
      <w:r>
        <w:t>fully</w:t>
      </w:r>
      <w:r>
        <w:rPr>
          <w:spacing w:val="-2"/>
        </w:rPr>
        <w:t xml:space="preserve"> </w:t>
      </w:r>
      <w:r>
        <w:t>covering</w:t>
      </w:r>
      <w:r>
        <w:rPr>
          <w:spacing w:val="-2"/>
        </w:rPr>
        <w:t xml:space="preserve"> </w:t>
      </w:r>
      <w:r>
        <w:t>the</w:t>
      </w:r>
      <w:r>
        <w:rPr>
          <w:spacing w:val="-2"/>
        </w:rPr>
        <w:t xml:space="preserve"> </w:t>
      </w:r>
      <w:r>
        <w:t>target</w:t>
      </w:r>
      <w:r>
        <w:rPr>
          <w:spacing w:val="-2"/>
        </w:rPr>
        <w:t xml:space="preserve"> </w:t>
      </w:r>
      <w:r>
        <w:t>population</w:t>
      </w:r>
      <w:r>
        <w:rPr>
          <w:spacing w:val="-2"/>
        </w:rPr>
        <w:t xml:space="preserve"> </w:t>
      </w:r>
      <w:r>
        <w:t>of</w:t>
      </w:r>
      <w:r>
        <w:rPr>
          <w:spacing w:val="-2"/>
        </w:rPr>
        <w:t xml:space="preserve"> </w:t>
      </w:r>
      <w:r>
        <w:t>Catholic</w:t>
      </w:r>
      <w:r>
        <w:rPr>
          <w:spacing w:val="-2"/>
        </w:rPr>
        <w:t xml:space="preserve"> </w:t>
      </w:r>
      <w:r>
        <w:t>schools</w:t>
      </w:r>
      <w:r>
        <w:rPr>
          <w:spacing w:val="-2"/>
        </w:rPr>
        <w:t xml:space="preserve"> </w:t>
      </w:r>
      <w:r>
        <w:t>in</w:t>
      </w:r>
      <w:r>
        <w:rPr>
          <w:spacing w:val="-2"/>
        </w:rPr>
        <w:t xml:space="preserve"> </w:t>
      </w:r>
      <w:r>
        <w:t>operation</w:t>
      </w:r>
      <w:r>
        <w:rPr>
          <w:spacing w:val="-2"/>
        </w:rPr>
        <w:t xml:space="preserve"> </w:t>
      </w:r>
      <w:r>
        <w:t>during</w:t>
      </w:r>
      <w:r>
        <w:rPr>
          <w:spacing w:val="-2"/>
        </w:rPr>
        <w:t xml:space="preserve"> </w:t>
      </w:r>
      <w:r>
        <w:t>the</w:t>
      </w:r>
      <w:r>
        <w:rPr>
          <w:spacing w:val="-2"/>
        </w:rPr>
        <w:t xml:space="preserve"> </w:t>
      </w:r>
      <w:r>
        <w:t>2021–2022</w:t>
      </w:r>
      <w:r>
        <w:rPr>
          <w:spacing w:val="-2"/>
        </w:rPr>
        <w:t xml:space="preserve"> </w:t>
      </w:r>
      <w:r>
        <w:t>school</w:t>
      </w:r>
      <w:r>
        <w:rPr>
          <w:spacing w:val="-2"/>
        </w:rPr>
        <w:t xml:space="preserve"> </w:t>
      </w:r>
      <w:r>
        <w:t>year.</w:t>
      </w:r>
      <w:r>
        <w:rPr>
          <w:spacing w:val="-2"/>
        </w:rPr>
        <w:t xml:space="preserve"> </w:t>
      </w:r>
      <w:r>
        <w:t>It</w:t>
      </w:r>
      <w:r>
        <w:rPr>
          <w:spacing w:val="-2"/>
        </w:rPr>
        <w:t xml:space="preserve"> </w:t>
      </w:r>
      <w:r>
        <w:t>was infeasible</w:t>
      </w:r>
      <w:r>
        <w:rPr>
          <w:spacing w:val="-1"/>
        </w:rPr>
        <w:t xml:space="preserve"> </w:t>
      </w:r>
      <w:r>
        <w:t>to</w:t>
      </w:r>
      <w:r>
        <w:rPr>
          <w:spacing w:val="-1"/>
        </w:rPr>
        <w:t xml:space="preserve"> </w:t>
      </w:r>
      <w:r>
        <w:t>ask</w:t>
      </w:r>
      <w:r>
        <w:rPr>
          <w:spacing w:val="-1"/>
        </w:rPr>
        <w:t xml:space="preserve"> </w:t>
      </w:r>
      <w:r>
        <w:t>every</w:t>
      </w:r>
      <w:r>
        <w:rPr>
          <w:spacing w:val="-1"/>
        </w:rPr>
        <w:t xml:space="preserve"> </w:t>
      </w:r>
      <w:r>
        <w:t>Catholic</w:t>
      </w:r>
      <w:r>
        <w:rPr>
          <w:spacing w:val="-1"/>
        </w:rPr>
        <w:t xml:space="preserve"> </w:t>
      </w:r>
      <w:r>
        <w:t>diocese</w:t>
      </w:r>
      <w:r>
        <w:rPr>
          <w:spacing w:val="-1"/>
        </w:rPr>
        <w:t xml:space="preserve"> </w:t>
      </w:r>
      <w:r>
        <w:t>in</w:t>
      </w:r>
      <w:r>
        <w:rPr>
          <w:spacing w:val="-1"/>
        </w:rPr>
        <w:t xml:space="preserve"> </w:t>
      </w:r>
      <w:r>
        <w:t>the</w:t>
      </w:r>
      <w:r>
        <w:rPr>
          <w:spacing w:val="-1"/>
        </w:rPr>
        <w:t xml:space="preserve"> </w:t>
      </w:r>
      <w:r>
        <w:t>United</w:t>
      </w:r>
      <w:r>
        <w:rPr>
          <w:spacing w:val="-1"/>
        </w:rPr>
        <w:t xml:space="preserve"> </w:t>
      </w:r>
      <w:r>
        <w:t>States</w:t>
      </w:r>
      <w:r>
        <w:rPr>
          <w:spacing w:val="-1"/>
        </w:rPr>
        <w:t xml:space="preserve"> </w:t>
      </w:r>
      <w:r>
        <w:t>to</w:t>
      </w:r>
      <w:r>
        <w:rPr>
          <w:spacing w:val="-1"/>
        </w:rPr>
        <w:t xml:space="preserve"> </w:t>
      </w:r>
      <w:r>
        <w:t>provide</w:t>
      </w:r>
      <w:r>
        <w:rPr>
          <w:spacing w:val="-1"/>
        </w:rPr>
        <w:t xml:space="preserve"> </w:t>
      </w:r>
      <w:r>
        <w:t>a</w:t>
      </w:r>
      <w:r>
        <w:rPr>
          <w:spacing w:val="-1"/>
        </w:rPr>
        <w:t xml:space="preserve"> </w:t>
      </w:r>
      <w:r>
        <w:t>supplemental</w:t>
      </w:r>
      <w:r>
        <w:rPr>
          <w:spacing w:val="-1"/>
        </w:rPr>
        <w:t xml:space="preserve"> </w:t>
      </w:r>
      <w:r>
        <w:t>school</w:t>
      </w:r>
      <w:r>
        <w:rPr>
          <w:spacing w:val="-1"/>
        </w:rPr>
        <w:t xml:space="preserve"> </w:t>
      </w:r>
      <w:r>
        <w:t>frame,</w:t>
      </w:r>
      <w:r>
        <w:rPr>
          <w:spacing w:val="-1"/>
        </w:rPr>
        <w:t xml:space="preserve"> </w:t>
      </w:r>
      <w:r>
        <w:t>so</w:t>
      </w:r>
      <w:r>
        <w:rPr>
          <w:spacing w:val="-1"/>
        </w:rPr>
        <w:t xml:space="preserve"> </w:t>
      </w:r>
      <w:r>
        <w:t>a</w:t>
      </w:r>
      <w:r>
        <w:rPr>
          <w:spacing w:val="-1"/>
        </w:rPr>
        <w:t xml:space="preserve"> </w:t>
      </w:r>
      <w:r>
        <w:t>two-stage</w:t>
      </w:r>
      <w:r>
        <w:rPr>
          <w:spacing w:val="-1"/>
        </w:rPr>
        <w:t xml:space="preserve"> </w:t>
      </w:r>
      <w:r>
        <w:t>procedure</w:t>
      </w:r>
      <w:r>
        <w:rPr>
          <w:spacing w:val="-1"/>
        </w:rPr>
        <w:t xml:space="preserve"> </w:t>
      </w:r>
      <w:r>
        <w:t>was</w:t>
      </w:r>
      <w:r>
        <w:rPr>
          <w:spacing w:val="-1"/>
        </w:rPr>
        <w:t xml:space="preserve"> </w:t>
      </w:r>
      <w:r>
        <w:t>employed.</w:t>
      </w:r>
      <w:r>
        <w:rPr>
          <w:spacing w:val="-1"/>
        </w:rPr>
        <w:t xml:space="preserve"> </w:t>
      </w:r>
      <w:r>
        <w:t>First,</w:t>
      </w:r>
      <w:r>
        <w:rPr>
          <w:spacing w:val="-1"/>
        </w:rPr>
        <w:t xml:space="preserve"> </w:t>
      </w:r>
      <w:r>
        <w:t>a</w:t>
      </w:r>
      <w:r>
        <w:rPr>
          <w:spacing w:val="-1"/>
        </w:rPr>
        <w:t xml:space="preserve"> </w:t>
      </w:r>
      <w:r>
        <w:t>sample</w:t>
      </w:r>
      <w:r>
        <w:rPr>
          <w:spacing w:val="-1"/>
        </w:rPr>
        <w:t xml:space="preserve"> </w:t>
      </w:r>
      <w:r>
        <w:t>of</w:t>
      </w:r>
      <w:r>
        <w:rPr>
          <w:spacing w:val="-1"/>
        </w:rPr>
        <w:t xml:space="preserve"> </w:t>
      </w:r>
      <w:r>
        <w:t>dioceses</w:t>
      </w:r>
      <w:r>
        <w:rPr>
          <w:spacing w:val="-1"/>
        </w:rPr>
        <w:t xml:space="preserve"> </w:t>
      </w:r>
      <w:r>
        <w:t>was selected.</w:t>
      </w:r>
      <w:r>
        <w:rPr>
          <w:spacing w:val="-12"/>
        </w:rPr>
        <w:t xml:space="preserve"> </w:t>
      </w:r>
      <w:r>
        <w:t>Then</w:t>
      </w:r>
      <w:r>
        <w:rPr>
          <w:spacing w:val="-6"/>
        </w:rPr>
        <w:t xml:space="preserve"> </w:t>
      </w:r>
      <w:r>
        <w:t>the</w:t>
      </w:r>
      <w:r>
        <w:rPr>
          <w:spacing w:val="-6"/>
        </w:rPr>
        <w:t xml:space="preserve"> </w:t>
      </w:r>
      <w:r>
        <w:t>National</w:t>
      </w:r>
      <w:r>
        <w:rPr>
          <w:spacing w:val="-6"/>
        </w:rPr>
        <w:t xml:space="preserve"> </w:t>
      </w:r>
      <w:r>
        <w:t>Catholic</w:t>
      </w:r>
      <w:r>
        <w:rPr>
          <w:spacing w:val="-6"/>
        </w:rPr>
        <w:t xml:space="preserve"> </w:t>
      </w:r>
      <w:r>
        <w:t>Educational</w:t>
      </w:r>
      <w:r>
        <w:rPr>
          <w:spacing w:val="-14"/>
        </w:rPr>
        <w:t xml:space="preserve"> </w:t>
      </w:r>
      <w:r>
        <w:t>Association</w:t>
      </w:r>
      <w:r>
        <w:rPr>
          <w:spacing w:val="-5"/>
        </w:rPr>
        <w:t xml:space="preserve"> </w:t>
      </w:r>
      <w:r>
        <w:t>(NCEA)</w:t>
      </w:r>
      <w:r>
        <w:rPr>
          <w:spacing w:val="-6"/>
        </w:rPr>
        <w:t xml:space="preserve"> </w:t>
      </w:r>
      <w:r>
        <w:t>was</w:t>
      </w:r>
      <w:r>
        <w:rPr>
          <w:spacing w:val="-6"/>
        </w:rPr>
        <w:t xml:space="preserve"> </w:t>
      </w:r>
      <w:r>
        <w:t>sent</w:t>
      </w:r>
      <w:r>
        <w:rPr>
          <w:spacing w:val="-6"/>
        </w:rPr>
        <w:t xml:space="preserve"> </w:t>
      </w:r>
      <w:r>
        <w:t>a</w:t>
      </w:r>
      <w:r>
        <w:rPr>
          <w:spacing w:val="-6"/>
        </w:rPr>
        <w:t xml:space="preserve"> </w:t>
      </w:r>
      <w:r>
        <w:t>list</w:t>
      </w:r>
      <w:r>
        <w:rPr>
          <w:spacing w:val="-6"/>
        </w:rPr>
        <w:t xml:space="preserve"> </w:t>
      </w:r>
      <w:r>
        <w:t>of</w:t>
      </w:r>
      <w:r>
        <w:rPr>
          <w:spacing w:val="-6"/>
        </w:rPr>
        <w:t xml:space="preserve"> </w:t>
      </w:r>
      <w:r>
        <w:t>the</w:t>
      </w:r>
      <w:r>
        <w:rPr>
          <w:spacing w:val="-6"/>
        </w:rPr>
        <w:t xml:space="preserve"> </w:t>
      </w:r>
      <w:r>
        <w:t>schools</w:t>
      </w:r>
      <w:r>
        <w:rPr>
          <w:spacing w:val="-6"/>
        </w:rPr>
        <w:t xml:space="preserve"> </w:t>
      </w:r>
      <w:r>
        <w:t>within</w:t>
      </w:r>
      <w:r>
        <w:rPr>
          <w:spacing w:val="-6"/>
        </w:rPr>
        <w:t xml:space="preserve"> </w:t>
      </w:r>
      <w:r>
        <w:t>their</w:t>
      </w:r>
      <w:r>
        <w:rPr>
          <w:spacing w:val="-6"/>
        </w:rPr>
        <w:t xml:space="preserve"> </w:t>
      </w:r>
      <w:r>
        <w:t>sampled</w:t>
      </w:r>
      <w:r>
        <w:rPr>
          <w:spacing w:val="-6"/>
        </w:rPr>
        <w:t xml:space="preserve"> </w:t>
      </w:r>
      <w:r>
        <w:t>dioceses</w:t>
      </w:r>
      <w:r>
        <w:rPr>
          <w:spacing w:val="-6"/>
        </w:rPr>
        <w:t xml:space="preserve"> </w:t>
      </w:r>
      <w:r>
        <w:t>that</w:t>
      </w:r>
      <w:r>
        <w:rPr>
          <w:spacing w:val="-6"/>
        </w:rPr>
        <w:t xml:space="preserve"> </w:t>
      </w:r>
      <w:r>
        <w:t>had</w:t>
      </w:r>
      <w:r>
        <w:rPr>
          <w:spacing w:val="-6"/>
        </w:rPr>
        <w:t xml:space="preserve"> </w:t>
      </w:r>
      <w:r>
        <w:t>been</w:t>
      </w:r>
      <w:r>
        <w:rPr>
          <w:spacing w:val="-6"/>
        </w:rPr>
        <w:t xml:space="preserve"> </w:t>
      </w:r>
      <w:r>
        <w:t>present</w:t>
      </w:r>
      <w:r>
        <w:rPr>
          <w:spacing w:val="-6"/>
        </w:rPr>
        <w:t xml:space="preserve"> </w:t>
      </w:r>
      <w:r>
        <w:t>on</w:t>
      </w:r>
      <w:r>
        <w:rPr>
          <w:spacing w:val="-6"/>
        </w:rPr>
        <w:t xml:space="preserve"> </w:t>
      </w:r>
      <w:r>
        <w:t>the</w:t>
      </w:r>
      <w:r>
        <w:rPr>
          <w:spacing w:val="-6"/>
        </w:rPr>
        <w:t xml:space="preserve"> </w:t>
      </w:r>
      <w:r>
        <w:t>2019–2020</w:t>
      </w:r>
      <w:r>
        <w:rPr>
          <w:spacing w:val="-6"/>
        </w:rPr>
        <w:t xml:space="preserve"> </w:t>
      </w:r>
      <w:r>
        <w:t>PSS file. NCEA</w:t>
      </w:r>
      <w:r>
        <w:rPr>
          <w:spacing w:val="-8"/>
        </w:rPr>
        <w:t xml:space="preserve"> </w:t>
      </w:r>
      <w:r>
        <w:t>was asked to add in any new schools and update grade span for the schools on this list.</w:t>
      </w:r>
    </w:p>
    <w:p w:rsidR="003F5784" w14:paraId="3D32499E" w14:textId="77777777">
      <w:pPr>
        <w:pStyle w:val="BodyText"/>
        <w:spacing w:before="210" w:line="232" w:lineRule="auto"/>
        <w:ind w:left="109" w:right="587"/>
        <w:jc w:val="both"/>
      </w:pPr>
      <w:r>
        <w:t>The</w:t>
      </w:r>
      <w:r>
        <w:rPr>
          <w:spacing w:val="-6"/>
        </w:rPr>
        <w:t xml:space="preserve"> </w:t>
      </w:r>
      <w:r>
        <w:t>new-school</w:t>
      </w:r>
      <w:r>
        <w:rPr>
          <w:spacing w:val="-6"/>
        </w:rPr>
        <w:t xml:space="preserve"> </w:t>
      </w:r>
      <w:r>
        <w:t>process</w:t>
      </w:r>
      <w:r>
        <w:rPr>
          <w:spacing w:val="-6"/>
        </w:rPr>
        <w:t xml:space="preserve"> </w:t>
      </w:r>
      <w:r>
        <w:t>began</w:t>
      </w:r>
      <w:r>
        <w:rPr>
          <w:spacing w:val="-6"/>
        </w:rPr>
        <w:t xml:space="preserve"> </w:t>
      </w:r>
      <w:r>
        <w:t>with</w:t>
      </w:r>
      <w:r>
        <w:rPr>
          <w:spacing w:val="-6"/>
        </w:rPr>
        <w:t xml:space="preserve"> </w:t>
      </w:r>
      <w:r>
        <w:t>the</w:t>
      </w:r>
      <w:r>
        <w:rPr>
          <w:spacing w:val="-6"/>
        </w:rPr>
        <w:t xml:space="preserve"> </w:t>
      </w:r>
      <w:r>
        <w:t>preparation</w:t>
      </w:r>
      <w:r>
        <w:rPr>
          <w:spacing w:val="-6"/>
        </w:rPr>
        <w:t xml:space="preserve"> </w:t>
      </w:r>
      <w:r>
        <w:t>of</w:t>
      </w:r>
      <w:r>
        <w:rPr>
          <w:spacing w:val="-6"/>
        </w:rPr>
        <w:t xml:space="preserve"> </w:t>
      </w:r>
      <w:r>
        <w:t>a</w:t>
      </w:r>
      <w:r>
        <w:rPr>
          <w:spacing w:val="-6"/>
        </w:rPr>
        <w:t xml:space="preserve"> </w:t>
      </w:r>
      <w:r>
        <w:t>diocese-level</w:t>
      </w:r>
      <w:r>
        <w:rPr>
          <w:spacing w:val="-6"/>
        </w:rPr>
        <w:t xml:space="preserve"> </w:t>
      </w:r>
      <w:r>
        <w:t>frame.</w:t>
      </w:r>
      <w:r>
        <w:rPr>
          <w:spacing w:val="-9"/>
        </w:rPr>
        <w:t xml:space="preserve"> </w:t>
      </w:r>
      <w:r>
        <w:t>The</w:t>
      </w:r>
      <w:r>
        <w:rPr>
          <w:spacing w:val="-6"/>
        </w:rPr>
        <w:t xml:space="preserve"> </w:t>
      </w:r>
      <w:r>
        <w:t>starting</w:t>
      </w:r>
      <w:r>
        <w:rPr>
          <w:spacing w:val="-6"/>
        </w:rPr>
        <w:t xml:space="preserve"> </w:t>
      </w:r>
      <w:r>
        <w:t>point</w:t>
      </w:r>
      <w:r>
        <w:rPr>
          <w:spacing w:val="-6"/>
        </w:rPr>
        <w:t xml:space="preserve"> </w:t>
      </w:r>
      <w:r>
        <w:t>was</w:t>
      </w:r>
      <w:r>
        <w:rPr>
          <w:spacing w:val="-6"/>
        </w:rPr>
        <w:t xml:space="preserve"> </w:t>
      </w:r>
      <w:r>
        <w:t>a</w:t>
      </w:r>
      <w:r>
        <w:rPr>
          <w:spacing w:val="-6"/>
        </w:rPr>
        <w:t xml:space="preserve"> </w:t>
      </w:r>
      <w:r>
        <w:t>file</w:t>
      </w:r>
      <w:r>
        <w:rPr>
          <w:spacing w:val="-6"/>
        </w:rPr>
        <w:t xml:space="preserve"> </w:t>
      </w:r>
      <w:r>
        <w:t>containing</w:t>
      </w:r>
      <w:r>
        <w:rPr>
          <w:spacing w:val="-6"/>
        </w:rPr>
        <w:t xml:space="preserve"> </w:t>
      </w:r>
      <w:r>
        <w:t>every</w:t>
      </w:r>
      <w:r>
        <w:rPr>
          <w:spacing w:val="-6"/>
        </w:rPr>
        <w:t xml:space="preserve"> </w:t>
      </w:r>
      <w:r>
        <w:t>Catholic</w:t>
      </w:r>
      <w:r>
        <w:rPr>
          <w:spacing w:val="-6"/>
        </w:rPr>
        <w:t xml:space="preserve"> </w:t>
      </w:r>
      <w:r>
        <w:t>diocese</w:t>
      </w:r>
      <w:r>
        <w:rPr>
          <w:spacing w:val="-6"/>
        </w:rPr>
        <w:t xml:space="preserve"> </w:t>
      </w:r>
      <w:r>
        <w:t>in</w:t>
      </w:r>
      <w:r>
        <w:rPr>
          <w:spacing w:val="-6"/>
        </w:rPr>
        <w:t xml:space="preserve"> </w:t>
      </w:r>
      <w:r>
        <w:t>the</w:t>
      </w:r>
      <w:r>
        <w:rPr>
          <w:spacing w:val="-6"/>
        </w:rPr>
        <w:t xml:space="preserve"> </w:t>
      </w:r>
      <w:r>
        <w:t>U.S.</w:t>
      </w:r>
      <w:r>
        <w:rPr>
          <w:spacing w:val="-6"/>
        </w:rPr>
        <w:t xml:space="preserve"> </w:t>
      </w:r>
      <w:r>
        <w:t>classified</w:t>
      </w:r>
      <w:r>
        <w:rPr>
          <w:spacing w:val="-6"/>
        </w:rPr>
        <w:t xml:space="preserve"> </w:t>
      </w:r>
      <w:r>
        <w:t>as</w:t>
      </w:r>
      <w:r>
        <w:rPr>
          <w:spacing w:val="-6"/>
        </w:rPr>
        <w:t xml:space="preserve"> </w:t>
      </w:r>
      <w:r>
        <w:t>small, medium,</w:t>
      </w:r>
      <w:r>
        <w:rPr>
          <w:spacing w:val="-6"/>
        </w:rPr>
        <w:t xml:space="preserve"> </w:t>
      </w:r>
      <w:r>
        <w:t>or</w:t>
      </w:r>
      <w:r>
        <w:rPr>
          <w:spacing w:val="-6"/>
        </w:rPr>
        <w:t xml:space="preserve"> </w:t>
      </w:r>
      <w:r>
        <w:t>large</w:t>
      </w:r>
      <w:r>
        <w:rPr>
          <w:spacing w:val="-6"/>
        </w:rPr>
        <w:t xml:space="preserve"> </w:t>
      </w:r>
      <w:r>
        <w:t>based</w:t>
      </w:r>
      <w:r>
        <w:rPr>
          <w:spacing w:val="-6"/>
        </w:rPr>
        <w:t xml:space="preserve"> </w:t>
      </w:r>
      <w:r>
        <w:t>on</w:t>
      </w:r>
      <w:r>
        <w:rPr>
          <w:spacing w:val="-6"/>
        </w:rPr>
        <w:t xml:space="preserve"> </w:t>
      </w:r>
      <w:r>
        <w:t>the</w:t>
      </w:r>
      <w:r>
        <w:rPr>
          <w:spacing w:val="-6"/>
        </w:rPr>
        <w:t xml:space="preserve"> </w:t>
      </w:r>
      <w:r>
        <w:t>number</w:t>
      </w:r>
      <w:r>
        <w:rPr>
          <w:spacing w:val="-6"/>
        </w:rPr>
        <w:t xml:space="preserve"> </w:t>
      </w:r>
      <w:r>
        <w:t>of</w:t>
      </w:r>
      <w:r>
        <w:rPr>
          <w:spacing w:val="-6"/>
        </w:rPr>
        <w:t xml:space="preserve"> </w:t>
      </w:r>
      <w:r>
        <w:t>schools</w:t>
      </w:r>
      <w:r>
        <w:rPr>
          <w:spacing w:val="-6"/>
        </w:rPr>
        <w:t xml:space="preserve"> </w:t>
      </w:r>
      <w:r>
        <w:t>and</w:t>
      </w:r>
      <w:r>
        <w:rPr>
          <w:spacing w:val="-6"/>
        </w:rPr>
        <w:t xml:space="preserve"> </w:t>
      </w:r>
      <w:r>
        <w:t>student</w:t>
      </w:r>
      <w:r>
        <w:rPr>
          <w:spacing w:val="-6"/>
        </w:rPr>
        <w:t xml:space="preserve"> </w:t>
      </w:r>
      <w:r>
        <w:t>enrollment</w:t>
      </w:r>
      <w:r>
        <w:rPr>
          <w:spacing w:val="-6"/>
        </w:rPr>
        <w:t xml:space="preserve"> </w:t>
      </w:r>
      <w:r>
        <w:t>of</w:t>
      </w:r>
      <w:r>
        <w:rPr>
          <w:spacing w:val="-6"/>
        </w:rPr>
        <w:t xml:space="preserve"> </w:t>
      </w:r>
      <w:r>
        <w:t>schools</w:t>
      </w:r>
      <w:r>
        <w:rPr>
          <w:spacing w:val="-6"/>
        </w:rPr>
        <w:t xml:space="preserve"> </w:t>
      </w:r>
      <w:r>
        <w:t>from</w:t>
      </w:r>
      <w:r>
        <w:rPr>
          <w:spacing w:val="-6"/>
        </w:rPr>
        <w:t xml:space="preserve"> </w:t>
      </w:r>
      <w:r>
        <w:t>the</w:t>
      </w:r>
      <w:r>
        <w:rPr>
          <w:spacing w:val="-6"/>
        </w:rPr>
        <w:t xml:space="preserve"> </w:t>
      </w:r>
      <w:r>
        <w:t>PSS</w:t>
      </w:r>
      <w:r>
        <w:rPr>
          <w:spacing w:val="-6"/>
        </w:rPr>
        <w:t xml:space="preserve"> </w:t>
      </w:r>
      <w:r>
        <w:t>private</w:t>
      </w:r>
      <w:r>
        <w:rPr>
          <w:spacing w:val="-6"/>
        </w:rPr>
        <w:t xml:space="preserve"> </w:t>
      </w:r>
      <w:r>
        <w:t>school</w:t>
      </w:r>
      <w:r>
        <w:rPr>
          <w:spacing w:val="-6"/>
        </w:rPr>
        <w:t xml:space="preserve"> </w:t>
      </w:r>
      <w:r>
        <w:t>frame.</w:t>
      </w:r>
      <w:r>
        <w:rPr>
          <w:spacing w:val="-10"/>
        </w:rPr>
        <w:t xml:space="preserve"> </w:t>
      </w:r>
      <w:r>
        <w:t>The</w:t>
      </w:r>
      <w:r>
        <w:rPr>
          <w:spacing w:val="-6"/>
        </w:rPr>
        <w:t xml:space="preserve"> </w:t>
      </w:r>
      <w:r>
        <w:t>new-school</w:t>
      </w:r>
      <w:r>
        <w:rPr>
          <w:spacing w:val="-6"/>
        </w:rPr>
        <w:t xml:space="preserve"> </w:t>
      </w:r>
      <w:r>
        <w:t>process</w:t>
      </w:r>
      <w:r>
        <w:rPr>
          <w:spacing w:val="-6"/>
        </w:rPr>
        <w:t xml:space="preserve"> </w:t>
      </w:r>
      <w:r>
        <w:t>for</w:t>
      </w:r>
      <w:r>
        <w:rPr>
          <w:spacing w:val="-6"/>
        </w:rPr>
        <w:t xml:space="preserve"> </w:t>
      </w:r>
      <w:r>
        <w:t>long-term</w:t>
      </w:r>
      <w:r>
        <w:rPr>
          <w:spacing w:val="-6"/>
        </w:rPr>
        <w:t xml:space="preserve"> </w:t>
      </w:r>
      <w:r>
        <w:t>trend</w:t>
      </w:r>
      <w:r>
        <w:rPr>
          <w:spacing w:val="-6"/>
        </w:rPr>
        <w:t xml:space="preserve"> </w:t>
      </w:r>
      <w:r>
        <w:t>(LTT) piggybacked on the process for the grade-based samples as follows:</w:t>
      </w:r>
    </w:p>
    <w:p w:rsidR="003F5784" w14:paraId="4D3F0259" w14:textId="77777777">
      <w:pPr>
        <w:pStyle w:val="BodyText"/>
        <w:spacing w:before="210" w:line="232" w:lineRule="auto"/>
        <w:ind w:left="109" w:right="179"/>
      </w:pPr>
      <w:r>
        <w:t>A</w:t>
      </w:r>
      <w:r>
        <w:rPr>
          <w:spacing w:val="-14"/>
        </w:rPr>
        <w:t xml:space="preserve"> </w:t>
      </w:r>
      <w:r>
        <w:t>diocese</w:t>
      </w:r>
      <w:r>
        <w:rPr>
          <w:spacing w:val="-6"/>
        </w:rPr>
        <w:t xml:space="preserve"> </w:t>
      </w:r>
      <w:r>
        <w:t>was</w:t>
      </w:r>
      <w:r>
        <w:rPr>
          <w:spacing w:val="-5"/>
        </w:rPr>
        <w:t xml:space="preserve"> </w:t>
      </w:r>
      <w:r>
        <w:t>considered</w:t>
      </w:r>
      <w:r>
        <w:rPr>
          <w:spacing w:val="-5"/>
        </w:rPr>
        <w:t xml:space="preserve"> </w:t>
      </w:r>
      <w:r>
        <w:t>to</w:t>
      </w:r>
      <w:r>
        <w:rPr>
          <w:spacing w:val="-5"/>
        </w:rPr>
        <w:t xml:space="preserve"> </w:t>
      </w:r>
      <w:r>
        <w:t>be</w:t>
      </w:r>
      <w:r>
        <w:rPr>
          <w:spacing w:val="-5"/>
        </w:rPr>
        <w:t xml:space="preserve"> </w:t>
      </w:r>
      <w:r>
        <w:t>small</w:t>
      </w:r>
      <w:r>
        <w:rPr>
          <w:spacing w:val="-5"/>
        </w:rPr>
        <w:t xml:space="preserve"> </w:t>
      </w:r>
      <w:r>
        <w:t>if</w:t>
      </w:r>
      <w:r>
        <w:rPr>
          <w:spacing w:val="-5"/>
        </w:rPr>
        <w:t xml:space="preserve"> </w:t>
      </w:r>
      <w:r>
        <w:t>it</w:t>
      </w:r>
      <w:r>
        <w:rPr>
          <w:spacing w:val="-5"/>
        </w:rPr>
        <w:t xml:space="preserve"> </w:t>
      </w:r>
      <w:r>
        <w:t>contained</w:t>
      </w:r>
      <w:r>
        <w:rPr>
          <w:spacing w:val="-5"/>
        </w:rPr>
        <w:t xml:space="preserve"> </w:t>
      </w:r>
      <w:r>
        <w:t>no</w:t>
      </w:r>
      <w:r>
        <w:rPr>
          <w:spacing w:val="-5"/>
        </w:rPr>
        <w:t xml:space="preserve"> </w:t>
      </w:r>
      <w:r>
        <w:t>more</w:t>
      </w:r>
      <w:r>
        <w:rPr>
          <w:spacing w:val="-5"/>
        </w:rPr>
        <w:t xml:space="preserve"> </w:t>
      </w:r>
      <w:r>
        <w:t>than</w:t>
      </w:r>
      <w:r>
        <w:rPr>
          <w:spacing w:val="-5"/>
        </w:rPr>
        <w:t xml:space="preserve"> </w:t>
      </w:r>
      <w:r>
        <w:t>one</w:t>
      </w:r>
      <w:r>
        <w:rPr>
          <w:spacing w:val="-5"/>
        </w:rPr>
        <w:t xml:space="preserve"> </w:t>
      </w:r>
      <w:r>
        <w:t>school</w:t>
      </w:r>
      <w:r>
        <w:rPr>
          <w:spacing w:val="-5"/>
        </w:rPr>
        <w:t xml:space="preserve"> </w:t>
      </w:r>
      <w:r>
        <w:t>at</w:t>
      </w:r>
      <w:r>
        <w:rPr>
          <w:spacing w:val="-5"/>
        </w:rPr>
        <w:t xml:space="preserve"> </w:t>
      </w:r>
      <w:r>
        <w:t>each</w:t>
      </w:r>
      <w:r>
        <w:rPr>
          <w:spacing w:val="-5"/>
        </w:rPr>
        <w:t xml:space="preserve"> </w:t>
      </w:r>
      <w:r>
        <w:t>of</w:t>
      </w:r>
      <w:r>
        <w:rPr>
          <w:spacing w:val="-5"/>
        </w:rPr>
        <w:t xml:space="preserve"> </w:t>
      </w:r>
      <w:r>
        <w:t>grades</w:t>
      </w:r>
      <w:r>
        <w:rPr>
          <w:spacing w:val="-5"/>
        </w:rPr>
        <w:t xml:space="preserve"> </w:t>
      </w:r>
      <w:r>
        <w:t>4</w:t>
      </w:r>
      <w:r>
        <w:rPr>
          <w:spacing w:val="-5"/>
        </w:rPr>
        <w:t xml:space="preserve"> </w:t>
      </w:r>
      <w:r>
        <w:t>and</w:t>
      </w:r>
      <w:r>
        <w:rPr>
          <w:spacing w:val="-5"/>
        </w:rPr>
        <w:t xml:space="preserve"> </w:t>
      </w:r>
      <w:r>
        <w:t>8.</w:t>
      </w:r>
      <w:r>
        <w:rPr>
          <w:spacing w:val="-5"/>
        </w:rPr>
        <w:t xml:space="preserve"> </w:t>
      </w:r>
      <w:r>
        <w:t>During</w:t>
      </w:r>
      <w:r>
        <w:rPr>
          <w:spacing w:val="-5"/>
        </w:rPr>
        <w:t xml:space="preserve"> </w:t>
      </w:r>
      <w:r>
        <w:t>school</w:t>
      </w:r>
      <w:r>
        <w:rPr>
          <w:spacing w:val="-5"/>
        </w:rPr>
        <w:t xml:space="preserve"> </w:t>
      </w:r>
      <w:r>
        <w:t>recruitment,</w:t>
      </w:r>
      <w:r>
        <w:rPr>
          <w:spacing w:val="-5"/>
        </w:rPr>
        <w:t xml:space="preserve"> </w:t>
      </w:r>
      <w:r>
        <w:t>schools</w:t>
      </w:r>
      <w:r>
        <w:rPr>
          <w:spacing w:val="-5"/>
        </w:rPr>
        <w:t xml:space="preserve"> </w:t>
      </w:r>
      <w:r>
        <w:t>sampled</w:t>
      </w:r>
      <w:r>
        <w:rPr>
          <w:spacing w:val="-5"/>
        </w:rPr>
        <w:t xml:space="preserve"> </w:t>
      </w:r>
      <w:r>
        <w:t>from</w:t>
      </w:r>
      <w:r>
        <w:rPr>
          <w:spacing w:val="-5"/>
        </w:rPr>
        <w:t xml:space="preserve"> </w:t>
      </w:r>
      <w:r>
        <w:t>small</w:t>
      </w:r>
      <w:r>
        <w:rPr>
          <w:spacing w:val="-5"/>
        </w:rPr>
        <w:t xml:space="preserve"> </w:t>
      </w:r>
      <w:r>
        <w:t>dioceses</w:t>
      </w:r>
      <w:r>
        <w:rPr>
          <w:spacing w:val="-5"/>
        </w:rPr>
        <w:t xml:space="preserve"> </w:t>
      </w:r>
      <w:r>
        <w:t>were asked</w:t>
      </w:r>
      <w:r>
        <w:rPr>
          <w:spacing w:val="-2"/>
        </w:rPr>
        <w:t xml:space="preserve"> </w:t>
      </w:r>
      <w:r>
        <w:t>to</w:t>
      </w:r>
      <w:r>
        <w:rPr>
          <w:spacing w:val="-2"/>
        </w:rPr>
        <w:t xml:space="preserve"> </w:t>
      </w:r>
      <w:r>
        <w:t>identify</w:t>
      </w:r>
      <w:r>
        <w:rPr>
          <w:spacing w:val="-2"/>
        </w:rPr>
        <w:t xml:space="preserve"> </w:t>
      </w:r>
      <w:r>
        <w:t>schools</w:t>
      </w:r>
      <w:r>
        <w:rPr>
          <w:spacing w:val="-2"/>
        </w:rPr>
        <w:t xml:space="preserve"> </w:t>
      </w:r>
      <w:r>
        <w:t>within</w:t>
      </w:r>
      <w:r>
        <w:rPr>
          <w:spacing w:val="-2"/>
        </w:rPr>
        <w:t xml:space="preserve"> </w:t>
      </w:r>
      <w:r>
        <w:t>their</w:t>
      </w:r>
      <w:r>
        <w:rPr>
          <w:spacing w:val="-2"/>
        </w:rPr>
        <w:t xml:space="preserve"> </w:t>
      </w:r>
      <w:r>
        <w:t>dioceses</w:t>
      </w:r>
      <w:r>
        <w:rPr>
          <w:spacing w:val="-2"/>
        </w:rPr>
        <w:t xml:space="preserve"> </w:t>
      </w:r>
      <w:r>
        <w:t>that</w:t>
      </w:r>
      <w:r>
        <w:rPr>
          <w:spacing w:val="-2"/>
        </w:rPr>
        <w:t xml:space="preserve"> </w:t>
      </w:r>
      <w:r>
        <w:t>newly</w:t>
      </w:r>
      <w:r>
        <w:rPr>
          <w:spacing w:val="-2"/>
        </w:rPr>
        <w:t xml:space="preserve"> </w:t>
      </w:r>
      <w:r>
        <w:t>offered</w:t>
      </w:r>
      <w:r>
        <w:rPr>
          <w:spacing w:val="-2"/>
        </w:rPr>
        <w:t xml:space="preserve"> </w:t>
      </w:r>
      <w:r>
        <w:t>the</w:t>
      </w:r>
      <w:r>
        <w:rPr>
          <w:spacing w:val="-2"/>
        </w:rPr>
        <w:t xml:space="preserve"> </w:t>
      </w:r>
      <w:r>
        <w:t>targeted</w:t>
      </w:r>
      <w:r>
        <w:rPr>
          <w:spacing w:val="-2"/>
        </w:rPr>
        <w:t xml:space="preserve"> </w:t>
      </w:r>
      <w:r>
        <w:t>grades</w:t>
      </w:r>
      <w:r>
        <w:rPr>
          <w:spacing w:val="-2"/>
        </w:rPr>
        <w:t xml:space="preserve"> </w:t>
      </w:r>
      <w:r>
        <w:t>(grades</w:t>
      </w:r>
      <w:r>
        <w:rPr>
          <w:spacing w:val="-2"/>
        </w:rPr>
        <w:t xml:space="preserve"> </w:t>
      </w:r>
      <w:r>
        <w:t>2-5</w:t>
      </w:r>
      <w:r>
        <w:rPr>
          <w:spacing w:val="-2"/>
        </w:rPr>
        <w:t xml:space="preserve"> </w:t>
      </w:r>
      <w:r>
        <w:t>for</w:t>
      </w:r>
      <w:r>
        <w:rPr>
          <w:spacing w:val="-2"/>
        </w:rPr>
        <w:t xml:space="preserve"> </w:t>
      </w:r>
      <w:r>
        <w:t>age</w:t>
      </w:r>
      <w:r>
        <w:rPr>
          <w:spacing w:val="-2"/>
        </w:rPr>
        <w:t xml:space="preserve"> </w:t>
      </w:r>
      <w:r>
        <w:t>9).</w:t>
      </w:r>
      <w:r>
        <w:rPr>
          <w:spacing w:val="-2"/>
        </w:rPr>
        <w:t xml:space="preserve"> </w:t>
      </w:r>
      <w:r>
        <w:t>From</w:t>
      </w:r>
      <w:r>
        <w:rPr>
          <w:spacing w:val="-2"/>
        </w:rPr>
        <w:t xml:space="preserve"> </w:t>
      </w:r>
      <w:r>
        <w:t>a</w:t>
      </w:r>
      <w:r>
        <w:rPr>
          <w:spacing w:val="-2"/>
        </w:rPr>
        <w:t xml:space="preserve"> </w:t>
      </w:r>
      <w:r>
        <w:t>sampling</w:t>
      </w:r>
      <w:r>
        <w:rPr>
          <w:spacing w:val="-2"/>
        </w:rPr>
        <w:t xml:space="preserve"> </w:t>
      </w:r>
      <w:r>
        <w:t>perspective,</w:t>
      </w:r>
      <w:r>
        <w:rPr>
          <w:spacing w:val="-2"/>
        </w:rPr>
        <w:t xml:space="preserve"> </w:t>
      </w:r>
      <w:r>
        <w:t>each</w:t>
      </w:r>
      <w:r>
        <w:rPr>
          <w:spacing w:val="-2"/>
        </w:rPr>
        <w:t xml:space="preserve"> </w:t>
      </w:r>
      <w:r>
        <w:t>new</w:t>
      </w:r>
      <w:r>
        <w:rPr>
          <w:spacing w:val="-2"/>
        </w:rPr>
        <w:t xml:space="preserve"> </w:t>
      </w:r>
      <w:r>
        <w:t>school</w:t>
      </w:r>
      <w:r>
        <w:rPr>
          <w:spacing w:val="-2"/>
        </w:rPr>
        <w:t xml:space="preserve"> </w:t>
      </w:r>
      <w:r>
        <w:t>was</w:t>
      </w:r>
      <w:r>
        <w:rPr>
          <w:spacing w:val="-2"/>
        </w:rPr>
        <w:t xml:space="preserve"> </w:t>
      </w:r>
      <w:r>
        <w:t>viewed</w:t>
      </w:r>
      <w:r>
        <w:rPr>
          <w:spacing w:val="-2"/>
        </w:rPr>
        <w:t xml:space="preserve"> </w:t>
      </w:r>
      <w:r>
        <w:t>as</w:t>
      </w:r>
      <w:r>
        <w:rPr>
          <w:spacing w:val="-2"/>
        </w:rPr>
        <w:t xml:space="preserve"> </w:t>
      </w:r>
      <w:r>
        <w:t>an "annex" to the sampled school, which meant that it had a well-defined probability of selection equal to that of the sampled school.</w:t>
      </w:r>
      <w:r>
        <w:rPr>
          <w:spacing w:val="-3"/>
        </w:rPr>
        <w:t xml:space="preserve"> </w:t>
      </w:r>
      <w:r>
        <w:t>When a school in a small diocese was sampled from the PSS frame, its associated new school was automatically sampled as well.</w:t>
      </w:r>
    </w:p>
    <w:p w:rsidR="003F5784" w14:paraId="0549E2E8" w14:textId="77777777">
      <w:pPr>
        <w:pStyle w:val="BodyText"/>
        <w:spacing w:before="210" w:line="232" w:lineRule="auto"/>
        <w:ind w:left="109" w:right="179"/>
      </w:pPr>
      <w:r>
        <w:t>Dioceses</w:t>
      </w:r>
      <w:r>
        <w:rPr>
          <w:spacing w:val="-6"/>
        </w:rPr>
        <w:t xml:space="preserve"> </w:t>
      </w:r>
      <w:r>
        <w:t>that</w:t>
      </w:r>
      <w:r>
        <w:rPr>
          <w:spacing w:val="-6"/>
        </w:rPr>
        <w:t xml:space="preserve"> </w:t>
      </w:r>
      <w:r>
        <w:t>were</w:t>
      </w:r>
      <w:r>
        <w:rPr>
          <w:spacing w:val="-6"/>
        </w:rPr>
        <w:t xml:space="preserve"> </w:t>
      </w:r>
      <w:r>
        <w:t>not</w:t>
      </w:r>
      <w:r>
        <w:rPr>
          <w:spacing w:val="-6"/>
        </w:rPr>
        <w:t xml:space="preserve"> </w:t>
      </w:r>
      <w:r>
        <w:t>small</w:t>
      </w:r>
      <w:r>
        <w:rPr>
          <w:spacing w:val="-6"/>
        </w:rPr>
        <w:t xml:space="preserve"> </w:t>
      </w:r>
      <w:r>
        <w:t>were</w:t>
      </w:r>
      <w:r>
        <w:rPr>
          <w:spacing w:val="-6"/>
        </w:rPr>
        <w:t xml:space="preserve"> </w:t>
      </w:r>
      <w:r>
        <w:t>further</w:t>
      </w:r>
      <w:r>
        <w:rPr>
          <w:spacing w:val="-6"/>
        </w:rPr>
        <w:t xml:space="preserve"> </w:t>
      </w:r>
      <w:r>
        <w:t>divided</w:t>
      </w:r>
      <w:r>
        <w:rPr>
          <w:spacing w:val="-6"/>
        </w:rPr>
        <w:t xml:space="preserve"> </w:t>
      </w:r>
      <w:r>
        <w:t>into</w:t>
      </w:r>
      <w:r>
        <w:rPr>
          <w:spacing w:val="-6"/>
        </w:rPr>
        <w:t xml:space="preserve"> </w:t>
      </w:r>
      <w:r>
        <w:t>two</w:t>
      </w:r>
      <w:r>
        <w:rPr>
          <w:spacing w:val="-6"/>
        </w:rPr>
        <w:t xml:space="preserve"> </w:t>
      </w:r>
      <w:r>
        <w:t>strata,</w:t>
      </w:r>
      <w:r>
        <w:rPr>
          <w:spacing w:val="-6"/>
        </w:rPr>
        <w:t xml:space="preserve"> </w:t>
      </w:r>
      <w:r>
        <w:t>one</w:t>
      </w:r>
      <w:r>
        <w:rPr>
          <w:spacing w:val="-6"/>
        </w:rPr>
        <w:t xml:space="preserve"> </w:t>
      </w:r>
      <w:r>
        <w:t>containing</w:t>
      </w:r>
      <w:r>
        <w:rPr>
          <w:spacing w:val="-6"/>
        </w:rPr>
        <w:t xml:space="preserve"> </w:t>
      </w:r>
      <w:r>
        <w:t>large-size</w:t>
      </w:r>
      <w:r>
        <w:rPr>
          <w:spacing w:val="-6"/>
        </w:rPr>
        <w:t xml:space="preserve"> </w:t>
      </w:r>
      <w:r>
        <w:t>dioceses</w:t>
      </w:r>
      <w:r>
        <w:rPr>
          <w:spacing w:val="-6"/>
        </w:rPr>
        <w:t xml:space="preserve"> </w:t>
      </w:r>
      <w:r>
        <w:t>and</w:t>
      </w:r>
      <w:r>
        <w:rPr>
          <w:spacing w:val="-6"/>
        </w:rPr>
        <w:t xml:space="preserve"> </w:t>
      </w:r>
      <w:r>
        <w:t>a</w:t>
      </w:r>
      <w:r>
        <w:rPr>
          <w:spacing w:val="-6"/>
        </w:rPr>
        <w:t xml:space="preserve"> </w:t>
      </w:r>
      <w:r>
        <w:t>second</w:t>
      </w:r>
      <w:r>
        <w:rPr>
          <w:spacing w:val="-6"/>
        </w:rPr>
        <w:t xml:space="preserve"> </w:t>
      </w:r>
      <w:r>
        <w:t>containing</w:t>
      </w:r>
      <w:r>
        <w:rPr>
          <w:spacing w:val="-6"/>
        </w:rPr>
        <w:t xml:space="preserve"> </w:t>
      </w:r>
      <w:r>
        <w:t>medium-size</w:t>
      </w:r>
      <w:r>
        <w:rPr>
          <w:spacing w:val="-6"/>
        </w:rPr>
        <w:t xml:space="preserve"> </w:t>
      </w:r>
      <w:r>
        <w:t>dioceses.</w:t>
      </w:r>
      <w:r>
        <w:rPr>
          <w:spacing w:val="-10"/>
        </w:rPr>
        <w:t xml:space="preserve"> </w:t>
      </w:r>
      <w:r>
        <w:t>These</w:t>
      </w:r>
      <w:r>
        <w:rPr>
          <w:spacing w:val="-6"/>
        </w:rPr>
        <w:t xml:space="preserve"> </w:t>
      </w:r>
      <w:r>
        <w:t>strata</w:t>
      </w:r>
      <w:r>
        <w:rPr>
          <w:spacing w:val="-6"/>
        </w:rPr>
        <w:t xml:space="preserve"> </w:t>
      </w:r>
      <w:r>
        <w:t>were</w:t>
      </w:r>
      <w:r>
        <w:rPr>
          <w:spacing w:val="-6"/>
        </w:rPr>
        <w:t xml:space="preserve"> </w:t>
      </w:r>
      <w:r>
        <w:t>defined by computing the percentage of grade 4 and 8 enrollment represented by each diocese, sorting in descending order, and cumulating the percentages.</w:t>
      </w:r>
      <w:r>
        <w:rPr>
          <w:spacing w:val="-11"/>
        </w:rPr>
        <w:t xml:space="preserve"> </w:t>
      </w:r>
      <w:r>
        <w:t>All dioceses up to</w:t>
      </w:r>
    </w:p>
    <w:p w:rsidR="003F5784" w14:paraId="7E929833" w14:textId="77777777">
      <w:pPr>
        <w:pStyle w:val="BodyText"/>
        <w:spacing w:line="236" w:lineRule="exact"/>
        <w:ind w:left="109"/>
        <w:jc w:val="both"/>
      </w:pPr>
      <w:r>
        <w:t>and</w:t>
      </w:r>
      <w:r>
        <w:rPr>
          <w:spacing w:val="-7"/>
        </w:rPr>
        <w:t xml:space="preserve"> </w:t>
      </w:r>
      <w:r>
        <w:t>including</w:t>
      </w:r>
      <w:r>
        <w:rPr>
          <w:spacing w:val="-6"/>
        </w:rPr>
        <w:t xml:space="preserve"> </w:t>
      </w:r>
      <w:r>
        <w:t>the</w:t>
      </w:r>
      <w:r>
        <w:rPr>
          <w:spacing w:val="-6"/>
        </w:rPr>
        <w:t xml:space="preserve"> </w:t>
      </w:r>
      <w:r>
        <w:t>first</w:t>
      </w:r>
      <w:r>
        <w:rPr>
          <w:spacing w:val="-6"/>
        </w:rPr>
        <w:t xml:space="preserve"> </w:t>
      </w:r>
      <w:r>
        <w:t>diocese</w:t>
      </w:r>
      <w:r>
        <w:rPr>
          <w:spacing w:val="-6"/>
        </w:rPr>
        <w:t xml:space="preserve"> </w:t>
      </w:r>
      <w:r>
        <w:t>at</w:t>
      </w:r>
      <w:r>
        <w:rPr>
          <w:spacing w:val="-6"/>
        </w:rPr>
        <w:t xml:space="preserve"> </w:t>
      </w:r>
      <w:r>
        <w:t>or</w:t>
      </w:r>
      <w:r>
        <w:rPr>
          <w:spacing w:val="-6"/>
        </w:rPr>
        <w:t xml:space="preserve"> </w:t>
      </w:r>
      <w:r>
        <w:t>above</w:t>
      </w:r>
      <w:r>
        <w:rPr>
          <w:spacing w:val="-6"/>
        </w:rPr>
        <w:t xml:space="preserve"> </w:t>
      </w:r>
      <w:r>
        <w:t>the</w:t>
      </w:r>
      <w:r>
        <w:rPr>
          <w:spacing w:val="-6"/>
        </w:rPr>
        <w:t xml:space="preserve"> </w:t>
      </w:r>
      <w:r>
        <w:t>80th</w:t>
      </w:r>
      <w:r>
        <w:rPr>
          <w:spacing w:val="-7"/>
        </w:rPr>
        <w:t xml:space="preserve"> </w:t>
      </w:r>
      <w:r>
        <w:t>cumulative</w:t>
      </w:r>
      <w:r>
        <w:rPr>
          <w:spacing w:val="-6"/>
        </w:rPr>
        <w:t xml:space="preserve"> </w:t>
      </w:r>
      <w:r>
        <w:t>percentage</w:t>
      </w:r>
      <w:r>
        <w:rPr>
          <w:spacing w:val="-6"/>
        </w:rPr>
        <w:t xml:space="preserve"> </w:t>
      </w:r>
      <w:r>
        <w:t>were</w:t>
      </w:r>
      <w:r>
        <w:rPr>
          <w:spacing w:val="-6"/>
        </w:rPr>
        <w:t xml:space="preserve"> </w:t>
      </w:r>
      <w:r>
        <w:t>defined</w:t>
      </w:r>
      <w:r>
        <w:rPr>
          <w:spacing w:val="-6"/>
        </w:rPr>
        <w:t xml:space="preserve"> </w:t>
      </w:r>
      <w:r>
        <w:t>as</w:t>
      </w:r>
      <w:r>
        <w:rPr>
          <w:spacing w:val="-6"/>
        </w:rPr>
        <w:t xml:space="preserve"> </w:t>
      </w:r>
      <w:r>
        <w:t>large</w:t>
      </w:r>
      <w:r>
        <w:rPr>
          <w:spacing w:val="-6"/>
        </w:rPr>
        <w:t xml:space="preserve"> </w:t>
      </w:r>
      <w:r>
        <w:t>dioceses.</w:t>
      </w:r>
      <w:r>
        <w:rPr>
          <w:spacing w:val="-10"/>
        </w:rPr>
        <w:t xml:space="preserve"> </w:t>
      </w:r>
      <w:r>
        <w:t>The</w:t>
      </w:r>
      <w:r>
        <w:rPr>
          <w:spacing w:val="-6"/>
        </w:rPr>
        <w:t xml:space="preserve"> </w:t>
      </w:r>
      <w:r>
        <w:t>remaining</w:t>
      </w:r>
      <w:r>
        <w:rPr>
          <w:spacing w:val="-6"/>
        </w:rPr>
        <w:t xml:space="preserve"> </w:t>
      </w:r>
      <w:r>
        <w:t>dioceses</w:t>
      </w:r>
      <w:r>
        <w:rPr>
          <w:spacing w:val="-6"/>
        </w:rPr>
        <w:t xml:space="preserve"> </w:t>
      </w:r>
      <w:r>
        <w:t>were</w:t>
      </w:r>
      <w:r>
        <w:rPr>
          <w:spacing w:val="-6"/>
        </w:rPr>
        <w:t xml:space="preserve"> </w:t>
      </w:r>
      <w:r>
        <w:t>defined</w:t>
      </w:r>
      <w:r>
        <w:rPr>
          <w:spacing w:val="-6"/>
        </w:rPr>
        <w:t xml:space="preserve"> </w:t>
      </w:r>
      <w:r>
        <w:t>as</w:t>
      </w:r>
      <w:r>
        <w:rPr>
          <w:spacing w:val="-6"/>
        </w:rPr>
        <w:t xml:space="preserve"> </w:t>
      </w:r>
      <w:r>
        <w:t>medium</w:t>
      </w:r>
      <w:r>
        <w:rPr>
          <w:spacing w:val="-7"/>
        </w:rPr>
        <w:t xml:space="preserve"> </w:t>
      </w:r>
      <w:r>
        <w:rPr>
          <w:spacing w:val="-2"/>
        </w:rPr>
        <w:t>dioceses.</w:t>
      </w:r>
    </w:p>
    <w:p w:rsidR="003F5784" w14:paraId="58E5C606" w14:textId="77777777">
      <w:pPr>
        <w:pStyle w:val="BodyText"/>
        <w:spacing w:before="207" w:line="232" w:lineRule="auto"/>
        <w:ind w:left="109" w:right="672"/>
        <w:jc w:val="both"/>
      </w:pPr>
      <w:r>
        <w:t>A</w:t>
      </w:r>
      <w:r>
        <w:rPr>
          <w:spacing w:val="-14"/>
        </w:rPr>
        <w:t xml:space="preserve"> </w:t>
      </w:r>
      <w:r>
        <w:t>simplified</w:t>
      </w:r>
      <w:r>
        <w:rPr>
          <w:spacing w:val="-9"/>
        </w:rPr>
        <w:t xml:space="preserve"> </w:t>
      </w:r>
      <w:r>
        <w:t>example</w:t>
      </w:r>
      <w:r>
        <w:rPr>
          <w:spacing w:val="-7"/>
        </w:rPr>
        <w:t xml:space="preserve"> </w:t>
      </w:r>
      <w:r>
        <w:t>is</w:t>
      </w:r>
      <w:r>
        <w:rPr>
          <w:spacing w:val="-7"/>
        </w:rPr>
        <w:t xml:space="preserve"> </w:t>
      </w:r>
      <w:r>
        <w:t>given</w:t>
      </w:r>
      <w:r>
        <w:rPr>
          <w:spacing w:val="-7"/>
        </w:rPr>
        <w:t xml:space="preserve"> </w:t>
      </w:r>
      <w:r>
        <w:t>below.</w:t>
      </w:r>
      <w:r>
        <w:rPr>
          <w:spacing w:val="-10"/>
        </w:rPr>
        <w:t xml:space="preserve"> </w:t>
      </w:r>
      <w:r>
        <w:t>The</w:t>
      </w:r>
      <w:r>
        <w:rPr>
          <w:spacing w:val="-7"/>
        </w:rPr>
        <w:t xml:space="preserve"> </w:t>
      </w:r>
      <w:r>
        <w:t>dioceses</w:t>
      </w:r>
      <w:r>
        <w:rPr>
          <w:spacing w:val="-7"/>
        </w:rPr>
        <w:t xml:space="preserve"> </w:t>
      </w:r>
      <w:r>
        <w:t>are</w:t>
      </w:r>
      <w:r>
        <w:rPr>
          <w:spacing w:val="-7"/>
        </w:rPr>
        <w:t xml:space="preserve"> </w:t>
      </w:r>
      <w:r>
        <w:t>ordered</w:t>
      </w:r>
      <w:r>
        <w:rPr>
          <w:spacing w:val="-7"/>
        </w:rPr>
        <w:t xml:space="preserve"> </w:t>
      </w:r>
      <w:r>
        <w:t>by</w:t>
      </w:r>
      <w:r>
        <w:rPr>
          <w:spacing w:val="-7"/>
        </w:rPr>
        <w:t xml:space="preserve"> </w:t>
      </w:r>
      <w:r>
        <w:t>descending</w:t>
      </w:r>
      <w:r>
        <w:rPr>
          <w:spacing w:val="-7"/>
        </w:rPr>
        <w:t xml:space="preserve"> </w:t>
      </w:r>
      <w:r>
        <w:t>percentage</w:t>
      </w:r>
      <w:r>
        <w:rPr>
          <w:spacing w:val="-7"/>
        </w:rPr>
        <w:t xml:space="preserve"> </w:t>
      </w:r>
      <w:r>
        <w:t>enrollment.</w:t>
      </w:r>
      <w:r>
        <w:rPr>
          <w:spacing w:val="-10"/>
        </w:rPr>
        <w:t xml:space="preserve"> </w:t>
      </w:r>
      <w:r>
        <w:t>The</w:t>
      </w:r>
      <w:r>
        <w:rPr>
          <w:spacing w:val="-7"/>
        </w:rPr>
        <w:t xml:space="preserve"> </w:t>
      </w:r>
      <w:r>
        <w:t>first</w:t>
      </w:r>
      <w:r>
        <w:rPr>
          <w:spacing w:val="-7"/>
        </w:rPr>
        <w:t xml:space="preserve"> </w:t>
      </w:r>
      <w:r>
        <w:t>six</w:t>
      </w:r>
      <w:r>
        <w:rPr>
          <w:spacing w:val="-7"/>
        </w:rPr>
        <w:t xml:space="preserve"> </w:t>
      </w:r>
      <w:r>
        <w:t>become</w:t>
      </w:r>
      <w:r>
        <w:rPr>
          <w:spacing w:val="-7"/>
        </w:rPr>
        <w:t xml:space="preserve"> </w:t>
      </w:r>
      <w:r>
        <w:t>large</w:t>
      </w:r>
      <w:r>
        <w:rPr>
          <w:spacing w:val="-7"/>
        </w:rPr>
        <w:t xml:space="preserve"> </w:t>
      </w:r>
      <w:r>
        <w:t>dioceses</w:t>
      </w:r>
      <w:r>
        <w:rPr>
          <w:spacing w:val="-7"/>
        </w:rPr>
        <w:t xml:space="preserve"> </w:t>
      </w:r>
      <w:r>
        <w:t>and</w:t>
      </w:r>
      <w:r>
        <w:rPr>
          <w:spacing w:val="-7"/>
        </w:rPr>
        <w:t xml:space="preserve"> </w:t>
      </w:r>
      <w:r>
        <w:t>the</w:t>
      </w:r>
      <w:r>
        <w:rPr>
          <w:spacing w:val="-7"/>
        </w:rPr>
        <w:t xml:space="preserve"> </w:t>
      </w:r>
      <w:r>
        <w:t>last</w:t>
      </w:r>
      <w:r>
        <w:rPr>
          <w:spacing w:val="-7"/>
        </w:rPr>
        <w:t xml:space="preserve"> </w:t>
      </w:r>
      <w:r>
        <w:t>six</w:t>
      </w:r>
      <w:r>
        <w:rPr>
          <w:spacing w:val="-7"/>
        </w:rPr>
        <w:t xml:space="preserve"> </w:t>
      </w:r>
      <w:r>
        <w:t>become</w:t>
      </w:r>
      <w:r>
        <w:rPr>
          <w:spacing w:val="-7"/>
        </w:rPr>
        <w:t xml:space="preserve"> </w:t>
      </w:r>
      <w:r>
        <w:t xml:space="preserve">medium </w:t>
      </w:r>
      <w:r>
        <w:rPr>
          <w:spacing w:val="-2"/>
        </w:rPr>
        <w:t>dioceses.</w:t>
      </w:r>
    </w:p>
    <w:p w:rsidR="003F5784" w14:paraId="01EACACC" w14:textId="77777777">
      <w:pPr>
        <w:pStyle w:val="BodyText"/>
        <w:spacing w:before="92"/>
      </w:pPr>
    </w:p>
    <w:p w:rsidR="003F5784" w14:paraId="277295D4" w14:textId="77777777">
      <w:pPr>
        <w:pStyle w:val="Heading2"/>
        <w:spacing w:before="1"/>
      </w:pPr>
      <w:r>
        <w:t>Example</w:t>
      </w:r>
      <w:r>
        <w:rPr>
          <w:spacing w:val="-8"/>
        </w:rPr>
        <w:t xml:space="preserve"> </w:t>
      </w:r>
      <w:r>
        <w:t>showing</w:t>
      </w:r>
      <w:r>
        <w:rPr>
          <w:spacing w:val="-7"/>
        </w:rPr>
        <w:t xml:space="preserve"> </w:t>
      </w:r>
      <w:r>
        <w:t>assignment</w:t>
      </w:r>
      <w:r>
        <w:rPr>
          <w:spacing w:val="-7"/>
        </w:rPr>
        <w:t xml:space="preserve"> </w:t>
      </w:r>
      <w:r>
        <w:t>of</w:t>
      </w:r>
      <w:r>
        <w:rPr>
          <w:spacing w:val="-8"/>
        </w:rPr>
        <w:t xml:space="preserve"> </w:t>
      </w:r>
      <w:r>
        <w:t>Catholic</w:t>
      </w:r>
      <w:r>
        <w:rPr>
          <w:spacing w:val="-7"/>
        </w:rPr>
        <w:t xml:space="preserve"> </w:t>
      </w:r>
      <w:r>
        <w:t>dioceses</w:t>
      </w:r>
      <w:r>
        <w:rPr>
          <w:spacing w:val="-7"/>
        </w:rPr>
        <w:t xml:space="preserve"> </w:t>
      </w:r>
      <w:r>
        <w:t>to</w:t>
      </w:r>
      <w:r>
        <w:rPr>
          <w:spacing w:val="-8"/>
        </w:rPr>
        <w:t xml:space="preserve"> </w:t>
      </w:r>
      <w:r>
        <w:t>the</w:t>
      </w:r>
      <w:r>
        <w:rPr>
          <w:spacing w:val="-7"/>
        </w:rPr>
        <w:t xml:space="preserve"> </w:t>
      </w:r>
      <w:r>
        <w:t>large-size</w:t>
      </w:r>
      <w:r>
        <w:rPr>
          <w:spacing w:val="-7"/>
        </w:rPr>
        <w:t xml:space="preserve"> </w:t>
      </w:r>
      <w:r>
        <w:t>and</w:t>
      </w:r>
      <w:r>
        <w:rPr>
          <w:spacing w:val="-7"/>
        </w:rPr>
        <w:t xml:space="preserve"> </w:t>
      </w:r>
      <w:r>
        <w:t>medium-size</w:t>
      </w:r>
      <w:r>
        <w:rPr>
          <w:spacing w:val="-8"/>
        </w:rPr>
        <w:t xml:space="preserve"> </w:t>
      </w:r>
      <w:r>
        <w:t>diocese</w:t>
      </w:r>
      <w:r>
        <w:rPr>
          <w:spacing w:val="-7"/>
        </w:rPr>
        <w:t xml:space="preserve"> </w:t>
      </w:r>
      <w:r>
        <w:t>strata,</w:t>
      </w:r>
      <w:r>
        <w:rPr>
          <w:spacing w:val="-7"/>
        </w:rPr>
        <w:t xml:space="preserve"> </w:t>
      </w:r>
      <w:r>
        <w:rPr>
          <w:spacing w:val="-4"/>
        </w:rPr>
        <w:t>2022</w:t>
      </w:r>
    </w:p>
    <w:p w:rsidR="003F5784" w14:paraId="71EAB5D0"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2708"/>
        <w:gridCol w:w="4968"/>
        <w:gridCol w:w="4927"/>
        <w:gridCol w:w="1381"/>
      </w:tblGrid>
      <w:tr w14:paraId="4B15F7C6" w14:textId="77777777">
        <w:tblPrEx>
          <w:tblW w:w="0" w:type="auto"/>
          <w:tblInd w:w="482" w:type="dxa"/>
          <w:tblLayout w:type="fixed"/>
          <w:tblCellMar>
            <w:left w:w="0" w:type="dxa"/>
            <w:right w:w="0" w:type="dxa"/>
          </w:tblCellMar>
          <w:tblLook w:val="01E0"/>
        </w:tblPrEx>
        <w:trPr>
          <w:trHeight w:val="267"/>
        </w:trPr>
        <w:tc>
          <w:tcPr>
            <w:tcW w:w="2708" w:type="dxa"/>
            <w:tcBorders>
              <w:top w:val="single" w:sz="18" w:space="0" w:color="800000"/>
              <w:bottom w:val="single" w:sz="18" w:space="0" w:color="800000"/>
            </w:tcBorders>
          </w:tcPr>
          <w:p w:rsidR="003F5784" w14:paraId="544DEE90" w14:textId="77777777">
            <w:pPr>
              <w:pStyle w:val="TableParagraph"/>
              <w:spacing w:before="9" w:line="238" w:lineRule="exact"/>
              <w:ind w:left="120"/>
              <w:jc w:val="left"/>
              <w:rPr>
                <w:sz w:val="21"/>
              </w:rPr>
            </w:pPr>
            <w:r>
              <w:rPr>
                <w:spacing w:val="-2"/>
                <w:sz w:val="21"/>
              </w:rPr>
              <w:t>Diocese</w:t>
            </w:r>
          </w:p>
        </w:tc>
        <w:tc>
          <w:tcPr>
            <w:tcW w:w="4968" w:type="dxa"/>
            <w:tcBorders>
              <w:top w:val="single" w:sz="18" w:space="0" w:color="800000"/>
              <w:bottom w:val="single" w:sz="18" w:space="0" w:color="800000"/>
            </w:tcBorders>
          </w:tcPr>
          <w:p w:rsidR="003F5784" w14:paraId="4CC5E9D8" w14:textId="77777777">
            <w:pPr>
              <w:pStyle w:val="TableParagraph"/>
              <w:spacing w:before="9" w:line="238" w:lineRule="exact"/>
              <w:ind w:right="1439"/>
              <w:rPr>
                <w:sz w:val="21"/>
              </w:rPr>
            </w:pPr>
            <w:r>
              <w:rPr>
                <w:sz w:val="21"/>
              </w:rPr>
              <w:t>Percentage</w:t>
            </w:r>
            <w:r>
              <w:rPr>
                <w:spacing w:val="-11"/>
                <w:sz w:val="21"/>
              </w:rPr>
              <w:t xml:space="preserve"> </w:t>
            </w:r>
            <w:r>
              <w:rPr>
                <w:spacing w:val="-2"/>
                <w:sz w:val="21"/>
              </w:rPr>
              <w:t>enrollment</w:t>
            </w:r>
          </w:p>
        </w:tc>
        <w:tc>
          <w:tcPr>
            <w:tcW w:w="4927" w:type="dxa"/>
            <w:tcBorders>
              <w:top w:val="single" w:sz="18" w:space="0" w:color="800000"/>
              <w:bottom w:val="single" w:sz="18" w:space="0" w:color="800000"/>
            </w:tcBorders>
          </w:tcPr>
          <w:p w:rsidR="003F5784" w14:paraId="5FA8F402" w14:textId="77777777">
            <w:pPr>
              <w:pStyle w:val="TableParagraph"/>
              <w:spacing w:before="9" w:line="238" w:lineRule="exact"/>
              <w:ind w:right="598"/>
              <w:rPr>
                <w:sz w:val="21"/>
              </w:rPr>
            </w:pPr>
            <w:r>
              <w:rPr>
                <w:sz w:val="21"/>
              </w:rPr>
              <w:t>Cumulative</w:t>
            </w:r>
            <w:r>
              <w:rPr>
                <w:spacing w:val="-11"/>
                <w:sz w:val="21"/>
              </w:rPr>
              <w:t xml:space="preserve"> </w:t>
            </w:r>
            <w:r>
              <w:rPr>
                <w:sz w:val="21"/>
              </w:rPr>
              <w:t>percentage</w:t>
            </w:r>
            <w:r>
              <w:rPr>
                <w:spacing w:val="-10"/>
                <w:sz w:val="21"/>
              </w:rPr>
              <w:t xml:space="preserve"> </w:t>
            </w:r>
            <w:r>
              <w:rPr>
                <w:spacing w:val="-2"/>
                <w:sz w:val="21"/>
              </w:rPr>
              <w:t>enrollment</w:t>
            </w:r>
          </w:p>
        </w:tc>
        <w:tc>
          <w:tcPr>
            <w:tcW w:w="1381" w:type="dxa"/>
            <w:tcBorders>
              <w:top w:val="single" w:sz="18" w:space="0" w:color="800000"/>
              <w:bottom w:val="single" w:sz="18" w:space="0" w:color="800000"/>
            </w:tcBorders>
          </w:tcPr>
          <w:p w:rsidR="003F5784" w14:paraId="6FA5EA2F" w14:textId="77777777">
            <w:pPr>
              <w:pStyle w:val="TableParagraph"/>
              <w:spacing w:before="9" w:line="238" w:lineRule="exact"/>
              <w:ind w:right="117"/>
              <w:rPr>
                <w:sz w:val="21"/>
              </w:rPr>
            </w:pPr>
            <w:r>
              <w:rPr>
                <w:spacing w:val="-2"/>
                <w:sz w:val="21"/>
              </w:rPr>
              <w:t>Stratum</w:t>
            </w:r>
          </w:p>
        </w:tc>
      </w:tr>
      <w:tr w14:paraId="75236195" w14:textId="77777777">
        <w:tblPrEx>
          <w:tblW w:w="0" w:type="auto"/>
          <w:tblInd w:w="482" w:type="dxa"/>
          <w:tblLayout w:type="fixed"/>
          <w:tblCellMar>
            <w:left w:w="0" w:type="dxa"/>
            <w:right w:w="0" w:type="dxa"/>
          </w:tblCellMar>
          <w:tblLook w:val="01E0"/>
        </w:tblPrEx>
        <w:trPr>
          <w:trHeight w:val="278"/>
        </w:trPr>
        <w:tc>
          <w:tcPr>
            <w:tcW w:w="2708" w:type="dxa"/>
            <w:tcBorders>
              <w:top w:val="single" w:sz="18" w:space="0" w:color="800000"/>
            </w:tcBorders>
          </w:tcPr>
          <w:p w:rsidR="003F5784" w14:paraId="24CF3395" w14:textId="77777777">
            <w:pPr>
              <w:pStyle w:val="TableParagraph"/>
              <w:spacing w:before="9"/>
              <w:ind w:left="120"/>
              <w:jc w:val="left"/>
              <w:rPr>
                <w:sz w:val="21"/>
              </w:rPr>
            </w:pPr>
            <w:r>
              <w:rPr>
                <w:sz w:val="21"/>
              </w:rPr>
              <w:t>Diocese</w:t>
            </w:r>
            <w:r>
              <w:rPr>
                <w:spacing w:val="-8"/>
                <w:sz w:val="21"/>
              </w:rPr>
              <w:t xml:space="preserve"> </w:t>
            </w:r>
            <w:r>
              <w:rPr>
                <w:spacing w:val="-10"/>
                <w:sz w:val="21"/>
              </w:rPr>
              <w:t>1</w:t>
            </w:r>
          </w:p>
        </w:tc>
        <w:tc>
          <w:tcPr>
            <w:tcW w:w="4968" w:type="dxa"/>
            <w:tcBorders>
              <w:top w:val="single" w:sz="18" w:space="0" w:color="800000"/>
            </w:tcBorders>
          </w:tcPr>
          <w:p w:rsidR="003F5784" w14:paraId="3BFAAE00" w14:textId="77777777">
            <w:pPr>
              <w:pStyle w:val="TableParagraph"/>
              <w:spacing w:before="9"/>
              <w:ind w:right="1439"/>
              <w:rPr>
                <w:sz w:val="21"/>
              </w:rPr>
            </w:pPr>
            <w:r>
              <w:rPr>
                <w:spacing w:val="-5"/>
                <w:sz w:val="21"/>
              </w:rPr>
              <w:t>20</w:t>
            </w:r>
          </w:p>
        </w:tc>
        <w:tc>
          <w:tcPr>
            <w:tcW w:w="4927" w:type="dxa"/>
            <w:tcBorders>
              <w:top w:val="single" w:sz="18" w:space="0" w:color="800000"/>
            </w:tcBorders>
          </w:tcPr>
          <w:p w:rsidR="003F5784" w14:paraId="1AF20BCC" w14:textId="77777777">
            <w:pPr>
              <w:pStyle w:val="TableParagraph"/>
              <w:spacing w:before="9"/>
              <w:ind w:right="598"/>
              <w:rPr>
                <w:sz w:val="21"/>
              </w:rPr>
            </w:pPr>
            <w:r>
              <w:rPr>
                <w:spacing w:val="-5"/>
                <w:sz w:val="21"/>
              </w:rPr>
              <w:t>20</w:t>
            </w:r>
          </w:p>
        </w:tc>
        <w:tc>
          <w:tcPr>
            <w:tcW w:w="1381" w:type="dxa"/>
            <w:tcBorders>
              <w:top w:val="single" w:sz="18" w:space="0" w:color="800000"/>
            </w:tcBorders>
          </w:tcPr>
          <w:p w:rsidR="003F5784" w14:paraId="52BB43C3" w14:textId="77777777">
            <w:pPr>
              <w:pStyle w:val="TableParagraph"/>
              <w:spacing w:before="9"/>
              <w:ind w:right="117"/>
              <w:rPr>
                <w:sz w:val="21"/>
              </w:rPr>
            </w:pPr>
            <w:r>
              <w:rPr>
                <w:spacing w:val="-10"/>
                <w:sz w:val="21"/>
              </w:rPr>
              <w:t>L</w:t>
            </w:r>
          </w:p>
        </w:tc>
      </w:tr>
      <w:tr w14:paraId="4E78F99A" w14:textId="77777777">
        <w:tblPrEx>
          <w:tblW w:w="0" w:type="auto"/>
          <w:tblInd w:w="482" w:type="dxa"/>
          <w:tblLayout w:type="fixed"/>
          <w:tblCellMar>
            <w:left w:w="0" w:type="dxa"/>
            <w:right w:w="0" w:type="dxa"/>
          </w:tblCellMar>
          <w:tblLook w:val="01E0"/>
        </w:tblPrEx>
        <w:trPr>
          <w:trHeight w:val="286"/>
        </w:trPr>
        <w:tc>
          <w:tcPr>
            <w:tcW w:w="2708" w:type="dxa"/>
          </w:tcPr>
          <w:p w:rsidR="003F5784" w14:paraId="696397D9" w14:textId="77777777">
            <w:pPr>
              <w:pStyle w:val="TableParagraph"/>
              <w:ind w:left="120"/>
              <w:jc w:val="left"/>
              <w:rPr>
                <w:sz w:val="21"/>
              </w:rPr>
            </w:pPr>
            <w:r>
              <w:rPr>
                <w:sz w:val="21"/>
              </w:rPr>
              <w:t>Diocese</w:t>
            </w:r>
            <w:r>
              <w:rPr>
                <w:spacing w:val="-8"/>
                <w:sz w:val="21"/>
              </w:rPr>
              <w:t xml:space="preserve"> </w:t>
            </w:r>
            <w:r>
              <w:rPr>
                <w:spacing w:val="-10"/>
                <w:sz w:val="21"/>
              </w:rPr>
              <w:t>2</w:t>
            </w:r>
          </w:p>
        </w:tc>
        <w:tc>
          <w:tcPr>
            <w:tcW w:w="4968" w:type="dxa"/>
          </w:tcPr>
          <w:p w:rsidR="003F5784" w14:paraId="2CC55073" w14:textId="77777777">
            <w:pPr>
              <w:pStyle w:val="TableParagraph"/>
              <w:ind w:right="1439"/>
              <w:rPr>
                <w:sz w:val="21"/>
              </w:rPr>
            </w:pPr>
            <w:r>
              <w:rPr>
                <w:spacing w:val="-5"/>
                <w:sz w:val="21"/>
              </w:rPr>
              <w:t>20</w:t>
            </w:r>
          </w:p>
        </w:tc>
        <w:tc>
          <w:tcPr>
            <w:tcW w:w="4927" w:type="dxa"/>
          </w:tcPr>
          <w:p w:rsidR="003F5784" w14:paraId="28AC25D8" w14:textId="77777777">
            <w:pPr>
              <w:pStyle w:val="TableParagraph"/>
              <w:ind w:right="598"/>
              <w:rPr>
                <w:sz w:val="21"/>
              </w:rPr>
            </w:pPr>
            <w:r>
              <w:rPr>
                <w:spacing w:val="-5"/>
                <w:sz w:val="21"/>
              </w:rPr>
              <w:t>40</w:t>
            </w:r>
          </w:p>
        </w:tc>
        <w:tc>
          <w:tcPr>
            <w:tcW w:w="1381" w:type="dxa"/>
          </w:tcPr>
          <w:p w:rsidR="003F5784" w14:paraId="6F348FAE" w14:textId="77777777">
            <w:pPr>
              <w:pStyle w:val="TableParagraph"/>
              <w:ind w:right="117"/>
              <w:rPr>
                <w:sz w:val="21"/>
              </w:rPr>
            </w:pPr>
            <w:r>
              <w:rPr>
                <w:spacing w:val="-10"/>
                <w:sz w:val="21"/>
              </w:rPr>
              <w:t>L</w:t>
            </w:r>
          </w:p>
        </w:tc>
      </w:tr>
      <w:tr w14:paraId="4DDCEC15" w14:textId="77777777">
        <w:tblPrEx>
          <w:tblW w:w="0" w:type="auto"/>
          <w:tblInd w:w="482" w:type="dxa"/>
          <w:tblLayout w:type="fixed"/>
          <w:tblCellMar>
            <w:left w:w="0" w:type="dxa"/>
            <w:right w:w="0" w:type="dxa"/>
          </w:tblCellMar>
          <w:tblLook w:val="01E0"/>
        </w:tblPrEx>
        <w:trPr>
          <w:trHeight w:val="286"/>
        </w:trPr>
        <w:tc>
          <w:tcPr>
            <w:tcW w:w="2708" w:type="dxa"/>
          </w:tcPr>
          <w:p w:rsidR="003F5784" w14:paraId="120C584C" w14:textId="77777777">
            <w:pPr>
              <w:pStyle w:val="TableParagraph"/>
              <w:ind w:left="120"/>
              <w:jc w:val="left"/>
              <w:rPr>
                <w:sz w:val="21"/>
              </w:rPr>
            </w:pPr>
            <w:r>
              <w:rPr>
                <w:sz w:val="21"/>
              </w:rPr>
              <w:t>Diocese</w:t>
            </w:r>
            <w:r>
              <w:rPr>
                <w:spacing w:val="-8"/>
                <w:sz w:val="21"/>
              </w:rPr>
              <w:t xml:space="preserve"> </w:t>
            </w:r>
            <w:r>
              <w:rPr>
                <w:spacing w:val="-10"/>
                <w:sz w:val="21"/>
              </w:rPr>
              <w:t>3</w:t>
            </w:r>
          </w:p>
        </w:tc>
        <w:tc>
          <w:tcPr>
            <w:tcW w:w="4968" w:type="dxa"/>
          </w:tcPr>
          <w:p w:rsidR="003F5784" w14:paraId="7EA41CCB" w14:textId="77777777">
            <w:pPr>
              <w:pStyle w:val="TableParagraph"/>
              <w:ind w:right="1439"/>
              <w:rPr>
                <w:sz w:val="21"/>
              </w:rPr>
            </w:pPr>
            <w:r>
              <w:rPr>
                <w:spacing w:val="-5"/>
                <w:sz w:val="21"/>
              </w:rPr>
              <w:t>15</w:t>
            </w:r>
          </w:p>
        </w:tc>
        <w:tc>
          <w:tcPr>
            <w:tcW w:w="4927" w:type="dxa"/>
          </w:tcPr>
          <w:p w:rsidR="003F5784" w14:paraId="78F198FF" w14:textId="77777777">
            <w:pPr>
              <w:pStyle w:val="TableParagraph"/>
              <w:ind w:right="598"/>
              <w:rPr>
                <w:sz w:val="21"/>
              </w:rPr>
            </w:pPr>
            <w:r>
              <w:rPr>
                <w:spacing w:val="-5"/>
                <w:sz w:val="21"/>
              </w:rPr>
              <w:t>55</w:t>
            </w:r>
          </w:p>
        </w:tc>
        <w:tc>
          <w:tcPr>
            <w:tcW w:w="1381" w:type="dxa"/>
          </w:tcPr>
          <w:p w:rsidR="003F5784" w14:paraId="67875536" w14:textId="77777777">
            <w:pPr>
              <w:pStyle w:val="TableParagraph"/>
              <w:ind w:right="117"/>
              <w:rPr>
                <w:sz w:val="21"/>
              </w:rPr>
            </w:pPr>
            <w:r>
              <w:rPr>
                <w:spacing w:val="-10"/>
                <w:sz w:val="21"/>
              </w:rPr>
              <w:t>L</w:t>
            </w:r>
          </w:p>
        </w:tc>
      </w:tr>
      <w:tr w14:paraId="167C1954" w14:textId="77777777">
        <w:tblPrEx>
          <w:tblW w:w="0" w:type="auto"/>
          <w:tblInd w:w="482" w:type="dxa"/>
          <w:tblLayout w:type="fixed"/>
          <w:tblCellMar>
            <w:left w:w="0" w:type="dxa"/>
            <w:right w:w="0" w:type="dxa"/>
          </w:tblCellMar>
          <w:tblLook w:val="01E0"/>
        </w:tblPrEx>
        <w:trPr>
          <w:trHeight w:val="286"/>
        </w:trPr>
        <w:tc>
          <w:tcPr>
            <w:tcW w:w="2708" w:type="dxa"/>
          </w:tcPr>
          <w:p w:rsidR="003F5784" w14:paraId="2F59B7F3" w14:textId="77777777">
            <w:pPr>
              <w:pStyle w:val="TableParagraph"/>
              <w:ind w:left="120"/>
              <w:jc w:val="left"/>
              <w:rPr>
                <w:sz w:val="21"/>
              </w:rPr>
            </w:pPr>
            <w:r>
              <w:rPr>
                <w:sz w:val="21"/>
              </w:rPr>
              <w:t>Diocese</w:t>
            </w:r>
            <w:r>
              <w:rPr>
                <w:spacing w:val="-8"/>
                <w:sz w:val="21"/>
              </w:rPr>
              <w:t xml:space="preserve"> </w:t>
            </w:r>
            <w:r>
              <w:rPr>
                <w:spacing w:val="-10"/>
                <w:sz w:val="21"/>
              </w:rPr>
              <w:t>4</w:t>
            </w:r>
          </w:p>
        </w:tc>
        <w:tc>
          <w:tcPr>
            <w:tcW w:w="4968" w:type="dxa"/>
          </w:tcPr>
          <w:p w:rsidR="003F5784" w14:paraId="1FF2A259" w14:textId="77777777">
            <w:pPr>
              <w:pStyle w:val="TableParagraph"/>
              <w:ind w:right="1439"/>
              <w:rPr>
                <w:sz w:val="21"/>
              </w:rPr>
            </w:pPr>
            <w:r>
              <w:rPr>
                <w:spacing w:val="-5"/>
                <w:sz w:val="21"/>
              </w:rPr>
              <w:t>10</w:t>
            </w:r>
          </w:p>
        </w:tc>
        <w:tc>
          <w:tcPr>
            <w:tcW w:w="4927" w:type="dxa"/>
          </w:tcPr>
          <w:p w:rsidR="003F5784" w14:paraId="3A4AE53B" w14:textId="77777777">
            <w:pPr>
              <w:pStyle w:val="TableParagraph"/>
              <w:ind w:right="598"/>
              <w:rPr>
                <w:sz w:val="21"/>
              </w:rPr>
            </w:pPr>
            <w:r>
              <w:rPr>
                <w:spacing w:val="-5"/>
                <w:sz w:val="21"/>
              </w:rPr>
              <w:t>65</w:t>
            </w:r>
          </w:p>
        </w:tc>
        <w:tc>
          <w:tcPr>
            <w:tcW w:w="1381" w:type="dxa"/>
          </w:tcPr>
          <w:p w:rsidR="003F5784" w14:paraId="6648EB69" w14:textId="77777777">
            <w:pPr>
              <w:pStyle w:val="TableParagraph"/>
              <w:ind w:right="117"/>
              <w:rPr>
                <w:sz w:val="21"/>
              </w:rPr>
            </w:pPr>
            <w:r>
              <w:rPr>
                <w:spacing w:val="-10"/>
                <w:sz w:val="21"/>
              </w:rPr>
              <w:t>L</w:t>
            </w:r>
          </w:p>
        </w:tc>
      </w:tr>
      <w:tr w14:paraId="5F0B93EC" w14:textId="77777777">
        <w:tblPrEx>
          <w:tblW w:w="0" w:type="auto"/>
          <w:tblInd w:w="482" w:type="dxa"/>
          <w:tblLayout w:type="fixed"/>
          <w:tblCellMar>
            <w:left w:w="0" w:type="dxa"/>
            <w:right w:w="0" w:type="dxa"/>
          </w:tblCellMar>
          <w:tblLook w:val="01E0"/>
        </w:tblPrEx>
        <w:trPr>
          <w:trHeight w:val="286"/>
        </w:trPr>
        <w:tc>
          <w:tcPr>
            <w:tcW w:w="2708" w:type="dxa"/>
          </w:tcPr>
          <w:p w:rsidR="003F5784" w14:paraId="31E45A7F" w14:textId="77777777">
            <w:pPr>
              <w:pStyle w:val="TableParagraph"/>
              <w:ind w:left="120"/>
              <w:jc w:val="left"/>
              <w:rPr>
                <w:sz w:val="21"/>
              </w:rPr>
            </w:pPr>
            <w:r>
              <w:rPr>
                <w:sz w:val="21"/>
              </w:rPr>
              <w:t>Diocese</w:t>
            </w:r>
            <w:r>
              <w:rPr>
                <w:spacing w:val="-8"/>
                <w:sz w:val="21"/>
              </w:rPr>
              <w:t xml:space="preserve"> </w:t>
            </w:r>
            <w:r>
              <w:rPr>
                <w:spacing w:val="-10"/>
                <w:sz w:val="21"/>
              </w:rPr>
              <w:t>5</w:t>
            </w:r>
          </w:p>
        </w:tc>
        <w:tc>
          <w:tcPr>
            <w:tcW w:w="4968" w:type="dxa"/>
          </w:tcPr>
          <w:p w:rsidR="003F5784" w14:paraId="20708FB5" w14:textId="77777777">
            <w:pPr>
              <w:pStyle w:val="TableParagraph"/>
              <w:ind w:right="1439"/>
              <w:rPr>
                <w:sz w:val="21"/>
              </w:rPr>
            </w:pPr>
            <w:r>
              <w:rPr>
                <w:spacing w:val="-5"/>
                <w:sz w:val="21"/>
              </w:rPr>
              <w:t>10</w:t>
            </w:r>
          </w:p>
        </w:tc>
        <w:tc>
          <w:tcPr>
            <w:tcW w:w="4927" w:type="dxa"/>
          </w:tcPr>
          <w:p w:rsidR="003F5784" w14:paraId="1945D6DE" w14:textId="77777777">
            <w:pPr>
              <w:pStyle w:val="TableParagraph"/>
              <w:ind w:right="598"/>
              <w:rPr>
                <w:sz w:val="21"/>
              </w:rPr>
            </w:pPr>
            <w:r>
              <w:rPr>
                <w:spacing w:val="-5"/>
                <w:sz w:val="21"/>
              </w:rPr>
              <w:t>75</w:t>
            </w:r>
          </w:p>
        </w:tc>
        <w:tc>
          <w:tcPr>
            <w:tcW w:w="1381" w:type="dxa"/>
          </w:tcPr>
          <w:p w:rsidR="003F5784" w14:paraId="2750BA66" w14:textId="77777777">
            <w:pPr>
              <w:pStyle w:val="TableParagraph"/>
              <w:ind w:right="117"/>
              <w:rPr>
                <w:sz w:val="21"/>
              </w:rPr>
            </w:pPr>
            <w:r>
              <w:rPr>
                <w:spacing w:val="-10"/>
                <w:sz w:val="21"/>
              </w:rPr>
              <w:t>L</w:t>
            </w:r>
          </w:p>
        </w:tc>
      </w:tr>
      <w:tr w14:paraId="1CEDA5AD" w14:textId="77777777">
        <w:tblPrEx>
          <w:tblW w:w="0" w:type="auto"/>
          <w:tblInd w:w="482" w:type="dxa"/>
          <w:tblLayout w:type="fixed"/>
          <w:tblCellMar>
            <w:left w:w="0" w:type="dxa"/>
            <w:right w:w="0" w:type="dxa"/>
          </w:tblCellMar>
          <w:tblLook w:val="01E0"/>
        </w:tblPrEx>
        <w:trPr>
          <w:trHeight w:val="286"/>
        </w:trPr>
        <w:tc>
          <w:tcPr>
            <w:tcW w:w="2708" w:type="dxa"/>
          </w:tcPr>
          <w:p w:rsidR="003F5784" w14:paraId="5A36BFC4" w14:textId="77777777">
            <w:pPr>
              <w:pStyle w:val="TableParagraph"/>
              <w:ind w:left="120"/>
              <w:jc w:val="left"/>
              <w:rPr>
                <w:sz w:val="21"/>
              </w:rPr>
            </w:pPr>
            <w:r>
              <w:rPr>
                <w:sz w:val="21"/>
              </w:rPr>
              <w:t>Diocese</w:t>
            </w:r>
            <w:r>
              <w:rPr>
                <w:spacing w:val="-8"/>
                <w:sz w:val="21"/>
              </w:rPr>
              <w:t xml:space="preserve"> </w:t>
            </w:r>
            <w:r>
              <w:rPr>
                <w:spacing w:val="-10"/>
                <w:sz w:val="21"/>
              </w:rPr>
              <w:t>6</w:t>
            </w:r>
          </w:p>
        </w:tc>
        <w:tc>
          <w:tcPr>
            <w:tcW w:w="4968" w:type="dxa"/>
          </w:tcPr>
          <w:p w:rsidR="003F5784" w14:paraId="0167A5C9" w14:textId="77777777">
            <w:pPr>
              <w:pStyle w:val="TableParagraph"/>
              <w:ind w:right="1439"/>
              <w:rPr>
                <w:sz w:val="21"/>
              </w:rPr>
            </w:pPr>
            <w:r>
              <w:rPr>
                <w:spacing w:val="-5"/>
                <w:sz w:val="21"/>
              </w:rPr>
              <w:t>10</w:t>
            </w:r>
          </w:p>
        </w:tc>
        <w:tc>
          <w:tcPr>
            <w:tcW w:w="4927" w:type="dxa"/>
          </w:tcPr>
          <w:p w:rsidR="003F5784" w14:paraId="004FD2DC" w14:textId="77777777">
            <w:pPr>
              <w:pStyle w:val="TableParagraph"/>
              <w:ind w:right="598"/>
              <w:rPr>
                <w:sz w:val="21"/>
              </w:rPr>
            </w:pPr>
            <w:r>
              <w:rPr>
                <w:spacing w:val="-5"/>
                <w:sz w:val="21"/>
              </w:rPr>
              <w:t>85</w:t>
            </w:r>
          </w:p>
        </w:tc>
        <w:tc>
          <w:tcPr>
            <w:tcW w:w="1381" w:type="dxa"/>
          </w:tcPr>
          <w:p w:rsidR="003F5784" w14:paraId="1158F64D" w14:textId="77777777">
            <w:pPr>
              <w:pStyle w:val="TableParagraph"/>
              <w:ind w:right="117"/>
              <w:rPr>
                <w:sz w:val="21"/>
              </w:rPr>
            </w:pPr>
            <w:r>
              <w:rPr>
                <w:spacing w:val="-10"/>
                <w:sz w:val="21"/>
              </w:rPr>
              <w:t>L</w:t>
            </w:r>
          </w:p>
        </w:tc>
      </w:tr>
      <w:tr w14:paraId="2581DC5E" w14:textId="77777777">
        <w:tblPrEx>
          <w:tblW w:w="0" w:type="auto"/>
          <w:tblInd w:w="482" w:type="dxa"/>
          <w:tblLayout w:type="fixed"/>
          <w:tblCellMar>
            <w:left w:w="0" w:type="dxa"/>
            <w:right w:w="0" w:type="dxa"/>
          </w:tblCellMar>
          <w:tblLook w:val="01E0"/>
        </w:tblPrEx>
        <w:trPr>
          <w:trHeight w:val="286"/>
        </w:trPr>
        <w:tc>
          <w:tcPr>
            <w:tcW w:w="2708" w:type="dxa"/>
          </w:tcPr>
          <w:p w:rsidR="003F5784" w14:paraId="63F9A6AD" w14:textId="77777777">
            <w:pPr>
              <w:pStyle w:val="TableParagraph"/>
              <w:ind w:left="120"/>
              <w:jc w:val="left"/>
              <w:rPr>
                <w:sz w:val="21"/>
              </w:rPr>
            </w:pPr>
            <w:r>
              <w:rPr>
                <w:sz w:val="21"/>
              </w:rPr>
              <w:t>Diocese</w:t>
            </w:r>
            <w:r>
              <w:rPr>
                <w:spacing w:val="-8"/>
                <w:sz w:val="21"/>
              </w:rPr>
              <w:t xml:space="preserve"> </w:t>
            </w:r>
            <w:r>
              <w:rPr>
                <w:spacing w:val="-10"/>
                <w:sz w:val="21"/>
              </w:rPr>
              <w:t>7</w:t>
            </w:r>
          </w:p>
        </w:tc>
        <w:tc>
          <w:tcPr>
            <w:tcW w:w="4968" w:type="dxa"/>
          </w:tcPr>
          <w:p w:rsidR="003F5784" w14:paraId="7B7C29F7" w14:textId="77777777">
            <w:pPr>
              <w:pStyle w:val="TableParagraph"/>
              <w:ind w:right="1439"/>
              <w:rPr>
                <w:sz w:val="21"/>
              </w:rPr>
            </w:pPr>
            <w:r>
              <w:rPr>
                <w:spacing w:val="-10"/>
                <w:sz w:val="21"/>
              </w:rPr>
              <w:t>5</w:t>
            </w:r>
          </w:p>
        </w:tc>
        <w:tc>
          <w:tcPr>
            <w:tcW w:w="4927" w:type="dxa"/>
          </w:tcPr>
          <w:p w:rsidR="003F5784" w14:paraId="6562D0E1" w14:textId="77777777">
            <w:pPr>
              <w:pStyle w:val="TableParagraph"/>
              <w:ind w:right="598"/>
              <w:rPr>
                <w:sz w:val="21"/>
              </w:rPr>
            </w:pPr>
            <w:r>
              <w:rPr>
                <w:spacing w:val="-5"/>
                <w:sz w:val="21"/>
              </w:rPr>
              <w:t>90</w:t>
            </w:r>
          </w:p>
        </w:tc>
        <w:tc>
          <w:tcPr>
            <w:tcW w:w="1381" w:type="dxa"/>
          </w:tcPr>
          <w:p w:rsidR="003F5784" w14:paraId="1AF43429" w14:textId="77777777">
            <w:pPr>
              <w:pStyle w:val="TableParagraph"/>
              <w:ind w:right="117"/>
              <w:rPr>
                <w:sz w:val="21"/>
              </w:rPr>
            </w:pPr>
            <w:r>
              <w:rPr>
                <w:spacing w:val="-10"/>
                <w:sz w:val="21"/>
              </w:rPr>
              <w:t>M</w:t>
            </w:r>
          </w:p>
        </w:tc>
      </w:tr>
      <w:tr w14:paraId="4A632E4D" w14:textId="77777777">
        <w:tblPrEx>
          <w:tblW w:w="0" w:type="auto"/>
          <w:tblInd w:w="482" w:type="dxa"/>
          <w:tblLayout w:type="fixed"/>
          <w:tblCellMar>
            <w:left w:w="0" w:type="dxa"/>
            <w:right w:w="0" w:type="dxa"/>
          </w:tblCellMar>
          <w:tblLook w:val="01E0"/>
        </w:tblPrEx>
        <w:trPr>
          <w:trHeight w:val="286"/>
        </w:trPr>
        <w:tc>
          <w:tcPr>
            <w:tcW w:w="2708" w:type="dxa"/>
          </w:tcPr>
          <w:p w:rsidR="003F5784" w14:paraId="01EFC2F7" w14:textId="77777777">
            <w:pPr>
              <w:pStyle w:val="TableParagraph"/>
              <w:ind w:left="120"/>
              <w:jc w:val="left"/>
              <w:rPr>
                <w:sz w:val="21"/>
              </w:rPr>
            </w:pPr>
            <w:r>
              <w:rPr>
                <w:sz w:val="21"/>
              </w:rPr>
              <w:t>Diocese</w:t>
            </w:r>
            <w:r>
              <w:rPr>
                <w:spacing w:val="-8"/>
                <w:sz w:val="21"/>
              </w:rPr>
              <w:t xml:space="preserve"> </w:t>
            </w:r>
            <w:r>
              <w:rPr>
                <w:spacing w:val="-10"/>
                <w:sz w:val="21"/>
              </w:rPr>
              <w:t>8</w:t>
            </w:r>
          </w:p>
        </w:tc>
        <w:tc>
          <w:tcPr>
            <w:tcW w:w="4968" w:type="dxa"/>
          </w:tcPr>
          <w:p w:rsidR="003F5784" w14:paraId="661735C6" w14:textId="77777777">
            <w:pPr>
              <w:pStyle w:val="TableParagraph"/>
              <w:ind w:right="1439"/>
              <w:rPr>
                <w:sz w:val="21"/>
              </w:rPr>
            </w:pPr>
            <w:r>
              <w:rPr>
                <w:spacing w:val="-10"/>
                <w:sz w:val="21"/>
              </w:rPr>
              <w:t>2</w:t>
            </w:r>
          </w:p>
        </w:tc>
        <w:tc>
          <w:tcPr>
            <w:tcW w:w="4927" w:type="dxa"/>
          </w:tcPr>
          <w:p w:rsidR="003F5784" w14:paraId="2376E80B" w14:textId="77777777">
            <w:pPr>
              <w:pStyle w:val="TableParagraph"/>
              <w:ind w:right="598"/>
              <w:rPr>
                <w:sz w:val="21"/>
              </w:rPr>
            </w:pPr>
            <w:r>
              <w:rPr>
                <w:spacing w:val="-5"/>
                <w:sz w:val="21"/>
              </w:rPr>
              <w:t>92</w:t>
            </w:r>
          </w:p>
        </w:tc>
        <w:tc>
          <w:tcPr>
            <w:tcW w:w="1381" w:type="dxa"/>
          </w:tcPr>
          <w:p w:rsidR="003F5784" w14:paraId="23B0A2D3" w14:textId="77777777">
            <w:pPr>
              <w:pStyle w:val="TableParagraph"/>
              <w:ind w:right="117"/>
              <w:rPr>
                <w:sz w:val="21"/>
              </w:rPr>
            </w:pPr>
            <w:r>
              <w:rPr>
                <w:spacing w:val="-10"/>
                <w:sz w:val="21"/>
              </w:rPr>
              <w:t>M</w:t>
            </w:r>
          </w:p>
        </w:tc>
      </w:tr>
      <w:tr w14:paraId="22979FD8" w14:textId="77777777">
        <w:tblPrEx>
          <w:tblW w:w="0" w:type="auto"/>
          <w:tblInd w:w="482" w:type="dxa"/>
          <w:tblLayout w:type="fixed"/>
          <w:tblCellMar>
            <w:left w:w="0" w:type="dxa"/>
            <w:right w:w="0" w:type="dxa"/>
          </w:tblCellMar>
          <w:tblLook w:val="01E0"/>
        </w:tblPrEx>
        <w:trPr>
          <w:trHeight w:val="286"/>
        </w:trPr>
        <w:tc>
          <w:tcPr>
            <w:tcW w:w="2708" w:type="dxa"/>
          </w:tcPr>
          <w:p w:rsidR="003F5784" w14:paraId="59F41BE9" w14:textId="77777777">
            <w:pPr>
              <w:pStyle w:val="TableParagraph"/>
              <w:ind w:left="120"/>
              <w:jc w:val="left"/>
              <w:rPr>
                <w:sz w:val="21"/>
              </w:rPr>
            </w:pPr>
            <w:r>
              <w:rPr>
                <w:sz w:val="21"/>
              </w:rPr>
              <w:t>Diocese</w:t>
            </w:r>
            <w:r>
              <w:rPr>
                <w:spacing w:val="-8"/>
                <w:sz w:val="21"/>
              </w:rPr>
              <w:t xml:space="preserve"> </w:t>
            </w:r>
            <w:r>
              <w:rPr>
                <w:spacing w:val="-10"/>
                <w:sz w:val="21"/>
              </w:rPr>
              <w:t>9</w:t>
            </w:r>
          </w:p>
        </w:tc>
        <w:tc>
          <w:tcPr>
            <w:tcW w:w="4968" w:type="dxa"/>
          </w:tcPr>
          <w:p w:rsidR="003F5784" w14:paraId="04DF8E9E" w14:textId="77777777">
            <w:pPr>
              <w:pStyle w:val="TableParagraph"/>
              <w:ind w:right="1439"/>
              <w:rPr>
                <w:sz w:val="21"/>
              </w:rPr>
            </w:pPr>
            <w:r>
              <w:rPr>
                <w:spacing w:val="-10"/>
                <w:sz w:val="21"/>
              </w:rPr>
              <w:t>2</w:t>
            </w:r>
          </w:p>
        </w:tc>
        <w:tc>
          <w:tcPr>
            <w:tcW w:w="4927" w:type="dxa"/>
          </w:tcPr>
          <w:p w:rsidR="003F5784" w14:paraId="0F6EF621" w14:textId="77777777">
            <w:pPr>
              <w:pStyle w:val="TableParagraph"/>
              <w:ind w:right="598"/>
              <w:rPr>
                <w:sz w:val="21"/>
              </w:rPr>
            </w:pPr>
            <w:r>
              <w:rPr>
                <w:spacing w:val="-5"/>
                <w:sz w:val="21"/>
              </w:rPr>
              <w:t>94</w:t>
            </w:r>
          </w:p>
        </w:tc>
        <w:tc>
          <w:tcPr>
            <w:tcW w:w="1381" w:type="dxa"/>
          </w:tcPr>
          <w:p w:rsidR="003F5784" w14:paraId="2EE50257" w14:textId="77777777">
            <w:pPr>
              <w:pStyle w:val="TableParagraph"/>
              <w:ind w:right="117"/>
              <w:rPr>
                <w:sz w:val="21"/>
              </w:rPr>
            </w:pPr>
            <w:r>
              <w:rPr>
                <w:spacing w:val="-10"/>
                <w:sz w:val="21"/>
              </w:rPr>
              <w:t>M</w:t>
            </w:r>
          </w:p>
        </w:tc>
      </w:tr>
      <w:tr w14:paraId="3D9CCCA0" w14:textId="77777777">
        <w:tblPrEx>
          <w:tblW w:w="0" w:type="auto"/>
          <w:tblInd w:w="482" w:type="dxa"/>
          <w:tblLayout w:type="fixed"/>
          <w:tblCellMar>
            <w:left w:w="0" w:type="dxa"/>
            <w:right w:w="0" w:type="dxa"/>
          </w:tblCellMar>
          <w:tblLook w:val="01E0"/>
        </w:tblPrEx>
        <w:trPr>
          <w:trHeight w:val="286"/>
        </w:trPr>
        <w:tc>
          <w:tcPr>
            <w:tcW w:w="2708" w:type="dxa"/>
          </w:tcPr>
          <w:p w:rsidR="003F5784" w14:paraId="2DDBEBF3" w14:textId="77777777">
            <w:pPr>
              <w:pStyle w:val="TableParagraph"/>
              <w:ind w:left="120"/>
              <w:jc w:val="left"/>
              <w:rPr>
                <w:sz w:val="21"/>
              </w:rPr>
            </w:pPr>
            <w:r>
              <w:rPr>
                <w:sz w:val="21"/>
              </w:rPr>
              <w:t>Diocese</w:t>
            </w:r>
            <w:r>
              <w:rPr>
                <w:spacing w:val="-8"/>
                <w:sz w:val="21"/>
              </w:rPr>
              <w:t xml:space="preserve"> </w:t>
            </w:r>
            <w:r>
              <w:rPr>
                <w:spacing w:val="-5"/>
                <w:sz w:val="21"/>
              </w:rPr>
              <w:t>10</w:t>
            </w:r>
          </w:p>
        </w:tc>
        <w:tc>
          <w:tcPr>
            <w:tcW w:w="4968" w:type="dxa"/>
          </w:tcPr>
          <w:p w:rsidR="003F5784" w14:paraId="68F791E1" w14:textId="77777777">
            <w:pPr>
              <w:pStyle w:val="TableParagraph"/>
              <w:ind w:right="1439"/>
              <w:rPr>
                <w:sz w:val="21"/>
              </w:rPr>
            </w:pPr>
            <w:r>
              <w:rPr>
                <w:spacing w:val="-10"/>
                <w:sz w:val="21"/>
              </w:rPr>
              <w:t>2</w:t>
            </w:r>
          </w:p>
        </w:tc>
        <w:tc>
          <w:tcPr>
            <w:tcW w:w="4927" w:type="dxa"/>
          </w:tcPr>
          <w:p w:rsidR="003F5784" w14:paraId="7CA46550" w14:textId="77777777">
            <w:pPr>
              <w:pStyle w:val="TableParagraph"/>
              <w:ind w:right="598"/>
              <w:rPr>
                <w:sz w:val="21"/>
              </w:rPr>
            </w:pPr>
            <w:r>
              <w:rPr>
                <w:spacing w:val="-5"/>
                <w:sz w:val="21"/>
              </w:rPr>
              <w:t>96</w:t>
            </w:r>
          </w:p>
        </w:tc>
        <w:tc>
          <w:tcPr>
            <w:tcW w:w="1381" w:type="dxa"/>
          </w:tcPr>
          <w:p w:rsidR="003F5784" w14:paraId="49CFA293" w14:textId="77777777">
            <w:pPr>
              <w:pStyle w:val="TableParagraph"/>
              <w:ind w:right="117"/>
              <w:rPr>
                <w:sz w:val="21"/>
              </w:rPr>
            </w:pPr>
            <w:r>
              <w:rPr>
                <w:spacing w:val="-10"/>
                <w:sz w:val="21"/>
              </w:rPr>
              <w:t>M</w:t>
            </w:r>
          </w:p>
        </w:tc>
      </w:tr>
      <w:tr w14:paraId="1FC777B3" w14:textId="77777777">
        <w:tblPrEx>
          <w:tblW w:w="0" w:type="auto"/>
          <w:tblInd w:w="482" w:type="dxa"/>
          <w:tblLayout w:type="fixed"/>
          <w:tblCellMar>
            <w:left w:w="0" w:type="dxa"/>
            <w:right w:w="0" w:type="dxa"/>
          </w:tblCellMar>
          <w:tblLook w:val="01E0"/>
        </w:tblPrEx>
        <w:trPr>
          <w:trHeight w:val="286"/>
        </w:trPr>
        <w:tc>
          <w:tcPr>
            <w:tcW w:w="2708" w:type="dxa"/>
          </w:tcPr>
          <w:p w:rsidR="003F5784" w14:paraId="4362ED31" w14:textId="77777777">
            <w:pPr>
              <w:pStyle w:val="TableParagraph"/>
              <w:ind w:left="120"/>
              <w:jc w:val="left"/>
              <w:rPr>
                <w:sz w:val="21"/>
              </w:rPr>
            </w:pPr>
            <w:r>
              <w:rPr>
                <w:sz w:val="21"/>
              </w:rPr>
              <w:t>Diocese</w:t>
            </w:r>
            <w:r>
              <w:rPr>
                <w:spacing w:val="-8"/>
                <w:sz w:val="21"/>
              </w:rPr>
              <w:t xml:space="preserve"> </w:t>
            </w:r>
            <w:r>
              <w:rPr>
                <w:spacing w:val="-5"/>
                <w:sz w:val="21"/>
              </w:rPr>
              <w:t>11</w:t>
            </w:r>
          </w:p>
        </w:tc>
        <w:tc>
          <w:tcPr>
            <w:tcW w:w="4968" w:type="dxa"/>
          </w:tcPr>
          <w:p w:rsidR="003F5784" w14:paraId="45324D30" w14:textId="77777777">
            <w:pPr>
              <w:pStyle w:val="TableParagraph"/>
              <w:ind w:right="1439"/>
              <w:rPr>
                <w:sz w:val="21"/>
              </w:rPr>
            </w:pPr>
            <w:r>
              <w:rPr>
                <w:spacing w:val="-10"/>
                <w:sz w:val="21"/>
              </w:rPr>
              <w:t>2</w:t>
            </w:r>
          </w:p>
        </w:tc>
        <w:tc>
          <w:tcPr>
            <w:tcW w:w="4927" w:type="dxa"/>
          </w:tcPr>
          <w:p w:rsidR="003F5784" w14:paraId="35C802DB" w14:textId="77777777">
            <w:pPr>
              <w:pStyle w:val="TableParagraph"/>
              <w:ind w:right="598"/>
              <w:rPr>
                <w:sz w:val="21"/>
              </w:rPr>
            </w:pPr>
            <w:r>
              <w:rPr>
                <w:spacing w:val="-5"/>
                <w:sz w:val="21"/>
              </w:rPr>
              <w:t>98</w:t>
            </w:r>
          </w:p>
        </w:tc>
        <w:tc>
          <w:tcPr>
            <w:tcW w:w="1381" w:type="dxa"/>
          </w:tcPr>
          <w:p w:rsidR="003F5784" w14:paraId="55224BEC" w14:textId="77777777">
            <w:pPr>
              <w:pStyle w:val="TableParagraph"/>
              <w:ind w:right="117"/>
              <w:rPr>
                <w:sz w:val="21"/>
              </w:rPr>
            </w:pPr>
            <w:r>
              <w:rPr>
                <w:spacing w:val="-10"/>
                <w:sz w:val="21"/>
              </w:rPr>
              <w:t>M</w:t>
            </w:r>
          </w:p>
        </w:tc>
      </w:tr>
      <w:tr w14:paraId="6D009AB0" w14:textId="77777777">
        <w:tblPrEx>
          <w:tblW w:w="0" w:type="auto"/>
          <w:tblInd w:w="482" w:type="dxa"/>
          <w:tblLayout w:type="fixed"/>
          <w:tblCellMar>
            <w:left w:w="0" w:type="dxa"/>
            <w:right w:w="0" w:type="dxa"/>
          </w:tblCellMar>
          <w:tblLook w:val="01E0"/>
        </w:tblPrEx>
        <w:trPr>
          <w:trHeight w:val="288"/>
        </w:trPr>
        <w:tc>
          <w:tcPr>
            <w:tcW w:w="2708" w:type="dxa"/>
            <w:tcBorders>
              <w:bottom w:val="single" w:sz="18" w:space="0" w:color="800000"/>
            </w:tcBorders>
          </w:tcPr>
          <w:p w:rsidR="003F5784" w14:paraId="4247D522" w14:textId="77777777">
            <w:pPr>
              <w:pStyle w:val="TableParagraph"/>
              <w:ind w:left="120"/>
              <w:jc w:val="left"/>
              <w:rPr>
                <w:sz w:val="21"/>
              </w:rPr>
            </w:pPr>
            <w:r>
              <w:rPr>
                <w:sz w:val="21"/>
              </w:rPr>
              <w:t>Diocese</w:t>
            </w:r>
            <w:r>
              <w:rPr>
                <w:spacing w:val="-8"/>
                <w:sz w:val="21"/>
              </w:rPr>
              <w:t xml:space="preserve"> </w:t>
            </w:r>
            <w:r>
              <w:rPr>
                <w:spacing w:val="-5"/>
                <w:sz w:val="21"/>
              </w:rPr>
              <w:t>12</w:t>
            </w:r>
          </w:p>
        </w:tc>
        <w:tc>
          <w:tcPr>
            <w:tcW w:w="4968" w:type="dxa"/>
            <w:tcBorders>
              <w:bottom w:val="single" w:sz="18" w:space="0" w:color="800000"/>
            </w:tcBorders>
          </w:tcPr>
          <w:p w:rsidR="003F5784" w14:paraId="58C861A7" w14:textId="77777777">
            <w:pPr>
              <w:pStyle w:val="TableParagraph"/>
              <w:ind w:right="1439"/>
              <w:rPr>
                <w:sz w:val="21"/>
              </w:rPr>
            </w:pPr>
            <w:r>
              <w:rPr>
                <w:spacing w:val="-10"/>
                <w:sz w:val="21"/>
              </w:rPr>
              <w:t>2</w:t>
            </w:r>
          </w:p>
        </w:tc>
        <w:tc>
          <w:tcPr>
            <w:tcW w:w="4927" w:type="dxa"/>
            <w:tcBorders>
              <w:bottom w:val="single" w:sz="18" w:space="0" w:color="800000"/>
            </w:tcBorders>
          </w:tcPr>
          <w:p w:rsidR="003F5784" w14:paraId="1A571784" w14:textId="77777777">
            <w:pPr>
              <w:pStyle w:val="TableParagraph"/>
              <w:ind w:right="598"/>
              <w:rPr>
                <w:sz w:val="21"/>
              </w:rPr>
            </w:pPr>
            <w:r>
              <w:rPr>
                <w:spacing w:val="-5"/>
                <w:sz w:val="21"/>
              </w:rPr>
              <w:t>100</w:t>
            </w:r>
          </w:p>
        </w:tc>
        <w:tc>
          <w:tcPr>
            <w:tcW w:w="1381" w:type="dxa"/>
            <w:tcBorders>
              <w:bottom w:val="single" w:sz="18" w:space="0" w:color="800000"/>
            </w:tcBorders>
          </w:tcPr>
          <w:p w:rsidR="003F5784" w14:paraId="1A2DE03F" w14:textId="77777777">
            <w:pPr>
              <w:pStyle w:val="TableParagraph"/>
              <w:ind w:right="117"/>
              <w:rPr>
                <w:sz w:val="21"/>
              </w:rPr>
            </w:pPr>
            <w:r>
              <w:rPr>
                <w:spacing w:val="-10"/>
                <w:sz w:val="21"/>
              </w:rPr>
              <w:t>M</w:t>
            </w:r>
          </w:p>
        </w:tc>
      </w:tr>
      <w:tr w14:paraId="3D4F6650" w14:textId="77777777">
        <w:tblPrEx>
          <w:tblW w:w="0" w:type="auto"/>
          <w:tblInd w:w="482" w:type="dxa"/>
          <w:tblLayout w:type="fixed"/>
          <w:tblCellMar>
            <w:left w:w="0" w:type="dxa"/>
            <w:right w:w="0" w:type="dxa"/>
          </w:tblCellMar>
          <w:tblLook w:val="01E0"/>
        </w:tblPrEx>
        <w:trPr>
          <w:trHeight w:val="472"/>
        </w:trPr>
        <w:tc>
          <w:tcPr>
            <w:tcW w:w="13984" w:type="dxa"/>
            <w:gridSpan w:val="4"/>
            <w:tcBorders>
              <w:top w:val="single" w:sz="18" w:space="0" w:color="800000"/>
            </w:tcBorders>
          </w:tcPr>
          <w:p w:rsidR="003F5784" w14:paraId="4B3B4EEB" w14:textId="77777777">
            <w:pPr>
              <w:pStyle w:val="TableParagraph"/>
              <w:spacing w:before="0" w:line="234" w:lineRule="exact"/>
              <w:ind w:left="120"/>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Progress (NAEP), 2022 Long-Term Trend Mathematics and Reading</w:t>
            </w:r>
            <w:r>
              <w:rPr>
                <w:spacing w:val="-1"/>
                <w:sz w:val="21"/>
              </w:rPr>
              <w:t xml:space="preserve"> </w:t>
            </w:r>
            <w:r>
              <w:rPr>
                <w:sz w:val="21"/>
              </w:rPr>
              <w:t>Assessments.</w:t>
            </w:r>
          </w:p>
        </w:tc>
      </w:tr>
    </w:tbl>
    <w:p w:rsidR="003F5784" w14:paraId="2A14D5D8" w14:textId="77777777">
      <w:pPr>
        <w:pStyle w:val="BodyText"/>
        <w:spacing w:before="227"/>
        <w:rPr>
          <w:b/>
        </w:rPr>
      </w:pPr>
    </w:p>
    <w:p w:rsidR="003F5784" w14:paraId="7C5C7D95" w14:textId="77777777">
      <w:pPr>
        <w:pStyle w:val="BodyText"/>
        <w:spacing w:before="1"/>
        <w:ind w:left="109"/>
        <w:jc w:val="both"/>
      </w:pPr>
      <w:r>
        <w:t>In</w:t>
      </w:r>
      <w:r>
        <w:rPr>
          <w:spacing w:val="-7"/>
        </w:rPr>
        <w:t xml:space="preserve"> </w:t>
      </w:r>
      <w:r>
        <w:t>actuality,</w:t>
      </w:r>
      <w:r>
        <w:rPr>
          <w:spacing w:val="-7"/>
        </w:rPr>
        <w:t xml:space="preserve"> </w:t>
      </w:r>
      <w:r>
        <w:t>there</w:t>
      </w:r>
      <w:r>
        <w:rPr>
          <w:spacing w:val="-6"/>
        </w:rPr>
        <w:t xml:space="preserve"> </w:t>
      </w:r>
      <w:r>
        <w:t>were</w:t>
      </w:r>
      <w:r>
        <w:rPr>
          <w:spacing w:val="-7"/>
        </w:rPr>
        <w:t xml:space="preserve"> </w:t>
      </w:r>
      <w:r>
        <w:t>77</w:t>
      </w:r>
      <w:r>
        <w:rPr>
          <w:spacing w:val="-7"/>
        </w:rPr>
        <w:t xml:space="preserve"> </w:t>
      </w:r>
      <w:r>
        <w:t>large</w:t>
      </w:r>
      <w:r>
        <w:rPr>
          <w:spacing w:val="-6"/>
        </w:rPr>
        <w:t xml:space="preserve"> </w:t>
      </w:r>
      <w:r>
        <w:t>and</w:t>
      </w:r>
      <w:r>
        <w:rPr>
          <w:spacing w:val="-7"/>
        </w:rPr>
        <w:t xml:space="preserve"> </w:t>
      </w:r>
      <w:r>
        <w:t>96</w:t>
      </w:r>
      <w:r>
        <w:rPr>
          <w:spacing w:val="-6"/>
        </w:rPr>
        <w:t xml:space="preserve"> </w:t>
      </w:r>
      <w:r>
        <w:t>medium</w:t>
      </w:r>
      <w:r>
        <w:rPr>
          <w:spacing w:val="-7"/>
        </w:rPr>
        <w:t xml:space="preserve"> </w:t>
      </w:r>
      <w:r>
        <w:t>dioceses</w:t>
      </w:r>
      <w:r>
        <w:rPr>
          <w:spacing w:val="-7"/>
        </w:rPr>
        <w:t xml:space="preserve"> </w:t>
      </w:r>
      <w:r>
        <w:t>in</w:t>
      </w:r>
      <w:r>
        <w:rPr>
          <w:spacing w:val="-6"/>
        </w:rPr>
        <w:t xml:space="preserve"> </w:t>
      </w:r>
      <w:r>
        <w:t>the</w:t>
      </w:r>
      <w:r>
        <w:rPr>
          <w:spacing w:val="-7"/>
        </w:rPr>
        <w:t xml:space="preserve"> </w:t>
      </w:r>
      <w:r>
        <w:t>sampling</w:t>
      </w:r>
      <w:r>
        <w:rPr>
          <w:spacing w:val="-7"/>
        </w:rPr>
        <w:t xml:space="preserve"> </w:t>
      </w:r>
      <w:r>
        <w:rPr>
          <w:spacing w:val="-2"/>
        </w:rPr>
        <w:t>frame.</w:t>
      </w:r>
    </w:p>
    <w:p w:rsidR="003F5784" w14:paraId="034AAD3A" w14:textId="77777777">
      <w:pPr>
        <w:jc w:val="both"/>
        <w:sectPr>
          <w:pgSz w:w="15840" w:h="12240" w:orient="landscape"/>
          <w:pgMar w:top="480" w:right="440" w:bottom="460" w:left="460" w:header="284" w:footer="275" w:gutter="0"/>
          <w:cols w:space="720"/>
        </w:sectPr>
      </w:pPr>
    </w:p>
    <w:p w:rsidR="003F5784" w14:paraId="62E4335B" w14:textId="77777777">
      <w:pPr>
        <w:pStyle w:val="BodyText"/>
        <w:spacing w:before="78" w:line="232" w:lineRule="auto"/>
        <w:ind w:left="109" w:right="179"/>
      </w:pPr>
      <w:r>
        <w:t>The</w:t>
      </w:r>
      <w:r>
        <w:rPr>
          <w:spacing w:val="-6"/>
        </w:rPr>
        <w:t xml:space="preserve"> </w:t>
      </w:r>
      <w:r>
        <w:t>target</w:t>
      </w:r>
      <w:r>
        <w:rPr>
          <w:spacing w:val="-6"/>
        </w:rPr>
        <w:t xml:space="preserve"> </w:t>
      </w:r>
      <w:r>
        <w:t>sample</w:t>
      </w:r>
      <w:r>
        <w:rPr>
          <w:spacing w:val="-6"/>
        </w:rPr>
        <w:t xml:space="preserve"> </w:t>
      </w:r>
      <w:r>
        <w:t>size</w:t>
      </w:r>
      <w:r>
        <w:rPr>
          <w:spacing w:val="-6"/>
        </w:rPr>
        <w:t xml:space="preserve"> </w:t>
      </w:r>
      <w:r>
        <w:t>was</w:t>
      </w:r>
      <w:r>
        <w:rPr>
          <w:spacing w:val="-6"/>
        </w:rPr>
        <w:t xml:space="preserve"> </w:t>
      </w:r>
      <w:r>
        <w:t>10</w:t>
      </w:r>
      <w:r>
        <w:rPr>
          <w:spacing w:val="-6"/>
        </w:rPr>
        <w:t xml:space="preserve"> </w:t>
      </w:r>
      <w:r>
        <w:t>dioceses</w:t>
      </w:r>
      <w:r>
        <w:rPr>
          <w:spacing w:val="-6"/>
        </w:rPr>
        <w:t xml:space="preserve"> </w:t>
      </w:r>
      <w:r>
        <w:t>total</w:t>
      </w:r>
      <w:r>
        <w:rPr>
          <w:spacing w:val="-6"/>
        </w:rPr>
        <w:t xml:space="preserve"> </w:t>
      </w:r>
      <w:r>
        <w:t>across</w:t>
      </w:r>
      <w:r>
        <w:rPr>
          <w:spacing w:val="-6"/>
        </w:rPr>
        <w:t xml:space="preserve"> </w:t>
      </w:r>
      <w:r>
        <w:t>the</w:t>
      </w:r>
      <w:r>
        <w:rPr>
          <w:spacing w:val="-6"/>
        </w:rPr>
        <w:t xml:space="preserve"> </w:t>
      </w:r>
      <w:r>
        <w:t>medium-size</w:t>
      </w:r>
      <w:r>
        <w:rPr>
          <w:spacing w:val="-6"/>
        </w:rPr>
        <w:t xml:space="preserve"> </w:t>
      </w:r>
      <w:r>
        <w:t>and</w:t>
      </w:r>
      <w:r>
        <w:rPr>
          <w:spacing w:val="-6"/>
        </w:rPr>
        <w:t xml:space="preserve"> </w:t>
      </w:r>
      <w:r>
        <w:t>large-size</w:t>
      </w:r>
      <w:r>
        <w:rPr>
          <w:spacing w:val="-6"/>
        </w:rPr>
        <w:t xml:space="preserve"> </w:t>
      </w:r>
      <w:r>
        <w:t>diocese</w:t>
      </w:r>
      <w:r>
        <w:rPr>
          <w:spacing w:val="-6"/>
        </w:rPr>
        <w:t xml:space="preserve"> </w:t>
      </w:r>
      <w:r>
        <w:t>strata:</w:t>
      </w:r>
      <w:r>
        <w:rPr>
          <w:spacing w:val="-6"/>
        </w:rPr>
        <w:t xml:space="preserve"> </w:t>
      </w:r>
      <w:r>
        <w:t>eight</w:t>
      </w:r>
      <w:r>
        <w:rPr>
          <w:spacing w:val="-6"/>
        </w:rPr>
        <w:t xml:space="preserve"> </w:t>
      </w:r>
      <w:r>
        <w:t>from</w:t>
      </w:r>
      <w:r>
        <w:rPr>
          <w:spacing w:val="-6"/>
        </w:rPr>
        <w:t xml:space="preserve"> </w:t>
      </w:r>
      <w:r>
        <w:t>the</w:t>
      </w:r>
      <w:r>
        <w:rPr>
          <w:spacing w:val="-6"/>
        </w:rPr>
        <w:t xml:space="preserve"> </w:t>
      </w:r>
      <w:r>
        <w:t>large-size</w:t>
      </w:r>
      <w:r>
        <w:rPr>
          <w:spacing w:val="-6"/>
        </w:rPr>
        <w:t xml:space="preserve"> </w:t>
      </w:r>
      <w:r>
        <w:t>diocese</w:t>
      </w:r>
      <w:r>
        <w:rPr>
          <w:spacing w:val="-6"/>
        </w:rPr>
        <w:t xml:space="preserve"> </w:t>
      </w:r>
      <w:r>
        <w:t>stratum</w:t>
      </w:r>
      <w:r>
        <w:rPr>
          <w:spacing w:val="-6"/>
        </w:rPr>
        <w:t xml:space="preserve"> </w:t>
      </w:r>
      <w:r>
        <w:t>and</w:t>
      </w:r>
      <w:r>
        <w:rPr>
          <w:spacing w:val="-6"/>
        </w:rPr>
        <w:t xml:space="preserve"> </w:t>
      </w:r>
      <w:r>
        <w:t>two</w:t>
      </w:r>
      <w:r>
        <w:rPr>
          <w:spacing w:val="-6"/>
        </w:rPr>
        <w:t xml:space="preserve"> </w:t>
      </w:r>
      <w:r>
        <w:t>from</w:t>
      </w:r>
      <w:r>
        <w:rPr>
          <w:spacing w:val="-6"/>
        </w:rPr>
        <w:t xml:space="preserve"> </w:t>
      </w:r>
      <w:r>
        <w:t>the</w:t>
      </w:r>
      <w:r>
        <w:rPr>
          <w:spacing w:val="-6"/>
        </w:rPr>
        <w:t xml:space="preserve"> </w:t>
      </w:r>
      <w:r>
        <w:t>medium-size diocese stratum.</w:t>
      </w:r>
    </w:p>
    <w:p w:rsidR="003F5784" w14:paraId="6793071F" w14:textId="77777777">
      <w:pPr>
        <w:pStyle w:val="BodyText"/>
        <w:spacing w:before="209" w:line="232" w:lineRule="auto"/>
        <w:ind w:left="109"/>
      </w:pPr>
      <w:r>
        <w:t>In</w:t>
      </w:r>
      <w:r>
        <w:rPr>
          <w:spacing w:val="-8"/>
        </w:rPr>
        <w:t xml:space="preserve"> </w:t>
      </w:r>
      <w:r>
        <w:t>the</w:t>
      </w:r>
      <w:r>
        <w:rPr>
          <w:spacing w:val="-8"/>
        </w:rPr>
        <w:t xml:space="preserve"> </w:t>
      </w:r>
      <w:r>
        <w:t>medium-size</w:t>
      </w:r>
      <w:r>
        <w:rPr>
          <w:spacing w:val="-8"/>
        </w:rPr>
        <w:t xml:space="preserve"> </w:t>
      </w:r>
      <w:r>
        <w:t>diocese</w:t>
      </w:r>
      <w:r>
        <w:rPr>
          <w:spacing w:val="-8"/>
        </w:rPr>
        <w:t xml:space="preserve"> </w:t>
      </w:r>
      <w:r>
        <w:t>stratum,</w:t>
      </w:r>
      <w:r>
        <w:rPr>
          <w:spacing w:val="-8"/>
        </w:rPr>
        <w:t xml:space="preserve"> </w:t>
      </w:r>
      <w:r>
        <w:t>dioceses</w:t>
      </w:r>
      <w:r>
        <w:rPr>
          <w:spacing w:val="-8"/>
        </w:rPr>
        <w:t xml:space="preserve"> </w:t>
      </w:r>
      <w:r>
        <w:t>were</w:t>
      </w:r>
      <w:r>
        <w:rPr>
          <w:spacing w:val="-8"/>
        </w:rPr>
        <w:t xml:space="preserve"> </w:t>
      </w:r>
      <w:r>
        <w:t>selected</w:t>
      </w:r>
      <w:r>
        <w:rPr>
          <w:spacing w:val="-8"/>
        </w:rPr>
        <w:t xml:space="preserve"> </w:t>
      </w:r>
      <w:r>
        <w:t>with</w:t>
      </w:r>
      <w:r>
        <w:rPr>
          <w:spacing w:val="-8"/>
        </w:rPr>
        <w:t xml:space="preserve"> </w:t>
      </w:r>
      <w:r>
        <w:t>equal</w:t>
      </w:r>
      <w:r>
        <w:rPr>
          <w:spacing w:val="-8"/>
        </w:rPr>
        <w:t xml:space="preserve"> </w:t>
      </w:r>
      <w:r>
        <w:t>probability.</w:t>
      </w:r>
      <w:r>
        <w:rPr>
          <w:spacing w:val="-8"/>
        </w:rPr>
        <w:t xml:space="preserve"> </w:t>
      </w:r>
      <w:r>
        <w:t>In</w:t>
      </w:r>
      <w:r>
        <w:rPr>
          <w:spacing w:val="-8"/>
        </w:rPr>
        <w:t xml:space="preserve"> </w:t>
      </w:r>
      <w:r>
        <w:t>the</w:t>
      </w:r>
      <w:r>
        <w:rPr>
          <w:spacing w:val="-8"/>
        </w:rPr>
        <w:t xml:space="preserve"> </w:t>
      </w:r>
      <w:r>
        <w:t>large-size</w:t>
      </w:r>
      <w:r>
        <w:rPr>
          <w:spacing w:val="-8"/>
        </w:rPr>
        <w:t xml:space="preserve"> </w:t>
      </w:r>
      <w:r>
        <w:t>diocese</w:t>
      </w:r>
      <w:r>
        <w:rPr>
          <w:spacing w:val="-8"/>
        </w:rPr>
        <w:t xml:space="preserve"> </w:t>
      </w:r>
      <w:r>
        <w:t>stratum,</w:t>
      </w:r>
      <w:r>
        <w:rPr>
          <w:spacing w:val="-8"/>
        </w:rPr>
        <w:t xml:space="preserve"> </w:t>
      </w:r>
      <w:r>
        <w:t>dioceses</w:t>
      </w:r>
      <w:r>
        <w:rPr>
          <w:spacing w:val="-8"/>
        </w:rPr>
        <w:t xml:space="preserve"> </w:t>
      </w:r>
      <w:r>
        <w:t>were</w:t>
      </w:r>
      <w:r>
        <w:rPr>
          <w:spacing w:val="-8"/>
        </w:rPr>
        <w:t xml:space="preserve"> </w:t>
      </w:r>
      <w:r>
        <w:t>sampled</w:t>
      </w:r>
      <w:r>
        <w:rPr>
          <w:spacing w:val="-8"/>
        </w:rPr>
        <w:t xml:space="preserve"> </w:t>
      </w:r>
      <w:r>
        <w:t>with</w:t>
      </w:r>
      <w:r>
        <w:rPr>
          <w:spacing w:val="-8"/>
        </w:rPr>
        <w:t xml:space="preserve"> </w:t>
      </w:r>
      <w:r>
        <w:t>probability</w:t>
      </w:r>
      <w:r>
        <w:rPr>
          <w:spacing w:val="-8"/>
        </w:rPr>
        <w:t xml:space="preserve"> </w:t>
      </w:r>
      <w:r>
        <w:t>proportional</w:t>
      </w:r>
      <w:r>
        <w:rPr>
          <w:spacing w:val="-8"/>
        </w:rPr>
        <w:t xml:space="preserve"> </w:t>
      </w:r>
      <w:r>
        <w:t>to enrollment. These probabilities were retained and used in later stages of sampling and weighting of new schools.</w:t>
      </w:r>
    </w:p>
    <w:p w:rsidR="003F5784" w14:paraId="0E8511AC" w14:textId="77777777">
      <w:pPr>
        <w:pStyle w:val="BodyText"/>
        <w:spacing w:before="210" w:line="232" w:lineRule="auto"/>
        <w:ind w:left="109"/>
      </w:pPr>
      <w:r>
        <w:t>NCEA</w:t>
      </w:r>
      <w:r>
        <w:rPr>
          <w:spacing w:val="-11"/>
        </w:rPr>
        <w:t xml:space="preserve"> </w:t>
      </w:r>
      <w:r>
        <w:t>was sent a listing of all the schools in the selected dioceses that appeared on the 2019–2020 PSS file and was asked to provide information about the new schools not included in the file and grade span changes of existing schools.</w:t>
      </w:r>
      <w:r>
        <w:rPr>
          <w:spacing w:val="-3"/>
        </w:rPr>
        <w:t xml:space="preserve"> </w:t>
      </w:r>
      <w:r>
        <w:t>These listings were used as sampling frames for selection of new Catholic schools and updates of existing schools,</w:t>
      </w:r>
      <w:r>
        <w:rPr>
          <w:spacing w:val="-6"/>
        </w:rPr>
        <w:t xml:space="preserve"> </w:t>
      </w:r>
      <w:r>
        <w:t>keeping</w:t>
      </w:r>
      <w:r>
        <w:rPr>
          <w:spacing w:val="-6"/>
        </w:rPr>
        <w:t xml:space="preserve"> </w:t>
      </w:r>
      <w:r>
        <w:t>in</w:t>
      </w:r>
      <w:r>
        <w:rPr>
          <w:spacing w:val="-6"/>
        </w:rPr>
        <w:t xml:space="preserve"> </w:t>
      </w:r>
      <w:r>
        <w:t>mind</w:t>
      </w:r>
      <w:r>
        <w:rPr>
          <w:spacing w:val="-6"/>
        </w:rPr>
        <w:t xml:space="preserve"> </w:t>
      </w:r>
      <w:r>
        <w:t>that</w:t>
      </w:r>
      <w:r>
        <w:rPr>
          <w:spacing w:val="-6"/>
        </w:rPr>
        <w:t xml:space="preserve"> </w:t>
      </w:r>
      <w:r>
        <w:t>grades</w:t>
      </w:r>
      <w:r>
        <w:rPr>
          <w:spacing w:val="-6"/>
        </w:rPr>
        <w:t xml:space="preserve"> </w:t>
      </w:r>
      <w:r>
        <w:t>2-5</w:t>
      </w:r>
      <w:r>
        <w:rPr>
          <w:spacing w:val="-6"/>
        </w:rPr>
        <w:t xml:space="preserve"> </w:t>
      </w:r>
      <w:r>
        <w:t>were</w:t>
      </w:r>
      <w:r>
        <w:rPr>
          <w:spacing w:val="-6"/>
        </w:rPr>
        <w:t xml:space="preserve"> </w:t>
      </w:r>
      <w:r>
        <w:t>targeted</w:t>
      </w:r>
      <w:r>
        <w:rPr>
          <w:spacing w:val="-6"/>
        </w:rPr>
        <w:t xml:space="preserve"> </w:t>
      </w:r>
      <w:r>
        <w:t>for</w:t>
      </w:r>
      <w:r>
        <w:rPr>
          <w:spacing w:val="-6"/>
        </w:rPr>
        <w:t xml:space="preserve"> </w:t>
      </w:r>
      <w:r>
        <w:t>age</w:t>
      </w:r>
      <w:r>
        <w:rPr>
          <w:spacing w:val="-6"/>
        </w:rPr>
        <w:t xml:space="preserve"> </w:t>
      </w:r>
      <w:r>
        <w:t>9.</w:t>
      </w:r>
      <w:r>
        <w:rPr>
          <w:spacing w:val="-6"/>
        </w:rPr>
        <w:t xml:space="preserve"> </w:t>
      </w:r>
      <w:r>
        <w:t>In</w:t>
      </w:r>
      <w:r>
        <w:rPr>
          <w:spacing w:val="-6"/>
        </w:rPr>
        <w:t xml:space="preserve"> </w:t>
      </w:r>
      <w:r>
        <w:t>addition,</w:t>
      </w:r>
      <w:r>
        <w:rPr>
          <w:spacing w:val="-6"/>
        </w:rPr>
        <w:t xml:space="preserve"> </w:t>
      </w:r>
      <w:r>
        <w:t>the</w:t>
      </w:r>
      <w:r>
        <w:rPr>
          <w:spacing w:val="-6"/>
        </w:rPr>
        <w:t xml:space="preserve"> </w:t>
      </w:r>
      <w:r>
        <w:t>new-school</w:t>
      </w:r>
      <w:r>
        <w:rPr>
          <w:spacing w:val="-6"/>
        </w:rPr>
        <w:t xml:space="preserve"> </w:t>
      </w:r>
      <w:r>
        <w:t>frames</w:t>
      </w:r>
      <w:r>
        <w:rPr>
          <w:spacing w:val="-6"/>
        </w:rPr>
        <w:t xml:space="preserve"> </w:t>
      </w:r>
      <w:r>
        <w:t>were</w:t>
      </w:r>
      <w:r>
        <w:rPr>
          <w:spacing w:val="-6"/>
        </w:rPr>
        <w:t xml:space="preserve"> </w:t>
      </w:r>
      <w:r>
        <w:t>limited</w:t>
      </w:r>
      <w:r>
        <w:rPr>
          <w:spacing w:val="-6"/>
        </w:rPr>
        <w:t xml:space="preserve"> </w:t>
      </w:r>
      <w:r>
        <w:t>to</w:t>
      </w:r>
      <w:r>
        <w:rPr>
          <w:spacing w:val="-6"/>
        </w:rPr>
        <w:t xml:space="preserve"> </w:t>
      </w:r>
      <w:r>
        <w:t>the</w:t>
      </w:r>
      <w:r>
        <w:rPr>
          <w:spacing w:val="-6"/>
        </w:rPr>
        <w:t xml:space="preserve"> </w:t>
      </w:r>
      <w:r>
        <w:t>geographic</w:t>
      </w:r>
      <w:r>
        <w:rPr>
          <w:spacing w:val="-6"/>
        </w:rPr>
        <w:t xml:space="preserve"> </w:t>
      </w:r>
      <w:r>
        <w:t>areas</w:t>
      </w:r>
      <w:r>
        <w:rPr>
          <w:spacing w:val="-6"/>
        </w:rPr>
        <w:t xml:space="preserve"> </w:t>
      </w:r>
      <w:r>
        <w:t>covered</w:t>
      </w:r>
      <w:r>
        <w:rPr>
          <w:spacing w:val="-6"/>
        </w:rPr>
        <w:t xml:space="preserve"> </w:t>
      </w:r>
      <w:r>
        <w:t>by</w:t>
      </w:r>
      <w:r>
        <w:rPr>
          <w:spacing w:val="-6"/>
        </w:rPr>
        <w:t xml:space="preserve"> </w:t>
      </w:r>
      <w:r>
        <w:t>the</w:t>
      </w:r>
      <w:r>
        <w:rPr>
          <w:spacing w:val="-6"/>
        </w:rPr>
        <w:t xml:space="preserve"> </w:t>
      </w:r>
      <w:r>
        <w:t>sampled</w:t>
      </w:r>
      <w:r>
        <w:rPr>
          <w:spacing w:val="-6"/>
        </w:rPr>
        <w:t xml:space="preserve"> </w:t>
      </w:r>
      <w:r>
        <w:t>LTT</w:t>
      </w:r>
      <w:r>
        <w:rPr>
          <w:spacing w:val="-10"/>
        </w:rPr>
        <w:t xml:space="preserve"> </w:t>
      </w:r>
      <w:r>
        <w:t>primary sampling units (PSUs).</w:t>
      </w:r>
    </w:p>
    <w:p w:rsidR="003F5784" w14:paraId="2203AC0F" w14:textId="77777777">
      <w:pPr>
        <w:pStyle w:val="BodyText"/>
        <w:spacing w:before="209" w:line="232" w:lineRule="auto"/>
        <w:ind w:left="109"/>
      </w:pPr>
      <w:r>
        <w:t>The</w:t>
      </w:r>
      <w:r>
        <w:rPr>
          <w:spacing w:val="-6"/>
        </w:rPr>
        <w:t xml:space="preserve"> </w:t>
      </w:r>
      <w:r>
        <w:t>following</w:t>
      </w:r>
      <w:r>
        <w:rPr>
          <w:spacing w:val="-6"/>
        </w:rPr>
        <w:t xml:space="preserve"> </w:t>
      </w:r>
      <w:r>
        <w:t>table</w:t>
      </w:r>
      <w:r>
        <w:rPr>
          <w:spacing w:val="-6"/>
        </w:rPr>
        <w:t xml:space="preserve"> </w:t>
      </w:r>
      <w:r>
        <w:t>presents</w:t>
      </w:r>
      <w:r>
        <w:rPr>
          <w:spacing w:val="-6"/>
        </w:rPr>
        <w:t xml:space="preserve"> </w:t>
      </w:r>
      <w:r>
        <w:t>the</w:t>
      </w:r>
      <w:r>
        <w:rPr>
          <w:spacing w:val="-6"/>
        </w:rPr>
        <w:t xml:space="preserve"> </w:t>
      </w:r>
      <w:r>
        <w:t>number</w:t>
      </w:r>
      <w:r>
        <w:rPr>
          <w:spacing w:val="-6"/>
        </w:rPr>
        <w:t xml:space="preserve"> </w:t>
      </w:r>
      <w:r>
        <w:t>and</w:t>
      </w:r>
      <w:r>
        <w:rPr>
          <w:spacing w:val="-6"/>
        </w:rPr>
        <w:t xml:space="preserve"> </w:t>
      </w:r>
      <w:r>
        <w:t>percentage</w:t>
      </w:r>
      <w:r>
        <w:rPr>
          <w:spacing w:val="-6"/>
        </w:rPr>
        <w:t xml:space="preserve"> </w:t>
      </w:r>
      <w:r>
        <w:t>of</w:t>
      </w:r>
      <w:r>
        <w:rPr>
          <w:spacing w:val="-6"/>
        </w:rPr>
        <w:t xml:space="preserve"> </w:t>
      </w:r>
      <w:r>
        <w:t>schools</w:t>
      </w:r>
      <w:r>
        <w:rPr>
          <w:spacing w:val="-6"/>
        </w:rPr>
        <w:t xml:space="preserve"> </w:t>
      </w:r>
      <w:r>
        <w:t>and</w:t>
      </w:r>
      <w:r>
        <w:rPr>
          <w:spacing w:val="-6"/>
        </w:rPr>
        <w:t xml:space="preserve"> </w:t>
      </w:r>
      <w:r>
        <w:t>average</w:t>
      </w:r>
      <w:r>
        <w:rPr>
          <w:spacing w:val="-6"/>
        </w:rPr>
        <w:t xml:space="preserve"> </w:t>
      </w:r>
      <w:r>
        <w:t>estimated</w:t>
      </w:r>
      <w:r>
        <w:rPr>
          <w:spacing w:val="-6"/>
        </w:rPr>
        <w:t xml:space="preserve"> </w:t>
      </w:r>
      <w:r>
        <w:t>age</w:t>
      </w:r>
      <w:r>
        <w:rPr>
          <w:spacing w:val="-6"/>
        </w:rPr>
        <w:t xml:space="preserve"> </w:t>
      </w:r>
      <w:r>
        <w:t>enrollment</w:t>
      </w:r>
      <w:r>
        <w:rPr>
          <w:spacing w:val="-6"/>
        </w:rPr>
        <w:t xml:space="preserve"> </w:t>
      </w:r>
      <w:r>
        <w:t>for</w:t>
      </w:r>
      <w:r>
        <w:rPr>
          <w:spacing w:val="-6"/>
        </w:rPr>
        <w:t xml:space="preserve"> </w:t>
      </w:r>
      <w:r>
        <w:t>the</w:t>
      </w:r>
      <w:r>
        <w:rPr>
          <w:spacing w:val="-6"/>
        </w:rPr>
        <w:t xml:space="preserve"> </w:t>
      </w:r>
      <w:r>
        <w:t>age</w:t>
      </w:r>
      <w:r>
        <w:rPr>
          <w:spacing w:val="-6"/>
        </w:rPr>
        <w:t xml:space="preserve"> </w:t>
      </w:r>
      <w:r>
        <w:t>9</w:t>
      </w:r>
      <w:r>
        <w:rPr>
          <w:spacing w:val="-6"/>
        </w:rPr>
        <w:t xml:space="preserve"> </w:t>
      </w:r>
      <w:r>
        <w:t>"new-school"</w:t>
      </w:r>
      <w:r>
        <w:rPr>
          <w:spacing w:val="-6"/>
        </w:rPr>
        <w:t xml:space="preserve"> </w:t>
      </w:r>
      <w:r>
        <w:t>frames</w:t>
      </w:r>
      <w:r>
        <w:rPr>
          <w:spacing w:val="-6"/>
        </w:rPr>
        <w:t xml:space="preserve"> </w:t>
      </w:r>
      <w:r>
        <w:t>by</w:t>
      </w:r>
      <w:r>
        <w:rPr>
          <w:spacing w:val="-6"/>
        </w:rPr>
        <w:t xml:space="preserve"> </w:t>
      </w:r>
      <w:r>
        <w:t>census</w:t>
      </w:r>
      <w:r>
        <w:rPr>
          <w:spacing w:val="-6"/>
        </w:rPr>
        <w:t xml:space="preserve"> </w:t>
      </w:r>
      <w:r>
        <w:t>region.</w:t>
      </w:r>
      <w:r>
        <w:rPr>
          <w:spacing w:val="-6"/>
        </w:rPr>
        <w:t xml:space="preserve"> </w:t>
      </w:r>
      <w:r>
        <w:t>For</w:t>
      </w:r>
      <w:r>
        <w:rPr>
          <w:spacing w:val="-6"/>
        </w:rPr>
        <w:t xml:space="preserve"> </w:t>
      </w:r>
      <w:r>
        <w:t>age</w:t>
      </w:r>
      <w:r>
        <w:rPr>
          <w:spacing w:val="-6"/>
        </w:rPr>
        <w:t xml:space="preserve"> </w:t>
      </w:r>
      <w:r>
        <w:t>9</w:t>
      </w:r>
      <w:r>
        <w:rPr>
          <w:spacing w:val="-6"/>
        </w:rPr>
        <w:t xml:space="preserve"> </w:t>
      </w:r>
      <w:r>
        <w:t>there were no new schools in the Midwest region.</w:t>
      </w:r>
    </w:p>
    <w:p w:rsidR="003F5784" w14:paraId="01EC7440" w14:textId="77777777">
      <w:pPr>
        <w:pStyle w:val="BodyText"/>
        <w:spacing w:before="92"/>
      </w:pPr>
    </w:p>
    <w:p w:rsidR="003F5784" w14:paraId="67346296" w14:textId="77777777">
      <w:pPr>
        <w:pStyle w:val="Heading2"/>
        <w:spacing w:before="1"/>
      </w:pPr>
      <w:r>
        <w:t>Number</w:t>
      </w:r>
      <w:r>
        <w:rPr>
          <w:spacing w:val="-11"/>
        </w:rPr>
        <w:t xml:space="preserve"> </w:t>
      </w:r>
      <w:r>
        <w:t>and</w:t>
      </w:r>
      <w:r>
        <w:rPr>
          <w:spacing w:val="-6"/>
        </w:rPr>
        <w:t xml:space="preserve"> </w:t>
      </w:r>
      <w:r>
        <w:t>percentage</w:t>
      </w:r>
      <w:r>
        <w:rPr>
          <w:spacing w:val="-7"/>
        </w:rPr>
        <w:t xml:space="preserve"> </w:t>
      </w:r>
      <w:r>
        <w:t>of</w:t>
      </w:r>
      <w:r>
        <w:rPr>
          <w:spacing w:val="-7"/>
        </w:rPr>
        <w:t xml:space="preserve"> </w:t>
      </w:r>
      <w:r>
        <w:t>schools</w:t>
      </w:r>
      <w:r>
        <w:rPr>
          <w:spacing w:val="-7"/>
        </w:rPr>
        <w:t xml:space="preserve"> </w:t>
      </w:r>
      <w:r>
        <w:t>and</w:t>
      </w:r>
      <w:r>
        <w:rPr>
          <w:spacing w:val="-6"/>
        </w:rPr>
        <w:t xml:space="preserve"> </w:t>
      </w:r>
      <w:r>
        <w:t>mean</w:t>
      </w:r>
      <w:r>
        <w:rPr>
          <w:spacing w:val="-7"/>
        </w:rPr>
        <w:t xml:space="preserve"> </w:t>
      </w:r>
      <w:r>
        <w:t>school</w:t>
      </w:r>
      <w:r>
        <w:rPr>
          <w:spacing w:val="-7"/>
        </w:rPr>
        <w:t xml:space="preserve"> </w:t>
      </w:r>
      <w:r>
        <w:t>size</w:t>
      </w:r>
      <w:r>
        <w:rPr>
          <w:spacing w:val="-6"/>
        </w:rPr>
        <w:t xml:space="preserve"> </w:t>
      </w:r>
      <w:r>
        <w:t>in</w:t>
      </w:r>
      <w:r>
        <w:rPr>
          <w:spacing w:val="-7"/>
        </w:rPr>
        <w:t xml:space="preserve"> </w:t>
      </w:r>
      <w:r>
        <w:t>the</w:t>
      </w:r>
      <w:r>
        <w:rPr>
          <w:spacing w:val="-7"/>
        </w:rPr>
        <w:t xml:space="preserve"> </w:t>
      </w:r>
      <w:r>
        <w:t>private</w:t>
      </w:r>
      <w:r>
        <w:rPr>
          <w:spacing w:val="-6"/>
        </w:rPr>
        <w:t xml:space="preserve"> </w:t>
      </w:r>
      <w:r>
        <w:t>new-school</w:t>
      </w:r>
      <w:r>
        <w:rPr>
          <w:spacing w:val="-7"/>
        </w:rPr>
        <w:t xml:space="preserve"> </w:t>
      </w:r>
      <w:r>
        <w:t>frame,</w:t>
      </w:r>
      <w:r>
        <w:rPr>
          <w:spacing w:val="-7"/>
        </w:rPr>
        <w:t xml:space="preserve"> </w:t>
      </w:r>
      <w:r>
        <w:t>long-term</w:t>
      </w:r>
      <w:r>
        <w:rPr>
          <w:spacing w:val="-6"/>
        </w:rPr>
        <w:t xml:space="preserve"> </w:t>
      </w:r>
      <w:r>
        <w:t>trend</w:t>
      </w:r>
      <w:r>
        <w:rPr>
          <w:spacing w:val="-7"/>
        </w:rPr>
        <w:t xml:space="preserve"> </w:t>
      </w:r>
      <w:r>
        <w:t>assessment</w:t>
      </w:r>
      <w:r>
        <w:rPr>
          <w:spacing w:val="-7"/>
        </w:rPr>
        <w:t xml:space="preserve"> </w:t>
      </w:r>
      <w:r>
        <w:t>for</w:t>
      </w:r>
      <w:r>
        <w:rPr>
          <w:spacing w:val="-10"/>
        </w:rPr>
        <w:t xml:space="preserve"> </w:t>
      </w:r>
      <w:r>
        <w:t>age</w:t>
      </w:r>
      <w:r>
        <w:rPr>
          <w:spacing w:val="-7"/>
        </w:rPr>
        <w:t xml:space="preserve"> </w:t>
      </w:r>
      <w:r>
        <w:t>9,</w:t>
      </w:r>
      <w:r>
        <w:rPr>
          <w:spacing w:val="-6"/>
        </w:rPr>
        <w:t xml:space="preserve"> </w:t>
      </w:r>
      <w:r>
        <w:t>by</w:t>
      </w:r>
      <w:r>
        <w:rPr>
          <w:spacing w:val="-7"/>
        </w:rPr>
        <w:t xml:space="preserve"> </w:t>
      </w:r>
      <w:r>
        <w:t>census</w:t>
      </w:r>
      <w:r>
        <w:rPr>
          <w:spacing w:val="-7"/>
        </w:rPr>
        <w:t xml:space="preserve"> </w:t>
      </w:r>
      <w:r>
        <w:t>region:</w:t>
      </w:r>
      <w:r>
        <w:rPr>
          <w:spacing w:val="-7"/>
        </w:rPr>
        <w:t xml:space="preserve"> </w:t>
      </w:r>
      <w:r>
        <w:rPr>
          <w:spacing w:val="-4"/>
        </w:rPr>
        <w:t>2022</w:t>
      </w:r>
    </w:p>
    <w:p w:rsidR="003F5784" w14:paraId="5FB6FC32"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3449"/>
        <w:gridCol w:w="3957"/>
        <w:gridCol w:w="3541"/>
        <w:gridCol w:w="3038"/>
      </w:tblGrid>
      <w:tr w14:paraId="284BA5AC" w14:textId="77777777">
        <w:tblPrEx>
          <w:tblW w:w="0" w:type="auto"/>
          <w:tblInd w:w="482" w:type="dxa"/>
          <w:tblLayout w:type="fixed"/>
          <w:tblCellMar>
            <w:left w:w="0" w:type="dxa"/>
            <w:right w:w="0" w:type="dxa"/>
          </w:tblCellMar>
          <w:tblLook w:val="01E0"/>
        </w:tblPrEx>
        <w:trPr>
          <w:trHeight w:val="267"/>
        </w:trPr>
        <w:tc>
          <w:tcPr>
            <w:tcW w:w="3449" w:type="dxa"/>
            <w:tcBorders>
              <w:top w:val="single" w:sz="18" w:space="0" w:color="800000"/>
              <w:bottom w:val="single" w:sz="18" w:space="0" w:color="800000"/>
            </w:tcBorders>
          </w:tcPr>
          <w:p w:rsidR="003F5784" w14:paraId="09F5E3A2" w14:textId="77777777">
            <w:pPr>
              <w:pStyle w:val="TableParagraph"/>
              <w:spacing w:before="9" w:line="238" w:lineRule="exact"/>
              <w:ind w:left="120"/>
              <w:jc w:val="left"/>
              <w:rPr>
                <w:sz w:val="21"/>
              </w:rPr>
            </w:pPr>
            <w:r>
              <w:rPr>
                <w:sz w:val="21"/>
              </w:rPr>
              <w:t>Census</w:t>
            </w:r>
            <w:r>
              <w:rPr>
                <w:spacing w:val="-8"/>
                <w:sz w:val="21"/>
              </w:rPr>
              <w:t xml:space="preserve"> </w:t>
            </w:r>
            <w:r>
              <w:rPr>
                <w:spacing w:val="-2"/>
                <w:sz w:val="21"/>
              </w:rPr>
              <w:t>region</w:t>
            </w:r>
          </w:p>
        </w:tc>
        <w:tc>
          <w:tcPr>
            <w:tcW w:w="3957" w:type="dxa"/>
            <w:tcBorders>
              <w:top w:val="single" w:sz="18" w:space="0" w:color="800000"/>
              <w:bottom w:val="single" w:sz="18" w:space="0" w:color="800000"/>
            </w:tcBorders>
          </w:tcPr>
          <w:p w:rsidR="003F5784" w14:paraId="392A6CAF" w14:textId="77777777">
            <w:pPr>
              <w:pStyle w:val="TableParagraph"/>
              <w:spacing w:before="9" w:line="238" w:lineRule="exact"/>
              <w:ind w:right="1154"/>
              <w:rPr>
                <w:sz w:val="21"/>
              </w:rPr>
            </w:pPr>
            <w:r>
              <w:rPr>
                <w:spacing w:val="-2"/>
                <w:sz w:val="21"/>
              </w:rPr>
              <w:t>Schools</w:t>
            </w:r>
          </w:p>
        </w:tc>
        <w:tc>
          <w:tcPr>
            <w:tcW w:w="3541" w:type="dxa"/>
            <w:tcBorders>
              <w:top w:val="single" w:sz="18" w:space="0" w:color="800000"/>
              <w:bottom w:val="single" w:sz="18" w:space="0" w:color="800000"/>
            </w:tcBorders>
          </w:tcPr>
          <w:p w:rsidR="003F5784" w14:paraId="2B983D35" w14:textId="77777777">
            <w:pPr>
              <w:pStyle w:val="TableParagraph"/>
              <w:spacing w:before="9" w:line="238" w:lineRule="exact"/>
              <w:ind w:right="1469"/>
              <w:rPr>
                <w:sz w:val="21"/>
              </w:rPr>
            </w:pPr>
            <w:r>
              <w:rPr>
                <w:spacing w:val="-2"/>
                <w:sz w:val="21"/>
              </w:rPr>
              <w:t>Percentage</w:t>
            </w:r>
          </w:p>
        </w:tc>
        <w:tc>
          <w:tcPr>
            <w:tcW w:w="3038" w:type="dxa"/>
            <w:tcBorders>
              <w:top w:val="single" w:sz="18" w:space="0" w:color="800000"/>
              <w:bottom w:val="single" w:sz="18" w:space="0" w:color="800000"/>
            </w:tcBorders>
          </w:tcPr>
          <w:p w:rsidR="003F5784" w14:paraId="0A70E69C" w14:textId="77777777">
            <w:pPr>
              <w:pStyle w:val="TableParagraph"/>
              <w:spacing w:before="9" w:line="238" w:lineRule="exact"/>
              <w:ind w:right="118"/>
              <w:rPr>
                <w:sz w:val="21"/>
              </w:rPr>
            </w:pPr>
            <w:r>
              <w:rPr>
                <w:sz w:val="21"/>
              </w:rPr>
              <w:t>Mean</w:t>
            </w:r>
            <w:r>
              <w:rPr>
                <w:spacing w:val="-7"/>
                <w:sz w:val="21"/>
              </w:rPr>
              <w:t xml:space="preserve"> </w:t>
            </w:r>
            <w:r>
              <w:rPr>
                <w:sz w:val="21"/>
              </w:rPr>
              <w:t>school</w:t>
            </w:r>
            <w:r>
              <w:rPr>
                <w:spacing w:val="-6"/>
                <w:sz w:val="21"/>
              </w:rPr>
              <w:t xml:space="preserve"> </w:t>
            </w:r>
            <w:r>
              <w:rPr>
                <w:spacing w:val="-4"/>
                <w:sz w:val="21"/>
              </w:rPr>
              <w:t>size</w:t>
            </w:r>
          </w:p>
        </w:tc>
      </w:tr>
      <w:tr w14:paraId="5D0F42C9" w14:textId="77777777">
        <w:tblPrEx>
          <w:tblW w:w="0" w:type="auto"/>
          <w:tblInd w:w="482" w:type="dxa"/>
          <w:tblLayout w:type="fixed"/>
          <w:tblCellMar>
            <w:left w:w="0" w:type="dxa"/>
            <w:right w:w="0" w:type="dxa"/>
          </w:tblCellMar>
          <w:tblLook w:val="01E0"/>
        </w:tblPrEx>
        <w:trPr>
          <w:trHeight w:val="278"/>
        </w:trPr>
        <w:tc>
          <w:tcPr>
            <w:tcW w:w="3449" w:type="dxa"/>
            <w:tcBorders>
              <w:top w:val="single" w:sz="18" w:space="0" w:color="800000"/>
            </w:tcBorders>
          </w:tcPr>
          <w:p w:rsidR="003F5784" w14:paraId="791F7765" w14:textId="77777777">
            <w:pPr>
              <w:pStyle w:val="TableParagraph"/>
              <w:spacing w:before="9"/>
              <w:ind w:left="370"/>
              <w:jc w:val="left"/>
              <w:rPr>
                <w:b/>
                <w:sz w:val="21"/>
              </w:rPr>
            </w:pPr>
            <w:r>
              <w:rPr>
                <w:b/>
                <w:spacing w:val="-2"/>
                <w:sz w:val="21"/>
              </w:rPr>
              <w:t>Total</w:t>
            </w:r>
          </w:p>
        </w:tc>
        <w:tc>
          <w:tcPr>
            <w:tcW w:w="3957" w:type="dxa"/>
            <w:tcBorders>
              <w:top w:val="single" w:sz="18" w:space="0" w:color="800000"/>
            </w:tcBorders>
          </w:tcPr>
          <w:p w:rsidR="003F5784" w14:paraId="47345B92" w14:textId="77777777">
            <w:pPr>
              <w:pStyle w:val="TableParagraph"/>
              <w:spacing w:before="9"/>
              <w:ind w:right="1154"/>
              <w:rPr>
                <w:b/>
                <w:sz w:val="21"/>
              </w:rPr>
            </w:pPr>
            <w:r>
              <w:rPr>
                <w:b/>
                <w:spacing w:val="-5"/>
                <w:sz w:val="21"/>
              </w:rPr>
              <w:t>15</w:t>
            </w:r>
          </w:p>
        </w:tc>
        <w:tc>
          <w:tcPr>
            <w:tcW w:w="3541" w:type="dxa"/>
            <w:tcBorders>
              <w:top w:val="single" w:sz="18" w:space="0" w:color="800000"/>
            </w:tcBorders>
          </w:tcPr>
          <w:p w:rsidR="003F5784" w14:paraId="3EA9CFDF" w14:textId="77777777">
            <w:pPr>
              <w:pStyle w:val="TableParagraph"/>
              <w:spacing w:before="9"/>
              <w:ind w:right="1469"/>
              <w:rPr>
                <w:b/>
                <w:sz w:val="21"/>
              </w:rPr>
            </w:pPr>
            <w:r>
              <w:rPr>
                <w:b/>
                <w:spacing w:val="-2"/>
                <w:sz w:val="21"/>
              </w:rPr>
              <w:t>100.00</w:t>
            </w:r>
          </w:p>
        </w:tc>
        <w:tc>
          <w:tcPr>
            <w:tcW w:w="3038" w:type="dxa"/>
            <w:tcBorders>
              <w:top w:val="single" w:sz="18" w:space="0" w:color="800000"/>
            </w:tcBorders>
          </w:tcPr>
          <w:p w:rsidR="003F5784" w14:paraId="13988411" w14:textId="77777777">
            <w:pPr>
              <w:pStyle w:val="TableParagraph"/>
              <w:spacing w:before="9"/>
              <w:ind w:right="118"/>
              <w:rPr>
                <w:b/>
                <w:sz w:val="21"/>
              </w:rPr>
            </w:pPr>
            <w:r>
              <w:rPr>
                <w:b/>
                <w:spacing w:val="-5"/>
                <w:sz w:val="21"/>
              </w:rPr>
              <w:t>32</w:t>
            </w:r>
          </w:p>
        </w:tc>
      </w:tr>
      <w:tr w14:paraId="5195F574" w14:textId="77777777">
        <w:tblPrEx>
          <w:tblW w:w="0" w:type="auto"/>
          <w:tblInd w:w="482" w:type="dxa"/>
          <w:tblLayout w:type="fixed"/>
          <w:tblCellMar>
            <w:left w:w="0" w:type="dxa"/>
            <w:right w:w="0" w:type="dxa"/>
          </w:tblCellMar>
          <w:tblLook w:val="01E0"/>
        </w:tblPrEx>
        <w:trPr>
          <w:trHeight w:val="286"/>
        </w:trPr>
        <w:tc>
          <w:tcPr>
            <w:tcW w:w="3449" w:type="dxa"/>
          </w:tcPr>
          <w:p w:rsidR="003F5784" w14:paraId="2D820538" w14:textId="77777777">
            <w:pPr>
              <w:pStyle w:val="TableParagraph"/>
              <w:ind w:left="120"/>
              <w:jc w:val="left"/>
              <w:rPr>
                <w:sz w:val="21"/>
              </w:rPr>
            </w:pPr>
            <w:r>
              <w:rPr>
                <w:spacing w:val="-2"/>
                <w:sz w:val="21"/>
              </w:rPr>
              <w:t>Northeast</w:t>
            </w:r>
          </w:p>
        </w:tc>
        <w:tc>
          <w:tcPr>
            <w:tcW w:w="3957" w:type="dxa"/>
          </w:tcPr>
          <w:p w:rsidR="003F5784" w14:paraId="700EF3E8" w14:textId="77777777">
            <w:pPr>
              <w:pStyle w:val="TableParagraph"/>
              <w:ind w:right="1154"/>
              <w:rPr>
                <w:sz w:val="21"/>
              </w:rPr>
            </w:pPr>
            <w:r>
              <w:rPr>
                <w:spacing w:val="-5"/>
                <w:sz w:val="21"/>
              </w:rPr>
              <w:t>11</w:t>
            </w:r>
          </w:p>
        </w:tc>
        <w:tc>
          <w:tcPr>
            <w:tcW w:w="3541" w:type="dxa"/>
          </w:tcPr>
          <w:p w:rsidR="003F5784" w14:paraId="08AFFED3" w14:textId="77777777">
            <w:pPr>
              <w:pStyle w:val="TableParagraph"/>
              <w:ind w:right="1469"/>
              <w:rPr>
                <w:sz w:val="21"/>
              </w:rPr>
            </w:pPr>
            <w:r>
              <w:rPr>
                <w:spacing w:val="-2"/>
                <w:sz w:val="21"/>
              </w:rPr>
              <w:t>73.33</w:t>
            </w:r>
          </w:p>
        </w:tc>
        <w:tc>
          <w:tcPr>
            <w:tcW w:w="3038" w:type="dxa"/>
          </w:tcPr>
          <w:p w:rsidR="003F5784" w14:paraId="62CF9BB9" w14:textId="77777777">
            <w:pPr>
              <w:pStyle w:val="TableParagraph"/>
              <w:ind w:right="118"/>
              <w:rPr>
                <w:sz w:val="21"/>
              </w:rPr>
            </w:pPr>
            <w:r>
              <w:rPr>
                <w:spacing w:val="-5"/>
                <w:sz w:val="21"/>
              </w:rPr>
              <w:t>37</w:t>
            </w:r>
          </w:p>
        </w:tc>
      </w:tr>
      <w:tr w14:paraId="6875E010" w14:textId="77777777">
        <w:tblPrEx>
          <w:tblW w:w="0" w:type="auto"/>
          <w:tblInd w:w="482" w:type="dxa"/>
          <w:tblLayout w:type="fixed"/>
          <w:tblCellMar>
            <w:left w:w="0" w:type="dxa"/>
            <w:right w:w="0" w:type="dxa"/>
          </w:tblCellMar>
          <w:tblLook w:val="01E0"/>
        </w:tblPrEx>
        <w:trPr>
          <w:trHeight w:val="286"/>
        </w:trPr>
        <w:tc>
          <w:tcPr>
            <w:tcW w:w="3449" w:type="dxa"/>
          </w:tcPr>
          <w:p w:rsidR="003F5784" w14:paraId="00F6368A" w14:textId="77777777">
            <w:pPr>
              <w:pStyle w:val="TableParagraph"/>
              <w:ind w:left="120"/>
              <w:jc w:val="left"/>
              <w:rPr>
                <w:sz w:val="21"/>
              </w:rPr>
            </w:pPr>
            <w:r>
              <w:rPr>
                <w:spacing w:val="-2"/>
                <w:sz w:val="21"/>
              </w:rPr>
              <w:t>Midwest</w:t>
            </w:r>
          </w:p>
        </w:tc>
        <w:tc>
          <w:tcPr>
            <w:tcW w:w="3957" w:type="dxa"/>
          </w:tcPr>
          <w:p w:rsidR="003F5784" w14:paraId="009705FB" w14:textId="77777777">
            <w:pPr>
              <w:pStyle w:val="TableParagraph"/>
              <w:ind w:right="1154"/>
              <w:rPr>
                <w:sz w:val="21"/>
              </w:rPr>
            </w:pPr>
            <w:r>
              <w:rPr>
                <w:spacing w:val="-10"/>
                <w:sz w:val="21"/>
              </w:rPr>
              <w:t>0</w:t>
            </w:r>
          </w:p>
        </w:tc>
        <w:tc>
          <w:tcPr>
            <w:tcW w:w="3541" w:type="dxa"/>
          </w:tcPr>
          <w:p w:rsidR="003F5784" w14:paraId="3CCD2A5A" w14:textId="77777777">
            <w:pPr>
              <w:pStyle w:val="TableParagraph"/>
              <w:ind w:right="1469"/>
              <w:rPr>
                <w:sz w:val="21"/>
              </w:rPr>
            </w:pPr>
            <w:r>
              <w:rPr>
                <w:spacing w:val="-4"/>
                <w:sz w:val="21"/>
              </w:rPr>
              <w:t>0.00</w:t>
            </w:r>
          </w:p>
        </w:tc>
        <w:tc>
          <w:tcPr>
            <w:tcW w:w="3038" w:type="dxa"/>
          </w:tcPr>
          <w:p w:rsidR="003F5784" w14:paraId="25DE9E91" w14:textId="77777777">
            <w:pPr>
              <w:pStyle w:val="TableParagraph"/>
              <w:ind w:right="118"/>
              <w:rPr>
                <w:sz w:val="21"/>
              </w:rPr>
            </w:pPr>
            <w:r>
              <w:rPr>
                <w:spacing w:val="-10"/>
                <w:sz w:val="21"/>
              </w:rPr>
              <w:t>0</w:t>
            </w:r>
          </w:p>
        </w:tc>
      </w:tr>
      <w:tr w14:paraId="2B438F3C" w14:textId="77777777">
        <w:tblPrEx>
          <w:tblW w:w="0" w:type="auto"/>
          <w:tblInd w:w="482" w:type="dxa"/>
          <w:tblLayout w:type="fixed"/>
          <w:tblCellMar>
            <w:left w:w="0" w:type="dxa"/>
            <w:right w:w="0" w:type="dxa"/>
          </w:tblCellMar>
          <w:tblLook w:val="01E0"/>
        </w:tblPrEx>
        <w:trPr>
          <w:trHeight w:val="286"/>
        </w:trPr>
        <w:tc>
          <w:tcPr>
            <w:tcW w:w="3449" w:type="dxa"/>
          </w:tcPr>
          <w:p w:rsidR="003F5784" w14:paraId="0D21B948" w14:textId="77777777">
            <w:pPr>
              <w:pStyle w:val="TableParagraph"/>
              <w:ind w:left="120"/>
              <w:jc w:val="left"/>
              <w:rPr>
                <w:sz w:val="21"/>
              </w:rPr>
            </w:pPr>
            <w:r>
              <w:rPr>
                <w:spacing w:val="-2"/>
                <w:sz w:val="21"/>
              </w:rPr>
              <w:t>South</w:t>
            </w:r>
          </w:p>
        </w:tc>
        <w:tc>
          <w:tcPr>
            <w:tcW w:w="3957" w:type="dxa"/>
          </w:tcPr>
          <w:p w:rsidR="003F5784" w14:paraId="61CDAF1C" w14:textId="77777777">
            <w:pPr>
              <w:pStyle w:val="TableParagraph"/>
              <w:ind w:right="1154"/>
              <w:rPr>
                <w:sz w:val="21"/>
              </w:rPr>
            </w:pPr>
            <w:r>
              <w:rPr>
                <w:spacing w:val="-10"/>
                <w:sz w:val="21"/>
              </w:rPr>
              <w:t>3</w:t>
            </w:r>
          </w:p>
        </w:tc>
        <w:tc>
          <w:tcPr>
            <w:tcW w:w="3541" w:type="dxa"/>
          </w:tcPr>
          <w:p w:rsidR="003F5784" w14:paraId="2AC3A89A" w14:textId="77777777">
            <w:pPr>
              <w:pStyle w:val="TableParagraph"/>
              <w:ind w:right="1469"/>
              <w:rPr>
                <w:sz w:val="21"/>
              </w:rPr>
            </w:pPr>
            <w:r>
              <w:rPr>
                <w:spacing w:val="-2"/>
                <w:sz w:val="21"/>
              </w:rPr>
              <w:t>20.00</w:t>
            </w:r>
          </w:p>
        </w:tc>
        <w:tc>
          <w:tcPr>
            <w:tcW w:w="3038" w:type="dxa"/>
          </w:tcPr>
          <w:p w:rsidR="003F5784" w14:paraId="2F27F736" w14:textId="77777777">
            <w:pPr>
              <w:pStyle w:val="TableParagraph"/>
              <w:ind w:right="118"/>
              <w:rPr>
                <w:sz w:val="21"/>
              </w:rPr>
            </w:pPr>
            <w:r>
              <w:rPr>
                <w:spacing w:val="-5"/>
                <w:sz w:val="21"/>
              </w:rPr>
              <w:t>11</w:t>
            </w:r>
          </w:p>
        </w:tc>
      </w:tr>
      <w:tr w14:paraId="3E649BCF" w14:textId="77777777">
        <w:tblPrEx>
          <w:tblW w:w="0" w:type="auto"/>
          <w:tblInd w:w="482" w:type="dxa"/>
          <w:tblLayout w:type="fixed"/>
          <w:tblCellMar>
            <w:left w:w="0" w:type="dxa"/>
            <w:right w:w="0" w:type="dxa"/>
          </w:tblCellMar>
          <w:tblLook w:val="01E0"/>
        </w:tblPrEx>
        <w:trPr>
          <w:trHeight w:val="288"/>
        </w:trPr>
        <w:tc>
          <w:tcPr>
            <w:tcW w:w="3449" w:type="dxa"/>
            <w:tcBorders>
              <w:bottom w:val="single" w:sz="18" w:space="0" w:color="800000"/>
            </w:tcBorders>
          </w:tcPr>
          <w:p w:rsidR="003F5784" w14:paraId="59DAC89D" w14:textId="77777777">
            <w:pPr>
              <w:pStyle w:val="TableParagraph"/>
              <w:ind w:left="120"/>
              <w:jc w:val="left"/>
              <w:rPr>
                <w:sz w:val="21"/>
              </w:rPr>
            </w:pPr>
            <w:r>
              <w:rPr>
                <w:spacing w:val="-4"/>
                <w:sz w:val="21"/>
              </w:rPr>
              <w:t>West</w:t>
            </w:r>
          </w:p>
        </w:tc>
        <w:tc>
          <w:tcPr>
            <w:tcW w:w="3957" w:type="dxa"/>
            <w:tcBorders>
              <w:bottom w:val="single" w:sz="18" w:space="0" w:color="800000"/>
            </w:tcBorders>
          </w:tcPr>
          <w:p w:rsidR="003F5784" w14:paraId="394F0461" w14:textId="77777777">
            <w:pPr>
              <w:pStyle w:val="TableParagraph"/>
              <w:ind w:right="1154"/>
              <w:rPr>
                <w:sz w:val="21"/>
              </w:rPr>
            </w:pPr>
            <w:r>
              <w:rPr>
                <w:spacing w:val="-10"/>
                <w:sz w:val="21"/>
              </w:rPr>
              <w:t>1</w:t>
            </w:r>
          </w:p>
        </w:tc>
        <w:tc>
          <w:tcPr>
            <w:tcW w:w="3541" w:type="dxa"/>
            <w:tcBorders>
              <w:bottom w:val="single" w:sz="18" w:space="0" w:color="800000"/>
            </w:tcBorders>
          </w:tcPr>
          <w:p w:rsidR="003F5784" w14:paraId="2767D2CF" w14:textId="77777777">
            <w:pPr>
              <w:pStyle w:val="TableParagraph"/>
              <w:ind w:right="1469"/>
              <w:rPr>
                <w:sz w:val="21"/>
              </w:rPr>
            </w:pPr>
            <w:r>
              <w:rPr>
                <w:spacing w:val="-4"/>
                <w:sz w:val="21"/>
              </w:rPr>
              <w:t>6.67</w:t>
            </w:r>
          </w:p>
        </w:tc>
        <w:tc>
          <w:tcPr>
            <w:tcW w:w="3038" w:type="dxa"/>
            <w:tcBorders>
              <w:bottom w:val="single" w:sz="18" w:space="0" w:color="800000"/>
            </w:tcBorders>
          </w:tcPr>
          <w:p w:rsidR="003F5784" w14:paraId="550F134F" w14:textId="77777777">
            <w:pPr>
              <w:pStyle w:val="TableParagraph"/>
              <w:ind w:right="118"/>
              <w:rPr>
                <w:sz w:val="21"/>
              </w:rPr>
            </w:pPr>
            <w:r>
              <w:rPr>
                <w:spacing w:val="-5"/>
                <w:sz w:val="21"/>
              </w:rPr>
              <w:t>35</w:t>
            </w:r>
          </w:p>
        </w:tc>
      </w:tr>
      <w:tr w14:paraId="6653FDFE" w14:textId="77777777">
        <w:tblPrEx>
          <w:tblW w:w="0" w:type="auto"/>
          <w:tblInd w:w="482" w:type="dxa"/>
          <w:tblLayout w:type="fixed"/>
          <w:tblCellMar>
            <w:left w:w="0" w:type="dxa"/>
            <w:right w:w="0" w:type="dxa"/>
          </w:tblCellMar>
          <w:tblLook w:val="01E0"/>
        </w:tblPrEx>
        <w:trPr>
          <w:trHeight w:val="472"/>
        </w:trPr>
        <w:tc>
          <w:tcPr>
            <w:tcW w:w="13985" w:type="dxa"/>
            <w:gridSpan w:val="4"/>
            <w:tcBorders>
              <w:top w:val="single" w:sz="18" w:space="0" w:color="800000"/>
            </w:tcBorders>
          </w:tcPr>
          <w:p w:rsidR="003F5784" w14:paraId="34BA336F" w14:textId="77777777">
            <w:pPr>
              <w:pStyle w:val="TableParagraph"/>
              <w:spacing w:before="0" w:line="234" w:lineRule="exact"/>
              <w:ind w:left="120"/>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Progress (NAEP), 2022 Long-Term Trend Mathematics and Reading</w:t>
            </w:r>
            <w:r>
              <w:rPr>
                <w:spacing w:val="-1"/>
                <w:sz w:val="21"/>
              </w:rPr>
              <w:t xml:space="preserve"> </w:t>
            </w:r>
            <w:r>
              <w:rPr>
                <w:sz w:val="21"/>
              </w:rPr>
              <w:t>Assessments.</w:t>
            </w:r>
          </w:p>
        </w:tc>
      </w:tr>
    </w:tbl>
    <w:p w:rsidR="003F5784" w14:paraId="3F43DCDA" w14:textId="77777777">
      <w:pPr>
        <w:pStyle w:val="BodyText"/>
        <w:spacing w:before="20"/>
        <w:rPr>
          <w:b/>
        </w:rPr>
      </w:pPr>
    </w:p>
    <w:p w:rsidR="003F5784" w14:paraId="297C8065" w14:textId="77777777">
      <w:pPr>
        <w:pStyle w:val="BodyText"/>
        <w:spacing w:line="232" w:lineRule="auto"/>
        <w:ind w:left="109"/>
      </w:pPr>
      <w:r>
        <w:t>For</w:t>
      </w:r>
      <w:r>
        <w:rPr>
          <w:spacing w:val="-5"/>
        </w:rPr>
        <w:t xml:space="preserve"> </w:t>
      </w:r>
      <w:r>
        <w:t>age</w:t>
      </w:r>
      <w:r>
        <w:rPr>
          <w:spacing w:val="-5"/>
        </w:rPr>
        <w:t xml:space="preserve"> </w:t>
      </w:r>
      <w:r>
        <w:t>13</w:t>
      </w:r>
      <w:r>
        <w:rPr>
          <w:spacing w:val="-5"/>
        </w:rPr>
        <w:t xml:space="preserve"> </w:t>
      </w:r>
      <w:r>
        <w:t>a</w:t>
      </w:r>
      <w:r>
        <w:rPr>
          <w:spacing w:val="-5"/>
        </w:rPr>
        <w:t xml:space="preserve"> </w:t>
      </w:r>
      <w:r>
        <w:t>private</w:t>
      </w:r>
      <w:r>
        <w:rPr>
          <w:spacing w:val="-5"/>
        </w:rPr>
        <w:t xml:space="preserve"> </w:t>
      </w:r>
      <w:r>
        <w:t>new-school</w:t>
      </w:r>
      <w:r>
        <w:rPr>
          <w:spacing w:val="-5"/>
        </w:rPr>
        <w:t xml:space="preserve"> </w:t>
      </w:r>
      <w:r>
        <w:t>frame</w:t>
      </w:r>
      <w:r>
        <w:rPr>
          <w:spacing w:val="-5"/>
        </w:rPr>
        <w:t xml:space="preserve"> </w:t>
      </w:r>
      <w:r>
        <w:t>was</w:t>
      </w:r>
      <w:r>
        <w:rPr>
          <w:spacing w:val="-5"/>
        </w:rPr>
        <w:t xml:space="preserve"> </w:t>
      </w:r>
      <w:r>
        <w:t>not</w:t>
      </w:r>
      <w:r>
        <w:rPr>
          <w:spacing w:val="-5"/>
        </w:rPr>
        <w:t xml:space="preserve"> </w:t>
      </w:r>
      <w:r>
        <w:t>constructed.</w:t>
      </w:r>
      <w:r>
        <w:rPr>
          <w:spacing w:val="-5"/>
        </w:rPr>
        <w:t xml:space="preserve"> </w:t>
      </w:r>
      <w:r>
        <w:t>Based</w:t>
      </w:r>
      <w:r>
        <w:rPr>
          <w:spacing w:val="-5"/>
        </w:rPr>
        <w:t xml:space="preserve"> </w:t>
      </w:r>
      <w:r>
        <w:t>on</w:t>
      </w:r>
      <w:r>
        <w:rPr>
          <w:spacing w:val="-5"/>
        </w:rPr>
        <w:t xml:space="preserve"> </w:t>
      </w:r>
      <w:r>
        <w:t>the</w:t>
      </w:r>
      <w:r>
        <w:rPr>
          <w:spacing w:val="-5"/>
        </w:rPr>
        <w:t xml:space="preserve"> </w:t>
      </w:r>
      <w:r>
        <w:t>2022</w:t>
      </w:r>
      <w:r>
        <w:rPr>
          <w:spacing w:val="-5"/>
        </w:rPr>
        <w:t xml:space="preserve"> </w:t>
      </w:r>
      <w:r>
        <w:t>experience</w:t>
      </w:r>
      <w:r>
        <w:rPr>
          <w:spacing w:val="-5"/>
        </w:rPr>
        <w:t xml:space="preserve"> </w:t>
      </w:r>
      <w:r>
        <w:t>with</w:t>
      </w:r>
      <w:r>
        <w:rPr>
          <w:spacing w:val="-5"/>
        </w:rPr>
        <w:t xml:space="preserve"> </w:t>
      </w:r>
      <w:r>
        <w:t>age</w:t>
      </w:r>
      <w:r>
        <w:rPr>
          <w:spacing w:val="-5"/>
        </w:rPr>
        <w:t xml:space="preserve"> </w:t>
      </w:r>
      <w:r>
        <w:t>9,</w:t>
      </w:r>
      <w:r>
        <w:rPr>
          <w:spacing w:val="-5"/>
        </w:rPr>
        <w:t xml:space="preserve"> </w:t>
      </w:r>
      <w:r>
        <w:t>where</w:t>
      </w:r>
      <w:r>
        <w:rPr>
          <w:spacing w:val="-5"/>
        </w:rPr>
        <w:t xml:space="preserve"> </w:t>
      </w:r>
      <w:r>
        <w:t>only</w:t>
      </w:r>
      <w:r>
        <w:rPr>
          <w:spacing w:val="-5"/>
        </w:rPr>
        <w:t xml:space="preserve"> </w:t>
      </w:r>
      <w:r>
        <w:t>one</w:t>
      </w:r>
      <w:r>
        <w:rPr>
          <w:spacing w:val="-5"/>
        </w:rPr>
        <w:t xml:space="preserve"> </w:t>
      </w:r>
      <w:r>
        <w:t>of</w:t>
      </w:r>
      <w:r>
        <w:rPr>
          <w:spacing w:val="-5"/>
        </w:rPr>
        <w:t xml:space="preserve"> </w:t>
      </w:r>
      <w:r>
        <w:t>the</w:t>
      </w:r>
      <w:r>
        <w:rPr>
          <w:spacing w:val="-5"/>
        </w:rPr>
        <w:t xml:space="preserve"> </w:t>
      </w:r>
      <w:r>
        <w:t>new</w:t>
      </w:r>
      <w:r>
        <w:rPr>
          <w:spacing w:val="-5"/>
        </w:rPr>
        <w:t xml:space="preserve"> </w:t>
      </w:r>
      <w:r>
        <w:t>schools</w:t>
      </w:r>
      <w:r>
        <w:rPr>
          <w:spacing w:val="-5"/>
        </w:rPr>
        <w:t xml:space="preserve"> </w:t>
      </w:r>
      <w:r>
        <w:t>on</w:t>
      </w:r>
      <w:r>
        <w:rPr>
          <w:spacing w:val="-5"/>
        </w:rPr>
        <w:t xml:space="preserve"> </w:t>
      </w:r>
      <w:r>
        <w:t>the</w:t>
      </w:r>
      <w:r>
        <w:rPr>
          <w:spacing w:val="-5"/>
        </w:rPr>
        <w:t xml:space="preserve"> </w:t>
      </w:r>
      <w:r>
        <w:t>frame</w:t>
      </w:r>
      <w:r>
        <w:rPr>
          <w:spacing w:val="-5"/>
        </w:rPr>
        <w:t xml:space="preserve"> </w:t>
      </w:r>
      <w:r>
        <w:t>was</w:t>
      </w:r>
      <w:r>
        <w:rPr>
          <w:spacing w:val="-5"/>
        </w:rPr>
        <w:t xml:space="preserve"> </w:t>
      </w:r>
      <w:r>
        <w:t>sampled,</w:t>
      </w:r>
      <w:r>
        <w:rPr>
          <w:spacing w:val="-5"/>
        </w:rPr>
        <w:t xml:space="preserve"> </w:t>
      </w:r>
      <w:r>
        <w:t>it</w:t>
      </w:r>
      <w:r>
        <w:rPr>
          <w:spacing w:val="-5"/>
        </w:rPr>
        <w:t xml:space="preserve"> </w:t>
      </w:r>
      <w:r>
        <w:t>was decided not to conduct a private new-school procedure for age 13. Because the age 13 assessment was in a different school year than age 9, conducting the new-school procedure for age 13 would have required that the process described above be carried out anew, one year after the age 9 process was conducted.</w:t>
      </w:r>
    </w:p>
    <w:p w:rsidR="003F5784" w14:paraId="28567D6E" w14:textId="77777777">
      <w:pPr>
        <w:pStyle w:val="BodyText"/>
      </w:pPr>
    </w:p>
    <w:p w:rsidR="003F5784" w14:paraId="1916BD87" w14:textId="77777777">
      <w:pPr>
        <w:pStyle w:val="BodyText"/>
      </w:pPr>
    </w:p>
    <w:p w:rsidR="003F5784" w14:paraId="1871B259" w14:textId="77777777">
      <w:pPr>
        <w:pStyle w:val="BodyText"/>
        <w:spacing w:before="172"/>
      </w:pPr>
    </w:p>
    <w:p w:rsidR="003F5784" w14:paraId="5CD3ACB0" w14:textId="77777777">
      <w:pPr>
        <w:ind w:left="2967"/>
        <w:rPr>
          <w:sz w:val="18"/>
        </w:rPr>
      </w:pPr>
      <w:hyperlink r:id="rId128">
        <w:r>
          <w:rPr>
            <w:spacing w:val="-2"/>
            <w:w w:val="105"/>
            <w:sz w:val="18"/>
          </w:rPr>
          <w:t>http://nces.ed.gov/nationsreportcard/tdw/sample_design/2022/new_school_sampling_frame_for_the_2022_private_school_long_term_trend_assessment.aspx</w:t>
        </w:r>
      </w:hyperlink>
    </w:p>
    <w:p w:rsidR="003F5784" w14:paraId="3F94CA28" w14:textId="77777777">
      <w:pPr>
        <w:pStyle w:val="BodyText"/>
        <w:rPr>
          <w:sz w:val="16"/>
        </w:rPr>
      </w:pPr>
      <w:r>
        <w:rPr>
          <w:noProof/>
        </w:rPr>
        <mc:AlternateContent>
          <mc:Choice Requires="wps">
            <w:drawing>
              <wp:anchor distT="0" distB="0" distL="0" distR="0" simplePos="0" relativeHeight="251839488" behindDoc="1" locked="0" layoutInCell="1" allowOverlap="1">
                <wp:simplePos x="0" y="0"/>
                <wp:positionH relativeFrom="page">
                  <wp:posOffset>361937</wp:posOffset>
                </wp:positionH>
                <wp:positionV relativeFrom="paragraph">
                  <wp:posOffset>132631</wp:posOffset>
                </wp:positionV>
                <wp:extent cx="9339580" cy="8890"/>
                <wp:effectExtent l="0" t="0" r="0" b="0"/>
                <wp:wrapTopAndBottom/>
                <wp:docPr id="149" name="Graphic 149"/>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8280" y="8267"/>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49" o:spid="_x0000_s1090" style="width:735.4pt;height:0.7pt;margin-top:10.45pt;margin-left:28.5pt;mso-position-horizontal-relative:page;mso-wrap-distance-bottom:0;mso-wrap-distance-left:0;mso-wrap-distance-right:0;mso-wrap-distance-top:0;mso-wrap-style:square;position:absolute;visibility:visible;v-text-anchor:top;z-index:-251475968" coordsize="9339580,8890" path="m9338970,l9335110,l8280,,,,,8267l8280,8267l9335110,8267l9338970,8267l9338970,xe" fillcolor="gray" stroked="f">
                <v:path arrowok="t"/>
                <w10:wrap type="topAndBottom"/>
              </v:shape>
            </w:pict>
          </mc:Fallback>
        </mc:AlternateContent>
      </w:r>
    </w:p>
    <w:p w:rsidR="003F5784" w14:paraId="4A1C41CA" w14:textId="77777777">
      <w:pPr>
        <w:pStyle w:val="BodyText"/>
        <w:rPr>
          <w:sz w:val="18"/>
        </w:rPr>
      </w:pPr>
    </w:p>
    <w:p w:rsidR="003F5784" w14:paraId="3914B362" w14:textId="77777777">
      <w:pPr>
        <w:pStyle w:val="BodyText"/>
        <w:spacing w:before="193"/>
        <w:rPr>
          <w:sz w:val="18"/>
        </w:rPr>
      </w:pPr>
    </w:p>
    <w:p w:rsidR="003F5784" w14:paraId="6A3277A3" w14:textId="2CC7815D">
      <w:pPr>
        <w:pStyle w:val="Heading1"/>
        <w:spacing w:line="244" w:lineRule="auto"/>
      </w:pPr>
      <w:r>
        <w:t>NAEP</w:t>
      </w:r>
      <w:r>
        <w:rPr>
          <w:spacing w:val="-17"/>
        </w:rPr>
        <w:t xml:space="preserve"> </w:t>
      </w:r>
      <w:r>
        <w:t>Technical Documentation</w:t>
      </w:r>
      <w:r w:rsidR="00B145F2">
        <w:t xml:space="preserve"> </w:t>
      </w:r>
      <w:r>
        <w:t>Sampling of Private Schools for the 2022 Long- Term Trend Assessment</w:t>
      </w:r>
    </w:p>
    <w:p w:rsidR="003F5784" w14:paraId="2D249B88" w14:textId="77777777">
      <w:pPr>
        <w:pStyle w:val="BodyText"/>
        <w:spacing w:before="287" w:line="232" w:lineRule="auto"/>
        <w:ind w:left="109" w:right="179"/>
      </w:pPr>
      <w:r>
        <w:t>In</w:t>
      </w:r>
      <w:r>
        <w:rPr>
          <w:spacing w:val="-6"/>
        </w:rPr>
        <w:t xml:space="preserve"> </w:t>
      </w:r>
      <w:r>
        <w:t>designing</w:t>
      </w:r>
      <w:r>
        <w:rPr>
          <w:spacing w:val="-6"/>
        </w:rPr>
        <w:t xml:space="preserve"> </w:t>
      </w:r>
      <w:r>
        <w:t>the</w:t>
      </w:r>
      <w:r>
        <w:rPr>
          <w:spacing w:val="-6"/>
        </w:rPr>
        <w:t xml:space="preserve"> </w:t>
      </w:r>
      <w:r>
        <w:t>private</w:t>
      </w:r>
      <w:r>
        <w:rPr>
          <w:spacing w:val="-6"/>
        </w:rPr>
        <w:t xml:space="preserve"> </w:t>
      </w:r>
      <w:r>
        <w:t>school</w:t>
      </w:r>
      <w:r>
        <w:rPr>
          <w:spacing w:val="-6"/>
        </w:rPr>
        <w:t xml:space="preserve"> </w:t>
      </w:r>
      <w:r>
        <w:t>long-term</w:t>
      </w:r>
      <w:r>
        <w:rPr>
          <w:spacing w:val="-6"/>
        </w:rPr>
        <w:t xml:space="preserve"> </w:t>
      </w:r>
      <w:r>
        <w:t>trend</w:t>
      </w:r>
      <w:r>
        <w:rPr>
          <w:spacing w:val="-6"/>
        </w:rPr>
        <w:t xml:space="preserve"> </w:t>
      </w:r>
      <w:r>
        <w:t>samples</w:t>
      </w:r>
      <w:r>
        <w:rPr>
          <w:spacing w:val="-6"/>
        </w:rPr>
        <w:t xml:space="preserve"> </w:t>
      </w:r>
      <w:r>
        <w:t>for</w:t>
      </w:r>
      <w:r>
        <w:rPr>
          <w:spacing w:val="-6"/>
        </w:rPr>
        <w:t xml:space="preserve"> </w:t>
      </w:r>
      <w:r>
        <w:t>each</w:t>
      </w:r>
      <w:r>
        <w:rPr>
          <w:spacing w:val="-6"/>
        </w:rPr>
        <w:t xml:space="preserve"> </w:t>
      </w:r>
      <w:r>
        <w:t>age,</w:t>
      </w:r>
      <w:r>
        <w:rPr>
          <w:spacing w:val="-6"/>
        </w:rPr>
        <w:t xml:space="preserve"> </w:t>
      </w:r>
      <w:r>
        <w:t>six</w:t>
      </w:r>
      <w:r>
        <w:rPr>
          <w:spacing w:val="-6"/>
        </w:rPr>
        <w:t xml:space="preserve"> </w:t>
      </w:r>
      <w:r>
        <w:t>objectives</w:t>
      </w:r>
      <w:r>
        <w:rPr>
          <w:spacing w:val="-6"/>
        </w:rPr>
        <w:t xml:space="preserve"> </w:t>
      </w:r>
      <w:r>
        <w:t>underlie</w:t>
      </w:r>
      <w:r>
        <w:rPr>
          <w:spacing w:val="-6"/>
        </w:rPr>
        <w:t xml:space="preserve"> </w:t>
      </w:r>
      <w:r>
        <w:t>the</w:t>
      </w:r>
      <w:r>
        <w:rPr>
          <w:spacing w:val="-6"/>
        </w:rPr>
        <w:t xml:space="preserve"> </w:t>
      </w:r>
      <w:r>
        <w:t>process</w:t>
      </w:r>
      <w:r>
        <w:rPr>
          <w:spacing w:val="-6"/>
        </w:rPr>
        <w:t xml:space="preserve"> </w:t>
      </w:r>
      <w:r>
        <w:t>of</w:t>
      </w:r>
      <w:r>
        <w:rPr>
          <w:spacing w:val="-6"/>
        </w:rPr>
        <w:t xml:space="preserve"> </w:t>
      </w:r>
      <w:r>
        <w:t>determining</w:t>
      </w:r>
      <w:r>
        <w:rPr>
          <w:spacing w:val="-6"/>
        </w:rPr>
        <w:t xml:space="preserve"> </w:t>
      </w:r>
      <w:r>
        <w:t>the</w:t>
      </w:r>
      <w:r>
        <w:rPr>
          <w:spacing w:val="-6"/>
        </w:rPr>
        <w:t xml:space="preserve"> </w:t>
      </w:r>
      <w:r>
        <w:t>probability</w:t>
      </w:r>
      <w:r>
        <w:rPr>
          <w:spacing w:val="-6"/>
        </w:rPr>
        <w:t xml:space="preserve"> </w:t>
      </w:r>
      <w:r>
        <w:t>of</w:t>
      </w:r>
      <w:r>
        <w:rPr>
          <w:spacing w:val="-6"/>
        </w:rPr>
        <w:t xml:space="preserve"> </w:t>
      </w:r>
      <w:r>
        <w:t>selection</w:t>
      </w:r>
      <w:r>
        <w:rPr>
          <w:spacing w:val="-6"/>
        </w:rPr>
        <w:t xml:space="preserve"> </w:t>
      </w:r>
      <w:r>
        <w:t>for</w:t>
      </w:r>
      <w:r>
        <w:rPr>
          <w:spacing w:val="-6"/>
        </w:rPr>
        <w:t xml:space="preserve"> </w:t>
      </w:r>
      <w:r>
        <w:t>each</w:t>
      </w:r>
      <w:r>
        <w:rPr>
          <w:spacing w:val="-6"/>
        </w:rPr>
        <w:t xml:space="preserve"> </w:t>
      </w:r>
      <w:r>
        <w:t>school</w:t>
      </w:r>
      <w:r>
        <w:rPr>
          <w:spacing w:val="-6"/>
        </w:rPr>
        <w:t xml:space="preserve"> </w:t>
      </w:r>
      <w:r>
        <w:t>and</w:t>
      </w:r>
      <w:r>
        <w:rPr>
          <w:spacing w:val="-6"/>
        </w:rPr>
        <w:t xml:space="preserve"> </w:t>
      </w:r>
      <w:r>
        <w:t>the number of students to be sampled from each selected school:</w:t>
      </w:r>
    </w:p>
    <w:p w:rsidR="003F5784" w14:paraId="706F78C9" w14:textId="77777777">
      <w:pPr>
        <w:pStyle w:val="BodyText"/>
        <w:spacing w:before="203"/>
        <w:ind w:left="422"/>
      </w:pPr>
      <w:r>
        <w:rPr>
          <w:noProof/>
          <w:position w:val="3"/>
        </w:rPr>
        <w:drawing>
          <wp:inline distT="0" distB="0" distL="0" distR="0">
            <wp:extent cx="41379" cy="41345"/>
            <wp:effectExtent l="0" t="0" r="0" b="0"/>
            <wp:docPr id="150" name="Image 150"/>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xmlns:r="http://schemas.openxmlformats.org/officeDocument/2006/relationships" r:embed="rId129" cstate="print"/>
                    <a:stretch>
                      <a:fillRect/>
                    </a:stretch>
                  </pic:blipFill>
                  <pic:spPr>
                    <a:xfrm>
                      <a:off x="0" y="0"/>
                      <a:ext cx="41379" cy="41345"/>
                    </a:xfrm>
                    <a:prstGeom prst="rect">
                      <a:avLst/>
                    </a:prstGeom>
                  </pic:spPr>
                </pic:pic>
              </a:graphicData>
            </a:graphic>
          </wp:inline>
        </w:drawing>
      </w:r>
      <w:r>
        <w:rPr>
          <w:spacing w:val="80"/>
          <w:sz w:val="20"/>
        </w:rPr>
        <w:t xml:space="preserve"> </w:t>
      </w:r>
      <w:r>
        <w:t>to meet the overall target student sample size;</w:t>
      </w:r>
    </w:p>
    <w:p w:rsidR="003F5784" w14:paraId="7F79A2B0" w14:textId="77777777">
      <w:pPr>
        <w:sectPr>
          <w:pgSz w:w="15840" w:h="12240" w:orient="landscape"/>
          <w:pgMar w:top="480" w:right="440" w:bottom="460" w:left="460" w:header="284" w:footer="275" w:gutter="0"/>
          <w:cols w:space="720"/>
        </w:sectPr>
      </w:pPr>
    </w:p>
    <w:p w:rsidR="003F5784" w14:paraId="78633AE3" w14:textId="77777777">
      <w:pPr>
        <w:pStyle w:val="BodyText"/>
        <w:spacing w:before="78" w:line="232" w:lineRule="auto"/>
        <w:ind w:left="422" w:right="8040"/>
      </w:pPr>
      <w:r>
        <w:rPr>
          <w:noProof/>
          <w:position w:val="3"/>
        </w:rPr>
        <w:drawing>
          <wp:inline distT="0" distB="0" distL="0" distR="0">
            <wp:extent cx="41379" cy="41345"/>
            <wp:effectExtent l="0" t="0" r="0" b="0"/>
            <wp:docPr id="151" name="Image 151"/>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xmlns:r="http://schemas.openxmlformats.org/officeDocument/2006/relationships" r:embed="rId130" cstate="print"/>
                    <a:stretch>
                      <a:fillRect/>
                    </a:stretch>
                  </pic:blipFill>
                  <pic:spPr>
                    <a:xfrm>
                      <a:off x="0" y="0"/>
                      <a:ext cx="41379" cy="41345"/>
                    </a:xfrm>
                    <a:prstGeom prst="rect">
                      <a:avLst/>
                    </a:prstGeom>
                  </pic:spPr>
                </pic:pic>
              </a:graphicData>
            </a:graphic>
          </wp:inline>
        </w:drawing>
      </w:r>
      <w:r>
        <w:rPr>
          <w:spacing w:val="77"/>
          <w:sz w:val="20"/>
        </w:rPr>
        <w:t xml:space="preserve"> </w:t>
      </w:r>
      <w:r>
        <w:t>to</w:t>
      </w:r>
      <w:r>
        <w:rPr>
          <w:spacing w:val="-7"/>
        </w:rPr>
        <w:t xml:space="preserve"> </w:t>
      </w:r>
      <w:r>
        <w:t>select</w:t>
      </w:r>
      <w:r>
        <w:rPr>
          <w:spacing w:val="-7"/>
        </w:rPr>
        <w:t xml:space="preserve"> </w:t>
      </w:r>
      <w:r>
        <w:t>an</w:t>
      </w:r>
      <w:r>
        <w:rPr>
          <w:spacing w:val="-7"/>
        </w:rPr>
        <w:t xml:space="preserve"> </w:t>
      </w:r>
      <w:r>
        <w:t>equal-probability</w:t>
      </w:r>
      <w:r>
        <w:rPr>
          <w:spacing w:val="-7"/>
        </w:rPr>
        <w:t xml:space="preserve"> </w:t>
      </w:r>
      <w:r>
        <w:t>sample</w:t>
      </w:r>
      <w:r>
        <w:rPr>
          <w:spacing w:val="-7"/>
        </w:rPr>
        <w:t xml:space="preserve"> </w:t>
      </w:r>
      <w:r>
        <w:t>of</w:t>
      </w:r>
      <w:r>
        <w:rPr>
          <w:spacing w:val="-7"/>
        </w:rPr>
        <w:t xml:space="preserve"> </w:t>
      </w:r>
      <w:r>
        <w:t>students</w:t>
      </w:r>
      <w:r>
        <w:rPr>
          <w:spacing w:val="-7"/>
        </w:rPr>
        <w:t xml:space="preserve"> </w:t>
      </w:r>
      <w:r>
        <w:t>from</w:t>
      </w:r>
      <w:r>
        <w:rPr>
          <w:spacing w:val="-7"/>
        </w:rPr>
        <w:t xml:space="preserve"> </w:t>
      </w:r>
      <w:r>
        <w:t>each</w:t>
      </w:r>
      <w:r>
        <w:rPr>
          <w:spacing w:val="-7"/>
        </w:rPr>
        <w:t xml:space="preserve"> </w:t>
      </w:r>
      <w:r>
        <w:t>age</w:t>
      </w:r>
      <w:r>
        <w:rPr>
          <w:spacing w:val="-7"/>
        </w:rPr>
        <w:t xml:space="preserve"> </w:t>
      </w:r>
      <w:r>
        <w:t xml:space="preserve">population; </w:t>
      </w:r>
      <w:r>
        <w:rPr>
          <w:noProof/>
          <w:position w:val="3"/>
        </w:rPr>
        <w:drawing>
          <wp:inline distT="0" distB="0" distL="0" distR="0">
            <wp:extent cx="41379" cy="41378"/>
            <wp:effectExtent l="0" t="0" r="0" b="0"/>
            <wp:docPr id="152" name="Image 152"/>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xmlns:r="http://schemas.openxmlformats.org/officeDocument/2006/relationships" r:embed="rId131" cstate="print"/>
                    <a:stretch>
                      <a:fillRect/>
                    </a:stretch>
                  </pic:blipFill>
                  <pic:spPr>
                    <a:xfrm>
                      <a:off x="0" y="0"/>
                      <a:ext cx="41379" cy="41378"/>
                    </a:xfrm>
                    <a:prstGeom prst="rect">
                      <a:avLst/>
                    </a:prstGeom>
                  </pic:spPr>
                </pic:pic>
              </a:graphicData>
            </a:graphic>
          </wp:inline>
        </w:drawing>
      </w:r>
      <w:r>
        <w:rPr>
          <w:spacing w:val="80"/>
        </w:rPr>
        <w:t xml:space="preserve"> </w:t>
      </w:r>
      <w:r>
        <w:t>to limit the number of students selected from any one school;</w:t>
      </w:r>
    </w:p>
    <w:p w:rsidR="003F5784" w14:paraId="11D70789" w14:textId="77777777">
      <w:pPr>
        <w:pStyle w:val="BodyText"/>
        <w:spacing w:line="233" w:lineRule="exact"/>
        <w:ind w:left="422"/>
      </w:pPr>
      <w:r>
        <w:rPr>
          <w:noProof/>
          <w:position w:val="3"/>
        </w:rPr>
        <w:drawing>
          <wp:inline distT="0" distB="0" distL="0" distR="0">
            <wp:extent cx="41379" cy="41345"/>
            <wp:effectExtent l="0" t="0" r="0" b="0"/>
            <wp:docPr id="153" name="Image 153"/>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xmlns:r="http://schemas.openxmlformats.org/officeDocument/2006/relationships" r:embed="rId132" cstate="print"/>
                    <a:stretch>
                      <a:fillRect/>
                    </a:stretch>
                  </pic:blipFill>
                  <pic:spPr>
                    <a:xfrm>
                      <a:off x="0" y="0"/>
                      <a:ext cx="41379" cy="41345"/>
                    </a:xfrm>
                    <a:prstGeom prst="rect">
                      <a:avLst/>
                    </a:prstGeom>
                  </pic:spPr>
                </pic:pic>
              </a:graphicData>
            </a:graphic>
          </wp:inline>
        </w:drawing>
      </w:r>
      <w:r>
        <w:rPr>
          <w:spacing w:val="80"/>
          <w:sz w:val="20"/>
        </w:rPr>
        <w:t xml:space="preserve"> </w:t>
      </w:r>
      <w:r>
        <w:t>to</w:t>
      </w:r>
      <w:r>
        <w:rPr>
          <w:spacing w:val="-1"/>
        </w:rPr>
        <w:t xml:space="preserve"> </w:t>
      </w:r>
      <w:r>
        <w:t>ensure</w:t>
      </w:r>
      <w:r>
        <w:rPr>
          <w:spacing w:val="-1"/>
        </w:rPr>
        <w:t xml:space="preserve"> </w:t>
      </w:r>
      <w:r>
        <w:t>that</w:t>
      </w:r>
      <w:r>
        <w:rPr>
          <w:spacing w:val="-1"/>
        </w:rPr>
        <w:t xml:space="preserve"> </w:t>
      </w:r>
      <w:r>
        <w:t>the</w:t>
      </w:r>
      <w:r>
        <w:rPr>
          <w:spacing w:val="-1"/>
        </w:rPr>
        <w:t xml:space="preserve"> </w:t>
      </w:r>
      <w:r>
        <w:t>sample</w:t>
      </w:r>
      <w:r>
        <w:rPr>
          <w:spacing w:val="-1"/>
        </w:rPr>
        <w:t xml:space="preserve"> </w:t>
      </w:r>
      <w:r>
        <w:t>within</w:t>
      </w:r>
      <w:r>
        <w:rPr>
          <w:spacing w:val="-1"/>
        </w:rPr>
        <w:t xml:space="preserve"> </w:t>
      </w:r>
      <w:r>
        <w:t>a</w:t>
      </w:r>
      <w:r>
        <w:rPr>
          <w:spacing w:val="-1"/>
        </w:rPr>
        <w:t xml:space="preserve"> </w:t>
      </w:r>
      <w:r>
        <w:t>school</w:t>
      </w:r>
      <w:r>
        <w:rPr>
          <w:spacing w:val="-1"/>
        </w:rPr>
        <w:t xml:space="preserve"> </w:t>
      </w:r>
      <w:r>
        <w:t>does</w:t>
      </w:r>
      <w:r>
        <w:rPr>
          <w:spacing w:val="-1"/>
        </w:rPr>
        <w:t xml:space="preserve"> </w:t>
      </w:r>
      <w:r>
        <w:t>not</w:t>
      </w:r>
      <w:r>
        <w:rPr>
          <w:spacing w:val="-1"/>
        </w:rPr>
        <w:t xml:space="preserve"> </w:t>
      </w:r>
      <w:r>
        <w:t>include</w:t>
      </w:r>
      <w:r>
        <w:rPr>
          <w:spacing w:val="-1"/>
        </w:rPr>
        <w:t xml:space="preserve"> </w:t>
      </w:r>
      <w:r>
        <w:t>a</w:t>
      </w:r>
      <w:r>
        <w:rPr>
          <w:spacing w:val="-1"/>
        </w:rPr>
        <w:t xml:space="preserve"> </w:t>
      </w:r>
      <w:r>
        <w:t>very</w:t>
      </w:r>
      <w:r>
        <w:rPr>
          <w:spacing w:val="-1"/>
        </w:rPr>
        <w:t xml:space="preserve"> </w:t>
      </w:r>
      <w:r>
        <w:t>high</w:t>
      </w:r>
      <w:r>
        <w:rPr>
          <w:spacing w:val="-1"/>
        </w:rPr>
        <w:t xml:space="preserve"> </w:t>
      </w:r>
      <w:r>
        <w:t>percentage</w:t>
      </w:r>
      <w:r>
        <w:rPr>
          <w:spacing w:val="-1"/>
        </w:rPr>
        <w:t xml:space="preserve"> </w:t>
      </w:r>
      <w:r>
        <w:t>of</w:t>
      </w:r>
      <w:r>
        <w:rPr>
          <w:spacing w:val="-1"/>
        </w:rPr>
        <w:t xml:space="preserve"> </w:t>
      </w:r>
      <w:r>
        <w:t>the</w:t>
      </w:r>
      <w:r>
        <w:rPr>
          <w:spacing w:val="-1"/>
        </w:rPr>
        <w:t xml:space="preserve"> </w:t>
      </w:r>
      <w:r>
        <w:t>students</w:t>
      </w:r>
      <w:r>
        <w:rPr>
          <w:spacing w:val="-1"/>
        </w:rPr>
        <w:t xml:space="preserve"> </w:t>
      </w:r>
      <w:r>
        <w:t>in</w:t>
      </w:r>
      <w:r>
        <w:rPr>
          <w:spacing w:val="-1"/>
        </w:rPr>
        <w:t xml:space="preserve"> </w:t>
      </w:r>
      <w:r>
        <w:t>the</w:t>
      </w:r>
      <w:r>
        <w:rPr>
          <w:spacing w:val="-1"/>
        </w:rPr>
        <w:t xml:space="preserve"> </w:t>
      </w:r>
      <w:r>
        <w:t>school,</w:t>
      </w:r>
      <w:r>
        <w:rPr>
          <w:spacing w:val="-1"/>
        </w:rPr>
        <w:t xml:space="preserve"> </w:t>
      </w:r>
      <w:r>
        <w:t>unless</w:t>
      </w:r>
      <w:r>
        <w:rPr>
          <w:spacing w:val="-1"/>
        </w:rPr>
        <w:t xml:space="preserve"> </w:t>
      </w:r>
      <w:r>
        <w:t>all</w:t>
      </w:r>
      <w:r>
        <w:rPr>
          <w:spacing w:val="-1"/>
        </w:rPr>
        <w:t xml:space="preserve"> </w:t>
      </w:r>
      <w:r>
        <w:t>students</w:t>
      </w:r>
      <w:r>
        <w:rPr>
          <w:spacing w:val="-1"/>
        </w:rPr>
        <w:t xml:space="preserve"> </w:t>
      </w:r>
      <w:r>
        <w:t>are</w:t>
      </w:r>
      <w:r>
        <w:rPr>
          <w:spacing w:val="-1"/>
        </w:rPr>
        <w:t xml:space="preserve"> </w:t>
      </w:r>
      <w:r>
        <w:t>included;</w:t>
      </w:r>
    </w:p>
    <w:p w:rsidR="003F5784" w14:paraId="0148C9FF" w14:textId="77777777">
      <w:pPr>
        <w:pStyle w:val="BodyText"/>
        <w:spacing w:before="2" w:line="232" w:lineRule="auto"/>
        <w:ind w:left="422" w:right="1862"/>
      </w:pPr>
      <w:r>
        <w:rPr>
          <w:noProof/>
          <w:position w:val="3"/>
        </w:rPr>
        <w:drawing>
          <wp:inline distT="0" distB="0" distL="0" distR="0">
            <wp:extent cx="41379" cy="41345"/>
            <wp:effectExtent l="0" t="0" r="0" b="0"/>
            <wp:docPr id="154" name="Image 154"/>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xmlns:r="http://schemas.openxmlformats.org/officeDocument/2006/relationships" r:embed="rId133" cstate="print"/>
                    <a:stretch>
                      <a:fillRect/>
                    </a:stretch>
                  </pic:blipFill>
                  <pic:spPr>
                    <a:xfrm>
                      <a:off x="0" y="0"/>
                      <a:ext cx="41379" cy="41345"/>
                    </a:xfrm>
                    <a:prstGeom prst="rect">
                      <a:avLst/>
                    </a:prstGeom>
                  </pic:spPr>
                </pic:pic>
              </a:graphicData>
            </a:graphic>
          </wp:inline>
        </w:drawing>
      </w:r>
      <w:r>
        <w:rPr>
          <w:spacing w:val="80"/>
          <w:sz w:val="20"/>
        </w:rPr>
        <w:t xml:space="preserve"> </w:t>
      </w:r>
      <w:r>
        <w:t>to</w:t>
      </w:r>
      <w:r>
        <w:rPr>
          <w:spacing w:val="-5"/>
        </w:rPr>
        <w:t xml:space="preserve"> </w:t>
      </w:r>
      <w:r>
        <w:t>reduce</w:t>
      </w:r>
      <w:r>
        <w:rPr>
          <w:spacing w:val="-5"/>
        </w:rPr>
        <w:t xml:space="preserve"> </w:t>
      </w:r>
      <w:r>
        <w:t>the</w:t>
      </w:r>
      <w:r>
        <w:rPr>
          <w:spacing w:val="-5"/>
        </w:rPr>
        <w:t xml:space="preserve"> </w:t>
      </w:r>
      <w:r>
        <w:t>sampling</w:t>
      </w:r>
      <w:r>
        <w:rPr>
          <w:spacing w:val="-5"/>
        </w:rPr>
        <w:t xml:space="preserve"> </w:t>
      </w:r>
      <w:r>
        <w:t>rate</w:t>
      </w:r>
      <w:r>
        <w:rPr>
          <w:spacing w:val="-5"/>
        </w:rPr>
        <w:t xml:space="preserve"> </w:t>
      </w:r>
      <w:r>
        <w:t>of</w:t>
      </w:r>
      <w:r>
        <w:rPr>
          <w:spacing w:val="-5"/>
        </w:rPr>
        <w:t xml:space="preserve"> </w:t>
      </w:r>
      <w:r>
        <w:t>small</w:t>
      </w:r>
      <w:r>
        <w:rPr>
          <w:spacing w:val="-5"/>
        </w:rPr>
        <w:t xml:space="preserve"> </w:t>
      </w:r>
      <w:r>
        <w:t>schools,</w:t>
      </w:r>
      <w:r>
        <w:rPr>
          <w:spacing w:val="-5"/>
        </w:rPr>
        <w:t xml:space="preserve"> </w:t>
      </w:r>
      <w:r>
        <w:t>in</w:t>
      </w:r>
      <w:r>
        <w:rPr>
          <w:spacing w:val="-5"/>
        </w:rPr>
        <w:t xml:space="preserve"> </w:t>
      </w:r>
      <w:r>
        <w:t>recognition</w:t>
      </w:r>
      <w:r>
        <w:rPr>
          <w:spacing w:val="-5"/>
        </w:rPr>
        <w:t xml:space="preserve"> </w:t>
      </w:r>
      <w:r>
        <w:t>of</w:t>
      </w:r>
      <w:r>
        <w:rPr>
          <w:spacing w:val="-5"/>
        </w:rPr>
        <w:t xml:space="preserve"> </w:t>
      </w:r>
      <w:r>
        <w:t>the</w:t>
      </w:r>
      <w:r>
        <w:rPr>
          <w:spacing w:val="-5"/>
        </w:rPr>
        <w:t xml:space="preserve"> </w:t>
      </w:r>
      <w:r>
        <w:t>greater</w:t>
      </w:r>
      <w:r>
        <w:rPr>
          <w:spacing w:val="-5"/>
        </w:rPr>
        <w:t xml:space="preserve"> </w:t>
      </w:r>
      <w:r>
        <w:t>cost</w:t>
      </w:r>
      <w:r>
        <w:rPr>
          <w:spacing w:val="-5"/>
        </w:rPr>
        <w:t xml:space="preserve"> </w:t>
      </w:r>
      <w:r>
        <w:t>and</w:t>
      </w:r>
      <w:r>
        <w:rPr>
          <w:spacing w:val="-5"/>
        </w:rPr>
        <w:t xml:space="preserve"> </w:t>
      </w:r>
      <w:r>
        <w:t>burden</w:t>
      </w:r>
      <w:r>
        <w:rPr>
          <w:spacing w:val="-5"/>
        </w:rPr>
        <w:t xml:space="preserve"> </w:t>
      </w:r>
      <w:r>
        <w:t>per</w:t>
      </w:r>
      <w:r>
        <w:rPr>
          <w:spacing w:val="-5"/>
        </w:rPr>
        <w:t xml:space="preserve"> </w:t>
      </w:r>
      <w:r>
        <w:t>student</w:t>
      </w:r>
      <w:r>
        <w:rPr>
          <w:spacing w:val="-5"/>
        </w:rPr>
        <w:t xml:space="preserve"> </w:t>
      </w:r>
      <w:r>
        <w:t>of</w:t>
      </w:r>
      <w:r>
        <w:rPr>
          <w:spacing w:val="-5"/>
        </w:rPr>
        <w:t xml:space="preserve"> </w:t>
      </w:r>
      <w:r>
        <w:t>conducting</w:t>
      </w:r>
      <w:r>
        <w:rPr>
          <w:spacing w:val="-5"/>
        </w:rPr>
        <w:t xml:space="preserve"> </w:t>
      </w:r>
      <w:r>
        <w:t>assessments</w:t>
      </w:r>
      <w:r>
        <w:rPr>
          <w:spacing w:val="-5"/>
        </w:rPr>
        <w:t xml:space="preserve"> </w:t>
      </w:r>
      <w:r>
        <w:t>in</w:t>
      </w:r>
      <w:r>
        <w:rPr>
          <w:spacing w:val="-5"/>
        </w:rPr>
        <w:t xml:space="preserve"> </w:t>
      </w:r>
      <w:r>
        <w:t>such</w:t>
      </w:r>
      <w:r>
        <w:rPr>
          <w:spacing w:val="-5"/>
        </w:rPr>
        <w:t xml:space="preserve"> </w:t>
      </w:r>
      <w:r>
        <w:t>schools;</w:t>
      </w:r>
      <w:r>
        <w:rPr>
          <w:spacing w:val="-5"/>
        </w:rPr>
        <w:t xml:space="preserve"> </w:t>
      </w:r>
      <w:r>
        <w:t xml:space="preserve">and </w:t>
      </w:r>
      <w:r>
        <w:rPr>
          <w:noProof/>
          <w:position w:val="3"/>
        </w:rPr>
        <w:drawing>
          <wp:inline distT="0" distB="0" distL="0" distR="0">
            <wp:extent cx="41379" cy="41345"/>
            <wp:effectExtent l="0" t="0" r="0" b="0"/>
            <wp:docPr id="155" name="Image 155"/>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xmlns:r="http://schemas.openxmlformats.org/officeDocument/2006/relationships" r:embed="rId134" cstate="print"/>
                    <a:stretch>
                      <a:fillRect/>
                    </a:stretch>
                  </pic:blipFill>
                  <pic:spPr>
                    <a:xfrm>
                      <a:off x="0" y="0"/>
                      <a:ext cx="41379" cy="41345"/>
                    </a:xfrm>
                    <a:prstGeom prst="rect">
                      <a:avLst/>
                    </a:prstGeom>
                  </pic:spPr>
                </pic:pic>
              </a:graphicData>
            </a:graphic>
          </wp:inline>
        </w:drawing>
      </w:r>
      <w:r>
        <w:rPr>
          <w:spacing w:val="80"/>
        </w:rPr>
        <w:t xml:space="preserve"> </w:t>
      </w:r>
      <w:r>
        <w:t>to ensure the inclusion of all eligible schools that were part of the 2020 private school long-term trend sample for each age, respectively.</w:t>
      </w:r>
    </w:p>
    <w:p w:rsidR="003F5784" w14:paraId="6079EA17" w14:textId="77777777">
      <w:pPr>
        <w:pStyle w:val="BodyText"/>
        <w:spacing w:before="210" w:line="232" w:lineRule="auto"/>
        <w:ind w:left="109"/>
      </w:pPr>
      <w:r>
        <w:t>The</w:t>
      </w:r>
      <w:r>
        <w:rPr>
          <w:spacing w:val="-5"/>
        </w:rPr>
        <w:t xml:space="preserve"> </w:t>
      </w:r>
      <w:r>
        <w:t>goal</w:t>
      </w:r>
      <w:r>
        <w:rPr>
          <w:spacing w:val="-5"/>
        </w:rPr>
        <w:t xml:space="preserve"> </w:t>
      </w:r>
      <w:r>
        <w:t>in</w:t>
      </w:r>
      <w:r>
        <w:rPr>
          <w:spacing w:val="-5"/>
        </w:rPr>
        <w:t xml:space="preserve"> </w:t>
      </w:r>
      <w:r>
        <w:t>determining</w:t>
      </w:r>
      <w:r>
        <w:rPr>
          <w:spacing w:val="-5"/>
        </w:rPr>
        <w:t xml:space="preserve"> </w:t>
      </w:r>
      <w:r>
        <w:t>the</w:t>
      </w:r>
      <w:r>
        <w:rPr>
          <w:spacing w:val="-5"/>
        </w:rPr>
        <w:t xml:space="preserve"> </w:t>
      </w:r>
      <w:r>
        <w:t>school's</w:t>
      </w:r>
      <w:r>
        <w:rPr>
          <w:spacing w:val="-5"/>
        </w:rPr>
        <w:t xml:space="preserve"> </w:t>
      </w:r>
      <w:r>
        <w:t>measure</w:t>
      </w:r>
      <w:r>
        <w:rPr>
          <w:spacing w:val="-5"/>
        </w:rPr>
        <w:t xml:space="preserve"> </w:t>
      </w:r>
      <w:r>
        <w:t>of</w:t>
      </w:r>
      <w:r>
        <w:rPr>
          <w:spacing w:val="-5"/>
        </w:rPr>
        <w:t xml:space="preserve"> </w:t>
      </w:r>
      <w:r>
        <w:t>size</w:t>
      </w:r>
      <w:r>
        <w:rPr>
          <w:spacing w:val="-5"/>
        </w:rPr>
        <w:t xml:space="preserve"> </w:t>
      </w:r>
      <w:r>
        <w:t>is</w:t>
      </w:r>
      <w:r>
        <w:rPr>
          <w:spacing w:val="-5"/>
        </w:rPr>
        <w:t xml:space="preserve"> </w:t>
      </w:r>
      <w:r>
        <w:t>to</w:t>
      </w:r>
      <w:r>
        <w:rPr>
          <w:spacing w:val="-5"/>
        </w:rPr>
        <w:t xml:space="preserve"> </w:t>
      </w:r>
      <w:r>
        <w:t>optimize</w:t>
      </w:r>
      <w:r>
        <w:rPr>
          <w:spacing w:val="-5"/>
        </w:rPr>
        <w:t xml:space="preserve"> </w:t>
      </w:r>
      <w:r>
        <w:t>across</w:t>
      </w:r>
      <w:r>
        <w:rPr>
          <w:spacing w:val="-5"/>
        </w:rPr>
        <w:t xml:space="preserve"> </w:t>
      </w:r>
      <w:r>
        <w:t>the</w:t>
      </w:r>
      <w:r>
        <w:rPr>
          <w:spacing w:val="-5"/>
        </w:rPr>
        <w:t xml:space="preserve"> </w:t>
      </w:r>
      <w:r>
        <w:t>second</w:t>
      </w:r>
      <w:r>
        <w:rPr>
          <w:spacing w:val="-5"/>
        </w:rPr>
        <w:t xml:space="preserve"> </w:t>
      </w:r>
      <w:r>
        <w:t>to</w:t>
      </w:r>
      <w:r>
        <w:rPr>
          <w:spacing w:val="-5"/>
        </w:rPr>
        <w:t xml:space="preserve"> </w:t>
      </w:r>
      <w:r>
        <w:t>the</w:t>
      </w:r>
      <w:r>
        <w:rPr>
          <w:spacing w:val="-5"/>
        </w:rPr>
        <w:t xml:space="preserve"> </w:t>
      </w:r>
      <w:r>
        <w:t>fifth</w:t>
      </w:r>
      <w:r>
        <w:rPr>
          <w:spacing w:val="-5"/>
        </w:rPr>
        <w:t xml:space="preserve"> </w:t>
      </w:r>
      <w:r>
        <w:t>objectives</w:t>
      </w:r>
      <w:r>
        <w:rPr>
          <w:spacing w:val="-5"/>
        </w:rPr>
        <w:t xml:space="preserve"> </w:t>
      </w:r>
      <w:r>
        <w:t>in</w:t>
      </w:r>
      <w:r>
        <w:rPr>
          <w:spacing w:val="-5"/>
        </w:rPr>
        <w:t xml:space="preserve"> </w:t>
      </w:r>
      <w:r>
        <w:t>terms</w:t>
      </w:r>
      <w:r>
        <w:rPr>
          <w:spacing w:val="-5"/>
        </w:rPr>
        <w:t xml:space="preserve"> </w:t>
      </w:r>
      <w:r>
        <w:t>of</w:t>
      </w:r>
      <w:r>
        <w:rPr>
          <w:spacing w:val="-5"/>
        </w:rPr>
        <w:t xml:space="preserve"> </w:t>
      </w:r>
      <w:r>
        <w:t>maintaining</w:t>
      </w:r>
      <w:r>
        <w:rPr>
          <w:spacing w:val="-5"/>
        </w:rPr>
        <w:t xml:space="preserve"> </w:t>
      </w:r>
      <w:r>
        <w:t>the</w:t>
      </w:r>
      <w:r>
        <w:rPr>
          <w:spacing w:val="-5"/>
        </w:rPr>
        <w:t xml:space="preserve"> </w:t>
      </w:r>
      <w:r>
        <w:t>precision</w:t>
      </w:r>
      <w:r>
        <w:rPr>
          <w:spacing w:val="-5"/>
        </w:rPr>
        <w:t xml:space="preserve"> </w:t>
      </w:r>
      <w:r>
        <w:t>of</w:t>
      </w:r>
      <w:r>
        <w:rPr>
          <w:spacing w:val="-5"/>
        </w:rPr>
        <w:t xml:space="preserve"> </w:t>
      </w:r>
      <w:r>
        <w:t>estimates</w:t>
      </w:r>
      <w:r>
        <w:rPr>
          <w:spacing w:val="-5"/>
        </w:rPr>
        <w:t xml:space="preserve"> </w:t>
      </w:r>
      <w:r>
        <w:t>and</w:t>
      </w:r>
      <w:r>
        <w:rPr>
          <w:spacing w:val="-5"/>
        </w:rPr>
        <w:t xml:space="preserve"> </w:t>
      </w:r>
      <w:r>
        <w:t>the</w:t>
      </w:r>
      <w:r>
        <w:rPr>
          <w:spacing w:val="-5"/>
        </w:rPr>
        <w:t xml:space="preserve"> </w:t>
      </w:r>
      <w:r>
        <w:t>cost effectiveness of the sample design.</w:t>
      </w:r>
    </w:p>
    <w:p w:rsidR="003F5784" w14:paraId="401665E0" w14:textId="77777777">
      <w:pPr>
        <w:pStyle w:val="BodyText"/>
        <w:spacing w:before="209" w:line="232" w:lineRule="auto"/>
        <w:ind w:left="109"/>
      </w:pPr>
      <w:r>
        <w:t>Therefore,</w:t>
      </w:r>
      <w:r>
        <w:rPr>
          <w:spacing w:val="-6"/>
        </w:rPr>
        <w:t xml:space="preserve"> </w:t>
      </w:r>
      <w:r>
        <w:t>to</w:t>
      </w:r>
      <w:r>
        <w:rPr>
          <w:spacing w:val="-6"/>
        </w:rPr>
        <w:t xml:space="preserve"> </w:t>
      </w:r>
      <w:r>
        <w:t>meet</w:t>
      </w:r>
      <w:r>
        <w:rPr>
          <w:spacing w:val="-6"/>
        </w:rPr>
        <w:t xml:space="preserve"> </w:t>
      </w:r>
      <w:r>
        <w:t>the</w:t>
      </w:r>
      <w:r>
        <w:rPr>
          <w:spacing w:val="-6"/>
        </w:rPr>
        <w:t xml:space="preserve"> </w:t>
      </w:r>
      <w:r>
        <w:t>target</w:t>
      </w:r>
      <w:r>
        <w:rPr>
          <w:spacing w:val="-6"/>
        </w:rPr>
        <w:t xml:space="preserve"> </w:t>
      </w:r>
      <w:r>
        <w:t>student</w:t>
      </w:r>
      <w:r>
        <w:rPr>
          <w:spacing w:val="-6"/>
        </w:rPr>
        <w:t xml:space="preserve"> </w:t>
      </w:r>
      <w:r>
        <w:t>sample</w:t>
      </w:r>
      <w:r>
        <w:rPr>
          <w:spacing w:val="-6"/>
        </w:rPr>
        <w:t xml:space="preserve"> </w:t>
      </w:r>
      <w:r>
        <w:t>size</w:t>
      </w:r>
      <w:r>
        <w:rPr>
          <w:spacing w:val="-6"/>
        </w:rPr>
        <w:t xml:space="preserve"> </w:t>
      </w:r>
      <w:r>
        <w:t>objective</w:t>
      </w:r>
      <w:r>
        <w:rPr>
          <w:spacing w:val="-6"/>
        </w:rPr>
        <w:t xml:space="preserve"> </w:t>
      </w:r>
      <w:r>
        <w:t>and</w:t>
      </w:r>
      <w:r>
        <w:rPr>
          <w:spacing w:val="-6"/>
        </w:rPr>
        <w:t xml:space="preserve"> </w:t>
      </w:r>
      <w:r>
        <w:t>achieve</w:t>
      </w:r>
      <w:r>
        <w:rPr>
          <w:spacing w:val="-6"/>
        </w:rPr>
        <w:t xml:space="preserve"> </w:t>
      </w:r>
      <w:r>
        <w:t>a</w:t>
      </w:r>
      <w:r>
        <w:rPr>
          <w:spacing w:val="-6"/>
        </w:rPr>
        <w:t xml:space="preserve"> </w:t>
      </w:r>
      <w:r>
        <w:t>reasonable</w:t>
      </w:r>
      <w:r>
        <w:rPr>
          <w:spacing w:val="-6"/>
        </w:rPr>
        <w:t xml:space="preserve"> </w:t>
      </w:r>
      <w:r>
        <w:t>compromise</w:t>
      </w:r>
      <w:r>
        <w:rPr>
          <w:spacing w:val="-6"/>
        </w:rPr>
        <w:t xml:space="preserve"> </w:t>
      </w:r>
      <w:r>
        <w:t>among</w:t>
      </w:r>
      <w:r>
        <w:rPr>
          <w:spacing w:val="-6"/>
        </w:rPr>
        <w:t xml:space="preserve"> </w:t>
      </w:r>
      <w:r>
        <w:t>the</w:t>
      </w:r>
      <w:r>
        <w:rPr>
          <w:spacing w:val="-6"/>
        </w:rPr>
        <w:t xml:space="preserve"> </w:t>
      </w:r>
      <w:r>
        <w:t>next</w:t>
      </w:r>
      <w:r>
        <w:rPr>
          <w:spacing w:val="-6"/>
        </w:rPr>
        <w:t xml:space="preserve"> </w:t>
      </w:r>
      <w:r>
        <w:t>four</w:t>
      </w:r>
      <w:r>
        <w:rPr>
          <w:spacing w:val="-6"/>
        </w:rPr>
        <w:t xml:space="preserve"> </w:t>
      </w:r>
      <w:r>
        <w:t>objectives,</w:t>
      </w:r>
      <w:r>
        <w:rPr>
          <w:spacing w:val="-6"/>
        </w:rPr>
        <w:t xml:space="preserve"> </w:t>
      </w:r>
      <w:r>
        <w:t>the</w:t>
      </w:r>
      <w:r>
        <w:rPr>
          <w:spacing w:val="-6"/>
        </w:rPr>
        <w:t xml:space="preserve"> </w:t>
      </w:r>
      <w:r>
        <w:t>following</w:t>
      </w:r>
      <w:r>
        <w:rPr>
          <w:spacing w:val="-6"/>
        </w:rPr>
        <w:t xml:space="preserve"> </w:t>
      </w:r>
      <w:r>
        <w:t>algorithm</w:t>
      </w:r>
      <w:r>
        <w:rPr>
          <w:spacing w:val="-6"/>
        </w:rPr>
        <w:t xml:space="preserve"> </w:t>
      </w:r>
      <w:r>
        <w:t>was</w:t>
      </w:r>
      <w:r>
        <w:rPr>
          <w:spacing w:val="-6"/>
        </w:rPr>
        <w:t xml:space="preserve"> </w:t>
      </w:r>
      <w:r>
        <w:t>used</w:t>
      </w:r>
      <w:r>
        <w:rPr>
          <w:spacing w:val="-6"/>
        </w:rPr>
        <w:t xml:space="preserve"> </w:t>
      </w:r>
      <w:r>
        <w:t>to</w:t>
      </w:r>
      <w:r>
        <w:rPr>
          <w:spacing w:val="-6"/>
        </w:rPr>
        <w:t xml:space="preserve"> </w:t>
      </w:r>
      <w:r>
        <w:t>assign</w:t>
      </w:r>
      <w:r>
        <w:rPr>
          <w:spacing w:val="-6"/>
        </w:rPr>
        <w:t xml:space="preserve"> </w:t>
      </w:r>
      <w:r>
        <w:t>a measure of size to each school based on its estimated age enrollment as indicated on the sampling frame.</w:t>
      </w:r>
    </w:p>
    <w:p w:rsidR="003F5784" w14:paraId="364F086F" w14:textId="77777777">
      <w:pPr>
        <w:pStyle w:val="BodyText"/>
        <w:spacing w:before="209" w:line="232" w:lineRule="auto"/>
        <w:ind w:left="109"/>
      </w:pPr>
      <w:r>
        <w:t>The measures of size vary by enrollment size.</w:t>
      </w:r>
      <w:r>
        <w:rPr>
          <w:spacing w:val="-2"/>
        </w:rPr>
        <w:t xml:space="preserve"> </w:t>
      </w:r>
      <w:r>
        <w:t>The initial measures of size, \(MOS_{js}\), were set as follows: \begin{equation} MOS_{js} = PSCHWT_{s} \times PSU\_WT_{s}</w:t>
      </w:r>
      <w:r>
        <w:rPr>
          <w:spacing w:val="-7"/>
        </w:rPr>
        <w:t xml:space="preserve"> </w:t>
      </w:r>
      <w:r>
        <w:t>\times</w:t>
      </w:r>
      <w:r>
        <w:rPr>
          <w:spacing w:val="-7"/>
        </w:rPr>
        <w:t xml:space="preserve"> </w:t>
      </w:r>
      <w:r>
        <w:t>\left\{\begin{array}{llll}</w:t>
      </w:r>
      <w:r>
        <w:rPr>
          <w:spacing w:val="-7"/>
        </w:rPr>
        <w:t xml:space="preserve"> </w:t>
      </w:r>
      <w:r>
        <w:t>x_{js}{,}</w:t>
      </w:r>
      <w:r>
        <w:rPr>
          <w:spacing w:val="-7"/>
        </w:rPr>
        <w:t xml:space="preserve"> </w:t>
      </w:r>
      <w:r>
        <w:t>&amp;</w:t>
      </w:r>
      <w:r>
        <w:rPr>
          <w:spacing w:val="-7"/>
        </w:rPr>
        <w:t xml:space="preserve"> </w:t>
      </w:r>
      <w:r>
        <w:t>\text{if</w:t>
      </w:r>
      <w:r>
        <w:rPr>
          <w:spacing w:val="-7"/>
        </w:rPr>
        <w:t xml:space="preserve"> </w:t>
      </w:r>
      <w:r>
        <w:t>}</w:t>
      </w:r>
      <w:r>
        <w:rPr>
          <w:spacing w:val="-7"/>
        </w:rPr>
        <w:t xml:space="preserve"> </w:t>
      </w:r>
      <w:r>
        <w:t>z_{js}</w:t>
      </w:r>
      <w:r>
        <w:rPr>
          <w:spacing w:val="-7"/>
        </w:rPr>
        <w:t xml:space="preserve"> </w:t>
      </w:r>
      <w:r>
        <w:t>&lt;</w:t>
      </w:r>
      <w:r>
        <w:rPr>
          <w:spacing w:val="-7"/>
        </w:rPr>
        <w:t xml:space="preserve"> </w:t>
      </w:r>
      <w:r>
        <w:t>x_{js}</w:t>
      </w:r>
      <w:r>
        <w:rPr>
          <w:spacing w:val="-7"/>
        </w:rPr>
        <w:t xml:space="preserve"> </w:t>
      </w:r>
      <w:r>
        <w:t>\\</w:t>
      </w:r>
      <w:r>
        <w:rPr>
          <w:spacing w:val="-7"/>
        </w:rPr>
        <w:t xml:space="preserve"> </w:t>
      </w:r>
      <w:r>
        <w:t>y_{j}{,}</w:t>
      </w:r>
      <w:r>
        <w:rPr>
          <w:spacing w:val="-7"/>
        </w:rPr>
        <w:t xml:space="preserve"> </w:t>
      </w:r>
      <w:r>
        <w:t>&amp;</w:t>
      </w:r>
      <w:r>
        <w:rPr>
          <w:spacing w:val="-7"/>
        </w:rPr>
        <w:t xml:space="preserve"> </w:t>
      </w:r>
      <w:r>
        <w:t>\text{if</w:t>
      </w:r>
      <w:r>
        <w:rPr>
          <w:spacing w:val="-7"/>
        </w:rPr>
        <w:t xml:space="preserve"> </w:t>
      </w:r>
      <w:r>
        <w:t>}</w:t>
      </w:r>
      <w:r>
        <w:rPr>
          <w:spacing w:val="-7"/>
        </w:rPr>
        <w:t xml:space="preserve"> </w:t>
      </w:r>
      <w:r>
        <w:t>19</w:t>
      </w:r>
      <w:r>
        <w:rPr>
          <w:spacing w:val="-7"/>
        </w:rPr>
        <w:t xml:space="preserve"> </w:t>
      </w:r>
      <w:r>
        <w:t>&lt;</w:t>
      </w:r>
      <w:r>
        <w:rPr>
          <w:spacing w:val="-7"/>
        </w:rPr>
        <w:t xml:space="preserve"> </w:t>
      </w:r>
      <w:r>
        <w:t>x_{js}</w:t>
      </w:r>
      <w:r>
        <w:rPr>
          <w:spacing w:val="-7"/>
        </w:rPr>
        <w:t xml:space="preserve"> </w:t>
      </w:r>
      <w:r>
        <w:t>\leq</w:t>
      </w:r>
      <w:r>
        <w:rPr>
          <w:spacing w:val="-7"/>
        </w:rPr>
        <w:t xml:space="preserve"> </w:t>
      </w:r>
      <w:r>
        <w:t>z_{js}\\</w:t>
      </w:r>
      <w:r>
        <w:rPr>
          <w:spacing w:val="-7"/>
        </w:rPr>
        <w:t xml:space="preserve"> </w:t>
      </w:r>
      <w:r>
        <w:t>\biggl(\dfrac{y_j}{20}\biggr)</w:t>
      </w:r>
      <w:r>
        <w:rPr>
          <w:spacing w:val="-7"/>
        </w:rPr>
        <w:t xml:space="preserve"> </w:t>
      </w:r>
      <w:r>
        <w:t>\times x_{js}{,} &amp; \text{if } 10 &lt; x_{js} \leq 19 \\ \dfrac{y_j}{2}{,} &amp; \text{if } x_{js} \leq 10 \\ \end{array}\right. \end{equation}</w:t>
      </w:r>
    </w:p>
    <w:p w:rsidR="003F5784" w14:paraId="11035DCC" w14:textId="77777777">
      <w:pPr>
        <w:pStyle w:val="BodyText"/>
        <w:spacing w:before="210" w:line="232" w:lineRule="auto"/>
        <w:ind w:left="109" w:right="179"/>
      </w:pPr>
      <w:r>
        <w:t>where</w:t>
      </w:r>
      <w:r>
        <w:rPr>
          <w:spacing w:val="-6"/>
        </w:rPr>
        <w:t xml:space="preserve"> </w:t>
      </w:r>
      <w:r>
        <w:t>\(PSCHWT_{s}\)</w:t>
      </w:r>
      <w:r>
        <w:rPr>
          <w:spacing w:val="-6"/>
        </w:rPr>
        <w:t xml:space="preserve"> </w:t>
      </w:r>
      <w:r>
        <w:t>is</w:t>
      </w:r>
      <w:r>
        <w:rPr>
          <w:spacing w:val="-6"/>
        </w:rPr>
        <w:t xml:space="preserve"> </w:t>
      </w:r>
      <w:r>
        <w:t>the</w:t>
      </w:r>
      <w:r>
        <w:rPr>
          <w:spacing w:val="-6"/>
        </w:rPr>
        <w:t xml:space="preserve"> </w:t>
      </w:r>
      <w:r>
        <w:t>Private</w:t>
      </w:r>
      <w:r>
        <w:rPr>
          <w:spacing w:val="-6"/>
        </w:rPr>
        <w:t xml:space="preserve"> </w:t>
      </w:r>
      <w:r>
        <w:t>School</w:t>
      </w:r>
      <w:r>
        <w:rPr>
          <w:spacing w:val="-6"/>
        </w:rPr>
        <w:t xml:space="preserve"> </w:t>
      </w:r>
      <w:r>
        <w:t>Universe</w:t>
      </w:r>
      <w:r>
        <w:rPr>
          <w:spacing w:val="-6"/>
        </w:rPr>
        <w:t xml:space="preserve"> </w:t>
      </w:r>
      <w:r>
        <w:t>Survey</w:t>
      </w:r>
      <w:r>
        <w:rPr>
          <w:spacing w:val="-6"/>
        </w:rPr>
        <w:t xml:space="preserve"> </w:t>
      </w:r>
      <w:r>
        <w:t>area</w:t>
      </w:r>
      <w:r>
        <w:rPr>
          <w:spacing w:val="-6"/>
        </w:rPr>
        <w:t xml:space="preserve"> </w:t>
      </w:r>
      <w:r>
        <w:t>frame</w:t>
      </w:r>
      <w:r>
        <w:rPr>
          <w:spacing w:val="-6"/>
        </w:rPr>
        <w:t xml:space="preserve"> </w:t>
      </w:r>
      <w:r>
        <w:t>weight</w:t>
      </w:r>
      <w:r>
        <w:rPr>
          <w:spacing w:val="-6"/>
        </w:rPr>
        <w:t xml:space="preserve"> </w:t>
      </w:r>
      <w:r>
        <w:t>for</w:t>
      </w:r>
      <w:r>
        <w:rPr>
          <w:spacing w:val="-6"/>
        </w:rPr>
        <w:t xml:space="preserve"> </w:t>
      </w:r>
      <w:r>
        <w:t>school</w:t>
      </w:r>
      <w:r>
        <w:rPr>
          <w:spacing w:val="-6"/>
        </w:rPr>
        <w:t xml:space="preserve"> </w:t>
      </w:r>
      <w:r>
        <w:t>\(s\);</w:t>
      </w:r>
      <w:r>
        <w:rPr>
          <w:spacing w:val="-6"/>
        </w:rPr>
        <w:t xml:space="preserve"> </w:t>
      </w:r>
      <w:r>
        <w:t>\(PSU\_WT_{s}\)</w:t>
      </w:r>
      <w:r>
        <w:rPr>
          <w:spacing w:val="-6"/>
        </w:rPr>
        <w:t xml:space="preserve"> </w:t>
      </w:r>
      <w:r>
        <w:t>is</w:t>
      </w:r>
      <w:r>
        <w:rPr>
          <w:spacing w:val="-6"/>
        </w:rPr>
        <w:t xml:space="preserve"> </w:t>
      </w:r>
      <w:r>
        <w:t>the</w:t>
      </w:r>
      <w:r>
        <w:rPr>
          <w:spacing w:val="-6"/>
        </w:rPr>
        <w:t xml:space="preserve"> </w:t>
      </w:r>
      <w:r>
        <w:t>PSU</w:t>
      </w:r>
      <w:r>
        <w:rPr>
          <w:spacing w:val="-6"/>
        </w:rPr>
        <w:t xml:space="preserve"> </w:t>
      </w:r>
      <w:r>
        <w:t>weight</w:t>
      </w:r>
      <w:r>
        <w:rPr>
          <w:spacing w:val="-6"/>
        </w:rPr>
        <w:t xml:space="preserve"> </w:t>
      </w:r>
      <w:r>
        <w:t>(i.e.,</w:t>
      </w:r>
      <w:r>
        <w:rPr>
          <w:spacing w:val="-6"/>
        </w:rPr>
        <w:t xml:space="preserve"> </w:t>
      </w:r>
      <w:r>
        <w:t>the</w:t>
      </w:r>
      <w:r>
        <w:rPr>
          <w:spacing w:val="-6"/>
        </w:rPr>
        <w:t xml:space="preserve"> </w:t>
      </w:r>
      <w:r>
        <w:t>inverse</w:t>
      </w:r>
      <w:r>
        <w:rPr>
          <w:spacing w:val="-6"/>
        </w:rPr>
        <w:t xml:space="preserve"> </w:t>
      </w:r>
      <w:r>
        <w:t>of</w:t>
      </w:r>
      <w:r>
        <w:rPr>
          <w:spacing w:val="-6"/>
        </w:rPr>
        <w:t xml:space="preserve"> </w:t>
      </w:r>
      <w:r>
        <w:t>the</w:t>
      </w:r>
      <w:r>
        <w:rPr>
          <w:spacing w:val="-6"/>
        </w:rPr>
        <w:t xml:space="preserve"> </w:t>
      </w:r>
      <w:r>
        <w:t>PSU</w:t>
      </w:r>
      <w:r>
        <w:rPr>
          <w:spacing w:val="-6"/>
        </w:rPr>
        <w:t xml:space="preserve"> </w:t>
      </w:r>
      <w:r>
        <w:t>probability of selection) for school \(s\); \(x_{js}\) is the estimated age enrollment for school \(s\) for sample age \(j\); \(y_{j}\) is the target within-school student sample size for</w:t>
      </w:r>
    </w:p>
    <w:p w:rsidR="003F5784" w14:paraId="49321BEC" w14:textId="77777777">
      <w:pPr>
        <w:pStyle w:val="BodyText"/>
        <w:spacing w:line="232" w:lineRule="auto"/>
        <w:ind w:left="109" w:right="179"/>
      </w:pPr>
      <w:r>
        <w:t>sample</w:t>
      </w:r>
      <w:r>
        <w:rPr>
          <w:spacing w:val="-6"/>
        </w:rPr>
        <w:t xml:space="preserve"> </w:t>
      </w:r>
      <w:r>
        <w:t>age</w:t>
      </w:r>
      <w:r>
        <w:rPr>
          <w:spacing w:val="-6"/>
        </w:rPr>
        <w:t xml:space="preserve"> </w:t>
      </w:r>
      <w:r>
        <w:t>\(j\);</w:t>
      </w:r>
      <w:r>
        <w:rPr>
          <w:spacing w:val="-6"/>
        </w:rPr>
        <w:t xml:space="preserve"> </w:t>
      </w:r>
      <w:r>
        <w:t>and</w:t>
      </w:r>
      <w:r>
        <w:rPr>
          <w:spacing w:val="-6"/>
        </w:rPr>
        <w:t xml:space="preserve"> </w:t>
      </w:r>
      <w:r>
        <w:t>\(z_{js}\)</w:t>
      </w:r>
      <w:r>
        <w:rPr>
          <w:spacing w:val="-6"/>
        </w:rPr>
        <w:t xml:space="preserve"> </w:t>
      </w:r>
      <w:r>
        <w:t>is</w:t>
      </w:r>
      <w:r>
        <w:rPr>
          <w:spacing w:val="-6"/>
        </w:rPr>
        <w:t xml:space="preserve"> </w:t>
      </w:r>
      <w:r>
        <w:t>the</w:t>
      </w:r>
      <w:r>
        <w:rPr>
          <w:spacing w:val="-6"/>
        </w:rPr>
        <w:t xml:space="preserve"> </w:t>
      </w:r>
      <w:r>
        <w:t>within-school</w:t>
      </w:r>
      <w:r>
        <w:rPr>
          <w:spacing w:val="-6"/>
        </w:rPr>
        <w:t xml:space="preserve"> </w:t>
      </w:r>
      <w:r>
        <w:t>take-all</w:t>
      </w:r>
      <w:r>
        <w:rPr>
          <w:spacing w:val="-6"/>
        </w:rPr>
        <w:t xml:space="preserve"> </w:t>
      </w:r>
      <w:r>
        <w:t>student</w:t>
      </w:r>
      <w:r>
        <w:rPr>
          <w:spacing w:val="-6"/>
        </w:rPr>
        <w:t xml:space="preserve"> </w:t>
      </w:r>
      <w:r>
        <w:t>cutoff</w:t>
      </w:r>
      <w:r>
        <w:rPr>
          <w:spacing w:val="-6"/>
        </w:rPr>
        <w:t xml:space="preserve"> </w:t>
      </w:r>
      <w:r>
        <w:t>for</w:t>
      </w:r>
      <w:r>
        <w:rPr>
          <w:spacing w:val="-6"/>
        </w:rPr>
        <w:t xml:space="preserve"> </w:t>
      </w:r>
      <w:r>
        <w:t>school</w:t>
      </w:r>
      <w:r>
        <w:rPr>
          <w:spacing w:val="-6"/>
        </w:rPr>
        <w:t xml:space="preserve"> </w:t>
      </w:r>
      <w:r>
        <w:t>\(s\)</w:t>
      </w:r>
      <w:r>
        <w:rPr>
          <w:spacing w:val="-6"/>
        </w:rPr>
        <w:t xml:space="preserve"> </w:t>
      </w:r>
      <w:r>
        <w:t>for</w:t>
      </w:r>
      <w:r>
        <w:rPr>
          <w:spacing w:val="-6"/>
        </w:rPr>
        <w:t xml:space="preserve"> </w:t>
      </w:r>
      <w:r>
        <w:t>sample</w:t>
      </w:r>
      <w:r>
        <w:rPr>
          <w:spacing w:val="-6"/>
        </w:rPr>
        <w:t xml:space="preserve"> </w:t>
      </w:r>
      <w:r>
        <w:t>age</w:t>
      </w:r>
      <w:r>
        <w:rPr>
          <w:spacing w:val="-6"/>
        </w:rPr>
        <w:t xml:space="preserve"> </w:t>
      </w:r>
      <w:r>
        <w:t>\(j\).</w:t>
      </w:r>
      <w:r>
        <w:rPr>
          <w:spacing w:val="-10"/>
        </w:rPr>
        <w:t xml:space="preserve"> </w:t>
      </w:r>
      <w:r>
        <w:t>The</w:t>
      </w:r>
      <w:r>
        <w:rPr>
          <w:spacing w:val="-6"/>
        </w:rPr>
        <w:t xml:space="preserve"> </w:t>
      </w:r>
      <w:r>
        <w:t>target</w:t>
      </w:r>
      <w:r>
        <w:rPr>
          <w:spacing w:val="-6"/>
        </w:rPr>
        <w:t xml:space="preserve"> </w:t>
      </w:r>
      <w:r>
        <w:t>within-school</w:t>
      </w:r>
      <w:r>
        <w:rPr>
          <w:spacing w:val="-6"/>
        </w:rPr>
        <w:t xml:space="preserve"> </w:t>
      </w:r>
      <w:r>
        <w:t>sample</w:t>
      </w:r>
      <w:r>
        <w:rPr>
          <w:spacing w:val="-6"/>
        </w:rPr>
        <w:t xml:space="preserve"> </w:t>
      </w:r>
      <w:r>
        <w:t>size</w:t>
      </w:r>
      <w:r>
        <w:rPr>
          <w:spacing w:val="-6"/>
        </w:rPr>
        <w:t xml:space="preserve"> </w:t>
      </w:r>
      <w:r>
        <w:t>and</w:t>
      </w:r>
      <w:r>
        <w:rPr>
          <w:spacing w:val="-6"/>
        </w:rPr>
        <w:t xml:space="preserve"> </w:t>
      </w:r>
      <w:r>
        <w:t>the</w:t>
      </w:r>
      <w:r>
        <w:rPr>
          <w:spacing w:val="-6"/>
        </w:rPr>
        <w:t xml:space="preserve"> </w:t>
      </w:r>
      <w:r>
        <w:t>within-school</w:t>
      </w:r>
      <w:r>
        <w:rPr>
          <w:spacing w:val="-6"/>
        </w:rPr>
        <w:t xml:space="preserve"> </w:t>
      </w:r>
      <w:r>
        <w:t>take- all cutoff were both 50.</w:t>
      </w:r>
    </w:p>
    <w:p w:rsidR="003F5784" w14:paraId="22660B25" w14:textId="77777777">
      <w:pPr>
        <w:pStyle w:val="BodyText"/>
        <w:spacing w:before="210" w:line="232" w:lineRule="auto"/>
        <w:ind w:left="109"/>
      </w:pPr>
      <w:r>
        <w:t>The measures of size for schools in the Honolulu Primary Sampling Unit (PSU) were doubled to increase their chances of selection. Schools in the Honolulu PSU have their measures of size doubled to ensure at least one sampled school from the PSU.</w:t>
      </w:r>
      <w:r>
        <w:rPr>
          <w:spacing w:val="-3"/>
        </w:rPr>
        <w:t xml:space="preserve"> </w:t>
      </w:r>
      <w:r>
        <w:t>The Honolulu PSU is a certainty not due to its size, but because it is unique due to its high population</w:t>
      </w:r>
      <w:r>
        <w:rPr>
          <w:spacing w:val="-10"/>
        </w:rPr>
        <w:t xml:space="preserve"> </w:t>
      </w:r>
      <w:r>
        <w:t>of</w:t>
      </w:r>
      <w:r>
        <w:rPr>
          <w:spacing w:val="-14"/>
        </w:rPr>
        <w:t xml:space="preserve"> </w:t>
      </w:r>
      <w:r>
        <w:t>Asian</w:t>
      </w:r>
      <w:r>
        <w:rPr>
          <w:spacing w:val="-6"/>
        </w:rPr>
        <w:t xml:space="preserve"> </w:t>
      </w:r>
      <w:r>
        <w:t>and</w:t>
      </w:r>
      <w:r>
        <w:rPr>
          <w:spacing w:val="-7"/>
        </w:rPr>
        <w:t xml:space="preserve"> </w:t>
      </w:r>
      <w:r>
        <w:t>Native</w:t>
      </w:r>
      <w:r>
        <w:rPr>
          <w:spacing w:val="-7"/>
        </w:rPr>
        <w:t xml:space="preserve"> </w:t>
      </w:r>
      <w:r>
        <w:t>Hawaiian/Pacific</w:t>
      </w:r>
      <w:r>
        <w:rPr>
          <w:spacing w:val="-7"/>
        </w:rPr>
        <w:t xml:space="preserve"> </w:t>
      </w:r>
      <w:r>
        <w:t>Islander</w:t>
      </w:r>
      <w:r>
        <w:rPr>
          <w:spacing w:val="-7"/>
        </w:rPr>
        <w:t xml:space="preserve"> </w:t>
      </w:r>
      <w:r>
        <w:t>students.</w:t>
      </w:r>
      <w:r>
        <w:rPr>
          <w:spacing w:val="-10"/>
        </w:rPr>
        <w:t xml:space="preserve"> </w:t>
      </w:r>
      <w:r>
        <w:t>The</w:t>
      </w:r>
      <w:r>
        <w:rPr>
          <w:spacing w:val="-7"/>
        </w:rPr>
        <w:t xml:space="preserve"> </w:t>
      </w:r>
      <w:r>
        <w:t>preliminary</w:t>
      </w:r>
      <w:r>
        <w:rPr>
          <w:spacing w:val="-7"/>
        </w:rPr>
        <w:t xml:space="preserve"> </w:t>
      </w:r>
      <w:r>
        <w:t>measures</w:t>
      </w:r>
      <w:r>
        <w:rPr>
          <w:spacing w:val="-7"/>
        </w:rPr>
        <w:t xml:space="preserve"> </w:t>
      </w:r>
      <w:r>
        <w:t>of</w:t>
      </w:r>
      <w:r>
        <w:rPr>
          <w:spacing w:val="-7"/>
        </w:rPr>
        <w:t xml:space="preserve"> </w:t>
      </w:r>
      <w:r>
        <w:t>size</w:t>
      </w:r>
      <w:r>
        <w:rPr>
          <w:spacing w:val="-7"/>
        </w:rPr>
        <w:t xml:space="preserve"> </w:t>
      </w:r>
      <w:r>
        <w:t>\(M_{js}\)</w:t>
      </w:r>
      <w:r>
        <w:rPr>
          <w:spacing w:val="-7"/>
        </w:rPr>
        <w:t xml:space="preserve"> </w:t>
      </w:r>
      <w:r>
        <w:t>for</w:t>
      </w:r>
      <w:r>
        <w:rPr>
          <w:spacing w:val="-7"/>
        </w:rPr>
        <w:t xml:space="preserve"> </w:t>
      </w:r>
      <w:r>
        <w:t>schools</w:t>
      </w:r>
      <w:r>
        <w:rPr>
          <w:spacing w:val="-7"/>
        </w:rPr>
        <w:t xml:space="preserve"> </w:t>
      </w:r>
      <w:r>
        <w:t>in</w:t>
      </w:r>
      <w:r>
        <w:rPr>
          <w:spacing w:val="-7"/>
        </w:rPr>
        <w:t xml:space="preserve"> </w:t>
      </w:r>
      <w:r>
        <w:t>the</w:t>
      </w:r>
      <w:r>
        <w:rPr>
          <w:spacing w:val="-7"/>
        </w:rPr>
        <w:t xml:space="preserve"> </w:t>
      </w:r>
      <w:r>
        <w:t>Honolulu</w:t>
      </w:r>
      <w:r>
        <w:rPr>
          <w:spacing w:val="-7"/>
        </w:rPr>
        <w:t xml:space="preserve"> </w:t>
      </w:r>
      <w:r>
        <w:t>PSU</w:t>
      </w:r>
      <w:r>
        <w:rPr>
          <w:spacing w:val="-7"/>
        </w:rPr>
        <w:t xml:space="preserve"> </w:t>
      </w:r>
      <w:r>
        <w:t>were</w:t>
      </w:r>
      <w:r>
        <w:rPr>
          <w:spacing w:val="-7"/>
        </w:rPr>
        <w:t xml:space="preserve"> </w:t>
      </w:r>
      <w:r>
        <w:t>set</w:t>
      </w:r>
      <w:r>
        <w:rPr>
          <w:spacing w:val="-7"/>
        </w:rPr>
        <w:t xml:space="preserve"> </w:t>
      </w:r>
      <w:r>
        <w:t>as</w:t>
      </w:r>
      <w:r>
        <w:rPr>
          <w:spacing w:val="-7"/>
        </w:rPr>
        <w:t xml:space="preserve"> </w:t>
      </w:r>
      <w:r>
        <w:t>\begin{equation} M_{js} = 2 \times MOS_{js}. \end{equation}</w:t>
      </w:r>
    </w:p>
    <w:p w:rsidR="003F5784" w14:paraId="3FC65F30" w14:textId="77777777">
      <w:pPr>
        <w:pStyle w:val="BodyText"/>
        <w:spacing w:before="204"/>
        <w:ind w:left="109"/>
      </w:pPr>
      <w:r>
        <w:t>Preliminary</w:t>
      </w:r>
      <w:r>
        <w:rPr>
          <w:spacing w:val="-6"/>
        </w:rPr>
        <w:t xml:space="preserve"> </w:t>
      </w:r>
      <w:r>
        <w:t>measures</w:t>
      </w:r>
      <w:r>
        <w:rPr>
          <w:spacing w:val="-5"/>
        </w:rPr>
        <w:t xml:space="preserve"> </w:t>
      </w:r>
      <w:r>
        <w:t>of</w:t>
      </w:r>
      <w:r>
        <w:rPr>
          <w:spacing w:val="-5"/>
        </w:rPr>
        <w:t xml:space="preserve"> </w:t>
      </w:r>
      <w:r>
        <w:t>size</w:t>
      </w:r>
      <w:r>
        <w:rPr>
          <w:spacing w:val="-5"/>
        </w:rPr>
        <w:t xml:space="preserve"> </w:t>
      </w:r>
      <w:r>
        <w:t>for</w:t>
      </w:r>
      <w:r>
        <w:rPr>
          <w:spacing w:val="-5"/>
        </w:rPr>
        <w:t xml:space="preserve"> </w:t>
      </w:r>
      <w:r>
        <w:t>schools</w:t>
      </w:r>
      <w:r>
        <w:rPr>
          <w:spacing w:val="-6"/>
        </w:rPr>
        <w:t xml:space="preserve"> </w:t>
      </w:r>
      <w:r>
        <w:t>not</w:t>
      </w:r>
      <w:r>
        <w:rPr>
          <w:spacing w:val="-5"/>
        </w:rPr>
        <w:t xml:space="preserve"> </w:t>
      </w:r>
      <w:r>
        <w:t>in</w:t>
      </w:r>
      <w:r>
        <w:rPr>
          <w:spacing w:val="-5"/>
        </w:rPr>
        <w:t xml:space="preserve"> </w:t>
      </w:r>
      <w:r>
        <w:t>the</w:t>
      </w:r>
      <w:r>
        <w:rPr>
          <w:spacing w:val="-5"/>
        </w:rPr>
        <w:t xml:space="preserve"> </w:t>
      </w:r>
      <w:r>
        <w:t>Honolulu</w:t>
      </w:r>
      <w:r>
        <w:rPr>
          <w:spacing w:val="-5"/>
        </w:rPr>
        <w:t xml:space="preserve"> </w:t>
      </w:r>
      <w:r>
        <w:t>PSU</w:t>
      </w:r>
      <w:r>
        <w:rPr>
          <w:spacing w:val="-6"/>
        </w:rPr>
        <w:t xml:space="preserve"> </w:t>
      </w:r>
      <w:r>
        <w:t>were</w:t>
      </w:r>
      <w:r>
        <w:rPr>
          <w:spacing w:val="-5"/>
        </w:rPr>
        <w:t xml:space="preserve"> </w:t>
      </w:r>
      <w:r>
        <w:t>set</w:t>
      </w:r>
      <w:r>
        <w:rPr>
          <w:spacing w:val="-5"/>
        </w:rPr>
        <w:t xml:space="preserve"> </w:t>
      </w:r>
      <w:r>
        <w:t>equal</w:t>
      </w:r>
      <w:r>
        <w:rPr>
          <w:spacing w:val="-5"/>
        </w:rPr>
        <w:t xml:space="preserve"> </w:t>
      </w:r>
      <w:r>
        <w:t>to</w:t>
      </w:r>
      <w:r>
        <w:rPr>
          <w:spacing w:val="-5"/>
        </w:rPr>
        <w:t xml:space="preserve"> </w:t>
      </w:r>
      <w:r>
        <w:t>the</w:t>
      </w:r>
      <w:r>
        <w:rPr>
          <w:spacing w:val="-6"/>
        </w:rPr>
        <w:t xml:space="preserve"> </w:t>
      </w:r>
      <w:r>
        <w:t>initial</w:t>
      </w:r>
      <w:r>
        <w:rPr>
          <w:spacing w:val="-5"/>
        </w:rPr>
        <w:t xml:space="preserve"> </w:t>
      </w:r>
      <w:r>
        <w:t>measures</w:t>
      </w:r>
      <w:r>
        <w:rPr>
          <w:spacing w:val="-5"/>
        </w:rPr>
        <w:t xml:space="preserve"> </w:t>
      </w:r>
      <w:r>
        <w:t>of</w:t>
      </w:r>
      <w:r>
        <w:rPr>
          <w:spacing w:val="-5"/>
        </w:rPr>
        <w:t xml:space="preserve"> </w:t>
      </w:r>
      <w:r>
        <w:rPr>
          <w:spacing w:val="-2"/>
        </w:rPr>
        <w:t>size.</w:t>
      </w:r>
    </w:p>
    <w:p w:rsidR="003F5784" w14:paraId="383E78A0" w14:textId="77777777">
      <w:pPr>
        <w:pStyle w:val="BodyText"/>
        <w:spacing w:before="207" w:line="232" w:lineRule="auto"/>
        <w:ind w:left="109" w:right="179"/>
      </w:pPr>
      <w:r>
        <w:t>The</w:t>
      </w:r>
      <w:r>
        <w:rPr>
          <w:spacing w:val="-2"/>
        </w:rPr>
        <w:t xml:space="preserve"> </w:t>
      </w:r>
      <w:r>
        <w:t>preliminary</w:t>
      </w:r>
      <w:r>
        <w:rPr>
          <w:spacing w:val="-2"/>
        </w:rPr>
        <w:t xml:space="preserve"> </w:t>
      </w:r>
      <w:r>
        <w:t>school</w:t>
      </w:r>
      <w:r>
        <w:rPr>
          <w:spacing w:val="-2"/>
        </w:rPr>
        <w:t xml:space="preserve"> </w:t>
      </w:r>
      <w:r>
        <w:t>measure</w:t>
      </w:r>
      <w:r>
        <w:rPr>
          <w:spacing w:val="-2"/>
        </w:rPr>
        <w:t xml:space="preserve"> </w:t>
      </w:r>
      <w:r>
        <w:t>of</w:t>
      </w:r>
      <w:r>
        <w:rPr>
          <w:spacing w:val="-2"/>
        </w:rPr>
        <w:t xml:space="preserve"> </w:t>
      </w:r>
      <w:r>
        <w:t>size</w:t>
      </w:r>
      <w:r>
        <w:rPr>
          <w:spacing w:val="-2"/>
        </w:rPr>
        <w:t xml:space="preserve"> </w:t>
      </w:r>
      <w:r>
        <w:t>is</w:t>
      </w:r>
      <w:r>
        <w:rPr>
          <w:spacing w:val="-2"/>
        </w:rPr>
        <w:t xml:space="preserve"> </w:t>
      </w:r>
      <w:r>
        <w:t>rescaled</w:t>
      </w:r>
      <w:r>
        <w:rPr>
          <w:spacing w:val="-2"/>
        </w:rPr>
        <w:t xml:space="preserve"> </w:t>
      </w:r>
      <w:r>
        <w:t>to</w:t>
      </w:r>
      <w:r>
        <w:rPr>
          <w:spacing w:val="-2"/>
        </w:rPr>
        <w:t xml:space="preserve"> </w:t>
      </w:r>
      <w:r>
        <w:t>create</w:t>
      </w:r>
      <w:r>
        <w:rPr>
          <w:spacing w:val="-2"/>
        </w:rPr>
        <w:t xml:space="preserve"> </w:t>
      </w:r>
      <w:r>
        <w:t>an</w:t>
      </w:r>
      <w:r>
        <w:rPr>
          <w:spacing w:val="-2"/>
        </w:rPr>
        <w:t xml:space="preserve"> </w:t>
      </w:r>
      <w:r>
        <w:t>expected</w:t>
      </w:r>
      <w:r>
        <w:rPr>
          <w:spacing w:val="-2"/>
        </w:rPr>
        <w:t xml:space="preserve"> </w:t>
      </w:r>
      <w:r>
        <w:t>number</w:t>
      </w:r>
      <w:r>
        <w:rPr>
          <w:spacing w:val="-2"/>
        </w:rPr>
        <w:t xml:space="preserve"> </w:t>
      </w:r>
      <w:r>
        <w:t>of</w:t>
      </w:r>
      <w:r>
        <w:rPr>
          <w:spacing w:val="-2"/>
        </w:rPr>
        <w:t xml:space="preserve"> </w:t>
      </w:r>
      <w:r>
        <w:t>hits</w:t>
      </w:r>
      <w:r>
        <w:rPr>
          <w:spacing w:val="-2"/>
        </w:rPr>
        <w:t xml:space="preserve"> </w:t>
      </w:r>
      <w:r>
        <w:t>by</w:t>
      </w:r>
      <w:r>
        <w:rPr>
          <w:spacing w:val="-2"/>
        </w:rPr>
        <w:t xml:space="preserve"> </w:t>
      </w:r>
      <w:r>
        <w:t>applying</w:t>
      </w:r>
      <w:r>
        <w:rPr>
          <w:spacing w:val="-2"/>
        </w:rPr>
        <w:t xml:space="preserve"> </w:t>
      </w:r>
      <w:r>
        <w:t>a</w:t>
      </w:r>
      <w:r>
        <w:rPr>
          <w:spacing w:val="-2"/>
        </w:rPr>
        <w:t xml:space="preserve"> </w:t>
      </w:r>
      <w:r>
        <w:t>multiplicative</w:t>
      </w:r>
      <w:r>
        <w:rPr>
          <w:spacing w:val="-2"/>
        </w:rPr>
        <w:t xml:space="preserve"> </w:t>
      </w:r>
      <w:r>
        <w:t>constant</w:t>
      </w:r>
      <w:r>
        <w:rPr>
          <w:spacing w:val="-2"/>
        </w:rPr>
        <w:t xml:space="preserve"> </w:t>
      </w:r>
      <w:r>
        <w:t>\(b_{j}\),</w:t>
      </w:r>
      <w:r>
        <w:rPr>
          <w:spacing w:val="-2"/>
        </w:rPr>
        <w:t xml:space="preserve"> </w:t>
      </w:r>
      <w:r>
        <w:t>which</w:t>
      </w:r>
      <w:r>
        <w:rPr>
          <w:spacing w:val="-2"/>
        </w:rPr>
        <w:t xml:space="preserve"> </w:t>
      </w:r>
      <w:r>
        <w:t>varies</w:t>
      </w:r>
      <w:r>
        <w:rPr>
          <w:spacing w:val="-2"/>
        </w:rPr>
        <w:t xml:space="preserve"> </w:t>
      </w:r>
      <w:r>
        <w:t>by</w:t>
      </w:r>
      <w:r>
        <w:rPr>
          <w:spacing w:val="-2"/>
        </w:rPr>
        <w:t xml:space="preserve"> </w:t>
      </w:r>
      <w:r>
        <w:t>age</w:t>
      </w:r>
      <w:r>
        <w:rPr>
          <w:spacing w:val="-2"/>
        </w:rPr>
        <w:t xml:space="preserve"> </w:t>
      </w:r>
      <w:r>
        <w:t>\(j\).</w:t>
      </w:r>
      <w:r>
        <w:rPr>
          <w:spacing w:val="-2"/>
        </w:rPr>
        <w:t xml:space="preserve"> </w:t>
      </w:r>
      <w:r>
        <w:t>One</w:t>
      </w:r>
      <w:r>
        <w:rPr>
          <w:spacing w:val="-2"/>
        </w:rPr>
        <w:t xml:space="preserve"> </w:t>
      </w:r>
      <w:r>
        <w:t>can choose</w:t>
      </w:r>
      <w:r>
        <w:rPr>
          <w:spacing w:val="-6"/>
        </w:rPr>
        <w:t xml:space="preserve"> </w:t>
      </w:r>
      <w:r>
        <w:t>a</w:t>
      </w:r>
      <w:r>
        <w:rPr>
          <w:spacing w:val="-6"/>
        </w:rPr>
        <w:t xml:space="preserve"> </w:t>
      </w:r>
      <w:r>
        <w:t>value</w:t>
      </w:r>
      <w:r>
        <w:rPr>
          <w:spacing w:val="-6"/>
        </w:rPr>
        <w:t xml:space="preserve"> </w:t>
      </w:r>
      <w:r>
        <w:t>of</w:t>
      </w:r>
      <w:r>
        <w:rPr>
          <w:spacing w:val="-6"/>
        </w:rPr>
        <w:t xml:space="preserve"> </w:t>
      </w:r>
      <w:r>
        <w:t>\(b_{j}\)</w:t>
      </w:r>
      <w:r>
        <w:rPr>
          <w:spacing w:val="-6"/>
        </w:rPr>
        <w:t xml:space="preserve"> </w:t>
      </w:r>
      <w:r>
        <w:t>such</w:t>
      </w:r>
      <w:r>
        <w:rPr>
          <w:spacing w:val="-6"/>
        </w:rPr>
        <w:t xml:space="preserve"> </w:t>
      </w:r>
      <w:r>
        <w:t>that</w:t>
      </w:r>
      <w:r>
        <w:rPr>
          <w:spacing w:val="-6"/>
        </w:rPr>
        <w:t xml:space="preserve"> </w:t>
      </w:r>
      <w:r>
        <w:t>the</w:t>
      </w:r>
      <w:r>
        <w:rPr>
          <w:spacing w:val="-6"/>
        </w:rPr>
        <w:t xml:space="preserve"> </w:t>
      </w:r>
      <w:r>
        <w:t>expected</w:t>
      </w:r>
      <w:r>
        <w:rPr>
          <w:spacing w:val="-6"/>
        </w:rPr>
        <w:t xml:space="preserve"> </w:t>
      </w:r>
      <w:r>
        <w:t>overall</w:t>
      </w:r>
      <w:r>
        <w:rPr>
          <w:spacing w:val="-6"/>
        </w:rPr>
        <w:t xml:space="preserve"> </w:t>
      </w:r>
      <w:r>
        <w:t>student</w:t>
      </w:r>
      <w:r>
        <w:rPr>
          <w:spacing w:val="-6"/>
        </w:rPr>
        <w:t xml:space="preserve"> </w:t>
      </w:r>
      <w:r>
        <w:t>sample</w:t>
      </w:r>
      <w:r>
        <w:rPr>
          <w:spacing w:val="-6"/>
        </w:rPr>
        <w:t xml:space="preserve"> </w:t>
      </w:r>
      <w:r>
        <w:t>yield</w:t>
      </w:r>
      <w:r>
        <w:rPr>
          <w:spacing w:val="-6"/>
        </w:rPr>
        <w:t xml:space="preserve"> </w:t>
      </w:r>
      <w:r>
        <w:t>matches</w:t>
      </w:r>
      <w:r>
        <w:rPr>
          <w:spacing w:val="-6"/>
        </w:rPr>
        <w:t xml:space="preserve"> </w:t>
      </w:r>
      <w:r>
        <w:t>the</w:t>
      </w:r>
      <w:r>
        <w:rPr>
          <w:spacing w:val="-6"/>
        </w:rPr>
        <w:t xml:space="preserve"> </w:t>
      </w:r>
      <w:r>
        <w:t>desired</w:t>
      </w:r>
      <w:r>
        <w:rPr>
          <w:spacing w:val="-6"/>
        </w:rPr>
        <w:t xml:space="preserve"> </w:t>
      </w:r>
      <w:r>
        <w:t>target</w:t>
      </w:r>
      <w:r>
        <w:rPr>
          <w:spacing w:val="-6"/>
        </w:rPr>
        <w:t xml:space="preserve"> </w:t>
      </w:r>
      <w:r>
        <w:t>specified</w:t>
      </w:r>
      <w:r>
        <w:rPr>
          <w:spacing w:val="-6"/>
        </w:rPr>
        <w:t xml:space="preserve"> </w:t>
      </w:r>
      <w:r>
        <w:t>by</w:t>
      </w:r>
      <w:r>
        <w:rPr>
          <w:spacing w:val="-6"/>
        </w:rPr>
        <w:t xml:space="preserve"> </w:t>
      </w:r>
      <w:r>
        <w:t>the</w:t>
      </w:r>
      <w:r>
        <w:rPr>
          <w:spacing w:val="-6"/>
        </w:rPr>
        <w:t xml:space="preserve"> </w:t>
      </w:r>
      <w:r>
        <w:t>design,</w:t>
      </w:r>
      <w:r>
        <w:rPr>
          <w:spacing w:val="-6"/>
        </w:rPr>
        <w:t xml:space="preserve"> </w:t>
      </w:r>
      <w:r>
        <w:t>where</w:t>
      </w:r>
      <w:r>
        <w:rPr>
          <w:spacing w:val="-6"/>
        </w:rPr>
        <w:t xml:space="preserve"> </w:t>
      </w:r>
      <w:r>
        <w:t>the</w:t>
      </w:r>
      <w:r>
        <w:rPr>
          <w:spacing w:val="-6"/>
        </w:rPr>
        <w:t xml:space="preserve"> </w:t>
      </w:r>
      <w:r>
        <w:t>expected</w:t>
      </w:r>
      <w:r>
        <w:rPr>
          <w:spacing w:val="-6"/>
        </w:rPr>
        <w:t xml:space="preserve"> </w:t>
      </w:r>
      <w:r>
        <w:t>yield</w:t>
      </w:r>
      <w:r>
        <w:rPr>
          <w:spacing w:val="-6"/>
        </w:rPr>
        <w:t xml:space="preserve"> </w:t>
      </w:r>
      <w:r>
        <w:t>is</w:t>
      </w:r>
      <w:r>
        <w:rPr>
          <w:spacing w:val="-6"/>
        </w:rPr>
        <w:t xml:space="preserve"> </w:t>
      </w:r>
      <w:r>
        <w:t>calculated</w:t>
      </w:r>
      <w:r>
        <w:rPr>
          <w:spacing w:val="-6"/>
        </w:rPr>
        <w:t xml:space="preserve"> </w:t>
      </w:r>
      <w:r>
        <w:t>by summing</w:t>
      </w:r>
      <w:r>
        <w:rPr>
          <w:spacing w:val="-3"/>
        </w:rPr>
        <w:t xml:space="preserve"> </w:t>
      </w:r>
      <w:r>
        <w:t>the</w:t>
      </w:r>
      <w:r>
        <w:rPr>
          <w:spacing w:val="-3"/>
        </w:rPr>
        <w:t xml:space="preserve"> </w:t>
      </w:r>
      <w:r>
        <w:t>product</w:t>
      </w:r>
      <w:r>
        <w:rPr>
          <w:spacing w:val="-3"/>
        </w:rPr>
        <w:t xml:space="preserve"> </w:t>
      </w:r>
      <w:r>
        <w:t>of</w:t>
      </w:r>
      <w:r>
        <w:rPr>
          <w:spacing w:val="-3"/>
        </w:rPr>
        <w:t xml:space="preserve"> </w:t>
      </w:r>
      <w:r>
        <w:t>an</w:t>
      </w:r>
      <w:r>
        <w:rPr>
          <w:spacing w:val="-3"/>
        </w:rPr>
        <w:t xml:space="preserve"> </w:t>
      </w:r>
      <w:r>
        <w:t>individual</w:t>
      </w:r>
      <w:r>
        <w:rPr>
          <w:spacing w:val="-3"/>
        </w:rPr>
        <w:t xml:space="preserve"> </w:t>
      </w:r>
      <w:r>
        <w:t>school's</w:t>
      </w:r>
      <w:r>
        <w:rPr>
          <w:spacing w:val="-3"/>
        </w:rPr>
        <w:t xml:space="preserve"> </w:t>
      </w:r>
      <w:r>
        <w:t>probability</w:t>
      </w:r>
      <w:r>
        <w:rPr>
          <w:spacing w:val="-3"/>
        </w:rPr>
        <w:t xml:space="preserve"> </w:t>
      </w:r>
      <w:r>
        <w:t>and</w:t>
      </w:r>
      <w:r>
        <w:rPr>
          <w:spacing w:val="-3"/>
        </w:rPr>
        <w:t xml:space="preserve"> </w:t>
      </w:r>
      <w:r>
        <w:t>its</w:t>
      </w:r>
      <w:r>
        <w:rPr>
          <w:spacing w:val="-3"/>
        </w:rPr>
        <w:t xml:space="preserve"> </w:t>
      </w:r>
      <w:r>
        <w:t>student</w:t>
      </w:r>
      <w:r>
        <w:rPr>
          <w:spacing w:val="-3"/>
        </w:rPr>
        <w:t xml:space="preserve"> </w:t>
      </w:r>
      <w:r>
        <w:t>yield</w:t>
      </w:r>
      <w:r>
        <w:rPr>
          <w:spacing w:val="-3"/>
        </w:rPr>
        <w:t xml:space="preserve"> </w:t>
      </w:r>
      <w:r>
        <w:t>across</w:t>
      </w:r>
      <w:r>
        <w:rPr>
          <w:spacing w:val="-3"/>
        </w:rPr>
        <w:t xml:space="preserve"> </w:t>
      </w:r>
      <w:r>
        <w:t>all</w:t>
      </w:r>
      <w:r>
        <w:rPr>
          <w:spacing w:val="-3"/>
        </w:rPr>
        <w:t xml:space="preserve"> </w:t>
      </w:r>
      <w:r>
        <w:t>schools</w:t>
      </w:r>
      <w:r>
        <w:rPr>
          <w:spacing w:val="-3"/>
        </w:rPr>
        <w:t xml:space="preserve"> </w:t>
      </w:r>
      <w:r>
        <w:t>in</w:t>
      </w:r>
      <w:r>
        <w:rPr>
          <w:spacing w:val="-3"/>
        </w:rPr>
        <w:t xml:space="preserve"> </w:t>
      </w:r>
      <w:r>
        <w:t>the</w:t>
      </w:r>
      <w:r>
        <w:rPr>
          <w:spacing w:val="-3"/>
        </w:rPr>
        <w:t xml:space="preserve"> </w:t>
      </w:r>
      <w:r>
        <w:t>frame.</w:t>
      </w:r>
      <w:r>
        <w:rPr>
          <w:spacing w:val="-3"/>
        </w:rPr>
        <w:t xml:space="preserve"> </w:t>
      </w:r>
      <w:r>
        <w:t>For</w:t>
      </w:r>
      <w:r>
        <w:rPr>
          <w:spacing w:val="-3"/>
        </w:rPr>
        <w:t xml:space="preserve"> </w:t>
      </w:r>
      <w:r>
        <w:t>private</w:t>
      </w:r>
      <w:r>
        <w:rPr>
          <w:spacing w:val="-3"/>
        </w:rPr>
        <w:t xml:space="preserve"> </w:t>
      </w:r>
      <w:r>
        <w:t>schools,</w:t>
      </w:r>
      <w:r>
        <w:rPr>
          <w:spacing w:val="-3"/>
        </w:rPr>
        <w:t xml:space="preserve"> </w:t>
      </w:r>
      <w:r>
        <w:t>this</w:t>
      </w:r>
      <w:r>
        <w:rPr>
          <w:spacing w:val="-3"/>
        </w:rPr>
        <w:t xml:space="preserve"> </w:t>
      </w:r>
      <w:r>
        <w:t>parameter</w:t>
      </w:r>
      <w:r>
        <w:rPr>
          <w:spacing w:val="-3"/>
        </w:rPr>
        <w:t xml:space="preserve"> </w:t>
      </w:r>
      <w:r>
        <w:t>varied</w:t>
      </w:r>
      <w:r>
        <w:rPr>
          <w:spacing w:val="-3"/>
        </w:rPr>
        <w:t xml:space="preserve"> </w:t>
      </w:r>
      <w:r>
        <w:t>by</w:t>
      </w:r>
      <w:r>
        <w:rPr>
          <w:spacing w:val="-3"/>
        </w:rPr>
        <w:t xml:space="preserve"> </w:t>
      </w:r>
      <w:r>
        <w:t>private</w:t>
      </w:r>
      <w:r>
        <w:rPr>
          <w:spacing w:val="-3"/>
        </w:rPr>
        <w:t xml:space="preserve"> </w:t>
      </w:r>
      <w:r>
        <w:t>school affiliation (Catholic, non-Catholic, and unknown affiliation).</w:t>
      </w:r>
    </w:p>
    <w:p w:rsidR="003F5784" w14:paraId="4FA650D7" w14:textId="77777777">
      <w:pPr>
        <w:pStyle w:val="BodyText"/>
        <w:spacing w:before="204"/>
        <w:ind w:left="109"/>
      </w:pPr>
      <w:r>
        <w:t>The</w:t>
      </w:r>
      <w:r>
        <w:rPr>
          <w:spacing w:val="-6"/>
        </w:rPr>
        <w:t xml:space="preserve"> </w:t>
      </w:r>
      <w:r>
        <w:t>final</w:t>
      </w:r>
      <w:r>
        <w:rPr>
          <w:spacing w:val="-6"/>
        </w:rPr>
        <w:t xml:space="preserve"> </w:t>
      </w:r>
      <w:r>
        <w:t>measure</w:t>
      </w:r>
      <w:r>
        <w:rPr>
          <w:spacing w:val="-5"/>
        </w:rPr>
        <w:t xml:space="preserve"> </w:t>
      </w:r>
      <w:r>
        <w:t>of</w:t>
      </w:r>
      <w:r>
        <w:rPr>
          <w:spacing w:val="-6"/>
        </w:rPr>
        <w:t xml:space="preserve"> </w:t>
      </w:r>
      <w:r>
        <w:t>size,</w:t>
      </w:r>
      <w:r>
        <w:rPr>
          <w:spacing w:val="-5"/>
        </w:rPr>
        <w:t xml:space="preserve"> </w:t>
      </w:r>
      <w:r>
        <w:t>\(E_{js}\),</w:t>
      </w:r>
      <w:r>
        <w:rPr>
          <w:spacing w:val="-6"/>
        </w:rPr>
        <w:t xml:space="preserve"> </w:t>
      </w:r>
      <w:r>
        <w:t>is</w:t>
      </w:r>
      <w:r>
        <w:rPr>
          <w:spacing w:val="-5"/>
        </w:rPr>
        <w:t xml:space="preserve"> </w:t>
      </w:r>
      <w:r>
        <w:t>defined</w:t>
      </w:r>
      <w:r>
        <w:rPr>
          <w:spacing w:val="-6"/>
        </w:rPr>
        <w:t xml:space="preserve"> </w:t>
      </w:r>
      <w:r>
        <w:rPr>
          <w:spacing w:val="-5"/>
        </w:rPr>
        <w:t>as</w:t>
      </w:r>
    </w:p>
    <w:p w:rsidR="003F5784" w14:paraId="3A782338" w14:textId="77777777">
      <w:pPr>
        <w:pStyle w:val="BodyText"/>
        <w:spacing w:before="202"/>
        <w:ind w:left="109"/>
      </w:pPr>
      <w:r>
        <w:rPr>
          <w:spacing w:val="-2"/>
        </w:rPr>
        <w:t>\begin{equation}</w:t>
      </w:r>
      <w:r>
        <w:rPr>
          <w:spacing w:val="17"/>
        </w:rPr>
        <w:t xml:space="preserve"> </w:t>
      </w:r>
      <w:r>
        <w:rPr>
          <w:spacing w:val="-2"/>
        </w:rPr>
        <w:t>E_{js}=min(b_{j}\times</w:t>
      </w:r>
      <w:r>
        <w:rPr>
          <w:spacing w:val="18"/>
        </w:rPr>
        <w:t xml:space="preserve"> </w:t>
      </w:r>
      <w:r>
        <w:rPr>
          <w:spacing w:val="-2"/>
        </w:rPr>
        <w:t>M_{js},u_{j}).</w:t>
      </w:r>
      <w:r>
        <w:rPr>
          <w:spacing w:val="17"/>
        </w:rPr>
        <w:t xml:space="preserve"> </w:t>
      </w:r>
      <w:r>
        <w:rPr>
          <w:spacing w:val="-2"/>
        </w:rPr>
        <w:t>\end{equation}</w:t>
      </w:r>
    </w:p>
    <w:p w:rsidR="003F5784" w14:paraId="2DEBF064" w14:textId="77777777">
      <w:pPr>
        <w:pStyle w:val="BodyText"/>
        <w:spacing w:before="208" w:line="232" w:lineRule="auto"/>
        <w:ind w:left="109"/>
      </w:pPr>
      <w:r>
        <w:t>The</w:t>
      </w:r>
      <w:r>
        <w:rPr>
          <w:spacing w:val="-5"/>
        </w:rPr>
        <w:t xml:space="preserve"> </w:t>
      </w:r>
      <w:r>
        <w:t>quantity</w:t>
      </w:r>
      <w:r>
        <w:rPr>
          <w:spacing w:val="-5"/>
        </w:rPr>
        <w:t xml:space="preserve"> </w:t>
      </w:r>
      <w:r>
        <w:t>\(u_{j}\)</w:t>
      </w:r>
      <w:r>
        <w:rPr>
          <w:spacing w:val="-5"/>
        </w:rPr>
        <w:t xml:space="preserve"> </w:t>
      </w:r>
      <w:r>
        <w:t>(the</w:t>
      </w:r>
      <w:r>
        <w:rPr>
          <w:spacing w:val="-5"/>
        </w:rPr>
        <w:t xml:space="preserve"> </w:t>
      </w:r>
      <w:r>
        <w:t>maximum</w:t>
      </w:r>
      <w:r>
        <w:rPr>
          <w:spacing w:val="-5"/>
        </w:rPr>
        <w:t xml:space="preserve"> </w:t>
      </w:r>
      <w:r>
        <w:t>number</w:t>
      </w:r>
      <w:r>
        <w:rPr>
          <w:spacing w:val="-5"/>
        </w:rPr>
        <w:t xml:space="preserve"> </w:t>
      </w:r>
      <w:r>
        <w:t>of</w:t>
      </w:r>
      <w:r>
        <w:rPr>
          <w:spacing w:val="-5"/>
        </w:rPr>
        <w:t xml:space="preserve"> </w:t>
      </w:r>
      <w:r>
        <w:t>hits</w:t>
      </w:r>
      <w:r>
        <w:rPr>
          <w:spacing w:val="-5"/>
        </w:rPr>
        <w:t xml:space="preserve"> </w:t>
      </w:r>
      <w:r>
        <w:t>allowed)</w:t>
      </w:r>
      <w:r>
        <w:rPr>
          <w:spacing w:val="-5"/>
        </w:rPr>
        <w:t xml:space="preserve"> </w:t>
      </w:r>
      <w:r>
        <w:t>in</w:t>
      </w:r>
      <w:r>
        <w:rPr>
          <w:spacing w:val="-5"/>
        </w:rPr>
        <w:t xml:space="preserve"> </w:t>
      </w:r>
      <w:r>
        <w:t>this</w:t>
      </w:r>
      <w:r>
        <w:rPr>
          <w:spacing w:val="-5"/>
        </w:rPr>
        <w:t xml:space="preserve"> </w:t>
      </w:r>
      <w:r>
        <w:t>formula</w:t>
      </w:r>
      <w:r>
        <w:rPr>
          <w:spacing w:val="-5"/>
        </w:rPr>
        <w:t xml:space="preserve"> </w:t>
      </w:r>
      <w:r>
        <w:t>is</w:t>
      </w:r>
      <w:r>
        <w:rPr>
          <w:spacing w:val="-5"/>
        </w:rPr>
        <w:t xml:space="preserve"> </w:t>
      </w:r>
      <w:r>
        <w:t>designed</w:t>
      </w:r>
      <w:r>
        <w:rPr>
          <w:spacing w:val="-5"/>
        </w:rPr>
        <w:t xml:space="preserve"> </w:t>
      </w:r>
      <w:r>
        <w:t>to</w:t>
      </w:r>
      <w:r>
        <w:rPr>
          <w:spacing w:val="-5"/>
        </w:rPr>
        <w:t xml:space="preserve"> </w:t>
      </w:r>
      <w:r>
        <w:t>put</w:t>
      </w:r>
      <w:r>
        <w:rPr>
          <w:spacing w:val="-5"/>
        </w:rPr>
        <w:t xml:space="preserve"> </w:t>
      </w:r>
      <w:r>
        <w:t>an</w:t>
      </w:r>
      <w:r>
        <w:rPr>
          <w:spacing w:val="-5"/>
        </w:rPr>
        <w:t xml:space="preserve"> </w:t>
      </w:r>
      <w:r>
        <w:t>upper</w:t>
      </w:r>
      <w:r>
        <w:rPr>
          <w:spacing w:val="-5"/>
        </w:rPr>
        <w:t xml:space="preserve"> </w:t>
      </w:r>
      <w:r>
        <w:t>bound</w:t>
      </w:r>
      <w:r>
        <w:rPr>
          <w:spacing w:val="-5"/>
        </w:rPr>
        <w:t xml:space="preserve"> </w:t>
      </w:r>
      <w:r>
        <w:t>on</w:t>
      </w:r>
      <w:r>
        <w:rPr>
          <w:spacing w:val="-5"/>
        </w:rPr>
        <w:t xml:space="preserve"> </w:t>
      </w:r>
      <w:r>
        <w:t>the</w:t>
      </w:r>
      <w:r>
        <w:rPr>
          <w:spacing w:val="-5"/>
        </w:rPr>
        <w:t xml:space="preserve"> </w:t>
      </w:r>
      <w:r>
        <w:t>burden</w:t>
      </w:r>
      <w:r>
        <w:rPr>
          <w:spacing w:val="-5"/>
        </w:rPr>
        <w:t xml:space="preserve"> </w:t>
      </w:r>
      <w:r>
        <w:t>for</w:t>
      </w:r>
      <w:r>
        <w:rPr>
          <w:spacing w:val="-5"/>
        </w:rPr>
        <w:t xml:space="preserve"> </w:t>
      </w:r>
      <w:r>
        <w:t>the</w:t>
      </w:r>
      <w:r>
        <w:rPr>
          <w:spacing w:val="-5"/>
        </w:rPr>
        <w:t xml:space="preserve"> </w:t>
      </w:r>
      <w:r>
        <w:t>sampled</w:t>
      </w:r>
      <w:r>
        <w:rPr>
          <w:spacing w:val="-5"/>
        </w:rPr>
        <w:t xml:space="preserve"> </w:t>
      </w:r>
      <w:r>
        <w:t>schools.</w:t>
      </w:r>
      <w:r>
        <w:rPr>
          <w:spacing w:val="-5"/>
        </w:rPr>
        <w:t xml:space="preserve"> </w:t>
      </w:r>
      <w:r>
        <w:t>For</w:t>
      </w:r>
      <w:r>
        <w:rPr>
          <w:spacing w:val="-5"/>
        </w:rPr>
        <w:t xml:space="preserve"> </w:t>
      </w:r>
      <w:r>
        <w:t>private</w:t>
      </w:r>
      <w:r>
        <w:rPr>
          <w:spacing w:val="-5"/>
        </w:rPr>
        <w:t xml:space="preserve"> </w:t>
      </w:r>
      <w:r>
        <w:t>schools,</w:t>
      </w:r>
      <w:r>
        <w:rPr>
          <w:spacing w:val="-5"/>
        </w:rPr>
        <w:t xml:space="preserve"> </w:t>
      </w:r>
      <w:r>
        <w:t>\ (u_{j}\) is 1 because by design a school could not be selected, or hit in the sampling process more than once for a given sample age.</w:t>
      </w:r>
    </w:p>
    <w:p w:rsidR="003F5784" w14:paraId="4F71E606" w14:textId="77777777">
      <w:pPr>
        <w:pStyle w:val="BodyText"/>
        <w:spacing w:before="209" w:line="232" w:lineRule="auto"/>
        <w:ind w:left="109" w:right="117"/>
      </w:pPr>
      <w:r>
        <w:t>To</w:t>
      </w:r>
      <w:r>
        <w:rPr>
          <w:spacing w:val="-5"/>
        </w:rPr>
        <w:t xml:space="preserve"> </w:t>
      </w:r>
      <w:r>
        <w:t>address</w:t>
      </w:r>
      <w:r>
        <w:rPr>
          <w:spacing w:val="-5"/>
        </w:rPr>
        <w:t xml:space="preserve"> </w:t>
      </w:r>
      <w:r>
        <w:t>the</w:t>
      </w:r>
      <w:r>
        <w:rPr>
          <w:spacing w:val="-5"/>
        </w:rPr>
        <w:t xml:space="preserve"> </w:t>
      </w:r>
      <w:r>
        <w:t>objective</w:t>
      </w:r>
      <w:r>
        <w:rPr>
          <w:spacing w:val="-5"/>
        </w:rPr>
        <w:t xml:space="preserve"> </w:t>
      </w:r>
      <w:r>
        <w:t>in</w:t>
      </w:r>
      <w:r>
        <w:rPr>
          <w:spacing w:val="-5"/>
        </w:rPr>
        <w:t xml:space="preserve"> </w:t>
      </w:r>
      <w:r>
        <w:t>the</w:t>
      </w:r>
      <w:r>
        <w:rPr>
          <w:spacing w:val="-5"/>
        </w:rPr>
        <w:t xml:space="preserve"> </w:t>
      </w:r>
      <w:r>
        <w:t>last</w:t>
      </w:r>
      <w:r>
        <w:rPr>
          <w:spacing w:val="-5"/>
        </w:rPr>
        <w:t xml:space="preserve"> </w:t>
      </w:r>
      <w:r>
        <w:t>bullet</w:t>
      </w:r>
      <w:r>
        <w:rPr>
          <w:spacing w:val="-5"/>
        </w:rPr>
        <w:t xml:space="preserve"> </w:t>
      </w:r>
      <w:r>
        <w:t>above,</w:t>
      </w:r>
      <w:r>
        <w:rPr>
          <w:spacing w:val="-5"/>
        </w:rPr>
        <w:t xml:space="preserve"> </w:t>
      </w:r>
      <w:r>
        <w:t>an</w:t>
      </w:r>
      <w:r>
        <w:rPr>
          <w:spacing w:val="-5"/>
        </w:rPr>
        <w:t xml:space="preserve"> </w:t>
      </w:r>
      <w:r>
        <w:t>adjustment</w:t>
      </w:r>
      <w:r>
        <w:rPr>
          <w:spacing w:val="-5"/>
        </w:rPr>
        <w:t xml:space="preserve"> </w:t>
      </w:r>
      <w:r>
        <w:t>was</w:t>
      </w:r>
      <w:r>
        <w:rPr>
          <w:spacing w:val="-5"/>
        </w:rPr>
        <w:t xml:space="preserve"> </w:t>
      </w:r>
      <w:r>
        <w:t>made</w:t>
      </w:r>
      <w:r>
        <w:rPr>
          <w:spacing w:val="-5"/>
        </w:rPr>
        <w:t xml:space="preserve"> </w:t>
      </w:r>
      <w:r>
        <w:t>to</w:t>
      </w:r>
      <w:r>
        <w:rPr>
          <w:spacing w:val="-5"/>
        </w:rPr>
        <w:t xml:space="preserve"> </w:t>
      </w:r>
      <w:r>
        <w:t>the</w:t>
      </w:r>
      <w:r>
        <w:rPr>
          <w:spacing w:val="-5"/>
        </w:rPr>
        <w:t xml:space="preserve"> </w:t>
      </w:r>
      <w:r>
        <w:t>initial</w:t>
      </w:r>
      <w:r>
        <w:rPr>
          <w:spacing w:val="-5"/>
        </w:rPr>
        <w:t xml:space="preserve"> </w:t>
      </w:r>
      <w:r>
        <w:t>measures</w:t>
      </w:r>
      <w:r>
        <w:rPr>
          <w:spacing w:val="-5"/>
        </w:rPr>
        <w:t xml:space="preserve"> </w:t>
      </w:r>
      <w:r>
        <w:t>of</w:t>
      </w:r>
      <w:r>
        <w:rPr>
          <w:spacing w:val="-5"/>
        </w:rPr>
        <w:t xml:space="preserve"> </w:t>
      </w:r>
      <w:r>
        <w:t>size</w:t>
      </w:r>
      <w:r>
        <w:rPr>
          <w:spacing w:val="-5"/>
        </w:rPr>
        <w:t xml:space="preserve"> </w:t>
      </w:r>
      <w:r>
        <w:t>in</w:t>
      </w:r>
      <w:r>
        <w:rPr>
          <w:spacing w:val="-5"/>
        </w:rPr>
        <w:t xml:space="preserve"> </w:t>
      </w:r>
      <w:r>
        <w:t>an</w:t>
      </w:r>
      <w:r>
        <w:rPr>
          <w:spacing w:val="-5"/>
        </w:rPr>
        <w:t xml:space="preserve"> </w:t>
      </w:r>
      <w:r>
        <w:t>attempt</w:t>
      </w:r>
      <w:r>
        <w:rPr>
          <w:spacing w:val="-5"/>
        </w:rPr>
        <w:t xml:space="preserve"> </w:t>
      </w:r>
      <w:r>
        <w:t>to</w:t>
      </w:r>
      <w:r>
        <w:rPr>
          <w:spacing w:val="-5"/>
        </w:rPr>
        <w:t xml:space="preserve"> </w:t>
      </w:r>
      <w:r>
        <w:t>ensure</w:t>
      </w:r>
      <w:r>
        <w:rPr>
          <w:spacing w:val="-5"/>
        </w:rPr>
        <w:t xml:space="preserve"> </w:t>
      </w:r>
      <w:r>
        <w:t>the</w:t>
      </w:r>
      <w:r>
        <w:rPr>
          <w:spacing w:val="-5"/>
        </w:rPr>
        <w:t xml:space="preserve"> </w:t>
      </w:r>
      <w:r>
        <w:t>inclusion</w:t>
      </w:r>
      <w:r>
        <w:rPr>
          <w:spacing w:val="-5"/>
        </w:rPr>
        <w:t xml:space="preserve"> </w:t>
      </w:r>
      <w:r>
        <w:t>of</w:t>
      </w:r>
      <w:r>
        <w:rPr>
          <w:spacing w:val="-5"/>
        </w:rPr>
        <w:t xml:space="preserve"> </w:t>
      </w:r>
      <w:r>
        <w:t>all</w:t>
      </w:r>
      <w:r>
        <w:rPr>
          <w:spacing w:val="-5"/>
        </w:rPr>
        <w:t xml:space="preserve"> </w:t>
      </w:r>
      <w:r>
        <w:t>eligible</w:t>
      </w:r>
      <w:r>
        <w:rPr>
          <w:spacing w:val="-5"/>
        </w:rPr>
        <w:t xml:space="preserve"> </w:t>
      </w:r>
      <w:r>
        <w:t>schools</w:t>
      </w:r>
      <w:r>
        <w:rPr>
          <w:spacing w:val="-5"/>
        </w:rPr>
        <w:t xml:space="preserve"> </w:t>
      </w:r>
      <w:r>
        <w:t>that</w:t>
      </w:r>
      <w:r>
        <w:rPr>
          <w:spacing w:val="-5"/>
        </w:rPr>
        <w:t xml:space="preserve"> </w:t>
      </w:r>
      <w:r>
        <w:t>were</w:t>
      </w:r>
      <w:r>
        <w:rPr>
          <w:spacing w:val="-5"/>
        </w:rPr>
        <w:t xml:space="preserve"> </w:t>
      </w:r>
      <w:r>
        <w:t>part of the 2020 private school long-term trend sample for each age.</w:t>
      </w:r>
      <w:r>
        <w:rPr>
          <w:spacing w:val="-4"/>
        </w:rPr>
        <w:t xml:space="preserve"> </w:t>
      </w:r>
      <w:r>
        <w:t>The NAEP</w:t>
      </w:r>
      <w:r>
        <w:rPr>
          <w:spacing w:val="-8"/>
        </w:rPr>
        <w:t xml:space="preserve"> </w:t>
      </w:r>
      <w:r>
        <w:t>sampling procedures used an adaptation of the Keyfitz process to compute conditional measures of size that, by design, maximized the overlap of schools selected for both the 2020 and 2022 long-term trend assessments.</w:t>
      </w:r>
    </w:p>
    <w:p w:rsidR="003F5784" w14:paraId="5F9248C6" w14:textId="77777777">
      <w:pPr>
        <w:pStyle w:val="BodyText"/>
        <w:spacing w:before="209" w:line="232" w:lineRule="auto"/>
        <w:ind w:left="109" w:right="318"/>
      </w:pPr>
      <w:r>
        <w:t>Schools</w:t>
      </w:r>
      <w:r>
        <w:rPr>
          <w:spacing w:val="-12"/>
        </w:rPr>
        <w:t xml:space="preserve"> </w:t>
      </w:r>
      <w:r>
        <w:t>were</w:t>
      </w:r>
      <w:r>
        <w:rPr>
          <w:spacing w:val="-6"/>
        </w:rPr>
        <w:t xml:space="preserve"> </w:t>
      </w:r>
      <w:r>
        <w:t>ordered</w:t>
      </w:r>
      <w:r>
        <w:rPr>
          <w:spacing w:val="-6"/>
        </w:rPr>
        <w:t xml:space="preserve"> </w:t>
      </w:r>
      <w:r>
        <w:t>within</w:t>
      </w:r>
      <w:r>
        <w:rPr>
          <w:spacing w:val="-6"/>
        </w:rPr>
        <w:t xml:space="preserve"> </w:t>
      </w:r>
      <w:r>
        <w:t>each</w:t>
      </w:r>
      <w:r>
        <w:rPr>
          <w:spacing w:val="-6"/>
        </w:rPr>
        <w:t xml:space="preserve"> </w:t>
      </w:r>
      <w:r>
        <w:t>sampling</w:t>
      </w:r>
      <w:r>
        <w:rPr>
          <w:spacing w:val="-6"/>
        </w:rPr>
        <w:t xml:space="preserve"> </w:t>
      </w:r>
      <w:r>
        <w:t>stratum</w:t>
      </w:r>
      <w:r>
        <w:rPr>
          <w:spacing w:val="-6"/>
        </w:rPr>
        <w:t xml:space="preserve"> </w:t>
      </w:r>
      <w:r>
        <w:t>using</w:t>
      </w:r>
      <w:r>
        <w:rPr>
          <w:spacing w:val="-6"/>
        </w:rPr>
        <w:t xml:space="preserve"> </w:t>
      </w:r>
      <w:r>
        <w:t>the</w:t>
      </w:r>
      <w:r>
        <w:rPr>
          <w:spacing w:val="-6"/>
        </w:rPr>
        <w:t xml:space="preserve"> </w:t>
      </w:r>
      <w:r>
        <w:t>serpentine</w:t>
      </w:r>
      <w:r>
        <w:rPr>
          <w:spacing w:val="-6"/>
        </w:rPr>
        <w:t xml:space="preserve"> </w:t>
      </w:r>
      <w:r>
        <w:t>sort</w:t>
      </w:r>
      <w:r>
        <w:rPr>
          <w:spacing w:val="-6"/>
        </w:rPr>
        <w:t xml:space="preserve"> </w:t>
      </w:r>
      <w:r>
        <w:t>described</w:t>
      </w:r>
      <w:r>
        <w:rPr>
          <w:spacing w:val="-6"/>
        </w:rPr>
        <w:t xml:space="preserve"> </w:t>
      </w:r>
      <w:r>
        <w:t>under</w:t>
      </w:r>
      <w:r>
        <w:rPr>
          <w:spacing w:val="-6"/>
        </w:rPr>
        <w:t xml:space="preserve"> </w:t>
      </w:r>
      <w:r>
        <w:t>the</w:t>
      </w:r>
      <w:r>
        <w:rPr>
          <w:spacing w:val="-6"/>
        </w:rPr>
        <w:t xml:space="preserve"> </w:t>
      </w:r>
      <w:r>
        <w:t>stratification</w:t>
      </w:r>
      <w:r>
        <w:rPr>
          <w:spacing w:val="-6"/>
        </w:rPr>
        <w:t xml:space="preserve"> </w:t>
      </w:r>
      <w:r>
        <w:t>of</w:t>
      </w:r>
      <w:r>
        <w:rPr>
          <w:spacing w:val="-6"/>
        </w:rPr>
        <w:t xml:space="preserve"> </w:t>
      </w:r>
      <w:r>
        <w:t>private</w:t>
      </w:r>
      <w:r>
        <w:rPr>
          <w:spacing w:val="-6"/>
        </w:rPr>
        <w:t xml:space="preserve"> </w:t>
      </w:r>
      <w:r>
        <w:t>schools.</w:t>
      </w:r>
      <w:r>
        <w:rPr>
          <w:spacing w:val="-14"/>
        </w:rPr>
        <w:t xml:space="preserve"> </w:t>
      </w:r>
      <w:r>
        <w:t>A</w:t>
      </w:r>
      <w:r>
        <w:rPr>
          <w:spacing w:val="-13"/>
        </w:rPr>
        <w:t xml:space="preserve"> </w:t>
      </w:r>
      <w:r>
        <w:t>systematic</w:t>
      </w:r>
      <w:r>
        <w:rPr>
          <w:spacing w:val="-6"/>
        </w:rPr>
        <w:t xml:space="preserve"> </w:t>
      </w:r>
      <w:r>
        <w:t>sample</w:t>
      </w:r>
      <w:r>
        <w:rPr>
          <w:spacing w:val="-6"/>
        </w:rPr>
        <w:t xml:space="preserve"> </w:t>
      </w:r>
      <w:r>
        <w:t>was</w:t>
      </w:r>
      <w:r>
        <w:rPr>
          <w:spacing w:val="-6"/>
        </w:rPr>
        <w:t xml:space="preserve"> </w:t>
      </w:r>
      <w:r>
        <w:t>then</w:t>
      </w:r>
      <w:r>
        <w:rPr>
          <w:spacing w:val="-6"/>
        </w:rPr>
        <w:t xml:space="preserve"> </w:t>
      </w:r>
      <w:r>
        <w:t>drawn</w:t>
      </w:r>
      <w:r>
        <w:rPr>
          <w:spacing w:val="-6"/>
        </w:rPr>
        <w:t xml:space="preserve"> </w:t>
      </w:r>
      <w:r>
        <w:t>using this serpentine-sorted list and the measures of size.</w:t>
      </w:r>
      <w:r>
        <w:rPr>
          <w:spacing w:val="-2"/>
        </w:rPr>
        <w:t xml:space="preserve"> </w:t>
      </w:r>
      <w:r>
        <w:t>The numbers of private schools selected were approximately 160 for age 9 and 180 for age 13.</w:t>
      </w:r>
    </w:p>
    <w:p w:rsidR="003F5784" w14:paraId="09FEB08B" w14:textId="77777777">
      <w:pPr>
        <w:spacing w:line="232" w:lineRule="auto"/>
        <w:sectPr>
          <w:pgSz w:w="15840" w:h="12240" w:orient="landscape"/>
          <w:pgMar w:top="480" w:right="440" w:bottom="460" w:left="460" w:header="284" w:footer="275" w:gutter="0"/>
          <w:cols w:space="720"/>
        </w:sectPr>
      </w:pPr>
    </w:p>
    <w:p w:rsidR="003F5784" w14:paraId="0AC78B75" w14:textId="77777777">
      <w:pPr>
        <w:pStyle w:val="BodyText"/>
        <w:rPr>
          <w:sz w:val="18"/>
        </w:rPr>
      </w:pPr>
    </w:p>
    <w:p w:rsidR="003F5784" w14:paraId="243DBB82" w14:textId="77777777">
      <w:pPr>
        <w:pStyle w:val="BodyText"/>
        <w:rPr>
          <w:sz w:val="18"/>
        </w:rPr>
      </w:pPr>
    </w:p>
    <w:p w:rsidR="003F5784" w14:paraId="6F4F1FF3" w14:textId="77777777">
      <w:pPr>
        <w:pStyle w:val="BodyText"/>
        <w:rPr>
          <w:sz w:val="18"/>
        </w:rPr>
      </w:pPr>
    </w:p>
    <w:p w:rsidR="003F5784" w14:paraId="4989902F" w14:textId="77777777">
      <w:pPr>
        <w:pStyle w:val="BodyText"/>
        <w:rPr>
          <w:sz w:val="18"/>
        </w:rPr>
      </w:pPr>
    </w:p>
    <w:p w:rsidR="003F5784" w14:paraId="3D6D2BEC" w14:textId="77777777">
      <w:pPr>
        <w:pStyle w:val="BodyText"/>
        <w:spacing w:before="173"/>
        <w:rPr>
          <w:sz w:val="18"/>
        </w:rPr>
      </w:pPr>
    </w:p>
    <w:p w:rsidR="003F5784" w14:paraId="203AD633" w14:textId="77777777">
      <w:pPr>
        <w:ind w:right="113"/>
        <w:jc w:val="right"/>
        <w:rPr>
          <w:sz w:val="18"/>
        </w:rPr>
      </w:pPr>
      <w:hyperlink r:id="rId135">
        <w:r>
          <w:rPr>
            <w:spacing w:val="-2"/>
            <w:w w:val="105"/>
            <w:sz w:val="18"/>
          </w:rPr>
          <w:t>http://nces.ed.gov/nationsreportcard/tdw/sample_design/2022/sampling_of_private_schools_for_the_2022_long_term_trend_assessment.aspx</w:t>
        </w:r>
      </w:hyperlink>
    </w:p>
    <w:p w:rsidR="003F5784" w14:paraId="0C3837B9" w14:textId="77777777">
      <w:pPr>
        <w:pStyle w:val="BodyText"/>
        <w:spacing w:before="1"/>
        <w:rPr>
          <w:sz w:val="16"/>
        </w:rPr>
      </w:pPr>
      <w:r>
        <w:rPr>
          <w:noProof/>
        </w:rPr>
        <mc:AlternateContent>
          <mc:Choice Requires="wps">
            <w:drawing>
              <wp:anchor distT="0" distB="0" distL="0" distR="0" simplePos="0" relativeHeight="251841536" behindDoc="1" locked="0" layoutInCell="1" allowOverlap="1">
                <wp:simplePos x="0" y="0"/>
                <wp:positionH relativeFrom="page">
                  <wp:posOffset>361937</wp:posOffset>
                </wp:positionH>
                <wp:positionV relativeFrom="paragraph">
                  <wp:posOffset>132778</wp:posOffset>
                </wp:positionV>
                <wp:extent cx="9339580" cy="8890"/>
                <wp:effectExtent l="0" t="0" r="0" b="0"/>
                <wp:wrapTopAndBottom/>
                <wp:docPr id="156" name="Graphic 15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8280" y="8280"/>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56" o:spid="_x0000_s1091" style="width:735.4pt;height:0.7pt;margin-top:10.45pt;margin-left:28.5pt;mso-position-horizontal-relative:page;mso-wrap-distance-bottom:0;mso-wrap-distance-left:0;mso-wrap-distance-right:0;mso-wrap-distance-top:0;mso-wrap-style:square;position:absolute;visibility:visible;v-text-anchor:top;z-index:-251473920" coordsize="9339580,8890" path="m9338970,l9335110,l8280,,,,,8267l8280,8280l9335110,8267l9338970,8267l9338970,xe" fillcolor="gray" stroked="f">
                <v:path arrowok="t"/>
                <w10:wrap type="topAndBottom"/>
              </v:shape>
            </w:pict>
          </mc:Fallback>
        </mc:AlternateContent>
      </w:r>
    </w:p>
    <w:p w:rsidR="003F5784" w14:paraId="63BE7BD6" w14:textId="77777777">
      <w:pPr>
        <w:pStyle w:val="BodyText"/>
        <w:rPr>
          <w:sz w:val="18"/>
        </w:rPr>
      </w:pPr>
    </w:p>
    <w:p w:rsidR="003F5784" w14:paraId="1DA1B376" w14:textId="77777777">
      <w:pPr>
        <w:pStyle w:val="BodyText"/>
        <w:spacing w:before="193"/>
        <w:rPr>
          <w:sz w:val="18"/>
        </w:rPr>
      </w:pPr>
    </w:p>
    <w:p w:rsidR="003F5784" w14:paraId="5F6E6CDD" w14:textId="7CBA9E87">
      <w:pPr>
        <w:pStyle w:val="Heading1"/>
        <w:spacing w:line="244" w:lineRule="auto"/>
        <w:ind w:right="1189"/>
      </w:pPr>
      <w:r>
        <w:t>NAEP</w:t>
      </w:r>
      <w:r>
        <w:rPr>
          <w:spacing w:val="-16"/>
        </w:rPr>
        <w:t xml:space="preserve"> </w:t>
      </w:r>
      <w:r>
        <w:t>Technical Documentation</w:t>
      </w:r>
      <w:r w:rsidR="00B145F2">
        <w:t xml:space="preserve"> </w:t>
      </w:r>
      <w:r>
        <w:t>Stratification of Private Schools for the 2022 Long-Term Trend Assessment</w:t>
      </w:r>
    </w:p>
    <w:p w:rsidR="003F5784" w14:paraId="2A534090" w14:textId="77777777">
      <w:pPr>
        <w:pStyle w:val="BodyText"/>
        <w:spacing w:before="287" w:line="232" w:lineRule="auto"/>
        <w:ind w:left="109" w:right="117"/>
      </w:pPr>
      <w:r>
        <w:t>For</w:t>
      </w:r>
      <w:r>
        <w:rPr>
          <w:spacing w:val="-6"/>
        </w:rPr>
        <w:t xml:space="preserve"> </w:t>
      </w:r>
      <w:r>
        <w:t>the</w:t>
      </w:r>
      <w:r>
        <w:rPr>
          <w:spacing w:val="-6"/>
        </w:rPr>
        <w:t xml:space="preserve"> </w:t>
      </w:r>
      <w:r>
        <w:t>private</w:t>
      </w:r>
      <w:r>
        <w:rPr>
          <w:spacing w:val="-6"/>
        </w:rPr>
        <w:t xml:space="preserve"> </w:t>
      </w:r>
      <w:r>
        <w:t>school</w:t>
      </w:r>
      <w:r>
        <w:rPr>
          <w:spacing w:val="-6"/>
        </w:rPr>
        <w:t xml:space="preserve"> </w:t>
      </w:r>
      <w:r>
        <w:t>sampling</w:t>
      </w:r>
      <w:r>
        <w:rPr>
          <w:spacing w:val="-6"/>
        </w:rPr>
        <w:t xml:space="preserve"> </w:t>
      </w:r>
      <w:r>
        <w:t>frame</w:t>
      </w:r>
      <w:r>
        <w:rPr>
          <w:spacing w:val="-6"/>
        </w:rPr>
        <w:t xml:space="preserve"> </w:t>
      </w:r>
      <w:r>
        <w:t>file</w:t>
      </w:r>
      <w:r>
        <w:rPr>
          <w:spacing w:val="-6"/>
        </w:rPr>
        <w:t xml:space="preserve"> </w:t>
      </w:r>
      <w:r>
        <w:t>at</w:t>
      </w:r>
      <w:r>
        <w:rPr>
          <w:spacing w:val="-6"/>
        </w:rPr>
        <w:t xml:space="preserve"> </w:t>
      </w:r>
      <w:r>
        <w:t>each</w:t>
      </w:r>
      <w:r>
        <w:rPr>
          <w:spacing w:val="-6"/>
        </w:rPr>
        <w:t xml:space="preserve"> </w:t>
      </w:r>
      <w:r>
        <w:t>age</w:t>
      </w:r>
      <w:r>
        <w:rPr>
          <w:spacing w:val="-6"/>
        </w:rPr>
        <w:t xml:space="preserve"> </w:t>
      </w:r>
      <w:r>
        <w:t>(9</w:t>
      </w:r>
      <w:r>
        <w:rPr>
          <w:spacing w:val="-6"/>
        </w:rPr>
        <w:t xml:space="preserve"> </w:t>
      </w:r>
      <w:r>
        <w:t>or</w:t>
      </w:r>
      <w:r>
        <w:rPr>
          <w:spacing w:val="-6"/>
        </w:rPr>
        <w:t xml:space="preserve"> </w:t>
      </w:r>
      <w:r>
        <w:t>13),</w:t>
      </w:r>
      <w:r>
        <w:rPr>
          <w:spacing w:val="-6"/>
        </w:rPr>
        <w:t xml:space="preserve"> </w:t>
      </w:r>
      <w:r>
        <w:t>schools</w:t>
      </w:r>
      <w:r>
        <w:rPr>
          <w:spacing w:val="-6"/>
        </w:rPr>
        <w:t xml:space="preserve"> </w:t>
      </w:r>
      <w:r>
        <w:t>were</w:t>
      </w:r>
      <w:r>
        <w:rPr>
          <w:spacing w:val="-6"/>
        </w:rPr>
        <w:t xml:space="preserve"> </w:t>
      </w:r>
      <w:r>
        <w:t>explicitly</w:t>
      </w:r>
      <w:r>
        <w:rPr>
          <w:spacing w:val="-6"/>
        </w:rPr>
        <w:t xml:space="preserve"> </w:t>
      </w:r>
      <w:r>
        <w:t>stratified</w:t>
      </w:r>
      <w:r>
        <w:rPr>
          <w:spacing w:val="-6"/>
        </w:rPr>
        <w:t xml:space="preserve"> </w:t>
      </w:r>
      <w:r>
        <w:t>by</w:t>
      </w:r>
      <w:r>
        <w:rPr>
          <w:spacing w:val="-6"/>
        </w:rPr>
        <w:t xml:space="preserve"> </w:t>
      </w:r>
      <w:r>
        <w:t>private</w:t>
      </w:r>
      <w:r>
        <w:rPr>
          <w:spacing w:val="-6"/>
        </w:rPr>
        <w:t xml:space="preserve"> </w:t>
      </w:r>
      <w:r>
        <w:t>school</w:t>
      </w:r>
      <w:r>
        <w:rPr>
          <w:spacing w:val="-6"/>
        </w:rPr>
        <w:t xml:space="preserve"> </w:t>
      </w:r>
      <w:r>
        <w:t>affiliation</w:t>
      </w:r>
      <w:r>
        <w:rPr>
          <w:spacing w:val="-6"/>
        </w:rPr>
        <w:t xml:space="preserve"> </w:t>
      </w:r>
      <w:r>
        <w:t>(Catholic,</w:t>
      </w:r>
      <w:r>
        <w:rPr>
          <w:spacing w:val="-6"/>
        </w:rPr>
        <w:t xml:space="preserve"> </w:t>
      </w:r>
      <w:r>
        <w:t>non-Catholic,</w:t>
      </w:r>
      <w:r>
        <w:rPr>
          <w:spacing w:val="-6"/>
        </w:rPr>
        <w:t xml:space="preserve"> </w:t>
      </w:r>
      <w:r>
        <w:t>and</w:t>
      </w:r>
      <w:r>
        <w:rPr>
          <w:spacing w:val="-6"/>
        </w:rPr>
        <w:t xml:space="preserve"> </w:t>
      </w:r>
      <w:r>
        <w:t>unknown</w:t>
      </w:r>
      <w:r>
        <w:rPr>
          <w:spacing w:val="-6"/>
        </w:rPr>
        <w:t xml:space="preserve"> </w:t>
      </w:r>
      <w:r>
        <w:t>affiliation). Private school affiliation was unknown for nonrespondents to the NCES Private School Universe Survey (PSS).</w:t>
      </w:r>
      <w:r>
        <w:rPr>
          <w:spacing w:val="-3"/>
        </w:rPr>
        <w:t xml:space="preserve"> </w:t>
      </w:r>
      <w:r>
        <w:t xml:space="preserve">Within private school type, separate implicit stratification schemes were used to sort schools in certainty primary sampling units (PSUs) and noncertainty PSUs. In all cases, the implicit stratification was achieved via a "serpentine </w:t>
      </w:r>
      <w:r>
        <w:rPr>
          <w:spacing w:val="-2"/>
        </w:rPr>
        <w:t>sort".</w:t>
      </w:r>
    </w:p>
    <w:p w:rsidR="003F5784" w14:paraId="56E0ABD4" w14:textId="77777777">
      <w:pPr>
        <w:pStyle w:val="BodyText"/>
        <w:spacing w:before="5" w:line="440" w:lineRule="atLeast"/>
        <w:ind w:left="422" w:right="9091" w:hanging="313"/>
      </w:pPr>
      <w:r>
        <w:t>Within</w:t>
      </w:r>
      <w:r>
        <w:rPr>
          <w:spacing w:val="-10"/>
        </w:rPr>
        <w:t xml:space="preserve"> </w:t>
      </w:r>
      <w:r>
        <w:t>each</w:t>
      </w:r>
      <w:r>
        <w:rPr>
          <w:spacing w:val="-10"/>
        </w:rPr>
        <w:t xml:space="preserve"> </w:t>
      </w:r>
      <w:r>
        <w:t>certainty</w:t>
      </w:r>
      <w:r>
        <w:rPr>
          <w:spacing w:val="-10"/>
        </w:rPr>
        <w:t xml:space="preserve"> </w:t>
      </w:r>
      <w:r>
        <w:t>PSU,</w:t>
      </w:r>
      <w:r>
        <w:rPr>
          <w:spacing w:val="-10"/>
        </w:rPr>
        <w:t xml:space="preserve"> </w:t>
      </w:r>
      <w:r>
        <w:t>the</w:t>
      </w:r>
      <w:r>
        <w:rPr>
          <w:spacing w:val="-10"/>
        </w:rPr>
        <w:t xml:space="preserve"> </w:t>
      </w:r>
      <w:r>
        <w:t>schools</w:t>
      </w:r>
      <w:r>
        <w:rPr>
          <w:spacing w:val="-10"/>
        </w:rPr>
        <w:t xml:space="preserve"> </w:t>
      </w:r>
      <w:r>
        <w:t>were</w:t>
      </w:r>
      <w:r>
        <w:rPr>
          <w:spacing w:val="-10"/>
        </w:rPr>
        <w:t xml:space="preserve"> </w:t>
      </w:r>
      <w:r>
        <w:t>hierarchically</w:t>
      </w:r>
      <w:r>
        <w:rPr>
          <w:spacing w:val="-10"/>
        </w:rPr>
        <w:t xml:space="preserve"> </w:t>
      </w:r>
      <w:r>
        <w:t>sorted</w:t>
      </w:r>
      <w:r>
        <w:rPr>
          <w:spacing w:val="-10"/>
        </w:rPr>
        <w:t xml:space="preserve"> </w:t>
      </w:r>
      <w:r>
        <w:t xml:space="preserve">by </w:t>
      </w:r>
      <w:r>
        <w:rPr>
          <w:noProof/>
          <w:position w:val="3"/>
        </w:rPr>
        <w:drawing>
          <wp:inline distT="0" distB="0" distL="0" distR="0">
            <wp:extent cx="41379" cy="41345"/>
            <wp:effectExtent l="0" t="0" r="0" b="0"/>
            <wp:docPr id="157" name="Image 157"/>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xmlns:r="http://schemas.openxmlformats.org/officeDocument/2006/relationships" r:embed="rId136" cstate="print"/>
                    <a:stretch>
                      <a:fillRect/>
                    </a:stretch>
                  </pic:blipFill>
                  <pic:spPr>
                    <a:xfrm>
                      <a:off x="0" y="0"/>
                      <a:ext cx="41379" cy="41345"/>
                    </a:xfrm>
                    <a:prstGeom prst="rect">
                      <a:avLst/>
                    </a:prstGeom>
                  </pic:spPr>
                </pic:pic>
              </a:graphicData>
            </a:graphic>
          </wp:inline>
        </w:drawing>
      </w:r>
      <w:r>
        <w:rPr>
          <w:spacing w:val="80"/>
        </w:rPr>
        <w:t xml:space="preserve"> </w:t>
      </w:r>
      <w:r>
        <w:t>census region;</w:t>
      </w:r>
    </w:p>
    <w:p w:rsidR="003F5784" w14:paraId="042CC3DA" w14:textId="77777777">
      <w:pPr>
        <w:pStyle w:val="BodyText"/>
        <w:spacing w:before="3" w:line="232" w:lineRule="auto"/>
        <w:ind w:left="422" w:right="7759"/>
      </w:pPr>
      <w:r>
        <w:rPr>
          <w:noProof/>
          <w:position w:val="3"/>
        </w:rPr>
        <w:drawing>
          <wp:inline distT="0" distB="0" distL="0" distR="0">
            <wp:extent cx="41379" cy="41345"/>
            <wp:effectExtent l="0" t="0" r="0" b="0"/>
            <wp:docPr id="158" name="Image 158"/>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xmlns:r="http://schemas.openxmlformats.org/officeDocument/2006/relationships" r:embed="rId137" cstate="print"/>
                    <a:stretch>
                      <a:fillRect/>
                    </a:stretch>
                  </pic:blipFill>
                  <pic:spPr>
                    <a:xfrm>
                      <a:off x="0" y="0"/>
                      <a:ext cx="41379" cy="41345"/>
                    </a:xfrm>
                    <a:prstGeom prst="rect">
                      <a:avLst/>
                    </a:prstGeom>
                  </pic:spPr>
                </pic:pic>
              </a:graphicData>
            </a:graphic>
          </wp:inline>
        </w:drawing>
      </w:r>
      <w:r>
        <w:rPr>
          <w:spacing w:val="73"/>
          <w:sz w:val="20"/>
        </w:rPr>
        <w:t xml:space="preserve"> </w:t>
      </w:r>
      <w:r>
        <w:t>urbanization</w:t>
      </w:r>
      <w:r>
        <w:rPr>
          <w:spacing w:val="-8"/>
        </w:rPr>
        <w:t xml:space="preserve"> </w:t>
      </w:r>
      <w:r>
        <w:t>classification</w:t>
      </w:r>
      <w:r>
        <w:rPr>
          <w:spacing w:val="-8"/>
        </w:rPr>
        <w:t xml:space="preserve"> </w:t>
      </w:r>
      <w:r>
        <w:t>(four</w:t>
      </w:r>
      <w:r>
        <w:rPr>
          <w:spacing w:val="-8"/>
        </w:rPr>
        <w:t xml:space="preserve"> </w:t>
      </w:r>
      <w:r>
        <w:t>categories</w:t>
      </w:r>
      <w:r>
        <w:rPr>
          <w:spacing w:val="-8"/>
        </w:rPr>
        <w:t xml:space="preserve"> </w:t>
      </w:r>
      <w:r>
        <w:t>based</w:t>
      </w:r>
      <w:r>
        <w:rPr>
          <w:spacing w:val="-8"/>
        </w:rPr>
        <w:t xml:space="preserve"> </w:t>
      </w:r>
      <w:r>
        <w:t>on</w:t>
      </w:r>
      <w:r>
        <w:rPr>
          <w:spacing w:val="-8"/>
        </w:rPr>
        <w:t xml:space="preserve"> </w:t>
      </w:r>
      <w:r>
        <w:t>urban-centric</w:t>
      </w:r>
      <w:r>
        <w:rPr>
          <w:spacing w:val="-8"/>
        </w:rPr>
        <w:t xml:space="preserve"> </w:t>
      </w:r>
      <w:r>
        <w:t>locale);</w:t>
      </w:r>
      <w:r>
        <w:rPr>
          <w:spacing w:val="-8"/>
        </w:rPr>
        <w:t xml:space="preserve"> </w:t>
      </w:r>
      <w:r>
        <w:t xml:space="preserve">and </w:t>
      </w:r>
      <w:r>
        <w:rPr>
          <w:noProof/>
          <w:position w:val="3"/>
        </w:rPr>
        <w:drawing>
          <wp:inline distT="0" distB="0" distL="0" distR="0">
            <wp:extent cx="41379" cy="41345"/>
            <wp:effectExtent l="0" t="0" r="0" b="0"/>
            <wp:docPr id="159" name="Image 159"/>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xmlns:r="http://schemas.openxmlformats.org/officeDocument/2006/relationships" r:embed="rId138" cstate="print"/>
                    <a:stretch>
                      <a:fillRect/>
                    </a:stretch>
                  </pic:blipFill>
                  <pic:spPr>
                    <a:xfrm>
                      <a:off x="0" y="0"/>
                      <a:ext cx="41379" cy="41345"/>
                    </a:xfrm>
                    <a:prstGeom prst="rect">
                      <a:avLst/>
                    </a:prstGeom>
                  </pic:spPr>
                </pic:pic>
              </a:graphicData>
            </a:graphic>
          </wp:inline>
        </w:drawing>
      </w:r>
      <w:r>
        <w:rPr>
          <w:spacing w:val="80"/>
        </w:rPr>
        <w:t xml:space="preserve"> </w:t>
      </w:r>
      <w:r>
        <w:t>estimated age-specific enrollment.</w:t>
      </w:r>
    </w:p>
    <w:p w:rsidR="003F5784" w14:paraId="446241E2" w14:textId="77777777">
      <w:pPr>
        <w:pStyle w:val="BodyText"/>
        <w:spacing w:before="4" w:line="440" w:lineRule="atLeast"/>
        <w:ind w:left="422" w:right="9864" w:hanging="313"/>
      </w:pPr>
      <w:r>
        <w:t>Schools</w:t>
      </w:r>
      <w:r>
        <w:rPr>
          <w:spacing w:val="-11"/>
        </w:rPr>
        <w:t xml:space="preserve"> </w:t>
      </w:r>
      <w:r>
        <w:t>in</w:t>
      </w:r>
      <w:r>
        <w:rPr>
          <w:spacing w:val="-11"/>
        </w:rPr>
        <w:t xml:space="preserve"> </w:t>
      </w:r>
      <w:r>
        <w:t>noncertainty</w:t>
      </w:r>
      <w:r>
        <w:rPr>
          <w:spacing w:val="-11"/>
        </w:rPr>
        <w:t xml:space="preserve"> </w:t>
      </w:r>
      <w:r>
        <w:t>PSUs</w:t>
      </w:r>
      <w:r>
        <w:rPr>
          <w:spacing w:val="-11"/>
        </w:rPr>
        <w:t xml:space="preserve"> </w:t>
      </w:r>
      <w:r>
        <w:t>were</w:t>
      </w:r>
      <w:r>
        <w:rPr>
          <w:spacing w:val="-11"/>
        </w:rPr>
        <w:t xml:space="preserve"> </w:t>
      </w:r>
      <w:r>
        <w:t>hierarchically</w:t>
      </w:r>
      <w:r>
        <w:rPr>
          <w:spacing w:val="-11"/>
        </w:rPr>
        <w:t xml:space="preserve"> </w:t>
      </w:r>
      <w:r>
        <w:t>sorted</w:t>
      </w:r>
      <w:r>
        <w:rPr>
          <w:spacing w:val="-11"/>
        </w:rPr>
        <w:t xml:space="preserve"> </w:t>
      </w:r>
      <w:r>
        <w:t xml:space="preserve">by </w:t>
      </w:r>
      <w:r>
        <w:rPr>
          <w:noProof/>
          <w:position w:val="3"/>
        </w:rPr>
        <w:drawing>
          <wp:inline distT="0" distB="0" distL="0" distR="0">
            <wp:extent cx="41379" cy="41345"/>
            <wp:effectExtent l="0" t="0" r="0" b="0"/>
            <wp:docPr id="160" name="Image 160"/>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xmlns:r="http://schemas.openxmlformats.org/officeDocument/2006/relationships" r:embed="rId139" cstate="print"/>
                    <a:stretch>
                      <a:fillRect/>
                    </a:stretch>
                  </pic:blipFill>
                  <pic:spPr>
                    <a:xfrm>
                      <a:off x="0" y="0"/>
                      <a:ext cx="41379" cy="41345"/>
                    </a:xfrm>
                    <a:prstGeom prst="rect">
                      <a:avLst/>
                    </a:prstGeom>
                  </pic:spPr>
                </pic:pic>
              </a:graphicData>
            </a:graphic>
          </wp:inline>
        </w:drawing>
      </w:r>
      <w:r>
        <w:rPr>
          <w:spacing w:val="80"/>
        </w:rPr>
        <w:t xml:space="preserve"> </w:t>
      </w:r>
      <w:r>
        <w:t>PSU stratum;</w:t>
      </w:r>
    </w:p>
    <w:p w:rsidR="003F5784" w14:paraId="08866414" w14:textId="77777777">
      <w:pPr>
        <w:pStyle w:val="BodyText"/>
        <w:spacing w:before="2" w:line="232" w:lineRule="auto"/>
        <w:ind w:left="422" w:right="7759"/>
      </w:pPr>
      <w:r>
        <w:rPr>
          <w:noProof/>
          <w:position w:val="3"/>
        </w:rPr>
        <w:drawing>
          <wp:inline distT="0" distB="0" distL="0" distR="0">
            <wp:extent cx="41379" cy="41345"/>
            <wp:effectExtent l="0" t="0" r="0" b="0"/>
            <wp:docPr id="161" name="Image 161"/>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xmlns:r="http://schemas.openxmlformats.org/officeDocument/2006/relationships" r:embed="rId140" cstate="print"/>
                    <a:stretch>
                      <a:fillRect/>
                    </a:stretch>
                  </pic:blipFill>
                  <pic:spPr>
                    <a:xfrm>
                      <a:off x="0" y="0"/>
                      <a:ext cx="41379" cy="41345"/>
                    </a:xfrm>
                    <a:prstGeom prst="rect">
                      <a:avLst/>
                    </a:prstGeom>
                  </pic:spPr>
                </pic:pic>
              </a:graphicData>
            </a:graphic>
          </wp:inline>
        </w:drawing>
      </w:r>
      <w:r>
        <w:rPr>
          <w:spacing w:val="73"/>
          <w:sz w:val="20"/>
        </w:rPr>
        <w:t xml:space="preserve"> </w:t>
      </w:r>
      <w:r>
        <w:t>urbanization</w:t>
      </w:r>
      <w:r>
        <w:rPr>
          <w:spacing w:val="-8"/>
        </w:rPr>
        <w:t xml:space="preserve"> </w:t>
      </w:r>
      <w:r>
        <w:t>classification</w:t>
      </w:r>
      <w:r>
        <w:rPr>
          <w:spacing w:val="-8"/>
        </w:rPr>
        <w:t xml:space="preserve"> </w:t>
      </w:r>
      <w:r>
        <w:t>(four</w:t>
      </w:r>
      <w:r>
        <w:rPr>
          <w:spacing w:val="-8"/>
        </w:rPr>
        <w:t xml:space="preserve"> </w:t>
      </w:r>
      <w:r>
        <w:t>categories</w:t>
      </w:r>
      <w:r>
        <w:rPr>
          <w:spacing w:val="-8"/>
        </w:rPr>
        <w:t xml:space="preserve"> </w:t>
      </w:r>
      <w:r>
        <w:t>based</w:t>
      </w:r>
      <w:r>
        <w:rPr>
          <w:spacing w:val="-8"/>
        </w:rPr>
        <w:t xml:space="preserve"> </w:t>
      </w:r>
      <w:r>
        <w:t>on</w:t>
      </w:r>
      <w:r>
        <w:rPr>
          <w:spacing w:val="-8"/>
        </w:rPr>
        <w:t xml:space="preserve"> </w:t>
      </w:r>
      <w:r>
        <w:t>urban-centric</w:t>
      </w:r>
      <w:r>
        <w:rPr>
          <w:spacing w:val="-8"/>
        </w:rPr>
        <w:t xml:space="preserve"> </w:t>
      </w:r>
      <w:r>
        <w:t>locale);</w:t>
      </w:r>
      <w:r>
        <w:rPr>
          <w:spacing w:val="-8"/>
        </w:rPr>
        <w:t xml:space="preserve"> </w:t>
      </w:r>
      <w:r>
        <w:t xml:space="preserve">and </w:t>
      </w:r>
      <w:r>
        <w:rPr>
          <w:noProof/>
          <w:position w:val="3"/>
        </w:rPr>
        <w:drawing>
          <wp:inline distT="0" distB="0" distL="0" distR="0">
            <wp:extent cx="41379" cy="41345"/>
            <wp:effectExtent l="0" t="0" r="0" b="0"/>
            <wp:docPr id="162" name="Image 162"/>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xmlns:r="http://schemas.openxmlformats.org/officeDocument/2006/relationships" r:embed="rId141" cstate="print"/>
                    <a:stretch>
                      <a:fillRect/>
                    </a:stretch>
                  </pic:blipFill>
                  <pic:spPr>
                    <a:xfrm>
                      <a:off x="0" y="0"/>
                      <a:ext cx="41379" cy="41345"/>
                    </a:xfrm>
                    <a:prstGeom prst="rect">
                      <a:avLst/>
                    </a:prstGeom>
                  </pic:spPr>
                </pic:pic>
              </a:graphicData>
            </a:graphic>
          </wp:inline>
        </w:drawing>
      </w:r>
      <w:r>
        <w:rPr>
          <w:spacing w:val="80"/>
        </w:rPr>
        <w:t xml:space="preserve"> </w:t>
      </w:r>
      <w:r>
        <w:t>estimated age-specific enrollment.</w:t>
      </w:r>
    </w:p>
    <w:p w:rsidR="003F5784" w14:paraId="26BA191A" w14:textId="77777777">
      <w:pPr>
        <w:pStyle w:val="BodyText"/>
      </w:pPr>
    </w:p>
    <w:p w:rsidR="003F5784" w14:paraId="4C61B903" w14:textId="77777777">
      <w:pPr>
        <w:pStyle w:val="BodyText"/>
      </w:pPr>
    </w:p>
    <w:p w:rsidR="003F5784" w14:paraId="5C037544" w14:textId="77777777">
      <w:pPr>
        <w:pStyle w:val="BodyText"/>
      </w:pPr>
    </w:p>
    <w:p w:rsidR="003F5784" w14:paraId="0BB68EFE" w14:textId="77777777">
      <w:pPr>
        <w:pStyle w:val="BodyText"/>
      </w:pPr>
    </w:p>
    <w:p w:rsidR="003F5784" w14:paraId="75985F37" w14:textId="77777777">
      <w:pPr>
        <w:pStyle w:val="BodyText"/>
        <w:spacing w:before="106"/>
      </w:pPr>
    </w:p>
    <w:p w:rsidR="003F5784" w14:paraId="7189C2FA" w14:textId="77777777">
      <w:pPr>
        <w:ind w:right="113"/>
        <w:jc w:val="right"/>
        <w:rPr>
          <w:sz w:val="18"/>
        </w:rPr>
      </w:pPr>
      <w:hyperlink r:id="rId142">
        <w:r>
          <w:rPr>
            <w:spacing w:val="-2"/>
            <w:w w:val="105"/>
            <w:sz w:val="18"/>
          </w:rPr>
          <w:t>http://nces.ed.gov/nationsreportcard/tdw/sample_design/2022/stratification_of_private_schools_for_the_2022_long_term_trend_assessment.aspx</w:t>
        </w:r>
      </w:hyperlink>
    </w:p>
    <w:p w:rsidR="003F5784" w14:paraId="4D09F6B7" w14:textId="77777777">
      <w:pPr>
        <w:pStyle w:val="BodyText"/>
        <w:spacing w:before="11"/>
        <w:rPr>
          <w:sz w:val="14"/>
        </w:rPr>
      </w:pPr>
      <w:r>
        <w:rPr>
          <w:noProof/>
        </w:rPr>
        <mc:AlternateContent>
          <mc:Choice Requires="wps">
            <w:drawing>
              <wp:anchor distT="0" distB="0" distL="0" distR="0" simplePos="0" relativeHeight="251843584" behindDoc="1" locked="0" layoutInCell="1" allowOverlap="1">
                <wp:simplePos x="0" y="0"/>
                <wp:positionH relativeFrom="page">
                  <wp:posOffset>361937</wp:posOffset>
                </wp:positionH>
                <wp:positionV relativeFrom="paragraph">
                  <wp:posOffset>124531</wp:posOffset>
                </wp:positionV>
                <wp:extent cx="9339580" cy="8890"/>
                <wp:effectExtent l="0" t="0" r="0" b="0"/>
                <wp:wrapTopAndBottom/>
                <wp:docPr id="163" name="Graphic 163"/>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8280" y="8280"/>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63" o:spid="_x0000_s1092" style="width:735.4pt;height:0.7pt;margin-top:9.8pt;margin-left:28.5pt;mso-position-horizontal-relative:page;mso-wrap-distance-bottom:0;mso-wrap-distance-left:0;mso-wrap-distance-right:0;mso-wrap-distance-top:0;mso-wrap-style:square;position:absolute;visibility:visible;v-text-anchor:top;z-index:-251471872" coordsize="9339580,8890" path="m9338970,l9335110,l8280,,,,,8267l8280,8280l9335110,8267l9338970,8267l9338970,xe" fillcolor="gray" stroked="f">
                <v:path arrowok="t"/>
                <w10:wrap type="topAndBottom"/>
              </v:shape>
            </w:pict>
          </mc:Fallback>
        </mc:AlternateContent>
      </w:r>
    </w:p>
    <w:p w:rsidR="003F5784" w14:paraId="124ABB1A" w14:textId="77777777">
      <w:pPr>
        <w:pStyle w:val="BodyText"/>
        <w:rPr>
          <w:sz w:val="18"/>
        </w:rPr>
      </w:pPr>
    </w:p>
    <w:p w:rsidR="003F5784" w14:paraId="57F88825" w14:textId="77777777">
      <w:pPr>
        <w:pStyle w:val="BodyText"/>
        <w:spacing w:before="206"/>
        <w:rPr>
          <w:sz w:val="18"/>
        </w:rPr>
      </w:pPr>
    </w:p>
    <w:p w:rsidR="003F5784" w14:paraId="748BDA04" w14:textId="1E60A7C4">
      <w:pPr>
        <w:pStyle w:val="Heading1"/>
        <w:spacing w:line="244" w:lineRule="auto"/>
      </w:pPr>
      <w:r>
        <w:t>NAEP</w:t>
      </w:r>
      <w:r>
        <w:rPr>
          <w:spacing w:val="-15"/>
        </w:rPr>
        <w:t xml:space="preserve"> </w:t>
      </w:r>
      <w:r>
        <w:t>Technical Documentation</w:t>
      </w:r>
      <w:r w:rsidR="00B145F2">
        <w:t xml:space="preserve"> </w:t>
      </w:r>
      <w:r>
        <w:t>Student Sample Selection for the 2022 Private School Long-Term Trend Assessment</w:t>
      </w:r>
    </w:p>
    <w:p w:rsidR="003F5784" w14:paraId="3437BED8" w14:textId="77777777">
      <w:pPr>
        <w:spacing w:line="244" w:lineRule="auto"/>
        <w:sectPr>
          <w:pgSz w:w="15840" w:h="12240" w:orient="landscape"/>
          <w:pgMar w:top="480" w:right="440" w:bottom="460" w:left="460" w:header="284" w:footer="275" w:gutter="0"/>
          <w:cols w:space="720"/>
        </w:sectPr>
      </w:pPr>
    </w:p>
    <w:p w:rsidR="003F5784" w14:paraId="59A133D1" w14:textId="77777777">
      <w:pPr>
        <w:pStyle w:val="BodyText"/>
        <w:spacing w:before="78" w:line="232" w:lineRule="auto"/>
        <w:ind w:left="109"/>
      </w:pPr>
      <w:r>
        <w:t>Students</w:t>
      </w:r>
      <w:r>
        <w:rPr>
          <w:spacing w:val="-8"/>
        </w:rPr>
        <w:t xml:space="preserve"> </w:t>
      </w:r>
      <w:r>
        <w:t>in</w:t>
      </w:r>
      <w:r>
        <w:rPr>
          <w:spacing w:val="-6"/>
        </w:rPr>
        <w:t xml:space="preserve"> </w:t>
      </w:r>
      <w:r>
        <w:t>private</w:t>
      </w:r>
      <w:r>
        <w:rPr>
          <w:spacing w:val="-6"/>
        </w:rPr>
        <w:t xml:space="preserve"> </w:t>
      </w:r>
      <w:r>
        <w:t>schools</w:t>
      </w:r>
      <w:r>
        <w:rPr>
          <w:spacing w:val="-6"/>
        </w:rPr>
        <w:t xml:space="preserve"> </w:t>
      </w:r>
      <w:r>
        <w:t>were</w:t>
      </w:r>
      <w:r>
        <w:rPr>
          <w:spacing w:val="-6"/>
        </w:rPr>
        <w:t xml:space="preserve"> </w:t>
      </w:r>
      <w:r>
        <w:t>selected</w:t>
      </w:r>
      <w:r>
        <w:rPr>
          <w:spacing w:val="-6"/>
        </w:rPr>
        <w:t xml:space="preserve"> </w:t>
      </w:r>
      <w:r>
        <w:t>in</w:t>
      </w:r>
      <w:r>
        <w:rPr>
          <w:spacing w:val="-6"/>
        </w:rPr>
        <w:t xml:space="preserve"> </w:t>
      </w:r>
      <w:r>
        <w:t>the</w:t>
      </w:r>
      <w:r>
        <w:rPr>
          <w:spacing w:val="-6"/>
        </w:rPr>
        <w:t xml:space="preserve"> </w:t>
      </w:r>
      <w:r>
        <w:t>same</w:t>
      </w:r>
      <w:r>
        <w:rPr>
          <w:spacing w:val="-6"/>
        </w:rPr>
        <w:t xml:space="preserve"> </w:t>
      </w:r>
      <w:r>
        <w:t>way</w:t>
      </w:r>
      <w:r>
        <w:rPr>
          <w:spacing w:val="-6"/>
        </w:rPr>
        <w:t xml:space="preserve"> </w:t>
      </w:r>
      <w:r>
        <w:t>as</w:t>
      </w:r>
      <w:r>
        <w:rPr>
          <w:spacing w:val="-6"/>
        </w:rPr>
        <w:t xml:space="preserve"> </w:t>
      </w:r>
      <w:r>
        <w:t>students</w:t>
      </w:r>
      <w:r>
        <w:rPr>
          <w:spacing w:val="-6"/>
        </w:rPr>
        <w:t xml:space="preserve"> </w:t>
      </w:r>
      <w:r>
        <w:t>in</w:t>
      </w:r>
      <w:r>
        <w:rPr>
          <w:spacing w:val="-6"/>
        </w:rPr>
        <w:t xml:space="preserve"> </w:t>
      </w:r>
      <w:r>
        <w:t>the</w:t>
      </w:r>
      <w:r>
        <w:rPr>
          <w:spacing w:val="-6"/>
        </w:rPr>
        <w:t xml:space="preserve"> </w:t>
      </w:r>
      <w:r>
        <w:t>public</w:t>
      </w:r>
      <w:r>
        <w:rPr>
          <w:spacing w:val="-6"/>
        </w:rPr>
        <w:t xml:space="preserve"> </w:t>
      </w:r>
      <w:r>
        <w:t>schools,</w:t>
      </w:r>
      <w:r>
        <w:rPr>
          <w:spacing w:val="-6"/>
        </w:rPr>
        <w:t xml:space="preserve"> </w:t>
      </w:r>
      <w:r>
        <w:t>except</w:t>
      </w:r>
      <w:r>
        <w:rPr>
          <w:spacing w:val="-6"/>
        </w:rPr>
        <w:t xml:space="preserve"> </w:t>
      </w:r>
      <w:r>
        <w:t>that</w:t>
      </w:r>
      <w:r>
        <w:rPr>
          <w:spacing w:val="-6"/>
        </w:rPr>
        <w:t xml:space="preserve"> </w:t>
      </w:r>
      <w:r>
        <w:t>there</w:t>
      </w:r>
      <w:r>
        <w:rPr>
          <w:spacing w:val="-6"/>
        </w:rPr>
        <w:t xml:space="preserve"> </w:t>
      </w:r>
      <w:r>
        <w:t>was</w:t>
      </w:r>
      <w:r>
        <w:rPr>
          <w:spacing w:val="-6"/>
        </w:rPr>
        <w:t xml:space="preserve"> </w:t>
      </w:r>
      <w:r>
        <w:t>no</w:t>
      </w:r>
      <w:r>
        <w:rPr>
          <w:spacing w:val="-6"/>
        </w:rPr>
        <w:t xml:space="preserve"> </w:t>
      </w:r>
      <w:r>
        <w:t>oversampling</w:t>
      </w:r>
      <w:r>
        <w:rPr>
          <w:spacing w:val="-6"/>
        </w:rPr>
        <w:t xml:space="preserve"> </w:t>
      </w:r>
      <w:r>
        <w:t>of</w:t>
      </w:r>
      <w:r>
        <w:rPr>
          <w:spacing w:val="-6"/>
        </w:rPr>
        <w:t xml:space="preserve"> </w:t>
      </w:r>
      <w:r>
        <w:t>Black,</w:t>
      </w:r>
      <w:r>
        <w:rPr>
          <w:spacing w:val="-6"/>
        </w:rPr>
        <w:t xml:space="preserve"> </w:t>
      </w:r>
      <w:r>
        <w:t>Hispanic,</w:t>
      </w:r>
      <w:r>
        <w:rPr>
          <w:spacing w:val="-6"/>
        </w:rPr>
        <w:t xml:space="preserve"> </w:t>
      </w:r>
      <w:r>
        <w:t>and</w:t>
      </w:r>
      <w:r>
        <w:rPr>
          <w:spacing w:val="-14"/>
        </w:rPr>
        <w:t xml:space="preserve"> </w:t>
      </w:r>
      <w:r>
        <w:t>American Indian/Alaska Native students.</w:t>
      </w:r>
    </w:p>
    <w:p w:rsidR="003F5784" w14:paraId="184DC07B" w14:textId="77777777">
      <w:pPr>
        <w:pStyle w:val="BodyText"/>
        <w:spacing w:before="203"/>
        <w:ind w:left="109"/>
      </w:pPr>
      <w:r>
        <w:t>About</w:t>
      </w:r>
      <w:r>
        <w:rPr>
          <w:spacing w:val="-7"/>
        </w:rPr>
        <w:t xml:space="preserve"> </w:t>
      </w:r>
      <w:r>
        <w:t>37</w:t>
      </w:r>
      <w:r>
        <w:rPr>
          <w:spacing w:val="-6"/>
        </w:rPr>
        <w:t xml:space="preserve"> </w:t>
      </w:r>
      <w:r>
        <w:t>percent</w:t>
      </w:r>
      <w:r>
        <w:rPr>
          <w:spacing w:val="-7"/>
        </w:rPr>
        <w:t xml:space="preserve"> </w:t>
      </w:r>
      <w:r>
        <w:t>of</w:t>
      </w:r>
      <w:r>
        <w:rPr>
          <w:spacing w:val="-6"/>
        </w:rPr>
        <w:t xml:space="preserve"> </w:t>
      </w:r>
      <w:r>
        <w:t>the</w:t>
      </w:r>
      <w:r>
        <w:rPr>
          <w:spacing w:val="-6"/>
        </w:rPr>
        <w:t xml:space="preserve"> </w:t>
      </w:r>
      <w:r>
        <w:t>participating</w:t>
      </w:r>
      <w:r>
        <w:rPr>
          <w:spacing w:val="-7"/>
        </w:rPr>
        <w:t xml:space="preserve"> </w:t>
      </w:r>
      <w:r>
        <w:t>private</w:t>
      </w:r>
      <w:r>
        <w:rPr>
          <w:spacing w:val="-6"/>
        </w:rPr>
        <w:t xml:space="preserve"> </w:t>
      </w:r>
      <w:r>
        <w:t>schools</w:t>
      </w:r>
      <w:r>
        <w:rPr>
          <w:spacing w:val="-6"/>
        </w:rPr>
        <w:t xml:space="preserve"> </w:t>
      </w:r>
      <w:r>
        <w:t>submitted</w:t>
      </w:r>
      <w:r>
        <w:rPr>
          <w:spacing w:val="-7"/>
        </w:rPr>
        <w:t xml:space="preserve"> </w:t>
      </w:r>
      <w:r>
        <w:t>student</w:t>
      </w:r>
      <w:r>
        <w:rPr>
          <w:spacing w:val="-6"/>
        </w:rPr>
        <w:t xml:space="preserve"> </w:t>
      </w:r>
      <w:r>
        <w:t>lists</w:t>
      </w:r>
      <w:r>
        <w:rPr>
          <w:spacing w:val="-6"/>
        </w:rPr>
        <w:t xml:space="preserve"> </w:t>
      </w:r>
      <w:r>
        <w:t>through</w:t>
      </w:r>
      <w:r>
        <w:rPr>
          <w:spacing w:val="-7"/>
        </w:rPr>
        <w:t xml:space="preserve"> </w:t>
      </w:r>
      <w:r>
        <w:t>E-filing,</w:t>
      </w:r>
      <w:r>
        <w:rPr>
          <w:spacing w:val="-6"/>
        </w:rPr>
        <w:t xml:space="preserve"> </w:t>
      </w:r>
      <w:r>
        <w:t>and</w:t>
      </w:r>
      <w:r>
        <w:rPr>
          <w:spacing w:val="-7"/>
        </w:rPr>
        <w:t xml:space="preserve"> </w:t>
      </w:r>
      <w:r>
        <w:t>the</w:t>
      </w:r>
      <w:r>
        <w:rPr>
          <w:spacing w:val="-6"/>
        </w:rPr>
        <w:t xml:space="preserve"> </w:t>
      </w:r>
      <w:r>
        <w:t>remaining</w:t>
      </w:r>
      <w:r>
        <w:rPr>
          <w:spacing w:val="-6"/>
        </w:rPr>
        <w:t xml:space="preserve"> </w:t>
      </w:r>
      <w:r>
        <w:t>63</w:t>
      </w:r>
      <w:r>
        <w:rPr>
          <w:spacing w:val="-7"/>
        </w:rPr>
        <w:t xml:space="preserve"> </w:t>
      </w:r>
      <w:r>
        <w:t>percent</w:t>
      </w:r>
      <w:r>
        <w:rPr>
          <w:spacing w:val="-6"/>
        </w:rPr>
        <w:t xml:space="preserve"> </w:t>
      </w:r>
      <w:r>
        <w:t>submitted</w:t>
      </w:r>
      <w:r>
        <w:rPr>
          <w:spacing w:val="-6"/>
        </w:rPr>
        <w:t xml:space="preserve"> </w:t>
      </w:r>
      <w:r>
        <w:t>paper</w:t>
      </w:r>
      <w:r>
        <w:rPr>
          <w:spacing w:val="-7"/>
        </w:rPr>
        <w:t xml:space="preserve"> </w:t>
      </w:r>
      <w:r>
        <w:rPr>
          <w:spacing w:val="-2"/>
        </w:rPr>
        <w:t>lists.</w:t>
      </w:r>
    </w:p>
    <w:p w:rsidR="003F5784" w14:paraId="79DDE335" w14:textId="77777777">
      <w:pPr>
        <w:pStyle w:val="BodyText"/>
      </w:pPr>
    </w:p>
    <w:p w:rsidR="003F5784" w14:paraId="50624EC1" w14:textId="77777777">
      <w:pPr>
        <w:pStyle w:val="BodyText"/>
      </w:pPr>
    </w:p>
    <w:p w:rsidR="003F5784" w14:paraId="66742E88" w14:textId="77777777">
      <w:pPr>
        <w:pStyle w:val="BodyText"/>
        <w:spacing w:before="144"/>
      </w:pPr>
    </w:p>
    <w:p w:rsidR="003F5784" w14:paraId="122A113E" w14:textId="77777777">
      <w:pPr>
        <w:ind w:right="113"/>
        <w:jc w:val="right"/>
        <w:rPr>
          <w:sz w:val="18"/>
        </w:rPr>
      </w:pPr>
      <w:hyperlink r:id="rId143">
        <w:r>
          <w:rPr>
            <w:spacing w:val="-2"/>
            <w:w w:val="105"/>
            <w:sz w:val="18"/>
          </w:rPr>
          <w:t>http://nces.ed.gov/nationsreportcard/tdw/sample_design/2022/student_sample_selection_for_the_2022_private_school_long_term_trend_assessment.aspx</w:t>
        </w:r>
      </w:hyperlink>
    </w:p>
    <w:p w:rsidR="003F5784" w14:paraId="72E43855" w14:textId="77777777">
      <w:pPr>
        <w:pStyle w:val="BodyText"/>
        <w:spacing w:before="1"/>
        <w:rPr>
          <w:sz w:val="16"/>
        </w:rPr>
      </w:pPr>
      <w:r>
        <w:rPr>
          <w:noProof/>
        </w:rPr>
        <mc:AlternateContent>
          <mc:Choice Requires="wps">
            <w:drawing>
              <wp:anchor distT="0" distB="0" distL="0" distR="0" simplePos="0" relativeHeight="251845632" behindDoc="1" locked="0" layoutInCell="1" allowOverlap="1">
                <wp:simplePos x="0" y="0"/>
                <wp:positionH relativeFrom="page">
                  <wp:posOffset>361937</wp:posOffset>
                </wp:positionH>
                <wp:positionV relativeFrom="paragraph">
                  <wp:posOffset>132869</wp:posOffset>
                </wp:positionV>
                <wp:extent cx="9339580" cy="8890"/>
                <wp:effectExtent l="0" t="0" r="0" b="0"/>
                <wp:wrapTopAndBottom/>
                <wp:docPr id="164" name="Graphic 164"/>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64" o:spid="_x0000_s1093" style="width:735.4pt;height:0.7pt;margin-top:10.45pt;margin-left:28.5pt;mso-position-horizontal-relative:page;mso-wrap-distance-bottom:0;mso-wrap-distance-left:0;mso-wrap-distance-right:0;mso-wrap-distance-top:0;mso-wrap-style:square;position:absolute;visibility:visible;v-text-anchor:top;z-index:-251469824" coordsize="9339580,8890" path="m9338970,l9335110,l,,,8280l8280,8280l9335110,8280l9338970,8280l9338970,xe" fillcolor="gray" stroked="f">
                <v:path arrowok="t"/>
                <w10:wrap type="topAndBottom"/>
              </v:shape>
            </w:pict>
          </mc:Fallback>
        </mc:AlternateContent>
      </w:r>
    </w:p>
    <w:p w:rsidR="003F5784" w14:paraId="385219A7" w14:textId="77777777">
      <w:pPr>
        <w:pStyle w:val="BodyText"/>
        <w:rPr>
          <w:sz w:val="18"/>
        </w:rPr>
      </w:pPr>
    </w:p>
    <w:p w:rsidR="003F5784" w14:paraId="40AEF06A" w14:textId="77777777">
      <w:pPr>
        <w:pStyle w:val="BodyText"/>
        <w:spacing w:before="193"/>
        <w:rPr>
          <w:sz w:val="18"/>
        </w:rPr>
      </w:pPr>
    </w:p>
    <w:p w:rsidR="003F5784" w14:paraId="1249D6B2" w14:textId="7D10D474">
      <w:pPr>
        <w:pStyle w:val="Heading1"/>
        <w:spacing w:line="244" w:lineRule="auto"/>
        <w:ind w:right="318"/>
      </w:pPr>
      <w:r>
        <w:t>NAEP</w:t>
      </w:r>
      <w:r>
        <w:rPr>
          <w:spacing w:val="-16"/>
        </w:rPr>
        <w:t xml:space="preserve"> </w:t>
      </w:r>
      <w:r>
        <w:t>Technical Documentation</w:t>
      </w:r>
      <w:r w:rsidR="00B145F2">
        <w:t xml:space="preserve"> </w:t>
      </w:r>
      <w:r>
        <w:t>Substitute Private Schools for the 2022 Long- Term Trend Assessment</w:t>
      </w:r>
    </w:p>
    <w:p w:rsidR="003F5784" w14:paraId="35BE2961" w14:textId="77777777">
      <w:pPr>
        <w:pStyle w:val="BodyText"/>
        <w:spacing w:before="287" w:line="232" w:lineRule="auto"/>
        <w:ind w:left="109"/>
      </w:pPr>
      <w:r>
        <w:t>Substitutes</w:t>
      </w:r>
      <w:r>
        <w:rPr>
          <w:spacing w:val="-4"/>
        </w:rPr>
        <w:t xml:space="preserve"> </w:t>
      </w:r>
      <w:r>
        <w:t>were</w:t>
      </w:r>
      <w:r>
        <w:rPr>
          <w:spacing w:val="-4"/>
        </w:rPr>
        <w:t xml:space="preserve"> </w:t>
      </w:r>
      <w:r>
        <w:t>preselected</w:t>
      </w:r>
      <w:r>
        <w:rPr>
          <w:spacing w:val="-4"/>
        </w:rPr>
        <w:t xml:space="preserve"> </w:t>
      </w:r>
      <w:r>
        <w:t>for</w:t>
      </w:r>
      <w:r>
        <w:rPr>
          <w:spacing w:val="-4"/>
        </w:rPr>
        <w:t xml:space="preserve"> </w:t>
      </w:r>
      <w:r>
        <w:t>the</w:t>
      </w:r>
      <w:r>
        <w:rPr>
          <w:spacing w:val="-4"/>
        </w:rPr>
        <w:t xml:space="preserve"> </w:t>
      </w:r>
      <w:r>
        <w:t>private</w:t>
      </w:r>
      <w:r>
        <w:rPr>
          <w:spacing w:val="-4"/>
        </w:rPr>
        <w:t xml:space="preserve"> </w:t>
      </w:r>
      <w:r>
        <w:t>school</w:t>
      </w:r>
      <w:r>
        <w:rPr>
          <w:spacing w:val="-4"/>
        </w:rPr>
        <w:t xml:space="preserve"> </w:t>
      </w:r>
      <w:r>
        <w:t>samples</w:t>
      </w:r>
      <w:r>
        <w:rPr>
          <w:spacing w:val="-4"/>
        </w:rPr>
        <w:t xml:space="preserve"> </w:t>
      </w:r>
      <w:r>
        <w:t>by</w:t>
      </w:r>
      <w:r>
        <w:rPr>
          <w:spacing w:val="-4"/>
        </w:rPr>
        <w:t xml:space="preserve"> </w:t>
      </w:r>
      <w:r>
        <w:t>sorting</w:t>
      </w:r>
      <w:r>
        <w:rPr>
          <w:spacing w:val="-4"/>
        </w:rPr>
        <w:t xml:space="preserve"> </w:t>
      </w:r>
      <w:r>
        <w:t>the</w:t>
      </w:r>
      <w:r>
        <w:rPr>
          <w:spacing w:val="-4"/>
        </w:rPr>
        <w:t xml:space="preserve"> </w:t>
      </w:r>
      <w:r>
        <w:t>school</w:t>
      </w:r>
      <w:r>
        <w:rPr>
          <w:spacing w:val="-4"/>
        </w:rPr>
        <w:t xml:space="preserve"> </w:t>
      </w:r>
      <w:r>
        <w:t>frame</w:t>
      </w:r>
      <w:r>
        <w:rPr>
          <w:spacing w:val="-4"/>
        </w:rPr>
        <w:t xml:space="preserve"> </w:t>
      </w:r>
      <w:r>
        <w:t>file</w:t>
      </w:r>
      <w:r>
        <w:rPr>
          <w:spacing w:val="-4"/>
        </w:rPr>
        <w:t xml:space="preserve"> </w:t>
      </w:r>
      <w:r>
        <w:t>for</w:t>
      </w:r>
      <w:r>
        <w:rPr>
          <w:spacing w:val="-4"/>
        </w:rPr>
        <w:t xml:space="preserve"> </w:t>
      </w:r>
      <w:r>
        <w:t>each</w:t>
      </w:r>
      <w:r>
        <w:rPr>
          <w:spacing w:val="-4"/>
        </w:rPr>
        <w:t xml:space="preserve"> </w:t>
      </w:r>
      <w:r>
        <w:t>of</w:t>
      </w:r>
      <w:r>
        <w:rPr>
          <w:spacing w:val="-4"/>
        </w:rPr>
        <w:t xml:space="preserve"> </w:t>
      </w:r>
      <w:r>
        <w:t>ages</w:t>
      </w:r>
      <w:r>
        <w:rPr>
          <w:spacing w:val="-4"/>
        </w:rPr>
        <w:t xml:space="preserve"> </w:t>
      </w:r>
      <w:r>
        <w:t>9</w:t>
      </w:r>
      <w:r>
        <w:rPr>
          <w:spacing w:val="-4"/>
        </w:rPr>
        <w:t xml:space="preserve"> </w:t>
      </w:r>
      <w:r>
        <w:t>and</w:t>
      </w:r>
      <w:r>
        <w:rPr>
          <w:spacing w:val="-4"/>
        </w:rPr>
        <w:t xml:space="preserve"> </w:t>
      </w:r>
      <w:r>
        <w:t>13</w:t>
      </w:r>
      <w:r>
        <w:rPr>
          <w:spacing w:val="-4"/>
        </w:rPr>
        <w:t xml:space="preserve"> </w:t>
      </w:r>
      <w:r>
        <w:t>according</w:t>
      </w:r>
      <w:r>
        <w:rPr>
          <w:spacing w:val="-4"/>
        </w:rPr>
        <w:t xml:space="preserve"> </w:t>
      </w:r>
      <w:r>
        <w:t>to</w:t>
      </w:r>
      <w:r>
        <w:rPr>
          <w:spacing w:val="-4"/>
        </w:rPr>
        <w:t xml:space="preserve"> </w:t>
      </w:r>
      <w:r>
        <w:t>the</w:t>
      </w:r>
      <w:r>
        <w:rPr>
          <w:spacing w:val="-4"/>
        </w:rPr>
        <w:t xml:space="preserve"> </w:t>
      </w:r>
      <w:r>
        <w:t>actual</w:t>
      </w:r>
      <w:r>
        <w:rPr>
          <w:spacing w:val="-4"/>
        </w:rPr>
        <w:t xml:space="preserve"> </w:t>
      </w:r>
      <w:r>
        <w:t>order</w:t>
      </w:r>
      <w:r>
        <w:rPr>
          <w:spacing w:val="-4"/>
        </w:rPr>
        <w:t xml:space="preserve"> </w:t>
      </w:r>
      <w:r>
        <w:t>used</w:t>
      </w:r>
      <w:r>
        <w:rPr>
          <w:spacing w:val="-4"/>
        </w:rPr>
        <w:t xml:space="preserve"> </w:t>
      </w:r>
      <w:r>
        <w:t>in</w:t>
      </w:r>
      <w:r>
        <w:rPr>
          <w:spacing w:val="-4"/>
        </w:rPr>
        <w:t xml:space="preserve"> </w:t>
      </w:r>
      <w:r>
        <w:t>the</w:t>
      </w:r>
      <w:r>
        <w:rPr>
          <w:spacing w:val="-4"/>
        </w:rPr>
        <w:t xml:space="preserve"> </w:t>
      </w:r>
      <w:r>
        <w:t>sampling</w:t>
      </w:r>
      <w:r>
        <w:rPr>
          <w:spacing w:val="-4"/>
        </w:rPr>
        <w:t xml:space="preserve"> </w:t>
      </w:r>
      <w:r>
        <w:t>process (the</w:t>
      </w:r>
      <w:r>
        <w:rPr>
          <w:spacing w:val="-7"/>
        </w:rPr>
        <w:t xml:space="preserve"> </w:t>
      </w:r>
      <w:r>
        <w:t>implicit</w:t>
      </w:r>
      <w:r>
        <w:rPr>
          <w:spacing w:val="-7"/>
        </w:rPr>
        <w:t xml:space="preserve"> </w:t>
      </w:r>
      <w:r>
        <w:t>stratification).</w:t>
      </w:r>
      <w:r>
        <w:rPr>
          <w:spacing w:val="-7"/>
        </w:rPr>
        <w:t xml:space="preserve"> </w:t>
      </w:r>
      <w:r>
        <w:t>For</w:t>
      </w:r>
      <w:r>
        <w:rPr>
          <w:spacing w:val="-7"/>
        </w:rPr>
        <w:t xml:space="preserve"> </w:t>
      </w:r>
      <w:r>
        <w:t>operational</w:t>
      </w:r>
      <w:r>
        <w:rPr>
          <w:spacing w:val="-7"/>
        </w:rPr>
        <w:t xml:space="preserve"> </w:t>
      </w:r>
      <w:r>
        <w:t>reasons,</w:t>
      </w:r>
      <w:r>
        <w:rPr>
          <w:spacing w:val="-7"/>
        </w:rPr>
        <w:t xml:space="preserve"> </w:t>
      </w:r>
      <w:r>
        <w:t>the</w:t>
      </w:r>
      <w:r>
        <w:rPr>
          <w:spacing w:val="-7"/>
        </w:rPr>
        <w:t xml:space="preserve"> </w:t>
      </w:r>
      <w:r>
        <w:t>original</w:t>
      </w:r>
      <w:r>
        <w:rPr>
          <w:spacing w:val="-7"/>
        </w:rPr>
        <w:t xml:space="preserve"> </w:t>
      </w:r>
      <w:r>
        <w:t>selection</w:t>
      </w:r>
      <w:r>
        <w:rPr>
          <w:spacing w:val="-7"/>
        </w:rPr>
        <w:t xml:space="preserve"> </w:t>
      </w:r>
      <w:r>
        <w:t>order</w:t>
      </w:r>
      <w:r>
        <w:rPr>
          <w:spacing w:val="-7"/>
        </w:rPr>
        <w:t xml:space="preserve"> </w:t>
      </w:r>
      <w:r>
        <w:t>was</w:t>
      </w:r>
      <w:r>
        <w:rPr>
          <w:spacing w:val="-7"/>
        </w:rPr>
        <w:t xml:space="preserve"> </w:t>
      </w:r>
      <w:r>
        <w:t>embedded</w:t>
      </w:r>
      <w:r>
        <w:rPr>
          <w:spacing w:val="-7"/>
        </w:rPr>
        <w:t xml:space="preserve"> </w:t>
      </w:r>
      <w:r>
        <w:t>within</w:t>
      </w:r>
      <w:r>
        <w:rPr>
          <w:spacing w:val="-7"/>
        </w:rPr>
        <w:t xml:space="preserve"> </w:t>
      </w:r>
      <w:r>
        <w:t>the</w:t>
      </w:r>
      <w:r>
        <w:rPr>
          <w:spacing w:val="-7"/>
        </w:rPr>
        <w:t xml:space="preserve"> </w:t>
      </w:r>
      <w:r>
        <w:t>sampled</w:t>
      </w:r>
      <w:r>
        <w:rPr>
          <w:spacing w:val="-7"/>
        </w:rPr>
        <w:t xml:space="preserve"> </w:t>
      </w:r>
      <w:r>
        <w:t>primary</w:t>
      </w:r>
      <w:r>
        <w:rPr>
          <w:spacing w:val="-7"/>
        </w:rPr>
        <w:t xml:space="preserve"> </w:t>
      </w:r>
      <w:r>
        <w:t>sampling</w:t>
      </w:r>
      <w:r>
        <w:rPr>
          <w:spacing w:val="-7"/>
        </w:rPr>
        <w:t xml:space="preserve"> </w:t>
      </w:r>
      <w:r>
        <w:t>unit</w:t>
      </w:r>
      <w:r>
        <w:rPr>
          <w:spacing w:val="-7"/>
        </w:rPr>
        <w:t xml:space="preserve"> </w:t>
      </w:r>
      <w:r>
        <w:t>(PSU)</w:t>
      </w:r>
      <w:r>
        <w:rPr>
          <w:spacing w:val="-7"/>
        </w:rPr>
        <w:t xml:space="preserve"> </w:t>
      </w:r>
      <w:r>
        <w:t>and</w:t>
      </w:r>
      <w:r>
        <w:rPr>
          <w:spacing w:val="-7"/>
        </w:rPr>
        <w:t xml:space="preserve"> </w:t>
      </w:r>
      <w:r>
        <w:t>state.</w:t>
      </w:r>
      <w:r>
        <w:rPr>
          <w:spacing w:val="-7"/>
        </w:rPr>
        <w:t xml:space="preserve"> </w:t>
      </w:r>
      <w:r>
        <w:t>Each</w:t>
      </w:r>
      <w:r>
        <w:rPr>
          <w:spacing w:val="-7"/>
        </w:rPr>
        <w:t xml:space="preserve"> </w:t>
      </w:r>
      <w:r>
        <w:t>sampled</w:t>
      </w:r>
      <w:r>
        <w:rPr>
          <w:spacing w:val="-7"/>
        </w:rPr>
        <w:t xml:space="preserve"> </w:t>
      </w:r>
      <w:r>
        <w:t>school with known affiliation had each of its nearest neighbors within the same sampling stratum on the school frame file identified as a potential substitute. Sampled schools with unknown affiliation were not assigned substitutes. Since age-specific enrollment was used as the last sort ordering variable, the nearest neighbors had age-specific enrollment values</w:t>
      </w:r>
      <w:r>
        <w:rPr>
          <w:spacing w:val="-4"/>
        </w:rPr>
        <w:t xml:space="preserve"> </w:t>
      </w:r>
      <w:r>
        <w:t>very</w:t>
      </w:r>
      <w:r>
        <w:rPr>
          <w:spacing w:val="-4"/>
        </w:rPr>
        <w:t xml:space="preserve"> </w:t>
      </w:r>
      <w:r>
        <w:t>close</w:t>
      </w:r>
      <w:r>
        <w:rPr>
          <w:spacing w:val="-4"/>
        </w:rPr>
        <w:t xml:space="preserve"> </w:t>
      </w:r>
      <w:r>
        <w:t>to</w:t>
      </w:r>
      <w:r>
        <w:rPr>
          <w:spacing w:val="-4"/>
        </w:rPr>
        <w:t xml:space="preserve"> </w:t>
      </w:r>
      <w:r>
        <w:t>that</w:t>
      </w:r>
      <w:r>
        <w:rPr>
          <w:spacing w:val="-4"/>
        </w:rPr>
        <w:t xml:space="preserve"> </w:t>
      </w:r>
      <w:r>
        <w:t>of</w:t>
      </w:r>
      <w:r>
        <w:rPr>
          <w:spacing w:val="-4"/>
        </w:rPr>
        <w:t xml:space="preserve"> </w:t>
      </w:r>
      <w:r>
        <w:t>the</w:t>
      </w:r>
      <w:r>
        <w:rPr>
          <w:spacing w:val="-4"/>
        </w:rPr>
        <w:t xml:space="preserve"> </w:t>
      </w:r>
      <w:r>
        <w:t>sampled</w:t>
      </w:r>
      <w:r>
        <w:rPr>
          <w:spacing w:val="-4"/>
        </w:rPr>
        <w:t xml:space="preserve"> </w:t>
      </w:r>
      <w:r>
        <w:t>school.</w:t>
      </w:r>
      <w:r>
        <w:rPr>
          <w:spacing w:val="-8"/>
        </w:rPr>
        <w:t xml:space="preserve"> </w:t>
      </w:r>
      <w:r>
        <w:t>This</w:t>
      </w:r>
      <w:r>
        <w:rPr>
          <w:spacing w:val="-4"/>
        </w:rPr>
        <w:t xml:space="preserve"> </w:t>
      </w:r>
      <w:r>
        <w:t>was</w:t>
      </w:r>
      <w:r>
        <w:rPr>
          <w:spacing w:val="-4"/>
        </w:rPr>
        <w:t xml:space="preserve"> </w:t>
      </w:r>
      <w:r>
        <w:t>done</w:t>
      </w:r>
      <w:r>
        <w:rPr>
          <w:spacing w:val="-4"/>
        </w:rPr>
        <w:t xml:space="preserve"> </w:t>
      </w:r>
      <w:r>
        <w:t>to</w:t>
      </w:r>
      <w:r>
        <w:rPr>
          <w:spacing w:val="-4"/>
        </w:rPr>
        <w:t xml:space="preserve"> </w:t>
      </w:r>
      <w:r>
        <w:t>facilitate</w:t>
      </w:r>
      <w:r>
        <w:rPr>
          <w:spacing w:val="-4"/>
        </w:rPr>
        <w:t xml:space="preserve"> </w:t>
      </w:r>
      <w:r>
        <w:t>the</w:t>
      </w:r>
      <w:r>
        <w:rPr>
          <w:spacing w:val="-4"/>
        </w:rPr>
        <w:t xml:space="preserve"> </w:t>
      </w:r>
      <w:r>
        <w:t>selection</w:t>
      </w:r>
      <w:r>
        <w:rPr>
          <w:spacing w:val="-4"/>
        </w:rPr>
        <w:t xml:space="preserve"> </w:t>
      </w:r>
      <w:r>
        <w:t>of</w:t>
      </w:r>
      <w:r>
        <w:rPr>
          <w:spacing w:val="-4"/>
        </w:rPr>
        <w:t xml:space="preserve"> </w:t>
      </w:r>
      <w:r>
        <w:t>about</w:t>
      </w:r>
      <w:r>
        <w:rPr>
          <w:spacing w:val="-4"/>
        </w:rPr>
        <w:t xml:space="preserve"> </w:t>
      </w:r>
      <w:r>
        <w:t>the</w:t>
      </w:r>
      <w:r>
        <w:rPr>
          <w:spacing w:val="-4"/>
        </w:rPr>
        <w:t xml:space="preserve"> </w:t>
      </w:r>
      <w:r>
        <w:t>same</w:t>
      </w:r>
      <w:r>
        <w:rPr>
          <w:spacing w:val="-4"/>
        </w:rPr>
        <w:t xml:space="preserve"> </w:t>
      </w:r>
      <w:r>
        <w:t>number</w:t>
      </w:r>
      <w:r>
        <w:rPr>
          <w:spacing w:val="-4"/>
        </w:rPr>
        <w:t xml:space="preserve"> </w:t>
      </w:r>
      <w:r>
        <w:t>of</w:t>
      </w:r>
      <w:r>
        <w:rPr>
          <w:spacing w:val="-4"/>
        </w:rPr>
        <w:t xml:space="preserve"> </w:t>
      </w:r>
      <w:r>
        <w:t>students</w:t>
      </w:r>
      <w:r>
        <w:rPr>
          <w:spacing w:val="-4"/>
        </w:rPr>
        <w:t xml:space="preserve"> </w:t>
      </w:r>
      <w:r>
        <w:t>within</w:t>
      </w:r>
      <w:r>
        <w:rPr>
          <w:spacing w:val="-4"/>
        </w:rPr>
        <w:t xml:space="preserve"> </w:t>
      </w:r>
      <w:r>
        <w:t>the</w:t>
      </w:r>
      <w:r>
        <w:rPr>
          <w:spacing w:val="-4"/>
        </w:rPr>
        <w:t xml:space="preserve"> </w:t>
      </w:r>
      <w:r>
        <w:t>substitute</w:t>
      </w:r>
      <w:r>
        <w:rPr>
          <w:spacing w:val="-4"/>
        </w:rPr>
        <w:t xml:space="preserve"> </w:t>
      </w:r>
      <w:r>
        <w:t>as</w:t>
      </w:r>
      <w:r>
        <w:rPr>
          <w:spacing w:val="-4"/>
        </w:rPr>
        <w:t xml:space="preserve"> </w:t>
      </w:r>
      <w:r>
        <w:t>would</w:t>
      </w:r>
      <w:r>
        <w:rPr>
          <w:spacing w:val="-4"/>
        </w:rPr>
        <w:t xml:space="preserve"> </w:t>
      </w:r>
      <w:r>
        <w:t>have</w:t>
      </w:r>
      <w:r>
        <w:rPr>
          <w:spacing w:val="-4"/>
        </w:rPr>
        <w:t xml:space="preserve"> </w:t>
      </w:r>
      <w:r>
        <w:t>been</w:t>
      </w:r>
      <w:r>
        <w:rPr>
          <w:spacing w:val="-4"/>
        </w:rPr>
        <w:t xml:space="preserve"> </w:t>
      </w:r>
      <w:r>
        <w:t>selected from the original sampled school.</w:t>
      </w:r>
    </w:p>
    <w:p w:rsidR="003F5784" w14:paraId="5B46495A" w14:textId="77777777">
      <w:pPr>
        <w:pStyle w:val="BodyText"/>
        <w:spacing w:before="211" w:line="232" w:lineRule="auto"/>
        <w:ind w:left="109"/>
      </w:pPr>
      <w:r>
        <w:t>Schools</w:t>
      </w:r>
      <w:r>
        <w:rPr>
          <w:spacing w:val="-6"/>
        </w:rPr>
        <w:t xml:space="preserve"> </w:t>
      </w:r>
      <w:r>
        <w:t>were</w:t>
      </w:r>
      <w:r>
        <w:rPr>
          <w:spacing w:val="-6"/>
        </w:rPr>
        <w:t xml:space="preserve"> </w:t>
      </w:r>
      <w:r>
        <w:t>disqualified</w:t>
      </w:r>
      <w:r>
        <w:rPr>
          <w:spacing w:val="-6"/>
        </w:rPr>
        <w:t xml:space="preserve"> </w:t>
      </w:r>
      <w:r>
        <w:t>as</w:t>
      </w:r>
      <w:r>
        <w:rPr>
          <w:spacing w:val="-6"/>
        </w:rPr>
        <w:t xml:space="preserve"> </w:t>
      </w:r>
      <w:r>
        <w:t>potential</w:t>
      </w:r>
      <w:r>
        <w:rPr>
          <w:spacing w:val="-6"/>
        </w:rPr>
        <w:t xml:space="preserve"> </w:t>
      </w:r>
      <w:r>
        <w:t>substitutes</w:t>
      </w:r>
      <w:r>
        <w:rPr>
          <w:spacing w:val="-6"/>
        </w:rPr>
        <w:t xml:space="preserve"> </w:t>
      </w:r>
      <w:r>
        <w:t>if</w:t>
      </w:r>
      <w:r>
        <w:rPr>
          <w:spacing w:val="-6"/>
        </w:rPr>
        <w:t xml:space="preserve"> </w:t>
      </w:r>
      <w:r>
        <w:t>they</w:t>
      </w:r>
      <w:r>
        <w:rPr>
          <w:spacing w:val="-6"/>
        </w:rPr>
        <w:t xml:space="preserve"> </w:t>
      </w:r>
      <w:r>
        <w:t>were</w:t>
      </w:r>
      <w:r>
        <w:rPr>
          <w:spacing w:val="-6"/>
        </w:rPr>
        <w:t xml:space="preserve"> </w:t>
      </w:r>
      <w:r>
        <w:t>already</w:t>
      </w:r>
      <w:r>
        <w:rPr>
          <w:spacing w:val="-6"/>
        </w:rPr>
        <w:t xml:space="preserve"> </w:t>
      </w:r>
      <w:r>
        <w:t>selected</w:t>
      </w:r>
      <w:r>
        <w:rPr>
          <w:spacing w:val="-6"/>
        </w:rPr>
        <w:t xml:space="preserve"> </w:t>
      </w:r>
      <w:r>
        <w:t>in</w:t>
      </w:r>
      <w:r>
        <w:rPr>
          <w:spacing w:val="-6"/>
        </w:rPr>
        <w:t xml:space="preserve"> </w:t>
      </w:r>
      <w:r>
        <w:t>any</w:t>
      </w:r>
      <w:r>
        <w:rPr>
          <w:spacing w:val="-6"/>
        </w:rPr>
        <w:t xml:space="preserve"> </w:t>
      </w:r>
      <w:r>
        <w:t>of</w:t>
      </w:r>
      <w:r>
        <w:rPr>
          <w:spacing w:val="-6"/>
        </w:rPr>
        <w:t xml:space="preserve"> </w:t>
      </w:r>
      <w:r>
        <w:t>the</w:t>
      </w:r>
      <w:r>
        <w:rPr>
          <w:spacing w:val="-6"/>
        </w:rPr>
        <w:t xml:space="preserve"> </w:t>
      </w:r>
      <w:r>
        <w:t>original</w:t>
      </w:r>
      <w:r>
        <w:rPr>
          <w:spacing w:val="-6"/>
        </w:rPr>
        <w:t xml:space="preserve"> </w:t>
      </w:r>
      <w:r>
        <w:t>private</w:t>
      </w:r>
      <w:r>
        <w:rPr>
          <w:spacing w:val="-6"/>
        </w:rPr>
        <w:t xml:space="preserve"> </w:t>
      </w:r>
      <w:r>
        <w:t>school</w:t>
      </w:r>
      <w:r>
        <w:rPr>
          <w:spacing w:val="-6"/>
        </w:rPr>
        <w:t xml:space="preserve"> </w:t>
      </w:r>
      <w:r>
        <w:t>samples,</w:t>
      </w:r>
      <w:r>
        <w:rPr>
          <w:spacing w:val="-6"/>
        </w:rPr>
        <w:t xml:space="preserve"> </w:t>
      </w:r>
      <w:r>
        <w:t>assigned</w:t>
      </w:r>
      <w:r>
        <w:rPr>
          <w:spacing w:val="-6"/>
        </w:rPr>
        <w:t xml:space="preserve"> </w:t>
      </w:r>
      <w:r>
        <w:t>as</w:t>
      </w:r>
      <w:r>
        <w:rPr>
          <w:spacing w:val="-6"/>
        </w:rPr>
        <w:t xml:space="preserve"> </w:t>
      </w:r>
      <w:r>
        <w:t>a</w:t>
      </w:r>
      <w:r>
        <w:rPr>
          <w:spacing w:val="-6"/>
        </w:rPr>
        <w:t xml:space="preserve"> </w:t>
      </w:r>
      <w:r>
        <w:t>substitute</w:t>
      </w:r>
      <w:r>
        <w:rPr>
          <w:spacing w:val="-6"/>
        </w:rPr>
        <w:t xml:space="preserve"> </w:t>
      </w:r>
      <w:r>
        <w:t>for</w:t>
      </w:r>
      <w:r>
        <w:rPr>
          <w:spacing w:val="-6"/>
        </w:rPr>
        <w:t xml:space="preserve"> </w:t>
      </w:r>
      <w:r>
        <w:t>another</w:t>
      </w:r>
      <w:r>
        <w:rPr>
          <w:spacing w:val="-6"/>
        </w:rPr>
        <w:t xml:space="preserve"> </w:t>
      </w:r>
      <w:r>
        <w:t>private</w:t>
      </w:r>
      <w:r>
        <w:rPr>
          <w:spacing w:val="-6"/>
        </w:rPr>
        <w:t xml:space="preserve"> </w:t>
      </w:r>
      <w:r>
        <w:t>school (earlier in the sort ordering), or were not the same affiliation as the originally sampled school.</w:t>
      </w:r>
    </w:p>
    <w:p w:rsidR="003F5784" w14:paraId="3278D6BD" w14:textId="77777777">
      <w:pPr>
        <w:pStyle w:val="BodyText"/>
        <w:spacing w:before="209" w:line="232" w:lineRule="auto"/>
        <w:ind w:left="109"/>
      </w:pPr>
      <w:r>
        <w:t>If</w:t>
      </w:r>
      <w:r>
        <w:rPr>
          <w:spacing w:val="-6"/>
        </w:rPr>
        <w:t xml:space="preserve"> </w:t>
      </w:r>
      <w:r>
        <w:t>both</w:t>
      </w:r>
      <w:r>
        <w:rPr>
          <w:spacing w:val="-6"/>
        </w:rPr>
        <w:t xml:space="preserve"> </w:t>
      </w:r>
      <w:r>
        <w:t>nearest</w:t>
      </w:r>
      <w:r>
        <w:rPr>
          <w:spacing w:val="-6"/>
        </w:rPr>
        <w:t xml:space="preserve"> </w:t>
      </w:r>
      <w:r>
        <w:t>neighbors</w:t>
      </w:r>
      <w:r>
        <w:rPr>
          <w:spacing w:val="-6"/>
        </w:rPr>
        <w:t xml:space="preserve"> </w:t>
      </w:r>
      <w:r>
        <w:t>were</w:t>
      </w:r>
      <w:r>
        <w:rPr>
          <w:spacing w:val="-6"/>
        </w:rPr>
        <w:t xml:space="preserve"> </w:t>
      </w:r>
      <w:r>
        <w:t>still</w:t>
      </w:r>
      <w:r>
        <w:rPr>
          <w:spacing w:val="-6"/>
        </w:rPr>
        <w:t xml:space="preserve"> </w:t>
      </w:r>
      <w:r>
        <w:t>eligible</w:t>
      </w:r>
      <w:r>
        <w:rPr>
          <w:spacing w:val="-6"/>
        </w:rPr>
        <w:t xml:space="preserve"> </w:t>
      </w:r>
      <w:r>
        <w:t>to</w:t>
      </w:r>
      <w:r>
        <w:rPr>
          <w:spacing w:val="-6"/>
        </w:rPr>
        <w:t xml:space="preserve"> </w:t>
      </w:r>
      <w:r>
        <w:t>be</w:t>
      </w:r>
      <w:r>
        <w:rPr>
          <w:spacing w:val="-6"/>
        </w:rPr>
        <w:t xml:space="preserve"> </w:t>
      </w:r>
      <w:r>
        <w:t>substitutes,</w:t>
      </w:r>
      <w:r>
        <w:rPr>
          <w:spacing w:val="-6"/>
        </w:rPr>
        <w:t xml:space="preserve"> </w:t>
      </w:r>
      <w:r>
        <w:t>the</w:t>
      </w:r>
      <w:r>
        <w:rPr>
          <w:spacing w:val="-6"/>
        </w:rPr>
        <w:t xml:space="preserve"> </w:t>
      </w:r>
      <w:r>
        <w:t>one</w:t>
      </w:r>
      <w:r>
        <w:rPr>
          <w:spacing w:val="-6"/>
        </w:rPr>
        <w:t xml:space="preserve"> </w:t>
      </w:r>
      <w:r>
        <w:t>with</w:t>
      </w:r>
      <w:r>
        <w:rPr>
          <w:spacing w:val="-6"/>
        </w:rPr>
        <w:t xml:space="preserve"> </w:t>
      </w:r>
      <w:r>
        <w:t>a</w:t>
      </w:r>
      <w:r>
        <w:rPr>
          <w:spacing w:val="-6"/>
        </w:rPr>
        <w:t xml:space="preserve"> </w:t>
      </w:r>
      <w:r>
        <w:t>closer</w:t>
      </w:r>
      <w:r>
        <w:rPr>
          <w:spacing w:val="-6"/>
        </w:rPr>
        <w:t xml:space="preserve"> </w:t>
      </w:r>
      <w:r>
        <w:t>age-specific</w:t>
      </w:r>
      <w:r>
        <w:rPr>
          <w:spacing w:val="-6"/>
        </w:rPr>
        <w:t xml:space="preserve"> </w:t>
      </w:r>
      <w:r>
        <w:t>enrollment</w:t>
      </w:r>
      <w:r>
        <w:rPr>
          <w:spacing w:val="-6"/>
        </w:rPr>
        <w:t xml:space="preserve"> </w:t>
      </w:r>
      <w:r>
        <w:t>was</w:t>
      </w:r>
      <w:r>
        <w:rPr>
          <w:spacing w:val="-6"/>
        </w:rPr>
        <w:t xml:space="preserve"> </w:t>
      </w:r>
      <w:r>
        <w:t>chosen.</w:t>
      </w:r>
      <w:r>
        <w:rPr>
          <w:spacing w:val="-6"/>
        </w:rPr>
        <w:t xml:space="preserve"> </w:t>
      </w:r>
      <w:r>
        <w:t>If</w:t>
      </w:r>
      <w:r>
        <w:rPr>
          <w:spacing w:val="-6"/>
        </w:rPr>
        <w:t xml:space="preserve"> </w:t>
      </w:r>
      <w:r>
        <w:t>both</w:t>
      </w:r>
      <w:r>
        <w:rPr>
          <w:spacing w:val="-6"/>
        </w:rPr>
        <w:t xml:space="preserve"> </w:t>
      </w:r>
      <w:r>
        <w:t>nearest</w:t>
      </w:r>
      <w:r>
        <w:rPr>
          <w:spacing w:val="-6"/>
        </w:rPr>
        <w:t xml:space="preserve"> </w:t>
      </w:r>
      <w:r>
        <w:t>neighbors</w:t>
      </w:r>
      <w:r>
        <w:rPr>
          <w:spacing w:val="-6"/>
        </w:rPr>
        <w:t xml:space="preserve"> </w:t>
      </w:r>
      <w:r>
        <w:t>were</w:t>
      </w:r>
      <w:r>
        <w:rPr>
          <w:spacing w:val="-6"/>
        </w:rPr>
        <w:t xml:space="preserve"> </w:t>
      </w:r>
      <w:r>
        <w:t>equally</w:t>
      </w:r>
      <w:r>
        <w:rPr>
          <w:spacing w:val="-6"/>
        </w:rPr>
        <w:t xml:space="preserve"> </w:t>
      </w:r>
      <w:r>
        <w:t>distant</w:t>
      </w:r>
      <w:r>
        <w:rPr>
          <w:spacing w:val="-6"/>
        </w:rPr>
        <w:t xml:space="preserve"> </w:t>
      </w:r>
      <w:r>
        <w:t>from</w:t>
      </w:r>
      <w:r>
        <w:rPr>
          <w:spacing w:val="-6"/>
        </w:rPr>
        <w:t xml:space="preserve"> </w:t>
      </w:r>
      <w:r>
        <w:t>the sampled school in their age-specific enrollment (an uncommon occurrence), one of the two was randomly selected.</w:t>
      </w:r>
    </w:p>
    <w:p w:rsidR="003F5784" w14:paraId="60D2F0B7" w14:textId="77777777">
      <w:pPr>
        <w:pStyle w:val="BodyText"/>
        <w:spacing w:before="209" w:line="232" w:lineRule="auto"/>
        <w:ind w:left="109" w:right="136"/>
        <w:jc w:val="both"/>
      </w:pPr>
      <w:r>
        <w:t>Of</w:t>
      </w:r>
      <w:r>
        <w:rPr>
          <w:spacing w:val="-4"/>
        </w:rPr>
        <w:t xml:space="preserve"> </w:t>
      </w:r>
      <w:r>
        <w:t>the</w:t>
      </w:r>
      <w:r>
        <w:rPr>
          <w:spacing w:val="-4"/>
        </w:rPr>
        <w:t xml:space="preserve"> </w:t>
      </w:r>
      <w:r>
        <w:t>approximately</w:t>
      </w:r>
      <w:r>
        <w:rPr>
          <w:spacing w:val="-4"/>
        </w:rPr>
        <w:t xml:space="preserve"> </w:t>
      </w:r>
      <w:r>
        <w:t>160</w:t>
      </w:r>
      <w:r>
        <w:rPr>
          <w:spacing w:val="-4"/>
        </w:rPr>
        <w:t xml:space="preserve"> </w:t>
      </w:r>
      <w:r>
        <w:t>originally</w:t>
      </w:r>
      <w:r>
        <w:rPr>
          <w:spacing w:val="-4"/>
        </w:rPr>
        <w:t xml:space="preserve"> </w:t>
      </w:r>
      <w:r>
        <w:t>sampled</w:t>
      </w:r>
      <w:r>
        <w:rPr>
          <w:spacing w:val="-4"/>
        </w:rPr>
        <w:t xml:space="preserve"> </w:t>
      </w:r>
      <w:r>
        <w:t>private</w:t>
      </w:r>
      <w:r>
        <w:rPr>
          <w:spacing w:val="-4"/>
        </w:rPr>
        <w:t xml:space="preserve"> </w:t>
      </w:r>
      <w:r>
        <w:t>schools</w:t>
      </w:r>
      <w:r>
        <w:rPr>
          <w:spacing w:val="-4"/>
        </w:rPr>
        <w:t xml:space="preserve"> </w:t>
      </w:r>
      <w:r>
        <w:t>for</w:t>
      </w:r>
      <w:r>
        <w:rPr>
          <w:spacing w:val="-4"/>
        </w:rPr>
        <w:t xml:space="preserve"> </w:t>
      </w:r>
      <w:r>
        <w:t>age</w:t>
      </w:r>
      <w:r>
        <w:rPr>
          <w:spacing w:val="-4"/>
        </w:rPr>
        <w:t xml:space="preserve"> </w:t>
      </w:r>
      <w:r>
        <w:t>9,</w:t>
      </w:r>
      <w:r>
        <w:rPr>
          <w:spacing w:val="-4"/>
        </w:rPr>
        <w:t xml:space="preserve"> </w:t>
      </w:r>
      <w:r>
        <w:t>about</w:t>
      </w:r>
      <w:r>
        <w:rPr>
          <w:spacing w:val="-4"/>
        </w:rPr>
        <w:t xml:space="preserve"> </w:t>
      </w:r>
      <w:r>
        <w:t>80</w:t>
      </w:r>
      <w:r>
        <w:rPr>
          <w:spacing w:val="-4"/>
        </w:rPr>
        <w:t xml:space="preserve"> </w:t>
      </w:r>
      <w:r>
        <w:t>schools</w:t>
      </w:r>
      <w:r>
        <w:rPr>
          <w:spacing w:val="-4"/>
        </w:rPr>
        <w:t xml:space="preserve"> </w:t>
      </w:r>
      <w:r>
        <w:t>had</w:t>
      </w:r>
      <w:r>
        <w:rPr>
          <w:spacing w:val="-4"/>
        </w:rPr>
        <w:t xml:space="preserve"> </w:t>
      </w:r>
      <w:r>
        <w:t>a</w:t>
      </w:r>
      <w:r>
        <w:rPr>
          <w:spacing w:val="-4"/>
        </w:rPr>
        <w:t xml:space="preserve"> </w:t>
      </w:r>
      <w:r>
        <w:t>substitute</w:t>
      </w:r>
      <w:r>
        <w:rPr>
          <w:spacing w:val="-4"/>
        </w:rPr>
        <w:t xml:space="preserve"> </w:t>
      </w:r>
      <w:r>
        <w:t>activated</w:t>
      </w:r>
      <w:r>
        <w:rPr>
          <w:spacing w:val="-4"/>
        </w:rPr>
        <w:t xml:space="preserve"> </w:t>
      </w:r>
      <w:r>
        <w:t>because</w:t>
      </w:r>
      <w:r>
        <w:rPr>
          <w:spacing w:val="-4"/>
        </w:rPr>
        <w:t xml:space="preserve"> </w:t>
      </w:r>
      <w:r>
        <w:t>the</w:t>
      </w:r>
      <w:r>
        <w:rPr>
          <w:spacing w:val="-4"/>
        </w:rPr>
        <w:t xml:space="preserve"> </w:t>
      </w:r>
      <w:r>
        <w:t>original</w:t>
      </w:r>
      <w:r>
        <w:rPr>
          <w:spacing w:val="-4"/>
        </w:rPr>
        <w:t xml:space="preserve"> </w:t>
      </w:r>
      <w:r>
        <w:t>eligible</w:t>
      </w:r>
      <w:r>
        <w:rPr>
          <w:spacing w:val="-4"/>
        </w:rPr>
        <w:t xml:space="preserve"> </w:t>
      </w:r>
      <w:r>
        <w:t>school</w:t>
      </w:r>
      <w:r>
        <w:rPr>
          <w:spacing w:val="-4"/>
        </w:rPr>
        <w:t xml:space="preserve"> </w:t>
      </w:r>
      <w:r>
        <w:t>did</w:t>
      </w:r>
      <w:r>
        <w:rPr>
          <w:spacing w:val="-4"/>
        </w:rPr>
        <w:t xml:space="preserve"> </w:t>
      </w:r>
      <w:r>
        <w:t>not</w:t>
      </w:r>
      <w:r>
        <w:rPr>
          <w:spacing w:val="-4"/>
        </w:rPr>
        <w:t xml:space="preserve"> </w:t>
      </w:r>
      <w:r>
        <w:t>participate,</w:t>
      </w:r>
      <w:r>
        <w:rPr>
          <w:spacing w:val="-4"/>
        </w:rPr>
        <w:t xml:space="preserve"> </w:t>
      </w:r>
      <w:r>
        <w:t>and</w:t>
      </w:r>
      <w:r>
        <w:rPr>
          <w:spacing w:val="-4"/>
        </w:rPr>
        <w:t xml:space="preserve"> </w:t>
      </w:r>
      <w:r>
        <w:t>a handful</w:t>
      </w:r>
      <w:r>
        <w:rPr>
          <w:spacing w:val="-6"/>
        </w:rPr>
        <w:t xml:space="preserve"> </w:t>
      </w:r>
      <w:r>
        <w:t>of</w:t>
      </w:r>
      <w:r>
        <w:rPr>
          <w:spacing w:val="-6"/>
        </w:rPr>
        <w:t xml:space="preserve"> </w:t>
      </w:r>
      <w:r>
        <w:t>those</w:t>
      </w:r>
      <w:r>
        <w:rPr>
          <w:spacing w:val="-6"/>
        </w:rPr>
        <w:t xml:space="preserve"> </w:t>
      </w:r>
      <w:r>
        <w:t>activated</w:t>
      </w:r>
      <w:r>
        <w:rPr>
          <w:spacing w:val="-6"/>
        </w:rPr>
        <w:t xml:space="preserve"> </w:t>
      </w:r>
      <w:r>
        <w:t>substitutes</w:t>
      </w:r>
      <w:r>
        <w:rPr>
          <w:spacing w:val="-6"/>
        </w:rPr>
        <w:t xml:space="preserve"> </w:t>
      </w:r>
      <w:r>
        <w:t>participated.</w:t>
      </w:r>
      <w:r>
        <w:rPr>
          <w:spacing w:val="-6"/>
        </w:rPr>
        <w:t xml:space="preserve"> </w:t>
      </w:r>
      <w:r>
        <w:t>For</w:t>
      </w:r>
      <w:r>
        <w:rPr>
          <w:spacing w:val="-6"/>
        </w:rPr>
        <w:t xml:space="preserve"> </w:t>
      </w:r>
      <w:r>
        <w:t>age</w:t>
      </w:r>
      <w:r>
        <w:rPr>
          <w:spacing w:val="-6"/>
        </w:rPr>
        <w:t xml:space="preserve"> </w:t>
      </w:r>
      <w:r>
        <w:t>13,</w:t>
      </w:r>
      <w:r>
        <w:rPr>
          <w:spacing w:val="-6"/>
        </w:rPr>
        <w:t xml:space="preserve"> </w:t>
      </w:r>
      <w:r>
        <w:t>of</w:t>
      </w:r>
      <w:r>
        <w:rPr>
          <w:spacing w:val="-6"/>
        </w:rPr>
        <w:t xml:space="preserve"> </w:t>
      </w:r>
      <w:r>
        <w:t>the</w:t>
      </w:r>
      <w:r>
        <w:rPr>
          <w:spacing w:val="-6"/>
        </w:rPr>
        <w:t xml:space="preserve"> </w:t>
      </w:r>
      <w:r>
        <w:t>approximately</w:t>
      </w:r>
      <w:r>
        <w:rPr>
          <w:spacing w:val="-6"/>
        </w:rPr>
        <w:t xml:space="preserve"> </w:t>
      </w:r>
      <w:r>
        <w:t>180</w:t>
      </w:r>
      <w:r>
        <w:rPr>
          <w:spacing w:val="-6"/>
        </w:rPr>
        <w:t xml:space="preserve"> </w:t>
      </w:r>
      <w:r>
        <w:t>originally</w:t>
      </w:r>
      <w:r>
        <w:rPr>
          <w:spacing w:val="-6"/>
        </w:rPr>
        <w:t xml:space="preserve"> </w:t>
      </w:r>
      <w:r>
        <w:t>sampled</w:t>
      </w:r>
      <w:r>
        <w:rPr>
          <w:spacing w:val="-6"/>
        </w:rPr>
        <w:t xml:space="preserve"> </w:t>
      </w:r>
      <w:r>
        <w:t>private</w:t>
      </w:r>
      <w:r>
        <w:rPr>
          <w:spacing w:val="40"/>
        </w:rPr>
        <w:t xml:space="preserve"> </w:t>
      </w:r>
      <w:r>
        <w:t>schools,</w:t>
      </w:r>
      <w:r>
        <w:rPr>
          <w:spacing w:val="-6"/>
        </w:rPr>
        <w:t xml:space="preserve"> </w:t>
      </w:r>
      <w:r>
        <w:t>about</w:t>
      </w:r>
      <w:r>
        <w:rPr>
          <w:spacing w:val="-6"/>
        </w:rPr>
        <w:t xml:space="preserve"> </w:t>
      </w:r>
      <w:r>
        <w:t>80</w:t>
      </w:r>
      <w:r>
        <w:rPr>
          <w:spacing w:val="-6"/>
        </w:rPr>
        <w:t xml:space="preserve"> </w:t>
      </w:r>
      <w:r>
        <w:t>also</w:t>
      </w:r>
      <w:r>
        <w:rPr>
          <w:spacing w:val="-6"/>
        </w:rPr>
        <w:t xml:space="preserve"> </w:t>
      </w:r>
      <w:r>
        <w:t>had</w:t>
      </w:r>
      <w:r>
        <w:rPr>
          <w:spacing w:val="-6"/>
        </w:rPr>
        <w:t xml:space="preserve"> </w:t>
      </w:r>
      <w:r>
        <w:t>a</w:t>
      </w:r>
      <w:r>
        <w:rPr>
          <w:spacing w:val="-6"/>
        </w:rPr>
        <w:t xml:space="preserve"> </w:t>
      </w:r>
      <w:r>
        <w:t>substitute</w:t>
      </w:r>
      <w:r>
        <w:rPr>
          <w:spacing w:val="-6"/>
        </w:rPr>
        <w:t xml:space="preserve"> </w:t>
      </w:r>
      <w:r>
        <w:t>activated</w:t>
      </w:r>
      <w:r>
        <w:rPr>
          <w:spacing w:val="-6"/>
        </w:rPr>
        <w:t xml:space="preserve"> </w:t>
      </w:r>
      <w:r>
        <w:t>because</w:t>
      </w:r>
      <w:r>
        <w:rPr>
          <w:spacing w:val="-6"/>
        </w:rPr>
        <w:t xml:space="preserve"> </w:t>
      </w:r>
      <w:r>
        <w:t>the original eligible school did not participate. Similar to age 9, only a handful of activated substitutes for age 13 participated.</w:t>
      </w:r>
    </w:p>
    <w:p w:rsidR="003F5784" w14:paraId="17699771" w14:textId="77777777">
      <w:pPr>
        <w:pStyle w:val="BodyText"/>
      </w:pPr>
    </w:p>
    <w:p w:rsidR="003F5784" w14:paraId="48E3804C" w14:textId="77777777">
      <w:pPr>
        <w:pStyle w:val="BodyText"/>
      </w:pPr>
    </w:p>
    <w:p w:rsidR="003F5784" w14:paraId="5ABDD0EE" w14:textId="77777777">
      <w:pPr>
        <w:pStyle w:val="BodyText"/>
        <w:spacing w:before="146"/>
      </w:pPr>
    </w:p>
    <w:p w:rsidR="003F5784" w14:paraId="3F0514D3" w14:textId="77777777">
      <w:pPr>
        <w:ind w:right="113"/>
        <w:jc w:val="right"/>
        <w:rPr>
          <w:sz w:val="18"/>
        </w:rPr>
      </w:pPr>
      <w:hyperlink r:id="rId144">
        <w:r>
          <w:rPr>
            <w:spacing w:val="-2"/>
            <w:w w:val="105"/>
            <w:sz w:val="18"/>
          </w:rPr>
          <w:t>http://nces.ed.gov/nationsreportcard/tdw/sample_design/2022/substitute_private_schools_for_the_2022_long_term_trend_assessment.aspx</w:t>
        </w:r>
      </w:hyperlink>
    </w:p>
    <w:p w:rsidR="003F5784" w14:paraId="40FCBEBD" w14:textId="77777777">
      <w:pPr>
        <w:pStyle w:val="BodyText"/>
        <w:spacing w:before="10"/>
        <w:rPr>
          <w:sz w:val="14"/>
        </w:rPr>
      </w:pPr>
      <w:r>
        <w:rPr>
          <w:noProof/>
        </w:rPr>
        <mc:AlternateContent>
          <mc:Choice Requires="wps">
            <w:drawing>
              <wp:anchor distT="0" distB="0" distL="0" distR="0" simplePos="0" relativeHeight="251847680" behindDoc="1" locked="0" layoutInCell="1" allowOverlap="1">
                <wp:simplePos x="0" y="0"/>
                <wp:positionH relativeFrom="page">
                  <wp:posOffset>361937</wp:posOffset>
                </wp:positionH>
                <wp:positionV relativeFrom="paragraph">
                  <wp:posOffset>124349</wp:posOffset>
                </wp:positionV>
                <wp:extent cx="9339580" cy="8890"/>
                <wp:effectExtent l="0" t="0" r="0" b="0"/>
                <wp:wrapTopAndBottom/>
                <wp:docPr id="165" name="Graphic 165"/>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293"/>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65" o:spid="_x0000_s1094" style="width:735.4pt;height:0.7pt;margin-top:9.8pt;margin-left:28.5pt;mso-position-horizontal-relative:page;mso-wrap-distance-bottom:0;mso-wrap-distance-left:0;mso-wrap-distance-right:0;mso-wrap-distance-top:0;mso-wrap-style:square;position:absolute;visibility:visible;v-text-anchor:top;z-index:-251467776" coordsize="9339580,8890" path="m9338970,l9335110,l,,,8280l8280,8293l9335110,8280l9338970,8280l9338970,xe" fillcolor="gray" stroked="f">
                <v:path arrowok="t"/>
                <w10:wrap type="topAndBottom"/>
              </v:shape>
            </w:pict>
          </mc:Fallback>
        </mc:AlternateContent>
      </w:r>
    </w:p>
    <w:p w:rsidR="003F5784" w14:paraId="3B2E3B91" w14:textId="77777777">
      <w:pPr>
        <w:pStyle w:val="BodyText"/>
        <w:rPr>
          <w:sz w:val="18"/>
        </w:rPr>
      </w:pPr>
    </w:p>
    <w:p w:rsidR="003F5784" w14:paraId="77AFFA85" w14:textId="77777777">
      <w:pPr>
        <w:pStyle w:val="BodyText"/>
        <w:spacing w:before="206"/>
        <w:rPr>
          <w:sz w:val="18"/>
        </w:rPr>
      </w:pPr>
    </w:p>
    <w:p w:rsidR="003F5784" w14:paraId="352AC025" w14:textId="09B36692">
      <w:pPr>
        <w:pStyle w:val="Heading1"/>
        <w:spacing w:line="244" w:lineRule="auto"/>
        <w:ind w:right="1127"/>
      </w:pPr>
      <w:r>
        <w:t>NAEP</w:t>
      </w:r>
      <w:r>
        <w:rPr>
          <w:spacing w:val="-19"/>
        </w:rPr>
        <w:t xml:space="preserve"> </w:t>
      </w:r>
      <w:r>
        <w:t>Technical Documentation</w:t>
      </w:r>
      <w:r w:rsidR="00B145F2">
        <w:t xml:space="preserve"> </w:t>
      </w:r>
      <w:r>
        <w:t>Target Population of the 2022 Private School Long-Term Trend Assessment</w:t>
      </w:r>
    </w:p>
    <w:p w:rsidR="003F5784" w14:paraId="441A20C9" w14:textId="77777777">
      <w:pPr>
        <w:spacing w:line="244" w:lineRule="auto"/>
        <w:sectPr>
          <w:pgSz w:w="15840" w:h="12240" w:orient="landscape"/>
          <w:pgMar w:top="480" w:right="440" w:bottom="460" w:left="460" w:header="284" w:footer="275" w:gutter="0"/>
          <w:cols w:space="720"/>
        </w:sectPr>
      </w:pPr>
    </w:p>
    <w:p w:rsidR="003F5784" w14:paraId="39689497" w14:textId="77777777">
      <w:pPr>
        <w:pStyle w:val="BodyText"/>
        <w:spacing w:before="78" w:line="232" w:lineRule="auto"/>
        <w:ind w:left="109"/>
      </w:pPr>
      <w:r>
        <w:t>The</w:t>
      </w:r>
      <w:r>
        <w:rPr>
          <w:spacing w:val="-5"/>
        </w:rPr>
        <w:t xml:space="preserve"> </w:t>
      </w:r>
      <w:r>
        <w:t>target</w:t>
      </w:r>
      <w:r>
        <w:rPr>
          <w:spacing w:val="-5"/>
        </w:rPr>
        <w:t xml:space="preserve"> </w:t>
      </w:r>
      <w:r>
        <w:t>populations</w:t>
      </w:r>
      <w:r>
        <w:rPr>
          <w:spacing w:val="-5"/>
        </w:rPr>
        <w:t xml:space="preserve"> </w:t>
      </w:r>
      <w:r>
        <w:t>for</w:t>
      </w:r>
      <w:r>
        <w:rPr>
          <w:spacing w:val="-5"/>
        </w:rPr>
        <w:t xml:space="preserve"> </w:t>
      </w:r>
      <w:r>
        <w:t>the</w:t>
      </w:r>
      <w:r>
        <w:rPr>
          <w:spacing w:val="-5"/>
        </w:rPr>
        <w:t xml:space="preserve"> </w:t>
      </w:r>
      <w:r>
        <w:t>2022</w:t>
      </w:r>
      <w:r>
        <w:rPr>
          <w:spacing w:val="-5"/>
        </w:rPr>
        <w:t xml:space="preserve"> </w:t>
      </w:r>
      <w:r>
        <w:t>long-term</w:t>
      </w:r>
      <w:r>
        <w:rPr>
          <w:spacing w:val="-5"/>
        </w:rPr>
        <w:t xml:space="preserve"> </w:t>
      </w:r>
      <w:r>
        <w:t>trend</w:t>
      </w:r>
      <w:r>
        <w:rPr>
          <w:spacing w:val="-5"/>
        </w:rPr>
        <w:t xml:space="preserve"> </w:t>
      </w:r>
      <w:r>
        <w:t>private</w:t>
      </w:r>
      <w:r>
        <w:rPr>
          <w:spacing w:val="-5"/>
        </w:rPr>
        <w:t xml:space="preserve"> </w:t>
      </w:r>
      <w:r>
        <w:t>school</w:t>
      </w:r>
      <w:r>
        <w:rPr>
          <w:spacing w:val="-5"/>
        </w:rPr>
        <w:t xml:space="preserve"> </w:t>
      </w:r>
      <w:r>
        <w:t>assessments</w:t>
      </w:r>
      <w:r>
        <w:rPr>
          <w:spacing w:val="-5"/>
        </w:rPr>
        <w:t xml:space="preserve"> </w:t>
      </w:r>
      <w:r>
        <w:t>included</w:t>
      </w:r>
      <w:r>
        <w:rPr>
          <w:spacing w:val="-5"/>
        </w:rPr>
        <w:t xml:space="preserve"> </w:t>
      </w:r>
      <w:r>
        <w:t>all</w:t>
      </w:r>
      <w:r>
        <w:rPr>
          <w:spacing w:val="-5"/>
        </w:rPr>
        <w:t xml:space="preserve"> </w:t>
      </w:r>
      <w:r>
        <w:t>students</w:t>
      </w:r>
      <w:r>
        <w:rPr>
          <w:spacing w:val="-5"/>
        </w:rPr>
        <w:t xml:space="preserve"> </w:t>
      </w:r>
      <w:r>
        <w:t>who</w:t>
      </w:r>
      <w:r>
        <w:rPr>
          <w:spacing w:val="-5"/>
        </w:rPr>
        <w:t xml:space="preserve"> </w:t>
      </w:r>
      <w:r>
        <w:t>were</w:t>
      </w:r>
      <w:r>
        <w:rPr>
          <w:spacing w:val="-5"/>
        </w:rPr>
        <w:t xml:space="preserve"> </w:t>
      </w:r>
      <w:r>
        <w:t>age</w:t>
      </w:r>
      <w:r>
        <w:rPr>
          <w:spacing w:val="-5"/>
        </w:rPr>
        <w:t xml:space="preserve"> </w:t>
      </w:r>
      <w:r>
        <w:t>9</w:t>
      </w:r>
      <w:r>
        <w:rPr>
          <w:spacing w:val="-5"/>
        </w:rPr>
        <w:t xml:space="preserve"> </w:t>
      </w:r>
      <w:r>
        <w:t>(i.e.,</w:t>
      </w:r>
      <w:r>
        <w:rPr>
          <w:spacing w:val="-5"/>
        </w:rPr>
        <w:t xml:space="preserve"> </w:t>
      </w:r>
      <w:r>
        <w:t>born</w:t>
      </w:r>
      <w:r>
        <w:rPr>
          <w:spacing w:val="-5"/>
        </w:rPr>
        <w:t xml:space="preserve"> </w:t>
      </w:r>
      <w:r>
        <w:t>in</w:t>
      </w:r>
      <w:r>
        <w:rPr>
          <w:spacing w:val="-5"/>
        </w:rPr>
        <w:t xml:space="preserve"> </w:t>
      </w:r>
      <w:r>
        <w:t>2012)</w:t>
      </w:r>
      <w:r>
        <w:rPr>
          <w:spacing w:val="-5"/>
        </w:rPr>
        <w:t xml:space="preserve"> </w:t>
      </w:r>
      <w:r>
        <w:t>or</w:t>
      </w:r>
      <w:r>
        <w:rPr>
          <w:spacing w:val="-5"/>
        </w:rPr>
        <w:t xml:space="preserve"> </w:t>
      </w:r>
      <w:r>
        <w:t>age</w:t>
      </w:r>
      <w:r>
        <w:rPr>
          <w:spacing w:val="-5"/>
        </w:rPr>
        <w:t xml:space="preserve"> </w:t>
      </w:r>
      <w:r>
        <w:t>13</w:t>
      </w:r>
      <w:r>
        <w:rPr>
          <w:spacing w:val="-5"/>
        </w:rPr>
        <w:t xml:space="preserve"> </w:t>
      </w:r>
      <w:r>
        <w:t>(born</w:t>
      </w:r>
      <w:r>
        <w:rPr>
          <w:spacing w:val="-5"/>
        </w:rPr>
        <w:t xml:space="preserve"> </w:t>
      </w:r>
      <w:r>
        <w:t>in</w:t>
      </w:r>
      <w:r>
        <w:rPr>
          <w:spacing w:val="-5"/>
        </w:rPr>
        <w:t xml:space="preserve"> </w:t>
      </w:r>
      <w:r>
        <w:t>2009)</w:t>
      </w:r>
      <w:r>
        <w:rPr>
          <w:spacing w:val="-5"/>
        </w:rPr>
        <w:t xml:space="preserve"> </w:t>
      </w:r>
      <w:r>
        <w:t>in</w:t>
      </w:r>
      <w:r>
        <w:rPr>
          <w:spacing w:val="-5"/>
        </w:rPr>
        <w:t xml:space="preserve"> </w:t>
      </w:r>
      <w:r>
        <w:t>private schools in the 50 states and the District of Columbia.</w:t>
      </w:r>
    </w:p>
    <w:p w:rsidR="003F5784" w14:paraId="7C1928F6" w14:textId="77777777">
      <w:pPr>
        <w:pStyle w:val="BodyText"/>
      </w:pPr>
    </w:p>
    <w:p w:rsidR="003F5784" w14:paraId="6C4569D7" w14:textId="77777777">
      <w:pPr>
        <w:pStyle w:val="BodyText"/>
      </w:pPr>
    </w:p>
    <w:p w:rsidR="003F5784" w14:paraId="3DFA3C57" w14:textId="77777777">
      <w:pPr>
        <w:pStyle w:val="BodyText"/>
        <w:spacing w:before="145"/>
      </w:pPr>
    </w:p>
    <w:p w:rsidR="003F5784" w14:paraId="43E9AA59" w14:textId="77777777">
      <w:pPr>
        <w:spacing w:before="1"/>
        <w:ind w:left="3919"/>
        <w:rPr>
          <w:sz w:val="18"/>
        </w:rPr>
      </w:pPr>
      <w:hyperlink r:id="rId145">
        <w:r>
          <w:rPr>
            <w:spacing w:val="-2"/>
            <w:w w:val="105"/>
            <w:sz w:val="18"/>
          </w:rPr>
          <w:t>http://nces.ed.gov/nationsreportcard/tdw/sample_design/2022/target_population_of_the_2022_private_school_long_term_trend_assessment.aspx</w:t>
        </w:r>
      </w:hyperlink>
    </w:p>
    <w:p w:rsidR="003F5784" w14:paraId="763902E1" w14:textId="77777777">
      <w:pPr>
        <w:pStyle w:val="BodyText"/>
        <w:rPr>
          <w:sz w:val="16"/>
        </w:rPr>
      </w:pPr>
      <w:r>
        <w:rPr>
          <w:noProof/>
        </w:rPr>
        <mc:AlternateContent>
          <mc:Choice Requires="wps">
            <w:drawing>
              <wp:anchor distT="0" distB="0" distL="0" distR="0" simplePos="0" relativeHeight="251849728" behindDoc="1" locked="0" layoutInCell="1" allowOverlap="1">
                <wp:simplePos x="0" y="0"/>
                <wp:positionH relativeFrom="page">
                  <wp:posOffset>361937</wp:posOffset>
                </wp:positionH>
                <wp:positionV relativeFrom="paragraph">
                  <wp:posOffset>132450</wp:posOffset>
                </wp:positionV>
                <wp:extent cx="9339580" cy="8890"/>
                <wp:effectExtent l="0" t="0" r="0" b="0"/>
                <wp:wrapTopAndBottom/>
                <wp:docPr id="166" name="Graphic 16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293"/>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66" o:spid="_x0000_s1095" style="width:735.4pt;height:0.7pt;margin-top:10.45pt;margin-left:28.5pt;mso-position-horizontal-relative:page;mso-wrap-distance-bottom:0;mso-wrap-distance-left:0;mso-wrap-distance-right:0;mso-wrap-distance-top:0;mso-wrap-style:square;position:absolute;visibility:visible;v-text-anchor:top;z-index:-251465728" coordsize="9339580,8890" path="m9338970,l9335110,l,,,8280l8280,8293l9335110,8280l9338970,8280l9338970,xe" fillcolor="gray" stroked="f">
                <v:path arrowok="t"/>
                <w10:wrap type="topAndBottom"/>
              </v:shape>
            </w:pict>
          </mc:Fallback>
        </mc:AlternateContent>
      </w:r>
    </w:p>
    <w:p w:rsidR="003F5784" w14:paraId="043056D2" w14:textId="77777777">
      <w:pPr>
        <w:pStyle w:val="BodyText"/>
        <w:rPr>
          <w:sz w:val="18"/>
        </w:rPr>
      </w:pPr>
    </w:p>
    <w:p w:rsidR="003F5784" w14:paraId="4D7F6B1D" w14:textId="77777777">
      <w:pPr>
        <w:pStyle w:val="BodyText"/>
        <w:spacing w:before="193"/>
        <w:rPr>
          <w:sz w:val="18"/>
        </w:rPr>
      </w:pPr>
    </w:p>
    <w:p w:rsidR="003F5784" w14:paraId="2C3D138C" w14:textId="4272AF67">
      <w:pPr>
        <w:pStyle w:val="Heading1"/>
      </w:pPr>
      <w:r>
        <w:t>NAEP</w:t>
      </w:r>
      <w:r>
        <w:rPr>
          <w:spacing w:val="-29"/>
        </w:rPr>
        <w:t xml:space="preserve"> </w:t>
      </w:r>
      <w:r>
        <w:t>Technical</w:t>
      </w:r>
      <w:r>
        <w:rPr>
          <w:spacing w:val="1"/>
        </w:rPr>
        <w:t xml:space="preserve"> </w:t>
      </w:r>
      <w:r>
        <w:t>Documentation</w:t>
      </w:r>
      <w:r w:rsidR="00B145F2">
        <w:t xml:space="preserve"> </w:t>
      </w:r>
      <w:r>
        <w:t>2022</w:t>
      </w:r>
      <w:r>
        <w:rPr>
          <w:spacing w:val="1"/>
        </w:rPr>
        <w:t xml:space="preserve"> </w:t>
      </w:r>
      <w:r>
        <w:t>Public</w:t>
      </w:r>
      <w:r>
        <w:rPr>
          <w:spacing w:val="1"/>
        </w:rPr>
        <w:t xml:space="preserve"> </w:t>
      </w:r>
      <w:r>
        <w:t>School</w:t>
      </w:r>
      <w:r>
        <w:rPr>
          <w:spacing w:val="1"/>
        </w:rPr>
        <w:t xml:space="preserve"> </w:t>
      </w:r>
      <w:r>
        <w:t>Long-Term</w:t>
      </w:r>
      <w:r>
        <w:rPr>
          <w:spacing w:val="-6"/>
        </w:rPr>
        <w:t xml:space="preserve"> </w:t>
      </w:r>
      <w:r>
        <w:t>Trend</w:t>
      </w:r>
      <w:r>
        <w:rPr>
          <w:spacing w:val="-22"/>
        </w:rPr>
        <w:t xml:space="preserve"> </w:t>
      </w:r>
      <w:r>
        <w:rPr>
          <w:spacing w:val="-2"/>
        </w:rPr>
        <w:t>Assessment</w:t>
      </w:r>
    </w:p>
    <w:p w:rsidR="003F5784" w14:paraId="3E23BDCC" w14:textId="77777777">
      <w:pPr>
        <w:pStyle w:val="BodyText"/>
        <w:spacing w:before="4"/>
        <w:rPr>
          <w:b/>
          <w:sz w:val="17"/>
        </w:rPr>
      </w:pPr>
    </w:p>
    <w:p w:rsidR="003F5784" w14:paraId="7C351013" w14:textId="77777777">
      <w:pPr>
        <w:rPr>
          <w:sz w:val="17"/>
        </w:rPr>
        <w:sectPr>
          <w:pgSz w:w="15840" w:h="12240" w:orient="landscape"/>
          <w:pgMar w:top="480" w:right="440" w:bottom="460" w:left="460" w:header="284" w:footer="275" w:gutter="0"/>
          <w:cols w:space="720"/>
        </w:sectPr>
      </w:pPr>
    </w:p>
    <w:p w:rsidR="003F5784" w14:paraId="1AB6A85C" w14:textId="77777777">
      <w:pPr>
        <w:pStyle w:val="BodyText"/>
        <w:spacing w:before="96" w:line="232" w:lineRule="auto"/>
        <w:ind w:left="109" w:right="202"/>
      </w:pPr>
      <w:r>
        <w:t>The</w:t>
      </w:r>
      <w:r>
        <w:rPr>
          <w:spacing w:val="-6"/>
        </w:rPr>
        <w:t xml:space="preserve"> </w:t>
      </w:r>
      <w:r>
        <w:t>NAEP</w:t>
      </w:r>
      <w:r>
        <w:rPr>
          <w:spacing w:val="-14"/>
        </w:rPr>
        <w:t xml:space="preserve"> </w:t>
      </w:r>
      <w:r>
        <w:t>2022</w:t>
      </w:r>
      <w:r>
        <w:rPr>
          <w:spacing w:val="-5"/>
        </w:rPr>
        <w:t xml:space="preserve"> </w:t>
      </w:r>
      <w:r>
        <w:t>sample</w:t>
      </w:r>
      <w:r>
        <w:rPr>
          <w:spacing w:val="-6"/>
        </w:rPr>
        <w:t xml:space="preserve"> </w:t>
      </w:r>
      <w:r>
        <w:t>design</w:t>
      </w:r>
      <w:r>
        <w:rPr>
          <w:spacing w:val="-6"/>
        </w:rPr>
        <w:t xml:space="preserve"> </w:t>
      </w:r>
      <w:r>
        <w:t>yielded</w:t>
      </w:r>
      <w:r>
        <w:rPr>
          <w:spacing w:val="-6"/>
        </w:rPr>
        <w:t xml:space="preserve"> </w:t>
      </w:r>
      <w:r>
        <w:t>nationally</w:t>
      </w:r>
      <w:r>
        <w:rPr>
          <w:spacing w:val="-6"/>
        </w:rPr>
        <w:t xml:space="preserve"> </w:t>
      </w:r>
      <w:r>
        <w:t>representative</w:t>
      </w:r>
      <w:r>
        <w:rPr>
          <w:spacing w:val="-6"/>
        </w:rPr>
        <w:t xml:space="preserve"> </w:t>
      </w:r>
      <w:r>
        <w:t>samples</w:t>
      </w:r>
      <w:r>
        <w:rPr>
          <w:spacing w:val="-6"/>
        </w:rPr>
        <w:t xml:space="preserve"> </w:t>
      </w:r>
      <w:r>
        <w:t>of</w:t>
      </w:r>
      <w:r>
        <w:rPr>
          <w:spacing w:val="-6"/>
        </w:rPr>
        <w:t xml:space="preserve"> </w:t>
      </w:r>
      <w:r>
        <w:t>public</w:t>
      </w:r>
      <w:r>
        <w:rPr>
          <w:spacing w:val="-6"/>
        </w:rPr>
        <w:t xml:space="preserve"> </w:t>
      </w:r>
      <w:r>
        <w:t>school</w:t>
      </w:r>
      <w:r>
        <w:rPr>
          <w:spacing w:val="-6"/>
        </w:rPr>
        <w:t xml:space="preserve"> </w:t>
      </w:r>
      <w:r>
        <w:t>students</w:t>
      </w:r>
      <w:r>
        <w:rPr>
          <w:spacing w:val="-6"/>
        </w:rPr>
        <w:t xml:space="preserve"> </w:t>
      </w:r>
      <w:r>
        <w:t>at</w:t>
      </w:r>
      <w:r>
        <w:rPr>
          <w:spacing w:val="-6"/>
        </w:rPr>
        <w:t xml:space="preserve"> </w:t>
      </w:r>
      <w:r>
        <w:t>ages</w:t>
      </w:r>
      <w:r>
        <w:rPr>
          <w:spacing w:val="-6"/>
        </w:rPr>
        <w:t xml:space="preserve"> </w:t>
      </w:r>
      <w:r>
        <w:t>9</w:t>
      </w:r>
      <w:r>
        <w:rPr>
          <w:spacing w:val="-6"/>
        </w:rPr>
        <w:t xml:space="preserve"> </w:t>
      </w:r>
      <w:r>
        <w:t>and</w:t>
      </w:r>
      <w:r>
        <w:rPr>
          <w:spacing w:val="-6"/>
        </w:rPr>
        <w:t xml:space="preserve"> </w:t>
      </w:r>
      <w:r>
        <w:t>13</w:t>
      </w:r>
      <w:r>
        <w:rPr>
          <w:spacing w:val="-6"/>
        </w:rPr>
        <w:t xml:space="preserve"> </w:t>
      </w:r>
      <w:r>
        <w:t>for</w:t>
      </w:r>
      <w:r>
        <w:rPr>
          <w:spacing w:val="-6"/>
        </w:rPr>
        <w:t xml:space="preserve"> </w:t>
      </w:r>
      <w:r>
        <w:t>long-term</w:t>
      </w:r>
      <w:r>
        <w:rPr>
          <w:spacing w:val="-6"/>
        </w:rPr>
        <w:t xml:space="preserve"> </w:t>
      </w:r>
      <w:r>
        <w:t>trend (LTT) through a three-stage approach:</w:t>
      </w:r>
    </w:p>
    <w:p w:rsidR="003F5784" w14:paraId="6C6583D9" w14:textId="77777777">
      <w:pPr>
        <w:pStyle w:val="BodyText"/>
        <w:spacing w:before="209" w:line="232" w:lineRule="auto"/>
        <w:ind w:left="422" w:right="7771"/>
      </w:pPr>
      <w:r>
        <w:rPr>
          <w:noProof/>
          <w:position w:val="3"/>
        </w:rPr>
        <w:drawing>
          <wp:inline distT="0" distB="0" distL="0" distR="0">
            <wp:extent cx="41379" cy="41345"/>
            <wp:effectExtent l="0" t="0" r="0" b="0"/>
            <wp:docPr id="167" name="Image 167"/>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xmlns:r="http://schemas.openxmlformats.org/officeDocument/2006/relationships" r:embed="rId146" cstate="print"/>
                    <a:stretch>
                      <a:fillRect/>
                    </a:stretch>
                  </pic:blipFill>
                  <pic:spPr>
                    <a:xfrm>
                      <a:off x="0" y="0"/>
                      <a:ext cx="41379" cy="41345"/>
                    </a:xfrm>
                    <a:prstGeom prst="rect">
                      <a:avLst/>
                    </a:prstGeom>
                  </pic:spPr>
                </pic:pic>
              </a:graphicData>
            </a:graphic>
          </wp:inline>
        </w:drawing>
      </w:r>
      <w:r>
        <w:rPr>
          <w:spacing w:val="72"/>
          <w:sz w:val="20"/>
        </w:rPr>
        <w:t xml:space="preserve"> </w:t>
      </w:r>
      <w:r>
        <w:t>selection</w:t>
      </w:r>
      <w:r>
        <w:rPr>
          <w:spacing w:val="-9"/>
        </w:rPr>
        <w:t xml:space="preserve"> </w:t>
      </w:r>
      <w:r>
        <w:t>of</w:t>
      </w:r>
      <w:r>
        <w:rPr>
          <w:spacing w:val="-9"/>
        </w:rPr>
        <w:t xml:space="preserve"> </w:t>
      </w:r>
      <w:r>
        <w:t>primary</w:t>
      </w:r>
      <w:r>
        <w:rPr>
          <w:spacing w:val="-9"/>
        </w:rPr>
        <w:t xml:space="preserve"> </w:t>
      </w:r>
      <w:r>
        <w:t>sampling</w:t>
      </w:r>
      <w:r>
        <w:rPr>
          <w:spacing w:val="-9"/>
        </w:rPr>
        <w:t xml:space="preserve"> </w:t>
      </w:r>
      <w:r>
        <w:t>units</w:t>
      </w:r>
      <w:r>
        <w:rPr>
          <w:spacing w:val="-9"/>
        </w:rPr>
        <w:t xml:space="preserve"> </w:t>
      </w:r>
      <w:r>
        <w:t xml:space="preserve">(PSUs); </w:t>
      </w:r>
      <w:r>
        <w:rPr>
          <w:noProof/>
          <w:position w:val="3"/>
        </w:rPr>
        <w:drawing>
          <wp:inline distT="0" distB="0" distL="0" distR="0">
            <wp:extent cx="41379" cy="41345"/>
            <wp:effectExtent l="0" t="0" r="0" b="0"/>
            <wp:docPr id="168" name="Image 168"/>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xmlns:r="http://schemas.openxmlformats.org/officeDocument/2006/relationships" r:embed="rId147" cstate="print"/>
                    <a:stretch>
                      <a:fillRect/>
                    </a:stretch>
                  </pic:blipFill>
                  <pic:spPr>
                    <a:xfrm>
                      <a:off x="0" y="0"/>
                      <a:ext cx="41379" cy="41345"/>
                    </a:xfrm>
                    <a:prstGeom prst="rect">
                      <a:avLst/>
                    </a:prstGeom>
                  </pic:spPr>
                </pic:pic>
              </a:graphicData>
            </a:graphic>
          </wp:inline>
        </w:drawing>
      </w:r>
      <w:r>
        <w:rPr>
          <w:spacing w:val="80"/>
        </w:rPr>
        <w:t xml:space="preserve"> </w:t>
      </w:r>
      <w:r>
        <w:t>selection of schools within strata; and</w:t>
      </w:r>
    </w:p>
    <w:p w:rsidR="003F5784" w14:paraId="0D7FFF0A" w14:textId="77777777">
      <w:pPr>
        <w:pStyle w:val="BodyText"/>
        <w:spacing w:line="236" w:lineRule="exact"/>
        <w:ind w:left="422"/>
      </w:pPr>
      <w:r>
        <w:rPr>
          <w:noProof/>
          <w:position w:val="3"/>
        </w:rPr>
        <w:drawing>
          <wp:inline distT="0" distB="0" distL="0" distR="0">
            <wp:extent cx="41379" cy="41345"/>
            <wp:effectExtent l="0" t="0" r="0" b="0"/>
            <wp:docPr id="169" name="Image 169"/>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xmlns:r="http://schemas.openxmlformats.org/officeDocument/2006/relationships" r:embed="rId148" cstate="print"/>
                    <a:stretch>
                      <a:fillRect/>
                    </a:stretch>
                  </pic:blipFill>
                  <pic:spPr>
                    <a:xfrm>
                      <a:off x="0" y="0"/>
                      <a:ext cx="41379" cy="41345"/>
                    </a:xfrm>
                    <a:prstGeom prst="rect">
                      <a:avLst/>
                    </a:prstGeom>
                  </pic:spPr>
                </pic:pic>
              </a:graphicData>
            </a:graphic>
          </wp:inline>
        </w:drawing>
      </w:r>
      <w:r>
        <w:rPr>
          <w:spacing w:val="80"/>
          <w:sz w:val="20"/>
        </w:rPr>
        <w:t xml:space="preserve"> </w:t>
      </w:r>
      <w:r>
        <w:t>selection of students within schools.</w:t>
      </w:r>
    </w:p>
    <w:p w:rsidR="003F5784" w14:paraId="0267E8FF" w14:textId="77777777">
      <w:pPr>
        <w:pStyle w:val="BodyText"/>
        <w:spacing w:before="201"/>
        <w:ind w:left="109"/>
      </w:pPr>
      <w:r>
        <w:t>The</w:t>
      </w:r>
      <w:r>
        <w:rPr>
          <w:spacing w:val="-6"/>
        </w:rPr>
        <w:t xml:space="preserve"> </w:t>
      </w:r>
      <w:r>
        <w:t>sample</w:t>
      </w:r>
      <w:r>
        <w:rPr>
          <w:spacing w:val="-5"/>
        </w:rPr>
        <w:t xml:space="preserve"> </w:t>
      </w:r>
      <w:r>
        <w:t>of</w:t>
      </w:r>
      <w:r>
        <w:rPr>
          <w:spacing w:val="-6"/>
        </w:rPr>
        <w:t xml:space="preserve"> </w:t>
      </w:r>
      <w:r>
        <w:t>schools</w:t>
      </w:r>
      <w:r>
        <w:rPr>
          <w:spacing w:val="-5"/>
        </w:rPr>
        <w:t xml:space="preserve"> </w:t>
      </w:r>
      <w:r>
        <w:t>was</w:t>
      </w:r>
      <w:r>
        <w:rPr>
          <w:spacing w:val="-6"/>
        </w:rPr>
        <w:t xml:space="preserve"> </w:t>
      </w:r>
      <w:r>
        <w:t>selected</w:t>
      </w:r>
      <w:r>
        <w:rPr>
          <w:spacing w:val="-5"/>
        </w:rPr>
        <w:t xml:space="preserve"> </w:t>
      </w:r>
      <w:r>
        <w:t>with</w:t>
      </w:r>
      <w:r>
        <w:rPr>
          <w:spacing w:val="-6"/>
        </w:rPr>
        <w:t xml:space="preserve"> </w:t>
      </w:r>
      <w:r>
        <w:t>probability</w:t>
      </w:r>
      <w:r>
        <w:rPr>
          <w:spacing w:val="-5"/>
        </w:rPr>
        <w:t xml:space="preserve"> </w:t>
      </w:r>
      <w:r>
        <w:t>proportional</w:t>
      </w:r>
      <w:r>
        <w:rPr>
          <w:spacing w:val="-6"/>
        </w:rPr>
        <w:t xml:space="preserve"> </w:t>
      </w:r>
      <w:r>
        <w:t>to</w:t>
      </w:r>
      <w:r>
        <w:rPr>
          <w:spacing w:val="-5"/>
        </w:rPr>
        <w:t xml:space="preserve"> </w:t>
      </w:r>
      <w:r>
        <w:t>a</w:t>
      </w:r>
      <w:r>
        <w:rPr>
          <w:spacing w:val="-6"/>
        </w:rPr>
        <w:t xml:space="preserve"> </w:t>
      </w:r>
      <w:r>
        <w:t>measure</w:t>
      </w:r>
      <w:r>
        <w:rPr>
          <w:spacing w:val="-5"/>
        </w:rPr>
        <w:t xml:space="preserve"> </w:t>
      </w:r>
      <w:r>
        <w:t>of</w:t>
      </w:r>
      <w:r>
        <w:rPr>
          <w:spacing w:val="-6"/>
        </w:rPr>
        <w:t xml:space="preserve"> </w:t>
      </w:r>
      <w:r>
        <w:t>size</w:t>
      </w:r>
      <w:r>
        <w:rPr>
          <w:spacing w:val="-5"/>
        </w:rPr>
        <w:t xml:space="preserve"> </w:t>
      </w:r>
      <w:r>
        <w:t>based</w:t>
      </w:r>
      <w:r>
        <w:rPr>
          <w:spacing w:val="-6"/>
        </w:rPr>
        <w:t xml:space="preserve"> </w:t>
      </w:r>
      <w:r>
        <w:t>on</w:t>
      </w:r>
      <w:r>
        <w:rPr>
          <w:spacing w:val="-5"/>
        </w:rPr>
        <w:t xml:space="preserve"> </w:t>
      </w:r>
      <w:r>
        <w:t>the</w:t>
      </w:r>
      <w:r>
        <w:rPr>
          <w:spacing w:val="-6"/>
        </w:rPr>
        <w:t xml:space="preserve"> </w:t>
      </w:r>
      <w:r>
        <w:t>estimated</w:t>
      </w:r>
      <w:r>
        <w:rPr>
          <w:spacing w:val="-5"/>
        </w:rPr>
        <w:t xml:space="preserve"> </w:t>
      </w:r>
      <w:r>
        <w:t>age</w:t>
      </w:r>
      <w:r>
        <w:rPr>
          <w:spacing w:val="-6"/>
        </w:rPr>
        <w:t xml:space="preserve"> </w:t>
      </w:r>
      <w:r>
        <w:t>enrollment</w:t>
      </w:r>
      <w:r>
        <w:rPr>
          <w:spacing w:val="-5"/>
        </w:rPr>
        <w:t xml:space="preserve"> </w:t>
      </w:r>
      <w:r>
        <w:t>in</w:t>
      </w:r>
      <w:r>
        <w:rPr>
          <w:spacing w:val="-6"/>
        </w:rPr>
        <w:t xml:space="preserve"> </w:t>
      </w:r>
      <w:r>
        <w:t>the</w:t>
      </w:r>
      <w:r>
        <w:rPr>
          <w:spacing w:val="-5"/>
        </w:rPr>
        <w:t xml:space="preserve"> </w:t>
      </w:r>
      <w:r>
        <w:rPr>
          <w:spacing w:val="-2"/>
        </w:rPr>
        <w:t>schools.</w:t>
      </w:r>
    </w:p>
    <w:p w:rsidR="003F5784" w14:paraId="67622140" w14:textId="77777777">
      <w:pPr>
        <w:pStyle w:val="BodyText"/>
        <w:spacing w:before="208" w:line="232" w:lineRule="auto"/>
        <w:ind w:left="109" w:right="202"/>
      </w:pPr>
      <w:r>
        <w:t>The</w:t>
      </w:r>
      <w:r>
        <w:rPr>
          <w:spacing w:val="-8"/>
        </w:rPr>
        <w:t xml:space="preserve"> </w:t>
      </w:r>
      <w:r>
        <w:t>2022</w:t>
      </w:r>
      <w:r>
        <w:rPr>
          <w:spacing w:val="-8"/>
        </w:rPr>
        <w:t xml:space="preserve"> </w:t>
      </w:r>
      <w:r>
        <w:t>sampling</w:t>
      </w:r>
      <w:r>
        <w:rPr>
          <w:spacing w:val="-8"/>
        </w:rPr>
        <w:t xml:space="preserve"> </w:t>
      </w:r>
      <w:r>
        <w:t>plan</w:t>
      </w:r>
      <w:r>
        <w:rPr>
          <w:spacing w:val="-8"/>
        </w:rPr>
        <w:t xml:space="preserve"> </w:t>
      </w:r>
      <w:r>
        <w:t>was</w:t>
      </w:r>
      <w:r>
        <w:rPr>
          <w:spacing w:val="-8"/>
        </w:rPr>
        <w:t xml:space="preserve"> </w:t>
      </w:r>
      <w:r>
        <w:t>designed</w:t>
      </w:r>
      <w:r>
        <w:rPr>
          <w:spacing w:val="-8"/>
        </w:rPr>
        <w:t xml:space="preserve"> </w:t>
      </w:r>
      <w:r>
        <w:t>to</w:t>
      </w:r>
      <w:r>
        <w:rPr>
          <w:spacing w:val="-8"/>
        </w:rPr>
        <w:t xml:space="preserve"> </w:t>
      </w:r>
      <w:r>
        <w:t>assess</w:t>
      </w:r>
      <w:r>
        <w:rPr>
          <w:spacing w:val="-8"/>
        </w:rPr>
        <w:t xml:space="preserve"> </w:t>
      </w:r>
      <w:r>
        <w:t>14,760</w:t>
      </w:r>
      <w:r>
        <w:rPr>
          <w:spacing w:val="-8"/>
        </w:rPr>
        <w:t xml:space="preserve"> </w:t>
      </w:r>
      <w:r>
        <w:t>students</w:t>
      </w:r>
      <w:r>
        <w:rPr>
          <w:spacing w:val="-8"/>
        </w:rPr>
        <w:t xml:space="preserve"> </w:t>
      </w:r>
      <w:r>
        <w:t>at</w:t>
      </w:r>
      <w:r>
        <w:rPr>
          <w:spacing w:val="-8"/>
        </w:rPr>
        <w:t xml:space="preserve"> </w:t>
      </w:r>
      <w:r>
        <w:t>each</w:t>
      </w:r>
      <w:r>
        <w:rPr>
          <w:spacing w:val="-8"/>
        </w:rPr>
        <w:t xml:space="preserve"> </w:t>
      </w:r>
      <w:r>
        <w:t>age</w:t>
      </w:r>
      <w:r>
        <w:rPr>
          <w:spacing w:val="-8"/>
        </w:rPr>
        <w:t xml:space="preserve"> </w:t>
      </w:r>
      <w:r>
        <w:t>in</w:t>
      </w:r>
      <w:r>
        <w:rPr>
          <w:spacing w:val="-8"/>
        </w:rPr>
        <w:t xml:space="preserve"> </w:t>
      </w:r>
      <w:r>
        <w:t>public</w:t>
      </w:r>
      <w:r>
        <w:rPr>
          <w:spacing w:val="-8"/>
        </w:rPr>
        <w:t xml:space="preserve"> </w:t>
      </w:r>
      <w:r>
        <w:t>schools</w:t>
      </w:r>
      <w:r>
        <w:rPr>
          <w:spacing w:val="-8"/>
        </w:rPr>
        <w:t xml:space="preserve"> </w:t>
      </w:r>
      <w:r>
        <w:t>for</w:t>
      </w:r>
      <w:r>
        <w:rPr>
          <w:spacing w:val="-8"/>
        </w:rPr>
        <w:t xml:space="preserve"> </w:t>
      </w:r>
      <w:r>
        <w:t>LTT.</w:t>
      </w:r>
      <w:r>
        <w:rPr>
          <w:spacing w:val="-11"/>
        </w:rPr>
        <w:t xml:space="preserve"> </w:t>
      </w:r>
      <w:r>
        <w:t>These</w:t>
      </w:r>
      <w:r>
        <w:rPr>
          <w:spacing w:val="-8"/>
        </w:rPr>
        <w:t xml:space="preserve"> </w:t>
      </w:r>
      <w:r>
        <w:t>students</w:t>
      </w:r>
      <w:r>
        <w:rPr>
          <w:spacing w:val="-8"/>
        </w:rPr>
        <w:t xml:space="preserve"> </w:t>
      </w:r>
      <w:r>
        <w:t>were</w:t>
      </w:r>
      <w:r>
        <w:rPr>
          <w:spacing w:val="-8"/>
        </w:rPr>
        <w:t xml:space="preserve"> </w:t>
      </w:r>
      <w:r>
        <w:t>allocated</w:t>
      </w:r>
      <w:r>
        <w:rPr>
          <w:spacing w:val="-8"/>
        </w:rPr>
        <w:t xml:space="preserve"> </w:t>
      </w:r>
      <w:r>
        <w:t>among tests in mathematics and reading.</w:t>
      </w:r>
      <w:r>
        <w:rPr>
          <w:spacing w:val="-3"/>
        </w:rPr>
        <w:t xml:space="preserve"> </w:t>
      </w:r>
      <w:r>
        <w:t>Target sample sizes were adjusted to reflect expected public school and student response and eligibility.</w:t>
      </w:r>
    </w:p>
    <w:p w:rsidR="003F5784" w14:paraId="3AA2914F" w14:textId="77777777">
      <w:pPr>
        <w:pStyle w:val="BodyText"/>
        <w:spacing w:before="209" w:line="232" w:lineRule="auto"/>
        <w:ind w:left="109"/>
      </w:pPr>
      <w:r>
        <w:t>Schools on the sampling frame were explicitly stratified prior to sampling by PSU type (certainty/noncertainty).</w:t>
      </w:r>
      <w:r>
        <w:rPr>
          <w:spacing w:val="-1"/>
        </w:rPr>
        <w:t xml:space="preserve"> </w:t>
      </w:r>
      <w:r>
        <w:t>Within certainty PSUs, schools</w:t>
      </w:r>
      <w:r>
        <w:rPr>
          <w:spacing w:val="-14"/>
        </w:rPr>
        <w:t xml:space="preserve"> </w:t>
      </w:r>
      <w:r>
        <w:t>were</w:t>
      </w:r>
      <w:r>
        <w:rPr>
          <w:spacing w:val="-9"/>
        </w:rPr>
        <w:t xml:space="preserve"> </w:t>
      </w:r>
      <w:r>
        <w:t>implicitly</w:t>
      </w:r>
      <w:r>
        <w:rPr>
          <w:spacing w:val="-9"/>
        </w:rPr>
        <w:t xml:space="preserve"> </w:t>
      </w:r>
      <w:r>
        <w:t>stratified</w:t>
      </w:r>
      <w:r>
        <w:rPr>
          <w:spacing w:val="-9"/>
        </w:rPr>
        <w:t xml:space="preserve"> </w:t>
      </w:r>
      <w:r>
        <w:t>by</w:t>
      </w:r>
      <w:r>
        <w:rPr>
          <w:spacing w:val="-9"/>
        </w:rPr>
        <w:t xml:space="preserve"> </w:t>
      </w:r>
      <w:r>
        <w:t>census</w:t>
      </w:r>
      <w:r>
        <w:rPr>
          <w:spacing w:val="-9"/>
        </w:rPr>
        <w:t xml:space="preserve"> </w:t>
      </w:r>
      <w:r>
        <w:t>region,</w:t>
      </w:r>
      <w:r>
        <w:rPr>
          <w:spacing w:val="-14"/>
        </w:rPr>
        <w:t xml:space="preserve"> </w:t>
      </w:r>
      <w:r>
        <w:t>American</w:t>
      </w:r>
      <w:r>
        <w:rPr>
          <w:spacing w:val="-8"/>
        </w:rPr>
        <w:t xml:space="preserve"> </w:t>
      </w:r>
      <w:r>
        <w:t>Indian/Alaska</w:t>
      </w:r>
      <w:r>
        <w:rPr>
          <w:spacing w:val="-9"/>
        </w:rPr>
        <w:t xml:space="preserve"> </w:t>
      </w:r>
      <w:r>
        <w:t>Native</w:t>
      </w:r>
      <w:r>
        <w:rPr>
          <w:spacing w:val="-9"/>
        </w:rPr>
        <w:t xml:space="preserve"> </w:t>
      </w:r>
      <w:r>
        <w:t>(AI/AN)</w:t>
      </w:r>
      <w:r>
        <w:rPr>
          <w:spacing w:val="-9"/>
        </w:rPr>
        <w:t xml:space="preserve"> </w:t>
      </w:r>
      <w:r>
        <w:t>stratum,</w:t>
      </w:r>
      <w:r>
        <w:rPr>
          <w:spacing w:val="-9"/>
        </w:rPr>
        <w:t xml:space="preserve"> </w:t>
      </w:r>
      <w:r>
        <w:t>urbanization</w:t>
      </w:r>
      <w:r>
        <w:rPr>
          <w:spacing w:val="-9"/>
        </w:rPr>
        <w:t xml:space="preserve"> </w:t>
      </w:r>
      <w:r>
        <w:t>classification,</w:t>
      </w:r>
      <w:r>
        <w:rPr>
          <w:spacing w:val="-9"/>
        </w:rPr>
        <w:t xml:space="preserve"> </w:t>
      </w:r>
      <w:r>
        <w:t>race/ethnicity</w:t>
      </w:r>
    </w:p>
    <w:p w:rsidR="003F5784" w14:paraId="09AD5440" w14:textId="77777777">
      <w:pPr>
        <w:pStyle w:val="BodyText"/>
        <w:spacing w:before="90" w:line="439" w:lineRule="auto"/>
        <w:ind w:left="109" w:right="398"/>
      </w:pPr>
      <w:r>
        <w:br w:type="column"/>
        <w:t>Target Population Sampling Frame Stratification of Schools Sampling of Schools Substitute Schools Ineligible Schools Student</w:t>
      </w:r>
      <w:r>
        <w:rPr>
          <w:spacing w:val="-14"/>
        </w:rPr>
        <w:t xml:space="preserve"> </w:t>
      </w:r>
      <w:r>
        <w:t>Sample</w:t>
      </w:r>
      <w:r>
        <w:rPr>
          <w:spacing w:val="-13"/>
        </w:rPr>
        <w:t xml:space="preserve"> </w:t>
      </w:r>
      <w:r>
        <w:t>Selection</w:t>
      </w:r>
    </w:p>
    <w:p w:rsidR="003F5784" w14:paraId="5985D8D7" w14:textId="77777777">
      <w:pPr>
        <w:spacing w:line="439" w:lineRule="auto"/>
        <w:sectPr>
          <w:type w:val="continuous"/>
          <w:pgSz w:w="15840" w:h="12240" w:orient="landscape"/>
          <w:pgMar w:top="480" w:right="440" w:bottom="460" w:left="460" w:header="284" w:footer="275" w:gutter="0"/>
          <w:cols w:num="2" w:space="720" w:equalWidth="0">
            <w:col w:w="12073" w:space="213"/>
            <w:col w:w="2654"/>
          </w:cols>
        </w:sectPr>
      </w:pPr>
    </w:p>
    <w:p w:rsidR="003F5784" w14:paraId="7EDC95C8" w14:textId="77777777">
      <w:pPr>
        <w:pStyle w:val="BodyText"/>
        <w:spacing w:before="1" w:line="232" w:lineRule="auto"/>
        <w:ind w:left="109" w:right="318"/>
      </w:pPr>
      <w:r>
        <w:t>stratum, and race/ethnicity percentage.</w:t>
      </w:r>
      <w:r>
        <w:rPr>
          <w:spacing w:val="-2"/>
        </w:rPr>
        <w:t xml:space="preserve"> </w:t>
      </w:r>
      <w:r>
        <w:t>Within noncertainty PSUs, schools were implicitly stratified by PSU stratum,</w:t>
      </w:r>
      <w:r>
        <w:rPr>
          <w:spacing w:val="-10"/>
        </w:rPr>
        <w:t xml:space="preserve"> </w:t>
      </w:r>
      <w:r>
        <w:t>AI/AN stratum, urbanization classification, and race/ethnicity</w:t>
      </w:r>
      <w:r>
        <w:rPr>
          <w:spacing w:val="-9"/>
        </w:rPr>
        <w:t xml:space="preserve"> </w:t>
      </w:r>
      <w:r>
        <w:t>percentage.</w:t>
      </w:r>
      <w:r>
        <w:rPr>
          <w:spacing w:val="-6"/>
        </w:rPr>
        <w:t xml:space="preserve"> </w:t>
      </w:r>
      <w:r>
        <w:t>Note</w:t>
      </w:r>
      <w:r>
        <w:rPr>
          <w:spacing w:val="-6"/>
        </w:rPr>
        <w:t xml:space="preserve"> </w:t>
      </w:r>
      <w:r>
        <w:t>that</w:t>
      </w:r>
      <w:r>
        <w:rPr>
          <w:spacing w:val="-6"/>
        </w:rPr>
        <w:t xml:space="preserve"> </w:t>
      </w:r>
      <w:r>
        <w:t>the</w:t>
      </w:r>
      <w:r>
        <w:rPr>
          <w:spacing w:val="-6"/>
        </w:rPr>
        <w:t xml:space="preserve"> </w:t>
      </w:r>
      <w:r>
        <w:t>use</w:t>
      </w:r>
      <w:r>
        <w:rPr>
          <w:spacing w:val="-6"/>
        </w:rPr>
        <w:t xml:space="preserve"> </w:t>
      </w:r>
      <w:r>
        <w:t>of</w:t>
      </w:r>
      <w:r>
        <w:rPr>
          <w:spacing w:val="-6"/>
        </w:rPr>
        <w:t xml:space="preserve"> </w:t>
      </w:r>
      <w:r>
        <w:t>the</w:t>
      </w:r>
      <w:r>
        <w:rPr>
          <w:spacing w:val="-14"/>
        </w:rPr>
        <w:t xml:space="preserve"> </w:t>
      </w:r>
      <w:r>
        <w:t>AI/AN</w:t>
      </w:r>
      <w:r>
        <w:rPr>
          <w:spacing w:val="-5"/>
        </w:rPr>
        <w:t xml:space="preserve"> </w:t>
      </w:r>
      <w:r>
        <w:t>stratum</w:t>
      </w:r>
      <w:r>
        <w:rPr>
          <w:spacing w:val="-6"/>
        </w:rPr>
        <w:t xml:space="preserve"> </w:t>
      </w:r>
      <w:r>
        <w:t>as</w:t>
      </w:r>
      <w:r>
        <w:rPr>
          <w:spacing w:val="-6"/>
        </w:rPr>
        <w:t xml:space="preserve"> </w:t>
      </w:r>
      <w:r>
        <w:t>an</w:t>
      </w:r>
      <w:r>
        <w:rPr>
          <w:spacing w:val="-6"/>
        </w:rPr>
        <w:t xml:space="preserve"> </w:t>
      </w:r>
      <w:r>
        <w:t>implicit</w:t>
      </w:r>
      <w:r>
        <w:rPr>
          <w:spacing w:val="-6"/>
        </w:rPr>
        <w:t xml:space="preserve"> </w:t>
      </w:r>
      <w:r>
        <w:t>stratification</w:t>
      </w:r>
      <w:r>
        <w:rPr>
          <w:spacing w:val="-6"/>
        </w:rPr>
        <w:t xml:space="preserve"> </w:t>
      </w:r>
      <w:r>
        <w:t>variable</w:t>
      </w:r>
      <w:r>
        <w:rPr>
          <w:spacing w:val="-6"/>
        </w:rPr>
        <w:t xml:space="preserve"> </w:t>
      </w:r>
      <w:r>
        <w:t>helped</w:t>
      </w:r>
      <w:r>
        <w:rPr>
          <w:spacing w:val="-6"/>
        </w:rPr>
        <w:t xml:space="preserve"> </w:t>
      </w:r>
      <w:r>
        <w:t>ensure</w:t>
      </w:r>
      <w:r>
        <w:rPr>
          <w:spacing w:val="-6"/>
        </w:rPr>
        <w:t xml:space="preserve"> </w:t>
      </w:r>
      <w:r>
        <w:t>that</w:t>
      </w:r>
      <w:r>
        <w:rPr>
          <w:spacing w:val="-6"/>
        </w:rPr>
        <w:t xml:space="preserve"> </w:t>
      </w:r>
      <w:r>
        <w:t>a</w:t>
      </w:r>
      <w:r>
        <w:rPr>
          <w:spacing w:val="-6"/>
        </w:rPr>
        <w:t xml:space="preserve"> </w:t>
      </w:r>
      <w:r>
        <w:t>reasonable</w:t>
      </w:r>
      <w:r>
        <w:rPr>
          <w:spacing w:val="-6"/>
        </w:rPr>
        <w:t xml:space="preserve"> </w:t>
      </w:r>
      <w:r>
        <w:t>number</w:t>
      </w:r>
      <w:r>
        <w:rPr>
          <w:spacing w:val="-6"/>
        </w:rPr>
        <w:t xml:space="preserve"> </w:t>
      </w:r>
      <w:r>
        <w:t>of</w:t>
      </w:r>
      <w:r>
        <w:rPr>
          <w:spacing w:val="-6"/>
        </w:rPr>
        <w:t xml:space="preserve"> </w:t>
      </w:r>
      <w:r>
        <w:t>schools</w:t>
      </w:r>
      <w:r>
        <w:rPr>
          <w:spacing w:val="-6"/>
        </w:rPr>
        <w:t xml:space="preserve"> </w:t>
      </w:r>
      <w:r>
        <w:t>with</w:t>
      </w:r>
      <w:r>
        <w:rPr>
          <w:spacing w:val="-6"/>
        </w:rPr>
        <w:t xml:space="preserve"> </w:t>
      </w:r>
      <w:r>
        <w:t>sufficient numbers of AI/AN students in them were selected.</w:t>
      </w:r>
    </w:p>
    <w:p w:rsidR="003F5784" w14:paraId="6F6B0626" w14:textId="77777777">
      <w:pPr>
        <w:pStyle w:val="BodyText"/>
        <w:spacing w:before="209" w:line="232" w:lineRule="auto"/>
        <w:ind w:left="109"/>
      </w:pPr>
      <w:r>
        <w:t>From the stratified frame of public schools, systematic random samples of age-eligible schools were drawn with probability proportional to a measure of size based on the estimated age enrollment of the school for the relevant age.</w:t>
      </w:r>
      <w:r>
        <w:rPr>
          <w:spacing w:val="-3"/>
        </w:rPr>
        <w:t xml:space="preserve"> </w:t>
      </w:r>
      <w:r>
        <w:t>The measures of size included an adjustment made in an attempt to ensure the inclusion of all eligible schools that were</w:t>
      </w:r>
      <w:r>
        <w:rPr>
          <w:spacing w:val="-6"/>
        </w:rPr>
        <w:t xml:space="preserve"> </w:t>
      </w:r>
      <w:r>
        <w:t>part</w:t>
      </w:r>
      <w:r>
        <w:rPr>
          <w:spacing w:val="-6"/>
        </w:rPr>
        <w:t xml:space="preserve"> </w:t>
      </w:r>
      <w:r>
        <w:t>of</w:t>
      </w:r>
      <w:r>
        <w:rPr>
          <w:spacing w:val="-6"/>
        </w:rPr>
        <w:t xml:space="preserve"> </w:t>
      </w:r>
      <w:r>
        <w:t>the</w:t>
      </w:r>
      <w:r>
        <w:rPr>
          <w:spacing w:val="-6"/>
        </w:rPr>
        <w:t xml:space="preserve"> </w:t>
      </w:r>
      <w:r>
        <w:t>2020</w:t>
      </w:r>
      <w:r>
        <w:rPr>
          <w:spacing w:val="-6"/>
        </w:rPr>
        <w:t xml:space="preserve"> </w:t>
      </w:r>
      <w:r>
        <w:t>public</w:t>
      </w:r>
      <w:r>
        <w:rPr>
          <w:spacing w:val="-6"/>
        </w:rPr>
        <w:t xml:space="preserve"> </w:t>
      </w:r>
      <w:r>
        <w:t>school</w:t>
      </w:r>
      <w:r>
        <w:rPr>
          <w:spacing w:val="-6"/>
        </w:rPr>
        <w:t xml:space="preserve"> </w:t>
      </w:r>
      <w:r>
        <w:t>long-term</w:t>
      </w:r>
      <w:r>
        <w:rPr>
          <w:spacing w:val="-6"/>
        </w:rPr>
        <w:t xml:space="preserve"> </w:t>
      </w:r>
      <w:r>
        <w:t>trend</w:t>
      </w:r>
      <w:r>
        <w:rPr>
          <w:spacing w:val="-6"/>
        </w:rPr>
        <w:t xml:space="preserve"> </w:t>
      </w:r>
      <w:r>
        <w:t>sample</w:t>
      </w:r>
      <w:r>
        <w:rPr>
          <w:spacing w:val="-6"/>
        </w:rPr>
        <w:t xml:space="preserve"> </w:t>
      </w:r>
      <w:r>
        <w:t>for</w:t>
      </w:r>
      <w:r>
        <w:rPr>
          <w:spacing w:val="-6"/>
        </w:rPr>
        <w:t xml:space="preserve"> </w:t>
      </w:r>
      <w:r>
        <w:t>ages</w:t>
      </w:r>
      <w:r>
        <w:rPr>
          <w:spacing w:val="-6"/>
        </w:rPr>
        <w:t xml:space="preserve"> </w:t>
      </w:r>
      <w:r>
        <w:t>9</w:t>
      </w:r>
      <w:r>
        <w:rPr>
          <w:spacing w:val="-6"/>
        </w:rPr>
        <w:t xml:space="preserve"> </w:t>
      </w:r>
      <w:r>
        <w:t>and</w:t>
      </w:r>
      <w:r>
        <w:rPr>
          <w:spacing w:val="-6"/>
        </w:rPr>
        <w:t xml:space="preserve"> </w:t>
      </w:r>
      <w:r>
        <w:t>13.</w:t>
      </w:r>
      <w:r>
        <w:rPr>
          <w:spacing w:val="-9"/>
        </w:rPr>
        <w:t xml:space="preserve"> </w:t>
      </w:r>
      <w:r>
        <w:t>The</w:t>
      </w:r>
      <w:r>
        <w:rPr>
          <w:spacing w:val="-6"/>
        </w:rPr>
        <w:t xml:space="preserve"> </w:t>
      </w:r>
      <w:r>
        <w:t>NAEP</w:t>
      </w:r>
      <w:r>
        <w:rPr>
          <w:spacing w:val="-13"/>
        </w:rPr>
        <w:t xml:space="preserve"> </w:t>
      </w:r>
      <w:r>
        <w:t>sampling</w:t>
      </w:r>
      <w:r>
        <w:rPr>
          <w:spacing w:val="-6"/>
        </w:rPr>
        <w:t xml:space="preserve"> </w:t>
      </w:r>
      <w:r>
        <w:t>procedures</w:t>
      </w:r>
      <w:r>
        <w:rPr>
          <w:spacing w:val="-6"/>
        </w:rPr>
        <w:t xml:space="preserve"> </w:t>
      </w:r>
      <w:r>
        <w:t>used</w:t>
      </w:r>
      <w:r>
        <w:rPr>
          <w:spacing w:val="-6"/>
        </w:rPr>
        <w:t xml:space="preserve"> </w:t>
      </w:r>
      <w:r>
        <w:t>an</w:t>
      </w:r>
      <w:r>
        <w:rPr>
          <w:spacing w:val="-6"/>
        </w:rPr>
        <w:t xml:space="preserve"> </w:t>
      </w:r>
      <w:r>
        <w:t>adaptation</w:t>
      </w:r>
      <w:r>
        <w:rPr>
          <w:spacing w:val="-6"/>
        </w:rPr>
        <w:t xml:space="preserve"> </w:t>
      </w:r>
      <w:r>
        <w:t>of</w:t>
      </w:r>
      <w:r>
        <w:rPr>
          <w:spacing w:val="-6"/>
        </w:rPr>
        <w:t xml:space="preserve"> </w:t>
      </w:r>
      <w:r>
        <w:t>the</w:t>
      </w:r>
      <w:r>
        <w:rPr>
          <w:spacing w:val="-6"/>
        </w:rPr>
        <w:t xml:space="preserve"> </w:t>
      </w:r>
      <w:r>
        <w:t>Keyfitz</w:t>
      </w:r>
      <w:r>
        <w:rPr>
          <w:spacing w:val="-6"/>
        </w:rPr>
        <w:t xml:space="preserve"> </w:t>
      </w:r>
      <w:r>
        <w:t>process</w:t>
      </w:r>
      <w:r>
        <w:rPr>
          <w:spacing w:val="-6"/>
        </w:rPr>
        <w:t xml:space="preserve"> </w:t>
      </w:r>
      <w:r>
        <w:t>to</w:t>
      </w:r>
      <w:r>
        <w:rPr>
          <w:spacing w:val="-6"/>
        </w:rPr>
        <w:t xml:space="preserve"> </w:t>
      </w:r>
      <w:r>
        <w:t>compute</w:t>
      </w:r>
      <w:r>
        <w:rPr>
          <w:spacing w:val="-6"/>
        </w:rPr>
        <w:t xml:space="preserve"> </w:t>
      </w:r>
      <w:r>
        <w:t>conditional measures of size that, by design, maximized the overlap of schools selected for both the 2020 and 2022 long-term trend assessments at each age.</w:t>
      </w:r>
    </w:p>
    <w:p w:rsidR="003F5784" w14:paraId="77D7E09A" w14:textId="77777777">
      <w:pPr>
        <w:pStyle w:val="BodyText"/>
        <w:spacing w:before="210" w:line="232" w:lineRule="auto"/>
        <w:ind w:left="109"/>
      </w:pPr>
      <w:r>
        <w:t>Additionally,</w:t>
      </w:r>
      <w:r>
        <w:rPr>
          <w:spacing w:val="-14"/>
        </w:rPr>
        <w:t xml:space="preserve"> </w:t>
      </w:r>
      <w:r>
        <w:t>AI/AN,</w:t>
      </w:r>
      <w:r>
        <w:rPr>
          <w:spacing w:val="-11"/>
        </w:rPr>
        <w:t xml:space="preserve"> </w:t>
      </w:r>
      <w:r>
        <w:t>Black,</w:t>
      </w:r>
      <w:r>
        <w:rPr>
          <w:spacing w:val="-7"/>
        </w:rPr>
        <w:t xml:space="preserve"> </w:t>
      </w:r>
      <w:r>
        <w:t>and</w:t>
      </w:r>
      <w:r>
        <w:rPr>
          <w:spacing w:val="-7"/>
        </w:rPr>
        <w:t xml:space="preserve"> </w:t>
      </w:r>
      <w:r>
        <w:t>Hispanic</w:t>
      </w:r>
      <w:r>
        <w:rPr>
          <w:spacing w:val="-7"/>
        </w:rPr>
        <w:t xml:space="preserve"> </w:t>
      </w:r>
      <w:r>
        <w:t>students</w:t>
      </w:r>
      <w:r>
        <w:rPr>
          <w:spacing w:val="-7"/>
        </w:rPr>
        <w:t xml:space="preserve"> </w:t>
      </w:r>
      <w:r>
        <w:t>were</w:t>
      </w:r>
      <w:r>
        <w:rPr>
          <w:spacing w:val="-7"/>
        </w:rPr>
        <w:t xml:space="preserve"> </w:t>
      </w:r>
      <w:r>
        <w:t>oversampled</w:t>
      </w:r>
      <w:r>
        <w:rPr>
          <w:spacing w:val="-7"/>
        </w:rPr>
        <w:t xml:space="preserve"> </w:t>
      </w:r>
      <w:r>
        <w:t>at</w:t>
      </w:r>
      <w:r>
        <w:rPr>
          <w:spacing w:val="-7"/>
        </w:rPr>
        <w:t xml:space="preserve"> </w:t>
      </w:r>
      <w:r>
        <w:t>moderate</w:t>
      </w:r>
      <w:r>
        <w:rPr>
          <w:spacing w:val="-7"/>
        </w:rPr>
        <w:t xml:space="preserve"> </w:t>
      </w:r>
      <w:r>
        <w:t>rates</w:t>
      </w:r>
      <w:r>
        <w:rPr>
          <w:spacing w:val="-7"/>
        </w:rPr>
        <w:t xml:space="preserve"> </w:t>
      </w:r>
      <w:r>
        <w:t>as</w:t>
      </w:r>
      <w:r>
        <w:rPr>
          <w:spacing w:val="-7"/>
        </w:rPr>
        <w:t xml:space="preserve"> </w:t>
      </w:r>
      <w:r>
        <w:t>follows.</w:t>
      </w:r>
      <w:r>
        <w:rPr>
          <w:spacing w:val="-7"/>
        </w:rPr>
        <w:t xml:space="preserve"> </w:t>
      </w:r>
      <w:r>
        <w:t>First,</w:t>
      </w:r>
      <w:r>
        <w:rPr>
          <w:spacing w:val="-7"/>
        </w:rPr>
        <w:t xml:space="preserve"> </w:t>
      </w:r>
      <w:r>
        <w:t>schools</w:t>
      </w:r>
      <w:r>
        <w:rPr>
          <w:spacing w:val="-7"/>
        </w:rPr>
        <w:t xml:space="preserve"> </w:t>
      </w:r>
      <w:r>
        <w:t>in</w:t>
      </w:r>
      <w:r>
        <w:rPr>
          <w:spacing w:val="-7"/>
        </w:rPr>
        <w:t xml:space="preserve"> </w:t>
      </w:r>
      <w:r>
        <w:t>a</w:t>
      </w:r>
      <w:r>
        <w:rPr>
          <w:spacing w:val="-7"/>
        </w:rPr>
        <w:t xml:space="preserve"> </w:t>
      </w:r>
      <w:r>
        <w:t>high</w:t>
      </w:r>
      <w:r>
        <w:rPr>
          <w:spacing w:val="-14"/>
        </w:rPr>
        <w:t xml:space="preserve"> </w:t>
      </w:r>
      <w:r>
        <w:t>AI/AN</w:t>
      </w:r>
      <w:r>
        <w:rPr>
          <w:spacing w:val="-6"/>
        </w:rPr>
        <w:t xml:space="preserve"> </w:t>
      </w:r>
      <w:r>
        <w:t>stratum</w:t>
      </w:r>
      <w:r>
        <w:rPr>
          <w:spacing w:val="-7"/>
        </w:rPr>
        <w:t xml:space="preserve"> </w:t>
      </w:r>
      <w:r>
        <w:t>(i.e.,</w:t>
      </w:r>
      <w:r>
        <w:rPr>
          <w:spacing w:val="-7"/>
        </w:rPr>
        <w:t xml:space="preserve"> </w:t>
      </w:r>
      <w:r>
        <w:t>schools</w:t>
      </w:r>
      <w:r>
        <w:rPr>
          <w:spacing w:val="-7"/>
        </w:rPr>
        <w:t xml:space="preserve"> </w:t>
      </w:r>
      <w:r>
        <w:t>with</w:t>
      </w:r>
      <w:r>
        <w:rPr>
          <w:spacing w:val="-7"/>
        </w:rPr>
        <w:t xml:space="preserve"> </w:t>
      </w:r>
      <w:r>
        <w:t>at</w:t>
      </w:r>
      <w:r>
        <w:rPr>
          <w:spacing w:val="-7"/>
        </w:rPr>
        <w:t xml:space="preserve"> </w:t>
      </w:r>
      <w:r>
        <w:t>least</w:t>
      </w:r>
      <w:r>
        <w:rPr>
          <w:spacing w:val="-7"/>
        </w:rPr>
        <w:t xml:space="preserve"> </w:t>
      </w:r>
      <w:r>
        <w:t>five</w:t>
      </w:r>
      <w:r>
        <w:rPr>
          <w:spacing w:val="-7"/>
        </w:rPr>
        <w:t xml:space="preserve"> </w:t>
      </w:r>
      <w:r>
        <w:t>percent AI/AN students and at least five</w:t>
      </w:r>
      <w:r>
        <w:rPr>
          <w:spacing w:val="-11"/>
        </w:rPr>
        <w:t xml:space="preserve"> </w:t>
      </w:r>
      <w:r>
        <w:t>AI/AN students at the sample age) were sampled at four times the rate (by quadrupling their measure of size) as schools not in a high</w:t>
      </w:r>
      <w:r>
        <w:rPr>
          <w:spacing w:val="-11"/>
        </w:rPr>
        <w:t xml:space="preserve"> </w:t>
      </w:r>
      <w:r>
        <w:t>AI/AN stratum to implement oversampling of</w:t>
      </w:r>
      <w:r>
        <w:rPr>
          <w:spacing w:val="-10"/>
        </w:rPr>
        <w:t xml:space="preserve"> </w:t>
      </w:r>
      <w:r>
        <w:t>AI/AN students. Second, schools not in a high</w:t>
      </w:r>
      <w:r>
        <w:rPr>
          <w:spacing w:val="-10"/>
        </w:rPr>
        <w:t xml:space="preserve"> </w:t>
      </w:r>
      <w:r>
        <w:t>AI/AN stratum but in a high Black/Hispanic stratum (i.e., schools that were not oversampled</w:t>
      </w:r>
      <w:r>
        <w:rPr>
          <w:spacing w:val="-2"/>
        </w:rPr>
        <w:t xml:space="preserve"> </w:t>
      </w:r>
      <w:r>
        <w:t>for</w:t>
      </w:r>
      <w:r>
        <w:rPr>
          <w:spacing w:val="-13"/>
        </w:rPr>
        <w:t xml:space="preserve"> </w:t>
      </w:r>
      <w:r>
        <w:t>AI/AN</w:t>
      </w:r>
      <w:r>
        <w:rPr>
          <w:spacing w:val="-2"/>
        </w:rPr>
        <w:t xml:space="preserve"> </w:t>
      </w:r>
      <w:r>
        <w:t>students</w:t>
      </w:r>
      <w:r>
        <w:rPr>
          <w:spacing w:val="-2"/>
        </w:rPr>
        <w:t xml:space="preserve"> </w:t>
      </w:r>
      <w:r>
        <w:t>and</w:t>
      </w:r>
      <w:r>
        <w:rPr>
          <w:spacing w:val="-2"/>
        </w:rPr>
        <w:t xml:space="preserve"> </w:t>
      </w:r>
      <w:r>
        <w:t>with</w:t>
      </w:r>
      <w:r>
        <w:rPr>
          <w:spacing w:val="-2"/>
        </w:rPr>
        <w:t xml:space="preserve"> </w:t>
      </w:r>
      <w:r>
        <w:t>at</w:t>
      </w:r>
      <w:r>
        <w:rPr>
          <w:spacing w:val="-2"/>
        </w:rPr>
        <w:t xml:space="preserve"> </w:t>
      </w:r>
      <w:r>
        <w:t>least</w:t>
      </w:r>
      <w:r>
        <w:rPr>
          <w:spacing w:val="-2"/>
        </w:rPr>
        <w:t xml:space="preserve"> </w:t>
      </w:r>
      <w:r>
        <w:t>15</w:t>
      </w:r>
      <w:r>
        <w:rPr>
          <w:spacing w:val="-2"/>
        </w:rPr>
        <w:t xml:space="preserve"> </w:t>
      </w:r>
      <w:r>
        <w:t>percent</w:t>
      </w:r>
      <w:r>
        <w:rPr>
          <w:spacing w:val="-2"/>
        </w:rPr>
        <w:t xml:space="preserve"> </w:t>
      </w:r>
      <w:r>
        <w:t>Black/Hispanic</w:t>
      </w:r>
      <w:r>
        <w:rPr>
          <w:spacing w:val="-2"/>
        </w:rPr>
        <w:t xml:space="preserve"> </w:t>
      </w:r>
      <w:r>
        <w:t>students</w:t>
      </w:r>
      <w:r>
        <w:rPr>
          <w:spacing w:val="-2"/>
        </w:rPr>
        <w:t xml:space="preserve"> </w:t>
      </w:r>
      <w:r>
        <w:t>and</w:t>
      </w:r>
      <w:r>
        <w:rPr>
          <w:spacing w:val="-2"/>
        </w:rPr>
        <w:t xml:space="preserve"> </w:t>
      </w:r>
      <w:r>
        <w:t>at</w:t>
      </w:r>
      <w:r>
        <w:rPr>
          <w:spacing w:val="-2"/>
        </w:rPr>
        <w:t xml:space="preserve"> </w:t>
      </w:r>
      <w:r>
        <w:t>least</w:t>
      </w:r>
      <w:r>
        <w:rPr>
          <w:spacing w:val="-2"/>
        </w:rPr>
        <w:t xml:space="preserve"> </w:t>
      </w:r>
      <w:r>
        <w:t>10</w:t>
      </w:r>
      <w:r>
        <w:rPr>
          <w:spacing w:val="-2"/>
        </w:rPr>
        <w:t xml:space="preserve"> </w:t>
      </w:r>
      <w:r>
        <w:t>Black/Hispanic</w:t>
      </w:r>
      <w:r>
        <w:rPr>
          <w:spacing w:val="-2"/>
        </w:rPr>
        <w:t xml:space="preserve"> </w:t>
      </w:r>
      <w:r>
        <w:t>students</w:t>
      </w:r>
      <w:r>
        <w:rPr>
          <w:spacing w:val="-2"/>
        </w:rPr>
        <w:t xml:space="preserve"> </w:t>
      </w:r>
      <w:r>
        <w:t>at</w:t>
      </w:r>
      <w:r>
        <w:rPr>
          <w:spacing w:val="-2"/>
        </w:rPr>
        <w:t xml:space="preserve"> </w:t>
      </w:r>
      <w:r>
        <w:t>the</w:t>
      </w:r>
      <w:r>
        <w:rPr>
          <w:spacing w:val="-2"/>
        </w:rPr>
        <w:t xml:space="preserve"> </w:t>
      </w:r>
      <w:r>
        <w:t>sample</w:t>
      </w:r>
      <w:r>
        <w:rPr>
          <w:spacing w:val="-2"/>
        </w:rPr>
        <w:t xml:space="preserve"> </w:t>
      </w:r>
      <w:r>
        <w:t>age)</w:t>
      </w:r>
      <w:r>
        <w:rPr>
          <w:spacing w:val="-2"/>
        </w:rPr>
        <w:t xml:space="preserve"> </w:t>
      </w:r>
      <w:r>
        <w:t>were</w:t>
      </w:r>
      <w:r>
        <w:rPr>
          <w:spacing w:val="-2"/>
        </w:rPr>
        <w:t xml:space="preserve"> </w:t>
      </w:r>
      <w:r>
        <w:t>sampled</w:t>
      </w:r>
      <w:r>
        <w:rPr>
          <w:spacing w:val="-2"/>
        </w:rPr>
        <w:t xml:space="preserve"> </w:t>
      </w:r>
      <w:r>
        <w:t>at</w:t>
      </w:r>
      <w:r>
        <w:rPr>
          <w:spacing w:val="-2"/>
        </w:rPr>
        <w:t xml:space="preserve"> </w:t>
      </w:r>
      <w:r>
        <w:t>twice</w:t>
      </w:r>
      <w:r>
        <w:rPr>
          <w:spacing w:val="-2"/>
        </w:rPr>
        <w:t xml:space="preserve"> </w:t>
      </w:r>
      <w:r>
        <w:t>the</w:t>
      </w:r>
      <w:r>
        <w:rPr>
          <w:spacing w:val="-2"/>
        </w:rPr>
        <w:t xml:space="preserve"> </w:t>
      </w:r>
      <w:r>
        <w:t>rate (by doubling their measure of size) as schools not in a high Black/Hispanic stratum to implement oversampling of Black and Hispanic students.</w:t>
      </w:r>
      <w:r>
        <w:rPr>
          <w:spacing w:val="-3"/>
        </w:rPr>
        <w:t xml:space="preserve"> </w:t>
      </w:r>
      <w:r>
        <w:t>This approach is effective in increasing</w:t>
      </w:r>
      <w:r>
        <w:rPr>
          <w:spacing w:val="-1"/>
        </w:rPr>
        <w:t xml:space="preserve"> </w:t>
      </w:r>
      <w:r>
        <w:t>the</w:t>
      </w:r>
      <w:r>
        <w:rPr>
          <w:spacing w:val="-1"/>
        </w:rPr>
        <w:t xml:space="preserve"> </w:t>
      </w:r>
      <w:r>
        <w:t>sample</w:t>
      </w:r>
      <w:r>
        <w:rPr>
          <w:spacing w:val="-1"/>
        </w:rPr>
        <w:t xml:space="preserve"> </w:t>
      </w:r>
      <w:r>
        <w:t>sizes</w:t>
      </w:r>
      <w:r>
        <w:rPr>
          <w:spacing w:val="-1"/>
        </w:rPr>
        <w:t xml:space="preserve"> </w:t>
      </w:r>
      <w:r>
        <w:t>of</w:t>
      </w:r>
      <w:r>
        <w:rPr>
          <w:spacing w:val="-12"/>
        </w:rPr>
        <w:t xml:space="preserve"> </w:t>
      </w:r>
      <w:r>
        <w:t>AI/AN,</w:t>
      </w:r>
      <w:r>
        <w:rPr>
          <w:spacing w:val="-1"/>
        </w:rPr>
        <w:t xml:space="preserve"> </w:t>
      </w:r>
      <w:r>
        <w:t>Black,</w:t>
      </w:r>
      <w:r>
        <w:rPr>
          <w:spacing w:val="-1"/>
        </w:rPr>
        <w:t xml:space="preserve"> </w:t>
      </w:r>
      <w:r>
        <w:t>and</w:t>
      </w:r>
      <w:r>
        <w:rPr>
          <w:spacing w:val="-1"/>
        </w:rPr>
        <w:t xml:space="preserve"> </w:t>
      </w:r>
      <w:r>
        <w:t>Hispanic</w:t>
      </w:r>
      <w:r>
        <w:rPr>
          <w:spacing w:val="-1"/>
        </w:rPr>
        <w:t xml:space="preserve"> </w:t>
      </w:r>
      <w:r>
        <w:t>students</w:t>
      </w:r>
      <w:r>
        <w:rPr>
          <w:spacing w:val="-1"/>
        </w:rPr>
        <w:t xml:space="preserve"> </w:t>
      </w:r>
      <w:r>
        <w:t>without</w:t>
      </w:r>
      <w:r>
        <w:rPr>
          <w:spacing w:val="-1"/>
        </w:rPr>
        <w:t xml:space="preserve"> </w:t>
      </w:r>
      <w:r>
        <w:t>inducing</w:t>
      </w:r>
      <w:r>
        <w:rPr>
          <w:spacing w:val="-1"/>
        </w:rPr>
        <w:t xml:space="preserve"> </w:t>
      </w:r>
      <w:r>
        <w:t>undesirably</w:t>
      </w:r>
      <w:r>
        <w:rPr>
          <w:spacing w:val="-1"/>
        </w:rPr>
        <w:t xml:space="preserve"> </w:t>
      </w:r>
      <w:r>
        <w:t>large</w:t>
      </w:r>
      <w:r>
        <w:rPr>
          <w:spacing w:val="-1"/>
        </w:rPr>
        <w:t xml:space="preserve"> </w:t>
      </w:r>
      <w:r>
        <w:t>design</w:t>
      </w:r>
      <w:r>
        <w:rPr>
          <w:spacing w:val="-1"/>
        </w:rPr>
        <w:t xml:space="preserve"> </w:t>
      </w:r>
      <w:r>
        <w:t>effects</w:t>
      </w:r>
      <w:r>
        <w:rPr>
          <w:spacing w:val="-1"/>
        </w:rPr>
        <w:t xml:space="preserve"> </w:t>
      </w:r>
      <w:r>
        <w:t>on</w:t>
      </w:r>
      <w:r>
        <w:rPr>
          <w:spacing w:val="-1"/>
        </w:rPr>
        <w:t xml:space="preserve"> </w:t>
      </w:r>
      <w:r>
        <w:t>the</w:t>
      </w:r>
      <w:r>
        <w:rPr>
          <w:spacing w:val="-1"/>
        </w:rPr>
        <w:t xml:space="preserve"> </w:t>
      </w:r>
      <w:r>
        <w:t>sample,</w:t>
      </w:r>
      <w:r>
        <w:rPr>
          <w:spacing w:val="-1"/>
        </w:rPr>
        <w:t xml:space="preserve"> </w:t>
      </w:r>
      <w:r>
        <w:t>either</w:t>
      </w:r>
      <w:r>
        <w:rPr>
          <w:spacing w:val="-1"/>
        </w:rPr>
        <w:t xml:space="preserve"> </w:t>
      </w:r>
      <w:r>
        <w:t>overall</w:t>
      </w:r>
      <w:r>
        <w:rPr>
          <w:spacing w:val="-1"/>
        </w:rPr>
        <w:t xml:space="preserve"> </w:t>
      </w:r>
      <w:r>
        <w:t>or</w:t>
      </w:r>
      <w:r>
        <w:rPr>
          <w:spacing w:val="-1"/>
        </w:rPr>
        <w:t xml:space="preserve"> </w:t>
      </w:r>
      <w:r>
        <w:t>for</w:t>
      </w:r>
      <w:r>
        <w:rPr>
          <w:spacing w:val="-1"/>
        </w:rPr>
        <w:t xml:space="preserve"> </w:t>
      </w:r>
      <w:r>
        <w:t>particular</w:t>
      </w:r>
      <w:r>
        <w:rPr>
          <w:spacing w:val="-1"/>
        </w:rPr>
        <w:t xml:space="preserve"> </w:t>
      </w:r>
      <w:r>
        <w:t>subgroups.</w:t>
      </w:r>
    </w:p>
    <w:p w:rsidR="003F5784" w14:paraId="2FD07D71" w14:textId="77777777">
      <w:pPr>
        <w:pStyle w:val="BodyText"/>
        <w:spacing w:before="211" w:line="232" w:lineRule="auto"/>
        <w:ind w:left="109"/>
      </w:pPr>
      <w:r>
        <w:t>Finally, schools in the Honolulu PSU were oversampled at twice the rate (by doubling their measure of size) as schools not in the Honolulu PSU.</w:t>
      </w:r>
      <w:r>
        <w:rPr>
          <w:spacing w:val="-4"/>
        </w:rPr>
        <w:t xml:space="preserve"> </w:t>
      </w:r>
      <w:r>
        <w:t>This was done to ensure at least</w:t>
      </w:r>
      <w:r>
        <w:rPr>
          <w:spacing w:val="-7"/>
        </w:rPr>
        <w:t xml:space="preserve"> </w:t>
      </w:r>
      <w:r>
        <w:t>one</w:t>
      </w:r>
      <w:r>
        <w:rPr>
          <w:spacing w:val="-5"/>
        </w:rPr>
        <w:t xml:space="preserve"> </w:t>
      </w:r>
      <w:r>
        <w:t>school</w:t>
      </w:r>
      <w:r>
        <w:rPr>
          <w:spacing w:val="-5"/>
        </w:rPr>
        <w:t xml:space="preserve"> </w:t>
      </w:r>
      <w:r>
        <w:t>was</w:t>
      </w:r>
      <w:r>
        <w:rPr>
          <w:spacing w:val="-5"/>
        </w:rPr>
        <w:t xml:space="preserve"> </w:t>
      </w:r>
      <w:r>
        <w:t>sampled</w:t>
      </w:r>
      <w:r>
        <w:rPr>
          <w:spacing w:val="-5"/>
        </w:rPr>
        <w:t xml:space="preserve"> </w:t>
      </w:r>
      <w:r>
        <w:t>from</w:t>
      </w:r>
      <w:r>
        <w:rPr>
          <w:spacing w:val="-5"/>
        </w:rPr>
        <w:t xml:space="preserve"> </w:t>
      </w:r>
      <w:r>
        <w:t>this</w:t>
      </w:r>
      <w:r>
        <w:rPr>
          <w:spacing w:val="-5"/>
        </w:rPr>
        <w:t xml:space="preserve"> </w:t>
      </w:r>
      <w:r>
        <w:t>PSU.</w:t>
      </w:r>
      <w:r>
        <w:rPr>
          <w:spacing w:val="-14"/>
        </w:rPr>
        <w:t xml:space="preserve"> </w:t>
      </w:r>
      <w:r>
        <w:t>At</w:t>
      </w:r>
      <w:r>
        <w:rPr>
          <w:spacing w:val="-5"/>
        </w:rPr>
        <w:t xml:space="preserve"> </w:t>
      </w:r>
      <w:r>
        <w:t>least</w:t>
      </w:r>
      <w:r>
        <w:rPr>
          <w:spacing w:val="-5"/>
        </w:rPr>
        <w:t xml:space="preserve"> </w:t>
      </w:r>
      <w:r>
        <w:t>one</w:t>
      </w:r>
      <w:r>
        <w:rPr>
          <w:spacing w:val="-5"/>
        </w:rPr>
        <w:t xml:space="preserve"> </w:t>
      </w:r>
      <w:r>
        <w:t>school</w:t>
      </w:r>
      <w:r>
        <w:rPr>
          <w:spacing w:val="-5"/>
        </w:rPr>
        <w:t xml:space="preserve"> </w:t>
      </w:r>
      <w:r>
        <w:t>was</w:t>
      </w:r>
      <w:r>
        <w:rPr>
          <w:spacing w:val="-5"/>
        </w:rPr>
        <w:t xml:space="preserve"> </w:t>
      </w:r>
      <w:r>
        <w:t>sampled</w:t>
      </w:r>
      <w:r>
        <w:rPr>
          <w:spacing w:val="-5"/>
        </w:rPr>
        <w:t xml:space="preserve"> </w:t>
      </w:r>
      <w:r>
        <w:t>because</w:t>
      </w:r>
      <w:r>
        <w:rPr>
          <w:spacing w:val="-5"/>
        </w:rPr>
        <w:t xml:space="preserve"> </w:t>
      </w:r>
      <w:r>
        <w:t>the</w:t>
      </w:r>
      <w:r>
        <w:rPr>
          <w:spacing w:val="-5"/>
        </w:rPr>
        <w:t xml:space="preserve"> </w:t>
      </w:r>
      <w:r>
        <w:t>total</w:t>
      </w:r>
      <w:r>
        <w:rPr>
          <w:spacing w:val="-5"/>
        </w:rPr>
        <w:t xml:space="preserve"> </w:t>
      </w:r>
      <w:r>
        <w:t>measure</w:t>
      </w:r>
      <w:r>
        <w:rPr>
          <w:spacing w:val="-5"/>
        </w:rPr>
        <w:t xml:space="preserve"> </w:t>
      </w:r>
      <w:r>
        <w:t>of</w:t>
      </w:r>
      <w:r>
        <w:rPr>
          <w:spacing w:val="-5"/>
        </w:rPr>
        <w:t xml:space="preserve"> </w:t>
      </w:r>
      <w:r>
        <w:t>size</w:t>
      </w:r>
      <w:r>
        <w:rPr>
          <w:spacing w:val="-5"/>
        </w:rPr>
        <w:t xml:space="preserve"> </w:t>
      </w:r>
      <w:r>
        <w:t>for</w:t>
      </w:r>
      <w:r>
        <w:rPr>
          <w:spacing w:val="-5"/>
        </w:rPr>
        <w:t xml:space="preserve"> </w:t>
      </w:r>
      <w:r>
        <w:t>all</w:t>
      </w:r>
      <w:r>
        <w:rPr>
          <w:spacing w:val="-5"/>
        </w:rPr>
        <w:t xml:space="preserve"> </w:t>
      </w:r>
      <w:r>
        <w:t>schools</w:t>
      </w:r>
      <w:r>
        <w:rPr>
          <w:spacing w:val="-5"/>
        </w:rPr>
        <w:t xml:space="preserve"> </w:t>
      </w:r>
      <w:r>
        <w:t>in</w:t>
      </w:r>
      <w:r>
        <w:rPr>
          <w:spacing w:val="-5"/>
        </w:rPr>
        <w:t xml:space="preserve"> </w:t>
      </w:r>
      <w:r>
        <w:t>Honolulu</w:t>
      </w:r>
      <w:r>
        <w:rPr>
          <w:spacing w:val="-5"/>
        </w:rPr>
        <w:t xml:space="preserve"> </w:t>
      </w:r>
      <w:r>
        <w:t>exceeded</w:t>
      </w:r>
      <w:r>
        <w:rPr>
          <w:spacing w:val="-5"/>
        </w:rPr>
        <w:t xml:space="preserve"> </w:t>
      </w:r>
      <w:r>
        <w:t>the</w:t>
      </w:r>
      <w:r>
        <w:rPr>
          <w:spacing w:val="-5"/>
        </w:rPr>
        <w:t xml:space="preserve"> </w:t>
      </w:r>
      <w:r>
        <w:t>sampling</w:t>
      </w:r>
      <w:r>
        <w:rPr>
          <w:spacing w:val="-5"/>
        </w:rPr>
        <w:t xml:space="preserve"> </w:t>
      </w:r>
      <w:r>
        <w:t>interval.</w:t>
      </w:r>
      <w:r>
        <w:rPr>
          <w:spacing w:val="-9"/>
        </w:rPr>
        <w:t xml:space="preserve"> </w:t>
      </w:r>
      <w:r>
        <w:t>The PSU was selected with certainty not due to its size, but because it is unique due to its high population of</w:t>
      </w:r>
      <w:r>
        <w:rPr>
          <w:spacing w:val="-10"/>
        </w:rPr>
        <w:t xml:space="preserve"> </w:t>
      </w:r>
      <w:r>
        <w:t>Asian and Native Hawaiian/Pacific Islander students.</w:t>
      </w:r>
    </w:p>
    <w:p w:rsidR="003F5784" w14:paraId="6C691783" w14:textId="77777777">
      <w:pPr>
        <w:spacing w:line="232" w:lineRule="auto"/>
        <w:sectPr>
          <w:type w:val="continuous"/>
          <w:pgSz w:w="15840" w:h="12240" w:orient="landscape"/>
          <w:pgMar w:top="480" w:right="440" w:bottom="460" w:left="460" w:header="284" w:footer="275" w:gutter="0"/>
          <w:cols w:space="720"/>
        </w:sectPr>
      </w:pPr>
    </w:p>
    <w:p w:rsidR="003F5784" w14:paraId="16B7F707" w14:textId="77777777">
      <w:pPr>
        <w:pStyle w:val="BodyText"/>
        <w:spacing w:before="78" w:line="232" w:lineRule="auto"/>
        <w:ind w:left="109"/>
      </w:pPr>
      <w:r>
        <w:t>Each</w:t>
      </w:r>
      <w:r>
        <w:rPr>
          <w:spacing w:val="-6"/>
        </w:rPr>
        <w:t xml:space="preserve"> </w:t>
      </w:r>
      <w:r>
        <w:t>selected</w:t>
      </w:r>
      <w:r>
        <w:rPr>
          <w:spacing w:val="-6"/>
        </w:rPr>
        <w:t xml:space="preserve"> </w:t>
      </w:r>
      <w:r>
        <w:t>school</w:t>
      </w:r>
      <w:r>
        <w:rPr>
          <w:spacing w:val="-6"/>
        </w:rPr>
        <w:t xml:space="preserve"> </w:t>
      </w:r>
      <w:r>
        <w:t>in</w:t>
      </w:r>
      <w:r>
        <w:rPr>
          <w:spacing w:val="-6"/>
        </w:rPr>
        <w:t xml:space="preserve"> </w:t>
      </w:r>
      <w:r>
        <w:t>the</w:t>
      </w:r>
      <w:r>
        <w:rPr>
          <w:spacing w:val="-6"/>
        </w:rPr>
        <w:t xml:space="preserve"> </w:t>
      </w:r>
      <w:r>
        <w:t>public</w:t>
      </w:r>
      <w:r>
        <w:rPr>
          <w:spacing w:val="-6"/>
        </w:rPr>
        <w:t xml:space="preserve"> </w:t>
      </w:r>
      <w:r>
        <w:t>school</w:t>
      </w:r>
      <w:r>
        <w:rPr>
          <w:spacing w:val="-6"/>
        </w:rPr>
        <w:t xml:space="preserve"> </w:t>
      </w:r>
      <w:r>
        <w:t>sample</w:t>
      </w:r>
      <w:r>
        <w:rPr>
          <w:spacing w:val="-6"/>
        </w:rPr>
        <w:t xml:space="preserve"> </w:t>
      </w:r>
      <w:r>
        <w:t>provided</w:t>
      </w:r>
      <w:r>
        <w:rPr>
          <w:spacing w:val="-6"/>
        </w:rPr>
        <w:t xml:space="preserve"> </w:t>
      </w:r>
      <w:r>
        <w:t>a</w:t>
      </w:r>
      <w:r>
        <w:rPr>
          <w:spacing w:val="-6"/>
        </w:rPr>
        <w:t xml:space="preserve"> </w:t>
      </w:r>
      <w:r>
        <w:t>list</w:t>
      </w:r>
      <w:r>
        <w:rPr>
          <w:spacing w:val="-6"/>
        </w:rPr>
        <w:t xml:space="preserve"> </w:t>
      </w:r>
      <w:r>
        <w:t>of</w:t>
      </w:r>
      <w:r>
        <w:rPr>
          <w:spacing w:val="-6"/>
        </w:rPr>
        <w:t xml:space="preserve"> </w:t>
      </w:r>
      <w:r>
        <w:t>age-eligible</w:t>
      </w:r>
      <w:r>
        <w:rPr>
          <w:spacing w:val="-6"/>
        </w:rPr>
        <w:t xml:space="preserve"> </w:t>
      </w:r>
      <w:r>
        <w:t>enrolled</w:t>
      </w:r>
      <w:r>
        <w:rPr>
          <w:spacing w:val="-6"/>
        </w:rPr>
        <w:t xml:space="preserve"> </w:t>
      </w:r>
      <w:r>
        <w:t>students</w:t>
      </w:r>
      <w:r>
        <w:rPr>
          <w:spacing w:val="-6"/>
        </w:rPr>
        <w:t xml:space="preserve"> </w:t>
      </w:r>
      <w:r>
        <w:t>from</w:t>
      </w:r>
      <w:r>
        <w:rPr>
          <w:spacing w:val="-6"/>
        </w:rPr>
        <w:t xml:space="preserve"> </w:t>
      </w:r>
      <w:r>
        <w:t>which</w:t>
      </w:r>
      <w:r>
        <w:rPr>
          <w:spacing w:val="-6"/>
        </w:rPr>
        <w:t xml:space="preserve"> </w:t>
      </w:r>
      <w:r>
        <w:t>a</w:t>
      </w:r>
      <w:r>
        <w:rPr>
          <w:spacing w:val="-6"/>
        </w:rPr>
        <w:t xml:space="preserve"> </w:t>
      </w:r>
      <w:r>
        <w:t>systematic</w:t>
      </w:r>
      <w:r>
        <w:rPr>
          <w:spacing w:val="-6"/>
        </w:rPr>
        <w:t xml:space="preserve"> </w:t>
      </w:r>
      <w:r>
        <w:t>sample</w:t>
      </w:r>
      <w:r>
        <w:rPr>
          <w:spacing w:val="-6"/>
        </w:rPr>
        <w:t xml:space="preserve"> </w:t>
      </w:r>
      <w:r>
        <w:t>of</w:t>
      </w:r>
      <w:r>
        <w:rPr>
          <w:spacing w:val="-6"/>
        </w:rPr>
        <w:t xml:space="preserve"> </w:t>
      </w:r>
      <w:r>
        <w:t>students</w:t>
      </w:r>
      <w:r>
        <w:rPr>
          <w:spacing w:val="-6"/>
        </w:rPr>
        <w:t xml:space="preserve"> </w:t>
      </w:r>
      <w:r>
        <w:t>was</w:t>
      </w:r>
      <w:r>
        <w:rPr>
          <w:spacing w:val="-6"/>
        </w:rPr>
        <w:t xml:space="preserve"> </w:t>
      </w:r>
      <w:r>
        <w:t>drawn.</w:t>
      </w:r>
      <w:r>
        <w:rPr>
          <w:spacing w:val="-10"/>
        </w:rPr>
        <w:t xml:space="preserve"> </w:t>
      </w:r>
      <w:r>
        <w:t>Within</w:t>
      </w:r>
      <w:r>
        <w:rPr>
          <w:spacing w:val="-6"/>
        </w:rPr>
        <w:t xml:space="preserve"> </w:t>
      </w:r>
      <w:r>
        <w:t>each</w:t>
      </w:r>
      <w:r>
        <w:rPr>
          <w:spacing w:val="-6"/>
        </w:rPr>
        <w:t xml:space="preserve"> </w:t>
      </w:r>
      <w:r>
        <w:t>school, students of the same race/ethnicity were selected with equal probability.</w:t>
      </w:r>
    </w:p>
    <w:p w:rsidR="003F5784" w14:paraId="2A8C7387" w14:textId="77777777">
      <w:pPr>
        <w:pStyle w:val="BodyText"/>
      </w:pPr>
    </w:p>
    <w:p w:rsidR="003F5784" w14:paraId="6938CD6B" w14:textId="77777777">
      <w:pPr>
        <w:pStyle w:val="BodyText"/>
      </w:pPr>
    </w:p>
    <w:p w:rsidR="003F5784" w14:paraId="432D77BC" w14:textId="77777777">
      <w:pPr>
        <w:pStyle w:val="BodyText"/>
        <w:spacing w:before="145"/>
      </w:pPr>
    </w:p>
    <w:p w:rsidR="003F5784" w14:paraId="4257366C" w14:textId="77777777">
      <w:pPr>
        <w:spacing w:before="1"/>
        <w:ind w:left="5959"/>
        <w:rPr>
          <w:sz w:val="18"/>
        </w:rPr>
      </w:pPr>
      <w:hyperlink r:id="rId149">
        <w:r>
          <w:rPr>
            <w:spacing w:val="-2"/>
            <w:w w:val="105"/>
            <w:sz w:val="18"/>
          </w:rPr>
          <w:t>http://nces.ed.gov/nationsreportcard/tdw/sample_design/2022/2022_public_school_long_term_trend_assessment.aspx</w:t>
        </w:r>
      </w:hyperlink>
    </w:p>
    <w:p w:rsidR="003F5784" w14:paraId="26CF9FE2" w14:textId="77777777">
      <w:pPr>
        <w:pStyle w:val="BodyText"/>
        <w:rPr>
          <w:sz w:val="16"/>
        </w:rPr>
      </w:pPr>
      <w:r>
        <w:rPr>
          <w:noProof/>
        </w:rPr>
        <mc:AlternateContent>
          <mc:Choice Requires="wps">
            <w:drawing>
              <wp:anchor distT="0" distB="0" distL="0" distR="0" simplePos="0" relativeHeight="251851776" behindDoc="1" locked="0" layoutInCell="1" allowOverlap="1">
                <wp:simplePos x="0" y="0"/>
                <wp:positionH relativeFrom="page">
                  <wp:posOffset>361937</wp:posOffset>
                </wp:positionH>
                <wp:positionV relativeFrom="paragraph">
                  <wp:posOffset>132437</wp:posOffset>
                </wp:positionV>
                <wp:extent cx="9339580" cy="8890"/>
                <wp:effectExtent l="0" t="0" r="0" b="0"/>
                <wp:wrapTopAndBottom/>
                <wp:docPr id="170" name="Graphic 170"/>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293"/>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70" o:spid="_x0000_s1096" style="width:735.4pt;height:0.7pt;margin-top:10.45pt;margin-left:28.5pt;mso-position-horizontal-relative:page;mso-wrap-distance-bottom:0;mso-wrap-distance-left:0;mso-wrap-distance-right:0;mso-wrap-distance-top:0;mso-wrap-style:square;position:absolute;visibility:visible;v-text-anchor:top;z-index:-251463680" coordsize="9339580,8890" path="m9338970,l9335110,l,,,8280l8280,8293l9335110,8280l9338970,8280l9338970,xe" fillcolor="gray" stroked="f">
                <v:path arrowok="t"/>
                <w10:wrap type="topAndBottom"/>
              </v:shape>
            </w:pict>
          </mc:Fallback>
        </mc:AlternateContent>
      </w:r>
    </w:p>
    <w:p w:rsidR="003F5784" w14:paraId="063561FE" w14:textId="77777777">
      <w:pPr>
        <w:pStyle w:val="BodyText"/>
        <w:rPr>
          <w:sz w:val="18"/>
        </w:rPr>
      </w:pPr>
    </w:p>
    <w:p w:rsidR="003F5784" w14:paraId="48FD0C4A" w14:textId="77777777">
      <w:pPr>
        <w:pStyle w:val="BodyText"/>
        <w:spacing w:before="193"/>
        <w:rPr>
          <w:sz w:val="18"/>
        </w:rPr>
      </w:pPr>
    </w:p>
    <w:p w:rsidR="003F5784" w14:paraId="2ECD4382" w14:textId="44BFDD62">
      <w:pPr>
        <w:pStyle w:val="Heading1"/>
        <w:spacing w:line="244" w:lineRule="auto"/>
      </w:pPr>
      <w:r>
        <w:t>NAEP</w:t>
      </w:r>
      <w:r>
        <w:rPr>
          <w:spacing w:val="-18"/>
        </w:rPr>
        <w:t xml:space="preserve"> </w:t>
      </w:r>
      <w:r>
        <w:t>Technical Documentation</w:t>
      </w:r>
      <w:r w:rsidR="00B145F2">
        <w:t xml:space="preserve"> </w:t>
      </w:r>
      <w:r>
        <w:t>Ineligible Public Schools for the 2022 Long-Term Trend Assessment</w:t>
      </w:r>
    </w:p>
    <w:p w:rsidR="003F5784" w14:paraId="13A396CA" w14:textId="77777777">
      <w:pPr>
        <w:pStyle w:val="BodyText"/>
        <w:spacing w:before="287" w:line="232" w:lineRule="auto"/>
        <w:ind w:left="109" w:right="179"/>
      </w:pPr>
      <w:r>
        <w:t>The</w:t>
      </w:r>
      <w:r>
        <w:rPr>
          <w:spacing w:val="-6"/>
        </w:rPr>
        <w:t xml:space="preserve"> </w:t>
      </w:r>
      <w:r>
        <w:t>Common</w:t>
      </w:r>
      <w:r>
        <w:rPr>
          <w:spacing w:val="-6"/>
        </w:rPr>
        <w:t xml:space="preserve"> </w:t>
      </w:r>
      <w:r>
        <w:t>Core</w:t>
      </w:r>
      <w:r>
        <w:rPr>
          <w:spacing w:val="-6"/>
        </w:rPr>
        <w:t xml:space="preserve"> </w:t>
      </w:r>
      <w:r>
        <w:t>of</w:t>
      </w:r>
      <w:r>
        <w:rPr>
          <w:spacing w:val="-6"/>
        </w:rPr>
        <w:t xml:space="preserve"> </w:t>
      </w:r>
      <w:r>
        <w:t>Data</w:t>
      </w:r>
      <w:r>
        <w:rPr>
          <w:spacing w:val="-6"/>
        </w:rPr>
        <w:t xml:space="preserve"> </w:t>
      </w:r>
      <w:r>
        <w:t>(CCD)</w:t>
      </w:r>
      <w:r>
        <w:rPr>
          <w:spacing w:val="-6"/>
        </w:rPr>
        <w:t xml:space="preserve"> </w:t>
      </w:r>
      <w:r>
        <w:t>public</w:t>
      </w:r>
      <w:r>
        <w:rPr>
          <w:spacing w:val="-6"/>
        </w:rPr>
        <w:t xml:space="preserve"> </w:t>
      </w:r>
      <w:r>
        <w:t>school</w:t>
      </w:r>
      <w:r>
        <w:rPr>
          <w:spacing w:val="-6"/>
        </w:rPr>
        <w:t xml:space="preserve"> </w:t>
      </w:r>
      <w:r>
        <w:t>file</w:t>
      </w:r>
      <w:r>
        <w:rPr>
          <w:spacing w:val="-6"/>
        </w:rPr>
        <w:t xml:space="preserve"> </w:t>
      </w:r>
      <w:r>
        <w:t>from</w:t>
      </w:r>
      <w:r>
        <w:rPr>
          <w:spacing w:val="-6"/>
        </w:rPr>
        <w:t xml:space="preserve"> </w:t>
      </w:r>
      <w:r>
        <w:t>which</w:t>
      </w:r>
      <w:r>
        <w:rPr>
          <w:spacing w:val="-6"/>
        </w:rPr>
        <w:t xml:space="preserve"> </w:t>
      </w:r>
      <w:r>
        <w:t>most</w:t>
      </w:r>
      <w:r>
        <w:rPr>
          <w:spacing w:val="-6"/>
        </w:rPr>
        <w:t xml:space="preserve"> </w:t>
      </w:r>
      <w:r>
        <w:t>of</w:t>
      </w:r>
      <w:r>
        <w:rPr>
          <w:spacing w:val="-6"/>
        </w:rPr>
        <w:t xml:space="preserve"> </w:t>
      </w:r>
      <w:r>
        <w:t>the</w:t>
      </w:r>
      <w:r>
        <w:rPr>
          <w:spacing w:val="-6"/>
        </w:rPr>
        <w:t xml:space="preserve"> </w:t>
      </w:r>
      <w:r>
        <w:t>sampled</w:t>
      </w:r>
      <w:r>
        <w:rPr>
          <w:spacing w:val="-6"/>
        </w:rPr>
        <w:t xml:space="preserve"> </w:t>
      </w:r>
      <w:r>
        <w:t>schools</w:t>
      </w:r>
      <w:r>
        <w:rPr>
          <w:spacing w:val="-6"/>
        </w:rPr>
        <w:t xml:space="preserve"> </w:t>
      </w:r>
      <w:r>
        <w:t>were</w:t>
      </w:r>
      <w:r>
        <w:rPr>
          <w:spacing w:val="-6"/>
        </w:rPr>
        <w:t xml:space="preserve"> </w:t>
      </w:r>
      <w:r>
        <w:t>drawn</w:t>
      </w:r>
      <w:r>
        <w:rPr>
          <w:spacing w:val="-6"/>
        </w:rPr>
        <w:t xml:space="preserve"> </w:t>
      </w:r>
      <w:r>
        <w:t>corresponds</w:t>
      </w:r>
      <w:r>
        <w:rPr>
          <w:spacing w:val="-6"/>
        </w:rPr>
        <w:t xml:space="preserve"> </w:t>
      </w:r>
      <w:r>
        <w:t>to</w:t>
      </w:r>
      <w:r>
        <w:rPr>
          <w:spacing w:val="-6"/>
        </w:rPr>
        <w:t xml:space="preserve"> </w:t>
      </w:r>
      <w:r>
        <w:t>the</w:t>
      </w:r>
      <w:r>
        <w:rPr>
          <w:spacing w:val="-6"/>
        </w:rPr>
        <w:t xml:space="preserve"> </w:t>
      </w:r>
      <w:r>
        <w:t>2019–2020</w:t>
      </w:r>
      <w:r>
        <w:rPr>
          <w:spacing w:val="-6"/>
        </w:rPr>
        <w:t xml:space="preserve"> </w:t>
      </w:r>
      <w:r>
        <w:t>school</w:t>
      </w:r>
      <w:r>
        <w:rPr>
          <w:spacing w:val="-6"/>
        </w:rPr>
        <w:t xml:space="preserve"> </w:t>
      </w:r>
      <w:r>
        <w:t>year</w:t>
      </w:r>
      <w:r>
        <w:rPr>
          <w:spacing w:val="-6"/>
        </w:rPr>
        <w:t xml:space="preserve"> </w:t>
      </w:r>
      <w:r>
        <w:t>for</w:t>
      </w:r>
      <w:r>
        <w:rPr>
          <w:spacing w:val="-6"/>
        </w:rPr>
        <w:t xml:space="preserve"> </w:t>
      </w:r>
      <w:r>
        <w:t>age</w:t>
      </w:r>
      <w:r>
        <w:rPr>
          <w:spacing w:val="-6"/>
        </w:rPr>
        <w:t xml:space="preserve"> </w:t>
      </w:r>
      <w:r>
        <w:t>9</w:t>
      </w:r>
      <w:r>
        <w:rPr>
          <w:spacing w:val="-6"/>
        </w:rPr>
        <w:t xml:space="preserve"> </w:t>
      </w:r>
      <w:r>
        <w:t>and</w:t>
      </w:r>
      <w:r>
        <w:rPr>
          <w:spacing w:val="-6"/>
        </w:rPr>
        <w:t xml:space="preserve"> </w:t>
      </w:r>
      <w:r>
        <w:t>2020–2021 for age 13, one and two years prior to the assessment school year. During the intervening period, some of these schools either closed, no longer offered the grades corresponding to the sample age of interest, or became ineligible for other reasons. In such cases, the sampled schools were considered to be ineligible.</w:t>
      </w:r>
    </w:p>
    <w:p w:rsidR="003F5784" w14:paraId="05DC7E94" w14:textId="77777777">
      <w:pPr>
        <w:pStyle w:val="BodyText"/>
        <w:spacing w:before="204"/>
        <w:ind w:left="109"/>
      </w:pPr>
      <w:r>
        <w:t>The</w:t>
      </w:r>
      <w:r>
        <w:rPr>
          <w:spacing w:val="-7"/>
        </w:rPr>
        <w:t xml:space="preserve"> </w:t>
      </w:r>
      <w:r>
        <w:t>table</w:t>
      </w:r>
      <w:r>
        <w:rPr>
          <w:spacing w:val="-6"/>
        </w:rPr>
        <w:t xml:space="preserve"> </w:t>
      </w:r>
      <w:r>
        <w:t>below</w:t>
      </w:r>
      <w:r>
        <w:rPr>
          <w:spacing w:val="-6"/>
        </w:rPr>
        <w:t xml:space="preserve"> </w:t>
      </w:r>
      <w:r>
        <w:t>presents</w:t>
      </w:r>
      <w:r>
        <w:rPr>
          <w:spacing w:val="-6"/>
        </w:rPr>
        <w:t xml:space="preserve"> </w:t>
      </w:r>
      <w:r>
        <w:t>unweighted</w:t>
      </w:r>
      <w:r>
        <w:rPr>
          <w:spacing w:val="-7"/>
        </w:rPr>
        <w:t xml:space="preserve"> </w:t>
      </w:r>
      <w:r>
        <w:t>counts</w:t>
      </w:r>
      <w:r>
        <w:rPr>
          <w:spacing w:val="-6"/>
        </w:rPr>
        <w:t xml:space="preserve"> </w:t>
      </w:r>
      <w:r>
        <w:t>of</w:t>
      </w:r>
      <w:r>
        <w:rPr>
          <w:spacing w:val="-6"/>
        </w:rPr>
        <w:t xml:space="preserve"> </w:t>
      </w:r>
      <w:r>
        <w:t>sampled</w:t>
      </w:r>
      <w:r>
        <w:rPr>
          <w:spacing w:val="-6"/>
        </w:rPr>
        <w:t xml:space="preserve"> </w:t>
      </w:r>
      <w:r>
        <w:t>public</w:t>
      </w:r>
      <w:r>
        <w:rPr>
          <w:spacing w:val="-7"/>
        </w:rPr>
        <w:t xml:space="preserve"> </w:t>
      </w:r>
      <w:r>
        <w:t>schools</w:t>
      </w:r>
      <w:r>
        <w:rPr>
          <w:spacing w:val="-6"/>
        </w:rPr>
        <w:t xml:space="preserve"> </w:t>
      </w:r>
      <w:r>
        <w:t>by</w:t>
      </w:r>
      <w:r>
        <w:rPr>
          <w:spacing w:val="-6"/>
        </w:rPr>
        <w:t xml:space="preserve"> </w:t>
      </w:r>
      <w:r>
        <w:t>eligibility</w:t>
      </w:r>
      <w:r>
        <w:rPr>
          <w:spacing w:val="-6"/>
        </w:rPr>
        <w:t xml:space="preserve"> </w:t>
      </w:r>
      <w:r>
        <w:t>status,</w:t>
      </w:r>
      <w:r>
        <w:rPr>
          <w:spacing w:val="-7"/>
        </w:rPr>
        <w:t xml:space="preserve"> </w:t>
      </w:r>
      <w:r>
        <w:t>including</w:t>
      </w:r>
      <w:r>
        <w:rPr>
          <w:spacing w:val="-6"/>
        </w:rPr>
        <w:t xml:space="preserve"> </w:t>
      </w:r>
      <w:r>
        <w:t>the</w:t>
      </w:r>
      <w:r>
        <w:rPr>
          <w:spacing w:val="-6"/>
        </w:rPr>
        <w:t xml:space="preserve"> </w:t>
      </w:r>
      <w:r>
        <w:t>reason</w:t>
      </w:r>
      <w:r>
        <w:rPr>
          <w:spacing w:val="-6"/>
        </w:rPr>
        <w:t xml:space="preserve"> </w:t>
      </w:r>
      <w:r>
        <w:t>for</w:t>
      </w:r>
      <w:r>
        <w:rPr>
          <w:spacing w:val="-6"/>
        </w:rPr>
        <w:t xml:space="preserve"> </w:t>
      </w:r>
      <w:r>
        <w:rPr>
          <w:spacing w:val="-2"/>
        </w:rPr>
        <w:t>ineligibility.</w:t>
      </w:r>
    </w:p>
    <w:p w:rsidR="003F5784" w14:paraId="76F0BA45" w14:textId="77777777">
      <w:pPr>
        <w:pStyle w:val="BodyText"/>
      </w:pPr>
    </w:p>
    <w:p w:rsidR="003F5784" w14:paraId="0C26E65A" w14:textId="77777777">
      <w:pPr>
        <w:pStyle w:val="BodyText"/>
        <w:spacing w:before="83"/>
      </w:pPr>
    </w:p>
    <w:p w:rsidR="003F5784" w14:paraId="4B5FB2C8" w14:textId="77777777">
      <w:pPr>
        <w:pStyle w:val="Heading2"/>
      </w:pPr>
      <w:r>
        <w:t>Number</w:t>
      </w:r>
      <w:r>
        <w:rPr>
          <w:spacing w:val="-11"/>
        </w:rPr>
        <w:t xml:space="preserve"> </w:t>
      </w:r>
      <w:r>
        <w:t>of</w:t>
      </w:r>
      <w:r>
        <w:rPr>
          <w:spacing w:val="-8"/>
        </w:rPr>
        <w:t xml:space="preserve"> </w:t>
      </w:r>
      <w:r>
        <w:t>sampled</w:t>
      </w:r>
      <w:r>
        <w:rPr>
          <w:spacing w:val="-7"/>
        </w:rPr>
        <w:t xml:space="preserve"> </w:t>
      </w:r>
      <w:r>
        <w:t>public</w:t>
      </w:r>
      <w:r>
        <w:rPr>
          <w:spacing w:val="-8"/>
        </w:rPr>
        <w:t xml:space="preserve"> </w:t>
      </w:r>
      <w:r>
        <w:t>schools,</w:t>
      </w:r>
      <w:r>
        <w:rPr>
          <w:spacing w:val="-7"/>
        </w:rPr>
        <w:t xml:space="preserve"> </w:t>
      </w:r>
      <w:r>
        <w:t>long-term</w:t>
      </w:r>
      <w:r>
        <w:rPr>
          <w:spacing w:val="-7"/>
        </w:rPr>
        <w:t xml:space="preserve"> </w:t>
      </w:r>
      <w:r>
        <w:t>trend</w:t>
      </w:r>
      <w:r>
        <w:rPr>
          <w:spacing w:val="-8"/>
        </w:rPr>
        <w:t xml:space="preserve"> </w:t>
      </w:r>
      <w:r>
        <w:t>assessment,</w:t>
      </w:r>
      <w:r>
        <w:rPr>
          <w:spacing w:val="-7"/>
        </w:rPr>
        <w:t xml:space="preserve"> </w:t>
      </w:r>
      <w:r>
        <w:t>by</w:t>
      </w:r>
      <w:r>
        <w:rPr>
          <w:spacing w:val="-8"/>
        </w:rPr>
        <w:t xml:space="preserve"> </w:t>
      </w:r>
      <w:r>
        <w:t>eligibility</w:t>
      </w:r>
      <w:r>
        <w:rPr>
          <w:spacing w:val="-7"/>
        </w:rPr>
        <w:t xml:space="preserve"> </w:t>
      </w:r>
      <w:r>
        <w:t>status</w:t>
      </w:r>
      <w:r>
        <w:rPr>
          <w:spacing w:val="-7"/>
        </w:rPr>
        <w:t xml:space="preserve"> </w:t>
      </w:r>
      <w:r>
        <w:t>within</w:t>
      </w:r>
      <w:r>
        <w:rPr>
          <w:spacing w:val="-8"/>
        </w:rPr>
        <w:t xml:space="preserve"> </w:t>
      </w:r>
      <w:r>
        <w:t>age:</w:t>
      </w:r>
      <w:r>
        <w:rPr>
          <w:spacing w:val="-7"/>
        </w:rPr>
        <w:t xml:space="preserve"> </w:t>
      </w:r>
      <w:r>
        <w:rPr>
          <w:spacing w:val="-4"/>
        </w:rPr>
        <w:t>2022</w:t>
      </w:r>
    </w:p>
    <w:p w:rsidR="003F5784" w14:paraId="315A8351"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5498"/>
        <w:gridCol w:w="5493"/>
        <w:gridCol w:w="2992"/>
      </w:tblGrid>
      <w:tr w14:paraId="65D79A08" w14:textId="77777777">
        <w:tblPrEx>
          <w:tblW w:w="0" w:type="auto"/>
          <w:tblInd w:w="482" w:type="dxa"/>
          <w:tblLayout w:type="fixed"/>
          <w:tblCellMar>
            <w:left w:w="0" w:type="dxa"/>
            <w:right w:w="0" w:type="dxa"/>
          </w:tblCellMar>
          <w:tblLook w:val="01E0"/>
        </w:tblPrEx>
        <w:trPr>
          <w:trHeight w:val="267"/>
        </w:trPr>
        <w:tc>
          <w:tcPr>
            <w:tcW w:w="5498" w:type="dxa"/>
            <w:tcBorders>
              <w:top w:val="single" w:sz="18" w:space="0" w:color="800000"/>
              <w:bottom w:val="single" w:sz="18" w:space="0" w:color="800000"/>
            </w:tcBorders>
          </w:tcPr>
          <w:p w:rsidR="003F5784" w14:paraId="786C7A09" w14:textId="77777777">
            <w:pPr>
              <w:pStyle w:val="TableParagraph"/>
              <w:spacing w:before="9" w:line="238" w:lineRule="exact"/>
              <w:ind w:left="120"/>
              <w:jc w:val="left"/>
              <w:rPr>
                <w:sz w:val="21"/>
              </w:rPr>
            </w:pPr>
            <w:r>
              <w:rPr>
                <w:sz w:val="21"/>
              </w:rPr>
              <w:t>Eligibility</w:t>
            </w:r>
            <w:r>
              <w:rPr>
                <w:spacing w:val="-10"/>
                <w:sz w:val="21"/>
              </w:rPr>
              <w:t xml:space="preserve"> </w:t>
            </w:r>
            <w:r>
              <w:rPr>
                <w:spacing w:val="-2"/>
                <w:sz w:val="21"/>
              </w:rPr>
              <w:t>Status</w:t>
            </w:r>
          </w:p>
        </w:tc>
        <w:tc>
          <w:tcPr>
            <w:tcW w:w="5493" w:type="dxa"/>
            <w:tcBorders>
              <w:top w:val="single" w:sz="18" w:space="0" w:color="800000"/>
              <w:bottom w:val="single" w:sz="18" w:space="0" w:color="800000"/>
            </w:tcBorders>
          </w:tcPr>
          <w:p w:rsidR="003F5784" w14:paraId="7492B3A3" w14:textId="77777777">
            <w:pPr>
              <w:pStyle w:val="TableParagraph"/>
              <w:spacing w:before="9" w:line="238" w:lineRule="exact"/>
              <w:ind w:right="896"/>
              <w:rPr>
                <w:sz w:val="21"/>
              </w:rPr>
            </w:pPr>
            <w:r>
              <w:rPr>
                <w:sz w:val="21"/>
              </w:rPr>
              <w:t>Unweighted</w:t>
            </w:r>
            <w:r>
              <w:rPr>
                <w:spacing w:val="-7"/>
                <w:sz w:val="21"/>
              </w:rPr>
              <w:t xml:space="preserve"> </w:t>
            </w:r>
            <w:r>
              <w:rPr>
                <w:sz w:val="21"/>
              </w:rPr>
              <w:t>count</w:t>
            </w:r>
            <w:r>
              <w:rPr>
                <w:spacing w:val="-7"/>
                <w:sz w:val="21"/>
              </w:rPr>
              <w:t xml:space="preserve"> </w:t>
            </w:r>
            <w:r>
              <w:rPr>
                <w:sz w:val="21"/>
              </w:rPr>
              <w:t>of</w:t>
            </w:r>
            <w:r>
              <w:rPr>
                <w:spacing w:val="-6"/>
                <w:sz w:val="21"/>
              </w:rPr>
              <w:t xml:space="preserve"> </w:t>
            </w:r>
            <w:r>
              <w:rPr>
                <w:spacing w:val="-2"/>
                <w:sz w:val="21"/>
              </w:rPr>
              <w:t>schools</w:t>
            </w:r>
          </w:p>
        </w:tc>
        <w:tc>
          <w:tcPr>
            <w:tcW w:w="2992" w:type="dxa"/>
            <w:tcBorders>
              <w:top w:val="single" w:sz="18" w:space="0" w:color="800000"/>
              <w:bottom w:val="single" w:sz="18" w:space="0" w:color="800000"/>
            </w:tcBorders>
          </w:tcPr>
          <w:p w:rsidR="003F5784" w14:paraId="3B026488" w14:textId="77777777">
            <w:pPr>
              <w:pStyle w:val="TableParagraph"/>
              <w:spacing w:before="9" w:line="238" w:lineRule="exact"/>
              <w:ind w:right="116"/>
              <w:rPr>
                <w:sz w:val="21"/>
              </w:rPr>
            </w:pPr>
            <w:r>
              <w:rPr>
                <w:sz w:val="21"/>
              </w:rPr>
              <w:t>Unweighted</w:t>
            </w:r>
            <w:r>
              <w:rPr>
                <w:spacing w:val="-12"/>
                <w:sz w:val="21"/>
              </w:rPr>
              <w:t xml:space="preserve"> </w:t>
            </w:r>
            <w:r>
              <w:rPr>
                <w:spacing w:val="-2"/>
                <w:sz w:val="21"/>
              </w:rPr>
              <w:t>percentage</w:t>
            </w:r>
          </w:p>
        </w:tc>
      </w:tr>
      <w:tr w14:paraId="29CBBF45" w14:textId="77777777">
        <w:tblPrEx>
          <w:tblW w:w="0" w:type="auto"/>
          <w:tblInd w:w="482" w:type="dxa"/>
          <w:tblLayout w:type="fixed"/>
          <w:tblCellMar>
            <w:left w:w="0" w:type="dxa"/>
            <w:right w:w="0" w:type="dxa"/>
          </w:tblCellMar>
          <w:tblLook w:val="01E0"/>
        </w:tblPrEx>
        <w:trPr>
          <w:trHeight w:val="278"/>
        </w:trPr>
        <w:tc>
          <w:tcPr>
            <w:tcW w:w="5498" w:type="dxa"/>
            <w:tcBorders>
              <w:top w:val="single" w:sz="18" w:space="0" w:color="800000"/>
            </w:tcBorders>
          </w:tcPr>
          <w:p w:rsidR="003F5784" w14:paraId="1B3D22F0" w14:textId="77777777">
            <w:pPr>
              <w:pStyle w:val="TableParagraph"/>
              <w:spacing w:before="9"/>
              <w:ind w:left="370"/>
              <w:jc w:val="left"/>
              <w:rPr>
                <w:b/>
                <w:sz w:val="21"/>
              </w:rPr>
            </w:pPr>
            <w:r>
              <w:rPr>
                <w:b/>
                <w:sz w:val="21"/>
              </w:rPr>
              <w:t>All</w:t>
            </w:r>
            <w:r>
              <w:rPr>
                <w:b/>
                <w:spacing w:val="-5"/>
                <w:sz w:val="21"/>
              </w:rPr>
              <w:t xml:space="preserve"> </w:t>
            </w:r>
            <w:r>
              <w:rPr>
                <w:b/>
                <w:sz w:val="21"/>
              </w:rPr>
              <w:t>age</w:t>
            </w:r>
            <w:r>
              <w:rPr>
                <w:b/>
                <w:spacing w:val="-5"/>
                <w:sz w:val="21"/>
              </w:rPr>
              <w:t xml:space="preserve"> </w:t>
            </w:r>
            <w:r>
              <w:rPr>
                <w:b/>
                <w:sz w:val="21"/>
              </w:rPr>
              <w:t>9</w:t>
            </w:r>
            <w:r>
              <w:rPr>
                <w:b/>
                <w:spacing w:val="-5"/>
                <w:sz w:val="21"/>
              </w:rPr>
              <w:t xml:space="preserve"> </w:t>
            </w:r>
            <w:r>
              <w:rPr>
                <w:b/>
                <w:sz w:val="21"/>
              </w:rPr>
              <w:t>sampled</w:t>
            </w:r>
            <w:r>
              <w:rPr>
                <w:b/>
                <w:spacing w:val="-5"/>
                <w:sz w:val="21"/>
              </w:rPr>
              <w:t xml:space="preserve"> </w:t>
            </w:r>
            <w:r>
              <w:rPr>
                <w:b/>
                <w:sz w:val="21"/>
              </w:rPr>
              <w:t>public</w:t>
            </w:r>
            <w:r>
              <w:rPr>
                <w:b/>
                <w:spacing w:val="-5"/>
                <w:sz w:val="21"/>
              </w:rPr>
              <w:t xml:space="preserve"> </w:t>
            </w:r>
            <w:r>
              <w:rPr>
                <w:b/>
                <w:spacing w:val="-2"/>
                <w:sz w:val="21"/>
              </w:rPr>
              <w:t>schools</w:t>
            </w:r>
          </w:p>
        </w:tc>
        <w:tc>
          <w:tcPr>
            <w:tcW w:w="5493" w:type="dxa"/>
            <w:tcBorders>
              <w:top w:val="single" w:sz="18" w:space="0" w:color="800000"/>
            </w:tcBorders>
          </w:tcPr>
          <w:p w:rsidR="003F5784" w14:paraId="13721899" w14:textId="77777777">
            <w:pPr>
              <w:pStyle w:val="TableParagraph"/>
              <w:spacing w:before="9"/>
              <w:ind w:right="896"/>
              <w:rPr>
                <w:b/>
                <w:sz w:val="21"/>
              </w:rPr>
            </w:pPr>
            <w:r>
              <w:rPr>
                <w:b/>
                <w:spacing w:val="-5"/>
                <w:sz w:val="21"/>
              </w:rPr>
              <w:t>410</w:t>
            </w:r>
          </w:p>
        </w:tc>
        <w:tc>
          <w:tcPr>
            <w:tcW w:w="2992" w:type="dxa"/>
            <w:tcBorders>
              <w:top w:val="single" w:sz="18" w:space="0" w:color="800000"/>
            </w:tcBorders>
          </w:tcPr>
          <w:p w:rsidR="003F5784" w14:paraId="1B265D08" w14:textId="77777777">
            <w:pPr>
              <w:pStyle w:val="TableParagraph"/>
              <w:spacing w:before="9"/>
              <w:ind w:right="116"/>
              <w:rPr>
                <w:b/>
                <w:sz w:val="21"/>
              </w:rPr>
            </w:pPr>
            <w:r>
              <w:rPr>
                <w:b/>
                <w:spacing w:val="-2"/>
                <w:sz w:val="21"/>
              </w:rPr>
              <w:t>100.00</w:t>
            </w:r>
          </w:p>
        </w:tc>
      </w:tr>
      <w:tr w14:paraId="7DA145EE" w14:textId="77777777">
        <w:tblPrEx>
          <w:tblW w:w="0" w:type="auto"/>
          <w:tblInd w:w="482" w:type="dxa"/>
          <w:tblLayout w:type="fixed"/>
          <w:tblCellMar>
            <w:left w:w="0" w:type="dxa"/>
            <w:right w:w="0" w:type="dxa"/>
          </w:tblCellMar>
          <w:tblLook w:val="01E0"/>
        </w:tblPrEx>
        <w:trPr>
          <w:trHeight w:val="286"/>
        </w:trPr>
        <w:tc>
          <w:tcPr>
            <w:tcW w:w="5498" w:type="dxa"/>
          </w:tcPr>
          <w:p w:rsidR="003F5784" w14:paraId="087578DC" w14:textId="77777777">
            <w:pPr>
              <w:pStyle w:val="TableParagraph"/>
              <w:ind w:left="120"/>
              <w:jc w:val="left"/>
              <w:rPr>
                <w:sz w:val="21"/>
              </w:rPr>
            </w:pPr>
            <w:r>
              <w:rPr>
                <w:sz w:val="21"/>
              </w:rPr>
              <w:t>Eligible</w:t>
            </w:r>
            <w:r>
              <w:rPr>
                <w:spacing w:val="-8"/>
                <w:sz w:val="21"/>
              </w:rPr>
              <w:t xml:space="preserve"> </w:t>
            </w:r>
            <w:r>
              <w:rPr>
                <w:spacing w:val="-2"/>
                <w:sz w:val="21"/>
              </w:rPr>
              <w:t>schools</w:t>
            </w:r>
          </w:p>
        </w:tc>
        <w:tc>
          <w:tcPr>
            <w:tcW w:w="5493" w:type="dxa"/>
          </w:tcPr>
          <w:p w:rsidR="003F5784" w14:paraId="1DAA4BA4" w14:textId="77777777">
            <w:pPr>
              <w:pStyle w:val="TableParagraph"/>
              <w:ind w:right="896"/>
              <w:rPr>
                <w:sz w:val="21"/>
              </w:rPr>
            </w:pPr>
            <w:r>
              <w:rPr>
                <w:spacing w:val="-5"/>
                <w:sz w:val="21"/>
              </w:rPr>
              <w:t>400</w:t>
            </w:r>
          </w:p>
        </w:tc>
        <w:tc>
          <w:tcPr>
            <w:tcW w:w="2992" w:type="dxa"/>
          </w:tcPr>
          <w:p w:rsidR="003F5784" w14:paraId="2924A381" w14:textId="77777777">
            <w:pPr>
              <w:pStyle w:val="TableParagraph"/>
              <w:ind w:right="116"/>
              <w:rPr>
                <w:sz w:val="21"/>
              </w:rPr>
            </w:pPr>
            <w:r>
              <w:rPr>
                <w:spacing w:val="-2"/>
                <w:sz w:val="21"/>
              </w:rPr>
              <w:t>96.62</w:t>
            </w:r>
          </w:p>
        </w:tc>
      </w:tr>
      <w:tr w14:paraId="73ABE1FA" w14:textId="77777777">
        <w:tblPrEx>
          <w:tblW w:w="0" w:type="auto"/>
          <w:tblInd w:w="482" w:type="dxa"/>
          <w:tblLayout w:type="fixed"/>
          <w:tblCellMar>
            <w:left w:w="0" w:type="dxa"/>
            <w:right w:w="0" w:type="dxa"/>
          </w:tblCellMar>
          <w:tblLook w:val="01E0"/>
        </w:tblPrEx>
        <w:trPr>
          <w:trHeight w:val="286"/>
        </w:trPr>
        <w:tc>
          <w:tcPr>
            <w:tcW w:w="5498" w:type="dxa"/>
          </w:tcPr>
          <w:p w:rsidR="003F5784" w14:paraId="2F04B2E6" w14:textId="77777777">
            <w:pPr>
              <w:pStyle w:val="TableParagraph"/>
              <w:ind w:left="120"/>
              <w:jc w:val="left"/>
              <w:rPr>
                <w:sz w:val="21"/>
              </w:rPr>
            </w:pPr>
            <w:r>
              <w:rPr>
                <w:sz w:val="21"/>
              </w:rPr>
              <w:t>No</w:t>
            </w:r>
            <w:r>
              <w:rPr>
                <w:spacing w:val="-8"/>
                <w:sz w:val="21"/>
              </w:rPr>
              <w:t xml:space="preserve"> </w:t>
            </w:r>
            <w:r>
              <w:rPr>
                <w:sz w:val="21"/>
              </w:rPr>
              <w:t>age-eligible</w:t>
            </w:r>
            <w:r>
              <w:rPr>
                <w:spacing w:val="-7"/>
                <w:sz w:val="21"/>
              </w:rPr>
              <w:t xml:space="preserve"> </w:t>
            </w:r>
            <w:r>
              <w:rPr>
                <w:spacing w:val="-2"/>
                <w:sz w:val="21"/>
              </w:rPr>
              <w:t>students</w:t>
            </w:r>
          </w:p>
        </w:tc>
        <w:tc>
          <w:tcPr>
            <w:tcW w:w="5493" w:type="dxa"/>
          </w:tcPr>
          <w:p w:rsidR="003F5784" w14:paraId="624FE9B5" w14:textId="77777777">
            <w:pPr>
              <w:pStyle w:val="TableParagraph"/>
              <w:ind w:right="896"/>
              <w:rPr>
                <w:sz w:val="21"/>
              </w:rPr>
            </w:pPr>
            <w:r>
              <w:rPr>
                <w:spacing w:val="-10"/>
                <w:sz w:val="21"/>
              </w:rPr>
              <w:t>7</w:t>
            </w:r>
          </w:p>
        </w:tc>
        <w:tc>
          <w:tcPr>
            <w:tcW w:w="2992" w:type="dxa"/>
          </w:tcPr>
          <w:p w:rsidR="003F5784" w14:paraId="2EC5C1E3" w14:textId="77777777">
            <w:pPr>
              <w:pStyle w:val="TableParagraph"/>
              <w:ind w:right="116"/>
              <w:rPr>
                <w:sz w:val="21"/>
              </w:rPr>
            </w:pPr>
            <w:r>
              <w:rPr>
                <w:spacing w:val="-4"/>
                <w:sz w:val="21"/>
              </w:rPr>
              <w:t>1.69</w:t>
            </w:r>
          </w:p>
        </w:tc>
      </w:tr>
      <w:tr w14:paraId="623C80A8" w14:textId="77777777">
        <w:tblPrEx>
          <w:tblW w:w="0" w:type="auto"/>
          <w:tblInd w:w="482" w:type="dxa"/>
          <w:tblLayout w:type="fixed"/>
          <w:tblCellMar>
            <w:left w:w="0" w:type="dxa"/>
            <w:right w:w="0" w:type="dxa"/>
          </w:tblCellMar>
          <w:tblLook w:val="01E0"/>
        </w:tblPrEx>
        <w:trPr>
          <w:trHeight w:val="286"/>
        </w:trPr>
        <w:tc>
          <w:tcPr>
            <w:tcW w:w="5498" w:type="dxa"/>
          </w:tcPr>
          <w:p w:rsidR="003F5784" w14:paraId="24091CB9" w14:textId="77777777">
            <w:pPr>
              <w:pStyle w:val="TableParagraph"/>
              <w:ind w:left="120"/>
              <w:jc w:val="left"/>
              <w:rPr>
                <w:sz w:val="21"/>
              </w:rPr>
            </w:pPr>
            <w:r>
              <w:rPr>
                <w:sz w:val="21"/>
              </w:rPr>
              <w:t>School</w:t>
            </w:r>
            <w:r>
              <w:rPr>
                <w:spacing w:val="-7"/>
                <w:sz w:val="21"/>
              </w:rPr>
              <w:t xml:space="preserve"> </w:t>
            </w:r>
            <w:r>
              <w:rPr>
                <w:spacing w:val="-2"/>
                <w:sz w:val="21"/>
              </w:rPr>
              <w:t>closed</w:t>
            </w:r>
          </w:p>
        </w:tc>
        <w:tc>
          <w:tcPr>
            <w:tcW w:w="5493" w:type="dxa"/>
          </w:tcPr>
          <w:p w:rsidR="003F5784" w14:paraId="0C9FA413" w14:textId="77777777">
            <w:pPr>
              <w:pStyle w:val="TableParagraph"/>
              <w:ind w:right="896"/>
              <w:rPr>
                <w:sz w:val="21"/>
              </w:rPr>
            </w:pPr>
            <w:r>
              <w:rPr>
                <w:spacing w:val="-10"/>
                <w:sz w:val="21"/>
              </w:rPr>
              <w:t>5</w:t>
            </w:r>
          </w:p>
        </w:tc>
        <w:tc>
          <w:tcPr>
            <w:tcW w:w="2992" w:type="dxa"/>
          </w:tcPr>
          <w:p w:rsidR="003F5784" w14:paraId="63662F96" w14:textId="77777777">
            <w:pPr>
              <w:pStyle w:val="TableParagraph"/>
              <w:ind w:right="116"/>
              <w:rPr>
                <w:sz w:val="21"/>
              </w:rPr>
            </w:pPr>
            <w:r>
              <w:rPr>
                <w:spacing w:val="-4"/>
                <w:sz w:val="21"/>
              </w:rPr>
              <w:t>1.21</w:t>
            </w:r>
          </w:p>
        </w:tc>
      </w:tr>
      <w:tr w14:paraId="6EB438CF" w14:textId="77777777">
        <w:tblPrEx>
          <w:tblW w:w="0" w:type="auto"/>
          <w:tblInd w:w="482" w:type="dxa"/>
          <w:tblLayout w:type="fixed"/>
          <w:tblCellMar>
            <w:left w:w="0" w:type="dxa"/>
            <w:right w:w="0" w:type="dxa"/>
          </w:tblCellMar>
          <w:tblLook w:val="01E0"/>
        </w:tblPrEx>
        <w:trPr>
          <w:trHeight w:val="286"/>
        </w:trPr>
        <w:tc>
          <w:tcPr>
            <w:tcW w:w="5498" w:type="dxa"/>
          </w:tcPr>
          <w:p w:rsidR="003F5784" w14:paraId="46208DD7" w14:textId="77777777">
            <w:pPr>
              <w:pStyle w:val="TableParagraph"/>
              <w:ind w:left="120"/>
              <w:jc w:val="left"/>
              <w:rPr>
                <w:sz w:val="21"/>
              </w:rPr>
            </w:pPr>
            <w:r>
              <w:rPr>
                <w:sz w:val="21"/>
              </w:rPr>
              <w:t>Not</w:t>
            </w:r>
            <w:r>
              <w:rPr>
                <w:spacing w:val="-5"/>
                <w:sz w:val="21"/>
              </w:rPr>
              <w:t xml:space="preserve"> </w:t>
            </w:r>
            <w:r>
              <w:rPr>
                <w:sz w:val="21"/>
              </w:rPr>
              <w:t>a</w:t>
            </w:r>
            <w:r>
              <w:rPr>
                <w:spacing w:val="-4"/>
                <w:sz w:val="21"/>
              </w:rPr>
              <w:t xml:space="preserve"> </w:t>
            </w:r>
            <w:r>
              <w:rPr>
                <w:sz w:val="21"/>
              </w:rPr>
              <w:t>regular</w:t>
            </w:r>
            <w:r>
              <w:rPr>
                <w:spacing w:val="-5"/>
                <w:sz w:val="21"/>
              </w:rPr>
              <w:t xml:space="preserve"> </w:t>
            </w:r>
            <w:r>
              <w:rPr>
                <w:spacing w:val="-2"/>
                <w:sz w:val="21"/>
              </w:rPr>
              <w:t>school</w:t>
            </w:r>
          </w:p>
        </w:tc>
        <w:tc>
          <w:tcPr>
            <w:tcW w:w="5493" w:type="dxa"/>
          </w:tcPr>
          <w:p w:rsidR="003F5784" w14:paraId="69EE3EA7" w14:textId="77777777">
            <w:pPr>
              <w:pStyle w:val="TableParagraph"/>
              <w:ind w:right="896"/>
              <w:rPr>
                <w:sz w:val="21"/>
              </w:rPr>
            </w:pPr>
            <w:r>
              <w:rPr>
                <w:spacing w:val="-10"/>
                <w:sz w:val="21"/>
              </w:rPr>
              <w:t>2</w:t>
            </w:r>
          </w:p>
        </w:tc>
        <w:tc>
          <w:tcPr>
            <w:tcW w:w="2992" w:type="dxa"/>
          </w:tcPr>
          <w:p w:rsidR="003F5784" w14:paraId="73E68CCB" w14:textId="77777777">
            <w:pPr>
              <w:pStyle w:val="TableParagraph"/>
              <w:ind w:right="116"/>
              <w:rPr>
                <w:sz w:val="21"/>
              </w:rPr>
            </w:pPr>
            <w:r>
              <w:rPr>
                <w:spacing w:val="-4"/>
                <w:sz w:val="21"/>
              </w:rPr>
              <w:t>0.48</w:t>
            </w:r>
          </w:p>
        </w:tc>
      </w:tr>
      <w:tr w14:paraId="00FE9AA5" w14:textId="77777777">
        <w:tblPrEx>
          <w:tblW w:w="0" w:type="auto"/>
          <w:tblInd w:w="482" w:type="dxa"/>
          <w:tblLayout w:type="fixed"/>
          <w:tblCellMar>
            <w:left w:w="0" w:type="dxa"/>
            <w:right w:w="0" w:type="dxa"/>
          </w:tblCellMar>
          <w:tblLook w:val="01E0"/>
        </w:tblPrEx>
        <w:trPr>
          <w:trHeight w:val="286"/>
        </w:trPr>
        <w:tc>
          <w:tcPr>
            <w:tcW w:w="5498" w:type="dxa"/>
          </w:tcPr>
          <w:p w:rsidR="003F5784" w14:paraId="12F46127" w14:textId="77777777">
            <w:pPr>
              <w:pStyle w:val="TableParagraph"/>
              <w:ind w:left="120"/>
              <w:jc w:val="left"/>
              <w:rPr>
                <w:sz w:val="21"/>
              </w:rPr>
            </w:pPr>
            <w:r>
              <w:rPr>
                <w:sz w:val="21"/>
              </w:rPr>
              <w:t>Other</w:t>
            </w:r>
            <w:r>
              <w:rPr>
                <w:spacing w:val="-8"/>
                <w:sz w:val="21"/>
              </w:rPr>
              <w:t xml:space="preserve"> </w:t>
            </w:r>
            <w:r>
              <w:rPr>
                <w:sz w:val="21"/>
              </w:rPr>
              <w:t>ineligible</w:t>
            </w:r>
            <w:r>
              <w:rPr>
                <w:spacing w:val="-7"/>
                <w:sz w:val="21"/>
              </w:rPr>
              <w:t xml:space="preserve"> </w:t>
            </w:r>
            <w:r>
              <w:rPr>
                <w:spacing w:val="-2"/>
                <w:sz w:val="21"/>
              </w:rPr>
              <w:t>school</w:t>
            </w:r>
          </w:p>
        </w:tc>
        <w:tc>
          <w:tcPr>
            <w:tcW w:w="5493" w:type="dxa"/>
          </w:tcPr>
          <w:p w:rsidR="003F5784" w14:paraId="443FC3B3" w14:textId="77777777">
            <w:pPr>
              <w:pStyle w:val="TableParagraph"/>
              <w:ind w:right="896"/>
              <w:rPr>
                <w:sz w:val="21"/>
              </w:rPr>
            </w:pPr>
            <w:r>
              <w:rPr>
                <w:spacing w:val="-10"/>
                <w:sz w:val="21"/>
              </w:rPr>
              <w:t>0</w:t>
            </w:r>
          </w:p>
        </w:tc>
        <w:tc>
          <w:tcPr>
            <w:tcW w:w="2992" w:type="dxa"/>
          </w:tcPr>
          <w:p w:rsidR="003F5784" w14:paraId="5D437C26" w14:textId="77777777">
            <w:pPr>
              <w:pStyle w:val="TableParagraph"/>
              <w:ind w:right="116"/>
              <w:rPr>
                <w:sz w:val="21"/>
              </w:rPr>
            </w:pPr>
            <w:r>
              <w:rPr>
                <w:spacing w:val="-4"/>
                <w:sz w:val="21"/>
              </w:rPr>
              <w:t>0.00</w:t>
            </w:r>
          </w:p>
        </w:tc>
      </w:tr>
      <w:tr w14:paraId="292AF261" w14:textId="77777777">
        <w:tblPrEx>
          <w:tblW w:w="0" w:type="auto"/>
          <w:tblInd w:w="482" w:type="dxa"/>
          <w:tblLayout w:type="fixed"/>
          <w:tblCellMar>
            <w:left w:w="0" w:type="dxa"/>
            <w:right w:w="0" w:type="dxa"/>
          </w:tblCellMar>
          <w:tblLook w:val="01E0"/>
        </w:tblPrEx>
        <w:trPr>
          <w:trHeight w:val="289"/>
        </w:trPr>
        <w:tc>
          <w:tcPr>
            <w:tcW w:w="5498" w:type="dxa"/>
            <w:tcBorders>
              <w:bottom w:val="single" w:sz="12" w:space="0" w:color="800000"/>
            </w:tcBorders>
          </w:tcPr>
          <w:p w:rsidR="003F5784" w14:paraId="427F6171" w14:textId="77777777">
            <w:pPr>
              <w:pStyle w:val="TableParagraph"/>
              <w:ind w:left="120"/>
              <w:jc w:val="left"/>
              <w:rPr>
                <w:sz w:val="21"/>
              </w:rPr>
            </w:pPr>
            <w:r>
              <w:rPr>
                <w:sz w:val="21"/>
              </w:rPr>
              <w:t>Duplicate</w:t>
            </w:r>
            <w:r>
              <w:rPr>
                <w:spacing w:val="-7"/>
                <w:sz w:val="21"/>
              </w:rPr>
              <w:t xml:space="preserve"> </w:t>
            </w:r>
            <w:r>
              <w:rPr>
                <w:sz w:val="21"/>
              </w:rPr>
              <w:t>on</w:t>
            </w:r>
            <w:r>
              <w:rPr>
                <w:spacing w:val="-7"/>
                <w:sz w:val="21"/>
              </w:rPr>
              <w:t xml:space="preserve"> </w:t>
            </w:r>
            <w:r>
              <w:rPr>
                <w:sz w:val="21"/>
              </w:rPr>
              <w:t>sampling</w:t>
            </w:r>
            <w:r>
              <w:rPr>
                <w:spacing w:val="-7"/>
                <w:sz w:val="21"/>
              </w:rPr>
              <w:t xml:space="preserve"> </w:t>
            </w:r>
            <w:r>
              <w:rPr>
                <w:spacing w:val="-4"/>
                <w:sz w:val="21"/>
              </w:rPr>
              <w:t>frame</w:t>
            </w:r>
          </w:p>
        </w:tc>
        <w:tc>
          <w:tcPr>
            <w:tcW w:w="5493" w:type="dxa"/>
            <w:tcBorders>
              <w:bottom w:val="single" w:sz="12" w:space="0" w:color="800000"/>
            </w:tcBorders>
          </w:tcPr>
          <w:p w:rsidR="003F5784" w14:paraId="2BC9FA0E" w14:textId="77777777">
            <w:pPr>
              <w:pStyle w:val="TableParagraph"/>
              <w:ind w:right="896"/>
              <w:rPr>
                <w:sz w:val="21"/>
              </w:rPr>
            </w:pPr>
            <w:r>
              <w:rPr>
                <w:spacing w:val="-10"/>
                <w:sz w:val="21"/>
              </w:rPr>
              <w:t>0</w:t>
            </w:r>
          </w:p>
        </w:tc>
        <w:tc>
          <w:tcPr>
            <w:tcW w:w="2992" w:type="dxa"/>
            <w:tcBorders>
              <w:bottom w:val="single" w:sz="12" w:space="0" w:color="800000"/>
            </w:tcBorders>
          </w:tcPr>
          <w:p w:rsidR="003F5784" w14:paraId="7E8AAD65" w14:textId="77777777">
            <w:pPr>
              <w:pStyle w:val="TableParagraph"/>
              <w:ind w:right="116"/>
              <w:rPr>
                <w:sz w:val="21"/>
              </w:rPr>
            </w:pPr>
            <w:r>
              <w:rPr>
                <w:spacing w:val="-4"/>
                <w:sz w:val="21"/>
              </w:rPr>
              <w:t>0.00</w:t>
            </w:r>
          </w:p>
        </w:tc>
      </w:tr>
      <w:tr w14:paraId="251FFF89" w14:textId="77777777">
        <w:tblPrEx>
          <w:tblW w:w="0" w:type="auto"/>
          <w:tblInd w:w="482" w:type="dxa"/>
          <w:tblLayout w:type="fixed"/>
          <w:tblCellMar>
            <w:left w:w="0" w:type="dxa"/>
            <w:right w:w="0" w:type="dxa"/>
          </w:tblCellMar>
          <w:tblLook w:val="01E0"/>
        </w:tblPrEx>
        <w:trPr>
          <w:trHeight w:val="266"/>
        </w:trPr>
        <w:tc>
          <w:tcPr>
            <w:tcW w:w="5498" w:type="dxa"/>
            <w:tcBorders>
              <w:top w:val="single" w:sz="12" w:space="0" w:color="800000"/>
            </w:tcBorders>
          </w:tcPr>
          <w:p w:rsidR="003F5784" w14:paraId="6FA14249" w14:textId="77777777">
            <w:pPr>
              <w:pStyle w:val="TableParagraph"/>
              <w:spacing w:before="0" w:line="239" w:lineRule="exact"/>
              <w:ind w:left="370"/>
              <w:jc w:val="left"/>
              <w:rPr>
                <w:b/>
                <w:sz w:val="21"/>
              </w:rPr>
            </w:pPr>
            <w:r>
              <w:rPr>
                <w:b/>
                <w:sz w:val="21"/>
              </w:rPr>
              <w:t>All</w:t>
            </w:r>
            <w:r>
              <w:rPr>
                <w:b/>
                <w:spacing w:val="-6"/>
                <w:sz w:val="21"/>
              </w:rPr>
              <w:t xml:space="preserve"> </w:t>
            </w:r>
            <w:r>
              <w:rPr>
                <w:b/>
                <w:sz w:val="21"/>
              </w:rPr>
              <w:t>age</w:t>
            </w:r>
            <w:r>
              <w:rPr>
                <w:b/>
                <w:spacing w:val="-5"/>
                <w:sz w:val="21"/>
              </w:rPr>
              <w:t xml:space="preserve"> </w:t>
            </w:r>
            <w:r>
              <w:rPr>
                <w:b/>
                <w:sz w:val="21"/>
              </w:rPr>
              <w:t>13</w:t>
            </w:r>
            <w:r>
              <w:rPr>
                <w:b/>
                <w:spacing w:val="-5"/>
                <w:sz w:val="21"/>
              </w:rPr>
              <w:t xml:space="preserve"> </w:t>
            </w:r>
            <w:r>
              <w:rPr>
                <w:b/>
                <w:sz w:val="21"/>
              </w:rPr>
              <w:t>sampled</w:t>
            </w:r>
            <w:r>
              <w:rPr>
                <w:b/>
                <w:spacing w:val="-5"/>
                <w:sz w:val="21"/>
              </w:rPr>
              <w:t xml:space="preserve"> </w:t>
            </w:r>
            <w:r>
              <w:rPr>
                <w:b/>
                <w:sz w:val="21"/>
              </w:rPr>
              <w:t>public</w:t>
            </w:r>
            <w:r>
              <w:rPr>
                <w:b/>
                <w:spacing w:val="-5"/>
                <w:sz w:val="21"/>
              </w:rPr>
              <w:t xml:space="preserve"> </w:t>
            </w:r>
            <w:r>
              <w:rPr>
                <w:b/>
                <w:spacing w:val="-2"/>
                <w:sz w:val="21"/>
              </w:rPr>
              <w:t>schools</w:t>
            </w:r>
          </w:p>
        </w:tc>
        <w:tc>
          <w:tcPr>
            <w:tcW w:w="5493" w:type="dxa"/>
            <w:tcBorders>
              <w:top w:val="single" w:sz="12" w:space="0" w:color="800000"/>
            </w:tcBorders>
          </w:tcPr>
          <w:p w:rsidR="003F5784" w14:paraId="1878DC90" w14:textId="77777777">
            <w:pPr>
              <w:pStyle w:val="TableParagraph"/>
              <w:spacing w:before="0" w:line="239" w:lineRule="exact"/>
              <w:ind w:right="896"/>
              <w:rPr>
                <w:b/>
                <w:sz w:val="21"/>
              </w:rPr>
            </w:pPr>
            <w:r>
              <w:rPr>
                <w:b/>
                <w:spacing w:val="-5"/>
                <w:sz w:val="21"/>
              </w:rPr>
              <w:t>500</w:t>
            </w:r>
          </w:p>
        </w:tc>
        <w:tc>
          <w:tcPr>
            <w:tcW w:w="2992" w:type="dxa"/>
            <w:tcBorders>
              <w:top w:val="single" w:sz="12" w:space="0" w:color="800000"/>
            </w:tcBorders>
          </w:tcPr>
          <w:p w:rsidR="003F5784" w14:paraId="6FB24578" w14:textId="77777777">
            <w:pPr>
              <w:pStyle w:val="TableParagraph"/>
              <w:spacing w:before="0" w:line="239" w:lineRule="exact"/>
              <w:ind w:right="116"/>
              <w:rPr>
                <w:b/>
                <w:sz w:val="21"/>
              </w:rPr>
            </w:pPr>
            <w:r>
              <w:rPr>
                <w:b/>
                <w:spacing w:val="-2"/>
                <w:sz w:val="21"/>
              </w:rPr>
              <w:t>100.00</w:t>
            </w:r>
          </w:p>
        </w:tc>
      </w:tr>
      <w:tr w14:paraId="65888D69" w14:textId="77777777">
        <w:tblPrEx>
          <w:tblW w:w="0" w:type="auto"/>
          <w:tblInd w:w="482" w:type="dxa"/>
          <w:tblLayout w:type="fixed"/>
          <w:tblCellMar>
            <w:left w:w="0" w:type="dxa"/>
            <w:right w:w="0" w:type="dxa"/>
          </w:tblCellMar>
          <w:tblLook w:val="01E0"/>
        </w:tblPrEx>
        <w:trPr>
          <w:trHeight w:val="286"/>
        </w:trPr>
        <w:tc>
          <w:tcPr>
            <w:tcW w:w="5498" w:type="dxa"/>
          </w:tcPr>
          <w:p w:rsidR="003F5784" w14:paraId="579AF6D2" w14:textId="77777777">
            <w:pPr>
              <w:pStyle w:val="TableParagraph"/>
              <w:ind w:left="120"/>
              <w:jc w:val="left"/>
              <w:rPr>
                <w:sz w:val="21"/>
              </w:rPr>
            </w:pPr>
            <w:r>
              <w:rPr>
                <w:sz w:val="21"/>
              </w:rPr>
              <w:t>Eligible</w:t>
            </w:r>
            <w:r>
              <w:rPr>
                <w:spacing w:val="-8"/>
                <w:sz w:val="21"/>
              </w:rPr>
              <w:t xml:space="preserve"> </w:t>
            </w:r>
            <w:r>
              <w:rPr>
                <w:spacing w:val="-2"/>
                <w:sz w:val="21"/>
              </w:rPr>
              <w:t>schools</w:t>
            </w:r>
          </w:p>
        </w:tc>
        <w:tc>
          <w:tcPr>
            <w:tcW w:w="5493" w:type="dxa"/>
          </w:tcPr>
          <w:p w:rsidR="003F5784" w14:paraId="6EFBBE23" w14:textId="77777777">
            <w:pPr>
              <w:pStyle w:val="TableParagraph"/>
              <w:ind w:right="896"/>
              <w:rPr>
                <w:sz w:val="21"/>
              </w:rPr>
            </w:pPr>
            <w:r>
              <w:rPr>
                <w:spacing w:val="-5"/>
                <w:sz w:val="21"/>
              </w:rPr>
              <w:t>460</w:t>
            </w:r>
          </w:p>
        </w:tc>
        <w:tc>
          <w:tcPr>
            <w:tcW w:w="2992" w:type="dxa"/>
          </w:tcPr>
          <w:p w:rsidR="003F5784" w14:paraId="4ABA3B7A" w14:textId="77777777">
            <w:pPr>
              <w:pStyle w:val="TableParagraph"/>
              <w:ind w:right="116"/>
              <w:rPr>
                <w:sz w:val="21"/>
              </w:rPr>
            </w:pPr>
            <w:r>
              <w:rPr>
                <w:spacing w:val="-2"/>
                <w:sz w:val="21"/>
              </w:rPr>
              <w:t>92.00</w:t>
            </w:r>
          </w:p>
        </w:tc>
      </w:tr>
      <w:tr w14:paraId="3D703FDF" w14:textId="77777777">
        <w:tblPrEx>
          <w:tblW w:w="0" w:type="auto"/>
          <w:tblInd w:w="482" w:type="dxa"/>
          <w:tblLayout w:type="fixed"/>
          <w:tblCellMar>
            <w:left w:w="0" w:type="dxa"/>
            <w:right w:w="0" w:type="dxa"/>
          </w:tblCellMar>
          <w:tblLook w:val="01E0"/>
        </w:tblPrEx>
        <w:trPr>
          <w:trHeight w:val="286"/>
        </w:trPr>
        <w:tc>
          <w:tcPr>
            <w:tcW w:w="5498" w:type="dxa"/>
          </w:tcPr>
          <w:p w:rsidR="003F5784" w14:paraId="42A5EA08" w14:textId="77777777">
            <w:pPr>
              <w:pStyle w:val="TableParagraph"/>
              <w:ind w:left="120"/>
              <w:jc w:val="left"/>
              <w:rPr>
                <w:sz w:val="21"/>
              </w:rPr>
            </w:pPr>
            <w:r>
              <w:rPr>
                <w:sz w:val="21"/>
              </w:rPr>
              <w:t>No</w:t>
            </w:r>
            <w:r>
              <w:rPr>
                <w:spacing w:val="-8"/>
                <w:sz w:val="21"/>
              </w:rPr>
              <w:t xml:space="preserve"> </w:t>
            </w:r>
            <w:r>
              <w:rPr>
                <w:sz w:val="21"/>
              </w:rPr>
              <w:t>age-eligible</w:t>
            </w:r>
            <w:r>
              <w:rPr>
                <w:spacing w:val="-7"/>
                <w:sz w:val="21"/>
              </w:rPr>
              <w:t xml:space="preserve"> </w:t>
            </w:r>
            <w:r>
              <w:rPr>
                <w:spacing w:val="-2"/>
                <w:sz w:val="21"/>
              </w:rPr>
              <w:t>students</w:t>
            </w:r>
          </w:p>
        </w:tc>
        <w:tc>
          <w:tcPr>
            <w:tcW w:w="5493" w:type="dxa"/>
          </w:tcPr>
          <w:p w:rsidR="003F5784" w14:paraId="72101C88" w14:textId="77777777">
            <w:pPr>
              <w:pStyle w:val="TableParagraph"/>
              <w:ind w:right="896"/>
              <w:rPr>
                <w:sz w:val="21"/>
              </w:rPr>
            </w:pPr>
            <w:r>
              <w:rPr>
                <w:spacing w:val="-5"/>
                <w:sz w:val="21"/>
              </w:rPr>
              <w:t>26</w:t>
            </w:r>
          </w:p>
        </w:tc>
        <w:tc>
          <w:tcPr>
            <w:tcW w:w="2992" w:type="dxa"/>
          </w:tcPr>
          <w:p w:rsidR="003F5784" w14:paraId="6F236F43" w14:textId="77777777">
            <w:pPr>
              <w:pStyle w:val="TableParagraph"/>
              <w:ind w:right="116"/>
              <w:rPr>
                <w:sz w:val="21"/>
              </w:rPr>
            </w:pPr>
            <w:r>
              <w:rPr>
                <w:spacing w:val="-4"/>
                <w:sz w:val="21"/>
              </w:rPr>
              <w:t>5.20</w:t>
            </w:r>
          </w:p>
        </w:tc>
      </w:tr>
      <w:tr w14:paraId="4012C456" w14:textId="77777777">
        <w:tblPrEx>
          <w:tblW w:w="0" w:type="auto"/>
          <w:tblInd w:w="482" w:type="dxa"/>
          <w:tblLayout w:type="fixed"/>
          <w:tblCellMar>
            <w:left w:w="0" w:type="dxa"/>
            <w:right w:w="0" w:type="dxa"/>
          </w:tblCellMar>
          <w:tblLook w:val="01E0"/>
        </w:tblPrEx>
        <w:trPr>
          <w:trHeight w:val="286"/>
        </w:trPr>
        <w:tc>
          <w:tcPr>
            <w:tcW w:w="5498" w:type="dxa"/>
          </w:tcPr>
          <w:p w:rsidR="003F5784" w14:paraId="164F2275" w14:textId="77777777">
            <w:pPr>
              <w:pStyle w:val="TableParagraph"/>
              <w:ind w:left="120"/>
              <w:jc w:val="left"/>
              <w:rPr>
                <w:sz w:val="21"/>
              </w:rPr>
            </w:pPr>
            <w:r>
              <w:rPr>
                <w:sz w:val="21"/>
              </w:rPr>
              <w:t>School</w:t>
            </w:r>
            <w:r>
              <w:rPr>
                <w:spacing w:val="-7"/>
                <w:sz w:val="21"/>
              </w:rPr>
              <w:t xml:space="preserve"> </w:t>
            </w:r>
            <w:r>
              <w:rPr>
                <w:spacing w:val="-2"/>
                <w:sz w:val="21"/>
              </w:rPr>
              <w:t>closed</w:t>
            </w:r>
          </w:p>
        </w:tc>
        <w:tc>
          <w:tcPr>
            <w:tcW w:w="5493" w:type="dxa"/>
          </w:tcPr>
          <w:p w:rsidR="003F5784" w14:paraId="74E9B12D" w14:textId="77777777">
            <w:pPr>
              <w:pStyle w:val="TableParagraph"/>
              <w:ind w:right="896"/>
              <w:rPr>
                <w:sz w:val="21"/>
              </w:rPr>
            </w:pPr>
            <w:r>
              <w:rPr>
                <w:spacing w:val="-10"/>
                <w:sz w:val="21"/>
              </w:rPr>
              <w:t>6</w:t>
            </w:r>
          </w:p>
        </w:tc>
        <w:tc>
          <w:tcPr>
            <w:tcW w:w="2992" w:type="dxa"/>
          </w:tcPr>
          <w:p w:rsidR="003F5784" w14:paraId="443F00E9" w14:textId="77777777">
            <w:pPr>
              <w:pStyle w:val="TableParagraph"/>
              <w:ind w:right="116"/>
              <w:rPr>
                <w:sz w:val="21"/>
              </w:rPr>
            </w:pPr>
            <w:r>
              <w:rPr>
                <w:spacing w:val="-4"/>
                <w:sz w:val="21"/>
              </w:rPr>
              <w:t>1.20</w:t>
            </w:r>
          </w:p>
        </w:tc>
      </w:tr>
      <w:tr w14:paraId="5CF2ED31" w14:textId="77777777">
        <w:tblPrEx>
          <w:tblW w:w="0" w:type="auto"/>
          <w:tblInd w:w="482" w:type="dxa"/>
          <w:tblLayout w:type="fixed"/>
          <w:tblCellMar>
            <w:left w:w="0" w:type="dxa"/>
            <w:right w:w="0" w:type="dxa"/>
          </w:tblCellMar>
          <w:tblLook w:val="01E0"/>
        </w:tblPrEx>
        <w:trPr>
          <w:trHeight w:val="286"/>
        </w:trPr>
        <w:tc>
          <w:tcPr>
            <w:tcW w:w="5498" w:type="dxa"/>
          </w:tcPr>
          <w:p w:rsidR="003F5784" w14:paraId="2B02DAFB" w14:textId="77777777">
            <w:pPr>
              <w:pStyle w:val="TableParagraph"/>
              <w:ind w:left="120"/>
              <w:jc w:val="left"/>
              <w:rPr>
                <w:sz w:val="21"/>
              </w:rPr>
            </w:pPr>
            <w:r>
              <w:rPr>
                <w:sz w:val="21"/>
              </w:rPr>
              <w:t>Not</w:t>
            </w:r>
            <w:r>
              <w:rPr>
                <w:spacing w:val="-5"/>
                <w:sz w:val="21"/>
              </w:rPr>
              <w:t xml:space="preserve"> </w:t>
            </w:r>
            <w:r>
              <w:rPr>
                <w:sz w:val="21"/>
              </w:rPr>
              <w:t>a</w:t>
            </w:r>
            <w:r>
              <w:rPr>
                <w:spacing w:val="-4"/>
                <w:sz w:val="21"/>
              </w:rPr>
              <w:t xml:space="preserve"> </w:t>
            </w:r>
            <w:r>
              <w:rPr>
                <w:sz w:val="21"/>
              </w:rPr>
              <w:t>regular</w:t>
            </w:r>
            <w:r>
              <w:rPr>
                <w:spacing w:val="-5"/>
                <w:sz w:val="21"/>
              </w:rPr>
              <w:t xml:space="preserve"> </w:t>
            </w:r>
            <w:r>
              <w:rPr>
                <w:spacing w:val="-2"/>
                <w:sz w:val="21"/>
              </w:rPr>
              <w:t>school</w:t>
            </w:r>
          </w:p>
        </w:tc>
        <w:tc>
          <w:tcPr>
            <w:tcW w:w="5493" w:type="dxa"/>
          </w:tcPr>
          <w:p w:rsidR="003F5784" w14:paraId="27978A74" w14:textId="77777777">
            <w:pPr>
              <w:pStyle w:val="TableParagraph"/>
              <w:ind w:right="896"/>
              <w:rPr>
                <w:sz w:val="21"/>
              </w:rPr>
            </w:pPr>
            <w:r>
              <w:rPr>
                <w:spacing w:val="-10"/>
                <w:sz w:val="21"/>
              </w:rPr>
              <w:t>9</w:t>
            </w:r>
          </w:p>
        </w:tc>
        <w:tc>
          <w:tcPr>
            <w:tcW w:w="2992" w:type="dxa"/>
          </w:tcPr>
          <w:p w:rsidR="003F5784" w14:paraId="7BA7519D" w14:textId="77777777">
            <w:pPr>
              <w:pStyle w:val="TableParagraph"/>
              <w:ind w:right="116"/>
              <w:rPr>
                <w:sz w:val="21"/>
              </w:rPr>
            </w:pPr>
            <w:r>
              <w:rPr>
                <w:spacing w:val="-4"/>
                <w:sz w:val="21"/>
              </w:rPr>
              <w:t>1.80</w:t>
            </w:r>
          </w:p>
        </w:tc>
      </w:tr>
      <w:tr w14:paraId="354F7B04" w14:textId="77777777">
        <w:tblPrEx>
          <w:tblW w:w="0" w:type="auto"/>
          <w:tblInd w:w="482" w:type="dxa"/>
          <w:tblLayout w:type="fixed"/>
          <w:tblCellMar>
            <w:left w:w="0" w:type="dxa"/>
            <w:right w:w="0" w:type="dxa"/>
          </w:tblCellMar>
          <w:tblLook w:val="01E0"/>
        </w:tblPrEx>
        <w:trPr>
          <w:trHeight w:val="286"/>
        </w:trPr>
        <w:tc>
          <w:tcPr>
            <w:tcW w:w="5498" w:type="dxa"/>
          </w:tcPr>
          <w:p w:rsidR="003F5784" w14:paraId="6E826610" w14:textId="77777777">
            <w:pPr>
              <w:pStyle w:val="TableParagraph"/>
              <w:ind w:left="120"/>
              <w:jc w:val="left"/>
              <w:rPr>
                <w:sz w:val="21"/>
              </w:rPr>
            </w:pPr>
            <w:r>
              <w:rPr>
                <w:sz w:val="21"/>
              </w:rPr>
              <w:t>Other</w:t>
            </w:r>
            <w:r>
              <w:rPr>
                <w:spacing w:val="-8"/>
                <w:sz w:val="21"/>
              </w:rPr>
              <w:t xml:space="preserve"> </w:t>
            </w:r>
            <w:r>
              <w:rPr>
                <w:sz w:val="21"/>
              </w:rPr>
              <w:t>ineligible</w:t>
            </w:r>
            <w:r>
              <w:rPr>
                <w:spacing w:val="-7"/>
                <w:sz w:val="21"/>
              </w:rPr>
              <w:t xml:space="preserve"> </w:t>
            </w:r>
            <w:r>
              <w:rPr>
                <w:spacing w:val="-2"/>
                <w:sz w:val="21"/>
              </w:rPr>
              <w:t>school</w:t>
            </w:r>
          </w:p>
        </w:tc>
        <w:tc>
          <w:tcPr>
            <w:tcW w:w="5493" w:type="dxa"/>
          </w:tcPr>
          <w:p w:rsidR="003F5784" w14:paraId="1B9257EB" w14:textId="77777777">
            <w:pPr>
              <w:pStyle w:val="TableParagraph"/>
              <w:ind w:right="896"/>
              <w:rPr>
                <w:sz w:val="21"/>
              </w:rPr>
            </w:pPr>
            <w:r>
              <w:rPr>
                <w:spacing w:val="-10"/>
                <w:sz w:val="21"/>
              </w:rPr>
              <w:t>1</w:t>
            </w:r>
          </w:p>
        </w:tc>
        <w:tc>
          <w:tcPr>
            <w:tcW w:w="2992" w:type="dxa"/>
          </w:tcPr>
          <w:p w:rsidR="003F5784" w14:paraId="58439F9F" w14:textId="77777777">
            <w:pPr>
              <w:pStyle w:val="TableParagraph"/>
              <w:ind w:right="116"/>
              <w:rPr>
                <w:sz w:val="21"/>
              </w:rPr>
            </w:pPr>
            <w:r>
              <w:rPr>
                <w:spacing w:val="-4"/>
                <w:sz w:val="21"/>
              </w:rPr>
              <w:t>0.20</w:t>
            </w:r>
          </w:p>
        </w:tc>
      </w:tr>
      <w:tr w14:paraId="061222B8" w14:textId="77777777">
        <w:tblPrEx>
          <w:tblW w:w="0" w:type="auto"/>
          <w:tblInd w:w="482" w:type="dxa"/>
          <w:tblLayout w:type="fixed"/>
          <w:tblCellMar>
            <w:left w:w="0" w:type="dxa"/>
            <w:right w:w="0" w:type="dxa"/>
          </w:tblCellMar>
          <w:tblLook w:val="01E0"/>
        </w:tblPrEx>
        <w:trPr>
          <w:trHeight w:val="288"/>
        </w:trPr>
        <w:tc>
          <w:tcPr>
            <w:tcW w:w="5498" w:type="dxa"/>
            <w:tcBorders>
              <w:bottom w:val="single" w:sz="18" w:space="0" w:color="800000"/>
            </w:tcBorders>
          </w:tcPr>
          <w:p w:rsidR="003F5784" w14:paraId="452F23A4" w14:textId="77777777">
            <w:pPr>
              <w:pStyle w:val="TableParagraph"/>
              <w:ind w:left="120"/>
              <w:jc w:val="left"/>
              <w:rPr>
                <w:sz w:val="21"/>
              </w:rPr>
            </w:pPr>
            <w:r>
              <w:rPr>
                <w:sz w:val="21"/>
              </w:rPr>
              <w:t>Duplicate</w:t>
            </w:r>
            <w:r>
              <w:rPr>
                <w:spacing w:val="-7"/>
                <w:sz w:val="21"/>
              </w:rPr>
              <w:t xml:space="preserve"> </w:t>
            </w:r>
            <w:r>
              <w:rPr>
                <w:sz w:val="21"/>
              </w:rPr>
              <w:t>on</w:t>
            </w:r>
            <w:r>
              <w:rPr>
                <w:spacing w:val="-7"/>
                <w:sz w:val="21"/>
              </w:rPr>
              <w:t xml:space="preserve"> </w:t>
            </w:r>
            <w:r>
              <w:rPr>
                <w:sz w:val="21"/>
              </w:rPr>
              <w:t>sampling</w:t>
            </w:r>
            <w:r>
              <w:rPr>
                <w:spacing w:val="-7"/>
                <w:sz w:val="21"/>
              </w:rPr>
              <w:t xml:space="preserve"> </w:t>
            </w:r>
            <w:r>
              <w:rPr>
                <w:spacing w:val="-4"/>
                <w:sz w:val="21"/>
              </w:rPr>
              <w:t>frame</w:t>
            </w:r>
          </w:p>
        </w:tc>
        <w:tc>
          <w:tcPr>
            <w:tcW w:w="5493" w:type="dxa"/>
            <w:tcBorders>
              <w:bottom w:val="single" w:sz="18" w:space="0" w:color="800000"/>
            </w:tcBorders>
          </w:tcPr>
          <w:p w:rsidR="003F5784" w14:paraId="3C772697" w14:textId="77777777">
            <w:pPr>
              <w:pStyle w:val="TableParagraph"/>
              <w:ind w:right="896"/>
              <w:rPr>
                <w:sz w:val="21"/>
              </w:rPr>
            </w:pPr>
            <w:r>
              <w:rPr>
                <w:spacing w:val="-10"/>
                <w:sz w:val="21"/>
              </w:rPr>
              <w:t>0</w:t>
            </w:r>
          </w:p>
        </w:tc>
        <w:tc>
          <w:tcPr>
            <w:tcW w:w="2992" w:type="dxa"/>
            <w:tcBorders>
              <w:bottom w:val="single" w:sz="18" w:space="0" w:color="800000"/>
            </w:tcBorders>
          </w:tcPr>
          <w:p w:rsidR="003F5784" w14:paraId="42104ACB" w14:textId="77777777">
            <w:pPr>
              <w:pStyle w:val="TableParagraph"/>
              <w:ind w:right="116"/>
              <w:rPr>
                <w:sz w:val="21"/>
              </w:rPr>
            </w:pPr>
            <w:r>
              <w:rPr>
                <w:spacing w:val="-4"/>
                <w:sz w:val="21"/>
              </w:rPr>
              <w:t>0.00</w:t>
            </w:r>
          </w:p>
        </w:tc>
      </w:tr>
      <w:tr w14:paraId="78587CC0" w14:textId="77777777">
        <w:tblPrEx>
          <w:tblW w:w="0" w:type="auto"/>
          <w:tblInd w:w="482" w:type="dxa"/>
          <w:tblLayout w:type="fixed"/>
          <w:tblCellMar>
            <w:left w:w="0" w:type="dxa"/>
            <w:right w:w="0" w:type="dxa"/>
          </w:tblCellMar>
          <w:tblLook w:val="01E0"/>
        </w:tblPrEx>
        <w:trPr>
          <w:trHeight w:val="237"/>
        </w:trPr>
        <w:tc>
          <w:tcPr>
            <w:tcW w:w="13983" w:type="dxa"/>
            <w:gridSpan w:val="3"/>
            <w:tcBorders>
              <w:top w:val="single" w:sz="18" w:space="0" w:color="800000"/>
            </w:tcBorders>
          </w:tcPr>
          <w:p w:rsidR="003F5784" w14:paraId="00CA9F93" w14:textId="77777777">
            <w:pPr>
              <w:pStyle w:val="TableParagraph"/>
              <w:spacing w:before="0" w:line="218" w:lineRule="exact"/>
              <w:ind w:left="120"/>
              <w:jc w:val="left"/>
              <w:rPr>
                <w:sz w:val="21"/>
              </w:rPr>
            </w:pPr>
            <w:r>
              <w:rPr>
                <w:sz w:val="21"/>
              </w:rPr>
              <w:t>NOTE:</w:t>
            </w:r>
            <w:r>
              <w:rPr>
                <w:spacing w:val="-10"/>
                <w:sz w:val="21"/>
              </w:rPr>
              <w:t xml:space="preserve"> </w:t>
            </w:r>
            <w:r>
              <w:rPr>
                <w:sz w:val="21"/>
              </w:rPr>
              <w:t>Total</w:t>
            </w:r>
            <w:r>
              <w:rPr>
                <w:spacing w:val="-7"/>
                <w:sz w:val="21"/>
              </w:rPr>
              <w:t xml:space="preserve"> </w:t>
            </w:r>
            <w:r>
              <w:rPr>
                <w:sz w:val="21"/>
              </w:rPr>
              <w:t>and</w:t>
            </w:r>
            <w:r>
              <w:rPr>
                <w:spacing w:val="-6"/>
                <w:sz w:val="21"/>
              </w:rPr>
              <w:t xml:space="preserve"> </w:t>
            </w:r>
            <w:r>
              <w:rPr>
                <w:sz w:val="21"/>
              </w:rPr>
              <w:t>eligible</w:t>
            </w:r>
            <w:r>
              <w:rPr>
                <w:spacing w:val="-6"/>
                <w:sz w:val="21"/>
              </w:rPr>
              <w:t xml:space="preserve"> </w:t>
            </w:r>
            <w:r>
              <w:rPr>
                <w:sz w:val="21"/>
              </w:rPr>
              <w:t>school</w:t>
            </w:r>
            <w:r>
              <w:rPr>
                <w:spacing w:val="-6"/>
                <w:sz w:val="21"/>
              </w:rPr>
              <w:t xml:space="preserve"> </w:t>
            </w:r>
            <w:r>
              <w:rPr>
                <w:sz w:val="21"/>
              </w:rPr>
              <w:t>counts</w:t>
            </w:r>
            <w:r>
              <w:rPr>
                <w:spacing w:val="-6"/>
                <w:sz w:val="21"/>
              </w:rPr>
              <w:t xml:space="preserve"> </w:t>
            </w:r>
            <w:r>
              <w:rPr>
                <w:sz w:val="21"/>
              </w:rPr>
              <w:t>are</w:t>
            </w:r>
            <w:r>
              <w:rPr>
                <w:spacing w:val="-7"/>
                <w:sz w:val="21"/>
              </w:rPr>
              <w:t xml:space="preserve"> </w:t>
            </w:r>
            <w:r>
              <w:rPr>
                <w:sz w:val="21"/>
              </w:rPr>
              <w:t>rounded</w:t>
            </w:r>
            <w:r>
              <w:rPr>
                <w:spacing w:val="-6"/>
                <w:sz w:val="21"/>
              </w:rPr>
              <w:t xml:space="preserve"> </w:t>
            </w:r>
            <w:r>
              <w:rPr>
                <w:sz w:val="21"/>
              </w:rPr>
              <w:t>to</w:t>
            </w:r>
            <w:r>
              <w:rPr>
                <w:spacing w:val="-6"/>
                <w:sz w:val="21"/>
              </w:rPr>
              <w:t xml:space="preserve"> </w:t>
            </w:r>
            <w:r>
              <w:rPr>
                <w:sz w:val="21"/>
              </w:rPr>
              <w:t>nearest</w:t>
            </w:r>
            <w:r>
              <w:rPr>
                <w:spacing w:val="-6"/>
                <w:sz w:val="21"/>
              </w:rPr>
              <w:t xml:space="preserve"> </w:t>
            </w:r>
            <w:r>
              <w:rPr>
                <w:sz w:val="21"/>
              </w:rPr>
              <w:t>ten.</w:t>
            </w:r>
            <w:r>
              <w:rPr>
                <w:spacing w:val="-6"/>
                <w:sz w:val="21"/>
              </w:rPr>
              <w:t xml:space="preserve"> </w:t>
            </w:r>
            <w:r>
              <w:rPr>
                <w:sz w:val="21"/>
              </w:rPr>
              <w:t>Percentages</w:t>
            </w:r>
            <w:r>
              <w:rPr>
                <w:spacing w:val="-7"/>
                <w:sz w:val="21"/>
              </w:rPr>
              <w:t xml:space="preserve"> </w:t>
            </w:r>
            <w:r>
              <w:rPr>
                <w:sz w:val="21"/>
              </w:rPr>
              <w:t>are</w:t>
            </w:r>
            <w:r>
              <w:rPr>
                <w:spacing w:val="-6"/>
                <w:sz w:val="21"/>
              </w:rPr>
              <w:t xml:space="preserve"> </w:t>
            </w:r>
            <w:r>
              <w:rPr>
                <w:sz w:val="21"/>
              </w:rPr>
              <w:t>based</w:t>
            </w:r>
            <w:r>
              <w:rPr>
                <w:spacing w:val="-6"/>
                <w:sz w:val="21"/>
              </w:rPr>
              <w:t xml:space="preserve"> </w:t>
            </w:r>
            <w:r>
              <w:rPr>
                <w:sz w:val="21"/>
              </w:rPr>
              <w:t>on</w:t>
            </w:r>
            <w:r>
              <w:rPr>
                <w:spacing w:val="-6"/>
                <w:sz w:val="21"/>
              </w:rPr>
              <w:t xml:space="preserve"> </w:t>
            </w:r>
            <w:r>
              <w:rPr>
                <w:sz w:val="21"/>
              </w:rPr>
              <w:t>unrounded</w:t>
            </w:r>
            <w:r>
              <w:rPr>
                <w:spacing w:val="-7"/>
                <w:sz w:val="21"/>
              </w:rPr>
              <w:t xml:space="preserve"> </w:t>
            </w:r>
            <w:r>
              <w:rPr>
                <w:sz w:val="21"/>
              </w:rPr>
              <w:t>counts.</w:t>
            </w:r>
            <w:r>
              <w:rPr>
                <w:spacing w:val="-6"/>
                <w:sz w:val="21"/>
              </w:rPr>
              <w:t xml:space="preserve"> </w:t>
            </w:r>
            <w:r>
              <w:rPr>
                <w:sz w:val="21"/>
              </w:rPr>
              <w:t>Detail</w:t>
            </w:r>
            <w:r>
              <w:rPr>
                <w:spacing w:val="-6"/>
                <w:sz w:val="21"/>
              </w:rPr>
              <w:t xml:space="preserve"> </w:t>
            </w:r>
            <w:r>
              <w:rPr>
                <w:sz w:val="21"/>
              </w:rPr>
              <w:t>may</w:t>
            </w:r>
            <w:r>
              <w:rPr>
                <w:spacing w:val="-6"/>
                <w:sz w:val="21"/>
              </w:rPr>
              <w:t xml:space="preserve"> </w:t>
            </w:r>
            <w:r>
              <w:rPr>
                <w:sz w:val="21"/>
              </w:rPr>
              <w:t>not</w:t>
            </w:r>
            <w:r>
              <w:rPr>
                <w:spacing w:val="-6"/>
                <w:sz w:val="21"/>
              </w:rPr>
              <w:t xml:space="preserve"> </w:t>
            </w:r>
            <w:r>
              <w:rPr>
                <w:sz w:val="21"/>
              </w:rPr>
              <w:t>sum</w:t>
            </w:r>
            <w:r>
              <w:rPr>
                <w:spacing w:val="-7"/>
                <w:sz w:val="21"/>
              </w:rPr>
              <w:t xml:space="preserve"> </w:t>
            </w:r>
            <w:r>
              <w:rPr>
                <w:sz w:val="21"/>
              </w:rPr>
              <w:t>to</w:t>
            </w:r>
            <w:r>
              <w:rPr>
                <w:spacing w:val="-6"/>
                <w:sz w:val="21"/>
              </w:rPr>
              <w:t xml:space="preserve"> </w:t>
            </w:r>
            <w:r>
              <w:rPr>
                <w:sz w:val="21"/>
              </w:rPr>
              <w:t>totals</w:t>
            </w:r>
            <w:r>
              <w:rPr>
                <w:spacing w:val="-6"/>
                <w:sz w:val="21"/>
              </w:rPr>
              <w:t xml:space="preserve"> </w:t>
            </w:r>
            <w:r>
              <w:rPr>
                <w:sz w:val="21"/>
              </w:rPr>
              <w:t>because</w:t>
            </w:r>
            <w:r>
              <w:rPr>
                <w:spacing w:val="-6"/>
                <w:sz w:val="21"/>
              </w:rPr>
              <w:t xml:space="preserve"> </w:t>
            </w:r>
            <w:r>
              <w:rPr>
                <w:sz w:val="21"/>
              </w:rPr>
              <w:t>of</w:t>
            </w:r>
            <w:r>
              <w:rPr>
                <w:spacing w:val="-6"/>
                <w:sz w:val="21"/>
              </w:rPr>
              <w:t xml:space="preserve"> </w:t>
            </w:r>
            <w:r>
              <w:rPr>
                <w:spacing w:val="-2"/>
                <w:sz w:val="21"/>
              </w:rPr>
              <w:t>rounding.</w:t>
            </w:r>
          </w:p>
        </w:tc>
      </w:tr>
    </w:tbl>
    <w:p w:rsidR="003F5784" w14:paraId="75B6D459" w14:textId="77777777">
      <w:pPr>
        <w:pStyle w:val="BodyText"/>
        <w:spacing w:before="8"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01FD56CB" w14:textId="77777777">
      <w:pPr>
        <w:spacing w:line="232" w:lineRule="auto"/>
        <w:sectPr>
          <w:pgSz w:w="15840" w:h="12240" w:orient="landscape"/>
          <w:pgMar w:top="480" w:right="440" w:bottom="460" w:left="460" w:header="284" w:footer="275" w:gutter="0"/>
          <w:cols w:space="720"/>
        </w:sectPr>
      </w:pPr>
    </w:p>
    <w:p w:rsidR="003F5784" w14:paraId="6EF751FB" w14:textId="77777777">
      <w:pPr>
        <w:pStyle w:val="BodyText"/>
        <w:rPr>
          <w:sz w:val="18"/>
        </w:rPr>
      </w:pPr>
    </w:p>
    <w:p w:rsidR="003F5784" w14:paraId="2110F8C8" w14:textId="77777777">
      <w:pPr>
        <w:pStyle w:val="BodyText"/>
        <w:rPr>
          <w:sz w:val="18"/>
        </w:rPr>
      </w:pPr>
    </w:p>
    <w:p w:rsidR="003F5784" w14:paraId="2324DF1C" w14:textId="77777777">
      <w:pPr>
        <w:pStyle w:val="BodyText"/>
        <w:rPr>
          <w:sz w:val="18"/>
        </w:rPr>
      </w:pPr>
    </w:p>
    <w:p w:rsidR="003F5784" w14:paraId="588FEF77" w14:textId="77777777">
      <w:pPr>
        <w:pStyle w:val="BodyText"/>
        <w:spacing w:before="145"/>
        <w:rPr>
          <w:sz w:val="18"/>
        </w:rPr>
      </w:pPr>
    </w:p>
    <w:p w:rsidR="003F5784" w14:paraId="24E28E36" w14:textId="77777777">
      <w:pPr>
        <w:ind w:left="4447"/>
        <w:rPr>
          <w:sz w:val="18"/>
        </w:rPr>
      </w:pPr>
      <w:hyperlink r:id="rId150">
        <w:r>
          <w:rPr>
            <w:spacing w:val="-2"/>
            <w:w w:val="105"/>
            <w:sz w:val="18"/>
          </w:rPr>
          <w:t>http://nces.ed.gov/nationsreportcard/tdw/sample_design/2022/ineligible_public_schools_for_the_2022_long_term_trend_assessment.aspx</w:t>
        </w:r>
      </w:hyperlink>
    </w:p>
    <w:p w:rsidR="003F5784" w14:paraId="22766943" w14:textId="77777777">
      <w:pPr>
        <w:pStyle w:val="BodyText"/>
        <w:spacing w:before="1"/>
        <w:rPr>
          <w:sz w:val="16"/>
        </w:rPr>
      </w:pPr>
      <w:r>
        <w:rPr>
          <w:noProof/>
        </w:rPr>
        <mc:AlternateContent>
          <mc:Choice Requires="wps">
            <w:drawing>
              <wp:anchor distT="0" distB="0" distL="0" distR="0" simplePos="0" relativeHeight="251853824" behindDoc="1" locked="0" layoutInCell="1" allowOverlap="1">
                <wp:simplePos x="0" y="0"/>
                <wp:positionH relativeFrom="page">
                  <wp:posOffset>361937</wp:posOffset>
                </wp:positionH>
                <wp:positionV relativeFrom="paragraph">
                  <wp:posOffset>133008</wp:posOffset>
                </wp:positionV>
                <wp:extent cx="9339580" cy="8890"/>
                <wp:effectExtent l="0" t="0" r="0" b="0"/>
                <wp:wrapTopAndBottom/>
                <wp:docPr id="171" name="Graphic 171"/>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67"/>
                              </a:lnTo>
                              <a:lnTo>
                                <a:pt x="9335110" y="8280"/>
                              </a:lnTo>
                              <a:lnTo>
                                <a:pt x="9338970" y="8280"/>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71" o:spid="_x0000_s1097" style="width:735.4pt;height:0.7pt;margin-top:10.45pt;margin-left:28.5pt;mso-position-horizontal-relative:page;mso-wrap-distance-bottom:0;mso-wrap-distance-left:0;mso-wrap-distance-right:0;mso-wrap-distance-top:0;mso-wrap-style:square;position:absolute;visibility:visible;v-text-anchor:top;z-index:-251461632" coordsize="9339580,8890" path="m9338970,12l9335110,12l8280,12,,,,8267l9335110,8280l9338970,8280l9338970,12xe" fillcolor="gray" stroked="f">
                <v:path arrowok="t"/>
                <w10:wrap type="topAndBottom"/>
              </v:shape>
            </w:pict>
          </mc:Fallback>
        </mc:AlternateContent>
      </w:r>
    </w:p>
    <w:p w:rsidR="003F5784" w14:paraId="33B0F94C" w14:textId="77777777">
      <w:pPr>
        <w:pStyle w:val="BodyText"/>
        <w:rPr>
          <w:sz w:val="18"/>
        </w:rPr>
      </w:pPr>
    </w:p>
    <w:p w:rsidR="003F5784" w14:paraId="275896CD" w14:textId="77777777">
      <w:pPr>
        <w:pStyle w:val="BodyText"/>
        <w:spacing w:before="193"/>
        <w:rPr>
          <w:sz w:val="18"/>
        </w:rPr>
      </w:pPr>
    </w:p>
    <w:p w:rsidR="003F5784" w14:paraId="0C9E072D" w14:textId="20381FAF">
      <w:pPr>
        <w:pStyle w:val="Heading1"/>
        <w:spacing w:line="244" w:lineRule="auto"/>
      </w:pPr>
      <w:r>
        <w:t>NAEP</w:t>
      </w:r>
      <w:r>
        <w:rPr>
          <w:spacing w:val="-16"/>
        </w:rPr>
        <w:t xml:space="preserve"> </w:t>
      </w:r>
      <w:r>
        <w:t>Technical Documentation</w:t>
      </w:r>
      <w:r w:rsidR="00FB7295">
        <w:t xml:space="preserve"> </w:t>
      </w:r>
      <w:r>
        <w:t>Sampling Frame for the 2022 Public School Long- Term Trend Assessment</w:t>
      </w:r>
    </w:p>
    <w:p w:rsidR="003F5784" w14:paraId="2585EE84" w14:textId="77777777">
      <w:pPr>
        <w:pStyle w:val="BodyText"/>
        <w:spacing w:before="7"/>
        <w:rPr>
          <w:b/>
          <w:sz w:val="16"/>
        </w:rPr>
      </w:pPr>
    </w:p>
    <w:p w:rsidR="003F5784" w14:paraId="1E1BF507" w14:textId="77777777">
      <w:pPr>
        <w:rPr>
          <w:sz w:val="16"/>
        </w:rPr>
        <w:sectPr>
          <w:pgSz w:w="15840" w:h="12240" w:orient="landscape"/>
          <w:pgMar w:top="480" w:right="440" w:bottom="460" w:left="460" w:header="284" w:footer="275" w:gutter="0"/>
          <w:cols w:space="720"/>
        </w:sectPr>
      </w:pPr>
    </w:p>
    <w:p w:rsidR="003F5784" w14:paraId="3193D46D" w14:textId="77777777">
      <w:pPr>
        <w:pStyle w:val="BodyText"/>
        <w:spacing w:before="96" w:line="232" w:lineRule="auto"/>
        <w:ind w:left="109" w:right="38"/>
      </w:pPr>
      <w:r>
        <w:t>Drawing</w:t>
      </w:r>
      <w:r>
        <w:rPr>
          <w:spacing w:val="-7"/>
        </w:rPr>
        <w:t xml:space="preserve"> </w:t>
      </w:r>
      <w:r>
        <w:t>the</w:t>
      </w:r>
      <w:r>
        <w:rPr>
          <w:spacing w:val="-7"/>
        </w:rPr>
        <w:t xml:space="preserve"> </w:t>
      </w:r>
      <w:r>
        <w:t>school</w:t>
      </w:r>
      <w:r>
        <w:rPr>
          <w:spacing w:val="-7"/>
        </w:rPr>
        <w:t xml:space="preserve"> </w:t>
      </w:r>
      <w:r>
        <w:t>samples</w:t>
      </w:r>
      <w:r>
        <w:rPr>
          <w:spacing w:val="-7"/>
        </w:rPr>
        <w:t xml:space="preserve"> </w:t>
      </w:r>
      <w:r>
        <w:t>for</w:t>
      </w:r>
      <w:r>
        <w:rPr>
          <w:spacing w:val="-7"/>
        </w:rPr>
        <w:t xml:space="preserve"> </w:t>
      </w:r>
      <w:r>
        <w:t>the</w:t>
      </w:r>
      <w:r>
        <w:rPr>
          <w:spacing w:val="-7"/>
        </w:rPr>
        <w:t xml:space="preserve"> </w:t>
      </w:r>
      <w:r>
        <w:t>2022</w:t>
      </w:r>
      <w:r>
        <w:rPr>
          <w:spacing w:val="-7"/>
        </w:rPr>
        <w:t xml:space="preserve"> </w:t>
      </w:r>
      <w:r>
        <w:t>assessment</w:t>
      </w:r>
      <w:r>
        <w:rPr>
          <w:spacing w:val="-7"/>
        </w:rPr>
        <w:t xml:space="preserve"> </w:t>
      </w:r>
      <w:r>
        <w:t>required</w:t>
      </w:r>
      <w:r>
        <w:rPr>
          <w:spacing w:val="-7"/>
        </w:rPr>
        <w:t xml:space="preserve"> </w:t>
      </w:r>
      <w:r>
        <w:t>a</w:t>
      </w:r>
      <w:r>
        <w:rPr>
          <w:spacing w:val="-7"/>
        </w:rPr>
        <w:t xml:space="preserve"> </w:t>
      </w:r>
      <w:r>
        <w:t>comprehensive</w:t>
      </w:r>
      <w:r>
        <w:rPr>
          <w:spacing w:val="-7"/>
        </w:rPr>
        <w:t xml:space="preserve"> </w:t>
      </w:r>
      <w:r>
        <w:t>list</w:t>
      </w:r>
      <w:r>
        <w:rPr>
          <w:spacing w:val="-7"/>
        </w:rPr>
        <w:t xml:space="preserve"> </w:t>
      </w:r>
      <w:r>
        <w:t>of</w:t>
      </w:r>
      <w:r>
        <w:rPr>
          <w:spacing w:val="-7"/>
        </w:rPr>
        <w:t xml:space="preserve"> </w:t>
      </w:r>
      <w:r>
        <w:t>public</w:t>
      </w:r>
      <w:r>
        <w:rPr>
          <w:spacing w:val="-7"/>
        </w:rPr>
        <w:t xml:space="preserve"> </w:t>
      </w:r>
      <w:r>
        <w:t>schools</w:t>
      </w:r>
      <w:r>
        <w:rPr>
          <w:spacing w:val="-7"/>
        </w:rPr>
        <w:t xml:space="preserve"> </w:t>
      </w:r>
      <w:r>
        <w:t>in</w:t>
      </w:r>
      <w:r>
        <w:rPr>
          <w:spacing w:val="-7"/>
        </w:rPr>
        <w:t xml:space="preserve"> </w:t>
      </w:r>
      <w:r>
        <w:t>each</w:t>
      </w:r>
      <w:r>
        <w:rPr>
          <w:spacing w:val="-7"/>
        </w:rPr>
        <w:t xml:space="preserve"> </w:t>
      </w:r>
      <w:r>
        <w:t>jurisdiction</w:t>
      </w:r>
      <w:r>
        <w:rPr>
          <w:spacing w:val="-7"/>
        </w:rPr>
        <w:t xml:space="preserve"> </w:t>
      </w:r>
      <w:r>
        <w:t>containing</w:t>
      </w:r>
      <w:r>
        <w:rPr>
          <w:spacing w:val="-7"/>
        </w:rPr>
        <w:t xml:space="preserve"> </w:t>
      </w:r>
      <w:r>
        <w:t>information</w:t>
      </w:r>
      <w:r>
        <w:rPr>
          <w:spacing w:val="-7"/>
        </w:rPr>
        <w:t xml:space="preserve"> </w:t>
      </w:r>
      <w:r>
        <w:t>for stratification purposes.</w:t>
      </w:r>
      <w:r>
        <w:rPr>
          <w:spacing w:val="-9"/>
        </w:rPr>
        <w:t xml:space="preserve"> </w:t>
      </w:r>
      <w:r>
        <w:t>As in previous NAEP</w:t>
      </w:r>
      <w:r>
        <w:rPr>
          <w:spacing w:val="-6"/>
        </w:rPr>
        <w:t xml:space="preserve"> </w:t>
      </w:r>
      <w:r>
        <w:t>assessments, the Common Core of Data (CCD) file developed by NCES was used to construct the sampling frame.</w:t>
      </w:r>
      <w:r>
        <w:rPr>
          <w:spacing w:val="-2"/>
        </w:rPr>
        <w:t xml:space="preserve"> </w:t>
      </w:r>
      <w:r>
        <w:t>The CCD file corresponding to the 2019–2020 school year provided the frame for all regular public (as classified by the CCD), state-operated public (as classified by the CCD), Bureau of Indian Education (BIE), and Department of Defense Education</w:t>
      </w:r>
      <w:r>
        <w:rPr>
          <w:spacing w:val="-9"/>
        </w:rPr>
        <w:t xml:space="preserve"> </w:t>
      </w:r>
      <w:r>
        <w:t>Activity (DoDEA) schools serving age 9 in the 50 states and the District of Columbia.</w:t>
      </w:r>
      <w:r>
        <w:rPr>
          <w:spacing w:val="-3"/>
        </w:rPr>
        <w:t xml:space="preserve"> </w:t>
      </w:r>
      <w:r>
        <w:t>The school frame for age 13 was based on the CCD file corresponding to the 2020–2021 school year.</w:t>
      </w:r>
    </w:p>
    <w:p w:rsidR="003F5784" w14:paraId="0F492CFF" w14:textId="77777777">
      <w:pPr>
        <w:pStyle w:val="BodyText"/>
        <w:spacing w:before="205"/>
        <w:ind w:left="109"/>
      </w:pPr>
      <w:r>
        <w:t>The</w:t>
      </w:r>
      <w:r>
        <w:rPr>
          <w:spacing w:val="-7"/>
        </w:rPr>
        <w:t xml:space="preserve"> </w:t>
      </w:r>
      <w:r>
        <w:t>respective</w:t>
      </w:r>
      <w:r>
        <w:rPr>
          <w:spacing w:val="-7"/>
        </w:rPr>
        <w:t xml:space="preserve"> </w:t>
      </w:r>
      <w:r>
        <w:t>sampling</w:t>
      </w:r>
      <w:r>
        <w:rPr>
          <w:spacing w:val="-6"/>
        </w:rPr>
        <w:t xml:space="preserve"> </w:t>
      </w:r>
      <w:r>
        <w:t>frames</w:t>
      </w:r>
      <w:r>
        <w:rPr>
          <w:spacing w:val="-6"/>
        </w:rPr>
        <w:t xml:space="preserve"> </w:t>
      </w:r>
      <w:r>
        <w:t>were</w:t>
      </w:r>
      <w:r>
        <w:rPr>
          <w:spacing w:val="-6"/>
        </w:rPr>
        <w:t xml:space="preserve"> </w:t>
      </w:r>
      <w:r>
        <w:t>restricted</w:t>
      </w:r>
      <w:r>
        <w:rPr>
          <w:spacing w:val="-7"/>
        </w:rPr>
        <w:t xml:space="preserve"> </w:t>
      </w:r>
      <w:r>
        <w:t>to</w:t>
      </w:r>
      <w:r>
        <w:rPr>
          <w:spacing w:val="-6"/>
        </w:rPr>
        <w:t xml:space="preserve"> </w:t>
      </w:r>
      <w:r>
        <w:t>schools</w:t>
      </w:r>
      <w:r>
        <w:rPr>
          <w:spacing w:val="-6"/>
        </w:rPr>
        <w:t xml:space="preserve"> </w:t>
      </w:r>
      <w:r>
        <w:t>located</w:t>
      </w:r>
      <w:r>
        <w:rPr>
          <w:spacing w:val="-7"/>
        </w:rPr>
        <w:t xml:space="preserve"> </w:t>
      </w:r>
      <w:r>
        <w:t>in</w:t>
      </w:r>
      <w:r>
        <w:rPr>
          <w:spacing w:val="-6"/>
        </w:rPr>
        <w:t xml:space="preserve"> </w:t>
      </w:r>
      <w:r>
        <w:t>the</w:t>
      </w:r>
      <w:r>
        <w:rPr>
          <w:spacing w:val="-6"/>
        </w:rPr>
        <w:t xml:space="preserve"> </w:t>
      </w:r>
      <w:r>
        <w:t>primary</w:t>
      </w:r>
      <w:r>
        <w:rPr>
          <w:spacing w:val="-7"/>
        </w:rPr>
        <w:t xml:space="preserve"> </w:t>
      </w:r>
      <w:r>
        <w:t>sampling</w:t>
      </w:r>
      <w:r>
        <w:rPr>
          <w:spacing w:val="-6"/>
        </w:rPr>
        <w:t xml:space="preserve"> </w:t>
      </w:r>
      <w:r>
        <w:t>units</w:t>
      </w:r>
      <w:r>
        <w:rPr>
          <w:spacing w:val="-6"/>
        </w:rPr>
        <w:t xml:space="preserve"> </w:t>
      </w:r>
      <w:r>
        <w:t>(PSUs)</w:t>
      </w:r>
      <w:r>
        <w:rPr>
          <w:spacing w:val="-7"/>
        </w:rPr>
        <w:t xml:space="preserve"> </w:t>
      </w:r>
      <w:r>
        <w:t>selected</w:t>
      </w:r>
      <w:r>
        <w:rPr>
          <w:spacing w:val="-6"/>
        </w:rPr>
        <w:t xml:space="preserve"> </w:t>
      </w:r>
      <w:r>
        <w:t>for</w:t>
      </w:r>
      <w:r>
        <w:rPr>
          <w:spacing w:val="-6"/>
        </w:rPr>
        <w:t xml:space="preserve"> </w:t>
      </w:r>
      <w:r>
        <w:t>the</w:t>
      </w:r>
      <w:r>
        <w:rPr>
          <w:spacing w:val="-7"/>
        </w:rPr>
        <w:t xml:space="preserve"> </w:t>
      </w:r>
      <w:r>
        <w:t>NAEP</w:t>
      </w:r>
      <w:r>
        <w:rPr>
          <w:spacing w:val="-13"/>
        </w:rPr>
        <w:t xml:space="preserve"> </w:t>
      </w:r>
      <w:r>
        <w:t>2022</w:t>
      </w:r>
      <w:r>
        <w:rPr>
          <w:spacing w:val="-6"/>
        </w:rPr>
        <w:t xml:space="preserve"> </w:t>
      </w:r>
      <w:r>
        <w:t>long-</w:t>
      </w:r>
      <w:r>
        <w:rPr>
          <w:spacing w:val="-4"/>
        </w:rPr>
        <w:t>term</w:t>
      </w:r>
    </w:p>
    <w:p w:rsidR="003F5784" w14:paraId="054FEC7C" w14:textId="77777777">
      <w:pPr>
        <w:pStyle w:val="BodyText"/>
        <w:spacing w:before="96" w:line="232" w:lineRule="auto"/>
        <w:ind w:left="109"/>
      </w:pPr>
      <w:r>
        <w:br w:type="column"/>
      </w:r>
      <w:r>
        <w:rPr>
          <w:spacing w:val="-2"/>
        </w:rPr>
        <w:t>Age</w:t>
      </w:r>
      <w:r>
        <w:rPr>
          <w:spacing w:val="-12"/>
        </w:rPr>
        <w:t xml:space="preserve"> </w:t>
      </w:r>
      <w:r>
        <w:rPr>
          <w:spacing w:val="-2"/>
        </w:rPr>
        <w:t>Distribution Fractions</w:t>
      </w:r>
    </w:p>
    <w:p w:rsidR="003F5784" w14:paraId="66300D36" w14:textId="77777777">
      <w:pPr>
        <w:pStyle w:val="BodyText"/>
        <w:spacing w:before="209" w:line="232" w:lineRule="auto"/>
        <w:ind w:left="109"/>
      </w:pPr>
      <w:r>
        <w:rPr>
          <w:spacing w:val="-2"/>
        </w:rPr>
        <w:t>New-School</w:t>
      </w:r>
      <w:r>
        <w:rPr>
          <w:spacing w:val="-12"/>
        </w:rPr>
        <w:t xml:space="preserve"> </w:t>
      </w:r>
      <w:r>
        <w:rPr>
          <w:spacing w:val="-2"/>
        </w:rPr>
        <w:t>Sampling Frame</w:t>
      </w:r>
    </w:p>
    <w:p w:rsidR="003F5784" w14:paraId="5C77CB59" w14:textId="77777777">
      <w:pPr>
        <w:spacing w:line="232" w:lineRule="auto"/>
        <w:sectPr>
          <w:type w:val="continuous"/>
          <w:pgSz w:w="15840" w:h="12240" w:orient="landscape"/>
          <w:pgMar w:top="480" w:right="440" w:bottom="460" w:left="460" w:header="284" w:footer="275" w:gutter="0"/>
          <w:cols w:num="2" w:space="720" w:equalWidth="0">
            <w:col w:w="12462" w:space="337"/>
            <w:col w:w="2141"/>
          </w:cols>
        </w:sectPr>
      </w:pPr>
    </w:p>
    <w:p w:rsidR="003F5784" w14:paraId="7AC10366" w14:textId="77777777">
      <w:pPr>
        <w:pStyle w:val="BodyText"/>
        <w:spacing w:line="232" w:lineRule="auto"/>
        <w:ind w:left="109" w:right="641"/>
        <w:jc w:val="both"/>
      </w:pPr>
      <w:r>
        <w:t>trend</w:t>
      </w:r>
      <w:r>
        <w:rPr>
          <w:spacing w:val="-8"/>
        </w:rPr>
        <w:t xml:space="preserve"> </w:t>
      </w:r>
      <w:r>
        <w:t>(LTT)</w:t>
      </w:r>
      <w:r>
        <w:rPr>
          <w:spacing w:val="-8"/>
        </w:rPr>
        <w:t xml:space="preserve"> </w:t>
      </w:r>
      <w:r>
        <w:t>assessment.</w:t>
      </w:r>
      <w:r>
        <w:rPr>
          <w:spacing w:val="-8"/>
        </w:rPr>
        <w:t xml:space="preserve"> </w:t>
      </w:r>
      <w:r>
        <w:t>In</w:t>
      </w:r>
      <w:r>
        <w:rPr>
          <w:spacing w:val="-8"/>
        </w:rPr>
        <w:t xml:space="preserve"> </w:t>
      </w:r>
      <w:r>
        <w:t>addition,</w:t>
      </w:r>
      <w:r>
        <w:rPr>
          <w:spacing w:val="-8"/>
        </w:rPr>
        <w:t xml:space="preserve"> </w:t>
      </w:r>
      <w:r>
        <w:t>the</w:t>
      </w:r>
      <w:r>
        <w:rPr>
          <w:spacing w:val="-8"/>
        </w:rPr>
        <w:t xml:space="preserve"> </w:t>
      </w:r>
      <w:r>
        <w:t>sampling</w:t>
      </w:r>
      <w:r>
        <w:rPr>
          <w:spacing w:val="-8"/>
        </w:rPr>
        <w:t xml:space="preserve"> </w:t>
      </w:r>
      <w:r>
        <w:t>frames</w:t>
      </w:r>
      <w:r>
        <w:rPr>
          <w:spacing w:val="-8"/>
        </w:rPr>
        <w:t xml:space="preserve"> </w:t>
      </w:r>
      <w:r>
        <w:t>excluded</w:t>
      </w:r>
      <w:r>
        <w:rPr>
          <w:spacing w:val="-8"/>
        </w:rPr>
        <w:t xml:space="preserve"> </w:t>
      </w:r>
      <w:r>
        <w:t>ungraded</w:t>
      </w:r>
      <w:r>
        <w:rPr>
          <w:spacing w:val="-8"/>
        </w:rPr>
        <w:t xml:space="preserve"> </w:t>
      </w:r>
      <w:r>
        <w:t>schools,</w:t>
      </w:r>
      <w:r>
        <w:rPr>
          <w:spacing w:val="-8"/>
        </w:rPr>
        <w:t xml:space="preserve"> </w:t>
      </w:r>
      <w:r>
        <w:t>vocational</w:t>
      </w:r>
      <w:r>
        <w:rPr>
          <w:spacing w:val="-8"/>
        </w:rPr>
        <w:t xml:space="preserve"> </w:t>
      </w:r>
      <w:r>
        <w:t>schools</w:t>
      </w:r>
      <w:r>
        <w:rPr>
          <w:spacing w:val="-8"/>
        </w:rPr>
        <w:t xml:space="preserve"> </w:t>
      </w:r>
      <w:r>
        <w:t>with</w:t>
      </w:r>
      <w:r>
        <w:rPr>
          <w:spacing w:val="-8"/>
        </w:rPr>
        <w:t xml:space="preserve"> </w:t>
      </w:r>
      <w:r>
        <w:t>no</w:t>
      </w:r>
      <w:r>
        <w:rPr>
          <w:spacing w:val="-8"/>
        </w:rPr>
        <w:t xml:space="preserve"> </w:t>
      </w:r>
      <w:r>
        <w:t>enrollment,</w:t>
      </w:r>
      <w:r>
        <w:rPr>
          <w:spacing w:val="-8"/>
        </w:rPr>
        <w:t xml:space="preserve"> </w:t>
      </w:r>
      <w:r>
        <w:t>special-education-only</w:t>
      </w:r>
      <w:r>
        <w:rPr>
          <w:spacing w:val="-8"/>
        </w:rPr>
        <w:t xml:space="preserve"> </w:t>
      </w:r>
      <w:r>
        <w:t>schools,</w:t>
      </w:r>
      <w:r>
        <w:rPr>
          <w:spacing w:val="-8"/>
        </w:rPr>
        <w:t xml:space="preserve"> </w:t>
      </w:r>
      <w:r>
        <w:t>homeschool entities,</w:t>
      </w:r>
      <w:r>
        <w:rPr>
          <w:spacing w:val="-8"/>
        </w:rPr>
        <w:t xml:space="preserve"> </w:t>
      </w:r>
      <w:r>
        <w:t>prison</w:t>
      </w:r>
      <w:r>
        <w:rPr>
          <w:spacing w:val="-8"/>
        </w:rPr>
        <w:t xml:space="preserve"> </w:t>
      </w:r>
      <w:r>
        <w:t>or</w:t>
      </w:r>
      <w:r>
        <w:rPr>
          <w:spacing w:val="-8"/>
        </w:rPr>
        <w:t xml:space="preserve"> </w:t>
      </w:r>
      <w:r>
        <w:t>hospital</w:t>
      </w:r>
      <w:r>
        <w:rPr>
          <w:spacing w:val="-8"/>
        </w:rPr>
        <w:t xml:space="preserve"> </w:t>
      </w:r>
      <w:r>
        <w:t>schools,</w:t>
      </w:r>
      <w:r>
        <w:rPr>
          <w:spacing w:val="-8"/>
        </w:rPr>
        <w:t xml:space="preserve"> </w:t>
      </w:r>
      <w:r>
        <w:t>and</w:t>
      </w:r>
      <w:r>
        <w:rPr>
          <w:spacing w:val="-8"/>
        </w:rPr>
        <w:t xml:space="preserve"> </w:t>
      </w:r>
      <w:r>
        <w:t>juvenile</w:t>
      </w:r>
      <w:r>
        <w:rPr>
          <w:spacing w:val="-8"/>
        </w:rPr>
        <w:t xml:space="preserve"> </w:t>
      </w:r>
      <w:r>
        <w:t>correctional</w:t>
      </w:r>
      <w:r>
        <w:rPr>
          <w:spacing w:val="-8"/>
        </w:rPr>
        <w:t xml:space="preserve"> </w:t>
      </w:r>
      <w:r>
        <w:t>institutions.</w:t>
      </w:r>
      <w:r>
        <w:rPr>
          <w:spacing w:val="-11"/>
        </w:rPr>
        <w:t xml:space="preserve"> </w:t>
      </w:r>
      <w:r>
        <w:t>Vocational</w:t>
      </w:r>
      <w:r>
        <w:rPr>
          <w:spacing w:val="-8"/>
        </w:rPr>
        <w:t xml:space="preserve"> </w:t>
      </w:r>
      <w:r>
        <w:t>schools</w:t>
      </w:r>
      <w:r>
        <w:rPr>
          <w:spacing w:val="-8"/>
        </w:rPr>
        <w:t xml:space="preserve"> </w:t>
      </w:r>
      <w:r>
        <w:t>with</w:t>
      </w:r>
      <w:r>
        <w:rPr>
          <w:spacing w:val="-8"/>
        </w:rPr>
        <w:t xml:space="preserve"> </w:t>
      </w:r>
      <w:r>
        <w:t>no</w:t>
      </w:r>
      <w:r>
        <w:rPr>
          <w:spacing w:val="-8"/>
        </w:rPr>
        <w:t xml:space="preserve"> </w:t>
      </w:r>
      <w:r>
        <w:t>enrollment</w:t>
      </w:r>
      <w:r>
        <w:rPr>
          <w:spacing w:val="-8"/>
        </w:rPr>
        <w:t xml:space="preserve"> </w:t>
      </w:r>
      <w:r>
        <w:t>serve</w:t>
      </w:r>
      <w:r>
        <w:rPr>
          <w:spacing w:val="-8"/>
        </w:rPr>
        <w:t xml:space="preserve"> </w:t>
      </w:r>
      <w:r>
        <w:t>students</w:t>
      </w:r>
      <w:r>
        <w:rPr>
          <w:spacing w:val="-8"/>
        </w:rPr>
        <w:t xml:space="preserve"> </w:t>
      </w:r>
      <w:r>
        <w:t>who</w:t>
      </w:r>
      <w:r>
        <w:rPr>
          <w:spacing w:val="-8"/>
        </w:rPr>
        <w:t xml:space="preserve"> </w:t>
      </w:r>
      <w:r>
        <w:t>split</w:t>
      </w:r>
      <w:r>
        <w:rPr>
          <w:spacing w:val="-8"/>
        </w:rPr>
        <w:t xml:space="preserve"> </w:t>
      </w:r>
      <w:r>
        <w:t>their</w:t>
      </w:r>
      <w:r>
        <w:rPr>
          <w:spacing w:val="-8"/>
        </w:rPr>
        <w:t xml:space="preserve"> </w:t>
      </w:r>
      <w:r>
        <w:t>time</w:t>
      </w:r>
      <w:r>
        <w:rPr>
          <w:spacing w:val="-8"/>
        </w:rPr>
        <w:t xml:space="preserve"> </w:t>
      </w:r>
      <w:r>
        <w:t>between</w:t>
      </w:r>
      <w:r>
        <w:rPr>
          <w:spacing w:val="-8"/>
        </w:rPr>
        <w:t xml:space="preserve"> </w:t>
      </w:r>
      <w:r>
        <w:t>the</w:t>
      </w:r>
      <w:r>
        <w:rPr>
          <w:spacing w:val="-8"/>
        </w:rPr>
        <w:t xml:space="preserve"> </w:t>
      </w:r>
      <w:r>
        <w:t>vocational school and their home school.</w:t>
      </w:r>
    </w:p>
    <w:p w:rsidR="003F5784" w14:paraId="59AC59BD" w14:textId="77777777">
      <w:pPr>
        <w:pStyle w:val="BodyText"/>
        <w:spacing w:before="208" w:line="232" w:lineRule="auto"/>
        <w:ind w:left="109" w:right="179"/>
      </w:pPr>
      <w:r>
        <w:t>The public school frame for the LTT</w:t>
      </w:r>
      <w:r>
        <w:rPr>
          <w:spacing w:val="-4"/>
        </w:rPr>
        <w:t xml:space="preserve"> </w:t>
      </w:r>
      <w:r>
        <w:t>assessment for age 9 contained approximately 29,000 schools.</w:t>
      </w:r>
      <w:r>
        <w:rPr>
          <w:spacing w:val="-4"/>
        </w:rPr>
        <w:t xml:space="preserve"> </w:t>
      </w:r>
      <w:r>
        <w:t>The estimated age 9 enrollment (unweighted) for these schools was 2.17 million and the estimated age 9 enrollment (weighted) was 3.71 million.</w:t>
      </w:r>
      <w:r>
        <w:rPr>
          <w:spacing w:val="-4"/>
        </w:rPr>
        <w:t xml:space="preserve"> </w:t>
      </w:r>
      <w:r>
        <w:t>The unweighted estimated enrollments are restricted to the selected PSUs for LTT.</w:t>
      </w:r>
      <w:r>
        <w:rPr>
          <w:spacing w:val="-4"/>
        </w:rPr>
        <w:t xml:space="preserve"> </w:t>
      </w:r>
      <w:r>
        <w:t>The weighted estimated</w:t>
      </w:r>
      <w:r>
        <w:rPr>
          <w:spacing w:val="-6"/>
        </w:rPr>
        <w:t xml:space="preserve"> </w:t>
      </w:r>
      <w:r>
        <w:t>enrollments</w:t>
      </w:r>
      <w:r>
        <w:rPr>
          <w:spacing w:val="-6"/>
        </w:rPr>
        <w:t xml:space="preserve"> </w:t>
      </w:r>
      <w:r>
        <w:t>incorporate</w:t>
      </w:r>
      <w:r>
        <w:rPr>
          <w:spacing w:val="-6"/>
        </w:rPr>
        <w:t xml:space="preserve"> </w:t>
      </w:r>
      <w:r>
        <w:t>the</w:t>
      </w:r>
      <w:r>
        <w:rPr>
          <w:spacing w:val="-6"/>
        </w:rPr>
        <w:t xml:space="preserve"> </w:t>
      </w:r>
      <w:r>
        <w:t>PSU</w:t>
      </w:r>
      <w:r>
        <w:rPr>
          <w:spacing w:val="-6"/>
        </w:rPr>
        <w:t xml:space="preserve"> </w:t>
      </w:r>
      <w:r>
        <w:t>weight</w:t>
      </w:r>
      <w:r>
        <w:rPr>
          <w:spacing w:val="-6"/>
        </w:rPr>
        <w:t xml:space="preserve"> </w:t>
      </w:r>
      <w:r>
        <w:t>(inverse</w:t>
      </w:r>
      <w:r>
        <w:rPr>
          <w:spacing w:val="-6"/>
        </w:rPr>
        <w:t xml:space="preserve"> </w:t>
      </w:r>
      <w:r>
        <w:t>of</w:t>
      </w:r>
      <w:r>
        <w:rPr>
          <w:spacing w:val="-6"/>
        </w:rPr>
        <w:t xml:space="preserve"> </w:t>
      </w:r>
      <w:r>
        <w:t>the</w:t>
      </w:r>
      <w:r>
        <w:rPr>
          <w:spacing w:val="-6"/>
        </w:rPr>
        <w:t xml:space="preserve"> </w:t>
      </w:r>
      <w:r>
        <w:t>probability</w:t>
      </w:r>
      <w:r>
        <w:rPr>
          <w:spacing w:val="-6"/>
        </w:rPr>
        <w:t xml:space="preserve"> </w:t>
      </w:r>
      <w:r>
        <w:t>of</w:t>
      </w:r>
      <w:r>
        <w:rPr>
          <w:spacing w:val="-6"/>
        </w:rPr>
        <w:t xml:space="preserve"> </w:t>
      </w:r>
      <w:r>
        <w:t>selecting</w:t>
      </w:r>
      <w:r>
        <w:rPr>
          <w:spacing w:val="-6"/>
        </w:rPr>
        <w:t xml:space="preserve"> </w:t>
      </w:r>
      <w:r>
        <w:t>the</w:t>
      </w:r>
      <w:r>
        <w:rPr>
          <w:spacing w:val="-6"/>
        </w:rPr>
        <w:t xml:space="preserve"> </w:t>
      </w:r>
      <w:r>
        <w:t>PSU),</w:t>
      </w:r>
      <w:r>
        <w:rPr>
          <w:spacing w:val="-6"/>
        </w:rPr>
        <w:t xml:space="preserve"> </w:t>
      </w:r>
      <w:r>
        <w:t>and</w:t>
      </w:r>
      <w:r>
        <w:rPr>
          <w:spacing w:val="-6"/>
        </w:rPr>
        <w:t xml:space="preserve"> </w:t>
      </w:r>
      <w:r>
        <w:t>thus</w:t>
      </w:r>
      <w:r>
        <w:rPr>
          <w:spacing w:val="-6"/>
        </w:rPr>
        <w:t xml:space="preserve"> </w:t>
      </w:r>
      <w:r>
        <w:t>are</w:t>
      </w:r>
      <w:r>
        <w:rPr>
          <w:spacing w:val="-6"/>
        </w:rPr>
        <w:t xml:space="preserve"> </w:t>
      </w:r>
      <w:r>
        <w:t>national</w:t>
      </w:r>
      <w:r>
        <w:rPr>
          <w:spacing w:val="-6"/>
        </w:rPr>
        <w:t xml:space="preserve"> </w:t>
      </w:r>
      <w:r>
        <w:t>estimates</w:t>
      </w:r>
      <w:r>
        <w:rPr>
          <w:spacing w:val="-6"/>
        </w:rPr>
        <w:t xml:space="preserve"> </w:t>
      </w:r>
      <w:r>
        <w:t>of</w:t>
      </w:r>
      <w:r>
        <w:rPr>
          <w:spacing w:val="-6"/>
        </w:rPr>
        <w:t xml:space="preserve"> </w:t>
      </w:r>
      <w:r>
        <w:t>the</w:t>
      </w:r>
      <w:r>
        <w:rPr>
          <w:spacing w:val="-6"/>
        </w:rPr>
        <w:t xml:space="preserve"> </w:t>
      </w:r>
      <w:r>
        <w:t>number</w:t>
      </w:r>
      <w:r>
        <w:rPr>
          <w:spacing w:val="-6"/>
        </w:rPr>
        <w:t xml:space="preserve"> </w:t>
      </w:r>
      <w:r>
        <w:t>of</w:t>
      </w:r>
      <w:r>
        <w:rPr>
          <w:spacing w:val="-6"/>
        </w:rPr>
        <w:t xml:space="preserve"> </w:t>
      </w:r>
      <w:r>
        <w:t>public</w:t>
      </w:r>
      <w:r>
        <w:rPr>
          <w:spacing w:val="-6"/>
        </w:rPr>
        <w:t xml:space="preserve"> </w:t>
      </w:r>
      <w:r>
        <w:t>school</w:t>
      </w:r>
      <w:r>
        <w:rPr>
          <w:spacing w:val="-6"/>
        </w:rPr>
        <w:t xml:space="preserve"> </w:t>
      </w:r>
      <w:r>
        <w:t>students</w:t>
      </w:r>
      <w:r>
        <w:rPr>
          <w:spacing w:val="-6"/>
        </w:rPr>
        <w:t xml:space="preserve"> </w:t>
      </w:r>
      <w:r>
        <w:t>for the age 9 population.</w:t>
      </w:r>
      <w:r>
        <w:rPr>
          <w:spacing w:val="-3"/>
        </w:rPr>
        <w:t xml:space="preserve"> </w:t>
      </w:r>
      <w:r>
        <w:t>The age-eligible enrollment was estimated using age distribution fractions (see link above right) derived by grade for the age 9 population.</w:t>
      </w:r>
      <w:r>
        <w:rPr>
          <w:spacing w:val="-3"/>
        </w:rPr>
        <w:t xml:space="preserve"> </w:t>
      </w:r>
      <w:r>
        <w:t>The school frame</w:t>
      </w:r>
      <w:r>
        <w:rPr>
          <w:spacing w:val="-1"/>
        </w:rPr>
        <w:t xml:space="preserve"> </w:t>
      </w:r>
      <w:r>
        <w:t>for</w:t>
      </w:r>
      <w:r>
        <w:rPr>
          <w:spacing w:val="-1"/>
        </w:rPr>
        <w:t xml:space="preserve"> </w:t>
      </w:r>
      <w:r>
        <w:t>age</w:t>
      </w:r>
      <w:r>
        <w:rPr>
          <w:spacing w:val="-1"/>
        </w:rPr>
        <w:t xml:space="preserve"> </w:t>
      </w:r>
      <w:r>
        <w:t>13</w:t>
      </w:r>
      <w:r>
        <w:rPr>
          <w:spacing w:val="-1"/>
        </w:rPr>
        <w:t xml:space="preserve"> </w:t>
      </w:r>
      <w:r>
        <w:t>contained</w:t>
      </w:r>
      <w:r>
        <w:rPr>
          <w:spacing w:val="-1"/>
        </w:rPr>
        <w:t xml:space="preserve"> </w:t>
      </w:r>
      <w:r>
        <w:t>approximately</w:t>
      </w:r>
      <w:r>
        <w:rPr>
          <w:spacing w:val="-1"/>
        </w:rPr>
        <w:t xml:space="preserve"> </w:t>
      </w:r>
      <w:r>
        <w:t>25,000</w:t>
      </w:r>
      <w:r>
        <w:rPr>
          <w:spacing w:val="-1"/>
        </w:rPr>
        <w:t xml:space="preserve"> </w:t>
      </w:r>
      <w:r>
        <w:t>schools.</w:t>
      </w:r>
      <w:r>
        <w:rPr>
          <w:spacing w:val="-5"/>
        </w:rPr>
        <w:t xml:space="preserve"> </w:t>
      </w:r>
      <w:r>
        <w:t>The</w:t>
      </w:r>
      <w:r>
        <w:rPr>
          <w:spacing w:val="-1"/>
        </w:rPr>
        <w:t xml:space="preserve"> </w:t>
      </w:r>
      <w:r>
        <w:t>unweighted</w:t>
      </w:r>
      <w:r>
        <w:rPr>
          <w:spacing w:val="-1"/>
        </w:rPr>
        <w:t xml:space="preserve"> </w:t>
      </w:r>
      <w:r>
        <w:t>estimated</w:t>
      </w:r>
      <w:r>
        <w:rPr>
          <w:spacing w:val="-1"/>
        </w:rPr>
        <w:t xml:space="preserve"> </w:t>
      </w:r>
      <w:r>
        <w:t>age</w:t>
      </w:r>
      <w:r>
        <w:rPr>
          <w:spacing w:val="-1"/>
        </w:rPr>
        <w:t xml:space="preserve"> </w:t>
      </w:r>
      <w:r>
        <w:t>13</w:t>
      </w:r>
      <w:r>
        <w:rPr>
          <w:spacing w:val="-1"/>
        </w:rPr>
        <w:t xml:space="preserve"> </w:t>
      </w:r>
      <w:r>
        <w:t>enrollment</w:t>
      </w:r>
      <w:r>
        <w:rPr>
          <w:spacing w:val="-1"/>
        </w:rPr>
        <w:t xml:space="preserve"> </w:t>
      </w:r>
      <w:r>
        <w:t>was</w:t>
      </w:r>
      <w:r>
        <w:rPr>
          <w:spacing w:val="-1"/>
        </w:rPr>
        <w:t xml:space="preserve"> </w:t>
      </w:r>
      <w:r>
        <w:t>2.20</w:t>
      </w:r>
      <w:r>
        <w:rPr>
          <w:spacing w:val="-1"/>
        </w:rPr>
        <w:t xml:space="preserve"> </w:t>
      </w:r>
      <w:r>
        <w:t>million,</w:t>
      </w:r>
      <w:r>
        <w:rPr>
          <w:spacing w:val="-1"/>
        </w:rPr>
        <w:t xml:space="preserve"> </w:t>
      </w:r>
      <w:r>
        <w:t>and</w:t>
      </w:r>
      <w:r>
        <w:rPr>
          <w:spacing w:val="-1"/>
        </w:rPr>
        <w:t xml:space="preserve"> </w:t>
      </w:r>
      <w:r>
        <w:t>the</w:t>
      </w:r>
      <w:r>
        <w:rPr>
          <w:spacing w:val="-1"/>
        </w:rPr>
        <w:t xml:space="preserve"> </w:t>
      </w:r>
      <w:r>
        <w:t>weighted</w:t>
      </w:r>
      <w:r>
        <w:rPr>
          <w:spacing w:val="-1"/>
        </w:rPr>
        <w:t xml:space="preserve"> </w:t>
      </w:r>
      <w:r>
        <w:t>estimated</w:t>
      </w:r>
      <w:r>
        <w:rPr>
          <w:spacing w:val="-1"/>
        </w:rPr>
        <w:t xml:space="preserve"> </w:t>
      </w:r>
      <w:r>
        <w:t>age</w:t>
      </w:r>
      <w:r>
        <w:rPr>
          <w:spacing w:val="-1"/>
        </w:rPr>
        <w:t xml:space="preserve"> </w:t>
      </w:r>
      <w:r>
        <w:t>13</w:t>
      </w:r>
      <w:r>
        <w:rPr>
          <w:spacing w:val="-1"/>
        </w:rPr>
        <w:t xml:space="preserve"> </w:t>
      </w:r>
      <w:r>
        <w:t>enrollment</w:t>
      </w:r>
      <w:r>
        <w:rPr>
          <w:spacing w:val="-1"/>
        </w:rPr>
        <w:t xml:space="preserve"> </w:t>
      </w:r>
      <w:r>
        <w:t>was</w:t>
      </w:r>
    </w:p>
    <w:p w:rsidR="003F5784" w14:paraId="43FB80E6" w14:textId="77777777">
      <w:pPr>
        <w:pStyle w:val="BodyText"/>
        <w:spacing w:line="237" w:lineRule="exact"/>
        <w:ind w:left="109"/>
      </w:pPr>
      <w:r>
        <w:t>3.77</w:t>
      </w:r>
      <w:r>
        <w:rPr>
          <w:spacing w:val="-5"/>
        </w:rPr>
        <w:t xml:space="preserve"> </w:t>
      </w:r>
      <w:r>
        <w:rPr>
          <w:spacing w:val="-2"/>
        </w:rPr>
        <w:t>million.</w:t>
      </w:r>
    </w:p>
    <w:p w:rsidR="003F5784" w14:paraId="228CDE35" w14:textId="77777777">
      <w:pPr>
        <w:pStyle w:val="BodyText"/>
        <w:spacing w:before="202" w:line="238" w:lineRule="exact"/>
        <w:ind w:left="109"/>
      </w:pPr>
      <w:r>
        <w:t>For</w:t>
      </w:r>
      <w:r>
        <w:rPr>
          <w:spacing w:val="-7"/>
        </w:rPr>
        <w:t xml:space="preserve"> </w:t>
      </w:r>
      <w:r>
        <w:t>quality</w:t>
      </w:r>
      <w:r>
        <w:rPr>
          <w:spacing w:val="-6"/>
        </w:rPr>
        <w:t xml:space="preserve"> </w:t>
      </w:r>
      <w:r>
        <w:t>control</w:t>
      </w:r>
      <w:r>
        <w:rPr>
          <w:spacing w:val="-6"/>
        </w:rPr>
        <w:t xml:space="preserve"> </w:t>
      </w:r>
      <w:r>
        <w:t>purposes,</w:t>
      </w:r>
      <w:r>
        <w:rPr>
          <w:spacing w:val="-6"/>
        </w:rPr>
        <w:t xml:space="preserve"> </w:t>
      </w:r>
      <w:r>
        <w:t>school</w:t>
      </w:r>
      <w:r>
        <w:rPr>
          <w:spacing w:val="-6"/>
        </w:rPr>
        <w:t xml:space="preserve"> </w:t>
      </w:r>
      <w:r>
        <w:t>and</w:t>
      </w:r>
      <w:r>
        <w:rPr>
          <w:spacing w:val="-6"/>
        </w:rPr>
        <w:t xml:space="preserve"> </w:t>
      </w:r>
      <w:r>
        <w:t>student</w:t>
      </w:r>
      <w:r>
        <w:rPr>
          <w:spacing w:val="-7"/>
        </w:rPr>
        <w:t xml:space="preserve"> </w:t>
      </w:r>
      <w:r>
        <w:t>counts</w:t>
      </w:r>
      <w:r>
        <w:rPr>
          <w:spacing w:val="-6"/>
        </w:rPr>
        <w:t xml:space="preserve"> </w:t>
      </w:r>
      <w:r>
        <w:t>from</w:t>
      </w:r>
      <w:r>
        <w:rPr>
          <w:spacing w:val="-6"/>
        </w:rPr>
        <w:t xml:space="preserve"> </w:t>
      </w:r>
      <w:r>
        <w:t>the</w:t>
      </w:r>
      <w:r>
        <w:rPr>
          <w:spacing w:val="-6"/>
        </w:rPr>
        <w:t xml:space="preserve"> </w:t>
      </w:r>
      <w:r>
        <w:t>sampling</w:t>
      </w:r>
      <w:r>
        <w:rPr>
          <w:spacing w:val="-6"/>
        </w:rPr>
        <w:t xml:space="preserve"> </w:t>
      </w:r>
      <w:r>
        <w:t>frame</w:t>
      </w:r>
      <w:r>
        <w:rPr>
          <w:spacing w:val="-6"/>
        </w:rPr>
        <w:t xml:space="preserve"> </w:t>
      </w:r>
      <w:r>
        <w:t>were</w:t>
      </w:r>
      <w:r>
        <w:rPr>
          <w:spacing w:val="-7"/>
        </w:rPr>
        <w:t xml:space="preserve"> </w:t>
      </w:r>
      <w:r>
        <w:t>compared</w:t>
      </w:r>
      <w:r>
        <w:rPr>
          <w:spacing w:val="-6"/>
        </w:rPr>
        <w:t xml:space="preserve"> </w:t>
      </w:r>
      <w:r>
        <w:t>to</w:t>
      </w:r>
      <w:r>
        <w:rPr>
          <w:spacing w:val="-6"/>
        </w:rPr>
        <w:t xml:space="preserve"> </w:t>
      </w:r>
      <w:r>
        <w:t>school</w:t>
      </w:r>
      <w:r>
        <w:rPr>
          <w:spacing w:val="-6"/>
        </w:rPr>
        <w:t xml:space="preserve"> </w:t>
      </w:r>
      <w:r>
        <w:t>and</w:t>
      </w:r>
      <w:r>
        <w:rPr>
          <w:spacing w:val="-6"/>
        </w:rPr>
        <w:t xml:space="preserve"> </w:t>
      </w:r>
      <w:r>
        <w:t>student</w:t>
      </w:r>
      <w:r>
        <w:rPr>
          <w:spacing w:val="-6"/>
        </w:rPr>
        <w:t xml:space="preserve"> </w:t>
      </w:r>
      <w:r>
        <w:t>counts</w:t>
      </w:r>
      <w:r>
        <w:rPr>
          <w:spacing w:val="-7"/>
        </w:rPr>
        <w:t xml:space="preserve"> </w:t>
      </w:r>
      <w:r>
        <w:t>from</w:t>
      </w:r>
      <w:r>
        <w:rPr>
          <w:spacing w:val="-6"/>
        </w:rPr>
        <w:t xml:space="preserve"> </w:t>
      </w:r>
      <w:r>
        <w:t>previous</w:t>
      </w:r>
      <w:r>
        <w:rPr>
          <w:spacing w:val="-6"/>
        </w:rPr>
        <w:t xml:space="preserve"> </w:t>
      </w:r>
      <w:r>
        <w:t>public</w:t>
      </w:r>
      <w:r>
        <w:rPr>
          <w:spacing w:val="-6"/>
        </w:rPr>
        <w:t xml:space="preserve"> </w:t>
      </w:r>
      <w:r>
        <w:t>school</w:t>
      </w:r>
      <w:r>
        <w:rPr>
          <w:spacing w:val="-6"/>
        </w:rPr>
        <w:t xml:space="preserve"> </w:t>
      </w:r>
      <w:r>
        <w:t>frames</w:t>
      </w:r>
      <w:r>
        <w:rPr>
          <w:spacing w:val="-6"/>
        </w:rPr>
        <w:t xml:space="preserve"> </w:t>
      </w:r>
      <w:r>
        <w:rPr>
          <w:spacing w:val="-5"/>
        </w:rPr>
        <w:t>by</w:t>
      </w:r>
    </w:p>
    <w:p w:rsidR="003F5784" w14:paraId="11356B40" w14:textId="77777777">
      <w:pPr>
        <w:pStyle w:val="BodyText"/>
        <w:spacing w:before="2" w:line="232" w:lineRule="auto"/>
        <w:ind w:left="109"/>
      </w:pPr>
      <w:r>
        <w:t>grade</w:t>
      </w:r>
      <w:r>
        <w:rPr>
          <w:spacing w:val="-6"/>
        </w:rPr>
        <w:t xml:space="preserve"> </w:t>
      </w:r>
      <w:r>
        <w:t>(grade</w:t>
      </w:r>
      <w:r>
        <w:rPr>
          <w:spacing w:val="-6"/>
        </w:rPr>
        <w:t xml:space="preserve"> </w:t>
      </w:r>
      <w:r>
        <w:t>4</w:t>
      </w:r>
      <w:r>
        <w:rPr>
          <w:spacing w:val="-6"/>
        </w:rPr>
        <w:t xml:space="preserve"> </w:t>
      </w:r>
      <w:r>
        <w:t>for</w:t>
      </w:r>
      <w:r>
        <w:rPr>
          <w:spacing w:val="-6"/>
        </w:rPr>
        <w:t xml:space="preserve"> </w:t>
      </w:r>
      <w:r>
        <w:t>age</w:t>
      </w:r>
      <w:r>
        <w:rPr>
          <w:spacing w:val="-6"/>
        </w:rPr>
        <w:t xml:space="preserve"> </w:t>
      </w:r>
      <w:r>
        <w:t>9</w:t>
      </w:r>
      <w:r>
        <w:rPr>
          <w:spacing w:val="-6"/>
        </w:rPr>
        <w:t xml:space="preserve"> </w:t>
      </w:r>
      <w:r>
        <w:t>and</w:t>
      </w:r>
      <w:r>
        <w:rPr>
          <w:spacing w:val="-6"/>
        </w:rPr>
        <w:t xml:space="preserve"> </w:t>
      </w:r>
      <w:r>
        <w:t>grade</w:t>
      </w:r>
      <w:r>
        <w:rPr>
          <w:spacing w:val="-6"/>
        </w:rPr>
        <w:t xml:space="preserve"> </w:t>
      </w:r>
      <w:r>
        <w:t>8</w:t>
      </w:r>
      <w:r>
        <w:rPr>
          <w:spacing w:val="-6"/>
        </w:rPr>
        <w:t xml:space="preserve"> </w:t>
      </w:r>
      <w:r>
        <w:t>for</w:t>
      </w:r>
      <w:r>
        <w:rPr>
          <w:spacing w:val="-6"/>
        </w:rPr>
        <w:t xml:space="preserve"> </w:t>
      </w:r>
      <w:r>
        <w:t>age</w:t>
      </w:r>
      <w:r>
        <w:rPr>
          <w:spacing w:val="-6"/>
        </w:rPr>
        <w:t xml:space="preserve"> </w:t>
      </w:r>
      <w:r>
        <w:t>13).</w:t>
      </w:r>
      <w:r>
        <w:rPr>
          <w:spacing w:val="-6"/>
        </w:rPr>
        <w:t xml:space="preserve"> </w:t>
      </w:r>
      <w:r>
        <w:t>Comparisons</w:t>
      </w:r>
      <w:r>
        <w:rPr>
          <w:spacing w:val="-6"/>
        </w:rPr>
        <w:t xml:space="preserve"> </w:t>
      </w:r>
      <w:r>
        <w:t>were</w:t>
      </w:r>
      <w:r>
        <w:rPr>
          <w:spacing w:val="-6"/>
        </w:rPr>
        <w:t xml:space="preserve"> </w:t>
      </w:r>
      <w:r>
        <w:t>grade-based</w:t>
      </w:r>
      <w:r>
        <w:rPr>
          <w:spacing w:val="-6"/>
        </w:rPr>
        <w:t xml:space="preserve"> </w:t>
      </w:r>
      <w:r>
        <w:t>because</w:t>
      </w:r>
      <w:r>
        <w:rPr>
          <w:spacing w:val="-6"/>
        </w:rPr>
        <w:t xml:space="preserve"> </w:t>
      </w:r>
      <w:r>
        <w:t>most</w:t>
      </w:r>
      <w:r>
        <w:rPr>
          <w:spacing w:val="-6"/>
        </w:rPr>
        <w:t xml:space="preserve"> </w:t>
      </w:r>
      <w:r>
        <w:t>NAEP</w:t>
      </w:r>
      <w:r>
        <w:rPr>
          <w:spacing w:val="-13"/>
        </w:rPr>
        <w:t xml:space="preserve"> </w:t>
      </w:r>
      <w:r>
        <w:t>assessments</w:t>
      </w:r>
      <w:r>
        <w:rPr>
          <w:spacing w:val="-6"/>
        </w:rPr>
        <w:t xml:space="preserve"> </w:t>
      </w:r>
      <w:r>
        <w:t>are</w:t>
      </w:r>
      <w:r>
        <w:rPr>
          <w:spacing w:val="-6"/>
        </w:rPr>
        <w:t xml:space="preserve"> </w:t>
      </w:r>
      <w:r>
        <w:t>grade-based,</w:t>
      </w:r>
      <w:r>
        <w:rPr>
          <w:spacing w:val="-6"/>
        </w:rPr>
        <w:t xml:space="preserve"> </w:t>
      </w:r>
      <w:r>
        <w:t>and</w:t>
      </w:r>
      <w:r>
        <w:rPr>
          <w:spacing w:val="-6"/>
        </w:rPr>
        <w:t xml:space="preserve"> </w:t>
      </w:r>
      <w:r>
        <w:t>grade</w:t>
      </w:r>
      <w:r>
        <w:rPr>
          <w:spacing w:val="-6"/>
        </w:rPr>
        <w:t xml:space="preserve"> </w:t>
      </w:r>
      <w:r>
        <w:t>counts</w:t>
      </w:r>
      <w:r>
        <w:rPr>
          <w:spacing w:val="-6"/>
        </w:rPr>
        <w:t xml:space="preserve"> </w:t>
      </w:r>
      <w:r>
        <w:t>are</w:t>
      </w:r>
      <w:r>
        <w:rPr>
          <w:spacing w:val="-6"/>
        </w:rPr>
        <w:t xml:space="preserve"> </w:t>
      </w:r>
      <w:r>
        <w:t>a</w:t>
      </w:r>
      <w:r>
        <w:rPr>
          <w:spacing w:val="-6"/>
        </w:rPr>
        <w:t xml:space="preserve"> </w:t>
      </w:r>
      <w:r>
        <w:t>reasonable</w:t>
      </w:r>
      <w:r>
        <w:rPr>
          <w:spacing w:val="-6"/>
        </w:rPr>
        <w:t xml:space="preserve"> </w:t>
      </w:r>
      <w:r>
        <w:t>proxy</w:t>
      </w:r>
      <w:r>
        <w:rPr>
          <w:spacing w:val="-6"/>
        </w:rPr>
        <w:t xml:space="preserve"> </w:t>
      </w:r>
      <w:r>
        <w:t>for age counts for comparison purposes. No major discrepancies were found.</w:t>
      </w:r>
    </w:p>
    <w:p w:rsidR="003F5784" w14:paraId="4960417A" w14:textId="77777777">
      <w:pPr>
        <w:pStyle w:val="BodyText"/>
        <w:spacing w:before="210" w:line="232" w:lineRule="auto"/>
        <w:ind w:left="109" w:right="179"/>
      </w:pPr>
      <w:r>
        <w:t>A</w:t>
      </w:r>
      <w:r>
        <w:rPr>
          <w:spacing w:val="-10"/>
        </w:rPr>
        <w:t xml:space="preserve"> </w:t>
      </w:r>
      <w:r>
        <w:t>secondary sampling frame was also created for each age to account for schools that newly opened or became newly eligible between the 2019–2020 school year and the school</w:t>
      </w:r>
      <w:r>
        <w:rPr>
          <w:spacing w:val="-5"/>
        </w:rPr>
        <w:t xml:space="preserve"> </w:t>
      </w:r>
      <w:r>
        <w:t>year</w:t>
      </w:r>
      <w:r>
        <w:rPr>
          <w:spacing w:val="-5"/>
        </w:rPr>
        <w:t xml:space="preserve"> </w:t>
      </w:r>
      <w:r>
        <w:t>at</w:t>
      </w:r>
      <w:r>
        <w:rPr>
          <w:spacing w:val="-5"/>
        </w:rPr>
        <w:t xml:space="preserve"> </w:t>
      </w:r>
      <w:r>
        <w:t>the</w:t>
      </w:r>
      <w:r>
        <w:rPr>
          <w:spacing w:val="-5"/>
        </w:rPr>
        <w:t xml:space="preserve"> </w:t>
      </w:r>
      <w:r>
        <w:t>time</w:t>
      </w:r>
      <w:r>
        <w:rPr>
          <w:spacing w:val="-5"/>
        </w:rPr>
        <w:t xml:space="preserve"> </w:t>
      </w:r>
      <w:r>
        <w:t>of</w:t>
      </w:r>
      <w:r>
        <w:rPr>
          <w:spacing w:val="-5"/>
        </w:rPr>
        <w:t xml:space="preserve"> </w:t>
      </w:r>
      <w:r>
        <w:t>assessment</w:t>
      </w:r>
      <w:r>
        <w:rPr>
          <w:spacing w:val="-5"/>
        </w:rPr>
        <w:t xml:space="preserve"> </w:t>
      </w:r>
      <w:r>
        <w:t>(2021–2022</w:t>
      </w:r>
      <w:r>
        <w:rPr>
          <w:spacing w:val="-5"/>
        </w:rPr>
        <w:t xml:space="preserve"> </w:t>
      </w:r>
      <w:r>
        <w:t>for</w:t>
      </w:r>
      <w:r>
        <w:rPr>
          <w:spacing w:val="-5"/>
        </w:rPr>
        <w:t xml:space="preserve"> </w:t>
      </w:r>
      <w:r>
        <w:t>age</w:t>
      </w:r>
      <w:r>
        <w:rPr>
          <w:spacing w:val="-5"/>
        </w:rPr>
        <w:t xml:space="preserve"> </w:t>
      </w:r>
      <w:r>
        <w:t>9</w:t>
      </w:r>
      <w:r>
        <w:rPr>
          <w:spacing w:val="-5"/>
        </w:rPr>
        <w:t xml:space="preserve"> </w:t>
      </w:r>
      <w:r>
        <w:t>and</w:t>
      </w:r>
      <w:r>
        <w:rPr>
          <w:spacing w:val="-5"/>
        </w:rPr>
        <w:t xml:space="preserve"> </w:t>
      </w:r>
      <w:r>
        <w:t>2022–2023</w:t>
      </w:r>
      <w:r>
        <w:rPr>
          <w:spacing w:val="-5"/>
        </w:rPr>
        <w:t xml:space="preserve"> </w:t>
      </w:r>
      <w:r>
        <w:t>for</w:t>
      </w:r>
      <w:r>
        <w:rPr>
          <w:spacing w:val="-5"/>
        </w:rPr>
        <w:t xml:space="preserve"> </w:t>
      </w:r>
      <w:r>
        <w:t>age</w:t>
      </w:r>
      <w:r>
        <w:rPr>
          <w:spacing w:val="-5"/>
        </w:rPr>
        <w:t xml:space="preserve"> </w:t>
      </w:r>
      <w:r>
        <w:t>13).</w:t>
      </w:r>
      <w:r>
        <w:rPr>
          <w:spacing w:val="-9"/>
        </w:rPr>
        <w:t xml:space="preserve"> </w:t>
      </w:r>
      <w:r>
        <w:t>This</w:t>
      </w:r>
      <w:r>
        <w:rPr>
          <w:spacing w:val="-5"/>
        </w:rPr>
        <w:t xml:space="preserve"> </w:t>
      </w:r>
      <w:r>
        <w:t>frame</w:t>
      </w:r>
      <w:r>
        <w:rPr>
          <w:spacing w:val="-5"/>
        </w:rPr>
        <w:t xml:space="preserve"> </w:t>
      </w:r>
      <w:r>
        <w:t>contains</w:t>
      </w:r>
      <w:r>
        <w:rPr>
          <w:spacing w:val="-5"/>
        </w:rPr>
        <w:t xml:space="preserve"> </w:t>
      </w:r>
      <w:r>
        <w:t>brand-new</w:t>
      </w:r>
      <w:r>
        <w:rPr>
          <w:spacing w:val="-5"/>
        </w:rPr>
        <w:t xml:space="preserve"> </w:t>
      </w:r>
      <w:r>
        <w:t>and</w:t>
      </w:r>
      <w:r>
        <w:rPr>
          <w:spacing w:val="-5"/>
        </w:rPr>
        <w:t xml:space="preserve"> </w:t>
      </w:r>
      <w:r>
        <w:t>newly-eligible</w:t>
      </w:r>
      <w:r>
        <w:rPr>
          <w:spacing w:val="-5"/>
        </w:rPr>
        <w:t xml:space="preserve"> </w:t>
      </w:r>
      <w:r>
        <w:t>schools</w:t>
      </w:r>
      <w:r>
        <w:rPr>
          <w:spacing w:val="-5"/>
        </w:rPr>
        <w:t xml:space="preserve"> </w:t>
      </w:r>
      <w:r>
        <w:t>expected</w:t>
      </w:r>
      <w:r>
        <w:rPr>
          <w:spacing w:val="-5"/>
        </w:rPr>
        <w:t xml:space="preserve"> </w:t>
      </w:r>
      <w:r>
        <w:t>to</w:t>
      </w:r>
      <w:r>
        <w:rPr>
          <w:spacing w:val="-5"/>
        </w:rPr>
        <w:t xml:space="preserve"> </w:t>
      </w:r>
      <w:r>
        <w:t>have</w:t>
      </w:r>
      <w:r>
        <w:rPr>
          <w:spacing w:val="-5"/>
        </w:rPr>
        <w:t xml:space="preserve"> </w:t>
      </w:r>
      <w:r>
        <w:t>9</w:t>
      </w:r>
      <w:r>
        <w:rPr>
          <w:spacing w:val="-5"/>
        </w:rPr>
        <w:t xml:space="preserve"> </w:t>
      </w:r>
      <w:r>
        <w:t>(or</w:t>
      </w:r>
      <w:r>
        <w:rPr>
          <w:spacing w:val="-5"/>
        </w:rPr>
        <w:t xml:space="preserve"> </w:t>
      </w:r>
      <w:r>
        <w:t>13) year olds, and is referred to as the new-school sampling frame. Like the CCD-based frame, the new-school sampling frame is restricted to schools in the selected PSUs and certain types of schools were excluded from the frame as described above.</w:t>
      </w:r>
    </w:p>
    <w:p w:rsidR="003F5784" w14:paraId="0CBCCD40" w14:textId="77777777">
      <w:pPr>
        <w:pStyle w:val="BodyText"/>
      </w:pPr>
    </w:p>
    <w:p w:rsidR="003F5784" w14:paraId="421AC141" w14:textId="77777777">
      <w:pPr>
        <w:pStyle w:val="BodyText"/>
      </w:pPr>
    </w:p>
    <w:p w:rsidR="003F5784" w14:paraId="1774AC83" w14:textId="77777777">
      <w:pPr>
        <w:pStyle w:val="BodyText"/>
      </w:pPr>
    </w:p>
    <w:p w:rsidR="003F5784" w14:paraId="720AE585" w14:textId="77777777">
      <w:pPr>
        <w:pStyle w:val="BodyText"/>
        <w:spacing w:before="139"/>
      </w:pPr>
    </w:p>
    <w:p w:rsidR="003F5784" w14:paraId="2714078B" w14:textId="77777777">
      <w:pPr>
        <w:ind w:left="4009"/>
        <w:rPr>
          <w:sz w:val="18"/>
        </w:rPr>
      </w:pPr>
      <w:hyperlink r:id="rId151">
        <w:r>
          <w:rPr>
            <w:spacing w:val="-2"/>
            <w:w w:val="105"/>
            <w:sz w:val="18"/>
          </w:rPr>
          <w:t>http://nces.ed.gov/nationsreportcard/tdw/sample_design/2022/sampling_frame_for_the_2022_public_school_long_term_trend_assessment.aspx</w:t>
        </w:r>
      </w:hyperlink>
    </w:p>
    <w:p w:rsidR="003F5784" w14:paraId="46722C73" w14:textId="77777777">
      <w:pPr>
        <w:pStyle w:val="BodyText"/>
        <w:spacing w:before="10"/>
        <w:rPr>
          <w:sz w:val="14"/>
        </w:rPr>
      </w:pPr>
      <w:r>
        <w:rPr>
          <w:noProof/>
        </w:rPr>
        <mc:AlternateContent>
          <mc:Choice Requires="wps">
            <w:drawing>
              <wp:anchor distT="0" distB="0" distL="0" distR="0" simplePos="0" relativeHeight="251855872" behindDoc="1" locked="0" layoutInCell="1" allowOverlap="1">
                <wp:simplePos x="0" y="0"/>
                <wp:positionH relativeFrom="page">
                  <wp:posOffset>361937</wp:posOffset>
                </wp:positionH>
                <wp:positionV relativeFrom="paragraph">
                  <wp:posOffset>123799</wp:posOffset>
                </wp:positionV>
                <wp:extent cx="9339580" cy="8890"/>
                <wp:effectExtent l="0" t="0" r="0" b="0"/>
                <wp:wrapTopAndBottom/>
                <wp:docPr id="172" name="Graphic 172"/>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67"/>
                              </a:lnTo>
                              <a:lnTo>
                                <a:pt x="9335110" y="8280"/>
                              </a:lnTo>
                              <a:lnTo>
                                <a:pt x="9338970" y="8280"/>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72" o:spid="_x0000_s1098" style="width:735.4pt;height:0.7pt;margin-top:9.75pt;margin-left:28.5pt;mso-position-horizontal-relative:page;mso-wrap-distance-bottom:0;mso-wrap-distance-left:0;mso-wrap-distance-right:0;mso-wrap-distance-top:0;mso-wrap-style:square;position:absolute;visibility:visible;v-text-anchor:top;z-index:-251459584" coordsize="9339580,8890" path="m9338970,12l9335110,12l8280,12,,,,8267l9335110,8280l9338970,8280l9338970,12xe" fillcolor="gray" stroked="f">
                <v:path arrowok="t"/>
                <w10:wrap type="topAndBottom"/>
              </v:shape>
            </w:pict>
          </mc:Fallback>
        </mc:AlternateContent>
      </w:r>
    </w:p>
    <w:p w:rsidR="003F5784" w14:paraId="25200029" w14:textId="77777777">
      <w:pPr>
        <w:rPr>
          <w:sz w:val="14"/>
        </w:rPr>
        <w:sectPr>
          <w:type w:val="continuous"/>
          <w:pgSz w:w="15840" w:h="12240" w:orient="landscape"/>
          <w:pgMar w:top="480" w:right="440" w:bottom="460" w:left="460" w:header="284" w:footer="275" w:gutter="0"/>
          <w:cols w:space="720"/>
        </w:sectPr>
      </w:pPr>
    </w:p>
    <w:p w:rsidR="003F5784" w14:paraId="57B2EA34" w14:textId="77777777">
      <w:pPr>
        <w:pStyle w:val="BodyText"/>
        <w:spacing w:before="118"/>
        <w:rPr>
          <w:sz w:val="41"/>
        </w:rPr>
      </w:pPr>
    </w:p>
    <w:p w:rsidR="003F5784" w14:paraId="05CFA768" w14:textId="1BC16F7C">
      <w:pPr>
        <w:pStyle w:val="Heading1"/>
        <w:spacing w:line="244" w:lineRule="auto"/>
      </w:pPr>
      <w:r>
        <w:t>NAEP</w:t>
      </w:r>
      <w:r>
        <w:rPr>
          <w:spacing w:val="-15"/>
        </w:rPr>
        <w:t xml:space="preserve"> </w:t>
      </w:r>
      <w:r>
        <w:t>Technical Documentation</w:t>
      </w:r>
      <w:r w:rsidR="00FB7295">
        <w:t xml:space="preserve"> </w:t>
      </w:r>
      <w:r>
        <w:t>Age Distribution Fractions for the 2022 Public School Long-Term Trend (LTT) Assessment</w:t>
      </w:r>
    </w:p>
    <w:p w:rsidR="003F5784" w14:paraId="0A560472" w14:textId="77777777">
      <w:pPr>
        <w:pStyle w:val="BodyText"/>
        <w:spacing w:before="286" w:line="232" w:lineRule="auto"/>
        <w:ind w:left="109" w:right="117"/>
      </w:pPr>
      <w:r>
        <w:t>Age</w:t>
      </w:r>
      <w:r>
        <w:rPr>
          <w:spacing w:val="-6"/>
        </w:rPr>
        <w:t xml:space="preserve"> </w:t>
      </w:r>
      <w:r>
        <w:t>distribution</w:t>
      </w:r>
      <w:r>
        <w:rPr>
          <w:spacing w:val="-6"/>
        </w:rPr>
        <w:t xml:space="preserve"> </w:t>
      </w:r>
      <w:r>
        <w:t>fractions</w:t>
      </w:r>
      <w:r>
        <w:rPr>
          <w:spacing w:val="-6"/>
        </w:rPr>
        <w:t xml:space="preserve"> </w:t>
      </w:r>
      <w:r>
        <w:t>are</w:t>
      </w:r>
      <w:r>
        <w:rPr>
          <w:spacing w:val="-6"/>
        </w:rPr>
        <w:t xml:space="preserve"> </w:t>
      </w:r>
      <w:r>
        <w:t>estimated</w:t>
      </w:r>
      <w:r>
        <w:rPr>
          <w:spacing w:val="-6"/>
        </w:rPr>
        <w:t xml:space="preserve"> </w:t>
      </w:r>
      <w:r>
        <w:t>proportions</w:t>
      </w:r>
      <w:r>
        <w:rPr>
          <w:spacing w:val="-6"/>
        </w:rPr>
        <w:t xml:space="preserve"> </w:t>
      </w:r>
      <w:r>
        <w:t>of</w:t>
      </w:r>
      <w:r>
        <w:rPr>
          <w:spacing w:val="-6"/>
        </w:rPr>
        <w:t xml:space="preserve"> </w:t>
      </w:r>
      <w:r>
        <w:t>students</w:t>
      </w:r>
      <w:r>
        <w:rPr>
          <w:spacing w:val="-6"/>
        </w:rPr>
        <w:t xml:space="preserve"> </w:t>
      </w:r>
      <w:r>
        <w:t>in</w:t>
      </w:r>
      <w:r>
        <w:rPr>
          <w:spacing w:val="-6"/>
        </w:rPr>
        <w:t xml:space="preserve"> </w:t>
      </w:r>
      <w:r>
        <w:t>each</w:t>
      </w:r>
      <w:r>
        <w:rPr>
          <w:spacing w:val="-6"/>
        </w:rPr>
        <w:t xml:space="preserve"> </w:t>
      </w:r>
      <w:r>
        <w:t>grade</w:t>
      </w:r>
      <w:r>
        <w:rPr>
          <w:spacing w:val="-6"/>
        </w:rPr>
        <w:t xml:space="preserve"> </w:t>
      </w:r>
      <w:r>
        <w:t>that</w:t>
      </w:r>
      <w:r>
        <w:rPr>
          <w:spacing w:val="-6"/>
        </w:rPr>
        <w:t xml:space="preserve"> </w:t>
      </w:r>
      <w:r>
        <w:t>are</w:t>
      </w:r>
      <w:r>
        <w:rPr>
          <w:spacing w:val="-6"/>
        </w:rPr>
        <w:t xml:space="preserve"> </w:t>
      </w:r>
      <w:r>
        <w:t>age-eligible</w:t>
      </w:r>
      <w:r>
        <w:rPr>
          <w:spacing w:val="-6"/>
        </w:rPr>
        <w:t xml:space="preserve"> </w:t>
      </w:r>
      <w:r>
        <w:t>for</w:t>
      </w:r>
      <w:r>
        <w:rPr>
          <w:spacing w:val="-6"/>
        </w:rPr>
        <w:t xml:space="preserve"> </w:t>
      </w:r>
      <w:r>
        <w:t>sampling.</w:t>
      </w:r>
      <w:r>
        <w:rPr>
          <w:spacing w:val="-9"/>
        </w:rPr>
        <w:t xml:space="preserve"> </w:t>
      </w:r>
      <w:r>
        <w:t>The</w:t>
      </w:r>
      <w:r>
        <w:rPr>
          <w:spacing w:val="-6"/>
        </w:rPr>
        <w:t xml:space="preserve"> </w:t>
      </w:r>
      <w:r>
        <w:t>fractions</w:t>
      </w:r>
      <w:r>
        <w:rPr>
          <w:spacing w:val="-6"/>
        </w:rPr>
        <w:t xml:space="preserve"> </w:t>
      </w:r>
      <w:r>
        <w:t>are</w:t>
      </w:r>
      <w:r>
        <w:rPr>
          <w:spacing w:val="-6"/>
        </w:rPr>
        <w:t xml:space="preserve"> </w:t>
      </w:r>
      <w:r>
        <w:t>components</w:t>
      </w:r>
      <w:r>
        <w:rPr>
          <w:spacing w:val="-6"/>
        </w:rPr>
        <w:t xml:space="preserve"> </w:t>
      </w:r>
      <w:r>
        <w:t>in</w:t>
      </w:r>
      <w:r>
        <w:rPr>
          <w:spacing w:val="-6"/>
        </w:rPr>
        <w:t xml:space="preserve"> </w:t>
      </w:r>
      <w:r>
        <w:t>the</w:t>
      </w:r>
      <w:r>
        <w:rPr>
          <w:spacing w:val="-6"/>
        </w:rPr>
        <w:t xml:space="preserve"> </w:t>
      </w:r>
      <w:r>
        <w:t>school</w:t>
      </w:r>
      <w:r>
        <w:rPr>
          <w:spacing w:val="-6"/>
        </w:rPr>
        <w:t xml:space="preserve"> </w:t>
      </w:r>
      <w:r>
        <w:t>measure</w:t>
      </w:r>
      <w:r>
        <w:rPr>
          <w:spacing w:val="-6"/>
        </w:rPr>
        <w:t xml:space="preserve"> </w:t>
      </w:r>
      <w:r>
        <w:t>of</w:t>
      </w:r>
      <w:r>
        <w:rPr>
          <w:spacing w:val="-6"/>
        </w:rPr>
        <w:t xml:space="preserve"> </w:t>
      </w:r>
      <w:r>
        <w:t>size.</w:t>
      </w:r>
      <w:r>
        <w:rPr>
          <w:spacing w:val="-6"/>
        </w:rPr>
        <w:t xml:space="preserve"> </w:t>
      </w:r>
      <w:r>
        <w:t>For ages</w:t>
      </w:r>
      <w:r>
        <w:rPr>
          <w:spacing w:val="-6"/>
        </w:rPr>
        <w:t xml:space="preserve"> </w:t>
      </w:r>
      <w:r>
        <w:t>9</w:t>
      </w:r>
      <w:r>
        <w:rPr>
          <w:spacing w:val="-6"/>
        </w:rPr>
        <w:t xml:space="preserve"> </w:t>
      </w:r>
      <w:r>
        <w:t>and</w:t>
      </w:r>
      <w:r>
        <w:rPr>
          <w:spacing w:val="-6"/>
        </w:rPr>
        <w:t xml:space="preserve"> </w:t>
      </w:r>
      <w:r>
        <w:t>13</w:t>
      </w:r>
      <w:r>
        <w:rPr>
          <w:spacing w:val="-6"/>
        </w:rPr>
        <w:t xml:space="preserve"> </w:t>
      </w:r>
      <w:r>
        <w:t>a</w:t>
      </w:r>
      <w:r>
        <w:rPr>
          <w:spacing w:val="-6"/>
        </w:rPr>
        <w:t xml:space="preserve"> </w:t>
      </w:r>
      <w:r>
        <w:t>breakout</w:t>
      </w:r>
      <w:r>
        <w:rPr>
          <w:spacing w:val="-6"/>
        </w:rPr>
        <w:t xml:space="preserve"> </w:t>
      </w:r>
      <w:r>
        <w:t>by</w:t>
      </w:r>
      <w:r>
        <w:rPr>
          <w:spacing w:val="-6"/>
        </w:rPr>
        <w:t xml:space="preserve"> </w:t>
      </w:r>
      <w:r>
        <w:t>every</w:t>
      </w:r>
      <w:r>
        <w:rPr>
          <w:spacing w:val="-6"/>
        </w:rPr>
        <w:t xml:space="preserve"> </w:t>
      </w:r>
      <w:r>
        <w:t>year</w:t>
      </w:r>
      <w:r>
        <w:rPr>
          <w:spacing w:val="-6"/>
        </w:rPr>
        <w:t xml:space="preserve"> </w:t>
      </w:r>
      <w:r>
        <w:t>of</w:t>
      </w:r>
      <w:r>
        <w:rPr>
          <w:spacing w:val="-6"/>
        </w:rPr>
        <w:t xml:space="preserve"> </w:t>
      </w:r>
      <w:r>
        <w:t>birth</w:t>
      </w:r>
      <w:r>
        <w:rPr>
          <w:spacing w:val="-6"/>
        </w:rPr>
        <w:t xml:space="preserve"> </w:t>
      </w:r>
      <w:r>
        <w:t>cohort</w:t>
      </w:r>
      <w:r>
        <w:rPr>
          <w:spacing w:val="-6"/>
        </w:rPr>
        <w:t xml:space="preserve"> </w:t>
      </w:r>
      <w:r>
        <w:t>represented</w:t>
      </w:r>
      <w:r>
        <w:rPr>
          <w:spacing w:val="-6"/>
        </w:rPr>
        <w:t xml:space="preserve"> </w:t>
      </w:r>
      <w:r>
        <w:t>in</w:t>
      </w:r>
      <w:r>
        <w:rPr>
          <w:spacing w:val="-6"/>
        </w:rPr>
        <w:t xml:space="preserve"> </w:t>
      </w:r>
      <w:r>
        <w:t>the</w:t>
      </w:r>
      <w:r>
        <w:rPr>
          <w:spacing w:val="-6"/>
        </w:rPr>
        <w:t xml:space="preserve"> </w:t>
      </w:r>
      <w:r>
        <w:t>relevant</w:t>
      </w:r>
      <w:r>
        <w:rPr>
          <w:spacing w:val="-6"/>
        </w:rPr>
        <w:t xml:space="preserve"> </w:t>
      </w:r>
      <w:r>
        <w:t>grades</w:t>
      </w:r>
      <w:r>
        <w:rPr>
          <w:spacing w:val="-6"/>
        </w:rPr>
        <w:t xml:space="preserve"> </w:t>
      </w:r>
      <w:r>
        <w:t>was</w:t>
      </w:r>
      <w:r>
        <w:rPr>
          <w:spacing w:val="-6"/>
        </w:rPr>
        <w:t xml:space="preserve"> </w:t>
      </w:r>
      <w:r>
        <w:t>fully</w:t>
      </w:r>
      <w:r>
        <w:rPr>
          <w:spacing w:val="-6"/>
        </w:rPr>
        <w:t xml:space="preserve"> </w:t>
      </w:r>
      <w:r>
        <w:t>carried</w:t>
      </w:r>
      <w:r>
        <w:rPr>
          <w:spacing w:val="-6"/>
        </w:rPr>
        <w:t xml:space="preserve"> </w:t>
      </w:r>
      <w:r>
        <w:t>out.</w:t>
      </w:r>
      <w:r>
        <w:rPr>
          <w:spacing w:val="-9"/>
        </w:rPr>
        <w:t xml:space="preserve"> </w:t>
      </w:r>
      <w:r>
        <w:t>The</w:t>
      </w:r>
      <w:r>
        <w:rPr>
          <w:spacing w:val="-6"/>
        </w:rPr>
        <w:t xml:space="preserve"> </w:t>
      </w:r>
      <w:r>
        <w:t>age</w:t>
      </w:r>
      <w:r>
        <w:rPr>
          <w:spacing w:val="-6"/>
        </w:rPr>
        <w:t xml:space="preserve"> </w:t>
      </w:r>
      <w:r>
        <w:t>distribution</w:t>
      </w:r>
      <w:r>
        <w:rPr>
          <w:spacing w:val="-6"/>
        </w:rPr>
        <w:t xml:space="preserve"> </w:t>
      </w:r>
      <w:r>
        <w:t>fractions</w:t>
      </w:r>
      <w:r>
        <w:rPr>
          <w:spacing w:val="-6"/>
        </w:rPr>
        <w:t xml:space="preserve"> </w:t>
      </w:r>
      <w:r>
        <w:t>for</w:t>
      </w:r>
      <w:r>
        <w:rPr>
          <w:spacing w:val="-6"/>
        </w:rPr>
        <w:t xml:space="preserve"> </w:t>
      </w:r>
      <w:r>
        <w:t>the</w:t>
      </w:r>
      <w:r>
        <w:rPr>
          <w:spacing w:val="-6"/>
        </w:rPr>
        <w:t xml:space="preserve"> </w:t>
      </w:r>
      <w:r>
        <w:t>2020</w:t>
      </w:r>
      <w:r>
        <w:rPr>
          <w:spacing w:val="-6"/>
        </w:rPr>
        <w:t xml:space="preserve"> </w:t>
      </w:r>
      <w:r>
        <w:t>LTT</w:t>
      </w:r>
      <w:r>
        <w:rPr>
          <w:spacing w:val="-9"/>
        </w:rPr>
        <w:t xml:space="preserve"> </w:t>
      </w:r>
      <w:r>
        <w:t>assessments</w:t>
      </w:r>
      <w:r>
        <w:rPr>
          <w:spacing w:val="-6"/>
        </w:rPr>
        <w:t xml:space="preserve"> </w:t>
      </w:r>
      <w:r>
        <w:t>were also used for 2022.</w:t>
      </w:r>
      <w:r>
        <w:rPr>
          <w:spacing w:val="-3"/>
        </w:rPr>
        <w:t xml:space="preserve"> </w:t>
      </w:r>
      <w:r>
        <w:t>The computation of the age distribution fractions for the age 9 and 13 assessments starts with estimates derived from the NAEP</w:t>
      </w:r>
      <w:r>
        <w:rPr>
          <w:spacing w:val="-7"/>
        </w:rPr>
        <w:t xml:space="preserve"> </w:t>
      </w:r>
      <w:r>
        <w:t xml:space="preserve">2017 reading and mathematics assessments. For grades 4 and 8, estimates of the percentages of students by year of birth were computed separately for public and private schools by census </w:t>
      </w:r>
      <w:r>
        <w:rPr>
          <w:spacing w:val="-2"/>
        </w:rPr>
        <w:t>region.</w:t>
      </w:r>
    </w:p>
    <w:p w:rsidR="003F5784" w14:paraId="20F53DB7" w14:textId="77777777">
      <w:pPr>
        <w:pStyle w:val="BodyText"/>
        <w:spacing w:before="211" w:line="232" w:lineRule="auto"/>
        <w:ind w:left="109" w:right="179"/>
      </w:pPr>
      <w:r>
        <w:t>These</w:t>
      </w:r>
      <w:r>
        <w:rPr>
          <w:spacing w:val="-7"/>
        </w:rPr>
        <w:t xml:space="preserve"> </w:t>
      </w:r>
      <w:r>
        <w:t>estimates</w:t>
      </w:r>
      <w:r>
        <w:rPr>
          <w:spacing w:val="-7"/>
        </w:rPr>
        <w:t xml:space="preserve"> </w:t>
      </w:r>
      <w:r>
        <w:t>were</w:t>
      </w:r>
      <w:r>
        <w:rPr>
          <w:spacing w:val="-7"/>
        </w:rPr>
        <w:t xml:space="preserve"> </w:t>
      </w:r>
      <w:r>
        <w:t>determined</w:t>
      </w:r>
      <w:r>
        <w:rPr>
          <w:spacing w:val="-7"/>
        </w:rPr>
        <w:t xml:space="preserve"> </w:t>
      </w:r>
      <w:r>
        <w:t>by</w:t>
      </w:r>
      <w:r>
        <w:rPr>
          <w:spacing w:val="-7"/>
        </w:rPr>
        <w:t xml:space="preserve"> </w:t>
      </w:r>
      <w:r>
        <w:t>first</w:t>
      </w:r>
      <w:r>
        <w:rPr>
          <w:spacing w:val="-7"/>
        </w:rPr>
        <w:t xml:space="preserve"> </w:t>
      </w:r>
      <w:r>
        <w:t>computing</w:t>
      </w:r>
      <w:r>
        <w:rPr>
          <w:spacing w:val="-7"/>
        </w:rPr>
        <w:t xml:space="preserve"> </w:t>
      </w:r>
      <w:r>
        <w:t>the</w:t>
      </w:r>
      <w:r>
        <w:rPr>
          <w:spacing w:val="-7"/>
        </w:rPr>
        <w:t xml:space="preserve"> </w:t>
      </w:r>
      <w:r>
        <w:t>weighted</w:t>
      </w:r>
      <w:r>
        <w:rPr>
          <w:spacing w:val="-7"/>
        </w:rPr>
        <w:t xml:space="preserve"> </w:t>
      </w:r>
      <w:r>
        <w:t>counts</w:t>
      </w:r>
      <w:r>
        <w:rPr>
          <w:spacing w:val="-7"/>
        </w:rPr>
        <w:t xml:space="preserve"> </w:t>
      </w:r>
      <w:r>
        <w:t>of</w:t>
      </w:r>
      <w:r>
        <w:rPr>
          <w:spacing w:val="-7"/>
        </w:rPr>
        <w:t xml:space="preserve"> </w:t>
      </w:r>
      <w:r>
        <w:t>assessed,</w:t>
      </w:r>
      <w:r>
        <w:rPr>
          <w:spacing w:val="-7"/>
        </w:rPr>
        <w:t xml:space="preserve"> </w:t>
      </w:r>
      <w:r>
        <w:t>absent,</w:t>
      </w:r>
      <w:r>
        <w:rPr>
          <w:spacing w:val="-7"/>
        </w:rPr>
        <w:t xml:space="preserve"> </w:t>
      </w:r>
      <w:r>
        <w:t>and</w:t>
      </w:r>
      <w:r>
        <w:rPr>
          <w:spacing w:val="-7"/>
        </w:rPr>
        <w:t xml:space="preserve"> </w:t>
      </w:r>
      <w:r>
        <w:t>excluded</w:t>
      </w:r>
      <w:r>
        <w:rPr>
          <w:spacing w:val="-7"/>
        </w:rPr>
        <w:t xml:space="preserve"> </w:t>
      </w:r>
      <w:r>
        <w:t>students</w:t>
      </w:r>
      <w:r>
        <w:rPr>
          <w:spacing w:val="-7"/>
        </w:rPr>
        <w:t xml:space="preserve"> </w:t>
      </w:r>
      <w:r>
        <w:t>for</w:t>
      </w:r>
      <w:r>
        <w:rPr>
          <w:spacing w:val="-7"/>
        </w:rPr>
        <w:t xml:space="preserve"> </w:t>
      </w:r>
      <w:r>
        <w:t>the</w:t>
      </w:r>
      <w:r>
        <w:rPr>
          <w:spacing w:val="-7"/>
        </w:rPr>
        <w:t xml:space="preserve"> </w:t>
      </w:r>
      <w:r>
        <w:t>NAEP</w:t>
      </w:r>
      <w:r>
        <w:rPr>
          <w:spacing w:val="-14"/>
        </w:rPr>
        <w:t xml:space="preserve"> </w:t>
      </w:r>
      <w:r>
        <w:t>2017</w:t>
      </w:r>
      <w:r>
        <w:rPr>
          <w:spacing w:val="-6"/>
        </w:rPr>
        <w:t xml:space="preserve"> </w:t>
      </w:r>
      <w:r>
        <w:t>reading</w:t>
      </w:r>
      <w:r>
        <w:rPr>
          <w:spacing w:val="-7"/>
        </w:rPr>
        <w:t xml:space="preserve"> </w:t>
      </w:r>
      <w:r>
        <w:t>and</w:t>
      </w:r>
      <w:r>
        <w:rPr>
          <w:spacing w:val="-7"/>
        </w:rPr>
        <w:t xml:space="preserve"> </w:t>
      </w:r>
      <w:r>
        <w:t>mathematics</w:t>
      </w:r>
      <w:r>
        <w:rPr>
          <w:spacing w:val="-7"/>
        </w:rPr>
        <w:t xml:space="preserve"> </w:t>
      </w:r>
      <w:r>
        <w:t>assessments and</w:t>
      </w:r>
      <w:r>
        <w:rPr>
          <w:spacing w:val="-2"/>
        </w:rPr>
        <w:t xml:space="preserve"> </w:t>
      </w:r>
      <w:r>
        <w:t>then</w:t>
      </w:r>
      <w:r>
        <w:rPr>
          <w:spacing w:val="-2"/>
        </w:rPr>
        <w:t xml:space="preserve"> </w:t>
      </w:r>
      <w:r>
        <w:t>aggregating</w:t>
      </w:r>
      <w:r>
        <w:rPr>
          <w:spacing w:val="-2"/>
        </w:rPr>
        <w:t xml:space="preserve"> </w:t>
      </w:r>
      <w:r>
        <w:t>them.</w:t>
      </w:r>
      <w:r>
        <w:rPr>
          <w:spacing w:val="-6"/>
        </w:rPr>
        <w:t xml:space="preserve"> </w:t>
      </w:r>
      <w:r>
        <w:t>The</w:t>
      </w:r>
      <w:r>
        <w:rPr>
          <w:spacing w:val="-2"/>
        </w:rPr>
        <w:t xml:space="preserve"> </w:t>
      </w:r>
      <w:r>
        <w:t>student</w:t>
      </w:r>
      <w:r>
        <w:rPr>
          <w:spacing w:val="-2"/>
        </w:rPr>
        <w:t xml:space="preserve"> </w:t>
      </w:r>
      <w:r>
        <w:t>base</w:t>
      </w:r>
      <w:r>
        <w:rPr>
          <w:spacing w:val="-2"/>
        </w:rPr>
        <w:t xml:space="preserve"> </w:t>
      </w:r>
      <w:r>
        <w:t>weights</w:t>
      </w:r>
      <w:r>
        <w:rPr>
          <w:spacing w:val="-2"/>
        </w:rPr>
        <w:t xml:space="preserve"> </w:t>
      </w:r>
      <w:r>
        <w:t>were</w:t>
      </w:r>
      <w:r>
        <w:rPr>
          <w:spacing w:val="-2"/>
        </w:rPr>
        <w:t xml:space="preserve"> </w:t>
      </w:r>
      <w:r>
        <w:t>used</w:t>
      </w:r>
      <w:r>
        <w:rPr>
          <w:spacing w:val="-2"/>
        </w:rPr>
        <w:t xml:space="preserve"> </w:t>
      </w:r>
      <w:r>
        <w:t>for</w:t>
      </w:r>
      <w:r>
        <w:rPr>
          <w:spacing w:val="-2"/>
        </w:rPr>
        <w:t xml:space="preserve"> </w:t>
      </w:r>
      <w:r>
        <w:t>this</w:t>
      </w:r>
      <w:r>
        <w:rPr>
          <w:spacing w:val="-2"/>
        </w:rPr>
        <w:t xml:space="preserve"> </w:t>
      </w:r>
      <w:r>
        <w:t>purpose.</w:t>
      </w:r>
      <w:r>
        <w:rPr>
          <w:spacing w:val="-6"/>
        </w:rPr>
        <w:t xml:space="preserve"> </w:t>
      </w:r>
      <w:r>
        <w:t>The</w:t>
      </w:r>
      <w:r>
        <w:rPr>
          <w:spacing w:val="-2"/>
        </w:rPr>
        <w:t xml:space="preserve"> </w:t>
      </w:r>
      <w:r>
        <w:t>weighted</w:t>
      </w:r>
      <w:r>
        <w:rPr>
          <w:spacing w:val="-2"/>
        </w:rPr>
        <w:t xml:space="preserve"> </w:t>
      </w:r>
      <w:r>
        <w:t>aggregations</w:t>
      </w:r>
      <w:r>
        <w:rPr>
          <w:spacing w:val="-2"/>
        </w:rPr>
        <w:t xml:space="preserve"> </w:t>
      </w:r>
      <w:r>
        <w:t>are</w:t>
      </w:r>
      <w:r>
        <w:rPr>
          <w:spacing w:val="-2"/>
        </w:rPr>
        <w:t xml:space="preserve"> </w:t>
      </w:r>
      <w:r>
        <w:t>estimates</w:t>
      </w:r>
      <w:r>
        <w:rPr>
          <w:spacing w:val="-2"/>
        </w:rPr>
        <w:t xml:space="preserve"> </w:t>
      </w:r>
      <w:r>
        <w:t>of</w:t>
      </w:r>
      <w:r>
        <w:rPr>
          <w:spacing w:val="-2"/>
        </w:rPr>
        <w:t xml:space="preserve"> </w:t>
      </w:r>
      <w:r>
        <w:t>the</w:t>
      </w:r>
      <w:r>
        <w:rPr>
          <w:spacing w:val="-2"/>
        </w:rPr>
        <w:t xml:space="preserve"> </w:t>
      </w:r>
      <w:r>
        <w:t>total</w:t>
      </w:r>
      <w:r>
        <w:rPr>
          <w:spacing w:val="-2"/>
        </w:rPr>
        <w:t xml:space="preserve"> </w:t>
      </w:r>
      <w:r>
        <w:t>number</w:t>
      </w:r>
      <w:r>
        <w:rPr>
          <w:spacing w:val="-2"/>
        </w:rPr>
        <w:t xml:space="preserve"> </w:t>
      </w:r>
      <w:r>
        <w:t>of</w:t>
      </w:r>
      <w:r>
        <w:rPr>
          <w:spacing w:val="-2"/>
        </w:rPr>
        <w:t xml:space="preserve"> </w:t>
      </w:r>
      <w:r>
        <w:t>students</w:t>
      </w:r>
      <w:r>
        <w:rPr>
          <w:spacing w:val="-2"/>
        </w:rPr>
        <w:t xml:space="preserve"> </w:t>
      </w:r>
      <w:r>
        <w:t>by</w:t>
      </w:r>
      <w:r>
        <w:rPr>
          <w:spacing w:val="-2"/>
        </w:rPr>
        <w:t xml:space="preserve"> </w:t>
      </w:r>
      <w:r>
        <w:t>year</w:t>
      </w:r>
      <w:r>
        <w:rPr>
          <w:spacing w:val="-2"/>
        </w:rPr>
        <w:t xml:space="preserve"> </w:t>
      </w:r>
      <w:r>
        <w:t>of</w:t>
      </w:r>
      <w:r>
        <w:rPr>
          <w:spacing w:val="-2"/>
        </w:rPr>
        <w:t xml:space="preserve"> </w:t>
      </w:r>
      <w:r>
        <w:t>birth</w:t>
      </w:r>
      <w:r>
        <w:rPr>
          <w:spacing w:val="-2"/>
        </w:rPr>
        <w:t xml:space="preserve"> </w:t>
      </w:r>
      <w:r>
        <w:t>for grade 4 or 8 in the school year 2016–2017.</w:t>
      </w:r>
      <w:r>
        <w:rPr>
          <w:spacing w:val="-2"/>
        </w:rPr>
        <w:t xml:space="preserve"> </w:t>
      </w:r>
      <w:r>
        <w:t>The tables below present these estimates by region for fourth grade for public schools.</w:t>
      </w:r>
    </w:p>
    <w:p w:rsidR="003F5784" w14:paraId="7B4D6713" w14:textId="77777777">
      <w:pPr>
        <w:pStyle w:val="BodyText"/>
        <w:spacing w:before="92"/>
      </w:pPr>
    </w:p>
    <w:p w:rsidR="003F5784" w14:paraId="63783CAF" w14:textId="77777777">
      <w:pPr>
        <w:pStyle w:val="Heading2"/>
      </w:pPr>
      <w:r>
        <w:t>Weighted</w:t>
      </w:r>
      <w:r>
        <w:rPr>
          <w:spacing w:val="-9"/>
        </w:rPr>
        <w:t xml:space="preserve"> </w:t>
      </w:r>
      <w:r>
        <w:t>aggregations</w:t>
      </w:r>
      <w:r>
        <w:rPr>
          <w:spacing w:val="-9"/>
        </w:rPr>
        <w:t xml:space="preserve"> </w:t>
      </w:r>
      <w:r>
        <w:t>and</w:t>
      </w:r>
      <w:r>
        <w:rPr>
          <w:spacing w:val="-8"/>
        </w:rPr>
        <w:t xml:space="preserve"> </w:t>
      </w:r>
      <w:r>
        <w:t>proportions</w:t>
      </w:r>
      <w:r>
        <w:rPr>
          <w:spacing w:val="-9"/>
        </w:rPr>
        <w:t xml:space="preserve"> </w:t>
      </w:r>
      <w:r>
        <w:t>from</w:t>
      </w:r>
      <w:r>
        <w:rPr>
          <w:spacing w:val="-9"/>
        </w:rPr>
        <w:t xml:space="preserve"> </w:t>
      </w:r>
      <w:r>
        <w:t>the</w:t>
      </w:r>
      <w:r>
        <w:rPr>
          <w:spacing w:val="-8"/>
        </w:rPr>
        <w:t xml:space="preserve"> </w:t>
      </w:r>
      <w:r>
        <w:t>grade</w:t>
      </w:r>
      <w:r>
        <w:rPr>
          <w:spacing w:val="-9"/>
        </w:rPr>
        <w:t xml:space="preserve"> </w:t>
      </w:r>
      <w:r>
        <w:t>4</w:t>
      </w:r>
      <w:r>
        <w:rPr>
          <w:spacing w:val="-9"/>
        </w:rPr>
        <w:t xml:space="preserve"> </w:t>
      </w:r>
      <w:r>
        <w:t>reading</w:t>
      </w:r>
      <w:r>
        <w:rPr>
          <w:spacing w:val="-8"/>
        </w:rPr>
        <w:t xml:space="preserve"> </w:t>
      </w:r>
      <w:r>
        <w:t>and</w:t>
      </w:r>
      <w:r>
        <w:rPr>
          <w:spacing w:val="-9"/>
        </w:rPr>
        <w:t xml:space="preserve"> </w:t>
      </w:r>
      <w:r>
        <w:t>mathematics</w:t>
      </w:r>
      <w:r>
        <w:rPr>
          <w:spacing w:val="-9"/>
        </w:rPr>
        <w:t xml:space="preserve"> </w:t>
      </w:r>
      <w:r>
        <w:t>assessments,</w:t>
      </w:r>
      <w:r>
        <w:rPr>
          <w:spacing w:val="-8"/>
        </w:rPr>
        <w:t xml:space="preserve"> </w:t>
      </w:r>
      <w:r>
        <w:t>public</w:t>
      </w:r>
      <w:r>
        <w:rPr>
          <w:spacing w:val="-9"/>
        </w:rPr>
        <w:t xml:space="preserve"> </w:t>
      </w:r>
      <w:r>
        <w:t>schools</w:t>
      </w:r>
      <w:r>
        <w:rPr>
          <w:spacing w:val="-9"/>
        </w:rPr>
        <w:t xml:space="preserve"> </w:t>
      </w:r>
      <w:r>
        <w:t>Northeast</w:t>
      </w:r>
      <w:r>
        <w:rPr>
          <w:spacing w:val="-8"/>
        </w:rPr>
        <w:t xml:space="preserve"> </w:t>
      </w:r>
      <w:r>
        <w:t>region,</w:t>
      </w:r>
      <w:r>
        <w:rPr>
          <w:spacing w:val="-9"/>
        </w:rPr>
        <w:t xml:space="preserve"> </w:t>
      </w:r>
      <w:r>
        <w:t>by</w:t>
      </w:r>
      <w:r>
        <w:rPr>
          <w:spacing w:val="-9"/>
        </w:rPr>
        <w:t xml:space="preserve"> </w:t>
      </w:r>
      <w:r>
        <w:t>year</w:t>
      </w:r>
      <w:r>
        <w:rPr>
          <w:spacing w:val="-12"/>
        </w:rPr>
        <w:t xml:space="preserve"> </w:t>
      </w:r>
      <w:r>
        <w:t>of</w:t>
      </w:r>
      <w:r>
        <w:rPr>
          <w:spacing w:val="-8"/>
        </w:rPr>
        <w:t xml:space="preserve"> </w:t>
      </w:r>
      <w:r>
        <w:t>birth:</w:t>
      </w:r>
      <w:r>
        <w:rPr>
          <w:spacing w:val="-9"/>
        </w:rPr>
        <w:t xml:space="preserve"> </w:t>
      </w:r>
      <w:r>
        <w:rPr>
          <w:spacing w:val="-4"/>
        </w:rPr>
        <w:t>2017</w:t>
      </w:r>
    </w:p>
    <w:p w:rsidR="003F5784" w14:paraId="16BCFE49" w14:textId="77777777">
      <w:pPr>
        <w:pStyle w:val="BodyText"/>
        <w:spacing w:before="10" w:after="1"/>
        <w:rPr>
          <w:b/>
          <w:sz w:val="11"/>
        </w:rPr>
      </w:pPr>
    </w:p>
    <w:tbl>
      <w:tblPr>
        <w:tblW w:w="0" w:type="auto"/>
        <w:tblInd w:w="482" w:type="dxa"/>
        <w:tblLayout w:type="fixed"/>
        <w:tblCellMar>
          <w:left w:w="0" w:type="dxa"/>
          <w:right w:w="0" w:type="dxa"/>
        </w:tblCellMar>
        <w:tblLook w:val="01E0"/>
      </w:tblPr>
      <w:tblGrid>
        <w:gridCol w:w="3300"/>
        <w:gridCol w:w="6396"/>
        <w:gridCol w:w="4287"/>
      </w:tblGrid>
      <w:tr w14:paraId="6B87D622" w14:textId="77777777">
        <w:tblPrEx>
          <w:tblW w:w="0" w:type="auto"/>
          <w:tblInd w:w="482" w:type="dxa"/>
          <w:tblLayout w:type="fixed"/>
          <w:tblCellMar>
            <w:left w:w="0" w:type="dxa"/>
            <w:right w:w="0" w:type="dxa"/>
          </w:tblCellMar>
          <w:tblLook w:val="01E0"/>
        </w:tblPrEx>
        <w:trPr>
          <w:trHeight w:val="267"/>
        </w:trPr>
        <w:tc>
          <w:tcPr>
            <w:tcW w:w="3300" w:type="dxa"/>
            <w:tcBorders>
              <w:top w:val="single" w:sz="18" w:space="0" w:color="800000"/>
              <w:bottom w:val="single" w:sz="18" w:space="0" w:color="800000"/>
            </w:tcBorders>
          </w:tcPr>
          <w:p w:rsidR="003F5784" w14:paraId="6B7401E5" w14:textId="77777777">
            <w:pPr>
              <w:pStyle w:val="TableParagraph"/>
              <w:spacing w:before="9" w:line="238" w:lineRule="exact"/>
              <w:ind w:left="120"/>
              <w:jc w:val="left"/>
              <w:rPr>
                <w:sz w:val="21"/>
              </w:rPr>
            </w:pPr>
            <w:r>
              <w:rPr>
                <w:spacing w:val="-2"/>
                <w:sz w:val="21"/>
              </w:rPr>
              <w:t>Year</w:t>
            </w:r>
            <w:r>
              <w:rPr>
                <w:spacing w:val="-9"/>
                <w:sz w:val="21"/>
              </w:rPr>
              <w:t xml:space="preserve"> </w:t>
            </w:r>
            <w:r>
              <w:rPr>
                <w:spacing w:val="-2"/>
                <w:sz w:val="21"/>
              </w:rPr>
              <w:t>of</w:t>
            </w:r>
            <w:r>
              <w:rPr>
                <w:spacing w:val="-8"/>
                <w:sz w:val="21"/>
              </w:rPr>
              <w:t xml:space="preserve"> </w:t>
            </w:r>
            <w:r>
              <w:rPr>
                <w:spacing w:val="-2"/>
                <w:sz w:val="21"/>
              </w:rPr>
              <w:t>birth</w:t>
            </w:r>
          </w:p>
        </w:tc>
        <w:tc>
          <w:tcPr>
            <w:tcW w:w="6396" w:type="dxa"/>
            <w:tcBorders>
              <w:top w:val="single" w:sz="18" w:space="0" w:color="800000"/>
              <w:bottom w:val="single" w:sz="18" w:space="0" w:color="800000"/>
            </w:tcBorders>
          </w:tcPr>
          <w:p w:rsidR="003F5784" w14:paraId="5C79A40D" w14:textId="77777777">
            <w:pPr>
              <w:pStyle w:val="TableParagraph"/>
              <w:spacing w:before="9" w:line="238" w:lineRule="exact"/>
              <w:ind w:right="2358"/>
              <w:rPr>
                <w:sz w:val="21"/>
              </w:rPr>
            </w:pPr>
            <w:r>
              <w:rPr>
                <w:spacing w:val="-2"/>
                <w:sz w:val="21"/>
              </w:rPr>
              <w:t>Weighted</w:t>
            </w:r>
            <w:r>
              <w:rPr>
                <w:spacing w:val="-11"/>
                <w:sz w:val="21"/>
              </w:rPr>
              <w:t xml:space="preserve"> </w:t>
            </w:r>
            <w:r>
              <w:rPr>
                <w:spacing w:val="-2"/>
                <w:sz w:val="21"/>
              </w:rPr>
              <w:t>aggregations</w:t>
            </w:r>
          </w:p>
        </w:tc>
        <w:tc>
          <w:tcPr>
            <w:tcW w:w="4287" w:type="dxa"/>
            <w:tcBorders>
              <w:top w:val="single" w:sz="18" w:space="0" w:color="800000"/>
              <w:bottom w:val="single" w:sz="18" w:space="0" w:color="800000"/>
            </w:tcBorders>
          </w:tcPr>
          <w:p w:rsidR="003F5784" w14:paraId="41977C49" w14:textId="77777777">
            <w:pPr>
              <w:pStyle w:val="TableParagraph"/>
              <w:spacing w:before="9" w:line="238" w:lineRule="exact"/>
              <w:ind w:right="116"/>
              <w:rPr>
                <w:sz w:val="21"/>
              </w:rPr>
            </w:pPr>
            <w:r>
              <w:rPr>
                <w:spacing w:val="-2"/>
                <w:sz w:val="21"/>
              </w:rPr>
              <w:t>Weighted</w:t>
            </w:r>
            <w:r>
              <w:rPr>
                <w:spacing w:val="-11"/>
                <w:sz w:val="21"/>
              </w:rPr>
              <w:t xml:space="preserve"> </w:t>
            </w:r>
            <w:r>
              <w:rPr>
                <w:spacing w:val="-2"/>
                <w:sz w:val="21"/>
              </w:rPr>
              <w:t>proportions</w:t>
            </w:r>
          </w:p>
        </w:tc>
      </w:tr>
      <w:tr w14:paraId="055D37BF" w14:textId="77777777">
        <w:tblPrEx>
          <w:tblW w:w="0" w:type="auto"/>
          <w:tblInd w:w="482" w:type="dxa"/>
          <w:tblLayout w:type="fixed"/>
          <w:tblCellMar>
            <w:left w:w="0" w:type="dxa"/>
            <w:right w:w="0" w:type="dxa"/>
          </w:tblCellMar>
          <w:tblLook w:val="01E0"/>
        </w:tblPrEx>
        <w:trPr>
          <w:trHeight w:val="278"/>
        </w:trPr>
        <w:tc>
          <w:tcPr>
            <w:tcW w:w="3300" w:type="dxa"/>
            <w:tcBorders>
              <w:top w:val="single" w:sz="18" w:space="0" w:color="800000"/>
            </w:tcBorders>
          </w:tcPr>
          <w:p w:rsidR="003F5784" w14:paraId="552EB97B" w14:textId="77777777">
            <w:pPr>
              <w:pStyle w:val="TableParagraph"/>
              <w:spacing w:before="9"/>
              <w:ind w:left="370"/>
              <w:jc w:val="left"/>
              <w:rPr>
                <w:b/>
                <w:sz w:val="21"/>
              </w:rPr>
            </w:pPr>
            <w:r>
              <w:rPr>
                <w:b/>
                <w:spacing w:val="-2"/>
                <w:sz w:val="21"/>
              </w:rPr>
              <w:t>Total</w:t>
            </w:r>
          </w:p>
        </w:tc>
        <w:tc>
          <w:tcPr>
            <w:tcW w:w="6396" w:type="dxa"/>
            <w:tcBorders>
              <w:top w:val="single" w:sz="18" w:space="0" w:color="800000"/>
            </w:tcBorders>
          </w:tcPr>
          <w:p w:rsidR="003F5784" w14:paraId="7C8E8982" w14:textId="77777777">
            <w:pPr>
              <w:pStyle w:val="TableParagraph"/>
              <w:spacing w:before="9"/>
              <w:ind w:right="2358"/>
              <w:rPr>
                <w:b/>
                <w:sz w:val="21"/>
              </w:rPr>
            </w:pPr>
            <w:r>
              <w:rPr>
                <w:b/>
                <w:spacing w:val="-2"/>
                <w:sz w:val="21"/>
              </w:rPr>
              <w:t>578,000</w:t>
            </w:r>
          </w:p>
        </w:tc>
        <w:tc>
          <w:tcPr>
            <w:tcW w:w="4287" w:type="dxa"/>
            <w:tcBorders>
              <w:top w:val="single" w:sz="18" w:space="0" w:color="800000"/>
            </w:tcBorders>
          </w:tcPr>
          <w:p w:rsidR="003F5784" w14:paraId="033E3AAA" w14:textId="77777777">
            <w:pPr>
              <w:pStyle w:val="TableParagraph"/>
              <w:spacing w:before="9"/>
              <w:ind w:right="116"/>
              <w:rPr>
                <w:b/>
                <w:sz w:val="21"/>
              </w:rPr>
            </w:pPr>
            <w:r>
              <w:rPr>
                <w:b/>
                <w:spacing w:val="-4"/>
                <w:sz w:val="21"/>
              </w:rPr>
              <w:t>1.00</w:t>
            </w:r>
          </w:p>
        </w:tc>
      </w:tr>
      <w:tr w14:paraId="45390D07" w14:textId="77777777">
        <w:tblPrEx>
          <w:tblW w:w="0" w:type="auto"/>
          <w:tblInd w:w="482" w:type="dxa"/>
          <w:tblLayout w:type="fixed"/>
          <w:tblCellMar>
            <w:left w:w="0" w:type="dxa"/>
            <w:right w:w="0" w:type="dxa"/>
          </w:tblCellMar>
          <w:tblLook w:val="01E0"/>
        </w:tblPrEx>
        <w:trPr>
          <w:trHeight w:val="286"/>
        </w:trPr>
        <w:tc>
          <w:tcPr>
            <w:tcW w:w="3300" w:type="dxa"/>
          </w:tcPr>
          <w:p w:rsidR="003F5784" w14:paraId="64303F67" w14:textId="77777777">
            <w:pPr>
              <w:pStyle w:val="TableParagraph"/>
              <w:ind w:left="120"/>
              <w:jc w:val="left"/>
              <w:rPr>
                <w:sz w:val="21"/>
              </w:rPr>
            </w:pPr>
            <w:r>
              <w:rPr>
                <w:spacing w:val="-4"/>
                <w:sz w:val="21"/>
              </w:rPr>
              <w:t>2003</w:t>
            </w:r>
          </w:p>
        </w:tc>
        <w:tc>
          <w:tcPr>
            <w:tcW w:w="6396" w:type="dxa"/>
          </w:tcPr>
          <w:p w:rsidR="003F5784" w14:paraId="29FD38EA" w14:textId="77777777">
            <w:pPr>
              <w:pStyle w:val="TableParagraph"/>
              <w:ind w:right="2358"/>
              <w:rPr>
                <w:sz w:val="21"/>
              </w:rPr>
            </w:pPr>
            <w:r>
              <w:rPr>
                <w:spacing w:val="-5"/>
                <w:sz w:val="21"/>
              </w:rPr>
              <w:t>21</w:t>
            </w:r>
          </w:p>
        </w:tc>
        <w:tc>
          <w:tcPr>
            <w:tcW w:w="4287" w:type="dxa"/>
          </w:tcPr>
          <w:p w:rsidR="003F5784" w14:paraId="727D1FC7" w14:textId="77777777">
            <w:pPr>
              <w:pStyle w:val="TableParagraph"/>
              <w:ind w:right="116"/>
              <w:rPr>
                <w:sz w:val="21"/>
              </w:rPr>
            </w:pPr>
            <w:r>
              <w:rPr>
                <w:spacing w:val="-10"/>
                <w:sz w:val="21"/>
              </w:rPr>
              <w:t>#</w:t>
            </w:r>
          </w:p>
        </w:tc>
      </w:tr>
      <w:tr w14:paraId="0C8E8418" w14:textId="77777777">
        <w:tblPrEx>
          <w:tblW w:w="0" w:type="auto"/>
          <w:tblInd w:w="482" w:type="dxa"/>
          <w:tblLayout w:type="fixed"/>
          <w:tblCellMar>
            <w:left w:w="0" w:type="dxa"/>
            <w:right w:w="0" w:type="dxa"/>
          </w:tblCellMar>
          <w:tblLook w:val="01E0"/>
        </w:tblPrEx>
        <w:trPr>
          <w:trHeight w:val="286"/>
        </w:trPr>
        <w:tc>
          <w:tcPr>
            <w:tcW w:w="3300" w:type="dxa"/>
          </w:tcPr>
          <w:p w:rsidR="003F5784" w14:paraId="38B5A993" w14:textId="77777777">
            <w:pPr>
              <w:pStyle w:val="TableParagraph"/>
              <w:ind w:left="120"/>
              <w:jc w:val="left"/>
              <w:rPr>
                <w:sz w:val="21"/>
              </w:rPr>
            </w:pPr>
            <w:r>
              <w:rPr>
                <w:spacing w:val="-4"/>
                <w:sz w:val="21"/>
              </w:rPr>
              <w:t>2004</w:t>
            </w:r>
          </w:p>
        </w:tc>
        <w:tc>
          <w:tcPr>
            <w:tcW w:w="6396" w:type="dxa"/>
          </w:tcPr>
          <w:p w:rsidR="003F5784" w14:paraId="2C3732B0" w14:textId="77777777">
            <w:pPr>
              <w:pStyle w:val="TableParagraph"/>
              <w:ind w:right="2358"/>
              <w:rPr>
                <w:sz w:val="21"/>
              </w:rPr>
            </w:pPr>
            <w:r>
              <w:rPr>
                <w:spacing w:val="-5"/>
                <w:sz w:val="21"/>
              </w:rPr>
              <w:t>160</w:t>
            </w:r>
          </w:p>
        </w:tc>
        <w:tc>
          <w:tcPr>
            <w:tcW w:w="4287" w:type="dxa"/>
          </w:tcPr>
          <w:p w:rsidR="003F5784" w14:paraId="5CA04BF3" w14:textId="77777777">
            <w:pPr>
              <w:pStyle w:val="TableParagraph"/>
              <w:ind w:right="116"/>
              <w:rPr>
                <w:sz w:val="21"/>
              </w:rPr>
            </w:pPr>
            <w:r>
              <w:rPr>
                <w:spacing w:val="-10"/>
                <w:sz w:val="21"/>
              </w:rPr>
              <w:t>#</w:t>
            </w:r>
          </w:p>
        </w:tc>
      </w:tr>
      <w:tr w14:paraId="50595C10" w14:textId="77777777">
        <w:tblPrEx>
          <w:tblW w:w="0" w:type="auto"/>
          <w:tblInd w:w="482" w:type="dxa"/>
          <w:tblLayout w:type="fixed"/>
          <w:tblCellMar>
            <w:left w:w="0" w:type="dxa"/>
            <w:right w:w="0" w:type="dxa"/>
          </w:tblCellMar>
          <w:tblLook w:val="01E0"/>
        </w:tblPrEx>
        <w:trPr>
          <w:trHeight w:val="286"/>
        </w:trPr>
        <w:tc>
          <w:tcPr>
            <w:tcW w:w="3300" w:type="dxa"/>
          </w:tcPr>
          <w:p w:rsidR="003F5784" w14:paraId="526E45E3" w14:textId="77777777">
            <w:pPr>
              <w:pStyle w:val="TableParagraph"/>
              <w:ind w:left="120"/>
              <w:jc w:val="left"/>
              <w:rPr>
                <w:sz w:val="21"/>
              </w:rPr>
            </w:pPr>
            <w:r>
              <w:rPr>
                <w:spacing w:val="-4"/>
                <w:sz w:val="21"/>
              </w:rPr>
              <w:t>2005</w:t>
            </w:r>
          </w:p>
        </w:tc>
        <w:tc>
          <w:tcPr>
            <w:tcW w:w="6396" w:type="dxa"/>
          </w:tcPr>
          <w:p w:rsidR="003F5784" w14:paraId="6B7C0601" w14:textId="77777777">
            <w:pPr>
              <w:pStyle w:val="TableParagraph"/>
              <w:ind w:right="2358"/>
              <w:rPr>
                <w:sz w:val="21"/>
              </w:rPr>
            </w:pPr>
            <w:r>
              <w:rPr>
                <w:spacing w:val="-2"/>
                <w:sz w:val="21"/>
              </w:rPr>
              <w:t>6,000</w:t>
            </w:r>
          </w:p>
        </w:tc>
        <w:tc>
          <w:tcPr>
            <w:tcW w:w="4287" w:type="dxa"/>
          </w:tcPr>
          <w:p w:rsidR="003F5784" w14:paraId="0FFF4DD3" w14:textId="77777777">
            <w:pPr>
              <w:pStyle w:val="TableParagraph"/>
              <w:ind w:right="116"/>
              <w:rPr>
                <w:sz w:val="21"/>
              </w:rPr>
            </w:pPr>
            <w:r>
              <w:rPr>
                <w:spacing w:val="-4"/>
                <w:sz w:val="21"/>
              </w:rPr>
              <w:t>0.01</w:t>
            </w:r>
          </w:p>
        </w:tc>
      </w:tr>
      <w:tr w14:paraId="0D130D09" w14:textId="77777777">
        <w:tblPrEx>
          <w:tblW w:w="0" w:type="auto"/>
          <w:tblInd w:w="482" w:type="dxa"/>
          <w:tblLayout w:type="fixed"/>
          <w:tblCellMar>
            <w:left w:w="0" w:type="dxa"/>
            <w:right w:w="0" w:type="dxa"/>
          </w:tblCellMar>
          <w:tblLook w:val="01E0"/>
        </w:tblPrEx>
        <w:trPr>
          <w:trHeight w:val="286"/>
        </w:trPr>
        <w:tc>
          <w:tcPr>
            <w:tcW w:w="3300" w:type="dxa"/>
          </w:tcPr>
          <w:p w:rsidR="003F5784" w14:paraId="0F2DA570" w14:textId="77777777">
            <w:pPr>
              <w:pStyle w:val="TableParagraph"/>
              <w:ind w:left="120"/>
              <w:jc w:val="left"/>
              <w:rPr>
                <w:sz w:val="21"/>
              </w:rPr>
            </w:pPr>
            <w:r>
              <w:rPr>
                <w:spacing w:val="-4"/>
                <w:sz w:val="21"/>
              </w:rPr>
              <w:t>2006</w:t>
            </w:r>
          </w:p>
        </w:tc>
        <w:tc>
          <w:tcPr>
            <w:tcW w:w="6396" w:type="dxa"/>
          </w:tcPr>
          <w:p w:rsidR="003F5784" w14:paraId="65306212" w14:textId="77777777">
            <w:pPr>
              <w:pStyle w:val="TableParagraph"/>
              <w:ind w:right="2358"/>
              <w:rPr>
                <w:sz w:val="21"/>
              </w:rPr>
            </w:pPr>
            <w:r>
              <w:rPr>
                <w:spacing w:val="-2"/>
                <w:sz w:val="21"/>
              </w:rPr>
              <w:t>161,000</w:t>
            </w:r>
          </w:p>
        </w:tc>
        <w:tc>
          <w:tcPr>
            <w:tcW w:w="4287" w:type="dxa"/>
          </w:tcPr>
          <w:p w:rsidR="003F5784" w14:paraId="0C2F4913" w14:textId="77777777">
            <w:pPr>
              <w:pStyle w:val="TableParagraph"/>
              <w:ind w:right="116"/>
              <w:rPr>
                <w:sz w:val="21"/>
              </w:rPr>
            </w:pPr>
            <w:r>
              <w:rPr>
                <w:spacing w:val="-4"/>
                <w:sz w:val="21"/>
              </w:rPr>
              <w:t>0.28</w:t>
            </w:r>
          </w:p>
        </w:tc>
      </w:tr>
      <w:tr w14:paraId="6D12BA7C" w14:textId="77777777">
        <w:tblPrEx>
          <w:tblW w:w="0" w:type="auto"/>
          <w:tblInd w:w="482" w:type="dxa"/>
          <w:tblLayout w:type="fixed"/>
          <w:tblCellMar>
            <w:left w:w="0" w:type="dxa"/>
            <w:right w:w="0" w:type="dxa"/>
          </w:tblCellMar>
          <w:tblLook w:val="01E0"/>
        </w:tblPrEx>
        <w:trPr>
          <w:trHeight w:val="286"/>
        </w:trPr>
        <w:tc>
          <w:tcPr>
            <w:tcW w:w="3300" w:type="dxa"/>
          </w:tcPr>
          <w:p w:rsidR="003F5784" w14:paraId="2EE7CF6A" w14:textId="77777777">
            <w:pPr>
              <w:pStyle w:val="TableParagraph"/>
              <w:ind w:left="120"/>
              <w:jc w:val="left"/>
              <w:rPr>
                <w:sz w:val="21"/>
              </w:rPr>
            </w:pPr>
            <w:r>
              <w:rPr>
                <w:spacing w:val="-4"/>
                <w:sz w:val="21"/>
              </w:rPr>
              <w:t>2007</w:t>
            </w:r>
          </w:p>
        </w:tc>
        <w:tc>
          <w:tcPr>
            <w:tcW w:w="6396" w:type="dxa"/>
          </w:tcPr>
          <w:p w:rsidR="003F5784" w14:paraId="0E0CD161" w14:textId="77777777">
            <w:pPr>
              <w:pStyle w:val="TableParagraph"/>
              <w:ind w:right="2358"/>
              <w:rPr>
                <w:sz w:val="21"/>
              </w:rPr>
            </w:pPr>
            <w:r>
              <w:rPr>
                <w:spacing w:val="-2"/>
                <w:sz w:val="21"/>
              </w:rPr>
              <w:t>409,000</w:t>
            </w:r>
          </w:p>
        </w:tc>
        <w:tc>
          <w:tcPr>
            <w:tcW w:w="4287" w:type="dxa"/>
          </w:tcPr>
          <w:p w:rsidR="003F5784" w14:paraId="1CC92EBD" w14:textId="77777777">
            <w:pPr>
              <w:pStyle w:val="TableParagraph"/>
              <w:ind w:right="116"/>
              <w:rPr>
                <w:sz w:val="21"/>
              </w:rPr>
            </w:pPr>
            <w:r>
              <w:rPr>
                <w:spacing w:val="-4"/>
                <w:sz w:val="21"/>
              </w:rPr>
              <w:t>0.71</w:t>
            </w:r>
          </w:p>
        </w:tc>
      </w:tr>
      <w:tr w14:paraId="025F9129" w14:textId="77777777">
        <w:tblPrEx>
          <w:tblW w:w="0" w:type="auto"/>
          <w:tblInd w:w="482" w:type="dxa"/>
          <w:tblLayout w:type="fixed"/>
          <w:tblCellMar>
            <w:left w:w="0" w:type="dxa"/>
            <w:right w:w="0" w:type="dxa"/>
          </w:tblCellMar>
          <w:tblLook w:val="01E0"/>
        </w:tblPrEx>
        <w:trPr>
          <w:trHeight w:val="286"/>
        </w:trPr>
        <w:tc>
          <w:tcPr>
            <w:tcW w:w="3300" w:type="dxa"/>
          </w:tcPr>
          <w:p w:rsidR="003F5784" w14:paraId="02891F3C" w14:textId="77777777">
            <w:pPr>
              <w:pStyle w:val="TableParagraph"/>
              <w:ind w:left="120"/>
              <w:jc w:val="left"/>
              <w:rPr>
                <w:sz w:val="21"/>
              </w:rPr>
            </w:pPr>
            <w:r>
              <w:rPr>
                <w:spacing w:val="-4"/>
                <w:sz w:val="21"/>
              </w:rPr>
              <w:t>2008</w:t>
            </w:r>
          </w:p>
        </w:tc>
        <w:tc>
          <w:tcPr>
            <w:tcW w:w="6396" w:type="dxa"/>
          </w:tcPr>
          <w:p w:rsidR="003F5784" w14:paraId="618001C2" w14:textId="77777777">
            <w:pPr>
              <w:pStyle w:val="TableParagraph"/>
              <w:ind w:right="2358"/>
              <w:rPr>
                <w:sz w:val="21"/>
              </w:rPr>
            </w:pPr>
            <w:r>
              <w:rPr>
                <w:spacing w:val="-5"/>
                <w:sz w:val="21"/>
              </w:rPr>
              <w:t>877</w:t>
            </w:r>
          </w:p>
        </w:tc>
        <w:tc>
          <w:tcPr>
            <w:tcW w:w="4287" w:type="dxa"/>
          </w:tcPr>
          <w:p w:rsidR="003F5784" w14:paraId="06D05BD4" w14:textId="77777777">
            <w:pPr>
              <w:pStyle w:val="TableParagraph"/>
              <w:ind w:right="116"/>
              <w:rPr>
                <w:sz w:val="21"/>
              </w:rPr>
            </w:pPr>
            <w:r>
              <w:rPr>
                <w:spacing w:val="-10"/>
                <w:sz w:val="21"/>
              </w:rPr>
              <w:t>#</w:t>
            </w:r>
          </w:p>
        </w:tc>
      </w:tr>
      <w:tr w14:paraId="59149D76" w14:textId="77777777">
        <w:tblPrEx>
          <w:tblW w:w="0" w:type="auto"/>
          <w:tblInd w:w="482" w:type="dxa"/>
          <w:tblLayout w:type="fixed"/>
          <w:tblCellMar>
            <w:left w:w="0" w:type="dxa"/>
            <w:right w:w="0" w:type="dxa"/>
          </w:tblCellMar>
          <w:tblLook w:val="01E0"/>
        </w:tblPrEx>
        <w:trPr>
          <w:trHeight w:val="288"/>
        </w:trPr>
        <w:tc>
          <w:tcPr>
            <w:tcW w:w="3300" w:type="dxa"/>
            <w:tcBorders>
              <w:bottom w:val="single" w:sz="18" w:space="0" w:color="800000"/>
            </w:tcBorders>
          </w:tcPr>
          <w:p w:rsidR="003F5784" w14:paraId="27508DC4" w14:textId="77777777">
            <w:pPr>
              <w:pStyle w:val="TableParagraph"/>
              <w:ind w:left="120"/>
              <w:jc w:val="left"/>
              <w:rPr>
                <w:sz w:val="21"/>
              </w:rPr>
            </w:pPr>
            <w:r>
              <w:rPr>
                <w:spacing w:val="-4"/>
                <w:sz w:val="21"/>
              </w:rPr>
              <w:t>2009</w:t>
            </w:r>
          </w:p>
        </w:tc>
        <w:tc>
          <w:tcPr>
            <w:tcW w:w="6396" w:type="dxa"/>
            <w:tcBorders>
              <w:bottom w:val="single" w:sz="18" w:space="0" w:color="800000"/>
            </w:tcBorders>
          </w:tcPr>
          <w:p w:rsidR="003F5784" w14:paraId="585B50B3" w14:textId="77777777">
            <w:pPr>
              <w:pStyle w:val="TableParagraph"/>
              <w:ind w:right="2358"/>
              <w:rPr>
                <w:sz w:val="21"/>
              </w:rPr>
            </w:pPr>
            <w:r>
              <w:rPr>
                <w:spacing w:val="-5"/>
                <w:sz w:val="21"/>
              </w:rPr>
              <w:t>25</w:t>
            </w:r>
          </w:p>
        </w:tc>
        <w:tc>
          <w:tcPr>
            <w:tcW w:w="4287" w:type="dxa"/>
            <w:tcBorders>
              <w:bottom w:val="single" w:sz="18" w:space="0" w:color="800000"/>
            </w:tcBorders>
          </w:tcPr>
          <w:p w:rsidR="003F5784" w14:paraId="4233D239" w14:textId="77777777">
            <w:pPr>
              <w:pStyle w:val="TableParagraph"/>
              <w:ind w:right="116"/>
              <w:rPr>
                <w:sz w:val="21"/>
              </w:rPr>
            </w:pPr>
            <w:r>
              <w:rPr>
                <w:spacing w:val="-10"/>
                <w:sz w:val="21"/>
              </w:rPr>
              <w:t>#</w:t>
            </w:r>
          </w:p>
        </w:tc>
      </w:tr>
      <w:tr w14:paraId="4BACA5B9" w14:textId="77777777">
        <w:tblPrEx>
          <w:tblW w:w="0" w:type="auto"/>
          <w:tblInd w:w="482" w:type="dxa"/>
          <w:tblLayout w:type="fixed"/>
          <w:tblCellMar>
            <w:left w:w="0" w:type="dxa"/>
            <w:right w:w="0" w:type="dxa"/>
          </w:tblCellMar>
          <w:tblLook w:val="01E0"/>
        </w:tblPrEx>
        <w:trPr>
          <w:trHeight w:val="237"/>
        </w:trPr>
        <w:tc>
          <w:tcPr>
            <w:tcW w:w="13983" w:type="dxa"/>
            <w:gridSpan w:val="3"/>
            <w:tcBorders>
              <w:top w:val="single" w:sz="18" w:space="0" w:color="800000"/>
            </w:tcBorders>
          </w:tcPr>
          <w:p w:rsidR="003F5784" w14:paraId="06E9A005"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r>
    </w:tbl>
    <w:p w:rsidR="003F5784" w14:paraId="395E961B" w14:textId="77777777">
      <w:pPr>
        <w:pStyle w:val="BodyText"/>
        <w:spacing w:line="235"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7CB152DC"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39C4C5F2" w14:textId="77777777">
      <w:pPr>
        <w:pStyle w:val="BodyText"/>
        <w:spacing w:before="118"/>
      </w:pPr>
    </w:p>
    <w:p w:rsidR="003F5784" w14:paraId="4CEAB0DA" w14:textId="77777777">
      <w:pPr>
        <w:pStyle w:val="Heading2"/>
      </w:pPr>
      <w:r>
        <w:t>Weighted</w:t>
      </w:r>
      <w:r>
        <w:rPr>
          <w:spacing w:val="-9"/>
        </w:rPr>
        <w:t xml:space="preserve"> </w:t>
      </w:r>
      <w:r>
        <w:t>aggregations</w:t>
      </w:r>
      <w:r>
        <w:rPr>
          <w:spacing w:val="-9"/>
        </w:rPr>
        <w:t xml:space="preserve"> </w:t>
      </w:r>
      <w:r>
        <w:t>and</w:t>
      </w:r>
      <w:r>
        <w:rPr>
          <w:spacing w:val="-8"/>
        </w:rPr>
        <w:t xml:space="preserve"> </w:t>
      </w:r>
      <w:r>
        <w:t>proportions</w:t>
      </w:r>
      <w:r>
        <w:rPr>
          <w:spacing w:val="-9"/>
        </w:rPr>
        <w:t xml:space="preserve"> </w:t>
      </w:r>
      <w:r>
        <w:t>from</w:t>
      </w:r>
      <w:r>
        <w:rPr>
          <w:spacing w:val="-9"/>
        </w:rPr>
        <w:t xml:space="preserve"> </w:t>
      </w:r>
      <w:r>
        <w:t>the</w:t>
      </w:r>
      <w:r>
        <w:rPr>
          <w:spacing w:val="-8"/>
        </w:rPr>
        <w:t xml:space="preserve"> </w:t>
      </w:r>
      <w:r>
        <w:t>grade</w:t>
      </w:r>
      <w:r>
        <w:rPr>
          <w:spacing w:val="-9"/>
        </w:rPr>
        <w:t xml:space="preserve"> </w:t>
      </w:r>
      <w:r>
        <w:t>4</w:t>
      </w:r>
      <w:r>
        <w:rPr>
          <w:spacing w:val="-8"/>
        </w:rPr>
        <w:t xml:space="preserve"> </w:t>
      </w:r>
      <w:r>
        <w:t>reading</w:t>
      </w:r>
      <w:r>
        <w:rPr>
          <w:spacing w:val="-9"/>
        </w:rPr>
        <w:t xml:space="preserve"> </w:t>
      </w:r>
      <w:r>
        <w:t>and</w:t>
      </w:r>
      <w:r>
        <w:rPr>
          <w:spacing w:val="-9"/>
        </w:rPr>
        <w:t xml:space="preserve"> </w:t>
      </w:r>
      <w:r>
        <w:t>mathematics</w:t>
      </w:r>
      <w:r>
        <w:rPr>
          <w:spacing w:val="-8"/>
        </w:rPr>
        <w:t xml:space="preserve"> </w:t>
      </w:r>
      <w:r>
        <w:t>assessments,</w:t>
      </w:r>
      <w:r>
        <w:rPr>
          <w:spacing w:val="-9"/>
        </w:rPr>
        <w:t xml:space="preserve"> </w:t>
      </w:r>
      <w:r>
        <w:t>public</w:t>
      </w:r>
      <w:r>
        <w:rPr>
          <w:spacing w:val="-8"/>
        </w:rPr>
        <w:t xml:space="preserve"> </w:t>
      </w:r>
      <w:r>
        <w:t>schools</w:t>
      </w:r>
      <w:r>
        <w:rPr>
          <w:spacing w:val="-9"/>
        </w:rPr>
        <w:t xml:space="preserve"> </w:t>
      </w:r>
      <w:r>
        <w:t>Midwest</w:t>
      </w:r>
      <w:r>
        <w:rPr>
          <w:spacing w:val="-9"/>
        </w:rPr>
        <w:t xml:space="preserve"> </w:t>
      </w:r>
      <w:r>
        <w:t>region,</w:t>
      </w:r>
      <w:r>
        <w:rPr>
          <w:spacing w:val="-8"/>
        </w:rPr>
        <w:t xml:space="preserve"> </w:t>
      </w:r>
      <w:r>
        <w:t>by</w:t>
      </w:r>
      <w:r>
        <w:rPr>
          <w:spacing w:val="-9"/>
        </w:rPr>
        <w:t xml:space="preserve"> </w:t>
      </w:r>
      <w:r>
        <w:t>year</w:t>
      </w:r>
      <w:r>
        <w:rPr>
          <w:spacing w:val="-12"/>
        </w:rPr>
        <w:t xml:space="preserve"> </w:t>
      </w:r>
      <w:r>
        <w:t>of</w:t>
      </w:r>
      <w:r>
        <w:rPr>
          <w:spacing w:val="-8"/>
        </w:rPr>
        <w:t xml:space="preserve"> </w:t>
      </w:r>
      <w:r>
        <w:t>birth:</w:t>
      </w:r>
      <w:r>
        <w:rPr>
          <w:spacing w:val="-9"/>
        </w:rPr>
        <w:t xml:space="preserve"> </w:t>
      </w:r>
      <w:r>
        <w:rPr>
          <w:spacing w:val="-4"/>
        </w:rPr>
        <w:t>2017</w:t>
      </w:r>
    </w:p>
    <w:p w:rsidR="003F5784" w14:paraId="628F702A"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3300"/>
        <w:gridCol w:w="6396"/>
        <w:gridCol w:w="4287"/>
      </w:tblGrid>
      <w:tr w14:paraId="1E52CB10" w14:textId="77777777">
        <w:tblPrEx>
          <w:tblW w:w="0" w:type="auto"/>
          <w:tblInd w:w="482" w:type="dxa"/>
          <w:tblLayout w:type="fixed"/>
          <w:tblCellMar>
            <w:left w:w="0" w:type="dxa"/>
            <w:right w:w="0" w:type="dxa"/>
          </w:tblCellMar>
          <w:tblLook w:val="01E0"/>
        </w:tblPrEx>
        <w:trPr>
          <w:trHeight w:val="267"/>
        </w:trPr>
        <w:tc>
          <w:tcPr>
            <w:tcW w:w="3300" w:type="dxa"/>
            <w:tcBorders>
              <w:top w:val="single" w:sz="18" w:space="0" w:color="800000"/>
              <w:bottom w:val="single" w:sz="18" w:space="0" w:color="800000"/>
            </w:tcBorders>
          </w:tcPr>
          <w:p w:rsidR="003F5784" w14:paraId="33CED459" w14:textId="77777777">
            <w:pPr>
              <w:pStyle w:val="TableParagraph"/>
              <w:spacing w:before="9" w:line="238" w:lineRule="exact"/>
              <w:ind w:left="120"/>
              <w:jc w:val="left"/>
              <w:rPr>
                <w:sz w:val="21"/>
              </w:rPr>
            </w:pPr>
            <w:r>
              <w:rPr>
                <w:spacing w:val="-2"/>
                <w:sz w:val="21"/>
              </w:rPr>
              <w:t>Year</w:t>
            </w:r>
            <w:r>
              <w:rPr>
                <w:spacing w:val="-9"/>
                <w:sz w:val="21"/>
              </w:rPr>
              <w:t xml:space="preserve"> </w:t>
            </w:r>
            <w:r>
              <w:rPr>
                <w:spacing w:val="-2"/>
                <w:sz w:val="21"/>
              </w:rPr>
              <w:t>of</w:t>
            </w:r>
            <w:r>
              <w:rPr>
                <w:spacing w:val="-8"/>
                <w:sz w:val="21"/>
              </w:rPr>
              <w:t xml:space="preserve"> </w:t>
            </w:r>
            <w:r>
              <w:rPr>
                <w:spacing w:val="-2"/>
                <w:sz w:val="21"/>
              </w:rPr>
              <w:t>birth</w:t>
            </w:r>
          </w:p>
        </w:tc>
        <w:tc>
          <w:tcPr>
            <w:tcW w:w="6396" w:type="dxa"/>
            <w:tcBorders>
              <w:top w:val="single" w:sz="18" w:space="0" w:color="800000"/>
              <w:bottom w:val="single" w:sz="18" w:space="0" w:color="800000"/>
            </w:tcBorders>
          </w:tcPr>
          <w:p w:rsidR="003F5784" w14:paraId="20B5330D" w14:textId="77777777">
            <w:pPr>
              <w:pStyle w:val="TableParagraph"/>
              <w:spacing w:before="9" w:line="238" w:lineRule="exact"/>
              <w:ind w:right="2358"/>
              <w:rPr>
                <w:sz w:val="21"/>
              </w:rPr>
            </w:pPr>
            <w:r>
              <w:rPr>
                <w:spacing w:val="-2"/>
                <w:sz w:val="21"/>
              </w:rPr>
              <w:t>Weighted</w:t>
            </w:r>
            <w:r>
              <w:rPr>
                <w:spacing w:val="-11"/>
                <w:sz w:val="21"/>
              </w:rPr>
              <w:t xml:space="preserve"> </w:t>
            </w:r>
            <w:r>
              <w:rPr>
                <w:spacing w:val="-2"/>
                <w:sz w:val="21"/>
              </w:rPr>
              <w:t>aggregations</w:t>
            </w:r>
          </w:p>
        </w:tc>
        <w:tc>
          <w:tcPr>
            <w:tcW w:w="4287" w:type="dxa"/>
            <w:tcBorders>
              <w:top w:val="single" w:sz="18" w:space="0" w:color="800000"/>
              <w:bottom w:val="single" w:sz="18" w:space="0" w:color="800000"/>
            </w:tcBorders>
          </w:tcPr>
          <w:p w:rsidR="003F5784" w14:paraId="62742F98" w14:textId="77777777">
            <w:pPr>
              <w:pStyle w:val="TableParagraph"/>
              <w:spacing w:before="9" w:line="238" w:lineRule="exact"/>
              <w:ind w:right="116"/>
              <w:rPr>
                <w:sz w:val="21"/>
              </w:rPr>
            </w:pPr>
            <w:r>
              <w:rPr>
                <w:spacing w:val="-2"/>
                <w:sz w:val="21"/>
              </w:rPr>
              <w:t>Weighted</w:t>
            </w:r>
            <w:r>
              <w:rPr>
                <w:spacing w:val="-11"/>
                <w:sz w:val="21"/>
              </w:rPr>
              <w:t xml:space="preserve"> </w:t>
            </w:r>
            <w:r>
              <w:rPr>
                <w:spacing w:val="-2"/>
                <w:sz w:val="21"/>
              </w:rPr>
              <w:t>proportions</w:t>
            </w:r>
          </w:p>
        </w:tc>
      </w:tr>
      <w:tr w14:paraId="0C8D9E3B" w14:textId="77777777">
        <w:tblPrEx>
          <w:tblW w:w="0" w:type="auto"/>
          <w:tblInd w:w="482" w:type="dxa"/>
          <w:tblLayout w:type="fixed"/>
          <w:tblCellMar>
            <w:left w:w="0" w:type="dxa"/>
            <w:right w:w="0" w:type="dxa"/>
          </w:tblCellMar>
          <w:tblLook w:val="01E0"/>
        </w:tblPrEx>
        <w:trPr>
          <w:trHeight w:val="278"/>
        </w:trPr>
        <w:tc>
          <w:tcPr>
            <w:tcW w:w="3300" w:type="dxa"/>
            <w:tcBorders>
              <w:top w:val="single" w:sz="18" w:space="0" w:color="800000"/>
            </w:tcBorders>
          </w:tcPr>
          <w:p w:rsidR="003F5784" w14:paraId="6944ED6A" w14:textId="77777777">
            <w:pPr>
              <w:pStyle w:val="TableParagraph"/>
              <w:spacing w:before="9"/>
              <w:ind w:left="370"/>
              <w:jc w:val="left"/>
              <w:rPr>
                <w:b/>
                <w:sz w:val="21"/>
              </w:rPr>
            </w:pPr>
            <w:r>
              <w:rPr>
                <w:b/>
                <w:spacing w:val="-2"/>
                <w:sz w:val="21"/>
              </w:rPr>
              <w:t>Total</w:t>
            </w:r>
          </w:p>
        </w:tc>
        <w:tc>
          <w:tcPr>
            <w:tcW w:w="6396" w:type="dxa"/>
            <w:tcBorders>
              <w:top w:val="single" w:sz="18" w:space="0" w:color="800000"/>
            </w:tcBorders>
          </w:tcPr>
          <w:p w:rsidR="003F5784" w14:paraId="1454FC16" w14:textId="77777777">
            <w:pPr>
              <w:pStyle w:val="TableParagraph"/>
              <w:spacing w:before="9"/>
              <w:ind w:right="2358"/>
              <w:rPr>
                <w:b/>
                <w:sz w:val="21"/>
              </w:rPr>
            </w:pPr>
            <w:r>
              <w:rPr>
                <w:b/>
                <w:spacing w:val="-2"/>
                <w:sz w:val="21"/>
              </w:rPr>
              <w:t>765,000</w:t>
            </w:r>
          </w:p>
        </w:tc>
        <w:tc>
          <w:tcPr>
            <w:tcW w:w="4287" w:type="dxa"/>
            <w:tcBorders>
              <w:top w:val="single" w:sz="18" w:space="0" w:color="800000"/>
            </w:tcBorders>
          </w:tcPr>
          <w:p w:rsidR="003F5784" w14:paraId="1B57A625" w14:textId="77777777">
            <w:pPr>
              <w:pStyle w:val="TableParagraph"/>
              <w:spacing w:before="9"/>
              <w:ind w:right="116"/>
              <w:rPr>
                <w:b/>
                <w:sz w:val="21"/>
              </w:rPr>
            </w:pPr>
            <w:r>
              <w:rPr>
                <w:b/>
                <w:spacing w:val="-4"/>
                <w:sz w:val="21"/>
              </w:rPr>
              <w:t>1.00</w:t>
            </w:r>
          </w:p>
        </w:tc>
      </w:tr>
      <w:tr w14:paraId="69993DDD" w14:textId="77777777">
        <w:tblPrEx>
          <w:tblW w:w="0" w:type="auto"/>
          <w:tblInd w:w="482" w:type="dxa"/>
          <w:tblLayout w:type="fixed"/>
          <w:tblCellMar>
            <w:left w:w="0" w:type="dxa"/>
            <w:right w:w="0" w:type="dxa"/>
          </w:tblCellMar>
          <w:tblLook w:val="01E0"/>
        </w:tblPrEx>
        <w:trPr>
          <w:trHeight w:val="288"/>
        </w:trPr>
        <w:tc>
          <w:tcPr>
            <w:tcW w:w="3300" w:type="dxa"/>
            <w:tcBorders>
              <w:bottom w:val="single" w:sz="18" w:space="0" w:color="800000"/>
            </w:tcBorders>
          </w:tcPr>
          <w:p w:rsidR="003F5784" w14:paraId="2FFBE72C" w14:textId="77777777">
            <w:pPr>
              <w:pStyle w:val="TableParagraph"/>
              <w:ind w:left="120"/>
              <w:jc w:val="left"/>
              <w:rPr>
                <w:sz w:val="21"/>
              </w:rPr>
            </w:pPr>
            <w:r>
              <w:rPr>
                <w:spacing w:val="-4"/>
                <w:sz w:val="21"/>
              </w:rPr>
              <w:t>2003</w:t>
            </w:r>
          </w:p>
        </w:tc>
        <w:tc>
          <w:tcPr>
            <w:tcW w:w="6396" w:type="dxa"/>
            <w:tcBorders>
              <w:bottom w:val="single" w:sz="18" w:space="0" w:color="800000"/>
            </w:tcBorders>
          </w:tcPr>
          <w:p w:rsidR="003F5784" w14:paraId="6DE03D20" w14:textId="77777777">
            <w:pPr>
              <w:pStyle w:val="TableParagraph"/>
              <w:ind w:right="2358"/>
              <w:rPr>
                <w:sz w:val="21"/>
              </w:rPr>
            </w:pPr>
            <w:r>
              <w:rPr>
                <w:spacing w:val="-5"/>
                <w:sz w:val="21"/>
              </w:rPr>
              <w:t>16</w:t>
            </w:r>
          </w:p>
        </w:tc>
        <w:tc>
          <w:tcPr>
            <w:tcW w:w="4287" w:type="dxa"/>
            <w:tcBorders>
              <w:bottom w:val="single" w:sz="18" w:space="0" w:color="800000"/>
            </w:tcBorders>
          </w:tcPr>
          <w:p w:rsidR="003F5784" w14:paraId="4E95F307" w14:textId="77777777">
            <w:pPr>
              <w:pStyle w:val="TableParagraph"/>
              <w:ind w:right="116"/>
              <w:rPr>
                <w:sz w:val="21"/>
              </w:rPr>
            </w:pPr>
            <w:r>
              <w:rPr>
                <w:spacing w:val="-10"/>
                <w:sz w:val="21"/>
              </w:rPr>
              <w:t>#</w:t>
            </w:r>
          </w:p>
        </w:tc>
      </w:tr>
      <w:tr w14:paraId="603B88C3" w14:textId="77777777">
        <w:tblPrEx>
          <w:tblW w:w="0" w:type="auto"/>
          <w:tblInd w:w="482" w:type="dxa"/>
          <w:tblLayout w:type="fixed"/>
          <w:tblCellMar>
            <w:left w:w="0" w:type="dxa"/>
            <w:right w:w="0" w:type="dxa"/>
          </w:tblCellMar>
          <w:tblLook w:val="01E0"/>
        </w:tblPrEx>
        <w:trPr>
          <w:trHeight w:val="237"/>
        </w:trPr>
        <w:tc>
          <w:tcPr>
            <w:tcW w:w="13983" w:type="dxa"/>
            <w:gridSpan w:val="3"/>
            <w:tcBorders>
              <w:top w:val="single" w:sz="18" w:space="0" w:color="800000"/>
            </w:tcBorders>
          </w:tcPr>
          <w:p w:rsidR="003F5784" w14:paraId="36E73DD3"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r>
    </w:tbl>
    <w:p w:rsidR="003F5784" w14:paraId="66FA9B1F" w14:textId="77777777">
      <w:pPr>
        <w:pStyle w:val="BodyText"/>
        <w:spacing w:line="231"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371DDEE3"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0FFC7027" w14:textId="77777777">
      <w:pPr>
        <w:spacing w:line="232" w:lineRule="auto"/>
        <w:sectPr>
          <w:pgSz w:w="15840" w:h="12240" w:orient="landscape"/>
          <w:pgMar w:top="480" w:right="440" w:bottom="460" w:left="460" w:header="284" w:footer="275" w:gutter="0"/>
          <w:cols w:space="720"/>
        </w:sectPr>
      </w:pPr>
    </w:p>
    <w:tbl>
      <w:tblPr>
        <w:tblW w:w="0" w:type="auto"/>
        <w:tblInd w:w="482" w:type="dxa"/>
        <w:tblLayout w:type="fixed"/>
        <w:tblCellMar>
          <w:left w:w="0" w:type="dxa"/>
          <w:right w:w="0" w:type="dxa"/>
        </w:tblCellMar>
        <w:tblLook w:val="01E0"/>
      </w:tblPr>
      <w:tblGrid>
        <w:gridCol w:w="3598"/>
        <w:gridCol w:w="6820"/>
        <w:gridCol w:w="3566"/>
      </w:tblGrid>
      <w:tr w14:paraId="5075661E" w14:textId="77777777">
        <w:tblPrEx>
          <w:tblW w:w="0" w:type="auto"/>
          <w:tblInd w:w="482" w:type="dxa"/>
          <w:tblLayout w:type="fixed"/>
          <w:tblCellMar>
            <w:left w:w="0" w:type="dxa"/>
            <w:right w:w="0" w:type="dxa"/>
          </w:tblCellMar>
          <w:tblLook w:val="01E0"/>
        </w:tblPrEx>
        <w:trPr>
          <w:trHeight w:val="278"/>
        </w:trPr>
        <w:tc>
          <w:tcPr>
            <w:tcW w:w="3598" w:type="dxa"/>
            <w:tcBorders>
              <w:top w:val="single" w:sz="18" w:space="0" w:color="800000"/>
            </w:tcBorders>
          </w:tcPr>
          <w:p w:rsidR="003F5784" w14:paraId="626738CB" w14:textId="77777777">
            <w:pPr>
              <w:pStyle w:val="TableParagraph"/>
              <w:spacing w:before="9"/>
              <w:ind w:left="120"/>
              <w:jc w:val="left"/>
              <w:rPr>
                <w:sz w:val="21"/>
              </w:rPr>
            </w:pPr>
            <w:r>
              <w:rPr>
                <w:spacing w:val="-4"/>
                <w:sz w:val="21"/>
              </w:rPr>
              <w:t>2004</w:t>
            </w:r>
          </w:p>
        </w:tc>
        <w:tc>
          <w:tcPr>
            <w:tcW w:w="6820" w:type="dxa"/>
            <w:tcBorders>
              <w:top w:val="single" w:sz="18" w:space="0" w:color="800000"/>
            </w:tcBorders>
          </w:tcPr>
          <w:p w:rsidR="003F5784" w14:paraId="2CFABF87" w14:textId="77777777">
            <w:pPr>
              <w:pStyle w:val="TableParagraph"/>
              <w:spacing w:before="9"/>
              <w:ind w:right="3080"/>
              <w:rPr>
                <w:sz w:val="21"/>
              </w:rPr>
            </w:pPr>
            <w:r>
              <w:rPr>
                <w:spacing w:val="-5"/>
                <w:sz w:val="21"/>
              </w:rPr>
              <w:t>319</w:t>
            </w:r>
          </w:p>
        </w:tc>
        <w:tc>
          <w:tcPr>
            <w:tcW w:w="3566" w:type="dxa"/>
            <w:tcBorders>
              <w:top w:val="single" w:sz="18" w:space="0" w:color="800000"/>
            </w:tcBorders>
          </w:tcPr>
          <w:p w:rsidR="003F5784" w14:paraId="2A927A95" w14:textId="77777777">
            <w:pPr>
              <w:pStyle w:val="TableParagraph"/>
              <w:spacing w:before="9"/>
              <w:ind w:right="117"/>
              <w:rPr>
                <w:sz w:val="21"/>
              </w:rPr>
            </w:pPr>
            <w:r>
              <w:rPr>
                <w:spacing w:val="-10"/>
                <w:sz w:val="21"/>
              </w:rPr>
              <w:t>#</w:t>
            </w:r>
          </w:p>
        </w:tc>
      </w:tr>
      <w:tr w14:paraId="62FC51F0" w14:textId="77777777">
        <w:tblPrEx>
          <w:tblW w:w="0" w:type="auto"/>
          <w:tblInd w:w="482" w:type="dxa"/>
          <w:tblLayout w:type="fixed"/>
          <w:tblCellMar>
            <w:left w:w="0" w:type="dxa"/>
            <w:right w:w="0" w:type="dxa"/>
          </w:tblCellMar>
          <w:tblLook w:val="01E0"/>
        </w:tblPrEx>
        <w:trPr>
          <w:trHeight w:val="286"/>
        </w:trPr>
        <w:tc>
          <w:tcPr>
            <w:tcW w:w="3598" w:type="dxa"/>
          </w:tcPr>
          <w:p w:rsidR="003F5784" w14:paraId="42DB6B62" w14:textId="77777777">
            <w:pPr>
              <w:pStyle w:val="TableParagraph"/>
              <w:ind w:left="120"/>
              <w:jc w:val="left"/>
              <w:rPr>
                <w:sz w:val="21"/>
              </w:rPr>
            </w:pPr>
            <w:r>
              <w:rPr>
                <w:spacing w:val="-4"/>
                <w:sz w:val="21"/>
              </w:rPr>
              <w:t>2005</w:t>
            </w:r>
          </w:p>
        </w:tc>
        <w:tc>
          <w:tcPr>
            <w:tcW w:w="6820" w:type="dxa"/>
          </w:tcPr>
          <w:p w:rsidR="003F5784" w14:paraId="76B36A50" w14:textId="77777777">
            <w:pPr>
              <w:pStyle w:val="TableParagraph"/>
              <w:ind w:right="3080"/>
              <w:rPr>
                <w:sz w:val="21"/>
              </w:rPr>
            </w:pPr>
            <w:r>
              <w:rPr>
                <w:spacing w:val="-2"/>
                <w:sz w:val="21"/>
              </w:rPr>
              <w:t>11,000</w:t>
            </w:r>
          </w:p>
        </w:tc>
        <w:tc>
          <w:tcPr>
            <w:tcW w:w="3566" w:type="dxa"/>
          </w:tcPr>
          <w:p w:rsidR="003F5784" w14:paraId="5C02657D" w14:textId="77777777">
            <w:pPr>
              <w:pStyle w:val="TableParagraph"/>
              <w:ind w:right="117"/>
              <w:rPr>
                <w:sz w:val="21"/>
              </w:rPr>
            </w:pPr>
            <w:r>
              <w:rPr>
                <w:spacing w:val="-4"/>
                <w:sz w:val="21"/>
              </w:rPr>
              <w:t>0.01</w:t>
            </w:r>
          </w:p>
        </w:tc>
      </w:tr>
      <w:tr w14:paraId="6290A682" w14:textId="77777777">
        <w:tblPrEx>
          <w:tblW w:w="0" w:type="auto"/>
          <w:tblInd w:w="482" w:type="dxa"/>
          <w:tblLayout w:type="fixed"/>
          <w:tblCellMar>
            <w:left w:w="0" w:type="dxa"/>
            <w:right w:w="0" w:type="dxa"/>
          </w:tblCellMar>
          <w:tblLook w:val="01E0"/>
        </w:tblPrEx>
        <w:trPr>
          <w:trHeight w:val="286"/>
        </w:trPr>
        <w:tc>
          <w:tcPr>
            <w:tcW w:w="3598" w:type="dxa"/>
          </w:tcPr>
          <w:p w:rsidR="003F5784" w14:paraId="04E042C0" w14:textId="77777777">
            <w:pPr>
              <w:pStyle w:val="TableParagraph"/>
              <w:ind w:left="120"/>
              <w:jc w:val="left"/>
              <w:rPr>
                <w:sz w:val="21"/>
              </w:rPr>
            </w:pPr>
            <w:r>
              <w:rPr>
                <w:spacing w:val="-4"/>
                <w:sz w:val="21"/>
              </w:rPr>
              <w:t>2006</w:t>
            </w:r>
          </w:p>
        </w:tc>
        <w:tc>
          <w:tcPr>
            <w:tcW w:w="6820" w:type="dxa"/>
          </w:tcPr>
          <w:p w:rsidR="003F5784" w14:paraId="2A6D7C12" w14:textId="77777777">
            <w:pPr>
              <w:pStyle w:val="TableParagraph"/>
              <w:ind w:right="3080"/>
              <w:rPr>
                <w:sz w:val="21"/>
              </w:rPr>
            </w:pPr>
            <w:r>
              <w:rPr>
                <w:spacing w:val="-2"/>
                <w:sz w:val="21"/>
              </w:rPr>
              <w:t>304,000</w:t>
            </w:r>
          </w:p>
        </w:tc>
        <w:tc>
          <w:tcPr>
            <w:tcW w:w="3566" w:type="dxa"/>
          </w:tcPr>
          <w:p w:rsidR="003F5784" w14:paraId="453D7A7B" w14:textId="77777777">
            <w:pPr>
              <w:pStyle w:val="TableParagraph"/>
              <w:ind w:right="117"/>
              <w:rPr>
                <w:sz w:val="21"/>
              </w:rPr>
            </w:pPr>
            <w:r>
              <w:rPr>
                <w:spacing w:val="-4"/>
                <w:sz w:val="21"/>
              </w:rPr>
              <w:t>0.40</w:t>
            </w:r>
          </w:p>
        </w:tc>
      </w:tr>
      <w:tr w14:paraId="0ED4FB24" w14:textId="77777777">
        <w:tblPrEx>
          <w:tblW w:w="0" w:type="auto"/>
          <w:tblInd w:w="482" w:type="dxa"/>
          <w:tblLayout w:type="fixed"/>
          <w:tblCellMar>
            <w:left w:w="0" w:type="dxa"/>
            <w:right w:w="0" w:type="dxa"/>
          </w:tblCellMar>
          <w:tblLook w:val="01E0"/>
        </w:tblPrEx>
        <w:trPr>
          <w:trHeight w:val="286"/>
        </w:trPr>
        <w:tc>
          <w:tcPr>
            <w:tcW w:w="3598" w:type="dxa"/>
          </w:tcPr>
          <w:p w:rsidR="003F5784" w14:paraId="6250C3A8" w14:textId="77777777">
            <w:pPr>
              <w:pStyle w:val="TableParagraph"/>
              <w:ind w:left="120"/>
              <w:jc w:val="left"/>
              <w:rPr>
                <w:sz w:val="21"/>
              </w:rPr>
            </w:pPr>
            <w:r>
              <w:rPr>
                <w:spacing w:val="-4"/>
                <w:sz w:val="21"/>
              </w:rPr>
              <w:t>2007</w:t>
            </w:r>
          </w:p>
        </w:tc>
        <w:tc>
          <w:tcPr>
            <w:tcW w:w="6820" w:type="dxa"/>
          </w:tcPr>
          <w:p w:rsidR="003F5784" w14:paraId="4F6EFC97" w14:textId="77777777">
            <w:pPr>
              <w:pStyle w:val="TableParagraph"/>
              <w:ind w:right="3080"/>
              <w:rPr>
                <w:sz w:val="21"/>
              </w:rPr>
            </w:pPr>
            <w:r>
              <w:rPr>
                <w:spacing w:val="-2"/>
                <w:sz w:val="21"/>
              </w:rPr>
              <w:t>448,000</w:t>
            </w:r>
          </w:p>
        </w:tc>
        <w:tc>
          <w:tcPr>
            <w:tcW w:w="3566" w:type="dxa"/>
          </w:tcPr>
          <w:p w:rsidR="003F5784" w14:paraId="6FDD10A8" w14:textId="77777777">
            <w:pPr>
              <w:pStyle w:val="TableParagraph"/>
              <w:ind w:right="117"/>
              <w:rPr>
                <w:sz w:val="21"/>
              </w:rPr>
            </w:pPr>
            <w:r>
              <w:rPr>
                <w:spacing w:val="-4"/>
                <w:sz w:val="21"/>
              </w:rPr>
              <w:t>0.59</w:t>
            </w:r>
          </w:p>
        </w:tc>
      </w:tr>
      <w:tr w14:paraId="1D4EF28E" w14:textId="77777777">
        <w:tblPrEx>
          <w:tblW w:w="0" w:type="auto"/>
          <w:tblInd w:w="482" w:type="dxa"/>
          <w:tblLayout w:type="fixed"/>
          <w:tblCellMar>
            <w:left w:w="0" w:type="dxa"/>
            <w:right w:w="0" w:type="dxa"/>
          </w:tblCellMar>
          <w:tblLook w:val="01E0"/>
        </w:tblPrEx>
        <w:trPr>
          <w:trHeight w:val="286"/>
        </w:trPr>
        <w:tc>
          <w:tcPr>
            <w:tcW w:w="3598" w:type="dxa"/>
          </w:tcPr>
          <w:p w:rsidR="003F5784" w14:paraId="1BB33C2B" w14:textId="77777777">
            <w:pPr>
              <w:pStyle w:val="TableParagraph"/>
              <w:ind w:left="120"/>
              <w:jc w:val="left"/>
              <w:rPr>
                <w:sz w:val="21"/>
              </w:rPr>
            </w:pPr>
            <w:r>
              <w:rPr>
                <w:spacing w:val="-4"/>
                <w:sz w:val="21"/>
              </w:rPr>
              <w:t>2008</w:t>
            </w:r>
          </w:p>
        </w:tc>
        <w:tc>
          <w:tcPr>
            <w:tcW w:w="6820" w:type="dxa"/>
          </w:tcPr>
          <w:p w:rsidR="003F5784" w14:paraId="4617F7EA" w14:textId="77777777">
            <w:pPr>
              <w:pStyle w:val="TableParagraph"/>
              <w:ind w:right="3080"/>
              <w:rPr>
                <w:sz w:val="21"/>
              </w:rPr>
            </w:pPr>
            <w:r>
              <w:rPr>
                <w:spacing w:val="-5"/>
                <w:sz w:val="21"/>
              </w:rPr>
              <w:t>832</w:t>
            </w:r>
          </w:p>
        </w:tc>
        <w:tc>
          <w:tcPr>
            <w:tcW w:w="3566" w:type="dxa"/>
          </w:tcPr>
          <w:p w:rsidR="003F5784" w14:paraId="208EB1FD" w14:textId="77777777">
            <w:pPr>
              <w:pStyle w:val="TableParagraph"/>
              <w:ind w:right="117"/>
              <w:rPr>
                <w:sz w:val="21"/>
              </w:rPr>
            </w:pPr>
            <w:r>
              <w:rPr>
                <w:spacing w:val="-10"/>
                <w:sz w:val="21"/>
              </w:rPr>
              <w:t>#</w:t>
            </w:r>
          </w:p>
        </w:tc>
      </w:tr>
      <w:tr w14:paraId="6670F17B" w14:textId="77777777">
        <w:tblPrEx>
          <w:tblW w:w="0" w:type="auto"/>
          <w:tblInd w:w="482" w:type="dxa"/>
          <w:tblLayout w:type="fixed"/>
          <w:tblCellMar>
            <w:left w:w="0" w:type="dxa"/>
            <w:right w:w="0" w:type="dxa"/>
          </w:tblCellMar>
          <w:tblLook w:val="01E0"/>
        </w:tblPrEx>
        <w:trPr>
          <w:trHeight w:val="288"/>
        </w:trPr>
        <w:tc>
          <w:tcPr>
            <w:tcW w:w="3598" w:type="dxa"/>
            <w:tcBorders>
              <w:bottom w:val="single" w:sz="18" w:space="0" w:color="800000"/>
            </w:tcBorders>
          </w:tcPr>
          <w:p w:rsidR="003F5784" w14:paraId="78BBFB89" w14:textId="77777777">
            <w:pPr>
              <w:pStyle w:val="TableParagraph"/>
              <w:ind w:left="120"/>
              <w:jc w:val="left"/>
              <w:rPr>
                <w:sz w:val="21"/>
              </w:rPr>
            </w:pPr>
            <w:r>
              <w:rPr>
                <w:spacing w:val="-4"/>
                <w:sz w:val="21"/>
              </w:rPr>
              <w:t>2009</w:t>
            </w:r>
          </w:p>
        </w:tc>
        <w:tc>
          <w:tcPr>
            <w:tcW w:w="6820" w:type="dxa"/>
            <w:tcBorders>
              <w:bottom w:val="single" w:sz="18" w:space="0" w:color="800000"/>
            </w:tcBorders>
          </w:tcPr>
          <w:p w:rsidR="003F5784" w14:paraId="5EADC1AF" w14:textId="77777777">
            <w:pPr>
              <w:pStyle w:val="TableParagraph"/>
              <w:ind w:right="3080"/>
              <w:rPr>
                <w:sz w:val="21"/>
              </w:rPr>
            </w:pPr>
            <w:r>
              <w:rPr>
                <w:spacing w:val="-5"/>
                <w:sz w:val="21"/>
              </w:rPr>
              <w:t>55</w:t>
            </w:r>
          </w:p>
        </w:tc>
        <w:tc>
          <w:tcPr>
            <w:tcW w:w="3566" w:type="dxa"/>
            <w:tcBorders>
              <w:bottom w:val="single" w:sz="18" w:space="0" w:color="800000"/>
            </w:tcBorders>
          </w:tcPr>
          <w:p w:rsidR="003F5784" w14:paraId="4AEC4DC9" w14:textId="77777777">
            <w:pPr>
              <w:pStyle w:val="TableParagraph"/>
              <w:ind w:right="117"/>
              <w:rPr>
                <w:sz w:val="21"/>
              </w:rPr>
            </w:pPr>
            <w:r>
              <w:rPr>
                <w:spacing w:val="-10"/>
                <w:sz w:val="21"/>
              </w:rPr>
              <w:t>#</w:t>
            </w:r>
          </w:p>
        </w:tc>
      </w:tr>
    </w:tbl>
    <w:p w:rsidR="003F5784" w14:paraId="15ECF73E" w14:textId="77777777">
      <w:pPr>
        <w:pStyle w:val="BodyText"/>
        <w:spacing w:before="18" w:line="238" w:lineRule="exact"/>
        <w:ind w:left="595"/>
      </w:pPr>
      <w:r>
        <w:t>#</w:t>
      </w:r>
      <w:r>
        <w:rPr>
          <w:spacing w:val="-5"/>
        </w:rPr>
        <w:t xml:space="preserve"> </w:t>
      </w:r>
      <w:r>
        <w:t>Rounds</w:t>
      </w:r>
      <w:r>
        <w:rPr>
          <w:spacing w:val="-4"/>
        </w:rPr>
        <w:t xml:space="preserve"> </w:t>
      </w:r>
      <w:r>
        <w:t>to</w:t>
      </w:r>
      <w:r>
        <w:rPr>
          <w:spacing w:val="-4"/>
        </w:rPr>
        <w:t xml:space="preserve"> </w:t>
      </w:r>
      <w:r>
        <w:rPr>
          <w:spacing w:val="-2"/>
        </w:rPr>
        <w:t>zero.</w:t>
      </w:r>
    </w:p>
    <w:p w:rsidR="003F5784" w14:paraId="3ED5CD28" w14:textId="77777777">
      <w:pPr>
        <w:pStyle w:val="BodyText"/>
        <w:spacing w:line="235"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2B2C43E3"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5C351276" w14:textId="77777777">
      <w:pPr>
        <w:pStyle w:val="BodyText"/>
        <w:spacing w:before="118"/>
      </w:pPr>
    </w:p>
    <w:p w:rsidR="003F5784" w14:paraId="7B121F24" w14:textId="77777777">
      <w:pPr>
        <w:pStyle w:val="Heading2"/>
      </w:pPr>
      <w:r>
        <w:t>Weighted</w:t>
      </w:r>
      <w:r>
        <w:rPr>
          <w:spacing w:val="-9"/>
        </w:rPr>
        <w:t xml:space="preserve"> </w:t>
      </w:r>
      <w:r>
        <w:t>aggregations</w:t>
      </w:r>
      <w:r>
        <w:rPr>
          <w:spacing w:val="-8"/>
        </w:rPr>
        <w:t xml:space="preserve"> </w:t>
      </w:r>
      <w:r>
        <w:t>and</w:t>
      </w:r>
      <w:r>
        <w:rPr>
          <w:spacing w:val="-9"/>
        </w:rPr>
        <w:t xml:space="preserve"> </w:t>
      </w:r>
      <w:r>
        <w:t>proportions</w:t>
      </w:r>
      <w:r>
        <w:rPr>
          <w:spacing w:val="-8"/>
        </w:rPr>
        <w:t xml:space="preserve"> </w:t>
      </w:r>
      <w:r>
        <w:t>from</w:t>
      </w:r>
      <w:r>
        <w:rPr>
          <w:spacing w:val="-9"/>
        </w:rPr>
        <w:t xml:space="preserve"> </w:t>
      </w:r>
      <w:r>
        <w:t>the</w:t>
      </w:r>
      <w:r>
        <w:rPr>
          <w:spacing w:val="-8"/>
        </w:rPr>
        <w:t xml:space="preserve"> </w:t>
      </w:r>
      <w:r>
        <w:t>grade</w:t>
      </w:r>
      <w:r>
        <w:rPr>
          <w:spacing w:val="-9"/>
        </w:rPr>
        <w:t xml:space="preserve"> </w:t>
      </w:r>
      <w:r>
        <w:t>4</w:t>
      </w:r>
      <w:r>
        <w:rPr>
          <w:spacing w:val="-8"/>
        </w:rPr>
        <w:t xml:space="preserve"> </w:t>
      </w:r>
      <w:r>
        <w:t>reading</w:t>
      </w:r>
      <w:r>
        <w:rPr>
          <w:spacing w:val="-9"/>
        </w:rPr>
        <w:t xml:space="preserve"> </w:t>
      </w:r>
      <w:r>
        <w:t>and</w:t>
      </w:r>
      <w:r>
        <w:rPr>
          <w:spacing w:val="-8"/>
        </w:rPr>
        <w:t xml:space="preserve"> </w:t>
      </w:r>
      <w:r>
        <w:t>mathematics</w:t>
      </w:r>
      <w:r>
        <w:rPr>
          <w:spacing w:val="-9"/>
        </w:rPr>
        <w:t xml:space="preserve"> </w:t>
      </w:r>
      <w:r>
        <w:t>assessments,</w:t>
      </w:r>
      <w:r>
        <w:rPr>
          <w:spacing w:val="-8"/>
        </w:rPr>
        <w:t xml:space="preserve"> </w:t>
      </w:r>
      <w:r>
        <w:t>public</w:t>
      </w:r>
      <w:r>
        <w:rPr>
          <w:spacing w:val="-9"/>
        </w:rPr>
        <w:t xml:space="preserve"> </w:t>
      </w:r>
      <w:r>
        <w:t>schools</w:t>
      </w:r>
      <w:r>
        <w:rPr>
          <w:spacing w:val="-8"/>
        </w:rPr>
        <w:t xml:space="preserve"> </w:t>
      </w:r>
      <w:r>
        <w:t>South</w:t>
      </w:r>
      <w:r>
        <w:rPr>
          <w:spacing w:val="-9"/>
        </w:rPr>
        <w:t xml:space="preserve"> </w:t>
      </w:r>
      <w:r>
        <w:t>region,</w:t>
      </w:r>
      <w:r>
        <w:rPr>
          <w:spacing w:val="-8"/>
        </w:rPr>
        <w:t xml:space="preserve"> </w:t>
      </w:r>
      <w:r>
        <w:t>by</w:t>
      </w:r>
      <w:r>
        <w:rPr>
          <w:spacing w:val="-9"/>
        </w:rPr>
        <w:t xml:space="preserve"> </w:t>
      </w:r>
      <w:r>
        <w:t>year</w:t>
      </w:r>
      <w:r>
        <w:rPr>
          <w:spacing w:val="-12"/>
        </w:rPr>
        <w:t xml:space="preserve"> </w:t>
      </w:r>
      <w:r>
        <w:t>of</w:t>
      </w:r>
      <w:r>
        <w:rPr>
          <w:spacing w:val="-8"/>
        </w:rPr>
        <w:t xml:space="preserve"> </w:t>
      </w:r>
      <w:r>
        <w:t>birth:</w:t>
      </w:r>
      <w:r>
        <w:rPr>
          <w:spacing w:val="-9"/>
        </w:rPr>
        <w:t xml:space="preserve"> </w:t>
      </w:r>
      <w:r>
        <w:rPr>
          <w:spacing w:val="-4"/>
        </w:rPr>
        <w:t>2017</w:t>
      </w:r>
    </w:p>
    <w:p w:rsidR="003F5784" w14:paraId="0141A5F6"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3447"/>
        <w:gridCol w:w="7051"/>
        <w:gridCol w:w="3485"/>
      </w:tblGrid>
      <w:tr w14:paraId="32E16141" w14:textId="77777777" w:rsidTr="008F0E55">
        <w:tblPrEx>
          <w:tblW w:w="0" w:type="auto"/>
          <w:tblInd w:w="482" w:type="dxa"/>
          <w:tblLayout w:type="fixed"/>
          <w:tblCellMar>
            <w:left w:w="0" w:type="dxa"/>
            <w:right w:w="0" w:type="dxa"/>
          </w:tblCellMar>
          <w:tblLook w:val="01E0"/>
        </w:tblPrEx>
        <w:trPr>
          <w:trHeight w:val="267"/>
        </w:trPr>
        <w:tc>
          <w:tcPr>
            <w:tcW w:w="3447" w:type="dxa"/>
            <w:tcBorders>
              <w:top w:val="single" w:sz="18" w:space="0" w:color="800000"/>
              <w:bottom w:val="single" w:sz="18" w:space="0" w:color="800000"/>
            </w:tcBorders>
          </w:tcPr>
          <w:p w:rsidR="003F5784" w14:paraId="4E8887D6" w14:textId="77777777">
            <w:pPr>
              <w:pStyle w:val="TableParagraph"/>
              <w:spacing w:before="9" w:line="238" w:lineRule="exact"/>
              <w:ind w:left="120"/>
              <w:jc w:val="left"/>
              <w:rPr>
                <w:sz w:val="21"/>
              </w:rPr>
            </w:pPr>
            <w:r>
              <w:rPr>
                <w:spacing w:val="-2"/>
                <w:sz w:val="21"/>
              </w:rPr>
              <w:t>Year</w:t>
            </w:r>
            <w:r>
              <w:rPr>
                <w:spacing w:val="-9"/>
                <w:sz w:val="21"/>
              </w:rPr>
              <w:t xml:space="preserve"> </w:t>
            </w:r>
            <w:r>
              <w:rPr>
                <w:spacing w:val="-2"/>
                <w:sz w:val="21"/>
              </w:rPr>
              <w:t>of</w:t>
            </w:r>
            <w:r>
              <w:rPr>
                <w:spacing w:val="-8"/>
                <w:sz w:val="21"/>
              </w:rPr>
              <w:t xml:space="preserve"> </w:t>
            </w:r>
            <w:r>
              <w:rPr>
                <w:spacing w:val="-2"/>
                <w:sz w:val="21"/>
              </w:rPr>
              <w:t>birth</w:t>
            </w:r>
          </w:p>
        </w:tc>
        <w:tc>
          <w:tcPr>
            <w:tcW w:w="7051" w:type="dxa"/>
            <w:tcBorders>
              <w:top w:val="single" w:sz="18" w:space="0" w:color="800000"/>
              <w:bottom w:val="single" w:sz="18" w:space="0" w:color="800000"/>
            </w:tcBorders>
          </w:tcPr>
          <w:p w:rsidR="003F5784" w14:paraId="66D002CB" w14:textId="77777777">
            <w:pPr>
              <w:pStyle w:val="TableParagraph"/>
              <w:spacing w:before="9" w:line="238" w:lineRule="exact"/>
              <w:ind w:right="2211"/>
              <w:rPr>
                <w:sz w:val="21"/>
              </w:rPr>
            </w:pPr>
            <w:r>
              <w:rPr>
                <w:spacing w:val="-2"/>
                <w:sz w:val="21"/>
              </w:rPr>
              <w:t>Weighted</w:t>
            </w:r>
            <w:r>
              <w:rPr>
                <w:spacing w:val="-11"/>
                <w:sz w:val="21"/>
              </w:rPr>
              <w:t xml:space="preserve"> </w:t>
            </w:r>
            <w:r>
              <w:rPr>
                <w:spacing w:val="-2"/>
                <w:sz w:val="21"/>
              </w:rPr>
              <w:t>aggregations</w:t>
            </w:r>
          </w:p>
        </w:tc>
        <w:tc>
          <w:tcPr>
            <w:tcW w:w="3485" w:type="dxa"/>
            <w:tcBorders>
              <w:top w:val="single" w:sz="18" w:space="0" w:color="800000"/>
              <w:bottom w:val="single" w:sz="18" w:space="0" w:color="800000"/>
            </w:tcBorders>
          </w:tcPr>
          <w:p w:rsidR="003F5784" w14:paraId="55081A2F" w14:textId="77777777">
            <w:pPr>
              <w:pStyle w:val="TableParagraph"/>
              <w:spacing w:before="9" w:line="238" w:lineRule="exact"/>
              <w:ind w:right="116"/>
              <w:rPr>
                <w:sz w:val="21"/>
              </w:rPr>
            </w:pPr>
            <w:r>
              <w:rPr>
                <w:spacing w:val="-2"/>
                <w:sz w:val="21"/>
              </w:rPr>
              <w:t>Weighted</w:t>
            </w:r>
            <w:r>
              <w:rPr>
                <w:spacing w:val="-11"/>
                <w:sz w:val="21"/>
              </w:rPr>
              <w:t xml:space="preserve"> </w:t>
            </w:r>
            <w:r>
              <w:rPr>
                <w:spacing w:val="-2"/>
                <w:sz w:val="21"/>
              </w:rPr>
              <w:t>proportions</w:t>
            </w:r>
          </w:p>
        </w:tc>
      </w:tr>
      <w:tr w14:paraId="293882AA" w14:textId="77777777" w:rsidTr="008F0E55">
        <w:tblPrEx>
          <w:tblW w:w="0" w:type="auto"/>
          <w:tblInd w:w="482" w:type="dxa"/>
          <w:tblLayout w:type="fixed"/>
          <w:tblCellMar>
            <w:left w:w="0" w:type="dxa"/>
            <w:right w:w="0" w:type="dxa"/>
          </w:tblCellMar>
          <w:tblLook w:val="01E0"/>
        </w:tblPrEx>
        <w:trPr>
          <w:trHeight w:val="278"/>
        </w:trPr>
        <w:tc>
          <w:tcPr>
            <w:tcW w:w="3447" w:type="dxa"/>
            <w:tcBorders>
              <w:top w:val="single" w:sz="18" w:space="0" w:color="800000"/>
            </w:tcBorders>
          </w:tcPr>
          <w:p w:rsidR="003F5784" w14:paraId="0B5CCED6" w14:textId="77777777">
            <w:pPr>
              <w:pStyle w:val="TableParagraph"/>
              <w:spacing w:before="9"/>
              <w:ind w:left="370"/>
              <w:jc w:val="left"/>
              <w:rPr>
                <w:b/>
                <w:sz w:val="21"/>
              </w:rPr>
            </w:pPr>
            <w:r>
              <w:rPr>
                <w:b/>
                <w:spacing w:val="-2"/>
                <w:sz w:val="21"/>
              </w:rPr>
              <w:t>Total</w:t>
            </w:r>
          </w:p>
        </w:tc>
        <w:tc>
          <w:tcPr>
            <w:tcW w:w="7051" w:type="dxa"/>
            <w:tcBorders>
              <w:top w:val="single" w:sz="18" w:space="0" w:color="800000"/>
            </w:tcBorders>
          </w:tcPr>
          <w:p w:rsidR="003F5784" w14:paraId="0277A184" w14:textId="77777777">
            <w:pPr>
              <w:pStyle w:val="TableParagraph"/>
              <w:spacing w:before="9"/>
              <w:ind w:right="2211"/>
              <w:rPr>
                <w:b/>
                <w:sz w:val="21"/>
              </w:rPr>
            </w:pPr>
            <w:r>
              <w:rPr>
                <w:b/>
                <w:spacing w:val="-2"/>
                <w:sz w:val="21"/>
              </w:rPr>
              <w:t>1,506,000</w:t>
            </w:r>
          </w:p>
        </w:tc>
        <w:tc>
          <w:tcPr>
            <w:tcW w:w="3485" w:type="dxa"/>
            <w:tcBorders>
              <w:top w:val="single" w:sz="18" w:space="0" w:color="800000"/>
            </w:tcBorders>
          </w:tcPr>
          <w:p w:rsidR="003F5784" w14:paraId="427BFA27" w14:textId="77777777">
            <w:pPr>
              <w:pStyle w:val="TableParagraph"/>
              <w:spacing w:before="9"/>
              <w:ind w:right="116"/>
              <w:rPr>
                <w:b/>
                <w:sz w:val="21"/>
              </w:rPr>
            </w:pPr>
            <w:r>
              <w:rPr>
                <w:b/>
                <w:spacing w:val="-4"/>
                <w:sz w:val="21"/>
              </w:rPr>
              <w:t>1.00</w:t>
            </w:r>
          </w:p>
        </w:tc>
      </w:tr>
      <w:tr w14:paraId="330FABAE" w14:textId="77777777" w:rsidTr="008F0E55">
        <w:tblPrEx>
          <w:tblW w:w="0" w:type="auto"/>
          <w:tblInd w:w="482" w:type="dxa"/>
          <w:tblLayout w:type="fixed"/>
          <w:tblCellMar>
            <w:left w:w="0" w:type="dxa"/>
            <w:right w:w="0" w:type="dxa"/>
          </w:tblCellMar>
          <w:tblLook w:val="01E0"/>
        </w:tblPrEx>
        <w:trPr>
          <w:trHeight w:val="286"/>
        </w:trPr>
        <w:tc>
          <w:tcPr>
            <w:tcW w:w="3447" w:type="dxa"/>
          </w:tcPr>
          <w:p w:rsidR="003F5784" w14:paraId="77F96BBA" w14:textId="77777777">
            <w:pPr>
              <w:pStyle w:val="TableParagraph"/>
              <w:ind w:left="120"/>
              <w:jc w:val="left"/>
              <w:rPr>
                <w:sz w:val="21"/>
              </w:rPr>
            </w:pPr>
            <w:r>
              <w:rPr>
                <w:spacing w:val="-4"/>
                <w:sz w:val="21"/>
              </w:rPr>
              <w:t>2003</w:t>
            </w:r>
          </w:p>
        </w:tc>
        <w:tc>
          <w:tcPr>
            <w:tcW w:w="7051" w:type="dxa"/>
          </w:tcPr>
          <w:p w:rsidR="003F5784" w14:paraId="36A6B2B6" w14:textId="77777777">
            <w:pPr>
              <w:pStyle w:val="TableParagraph"/>
              <w:ind w:right="2211"/>
              <w:rPr>
                <w:sz w:val="21"/>
              </w:rPr>
            </w:pPr>
            <w:r>
              <w:rPr>
                <w:spacing w:val="-5"/>
                <w:sz w:val="21"/>
              </w:rPr>
              <w:t>32</w:t>
            </w:r>
          </w:p>
        </w:tc>
        <w:tc>
          <w:tcPr>
            <w:tcW w:w="3485" w:type="dxa"/>
          </w:tcPr>
          <w:p w:rsidR="003F5784" w14:paraId="3422B893" w14:textId="77777777">
            <w:pPr>
              <w:pStyle w:val="TableParagraph"/>
              <w:ind w:right="116"/>
              <w:rPr>
                <w:sz w:val="21"/>
              </w:rPr>
            </w:pPr>
            <w:r>
              <w:rPr>
                <w:spacing w:val="-10"/>
                <w:sz w:val="21"/>
              </w:rPr>
              <w:t>#</w:t>
            </w:r>
          </w:p>
        </w:tc>
      </w:tr>
      <w:tr w14:paraId="0ABA369B" w14:textId="77777777" w:rsidTr="008F0E55">
        <w:tblPrEx>
          <w:tblW w:w="0" w:type="auto"/>
          <w:tblInd w:w="482" w:type="dxa"/>
          <w:tblLayout w:type="fixed"/>
          <w:tblCellMar>
            <w:left w:w="0" w:type="dxa"/>
            <w:right w:w="0" w:type="dxa"/>
          </w:tblCellMar>
          <w:tblLook w:val="01E0"/>
        </w:tblPrEx>
        <w:trPr>
          <w:trHeight w:val="286"/>
        </w:trPr>
        <w:tc>
          <w:tcPr>
            <w:tcW w:w="3447" w:type="dxa"/>
          </w:tcPr>
          <w:p w:rsidR="003F5784" w14:paraId="7B3A089A" w14:textId="77777777">
            <w:pPr>
              <w:pStyle w:val="TableParagraph"/>
              <w:ind w:left="120"/>
              <w:jc w:val="left"/>
              <w:rPr>
                <w:sz w:val="21"/>
              </w:rPr>
            </w:pPr>
            <w:r>
              <w:rPr>
                <w:spacing w:val="-4"/>
                <w:sz w:val="21"/>
              </w:rPr>
              <w:t>2004</w:t>
            </w:r>
          </w:p>
        </w:tc>
        <w:tc>
          <w:tcPr>
            <w:tcW w:w="7051" w:type="dxa"/>
          </w:tcPr>
          <w:p w:rsidR="003F5784" w14:paraId="7C68E657" w14:textId="77777777">
            <w:pPr>
              <w:pStyle w:val="TableParagraph"/>
              <w:ind w:right="2211"/>
              <w:rPr>
                <w:sz w:val="21"/>
              </w:rPr>
            </w:pPr>
            <w:r>
              <w:rPr>
                <w:spacing w:val="-2"/>
                <w:sz w:val="21"/>
              </w:rPr>
              <w:t>2,000</w:t>
            </w:r>
          </w:p>
        </w:tc>
        <w:tc>
          <w:tcPr>
            <w:tcW w:w="3485" w:type="dxa"/>
          </w:tcPr>
          <w:p w:rsidR="003F5784" w14:paraId="5F59951C" w14:textId="77777777">
            <w:pPr>
              <w:pStyle w:val="TableParagraph"/>
              <w:ind w:right="116"/>
              <w:rPr>
                <w:sz w:val="21"/>
              </w:rPr>
            </w:pPr>
            <w:r>
              <w:rPr>
                <w:spacing w:val="-10"/>
                <w:sz w:val="21"/>
              </w:rPr>
              <w:t>#</w:t>
            </w:r>
          </w:p>
        </w:tc>
      </w:tr>
      <w:tr w14:paraId="04BAF262" w14:textId="77777777" w:rsidTr="008F0E55">
        <w:tblPrEx>
          <w:tblW w:w="0" w:type="auto"/>
          <w:tblInd w:w="482" w:type="dxa"/>
          <w:tblLayout w:type="fixed"/>
          <w:tblCellMar>
            <w:left w:w="0" w:type="dxa"/>
            <w:right w:w="0" w:type="dxa"/>
          </w:tblCellMar>
          <w:tblLook w:val="01E0"/>
        </w:tblPrEx>
        <w:trPr>
          <w:trHeight w:val="286"/>
        </w:trPr>
        <w:tc>
          <w:tcPr>
            <w:tcW w:w="3447" w:type="dxa"/>
          </w:tcPr>
          <w:p w:rsidR="003F5784" w14:paraId="24CD8D36" w14:textId="77777777">
            <w:pPr>
              <w:pStyle w:val="TableParagraph"/>
              <w:ind w:left="120"/>
              <w:jc w:val="left"/>
              <w:rPr>
                <w:sz w:val="21"/>
              </w:rPr>
            </w:pPr>
            <w:r>
              <w:rPr>
                <w:spacing w:val="-4"/>
                <w:sz w:val="21"/>
              </w:rPr>
              <w:t>2005</w:t>
            </w:r>
          </w:p>
        </w:tc>
        <w:tc>
          <w:tcPr>
            <w:tcW w:w="7051" w:type="dxa"/>
          </w:tcPr>
          <w:p w:rsidR="003F5784" w14:paraId="7CAF0D3B" w14:textId="77777777">
            <w:pPr>
              <w:pStyle w:val="TableParagraph"/>
              <w:ind w:right="2211"/>
              <w:rPr>
                <w:sz w:val="21"/>
              </w:rPr>
            </w:pPr>
            <w:r>
              <w:rPr>
                <w:spacing w:val="-2"/>
                <w:sz w:val="21"/>
              </w:rPr>
              <w:t>47,000</w:t>
            </w:r>
          </w:p>
        </w:tc>
        <w:tc>
          <w:tcPr>
            <w:tcW w:w="3485" w:type="dxa"/>
          </w:tcPr>
          <w:p w:rsidR="003F5784" w14:paraId="629B8E9C" w14:textId="77777777">
            <w:pPr>
              <w:pStyle w:val="TableParagraph"/>
              <w:ind w:right="116"/>
              <w:rPr>
                <w:sz w:val="21"/>
              </w:rPr>
            </w:pPr>
            <w:r>
              <w:rPr>
                <w:spacing w:val="-4"/>
                <w:sz w:val="21"/>
              </w:rPr>
              <w:t>0.03</w:t>
            </w:r>
          </w:p>
        </w:tc>
      </w:tr>
      <w:tr w14:paraId="7499816E" w14:textId="77777777" w:rsidTr="008F0E55">
        <w:tblPrEx>
          <w:tblW w:w="0" w:type="auto"/>
          <w:tblInd w:w="482" w:type="dxa"/>
          <w:tblLayout w:type="fixed"/>
          <w:tblCellMar>
            <w:left w:w="0" w:type="dxa"/>
            <w:right w:w="0" w:type="dxa"/>
          </w:tblCellMar>
          <w:tblLook w:val="01E0"/>
        </w:tblPrEx>
        <w:trPr>
          <w:trHeight w:val="286"/>
        </w:trPr>
        <w:tc>
          <w:tcPr>
            <w:tcW w:w="3447" w:type="dxa"/>
          </w:tcPr>
          <w:p w:rsidR="003F5784" w14:paraId="12F148CF" w14:textId="77777777">
            <w:pPr>
              <w:pStyle w:val="TableParagraph"/>
              <w:ind w:left="120"/>
              <w:jc w:val="left"/>
              <w:rPr>
                <w:sz w:val="21"/>
              </w:rPr>
            </w:pPr>
            <w:r>
              <w:rPr>
                <w:spacing w:val="-4"/>
                <w:sz w:val="21"/>
              </w:rPr>
              <w:t>2006</w:t>
            </w:r>
          </w:p>
        </w:tc>
        <w:tc>
          <w:tcPr>
            <w:tcW w:w="7051" w:type="dxa"/>
          </w:tcPr>
          <w:p w:rsidR="003F5784" w14:paraId="4D82F14F" w14:textId="77777777">
            <w:pPr>
              <w:pStyle w:val="TableParagraph"/>
              <w:ind w:right="2211"/>
              <w:rPr>
                <w:sz w:val="21"/>
              </w:rPr>
            </w:pPr>
            <w:r>
              <w:rPr>
                <w:spacing w:val="-2"/>
                <w:sz w:val="21"/>
              </w:rPr>
              <w:t>603,000</w:t>
            </w:r>
          </w:p>
        </w:tc>
        <w:tc>
          <w:tcPr>
            <w:tcW w:w="3485" w:type="dxa"/>
          </w:tcPr>
          <w:p w:rsidR="003F5784" w14:paraId="337041CF" w14:textId="77777777">
            <w:pPr>
              <w:pStyle w:val="TableParagraph"/>
              <w:ind w:right="116"/>
              <w:rPr>
                <w:sz w:val="21"/>
              </w:rPr>
            </w:pPr>
            <w:r>
              <w:rPr>
                <w:spacing w:val="-4"/>
                <w:sz w:val="21"/>
              </w:rPr>
              <w:t>0.40</w:t>
            </w:r>
          </w:p>
        </w:tc>
      </w:tr>
      <w:tr w14:paraId="4293FF5C" w14:textId="77777777" w:rsidTr="008F0E55">
        <w:tblPrEx>
          <w:tblW w:w="0" w:type="auto"/>
          <w:tblInd w:w="482" w:type="dxa"/>
          <w:tblLayout w:type="fixed"/>
          <w:tblCellMar>
            <w:left w:w="0" w:type="dxa"/>
            <w:right w:w="0" w:type="dxa"/>
          </w:tblCellMar>
          <w:tblLook w:val="01E0"/>
        </w:tblPrEx>
        <w:trPr>
          <w:trHeight w:val="286"/>
        </w:trPr>
        <w:tc>
          <w:tcPr>
            <w:tcW w:w="3447" w:type="dxa"/>
          </w:tcPr>
          <w:p w:rsidR="003F5784" w14:paraId="400753FE" w14:textId="77777777">
            <w:pPr>
              <w:pStyle w:val="TableParagraph"/>
              <w:ind w:left="120"/>
              <w:jc w:val="left"/>
              <w:rPr>
                <w:sz w:val="21"/>
              </w:rPr>
            </w:pPr>
            <w:r>
              <w:rPr>
                <w:spacing w:val="-4"/>
                <w:sz w:val="21"/>
              </w:rPr>
              <w:t>2007</w:t>
            </w:r>
          </w:p>
        </w:tc>
        <w:tc>
          <w:tcPr>
            <w:tcW w:w="7051" w:type="dxa"/>
          </w:tcPr>
          <w:p w:rsidR="003F5784" w14:paraId="742E1B00" w14:textId="77777777">
            <w:pPr>
              <w:pStyle w:val="TableParagraph"/>
              <w:ind w:right="2211"/>
              <w:rPr>
                <w:sz w:val="21"/>
              </w:rPr>
            </w:pPr>
            <w:r>
              <w:rPr>
                <w:spacing w:val="-2"/>
                <w:sz w:val="21"/>
              </w:rPr>
              <w:t>853,000</w:t>
            </w:r>
          </w:p>
        </w:tc>
        <w:tc>
          <w:tcPr>
            <w:tcW w:w="3485" w:type="dxa"/>
          </w:tcPr>
          <w:p w:rsidR="003F5784" w14:paraId="27CEC623" w14:textId="77777777">
            <w:pPr>
              <w:pStyle w:val="TableParagraph"/>
              <w:ind w:right="116"/>
              <w:rPr>
                <w:sz w:val="21"/>
              </w:rPr>
            </w:pPr>
            <w:r>
              <w:rPr>
                <w:spacing w:val="-4"/>
                <w:sz w:val="21"/>
              </w:rPr>
              <w:t>0.57</w:t>
            </w:r>
          </w:p>
        </w:tc>
      </w:tr>
      <w:tr w14:paraId="76400733" w14:textId="77777777" w:rsidTr="008F0E55">
        <w:tblPrEx>
          <w:tblW w:w="0" w:type="auto"/>
          <w:tblInd w:w="482" w:type="dxa"/>
          <w:tblLayout w:type="fixed"/>
          <w:tblCellMar>
            <w:left w:w="0" w:type="dxa"/>
            <w:right w:w="0" w:type="dxa"/>
          </w:tblCellMar>
          <w:tblLook w:val="01E0"/>
        </w:tblPrEx>
        <w:trPr>
          <w:trHeight w:val="286"/>
        </w:trPr>
        <w:tc>
          <w:tcPr>
            <w:tcW w:w="3447" w:type="dxa"/>
          </w:tcPr>
          <w:p w:rsidR="003F5784" w14:paraId="42B853AC" w14:textId="77777777">
            <w:pPr>
              <w:pStyle w:val="TableParagraph"/>
              <w:ind w:left="120"/>
              <w:jc w:val="left"/>
              <w:rPr>
                <w:sz w:val="21"/>
              </w:rPr>
            </w:pPr>
            <w:r>
              <w:rPr>
                <w:spacing w:val="-4"/>
                <w:sz w:val="21"/>
              </w:rPr>
              <w:t>2008</w:t>
            </w:r>
          </w:p>
        </w:tc>
        <w:tc>
          <w:tcPr>
            <w:tcW w:w="7051" w:type="dxa"/>
          </w:tcPr>
          <w:p w:rsidR="003F5784" w14:paraId="346ED2DD" w14:textId="77777777">
            <w:pPr>
              <w:pStyle w:val="TableParagraph"/>
              <w:ind w:right="2211"/>
              <w:rPr>
                <w:sz w:val="21"/>
              </w:rPr>
            </w:pPr>
            <w:r>
              <w:rPr>
                <w:spacing w:val="-2"/>
                <w:sz w:val="21"/>
              </w:rPr>
              <w:t>2,000</w:t>
            </w:r>
          </w:p>
        </w:tc>
        <w:tc>
          <w:tcPr>
            <w:tcW w:w="3485" w:type="dxa"/>
          </w:tcPr>
          <w:p w:rsidR="003F5784" w14:paraId="1A9C38E9" w14:textId="77777777">
            <w:pPr>
              <w:pStyle w:val="TableParagraph"/>
              <w:ind w:right="116"/>
              <w:rPr>
                <w:sz w:val="21"/>
              </w:rPr>
            </w:pPr>
            <w:r>
              <w:rPr>
                <w:spacing w:val="-10"/>
                <w:sz w:val="21"/>
              </w:rPr>
              <w:t>#</w:t>
            </w:r>
          </w:p>
        </w:tc>
      </w:tr>
      <w:tr w14:paraId="65BF5AEB" w14:textId="77777777" w:rsidTr="008F0E55">
        <w:tblPrEx>
          <w:tblW w:w="0" w:type="auto"/>
          <w:tblInd w:w="482" w:type="dxa"/>
          <w:tblLayout w:type="fixed"/>
          <w:tblCellMar>
            <w:left w:w="0" w:type="dxa"/>
            <w:right w:w="0" w:type="dxa"/>
          </w:tblCellMar>
          <w:tblLook w:val="01E0"/>
        </w:tblPrEx>
        <w:trPr>
          <w:trHeight w:val="288"/>
        </w:trPr>
        <w:tc>
          <w:tcPr>
            <w:tcW w:w="3447" w:type="dxa"/>
            <w:tcBorders>
              <w:bottom w:val="single" w:sz="18" w:space="0" w:color="800000"/>
            </w:tcBorders>
          </w:tcPr>
          <w:p w:rsidR="003F5784" w14:paraId="11613773" w14:textId="77777777">
            <w:pPr>
              <w:pStyle w:val="TableParagraph"/>
              <w:ind w:left="120"/>
              <w:jc w:val="left"/>
              <w:rPr>
                <w:sz w:val="21"/>
              </w:rPr>
            </w:pPr>
            <w:r>
              <w:rPr>
                <w:spacing w:val="-4"/>
                <w:sz w:val="21"/>
              </w:rPr>
              <w:t>2009</w:t>
            </w:r>
          </w:p>
        </w:tc>
        <w:tc>
          <w:tcPr>
            <w:tcW w:w="7051" w:type="dxa"/>
            <w:tcBorders>
              <w:bottom w:val="single" w:sz="18" w:space="0" w:color="800000"/>
            </w:tcBorders>
          </w:tcPr>
          <w:p w:rsidR="003F5784" w14:paraId="5998FD6F" w14:textId="77777777">
            <w:pPr>
              <w:pStyle w:val="TableParagraph"/>
              <w:ind w:right="2211"/>
              <w:rPr>
                <w:sz w:val="21"/>
              </w:rPr>
            </w:pPr>
            <w:r>
              <w:rPr>
                <w:spacing w:val="-10"/>
                <w:sz w:val="21"/>
              </w:rPr>
              <w:t>8</w:t>
            </w:r>
          </w:p>
        </w:tc>
        <w:tc>
          <w:tcPr>
            <w:tcW w:w="3485" w:type="dxa"/>
            <w:tcBorders>
              <w:bottom w:val="single" w:sz="18" w:space="0" w:color="800000"/>
            </w:tcBorders>
          </w:tcPr>
          <w:p w:rsidR="003F5784" w14:paraId="5D3F702D" w14:textId="77777777">
            <w:pPr>
              <w:pStyle w:val="TableParagraph"/>
              <w:ind w:right="116"/>
              <w:rPr>
                <w:sz w:val="21"/>
              </w:rPr>
            </w:pPr>
            <w:r>
              <w:rPr>
                <w:spacing w:val="-10"/>
                <w:sz w:val="21"/>
              </w:rPr>
              <w:t>#</w:t>
            </w:r>
          </w:p>
        </w:tc>
      </w:tr>
      <w:tr w14:paraId="6DE3133A" w14:textId="77777777">
        <w:tblPrEx>
          <w:tblW w:w="0" w:type="auto"/>
          <w:tblInd w:w="482" w:type="dxa"/>
          <w:tblLayout w:type="fixed"/>
          <w:tblCellMar>
            <w:left w:w="0" w:type="dxa"/>
            <w:right w:w="0" w:type="dxa"/>
          </w:tblCellMar>
          <w:tblLook w:val="01E0"/>
        </w:tblPrEx>
        <w:trPr>
          <w:trHeight w:val="237"/>
        </w:trPr>
        <w:tc>
          <w:tcPr>
            <w:tcW w:w="13983" w:type="dxa"/>
            <w:gridSpan w:val="3"/>
            <w:tcBorders>
              <w:top w:val="single" w:sz="18" w:space="0" w:color="800000"/>
            </w:tcBorders>
          </w:tcPr>
          <w:p w:rsidR="003F5784" w14:paraId="790FCAC6"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r>
    </w:tbl>
    <w:p w:rsidR="003F5784" w14:paraId="3B65774E" w14:textId="77777777">
      <w:pPr>
        <w:pStyle w:val="BodyText"/>
        <w:spacing w:line="235"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3E9EC015"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6B3BA9D0" w14:textId="77777777">
      <w:pPr>
        <w:pStyle w:val="BodyText"/>
        <w:spacing w:before="118"/>
      </w:pPr>
    </w:p>
    <w:p w:rsidR="003F5784" w14:paraId="6AEE75A3" w14:textId="77777777">
      <w:pPr>
        <w:pStyle w:val="Heading2"/>
      </w:pPr>
      <w:r>
        <w:t>Weighted</w:t>
      </w:r>
      <w:r>
        <w:rPr>
          <w:spacing w:val="-10"/>
        </w:rPr>
        <w:t xml:space="preserve"> </w:t>
      </w:r>
      <w:r>
        <w:t>aggregations</w:t>
      </w:r>
      <w:r>
        <w:rPr>
          <w:spacing w:val="-9"/>
        </w:rPr>
        <w:t xml:space="preserve"> </w:t>
      </w:r>
      <w:r>
        <w:t>and</w:t>
      </w:r>
      <w:r>
        <w:rPr>
          <w:spacing w:val="-9"/>
        </w:rPr>
        <w:t xml:space="preserve"> </w:t>
      </w:r>
      <w:r>
        <w:t>proportions</w:t>
      </w:r>
      <w:r>
        <w:rPr>
          <w:spacing w:val="-9"/>
        </w:rPr>
        <w:t xml:space="preserve"> </w:t>
      </w:r>
      <w:r>
        <w:t>from</w:t>
      </w:r>
      <w:r>
        <w:rPr>
          <w:spacing w:val="-9"/>
        </w:rPr>
        <w:t xml:space="preserve"> </w:t>
      </w:r>
      <w:r>
        <w:t>the</w:t>
      </w:r>
      <w:r>
        <w:rPr>
          <w:spacing w:val="-9"/>
        </w:rPr>
        <w:t xml:space="preserve"> </w:t>
      </w:r>
      <w:r>
        <w:t>grade</w:t>
      </w:r>
      <w:r>
        <w:rPr>
          <w:spacing w:val="-9"/>
        </w:rPr>
        <w:t xml:space="preserve"> </w:t>
      </w:r>
      <w:r>
        <w:t>4</w:t>
      </w:r>
      <w:r>
        <w:rPr>
          <w:spacing w:val="-9"/>
        </w:rPr>
        <w:t xml:space="preserve"> </w:t>
      </w:r>
      <w:r>
        <w:t>reading</w:t>
      </w:r>
      <w:r>
        <w:rPr>
          <w:spacing w:val="-9"/>
        </w:rPr>
        <w:t xml:space="preserve"> </w:t>
      </w:r>
      <w:r>
        <w:t>and</w:t>
      </w:r>
      <w:r>
        <w:rPr>
          <w:spacing w:val="-9"/>
        </w:rPr>
        <w:t xml:space="preserve"> </w:t>
      </w:r>
      <w:r>
        <w:t>mathematics</w:t>
      </w:r>
      <w:r>
        <w:rPr>
          <w:spacing w:val="-9"/>
        </w:rPr>
        <w:t xml:space="preserve"> </w:t>
      </w:r>
      <w:r>
        <w:t>assessments,</w:t>
      </w:r>
      <w:r>
        <w:rPr>
          <w:spacing w:val="-9"/>
        </w:rPr>
        <w:t xml:space="preserve"> </w:t>
      </w:r>
      <w:r>
        <w:t>public</w:t>
      </w:r>
      <w:r>
        <w:rPr>
          <w:spacing w:val="-10"/>
        </w:rPr>
        <w:t xml:space="preserve"> </w:t>
      </w:r>
      <w:r>
        <w:t>schools</w:t>
      </w:r>
      <w:r>
        <w:rPr>
          <w:spacing w:val="-12"/>
        </w:rPr>
        <w:t xml:space="preserve"> </w:t>
      </w:r>
      <w:r>
        <w:t>West</w:t>
      </w:r>
      <w:r>
        <w:rPr>
          <w:spacing w:val="-9"/>
        </w:rPr>
        <w:t xml:space="preserve"> </w:t>
      </w:r>
      <w:r>
        <w:t>region,</w:t>
      </w:r>
      <w:r>
        <w:rPr>
          <w:spacing w:val="-9"/>
        </w:rPr>
        <w:t xml:space="preserve"> </w:t>
      </w:r>
      <w:r>
        <w:t>by</w:t>
      </w:r>
      <w:r>
        <w:rPr>
          <w:spacing w:val="-9"/>
        </w:rPr>
        <w:t xml:space="preserve"> </w:t>
      </w:r>
      <w:r>
        <w:t>year</w:t>
      </w:r>
      <w:r>
        <w:rPr>
          <w:spacing w:val="-13"/>
        </w:rPr>
        <w:t xml:space="preserve"> </w:t>
      </w:r>
      <w:r>
        <w:t>of</w:t>
      </w:r>
      <w:r>
        <w:rPr>
          <w:spacing w:val="-9"/>
        </w:rPr>
        <w:t xml:space="preserve"> </w:t>
      </w:r>
      <w:r>
        <w:t>birth:</w:t>
      </w:r>
      <w:r>
        <w:rPr>
          <w:spacing w:val="-9"/>
        </w:rPr>
        <w:t xml:space="preserve"> </w:t>
      </w:r>
      <w:r>
        <w:rPr>
          <w:spacing w:val="-4"/>
        </w:rPr>
        <w:t>2017</w:t>
      </w:r>
    </w:p>
    <w:p w:rsidR="003F5784" w14:paraId="5923EFC4"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3447"/>
        <w:gridCol w:w="7051"/>
        <w:gridCol w:w="3485"/>
      </w:tblGrid>
      <w:tr w14:paraId="611275E5" w14:textId="77777777" w:rsidTr="008F0E55">
        <w:tblPrEx>
          <w:tblW w:w="0" w:type="auto"/>
          <w:tblInd w:w="482" w:type="dxa"/>
          <w:tblLayout w:type="fixed"/>
          <w:tblCellMar>
            <w:left w:w="0" w:type="dxa"/>
            <w:right w:w="0" w:type="dxa"/>
          </w:tblCellMar>
          <w:tblLook w:val="01E0"/>
        </w:tblPrEx>
        <w:trPr>
          <w:trHeight w:val="267"/>
        </w:trPr>
        <w:tc>
          <w:tcPr>
            <w:tcW w:w="3447" w:type="dxa"/>
            <w:tcBorders>
              <w:top w:val="single" w:sz="18" w:space="0" w:color="800000"/>
              <w:bottom w:val="single" w:sz="18" w:space="0" w:color="800000"/>
            </w:tcBorders>
          </w:tcPr>
          <w:p w:rsidR="003F5784" w14:paraId="52B20E4A" w14:textId="77777777">
            <w:pPr>
              <w:pStyle w:val="TableParagraph"/>
              <w:spacing w:before="9" w:line="238" w:lineRule="exact"/>
              <w:ind w:left="120"/>
              <w:jc w:val="left"/>
              <w:rPr>
                <w:sz w:val="21"/>
              </w:rPr>
            </w:pPr>
            <w:r>
              <w:rPr>
                <w:spacing w:val="-2"/>
                <w:sz w:val="21"/>
              </w:rPr>
              <w:t>Year</w:t>
            </w:r>
            <w:r>
              <w:rPr>
                <w:spacing w:val="-9"/>
                <w:sz w:val="21"/>
              </w:rPr>
              <w:t xml:space="preserve"> </w:t>
            </w:r>
            <w:r>
              <w:rPr>
                <w:spacing w:val="-2"/>
                <w:sz w:val="21"/>
              </w:rPr>
              <w:t>of</w:t>
            </w:r>
            <w:r>
              <w:rPr>
                <w:spacing w:val="-8"/>
                <w:sz w:val="21"/>
              </w:rPr>
              <w:t xml:space="preserve"> </w:t>
            </w:r>
            <w:r>
              <w:rPr>
                <w:spacing w:val="-2"/>
                <w:sz w:val="21"/>
              </w:rPr>
              <w:t>birth</w:t>
            </w:r>
          </w:p>
        </w:tc>
        <w:tc>
          <w:tcPr>
            <w:tcW w:w="7051" w:type="dxa"/>
            <w:tcBorders>
              <w:top w:val="single" w:sz="18" w:space="0" w:color="800000"/>
              <w:bottom w:val="single" w:sz="18" w:space="0" w:color="800000"/>
            </w:tcBorders>
          </w:tcPr>
          <w:p w:rsidR="003F5784" w14:paraId="13DB0FCB" w14:textId="77777777">
            <w:pPr>
              <w:pStyle w:val="TableParagraph"/>
              <w:spacing w:before="9" w:line="238" w:lineRule="exact"/>
              <w:ind w:right="2211"/>
              <w:rPr>
                <w:sz w:val="21"/>
              </w:rPr>
            </w:pPr>
            <w:r>
              <w:rPr>
                <w:spacing w:val="-2"/>
                <w:sz w:val="21"/>
              </w:rPr>
              <w:t>Weighted</w:t>
            </w:r>
            <w:r>
              <w:rPr>
                <w:spacing w:val="-11"/>
                <w:sz w:val="21"/>
              </w:rPr>
              <w:t xml:space="preserve"> </w:t>
            </w:r>
            <w:r>
              <w:rPr>
                <w:spacing w:val="-2"/>
                <w:sz w:val="21"/>
              </w:rPr>
              <w:t>aggregations</w:t>
            </w:r>
          </w:p>
        </w:tc>
        <w:tc>
          <w:tcPr>
            <w:tcW w:w="3485" w:type="dxa"/>
            <w:tcBorders>
              <w:top w:val="single" w:sz="18" w:space="0" w:color="800000"/>
              <w:bottom w:val="single" w:sz="18" w:space="0" w:color="800000"/>
            </w:tcBorders>
          </w:tcPr>
          <w:p w:rsidR="003F5784" w14:paraId="55F9893B" w14:textId="77777777">
            <w:pPr>
              <w:pStyle w:val="TableParagraph"/>
              <w:spacing w:before="9" w:line="238" w:lineRule="exact"/>
              <w:ind w:right="116"/>
              <w:rPr>
                <w:sz w:val="21"/>
              </w:rPr>
            </w:pPr>
            <w:r>
              <w:rPr>
                <w:spacing w:val="-2"/>
                <w:sz w:val="21"/>
              </w:rPr>
              <w:t>Weighted</w:t>
            </w:r>
            <w:r>
              <w:rPr>
                <w:spacing w:val="-11"/>
                <w:sz w:val="21"/>
              </w:rPr>
              <w:t xml:space="preserve"> </w:t>
            </w:r>
            <w:r>
              <w:rPr>
                <w:spacing w:val="-2"/>
                <w:sz w:val="21"/>
              </w:rPr>
              <w:t>proportions</w:t>
            </w:r>
          </w:p>
        </w:tc>
      </w:tr>
      <w:tr w14:paraId="2898D301" w14:textId="77777777" w:rsidTr="008F0E55">
        <w:tblPrEx>
          <w:tblW w:w="0" w:type="auto"/>
          <w:tblInd w:w="482" w:type="dxa"/>
          <w:tblLayout w:type="fixed"/>
          <w:tblCellMar>
            <w:left w:w="0" w:type="dxa"/>
            <w:right w:w="0" w:type="dxa"/>
          </w:tblCellMar>
          <w:tblLook w:val="01E0"/>
        </w:tblPrEx>
        <w:trPr>
          <w:trHeight w:val="278"/>
        </w:trPr>
        <w:tc>
          <w:tcPr>
            <w:tcW w:w="3447" w:type="dxa"/>
            <w:tcBorders>
              <w:top w:val="single" w:sz="18" w:space="0" w:color="800000"/>
            </w:tcBorders>
          </w:tcPr>
          <w:p w:rsidR="003F5784" w14:paraId="1C41CDC0" w14:textId="77777777">
            <w:pPr>
              <w:pStyle w:val="TableParagraph"/>
              <w:spacing w:before="9"/>
              <w:ind w:left="370"/>
              <w:jc w:val="left"/>
              <w:rPr>
                <w:b/>
                <w:sz w:val="21"/>
              </w:rPr>
            </w:pPr>
            <w:r>
              <w:rPr>
                <w:b/>
                <w:spacing w:val="-2"/>
                <w:sz w:val="21"/>
              </w:rPr>
              <w:t>Total</w:t>
            </w:r>
          </w:p>
        </w:tc>
        <w:tc>
          <w:tcPr>
            <w:tcW w:w="7051" w:type="dxa"/>
            <w:tcBorders>
              <w:top w:val="single" w:sz="18" w:space="0" w:color="800000"/>
            </w:tcBorders>
          </w:tcPr>
          <w:p w:rsidR="003F5784" w14:paraId="237F0662" w14:textId="77777777">
            <w:pPr>
              <w:pStyle w:val="TableParagraph"/>
              <w:spacing w:before="9"/>
              <w:ind w:right="2211"/>
              <w:rPr>
                <w:b/>
                <w:sz w:val="21"/>
              </w:rPr>
            </w:pPr>
            <w:r>
              <w:rPr>
                <w:b/>
                <w:spacing w:val="-2"/>
                <w:sz w:val="21"/>
              </w:rPr>
              <w:t>896,000</w:t>
            </w:r>
          </w:p>
        </w:tc>
        <w:tc>
          <w:tcPr>
            <w:tcW w:w="3485" w:type="dxa"/>
            <w:tcBorders>
              <w:top w:val="single" w:sz="18" w:space="0" w:color="800000"/>
            </w:tcBorders>
          </w:tcPr>
          <w:p w:rsidR="003F5784" w14:paraId="5B24A9F4" w14:textId="77777777">
            <w:pPr>
              <w:pStyle w:val="TableParagraph"/>
              <w:spacing w:before="9"/>
              <w:ind w:right="116"/>
              <w:rPr>
                <w:b/>
                <w:sz w:val="21"/>
              </w:rPr>
            </w:pPr>
            <w:r>
              <w:rPr>
                <w:b/>
                <w:spacing w:val="-4"/>
                <w:sz w:val="21"/>
              </w:rPr>
              <w:t>1.00</w:t>
            </w:r>
          </w:p>
        </w:tc>
      </w:tr>
      <w:tr w14:paraId="2CF7B989" w14:textId="77777777" w:rsidTr="008F0E55">
        <w:tblPrEx>
          <w:tblW w:w="0" w:type="auto"/>
          <w:tblInd w:w="482" w:type="dxa"/>
          <w:tblLayout w:type="fixed"/>
          <w:tblCellMar>
            <w:left w:w="0" w:type="dxa"/>
            <w:right w:w="0" w:type="dxa"/>
          </w:tblCellMar>
          <w:tblLook w:val="01E0"/>
        </w:tblPrEx>
        <w:trPr>
          <w:trHeight w:val="286"/>
        </w:trPr>
        <w:tc>
          <w:tcPr>
            <w:tcW w:w="3447" w:type="dxa"/>
          </w:tcPr>
          <w:p w:rsidR="003F5784" w14:paraId="09E38D48" w14:textId="77777777">
            <w:pPr>
              <w:pStyle w:val="TableParagraph"/>
              <w:ind w:left="120"/>
              <w:jc w:val="left"/>
              <w:rPr>
                <w:sz w:val="21"/>
              </w:rPr>
            </w:pPr>
            <w:r>
              <w:rPr>
                <w:spacing w:val="-4"/>
                <w:sz w:val="21"/>
              </w:rPr>
              <w:t>2003</w:t>
            </w:r>
          </w:p>
        </w:tc>
        <w:tc>
          <w:tcPr>
            <w:tcW w:w="7051" w:type="dxa"/>
          </w:tcPr>
          <w:p w:rsidR="003F5784" w14:paraId="79AFB44E" w14:textId="77777777">
            <w:pPr>
              <w:pStyle w:val="TableParagraph"/>
              <w:ind w:right="2211"/>
              <w:rPr>
                <w:sz w:val="21"/>
              </w:rPr>
            </w:pPr>
            <w:r>
              <w:rPr>
                <w:spacing w:val="-10"/>
                <w:sz w:val="21"/>
              </w:rPr>
              <w:t>1</w:t>
            </w:r>
          </w:p>
        </w:tc>
        <w:tc>
          <w:tcPr>
            <w:tcW w:w="3485" w:type="dxa"/>
          </w:tcPr>
          <w:p w:rsidR="003F5784" w14:paraId="64A51A88" w14:textId="77777777">
            <w:pPr>
              <w:pStyle w:val="TableParagraph"/>
              <w:ind w:right="116"/>
              <w:rPr>
                <w:sz w:val="21"/>
              </w:rPr>
            </w:pPr>
            <w:r>
              <w:rPr>
                <w:spacing w:val="-10"/>
                <w:sz w:val="21"/>
              </w:rPr>
              <w:t>#</w:t>
            </w:r>
          </w:p>
        </w:tc>
      </w:tr>
      <w:tr w14:paraId="6BA710A5" w14:textId="77777777" w:rsidTr="008F0E55">
        <w:tblPrEx>
          <w:tblW w:w="0" w:type="auto"/>
          <w:tblInd w:w="482" w:type="dxa"/>
          <w:tblLayout w:type="fixed"/>
          <w:tblCellMar>
            <w:left w:w="0" w:type="dxa"/>
            <w:right w:w="0" w:type="dxa"/>
          </w:tblCellMar>
          <w:tblLook w:val="01E0"/>
        </w:tblPrEx>
        <w:trPr>
          <w:trHeight w:val="286"/>
        </w:trPr>
        <w:tc>
          <w:tcPr>
            <w:tcW w:w="3447" w:type="dxa"/>
          </w:tcPr>
          <w:p w:rsidR="003F5784" w14:paraId="3695865A" w14:textId="77777777">
            <w:pPr>
              <w:pStyle w:val="TableParagraph"/>
              <w:ind w:left="120"/>
              <w:jc w:val="left"/>
              <w:rPr>
                <w:sz w:val="21"/>
              </w:rPr>
            </w:pPr>
            <w:r>
              <w:rPr>
                <w:spacing w:val="-4"/>
                <w:sz w:val="21"/>
              </w:rPr>
              <w:t>2004</w:t>
            </w:r>
          </w:p>
        </w:tc>
        <w:tc>
          <w:tcPr>
            <w:tcW w:w="7051" w:type="dxa"/>
          </w:tcPr>
          <w:p w:rsidR="003F5784" w14:paraId="214FEC69" w14:textId="77777777">
            <w:pPr>
              <w:pStyle w:val="TableParagraph"/>
              <w:ind w:right="2211"/>
              <w:rPr>
                <w:sz w:val="21"/>
              </w:rPr>
            </w:pPr>
            <w:r>
              <w:rPr>
                <w:spacing w:val="-5"/>
                <w:sz w:val="21"/>
              </w:rPr>
              <w:t>123</w:t>
            </w:r>
          </w:p>
        </w:tc>
        <w:tc>
          <w:tcPr>
            <w:tcW w:w="3485" w:type="dxa"/>
          </w:tcPr>
          <w:p w:rsidR="003F5784" w14:paraId="122D3716" w14:textId="77777777">
            <w:pPr>
              <w:pStyle w:val="TableParagraph"/>
              <w:ind w:right="116"/>
              <w:rPr>
                <w:sz w:val="21"/>
              </w:rPr>
            </w:pPr>
            <w:r>
              <w:rPr>
                <w:spacing w:val="-10"/>
                <w:sz w:val="21"/>
              </w:rPr>
              <w:t>#</w:t>
            </w:r>
          </w:p>
        </w:tc>
      </w:tr>
      <w:tr w14:paraId="03F302AD" w14:textId="77777777" w:rsidTr="008F0E55">
        <w:tblPrEx>
          <w:tblW w:w="0" w:type="auto"/>
          <w:tblInd w:w="482" w:type="dxa"/>
          <w:tblLayout w:type="fixed"/>
          <w:tblCellMar>
            <w:left w:w="0" w:type="dxa"/>
            <w:right w:w="0" w:type="dxa"/>
          </w:tblCellMar>
          <w:tblLook w:val="01E0"/>
        </w:tblPrEx>
        <w:trPr>
          <w:trHeight w:val="286"/>
        </w:trPr>
        <w:tc>
          <w:tcPr>
            <w:tcW w:w="3447" w:type="dxa"/>
          </w:tcPr>
          <w:p w:rsidR="003F5784" w14:paraId="033678FD" w14:textId="77777777">
            <w:pPr>
              <w:pStyle w:val="TableParagraph"/>
              <w:ind w:left="120"/>
              <w:jc w:val="left"/>
              <w:rPr>
                <w:sz w:val="21"/>
              </w:rPr>
            </w:pPr>
            <w:r>
              <w:rPr>
                <w:spacing w:val="-4"/>
                <w:sz w:val="21"/>
              </w:rPr>
              <w:t>2005</w:t>
            </w:r>
          </w:p>
        </w:tc>
        <w:tc>
          <w:tcPr>
            <w:tcW w:w="7051" w:type="dxa"/>
          </w:tcPr>
          <w:p w:rsidR="003F5784" w14:paraId="5BCC3CE1" w14:textId="77777777">
            <w:pPr>
              <w:pStyle w:val="TableParagraph"/>
              <w:ind w:right="2211"/>
              <w:rPr>
                <w:sz w:val="21"/>
              </w:rPr>
            </w:pPr>
            <w:r>
              <w:rPr>
                <w:spacing w:val="-2"/>
                <w:sz w:val="21"/>
              </w:rPr>
              <w:t>5,000</w:t>
            </w:r>
          </w:p>
        </w:tc>
        <w:tc>
          <w:tcPr>
            <w:tcW w:w="3485" w:type="dxa"/>
          </w:tcPr>
          <w:p w:rsidR="003F5784" w14:paraId="45485BB5" w14:textId="77777777">
            <w:pPr>
              <w:pStyle w:val="TableParagraph"/>
              <w:ind w:right="116"/>
              <w:rPr>
                <w:sz w:val="21"/>
              </w:rPr>
            </w:pPr>
            <w:r>
              <w:rPr>
                <w:spacing w:val="-4"/>
                <w:sz w:val="21"/>
              </w:rPr>
              <w:t>0.01</w:t>
            </w:r>
          </w:p>
        </w:tc>
      </w:tr>
      <w:tr w14:paraId="359104A4" w14:textId="77777777" w:rsidTr="008F0E55">
        <w:tblPrEx>
          <w:tblW w:w="0" w:type="auto"/>
          <w:tblInd w:w="482" w:type="dxa"/>
          <w:tblLayout w:type="fixed"/>
          <w:tblCellMar>
            <w:left w:w="0" w:type="dxa"/>
            <w:right w:w="0" w:type="dxa"/>
          </w:tblCellMar>
          <w:tblLook w:val="01E0"/>
        </w:tblPrEx>
        <w:trPr>
          <w:trHeight w:val="288"/>
        </w:trPr>
        <w:tc>
          <w:tcPr>
            <w:tcW w:w="3447" w:type="dxa"/>
            <w:tcBorders>
              <w:bottom w:val="single" w:sz="18" w:space="0" w:color="800000"/>
            </w:tcBorders>
          </w:tcPr>
          <w:p w:rsidR="003F5784" w14:paraId="1CBA6B1C" w14:textId="77777777">
            <w:pPr>
              <w:pStyle w:val="TableParagraph"/>
              <w:ind w:left="120"/>
              <w:jc w:val="left"/>
              <w:rPr>
                <w:sz w:val="21"/>
              </w:rPr>
            </w:pPr>
            <w:r>
              <w:rPr>
                <w:spacing w:val="-4"/>
                <w:sz w:val="21"/>
              </w:rPr>
              <w:t>2006</w:t>
            </w:r>
          </w:p>
        </w:tc>
        <w:tc>
          <w:tcPr>
            <w:tcW w:w="7051" w:type="dxa"/>
            <w:tcBorders>
              <w:bottom w:val="single" w:sz="18" w:space="0" w:color="800000"/>
            </w:tcBorders>
          </w:tcPr>
          <w:p w:rsidR="003F5784" w14:paraId="36ABD6DB" w14:textId="77777777">
            <w:pPr>
              <w:pStyle w:val="TableParagraph"/>
              <w:ind w:right="2211"/>
              <w:rPr>
                <w:sz w:val="21"/>
              </w:rPr>
            </w:pPr>
            <w:r>
              <w:rPr>
                <w:spacing w:val="-2"/>
                <w:sz w:val="21"/>
              </w:rPr>
              <w:t>250,000</w:t>
            </w:r>
          </w:p>
        </w:tc>
        <w:tc>
          <w:tcPr>
            <w:tcW w:w="3485" w:type="dxa"/>
            <w:tcBorders>
              <w:bottom w:val="single" w:sz="18" w:space="0" w:color="800000"/>
            </w:tcBorders>
          </w:tcPr>
          <w:p w:rsidR="003F5784" w14:paraId="795E668C" w14:textId="77777777">
            <w:pPr>
              <w:pStyle w:val="TableParagraph"/>
              <w:ind w:right="116"/>
              <w:rPr>
                <w:sz w:val="21"/>
              </w:rPr>
            </w:pPr>
            <w:r>
              <w:rPr>
                <w:spacing w:val="-4"/>
                <w:sz w:val="21"/>
              </w:rPr>
              <w:t>0.28</w:t>
            </w:r>
          </w:p>
        </w:tc>
      </w:tr>
      <w:tr w14:paraId="211B12E4" w14:textId="77777777">
        <w:tblPrEx>
          <w:tblW w:w="0" w:type="auto"/>
          <w:tblInd w:w="482" w:type="dxa"/>
          <w:tblLayout w:type="fixed"/>
          <w:tblCellMar>
            <w:left w:w="0" w:type="dxa"/>
            <w:right w:w="0" w:type="dxa"/>
          </w:tblCellMar>
          <w:tblLook w:val="01E0"/>
        </w:tblPrEx>
        <w:trPr>
          <w:trHeight w:val="237"/>
        </w:trPr>
        <w:tc>
          <w:tcPr>
            <w:tcW w:w="13983" w:type="dxa"/>
            <w:gridSpan w:val="3"/>
            <w:tcBorders>
              <w:top w:val="single" w:sz="18" w:space="0" w:color="800000"/>
            </w:tcBorders>
          </w:tcPr>
          <w:p w:rsidR="003F5784" w14:paraId="176BE41E"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r>
    </w:tbl>
    <w:p w:rsidR="003F5784" w14:paraId="26B06CF4" w14:textId="77777777">
      <w:pPr>
        <w:pStyle w:val="BodyText"/>
        <w:spacing w:line="233"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595081FD"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0097AD57" w14:textId="77777777">
      <w:pPr>
        <w:spacing w:line="232" w:lineRule="auto"/>
        <w:sectPr>
          <w:headerReference w:type="default" r:id="rId152"/>
          <w:footerReference w:type="default" r:id="rId153"/>
          <w:pgSz w:w="15840" w:h="12240" w:orient="landscape"/>
          <w:pgMar w:top="820" w:right="440" w:bottom="460" w:left="460" w:header="305" w:footer="275" w:gutter="0"/>
          <w:cols w:space="720"/>
        </w:sectPr>
      </w:pPr>
    </w:p>
    <w:tbl>
      <w:tblPr>
        <w:tblW w:w="0" w:type="auto"/>
        <w:tblInd w:w="482" w:type="dxa"/>
        <w:tblLayout w:type="fixed"/>
        <w:tblCellMar>
          <w:left w:w="0" w:type="dxa"/>
          <w:right w:w="0" w:type="dxa"/>
        </w:tblCellMar>
        <w:tblLook w:val="01E0"/>
      </w:tblPr>
      <w:tblGrid>
        <w:gridCol w:w="3745"/>
        <w:gridCol w:w="6820"/>
        <w:gridCol w:w="3419"/>
      </w:tblGrid>
      <w:tr w14:paraId="7110EDA6" w14:textId="77777777">
        <w:tblPrEx>
          <w:tblW w:w="0" w:type="auto"/>
          <w:tblInd w:w="482" w:type="dxa"/>
          <w:tblLayout w:type="fixed"/>
          <w:tblCellMar>
            <w:left w:w="0" w:type="dxa"/>
            <w:right w:w="0" w:type="dxa"/>
          </w:tblCellMar>
          <w:tblLook w:val="01E0"/>
        </w:tblPrEx>
        <w:trPr>
          <w:trHeight w:val="278"/>
        </w:trPr>
        <w:tc>
          <w:tcPr>
            <w:tcW w:w="3745" w:type="dxa"/>
            <w:tcBorders>
              <w:top w:val="single" w:sz="18" w:space="0" w:color="800000"/>
            </w:tcBorders>
          </w:tcPr>
          <w:p w:rsidR="003F5784" w14:paraId="55E1A1B2" w14:textId="77777777">
            <w:pPr>
              <w:pStyle w:val="TableParagraph"/>
              <w:spacing w:before="9"/>
              <w:ind w:left="120"/>
              <w:jc w:val="left"/>
              <w:rPr>
                <w:sz w:val="21"/>
              </w:rPr>
            </w:pPr>
            <w:r>
              <w:rPr>
                <w:spacing w:val="-4"/>
                <w:sz w:val="21"/>
              </w:rPr>
              <w:t>2007</w:t>
            </w:r>
          </w:p>
        </w:tc>
        <w:tc>
          <w:tcPr>
            <w:tcW w:w="6820" w:type="dxa"/>
            <w:tcBorders>
              <w:top w:val="single" w:sz="18" w:space="0" w:color="800000"/>
            </w:tcBorders>
          </w:tcPr>
          <w:p w:rsidR="003F5784" w14:paraId="4C050142" w14:textId="77777777">
            <w:pPr>
              <w:pStyle w:val="TableParagraph"/>
              <w:spacing w:before="9"/>
              <w:ind w:right="2933"/>
              <w:rPr>
                <w:sz w:val="21"/>
              </w:rPr>
            </w:pPr>
            <w:r>
              <w:rPr>
                <w:spacing w:val="-2"/>
                <w:sz w:val="21"/>
              </w:rPr>
              <w:t>639,000</w:t>
            </w:r>
          </w:p>
        </w:tc>
        <w:tc>
          <w:tcPr>
            <w:tcW w:w="3419" w:type="dxa"/>
            <w:tcBorders>
              <w:top w:val="single" w:sz="18" w:space="0" w:color="800000"/>
            </w:tcBorders>
          </w:tcPr>
          <w:p w:rsidR="003F5784" w14:paraId="770E0CE0" w14:textId="77777777">
            <w:pPr>
              <w:pStyle w:val="TableParagraph"/>
              <w:spacing w:before="9"/>
              <w:ind w:right="117"/>
              <w:rPr>
                <w:sz w:val="21"/>
              </w:rPr>
            </w:pPr>
            <w:r>
              <w:rPr>
                <w:spacing w:val="-4"/>
                <w:sz w:val="21"/>
              </w:rPr>
              <w:t>0.71</w:t>
            </w:r>
          </w:p>
        </w:tc>
      </w:tr>
      <w:tr w14:paraId="102411CA" w14:textId="77777777">
        <w:tblPrEx>
          <w:tblW w:w="0" w:type="auto"/>
          <w:tblInd w:w="482" w:type="dxa"/>
          <w:tblLayout w:type="fixed"/>
          <w:tblCellMar>
            <w:left w:w="0" w:type="dxa"/>
            <w:right w:w="0" w:type="dxa"/>
          </w:tblCellMar>
          <w:tblLook w:val="01E0"/>
        </w:tblPrEx>
        <w:trPr>
          <w:trHeight w:val="286"/>
        </w:trPr>
        <w:tc>
          <w:tcPr>
            <w:tcW w:w="3745" w:type="dxa"/>
          </w:tcPr>
          <w:p w:rsidR="003F5784" w14:paraId="3179F84F" w14:textId="77777777">
            <w:pPr>
              <w:pStyle w:val="TableParagraph"/>
              <w:ind w:left="120"/>
              <w:jc w:val="left"/>
              <w:rPr>
                <w:sz w:val="21"/>
              </w:rPr>
            </w:pPr>
            <w:r>
              <w:rPr>
                <w:spacing w:val="-4"/>
                <w:sz w:val="21"/>
              </w:rPr>
              <w:t>2008</w:t>
            </w:r>
          </w:p>
        </w:tc>
        <w:tc>
          <w:tcPr>
            <w:tcW w:w="6820" w:type="dxa"/>
          </w:tcPr>
          <w:p w:rsidR="003F5784" w14:paraId="2F37C40B" w14:textId="77777777">
            <w:pPr>
              <w:pStyle w:val="TableParagraph"/>
              <w:ind w:right="2933"/>
              <w:rPr>
                <w:sz w:val="21"/>
              </w:rPr>
            </w:pPr>
            <w:r>
              <w:rPr>
                <w:spacing w:val="-2"/>
                <w:sz w:val="21"/>
              </w:rPr>
              <w:t>1,000</w:t>
            </w:r>
          </w:p>
        </w:tc>
        <w:tc>
          <w:tcPr>
            <w:tcW w:w="3419" w:type="dxa"/>
          </w:tcPr>
          <w:p w:rsidR="003F5784" w14:paraId="0968AF91" w14:textId="77777777">
            <w:pPr>
              <w:pStyle w:val="TableParagraph"/>
              <w:ind w:right="117"/>
              <w:rPr>
                <w:sz w:val="21"/>
              </w:rPr>
            </w:pPr>
            <w:r>
              <w:rPr>
                <w:spacing w:val="-10"/>
                <w:sz w:val="21"/>
              </w:rPr>
              <w:t>#</w:t>
            </w:r>
          </w:p>
        </w:tc>
      </w:tr>
      <w:tr w14:paraId="6A0AB474" w14:textId="77777777">
        <w:tblPrEx>
          <w:tblW w:w="0" w:type="auto"/>
          <w:tblInd w:w="482" w:type="dxa"/>
          <w:tblLayout w:type="fixed"/>
          <w:tblCellMar>
            <w:left w:w="0" w:type="dxa"/>
            <w:right w:w="0" w:type="dxa"/>
          </w:tblCellMar>
          <w:tblLook w:val="01E0"/>
        </w:tblPrEx>
        <w:trPr>
          <w:trHeight w:val="288"/>
        </w:trPr>
        <w:tc>
          <w:tcPr>
            <w:tcW w:w="3745" w:type="dxa"/>
            <w:tcBorders>
              <w:bottom w:val="single" w:sz="18" w:space="0" w:color="800000"/>
            </w:tcBorders>
          </w:tcPr>
          <w:p w:rsidR="003F5784" w14:paraId="52CB2A21" w14:textId="77777777">
            <w:pPr>
              <w:pStyle w:val="TableParagraph"/>
              <w:ind w:left="120"/>
              <w:jc w:val="left"/>
              <w:rPr>
                <w:sz w:val="21"/>
              </w:rPr>
            </w:pPr>
            <w:r>
              <w:rPr>
                <w:spacing w:val="-4"/>
                <w:sz w:val="21"/>
              </w:rPr>
              <w:t>2009</w:t>
            </w:r>
          </w:p>
        </w:tc>
        <w:tc>
          <w:tcPr>
            <w:tcW w:w="6820" w:type="dxa"/>
            <w:tcBorders>
              <w:bottom w:val="single" w:sz="18" w:space="0" w:color="800000"/>
            </w:tcBorders>
          </w:tcPr>
          <w:p w:rsidR="003F5784" w14:paraId="571C1339" w14:textId="77777777">
            <w:pPr>
              <w:pStyle w:val="TableParagraph"/>
              <w:ind w:right="2933"/>
              <w:rPr>
                <w:sz w:val="21"/>
              </w:rPr>
            </w:pPr>
            <w:r>
              <w:rPr>
                <w:spacing w:val="-5"/>
                <w:sz w:val="21"/>
              </w:rPr>
              <w:t>14</w:t>
            </w:r>
          </w:p>
        </w:tc>
        <w:tc>
          <w:tcPr>
            <w:tcW w:w="3419" w:type="dxa"/>
            <w:tcBorders>
              <w:bottom w:val="single" w:sz="18" w:space="0" w:color="800000"/>
            </w:tcBorders>
          </w:tcPr>
          <w:p w:rsidR="003F5784" w14:paraId="6B1A4660" w14:textId="77777777">
            <w:pPr>
              <w:pStyle w:val="TableParagraph"/>
              <w:ind w:right="117"/>
              <w:rPr>
                <w:sz w:val="21"/>
              </w:rPr>
            </w:pPr>
            <w:r>
              <w:rPr>
                <w:spacing w:val="-10"/>
                <w:sz w:val="21"/>
              </w:rPr>
              <w:t>#</w:t>
            </w:r>
          </w:p>
        </w:tc>
      </w:tr>
    </w:tbl>
    <w:p w:rsidR="003F5784" w14:paraId="37B9AF6A" w14:textId="77777777">
      <w:pPr>
        <w:pStyle w:val="BodyText"/>
        <w:spacing w:before="16" w:line="238" w:lineRule="exact"/>
        <w:ind w:left="595"/>
      </w:pPr>
      <w:r>
        <w:t>#</w:t>
      </w:r>
      <w:r>
        <w:rPr>
          <w:spacing w:val="-5"/>
        </w:rPr>
        <w:t xml:space="preserve"> </w:t>
      </w:r>
      <w:r>
        <w:t>Rounds</w:t>
      </w:r>
      <w:r>
        <w:rPr>
          <w:spacing w:val="-4"/>
        </w:rPr>
        <w:t xml:space="preserve"> </w:t>
      </w:r>
      <w:r>
        <w:t>to</w:t>
      </w:r>
      <w:r>
        <w:rPr>
          <w:spacing w:val="-4"/>
        </w:rPr>
        <w:t xml:space="preserve"> </w:t>
      </w:r>
      <w:r>
        <w:rPr>
          <w:spacing w:val="-2"/>
        </w:rPr>
        <w:t>zero.</w:t>
      </w:r>
    </w:p>
    <w:p w:rsidR="003F5784" w14:paraId="698B5736" w14:textId="77777777">
      <w:pPr>
        <w:pStyle w:val="BodyText"/>
        <w:spacing w:line="235"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219DAD6D"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3912FD46" w14:textId="77777777">
      <w:pPr>
        <w:pStyle w:val="BodyText"/>
        <w:spacing w:before="235" w:line="232" w:lineRule="auto"/>
        <w:ind w:left="109" w:right="179"/>
      </w:pPr>
      <w:r>
        <w:t>The combined percentages of the reading and mathematics assessments are the best estimates of the percentages of fourth-graders in school year 2016–2017 by year of birth. The objective is to get the percentages of those born in a particular year (e.g., 2007) who are in grades 2, 3, 4, and 5. Since direct estimates are not available, an indirect estimate can be obtained by assuming that the other grades have the identical distribution as fourth grade, but moved back or moved forward by one year.</w:t>
      </w:r>
      <w:r>
        <w:rPr>
          <w:spacing w:val="-4"/>
        </w:rPr>
        <w:t xml:space="preserve"> </w:t>
      </w:r>
      <w:r>
        <w:t>This effectively assumes</w:t>
      </w:r>
      <w:r>
        <w:rPr>
          <w:spacing w:val="-6"/>
        </w:rPr>
        <w:t xml:space="preserve"> </w:t>
      </w:r>
      <w:r>
        <w:t>a</w:t>
      </w:r>
      <w:r>
        <w:rPr>
          <w:spacing w:val="-6"/>
        </w:rPr>
        <w:t xml:space="preserve"> </w:t>
      </w:r>
      <w:r>
        <w:t>stationary</w:t>
      </w:r>
      <w:r>
        <w:rPr>
          <w:spacing w:val="-6"/>
        </w:rPr>
        <w:t xml:space="preserve"> </w:t>
      </w:r>
      <w:r>
        <w:t>distribution</w:t>
      </w:r>
      <w:r>
        <w:rPr>
          <w:spacing w:val="-6"/>
        </w:rPr>
        <w:t xml:space="preserve"> </w:t>
      </w:r>
      <w:r>
        <w:t>of</w:t>
      </w:r>
      <w:r>
        <w:rPr>
          <w:spacing w:val="-6"/>
        </w:rPr>
        <w:t xml:space="preserve"> </w:t>
      </w:r>
      <w:r>
        <w:t>age</w:t>
      </w:r>
      <w:r>
        <w:rPr>
          <w:spacing w:val="-6"/>
        </w:rPr>
        <w:t xml:space="preserve"> </w:t>
      </w:r>
      <w:r>
        <w:t>and</w:t>
      </w:r>
      <w:r>
        <w:rPr>
          <w:spacing w:val="-6"/>
        </w:rPr>
        <w:t xml:space="preserve"> </w:t>
      </w:r>
      <w:r>
        <w:t>grade,</w:t>
      </w:r>
      <w:r>
        <w:rPr>
          <w:spacing w:val="-6"/>
        </w:rPr>
        <w:t xml:space="preserve"> </w:t>
      </w:r>
      <w:r>
        <w:t>which</w:t>
      </w:r>
      <w:r>
        <w:rPr>
          <w:spacing w:val="-6"/>
        </w:rPr>
        <w:t xml:space="preserve"> </w:t>
      </w:r>
      <w:r>
        <w:t>is</w:t>
      </w:r>
      <w:r>
        <w:rPr>
          <w:spacing w:val="-6"/>
        </w:rPr>
        <w:t xml:space="preserve"> </w:t>
      </w:r>
      <w:r>
        <w:t>only</w:t>
      </w:r>
      <w:r>
        <w:rPr>
          <w:spacing w:val="-6"/>
        </w:rPr>
        <w:t xml:space="preserve"> </w:t>
      </w:r>
      <w:r>
        <w:t>a</w:t>
      </w:r>
      <w:r>
        <w:rPr>
          <w:spacing w:val="-6"/>
        </w:rPr>
        <w:t xml:space="preserve"> </w:t>
      </w:r>
      <w:r>
        <w:t>rough</w:t>
      </w:r>
      <w:r>
        <w:rPr>
          <w:spacing w:val="-6"/>
        </w:rPr>
        <w:t xml:space="preserve"> </w:t>
      </w:r>
      <w:r>
        <w:t>approximation</w:t>
      </w:r>
      <w:r>
        <w:rPr>
          <w:spacing w:val="-6"/>
        </w:rPr>
        <w:t xml:space="preserve"> </w:t>
      </w:r>
      <w:r>
        <w:t>of</w:t>
      </w:r>
      <w:r>
        <w:rPr>
          <w:spacing w:val="-6"/>
        </w:rPr>
        <w:t xml:space="preserve"> </w:t>
      </w:r>
      <w:r>
        <w:t>reality,</w:t>
      </w:r>
      <w:r>
        <w:rPr>
          <w:spacing w:val="-6"/>
        </w:rPr>
        <w:t xml:space="preserve"> </w:t>
      </w:r>
      <w:r>
        <w:t>but</w:t>
      </w:r>
      <w:r>
        <w:rPr>
          <w:spacing w:val="-6"/>
        </w:rPr>
        <w:t xml:space="preserve"> </w:t>
      </w:r>
      <w:r>
        <w:t>it</w:t>
      </w:r>
      <w:r>
        <w:rPr>
          <w:spacing w:val="-6"/>
        </w:rPr>
        <w:t xml:space="preserve"> </w:t>
      </w:r>
      <w:r>
        <w:t>suffices</w:t>
      </w:r>
      <w:r>
        <w:rPr>
          <w:spacing w:val="-6"/>
        </w:rPr>
        <w:t xml:space="preserve"> </w:t>
      </w:r>
      <w:r>
        <w:t>to</w:t>
      </w:r>
      <w:r>
        <w:rPr>
          <w:spacing w:val="-6"/>
        </w:rPr>
        <w:t xml:space="preserve"> </w:t>
      </w:r>
      <w:r>
        <w:t>give</w:t>
      </w:r>
      <w:r>
        <w:rPr>
          <w:spacing w:val="-6"/>
        </w:rPr>
        <w:t xml:space="preserve"> </w:t>
      </w:r>
      <w:r>
        <w:t>good</w:t>
      </w:r>
      <w:r>
        <w:rPr>
          <w:spacing w:val="-6"/>
        </w:rPr>
        <w:t xml:space="preserve"> </w:t>
      </w:r>
      <w:r>
        <w:t>measures</w:t>
      </w:r>
      <w:r>
        <w:rPr>
          <w:spacing w:val="-6"/>
        </w:rPr>
        <w:t xml:space="preserve"> </w:t>
      </w:r>
      <w:r>
        <w:t>of</w:t>
      </w:r>
      <w:r>
        <w:rPr>
          <w:spacing w:val="-6"/>
        </w:rPr>
        <w:t xml:space="preserve"> </w:t>
      </w:r>
      <w:r>
        <w:t>size.</w:t>
      </w:r>
      <w:r>
        <w:rPr>
          <w:spacing w:val="-10"/>
        </w:rPr>
        <w:t xml:space="preserve"> </w:t>
      </w:r>
      <w:r>
        <w:t>The</w:t>
      </w:r>
      <w:r>
        <w:rPr>
          <w:spacing w:val="-6"/>
        </w:rPr>
        <w:t xml:space="preserve"> </w:t>
      </w:r>
      <w:r>
        <w:t>derived</w:t>
      </w:r>
      <w:r>
        <w:rPr>
          <w:spacing w:val="-6"/>
        </w:rPr>
        <w:t xml:space="preserve"> </w:t>
      </w:r>
      <w:r>
        <w:t>percentages</w:t>
      </w:r>
      <w:r>
        <w:rPr>
          <w:spacing w:val="-6"/>
        </w:rPr>
        <w:t xml:space="preserve"> </w:t>
      </w:r>
      <w:r>
        <w:t>by</w:t>
      </w:r>
      <w:r>
        <w:rPr>
          <w:spacing w:val="-6"/>
        </w:rPr>
        <w:t xml:space="preserve"> </w:t>
      </w:r>
      <w:r>
        <w:t>age and grade using this stationarity approximation are illustrated for the Northeast region in the table below.</w:t>
      </w:r>
    </w:p>
    <w:p w:rsidR="003F5784" w14:paraId="288B35A1" w14:textId="77777777">
      <w:pPr>
        <w:pStyle w:val="BodyText"/>
        <w:spacing w:before="93"/>
      </w:pPr>
    </w:p>
    <w:p w:rsidR="003F5784" w14:paraId="7F953B19" w14:textId="77777777">
      <w:pPr>
        <w:pStyle w:val="Heading2"/>
        <w:spacing w:before="1"/>
      </w:pPr>
      <w:r>
        <w:t>Grade</w:t>
      </w:r>
      <w:r>
        <w:rPr>
          <w:spacing w:val="-10"/>
        </w:rPr>
        <w:t xml:space="preserve"> </w:t>
      </w:r>
      <w:r>
        <w:t>distribution</w:t>
      </w:r>
      <w:r>
        <w:rPr>
          <w:spacing w:val="-9"/>
        </w:rPr>
        <w:t xml:space="preserve"> </w:t>
      </w:r>
      <w:r>
        <w:t>for</w:t>
      </w:r>
      <w:r>
        <w:rPr>
          <w:spacing w:val="-13"/>
        </w:rPr>
        <w:t xml:space="preserve"> </w:t>
      </w:r>
      <w:r>
        <w:t>public</w:t>
      </w:r>
      <w:r>
        <w:rPr>
          <w:spacing w:val="-10"/>
        </w:rPr>
        <w:t xml:space="preserve"> </w:t>
      </w:r>
      <w:r>
        <w:t>schools</w:t>
      </w:r>
      <w:r>
        <w:rPr>
          <w:spacing w:val="-9"/>
        </w:rPr>
        <w:t xml:space="preserve"> </w:t>
      </w:r>
      <w:r>
        <w:t>Northeast</w:t>
      </w:r>
      <w:r>
        <w:rPr>
          <w:spacing w:val="-10"/>
        </w:rPr>
        <w:t xml:space="preserve"> </w:t>
      </w:r>
      <w:r>
        <w:t>region,</w:t>
      </w:r>
      <w:r>
        <w:rPr>
          <w:spacing w:val="-9"/>
        </w:rPr>
        <w:t xml:space="preserve"> </w:t>
      </w:r>
      <w:r>
        <w:t>2016–2017</w:t>
      </w:r>
      <w:r>
        <w:rPr>
          <w:spacing w:val="-10"/>
        </w:rPr>
        <w:t xml:space="preserve"> </w:t>
      </w:r>
      <w:r>
        <w:t>school</w:t>
      </w:r>
      <w:r>
        <w:rPr>
          <w:spacing w:val="-9"/>
        </w:rPr>
        <w:t xml:space="preserve"> </w:t>
      </w:r>
      <w:r>
        <w:t>year,</w:t>
      </w:r>
      <w:r>
        <w:rPr>
          <w:spacing w:val="-10"/>
        </w:rPr>
        <w:t xml:space="preserve"> </w:t>
      </w:r>
      <w:r>
        <w:t>assuming</w:t>
      </w:r>
      <w:r>
        <w:rPr>
          <w:spacing w:val="-9"/>
        </w:rPr>
        <w:t xml:space="preserve"> </w:t>
      </w:r>
      <w:r>
        <w:t>stationarity,</w:t>
      </w:r>
      <w:r>
        <w:rPr>
          <w:spacing w:val="-9"/>
        </w:rPr>
        <w:t xml:space="preserve"> </w:t>
      </w:r>
      <w:r>
        <w:t>by</w:t>
      </w:r>
      <w:r>
        <w:rPr>
          <w:spacing w:val="-10"/>
        </w:rPr>
        <w:t xml:space="preserve"> </w:t>
      </w:r>
      <w:r>
        <w:t>year</w:t>
      </w:r>
      <w:r>
        <w:rPr>
          <w:spacing w:val="-13"/>
        </w:rPr>
        <w:t xml:space="preserve"> </w:t>
      </w:r>
      <w:r>
        <w:t>of</w:t>
      </w:r>
      <w:r>
        <w:rPr>
          <w:spacing w:val="-9"/>
        </w:rPr>
        <w:t xml:space="preserve"> </w:t>
      </w:r>
      <w:r>
        <w:t>birth:</w:t>
      </w:r>
      <w:r>
        <w:rPr>
          <w:spacing w:val="-10"/>
        </w:rPr>
        <w:t xml:space="preserve"> </w:t>
      </w:r>
      <w:r>
        <w:rPr>
          <w:spacing w:val="-4"/>
        </w:rPr>
        <w:t>2017</w:t>
      </w:r>
    </w:p>
    <w:p w:rsidR="003F5784" w14:paraId="1B093794"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2453"/>
        <w:gridCol w:w="3036"/>
        <w:gridCol w:w="2284"/>
        <w:gridCol w:w="2357"/>
        <w:gridCol w:w="2154"/>
        <w:gridCol w:w="1697"/>
      </w:tblGrid>
      <w:tr w14:paraId="13260304" w14:textId="77777777">
        <w:tblPrEx>
          <w:tblW w:w="0" w:type="auto"/>
          <w:tblInd w:w="482" w:type="dxa"/>
          <w:tblLayout w:type="fixed"/>
          <w:tblCellMar>
            <w:left w:w="0" w:type="dxa"/>
            <w:right w:w="0" w:type="dxa"/>
          </w:tblCellMar>
          <w:tblLook w:val="01E0"/>
        </w:tblPrEx>
        <w:trPr>
          <w:trHeight w:val="267"/>
        </w:trPr>
        <w:tc>
          <w:tcPr>
            <w:tcW w:w="2453" w:type="dxa"/>
            <w:tcBorders>
              <w:top w:val="single" w:sz="18" w:space="0" w:color="800000"/>
              <w:bottom w:val="single" w:sz="18" w:space="0" w:color="800000"/>
            </w:tcBorders>
          </w:tcPr>
          <w:p w:rsidR="003F5784" w14:paraId="4BA5E83B" w14:textId="77777777">
            <w:pPr>
              <w:pStyle w:val="TableParagraph"/>
              <w:spacing w:before="9" w:line="238" w:lineRule="exact"/>
              <w:ind w:left="120"/>
              <w:jc w:val="left"/>
              <w:rPr>
                <w:sz w:val="21"/>
              </w:rPr>
            </w:pPr>
            <w:r>
              <w:rPr>
                <w:spacing w:val="-2"/>
                <w:sz w:val="21"/>
              </w:rPr>
              <w:t>Year</w:t>
            </w:r>
            <w:r>
              <w:rPr>
                <w:spacing w:val="-9"/>
                <w:sz w:val="21"/>
              </w:rPr>
              <w:t xml:space="preserve"> </w:t>
            </w:r>
            <w:r>
              <w:rPr>
                <w:spacing w:val="-2"/>
                <w:sz w:val="21"/>
              </w:rPr>
              <w:t>of</w:t>
            </w:r>
            <w:r>
              <w:rPr>
                <w:spacing w:val="-8"/>
                <w:sz w:val="21"/>
              </w:rPr>
              <w:t xml:space="preserve"> </w:t>
            </w:r>
            <w:r>
              <w:rPr>
                <w:spacing w:val="-2"/>
                <w:sz w:val="21"/>
              </w:rPr>
              <w:t>birth</w:t>
            </w:r>
          </w:p>
        </w:tc>
        <w:tc>
          <w:tcPr>
            <w:tcW w:w="3036" w:type="dxa"/>
            <w:tcBorders>
              <w:top w:val="single" w:sz="18" w:space="0" w:color="800000"/>
              <w:bottom w:val="single" w:sz="18" w:space="0" w:color="800000"/>
            </w:tcBorders>
          </w:tcPr>
          <w:p w:rsidR="003F5784" w14:paraId="36CAF381" w14:textId="77777777">
            <w:pPr>
              <w:pStyle w:val="TableParagraph"/>
              <w:spacing w:before="9" w:line="238" w:lineRule="exact"/>
              <w:ind w:right="627"/>
              <w:rPr>
                <w:sz w:val="21"/>
              </w:rPr>
            </w:pPr>
            <w:r>
              <w:rPr>
                <w:sz w:val="21"/>
              </w:rPr>
              <w:t>Second</w:t>
            </w:r>
            <w:r>
              <w:rPr>
                <w:spacing w:val="-8"/>
                <w:sz w:val="21"/>
              </w:rPr>
              <w:t xml:space="preserve"> </w:t>
            </w:r>
            <w:r>
              <w:rPr>
                <w:spacing w:val="-2"/>
                <w:sz w:val="21"/>
              </w:rPr>
              <w:t>grade</w:t>
            </w:r>
          </w:p>
        </w:tc>
        <w:tc>
          <w:tcPr>
            <w:tcW w:w="2284" w:type="dxa"/>
            <w:tcBorders>
              <w:top w:val="single" w:sz="18" w:space="0" w:color="800000"/>
              <w:bottom w:val="single" w:sz="18" w:space="0" w:color="800000"/>
            </w:tcBorders>
          </w:tcPr>
          <w:p w:rsidR="003F5784" w14:paraId="22EC6E10" w14:textId="77777777">
            <w:pPr>
              <w:pStyle w:val="TableParagraph"/>
              <w:spacing w:before="9" w:line="238" w:lineRule="exact"/>
              <w:ind w:right="672"/>
              <w:rPr>
                <w:sz w:val="21"/>
              </w:rPr>
            </w:pPr>
            <w:r>
              <w:rPr>
                <w:sz w:val="21"/>
              </w:rPr>
              <w:t>Third</w:t>
            </w:r>
            <w:r>
              <w:rPr>
                <w:spacing w:val="-6"/>
                <w:sz w:val="21"/>
              </w:rPr>
              <w:t xml:space="preserve"> </w:t>
            </w:r>
            <w:r>
              <w:rPr>
                <w:spacing w:val="-2"/>
                <w:sz w:val="21"/>
              </w:rPr>
              <w:t>grade</w:t>
            </w:r>
          </w:p>
        </w:tc>
        <w:tc>
          <w:tcPr>
            <w:tcW w:w="2357" w:type="dxa"/>
            <w:tcBorders>
              <w:top w:val="single" w:sz="18" w:space="0" w:color="800000"/>
              <w:bottom w:val="single" w:sz="18" w:space="0" w:color="800000"/>
            </w:tcBorders>
          </w:tcPr>
          <w:p w:rsidR="003F5784" w14:paraId="63471940" w14:textId="77777777">
            <w:pPr>
              <w:pStyle w:val="TableParagraph"/>
              <w:spacing w:before="9" w:line="238" w:lineRule="exact"/>
              <w:ind w:right="607"/>
              <w:rPr>
                <w:sz w:val="21"/>
              </w:rPr>
            </w:pPr>
            <w:r>
              <w:rPr>
                <w:sz w:val="21"/>
              </w:rPr>
              <w:t>Fourth</w:t>
            </w:r>
            <w:r>
              <w:rPr>
                <w:spacing w:val="-7"/>
                <w:sz w:val="21"/>
              </w:rPr>
              <w:t xml:space="preserve"> </w:t>
            </w:r>
            <w:r>
              <w:rPr>
                <w:spacing w:val="-2"/>
                <w:sz w:val="21"/>
              </w:rPr>
              <w:t>grade</w:t>
            </w:r>
          </w:p>
        </w:tc>
        <w:tc>
          <w:tcPr>
            <w:tcW w:w="2154" w:type="dxa"/>
            <w:tcBorders>
              <w:top w:val="single" w:sz="18" w:space="0" w:color="800000"/>
              <w:bottom w:val="single" w:sz="18" w:space="0" w:color="800000"/>
            </w:tcBorders>
          </w:tcPr>
          <w:p w:rsidR="003F5784" w14:paraId="39A0AA5B" w14:textId="77777777">
            <w:pPr>
              <w:pStyle w:val="TableParagraph"/>
              <w:spacing w:before="9" w:line="238" w:lineRule="exact"/>
              <w:ind w:right="619"/>
              <w:rPr>
                <w:sz w:val="21"/>
              </w:rPr>
            </w:pPr>
            <w:r>
              <w:rPr>
                <w:sz w:val="21"/>
              </w:rPr>
              <w:t>Fifth</w:t>
            </w:r>
            <w:r>
              <w:rPr>
                <w:spacing w:val="-6"/>
                <w:sz w:val="21"/>
              </w:rPr>
              <w:t xml:space="preserve"> </w:t>
            </w:r>
            <w:r>
              <w:rPr>
                <w:spacing w:val="-2"/>
                <w:sz w:val="21"/>
              </w:rPr>
              <w:t>grade</w:t>
            </w:r>
          </w:p>
        </w:tc>
        <w:tc>
          <w:tcPr>
            <w:tcW w:w="1697" w:type="dxa"/>
            <w:tcBorders>
              <w:top w:val="single" w:sz="18" w:space="0" w:color="800000"/>
              <w:bottom w:val="single" w:sz="18" w:space="0" w:color="800000"/>
            </w:tcBorders>
          </w:tcPr>
          <w:p w:rsidR="003F5784" w14:paraId="63B4336F" w14:textId="77777777">
            <w:pPr>
              <w:pStyle w:val="TableParagraph"/>
              <w:spacing w:before="9" w:line="238" w:lineRule="exact"/>
              <w:ind w:right="114"/>
              <w:rPr>
                <w:sz w:val="21"/>
              </w:rPr>
            </w:pPr>
            <w:r>
              <w:rPr>
                <w:sz w:val="21"/>
              </w:rPr>
              <w:t>Sixth</w:t>
            </w:r>
            <w:r>
              <w:rPr>
                <w:spacing w:val="-6"/>
                <w:sz w:val="21"/>
              </w:rPr>
              <w:t xml:space="preserve"> </w:t>
            </w:r>
            <w:r>
              <w:rPr>
                <w:spacing w:val="-2"/>
                <w:sz w:val="21"/>
              </w:rPr>
              <w:t>grade</w:t>
            </w:r>
          </w:p>
        </w:tc>
      </w:tr>
      <w:tr w14:paraId="4E2F75E5" w14:textId="77777777">
        <w:tblPrEx>
          <w:tblW w:w="0" w:type="auto"/>
          <w:tblInd w:w="482" w:type="dxa"/>
          <w:tblLayout w:type="fixed"/>
          <w:tblCellMar>
            <w:left w:w="0" w:type="dxa"/>
            <w:right w:w="0" w:type="dxa"/>
          </w:tblCellMar>
          <w:tblLook w:val="01E0"/>
        </w:tblPrEx>
        <w:trPr>
          <w:trHeight w:val="278"/>
        </w:trPr>
        <w:tc>
          <w:tcPr>
            <w:tcW w:w="2453" w:type="dxa"/>
            <w:tcBorders>
              <w:top w:val="single" w:sz="18" w:space="0" w:color="800000"/>
            </w:tcBorders>
          </w:tcPr>
          <w:p w:rsidR="003F5784" w14:paraId="344E7430" w14:textId="77777777">
            <w:pPr>
              <w:pStyle w:val="TableParagraph"/>
              <w:spacing w:before="9"/>
              <w:ind w:left="370"/>
              <w:jc w:val="left"/>
              <w:rPr>
                <w:b/>
                <w:sz w:val="21"/>
              </w:rPr>
            </w:pPr>
            <w:r>
              <w:rPr>
                <w:b/>
                <w:spacing w:val="-2"/>
                <w:sz w:val="21"/>
              </w:rPr>
              <w:t>Total</w:t>
            </w:r>
          </w:p>
        </w:tc>
        <w:tc>
          <w:tcPr>
            <w:tcW w:w="3036" w:type="dxa"/>
            <w:tcBorders>
              <w:top w:val="single" w:sz="18" w:space="0" w:color="800000"/>
            </w:tcBorders>
          </w:tcPr>
          <w:p w:rsidR="003F5784" w14:paraId="40CC3712" w14:textId="77777777">
            <w:pPr>
              <w:pStyle w:val="TableParagraph"/>
              <w:spacing w:before="9"/>
              <w:ind w:right="627"/>
              <w:rPr>
                <w:b/>
                <w:sz w:val="21"/>
              </w:rPr>
            </w:pPr>
            <w:r>
              <w:rPr>
                <w:b/>
                <w:spacing w:val="-4"/>
                <w:sz w:val="21"/>
              </w:rPr>
              <w:t>1.00</w:t>
            </w:r>
          </w:p>
        </w:tc>
        <w:tc>
          <w:tcPr>
            <w:tcW w:w="2284" w:type="dxa"/>
            <w:tcBorders>
              <w:top w:val="single" w:sz="18" w:space="0" w:color="800000"/>
            </w:tcBorders>
          </w:tcPr>
          <w:p w:rsidR="003F5784" w14:paraId="75697B03" w14:textId="77777777">
            <w:pPr>
              <w:pStyle w:val="TableParagraph"/>
              <w:spacing w:before="9"/>
              <w:ind w:right="672"/>
              <w:rPr>
                <w:b/>
                <w:sz w:val="21"/>
              </w:rPr>
            </w:pPr>
            <w:r>
              <w:rPr>
                <w:b/>
                <w:spacing w:val="-4"/>
                <w:sz w:val="21"/>
              </w:rPr>
              <w:t>1.00</w:t>
            </w:r>
          </w:p>
        </w:tc>
        <w:tc>
          <w:tcPr>
            <w:tcW w:w="2357" w:type="dxa"/>
            <w:tcBorders>
              <w:top w:val="single" w:sz="18" w:space="0" w:color="800000"/>
            </w:tcBorders>
          </w:tcPr>
          <w:p w:rsidR="003F5784" w14:paraId="6AA11B3F" w14:textId="77777777">
            <w:pPr>
              <w:pStyle w:val="TableParagraph"/>
              <w:spacing w:before="9"/>
              <w:ind w:right="607"/>
              <w:rPr>
                <w:b/>
                <w:sz w:val="21"/>
              </w:rPr>
            </w:pPr>
            <w:r>
              <w:rPr>
                <w:b/>
                <w:spacing w:val="-4"/>
                <w:sz w:val="21"/>
              </w:rPr>
              <w:t>1.00</w:t>
            </w:r>
          </w:p>
        </w:tc>
        <w:tc>
          <w:tcPr>
            <w:tcW w:w="2154" w:type="dxa"/>
            <w:tcBorders>
              <w:top w:val="single" w:sz="18" w:space="0" w:color="800000"/>
            </w:tcBorders>
          </w:tcPr>
          <w:p w:rsidR="003F5784" w14:paraId="419F3526" w14:textId="77777777">
            <w:pPr>
              <w:pStyle w:val="TableParagraph"/>
              <w:spacing w:before="9"/>
              <w:ind w:right="619"/>
              <w:rPr>
                <w:b/>
                <w:sz w:val="21"/>
              </w:rPr>
            </w:pPr>
            <w:r>
              <w:rPr>
                <w:b/>
                <w:spacing w:val="-4"/>
                <w:sz w:val="21"/>
              </w:rPr>
              <w:t>1.00</w:t>
            </w:r>
          </w:p>
        </w:tc>
        <w:tc>
          <w:tcPr>
            <w:tcW w:w="1697" w:type="dxa"/>
            <w:tcBorders>
              <w:top w:val="single" w:sz="18" w:space="0" w:color="800000"/>
            </w:tcBorders>
          </w:tcPr>
          <w:p w:rsidR="003F5784" w14:paraId="13C6D6E9" w14:textId="77777777">
            <w:pPr>
              <w:pStyle w:val="TableParagraph"/>
              <w:spacing w:before="9"/>
              <w:ind w:right="114"/>
              <w:rPr>
                <w:b/>
                <w:sz w:val="21"/>
              </w:rPr>
            </w:pPr>
            <w:r>
              <w:rPr>
                <w:b/>
                <w:spacing w:val="-4"/>
                <w:sz w:val="21"/>
              </w:rPr>
              <w:t>1.00</w:t>
            </w:r>
          </w:p>
        </w:tc>
      </w:tr>
      <w:tr w14:paraId="44D0AA7F" w14:textId="77777777">
        <w:tblPrEx>
          <w:tblW w:w="0" w:type="auto"/>
          <w:tblInd w:w="482" w:type="dxa"/>
          <w:tblLayout w:type="fixed"/>
          <w:tblCellMar>
            <w:left w:w="0" w:type="dxa"/>
            <w:right w:w="0" w:type="dxa"/>
          </w:tblCellMar>
          <w:tblLook w:val="01E0"/>
        </w:tblPrEx>
        <w:trPr>
          <w:trHeight w:val="286"/>
        </w:trPr>
        <w:tc>
          <w:tcPr>
            <w:tcW w:w="2453" w:type="dxa"/>
          </w:tcPr>
          <w:p w:rsidR="003F5784" w14:paraId="0DCAB673" w14:textId="77777777">
            <w:pPr>
              <w:pStyle w:val="TableParagraph"/>
              <w:ind w:left="120"/>
              <w:jc w:val="left"/>
              <w:rPr>
                <w:sz w:val="21"/>
              </w:rPr>
            </w:pPr>
            <w:r>
              <w:rPr>
                <w:spacing w:val="-4"/>
                <w:sz w:val="21"/>
              </w:rPr>
              <w:t>2003</w:t>
            </w:r>
          </w:p>
        </w:tc>
        <w:tc>
          <w:tcPr>
            <w:tcW w:w="3036" w:type="dxa"/>
          </w:tcPr>
          <w:p w:rsidR="003F5784" w14:paraId="34C60E9A" w14:textId="77777777">
            <w:pPr>
              <w:pStyle w:val="TableParagraph"/>
              <w:ind w:right="627"/>
              <w:rPr>
                <w:sz w:val="21"/>
              </w:rPr>
            </w:pPr>
            <w:r>
              <w:rPr>
                <w:spacing w:val="-10"/>
                <w:sz w:val="21"/>
              </w:rPr>
              <w:t>#</w:t>
            </w:r>
          </w:p>
        </w:tc>
        <w:tc>
          <w:tcPr>
            <w:tcW w:w="2284" w:type="dxa"/>
          </w:tcPr>
          <w:p w:rsidR="003F5784" w14:paraId="2D2B05F5" w14:textId="77777777">
            <w:pPr>
              <w:pStyle w:val="TableParagraph"/>
              <w:ind w:right="672"/>
              <w:rPr>
                <w:sz w:val="21"/>
              </w:rPr>
            </w:pPr>
            <w:r>
              <w:rPr>
                <w:spacing w:val="-10"/>
                <w:sz w:val="21"/>
              </w:rPr>
              <w:t>#</w:t>
            </w:r>
          </w:p>
        </w:tc>
        <w:tc>
          <w:tcPr>
            <w:tcW w:w="2357" w:type="dxa"/>
          </w:tcPr>
          <w:p w:rsidR="003F5784" w14:paraId="669063F0" w14:textId="77777777">
            <w:pPr>
              <w:pStyle w:val="TableParagraph"/>
              <w:ind w:right="607"/>
              <w:rPr>
                <w:sz w:val="21"/>
              </w:rPr>
            </w:pPr>
            <w:r>
              <w:rPr>
                <w:spacing w:val="-10"/>
                <w:sz w:val="21"/>
              </w:rPr>
              <w:t>#</w:t>
            </w:r>
          </w:p>
        </w:tc>
        <w:tc>
          <w:tcPr>
            <w:tcW w:w="2154" w:type="dxa"/>
          </w:tcPr>
          <w:p w:rsidR="003F5784" w14:paraId="4C56E985" w14:textId="77777777">
            <w:pPr>
              <w:pStyle w:val="TableParagraph"/>
              <w:ind w:right="619"/>
              <w:rPr>
                <w:sz w:val="21"/>
              </w:rPr>
            </w:pPr>
            <w:r>
              <w:rPr>
                <w:spacing w:val="-10"/>
                <w:sz w:val="21"/>
              </w:rPr>
              <w:t>#</w:t>
            </w:r>
          </w:p>
        </w:tc>
        <w:tc>
          <w:tcPr>
            <w:tcW w:w="1697" w:type="dxa"/>
          </w:tcPr>
          <w:p w:rsidR="003F5784" w14:paraId="3D496C68" w14:textId="77777777">
            <w:pPr>
              <w:pStyle w:val="TableParagraph"/>
              <w:ind w:right="114"/>
              <w:rPr>
                <w:sz w:val="21"/>
              </w:rPr>
            </w:pPr>
            <w:r>
              <w:rPr>
                <w:spacing w:val="-4"/>
                <w:sz w:val="21"/>
              </w:rPr>
              <w:t>0.01</w:t>
            </w:r>
          </w:p>
        </w:tc>
      </w:tr>
      <w:tr w14:paraId="4499309A" w14:textId="77777777">
        <w:tblPrEx>
          <w:tblW w:w="0" w:type="auto"/>
          <w:tblInd w:w="482" w:type="dxa"/>
          <w:tblLayout w:type="fixed"/>
          <w:tblCellMar>
            <w:left w:w="0" w:type="dxa"/>
            <w:right w:w="0" w:type="dxa"/>
          </w:tblCellMar>
          <w:tblLook w:val="01E0"/>
        </w:tblPrEx>
        <w:trPr>
          <w:trHeight w:val="286"/>
        </w:trPr>
        <w:tc>
          <w:tcPr>
            <w:tcW w:w="2453" w:type="dxa"/>
          </w:tcPr>
          <w:p w:rsidR="003F5784" w14:paraId="1429A660" w14:textId="77777777">
            <w:pPr>
              <w:pStyle w:val="TableParagraph"/>
              <w:ind w:left="120"/>
              <w:jc w:val="left"/>
              <w:rPr>
                <w:sz w:val="21"/>
              </w:rPr>
            </w:pPr>
            <w:r>
              <w:rPr>
                <w:spacing w:val="-4"/>
                <w:sz w:val="21"/>
              </w:rPr>
              <w:t>2004</w:t>
            </w:r>
          </w:p>
        </w:tc>
        <w:tc>
          <w:tcPr>
            <w:tcW w:w="3036" w:type="dxa"/>
          </w:tcPr>
          <w:p w:rsidR="003F5784" w14:paraId="1CE07B5B" w14:textId="77777777">
            <w:pPr>
              <w:pStyle w:val="TableParagraph"/>
              <w:ind w:right="627"/>
              <w:rPr>
                <w:sz w:val="21"/>
              </w:rPr>
            </w:pPr>
            <w:r>
              <w:rPr>
                <w:spacing w:val="-10"/>
                <w:sz w:val="21"/>
              </w:rPr>
              <w:t>#</w:t>
            </w:r>
          </w:p>
        </w:tc>
        <w:tc>
          <w:tcPr>
            <w:tcW w:w="2284" w:type="dxa"/>
          </w:tcPr>
          <w:p w:rsidR="003F5784" w14:paraId="6AE91AA9" w14:textId="77777777">
            <w:pPr>
              <w:pStyle w:val="TableParagraph"/>
              <w:ind w:right="672"/>
              <w:rPr>
                <w:sz w:val="21"/>
              </w:rPr>
            </w:pPr>
            <w:r>
              <w:rPr>
                <w:spacing w:val="-10"/>
                <w:sz w:val="21"/>
              </w:rPr>
              <w:t>#</w:t>
            </w:r>
          </w:p>
        </w:tc>
        <w:tc>
          <w:tcPr>
            <w:tcW w:w="2357" w:type="dxa"/>
          </w:tcPr>
          <w:p w:rsidR="003F5784" w14:paraId="0BB0C5FA" w14:textId="77777777">
            <w:pPr>
              <w:pStyle w:val="TableParagraph"/>
              <w:ind w:right="607"/>
              <w:rPr>
                <w:sz w:val="21"/>
              </w:rPr>
            </w:pPr>
            <w:r>
              <w:rPr>
                <w:spacing w:val="-10"/>
                <w:sz w:val="21"/>
              </w:rPr>
              <w:t>#</w:t>
            </w:r>
          </w:p>
        </w:tc>
        <w:tc>
          <w:tcPr>
            <w:tcW w:w="2154" w:type="dxa"/>
          </w:tcPr>
          <w:p w:rsidR="003F5784" w14:paraId="17A7AF9C" w14:textId="77777777">
            <w:pPr>
              <w:pStyle w:val="TableParagraph"/>
              <w:ind w:right="619"/>
              <w:rPr>
                <w:sz w:val="21"/>
              </w:rPr>
            </w:pPr>
            <w:r>
              <w:rPr>
                <w:spacing w:val="-4"/>
                <w:sz w:val="21"/>
              </w:rPr>
              <w:t>0.01</w:t>
            </w:r>
          </w:p>
        </w:tc>
        <w:tc>
          <w:tcPr>
            <w:tcW w:w="1697" w:type="dxa"/>
          </w:tcPr>
          <w:p w:rsidR="003F5784" w14:paraId="1708B875" w14:textId="77777777">
            <w:pPr>
              <w:pStyle w:val="TableParagraph"/>
              <w:ind w:right="114"/>
              <w:rPr>
                <w:sz w:val="21"/>
              </w:rPr>
            </w:pPr>
            <w:r>
              <w:rPr>
                <w:spacing w:val="-4"/>
                <w:sz w:val="21"/>
              </w:rPr>
              <w:t>0.28</w:t>
            </w:r>
          </w:p>
        </w:tc>
      </w:tr>
      <w:tr w14:paraId="57D3B883" w14:textId="77777777">
        <w:tblPrEx>
          <w:tblW w:w="0" w:type="auto"/>
          <w:tblInd w:w="482" w:type="dxa"/>
          <w:tblLayout w:type="fixed"/>
          <w:tblCellMar>
            <w:left w:w="0" w:type="dxa"/>
            <w:right w:w="0" w:type="dxa"/>
          </w:tblCellMar>
          <w:tblLook w:val="01E0"/>
        </w:tblPrEx>
        <w:trPr>
          <w:trHeight w:val="286"/>
        </w:trPr>
        <w:tc>
          <w:tcPr>
            <w:tcW w:w="2453" w:type="dxa"/>
          </w:tcPr>
          <w:p w:rsidR="003F5784" w14:paraId="43EA6474" w14:textId="77777777">
            <w:pPr>
              <w:pStyle w:val="TableParagraph"/>
              <w:ind w:left="120"/>
              <w:jc w:val="left"/>
              <w:rPr>
                <w:sz w:val="21"/>
              </w:rPr>
            </w:pPr>
            <w:r>
              <w:rPr>
                <w:spacing w:val="-4"/>
                <w:sz w:val="21"/>
              </w:rPr>
              <w:t>2005</w:t>
            </w:r>
          </w:p>
        </w:tc>
        <w:tc>
          <w:tcPr>
            <w:tcW w:w="3036" w:type="dxa"/>
          </w:tcPr>
          <w:p w:rsidR="003F5784" w14:paraId="121C8E2F" w14:textId="77777777">
            <w:pPr>
              <w:pStyle w:val="TableParagraph"/>
              <w:ind w:right="627"/>
              <w:rPr>
                <w:sz w:val="21"/>
              </w:rPr>
            </w:pPr>
            <w:r>
              <w:rPr>
                <w:spacing w:val="-10"/>
                <w:sz w:val="21"/>
              </w:rPr>
              <w:t>#</w:t>
            </w:r>
          </w:p>
        </w:tc>
        <w:tc>
          <w:tcPr>
            <w:tcW w:w="2284" w:type="dxa"/>
          </w:tcPr>
          <w:p w:rsidR="003F5784" w14:paraId="6C8764F5" w14:textId="77777777">
            <w:pPr>
              <w:pStyle w:val="TableParagraph"/>
              <w:ind w:right="672"/>
              <w:rPr>
                <w:sz w:val="21"/>
              </w:rPr>
            </w:pPr>
            <w:r>
              <w:rPr>
                <w:spacing w:val="-10"/>
                <w:sz w:val="21"/>
              </w:rPr>
              <w:t>#</w:t>
            </w:r>
          </w:p>
        </w:tc>
        <w:tc>
          <w:tcPr>
            <w:tcW w:w="2357" w:type="dxa"/>
          </w:tcPr>
          <w:p w:rsidR="003F5784" w14:paraId="2138FA93" w14:textId="77777777">
            <w:pPr>
              <w:pStyle w:val="TableParagraph"/>
              <w:ind w:right="607"/>
              <w:rPr>
                <w:sz w:val="21"/>
              </w:rPr>
            </w:pPr>
            <w:r>
              <w:rPr>
                <w:spacing w:val="-4"/>
                <w:sz w:val="21"/>
              </w:rPr>
              <w:t>0.01</w:t>
            </w:r>
          </w:p>
        </w:tc>
        <w:tc>
          <w:tcPr>
            <w:tcW w:w="2154" w:type="dxa"/>
          </w:tcPr>
          <w:p w:rsidR="003F5784" w14:paraId="21F19EB7" w14:textId="77777777">
            <w:pPr>
              <w:pStyle w:val="TableParagraph"/>
              <w:ind w:right="619"/>
              <w:rPr>
                <w:sz w:val="21"/>
              </w:rPr>
            </w:pPr>
            <w:r>
              <w:rPr>
                <w:spacing w:val="-4"/>
                <w:sz w:val="21"/>
              </w:rPr>
              <w:t>0.28</w:t>
            </w:r>
          </w:p>
        </w:tc>
        <w:tc>
          <w:tcPr>
            <w:tcW w:w="1697" w:type="dxa"/>
          </w:tcPr>
          <w:p w:rsidR="003F5784" w14:paraId="4D6286A1" w14:textId="77777777">
            <w:pPr>
              <w:pStyle w:val="TableParagraph"/>
              <w:ind w:right="114"/>
              <w:rPr>
                <w:sz w:val="21"/>
              </w:rPr>
            </w:pPr>
            <w:r>
              <w:rPr>
                <w:spacing w:val="-4"/>
                <w:sz w:val="21"/>
              </w:rPr>
              <w:t>0.71</w:t>
            </w:r>
          </w:p>
        </w:tc>
      </w:tr>
      <w:tr w14:paraId="5919A70E" w14:textId="77777777">
        <w:tblPrEx>
          <w:tblW w:w="0" w:type="auto"/>
          <w:tblInd w:w="482" w:type="dxa"/>
          <w:tblLayout w:type="fixed"/>
          <w:tblCellMar>
            <w:left w:w="0" w:type="dxa"/>
            <w:right w:w="0" w:type="dxa"/>
          </w:tblCellMar>
          <w:tblLook w:val="01E0"/>
        </w:tblPrEx>
        <w:trPr>
          <w:trHeight w:val="286"/>
        </w:trPr>
        <w:tc>
          <w:tcPr>
            <w:tcW w:w="2453" w:type="dxa"/>
          </w:tcPr>
          <w:p w:rsidR="003F5784" w14:paraId="705A5440" w14:textId="77777777">
            <w:pPr>
              <w:pStyle w:val="TableParagraph"/>
              <w:ind w:left="120"/>
              <w:jc w:val="left"/>
              <w:rPr>
                <w:sz w:val="21"/>
              </w:rPr>
            </w:pPr>
            <w:r>
              <w:rPr>
                <w:spacing w:val="-4"/>
                <w:sz w:val="21"/>
              </w:rPr>
              <w:t>2006</w:t>
            </w:r>
          </w:p>
        </w:tc>
        <w:tc>
          <w:tcPr>
            <w:tcW w:w="3036" w:type="dxa"/>
          </w:tcPr>
          <w:p w:rsidR="003F5784" w14:paraId="545F1336" w14:textId="77777777">
            <w:pPr>
              <w:pStyle w:val="TableParagraph"/>
              <w:ind w:right="627"/>
              <w:rPr>
                <w:sz w:val="21"/>
              </w:rPr>
            </w:pPr>
            <w:r>
              <w:rPr>
                <w:spacing w:val="-10"/>
                <w:sz w:val="21"/>
              </w:rPr>
              <w:t>#</w:t>
            </w:r>
          </w:p>
        </w:tc>
        <w:tc>
          <w:tcPr>
            <w:tcW w:w="2284" w:type="dxa"/>
          </w:tcPr>
          <w:p w:rsidR="003F5784" w14:paraId="5E70D11D" w14:textId="77777777">
            <w:pPr>
              <w:pStyle w:val="TableParagraph"/>
              <w:ind w:right="672"/>
              <w:rPr>
                <w:sz w:val="21"/>
              </w:rPr>
            </w:pPr>
            <w:r>
              <w:rPr>
                <w:spacing w:val="-4"/>
                <w:sz w:val="21"/>
              </w:rPr>
              <w:t>0.01</w:t>
            </w:r>
          </w:p>
        </w:tc>
        <w:tc>
          <w:tcPr>
            <w:tcW w:w="2357" w:type="dxa"/>
          </w:tcPr>
          <w:p w:rsidR="003F5784" w14:paraId="29131EDA" w14:textId="77777777">
            <w:pPr>
              <w:pStyle w:val="TableParagraph"/>
              <w:ind w:right="607"/>
              <w:rPr>
                <w:sz w:val="21"/>
              </w:rPr>
            </w:pPr>
            <w:r>
              <w:rPr>
                <w:spacing w:val="-4"/>
                <w:sz w:val="21"/>
              </w:rPr>
              <w:t>0.28</w:t>
            </w:r>
          </w:p>
        </w:tc>
        <w:tc>
          <w:tcPr>
            <w:tcW w:w="2154" w:type="dxa"/>
          </w:tcPr>
          <w:p w:rsidR="003F5784" w14:paraId="5D935873" w14:textId="77777777">
            <w:pPr>
              <w:pStyle w:val="TableParagraph"/>
              <w:ind w:right="619"/>
              <w:rPr>
                <w:sz w:val="21"/>
              </w:rPr>
            </w:pPr>
            <w:r>
              <w:rPr>
                <w:spacing w:val="-4"/>
                <w:sz w:val="21"/>
              </w:rPr>
              <w:t>0.71</w:t>
            </w:r>
          </w:p>
        </w:tc>
        <w:tc>
          <w:tcPr>
            <w:tcW w:w="1697" w:type="dxa"/>
          </w:tcPr>
          <w:p w:rsidR="003F5784" w14:paraId="78B52A03" w14:textId="77777777">
            <w:pPr>
              <w:pStyle w:val="TableParagraph"/>
              <w:ind w:right="114"/>
              <w:rPr>
                <w:sz w:val="21"/>
              </w:rPr>
            </w:pPr>
            <w:r>
              <w:rPr>
                <w:spacing w:val="-10"/>
                <w:sz w:val="21"/>
              </w:rPr>
              <w:t>#</w:t>
            </w:r>
          </w:p>
        </w:tc>
      </w:tr>
      <w:tr w14:paraId="05F09A54" w14:textId="77777777">
        <w:tblPrEx>
          <w:tblW w:w="0" w:type="auto"/>
          <w:tblInd w:w="482" w:type="dxa"/>
          <w:tblLayout w:type="fixed"/>
          <w:tblCellMar>
            <w:left w:w="0" w:type="dxa"/>
            <w:right w:w="0" w:type="dxa"/>
          </w:tblCellMar>
          <w:tblLook w:val="01E0"/>
        </w:tblPrEx>
        <w:trPr>
          <w:trHeight w:val="286"/>
        </w:trPr>
        <w:tc>
          <w:tcPr>
            <w:tcW w:w="2453" w:type="dxa"/>
          </w:tcPr>
          <w:p w:rsidR="003F5784" w14:paraId="482AA891" w14:textId="77777777">
            <w:pPr>
              <w:pStyle w:val="TableParagraph"/>
              <w:ind w:left="120"/>
              <w:jc w:val="left"/>
              <w:rPr>
                <w:sz w:val="21"/>
              </w:rPr>
            </w:pPr>
            <w:r>
              <w:rPr>
                <w:spacing w:val="-4"/>
                <w:sz w:val="21"/>
              </w:rPr>
              <w:t>2007</w:t>
            </w:r>
          </w:p>
        </w:tc>
        <w:tc>
          <w:tcPr>
            <w:tcW w:w="3036" w:type="dxa"/>
          </w:tcPr>
          <w:p w:rsidR="003F5784" w14:paraId="27918C68" w14:textId="77777777">
            <w:pPr>
              <w:pStyle w:val="TableParagraph"/>
              <w:ind w:right="627"/>
              <w:rPr>
                <w:sz w:val="21"/>
              </w:rPr>
            </w:pPr>
            <w:r>
              <w:rPr>
                <w:spacing w:val="-4"/>
                <w:sz w:val="21"/>
              </w:rPr>
              <w:t>0.01</w:t>
            </w:r>
          </w:p>
        </w:tc>
        <w:tc>
          <w:tcPr>
            <w:tcW w:w="2284" w:type="dxa"/>
          </w:tcPr>
          <w:p w:rsidR="003F5784" w14:paraId="15C4416F" w14:textId="77777777">
            <w:pPr>
              <w:pStyle w:val="TableParagraph"/>
              <w:ind w:right="672"/>
              <w:rPr>
                <w:sz w:val="21"/>
              </w:rPr>
            </w:pPr>
            <w:r>
              <w:rPr>
                <w:spacing w:val="-4"/>
                <w:sz w:val="21"/>
              </w:rPr>
              <w:t>0.28</w:t>
            </w:r>
          </w:p>
        </w:tc>
        <w:tc>
          <w:tcPr>
            <w:tcW w:w="2357" w:type="dxa"/>
          </w:tcPr>
          <w:p w:rsidR="003F5784" w14:paraId="250EF606" w14:textId="77777777">
            <w:pPr>
              <w:pStyle w:val="TableParagraph"/>
              <w:ind w:right="607"/>
              <w:rPr>
                <w:sz w:val="21"/>
              </w:rPr>
            </w:pPr>
            <w:r>
              <w:rPr>
                <w:spacing w:val="-4"/>
                <w:sz w:val="21"/>
              </w:rPr>
              <w:t>0.71</w:t>
            </w:r>
          </w:p>
        </w:tc>
        <w:tc>
          <w:tcPr>
            <w:tcW w:w="2154" w:type="dxa"/>
          </w:tcPr>
          <w:p w:rsidR="003F5784" w14:paraId="4A010E95" w14:textId="77777777">
            <w:pPr>
              <w:pStyle w:val="TableParagraph"/>
              <w:ind w:right="619"/>
              <w:rPr>
                <w:sz w:val="21"/>
              </w:rPr>
            </w:pPr>
            <w:r>
              <w:rPr>
                <w:spacing w:val="-10"/>
                <w:sz w:val="21"/>
              </w:rPr>
              <w:t>#</w:t>
            </w:r>
          </w:p>
        </w:tc>
        <w:tc>
          <w:tcPr>
            <w:tcW w:w="1697" w:type="dxa"/>
          </w:tcPr>
          <w:p w:rsidR="003F5784" w14:paraId="25995222" w14:textId="77777777">
            <w:pPr>
              <w:pStyle w:val="TableParagraph"/>
              <w:ind w:right="114"/>
              <w:rPr>
                <w:sz w:val="21"/>
              </w:rPr>
            </w:pPr>
            <w:r>
              <w:rPr>
                <w:spacing w:val="-10"/>
                <w:sz w:val="21"/>
              </w:rPr>
              <w:t>#</w:t>
            </w:r>
          </w:p>
        </w:tc>
      </w:tr>
      <w:tr w14:paraId="1136428E" w14:textId="77777777">
        <w:tblPrEx>
          <w:tblW w:w="0" w:type="auto"/>
          <w:tblInd w:w="482" w:type="dxa"/>
          <w:tblLayout w:type="fixed"/>
          <w:tblCellMar>
            <w:left w:w="0" w:type="dxa"/>
            <w:right w:w="0" w:type="dxa"/>
          </w:tblCellMar>
          <w:tblLook w:val="01E0"/>
        </w:tblPrEx>
        <w:trPr>
          <w:trHeight w:val="286"/>
        </w:trPr>
        <w:tc>
          <w:tcPr>
            <w:tcW w:w="2453" w:type="dxa"/>
          </w:tcPr>
          <w:p w:rsidR="003F5784" w14:paraId="7A5D2FED" w14:textId="77777777">
            <w:pPr>
              <w:pStyle w:val="TableParagraph"/>
              <w:ind w:left="120"/>
              <w:jc w:val="left"/>
              <w:rPr>
                <w:sz w:val="21"/>
              </w:rPr>
            </w:pPr>
            <w:r>
              <w:rPr>
                <w:spacing w:val="-4"/>
                <w:sz w:val="21"/>
              </w:rPr>
              <w:t>2008</w:t>
            </w:r>
          </w:p>
        </w:tc>
        <w:tc>
          <w:tcPr>
            <w:tcW w:w="3036" w:type="dxa"/>
          </w:tcPr>
          <w:p w:rsidR="003F5784" w14:paraId="640485C4" w14:textId="77777777">
            <w:pPr>
              <w:pStyle w:val="TableParagraph"/>
              <w:ind w:right="627"/>
              <w:rPr>
                <w:sz w:val="21"/>
              </w:rPr>
            </w:pPr>
            <w:r>
              <w:rPr>
                <w:spacing w:val="-4"/>
                <w:sz w:val="21"/>
              </w:rPr>
              <w:t>0.28</w:t>
            </w:r>
          </w:p>
        </w:tc>
        <w:tc>
          <w:tcPr>
            <w:tcW w:w="2284" w:type="dxa"/>
          </w:tcPr>
          <w:p w:rsidR="003F5784" w14:paraId="1C8C94FC" w14:textId="77777777">
            <w:pPr>
              <w:pStyle w:val="TableParagraph"/>
              <w:ind w:right="672"/>
              <w:rPr>
                <w:sz w:val="21"/>
              </w:rPr>
            </w:pPr>
            <w:r>
              <w:rPr>
                <w:spacing w:val="-4"/>
                <w:sz w:val="21"/>
              </w:rPr>
              <w:t>0.71</w:t>
            </w:r>
          </w:p>
        </w:tc>
        <w:tc>
          <w:tcPr>
            <w:tcW w:w="2357" w:type="dxa"/>
          </w:tcPr>
          <w:p w:rsidR="003F5784" w14:paraId="583C46C9" w14:textId="77777777">
            <w:pPr>
              <w:pStyle w:val="TableParagraph"/>
              <w:ind w:right="607"/>
              <w:rPr>
                <w:sz w:val="21"/>
              </w:rPr>
            </w:pPr>
            <w:r>
              <w:rPr>
                <w:spacing w:val="-10"/>
                <w:sz w:val="21"/>
              </w:rPr>
              <w:t>#</w:t>
            </w:r>
          </w:p>
        </w:tc>
        <w:tc>
          <w:tcPr>
            <w:tcW w:w="2154" w:type="dxa"/>
          </w:tcPr>
          <w:p w:rsidR="003F5784" w14:paraId="1B74728D" w14:textId="77777777">
            <w:pPr>
              <w:pStyle w:val="TableParagraph"/>
              <w:ind w:right="619"/>
              <w:rPr>
                <w:sz w:val="21"/>
              </w:rPr>
            </w:pPr>
            <w:r>
              <w:rPr>
                <w:spacing w:val="-10"/>
                <w:sz w:val="21"/>
              </w:rPr>
              <w:t>#</w:t>
            </w:r>
          </w:p>
        </w:tc>
        <w:tc>
          <w:tcPr>
            <w:tcW w:w="1697" w:type="dxa"/>
          </w:tcPr>
          <w:p w:rsidR="003F5784" w14:paraId="5D5B436B" w14:textId="77777777">
            <w:pPr>
              <w:pStyle w:val="TableParagraph"/>
              <w:ind w:right="114"/>
              <w:rPr>
                <w:sz w:val="21"/>
              </w:rPr>
            </w:pPr>
            <w:r>
              <w:rPr>
                <w:spacing w:val="-10"/>
                <w:sz w:val="21"/>
              </w:rPr>
              <w:t>#</w:t>
            </w:r>
          </w:p>
        </w:tc>
      </w:tr>
      <w:tr w14:paraId="196BC857" w14:textId="77777777">
        <w:tblPrEx>
          <w:tblW w:w="0" w:type="auto"/>
          <w:tblInd w:w="482" w:type="dxa"/>
          <w:tblLayout w:type="fixed"/>
          <w:tblCellMar>
            <w:left w:w="0" w:type="dxa"/>
            <w:right w:w="0" w:type="dxa"/>
          </w:tblCellMar>
          <w:tblLook w:val="01E0"/>
        </w:tblPrEx>
        <w:trPr>
          <w:trHeight w:val="288"/>
        </w:trPr>
        <w:tc>
          <w:tcPr>
            <w:tcW w:w="2453" w:type="dxa"/>
            <w:tcBorders>
              <w:bottom w:val="single" w:sz="18" w:space="0" w:color="800000"/>
            </w:tcBorders>
          </w:tcPr>
          <w:p w:rsidR="003F5784" w14:paraId="69A3FD87" w14:textId="77777777">
            <w:pPr>
              <w:pStyle w:val="TableParagraph"/>
              <w:ind w:left="120"/>
              <w:jc w:val="left"/>
              <w:rPr>
                <w:sz w:val="21"/>
              </w:rPr>
            </w:pPr>
            <w:r>
              <w:rPr>
                <w:spacing w:val="-4"/>
                <w:sz w:val="21"/>
              </w:rPr>
              <w:t>2009</w:t>
            </w:r>
          </w:p>
        </w:tc>
        <w:tc>
          <w:tcPr>
            <w:tcW w:w="3036" w:type="dxa"/>
            <w:tcBorders>
              <w:bottom w:val="single" w:sz="18" w:space="0" w:color="800000"/>
            </w:tcBorders>
          </w:tcPr>
          <w:p w:rsidR="003F5784" w14:paraId="534209DF" w14:textId="77777777">
            <w:pPr>
              <w:pStyle w:val="TableParagraph"/>
              <w:ind w:right="627"/>
              <w:rPr>
                <w:sz w:val="21"/>
              </w:rPr>
            </w:pPr>
            <w:r>
              <w:rPr>
                <w:spacing w:val="-4"/>
                <w:sz w:val="21"/>
              </w:rPr>
              <w:t>0.71</w:t>
            </w:r>
          </w:p>
        </w:tc>
        <w:tc>
          <w:tcPr>
            <w:tcW w:w="2284" w:type="dxa"/>
            <w:tcBorders>
              <w:bottom w:val="single" w:sz="18" w:space="0" w:color="800000"/>
            </w:tcBorders>
          </w:tcPr>
          <w:p w:rsidR="003F5784" w14:paraId="27818415" w14:textId="77777777">
            <w:pPr>
              <w:pStyle w:val="TableParagraph"/>
              <w:ind w:right="672"/>
              <w:rPr>
                <w:sz w:val="21"/>
              </w:rPr>
            </w:pPr>
            <w:r>
              <w:rPr>
                <w:spacing w:val="-10"/>
                <w:sz w:val="21"/>
              </w:rPr>
              <w:t>#</w:t>
            </w:r>
          </w:p>
        </w:tc>
        <w:tc>
          <w:tcPr>
            <w:tcW w:w="2357" w:type="dxa"/>
            <w:tcBorders>
              <w:bottom w:val="single" w:sz="18" w:space="0" w:color="800000"/>
            </w:tcBorders>
          </w:tcPr>
          <w:p w:rsidR="003F5784" w14:paraId="2EB4EBD4" w14:textId="77777777">
            <w:pPr>
              <w:pStyle w:val="TableParagraph"/>
              <w:ind w:right="607"/>
              <w:rPr>
                <w:sz w:val="21"/>
              </w:rPr>
            </w:pPr>
            <w:r>
              <w:rPr>
                <w:spacing w:val="-10"/>
                <w:sz w:val="21"/>
              </w:rPr>
              <w:t>#</w:t>
            </w:r>
          </w:p>
        </w:tc>
        <w:tc>
          <w:tcPr>
            <w:tcW w:w="2154" w:type="dxa"/>
            <w:tcBorders>
              <w:bottom w:val="single" w:sz="18" w:space="0" w:color="800000"/>
            </w:tcBorders>
          </w:tcPr>
          <w:p w:rsidR="003F5784" w14:paraId="6DC7E174" w14:textId="77777777">
            <w:pPr>
              <w:pStyle w:val="TableParagraph"/>
              <w:ind w:right="619"/>
              <w:rPr>
                <w:sz w:val="21"/>
              </w:rPr>
            </w:pPr>
            <w:r>
              <w:rPr>
                <w:spacing w:val="-10"/>
                <w:sz w:val="21"/>
              </w:rPr>
              <w:t>#</w:t>
            </w:r>
          </w:p>
        </w:tc>
        <w:tc>
          <w:tcPr>
            <w:tcW w:w="1697" w:type="dxa"/>
            <w:tcBorders>
              <w:bottom w:val="single" w:sz="18" w:space="0" w:color="800000"/>
            </w:tcBorders>
          </w:tcPr>
          <w:p w:rsidR="003F5784" w14:paraId="28211D3F" w14:textId="77777777">
            <w:pPr>
              <w:pStyle w:val="TableParagraph"/>
              <w:ind w:right="114"/>
              <w:rPr>
                <w:sz w:val="21"/>
              </w:rPr>
            </w:pPr>
            <w:r>
              <w:rPr>
                <w:spacing w:val="-10"/>
                <w:sz w:val="21"/>
              </w:rPr>
              <w:t>#</w:t>
            </w:r>
          </w:p>
        </w:tc>
      </w:tr>
      <w:tr w14:paraId="06C53C89" w14:textId="77777777">
        <w:tblPrEx>
          <w:tblW w:w="0" w:type="auto"/>
          <w:tblInd w:w="482" w:type="dxa"/>
          <w:tblLayout w:type="fixed"/>
          <w:tblCellMar>
            <w:left w:w="0" w:type="dxa"/>
            <w:right w:w="0" w:type="dxa"/>
          </w:tblCellMar>
          <w:tblLook w:val="01E0"/>
        </w:tblPrEx>
        <w:trPr>
          <w:trHeight w:val="237"/>
        </w:trPr>
        <w:tc>
          <w:tcPr>
            <w:tcW w:w="13981" w:type="dxa"/>
            <w:gridSpan w:val="6"/>
            <w:tcBorders>
              <w:top w:val="single" w:sz="18" w:space="0" w:color="800000"/>
            </w:tcBorders>
          </w:tcPr>
          <w:p w:rsidR="003F5784" w14:paraId="56F16BE6"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r>
    </w:tbl>
    <w:p w:rsidR="003F5784" w14:paraId="57B00F69" w14:textId="77777777">
      <w:pPr>
        <w:pStyle w:val="BodyText"/>
        <w:spacing w:line="235"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184C1F77"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3B5FD66C" w14:textId="77777777">
      <w:pPr>
        <w:pStyle w:val="BodyText"/>
        <w:spacing w:before="228"/>
      </w:pPr>
    </w:p>
    <w:p w:rsidR="003F5784" w14:paraId="66B1BDEE" w14:textId="77777777">
      <w:pPr>
        <w:pStyle w:val="BodyText"/>
        <w:spacing w:before="1" w:line="232" w:lineRule="auto"/>
        <w:ind w:left="109"/>
      </w:pPr>
      <w:r>
        <w:t>In</w:t>
      </w:r>
      <w:r>
        <w:rPr>
          <w:spacing w:val="-6"/>
        </w:rPr>
        <w:t xml:space="preserve"> </w:t>
      </w:r>
      <w:r>
        <w:t>distribution,</w:t>
      </w:r>
      <w:r>
        <w:rPr>
          <w:spacing w:val="-6"/>
        </w:rPr>
        <w:t xml:space="preserve"> </w:t>
      </w:r>
      <w:r>
        <w:t>the</w:t>
      </w:r>
      <w:r>
        <w:rPr>
          <w:spacing w:val="-6"/>
        </w:rPr>
        <w:t xml:space="preserve"> </w:t>
      </w:r>
      <w:r>
        <w:t>third-graders</w:t>
      </w:r>
      <w:r>
        <w:rPr>
          <w:spacing w:val="-6"/>
        </w:rPr>
        <w:t xml:space="preserve"> </w:t>
      </w:r>
      <w:r>
        <w:t>are</w:t>
      </w:r>
      <w:r>
        <w:rPr>
          <w:spacing w:val="-6"/>
        </w:rPr>
        <w:t xml:space="preserve"> </w:t>
      </w:r>
      <w:r>
        <w:t>exactly</w:t>
      </w:r>
      <w:r>
        <w:rPr>
          <w:spacing w:val="-6"/>
        </w:rPr>
        <w:t xml:space="preserve"> </w:t>
      </w:r>
      <w:r>
        <w:t>one</w:t>
      </w:r>
      <w:r>
        <w:rPr>
          <w:spacing w:val="-6"/>
        </w:rPr>
        <w:t xml:space="preserve"> </w:t>
      </w:r>
      <w:r>
        <w:t>year</w:t>
      </w:r>
      <w:r>
        <w:rPr>
          <w:spacing w:val="-6"/>
        </w:rPr>
        <w:t xml:space="preserve"> </w:t>
      </w:r>
      <w:r>
        <w:t>younger,</w:t>
      </w:r>
      <w:r>
        <w:rPr>
          <w:spacing w:val="-6"/>
        </w:rPr>
        <w:t xml:space="preserve"> </w:t>
      </w:r>
      <w:r>
        <w:t>the</w:t>
      </w:r>
      <w:r>
        <w:rPr>
          <w:spacing w:val="-6"/>
        </w:rPr>
        <w:t xml:space="preserve"> </w:t>
      </w:r>
      <w:r>
        <w:t>second-graders</w:t>
      </w:r>
      <w:r>
        <w:rPr>
          <w:spacing w:val="-6"/>
        </w:rPr>
        <w:t xml:space="preserve"> </w:t>
      </w:r>
      <w:r>
        <w:t>exactly</w:t>
      </w:r>
      <w:r>
        <w:rPr>
          <w:spacing w:val="-6"/>
        </w:rPr>
        <w:t xml:space="preserve"> </w:t>
      </w:r>
      <w:r>
        <w:t>two</w:t>
      </w:r>
      <w:r>
        <w:rPr>
          <w:spacing w:val="-6"/>
        </w:rPr>
        <w:t xml:space="preserve"> </w:t>
      </w:r>
      <w:r>
        <w:t>years</w:t>
      </w:r>
      <w:r>
        <w:rPr>
          <w:spacing w:val="-6"/>
        </w:rPr>
        <w:t xml:space="preserve"> </w:t>
      </w:r>
      <w:r>
        <w:t>younger,</w:t>
      </w:r>
      <w:r>
        <w:rPr>
          <w:spacing w:val="-6"/>
        </w:rPr>
        <w:t xml:space="preserve"> </w:t>
      </w:r>
      <w:r>
        <w:t>etc.</w:t>
      </w:r>
      <w:r>
        <w:rPr>
          <w:spacing w:val="-6"/>
        </w:rPr>
        <w:t xml:space="preserve"> </w:t>
      </w:r>
      <w:r>
        <w:t>If</w:t>
      </w:r>
      <w:r>
        <w:rPr>
          <w:spacing w:val="-6"/>
        </w:rPr>
        <w:t xml:space="preserve"> </w:t>
      </w:r>
      <w:r>
        <w:t>we</w:t>
      </w:r>
      <w:r>
        <w:rPr>
          <w:spacing w:val="-6"/>
        </w:rPr>
        <w:t xml:space="preserve"> </w:t>
      </w:r>
      <w:r>
        <w:t>read</w:t>
      </w:r>
      <w:r>
        <w:rPr>
          <w:spacing w:val="-6"/>
        </w:rPr>
        <w:t xml:space="preserve"> </w:t>
      </w:r>
      <w:r>
        <w:t>across</w:t>
      </w:r>
      <w:r>
        <w:rPr>
          <w:spacing w:val="-6"/>
        </w:rPr>
        <w:t xml:space="preserve"> </w:t>
      </w:r>
      <w:r>
        <w:t>the</w:t>
      </w:r>
      <w:r>
        <w:rPr>
          <w:spacing w:val="-6"/>
        </w:rPr>
        <w:t xml:space="preserve"> </w:t>
      </w:r>
      <w:r>
        <w:t>grade</w:t>
      </w:r>
      <w:r>
        <w:rPr>
          <w:spacing w:val="-6"/>
        </w:rPr>
        <w:t xml:space="preserve"> </w:t>
      </w:r>
      <w:r>
        <w:t>distribution</w:t>
      </w:r>
      <w:r>
        <w:rPr>
          <w:spacing w:val="-6"/>
        </w:rPr>
        <w:t xml:space="preserve"> </w:t>
      </w:r>
      <w:r>
        <w:t>for</w:t>
      </w:r>
      <w:r>
        <w:rPr>
          <w:spacing w:val="-6"/>
        </w:rPr>
        <w:t xml:space="preserve"> </w:t>
      </w:r>
      <w:r>
        <w:t>those</w:t>
      </w:r>
      <w:r>
        <w:rPr>
          <w:spacing w:val="-6"/>
        </w:rPr>
        <w:t xml:space="preserve"> </w:t>
      </w:r>
      <w:r>
        <w:t>born</w:t>
      </w:r>
      <w:r>
        <w:rPr>
          <w:spacing w:val="-6"/>
        </w:rPr>
        <w:t xml:space="preserve"> </w:t>
      </w:r>
      <w:r>
        <w:t>in</w:t>
      </w:r>
      <w:r>
        <w:rPr>
          <w:spacing w:val="-6"/>
        </w:rPr>
        <w:t xml:space="preserve"> </w:t>
      </w:r>
      <w:r>
        <w:t>2007, we see that the percentages for second through sixth grades are equal to the percentages for 2005 through 2009 for fourth grade.</w:t>
      </w:r>
      <w:r>
        <w:rPr>
          <w:spacing w:val="-3"/>
        </w:rPr>
        <w:t xml:space="preserve"> </w:t>
      </w:r>
      <w:r>
        <w:t>The same logic was applied to all four tables provided above, yielding estimates of the percentages of nine year olds by grade that were used to compute school measures of size during the sampling of public schools.</w:t>
      </w:r>
    </w:p>
    <w:p w:rsidR="003F5784" w14:paraId="4BD0455A" w14:textId="77777777">
      <w:pPr>
        <w:spacing w:before="203"/>
        <w:ind w:right="1051"/>
        <w:jc w:val="right"/>
        <w:rPr>
          <w:i/>
          <w:sz w:val="21"/>
        </w:rPr>
      </w:pPr>
      <w:r>
        <w:rPr>
          <w:i/>
          <w:sz w:val="21"/>
        </w:rPr>
        <w:t>Back</w:t>
      </w:r>
      <w:r>
        <w:rPr>
          <w:i/>
          <w:spacing w:val="-4"/>
          <w:sz w:val="21"/>
        </w:rPr>
        <w:t xml:space="preserve"> </w:t>
      </w:r>
      <w:r>
        <w:rPr>
          <w:i/>
          <w:sz w:val="21"/>
        </w:rPr>
        <w:t>to</w:t>
      </w:r>
      <w:r>
        <w:rPr>
          <w:i/>
          <w:spacing w:val="-4"/>
          <w:sz w:val="21"/>
        </w:rPr>
        <w:t xml:space="preserve"> </w:t>
      </w:r>
      <w:r>
        <w:rPr>
          <w:i/>
          <w:spacing w:val="-5"/>
          <w:sz w:val="21"/>
        </w:rPr>
        <w:t>Top</w:t>
      </w:r>
    </w:p>
    <w:p w:rsidR="003F5784" w14:paraId="10016B22" w14:textId="77777777">
      <w:pPr>
        <w:pStyle w:val="BodyText"/>
        <w:spacing w:before="201"/>
        <w:rPr>
          <w:i/>
        </w:rPr>
      </w:pPr>
    </w:p>
    <w:p w:rsidR="003F5784" w14:paraId="2177BE3C" w14:textId="77777777">
      <w:pPr>
        <w:pStyle w:val="BodyText"/>
        <w:spacing w:line="232" w:lineRule="auto"/>
        <w:ind w:left="109"/>
      </w:pPr>
      <w:r>
        <w:t>A</w:t>
      </w:r>
      <w:r>
        <w:rPr>
          <w:spacing w:val="-14"/>
        </w:rPr>
        <w:t xml:space="preserve"> </w:t>
      </w:r>
      <w:r>
        <w:t>similar</w:t>
      </w:r>
      <w:r>
        <w:rPr>
          <w:spacing w:val="-9"/>
        </w:rPr>
        <w:t xml:space="preserve"> </w:t>
      </w:r>
      <w:r>
        <w:t>logic</w:t>
      </w:r>
      <w:r>
        <w:rPr>
          <w:spacing w:val="-6"/>
        </w:rPr>
        <w:t xml:space="preserve"> </w:t>
      </w:r>
      <w:r>
        <w:t>applied</w:t>
      </w:r>
      <w:r>
        <w:rPr>
          <w:spacing w:val="-6"/>
        </w:rPr>
        <w:t xml:space="preserve"> </w:t>
      </w:r>
      <w:r>
        <w:t>to</w:t>
      </w:r>
      <w:r>
        <w:rPr>
          <w:spacing w:val="-6"/>
        </w:rPr>
        <w:t xml:space="preserve"> </w:t>
      </w:r>
      <w:r>
        <w:t>the</w:t>
      </w:r>
      <w:r>
        <w:rPr>
          <w:spacing w:val="-6"/>
        </w:rPr>
        <w:t xml:space="preserve"> </w:t>
      </w:r>
      <w:r>
        <w:t>age</w:t>
      </w:r>
      <w:r>
        <w:rPr>
          <w:spacing w:val="-6"/>
        </w:rPr>
        <w:t xml:space="preserve"> </w:t>
      </w:r>
      <w:r>
        <w:t>13</w:t>
      </w:r>
      <w:r>
        <w:rPr>
          <w:spacing w:val="-6"/>
        </w:rPr>
        <w:t xml:space="preserve"> </w:t>
      </w:r>
      <w:r>
        <w:t>sample.</w:t>
      </w:r>
      <w:r>
        <w:rPr>
          <w:spacing w:val="-6"/>
        </w:rPr>
        <w:t xml:space="preserve"> </w:t>
      </w:r>
      <w:r>
        <w:t>For</w:t>
      </w:r>
      <w:r>
        <w:rPr>
          <w:spacing w:val="-6"/>
        </w:rPr>
        <w:t xml:space="preserve"> </w:t>
      </w:r>
      <w:r>
        <w:t>the</w:t>
      </w:r>
      <w:r>
        <w:rPr>
          <w:spacing w:val="-6"/>
        </w:rPr>
        <w:t xml:space="preserve"> </w:t>
      </w:r>
      <w:r>
        <w:t>age</w:t>
      </w:r>
      <w:r>
        <w:rPr>
          <w:spacing w:val="-6"/>
        </w:rPr>
        <w:t xml:space="preserve"> </w:t>
      </w:r>
      <w:r>
        <w:t>13</w:t>
      </w:r>
      <w:r>
        <w:rPr>
          <w:spacing w:val="-6"/>
        </w:rPr>
        <w:t xml:space="preserve"> </w:t>
      </w:r>
      <w:r>
        <w:t>sample,</w:t>
      </w:r>
      <w:r>
        <w:rPr>
          <w:spacing w:val="-6"/>
        </w:rPr>
        <w:t xml:space="preserve"> </w:t>
      </w:r>
      <w:r>
        <w:t>the</w:t>
      </w:r>
      <w:r>
        <w:rPr>
          <w:spacing w:val="-6"/>
        </w:rPr>
        <w:t xml:space="preserve"> </w:t>
      </w:r>
      <w:r>
        <w:t>starting</w:t>
      </w:r>
      <w:r>
        <w:rPr>
          <w:spacing w:val="-6"/>
        </w:rPr>
        <w:t xml:space="preserve"> </w:t>
      </w:r>
      <w:r>
        <w:t>point</w:t>
      </w:r>
      <w:r>
        <w:rPr>
          <w:spacing w:val="-6"/>
        </w:rPr>
        <w:t xml:space="preserve"> </w:t>
      </w:r>
      <w:r>
        <w:t>was</w:t>
      </w:r>
      <w:r>
        <w:rPr>
          <w:spacing w:val="-6"/>
        </w:rPr>
        <w:t xml:space="preserve"> </w:t>
      </w:r>
      <w:r>
        <w:t>the</w:t>
      </w:r>
      <w:r>
        <w:rPr>
          <w:spacing w:val="-6"/>
        </w:rPr>
        <w:t xml:space="preserve"> </w:t>
      </w:r>
      <w:r>
        <w:t>NAEP</w:t>
      </w:r>
      <w:r>
        <w:rPr>
          <w:spacing w:val="-13"/>
        </w:rPr>
        <w:t xml:space="preserve"> </w:t>
      </w:r>
      <w:r>
        <w:t>2017</w:t>
      </w:r>
      <w:r>
        <w:rPr>
          <w:spacing w:val="-6"/>
        </w:rPr>
        <w:t xml:space="preserve"> </w:t>
      </w:r>
      <w:r>
        <w:t>grade</w:t>
      </w:r>
      <w:r>
        <w:rPr>
          <w:spacing w:val="-6"/>
        </w:rPr>
        <w:t xml:space="preserve"> </w:t>
      </w:r>
      <w:r>
        <w:t>8</w:t>
      </w:r>
      <w:r>
        <w:rPr>
          <w:spacing w:val="-6"/>
        </w:rPr>
        <w:t xml:space="preserve"> </w:t>
      </w:r>
      <w:r>
        <w:t>reading</w:t>
      </w:r>
      <w:r>
        <w:rPr>
          <w:spacing w:val="-6"/>
        </w:rPr>
        <w:t xml:space="preserve"> </w:t>
      </w:r>
      <w:r>
        <w:t>and</w:t>
      </w:r>
      <w:r>
        <w:rPr>
          <w:spacing w:val="-6"/>
        </w:rPr>
        <w:t xml:space="preserve"> </w:t>
      </w:r>
      <w:r>
        <w:t>mathematics</w:t>
      </w:r>
      <w:r>
        <w:rPr>
          <w:spacing w:val="-6"/>
        </w:rPr>
        <w:t xml:space="preserve"> </w:t>
      </w:r>
      <w:r>
        <w:t>assessments.</w:t>
      </w:r>
      <w:r>
        <w:rPr>
          <w:spacing w:val="-14"/>
        </w:rPr>
        <w:t xml:space="preserve"> </w:t>
      </w:r>
      <w:r>
        <w:t>Aggregated</w:t>
      </w:r>
      <w:r>
        <w:rPr>
          <w:spacing w:val="-5"/>
        </w:rPr>
        <w:t xml:space="preserve"> </w:t>
      </w:r>
      <w:r>
        <w:t>estimates were computed in the same way as for the age 9 sample.</w:t>
      </w:r>
      <w:r>
        <w:rPr>
          <w:spacing w:val="-3"/>
        </w:rPr>
        <w:t xml:space="preserve"> </w:t>
      </w:r>
      <w:r>
        <w:t>The four tables below provide these estimates by region for eighth grade for public schools.</w:t>
      </w:r>
    </w:p>
    <w:p w:rsidR="003F5784" w14:paraId="09C9D732" w14:textId="77777777">
      <w:pPr>
        <w:spacing w:line="232" w:lineRule="auto"/>
        <w:sectPr>
          <w:pgSz w:w="15840" w:h="12240" w:orient="landscape"/>
          <w:pgMar w:top="820" w:right="440" w:bottom="460" w:left="460" w:header="305" w:footer="275" w:gutter="0"/>
          <w:cols w:space="720"/>
        </w:sectPr>
      </w:pPr>
    </w:p>
    <w:p w:rsidR="003F5784" w14:paraId="1F515303" w14:textId="77777777">
      <w:pPr>
        <w:pStyle w:val="Heading2"/>
        <w:spacing w:before="202"/>
      </w:pPr>
      <w:r>
        <w:t>Weighted</w:t>
      </w:r>
      <w:r>
        <w:rPr>
          <w:spacing w:val="-9"/>
        </w:rPr>
        <w:t xml:space="preserve"> </w:t>
      </w:r>
      <w:r>
        <w:t>aggregations</w:t>
      </w:r>
      <w:r>
        <w:rPr>
          <w:spacing w:val="-9"/>
        </w:rPr>
        <w:t xml:space="preserve"> </w:t>
      </w:r>
      <w:r>
        <w:t>and</w:t>
      </w:r>
      <w:r>
        <w:rPr>
          <w:spacing w:val="-8"/>
        </w:rPr>
        <w:t xml:space="preserve"> </w:t>
      </w:r>
      <w:r>
        <w:t>proportions</w:t>
      </w:r>
      <w:r>
        <w:rPr>
          <w:spacing w:val="-9"/>
        </w:rPr>
        <w:t xml:space="preserve"> </w:t>
      </w:r>
      <w:r>
        <w:t>from</w:t>
      </w:r>
      <w:r>
        <w:rPr>
          <w:spacing w:val="-9"/>
        </w:rPr>
        <w:t xml:space="preserve"> </w:t>
      </w:r>
      <w:r>
        <w:t>the</w:t>
      </w:r>
      <w:r>
        <w:rPr>
          <w:spacing w:val="-8"/>
        </w:rPr>
        <w:t xml:space="preserve"> </w:t>
      </w:r>
      <w:r>
        <w:t>grade</w:t>
      </w:r>
      <w:r>
        <w:rPr>
          <w:spacing w:val="-9"/>
        </w:rPr>
        <w:t xml:space="preserve"> </w:t>
      </w:r>
      <w:r>
        <w:t>8</w:t>
      </w:r>
      <w:r>
        <w:rPr>
          <w:spacing w:val="-9"/>
        </w:rPr>
        <w:t xml:space="preserve"> </w:t>
      </w:r>
      <w:r>
        <w:t>reading</w:t>
      </w:r>
      <w:r>
        <w:rPr>
          <w:spacing w:val="-8"/>
        </w:rPr>
        <w:t xml:space="preserve"> </w:t>
      </w:r>
      <w:r>
        <w:t>and</w:t>
      </w:r>
      <w:r>
        <w:rPr>
          <w:spacing w:val="-9"/>
        </w:rPr>
        <w:t xml:space="preserve"> </w:t>
      </w:r>
      <w:r>
        <w:t>mathematics</w:t>
      </w:r>
      <w:r>
        <w:rPr>
          <w:spacing w:val="-9"/>
        </w:rPr>
        <w:t xml:space="preserve"> </w:t>
      </w:r>
      <w:r>
        <w:t>assessments,</w:t>
      </w:r>
      <w:r>
        <w:rPr>
          <w:spacing w:val="-8"/>
        </w:rPr>
        <w:t xml:space="preserve"> </w:t>
      </w:r>
      <w:r>
        <w:t>public</w:t>
      </w:r>
      <w:r>
        <w:rPr>
          <w:spacing w:val="-9"/>
        </w:rPr>
        <w:t xml:space="preserve"> </w:t>
      </w:r>
      <w:r>
        <w:t>schools</w:t>
      </w:r>
      <w:r>
        <w:rPr>
          <w:spacing w:val="-9"/>
        </w:rPr>
        <w:t xml:space="preserve"> </w:t>
      </w:r>
      <w:r>
        <w:t>Northeast</w:t>
      </w:r>
      <w:r>
        <w:rPr>
          <w:spacing w:val="-8"/>
        </w:rPr>
        <w:t xml:space="preserve"> </w:t>
      </w:r>
      <w:r>
        <w:t>region,</w:t>
      </w:r>
      <w:r>
        <w:rPr>
          <w:spacing w:val="-9"/>
        </w:rPr>
        <w:t xml:space="preserve"> </w:t>
      </w:r>
      <w:r>
        <w:t>by</w:t>
      </w:r>
      <w:r>
        <w:rPr>
          <w:spacing w:val="-9"/>
        </w:rPr>
        <w:t xml:space="preserve"> </w:t>
      </w:r>
      <w:r>
        <w:t>year</w:t>
      </w:r>
      <w:r>
        <w:rPr>
          <w:spacing w:val="-12"/>
        </w:rPr>
        <w:t xml:space="preserve"> </w:t>
      </w:r>
      <w:r>
        <w:t>of</w:t>
      </w:r>
      <w:r>
        <w:rPr>
          <w:spacing w:val="-8"/>
        </w:rPr>
        <w:t xml:space="preserve"> </w:t>
      </w:r>
      <w:r>
        <w:t>birth:</w:t>
      </w:r>
      <w:r>
        <w:rPr>
          <w:spacing w:val="-9"/>
        </w:rPr>
        <w:t xml:space="preserve"> </w:t>
      </w:r>
      <w:r>
        <w:rPr>
          <w:spacing w:val="-4"/>
        </w:rPr>
        <w:t>2017</w:t>
      </w:r>
    </w:p>
    <w:p w:rsidR="003F5784" w14:paraId="0DEA5643"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3447"/>
        <w:gridCol w:w="6396"/>
        <w:gridCol w:w="4140"/>
      </w:tblGrid>
      <w:tr w14:paraId="55576FC0" w14:textId="77777777">
        <w:tblPrEx>
          <w:tblW w:w="0" w:type="auto"/>
          <w:tblInd w:w="482" w:type="dxa"/>
          <w:tblLayout w:type="fixed"/>
          <w:tblCellMar>
            <w:left w:w="0" w:type="dxa"/>
            <w:right w:w="0" w:type="dxa"/>
          </w:tblCellMar>
          <w:tblLook w:val="01E0"/>
        </w:tblPrEx>
        <w:trPr>
          <w:trHeight w:val="267"/>
        </w:trPr>
        <w:tc>
          <w:tcPr>
            <w:tcW w:w="3447" w:type="dxa"/>
            <w:tcBorders>
              <w:top w:val="single" w:sz="18" w:space="0" w:color="800000"/>
              <w:bottom w:val="single" w:sz="18" w:space="0" w:color="800000"/>
            </w:tcBorders>
          </w:tcPr>
          <w:p w:rsidR="003F5784" w14:paraId="71FBF658" w14:textId="77777777">
            <w:pPr>
              <w:pStyle w:val="TableParagraph"/>
              <w:spacing w:before="9" w:line="238" w:lineRule="exact"/>
              <w:ind w:left="120"/>
              <w:jc w:val="left"/>
              <w:rPr>
                <w:sz w:val="21"/>
              </w:rPr>
            </w:pPr>
            <w:r>
              <w:rPr>
                <w:spacing w:val="-2"/>
                <w:sz w:val="21"/>
              </w:rPr>
              <w:t>Year</w:t>
            </w:r>
            <w:r>
              <w:rPr>
                <w:spacing w:val="-9"/>
                <w:sz w:val="21"/>
              </w:rPr>
              <w:t xml:space="preserve"> </w:t>
            </w:r>
            <w:r>
              <w:rPr>
                <w:spacing w:val="-2"/>
                <w:sz w:val="21"/>
              </w:rPr>
              <w:t>of</w:t>
            </w:r>
            <w:r>
              <w:rPr>
                <w:spacing w:val="-8"/>
                <w:sz w:val="21"/>
              </w:rPr>
              <w:t xml:space="preserve"> </w:t>
            </w:r>
            <w:r>
              <w:rPr>
                <w:spacing w:val="-2"/>
                <w:sz w:val="21"/>
              </w:rPr>
              <w:t>birth</w:t>
            </w:r>
          </w:p>
        </w:tc>
        <w:tc>
          <w:tcPr>
            <w:tcW w:w="6396" w:type="dxa"/>
            <w:tcBorders>
              <w:top w:val="single" w:sz="18" w:space="0" w:color="800000"/>
              <w:bottom w:val="single" w:sz="18" w:space="0" w:color="800000"/>
            </w:tcBorders>
          </w:tcPr>
          <w:p w:rsidR="003F5784" w14:paraId="6A267C09" w14:textId="77777777">
            <w:pPr>
              <w:pStyle w:val="TableParagraph"/>
              <w:spacing w:before="9" w:line="238" w:lineRule="exact"/>
              <w:ind w:right="2211"/>
              <w:rPr>
                <w:sz w:val="21"/>
              </w:rPr>
            </w:pPr>
            <w:r>
              <w:rPr>
                <w:spacing w:val="-2"/>
                <w:sz w:val="21"/>
              </w:rPr>
              <w:t>Weighted</w:t>
            </w:r>
            <w:r>
              <w:rPr>
                <w:spacing w:val="-11"/>
                <w:sz w:val="21"/>
              </w:rPr>
              <w:t xml:space="preserve"> </w:t>
            </w:r>
            <w:r>
              <w:rPr>
                <w:spacing w:val="-2"/>
                <w:sz w:val="21"/>
              </w:rPr>
              <w:t>aggregations</w:t>
            </w:r>
          </w:p>
        </w:tc>
        <w:tc>
          <w:tcPr>
            <w:tcW w:w="4140" w:type="dxa"/>
            <w:tcBorders>
              <w:top w:val="single" w:sz="18" w:space="0" w:color="800000"/>
              <w:bottom w:val="single" w:sz="18" w:space="0" w:color="800000"/>
            </w:tcBorders>
          </w:tcPr>
          <w:p w:rsidR="003F5784" w14:paraId="61715F07" w14:textId="77777777">
            <w:pPr>
              <w:pStyle w:val="TableParagraph"/>
              <w:spacing w:before="9" w:line="238" w:lineRule="exact"/>
              <w:ind w:right="116"/>
              <w:rPr>
                <w:sz w:val="21"/>
              </w:rPr>
            </w:pPr>
            <w:r>
              <w:rPr>
                <w:spacing w:val="-2"/>
                <w:sz w:val="21"/>
              </w:rPr>
              <w:t>Weighted</w:t>
            </w:r>
            <w:r>
              <w:rPr>
                <w:spacing w:val="-11"/>
                <w:sz w:val="21"/>
              </w:rPr>
              <w:t xml:space="preserve"> </w:t>
            </w:r>
            <w:r>
              <w:rPr>
                <w:spacing w:val="-2"/>
                <w:sz w:val="21"/>
              </w:rPr>
              <w:t>proportions</w:t>
            </w:r>
          </w:p>
        </w:tc>
      </w:tr>
      <w:tr w14:paraId="38BF4812" w14:textId="77777777">
        <w:tblPrEx>
          <w:tblW w:w="0" w:type="auto"/>
          <w:tblInd w:w="482" w:type="dxa"/>
          <w:tblLayout w:type="fixed"/>
          <w:tblCellMar>
            <w:left w:w="0" w:type="dxa"/>
            <w:right w:w="0" w:type="dxa"/>
          </w:tblCellMar>
          <w:tblLook w:val="01E0"/>
        </w:tblPrEx>
        <w:trPr>
          <w:trHeight w:val="278"/>
        </w:trPr>
        <w:tc>
          <w:tcPr>
            <w:tcW w:w="3447" w:type="dxa"/>
            <w:tcBorders>
              <w:top w:val="single" w:sz="18" w:space="0" w:color="800000"/>
            </w:tcBorders>
          </w:tcPr>
          <w:p w:rsidR="003F5784" w14:paraId="1666FB49" w14:textId="77777777">
            <w:pPr>
              <w:pStyle w:val="TableParagraph"/>
              <w:spacing w:before="9"/>
              <w:ind w:left="370"/>
              <w:jc w:val="left"/>
              <w:rPr>
                <w:b/>
                <w:sz w:val="21"/>
              </w:rPr>
            </w:pPr>
            <w:r>
              <w:rPr>
                <w:b/>
                <w:spacing w:val="-2"/>
                <w:sz w:val="21"/>
              </w:rPr>
              <w:t>Total</w:t>
            </w:r>
          </w:p>
        </w:tc>
        <w:tc>
          <w:tcPr>
            <w:tcW w:w="6396" w:type="dxa"/>
            <w:tcBorders>
              <w:top w:val="single" w:sz="18" w:space="0" w:color="800000"/>
            </w:tcBorders>
          </w:tcPr>
          <w:p w:rsidR="003F5784" w14:paraId="07C2CD87" w14:textId="77777777">
            <w:pPr>
              <w:pStyle w:val="TableParagraph"/>
              <w:spacing w:before="9"/>
              <w:ind w:right="2211"/>
              <w:rPr>
                <w:b/>
                <w:sz w:val="21"/>
              </w:rPr>
            </w:pPr>
            <w:r>
              <w:rPr>
                <w:b/>
                <w:spacing w:val="-2"/>
                <w:sz w:val="21"/>
              </w:rPr>
              <w:t>569,000</w:t>
            </w:r>
          </w:p>
        </w:tc>
        <w:tc>
          <w:tcPr>
            <w:tcW w:w="4140" w:type="dxa"/>
            <w:tcBorders>
              <w:top w:val="single" w:sz="18" w:space="0" w:color="800000"/>
            </w:tcBorders>
          </w:tcPr>
          <w:p w:rsidR="003F5784" w14:paraId="57537BC0" w14:textId="77777777">
            <w:pPr>
              <w:pStyle w:val="TableParagraph"/>
              <w:spacing w:before="9"/>
              <w:ind w:right="116"/>
              <w:rPr>
                <w:b/>
                <w:sz w:val="21"/>
              </w:rPr>
            </w:pPr>
            <w:r>
              <w:rPr>
                <w:b/>
                <w:spacing w:val="-4"/>
                <w:sz w:val="21"/>
              </w:rPr>
              <w:t>1.00</w:t>
            </w:r>
          </w:p>
        </w:tc>
      </w:tr>
      <w:tr w14:paraId="72D907DF" w14:textId="77777777">
        <w:tblPrEx>
          <w:tblW w:w="0" w:type="auto"/>
          <w:tblInd w:w="482" w:type="dxa"/>
          <w:tblLayout w:type="fixed"/>
          <w:tblCellMar>
            <w:left w:w="0" w:type="dxa"/>
            <w:right w:w="0" w:type="dxa"/>
          </w:tblCellMar>
          <w:tblLook w:val="01E0"/>
        </w:tblPrEx>
        <w:trPr>
          <w:trHeight w:val="286"/>
        </w:trPr>
        <w:tc>
          <w:tcPr>
            <w:tcW w:w="3447" w:type="dxa"/>
          </w:tcPr>
          <w:p w:rsidR="003F5784" w14:paraId="1D3CB3C8" w14:textId="77777777">
            <w:pPr>
              <w:pStyle w:val="TableParagraph"/>
              <w:ind w:left="120"/>
              <w:jc w:val="left"/>
              <w:rPr>
                <w:sz w:val="21"/>
              </w:rPr>
            </w:pPr>
            <w:r>
              <w:rPr>
                <w:spacing w:val="-4"/>
                <w:sz w:val="21"/>
              </w:rPr>
              <w:t>1999</w:t>
            </w:r>
          </w:p>
        </w:tc>
        <w:tc>
          <w:tcPr>
            <w:tcW w:w="6396" w:type="dxa"/>
          </w:tcPr>
          <w:p w:rsidR="003F5784" w14:paraId="3CC9BFF2" w14:textId="77777777">
            <w:pPr>
              <w:pStyle w:val="TableParagraph"/>
              <w:ind w:right="2211"/>
              <w:rPr>
                <w:sz w:val="21"/>
              </w:rPr>
            </w:pPr>
            <w:r>
              <w:rPr>
                <w:spacing w:val="-5"/>
                <w:sz w:val="21"/>
              </w:rPr>
              <w:t>35</w:t>
            </w:r>
          </w:p>
        </w:tc>
        <w:tc>
          <w:tcPr>
            <w:tcW w:w="4140" w:type="dxa"/>
          </w:tcPr>
          <w:p w:rsidR="003F5784" w14:paraId="22D57AE9" w14:textId="77777777">
            <w:pPr>
              <w:pStyle w:val="TableParagraph"/>
              <w:ind w:right="116"/>
              <w:rPr>
                <w:sz w:val="21"/>
              </w:rPr>
            </w:pPr>
            <w:r>
              <w:rPr>
                <w:spacing w:val="-10"/>
                <w:sz w:val="21"/>
              </w:rPr>
              <w:t>#</w:t>
            </w:r>
          </w:p>
        </w:tc>
      </w:tr>
      <w:tr w14:paraId="4ADDEB05" w14:textId="77777777">
        <w:tblPrEx>
          <w:tblW w:w="0" w:type="auto"/>
          <w:tblInd w:w="482" w:type="dxa"/>
          <w:tblLayout w:type="fixed"/>
          <w:tblCellMar>
            <w:left w:w="0" w:type="dxa"/>
            <w:right w:w="0" w:type="dxa"/>
          </w:tblCellMar>
          <w:tblLook w:val="01E0"/>
        </w:tblPrEx>
        <w:trPr>
          <w:trHeight w:val="286"/>
        </w:trPr>
        <w:tc>
          <w:tcPr>
            <w:tcW w:w="3447" w:type="dxa"/>
          </w:tcPr>
          <w:p w:rsidR="003F5784" w14:paraId="0B0FDDF1" w14:textId="77777777">
            <w:pPr>
              <w:pStyle w:val="TableParagraph"/>
              <w:ind w:left="120"/>
              <w:jc w:val="left"/>
              <w:rPr>
                <w:sz w:val="21"/>
              </w:rPr>
            </w:pPr>
            <w:r>
              <w:rPr>
                <w:spacing w:val="-4"/>
                <w:sz w:val="21"/>
              </w:rPr>
              <w:t>2000</w:t>
            </w:r>
          </w:p>
        </w:tc>
        <w:tc>
          <w:tcPr>
            <w:tcW w:w="6396" w:type="dxa"/>
          </w:tcPr>
          <w:p w:rsidR="003F5784" w14:paraId="7AC217A0" w14:textId="77777777">
            <w:pPr>
              <w:pStyle w:val="TableParagraph"/>
              <w:ind w:right="2211"/>
              <w:rPr>
                <w:sz w:val="21"/>
              </w:rPr>
            </w:pPr>
            <w:r>
              <w:rPr>
                <w:spacing w:val="-5"/>
                <w:sz w:val="21"/>
              </w:rPr>
              <w:t>737</w:t>
            </w:r>
          </w:p>
        </w:tc>
        <w:tc>
          <w:tcPr>
            <w:tcW w:w="4140" w:type="dxa"/>
          </w:tcPr>
          <w:p w:rsidR="003F5784" w14:paraId="0311545B" w14:textId="77777777">
            <w:pPr>
              <w:pStyle w:val="TableParagraph"/>
              <w:ind w:right="116"/>
              <w:rPr>
                <w:sz w:val="21"/>
              </w:rPr>
            </w:pPr>
            <w:r>
              <w:rPr>
                <w:spacing w:val="-10"/>
                <w:sz w:val="21"/>
              </w:rPr>
              <w:t>#</w:t>
            </w:r>
          </w:p>
        </w:tc>
      </w:tr>
      <w:tr w14:paraId="60AAE928" w14:textId="77777777">
        <w:tblPrEx>
          <w:tblW w:w="0" w:type="auto"/>
          <w:tblInd w:w="482" w:type="dxa"/>
          <w:tblLayout w:type="fixed"/>
          <w:tblCellMar>
            <w:left w:w="0" w:type="dxa"/>
            <w:right w:w="0" w:type="dxa"/>
          </w:tblCellMar>
          <w:tblLook w:val="01E0"/>
        </w:tblPrEx>
        <w:trPr>
          <w:trHeight w:val="286"/>
        </w:trPr>
        <w:tc>
          <w:tcPr>
            <w:tcW w:w="3447" w:type="dxa"/>
          </w:tcPr>
          <w:p w:rsidR="003F5784" w14:paraId="3E8DEEFE" w14:textId="77777777">
            <w:pPr>
              <w:pStyle w:val="TableParagraph"/>
              <w:ind w:left="120"/>
              <w:jc w:val="left"/>
              <w:rPr>
                <w:sz w:val="21"/>
              </w:rPr>
            </w:pPr>
            <w:r>
              <w:rPr>
                <w:spacing w:val="-4"/>
                <w:sz w:val="21"/>
              </w:rPr>
              <w:t>2001</w:t>
            </w:r>
          </w:p>
        </w:tc>
        <w:tc>
          <w:tcPr>
            <w:tcW w:w="6396" w:type="dxa"/>
          </w:tcPr>
          <w:p w:rsidR="003F5784" w14:paraId="66165E63" w14:textId="77777777">
            <w:pPr>
              <w:pStyle w:val="TableParagraph"/>
              <w:ind w:right="2211"/>
              <w:rPr>
                <w:sz w:val="21"/>
              </w:rPr>
            </w:pPr>
            <w:r>
              <w:rPr>
                <w:spacing w:val="-2"/>
                <w:sz w:val="21"/>
              </w:rPr>
              <w:t>11,000</w:t>
            </w:r>
          </w:p>
        </w:tc>
        <w:tc>
          <w:tcPr>
            <w:tcW w:w="4140" w:type="dxa"/>
          </w:tcPr>
          <w:p w:rsidR="003F5784" w14:paraId="032FED2F" w14:textId="77777777">
            <w:pPr>
              <w:pStyle w:val="TableParagraph"/>
              <w:ind w:right="116"/>
              <w:rPr>
                <w:sz w:val="21"/>
              </w:rPr>
            </w:pPr>
            <w:r>
              <w:rPr>
                <w:spacing w:val="-4"/>
                <w:sz w:val="21"/>
              </w:rPr>
              <w:t>0.02</w:t>
            </w:r>
          </w:p>
        </w:tc>
      </w:tr>
      <w:tr w14:paraId="0CBEB3F6" w14:textId="77777777">
        <w:tblPrEx>
          <w:tblW w:w="0" w:type="auto"/>
          <w:tblInd w:w="482" w:type="dxa"/>
          <w:tblLayout w:type="fixed"/>
          <w:tblCellMar>
            <w:left w:w="0" w:type="dxa"/>
            <w:right w:w="0" w:type="dxa"/>
          </w:tblCellMar>
          <w:tblLook w:val="01E0"/>
        </w:tblPrEx>
        <w:trPr>
          <w:trHeight w:val="286"/>
        </w:trPr>
        <w:tc>
          <w:tcPr>
            <w:tcW w:w="3447" w:type="dxa"/>
          </w:tcPr>
          <w:p w:rsidR="003F5784" w14:paraId="17BF8F82" w14:textId="77777777">
            <w:pPr>
              <w:pStyle w:val="TableParagraph"/>
              <w:ind w:left="120"/>
              <w:jc w:val="left"/>
              <w:rPr>
                <w:sz w:val="21"/>
              </w:rPr>
            </w:pPr>
            <w:r>
              <w:rPr>
                <w:spacing w:val="-4"/>
                <w:sz w:val="21"/>
              </w:rPr>
              <w:t>2002</w:t>
            </w:r>
          </w:p>
        </w:tc>
        <w:tc>
          <w:tcPr>
            <w:tcW w:w="6396" w:type="dxa"/>
          </w:tcPr>
          <w:p w:rsidR="003F5784" w14:paraId="2AF12EE4" w14:textId="77777777">
            <w:pPr>
              <w:pStyle w:val="TableParagraph"/>
              <w:ind w:right="2211"/>
              <w:rPr>
                <w:sz w:val="21"/>
              </w:rPr>
            </w:pPr>
            <w:r>
              <w:rPr>
                <w:spacing w:val="-2"/>
                <w:sz w:val="21"/>
              </w:rPr>
              <w:t>165,000</w:t>
            </w:r>
          </w:p>
        </w:tc>
        <w:tc>
          <w:tcPr>
            <w:tcW w:w="4140" w:type="dxa"/>
          </w:tcPr>
          <w:p w:rsidR="003F5784" w14:paraId="01A0B14E" w14:textId="77777777">
            <w:pPr>
              <w:pStyle w:val="TableParagraph"/>
              <w:ind w:right="116"/>
              <w:rPr>
                <w:sz w:val="21"/>
              </w:rPr>
            </w:pPr>
            <w:r>
              <w:rPr>
                <w:spacing w:val="-4"/>
                <w:sz w:val="21"/>
              </w:rPr>
              <w:t>0.29</w:t>
            </w:r>
          </w:p>
        </w:tc>
      </w:tr>
      <w:tr w14:paraId="78C22C39" w14:textId="77777777">
        <w:tblPrEx>
          <w:tblW w:w="0" w:type="auto"/>
          <w:tblInd w:w="482" w:type="dxa"/>
          <w:tblLayout w:type="fixed"/>
          <w:tblCellMar>
            <w:left w:w="0" w:type="dxa"/>
            <w:right w:w="0" w:type="dxa"/>
          </w:tblCellMar>
          <w:tblLook w:val="01E0"/>
        </w:tblPrEx>
        <w:trPr>
          <w:trHeight w:val="286"/>
        </w:trPr>
        <w:tc>
          <w:tcPr>
            <w:tcW w:w="3447" w:type="dxa"/>
          </w:tcPr>
          <w:p w:rsidR="003F5784" w14:paraId="0B0AA7CF" w14:textId="77777777">
            <w:pPr>
              <w:pStyle w:val="TableParagraph"/>
              <w:ind w:left="120"/>
              <w:jc w:val="left"/>
              <w:rPr>
                <w:sz w:val="21"/>
              </w:rPr>
            </w:pPr>
            <w:r>
              <w:rPr>
                <w:spacing w:val="-4"/>
                <w:sz w:val="21"/>
              </w:rPr>
              <w:t>2003</w:t>
            </w:r>
          </w:p>
        </w:tc>
        <w:tc>
          <w:tcPr>
            <w:tcW w:w="6396" w:type="dxa"/>
          </w:tcPr>
          <w:p w:rsidR="003F5784" w14:paraId="32D45B19" w14:textId="77777777">
            <w:pPr>
              <w:pStyle w:val="TableParagraph"/>
              <w:ind w:right="2211"/>
              <w:rPr>
                <w:sz w:val="21"/>
              </w:rPr>
            </w:pPr>
            <w:r>
              <w:rPr>
                <w:spacing w:val="-2"/>
                <w:sz w:val="21"/>
              </w:rPr>
              <w:t>391,000</w:t>
            </w:r>
          </w:p>
        </w:tc>
        <w:tc>
          <w:tcPr>
            <w:tcW w:w="4140" w:type="dxa"/>
          </w:tcPr>
          <w:p w:rsidR="003F5784" w14:paraId="17B79455" w14:textId="77777777">
            <w:pPr>
              <w:pStyle w:val="TableParagraph"/>
              <w:ind w:right="116"/>
              <w:rPr>
                <w:sz w:val="21"/>
              </w:rPr>
            </w:pPr>
            <w:r>
              <w:rPr>
                <w:spacing w:val="-4"/>
                <w:sz w:val="21"/>
              </w:rPr>
              <w:t>0.69</w:t>
            </w:r>
          </w:p>
        </w:tc>
      </w:tr>
      <w:tr w14:paraId="02C99767" w14:textId="77777777">
        <w:tblPrEx>
          <w:tblW w:w="0" w:type="auto"/>
          <w:tblInd w:w="482" w:type="dxa"/>
          <w:tblLayout w:type="fixed"/>
          <w:tblCellMar>
            <w:left w:w="0" w:type="dxa"/>
            <w:right w:w="0" w:type="dxa"/>
          </w:tblCellMar>
          <w:tblLook w:val="01E0"/>
        </w:tblPrEx>
        <w:trPr>
          <w:trHeight w:val="286"/>
        </w:trPr>
        <w:tc>
          <w:tcPr>
            <w:tcW w:w="3447" w:type="dxa"/>
          </w:tcPr>
          <w:p w:rsidR="003F5784" w14:paraId="4C2776C3" w14:textId="77777777">
            <w:pPr>
              <w:pStyle w:val="TableParagraph"/>
              <w:ind w:left="120"/>
              <w:jc w:val="left"/>
              <w:rPr>
                <w:sz w:val="21"/>
              </w:rPr>
            </w:pPr>
            <w:r>
              <w:rPr>
                <w:spacing w:val="-4"/>
                <w:sz w:val="21"/>
              </w:rPr>
              <w:t>2004</w:t>
            </w:r>
          </w:p>
        </w:tc>
        <w:tc>
          <w:tcPr>
            <w:tcW w:w="6396" w:type="dxa"/>
          </w:tcPr>
          <w:p w:rsidR="003F5784" w14:paraId="2103F63A" w14:textId="77777777">
            <w:pPr>
              <w:pStyle w:val="TableParagraph"/>
              <w:ind w:right="2211"/>
              <w:rPr>
                <w:sz w:val="21"/>
              </w:rPr>
            </w:pPr>
            <w:r>
              <w:rPr>
                <w:spacing w:val="-2"/>
                <w:sz w:val="21"/>
              </w:rPr>
              <w:t>2,000</w:t>
            </w:r>
          </w:p>
        </w:tc>
        <w:tc>
          <w:tcPr>
            <w:tcW w:w="4140" w:type="dxa"/>
          </w:tcPr>
          <w:p w:rsidR="003F5784" w14:paraId="3009CB50" w14:textId="77777777">
            <w:pPr>
              <w:pStyle w:val="TableParagraph"/>
              <w:ind w:right="116"/>
              <w:rPr>
                <w:sz w:val="21"/>
              </w:rPr>
            </w:pPr>
            <w:r>
              <w:rPr>
                <w:spacing w:val="-10"/>
                <w:sz w:val="21"/>
              </w:rPr>
              <w:t>#</w:t>
            </w:r>
          </w:p>
        </w:tc>
      </w:tr>
      <w:tr w14:paraId="629A90F3" w14:textId="77777777">
        <w:tblPrEx>
          <w:tblW w:w="0" w:type="auto"/>
          <w:tblInd w:w="482" w:type="dxa"/>
          <w:tblLayout w:type="fixed"/>
          <w:tblCellMar>
            <w:left w:w="0" w:type="dxa"/>
            <w:right w:w="0" w:type="dxa"/>
          </w:tblCellMar>
          <w:tblLook w:val="01E0"/>
        </w:tblPrEx>
        <w:trPr>
          <w:trHeight w:val="288"/>
        </w:trPr>
        <w:tc>
          <w:tcPr>
            <w:tcW w:w="3447" w:type="dxa"/>
            <w:tcBorders>
              <w:bottom w:val="single" w:sz="18" w:space="0" w:color="800000"/>
            </w:tcBorders>
          </w:tcPr>
          <w:p w:rsidR="003F5784" w14:paraId="0AC20E02" w14:textId="77777777">
            <w:pPr>
              <w:pStyle w:val="TableParagraph"/>
              <w:ind w:left="120"/>
              <w:jc w:val="left"/>
              <w:rPr>
                <w:sz w:val="21"/>
              </w:rPr>
            </w:pPr>
            <w:r>
              <w:rPr>
                <w:spacing w:val="-4"/>
                <w:sz w:val="21"/>
              </w:rPr>
              <w:t>2005</w:t>
            </w:r>
          </w:p>
        </w:tc>
        <w:tc>
          <w:tcPr>
            <w:tcW w:w="6396" w:type="dxa"/>
            <w:tcBorders>
              <w:bottom w:val="single" w:sz="18" w:space="0" w:color="800000"/>
            </w:tcBorders>
          </w:tcPr>
          <w:p w:rsidR="003F5784" w14:paraId="51A0100F" w14:textId="77777777">
            <w:pPr>
              <w:pStyle w:val="TableParagraph"/>
              <w:ind w:right="2211"/>
              <w:rPr>
                <w:sz w:val="21"/>
              </w:rPr>
            </w:pPr>
            <w:r>
              <w:rPr>
                <w:spacing w:val="-5"/>
                <w:sz w:val="21"/>
              </w:rPr>
              <w:t>73</w:t>
            </w:r>
          </w:p>
        </w:tc>
        <w:tc>
          <w:tcPr>
            <w:tcW w:w="4140" w:type="dxa"/>
            <w:tcBorders>
              <w:bottom w:val="single" w:sz="18" w:space="0" w:color="800000"/>
            </w:tcBorders>
          </w:tcPr>
          <w:p w:rsidR="003F5784" w14:paraId="0494FC2A" w14:textId="77777777">
            <w:pPr>
              <w:pStyle w:val="TableParagraph"/>
              <w:ind w:right="116"/>
              <w:rPr>
                <w:sz w:val="21"/>
              </w:rPr>
            </w:pPr>
            <w:r>
              <w:rPr>
                <w:spacing w:val="-10"/>
                <w:sz w:val="21"/>
              </w:rPr>
              <w:t>#</w:t>
            </w:r>
          </w:p>
        </w:tc>
      </w:tr>
      <w:tr w14:paraId="48B09B68" w14:textId="77777777">
        <w:tblPrEx>
          <w:tblW w:w="0" w:type="auto"/>
          <w:tblInd w:w="482" w:type="dxa"/>
          <w:tblLayout w:type="fixed"/>
          <w:tblCellMar>
            <w:left w:w="0" w:type="dxa"/>
            <w:right w:w="0" w:type="dxa"/>
          </w:tblCellMar>
          <w:tblLook w:val="01E0"/>
        </w:tblPrEx>
        <w:trPr>
          <w:trHeight w:val="237"/>
        </w:trPr>
        <w:tc>
          <w:tcPr>
            <w:tcW w:w="13983" w:type="dxa"/>
            <w:gridSpan w:val="3"/>
            <w:tcBorders>
              <w:top w:val="single" w:sz="18" w:space="0" w:color="800000"/>
            </w:tcBorders>
          </w:tcPr>
          <w:p w:rsidR="003F5784" w14:paraId="5EB7B53C"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r>
    </w:tbl>
    <w:p w:rsidR="003F5784" w14:paraId="3A46D21A" w14:textId="77777777">
      <w:pPr>
        <w:pStyle w:val="BodyText"/>
        <w:spacing w:line="235"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49F709CF"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2020 Long-Term Trend Assessment.</w:t>
      </w:r>
    </w:p>
    <w:p w:rsidR="003F5784" w14:paraId="2540264A" w14:textId="77777777">
      <w:pPr>
        <w:pStyle w:val="BodyText"/>
        <w:spacing w:before="118"/>
      </w:pPr>
    </w:p>
    <w:p w:rsidR="003F5784" w14:paraId="2909A16D" w14:textId="77777777">
      <w:pPr>
        <w:pStyle w:val="Heading2"/>
      </w:pPr>
      <w:r>
        <w:t>Weighted</w:t>
      </w:r>
      <w:r>
        <w:rPr>
          <w:spacing w:val="-9"/>
        </w:rPr>
        <w:t xml:space="preserve"> </w:t>
      </w:r>
      <w:r>
        <w:t>aggregations</w:t>
      </w:r>
      <w:r>
        <w:rPr>
          <w:spacing w:val="-9"/>
        </w:rPr>
        <w:t xml:space="preserve"> </w:t>
      </w:r>
      <w:r>
        <w:t>and</w:t>
      </w:r>
      <w:r>
        <w:rPr>
          <w:spacing w:val="-8"/>
        </w:rPr>
        <w:t xml:space="preserve"> </w:t>
      </w:r>
      <w:r>
        <w:t>proportions</w:t>
      </w:r>
      <w:r>
        <w:rPr>
          <w:spacing w:val="-9"/>
        </w:rPr>
        <w:t xml:space="preserve"> </w:t>
      </w:r>
      <w:r>
        <w:t>from</w:t>
      </w:r>
      <w:r>
        <w:rPr>
          <w:spacing w:val="-9"/>
        </w:rPr>
        <w:t xml:space="preserve"> </w:t>
      </w:r>
      <w:r>
        <w:t>the</w:t>
      </w:r>
      <w:r>
        <w:rPr>
          <w:spacing w:val="-8"/>
        </w:rPr>
        <w:t xml:space="preserve"> </w:t>
      </w:r>
      <w:r>
        <w:t>grade</w:t>
      </w:r>
      <w:r>
        <w:rPr>
          <w:spacing w:val="-9"/>
        </w:rPr>
        <w:t xml:space="preserve"> </w:t>
      </w:r>
      <w:r>
        <w:t>8</w:t>
      </w:r>
      <w:r>
        <w:rPr>
          <w:spacing w:val="-8"/>
        </w:rPr>
        <w:t xml:space="preserve"> </w:t>
      </w:r>
      <w:r>
        <w:t>reading</w:t>
      </w:r>
      <w:r>
        <w:rPr>
          <w:spacing w:val="-9"/>
        </w:rPr>
        <w:t xml:space="preserve"> </w:t>
      </w:r>
      <w:r>
        <w:t>and</w:t>
      </w:r>
      <w:r>
        <w:rPr>
          <w:spacing w:val="-9"/>
        </w:rPr>
        <w:t xml:space="preserve"> </w:t>
      </w:r>
      <w:r>
        <w:t>mathematics</w:t>
      </w:r>
      <w:r>
        <w:rPr>
          <w:spacing w:val="-8"/>
        </w:rPr>
        <w:t xml:space="preserve"> </w:t>
      </w:r>
      <w:r>
        <w:t>assessments,</w:t>
      </w:r>
      <w:r>
        <w:rPr>
          <w:spacing w:val="-9"/>
        </w:rPr>
        <w:t xml:space="preserve"> </w:t>
      </w:r>
      <w:r>
        <w:t>public</w:t>
      </w:r>
      <w:r>
        <w:rPr>
          <w:spacing w:val="-8"/>
        </w:rPr>
        <w:t xml:space="preserve"> </w:t>
      </w:r>
      <w:r>
        <w:t>schools</w:t>
      </w:r>
      <w:r>
        <w:rPr>
          <w:spacing w:val="-9"/>
        </w:rPr>
        <w:t xml:space="preserve"> </w:t>
      </w:r>
      <w:r>
        <w:t>Midwest</w:t>
      </w:r>
      <w:r>
        <w:rPr>
          <w:spacing w:val="-9"/>
        </w:rPr>
        <w:t xml:space="preserve"> </w:t>
      </w:r>
      <w:r>
        <w:t>region,</w:t>
      </w:r>
      <w:r>
        <w:rPr>
          <w:spacing w:val="-8"/>
        </w:rPr>
        <w:t xml:space="preserve"> </w:t>
      </w:r>
      <w:r>
        <w:t>by</w:t>
      </w:r>
      <w:r>
        <w:rPr>
          <w:spacing w:val="-9"/>
        </w:rPr>
        <w:t xml:space="preserve"> </w:t>
      </w:r>
      <w:r>
        <w:t>year</w:t>
      </w:r>
      <w:r>
        <w:rPr>
          <w:spacing w:val="-12"/>
        </w:rPr>
        <w:t xml:space="preserve"> </w:t>
      </w:r>
      <w:r>
        <w:t>of</w:t>
      </w:r>
      <w:r>
        <w:rPr>
          <w:spacing w:val="-8"/>
        </w:rPr>
        <w:t xml:space="preserve"> </w:t>
      </w:r>
      <w:r>
        <w:t>birth:</w:t>
      </w:r>
      <w:r>
        <w:rPr>
          <w:spacing w:val="-9"/>
        </w:rPr>
        <w:t xml:space="preserve"> </w:t>
      </w:r>
      <w:r>
        <w:rPr>
          <w:spacing w:val="-4"/>
        </w:rPr>
        <w:t>2017</w:t>
      </w:r>
    </w:p>
    <w:p w:rsidR="003F5784" w14:paraId="7182A371"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3447"/>
        <w:gridCol w:w="6396"/>
        <w:gridCol w:w="4140"/>
      </w:tblGrid>
      <w:tr w14:paraId="668C05A3" w14:textId="77777777">
        <w:tblPrEx>
          <w:tblW w:w="0" w:type="auto"/>
          <w:tblInd w:w="482" w:type="dxa"/>
          <w:tblLayout w:type="fixed"/>
          <w:tblCellMar>
            <w:left w:w="0" w:type="dxa"/>
            <w:right w:w="0" w:type="dxa"/>
          </w:tblCellMar>
          <w:tblLook w:val="01E0"/>
        </w:tblPrEx>
        <w:trPr>
          <w:trHeight w:val="267"/>
        </w:trPr>
        <w:tc>
          <w:tcPr>
            <w:tcW w:w="3447" w:type="dxa"/>
            <w:tcBorders>
              <w:top w:val="single" w:sz="18" w:space="0" w:color="800000"/>
              <w:bottom w:val="single" w:sz="18" w:space="0" w:color="800000"/>
            </w:tcBorders>
          </w:tcPr>
          <w:p w:rsidR="003F5784" w14:paraId="3BC525E1" w14:textId="77777777">
            <w:pPr>
              <w:pStyle w:val="TableParagraph"/>
              <w:spacing w:before="9" w:line="238" w:lineRule="exact"/>
              <w:ind w:left="120"/>
              <w:jc w:val="left"/>
              <w:rPr>
                <w:sz w:val="21"/>
              </w:rPr>
            </w:pPr>
            <w:r>
              <w:rPr>
                <w:spacing w:val="-2"/>
                <w:sz w:val="21"/>
              </w:rPr>
              <w:t>Year</w:t>
            </w:r>
            <w:r>
              <w:rPr>
                <w:spacing w:val="-9"/>
                <w:sz w:val="21"/>
              </w:rPr>
              <w:t xml:space="preserve"> </w:t>
            </w:r>
            <w:r>
              <w:rPr>
                <w:spacing w:val="-2"/>
                <w:sz w:val="21"/>
              </w:rPr>
              <w:t>of</w:t>
            </w:r>
            <w:r>
              <w:rPr>
                <w:spacing w:val="-8"/>
                <w:sz w:val="21"/>
              </w:rPr>
              <w:t xml:space="preserve"> </w:t>
            </w:r>
            <w:r>
              <w:rPr>
                <w:spacing w:val="-2"/>
                <w:sz w:val="21"/>
              </w:rPr>
              <w:t>birth</w:t>
            </w:r>
          </w:p>
        </w:tc>
        <w:tc>
          <w:tcPr>
            <w:tcW w:w="6396" w:type="dxa"/>
            <w:tcBorders>
              <w:top w:val="single" w:sz="18" w:space="0" w:color="800000"/>
              <w:bottom w:val="single" w:sz="18" w:space="0" w:color="800000"/>
            </w:tcBorders>
          </w:tcPr>
          <w:p w:rsidR="003F5784" w14:paraId="154AFE16" w14:textId="77777777">
            <w:pPr>
              <w:pStyle w:val="TableParagraph"/>
              <w:spacing w:before="9" w:line="238" w:lineRule="exact"/>
              <w:ind w:right="2211"/>
              <w:rPr>
                <w:sz w:val="21"/>
              </w:rPr>
            </w:pPr>
            <w:r>
              <w:rPr>
                <w:spacing w:val="-2"/>
                <w:sz w:val="21"/>
              </w:rPr>
              <w:t>Weighted</w:t>
            </w:r>
            <w:r>
              <w:rPr>
                <w:spacing w:val="-11"/>
                <w:sz w:val="21"/>
              </w:rPr>
              <w:t xml:space="preserve"> </w:t>
            </w:r>
            <w:r>
              <w:rPr>
                <w:spacing w:val="-2"/>
                <w:sz w:val="21"/>
              </w:rPr>
              <w:t>aggregations</w:t>
            </w:r>
          </w:p>
        </w:tc>
        <w:tc>
          <w:tcPr>
            <w:tcW w:w="4140" w:type="dxa"/>
            <w:tcBorders>
              <w:top w:val="single" w:sz="18" w:space="0" w:color="800000"/>
              <w:bottom w:val="single" w:sz="18" w:space="0" w:color="800000"/>
            </w:tcBorders>
          </w:tcPr>
          <w:p w:rsidR="003F5784" w14:paraId="79024132" w14:textId="77777777">
            <w:pPr>
              <w:pStyle w:val="TableParagraph"/>
              <w:spacing w:before="9" w:line="238" w:lineRule="exact"/>
              <w:ind w:right="116"/>
              <w:rPr>
                <w:sz w:val="21"/>
              </w:rPr>
            </w:pPr>
            <w:r>
              <w:rPr>
                <w:spacing w:val="-2"/>
                <w:sz w:val="21"/>
              </w:rPr>
              <w:t>Weighted</w:t>
            </w:r>
            <w:r>
              <w:rPr>
                <w:spacing w:val="-11"/>
                <w:sz w:val="21"/>
              </w:rPr>
              <w:t xml:space="preserve"> </w:t>
            </w:r>
            <w:r>
              <w:rPr>
                <w:spacing w:val="-2"/>
                <w:sz w:val="21"/>
              </w:rPr>
              <w:t>proportions</w:t>
            </w:r>
          </w:p>
        </w:tc>
      </w:tr>
      <w:tr w14:paraId="2391CFA3" w14:textId="77777777">
        <w:tblPrEx>
          <w:tblW w:w="0" w:type="auto"/>
          <w:tblInd w:w="482" w:type="dxa"/>
          <w:tblLayout w:type="fixed"/>
          <w:tblCellMar>
            <w:left w:w="0" w:type="dxa"/>
            <w:right w:w="0" w:type="dxa"/>
          </w:tblCellMar>
          <w:tblLook w:val="01E0"/>
        </w:tblPrEx>
        <w:trPr>
          <w:trHeight w:val="278"/>
        </w:trPr>
        <w:tc>
          <w:tcPr>
            <w:tcW w:w="3447" w:type="dxa"/>
            <w:tcBorders>
              <w:top w:val="single" w:sz="18" w:space="0" w:color="800000"/>
            </w:tcBorders>
          </w:tcPr>
          <w:p w:rsidR="003F5784" w14:paraId="24C11C67" w14:textId="77777777">
            <w:pPr>
              <w:pStyle w:val="TableParagraph"/>
              <w:spacing w:before="9"/>
              <w:ind w:left="370"/>
              <w:jc w:val="left"/>
              <w:rPr>
                <w:b/>
                <w:sz w:val="21"/>
              </w:rPr>
            </w:pPr>
            <w:r>
              <w:rPr>
                <w:b/>
                <w:spacing w:val="-2"/>
                <w:sz w:val="21"/>
              </w:rPr>
              <w:t>Total</w:t>
            </w:r>
          </w:p>
        </w:tc>
        <w:tc>
          <w:tcPr>
            <w:tcW w:w="6396" w:type="dxa"/>
            <w:tcBorders>
              <w:top w:val="single" w:sz="18" w:space="0" w:color="800000"/>
            </w:tcBorders>
          </w:tcPr>
          <w:p w:rsidR="003F5784" w14:paraId="1F6B5B42" w14:textId="77777777">
            <w:pPr>
              <w:pStyle w:val="TableParagraph"/>
              <w:spacing w:before="9"/>
              <w:ind w:right="2211"/>
              <w:rPr>
                <w:b/>
                <w:sz w:val="21"/>
              </w:rPr>
            </w:pPr>
            <w:r>
              <w:rPr>
                <w:b/>
                <w:spacing w:val="-2"/>
                <w:sz w:val="21"/>
              </w:rPr>
              <w:t>753,000</w:t>
            </w:r>
          </w:p>
        </w:tc>
        <w:tc>
          <w:tcPr>
            <w:tcW w:w="4140" w:type="dxa"/>
            <w:tcBorders>
              <w:top w:val="single" w:sz="18" w:space="0" w:color="800000"/>
            </w:tcBorders>
          </w:tcPr>
          <w:p w:rsidR="003F5784" w14:paraId="7498C386" w14:textId="77777777">
            <w:pPr>
              <w:pStyle w:val="TableParagraph"/>
              <w:spacing w:before="9"/>
              <w:ind w:right="116"/>
              <w:rPr>
                <w:b/>
                <w:sz w:val="21"/>
              </w:rPr>
            </w:pPr>
            <w:r>
              <w:rPr>
                <w:b/>
                <w:spacing w:val="-4"/>
                <w:sz w:val="21"/>
              </w:rPr>
              <w:t>1.00</w:t>
            </w:r>
          </w:p>
        </w:tc>
      </w:tr>
      <w:tr w14:paraId="41594680" w14:textId="77777777">
        <w:tblPrEx>
          <w:tblW w:w="0" w:type="auto"/>
          <w:tblInd w:w="482" w:type="dxa"/>
          <w:tblLayout w:type="fixed"/>
          <w:tblCellMar>
            <w:left w:w="0" w:type="dxa"/>
            <w:right w:w="0" w:type="dxa"/>
          </w:tblCellMar>
          <w:tblLook w:val="01E0"/>
        </w:tblPrEx>
        <w:trPr>
          <w:trHeight w:val="286"/>
        </w:trPr>
        <w:tc>
          <w:tcPr>
            <w:tcW w:w="3447" w:type="dxa"/>
          </w:tcPr>
          <w:p w:rsidR="003F5784" w14:paraId="2BD75FAE" w14:textId="77777777">
            <w:pPr>
              <w:pStyle w:val="TableParagraph"/>
              <w:ind w:left="120"/>
              <w:jc w:val="left"/>
              <w:rPr>
                <w:sz w:val="21"/>
              </w:rPr>
            </w:pPr>
            <w:r>
              <w:rPr>
                <w:spacing w:val="-4"/>
                <w:sz w:val="21"/>
              </w:rPr>
              <w:t>1999</w:t>
            </w:r>
          </w:p>
        </w:tc>
        <w:tc>
          <w:tcPr>
            <w:tcW w:w="6396" w:type="dxa"/>
          </w:tcPr>
          <w:p w:rsidR="003F5784" w14:paraId="007E6A49" w14:textId="77777777">
            <w:pPr>
              <w:pStyle w:val="TableParagraph"/>
              <w:ind w:right="2211"/>
              <w:rPr>
                <w:sz w:val="21"/>
              </w:rPr>
            </w:pPr>
            <w:r>
              <w:rPr>
                <w:spacing w:val="-5"/>
                <w:sz w:val="21"/>
              </w:rPr>
              <w:t>223</w:t>
            </w:r>
          </w:p>
        </w:tc>
        <w:tc>
          <w:tcPr>
            <w:tcW w:w="4140" w:type="dxa"/>
          </w:tcPr>
          <w:p w:rsidR="003F5784" w14:paraId="0CC01E5B" w14:textId="77777777">
            <w:pPr>
              <w:pStyle w:val="TableParagraph"/>
              <w:ind w:right="116"/>
              <w:rPr>
                <w:sz w:val="21"/>
              </w:rPr>
            </w:pPr>
            <w:r>
              <w:rPr>
                <w:spacing w:val="-10"/>
                <w:sz w:val="21"/>
              </w:rPr>
              <w:t>#</w:t>
            </w:r>
          </w:p>
        </w:tc>
      </w:tr>
      <w:tr w14:paraId="721F09B0" w14:textId="77777777">
        <w:tblPrEx>
          <w:tblW w:w="0" w:type="auto"/>
          <w:tblInd w:w="482" w:type="dxa"/>
          <w:tblLayout w:type="fixed"/>
          <w:tblCellMar>
            <w:left w:w="0" w:type="dxa"/>
            <w:right w:w="0" w:type="dxa"/>
          </w:tblCellMar>
          <w:tblLook w:val="01E0"/>
        </w:tblPrEx>
        <w:trPr>
          <w:trHeight w:val="286"/>
        </w:trPr>
        <w:tc>
          <w:tcPr>
            <w:tcW w:w="3447" w:type="dxa"/>
          </w:tcPr>
          <w:p w:rsidR="003F5784" w14:paraId="18F27FBF" w14:textId="77777777">
            <w:pPr>
              <w:pStyle w:val="TableParagraph"/>
              <w:ind w:left="120"/>
              <w:jc w:val="left"/>
              <w:rPr>
                <w:sz w:val="21"/>
              </w:rPr>
            </w:pPr>
            <w:r>
              <w:rPr>
                <w:spacing w:val="-4"/>
                <w:sz w:val="21"/>
              </w:rPr>
              <w:t>2000</w:t>
            </w:r>
          </w:p>
        </w:tc>
        <w:tc>
          <w:tcPr>
            <w:tcW w:w="6396" w:type="dxa"/>
          </w:tcPr>
          <w:p w:rsidR="003F5784" w14:paraId="2A1B7916" w14:textId="77777777">
            <w:pPr>
              <w:pStyle w:val="TableParagraph"/>
              <w:ind w:right="2211"/>
              <w:rPr>
                <w:sz w:val="21"/>
              </w:rPr>
            </w:pPr>
            <w:r>
              <w:rPr>
                <w:spacing w:val="-5"/>
                <w:sz w:val="21"/>
              </w:rPr>
              <w:t>410</w:t>
            </w:r>
          </w:p>
        </w:tc>
        <w:tc>
          <w:tcPr>
            <w:tcW w:w="4140" w:type="dxa"/>
          </w:tcPr>
          <w:p w:rsidR="003F5784" w14:paraId="7B010B65" w14:textId="77777777">
            <w:pPr>
              <w:pStyle w:val="TableParagraph"/>
              <w:ind w:right="116"/>
              <w:rPr>
                <w:sz w:val="21"/>
              </w:rPr>
            </w:pPr>
            <w:r>
              <w:rPr>
                <w:spacing w:val="-10"/>
                <w:sz w:val="21"/>
              </w:rPr>
              <w:t>#</w:t>
            </w:r>
          </w:p>
        </w:tc>
      </w:tr>
      <w:tr w14:paraId="0AD8CB5D" w14:textId="77777777">
        <w:tblPrEx>
          <w:tblW w:w="0" w:type="auto"/>
          <w:tblInd w:w="482" w:type="dxa"/>
          <w:tblLayout w:type="fixed"/>
          <w:tblCellMar>
            <w:left w:w="0" w:type="dxa"/>
            <w:right w:w="0" w:type="dxa"/>
          </w:tblCellMar>
          <w:tblLook w:val="01E0"/>
        </w:tblPrEx>
        <w:trPr>
          <w:trHeight w:val="286"/>
        </w:trPr>
        <w:tc>
          <w:tcPr>
            <w:tcW w:w="3447" w:type="dxa"/>
          </w:tcPr>
          <w:p w:rsidR="003F5784" w14:paraId="2BC3A9A3" w14:textId="77777777">
            <w:pPr>
              <w:pStyle w:val="TableParagraph"/>
              <w:ind w:left="120"/>
              <w:jc w:val="left"/>
              <w:rPr>
                <w:sz w:val="21"/>
              </w:rPr>
            </w:pPr>
            <w:r>
              <w:rPr>
                <w:spacing w:val="-4"/>
                <w:sz w:val="21"/>
              </w:rPr>
              <w:t>2001</w:t>
            </w:r>
          </w:p>
        </w:tc>
        <w:tc>
          <w:tcPr>
            <w:tcW w:w="6396" w:type="dxa"/>
          </w:tcPr>
          <w:p w:rsidR="003F5784" w14:paraId="0C4FA012" w14:textId="77777777">
            <w:pPr>
              <w:pStyle w:val="TableParagraph"/>
              <w:ind w:right="2211"/>
              <w:rPr>
                <w:sz w:val="21"/>
              </w:rPr>
            </w:pPr>
            <w:r>
              <w:rPr>
                <w:spacing w:val="-2"/>
                <w:sz w:val="21"/>
              </w:rPr>
              <w:t>14,000</w:t>
            </w:r>
          </w:p>
        </w:tc>
        <w:tc>
          <w:tcPr>
            <w:tcW w:w="4140" w:type="dxa"/>
          </w:tcPr>
          <w:p w:rsidR="003F5784" w14:paraId="65BC7B73" w14:textId="77777777">
            <w:pPr>
              <w:pStyle w:val="TableParagraph"/>
              <w:ind w:right="116"/>
              <w:rPr>
                <w:sz w:val="21"/>
              </w:rPr>
            </w:pPr>
            <w:r>
              <w:rPr>
                <w:spacing w:val="-4"/>
                <w:sz w:val="21"/>
              </w:rPr>
              <w:t>0.02</w:t>
            </w:r>
          </w:p>
        </w:tc>
      </w:tr>
      <w:tr w14:paraId="39B41D0D" w14:textId="77777777">
        <w:tblPrEx>
          <w:tblW w:w="0" w:type="auto"/>
          <w:tblInd w:w="482" w:type="dxa"/>
          <w:tblLayout w:type="fixed"/>
          <w:tblCellMar>
            <w:left w:w="0" w:type="dxa"/>
            <w:right w:w="0" w:type="dxa"/>
          </w:tblCellMar>
          <w:tblLook w:val="01E0"/>
        </w:tblPrEx>
        <w:trPr>
          <w:trHeight w:val="286"/>
        </w:trPr>
        <w:tc>
          <w:tcPr>
            <w:tcW w:w="3447" w:type="dxa"/>
          </w:tcPr>
          <w:p w:rsidR="003F5784" w14:paraId="39FE676F" w14:textId="77777777">
            <w:pPr>
              <w:pStyle w:val="TableParagraph"/>
              <w:ind w:left="120"/>
              <w:jc w:val="left"/>
              <w:rPr>
                <w:sz w:val="21"/>
              </w:rPr>
            </w:pPr>
            <w:r>
              <w:rPr>
                <w:spacing w:val="-4"/>
                <w:sz w:val="21"/>
              </w:rPr>
              <w:t>2002</w:t>
            </w:r>
          </w:p>
        </w:tc>
        <w:tc>
          <w:tcPr>
            <w:tcW w:w="6396" w:type="dxa"/>
          </w:tcPr>
          <w:p w:rsidR="003F5784" w14:paraId="6FD2CD16" w14:textId="77777777">
            <w:pPr>
              <w:pStyle w:val="TableParagraph"/>
              <w:ind w:right="2211"/>
              <w:rPr>
                <w:sz w:val="21"/>
              </w:rPr>
            </w:pPr>
            <w:r>
              <w:rPr>
                <w:spacing w:val="-2"/>
                <w:sz w:val="21"/>
              </w:rPr>
              <w:t>305,000</w:t>
            </w:r>
          </w:p>
        </w:tc>
        <w:tc>
          <w:tcPr>
            <w:tcW w:w="4140" w:type="dxa"/>
          </w:tcPr>
          <w:p w:rsidR="003F5784" w14:paraId="0512B4F0" w14:textId="77777777">
            <w:pPr>
              <w:pStyle w:val="TableParagraph"/>
              <w:ind w:right="116"/>
              <w:rPr>
                <w:sz w:val="21"/>
              </w:rPr>
            </w:pPr>
            <w:r>
              <w:rPr>
                <w:spacing w:val="-4"/>
                <w:sz w:val="21"/>
              </w:rPr>
              <w:t>0.40</w:t>
            </w:r>
          </w:p>
        </w:tc>
      </w:tr>
      <w:tr w14:paraId="411C3456" w14:textId="77777777">
        <w:tblPrEx>
          <w:tblW w:w="0" w:type="auto"/>
          <w:tblInd w:w="482" w:type="dxa"/>
          <w:tblLayout w:type="fixed"/>
          <w:tblCellMar>
            <w:left w:w="0" w:type="dxa"/>
            <w:right w:w="0" w:type="dxa"/>
          </w:tblCellMar>
          <w:tblLook w:val="01E0"/>
        </w:tblPrEx>
        <w:trPr>
          <w:trHeight w:val="286"/>
        </w:trPr>
        <w:tc>
          <w:tcPr>
            <w:tcW w:w="3447" w:type="dxa"/>
          </w:tcPr>
          <w:p w:rsidR="003F5784" w14:paraId="4DCB4899" w14:textId="77777777">
            <w:pPr>
              <w:pStyle w:val="TableParagraph"/>
              <w:ind w:left="120"/>
              <w:jc w:val="left"/>
              <w:rPr>
                <w:sz w:val="21"/>
              </w:rPr>
            </w:pPr>
            <w:r>
              <w:rPr>
                <w:spacing w:val="-4"/>
                <w:sz w:val="21"/>
              </w:rPr>
              <w:t>2003</w:t>
            </w:r>
          </w:p>
        </w:tc>
        <w:tc>
          <w:tcPr>
            <w:tcW w:w="6396" w:type="dxa"/>
          </w:tcPr>
          <w:p w:rsidR="003F5784" w14:paraId="0AACFD5C" w14:textId="77777777">
            <w:pPr>
              <w:pStyle w:val="TableParagraph"/>
              <w:ind w:right="2211"/>
              <w:rPr>
                <w:sz w:val="21"/>
              </w:rPr>
            </w:pPr>
            <w:r>
              <w:rPr>
                <w:spacing w:val="-2"/>
                <w:sz w:val="21"/>
              </w:rPr>
              <w:t>433,000</w:t>
            </w:r>
          </w:p>
        </w:tc>
        <w:tc>
          <w:tcPr>
            <w:tcW w:w="4140" w:type="dxa"/>
          </w:tcPr>
          <w:p w:rsidR="003F5784" w14:paraId="29807BDA" w14:textId="77777777">
            <w:pPr>
              <w:pStyle w:val="TableParagraph"/>
              <w:ind w:right="116"/>
              <w:rPr>
                <w:sz w:val="21"/>
              </w:rPr>
            </w:pPr>
            <w:r>
              <w:rPr>
                <w:spacing w:val="-4"/>
                <w:sz w:val="21"/>
              </w:rPr>
              <w:t>0.57</w:t>
            </w:r>
          </w:p>
        </w:tc>
      </w:tr>
      <w:tr w14:paraId="1970A665" w14:textId="77777777">
        <w:tblPrEx>
          <w:tblW w:w="0" w:type="auto"/>
          <w:tblInd w:w="482" w:type="dxa"/>
          <w:tblLayout w:type="fixed"/>
          <w:tblCellMar>
            <w:left w:w="0" w:type="dxa"/>
            <w:right w:w="0" w:type="dxa"/>
          </w:tblCellMar>
          <w:tblLook w:val="01E0"/>
        </w:tblPrEx>
        <w:trPr>
          <w:trHeight w:val="286"/>
        </w:trPr>
        <w:tc>
          <w:tcPr>
            <w:tcW w:w="3447" w:type="dxa"/>
          </w:tcPr>
          <w:p w:rsidR="003F5784" w14:paraId="72108E6C" w14:textId="77777777">
            <w:pPr>
              <w:pStyle w:val="TableParagraph"/>
              <w:ind w:left="120"/>
              <w:jc w:val="left"/>
              <w:rPr>
                <w:sz w:val="21"/>
              </w:rPr>
            </w:pPr>
            <w:r>
              <w:rPr>
                <w:spacing w:val="-4"/>
                <w:sz w:val="21"/>
              </w:rPr>
              <w:t>2004</w:t>
            </w:r>
          </w:p>
        </w:tc>
        <w:tc>
          <w:tcPr>
            <w:tcW w:w="6396" w:type="dxa"/>
          </w:tcPr>
          <w:p w:rsidR="003F5784" w14:paraId="0034B482" w14:textId="77777777">
            <w:pPr>
              <w:pStyle w:val="TableParagraph"/>
              <w:ind w:right="2211"/>
              <w:rPr>
                <w:sz w:val="21"/>
              </w:rPr>
            </w:pPr>
            <w:r>
              <w:rPr>
                <w:spacing w:val="-2"/>
                <w:sz w:val="21"/>
              </w:rPr>
              <w:t>1,000</w:t>
            </w:r>
          </w:p>
        </w:tc>
        <w:tc>
          <w:tcPr>
            <w:tcW w:w="4140" w:type="dxa"/>
          </w:tcPr>
          <w:p w:rsidR="003F5784" w14:paraId="00FD88AB" w14:textId="77777777">
            <w:pPr>
              <w:pStyle w:val="TableParagraph"/>
              <w:ind w:right="116"/>
              <w:rPr>
                <w:sz w:val="21"/>
              </w:rPr>
            </w:pPr>
            <w:r>
              <w:rPr>
                <w:spacing w:val="-10"/>
                <w:sz w:val="21"/>
              </w:rPr>
              <w:t>#</w:t>
            </w:r>
          </w:p>
        </w:tc>
      </w:tr>
      <w:tr w14:paraId="5D9BDFAC" w14:textId="77777777">
        <w:tblPrEx>
          <w:tblW w:w="0" w:type="auto"/>
          <w:tblInd w:w="482" w:type="dxa"/>
          <w:tblLayout w:type="fixed"/>
          <w:tblCellMar>
            <w:left w:w="0" w:type="dxa"/>
            <w:right w:w="0" w:type="dxa"/>
          </w:tblCellMar>
          <w:tblLook w:val="01E0"/>
        </w:tblPrEx>
        <w:trPr>
          <w:trHeight w:val="288"/>
        </w:trPr>
        <w:tc>
          <w:tcPr>
            <w:tcW w:w="3447" w:type="dxa"/>
            <w:tcBorders>
              <w:bottom w:val="single" w:sz="18" w:space="0" w:color="800000"/>
            </w:tcBorders>
          </w:tcPr>
          <w:p w:rsidR="003F5784" w14:paraId="11AC413B" w14:textId="77777777">
            <w:pPr>
              <w:pStyle w:val="TableParagraph"/>
              <w:ind w:left="120"/>
              <w:jc w:val="left"/>
              <w:rPr>
                <w:sz w:val="21"/>
              </w:rPr>
            </w:pPr>
            <w:r>
              <w:rPr>
                <w:spacing w:val="-4"/>
                <w:sz w:val="21"/>
              </w:rPr>
              <w:t>2005</w:t>
            </w:r>
          </w:p>
        </w:tc>
        <w:tc>
          <w:tcPr>
            <w:tcW w:w="6396" w:type="dxa"/>
            <w:tcBorders>
              <w:bottom w:val="single" w:sz="18" w:space="0" w:color="800000"/>
            </w:tcBorders>
          </w:tcPr>
          <w:p w:rsidR="003F5784" w14:paraId="184F26A3" w14:textId="77777777">
            <w:pPr>
              <w:pStyle w:val="TableParagraph"/>
              <w:ind w:right="2211"/>
              <w:rPr>
                <w:sz w:val="21"/>
              </w:rPr>
            </w:pPr>
            <w:r>
              <w:rPr>
                <w:spacing w:val="-5"/>
                <w:sz w:val="21"/>
              </w:rPr>
              <w:t>43</w:t>
            </w:r>
          </w:p>
        </w:tc>
        <w:tc>
          <w:tcPr>
            <w:tcW w:w="4140" w:type="dxa"/>
            <w:tcBorders>
              <w:bottom w:val="single" w:sz="18" w:space="0" w:color="800000"/>
            </w:tcBorders>
          </w:tcPr>
          <w:p w:rsidR="003F5784" w14:paraId="2F8A0984" w14:textId="77777777">
            <w:pPr>
              <w:pStyle w:val="TableParagraph"/>
              <w:ind w:right="116"/>
              <w:rPr>
                <w:sz w:val="21"/>
              </w:rPr>
            </w:pPr>
            <w:r>
              <w:rPr>
                <w:spacing w:val="-10"/>
                <w:sz w:val="21"/>
              </w:rPr>
              <w:t>#</w:t>
            </w:r>
          </w:p>
        </w:tc>
      </w:tr>
      <w:tr w14:paraId="2AF455A6" w14:textId="77777777">
        <w:tblPrEx>
          <w:tblW w:w="0" w:type="auto"/>
          <w:tblInd w:w="482" w:type="dxa"/>
          <w:tblLayout w:type="fixed"/>
          <w:tblCellMar>
            <w:left w:w="0" w:type="dxa"/>
            <w:right w:w="0" w:type="dxa"/>
          </w:tblCellMar>
          <w:tblLook w:val="01E0"/>
        </w:tblPrEx>
        <w:trPr>
          <w:trHeight w:val="237"/>
        </w:trPr>
        <w:tc>
          <w:tcPr>
            <w:tcW w:w="13983" w:type="dxa"/>
            <w:gridSpan w:val="3"/>
            <w:tcBorders>
              <w:top w:val="single" w:sz="18" w:space="0" w:color="800000"/>
            </w:tcBorders>
          </w:tcPr>
          <w:p w:rsidR="003F5784" w14:paraId="3FE0B7B4"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r>
    </w:tbl>
    <w:p w:rsidR="003F5784" w14:paraId="7A86924D" w14:textId="77777777">
      <w:pPr>
        <w:pStyle w:val="BodyText"/>
        <w:spacing w:line="235"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17A77B60"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2020 Long-Term Trend Assessment.</w:t>
      </w:r>
    </w:p>
    <w:p w:rsidR="003F5784" w14:paraId="0F34DED4" w14:textId="77777777">
      <w:pPr>
        <w:pStyle w:val="BodyText"/>
        <w:spacing w:before="118"/>
      </w:pPr>
    </w:p>
    <w:p w:rsidR="003F5784" w14:paraId="7A553365" w14:textId="77777777">
      <w:pPr>
        <w:pStyle w:val="Heading2"/>
      </w:pPr>
      <w:r>
        <w:t>Weighted</w:t>
      </w:r>
      <w:r>
        <w:rPr>
          <w:spacing w:val="-9"/>
        </w:rPr>
        <w:t xml:space="preserve"> </w:t>
      </w:r>
      <w:r>
        <w:t>aggregations</w:t>
      </w:r>
      <w:r>
        <w:rPr>
          <w:spacing w:val="-8"/>
        </w:rPr>
        <w:t xml:space="preserve"> </w:t>
      </w:r>
      <w:r>
        <w:t>and</w:t>
      </w:r>
      <w:r>
        <w:rPr>
          <w:spacing w:val="-9"/>
        </w:rPr>
        <w:t xml:space="preserve"> </w:t>
      </w:r>
      <w:r>
        <w:t>proportions</w:t>
      </w:r>
      <w:r>
        <w:rPr>
          <w:spacing w:val="-8"/>
        </w:rPr>
        <w:t xml:space="preserve"> </w:t>
      </w:r>
      <w:r>
        <w:t>from</w:t>
      </w:r>
      <w:r>
        <w:rPr>
          <w:spacing w:val="-9"/>
        </w:rPr>
        <w:t xml:space="preserve"> </w:t>
      </w:r>
      <w:r>
        <w:t>the</w:t>
      </w:r>
      <w:r>
        <w:rPr>
          <w:spacing w:val="-8"/>
        </w:rPr>
        <w:t xml:space="preserve"> </w:t>
      </w:r>
      <w:r>
        <w:t>grade</w:t>
      </w:r>
      <w:r>
        <w:rPr>
          <w:spacing w:val="-9"/>
        </w:rPr>
        <w:t xml:space="preserve"> </w:t>
      </w:r>
      <w:r>
        <w:t>8</w:t>
      </w:r>
      <w:r>
        <w:rPr>
          <w:spacing w:val="-8"/>
        </w:rPr>
        <w:t xml:space="preserve"> </w:t>
      </w:r>
      <w:r>
        <w:t>reading</w:t>
      </w:r>
      <w:r>
        <w:rPr>
          <w:spacing w:val="-9"/>
        </w:rPr>
        <w:t xml:space="preserve"> </w:t>
      </w:r>
      <w:r>
        <w:t>and</w:t>
      </w:r>
      <w:r>
        <w:rPr>
          <w:spacing w:val="-8"/>
        </w:rPr>
        <w:t xml:space="preserve"> </w:t>
      </w:r>
      <w:r>
        <w:t>mathematics</w:t>
      </w:r>
      <w:r>
        <w:rPr>
          <w:spacing w:val="-9"/>
        </w:rPr>
        <w:t xml:space="preserve"> </w:t>
      </w:r>
      <w:r>
        <w:t>assessments,</w:t>
      </w:r>
      <w:r>
        <w:rPr>
          <w:spacing w:val="-8"/>
        </w:rPr>
        <w:t xml:space="preserve"> </w:t>
      </w:r>
      <w:r>
        <w:t>public</w:t>
      </w:r>
      <w:r>
        <w:rPr>
          <w:spacing w:val="-9"/>
        </w:rPr>
        <w:t xml:space="preserve"> </w:t>
      </w:r>
      <w:r>
        <w:t>schools</w:t>
      </w:r>
      <w:r>
        <w:rPr>
          <w:spacing w:val="-8"/>
        </w:rPr>
        <w:t xml:space="preserve"> </w:t>
      </w:r>
      <w:r>
        <w:t>South</w:t>
      </w:r>
      <w:r>
        <w:rPr>
          <w:spacing w:val="-9"/>
        </w:rPr>
        <w:t xml:space="preserve"> </w:t>
      </w:r>
      <w:r>
        <w:t>region,</w:t>
      </w:r>
      <w:r>
        <w:rPr>
          <w:spacing w:val="-8"/>
        </w:rPr>
        <w:t xml:space="preserve"> </w:t>
      </w:r>
      <w:r>
        <w:t>by</w:t>
      </w:r>
      <w:r>
        <w:rPr>
          <w:spacing w:val="-9"/>
        </w:rPr>
        <w:t xml:space="preserve"> </w:t>
      </w:r>
      <w:r>
        <w:t>year</w:t>
      </w:r>
      <w:r>
        <w:rPr>
          <w:spacing w:val="-12"/>
        </w:rPr>
        <w:t xml:space="preserve"> </w:t>
      </w:r>
      <w:r>
        <w:t>of</w:t>
      </w:r>
      <w:r>
        <w:rPr>
          <w:spacing w:val="-8"/>
        </w:rPr>
        <w:t xml:space="preserve"> </w:t>
      </w:r>
      <w:r>
        <w:t>birth:</w:t>
      </w:r>
      <w:r>
        <w:rPr>
          <w:spacing w:val="-9"/>
        </w:rPr>
        <w:t xml:space="preserve"> </w:t>
      </w:r>
      <w:r>
        <w:rPr>
          <w:spacing w:val="-4"/>
        </w:rPr>
        <w:t>2017</w:t>
      </w:r>
    </w:p>
    <w:p w:rsidR="003F5784" w14:paraId="31A1955D"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3447"/>
        <w:gridCol w:w="6396"/>
        <w:gridCol w:w="4140"/>
      </w:tblGrid>
      <w:tr w14:paraId="42F0F2C1" w14:textId="77777777">
        <w:tblPrEx>
          <w:tblW w:w="0" w:type="auto"/>
          <w:tblInd w:w="482" w:type="dxa"/>
          <w:tblLayout w:type="fixed"/>
          <w:tblCellMar>
            <w:left w:w="0" w:type="dxa"/>
            <w:right w:w="0" w:type="dxa"/>
          </w:tblCellMar>
          <w:tblLook w:val="01E0"/>
        </w:tblPrEx>
        <w:trPr>
          <w:trHeight w:val="267"/>
        </w:trPr>
        <w:tc>
          <w:tcPr>
            <w:tcW w:w="3447" w:type="dxa"/>
            <w:tcBorders>
              <w:top w:val="single" w:sz="18" w:space="0" w:color="800000"/>
              <w:bottom w:val="single" w:sz="18" w:space="0" w:color="800000"/>
            </w:tcBorders>
          </w:tcPr>
          <w:p w:rsidR="003F5784" w14:paraId="1EEBEB60" w14:textId="77777777">
            <w:pPr>
              <w:pStyle w:val="TableParagraph"/>
              <w:spacing w:before="9" w:line="238" w:lineRule="exact"/>
              <w:ind w:left="100" w:right="2248"/>
              <w:jc w:val="center"/>
              <w:rPr>
                <w:sz w:val="21"/>
              </w:rPr>
            </w:pPr>
            <w:r>
              <w:rPr>
                <w:spacing w:val="-2"/>
                <w:sz w:val="21"/>
              </w:rPr>
              <w:t>Year</w:t>
            </w:r>
            <w:r>
              <w:rPr>
                <w:spacing w:val="-9"/>
                <w:sz w:val="21"/>
              </w:rPr>
              <w:t xml:space="preserve"> </w:t>
            </w:r>
            <w:r>
              <w:rPr>
                <w:spacing w:val="-2"/>
                <w:sz w:val="21"/>
              </w:rPr>
              <w:t>of</w:t>
            </w:r>
            <w:r>
              <w:rPr>
                <w:spacing w:val="-8"/>
                <w:sz w:val="21"/>
              </w:rPr>
              <w:t xml:space="preserve"> </w:t>
            </w:r>
            <w:r>
              <w:rPr>
                <w:spacing w:val="-2"/>
                <w:sz w:val="21"/>
              </w:rPr>
              <w:t>birth</w:t>
            </w:r>
          </w:p>
        </w:tc>
        <w:tc>
          <w:tcPr>
            <w:tcW w:w="6396" w:type="dxa"/>
            <w:tcBorders>
              <w:top w:val="single" w:sz="18" w:space="0" w:color="800000"/>
              <w:bottom w:val="single" w:sz="18" w:space="0" w:color="800000"/>
            </w:tcBorders>
          </w:tcPr>
          <w:p w:rsidR="003F5784" w14:paraId="5BB18C81" w14:textId="77777777">
            <w:pPr>
              <w:pStyle w:val="TableParagraph"/>
              <w:spacing w:before="9" w:line="238" w:lineRule="exact"/>
              <w:ind w:right="2211"/>
              <w:rPr>
                <w:sz w:val="21"/>
              </w:rPr>
            </w:pPr>
            <w:r>
              <w:rPr>
                <w:spacing w:val="-2"/>
                <w:sz w:val="21"/>
              </w:rPr>
              <w:t>Weighted</w:t>
            </w:r>
            <w:r>
              <w:rPr>
                <w:spacing w:val="-11"/>
                <w:sz w:val="21"/>
              </w:rPr>
              <w:t xml:space="preserve"> </w:t>
            </w:r>
            <w:r>
              <w:rPr>
                <w:spacing w:val="-2"/>
                <w:sz w:val="21"/>
              </w:rPr>
              <w:t>aggregations</w:t>
            </w:r>
          </w:p>
        </w:tc>
        <w:tc>
          <w:tcPr>
            <w:tcW w:w="4140" w:type="dxa"/>
            <w:tcBorders>
              <w:top w:val="single" w:sz="18" w:space="0" w:color="800000"/>
              <w:bottom w:val="single" w:sz="18" w:space="0" w:color="800000"/>
            </w:tcBorders>
          </w:tcPr>
          <w:p w:rsidR="003F5784" w14:paraId="45680768" w14:textId="77777777">
            <w:pPr>
              <w:pStyle w:val="TableParagraph"/>
              <w:spacing w:before="9" w:line="238" w:lineRule="exact"/>
              <w:ind w:right="116"/>
              <w:rPr>
                <w:sz w:val="21"/>
              </w:rPr>
            </w:pPr>
            <w:r>
              <w:rPr>
                <w:spacing w:val="-2"/>
                <w:sz w:val="21"/>
              </w:rPr>
              <w:t>Weighted</w:t>
            </w:r>
            <w:r>
              <w:rPr>
                <w:spacing w:val="-11"/>
                <w:sz w:val="21"/>
              </w:rPr>
              <w:t xml:space="preserve"> </w:t>
            </w:r>
            <w:r>
              <w:rPr>
                <w:spacing w:val="-2"/>
                <w:sz w:val="21"/>
              </w:rPr>
              <w:t>proportions</w:t>
            </w:r>
          </w:p>
        </w:tc>
      </w:tr>
      <w:tr w14:paraId="0F4E8DC4" w14:textId="77777777">
        <w:tblPrEx>
          <w:tblW w:w="0" w:type="auto"/>
          <w:tblInd w:w="482" w:type="dxa"/>
          <w:tblLayout w:type="fixed"/>
          <w:tblCellMar>
            <w:left w:w="0" w:type="dxa"/>
            <w:right w:w="0" w:type="dxa"/>
          </w:tblCellMar>
          <w:tblLook w:val="01E0"/>
        </w:tblPrEx>
        <w:trPr>
          <w:trHeight w:val="280"/>
        </w:trPr>
        <w:tc>
          <w:tcPr>
            <w:tcW w:w="3447" w:type="dxa"/>
            <w:tcBorders>
              <w:top w:val="single" w:sz="18" w:space="0" w:color="800000"/>
              <w:bottom w:val="single" w:sz="18" w:space="0" w:color="800000"/>
            </w:tcBorders>
          </w:tcPr>
          <w:p w:rsidR="003F5784" w14:paraId="309DA504" w14:textId="77777777">
            <w:pPr>
              <w:pStyle w:val="TableParagraph"/>
              <w:spacing w:before="9"/>
              <w:ind w:right="2248"/>
              <w:jc w:val="center"/>
              <w:rPr>
                <w:b/>
                <w:sz w:val="21"/>
              </w:rPr>
            </w:pPr>
            <w:r>
              <w:rPr>
                <w:b/>
                <w:spacing w:val="-2"/>
                <w:sz w:val="21"/>
              </w:rPr>
              <w:t>Total</w:t>
            </w:r>
          </w:p>
        </w:tc>
        <w:tc>
          <w:tcPr>
            <w:tcW w:w="6396" w:type="dxa"/>
            <w:tcBorders>
              <w:top w:val="single" w:sz="18" w:space="0" w:color="800000"/>
              <w:bottom w:val="single" w:sz="18" w:space="0" w:color="800000"/>
            </w:tcBorders>
          </w:tcPr>
          <w:p w:rsidR="003F5784" w14:paraId="2AD04832" w14:textId="77777777">
            <w:pPr>
              <w:pStyle w:val="TableParagraph"/>
              <w:spacing w:before="9"/>
              <w:ind w:right="2211"/>
              <w:rPr>
                <w:b/>
                <w:sz w:val="21"/>
              </w:rPr>
            </w:pPr>
            <w:r>
              <w:rPr>
                <w:b/>
                <w:spacing w:val="-2"/>
                <w:sz w:val="21"/>
              </w:rPr>
              <w:t>1,384,000</w:t>
            </w:r>
          </w:p>
        </w:tc>
        <w:tc>
          <w:tcPr>
            <w:tcW w:w="4140" w:type="dxa"/>
            <w:tcBorders>
              <w:top w:val="single" w:sz="18" w:space="0" w:color="800000"/>
              <w:bottom w:val="single" w:sz="18" w:space="0" w:color="800000"/>
            </w:tcBorders>
          </w:tcPr>
          <w:p w:rsidR="003F5784" w14:paraId="136E736B" w14:textId="77777777">
            <w:pPr>
              <w:pStyle w:val="TableParagraph"/>
              <w:spacing w:before="9"/>
              <w:ind w:right="116"/>
              <w:rPr>
                <w:b/>
                <w:sz w:val="21"/>
              </w:rPr>
            </w:pPr>
            <w:r>
              <w:rPr>
                <w:b/>
                <w:spacing w:val="-4"/>
                <w:sz w:val="21"/>
              </w:rPr>
              <w:t>1.00</w:t>
            </w:r>
          </w:p>
        </w:tc>
      </w:tr>
      <w:tr w14:paraId="6E14E18D" w14:textId="77777777">
        <w:tblPrEx>
          <w:tblW w:w="0" w:type="auto"/>
          <w:tblInd w:w="482" w:type="dxa"/>
          <w:tblLayout w:type="fixed"/>
          <w:tblCellMar>
            <w:left w:w="0" w:type="dxa"/>
            <w:right w:w="0" w:type="dxa"/>
          </w:tblCellMar>
          <w:tblLook w:val="01E0"/>
        </w:tblPrEx>
        <w:trPr>
          <w:trHeight w:val="237"/>
        </w:trPr>
        <w:tc>
          <w:tcPr>
            <w:tcW w:w="13983" w:type="dxa"/>
            <w:gridSpan w:val="3"/>
            <w:tcBorders>
              <w:top w:val="single" w:sz="18" w:space="0" w:color="800000"/>
            </w:tcBorders>
          </w:tcPr>
          <w:p w:rsidR="003F5784" w14:paraId="53A14D07"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r>
    </w:tbl>
    <w:p w:rsidR="003F5784" w14:paraId="321DE086" w14:textId="77777777">
      <w:pPr>
        <w:pStyle w:val="BodyText"/>
        <w:spacing w:line="230"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3F3B49B9"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2020 Long-Term Trend Assessment.</w:t>
      </w:r>
    </w:p>
    <w:p w:rsidR="003F5784" w14:paraId="60881E43" w14:textId="77777777">
      <w:pPr>
        <w:spacing w:line="232" w:lineRule="auto"/>
        <w:sectPr>
          <w:headerReference w:type="default" r:id="rId154"/>
          <w:footerReference w:type="default" r:id="rId155"/>
          <w:pgSz w:w="15840" w:h="12240" w:orient="landscape"/>
          <w:pgMar w:top="480" w:right="440" w:bottom="460" w:left="460" w:header="284" w:footer="275" w:gutter="0"/>
          <w:cols w:space="720"/>
        </w:sectPr>
      </w:pPr>
    </w:p>
    <w:p w:rsidR="003F5784" w14:paraId="60FDEB4C" w14:textId="77777777">
      <w:pPr>
        <w:pStyle w:val="BodyText"/>
        <w:tabs>
          <w:tab w:val="left" w:pos="6192"/>
          <w:tab w:val="left" w:pos="12532"/>
        </w:tabs>
        <w:spacing w:before="98" w:after="20"/>
        <w:ind w:left="595"/>
      </w:pPr>
      <w:r>
        <w:rPr>
          <w:spacing w:val="-2"/>
        </w:rPr>
        <w:t>Year</w:t>
      </w:r>
      <w:r>
        <w:rPr>
          <w:spacing w:val="-9"/>
        </w:rPr>
        <w:t xml:space="preserve"> </w:t>
      </w:r>
      <w:r>
        <w:rPr>
          <w:spacing w:val="-2"/>
        </w:rPr>
        <w:t>of</w:t>
      </w:r>
      <w:r>
        <w:rPr>
          <w:spacing w:val="-8"/>
        </w:rPr>
        <w:t xml:space="preserve"> </w:t>
      </w:r>
      <w:r>
        <w:rPr>
          <w:spacing w:val="-2"/>
        </w:rPr>
        <w:t>birth</w:t>
      </w:r>
      <w:r>
        <w:tab/>
      </w:r>
      <w:r>
        <w:rPr>
          <w:spacing w:val="-2"/>
        </w:rPr>
        <w:t>Weighted</w:t>
      </w:r>
      <w:r>
        <w:rPr>
          <w:spacing w:val="-11"/>
        </w:rPr>
        <w:t xml:space="preserve"> </w:t>
      </w:r>
      <w:r>
        <w:rPr>
          <w:spacing w:val="-2"/>
        </w:rPr>
        <w:t>aggregations</w:t>
      </w:r>
      <w:r>
        <w:tab/>
      </w:r>
      <w:r>
        <w:rPr>
          <w:spacing w:val="-2"/>
        </w:rPr>
        <w:t>Weighted</w:t>
      </w:r>
      <w:r>
        <w:rPr>
          <w:spacing w:val="-11"/>
        </w:rPr>
        <w:t xml:space="preserve"> </w:t>
      </w:r>
      <w:r>
        <w:rPr>
          <w:spacing w:val="-2"/>
        </w:rPr>
        <w:t>proportions</w:t>
      </w:r>
    </w:p>
    <w:tbl>
      <w:tblPr>
        <w:tblW w:w="0" w:type="auto"/>
        <w:tblInd w:w="482" w:type="dxa"/>
        <w:tblLayout w:type="fixed"/>
        <w:tblCellMar>
          <w:left w:w="0" w:type="dxa"/>
          <w:right w:w="0" w:type="dxa"/>
        </w:tblCellMar>
        <w:tblLook w:val="01E0"/>
      </w:tblPr>
      <w:tblGrid>
        <w:gridCol w:w="3745"/>
        <w:gridCol w:w="6820"/>
        <w:gridCol w:w="3419"/>
      </w:tblGrid>
      <w:tr w14:paraId="0A52B981" w14:textId="77777777">
        <w:tblPrEx>
          <w:tblW w:w="0" w:type="auto"/>
          <w:tblInd w:w="482" w:type="dxa"/>
          <w:tblLayout w:type="fixed"/>
          <w:tblCellMar>
            <w:left w:w="0" w:type="dxa"/>
            <w:right w:w="0" w:type="dxa"/>
          </w:tblCellMar>
          <w:tblLook w:val="01E0"/>
        </w:tblPrEx>
        <w:trPr>
          <w:trHeight w:val="278"/>
        </w:trPr>
        <w:tc>
          <w:tcPr>
            <w:tcW w:w="3745" w:type="dxa"/>
            <w:tcBorders>
              <w:top w:val="single" w:sz="18" w:space="0" w:color="800000"/>
            </w:tcBorders>
          </w:tcPr>
          <w:p w:rsidR="003F5784" w14:paraId="08389F39" w14:textId="77777777">
            <w:pPr>
              <w:pStyle w:val="TableParagraph"/>
              <w:spacing w:before="9"/>
              <w:ind w:left="120"/>
              <w:jc w:val="left"/>
              <w:rPr>
                <w:sz w:val="21"/>
              </w:rPr>
            </w:pPr>
            <w:r>
              <w:rPr>
                <w:spacing w:val="-4"/>
                <w:sz w:val="21"/>
              </w:rPr>
              <w:t>1999</w:t>
            </w:r>
          </w:p>
        </w:tc>
        <w:tc>
          <w:tcPr>
            <w:tcW w:w="6820" w:type="dxa"/>
            <w:tcBorders>
              <w:top w:val="single" w:sz="18" w:space="0" w:color="800000"/>
            </w:tcBorders>
          </w:tcPr>
          <w:p w:rsidR="003F5784" w14:paraId="7F4114A9" w14:textId="77777777">
            <w:pPr>
              <w:pStyle w:val="TableParagraph"/>
              <w:spacing w:before="9"/>
              <w:ind w:right="2933"/>
              <w:rPr>
                <w:sz w:val="21"/>
              </w:rPr>
            </w:pPr>
            <w:r>
              <w:rPr>
                <w:spacing w:val="-5"/>
                <w:sz w:val="21"/>
              </w:rPr>
              <w:t>125</w:t>
            </w:r>
          </w:p>
        </w:tc>
        <w:tc>
          <w:tcPr>
            <w:tcW w:w="3419" w:type="dxa"/>
            <w:tcBorders>
              <w:top w:val="single" w:sz="18" w:space="0" w:color="800000"/>
            </w:tcBorders>
          </w:tcPr>
          <w:p w:rsidR="003F5784" w14:paraId="7EC2981E" w14:textId="77777777">
            <w:pPr>
              <w:pStyle w:val="TableParagraph"/>
              <w:spacing w:before="9"/>
              <w:ind w:right="117"/>
              <w:rPr>
                <w:sz w:val="21"/>
              </w:rPr>
            </w:pPr>
            <w:r>
              <w:rPr>
                <w:spacing w:val="-10"/>
                <w:sz w:val="21"/>
              </w:rPr>
              <w:t>#</w:t>
            </w:r>
          </w:p>
        </w:tc>
      </w:tr>
      <w:tr w14:paraId="0D2E7CF0" w14:textId="77777777">
        <w:tblPrEx>
          <w:tblW w:w="0" w:type="auto"/>
          <w:tblInd w:w="482" w:type="dxa"/>
          <w:tblLayout w:type="fixed"/>
          <w:tblCellMar>
            <w:left w:w="0" w:type="dxa"/>
            <w:right w:w="0" w:type="dxa"/>
          </w:tblCellMar>
          <w:tblLook w:val="01E0"/>
        </w:tblPrEx>
        <w:trPr>
          <w:trHeight w:val="286"/>
        </w:trPr>
        <w:tc>
          <w:tcPr>
            <w:tcW w:w="3745" w:type="dxa"/>
          </w:tcPr>
          <w:p w:rsidR="003F5784" w14:paraId="22A32E0E" w14:textId="77777777">
            <w:pPr>
              <w:pStyle w:val="TableParagraph"/>
              <w:ind w:left="120"/>
              <w:jc w:val="left"/>
              <w:rPr>
                <w:sz w:val="21"/>
              </w:rPr>
            </w:pPr>
            <w:r>
              <w:rPr>
                <w:spacing w:val="-4"/>
                <w:sz w:val="21"/>
              </w:rPr>
              <w:t>2000</w:t>
            </w:r>
          </w:p>
        </w:tc>
        <w:tc>
          <w:tcPr>
            <w:tcW w:w="6820" w:type="dxa"/>
          </w:tcPr>
          <w:p w:rsidR="003F5784" w14:paraId="692A9EA8" w14:textId="77777777">
            <w:pPr>
              <w:pStyle w:val="TableParagraph"/>
              <w:ind w:right="2933"/>
              <w:rPr>
                <w:sz w:val="21"/>
              </w:rPr>
            </w:pPr>
            <w:r>
              <w:rPr>
                <w:spacing w:val="-2"/>
                <w:sz w:val="21"/>
              </w:rPr>
              <w:t>3,000</w:t>
            </w:r>
          </w:p>
        </w:tc>
        <w:tc>
          <w:tcPr>
            <w:tcW w:w="3419" w:type="dxa"/>
          </w:tcPr>
          <w:p w:rsidR="003F5784" w14:paraId="23158F7D" w14:textId="77777777">
            <w:pPr>
              <w:pStyle w:val="TableParagraph"/>
              <w:ind w:right="117"/>
              <w:rPr>
                <w:sz w:val="21"/>
              </w:rPr>
            </w:pPr>
            <w:r>
              <w:rPr>
                <w:spacing w:val="-10"/>
                <w:sz w:val="21"/>
              </w:rPr>
              <w:t>#</w:t>
            </w:r>
          </w:p>
        </w:tc>
      </w:tr>
      <w:tr w14:paraId="5B44423A" w14:textId="77777777">
        <w:tblPrEx>
          <w:tblW w:w="0" w:type="auto"/>
          <w:tblInd w:w="482" w:type="dxa"/>
          <w:tblLayout w:type="fixed"/>
          <w:tblCellMar>
            <w:left w:w="0" w:type="dxa"/>
            <w:right w:w="0" w:type="dxa"/>
          </w:tblCellMar>
          <w:tblLook w:val="01E0"/>
        </w:tblPrEx>
        <w:trPr>
          <w:trHeight w:val="286"/>
        </w:trPr>
        <w:tc>
          <w:tcPr>
            <w:tcW w:w="3745" w:type="dxa"/>
          </w:tcPr>
          <w:p w:rsidR="003F5784" w14:paraId="4B7BC473" w14:textId="77777777">
            <w:pPr>
              <w:pStyle w:val="TableParagraph"/>
              <w:ind w:left="120"/>
              <w:jc w:val="left"/>
              <w:rPr>
                <w:sz w:val="21"/>
              </w:rPr>
            </w:pPr>
            <w:r>
              <w:rPr>
                <w:spacing w:val="-4"/>
                <w:sz w:val="21"/>
              </w:rPr>
              <w:t>2001</w:t>
            </w:r>
          </w:p>
        </w:tc>
        <w:tc>
          <w:tcPr>
            <w:tcW w:w="6820" w:type="dxa"/>
          </w:tcPr>
          <w:p w:rsidR="003F5784" w14:paraId="662C51A2" w14:textId="77777777">
            <w:pPr>
              <w:pStyle w:val="TableParagraph"/>
              <w:ind w:right="2933"/>
              <w:rPr>
                <w:sz w:val="21"/>
              </w:rPr>
            </w:pPr>
            <w:r>
              <w:rPr>
                <w:spacing w:val="-2"/>
                <w:sz w:val="21"/>
              </w:rPr>
              <w:t>59,000</w:t>
            </w:r>
          </w:p>
        </w:tc>
        <w:tc>
          <w:tcPr>
            <w:tcW w:w="3419" w:type="dxa"/>
          </w:tcPr>
          <w:p w:rsidR="003F5784" w14:paraId="4D44963B" w14:textId="77777777">
            <w:pPr>
              <w:pStyle w:val="TableParagraph"/>
              <w:ind w:right="117"/>
              <w:rPr>
                <w:sz w:val="21"/>
              </w:rPr>
            </w:pPr>
            <w:r>
              <w:rPr>
                <w:spacing w:val="-4"/>
                <w:sz w:val="21"/>
              </w:rPr>
              <w:t>0.04</w:t>
            </w:r>
          </w:p>
        </w:tc>
      </w:tr>
      <w:tr w14:paraId="3AB8E947" w14:textId="77777777">
        <w:tblPrEx>
          <w:tblW w:w="0" w:type="auto"/>
          <w:tblInd w:w="482" w:type="dxa"/>
          <w:tblLayout w:type="fixed"/>
          <w:tblCellMar>
            <w:left w:w="0" w:type="dxa"/>
            <w:right w:w="0" w:type="dxa"/>
          </w:tblCellMar>
          <w:tblLook w:val="01E0"/>
        </w:tblPrEx>
        <w:trPr>
          <w:trHeight w:val="286"/>
        </w:trPr>
        <w:tc>
          <w:tcPr>
            <w:tcW w:w="3745" w:type="dxa"/>
          </w:tcPr>
          <w:p w:rsidR="003F5784" w14:paraId="64ADA161" w14:textId="77777777">
            <w:pPr>
              <w:pStyle w:val="TableParagraph"/>
              <w:ind w:left="120"/>
              <w:jc w:val="left"/>
              <w:rPr>
                <w:sz w:val="21"/>
              </w:rPr>
            </w:pPr>
            <w:r>
              <w:rPr>
                <w:spacing w:val="-4"/>
                <w:sz w:val="21"/>
              </w:rPr>
              <w:t>2002</w:t>
            </w:r>
          </w:p>
        </w:tc>
        <w:tc>
          <w:tcPr>
            <w:tcW w:w="6820" w:type="dxa"/>
          </w:tcPr>
          <w:p w:rsidR="003F5784" w14:paraId="7414FF2B" w14:textId="77777777">
            <w:pPr>
              <w:pStyle w:val="TableParagraph"/>
              <w:ind w:right="2933"/>
              <w:rPr>
                <w:sz w:val="21"/>
              </w:rPr>
            </w:pPr>
            <w:r>
              <w:rPr>
                <w:spacing w:val="-2"/>
                <w:sz w:val="21"/>
              </w:rPr>
              <w:t>553,000</w:t>
            </w:r>
          </w:p>
        </w:tc>
        <w:tc>
          <w:tcPr>
            <w:tcW w:w="3419" w:type="dxa"/>
          </w:tcPr>
          <w:p w:rsidR="003F5784" w14:paraId="648E1B44" w14:textId="77777777">
            <w:pPr>
              <w:pStyle w:val="TableParagraph"/>
              <w:ind w:right="117"/>
              <w:rPr>
                <w:sz w:val="21"/>
              </w:rPr>
            </w:pPr>
            <w:r>
              <w:rPr>
                <w:spacing w:val="-4"/>
                <w:sz w:val="21"/>
              </w:rPr>
              <w:t>0.40</w:t>
            </w:r>
          </w:p>
        </w:tc>
      </w:tr>
      <w:tr w14:paraId="5F9581AA" w14:textId="77777777">
        <w:tblPrEx>
          <w:tblW w:w="0" w:type="auto"/>
          <w:tblInd w:w="482" w:type="dxa"/>
          <w:tblLayout w:type="fixed"/>
          <w:tblCellMar>
            <w:left w:w="0" w:type="dxa"/>
            <w:right w:w="0" w:type="dxa"/>
          </w:tblCellMar>
          <w:tblLook w:val="01E0"/>
        </w:tblPrEx>
        <w:trPr>
          <w:trHeight w:val="286"/>
        </w:trPr>
        <w:tc>
          <w:tcPr>
            <w:tcW w:w="3745" w:type="dxa"/>
          </w:tcPr>
          <w:p w:rsidR="003F5784" w14:paraId="62DA2002" w14:textId="77777777">
            <w:pPr>
              <w:pStyle w:val="TableParagraph"/>
              <w:ind w:left="120"/>
              <w:jc w:val="left"/>
              <w:rPr>
                <w:sz w:val="21"/>
              </w:rPr>
            </w:pPr>
            <w:r>
              <w:rPr>
                <w:spacing w:val="-4"/>
                <w:sz w:val="21"/>
              </w:rPr>
              <w:t>2003</w:t>
            </w:r>
          </w:p>
        </w:tc>
        <w:tc>
          <w:tcPr>
            <w:tcW w:w="6820" w:type="dxa"/>
          </w:tcPr>
          <w:p w:rsidR="003F5784" w14:paraId="650AD70C" w14:textId="77777777">
            <w:pPr>
              <w:pStyle w:val="TableParagraph"/>
              <w:ind w:right="2933"/>
              <w:rPr>
                <w:sz w:val="21"/>
              </w:rPr>
            </w:pPr>
            <w:r>
              <w:rPr>
                <w:spacing w:val="-2"/>
                <w:sz w:val="21"/>
              </w:rPr>
              <w:t>766,000</w:t>
            </w:r>
          </w:p>
        </w:tc>
        <w:tc>
          <w:tcPr>
            <w:tcW w:w="3419" w:type="dxa"/>
          </w:tcPr>
          <w:p w:rsidR="003F5784" w14:paraId="6BE8DDE5" w14:textId="77777777">
            <w:pPr>
              <w:pStyle w:val="TableParagraph"/>
              <w:ind w:right="117"/>
              <w:rPr>
                <w:sz w:val="21"/>
              </w:rPr>
            </w:pPr>
            <w:r>
              <w:rPr>
                <w:spacing w:val="-4"/>
                <w:sz w:val="21"/>
              </w:rPr>
              <w:t>0.55</w:t>
            </w:r>
          </w:p>
        </w:tc>
      </w:tr>
      <w:tr w14:paraId="49ACAE97" w14:textId="77777777">
        <w:tblPrEx>
          <w:tblW w:w="0" w:type="auto"/>
          <w:tblInd w:w="482" w:type="dxa"/>
          <w:tblLayout w:type="fixed"/>
          <w:tblCellMar>
            <w:left w:w="0" w:type="dxa"/>
            <w:right w:w="0" w:type="dxa"/>
          </w:tblCellMar>
          <w:tblLook w:val="01E0"/>
        </w:tblPrEx>
        <w:trPr>
          <w:trHeight w:val="286"/>
        </w:trPr>
        <w:tc>
          <w:tcPr>
            <w:tcW w:w="3745" w:type="dxa"/>
          </w:tcPr>
          <w:p w:rsidR="003F5784" w14:paraId="059C511F" w14:textId="77777777">
            <w:pPr>
              <w:pStyle w:val="TableParagraph"/>
              <w:ind w:left="120"/>
              <w:jc w:val="left"/>
              <w:rPr>
                <w:sz w:val="21"/>
              </w:rPr>
            </w:pPr>
            <w:r>
              <w:rPr>
                <w:spacing w:val="-4"/>
                <w:sz w:val="21"/>
              </w:rPr>
              <w:t>2004</w:t>
            </w:r>
          </w:p>
        </w:tc>
        <w:tc>
          <w:tcPr>
            <w:tcW w:w="6820" w:type="dxa"/>
          </w:tcPr>
          <w:p w:rsidR="003F5784" w14:paraId="58E0B720" w14:textId="77777777">
            <w:pPr>
              <w:pStyle w:val="TableParagraph"/>
              <w:ind w:right="2933"/>
              <w:rPr>
                <w:sz w:val="21"/>
              </w:rPr>
            </w:pPr>
            <w:r>
              <w:rPr>
                <w:spacing w:val="-2"/>
                <w:sz w:val="21"/>
              </w:rPr>
              <w:t>3,000</w:t>
            </w:r>
          </w:p>
        </w:tc>
        <w:tc>
          <w:tcPr>
            <w:tcW w:w="3419" w:type="dxa"/>
          </w:tcPr>
          <w:p w:rsidR="003F5784" w14:paraId="3FDE2E8D" w14:textId="77777777">
            <w:pPr>
              <w:pStyle w:val="TableParagraph"/>
              <w:ind w:right="117"/>
              <w:rPr>
                <w:sz w:val="21"/>
              </w:rPr>
            </w:pPr>
            <w:r>
              <w:rPr>
                <w:spacing w:val="-10"/>
                <w:sz w:val="21"/>
              </w:rPr>
              <w:t>#</w:t>
            </w:r>
          </w:p>
        </w:tc>
      </w:tr>
      <w:tr w14:paraId="10D2950D" w14:textId="77777777">
        <w:tblPrEx>
          <w:tblW w:w="0" w:type="auto"/>
          <w:tblInd w:w="482" w:type="dxa"/>
          <w:tblLayout w:type="fixed"/>
          <w:tblCellMar>
            <w:left w:w="0" w:type="dxa"/>
            <w:right w:w="0" w:type="dxa"/>
          </w:tblCellMar>
          <w:tblLook w:val="01E0"/>
        </w:tblPrEx>
        <w:trPr>
          <w:trHeight w:val="286"/>
        </w:trPr>
        <w:tc>
          <w:tcPr>
            <w:tcW w:w="3745" w:type="dxa"/>
          </w:tcPr>
          <w:p w:rsidR="003F5784" w14:paraId="00B2A8C2" w14:textId="77777777">
            <w:pPr>
              <w:pStyle w:val="TableParagraph"/>
              <w:ind w:left="120"/>
              <w:jc w:val="left"/>
              <w:rPr>
                <w:sz w:val="21"/>
              </w:rPr>
            </w:pPr>
            <w:r>
              <w:rPr>
                <w:spacing w:val="-4"/>
                <w:sz w:val="21"/>
              </w:rPr>
              <w:t>2005</w:t>
            </w:r>
          </w:p>
        </w:tc>
        <w:tc>
          <w:tcPr>
            <w:tcW w:w="6820" w:type="dxa"/>
          </w:tcPr>
          <w:p w:rsidR="003F5784" w14:paraId="6100BC0B" w14:textId="77777777">
            <w:pPr>
              <w:pStyle w:val="TableParagraph"/>
              <w:ind w:right="2933"/>
              <w:rPr>
                <w:sz w:val="21"/>
              </w:rPr>
            </w:pPr>
            <w:r>
              <w:rPr>
                <w:spacing w:val="-5"/>
                <w:sz w:val="21"/>
              </w:rPr>
              <w:t>108</w:t>
            </w:r>
          </w:p>
        </w:tc>
        <w:tc>
          <w:tcPr>
            <w:tcW w:w="3419" w:type="dxa"/>
          </w:tcPr>
          <w:p w:rsidR="003F5784" w14:paraId="743ADA38" w14:textId="77777777">
            <w:pPr>
              <w:pStyle w:val="TableParagraph"/>
              <w:ind w:right="117"/>
              <w:rPr>
                <w:sz w:val="21"/>
              </w:rPr>
            </w:pPr>
            <w:r>
              <w:rPr>
                <w:spacing w:val="-10"/>
                <w:sz w:val="21"/>
              </w:rPr>
              <w:t>#</w:t>
            </w:r>
          </w:p>
        </w:tc>
      </w:tr>
      <w:tr w14:paraId="4D14C7A2" w14:textId="77777777">
        <w:tblPrEx>
          <w:tblW w:w="0" w:type="auto"/>
          <w:tblInd w:w="482" w:type="dxa"/>
          <w:tblLayout w:type="fixed"/>
          <w:tblCellMar>
            <w:left w:w="0" w:type="dxa"/>
            <w:right w:w="0" w:type="dxa"/>
          </w:tblCellMar>
          <w:tblLook w:val="01E0"/>
        </w:tblPrEx>
        <w:trPr>
          <w:trHeight w:val="288"/>
        </w:trPr>
        <w:tc>
          <w:tcPr>
            <w:tcW w:w="3745" w:type="dxa"/>
            <w:tcBorders>
              <w:bottom w:val="single" w:sz="18" w:space="0" w:color="800000"/>
            </w:tcBorders>
          </w:tcPr>
          <w:p w:rsidR="003F5784" w14:paraId="79ACCD31" w14:textId="77777777">
            <w:pPr>
              <w:pStyle w:val="TableParagraph"/>
              <w:ind w:left="120"/>
              <w:jc w:val="left"/>
              <w:rPr>
                <w:sz w:val="21"/>
              </w:rPr>
            </w:pPr>
            <w:r>
              <w:rPr>
                <w:spacing w:val="-4"/>
                <w:sz w:val="21"/>
              </w:rPr>
              <w:t>2006</w:t>
            </w:r>
          </w:p>
        </w:tc>
        <w:tc>
          <w:tcPr>
            <w:tcW w:w="6820" w:type="dxa"/>
            <w:tcBorders>
              <w:bottom w:val="single" w:sz="18" w:space="0" w:color="800000"/>
            </w:tcBorders>
          </w:tcPr>
          <w:p w:rsidR="003F5784" w14:paraId="7548B6DA" w14:textId="77777777">
            <w:pPr>
              <w:pStyle w:val="TableParagraph"/>
              <w:ind w:right="2933"/>
              <w:rPr>
                <w:sz w:val="21"/>
              </w:rPr>
            </w:pPr>
            <w:r>
              <w:rPr>
                <w:spacing w:val="-10"/>
                <w:sz w:val="21"/>
              </w:rPr>
              <w:t>1</w:t>
            </w:r>
          </w:p>
        </w:tc>
        <w:tc>
          <w:tcPr>
            <w:tcW w:w="3419" w:type="dxa"/>
            <w:tcBorders>
              <w:bottom w:val="single" w:sz="18" w:space="0" w:color="800000"/>
            </w:tcBorders>
          </w:tcPr>
          <w:p w:rsidR="003F5784" w14:paraId="019BB253" w14:textId="77777777">
            <w:pPr>
              <w:pStyle w:val="TableParagraph"/>
              <w:ind w:right="117"/>
              <w:rPr>
                <w:sz w:val="21"/>
              </w:rPr>
            </w:pPr>
            <w:r>
              <w:rPr>
                <w:spacing w:val="-10"/>
                <w:sz w:val="21"/>
              </w:rPr>
              <w:t>#</w:t>
            </w:r>
          </w:p>
        </w:tc>
      </w:tr>
    </w:tbl>
    <w:p w:rsidR="003F5784" w14:paraId="313B7582" w14:textId="77777777">
      <w:pPr>
        <w:pStyle w:val="BodyText"/>
        <w:spacing w:line="237" w:lineRule="exact"/>
        <w:ind w:left="595"/>
      </w:pPr>
      <w:r>
        <w:t>#</w:t>
      </w:r>
      <w:r>
        <w:rPr>
          <w:spacing w:val="-5"/>
        </w:rPr>
        <w:t xml:space="preserve"> </w:t>
      </w:r>
      <w:r>
        <w:t>Rounds</w:t>
      </w:r>
      <w:r>
        <w:rPr>
          <w:spacing w:val="-4"/>
        </w:rPr>
        <w:t xml:space="preserve"> </w:t>
      </w:r>
      <w:r>
        <w:t>to</w:t>
      </w:r>
      <w:r>
        <w:rPr>
          <w:spacing w:val="-4"/>
        </w:rPr>
        <w:t xml:space="preserve"> </w:t>
      </w:r>
      <w:r>
        <w:rPr>
          <w:spacing w:val="-2"/>
        </w:rPr>
        <w:t>zero.</w:t>
      </w:r>
    </w:p>
    <w:p w:rsidR="003F5784" w14:paraId="5117D17F" w14:textId="77777777">
      <w:pPr>
        <w:pStyle w:val="BodyText"/>
        <w:spacing w:line="235"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19CCC3BD"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2020 Long-Term Trend Assessment.</w:t>
      </w:r>
    </w:p>
    <w:p w:rsidR="003F5784" w14:paraId="5F7DF1E4" w14:textId="77777777">
      <w:pPr>
        <w:pStyle w:val="BodyText"/>
        <w:spacing w:before="118"/>
      </w:pPr>
    </w:p>
    <w:p w:rsidR="003F5784" w14:paraId="7DB5958F" w14:textId="77777777">
      <w:pPr>
        <w:pStyle w:val="Heading2"/>
      </w:pPr>
      <w:r>
        <w:t>Weighted</w:t>
      </w:r>
      <w:r>
        <w:rPr>
          <w:spacing w:val="-10"/>
        </w:rPr>
        <w:t xml:space="preserve"> </w:t>
      </w:r>
      <w:r>
        <w:t>aggregations</w:t>
      </w:r>
      <w:r>
        <w:rPr>
          <w:spacing w:val="-9"/>
        </w:rPr>
        <w:t xml:space="preserve"> </w:t>
      </w:r>
      <w:r>
        <w:t>and</w:t>
      </w:r>
      <w:r>
        <w:rPr>
          <w:spacing w:val="-9"/>
        </w:rPr>
        <w:t xml:space="preserve"> </w:t>
      </w:r>
      <w:r>
        <w:t>proportions</w:t>
      </w:r>
      <w:r>
        <w:rPr>
          <w:spacing w:val="-9"/>
        </w:rPr>
        <w:t xml:space="preserve"> </w:t>
      </w:r>
      <w:r>
        <w:t>from</w:t>
      </w:r>
      <w:r>
        <w:rPr>
          <w:spacing w:val="-9"/>
        </w:rPr>
        <w:t xml:space="preserve"> </w:t>
      </w:r>
      <w:r>
        <w:t>the</w:t>
      </w:r>
      <w:r>
        <w:rPr>
          <w:spacing w:val="-9"/>
        </w:rPr>
        <w:t xml:space="preserve"> </w:t>
      </w:r>
      <w:r>
        <w:t>grade</w:t>
      </w:r>
      <w:r>
        <w:rPr>
          <w:spacing w:val="-9"/>
        </w:rPr>
        <w:t xml:space="preserve"> </w:t>
      </w:r>
      <w:r>
        <w:t>8</w:t>
      </w:r>
      <w:r>
        <w:rPr>
          <w:spacing w:val="-9"/>
        </w:rPr>
        <w:t xml:space="preserve"> </w:t>
      </w:r>
      <w:r>
        <w:t>reading</w:t>
      </w:r>
      <w:r>
        <w:rPr>
          <w:spacing w:val="-9"/>
        </w:rPr>
        <w:t xml:space="preserve"> </w:t>
      </w:r>
      <w:r>
        <w:t>and</w:t>
      </w:r>
      <w:r>
        <w:rPr>
          <w:spacing w:val="-9"/>
        </w:rPr>
        <w:t xml:space="preserve"> </w:t>
      </w:r>
      <w:r>
        <w:t>mathematics</w:t>
      </w:r>
      <w:r>
        <w:rPr>
          <w:spacing w:val="-9"/>
        </w:rPr>
        <w:t xml:space="preserve"> </w:t>
      </w:r>
      <w:r>
        <w:t>assessments,</w:t>
      </w:r>
      <w:r>
        <w:rPr>
          <w:spacing w:val="-9"/>
        </w:rPr>
        <w:t xml:space="preserve"> </w:t>
      </w:r>
      <w:r>
        <w:t>public</w:t>
      </w:r>
      <w:r>
        <w:rPr>
          <w:spacing w:val="-10"/>
        </w:rPr>
        <w:t xml:space="preserve"> </w:t>
      </w:r>
      <w:r>
        <w:t>schools</w:t>
      </w:r>
      <w:r>
        <w:rPr>
          <w:spacing w:val="-12"/>
        </w:rPr>
        <w:t xml:space="preserve"> </w:t>
      </w:r>
      <w:r>
        <w:t>West</w:t>
      </w:r>
      <w:r>
        <w:rPr>
          <w:spacing w:val="-9"/>
        </w:rPr>
        <w:t xml:space="preserve"> </w:t>
      </w:r>
      <w:r>
        <w:t>region,</w:t>
      </w:r>
      <w:r>
        <w:rPr>
          <w:spacing w:val="-9"/>
        </w:rPr>
        <w:t xml:space="preserve"> </w:t>
      </w:r>
      <w:r>
        <w:t>by</w:t>
      </w:r>
      <w:r>
        <w:rPr>
          <w:spacing w:val="-9"/>
        </w:rPr>
        <w:t xml:space="preserve"> </w:t>
      </w:r>
      <w:r>
        <w:t>year</w:t>
      </w:r>
      <w:r>
        <w:rPr>
          <w:spacing w:val="-13"/>
        </w:rPr>
        <w:t xml:space="preserve"> </w:t>
      </w:r>
      <w:r>
        <w:t>of</w:t>
      </w:r>
      <w:r>
        <w:rPr>
          <w:spacing w:val="-9"/>
        </w:rPr>
        <w:t xml:space="preserve"> </w:t>
      </w:r>
      <w:r>
        <w:t>birth:</w:t>
      </w:r>
      <w:r>
        <w:rPr>
          <w:spacing w:val="-9"/>
        </w:rPr>
        <w:t xml:space="preserve"> </w:t>
      </w:r>
      <w:r>
        <w:rPr>
          <w:spacing w:val="-4"/>
        </w:rPr>
        <w:t>2017</w:t>
      </w:r>
    </w:p>
    <w:p w:rsidR="003F5784" w14:paraId="3A379812"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3447"/>
        <w:gridCol w:w="6396"/>
        <w:gridCol w:w="4140"/>
      </w:tblGrid>
      <w:tr w14:paraId="3E05B2DB" w14:textId="77777777">
        <w:tblPrEx>
          <w:tblW w:w="0" w:type="auto"/>
          <w:tblInd w:w="482" w:type="dxa"/>
          <w:tblLayout w:type="fixed"/>
          <w:tblCellMar>
            <w:left w:w="0" w:type="dxa"/>
            <w:right w:w="0" w:type="dxa"/>
          </w:tblCellMar>
          <w:tblLook w:val="01E0"/>
        </w:tblPrEx>
        <w:trPr>
          <w:trHeight w:val="267"/>
        </w:trPr>
        <w:tc>
          <w:tcPr>
            <w:tcW w:w="3447" w:type="dxa"/>
            <w:tcBorders>
              <w:top w:val="single" w:sz="18" w:space="0" w:color="800000"/>
              <w:bottom w:val="single" w:sz="18" w:space="0" w:color="800000"/>
            </w:tcBorders>
          </w:tcPr>
          <w:p w:rsidR="003F5784" w14:paraId="01D1AD9B" w14:textId="77777777">
            <w:pPr>
              <w:pStyle w:val="TableParagraph"/>
              <w:spacing w:before="9" w:line="238" w:lineRule="exact"/>
              <w:ind w:left="120"/>
              <w:jc w:val="left"/>
              <w:rPr>
                <w:sz w:val="21"/>
              </w:rPr>
            </w:pPr>
            <w:r>
              <w:rPr>
                <w:spacing w:val="-2"/>
                <w:sz w:val="21"/>
              </w:rPr>
              <w:t>Year</w:t>
            </w:r>
            <w:r>
              <w:rPr>
                <w:spacing w:val="-9"/>
                <w:sz w:val="21"/>
              </w:rPr>
              <w:t xml:space="preserve"> </w:t>
            </w:r>
            <w:r>
              <w:rPr>
                <w:spacing w:val="-2"/>
                <w:sz w:val="21"/>
              </w:rPr>
              <w:t>of</w:t>
            </w:r>
            <w:r>
              <w:rPr>
                <w:spacing w:val="-8"/>
                <w:sz w:val="21"/>
              </w:rPr>
              <w:t xml:space="preserve"> </w:t>
            </w:r>
            <w:r>
              <w:rPr>
                <w:spacing w:val="-2"/>
                <w:sz w:val="21"/>
              </w:rPr>
              <w:t>birth</w:t>
            </w:r>
          </w:p>
        </w:tc>
        <w:tc>
          <w:tcPr>
            <w:tcW w:w="6396" w:type="dxa"/>
            <w:tcBorders>
              <w:top w:val="single" w:sz="18" w:space="0" w:color="800000"/>
              <w:bottom w:val="single" w:sz="18" w:space="0" w:color="800000"/>
            </w:tcBorders>
          </w:tcPr>
          <w:p w:rsidR="003F5784" w14:paraId="63FDB639" w14:textId="77777777">
            <w:pPr>
              <w:pStyle w:val="TableParagraph"/>
              <w:spacing w:before="9" w:line="238" w:lineRule="exact"/>
              <w:ind w:right="2211"/>
              <w:rPr>
                <w:sz w:val="21"/>
              </w:rPr>
            </w:pPr>
            <w:r>
              <w:rPr>
                <w:spacing w:val="-2"/>
                <w:sz w:val="21"/>
              </w:rPr>
              <w:t>Weighted</w:t>
            </w:r>
            <w:r>
              <w:rPr>
                <w:spacing w:val="-11"/>
                <w:sz w:val="21"/>
              </w:rPr>
              <w:t xml:space="preserve"> </w:t>
            </w:r>
            <w:r>
              <w:rPr>
                <w:spacing w:val="-2"/>
                <w:sz w:val="21"/>
              </w:rPr>
              <w:t>aggregations</w:t>
            </w:r>
          </w:p>
        </w:tc>
        <w:tc>
          <w:tcPr>
            <w:tcW w:w="4140" w:type="dxa"/>
            <w:tcBorders>
              <w:top w:val="single" w:sz="18" w:space="0" w:color="800000"/>
              <w:bottom w:val="single" w:sz="18" w:space="0" w:color="800000"/>
            </w:tcBorders>
          </w:tcPr>
          <w:p w:rsidR="003F5784" w14:paraId="17449B47" w14:textId="77777777">
            <w:pPr>
              <w:pStyle w:val="TableParagraph"/>
              <w:spacing w:before="9" w:line="238" w:lineRule="exact"/>
              <w:ind w:right="116"/>
              <w:rPr>
                <w:sz w:val="21"/>
              </w:rPr>
            </w:pPr>
            <w:r>
              <w:rPr>
                <w:spacing w:val="-2"/>
                <w:sz w:val="21"/>
              </w:rPr>
              <w:t>Weighted</w:t>
            </w:r>
            <w:r>
              <w:rPr>
                <w:spacing w:val="-11"/>
                <w:sz w:val="21"/>
              </w:rPr>
              <w:t xml:space="preserve"> </w:t>
            </w:r>
            <w:r>
              <w:rPr>
                <w:spacing w:val="-2"/>
                <w:sz w:val="21"/>
              </w:rPr>
              <w:t>proportions</w:t>
            </w:r>
          </w:p>
        </w:tc>
      </w:tr>
      <w:tr w14:paraId="458705F7" w14:textId="77777777">
        <w:tblPrEx>
          <w:tblW w:w="0" w:type="auto"/>
          <w:tblInd w:w="482" w:type="dxa"/>
          <w:tblLayout w:type="fixed"/>
          <w:tblCellMar>
            <w:left w:w="0" w:type="dxa"/>
            <w:right w:w="0" w:type="dxa"/>
          </w:tblCellMar>
          <w:tblLook w:val="01E0"/>
        </w:tblPrEx>
        <w:trPr>
          <w:trHeight w:val="278"/>
        </w:trPr>
        <w:tc>
          <w:tcPr>
            <w:tcW w:w="3447" w:type="dxa"/>
            <w:tcBorders>
              <w:top w:val="single" w:sz="18" w:space="0" w:color="800000"/>
            </w:tcBorders>
          </w:tcPr>
          <w:p w:rsidR="003F5784" w14:paraId="7BAB6102" w14:textId="77777777">
            <w:pPr>
              <w:pStyle w:val="TableParagraph"/>
              <w:spacing w:before="9"/>
              <w:ind w:left="370"/>
              <w:jc w:val="left"/>
              <w:rPr>
                <w:b/>
                <w:sz w:val="21"/>
              </w:rPr>
            </w:pPr>
            <w:r>
              <w:rPr>
                <w:b/>
                <w:spacing w:val="-2"/>
                <w:sz w:val="21"/>
              </w:rPr>
              <w:t>Total</w:t>
            </w:r>
          </w:p>
        </w:tc>
        <w:tc>
          <w:tcPr>
            <w:tcW w:w="6396" w:type="dxa"/>
            <w:tcBorders>
              <w:top w:val="single" w:sz="18" w:space="0" w:color="800000"/>
            </w:tcBorders>
          </w:tcPr>
          <w:p w:rsidR="003F5784" w14:paraId="78B587AE" w14:textId="77777777">
            <w:pPr>
              <w:pStyle w:val="TableParagraph"/>
              <w:spacing w:before="9"/>
              <w:ind w:right="2211"/>
              <w:rPr>
                <w:b/>
                <w:sz w:val="21"/>
              </w:rPr>
            </w:pPr>
            <w:r>
              <w:rPr>
                <w:b/>
                <w:spacing w:val="-2"/>
                <w:sz w:val="21"/>
              </w:rPr>
              <w:t>869,000</w:t>
            </w:r>
          </w:p>
        </w:tc>
        <w:tc>
          <w:tcPr>
            <w:tcW w:w="4140" w:type="dxa"/>
            <w:tcBorders>
              <w:top w:val="single" w:sz="18" w:space="0" w:color="800000"/>
            </w:tcBorders>
          </w:tcPr>
          <w:p w:rsidR="003F5784" w14:paraId="67230516" w14:textId="77777777">
            <w:pPr>
              <w:pStyle w:val="TableParagraph"/>
              <w:spacing w:before="9"/>
              <w:ind w:right="116"/>
              <w:rPr>
                <w:b/>
                <w:sz w:val="21"/>
              </w:rPr>
            </w:pPr>
            <w:r>
              <w:rPr>
                <w:b/>
                <w:spacing w:val="-4"/>
                <w:sz w:val="21"/>
              </w:rPr>
              <w:t>1.00</w:t>
            </w:r>
          </w:p>
        </w:tc>
      </w:tr>
      <w:tr w14:paraId="28DD7622" w14:textId="77777777">
        <w:tblPrEx>
          <w:tblW w:w="0" w:type="auto"/>
          <w:tblInd w:w="482" w:type="dxa"/>
          <w:tblLayout w:type="fixed"/>
          <w:tblCellMar>
            <w:left w:w="0" w:type="dxa"/>
            <w:right w:w="0" w:type="dxa"/>
          </w:tblCellMar>
          <w:tblLook w:val="01E0"/>
        </w:tblPrEx>
        <w:trPr>
          <w:trHeight w:val="286"/>
        </w:trPr>
        <w:tc>
          <w:tcPr>
            <w:tcW w:w="3447" w:type="dxa"/>
          </w:tcPr>
          <w:p w:rsidR="003F5784" w14:paraId="67FCC0ED" w14:textId="77777777">
            <w:pPr>
              <w:pStyle w:val="TableParagraph"/>
              <w:ind w:left="120"/>
              <w:jc w:val="left"/>
              <w:rPr>
                <w:sz w:val="21"/>
              </w:rPr>
            </w:pPr>
            <w:r>
              <w:rPr>
                <w:spacing w:val="-4"/>
                <w:sz w:val="21"/>
              </w:rPr>
              <w:t>1999</w:t>
            </w:r>
          </w:p>
        </w:tc>
        <w:tc>
          <w:tcPr>
            <w:tcW w:w="6396" w:type="dxa"/>
          </w:tcPr>
          <w:p w:rsidR="003F5784" w14:paraId="66822906" w14:textId="77777777">
            <w:pPr>
              <w:pStyle w:val="TableParagraph"/>
              <w:ind w:right="2211"/>
              <w:rPr>
                <w:sz w:val="21"/>
              </w:rPr>
            </w:pPr>
            <w:r>
              <w:rPr>
                <w:spacing w:val="-10"/>
                <w:sz w:val="21"/>
              </w:rPr>
              <w:t>6</w:t>
            </w:r>
          </w:p>
        </w:tc>
        <w:tc>
          <w:tcPr>
            <w:tcW w:w="4140" w:type="dxa"/>
          </w:tcPr>
          <w:p w:rsidR="003F5784" w14:paraId="2A6CBEB9" w14:textId="77777777">
            <w:pPr>
              <w:pStyle w:val="TableParagraph"/>
              <w:ind w:right="116"/>
              <w:rPr>
                <w:sz w:val="21"/>
              </w:rPr>
            </w:pPr>
            <w:r>
              <w:rPr>
                <w:spacing w:val="-10"/>
                <w:sz w:val="21"/>
              </w:rPr>
              <w:t>#</w:t>
            </w:r>
          </w:p>
        </w:tc>
      </w:tr>
      <w:tr w14:paraId="5C8A0B8B" w14:textId="77777777">
        <w:tblPrEx>
          <w:tblW w:w="0" w:type="auto"/>
          <w:tblInd w:w="482" w:type="dxa"/>
          <w:tblLayout w:type="fixed"/>
          <w:tblCellMar>
            <w:left w:w="0" w:type="dxa"/>
            <w:right w:w="0" w:type="dxa"/>
          </w:tblCellMar>
          <w:tblLook w:val="01E0"/>
        </w:tblPrEx>
        <w:trPr>
          <w:trHeight w:val="286"/>
        </w:trPr>
        <w:tc>
          <w:tcPr>
            <w:tcW w:w="3447" w:type="dxa"/>
          </w:tcPr>
          <w:p w:rsidR="003F5784" w14:paraId="5309AF4C" w14:textId="77777777">
            <w:pPr>
              <w:pStyle w:val="TableParagraph"/>
              <w:ind w:left="120"/>
              <w:jc w:val="left"/>
              <w:rPr>
                <w:sz w:val="21"/>
              </w:rPr>
            </w:pPr>
            <w:r>
              <w:rPr>
                <w:spacing w:val="-4"/>
                <w:sz w:val="21"/>
              </w:rPr>
              <w:t>2000</w:t>
            </w:r>
          </w:p>
        </w:tc>
        <w:tc>
          <w:tcPr>
            <w:tcW w:w="6396" w:type="dxa"/>
          </w:tcPr>
          <w:p w:rsidR="003F5784" w14:paraId="3596D23F" w14:textId="77777777">
            <w:pPr>
              <w:pStyle w:val="TableParagraph"/>
              <w:ind w:right="2211"/>
              <w:rPr>
                <w:sz w:val="21"/>
              </w:rPr>
            </w:pPr>
            <w:r>
              <w:rPr>
                <w:spacing w:val="-5"/>
                <w:sz w:val="21"/>
              </w:rPr>
              <w:t>103</w:t>
            </w:r>
          </w:p>
        </w:tc>
        <w:tc>
          <w:tcPr>
            <w:tcW w:w="4140" w:type="dxa"/>
          </w:tcPr>
          <w:p w:rsidR="003F5784" w14:paraId="760C9A58" w14:textId="77777777">
            <w:pPr>
              <w:pStyle w:val="TableParagraph"/>
              <w:ind w:right="116"/>
              <w:rPr>
                <w:sz w:val="21"/>
              </w:rPr>
            </w:pPr>
            <w:r>
              <w:rPr>
                <w:spacing w:val="-10"/>
                <w:sz w:val="21"/>
              </w:rPr>
              <w:t>#</w:t>
            </w:r>
          </w:p>
        </w:tc>
      </w:tr>
      <w:tr w14:paraId="6DE82762" w14:textId="77777777">
        <w:tblPrEx>
          <w:tblW w:w="0" w:type="auto"/>
          <w:tblInd w:w="482" w:type="dxa"/>
          <w:tblLayout w:type="fixed"/>
          <w:tblCellMar>
            <w:left w:w="0" w:type="dxa"/>
            <w:right w:w="0" w:type="dxa"/>
          </w:tblCellMar>
          <w:tblLook w:val="01E0"/>
        </w:tblPrEx>
        <w:trPr>
          <w:trHeight w:val="286"/>
        </w:trPr>
        <w:tc>
          <w:tcPr>
            <w:tcW w:w="3447" w:type="dxa"/>
          </w:tcPr>
          <w:p w:rsidR="003F5784" w14:paraId="36E9AACA" w14:textId="77777777">
            <w:pPr>
              <w:pStyle w:val="TableParagraph"/>
              <w:ind w:left="120"/>
              <w:jc w:val="left"/>
              <w:rPr>
                <w:sz w:val="21"/>
              </w:rPr>
            </w:pPr>
            <w:r>
              <w:rPr>
                <w:spacing w:val="-4"/>
                <w:sz w:val="21"/>
              </w:rPr>
              <w:t>2001</w:t>
            </w:r>
          </w:p>
        </w:tc>
        <w:tc>
          <w:tcPr>
            <w:tcW w:w="6396" w:type="dxa"/>
          </w:tcPr>
          <w:p w:rsidR="003F5784" w14:paraId="3D49D250" w14:textId="77777777">
            <w:pPr>
              <w:pStyle w:val="TableParagraph"/>
              <w:ind w:right="2211"/>
              <w:rPr>
                <w:sz w:val="21"/>
              </w:rPr>
            </w:pPr>
            <w:r>
              <w:rPr>
                <w:spacing w:val="-2"/>
                <w:sz w:val="21"/>
              </w:rPr>
              <w:t>8,000</w:t>
            </w:r>
          </w:p>
        </w:tc>
        <w:tc>
          <w:tcPr>
            <w:tcW w:w="4140" w:type="dxa"/>
          </w:tcPr>
          <w:p w:rsidR="003F5784" w14:paraId="5416131D" w14:textId="77777777">
            <w:pPr>
              <w:pStyle w:val="TableParagraph"/>
              <w:ind w:right="116"/>
              <w:rPr>
                <w:sz w:val="21"/>
              </w:rPr>
            </w:pPr>
            <w:r>
              <w:rPr>
                <w:spacing w:val="-4"/>
                <w:sz w:val="21"/>
              </w:rPr>
              <w:t>0.01</w:t>
            </w:r>
          </w:p>
        </w:tc>
      </w:tr>
      <w:tr w14:paraId="5ECD41D6" w14:textId="77777777">
        <w:tblPrEx>
          <w:tblW w:w="0" w:type="auto"/>
          <w:tblInd w:w="482" w:type="dxa"/>
          <w:tblLayout w:type="fixed"/>
          <w:tblCellMar>
            <w:left w:w="0" w:type="dxa"/>
            <w:right w:w="0" w:type="dxa"/>
          </w:tblCellMar>
          <w:tblLook w:val="01E0"/>
        </w:tblPrEx>
        <w:trPr>
          <w:trHeight w:val="286"/>
        </w:trPr>
        <w:tc>
          <w:tcPr>
            <w:tcW w:w="3447" w:type="dxa"/>
          </w:tcPr>
          <w:p w:rsidR="003F5784" w14:paraId="7E3BD15C" w14:textId="77777777">
            <w:pPr>
              <w:pStyle w:val="TableParagraph"/>
              <w:ind w:left="120"/>
              <w:jc w:val="left"/>
              <w:rPr>
                <w:sz w:val="21"/>
              </w:rPr>
            </w:pPr>
            <w:r>
              <w:rPr>
                <w:spacing w:val="-4"/>
                <w:sz w:val="21"/>
              </w:rPr>
              <w:t>2002</w:t>
            </w:r>
          </w:p>
        </w:tc>
        <w:tc>
          <w:tcPr>
            <w:tcW w:w="6396" w:type="dxa"/>
          </w:tcPr>
          <w:p w:rsidR="003F5784" w14:paraId="57DBB2E0" w14:textId="77777777">
            <w:pPr>
              <w:pStyle w:val="TableParagraph"/>
              <w:ind w:right="2211"/>
              <w:rPr>
                <w:sz w:val="21"/>
              </w:rPr>
            </w:pPr>
            <w:r>
              <w:rPr>
                <w:spacing w:val="-2"/>
                <w:sz w:val="21"/>
              </w:rPr>
              <w:t>247,000</w:t>
            </w:r>
          </w:p>
        </w:tc>
        <w:tc>
          <w:tcPr>
            <w:tcW w:w="4140" w:type="dxa"/>
          </w:tcPr>
          <w:p w:rsidR="003F5784" w14:paraId="226A3057" w14:textId="77777777">
            <w:pPr>
              <w:pStyle w:val="TableParagraph"/>
              <w:ind w:right="116"/>
              <w:rPr>
                <w:sz w:val="21"/>
              </w:rPr>
            </w:pPr>
            <w:r>
              <w:rPr>
                <w:spacing w:val="-4"/>
                <w:sz w:val="21"/>
              </w:rPr>
              <w:t>0.28</w:t>
            </w:r>
          </w:p>
        </w:tc>
      </w:tr>
      <w:tr w14:paraId="6422990D" w14:textId="77777777">
        <w:tblPrEx>
          <w:tblW w:w="0" w:type="auto"/>
          <w:tblInd w:w="482" w:type="dxa"/>
          <w:tblLayout w:type="fixed"/>
          <w:tblCellMar>
            <w:left w:w="0" w:type="dxa"/>
            <w:right w:w="0" w:type="dxa"/>
          </w:tblCellMar>
          <w:tblLook w:val="01E0"/>
        </w:tblPrEx>
        <w:trPr>
          <w:trHeight w:val="286"/>
        </w:trPr>
        <w:tc>
          <w:tcPr>
            <w:tcW w:w="3447" w:type="dxa"/>
          </w:tcPr>
          <w:p w:rsidR="003F5784" w14:paraId="03638C7B" w14:textId="77777777">
            <w:pPr>
              <w:pStyle w:val="TableParagraph"/>
              <w:ind w:left="120"/>
              <w:jc w:val="left"/>
              <w:rPr>
                <w:sz w:val="21"/>
              </w:rPr>
            </w:pPr>
            <w:r>
              <w:rPr>
                <w:spacing w:val="-4"/>
                <w:sz w:val="21"/>
              </w:rPr>
              <w:t>2003</w:t>
            </w:r>
          </w:p>
        </w:tc>
        <w:tc>
          <w:tcPr>
            <w:tcW w:w="6396" w:type="dxa"/>
          </w:tcPr>
          <w:p w:rsidR="003F5784" w14:paraId="1D110714" w14:textId="77777777">
            <w:pPr>
              <w:pStyle w:val="TableParagraph"/>
              <w:ind w:right="2211"/>
              <w:rPr>
                <w:sz w:val="21"/>
              </w:rPr>
            </w:pPr>
            <w:r>
              <w:rPr>
                <w:spacing w:val="-2"/>
                <w:sz w:val="21"/>
              </w:rPr>
              <w:t>612,000</w:t>
            </w:r>
          </w:p>
        </w:tc>
        <w:tc>
          <w:tcPr>
            <w:tcW w:w="4140" w:type="dxa"/>
          </w:tcPr>
          <w:p w:rsidR="003F5784" w14:paraId="31494D2E" w14:textId="77777777">
            <w:pPr>
              <w:pStyle w:val="TableParagraph"/>
              <w:ind w:right="116"/>
              <w:rPr>
                <w:sz w:val="21"/>
              </w:rPr>
            </w:pPr>
            <w:r>
              <w:rPr>
                <w:spacing w:val="-4"/>
                <w:sz w:val="21"/>
              </w:rPr>
              <w:t>0.70</w:t>
            </w:r>
          </w:p>
        </w:tc>
      </w:tr>
      <w:tr w14:paraId="3EEF7CB5" w14:textId="77777777">
        <w:tblPrEx>
          <w:tblW w:w="0" w:type="auto"/>
          <w:tblInd w:w="482" w:type="dxa"/>
          <w:tblLayout w:type="fixed"/>
          <w:tblCellMar>
            <w:left w:w="0" w:type="dxa"/>
            <w:right w:w="0" w:type="dxa"/>
          </w:tblCellMar>
          <w:tblLook w:val="01E0"/>
        </w:tblPrEx>
        <w:trPr>
          <w:trHeight w:val="286"/>
        </w:trPr>
        <w:tc>
          <w:tcPr>
            <w:tcW w:w="3447" w:type="dxa"/>
          </w:tcPr>
          <w:p w:rsidR="003F5784" w14:paraId="1E568288" w14:textId="77777777">
            <w:pPr>
              <w:pStyle w:val="TableParagraph"/>
              <w:ind w:left="120"/>
              <w:jc w:val="left"/>
              <w:rPr>
                <w:sz w:val="21"/>
              </w:rPr>
            </w:pPr>
            <w:r>
              <w:rPr>
                <w:spacing w:val="-4"/>
                <w:sz w:val="21"/>
              </w:rPr>
              <w:t>2004</w:t>
            </w:r>
          </w:p>
        </w:tc>
        <w:tc>
          <w:tcPr>
            <w:tcW w:w="6396" w:type="dxa"/>
          </w:tcPr>
          <w:p w:rsidR="003F5784" w14:paraId="77DA6A14" w14:textId="77777777">
            <w:pPr>
              <w:pStyle w:val="TableParagraph"/>
              <w:ind w:right="2211"/>
              <w:rPr>
                <w:sz w:val="21"/>
              </w:rPr>
            </w:pPr>
            <w:r>
              <w:rPr>
                <w:spacing w:val="-2"/>
                <w:sz w:val="21"/>
              </w:rPr>
              <w:t>2,000</w:t>
            </w:r>
          </w:p>
        </w:tc>
        <w:tc>
          <w:tcPr>
            <w:tcW w:w="4140" w:type="dxa"/>
          </w:tcPr>
          <w:p w:rsidR="003F5784" w14:paraId="112476D5" w14:textId="77777777">
            <w:pPr>
              <w:pStyle w:val="TableParagraph"/>
              <w:ind w:right="116"/>
              <w:rPr>
                <w:sz w:val="21"/>
              </w:rPr>
            </w:pPr>
            <w:r>
              <w:rPr>
                <w:spacing w:val="-10"/>
                <w:sz w:val="21"/>
              </w:rPr>
              <w:t>#</w:t>
            </w:r>
          </w:p>
        </w:tc>
      </w:tr>
      <w:tr w14:paraId="60B3ABC0" w14:textId="77777777">
        <w:tblPrEx>
          <w:tblW w:w="0" w:type="auto"/>
          <w:tblInd w:w="482" w:type="dxa"/>
          <w:tblLayout w:type="fixed"/>
          <w:tblCellMar>
            <w:left w:w="0" w:type="dxa"/>
            <w:right w:w="0" w:type="dxa"/>
          </w:tblCellMar>
          <w:tblLook w:val="01E0"/>
        </w:tblPrEx>
        <w:trPr>
          <w:trHeight w:val="288"/>
        </w:trPr>
        <w:tc>
          <w:tcPr>
            <w:tcW w:w="3447" w:type="dxa"/>
            <w:tcBorders>
              <w:bottom w:val="single" w:sz="18" w:space="0" w:color="800000"/>
            </w:tcBorders>
          </w:tcPr>
          <w:p w:rsidR="003F5784" w14:paraId="048FEF7E" w14:textId="77777777">
            <w:pPr>
              <w:pStyle w:val="TableParagraph"/>
              <w:ind w:left="120"/>
              <w:jc w:val="left"/>
              <w:rPr>
                <w:sz w:val="21"/>
              </w:rPr>
            </w:pPr>
            <w:r>
              <w:rPr>
                <w:spacing w:val="-4"/>
                <w:sz w:val="21"/>
              </w:rPr>
              <w:t>2005</w:t>
            </w:r>
          </w:p>
        </w:tc>
        <w:tc>
          <w:tcPr>
            <w:tcW w:w="6396" w:type="dxa"/>
            <w:tcBorders>
              <w:bottom w:val="single" w:sz="18" w:space="0" w:color="800000"/>
            </w:tcBorders>
          </w:tcPr>
          <w:p w:rsidR="003F5784" w14:paraId="20E3700B" w14:textId="77777777">
            <w:pPr>
              <w:pStyle w:val="TableParagraph"/>
              <w:ind w:right="2211"/>
              <w:rPr>
                <w:sz w:val="21"/>
              </w:rPr>
            </w:pPr>
            <w:r>
              <w:rPr>
                <w:spacing w:val="-5"/>
                <w:sz w:val="21"/>
              </w:rPr>
              <w:t>45</w:t>
            </w:r>
          </w:p>
        </w:tc>
        <w:tc>
          <w:tcPr>
            <w:tcW w:w="4140" w:type="dxa"/>
            <w:tcBorders>
              <w:bottom w:val="single" w:sz="18" w:space="0" w:color="800000"/>
            </w:tcBorders>
          </w:tcPr>
          <w:p w:rsidR="003F5784" w14:paraId="504E2379" w14:textId="77777777">
            <w:pPr>
              <w:pStyle w:val="TableParagraph"/>
              <w:ind w:right="116"/>
              <w:rPr>
                <w:sz w:val="21"/>
              </w:rPr>
            </w:pPr>
            <w:r>
              <w:rPr>
                <w:spacing w:val="-10"/>
                <w:sz w:val="21"/>
              </w:rPr>
              <w:t>#</w:t>
            </w:r>
          </w:p>
        </w:tc>
      </w:tr>
      <w:tr w14:paraId="5245A953" w14:textId="77777777">
        <w:tblPrEx>
          <w:tblW w:w="0" w:type="auto"/>
          <w:tblInd w:w="482" w:type="dxa"/>
          <w:tblLayout w:type="fixed"/>
          <w:tblCellMar>
            <w:left w:w="0" w:type="dxa"/>
            <w:right w:w="0" w:type="dxa"/>
          </w:tblCellMar>
          <w:tblLook w:val="01E0"/>
        </w:tblPrEx>
        <w:trPr>
          <w:trHeight w:val="237"/>
        </w:trPr>
        <w:tc>
          <w:tcPr>
            <w:tcW w:w="13983" w:type="dxa"/>
            <w:gridSpan w:val="3"/>
            <w:tcBorders>
              <w:top w:val="single" w:sz="18" w:space="0" w:color="800000"/>
            </w:tcBorders>
          </w:tcPr>
          <w:p w:rsidR="003F5784" w14:paraId="67D0D9F0"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r>
    </w:tbl>
    <w:p w:rsidR="003F5784" w14:paraId="557DA686" w14:textId="77777777">
      <w:pPr>
        <w:pStyle w:val="BodyText"/>
        <w:spacing w:line="235"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506A468F"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2020 Long-Term Trend Assessment.</w:t>
      </w:r>
    </w:p>
    <w:p w:rsidR="003F5784" w14:paraId="1821BAA9" w14:textId="77777777">
      <w:pPr>
        <w:pStyle w:val="BodyText"/>
      </w:pPr>
    </w:p>
    <w:p w:rsidR="003F5784" w14:paraId="6102AFA6" w14:textId="77777777">
      <w:pPr>
        <w:pStyle w:val="BodyText"/>
        <w:spacing w:before="190"/>
      </w:pPr>
    </w:p>
    <w:p w:rsidR="003F5784" w14:paraId="3F194D5E" w14:textId="77777777">
      <w:pPr>
        <w:ind w:right="1051"/>
        <w:jc w:val="right"/>
        <w:rPr>
          <w:i/>
          <w:sz w:val="21"/>
        </w:rPr>
      </w:pPr>
      <w:r>
        <w:rPr>
          <w:i/>
          <w:sz w:val="21"/>
        </w:rPr>
        <w:t>Back</w:t>
      </w:r>
      <w:r>
        <w:rPr>
          <w:i/>
          <w:spacing w:val="-4"/>
          <w:sz w:val="21"/>
        </w:rPr>
        <w:t xml:space="preserve"> </w:t>
      </w:r>
      <w:r>
        <w:rPr>
          <w:i/>
          <w:sz w:val="21"/>
        </w:rPr>
        <w:t>to</w:t>
      </w:r>
      <w:r>
        <w:rPr>
          <w:i/>
          <w:spacing w:val="-4"/>
          <w:sz w:val="21"/>
        </w:rPr>
        <w:t xml:space="preserve"> </w:t>
      </w:r>
      <w:r>
        <w:rPr>
          <w:i/>
          <w:spacing w:val="-5"/>
          <w:sz w:val="21"/>
        </w:rPr>
        <w:t>Top</w:t>
      </w:r>
    </w:p>
    <w:p w:rsidR="003F5784" w14:paraId="48B9F5BA" w14:textId="77777777">
      <w:pPr>
        <w:pStyle w:val="BodyText"/>
        <w:rPr>
          <w:i/>
        </w:rPr>
      </w:pPr>
    </w:p>
    <w:p w:rsidR="003F5784" w14:paraId="2114AD99" w14:textId="77777777">
      <w:pPr>
        <w:pStyle w:val="BodyText"/>
        <w:rPr>
          <w:i/>
        </w:rPr>
      </w:pPr>
    </w:p>
    <w:p w:rsidR="003F5784" w14:paraId="315495EF" w14:textId="77777777">
      <w:pPr>
        <w:pStyle w:val="BodyText"/>
        <w:rPr>
          <w:i/>
        </w:rPr>
      </w:pPr>
    </w:p>
    <w:p w:rsidR="003F5784" w14:paraId="1508B304" w14:textId="77777777">
      <w:pPr>
        <w:pStyle w:val="BodyText"/>
        <w:rPr>
          <w:i/>
        </w:rPr>
      </w:pPr>
    </w:p>
    <w:p w:rsidR="003F5784" w14:paraId="09C854FB" w14:textId="77777777">
      <w:pPr>
        <w:pStyle w:val="BodyText"/>
        <w:spacing w:before="130"/>
        <w:rPr>
          <w:i/>
        </w:rPr>
      </w:pPr>
    </w:p>
    <w:p w:rsidR="003F5784" w14:paraId="6570E152" w14:textId="77777777">
      <w:pPr>
        <w:ind w:left="3259"/>
        <w:rPr>
          <w:sz w:val="18"/>
        </w:rPr>
      </w:pPr>
      <w:hyperlink r:id="rId156">
        <w:r>
          <w:rPr>
            <w:spacing w:val="-2"/>
            <w:w w:val="105"/>
            <w:sz w:val="18"/>
          </w:rPr>
          <w:t>http://nces.ed.gov/nationsreportcard/tdw/sample_design/2022/age_distribution_fractions_for_the_2022_public_school_long_term_trend_assessment.aspx</w:t>
        </w:r>
      </w:hyperlink>
    </w:p>
    <w:p w:rsidR="003F5784" w14:paraId="3680F336" w14:textId="77777777">
      <w:pPr>
        <w:pStyle w:val="BodyText"/>
        <w:rPr>
          <w:sz w:val="16"/>
        </w:rPr>
      </w:pPr>
      <w:r>
        <w:rPr>
          <w:noProof/>
        </w:rPr>
        <mc:AlternateContent>
          <mc:Choice Requires="wps">
            <w:drawing>
              <wp:anchor distT="0" distB="0" distL="0" distR="0" simplePos="0" relativeHeight="251857920" behindDoc="1" locked="0" layoutInCell="1" allowOverlap="1">
                <wp:simplePos x="0" y="0"/>
                <wp:positionH relativeFrom="page">
                  <wp:posOffset>361937</wp:posOffset>
                </wp:positionH>
                <wp:positionV relativeFrom="paragraph">
                  <wp:posOffset>132046</wp:posOffset>
                </wp:positionV>
                <wp:extent cx="9339580" cy="8890"/>
                <wp:effectExtent l="0" t="0" r="0" b="0"/>
                <wp:wrapTopAndBottom/>
                <wp:docPr id="182" name="Graphic 182"/>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82" o:spid="_x0000_s1099" style="width:735.4pt;height:0.7pt;margin-top:10.4pt;margin-left:28.5pt;mso-position-horizontal-relative:page;mso-wrap-distance-bottom:0;mso-wrap-distance-left:0;mso-wrap-distance-right:0;mso-wrap-distance-top:0;mso-wrap-style:square;position:absolute;visibility:visible;v-text-anchor:top;z-index:-251457536" coordsize="9339580,8890" path="m9338970,l9335110,l8280,,,,,8280l8280,8280l9335110,8280l9338970,8280l9338970,xe" fillcolor="gray" stroked="f">
                <v:path arrowok="t"/>
                <w10:wrap type="topAndBottom"/>
              </v:shape>
            </w:pict>
          </mc:Fallback>
        </mc:AlternateContent>
      </w:r>
    </w:p>
    <w:p w:rsidR="003F5784" w14:paraId="0BFF3217" w14:textId="77777777">
      <w:pPr>
        <w:rPr>
          <w:sz w:val="16"/>
        </w:rPr>
        <w:sectPr>
          <w:pgSz w:w="15840" w:h="12240" w:orient="landscape"/>
          <w:pgMar w:top="480" w:right="440" w:bottom="460" w:left="460" w:header="284" w:footer="275" w:gutter="0"/>
          <w:cols w:space="720"/>
        </w:sectPr>
      </w:pPr>
    </w:p>
    <w:p w:rsidR="003F5784" w14:paraId="58315D2B" w14:textId="66DE97ED">
      <w:pPr>
        <w:pStyle w:val="Heading1"/>
        <w:spacing w:before="81" w:line="244" w:lineRule="auto"/>
      </w:pPr>
      <w:r>
        <w:t>NAEP</w:t>
      </w:r>
      <w:r>
        <w:rPr>
          <w:spacing w:val="-15"/>
        </w:rPr>
        <w:t xml:space="preserve"> </w:t>
      </w:r>
      <w:r>
        <w:t>Technical Documentation</w:t>
      </w:r>
      <w:r w:rsidR="00FB7295">
        <w:t xml:space="preserve"> </w:t>
      </w:r>
      <w:r>
        <w:t>New-School Sampling Frame for the 2022 Public School Long-Term Trend Assessment</w:t>
      </w:r>
    </w:p>
    <w:p w:rsidR="003F5784" w14:paraId="78D01907" w14:textId="77777777">
      <w:pPr>
        <w:pStyle w:val="BodyText"/>
        <w:spacing w:before="273" w:line="232" w:lineRule="auto"/>
        <w:ind w:left="109" w:right="117"/>
      </w:pPr>
      <w:r>
        <w:t xml:space="preserve">The primary sampling frames for the 2022 public school samples for the long-term trend (LTT) assessments in mathematics and reading were constructed using the most current </w:t>
      </w:r>
      <w:r>
        <w:rPr>
          <w:color w:val="0066CC"/>
        </w:rPr>
        <w:t>Common Core of Data (CCD)</w:t>
      </w:r>
      <w:r>
        <w:rPr>
          <w:color w:val="0066CC"/>
          <w:spacing w:val="40"/>
        </w:rPr>
        <w:t xml:space="preserve"> </w:t>
      </w:r>
      <w:r>
        <w:t>files available from NCES. For age 9, this file contained schools that were in existence during the 2019–2020 school year (i.e., it was two</w:t>
      </w:r>
      <w:r>
        <w:rPr>
          <w:spacing w:val="-5"/>
        </w:rPr>
        <w:t xml:space="preserve"> </w:t>
      </w:r>
      <w:r>
        <w:t>years</w:t>
      </w:r>
      <w:r>
        <w:rPr>
          <w:spacing w:val="-5"/>
        </w:rPr>
        <w:t xml:space="preserve"> </w:t>
      </w:r>
      <w:r>
        <w:t>out</w:t>
      </w:r>
      <w:r>
        <w:rPr>
          <w:spacing w:val="-5"/>
        </w:rPr>
        <w:t xml:space="preserve"> </w:t>
      </w:r>
      <w:r>
        <w:t>of</w:t>
      </w:r>
      <w:r>
        <w:rPr>
          <w:spacing w:val="-5"/>
        </w:rPr>
        <w:t xml:space="preserve"> </w:t>
      </w:r>
      <w:r>
        <w:t>date).</w:t>
      </w:r>
      <w:r>
        <w:rPr>
          <w:spacing w:val="-5"/>
        </w:rPr>
        <w:t xml:space="preserve"> </w:t>
      </w:r>
      <w:r>
        <w:t>Similarly,</w:t>
      </w:r>
      <w:r>
        <w:rPr>
          <w:spacing w:val="-5"/>
        </w:rPr>
        <w:t xml:space="preserve"> </w:t>
      </w:r>
      <w:r>
        <w:t>for</w:t>
      </w:r>
      <w:r>
        <w:rPr>
          <w:spacing w:val="-5"/>
        </w:rPr>
        <w:t xml:space="preserve"> </w:t>
      </w:r>
      <w:r>
        <w:t>age</w:t>
      </w:r>
      <w:r>
        <w:rPr>
          <w:spacing w:val="-5"/>
        </w:rPr>
        <w:t xml:space="preserve"> </w:t>
      </w:r>
      <w:r>
        <w:t>13,</w:t>
      </w:r>
      <w:r>
        <w:rPr>
          <w:spacing w:val="-5"/>
        </w:rPr>
        <w:t xml:space="preserve"> </w:t>
      </w:r>
      <w:r>
        <w:t>this</w:t>
      </w:r>
      <w:r>
        <w:rPr>
          <w:spacing w:val="-5"/>
        </w:rPr>
        <w:t xml:space="preserve"> </w:t>
      </w:r>
      <w:r>
        <w:t>file</w:t>
      </w:r>
      <w:r>
        <w:rPr>
          <w:spacing w:val="-5"/>
        </w:rPr>
        <w:t xml:space="preserve"> </w:t>
      </w:r>
      <w:r>
        <w:t>contained</w:t>
      </w:r>
      <w:r>
        <w:rPr>
          <w:spacing w:val="-5"/>
        </w:rPr>
        <w:t xml:space="preserve"> </w:t>
      </w:r>
      <w:r>
        <w:t>schools</w:t>
      </w:r>
      <w:r>
        <w:rPr>
          <w:spacing w:val="-5"/>
        </w:rPr>
        <w:t xml:space="preserve"> </w:t>
      </w:r>
      <w:r>
        <w:t>that</w:t>
      </w:r>
      <w:r>
        <w:rPr>
          <w:spacing w:val="-5"/>
        </w:rPr>
        <w:t xml:space="preserve"> </w:t>
      </w:r>
      <w:r>
        <w:t>were</w:t>
      </w:r>
      <w:r>
        <w:rPr>
          <w:spacing w:val="-5"/>
        </w:rPr>
        <w:t xml:space="preserve"> </w:t>
      </w:r>
      <w:r>
        <w:t>in</w:t>
      </w:r>
      <w:r>
        <w:rPr>
          <w:spacing w:val="-5"/>
        </w:rPr>
        <w:t xml:space="preserve"> </w:t>
      </w:r>
      <w:r>
        <w:t>existence</w:t>
      </w:r>
      <w:r>
        <w:rPr>
          <w:spacing w:val="-5"/>
        </w:rPr>
        <w:t xml:space="preserve"> </w:t>
      </w:r>
      <w:r>
        <w:t>during</w:t>
      </w:r>
      <w:r>
        <w:rPr>
          <w:spacing w:val="-5"/>
        </w:rPr>
        <w:t xml:space="preserve"> </w:t>
      </w:r>
      <w:r>
        <w:t>the</w:t>
      </w:r>
      <w:r>
        <w:rPr>
          <w:spacing w:val="-5"/>
        </w:rPr>
        <w:t xml:space="preserve"> </w:t>
      </w:r>
      <w:r>
        <w:t>2020–2021</w:t>
      </w:r>
      <w:r>
        <w:rPr>
          <w:spacing w:val="-5"/>
        </w:rPr>
        <w:t xml:space="preserve"> </w:t>
      </w:r>
      <w:r>
        <w:t>school</w:t>
      </w:r>
      <w:r>
        <w:rPr>
          <w:spacing w:val="-5"/>
        </w:rPr>
        <w:t xml:space="preserve"> </w:t>
      </w:r>
      <w:r>
        <w:t>year</w:t>
      </w:r>
      <w:r>
        <w:rPr>
          <w:spacing w:val="-5"/>
        </w:rPr>
        <w:t xml:space="preserve"> </w:t>
      </w:r>
      <w:r>
        <w:t>(also</w:t>
      </w:r>
      <w:r>
        <w:rPr>
          <w:spacing w:val="-5"/>
        </w:rPr>
        <w:t xml:space="preserve"> </w:t>
      </w:r>
      <w:r>
        <w:t>about</w:t>
      </w:r>
      <w:r>
        <w:rPr>
          <w:spacing w:val="-5"/>
        </w:rPr>
        <w:t xml:space="preserve"> </w:t>
      </w:r>
      <w:r>
        <w:t>two</w:t>
      </w:r>
      <w:r>
        <w:rPr>
          <w:spacing w:val="-5"/>
        </w:rPr>
        <w:t xml:space="preserve"> </w:t>
      </w:r>
      <w:r>
        <w:t>years</w:t>
      </w:r>
      <w:r>
        <w:rPr>
          <w:spacing w:val="-5"/>
        </w:rPr>
        <w:t xml:space="preserve"> </w:t>
      </w:r>
      <w:r>
        <w:t>out</w:t>
      </w:r>
      <w:r>
        <w:rPr>
          <w:spacing w:val="-5"/>
        </w:rPr>
        <w:t xml:space="preserve"> </w:t>
      </w:r>
      <w:r>
        <w:t>of</w:t>
      </w:r>
      <w:r>
        <w:rPr>
          <w:spacing w:val="-5"/>
        </w:rPr>
        <w:t xml:space="preserve"> </w:t>
      </w:r>
      <w:r>
        <w:t>date,</w:t>
      </w:r>
      <w:r>
        <w:rPr>
          <w:spacing w:val="-5"/>
        </w:rPr>
        <w:t xml:space="preserve"> </w:t>
      </w:r>
      <w:r>
        <w:t>given</w:t>
      </w:r>
      <w:r>
        <w:rPr>
          <w:spacing w:val="-5"/>
        </w:rPr>
        <w:t xml:space="preserve"> </w:t>
      </w:r>
      <w:r>
        <w:t>the</w:t>
      </w:r>
      <w:r>
        <w:rPr>
          <w:spacing w:val="-5"/>
        </w:rPr>
        <w:t xml:space="preserve"> </w:t>
      </w:r>
      <w:r>
        <w:t>fall 2022 assessment date for age 13). During the subsequent 2-year periods, undoubtedly some schools closed, some changed structure (one school becoming two schools, for example), some newly opened, and still others changed their grade span.</w:t>
      </w:r>
    </w:p>
    <w:p w:rsidR="003F5784" w14:paraId="625D1CA6" w14:textId="77777777">
      <w:pPr>
        <w:pStyle w:val="BodyText"/>
        <w:spacing w:before="211" w:line="232" w:lineRule="auto"/>
        <w:ind w:left="109"/>
      </w:pPr>
      <w:r>
        <w:t>A</w:t>
      </w:r>
      <w:r>
        <w:rPr>
          <w:spacing w:val="-14"/>
        </w:rPr>
        <w:t xml:space="preserve"> </w:t>
      </w:r>
      <w:r>
        <w:t>supplemental</w:t>
      </w:r>
      <w:r>
        <w:rPr>
          <w:spacing w:val="-4"/>
        </w:rPr>
        <w:t xml:space="preserve"> </w:t>
      </w:r>
      <w:r>
        <w:t>sample</w:t>
      </w:r>
      <w:r>
        <w:rPr>
          <w:spacing w:val="-4"/>
        </w:rPr>
        <w:t xml:space="preserve"> </w:t>
      </w:r>
      <w:r>
        <w:t>was</w:t>
      </w:r>
      <w:r>
        <w:rPr>
          <w:spacing w:val="-4"/>
        </w:rPr>
        <w:t xml:space="preserve"> </w:t>
      </w:r>
      <w:r>
        <w:t>selected</w:t>
      </w:r>
      <w:r>
        <w:rPr>
          <w:spacing w:val="-4"/>
        </w:rPr>
        <w:t xml:space="preserve"> </w:t>
      </w:r>
      <w:r>
        <w:t>from</w:t>
      </w:r>
      <w:r>
        <w:rPr>
          <w:spacing w:val="-4"/>
        </w:rPr>
        <w:t xml:space="preserve"> </w:t>
      </w:r>
      <w:r>
        <w:t>a</w:t>
      </w:r>
      <w:r>
        <w:rPr>
          <w:spacing w:val="-4"/>
        </w:rPr>
        <w:t xml:space="preserve"> </w:t>
      </w:r>
      <w:r>
        <w:t>list</w:t>
      </w:r>
      <w:r>
        <w:rPr>
          <w:spacing w:val="-4"/>
        </w:rPr>
        <w:t xml:space="preserve"> </w:t>
      </w:r>
      <w:r>
        <w:t>of</w:t>
      </w:r>
      <w:r>
        <w:rPr>
          <w:spacing w:val="-4"/>
        </w:rPr>
        <w:t xml:space="preserve"> </w:t>
      </w:r>
      <w:r>
        <w:t>schools</w:t>
      </w:r>
      <w:r>
        <w:rPr>
          <w:spacing w:val="-4"/>
        </w:rPr>
        <w:t xml:space="preserve"> </w:t>
      </w:r>
      <w:r>
        <w:t>that</w:t>
      </w:r>
      <w:r>
        <w:rPr>
          <w:spacing w:val="-4"/>
        </w:rPr>
        <w:t xml:space="preserve"> </w:t>
      </w:r>
      <w:r>
        <w:t>were</w:t>
      </w:r>
      <w:r>
        <w:rPr>
          <w:spacing w:val="-4"/>
        </w:rPr>
        <w:t xml:space="preserve"> </w:t>
      </w:r>
      <w:r>
        <w:t>new</w:t>
      </w:r>
      <w:r>
        <w:rPr>
          <w:spacing w:val="-4"/>
        </w:rPr>
        <w:t xml:space="preserve"> </w:t>
      </w:r>
      <w:r>
        <w:t>or</w:t>
      </w:r>
      <w:r>
        <w:rPr>
          <w:spacing w:val="-4"/>
        </w:rPr>
        <w:t xml:space="preserve"> </w:t>
      </w:r>
      <w:r>
        <w:t>had</w:t>
      </w:r>
      <w:r>
        <w:rPr>
          <w:spacing w:val="-4"/>
        </w:rPr>
        <w:t xml:space="preserve"> </w:t>
      </w:r>
      <w:r>
        <w:t>become</w:t>
      </w:r>
      <w:r>
        <w:rPr>
          <w:spacing w:val="-4"/>
        </w:rPr>
        <w:t xml:space="preserve"> </w:t>
      </w:r>
      <w:r>
        <w:t>newly</w:t>
      </w:r>
      <w:r>
        <w:rPr>
          <w:spacing w:val="-4"/>
        </w:rPr>
        <w:t xml:space="preserve"> </w:t>
      </w:r>
      <w:r>
        <w:t>eligible</w:t>
      </w:r>
      <w:r>
        <w:rPr>
          <w:spacing w:val="-4"/>
        </w:rPr>
        <w:t xml:space="preserve"> </w:t>
      </w:r>
      <w:r>
        <w:t>sometime</w:t>
      </w:r>
      <w:r>
        <w:rPr>
          <w:spacing w:val="-4"/>
        </w:rPr>
        <w:t xml:space="preserve"> </w:t>
      </w:r>
      <w:r>
        <w:t>after</w:t>
      </w:r>
      <w:r>
        <w:rPr>
          <w:spacing w:val="-4"/>
        </w:rPr>
        <w:t xml:space="preserve"> </w:t>
      </w:r>
      <w:r>
        <w:t>the</w:t>
      </w:r>
      <w:r>
        <w:rPr>
          <w:spacing w:val="-4"/>
        </w:rPr>
        <w:t xml:space="preserve"> </w:t>
      </w:r>
      <w:r>
        <w:t>school</w:t>
      </w:r>
      <w:r>
        <w:rPr>
          <w:spacing w:val="-4"/>
        </w:rPr>
        <w:t xml:space="preserve"> </w:t>
      </w:r>
      <w:r>
        <w:t>year</w:t>
      </w:r>
      <w:r>
        <w:rPr>
          <w:spacing w:val="-4"/>
        </w:rPr>
        <w:t xml:space="preserve"> </w:t>
      </w:r>
      <w:r>
        <w:t>represented</w:t>
      </w:r>
      <w:r>
        <w:rPr>
          <w:spacing w:val="-4"/>
        </w:rPr>
        <w:t xml:space="preserve"> </w:t>
      </w:r>
      <w:r>
        <w:t>by</w:t>
      </w:r>
      <w:r>
        <w:rPr>
          <w:spacing w:val="-4"/>
        </w:rPr>
        <w:t xml:space="preserve"> </w:t>
      </w:r>
      <w:r>
        <w:t>the</w:t>
      </w:r>
      <w:r>
        <w:rPr>
          <w:spacing w:val="-4"/>
        </w:rPr>
        <w:t xml:space="preserve"> </w:t>
      </w:r>
      <w:r>
        <w:t>CCD</w:t>
      </w:r>
      <w:r>
        <w:rPr>
          <w:spacing w:val="-4"/>
        </w:rPr>
        <w:t xml:space="preserve"> </w:t>
      </w:r>
      <w:r>
        <w:t>(2019–2020</w:t>
      </w:r>
      <w:r>
        <w:rPr>
          <w:spacing w:val="-4"/>
        </w:rPr>
        <w:t xml:space="preserve"> </w:t>
      </w:r>
      <w:r>
        <w:t>for age</w:t>
      </w:r>
      <w:r>
        <w:rPr>
          <w:spacing w:val="-5"/>
        </w:rPr>
        <w:t xml:space="preserve"> </w:t>
      </w:r>
      <w:r>
        <w:t>9,</w:t>
      </w:r>
      <w:r>
        <w:rPr>
          <w:spacing w:val="-5"/>
        </w:rPr>
        <w:t xml:space="preserve"> </w:t>
      </w:r>
      <w:r>
        <w:t>and</w:t>
      </w:r>
      <w:r>
        <w:rPr>
          <w:spacing w:val="-5"/>
        </w:rPr>
        <w:t xml:space="preserve"> </w:t>
      </w:r>
      <w:r>
        <w:t>2020–2021</w:t>
      </w:r>
      <w:r>
        <w:rPr>
          <w:spacing w:val="-5"/>
        </w:rPr>
        <w:t xml:space="preserve"> </w:t>
      </w:r>
      <w:r>
        <w:t>for</w:t>
      </w:r>
      <w:r>
        <w:rPr>
          <w:spacing w:val="-5"/>
        </w:rPr>
        <w:t xml:space="preserve"> </w:t>
      </w:r>
      <w:r>
        <w:t>age</w:t>
      </w:r>
      <w:r>
        <w:rPr>
          <w:spacing w:val="-5"/>
        </w:rPr>
        <w:t xml:space="preserve"> </w:t>
      </w:r>
      <w:r>
        <w:t>13).</w:t>
      </w:r>
      <w:r>
        <w:rPr>
          <w:spacing w:val="-8"/>
        </w:rPr>
        <w:t xml:space="preserve"> </w:t>
      </w:r>
      <w:r>
        <w:t>The</w:t>
      </w:r>
      <w:r>
        <w:rPr>
          <w:spacing w:val="-5"/>
        </w:rPr>
        <w:t xml:space="preserve"> </w:t>
      </w:r>
      <w:r>
        <w:t>goal</w:t>
      </w:r>
      <w:r>
        <w:rPr>
          <w:spacing w:val="-5"/>
        </w:rPr>
        <w:t xml:space="preserve"> </w:t>
      </w:r>
      <w:r>
        <w:t>was</w:t>
      </w:r>
      <w:r>
        <w:rPr>
          <w:spacing w:val="-5"/>
        </w:rPr>
        <w:t xml:space="preserve"> </w:t>
      </w:r>
      <w:r>
        <w:t>to</w:t>
      </w:r>
      <w:r>
        <w:rPr>
          <w:spacing w:val="-5"/>
        </w:rPr>
        <w:t xml:space="preserve"> </w:t>
      </w:r>
      <w:r>
        <w:t>allow</w:t>
      </w:r>
      <w:r>
        <w:rPr>
          <w:spacing w:val="-5"/>
        </w:rPr>
        <w:t xml:space="preserve"> </w:t>
      </w:r>
      <w:r>
        <w:t>every</w:t>
      </w:r>
      <w:r>
        <w:rPr>
          <w:spacing w:val="-5"/>
        </w:rPr>
        <w:t xml:space="preserve"> </w:t>
      </w:r>
      <w:r>
        <w:t>new</w:t>
      </w:r>
      <w:r>
        <w:rPr>
          <w:spacing w:val="-5"/>
        </w:rPr>
        <w:t xml:space="preserve"> </w:t>
      </w:r>
      <w:r>
        <w:t>school</w:t>
      </w:r>
      <w:r>
        <w:rPr>
          <w:spacing w:val="-5"/>
        </w:rPr>
        <w:t xml:space="preserve"> </w:t>
      </w:r>
      <w:r>
        <w:t>a</w:t>
      </w:r>
      <w:r>
        <w:rPr>
          <w:spacing w:val="-5"/>
        </w:rPr>
        <w:t xml:space="preserve"> </w:t>
      </w:r>
      <w:r>
        <w:t>chance</w:t>
      </w:r>
      <w:r>
        <w:rPr>
          <w:spacing w:val="-5"/>
        </w:rPr>
        <w:t xml:space="preserve"> </w:t>
      </w:r>
      <w:r>
        <w:t>of</w:t>
      </w:r>
      <w:r>
        <w:rPr>
          <w:spacing w:val="-5"/>
        </w:rPr>
        <w:t xml:space="preserve"> </w:t>
      </w:r>
      <w:r>
        <w:t>selection,</w:t>
      </w:r>
      <w:r>
        <w:rPr>
          <w:spacing w:val="-5"/>
        </w:rPr>
        <w:t xml:space="preserve"> </w:t>
      </w:r>
      <w:r>
        <w:t>thereby</w:t>
      </w:r>
      <w:r>
        <w:rPr>
          <w:spacing w:val="-5"/>
        </w:rPr>
        <w:t xml:space="preserve"> </w:t>
      </w:r>
      <w:r>
        <w:t>fully</w:t>
      </w:r>
      <w:r>
        <w:rPr>
          <w:spacing w:val="-5"/>
        </w:rPr>
        <w:t xml:space="preserve"> </w:t>
      </w:r>
      <w:r>
        <w:t>covering</w:t>
      </w:r>
      <w:r>
        <w:rPr>
          <w:spacing w:val="-5"/>
        </w:rPr>
        <w:t xml:space="preserve"> </w:t>
      </w:r>
      <w:r>
        <w:t>the</w:t>
      </w:r>
      <w:r>
        <w:rPr>
          <w:spacing w:val="-5"/>
        </w:rPr>
        <w:t xml:space="preserve"> </w:t>
      </w:r>
      <w:r>
        <w:t>target</w:t>
      </w:r>
      <w:r>
        <w:rPr>
          <w:spacing w:val="-5"/>
        </w:rPr>
        <w:t xml:space="preserve"> </w:t>
      </w:r>
      <w:r>
        <w:t>population</w:t>
      </w:r>
      <w:r>
        <w:rPr>
          <w:spacing w:val="-5"/>
        </w:rPr>
        <w:t xml:space="preserve"> </w:t>
      </w:r>
      <w:r>
        <w:t>of</w:t>
      </w:r>
      <w:r>
        <w:rPr>
          <w:spacing w:val="-5"/>
        </w:rPr>
        <w:t xml:space="preserve"> </w:t>
      </w:r>
      <w:r>
        <w:t>schools</w:t>
      </w:r>
      <w:r>
        <w:rPr>
          <w:spacing w:val="-5"/>
        </w:rPr>
        <w:t xml:space="preserve"> </w:t>
      </w:r>
      <w:r>
        <w:t>in</w:t>
      </w:r>
      <w:r>
        <w:rPr>
          <w:spacing w:val="-5"/>
        </w:rPr>
        <w:t xml:space="preserve"> </w:t>
      </w:r>
      <w:r>
        <w:t>operation</w:t>
      </w:r>
      <w:r>
        <w:rPr>
          <w:spacing w:val="-5"/>
        </w:rPr>
        <w:t xml:space="preserve"> </w:t>
      </w:r>
      <w:r>
        <w:t>during</w:t>
      </w:r>
      <w:r>
        <w:rPr>
          <w:spacing w:val="-5"/>
        </w:rPr>
        <w:t xml:space="preserve"> </w:t>
      </w:r>
      <w:r>
        <w:t>the school year at the time of assessment (2021–2022 for age 9, and 2022–2023 for age 13). It was infeasible to ask every school district in the United States to provide a supplemental school frame, so a two-stage procedure was employed. First, a sample of school districts was selected within each state.</w:t>
      </w:r>
      <w:r>
        <w:rPr>
          <w:spacing w:val="-3"/>
        </w:rPr>
        <w:t xml:space="preserve"> </w:t>
      </w:r>
      <w:r>
        <w:t>Then each State or</w:t>
      </w:r>
      <w:r>
        <w:rPr>
          <w:spacing w:val="-3"/>
        </w:rPr>
        <w:t xml:space="preserve"> </w:t>
      </w:r>
      <w:r>
        <w:t>Trial Urban District Assessment</w:t>
      </w:r>
      <w:r>
        <w:rPr>
          <w:spacing w:val="-6"/>
        </w:rPr>
        <w:t xml:space="preserve"> </w:t>
      </w:r>
      <w:r>
        <w:t>(TUDA)</w:t>
      </w:r>
      <w:r>
        <w:rPr>
          <w:spacing w:val="-6"/>
        </w:rPr>
        <w:t xml:space="preserve"> </w:t>
      </w:r>
      <w:r>
        <w:t>Coordinator</w:t>
      </w:r>
      <w:r>
        <w:rPr>
          <w:spacing w:val="-6"/>
        </w:rPr>
        <w:t xml:space="preserve"> </w:t>
      </w:r>
      <w:r>
        <w:t>was</w:t>
      </w:r>
      <w:r>
        <w:rPr>
          <w:spacing w:val="-6"/>
        </w:rPr>
        <w:t xml:space="preserve"> </w:t>
      </w:r>
      <w:r>
        <w:t>sent</w:t>
      </w:r>
      <w:r>
        <w:rPr>
          <w:spacing w:val="-6"/>
        </w:rPr>
        <w:t xml:space="preserve"> </w:t>
      </w:r>
      <w:r>
        <w:t>a</w:t>
      </w:r>
      <w:r>
        <w:rPr>
          <w:spacing w:val="-6"/>
        </w:rPr>
        <w:t xml:space="preserve"> </w:t>
      </w:r>
      <w:r>
        <w:t>list</w:t>
      </w:r>
      <w:r>
        <w:rPr>
          <w:spacing w:val="-6"/>
        </w:rPr>
        <w:t xml:space="preserve"> </w:t>
      </w:r>
      <w:r>
        <w:t>of</w:t>
      </w:r>
      <w:r>
        <w:rPr>
          <w:spacing w:val="-6"/>
        </w:rPr>
        <w:t xml:space="preserve"> </w:t>
      </w:r>
      <w:r>
        <w:t>the</w:t>
      </w:r>
      <w:r>
        <w:rPr>
          <w:spacing w:val="-6"/>
        </w:rPr>
        <w:t xml:space="preserve"> </w:t>
      </w:r>
      <w:r>
        <w:t>schools</w:t>
      </w:r>
      <w:r>
        <w:rPr>
          <w:spacing w:val="-6"/>
        </w:rPr>
        <w:t xml:space="preserve"> </w:t>
      </w:r>
      <w:r>
        <w:t>within</w:t>
      </w:r>
      <w:r>
        <w:rPr>
          <w:spacing w:val="-6"/>
        </w:rPr>
        <w:t xml:space="preserve"> </w:t>
      </w:r>
      <w:r>
        <w:t>their</w:t>
      </w:r>
      <w:r>
        <w:rPr>
          <w:spacing w:val="-6"/>
        </w:rPr>
        <w:t xml:space="preserve"> </w:t>
      </w:r>
      <w:r>
        <w:t>sampled</w:t>
      </w:r>
      <w:r>
        <w:rPr>
          <w:spacing w:val="-6"/>
        </w:rPr>
        <w:t xml:space="preserve"> </w:t>
      </w:r>
      <w:r>
        <w:t>districts</w:t>
      </w:r>
      <w:r>
        <w:rPr>
          <w:spacing w:val="-6"/>
        </w:rPr>
        <w:t xml:space="preserve"> </w:t>
      </w:r>
      <w:r>
        <w:t>that</w:t>
      </w:r>
      <w:r>
        <w:rPr>
          <w:spacing w:val="-6"/>
        </w:rPr>
        <w:t xml:space="preserve"> </w:t>
      </w:r>
      <w:r>
        <w:t>had</w:t>
      </w:r>
      <w:r>
        <w:rPr>
          <w:spacing w:val="-6"/>
        </w:rPr>
        <w:t xml:space="preserve"> </w:t>
      </w:r>
      <w:r>
        <w:t>been</w:t>
      </w:r>
      <w:r>
        <w:rPr>
          <w:spacing w:val="-6"/>
        </w:rPr>
        <w:t xml:space="preserve"> </w:t>
      </w:r>
      <w:r>
        <w:t>present</w:t>
      </w:r>
      <w:r>
        <w:rPr>
          <w:spacing w:val="-6"/>
        </w:rPr>
        <w:t xml:space="preserve"> </w:t>
      </w:r>
      <w:r>
        <w:t>on</w:t>
      </w:r>
      <w:r>
        <w:rPr>
          <w:spacing w:val="-6"/>
        </w:rPr>
        <w:t xml:space="preserve"> </w:t>
      </w:r>
      <w:r>
        <w:t>the</w:t>
      </w:r>
      <w:r>
        <w:rPr>
          <w:spacing w:val="-6"/>
        </w:rPr>
        <w:t xml:space="preserve"> </w:t>
      </w:r>
      <w:r>
        <w:t>2019–2020</w:t>
      </w:r>
      <w:r>
        <w:rPr>
          <w:spacing w:val="-6"/>
        </w:rPr>
        <w:t xml:space="preserve"> </w:t>
      </w:r>
      <w:r>
        <w:t>CCD</w:t>
      </w:r>
      <w:r>
        <w:rPr>
          <w:spacing w:val="-6"/>
        </w:rPr>
        <w:t xml:space="preserve"> </w:t>
      </w:r>
      <w:r>
        <w:t>file.</w:t>
      </w:r>
      <w:r>
        <w:rPr>
          <w:spacing w:val="-9"/>
        </w:rPr>
        <w:t xml:space="preserve"> </w:t>
      </w:r>
      <w:r>
        <w:t>The</w:t>
      </w:r>
      <w:r>
        <w:rPr>
          <w:spacing w:val="-6"/>
        </w:rPr>
        <w:t xml:space="preserve"> </w:t>
      </w:r>
      <w:r>
        <w:t>Coordinators</w:t>
      </w:r>
      <w:r>
        <w:rPr>
          <w:spacing w:val="-6"/>
        </w:rPr>
        <w:t xml:space="preserve"> </w:t>
      </w:r>
      <w:r>
        <w:t>were</w:t>
      </w:r>
      <w:r>
        <w:rPr>
          <w:spacing w:val="-6"/>
        </w:rPr>
        <w:t xml:space="preserve"> </w:t>
      </w:r>
      <w:r>
        <w:t>asked</w:t>
      </w:r>
      <w:r>
        <w:rPr>
          <w:spacing w:val="-6"/>
        </w:rPr>
        <w:t xml:space="preserve"> </w:t>
      </w:r>
      <w:r>
        <w:t>to add in any new schools and identify any schools on this list that had become newly eligible.</w:t>
      </w:r>
    </w:p>
    <w:p w:rsidR="003F5784" w14:paraId="2920F6EE" w14:textId="77777777">
      <w:pPr>
        <w:pStyle w:val="BodyText"/>
        <w:spacing w:before="210" w:line="232" w:lineRule="auto"/>
        <w:ind w:left="109"/>
      </w:pPr>
      <w:r>
        <w:t>The</w:t>
      </w:r>
      <w:r>
        <w:rPr>
          <w:spacing w:val="-6"/>
        </w:rPr>
        <w:t xml:space="preserve"> </w:t>
      </w:r>
      <w:r>
        <w:t>new-school</w:t>
      </w:r>
      <w:r>
        <w:rPr>
          <w:spacing w:val="-6"/>
        </w:rPr>
        <w:t xml:space="preserve"> </w:t>
      </w:r>
      <w:r>
        <w:t>process</w:t>
      </w:r>
      <w:r>
        <w:rPr>
          <w:spacing w:val="-6"/>
        </w:rPr>
        <w:t xml:space="preserve"> </w:t>
      </w:r>
      <w:r>
        <w:t>began</w:t>
      </w:r>
      <w:r>
        <w:rPr>
          <w:spacing w:val="-6"/>
        </w:rPr>
        <w:t xml:space="preserve"> </w:t>
      </w:r>
      <w:r>
        <w:t>with</w:t>
      </w:r>
      <w:r>
        <w:rPr>
          <w:spacing w:val="-6"/>
        </w:rPr>
        <w:t xml:space="preserve"> </w:t>
      </w:r>
      <w:r>
        <w:t>the</w:t>
      </w:r>
      <w:r>
        <w:rPr>
          <w:spacing w:val="-6"/>
        </w:rPr>
        <w:t xml:space="preserve"> </w:t>
      </w:r>
      <w:r>
        <w:t>preparation</w:t>
      </w:r>
      <w:r>
        <w:rPr>
          <w:spacing w:val="-6"/>
        </w:rPr>
        <w:t xml:space="preserve"> </w:t>
      </w:r>
      <w:r>
        <w:t>of</w:t>
      </w:r>
      <w:r>
        <w:rPr>
          <w:spacing w:val="-6"/>
        </w:rPr>
        <w:t xml:space="preserve"> </w:t>
      </w:r>
      <w:r>
        <w:t>a</w:t>
      </w:r>
      <w:r>
        <w:rPr>
          <w:spacing w:val="-6"/>
        </w:rPr>
        <w:t xml:space="preserve"> </w:t>
      </w:r>
      <w:r>
        <w:t>district-level</w:t>
      </w:r>
      <w:r>
        <w:rPr>
          <w:spacing w:val="-6"/>
        </w:rPr>
        <w:t xml:space="preserve"> </w:t>
      </w:r>
      <w:r>
        <w:t>frame.</w:t>
      </w:r>
      <w:r>
        <w:rPr>
          <w:spacing w:val="-9"/>
        </w:rPr>
        <w:t xml:space="preserve"> </w:t>
      </w:r>
      <w:r>
        <w:t>The</w:t>
      </w:r>
      <w:r>
        <w:rPr>
          <w:spacing w:val="-6"/>
        </w:rPr>
        <w:t xml:space="preserve"> </w:t>
      </w:r>
      <w:r>
        <w:t>starting</w:t>
      </w:r>
      <w:r>
        <w:rPr>
          <w:spacing w:val="-6"/>
        </w:rPr>
        <w:t xml:space="preserve"> </w:t>
      </w:r>
      <w:r>
        <w:t>point</w:t>
      </w:r>
      <w:r>
        <w:rPr>
          <w:spacing w:val="-6"/>
        </w:rPr>
        <w:t xml:space="preserve"> </w:t>
      </w:r>
      <w:r>
        <w:t>was</w:t>
      </w:r>
      <w:r>
        <w:rPr>
          <w:spacing w:val="-6"/>
        </w:rPr>
        <w:t xml:space="preserve"> </w:t>
      </w:r>
      <w:r>
        <w:t>a</w:t>
      </w:r>
      <w:r>
        <w:rPr>
          <w:spacing w:val="-6"/>
        </w:rPr>
        <w:t xml:space="preserve"> </w:t>
      </w:r>
      <w:r>
        <w:t>file</w:t>
      </w:r>
      <w:r>
        <w:rPr>
          <w:spacing w:val="-6"/>
        </w:rPr>
        <w:t xml:space="preserve"> </w:t>
      </w:r>
      <w:r>
        <w:t>containing</w:t>
      </w:r>
      <w:r>
        <w:rPr>
          <w:spacing w:val="-6"/>
        </w:rPr>
        <w:t xml:space="preserve"> </w:t>
      </w:r>
      <w:r>
        <w:t>every</w:t>
      </w:r>
      <w:r>
        <w:rPr>
          <w:spacing w:val="-6"/>
        </w:rPr>
        <w:t xml:space="preserve"> </w:t>
      </w:r>
      <w:r>
        <w:t>public</w:t>
      </w:r>
      <w:r>
        <w:rPr>
          <w:spacing w:val="-6"/>
        </w:rPr>
        <w:t xml:space="preserve"> </w:t>
      </w:r>
      <w:r>
        <w:t>school</w:t>
      </w:r>
      <w:r>
        <w:rPr>
          <w:spacing w:val="-6"/>
        </w:rPr>
        <w:t xml:space="preserve"> </w:t>
      </w:r>
      <w:r>
        <w:t>district</w:t>
      </w:r>
      <w:r>
        <w:rPr>
          <w:spacing w:val="-6"/>
        </w:rPr>
        <w:t xml:space="preserve"> </w:t>
      </w:r>
      <w:r>
        <w:t>in</w:t>
      </w:r>
      <w:r>
        <w:rPr>
          <w:spacing w:val="-6"/>
        </w:rPr>
        <w:t xml:space="preserve"> </w:t>
      </w:r>
      <w:r>
        <w:t>the</w:t>
      </w:r>
      <w:r>
        <w:rPr>
          <w:spacing w:val="-6"/>
        </w:rPr>
        <w:t xml:space="preserve"> </w:t>
      </w:r>
      <w:r>
        <w:t>United</w:t>
      </w:r>
      <w:r>
        <w:rPr>
          <w:spacing w:val="-6"/>
        </w:rPr>
        <w:t xml:space="preserve"> </w:t>
      </w:r>
      <w:r>
        <w:t>States.</w:t>
      </w:r>
      <w:r>
        <w:rPr>
          <w:spacing w:val="-9"/>
        </w:rPr>
        <w:t xml:space="preserve"> </w:t>
      </w:r>
      <w:r>
        <w:t>The</w:t>
      </w:r>
      <w:r>
        <w:rPr>
          <w:spacing w:val="-6"/>
        </w:rPr>
        <w:t xml:space="preserve"> </w:t>
      </w:r>
      <w:r>
        <w:t>new- school process for LTT</w:t>
      </w:r>
      <w:r>
        <w:rPr>
          <w:spacing w:val="-1"/>
        </w:rPr>
        <w:t xml:space="preserve"> </w:t>
      </w:r>
      <w:r>
        <w:t>ages 9 and 13 piggybacked on the process for the grade-based samples as follows:</w:t>
      </w:r>
    </w:p>
    <w:p w:rsidR="003F5784" w14:paraId="70ADCE24" w14:textId="77777777">
      <w:pPr>
        <w:pStyle w:val="BodyText"/>
        <w:spacing w:before="204" w:line="439" w:lineRule="auto"/>
        <w:ind w:left="422" w:right="6517" w:hanging="313"/>
      </w:pPr>
      <w:r>
        <w:t>Specific</w:t>
      </w:r>
      <w:r>
        <w:rPr>
          <w:spacing w:val="-9"/>
        </w:rPr>
        <w:t xml:space="preserve"> </w:t>
      </w:r>
      <w:r>
        <w:t>districts</w:t>
      </w:r>
      <w:r>
        <w:rPr>
          <w:spacing w:val="-9"/>
        </w:rPr>
        <w:t xml:space="preserve"> </w:t>
      </w:r>
      <w:r>
        <w:t>were</w:t>
      </w:r>
      <w:r>
        <w:rPr>
          <w:spacing w:val="-9"/>
        </w:rPr>
        <w:t xml:space="preserve"> </w:t>
      </w:r>
      <w:r>
        <w:t>designated</w:t>
      </w:r>
      <w:r>
        <w:rPr>
          <w:spacing w:val="-9"/>
        </w:rPr>
        <w:t xml:space="preserve"> </w:t>
      </w:r>
      <w:r>
        <w:t>as</w:t>
      </w:r>
      <w:r>
        <w:rPr>
          <w:spacing w:val="-9"/>
        </w:rPr>
        <w:t xml:space="preserve"> </w:t>
      </w:r>
      <w:r>
        <w:t>in</w:t>
      </w:r>
      <w:r>
        <w:rPr>
          <w:spacing w:val="-9"/>
        </w:rPr>
        <w:t xml:space="preserve"> </w:t>
      </w:r>
      <w:r>
        <w:t>sample</w:t>
      </w:r>
      <w:r>
        <w:rPr>
          <w:spacing w:val="-9"/>
        </w:rPr>
        <w:t xml:space="preserve"> </w:t>
      </w:r>
      <w:r>
        <w:t>with</w:t>
      </w:r>
      <w:r>
        <w:rPr>
          <w:spacing w:val="-9"/>
        </w:rPr>
        <w:t xml:space="preserve"> </w:t>
      </w:r>
      <w:r>
        <w:rPr>
          <w:color w:val="0066CC"/>
        </w:rPr>
        <w:t>certainty</w:t>
      </w:r>
      <w:r>
        <w:t>.</w:t>
      </w:r>
      <w:r>
        <w:rPr>
          <w:spacing w:val="-12"/>
        </w:rPr>
        <w:t xml:space="preserve"> </w:t>
      </w:r>
      <w:r>
        <w:t>They</w:t>
      </w:r>
      <w:r>
        <w:rPr>
          <w:spacing w:val="-9"/>
        </w:rPr>
        <w:t xml:space="preserve"> </w:t>
      </w:r>
      <w:r>
        <w:t>included</w:t>
      </w:r>
      <w:r>
        <w:rPr>
          <w:spacing w:val="-9"/>
        </w:rPr>
        <w:t xml:space="preserve"> </w:t>
      </w:r>
      <w:r>
        <w:t>the</w:t>
      </w:r>
      <w:r>
        <w:rPr>
          <w:spacing w:val="-9"/>
        </w:rPr>
        <w:t xml:space="preserve"> </w:t>
      </w:r>
      <w:r>
        <w:t>following</w:t>
      </w:r>
      <w:r>
        <w:rPr>
          <w:spacing w:val="-9"/>
        </w:rPr>
        <w:t xml:space="preserve"> </w:t>
      </w:r>
      <w:r>
        <w:t xml:space="preserve">districts: </w:t>
      </w:r>
      <w:r>
        <w:rPr>
          <w:noProof/>
          <w:position w:val="3"/>
        </w:rPr>
        <w:drawing>
          <wp:inline distT="0" distB="0" distL="0" distR="0">
            <wp:extent cx="41379" cy="41345"/>
            <wp:effectExtent l="0" t="0" r="0" b="0"/>
            <wp:docPr id="183" name="Image 183"/>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xmlns:r="http://schemas.openxmlformats.org/officeDocument/2006/relationships" r:embed="rId157" cstate="print"/>
                    <a:stretch>
                      <a:fillRect/>
                    </a:stretch>
                  </pic:blipFill>
                  <pic:spPr>
                    <a:xfrm>
                      <a:off x="0" y="0"/>
                      <a:ext cx="41379" cy="41345"/>
                    </a:xfrm>
                    <a:prstGeom prst="rect">
                      <a:avLst/>
                    </a:prstGeom>
                  </pic:spPr>
                </pic:pic>
              </a:graphicData>
            </a:graphic>
          </wp:inline>
        </w:drawing>
      </w:r>
      <w:r>
        <w:rPr>
          <w:spacing w:val="80"/>
        </w:rPr>
        <w:t xml:space="preserve"> </w:t>
      </w:r>
      <w:r>
        <w:t>districts in jurisdictions where all schools were selected for sample;</w:t>
      </w:r>
    </w:p>
    <w:p w:rsidR="003F5784" w14:paraId="56CA386F" w14:textId="77777777">
      <w:pPr>
        <w:pStyle w:val="BodyText"/>
        <w:spacing w:before="2"/>
        <w:ind w:left="422"/>
      </w:pPr>
      <w:r>
        <w:rPr>
          <w:noProof/>
          <w:position w:val="3"/>
        </w:rPr>
        <w:drawing>
          <wp:inline distT="0" distB="0" distL="0" distR="0">
            <wp:extent cx="41379" cy="41345"/>
            <wp:effectExtent l="0" t="0" r="0" b="0"/>
            <wp:docPr id="184" name="Image 184"/>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xmlns:r="http://schemas.openxmlformats.org/officeDocument/2006/relationships" r:embed="rId158" cstate="print"/>
                    <a:stretch>
                      <a:fillRect/>
                    </a:stretch>
                  </pic:blipFill>
                  <pic:spPr>
                    <a:xfrm>
                      <a:off x="0" y="0"/>
                      <a:ext cx="41379" cy="41345"/>
                    </a:xfrm>
                    <a:prstGeom prst="rect">
                      <a:avLst/>
                    </a:prstGeom>
                  </pic:spPr>
                </pic:pic>
              </a:graphicData>
            </a:graphic>
          </wp:inline>
        </w:drawing>
      </w:r>
      <w:r>
        <w:rPr>
          <w:spacing w:val="80"/>
          <w:sz w:val="20"/>
        </w:rPr>
        <w:t xml:space="preserve"> </w:t>
      </w:r>
      <w:r>
        <w:t>state-operated districts;</w:t>
      </w:r>
    </w:p>
    <w:p w:rsidR="003F5784" w14:paraId="26E3CFD2" w14:textId="77777777">
      <w:pPr>
        <w:pStyle w:val="BodyText"/>
        <w:spacing w:before="202"/>
        <w:ind w:left="422"/>
      </w:pPr>
      <w:r>
        <w:rPr>
          <w:noProof/>
          <w:position w:val="3"/>
        </w:rPr>
        <w:drawing>
          <wp:inline distT="0" distB="0" distL="0" distR="0">
            <wp:extent cx="41379" cy="41345"/>
            <wp:effectExtent l="0" t="0" r="0" b="0"/>
            <wp:docPr id="185" name="Image 185"/>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xmlns:r="http://schemas.openxmlformats.org/officeDocument/2006/relationships" r:embed="rId159" cstate="print"/>
                    <a:stretch>
                      <a:fillRect/>
                    </a:stretch>
                  </pic:blipFill>
                  <pic:spPr>
                    <a:xfrm>
                      <a:off x="0" y="0"/>
                      <a:ext cx="41379" cy="41345"/>
                    </a:xfrm>
                    <a:prstGeom prst="rect">
                      <a:avLst/>
                    </a:prstGeom>
                  </pic:spPr>
                </pic:pic>
              </a:graphicData>
            </a:graphic>
          </wp:inline>
        </w:drawing>
      </w:r>
      <w:r>
        <w:rPr>
          <w:spacing w:val="80"/>
          <w:sz w:val="20"/>
        </w:rPr>
        <w:t xml:space="preserve"> </w:t>
      </w:r>
      <w:r>
        <w:t>districts in states with fewer than 10 districts;</w:t>
      </w:r>
    </w:p>
    <w:p w:rsidR="003F5784" w14:paraId="0CA8686F" w14:textId="77777777">
      <w:pPr>
        <w:pStyle w:val="BodyText"/>
        <w:spacing w:before="201" w:line="439" w:lineRule="auto"/>
        <w:ind w:left="422" w:right="6637"/>
      </w:pPr>
      <w:r>
        <w:rPr>
          <w:noProof/>
          <w:position w:val="3"/>
        </w:rPr>
        <w:drawing>
          <wp:inline distT="0" distB="0" distL="0" distR="0">
            <wp:extent cx="41379" cy="41345"/>
            <wp:effectExtent l="0" t="0" r="0" b="0"/>
            <wp:docPr id="186" name="Image 186"/>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xmlns:r="http://schemas.openxmlformats.org/officeDocument/2006/relationships" r:embed="rId160" cstate="print"/>
                    <a:stretch>
                      <a:fillRect/>
                    </a:stretch>
                  </pic:blipFill>
                  <pic:spPr>
                    <a:xfrm>
                      <a:off x="0" y="0"/>
                      <a:ext cx="41379" cy="41345"/>
                    </a:xfrm>
                    <a:prstGeom prst="rect">
                      <a:avLst/>
                    </a:prstGeom>
                  </pic:spPr>
                </pic:pic>
              </a:graphicData>
            </a:graphic>
          </wp:inline>
        </w:drawing>
      </w:r>
      <w:r>
        <w:rPr>
          <w:spacing w:val="77"/>
          <w:sz w:val="20"/>
        </w:rPr>
        <w:t xml:space="preserve"> </w:t>
      </w:r>
      <w:r>
        <w:t>charter-only</w:t>
      </w:r>
      <w:r>
        <w:rPr>
          <w:spacing w:val="-7"/>
        </w:rPr>
        <w:t xml:space="preserve"> </w:t>
      </w:r>
      <w:r>
        <w:t>districts</w:t>
      </w:r>
      <w:r>
        <w:rPr>
          <w:spacing w:val="-7"/>
        </w:rPr>
        <w:t xml:space="preserve"> </w:t>
      </w:r>
      <w:r>
        <w:t>(that</w:t>
      </w:r>
      <w:r>
        <w:rPr>
          <w:spacing w:val="-7"/>
        </w:rPr>
        <w:t xml:space="preserve"> </w:t>
      </w:r>
      <w:r>
        <w:t>is,</w:t>
      </w:r>
      <w:r>
        <w:rPr>
          <w:spacing w:val="-7"/>
        </w:rPr>
        <w:t xml:space="preserve"> </w:t>
      </w:r>
      <w:r>
        <w:t>districts</w:t>
      </w:r>
      <w:r>
        <w:rPr>
          <w:spacing w:val="-7"/>
        </w:rPr>
        <w:t xml:space="preserve"> </w:t>
      </w:r>
      <w:r>
        <w:t>containing</w:t>
      </w:r>
      <w:r>
        <w:rPr>
          <w:spacing w:val="-7"/>
        </w:rPr>
        <w:t xml:space="preserve"> </w:t>
      </w:r>
      <w:r>
        <w:t>no</w:t>
      </w:r>
      <w:r>
        <w:rPr>
          <w:spacing w:val="-7"/>
        </w:rPr>
        <w:t xml:space="preserve"> </w:t>
      </w:r>
      <w:r>
        <w:t>schools</w:t>
      </w:r>
      <w:r>
        <w:rPr>
          <w:spacing w:val="-7"/>
        </w:rPr>
        <w:t xml:space="preserve"> </w:t>
      </w:r>
      <w:r>
        <w:t>other</w:t>
      </w:r>
      <w:r>
        <w:rPr>
          <w:spacing w:val="-7"/>
        </w:rPr>
        <w:t xml:space="preserve"> </w:t>
      </w:r>
      <w:r>
        <w:t>than</w:t>
      </w:r>
      <w:r>
        <w:rPr>
          <w:spacing w:val="-7"/>
        </w:rPr>
        <w:t xml:space="preserve"> </w:t>
      </w:r>
      <w:r>
        <w:t>charter</w:t>
      </w:r>
      <w:r>
        <w:rPr>
          <w:spacing w:val="-7"/>
        </w:rPr>
        <w:t xml:space="preserve"> </w:t>
      </w:r>
      <w:r>
        <w:t>schools);</w:t>
      </w:r>
      <w:r>
        <w:rPr>
          <w:spacing w:val="-7"/>
        </w:rPr>
        <w:t xml:space="preserve"> </w:t>
      </w:r>
      <w:r>
        <w:t xml:space="preserve">and </w:t>
      </w:r>
      <w:r>
        <w:rPr>
          <w:noProof/>
          <w:position w:val="3"/>
        </w:rPr>
        <w:drawing>
          <wp:inline distT="0" distB="0" distL="0" distR="0">
            <wp:extent cx="41379" cy="41345"/>
            <wp:effectExtent l="0" t="0" r="0" b="0"/>
            <wp:docPr id="187" name="Image 187"/>
            <wp:cNvGraphicFramePr/>
            <a:graphic xmlns:a="http://schemas.openxmlformats.org/drawingml/2006/main">
              <a:graphicData uri="http://schemas.openxmlformats.org/drawingml/2006/picture">
                <pic:pic xmlns:pic="http://schemas.openxmlformats.org/drawingml/2006/picture">
                  <pic:nvPicPr>
                    <pic:cNvPr id="187" name="Image 187"/>
                    <pic:cNvPicPr/>
                  </pic:nvPicPr>
                  <pic:blipFill>
                    <a:blip xmlns:r="http://schemas.openxmlformats.org/officeDocument/2006/relationships" r:embed="rId161" cstate="print"/>
                    <a:stretch>
                      <a:fillRect/>
                    </a:stretch>
                  </pic:blipFill>
                  <pic:spPr>
                    <a:xfrm>
                      <a:off x="0" y="0"/>
                      <a:ext cx="41379" cy="41345"/>
                    </a:xfrm>
                    <a:prstGeom prst="rect">
                      <a:avLst/>
                    </a:prstGeom>
                  </pic:spPr>
                </pic:pic>
              </a:graphicData>
            </a:graphic>
          </wp:inline>
        </w:drawing>
      </w:r>
      <w:r>
        <w:rPr>
          <w:spacing w:val="80"/>
        </w:rPr>
        <w:t xml:space="preserve"> </w:t>
      </w:r>
      <w:r>
        <w:t>TUDA districts.</w:t>
      </w:r>
    </w:p>
    <w:p w:rsidR="003F5784" w14:paraId="33BB2631" w14:textId="77777777">
      <w:pPr>
        <w:pStyle w:val="BodyText"/>
        <w:spacing w:before="9" w:line="232" w:lineRule="auto"/>
        <w:ind w:left="109" w:right="179"/>
      </w:pPr>
      <w:r>
        <w:t>Then</w:t>
      </w:r>
      <w:r>
        <w:rPr>
          <w:spacing w:val="-6"/>
        </w:rPr>
        <w:t xml:space="preserve"> </w:t>
      </w:r>
      <w:r>
        <w:t>noncertainty</w:t>
      </w:r>
      <w:r>
        <w:rPr>
          <w:spacing w:val="-6"/>
        </w:rPr>
        <w:t xml:space="preserve"> </w:t>
      </w:r>
      <w:r>
        <w:t>districts</w:t>
      </w:r>
      <w:r>
        <w:rPr>
          <w:spacing w:val="-6"/>
        </w:rPr>
        <w:t xml:space="preserve"> </w:t>
      </w:r>
      <w:r>
        <w:t>were</w:t>
      </w:r>
      <w:r>
        <w:rPr>
          <w:spacing w:val="-6"/>
        </w:rPr>
        <w:t xml:space="preserve"> </w:t>
      </w:r>
      <w:r>
        <w:t>classified</w:t>
      </w:r>
      <w:r>
        <w:rPr>
          <w:spacing w:val="-6"/>
        </w:rPr>
        <w:t xml:space="preserve"> </w:t>
      </w:r>
      <w:r>
        <w:t>as</w:t>
      </w:r>
      <w:r>
        <w:rPr>
          <w:spacing w:val="-6"/>
        </w:rPr>
        <w:t xml:space="preserve"> </w:t>
      </w:r>
      <w:r>
        <w:t>small,</w:t>
      </w:r>
      <w:r>
        <w:rPr>
          <w:spacing w:val="-6"/>
        </w:rPr>
        <w:t xml:space="preserve"> </w:t>
      </w:r>
      <w:r>
        <w:t>medium,</w:t>
      </w:r>
      <w:r>
        <w:rPr>
          <w:spacing w:val="-6"/>
        </w:rPr>
        <w:t xml:space="preserve"> </w:t>
      </w:r>
      <w:r>
        <w:t>or</w:t>
      </w:r>
      <w:r>
        <w:rPr>
          <w:spacing w:val="-6"/>
        </w:rPr>
        <w:t xml:space="preserve"> </w:t>
      </w:r>
      <w:r>
        <w:t>large</w:t>
      </w:r>
      <w:r>
        <w:rPr>
          <w:spacing w:val="-6"/>
        </w:rPr>
        <w:t xml:space="preserve"> </w:t>
      </w:r>
      <w:r>
        <w:t>based</w:t>
      </w:r>
      <w:r>
        <w:rPr>
          <w:spacing w:val="-6"/>
        </w:rPr>
        <w:t xml:space="preserve"> </w:t>
      </w:r>
      <w:r>
        <w:t>on</w:t>
      </w:r>
      <w:r>
        <w:rPr>
          <w:spacing w:val="-6"/>
        </w:rPr>
        <w:t xml:space="preserve"> </w:t>
      </w:r>
      <w:r>
        <w:t>the</w:t>
      </w:r>
      <w:r>
        <w:rPr>
          <w:spacing w:val="-6"/>
        </w:rPr>
        <w:t xml:space="preserve"> </w:t>
      </w:r>
      <w:r>
        <w:t>number</w:t>
      </w:r>
      <w:r>
        <w:rPr>
          <w:spacing w:val="-6"/>
        </w:rPr>
        <w:t xml:space="preserve"> </w:t>
      </w:r>
      <w:r>
        <w:t>of</w:t>
      </w:r>
      <w:r>
        <w:rPr>
          <w:spacing w:val="-6"/>
        </w:rPr>
        <w:t xml:space="preserve"> </w:t>
      </w:r>
      <w:r>
        <w:t>schools</w:t>
      </w:r>
      <w:r>
        <w:rPr>
          <w:spacing w:val="-6"/>
        </w:rPr>
        <w:t xml:space="preserve"> </w:t>
      </w:r>
      <w:r>
        <w:t>and</w:t>
      </w:r>
      <w:r>
        <w:rPr>
          <w:spacing w:val="-6"/>
        </w:rPr>
        <w:t xml:space="preserve"> </w:t>
      </w:r>
      <w:r>
        <w:t>student</w:t>
      </w:r>
      <w:r>
        <w:rPr>
          <w:spacing w:val="-6"/>
        </w:rPr>
        <w:t xml:space="preserve"> </w:t>
      </w:r>
      <w:r>
        <w:t>enrollment</w:t>
      </w:r>
      <w:r>
        <w:rPr>
          <w:spacing w:val="-6"/>
        </w:rPr>
        <w:t xml:space="preserve"> </w:t>
      </w:r>
      <w:r>
        <w:t>of</w:t>
      </w:r>
      <w:r>
        <w:rPr>
          <w:spacing w:val="-6"/>
        </w:rPr>
        <w:t xml:space="preserve"> </w:t>
      </w:r>
      <w:r>
        <w:t>schools</w:t>
      </w:r>
      <w:r>
        <w:rPr>
          <w:spacing w:val="-6"/>
        </w:rPr>
        <w:t xml:space="preserve"> </w:t>
      </w:r>
      <w:r>
        <w:t>from</w:t>
      </w:r>
      <w:r>
        <w:rPr>
          <w:spacing w:val="-6"/>
        </w:rPr>
        <w:t xml:space="preserve"> </w:t>
      </w:r>
      <w:r>
        <w:t>the</w:t>
      </w:r>
      <w:r>
        <w:rPr>
          <w:spacing w:val="-6"/>
        </w:rPr>
        <w:t xml:space="preserve"> </w:t>
      </w:r>
      <w:r>
        <w:t>CCD-based</w:t>
      </w:r>
      <w:r>
        <w:rPr>
          <w:spacing w:val="-6"/>
        </w:rPr>
        <w:t xml:space="preserve"> </w:t>
      </w:r>
      <w:r>
        <w:t>public</w:t>
      </w:r>
      <w:r>
        <w:rPr>
          <w:spacing w:val="-6"/>
        </w:rPr>
        <w:t xml:space="preserve"> </w:t>
      </w:r>
      <w:r>
        <w:t xml:space="preserve">school </w:t>
      </w:r>
      <w:r>
        <w:rPr>
          <w:spacing w:val="-2"/>
        </w:rPr>
        <w:t>frame.</w:t>
      </w:r>
    </w:p>
    <w:p w:rsidR="003F5784" w14:paraId="2DB504A9" w14:textId="77777777">
      <w:pPr>
        <w:pStyle w:val="BodyText"/>
        <w:spacing w:before="209" w:line="232" w:lineRule="auto"/>
        <w:ind w:left="109" w:right="179"/>
      </w:pPr>
      <w:r>
        <w:t>A</w:t>
      </w:r>
      <w:r>
        <w:rPr>
          <w:spacing w:val="-11"/>
        </w:rPr>
        <w:t xml:space="preserve"> </w:t>
      </w:r>
      <w:r>
        <w:t>district was considered to be small if it contained no more than one school at each of grades 4 and 8. During school recruitment, the Coordinators were asked to identify schools</w:t>
      </w:r>
      <w:r>
        <w:rPr>
          <w:spacing w:val="-6"/>
        </w:rPr>
        <w:t xml:space="preserve"> </w:t>
      </w:r>
      <w:r>
        <w:t>within</w:t>
      </w:r>
      <w:r>
        <w:rPr>
          <w:spacing w:val="-6"/>
        </w:rPr>
        <w:t xml:space="preserve"> </w:t>
      </w:r>
      <w:r>
        <w:t>their</w:t>
      </w:r>
      <w:r>
        <w:rPr>
          <w:spacing w:val="-6"/>
        </w:rPr>
        <w:t xml:space="preserve"> </w:t>
      </w:r>
      <w:r>
        <w:t>small</w:t>
      </w:r>
      <w:r>
        <w:rPr>
          <w:spacing w:val="-6"/>
        </w:rPr>
        <w:t xml:space="preserve"> </w:t>
      </w:r>
      <w:r>
        <w:t>districts</w:t>
      </w:r>
      <w:r>
        <w:rPr>
          <w:spacing w:val="-6"/>
        </w:rPr>
        <w:t xml:space="preserve"> </w:t>
      </w:r>
      <w:r>
        <w:t>that</w:t>
      </w:r>
      <w:r>
        <w:rPr>
          <w:spacing w:val="-6"/>
        </w:rPr>
        <w:t xml:space="preserve"> </w:t>
      </w:r>
      <w:r>
        <w:t>newly</w:t>
      </w:r>
      <w:r>
        <w:rPr>
          <w:spacing w:val="-6"/>
        </w:rPr>
        <w:t xml:space="preserve"> </w:t>
      </w:r>
      <w:r>
        <w:t>offered</w:t>
      </w:r>
      <w:r>
        <w:rPr>
          <w:spacing w:val="-6"/>
        </w:rPr>
        <w:t xml:space="preserve"> </w:t>
      </w:r>
      <w:r>
        <w:t>the</w:t>
      </w:r>
      <w:r>
        <w:rPr>
          <w:spacing w:val="-6"/>
        </w:rPr>
        <w:t xml:space="preserve"> </w:t>
      </w:r>
      <w:r>
        <w:t>targeted</w:t>
      </w:r>
      <w:r>
        <w:rPr>
          <w:spacing w:val="-6"/>
        </w:rPr>
        <w:t xml:space="preserve"> </w:t>
      </w:r>
      <w:r>
        <w:t>grades</w:t>
      </w:r>
      <w:r>
        <w:rPr>
          <w:spacing w:val="-6"/>
        </w:rPr>
        <w:t xml:space="preserve"> </w:t>
      </w:r>
      <w:r>
        <w:t>(grades</w:t>
      </w:r>
      <w:r>
        <w:rPr>
          <w:spacing w:val="-6"/>
        </w:rPr>
        <w:t xml:space="preserve"> </w:t>
      </w:r>
      <w:r>
        <w:t>2-5</w:t>
      </w:r>
      <w:r>
        <w:rPr>
          <w:spacing w:val="-6"/>
        </w:rPr>
        <w:t xml:space="preserve"> </w:t>
      </w:r>
      <w:r>
        <w:t>for</w:t>
      </w:r>
      <w:r>
        <w:rPr>
          <w:spacing w:val="-6"/>
        </w:rPr>
        <w:t xml:space="preserve"> </w:t>
      </w:r>
      <w:r>
        <w:t>age</w:t>
      </w:r>
      <w:r>
        <w:rPr>
          <w:spacing w:val="-6"/>
        </w:rPr>
        <w:t xml:space="preserve"> </w:t>
      </w:r>
      <w:r>
        <w:t>9,</w:t>
      </w:r>
      <w:r>
        <w:rPr>
          <w:spacing w:val="-6"/>
        </w:rPr>
        <w:t xml:space="preserve"> </w:t>
      </w:r>
      <w:r>
        <w:t>and</w:t>
      </w:r>
      <w:r>
        <w:rPr>
          <w:spacing w:val="-6"/>
        </w:rPr>
        <w:t xml:space="preserve"> </w:t>
      </w:r>
      <w:r>
        <w:t>grades</w:t>
      </w:r>
      <w:r>
        <w:rPr>
          <w:spacing w:val="-6"/>
        </w:rPr>
        <w:t xml:space="preserve"> </w:t>
      </w:r>
      <w:r>
        <w:t>6-9</w:t>
      </w:r>
      <w:r>
        <w:rPr>
          <w:spacing w:val="-6"/>
        </w:rPr>
        <w:t xml:space="preserve"> </w:t>
      </w:r>
      <w:r>
        <w:t>for</w:t>
      </w:r>
      <w:r>
        <w:rPr>
          <w:spacing w:val="-6"/>
        </w:rPr>
        <w:t xml:space="preserve"> </w:t>
      </w:r>
      <w:r>
        <w:t>age</w:t>
      </w:r>
      <w:r>
        <w:rPr>
          <w:spacing w:val="-6"/>
        </w:rPr>
        <w:t xml:space="preserve"> </w:t>
      </w:r>
      <w:r>
        <w:t>13).</w:t>
      </w:r>
      <w:r>
        <w:rPr>
          <w:spacing w:val="-6"/>
        </w:rPr>
        <w:t xml:space="preserve"> </w:t>
      </w:r>
      <w:r>
        <w:t>From</w:t>
      </w:r>
      <w:r>
        <w:rPr>
          <w:spacing w:val="-6"/>
        </w:rPr>
        <w:t xml:space="preserve"> </w:t>
      </w:r>
      <w:r>
        <w:t>a</w:t>
      </w:r>
      <w:r>
        <w:rPr>
          <w:spacing w:val="-6"/>
        </w:rPr>
        <w:t xml:space="preserve"> </w:t>
      </w:r>
      <w:r>
        <w:t>sampling</w:t>
      </w:r>
      <w:r>
        <w:rPr>
          <w:spacing w:val="-6"/>
        </w:rPr>
        <w:t xml:space="preserve"> </w:t>
      </w:r>
      <w:r>
        <w:t>perspective,</w:t>
      </w:r>
      <w:r>
        <w:rPr>
          <w:spacing w:val="-6"/>
        </w:rPr>
        <w:t xml:space="preserve"> </w:t>
      </w:r>
      <w:r>
        <w:t>each</w:t>
      </w:r>
      <w:r>
        <w:rPr>
          <w:spacing w:val="-6"/>
        </w:rPr>
        <w:t xml:space="preserve"> </w:t>
      </w:r>
      <w:r>
        <w:t>new</w:t>
      </w:r>
      <w:r>
        <w:rPr>
          <w:spacing w:val="-6"/>
        </w:rPr>
        <w:t xml:space="preserve"> </w:t>
      </w:r>
      <w:r>
        <w:t>school</w:t>
      </w:r>
      <w:r>
        <w:rPr>
          <w:spacing w:val="-6"/>
        </w:rPr>
        <w:t xml:space="preserve"> </w:t>
      </w:r>
      <w:r>
        <w:t>was viewed as an “annex” to the sampled school, which meant that it had a well-defined probability of selection equal to that of the sampled school.</w:t>
      </w:r>
      <w:r>
        <w:rPr>
          <w:spacing w:val="-3"/>
        </w:rPr>
        <w:t xml:space="preserve"> </w:t>
      </w:r>
      <w:r>
        <w:t>When a school in a small district was sampled from the CCD-based frame, its associated new school was automatically sampled as well.</w:t>
      </w:r>
    </w:p>
    <w:p w:rsidR="003F5784" w14:paraId="14809F97" w14:textId="77777777">
      <w:pPr>
        <w:pStyle w:val="BodyText"/>
        <w:spacing w:before="210" w:line="232" w:lineRule="auto"/>
        <w:ind w:left="109" w:right="266"/>
      </w:pPr>
      <w:r>
        <w:t xml:space="preserve">Within each jurisdiction, districts that were neither certainty selections nor small were divided into two </w:t>
      </w:r>
      <w:r>
        <w:rPr>
          <w:color w:val="0066CC"/>
        </w:rPr>
        <w:t>strata</w:t>
      </w:r>
      <w:r>
        <w:t>, one containing large-size districts and a second containing medium-size districts.</w:t>
      </w:r>
      <w:r>
        <w:rPr>
          <w:spacing w:val="-3"/>
        </w:rPr>
        <w:t xml:space="preserve"> </w:t>
      </w:r>
      <w:r>
        <w:t>These strata were defined by computing the percentage of jurisdiction enrollment represented by each district, sorting in descending order, and cumulating</w:t>
      </w:r>
      <w:r>
        <w:rPr>
          <w:spacing w:val="-9"/>
        </w:rPr>
        <w:t xml:space="preserve"> </w:t>
      </w:r>
      <w:r>
        <w:t>the</w:t>
      </w:r>
      <w:r>
        <w:rPr>
          <w:spacing w:val="-6"/>
        </w:rPr>
        <w:t xml:space="preserve"> </w:t>
      </w:r>
      <w:r>
        <w:t>percentages.</w:t>
      </w:r>
      <w:r>
        <w:rPr>
          <w:spacing w:val="-14"/>
        </w:rPr>
        <w:t xml:space="preserve"> </w:t>
      </w:r>
      <w:r>
        <w:t>All</w:t>
      </w:r>
      <w:r>
        <w:rPr>
          <w:spacing w:val="-5"/>
        </w:rPr>
        <w:t xml:space="preserve"> </w:t>
      </w:r>
      <w:r>
        <w:t>districts</w:t>
      </w:r>
      <w:r>
        <w:rPr>
          <w:spacing w:val="-6"/>
        </w:rPr>
        <w:t xml:space="preserve"> </w:t>
      </w:r>
      <w:r>
        <w:t>up</w:t>
      </w:r>
      <w:r>
        <w:rPr>
          <w:spacing w:val="-6"/>
        </w:rPr>
        <w:t xml:space="preserve"> </w:t>
      </w:r>
      <w:r>
        <w:t>to</w:t>
      </w:r>
      <w:r>
        <w:rPr>
          <w:spacing w:val="-6"/>
        </w:rPr>
        <w:t xml:space="preserve"> </w:t>
      </w:r>
      <w:r>
        <w:t>and</w:t>
      </w:r>
      <w:r>
        <w:rPr>
          <w:spacing w:val="-6"/>
        </w:rPr>
        <w:t xml:space="preserve"> </w:t>
      </w:r>
      <w:r>
        <w:t>including</w:t>
      </w:r>
      <w:r>
        <w:rPr>
          <w:spacing w:val="-6"/>
        </w:rPr>
        <w:t xml:space="preserve"> </w:t>
      </w:r>
      <w:r>
        <w:t>the</w:t>
      </w:r>
      <w:r>
        <w:rPr>
          <w:spacing w:val="-6"/>
        </w:rPr>
        <w:t xml:space="preserve"> </w:t>
      </w:r>
      <w:r>
        <w:t>first</w:t>
      </w:r>
      <w:r>
        <w:rPr>
          <w:spacing w:val="-6"/>
        </w:rPr>
        <w:t xml:space="preserve"> </w:t>
      </w:r>
      <w:r>
        <w:t>district</w:t>
      </w:r>
      <w:r>
        <w:rPr>
          <w:spacing w:val="-6"/>
        </w:rPr>
        <w:t xml:space="preserve"> </w:t>
      </w:r>
      <w:r>
        <w:t>at</w:t>
      </w:r>
      <w:r>
        <w:rPr>
          <w:spacing w:val="-6"/>
        </w:rPr>
        <w:t xml:space="preserve"> </w:t>
      </w:r>
      <w:r>
        <w:t>or</w:t>
      </w:r>
      <w:r>
        <w:rPr>
          <w:spacing w:val="-6"/>
        </w:rPr>
        <w:t xml:space="preserve"> </w:t>
      </w:r>
      <w:r>
        <w:t>above</w:t>
      </w:r>
      <w:r>
        <w:rPr>
          <w:spacing w:val="-6"/>
        </w:rPr>
        <w:t xml:space="preserve"> </w:t>
      </w:r>
      <w:r>
        <w:t>the</w:t>
      </w:r>
      <w:r>
        <w:rPr>
          <w:spacing w:val="-6"/>
        </w:rPr>
        <w:t xml:space="preserve"> </w:t>
      </w:r>
      <w:r>
        <w:t>80th</w:t>
      </w:r>
      <w:r>
        <w:rPr>
          <w:spacing w:val="-6"/>
        </w:rPr>
        <w:t xml:space="preserve"> </w:t>
      </w:r>
      <w:r>
        <w:t>cumulative</w:t>
      </w:r>
      <w:r>
        <w:rPr>
          <w:spacing w:val="-6"/>
        </w:rPr>
        <w:t xml:space="preserve"> </w:t>
      </w:r>
      <w:r>
        <w:t>percentage</w:t>
      </w:r>
      <w:r>
        <w:rPr>
          <w:spacing w:val="-6"/>
        </w:rPr>
        <w:t xml:space="preserve"> </w:t>
      </w:r>
      <w:r>
        <w:t>were</w:t>
      </w:r>
      <w:r>
        <w:rPr>
          <w:spacing w:val="-6"/>
        </w:rPr>
        <w:t xml:space="preserve"> </w:t>
      </w:r>
      <w:r>
        <w:t>defined</w:t>
      </w:r>
      <w:r>
        <w:rPr>
          <w:spacing w:val="-6"/>
        </w:rPr>
        <w:t xml:space="preserve"> </w:t>
      </w:r>
      <w:r>
        <w:t>as</w:t>
      </w:r>
      <w:r>
        <w:rPr>
          <w:spacing w:val="-6"/>
        </w:rPr>
        <w:t xml:space="preserve"> </w:t>
      </w:r>
      <w:r>
        <w:t>large</w:t>
      </w:r>
      <w:r>
        <w:rPr>
          <w:spacing w:val="-6"/>
        </w:rPr>
        <w:t xml:space="preserve"> </w:t>
      </w:r>
      <w:r>
        <w:t>districts.</w:t>
      </w:r>
      <w:r>
        <w:rPr>
          <w:spacing w:val="-10"/>
        </w:rPr>
        <w:t xml:space="preserve"> </w:t>
      </w:r>
      <w:r>
        <w:t>The</w:t>
      </w:r>
      <w:r>
        <w:rPr>
          <w:spacing w:val="-6"/>
        </w:rPr>
        <w:t xml:space="preserve"> </w:t>
      </w:r>
      <w:r>
        <w:t>remaining</w:t>
      </w:r>
      <w:r>
        <w:rPr>
          <w:spacing w:val="-6"/>
        </w:rPr>
        <w:t xml:space="preserve"> </w:t>
      </w:r>
      <w:r>
        <w:t>districts were defined as medium districts.</w:t>
      </w:r>
    </w:p>
    <w:p w:rsidR="003F5784" w14:paraId="25770F51" w14:textId="77777777">
      <w:pPr>
        <w:pStyle w:val="BodyText"/>
        <w:spacing w:before="210" w:line="232" w:lineRule="auto"/>
        <w:ind w:left="109"/>
      </w:pPr>
      <w:r>
        <w:t>A</w:t>
      </w:r>
      <w:r>
        <w:rPr>
          <w:spacing w:val="-14"/>
        </w:rPr>
        <w:t xml:space="preserve"> </w:t>
      </w:r>
      <w:r>
        <w:t>simplified</w:t>
      </w:r>
      <w:r>
        <w:rPr>
          <w:spacing w:val="-9"/>
        </w:rPr>
        <w:t xml:space="preserve"> </w:t>
      </w:r>
      <w:r>
        <w:t>example</w:t>
      </w:r>
      <w:r>
        <w:rPr>
          <w:spacing w:val="-7"/>
        </w:rPr>
        <w:t xml:space="preserve"> </w:t>
      </w:r>
      <w:r>
        <w:t>is</w:t>
      </w:r>
      <w:r>
        <w:rPr>
          <w:spacing w:val="-7"/>
        </w:rPr>
        <w:t xml:space="preserve"> </w:t>
      </w:r>
      <w:r>
        <w:t>given</w:t>
      </w:r>
      <w:r>
        <w:rPr>
          <w:spacing w:val="-7"/>
        </w:rPr>
        <w:t xml:space="preserve"> </w:t>
      </w:r>
      <w:r>
        <w:t>below.</w:t>
      </w:r>
      <w:r>
        <w:rPr>
          <w:spacing w:val="-10"/>
        </w:rPr>
        <w:t xml:space="preserve"> </w:t>
      </w:r>
      <w:r>
        <w:t>The</w:t>
      </w:r>
      <w:r>
        <w:rPr>
          <w:spacing w:val="-7"/>
        </w:rPr>
        <w:t xml:space="preserve"> </w:t>
      </w:r>
      <w:r>
        <w:t>state's</w:t>
      </w:r>
      <w:r>
        <w:rPr>
          <w:spacing w:val="-7"/>
        </w:rPr>
        <w:t xml:space="preserve"> </w:t>
      </w:r>
      <w:r>
        <w:t>districts</w:t>
      </w:r>
      <w:r>
        <w:rPr>
          <w:spacing w:val="-7"/>
        </w:rPr>
        <w:t xml:space="preserve"> </w:t>
      </w:r>
      <w:r>
        <w:t>are</w:t>
      </w:r>
      <w:r>
        <w:rPr>
          <w:spacing w:val="-7"/>
        </w:rPr>
        <w:t xml:space="preserve"> </w:t>
      </w:r>
      <w:r>
        <w:t>ordered</w:t>
      </w:r>
      <w:r>
        <w:rPr>
          <w:spacing w:val="-7"/>
        </w:rPr>
        <w:t xml:space="preserve"> </w:t>
      </w:r>
      <w:r>
        <w:t>by</w:t>
      </w:r>
      <w:r>
        <w:rPr>
          <w:spacing w:val="-7"/>
        </w:rPr>
        <w:t xml:space="preserve"> </w:t>
      </w:r>
      <w:r>
        <w:t>descending</w:t>
      </w:r>
      <w:r>
        <w:rPr>
          <w:spacing w:val="-7"/>
        </w:rPr>
        <w:t xml:space="preserve"> </w:t>
      </w:r>
      <w:r>
        <w:t>percentage</w:t>
      </w:r>
      <w:r>
        <w:rPr>
          <w:spacing w:val="-7"/>
        </w:rPr>
        <w:t xml:space="preserve"> </w:t>
      </w:r>
      <w:r>
        <w:t>enrollment.</w:t>
      </w:r>
      <w:r>
        <w:rPr>
          <w:spacing w:val="-10"/>
        </w:rPr>
        <w:t xml:space="preserve"> </w:t>
      </w:r>
      <w:r>
        <w:t>The</w:t>
      </w:r>
      <w:r>
        <w:rPr>
          <w:spacing w:val="-7"/>
        </w:rPr>
        <w:t xml:space="preserve"> </w:t>
      </w:r>
      <w:r>
        <w:t>first</w:t>
      </w:r>
      <w:r>
        <w:rPr>
          <w:spacing w:val="-7"/>
        </w:rPr>
        <w:t xml:space="preserve"> </w:t>
      </w:r>
      <w:r>
        <w:t>six</w:t>
      </w:r>
      <w:r>
        <w:rPr>
          <w:spacing w:val="-7"/>
        </w:rPr>
        <w:t xml:space="preserve"> </w:t>
      </w:r>
      <w:r>
        <w:t>become</w:t>
      </w:r>
      <w:r>
        <w:rPr>
          <w:spacing w:val="-7"/>
        </w:rPr>
        <w:t xml:space="preserve"> </w:t>
      </w:r>
      <w:r>
        <w:t>large</w:t>
      </w:r>
      <w:r>
        <w:rPr>
          <w:spacing w:val="-7"/>
        </w:rPr>
        <w:t xml:space="preserve"> </w:t>
      </w:r>
      <w:r>
        <w:t>districts</w:t>
      </w:r>
      <w:r>
        <w:rPr>
          <w:spacing w:val="-7"/>
        </w:rPr>
        <w:t xml:space="preserve"> </w:t>
      </w:r>
      <w:r>
        <w:t>and</w:t>
      </w:r>
      <w:r>
        <w:rPr>
          <w:spacing w:val="-7"/>
        </w:rPr>
        <w:t xml:space="preserve"> </w:t>
      </w:r>
      <w:r>
        <w:t>the</w:t>
      </w:r>
      <w:r>
        <w:rPr>
          <w:spacing w:val="-7"/>
        </w:rPr>
        <w:t xml:space="preserve"> </w:t>
      </w:r>
      <w:r>
        <w:t>last</w:t>
      </w:r>
      <w:r>
        <w:rPr>
          <w:spacing w:val="-7"/>
        </w:rPr>
        <w:t xml:space="preserve"> </w:t>
      </w:r>
      <w:r>
        <w:t>six</w:t>
      </w:r>
      <w:r>
        <w:rPr>
          <w:spacing w:val="-7"/>
        </w:rPr>
        <w:t xml:space="preserve"> </w:t>
      </w:r>
      <w:r>
        <w:t>become</w:t>
      </w:r>
      <w:r>
        <w:rPr>
          <w:spacing w:val="-7"/>
        </w:rPr>
        <w:t xml:space="preserve"> </w:t>
      </w:r>
      <w:r>
        <w:t xml:space="preserve">medium </w:t>
      </w:r>
      <w:r>
        <w:rPr>
          <w:spacing w:val="-2"/>
        </w:rPr>
        <w:t>districts.</w:t>
      </w:r>
    </w:p>
    <w:p w:rsidR="003F5784" w14:paraId="63935763" w14:textId="77777777">
      <w:pPr>
        <w:spacing w:line="232" w:lineRule="auto"/>
        <w:sectPr>
          <w:pgSz w:w="15840" w:h="12240" w:orient="landscape"/>
          <w:pgMar w:top="480" w:right="440" w:bottom="460" w:left="460" w:header="284" w:footer="275" w:gutter="0"/>
          <w:cols w:space="720"/>
        </w:sectPr>
      </w:pPr>
    </w:p>
    <w:p w:rsidR="003F5784" w14:paraId="268C5D50" w14:textId="77777777">
      <w:pPr>
        <w:spacing w:before="203"/>
        <w:ind w:left="477"/>
        <w:rPr>
          <w:b/>
          <w:sz w:val="21"/>
        </w:rPr>
      </w:pPr>
      <w:r>
        <w:rPr>
          <w:b/>
          <w:sz w:val="20"/>
        </w:rPr>
        <w:t>Large-size</w:t>
      </w:r>
      <w:r>
        <w:rPr>
          <w:b/>
          <w:spacing w:val="-1"/>
          <w:sz w:val="20"/>
        </w:rPr>
        <w:t xml:space="preserve"> </w:t>
      </w:r>
      <w:r>
        <w:rPr>
          <w:b/>
          <w:sz w:val="20"/>
        </w:rPr>
        <w:t>and medium-size</w:t>
      </w:r>
      <w:r>
        <w:rPr>
          <w:b/>
          <w:spacing w:val="-1"/>
          <w:sz w:val="20"/>
        </w:rPr>
        <w:t xml:space="preserve"> </w:t>
      </w:r>
      <w:r>
        <w:rPr>
          <w:b/>
          <w:sz w:val="20"/>
        </w:rPr>
        <w:t>district strata</w:t>
      </w:r>
      <w:r>
        <w:rPr>
          <w:b/>
          <w:spacing w:val="-1"/>
          <w:sz w:val="20"/>
        </w:rPr>
        <w:t xml:space="preserve"> </w:t>
      </w:r>
      <w:r>
        <w:rPr>
          <w:b/>
          <w:sz w:val="20"/>
        </w:rPr>
        <w:t>example, by enrollment,</w:t>
      </w:r>
      <w:r>
        <w:rPr>
          <w:b/>
          <w:spacing w:val="-1"/>
          <w:sz w:val="20"/>
        </w:rPr>
        <w:t xml:space="preserve"> </w:t>
      </w:r>
      <w:r>
        <w:rPr>
          <w:b/>
          <w:sz w:val="20"/>
        </w:rPr>
        <w:t>stratum, and</w:t>
      </w:r>
      <w:r>
        <w:rPr>
          <w:b/>
          <w:spacing w:val="-1"/>
          <w:sz w:val="20"/>
        </w:rPr>
        <w:t xml:space="preserve"> </w:t>
      </w:r>
      <w:r>
        <w:rPr>
          <w:b/>
          <w:sz w:val="20"/>
        </w:rPr>
        <w:t>district</w:t>
      </w:r>
      <w:r>
        <w:rPr>
          <w:b/>
          <w:sz w:val="21"/>
        </w:rPr>
        <w:t>,</w:t>
      </w:r>
      <w:r>
        <w:rPr>
          <w:b/>
          <w:spacing w:val="-1"/>
          <w:sz w:val="21"/>
        </w:rPr>
        <w:t xml:space="preserve"> </w:t>
      </w:r>
      <w:r>
        <w:rPr>
          <w:b/>
          <w:spacing w:val="-4"/>
          <w:sz w:val="21"/>
        </w:rPr>
        <w:t>2022</w:t>
      </w:r>
    </w:p>
    <w:p w:rsidR="003F5784" w14:paraId="71E49290"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2400"/>
        <w:gridCol w:w="5088"/>
        <w:gridCol w:w="5083"/>
        <w:gridCol w:w="1416"/>
      </w:tblGrid>
      <w:tr w14:paraId="32591C84" w14:textId="77777777">
        <w:tblPrEx>
          <w:tblW w:w="0" w:type="auto"/>
          <w:tblInd w:w="482" w:type="dxa"/>
          <w:tblLayout w:type="fixed"/>
          <w:tblCellMar>
            <w:left w:w="0" w:type="dxa"/>
            <w:right w:w="0" w:type="dxa"/>
          </w:tblCellMar>
          <w:tblLook w:val="01E0"/>
        </w:tblPrEx>
        <w:trPr>
          <w:trHeight w:val="267"/>
        </w:trPr>
        <w:tc>
          <w:tcPr>
            <w:tcW w:w="2400" w:type="dxa"/>
            <w:tcBorders>
              <w:top w:val="single" w:sz="18" w:space="0" w:color="800000"/>
              <w:bottom w:val="single" w:sz="18" w:space="0" w:color="800000"/>
            </w:tcBorders>
          </w:tcPr>
          <w:p w:rsidR="003F5784" w14:paraId="68D7899C" w14:textId="77777777">
            <w:pPr>
              <w:pStyle w:val="TableParagraph"/>
              <w:spacing w:before="9" w:line="238" w:lineRule="exact"/>
              <w:ind w:left="120"/>
              <w:jc w:val="left"/>
              <w:rPr>
                <w:sz w:val="21"/>
              </w:rPr>
            </w:pPr>
            <w:r>
              <w:rPr>
                <w:spacing w:val="-2"/>
                <w:sz w:val="21"/>
              </w:rPr>
              <w:t>District</w:t>
            </w:r>
          </w:p>
        </w:tc>
        <w:tc>
          <w:tcPr>
            <w:tcW w:w="5088" w:type="dxa"/>
            <w:tcBorders>
              <w:top w:val="single" w:sz="18" w:space="0" w:color="800000"/>
              <w:bottom w:val="single" w:sz="18" w:space="0" w:color="800000"/>
            </w:tcBorders>
          </w:tcPr>
          <w:p w:rsidR="003F5784" w14:paraId="2FC703B5" w14:textId="77777777">
            <w:pPr>
              <w:pStyle w:val="TableParagraph"/>
              <w:spacing w:before="9" w:line="238" w:lineRule="exact"/>
              <w:ind w:right="1562"/>
              <w:rPr>
                <w:sz w:val="21"/>
              </w:rPr>
            </w:pPr>
            <w:r>
              <w:rPr>
                <w:sz w:val="21"/>
              </w:rPr>
              <w:t>Percentage</w:t>
            </w:r>
            <w:r>
              <w:rPr>
                <w:spacing w:val="-11"/>
                <w:sz w:val="21"/>
              </w:rPr>
              <w:t xml:space="preserve"> </w:t>
            </w:r>
            <w:r>
              <w:rPr>
                <w:spacing w:val="-2"/>
                <w:sz w:val="21"/>
              </w:rPr>
              <w:t>enrollment</w:t>
            </w:r>
          </w:p>
        </w:tc>
        <w:tc>
          <w:tcPr>
            <w:tcW w:w="5083" w:type="dxa"/>
            <w:tcBorders>
              <w:top w:val="single" w:sz="18" w:space="0" w:color="800000"/>
              <w:bottom w:val="single" w:sz="18" w:space="0" w:color="800000"/>
            </w:tcBorders>
          </w:tcPr>
          <w:p w:rsidR="003F5784" w14:paraId="00E60F06" w14:textId="77777777">
            <w:pPr>
              <w:pStyle w:val="TableParagraph"/>
              <w:spacing w:before="9" w:line="238" w:lineRule="exact"/>
              <w:ind w:right="635"/>
              <w:rPr>
                <w:sz w:val="21"/>
              </w:rPr>
            </w:pPr>
            <w:r>
              <w:rPr>
                <w:sz w:val="21"/>
              </w:rPr>
              <w:t>Cumulative</w:t>
            </w:r>
            <w:r>
              <w:rPr>
                <w:spacing w:val="-11"/>
                <w:sz w:val="21"/>
              </w:rPr>
              <w:t xml:space="preserve"> </w:t>
            </w:r>
            <w:r>
              <w:rPr>
                <w:sz w:val="21"/>
              </w:rPr>
              <w:t>percentage</w:t>
            </w:r>
            <w:r>
              <w:rPr>
                <w:spacing w:val="-10"/>
                <w:sz w:val="21"/>
              </w:rPr>
              <w:t xml:space="preserve"> </w:t>
            </w:r>
            <w:r>
              <w:rPr>
                <w:spacing w:val="-2"/>
                <w:sz w:val="21"/>
              </w:rPr>
              <w:t>enrollment</w:t>
            </w:r>
          </w:p>
        </w:tc>
        <w:tc>
          <w:tcPr>
            <w:tcW w:w="1416" w:type="dxa"/>
            <w:tcBorders>
              <w:top w:val="single" w:sz="18" w:space="0" w:color="800000"/>
              <w:bottom w:val="single" w:sz="18" w:space="0" w:color="800000"/>
            </w:tcBorders>
          </w:tcPr>
          <w:p w:rsidR="003F5784" w14:paraId="14DB0B9C" w14:textId="77777777">
            <w:pPr>
              <w:pStyle w:val="TableParagraph"/>
              <w:spacing w:before="9" w:line="238" w:lineRule="exact"/>
              <w:ind w:right="120"/>
              <w:rPr>
                <w:sz w:val="21"/>
              </w:rPr>
            </w:pPr>
            <w:r>
              <w:rPr>
                <w:spacing w:val="-2"/>
                <w:sz w:val="21"/>
              </w:rPr>
              <w:t>Stratum</w:t>
            </w:r>
          </w:p>
        </w:tc>
      </w:tr>
      <w:tr w14:paraId="61167CA2" w14:textId="77777777">
        <w:tblPrEx>
          <w:tblW w:w="0" w:type="auto"/>
          <w:tblInd w:w="482" w:type="dxa"/>
          <w:tblLayout w:type="fixed"/>
          <w:tblCellMar>
            <w:left w:w="0" w:type="dxa"/>
            <w:right w:w="0" w:type="dxa"/>
          </w:tblCellMar>
          <w:tblLook w:val="01E0"/>
        </w:tblPrEx>
        <w:trPr>
          <w:trHeight w:val="278"/>
        </w:trPr>
        <w:tc>
          <w:tcPr>
            <w:tcW w:w="2400" w:type="dxa"/>
            <w:tcBorders>
              <w:top w:val="single" w:sz="18" w:space="0" w:color="800000"/>
            </w:tcBorders>
          </w:tcPr>
          <w:p w:rsidR="003F5784" w14:paraId="1FA7C5D1" w14:textId="77777777">
            <w:pPr>
              <w:pStyle w:val="TableParagraph"/>
              <w:spacing w:before="9"/>
              <w:ind w:left="120"/>
              <w:jc w:val="left"/>
              <w:rPr>
                <w:sz w:val="21"/>
              </w:rPr>
            </w:pPr>
            <w:r>
              <w:rPr>
                <w:spacing w:val="-10"/>
                <w:sz w:val="21"/>
              </w:rPr>
              <w:t>1</w:t>
            </w:r>
          </w:p>
        </w:tc>
        <w:tc>
          <w:tcPr>
            <w:tcW w:w="5088" w:type="dxa"/>
            <w:tcBorders>
              <w:top w:val="single" w:sz="18" w:space="0" w:color="800000"/>
            </w:tcBorders>
          </w:tcPr>
          <w:p w:rsidR="003F5784" w14:paraId="025C9432" w14:textId="77777777">
            <w:pPr>
              <w:pStyle w:val="TableParagraph"/>
              <w:spacing w:before="9"/>
              <w:ind w:right="1562"/>
              <w:rPr>
                <w:sz w:val="21"/>
              </w:rPr>
            </w:pPr>
            <w:r>
              <w:rPr>
                <w:spacing w:val="-5"/>
                <w:sz w:val="21"/>
              </w:rPr>
              <w:t>20</w:t>
            </w:r>
          </w:p>
        </w:tc>
        <w:tc>
          <w:tcPr>
            <w:tcW w:w="5083" w:type="dxa"/>
            <w:tcBorders>
              <w:top w:val="single" w:sz="18" w:space="0" w:color="800000"/>
            </w:tcBorders>
          </w:tcPr>
          <w:p w:rsidR="003F5784" w14:paraId="34ADF2E8" w14:textId="77777777">
            <w:pPr>
              <w:pStyle w:val="TableParagraph"/>
              <w:spacing w:before="9"/>
              <w:ind w:right="635"/>
              <w:rPr>
                <w:sz w:val="21"/>
              </w:rPr>
            </w:pPr>
            <w:r>
              <w:rPr>
                <w:spacing w:val="-5"/>
                <w:sz w:val="21"/>
              </w:rPr>
              <w:t>20</w:t>
            </w:r>
          </w:p>
        </w:tc>
        <w:tc>
          <w:tcPr>
            <w:tcW w:w="1416" w:type="dxa"/>
            <w:tcBorders>
              <w:top w:val="single" w:sz="18" w:space="0" w:color="800000"/>
            </w:tcBorders>
          </w:tcPr>
          <w:p w:rsidR="003F5784" w14:paraId="104C7AFA" w14:textId="77777777">
            <w:pPr>
              <w:pStyle w:val="TableParagraph"/>
              <w:spacing w:before="9"/>
              <w:ind w:right="120"/>
              <w:rPr>
                <w:sz w:val="21"/>
              </w:rPr>
            </w:pPr>
            <w:r>
              <w:rPr>
                <w:spacing w:val="-10"/>
                <w:sz w:val="21"/>
              </w:rPr>
              <w:t>L</w:t>
            </w:r>
          </w:p>
        </w:tc>
      </w:tr>
      <w:tr w14:paraId="118F2C8C" w14:textId="77777777">
        <w:tblPrEx>
          <w:tblW w:w="0" w:type="auto"/>
          <w:tblInd w:w="482" w:type="dxa"/>
          <w:tblLayout w:type="fixed"/>
          <w:tblCellMar>
            <w:left w:w="0" w:type="dxa"/>
            <w:right w:w="0" w:type="dxa"/>
          </w:tblCellMar>
          <w:tblLook w:val="01E0"/>
        </w:tblPrEx>
        <w:trPr>
          <w:trHeight w:val="286"/>
        </w:trPr>
        <w:tc>
          <w:tcPr>
            <w:tcW w:w="2400" w:type="dxa"/>
          </w:tcPr>
          <w:p w:rsidR="003F5784" w14:paraId="36B830B3" w14:textId="77777777">
            <w:pPr>
              <w:pStyle w:val="TableParagraph"/>
              <w:ind w:left="120"/>
              <w:jc w:val="left"/>
              <w:rPr>
                <w:sz w:val="21"/>
              </w:rPr>
            </w:pPr>
            <w:r>
              <w:rPr>
                <w:spacing w:val="-10"/>
                <w:sz w:val="21"/>
              </w:rPr>
              <w:t>2</w:t>
            </w:r>
          </w:p>
        </w:tc>
        <w:tc>
          <w:tcPr>
            <w:tcW w:w="5088" w:type="dxa"/>
          </w:tcPr>
          <w:p w:rsidR="003F5784" w14:paraId="53311D17" w14:textId="77777777">
            <w:pPr>
              <w:pStyle w:val="TableParagraph"/>
              <w:ind w:right="1562"/>
              <w:rPr>
                <w:sz w:val="21"/>
              </w:rPr>
            </w:pPr>
            <w:r>
              <w:rPr>
                <w:spacing w:val="-5"/>
                <w:sz w:val="21"/>
              </w:rPr>
              <w:t>20</w:t>
            </w:r>
          </w:p>
        </w:tc>
        <w:tc>
          <w:tcPr>
            <w:tcW w:w="5083" w:type="dxa"/>
          </w:tcPr>
          <w:p w:rsidR="003F5784" w14:paraId="1E35E1EF" w14:textId="77777777">
            <w:pPr>
              <w:pStyle w:val="TableParagraph"/>
              <w:ind w:right="635"/>
              <w:rPr>
                <w:sz w:val="21"/>
              </w:rPr>
            </w:pPr>
            <w:r>
              <w:rPr>
                <w:spacing w:val="-5"/>
                <w:sz w:val="21"/>
              </w:rPr>
              <w:t>40</w:t>
            </w:r>
          </w:p>
        </w:tc>
        <w:tc>
          <w:tcPr>
            <w:tcW w:w="1416" w:type="dxa"/>
          </w:tcPr>
          <w:p w:rsidR="003F5784" w14:paraId="14295ADA" w14:textId="77777777">
            <w:pPr>
              <w:pStyle w:val="TableParagraph"/>
              <w:ind w:right="120"/>
              <w:rPr>
                <w:sz w:val="21"/>
              </w:rPr>
            </w:pPr>
            <w:r>
              <w:rPr>
                <w:spacing w:val="-10"/>
                <w:sz w:val="21"/>
              </w:rPr>
              <w:t>L</w:t>
            </w:r>
          </w:p>
        </w:tc>
      </w:tr>
      <w:tr w14:paraId="648DED6F" w14:textId="77777777">
        <w:tblPrEx>
          <w:tblW w:w="0" w:type="auto"/>
          <w:tblInd w:w="482" w:type="dxa"/>
          <w:tblLayout w:type="fixed"/>
          <w:tblCellMar>
            <w:left w:w="0" w:type="dxa"/>
            <w:right w:w="0" w:type="dxa"/>
          </w:tblCellMar>
          <w:tblLook w:val="01E0"/>
        </w:tblPrEx>
        <w:trPr>
          <w:trHeight w:val="286"/>
        </w:trPr>
        <w:tc>
          <w:tcPr>
            <w:tcW w:w="2400" w:type="dxa"/>
          </w:tcPr>
          <w:p w:rsidR="003F5784" w14:paraId="3CACB80C" w14:textId="77777777">
            <w:pPr>
              <w:pStyle w:val="TableParagraph"/>
              <w:ind w:left="120"/>
              <w:jc w:val="left"/>
              <w:rPr>
                <w:sz w:val="21"/>
              </w:rPr>
            </w:pPr>
            <w:r>
              <w:rPr>
                <w:spacing w:val="-10"/>
                <w:sz w:val="21"/>
              </w:rPr>
              <w:t>3</w:t>
            </w:r>
          </w:p>
        </w:tc>
        <w:tc>
          <w:tcPr>
            <w:tcW w:w="5088" w:type="dxa"/>
          </w:tcPr>
          <w:p w:rsidR="003F5784" w14:paraId="491D7F3F" w14:textId="77777777">
            <w:pPr>
              <w:pStyle w:val="TableParagraph"/>
              <w:ind w:right="1562"/>
              <w:rPr>
                <w:sz w:val="21"/>
              </w:rPr>
            </w:pPr>
            <w:r>
              <w:rPr>
                <w:spacing w:val="-5"/>
                <w:sz w:val="21"/>
              </w:rPr>
              <w:t>15</w:t>
            </w:r>
          </w:p>
        </w:tc>
        <w:tc>
          <w:tcPr>
            <w:tcW w:w="5083" w:type="dxa"/>
          </w:tcPr>
          <w:p w:rsidR="003F5784" w14:paraId="0BA77A64" w14:textId="77777777">
            <w:pPr>
              <w:pStyle w:val="TableParagraph"/>
              <w:ind w:right="635"/>
              <w:rPr>
                <w:sz w:val="21"/>
              </w:rPr>
            </w:pPr>
            <w:r>
              <w:rPr>
                <w:spacing w:val="-5"/>
                <w:sz w:val="21"/>
              </w:rPr>
              <w:t>55</w:t>
            </w:r>
          </w:p>
        </w:tc>
        <w:tc>
          <w:tcPr>
            <w:tcW w:w="1416" w:type="dxa"/>
          </w:tcPr>
          <w:p w:rsidR="003F5784" w14:paraId="330F1463" w14:textId="77777777">
            <w:pPr>
              <w:pStyle w:val="TableParagraph"/>
              <w:ind w:right="120"/>
              <w:rPr>
                <w:sz w:val="21"/>
              </w:rPr>
            </w:pPr>
            <w:r>
              <w:rPr>
                <w:spacing w:val="-10"/>
                <w:sz w:val="21"/>
              </w:rPr>
              <w:t>L</w:t>
            </w:r>
          </w:p>
        </w:tc>
      </w:tr>
      <w:tr w14:paraId="2DE1BBAB" w14:textId="77777777">
        <w:tblPrEx>
          <w:tblW w:w="0" w:type="auto"/>
          <w:tblInd w:w="482" w:type="dxa"/>
          <w:tblLayout w:type="fixed"/>
          <w:tblCellMar>
            <w:left w:w="0" w:type="dxa"/>
            <w:right w:w="0" w:type="dxa"/>
          </w:tblCellMar>
          <w:tblLook w:val="01E0"/>
        </w:tblPrEx>
        <w:trPr>
          <w:trHeight w:val="286"/>
        </w:trPr>
        <w:tc>
          <w:tcPr>
            <w:tcW w:w="2400" w:type="dxa"/>
          </w:tcPr>
          <w:p w:rsidR="003F5784" w14:paraId="33DAA280" w14:textId="77777777">
            <w:pPr>
              <w:pStyle w:val="TableParagraph"/>
              <w:ind w:left="120"/>
              <w:jc w:val="left"/>
              <w:rPr>
                <w:sz w:val="21"/>
              </w:rPr>
            </w:pPr>
            <w:r>
              <w:rPr>
                <w:spacing w:val="-10"/>
                <w:sz w:val="21"/>
              </w:rPr>
              <w:t>4</w:t>
            </w:r>
          </w:p>
        </w:tc>
        <w:tc>
          <w:tcPr>
            <w:tcW w:w="5088" w:type="dxa"/>
          </w:tcPr>
          <w:p w:rsidR="003F5784" w14:paraId="6598E6E8" w14:textId="77777777">
            <w:pPr>
              <w:pStyle w:val="TableParagraph"/>
              <w:ind w:right="1562"/>
              <w:rPr>
                <w:sz w:val="21"/>
              </w:rPr>
            </w:pPr>
            <w:r>
              <w:rPr>
                <w:spacing w:val="-5"/>
                <w:sz w:val="21"/>
              </w:rPr>
              <w:t>10</w:t>
            </w:r>
          </w:p>
        </w:tc>
        <w:tc>
          <w:tcPr>
            <w:tcW w:w="5083" w:type="dxa"/>
          </w:tcPr>
          <w:p w:rsidR="003F5784" w14:paraId="35DF4D64" w14:textId="77777777">
            <w:pPr>
              <w:pStyle w:val="TableParagraph"/>
              <w:ind w:right="635"/>
              <w:rPr>
                <w:sz w:val="21"/>
              </w:rPr>
            </w:pPr>
            <w:r>
              <w:rPr>
                <w:spacing w:val="-5"/>
                <w:sz w:val="21"/>
              </w:rPr>
              <w:t>65</w:t>
            </w:r>
          </w:p>
        </w:tc>
        <w:tc>
          <w:tcPr>
            <w:tcW w:w="1416" w:type="dxa"/>
          </w:tcPr>
          <w:p w:rsidR="003F5784" w14:paraId="52A8B983" w14:textId="77777777">
            <w:pPr>
              <w:pStyle w:val="TableParagraph"/>
              <w:ind w:right="120"/>
              <w:rPr>
                <w:sz w:val="21"/>
              </w:rPr>
            </w:pPr>
            <w:r>
              <w:rPr>
                <w:spacing w:val="-10"/>
                <w:sz w:val="21"/>
              </w:rPr>
              <w:t>L</w:t>
            </w:r>
          </w:p>
        </w:tc>
      </w:tr>
      <w:tr w14:paraId="598C46CE" w14:textId="77777777">
        <w:tblPrEx>
          <w:tblW w:w="0" w:type="auto"/>
          <w:tblInd w:w="482" w:type="dxa"/>
          <w:tblLayout w:type="fixed"/>
          <w:tblCellMar>
            <w:left w:w="0" w:type="dxa"/>
            <w:right w:w="0" w:type="dxa"/>
          </w:tblCellMar>
          <w:tblLook w:val="01E0"/>
        </w:tblPrEx>
        <w:trPr>
          <w:trHeight w:val="286"/>
        </w:trPr>
        <w:tc>
          <w:tcPr>
            <w:tcW w:w="2400" w:type="dxa"/>
          </w:tcPr>
          <w:p w:rsidR="003F5784" w14:paraId="47E96A3C" w14:textId="77777777">
            <w:pPr>
              <w:pStyle w:val="TableParagraph"/>
              <w:ind w:left="120"/>
              <w:jc w:val="left"/>
              <w:rPr>
                <w:sz w:val="21"/>
              </w:rPr>
            </w:pPr>
            <w:r>
              <w:rPr>
                <w:spacing w:val="-10"/>
                <w:sz w:val="21"/>
              </w:rPr>
              <w:t>5</w:t>
            </w:r>
          </w:p>
        </w:tc>
        <w:tc>
          <w:tcPr>
            <w:tcW w:w="5088" w:type="dxa"/>
          </w:tcPr>
          <w:p w:rsidR="003F5784" w14:paraId="609D54D7" w14:textId="77777777">
            <w:pPr>
              <w:pStyle w:val="TableParagraph"/>
              <w:ind w:right="1562"/>
              <w:rPr>
                <w:sz w:val="21"/>
              </w:rPr>
            </w:pPr>
            <w:r>
              <w:rPr>
                <w:spacing w:val="-5"/>
                <w:sz w:val="21"/>
              </w:rPr>
              <w:t>10</w:t>
            </w:r>
          </w:p>
        </w:tc>
        <w:tc>
          <w:tcPr>
            <w:tcW w:w="5083" w:type="dxa"/>
          </w:tcPr>
          <w:p w:rsidR="003F5784" w14:paraId="0ECC9C2B" w14:textId="77777777">
            <w:pPr>
              <w:pStyle w:val="TableParagraph"/>
              <w:ind w:right="635"/>
              <w:rPr>
                <w:sz w:val="21"/>
              </w:rPr>
            </w:pPr>
            <w:r>
              <w:rPr>
                <w:spacing w:val="-5"/>
                <w:sz w:val="21"/>
              </w:rPr>
              <w:t>75</w:t>
            </w:r>
          </w:p>
        </w:tc>
        <w:tc>
          <w:tcPr>
            <w:tcW w:w="1416" w:type="dxa"/>
          </w:tcPr>
          <w:p w:rsidR="003F5784" w14:paraId="5A8FCBDA" w14:textId="77777777">
            <w:pPr>
              <w:pStyle w:val="TableParagraph"/>
              <w:ind w:right="120"/>
              <w:rPr>
                <w:sz w:val="21"/>
              </w:rPr>
            </w:pPr>
            <w:r>
              <w:rPr>
                <w:spacing w:val="-10"/>
                <w:sz w:val="21"/>
              </w:rPr>
              <w:t>L</w:t>
            </w:r>
          </w:p>
        </w:tc>
      </w:tr>
      <w:tr w14:paraId="20A00CA9" w14:textId="77777777">
        <w:tblPrEx>
          <w:tblW w:w="0" w:type="auto"/>
          <w:tblInd w:w="482" w:type="dxa"/>
          <w:tblLayout w:type="fixed"/>
          <w:tblCellMar>
            <w:left w:w="0" w:type="dxa"/>
            <w:right w:w="0" w:type="dxa"/>
          </w:tblCellMar>
          <w:tblLook w:val="01E0"/>
        </w:tblPrEx>
        <w:trPr>
          <w:trHeight w:val="286"/>
        </w:trPr>
        <w:tc>
          <w:tcPr>
            <w:tcW w:w="2400" w:type="dxa"/>
          </w:tcPr>
          <w:p w:rsidR="003F5784" w14:paraId="75853A27" w14:textId="77777777">
            <w:pPr>
              <w:pStyle w:val="TableParagraph"/>
              <w:ind w:left="120"/>
              <w:jc w:val="left"/>
              <w:rPr>
                <w:sz w:val="21"/>
              </w:rPr>
            </w:pPr>
            <w:r>
              <w:rPr>
                <w:spacing w:val="-10"/>
                <w:sz w:val="21"/>
              </w:rPr>
              <w:t>6</w:t>
            </w:r>
          </w:p>
        </w:tc>
        <w:tc>
          <w:tcPr>
            <w:tcW w:w="5088" w:type="dxa"/>
          </w:tcPr>
          <w:p w:rsidR="003F5784" w14:paraId="1314EAE6" w14:textId="77777777">
            <w:pPr>
              <w:pStyle w:val="TableParagraph"/>
              <w:ind w:right="1562"/>
              <w:rPr>
                <w:sz w:val="21"/>
              </w:rPr>
            </w:pPr>
            <w:r>
              <w:rPr>
                <w:spacing w:val="-5"/>
                <w:sz w:val="21"/>
              </w:rPr>
              <w:t>10</w:t>
            </w:r>
          </w:p>
        </w:tc>
        <w:tc>
          <w:tcPr>
            <w:tcW w:w="5083" w:type="dxa"/>
          </w:tcPr>
          <w:p w:rsidR="003F5784" w14:paraId="24842F6E" w14:textId="77777777">
            <w:pPr>
              <w:pStyle w:val="TableParagraph"/>
              <w:ind w:right="635"/>
              <w:rPr>
                <w:sz w:val="21"/>
              </w:rPr>
            </w:pPr>
            <w:r>
              <w:rPr>
                <w:spacing w:val="-5"/>
                <w:sz w:val="21"/>
              </w:rPr>
              <w:t>85</w:t>
            </w:r>
          </w:p>
        </w:tc>
        <w:tc>
          <w:tcPr>
            <w:tcW w:w="1416" w:type="dxa"/>
          </w:tcPr>
          <w:p w:rsidR="003F5784" w14:paraId="7E1C5970" w14:textId="77777777">
            <w:pPr>
              <w:pStyle w:val="TableParagraph"/>
              <w:ind w:right="120"/>
              <w:rPr>
                <w:sz w:val="21"/>
              </w:rPr>
            </w:pPr>
            <w:r>
              <w:rPr>
                <w:spacing w:val="-10"/>
                <w:sz w:val="21"/>
              </w:rPr>
              <w:t>L</w:t>
            </w:r>
          </w:p>
        </w:tc>
      </w:tr>
      <w:tr w14:paraId="5743CBF8" w14:textId="77777777">
        <w:tblPrEx>
          <w:tblW w:w="0" w:type="auto"/>
          <w:tblInd w:w="482" w:type="dxa"/>
          <w:tblLayout w:type="fixed"/>
          <w:tblCellMar>
            <w:left w:w="0" w:type="dxa"/>
            <w:right w:w="0" w:type="dxa"/>
          </w:tblCellMar>
          <w:tblLook w:val="01E0"/>
        </w:tblPrEx>
        <w:trPr>
          <w:trHeight w:val="286"/>
        </w:trPr>
        <w:tc>
          <w:tcPr>
            <w:tcW w:w="2400" w:type="dxa"/>
          </w:tcPr>
          <w:p w:rsidR="003F5784" w14:paraId="37126352" w14:textId="77777777">
            <w:pPr>
              <w:pStyle w:val="TableParagraph"/>
              <w:ind w:left="120"/>
              <w:jc w:val="left"/>
              <w:rPr>
                <w:sz w:val="21"/>
              </w:rPr>
            </w:pPr>
            <w:r>
              <w:rPr>
                <w:spacing w:val="-10"/>
                <w:sz w:val="21"/>
              </w:rPr>
              <w:t>7</w:t>
            </w:r>
          </w:p>
        </w:tc>
        <w:tc>
          <w:tcPr>
            <w:tcW w:w="5088" w:type="dxa"/>
          </w:tcPr>
          <w:p w:rsidR="003F5784" w14:paraId="577915E8" w14:textId="77777777">
            <w:pPr>
              <w:pStyle w:val="TableParagraph"/>
              <w:ind w:right="1562"/>
              <w:rPr>
                <w:sz w:val="21"/>
              </w:rPr>
            </w:pPr>
            <w:r>
              <w:rPr>
                <w:spacing w:val="-10"/>
                <w:sz w:val="21"/>
              </w:rPr>
              <w:t>5</w:t>
            </w:r>
          </w:p>
        </w:tc>
        <w:tc>
          <w:tcPr>
            <w:tcW w:w="5083" w:type="dxa"/>
          </w:tcPr>
          <w:p w:rsidR="003F5784" w14:paraId="5B4A4C4E" w14:textId="77777777">
            <w:pPr>
              <w:pStyle w:val="TableParagraph"/>
              <w:ind w:right="635"/>
              <w:rPr>
                <w:sz w:val="21"/>
              </w:rPr>
            </w:pPr>
            <w:r>
              <w:rPr>
                <w:spacing w:val="-5"/>
                <w:sz w:val="21"/>
              </w:rPr>
              <w:t>90</w:t>
            </w:r>
          </w:p>
        </w:tc>
        <w:tc>
          <w:tcPr>
            <w:tcW w:w="1416" w:type="dxa"/>
          </w:tcPr>
          <w:p w:rsidR="003F5784" w14:paraId="4C5E432C" w14:textId="77777777">
            <w:pPr>
              <w:pStyle w:val="TableParagraph"/>
              <w:ind w:right="120"/>
              <w:rPr>
                <w:sz w:val="21"/>
              </w:rPr>
            </w:pPr>
            <w:r>
              <w:rPr>
                <w:spacing w:val="-10"/>
                <w:sz w:val="21"/>
              </w:rPr>
              <w:t>M</w:t>
            </w:r>
          </w:p>
        </w:tc>
      </w:tr>
      <w:tr w14:paraId="61CE8E3B" w14:textId="77777777">
        <w:tblPrEx>
          <w:tblW w:w="0" w:type="auto"/>
          <w:tblInd w:w="482" w:type="dxa"/>
          <w:tblLayout w:type="fixed"/>
          <w:tblCellMar>
            <w:left w:w="0" w:type="dxa"/>
            <w:right w:w="0" w:type="dxa"/>
          </w:tblCellMar>
          <w:tblLook w:val="01E0"/>
        </w:tblPrEx>
        <w:trPr>
          <w:trHeight w:val="286"/>
        </w:trPr>
        <w:tc>
          <w:tcPr>
            <w:tcW w:w="2400" w:type="dxa"/>
          </w:tcPr>
          <w:p w:rsidR="003F5784" w14:paraId="5EF4D2E4" w14:textId="77777777">
            <w:pPr>
              <w:pStyle w:val="TableParagraph"/>
              <w:ind w:left="120"/>
              <w:jc w:val="left"/>
              <w:rPr>
                <w:sz w:val="21"/>
              </w:rPr>
            </w:pPr>
            <w:r>
              <w:rPr>
                <w:spacing w:val="-10"/>
                <w:sz w:val="21"/>
              </w:rPr>
              <w:t>8</w:t>
            </w:r>
          </w:p>
        </w:tc>
        <w:tc>
          <w:tcPr>
            <w:tcW w:w="5088" w:type="dxa"/>
          </w:tcPr>
          <w:p w:rsidR="003F5784" w14:paraId="714B60F2" w14:textId="77777777">
            <w:pPr>
              <w:pStyle w:val="TableParagraph"/>
              <w:ind w:right="1562"/>
              <w:rPr>
                <w:sz w:val="21"/>
              </w:rPr>
            </w:pPr>
            <w:r>
              <w:rPr>
                <w:spacing w:val="-10"/>
                <w:sz w:val="21"/>
              </w:rPr>
              <w:t>2</w:t>
            </w:r>
          </w:p>
        </w:tc>
        <w:tc>
          <w:tcPr>
            <w:tcW w:w="5083" w:type="dxa"/>
          </w:tcPr>
          <w:p w:rsidR="003F5784" w14:paraId="73D3283C" w14:textId="77777777">
            <w:pPr>
              <w:pStyle w:val="TableParagraph"/>
              <w:ind w:right="635"/>
              <w:rPr>
                <w:sz w:val="21"/>
              </w:rPr>
            </w:pPr>
            <w:r>
              <w:rPr>
                <w:spacing w:val="-5"/>
                <w:sz w:val="21"/>
              </w:rPr>
              <w:t>92</w:t>
            </w:r>
          </w:p>
        </w:tc>
        <w:tc>
          <w:tcPr>
            <w:tcW w:w="1416" w:type="dxa"/>
          </w:tcPr>
          <w:p w:rsidR="003F5784" w14:paraId="06BB7D9C" w14:textId="77777777">
            <w:pPr>
              <w:pStyle w:val="TableParagraph"/>
              <w:ind w:right="120"/>
              <w:rPr>
                <w:sz w:val="21"/>
              </w:rPr>
            </w:pPr>
            <w:r>
              <w:rPr>
                <w:spacing w:val="-10"/>
                <w:sz w:val="21"/>
              </w:rPr>
              <w:t>M</w:t>
            </w:r>
          </w:p>
        </w:tc>
      </w:tr>
      <w:tr w14:paraId="3E554FEE" w14:textId="77777777">
        <w:tblPrEx>
          <w:tblW w:w="0" w:type="auto"/>
          <w:tblInd w:w="482" w:type="dxa"/>
          <w:tblLayout w:type="fixed"/>
          <w:tblCellMar>
            <w:left w:w="0" w:type="dxa"/>
            <w:right w:w="0" w:type="dxa"/>
          </w:tblCellMar>
          <w:tblLook w:val="01E0"/>
        </w:tblPrEx>
        <w:trPr>
          <w:trHeight w:val="286"/>
        </w:trPr>
        <w:tc>
          <w:tcPr>
            <w:tcW w:w="2400" w:type="dxa"/>
          </w:tcPr>
          <w:p w:rsidR="003F5784" w14:paraId="4C334EFD" w14:textId="77777777">
            <w:pPr>
              <w:pStyle w:val="TableParagraph"/>
              <w:ind w:left="120"/>
              <w:jc w:val="left"/>
              <w:rPr>
                <w:sz w:val="21"/>
              </w:rPr>
            </w:pPr>
            <w:r>
              <w:rPr>
                <w:spacing w:val="-10"/>
                <w:sz w:val="21"/>
              </w:rPr>
              <w:t>9</w:t>
            </w:r>
          </w:p>
        </w:tc>
        <w:tc>
          <w:tcPr>
            <w:tcW w:w="5088" w:type="dxa"/>
          </w:tcPr>
          <w:p w:rsidR="003F5784" w14:paraId="676A2CC7" w14:textId="77777777">
            <w:pPr>
              <w:pStyle w:val="TableParagraph"/>
              <w:ind w:right="1562"/>
              <w:rPr>
                <w:sz w:val="21"/>
              </w:rPr>
            </w:pPr>
            <w:r>
              <w:rPr>
                <w:spacing w:val="-10"/>
                <w:sz w:val="21"/>
              </w:rPr>
              <w:t>2</w:t>
            </w:r>
          </w:p>
        </w:tc>
        <w:tc>
          <w:tcPr>
            <w:tcW w:w="5083" w:type="dxa"/>
          </w:tcPr>
          <w:p w:rsidR="003F5784" w14:paraId="6F44CB92" w14:textId="77777777">
            <w:pPr>
              <w:pStyle w:val="TableParagraph"/>
              <w:ind w:right="635"/>
              <w:rPr>
                <w:sz w:val="21"/>
              </w:rPr>
            </w:pPr>
            <w:r>
              <w:rPr>
                <w:spacing w:val="-5"/>
                <w:sz w:val="21"/>
              </w:rPr>
              <w:t>94</w:t>
            </w:r>
          </w:p>
        </w:tc>
        <w:tc>
          <w:tcPr>
            <w:tcW w:w="1416" w:type="dxa"/>
          </w:tcPr>
          <w:p w:rsidR="003F5784" w14:paraId="3D4294DA" w14:textId="77777777">
            <w:pPr>
              <w:pStyle w:val="TableParagraph"/>
              <w:ind w:right="120"/>
              <w:rPr>
                <w:sz w:val="21"/>
              </w:rPr>
            </w:pPr>
            <w:r>
              <w:rPr>
                <w:spacing w:val="-10"/>
                <w:sz w:val="21"/>
              </w:rPr>
              <w:t>M</w:t>
            </w:r>
          </w:p>
        </w:tc>
      </w:tr>
      <w:tr w14:paraId="25D139CE" w14:textId="77777777">
        <w:tblPrEx>
          <w:tblW w:w="0" w:type="auto"/>
          <w:tblInd w:w="482" w:type="dxa"/>
          <w:tblLayout w:type="fixed"/>
          <w:tblCellMar>
            <w:left w:w="0" w:type="dxa"/>
            <w:right w:w="0" w:type="dxa"/>
          </w:tblCellMar>
          <w:tblLook w:val="01E0"/>
        </w:tblPrEx>
        <w:trPr>
          <w:trHeight w:val="286"/>
        </w:trPr>
        <w:tc>
          <w:tcPr>
            <w:tcW w:w="2400" w:type="dxa"/>
          </w:tcPr>
          <w:p w:rsidR="003F5784" w14:paraId="69E8240B" w14:textId="77777777">
            <w:pPr>
              <w:pStyle w:val="TableParagraph"/>
              <w:ind w:left="120"/>
              <w:jc w:val="left"/>
              <w:rPr>
                <w:sz w:val="21"/>
              </w:rPr>
            </w:pPr>
            <w:r>
              <w:rPr>
                <w:spacing w:val="-5"/>
                <w:sz w:val="21"/>
              </w:rPr>
              <w:t>10</w:t>
            </w:r>
          </w:p>
        </w:tc>
        <w:tc>
          <w:tcPr>
            <w:tcW w:w="5088" w:type="dxa"/>
          </w:tcPr>
          <w:p w:rsidR="003F5784" w14:paraId="09BB97E3" w14:textId="77777777">
            <w:pPr>
              <w:pStyle w:val="TableParagraph"/>
              <w:ind w:right="1562"/>
              <w:rPr>
                <w:sz w:val="21"/>
              </w:rPr>
            </w:pPr>
            <w:r>
              <w:rPr>
                <w:spacing w:val="-10"/>
                <w:sz w:val="21"/>
              </w:rPr>
              <w:t>2</w:t>
            </w:r>
          </w:p>
        </w:tc>
        <w:tc>
          <w:tcPr>
            <w:tcW w:w="5083" w:type="dxa"/>
          </w:tcPr>
          <w:p w:rsidR="003F5784" w14:paraId="7CBE836D" w14:textId="77777777">
            <w:pPr>
              <w:pStyle w:val="TableParagraph"/>
              <w:ind w:right="635"/>
              <w:rPr>
                <w:sz w:val="21"/>
              </w:rPr>
            </w:pPr>
            <w:r>
              <w:rPr>
                <w:spacing w:val="-5"/>
                <w:sz w:val="21"/>
              </w:rPr>
              <w:t>96</w:t>
            </w:r>
          </w:p>
        </w:tc>
        <w:tc>
          <w:tcPr>
            <w:tcW w:w="1416" w:type="dxa"/>
          </w:tcPr>
          <w:p w:rsidR="003F5784" w14:paraId="33C4F3FF" w14:textId="77777777">
            <w:pPr>
              <w:pStyle w:val="TableParagraph"/>
              <w:ind w:right="120"/>
              <w:rPr>
                <w:sz w:val="21"/>
              </w:rPr>
            </w:pPr>
            <w:r>
              <w:rPr>
                <w:spacing w:val="-10"/>
                <w:sz w:val="21"/>
              </w:rPr>
              <w:t>M</w:t>
            </w:r>
          </w:p>
        </w:tc>
      </w:tr>
      <w:tr w14:paraId="0D240A01" w14:textId="77777777">
        <w:tblPrEx>
          <w:tblW w:w="0" w:type="auto"/>
          <w:tblInd w:w="482" w:type="dxa"/>
          <w:tblLayout w:type="fixed"/>
          <w:tblCellMar>
            <w:left w:w="0" w:type="dxa"/>
            <w:right w:w="0" w:type="dxa"/>
          </w:tblCellMar>
          <w:tblLook w:val="01E0"/>
        </w:tblPrEx>
        <w:trPr>
          <w:trHeight w:val="286"/>
        </w:trPr>
        <w:tc>
          <w:tcPr>
            <w:tcW w:w="2400" w:type="dxa"/>
          </w:tcPr>
          <w:p w:rsidR="003F5784" w14:paraId="66A36834" w14:textId="77777777">
            <w:pPr>
              <w:pStyle w:val="TableParagraph"/>
              <w:ind w:left="120"/>
              <w:jc w:val="left"/>
              <w:rPr>
                <w:sz w:val="21"/>
              </w:rPr>
            </w:pPr>
            <w:r>
              <w:rPr>
                <w:spacing w:val="-5"/>
                <w:sz w:val="21"/>
              </w:rPr>
              <w:t>11</w:t>
            </w:r>
          </w:p>
        </w:tc>
        <w:tc>
          <w:tcPr>
            <w:tcW w:w="5088" w:type="dxa"/>
          </w:tcPr>
          <w:p w:rsidR="003F5784" w14:paraId="25E180F6" w14:textId="77777777">
            <w:pPr>
              <w:pStyle w:val="TableParagraph"/>
              <w:ind w:right="1562"/>
              <w:rPr>
                <w:sz w:val="21"/>
              </w:rPr>
            </w:pPr>
            <w:r>
              <w:rPr>
                <w:spacing w:val="-10"/>
                <w:sz w:val="21"/>
              </w:rPr>
              <w:t>2</w:t>
            </w:r>
          </w:p>
        </w:tc>
        <w:tc>
          <w:tcPr>
            <w:tcW w:w="5083" w:type="dxa"/>
          </w:tcPr>
          <w:p w:rsidR="003F5784" w14:paraId="571D30B0" w14:textId="77777777">
            <w:pPr>
              <w:pStyle w:val="TableParagraph"/>
              <w:ind w:right="635"/>
              <w:rPr>
                <w:sz w:val="21"/>
              </w:rPr>
            </w:pPr>
            <w:r>
              <w:rPr>
                <w:spacing w:val="-5"/>
                <w:sz w:val="21"/>
              </w:rPr>
              <w:t>98</w:t>
            </w:r>
          </w:p>
        </w:tc>
        <w:tc>
          <w:tcPr>
            <w:tcW w:w="1416" w:type="dxa"/>
          </w:tcPr>
          <w:p w:rsidR="003F5784" w14:paraId="15E1A92E" w14:textId="77777777">
            <w:pPr>
              <w:pStyle w:val="TableParagraph"/>
              <w:ind w:right="120"/>
              <w:rPr>
                <w:sz w:val="21"/>
              </w:rPr>
            </w:pPr>
            <w:r>
              <w:rPr>
                <w:spacing w:val="-10"/>
                <w:sz w:val="21"/>
              </w:rPr>
              <w:t>M</w:t>
            </w:r>
          </w:p>
        </w:tc>
      </w:tr>
      <w:tr w14:paraId="188B4B72" w14:textId="77777777">
        <w:tblPrEx>
          <w:tblW w:w="0" w:type="auto"/>
          <w:tblInd w:w="482" w:type="dxa"/>
          <w:tblLayout w:type="fixed"/>
          <w:tblCellMar>
            <w:left w:w="0" w:type="dxa"/>
            <w:right w:w="0" w:type="dxa"/>
          </w:tblCellMar>
          <w:tblLook w:val="01E0"/>
        </w:tblPrEx>
        <w:trPr>
          <w:trHeight w:val="288"/>
        </w:trPr>
        <w:tc>
          <w:tcPr>
            <w:tcW w:w="2400" w:type="dxa"/>
            <w:tcBorders>
              <w:bottom w:val="single" w:sz="18" w:space="0" w:color="800000"/>
            </w:tcBorders>
          </w:tcPr>
          <w:p w:rsidR="003F5784" w14:paraId="3AA075FF" w14:textId="77777777">
            <w:pPr>
              <w:pStyle w:val="TableParagraph"/>
              <w:ind w:left="120"/>
              <w:jc w:val="left"/>
              <w:rPr>
                <w:sz w:val="21"/>
              </w:rPr>
            </w:pPr>
            <w:r>
              <w:rPr>
                <w:spacing w:val="-5"/>
                <w:sz w:val="21"/>
              </w:rPr>
              <w:t>12</w:t>
            </w:r>
          </w:p>
        </w:tc>
        <w:tc>
          <w:tcPr>
            <w:tcW w:w="5088" w:type="dxa"/>
            <w:tcBorders>
              <w:bottom w:val="single" w:sz="18" w:space="0" w:color="800000"/>
            </w:tcBorders>
          </w:tcPr>
          <w:p w:rsidR="003F5784" w14:paraId="38DB82DE" w14:textId="77777777">
            <w:pPr>
              <w:pStyle w:val="TableParagraph"/>
              <w:ind w:right="1562"/>
              <w:rPr>
                <w:sz w:val="21"/>
              </w:rPr>
            </w:pPr>
            <w:r>
              <w:rPr>
                <w:spacing w:val="-10"/>
                <w:sz w:val="21"/>
              </w:rPr>
              <w:t>2</w:t>
            </w:r>
          </w:p>
        </w:tc>
        <w:tc>
          <w:tcPr>
            <w:tcW w:w="5083" w:type="dxa"/>
            <w:tcBorders>
              <w:bottom w:val="single" w:sz="18" w:space="0" w:color="800000"/>
            </w:tcBorders>
          </w:tcPr>
          <w:p w:rsidR="003F5784" w14:paraId="58384036" w14:textId="77777777">
            <w:pPr>
              <w:pStyle w:val="TableParagraph"/>
              <w:ind w:right="635"/>
              <w:rPr>
                <w:sz w:val="21"/>
              </w:rPr>
            </w:pPr>
            <w:r>
              <w:rPr>
                <w:spacing w:val="-5"/>
                <w:sz w:val="21"/>
              </w:rPr>
              <w:t>100</w:t>
            </w:r>
          </w:p>
        </w:tc>
        <w:tc>
          <w:tcPr>
            <w:tcW w:w="1416" w:type="dxa"/>
            <w:tcBorders>
              <w:bottom w:val="single" w:sz="18" w:space="0" w:color="800000"/>
            </w:tcBorders>
          </w:tcPr>
          <w:p w:rsidR="003F5784" w14:paraId="01042EFD" w14:textId="77777777">
            <w:pPr>
              <w:pStyle w:val="TableParagraph"/>
              <w:ind w:right="120"/>
              <w:rPr>
                <w:sz w:val="21"/>
              </w:rPr>
            </w:pPr>
            <w:r>
              <w:rPr>
                <w:spacing w:val="-10"/>
                <w:sz w:val="21"/>
              </w:rPr>
              <w:t>M</w:t>
            </w:r>
          </w:p>
        </w:tc>
      </w:tr>
      <w:tr w14:paraId="747E4FB1" w14:textId="77777777">
        <w:tblPrEx>
          <w:tblW w:w="0" w:type="auto"/>
          <w:tblInd w:w="482" w:type="dxa"/>
          <w:tblLayout w:type="fixed"/>
          <w:tblCellMar>
            <w:left w:w="0" w:type="dxa"/>
            <w:right w:w="0" w:type="dxa"/>
          </w:tblCellMar>
          <w:tblLook w:val="01E0"/>
        </w:tblPrEx>
        <w:trPr>
          <w:trHeight w:val="472"/>
        </w:trPr>
        <w:tc>
          <w:tcPr>
            <w:tcW w:w="13987" w:type="dxa"/>
            <w:gridSpan w:val="4"/>
            <w:tcBorders>
              <w:top w:val="single" w:sz="18" w:space="0" w:color="800000"/>
            </w:tcBorders>
          </w:tcPr>
          <w:p w:rsidR="003F5784" w14:paraId="32DA1C59" w14:textId="77777777">
            <w:pPr>
              <w:pStyle w:val="TableParagraph"/>
              <w:spacing w:before="0" w:line="234" w:lineRule="exact"/>
              <w:ind w:left="120"/>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Progress (NAEP), 2022 Long-Term Trend Mathematics and Reading</w:t>
            </w:r>
            <w:r>
              <w:rPr>
                <w:spacing w:val="-1"/>
                <w:sz w:val="21"/>
              </w:rPr>
              <w:t xml:space="preserve"> </w:t>
            </w:r>
            <w:r>
              <w:rPr>
                <w:sz w:val="21"/>
              </w:rPr>
              <w:t>Assessments.</w:t>
            </w:r>
          </w:p>
        </w:tc>
      </w:tr>
    </w:tbl>
    <w:p w:rsidR="003F5784" w14:paraId="2CC43B31" w14:textId="77777777">
      <w:pPr>
        <w:pStyle w:val="BodyText"/>
        <w:rPr>
          <w:b/>
          <w:sz w:val="20"/>
        </w:rPr>
      </w:pPr>
    </w:p>
    <w:p w:rsidR="003F5784" w14:paraId="7F1F88A9" w14:textId="77777777">
      <w:pPr>
        <w:pStyle w:val="BodyText"/>
        <w:spacing w:before="15"/>
        <w:rPr>
          <w:b/>
          <w:sz w:val="20"/>
        </w:rPr>
      </w:pPr>
    </w:p>
    <w:p w:rsidR="003F5784" w14:paraId="77CAAEA2" w14:textId="77777777">
      <w:pPr>
        <w:pStyle w:val="BodyText"/>
        <w:spacing w:line="232" w:lineRule="auto"/>
        <w:ind w:left="109" w:right="361"/>
      </w:pPr>
      <w:r>
        <w:t>The target sample size for each jurisdiction was 10 districts total across the medium-size and large-size district strata.</w:t>
      </w:r>
      <w:r>
        <w:rPr>
          <w:spacing w:val="-4"/>
        </w:rPr>
        <w:t xml:space="preserve"> </w:t>
      </w:r>
      <w:r>
        <w:t>Where possible, eight districts were selected from the large-size</w:t>
      </w:r>
      <w:r>
        <w:rPr>
          <w:spacing w:val="-6"/>
        </w:rPr>
        <w:t xml:space="preserve"> </w:t>
      </w:r>
      <w:r>
        <w:t>district</w:t>
      </w:r>
      <w:r>
        <w:rPr>
          <w:spacing w:val="-6"/>
        </w:rPr>
        <w:t xml:space="preserve"> </w:t>
      </w:r>
      <w:r>
        <w:t>stratum</w:t>
      </w:r>
      <w:r>
        <w:rPr>
          <w:spacing w:val="-6"/>
        </w:rPr>
        <w:t xml:space="preserve"> </w:t>
      </w:r>
      <w:r>
        <w:t>and</w:t>
      </w:r>
      <w:r>
        <w:rPr>
          <w:spacing w:val="-6"/>
        </w:rPr>
        <w:t xml:space="preserve"> </w:t>
      </w:r>
      <w:r>
        <w:t>two</w:t>
      </w:r>
      <w:r>
        <w:rPr>
          <w:spacing w:val="-6"/>
        </w:rPr>
        <w:t xml:space="preserve"> </w:t>
      </w:r>
      <w:r>
        <w:t>districts</w:t>
      </w:r>
      <w:r>
        <w:rPr>
          <w:spacing w:val="-6"/>
        </w:rPr>
        <w:t xml:space="preserve"> </w:t>
      </w:r>
      <w:r>
        <w:t>from</w:t>
      </w:r>
      <w:r>
        <w:rPr>
          <w:spacing w:val="-6"/>
        </w:rPr>
        <w:t xml:space="preserve"> </w:t>
      </w:r>
      <w:r>
        <w:t>the</w:t>
      </w:r>
      <w:r>
        <w:rPr>
          <w:spacing w:val="-6"/>
        </w:rPr>
        <w:t xml:space="preserve"> </w:t>
      </w:r>
      <w:r>
        <w:t>medium-size</w:t>
      </w:r>
      <w:r>
        <w:rPr>
          <w:spacing w:val="-6"/>
        </w:rPr>
        <w:t xml:space="preserve"> </w:t>
      </w:r>
      <w:r>
        <w:t>district</w:t>
      </w:r>
      <w:r>
        <w:rPr>
          <w:spacing w:val="-6"/>
        </w:rPr>
        <w:t xml:space="preserve"> </w:t>
      </w:r>
      <w:r>
        <w:t>stratum.</w:t>
      </w:r>
      <w:r>
        <w:rPr>
          <w:spacing w:val="-6"/>
        </w:rPr>
        <w:t xml:space="preserve"> </w:t>
      </w:r>
      <w:r>
        <w:t>However,</w:t>
      </w:r>
      <w:r>
        <w:rPr>
          <w:spacing w:val="-6"/>
        </w:rPr>
        <w:t xml:space="preserve"> </w:t>
      </w:r>
      <w:r>
        <w:t>in</w:t>
      </w:r>
      <w:r>
        <w:rPr>
          <w:spacing w:val="-6"/>
        </w:rPr>
        <w:t xml:space="preserve"> </w:t>
      </w:r>
      <w:r>
        <w:t>the</w:t>
      </w:r>
      <w:r>
        <w:rPr>
          <w:spacing w:val="-6"/>
        </w:rPr>
        <w:t xml:space="preserve"> </w:t>
      </w:r>
      <w:r>
        <w:t>example</w:t>
      </w:r>
      <w:r>
        <w:rPr>
          <w:spacing w:val="-6"/>
        </w:rPr>
        <w:t xml:space="preserve"> </w:t>
      </w:r>
      <w:r>
        <w:t>above,</w:t>
      </w:r>
      <w:r>
        <w:rPr>
          <w:spacing w:val="-6"/>
        </w:rPr>
        <w:t xml:space="preserve"> </w:t>
      </w:r>
      <w:r>
        <w:t>since</w:t>
      </w:r>
      <w:r>
        <w:rPr>
          <w:spacing w:val="-6"/>
        </w:rPr>
        <w:t xml:space="preserve"> </w:t>
      </w:r>
      <w:r>
        <w:t>there</w:t>
      </w:r>
      <w:r>
        <w:rPr>
          <w:spacing w:val="-6"/>
        </w:rPr>
        <w:t xml:space="preserve"> </w:t>
      </w:r>
      <w:r>
        <w:t>are</w:t>
      </w:r>
      <w:r>
        <w:rPr>
          <w:spacing w:val="-6"/>
        </w:rPr>
        <w:t xml:space="preserve"> </w:t>
      </w:r>
      <w:r>
        <w:t>only</w:t>
      </w:r>
      <w:r>
        <w:rPr>
          <w:spacing w:val="-6"/>
        </w:rPr>
        <w:t xml:space="preserve"> </w:t>
      </w:r>
      <w:r>
        <w:t>six</w:t>
      </w:r>
      <w:r>
        <w:rPr>
          <w:spacing w:val="-6"/>
        </w:rPr>
        <w:t xml:space="preserve"> </w:t>
      </w:r>
      <w:r>
        <w:t>large</w:t>
      </w:r>
      <w:r>
        <w:rPr>
          <w:spacing w:val="-6"/>
        </w:rPr>
        <w:t xml:space="preserve"> </w:t>
      </w:r>
      <w:r>
        <w:t>districts,</w:t>
      </w:r>
      <w:r>
        <w:rPr>
          <w:spacing w:val="-6"/>
        </w:rPr>
        <w:t xml:space="preserve"> </w:t>
      </w:r>
      <w:r>
        <w:t>all</w:t>
      </w:r>
      <w:r>
        <w:rPr>
          <w:spacing w:val="-6"/>
        </w:rPr>
        <w:t xml:space="preserve"> </w:t>
      </w:r>
      <w:r>
        <w:t>of</w:t>
      </w:r>
      <w:r>
        <w:rPr>
          <w:spacing w:val="-6"/>
        </w:rPr>
        <w:t xml:space="preserve"> </w:t>
      </w:r>
      <w:r>
        <w:t>the</w:t>
      </w:r>
      <w:r>
        <w:rPr>
          <w:spacing w:val="-6"/>
        </w:rPr>
        <w:t xml:space="preserve"> </w:t>
      </w:r>
      <w:r>
        <w:t>districts</w:t>
      </w:r>
      <w:r>
        <w:rPr>
          <w:spacing w:val="-6"/>
        </w:rPr>
        <w:t xml:space="preserve"> </w:t>
      </w:r>
      <w:r>
        <w:t>in the large district stratum and four districts from the medium district stratum would have been selected for the new-school inquiry.</w:t>
      </w:r>
    </w:p>
    <w:p w:rsidR="003F5784" w14:paraId="359A64C7" w14:textId="77777777">
      <w:pPr>
        <w:pStyle w:val="BodyText"/>
        <w:spacing w:before="210" w:line="232" w:lineRule="auto"/>
        <w:ind w:left="109" w:right="733"/>
        <w:jc w:val="both"/>
      </w:pPr>
      <w:r>
        <w:t>If</w:t>
      </w:r>
      <w:r>
        <w:rPr>
          <w:spacing w:val="-7"/>
        </w:rPr>
        <w:t xml:space="preserve"> </w:t>
      </w:r>
      <w:r>
        <w:t>sampling</w:t>
      </w:r>
      <w:r>
        <w:rPr>
          <w:spacing w:val="-7"/>
        </w:rPr>
        <w:t xml:space="preserve"> </w:t>
      </w:r>
      <w:r>
        <w:t>was</w:t>
      </w:r>
      <w:r>
        <w:rPr>
          <w:spacing w:val="-7"/>
        </w:rPr>
        <w:t xml:space="preserve"> </w:t>
      </w:r>
      <w:r>
        <w:t>needed</w:t>
      </w:r>
      <w:r>
        <w:rPr>
          <w:spacing w:val="-7"/>
        </w:rPr>
        <w:t xml:space="preserve"> </w:t>
      </w:r>
      <w:r>
        <w:t>in</w:t>
      </w:r>
      <w:r>
        <w:rPr>
          <w:spacing w:val="-7"/>
        </w:rPr>
        <w:t xml:space="preserve"> </w:t>
      </w:r>
      <w:r>
        <w:t>the</w:t>
      </w:r>
      <w:r>
        <w:rPr>
          <w:spacing w:val="-7"/>
        </w:rPr>
        <w:t xml:space="preserve"> </w:t>
      </w:r>
      <w:r>
        <w:t>medium-size</w:t>
      </w:r>
      <w:r>
        <w:rPr>
          <w:spacing w:val="-7"/>
        </w:rPr>
        <w:t xml:space="preserve"> </w:t>
      </w:r>
      <w:r>
        <w:t>district</w:t>
      </w:r>
      <w:r>
        <w:rPr>
          <w:spacing w:val="-7"/>
        </w:rPr>
        <w:t xml:space="preserve"> </w:t>
      </w:r>
      <w:r>
        <w:t>stratum,</w:t>
      </w:r>
      <w:r>
        <w:rPr>
          <w:spacing w:val="-7"/>
        </w:rPr>
        <w:t xml:space="preserve"> </w:t>
      </w:r>
      <w:r>
        <w:t>districts</w:t>
      </w:r>
      <w:r>
        <w:rPr>
          <w:spacing w:val="-7"/>
        </w:rPr>
        <w:t xml:space="preserve"> </w:t>
      </w:r>
      <w:r>
        <w:t>in</w:t>
      </w:r>
      <w:r>
        <w:rPr>
          <w:spacing w:val="-7"/>
        </w:rPr>
        <w:t xml:space="preserve"> </w:t>
      </w:r>
      <w:r>
        <w:t>this</w:t>
      </w:r>
      <w:r>
        <w:rPr>
          <w:spacing w:val="-7"/>
        </w:rPr>
        <w:t xml:space="preserve"> </w:t>
      </w:r>
      <w:r>
        <w:t>stratum</w:t>
      </w:r>
      <w:r>
        <w:rPr>
          <w:spacing w:val="-7"/>
        </w:rPr>
        <w:t xml:space="preserve"> </w:t>
      </w:r>
      <w:r>
        <w:t>were</w:t>
      </w:r>
      <w:r>
        <w:rPr>
          <w:spacing w:val="-7"/>
        </w:rPr>
        <w:t xml:space="preserve"> </w:t>
      </w:r>
      <w:r>
        <w:t>selected</w:t>
      </w:r>
      <w:r>
        <w:rPr>
          <w:spacing w:val="-7"/>
        </w:rPr>
        <w:t xml:space="preserve"> </w:t>
      </w:r>
      <w:r>
        <w:t>with</w:t>
      </w:r>
      <w:r>
        <w:rPr>
          <w:spacing w:val="-7"/>
        </w:rPr>
        <w:t xml:space="preserve"> </w:t>
      </w:r>
      <w:r>
        <w:t>equal</w:t>
      </w:r>
      <w:r>
        <w:rPr>
          <w:spacing w:val="-7"/>
        </w:rPr>
        <w:t xml:space="preserve"> </w:t>
      </w:r>
      <w:r>
        <w:t>probability.</w:t>
      </w:r>
      <w:r>
        <w:rPr>
          <w:spacing w:val="-7"/>
        </w:rPr>
        <w:t xml:space="preserve"> </w:t>
      </w:r>
      <w:r>
        <w:t>If</w:t>
      </w:r>
      <w:r>
        <w:rPr>
          <w:spacing w:val="-7"/>
        </w:rPr>
        <w:t xml:space="preserve"> </w:t>
      </w:r>
      <w:r>
        <w:t>sampling</w:t>
      </w:r>
      <w:r>
        <w:rPr>
          <w:spacing w:val="-7"/>
        </w:rPr>
        <w:t xml:space="preserve"> </w:t>
      </w:r>
      <w:r>
        <w:t>was</w:t>
      </w:r>
      <w:r>
        <w:rPr>
          <w:spacing w:val="-7"/>
        </w:rPr>
        <w:t xml:space="preserve"> </w:t>
      </w:r>
      <w:r>
        <w:t>needed</w:t>
      </w:r>
      <w:r>
        <w:rPr>
          <w:spacing w:val="-7"/>
        </w:rPr>
        <w:t xml:space="preserve"> </w:t>
      </w:r>
      <w:r>
        <w:t>in</w:t>
      </w:r>
      <w:r>
        <w:rPr>
          <w:spacing w:val="-7"/>
        </w:rPr>
        <w:t xml:space="preserve"> </w:t>
      </w:r>
      <w:r>
        <w:t>the</w:t>
      </w:r>
      <w:r>
        <w:rPr>
          <w:spacing w:val="-7"/>
        </w:rPr>
        <w:t xml:space="preserve"> </w:t>
      </w:r>
      <w:r>
        <w:t>large-size</w:t>
      </w:r>
      <w:r>
        <w:rPr>
          <w:spacing w:val="-7"/>
        </w:rPr>
        <w:t xml:space="preserve"> </w:t>
      </w:r>
      <w:r>
        <w:t>district stratum,</w:t>
      </w:r>
      <w:r>
        <w:rPr>
          <w:spacing w:val="-4"/>
        </w:rPr>
        <w:t xml:space="preserve"> </w:t>
      </w:r>
      <w:r>
        <w:t>the</w:t>
      </w:r>
      <w:r>
        <w:rPr>
          <w:spacing w:val="-4"/>
        </w:rPr>
        <w:t xml:space="preserve"> </w:t>
      </w:r>
      <w:r>
        <w:t>districts</w:t>
      </w:r>
      <w:r>
        <w:rPr>
          <w:spacing w:val="-4"/>
        </w:rPr>
        <w:t xml:space="preserve"> </w:t>
      </w:r>
      <w:r>
        <w:t>in</w:t>
      </w:r>
      <w:r>
        <w:rPr>
          <w:spacing w:val="-4"/>
        </w:rPr>
        <w:t xml:space="preserve"> </w:t>
      </w:r>
      <w:r>
        <w:t>this</w:t>
      </w:r>
      <w:r>
        <w:rPr>
          <w:spacing w:val="-4"/>
        </w:rPr>
        <w:t xml:space="preserve"> </w:t>
      </w:r>
      <w:r>
        <w:t>stratum</w:t>
      </w:r>
      <w:r>
        <w:rPr>
          <w:spacing w:val="-4"/>
        </w:rPr>
        <w:t xml:space="preserve"> </w:t>
      </w:r>
      <w:r>
        <w:t>were</w:t>
      </w:r>
      <w:r>
        <w:rPr>
          <w:spacing w:val="-4"/>
        </w:rPr>
        <w:t xml:space="preserve"> </w:t>
      </w:r>
      <w:r>
        <w:t>sampled</w:t>
      </w:r>
      <w:r>
        <w:rPr>
          <w:spacing w:val="-4"/>
        </w:rPr>
        <w:t xml:space="preserve"> </w:t>
      </w:r>
      <w:r>
        <w:t>with</w:t>
      </w:r>
      <w:r>
        <w:rPr>
          <w:spacing w:val="-4"/>
        </w:rPr>
        <w:t xml:space="preserve"> </w:t>
      </w:r>
      <w:r>
        <w:t>probability</w:t>
      </w:r>
      <w:r>
        <w:rPr>
          <w:spacing w:val="-4"/>
        </w:rPr>
        <w:t xml:space="preserve"> </w:t>
      </w:r>
      <w:r>
        <w:t>proportional</w:t>
      </w:r>
      <w:r>
        <w:rPr>
          <w:spacing w:val="-4"/>
        </w:rPr>
        <w:t xml:space="preserve"> </w:t>
      </w:r>
      <w:r>
        <w:t>to</w:t>
      </w:r>
      <w:r>
        <w:rPr>
          <w:spacing w:val="-4"/>
        </w:rPr>
        <w:t xml:space="preserve"> </w:t>
      </w:r>
      <w:r>
        <w:t>enrollment.</w:t>
      </w:r>
      <w:r>
        <w:rPr>
          <w:spacing w:val="-8"/>
        </w:rPr>
        <w:t xml:space="preserve"> </w:t>
      </w:r>
      <w:r>
        <w:t>These</w:t>
      </w:r>
      <w:r>
        <w:rPr>
          <w:spacing w:val="-4"/>
        </w:rPr>
        <w:t xml:space="preserve"> </w:t>
      </w:r>
      <w:r>
        <w:t>probabilities</w:t>
      </w:r>
      <w:r>
        <w:rPr>
          <w:spacing w:val="-4"/>
        </w:rPr>
        <w:t xml:space="preserve"> </w:t>
      </w:r>
      <w:r>
        <w:t>were</w:t>
      </w:r>
      <w:r>
        <w:rPr>
          <w:spacing w:val="-4"/>
        </w:rPr>
        <w:t xml:space="preserve"> </w:t>
      </w:r>
      <w:r>
        <w:t>retained</w:t>
      </w:r>
      <w:r>
        <w:rPr>
          <w:spacing w:val="-4"/>
        </w:rPr>
        <w:t xml:space="preserve"> </w:t>
      </w:r>
      <w:r>
        <w:t>and</w:t>
      </w:r>
      <w:r>
        <w:rPr>
          <w:spacing w:val="-4"/>
        </w:rPr>
        <w:t xml:space="preserve"> </w:t>
      </w:r>
      <w:r>
        <w:t>used</w:t>
      </w:r>
      <w:r>
        <w:rPr>
          <w:spacing w:val="-4"/>
        </w:rPr>
        <w:t xml:space="preserve"> </w:t>
      </w:r>
      <w:r>
        <w:t>in</w:t>
      </w:r>
      <w:r>
        <w:rPr>
          <w:spacing w:val="-4"/>
        </w:rPr>
        <w:t xml:space="preserve"> </w:t>
      </w:r>
      <w:r>
        <w:t>later</w:t>
      </w:r>
      <w:r>
        <w:rPr>
          <w:spacing w:val="-4"/>
        </w:rPr>
        <w:t xml:space="preserve"> </w:t>
      </w:r>
      <w:r>
        <w:t>stages</w:t>
      </w:r>
      <w:r>
        <w:rPr>
          <w:spacing w:val="-4"/>
        </w:rPr>
        <w:t xml:space="preserve"> </w:t>
      </w:r>
      <w:r>
        <w:t>of</w:t>
      </w:r>
      <w:r>
        <w:rPr>
          <w:spacing w:val="-4"/>
        </w:rPr>
        <w:t xml:space="preserve"> </w:t>
      </w:r>
      <w:r>
        <w:t>sampling</w:t>
      </w:r>
      <w:r>
        <w:rPr>
          <w:spacing w:val="-4"/>
        </w:rPr>
        <w:t xml:space="preserve"> </w:t>
      </w:r>
      <w:r>
        <w:t>and weighting of new schools.</w:t>
      </w:r>
    </w:p>
    <w:p w:rsidR="003F5784" w14:paraId="7F18FDBB" w14:textId="77777777">
      <w:pPr>
        <w:pStyle w:val="BodyText"/>
        <w:spacing w:before="209" w:line="232" w:lineRule="auto"/>
        <w:ind w:left="109" w:right="117"/>
      </w:pPr>
      <w:r>
        <w:t>The</w:t>
      </w:r>
      <w:r>
        <w:rPr>
          <w:spacing w:val="-4"/>
        </w:rPr>
        <w:t xml:space="preserve"> </w:t>
      </w:r>
      <w:r>
        <w:t>selected</w:t>
      </w:r>
      <w:r>
        <w:rPr>
          <w:spacing w:val="-4"/>
        </w:rPr>
        <w:t xml:space="preserve"> </w:t>
      </w:r>
      <w:r>
        <w:t>districts</w:t>
      </w:r>
      <w:r>
        <w:rPr>
          <w:spacing w:val="-4"/>
        </w:rPr>
        <w:t xml:space="preserve"> </w:t>
      </w:r>
      <w:r>
        <w:t>in</w:t>
      </w:r>
      <w:r>
        <w:rPr>
          <w:spacing w:val="-4"/>
        </w:rPr>
        <w:t xml:space="preserve"> </w:t>
      </w:r>
      <w:r>
        <w:t>each</w:t>
      </w:r>
      <w:r>
        <w:rPr>
          <w:spacing w:val="-4"/>
        </w:rPr>
        <w:t xml:space="preserve"> </w:t>
      </w:r>
      <w:r>
        <w:t>jurisdiction</w:t>
      </w:r>
      <w:r>
        <w:rPr>
          <w:spacing w:val="-4"/>
        </w:rPr>
        <w:t xml:space="preserve"> </w:t>
      </w:r>
      <w:r>
        <w:t>were</w:t>
      </w:r>
      <w:r>
        <w:rPr>
          <w:spacing w:val="-4"/>
        </w:rPr>
        <w:t xml:space="preserve"> </w:t>
      </w:r>
      <w:r>
        <w:t>then</w:t>
      </w:r>
      <w:r>
        <w:rPr>
          <w:spacing w:val="-4"/>
        </w:rPr>
        <w:t xml:space="preserve"> </w:t>
      </w:r>
      <w:r>
        <w:t>sent</w:t>
      </w:r>
      <w:r>
        <w:rPr>
          <w:spacing w:val="-4"/>
        </w:rPr>
        <w:t xml:space="preserve"> </w:t>
      </w:r>
      <w:r>
        <w:t>a</w:t>
      </w:r>
      <w:r>
        <w:rPr>
          <w:spacing w:val="-4"/>
        </w:rPr>
        <w:t xml:space="preserve"> </w:t>
      </w:r>
      <w:r>
        <w:t>listing</w:t>
      </w:r>
      <w:r>
        <w:rPr>
          <w:spacing w:val="-4"/>
        </w:rPr>
        <w:t xml:space="preserve"> </w:t>
      </w:r>
      <w:r>
        <w:t>of</w:t>
      </w:r>
      <w:r>
        <w:rPr>
          <w:spacing w:val="-4"/>
        </w:rPr>
        <w:t xml:space="preserve"> </w:t>
      </w:r>
      <w:r>
        <w:t>all</w:t>
      </w:r>
      <w:r>
        <w:rPr>
          <w:spacing w:val="-4"/>
        </w:rPr>
        <w:t xml:space="preserve"> </w:t>
      </w:r>
      <w:r>
        <w:t>their</w:t>
      </w:r>
      <w:r>
        <w:rPr>
          <w:spacing w:val="-4"/>
        </w:rPr>
        <w:t xml:space="preserve"> </w:t>
      </w:r>
      <w:r>
        <w:t>schools</w:t>
      </w:r>
      <w:r>
        <w:rPr>
          <w:spacing w:val="-4"/>
        </w:rPr>
        <w:t xml:space="preserve"> </w:t>
      </w:r>
      <w:r>
        <w:t>that</w:t>
      </w:r>
      <w:r>
        <w:rPr>
          <w:spacing w:val="-4"/>
        </w:rPr>
        <w:t xml:space="preserve"> </w:t>
      </w:r>
      <w:r>
        <w:t>appeared</w:t>
      </w:r>
      <w:r>
        <w:rPr>
          <w:spacing w:val="-4"/>
        </w:rPr>
        <w:t xml:space="preserve"> </w:t>
      </w:r>
      <w:r>
        <w:t>on</w:t>
      </w:r>
      <w:r>
        <w:rPr>
          <w:spacing w:val="-4"/>
        </w:rPr>
        <w:t xml:space="preserve"> </w:t>
      </w:r>
      <w:r>
        <w:t>the</w:t>
      </w:r>
      <w:r>
        <w:rPr>
          <w:spacing w:val="-4"/>
        </w:rPr>
        <w:t xml:space="preserve"> </w:t>
      </w:r>
      <w:r>
        <w:t>2019–2020</w:t>
      </w:r>
      <w:r>
        <w:rPr>
          <w:spacing w:val="-4"/>
        </w:rPr>
        <w:t xml:space="preserve"> </w:t>
      </w:r>
      <w:r>
        <w:t>CCD</w:t>
      </w:r>
      <w:r>
        <w:rPr>
          <w:spacing w:val="-4"/>
        </w:rPr>
        <w:t xml:space="preserve"> </w:t>
      </w:r>
      <w:r>
        <w:t>file</w:t>
      </w:r>
      <w:r>
        <w:rPr>
          <w:spacing w:val="-4"/>
        </w:rPr>
        <w:t xml:space="preserve"> </w:t>
      </w:r>
      <w:r>
        <w:t>and</w:t>
      </w:r>
      <w:r>
        <w:rPr>
          <w:spacing w:val="-4"/>
        </w:rPr>
        <w:t xml:space="preserve"> </w:t>
      </w:r>
      <w:r>
        <w:t>were</w:t>
      </w:r>
      <w:r>
        <w:rPr>
          <w:spacing w:val="-4"/>
        </w:rPr>
        <w:t xml:space="preserve"> </w:t>
      </w:r>
      <w:r>
        <w:t>asked</w:t>
      </w:r>
      <w:r>
        <w:rPr>
          <w:spacing w:val="-4"/>
        </w:rPr>
        <w:t xml:space="preserve"> </w:t>
      </w:r>
      <w:r>
        <w:t>to</w:t>
      </w:r>
      <w:r>
        <w:rPr>
          <w:spacing w:val="-4"/>
        </w:rPr>
        <w:t xml:space="preserve"> </w:t>
      </w:r>
      <w:r>
        <w:t>provide</w:t>
      </w:r>
      <w:r>
        <w:rPr>
          <w:spacing w:val="-4"/>
        </w:rPr>
        <w:t xml:space="preserve"> </w:t>
      </w:r>
      <w:r>
        <w:t>information</w:t>
      </w:r>
      <w:r>
        <w:rPr>
          <w:spacing w:val="-4"/>
        </w:rPr>
        <w:t xml:space="preserve"> </w:t>
      </w:r>
      <w:r>
        <w:t>about</w:t>
      </w:r>
      <w:r>
        <w:rPr>
          <w:spacing w:val="-4"/>
        </w:rPr>
        <w:t xml:space="preserve"> </w:t>
      </w:r>
      <w:r>
        <w:t>the new</w:t>
      </w:r>
      <w:r>
        <w:rPr>
          <w:spacing w:val="-1"/>
        </w:rPr>
        <w:t xml:space="preserve"> </w:t>
      </w:r>
      <w:r>
        <w:t>schools</w:t>
      </w:r>
      <w:r>
        <w:rPr>
          <w:spacing w:val="-1"/>
        </w:rPr>
        <w:t xml:space="preserve"> </w:t>
      </w:r>
      <w:r>
        <w:t>not</w:t>
      </w:r>
      <w:r>
        <w:rPr>
          <w:spacing w:val="-1"/>
        </w:rPr>
        <w:t xml:space="preserve"> </w:t>
      </w:r>
      <w:r>
        <w:t>included</w:t>
      </w:r>
      <w:r>
        <w:rPr>
          <w:spacing w:val="-1"/>
        </w:rPr>
        <w:t xml:space="preserve"> </w:t>
      </w:r>
      <w:r>
        <w:t>in</w:t>
      </w:r>
      <w:r>
        <w:rPr>
          <w:spacing w:val="-1"/>
        </w:rPr>
        <w:t xml:space="preserve"> </w:t>
      </w:r>
      <w:r>
        <w:t>the</w:t>
      </w:r>
      <w:r>
        <w:rPr>
          <w:spacing w:val="-1"/>
        </w:rPr>
        <w:t xml:space="preserve"> </w:t>
      </w:r>
      <w:r>
        <w:t>file</w:t>
      </w:r>
      <w:r>
        <w:rPr>
          <w:spacing w:val="-1"/>
        </w:rPr>
        <w:t xml:space="preserve"> </w:t>
      </w:r>
      <w:r>
        <w:t>and</w:t>
      </w:r>
      <w:r>
        <w:rPr>
          <w:spacing w:val="-1"/>
        </w:rPr>
        <w:t xml:space="preserve"> </w:t>
      </w:r>
      <w:r>
        <w:t>grade</w:t>
      </w:r>
      <w:r>
        <w:rPr>
          <w:spacing w:val="-1"/>
        </w:rPr>
        <w:t xml:space="preserve"> </w:t>
      </w:r>
      <w:r>
        <w:t>span</w:t>
      </w:r>
      <w:r>
        <w:rPr>
          <w:spacing w:val="-1"/>
        </w:rPr>
        <w:t xml:space="preserve"> </w:t>
      </w:r>
      <w:r>
        <w:t>changes</w:t>
      </w:r>
      <w:r>
        <w:rPr>
          <w:spacing w:val="-1"/>
        </w:rPr>
        <w:t xml:space="preserve"> </w:t>
      </w:r>
      <w:r>
        <w:t>of</w:t>
      </w:r>
      <w:r>
        <w:rPr>
          <w:spacing w:val="-1"/>
        </w:rPr>
        <w:t xml:space="preserve"> </w:t>
      </w:r>
      <w:r>
        <w:t>existing</w:t>
      </w:r>
      <w:r>
        <w:rPr>
          <w:spacing w:val="-1"/>
        </w:rPr>
        <w:t xml:space="preserve"> </w:t>
      </w:r>
      <w:r>
        <w:t>schools.</w:t>
      </w:r>
      <w:r>
        <w:rPr>
          <w:spacing w:val="-5"/>
        </w:rPr>
        <w:t xml:space="preserve"> </w:t>
      </w:r>
      <w:r>
        <w:t>These</w:t>
      </w:r>
      <w:r>
        <w:rPr>
          <w:spacing w:val="-1"/>
        </w:rPr>
        <w:t xml:space="preserve"> </w:t>
      </w:r>
      <w:r>
        <w:t>listings</w:t>
      </w:r>
      <w:r>
        <w:rPr>
          <w:spacing w:val="-1"/>
        </w:rPr>
        <w:t xml:space="preserve"> </w:t>
      </w:r>
      <w:r>
        <w:t>provided</w:t>
      </w:r>
      <w:r>
        <w:rPr>
          <w:spacing w:val="-1"/>
        </w:rPr>
        <w:t xml:space="preserve"> </w:t>
      </w:r>
      <w:r>
        <w:t>by</w:t>
      </w:r>
      <w:r>
        <w:rPr>
          <w:spacing w:val="-1"/>
        </w:rPr>
        <w:t xml:space="preserve"> </w:t>
      </w:r>
      <w:r>
        <w:t>the</w:t>
      </w:r>
      <w:r>
        <w:rPr>
          <w:spacing w:val="-1"/>
        </w:rPr>
        <w:t xml:space="preserve"> </w:t>
      </w:r>
      <w:r>
        <w:t>selected</w:t>
      </w:r>
      <w:r>
        <w:rPr>
          <w:spacing w:val="-1"/>
        </w:rPr>
        <w:t xml:space="preserve"> </w:t>
      </w:r>
      <w:r>
        <w:t>districts</w:t>
      </w:r>
      <w:r>
        <w:rPr>
          <w:spacing w:val="-1"/>
        </w:rPr>
        <w:t xml:space="preserve"> </w:t>
      </w:r>
      <w:r>
        <w:t>were</w:t>
      </w:r>
      <w:r>
        <w:rPr>
          <w:spacing w:val="-1"/>
        </w:rPr>
        <w:t xml:space="preserve"> </w:t>
      </w:r>
      <w:r>
        <w:t>used</w:t>
      </w:r>
      <w:r>
        <w:rPr>
          <w:spacing w:val="-1"/>
        </w:rPr>
        <w:t xml:space="preserve"> </w:t>
      </w:r>
      <w:r>
        <w:t>as</w:t>
      </w:r>
      <w:r>
        <w:rPr>
          <w:spacing w:val="-1"/>
        </w:rPr>
        <w:t xml:space="preserve"> </w:t>
      </w:r>
      <w:r>
        <w:t>sampling</w:t>
      </w:r>
      <w:r>
        <w:rPr>
          <w:spacing w:val="-1"/>
        </w:rPr>
        <w:t xml:space="preserve"> </w:t>
      </w:r>
      <w:r>
        <w:t>frames</w:t>
      </w:r>
      <w:r>
        <w:rPr>
          <w:spacing w:val="-1"/>
        </w:rPr>
        <w:t xml:space="preserve"> </w:t>
      </w:r>
      <w:r>
        <w:t>for</w:t>
      </w:r>
      <w:r>
        <w:rPr>
          <w:spacing w:val="-1"/>
        </w:rPr>
        <w:t xml:space="preserve"> </w:t>
      </w:r>
      <w:r>
        <w:t>selection</w:t>
      </w:r>
      <w:r>
        <w:rPr>
          <w:spacing w:val="-1"/>
        </w:rPr>
        <w:t xml:space="preserve"> </w:t>
      </w:r>
      <w:r>
        <w:t>of new public schools and updates of existing schools.</w:t>
      </w:r>
      <w:r>
        <w:rPr>
          <w:spacing w:val="-3"/>
        </w:rPr>
        <w:t xml:space="preserve"> </w:t>
      </w:r>
      <w:r>
        <w:t>This process was conducted through the NAEP</w:t>
      </w:r>
      <w:r>
        <w:rPr>
          <w:spacing w:val="-7"/>
        </w:rPr>
        <w:t xml:space="preserve"> </w:t>
      </w:r>
      <w:r>
        <w:t>State or</w:t>
      </w:r>
      <w:r>
        <w:rPr>
          <w:spacing w:val="-3"/>
        </w:rPr>
        <w:t xml:space="preserve"> </w:t>
      </w:r>
      <w:r>
        <w:t>TUDA</w:t>
      </w:r>
      <w:r>
        <w:rPr>
          <w:spacing w:val="-10"/>
        </w:rPr>
        <w:t xml:space="preserve"> </w:t>
      </w:r>
      <w:r>
        <w:t>Coordinator in each jurisdiction.</w:t>
      </w:r>
      <w:r>
        <w:rPr>
          <w:spacing w:val="-3"/>
        </w:rPr>
        <w:t xml:space="preserve"> </w:t>
      </w:r>
      <w:r>
        <w:t>The Coordinators were sent</w:t>
      </w:r>
      <w:r>
        <w:rPr>
          <w:spacing w:val="-1"/>
        </w:rPr>
        <w:t xml:space="preserve"> </w:t>
      </w:r>
      <w:r>
        <w:t>the</w:t>
      </w:r>
      <w:r>
        <w:rPr>
          <w:spacing w:val="-1"/>
        </w:rPr>
        <w:t xml:space="preserve"> </w:t>
      </w:r>
      <w:r>
        <w:t>information</w:t>
      </w:r>
      <w:r>
        <w:rPr>
          <w:spacing w:val="-1"/>
        </w:rPr>
        <w:t xml:space="preserve"> </w:t>
      </w:r>
      <w:r>
        <w:t>for</w:t>
      </w:r>
      <w:r>
        <w:rPr>
          <w:spacing w:val="-1"/>
        </w:rPr>
        <w:t xml:space="preserve"> </w:t>
      </w:r>
      <w:r>
        <w:t>all</w:t>
      </w:r>
      <w:r>
        <w:rPr>
          <w:spacing w:val="-1"/>
        </w:rPr>
        <w:t xml:space="preserve"> </w:t>
      </w:r>
      <w:r>
        <w:t>sampled</w:t>
      </w:r>
      <w:r>
        <w:rPr>
          <w:spacing w:val="-1"/>
        </w:rPr>
        <w:t xml:space="preserve"> </w:t>
      </w:r>
      <w:r>
        <w:t>districts</w:t>
      </w:r>
      <w:r>
        <w:rPr>
          <w:spacing w:val="-1"/>
        </w:rPr>
        <w:t xml:space="preserve"> </w:t>
      </w:r>
      <w:r>
        <w:t>in</w:t>
      </w:r>
      <w:r>
        <w:rPr>
          <w:spacing w:val="-1"/>
        </w:rPr>
        <w:t xml:space="preserve"> </w:t>
      </w:r>
      <w:r>
        <w:t>their</w:t>
      </w:r>
      <w:r>
        <w:rPr>
          <w:spacing w:val="-1"/>
        </w:rPr>
        <w:t xml:space="preserve"> </w:t>
      </w:r>
      <w:r>
        <w:t>respective</w:t>
      </w:r>
      <w:r>
        <w:rPr>
          <w:spacing w:val="-1"/>
        </w:rPr>
        <w:t xml:space="preserve"> </w:t>
      </w:r>
      <w:r>
        <w:t>jurisdictions</w:t>
      </w:r>
      <w:r>
        <w:rPr>
          <w:spacing w:val="-1"/>
        </w:rPr>
        <w:t xml:space="preserve"> </w:t>
      </w:r>
      <w:r>
        <w:t>and</w:t>
      </w:r>
      <w:r>
        <w:rPr>
          <w:spacing w:val="-1"/>
        </w:rPr>
        <w:t xml:space="preserve"> </w:t>
      </w:r>
      <w:r>
        <w:t>were</w:t>
      </w:r>
      <w:r>
        <w:rPr>
          <w:spacing w:val="-1"/>
        </w:rPr>
        <w:t xml:space="preserve"> </w:t>
      </w:r>
      <w:r>
        <w:t>responsible</w:t>
      </w:r>
      <w:r>
        <w:rPr>
          <w:spacing w:val="-1"/>
        </w:rPr>
        <w:t xml:space="preserve"> </w:t>
      </w:r>
      <w:r>
        <w:t>for</w:t>
      </w:r>
      <w:r>
        <w:rPr>
          <w:spacing w:val="-1"/>
        </w:rPr>
        <w:t xml:space="preserve"> </w:t>
      </w:r>
      <w:r>
        <w:t>returning</w:t>
      </w:r>
      <w:r>
        <w:rPr>
          <w:spacing w:val="-1"/>
        </w:rPr>
        <w:t xml:space="preserve"> </w:t>
      </w:r>
      <w:r>
        <w:t>the</w:t>
      </w:r>
      <w:r>
        <w:rPr>
          <w:spacing w:val="-1"/>
        </w:rPr>
        <w:t xml:space="preserve"> </w:t>
      </w:r>
      <w:r>
        <w:t>completed</w:t>
      </w:r>
      <w:r>
        <w:rPr>
          <w:spacing w:val="-1"/>
        </w:rPr>
        <w:t xml:space="preserve"> </w:t>
      </w:r>
      <w:r>
        <w:t>updates.</w:t>
      </w:r>
      <w:r>
        <w:rPr>
          <w:spacing w:val="-12"/>
        </w:rPr>
        <w:t xml:space="preserve"> </w:t>
      </w:r>
      <w:r>
        <w:t>Any</w:t>
      </w:r>
      <w:r>
        <w:rPr>
          <w:spacing w:val="-1"/>
        </w:rPr>
        <w:t xml:space="preserve"> </w:t>
      </w:r>
      <w:r>
        <w:t>new</w:t>
      </w:r>
      <w:r>
        <w:rPr>
          <w:spacing w:val="-1"/>
        </w:rPr>
        <w:t xml:space="preserve"> </w:t>
      </w:r>
      <w:r>
        <w:t>schools</w:t>
      </w:r>
      <w:r>
        <w:rPr>
          <w:spacing w:val="-1"/>
        </w:rPr>
        <w:t xml:space="preserve"> </w:t>
      </w:r>
      <w:r>
        <w:t>reported</w:t>
      </w:r>
      <w:r>
        <w:rPr>
          <w:spacing w:val="-1"/>
        </w:rPr>
        <w:t xml:space="preserve"> </w:t>
      </w:r>
      <w:r>
        <w:t>by</w:t>
      </w:r>
      <w:r>
        <w:rPr>
          <w:spacing w:val="-1"/>
        </w:rPr>
        <w:t xml:space="preserve"> </w:t>
      </w:r>
      <w:r>
        <w:t>the</w:t>
      </w:r>
      <w:r>
        <w:rPr>
          <w:spacing w:val="-1"/>
        </w:rPr>
        <w:t xml:space="preserve"> </w:t>
      </w:r>
      <w:r>
        <w:t>states with</w:t>
      </w:r>
      <w:r>
        <w:rPr>
          <w:spacing w:val="-2"/>
        </w:rPr>
        <w:t xml:space="preserve"> </w:t>
      </w:r>
      <w:r>
        <w:t>one</w:t>
      </w:r>
      <w:r>
        <w:rPr>
          <w:spacing w:val="-2"/>
        </w:rPr>
        <w:t xml:space="preserve"> </w:t>
      </w:r>
      <w:r>
        <w:t>or</w:t>
      </w:r>
      <w:r>
        <w:rPr>
          <w:spacing w:val="-2"/>
        </w:rPr>
        <w:t xml:space="preserve"> </w:t>
      </w:r>
      <w:r>
        <w:t>more</w:t>
      </w:r>
      <w:r>
        <w:rPr>
          <w:spacing w:val="-2"/>
        </w:rPr>
        <w:t xml:space="preserve"> </w:t>
      </w:r>
      <w:r>
        <w:t>of</w:t>
      </w:r>
      <w:r>
        <w:rPr>
          <w:spacing w:val="-2"/>
        </w:rPr>
        <w:t xml:space="preserve"> </w:t>
      </w:r>
      <w:r>
        <w:t>the</w:t>
      </w:r>
      <w:r>
        <w:rPr>
          <w:spacing w:val="-2"/>
        </w:rPr>
        <w:t xml:space="preserve"> </w:t>
      </w:r>
      <w:r>
        <w:t>grades</w:t>
      </w:r>
      <w:r>
        <w:rPr>
          <w:spacing w:val="-2"/>
        </w:rPr>
        <w:t xml:space="preserve"> </w:t>
      </w:r>
      <w:r>
        <w:t>2-5</w:t>
      </w:r>
      <w:r>
        <w:rPr>
          <w:spacing w:val="-2"/>
        </w:rPr>
        <w:t xml:space="preserve"> </w:t>
      </w:r>
      <w:r>
        <w:t>were</w:t>
      </w:r>
      <w:r>
        <w:rPr>
          <w:spacing w:val="-2"/>
        </w:rPr>
        <w:t xml:space="preserve"> </w:t>
      </w:r>
      <w:r>
        <w:t>eligible</w:t>
      </w:r>
      <w:r>
        <w:rPr>
          <w:spacing w:val="-2"/>
        </w:rPr>
        <w:t xml:space="preserve"> </w:t>
      </w:r>
      <w:r>
        <w:t>for</w:t>
      </w:r>
      <w:r>
        <w:rPr>
          <w:spacing w:val="-2"/>
        </w:rPr>
        <w:t xml:space="preserve"> </w:t>
      </w:r>
      <w:r>
        <w:t>the</w:t>
      </w:r>
      <w:r>
        <w:rPr>
          <w:spacing w:val="-2"/>
        </w:rPr>
        <w:t xml:space="preserve"> </w:t>
      </w:r>
      <w:r>
        <w:t>age</w:t>
      </w:r>
      <w:r>
        <w:rPr>
          <w:spacing w:val="-2"/>
        </w:rPr>
        <w:t xml:space="preserve"> </w:t>
      </w:r>
      <w:r>
        <w:t>9</w:t>
      </w:r>
      <w:r>
        <w:rPr>
          <w:spacing w:val="-2"/>
        </w:rPr>
        <w:t xml:space="preserve"> </w:t>
      </w:r>
      <w:r>
        <w:t>assessments.</w:t>
      </w:r>
      <w:r>
        <w:rPr>
          <w:spacing w:val="-13"/>
        </w:rPr>
        <w:t xml:space="preserve"> </w:t>
      </w:r>
      <w:r>
        <w:t>Any</w:t>
      </w:r>
      <w:r>
        <w:rPr>
          <w:spacing w:val="-2"/>
        </w:rPr>
        <w:t xml:space="preserve"> </w:t>
      </w:r>
      <w:r>
        <w:t>new</w:t>
      </w:r>
      <w:r>
        <w:rPr>
          <w:spacing w:val="-2"/>
        </w:rPr>
        <w:t xml:space="preserve"> </w:t>
      </w:r>
      <w:r>
        <w:t>schools</w:t>
      </w:r>
      <w:r>
        <w:rPr>
          <w:spacing w:val="-2"/>
        </w:rPr>
        <w:t xml:space="preserve"> </w:t>
      </w:r>
      <w:r>
        <w:t>reported</w:t>
      </w:r>
      <w:r>
        <w:rPr>
          <w:spacing w:val="-2"/>
        </w:rPr>
        <w:t xml:space="preserve"> </w:t>
      </w:r>
      <w:r>
        <w:t>by</w:t>
      </w:r>
      <w:r>
        <w:rPr>
          <w:spacing w:val="-2"/>
        </w:rPr>
        <w:t xml:space="preserve"> </w:t>
      </w:r>
      <w:r>
        <w:t>the</w:t>
      </w:r>
      <w:r>
        <w:rPr>
          <w:spacing w:val="-2"/>
        </w:rPr>
        <w:t xml:space="preserve"> </w:t>
      </w:r>
      <w:r>
        <w:t>states</w:t>
      </w:r>
      <w:r>
        <w:rPr>
          <w:spacing w:val="-2"/>
        </w:rPr>
        <w:t xml:space="preserve"> </w:t>
      </w:r>
      <w:r>
        <w:t>with</w:t>
      </w:r>
      <w:r>
        <w:rPr>
          <w:spacing w:val="-2"/>
        </w:rPr>
        <w:t xml:space="preserve"> </w:t>
      </w:r>
      <w:r>
        <w:t>one</w:t>
      </w:r>
      <w:r>
        <w:rPr>
          <w:spacing w:val="-2"/>
        </w:rPr>
        <w:t xml:space="preserve"> </w:t>
      </w:r>
      <w:r>
        <w:t>or</w:t>
      </w:r>
      <w:r>
        <w:rPr>
          <w:spacing w:val="-2"/>
        </w:rPr>
        <w:t xml:space="preserve"> </w:t>
      </w:r>
      <w:r>
        <w:t>more</w:t>
      </w:r>
      <w:r>
        <w:rPr>
          <w:spacing w:val="-2"/>
        </w:rPr>
        <w:t xml:space="preserve"> </w:t>
      </w:r>
      <w:r>
        <w:t>of</w:t>
      </w:r>
      <w:r>
        <w:rPr>
          <w:spacing w:val="-2"/>
        </w:rPr>
        <w:t xml:space="preserve"> </w:t>
      </w:r>
      <w:r>
        <w:t>the</w:t>
      </w:r>
      <w:r>
        <w:rPr>
          <w:spacing w:val="-2"/>
        </w:rPr>
        <w:t xml:space="preserve"> </w:t>
      </w:r>
      <w:r>
        <w:t>grades</w:t>
      </w:r>
      <w:r>
        <w:rPr>
          <w:spacing w:val="-2"/>
        </w:rPr>
        <w:t xml:space="preserve"> </w:t>
      </w:r>
      <w:r>
        <w:t>6-9</w:t>
      </w:r>
      <w:r>
        <w:rPr>
          <w:spacing w:val="-2"/>
        </w:rPr>
        <w:t xml:space="preserve"> </w:t>
      </w:r>
      <w:r>
        <w:t>were</w:t>
      </w:r>
      <w:r>
        <w:rPr>
          <w:spacing w:val="-2"/>
        </w:rPr>
        <w:t xml:space="preserve"> </w:t>
      </w:r>
      <w:r>
        <w:t>eligible</w:t>
      </w:r>
      <w:r>
        <w:rPr>
          <w:spacing w:val="-2"/>
        </w:rPr>
        <w:t xml:space="preserve"> </w:t>
      </w:r>
      <w:r>
        <w:t>for</w:t>
      </w:r>
      <w:r>
        <w:rPr>
          <w:spacing w:val="-2"/>
        </w:rPr>
        <w:t xml:space="preserve"> </w:t>
      </w:r>
      <w:r>
        <w:t>the</w:t>
      </w:r>
      <w:r>
        <w:rPr>
          <w:spacing w:val="-2"/>
        </w:rPr>
        <w:t xml:space="preserve"> </w:t>
      </w:r>
      <w:r>
        <w:t>age 13</w:t>
      </w:r>
      <w:r>
        <w:rPr>
          <w:spacing w:val="-2"/>
        </w:rPr>
        <w:t xml:space="preserve"> </w:t>
      </w:r>
      <w:r>
        <w:t>assessments,</w:t>
      </w:r>
      <w:r>
        <w:rPr>
          <w:spacing w:val="-2"/>
        </w:rPr>
        <w:t xml:space="preserve"> </w:t>
      </w:r>
      <w:r>
        <w:t>provided</w:t>
      </w:r>
      <w:r>
        <w:rPr>
          <w:spacing w:val="-2"/>
        </w:rPr>
        <w:t xml:space="preserve"> </w:t>
      </w:r>
      <w:r>
        <w:t>another</w:t>
      </w:r>
      <w:r>
        <w:rPr>
          <w:spacing w:val="-2"/>
        </w:rPr>
        <w:t xml:space="preserve"> </w:t>
      </w:r>
      <w:r>
        <w:t>condition</w:t>
      </w:r>
      <w:r>
        <w:rPr>
          <w:spacing w:val="-2"/>
        </w:rPr>
        <w:t xml:space="preserve"> </w:t>
      </w:r>
      <w:r>
        <w:t>was</w:t>
      </w:r>
      <w:r>
        <w:rPr>
          <w:spacing w:val="-2"/>
        </w:rPr>
        <w:t xml:space="preserve"> </w:t>
      </w:r>
      <w:r>
        <w:t>met.</w:t>
      </w:r>
      <w:r>
        <w:rPr>
          <w:spacing w:val="-6"/>
        </w:rPr>
        <w:t xml:space="preserve"> </w:t>
      </w:r>
      <w:r>
        <w:t>That</w:t>
      </w:r>
      <w:r>
        <w:rPr>
          <w:spacing w:val="-2"/>
        </w:rPr>
        <w:t xml:space="preserve"> </w:t>
      </w:r>
      <w:r>
        <w:t>condition</w:t>
      </w:r>
      <w:r>
        <w:rPr>
          <w:spacing w:val="-2"/>
        </w:rPr>
        <w:t xml:space="preserve"> </w:t>
      </w:r>
      <w:r>
        <w:t>was</w:t>
      </w:r>
      <w:r>
        <w:rPr>
          <w:spacing w:val="-2"/>
        </w:rPr>
        <w:t xml:space="preserve"> </w:t>
      </w:r>
      <w:r>
        <w:t>that</w:t>
      </w:r>
      <w:r>
        <w:rPr>
          <w:spacing w:val="-2"/>
        </w:rPr>
        <w:t xml:space="preserve"> </w:t>
      </w:r>
      <w:r>
        <w:t>the</w:t>
      </w:r>
      <w:r>
        <w:rPr>
          <w:spacing w:val="-2"/>
        </w:rPr>
        <w:t xml:space="preserve"> </w:t>
      </w:r>
      <w:r>
        <w:t>new</w:t>
      </w:r>
      <w:r>
        <w:rPr>
          <w:spacing w:val="-2"/>
        </w:rPr>
        <w:t xml:space="preserve"> </w:t>
      </w:r>
      <w:r>
        <w:t>school</w:t>
      </w:r>
      <w:r>
        <w:rPr>
          <w:spacing w:val="-2"/>
        </w:rPr>
        <w:t xml:space="preserve"> </w:t>
      </w:r>
      <w:r>
        <w:t>was</w:t>
      </w:r>
      <w:r>
        <w:rPr>
          <w:spacing w:val="-2"/>
        </w:rPr>
        <w:t xml:space="preserve"> </w:t>
      </w:r>
      <w:r>
        <w:t>not</w:t>
      </w:r>
      <w:r>
        <w:rPr>
          <w:spacing w:val="-2"/>
        </w:rPr>
        <w:t xml:space="preserve"> </w:t>
      </w:r>
      <w:r>
        <w:t>already</w:t>
      </w:r>
      <w:r>
        <w:rPr>
          <w:spacing w:val="-2"/>
        </w:rPr>
        <w:t xml:space="preserve"> </w:t>
      </w:r>
      <w:r>
        <w:t>on</w:t>
      </w:r>
      <w:r>
        <w:rPr>
          <w:spacing w:val="-2"/>
        </w:rPr>
        <w:t xml:space="preserve"> </w:t>
      </w:r>
      <w:r>
        <w:t>the</w:t>
      </w:r>
      <w:r>
        <w:rPr>
          <w:spacing w:val="-2"/>
        </w:rPr>
        <w:t xml:space="preserve"> </w:t>
      </w:r>
      <w:r>
        <w:t>CCD</w:t>
      </w:r>
      <w:r>
        <w:rPr>
          <w:spacing w:val="-2"/>
        </w:rPr>
        <w:t xml:space="preserve"> </w:t>
      </w:r>
      <w:r>
        <w:t>file</w:t>
      </w:r>
      <w:r>
        <w:rPr>
          <w:spacing w:val="-2"/>
        </w:rPr>
        <w:t xml:space="preserve"> </w:t>
      </w:r>
      <w:r>
        <w:t>used</w:t>
      </w:r>
      <w:r>
        <w:rPr>
          <w:spacing w:val="-2"/>
        </w:rPr>
        <w:t xml:space="preserve"> </w:t>
      </w:r>
      <w:r>
        <w:t>to</w:t>
      </w:r>
      <w:r>
        <w:rPr>
          <w:spacing w:val="-2"/>
        </w:rPr>
        <w:t xml:space="preserve"> </w:t>
      </w:r>
      <w:r>
        <w:t>construct</w:t>
      </w:r>
      <w:r>
        <w:rPr>
          <w:spacing w:val="-2"/>
        </w:rPr>
        <w:t xml:space="preserve"> </w:t>
      </w:r>
      <w:r>
        <w:t>the</w:t>
      </w:r>
      <w:r>
        <w:rPr>
          <w:spacing w:val="-2"/>
        </w:rPr>
        <w:t xml:space="preserve"> </w:t>
      </w:r>
      <w:r>
        <w:t>age</w:t>
      </w:r>
      <w:r>
        <w:rPr>
          <w:spacing w:val="-2"/>
        </w:rPr>
        <w:t xml:space="preserve"> </w:t>
      </w:r>
      <w:r>
        <w:t>13</w:t>
      </w:r>
      <w:r>
        <w:rPr>
          <w:spacing w:val="-2"/>
        </w:rPr>
        <w:t xml:space="preserve"> </w:t>
      </w:r>
      <w:r>
        <w:t>school</w:t>
      </w:r>
      <w:r>
        <w:rPr>
          <w:spacing w:val="-2"/>
        </w:rPr>
        <w:t xml:space="preserve"> </w:t>
      </w:r>
      <w:r>
        <w:t>frame.</w:t>
      </w:r>
      <w:r>
        <w:rPr>
          <w:spacing w:val="-2"/>
        </w:rPr>
        <w:t xml:space="preserve"> </w:t>
      </w:r>
      <w:r>
        <w:t>Since that</w:t>
      </w:r>
      <w:r>
        <w:rPr>
          <w:spacing w:val="-6"/>
        </w:rPr>
        <w:t xml:space="preserve"> </w:t>
      </w:r>
      <w:r>
        <w:t>CCD</w:t>
      </w:r>
      <w:r>
        <w:rPr>
          <w:spacing w:val="-6"/>
        </w:rPr>
        <w:t xml:space="preserve"> </w:t>
      </w:r>
      <w:r>
        <w:t>file</w:t>
      </w:r>
      <w:r>
        <w:rPr>
          <w:spacing w:val="-6"/>
        </w:rPr>
        <w:t xml:space="preserve"> </w:t>
      </w:r>
      <w:r>
        <w:t>was</w:t>
      </w:r>
      <w:r>
        <w:rPr>
          <w:spacing w:val="-6"/>
        </w:rPr>
        <w:t xml:space="preserve"> </w:t>
      </w:r>
      <w:r>
        <w:t>one</w:t>
      </w:r>
      <w:r>
        <w:rPr>
          <w:spacing w:val="-6"/>
        </w:rPr>
        <w:t xml:space="preserve"> </w:t>
      </w:r>
      <w:r>
        <w:t>year</w:t>
      </w:r>
      <w:r>
        <w:rPr>
          <w:spacing w:val="-6"/>
        </w:rPr>
        <w:t xml:space="preserve"> </w:t>
      </w:r>
      <w:r>
        <w:t>newer</w:t>
      </w:r>
      <w:r>
        <w:rPr>
          <w:spacing w:val="-6"/>
        </w:rPr>
        <w:t xml:space="preserve"> </w:t>
      </w:r>
      <w:r>
        <w:t>than</w:t>
      </w:r>
      <w:r>
        <w:rPr>
          <w:spacing w:val="-6"/>
        </w:rPr>
        <w:t xml:space="preserve"> </w:t>
      </w:r>
      <w:r>
        <w:t>the</w:t>
      </w:r>
      <w:r>
        <w:rPr>
          <w:spacing w:val="-6"/>
        </w:rPr>
        <w:t xml:space="preserve"> </w:t>
      </w:r>
      <w:r>
        <w:t>one</w:t>
      </w:r>
      <w:r>
        <w:rPr>
          <w:spacing w:val="-6"/>
        </w:rPr>
        <w:t xml:space="preserve"> </w:t>
      </w:r>
      <w:r>
        <w:t>used</w:t>
      </w:r>
      <w:r>
        <w:rPr>
          <w:spacing w:val="-6"/>
        </w:rPr>
        <w:t xml:space="preserve"> </w:t>
      </w:r>
      <w:r>
        <w:t>for</w:t>
      </w:r>
      <w:r>
        <w:rPr>
          <w:spacing w:val="-6"/>
        </w:rPr>
        <w:t xml:space="preserve"> </w:t>
      </w:r>
      <w:r>
        <w:t>all</w:t>
      </w:r>
      <w:r>
        <w:rPr>
          <w:spacing w:val="-6"/>
        </w:rPr>
        <w:t xml:space="preserve"> </w:t>
      </w:r>
      <w:r>
        <w:t>the</w:t>
      </w:r>
      <w:r>
        <w:rPr>
          <w:spacing w:val="-6"/>
        </w:rPr>
        <w:t xml:space="preserve"> </w:t>
      </w:r>
      <w:r>
        <w:t>other</w:t>
      </w:r>
      <w:r>
        <w:rPr>
          <w:spacing w:val="-6"/>
        </w:rPr>
        <w:t xml:space="preserve"> </w:t>
      </w:r>
      <w:r>
        <w:t>NAEP</w:t>
      </w:r>
      <w:r>
        <w:rPr>
          <w:spacing w:val="-14"/>
        </w:rPr>
        <w:t xml:space="preserve"> </w:t>
      </w:r>
      <w:r>
        <w:t>2022</w:t>
      </w:r>
      <w:r>
        <w:rPr>
          <w:spacing w:val="-5"/>
        </w:rPr>
        <w:t xml:space="preserve"> </w:t>
      </w:r>
      <w:r>
        <w:t>samples,</w:t>
      </w:r>
      <w:r>
        <w:rPr>
          <w:spacing w:val="-6"/>
        </w:rPr>
        <w:t xml:space="preserve"> </w:t>
      </w:r>
      <w:r>
        <w:t>this</w:t>
      </w:r>
      <w:r>
        <w:rPr>
          <w:spacing w:val="-6"/>
        </w:rPr>
        <w:t xml:space="preserve"> </w:t>
      </w:r>
      <w:r>
        <w:t>condition</w:t>
      </w:r>
      <w:r>
        <w:rPr>
          <w:spacing w:val="-6"/>
        </w:rPr>
        <w:t xml:space="preserve"> </w:t>
      </w:r>
      <w:r>
        <w:t>was</w:t>
      </w:r>
      <w:r>
        <w:rPr>
          <w:spacing w:val="-6"/>
        </w:rPr>
        <w:t xml:space="preserve"> </w:t>
      </w:r>
      <w:r>
        <w:t>necessary.</w:t>
      </w:r>
      <w:r>
        <w:rPr>
          <w:spacing w:val="-6"/>
        </w:rPr>
        <w:t xml:space="preserve"> </w:t>
      </w:r>
      <w:r>
        <w:t>In</w:t>
      </w:r>
      <w:r>
        <w:rPr>
          <w:spacing w:val="-6"/>
        </w:rPr>
        <w:t xml:space="preserve"> </w:t>
      </w:r>
      <w:r>
        <w:t>addition,</w:t>
      </w:r>
      <w:r>
        <w:rPr>
          <w:spacing w:val="-6"/>
        </w:rPr>
        <w:t xml:space="preserve"> </w:t>
      </w:r>
      <w:r>
        <w:t>the</w:t>
      </w:r>
      <w:r>
        <w:rPr>
          <w:spacing w:val="-6"/>
        </w:rPr>
        <w:t xml:space="preserve"> </w:t>
      </w:r>
      <w:r>
        <w:t>LTT</w:t>
      </w:r>
      <w:r>
        <w:rPr>
          <w:spacing w:val="-10"/>
        </w:rPr>
        <w:t xml:space="preserve"> </w:t>
      </w:r>
      <w:r>
        <w:t>new-school</w:t>
      </w:r>
      <w:r>
        <w:rPr>
          <w:spacing w:val="-6"/>
        </w:rPr>
        <w:t xml:space="preserve"> </w:t>
      </w:r>
      <w:r>
        <w:t>frames</w:t>
      </w:r>
      <w:r>
        <w:rPr>
          <w:spacing w:val="-6"/>
        </w:rPr>
        <w:t xml:space="preserve"> </w:t>
      </w:r>
      <w:r>
        <w:t>were</w:t>
      </w:r>
      <w:r>
        <w:rPr>
          <w:spacing w:val="-6"/>
        </w:rPr>
        <w:t xml:space="preserve"> </w:t>
      </w:r>
      <w:r>
        <w:t>limited</w:t>
      </w:r>
      <w:r>
        <w:rPr>
          <w:spacing w:val="-6"/>
        </w:rPr>
        <w:t xml:space="preserve"> </w:t>
      </w:r>
      <w:r>
        <w:t>to the geographic areas covered by the sampled LTT primary sampling units (PSUs).</w:t>
      </w:r>
    </w:p>
    <w:p w:rsidR="003F5784" w14:paraId="7CCAEE29" w14:textId="77777777">
      <w:pPr>
        <w:pStyle w:val="BodyText"/>
        <w:spacing w:before="206"/>
        <w:ind w:left="38" w:right="743"/>
        <w:jc w:val="center"/>
      </w:pPr>
      <w:r>
        <w:t>The</w:t>
      </w:r>
      <w:r>
        <w:rPr>
          <w:spacing w:val="-7"/>
        </w:rPr>
        <w:t xml:space="preserve"> </w:t>
      </w:r>
      <w:r>
        <w:t>following</w:t>
      </w:r>
      <w:r>
        <w:rPr>
          <w:spacing w:val="-7"/>
        </w:rPr>
        <w:t xml:space="preserve"> </w:t>
      </w:r>
      <w:r>
        <w:t>tables</w:t>
      </w:r>
      <w:r>
        <w:rPr>
          <w:spacing w:val="-7"/>
        </w:rPr>
        <w:t xml:space="preserve"> </w:t>
      </w:r>
      <w:r>
        <w:t>present</w:t>
      </w:r>
      <w:r>
        <w:rPr>
          <w:spacing w:val="-7"/>
        </w:rPr>
        <w:t xml:space="preserve"> </w:t>
      </w:r>
      <w:r>
        <w:t>the</w:t>
      </w:r>
      <w:r>
        <w:rPr>
          <w:spacing w:val="-7"/>
        </w:rPr>
        <w:t xml:space="preserve"> </w:t>
      </w:r>
      <w:r>
        <w:t>number</w:t>
      </w:r>
      <w:r>
        <w:rPr>
          <w:spacing w:val="-6"/>
        </w:rPr>
        <w:t xml:space="preserve"> </w:t>
      </w:r>
      <w:r>
        <w:t>and</w:t>
      </w:r>
      <w:r>
        <w:rPr>
          <w:spacing w:val="-7"/>
        </w:rPr>
        <w:t xml:space="preserve"> </w:t>
      </w:r>
      <w:r>
        <w:t>percentage</w:t>
      </w:r>
      <w:r>
        <w:rPr>
          <w:spacing w:val="-7"/>
        </w:rPr>
        <w:t xml:space="preserve"> </w:t>
      </w:r>
      <w:r>
        <w:t>of</w:t>
      </w:r>
      <w:r>
        <w:rPr>
          <w:spacing w:val="-7"/>
        </w:rPr>
        <w:t xml:space="preserve"> </w:t>
      </w:r>
      <w:r>
        <w:t>schools</w:t>
      </w:r>
      <w:r>
        <w:rPr>
          <w:spacing w:val="-7"/>
        </w:rPr>
        <w:t xml:space="preserve"> </w:t>
      </w:r>
      <w:r>
        <w:t>and</w:t>
      </w:r>
      <w:r>
        <w:rPr>
          <w:spacing w:val="-6"/>
        </w:rPr>
        <w:t xml:space="preserve"> </w:t>
      </w:r>
      <w:r>
        <w:t>average</w:t>
      </w:r>
      <w:r>
        <w:rPr>
          <w:spacing w:val="-7"/>
        </w:rPr>
        <w:t xml:space="preserve"> </w:t>
      </w:r>
      <w:r>
        <w:t>estimated</w:t>
      </w:r>
      <w:r>
        <w:rPr>
          <w:spacing w:val="-7"/>
        </w:rPr>
        <w:t xml:space="preserve"> </w:t>
      </w:r>
      <w:r>
        <w:t>age</w:t>
      </w:r>
      <w:r>
        <w:rPr>
          <w:spacing w:val="-7"/>
        </w:rPr>
        <w:t xml:space="preserve"> </w:t>
      </w:r>
      <w:r>
        <w:t>enrollment</w:t>
      </w:r>
      <w:r>
        <w:rPr>
          <w:spacing w:val="-7"/>
        </w:rPr>
        <w:t xml:space="preserve"> </w:t>
      </w:r>
      <w:r>
        <w:t>for</w:t>
      </w:r>
      <w:r>
        <w:rPr>
          <w:spacing w:val="-6"/>
        </w:rPr>
        <w:t xml:space="preserve"> </w:t>
      </w:r>
      <w:r>
        <w:t>the</w:t>
      </w:r>
      <w:r>
        <w:rPr>
          <w:spacing w:val="-7"/>
        </w:rPr>
        <w:t xml:space="preserve"> </w:t>
      </w:r>
      <w:r>
        <w:t>LTT</w:t>
      </w:r>
      <w:r>
        <w:rPr>
          <w:spacing w:val="-11"/>
        </w:rPr>
        <w:t xml:space="preserve"> </w:t>
      </w:r>
      <w:r>
        <w:t>new-school</w:t>
      </w:r>
      <w:r>
        <w:rPr>
          <w:spacing w:val="-6"/>
        </w:rPr>
        <w:t xml:space="preserve"> </w:t>
      </w:r>
      <w:r>
        <w:t>frames</w:t>
      </w:r>
      <w:r>
        <w:rPr>
          <w:spacing w:val="-7"/>
        </w:rPr>
        <w:t xml:space="preserve"> </w:t>
      </w:r>
      <w:r>
        <w:t>by</w:t>
      </w:r>
      <w:r>
        <w:rPr>
          <w:spacing w:val="-7"/>
        </w:rPr>
        <w:t xml:space="preserve"> </w:t>
      </w:r>
      <w:r>
        <w:t>census</w:t>
      </w:r>
      <w:r>
        <w:rPr>
          <w:spacing w:val="-7"/>
        </w:rPr>
        <w:t xml:space="preserve"> </w:t>
      </w:r>
      <w:r>
        <w:t>region</w:t>
      </w:r>
      <w:r>
        <w:rPr>
          <w:spacing w:val="-7"/>
        </w:rPr>
        <w:t xml:space="preserve"> </w:t>
      </w:r>
      <w:r>
        <w:t>for</w:t>
      </w:r>
      <w:r>
        <w:rPr>
          <w:spacing w:val="-6"/>
        </w:rPr>
        <w:t xml:space="preserve"> </w:t>
      </w:r>
      <w:r>
        <w:t>each</w:t>
      </w:r>
      <w:r>
        <w:rPr>
          <w:spacing w:val="-7"/>
        </w:rPr>
        <w:t xml:space="preserve"> </w:t>
      </w:r>
      <w:r>
        <w:rPr>
          <w:spacing w:val="-4"/>
        </w:rPr>
        <w:t>age.</w:t>
      </w:r>
    </w:p>
    <w:p w:rsidR="003F5784" w14:paraId="101F8539" w14:textId="77777777">
      <w:pPr>
        <w:pStyle w:val="BodyText"/>
        <w:spacing w:before="90"/>
      </w:pPr>
    </w:p>
    <w:p w:rsidR="003F5784" w14:paraId="24468598" w14:textId="77777777">
      <w:pPr>
        <w:pStyle w:val="Heading2"/>
        <w:ind w:left="0" w:right="743"/>
        <w:jc w:val="center"/>
      </w:pPr>
      <w:r>
        <w:t>Number</w:t>
      </w:r>
      <w:r>
        <w:rPr>
          <w:spacing w:val="-11"/>
        </w:rPr>
        <w:t xml:space="preserve"> </w:t>
      </w:r>
      <w:r>
        <w:t>and</w:t>
      </w:r>
      <w:r>
        <w:rPr>
          <w:spacing w:val="-6"/>
        </w:rPr>
        <w:t xml:space="preserve"> </w:t>
      </w:r>
      <w:r>
        <w:t>percentage</w:t>
      </w:r>
      <w:r>
        <w:rPr>
          <w:spacing w:val="-7"/>
        </w:rPr>
        <w:t xml:space="preserve"> </w:t>
      </w:r>
      <w:r>
        <w:t>of</w:t>
      </w:r>
      <w:r>
        <w:rPr>
          <w:spacing w:val="-7"/>
        </w:rPr>
        <w:t xml:space="preserve"> </w:t>
      </w:r>
      <w:r>
        <w:t>schools</w:t>
      </w:r>
      <w:r>
        <w:rPr>
          <w:spacing w:val="-6"/>
        </w:rPr>
        <w:t xml:space="preserve"> </w:t>
      </w:r>
      <w:r>
        <w:t>and</w:t>
      </w:r>
      <w:r>
        <w:rPr>
          <w:spacing w:val="-7"/>
        </w:rPr>
        <w:t xml:space="preserve"> </w:t>
      </w:r>
      <w:r>
        <w:t>mean</w:t>
      </w:r>
      <w:r>
        <w:rPr>
          <w:spacing w:val="-7"/>
        </w:rPr>
        <w:t xml:space="preserve"> </w:t>
      </w:r>
      <w:r>
        <w:t>school</w:t>
      </w:r>
      <w:r>
        <w:rPr>
          <w:spacing w:val="-6"/>
        </w:rPr>
        <w:t xml:space="preserve"> </w:t>
      </w:r>
      <w:r>
        <w:t>size</w:t>
      </w:r>
      <w:r>
        <w:rPr>
          <w:spacing w:val="-7"/>
        </w:rPr>
        <w:t xml:space="preserve"> </w:t>
      </w:r>
      <w:r>
        <w:t>in</w:t>
      </w:r>
      <w:r>
        <w:rPr>
          <w:spacing w:val="-7"/>
        </w:rPr>
        <w:t xml:space="preserve"> </w:t>
      </w:r>
      <w:r>
        <w:t>the</w:t>
      </w:r>
      <w:r>
        <w:rPr>
          <w:spacing w:val="-6"/>
        </w:rPr>
        <w:t xml:space="preserve"> </w:t>
      </w:r>
      <w:r>
        <w:t>public</w:t>
      </w:r>
      <w:r>
        <w:rPr>
          <w:spacing w:val="-7"/>
        </w:rPr>
        <w:t xml:space="preserve"> </w:t>
      </w:r>
      <w:r>
        <w:t>new-school</w:t>
      </w:r>
      <w:r>
        <w:rPr>
          <w:spacing w:val="-7"/>
        </w:rPr>
        <w:t xml:space="preserve"> </w:t>
      </w:r>
      <w:r>
        <w:t>frame,</w:t>
      </w:r>
      <w:r>
        <w:rPr>
          <w:spacing w:val="-6"/>
        </w:rPr>
        <w:t xml:space="preserve"> </w:t>
      </w:r>
      <w:r>
        <w:t>long-term</w:t>
      </w:r>
      <w:r>
        <w:rPr>
          <w:spacing w:val="-7"/>
        </w:rPr>
        <w:t xml:space="preserve"> </w:t>
      </w:r>
      <w:r>
        <w:t>trend</w:t>
      </w:r>
      <w:r>
        <w:rPr>
          <w:spacing w:val="-7"/>
        </w:rPr>
        <w:t xml:space="preserve"> </w:t>
      </w:r>
      <w:r>
        <w:t>assessment</w:t>
      </w:r>
      <w:r>
        <w:rPr>
          <w:spacing w:val="-6"/>
        </w:rPr>
        <w:t xml:space="preserve"> </w:t>
      </w:r>
      <w:r>
        <w:t>for</w:t>
      </w:r>
      <w:r>
        <w:rPr>
          <w:spacing w:val="-10"/>
        </w:rPr>
        <w:t xml:space="preserve"> </w:t>
      </w:r>
      <w:r>
        <w:t>age</w:t>
      </w:r>
      <w:r>
        <w:rPr>
          <w:spacing w:val="-7"/>
        </w:rPr>
        <w:t xml:space="preserve"> </w:t>
      </w:r>
      <w:r>
        <w:t>9,</w:t>
      </w:r>
      <w:r>
        <w:rPr>
          <w:spacing w:val="-7"/>
        </w:rPr>
        <w:t xml:space="preserve"> </w:t>
      </w:r>
      <w:r>
        <w:t>by</w:t>
      </w:r>
      <w:r>
        <w:rPr>
          <w:spacing w:val="-6"/>
        </w:rPr>
        <w:t xml:space="preserve"> </w:t>
      </w:r>
      <w:r>
        <w:t>census</w:t>
      </w:r>
      <w:r>
        <w:rPr>
          <w:spacing w:val="-7"/>
        </w:rPr>
        <w:t xml:space="preserve"> </w:t>
      </w:r>
      <w:r>
        <w:t>region:</w:t>
      </w:r>
      <w:r>
        <w:rPr>
          <w:spacing w:val="-7"/>
        </w:rPr>
        <w:t xml:space="preserve"> </w:t>
      </w:r>
      <w:r>
        <w:rPr>
          <w:spacing w:val="-4"/>
        </w:rPr>
        <w:t>2022</w:t>
      </w:r>
    </w:p>
    <w:p w:rsidR="003F5784" w14:paraId="407FE04D"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3448"/>
        <w:gridCol w:w="3956"/>
        <w:gridCol w:w="3541"/>
        <w:gridCol w:w="3038"/>
      </w:tblGrid>
      <w:tr w14:paraId="58182010" w14:textId="77777777">
        <w:tblPrEx>
          <w:tblW w:w="0" w:type="auto"/>
          <w:tblInd w:w="482" w:type="dxa"/>
          <w:tblLayout w:type="fixed"/>
          <w:tblCellMar>
            <w:left w:w="0" w:type="dxa"/>
            <w:right w:w="0" w:type="dxa"/>
          </w:tblCellMar>
          <w:tblLook w:val="01E0"/>
        </w:tblPrEx>
        <w:trPr>
          <w:trHeight w:val="267"/>
        </w:trPr>
        <w:tc>
          <w:tcPr>
            <w:tcW w:w="3448" w:type="dxa"/>
            <w:tcBorders>
              <w:top w:val="single" w:sz="18" w:space="0" w:color="800000"/>
              <w:bottom w:val="single" w:sz="18" w:space="0" w:color="800000"/>
            </w:tcBorders>
          </w:tcPr>
          <w:p w:rsidR="003F5784" w14:paraId="04CCB9C6" w14:textId="77777777">
            <w:pPr>
              <w:pStyle w:val="TableParagraph"/>
              <w:spacing w:before="9" w:line="238" w:lineRule="exact"/>
              <w:ind w:left="120"/>
              <w:jc w:val="left"/>
              <w:rPr>
                <w:sz w:val="21"/>
              </w:rPr>
            </w:pPr>
            <w:r>
              <w:rPr>
                <w:sz w:val="21"/>
              </w:rPr>
              <w:t>Census</w:t>
            </w:r>
            <w:r>
              <w:rPr>
                <w:spacing w:val="-8"/>
                <w:sz w:val="21"/>
              </w:rPr>
              <w:t xml:space="preserve"> </w:t>
            </w:r>
            <w:r>
              <w:rPr>
                <w:spacing w:val="-2"/>
                <w:sz w:val="21"/>
              </w:rPr>
              <w:t>region</w:t>
            </w:r>
          </w:p>
        </w:tc>
        <w:tc>
          <w:tcPr>
            <w:tcW w:w="3956" w:type="dxa"/>
            <w:tcBorders>
              <w:top w:val="single" w:sz="18" w:space="0" w:color="800000"/>
              <w:bottom w:val="single" w:sz="18" w:space="0" w:color="800000"/>
            </w:tcBorders>
          </w:tcPr>
          <w:p w:rsidR="003F5784" w14:paraId="3CFFA591" w14:textId="77777777">
            <w:pPr>
              <w:pStyle w:val="TableParagraph"/>
              <w:spacing w:before="9" w:line="238" w:lineRule="exact"/>
              <w:ind w:left="2141"/>
              <w:jc w:val="left"/>
              <w:rPr>
                <w:sz w:val="21"/>
              </w:rPr>
            </w:pPr>
            <w:r>
              <w:rPr>
                <w:spacing w:val="-2"/>
                <w:sz w:val="21"/>
              </w:rPr>
              <w:t>Schools</w:t>
            </w:r>
          </w:p>
        </w:tc>
        <w:tc>
          <w:tcPr>
            <w:tcW w:w="3541" w:type="dxa"/>
            <w:tcBorders>
              <w:top w:val="single" w:sz="18" w:space="0" w:color="800000"/>
              <w:bottom w:val="single" w:sz="18" w:space="0" w:color="800000"/>
            </w:tcBorders>
          </w:tcPr>
          <w:p w:rsidR="003F5784" w14:paraId="367F6DD7" w14:textId="77777777">
            <w:pPr>
              <w:pStyle w:val="TableParagraph"/>
              <w:spacing w:before="9" w:line="238" w:lineRule="exact"/>
              <w:ind w:left="1155"/>
              <w:jc w:val="left"/>
              <w:rPr>
                <w:sz w:val="21"/>
              </w:rPr>
            </w:pPr>
            <w:r>
              <w:rPr>
                <w:spacing w:val="-2"/>
                <w:sz w:val="21"/>
              </w:rPr>
              <w:t>Percentage</w:t>
            </w:r>
          </w:p>
        </w:tc>
        <w:tc>
          <w:tcPr>
            <w:tcW w:w="3038" w:type="dxa"/>
            <w:tcBorders>
              <w:top w:val="single" w:sz="18" w:space="0" w:color="800000"/>
              <w:bottom w:val="single" w:sz="18" w:space="0" w:color="800000"/>
            </w:tcBorders>
          </w:tcPr>
          <w:p w:rsidR="003F5784" w14:paraId="51A5937E" w14:textId="77777777">
            <w:pPr>
              <w:pStyle w:val="TableParagraph"/>
              <w:spacing w:before="9" w:line="238" w:lineRule="exact"/>
              <w:ind w:left="1472"/>
              <w:jc w:val="left"/>
              <w:rPr>
                <w:sz w:val="21"/>
              </w:rPr>
            </w:pPr>
            <w:r>
              <w:rPr>
                <w:sz w:val="21"/>
              </w:rPr>
              <w:t>Mean</w:t>
            </w:r>
            <w:r>
              <w:rPr>
                <w:spacing w:val="-7"/>
                <w:sz w:val="21"/>
              </w:rPr>
              <w:t xml:space="preserve"> </w:t>
            </w:r>
            <w:r>
              <w:rPr>
                <w:sz w:val="21"/>
              </w:rPr>
              <w:t>school</w:t>
            </w:r>
            <w:r>
              <w:rPr>
                <w:spacing w:val="-6"/>
                <w:sz w:val="21"/>
              </w:rPr>
              <w:t xml:space="preserve"> </w:t>
            </w:r>
            <w:r>
              <w:rPr>
                <w:spacing w:val="-4"/>
                <w:sz w:val="21"/>
              </w:rPr>
              <w:t>size</w:t>
            </w:r>
          </w:p>
        </w:tc>
      </w:tr>
    </w:tbl>
    <w:p w:rsidR="003F5784" w14:paraId="3092F71B" w14:textId="77777777">
      <w:pPr>
        <w:spacing w:line="238" w:lineRule="exact"/>
        <w:rPr>
          <w:sz w:val="21"/>
        </w:rPr>
        <w:sectPr>
          <w:pgSz w:w="15840" w:h="12240" w:orient="landscape"/>
          <w:pgMar w:top="480" w:right="440" w:bottom="460" w:left="460" w:header="284" w:footer="275" w:gutter="0"/>
          <w:cols w:space="720"/>
        </w:sectPr>
      </w:pPr>
    </w:p>
    <w:p w:rsidR="003F5784" w14:paraId="111E92DD" w14:textId="77777777">
      <w:pPr>
        <w:pStyle w:val="BodyText"/>
        <w:tabs>
          <w:tab w:val="left" w:pos="6063"/>
          <w:tab w:val="left" w:pos="9034"/>
          <w:tab w:val="left" w:pos="12891"/>
        </w:tabs>
        <w:spacing w:before="98" w:after="20"/>
        <w:ind w:left="595"/>
      </w:pPr>
      <w:r>
        <w:t>Census</w:t>
      </w:r>
      <w:r>
        <w:rPr>
          <w:spacing w:val="-8"/>
        </w:rPr>
        <w:t xml:space="preserve"> </w:t>
      </w:r>
      <w:r>
        <w:rPr>
          <w:spacing w:val="-2"/>
        </w:rPr>
        <w:t>region</w:t>
      </w:r>
      <w:r>
        <w:tab/>
      </w:r>
      <w:r>
        <w:rPr>
          <w:spacing w:val="-2"/>
        </w:rPr>
        <w:t>Schools</w:t>
      </w:r>
      <w:r>
        <w:tab/>
      </w:r>
      <w:r>
        <w:rPr>
          <w:spacing w:val="-2"/>
        </w:rPr>
        <w:t>Percentage</w:t>
      </w:r>
      <w:r>
        <w:tab/>
        <w:t>Mean</w:t>
      </w:r>
      <w:r>
        <w:rPr>
          <w:spacing w:val="-7"/>
        </w:rPr>
        <w:t xml:space="preserve"> </w:t>
      </w:r>
      <w:r>
        <w:t>school</w:t>
      </w:r>
      <w:r>
        <w:rPr>
          <w:spacing w:val="-6"/>
        </w:rPr>
        <w:t xml:space="preserve"> </w:t>
      </w:r>
      <w:r>
        <w:rPr>
          <w:spacing w:val="-4"/>
        </w:rPr>
        <w:t>size</w:t>
      </w:r>
    </w:p>
    <w:tbl>
      <w:tblPr>
        <w:tblW w:w="0" w:type="auto"/>
        <w:tblInd w:w="482" w:type="dxa"/>
        <w:tblLayout w:type="fixed"/>
        <w:tblCellMar>
          <w:left w:w="0" w:type="dxa"/>
          <w:right w:w="0" w:type="dxa"/>
        </w:tblCellMar>
        <w:tblLook w:val="01E0"/>
      </w:tblPr>
      <w:tblGrid>
        <w:gridCol w:w="3434"/>
        <w:gridCol w:w="4142"/>
        <w:gridCol w:w="3991"/>
        <w:gridCol w:w="2420"/>
      </w:tblGrid>
      <w:tr w14:paraId="02047FFA" w14:textId="77777777">
        <w:tblPrEx>
          <w:tblW w:w="0" w:type="auto"/>
          <w:tblInd w:w="482" w:type="dxa"/>
          <w:tblLayout w:type="fixed"/>
          <w:tblCellMar>
            <w:left w:w="0" w:type="dxa"/>
            <w:right w:w="0" w:type="dxa"/>
          </w:tblCellMar>
          <w:tblLook w:val="01E0"/>
        </w:tblPrEx>
        <w:trPr>
          <w:trHeight w:val="278"/>
        </w:trPr>
        <w:tc>
          <w:tcPr>
            <w:tcW w:w="3434" w:type="dxa"/>
            <w:tcBorders>
              <w:top w:val="single" w:sz="18" w:space="0" w:color="800000"/>
            </w:tcBorders>
          </w:tcPr>
          <w:p w:rsidR="003F5784" w14:paraId="5CF4E9C5" w14:textId="77777777">
            <w:pPr>
              <w:pStyle w:val="TableParagraph"/>
              <w:spacing w:before="9"/>
              <w:ind w:left="370"/>
              <w:jc w:val="left"/>
              <w:rPr>
                <w:b/>
                <w:sz w:val="21"/>
              </w:rPr>
            </w:pPr>
            <w:r>
              <w:rPr>
                <w:b/>
                <w:spacing w:val="-2"/>
                <w:sz w:val="21"/>
              </w:rPr>
              <w:t>Total</w:t>
            </w:r>
          </w:p>
        </w:tc>
        <w:tc>
          <w:tcPr>
            <w:tcW w:w="4142" w:type="dxa"/>
            <w:tcBorders>
              <w:top w:val="single" w:sz="18" w:space="0" w:color="800000"/>
            </w:tcBorders>
          </w:tcPr>
          <w:p w:rsidR="003F5784" w14:paraId="3AB92154" w14:textId="77777777">
            <w:pPr>
              <w:pStyle w:val="TableParagraph"/>
              <w:spacing w:before="9"/>
              <w:ind w:right="1324"/>
              <w:rPr>
                <w:b/>
                <w:sz w:val="21"/>
              </w:rPr>
            </w:pPr>
            <w:r>
              <w:rPr>
                <w:b/>
                <w:spacing w:val="-5"/>
                <w:sz w:val="21"/>
              </w:rPr>
              <w:t>183</w:t>
            </w:r>
          </w:p>
        </w:tc>
        <w:tc>
          <w:tcPr>
            <w:tcW w:w="3991" w:type="dxa"/>
            <w:tcBorders>
              <w:top w:val="single" w:sz="18" w:space="0" w:color="800000"/>
            </w:tcBorders>
          </w:tcPr>
          <w:p w:rsidR="003F5784" w14:paraId="6B406988" w14:textId="77777777">
            <w:pPr>
              <w:pStyle w:val="TableParagraph"/>
              <w:spacing w:before="9"/>
              <w:ind w:left="1325"/>
              <w:jc w:val="left"/>
              <w:rPr>
                <w:b/>
                <w:sz w:val="21"/>
              </w:rPr>
            </w:pPr>
            <w:r>
              <w:rPr>
                <w:b/>
                <w:spacing w:val="-2"/>
                <w:sz w:val="21"/>
              </w:rPr>
              <w:t>100.00</w:t>
            </w:r>
          </w:p>
        </w:tc>
        <w:tc>
          <w:tcPr>
            <w:tcW w:w="2420" w:type="dxa"/>
            <w:tcBorders>
              <w:top w:val="single" w:sz="18" w:space="0" w:color="800000"/>
            </w:tcBorders>
          </w:tcPr>
          <w:p w:rsidR="003F5784" w14:paraId="211D7454" w14:textId="77777777">
            <w:pPr>
              <w:pStyle w:val="TableParagraph"/>
              <w:spacing w:before="9"/>
              <w:ind w:right="120"/>
              <w:rPr>
                <w:b/>
                <w:sz w:val="21"/>
              </w:rPr>
            </w:pPr>
            <w:r>
              <w:rPr>
                <w:b/>
                <w:spacing w:val="-5"/>
                <w:sz w:val="21"/>
              </w:rPr>
              <w:t>42</w:t>
            </w:r>
          </w:p>
        </w:tc>
      </w:tr>
      <w:tr w14:paraId="544BCE90" w14:textId="77777777">
        <w:tblPrEx>
          <w:tblW w:w="0" w:type="auto"/>
          <w:tblInd w:w="482" w:type="dxa"/>
          <w:tblLayout w:type="fixed"/>
          <w:tblCellMar>
            <w:left w:w="0" w:type="dxa"/>
            <w:right w:w="0" w:type="dxa"/>
          </w:tblCellMar>
          <w:tblLook w:val="01E0"/>
        </w:tblPrEx>
        <w:trPr>
          <w:trHeight w:val="286"/>
        </w:trPr>
        <w:tc>
          <w:tcPr>
            <w:tcW w:w="3434" w:type="dxa"/>
          </w:tcPr>
          <w:p w:rsidR="003F5784" w14:paraId="01AE5BE9" w14:textId="77777777">
            <w:pPr>
              <w:pStyle w:val="TableParagraph"/>
              <w:ind w:left="120"/>
              <w:jc w:val="left"/>
              <w:rPr>
                <w:sz w:val="21"/>
              </w:rPr>
            </w:pPr>
            <w:r>
              <w:rPr>
                <w:spacing w:val="-2"/>
                <w:sz w:val="21"/>
              </w:rPr>
              <w:t>Northeast</w:t>
            </w:r>
          </w:p>
        </w:tc>
        <w:tc>
          <w:tcPr>
            <w:tcW w:w="4142" w:type="dxa"/>
          </w:tcPr>
          <w:p w:rsidR="003F5784" w14:paraId="1908B511" w14:textId="77777777">
            <w:pPr>
              <w:pStyle w:val="TableParagraph"/>
              <w:ind w:right="1324"/>
              <w:rPr>
                <w:sz w:val="21"/>
              </w:rPr>
            </w:pPr>
            <w:r>
              <w:rPr>
                <w:spacing w:val="-5"/>
                <w:sz w:val="21"/>
              </w:rPr>
              <w:t>22</w:t>
            </w:r>
          </w:p>
        </w:tc>
        <w:tc>
          <w:tcPr>
            <w:tcW w:w="3991" w:type="dxa"/>
          </w:tcPr>
          <w:p w:rsidR="003F5784" w14:paraId="7E171938" w14:textId="77777777">
            <w:pPr>
              <w:pStyle w:val="TableParagraph"/>
              <w:ind w:left="1429"/>
              <w:jc w:val="left"/>
              <w:rPr>
                <w:sz w:val="21"/>
              </w:rPr>
            </w:pPr>
            <w:r>
              <w:rPr>
                <w:spacing w:val="-2"/>
                <w:sz w:val="21"/>
              </w:rPr>
              <w:t>12.02</w:t>
            </w:r>
          </w:p>
        </w:tc>
        <w:tc>
          <w:tcPr>
            <w:tcW w:w="2420" w:type="dxa"/>
          </w:tcPr>
          <w:p w:rsidR="003F5784" w14:paraId="572F7FEF" w14:textId="77777777">
            <w:pPr>
              <w:pStyle w:val="TableParagraph"/>
              <w:ind w:right="120"/>
              <w:rPr>
                <w:sz w:val="21"/>
              </w:rPr>
            </w:pPr>
            <w:r>
              <w:rPr>
                <w:spacing w:val="-5"/>
                <w:sz w:val="21"/>
              </w:rPr>
              <w:t>10</w:t>
            </w:r>
          </w:p>
        </w:tc>
      </w:tr>
      <w:tr w14:paraId="5932A006" w14:textId="77777777">
        <w:tblPrEx>
          <w:tblW w:w="0" w:type="auto"/>
          <w:tblInd w:w="482" w:type="dxa"/>
          <w:tblLayout w:type="fixed"/>
          <w:tblCellMar>
            <w:left w:w="0" w:type="dxa"/>
            <w:right w:w="0" w:type="dxa"/>
          </w:tblCellMar>
          <w:tblLook w:val="01E0"/>
        </w:tblPrEx>
        <w:trPr>
          <w:trHeight w:val="286"/>
        </w:trPr>
        <w:tc>
          <w:tcPr>
            <w:tcW w:w="3434" w:type="dxa"/>
          </w:tcPr>
          <w:p w:rsidR="003F5784" w14:paraId="7B4042E0" w14:textId="77777777">
            <w:pPr>
              <w:pStyle w:val="TableParagraph"/>
              <w:ind w:left="120"/>
              <w:jc w:val="left"/>
              <w:rPr>
                <w:sz w:val="21"/>
              </w:rPr>
            </w:pPr>
            <w:r>
              <w:rPr>
                <w:spacing w:val="-2"/>
                <w:sz w:val="21"/>
              </w:rPr>
              <w:t>Midwest</w:t>
            </w:r>
          </w:p>
        </w:tc>
        <w:tc>
          <w:tcPr>
            <w:tcW w:w="4142" w:type="dxa"/>
          </w:tcPr>
          <w:p w:rsidR="003F5784" w14:paraId="6B528009" w14:textId="77777777">
            <w:pPr>
              <w:pStyle w:val="TableParagraph"/>
              <w:ind w:right="1324"/>
              <w:rPr>
                <w:sz w:val="21"/>
              </w:rPr>
            </w:pPr>
            <w:r>
              <w:rPr>
                <w:spacing w:val="-5"/>
                <w:sz w:val="21"/>
              </w:rPr>
              <w:t>37</w:t>
            </w:r>
          </w:p>
        </w:tc>
        <w:tc>
          <w:tcPr>
            <w:tcW w:w="3991" w:type="dxa"/>
          </w:tcPr>
          <w:p w:rsidR="003F5784" w14:paraId="5706D26D" w14:textId="77777777">
            <w:pPr>
              <w:pStyle w:val="TableParagraph"/>
              <w:ind w:left="1429"/>
              <w:jc w:val="left"/>
              <w:rPr>
                <w:sz w:val="21"/>
              </w:rPr>
            </w:pPr>
            <w:r>
              <w:rPr>
                <w:spacing w:val="-2"/>
                <w:sz w:val="21"/>
              </w:rPr>
              <w:t>20.22</w:t>
            </w:r>
          </w:p>
        </w:tc>
        <w:tc>
          <w:tcPr>
            <w:tcW w:w="2420" w:type="dxa"/>
          </w:tcPr>
          <w:p w:rsidR="003F5784" w14:paraId="3BC394DC" w14:textId="77777777">
            <w:pPr>
              <w:pStyle w:val="TableParagraph"/>
              <w:ind w:right="120"/>
              <w:rPr>
                <w:sz w:val="21"/>
              </w:rPr>
            </w:pPr>
            <w:r>
              <w:rPr>
                <w:spacing w:val="-5"/>
                <w:sz w:val="21"/>
              </w:rPr>
              <w:t>20</w:t>
            </w:r>
          </w:p>
        </w:tc>
      </w:tr>
      <w:tr w14:paraId="236F9CB7" w14:textId="77777777">
        <w:tblPrEx>
          <w:tblW w:w="0" w:type="auto"/>
          <w:tblInd w:w="482" w:type="dxa"/>
          <w:tblLayout w:type="fixed"/>
          <w:tblCellMar>
            <w:left w:w="0" w:type="dxa"/>
            <w:right w:w="0" w:type="dxa"/>
          </w:tblCellMar>
          <w:tblLook w:val="01E0"/>
        </w:tblPrEx>
        <w:trPr>
          <w:trHeight w:val="286"/>
        </w:trPr>
        <w:tc>
          <w:tcPr>
            <w:tcW w:w="3434" w:type="dxa"/>
          </w:tcPr>
          <w:p w:rsidR="003F5784" w14:paraId="0631F9CC" w14:textId="77777777">
            <w:pPr>
              <w:pStyle w:val="TableParagraph"/>
              <w:ind w:left="120"/>
              <w:jc w:val="left"/>
              <w:rPr>
                <w:sz w:val="21"/>
              </w:rPr>
            </w:pPr>
            <w:r>
              <w:rPr>
                <w:spacing w:val="-2"/>
                <w:sz w:val="21"/>
              </w:rPr>
              <w:t>South</w:t>
            </w:r>
          </w:p>
        </w:tc>
        <w:tc>
          <w:tcPr>
            <w:tcW w:w="4142" w:type="dxa"/>
          </w:tcPr>
          <w:p w:rsidR="003F5784" w14:paraId="4648C500" w14:textId="77777777">
            <w:pPr>
              <w:pStyle w:val="TableParagraph"/>
              <w:ind w:right="1324"/>
              <w:rPr>
                <w:sz w:val="21"/>
              </w:rPr>
            </w:pPr>
            <w:r>
              <w:rPr>
                <w:spacing w:val="-5"/>
                <w:sz w:val="21"/>
              </w:rPr>
              <w:t>92</w:t>
            </w:r>
          </w:p>
        </w:tc>
        <w:tc>
          <w:tcPr>
            <w:tcW w:w="3991" w:type="dxa"/>
          </w:tcPr>
          <w:p w:rsidR="003F5784" w14:paraId="70BA6C2F" w14:textId="77777777">
            <w:pPr>
              <w:pStyle w:val="TableParagraph"/>
              <w:ind w:left="1429"/>
              <w:jc w:val="left"/>
              <w:rPr>
                <w:sz w:val="21"/>
              </w:rPr>
            </w:pPr>
            <w:r>
              <w:rPr>
                <w:spacing w:val="-2"/>
                <w:sz w:val="21"/>
              </w:rPr>
              <w:t>50.27</w:t>
            </w:r>
          </w:p>
        </w:tc>
        <w:tc>
          <w:tcPr>
            <w:tcW w:w="2420" w:type="dxa"/>
          </w:tcPr>
          <w:p w:rsidR="003F5784" w14:paraId="3AD54973" w14:textId="77777777">
            <w:pPr>
              <w:pStyle w:val="TableParagraph"/>
              <w:ind w:right="120"/>
              <w:rPr>
                <w:sz w:val="21"/>
              </w:rPr>
            </w:pPr>
            <w:r>
              <w:rPr>
                <w:spacing w:val="-5"/>
                <w:sz w:val="21"/>
              </w:rPr>
              <w:t>45</w:t>
            </w:r>
          </w:p>
        </w:tc>
      </w:tr>
      <w:tr w14:paraId="41CD72BC" w14:textId="77777777">
        <w:tblPrEx>
          <w:tblW w:w="0" w:type="auto"/>
          <w:tblInd w:w="482" w:type="dxa"/>
          <w:tblLayout w:type="fixed"/>
          <w:tblCellMar>
            <w:left w:w="0" w:type="dxa"/>
            <w:right w:w="0" w:type="dxa"/>
          </w:tblCellMar>
          <w:tblLook w:val="01E0"/>
        </w:tblPrEx>
        <w:trPr>
          <w:trHeight w:val="288"/>
        </w:trPr>
        <w:tc>
          <w:tcPr>
            <w:tcW w:w="3434" w:type="dxa"/>
            <w:tcBorders>
              <w:bottom w:val="single" w:sz="18" w:space="0" w:color="800000"/>
            </w:tcBorders>
          </w:tcPr>
          <w:p w:rsidR="003F5784" w14:paraId="0BDBED74" w14:textId="77777777">
            <w:pPr>
              <w:pStyle w:val="TableParagraph"/>
              <w:ind w:left="120"/>
              <w:jc w:val="left"/>
              <w:rPr>
                <w:sz w:val="21"/>
              </w:rPr>
            </w:pPr>
            <w:r>
              <w:rPr>
                <w:spacing w:val="-4"/>
                <w:sz w:val="21"/>
              </w:rPr>
              <w:t>West</w:t>
            </w:r>
          </w:p>
        </w:tc>
        <w:tc>
          <w:tcPr>
            <w:tcW w:w="4142" w:type="dxa"/>
            <w:tcBorders>
              <w:bottom w:val="single" w:sz="18" w:space="0" w:color="800000"/>
            </w:tcBorders>
          </w:tcPr>
          <w:p w:rsidR="003F5784" w14:paraId="0F312DDF" w14:textId="77777777">
            <w:pPr>
              <w:pStyle w:val="TableParagraph"/>
              <w:ind w:right="1324"/>
              <w:rPr>
                <w:sz w:val="21"/>
              </w:rPr>
            </w:pPr>
            <w:r>
              <w:rPr>
                <w:spacing w:val="-5"/>
                <w:sz w:val="21"/>
              </w:rPr>
              <w:t>32</w:t>
            </w:r>
          </w:p>
        </w:tc>
        <w:tc>
          <w:tcPr>
            <w:tcW w:w="3991" w:type="dxa"/>
            <w:tcBorders>
              <w:bottom w:val="single" w:sz="18" w:space="0" w:color="800000"/>
            </w:tcBorders>
          </w:tcPr>
          <w:p w:rsidR="003F5784" w14:paraId="6CB9765C" w14:textId="77777777">
            <w:pPr>
              <w:pStyle w:val="TableParagraph"/>
              <w:ind w:left="1429"/>
              <w:jc w:val="left"/>
              <w:rPr>
                <w:sz w:val="21"/>
              </w:rPr>
            </w:pPr>
            <w:r>
              <w:rPr>
                <w:spacing w:val="-2"/>
                <w:sz w:val="21"/>
              </w:rPr>
              <w:t>17.49</w:t>
            </w:r>
          </w:p>
        </w:tc>
        <w:tc>
          <w:tcPr>
            <w:tcW w:w="2420" w:type="dxa"/>
            <w:tcBorders>
              <w:bottom w:val="single" w:sz="18" w:space="0" w:color="800000"/>
            </w:tcBorders>
          </w:tcPr>
          <w:p w:rsidR="003F5784" w14:paraId="21FEAA06" w14:textId="77777777">
            <w:pPr>
              <w:pStyle w:val="TableParagraph"/>
              <w:ind w:right="120"/>
              <w:rPr>
                <w:sz w:val="21"/>
              </w:rPr>
            </w:pPr>
            <w:r>
              <w:rPr>
                <w:spacing w:val="-5"/>
                <w:sz w:val="21"/>
              </w:rPr>
              <w:t>51</w:t>
            </w:r>
          </w:p>
        </w:tc>
      </w:tr>
      <w:tr w14:paraId="73CBF21A" w14:textId="77777777">
        <w:tblPrEx>
          <w:tblW w:w="0" w:type="auto"/>
          <w:tblInd w:w="482" w:type="dxa"/>
          <w:tblLayout w:type="fixed"/>
          <w:tblCellMar>
            <w:left w:w="0" w:type="dxa"/>
            <w:right w:w="0" w:type="dxa"/>
          </w:tblCellMar>
          <w:tblLook w:val="01E0"/>
        </w:tblPrEx>
        <w:trPr>
          <w:trHeight w:val="237"/>
        </w:trPr>
        <w:tc>
          <w:tcPr>
            <w:tcW w:w="13987" w:type="dxa"/>
            <w:gridSpan w:val="4"/>
            <w:tcBorders>
              <w:top w:val="single" w:sz="18" w:space="0" w:color="800000"/>
            </w:tcBorders>
          </w:tcPr>
          <w:p w:rsidR="003F5784" w14:paraId="01B765E0" w14:textId="77777777">
            <w:pPr>
              <w:pStyle w:val="TableParagraph"/>
              <w:spacing w:before="0" w:line="218" w:lineRule="exact"/>
              <w:ind w:left="120"/>
              <w:jc w:val="left"/>
              <w:rPr>
                <w:sz w:val="21"/>
              </w:rPr>
            </w:pPr>
            <w:r>
              <w:rPr>
                <w:sz w:val="21"/>
              </w:rPr>
              <w:t>NOTE:</w:t>
            </w:r>
            <w:r>
              <w:rPr>
                <w:spacing w:val="-5"/>
                <w:sz w:val="21"/>
              </w:rPr>
              <w:t xml:space="preserve"> </w:t>
            </w:r>
            <w:r>
              <w:rPr>
                <w:sz w:val="21"/>
              </w:rPr>
              <w:t>Detail</w:t>
            </w:r>
            <w:r>
              <w:rPr>
                <w:spacing w:val="-5"/>
                <w:sz w:val="21"/>
              </w:rPr>
              <w:t xml:space="preserve"> </w:t>
            </w:r>
            <w:r>
              <w:rPr>
                <w:sz w:val="21"/>
              </w:rPr>
              <w:t>may</w:t>
            </w:r>
            <w:r>
              <w:rPr>
                <w:spacing w:val="-5"/>
                <w:sz w:val="21"/>
              </w:rPr>
              <w:t xml:space="preserve"> </w:t>
            </w:r>
            <w:r>
              <w:rPr>
                <w:sz w:val="21"/>
              </w:rPr>
              <w:t>not</w:t>
            </w:r>
            <w:r>
              <w:rPr>
                <w:spacing w:val="-5"/>
                <w:sz w:val="21"/>
              </w:rPr>
              <w:t xml:space="preserve"> </w:t>
            </w:r>
            <w:r>
              <w:rPr>
                <w:sz w:val="21"/>
              </w:rPr>
              <w:t>sum</w:t>
            </w:r>
            <w:r>
              <w:rPr>
                <w:spacing w:val="-5"/>
                <w:sz w:val="21"/>
              </w:rPr>
              <w:t xml:space="preserve"> </w:t>
            </w:r>
            <w:r>
              <w:rPr>
                <w:sz w:val="21"/>
              </w:rPr>
              <w:t>to</w:t>
            </w:r>
            <w:r>
              <w:rPr>
                <w:spacing w:val="-5"/>
                <w:sz w:val="21"/>
              </w:rPr>
              <w:t xml:space="preserve"> </w:t>
            </w:r>
            <w:r>
              <w:rPr>
                <w:sz w:val="21"/>
              </w:rPr>
              <w:t>totals</w:t>
            </w:r>
            <w:r>
              <w:rPr>
                <w:spacing w:val="-5"/>
                <w:sz w:val="21"/>
              </w:rPr>
              <w:t xml:space="preserve"> </w:t>
            </w:r>
            <w:r>
              <w:rPr>
                <w:sz w:val="21"/>
              </w:rPr>
              <w:t>because</w:t>
            </w:r>
            <w:r>
              <w:rPr>
                <w:spacing w:val="-5"/>
                <w:sz w:val="21"/>
              </w:rPr>
              <w:t xml:space="preserve"> </w:t>
            </w:r>
            <w:r>
              <w:rPr>
                <w:sz w:val="21"/>
              </w:rPr>
              <w:t>of</w:t>
            </w:r>
            <w:r>
              <w:rPr>
                <w:spacing w:val="-5"/>
                <w:sz w:val="21"/>
              </w:rPr>
              <w:t xml:space="preserve"> </w:t>
            </w:r>
            <w:r>
              <w:rPr>
                <w:spacing w:val="-2"/>
                <w:sz w:val="21"/>
              </w:rPr>
              <w:t>rounding.</w:t>
            </w:r>
          </w:p>
        </w:tc>
      </w:tr>
    </w:tbl>
    <w:p w:rsidR="003F5784" w14:paraId="7213C455" w14:textId="77777777">
      <w:pPr>
        <w:pStyle w:val="BodyText"/>
        <w:spacing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Mathematics and Reading</w:t>
      </w:r>
      <w:r>
        <w:rPr>
          <w:spacing w:val="-1"/>
        </w:rPr>
        <w:t xml:space="preserve"> </w:t>
      </w:r>
      <w:r>
        <w:t>Assessments.</w:t>
      </w:r>
    </w:p>
    <w:p w:rsidR="003F5784" w14:paraId="7B5FEF94" w14:textId="77777777">
      <w:pPr>
        <w:pStyle w:val="BodyText"/>
      </w:pPr>
    </w:p>
    <w:p w:rsidR="003F5784" w14:paraId="2A7706F7" w14:textId="77777777">
      <w:pPr>
        <w:pStyle w:val="BodyText"/>
        <w:spacing w:before="138"/>
      </w:pPr>
    </w:p>
    <w:p w:rsidR="003F5784" w14:paraId="3352F17F" w14:textId="77777777">
      <w:pPr>
        <w:pStyle w:val="Heading2"/>
      </w:pPr>
      <w:r>
        <w:t>Number</w:t>
      </w:r>
      <w:r>
        <w:rPr>
          <w:spacing w:val="-11"/>
        </w:rPr>
        <w:t xml:space="preserve"> </w:t>
      </w:r>
      <w:r>
        <w:t>and</w:t>
      </w:r>
      <w:r>
        <w:rPr>
          <w:spacing w:val="-6"/>
        </w:rPr>
        <w:t xml:space="preserve"> </w:t>
      </w:r>
      <w:r>
        <w:t>percentage</w:t>
      </w:r>
      <w:r>
        <w:rPr>
          <w:spacing w:val="-7"/>
        </w:rPr>
        <w:t xml:space="preserve"> </w:t>
      </w:r>
      <w:r>
        <w:t>of</w:t>
      </w:r>
      <w:r>
        <w:rPr>
          <w:spacing w:val="-7"/>
        </w:rPr>
        <w:t xml:space="preserve"> </w:t>
      </w:r>
      <w:r>
        <w:t>schools</w:t>
      </w:r>
      <w:r>
        <w:rPr>
          <w:spacing w:val="-7"/>
        </w:rPr>
        <w:t xml:space="preserve"> </w:t>
      </w:r>
      <w:r>
        <w:t>and</w:t>
      </w:r>
      <w:r>
        <w:rPr>
          <w:spacing w:val="-6"/>
        </w:rPr>
        <w:t xml:space="preserve"> </w:t>
      </w:r>
      <w:r>
        <w:t>mean</w:t>
      </w:r>
      <w:r>
        <w:rPr>
          <w:spacing w:val="-7"/>
        </w:rPr>
        <w:t xml:space="preserve"> </w:t>
      </w:r>
      <w:r>
        <w:t>school</w:t>
      </w:r>
      <w:r>
        <w:rPr>
          <w:spacing w:val="-7"/>
        </w:rPr>
        <w:t xml:space="preserve"> </w:t>
      </w:r>
      <w:r>
        <w:t>size</w:t>
      </w:r>
      <w:r>
        <w:rPr>
          <w:spacing w:val="-6"/>
        </w:rPr>
        <w:t xml:space="preserve"> </w:t>
      </w:r>
      <w:r>
        <w:t>in</w:t>
      </w:r>
      <w:r>
        <w:rPr>
          <w:spacing w:val="-7"/>
        </w:rPr>
        <w:t xml:space="preserve"> </w:t>
      </w:r>
      <w:r>
        <w:t>the</w:t>
      </w:r>
      <w:r>
        <w:rPr>
          <w:spacing w:val="-7"/>
        </w:rPr>
        <w:t xml:space="preserve"> </w:t>
      </w:r>
      <w:r>
        <w:t>public</w:t>
      </w:r>
      <w:r>
        <w:rPr>
          <w:spacing w:val="-6"/>
        </w:rPr>
        <w:t xml:space="preserve"> </w:t>
      </w:r>
      <w:r>
        <w:t>new-school</w:t>
      </w:r>
      <w:r>
        <w:rPr>
          <w:spacing w:val="-7"/>
        </w:rPr>
        <w:t xml:space="preserve"> </w:t>
      </w:r>
      <w:r>
        <w:t>frame,</w:t>
      </w:r>
      <w:r>
        <w:rPr>
          <w:spacing w:val="-7"/>
        </w:rPr>
        <w:t xml:space="preserve"> </w:t>
      </w:r>
      <w:r>
        <w:t>long-term</w:t>
      </w:r>
      <w:r>
        <w:rPr>
          <w:spacing w:val="-7"/>
        </w:rPr>
        <w:t xml:space="preserve"> </w:t>
      </w:r>
      <w:r>
        <w:t>trend</w:t>
      </w:r>
      <w:r>
        <w:rPr>
          <w:spacing w:val="-6"/>
        </w:rPr>
        <w:t xml:space="preserve"> </w:t>
      </w:r>
      <w:r>
        <w:t>assessment</w:t>
      </w:r>
      <w:r>
        <w:rPr>
          <w:spacing w:val="-7"/>
        </w:rPr>
        <w:t xml:space="preserve"> </w:t>
      </w:r>
      <w:r>
        <w:t>for</w:t>
      </w:r>
      <w:r>
        <w:rPr>
          <w:spacing w:val="-10"/>
        </w:rPr>
        <w:t xml:space="preserve"> </w:t>
      </w:r>
      <w:r>
        <w:t>age</w:t>
      </w:r>
      <w:r>
        <w:rPr>
          <w:spacing w:val="-7"/>
        </w:rPr>
        <w:t xml:space="preserve"> </w:t>
      </w:r>
      <w:r>
        <w:t>13,</w:t>
      </w:r>
      <w:r>
        <w:rPr>
          <w:spacing w:val="-7"/>
        </w:rPr>
        <w:t xml:space="preserve"> </w:t>
      </w:r>
      <w:r>
        <w:t>by</w:t>
      </w:r>
      <w:r>
        <w:rPr>
          <w:spacing w:val="-6"/>
        </w:rPr>
        <w:t xml:space="preserve"> </w:t>
      </w:r>
      <w:r>
        <w:t>census</w:t>
      </w:r>
      <w:r>
        <w:rPr>
          <w:spacing w:val="-7"/>
        </w:rPr>
        <w:t xml:space="preserve"> </w:t>
      </w:r>
      <w:r>
        <w:t>region:</w:t>
      </w:r>
      <w:r>
        <w:rPr>
          <w:spacing w:val="-7"/>
        </w:rPr>
        <w:t xml:space="preserve"> </w:t>
      </w:r>
      <w:r>
        <w:rPr>
          <w:spacing w:val="-4"/>
        </w:rPr>
        <w:t>2022</w:t>
      </w:r>
    </w:p>
    <w:p w:rsidR="003F5784" w14:paraId="10075EB8"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3448"/>
        <w:gridCol w:w="3956"/>
        <w:gridCol w:w="3541"/>
        <w:gridCol w:w="3038"/>
      </w:tblGrid>
      <w:tr w14:paraId="32FA93C1" w14:textId="77777777">
        <w:tblPrEx>
          <w:tblW w:w="0" w:type="auto"/>
          <w:tblInd w:w="482" w:type="dxa"/>
          <w:tblLayout w:type="fixed"/>
          <w:tblCellMar>
            <w:left w:w="0" w:type="dxa"/>
            <w:right w:w="0" w:type="dxa"/>
          </w:tblCellMar>
          <w:tblLook w:val="01E0"/>
        </w:tblPrEx>
        <w:trPr>
          <w:trHeight w:val="267"/>
        </w:trPr>
        <w:tc>
          <w:tcPr>
            <w:tcW w:w="3448" w:type="dxa"/>
            <w:tcBorders>
              <w:top w:val="single" w:sz="18" w:space="0" w:color="800000"/>
              <w:bottom w:val="single" w:sz="18" w:space="0" w:color="800000"/>
            </w:tcBorders>
          </w:tcPr>
          <w:p w:rsidR="003F5784" w14:paraId="05C97A8F" w14:textId="77777777">
            <w:pPr>
              <w:pStyle w:val="TableParagraph"/>
              <w:spacing w:before="9" w:line="238" w:lineRule="exact"/>
              <w:ind w:left="120"/>
              <w:jc w:val="left"/>
              <w:rPr>
                <w:sz w:val="21"/>
              </w:rPr>
            </w:pPr>
            <w:r>
              <w:rPr>
                <w:sz w:val="21"/>
              </w:rPr>
              <w:t>Census</w:t>
            </w:r>
            <w:r>
              <w:rPr>
                <w:spacing w:val="-8"/>
                <w:sz w:val="21"/>
              </w:rPr>
              <w:t xml:space="preserve"> </w:t>
            </w:r>
            <w:r>
              <w:rPr>
                <w:spacing w:val="-2"/>
                <w:sz w:val="21"/>
              </w:rPr>
              <w:t>region</w:t>
            </w:r>
          </w:p>
        </w:tc>
        <w:tc>
          <w:tcPr>
            <w:tcW w:w="3956" w:type="dxa"/>
            <w:tcBorders>
              <w:top w:val="single" w:sz="18" w:space="0" w:color="800000"/>
              <w:bottom w:val="single" w:sz="18" w:space="0" w:color="800000"/>
            </w:tcBorders>
          </w:tcPr>
          <w:p w:rsidR="003F5784" w14:paraId="1D6F7EE4" w14:textId="77777777">
            <w:pPr>
              <w:pStyle w:val="TableParagraph"/>
              <w:spacing w:before="9" w:line="238" w:lineRule="exact"/>
              <w:ind w:right="1152"/>
              <w:rPr>
                <w:sz w:val="21"/>
              </w:rPr>
            </w:pPr>
            <w:r>
              <w:rPr>
                <w:spacing w:val="-2"/>
                <w:sz w:val="21"/>
              </w:rPr>
              <w:t>Schools</w:t>
            </w:r>
          </w:p>
        </w:tc>
        <w:tc>
          <w:tcPr>
            <w:tcW w:w="3541" w:type="dxa"/>
            <w:tcBorders>
              <w:top w:val="single" w:sz="18" w:space="0" w:color="800000"/>
              <w:bottom w:val="single" w:sz="18" w:space="0" w:color="800000"/>
            </w:tcBorders>
          </w:tcPr>
          <w:p w:rsidR="003F5784" w14:paraId="5963BA7B" w14:textId="77777777">
            <w:pPr>
              <w:pStyle w:val="TableParagraph"/>
              <w:spacing w:before="9" w:line="238" w:lineRule="exact"/>
              <w:ind w:right="1468"/>
              <w:rPr>
                <w:sz w:val="21"/>
              </w:rPr>
            </w:pPr>
            <w:r>
              <w:rPr>
                <w:spacing w:val="-2"/>
                <w:sz w:val="21"/>
              </w:rPr>
              <w:t>Percentage</w:t>
            </w:r>
          </w:p>
        </w:tc>
        <w:tc>
          <w:tcPr>
            <w:tcW w:w="3038" w:type="dxa"/>
            <w:tcBorders>
              <w:top w:val="single" w:sz="18" w:space="0" w:color="800000"/>
              <w:bottom w:val="single" w:sz="18" w:space="0" w:color="800000"/>
            </w:tcBorders>
          </w:tcPr>
          <w:p w:rsidR="003F5784" w14:paraId="61F5EFBA" w14:textId="77777777">
            <w:pPr>
              <w:pStyle w:val="TableParagraph"/>
              <w:spacing w:before="9" w:line="238" w:lineRule="exact"/>
              <w:ind w:right="116"/>
              <w:rPr>
                <w:sz w:val="21"/>
              </w:rPr>
            </w:pPr>
            <w:r>
              <w:rPr>
                <w:sz w:val="21"/>
              </w:rPr>
              <w:t>Mean</w:t>
            </w:r>
            <w:r>
              <w:rPr>
                <w:spacing w:val="-7"/>
                <w:sz w:val="21"/>
              </w:rPr>
              <w:t xml:space="preserve"> </w:t>
            </w:r>
            <w:r>
              <w:rPr>
                <w:sz w:val="21"/>
              </w:rPr>
              <w:t>school</w:t>
            </w:r>
            <w:r>
              <w:rPr>
                <w:spacing w:val="-6"/>
                <w:sz w:val="21"/>
              </w:rPr>
              <w:t xml:space="preserve"> </w:t>
            </w:r>
            <w:r>
              <w:rPr>
                <w:spacing w:val="-4"/>
                <w:sz w:val="21"/>
              </w:rPr>
              <w:t>size</w:t>
            </w:r>
          </w:p>
        </w:tc>
      </w:tr>
      <w:tr w14:paraId="5DF0AB1E" w14:textId="77777777">
        <w:tblPrEx>
          <w:tblW w:w="0" w:type="auto"/>
          <w:tblInd w:w="482" w:type="dxa"/>
          <w:tblLayout w:type="fixed"/>
          <w:tblCellMar>
            <w:left w:w="0" w:type="dxa"/>
            <w:right w:w="0" w:type="dxa"/>
          </w:tblCellMar>
          <w:tblLook w:val="01E0"/>
        </w:tblPrEx>
        <w:trPr>
          <w:trHeight w:val="278"/>
        </w:trPr>
        <w:tc>
          <w:tcPr>
            <w:tcW w:w="3448" w:type="dxa"/>
            <w:tcBorders>
              <w:top w:val="single" w:sz="18" w:space="0" w:color="800000"/>
            </w:tcBorders>
          </w:tcPr>
          <w:p w:rsidR="003F5784" w14:paraId="52031D24" w14:textId="77777777">
            <w:pPr>
              <w:pStyle w:val="TableParagraph"/>
              <w:spacing w:before="9"/>
              <w:ind w:left="370"/>
              <w:jc w:val="left"/>
              <w:rPr>
                <w:b/>
                <w:sz w:val="21"/>
              </w:rPr>
            </w:pPr>
            <w:r>
              <w:rPr>
                <w:b/>
                <w:spacing w:val="-2"/>
                <w:sz w:val="21"/>
              </w:rPr>
              <w:t>Total</w:t>
            </w:r>
          </w:p>
        </w:tc>
        <w:tc>
          <w:tcPr>
            <w:tcW w:w="3956" w:type="dxa"/>
            <w:tcBorders>
              <w:top w:val="single" w:sz="18" w:space="0" w:color="800000"/>
            </w:tcBorders>
          </w:tcPr>
          <w:p w:rsidR="003F5784" w14:paraId="5C81D999" w14:textId="77777777">
            <w:pPr>
              <w:pStyle w:val="TableParagraph"/>
              <w:spacing w:before="9"/>
              <w:ind w:right="1152"/>
              <w:rPr>
                <w:b/>
                <w:sz w:val="21"/>
              </w:rPr>
            </w:pPr>
            <w:r>
              <w:rPr>
                <w:b/>
                <w:spacing w:val="-5"/>
                <w:sz w:val="21"/>
              </w:rPr>
              <w:t>266</w:t>
            </w:r>
          </w:p>
        </w:tc>
        <w:tc>
          <w:tcPr>
            <w:tcW w:w="3541" w:type="dxa"/>
            <w:tcBorders>
              <w:top w:val="single" w:sz="18" w:space="0" w:color="800000"/>
            </w:tcBorders>
          </w:tcPr>
          <w:p w:rsidR="003F5784" w14:paraId="7C85B585" w14:textId="77777777">
            <w:pPr>
              <w:pStyle w:val="TableParagraph"/>
              <w:spacing w:before="9"/>
              <w:ind w:right="1468"/>
              <w:rPr>
                <w:b/>
                <w:sz w:val="21"/>
              </w:rPr>
            </w:pPr>
            <w:r>
              <w:rPr>
                <w:b/>
                <w:spacing w:val="-2"/>
                <w:sz w:val="21"/>
              </w:rPr>
              <w:t>100.00</w:t>
            </w:r>
          </w:p>
        </w:tc>
        <w:tc>
          <w:tcPr>
            <w:tcW w:w="3038" w:type="dxa"/>
            <w:tcBorders>
              <w:top w:val="single" w:sz="18" w:space="0" w:color="800000"/>
            </w:tcBorders>
          </w:tcPr>
          <w:p w:rsidR="003F5784" w14:paraId="3091A195" w14:textId="77777777">
            <w:pPr>
              <w:pStyle w:val="TableParagraph"/>
              <w:spacing w:before="9"/>
              <w:ind w:right="116"/>
              <w:rPr>
                <w:b/>
                <w:sz w:val="21"/>
              </w:rPr>
            </w:pPr>
            <w:r>
              <w:rPr>
                <w:b/>
                <w:spacing w:val="-5"/>
                <w:sz w:val="21"/>
              </w:rPr>
              <w:t>20</w:t>
            </w:r>
          </w:p>
        </w:tc>
      </w:tr>
      <w:tr w14:paraId="3E5B4C4D" w14:textId="77777777">
        <w:tblPrEx>
          <w:tblW w:w="0" w:type="auto"/>
          <w:tblInd w:w="482" w:type="dxa"/>
          <w:tblLayout w:type="fixed"/>
          <w:tblCellMar>
            <w:left w:w="0" w:type="dxa"/>
            <w:right w:w="0" w:type="dxa"/>
          </w:tblCellMar>
          <w:tblLook w:val="01E0"/>
        </w:tblPrEx>
        <w:trPr>
          <w:trHeight w:val="286"/>
        </w:trPr>
        <w:tc>
          <w:tcPr>
            <w:tcW w:w="3448" w:type="dxa"/>
          </w:tcPr>
          <w:p w:rsidR="003F5784" w14:paraId="74E17D81" w14:textId="77777777">
            <w:pPr>
              <w:pStyle w:val="TableParagraph"/>
              <w:ind w:left="120"/>
              <w:jc w:val="left"/>
              <w:rPr>
                <w:sz w:val="21"/>
              </w:rPr>
            </w:pPr>
            <w:r>
              <w:rPr>
                <w:spacing w:val="-2"/>
                <w:sz w:val="21"/>
              </w:rPr>
              <w:t>Northeast</w:t>
            </w:r>
          </w:p>
        </w:tc>
        <w:tc>
          <w:tcPr>
            <w:tcW w:w="3956" w:type="dxa"/>
          </w:tcPr>
          <w:p w:rsidR="003F5784" w14:paraId="0998B561" w14:textId="77777777">
            <w:pPr>
              <w:pStyle w:val="TableParagraph"/>
              <w:ind w:right="1152"/>
              <w:rPr>
                <w:sz w:val="21"/>
              </w:rPr>
            </w:pPr>
            <w:r>
              <w:rPr>
                <w:spacing w:val="-5"/>
                <w:sz w:val="21"/>
              </w:rPr>
              <w:t>42</w:t>
            </w:r>
          </w:p>
        </w:tc>
        <w:tc>
          <w:tcPr>
            <w:tcW w:w="3541" w:type="dxa"/>
          </w:tcPr>
          <w:p w:rsidR="003F5784" w14:paraId="4272F2ED" w14:textId="77777777">
            <w:pPr>
              <w:pStyle w:val="TableParagraph"/>
              <w:ind w:right="1468"/>
              <w:rPr>
                <w:sz w:val="21"/>
              </w:rPr>
            </w:pPr>
            <w:r>
              <w:rPr>
                <w:spacing w:val="-2"/>
                <w:sz w:val="21"/>
              </w:rPr>
              <w:t>15.79</w:t>
            </w:r>
          </w:p>
        </w:tc>
        <w:tc>
          <w:tcPr>
            <w:tcW w:w="3038" w:type="dxa"/>
          </w:tcPr>
          <w:p w:rsidR="003F5784" w14:paraId="4EDE39C6" w14:textId="77777777">
            <w:pPr>
              <w:pStyle w:val="TableParagraph"/>
              <w:ind w:right="116"/>
              <w:rPr>
                <w:sz w:val="21"/>
              </w:rPr>
            </w:pPr>
            <w:r>
              <w:rPr>
                <w:spacing w:val="-5"/>
                <w:sz w:val="21"/>
              </w:rPr>
              <w:t>12</w:t>
            </w:r>
          </w:p>
        </w:tc>
      </w:tr>
      <w:tr w14:paraId="3B59317E" w14:textId="77777777">
        <w:tblPrEx>
          <w:tblW w:w="0" w:type="auto"/>
          <w:tblInd w:w="482" w:type="dxa"/>
          <w:tblLayout w:type="fixed"/>
          <w:tblCellMar>
            <w:left w:w="0" w:type="dxa"/>
            <w:right w:w="0" w:type="dxa"/>
          </w:tblCellMar>
          <w:tblLook w:val="01E0"/>
        </w:tblPrEx>
        <w:trPr>
          <w:trHeight w:val="286"/>
        </w:trPr>
        <w:tc>
          <w:tcPr>
            <w:tcW w:w="3448" w:type="dxa"/>
          </w:tcPr>
          <w:p w:rsidR="003F5784" w14:paraId="4F8B0AFA" w14:textId="77777777">
            <w:pPr>
              <w:pStyle w:val="TableParagraph"/>
              <w:ind w:left="120"/>
              <w:jc w:val="left"/>
              <w:rPr>
                <w:sz w:val="21"/>
              </w:rPr>
            </w:pPr>
            <w:r>
              <w:rPr>
                <w:spacing w:val="-2"/>
                <w:sz w:val="21"/>
              </w:rPr>
              <w:t>Midwest</w:t>
            </w:r>
          </w:p>
        </w:tc>
        <w:tc>
          <w:tcPr>
            <w:tcW w:w="3956" w:type="dxa"/>
          </w:tcPr>
          <w:p w:rsidR="003F5784" w14:paraId="2430ECF8" w14:textId="77777777">
            <w:pPr>
              <w:pStyle w:val="TableParagraph"/>
              <w:ind w:right="1152"/>
              <w:rPr>
                <w:sz w:val="21"/>
              </w:rPr>
            </w:pPr>
            <w:r>
              <w:rPr>
                <w:spacing w:val="-5"/>
                <w:sz w:val="21"/>
              </w:rPr>
              <w:t>64</w:t>
            </w:r>
          </w:p>
        </w:tc>
        <w:tc>
          <w:tcPr>
            <w:tcW w:w="3541" w:type="dxa"/>
          </w:tcPr>
          <w:p w:rsidR="003F5784" w14:paraId="03FF98E6" w14:textId="77777777">
            <w:pPr>
              <w:pStyle w:val="TableParagraph"/>
              <w:ind w:right="1468"/>
              <w:rPr>
                <w:sz w:val="21"/>
              </w:rPr>
            </w:pPr>
            <w:r>
              <w:rPr>
                <w:spacing w:val="-2"/>
                <w:sz w:val="21"/>
              </w:rPr>
              <w:t>24.06</w:t>
            </w:r>
          </w:p>
        </w:tc>
        <w:tc>
          <w:tcPr>
            <w:tcW w:w="3038" w:type="dxa"/>
          </w:tcPr>
          <w:p w:rsidR="003F5784" w14:paraId="7F9968DF" w14:textId="77777777">
            <w:pPr>
              <w:pStyle w:val="TableParagraph"/>
              <w:ind w:right="116"/>
              <w:rPr>
                <w:sz w:val="21"/>
              </w:rPr>
            </w:pPr>
            <w:r>
              <w:rPr>
                <w:spacing w:val="-5"/>
                <w:sz w:val="21"/>
              </w:rPr>
              <w:t>10</w:t>
            </w:r>
          </w:p>
        </w:tc>
      </w:tr>
      <w:tr w14:paraId="15BEC014" w14:textId="77777777">
        <w:tblPrEx>
          <w:tblW w:w="0" w:type="auto"/>
          <w:tblInd w:w="482" w:type="dxa"/>
          <w:tblLayout w:type="fixed"/>
          <w:tblCellMar>
            <w:left w:w="0" w:type="dxa"/>
            <w:right w:w="0" w:type="dxa"/>
          </w:tblCellMar>
          <w:tblLook w:val="01E0"/>
        </w:tblPrEx>
        <w:trPr>
          <w:trHeight w:val="286"/>
        </w:trPr>
        <w:tc>
          <w:tcPr>
            <w:tcW w:w="3448" w:type="dxa"/>
          </w:tcPr>
          <w:p w:rsidR="003F5784" w14:paraId="67CC79A0" w14:textId="77777777">
            <w:pPr>
              <w:pStyle w:val="TableParagraph"/>
              <w:ind w:left="120"/>
              <w:jc w:val="left"/>
              <w:rPr>
                <w:sz w:val="21"/>
              </w:rPr>
            </w:pPr>
            <w:r>
              <w:rPr>
                <w:spacing w:val="-2"/>
                <w:sz w:val="21"/>
              </w:rPr>
              <w:t>South</w:t>
            </w:r>
          </w:p>
        </w:tc>
        <w:tc>
          <w:tcPr>
            <w:tcW w:w="3956" w:type="dxa"/>
          </w:tcPr>
          <w:p w:rsidR="003F5784" w14:paraId="2A62DA93" w14:textId="77777777">
            <w:pPr>
              <w:pStyle w:val="TableParagraph"/>
              <w:ind w:right="1152"/>
              <w:rPr>
                <w:sz w:val="21"/>
              </w:rPr>
            </w:pPr>
            <w:r>
              <w:rPr>
                <w:spacing w:val="-5"/>
                <w:sz w:val="21"/>
              </w:rPr>
              <w:t>97</w:t>
            </w:r>
          </w:p>
        </w:tc>
        <w:tc>
          <w:tcPr>
            <w:tcW w:w="3541" w:type="dxa"/>
          </w:tcPr>
          <w:p w:rsidR="003F5784" w14:paraId="2D67FF03" w14:textId="77777777">
            <w:pPr>
              <w:pStyle w:val="TableParagraph"/>
              <w:ind w:right="1468"/>
              <w:rPr>
                <w:sz w:val="21"/>
              </w:rPr>
            </w:pPr>
            <w:r>
              <w:rPr>
                <w:spacing w:val="-2"/>
                <w:sz w:val="21"/>
              </w:rPr>
              <w:t>36.47</w:t>
            </w:r>
          </w:p>
        </w:tc>
        <w:tc>
          <w:tcPr>
            <w:tcW w:w="3038" w:type="dxa"/>
          </w:tcPr>
          <w:p w:rsidR="003F5784" w14:paraId="09AEE61E" w14:textId="77777777">
            <w:pPr>
              <w:pStyle w:val="TableParagraph"/>
              <w:ind w:right="116"/>
              <w:rPr>
                <w:sz w:val="21"/>
              </w:rPr>
            </w:pPr>
            <w:r>
              <w:rPr>
                <w:spacing w:val="-5"/>
                <w:sz w:val="21"/>
              </w:rPr>
              <w:t>24</w:t>
            </w:r>
          </w:p>
        </w:tc>
      </w:tr>
      <w:tr w14:paraId="13E18242" w14:textId="77777777">
        <w:tblPrEx>
          <w:tblW w:w="0" w:type="auto"/>
          <w:tblInd w:w="482" w:type="dxa"/>
          <w:tblLayout w:type="fixed"/>
          <w:tblCellMar>
            <w:left w:w="0" w:type="dxa"/>
            <w:right w:w="0" w:type="dxa"/>
          </w:tblCellMar>
          <w:tblLook w:val="01E0"/>
        </w:tblPrEx>
        <w:trPr>
          <w:trHeight w:val="288"/>
        </w:trPr>
        <w:tc>
          <w:tcPr>
            <w:tcW w:w="3448" w:type="dxa"/>
            <w:tcBorders>
              <w:bottom w:val="single" w:sz="18" w:space="0" w:color="800000"/>
            </w:tcBorders>
          </w:tcPr>
          <w:p w:rsidR="003F5784" w14:paraId="51DB7510" w14:textId="77777777">
            <w:pPr>
              <w:pStyle w:val="TableParagraph"/>
              <w:ind w:left="120"/>
              <w:jc w:val="left"/>
              <w:rPr>
                <w:sz w:val="21"/>
              </w:rPr>
            </w:pPr>
            <w:r>
              <w:rPr>
                <w:spacing w:val="-4"/>
                <w:sz w:val="21"/>
              </w:rPr>
              <w:t>West</w:t>
            </w:r>
          </w:p>
        </w:tc>
        <w:tc>
          <w:tcPr>
            <w:tcW w:w="3956" w:type="dxa"/>
            <w:tcBorders>
              <w:bottom w:val="single" w:sz="18" w:space="0" w:color="800000"/>
            </w:tcBorders>
          </w:tcPr>
          <w:p w:rsidR="003F5784" w14:paraId="6B26D0AF" w14:textId="77777777">
            <w:pPr>
              <w:pStyle w:val="TableParagraph"/>
              <w:ind w:right="1152"/>
              <w:rPr>
                <w:sz w:val="21"/>
              </w:rPr>
            </w:pPr>
            <w:r>
              <w:rPr>
                <w:spacing w:val="-5"/>
                <w:sz w:val="21"/>
              </w:rPr>
              <w:t>63</w:t>
            </w:r>
          </w:p>
        </w:tc>
        <w:tc>
          <w:tcPr>
            <w:tcW w:w="3541" w:type="dxa"/>
            <w:tcBorders>
              <w:bottom w:val="single" w:sz="18" w:space="0" w:color="800000"/>
            </w:tcBorders>
          </w:tcPr>
          <w:p w:rsidR="003F5784" w14:paraId="4B20BCAA" w14:textId="77777777">
            <w:pPr>
              <w:pStyle w:val="TableParagraph"/>
              <w:ind w:right="1468"/>
              <w:rPr>
                <w:sz w:val="21"/>
              </w:rPr>
            </w:pPr>
            <w:r>
              <w:rPr>
                <w:spacing w:val="-2"/>
                <w:sz w:val="21"/>
              </w:rPr>
              <w:t>23.68</w:t>
            </w:r>
          </w:p>
        </w:tc>
        <w:tc>
          <w:tcPr>
            <w:tcW w:w="3038" w:type="dxa"/>
            <w:tcBorders>
              <w:bottom w:val="single" w:sz="18" w:space="0" w:color="800000"/>
            </w:tcBorders>
          </w:tcPr>
          <w:p w:rsidR="003F5784" w14:paraId="41F29F99" w14:textId="77777777">
            <w:pPr>
              <w:pStyle w:val="TableParagraph"/>
              <w:ind w:right="116"/>
              <w:rPr>
                <w:sz w:val="21"/>
              </w:rPr>
            </w:pPr>
            <w:r>
              <w:rPr>
                <w:spacing w:val="-5"/>
                <w:sz w:val="21"/>
              </w:rPr>
              <w:t>27</w:t>
            </w:r>
          </w:p>
        </w:tc>
      </w:tr>
      <w:tr w14:paraId="63B4E196" w14:textId="77777777">
        <w:tblPrEx>
          <w:tblW w:w="0" w:type="auto"/>
          <w:tblInd w:w="482" w:type="dxa"/>
          <w:tblLayout w:type="fixed"/>
          <w:tblCellMar>
            <w:left w:w="0" w:type="dxa"/>
            <w:right w:w="0" w:type="dxa"/>
          </w:tblCellMar>
          <w:tblLook w:val="01E0"/>
        </w:tblPrEx>
        <w:trPr>
          <w:trHeight w:val="237"/>
        </w:trPr>
        <w:tc>
          <w:tcPr>
            <w:tcW w:w="13983" w:type="dxa"/>
            <w:gridSpan w:val="4"/>
            <w:tcBorders>
              <w:top w:val="single" w:sz="18" w:space="0" w:color="800000"/>
            </w:tcBorders>
          </w:tcPr>
          <w:p w:rsidR="003F5784" w14:paraId="4D4ED101" w14:textId="77777777">
            <w:pPr>
              <w:pStyle w:val="TableParagraph"/>
              <w:spacing w:before="0" w:line="218" w:lineRule="exact"/>
              <w:ind w:left="120"/>
              <w:jc w:val="left"/>
              <w:rPr>
                <w:sz w:val="21"/>
              </w:rPr>
            </w:pPr>
            <w:r>
              <w:rPr>
                <w:sz w:val="21"/>
              </w:rPr>
              <w:t>NOTE:</w:t>
            </w:r>
            <w:r>
              <w:rPr>
                <w:spacing w:val="-5"/>
                <w:sz w:val="21"/>
              </w:rPr>
              <w:t xml:space="preserve"> </w:t>
            </w:r>
            <w:r>
              <w:rPr>
                <w:sz w:val="21"/>
              </w:rPr>
              <w:t>Detail</w:t>
            </w:r>
            <w:r>
              <w:rPr>
                <w:spacing w:val="-5"/>
                <w:sz w:val="21"/>
              </w:rPr>
              <w:t xml:space="preserve"> </w:t>
            </w:r>
            <w:r>
              <w:rPr>
                <w:sz w:val="21"/>
              </w:rPr>
              <w:t>may</w:t>
            </w:r>
            <w:r>
              <w:rPr>
                <w:spacing w:val="-5"/>
                <w:sz w:val="21"/>
              </w:rPr>
              <w:t xml:space="preserve"> </w:t>
            </w:r>
            <w:r>
              <w:rPr>
                <w:sz w:val="21"/>
              </w:rPr>
              <w:t>not</w:t>
            </w:r>
            <w:r>
              <w:rPr>
                <w:spacing w:val="-5"/>
                <w:sz w:val="21"/>
              </w:rPr>
              <w:t xml:space="preserve"> </w:t>
            </w:r>
            <w:r>
              <w:rPr>
                <w:sz w:val="21"/>
              </w:rPr>
              <w:t>sum</w:t>
            </w:r>
            <w:r>
              <w:rPr>
                <w:spacing w:val="-5"/>
                <w:sz w:val="21"/>
              </w:rPr>
              <w:t xml:space="preserve"> </w:t>
            </w:r>
            <w:r>
              <w:rPr>
                <w:sz w:val="21"/>
              </w:rPr>
              <w:t>to</w:t>
            </w:r>
            <w:r>
              <w:rPr>
                <w:spacing w:val="-5"/>
                <w:sz w:val="21"/>
              </w:rPr>
              <w:t xml:space="preserve"> </w:t>
            </w:r>
            <w:r>
              <w:rPr>
                <w:sz w:val="21"/>
              </w:rPr>
              <w:t>totals</w:t>
            </w:r>
            <w:r>
              <w:rPr>
                <w:spacing w:val="-5"/>
                <w:sz w:val="21"/>
              </w:rPr>
              <w:t xml:space="preserve"> </w:t>
            </w:r>
            <w:r>
              <w:rPr>
                <w:sz w:val="21"/>
              </w:rPr>
              <w:t>because</w:t>
            </w:r>
            <w:r>
              <w:rPr>
                <w:spacing w:val="-5"/>
                <w:sz w:val="21"/>
              </w:rPr>
              <w:t xml:space="preserve"> </w:t>
            </w:r>
            <w:r>
              <w:rPr>
                <w:sz w:val="21"/>
              </w:rPr>
              <w:t>of</w:t>
            </w:r>
            <w:r>
              <w:rPr>
                <w:spacing w:val="-5"/>
                <w:sz w:val="21"/>
              </w:rPr>
              <w:t xml:space="preserve"> </w:t>
            </w:r>
            <w:r>
              <w:rPr>
                <w:spacing w:val="-2"/>
                <w:sz w:val="21"/>
              </w:rPr>
              <w:t>rounding.</w:t>
            </w:r>
          </w:p>
        </w:tc>
      </w:tr>
    </w:tbl>
    <w:p w:rsidR="003F5784" w14:paraId="2D3F299C" w14:textId="77777777">
      <w:pPr>
        <w:pStyle w:val="BodyText"/>
        <w:spacing w:before="1"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Mathematics and Reading</w:t>
      </w:r>
      <w:r>
        <w:rPr>
          <w:spacing w:val="-1"/>
        </w:rPr>
        <w:t xml:space="preserve"> </w:t>
      </w:r>
      <w:r>
        <w:t>Assessments.</w:t>
      </w:r>
    </w:p>
    <w:p w:rsidR="003F5784" w14:paraId="6B2C11A6" w14:textId="77777777">
      <w:pPr>
        <w:pStyle w:val="BodyText"/>
      </w:pPr>
    </w:p>
    <w:p w:rsidR="003F5784" w14:paraId="14ADEE31" w14:textId="77777777">
      <w:pPr>
        <w:pStyle w:val="BodyText"/>
      </w:pPr>
    </w:p>
    <w:p w:rsidR="003F5784" w14:paraId="6F977C07" w14:textId="77777777">
      <w:pPr>
        <w:pStyle w:val="BodyText"/>
      </w:pPr>
    </w:p>
    <w:p w:rsidR="003F5784" w14:paraId="217E1B85" w14:textId="77777777">
      <w:pPr>
        <w:pStyle w:val="BodyText"/>
        <w:spacing w:before="191"/>
      </w:pPr>
    </w:p>
    <w:p w:rsidR="003F5784" w14:paraId="7DF28445" w14:textId="77777777">
      <w:pPr>
        <w:ind w:left="3019"/>
        <w:rPr>
          <w:sz w:val="18"/>
        </w:rPr>
      </w:pPr>
      <w:hyperlink r:id="rId162">
        <w:r>
          <w:rPr>
            <w:spacing w:val="-2"/>
            <w:w w:val="105"/>
            <w:sz w:val="18"/>
          </w:rPr>
          <w:t>http://nces.ed.gov/nationsreportcard/tdw/sample_design/2022/new_school_sampling_frame_for_the_2022_public_school_long_term_trend_assessment.aspx</w:t>
        </w:r>
      </w:hyperlink>
    </w:p>
    <w:p w:rsidR="003F5784" w14:paraId="5BC94BCB" w14:textId="77777777">
      <w:pPr>
        <w:pStyle w:val="BodyText"/>
        <w:rPr>
          <w:sz w:val="16"/>
        </w:rPr>
      </w:pPr>
      <w:r>
        <w:rPr>
          <w:noProof/>
        </w:rPr>
        <mc:AlternateContent>
          <mc:Choice Requires="wps">
            <w:drawing>
              <wp:anchor distT="0" distB="0" distL="0" distR="0" simplePos="0" relativeHeight="251859968" behindDoc="1" locked="0" layoutInCell="1" allowOverlap="1">
                <wp:simplePos x="0" y="0"/>
                <wp:positionH relativeFrom="page">
                  <wp:posOffset>361937</wp:posOffset>
                </wp:positionH>
                <wp:positionV relativeFrom="paragraph">
                  <wp:posOffset>132664</wp:posOffset>
                </wp:positionV>
                <wp:extent cx="9339580" cy="8890"/>
                <wp:effectExtent l="0" t="0" r="0" b="0"/>
                <wp:wrapTopAndBottom/>
                <wp:docPr id="188" name="Graphic 18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67"/>
                              </a:lnTo>
                              <a:lnTo>
                                <a:pt x="9335110" y="8293"/>
                              </a:lnTo>
                              <a:lnTo>
                                <a:pt x="9338970" y="8293"/>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88" o:spid="_x0000_s1100" style="width:735.4pt;height:0.7pt;margin-top:10.45pt;margin-left:28.5pt;mso-position-horizontal-relative:page;mso-wrap-distance-bottom:0;mso-wrap-distance-left:0;mso-wrap-distance-right:0;mso-wrap-distance-top:0;mso-wrap-style:square;position:absolute;visibility:visible;v-text-anchor:top;z-index:-251455488" coordsize="9339580,8890" path="m9338970,25l9335110,25l8280,25,,,,8267l9335110,8293l9338970,8293l9338970,25xe" fillcolor="gray" stroked="f">
                <v:path arrowok="t"/>
                <w10:wrap type="topAndBottom"/>
              </v:shape>
            </w:pict>
          </mc:Fallback>
        </mc:AlternateContent>
      </w:r>
    </w:p>
    <w:p w:rsidR="003F5784" w14:paraId="546D86FB" w14:textId="77777777">
      <w:pPr>
        <w:pStyle w:val="BodyText"/>
        <w:rPr>
          <w:sz w:val="18"/>
        </w:rPr>
      </w:pPr>
    </w:p>
    <w:p w:rsidR="003F5784" w14:paraId="08E03C07" w14:textId="77777777">
      <w:pPr>
        <w:pStyle w:val="BodyText"/>
        <w:spacing w:before="193"/>
        <w:rPr>
          <w:sz w:val="18"/>
        </w:rPr>
      </w:pPr>
    </w:p>
    <w:p w:rsidR="003F5784" w14:paraId="1D6BA127" w14:textId="1B29EB7D">
      <w:pPr>
        <w:pStyle w:val="Heading1"/>
        <w:spacing w:line="244" w:lineRule="auto"/>
        <w:ind w:right="179"/>
      </w:pPr>
      <w:r>
        <w:t>NAEP</w:t>
      </w:r>
      <w:r>
        <w:rPr>
          <w:spacing w:val="-17"/>
        </w:rPr>
        <w:t xml:space="preserve"> </w:t>
      </w:r>
      <w:r>
        <w:t>Technical Documentation</w:t>
      </w:r>
      <w:r w:rsidR="00FB7295">
        <w:t xml:space="preserve"> </w:t>
      </w:r>
      <w:r>
        <w:t>Sampling of Public Schools for the 2022 Long- Term Trend Assessment</w:t>
      </w:r>
    </w:p>
    <w:p w:rsidR="003F5784" w14:paraId="45120905" w14:textId="77777777">
      <w:pPr>
        <w:pStyle w:val="BodyText"/>
        <w:spacing w:before="287" w:line="232" w:lineRule="auto"/>
        <w:ind w:left="109"/>
      </w:pPr>
      <w:r>
        <w:t>In</w:t>
      </w:r>
      <w:r>
        <w:rPr>
          <w:spacing w:val="-6"/>
        </w:rPr>
        <w:t xml:space="preserve"> </w:t>
      </w:r>
      <w:r>
        <w:t>designing</w:t>
      </w:r>
      <w:r>
        <w:rPr>
          <w:spacing w:val="-6"/>
        </w:rPr>
        <w:t xml:space="preserve"> </w:t>
      </w:r>
      <w:r>
        <w:t>the</w:t>
      </w:r>
      <w:r>
        <w:rPr>
          <w:spacing w:val="-6"/>
        </w:rPr>
        <w:t xml:space="preserve"> </w:t>
      </w:r>
      <w:r>
        <w:t>public</w:t>
      </w:r>
      <w:r>
        <w:rPr>
          <w:spacing w:val="-6"/>
        </w:rPr>
        <w:t xml:space="preserve"> </w:t>
      </w:r>
      <w:r>
        <w:t>school</w:t>
      </w:r>
      <w:r>
        <w:rPr>
          <w:spacing w:val="-6"/>
        </w:rPr>
        <w:t xml:space="preserve"> </w:t>
      </w:r>
      <w:r>
        <w:t>long-term</w:t>
      </w:r>
      <w:r>
        <w:rPr>
          <w:spacing w:val="-6"/>
        </w:rPr>
        <w:t xml:space="preserve"> </w:t>
      </w:r>
      <w:r>
        <w:t>trend</w:t>
      </w:r>
      <w:r>
        <w:rPr>
          <w:spacing w:val="-6"/>
        </w:rPr>
        <w:t xml:space="preserve"> </w:t>
      </w:r>
      <w:r>
        <w:t>sample</w:t>
      </w:r>
      <w:r>
        <w:rPr>
          <w:spacing w:val="-6"/>
        </w:rPr>
        <w:t xml:space="preserve"> </w:t>
      </w:r>
      <w:r>
        <w:t>for</w:t>
      </w:r>
      <w:r>
        <w:rPr>
          <w:spacing w:val="-6"/>
        </w:rPr>
        <w:t xml:space="preserve"> </w:t>
      </w:r>
      <w:r>
        <w:t>each</w:t>
      </w:r>
      <w:r>
        <w:rPr>
          <w:spacing w:val="-6"/>
        </w:rPr>
        <w:t xml:space="preserve"> </w:t>
      </w:r>
      <w:r>
        <w:t>age,</w:t>
      </w:r>
      <w:r>
        <w:rPr>
          <w:spacing w:val="-6"/>
        </w:rPr>
        <w:t xml:space="preserve"> </w:t>
      </w:r>
      <w:r>
        <w:t>seven</w:t>
      </w:r>
      <w:r>
        <w:rPr>
          <w:spacing w:val="-6"/>
        </w:rPr>
        <w:t xml:space="preserve"> </w:t>
      </w:r>
      <w:r>
        <w:t>objectives</w:t>
      </w:r>
      <w:r>
        <w:rPr>
          <w:spacing w:val="-6"/>
        </w:rPr>
        <w:t xml:space="preserve"> </w:t>
      </w:r>
      <w:r>
        <w:t>underlie</w:t>
      </w:r>
      <w:r>
        <w:rPr>
          <w:spacing w:val="-6"/>
        </w:rPr>
        <w:t xml:space="preserve"> </w:t>
      </w:r>
      <w:r>
        <w:t>the</w:t>
      </w:r>
      <w:r>
        <w:rPr>
          <w:spacing w:val="-6"/>
        </w:rPr>
        <w:t xml:space="preserve"> </w:t>
      </w:r>
      <w:r>
        <w:t>process</w:t>
      </w:r>
      <w:r>
        <w:rPr>
          <w:spacing w:val="-6"/>
        </w:rPr>
        <w:t xml:space="preserve"> </w:t>
      </w:r>
      <w:r>
        <w:t>of</w:t>
      </w:r>
      <w:r>
        <w:rPr>
          <w:spacing w:val="-6"/>
        </w:rPr>
        <w:t xml:space="preserve"> </w:t>
      </w:r>
      <w:r>
        <w:t>determining</w:t>
      </w:r>
      <w:r>
        <w:rPr>
          <w:spacing w:val="-6"/>
        </w:rPr>
        <w:t xml:space="preserve"> </w:t>
      </w:r>
      <w:r>
        <w:t>the</w:t>
      </w:r>
      <w:r>
        <w:rPr>
          <w:spacing w:val="-6"/>
        </w:rPr>
        <w:t xml:space="preserve"> </w:t>
      </w:r>
      <w:r>
        <w:t>probability</w:t>
      </w:r>
      <w:r>
        <w:rPr>
          <w:spacing w:val="-6"/>
        </w:rPr>
        <w:t xml:space="preserve"> </w:t>
      </w:r>
      <w:r>
        <w:t>of</w:t>
      </w:r>
      <w:r>
        <w:rPr>
          <w:spacing w:val="-6"/>
        </w:rPr>
        <w:t xml:space="preserve"> </w:t>
      </w:r>
      <w:r>
        <w:t>selection</w:t>
      </w:r>
      <w:r>
        <w:rPr>
          <w:spacing w:val="-6"/>
        </w:rPr>
        <w:t xml:space="preserve"> </w:t>
      </w:r>
      <w:r>
        <w:t>for</w:t>
      </w:r>
      <w:r>
        <w:rPr>
          <w:spacing w:val="-6"/>
        </w:rPr>
        <w:t xml:space="preserve"> </w:t>
      </w:r>
      <w:r>
        <w:t>each</w:t>
      </w:r>
      <w:r>
        <w:rPr>
          <w:spacing w:val="-6"/>
        </w:rPr>
        <w:t xml:space="preserve"> </w:t>
      </w:r>
      <w:r>
        <w:t>school</w:t>
      </w:r>
      <w:r>
        <w:rPr>
          <w:spacing w:val="-6"/>
        </w:rPr>
        <w:t xml:space="preserve"> </w:t>
      </w:r>
      <w:r>
        <w:t>and</w:t>
      </w:r>
      <w:r>
        <w:rPr>
          <w:spacing w:val="-6"/>
        </w:rPr>
        <w:t xml:space="preserve"> </w:t>
      </w:r>
      <w:r>
        <w:t>the number of students to be sampled from each selected school:</w:t>
      </w:r>
    </w:p>
    <w:p w:rsidR="003F5784" w14:paraId="5FF0D2F7" w14:textId="77777777">
      <w:pPr>
        <w:pStyle w:val="BodyText"/>
        <w:spacing w:before="203" w:line="238" w:lineRule="exact"/>
        <w:ind w:left="422"/>
      </w:pPr>
      <w:r>
        <w:rPr>
          <w:noProof/>
          <w:position w:val="3"/>
        </w:rPr>
        <w:drawing>
          <wp:inline distT="0" distB="0" distL="0" distR="0">
            <wp:extent cx="41379" cy="41345"/>
            <wp:effectExtent l="0" t="0" r="0" b="0"/>
            <wp:docPr id="189" name="Image 189"/>
            <wp:cNvGraphicFramePr/>
            <a:graphic xmlns:a="http://schemas.openxmlformats.org/drawingml/2006/main">
              <a:graphicData uri="http://schemas.openxmlformats.org/drawingml/2006/picture">
                <pic:pic xmlns:pic="http://schemas.openxmlformats.org/drawingml/2006/picture">
                  <pic:nvPicPr>
                    <pic:cNvPr id="189" name="Image 189"/>
                    <pic:cNvPicPr/>
                  </pic:nvPicPr>
                  <pic:blipFill>
                    <a:blip xmlns:r="http://schemas.openxmlformats.org/officeDocument/2006/relationships" r:embed="rId163" cstate="print"/>
                    <a:stretch>
                      <a:fillRect/>
                    </a:stretch>
                  </pic:blipFill>
                  <pic:spPr>
                    <a:xfrm>
                      <a:off x="0" y="0"/>
                      <a:ext cx="41379" cy="41345"/>
                    </a:xfrm>
                    <a:prstGeom prst="rect">
                      <a:avLst/>
                    </a:prstGeom>
                  </pic:spPr>
                </pic:pic>
              </a:graphicData>
            </a:graphic>
          </wp:inline>
        </w:drawing>
      </w:r>
      <w:r>
        <w:rPr>
          <w:spacing w:val="80"/>
          <w:sz w:val="20"/>
        </w:rPr>
        <w:t xml:space="preserve"> </w:t>
      </w:r>
      <w:r>
        <w:t>to meet the overall target student sample size;</w:t>
      </w:r>
    </w:p>
    <w:p w:rsidR="003F5784" w14:paraId="34DA38E1" w14:textId="77777777">
      <w:pPr>
        <w:pStyle w:val="BodyText"/>
        <w:spacing w:before="3" w:line="232" w:lineRule="auto"/>
        <w:ind w:left="422" w:right="8168"/>
      </w:pPr>
      <w:r>
        <w:rPr>
          <w:noProof/>
          <w:position w:val="3"/>
        </w:rPr>
        <w:drawing>
          <wp:inline distT="0" distB="0" distL="0" distR="0">
            <wp:extent cx="41379" cy="41345"/>
            <wp:effectExtent l="0" t="0" r="0" b="0"/>
            <wp:docPr id="190" name="Image 190"/>
            <wp:cNvGraphicFramePr/>
            <a:graphic xmlns:a="http://schemas.openxmlformats.org/drawingml/2006/main">
              <a:graphicData uri="http://schemas.openxmlformats.org/drawingml/2006/picture">
                <pic:pic xmlns:pic="http://schemas.openxmlformats.org/drawingml/2006/picture">
                  <pic:nvPicPr>
                    <pic:cNvPr id="190" name="Image 190"/>
                    <pic:cNvPicPr/>
                  </pic:nvPicPr>
                  <pic:blipFill>
                    <a:blip xmlns:r="http://schemas.openxmlformats.org/officeDocument/2006/relationships" r:embed="rId164" cstate="print"/>
                    <a:stretch>
                      <a:fillRect/>
                    </a:stretch>
                  </pic:blipFill>
                  <pic:spPr>
                    <a:xfrm>
                      <a:off x="0" y="0"/>
                      <a:ext cx="41379" cy="41345"/>
                    </a:xfrm>
                    <a:prstGeom prst="rect">
                      <a:avLst/>
                    </a:prstGeom>
                  </pic:spPr>
                </pic:pic>
              </a:graphicData>
            </a:graphic>
          </wp:inline>
        </w:drawing>
      </w:r>
      <w:r>
        <w:rPr>
          <w:spacing w:val="77"/>
          <w:sz w:val="20"/>
        </w:rPr>
        <w:t xml:space="preserve"> </w:t>
      </w:r>
      <w:r>
        <w:t>to</w:t>
      </w:r>
      <w:r>
        <w:rPr>
          <w:spacing w:val="-7"/>
        </w:rPr>
        <w:t xml:space="preserve"> </w:t>
      </w:r>
      <w:r>
        <w:t>select</w:t>
      </w:r>
      <w:r>
        <w:rPr>
          <w:spacing w:val="-7"/>
        </w:rPr>
        <w:t xml:space="preserve"> </w:t>
      </w:r>
      <w:r>
        <w:t>an</w:t>
      </w:r>
      <w:r>
        <w:rPr>
          <w:spacing w:val="-7"/>
        </w:rPr>
        <w:t xml:space="preserve"> </w:t>
      </w:r>
      <w:r>
        <w:t>equal-probability</w:t>
      </w:r>
      <w:r>
        <w:rPr>
          <w:spacing w:val="-7"/>
        </w:rPr>
        <w:t xml:space="preserve"> </w:t>
      </w:r>
      <w:r>
        <w:t>sample</w:t>
      </w:r>
      <w:r>
        <w:rPr>
          <w:spacing w:val="-7"/>
        </w:rPr>
        <w:t xml:space="preserve"> </w:t>
      </w:r>
      <w:r>
        <w:t>of</w:t>
      </w:r>
      <w:r>
        <w:rPr>
          <w:spacing w:val="-7"/>
        </w:rPr>
        <w:t xml:space="preserve"> </w:t>
      </w:r>
      <w:r>
        <w:t>students</w:t>
      </w:r>
      <w:r>
        <w:rPr>
          <w:spacing w:val="-7"/>
        </w:rPr>
        <w:t xml:space="preserve"> </w:t>
      </w:r>
      <w:r>
        <w:t>from</w:t>
      </w:r>
      <w:r>
        <w:rPr>
          <w:spacing w:val="-7"/>
        </w:rPr>
        <w:t xml:space="preserve"> </w:t>
      </w:r>
      <w:r>
        <w:t>the</w:t>
      </w:r>
      <w:r>
        <w:rPr>
          <w:spacing w:val="-7"/>
        </w:rPr>
        <w:t xml:space="preserve"> </w:t>
      </w:r>
      <w:r>
        <w:t>age</w:t>
      </w:r>
      <w:r>
        <w:rPr>
          <w:spacing w:val="-7"/>
        </w:rPr>
        <w:t xml:space="preserve"> </w:t>
      </w:r>
      <w:r>
        <w:t xml:space="preserve">population; </w:t>
      </w:r>
      <w:r>
        <w:rPr>
          <w:noProof/>
          <w:position w:val="3"/>
        </w:rPr>
        <w:drawing>
          <wp:inline distT="0" distB="0" distL="0" distR="0">
            <wp:extent cx="41379" cy="41345"/>
            <wp:effectExtent l="0" t="0" r="0" b="0"/>
            <wp:docPr id="191" name="Image 191"/>
            <wp:cNvGraphicFramePr/>
            <a:graphic xmlns:a="http://schemas.openxmlformats.org/drawingml/2006/main">
              <a:graphicData uri="http://schemas.openxmlformats.org/drawingml/2006/picture">
                <pic:pic xmlns:pic="http://schemas.openxmlformats.org/drawingml/2006/picture">
                  <pic:nvPicPr>
                    <pic:cNvPr id="191" name="Image 191"/>
                    <pic:cNvPicPr/>
                  </pic:nvPicPr>
                  <pic:blipFill>
                    <a:blip xmlns:r="http://schemas.openxmlformats.org/officeDocument/2006/relationships" r:embed="rId165" cstate="print"/>
                    <a:stretch>
                      <a:fillRect/>
                    </a:stretch>
                  </pic:blipFill>
                  <pic:spPr>
                    <a:xfrm>
                      <a:off x="0" y="0"/>
                      <a:ext cx="41379" cy="41345"/>
                    </a:xfrm>
                    <a:prstGeom prst="rect">
                      <a:avLst/>
                    </a:prstGeom>
                  </pic:spPr>
                </pic:pic>
              </a:graphicData>
            </a:graphic>
          </wp:inline>
        </w:drawing>
      </w:r>
      <w:r>
        <w:rPr>
          <w:spacing w:val="80"/>
        </w:rPr>
        <w:t xml:space="preserve"> </w:t>
      </w:r>
      <w:r>
        <w:t>to limit the number of students selected from any one school;</w:t>
      </w:r>
    </w:p>
    <w:p w:rsidR="003F5784" w14:paraId="32C4DFD6" w14:textId="77777777">
      <w:pPr>
        <w:pStyle w:val="BodyText"/>
        <w:spacing w:line="236" w:lineRule="exact"/>
        <w:ind w:left="422"/>
      </w:pPr>
      <w:r>
        <w:rPr>
          <w:noProof/>
          <w:position w:val="3"/>
        </w:rPr>
        <w:drawing>
          <wp:inline distT="0" distB="0" distL="0" distR="0">
            <wp:extent cx="41379" cy="41345"/>
            <wp:effectExtent l="0" t="0" r="0" b="0"/>
            <wp:docPr id="192" name="Image 192"/>
            <wp:cNvGraphicFramePr/>
            <a:graphic xmlns:a="http://schemas.openxmlformats.org/drawingml/2006/main">
              <a:graphicData uri="http://schemas.openxmlformats.org/drawingml/2006/picture">
                <pic:pic xmlns:pic="http://schemas.openxmlformats.org/drawingml/2006/picture">
                  <pic:nvPicPr>
                    <pic:cNvPr id="192" name="Image 192"/>
                    <pic:cNvPicPr/>
                  </pic:nvPicPr>
                  <pic:blipFill>
                    <a:blip xmlns:r="http://schemas.openxmlformats.org/officeDocument/2006/relationships" r:embed="rId166" cstate="print"/>
                    <a:stretch>
                      <a:fillRect/>
                    </a:stretch>
                  </pic:blipFill>
                  <pic:spPr>
                    <a:xfrm>
                      <a:off x="0" y="0"/>
                      <a:ext cx="41379" cy="41345"/>
                    </a:xfrm>
                    <a:prstGeom prst="rect">
                      <a:avLst/>
                    </a:prstGeom>
                  </pic:spPr>
                </pic:pic>
              </a:graphicData>
            </a:graphic>
          </wp:inline>
        </w:drawing>
      </w:r>
      <w:r>
        <w:rPr>
          <w:spacing w:val="80"/>
          <w:sz w:val="20"/>
        </w:rPr>
        <w:t xml:space="preserve"> </w:t>
      </w:r>
      <w:r>
        <w:t>to</w:t>
      </w:r>
      <w:r>
        <w:rPr>
          <w:spacing w:val="-1"/>
        </w:rPr>
        <w:t xml:space="preserve"> </w:t>
      </w:r>
      <w:r>
        <w:t>ensure</w:t>
      </w:r>
      <w:r>
        <w:rPr>
          <w:spacing w:val="-1"/>
        </w:rPr>
        <w:t xml:space="preserve"> </w:t>
      </w:r>
      <w:r>
        <w:t>that</w:t>
      </w:r>
      <w:r>
        <w:rPr>
          <w:spacing w:val="-1"/>
        </w:rPr>
        <w:t xml:space="preserve"> </w:t>
      </w:r>
      <w:r>
        <w:t>the</w:t>
      </w:r>
      <w:r>
        <w:rPr>
          <w:spacing w:val="-1"/>
        </w:rPr>
        <w:t xml:space="preserve"> </w:t>
      </w:r>
      <w:r>
        <w:t>sample</w:t>
      </w:r>
      <w:r>
        <w:rPr>
          <w:spacing w:val="-1"/>
        </w:rPr>
        <w:t xml:space="preserve"> </w:t>
      </w:r>
      <w:r>
        <w:t>within</w:t>
      </w:r>
      <w:r>
        <w:rPr>
          <w:spacing w:val="-1"/>
        </w:rPr>
        <w:t xml:space="preserve"> </w:t>
      </w:r>
      <w:r>
        <w:t>a</w:t>
      </w:r>
      <w:r>
        <w:rPr>
          <w:spacing w:val="-1"/>
        </w:rPr>
        <w:t xml:space="preserve"> </w:t>
      </w:r>
      <w:r>
        <w:t>school</w:t>
      </w:r>
      <w:r>
        <w:rPr>
          <w:spacing w:val="-1"/>
        </w:rPr>
        <w:t xml:space="preserve"> </w:t>
      </w:r>
      <w:r>
        <w:t>does</w:t>
      </w:r>
      <w:r>
        <w:rPr>
          <w:spacing w:val="-1"/>
        </w:rPr>
        <w:t xml:space="preserve"> </w:t>
      </w:r>
      <w:r>
        <w:t>not</w:t>
      </w:r>
      <w:r>
        <w:rPr>
          <w:spacing w:val="-1"/>
        </w:rPr>
        <w:t xml:space="preserve"> </w:t>
      </w:r>
      <w:r>
        <w:t>include</w:t>
      </w:r>
      <w:r>
        <w:rPr>
          <w:spacing w:val="-1"/>
        </w:rPr>
        <w:t xml:space="preserve"> </w:t>
      </w:r>
      <w:r>
        <w:t>a</w:t>
      </w:r>
      <w:r>
        <w:rPr>
          <w:spacing w:val="-1"/>
        </w:rPr>
        <w:t xml:space="preserve"> </w:t>
      </w:r>
      <w:r>
        <w:t>very</w:t>
      </w:r>
      <w:r>
        <w:rPr>
          <w:spacing w:val="-1"/>
        </w:rPr>
        <w:t xml:space="preserve"> </w:t>
      </w:r>
      <w:r>
        <w:t>high</w:t>
      </w:r>
      <w:r>
        <w:rPr>
          <w:spacing w:val="-1"/>
        </w:rPr>
        <w:t xml:space="preserve"> </w:t>
      </w:r>
      <w:r>
        <w:t>percentage</w:t>
      </w:r>
      <w:r>
        <w:rPr>
          <w:spacing w:val="-1"/>
        </w:rPr>
        <w:t xml:space="preserve"> </w:t>
      </w:r>
      <w:r>
        <w:t>of</w:t>
      </w:r>
      <w:r>
        <w:rPr>
          <w:spacing w:val="-1"/>
        </w:rPr>
        <w:t xml:space="preserve"> </w:t>
      </w:r>
      <w:r>
        <w:t>the</w:t>
      </w:r>
      <w:r>
        <w:rPr>
          <w:spacing w:val="-1"/>
        </w:rPr>
        <w:t xml:space="preserve"> </w:t>
      </w:r>
      <w:r>
        <w:t>students</w:t>
      </w:r>
      <w:r>
        <w:rPr>
          <w:spacing w:val="-1"/>
        </w:rPr>
        <w:t xml:space="preserve"> </w:t>
      </w:r>
      <w:r>
        <w:t>in</w:t>
      </w:r>
      <w:r>
        <w:rPr>
          <w:spacing w:val="-1"/>
        </w:rPr>
        <w:t xml:space="preserve"> </w:t>
      </w:r>
      <w:r>
        <w:t>the</w:t>
      </w:r>
      <w:r>
        <w:rPr>
          <w:spacing w:val="-1"/>
        </w:rPr>
        <w:t xml:space="preserve"> </w:t>
      </w:r>
      <w:r>
        <w:t>school,</w:t>
      </w:r>
      <w:r>
        <w:rPr>
          <w:spacing w:val="-1"/>
        </w:rPr>
        <w:t xml:space="preserve"> </w:t>
      </w:r>
      <w:r>
        <w:t>unless</w:t>
      </w:r>
      <w:r>
        <w:rPr>
          <w:spacing w:val="-1"/>
        </w:rPr>
        <w:t xml:space="preserve"> </w:t>
      </w:r>
      <w:r>
        <w:t>all</w:t>
      </w:r>
      <w:r>
        <w:rPr>
          <w:spacing w:val="-1"/>
        </w:rPr>
        <w:t xml:space="preserve"> </w:t>
      </w:r>
      <w:r>
        <w:t>students</w:t>
      </w:r>
      <w:r>
        <w:rPr>
          <w:spacing w:val="-1"/>
        </w:rPr>
        <w:t xml:space="preserve"> </w:t>
      </w:r>
      <w:r>
        <w:t>are</w:t>
      </w:r>
      <w:r>
        <w:rPr>
          <w:spacing w:val="-1"/>
        </w:rPr>
        <w:t xml:space="preserve"> </w:t>
      </w:r>
      <w:r>
        <w:t>included;</w:t>
      </w:r>
    </w:p>
    <w:p w:rsidR="003F5784" w14:paraId="45CBF540" w14:textId="77777777">
      <w:pPr>
        <w:spacing w:line="236" w:lineRule="exact"/>
        <w:sectPr>
          <w:pgSz w:w="15840" w:h="12240" w:orient="landscape"/>
          <w:pgMar w:top="480" w:right="440" w:bottom="460" w:left="460" w:header="284" w:footer="275" w:gutter="0"/>
          <w:cols w:space="720"/>
        </w:sectPr>
      </w:pPr>
    </w:p>
    <w:p w:rsidR="003F5784" w14:paraId="3C8C704B" w14:textId="77777777">
      <w:pPr>
        <w:pStyle w:val="BodyText"/>
        <w:spacing w:before="78" w:line="232" w:lineRule="auto"/>
        <w:ind w:left="422" w:right="2215"/>
      </w:pPr>
      <w:r>
        <w:rPr>
          <w:noProof/>
          <w:position w:val="3"/>
        </w:rPr>
        <w:drawing>
          <wp:inline distT="0" distB="0" distL="0" distR="0">
            <wp:extent cx="41379" cy="41345"/>
            <wp:effectExtent l="0" t="0" r="0" b="0"/>
            <wp:docPr id="193" name="Image 193"/>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xmlns:r="http://schemas.openxmlformats.org/officeDocument/2006/relationships" r:embed="rId167" cstate="print"/>
                    <a:stretch>
                      <a:fillRect/>
                    </a:stretch>
                  </pic:blipFill>
                  <pic:spPr>
                    <a:xfrm>
                      <a:off x="0" y="0"/>
                      <a:ext cx="41379" cy="41345"/>
                    </a:xfrm>
                    <a:prstGeom prst="rect">
                      <a:avLst/>
                    </a:prstGeom>
                  </pic:spPr>
                </pic:pic>
              </a:graphicData>
            </a:graphic>
          </wp:inline>
        </w:drawing>
      </w:r>
      <w:r>
        <w:rPr>
          <w:spacing w:val="80"/>
          <w:sz w:val="20"/>
        </w:rPr>
        <w:t xml:space="preserve"> </w:t>
      </w:r>
      <w:r>
        <w:t>to</w:t>
      </w:r>
      <w:r>
        <w:rPr>
          <w:spacing w:val="-5"/>
        </w:rPr>
        <w:t xml:space="preserve"> </w:t>
      </w:r>
      <w:r>
        <w:t>reduce</w:t>
      </w:r>
      <w:r>
        <w:rPr>
          <w:spacing w:val="-5"/>
        </w:rPr>
        <w:t xml:space="preserve"> </w:t>
      </w:r>
      <w:r>
        <w:t>the</w:t>
      </w:r>
      <w:r>
        <w:rPr>
          <w:spacing w:val="-5"/>
        </w:rPr>
        <w:t xml:space="preserve"> </w:t>
      </w:r>
      <w:r>
        <w:t>sampling</w:t>
      </w:r>
      <w:r>
        <w:rPr>
          <w:spacing w:val="-5"/>
        </w:rPr>
        <w:t xml:space="preserve"> </w:t>
      </w:r>
      <w:r>
        <w:t>rate</w:t>
      </w:r>
      <w:r>
        <w:rPr>
          <w:spacing w:val="-5"/>
        </w:rPr>
        <w:t xml:space="preserve"> </w:t>
      </w:r>
      <w:r>
        <w:t>of</w:t>
      </w:r>
      <w:r>
        <w:rPr>
          <w:spacing w:val="-5"/>
        </w:rPr>
        <w:t xml:space="preserve"> </w:t>
      </w:r>
      <w:r>
        <w:t>small</w:t>
      </w:r>
      <w:r>
        <w:rPr>
          <w:spacing w:val="-5"/>
        </w:rPr>
        <w:t xml:space="preserve"> </w:t>
      </w:r>
      <w:r>
        <w:t>schools,</w:t>
      </w:r>
      <w:r>
        <w:rPr>
          <w:spacing w:val="-5"/>
        </w:rPr>
        <w:t xml:space="preserve"> </w:t>
      </w:r>
      <w:r>
        <w:t>in</w:t>
      </w:r>
      <w:r>
        <w:rPr>
          <w:spacing w:val="-5"/>
        </w:rPr>
        <w:t xml:space="preserve"> </w:t>
      </w:r>
      <w:r>
        <w:t>recognition</w:t>
      </w:r>
      <w:r>
        <w:rPr>
          <w:spacing w:val="-5"/>
        </w:rPr>
        <w:t xml:space="preserve"> </w:t>
      </w:r>
      <w:r>
        <w:t>of</w:t>
      </w:r>
      <w:r>
        <w:rPr>
          <w:spacing w:val="-5"/>
        </w:rPr>
        <w:t xml:space="preserve"> </w:t>
      </w:r>
      <w:r>
        <w:t>the</w:t>
      </w:r>
      <w:r>
        <w:rPr>
          <w:spacing w:val="-5"/>
        </w:rPr>
        <w:t xml:space="preserve"> </w:t>
      </w:r>
      <w:r>
        <w:t>greater</w:t>
      </w:r>
      <w:r>
        <w:rPr>
          <w:spacing w:val="-5"/>
        </w:rPr>
        <w:t xml:space="preserve"> </w:t>
      </w:r>
      <w:r>
        <w:t>cost</w:t>
      </w:r>
      <w:r>
        <w:rPr>
          <w:spacing w:val="-5"/>
        </w:rPr>
        <w:t xml:space="preserve"> </w:t>
      </w:r>
      <w:r>
        <w:t>and</w:t>
      </w:r>
      <w:r>
        <w:rPr>
          <w:spacing w:val="-5"/>
        </w:rPr>
        <w:t xml:space="preserve"> </w:t>
      </w:r>
      <w:r>
        <w:t>burden</w:t>
      </w:r>
      <w:r>
        <w:rPr>
          <w:spacing w:val="-5"/>
        </w:rPr>
        <w:t xml:space="preserve"> </w:t>
      </w:r>
      <w:r>
        <w:t>per</w:t>
      </w:r>
      <w:r>
        <w:rPr>
          <w:spacing w:val="-5"/>
        </w:rPr>
        <w:t xml:space="preserve"> </w:t>
      </w:r>
      <w:r>
        <w:t>student</w:t>
      </w:r>
      <w:r>
        <w:rPr>
          <w:spacing w:val="-5"/>
        </w:rPr>
        <w:t xml:space="preserve"> </w:t>
      </w:r>
      <w:r>
        <w:t>of</w:t>
      </w:r>
      <w:r>
        <w:rPr>
          <w:spacing w:val="-5"/>
        </w:rPr>
        <w:t xml:space="preserve"> </w:t>
      </w:r>
      <w:r>
        <w:t>conducting</w:t>
      </w:r>
      <w:r>
        <w:rPr>
          <w:spacing w:val="-5"/>
        </w:rPr>
        <w:t xml:space="preserve"> </w:t>
      </w:r>
      <w:r>
        <w:t>assessments</w:t>
      </w:r>
      <w:r>
        <w:rPr>
          <w:spacing w:val="-5"/>
        </w:rPr>
        <w:t xml:space="preserve"> </w:t>
      </w:r>
      <w:r>
        <w:t>in</w:t>
      </w:r>
      <w:r>
        <w:rPr>
          <w:spacing w:val="-5"/>
        </w:rPr>
        <w:t xml:space="preserve"> </w:t>
      </w:r>
      <w:r>
        <w:t>such</w:t>
      </w:r>
      <w:r>
        <w:rPr>
          <w:spacing w:val="-5"/>
        </w:rPr>
        <w:t xml:space="preserve"> </w:t>
      </w:r>
      <w:r>
        <w:t xml:space="preserve">schools; </w:t>
      </w:r>
      <w:r>
        <w:rPr>
          <w:noProof/>
          <w:position w:val="3"/>
        </w:rPr>
        <w:drawing>
          <wp:inline distT="0" distB="0" distL="0" distR="0">
            <wp:extent cx="41379" cy="41345"/>
            <wp:effectExtent l="0" t="0" r="0" b="0"/>
            <wp:docPr id="194" name="Image 194"/>
            <wp:cNvGraphicFramePr/>
            <a:graphic xmlns:a="http://schemas.openxmlformats.org/drawingml/2006/main">
              <a:graphicData uri="http://schemas.openxmlformats.org/drawingml/2006/picture">
                <pic:pic xmlns:pic="http://schemas.openxmlformats.org/drawingml/2006/picture">
                  <pic:nvPicPr>
                    <pic:cNvPr id="194" name="Image 194"/>
                    <pic:cNvPicPr/>
                  </pic:nvPicPr>
                  <pic:blipFill>
                    <a:blip xmlns:r="http://schemas.openxmlformats.org/officeDocument/2006/relationships" r:embed="rId168" cstate="print"/>
                    <a:stretch>
                      <a:fillRect/>
                    </a:stretch>
                  </pic:blipFill>
                  <pic:spPr>
                    <a:xfrm>
                      <a:off x="0" y="0"/>
                      <a:ext cx="41379" cy="41345"/>
                    </a:xfrm>
                    <a:prstGeom prst="rect">
                      <a:avLst/>
                    </a:prstGeom>
                  </pic:spPr>
                </pic:pic>
              </a:graphicData>
            </a:graphic>
          </wp:inline>
        </w:drawing>
      </w:r>
      <w:r>
        <w:rPr>
          <w:spacing w:val="80"/>
        </w:rPr>
        <w:t xml:space="preserve"> </w:t>
      </w:r>
      <w:r>
        <w:t>to increase the number of</w:t>
      </w:r>
      <w:r>
        <w:rPr>
          <w:spacing w:val="-8"/>
        </w:rPr>
        <w:t xml:space="preserve"> </w:t>
      </w:r>
      <w:r>
        <w:t>American Indian/Alaska Native (AI/AN), Black, and Hispanic students in the sample; and</w:t>
      </w:r>
    </w:p>
    <w:p w:rsidR="003F5784" w14:paraId="72BCB121" w14:textId="77777777">
      <w:pPr>
        <w:pStyle w:val="BodyText"/>
        <w:spacing w:line="236" w:lineRule="exact"/>
        <w:ind w:left="422"/>
      </w:pPr>
      <w:r>
        <w:rPr>
          <w:noProof/>
          <w:position w:val="3"/>
        </w:rPr>
        <w:drawing>
          <wp:inline distT="0" distB="0" distL="0" distR="0">
            <wp:extent cx="41379" cy="41345"/>
            <wp:effectExtent l="0" t="0" r="0" b="0"/>
            <wp:docPr id="195" name="Image 195"/>
            <wp:cNvGraphicFramePr/>
            <a:graphic xmlns:a="http://schemas.openxmlformats.org/drawingml/2006/main">
              <a:graphicData uri="http://schemas.openxmlformats.org/drawingml/2006/picture">
                <pic:pic xmlns:pic="http://schemas.openxmlformats.org/drawingml/2006/picture">
                  <pic:nvPicPr>
                    <pic:cNvPr id="195" name="Image 195"/>
                    <pic:cNvPicPr/>
                  </pic:nvPicPr>
                  <pic:blipFill>
                    <a:blip xmlns:r="http://schemas.openxmlformats.org/officeDocument/2006/relationships" r:embed="rId169" cstate="print"/>
                    <a:stretch>
                      <a:fillRect/>
                    </a:stretch>
                  </pic:blipFill>
                  <pic:spPr>
                    <a:xfrm>
                      <a:off x="0" y="0"/>
                      <a:ext cx="41379" cy="41345"/>
                    </a:xfrm>
                    <a:prstGeom prst="rect">
                      <a:avLst/>
                    </a:prstGeom>
                  </pic:spPr>
                </pic:pic>
              </a:graphicData>
            </a:graphic>
          </wp:inline>
        </w:drawing>
      </w:r>
      <w:r>
        <w:rPr>
          <w:spacing w:val="80"/>
          <w:sz w:val="20"/>
        </w:rPr>
        <w:t xml:space="preserve"> </w:t>
      </w:r>
      <w:r>
        <w:t>to</w:t>
      </w:r>
      <w:r>
        <w:rPr>
          <w:spacing w:val="-1"/>
        </w:rPr>
        <w:t xml:space="preserve"> </w:t>
      </w:r>
      <w:r>
        <w:t>ensure</w:t>
      </w:r>
      <w:r>
        <w:rPr>
          <w:spacing w:val="-1"/>
        </w:rPr>
        <w:t xml:space="preserve"> </w:t>
      </w:r>
      <w:r>
        <w:t>the</w:t>
      </w:r>
      <w:r>
        <w:rPr>
          <w:spacing w:val="-1"/>
        </w:rPr>
        <w:t xml:space="preserve"> </w:t>
      </w:r>
      <w:r>
        <w:t>inclusion</w:t>
      </w:r>
      <w:r>
        <w:rPr>
          <w:spacing w:val="-1"/>
        </w:rPr>
        <w:t xml:space="preserve"> </w:t>
      </w:r>
      <w:r>
        <w:t>of</w:t>
      </w:r>
      <w:r>
        <w:rPr>
          <w:spacing w:val="-1"/>
        </w:rPr>
        <w:t xml:space="preserve"> </w:t>
      </w:r>
      <w:r>
        <w:t>all</w:t>
      </w:r>
      <w:r>
        <w:rPr>
          <w:spacing w:val="-1"/>
        </w:rPr>
        <w:t xml:space="preserve"> </w:t>
      </w:r>
      <w:r>
        <w:t>eligible</w:t>
      </w:r>
      <w:r>
        <w:rPr>
          <w:spacing w:val="-1"/>
        </w:rPr>
        <w:t xml:space="preserve"> </w:t>
      </w:r>
      <w:r>
        <w:t>schools</w:t>
      </w:r>
      <w:r>
        <w:rPr>
          <w:spacing w:val="-1"/>
        </w:rPr>
        <w:t xml:space="preserve"> </w:t>
      </w:r>
      <w:r>
        <w:t>that</w:t>
      </w:r>
      <w:r>
        <w:rPr>
          <w:spacing w:val="-1"/>
        </w:rPr>
        <w:t xml:space="preserve"> </w:t>
      </w:r>
      <w:r>
        <w:t>were</w:t>
      </w:r>
      <w:r>
        <w:rPr>
          <w:spacing w:val="-1"/>
        </w:rPr>
        <w:t xml:space="preserve"> </w:t>
      </w:r>
      <w:r>
        <w:t>part</w:t>
      </w:r>
      <w:r>
        <w:rPr>
          <w:spacing w:val="-1"/>
        </w:rPr>
        <w:t xml:space="preserve"> </w:t>
      </w:r>
      <w:r>
        <w:t>of</w:t>
      </w:r>
      <w:r>
        <w:rPr>
          <w:spacing w:val="-1"/>
        </w:rPr>
        <w:t xml:space="preserve"> </w:t>
      </w:r>
      <w:r>
        <w:t>the</w:t>
      </w:r>
      <w:r>
        <w:rPr>
          <w:spacing w:val="-1"/>
        </w:rPr>
        <w:t xml:space="preserve"> </w:t>
      </w:r>
      <w:r>
        <w:t>2020</w:t>
      </w:r>
      <w:r>
        <w:rPr>
          <w:spacing w:val="-1"/>
        </w:rPr>
        <w:t xml:space="preserve"> </w:t>
      </w:r>
      <w:r>
        <w:t>public</w:t>
      </w:r>
      <w:r>
        <w:rPr>
          <w:spacing w:val="-1"/>
        </w:rPr>
        <w:t xml:space="preserve"> </w:t>
      </w:r>
      <w:r>
        <w:t>school</w:t>
      </w:r>
      <w:r>
        <w:rPr>
          <w:spacing w:val="-1"/>
        </w:rPr>
        <w:t xml:space="preserve"> </w:t>
      </w:r>
      <w:r>
        <w:t>long-term</w:t>
      </w:r>
      <w:r>
        <w:rPr>
          <w:spacing w:val="-1"/>
        </w:rPr>
        <w:t xml:space="preserve"> </w:t>
      </w:r>
      <w:r>
        <w:t>trend</w:t>
      </w:r>
      <w:r>
        <w:rPr>
          <w:spacing w:val="-1"/>
        </w:rPr>
        <w:t xml:space="preserve"> </w:t>
      </w:r>
      <w:r>
        <w:t>sample</w:t>
      </w:r>
      <w:r>
        <w:rPr>
          <w:spacing w:val="-1"/>
        </w:rPr>
        <w:t xml:space="preserve"> </w:t>
      </w:r>
      <w:r>
        <w:t>for</w:t>
      </w:r>
      <w:r>
        <w:rPr>
          <w:spacing w:val="-1"/>
        </w:rPr>
        <w:t xml:space="preserve"> </w:t>
      </w:r>
      <w:r>
        <w:t>each</w:t>
      </w:r>
      <w:r>
        <w:rPr>
          <w:spacing w:val="-1"/>
        </w:rPr>
        <w:t xml:space="preserve"> </w:t>
      </w:r>
      <w:r>
        <w:t>age,</w:t>
      </w:r>
      <w:r>
        <w:rPr>
          <w:spacing w:val="-1"/>
        </w:rPr>
        <w:t xml:space="preserve"> </w:t>
      </w:r>
      <w:r>
        <w:t>respectively.</w:t>
      </w:r>
    </w:p>
    <w:p w:rsidR="003F5784" w14:paraId="4BE42E8E" w14:textId="77777777">
      <w:pPr>
        <w:pStyle w:val="BodyText"/>
        <w:spacing w:before="208" w:line="232" w:lineRule="auto"/>
        <w:ind w:left="109"/>
      </w:pPr>
      <w:r>
        <w:t>The</w:t>
      </w:r>
      <w:r>
        <w:rPr>
          <w:spacing w:val="-5"/>
        </w:rPr>
        <w:t xml:space="preserve"> </w:t>
      </w:r>
      <w:r>
        <w:t>goal</w:t>
      </w:r>
      <w:r>
        <w:rPr>
          <w:spacing w:val="-5"/>
        </w:rPr>
        <w:t xml:space="preserve"> </w:t>
      </w:r>
      <w:r>
        <w:t>in</w:t>
      </w:r>
      <w:r>
        <w:rPr>
          <w:spacing w:val="-5"/>
        </w:rPr>
        <w:t xml:space="preserve"> </w:t>
      </w:r>
      <w:r>
        <w:t>determining</w:t>
      </w:r>
      <w:r>
        <w:rPr>
          <w:spacing w:val="-5"/>
        </w:rPr>
        <w:t xml:space="preserve"> </w:t>
      </w:r>
      <w:r>
        <w:t>the</w:t>
      </w:r>
      <w:r>
        <w:rPr>
          <w:spacing w:val="-5"/>
        </w:rPr>
        <w:t xml:space="preserve"> </w:t>
      </w:r>
      <w:r>
        <w:t>school's</w:t>
      </w:r>
      <w:r>
        <w:rPr>
          <w:spacing w:val="-5"/>
        </w:rPr>
        <w:t xml:space="preserve"> </w:t>
      </w:r>
      <w:r>
        <w:t>measure</w:t>
      </w:r>
      <w:r>
        <w:rPr>
          <w:spacing w:val="-5"/>
        </w:rPr>
        <w:t xml:space="preserve"> </w:t>
      </w:r>
      <w:r>
        <w:t>of</w:t>
      </w:r>
      <w:r>
        <w:rPr>
          <w:spacing w:val="-5"/>
        </w:rPr>
        <w:t xml:space="preserve"> </w:t>
      </w:r>
      <w:r>
        <w:t>size</w:t>
      </w:r>
      <w:r>
        <w:rPr>
          <w:spacing w:val="-5"/>
        </w:rPr>
        <w:t xml:space="preserve"> </w:t>
      </w:r>
      <w:r>
        <w:t>is</w:t>
      </w:r>
      <w:r>
        <w:rPr>
          <w:spacing w:val="-5"/>
        </w:rPr>
        <w:t xml:space="preserve"> </w:t>
      </w:r>
      <w:r>
        <w:t>to</w:t>
      </w:r>
      <w:r>
        <w:rPr>
          <w:spacing w:val="-5"/>
        </w:rPr>
        <w:t xml:space="preserve"> </w:t>
      </w:r>
      <w:r>
        <w:t>optimize</w:t>
      </w:r>
      <w:r>
        <w:rPr>
          <w:spacing w:val="-5"/>
        </w:rPr>
        <w:t xml:space="preserve"> </w:t>
      </w:r>
      <w:r>
        <w:t>across</w:t>
      </w:r>
      <w:r>
        <w:rPr>
          <w:spacing w:val="-5"/>
        </w:rPr>
        <w:t xml:space="preserve"> </w:t>
      </w:r>
      <w:r>
        <w:t>the</w:t>
      </w:r>
      <w:r>
        <w:rPr>
          <w:spacing w:val="-5"/>
        </w:rPr>
        <w:t xml:space="preserve"> </w:t>
      </w:r>
      <w:r>
        <w:t>second</w:t>
      </w:r>
      <w:r>
        <w:rPr>
          <w:spacing w:val="-5"/>
        </w:rPr>
        <w:t xml:space="preserve"> </w:t>
      </w:r>
      <w:r>
        <w:t>to</w:t>
      </w:r>
      <w:r>
        <w:rPr>
          <w:spacing w:val="-5"/>
        </w:rPr>
        <w:t xml:space="preserve"> </w:t>
      </w:r>
      <w:r>
        <w:t>the</w:t>
      </w:r>
      <w:r>
        <w:rPr>
          <w:spacing w:val="-5"/>
        </w:rPr>
        <w:t xml:space="preserve"> </w:t>
      </w:r>
      <w:r>
        <w:t>fifth</w:t>
      </w:r>
      <w:r>
        <w:rPr>
          <w:spacing w:val="-5"/>
        </w:rPr>
        <w:t xml:space="preserve"> </w:t>
      </w:r>
      <w:r>
        <w:t>objectives</w:t>
      </w:r>
      <w:r>
        <w:rPr>
          <w:spacing w:val="-5"/>
        </w:rPr>
        <w:t xml:space="preserve"> </w:t>
      </w:r>
      <w:r>
        <w:t>in</w:t>
      </w:r>
      <w:r>
        <w:rPr>
          <w:spacing w:val="-5"/>
        </w:rPr>
        <w:t xml:space="preserve"> </w:t>
      </w:r>
      <w:r>
        <w:t>terms</w:t>
      </w:r>
      <w:r>
        <w:rPr>
          <w:spacing w:val="-5"/>
        </w:rPr>
        <w:t xml:space="preserve"> </w:t>
      </w:r>
      <w:r>
        <w:t>of</w:t>
      </w:r>
      <w:r>
        <w:rPr>
          <w:spacing w:val="-5"/>
        </w:rPr>
        <w:t xml:space="preserve"> </w:t>
      </w:r>
      <w:r>
        <w:t>maintaining</w:t>
      </w:r>
      <w:r>
        <w:rPr>
          <w:spacing w:val="-5"/>
        </w:rPr>
        <w:t xml:space="preserve"> </w:t>
      </w:r>
      <w:r>
        <w:t>the</w:t>
      </w:r>
      <w:r>
        <w:rPr>
          <w:spacing w:val="-5"/>
        </w:rPr>
        <w:t xml:space="preserve"> </w:t>
      </w:r>
      <w:r>
        <w:t>precision</w:t>
      </w:r>
      <w:r>
        <w:rPr>
          <w:spacing w:val="-5"/>
        </w:rPr>
        <w:t xml:space="preserve"> </w:t>
      </w:r>
      <w:r>
        <w:t>of</w:t>
      </w:r>
      <w:r>
        <w:rPr>
          <w:spacing w:val="-5"/>
        </w:rPr>
        <w:t xml:space="preserve"> </w:t>
      </w:r>
      <w:r>
        <w:t>estimates</w:t>
      </w:r>
      <w:r>
        <w:rPr>
          <w:spacing w:val="-5"/>
        </w:rPr>
        <w:t xml:space="preserve"> </w:t>
      </w:r>
      <w:r>
        <w:t>and</w:t>
      </w:r>
      <w:r>
        <w:rPr>
          <w:spacing w:val="-5"/>
        </w:rPr>
        <w:t xml:space="preserve"> </w:t>
      </w:r>
      <w:r>
        <w:t>the</w:t>
      </w:r>
      <w:r>
        <w:rPr>
          <w:spacing w:val="-5"/>
        </w:rPr>
        <w:t xml:space="preserve"> </w:t>
      </w:r>
      <w:r>
        <w:t>cost effectiveness of the sample design.</w:t>
      </w:r>
    </w:p>
    <w:p w:rsidR="003F5784" w14:paraId="0BDAE943" w14:textId="77777777">
      <w:pPr>
        <w:pStyle w:val="BodyText"/>
        <w:spacing w:before="209" w:line="232" w:lineRule="auto"/>
        <w:ind w:left="109"/>
      </w:pPr>
      <w:r>
        <w:t>Therefore,</w:t>
      </w:r>
      <w:r>
        <w:rPr>
          <w:spacing w:val="-6"/>
        </w:rPr>
        <w:t xml:space="preserve"> </w:t>
      </w:r>
      <w:r>
        <w:t>to</w:t>
      </w:r>
      <w:r>
        <w:rPr>
          <w:spacing w:val="-6"/>
        </w:rPr>
        <w:t xml:space="preserve"> </w:t>
      </w:r>
      <w:r>
        <w:t>meet</w:t>
      </w:r>
      <w:r>
        <w:rPr>
          <w:spacing w:val="-6"/>
        </w:rPr>
        <w:t xml:space="preserve"> </w:t>
      </w:r>
      <w:r>
        <w:t>the</w:t>
      </w:r>
      <w:r>
        <w:rPr>
          <w:spacing w:val="-6"/>
        </w:rPr>
        <w:t xml:space="preserve"> </w:t>
      </w:r>
      <w:r>
        <w:t>target</w:t>
      </w:r>
      <w:r>
        <w:rPr>
          <w:spacing w:val="-6"/>
        </w:rPr>
        <w:t xml:space="preserve"> </w:t>
      </w:r>
      <w:r>
        <w:t>student</w:t>
      </w:r>
      <w:r>
        <w:rPr>
          <w:spacing w:val="-6"/>
        </w:rPr>
        <w:t xml:space="preserve"> </w:t>
      </w:r>
      <w:r>
        <w:t>sample</w:t>
      </w:r>
      <w:r>
        <w:rPr>
          <w:spacing w:val="-6"/>
        </w:rPr>
        <w:t xml:space="preserve"> </w:t>
      </w:r>
      <w:r>
        <w:t>size</w:t>
      </w:r>
      <w:r>
        <w:rPr>
          <w:spacing w:val="-6"/>
        </w:rPr>
        <w:t xml:space="preserve"> </w:t>
      </w:r>
      <w:r>
        <w:t>objective</w:t>
      </w:r>
      <w:r>
        <w:rPr>
          <w:spacing w:val="-6"/>
        </w:rPr>
        <w:t xml:space="preserve"> </w:t>
      </w:r>
      <w:r>
        <w:t>and</w:t>
      </w:r>
      <w:r>
        <w:rPr>
          <w:spacing w:val="-6"/>
        </w:rPr>
        <w:t xml:space="preserve"> </w:t>
      </w:r>
      <w:r>
        <w:t>achieve</w:t>
      </w:r>
      <w:r>
        <w:rPr>
          <w:spacing w:val="-6"/>
        </w:rPr>
        <w:t xml:space="preserve"> </w:t>
      </w:r>
      <w:r>
        <w:t>a</w:t>
      </w:r>
      <w:r>
        <w:rPr>
          <w:spacing w:val="-6"/>
        </w:rPr>
        <w:t xml:space="preserve"> </w:t>
      </w:r>
      <w:r>
        <w:t>reasonable</w:t>
      </w:r>
      <w:r>
        <w:rPr>
          <w:spacing w:val="-6"/>
        </w:rPr>
        <w:t xml:space="preserve"> </w:t>
      </w:r>
      <w:r>
        <w:t>compromise</w:t>
      </w:r>
      <w:r>
        <w:rPr>
          <w:spacing w:val="-6"/>
        </w:rPr>
        <w:t xml:space="preserve"> </w:t>
      </w:r>
      <w:r>
        <w:t>among</w:t>
      </w:r>
      <w:r>
        <w:rPr>
          <w:spacing w:val="-6"/>
        </w:rPr>
        <w:t xml:space="preserve"> </w:t>
      </w:r>
      <w:r>
        <w:t>the</w:t>
      </w:r>
      <w:r>
        <w:rPr>
          <w:spacing w:val="-6"/>
        </w:rPr>
        <w:t xml:space="preserve"> </w:t>
      </w:r>
      <w:r>
        <w:t>next</w:t>
      </w:r>
      <w:r>
        <w:rPr>
          <w:spacing w:val="-6"/>
        </w:rPr>
        <w:t xml:space="preserve"> </w:t>
      </w:r>
      <w:r>
        <w:t>four</w:t>
      </w:r>
      <w:r>
        <w:rPr>
          <w:spacing w:val="-6"/>
        </w:rPr>
        <w:t xml:space="preserve"> </w:t>
      </w:r>
      <w:r>
        <w:t>objectives,</w:t>
      </w:r>
      <w:r>
        <w:rPr>
          <w:spacing w:val="-6"/>
        </w:rPr>
        <w:t xml:space="preserve"> </w:t>
      </w:r>
      <w:r>
        <w:t>the</w:t>
      </w:r>
      <w:r>
        <w:rPr>
          <w:spacing w:val="-6"/>
        </w:rPr>
        <w:t xml:space="preserve"> </w:t>
      </w:r>
      <w:r>
        <w:t>following</w:t>
      </w:r>
      <w:r>
        <w:rPr>
          <w:spacing w:val="-6"/>
        </w:rPr>
        <w:t xml:space="preserve"> </w:t>
      </w:r>
      <w:r>
        <w:t>algorithm</w:t>
      </w:r>
      <w:r>
        <w:rPr>
          <w:spacing w:val="-6"/>
        </w:rPr>
        <w:t xml:space="preserve"> </w:t>
      </w:r>
      <w:r>
        <w:t>was</w:t>
      </w:r>
      <w:r>
        <w:rPr>
          <w:spacing w:val="-6"/>
        </w:rPr>
        <w:t xml:space="preserve"> </w:t>
      </w:r>
      <w:r>
        <w:t>used</w:t>
      </w:r>
      <w:r>
        <w:rPr>
          <w:spacing w:val="-6"/>
        </w:rPr>
        <w:t xml:space="preserve"> </w:t>
      </w:r>
      <w:r>
        <w:t>to</w:t>
      </w:r>
      <w:r>
        <w:rPr>
          <w:spacing w:val="-6"/>
        </w:rPr>
        <w:t xml:space="preserve"> </w:t>
      </w:r>
      <w:r>
        <w:t>assign</w:t>
      </w:r>
      <w:r>
        <w:rPr>
          <w:spacing w:val="-6"/>
        </w:rPr>
        <w:t xml:space="preserve"> </w:t>
      </w:r>
      <w:r>
        <w:t>a measure of size to each school based on its estimated age enrollment as indicated on the sampling frame.</w:t>
      </w:r>
    </w:p>
    <w:p w:rsidR="003F5784" w14:paraId="6833637D" w14:textId="77777777">
      <w:pPr>
        <w:pStyle w:val="BodyText"/>
        <w:spacing w:before="203" w:line="238" w:lineRule="exact"/>
        <w:ind w:left="109"/>
      </w:pPr>
      <w:r>
        <w:t>The</w:t>
      </w:r>
      <w:r>
        <w:rPr>
          <w:spacing w:val="-7"/>
        </w:rPr>
        <w:t xml:space="preserve"> </w:t>
      </w:r>
      <w:r>
        <w:t>measures</w:t>
      </w:r>
      <w:r>
        <w:rPr>
          <w:spacing w:val="-6"/>
        </w:rPr>
        <w:t xml:space="preserve"> </w:t>
      </w:r>
      <w:r>
        <w:t>of</w:t>
      </w:r>
      <w:r>
        <w:rPr>
          <w:spacing w:val="-7"/>
        </w:rPr>
        <w:t xml:space="preserve"> </w:t>
      </w:r>
      <w:r>
        <w:t>size</w:t>
      </w:r>
      <w:r>
        <w:rPr>
          <w:spacing w:val="-6"/>
        </w:rPr>
        <w:t xml:space="preserve"> </w:t>
      </w:r>
      <w:r>
        <w:t>vary</w:t>
      </w:r>
      <w:r>
        <w:rPr>
          <w:spacing w:val="-7"/>
        </w:rPr>
        <w:t xml:space="preserve"> </w:t>
      </w:r>
      <w:r>
        <w:t>by</w:t>
      </w:r>
      <w:r>
        <w:rPr>
          <w:spacing w:val="-6"/>
        </w:rPr>
        <w:t xml:space="preserve"> </w:t>
      </w:r>
      <w:r>
        <w:t>enrollment</w:t>
      </w:r>
      <w:r>
        <w:rPr>
          <w:spacing w:val="-7"/>
        </w:rPr>
        <w:t xml:space="preserve"> </w:t>
      </w:r>
      <w:r>
        <w:t>size.</w:t>
      </w:r>
      <w:r>
        <w:rPr>
          <w:spacing w:val="-10"/>
        </w:rPr>
        <w:t xml:space="preserve"> </w:t>
      </w:r>
      <w:r>
        <w:t>The</w:t>
      </w:r>
      <w:r>
        <w:rPr>
          <w:spacing w:val="-7"/>
        </w:rPr>
        <w:t xml:space="preserve"> </w:t>
      </w:r>
      <w:r>
        <w:t>initial</w:t>
      </w:r>
      <w:r>
        <w:rPr>
          <w:spacing w:val="-6"/>
        </w:rPr>
        <w:t xml:space="preserve"> </w:t>
      </w:r>
      <w:r>
        <w:t>measures</w:t>
      </w:r>
      <w:r>
        <w:rPr>
          <w:spacing w:val="-7"/>
        </w:rPr>
        <w:t xml:space="preserve"> </w:t>
      </w:r>
      <w:r>
        <w:t>of</w:t>
      </w:r>
      <w:r>
        <w:rPr>
          <w:spacing w:val="-6"/>
        </w:rPr>
        <w:t xml:space="preserve"> </w:t>
      </w:r>
      <w:r>
        <w:t>size,</w:t>
      </w:r>
      <w:r>
        <w:rPr>
          <w:spacing w:val="-6"/>
        </w:rPr>
        <w:t xml:space="preserve"> </w:t>
      </w:r>
      <w:r>
        <w:t>\(MOS_{js}\),</w:t>
      </w:r>
      <w:r>
        <w:rPr>
          <w:spacing w:val="-7"/>
        </w:rPr>
        <w:t xml:space="preserve"> </w:t>
      </w:r>
      <w:r>
        <w:t>were</w:t>
      </w:r>
      <w:r>
        <w:rPr>
          <w:spacing w:val="-6"/>
        </w:rPr>
        <w:t xml:space="preserve"> </w:t>
      </w:r>
      <w:r>
        <w:t>set</w:t>
      </w:r>
      <w:r>
        <w:rPr>
          <w:spacing w:val="-7"/>
        </w:rPr>
        <w:t xml:space="preserve"> </w:t>
      </w:r>
      <w:r>
        <w:t>as</w:t>
      </w:r>
      <w:r>
        <w:rPr>
          <w:spacing w:val="-6"/>
        </w:rPr>
        <w:t xml:space="preserve"> </w:t>
      </w:r>
      <w:r>
        <w:t>follows:</w:t>
      </w:r>
      <w:r>
        <w:rPr>
          <w:spacing w:val="-7"/>
        </w:rPr>
        <w:t xml:space="preserve"> </w:t>
      </w:r>
      <w:r>
        <w:t>\begin{equation}</w:t>
      </w:r>
      <w:r>
        <w:rPr>
          <w:spacing w:val="-6"/>
        </w:rPr>
        <w:t xml:space="preserve"> </w:t>
      </w:r>
      <w:r>
        <w:t>MOS_{js}</w:t>
      </w:r>
      <w:r>
        <w:rPr>
          <w:spacing w:val="-7"/>
        </w:rPr>
        <w:t xml:space="preserve"> </w:t>
      </w:r>
      <w:r>
        <w:t>=</w:t>
      </w:r>
      <w:r>
        <w:rPr>
          <w:spacing w:val="-6"/>
        </w:rPr>
        <w:t xml:space="preserve"> </w:t>
      </w:r>
      <w:r>
        <w:t>PSU\_WT_{s}</w:t>
      </w:r>
      <w:r>
        <w:rPr>
          <w:spacing w:val="-7"/>
        </w:rPr>
        <w:t xml:space="preserve"> </w:t>
      </w:r>
      <w:r>
        <w:t>\times</w:t>
      </w:r>
      <w:r>
        <w:rPr>
          <w:spacing w:val="-6"/>
        </w:rPr>
        <w:t xml:space="preserve"> </w:t>
      </w:r>
      <w:r>
        <w:rPr>
          <w:spacing w:val="-2"/>
        </w:rPr>
        <w:t>\left\</w:t>
      </w:r>
    </w:p>
    <w:p w:rsidR="003F5784" w14:paraId="167C9C70" w14:textId="77777777">
      <w:pPr>
        <w:pStyle w:val="BodyText"/>
        <w:spacing w:before="3" w:line="232" w:lineRule="auto"/>
        <w:ind w:left="109"/>
      </w:pPr>
      <w:r>
        <w:t>{\begin{array}{llll}</w:t>
      </w:r>
      <w:r>
        <w:rPr>
          <w:spacing w:val="-6"/>
        </w:rPr>
        <w:t xml:space="preserve"> </w:t>
      </w:r>
      <w:r>
        <w:t>x_{js}{,}</w:t>
      </w:r>
      <w:r>
        <w:rPr>
          <w:spacing w:val="-6"/>
        </w:rPr>
        <w:t xml:space="preserve"> </w:t>
      </w:r>
      <w:r>
        <w:t>&amp;</w:t>
      </w:r>
      <w:r>
        <w:rPr>
          <w:spacing w:val="-6"/>
        </w:rPr>
        <w:t xml:space="preserve"> </w:t>
      </w:r>
      <w:r>
        <w:t>\text{if</w:t>
      </w:r>
      <w:r>
        <w:rPr>
          <w:spacing w:val="-6"/>
        </w:rPr>
        <w:t xml:space="preserve"> </w:t>
      </w:r>
      <w:r>
        <w:t>}</w:t>
      </w:r>
      <w:r>
        <w:rPr>
          <w:spacing w:val="-6"/>
        </w:rPr>
        <w:t xml:space="preserve"> </w:t>
      </w:r>
      <w:r>
        <w:t>z_{js}</w:t>
      </w:r>
      <w:r>
        <w:rPr>
          <w:spacing w:val="-6"/>
        </w:rPr>
        <w:t xml:space="preserve"> </w:t>
      </w:r>
      <w:r>
        <w:t>&lt;</w:t>
      </w:r>
      <w:r>
        <w:rPr>
          <w:spacing w:val="-6"/>
        </w:rPr>
        <w:t xml:space="preserve"> </w:t>
      </w:r>
      <w:r>
        <w:t>x_{js}</w:t>
      </w:r>
      <w:r>
        <w:rPr>
          <w:spacing w:val="-6"/>
        </w:rPr>
        <w:t xml:space="preserve"> </w:t>
      </w:r>
      <w:r>
        <w:t>\\</w:t>
      </w:r>
      <w:r>
        <w:rPr>
          <w:spacing w:val="-6"/>
        </w:rPr>
        <w:t xml:space="preserve"> </w:t>
      </w:r>
      <w:r>
        <w:t>y_{j}{,}</w:t>
      </w:r>
      <w:r>
        <w:rPr>
          <w:spacing w:val="-6"/>
        </w:rPr>
        <w:t xml:space="preserve"> </w:t>
      </w:r>
      <w:r>
        <w:t>&amp;</w:t>
      </w:r>
      <w:r>
        <w:rPr>
          <w:spacing w:val="-6"/>
        </w:rPr>
        <w:t xml:space="preserve"> </w:t>
      </w:r>
      <w:r>
        <w:t>\text{if</w:t>
      </w:r>
      <w:r>
        <w:rPr>
          <w:spacing w:val="-6"/>
        </w:rPr>
        <w:t xml:space="preserve"> </w:t>
      </w:r>
      <w:r>
        <w:t>}</w:t>
      </w:r>
      <w:r>
        <w:rPr>
          <w:spacing w:val="-6"/>
        </w:rPr>
        <w:t xml:space="preserve"> </w:t>
      </w:r>
      <w:r>
        <w:t>19</w:t>
      </w:r>
      <w:r>
        <w:rPr>
          <w:spacing w:val="-6"/>
        </w:rPr>
        <w:t xml:space="preserve"> </w:t>
      </w:r>
      <w:r>
        <w:t>&lt;</w:t>
      </w:r>
      <w:r>
        <w:rPr>
          <w:spacing w:val="-6"/>
        </w:rPr>
        <w:t xml:space="preserve"> </w:t>
      </w:r>
      <w:r>
        <w:t>x_{js}</w:t>
      </w:r>
      <w:r>
        <w:rPr>
          <w:spacing w:val="-6"/>
        </w:rPr>
        <w:t xml:space="preserve"> </w:t>
      </w:r>
      <w:r>
        <w:t>\leq</w:t>
      </w:r>
      <w:r>
        <w:rPr>
          <w:spacing w:val="-6"/>
        </w:rPr>
        <w:t xml:space="preserve"> </w:t>
      </w:r>
      <w:r>
        <w:t>z_{js}\\</w:t>
      </w:r>
      <w:r>
        <w:rPr>
          <w:spacing w:val="-6"/>
        </w:rPr>
        <w:t xml:space="preserve"> </w:t>
      </w:r>
      <w:r>
        <w:t>\biggl(\dfrac{y_j}{20}\biggr)</w:t>
      </w:r>
      <w:r>
        <w:rPr>
          <w:spacing w:val="-6"/>
        </w:rPr>
        <w:t xml:space="preserve"> </w:t>
      </w:r>
      <w:r>
        <w:t>\times</w:t>
      </w:r>
      <w:r>
        <w:rPr>
          <w:spacing w:val="-6"/>
        </w:rPr>
        <w:t xml:space="preserve"> </w:t>
      </w:r>
      <w:r>
        <w:t>x_{js}{,}</w:t>
      </w:r>
      <w:r>
        <w:rPr>
          <w:spacing w:val="-6"/>
        </w:rPr>
        <w:t xml:space="preserve"> </w:t>
      </w:r>
      <w:r>
        <w:t>&amp;</w:t>
      </w:r>
      <w:r>
        <w:rPr>
          <w:spacing w:val="-6"/>
        </w:rPr>
        <w:t xml:space="preserve"> </w:t>
      </w:r>
      <w:r>
        <w:t>\text{if</w:t>
      </w:r>
      <w:r>
        <w:rPr>
          <w:spacing w:val="-6"/>
        </w:rPr>
        <w:t xml:space="preserve"> </w:t>
      </w:r>
      <w:r>
        <w:t>}</w:t>
      </w:r>
      <w:r>
        <w:rPr>
          <w:spacing w:val="-6"/>
        </w:rPr>
        <w:t xml:space="preserve"> </w:t>
      </w:r>
      <w:r>
        <w:t>10</w:t>
      </w:r>
      <w:r>
        <w:rPr>
          <w:spacing w:val="-6"/>
        </w:rPr>
        <w:t xml:space="preserve"> </w:t>
      </w:r>
      <w:r>
        <w:t>&lt; x_{js} \leq 19 \\ \dfrac{y_j}{2}{,} &amp; \text{if } x_{js} \leq 10 \\ \end{array}\right. \end{equation}</w:t>
      </w:r>
    </w:p>
    <w:p w:rsidR="003F5784" w14:paraId="458A28FD" w14:textId="77777777">
      <w:pPr>
        <w:pStyle w:val="BodyText"/>
        <w:spacing w:before="209" w:line="232" w:lineRule="auto"/>
        <w:ind w:left="109" w:right="588"/>
      </w:pPr>
      <w:r>
        <w:t>where</w:t>
      </w:r>
      <w:r>
        <w:rPr>
          <w:spacing w:val="-6"/>
        </w:rPr>
        <w:t xml:space="preserve"> </w:t>
      </w:r>
      <w:r>
        <w:t>\(PSU\_WT_{s}\)</w:t>
      </w:r>
      <w:r>
        <w:rPr>
          <w:spacing w:val="-6"/>
        </w:rPr>
        <w:t xml:space="preserve"> </w:t>
      </w:r>
      <w:r>
        <w:t>is</w:t>
      </w:r>
      <w:r>
        <w:rPr>
          <w:spacing w:val="-6"/>
        </w:rPr>
        <w:t xml:space="preserve"> </w:t>
      </w:r>
      <w:r>
        <w:t>the</w:t>
      </w:r>
      <w:r>
        <w:rPr>
          <w:spacing w:val="-6"/>
        </w:rPr>
        <w:t xml:space="preserve"> </w:t>
      </w:r>
      <w:r>
        <w:t>PSU</w:t>
      </w:r>
      <w:r>
        <w:rPr>
          <w:spacing w:val="-6"/>
        </w:rPr>
        <w:t xml:space="preserve"> </w:t>
      </w:r>
      <w:r>
        <w:t>weight</w:t>
      </w:r>
      <w:r>
        <w:rPr>
          <w:spacing w:val="-6"/>
        </w:rPr>
        <w:t xml:space="preserve"> </w:t>
      </w:r>
      <w:r>
        <w:t>(i.e.,</w:t>
      </w:r>
      <w:r>
        <w:rPr>
          <w:spacing w:val="-6"/>
        </w:rPr>
        <w:t xml:space="preserve"> </w:t>
      </w:r>
      <w:r>
        <w:t>the</w:t>
      </w:r>
      <w:r>
        <w:rPr>
          <w:spacing w:val="-6"/>
        </w:rPr>
        <w:t xml:space="preserve"> </w:t>
      </w:r>
      <w:r>
        <w:t>inverse</w:t>
      </w:r>
      <w:r>
        <w:rPr>
          <w:spacing w:val="-6"/>
        </w:rPr>
        <w:t xml:space="preserve"> </w:t>
      </w:r>
      <w:r>
        <w:t>of</w:t>
      </w:r>
      <w:r>
        <w:rPr>
          <w:spacing w:val="-6"/>
        </w:rPr>
        <w:t xml:space="preserve"> </w:t>
      </w:r>
      <w:r>
        <w:t>the</w:t>
      </w:r>
      <w:r>
        <w:rPr>
          <w:spacing w:val="-6"/>
        </w:rPr>
        <w:t xml:space="preserve"> </w:t>
      </w:r>
      <w:r>
        <w:t>PSU</w:t>
      </w:r>
      <w:r>
        <w:rPr>
          <w:spacing w:val="-6"/>
        </w:rPr>
        <w:t xml:space="preserve"> </w:t>
      </w:r>
      <w:r>
        <w:t>probability</w:t>
      </w:r>
      <w:r>
        <w:rPr>
          <w:spacing w:val="-6"/>
        </w:rPr>
        <w:t xml:space="preserve"> </w:t>
      </w:r>
      <w:r>
        <w:t>of</w:t>
      </w:r>
      <w:r>
        <w:rPr>
          <w:spacing w:val="-6"/>
        </w:rPr>
        <w:t xml:space="preserve"> </w:t>
      </w:r>
      <w:r>
        <w:t>selection)</w:t>
      </w:r>
      <w:r>
        <w:rPr>
          <w:spacing w:val="-6"/>
        </w:rPr>
        <w:t xml:space="preserve"> </w:t>
      </w:r>
      <w:r>
        <w:t>for</w:t>
      </w:r>
      <w:r>
        <w:rPr>
          <w:spacing w:val="-6"/>
        </w:rPr>
        <w:t xml:space="preserve"> </w:t>
      </w:r>
      <w:r>
        <w:t>school</w:t>
      </w:r>
      <w:r>
        <w:rPr>
          <w:spacing w:val="-6"/>
        </w:rPr>
        <w:t xml:space="preserve"> </w:t>
      </w:r>
      <w:r>
        <w:t>\(s\);</w:t>
      </w:r>
      <w:r>
        <w:rPr>
          <w:spacing w:val="-6"/>
        </w:rPr>
        <w:t xml:space="preserve"> </w:t>
      </w:r>
      <w:r>
        <w:t>\(x_{js}\)</w:t>
      </w:r>
      <w:r>
        <w:rPr>
          <w:spacing w:val="-6"/>
        </w:rPr>
        <w:t xml:space="preserve"> </w:t>
      </w:r>
      <w:r>
        <w:t>is</w:t>
      </w:r>
      <w:r>
        <w:rPr>
          <w:spacing w:val="-6"/>
        </w:rPr>
        <w:t xml:space="preserve"> </w:t>
      </w:r>
      <w:r>
        <w:t>the</w:t>
      </w:r>
      <w:r>
        <w:rPr>
          <w:spacing w:val="-6"/>
        </w:rPr>
        <w:t xml:space="preserve"> </w:t>
      </w:r>
      <w:r>
        <w:t>estimated</w:t>
      </w:r>
      <w:r>
        <w:rPr>
          <w:spacing w:val="-6"/>
        </w:rPr>
        <w:t xml:space="preserve"> </w:t>
      </w:r>
      <w:r>
        <w:t>age</w:t>
      </w:r>
      <w:r>
        <w:rPr>
          <w:spacing w:val="-6"/>
        </w:rPr>
        <w:t xml:space="preserve"> </w:t>
      </w:r>
      <w:r>
        <w:t>enrollment</w:t>
      </w:r>
      <w:r>
        <w:rPr>
          <w:spacing w:val="-6"/>
        </w:rPr>
        <w:t xml:space="preserve"> </w:t>
      </w:r>
      <w:r>
        <w:t>for</w:t>
      </w:r>
      <w:r>
        <w:rPr>
          <w:spacing w:val="-6"/>
        </w:rPr>
        <w:t xml:space="preserve"> </w:t>
      </w:r>
      <w:r>
        <w:t>school</w:t>
      </w:r>
      <w:r>
        <w:rPr>
          <w:spacing w:val="-6"/>
        </w:rPr>
        <w:t xml:space="preserve"> </w:t>
      </w:r>
      <w:r>
        <w:t>\(s\) for</w:t>
      </w:r>
      <w:r>
        <w:rPr>
          <w:spacing w:val="-3"/>
        </w:rPr>
        <w:t xml:space="preserve"> </w:t>
      </w:r>
      <w:r>
        <w:t>sample</w:t>
      </w:r>
      <w:r>
        <w:rPr>
          <w:spacing w:val="-3"/>
        </w:rPr>
        <w:t xml:space="preserve"> </w:t>
      </w:r>
      <w:r>
        <w:t>age</w:t>
      </w:r>
      <w:r>
        <w:rPr>
          <w:spacing w:val="-3"/>
        </w:rPr>
        <w:t xml:space="preserve"> </w:t>
      </w:r>
      <w:r>
        <w:t>\(j\);</w:t>
      </w:r>
      <w:r>
        <w:rPr>
          <w:spacing w:val="-3"/>
        </w:rPr>
        <w:t xml:space="preserve"> </w:t>
      </w:r>
      <w:r>
        <w:t>\(y_{j}\)</w:t>
      </w:r>
      <w:r>
        <w:rPr>
          <w:spacing w:val="-3"/>
        </w:rPr>
        <w:t xml:space="preserve"> </w:t>
      </w:r>
      <w:r>
        <w:t>is</w:t>
      </w:r>
      <w:r>
        <w:rPr>
          <w:spacing w:val="-3"/>
        </w:rPr>
        <w:t xml:space="preserve"> </w:t>
      </w:r>
      <w:r>
        <w:t>the</w:t>
      </w:r>
      <w:r>
        <w:rPr>
          <w:spacing w:val="-3"/>
        </w:rPr>
        <w:t xml:space="preserve"> </w:t>
      </w:r>
      <w:r>
        <w:t>target</w:t>
      </w:r>
      <w:r>
        <w:rPr>
          <w:spacing w:val="-3"/>
        </w:rPr>
        <w:t xml:space="preserve"> </w:t>
      </w:r>
      <w:r>
        <w:t>within-school</w:t>
      </w:r>
      <w:r>
        <w:rPr>
          <w:spacing w:val="-3"/>
        </w:rPr>
        <w:t xml:space="preserve"> </w:t>
      </w:r>
      <w:r>
        <w:t>student</w:t>
      </w:r>
      <w:r>
        <w:rPr>
          <w:spacing w:val="-3"/>
        </w:rPr>
        <w:t xml:space="preserve"> </w:t>
      </w:r>
      <w:r>
        <w:t>sample</w:t>
      </w:r>
      <w:r>
        <w:rPr>
          <w:spacing w:val="-3"/>
        </w:rPr>
        <w:t xml:space="preserve"> </w:t>
      </w:r>
      <w:r>
        <w:t>size</w:t>
      </w:r>
      <w:r>
        <w:rPr>
          <w:spacing w:val="-3"/>
        </w:rPr>
        <w:t xml:space="preserve"> </w:t>
      </w:r>
      <w:r>
        <w:t>for</w:t>
      </w:r>
      <w:r>
        <w:rPr>
          <w:spacing w:val="-3"/>
        </w:rPr>
        <w:t xml:space="preserve"> </w:t>
      </w:r>
      <w:r>
        <w:t>sample</w:t>
      </w:r>
      <w:r>
        <w:rPr>
          <w:spacing w:val="-3"/>
        </w:rPr>
        <w:t xml:space="preserve"> </w:t>
      </w:r>
      <w:r>
        <w:t>age</w:t>
      </w:r>
      <w:r>
        <w:rPr>
          <w:spacing w:val="-3"/>
        </w:rPr>
        <w:t xml:space="preserve"> </w:t>
      </w:r>
      <w:r>
        <w:t>\(j\);</w:t>
      </w:r>
      <w:r>
        <w:rPr>
          <w:spacing w:val="-3"/>
        </w:rPr>
        <w:t xml:space="preserve"> </w:t>
      </w:r>
      <w:r>
        <w:t>and</w:t>
      </w:r>
      <w:r>
        <w:rPr>
          <w:spacing w:val="-3"/>
        </w:rPr>
        <w:t xml:space="preserve"> </w:t>
      </w:r>
      <w:r>
        <w:t>\(z_{js}\)</w:t>
      </w:r>
      <w:r>
        <w:rPr>
          <w:spacing w:val="-3"/>
        </w:rPr>
        <w:t xml:space="preserve"> </w:t>
      </w:r>
      <w:r>
        <w:t>is</w:t>
      </w:r>
      <w:r>
        <w:rPr>
          <w:spacing w:val="-3"/>
        </w:rPr>
        <w:t xml:space="preserve"> </w:t>
      </w:r>
      <w:r>
        <w:t>the</w:t>
      </w:r>
      <w:r>
        <w:rPr>
          <w:spacing w:val="-3"/>
        </w:rPr>
        <w:t xml:space="preserve"> </w:t>
      </w:r>
      <w:r>
        <w:t>within-school</w:t>
      </w:r>
      <w:r>
        <w:rPr>
          <w:spacing w:val="-3"/>
        </w:rPr>
        <w:t xml:space="preserve"> </w:t>
      </w:r>
      <w:r>
        <w:t>take-all</w:t>
      </w:r>
      <w:r>
        <w:rPr>
          <w:spacing w:val="-3"/>
        </w:rPr>
        <w:t xml:space="preserve"> </w:t>
      </w:r>
      <w:r>
        <w:t>student</w:t>
      </w:r>
      <w:r>
        <w:rPr>
          <w:spacing w:val="-3"/>
        </w:rPr>
        <w:t xml:space="preserve"> </w:t>
      </w:r>
      <w:r>
        <w:t>cutoff</w:t>
      </w:r>
      <w:r>
        <w:rPr>
          <w:spacing w:val="-3"/>
        </w:rPr>
        <w:t xml:space="preserve"> </w:t>
      </w:r>
      <w:r>
        <w:t>for</w:t>
      </w:r>
      <w:r>
        <w:rPr>
          <w:spacing w:val="-3"/>
        </w:rPr>
        <w:t xml:space="preserve"> </w:t>
      </w:r>
      <w:r>
        <w:t>school</w:t>
      </w:r>
      <w:r>
        <w:rPr>
          <w:spacing w:val="-3"/>
        </w:rPr>
        <w:t xml:space="preserve"> </w:t>
      </w:r>
      <w:r>
        <w:t>\(s\) for sample age \(j\). The target within-school sample size and the within-school take-all cutoff were both 50.</w:t>
      </w:r>
    </w:p>
    <w:p w:rsidR="003F5784" w14:paraId="60534381" w14:textId="77777777">
      <w:pPr>
        <w:pStyle w:val="BodyText"/>
        <w:spacing w:before="209" w:line="232" w:lineRule="auto"/>
        <w:ind w:left="109" w:right="318"/>
      </w:pPr>
      <w:r>
        <w:t>To</w:t>
      </w:r>
      <w:r>
        <w:rPr>
          <w:spacing w:val="-10"/>
        </w:rPr>
        <w:t xml:space="preserve"> </w:t>
      </w:r>
      <w:r>
        <w:t>increase</w:t>
      </w:r>
      <w:r>
        <w:rPr>
          <w:spacing w:val="-6"/>
        </w:rPr>
        <w:t xml:space="preserve"> </w:t>
      </w:r>
      <w:r>
        <w:t>the</w:t>
      </w:r>
      <w:r>
        <w:rPr>
          <w:spacing w:val="-6"/>
        </w:rPr>
        <w:t xml:space="preserve"> </w:t>
      </w:r>
      <w:r>
        <w:t>number</w:t>
      </w:r>
      <w:r>
        <w:rPr>
          <w:spacing w:val="-6"/>
        </w:rPr>
        <w:t xml:space="preserve"> </w:t>
      </w:r>
      <w:r>
        <w:t>of</w:t>
      </w:r>
      <w:r>
        <w:rPr>
          <w:spacing w:val="-14"/>
        </w:rPr>
        <w:t xml:space="preserve"> </w:t>
      </w:r>
      <w:r>
        <w:t>AI/AN</w:t>
      </w:r>
      <w:r>
        <w:rPr>
          <w:spacing w:val="-5"/>
        </w:rPr>
        <w:t xml:space="preserve"> </w:t>
      </w:r>
      <w:r>
        <w:t>students</w:t>
      </w:r>
      <w:r>
        <w:rPr>
          <w:spacing w:val="-6"/>
        </w:rPr>
        <w:t xml:space="preserve"> </w:t>
      </w:r>
      <w:r>
        <w:t>in</w:t>
      </w:r>
      <w:r>
        <w:rPr>
          <w:spacing w:val="-6"/>
        </w:rPr>
        <w:t xml:space="preserve"> </w:t>
      </w:r>
      <w:r>
        <w:t>the</w:t>
      </w:r>
      <w:r>
        <w:rPr>
          <w:spacing w:val="-6"/>
        </w:rPr>
        <w:t xml:space="preserve"> </w:t>
      </w:r>
      <w:r>
        <w:t>sample,</w:t>
      </w:r>
      <w:r>
        <w:rPr>
          <w:spacing w:val="-6"/>
        </w:rPr>
        <w:t xml:space="preserve"> </w:t>
      </w:r>
      <w:r>
        <w:t>the</w:t>
      </w:r>
      <w:r>
        <w:rPr>
          <w:spacing w:val="-6"/>
        </w:rPr>
        <w:t xml:space="preserve"> </w:t>
      </w:r>
      <w:r>
        <w:t>measures</w:t>
      </w:r>
      <w:r>
        <w:rPr>
          <w:spacing w:val="-6"/>
        </w:rPr>
        <w:t xml:space="preserve"> </w:t>
      </w:r>
      <w:r>
        <w:t>of</w:t>
      </w:r>
      <w:r>
        <w:rPr>
          <w:spacing w:val="-6"/>
        </w:rPr>
        <w:t xml:space="preserve"> </w:t>
      </w:r>
      <w:r>
        <w:t>size</w:t>
      </w:r>
      <w:r>
        <w:rPr>
          <w:spacing w:val="-6"/>
        </w:rPr>
        <w:t xml:space="preserve"> </w:t>
      </w:r>
      <w:r>
        <w:t>for</w:t>
      </w:r>
      <w:r>
        <w:rPr>
          <w:spacing w:val="-6"/>
        </w:rPr>
        <w:t xml:space="preserve"> </w:t>
      </w:r>
      <w:r>
        <w:t>schools</w:t>
      </w:r>
      <w:r>
        <w:rPr>
          <w:spacing w:val="-6"/>
        </w:rPr>
        <w:t xml:space="preserve"> </w:t>
      </w:r>
      <w:r>
        <w:t>with</w:t>
      </w:r>
      <w:r>
        <w:rPr>
          <w:spacing w:val="-6"/>
        </w:rPr>
        <w:t xml:space="preserve"> </w:t>
      </w:r>
      <w:r>
        <w:t>relatively</w:t>
      </w:r>
      <w:r>
        <w:rPr>
          <w:spacing w:val="-6"/>
        </w:rPr>
        <w:t xml:space="preserve"> </w:t>
      </w:r>
      <w:r>
        <w:t>high</w:t>
      </w:r>
      <w:r>
        <w:rPr>
          <w:spacing w:val="-6"/>
        </w:rPr>
        <w:t xml:space="preserve"> </w:t>
      </w:r>
      <w:r>
        <w:t>proportions</w:t>
      </w:r>
      <w:r>
        <w:rPr>
          <w:spacing w:val="-6"/>
        </w:rPr>
        <w:t xml:space="preserve"> </w:t>
      </w:r>
      <w:r>
        <w:t>of</w:t>
      </w:r>
      <w:r>
        <w:rPr>
          <w:spacing w:val="-14"/>
        </w:rPr>
        <w:t xml:space="preserve"> </w:t>
      </w:r>
      <w:r>
        <w:t>AI/AN</w:t>
      </w:r>
      <w:r>
        <w:rPr>
          <w:spacing w:val="-5"/>
        </w:rPr>
        <w:t xml:space="preserve"> </w:t>
      </w:r>
      <w:r>
        <w:t>students</w:t>
      </w:r>
      <w:r>
        <w:rPr>
          <w:spacing w:val="-6"/>
        </w:rPr>
        <w:t xml:space="preserve"> </w:t>
      </w:r>
      <w:r>
        <w:t>(5</w:t>
      </w:r>
      <w:r>
        <w:rPr>
          <w:spacing w:val="-6"/>
        </w:rPr>
        <w:t xml:space="preserve"> </w:t>
      </w:r>
      <w:r>
        <w:t>percent</w:t>
      </w:r>
      <w:r>
        <w:rPr>
          <w:spacing w:val="-6"/>
        </w:rPr>
        <w:t xml:space="preserve"> </w:t>
      </w:r>
      <w:r>
        <w:t>or</w:t>
      </w:r>
      <w:r>
        <w:rPr>
          <w:spacing w:val="-6"/>
        </w:rPr>
        <w:t xml:space="preserve"> </w:t>
      </w:r>
      <w:r>
        <w:t>more</w:t>
      </w:r>
      <w:r>
        <w:rPr>
          <w:spacing w:val="-6"/>
        </w:rPr>
        <w:t xml:space="preserve"> </w:t>
      </w:r>
      <w:r>
        <w:t>and</w:t>
      </w:r>
      <w:r>
        <w:rPr>
          <w:spacing w:val="-6"/>
        </w:rPr>
        <w:t xml:space="preserve"> </w:t>
      </w:r>
      <w:r>
        <w:t>with</w:t>
      </w:r>
      <w:r>
        <w:rPr>
          <w:spacing w:val="-6"/>
        </w:rPr>
        <w:t xml:space="preserve"> </w:t>
      </w:r>
      <w:r>
        <w:t>at least 5</w:t>
      </w:r>
      <w:r>
        <w:rPr>
          <w:spacing w:val="-10"/>
        </w:rPr>
        <w:t xml:space="preserve"> </w:t>
      </w:r>
      <w:r>
        <w:t>AI/AN students) were quadrupled.</w:t>
      </w:r>
      <w:r>
        <w:rPr>
          <w:spacing w:val="-3"/>
        </w:rPr>
        <w:t xml:space="preserve"> </w:t>
      </w:r>
      <w:r>
        <w:t>The preliminary measures of size \(M_{js}\) for these schools were set as \begin{equation} M_{js} = 4 \times MOS_{js}.</w:t>
      </w:r>
    </w:p>
    <w:p w:rsidR="003F5784" w14:paraId="7551A4A5" w14:textId="77777777">
      <w:pPr>
        <w:pStyle w:val="BodyText"/>
        <w:spacing w:line="236" w:lineRule="exact"/>
        <w:ind w:left="109"/>
      </w:pPr>
      <w:r>
        <w:rPr>
          <w:spacing w:val="-2"/>
        </w:rPr>
        <w:t>\end{equation}</w:t>
      </w:r>
    </w:p>
    <w:p w:rsidR="003F5784" w14:paraId="582646A6" w14:textId="77777777">
      <w:pPr>
        <w:pStyle w:val="BodyText"/>
        <w:spacing w:before="208" w:line="232" w:lineRule="auto"/>
        <w:ind w:left="109"/>
      </w:pPr>
      <w:r>
        <w:t>Likewise,</w:t>
      </w:r>
      <w:r>
        <w:rPr>
          <w:spacing w:val="-4"/>
        </w:rPr>
        <w:t xml:space="preserve"> </w:t>
      </w:r>
      <w:r>
        <w:t>to</w:t>
      </w:r>
      <w:r>
        <w:rPr>
          <w:spacing w:val="-4"/>
        </w:rPr>
        <w:t xml:space="preserve"> </w:t>
      </w:r>
      <w:r>
        <w:t>increase</w:t>
      </w:r>
      <w:r>
        <w:rPr>
          <w:spacing w:val="-4"/>
        </w:rPr>
        <w:t xml:space="preserve"> </w:t>
      </w:r>
      <w:r>
        <w:t>the</w:t>
      </w:r>
      <w:r>
        <w:rPr>
          <w:spacing w:val="-4"/>
        </w:rPr>
        <w:t xml:space="preserve"> </w:t>
      </w:r>
      <w:r>
        <w:t>number</w:t>
      </w:r>
      <w:r>
        <w:rPr>
          <w:spacing w:val="-4"/>
        </w:rPr>
        <w:t xml:space="preserve"> </w:t>
      </w:r>
      <w:r>
        <w:t>of</w:t>
      </w:r>
      <w:r>
        <w:rPr>
          <w:spacing w:val="-4"/>
        </w:rPr>
        <w:t xml:space="preserve"> </w:t>
      </w:r>
      <w:r>
        <w:t>Black</w:t>
      </w:r>
      <w:r>
        <w:rPr>
          <w:spacing w:val="-4"/>
        </w:rPr>
        <w:t xml:space="preserve"> </w:t>
      </w:r>
      <w:r>
        <w:t>and</w:t>
      </w:r>
      <w:r>
        <w:rPr>
          <w:spacing w:val="-4"/>
        </w:rPr>
        <w:t xml:space="preserve"> </w:t>
      </w:r>
      <w:r>
        <w:t>Hispanic</w:t>
      </w:r>
      <w:r>
        <w:rPr>
          <w:spacing w:val="-4"/>
        </w:rPr>
        <w:t xml:space="preserve"> </w:t>
      </w:r>
      <w:r>
        <w:t>students</w:t>
      </w:r>
      <w:r>
        <w:rPr>
          <w:spacing w:val="-4"/>
        </w:rPr>
        <w:t xml:space="preserve"> </w:t>
      </w:r>
      <w:r>
        <w:t>in</w:t>
      </w:r>
      <w:r>
        <w:rPr>
          <w:spacing w:val="-4"/>
        </w:rPr>
        <w:t xml:space="preserve"> </w:t>
      </w:r>
      <w:r>
        <w:t>the</w:t>
      </w:r>
      <w:r>
        <w:rPr>
          <w:spacing w:val="-4"/>
        </w:rPr>
        <w:t xml:space="preserve"> </w:t>
      </w:r>
      <w:r>
        <w:t>sample,</w:t>
      </w:r>
      <w:r>
        <w:rPr>
          <w:spacing w:val="-4"/>
        </w:rPr>
        <w:t xml:space="preserve"> </w:t>
      </w:r>
      <w:r>
        <w:t>the</w:t>
      </w:r>
      <w:r>
        <w:rPr>
          <w:spacing w:val="-4"/>
        </w:rPr>
        <w:t xml:space="preserve"> </w:t>
      </w:r>
      <w:r>
        <w:t>measures</w:t>
      </w:r>
      <w:r>
        <w:rPr>
          <w:spacing w:val="-4"/>
        </w:rPr>
        <w:t xml:space="preserve"> </w:t>
      </w:r>
      <w:r>
        <w:t>of</w:t>
      </w:r>
      <w:r>
        <w:rPr>
          <w:spacing w:val="-4"/>
        </w:rPr>
        <w:t xml:space="preserve"> </w:t>
      </w:r>
      <w:r>
        <w:t>size</w:t>
      </w:r>
      <w:r>
        <w:rPr>
          <w:spacing w:val="-4"/>
        </w:rPr>
        <w:t xml:space="preserve"> </w:t>
      </w:r>
      <w:r>
        <w:t>for</w:t>
      </w:r>
      <w:r>
        <w:rPr>
          <w:spacing w:val="-4"/>
        </w:rPr>
        <w:t xml:space="preserve"> </w:t>
      </w:r>
      <w:r>
        <w:t>schools</w:t>
      </w:r>
      <w:r>
        <w:rPr>
          <w:spacing w:val="-4"/>
        </w:rPr>
        <w:t xml:space="preserve"> </w:t>
      </w:r>
      <w:r>
        <w:t>with</w:t>
      </w:r>
      <w:r>
        <w:rPr>
          <w:spacing w:val="-4"/>
        </w:rPr>
        <w:t xml:space="preserve"> </w:t>
      </w:r>
      <w:r>
        <w:t>relatively</w:t>
      </w:r>
      <w:r>
        <w:rPr>
          <w:spacing w:val="-4"/>
        </w:rPr>
        <w:t xml:space="preserve"> </w:t>
      </w:r>
      <w:r>
        <w:t>high</w:t>
      </w:r>
      <w:r>
        <w:rPr>
          <w:spacing w:val="-4"/>
        </w:rPr>
        <w:t xml:space="preserve"> </w:t>
      </w:r>
      <w:r>
        <w:t>proportions</w:t>
      </w:r>
      <w:r>
        <w:rPr>
          <w:spacing w:val="-4"/>
        </w:rPr>
        <w:t xml:space="preserve"> </w:t>
      </w:r>
      <w:r>
        <w:t>of</w:t>
      </w:r>
      <w:r>
        <w:rPr>
          <w:spacing w:val="-4"/>
        </w:rPr>
        <w:t xml:space="preserve"> </w:t>
      </w:r>
      <w:r>
        <w:t>Black/Hispanic</w:t>
      </w:r>
      <w:r>
        <w:rPr>
          <w:spacing w:val="-4"/>
        </w:rPr>
        <w:t xml:space="preserve"> </w:t>
      </w:r>
      <w:r>
        <w:t>students</w:t>
      </w:r>
      <w:r>
        <w:rPr>
          <w:spacing w:val="-4"/>
        </w:rPr>
        <w:t xml:space="preserve"> </w:t>
      </w:r>
      <w:r>
        <w:t>(15 percent</w:t>
      </w:r>
      <w:r>
        <w:rPr>
          <w:spacing w:val="-8"/>
        </w:rPr>
        <w:t xml:space="preserve"> </w:t>
      </w:r>
      <w:r>
        <w:t>or</w:t>
      </w:r>
      <w:r>
        <w:rPr>
          <w:spacing w:val="-6"/>
        </w:rPr>
        <w:t xml:space="preserve"> </w:t>
      </w:r>
      <w:r>
        <w:t>more</w:t>
      </w:r>
      <w:r>
        <w:rPr>
          <w:spacing w:val="-6"/>
        </w:rPr>
        <w:t xml:space="preserve"> </w:t>
      </w:r>
      <w:r>
        <w:t>and</w:t>
      </w:r>
      <w:r>
        <w:rPr>
          <w:spacing w:val="-6"/>
        </w:rPr>
        <w:t xml:space="preserve"> </w:t>
      </w:r>
      <w:r>
        <w:t>with</w:t>
      </w:r>
      <w:r>
        <w:rPr>
          <w:spacing w:val="-6"/>
        </w:rPr>
        <w:t xml:space="preserve"> </w:t>
      </w:r>
      <w:r>
        <w:t>at</w:t>
      </w:r>
      <w:r>
        <w:rPr>
          <w:spacing w:val="-6"/>
        </w:rPr>
        <w:t xml:space="preserve"> </w:t>
      </w:r>
      <w:r>
        <w:t>least</w:t>
      </w:r>
      <w:r>
        <w:rPr>
          <w:spacing w:val="-6"/>
        </w:rPr>
        <w:t xml:space="preserve"> </w:t>
      </w:r>
      <w:r>
        <w:t>10</w:t>
      </w:r>
      <w:r>
        <w:rPr>
          <w:spacing w:val="-6"/>
        </w:rPr>
        <w:t xml:space="preserve"> </w:t>
      </w:r>
      <w:r>
        <w:t>Black/Hispanic</w:t>
      </w:r>
      <w:r>
        <w:rPr>
          <w:spacing w:val="-6"/>
        </w:rPr>
        <w:t xml:space="preserve"> </w:t>
      </w:r>
      <w:r>
        <w:t>students)</w:t>
      </w:r>
      <w:r>
        <w:rPr>
          <w:spacing w:val="-6"/>
        </w:rPr>
        <w:t xml:space="preserve"> </w:t>
      </w:r>
      <w:r>
        <w:t>were</w:t>
      </w:r>
      <w:r>
        <w:rPr>
          <w:spacing w:val="-6"/>
        </w:rPr>
        <w:t xml:space="preserve"> </w:t>
      </w:r>
      <w:r>
        <w:t>doubled</w:t>
      </w:r>
      <w:r>
        <w:rPr>
          <w:spacing w:val="-6"/>
        </w:rPr>
        <w:t xml:space="preserve"> </w:t>
      </w:r>
      <w:r>
        <w:t>if</w:t>
      </w:r>
      <w:r>
        <w:rPr>
          <w:spacing w:val="-6"/>
        </w:rPr>
        <w:t xml:space="preserve"> </w:t>
      </w:r>
      <w:r>
        <w:t>they</w:t>
      </w:r>
      <w:r>
        <w:rPr>
          <w:spacing w:val="-6"/>
        </w:rPr>
        <w:t xml:space="preserve"> </w:t>
      </w:r>
      <w:r>
        <w:t>had</w:t>
      </w:r>
      <w:r>
        <w:rPr>
          <w:spacing w:val="-6"/>
        </w:rPr>
        <w:t xml:space="preserve"> </w:t>
      </w:r>
      <w:r>
        <w:t>not</w:t>
      </w:r>
      <w:r>
        <w:rPr>
          <w:spacing w:val="-6"/>
        </w:rPr>
        <w:t xml:space="preserve"> </w:t>
      </w:r>
      <w:r>
        <w:t>already</w:t>
      </w:r>
      <w:r>
        <w:rPr>
          <w:spacing w:val="-6"/>
        </w:rPr>
        <w:t xml:space="preserve"> </w:t>
      </w:r>
      <w:r>
        <w:t>been</w:t>
      </w:r>
      <w:r>
        <w:rPr>
          <w:spacing w:val="-6"/>
        </w:rPr>
        <w:t xml:space="preserve"> </w:t>
      </w:r>
      <w:r>
        <w:t>quadrupled</w:t>
      </w:r>
      <w:r>
        <w:rPr>
          <w:spacing w:val="-6"/>
        </w:rPr>
        <w:t xml:space="preserve"> </w:t>
      </w:r>
      <w:r>
        <w:t>due</w:t>
      </w:r>
      <w:r>
        <w:rPr>
          <w:spacing w:val="-6"/>
        </w:rPr>
        <w:t xml:space="preserve"> </w:t>
      </w:r>
      <w:r>
        <w:t>to</w:t>
      </w:r>
      <w:r>
        <w:rPr>
          <w:spacing w:val="-14"/>
        </w:rPr>
        <w:t xml:space="preserve"> </w:t>
      </w:r>
      <w:r>
        <w:t>AI/AN</w:t>
      </w:r>
      <w:r>
        <w:rPr>
          <w:spacing w:val="-5"/>
        </w:rPr>
        <w:t xml:space="preserve"> </w:t>
      </w:r>
      <w:r>
        <w:t>enrollment.</w:t>
      </w:r>
      <w:r>
        <w:rPr>
          <w:spacing w:val="-9"/>
        </w:rPr>
        <w:t xml:space="preserve"> </w:t>
      </w:r>
      <w:r>
        <w:t>The</w:t>
      </w:r>
      <w:r>
        <w:rPr>
          <w:spacing w:val="-6"/>
        </w:rPr>
        <w:t xml:space="preserve"> </w:t>
      </w:r>
      <w:r>
        <w:t>preliminary</w:t>
      </w:r>
      <w:r>
        <w:rPr>
          <w:spacing w:val="-6"/>
        </w:rPr>
        <w:t xml:space="preserve"> </w:t>
      </w:r>
      <w:r>
        <w:t>measures</w:t>
      </w:r>
      <w:r>
        <w:rPr>
          <w:spacing w:val="-6"/>
        </w:rPr>
        <w:t xml:space="preserve"> </w:t>
      </w:r>
      <w:r>
        <w:t>of</w:t>
      </w:r>
      <w:r>
        <w:rPr>
          <w:spacing w:val="-6"/>
        </w:rPr>
        <w:t xml:space="preserve"> </w:t>
      </w:r>
      <w:r>
        <w:t>size</w:t>
      </w:r>
    </w:p>
    <w:p w:rsidR="003F5784" w14:paraId="4F71401F" w14:textId="77777777">
      <w:pPr>
        <w:pStyle w:val="BodyText"/>
        <w:spacing w:before="1" w:line="232" w:lineRule="auto"/>
        <w:ind w:left="109" w:right="179"/>
      </w:pPr>
      <w:r>
        <w:t>\(M_{js}\)</w:t>
      </w:r>
      <w:r>
        <w:rPr>
          <w:spacing w:val="-10"/>
        </w:rPr>
        <w:t xml:space="preserve"> </w:t>
      </w:r>
      <w:r>
        <w:t>for</w:t>
      </w:r>
      <w:r>
        <w:rPr>
          <w:spacing w:val="-7"/>
        </w:rPr>
        <w:t xml:space="preserve"> </w:t>
      </w:r>
      <w:r>
        <w:t>these</w:t>
      </w:r>
      <w:r>
        <w:rPr>
          <w:spacing w:val="-7"/>
        </w:rPr>
        <w:t xml:space="preserve"> </w:t>
      </w:r>
      <w:r>
        <w:t>schools</w:t>
      </w:r>
      <w:r>
        <w:rPr>
          <w:spacing w:val="-7"/>
        </w:rPr>
        <w:t xml:space="preserve"> </w:t>
      </w:r>
      <w:r>
        <w:t>were</w:t>
      </w:r>
      <w:r>
        <w:rPr>
          <w:spacing w:val="-7"/>
        </w:rPr>
        <w:t xml:space="preserve"> </w:t>
      </w:r>
      <w:r>
        <w:t>set</w:t>
      </w:r>
      <w:r>
        <w:rPr>
          <w:spacing w:val="-7"/>
        </w:rPr>
        <w:t xml:space="preserve"> </w:t>
      </w:r>
      <w:r>
        <w:t>as</w:t>
      </w:r>
      <w:r>
        <w:rPr>
          <w:spacing w:val="-7"/>
        </w:rPr>
        <w:t xml:space="preserve"> </w:t>
      </w:r>
      <w:r>
        <w:t>\begin{equation}</w:t>
      </w:r>
      <w:r>
        <w:rPr>
          <w:spacing w:val="-7"/>
        </w:rPr>
        <w:t xml:space="preserve"> </w:t>
      </w:r>
      <w:r>
        <w:t>M_{js}</w:t>
      </w:r>
      <w:r>
        <w:rPr>
          <w:spacing w:val="-7"/>
        </w:rPr>
        <w:t xml:space="preserve"> </w:t>
      </w:r>
      <w:r>
        <w:t>=</w:t>
      </w:r>
      <w:r>
        <w:rPr>
          <w:spacing w:val="-7"/>
        </w:rPr>
        <w:t xml:space="preserve"> </w:t>
      </w:r>
      <w:r>
        <w:t>2</w:t>
      </w:r>
      <w:r>
        <w:rPr>
          <w:spacing w:val="-7"/>
        </w:rPr>
        <w:t xml:space="preserve"> </w:t>
      </w:r>
      <w:r>
        <w:t>\times</w:t>
      </w:r>
      <w:r>
        <w:rPr>
          <w:spacing w:val="-7"/>
        </w:rPr>
        <w:t xml:space="preserve"> </w:t>
      </w:r>
      <w:r>
        <w:t>MOS_{js}.</w:t>
      </w:r>
      <w:r>
        <w:rPr>
          <w:spacing w:val="-7"/>
        </w:rPr>
        <w:t xml:space="preserve"> </w:t>
      </w:r>
      <w:r>
        <w:t>\end{equation}This</w:t>
      </w:r>
      <w:r>
        <w:rPr>
          <w:spacing w:val="-7"/>
        </w:rPr>
        <w:t xml:space="preserve"> </w:t>
      </w:r>
      <w:r>
        <w:t>approach</w:t>
      </w:r>
      <w:r>
        <w:rPr>
          <w:spacing w:val="-7"/>
        </w:rPr>
        <w:t xml:space="preserve"> </w:t>
      </w:r>
      <w:r>
        <w:t>is</w:t>
      </w:r>
      <w:r>
        <w:rPr>
          <w:spacing w:val="-7"/>
        </w:rPr>
        <w:t xml:space="preserve"> </w:t>
      </w:r>
      <w:r>
        <w:t>effective</w:t>
      </w:r>
      <w:r>
        <w:rPr>
          <w:spacing w:val="-7"/>
        </w:rPr>
        <w:t xml:space="preserve"> </w:t>
      </w:r>
      <w:r>
        <w:t>in</w:t>
      </w:r>
      <w:r>
        <w:rPr>
          <w:spacing w:val="-7"/>
        </w:rPr>
        <w:t xml:space="preserve"> </w:t>
      </w:r>
      <w:r>
        <w:t>increasing</w:t>
      </w:r>
      <w:r>
        <w:rPr>
          <w:spacing w:val="-7"/>
        </w:rPr>
        <w:t xml:space="preserve"> </w:t>
      </w:r>
      <w:r>
        <w:t>the</w:t>
      </w:r>
      <w:r>
        <w:rPr>
          <w:spacing w:val="-7"/>
        </w:rPr>
        <w:t xml:space="preserve"> </w:t>
      </w:r>
      <w:r>
        <w:t>sample</w:t>
      </w:r>
      <w:r>
        <w:rPr>
          <w:spacing w:val="-7"/>
        </w:rPr>
        <w:t xml:space="preserve"> </w:t>
      </w:r>
      <w:r>
        <w:t>sizes</w:t>
      </w:r>
      <w:r>
        <w:rPr>
          <w:spacing w:val="-7"/>
        </w:rPr>
        <w:t xml:space="preserve"> </w:t>
      </w:r>
      <w:r>
        <w:t>of</w:t>
      </w:r>
      <w:r>
        <w:rPr>
          <w:spacing w:val="-14"/>
        </w:rPr>
        <w:t xml:space="preserve"> </w:t>
      </w:r>
      <w:r>
        <w:t>AI/AN, Black, and Hispanic students without inducing undesirably large design effects on the sample, either overall, or for particular subgroups.</w:t>
      </w:r>
    </w:p>
    <w:p w:rsidR="003F5784" w14:paraId="46B5BBBB" w14:textId="77777777">
      <w:pPr>
        <w:pStyle w:val="BodyText"/>
        <w:spacing w:before="209" w:line="232" w:lineRule="auto"/>
        <w:ind w:left="109"/>
      </w:pPr>
      <w:r>
        <w:t>The measures of size for schools in the Honolulu primary sampling unit (PSU) were doubled to increase their chances of selection. Schools in the Honolulu PSU have their measures of size doubled to ensure at least one sampled school from the PSU.</w:t>
      </w:r>
      <w:r>
        <w:rPr>
          <w:spacing w:val="-3"/>
        </w:rPr>
        <w:t xml:space="preserve"> </w:t>
      </w:r>
      <w:r>
        <w:t>The Honolulu PSU is a certainty not due to its size, but because it is unique due to its high population</w:t>
      </w:r>
      <w:r>
        <w:rPr>
          <w:spacing w:val="-10"/>
        </w:rPr>
        <w:t xml:space="preserve"> </w:t>
      </w:r>
      <w:r>
        <w:t>of</w:t>
      </w:r>
      <w:r>
        <w:rPr>
          <w:spacing w:val="-14"/>
        </w:rPr>
        <w:t xml:space="preserve"> </w:t>
      </w:r>
      <w:r>
        <w:t>Asian</w:t>
      </w:r>
      <w:r>
        <w:rPr>
          <w:spacing w:val="-6"/>
        </w:rPr>
        <w:t xml:space="preserve"> </w:t>
      </w:r>
      <w:r>
        <w:t>and</w:t>
      </w:r>
      <w:r>
        <w:rPr>
          <w:spacing w:val="-7"/>
        </w:rPr>
        <w:t xml:space="preserve"> </w:t>
      </w:r>
      <w:r>
        <w:t>Native</w:t>
      </w:r>
      <w:r>
        <w:rPr>
          <w:spacing w:val="-7"/>
        </w:rPr>
        <w:t xml:space="preserve"> </w:t>
      </w:r>
      <w:r>
        <w:t>Hawaiian/Pacific</w:t>
      </w:r>
      <w:r>
        <w:rPr>
          <w:spacing w:val="-7"/>
        </w:rPr>
        <w:t xml:space="preserve"> </w:t>
      </w:r>
      <w:r>
        <w:t>Islander</w:t>
      </w:r>
      <w:r>
        <w:rPr>
          <w:spacing w:val="-7"/>
        </w:rPr>
        <w:t xml:space="preserve"> </w:t>
      </w:r>
      <w:r>
        <w:t>students.</w:t>
      </w:r>
      <w:r>
        <w:rPr>
          <w:spacing w:val="-10"/>
        </w:rPr>
        <w:t xml:space="preserve"> </w:t>
      </w:r>
      <w:r>
        <w:t>The</w:t>
      </w:r>
      <w:r>
        <w:rPr>
          <w:spacing w:val="-7"/>
        </w:rPr>
        <w:t xml:space="preserve"> </w:t>
      </w:r>
      <w:r>
        <w:t>preliminary</w:t>
      </w:r>
      <w:r>
        <w:rPr>
          <w:spacing w:val="-7"/>
        </w:rPr>
        <w:t xml:space="preserve"> </w:t>
      </w:r>
      <w:r>
        <w:t>measures</w:t>
      </w:r>
      <w:r>
        <w:rPr>
          <w:spacing w:val="-7"/>
        </w:rPr>
        <w:t xml:space="preserve"> </w:t>
      </w:r>
      <w:r>
        <w:t>of</w:t>
      </w:r>
      <w:r>
        <w:rPr>
          <w:spacing w:val="-7"/>
        </w:rPr>
        <w:t xml:space="preserve"> </w:t>
      </w:r>
      <w:r>
        <w:t>size</w:t>
      </w:r>
      <w:r>
        <w:rPr>
          <w:spacing w:val="-7"/>
        </w:rPr>
        <w:t xml:space="preserve"> </w:t>
      </w:r>
      <w:r>
        <w:t>\(M_{js}\)</w:t>
      </w:r>
      <w:r>
        <w:rPr>
          <w:spacing w:val="-7"/>
        </w:rPr>
        <w:t xml:space="preserve"> </w:t>
      </w:r>
      <w:r>
        <w:t>for</w:t>
      </w:r>
      <w:r>
        <w:rPr>
          <w:spacing w:val="-7"/>
        </w:rPr>
        <w:t xml:space="preserve"> </w:t>
      </w:r>
      <w:r>
        <w:t>schools</w:t>
      </w:r>
      <w:r>
        <w:rPr>
          <w:spacing w:val="-7"/>
        </w:rPr>
        <w:t xml:space="preserve"> </w:t>
      </w:r>
      <w:r>
        <w:t>in</w:t>
      </w:r>
      <w:r>
        <w:rPr>
          <w:spacing w:val="-7"/>
        </w:rPr>
        <w:t xml:space="preserve"> </w:t>
      </w:r>
      <w:r>
        <w:t>the</w:t>
      </w:r>
      <w:r>
        <w:rPr>
          <w:spacing w:val="-7"/>
        </w:rPr>
        <w:t xml:space="preserve"> </w:t>
      </w:r>
      <w:r>
        <w:t>Honolulu</w:t>
      </w:r>
      <w:r>
        <w:rPr>
          <w:spacing w:val="-7"/>
        </w:rPr>
        <w:t xml:space="preserve"> </w:t>
      </w:r>
      <w:r>
        <w:t>PSU</w:t>
      </w:r>
      <w:r>
        <w:rPr>
          <w:spacing w:val="-7"/>
        </w:rPr>
        <w:t xml:space="preserve"> </w:t>
      </w:r>
      <w:r>
        <w:t>were</w:t>
      </w:r>
      <w:r>
        <w:rPr>
          <w:spacing w:val="-7"/>
        </w:rPr>
        <w:t xml:space="preserve"> </w:t>
      </w:r>
      <w:r>
        <w:t>set</w:t>
      </w:r>
      <w:r>
        <w:rPr>
          <w:spacing w:val="-7"/>
        </w:rPr>
        <w:t xml:space="preserve"> </w:t>
      </w:r>
      <w:r>
        <w:t>as</w:t>
      </w:r>
      <w:r>
        <w:rPr>
          <w:spacing w:val="-7"/>
        </w:rPr>
        <w:t xml:space="preserve"> </w:t>
      </w:r>
      <w:r>
        <w:t>\begin{equation} M_{js} = 2 \times MOS_{js}. \end{equation}</w:t>
      </w:r>
    </w:p>
    <w:p w:rsidR="003F5784" w14:paraId="44EFBFF0" w14:textId="77777777">
      <w:pPr>
        <w:pStyle w:val="BodyText"/>
        <w:spacing w:before="204"/>
        <w:ind w:left="109"/>
      </w:pPr>
      <w:r>
        <w:t>Preliminary</w:t>
      </w:r>
      <w:r>
        <w:rPr>
          <w:spacing w:val="-6"/>
        </w:rPr>
        <w:t xml:space="preserve"> </w:t>
      </w:r>
      <w:r>
        <w:t>measures</w:t>
      </w:r>
      <w:r>
        <w:rPr>
          <w:spacing w:val="-5"/>
        </w:rPr>
        <w:t xml:space="preserve"> </w:t>
      </w:r>
      <w:r>
        <w:t>of</w:t>
      </w:r>
      <w:r>
        <w:rPr>
          <w:spacing w:val="-5"/>
        </w:rPr>
        <w:t xml:space="preserve"> </w:t>
      </w:r>
      <w:r>
        <w:t>size</w:t>
      </w:r>
      <w:r>
        <w:rPr>
          <w:spacing w:val="-6"/>
        </w:rPr>
        <w:t xml:space="preserve"> </w:t>
      </w:r>
      <w:r>
        <w:t>were</w:t>
      </w:r>
      <w:r>
        <w:rPr>
          <w:spacing w:val="-5"/>
        </w:rPr>
        <w:t xml:space="preserve"> </w:t>
      </w:r>
      <w:r>
        <w:t>set</w:t>
      </w:r>
      <w:r>
        <w:rPr>
          <w:spacing w:val="-5"/>
        </w:rPr>
        <w:t xml:space="preserve"> </w:t>
      </w:r>
      <w:r>
        <w:t>equal</w:t>
      </w:r>
      <w:r>
        <w:rPr>
          <w:spacing w:val="-5"/>
        </w:rPr>
        <w:t xml:space="preserve"> </w:t>
      </w:r>
      <w:r>
        <w:t>to</w:t>
      </w:r>
      <w:r>
        <w:rPr>
          <w:spacing w:val="-6"/>
        </w:rPr>
        <w:t xml:space="preserve"> </w:t>
      </w:r>
      <w:r>
        <w:t>the</w:t>
      </w:r>
      <w:r>
        <w:rPr>
          <w:spacing w:val="-5"/>
        </w:rPr>
        <w:t xml:space="preserve"> </w:t>
      </w:r>
      <w:r>
        <w:t>initial</w:t>
      </w:r>
      <w:r>
        <w:rPr>
          <w:spacing w:val="-5"/>
        </w:rPr>
        <w:t xml:space="preserve"> </w:t>
      </w:r>
      <w:r>
        <w:t>measures</w:t>
      </w:r>
      <w:r>
        <w:rPr>
          <w:spacing w:val="-5"/>
        </w:rPr>
        <w:t xml:space="preserve"> </w:t>
      </w:r>
      <w:r>
        <w:t>of</w:t>
      </w:r>
      <w:r>
        <w:rPr>
          <w:spacing w:val="-6"/>
        </w:rPr>
        <w:t xml:space="preserve"> </w:t>
      </w:r>
      <w:r>
        <w:t>size</w:t>
      </w:r>
      <w:r>
        <w:rPr>
          <w:spacing w:val="-5"/>
        </w:rPr>
        <w:t xml:space="preserve"> </w:t>
      </w:r>
      <w:r>
        <w:t>for</w:t>
      </w:r>
      <w:r>
        <w:rPr>
          <w:spacing w:val="-5"/>
        </w:rPr>
        <w:t xml:space="preserve"> </w:t>
      </w:r>
      <w:r>
        <w:t>schools</w:t>
      </w:r>
      <w:r>
        <w:rPr>
          <w:spacing w:val="-5"/>
        </w:rPr>
        <w:t xml:space="preserve"> </w:t>
      </w:r>
      <w:r>
        <w:t>whose</w:t>
      </w:r>
      <w:r>
        <w:rPr>
          <w:spacing w:val="-6"/>
        </w:rPr>
        <w:t xml:space="preserve"> </w:t>
      </w:r>
      <w:r>
        <w:t>measures</w:t>
      </w:r>
      <w:r>
        <w:rPr>
          <w:spacing w:val="-5"/>
        </w:rPr>
        <w:t xml:space="preserve"> </w:t>
      </w:r>
      <w:r>
        <w:t>of</w:t>
      </w:r>
      <w:r>
        <w:rPr>
          <w:spacing w:val="-5"/>
        </w:rPr>
        <w:t xml:space="preserve"> </w:t>
      </w:r>
      <w:r>
        <w:t>size</w:t>
      </w:r>
      <w:r>
        <w:rPr>
          <w:spacing w:val="-5"/>
        </w:rPr>
        <w:t xml:space="preserve"> </w:t>
      </w:r>
      <w:r>
        <w:t>were</w:t>
      </w:r>
      <w:r>
        <w:rPr>
          <w:spacing w:val="-6"/>
        </w:rPr>
        <w:t xml:space="preserve"> </w:t>
      </w:r>
      <w:r>
        <w:t>not</w:t>
      </w:r>
      <w:r>
        <w:rPr>
          <w:spacing w:val="-5"/>
        </w:rPr>
        <w:t xml:space="preserve"> </w:t>
      </w:r>
      <w:r>
        <w:t>doubled</w:t>
      </w:r>
      <w:r>
        <w:rPr>
          <w:spacing w:val="-5"/>
        </w:rPr>
        <w:t xml:space="preserve"> </w:t>
      </w:r>
      <w:r>
        <w:t>or</w:t>
      </w:r>
      <w:r>
        <w:rPr>
          <w:spacing w:val="-5"/>
        </w:rPr>
        <w:t xml:space="preserve"> </w:t>
      </w:r>
      <w:r>
        <w:rPr>
          <w:spacing w:val="-2"/>
        </w:rPr>
        <w:t>quadrupled.</w:t>
      </w:r>
    </w:p>
    <w:p w:rsidR="003F5784" w14:paraId="3CA32D35" w14:textId="77777777">
      <w:pPr>
        <w:pStyle w:val="BodyText"/>
        <w:spacing w:before="207" w:line="232" w:lineRule="auto"/>
        <w:ind w:left="109" w:right="179"/>
      </w:pPr>
      <w:r>
        <w:t>The</w:t>
      </w:r>
      <w:r>
        <w:rPr>
          <w:spacing w:val="-2"/>
        </w:rPr>
        <w:t xml:space="preserve"> </w:t>
      </w:r>
      <w:r>
        <w:t>preliminary</w:t>
      </w:r>
      <w:r>
        <w:rPr>
          <w:spacing w:val="-2"/>
        </w:rPr>
        <w:t xml:space="preserve"> </w:t>
      </w:r>
      <w:r>
        <w:t>school</w:t>
      </w:r>
      <w:r>
        <w:rPr>
          <w:spacing w:val="-2"/>
        </w:rPr>
        <w:t xml:space="preserve"> </w:t>
      </w:r>
      <w:r>
        <w:t>measure</w:t>
      </w:r>
      <w:r>
        <w:rPr>
          <w:spacing w:val="-2"/>
        </w:rPr>
        <w:t xml:space="preserve"> </w:t>
      </w:r>
      <w:r>
        <w:t>of</w:t>
      </w:r>
      <w:r>
        <w:rPr>
          <w:spacing w:val="-2"/>
        </w:rPr>
        <w:t xml:space="preserve"> </w:t>
      </w:r>
      <w:r>
        <w:t>size</w:t>
      </w:r>
      <w:r>
        <w:rPr>
          <w:spacing w:val="-2"/>
        </w:rPr>
        <w:t xml:space="preserve"> </w:t>
      </w:r>
      <w:r>
        <w:t>is</w:t>
      </w:r>
      <w:r>
        <w:rPr>
          <w:spacing w:val="-2"/>
        </w:rPr>
        <w:t xml:space="preserve"> </w:t>
      </w:r>
      <w:r>
        <w:t>rescaled</w:t>
      </w:r>
      <w:r>
        <w:rPr>
          <w:spacing w:val="-2"/>
        </w:rPr>
        <w:t xml:space="preserve"> </w:t>
      </w:r>
      <w:r>
        <w:t>to</w:t>
      </w:r>
      <w:r>
        <w:rPr>
          <w:spacing w:val="-2"/>
        </w:rPr>
        <w:t xml:space="preserve"> </w:t>
      </w:r>
      <w:r>
        <w:t>create</w:t>
      </w:r>
      <w:r>
        <w:rPr>
          <w:spacing w:val="-2"/>
        </w:rPr>
        <w:t xml:space="preserve"> </w:t>
      </w:r>
      <w:r>
        <w:t>an</w:t>
      </w:r>
      <w:r>
        <w:rPr>
          <w:spacing w:val="-2"/>
        </w:rPr>
        <w:t xml:space="preserve"> </w:t>
      </w:r>
      <w:r>
        <w:t>expected</w:t>
      </w:r>
      <w:r>
        <w:rPr>
          <w:spacing w:val="-2"/>
        </w:rPr>
        <w:t xml:space="preserve"> </w:t>
      </w:r>
      <w:r>
        <w:t>number</w:t>
      </w:r>
      <w:r>
        <w:rPr>
          <w:spacing w:val="-2"/>
        </w:rPr>
        <w:t xml:space="preserve"> </w:t>
      </w:r>
      <w:r>
        <w:t>of</w:t>
      </w:r>
      <w:r>
        <w:rPr>
          <w:spacing w:val="-2"/>
        </w:rPr>
        <w:t xml:space="preserve"> </w:t>
      </w:r>
      <w:r>
        <w:t>hits</w:t>
      </w:r>
      <w:r>
        <w:rPr>
          <w:spacing w:val="-2"/>
        </w:rPr>
        <w:t xml:space="preserve"> </w:t>
      </w:r>
      <w:r>
        <w:t>by</w:t>
      </w:r>
      <w:r>
        <w:rPr>
          <w:spacing w:val="-2"/>
        </w:rPr>
        <w:t xml:space="preserve"> </w:t>
      </w:r>
      <w:r>
        <w:t>applying</w:t>
      </w:r>
      <w:r>
        <w:rPr>
          <w:spacing w:val="-2"/>
        </w:rPr>
        <w:t xml:space="preserve"> </w:t>
      </w:r>
      <w:r>
        <w:t>a</w:t>
      </w:r>
      <w:r>
        <w:rPr>
          <w:spacing w:val="-2"/>
        </w:rPr>
        <w:t xml:space="preserve"> </w:t>
      </w:r>
      <w:r>
        <w:t>multiplicative</w:t>
      </w:r>
      <w:r>
        <w:rPr>
          <w:spacing w:val="-2"/>
        </w:rPr>
        <w:t xml:space="preserve"> </w:t>
      </w:r>
      <w:r>
        <w:t>constant</w:t>
      </w:r>
      <w:r>
        <w:rPr>
          <w:spacing w:val="-2"/>
        </w:rPr>
        <w:t xml:space="preserve"> </w:t>
      </w:r>
      <w:r>
        <w:t>\(b_{j}\),</w:t>
      </w:r>
      <w:r>
        <w:rPr>
          <w:spacing w:val="-2"/>
        </w:rPr>
        <w:t xml:space="preserve"> </w:t>
      </w:r>
      <w:r>
        <w:t>which</w:t>
      </w:r>
      <w:r>
        <w:rPr>
          <w:spacing w:val="-2"/>
        </w:rPr>
        <w:t xml:space="preserve"> </w:t>
      </w:r>
      <w:r>
        <w:t>varies</w:t>
      </w:r>
      <w:r>
        <w:rPr>
          <w:spacing w:val="-2"/>
        </w:rPr>
        <w:t xml:space="preserve"> </w:t>
      </w:r>
      <w:r>
        <w:t>by</w:t>
      </w:r>
      <w:r>
        <w:rPr>
          <w:spacing w:val="-2"/>
        </w:rPr>
        <w:t xml:space="preserve"> </w:t>
      </w:r>
      <w:r>
        <w:t>age</w:t>
      </w:r>
      <w:r>
        <w:rPr>
          <w:spacing w:val="-2"/>
        </w:rPr>
        <w:t xml:space="preserve"> </w:t>
      </w:r>
      <w:r>
        <w:t>\(j\).</w:t>
      </w:r>
      <w:r>
        <w:rPr>
          <w:spacing w:val="-2"/>
        </w:rPr>
        <w:t xml:space="preserve"> </w:t>
      </w:r>
      <w:r>
        <w:t>One</w:t>
      </w:r>
      <w:r>
        <w:rPr>
          <w:spacing w:val="-2"/>
        </w:rPr>
        <w:t xml:space="preserve"> </w:t>
      </w:r>
      <w:r>
        <w:t>can choose</w:t>
      </w:r>
      <w:r>
        <w:rPr>
          <w:spacing w:val="-6"/>
        </w:rPr>
        <w:t xml:space="preserve"> </w:t>
      </w:r>
      <w:r>
        <w:t>a</w:t>
      </w:r>
      <w:r>
        <w:rPr>
          <w:spacing w:val="-6"/>
        </w:rPr>
        <w:t xml:space="preserve"> </w:t>
      </w:r>
      <w:r>
        <w:t>value</w:t>
      </w:r>
      <w:r>
        <w:rPr>
          <w:spacing w:val="-6"/>
        </w:rPr>
        <w:t xml:space="preserve"> </w:t>
      </w:r>
      <w:r>
        <w:t>of</w:t>
      </w:r>
      <w:r>
        <w:rPr>
          <w:spacing w:val="-6"/>
        </w:rPr>
        <w:t xml:space="preserve"> </w:t>
      </w:r>
      <w:r>
        <w:t>\(b_{j}\)</w:t>
      </w:r>
      <w:r>
        <w:rPr>
          <w:spacing w:val="-6"/>
        </w:rPr>
        <w:t xml:space="preserve"> </w:t>
      </w:r>
      <w:r>
        <w:t>such</w:t>
      </w:r>
      <w:r>
        <w:rPr>
          <w:spacing w:val="-6"/>
        </w:rPr>
        <w:t xml:space="preserve"> </w:t>
      </w:r>
      <w:r>
        <w:t>that</w:t>
      </w:r>
      <w:r>
        <w:rPr>
          <w:spacing w:val="-6"/>
        </w:rPr>
        <w:t xml:space="preserve"> </w:t>
      </w:r>
      <w:r>
        <w:t>the</w:t>
      </w:r>
      <w:r>
        <w:rPr>
          <w:spacing w:val="-6"/>
        </w:rPr>
        <w:t xml:space="preserve"> </w:t>
      </w:r>
      <w:r>
        <w:t>expected</w:t>
      </w:r>
      <w:r>
        <w:rPr>
          <w:spacing w:val="-6"/>
        </w:rPr>
        <w:t xml:space="preserve"> </w:t>
      </w:r>
      <w:r>
        <w:t>overall</w:t>
      </w:r>
      <w:r>
        <w:rPr>
          <w:spacing w:val="-6"/>
        </w:rPr>
        <w:t xml:space="preserve"> </w:t>
      </w:r>
      <w:r>
        <w:t>student</w:t>
      </w:r>
      <w:r>
        <w:rPr>
          <w:spacing w:val="-6"/>
        </w:rPr>
        <w:t xml:space="preserve"> </w:t>
      </w:r>
      <w:r>
        <w:t>sample</w:t>
      </w:r>
      <w:r>
        <w:rPr>
          <w:spacing w:val="-6"/>
        </w:rPr>
        <w:t xml:space="preserve"> </w:t>
      </w:r>
      <w:r>
        <w:t>yield</w:t>
      </w:r>
      <w:r>
        <w:rPr>
          <w:spacing w:val="-6"/>
        </w:rPr>
        <w:t xml:space="preserve"> </w:t>
      </w:r>
      <w:r>
        <w:t>matches</w:t>
      </w:r>
      <w:r>
        <w:rPr>
          <w:spacing w:val="-6"/>
        </w:rPr>
        <w:t xml:space="preserve"> </w:t>
      </w:r>
      <w:r>
        <w:t>the</w:t>
      </w:r>
      <w:r>
        <w:rPr>
          <w:spacing w:val="-6"/>
        </w:rPr>
        <w:t xml:space="preserve"> </w:t>
      </w:r>
      <w:r>
        <w:t>desired</w:t>
      </w:r>
      <w:r>
        <w:rPr>
          <w:spacing w:val="-6"/>
        </w:rPr>
        <w:t xml:space="preserve"> </w:t>
      </w:r>
      <w:r>
        <w:t>target</w:t>
      </w:r>
      <w:r>
        <w:rPr>
          <w:spacing w:val="-6"/>
        </w:rPr>
        <w:t xml:space="preserve"> </w:t>
      </w:r>
      <w:r>
        <w:t>specified</w:t>
      </w:r>
      <w:r>
        <w:rPr>
          <w:spacing w:val="-6"/>
        </w:rPr>
        <w:t xml:space="preserve"> </w:t>
      </w:r>
      <w:r>
        <w:t>by</w:t>
      </w:r>
      <w:r>
        <w:rPr>
          <w:spacing w:val="-6"/>
        </w:rPr>
        <w:t xml:space="preserve"> </w:t>
      </w:r>
      <w:r>
        <w:t>the</w:t>
      </w:r>
      <w:r>
        <w:rPr>
          <w:spacing w:val="-6"/>
        </w:rPr>
        <w:t xml:space="preserve"> </w:t>
      </w:r>
      <w:r>
        <w:t>design,</w:t>
      </w:r>
      <w:r>
        <w:rPr>
          <w:spacing w:val="-6"/>
        </w:rPr>
        <w:t xml:space="preserve"> </w:t>
      </w:r>
      <w:r>
        <w:t>where</w:t>
      </w:r>
      <w:r>
        <w:rPr>
          <w:spacing w:val="-6"/>
        </w:rPr>
        <w:t xml:space="preserve"> </w:t>
      </w:r>
      <w:r>
        <w:t>the</w:t>
      </w:r>
      <w:r>
        <w:rPr>
          <w:spacing w:val="-6"/>
        </w:rPr>
        <w:t xml:space="preserve"> </w:t>
      </w:r>
      <w:r>
        <w:t>expected</w:t>
      </w:r>
      <w:r>
        <w:rPr>
          <w:spacing w:val="-6"/>
        </w:rPr>
        <w:t xml:space="preserve"> </w:t>
      </w:r>
      <w:r>
        <w:t>yield</w:t>
      </w:r>
      <w:r>
        <w:rPr>
          <w:spacing w:val="-6"/>
        </w:rPr>
        <w:t xml:space="preserve"> </w:t>
      </w:r>
      <w:r>
        <w:t>is</w:t>
      </w:r>
      <w:r>
        <w:rPr>
          <w:spacing w:val="-6"/>
        </w:rPr>
        <w:t xml:space="preserve"> </w:t>
      </w:r>
      <w:r>
        <w:t>calculated</w:t>
      </w:r>
      <w:r>
        <w:rPr>
          <w:spacing w:val="-6"/>
        </w:rPr>
        <w:t xml:space="preserve"> </w:t>
      </w:r>
      <w:r>
        <w:t>by summing the product of an individual school's probability and its student yield across all schools in the frame.</w:t>
      </w:r>
    </w:p>
    <w:p w:rsidR="003F5784" w14:paraId="5B0A2DFB" w14:textId="77777777">
      <w:pPr>
        <w:pStyle w:val="BodyText"/>
        <w:spacing w:before="204"/>
        <w:ind w:left="109"/>
      </w:pPr>
      <w:r>
        <w:t>The</w:t>
      </w:r>
      <w:r>
        <w:rPr>
          <w:spacing w:val="-6"/>
        </w:rPr>
        <w:t xml:space="preserve"> </w:t>
      </w:r>
      <w:r>
        <w:t>final</w:t>
      </w:r>
      <w:r>
        <w:rPr>
          <w:spacing w:val="-6"/>
        </w:rPr>
        <w:t xml:space="preserve"> </w:t>
      </w:r>
      <w:r>
        <w:t>measure</w:t>
      </w:r>
      <w:r>
        <w:rPr>
          <w:spacing w:val="-5"/>
        </w:rPr>
        <w:t xml:space="preserve"> </w:t>
      </w:r>
      <w:r>
        <w:t>of</w:t>
      </w:r>
      <w:r>
        <w:rPr>
          <w:spacing w:val="-6"/>
        </w:rPr>
        <w:t xml:space="preserve"> </w:t>
      </w:r>
      <w:r>
        <w:t>size,</w:t>
      </w:r>
      <w:r>
        <w:rPr>
          <w:spacing w:val="-5"/>
        </w:rPr>
        <w:t xml:space="preserve"> </w:t>
      </w:r>
      <w:r>
        <w:t>\(E_{js}\),</w:t>
      </w:r>
      <w:r>
        <w:rPr>
          <w:spacing w:val="-6"/>
        </w:rPr>
        <w:t xml:space="preserve"> </w:t>
      </w:r>
      <w:r>
        <w:t>is</w:t>
      </w:r>
      <w:r>
        <w:rPr>
          <w:spacing w:val="-5"/>
        </w:rPr>
        <w:t xml:space="preserve"> </w:t>
      </w:r>
      <w:r>
        <w:t>defined</w:t>
      </w:r>
      <w:r>
        <w:rPr>
          <w:spacing w:val="-6"/>
        </w:rPr>
        <w:t xml:space="preserve"> </w:t>
      </w:r>
      <w:r>
        <w:rPr>
          <w:spacing w:val="-5"/>
        </w:rPr>
        <w:t>as</w:t>
      </w:r>
    </w:p>
    <w:p w:rsidR="003F5784" w14:paraId="3092ED52" w14:textId="77777777">
      <w:pPr>
        <w:pStyle w:val="BodyText"/>
        <w:spacing w:before="202"/>
        <w:ind w:left="109"/>
      </w:pPr>
      <w:r>
        <w:rPr>
          <w:spacing w:val="-2"/>
        </w:rPr>
        <w:t>\begin{equation}</w:t>
      </w:r>
      <w:r>
        <w:rPr>
          <w:spacing w:val="17"/>
        </w:rPr>
        <w:t xml:space="preserve"> </w:t>
      </w:r>
      <w:r>
        <w:rPr>
          <w:spacing w:val="-2"/>
        </w:rPr>
        <w:t>E_{js}=min(b_{j}\times</w:t>
      </w:r>
      <w:r>
        <w:rPr>
          <w:spacing w:val="18"/>
        </w:rPr>
        <w:t xml:space="preserve"> </w:t>
      </w:r>
      <w:r>
        <w:rPr>
          <w:spacing w:val="-2"/>
        </w:rPr>
        <w:t>M_{js},u_{j}).</w:t>
      </w:r>
      <w:r>
        <w:rPr>
          <w:spacing w:val="17"/>
        </w:rPr>
        <w:t xml:space="preserve"> </w:t>
      </w:r>
      <w:r>
        <w:rPr>
          <w:spacing w:val="-2"/>
        </w:rPr>
        <w:t>\end{equation}</w:t>
      </w:r>
    </w:p>
    <w:p w:rsidR="003F5784" w14:paraId="0FA7354A" w14:textId="77777777">
      <w:pPr>
        <w:pStyle w:val="BodyText"/>
        <w:spacing w:before="207" w:line="232" w:lineRule="auto"/>
        <w:ind w:left="109"/>
      </w:pPr>
      <w:r>
        <w:t>The</w:t>
      </w:r>
      <w:r>
        <w:rPr>
          <w:spacing w:val="-5"/>
        </w:rPr>
        <w:t xml:space="preserve"> </w:t>
      </w:r>
      <w:r>
        <w:t>quantity</w:t>
      </w:r>
      <w:r>
        <w:rPr>
          <w:spacing w:val="-5"/>
        </w:rPr>
        <w:t xml:space="preserve"> </w:t>
      </w:r>
      <w:r>
        <w:t>\(u_{j}\)</w:t>
      </w:r>
      <w:r>
        <w:rPr>
          <w:spacing w:val="-5"/>
        </w:rPr>
        <w:t xml:space="preserve"> </w:t>
      </w:r>
      <w:r>
        <w:t>(the</w:t>
      </w:r>
      <w:r>
        <w:rPr>
          <w:spacing w:val="-5"/>
        </w:rPr>
        <w:t xml:space="preserve"> </w:t>
      </w:r>
      <w:r>
        <w:t>maximum</w:t>
      </w:r>
      <w:r>
        <w:rPr>
          <w:spacing w:val="-5"/>
        </w:rPr>
        <w:t xml:space="preserve"> </w:t>
      </w:r>
      <w:r>
        <w:t>number</w:t>
      </w:r>
      <w:r>
        <w:rPr>
          <w:spacing w:val="-5"/>
        </w:rPr>
        <w:t xml:space="preserve"> </w:t>
      </w:r>
      <w:r>
        <w:t>of</w:t>
      </w:r>
      <w:r>
        <w:rPr>
          <w:spacing w:val="-5"/>
        </w:rPr>
        <w:t xml:space="preserve"> </w:t>
      </w:r>
      <w:r>
        <w:t>hits</w:t>
      </w:r>
      <w:r>
        <w:rPr>
          <w:spacing w:val="-5"/>
        </w:rPr>
        <w:t xml:space="preserve"> </w:t>
      </w:r>
      <w:r>
        <w:t>allowed)</w:t>
      </w:r>
      <w:r>
        <w:rPr>
          <w:spacing w:val="-5"/>
        </w:rPr>
        <w:t xml:space="preserve"> </w:t>
      </w:r>
      <w:r>
        <w:t>in</w:t>
      </w:r>
      <w:r>
        <w:rPr>
          <w:spacing w:val="-5"/>
        </w:rPr>
        <w:t xml:space="preserve"> </w:t>
      </w:r>
      <w:r>
        <w:t>this</w:t>
      </w:r>
      <w:r>
        <w:rPr>
          <w:spacing w:val="-5"/>
        </w:rPr>
        <w:t xml:space="preserve"> </w:t>
      </w:r>
      <w:r>
        <w:t>formula</w:t>
      </w:r>
      <w:r>
        <w:rPr>
          <w:spacing w:val="-5"/>
        </w:rPr>
        <w:t xml:space="preserve"> </w:t>
      </w:r>
      <w:r>
        <w:t>is</w:t>
      </w:r>
      <w:r>
        <w:rPr>
          <w:spacing w:val="-5"/>
        </w:rPr>
        <w:t xml:space="preserve"> </w:t>
      </w:r>
      <w:r>
        <w:t>designed</w:t>
      </w:r>
      <w:r>
        <w:rPr>
          <w:spacing w:val="-5"/>
        </w:rPr>
        <w:t xml:space="preserve"> </w:t>
      </w:r>
      <w:r>
        <w:t>to</w:t>
      </w:r>
      <w:r>
        <w:rPr>
          <w:spacing w:val="-5"/>
        </w:rPr>
        <w:t xml:space="preserve"> </w:t>
      </w:r>
      <w:r>
        <w:t>put</w:t>
      </w:r>
      <w:r>
        <w:rPr>
          <w:spacing w:val="-5"/>
        </w:rPr>
        <w:t xml:space="preserve"> </w:t>
      </w:r>
      <w:r>
        <w:t>an</w:t>
      </w:r>
      <w:r>
        <w:rPr>
          <w:spacing w:val="-5"/>
        </w:rPr>
        <w:t xml:space="preserve"> </w:t>
      </w:r>
      <w:r>
        <w:t>upper</w:t>
      </w:r>
      <w:r>
        <w:rPr>
          <w:spacing w:val="-5"/>
        </w:rPr>
        <w:t xml:space="preserve"> </w:t>
      </w:r>
      <w:r>
        <w:t>bound</w:t>
      </w:r>
      <w:r>
        <w:rPr>
          <w:spacing w:val="-5"/>
        </w:rPr>
        <w:t xml:space="preserve"> </w:t>
      </w:r>
      <w:r>
        <w:t>on</w:t>
      </w:r>
      <w:r>
        <w:rPr>
          <w:spacing w:val="-5"/>
        </w:rPr>
        <w:t xml:space="preserve"> </w:t>
      </w:r>
      <w:r>
        <w:t>the</w:t>
      </w:r>
      <w:r>
        <w:rPr>
          <w:spacing w:val="-5"/>
        </w:rPr>
        <w:t xml:space="preserve"> </w:t>
      </w:r>
      <w:r>
        <w:t>burden</w:t>
      </w:r>
      <w:r>
        <w:rPr>
          <w:spacing w:val="-5"/>
        </w:rPr>
        <w:t xml:space="preserve"> </w:t>
      </w:r>
      <w:r>
        <w:t>for</w:t>
      </w:r>
      <w:r>
        <w:rPr>
          <w:spacing w:val="-5"/>
        </w:rPr>
        <w:t xml:space="preserve"> </w:t>
      </w:r>
      <w:r>
        <w:t>the</w:t>
      </w:r>
      <w:r>
        <w:rPr>
          <w:spacing w:val="-5"/>
        </w:rPr>
        <w:t xml:space="preserve"> </w:t>
      </w:r>
      <w:r>
        <w:t>sampled</w:t>
      </w:r>
      <w:r>
        <w:rPr>
          <w:spacing w:val="-5"/>
        </w:rPr>
        <w:t xml:space="preserve"> </w:t>
      </w:r>
      <w:r>
        <w:t>schools.</w:t>
      </w:r>
      <w:r>
        <w:rPr>
          <w:spacing w:val="-5"/>
        </w:rPr>
        <w:t xml:space="preserve"> </w:t>
      </w:r>
      <w:r>
        <w:t>For</w:t>
      </w:r>
      <w:r>
        <w:rPr>
          <w:spacing w:val="-5"/>
        </w:rPr>
        <w:t xml:space="preserve"> </w:t>
      </w:r>
      <w:r>
        <w:t>public</w:t>
      </w:r>
      <w:r>
        <w:rPr>
          <w:spacing w:val="-5"/>
        </w:rPr>
        <w:t xml:space="preserve"> </w:t>
      </w:r>
      <w:r>
        <w:t>schools,</w:t>
      </w:r>
      <w:r>
        <w:rPr>
          <w:spacing w:val="-5"/>
        </w:rPr>
        <w:t xml:space="preserve"> </w:t>
      </w:r>
      <w:r>
        <w:t>\ (u_{j}\) is 1 because by design a school could not be selected, or hit in the sampling process more than once for the given sample age.</w:t>
      </w:r>
    </w:p>
    <w:p w:rsidR="003F5784" w14:paraId="1CB40AD6" w14:textId="77777777">
      <w:pPr>
        <w:pStyle w:val="BodyText"/>
        <w:spacing w:before="204"/>
        <w:ind w:left="109"/>
      </w:pPr>
      <w:r>
        <w:t>In</w:t>
      </w:r>
      <w:r>
        <w:rPr>
          <w:spacing w:val="-6"/>
        </w:rPr>
        <w:t xml:space="preserve"> </w:t>
      </w:r>
      <w:r>
        <w:t>addition,</w:t>
      </w:r>
      <w:r>
        <w:rPr>
          <w:spacing w:val="-6"/>
        </w:rPr>
        <w:t xml:space="preserve"> </w:t>
      </w:r>
      <w:r>
        <w:t>new</w:t>
      </w:r>
      <w:r>
        <w:rPr>
          <w:spacing w:val="-6"/>
        </w:rPr>
        <w:t xml:space="preserve"> </w:t>
      </w:r>
      <w:r>
        <w:t>and</w:t>
      </w:r>
      <w:r>
        <w:rPr>
          <w:spacing w:val="-6"/>
        </w:rPr>
        <w:t xml:space="preserve"> </w:t>
      </w:r>
      <w:r>
        <w:t>newly-eligible</w:t>
      </w:r>
      <w:r>
        <w:rPr>
          <w:spacing w:val="-6"/>
        </w:rPr>
        <w:t xml:space="preserve"> </w:t>
      </w:r>
      <w:r>
        <w:t>schools</w:t>
      </w:r>
      <w:r>
        <w:rPr>
          <w:spacing w:val="-5"/>
        </w:rPr>
        <w:t xml:space="preserve"> </w:t>
      </w:r>
      <w:r>
        <w:t>were</w:t>
      </w:r>
      <w:r>
        <w:rPr>
          <w:spacing w:val="-6"/>
        </w:rPr>
        <w:t xml:space="preserve"> </w:t>
      </w:r>
      <w:r>
        <w:t>sampled</w:t>
      </w:r>
      <w:r>
        <w:rPr>
          <w:spacing w:val="-6"/>
        </w:rPr>
        <w:t xml:space="preserve"> </w:t>
      </w:r>
      <w:r>
        <w:t>from</w:t>
      </w:r>
      <w:r>
        <w:rPr>
          <w:spacing w:val="-6"/>
        </w:rPr>
        <w:t xml:space="preserve"> </w:t>
      </w:r>
      <w:r>
        <w:t>the</w:t>
      </w:r>
      <w:r>
        <w:rPr>
          <w:spacing w:val="-6"/>
        </w:rPr>
        <w:t xml:space="preserve"> </w:t>
      </w:r>
      <w:r>
        <w:t>new</w:t>
      </w:r>
      <w:r>
        <w:rPr>
          <w:spacing w:val="-5"/>
        </w:rPr>
        <w:t xml:space="preserve"> </w:t>
      </w:r>
      <w:r>
        <w:t>school</w:t>
      </w:r>
      <w:r>
        <w:rPr>
          <w:spacing w:val="-6"/>
        </w:rPr>
        <w:t xml:space="preserve"> </w:t>
      </w:r>
      <w:r>
        <w:t>frame.</w:t>
      </w:r>
      <w:r>
        <w:rPr>
          <w:spacing w:val="-10"/>
        </w:rPr>
        <w:t xml:space="preserve"> </w:t>
      </w:r>
      <w:r>
        <w:t>The</w:t>
      </w:r>
      <w:r>
        <w:rPr>
          <w:spacing w:val="-5"/>
        </w:rPr>
        <w:t xml:space="preserve"> </w:t>
      </w:r>
      <w:r>
        <w:t>final</w:t>
      </w:r>
      <w:r>
        <w:rPr>
          <w:spacing w:val="-6"/>
        </w:rPr>
        <w:t xml:space="preserve"> </w:t>
      </w:r>
      <w:r>
        <w:t>measure</w:t>
      </w:r>
      <w:r>
        <w:rPr>
          <w:spacing w:val="-6"/>
        </w:rPr>
        <w:t xml:space="preserve"> </w:t>
      </w:r>
      <w:r>
        <w:t>of</w:t>
      </w:r>
      <w:r>
        <w:rPr>
          <w:spacing w:val="-6"/>
        </w:rPr>
        <w:t xml:space="preserve"> </w:t>
      </w:r>
      <w:r>
        <w:t>size</w:t>
      </w:r>
      <w:r>
        <w:rPr>
          <w:spacing w:val="-6"/>
        </w:rPr>
        <w:t xml:space="preserve"> </w:t>
      </w:r>
      <w:r>
        <w:t>for</w:t>
      </w:r>
      <w:r>
        <w:rPr>
          <w:spacing w:val="-5"/>
        </w:rPr>
        <w:t xml:space="preserve"> </w:t>
      </w:r>
      <w:r>
        <w:t>these</w:t>
      </w:r>
      <w:r>
        <w:rPr>
          <w:spacing w:val="-6"/>
        </w:rPr>
        <w:t xml:space="preserve"> </w:t>
      </w:r>
      <w:r>
        <w:t>schools,</w:t>
      </w:r>
      <w:r>
        <w:rPr>
          <w:spacing w:val="-6"/>
        </w:rPr>
        <w:t xml:space="preserve"> </w:t>
      </w:r>
      <w:r>
        <w:t>\(E_{js}\)</w:t>
      </w:r>
      <w:r>
        <w:rPr>
          <w:spacing w:val="-6"/>
        </w:rPr>
        <w:t xml:space="preserve"> </w:t>
      </w:r>
      <w:r>
        <w:t>is</w:t>
      </w:r>
      <w:r>
        <w:rPr>
          <w:spacing w:val="-6"/>
        </w:rPr>
        <w:t xml:space="preserve"> </w:t>
      </w:r>
      <w:r>
        <w:t>defined</w:t>
      </w:r>
      <w:r>
        <w:rPr>
          <w:spacing w:val="-5"/>
        </w:rPr>
        <w:t xml:space="preserve"> as</w:t>
      </w:r>
    </w:p>
    <w:p w:rsidR="003F5784" w14:paraId="42107B00" w14:textId="77777777">
      <w:pPr>
        <w:pStyle w:val="BodyText"/>
        <w:spacing w:before="201"/>
        <w:ind w:left="109"/>
      </w:pPr>
      <w:r>
        <w:rPr>
          <w:spacing w:val="-2"/>
        </w:rPr>
        <w:t>\begin{equation}</w:t>
      </w:r>
      <w:r>
        <w:rPr>
          <w:spacing w:val="14"/>
        </w:rPr>
        <w:t xml:space="preserve"> </w:t>
      </w:r>
      <w:r>
        <w:rPr>
          <w:spacing w:val="-2"/>
        </w:rPr>
        <w:t>E_{js}=min(b_{j}\times</w:t>
      </w:r>
      <w:r>
        <w:rPr>
          <w:spacing w:val="15"/>
        </w:rPr>
        <w:t xml:space="preserve"> </w:t>
      </w:r>
      <w:r>
        <w:rPr>
          <w:spacing w:val="-2"/>
        </w:rPr>
        <w:t>M_{js}</w:t>
      </w:r>
      <w:r>
        <w:rPr>
          <w:spacing w:val="15"/>
        </w:rPr>
        <w:t xml:space="preserve"> </w:t>
      </w:r>
      <w:r>
        <w:rPr>
          <w:spacing w:val="-2"/>
        </w:rPr>
        <w:t>\times</w:t>
      </w:r>
      <w:r>
        <w:rPr>
          <w:spacing w:val="14"/>
        </w:rPr>
        <w:t xml:space="preserve"> </w:t>
      </w:r>
      <w:r>
        <w:rPr>
          <w:spacing w:val="-2"/>
        </w:rPr>
        <w:t>\pi_{djs}^{-1},u_{j}).</w:t>
      </w:r>
      <w:r>
        <w:rPr>
          <w:spacing w:val="15"/>
        </w:rPr>
        <w:t xml:space="preserve"> </w:t>
      </w:r>
      <w:r>
        <w:rPr>
          <w:spacing w:val="-2"/>
        </w:rPr>
        <w:t>\end{equation}</w:t>
      </w:r>
    </w:p>
    <w:p w:rsidR="003F5784" w14:paraId="0D4B7EE1" w14:textId="77777777">
      <w:pPr>
        <w:sectPr>
          <w:pgSz w:w="15840" w:h="12240" w:orient="landscape"/>
          <w:pgMar w:top="480" w:right="440" w:bottom="460" w:left="460" w:header="284" w:footer="275" w:gutter="0"/>
          <w:cols w:space="720"/>
        </w:sectPr>
      </w:pPr>
    </w:p>
    <w:p w:rsidR="003F5784" w14:paraId="244F22FB" w14:textId="77777777">
      <w:pPr>
        <w:pStyle w:val="BodyText"/>
        <w:spacing w:before="72"/>
        <w:ind w:left="109"/>
      </w:pPr>
      <w:r>
        <w:t>The</w:t>
      </w:r>
      <w:r>
        <w:rPr>
          <w:spacing w:val="-6"/>
        </w:rPr>
        <w:t xml:space="preserve"> </w:t>
      </w:r>
      <w:r>
        <w:t>variable</w:t>
      </w:r>
      <w:r>
        <w:rPr>
          <w:spacing w:val="-6"/>
        </w:rPr>
        <w:t xml:space="preserve"> </w:t>
      </w:r>
      <w:r>
        <w:t>\(\pi_{djs}\)</w:t>
      </w:r>
      <w:r>
        <w:rPr>
          <w:spacing w:val="-6"/>
        </w:rPr>
        <w:t xml:space="preserve"> </w:t>
      </w:r>
      <w:r>
        <w:t>is</w:t>
      </w:r>
      <w:r>
        <w:rPr>
          <w:spacing w:val="-6"/>
        </w:rPr>
        <w:t xml:space="preserve"> </w:t>
      </w:r>
      <w:r>
        <w:t>the</w:t>
      </w:r>
      <w:r>
        <w:rPr>
          <w:spacing w:val="-6"/>
        </w:rPr>
        <w:t xml:space="preserve"> </w:t>
      </w:r>
      <w:r>
        <w:t>probability</w:t>
      </w:r>
      <w:r>
        <w:rPr>
          <w:spacing w:val="-6"/>
        </w:rPr>
        <w:t xml:space="preserve"> </w:t>
      </w:r>
      <w:r>
        <w:t>of</w:t>
      </w:r>
      <w:r>
        <w:rPr>
          <w:spacing w:val="-6"/>
        </w:rPr>
        <w:t xml:space="preserve"> </w:t>
      </w:r>
      <w:r>
        <w:t>selection</w:t>
      </w:r>
      <w:r>
        <w:rPr>
          <w:spacing w:val="-5"/>
        </w:rPr>
        <w:t xml:space="preserve"> </w:t>
      </w:r>
      <w:r>
        <w:t>of</w:t>
      </w:r>
      <w:r>
        <w:rPr>
          <w:spacing w:val="-6"/>
        </w:rPr>
        <w:t xml:space="preserve"> </w:t>
      </w:r>
      <w:r>
        <w:t>the</w:t>
      </w:r>
      <w:r>
        <w:rPr>
          <w:spacing w:val="-6"/>
        </w:rPr>
        <w:t xml:space="preserve"> </w:t>
      </w:r>
      <w:r>
        <w:t>district</w:t>
      </w:r>
      <w:r>
        <w:rPr>
          <w:spacing w:val="-6"/>
        </w:rPr>
        <w:t xml:space="preserve"> </w:t>
      </w:r>
      <w:r>
        <w:t>\(d\)</w:t>
      </w:r>
      <w:r>
        <w:rPr>
          <w:spacing w:val="-6"/>
        </w:rPr>
        <w:t xml:space="preserve"> </w:t>
      </w:r>
      <w:r>
        <w:t>into</w:t>
      </w:r>
      <w:r>
        <w:rPr>
          <w:spacing w:val="-6"/>
        </w:rPr>
        <w:t xml:space="preserve"> </w:t>
      </w:r>
      <w:r>
        <w:t>the</w:t>
      </w:r>
      <w:r>
        <w:rPr>
          <w:spacing w:val="-6"/>
        </w:rPr>
        <w:t xml:space="preserve"> </w:t>
      </w:r>
      <w:r>
        <w:t>new-school</w:t>
      </w:r>
      <w:r>
        <w:rPr>
          <w:spacing w:val="-5"/>
        </w:rPr>
        <w:t xml:space="preserve"> </w:t>
      </w:r>
      <w:r>
        <w:t>district</w:t>
      </w:r>
      <w:r>
        <w:rPr>
          <w:spacing w:val="-6"/>
        </w:rPr>
        <w:t xml:space="preserve"> </w:t>
      </w:r>
      <w:r>
        <w:rPr>
          <w:spacing w:val="-2"/>
        </w:rPr>
        <w:t>sample.</w:t>
      </w:r>
    </w:p>
    <w:p w:rsidR="003F5784" w14:paraId="0AFDB53A" w14:textId="77777777">
      <w:pPr>
        <w:pStyle w:val="BodyText"/>
        <w:spacing w:before="208" w:line="232" w:lineRule="auto"/>
        <w:ind w:left="109" w:right="117"/>
      </w:pPr>
      <w:r>
        <w:t>To</w:t>
      </w:r>
      <w:r>
        <w:rPr>
          <w:spacing w:val="-5"/>
        </w:rPr>
        <w:t xml:space="preserve"> </w:t>
      </w:r>
      <w:r>
        <w:t>address</w:t>
      </w:r>
      <w:r>
        <w:rPr>
          <w:spacing w:val="-5"/>
        </w:rPr>
        <w:t xml:space="preserve"> </w:t>
      </w:r>
      <w:r>
        <w:t>the</w:t>
      </w:r>
      <w:r>
        <w:rPr>
          <w:spacing w:val="-5"/>
        </w:rPr>
        <w:t xml:space="preserve"> </w:t>
      </w:r>
      <w:r>
        <w:t>objective</w:t>
      </w:r>
      <w:r>
        <w:rPr>
          <w:spacing w:val="-5"/>
        </w:rPr>
        <w:t xml:space="preserve"> </w:t>
      </w:r>
      <w:r>
        <w:t>in</w:t>
      </w:r>
      <w:r>
        <w:rPr>
          <w:spacing w:val="-5"/>
        </w:rPr>
        <w:t xml:space="preserve"> </w:t>
      </w:r>
      <w:r>
        <w:t>the</w:t>
      </w:r>
      <w:r>
        <w:rPr>
          <w:spacing w:val="-5"/>
        </w:rPr>
        <w:t xml:space="preserve"> </w:t>
      </w:r>
      <w:r>
        <w:t>last</w:t>
      </w:r>
      <w:r>
        <w:rPr>
          <w:spacing w:val="-5"/>
        </w:rPr>
        <w:t xml:space="preserve"> </w:t>
      </w:r>
      <w:r>
        <w:t>bullet</w:t>
      </w:r>
      <w:r>
        <w:rPr>
          <w:spacing w:val="-5"/>
        </w:rPr>
        <w:t xml:space="preserve"> </w:t>
      </w:r>
      <w:r>
        <w:t>above,</w:t>
      </w:r>
      <w:r>
        <w:rPr>
          <w:spacing w:val="-5"/>
        </w:rPr>
        <w:t xml:space="preserve"> </w:t>
      </w:r>
      <w:r>
        <w:t>an</w:t>
      </w:r>
      <w:r>
        <w:rPr>
          <w:spacing w:val="-5"/>
        </w:rPr>
        <w:t xml:space="preserve"> </w:t>
      </w:r>
      <w:r>
        <w:t>adjustment</w:t>
      </w:r>
      <w:r>
        <w:rPr>
          <w:spacing w:val="-5"/>
        </w:rPr>
        <w:t xml:space="preserve"> </w:t>
      </w:r>
      <w:r>
        <w:t>was</w:t>
      </w:r>
      <w:r>
        <w:rPr>
          <w:spacing w:val="-5"/>
        </w:rPr>
        <w:t xml:space="preserve"> </w:t>
      </w:r>
      <w:r>
        <w:t>made</w:t>
      </w:r>
      <w:r>
        <w:rPr>
          <w:spacing w:val="-5"/>
        </w:rPr>
        <w:t xml:space="preserve"> </w:t>
      </w:r>
      <w:r>
        <w:t>to</w:t>
      </w:r>
      <w:r>
        <w:rPr>
          <w:spacing w:val="-5"/>
        </w:rPr>
        <w:t xml:space="preserve"> </w:t>
      </w:r>
      <w:r>
        <w:t>the</w:t>
      </w:r>
      <w:r>
        <w:rPr>
          <w:spacing w:val="-5"/>
        </w:rPr>
        <w:t xml:space="preserve"> </w:t>
      </w:r>
      <w:r>
        <w:t>initial</w:t>
      </w:r>
      <w:r>
        <w:rPr>
          <w:spacing w:val="-5"/>
        </w:rPr>
        <w:t xml:space="preserve"> </w:t>
      </w:r>
      <w:r>
        <w:t>measures</w:t>
      </w:r>
      <w:r>
        <w:rPr>
          <w:spacing w:val="-5"/>
        </w:rPr>
        <w:t xml:space="preserve"> </w:t>
      </w:r>
      <w:r>
        <w:t>of</w:t>
      </w:r>
      <w:r>
        <w:rPr>
          <w:spacing w:val="-5"/>
        </w:rPr>
        <w:t xml:space="preserve"> </w:t>
      </w:r>
      <w:r>
        <w:t>size</w:t>
      </w:r>
      <w:r>
        <w:rPr>
          <w:spacing w:val="-5"/>
        </w:rPr>
        <w:t xml:space="preserve"> </w:t>
      </w:r>
      <w:r>
        <w:t>in</w:t>
      </w:r>
      <w:r>
        <w:rPr>
          <w:spacing w:val="-5"/>
        </w:rPr>
        <w:t xml:space="preserve"> </w:t>
      </w:r>
      <w:r>
        <w:t>an</w:t>
      </w:r>
      <w:r>
        <w:rPr>
          <w:spacing w:val="-5"/>
        </w:rPr>
        <w:t xml:space="preserve"> </w:t>
      </w:r>
      <w:r>
        <w:t>attempt</w:t>
      </w:r>
      <w:r>
        <w:rPr>
          <w:spacing w:val="-5"/>
        </w:rPr>
        <w:t xml:space="preserve"> </w:t>
      </w:r>
      <w:r>
        <w:t>to</w:t>
      </w:r>
      <w:r>
        <w:rPr>
          <w:spacing w:val="-5"/>
        </w:rPr>
        <w:t xml:space="preserve"> </w:t>
      </w:r>
      <w:r>
        <w:t>ensure</w:t>
      </w:r>
      <w:r>
        <w:rPr>
          <w:spacing w:val="-5"/>
        </w:rPr>
        <w:t xml:space="preserve"> </w:t>
      </w:r>
      <w:r>
        <w:t>the</w:t>
      </w:r>
      <w:r>
        <w:rPr>
          <w:spacing w:val="-5"/>
        </w:rPr>
        <w:t xml:space="preserve"> </w:t>
      </w:r>
      <w:r>
        <w:t>inclusion</w:t>
      </w:r>
      <w:r>
        <w:rPr>
          <w:spacing w:val="-5"/>
        </w:rPr>
        <w:t xml:space="preserve"> </w:t>
      </w:r>
      <w:r>
        <w:t>of</w:t>
      </w:r>
      <w:r>
        <w:rPr>
          <w:spacing w:val="-5"/>
        </w:rPr>
        <w:t xml:space="preserve"> </w:t>
      </w:r>
      <w:r>
        <w:t>all</w:t>
      </w:r>
      <w:r>
        <w:rPr>
          <w:spacing w:val="-5"/>
        </w:rPr>
        <w:t xml:space="preserve"> </w:t>
      </w:r>
      <w:r>
        <w:t>eligible</w:t>
      </w:r>
      <w:r>
        <w:rPr>
          <w:spacing w:val="-5"/>
        </w:rPr>
        <w:t xml:space="preserve"> </w:t>
      </w:r>
      <w:r>
        <w:t>schools</w:t>
      </w:r>
      <w:r>
        <w:rPr>
          <w:spacing w:val="-5"/>
        </w:rPr>
        <w:t xml:space="preserve"> </w:t>
      </w:r>
      <w:r>
        <w:t>that</w:t>
      </w:r>
      <w:r>
        <w:rPr>
          <w:spacing w:val="-5"/>
        </w:rPr>
        <w:t xml:space="preserve"> </w:t>
      </w:r>
      <w:r>
        <w:t>were</w:t>
      </w:r>
      <w:r>
        <w:rPr>
          <w:spacing w:val="-5"/>
        </w:rPr>
        <w:t xml:space="preserve"> </w:t>
      </w:r>
      <w:r>
        <w:t>part of the 2020 public school long-term trend sample for each age.</w:t>
      </w:r>
      <w:r>
        <w:rPr>
          <w:spacing w:val="-3"/>
        </w:rPr>
        <w:t xml:space="preserve"> </w:t>
      </w:r>
      <w:r>
        <w:t>The NAEP</w:t>
      </w:r>
      <w:r>
        <w:rPr>
          <w:spacing w:val="-7"/>
        </w:rPr>
        <w:t xml:space="preserve"> </w:t>
      </w:r>
      <w:r>
        <w:t>sampling procedures used an adaptation of the Keyfitz process to compute conditional measures of size that, by design, maximized the overlap of schools selected for both the 2020 and 2022 long-term trend assessments.</w:t>
      </w:r>
    </w:p>
    <w:p w:rsidR="003F5784" w14:paraId="421E34D5" w14:textId="77777777">
      <w:pPr>
        <w:pStyle w:val="BodyText"/>
        <w:spacing w:before="209" w:line="232" w:lineRule="auto"/>
        <w:ind w:left="109" w:right="622"/>
      </w:pPr>
      <w:r>
        <w:t>Schools</w:t>
      </w:r>
      <w:r>
        <w:rPr>
          <w:spacing w:val="-12"/>
        </w:rPr>
        <w:t xml:space="preserve"> </w:t>
      </w:r>
      <w:r>
        <w:t>were</w:t>
      </w:r>
      <w:r>
        <w:rPr>
          <w:spacing w:val="-6"/>
        </w:rPr>
        <w:t xml:space="preserve"> </w:t>
      </w:r>
      <w:r>
        <w:t>ordered</w:t>
      </w:r>
      <w:r>
        <w:rPr>
          <w:spacing w:val="-6"/>
        </w:rPr>
        <w:t xml:space="preserve"> </w:t>
      </w:r>
      <w:r>
        <w:t>within</w:t>
      </w:r>
      <w:r>
        <w:rPr>
          <w:spacing w:val="-6"/>
        </w:rPr>
        <w:t xml:space="preserve"> </w:t>
      </w:r>
      <w:r>
        <w:t>each</w:t>
      </w:r>
      <w:r>
        <w:rPr>
          <w:spacing w:val="-6"/>
        </w:rPr>
        <w:t xml:space="preserve"> </w:t>
      </w:r>
      <w:r>
        <w:t>jurisdiction</w:t>
      </w:r>
      <w:r>
        <w:rPr>
          <w:spacing w:val="-6"/>
        </w:rPr>
        <w:t xml:space="preserve"> </w:t>
      </w:r>
      <w:r>
        <w:t>using</w:t>
      </w:r>
      <w:r>
        <w:rPr>
          <w:spacing w:val="-6"/>
        </w:rPr>
        <w:t xml:space="preserve"> </w:t>
      </w:r>
      <w:r>
        <w:t>the</w:t>
      </w:r>
      <w:r>
        <w:rPr>
          <w:spacing w:val="-6"/>
        </w:rPr>
        <w:t xml:space="preserve"> </w:t>
      </w:r>
      <w:r>
        <w:t>serpentine</w:t>
      </w:r>
      <w:r>
        <w:rPr>
          <w:spacing w:val="-6"/>
        </w:rPr>
        <w:t xml:space="preserve"> </w:t>
      </w:r>
      <w:r>
        <w:t>sort</w:t>
      </w:r>
      <w:r>
        <w:rPr>
          <w:spacing w:val="-6"/>
        </w:rPr>
        <w:t xml:space="preserve"> </w:t>
      </w:r>
      <w:r>
        <w:t>described</w:t>
      </w:r>
      <w:r>
        <w:rPr>
          <w:spacing w:val="-6"/>
        </w:rPr>
        <w:t xml:space="preserve"> </w:t>
      </w:r>
      <w:r>
        <w:t>under</w:t>
      </w:r>
      <w:r>
        <w:rPr>
          <w:spacing w:val="-6"/>
        </w:rPr>
        <w:t xml:space="preserve"> </w:t>
      </w:r>
      <w:r>
        <w:t>the</w:t>
      </w:r>
      <w:r>
        <w:rPr>
          <w:spacing w:val="-6"/>
        </w:rPr>
        <w:t xml:space="preserve"> </w:t>
      </w:r>
      <w:r>
        <w:t>stratification</w:t>
      </w:r>
      <w:r>
        <w:rPr>
          <w:spacing w:val="-6"/>
        </w:rPr>
        <w:t xml:space="preserve"> </w:t>
      </w:r>
      <w:r>
        <w:t>of</w:t>
      </w:r>
      <w:r>
        <w:rPr>
          <w:spacing w:val="-6"/>
        </w:rPr>
        <w:t xml:space="preserve"> </w:t>
      </w:r>
      <w:r>
        <w:t>public</w:t>
      </w:r>
      <w:r>
        <w:rPr>
          <w:spacing w:val="-6"/>
        </w:rPr>
        <w:t xml:space="preserve"> </w:t>
      </w:r>
      <w:r>
        <w:t>schools.</w:t>
      </w:r>
      <w:r>
        <w:rPr>
          <w:spacing w:val="-14"/>
        </w:rPr>
        <w:t xml:space="preserve"> </w:t>
      </w:r>
      <w:r>
        <w:t>A</w:t>
      </w:r>
      <w:r>
        <w:rPr>
          <w:spacing w:val="-13"/>
        </w:rPr>
        <w:t xml:space="preserve"> </w:t>
      </w:r>
      <w:r>
        <w:t>systematic</w:t>
      </w:r>
      <w:r>
        <w:rPr>
          <w:spacing w:val="-6"/>
        </w:rPr>
        <w:t xml:space="preserve"> </w:t>
      </w:r>
      <w:r>
        <w:t>sample</w:t>
      </w:r>
      <w:r>
        <w:rPr>
          <w:spacing w:val="-6"/>
        </w:rPr>
        <w:t xml:space="preserve"> </w:t>
      </w:r>
      <w:r>
        <w:t>was</w:t>
      </w:r>
      <w:r>
        <w:rPr>
          <w:spacing w:val="-6"/>
        </w:rPr>
        <w:t xml:space="preserve"> </w:t>
      </w:r>
      <w:r>
        <w:t>then</w:t>
      </w:r>
      <w:r>
        <w:rPr>
          <w:spacing w:val="-6"/>
        </w:rPr>
        <w:t xml:space="preserve"> </w:t>
      </w:r>
      <w:r>
        <w:t>drawn</w:t>
      </w:r>
      <w:r>
        <w:rPr>
          <w:spacing w:val="-6"/>
        </w:rPr>
        <w:t xml:space="preserve"> </w:t>
      </w:r>
      <w:r>
        <w:t>using</w:t>
      </w:r>
      <w:r>
        <w:rPr>
          <w:spacing w:val="-6"/>
        </w:rPr>
        <w:t xml:space="preserve"> </w:t>
      </w:r>
      <w:r>
        <w:t>this serpentine-sorted list and the measures of size.</w:t>
      </w:r>
      <w:r>
        <w:rPr>
          <w:spacing w:val="-2"/>
        </w:rPr>
        <w:t xml:space="preserve"> </w:t>
      </w:r>
      <w:r>
        <w:t>The numbers of public schools selected were approximately 410 for age 9 and 480 for age 13.</w:t>
      </w:r>
    </w:p>
    <w:p w:rsidR="003F5784" w14:paraId="1BDDA327" w14:textId="77777777">
      <w:pPr>
        <w:pStyle w:val="BodyText"/>
      </w:pPr>
    </w:p>
    <w:p w:rsidR="003F5784" w14:paraId="20C8C57E" w14:textId="77777777">
      <w:pPr>
        <w:pStyle w:val="BodyText"/>
      </w:pPr>
    </w:p>
    <w:p w:rsidR="003F5784" w14:paraId="514D40B3" w14:textId="77777777">
      <w:pPr>
        <w:pStyle w:val="BodyText"/>
        <w:spacing w:before="146"/>
      </w:pPr>
    </w:p>
    <w:p w:rsidR="003F5784" w14:paraId="1BB7E946" w14:textId="77777777">
      <w:pPr>
        <w:ind w:left="4217"/>
        <w:rPr>
          <w:sz w:val="18"/>
        </w:rPr>
      </w:pPr>
      <w:hyperlink r:id="rId170">
        <w:r>
          <w:rPr>
            <w:spacing w:val="-2"/>
            <w:w w:val="105"/>
            <w:sz w:val="18"/>
          </w:rPr>
          <w:t>http://nces.ed.gov/nationsreportcard/tdw/sample_design/2022/sampling_of_public_schools_for_the_2022_long_term_trend_assessment.aspx</w:t>
        </w:r>
      </w:hyperlink>
    </w:p>
    <w:p w:rsidR="003F5784" w14:paraId="797CD886" w14:textId="77777777">
      <w:pPr>
        <w:pStyle w:val="BodyText"/>
        <w:rPr>
          <w:sz w:val="16"/>
        </w:rPr>
      </w:pPr>
      <w:r>
        <w:rPr>
          <w:noProof/>
        </w:rPr>
        <mc:AlternateContent>
          <mc:Choice Requires="wps">
            <w:drawing>
              <wp:anchor distT="0" distB="0" distL="0" distR="0" simplePos="0" relativeHeight="251862016" behindDoc="1" locked="0" layoutInCell="1" allowOverlap="1">
                <wp:simplePos x="0" y="0"/>
                <wp:positionH relativeFrom="page">
                  <wp:posOffset>361937</wp:posOffset>
                </wp:positionH>
                <wp:positionV relativeFrom="paragraph">
                  <wp:posOffset>132561</wp:posOffset>
                </wp:positionV>
                <wp:extent cx="9339580" cy="8890"/>
                <wp:effectExtent l="0" t="0" r="0" b="0"/>
                <wp:wrapTopAndBottom/>
                <wp:docPr id="196" name="Graphic 19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96" o:spid="_x0000_s1101" style="width:735.4pt;height:0.7pt;margin-top:10.45pt;margin-left:28.5pt;mso-position-horizontal-relative:page;mso-wrap-distance-bottom:0;mso-wrap-distance-left:0;mso-wrap-distance-right:0;mso-wrap-distance-top:0;mso-wrap-style:square;position:absolute;visibility:visible;v-text-anchor:top;z-index:-251453440" coordsize="9339580,8890" path="m9338970,l9335110,l,,,8280l8280,8280l9335110,8280l9338970,8280l9338970,xe" fillcolor="gray" stroked="f">
                <v:path arrowok="t"/>
                <w10:wrap type="topAndBottom"/>
              </v:shape>
            </w:pict>
          </mc:Fallback>
        </mc:AlternateContent>
      </w:r>
    </w:p>
    <w:p w:rsidR="003F5784" w14:paraId="458B926D" w14:textId="77777777">
      <w:pPr>
        <w:pStyle w:val="BodyText"/>
        <w:rPr>
          <w:sz w:val="18"/>
        </w:rPr>
      </w:pPr>
    </w:p>
    <w:p w:rsidR="003F5784" w14:paraId="167D4248" w14:textId="77777777">
      <w:pPr>
        <w:pStyle w:val="BodyText"/>
        <w:spacing w:before="193"/>
        <w:rPr>
          <w:sz w:val="18"/>
        </w:rPr>
      </w:pPr>
    </w:p>
    <w:p w:rsidR="003F5784" w14:paraId="5E648019" w14:textId="323BCF63">
      <w:pPr>
        <w:pStyle w:val="Heading1"/>
        <w:spacing w:line="244" w:lineRule="auto"/>
      </w:pPr>
      <w:r>
        <w:t>NAEP</w:t>
      </w:r>
      <w:r>
        <w:rPr>
          <w:spacing w:val="-16"/>
        </w:rPr>
        <w:t xml:space="preserve"> </w:t>
      </w:r>
      <w:r>
        <w:t>Technical Documentation</w:t>
      </w:r>
      <w:r w:rsidR="00FB7295">
        <w:t xml:space="preserve"> </w:t>
      </w:r>
      <w:r>
        <w:t>Stratification of Public Schools for the 2022 Long- Term Trend Assessment</w:t>
      </w:r>
    </w:p>
    <w:p w:rsidR="003F5784" w14:paraId="509324E9" w14:textId="77777777">
      <w:pPr>
        <w:pStyle w:val="BodyText"/>
        <w:spacing w:before="287" w:line="232" w:lineRule="auto"/>
        <w:ind w:left="109"/>
      </w:pPr>
      <w:r>
        <w:t>For</w:t>
      </w:r>
      <w:r>
        <w:rPr>
          <w:spacing w:val="-5"/>
        </w:rPr>
        <w:t xml:space="preserve"> </w:t>
      </w:r>
      <w:r>
        <w:t>the</w:t>
      </w:r>
      <w:r>
        <w:rPr>
          <w:spacing w:val="-5"/>
        </w:rPr>
        <w:t xml:space="preserve"> </w:t>
      </w:r>
      <w:r>
        <w:t>public</w:t>
      </w:r>
      <w:r>
        <w:rPr>
          <w:spacing w:val="-5"/>
        </w:rPr>
        <w:t xml:space="preserve"> </w:t>
      </w:r>
      <w:r>
        <w:t>school</w:t>
      </w:r>
      <w:r>
        <w:rPr>
          <w:spacing w:val="-5"/>
        </w:rPr>
        <w:t xml:space="preserve"> </w:t>
      </w:r>
      <w:r>
        <w:t>sampling</w:t>
      </w:r>
      <w:r>
        <w:rPr>
          <w:spacing w:val="-5"/>
        </w:rPr>
        <w:t xml:space="preserve"> </w:t>
      </w:r>
      <w:r>
        <w:t>frame</w:t>
      </w:r>
      <w:r>
        <w:rPr>
          <w:spacing w:val="-5"/>
        </w:rPr>
        <w:t xml:space="preserve"> </w:t>
      </w:r>
      <w:r>
        <w:t>file</w:t>
      </w:r>
      <w:r>
        <w:rPr>
          <w:spacing w:val="-5"/>
        </w:rPr>
        <w:t xml:space="preserve"> </w:t>
      </w:r>
      <w:r>
        <w:t>for</w:t>
      </w:r>
      <w:r>
        <w:rPr>
          <w:spacing w:val="-5"/>
        </w:rPr>
        <w:t xml:space="preserve"> </w:t>
      </w:r>
      <w:r>
        <w:t>each</w:t>
      </w:r>
      <w:r>
        <w:rPr>
          <w:spacing w:val="-5"/>
        </w:rPr>
        <w:t xml:space="preserve"> </w:t>
      </w:r>
      <w:r>
        <w:t>of</w:t>
      </w:r>
      <w:r>
        <w:rPr>
          <w:spacing w:val="-5"/>
        </w:rPr>
        <w:t xml:space="preserve"> </w:t>
      </w:r>
      <w:r>
        <w:t>the</w:t>
      </w:r>
      <w:r>
        <w:rPr>
          <w:spacing w:val="-5"/>
        </w:rPr>
        <w:t xml:space="preserve"> </w:t>
      </w:r>
      <w:r>
        <w:t>ages</w:t>
      </w:r>
      <w:r>
        <w:rPr>
          <w:spacing w:val="-5"/>
        </w:rPr>
        <w:t xml:space="preserve"> </w:t>
      </w:r>
      <w:r>
        <w:t>9</w:t>
      </w:r>
      <w:r>
        <w:rPr>
          <w:spacing w:val="-5"/>
        </w:rPr>
        <w:t xml:space="preserve"> </w:t>
      </w:r>
      <w:r>
        <w:t>and</w:t>
      </w:r>
      <w:r>
        <w:rPr>
          <w:spacing w:val="-5"/>
        </w:rPr>
        <w:t xml:space="preserve"> </w:t>
      </w:r>
      <w:r>
        <w:t>13,</w:t>
      </w:r>
      <w:r>
        <w:rPr>
          <w:spacing w:val="-5"/>
        </w:rPr>
        <w:t xml:space="preserve"> </w:t>
      </w:r>
      <w:r>
        <w:t>separate</w:t>
      </w:r>
      <w:r>
        <w:rPr>
          <w:spacing w:val="-5"/>
        </w:rPr>
        <w:t xml:space="preserve"> </w:t>
      </w:r>
      <w:r>
        <w:t>implicit</w:t>
      </w:r>
      <w:r>
        <w:rPr>
          <w:spacing w:val="-5"/>
        </w:rPr>
        <w:t xml:space="preserve"> </w:t>
      </w:r>
      <w:r>
        <w:t>stratification</w:t>
      </w:r>
      <w:r>
        <w:rPr>
          <w:spacing w:val="-5"/>
        </w:rPr>
        <w:t xml:space="preserve"> </w:t>
      </w:r>
      <w:r>
        <w:t>schemes</w:t>
      </w:r>
      <w:r>
        <w:rPr>
          <w:spacing w:val="-5"/>
        </w:rPr>
        <w:t xml:space="preserve"> </w:t>
      </w:r>
      <w:r>
        <w:t>were</w:t>
      </w:r>
      <w:r>
        <w:rPr>
          <w:spacing w:val="-5"/>
        </w:rPr>
        <w:t xml:space="preserve"> </w:t>
      </w:r>
      <w:r>
        <w:t>used</w:t>
      </w:r>
      <w:r>
        <w:rPr>
          <w:spacing w:val="-5"/>
        </w:rPr>
        <w:t xml:space="preserve"> </w:t>
      </w:r>
      <w:r>
        <w:t>to</w:t>
      </w:r>
      <w:r>
        <w:rPr>
          <w:spacing w:val="-5"/>
        </w:rPr>
        <w:t xml:space="preserve"> </w:t>
      </w:r>
      <w:r>
        <w:t>sort</w:t>
      </w:r>
      <w:r>
        <w:rPr>
          <w:spacing w:val="-5"/>
        </w:rPr>
        <w:t xml:space="preserve"> </w:t>
      </w:r>
      <w:r>
        <w:t>schools</w:t>
      </w:r>
      <w:r>
        <w:rPr>
          <w:spacing w:val="-5"/>
        </w:rPr>
        <w:t xml:space="preserve"> </w:t>
      </w:r>
      <w:r>
        <w:t>in</w:t>
      </w:r>
      <w:r>
        <w:rPr>
          <w:spacing w:val="-5"/>
        </w:rPr>
        <w:t xml:space="preserve"> </w:t>
      </w:r>
      <w:r>
        <w:t>certainty</w:t>
      </w:r>
      <w:r>
        <w:rPr>
          <w:spacing w:val="-5"/>
        </w:rPr>
        <w:t xml:space="preserve"> </w:t>
      </w:r>
      <w:r>
        <w:t>primary</w:t>
      </w:r>
      <w:r>
        <w:rPr>
          <w:spacing w:val="-5"/>
        </w:rPr>
        <w:t xml:space="preserve"> </w:t>
      </w:r>
      <w:r>
        <w:t>sampling</w:t>
      </w:r>
      <w:r>
        <w:rPr>
          <w:spacing w:val="-5"/>
        </w:rPr>
        <w:t xml:space="preserve"> </w:t>
      </w:r>
      <w:r>
        <w:t>units (PSUs) and noncertainty PSUs. The implicit stratification was achieved via a "serpentine sort."</w:t>
      </w:r>
    </w:p>
    <w:p w:rsidR="003F5784" w14:paraId="37FBD2B7" w14:textId="77777777">
      <w:pPr>
        <w:pStyle w:val="BodyText"/>
        <w:spacing w:before="5" w:line="440" w:lineRule="atLeast"/>
        <w:ind w:left="422" w:right="9726" w:hanging="313"/>
      </w:pPr>
      <w:r>
        <w:t>For</w:t>
      </w:r>
      <w:r>
        <w:rPr>
          <w:spacing w:val="-10"/>
        </w:rPr>
        <w:t xml:space="preserve"> </w:t>
      </w:r>
      <w:r>
        <w:t>certainty</w:t>
      </w:r>
      <w:r>
        <w:rPr>
          <w:spacing w:val="-10"/>
        </w:rPr>
        <w:t xml:space="preserve"> </w:t>
      </w:r>
      <w:r>
        <w:t>PSUs,</w:t>
      </w:r>
      <w:r>
        <w:rPr>
          <w:spacing w:val="-10"/>
        </w:rPr>
        <w:t xml:space="preserve"> </w:t>
      </w:r>
      <w:r>
        <w:t>the</w:t>
      </w:r>
      <w:r>
        <w:rPr>
          <w:spacing w:val="-10"/>
        </w:rPr>
        <w:t xml:space="preserve"> </w:t>
      </w:r>
      <w:r>
        <w:t>schools</w:t>
      </w:r>
      <w:r>
        <w:rPr>
          <w:spacing w:val="-10"/>
        </w:rPr>
        <w:t xml:space="preserve"> </w:t>
      </w:r>
      <w:r>
        <w:t>were</w:t>
      </w:r>
      <w:r>
        <w:rPr>
          <w:spacing w:val="-10"/>
        </w:rPr>
        <w:t xml:space="preserve"> </w:t>
      </w:r>
      <w:r>
        <w:t>hierarchically</w:t>
      </w:r>
      <w:r>
        <w:rPr>
          <w:spacing w:val="-10"/>
        </w:rPr>
        <w:t xml:space="preserve"> </w:t>
      </w:r>
      <w:r>
        <w:t>sorted</w:t>
      </w:r>
      <w:r>
        <w:rPr>
          <w:spacing w:val="-10"/>
        </w:rPr>
        <w:t xml:space="preserve"> </w:t>
      </w:r>
      <w:r>
        <w:t xml:space="preserve">by </w:t>
      </w:r>
      <w:r>
        <w:rPr>
          <w:noProof/>
          <w:position w:val="3"/>
        </w:rPr>
        <w:drawing>
          <wp:inline distT="0" distB="0" distL="0" distR="0">
            <wp:extent cx="41379" cy="41378"/>
            <wp:effectExtent l="0" t="0" r="0" b="0"/>
            <wp:docPr id="197" name="Image 197"/>
            <wp:cNvGraphicFramePr/>
            <a:graphic xmlns:a="http://schemas.openxmlformats.org/drawingml/2006/main">
              <a:graphicData uri="http://schemas.openxmlformats.org/drawingml/2006/picture">
                <pic:pic xmlns:pic="http://schemas.openxmlformats.org/drawingml/2006/picture">
                  <pic:nvPicPr>
                    <pic:cNvPr id="197" name="Image 197"/>
                    <pic:cNvPicPr/>
                  </pic:nvPicPr>
                  <pic:blipFill>
                    <a:blip xmlns:r="http://schemas.openxmlformats.org/officeDocument/2006/relationships" r:embed="rId171" cstate="print"/>
                    <a:stretch>
                      <a:fillRect/>
                    </a:stretch>
                  </pic:blipFill>
                  <pic:spPr>
                    <a:xfrm>
                      <a:off x="0" y="0"/>
                      <a:ext cx="41379" cy="41378"/>
                    </a:xfrm>
                    <a:prstGeom prst="rect">
                      <a:avLst/>
                    </a:prstGeom>
                  </pic:spPr>
                </pic:pic>
              </a:graphicData>
            </a:graphic>
          </wp:inline>
        </w:drawing>
      </w:r>
      <w:r>
        <w:rPr>
          <w:spacing w:val="80"/>
        </w:rPr>
        <w:t xml:space="preserve"> </w:t>
      </w:r>
      <w:r>
        <w:t>census region;</w:t>
      </w:r>
    </w:p>
    <w:p w:rsidR="003F5784" w14:paraId="52CF88AD" w14:textId="77777777">
      <w:pPr>
        <w:pStyle w:val="BodyText"/>
        <w:spacing w:before="2" w:line="232" w:lineRule="auto"/>
        <w:ind w:left="422" w:right="5424"/>
      </w:pPr>
      <w:r>
        <w:rPr>
          <w:noProof/>
          <w:position w:val="3"/>
        </w:rPr>
        <w:drawing>
          <wp:inline distT="0" distB="0" distL="0" distR="0">
            <wp:extent cx="41379" cy="41378"/>
            <wp:effectExtent l="0" t="0" r="0" b="0"/>
            <wp:docPr id="198" name="Image 198"/>
            <wp:cNvGraphicFramePr/>
            <a:graphic xmlns:a="http://schemas.openxmlformats.org/drawingml/2006/main">
              <a:graphicData uri="http://schemas.openxmlformats.org/drawingml/2006/picture">
                <pic:pic xmlns:pic="http://schemas.openxmlformats.org/drawingml/2006/picture">
                  <pic:nvPicPr>
                    <pic:cNvPr id="198" name="Image 198"/>
                    <pic:cNvPicPr/>
                  </pic:nvPicPr>
                  <pic:blipFill>
                    <a:blip xmlns:r="http://schemas.openxmlformats.org/officeDocument/2006/relationships" r:embed="rId172" cstate="print"/>
                    <a:stretch>
                      <a:fillRect/>
                    </a:stretch>
                  </pic:blipFill>
                  <pic:spPr>
                    <a:xfrm>
                      <a:off x="0" y="0"/>
                      <a:ext cx="41379" cy="41378"/>
                    </a:xfrm>
                    <a:prstGeom prst="rect">
                      <a:avLst/>
                    </a:prstGeom>
                  </pic:spPr>
                </pic:pic>
              </a:graphicData>
            </a:graphic>
          </wp:inline>
        </w:drawing>
      </w:r>
      <w:r>
        <w:rPr>
          <w:spacing w:val="72"/>
          <w:sz w:val="20"/>
        </w:rPr>
        <w:t xml:space="preserve"> </w:t>
      </w:r>
      <w:r>
        <w:t>American</w:t>
      </w:r>
      <w:r>
        <w:rPr>
          <w:spacing w:val="-8"/>
        </w:rPr>
        <w:t xml:space="preserve"> </w:t>
      </w:r>
      <w:r>
        <w:t>Indian/Alaska</w:t>
      </w:r>
      <w:r>
        <w:rPr>
          <w:spacing w:val="-8"/>
        </w:rPr>
        <w:t xml:space="preserve"> </w:t>
      </w:r>
      <w:r>
        <w:t>Native</w:t>
      </w:r>
      <w:r>
        <w:rPr>
          <w:spacing w:val="-8"/>
        </w:rPr>
        <w:t xml:space="preserve"> </w:t>
      </w:r>
      <w:r>
        <w:t>(AI/AN)</w:t>
      </w:r>
      <w:r>
        <w:rPr>
          <w:spacing w:val="-8"/>
        </w:rPr>
        <w:t xml:space="preserve"> </w:t>
      </w:r>
      <w:r>
        <w:t>stratum</w:t>
      </w:r>
      <w:r>
        <w:rPr>
          <w:spacing w:val="-8"/>
        </w:rPr>
        <w:t xml:space="preserve"> </w:t>
      </w:r>
      <w:r>
        <w:t>(two</w:t>
      </w:r>
      <w:r>
        <w:rPr>
          <w:spacing w:val="-8"/>
        </w:rPr>
        <w:t xml:space="preserve"> </w:t>
      </w:r>
      <w:r>
        <w:t>categories</w:t>
      </w:r>
      <w:r>
        <w:rPr>
          <w:spacing w:val="-8"/>
        </w:rPr>
        <w:t xml:space="preserve"> </w:t>
      </w:r>
      <w:r>
        <w:t>based</w:t>
      </w:r>
      <w:r>
        <w:rPr>
          <w:spacing w:val="-8"/>
        </w:rPr>
        <w:t xml:space="preserve"> </w:t>
      </w:r>
      <w:r>
        <w:t>on</w:t>
      </w:r>
      <w:r>
        <w:rPr>
          <w:spacing w:val="-8"/>
        </w:rPr>
        <w:t xml:space="preserve"> </w:t>
      </w:r>
      <w:r>
        <w:t>percentage</w:t>
      </w:r>
      <w:r>
        <w:rPr>
          <w:spacing w:val="-8"/>
        </w:rPr>
        <w:t xml:space="preserve"> </w:t>
      </w:r>
      <w:r>
        <w:t>of</w:t>
      </w:r>
      <w:r>
        <w:rPr>
          <w:spacing w:val="-14"/>
        </w:rPr>
        <w:t xml:space="preserve"> </w:t>
      </w:r>
      <w:r>
        <w:t>AI/AN</w:t>
      </w:r>
      <w:r>
        <w:rPr>
          <w:spacing w:val="-7"/>
        </w:rPr>
        <w:t xml:space="preserve"> </w:t>
      </w:r>
      <w:r>
        <w:t xml:space="preserve">students); </w:t>
      </w:r>
      <w:r>
        <w:rPr>
          <w:noProof/>
          <w:position w:val="3"/>
        </w:rPr>
        <w:drawing>
          <wp:inline distT="0" distB="0" distL="0" distR="0">
            <wp:extent cx="41379" cy="41378"/>
            <wp:effectExtent l="0" t="0" r="0" b="0"/>
            <wp:docPr id="199" name="Image 199"/>
            <wp:cNvGraphicFramePr/>
            <a:graphic xmlns:a="http://schemas.openxmlformats.org/drawingml/2006/main">
              <a:graphicData uri="http://schemas.openxmlformats.org/drawingml/2006/picture">
                <pic:pic xmlns:pic="http://schemas.openxmlformats.org/drawingml/2006/picture">
                  <pic:nvPicPr>
                    <pic:cNvPr id="199" name="Image 199"/>
                    <pic:cNvPicPr/>
                  </pic:nvPicPr>
                  <pic:blipFill>
                    <a:blip xmlns:r="http://schemas.openxmlformats.org/officeDocument/2006/relationships" r:embed="rId173" cstate="print"/>
                    <a:stretch>
                      <a:fillRect/>
                    </a:stretch>
                  </pic:blipFill>
                  <pic:spPr>
                    <a:xfrm>
                      <a:off x="0" y="0"/>
                      <a:ext cx="41379" cy="41378"/>
                    </a:xfrm>
                    <a:prstGeom prst="rect">
                      <a:avLst/>
                    </a:prstGeom>
                  </pic:spPr>
                </pic:pic>
              </a:graphicData>
            </a:graphic>
          </wp:inline>
        </w:drawing>
      </w:r>
      <w:r>
        <w:rPr>
          <w:spacing w:val="80"/>
        </w:rPr>
        <w:t xml:space="preserve"> </w:t>
      </w:r>
      <w:r>
        <w:t>urbanization classification (four categories based on urban-centric locale);</w:t>
      </w:r>
    </w:p>
    <w:p w:rsidR="003F5784" w14:paraId="7EBB38A6" w14:textId="77777777">
      <w:pPr>
        <w:pStyle w:val="BodyText"/>
        <w:spacing w:before="1" w:line="232" w:lineRule="auto"/>
        <w:ind w:left="422" w:right="12079"/>
      </w:pPr>
      <w:r>
        <w:rPr>
          <w:noProof/>
          <w:position w:val="3"/>
        </w:rPr>
        <w:drawing>
          <wp:inline distT="0" distB="0" distL="0" distR="0">
            <wp:extent cx="41379" cy="41378"/>
            <wp:effectExtent l="0" t="0" r="0" b="0"/>
            <wp:docPr id="200" name="Image 200"/>
            <wp:cNvGraphicFramePr/>
            <a:graphic xmlns:a="http://schemas.openxmlformats.org/drawingml/2006/main">
              <a:graphicData uri="http://schemas.openxmlformats.org/drawingml/2006/picture">
                <pic:pic xmlns:pic="http://schemas.openxmlformats.org/drawingml/2006/picture">
                  <pic:nvPicPr>
                    <pic:cNvPr id="200" name="Image 200"/>
                    <pic:cNvPicPr/>
                  </pic:nvPicPr>
                  <pic:blipFill>
                    <a:blip xmlns:r="http://schemas.openxmlformats.org/officeDocument/2006/relationships" r:embed="rId174" cstate="print"/>
                    <a:stretch>
                      <a:fillRect/>
                    </a:stretch>
                  </pic:blipFill>
                  <pic:spPr>
                    <a:xfrm>
                      <a:off x="0" y="0"/>
                      <a:ext cx="41379" cy="41378"/>
                    </a:xfrm>
                    <a:prstGeom prst="rect">
                      <a:avLst/>
                    </a:prstGeom>
                  </pic:spPr>
                </pic:pic>
              </a:graphicData>
            </a:graphic>
          </wp:inline>
        </w:drawing>
      </w:r>
      <w:r>
        <w:rPr>
          <w:spacing w:val="63"/>
          <w:sz w:val="20"/>
        </w:rPr>
        <w:t xml:space="preserve"> </w:t>
      </w:r>
      <w:r>
        <w:t>race/ethnicity</w:t>
      </w:r>
      <w:r>
        <w:rPr>
          <w:spacing w:val="-12"/>
        </w:rPr>
        <w:t xml:space="preserve"> </w:t>
      </w:r>
      <w:r>
        <w:t>stratum;</w:t>
      </w:r>
      <w:r>
        <w:rPr>
          <w:spacing w:val="-12"/>
        </w:rPr>
        <w:t xml:space="preserve"> </w:t>
      </w:r>
      <w:r>
        <w:t xml:space="preserve">and </w:t>
      </w:r>
      <w:r>
        <w:rPr>
          <w:noProof/>
          <w:position w:val="3"/>
        </w:rPr>
        <w:drawing>
          <wp:inline distT="0" distB="0" distL="0" distR="0">
            <wp:extent cx="41379" cy="41378"/>
            <wp:effectExtent l="0" t="0" r="0" b="0"/>
            <wp:docPr id="201" name="Image 201"/>
            <wp:cNvGraphicFramePr/>
            <a:graphic xmlns:a="http://schemas.openxmlformats.org/drawingml/2006/main">
              <a:graphicData uri="http://schemas.openxmlformats.org/drawingml/2006/picture">
                <pic:pic xmlns:pic="http://schemas.openxmlformats.org/drawingml/2006/picture">
                  <pic:nvPicPr>
                    <pic:cNvPr id="201" name="Image 201"/>
                    <pic:cNvPicPr/>
                  </pic:nvPicPr>
                  <pic:blipFill>
                    <a:blip xmlns:r="http://schemas.openxmlformats.org/officeDocument/2006/relationships" r:embed="rId175" cstate="print"/>
                    <a:stretch>
                      <a:fillRect/>
                    </a:stretch>
                  </pic:blipFill>
                  <pic:spPr>
                    <a:xfrm>
                      <a:off x="0" y="0"/>
                      <a:ext cx="41379" cy="41378"/>
                    </a:xfrm>
                    <a:prstGeom prst="rect">
                      <a:avLst/>
                    </a:prstGeom>
                  </pic:spPr>
                </pic:pic>
              </a:graphicData>
            </a:graphic>
          </wp:inline>
        </w:drawing>
      </w:r>
      <w:r>
        <w:rPr>
          <w:spacing w:val="80"/>
        </w:rPr>
        <w:t xml:space="preserve"> </w:t>
      </w:r>
      <w:r>
        <w:t>race/ethnicity percentage.</w:t>
      </w:r>
    </w:p>
    <w:p w:rsidR="003F5784" w14:paraId="6F793668" w14:textId="77777777">
      <w:pPr>
        <w:pStyle w:val="BodyText"/>
        <w:spacing w:before="209" w:line="232" w:lineRule="auto"/>
        <w:ind w:left="109" w:right="1133"/>
      </w:pPr>
      <w:r>
        <w:t>The</w:t>
      </w:r>
      <w:r>
        <w:rPr>
          <w:spacing w:val="-12"/>
        </w:rPr>
        <w:t xml:space="preserve"> </w:t>
      </w:r>
      <w:r>
        <w:t>two</w:t>
      </w:r>
      <w:r>
        <w:rPr>
          <w:spacing w:val="-6"/>
        </w:rPr>
        <w:t xml:space="preserve"> </w:t>
      </w:r>
      <w:r>
        <w:t>categories</w:t>
      </w:r>
      <w:r>
        <w:rPr>
          <w:spacing w:val="-6"/>
        </w:rPr>
        <w:t xml:space="preserve"> </w:t>
      </w:r>
      <w:r>
        <w:t>within</w:t>
      </w:r>
      <w:r>
        <w:rPr>
          <w:spacing w:val="-6"/>
        </w:rPr>
        <w:t xml:space="preserve"> </w:t>
      </w:r>
      <w:r>
        <w:t>the</w:t>
      </w:r>
      <w:r>
        <w:rPr>
          <w:spacing w:val="-14"/>
        </w:rPr>
        <w:t xml:space="preserve"> </w:t>
      </w:r>
      <w:r>
        <w:t>AI/AN</w:t>
      </w:r>
      <w:r>
        <w:rPr>
          <w:spacing w:val="-5"/>
        </w:rPr>
        <w:t xml:space="preserve"> </w:t>
      </w:r>
      <w:r>
        <w:t>stratum</w:t>
      </w:r>
      <w:r>
        <w:rPr>
          <w:spacing w:val="-6"/>
        </w:rPr>
        <w:t xml:space="preserve"> </w:t>
      </w:r>
      <w:r>
        <w:t>were</w:t>
      </w:r>
      <w:r>
        <w:rPr>
          <w:spacing w:val="-6"/>
        </w:rPr>
        <w:t xml:space="preserve"> </w:t>
      </w:r>
      <w:r>
        <w:t>defined</w:t>
      </w:r>
      <w:r>
        <w:rPr>
          <w:spacing w:val="-6"/>
        </w:rPr>
        <w:t xml:space="preserve"> </w:t>
      </w:r>
      <w:r>
        <w:t>as</w:t>
      </w:r>
      <w:r>
        <w:rPr>
          <w:spacing w:val="-6"/>
        </w:rPr>
        <w:t xml:space="preserve"> </w:t>
      </w:r>
      <w:r>
        <w:t>follows.</w:t>
      </w:r>
      <w:r>
        <w:rPr>
          <w:spacing w:val="-6"/>
        </w:rPr>
        <w:t xml:space="preserve"> </w:t>
      </w:r>
      <w:r>
        <w:t>High</w:t>
      </w:r>
      <w:r>
        <w:rPr>
          <w:spacing w:val="-14"/>
        </w:rPr>
        <w:t xml:space="preserve"> </w:t>
      </w:r>
      <w:r>
        <w:t>AI/AN</w:t>
      </w:r>
      <w:r>
        <w:rPr>
          <w:spacing w:val="-5"/>
        </w:rPr>
        <w:t xml:space="preserve"> </w:t>
      </w:r>
      <w:r>
        <w:t>schools</w:t>
      </w:r>
      <w:r>
        <w:rPr>
          <w:spacing w:val="-6"/>
        </w:rPr>
        <w:t xml:space="preserve"> </w:t>
      </w:r>
      <w:r>
        <w:t>were</w:t>
      </w:r>
      <w:r>
        <w:rPr>
          <w:spacing w:val="-6"/>
        </w:rPr>
        <w:t xml:space="preserve"> </w:t>
      </w:r>
      <w:r>
        <w:t>schools</w:t>
      </w:r>
      <w:r>
        <w:rPr>
          <w:spacing w:val="-6"/>
        </w:rPr>
        <w:t xml:space="preserve"> </w:t>
      </w:r>
      <w:r>
        <w:t>with</w:t>
      </w:r>
      <w:r>
        <w:rPr>
          <w:spacing w:val="-6"/>
        </w:rPr>
        <w:t xml:space="preserve"> </w:t>
      </w:r>
      <w:r>
        <w:t>at</w:t>
      </w:r>
      <w:r>
        <w:rPr>
          <w:spacing w:val="-6"/>
        </w:rPr>
        <w:t xml:space="preserve"> </w:t>
      </w:r>
      <w:r>
        <w:t>least</w:t>
      </w:r>
      <w:r>
        <w:rPr>
          <w:spacing w:val="-6"/>
        </w:rPr>
        <w:t xml:space="preserve"> </w:t>
      </w:r>
      <w:r>
        <w:t>five</w:t>
      </w:r>
      <w:r>
        <w:rPr>
          <w:spacing w:val="-6"/>
        </w:rPr>
        <w:t xml:space="preserve"> </w:t>
      </w:r>
      <w:r>
        <w:t>percent</w:t>
      </w:r>
      <w:r>
        <w:rPr>
          <w:spacing w:val="-14"/>
        </w:rPr>
        <w:t xml:space="preserve"> </w:t>
      </w:r>
      <w:r>
        <w:t>AI/AN</w:t>
      </w:r>
      <w:r>
        <w:rPr>
          <w:spacing w:val="-5"/>
        </w:rPr>
        <w:t xml:space="preserve"> </w:t>
      </w:r>
      <w:r>
        <w:t>students</w:t>
      </w:r>
      <w:r>
        <w:rPr>
          <w:spacing w:val="-6"/>
        </w:rPr>
        <w:t xml:space="preserve"> </w:t>
      </w:r>
      <w:r>
        <w:t>and</w:t>
      </w:r>
      <w:r>
        <w:rPr>
          <w:spacing w:val="-6"/>
        </w:rPr>
        <w:t xml:space="preserve"> </w:t>
      </w:r>
      <w:r>
        <w:t>at</w:t>
      </w:r>
      <w:r>
        <w:rPr>
          <w:spacing w:val="-6"/>
        </w:rPr>
        <w:t xml:space="preserve"> </w:t>
      </w:r>
      <w:r>
        <w:t>least</w:t>
      </w:r>
      <w:r>
        <w:rPr>
          <w:spacing w:val="-6"/>
        </w:rPr>
        <w:t xml:space="preserve"> </w:t>
      </w:r>
      <w:r>
        <w:t>five AI/AN students in the sample age. Low</w:t>
      </w:r>
      <w:r>
        <w:rPr>
          <w:spacing w:val="-7"/>
        </w:rPr>
        <w:t xml:space="preserve"> </w:t>
      </w:r>
      <w:r>
        <w:t>AI/AN schools were those not designated as high</w:t>
      </w:r>
      <w:r>
        <w:rPr>
          <w:spacing w:val="-7"/>
        </w:rPr>
        <w:t xml:space="preserve"> </w:t>
      </w:r>
      <w:r>
        <w:t>AI/AN.</w:t>
      </w:r>
    </w:p>
    <w:p w:rsidR="003F5784" w14:paraId="18292899" w14:textId="77777777">
      <w:pPr>
        <w:pStyle w:val="BodyText"/>
        <w:spacing w:before="209" w:line="232" w:lineRule="auto"/>
        <w:ind w:left="109" w:right="179"/>
      </w:pPr>
      <w:r>
        <w:t>For</w:t>
      </w:r>
      <w:r>
        <w:rPr>
          <w:spacing w:val="-11"/>
        </w:rPr>
        <w:t xml:space="preserve"> </w:t>
      </w:r>
      <w:r>
        <w:t>schools</w:t>
      </w:r>
      <w:r>
        <w:rPr>
          <w:spacing w:val="-6"/>
        </w:rPr>
        <w:t xml:space="preserve"> </w:t>
      </w:r>
      <w:r>
        <w:t>in</w:t>
      </w:r>
      <w:r>
        <w:rPr>
          <w:spacing w:val="-6"/>
        </w:rPr>
        <w:t xml:space="preserve"> </w:t>
      </w:r>
      <w:r>
        <w:t>the</w:t>
      </w:r>
      <w:r>
        <w:rPr>
          <w:spacing w:val="-6"/>
        </w:rPr>
        <w:t xml:space="preserve"> </w:t>
      </w:r>
      <w:r>
        <w:t>high</w:t>
      </w:r>
      <w:r>
        <w:rPr>
          <w:spacing w:val="-14"/>
        </w:rPr>
        <w:t xml:space="preserve"> </w:t>
      </w:r>
      <w:r>
        <w:t>AI/AN</w:t>
      </w:r>
      <w:r>
        <w:rPr>
          <w:spacing w:val="-5"/>
        </w:rPr>
        <w:t xml:space="preserve"> </w:t>
      </w:r>
      <w:r>
        <w:t>stratum,</w:t>
      </w:r>
      <w:r>
        <w:rPr>
          <w:spacing w:val="-6"/>
        </w:rPr>
        <w:t xml:space="preserve"> </w:t>
      </w:r>
      <w:r>
        <w:t>if</w:t>
      </w:r>
      <w:r>
        <w:rPr>
          <w:spacing w:val="-6"/>
        </w:rPr>
        <w:t xml:space="preserve"> </w:t>
      </w:r>
      <w:r>
        <w:t>there</w:t>
      </w:r>
      <w:r>
        <w:rPr>
          <w:spacing w:val="-6"/>
        </w:rPr>
        <w:t xml:space="preserve"> </w:t>
      </w:r>
      <w:r>
        <w:t>were</w:t>
      </w:r>
      <w:r>
        <w:rPr>
          <w:spacing w:val="-6"/>
        </w:rPr>
        <w:t xml:space="preserve"> </w:t>
      </w:r>
      <w:r>
        <w:t>fewer</w:t>
      </w:r>
      <w:r>
        <w:rPr>
          <w:spacing w:val="-6"/>
        </w:rPr>
        <w:t xml:space="preserve"> </w:t>
      </w:r>
      <w:r>
        <w:t>than</w:t>
      </w:r>
      <w:r>
        <w:rPr>
          <w:spacing w:val="-6"/>
        </w:rPr>
        <w:t xml:space="preserve"> </w:t>
      </w:r>
      <w:r>
        <w:t>six</w:t>
      </w:r>
      <w:r>
        <w:rPr>
          <w:spacing w:val="-6"/>
        </w:rPr>
        <w:t xml:space="preserve"> </w:t>
      </w:r>
      <w:r>
        <w:t>expected</w:t>
      </w:r>
      <w:r>
        <w:rPr>
          <w:spacing w:val="-6"/>
        </w:rPr>
        <w:t xml:space="preserve"> </w:t>
      </w:r>
      <w:r>
        <w:t>sampled</w:t>
      </w:r>
      <w:r>
        <w:rPr>
          <w:spacing w:val="-6"/>
        </w:rPr>
        <w:t xml:space="preserve"> </w:t>
      </w:r>
      <w:r>
        <w:t>schools</w:t>
      </w:r>
      <w:r>
        <w:rPr>
          <w:spacing w:val="-6"/>
        </w:rPr>
        <w:t xml:space="preserve"> </w:t>
      </w:r>
      <w:r>
        <w:t>for</w:t>
      </w:r>
      <w:r>
        <w:rPr>
          <w:spacing w:val="-6"/>
        </w:rPr>
        <w:t xml:space="preserve"> </w:t>
      </w:r>
      <w:r>
        <w:t>a</w:t>
      </w:r>
      <w:r>
        <w:rPr>
          <w:spacing w:val="-6"/>
        </w:rPr>
        <w:t xml:space="preserve"> </w:t>
      </w:r>
      <w:r>
        <w:t>particular</w:t>
      </w:r>
      <w:r>
        <w:rPr>
          <w:spacing w:val="-6"/>
        </w:rPr>
        <w:t xml:space="preserve"> </w:t>
      </w:r>
      <w:r>
        <w:t>urbanization</w:t>
      </w:r>
      <w:r>
        <w:rPr>
          <w:spacing w:val="-6"/>
        </w:rPr>
        <w:t xml:space="preserve"> </w:t>
      </w:r>
      <w:r>
        <w:t>classification</w:t>
      </w:r>
      <w:r>
        <w:rPr>
          <w:spacing w:val="-6"/>
        </w:rPr>
        <w:t xml:space="preserve"> </w:t>
      </w:r>
      <w:r>
        <w:t>cell</w:t>
      </w:r>
      <w:r>
        <w:rPr>
          <w:spacing w:val="-6"/>
        </w:rPr>
        <w:t xml:space="preserve"> </w:t>
      </w:r>
      <w:r>
        <w:t>(nested</w:t>
      </w:r>
      <w:r>
        <w:rPr>
          <w:spacing w:val="-6"/>
        </w:rPr>
        <w:t xml:space="preserve"> </w:t>
      </w:r>
      <w:r>
        <w:t>within</w:t>
      </w:r>
      <w:r>
        <w:rPr>
          <w:spacing w:val="-6"/>
        </w:rPr>
        <w:t xml:space="preserve"> </w:t>
      </w:r>
      <w:r>
        <w:t>the</w:t>
      </w:r>
      <w:r>
        <w:rPr>
          <w:spacing w:val="-14"/>
        </w:rPr>
        <w:t xml:space="preserve"> </w:t>
      </w:r>
      <w:r>
        <w:t>AI/AN</w:t>
      </w:r>
      <w:r>
        <w:rPr>
          <w:spacing w:val="-5"/>
        </w:rPr>
        <w:t xml:space="preserve"> </w:t>
      </w:r>
      <w:r>
        <w:t>stratum and census region), the cell was collapsed with a neighboring urbanization classification cell. No race/ethnicity strata were generated.</w:t>
      </w:r>
      <w:r>
        <w:rPr>
          <w:spacing w:val="-3"/>
        </w:rPr>
        <w:t xml:space="preserve"> </w:t>
      </w:r>
      <w:r>
        <w:t>The final sort variable was total percentage of</w:t>
      </w:r>
      <w:r>
        <w:rPr>
          <w:spacing w:val="-11"/>
        </w:rPr>
        <w:t xml:space="preserve"> </w:t>
      </w:r>
      <w:r>
        <w:t>AI/AN students. Note the lower limit of six was chosen to facilitate the construction of nonresponse adjustment classes with sufficient numbers of schools and students in them.</w:t>
      </w:r>
    </w:p>
    <w:p w:rsidR="003F5784" w14:paraId="7E072FF3" w14:textId="77777777">
      <w:pPr>
        <w:pStyle w:val="BodyText"/>
        <w:spacing w:before="210" w:line="232" w:lineRule="auto"/>
        <w:ind w:left="109" w:right="179"/>
      </w:pPr>
      <w:r>
        <w:t>For</w:t>
      </w:r>
      <w:r>
        <w:rPr>
          <w:spacing w:val="-2"/>
        </w:rPr>
        <w:t xml:space="preserve"> </w:t>
      </w:r>
      <w:r>
        <w:t>schools</w:t>
      </w:r>
      <w:r>
        <w:rPr>
          <w:spacing w:val="-2"/>
        </w:rPr>
        <w:t xml:space="preserve"> </w:t>
      </w:r>
      <w:r>
        <w:t>in</w:t>
      </w:r>
      <w:r>
        <w:rPr>
          <w:spacing w:val="-2"/>
        </w:rPr>
        <w:t xml:space="preserve"> </w:t>
      </w:r>
      <w:r>
        <w:t>the</w:t>
      </w:r>
      <w:r>
        <w:rPr>
          <w:spacing w:val="-2"/>
        </w:rPr>
        <w:t xml:space="preserve"> </w:t>
      </w:r>
      <w:r>
        <w:t>low</w:t>
      </w:r>
      <w:r>
        <w:rPr>
          <w:spacing w:val="-13"/>
        </w:rPr>
        <w:t xml:space="preserve"> </w:t>
      </w:r>
      <w:r>
        <w:t>AI/AN</w:t>
      </w:r>
      <w:r>
        <w:rPr>
          <w:spacing w:val="-2"/>
        </w:rPr>
        <w:t xml:space="preserve"> </w:t>
      </w:r>
      <w:r>
        <w:t>stratum,</w:t>
      </w:r>
      <w:r>
        <w:rPr>
          <w:spacing w:val="-2"/>
        </w:rPr>
        <w:t xml:space="preserve"> </w:t>
      </w:r>
      <w:r>
        <w:t>if</w:t>
      </w:r>
      <w:r>
        <w:rPr>
          <w:spacing w:val="-2"/>
        </w:rPr>
        <w:t xml:space="preserve"> </w:t>
      </w:r>
      <w:r>
        <w:t>there</w:t>
      </w:r>
      <w:r>
        <w:rPr>
          <w:spacing w:val="-2"/>
        </w:rPr>
        <w:t xml:space="preserve"> </w:t>
      </w:r>
      <w:r>
        <w:t>were</w:t>
      </w:r>
      <w:r>
        <w:rPr>
          <w:spacing w:val="-2"/>
        </w:rPr>
        <w:t xml:space="preserve"> </w:t>
      </w:r>
      <w:r>
        <w:t>fewer</w:t>
      </w:r>
      <w:r>
        <w:rPr>
          <w:spacing w:val="-2"/>
        </w:rPr>
        <w:t xml:space="preserve"> </w:t>
      </w:r>
      <w:r>
        <w:t>than</w:t>
      </w:r>
      <w:r>
        <w:rPr>
          <w:spacing w:val="-2"/>
        </w:rPr>
        <w:t xml:space="preserve"> </w:t>
      </w:r>
      <w:r>
        <w:t>six</w:t>
      </w:r>
      <w:r>
        <w:rPr>
          <w:spacing w:val="-2"/>
        </w:rPr>
        <w:t xml:space="preserve"> </w:t>
      </w:r>
      <w:r>
        <w:t>expected</w:t>
      </w:r>
      <w:r>
        <w:rPr>
          <w:spacing w:val="-2"/>
        </w:rPr>
        <w:t xml:space="preserve"> </w:t>
      </w:r>
      <w:r>
        <w:t>sampled</w:t>
      </w:r>
      <w:r>
        <w:rPr>
          <w:spacing w:val="-2"/>
        </w:rPr>
        <w:t xml:space="preserve"> </w:t>
      </w:r>
      <w:r>
        <w:t>schools</w:t>
      </w:r>
      <w:r>
        <w:rPr>
          <w:spacing w:val="-2"/>
        </w:rPr>
        <w:t xml:space="preserve"> </w:t>
      </w:r>
      <w:r>
        <w:t>for</w:t>
      </w:r>
      <w:r>
        <w:rPr>
          <w:spacing w:val="-2"/>
        </w:rPr>
        <w:t xml:space="preserve"> </w:t>
      </w:r>
      <w:r>
        <w:t>a</w:t>
      </w:r>
      <w:r>
        <w:rPr>
          <w:spacing w:val="-2"/>
        </w:rPr>
        <w:t xml:space="preserve"> </w:t>
      </w:r>
      <w:r>
        <w:t>particular</w:t>
      </w:r>
      <w:r>
        <w:rPr>
          <w:spacing w:val="-2"/>
        </w:rPr>
        <w:t xml:space="preserve"> </w:t>
      </w:r>
      <w:r>
        <w:t>urbanization</w:t>
      </w:r>
      <w:r>
        <w:rPr>
          <w:spacing w:val="-2"/>
        </w:rPr>
        <w:t xml:space="preserve"> </w:t>
      </w:r>
      <w:r>
        <w:t>classification</w:t>
      </w:r>
      <w:r>
        <w:rPr>
          <w:spacing w:val="-2"/>
        </w:rPr>
        <w:t xml:space="preserve"> </w:t>
      </w:r>
      <w:r>
        <w:t>cell</w:t>
      </w:r>
      <w:r>
        <w:rPr>
          <w:spacing w:val="-2"/>
        </w:rPr>
        <w:t xml:space="preserve"> </w:t>
      </w:r>
      <w:r>
        <w:t>(nested</w:t>
      </w:r>
      <w:r>
        <w:rPr>
          <w:spacing w:val="-2"/>
        </w:rPr>
        <w:t xml:space="preserve"> </w:t>
      </w:r>
      <w:r>
        <w:t>within</w:t>
      </w:r>
      <w:r>
        <w:rPr>
          <w:spacing w:val="-2"/>
        </w:rPr>
        <w:t xml:space="preserve"> </w:t>
      </w:r>
      <w:r>
        <w:t>the</w:t>
      </w:r>
      <w:r>
        <w:rPr>
          <w:spacing w:val="-13"/>
        </w:rPr>
        <w:t xml:space="preserve"> </w:t>
      </w:r>
      <w:r>
        <w:t>AI/AN</w:t>
      </w:r>
      <w:r>
        <w:rPr>
          <w:spacing w:val="-2"/>
        </w:rPr>
        <w:t xml:space="preserve"> </w:t>
      </w:r>
      <w:r>
        <w:t>stratum and</w:t>
      </w:r>
      <w:r>
        <w:rPr>
          <w:spacing w:val="-2"/>
        </w:rPr>
        <w:t xml:space="preserve"> </w:t>
      </w:r>
      <w:r>
        <w:t>census</w:t>
      </w:r>
      <w:r>
        <w:rPr>
          <w:spacing w:val="-2"/>
        </w:rPr>
        <w:t xml:space="preserve"> </w:t>
      </w:r>
      <w:r>
        <w:t>region),</w:t>
      </w:r>
      <w:r>
        <w:rPr>
          <w:spacing w:val="-2"/>
        </w:rPr>
        <w:t xml:space="preserve"> </w:t>
      </w:r>
      <w:r>
        <w:t>the</w:t>
      </w:r>
      <w:r>
        <w:rPr>
          <w:spacing w:val="-2"/>
        </w:rPr>
        <w:t xml:space="preserve"> </w:t>
      </w:r>
      <w:r>
        <w:t>cell</w:t>
      </w:r>
      <w:r>
        <w:rPr>
          <w:spacing w:val="-2"/>
        </w:rPr>
        <w:t xml:space="preserve"> </w:t>
      </w:r>
      <w:r>
        <w:t>was</w:t>
      </w:r>
      <w:r>
        <w:rPr>
          <w:spacing w:val="-2"/>
        </w:rPr>
        <w:t xml:space="preserve"> </w:t>
      </w:r>
      <w:r>
        <w:t>collapsed</w:t>
      </w:r>
      <w:r>
        <w:rPr>
          <w:spacing w:val="-2"/>
        </w:rPr>
        <w:t xml:space="preserve"> </w:t>
      </w:r>
      <w:r>
        <w:t>with</w:t>
      </w:r>
      <w:r>
        <w:rPr>
          <w:spacing w:val="-2"/>
        </w:rPr>
        <w:t xml:space="preserve"> </w:t>
      </w:r>
      <w:r>
        <w:t>a</w:t>
      </w:r>
      <w:r>
        <w:rPr>
          <w:spacing w:val="-2"/>
        </w:rPr>
        <w:t xml:space="preserve"> </w:t>
      </w:r>
      <w:r>
        <w:t>neighboring</w:t>
      </w:r>
      <w:r>
        <w:rPr>
          <w:spacing w:val="-2"/>
        </w:rPr>
        <w:t xml:space="preserve"> </w:t>
      </w:r>
      <w:r>
        <w:t>urbanization</w:t>
      </w:r>
      <w:r>
        <w:rPr>
          <w:spacing w:val="-2"/>
        </w:rPr>
        <w:t xml:space="preserve"> </w:t>
      </w:r>
      <w:r>
        <w:t>classification</w:t>
      </w:r>
      <w:r>
        <w:rPr>
          <w:spacing w:val="-2"/>
        </w:rPr>
        <w:t xml:space="preserve"> </w:t>
      </w:r>
      <w:r>
        <w:t>cell.</w:t>
      </w:r>
      <w:r>
        <w:rPr>
          <w:spacing w:val="-2"/>
        </w:rPr>
        <w:t xml:space="preserve"> </w:t>
      </w:r>
      <w:r>
        <w:t>If</w:t>
      </w:r>
      <w:r>
        <w:rPr>
          <w:spacing w:val="-2"/>
        </w:rPr>
        <w:t xml:space="preserve"> </w:t>
      </w:r>
      <w:r>
        <w:t>the</w:t>
      </w:r>
      <w:r>
        <w:rPr>
          <w:spacing w:val="-2"/>
        </w:rPr>
        <w:t xml:space="preserve"> </w:t>
      </w:r>
      <w:r>
        <w:t>expected</w:t>
      </w:r>
      <w:r>
        <w:rPr>
          <w:spacing w:val="-2"/>
        </w:rPr>
        <w:t xml:space="preserve"> </w:t>
      </w:r>
      <w:r>
        <w:t>sampled</w:t>
      </w:r>
      <w:r>
        <w:rPr>
          <w:spacing w:val="-2"/>
        </w:rPr>
        <w:t xml:space="preserve"> </w:t>
      </w:r>
      <w:r>
        <w:t>schools</w:t>
      </w:r>
      <w:r>
        <w:rPr>
          <w:spacing w:val="-2"/>
        </w:rPr>
        <w:t xml:space="preserve"> </w:t>
      </w:r>
      <w:r>
        <w:t>exceeded</w:t>
      </w:r>
      <w:r>
        <w:rPr>
          <w:spacing w:val="-2"/>
        </w:rPr>
        <w:t xml:space="preserve"> </w:t>
      </w:r>
      <w:r>
        <w:t>12,</w:t>
      </w:r>
      <w:r>
        <w:rPr>
          <w:spacing w:val="-2"/>
        </w:rPr>
        <w:t xml:space="preserve"> </w:t>
      </w:r>
      <w:r>
        <w:t>then</w:t>
      </w:r>
      <w:r>
        <w:rPr>
          <w:spacing w:val="-2"/>
        </w:rPr>
        <w:t xml:space="preserve"> </w:t>
      </w:r>
      <w:r>
        <w:t>the</w:t>
      </w:r>
      <w:r>
        <w:rPr>
          <w:spacing w:val="-2"/>
        </w:rPr>
        <w:t xml:space="preserve"> </w:t>
      </w:r>
      <w:r>
        <w:t>race/ethnicity</w:t>
      </w:r>
      <w:r>
        <w:rPr>
          <w:spacing w:val="-2"/>
        </w:rPr>
        <w:t xml:space="preserve"> </w:t>
      </w:r>
      <w:r>
        <w:t>strata</w:t>
      </w:r>
      <w:r>
        <w:rPr>
          <w:spacing w:val="-2"/>
        </w:rPr>
        <w:t xml:space="preserve"> </w:t>
      </w:r>
      <w:r>
        <w:t>were defined based on the total percentage of Black, Hispanic, and</w:t>
      </w:r>
      <w:r>
        <w:rPr>
          <w:spacing w:val="-10"/>
        </w:rPr>
        <w:t xml:space="preserve"> </w:t>
      </w:r>
      <w:r>
        <w:t>AI/AN students.</w:t>
      </w:r>
      <w:r>
        <w:rPr>
          <w:spacing w:val="-3"/>
        </w:rPr>
        <w:t xml:space="preserve"> </w:t>
      </w:r>
      <w:r>
        <w:t>The strata were defined so that there were at least six expected sampled schools for each race/ethnicity</w:t>
      </w:r>
      <w:r>
        <w:rPr>
          <w:spacing w:val="-11"/>
        </w:rPr>
        <w:t xml:space="preserve"> </w:t>
      </w:r>
      <w:r>
        <w:t>stratum.</w:t>
      </w:r>
      <w:r>
        <w:rPr>
          <w:spacing w:val="-11"/>
        </w:rPr>
        <w:t xml:space="preserve"> </w:t>
      </w:r>
      <w:r>
        <w:t>Within</w:t>
      </w:r>
      <w:r>
        <w:rPr>
          <w:spacing w:val="-7"/>
        </w:rPr>
        <w:t xml:space="preserve"> </w:t>
      </w:r>
      <w:r>
        <w:t>each</w:t>
      </w:r>
      <w:r>
        <w:rPr>
          <w:spacing w:val="-7"/>
        </w:rPr>
        <w:t xml:space="preserve"> </w:t>
      </w:r>
      <w:r>
        <w:t>race/ethnicity</w:t>
      </w:r>
      <w:r>
        <w:rPr>
          <w:spacing w:val="-7"/>
        </w:rPr>
        <w:t xml:space="preserve"> </w:t>
      </w:r>
      <w:r>
        <w:t>stratum,</w:t>
      </w:r>
      <w:r>
        <w:rPr>
          <w:spacing w:val="-7"/>
        </w:rPr>
        <w:t xml:space="preserve"> </w:t>
      </w:r>
      <w:r>
        <w:t>the</w:t>
      </w:r>
      <w:r>
        <w:rPr>
          <w:spacing w:val="-7"/>
        </w:rPr>
        <w:t xml:space="preserve"> </w:t>
      </w:r>
      <w:r>
        <w:t>final</w:t>
      </w:r>
      <w:r>
        <w:rPr>
          <w:spacing w:val="-7"/>
        </w:rPr>
        <w:t xml:space="preserve"> </w:t>
      </w:r>
      <w:r>
        <w:t>sort</w:t>
      </w:r>
      <w:r>
        <w:rPr>
          <w:spacing w:val="-7"/>
        </w:rPr>
        <w:t xml:space="preserve"> </w:t>
      </w:r>
      <w:r>
        <w:t>variable</w:t>
      </w:r>
      <w:r>
        <w:rPr>
          <w:spacing w:val="-7"/>
        </w:rPr>
        <w:t xml:space="preserve"> </w:t>
      </w:r>
      <w:r>
        <w:t>was</w:t>
      </w:r>
      <w:r>
        <w:rPr>
          <w:spacing w:val="-7"/>
        </w:rPr>
        <w:t xml:space="preserve"> </w:t>
      </w:r>
      <w:r>
        <w:t>total</w:t>
      </w:r>
      <w:r>
        <w:rPr>
          <w:spacing w:val="-7"/>
        </w:rPr>
        <w:t xml:space="preserve"> </w:t>
      </w:r>
      <w:r>
        <w:t>percentage</w:t>
      </w:r>
      <w:r>
        <w:rPr>
          <w:spacing w:val="-7"/>
        </w:rPr>
        <w:t xml:space="preserve"> </w:t>
      </w:r>
      <w:r>
        <w:t>of</w:t>
      </w:r>
      <w:r>
        <w:rPr>
          <w:spacing w:val="-7"/>
        </w:rPr>
        <w:t xml:space="preserve"> </w:t>
      </w:r>
      <w:r>
        <w:t>Black,</w:t>
      </w:r>
      <w:r>
        <w:rPr>
          <w:spacing w:val="-7"/>
        </w:rPr>
        <w:t xml:space="preserve"> </w:t>
      </w:r>
      <w:r>
        <w:t>Hispanic,</w:t>
      </w:r>
      <w:r>
        <w:rPr>
          <w:spacing w:val="-7"/>
        </w:rPr>
        <w:t xml:space="preserve"> </w:t>
      </w:r>
      <w:r>
        <w:t>and</w:t>
      </w:r>
      <w:r>
        <w:rPr>
          <w:spacing w:val="-14"/>
        </w:rPr>
        <w:t xml:space="preserve"> </w:t>
      </w:r>
      <w:r>
        <w:t>AI/AN</w:t>
      </w:r>
      <w:r>
        <w:rPr>
          <w:spacing w:val="-6"/>
        </w:rPr>
        <w:t xml:space="preserve"> </w:t>
      </w:r>
      <w:r>
        <w:t>students.</w:t>
      </w:r>
      <w:r>
        <w:rPr>
          <w:spacing w:val="-7"/>
        </w:rPr>
        <w:t xml:space="preserve"> </w:t>
      </w:r>
      <w:r>
        <w:t>If</w:t>
      </w:r>
      <w:r>
        <w:rPr>
          <w:spacing w:val="-7"/>
        </w:rPr>
        <w:t xml:space="preserve"> </w:t>
      </w:r>
      <w:r>
        <w:t>the</w:t>
      </w:r>
      <w:r>
        <w:rPr>
          <w:spacing w:val="-7"/>
        </w:rPr>
        <w:t xml:space="preserve"> </w:t>
      </w:r>
      <w:r>
        <w:t>urbanization</w:t>
      </w:r>
      <w:r>
        <w:rPr>
          <w:spacing w:val="-7"/>
        </w:rPr>
        <w:t xml:space="preserve"> </w:t>
      </w:r>
      <w:r>
        <w:t>classification stratum had an expected sample size less than 12, no race/ethnicity strata were generated, and the final sort variable was total percentage of Black, Hispanic, and</w:t>
      </w:r>
      <w:r>
        <w:rPr>
          <w:spacing w:val="-10"/>
        </w:rPr>
        <w:t xml:space="preserve"> </w:t>
      </w:r>
      <w:r>
        <w:t xml:space="preserve">AI/AN </w:t>
      </w:r>
      <w:r>
        <w:rPr>
          <w:spacing w:val="-2"/>
        </w:rPr>
        <w:t>students.</w:t>
      </w:r>
    </w:p>
    <w:p w:rsidR="003F5784" w14:paraId="74C76A38" w14:textId="77777777">
      <w:pPr>
        <w:spacing w:line="232" w:lineRule="auto"/>
        <w:sectPr>
          <w:pgSz w:w="15840" w:h="12240" w:orient="landscape"/>
          <w:pgMar w:top="480" w:right="440" w:bottom="460" w:left="460" w:header="284" w:footer="275" w:gutter="0"/>
          <w:cols w:space="720"/>
        </w:sectPr>
      </w:pPr>
    </w:p>
    <w:p w:rsidR="003F5784" w14:paraId="2142EABF" w14:textId="77777777">
      <w:pPr>
        <w:pStyle w:val="BodyText"/>
        <w:spacing w:before="72"/>
        <w:ind w:left="109"/>
      </w:pPr>
      <w:r>
        <w:t>Schools</w:t>
      </w:r>
      <w:r>
        <w:rPr>
          <w:spacing w:val="-8"/>
        </w:rPr>
        <w:t xml:space="preserve"> </w:t>
      </w:r>
      <w:r>
        <w:t>in</w:t>
      </w:r>
      <w:r>
        <w:rPr>
          <w:spacing w:val="-7"/>
        </w:rPr>
        <w:t xml:space="preserve"> </w:t>
      </w:r>
      <w:r>
        <w:t>noncertainty</w:t>
      </w:r>
      <w:r>
        <w:rPr>
          <w:spacing w:val="-7"/>
        </w:rPr>
        <w:t xml:space="preserve"> </w:t>
      </w:r>
      <w:r>
        <w:t>PSUs</w:t>
      </w:r>
      <w:r>
        <w:rPr>
          <w:spacing w:val="-8"/>
        </w:rPr>
        <w:t xml:space="preserve"> </w:t>
      </w:r>
      <w:r>
        <w:t>were</w:t>
      </w:r>
      <w:r>
        <w:rPr>
          <w:spacing w:val="-7"/>
        </w:rPr>
        <w:t xml:space="preserve"> </w:t>
      </w:r>
      <w:r>
        <w:t>hierarchically</w:t>
      </w:r>
      <w:r>
        <w:rPr>
          <w:spacing w:val="-7"/>
        </w:rPr>
        <w:t xml:space="preserve"> </w:t>
      </w:r>
      <w:r>
        <w:t>sorted</w:t>
      </w:r>
      <w:r>
        <w:rPr>
          <w:spacing w:val="-8"/>
        </w:rPr>
        <w:t xml:space="preserve"> </w:t>
      </w:r>
      <w:r>
        <w:rPr>
          <w:spacing w:val="-5"/>
        </w:rPr>
        <w:t>by</w:t>
      </w:r>
    </w:p>
    <w:p w:rsidR="003F5784" w14:paraId="1F34535E" w14:textId="77777777">
      <w:pPr>
        <w:pStyle w:val="BodyText"/>
        <w:spacing w:before="202" w:line="238" w:lineRule="exact"/>
        <w:ind w:left="422"/>
      </w:pPr>
      <w:r>
        <w:rPr>
          <w:noProof/>
          <w:position w:val="3"/>
        </w:rPr>
        <w:drawing>
          <wp:inline distT="0" distB="0" distL="0" distR="0">
            <wp:extent cx="41379" cy="41378"/>
            <wp:effectExtent l="0" t="0" r="0" b="0"/>
            <wp:docPr id="202" name="Image 202"/>
            <wp:cNvGraphicFramePr/>
            <a:graphic xmlns:a="http://schemas.openxmlformats.org/drawingml/2006/main">
              <a:graphicData uri="http://schemas.openxmlformats.org/drawingml/2006/picture">
                <pic:pic xmlns:pic="http://schemas.openxmlformats.org/drawingml/2006/picture">
                  <pic:nvPicPr>
                    <pic:cNvPr id="202" name="Image 202"/>
                    <pic:cNvPicPr/>
                  </pic:nvPicPr>
                  <pic:blipFill>
                    <a:blip xmlns:r="http://schemas.openxmlformats.org/officeDocument/2006/relationships" r:embed="rId176" cstate="print"/>
                    <a:stretch>
                      <a:fillRect/>
                    </a:stretch>
                  </pic:blipFill>
                  <pic:spPr>
                    <a:xfrm>
                      <a:off x="0" y="0"/>
                      <a:ext cx="41379" cy="41378"/>
                    </a:xfrm>
                    <a:prstGeom prst="rect">
                      <a:avLst/>
                    </a:prstGeom>
                  </pic:spPr>
                </pic:pic>
              </a:graphicData>
            </a:graphic>
          </wp:inline>
        </w:drawing>
      </w:r>
      <w:r>
        <w:rPr>
          <w:spacing w:val="80"/>
          <w:sz w:val="20"/>
        </w:rPr>
        <w:t xml:space="preserve"> </w:t>
      </w:r>
      <w:r>
        <w:t>PSU stratum;</w:t>
      </w:r>
    </w:p>
    <w:p w:rsidR="003F5784" w14:paraId="356EF68B" w14:textId="77777777">
      <w:pPr>
        <w:pStyle w:val="BodyText"/>
        <w:spacing w:line="235" w:lineRule="exact"/>
        <w:ind w:left="422"/>
      </w:pPr>
      <w:r>
        <w:rPr>
          <w:noProof/>
          <w:position w:val="3"/>
        </w:rPr>
        <w:drawing>
          <wp:inline distT="0" distB="0" distL="0" distR="0">
            <wp:extent cx="41379" cy="41378"/>
            <wp:effectExtent l="0" t="0" r="0" b="0"/>
            <wp:docPr id="203" name="Image 203"/>
            <wp:cNvGraphicFramePr/>
            <a:graphic xmlns:a="http://schemas.openxmlformats.org/drawingml/2006/main">
              <a:graphicData uri="http://schemas.openxmlformats.org/drawingml/2006/picture">
                <pic:pic xmlns:pic="http://schemas.openxmlformats.org/drawingml/2006/picture">
                  <pic:nvPicPr>
                    <pic:cNvPr id="203" name="Image 203"/>
                    <pic:cNvPicPr/>
                  </pic:nvPicPr>
                  <pic:blipFill>
                    <a:blip xmlns:r="http://schemas.openxmlformats.org/officeDocument/2006/relationships" r:embed="rId177" cstate="print"/>
                    <a:stretch>
                      <a:fillRect/>
                    </a:stretch>
                  </pic:blipFill>
                  <pic:spPr>
                    <a:xfrm>
                      <a:off x="0" y="0"/>
                      <a:ext cx="41379" cy="41378"/>
                    </a:xfrm>
                    <a:prstGeom prst="rect">
                      <a:avLst/>
                    </a:prstGeom>
                  </pic:spPr>
                </pic:pic>
              </a:graphicData>
            </a:graphic>
          </wp:inline>
        </w:drawing>
      </w:r>
      <w:r>
        <w:rPr>
          <w:spacing w:val="80"/>
          <w:sz w:val="20"/>
        </w:rPr>
        <w:t xml:space="preserve"> </w:t>
      </w:r>
      <w:r>
        <w:t>AI/AN stratum (two categories based on percentage of</w:t>
      </w:r>
      <w:r>
        <w:rPr>
          <w:spacing w:val="-9"/>
        </w:rPr>
        <w:t xml:space="preserve"> </w:t>
      </w:r>
      <w:r>
        <w:t>AI/AN students);</w:t>
      </w:r>
    </w:p>
    <w:p w:rsidR="003F5784" w14:paraId="7CF51194" w14:textId="77777777">
      <w:pPr>
        <w:pStyle w:val="BodyText"/>
        <w:spacing w:before="2" w:line="232" w:lineRule="auto"/>
        <w:ind w:left="422" w:right="7759"/>
      </w:pPr>
      <w:r>
        <w:rPr>
          <w:noProof/>
          <w:position w:val="3"/>
        </w:rPr>
        <w:drawing>
          <wp:inline distT="0" distB="0" distL="0" distR="0">
            <wp:extent cx="41379" cy="41378"/>
            <wp:effectExtent l="0" t="0" r="0" b="0"/>
            <wp:docPr id="204" name="Image 204"/>
            <wp:cNvGraphicFramePr/>
            <a:graphic xmlns:a="http://schemas.openxmlformats.org/drawingml/2006/main">
              <a:graphicData uri="http://schemas.openxmlformats.org/drawingml/2006/picture">
                <pic:pic xmlns:pic="http://schemas.openxmlformats.org/drawingml/2006/picture">
                  <pic:nvPicPr>
                    <pic:cNvPr id="204" name="Image 204"/>
                    <pic:cNvPicPr/>
                  </pic:nvPicPr>
                  <pic:blipFill>
                    <a:blip xmlns:r="http://schemas.openxmlformats.org/officeDocument/2006/relationships" r:embed="rId178" cstate="print"/>
                    <a:stretch>
                      <a:fillRect/>
                    </a:stretch>
                  </pic:blipFill>
                  <pic:spPr>
                    <a:xfrm>
                      <a:off x="0" y="0"/>
                      <a:ext cx="41379" cy="41378"/>
                    </a:xfrm>
                    <a:prstGeom prst="rect">
                      <a:avLst/>
                    </a:prstGeom>
                  </pic:spPr>
                </pic:pic>
              </a:graphicData>
            </a:graphic>
          </wp:inline>
        </w:drawing>
      </w:r>
      <w:r>
        <w:rPr>
          <w:spacing w:val="73"/>
          <w:sz w:val="20"/>
        </w:rPr>
        <w:t xml:space="preserve"> </w:t>
      </w:r>
      <w:r>
        <w:t>urbanization</w:t>
      </w:r>
      <w:r>
        <w:rPr>
          <w:spacing w:val="-8"/>
        </w:rPr>
        <w:t xml:space="preserve"> </w:t>
      </w:r>
      <w:r>
        <w:t>classification</w:t>
      </w:r>
      <w:r>
        <w:rPr>
          <w:spacing w:val="-8"/>
        </w:rPr>
        <w:t xml:space="preserve"> </w:t>
      </w:r>
      <w:r>
        <w:t>(four</w:t>
      </w:r>
      <w:r>
        <w:rPr>
          <w:spacing w:val="-8"/>
        </w:rPr>
        <w:t xml:space="preserve"> </w:t>
      </w:r>
      <w:r>
        <w:t>categories</w:t>
      </w:r>
      <w:r>
        <w:rPr>
          <w:spacing w:val="-8"/>
        </w:rPr>
        <w:t xml:space="preserve"> </w:t>
      </w:r>
      <w:r>
        <w:t>based</w:t>
      </w:r>
      <w:r>
        <w:rPr>
          <w:spacing w:val="-8"/>
        </w:rPr>
        <w:t xml:space="preserve"> </w:t>
      </w:r>
      <w:r>
        <w:t>on</w:t>
      </w:r>
      <w:r>
        <w:rPr>
          <w:spacing w:val="-8"/>
        </w:rPr>
        <w:t xml:space="preserve"> </w:t>
      </w:r>
      <w:r>
        <w:t>urban-centric</w:t>
      </w:r>
      <w:r>
        <w:rPr>
          <w:spacing w:val="-8"/>
        </w:rPr>
        <w:t xml:space="preserve"> </w:t>
      </w:r>
      <w:r>
        <w:t>locale);</w:t>
      </w:r>
      <w:r>
        <w:rPr>
          <w:spacing w:val="-8"/>
        </w:rPr>
        <w:t xml:space="preserve"> </w:t>
      </w:r>
      <w:r>
        <w:t xml:space="preserve">and </w:t>
      </w:r>
      <w:r>
        <w:rPr>
          <w:noProof/>
          <w:position w:val="3"/>
        </w:rPr>
        <w:drawing>
          <wp:inline distT="0" distB="0" distL="0" distR="0">
            <wp:extent cx="41379" cy="41378"/>
            <wp:effectExtent l="0" t="0" r="0" b="0"/>
            <wp:docPr id="205" name="Image 205"/>
            <wp:cNvGraphicFramePr/>
            <a:graphic xmlns:a="http://schemas.openxmlformats.org/drawingml/2006/main">
              <a:graphicData uri="http://schemas.openxmlformats.org/drawingml/2006/picture">
                <pic:pic xmlns:pic="http://schemas.openxmlformats.org/drawingml/2006/picture">
                  <pic:nvPicPr>
                    <pic:cNvPr id="205" name="Image 205"/>
                    <pic:cNvPicPr/>
                  </pic:nvPicPr>
                  <pic:blipFill>
                    <a:blip xmlns:r="http://schemas.openxmlformats.org/officeDocument/2006/relationships" r:embed="rId179" cstate="print"/>
                    <a:stretch>
                      <a:fillRect/>
                    </a:stretch>
                  </pic:blipFill>
                  <pic:spPr>
                    <a:xfrm>
                      <a:off x="0" y="0"/>
                      <a:ext cx="41379" cy="41378"/>
                    </a:xfrm>
                    <a:prstGeom prst="rect">
                      <a:avLst/>
                    </a:prstGeom>
                  </pic:spPr>
                </pic:pic>
              </a:graphicData>
            </a:graphic>
          </wp:inline>
        </w:drawing>
      </w:r>
      <w:r>
        <w:rPr>
          <w:spacing w:val="80"/>
        </w:rPr>
        <w:t xml:space="preserve"> </w:t>
      </w:r>
      <w:r>
        <w:t>race/ethnicity percentage.</w:t>
      </w:r>
    </w:p>
    <w:p w:rsidR="003F5784" w14:paraId="60B047DC" w14:textId="77777777">
      <w:pPr>
        <w:pStyle w:val="BodyText"/>
        <w:spacing w:before="204"/>
        <w:ind w:left="109"/>
      </w:pPr>
      <w:r>
        <w:t>The</w:t>
      </w:r>
      <w:r>
        <w:rPr>
          <w:spacing w:val="-6"/>
        </w:rPr>
        <w:t xml:space="preserve"> </w:t>
      </w:r>
      <w:r>
        <w:t>collapsing</w:t>
      </w:r>
      <w:r>
        <w:rPr>
          <w:spacing w:val="-6"/>
        </w:rPr>
        <w:t xml:space="preserve"> </w:t>
      </w:r>
      <w:r>
        <w:t>of</w:t>
      </w:r>
      <w:r>
        <w:rPr>
          <w:spacing w:val="-6"/>
        </w:rPr>
        <w:t xml:space="preserve"> </w:t>
      </w:r>
      <w:r>
        <w:t>cells</w:t>
      </w:r>
      <w:r>
        <w:rPr>
          <w:spacing w:val="-6"/>
        </w:rPr>
        <w:t xml:space="preserve"> </w:t>
      </w:r>
      <w:r>
        <w:t>within</w:t>
      </w:r>
      <w:r>
        <w:rPr>
          <w:spacing w:val="-6"/>
        </w:rPr>
        <w:t xml:space="preserve"> </w:t>
      </w:r>
      <w:r>
        <w:t>the</w:t>
      </w:r>
      <w:r>
        <w:rPr>
          <w:spacing w:val="-6"/>
        </w:rPr>
        <w:t xml:space="preserve"> </w:t>
      </w:r>
      <w:r>
        <w:t>noncertainty</w:t>
      </w:r>
      <w:r>
        <w:rPr>
          <w:spacing w:val="-5"/>
        </w:rPr>
        <w:t xml:space="preserve"> </w:t>
      </w:r>
      <w:r>
        <w:t>PSUs</w:t>
      </w:r>
      <w:r>
        <w:rPr>
          <w:spacing w:val="-6"/>
        </w:rPr>
        <w:t xml:space="preserve"> </w:t>
      </w:r>
      <w:r>
        <w:t>was</w:t>
      </w:r>
      <w:r>
        <w:rPr>
          <w:spacing w:val="-6"/>
        </w:rPr>
        <w:t xml:space="preserve"> </w:t>
      </w:r>
      <w:r>
        <w:t>implemented</w:t>
      </w:r>
      <w:r>
        <w:rPr>
          <w:spacing w:val="-6"/>
        </w:rPr>
        <w:t xml:space="preserve"> </w:t>
      </w:r>
      <w:r>
        <w:t>in</w:t>
      </w:r>
      <w:r>
        <w:rPr>
          <w:spacing w:val="-6"/>
        </w:rPr>
        <w:t xml:space="preserve"> </w:t>
      </w:r>
      <w:r>
        <w:t>a</w:t>
      </w:r>
      <w:r>
        <w:rPr>
          <w:spacing w:val="-6"/>
        </w:rPr>
        <w:t xml:space="preserve"> </w:t>
      </w:r>
      <w:r>
        <w:t>fashion</w:t>
      </w:r>
      <w:r>
        <w:rPr>
          <w:spacing w:val="-5"/>
        </w:rPr>
        <w:t xml:space="preserve"> </w:t>
      </w:r>
      <w:r>
        <w:t>similar</w:t>
      </w:r>
      <w:r>
        <w:rPr>
          <w:spacing w:val="-6"/>
        </w:rPr>
        <w:t xml:space="preserve"> </w:t>
      </w:r>
      <w:r>
        <w:t>to</w:t>
      </w:r>
      <w:r>
        <w:rPr>
          <w:spacing w:val="-6"/>
        </w:rPr>
        <w:t xml:space="preserve"> </w:t>
      </w:r>
      <w:r>
        <w:t>that</w:t>
      </w:r>
      <w:r>
        <w:rPr>
          <w:spacing w:val="-6"/>
        </w:rPr>
        <w:t xml:space="preserve"> </w:t>
      </w:r>
      <w:r>
        <w:t>described</w:t>
      </w:r>
      <w:r>
        <w:rPr>
          <w:spacing w:val="-6"/>
        </w:rPr>
        <w:t xml:space="preserve"> </w:t>
      </w:r>
      <w:r>
        <w:t>for</w:t>
      </w:r>
      <w:r>
        <w:rPr>
          <w:spacing w:val="-6"/>
        </w:rPr>
        <w:t xml:space="preserve"> </w:t>
      </w:r>
      <w:r>
        <w:t>certainty</w:t>
      </w:r>
      <w:r>
        <w:rPr>
          <w:spacing w:val="-6"/>
        </w:rPr>
        <w:t xml:space="preserve"> </w:t>
      </w:r>
      <w:r>
        <w:rPr>
          <w:spacing w:val="-2"/>
        </w:rPr>
        <w:t>PSUs.</w:t>
      </w:r>
    </w:p>
    <w:p w:rsidR="003F5784" w14:paraId="65C1AEBE" w14:textId="77777777">
      <w:pPr>
        <w:pStyle w:val="BodyText"/>
        <w:spacing w:before="207" w:line="232" w:lineRule="auto"/>
        <w:ind w:left="109"/>
      </w:pPr>
      <w:r>
        <w:t>For</w:t>
      </w:r>
      <w:r>
        <w:rPr>
          <w:spacing w:val="-11"/>
        </w:rPr>
        <w:t xml:space="preserve"> </w:t>
      </w:r>
      <w:r>
        <w:t>schools</w:t>
      </w:r>
      <w:r>
        <w:rPr>
          <w:spacing w:val="-5"/>
        </w:rPr>
        <w:t xml:space="preserve"> </w:t>
      </w:r>
      <w:r>
        <w:t>in</w:t>
      </w:r>
      <w:r>
        <w:rPr>
          <w:spacing w:val="-5"/>
        </w:rPr>
        <w:t xml:space="preserve"> </w:t>
      </w:r>
      <w:r>
        <w:t>the</w:t>
      </w:r>
      <w:r>
        <w:rPr>
          <w:spacing w:val="-5"/>
        </w:rPr>
        <w:t xml:space="preserve"> </w:t>
      </w:r>
      <w:r>
        <w:t>high</w:t>
      </w:r>
      <w:r>
        <w:rPr>
          <w:spacing w:val="-14"/>
        </w:rPr>
        <w:t xml:space="preserve"> </w:t>
      </w:r>
      <w:r>
        <w:t>AI/AN</w:t>
      </w:r>
      <w:r>
        <w:rPr>
          <w:spacing w:val="-5"/>
        </w:rPr>
        <w:t xml:space="preserve"> </w:t>
      </w:r>
      <w:r>
        <w:t>stratum,</w:t>
      </w:r>
      <w:r>
        <w:rPr>
          <w:spacing w:val="-5"/>
        </w:rPr>
        <w:t xml:space="preserve"> </w:t>
      </w:r>
      <w:r>
        <w:t>the</w:t>
      </w:r>
      <w:r>
        <w:rPr>
          <w:spacing w:val="-5"/>
        </w:rPr>
        <w:t xml:space="preserve"> </w:t>
      </w:r>
      <w:r>
        <w:t>final</w:t>
      </w:r>
      <w:r>
        <w:rPr>
          <w:spacing w:val="-5"/>
        </w:rPr>
        <w:t xml:space="preserve"> </w:t>
      </w:r>
      <w:r>
        <w:t>sort</w:t>
      </w:r>
      <w:r>
        <w:rPr>
          <w:spacing w:val="-5"/>
        </w:rPr>
        <w:t xml:space="preserve"> </w:t>
      </w:r>
      <w:r>
        <w:t>variable</w:t>
      </w:r>
      <w:r>
        <w:rPr>
          <w:spacing w:val="-5"/>
        </w:rPr>
        <w:t xml:space="preserve"> </w:t>
      </w:r>
      <w:r>
        <w:t>was</w:t>
      </w:r>
      <w:r>
        <w:rPr>
          <w:spacing w:val="-5"/>
        </w:rPr>
        <w:t xml:space="preserve"> </w:t>
      </w:r>
      <w:r>
        <w:t>total</w:t>
      </w:r>
      <w:r>
        <w:rPr>
          <w:spacing w:val="-5"/>
        </w:rPr>
        <w:t xml:space="preserve"> </w:t>
      </w:r>
      <w:r>
        <w:t>percentage</w:t>
      </w:r>
      <w:r>
        <w:rPr>
          <w:spacing w:val="-5"/>
        </w:rPr>
        <w:t xml:space="preserve"> </w:t>
      </w:r>
      <w:r>
        <w:t>of</w:t>
      </w:r>
      <w:r>
        <w:rPr>
          <w:spacing w:val="-14"/>
        </w:rPr>
        <w:t xml:space="preserve"> </w:t>
      </w:r>
      <w:r>
        <w:t>AI/AN</w:t>
      </w:r>
      <w:r>
        <w:rPr>
          <w:spacing w:val="-5"/>
        </w:rPr>
        <w:t xml:space="preserve"> </w:t>
      </w:r>
      <w:r>
        <w:t>students.</w:t>
      </w:r>
      <w:r>
        <w:rPr>
          <w:spacing w:val="-5"/>
        </w:rPr>
        <w:t xml:space="preserve"> </w:t>
      </w:r>
      <w:r>
        <w:t>For</w:t>
      </w:r>
      <w:r>
        <w:rPr>
          <w:spacing w:val="-5"/>
        </w:rPr>
        <w:t xml:space="preserve"> </w:t>
      </w:r>
      <w:r>
        <w:t>schools</w:t>
      </w:r>
      <w:r>
        <w:rPr>
          <w:spacing w:val="-5"/>
        </w:rPr>
        <w:t xml:space="preserve"> </w:t>
      </w:r>
      <w:r>
        <w:t>in</w:t>
      </w:r>
      <w:r>
        <w:rPr>
          <w:spacing w:val="-5"/>
        </w:rPr>
        <w:t xml:space="preserve"> </w:t>
      </w:r>
      <w:r>
        <w:t>the</w:t>
      </w:r>
      <w:r>
        <w:rPr>
          <w:spacing w:val="-5"/>
        </w:rPr>
        <w:t xml:space="preserve"> </w:t>
      </w:r>
      <w:r>
        <w:t>low</w:t>
      </w:r>
      <w:r>
        <w:rPr>
          <w:spacing w:val="-14"/>
        </w:rPr>
        <w:t xml:space="preserve"> </w:t>
      </w:r>
      <w:r>
        <w:t>AI/AN</w:t>
      </w:r>
      <w:r>
        <w:rPr>
          <w:spacing w:val="-5"/>
        </w:rPr>
        <w:t xml:space="preserve"> </w:t>
      </w:r>
      <w:r>
        <w:t>stratum,</w:t>
      </w:r>
      <w:r>
        <w:rPr>
          <w:spacing w:val="-5"/>
        </w:rPr>
        <w:t xml:space="preserve"> </w:t>
      </w:r>
      <w:r>
        <w:t>the</w:t>
      </w:r>
      <w:r>
        <w:rPr>
          <w:spacing w:val="-5"/>
        </w:rPr>
        <w:t xml:space="preserve"> </w:t>
      </w:r>
      <w:r>
        <w:t>final</w:t>
      </w:r>
      <w:r>
        <w:rPr>
          <w:spacing w:val="-5"/>
        </w:rPr>
        <w:t xml:space="preserve"> </w:t>
      </w:r>
      <w:r>
        <w:t>sort</w:t>
      </w:r>
      <w:r>
        <w:rPr>
          <w:spacing w:val="-5"/>
        </w:rPr>
        <w:t xml:space="preserve"> </w:t>
      </w:r>
      <w:r>
        <w:t>variable</w:t>
      </w:r>
      <w:r>
        <w:rPr>
          <w:spacing w:val="-5"/>
        </w:rPr>
        <w:t xml:space="preserve"> </w:t>
      </w:r>
      <w:r>
        <w:t>was</w:t>
      </w:r>
      <w:r>
        <w:rPr>
          <w:spacing w:val="-5"/>
        </w:rPr>
        <w:t xml:space="preserve"> </w:t>
      </w:r>
      <w:r>
        <w:t>total percentage of Black, Hispanic, and AI/AN students.</w:t>
      </w:r>
    </w:p>
    <w:p w:rsidR="003F5784" w14:paraId="52599779" w14:textId="77777777">
      <w:pPr>
        <w:pStyle w:val="BodyText"/>
      </w:pPr>
    </w:p>
    <w:p w:rsidR="003F5784" w14:paraId="5214DEBD" w14:textId="77777777">
      <w:pPr>
        <w:pStyle w:val="BodyText"/>
      </w:pPr>
    </w:p>
    <w:p w:rsidR="003F5784" w14:paraId="05B1D414" w14:textId="77777777">
      <w:pPr>
        <w:pStyle w:val="BodyText"/>
        <w:spacing w:before="145"/>
      </w:pPr>
    </w:p>
    <w:p w:rsidR="003F5784" w14:paraId="1221A776" w14:textId="77777777">
      <w:pPr>
        <w:spacing w:before="1"/>
        <w:ind w:left="3957"/>
        <w:rPr>
          <w:sz w:val="18"/>
        </w:rPr>
      </w:pPr>
      <w:hyperlink r:id="rId180">
        <w:r>
          <w:rPr>
            <w:spacing w:val="-2"/>
            <w:w w:val="105"/>
            <w:sz w:val="18"/>
          </w:rPr>
          <w:t>http://nces.ed.gov/nationsreportcard/tdw/sample_design/2022/stratification_of_public_schools_for_the_2022_long_term_trend_assessment.aspx</w:t>
        </w:r>
      </w:hyperlink>
    </w:p>
    <w:p w:rsidR="003F5784" w14:paraId="30220314" w14:textId="77777777">
      <w:pPr>
        <w:pStyle w:val="BodyText"/>
        <w:rPr>
          <w:sz w:val="16"/>
        </w:rPr>
      </w:pPr>
      <w:r>
        <w:rPr>
          <w:noProof/>
        </w:rPr>
        <mc:AlternateContent>
          <mc:Choice Requires="wps">
            <w:drawing>
              <wp:anchor distT="0" distB="0" distL="0" distR="0" simplePos="0" relativeHeight="251864064" behindDoc="1" locked="0" layoutInCell="1" allowOverlap="1">
                <wp:simplePos x="0" y="0"/>
                <wp:positionH relativeFrom="page">
                  <wp:posOffset>361937</wp:posOffset>
                </wp:positionH>
                <wp:positionV relativeFrom="paragraph">
                  <wp:posOffset>132467</wp:posOffset>
                </wp:positionV>
                <wp:extent cx="9339580" cy="8890"/>
                <wp:effectExtent l="0" t="0" r="0" b="0"/>
                <wp:wrapTopAndBottom/>
                <wp:docPr id="206" name="Graphic 20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67"/>
                              </a:lnTo>
                              <a:lnTo>
                                <a:pt x="9335110" y="8305"/>
                              </a:lnTo>
                              <a:lnTo>
                                <a:pt x="9338970" y="8305"/>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06" o:spid="_x0000_s1102" style="width:735.4pt;height:0.7pt;margin-top:10.45pt;margin-left:28.5pt;mso-position-horizontal-relative:page;mso-wrap-distance-bottom:0;mso-wrap-distance-left:0;mso-wrap-distance-right:0;mso-wrap-distance-top:0;mso-wrap-style:square;position:absolute;visibility:visible;v-text-anchor:top;z-index:-251451392" coordsize="9339580,8890" path="m9338970,25l9335110,25l8280,25,,,,8267l9335110,8305l9338970,8305l9338970,25xe" fillcolor="gray" stroked="f">
                <v:path arrowok="t"/>
                <w10:wrap type="topAndBottom"/>
              </v:shape>
            </w:pict>
          </mc:Fallback>
        </mc:AlternateContent>
      </w:r>
    </w:p>
    <w:p w:rsidR="003F5784" w14:paraId="23DCEC5C" w14:textId="77777777">
      <w:pPr>
        <w:pStyle w:val="BodyText"/>
        <w:rPr>
          <w:sz w:val="18"/>
        </w:rPr>
      </w:pPr>
    </w:p>
    <w:p w:rsidR="003F5784" w14:paraId="6D6453F2" w14:textId="77777777">
      <w:pPr>
        <w:pStyle w:val="BodyText"/>
        <w:spacing w:before="193"/>
        <w:rPr>
          <w:sz w:val="18"/>
        </w:rPr>
      </w:pPr>
    </w:p>
    <w:p w:rsidR="003F5784" w14:paraId="3CF5528A" w14:textId="3B8FCC8D">
      <w:pPr>
        <w:pStyle w:val="Heading1"/>
        <w:spacing w:line="244" w:lineRule="auto"/>
        <w:ind w:right="179"/>
      </w:pPr>
      <w:r>
        <w:t>NAEP</w:t>
      </w:r>
      <w:r>
        <w:rPr>
          <w:spacing w:val="-16"/>
        </w:rPr>
        <w:t xml:space="preserve"> </w:t>
      </w:r>
      <w:r>
        <w:t>Technical Documentation</w:t>
      </w:r>
      <w:r w:rsidR="00FB7295">
        <w:t xml:space="preserve"> </w:t>
      </w:r>
      <w:r>
        <w:t>Student Sample Selection for the 2022 Public School Long-Term Trend Assessment</w:t>
      </w:r>
    </w:p>
    <w:p w:rsidR="003F5784" w14:paraId="2A6C5A11" w14:textId="77777777">
      <w:pPr>
        <w:pStyle w:val="BodyText"/>
        <w:spacing w:before="287" w:line="232" w:lineRule="auto"/>
        <w:ind w:left="109"/>
      </w:pPr>
      <w:r>
        <w:t>The</w:t>
      </w:r>
      <w:r>
        <w:rPr>
          <w:spacing w:val="-5"/>
        </w:rPr>
        <w:t xml:space="preserve"> </w:t>
      </w:r>
      <w:r>
        <w:t>sampling</w:t>
      </w:r>
      <w:r>
        <w:rPr>
          <w:spacing w:val="-5"/>
        </w:rPr>
        <w:t xml:space="preserve"> </w:t>
      </w:r>
      <w:r>
        <w:t>of</w:t>
      </w:r>
      <w:r>
        <w:rPr>
          <w:spacing w:val="-5"/>
        </w:rPr>
        <w:t xml:space="preserve"> </w:t>
      </w:r>
      <w:r>
        <w:t>students</w:t>
      </w:r>
      <w:r>
        <w:rPr>
          <w:spacing w:val="-5"/>
        </w:rPr>
        <w:t xml:space="preserve"> </w:t>
      </w:r>
      <w:r>
        <w:t>for</w:t>
      </w:r>
      <w:r>
        <w:rPr>
          <w:spacing w:val="-5"/>
        </w:rPr>
        <w:t xml:space="preserve"> </w:t>
      </w:r>
      <w:r>
        <w:t>the</w:t>
      </w:r>
      <w:r>
        <w:rPr>
          <w:spacing w:val="-5"/>
        </w:rPr>
        <w:t xml:space="preserve"> </w:t>
      </w:r>
      <w:r>
        <w:t>public</w:t>
      </w:r>
      <w:r>
        <w:rPr>
          <w:spacing w:val="-5"/>
        </w:rPr>
        <w:t xml:space="preserve"> </w:t>
      </w:r>
      <w:r>
        <w:t>school</w:t>
      </w:r>
      <w:r>
        <w:rPr>
          <w:spacing w:val="-5"/>
        </w:rPr>
        <w:t xml:space="preserve"> </w:t>
      </w:r>
      <w:r>
        <w:t>assessments</w:t>
      </w:r>
      <w:r>
        <w:rPr>
          <w:spacing w:val="-5"/>
        </w:rPr>
        <w:t xml:space="preserve"> </w:t>
      </w:r>
      <w:r>
        <w:t>involved</w:t>
      </w:r>
      <w:r>
        <w:rPr>
          <w:spacing w:val="-5"/>
        </w:rPr>
        <w:t xml:space="preserve"> </w:t>
      </w:r>
      <w:r>
        <w:t>two</w:t>
      </w:r>
      <w:r>
        <w:rPr>
          <w:spacing w:val="-5"/>
        </w:rPr>
        <w:t xml:space="preserve"> </w:t>
      </w:r>
      <w:r>
        <w:t>steps:</w:t>
      </w:r>
      <w:r>
        <w:rPr>
          <w:spacing w:val="-5"/>
        </w:rPr>
        <w:t xml:space="preserve"> </w:t>
      </w:r>
      <w:r>
        <w:t>(1)</w:t>
      </w:r>
      <w:r>
        <w:rPr>
          <w:spacing w:val="-5"/>
        </w:rPr>
        <w:t xml:space="preserve"> </w:t>
      </w:r>
      <w:r>
        <w:t>sampling</w:t>
      </w:r>
      <w:r>
        <w:rPr>
          <w:spacing w:val="-5"/>
        </w:rPr>
        <w:t xml:space="preserve"> </w:t>
      </w:r>
      <w:r>
        <w:t>of</w:t>
      </w:r>
      <w:r>
        <w:rPr>
          <w:spacing w:val="-5"/>
        </w:rPr>
        <w:t xml:space="preserve"> </w:t>
      </w:r>
      <w:r>
        <w:t>students</w:t>
      </w:r>
      <w:r>
        <w:rPr>
          <w:spacing w:val="-5"/>
        </w:rPr>
        <w:t xml:space="preserve"> </w:t>
      </w:r>
      <w:r>
        <w:t>of</w:t>
      </w:r>
      <w:r>
        <w:rPr>
          <w:spacing w:val="-5"/>
        </w:rPr>
        <w:t xml:space="preserve"> </w:t>
      </w:r>
      <w:r>
        <w:t>the</w:t>
      </w:r>
      <w:r>
        <w:rPr>
          <w:spacing w:val="-5"/>
        </w:rPr>
        <w:t xml:space="preserve"> </w:t>
      </w:r>
      <w:r>
        <w:t>targeted</w:t>
      </w:r>
      <w:r>
        <w:rPr>
          <w:spacing w:val="-5"/>
        </w:rPr>
        <w:t xml:space="preserve"> </w:t>
      </w:r>
      <w:r>
        <w:t>age</w:t>
      </w:r>
      <w:r>
        <w:rPr>
          <w:spacing w:val="-5"/>
        </w:rPr>
        <w:t xml:space="preserve"> </w:t>
      </w:r>
      <w:r>
        <w:t>(9</w:t>
      </w:r>
      <w:r>
        <w:rPr>
          <w:spacing w:val="-5"/>
        </w:rPr>
        <w:t xml:space="preserve"> </w:t>
      </w:r>
      <w:r>
        <w:t>or</w:t>
      </w:r>
      <w:r>
        <w:rPr>
          <w:spacing w:val="-5"/>
        </w:rPr>
        <w:t xml:space="preserve"> </w:t>
      </w:r>
      <w:r>
        <w:t>13)</w:t>
      </w:r>
      <w:r>
        <w:rPr>
          <w:spacing w:val="-5"/>
        </w:rPr>
        <w:t xml:space="preserve"> </w:t>
      </w:r>
      <w:r>
        <w:t>from</w:t>
      </w:r>
      <w:r>
        <w:rPr>
          <w:spacing w:val="-5"/>
        </w:rPr>
        <w:t xml:space="preserve"> </w:t>
      </w:r>
      <w:r>
        <w:t>each</w:t>
      </w:r>
      <w:r>
        <w:rPr>
          <w:spacing w:val="-5"/>
        </w:rPr>
        <w:t xml:space="preserve"> </w:t>
      </w:r>
      <w:r>
        <w:t>sampled</w:t>
      </w:r>
      <w:r>
        <w:rPr>
          <w:spacing w:val="-5"/>
        </w:rPr>
        <w:t xml:space="preserve"> </w:t>
      </w:r>
      <w:r>
        <w:t>school,</w:t>
      </w:r>
      <w:r>
        <w:rPr>
          <w:spacing w:val="-5"/>
        </w:rPr>
        <w:t xml:space="preserve"> </w:t>
      </w:r>
      <w:r>
        <w:t>and</w:t>
      </w:r>
      <w:r>
        <w:rPr>
          <w:spacing w:val="-5"/>
        </w:rPr>
        <w:t xml:space="preserve"> </w:t>
      </w:r>
      <w:r>
        <w:t>(2) assignment of assessment subject (mathematics or reading) to the sampled students.</w:t>
      </w:r>
    </w:p>
    <w:p w:rsidR="003F5784" w14:paraId="19C8012A" w14:textId="77777777">
      <w:pPr>
        <w:pStyle w:val="BodyText"/>
        <w:spacing w:before="203"/>
        <w:ind w:left="109"/>
      </w:pPr>
      <w:r>
        <w:rPr>
          <w:u w:val="single"/>
        </w:rPr>
        <w:t>Sampling</w:t>
      </w:r>
      <w:r>
        <w:rPr>
          <w:spacing w:val="-37"/>
        </w:rPr>
        <w:t xml:space="preserve"> </w:t>
      </w:r>
      <w:r>
        <w:rPr>
          <w:spacing w:val="-17"/>
          <w:u w:val="single"/>
        </w:rPr>
        <w:t xml:space="preserve"> </w:t>
      </w:r>
      <w:r>
        <w:rPr>
          <w:u w:val="single"/>
        </w:rPr>
        <w:t>Students</w:t>
      </w:r>
      <w:r>
        <w:rPr>
          <w:spacing w:val="-13"/>
          <w:u w:val="single"/>
        </w:rPr>
        <w:t xml:space="preserve"> </w:t>
      </w:r>
      <w:r>
        <w:rPr>
          <w:u w:val="single"/>
        </w:rPr>
        <w:t>within</w:t>
      </w:r>
      <w:r>
        <w:rPr>
          <w:spacing w:val="-10"/>
          <w:u w:val="single"/>
        </w:rPr>
        <w:t xml:space="preserve"> </w:t>
      </w:r>
      <w:r>
        <w:rPr>
          <w:u w:val="single"/>
        </w:rPr>
        <w:t>Sampled</w:t>
      </w:r>
      <w:r>
        <w:rPr>
          <w:spacing w:val="-8"/>
          <w:u w:val="single"/>
        </w:rPr>
        <w:t xml:space="preserve"> </w:t>
      </w:r>
      <w:r>
        <w:rPr>
          <w:spacing w:val="-2"/>
          <w:u w:val="single"/>
        </w:rPr>
        <w:t>Schools</w:t>
      </w:r>
    </w:p>
    <w:p w:rsidR="003F5784" w14:paraId="28E16A92" w14:textId="77777777">
      <w:pPr>
        <w:pStyle w:val="BodyText"/>
        <w:spacing w:before="202"/>
        <w:ind w:left="109"/>
      </w:pPr>
      <w:r>
        <w:t>All</w:t>
      </w:r>
      <w:r>
        <w:rPr>
          <w:spacing w:val="-6"/>
        </w:rPr>
        <w:t xml:space="preserve"> </w:t>
      </w:r>
      <w:r>
        <w:t>age-eligible</w:t>
      </w:r>
      <w:r>
        <w:rPr>
          <w:spacing w:val="-5"/>
        </w:rPr>
        <w:t xml:space="preserve"> </w:t>
      </w:r>
      <w:r>
        <w:t>students</w:t>
      </w:r>
      <w:r>
        <w:rPr>
          <w:spacing w:val="-5"/>
        </w:rPr>
        <w:t xml:space="preserve"> </w:t>
      </w:r>
      <w:r>
        <w:t>in</w:t>
      </w:r>
      <w:r>
        <w:rPr>
          <w:spacing w:val="-6"/>
        </w:rPr>
        <w:t xml:space="preserve"> </w:t>
      </w:r>
      <w:r>
        <w:t>the</w:t>
      </w:r>
      <w:r>
        <w:rPr>
          <w:spacing w:val="-5"/>
        </w:rPr>
        <w:t xml:space="preserve"> </w:t>
      </w:r>
      <w:r>
        <w:t>school</w:t>
      </w:r>
      <w:r>
        <w:rPr>
          <w:spacing w:val="-5"/>
        </w:rPr>
        <w:t xml:space="preserve"> </w:t>
      </w:r>
      <w:r>
        <w:t>were</w:t>
      </w:r>
      <w:r>
        <w:rPr>
          <w:spacing w:val="-5"/>
        </w:rPr>
        <w:t xml:space="preserve"> </w:t>
      </w:r>
      <w:r>
        <w:t>sampled</w:t>
      </w:r>
      <w:r>
        <w:rPr>
          <w:spacing w:val="-6"/>
        </w:rPr>
        <w:t xml:space="preserve"> </w:t>
      </w:r>
      <w:r>
        <w:t>if</w:t>
      </w:r>
      <w:r>
        <w:rPr>
          <w:spacing w:val="-5"/>
        </w:rPr>
        <w:t xml:space="preserve"> </w:t>
      </w:r>
      <w:r>
        <w:t>the</w:t>
      </w:r>
      <w:r>
        <w:rPr>
          <w:spacing w:val="-5"/>
        </w:rPr>
        <w:t xml:space="preserve"> </w:t>
      </w:r>
      <w:r>
        <w:t>school</w:t>
      </w:r>
      <w:r>
        <w:rPr>
          <w:spacing w:val="-6"/>
        </w:rPr>
        <w:t xml:space="preserve"> </w:t>
      </w:r>
      <w:r>
        <w:t>had</w:t>
      </w:r>
      <w:r>
        <w:rPr>
          <w:spacing w:val="-5"/>
        </w:rPr>
        <w:t xml:space="preserve"> </w:t>
      </w:r>
      <w:r>
        <w:t>50</w:t>
      </w:r>
      <w:r>
        <w:rPr>
          <w:spacing w:val="-5"/>
        </w:rPr>
        <w:t xml:space="preserve"> </w:t>
      </w:r>
      <w:r>
        <w:t>or</w:t>
      </w:r>
      <w:r>
        <w:rPr>
          <w:spacing w:val="-5"/>
        </w:rPr>
        <w:t xml:space="preserve"> </w:t>
      </w:r>
      <w:r>
        <w:t>fewer</w:t>
      </w:r>
      <w:r>
        <w:rPr>
          <w:spacing w:val="-6"/>
        </w:rPr>
        <w:t xml:space="preserve"> </w:t>
      </w:r>
      <w:r>
        <w:t>students</w:t>
      </w:r>
      <w:r>
        <w:rPr>
          <w:spacing w:val="-5"/>
        </w:rPr>
        <w:t xml:space="preserve"> </w:t>
      </w:r>
      <w:r>
        <w:t>of</w:t>
      </w:r>
      <w:r>
        <w:rPr>
          <w:spacing w:val="-5"/>
        </w:rPr>
        <w:t xml:space="preserve"> </w:t>
      </w:r>
      <w:r>
        <w:t>that</w:t>
      </w:r>
      <w:r>
        <w:rPr>
          <w:spacing w:val="-5"/>
        </w:rPr>
        <w:t xml:space="preserve"> </w:t>
      </w:r>
      <w:r>
        <w:t>age.</w:t>
      </w:r>
      <w:r>
        <w:rPr>
          <w:spacing w:val="-6"/>
        </w:rPr>
        <w:t xml:space="preserve"> </w:t>
      </w:r>
      <w:r>
        <w:t>Otherwise,</w:t>
      </w:r>
      <w:r>
        <w:rPr>
          <w:spacing w:val="-5"/>
        </w:rPr>
        <w:t xml:space="preserve"> </w:t>
      </w:r>
      <w:r>
        <w:t>a</w:t>
      </w:r>
      <w:r>
        <w:rPr>
          <w:spacing w:val="-5"/>
        </w:rPr>
        <w:t xml:space="preserve"> </w:t>
      </w:r>
      <w:r>
        <w:t>sample</w:t>
      </w:r>
      <w:r>
        <w:rPr>
          <w:spacing w:val="-6"/>
        </w:rPr>
        <w:t xml:space="preserve"> </w:t>
      </w:r>
      <w:r>
        <w:t>of</w:t>
      </w:r>
      <w:r>
        <w:rPr>
          <w:spacing w:val="-5"/>
        </w:rPr>
        <w:t xml:space="preserve"> </w:t>
      </w:r>
      <w:r>
        <w:t>50</w:t>
      </w:r>
      <w:r>
        <w:rPr>
          <w:spacing w:val="-5"/>
        </w:rPr>
        <w:t xml:space="preserve"> </w:t>
      </w:r>
      <w:r>
        <w:t>students</w:t>
      </w:r>
      <w:r>
        <w:rPr>
          <w:spacing w:val="-5"/>
        </w:rPr>
        <w:t xml:space="preserve"> </w:t>
      </w:r>
      <w:r>
        <w:t>was</w:t>
      </w:r>
      <w:r>
        <w:rPr>
          <w:spacing w:val="-6"/>
        </w:rPr>
        <w:t xml:space="preserve"> </w:t>
      </w:r>
      <w:r>
        <w:t>selected</w:t>
      </w:r>
      <w:r>
        <w:rPr>
          <w:spacing w:val="-5"/>
        </w:rPr>
        <w:t xml:space="preserve"> </w:t>
      </w:r>
      <w:r>
        <w:t>without</w:t>
      </w:r>
      <w:r>
        <w:rPr>
          <w:spacing w:val="-5"/>
        </w:rPr>
        <w:t xml:space="preserve"> </w:t>
      </w:r>
      <w:r>
        <w:rPr>
          <w:spacing w:val="-2"/>
        </w:rPr>
        <w:t>replacement.</w:t>
      </w:r>
    </w:p>
    <w:p w:rsidR="003F5784" w14:paraId="6AC2335C" w14:textId="77777777">
      <w:pPr>
        <w:pStyle w:val="BodyText"/>
        <w:spacing w:before="207" w:line="232" w:lineRule="auto"/>
        <w:ind w:left="109"/>
      </w:pPr>
      <w:r>
        <w:t>To increase the numbers of Black, Hispanic, and</w:t>
      </w:r>
      <w:r>
        <w:rPr>
          <w:spacing w:val="-11"/>
        </w:rPr>
        <w:t xml:space="preserve"> </w:t>
      </w:r>
      <w:r>
        <w:t>American Indian/Alaska Native (AI/AN) students in the assessment, students who were Black, Hispanic, or</w:t>
      </w:r>
      <w:r>
        <w:rPr>
          <w:spacing w:val="-11"/>
        </w:rPr>
        <w:t xml:space="preserve"> </w:t>
      </w:r>
      <w:r>
        <w:t>AI/AN were oversampled</w:t>
      </w:r>
      <w:r>
        <w:rPr>
          <w:spacing w:val="-3"/>
        </w:rPr>
        <w:t xml:space="preserve"> </w:t>
      </w:r>
      <w:r>
        <w:t>in</w:t>
      </w:r>
      <w:r>
        <w:rPr>
          <w:spacing w:val="-3"/>
        </w:rPr>
        <w:t xml:space="preserve"> </w:t>
      </w:r>
      <w:r>
        <w:t>some</w:t>
      </w:r>
      <w:r>
        <w:rPr>
          <w:spacing w:val="-3"/>
        </w:rPr>
        <w:t xml:space="preserve"> </w:t>
      </w:r>
      <w:r>
        <w:t>public</w:t>
      </w:r>
      <w:r>
        <w:rPr>
          <w:spacing w:val="-3"/>
        </w:rPr>
        <w:t xml:space="preserve"> </w:t>
      </w:r>
      <w:r>
        <w:t>schools.</w:t>
      </w:r>
      <w:r>
        <w:rPr>
          <w:spacing w:val="-3"/>
        </w:rPr>
        <w:t xml:space="preserve"> </w:t>
      </w:r>
      <w:r>
        <w:t>In</w:t>
      </w:r>
      <w:r>
        <w:rPr>
          <w:spacing w:val="-3"/>
        </w:rPr>
        <w:t xml:space="preserve"> </w:t>
      </w:r>
      <w:r>
        <w:t>particular,</w:t>
      </w:r>
      <w:r>
        <w:rPr>
          <w:spacing w:val="-3"/>
        </w:rPr>
        <w:t xml:space="preserve"> </w:t>
      </w:r>
      <w:r>
        <w:t>up</w:t>
      </w:r>
      <w:r>
        <w:rPr>
          <w:spacing w:val="-3"/>
        </w:rPr>
        <w:t xml:space="preserve"> </w:t>
      </w:r>
      <w:r>
        <w:t>to</w:t>
      </w:r>
      <w:r>
        <w:rPr>
          <w:spacing w:val="-3"/>
        </w:rPr>
        <w:t xml:space="preserve"> </w:t>
      </w:r>
      <w:r>
        <w:t>5</w:t>
      </w:r>
      <w:r>
        <w:rPr>
          <w:spacing w:val="-3"/>
        </w:rPr>
        <w:t xml:space="preserve"> </w:t>
      </w:r>
      <w:r>
        <w:t>extra</w:t>
      </w:r>
      <w:r>
        <w:rPr>
          <w:spacing w:val="-3"/>
        </w:rPr>
        <w:t xml:space="preserve"> </w:t>
      </w:r>
      <w:r>
        <w:t>Black,</w:t>
      </w:r>
      <w:r>
        <w:rPr>
          <w:spacing w:val="-3"/>
        </w:rPr>
        <w:t xml:space="preserve"> </w:t>
      </w:r>
      <w:r>
        <w:t>Hispanic,</w:t>
      </w:r>
      <w:r>
        <w:rPr>
          <w:spacing w:val="-3"/>
        </w:rPr>
        <w:t xml:space="preserve"> </w:t>
      </w:r>
      <w:r>
        <w:t>or</w:t>
      </w:r>
      <w:r>
        <w:rPr>
          <w:spacing w:val="-14"/>
        </w:rPr>
        <w:t xml:space="preserve"> </w:t>
      </w:r>
      <w:r>
        <w:t>AI/AN</w:t>
      </w:r>
      <w:r>
        <w:rPr>
          <w:spacing w:val="-2"/>
        </w:rPr>
        <w:t xml:space="preserve"> </w:t>
      </w:r>
      <w:r>
        <w:t>students</w:t>
      </w:r>
      <w:r>
        <w:rPr>
          <w:spacing w:val="-3"/>
        </w:rPr>
        <w:t xml:space="preserve"> </w:t>
      </w:r>
      <w:r>
        <w:t>were</w:t>
      </w:r>
      <w:r>
        <w:rPr>
          <w:spacing w:val="-3"/>
        </w:rPr>
        <w:t xml:space="preserve"> </w:t>
      </w:r>
      <w:r>
        <w:t>selected</w:t>
      </w:r>
      <w:r>
        <w:rPr>
          <w:spacing w:val="-3"/>
        </w:rPr>
        <w:t xml:space="preserve"> </w:t>
      </w:r>
      <w:r>
        <w:t>in</w:t>
      </w:r>
      <w:r>
        <w:rPr>
          <w:spacing w:val="-3"/>
        </w:rPr>
        <w:t xml:space="preserve"> </w:t>
      </w:r>
      <w:r>
        <w:t>public</w:t>
      </w:r>
      <w:r>
        <w:rPr>
          <w:spacing w:val="-3"/>
        </w:rPr>
        <w:t xml:space="preserve"> </w:t>
      </w:r>
      <w:r>
        <w:t>schools</w:t>
      </w:r>
      <w:r>
        <w:rPr>
          <w:spacing w:val="-3"/>
        </w:rPr>
        <w:t xml:space="preserve"> </w:t>
      </w:r>
      <w:r>
        <w:t>that</w:t>
      </w:r>
      <w:r>
        <w:rPr>
          <w:spacing w:val="-3"/>
        </w:rPr>
        <w:t xml:space="preserve"> </w:t>
      </w:r>
      <w:r>
        <w:t>were</w:t>
      </w:r>
      <w:r>
        <w:rPr>
          <w:spacing w:val="-3"/>
        </w:rPr>
        <w:t xml:space="preserve"> </w:t>
      </w:r>
      <w:r>
        <w:t>in</w:t>
      </w:r>
      <w:r>
        <w:rPr>
          <w:spacing w:val="-3"/>
        </w:rPr>
        <w:t xml:space="preserve"> </w:t>
      </w:r>
      <w:r>
        <w:t>both</w:t>
      </w:r>
      <w:r>
        <w:rPr>
          <w:spacing w:val="-3"/>
        </w:rPr>
        <w:t xml:space="preserve"> </w:t>
      </w:r>
      <w:r>
        <w:t>the</w:t>
      </w:r>
      <w:r>
        <w:rPr>
          <w:spacing w:val="-3"/>
        </w:rPr>
        <w:t xml:space="preserve"> </w:t>
      </w:r>
      <w:r>
        <w:t>low</w:t>
      </w:r>
      <w:r>
        <w:rPr>
          <w:spacing w:val="-3"/>
        </w:rPr>
        <w:t xml:space="preserve"> </w:t>
      </w:r>
      <w:r>
        <w:t>Black/Hispanic stratum and the low</w:t>
      </w:r>
      <w:r>
        <w:rPr>
          <w:spacing w:val="-11"/>
        </w:rPr>
        <w:t xml:space="preserve"> </w:t>
      </w:r>
      <w:r>
        <w:t>AI/AN stratum for school sampling. Such schools had less than 15 percent (and less than 10) Black/Hispanic students in the sample age, and less than 5 percent (and less than 5)</w:t>
      </w:r>
      <w:r>
        <w:rPr>
          <w:spacing w:val="-11"/>
        </w:rPr>
        <w:t xml:space="preserve"> </w:t>
      </w:r>
      <w:r>
        <w:t>AI/AN students in the sample age. In these schools only, and only if the school E-filed (see next paragraph), a special sampling procedure was implemented</w:t>
      </w:r>
      <w:r>
        <w:rPr>
          <w:spacing w:val="-12"/>
        </w:rPr>
        <w:t xml:space="preserve"> </w:t>
      </w:r>
      <w:r>
        <w:t>that</w:t>
      </w:r>
      <w:r>
        <w:rPr>
          <w:spacing w:val="-8"/>
        </w:rPr>
        <w:t xml:space="preserve"> </w:t>
      </w:r>
      <w:r>
        <w:t>required</w:t>
      </w:r>
      <w:r>
        <w:rPr>
          <w:spacing w:val="-8"/>
        </w:rPr>
        <w:t xml:space="preserve"> </w:t>
      </w:r>
      <w:r>
        <w:t>selecting</w:t>
      </w:r>
      <w:r>
        <w:rPr>
          <w:spacing w:val="-8"/>
        </w:rPr>
        <w:t xml:space="preserve"> </w:t>
      </w:r>
      <w:r>
        <w:t>the</w:t>
      </w:r>
      <w:r>
        <w:rPr>
          <w:spacing w:val="-8"/>
        </w:rPr>
        <w:t xml:space="preserve"> </w:t>
      </w:r>
      <w:r>
        <w:t>Black,</w:t>
      </w:r>
      <w:r>
        <w:rPr>
          <w:spacing w:val="-8"/>
        </w:rPr>
        <w:t xml:space="preserve"> </w:t>
      </w:r>
      <w:r>
        <w:t>Hispanic,</w:t>
      </w:r>
      <w:r>
        <w:rPr>
          <w:spacing w:val="-8"/>
        </w:rPr>
        <w:t xml:space="preserve"> </w:t>
      </w:r>
      <w:r>
        <w:t>and</w:t>
      </w:r>
      <w:r>
        <w:rPr>
          <w:spacing w:val="-14"/>
        </w:rPr>
        <w:t xml:space="preserve"> </w:t>
      </w:r>
      <w:r>
        <w:t>AI/AN</w:t>
      </w:r>
      <w:r>
        <w:rPr>
          <w:spacing w:val="-7"/>
        </w:rPr>
        <w:t xml:space="preserve"> </w:t>
      </w:r>
      <w:r>
        <w:t>students</w:t>
      </w:r>
      <w:r>
        <w:rPr>
          <w:spacing w:val="-8"/>
        </w:rPr>
        <w:t xml:space="preserve"> </w:t>
      </w:r>
      <w:r>
        <w:t>separately</w:t>
      </w:r>
      <w:r>
        <w:rPr>
          <w:spacing w:val="-8"/>
        </w:rPr>
        <w:t xml:space="preserve"> </w:t>
      </w:r>
      <w:r>
        <w:t>from</w:t>
      </w:r>
      <w:r>
        <w:rPr>
          <w:spacing w:val="-8"/>
        </w:rPr>
        <w:t xml:space="preserve"> </w:t>
      </w:r>
      <w:r>
        <w:t>the</w:t>
      </w:r>
      <w:r>
        <w:rPr>
          <w:spacing w:val="-8"/>
        </w:rPr>
        <w:t xml:space="preserve"> </w:t>
      </w:r>
      <w:r>
        <w:t>non-Black,</w:t>
      </w:r>
      <w:r>
        <w:rPr>
          <w:spacing w:val="-8"/>
        </w:rPr>
        <w:t xml:space="preserve"> </w:t>
      </w:r>
      <w:r>
        <w:t>non-Hispanic,</w:t>
      </w:r>
      <w:r>
        <w:rPr>
          <w:spacing w:val="-8"/>
        </w:rPr>
        <w:t xml:space="preserve"> </w:t>
      </w:r>
      <w:r>
        <w:t>non-AI/AN</w:t>
      </w:r>
      <w:r>
        <w:rPr>
          <w:spacing w:val="-8"/>
        </w:rPr>
        <w:t xml:space="preserve"> </w:t>
      </w:r>
      <w:r>
        <w:t>students</w:t>
      </w:r>
      <w:r>
        <w:rPr>
          <w:spacing w:val="-8"/>
        </w:rPr>
        <w:t xml:space="preserve"> </w:t>
      </w:r>
      <w:r>
        <w:t>using</w:t>
      </w:r>
      <w:r>
        <w:rPr>
          <w:spacing w:val="-8"/>
        </w:rPr>
        <w:t xml:space="preserve"> </w:t>
      </w:r>
      <w:r>
        <w:t>two</w:t>
      </w:r>
      <w:r>
        <w:rPr>
          <w:spacing w:val="-8"/>
        </w:rPr>
        <w:t xml:space="preserve"> </w:t>
      </w:r>
      <w:r>
        <w:t>different</w:t>
      </w:r>
      <w:r>
        <w:rPr>
          <w:spacing w:val="-8"/>
        </w:rPr>
        <w:t xml:space="preserve"> </w:t>
      </w:r>
      <w:r>
        <w:t>sampling rates.</w:t>
      </w:r>
      <w:r>
        <w:rPr>
          <w:spacing w:val="-6"/>
        </w:rPr>
        <w:t xml:space="preserve"> </w:t>
      </w:r>
      <w:r>
        <w:t>Within</w:t>
      </w:r>
      <w:r>
        <w:rPr>
          <w:spacing w:val="-2"/>
        </w:rPr>
        <w:t xml:space="preserve"> </w:t>
      </w:r>
      <w:r>
        <w:t>each</w:t>
      </w:r>
      <w:r>
        <w:rPr>
          <w:spacing w:val="-2"/>
        </w:rPr>
        <w:t xml:space="preserve"> </w:t>
      </w:r>
      <w:r>
        <w:t>school,</w:t>
      </w:r>
      <w:r>
        <w:rPr>
          <w:spacing w:val="-2"/>
        </w:rPr>
        <w:t xml:space="preserve"> </w:t>
      </w:r>
      <w:r>
        <w:t>a</w:t>
      </w:r>
      <w:r>
        <w:rPr>
          <w:spacing w:val="-2"/>
        </w:rPr>
        <w:t xml:space="preserve"> </w:t>
      </w:r>
      <w:r>
        <w:t>cap</w:t>
      </w:r>
      <w:r>
        <w:rPr>
          <w:spacing w:val="-2"/>
        </w:rPr>
        <w:t xml:space="preserve"> </w:t>
      </w:r>
      <w:r>
        <w:t>was</w:t>
      </w:r>
      <w:r>
        <w:rPr>
          <w:spacing w:val="-2"/>
        </w:rPr>
        <w:t xml:space="preserve"> </w:t>
      </w:r>
      <w:r>
        <w:t>placed</w:t>
      </w:r>
      <w:r>
        <w:rPr>
          <w:spacing w:val="-2"/>
        </w:rPr>
        <w:t xml:space="preserve"> </w:t>
      </w:r>
      <w:r>
        <w:t>on</w:t>
      </w:r>
      <w:r>
        <w:rPr>
          <w:spacing w:val="-2"/>
        </w:rPr>
        <w:t xml:space="preserve"> </w:t>
      </w:r>
      <w:r>
        <w:t>the</w:t>
      </w:r>
      <w:r>
        <w:rPr>
          <w:spacing w:val="-2"/>
        </w:rPr>
        <w:t xml:space="preserve"> </w:t>
      </w:r>
      <w:r>
        <w:t>sampling</w:t>
      </w:r>
      <w:r>
        <w:rPr>
          <w:spacing w:val="-2"/>
        </w:rPr>
        <w:t xml:space="preserve"> </w:t>
      </w:r>
      <w:r>
        <w:t>rate</w:t>
      </w:r>
      <w:r>
        <w:rPr>
          <w:spacing w:val="-2"/>
        </w:rPr>
        <w:t xml:space="preserve"> </w:t>
      </w:r>
      <w:r>
        <w:t>of</w:t>
      </w:r>
      <w:r>
        <w:rPr>
          <w:spacing w:val="-2"/>
        </w:rPr>
        <w:t xml:space="preserve"> </w:t>
      </w:r>
      <w:r>
        <w:t>the</w:t>
      </w:r>
      <w:r>
        <w:rPr>
          <w:spacing w:val="-2"/>
        </w:rPr>
        <w:t xml:space="preserve"> </w:t>
      </w:r>
      <w:r>
        <w:t>Black,</w:t>
      </w:r>
      <w:r>
        <w:rPr>
          <w:spacing w:val="-2"/>
        </w:rPr>
        <w:t xml:space="preserve"> </w:t>
      </w:r>
      <w:r>
        <w:t>Hispanic,</w:t>
      </w:r>
      <w:r>
        <w:rPr>
          <w:spacing w:val="-2"/>
        </w:rPr>
        <w:t xml:space="preserve"> </w:t>
      </w:r>
      <w:r>
        <w:t>and</w:t>
      </w:r>
      <w:r>
        <w:rPr>
          <w:spacing w:val="-13"/>
        </w:rPr>
        <w:t xml:space="preserve"> </w:t>
      </w:r>
      <w:r>
        <w:t>AI/AN</w:t>
      </w:r>
      <w:r>
        <w:rPr>
          <w:spacing w:val="-2"/>
        </w:rPr>
        <w:t xml:space="preserve"> </w:t>
      </w:r>
      <w:r>
        <w:t>students</w:t>
      </w:r>
      <w:r>
        <w:rPr>
          <w:spacing w:val="-2"/>
        </w:rPr>
        <w:t xml:space="preserve"> </w:t>
      </w:r>
      <w:r>
        <w:t>so</w:t>
      </w:r>
      <w:r>
        <w:rPr>
          <w:spacing w:val="-2"/>
        </w:rPr>
        <w:t xml:space="preserve"> </w:t>
      </w:r>
      <w:r>
        <w:t>that</w:t>
      </w:r>
      <w:r>
        <w:rPr>
          <w:spacing w:val="-2"/>
        </w:rPr>
        <w:t xml:space="preserve"> </w:t>
      </w:r>
      <w:r>
        <w:t>it</w:t>
      </w:r>
      <w:r>
        <w:rPr>
          <w:spacing w:val="-2"/>
        </w:rPr>
        <w:t xml:space="preserve"> </w:t>
      </w:r>
      <w:r>
        <w:t>was</w:t>
      </w:r>
      <w:r>
        <w:rPr>
          <w:spacing w:val="-2"/>
        </w:rPr>
        <w:t xml:space="preserve"> </w:t>
      </w:r>
      <w:r>
        <w:t>no</w:t>
      </w:r>
      <w:r>
        <w:rPr>
          <w:spacing w:val="-2"/>
        </w:rPr>
        <w:t xml:space="preserve"> </w:t>
      </w:r>
      <w:r>
        <w:t>more</w:t>
      </w:r>
      <w:r>
        <w:rPr>
          <w:spacing w:val="-2"/>
        </w:rPr>
        <w:t xml:space="preserve"> </w:t>
      </w:r>
      <w:r>
        <w:t>than</w:t>
      </w:r>
      <w:r>
        <w:rPr>
          <w:spacing w:val="-2"/>
        </w:rPr>
        <w:t xml:space="preserve"> </w:t>
      </w:r>
      <w:r>
        <w:t>twice</w:t>
      </w:r>
      <w:r>
        <w:rPr>
          <w:spacing w:val="-2"/>
        </w:rPr>
        <w:t xml:space="preserve"> </w:t>
      </w:r>
      <w:r>
        <w:t>the</w:t>
      </w:r>
      <w:r>
        <w:rPr>
          <w:spacing w:val="-2"/>
        </w:rPr>
        <w:t xml:space="preserve"> </w:t>
      </w:r>
      <w:r>
        <w:t>sampling</w:t>
      </w:r>
      <w:r>
        <w:rPr>
          <w:spacing w:val="-2"/>
        </w:rPr>
        <w:t xml:space="preserve"> </w:t>
      </w:r>
      <w:r>
        <w:t>rate</w:t>
      </w:r>
      <w:r>
        <w:rPr>
          <w:spacing w:val="-2"/>
        </w:rPr>
        <w:t xml:space="preserve"> </w:t>
      </w:r>
      <w:r>
        <w:t>for</w:t>
      </w:r>
      <w:r>
        <w:rPr>
          <w:spacing w:val="-2"/>
        </w:rPr>
        <w:t xml:space="preserve"> </w:t>
      </w:r>
      <w:r>
        <w:t>the</w:t>
      </w:r>
      <w:r>
        <w:rPr>
          <w:spacing w:val="-2"/>
        </w:rPr>
        <w:t xml:space="preserve"> </w:t>
      </w:r>
      <w:r>
        <w:t>other students. This oversampling was implemented in about 130 public schools.</w:t>
      </w:r>
    </w:p>
    <w:p w:rsidR="003F5784" w14:paraId="373945D6" w14:textId="77777777">
      <w:pPr>
        <w:pStyle w:val="BodyText"/>
        <w:spacing w:before="211" w:line="232" w:lineRule="auto"/>
        <w:ind w:left="109" w:right="212"/>
      </w:pPr>
      <w:r>
        <w:t>Within</w:t>
      </w:r>
      <w:r>
        <w:rPr>
          <w:spacing w:val="-6"/>
        </w:rPr>
        <w:t xml:space="preserve"> </w:t>
      </w:r>
      <w:r>
        <w:t>each</w:t>
      </w:r>
      <w:r>
        <w:rPr>
          <w:spacing w:val="-6"/>
        </w:rPr>
        <w:t xml:space="preserve"> </w:t>
      </w:r>
      <w:r>
        <w:t>sampled</w:t>
      </w:r>
      <w:r>
        <w:rPr>
          <w:spacing w:val="-6"/>
        </w:rPr>
        <w:t xml:space="preserve"> </w:t>
      </w:r>
      <w:r>
        <w:t>school,</w:t>
      </w:r>
      <w:r>
        <w:rPr>
          <w:spacing w:val="-6"/>
        </w:rPr>
        <w:t xml:space="preserve"> </w:t>
      </w:r>
      <w:r>
        <w:t>a</w:t>
      </w:r>
      <w:r>
        <w:rPr>
          <w:spacing w:val="-6"/>
        </w:rPr>
        <w:t xml:space="preserve"> </w:t>
      </w:r>
      <w:r>
        <w:t>sample</w:t>
      </w:r>
      <w:r>
        <w:rPr>
          <w:spacing w:val="-6"/>
        </w:rPr>
        <w:t xml:space="preserve"> </w:t>
      </w:r>
      <w:r>
        <w:t>of</w:t>
      </w:r>
      <w:r>
        <w:rPr>
          <w:spacing w:val="-6"/>
        </w:rPr>
        <w:t xml:space="preserve"> </w:t>
      </w:r>
      <w:r>
        <w:t>students</w:t>
      </w:r>
      <w:r>
        <w:rPr>
          <w:spacing w:val="-6"/>
        </w:rPr>
        <w:t xml:space="preserve"> </w:t>
      </w:r>
      <w:r>
        <w:t>was</w:t>
      </w:r>
      <w:r>
        <w:rPr>
          <w:spacing w:val="-6"/>
        </w:rPr>
        <w:t xml:space="preserve"> </w:t>
      </w:r>
      <w:r>
        <w:t>selected</w:t>
      </w:r>
      <w:r>
        <w:rPr>
          <w:spacing w:val="-6"/>
        </w:rPr>
        <w:t xml:space="preserve"> </w:t>
      </w:r>
      <w:r>
        <w:t>from</w:t>
      </w:r>
      <w:r>
        <w:rPr>
          <w:spacing w:val="-6"/>
        </w:rPr>
        <w:t xml:space="preserve"> </w:t>
      </w:r>
      <w:r>
        <w:t>a</w:t>
      </w:r>
      <w:r>
        <w:rPr>
          <w:spacing w:val="-6"/>
        </w:rPr>
        <w:t xml:space="preserve"> </w:t>
      </w:r>
      <w:r>
        <w:t>list</w:t>
      </w:r>
      <w:r>
        <w:rPr>
          <w:spacing w:val="-6"/>
        </w:rPr>
        <w:t xml:space="preserve"> </w:t>
      </w:r>
      <w:r>
        <w:t>of</w:t>
      </w:r>
      <w:r>
        <w:rPr>
          <w:spacing w:val="-6"/>
        </w:rPr>
        <w:t xml:space="preserve"> </w:t>
      </w:r>
      <w:r>
        <w:t>students</w:t>
      </w:r>
      <w:r>
        <w:rPr>
          <w:spacing w:val="-6"/>
        </w:rPr>
        <w:t xml:space="preserve"> </w:t>
      </w:r>
      <w:r>
        <w:t>who</w:t>
      </w:r>
      <w:r>
        <w:rPr>
          <w:spacing w:val="-6"/>
        </w:rPr>
        <w:t xml:space="preserve"> </w:t>
      </w:r>
      <w:r>
        <w:t>were</w:t>
      </w:r>
      <w:r>
        <w:rPr>
          <w:spacing w:val="-6"/>
        </w:rPr>
        <w:t xml:space="preserve"> </w:t>
      </w:r>
      <w:r>
        <w:t>of</w:t>
      </w:r>
      <w:r>
        <w:rPr>
          <w:spacing w:val="-6"/>
        </w:rPr>
        <w:t xml:space="preserve"> </w:t>
      </w:r>
      <w:r>
        <w:t>the</w:t>
      </w:r>
      <w:r>
        <w:rPr>
          <w:spacing w:val="-6"/>
        </w:rPr>
        <w:t xml:space="preserve"> </w:t>
      </w:r>
      <w:r>
        <w:t>targeted</w:t>
      </w:r>
      <w:r>
        <w:rPr>
          <w:spacing w:val="-6"/>
        </w:rPr>
        <w:t xml:space="preserve"> </w:t>
      </w:r>
      <w:r>
        <w:t>age.</w:t>
      </w:r>
      <w:r>
        <w:rPr>
          <w:spacing w:val="-10"/>
        </w:rPr>
        <w:t xml:space="preserve"> </w:t>
      </w:r>
      <w:r>
        <w:t>The</w:t>
      </w:r>
      <w:r>
        <w:rPr>
          <w:spacing w:val="-6"/>
        </w:rPr>
        <w:t xml:space="preserve"> </w:t>
      </w:r>
      <w:r>
        <w:t>student</w:t>
      </w:r>
      <w:r>
        <w:rPr>
          <w:spacing w:val="-6"/>
        </w:rPr>
        <w:t xml:space="preserve"> </w:t>
      </w:r>
      <w:r>
        <w:t>lists</w:t>
      </w:r>
      <w:r>
        <w:rPr>
          <w:spacing w:val="-6"/>
        </w:rPr>
        <w:t xml:space="preserve"> </w:t>
      </w:r>
      <w:r>
        <w:t>were</w:t>
      </w:r>
      <w:r>
        <w:rPr>
          <w:spacing w:val="-6"/>
        </w:rPr>
        <w:t xml:space="preserve"> </w:t>
      </w:r>
      <w:r>
        <w:t>submitted</w:t>
      </w:r>
      <w:r>
        <w:rPr>
          <w:spacing w:val="-6"/>
        </w:rPr>
        <w:t xml:space="preserve"> </w:t>
      </w:r>
      <w:r>
        <w:t>either</w:t>
      </w:r>
      <w:r>
        <w:rPr>
          <w:spacing w:val="-6"/>
        </w:rPr>
        <w:t xml:space="preserve"> </w:t>
      </w:r>
      <w:r>
        <w:t>electronically</w:t>
      </w:r>
      <w:r>
        <w:rPr>
          <w:spacing w:val="-6"/>
        </w:rPr>
        <w:t xml:space="preserve"> </w:t>
      </w:r>
      <w:r>
        <w:t>using a system known as E-filing or on paper. In E-filing, student lists are submitted as Excel files by either School Coordinators, NAEP</w:t>
      </w:r>
      <w:r>
        <w:rPr>
          <w:spacing w:val="-8"/>
        </w:rPr>
        <w:t xml:space="preserve"> </w:t>
      </w:r>
      <w:r>
        <w:t>State Coordinators, or NAEP</w:t>
      </w:r>
      <w:r>
        <w:rPr>
          <w:spacing w:val="-11"/>
        </w:rPr>
        <w:t xml:space="preserve"> </w:t>
      </w:r>
      <w:r>
        <w:t>TUDA Coordinators.</w:t>
      </w:r>
      <w:r>
        <w:rPr>
          <w:spacing w:val="-6"/>
        </w:rPr>
        <w:t xml:space="preserve"> </w:t>
      </w:r>
      <w:r>
        <w:t>The</w:t>
      </w:r>
      <w:r>
        <w:rPr>
          <w:spacing w:val="-2"/>
        </w:rPr>
        <w:t xml:space="preserve"> </w:t>
      </w:r>
      <w:r>
        <w:t>files</w:t>
      </w:r>
      <w:r>
        <w:rPr>
          <w:spacing w:val="-2"/>
        </w:rPr>
        <w:t xml:space="preserve"> </w:t>
      </w:r>
      <w:r>
        <w:t>can</w:t>
      </w:r>
      <w:r>
        <w:rPr>
          <w:spacing w:val="-2"/>
        </w:rPr>
        <w:t xml:space="preserve"> </w:t>
      </w:r>
      <w:r>
        <w:t>be</w:t>
      </w:r>
      <w:r>
        <w:rPr>
          <w:spacing w:val="-2"/>
        </w:rPr>
        <w:t xml:space="preserve"> </w:t>
      </w:r>
      <w:r>
        <w:t>submitted</w:t>
      </w:r>
      <w:r>
        <w:rPr>
          <w:spacing w:val="-2"/>
        </w:rPr>
        <w:t xml:space="preserve"> </w:t>
      </w:r>
      <w:r>
        <w:t>for</w:t>
      </w:r>
      <w:r>
        <w:rPr>
          <w:spacing w:val="-2"/>
        </w:rPr>
        <w:t xml:space="preserve"> </w:t>
      </w:r>
      <w:r>
        <w:t>one</w:t>
      </w:r>
      <w:r>
        <w:rPr>
          <w:spacing w:val="-2"/>
        </w:rPr>
        <w:t xml:space="preserve"> </w:t>
      </w:r>
      <w:r>
        <w:t>school</w:t>
      </w:r>
      <w:r>
        <w:rPr>
          <w:spacing w:val="-2"/>
        </w:rPr>
        <w:t xml:space="preserve"> </w:t>
      </w:r>
      <w:r>
        <w:t>at</w:t>
      </w:r>
      <w:r>
        <w:rPr>
          <w:spacing w:val="-2"/>
        </w:rPr>
        <w:t xml:space="preserve"> </w:t>
      </w:r>
      <w:r>
        <w:t>a</w:t>
      </w:r>
      <w:r>
        <w:rPr>
          <w:spacing w:val="-2"/>
        </w:rPr>
        <w:t xml:space="preserve"> </w:t>
      </w:r>
      <w:r>
        <w:t>time</w:t>
      </w:r>
      <w:r>
        <w:rPr>
          <w:spacing w:val="-2"/>
        </w:rPr>
        <w:t xml:space="preserve"> </w:t>
      </w:r>
      <w:r>
        <w:t>(known</w:t>
      </w:r>
      <w:r>
        <w:rPr>
          <w:spacing w:val="-2"/>
        </w:rPr>
        <w:t xml:space="preserve"> </w:t>
      </w:r>
      <w:r>
        <w:t>as</w:t>
      </w:r>
      <w:r>
        <w:rPr>
          <w:spacing w:val="-2"/>
        </w:rPr>
        <w:t xml:space="preserve"> </w:t>
      </w:r>
      <w:r>
        <w:t>single</w:t>
      </w:r>
      <w:r>
        <w:rPr>
          <w:spacing w:val="-2"/>
        </w:rPr>
        <w:t xml:space="preserve"> </w:t>
      </w:r>
      <w:r>
        <w:t>school</w:t>
      </w:r>
      <w:r>
        <w:rPr>
          <w:spacing w:val="-2"/>
        </w:rPr>
        <w:t xml:space="preserve"> </w:t>
      </w:r>
      <w:r>
        <w:t>E-file</w:t>
      </w:r>
      <w:r>
        <w:rPr>
          <w:spacing w:val="-2"/>
        </w:rPr>
        <w:t xml:space="preserve"> </w:t>
      </w:r>
      <w:r>
        <w:t>submission)</w:t>
      </w:r>
      <w:r>
        <w:rPr>
          <w:spacing w:val="-2"/>
        </w:rPr>
        <w:t xml:space="preserve"> </w:t>
      </w:r>
      <w:r>
        <w:t>or</w:t>
      </w:r>
      <w:r>
        <w:rPr>
          <w:spacing w:val="-2"/>
        </w:rPr>
        <w:t xml:space="preserve"> </w:t>
      </w:r>
      <w:r>
        <w:t>for</w:t>
      </w:r>
      <w:r>
        <w:rPr>
          <w:spacing w:val="-2"/>
        </w:rPr>
        <w:t xml:space="preserve"> </w:t>
      </w:r>
      <w:r>
        <w:t>an</w:t>
      </w:r>
      <w:r>
        <w:rPr>
          <w:spacing w:val="-2"/>
        </w:rPr>
        <w:t xml:space="preserve"> </w:t>
      </w:r>
      <w:r>
        <w:t>entire</w:t>
      </w:r>
      <w:r>
        <w:rPr>
          <w:spacing w:val="-2"/>
        </w:rPr>
        <w:t xml:space="preserve"> </w:t>
      </w:r>
      <w:r>
        <w:t>jurisdiction</w:t>
      </w:r>
      <w:r>
        <w:rPr>
          <w:spacing w:val="-2"/>
        </w:rPr>
        <w:t xml:space="preserve"> </w:t>
      </w:r>
      <w:r>
        <w:t>at</w:t>
      </w:r>
      <w:r>
        <w:rPr>
          <w:spacing w:val="-2"/>
        </w:rPr>
        <w:t xml:space="preserve"> </w:t>
      </w:r>
      <w:r>
        <w:t>once</w:t>
      </w:r>
      <w:r>
        <w:rPr>
          <w:spacing w:val="-2"/>
        </w:rPr>
        <w:t xml:space="preserve"> </w:t>
      </w:r>
      <w:r>
        <w:t>(known</w:t>
      </w:r>
      <w:r>
        <w:rPr>
          <w:spacing w:val="-2"/>
        </w:rPr>
        <w:t xml:space="preserve"> </w:t>
      </w:r>
      <w:r>
        <w:t>as</w:t>
      </w:r>
      <w:r>
        <w:rPr>
          <w:spacing w:val="-2"/>
        </w:rPr>
        <w:t xml:space="preserve"> </w:t>
      </w:r>
      <w:r>
        <w:t>multiple</w:t>
      </w:r>
      <w:r>
        <w:rPr>
          <w:spacing w:val="-2"/>
        </w:rPr>
        <w:t xml:space="preserve"> </w:t>
      </w:r>
      <w:r>
        <w:t>school</w:t>
      </w:r>
      <w:r>
        <w:rPr>
          <w:spacing w:val="-2"/>
        </w:rPr>
        <w:t xml:space="preserve"> </w:t>
      </w:r>
      <w:r>
        <w:t xml:space="preserve">E- file submission). E-filing allows schools to easily submit student demographic data electronically with the student lists, easing the burden on </w:t>
      </w:r>
      <w:r>
        <w:rPr>
          <w:color w:val="0066CC"/>
        </w:rPr>
        <w:t xml:space="preserve">field supervisors </w:t>
      </w:r>
      <w:r>
        <w:t>and school coordinators.</w:t>
      </w:r>
      <w:r>
        <w:rPr>
          <w:spacing w:val="-11"/>
        </w:rPr>
        <w:t xml:space="preserve"> </w:t>
      </w:r>
      <w:r>
        <w:t>The</w:t>
      </w:r>
      <w:r>
        <w:rPr>
          <w:spacing w:val="-7"/>
        </w:rPr>
        <w:t xml:space="preserve"> </w:t>
      </w:r>
      <w:r>
        <w:t>E-filing</w:t>
      </w:r>
      <w:r>
        <w:rPr>
          <w:spacing w:val="-7"/>
        </w:rPr>
        <w:t xml:space="preserve"> </w:t>
      </w:r>
      <w:r>
        <w:t>process</w:t>
      </w:r>
      <w:r>
        <w:rPr>
          <w:spacing w:val="-7"/>
        </w:rPr>
        <w:t xml:space="preserve"> </w:t>
      </w:r>
      <w:r>
        <w:t>for</w:t>
      </w:r>
      <w:r>
        <w:rPr>
          <w:spacing w:val="-7"/>
        </w:rPr>
        <w:t xml:space="preserve"> </w:t>
      </w:r>
      <w:r>
        <w:t>2022</w:t>
      </w:r>
      <w:r>
        <w:rPr>
          <w:spacing w:val="-7"/>
        </w:rPr>
        <w:t xml:space="preserve"> </w:t>
      </w:r>
      <w:r>
        <w:t>included</w:t>
      </w:r>
      <w:r>
        <w:rPr>
          <w:spacing w:val="-7"/>
        </w:rPr>
        <w:t xml:space="preserve"> </w:t>
      </w:r>
      <w:r>
        <w:t>an</w:t>
      </w:r>
      <w:r>
        <w:rPr>
          <w:spacing w:val="-7"/>
        </w:rPr>
        <w:t xml:space="preserve"> </w:t>
      </w:r>
      <w:r>
        <w:t>additional</w:t>
      </w:r>
      <w:r>
        <w:rPr>
          <w:spacing w:val="-7"/>
        </w:rPr>
        <w:t xml:space="preserve"> </w:t>
      </w:r>
      <w:r>
        <w:t>feature</w:t>
      </w:r>
      <w:r>
        <w:rPr>
          <w:spacing w:val="-7"/>
        </w:rPr>
        <w:t xml:space="preserve"> </w:t>
      </w:r>
      <w:r>
        <w:t>related</w:t>
      </w:r>
      <w:r>
        <w:rPr>
          <w:spacing w:val="-7"/>
        </w:rPr>
        <w:t xml:space="preserve"> </w:t>
      </w:r>
      <w:r>
        <w:t>to</w:t>
      </w:r>
      <w:r>
        <w:rPr>
          <w:spacing w:val="-7"/>
        </w:rPr>
        <w:t xml:space="preserve"> </w:t>
      </w:r>
      <w:r>
        <w:t>age-based</w:t>
      </w:r>
      <w:r>
        <w:rPr>
          <w:spacing w:val="-7"/>
        </w:rPr>
        <w:t xml:space="preserve"> </w:t>
      </w:r>
      <w:r>
        <w:t>sampling.</w:t>
      </w:r>
      <w:r>
        <w:rPr>
          <w:spacing w:val="-11"/>
        </w:rPr>
        <w:t xml:space="preserve"> </w:t>
      </w:r>
      <w:r>
        <w:t>To</w:t>
      </w:r>
      <w:r>
        <w:rPr>
          <w:spacing w:val="-7"/>
        </w:rPr>
        <w:t xml:space="preserve"> </w:t>
      </w:r>
      <w:r>
        <w:t>ease</w:t>
      </w:r>
      <w:r>
        <w:rPr>
          <w:spacing w:val="-7"/>
        </w:rPr>
        <w:t xml:space="preserve"> </w:t>
      </w:r>
      <w:r>
        <w:t>the</w:t>
      </w:r>
      <w:r>
        <w:rPr>
          <w:spacing w:val="-7"/>
        </w:rPr>
        <w:t xml:space="preserve"> </w:t>
      </w:r>
      <w:r>
        <w:t>burden</w:t>
      </w:r>
      <w:r>
        <w:rPr>
          <w:spacing w:val="-7"/>
        </w:rPr>
        <w:t xml:space="preserve"> </w:t>
      </w:r>
      <w:r>
        <w:t>on</w:t>
      </w:r>
      <w:r>
        <w:rPr>
          <w:spacing w:val="-7"/>
        </w:rPr>
        <w:t xml:space="preserve"> </w:t>
      </w:r>
      <w:r>
        <w:t>schools,</w:t>
      </w:r>
      <w:r>
        <w:rPr>
          <w:spacing w:val="-7"/>
        </w:rPr>
        <w:t xml:space="preserve"> </w:t>
      </w:r>
      <w:r>
        <w:t>schools</w:t>
      </w:r>
      <w:r>
        <w:rPr>
          <w:spacing w:val="-7"/>
        </w:rPr>
        <w:t xml:space="preserve"> </w:t>
      </w:r>
      <w:r>
        <w:t>could</w:t>
      </w:r>
      <w:r>
        <w:rPr>
          <w:spacing w:val="-7"/>
        </w:rPr>
        <w:t xml:space="preserve"> </w:t>
      </w:r>
      <w:r>
        <w:t>electronically</w:t>
      </w:r>
      <w:r>
        <w:rPr>
          <w:spacing w:val="-7"/>
        </w:rPr>
        <w:t xml:space="preserve"> </w:t>
      </w:r>
      <w:r>
        <w:t>submit</w:t>
      </w:r>
      <w:r>
        <w:rPr>
          <w:spacing w:val="-7"/>
        </w:rPr>
        <w:t xml:space="preserve"> </w:t>
      </w:r>
      <w:r>
        <w:t>all enrolled students for sampling, rather than just the age-eligible students. Students who were not age-eligible were removed from these lists before sampling.</w:t>
      </w:r>
    </w:p>
    <w:p w:rsidR="003F5784" w14:paraId="2B38EE6C" w14:textId="77777777">
      <w:pPr>
        <w:spacing w:line="232" w:lineRule="auto"/>
        <w:sectPr>
          <w:pgSz w:w="15840" w:h="12240" w:orient="landscape"/>
          <w:pgMar w:top="480" w:right="440" w:bottom="460" w:left="460" w:header="284" w:footer="275" w:gutter="0"/>
          <w:cols w:space="720"/>
        </w:sectPr>
      </w:pPr>
    </w:p>
    <w:p w:rsidR="003F5784" w14:paraId="421F6A3E" w14:textId="77777777">
      <w:pPr>
        <w:pStyle w:val="BodyText"/>
        <w:spacing w:before="78" w:line="232" w:lineRule="auto"/>
        <w:ind w:left="109"/>
      </w:pPr>
      <w:r>
        <w:t>Schools</w:t>
      </w:r>
      <w:r>
        <w:rPr>
          <w:spacing w:val="-6"/>
        </w:rPr>
        <w:t xml:space="preserve"> </w:t>
      </w:r>
      <w:r>
        <w:t>that</w:t>
      </w:r>
      <w:r>
        <w:rPr>
          <w:spacing w:val="-6"/>
        </w:rPr>
        <w:t xml:space="preserve"> </w:t>
      </w:r>
      <w:r>
        <w:t>are</w:t>
      </w:r>
      <w:r>
        <w:rPr>
          <w:spacing w:val="-6"/>
        </w:rPr>
        <w:t xml:space="preserve"> </w:t>
      </w:r>
      <w:r>
        <w:t>unable</w:t>
      </w:r>
      <w:r>
        <w:rPr>
          <w:spacing w:val="-6"/>
        </w:rPr>
        <w:t xml:space="preserve"> </w:t>
      </w:r>
      <w:r>
        <w:t>to</w:t>
      </w:r>
      <w:r>
        <w:rPr>
          <w:spacing w:val="-6"/>
        </w:rPr>
        <w:t xml:space="preserve"> </w:t>
      </w:r>
      <w:r>
        <w:t>submit</w:t>
      </w:r>
      <w:r>
        <w:rPr>
          <w:spacing w:val="-6"/>
        </w:rPr>
        <w:t xml:space="preserve"> </w:t>
      </w:r>
      <w:r>
        <w:t>their</w:t>
      </w:r>
      <w:r>
        <w:rPr>
          <w:spacing w:val="-6"/>
        </w:rPr>
        <w:t xml:space="preserve"> </w:t>
      </w:r>
      <w:r>
        <w:t>student</w:t>
      </w:r>
      <w:r>
        <w:rPr>
          <w:spacing w:val="-6"/>
        </w:rPr>
        <w:t xml:space="preserve"> </w:t>
      </w:r>
      <w:r>
        <w:t>lists</w:t>
      </w:r>
      <w:r>
        <w:rPr>
          <w:spacing w:val="-6"/>
        </w:rPr>
        <w:t xml:space="preserve"> </w:t>
      </w:r>
      <w:r>
        <w:t>using</w:t>
      </w:r>
      <w:r>
        <w:rPr>
          <w:spacing w:val="-6"/>
        </w:rPr>
        <w:t xml:space="preserve"> </w:t>
      </w:r>
      <w:r>
        <w:t>the</w:t>
      </w:r>
      <w:r>
        <w:rPr>
          <w:spacing w:val="-6"/>
        </w:rPr>
        <w:t xml:space="preserve"> </w:t>
      </w:r>
      <w:r>
        <w:t>E-filing</w:t>
      </w:r>
      <w:r>
        <w:rPr>
          <w:spacing w:val="-6"/>
        </w:rPr>
        <w:t xml:space="preserve"> </w:t>
      </w:r>
      <w:r>
        <w:t>system</w:t>
      </w:r>
      <w:r>
        <w:rPr>
          <w:spacing w:val="-6"/>
        </w:rPr>
        <w:t xml:space="preserve"> </w:t>
      </w:r>
      <w:r>
        <w:t>provide</w:t>
      </w:r>
      <w:r>
        <w:rPr>
          <w:spacing w:val="-6"/>
        </w:rPr>
        <w:t xml:space="preserve"> </w:t>
      </w:r>
      <w:r>
        <w:t>hardcopy</w:t>
      </w:r>
      <w:r>
        <w:rPr>
          <w:spacing w:val="-6"/>
        </w:rPr>
        <w:t xml:space="preserve"> </w:t>
      </w:r>
      <w:r>
        <w:t>lists</w:t>
      </w:r>
      <w:r>
        <w:rPr>
          <w:spacing w:val="-6"/>
        </w:rPr>
        <w:t xml:space="preserve"> </w:t>
      </w:r>
      <w:r>
        <w:t>to</w:t>
      </w:r>
      <w:r>
        <w:rPr>
          <w:spacing w:val="-6"/>
        </w:rPr>
        <w:t xml:space="preserve"> </w:t>
      </w:r>
      <w:r>
        <w:t>NAEP</w:t>
      </w:r>
      <w:r>
        <w:rPr>
          <w:spacing w:val="-13"/>
        </w:rPr>
        <w:t xml:space="preserve"> </w:t>
      </w:r>
      <w:r>
        <w:t>field</w:t>
      </w:r>
      <w:r>
        <w:rPr>
          <w:spacing w:val="-6"/>
        </w:rPr>
        <w:t xml:space="preserve"> </w:t>
      </w:r>
      <w:r>
        <w:t>supervisors.</w:t>
      </w:r>
      <w:r>
        <w:rPr>
          <w:spacing w:val="-6"/>
        </w:rPr>
        <w:t xml:space="preserve"> </w:t>
      </w:r>
      <w:r>
        <w:t>In</w:t>
      </w:r>
      <w:r>
        <w:rPr>
          <w:spacing w:val="-6"/>
        </w:rPr>
        <w:t xml:space="preserve"> </w:t>
      </w:r>
      <w:r>
        <w:t>2022,</w:t>
      </w:r>
      <w:r>
        <w:rPr>
          <w:spacing w:val="-6"/>
        </w:rPr>
        <w:t xml:space="preserve"> </w:t>
      </w:r>
      <w:r>
        <w:t>about</w:t>
      </w:r>
      <w:r>
        <w:rPr>
          <w:spacing w:val="-6"/>
        </w:rPr>
        <w:t xml:space="preserve"> </w:t>
      </w:r>
      <w:r>
        <w:t>99</w:t>
      </w:r>
      <w:r>
        <w:rPr>
          <w:spacing w:val="-6"/>
        </w:rPr>
        <w:t xml:space="preserve"> </w:t>
      </w:r>
      <w:r>
        <w:t>percent</w:t>
      </w:r>
      <w:r>
        <w:rPr>
          <w:spacing w:val="-6"/>
        </w:rPr>
        <w:t xml:space="preserve"> </w:t>
      </w:r>
      <w:r>
        <w:t>of</w:t>
      </w:r>
      <w:r>
        <w:rPr>
          <w:spacing w:val="-6"/>
        </w:rPr>
        <w:t xml:space="preserve"> </w:t>
      </w:r>
      <w:r>
        <w:t>the</w:t>
      </w:r>
      <w:r>
        <w:rPr>
          <w:spacing w:val="-6"/>
        </w:rPr>
        <w:t xml:space="preserve"> </w:t>
      </w:r>
      <w:r>
        <w:t>participating public schools E-filed their student lists, and the remaining one percent submitted hardcopy lists.</w:t>
      </w:r>
    </w:p>
    <w:p w:rsidR="003F5784" w14:paraId="4A3BB187" w14:textId="77777777">
      <w:pPr>
        <w:pStyle w:val="BodyText"/>
        <w:spacing w:before="209" w:line="232" w:lineRule="auto"/>
        <w:ind w:left="109" w:right="179"/>
      </w:pPr>
      <w:r>
        <w:t>In</w:t>
      </w:r>
      <w:r>
        <w:rPr>
          <w:spacing w:val="-6"/>
        </w:rPr>
        <w:t xml:space="preserve"> </w:t>
      </w:r>
      <w:r>
        <w:t>year-round</w:t>
      </w:r>
      <w:r>
        <w:rPr>
          <w:spacing w:val="-6"/>
        </w:rPr>
        <w:t xml:space="preserve"> </w:t>
      </w:r>
      <w:r>
        <w:t>multi-track</w:t>
      </w:r>
      <w:r>
        <w:rPr>
          <w:spacing w:val="-6"/>
        </w:rPr>
        <w:t xml:space="preserve"> </w:t>
      </w:r>
      <w:r>
        <w:t>schools,</w:t>
      </w:r>
      <w:r>
        <w:rPr>
          <w:spacing w:val="-6"/>
        </w:rPr>
        <w:t xml:space="preserve"> </w:t>
      </w:r>
      <w:r>
        <w:t>students</w:t>
      </w:r>
      <w:r>
        <w:rPr>
          <w:spacing w:val="-6"/>
        </w:rPr>
        <w:t xml:space="preserve"> </w:t>
      </w:r>
      <w:r>
        <w:t>in</w:t>
      </w:r>
      <w:r>
        <w:rPr>
          <w:spacing w:val="-6"/>
        </w:rPr>
        <w:t xml:space="preserve"> </w:t>
      </w:r>
      <w:r>
        <w:t>tracks</w:t>
      </w:r>
      <w:r>
        <w:rPr>
          <w:spacing w:val="-6"/>
        </w:rPr>
        <w:t xml:space="preserve"> </w:t>
      </w:r>
      <w:r>
        <w:t>scheduled</w:t>
      </w:r>
      <w:r>
        <w:rPr>
          <w:spacing w:val="-6"/>
        </w:rPr>
        <w:t xml:space="preserve"> </w:t>
      </w:r>
      <w:r>
        <w:t>to</w:t>
      </w:r>
      <w:r>
        <w:rPr>
          <w:spacing w:val="-6"/>
        </w:rPr>
        <w:t xml:space="preserve"> </w:t>
      </w:r>
      <w:r>
        <w:t>be</w:t>
      </w:r>
      <w:r>
        <w:rPr>
          <w:spacing w:val="-6"/>
        </w:rPr>
        <w:t xml:space="preserve"> </w:t>
      </w:r>
      <w:r>
        <w:t>on-break</w:t>
      </w:r>
      <w:r>
        <w:rPr>
          <w:spacing w:val="-6"/>
        </w:rPr>
        <w:t xml:space="preserve"> </w:t>
      </w:r>
      <w:r>
        <w:t>on</w:t>
      </w:r>
      <w:r>
        <w:rPr>
          <w:spacing w:val="-6"/>
        </w:rPr>
        <w:t xml:space="preserve"> </w:t>
      </w:r>
      <w:r>
        <w:t>the</w:t>
      </w:r>
      <w:r>
        <w:rPr>
          <w:spacing w:val="-6"/>
        </w:rPr>
        <w:t xml:space="preserve"> </w:t>
      </w:r>
      <w:r>
        <w:t>assessment</w:t>
      </w:r>
      <w:r>
        <w:rPr>
          <w:spacing w:val="-6"/>
        </w:rPr>
        <w:t xml:space="preserve"> </w:t>
      </w:r>
      <w:r>
        <w:t>day</w:t>
      </w:r>
      <w:r>
        <w:rPr>
          <w:spacing w:val="-6"/>
        </w:rPr>
        <w:t xml:space="preserve"> </w:t>
      </w:r>
      <w:r>
        <w:t>were</w:t>
      </w:r>
      <w:r>
        <w:rPr>
          <w:spacing w:val="-6"/>
        </w:rPr>
        <w:t xml:space="preserve"> </w:t>
      </w:r>
      <w:r>
        <w:t>removed</w:t>
      </w:r>
      <w:r>
        <w:rPr>
          <w:spacing w:val="-6"/>
        </w:rPr>
        <w:t xml:space="preserve"> </w:t>
      </w:r>
      <w:r>
        <w:t>from</w:t>
      </w:r>
      <w:r>
        <w:rPr>
          <w:spacing w:val="-6"/>
        </w:rPr>
        <w:t xml:space="preserve"> </w:t>
      </w:r>
      <w:r>
        <w:t>the</w:t>
      </w:r>
      <w:r>
        <w:rPr>
          <w:spacing w:val="-6"/>
        </w:rPr>
        <w:t xml:space="preserve"> </w:t>
      </w:r>
      <w:r>
        <w:t>student</w:t>
      </w:r>
      <w:r>
        <w:rPr>
          <w:spacing w:val="-6"/>
        </w:rPr>
        <w:t xml:space="preserve"> </w:t>
      </w:r>
      <w:r>
        <w:t>lists</w:t>
      </w:r>
      <w:r>
        <w:rPr>
          <w:spacing w:val="-6"/>
        </w:rPr>
        <w:t xml:space="preserve"> </w:t>
      </w:r>
      <w:r>
        <w:t>prior</w:t>
      </w:r>
      <w:r>
        <w:rPr>
          <w:spacing w:val="-6"/>
        </w:rPr>
        <w:t xml:space="preserve"> </w:t>
      </w:r>
      <w:r>
        <w:t>to</w:t>
      </w:r>
      <w:r>
        <w:rPr>
          <w:spacing w:val="-6"/>
        </w:rPr>
        <w:t xml:space="preserve"> </w:t>
      </w:r>
      <w:r>
        <w:t>sampling.</w:t>
      </w:r>
      <w:r>
        <w:rPr>
          <w:spacing w:val="-6"/>
        </w:rPr>
        <w:t xml:space="preserve"> </w:t>
      </w:r>
      <w:r>
        <w:t>Student</w:t>
      </w:r>
      <w:r>
        <w:rPr>
          <w:spacing w:val="-6"/>
        </w:rPr>
        <w:t xml:space="preserve"> </w:t>
      </w:r>
      <w:r>
        <w:t>base weights were adjusted to account for these students.</w:t>
      </w:r>
    </w:p>
    <w:p w:rsidR="003F5784" w14:paraId="6F165C2F" w14:textId="36AD9DA5">
      <w:pPr>
        <w:pStyle w:val="BodyText"/>
        <w:spacing w:before="210" w:line="232" w:lineRule="auto"/>
        <w:ind w:left="109"/>
      </w:pPr>
      <w:r>
        <w:t>The</w:t>
      </w:r>
      <w:r>
        <w:rPr>
          <w:spacing w:val="-6"/>
        </w:rPr>
        <w:t xml:space="preserve"> </w:t>
      </w:r>
      <w:r>
        <w:t>sampling</w:t>
      </w:r>
      <w:r>
        <w:rPr>
          <w:spacing w:val="-6"/>
        </w:rPr>
        <w:t xml:space="preserve"> </w:t>
      </w:r>
      <w:r>
        <w:t>process</w:t>
      </w:r>
      <w:r>
        <w:rPr>
          <w:spacing w:val="-6"/>
        </w:rPr>
        <w:t xml:space="preserve"> </w:t>
      </w:r>
      <w:r>
        <w:t>was</w:t>
      </w:r>
      <w:r>
        <w:rPr>
          <w:spacing w:val="-6"/>
        </w:rPr>
        <w:t xml:space="preserve"> </w:t>
      </w:r>
      <w:r>
        <w:t>the</w:t>
      </w:r>
      <w:r>
        <w:rPr>
          <w:spacing w:val="-6"/>
        </w:rPr>
        <w:t xml:space="preserve"> </w:t>
      </w:r>
      <w:r>
        <w:t>same,</w:t>
      </w:r>
      <w:r>
        <w:rPr>
          <w:spacing w:val="-6"/>
        </w:rPr>
        <w:t xml:space="preserve"> </w:t>
      </w:r>
      <w:r>
        <w:t>regardless</w:t>
      </w:r>
      <w:r>
        <w:rPr>
          <w:spacing w:val="-6"/>
        </w:rPr>
        <w:t xml:space="preserve"> </w:t>
      </w:r>
      <w:r>
        <w:t>of</w:t>
      </w:r>
      <w:r>
        <w:rPr>
          <w:spacing w:val="-6"/>
        </w:rPr>
        <w:t xml:space="preserve"> </w:t>
      </w:r>
      <w:r>
        <w:t>list</w:t>
      </w:r>
      <w:r>
        <w:rPr>
          <w:spacing w:val="-6"/>
        </w:rPr>
        <w:t xml:space="preserve"> </w:t>
      </w:r>
      <w:r>
        <w:t>submission</w:t>
      </w:r>
      <w:r>
        <w:rPr>
          <w:spacing w:val="-6"/>
        </w:rPr>
        <w:t xml:space="preserve"> </w:t>
      </w:r>
      <w:r>
        <w:t>type.</w:t>
      </w:r>
      <w:r>
        <w:rPr>
          <w:spacing w:val="-9"/>
        </w:rPr>
        <w:t xml:space="preserve"> </w:t>
      </w:r>
      <w:r>
        <w:t>The</w:t>
      </w:r>
      <w:r>
        <w:rPr>
          <w:spacing w:val="-6"/>
        </w:rPr>
        <w:t xml:space="preserve"> </w:t>
      </w:r>
      <w:r>
        <w:t>sampling</w:t>
      </w:r>
      <w:r>
        <w:rPr>
          <w:spacing w:val="-6"/>
        </w:rPr>
        <w:t xml:space="preserve"> </w:t>
      </w:r>
      <w:r>
        <w:t>process</w:t>
      </w:r>
      <w:r>
        <w:rPr>
          <w:spacing w:val="-6"/>
        </w:rPr>
        <w:t xml:space="preserve"> </w:t>
      </w:r>
      <w:r>
        <w:t>was</w:t>
      </w:r>
      <w:r>
        <w:rPr>
          <w:spacing w:val="-6"/>
        </w:rPr>
        <w:t xml:space="preserve"> </w:t>
      </w:r>
      <w:r>
        <w:t>systematic</w:t>
      </w:r>
      <w:r>
        <w:rPr>
          <w:spacing w:val="-6"/>
        </w:rPr>
        <w:t xml:space="preserve"> </w:t>
      </w:r>
      <w:r>
        <w:t>(e.g.,</w:t>
      </w:r>
      <w:r>
        <w:rPr>
          <w:spacing w:val="-6"/>
        </w:rPr>
        <w:t xml:space="preserve"> </w:t>
      </w:r>
      <w:r>
        <w:t>if</w:t>
      </w:r>
      <w:r>
        <w:rPr>
          <w:spacing w:val="-6"/>
        </w:rPr>
        <w:t xml:space="preserve"> </w:t>
      </w:r>
      <w:r>
        <w:t>the</w:t>
      </w:r>
      <w:r>
        <w:rPr>
          <w:spacing w:val="-6"/>
        </w:rPr>
        <w:t xml:space="preserve"> </w:t>
      </w:r>
      <w:r>
        <w:t>sampling</w:t>
      </w:r>
      <w:r>
        <w:rPr>
          <w:spacing w:val="-6"/>
        </w:rPr>
        <w:t xml:space="preserve"> </w:t>
      </w:r>
      <w:r>
        <w:t>rate</w:t>
      </w:r>
      <w:r>
        <w:rPr>
          <w:spacing w:val="-6"/>
        </w:rPr>
        <w:t xml:space="preserve"> </w:t>
      </w:r>
      <w:r>
        <w:t>was</w:t>
      </w:r>
      <w:r>
        <w:rPr>
          <w:spacing w:val="-6"/>
        </w:rPr>
        <w:t xml:space="preserve"> </w:t>
      </w:r>
      <w:r>
        <w:t>one-half,</w:t>
      </w:r>
      <w:r>
        <w:rPr>
          <w:spacing w:val="-6"/>
        </w:rPr>
        <w:t xml:space="preserve"> </w:t>
      </w:r>
      <w:r>
        <w:t>a</w:t>
      </w:r>
      <w:r>
        <w:rPr>
          <w:spacing w:val="-6"/>
        </w:rPr>
        <w:t xml:space="preserve"> </w:t>
      </w:r>
      <w:r>
        <w:t>random</w:t>
      </w:r>
      <w:r>
        <w:rPr>
          <w:spacing w:val="-6"/>
        </w:rPr>
        <w:t xml:space="preserve"> </w:t>
      </w:r>
      <w:r>
        <w:t>starting</w:t>
      </w:r>
      <w:r>
        <w:rPr>
          <w:spacing w:val="-6"/>
        </w:rPr>
        <w:t xml:space="preserve"> </w:t>
      </w:r>
      <w:r>
        <w:t>point</w:t>
      </w:r>
      <w:r>
        <w:rPr>
          <w:spacing w:val="-6"/>
        </w:rPr>
        <w:t xml:space="preserve"> </w:t>
      </w:r>
      <w:r>
        <w:t xml:space="preserve">of one or two was chosen, and every other student on the list was selected). For E-filed schools only, where demographic data were submitted for every student in the school, students were sorted by </w:t>
      </w:r>
      <w:r w:rsidR="00B4162D">
        <w:t>sex</w:t>
      </w:r>
      <w:r>
        <w:t xml:space="preserve"> and race/ethnicity before the sample was selected to implicitly stratify the sample.</w:t>
      </w:r>
    </w:p>
    <w:p w:rsidR="003F5784" w14:paraId="47DB769A" w14:textId="77777777">
      <w:pPr>
        <w:pStyle w:val="BodyText"/>
        <w:spacing w:before="203"/>
        <w:ind w:left="109"/>
      </w:pPr>
      <w:r>
        <w:rPr>
          <w:u w:val="single"/>
        </w:rPr>
        <w:t>Ass</w:t>
      </w:r>
      <w:r>
        <w:t>ig</w:t>
      </w:r>
      <w:r>
        <w:rPr>
          <w:u w:val="single"/>
        </w:rPr>
        <w:t>ning</w:t>
      </w:r>
      <w:r>
        <w:rPr>
          <w:spacing w:val="-14"/>
        </w:rPr>
        <w:t xml:space="preserve"> </w:t>
      </w:r>
      <w:r>
        <w:rPr>
          <w:u w:val="single"/>
        </w:rPr>
        <w:t>Assessment</w:t>
      </w:r>
      <w:r>
        <w:rPr>
          <w:spacing w:val="-12"/>
          <w:u w:val="single"/>
        </w:rPr>
        <w:t xml:space="preserve"> </w:t>
      </w:r>
      <w:r>
        <w:rPr>
          <w:u w:val="single"/>
        </w:rPr>
        <w:t>Sub</w:t>
      </w:r>
      <w:r>
        <w:t>j</w:t>
      </w:r>
      <w:r>
        <w:rPr>
          <w:u w:val="single"/>
        </w:rPr>
        <w:t>ect</w:t>
      </w:r>
      <w:r>
        <w:rPr>
          <w:spacing w:val="-8"/>
          <w:u w:val="single"/>
        </w:rPr>
        <w:t xml:space="preserve"> </w:t>
      </w:r>
      <w:r>
        <w:rPr>
          <w:u w:val="single"/>
        </w:rPr>
        <w:t>to</w:t>
      </w:r>
      <w:r>
        <w:rPr>
          <w:spacing w:val="-8"/>
          <w:u w:val="single"/>
        </w:rPr>
        <w:t xml:space="preserve"> </w:t>
      </w:r>
      <w:r>
        <w:rPr>
          <w:u w:val="single"/>
        </w:rPr>
        <w:t>Sampled</w:t>
      </w:r>
      <w:r>
        <w:rPr>
          <w:spacing w:val="-8"/>
          <w:u w:val="single"/>
        </w:rPr>
        <w:t xml:space="preserve"> </w:t>
      </w:r>
      <w:r>
        <w:rPr>
          <w:spacing w:val="-2"/>
          <w:u w:val="single"/>
        </w:rPr>
        <w:t>Students</w:t>
      </w:r>
    </w:p>
    <w:p w:rsidR="003F5784" w14:paraId="4961D1C7" w14:textId="77777777">
      <w:pPr>
        <w:pStyle w:val="BodyText"/>
        <w:spacing w:before="208" w:line="232" w:lineRule="auto"/>
        <w:ind w:left="109"/>
      </w:pPr>
      <w:r>
        <w:t>Sampled</w:t>
      </w:r>
      <w:r>
        <w:rPr>
          <w:spacing w:val="-6"/>
        </w:rPr>
        <w:t xml:space="preserve"> </w:t>
      </w:r>
      <w:r>
        <w:t>students</w:t>
      </w:r>
      <w:r>
        <w:rPr>
          <w:spacing w:val="-6"/>
        </w:rPr>
        <w:t xml:space="preserve"> </w:t>
      </w:r>
      <w:r>
        <w:t>in</w:t>
      </w:r>
      <w:r>
        <w:rPr>
          <w:spacing w:val="-6"/>
        </w:rPr>
        <w:t xml:space="preserve"> </w:t>
      </w:r>
      <w:r>
        <w:t>each</w:t>
      </w:r>
      <w:r>
        <w:rPr>
          <w:spacing w:val="-6"/>
        </w:rPr>
        <w:t xml:space="preserve"> </w:t>
      </w:r>
      <w:r>
        <w:t>participating</w:t>
      </w:r>
      <w:r>
        <w:rPr>
          <w:spacing w:val="-6"/>
        </w:rPr>
        <w:t xml:space="preserve"> </w:t>
      </w:r>
      <w:r>
        <w:t>sampled</w:t>
      </w:r>
      <w:r>
        <w:rPr>
          <w:spacing w:val="-6"/>
        </w:rPr>
        <w:t xml:space="preserve"> </w:t>
      </w:r>
      <w:r>
        <w:t>school</w:t>
      </w:r>
      <w:r>
        <w:rPr>
          <w:spacing w:val="-6"/>
        </w:rPr>
        <w:t xml:space="preserve"> </w:t>
      </w:r>
      <w:r>
        <w:t>were</w:t>
      </w:r>
      <w:r>
        <w:rPr>
          <w:spacing w:val="-6"/>
        </w:rPr>
        <w:t xml:space="preserve"> </w:t>
      </w:r>
      <w:r>
        <w:t>assigned</w:t>
      </w:r>
      <w:r>
        <w:rPr>
          <w:spacing w:val="-6"/>
        </w:rPr>
        <w:t xml:space="preserve"> </w:t>
      </w:r>
      <w:r>
        <w:t>to</w:t>
      </w:r>
      <w:r>
        <w:rPr>
          <w:spacing w:val="-6"/>
        </w:rPr>
        <w:t xml:space="preserve"> </w:t>
      </w:r>
      <w:r>
        <w:t>either</w:t>
      </w:r>
      <w:r>
        <w:rPr>
          <w:spacing w:val="-6"/>
        </w:rPr>
        <w:t xml:space="preserve"> </w:t>
      </w:r>
      <w:r>
        <w:t>mathematics</w:t>
      </w:r>
      <w:r>
        <w:rPr>
          <w:spacing w:val="-6"/>
        </w:rPr>
        <w:t xml:space="preserve"> </w:t>
      </w:r>
      <w:r>
        <w:t>or</w:t>
      </w:r>
      <w:r>
        <w:rPr>
          <w:spacing w:val="-6"/>
        </w:rPr>
        <w:t xml:space="preserve"> </w:t>
      </w:r>
      <w:r>
        <w:t>reading.</w:t>
      </w:r>
      <w:r>
        <w:rPr>
          <w:spacing w:val="-10"/>
        </w:rPr>
        <w:t xml:space="preserve"> </w:t>
      </w:r>
      <w:r>
        <w:t>Within</w:t>
      </w:r>
      <w:r>
        <w:rPr>
          <w:spacing w:val="-6"/>
        </w:rPr>
        <w:t xml:space="preserve"> </w:t>
      </w:r>
      <w:r>
        <w:t>each</w:t>
      </w:r>
      <w:r>
        <w:rPr>
          <w:spacing w:val="-6"/>
        </w:rPr>
        <w:t xml:space="preserve"> </w:t>
      </w:r>
      <w:r>
        <w:t>school,</w:t>
      </w:r>
      <w:r>
        <w:rPr>
          <w:spacing w:val="-6"/>
        </w:rPr>
        <w:t xml:space="preserve"> </w:t>
      </w:r>
      <w:r>
        <w:t>about</w:t>
      </w:r>
      <w:r>
        <w:rPr>
          <w:spacing w:val="-6"/>
        </w:rPr>
        <w:t xml:space="preserve"> </w:t>
      </w:r>
      <w:r>
        <w:t>half</w:t>
      </w:r>
      <w:r>
        <w:rPr>
          <w:spacing w:val="-6"/>
        </w:rPr>
        <w:t xml:space="preserve"> </w:t>
      </w:r>
      <w:r>
        <w:t>of</w:t>
      </w:r>
      <w:r>
        <w:rPr>
          <w:spacing w:val="-6"/>
        </w:rPr>
        <w:t xml:space="preserve"> </w:t>
      </w:r>
      <w:r>
        <w:t>the</w:t>
      </w:r>
      <w:r>
        <w:rPr>
          <w:spacing w:val="-6"/>
        </w:rPr>
        <w:t xml:space="preserve"> </w:t>
      </w:r>
      <w:r>
        <w:t>sampled</w:t>
      </w:r>
      <w:r>
        <w:rPr>
          <w:spacing w:val="-6"/>
        </w:rPr>
        <w:t xml:space="preserve"> </w:t>
      </w:r>
      <w:r>
        <w:t>students</w:t>
      </w:r>
      <w:r>
        <w:rPr>
          <w:spacing w:val="-6"/>
        </w:rPr>
        <w:t xml:space="preserve"> </w:t>
      </w:r>
      <w:r>
        <w:t>were</w:t>
      </w:r>
      <w:r>
        <w:rPr>
          <w:spacing w:val="-6"/>
        </w:rPr>
        <w:t xml:space="preserve"> </w:t>
      </w:r>
      <w:r>
        <w:t>assigned</w:t>
      </w:r>
      <w:r>
        <w:rPr>
          <w:spacing w:val="-6"/>
        </w:rPr>
        <w:t xml:space="preserve"> </w:t>
      </w:r>
      <w:r>
        <w:t>to mathematics and half to reading using a process known as spiraling. In this process, test booklets were randomly assigned to sampled students from booklet sets that had, on average, mathematics to reading spiraling ratios of 1:1.</w:t>
      </w:r>
    </w:p>
    <w:p w:rsidR="003F5784" w14:paraId="48B9A558" w14:textId="77777777">
      <w:pPr>
        <w:pStyle w:val="BodyText"/>
        <w:spacing w:before="209" w:line="232" w:lineRule="auto"/>
        <w:ind w:left="109" w:right="179"/>
      </w:pPr>
      <w:r>
        <w:t>Similarly to the 2020 long-term trend assessment, for the 2022 assessment, newly identified students (including new enrollees), were not identified and added to the sample. The</w:t>
      </w:r>
      <w:r>
        <w:rPr>
          <w:spacing w:val="-6"/>
        </w:rPr>
        <w:t xml:space="preserve"> </w:t>
      </w:r>
      <w:r>
        <w:t>rationale</w:t>
      </w:r>
      <w:r>
        <w:rPr>
          <w:spacing w:val="-6"/>
        </w:rPr>
        <w:t xml:space="preserve"> </w:t>
      </w:r>
      <w:r>
        <w:t>for</w:t>
      </w:r>
      <w:r>
        <w:rPr>
          <w:spacing w:val="-6"/>
        </w:rPr>
        <w:t xml:space="preserve"> </w:t>
      </w:r>
      <w:r>
        <w:t>this</w:t>
      </w:r>
      <w:r>
        <w:rPr>
          <w:spacing w:val="-6"/>
        </w:rPr>
        <w:t xml:space="preserve"> </w:t>
      </w:r>
      <w:r>
        <w:t>decision</w:t>
      </w:r>
      <w:r>
        <w:rPr>
          <w:spacing w:val="-6"/>
        </w:rPr>
        <w:t xml:space="preserve"> </w:t>
      </w:r>
      <w:r>
        <w:t>was</w:t>
      </w:r>
      <w:r>
        <w:rPr>
          <w:spacing w:val="-6"/>
        </w:rPr>
        <w:t xml:space="preserve"> </w:t>
      </w:r>
      <w:r>
        <w:t>that</w:t>
      </w:r>
      <w:r>
        <w:rPr>
          <w:spacing w:val="-6"/>
        </w:rPr>
        <w:t xml:space="preserve"> </w:t>
      </w:r>
      <w:r>
        <w:t>due</w:t>
      </w:r>
      <w:r>
        <w:rPr>
          <w:spacing w:val="-6"/>
        </w:rPr>
        <w:t xml:space="preserve"> </w:t>
      </w:r>
      <w:r>
        <w:t>to</w:t>
      </w:r>
      <w:r>
        <w:rPr>
          <w:spacing w:val="-6"/>
        </w:rPr>
        <w:t xml:space="preserve"> </w:t>
      </w:r>
      <w:r>
        <w:t>the</w:t>
      </w:r>
      <w:r>
        <w:rPr>
          <w:spacing w:val="-6"/>
        </w:rPr>
        <w:t xml:space="preserve"> </w:t>
      </w:r>
      <w:r>
        <w:t>staggered</w:t>
      </w:r>
      <w:r>
        <w:rPr>
          <w:spacing w:val="-6"/>
        </w:rPr>
        <w:t xml:space="preserve"> </w:t>
      </w:r>
      <w:r>
        <w:t>field</w:t>
      </w:r>
      <w:r>
        <w:rPr>
          <w:spacing w:val="-6"/>
        </w:rPr>
        <w:t xml:space="preserve"> </w:t>
      </w:r>
      <w:r>
        <w:t>periods</w:t>
      </w:r>
      <w:r>
        <w:rPr>
          <w:spacing w:val="-6"/>
        </w:rPr>
        <w:t xml:space="preserve"> </w:t>
      </w:r>
      <w:r>
        <w:t>for</w:t>
      </w:r>
      <w:r>
        <w:rPr>
          <w:spacing w:val="-6"/>
        </w:rPr>
        <w:t xml:space="preserve"> </w:t>
      </w:r>
      <w:r>
        <w:t>the</w:t>
      </w:r>
      <w:r>
        <w:rPr>
          <w:spacing w:val="-6"/>
        </w:rPr>
        <w:t xml:space="preserve"> </w:t>
      </w:r>
      <w:r>
        <w:t>age-based</w:t>
      </w:r>
      <w:r>
        <w:rPr>
          <w:spacing w:val="-6"/>
        </w:rPr>
        <w:t xml:space="preserve"> </w:t>
      </w:r>
      <w:r>
        <w:t>assessment,</w:t>
      </w:r>
      <w:r>
        <w:rPr>
          <w:spacing w:val="-6"/>
        </w:rPr>
        <w:t xml:space="preserve"> </w:t>
      </w:r>
      <w:r>
        <w:t>student</w:t>
      </w:r>
      <w:r>
        <w:rPr>
          <w:spacing w:val="-6"/>
        </w:rPr>
        <w:t xml:space="preserve"> </w:t>
      </w:r>
      <w:r>
        <w:t>lists</w:t>
      </w:r>
      <w:r>
        <w:rPr>
          <w:spacing w:val="-6"/>
        </w:rPr>
        <w:t xml:space="preserve"> </w:t>
      </w:r>
      <w:r>
        <w:t>would</w:t>
      </w:r>
      <w:r>
        <w:rPr>
          <w:spacing w:val="-6"/>
        </w:rPr>
        <w:t xml:space="preserve"> </w:t>
      </w:r>
      <w:r>
        <w:t>be</w:t>
      </w:r>
      <w:r>
        <w:rPr>
          <w:spacing w:val="-6"/>
        </w:rPr>
        <w:t xml:space="preserve"> </w:t>
      </w:r>
      <w:r>
        <w:t>collected</w:t>
      </w:r>
      <w:r>
        <w:rPr>
          <w:spacing w:val="-6"/>
        </w:rPr>
        <w:t xml:space="preserve"> </w:t>
      </w:r>
      <w:r>
        <w:t>closer</w:t>
      </w:r>
      <w:r>
        <w:rPr>
          <w:spacing w:val="-6"/>
        </w:rPr>
        <w:t xml:space="preserve"> </w:t>
      </w:r>
      <w:r>
        <w:t>to</w:t>
      </w:r>
      <w:r>
        <w:rPr>
          <w:spacing w:val="-6"/>
        </w:rPr>
        <w:t xml:space="preserve"> </w:t>
      </w:r>
      <w:r>
        <w:t>assessment</w:t>
      </w:r>
      <w:r>
        <w:rPr>
          <w:spacing w:val="-6"/>
        </w:rPr>
        <w:t xml:space="preserve"> </w:t>
      </w:r>
      <w:r>
        <w:t>day</w:t>
      </w:r>
      <w:r>
        <w:rPr>
          <w:spacing w:val="-6"/>
        </w:rPr>
        <w:t xml:space="preserve"> </w:t>
      </w:r>
      <w:r>
        <w:t>than</w:t>
      </w:r>
      <w:r>
        <w:rPr>
          <w:spacing w:val="-6"/>
        </w:rPr>
        <w:t xml:space="preserve"> </w:t>
      </w:r>
      <w:r>
        <w:t>typically occurs for grade-based assessments.</w:t>
      </w:r>
    </w:p>
    <w:p w:rsidR="003F5784" w14:paraId="150909F2" w14:textId="77777777">
      <w:pPr>
        <w:pStyle w:val="BodyText"/>
      </w:pPr>
    </w:p>
    <w:p w:rsidR="003F5784" w14:paraId="16CF4EC0" w14:textId="77777777">
      <w:pPr>
        <w:pStyle w:val="BodyText"/>
      </w:pPr>
    </w:p>
    <w:p w:rsidR="003F5784" w14:paraId="2A0CDA51" w14:textId="77777777">
      <w:pPr>
        <w:pStyle w:val="BodyText"/>
        <w:spacing w:before="146"/>
      </w:pPr>
    </w:p>
    <w:p w:rsidR="003F5784" w14:paraId="4A20229A" w14:textId="77777777">
      <w:pPr>
        <w:ind w:left="3300"/>
        <w:rPr>
          <w:sz w:val="18"/>
        </w:rPr>
      </w:pPr>
      <w:hyperlink r:id="rId181">
        <w:r>
          <w:rPr>
            <w:spacing w:val="-2"/>
            <w:w w:val="105"/>
            <w:sz w:val="18"/>
          </w:rPr>
          <w:t>http://nces.ed.gov/nationsreportcard/tdw/sample_design/2022/student_sample_selection_for_the_2022_public_school_long_term_trend_assessment.aspx</w:t>
        </w:r>
      </w:hyperlink>
    </w:p>
    <w:p w:rsidR="003F5784" w14:paraId="4DDC4B3B" w14:textId="77777777">
      <w:pPr>
        <w:pStyle w:val="BodyText"/>
        <w:spacing w:before="1"/>
        <w:rPr>
          <w:sz w:val="16"/>
        </w:rPr>
      </w:pPr>
      <w:r>
        <w:rPr>
          <w:noProof/>
        </w:rPr>
        <mc:AlternateContent>
          <mc:Choice Requires="wps">
            <w:drawing>
              <wp:anchor distT="0" distB="0" distL="0" distR="0" simplePos="0" relativeHeight="251866112" behindDoc="1" locked="0" layoutInCell="1" allowOverlap="1">
                <wp:simplePos x="0" y="0"/>
                <wp:positionH relativeFrom="page">
                  <wp:posOffset>361937</wp:posOffset>
                </wp:positionH>
                <wp:positionV relativeFrom="paragraph">
                  <wp:posOffset>132827</wp:posOffset>
                </wp:positionV>
                <wp:extent cx="9339580" cy="8890"/>
                <wp:effectExtent l="0" t="0" r="0" b="0"/>
                <wp:wrapTopAndBottom/>
                <wp:docPr id="207" name="Graphic 207"/>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67"/>
                              </a:lnTo>
                              <a:lnTo>
                                <a:pt x="9335110" y="8305"/>
                              </a:lnTo>
                              <a:lnTo>
                                <a:pt x="9338970" y="8305"/>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07" o:spid="_x0000_s1103" style="width:735.4pt;height:0.7pt;margin-top:10.45pt;margin-left:28.5pt;mso-position-horizontal-relative:page;mso-wrap-distance-bottom:0;mso-wrap-distance-left:0;mso-wrap-distance-right:0;mso-wrap-distance-top:0;mso-wrap-style:square;position:absolute;visibility:visible;v-text-anchor:top;z-index:-251449344" coordsize="9339580,8890" path="m9338970,25l9335110,25l8280,25,,,,8267l9335110,8305l9338970,8305l9338970,25xe" fillcolor="gray" stroked="f">
                <v:path arrowok="t"/>
                <w10:wrap type="topAndBottom"/>
              </v:shape>
            </w:pict>
          </mc:Fallback>
        </mc:AlternateContent>
      </w:r>
    </w:p>
    <w:p w:rsidR="003F5784" w14:paraId="173EF5BF" w14:textId="77777777">
      <w:pPr>
        <w:pStyle w:val="BodyText"/>
        <w:rPr>
          <w:sz w:val="18"/>
        </w:rPr>
      </w:pPr>
    </w:p>
    <w:p w:rsidR="003F5784" w14:paraId="656655A9" w14:textId="77777777">
      <w:pPr>
        <w:pStyle w:val="BodyText"/>
        <w:spacing w:before="193"/>
        <w:rPr>
          <w:sz w:val="18"/>
        </w:rPr>
      </w:pPr>
    </w:p>
    <w:p w:rsidR="003F5784" w14:paraId="21F113DB" w14:textId="16A710EC">
      <w:pPr>
        <w:pStyle w:val="Heading1"/>
        <w:spacing w:line="244" w:lineRule="auto"/>
      </w:pPr>
      <w:r>
        <w:t>NAEP</w:t>
      </w:r>
      <w:r>
        <w:rPr>
          <w:spacing w:val="-18"/>
        </w:rPr>
        <w:t xml:space="preserve"> </w:t>
      </w:r>
      <w:r>
        <w:t>Technical Documentation</w:t>
      </w:r>
      <w:r w:rsidR="00FB7295">
        <w:t xml:space="preserve"> </w:t>
      </w:r>
      <w:r>
        <w:t>Substitute Public Schools for the 2022 Long-Term Trend Assessment</w:t>
      </w:r>
    </w:p>
    <w:p w:rsidR="003F5784" w14:paraId="38937BC5" w14:textId="77777777">
      <w:pPr>
        <w:pStyle w:val="BodyText"/>
        <w:spacing w:before="287" w:line="232" w:lineRule="auto"/>
        <w:ind w:left="109" w:right="179"/>
      </w:pPr>
      <w:r>
        <w:t>Substitutes</w:t>
      </w:r>
      <w:r>
        <w:rPr>
          <w:spacing w:val="-2"/>
        </w:rPr>
        <w:t xml:space="preserve"> </w:t>
      </w:r>
      <w:r>
        <w:t>were</w:t>
      </w:r>
      <w:r>
        <w:rPr>
          <w:spacing w:val="-2"/>
        </w:rPr>
        <w:t xml:space="preserve"> </w:t>
      </w:r>
      <w:r>
        <w:t>preselected</w:t>
      </w:r>
      <w:r>
        <w:rPr>
          <w:spacing w:val="-2"/>
        </w:rPr>
        <w:t xml:space="preserve"> </w:t>
      </w:r>
      <w:r>
        <w:t>for</w:t>
      </w:r>
      <w:r>
        <w:rPr>
          <w:spacing w:val="-2"/>
        </w:rPr>
        <w:t xml:space="preserve"> </w:t>
      </w:r>
      <w:r>
        <w:t>the</w:t>
      </w:r>
      <w:r>
        <w:rPr>
          <w:spacing w:val="-2"/>
        </w:rPr>
        <w:t xml:space="preserve"> </w:t>
      </w:r>
      <w:r>
        <w:t>public</w:t>
      </w:r>
      <w:r>
        <w:rPr>
          <w:spacing w:val="-2"/>
        </w:rPr>
        <w:t xml:space="preserve"> </w:t>
      </w:r>
      <w:r>
        <w:t>school</w:t>
      </w:r>
      <w:r>
        <w:rPr>
          <w:spacing w:val="-2"/>
        </w:rPr>
        <w:t xml:space="preserve"> </w:t>
      </w:r>
      <w:r>
        <w:t>samples</w:t>
      </w:r>
      <w:r>
        <w:rPr>
          <w:spacing w:val="-2"/>
        </w:rPr>
        <w:t xml:space="preserve"> </w:t>
      </w:r>
      <w:r>
        <w:t>by</w:t>
      </w:r>
      <w:r>
        <w:rPr>
          <w:spacing w:val="-2"/>
        </w:rPr>
        <w:t xml:space="preserve"> </w:t>
      </w:r>
      <w:r>
        <w:t>sorting</w:t>
      </w:r>
      <w:r>
        <w:rPr>
          <w:spacing w:val="-2"/>
        </w:rPr>
        <w:t xml:space="preserve"> </w:t>
      </w:r>
      <w:r>
        <w:t>the</w:t>
      </w:r>
      <w:r>
        <w:rPr>
          <w:spacing w:val="-2"/>
        </w:rPr>
        <w:t xml:space="preserve"> </w:t>
      </w:r>
      <w:r>
        <w:t>school</w:t>
      </w:r>
      <w:r>
        <w:rPr>
          <w:spacing w:val="-2"/>
        </w:rPr>
        <w:t xml:space="preserve"> </w:t>
      </w:r>
      <w:r>
        <w:t>frame</w:t>
      </w:r>
      <w:r>
        <w:rPr>
          <w:spacing w:val="-2"/>
        </w:rPr>
        <w:t xml:space="preserve"> </w:t>
      </w:r>
      <w:r>
        <w:t>file</w:t>
      </w:r>
      <w:r>
        <w:rPr>
          <w:spacing w:val="-2"/>
        </w:rPr>
        <w:t xml:space="preserve"> </w:t>
      </w:r>
      <w:r>
        <w:t>for</w:t>
      </w:r>
      <w:r>
        <w:rPr>
          <w:spacing w:val="-2"/>
        </w:rPr>
        <w:t xml:space="preserve"> </w:t>
      </w:r>
      <w:r>
        <w:t>each</w:t>
      </w:r>
      <w:r>
        <w:rPr>
          <w:spacing w:val="-2"/>
        </w:rPr>
        <w:t xml:space="preserve"> </w:t>
      </w:r>
      <w:r>
        <w:t>of</w:t>
      </w:r>
      <w:r>
        <w:rPr>
          <w:spacing w:val="-2"/>
        </w:rPr>
        <w:t xml:space="preserve"> </w:t>
      </w:r>
      <w:r>
        <w:t>ages</w:t>
      </w:r>
      <w:r>
        <w:rPr>
          <w:spacing w:val="-2"/>
        </w:rPr>
        <w:t xml:space="preserve"> </w:t>
      </w:r>
      <w:r>
        <w:t>9</w:t>
      </w:r>
      <w:r>
        <w:rPr>
          <w:spacing w:val="-2"/>
        </w:rPr>
        <w:t xml:space="preserve"> </w:t>
      </w:r>
      <w:r>
        <w:t>and</w:t>
      </w:r>
      <w:r>
        <w:rPr>
          <w:spacing w:val="-2"/>
        </w:rPr>
        <w:t xml:space="preserve"> </w:t>
      </w:r>
      <w:r>
        <w:t>13</w:t>
      </w:r>
      <w:r>
        <w:rPr>
          <w:spacing w:val="-2"/>
        </w:rPr>
        <w:t xml:space="preserve"> </w:t>
      </w:r>
      <w:r>
        <w:t>according</w:t>
      </w:r>
      <w:r>
        <w:rPr>
          <w:spacing w:val="-2"/>
        </w:rPr>
        <w:t xml:space="preserve"> </w:t>
      </w:r>
      <w:r>
        <w:t>to</w:t>
      </w:r>
      <w:r>
        <w:rPr>
          <w:spacing w:val="-2"/>
        </w:rPr>
        <w:t xml:space="preserve"> </w:t>
      </w:r>
      <w:r>
        <w:t>the</w:t>
      </w:r>
      <w:r>
        <w:rPr>
          <w:spacing w:val="-2"/>
        </w:rPr>
        <w:t xml:space="preserve"> </w:t>
      </w:r>
      <w:r>
        <w:t>actual</w:t>
      </w:r>
      <w:r>
        <w:rPr>
          <w:spacing w:val="-2"/>
        </w:rPr>
        <w:t xml:space="preserve"> </w:t>
      </w:r>
      <w:r>
        <w:t>order</w:t>
      </w:r>
      <w:r>
        <w:rPr>
          <w:spacing w:val="-2"/>
        </w:rPr>
        <w:t xml:space="preserve"> </w:t>
      </w:r>
      <w:r>
        <w:t>used</w:t>
      </w:r>
      <w:r>
        <w:rPr>
          <w:spacing w:val="-2"/>
        </w:rPr>
        <w:t xml:space="preserve"> </w:t>
      </w:r>
      <w:r>
        <w:t>in</w:t>
      </w:r>
      <w:r>
        <w:rPr>
          <w:spacing w:val="-2"/>
        </w:rPr>
        <w:t xml:space="preserve"> </w:t>
      </w:r>
      <w:r>
        <w:t>the</w:t>
      </w:r>
      <w:r>
        <w:rPr>
          <w:spacing w:val="-2"/>
        </w:rPr>
        <w:t xml:space="preserve"> </w:t>
      </w:r>
      <w:r>
        <w:t>sampling</w:t>
      </w:r>
      <w:r>
        <w:rPr>
          <w:spacing w:val="-2"/>
        </w:rPr>
        <w:t xml:space="preserve"> </w:t>
      </w:r>
      <w:r>
        <w:t>process (the</w:t>
      </w:r>
      <w:r>
        <w:rPr>
          <w:spacing w:val="-7"/>
        </w:rPr>
        <w:t xml:space="preserve"> </w:t>
      </w:r>
      <w:r>
        <w:t>implicit</w:t>
      </w:r>
      <w:r>
        <w:rPr>
          <w:spacing w:val="-7"/>
        </w:rPr>
        <w:t xml:space="preserve"> </w:t>
      </w:r>
      <w:r>
        <w:t>stratification).</w:t>
      </w:r>
      <w:r>
        <w:rPr>
          <w:spacing w:val="-7"/>
        </w:rPr>
        <w:t xml:space="preserve"> </w:t>
      </w:r>
      <w:r>
        <w:t>For</w:t>
      </w:r>
      <w:r>
        <w:rPr>
          <w:spacing w:val="-7"/>
        </w:rPr>
        <w:t xml:space="preserve"> </w:t>
      </w:r>
      <w:r>
        <w:t>operational</w:t>
      </w:r>
      <w:r>
        <w:rPr>
          <w:spacing w:val="-7"/>
        </w:rPr>
        <w:t xml:space="preserve"> </w:t>
      </w:r>
      <w:r>
        <w:t>reasons,</w:t>
      </w:r>
      <w:r>
        <w:rPr>
          <w:spacing w:val="-7"/>
        </w:rPr>
        <w:t xml:space="preserve"> </w:t>
      </w:r>
      <w:r>
        <w:t>the</w:t>
      </w:r>
      <w:r>
        <w:rPr>
          <w:spacing w:val="-7"/>
        </w:rPr>
        <w:t xml:space="preserve"> </w:t>
      </w:r>
      <w:r>
        <w:t>original</w:t>
      </w:r>
      <w:r>
        <w:rPr>
          <w:spacing w:val="-7"/>
        </w:rPr>
        <w:t xml:space="preserve"> </w:t>
      </w:r>
      <w:r>
        <w:t>selection</w:t>
      </w:r>
      <w:r>
        <w:rPr>
          <w:spacing w:val="-7"/>
        </w:rPr>
        <w:t xml:space="preserve"> </w:t>
      </w:r>
      <w:r>
        <w:t>order</w:t>
      </w:r>
      <w:r>
        <w:rPr>
          <w:spacing w:val="-7"/>
        </w:rPr>
        <w:t xml:space="preserve"> </w:t>
      </w:r>
      <w:r>
        <w:t>was</w:t>
      </w:r>
      <w:r>
        <w:rPr>
          <w:spacing w:val="-7"/>
        </w:rPr>
        <w:t xml:space="preserve"> </w:t>
      </w:r>
      <w:r>
        <w:t>embedded</w:t>
      </w:r>
      <w:r>
        <w:rPr>
          <w:spacing w:val="-7"/>
        </w:rPr>
        <w:t xml:space="preserve"> </w:t>
      </w:r>
      <w:r>
        <w:t>within</w:t>
      </w:r>
      <w:r>
        <w:rPr>
          <w:spacing w:val="-7"/>
        </w:rPr>
        <w:t xml:space="preserve"> </w:t>
      </w:r>
      <w:r>
        <w:t>the</w:t>
      </w:r>
      <w:r>
        <w:rPr>
          <w:spacing w:val="-7"/>
        </w:rPr>
        <w:t xml:space="preserve"> </w:t>
      </w:r>
      <w:r>
        <w:t>sampled</w:t>
      </w:r>
      <w:r>
        <w:rPr>
          <w:spacing w:val="-7"/>
        </w:rPr>
        <w:t xml:space="preserve"> </w:t>
      </w:r>
      <w:r>
        <w:t>primary</w:t>
      </w:r>
      <w:r>
        <w:rPr>
          <w:spacing w:val="-7"/>
        </w:rPr>
        <w:t xml:space="preserve"> </w:t>
      </w:r>
      <w:r>
        <w:t>sampling</w:t>
      </w:r>
      <w:r>
        <w:rPr>
          <w:spacing w:val="-7"/>
        </w:rPr>
        <w:t xml:space="preserve"> </w:t>
      </w:r>
      <w:r>
        <w:t>unit</w:t>
      </w:r>
      <w:r>
        <w:rPr>
          <w:spacing w:val="-7"/>
        </w:rPr>
        <w:t xml:space="preserve"> </w:t>
      </w:r>
      <w:r>
        <w:t>(PSU)</w:t>
      </w:r>
      <w:r>
        <w:rPr>
          <w:spacing w:val="-7"/>
        </w:rPr>
        <w:t xml:space="preserve"> </w:t>
      </w:r>
      <w:r>
        <w:t>and</w:t>
      </w:r>
      <w:r>
        <w:rPr>
          <w:spacing w:val="-7"/>
        </w:rPr>
        <w:t xml:space="preserve"> </w:t>
      </w:r>
      <w:r>
        <w:t>state.</w:t>
      </w:r>
      <w:r>
        <w:rPr>
          <w:spacing w:val="-7"/>
        </w:rPr>
        <w:t xml:space="preserve"> </w:t>
      </w:r>
      <w:r>
        <w:t>Each</w:t>
      </w:r>
      <w:r>
        <w:rPr>
          <w:spacing w:val="-7"/>
        </w:rPr>
        <w:t xml:space="preserve"> </w:t>
      </w:r>
      <w:r>
        <w:t>sampled</w:t>
      </w:r>
      <w:r>
        <w:rPr>
          <w:spacing w:val="-7"/>
        </w:rPr>
        <w:t xml:space="preserve"> </w:t>
      </w:r>
      <w:r>
        <w:t>school had each of its nearest neighbors within the same sampling stratum on the school frame file identified as a potential substitute. Because race/ethnicity percentage was used as the last sort ordering variable, the nearest neighbors had race/ethnicity percentage values very close to that of the sampled school.</w:t>
      </w:r>
      <w:r>
        <w:rPr>
          <w:spacing w:val="-3"/>
        </w:rPr>
        <w:t xml:space="preserve"> </w:t>
      </w:r>
      <w:r>
        <w:t>This helped ensure that expected yields of students in the oversampled race/ethnicity groups were maintained when originally sampled schools were replaced by their substitutes.</w:t>
      </w:r>
    </w:p>
    <w:p w:rsidR="003F5784" w14:paraId="0D000BC9" w14:textId="77777777">
      <w:pPr>
        <w:pStyle w:val="BodyText"/>
        <w:spacing w:before="210" w:line="232" w:lineRule="auto"/>
        <w:ind w:left="109"/>
      </w:pPr>
      <w:r>
        <w:t>Schools</w:t>
      </w:r>
      <w:r>
        <w:rPr>
          <w:spacing w:val="-6"/>
        </w:rPr>
        <w:t xml:space="preserve"> </w:t>
      </w:r>
      <w:r>
        <w:t>were</w:t>
      </w:r>
      <w:r>
        <w:rPr>
          <w:spacing w:val="-6"/>
        </w:rPr>
        <w:t xml:space="preserve"> </w:t>
      </w:r>
      <w:r>
        <w:t>disqualified</w:t>
      </w:r>
      <w:r>
        <w:rPr>
          <w:spacing w:val="-6"/>
        </w:rPr>
        <w:t xml:space="preserve"> </w:t>
      </w:r>
      <w:r>
        <w:t>as</w:t>
      </w:r>
      <w:r>
        <w:rPr>
          <w:spacing w:val="-6"/>
        </w:rPr>
        <w:t xml:space="preserve"> </w:t>
      </w:r>
      <w:r>
        <w:t>potential</w:t>
      </w:r>
      <w:r>
        <w:rPr>
          <w:spacing w:val="-6"/>
        </w:rPr>
        <w:t xml:space="preserve"> </w:t>
      </w:r>
      <w:r>
        <w:t>substitutes</w:t>
      </w:r>
      <w:r>
        <w:rPr>
          <w:spacing w:val="-6"/>
        </w:rPr>
        <w:t xml:space="preserve"> </w:t>
      </w:r>
      <w:r>
        <w:t>if</w:t>
      </w:r>
      <w:r>
        <w:rPr>
          <w:spacing w:val="-6"/>
        </w:rPr>
        <w:t xml:space="preserve"> </w:t>
      </w:r>
      <w:r>
        <w:t>they</w:t>
      </w:r>
      <w:r>
        <w:rPr>
          <w:spacing w:val="-6"/>
        </w:rPr>
        <w:t xml:space="preserve"> </w:t>
      </w:r>
      <w:r>
        <w:t>were</w:t>
      </w:r>
      <w:r>
        <w:rPr>
          <w:spacing w:val="-6"/>
        </w:rPr>
        <w:t xml:space="preserve"> </w:t>
      </w:r>
      <w:r>
        <w:t>already</w:t>
      </w:r>
      <w:r>
        <w:rPr>
          <w:spacing w:val="-6"/>
        </w:rPr>
        <w:t xml:space="preserve"> </w:t>
      </w:r>
      <w:r>
        <w:t>selected</w:t>
      </w:r>
      <w:r>
        <w:rPr>
          <w:spacing w:val="-6"/>
        </w:rPr>
        <w:t xml:space="preserve"> </w:t>
      </w:r>
      <w:r>
        <w:t>in</w:t>
      </w:r>
      <w:r>
        <w:rPr>
          <w:spacing w:val="-6"/>
        </w:rPr>
        <w:t xml:space="preserve"> </w:t>
      </w:r>
      <w:r>
        <w:t>any</w:t>
      </w:r>
      <w:r>
        <w:rPr>
          <w:spacing w:val="-6"/>
        </w:rPr>
        <w:t xml:space="preserve"> </w:t>
      </w:r>
      <w:r>
        <w:t>of</w:t>
      </w:r>
      <w:r>
        <w:rPr>
          <w:spacing w:val="-6"/>
        </w:rPr>
        <w:t xml:space="preserve"> </w:t>
      </w:r>
      <w:r>
        <w:t>the</w:t>
      </w:r>
      <w:r>
        <w:rPr>
          <w:spacing w:val="-6"/>
        </w:rPr>
        <w:t xml:space="preserve"> </w:t>
      </w:r>
      <w:r>
        <w:t>original</w:t>
      </w:r>
      <w:r>
        <w:rPr>
          <w:spacing w:val="-6"/>
        </w:rPr>
        <w:t xml:space="preserve"> </w:t>
      </w:r>
      <w:r>
        <w:t>public</w:t>
      </w:r>
      <w:r>
        <w:rPr>
          <w:spacing w:val="-6"/>
        </w:rPr>
        <w:t xml:space="preserve"> </w:t>
      </w:r>
      <w:r>
        <w:t>school</w:t>
      </w:r>
      <w:r>
        <w:rPr>
          <w:spacing w:val="-6"/>
        </w:rPr>
        <w:t xml:space="preserve"> </w:t>
      </w:r>
      <w:r>
        <w:t>samples</w:t>
      </w:r>
      <w:r>
        <w:rPr>
          <w:spacing w:val="-6"/>
        </w:rPr>
        <w:t xml:space="preserve"> </w:t>
      </w:r>
      <w:r>
        <w:t>or</w:t>
      </w:r>
      <w:r>
        <w:rPr>
          <w:spacing w:val="-6"/>
        </w:rPr>
        <w:t xml:space="preserve"> </w:t>
      </w:r>
      <w:r>
        <w:t>assigned</w:t>
      </w:r>
      <w:r>
        <w:rPr>
          <w:spacing w:val="-6"/>
        </w:rPr>
        <w:t xml:space="preserve"> </w:t>
      </w:r>
      <w:r>
        <w:t>as</w:t>
      </w:r>
      <w:r>
        <w:rPr>
          <w:spacing w:val="-6"/>
        </w:rPr>
        <w:t xml:space="preserve"> </w:t>
      </w:r>
      <w:r>
        <w:t>a</w:t>
      </w:r>
      <w:r>
        <w:rPr>
          <w:spacing w:val="-6"/>
        </w:rPr>
        <w:t xml:space="preserve"> </w:t>
      </w:r>
      <w:r>
        <w:t>substitute</w:t>
      </w:r>
      <w:r>
        <w:rPr>
          <w:spacing w:val="-6"/>
        </w:rPr>
        <w:t xml:space="preserve"> </w:t>
      </w:r>
      <w:r>
        <w:t>for</w:t>
      </w:r>
      <w:r>
        <w:rPr>
          <w:spacing w:val="-6"/>
        </w:rPr>
        <w:t xml:space="preserve"> </w:t>
      </w:r>
      <w:r>
        <w:t>another</w:t>
      </w:r>
      <w:r>
        <w:rPr>
          <w:spacing w:val="-6"/>
        </w:rPr>
        <w:t xml:space="preserve"> </w:t>
      </w:r>
      <w:r>
        <w:t>public</w:t>
      </w:r>
      <w:r>
        <w:rPr>
          <w:spacing w:val="-6"/>
        </w:rPr>
        <w:t xml:space="preserve"> </w:t>
      </w:r>
      <w:r>
        <w:t>school (earlier in the sort ordering).</w:t>
      </w:r>
    </w:p>
    <w:p w:rsidR="003F5784" w14:paraId="55D0E1FA" w14:textId="77777777">
      <w:pPr>
        <w:pStyle w:val="BodyText"/>
        <w:spacing w:before="209" w:line="232" w:lineRule="auto"/>
        <w:ind w:left="109"/>
      </w:pPr>
      <w:r>
        <w:t>If</w:t>
      </w:r>
      <w:r>
        <w:rPr>
          <w:spacing w:val="-5"/>
        </w:rPr>
        <w:t xml:space="preserve"> </w:t>
      </w:r>
      <w:r>
        <w:t>both</w:t>
      </w:r>
      <w:r>
        <w:rPr>
          <w:spacing w:val="-5"/>
        </w:rPr>
        <w:t xml:space="preserve"> </w:t>
      </w:r>
      <w:r>
        <w:t>nearest</w:t>
      </w:r>
      <w:r>
        <w:rPr>
          <w:spacing w:val="-5"/>
        </w:rPr>
        <w:t xml:space="preserve"> </w:t>
      </w:r>
      <w:r>
        <w:t>neighbors</w:t>
      </w:r>
      <w:r>
        <w:rPr>
          <w:spacing w:val="-5"/>
        </w:rPr>
        <w:t xml:space="preserve"> </w:t>
      </w:r>
      <w:r>
        <w:t>were</w:t>
      </w:r>
      <w:r>
        <w:rPr>
          <w:spacing w:val="-5"/>
        </w:rPr>
        <w:t xml:space="preserve"> </w:t>
      </w:r>
      <w:r>
        <w:t>still</w:t>
      </w:r>
      <w:r>
        <w:rPr>
          <w:spacing w:val="-5"/>
        </w:rPr>
        <w:t xml:space="preserve"> </w:t>
      </w:r>
      <w:r>
        <w:t>eligible</w:t>
      </w:r>
      <w:r>
        <w:rPr>
          <w:spacing w:val="-5"/>
        </w:rPr>
        <w:t xml:space="preserve"> </w:t>
      </w:r>
      <w:r>
        <w:t>to</w:t>
      </w:r>
      <w:r>
        <w:rPr>
          <w:spacing w:val="-5"/>
        </w:rPr>
        <w:t xml:space="preserve"> </w:t>
      </w:r>
      <w:r>
        <w:t>be</w:t>
      </w:r>
      <w:r>
        <w:rPr>
          <w:spacing w:val="-5"/>
        </w:rPr>
        <w:t xml:space="preserve"> </w:t>
      </w:r>
      <w:r>
        <w:t>substitutes,</w:t>
      </w:r>
      <w:r>
        <w:rPr>
          <w:spacing w:val="-5"/>
        </w:rPr>
        <w:t xml:space="preserve"> </w:t>
      </w:r>
      <w:r>
        <w:t>the</w:t>
      </w:r>
      <w:r>
        <w:rPr>
          <w:spacing w:val="-5"/>
        </w:rPr>
        <w:t xml:space="preserve"> </w:t>
      </w:r>
      <w:r>
        <w:t>one</w:t>
      </w:r>
      <w:r>
        <w:rPr>
          <w:spacing w:val="-5"/>
        </w:rPr>
        <w:t xml:space="preserve"> </w:t>
      </w:r>
      <w:r>
        <w:t>with</w:t>
      </w:r>
      <w:r>
        <w:rPr>
          <w:spacing w:val="-5"/>
        </w:rPr>
        <w:t xml:space="preserve"> </w:t>
      </w:r>
      <w:r>
        <w:t>a</w:t>
      </w:r>
      <w:r>
        <w:rPr>
          <w:spacing w:val="-5"/>
        </w:rPr>
        <w:t xml:space="preserve"> </w:t>
      </w:r>
      <w:r>
        <w:t>closer</w:t>
      </w:r>
      <w:r>
        <w:rPr>
          <w:spacing w:val="-5"/>
        </w:rPr>
        <w:t xml:space="preserve"> </w:t>
      </w:r>
      <w:r>
        <w:t>age</w:t>
      </w:r>
      <w:r>
        <w:rPr>
          <w:spacing w:val="-5"/>
        </w:rPr>
        <w:t xml:space="preserve"> </w:t>
      </w:r>
      <w:r>
        <w:t>enrollment</w:t>
      </w:r>
      <w:r>
        <w:rPr>
          <w:spacing w:val="-5"/>
        </w:rPr>
        <w:t xml:space="preserve"> </w:t>
      </w:r>
      <w:r>
        <w:t>was</w:t>
      </w:r>
      <w:r>
        <w:rPr>
          <w:spacing w:val="-5"/>
        </w:rPr>
        <w:t xml:space="preserve"> </w:t>
      </w:r>
      <w:r>
        <w:t>chosen.</w:t>
      </w:r>
      <w:r>
        <w:rPr>
          <w:spacing w:val="-5"/>
        </w:rPr>
        <w:t xml:space="preserve"> </w:t>
      </w:r>
      <w:r>
        <w:t>If</w:t>
      </w:r>
      <w:r>
        <w:rPr>
          <w:spacing w:val="-5"/>
        </w:rPr>
        <w:t xml:space="preserve"> </w:t>
      </w:r>
      <w:r>
        <w:t>both</w:t>
      </w:r>
      <w:r>
        <w:rPr>
          <w:spacing w:val="-5"/>
        </w:rPr>
        <w:t xml:space="preserve"> </w:t>
      </w:r>
      <w:r>
        <w:t>nearest</w:t>
      </w:r>
      <w:r>
        <w:rPr>
          <w:spacing w:val="-5"/>
        </w:rPr>
        <w:t xml:space="preserve"> </w:t>
      </w:r>
      <w:r>
        <w:t>neighbors</w:t>
      </w:r>
      <w:r>
        <w:rPr>
          <w:spacing w:val="-5"/>
        </w:rPr>
        <w:t xml:space="preserve"> </w:t>
      </w:r>
      <w:r>
        <w:t>were</w:t>
      </w:r>
      <w:r>
        <w:rPr>
          <w:spacing w:val="-5"/>
        </w:rPr>
        <w:t xml:space="preserve"> </w:t>
      </w:r>
      <w:r>
        <w:t>equally</w:t>
      </w:r>
      <w:r>
        <w:rPr>
          <w:spacing w:val="-5"/>
        </w:rPr>
        <w:t xml:space="preserve"> </w:t>
      </w:r>
      <w:r>
        <w:t>distant</w:t>
      </w:r>
      <w:r>
        <w:rPr>
          <w:spacing w:val="-5"/>
        </w:rPr>
        <w:t xml:space="preserve"> </w:t>
      </w:r>
      <w:r>
        <w:t>from</w:t>
      </w:r>
      <w:r>
        <w:rPr>
          <w:spacing w:val="-5"/>
        </w:rPr>
        <w:t xml:space="preserve"> </w:t>
      </w:r>
      <w:r>
        <w:t>the</w:t>
      </w:r>
      <w:r>
        <w:rPr>
          <w:spacing w:val="-5"/>
        </w:rPr>
        <w:t xml:space="preserve"> </w:t>
      </w:r>
      <w:r>
        <w:t>sampled school in their age enrollment (an uncommon occurrence), one of the two was randomly selected.</w:t>
      </w:r>
    </w:p>
    <w:p w:rsidR="003F5784" w14:paraId="497A2A5B" w14:textId="77777777">
      <w:pPr>
        <w:pStyle w:val="BodyText"/>
        <w:spacing w:before="210" w:line="232" w:lineRule="auto"/>
        <w:ind w:left="109" w:right="179"/>
      </w:pPr>
      <w:r>
        <w:t>Of</w:t>
      </w:r>
      <w:r>
        <w:rPr>
          <w:spacing w:val="-6"/>
        </w:rPr>
        <w:t xml:space="preserve"> </w:t>
      </w:r>
      <w:r>
        <w:t>the</w:t>
      </w:r>
      <w:r>
        <w:rPr>
          <w:spacing w:val="-6"/>
        </w:rPr>
        <w:t xml:space="preserve"> </w:t>
      </w:r>
      <w:r>
        <w:t>approximately</w:t>
      </w:r>
      <w:r>
        <w:rPr>
          <w:spacing w:val="-6"/>
        </w:rPr>
        <w:t xml:space="preserve"> </w:t>
      </w:r>
      <w:r>
        <w:t>410</w:t>
      </w:r>
      <w:r>
        <w:rPr>
          <w:spacing w:val="-6"/>
        </w:rPr>
        <w:t xml:space="preserve"> </w:t>
      </w:r>
      <w:r>
        <w:t>originally</w:t>
      </w:r>
      <w:r>
        <w:rPr>
          <w:spacing w:val="-6"/>
        </w:rPr>
        <w:t xml:space="preserve"> </w:t>
      </w:r>
      <w:r>
        <w:t>sampled</w:t>
      </w:r>
      <w:r>
        <w:rPr>
          <w:spacing w:val="-6"/>
        </w:rPr>
        <w:t xml:space="preserve"> </w:t>
      </w:r>
      <w:r>
        <w:t>public</w:t>
      </w:r>
      <w:r>
        <w:rPr>
          <w:spacing w:val="-6"/>
        </w:rPr>
        <w:t xml:space="preserve"> </w:t>
      </w:r>
      <w:r>
        <w:t>schools</w:t>
      </w:r>
      <w:r>
        <w:rPr>
          <w:spacing w:val="-6"/>
        </w:rPr>
        <w:t xml:space="preserve"> </w:t>
      </w:r>
      <w:r>
        <w:t>for</w:t>
      </w:r>
      <w:r>
        <w:rPr>
          <w:spacing w:val="-6"/>
        </w:rPr>
        <w:t xml:space="preserve"> </w:t>
      </w:r>
      <w:r>
        <w:t>age</w:t>
      </w:r>
      <w:r>
        <w:rPr>
          <w:spacing w:val="-6"/>
        </w:rPr>
        <w:t xml:space="preserve"> </w:t>
      </w:r>
      <w:r>
        <w:t>9,</w:t>
      </w:r>
      <w:r>
        <w:rPr>
          <w:spacing w:val="-6"/>
        </w:rPr>
        <w:t xml:space="preserve"> </w:t>
      </w:r>
      <w:r>
        <w:t>about</w:t>
      </w:r>
      <w:r>
        <w:rPr>
          <w:spacing w:val="-6"/>
        </w:rPr>
        <w:t xml:space="preserve"> </w:t>
      </w:r>
      <w:r>
        <w:t>30</w:t>
      </w:r>
      <w:r>
        <w:rPr>
          <w:spacing w:val="-6"/>
        </w:rPr>
        <w:t xml:space="preserve"> </w:t>
      </w:r>
      <w:r>
        <w:t>schools</w:t>
      </w:r>
      <w:r>
        <w:rPr>
          <w:spacing w:val="-6"/>
        </w:rPr>
        <w:t xml:space="preserve"> </w:t>
      </w:r>
      <w:r>
        <w:t>had</w:t>
      </w:r>
      <w:r>
        <w:rPr>
          <w:spacing w:val="-6"/>
        </w:rPr>
        <w:t xml:space="preserve"> </w:t>
      </w:r>
      <w:r>
        <w:t>a</w:t>
      </w:r>
      <w:r>
        <w:rPr>
          <w:spacing w:val="-6"/>
        </w:rPr>
        <w:t xml:space="preserve"> </w:t>
      </w:r>
      <w:r>
        <w:t>substitute</w:t>
      </w:r>
      <w:r>
        <w:rPr>
          <w:spacing w:val="-6"/>
        </w:rPr>
        <w:t xml:space="preserve"> </w:t>
      </w:r>
      <w:r>
        <w:t>activated</w:t>
      </w:r>
      <w:r>
        <w:rPr>
          <w:spacing w:val="-6"/>
        </w:rPr>
        <w:t xml:space="preserve"> </w:t>
      </w:r>
      <w:r>
        <w:t>because</w:t>
      </w:r>
      <w:r>
        <w:rPr>
          <w:spacing w:val="-6"/>
        </w:rPr>
        <w:t xml:space="preserve"> </w:t>
      </w:r>
      <w:r>
        <w:t>the</w:t>
      </w:r>
      <w:r>
        <w:rPr>
          <w:spacing w:val="-6"/>
        </w:rPr>
        <w:t xml:space="preserve"> </w:t>
      </w:r>
      <w:r>
        <w:t>original</w:t>
      </w:r>
      <w:r>
        <w:rPr>
          <w:spacing w:val="-6"/>
        </w:rPr>
        <w:t xml:space="preserve"> </w:t>
      </w:r>
      <w:r>
        <w:t>eligible</w:t>
      </w:r>
      <w:r>
        <w:rPr>
          <w:spacing w:val="-6"/>
        </w:rPr>
        <w:t xml:space="preserve"> </w:t>
      </w:r>
      <w:r>
        <w:t>school</w:t>
      </w:r>
      <w:r>
        <w:rPr>
          <w:spacing w:val="-6"/>
        </w:rPr>
        <w:t xml:space="preserve"> </w:t>
      </w:r>
      <w:r>
        <w:t>did</w:t>
      </w:r>
      <w:r>
        <w:rPr>
          <w:spacing w:val="-6"/>
        </w:rPr>
        <w:t xml:space="preserve"> </w:t>
      </w:r>
      <w:r>
        <w:t>not</w:t>
      </w:r>
      <w:r>
        <w:rPr>
          <w:spacing w:val="-6"/>
        </w:rPr>
        <w:t xml:space="preserve"> </w:t>
      </w:r>
      <w:r>
        <w:t>participate,</w:t>
      </w:r>
      <w:r>
        <w:rPr>
          <w:spacing w:val="-6"/>
        </w:rPr>
        <w:t xml:space="preserve"> </w:t>
      </w:r>
      <w:r>
        <w:t>and</w:t>
      </w:r>
      <w:r>
        <w:rPr>
          <w:spacing w:val="-6"/>
        </w:rPr>
        <w:t xml:space="preserve"> </w:t>
      </w:r>
      <w:r>
        <w:t>a handful of those activated substitutes participated. For age 13 the corresponding numbers were approximately 460 originally sampled schools, with approximately 30 substitutes activated. Similar to age 9, only a handlful of activated substitutes participated for age 13.</w:t>
      </w:r>
    </w:p>
    <w:p w:rsidR="003F5784" w14:paraId="6EB7CC88" w14:textId="77777777">
      <w:pPr>
        <w:spacing w:line="232" w:lineRule="auto"/>
        <w:sectPr>
          <w:pgSz w:w="15840" w:h="12240" w:orient="landscape"/>
          <w:pgMar w:top="480" w:right="440" w:bottom="460" w:left="460" w:header="284" w:footer="275" w:gutter="0"/>
          <w:cols w:space="720"/>
        </w:sectPr>
      </w:pPr>
    </w:p>
    <w:p w:rsidR="003F5784" w14:paraId="1C2E77B1" w14:textId="77777777">
      <w:pPr>
        <w:pStyle w:val="BodyText"/>
        <w:rPr>
          <w:sz w:val="18"/>
        </w:rPr>
      </w:pPr>
    </w:p>
    <w:p w:rsidR="003F5784" w14:paraId="3DB28590" w14:textId="77777777">
      <w:pPr>
        <w:pStyle w:val="BodyText"/>
        <w:rPr>
          <w:sz w:val="18"/>
        </w:rPr>
      </w:pPr>
    </w:p>
    <w:p w:rsidR="003F5784" w14:paraId="04BAAB00" w14:textId="77777777">
      <w:pPr>
        <w:pStyle w:val="BodyText"/>
        <w:spacing w:before="118"/>
        <w:rPr>
          <w:sz w:val="18"/>
        </w:rPr>
      </w:pPr>
    </w:p>
    <w:p w:rsidR="003F5784" w14:paraId="083ECFA2" w14:textId="77777777">
      <w:pPr>
        <w:ind w:right="113"/>
        <w:jc w:val="right"/>
        <w:rPr>
          <w:sz w:val="18"/>
        </w:rPr>
      </w:pPr>
      <w:hyperlink r:id="rId182">
        <w:r>
          <w:rPr>
            <w:spacing w:val="-2"/>
            <w:w w:val="105"/>
            <w:sz w:val="18"/>
          </w:rPr>
          <w:t>http://nces.ed.gov/nationsreportcard/tdw/sample_design/2022/substitute_public_schools_for_the_2022_long_term_trend_assessment.aspx</w:t>
        </w:r>
      </w:hyperlink>
    </w:p>
    <w:p w:rsidR="003F5784" w14:paraId="6CB028E7" w14:textId="77777777">
      <w:pPr>
        <w:pStyle w:val="BodyText"/>
        <w:rPr>
          <w:sz w:val="16"/>
        </w:rPr>
      </w:pPr>
      <w:r>
        <w:rPr>
          <w:noProof/>
        </w:rPr>
        <mc:AlternateContent>
          <mc:Choice Requires="wps">
            <w:drawing>
              <wp:anchor distT="0" distB="0" distL="0" distR="0" simplePos="0" relativeHeight="251868160" behindDoc="1" locked="0" layoutInCell="1" allowOverlap="1">
                <wp:simplePos x="0" y="0"/>
                <wp:positionH relativeFrom="page">
                  <wp:posOffset>361937</wp:posOffset>
                </wp:positionH>
                <wp:positionV relativeFrom="paragraph">
                  <wp:posOffset>132629</wp:posOffset>
                </wp:positionV>
                <wp:extent cx="9339580" cy="8890"/>
                <wp:effectExtent l="0" t="0" r="0" b="0"/>
                <wp:wrapTopAndBottom/>
                <wp:docPr id="208" name="Graphic 20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67"/>
                              </a:lnTo>
                              <a:lnTo>
                                <a:pt x="8280" y="8293"/>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08" o:spid="_x0000_s1104" style="width:735.4pt;height:0.7pt;margin-top:10.45pt;margin-left:28.5pt;mso-position-horizontal-relative:page;mso-wrap-distance-bottom:0;mso-wrap-distance-left:0;mso-wrap-distance-right:0;mso-wrap-distance-top:0;mso-wrap-style:square;position:absolute;visibility:visible;v-text-anchor:top;z-index:-251447296" coordsize="9339580,8890" path="m9338970,l9335110,l,,,8267l8280,8293l9335110,8267l9338970,8267l9338970,xe" fillcolor="gray" stroked="f">
                <v:path arrowok="t"/>
                <w10:wrap type="topAndBottom"/>
              </v:shape>
            </w:pict>
          </mc:Fallback>
        </mc:AlternateContent>
      </w:r>
    </w:p>
    <w:p w:rsidR="003F5784" w14:paraId="3D1E28D1" w14:textId="77777777">
      <w:pPr>
        <w:pStyle w:val="BodyText"/>
        <w:rPr>
          <w:sz w:val="18"/>
        </w:rPr>
      </w:pPr>
    </w:p>
    <w:p w:rsidR="003F5784" w14:paraId="4910C05A" w14:textId="77777777">
      <w:pPr>
        <w:pStyle w:val="BodyText"/>
        <w:spacing w:before="193"/>
        <w:rPr>
          <w:sz w:val="18"/>
        </w:rPr>
      </w:pPr>
    </w:p>
    <w:p w:rsidR="003F5784" w14:paraId="22B02226" w14:textId="2240DD17">
      <w:pPr>
        <w:pStyle w:val="Heading1"/>
        <w:spacing w:line="244" w:lineRule="auto"/>
      </w:pPr>
      <w:r>
        <w:t>NAEP</w:t>
      </w:r>
      <w:r>
        <w:rPr>
          <w:spacing w:val="-19"/>
        </w:rPr>
        <w:t xml:space="preserve"> </w:t>
      </w:r>
      <w:r>
        <w:t>Technical Documentation</w:t>
      </w:r>
      <w:r w:rsidR="00FB7295">
        <w:t xml:space="preserve"> </w:t>
      </w:r>
      <w:r>
        <w:t>Target Population of the 2022 Public School Long- Term Trend Assessment</w:t>
      </w:r>
    </w:p>
    <w:p w:rsidR="003F5784" w14:paraId="5A1AE365" w14:textId="77777777">
      <w:pPr>
        <w:pStyle w:val="BodyText"/>
        <w:spacing w:before="287" w:line="232" w:lineRule="auto"/>
        <w:ind w:left="109"/>
      </w:pPr>
      <w:r>
        <w:t>The</w:t>
      </w:r>
      <w:r>
        <w:rPr>
          <w:spacing w:val="-5"/>
        </w:rPr>
        <w:t xml:space="preserve"> </w:t>
      </w:r>
      <w:r>
        <w:t>target</w:t>
      </w:r>
      <w:r>
        <w:rPr>
          <w:spacing w:val="-5"/>
        </w:rPr>
        <w:t xml:space="preserve"> </w:t>
      </w:r>
      <w:r>
        <w:t>populations</w:t>
      </w:r>
      <w:r>
        <w:rPr>
          <w:spacing w:val="-5"/>
        </w:rPr>
        <w:t xml:space="preserve"> </w:t>
      </w:r>
      <w:r>
        <w:t>for</w:t>
      </w:r>
      <w:r>
        <w:rPr>
          <w:spacing w:val="-5"/>
        </w:rPr>
        <w:t xml:space="preserve"> </w:t>
      </w:r>
      <w:r>
        <w:t>the</w:t>
      </w:r>
      <w:r>
        <w:rPr>
          <w:spacing w:val="-5"/>
        </w:rPr>
        <w:t xml:space="preserve"> </w:t>
      </w:r>
      <w:r>
        <w:t>2022</w:t>
      </w:r>
      <w:r>
        <w:rPr>
          <w:spacing w:val="-5"/>
        </w:rPr>
        <w:t xml:space="preserve"> </w:t>
      </w:r>
      <w:r>
        <w:t>long-term</w:t>
      </w:r>
      <w:r>
        <w:rPr>
          <w:spacing w:val="-5"/>
        </w:rPr>
        <w:t xml:space="preserve"> </w:t>
      </w:r>
      <w:r>
        <w:t>trend</w:t>
      </w:r>
      <w:r>
        <w:rPr>
          <w:spacing w:val="-5"/>
        </w:rPr>
        <w:t xml:space="preserve"> </w:t>
      </w:r>
      <w:r>
        <w:t>public</w:t>
      </w:r>
      <w:r>
        <w:rPr>
          <w:spacing w:val="-5"/>
        </w:rPr>
        <w:t xml:space="preserve"> </w:t>
      </w:r>
      <w:r>
        <w:t>school</w:t>
      </w:r>
      <w:r>
        <w:rPr>
          <w:spacing w:val="-5"/>
        </w:rPr>
        <w:t xml:space="preserve"> </w:t>
      </w:r>
      <w:r>
        <w:t>assessments</w:t>
      </w:r>
      <w:r>
        <w:rPr>
          <w:spacing w:val="-5"/>
        </w:rPr>
        <w:t xml:space="preserve"> </w:t>
      </w:r>
      <w:r>
        <w:t>included</w:t>
      </w:r>
      <w:r>
        <w:rPr>
          <w:spacing w:val="-5"/>
        </w:rPr>
        <w:t xml:space="preserve"> </w:t>
      </w:r>
      <w:r>
        <w:t>all</w:t>
      </w:r>
      <w:r>
        <w:rPr>
          <w:spacing w:val="-5"/>
        </w:rPr>
        <w:t xml:space="preserve"> </w:t>
      </w:r>
      <w:r>
        <w:t>students</w:t>
      </w:r>
      <w:r>
        <w:rPr>
          <w:spacing w:val="-5"/>
        </w:rPr>
        <w:t xml:space="preserve"> </w:t>
      </w:r>
      <w:r>
        <w:t>who</w:t>
      </w:r>
      <w:r>
        <w:rPr>
          <w:spacing w:val="-5"/>
        </w:rPr>
        <w:t xml:space="preserve"> </w:t>
      </w:r>
      <w:r>
        <w:t>were</w:t>
      </w:r>
      <w:r>
        <w:rPr>
          <w:spacing w:val="-5"/>
        </w:rPr>
        <w:t xml:space="preserve"> </w:t>
      </w:r>
      <w:r>
        <w:t>age</w:t>
      </w:r>
      <w:r>
        <w:rPr>
          <w:spacing w:val="-5"/>
        </w:rPr>
        <w:t xml:space="preserve"> </w:t>
      </w:r>
      <w:r>
        <w:t>9</w:t>
      </w:r>
      <w:r>
        <w:rPr>
          <w:spacing w:val="-5"/>
        </w:rPr>
        <w:t xml:space="preserve"> </w:t>
      </w:r>
      <w:r>
        <w:t>(i.e.,</w:t>
      </w:r>
      <w:r>
        <w:rPr>
          <w:spacing w:val="-5"/>
        </w:rPr>
        <w:t xml:space="preserve"> </w:t>
      </w:r>
      <w:r>
        <w:t>born</w:t>
      </w:r>
      <w:r>
        <w:rPr>
          <w:spacing w:val="-5"/>
        </w:rPr>
        <w:t xml:space="preserve"> </w:t>
      </w:r>
      <w:r>
        <w:t>in</w:t>
      </w:r>
      <w:r>
        <w:rPr>
          <w:spacing w:val="-5"/>
        </w:rPr>
        <w:t xml:space="preserve"> </w:t>
      </w:r>
      <w:r>
        <w:t>2012)</w:t>
      </w:r>
      <w:r>
        <w:rPr>
          <w:spacing w:val="-5"/>
        </w:rPr>
        <w:t xml:space="preserve"> </w:t>
      </w:r>
      <w:r>
        <w:t>and</w:t>
      </w:r>
      <w:r>
        <w:rPr>
          <w:spacing w:val="-5"/>
        </w:rPr>
        <w:t xml:space="preserve"> </w:t>
      </w:r>
      <w:r>
        <w:t>age</w:t>
      </w:r>
      <w:r>
        <w:rPr>
          <w:spacing w:val="-5"/>
        </w:rPr>
        <w:t xml:space="preserve"> </w:t>
      </w:r>
      <w:r>
        <w:t>13</w:t>
      </w:r>
      <w:r>
        <w:rPr>
          <w:spacing w:val="-5"/>
        </w:rPr>
        <w:t xml:space="preserve"> </w:t>
      </w:r>
      <w:r>
        <w:t>(born</w:t>
      </w:r>
      <w:r>
        <w:rPr>
          <w:spacing w:val="-5"/>
        </w:rPr>
        <w:t xml:space="preserve"> </w:t>
      </w:r>
      <w:r>
        <w:t>in</w:t>
      </w:r>
      <w:r>
        <w:rPr>
          <w:spacing w:val="-5"/>
        </w:rPr>
        <w:t xml:space="preserve"> </w:t>
      </w:r>
      <w:r>
        <w:t>2009)</w:t>
      </w:r>
      <w:r>
        <w:rPr>
          <w:spacing w:val="-5"/>
        </w:rPr>
        <w:t xml:space="preserve"> </w:t>
      </w:r>
      <w:r>
        <w:t>in</w:t>
      </w:r>
      <w:r>
        <w:rPr>
          <w:spacing w:val="-5"/>
        </w:rPr>
        <w:t xml:space="preserve"> </w:t>
      </w:r>
      <w:r>
        <w:t>public schools,</w:t>
      </w:r>
      <w:r>
        <w:rPr>
          <w:spacing w:val="-10"/>
        </w:rPr>
        <w:t xml:space="preserve"> </w:t>
      </w:r>
      <w:r>
        <w:t>Bureau</w:t>
      </w:r>
      <w:r>
        <w:rPr>
          <w:spacing w:val="-6"/>
        </w:rPr>
        <w:t xml:space="preserve"> </w:t>
      </w:r>
      <w:r>
        <w:t>of</w:t>
      </w:r>
      <w:r>
        <w:rPr>
          <w:spacing w:val="-6"/>
        </w:rPr>
        <w:t xml:space="preserve"> </w:t>
      </w:r>
      <w:r>
        <w:t>Indian</w:t>
      </w:r>
      <w:r>
        <w:rPr>
          <w:spacing w:val="-6"/>
        </w:rPr>
        <w:t xml:space="preserve"> </w:t>
      </w:r>
      <w:r>
        <w:t>Education</w:t>
      </w:r>
      <w:r>
        <w:rPr>
          <w:spacing w:val="-6"/>
        </w:rPr>
        <w:t xml:space="preserve"> </w:t>
      </w:r>
      <w:r>
        <w:t>(BIE)</w:t>
      </w:r>
      <w:r>
        <w:rPr>
          <w:spacing w:val="-6"/>
        </w:rPr>
        <w:t xml:space="preserve"> </w:t>
      </w:r>
      <w:r>
        <w:t>schools,</w:t>
      </w:r>
      <w:r>
        <w:rPr>
          <w:spacing w:val="-6"/>
        </w:rPr>
        <w:t xml:space="preserve"> </w:t>
      </w:r>
      <w:r>
        <w:t>and</w:t>
      </w:r>
      <w:r>
        <w:rPr>
          <w:spacing w:val="-7"/>
        </w:rPr>
        <w:t xml:space="preserve"> </w:t>
      </w:r>
      <w:r>
        <w:t>Department</w:t>
      </w:r>
      <w:r>
        <w:rPr>
          <w:spacing w:val="-6"/>
        </w:rPr>
        <w:t xml:space="preserve"> </w:t>
      </w:r>
      <w:r>
        <w:t>of</w:t>
      </w:r>
      <w:r>
        <w:rPr>
          <w:spacing w:val="-6"/>
        </w:rPr>
        <w:t xml:space="preserve"> </w:t>
      </w:r>
      <w:r>
        <w:t>Defense</w:t>
      </w:r>
      <w:r>
        <w:rPr>
          <w:spacing w:val="-6"/>
        </w:rPr>
        <w:t xml:space="preserve"> </w:t>
      </w:r>
      <w:r>
        <w:t>Education</w:t>
      </w:r>
      <w:r>
        <w:rPr>
          <w:spacing w:val="-13"/>
        </w:rPr>
        <w:t xml:space="preserve"> </w:t>
      </w:r>
      <w:r>
        <w:t>Activity</w:t>
      </w:r>
      <w:r>
        <w:rPr>
          <w:spacing w:val="-6"/>
        </w:rPr>
        <w:t xml:space="preserve"> </w:t>
      </w:r>
      <w:r>
        <w:t>(DoDEA)</w:t>
      </w:r>
      <w:r>
        <w:rPr>
          <w:spacing w:val="-6"/>
        </w:rPr>
        <w:t xml:space="preserve"> </w:t>
      </w:r>
      <w:r>
        <w:t>schools</w:t>
      </w:r>
      <w:r>
        <w:rPr>
          <w:spacing w:val="-7"/>
        </w:rPr>
        <w:t xml:space="preserve"> </w:t>
      </w:r>
      <w:r>
        <w:t>located</w:t>
      </w:r>
      <w:r>
        <w:rPr>
          <w:spacing w:val="-6"/>
        </w:rPr>
        <w:t xml:space="preserve"> </w:t>
      </w:r>
      <w:r>
        <w:t>in</w:t>
      </w:r>
      <w:r>
        <w:rPr>
          <w:spacing w:val="-6"/>
        </w:rPr>
        <w:t xml:space="preserve"> </w:t>
      </w:r>
      <w:r>
        <w:t>the</w:t>
      </w:r>
      <w:r>
        <w:rPr>
          <w:spacing w:val="-6"/>
        </w:rPr>
        <w:t xml:space="preserve"> </w:t>
      </w:r>
      <w:r>
        <w:t>50</w:t>
      </w:r>
      <w:r>
        <w:rPr>
          <w:spacing w:val="-6"/>
        </w:rPr>
        <w:t xml:space="preserve"> </w:t>
      </w:r>
      <w:r>
        <w:t>states</w:t>
      </w:r>
      <w:r>
        <w:rPr>
          <w:spacing w:val="-6"/>
        </w:rPr>
        <w:t xml:space="preserve"> </w:t>
      </w:r>
      <w:r>
        <w:t>and</w:t>
      </w:r>
      <w:r>
        <w:rPr>
          <w:spacing w:val="-6"/>
        </w:rPr>
        <w:t xml:space="preserve"> </w:t>
      </w:r>
      <w:r>
        <w:t>the</w:t>
      </w:r>
      <w:r>
        <w:rPr>
          <w:spacing w:val="-7"/>
        </w:rPr>
        <w:t xml:space="preserve"> </w:t>
      </w:r>
      <w:r>
        <w:t>District</w:t>
      </w:r>
      <w:r>
        <w:rPr>
          <w:spacing w:val="-6"/>
        </w:rPr>
        <w:t xml:space="preserve"> </w:t>
      </w:r>
      <w:r>
        <w:t>of</w:t>
      </w:r>
      <w:r>
        <w:rPr>
          <w:spacing w:val="-6"/>
        </w:rPr>
        <w:t xml:space="preserve"> </w:t>
      </w:r>
      <w:r>
        <w:rPr>
          <w:spacing w:val="-2"/>
        </w:rPr>
        <w:t>Columbia.</w:t>
      </w:r>
    </w:p>
    <w:p w:rsidR="003F5784" w14:paraId="5492807E" w14:textId="77777777">
      <w:pPr>
        <w:pStyle w:val="BodyText"/>
      </w:pPr>
    </w:p>
    <w:p w:rsidR="003F5784" w14:paraId="135843B5" w14:textId="77777777">
      <w:pPr>
        <w:pStyle w:val="BodyText"/>
      </w:pPr>
    </w:p>
    <w:p w:rsidR="003F5784" w14:paraId="3C2A39BE" w14:textId="77777777">
      <w:pPr>
        <w:pStyle w:val="BodyText"/>
        <w:spacing w:before="145"/>
      </w:pPr>
    </w:p>
    <w:p w:rsidR="003F5784" w14:paraId="3AF5F056" w14:textId="77777777">
      <w:pPr>
        <w:ind w:right="113"/>
        <w:jc w:val="right"/>
        <w:rPr>
          <w:sz w:val="18"/>
        </w:rPr>
      </w:pPr>
      <w:hyperlink r:id="rId183">
        <w:r>
          <w:rPr>
            <w:spacing w:val="-2"/>
            <w:w w:val="105"/>
            <w:sz w:val="18"/>
          </w:rPr>
          <w:t>http://nces.ed.gov/nationsreportcard/tdw/sample_design/2022/target_population_of_the_2022_public_school_long_term_trend_assessment.aspx</w:t>
        </w:r>
      </w:hyperlink>
    </w:p>
    <w:p w:rsidR="003F5784" w14:paraId="0811E392" w14:textId="77777777">
      <w:pPr>
        <w:pStyle w:val="BodyText"/>
        <w:spacing w:before="11"/>
        <w:rPr>
          <w:sz w:val="14"/>
        </w:rPr>
      </w:pPr>
      <w:r>
        <w:rPr>
          <w:noProof/>
        </w:rPr>
        <mc:AlternateContent>
          <mc:Choice Requires="wps">
            <w:drawing>
              <wp:anchor distT="0" distB="0" distL="0" distR="0" simplePos="0" relativeHeight="251870208" behindDoc="1" locked="0" layoutInCell="1" allowOverlap="1">
                <wp:simplePos x="0" y="0"/>
                <wp:positionH relativeFrom="page">
                  <wp:posOffset>361937</wp:posOffset>
                </wp:positionH>
                <wp:positionV relativeFrom="paragraph">
                  <wp:posOffset>124664</wp:posOffset>
                </wp:positionV>
                <wp:extent cx="9339580" cy="8890"/>
                <wp:effectExtent l="0" t="0" r="0" b="0"/>
                <wp:wrapTopAndBottom/>
                <wp:docPr id="209" name="Graphic 209"/>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305"/>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09" o:spid="_x0000_s1105" style="width:735.4pt;height:0.7pt;margin-top:9.8pt;margin-left:28.5pt;mso-position-horizontal-relative:page;mso-wrap-distance-bottom:0;mso-wrap-distance-left:0;mso-wrap-distance-right:0;mso-wrap-distance-top:0;mso-wrap-style:square;position:absolute;visibility:visible;v-text-anchor:top;z-index:-251445248" coordsize="9339580,8890" path="m9338970,l9335110,l,,,8280l8280,8305l9335110,8280l9338970,8280l9338970,xe" fillcolor="gray" stroked="f">
                <v:path arrowok="t"/>
                <w10:wrap type="topAndBottom"/>
              </v:shape>
            </w:pict>
          </mc:Fallback>
        </mc:AlternateContent>
      </w:r>
    </w:p>
    <w:p w:rsidR="003F5784" w14:paraId="315400BA" w14:textId="77777777">
      <w:pPr>
        <w:pStyle w:val="BodyText"/>
        <w:rPr>
          <w:sz w:val="18"/>
        </w:rPr>
      </w:pPr>
    </w:p>
    <w:p w:rsidR="003F5784" w14:paraId="7EACAB3F" w14:textId="77777777">
      <w:pPr>
        <w:pStyle w:val="BodyText"/>
        <w:spacing w:before="206"/>
        <w:rPr>
          <w:sz w:val="18"/>
        </w:rPr>
      </w:pPr>
    </w:p>
    <w:p w:rsidR="003F5784" w14:paraId="41327B42" w14:textId="48710D60">
      <w:pPr>
        <w:pStyle w:val="Heading1"/>
        <w:spacing w:line="244" w:lineRule="auto"/>
      </w:pPr>
      <w:r>
        <w:t>NAEP</w:t>
      </w:r>
      <w:r>
        <w:rPr>
          <w:spacing w:val="-15"/>
        </w:rPr>
        <w:t xml:space="preserve"> </w:t>
      </w:r>
      <w:r>
        <w:t>Technical Documentation</w:t>
      </w:r>
      <w:r w:rsidR="005112A4">
        <w:t xml:space="preserve"> </w:t>
      </w:r>
      <w:r>
        <w:t>School and Student Participation Results for the 2022 Long-Term Trend Assessment</w:t>
      </w:r>
    </w:p>
    <w:p w:rsidR="003F5784" w14:paraId="48AF780E" w14:textId="77777777">
      <w:pPr>
        <w:pStyle w:val="BodyText"/>
        <w:spacing w:before="6"/>
        <w:rPr>
          <w:b/>
          <w:sz w:val="15"/>
        </w:rPr>
      </w:pPr>
    </w:p>
    <w:p w:rsidR="003F5784" w14:paraId="0E9D8C34" w14:textId="77777777">
      <w:pPr>
        <w:rPr>
          <w:sz w:val="15"/>
        </w:rPr>
        <w:sectPr>
          <w:pgSz w:w="15840" w:h="12240" w:orient="landscape"/>
          <w:pgMar w:top="480" w:right="440" w:bottom="460" w:left="460" w:header="284" w:footer="275" w:gutter="0"/>
          <w:cols w:space="720"/>
        </w:sectPr>
      </w:pPr>
    </w:p>
    <w:p w:rsidR="003F5784" w14:paraId="4D185592" w14:textId="77777777">
      <w:pPr>
        <w:pStyle w:val="BodyText"/>
        <w:spacing w:before="95" w:line="232" w:lineRule="auto"/>
        <w:ind w:left="109"/>
      </w:pPr>
      <w:r>
        <w:t>Participation</w:t>
      </w:r>
      <w:r>
        <w:rPr>
          <w:spacing w:val="-12"/>
        </w:rPr>
        <w:t xml:space="preserve"> </w:t>
      </w:r>
      <w:r>
        <w:t>in</w:t>
      </w:r>
      <w:r>
        <w:rPr>
          <w:spacing w:val="-7"/>
        </w:rPr>
        <w:t xml:space="preserve"> </w:t>
      </w:r>
      <w:r>
        <w:t>NAEP</w:t>
      </w:r>
      <w:r>
        <w:rPr>
          <w:spacing w:val="-14"/>
        </w:rPr>
        <w:t xml:space="preserve"> </w:t>
      </w:r>
      <w:r>
        <w:t>is</w:t>
      </w:r>
      <w:r>
        <w:rPr>
          <w:spacing w:val="-6"/>
        </w:rPr>
        <w:t xml:space="preserve"> </w:t>
      </w:r>
      <w:r>
        <w:t>not</w:t>
      </w:r>
      <w:r>
        <w:rPr>
          <w:spacing w:val="-7"/>
        </w:rPr>
        <w:t xml:space="preserve"> </w:t>
      </w:r>
      <w:r>
        <w:t>mandatory.</w:t>
      </w:r>
      <w:r>
        <w:rPr>
          <w:spacing w:val="-14"/>
        </w:rPr>
        <w:t xml:space="preserve"> </w:t>
      </w:r>
      <w:r>
        <w:t>Although</w:t>
      </w:r>
      <w:r>
        <w:rPr>
          <w:spacing w:val="-6"/>
        </w:rPr>
        <w:t xml:space="preserve"> </w:t>
      </w:r>
      <w:r>
        <w:t>a</w:t>
      </w:r>
      <w:r>
        <w:rPr>
          <w:spacing w:val="-7"/>
        </w:rPr>
        <w:t xml:space="preserve"> </w:t>
      </w:r>
      <w:r>
        <w:t>portion</w:t>
      </w:r>
      <w:r>
        <w:rPr>
          <w:spacing w:val="-7"/>
        </w:rPr>
        <w:t xml:space="preserve"> </w:t>
      </w:r>
      <w:r>
        <w:t>of</w:t>
      </w:r>
      <w:r>
        <w:rPr>
          <w:spacing w:val="-7"/>
        </w:rPr>
        <w:t xml:space="preserve"> </w:t>
      </w:r>
      <w:r>
        <w:t>the</w:t>
      </w:r>
      <w:r>
        <w:rPr>
          <w:spacing w:val="-7"/>
        </w:rPr>
        <w:t xml:space="preserve"> </w:t>
      </w:r>
      <w:r>
        <w:t>participating</w:t>
      </w:r>
      <w:r>
        <w:rPr>
          <w:spacing w:val="-7"/>
        </w:rPr>
        <w:t xml:space="preserve"> </w:t>
      </w:r>
      <w:r>
        <w:t>school</w:t>
      </w:r>
      <w:r>
        <w:rPr>
          <w:spacing w:val="-7"/>
        </w:rPr>
        <w:t xml:space="preserve"> </w:t>
      </w:r>
      <w:r>
        <w:t>sample</w:t>
      </w:r>
      <w:r>
        <w:rPr>
          <w:spacing w:val="-7"/>
        </w:rPr>
        <w:t xml:space="preserve"> </w:t>
      </w:r>
      <w:r>
        <w:t>consisted</w:t>
      </w:r>
      <w:r>
        <w:rPr>
          <w:spacing w:val="-7"/>
        </w:rPr>
        <w:t xml:space="preserve"> </w:t>
      </w:r>
      <w:r>
        <w:t>of</w:t>
      </w:r>
      <w:r>
        <w:rPr>
          <w:spacing w:val="-7"/>
        </w:rPr>
        <w:t xml:space="preserve"> </w:t>
      </w:r>
      <w:r>
        <w:t>substitute</w:t>
      </w:r>
      <w:r>
        <w:rPr>
          <w:spacing w:val="-7"/>
        </w:rPr>
        <w:t xml:space="preserve"> </w:t>
      </w:r>
      <w:r>
        <w:t>schools,</w:t>
      </w:r>
      <w:r>
        <w:rPr>
          <w:spacing w:val="-7"/>
        </w:rPr>
        <w:t xml:space="preserve"> </w:t>
      </w:r>
      <w:r>
        <w:t>it</w:t>
      </w:r>
      <w:r>
        <w:rPr>
          <w:spacing w:val="-7"/>
        </w:rPr>
        <w:t xml:space="preserve"> </w:t>
      </w:r>
      <w:r>
        <w:t>is preferable to calculate school response rates on the basis of school participation before substitution.</w:t>
      </w:r>
    </w:p>
    <w:p w:rsidR="003F5784" w14:paraId="3997A219" w14:textId="77777777">
      <w:pPr>
        <w:pStyle w:val="BodyText"/>
        <w:spacing w:before="5" w:line="440" w:lineRule="atLeast"/>
        <w:ind w:left="422" w:right="1526" w:hanging="313"/>
      </w:pPr>
      <w:r>
        <w:t>In</w:t>
      </w:r>
      <w:r>
        <w:rPr>
          <w:spacing w:val="-7"/>
        </w:rPr>
        <w:t xml:space="preserve"> </w:t>
      </w:r>
      <w:r>
        <w:t>every</w:t>
      </w:r>
      <w:r>
        <w:rPr>
          <w:spacing w:val="-7"/>
        </w:rPr>
        <w:t xml:space="preserve"> </w:t>
      </w:r>
      <w:r>
        <w:t>NAEP</w:t>
      </w:r>
      <w:r>
        <w:rPr>
          <w:spacing w:val="-14"/>
        </w:rPr>
        <w:t xml:space="preserve"> </w:t>
      </w:r>
      <w:r>
        <w:t>survey,</w:t>
      </w:r>
      <w:r>
        <w:rPr>
          <w:spacing w:val="-6"/>
        </w:rPr>
        <w:t xml:space="preserve"> </w:t>
      </w:r>
      <w:r>
        <w:t>some</w:t>
      </w:r>
      <w:r>
        <w:rPr>
          <w:spacing w:val="-7"/>
        </w:rPr>
        <w:t xml:space="preserve"> </w:t>
      </w:r>
      <w:r>
        <w:t>of</w:t>
      </w:r>
      <w:r>
        <w:rPr>
          <w:spacing w:val="-7"/>
        </w:rPr>
        <w:t xml:space="preserve"> </w:t>
      </w:r>
      <w:r>
        <w:t>the</w:t>
      </w:r>
      <w:r>
        <w:rPr>
          <w:spacing w:val="-7"/>
        </w:rPr>
        <w:t xml:space="preserve"> </w:t>
      </w:r>
      <w:r>
        <w:t>sampled</w:t>
      </w:r>
      <w:r>
        <w:rPr>
          <w:spacing w:val="-7"/>
        </w:rPr>
        <w:t xml:space="preserve"> </w:t>
      </w:r>
      <w:r>
        <w:t>students</w:t>
      </w:r>
      <w:r>
        <w:rPr>
          <w:spacing w:val="-7"/>
        </w:rPr>
        <w:t xml:space="preserve"> </w:t>
      </w:r>
      <w:r>
        <w:t>are</w:t>
      </w:r>
      <w:r>
        <w:rPr>
          <w:spacing w:val="-7"/>
        </w:rPr>
        <w:t xml:space="preserve"> </w:t>
      </w:r>
      <w:r>
        <w:t>not</w:t>
      </w:r>
      <w:r>
        <w:rPr>
          <w:spacing w:val="-7"/>
        </w:rPr>
        <w:t xml:space="preserve"> </w:t>
      </w:r>
      <w:r>
        <w:t>assessed.</w:t>
      </w:r>
      <w:r>
        <w:rPr>
          <w:spacing w:val="-7"/>
        </w:rPr>
        <w:t xml:space="preserve"> </w:t>
      </w:r>
      <w:r>
        <w:t>Examples</w:t>
      </w:r>
      <w:r>
        <w:rPr>
          <w:spacing w:val="-7"/>
        </w:rPr>
        <w:t xml:space="preserve"> </w:t>
      </w:r>
      <w:r>
        <w:t>of</w:t>
      </w:r>
      <w:r>
        <w:rPr>
          <w:spacing w:val="-7"/>
        </w:rPr>
        <w:t xml:space="preserve"> </w:t>
      </w:r>
      <w:r>
        <w:t>such</w:t>
      </w:r>
      <w:r>
        <w:rPr>
          <w:spacing w:val="-7"/>
        </w:rPr>
        <w:t xml:space="preserve"> </w:t>
      </w:r>
      <w:r>
        <w:t>students</w:t>
      </w:r>
      <w:r>
        <w:rPr>
          <w:spacing w:val="-7"/>
        </w:rPr>
        <w:t xml:space="preserve"> </w:t>
      </w:r>
      <w:r>
        <w:t>are</w:t>
      </w:r>
      <w:r>
        <w:rPr>
          <w:spacing w:val="-7"/>
        </w:rPr>
        <w:t xml:space="preserve"> </w:t>
      </w:r>
      <w:r>
        <w:t>as</w:t>
      </w:r>
      <w:r>
        <w:rPr>
          <w:spacing w:val="-7"/>
        </w:rPr>
        <w:t xml:space="preserve"> </w:t>
      </w:r>
      <w:r>
        <w:t xml:space="preserve">follows: </w:t>
      </w:r>
      <w:r>
        <w:rPr>
          <w:noProof/>
          <w:position w:val="3"/>
        </w:rPr>
        <w:drawing>
          <wp:inline distT="0" distB="0" distL="0" distR="0">
            <wp:extent cx="41379" cy="41378"/>
            <wp:effectExtent l="0" t="0" r="0" b="0"/>
            <wp:docPr id="210" name="Image 210"/>
            <wp:cNvGraphicFramePr/>
            <a:graphic xmlns:a="http://schemas.openxmlformats.org/drawingml/2006/main">
              <a:graphicData uri="http://schemas.openxmlformats.org/drawingml/2006/picture">
                <pic:pic xmlns:pic="http://schemas.openxmlformats.org/drawingml/2006/picture">
                  <pic:nvPicPr>
                    <pic:cNvPr id="210" name="Image 210"/>
                    <pic:cNvPicPr/>
                  </pic:nvPicPr>
                  <pic:blipFill>
                    <a:blip xmlns:r="http://schemas.openxmlformats.org/officeDocument/2006/relationships" r:embed="rId184" cstate="print"/>
                    <a:stretch>
                      <a:fillRect/>
                    </a:stretch>
                  </pic:blipFill>
                  <pic:spPr>
                    <a:xfrm>
                      <a:off x="0" y="0"/>
                      <a:ext cx="41379" cy="41378"/>
                    </a:xfrm>
                    <a:prstGeom prst="rect">
                      <a:avLst/>
                    </a:prstGeom>
                  </pic:spPr>
                </pic:pic>
              </a:graphicData>
            </a:graphic>
          </wp:inline>
        </w:drawing>
      </w:r>
      <w:r>
        <w:rPr>
          <w:spacing w:val="80"/>
        </w:rPr>
        <w:t xml:space="preserve"> </w:t>
      </w:r>
      <w:r>
        <w:t>withdrawn students;</w:t>
      </w:r>
    </w:p>
    <w:p w:rsidR="003F5784" w14:paraId="09326DAE" w14:textId="77777777">
      <w:pPr>
        <w:pStyle w:val="BodyText"/>
        <w:spacing w:before="2" w:line="232" w:lineRule="auto"/>
        <w:ind w:left="422" w:right="7027"/>
      </w:pPr>
      <w:r>
        <w:rPr>
          <w:noProof/>
          <w:position w:val="3"/>
        </w:rPr>
        <w:drawing>
          <wp:inline distT="0" distB="0" distL="0" distR="0">
            <wp:extent cx="41379" cy="41378"/>
            <wp:effectExtent l="0" t="0" r="0" b="0"/>
            <wp:docPr id="211" name="Image 211"/>
            <wp:cNvGraphicFramePr/>
            <a:graphic xmlns:a="http://schemas.openxmlformats.org/drawingml/2006/main">
              <a:graphicData uri="http://schemas.openxmlformats.org/drawingml/2006/picture">
                <pic:pic xmlns:pic="http://schemas.openxmlformats.org/drawingml/2006/picture">
                  <pic:nvPicPr>
                    <pic:cNvPr id="211" name="Image 211"/>
                    <pic:cNvPicPr/>
                  </pic:nvPicPr>
                  <pic:blipFill>
                    <a:blip xmlns:r="http://schemas.openxmlformats.org/officeDocument/2006/relationships" r:embed="rId185" cstate="print"/>
                    <a:stretch>
                      <a:fillRect/>
                    </a:stretch>
                  </pic:blipFill>
                  <pic:spPr>
                    <a:xfrm>
                      <a:off x="0" y="0"/>
                      <a:ext cx="41379" cy="41378"/>
                    </a:xfrm>
                    <a:prstGeom prst="rect">
                      <a:avLst/>
                    </a:prstGeom>
                  </pic:spPr>
                </pic:pic>
              </a:graphicData>
            </a:graphic>
          </wp:inline>
        </w:drawing>
      </w:r>
      <w:r>
        <w:rPr>
          <w:spacing w:val="70"/>
          <w:sz w:val="20"/>
        </w:rPr>
        <w:t xml:space="preserve"> </w:t>
      </w:r>
      <w:r>
        <w:t>excluded</w:t>
      </w:r>
      <w:r>
        <w:rPr>
          <w:spacing w:val="-10"/>
        </w:rPr>
        <w:t xml:space="preserve"> </w:t>
      </w:r>
      <w:r>
        <w:t>students</w:t>
      </w:r>
      <w:r>
        <w:rPr>
          <w:spacing w:val="-10"/>
        </w:rPr>
        <w:t xml:space="preserve"> </w:t>
      </w:r>
      <w:r>
        <w:t>with</w:t>
      </w:r>
      <w:r>
        <w:rPr>
          <w:spacing w:val="-10"/>
        </w:rPr>
        <w:t xml:space="preserve"> </w:t>
      </w:r>
      <w:r>
        <w:t>disabilities</w:t>
      </w:r>
      <w:r>
        <w:rPr>
          <w:spacing w:val="-10"/>
        </w:rPr>
        <w:t xml:space="preserve"> </w:t>
      </w:r>
      <w:r>
        <w:t xml:space="preserve">(SD); </w:t>
      </w:r>
      <w:r>
        <w:rPr>
          <w:noProof/>
          <w:position w:val="3"/>
        </w:rPr>
        <w:drawing>
          <wp:inline distT="0" distB="0" distL="0" distR="0">
            <wp:extent cx="41379" cy="41378"/>
            <wp:effectExtent l="0" t="0" r="0" b="0"/>
            <wp:docPr id="212" name="Image 212"/>
            <wp:cNvGraphicFramePr/>
            <a:graphic xmlns:a="http://schemas.openxmlformats.org/drawingml/2006/main">
              <a:graphicData uri="http://schemas.openxmlformats.org/drawingml/2006/picture">
                <pic:pic xmlns:pic="http://schemas.openxmlformats.org/drawingml/2006/picture">
                  <pic:nvPicPr>
                    <pic:cNvPr id="212" name="Image 212"/>
                    <pic:cNvPicPr/>
                  </pic:nvPicPr>
                  <pic:blipFill>
                    <a:blip xmlns:r="http://schemas.openxmlformats.org/officeDocument/2006/relationships" r:embed="rId186" cstate="print"/>
                    <a:stretch>
                      <a:fillRect/>
                    </a:stretch>
                  </pic:blipFill>
                  <pic:spPr>
                    <a:xfrm>
                      <a:off x="0" y="0"/>
                      <a:ext cx="41379" cy="41378"/>
                    </a:xfrm>
                    <a:prstGeom prst="rect">
                      <a:avLst/>
                    </a:prstGeom>
                  </pic:spPr>
                </pic:pic>
              </a:graphicData>
            </a:graphic>
          </wp:inline>
        </w:drawing>
      </w:r>
      <w:r>
        <w:rPr>
          <w:spacing w:val="80"/>
        </w:rPr>
        <w:t xml:space="preserve"> </w:t>
      </w:r>
      <w:r>
        <w:t>excluded English learner (EL) students;</w:t>
      </w:r>
    </w:p>
    <w:p w:rsidR="003F5784" w14:paraId="6EA66275" w14:textId="77777777">
      <w:pPr>
        <w:pStyle w:val="BodyText"/>
        <w:spacing w:before="1" w:line="232" w:lineRule="auto"/>
        <w:ind w:left="422" w:right="1632"/>
      </w:pPr>
      <w:r>
        <w:rPr>
          <w:noProof/>
          <w:position w:val="3"/>
        </w:rPr>
        <w:drawing>
          <wp:inline distT="0" distB="0" distL="0" distR="0">
            <wp:extent cx="41379" cy="41378"/>
            <wp:effectExtent l="0" t="0" r="0" b="0"/>
            <wp:docPr id="213" name="Image 213"/>
            <wp:cNvGraphicFramePr/>
            <a:graphic xmlns:a="http://schemas.openxmlformats.org/drawingml/2006/main">
              <a:graphicData uri="http://schemas.openxmlformats.org/drawingml/2006/picture">
                <pic:pic xmlns:pic="http://schemas.openxmlformats.org/drawingml/2006/picture">
                  <pic:nvPicPr>
                    <pic:cNvPr id="213" name="Image 213"/>
                    <pic:cNvPicPr/>
                  </pic:nvPicPr>
                  <pic:blipFill>
                    <a:blip xmlns:r="http://schemas.openxmlformats.org/officeDocument/2006/relationships" r:embed="rId187" cstate="print"/>
                    <a:stretch>
                      <a:fillRect/>
                    </a:stretch>
                  </pic:blipFill>
                  <pic:spPr>
                    <a:xfrm>
                      <a:off x="0" y="0"/>
                      <a:ext cx="41379" cy="41378"/>
                    </a:xfrm>
                    <a:prstGeom prst="rect">
                      <a:avLst/>
                    </a:prstGeom>
                  </pic:spPr>
                </pic:pic>
              </a:graphicData>
            </a:graphic>
          </wp:inline>
        </w:drawing>
      </w:r>
      <w:r>
        <w:rPr>
          <w:spacing w:val="80"/>
          <w:sz w:val="20"/>
        </w:rPr>
        <w:t xml:space="preserve"> </w:t>
      </w:r>
      <w:r>
        <w:t>students</w:t>
      </w:r>
      <w:r>
        <w:rPr>
          <w:spacing w:val="-6"/>
        </w:rPr>
        <w:t xml:space="preserve"> </w:t>
      </w:r>
      <w:r>
        <w:t>absent</w:t>
      </w:r>
      <w:r>
        <w:rPr>
          <w:spacing w:val="-6"/>
        </w:rPr>
        <w:t xml:space="preserve"> </w:t>
      </w:r>
      <w:r>
        <w:t>from</w:t>
      </w:r>
      <w:r>
        <w:rPr>
          <w:spacing w:val="-6"/>
        </w:rPr>
        <w:t xml:space="preserve"> </w:t>
      </w:r>
      <w:r>
        <w:t>both</w:t>
      </w:r>
      <w:r>
        <w:rPr>
          <w:spacing w:val="-6"/>
        </w:rPr>
        <w:t xml:space="preserve"> </w:t>
      </w:r>
      <w:r>
        <w:t>the</w:t>
      </w:r>
      <w:r>
        <w:rPr>
          <w:spacing w:val="-6"/>
        </w:rPr>
        <w:t xml:space="preserve"> </w:t>
      </w:r>
      <w:r>
        <w:t>original</w:t>
      </w:r>
      <w:r>
        <w:rPr>
          <w:spacing w:val="-6"/>
        </w:rPr>
        <w:t xml:space="preserve"> </w:t>
      </w:r>
      <w:r>
        <w:t>session</w:t>
      </w:r>
      <w:r>
        <w:rPr>
          <w:spacing w:val="-6"/>
        </w:rPr>
        <w:t xml:space="preserve"> </w:t>
      </w:r>
      <w:r>
        <w:t>and</w:t>
      </w:r>
      <w:r>
        <w:rPr>
          <w:spacing w:val="-6"/>
        </w:rPr>
        <w:t xml:space="preserve"> </w:t>
      </w:r>
      <w:r>
        <w:t>the</w:t>
      </w:r>
      <w:r>
        <w:rPr>
          <w:spacing w:val="-6"/>
        </w:rPr>
        <w:t xml:space="preserve"> </w:t>
      </w:r>
      <w:r>
        <w:t>makeup</w:t>
      </w:r>
      <w:r>
        <w:rPr>
          <w:spacing w:val="-6"/>
        </w:rPr>
        <w:t xml:space="preserve"> </w:t>
      </w:r>
      <w:r>
        <w:t>session</w:t>
      </w:r>
      <w:r>
        <w:rPr>
          <w:spacing w:val="-6"/>
        </w:rPr>
        <w:t xml:space="preserve"> </w:t>
      </w:r>
      <w:r>
        <w:t>(not</w:t>
      </w:r>
      <w:r>
        <w:rPr>
          <w:spacing w:val="-6"/>
        </w:rPr>
        <w:t xml:space="preserve"> </w:t>
      </w:r>
      <w:r>
        <w:t>excluded</w:t>
      </w:r>
      <w:r>
        <w:rPr>
          <w:spacing w:val="-6"/>
        </w:rPr>
        <w:t xml:space="preserve"> </w:t>
      </w:r>
      <w:r>
        <w:t>but</w:t>
      </w:r>
      <w:r>
        <w:rPr>
          <w:spacing w:val="-6"/>
        </w:rPr>
        <w:t xml:space="preserve"> </w:t>
      </w:r>
      <w:r>
        <w:t>not</w:t>
      </w:r>
      <w:r>
        <w:rPr>
          <w:spacing w:val="-6"/>
        </w:rPr>
        <w:t xml:space="preserve"> </w:t>
      </w:r>
      <w:r>
        <w:t>assessed);</w:t>
      </w:r>
      <w:r>
        <w:rPr>
          <w:spacing w:val="-6"/>
        </w:rPr>
        <w:t xml:space="preserve"> </w:t>
      </w:r>
      <w:r>
        <w:t xml:space="preserve">or </w:t>
      </w:r>
      <w:r>
        <w:rPr>
          <w:noProof/>
          <w:position w:val="3"/>
        </w:rPr>
        <w:drawing>
          <wp:inline distT="0" distB="0" distL="0" distR="0">
            <wp:extent cx="41379" cy="41378"/>
            <wp:effectExtent l="0" t="0" r="0" b="0"/>
            <wp:docPr id="214" name="Image 214"/>
            <wp:cNvGraphicFramePr/>
            <a:graphic xmlns:a="http://schemas.openxmlformats.org/drawingml/2006/main">
              <a:graphicData uri="http://schemas.openxmlformats.org/drawingml/2006/picture">
                <pic:pic xmlns:pic="http://schemas.openxmlformats.org/drawingml/2006/picture">
                  <pic:nvPicPr>
                    <pic:cNvPr id="214" name="Image 214"/>
                    <pic:cNvPicPr/>
                  </pic:nvPicPr>
                  <pic:blipFill>
                    <a:blip xmlns:r="http://schemas.openxmlformats.org/officeDocument/2006/relationships" r:embed="rId188" cstate="print"/>
                    <a:stretch>
                      <a:fillRect/>
                    </a:stretch>
                  </pic:blipFill>
                  <pic:spPr>
                    <a:xfrm>
                      <a:off x="0" y="0"/>
                      <a:ext cx="41379" cy="41378"/>
                    </a:xfrm>
                    <a:prstGeom prst="rect">
                      <a:avLst/>
                    </a:prstGeom>
                  </pic:spPr>
                </pic:pic>
              </a:graphicData>
            </a:graphic>
          </wp:inline>
        </w:drawing>
      </w:r>
      <w:r>
        <w:rPr>
          <w:spacing w:val="80"/>
        </w:rPr>
        <w:t xml:space="preserve"> </w:t>
      </w:r>
      <w:r>
        <w:t>full-time remote students.</w:t>
      </w:r>
    </w:p>
    <w:p w:rsidR="003F5784" w14:paraId="001C0FD4" w14:textId="77777777">
      <w:pPr>
        <w:pStyle w:val="BodyText"/>
        <w:spacing w:before="209" w:line="232" w:lineRule="auto"/>
        <w:ind w:left="109"/>
      </w:pPr>
      <w:r>
        <w:t>Withdrawn</w:t>
      </w:r>
      <w:r>
        <w:rPr>
          <w:spacing w:val="-7"/>
        </w:rPr>
        <w:t xml:space="preserve"> </w:t>
      </w:r>
      <w:r>
        <w:t>students</w:t>
      </w:r>
      <w:r>
        <w:rPr>
          <w:spacing w:val="-7"/>
        </w:rPr>
        <w:t xml:space="preserve"> </w:t>
      </w:r>
      <w:r>
        <w:t>are</w:t>
      </w:r>
      <w:r>
        <w:rPr>
          <w:spacing w:val="-7"/>
        </w:rPr>
        <w:t xml:space="preserve"> </w:t>
      </w:r>
      <w:r>
        <w:t>those</w:t>
      </w:r>
      <w:r>
        <w:rPr>
          <w:spacing w:val="-7"/>
        </w:rPr>
        <w:t xml:space="preserve"> </w:t>
      </w:r>
      <w:r>
        <w:t>who</w:t>
      </w:r>
      <w:r>
        <w:rPr>
          <w:spacing w:val="-7"/>
        </w:rPr>
        <w:t xml:space="preserve"> </w:t>
      </w:r>
      <w:r>
        <w:t>have</w:t>
      </w:r>
      <w:r>
        <w:rPr>
          <w:spacing w:val="-7"/>
        </w:rPr>
        <w:t xml:space="preserve"> </w:t>
      </w:r>
      <w:r>
        <w:t>left</w:t>
      </w:r>
      <w:r>
        <w:rPr>
          <w:spacing w:val="-7"/>
        </w:rPr>
        <w:t xml:space="preserve"> </w:t>
      </w:r>
      <w:r>
        <w:t>the</w:t>
      </w:r>
      <w:r>
        <w:rPr>
          <w:spacing w:val="-7"/>
        </w:rPr>
        <w:t xml:space="preserve"> </w:t>
      </w:r>
      <w:r>
        <w:t>school</w:t>
      </w:r>
      <w:r>
        <w:rPr>
          <w:spacing w:val="-7"/>
        </w:rPr>
        <w:t xml:space="preserve"> </w:t>
      </w:r>
      <w:r>
        <w:t>before</w:t>
      </w:r>
      <w:r>
        <w:rPr>
          <w:spacing w:val="-7"/>
        </w:rPr>
        <w:t xml:space="preserve"> </w:t>
      </w:r>
      <w:r>
        <w:t>the</w:t>
      </w:r>
      <w:r>
        <w:rPr>
          <w:spacing w:val="-7"/>
        </w:rPr>
        <w:t xml:space="preserve"> </w:t>
      </w:r>
      <w:r>
        <w:t>original</w:t>
      </w:r>
      <w:r>
        <w:rPr>
          <w:spacing w:val="-7"/>
        </w:rPr>
        <w:t xml:space="preserve"> </w:t>
      </w:r>
      <w:r>
        <w:t>assessment.</w:t>
      </w:r>
      <w:r>
        <w:rPr>
          <w:spacing w:val="-7"/>
        </w:rPr>
        <w:t xml:space="preserve"> </w:t>
      </w:r>
      <w:r>
        <w:t>Excluded</w:t>
      </w:r>
      <w:r>
        <w:rPr>
          <w:spacing w:val="-7"/>
        </w:rPr>
        <w:t xml:space="preserve"> </w:t>
      </w:r>
      <w:r>
        <w:t>students</w:t>
      </w:r>
      <w:r>
        <w:rPr>
          <w:spacing w:val="-7"/>
        </w:rPr>
        <w:t xml:space="preserve"> </w:t>
      </w:r>
      <w:r>
        <w:t>were</w:t>
      </w:r>
      <w:r>
        <w:rPr>
          <w:spacing w:val="-7"/>
        </w:rPr>
        <w:t xml:space="preserve"> </w:t>
      </w:r>
      <w:r>
        <w:t>determined</w:t>
      </w:r>
      <w:r>
        <w:rPr>
          <w:spacing w:val="-7"/>
        </w:rPr>
        <w:t xml:space="preserve"> </w:t>
      </w:r>
      <w:r>
        <w:t>by</w:t>
      </w:r>
      <w:r>
        <w:rPr>
          <w:spacing w:val="-7"/>
        </w:rPr>
        <w:t xml:space="preserve"> </w:t>
      </w:r>
      <w:r>
        <w:t>their school to be unable to meaningfully take the NAEP</w:t>
      </w:r>
      <w:r>
        <w:rPr>
          <w:spacing w:val="-8"/>
        </w:rPr>
        <w:t xml:space="preserve"> </w:t>
      </w:r>
      <w:r>
        <w:t>assessment in their assigned subject, even with an accommodation. Excluded students must also be classified as SD and/or EL. Other students who were absent for the initial session can be assessed in the</w:t>
      </w:r>
    </w:p>
    <w:p w:rsidR="003F5784" w14:paraId="4F97EC17" w14:textId="77777777">
      <w:pPr>
        <w:spacing w:before="75"/>
        <w:rPr>
          <w:sz w:val="21"/>
        </w:rPr>
      </w:pPr>
      <w:r>
        <w:br w:type="column"/>
      </w:r>
    </w:p>
    <w:p w:rsidR="003F5784" w14:paraId="1249116A" w14:textId="77777777">
      <w:pPr>
        <w:pStyle w:val="BodyText"/>
        <w:spacing w:line="232" w:lineRule="auto"/>
        <w:ind w:left="109" w:right="640"/>
      </w:pPr>
      <w:r>
        <w:t>School</w:t>
      </w:r>
      <w:r>
        <w:rPr>
          <w:spacing w:val="-12"/>
        </w:rPr>
        <w:t xml:space="preserve"> </w:t>
      </w:r>
      <w:r>
        <w:t>Response</w:t>
      </w:r>
      <w:r>
        <w:rPr>
          <w:spacing w:val="-12"/>
        </w:rPr>
        <w:t xml:space="preserve"> </w:t>
      </w:r>
      <w:r>
        <w:t>Rates</w:t>
      </w:r>
      <w:r>
        <w:rPr>
          <w:spacing w:val="-12"/>
        </w:rPr>
        <w:t xml:space="preserve"> </w:t>
      </w:r>
      <w:r>
        <w:t>for</w:t>
      </w:r>
      <w:r>
        <w:rPr>
          <w:spacing w:val="-12"/>
        </w:rPr>
        <w:t xml:space="preserve"> </w:t>
      </w:r>
      <w:r>
        <w:t>the</w:t>
      </w:r>
      <w:r>
        <w:rPr>
          <w:spacing w:val="-12"/>
        </w:rPr>
        <w:t xml:space="preserve"> </w:t>
      </w:r>
      <w:r>
        <w:t>2022 Long-Term Trend Assessment</w:t>
      </w:r>
    </w:p>
    <w:p w:rsidR="003F5784" w14:paraId="182DD651" w14:textId="77777777">
      <w:pPr>
        <w:pStyle w:val="BodyText"/>
        <w:spacing w:before="210" w:line="232" w:lineRule="auto"/>
        <w:ind w:left="109" w:right="119"/>
      </w:pPr>
      <w:r>
        <w:t>Student</w:t>
      </w:r>
      <w:r>
        <w:rPr>
          <w:spacing w:val="-13"/>
        </w:rPr>
        <w:t xml:space="preserve"> </w:t>
      </w:r>
      <w:r>
        <w:t>Response</w:t>
      </w:r>
      <w:r>
        <w:rPr>
          <w:spacing w:val="-13"/>
        </w:rPr>
        <w:t xml:space="preserve"> </w:t>
      </w:r>
      <w:r>
        <w:t>and</w:t>
      </w:r>
      <w:r>
        <w:rPr>
          <w:spacing w:val="-13"/>
        </w:rPr>
        <w:t xml:space="preserve"> </w:t>
      </w:r>
      <w:r>
        <w:t>Exclusion</w:t>
      </w:r>
      <w:r>
        <w:rPr>
          <w:spacing w:val="-13"/>
        </w:rPr>
        <w:t xml:space="preserve"> </w:t>
      </w:r>
      <w:r>
        <w:t>Rates</w:t>
      </w:r>
      <w:r>
        <w:rPr>
          <w:spacing w:val="-13"/>
        </w:rPr>
        <w:t xml:space="preserve"> </w:t>
      </w:r>
      <w:r>
        <w:t xml:space="preserve">for the Long-Term Trend Mathematics </w:t>
      </w:r>
      <w:r>
        <w:rPr>
          <w:spacing w:val="-2"/>
        </w:rPr>
        <w:t>Assessment</w:t>
      </w:r>
    </w:p>
    <w:p w:rsidR="003F5784" w14:paraId="3183ADDB" w14:textId="77777777">
      <w:pPr>
        <w:pStyle w:val="BodyText"/>
        <w:spacing w:before="209" w:line="232" w:lineRule="auto"/>
        <w:ind w:left="109" w:right="119"/>
      </w:pPr>
      <w:r>
        <w:t>Student</w:t>
      </w:r>
      <w:r>
        <w:rPr>
          <w:spacing w:val="-13"/>
        </w:rPr>
        <w:t xml:space="preserve"> </w:t>
      </w:r>
      <w:r>
        <w:t>Response</w:t>
      </w:r>
      <w:r>
        <w:rPr>
          <w:spacing w:val="-13"/>
        </w:rPr>
        <w:t xml:space="preserve"> </w:t>
      </w:r>
      <w:r>
        <w:t>and</w:t>
      </w:r>
      <w:r>
        <w:rPr>
          <w:spacing w:val="-13"/>
        </w:rPr>
        <w:t xml:space="preserve"> </w:t>
      </w:r>
      <w:r>
        <w:t>Exclusion</w:t>
      </w:r>
      <w:r>
        <w:rPr>
          <w:spacing w:val="-13"/>
        </w:rPr>
        <w:t xml:space="preserve"> </w:t>
      </w:r>
      <w:r>
        <w:t>Rates</w:t>
      </w:r>
      <w:r>
        <w:rPr>
          <w:spacing w:val="-13"/>
        </w:rPr>
        <w:t xml:space="preserve"> </w:t>
      </w:r>
      <w:r>
        <w:t xml:space="preserve">for the Long-Term Trend Reading </w:t>
      </w:r>
      <w:r>
        <w:rPr>
          <w:spacing w:val="-2"/>
        </w:rPr>
        <w:t>Assessment</w:t>
      </w:r>
    </w:p>
    <w:p w:rsidR="003F5784" w14:paraId="23B16887" w14:textId="77777777">
      <w:pPr>
        <w:spacing w:line="232" w:lineRule="auto"/>
        <w:sectPr>
          <w:type w:val="continuous"/>
          <w:pgSz w:w="15840" w:h="12240" w:orient="landscape"/>
          <w:pgMar w:top="480" w:right="440" w:bottom="460" w:left="460" w:header="284" w:footer="275" w:gutter="0"/>
          <w:cols w:num="2" w:space="720" w:equalWidth="0">
            <w:col w:w="11046" w:space="124"/>
            <w:col w:w="3770"/>
          </w:cols>
        </w:sectPr>
      </w:pPr>
    </w:p>
    <w:p w:rsidR="003F5784" w14:paraId="6803BED5" w14:textId="77777777">
      <w:pPr>
        <w:pStyle w:val="BodyText"/>
        <w:spacing w:before="1" w:line="232" w:lineRule="auto"/>
        <w:ind w:left="109"/>
      </w:pPr>
      <w:r>
        <w:t>makeup</w:t>
      </w:r>
      <w:r>
        <w:rPr>
          <w:spacing w:val="-2"/>
        </w:rPr>
        <w:t xml:space="preserve"> </w:t>
      </w:r>
      <w:r>
        <w:t>session.</w:t>
      </w:r>
      <w:r>
        <w:rPr>
          <w:spacing w:val="-6"/>
        </w:rPr>
        <w:t xml:space="preserve"> </w:t>
      </w:r>
      <w:r>
        <w:t>The</w:t>
      </w:r>
      <w:r>
        <w:rPr>
          <w:spacing w:val="-2"/>
        </w:rPr>
        <w:t xml:space="preserve"> </w:t>
      </w:r>
      <w:r>
        <w:t>second-to-the-last</w:t>
      </w:r>
      <w:r>
        <w:rPr>
          <w:spacing w:val="-2"/>
        </w:rPr>
        <w:t xml:space="preserve"> </w:t>
      </w:r>
      <w:r>
        <w:t>category</w:t>
      </w:r>
      <w:r>
        <w:rPr>
          <w:spacing w:val="-2"/>
        </w:rPr>
        <w:t xml:space="preserve"> </w:t>
      </w:r>
      <w:r>
        <w:t>includes</w:t>
      </w:r>
      <w:r>
        <w:rPr>
          <w:spacing w:val="-2"/>
        </w:rPr>
        <w:t xml:space="preserve"> </w:t>
      </w:r>
      <w:r>
        <w:t>students</w:t>
      </w:r>
      <w:r>
        <w:rPr>
          <w:spacing w:val="-2"/>
        </w:rPr>
        <w:t xml:space="preserve"> </w:t>
      </w:r>
      <w:r>
        <w:t>who</w:t>
      </w:r>
      <w:r>
        <w:rPr>
          <w:spacing w:val="-2"/>
        </w:rPr>
        <w:t xml:space="preserve"> </w:t>
      </w:r>
      <w:r>
        <w:t>were</w:t>
      </w:r>
      <w:r>
        <w:rPr>
          <w:spacing w:val="-2"/>
        </w:rPr>
        <w:t xml:space="preserve"> </w:t>
      </w:r>
      <w:r>
        <w:t>not</w:t>
      </w:r>
      <w:r>
        <w:rPr>
          <w:spacing w:val="-2"/>
        </w:rPr>
        <w:t xml:space="preserve"> </w:t>
      </w:r>
      <w:r>
        <w:t>excluded</w:t>
      </w:r>
      <w:r>
        <w:rPr>
          <w:spacing w:val="-2"/>
        </w:rPr>
        <w:t xml:space="preserve"> </w:t>
      </w:r>
      <w:r>
        <w:t>(i.e.,</w:t>
      </w:r>
      <w:r>
        <w:rPr>
          <w:spacing w:val="-2"/>
        </w:rPr>
        <w:t xml:space="preserve"> </w:t>
      </w:r>
      <w:r>
        <w:t>were</w:t>
      </w:r>
      <w:r>
        <w:rPr>
          <w:spacing w:val="-2"/>
        </w:rPr>
        <w:t xml:space="preserve"> </w:t>
      </w:r>
      <w:r>
        <w:t>to</w:t>
      </w:r>
      <w:r>
        <w:rPr>
          <w:spacing w:val="-2"/>
        </w:rPr>
        <w:t xml:space="preserve"> </w:t>
      </w:r>
      <w:r>
        <w:t>be</w:t>
      </w:r>
      <w:r>
        <w:rPr>
          <w:spacing w:val="-2"/>
        </w:rPr>
        <w:t xml:space="preserve"> </w:t>
      </w:r>
      <w:r>
        <w:t>assessed)</w:t>
      </w:r>
      <w:r>
        <w:rPr>
          <w:spacing w:val="-2"/>
        </w:rPr>
        <w:t xml:space="preserve"> </w:t>
      </w:r>
      <w:r>
        <w:t>but</w:t>
      </w:r>
      <w:r>
        <w:rPr>
          <w:spacing w:val="-2"/>
        </w:rPr>
        <w:t xml:space="preserve"> </w:t>
      </w:r>
      <w:r>
        <w:t>were</w:t>
      </w:r>
      <w:r>
        <w:rPr>
          <w:spacing w:val="-2"/>
        </w:rPr>
        <w:t xml:space="preserve"> </w:t>
      </w:r>
      <w:r>
        <w:t>not</w:t>
      </w:r>
      <w:r>
        <w:rPr>
          <w:spacing w:val="-2"/>
        </w:rPr>
        <w:t xml:space="preserve"> </w:t>
      </w:r>
      <w:r>
        <w:t>assessed,</w:t>
      </w:r>
      <w:r>
        <w:rPr>
          <w:spacing w:val="-2"/>
        </w:rPr>
        <w:t xml:space="preserve"> </w:t>
      </w:r>
      <w:r>
        <w:t>either</w:t>
      </w:r>
      <w:r>
        <w:rPr>
          <w:spacing w:val="-2"/>
        </w:rPr>
        <w:t xml:space="preserve"> </w:t>
      </w:r>
      <w:r>
        <w:t>due</w:t>
      </w:r>
      <w:r>
        <w:rPr>
          <w:spacing w:val="-2"/>
        </w:rPr>
        <w:t xml:space="preserve"> </w:t>
      </w:r>
      <w:r>
        <w:t>to</w:t>
      </w:r>
      <w:r>
        <w:rPr>
          <w:spacing w:val="-2"/>
        </w:rPr>
        <w:t xml:space="preserve"> </w:t>
      </w:r>
      <w:r>
        <w:t>absence</w:t>
      </w:r>
      <w:r>
        <w:rPr>
          <w:spacing w:val="-2"/>
        </w:rPr>
        <w:t xml:space="preserve"> </w:t>
      </w:r>
      <w:r>
        <w:t>from</w:t>
      </w:r>
      <w:r>
        <w:rPr>
          <w:spacing w:val="-2"/>
        </w:rPr>
        <w:t xml:space="preserve"> </w:t>
      </w:r>
      <w:r>
        <w:t>both sessions</w:t>
      </w:r>
      <w:r>
        <w:rPr>
          <w:spacing w:val="-6"/>
        </w:rPr>
        <w:t xml:space="preserve"> </w:t>
      </w:r>
      <w:r>
        <w:t>or</w:t>
      </w:r>
      <w:r>
        <w:rPr>
          <w:spacing w:val="-6"/>
        </w:rPr>
        <w:t xml:space="preserve"> </w:t>
      </w:r>
      <w:r>
        <w:t>because</w:t>
      </w:r>
      <w:r>
        <w:rPr>
          <w:spacing w:val="-6"/>
        </w:rPr>
        <w:t xml:space="preserve"> </w:t>
      </w:r>
      <w:r>
        <w:t>of</w:t>
      </w:r>
      <w:r>
        <w:rPr>
          <w:spacing w:val="-6"/>
        </w:rPr>
        <w:t xml:space="preserve"> </w:t>
      </w:r>
      <w:r>
        <w:t>a</w:t>
      </w:r>
      <w:r>
        <w:rPr>
          <w:spacing w:val="-6"/>
        </w:rPr>
        <w:t xml:space="preserve"> </w:t>
      </w:r>
      <w:r>
        <w:t>refusal</w:t>
      </w:r>
      <w:r>
        <w:rPr>
          <w:spacing w:val="-6"/>
        </w:rPr>
        <w:t xml:space="preserve"> </w:t>
      </w:r>
      <w:r>
        <w:t>to</w:t>
      </w:r>
      <w:r>
        <w:rPr>
          <w:spacing w:val="-6"/>
        </w:rPr>
        <w:t xml:space="preserve"> </w:t>
      </w:r>
      <w:r>
        <w:t>participate.</w:t>
      </w:r>
      <w:r>
        <w:rPr>
          <w:spacing w:val="-6"/>
        </w:rPr>
        <w:t xml:space="preserve"> </w:t>
      </w:r>
      <w:r>
        <w:t>Full-time</w:t>
      </w:r>
      <w:r>
        <w:rPr>
          <w:spacing w:val="-6"/>
        </w:rPr>
        <w:t xml:space="preserve"> </w:t>
      </w:r>
      <w:r>
        <w:t>remote</w:t>
      </w:r>
      <w:r>
        <w:rPr>
          <w:spacing w:val="-6"/>
        </w:rPr>
        <w:t xml:space="preserve"> </w:t>
      </w:r>
      <w:r>
        <w:t>students</w:t>
      </w:r>
      <w:r>
        <w:rPr>
          <w:spacing w:val="-6"/>
        </w:rPr>
        <w:t xml:space="preserve"> </w:t>
      </w:r>
      <w:r>
        <w:t>are</w:t>
      </w:r>
      <w:r>
        <w:rPr>
          <w:spacing w:val="-6"/>
        </w:rPr>
        <w:t xml:space="preserve"> </w:t>
      </w:r>
      <w:r>
        <w:t>enrolled</w:t>
      </w:r>
      <w:r>
        <w:rPr>
          <w:spacing w:val="-6"/>
        </w:rPr>
        <w:t xml:space="preserve"> </w:t>
      </w:r>
      <w:r>
        <w:t>in</w:t>
      </w:r>
      <w:r>
        <w:rPr>
          <w:spacing w:val="-6"/>
        </w:rPr>
        <w:t xml:space="preserve"> </w:t>
      </w:r>
      <w:r>
        <w:t>brick-and-mortar</w:t>
      </w:r>
      <w:r>
        <w:rPr>
          <w:spacing w:val="-6"/>
        </w:rPr>
        <w:t xml:space="preserve"> </w:t>
      </w:r>
      <w:r>
        <w:t>schools</w:t>
      </w:r>
      <w:r>
        <w:rPr>
          <w:spacing w:val="-6"/>
        </w:rPr>
        <w:t xml:space="preserve"> </w:t>
      </w:r>
      <w:r>
        <w:t>but</w:t>
      </w:r>
      <w:r>
        <w:rPr>
          <w:spacing w:val="-6"/>
        </w:rPr>
        <w:t xml:space="preserve"> </w:t>
      </w:r>
      <w:r>
        <w:t>do</w:t>
      </w:r>
      <w:r>
        <w:rPr>
          <w:spacing w:val="-6"/>
        </w:rPr>
        <w:t xml:space="preserve"> </w:t>
      </w:r>
      <w:r>
        <w:t>not</w:t>
      </w:r>
      <w:r>
        <w:rPr>
          <w:spacing w:val="-6"/>
        </w:rPr>
        <w:t xml:space="preserve"> </w:t>
      </w:r>
      <w:r>
        <w:t>attend</w:t>
      </w:r>
      <w:r>
        <w:rPr>
          <w:spacing w:val="-6"/>
        </w:rPr>
        <w:t xml:space="preserve"> </w:t>
      </w:r>
      <w:r>
        <w:t>school</w:t>
      </w:r>
      <w:r>
        <w:rPr>
          <w:spacing w:val="-6"/>
        </w:rPr>
        <w:t xml:space="preserve"> </w:t>
      </w:r>
      <w:r>
        <w:t>in</w:t>
      </w:r>
      <w:r>
        <w:rPr>
          <w:spacing w:val="-6"/>
        </w:rPr>
        <w:t xml:space="preserve"> </w:t>
      </w:r>
      <w:r>
        <w:t>person.</w:t>
      </w:r>
      <w:r>
        <w:rPr>
          <w:spacing w:val="-9"/>
        </w:rPr>
        <w:t xml:space="preserve"> </w:t>
      </w:r>
      <w:r>
        <w:t>They</w:t>
      </w:r>
      <w:r>
        <w:rPr>
          <w:spacing w:val="-6"/>
        </w:rPr>
        <w:t xml:space="preserve"> </w:t>
      </w:r>
      <w:r>
        <w:t>are</w:t>
      </w:r>
      <w:r>
        <w:rPr>
          <w:spacing w:val="-6"/>
        </w:rPr>
        <w:t xml:space="preserve"> </w:t>
      </w:r>
      <w:r>
        <w:t>considered</w:t>
      </w:r>
      <w:r>
        <w:rPr>
          <w:spacing w:val="-6"/>
        </w:rPr>
        <w:t xml:space="preserve"> </w:t>
      </w:r>
      <w:r>
        <w:t>not assessable for NAEP.</w:t>
      </w:r>
    </w:p>
    <w:p w:rsidR="003F5784" w14:paraId="72BCEFA1" w14:textId="77777777">
      <w:pPr>
        <w:spacing w:line="232" w:lineRule="auto"/>
        <w:sectPr>
          <w:type w:val="continuous"/>
          <w:pgSz w:w="15840" w:h="12240" w:orient="landscape"/>
          <w:pgMar w:top="480" w:right="440" w:bottom="460" w:left="460" w:header="284" w:footer="275" w:gutter="0"/>
          <w:cols w:space="720"/>
        </w:sectPr>
      </w:pPr>
    </w:p>
    <w:p w:rsidR="003F5784" w14:paraId="5541F62A" w14:textId="77777777">
      <w:pPr>
        <w:pStyle w:val="BodyText"/>
        <w:spacing w:before="78" w:line="232" w:lineRule="auto"/>
        <w:ind w:left="109"/>
      </w:pPr>
      <w:r>
        <w:t>Assessed</w:t>
      </w:r>
      <w:r>
        <w:rPr>
          <w:spacing w:val="-6"/>
        </w:rPr>
        <w:t xml:space="preserve"> </w:t>
      </w:r>
      <w:r>
        <w:t>students</w:t>
      </w:r>
      <w:r>
        <w:rPr>
          <w:spacing w:val="-6"/>
        </w:rPr>
        <w:t xml:space="preserve"> </w:t>
      </w:r>
      <w:r>
        <w:t>are</w:t>
      </w:r>
      <w:r>
        <w:rPr>
          <w:spacing w:val="-6"/>
        </w:rPr>
        <w:t xml:space="preserve"> </w:t>
      </w:r>
      <w:r>
        <w:t>also</w:t>
      </w:r>
      <w:r>
        <w:rPr>
          <w:spacing w:val="-6"/>
        </w:rPr>
        <w:t xml:space="preserve"> </w:t>
      </w:r>
      <w:r>
        <w:t>classified</w:t>
      </w:r>
      <w:r>
        <w:rPr>
          <w:spacing w:val="-6"/>
        </w:rPr>
        <w:t xml:space="preserve"> </w:t>
      </w:r>
      <w:r>
        <w:t>as</w:t>
      </w:r>
      <w:r>
        <w:rPr>
          <w:spacing w:val="-6"/>
        </w:rPr>
        <w:t xml:space="preserve"> </w:t>
      </w:r>
      <w:r>
        <w:t>assessed</w:t>
      </w:r>
      <w:r>
        <w:rPr>
          <w:spacing w:val="-6"/>
        </w:rPr>
        <w:t xml:space="preserve"> </w:t>
      </w:r>
      <w:r>
        <w:t>without</w:t>
      </w:r>
      <w:r>
        <w:rPr>
          <w:spacing w:val="-6"/>
        </w:rPr>
        <w:t xml:space="preserve"> </w:t>
      </w:r>
      <w:r>
        <w:t>an</w:t>
      </w:r>
      <w:r>
        <w:rPr>
          <w:spacing w:val="-6"/>
        </w:rPr>
        <w:t xml:space="preserve"> </w:t>
      </w:r>
      <w:r>
        <w:t>accommodation</w:t>
      </w:r>
      <w:r>
        <w:rPr>
          <w:spacing w:val="-6"/>
        </w:rPr>
        <w:t xml:space="preserve"> </w:t>
      </w:r>
      <w:r>
        <w:t>or</w:t>
      </w:r>
      <w:r>
        <w:rPr>
          <w:spacing w:val="-6"/>
        </w:rPr>
        <w:t xml:space="preserve"> </w:t>
      </w:r>
      <w:r>
        <w:t>assessed</w:t>
      </w:r>
      <w:r>
        <w:rPr>
          <w:spacing w:val="-6"/>
        </w:rPr>
        <w:t xml:space="preserve"> </w:t>
      </w:r>
      <w:r>
        <w:t>with</w:t>
      </w:r>
      <w:r>
        <w:rPr>
          <w:spacing w:val="-6"/>
        </w:rPr>
        <w:t xml:space="preserve"> </w:t>
      </w:r>
      <w:r>
        <w:t>an</w:t>
      </w:r>
      <w:r>
        <w:rPr>
          <w:spacing w:val="-6"/>
        </w:rPr>
        <w:t xml:space="preserve"> </w:t>
      </w:r>
      <w:r>
        <w:t>accommodation.</w:t>
      </w:r>
      <w:r>
        <w:rPr>
          <w:spacing w:val="-10"/>
        </w:rPr>
        <w:t xml:space="preserve"> </w:t>
      </w:r>
      <w:r>
        <w:t>The</w:t>
      </w:r>
      <w:r>
        <w:rPr>
          <w:spacing w:val="-6"/>
        </w:rPr>
        <w:t xml:space="preserve"> </w:t>
      </w:r>
      <w:r>
        <w:t>latter</w:t>
      </w:r>
      <w:r>
        <w:rPr>
          <w:spacing w:val="-6"/>
        </w:rPr>
        <w:t xml:space="preserve"> </w:t>
      </w:r>
      <w:r>
        <w:t>group</w:t>
      </w:r>
      <w:r>
        <w:rPr>
          <w:spacing w:val="-6"/>
        </w:rPr>
        <w:t xml:space="preserve"> </w:t>
      </w:r>
      <w:r>
        <w:t>can</w:t>
      </w:r>
      <w:r>
        <w:rPr>
          <w:spacing w:val="-6"/>
        </w:rPr>
        <w:t xml:space="preserve"> </w:t>
      </w:r>
      <w:r>
        <w:t>be</w:t>
      </w:r>
      <w:r>
        <w:rPr>
          <w:spacing w:val="-6"/>
        </w:rPr>
        <w:t xml:space="preserve"> </w:t>
      </w:r>
      <w:r>
        <w:t>divided</w:t>
      </w:r>
      <w:r>
        <w:rPr>
          <w:spacing w:val="-6"/>
        </w:rPr>
        <w:t xml:space="preserve"> </w:t>
      </w:r>
      <w:r>
        <w:t>into</w:t>
      </w:r>
      <w:r>
        <w:rPr>
          <w:spacing w:val="-6"/>
        </w:rPr>
        <w:t xml:space="preserve"> </w:t>
      </w:r>
      <w:r>
        <w:t>SD</w:t>
      </w:r>
      <w:r>
        <w:rPr>
          <w:spacing w:val="-6"/>
        </w:rPr>
        <w:t xml:space="preserve"> </w:t>
      </w:r>
      <w:r>
        <w:t>students</w:t>
      </w:r>
      <w:r>
        <w:rPr>
          <w:spacing w:val="-6"/>
        </w:rPr>
        <w:t xml:space="preserve"> </w:t>
      </w:r>
      <w:r>
        <w:t>assessed</w:t>
      </w:r>
      <w:r>
        <w:rPr>
          <w:spacing w:val="-6"/>
        </w:rPr>
        <w:t xml:space="preserve"> </w:t>
      </w:r>
      <w:r>
        <w:t>with an accommodation, EL</w:t>
      </w:r>
      <w:r>
        <w:rPr>
          <w:spacing w:val="-7"/>
        </w:rPr>
        <w:t xml:space="preserve"> </w:t>
      </w:r>
      <w:r>
        <w:t>students assessed with an accommodation, or students who are both SD and EL</w:t>
      </w:r>
      <w:r>
        <w:rPr>
          <w:spacing w:val="-7"/>
        </w:rPr>
        <w:t xml:space="preserve"> </w:t>
      </w:r>
      <w:r>
        <w:t>and accommodated. Note that some SD and EL</w:t>
      </w:r>
      <w:r>
        <w:rPr>
          <w:spacing w:val="-7"/>
        </w:rPr>
        <w:t xml:space="preserve"> </w:t>
      </w:r>
      <w:r>
        <w:t>students are assessed without accommodations, and students who are neither SD nor EL</w:t>
      </w:r>
      <w:r>
        <w:rPr>
          <w:spacing w:val="-4"/>
        </w:rPr>
        <w:t xml:space="preserve"> </w:t>
      </w:r>
      <w:r>
        <w:t>can only be assessed without an accommodation.</w:t>
      </w:r>
    </w:p>
    <w:p w:rsidR="003F5784" w14:paraId="5E8D7AB4" w14:textId="77777777">
      <w:pPr>
        <w:pStyle w:val="BodyText"/>
        <w:spacing w:before="210" w:line="232" w:lineRule="auto"/>
        <w:ind w:left="109" w:right="179"/>
      </w:pPr>
      <w:r>
        <w:t>The</w:t>
      </w:r>
      <w:r>
        <w:rPr>
          <w:spacing w:val="-6"/>
        </w:rPr>
        <w:t xml:space="preserve"> </w:t>
      </w:r>
      <w:r>
        <w:t>weighted</w:t>
      </w:r>
      <w:r>
        <w:rPr>
          <w:spacing w:val="-6"/>
        </w:rPr>
        <w:t xml:space="preserve"> </w:t>
      </w:r>
      <w:r>
        <w:t>student</w:t>
      </w:r>
      <w:r>
        <w:rPr>
          <w:spacing w:val="-6"/>
        </w:rPr>
        <w:t xml:space="preserve"> </w:t>
      </w:r>
      <w:r>
        <w:t>response</w:t>
      </w:r>
      <w:r>
        <w:rPr>
          <w:spacing w:val="-6"/>
        </w:rPr>
        <w:t xml:space="preserve"> </w:t>
      </w:r>
      <w:r>
        <w:t>rates</w:t>
      </w:r>
      <w:r>
        <w:rPr>
          <w:spacing w:val="-6"/>
        </w:rPr>
        <w:t xml:space="preserve"> </w:t>
      </w:r>
      <w:r>
        <w:t>utilize</w:t>
      </w:r>
      <w:r>
        <w:rPr>
          <w:spacing w:val="-6"/>
        </w:rPr>
        <w:t xml:space="preserve"> </w:t>
      </w:r>
      <w:r>
        <w:t>the</w:t>
      </w:r>
      <w:r>
        <w:rPr>
          <w:spacing w:val="-6"/>
        </w:rPr>
        <w:t xml:space="preserve"> </w:t>
      </w:r>
      <w:r>
        <w:t>student</w:t>
      </w:r>
      <w:r>
        <w:rPr>
          <w:spacing w:val="-6"/>
        </w:rPr>
        <w:t xml:space="preserve"> </w:t>
      </w:r>
      <w:r>
        <w:t>base</w:t>
      </w:r>
      <w:r>
        <w:rPr>
          <w:spacing w:val="-6"/>
        </w:rPr>
        <w:t xml:space="preserve"> </w:t>
      </w:r>
      <w:r>
        <w:t>weights</w:t>
      </w:r>
      <w:r>
        <w:rPr>
          <w:spacing w:val="-6"/>
        </w:rPr>
        <w:t xml:space="preserve"> </w:t>
      </w:r>
      <w:r>
        <w:t>and</w:t>
      </w:r>
      <w:r>
        <w:rPr>
          <w:spacing w:val="-6"/>
        </w:rPr>
        <w:t xml:space="preserve"> </w:t>
      </w:r>
      <w:r>
        <w:t>indicate</w:t>
      </w:r>
      <w:r>
        <w:rPr>
          <w:spacing w:val="-6"/>
        </w:rPr>
        <w:t xml:space="preserve"> </w:t>
      </w:r>
      <w:r>
        <w:t>the</w:t>
      </w:r>
      <w:r>
        <w:rPr>
          <w:spacing w:val="-6"/>
        </w:rPr>
        <w:t xml:space="preserve"> </w:t>
      </w:r>
      <w:r>
        <w:t>weighted</w:t>
      </w:r>
      <w:r>
        <w:rPr>
          <w:spacing w:val="-6"/>
        </w:rPr>
        <w:t xml:space="preserve"> </w:t>
      </w:r>
      <w:r>
        <w:t>percentage</w:t>
      </w:r>
      <w:r>
        <w:rPr>
          <w:spacing w:val="-6"/>
        </w:rPr>
        <w:t xml:space="preserve"> </w:t>
      </w:r>
      <w:r>
        <w:t>of</w:t>
      </w:r>
      <w:r>
        <w:rPr>
          <w:spacing w:val="-6"/>
        </w:rPr>
        <w:t xml:space="preserve"> </w:t>
      </w:r>
      <w:r>
        <w:t>assessed</w:t>
      </w:r>
      <w:r>
        <w:rPr>
          <w:spacing w:val="-6"/>
        </w:rPr>
        <w:t xml:space="preserve"> </w:t>
      </w:r>
      <w:r>
        <w:t>students</w:t>
      </w:r>
      <w:r>
        <w:rPr>
          <w:spacing w:val="-6"/>
        </w:rPr>
        <w:t xml:space="preserve"> </w:t>
      </w:r>
      <w:r>
        <w:t>among</w:t>
      </w:r>
      <w:r>
        <w:rPr>
          <w:spacing w:val="-6"/>
        </w:rPr>
        <w:t xml:space="preserve"> </w:t>
      </w:r>
      <w:r>
        <w:t>all</w:t>
      </w:r>
      <w:r>
        <w:rPr>
          <w:spacing w:val="-6"/>
        </w:rPr>
        <w:t xml:space="preserve"> </w:t>
      </w:r>
      <w:r>
        <w:t>students</w:t>
      </w:r>
      <w:r>
        <w:rPr>
          <w:spacing w:val="-6"/>
        </w:rPr>
        <w:t xml:space="preserve"> </w:t>
      </w:r>
      <w:r>
        <w:t>to</w:t>
      </w:r>
      <w:r>
        <w:rPr>
          <w:spacing w:val="-6"/>
        </w:rPr>
        <w:t xml:space="preserve"> </w:t>
      </w:r>
      <w:r>
        <w:t>be</w:t>
      </w:r>
      <w:r>
        <w:rPr>
          <w:spacing w:val="-6"/>
        </w:rPr>
        <w:t xml:space="preserve"> </w:t>
      </w:r>
      <w:r>
        <w:t>assessed.</w:t>
      </w:r>
      <w:r>
        <w:rPr>
          <w:spacing w:val="-10"/>
        </w:rPr>
        <w:t xml:space="preserve"> </w:t>
      </w:r>
      <w:r>
        <w:t>The</w:t>
      </w:r>
      <w:r>
        <w:rPr>
          <w:spacing w:val="-6"/>
        </w:rPr>
        <w:t xml:space="preserve"> </w:t>
      </w:r>
      <w:r>
        <w:t>exclusion rates, in contrast, provide the weighted percentage of excluded SD or EL</w:t>
      </w:r>
      <w:r>
        <w:rPr>
          <w:spacing w:val="-7"/>
        </w:rPr>
        <w:t xml:space="preserve"> </w:t>
      </w:r>
      <w:r>
        <w:t xml:space="preserve">students among all eligible students, i.e., absent, assessed, and </w:t>
      </w:r>
      <w:r>
        <w:rPr>
          <w:color w:val="0072BC"/>
        </w:rPr>
        <w:t>excluded students</w:t>
      </w:r>
      <w:r>
        <w:t>.</w:t>
      </w:r>
      <w:r>
        <w:rPr>
          <w:spacing w:val="-3"/>
        </w:rPr>
        <w:t xml:space="preserve"> </w:t>
      </w:r>
      <w:r>
        <w:t>The weighted student full-time remote rates provide the weighted percentage of the student population that are full-time remote.</w:t>
      </w:r>
    </w:p>
    <w:p w:rsidR="003F5784" w14:paraId="74A9363C" w14:textId="77777777">
      <w:pPr>
        <w:pStyle w:val="BodyText"/>
      </w:pPr>
    </w:p>
    <w:p w:rsidR="003F5784" w14:paraId="1A929CC0" w14:textId="77777777">
      <w:pPr>
        <w:pStyle w:val="BodyText"/>
      </w:pPr>
    </w:p>
    <w:p w:rsidR="003F5784" w14:paraId="05943C75" w14:textId="77777777">
      <w:pPr>
        <w:pStyle w:val="BodyText"/>
        <w:spacing w:before="145"/>
      </w:pPr>
    </w:p>
    <w:p w:rsidR="003F5784" w14:paraId="22E00BA7" w14:textId="77777777">
      <w:pPr>
        <w:spacing w:before="1"/>
        <w:ind w:left="3259"/>
        <w:rPr>
          <w:sz w:val="18"/>
        </w:rPr>
      </w:pPr>
      <w:hyperlink r:id="rId189">
        <w:r>
          <w:rPr>
            <w:spacing w:val="-2"/>
            <w:w w:val="105"/>
            <w:sz w:val="18"/>
          </w:rPr>
          <w:t>http://nces.ed.gov/nationsreportcard/tdw/sample_design/2022/school_and_student_participation_results_for_the_2022_long_term_trend_assessment.aspx</w:t>
        </w:r>
      </w:hyperlink>
    </w:p>
    <w:p w:rsidR="003F5784" w14:paraId="082BD386" w14:textId="77777777">
      <w:pPr>
        <w:pStyle w:val="BodyText"/>
        <w:rPr>
          <w:sz w:val="16"/>
        </w:rPr>
      </w:pPr>
      <w:r>
        <w:rPr>
          <w:noProof/>
        </w:rPr>
        <mc:AlternateContent>
          <mc:Choice Requires="wps">
            <w:drawing>
              <wp:anchor distT="0" distB="0" distL="0" distR="0" simplePos="0" relativeHeight="251872256" behindDoc="1" locked="0" layoutInCell="1" allowOverlap="1">
                <wp:simplePos x="0" y="0"/>
                <wp:positionH relativeFrom="page">
                  <wp:posOffset>361937</wp:posOffset>
                </wp:positionH>
                <wp:positionV relativeFrom="paragraph">
                  <wp:posOffset>132412</wp:posOffset>
                </wp:positionV>
                <wp:extent cx="9339580" cy="8890"/>
                <wp:effectExtent l="0" t="0" r="0" b="0"/>
                <wp:wrapTopAndBottom/>
                <wp:docPr id="215" name="Graphic 215"/>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80"/>
                              </a:lnTo>
                              <a:lnTo>
                                <a:pt x="9335110" y="8293"/>
                              </a:lnTo>
                              <a:lnTo>
                                <a:pt x="9338970" y="8293"/>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15" o:spid="_x0000_s1106" style="width:735.4pt;height:0.7pt;margin-top:10.45pt;margin-left:28.5pt;mso-position-horizontal-relative:page;mso-wrap-distance-bottom:0;mso-wrap-distance-left:0;mso-wrap-distance-right:0;mso-wrap-distance-top:0;mso-wrap-style:square;position:absolute;visibility:visible;v-text-anchor:top;z-index:-251443200" coordsize="9339580,8890" path="m9338970,25l9335110,25l8280,25,,,,8280l9335110,8293l9338970,8293l9338970,25xe" fillcolor="gray" stroked="f">
                <v:path arrowok="t"/>
                <w10:wrap type="topAndBottom"/>
              </v:shape>
            </w:pict>
          </mc:Fallback>
        </mc:AlternateContent>
      </w:r>
    </w:p>
    <w:p w:rsidR="003F5784" w14:paraId="145E6498" w14:textId="77777777">
      <w:pPr>
        <w:pStyle w:val="BodyText"/>
        <w:rPr>
          <w:sz w:val="18"/>
        </w:rPr>
      </w:pPr>
    </w:p>
    <w:p w:rsidR="003F5784" w14:paraId="0445D571" w14:textId="77777777">
      <w:pPr>
        <w:pStyle w:val="BodyText"/>
        <w:spacing w:before="193"/>
        <w:rPr>
          <w:sz w:val="18"/>
        </w:rPr>
      </w:pPr>
    </w:p>
    <w:p w:rsidR="003F5784" w14:paraId="061A08B3" w14:textId="341AF198">
      <w:pPr>
        <w:pStyle w:val="Heading1"/>
        <w:spacing w:line="244" w:lineRule="auto"/>
      </w:pPr>
      <w:r>
        <w:t>NAEP</w:t>
      </w:r>
      <w:r>
        <w:rPr>
          <w:spacing w:val="-18"/>
        </w:rPr>
        <w:t xml:space="preserve"> </w:t>
      </w:r>
      <w:r>
        <w:t>Technical Documentation</w:t>
      </w:r>
      <w:r w:rsidR="005112A4">
        <w:t xml:space="preserve"> </w:t>
      </w:r>
      <w:r>
        <w:t>School Response Rates for the 2022 Long-Term Trend Assessment</w:t>
      </w:r>
    </w:p>
    <w:p w:rsidR="003F5784" w14:paraId="2FCC7ACB" w14:textId="77777777">
      <w:pPr>
        <w:pStyle w:val="BodyText"/>
        <w:spacing w:before="287" w:line="232" w:lineRule="auto"/>
        <w:ind w:left="109"/>
      </w:pPr>
      <w:r>
        <w:t>The</w:t>
      </w:r>
      <w:r>
        <w:rPr>
          <w:spacing w:val="-6"/>
        </w:rPr>
        <w:t xml:space="preserve"> </w:t>
      </w:r>
      <w:r>
        <w:t>following</w:t>
      </w:r>
      <w:r>
        <w:rPr>
          <w:spacing w:val="-6"/>
        </w:rPr>
        <w:t xml:space="preserve"> </w:t>
      </w:r>
      <w:r>
        <w:t>table</w:t>
      </w:r>
      <w:r>
        <w:rPr>
          <w:spacing w:val="-6"/>
        </w:rPr>
        <w:t xml:space="preserve"> </w:t>
      </w:r>
      <w:r>
        <w:t>presents</w:t>
      </w:r>
      <w:r>
        <w:rPr>
          <w:spacing w:val="-6"/>
        </w:rPr>
        <w:t xml:space="preserve"> </w:t>
      </w:r>
      <w:r>
        <w:t>counts</w:t>
      </w:r>
      <w:r>
        <w:rPr>
          <w:spacing w:val="-6"/>
        </w:rPr>
        <w:t xml:space="preserve"> </w:t>
      </w:r>
      <w:r>
        <w:t>of</w:t>
      </w:r>
      <w:r>
        <w:rPr>
          <w:spacing w:val="-6"/>
        </w:rPr>
        <w:t xml:space="preserve"> </w:t>
      </w:r>
      <w:r>
        <w:t>eligible</w:t>
      </w:r>
      <w:r>
        <w:rPr>
          <w:spacing w:val="-6"/>
        </w:rPr>
        <w:t xml:space="preserve"> </w:t>
      </w:r>
      <w:r>
        <w:t>sampled</w:t>
      </w:r>
      <w:r>
        <w:rPr>
          <w:spacing w:val="-6"/>
        </w:rPr>
        <w:t xml:space="preserve"> </w:t>
      </w:r>
      <w:r>
        <w:t>schools</w:t>
      </w:r>
      <w:r>
        <w:rPr>
          <w:spacing w:val="-6"/>
        </w:rPr>
        <w:t xml:space="preserve"> </w:t>
      </w:r>
      <w:r>
        <w:t>and</w:t>
      </w:r>
      <w:r>
        <w:rPr>
          <w:spacing w:val="-6"/>
        </w:rPr>
        <w:t xml:space="preserve"> </w:t>
      </w:r>
      <w:r>
        <w:t>participating</w:t>
      </w:r>
      <w:r>
        <w:rPr>
          <w:spacing w:val="-6"/>
        </w:rPr>
        <w:t xml:space="preserve"> </w:t>
      </w:r>
      <w:r>
        <w:t>schools,</w:t>
      </w:r>
      <w:r>
        <w:rPr>
          <w:spacing w:val="-6"/>
        </w:rPr>
        <w:t xml:space="preserve"> </w:t>
      </w:r>
      <w:r>
        <w:t>as</w:t>
      </w:r>
      <w:r>
        <w:rPr>
          <w:spacing w:val="-6"/>
        </w:rPr>
        <w:t xml:space="preserve"> </w:t>
      </w:r>
      <w:r>
        <w:t>well</w:t>
      </w:r>
      <w:r>
        <w:rPr>
          <w:spacing w:val="-6"/>
        </w:rPr>
        <w:t xml:space="preserve"> </w:t>
      </w:r>
      <w:r>
        <w:t>as</w:t>
      </w:r>
      <w:r>
        <w:rPr>
          <w:spacing w:val="-6"/>
        </w:rPr>
        <w:t xml:space="preserve"> </w:t>
      </w:r>
      <w:r>
        <w:t>weighted</w:t>
      </w:r>
      <w:r>
        <w:rPr>
          <w:spacing w:val="-6"/>
        </w:rPr>
        <w:t xml:space="preserve"> </w:t>
      </w:r>
      <w:r>
        <w:t>school</w:t>
      </w:r>
      <w:r>
        <w:rPr>
          <w:spacing w:val="-6"/>
        </w:rPr>
        <w:t xml:space="preserve"> </w:t>
      </w:r>
      <w:r>
        <w:t>response</w:t>
      </w:r>
      <w:r>
        <w:rPr>
          <w:spacing w:val="-6"/>
        </w:rPr>
        <w:t xml:space="preserve"> </w:t>
      </w:r>
      <w:r>
        <w:t>rates,</w:t>
      </w:r>
      <w:r>
        <w:rPr>
          <w:spacing w:val="-6"/>
        </w:rPr>
        <w:t xml:space="preserve"> </w:t>
      </w:r>
      <w:r>
        <w:t>for</w:t>
      </w:r>
      <w:r>
        <w:rPr>
          <w:spacing w:val="-6"/>
        </w:rPr>
        <w:t xml:space="preserve"> </w:t>
      </w:r>
      <w:r>
        <w:t>the</w:t>
      </w:r>
      <w:r>
        <w:rPr>
          <w:spacing w:val="-6"/>
        </w:rPr>
        <w:t xml:space="preserve"> </w:t>
      </w:r>
      <w:r>
        <w:t>2022</w:t>
      </w:r>
      <w:r>
        <w:rPr>
          <w:spacing w:val="-6"/>
        </w:rPr>
        <w:t xml:space="preserve"> </w:t>
      </w:r>
      <w:r>
        <w:t>age</w:t>
      </w:r>
      <w:r>
        <w:rPr>
          <w:spacing w:val="-6"/>
        </w:rPr>
        <w:t xml:space="preserve"> </w:t>
      </w:r>
      <w:r>
        <w:t>9</w:t>
      </w:r>
      <w:r>
        <w:rPr>
          <w:spacing w:val="-6"/>
        </w:rPr>
        <w:t xml:space="preserve"> </w:t>
      </w:r>
      <w:r>
        <w:t>and</w:t>
      </w:r>
      <w:r>
        <w:rPr>
          <w:spacing w:val="-6"/>
        </w:rPr>
        <w:t xml:space="preserve"> </w:t>
      </w:r>
      <w:r>
        <w:t>13</w:t>
      </w:r>
      <w:r>
        <w:rPr>
          <w:spacing w:val="-6"/>
        </w:rPr>
        <w:t xml:space="preserve"> </w:t>
      </w:r>
      <w:r>
        <w:t>long-term</w:t>
      </w:r>
      <w:r>
        <w:rPr>
          <w:spacing w:val="-6"/>
        </w:rPr>
        <w:t xml:space="preserve"> </w:t>
      </w:r>
      <w:r>
        <w:t>trend assessments.</w:t>
      </w:r>
      <w:r>
        <w:rPr>
          <w:spacing w:val="-3"/>
        </w:rPr>
        <w:t xml:space="preserve"> </w:t>
      </w:r>
      <w:r>
        <w:t>The weighted school response rates estimate the proportion of the student population that is represented by the participating school sample prior to substitution.</w:t>
      </w:r>
    </w:p>
    <w:p w:rsidR="003F5784" w14:paraId="528F8753" w14:textId="77777777">
      <w:pPr>
        <w:pStyle w:val="BodyText"/>
        <w:spacing w:before="98"/>
      </w:pPr>
    </w:p>
    <w:p w:rsidR="003F5784" w14:paraId="6747633A" w14:textId="77777777">
      <w:pPr>
        <w:spacing w:line="232" w:lineRule="auto"/>
        <w:ind w:left="477" w:right="1264"/>
        <w:rPr>
          <w:b/>
          <w:sz w:val="21"/>
        </w:rPr>
      </w:pPr>
      <w:r>
        <w:rPr>
          <w:b/>
          <w:sz w:val="20"/>
        </w:rPr>
        <w:t>Eligible</w:t>
      </w:r>
      <w:r>
        <w:rPr>
          <w:b/>
          <w:spacing w:val="-4"/>
          <w:sz w:val="20"/>
        </w:rPr>
        <w:t xml:space="preserve"> </w:t>
      </w:r>
      <w:r>
        <w:rPr>
          <w:b/>
          <w:sz w:val="20"/>
        </w:rPr>
        <w:t>and</w:t>
      </w:r>
      <w:r>
        <w:rPr>
          <w:b/>
          <w:spacing w:val="-4"/>
          <w:sz w:val="20"/>
        </w:rPr>
        <w:t xml:space="preserve"> </w:t>
      </w:r>
      <w:r>
        <w:rPr>
          <w:b/>
          <w:sz w:val="20"/>
        </w:rPr>
        <w:t>participating</w:t>
      </w:r>
      <w:r>
        <w:rPr>
          <w:b/>
          <w:spacing w:val="-4"/>
          <w:sz w:val="20"/>
        </w:rPr>
        <w:t xml:space="preserve"> </w:t>
      </w:r>
      <w:r>
        <w:rPr>
          <w:b/>
          <w:sz w:val="20"/>
        </w:rPr>
        <w:t>school</w:t>
      </w:r>
      <w:r>
        <w:rPr>
          <w:b/>
          <w:spacing w:val="-4"/>
          <w:sz w:val="20"/>
        </w:rPr>
        <w:t xml:space="preserve"> </w:t>
      </w:r>
      <w:r>
        <w:rPr>
          <w:b/>
          <w:sz w:val="20"/>
        </w:rPr>
        <w:t>counts</w:t>
      </w:r>
      <w:r>
        <w:rPr>
          <w:b/>
          <w:spacing w:val="-4"/>
          <w:sz w:val="20"/>
        </w:rPr>
        <w:t xml:space="preserve"> </w:t>
      </w:r>
      <w:r>
        <w:rPr>
          <w:b/>
          <w:sz w:val="20"/>
        </w:rPr>
        <w:t>and</w:t>
      </w:r>
      <w:r>
        <w:rPr>
          <w:b/>
          <w:spacing w:val="-4"/>
          <w:sz w:val="20"/>
        </w:rPr>
        <w:t xml:space="preserve"> </w:t>
      </w:r>
      <w:r>
        <w:rPr>
          <w:b/>
          <w:sz w:val="20"/>
        </w:rPr>
        <w:t>weighted</w:t>
      </w:r>
      <w:r>
        <w:rPr>
          <w:b/>
          <w:spacing w:val="-4"/>
          <w:sz w:val="20"/>
        </w:rPr>
        <w:t xml:space="preserve"> </w:t>
      </w:r>
      <w:r>
        <w:rPr>
          <w:b/>
          <w:sz w:val="20"/>
        </w:rPr>
        <w:t>school</w:t>
      </w:r>
      <w:r>
        <w:rPr>
          <w:b/>
          <w:spacing w:val="-4"/>
          <w:sz w:val="20"/>
        </w:rPr>
        <w:t xml:space="preserve"> </w:t>
      </w:r>
      <w:r>
        <w:rPr>
          <w:b/>
          <w:sz w:val="20"/>
        </w:rPr>
        <w:t>response</w:t>
      </w:r>
      <w:r>
        <w:rPr>
          <w:b/>
          <w:spacing w:val="-4"/>
          <w:sz w:val="20"/>
        </w:rPr>
        <w:t xml:space="preserve"> </w:t>
      </w:r>
      <w:r>
        <w:rPr>
          <w:b/>
          <w:sz w:val="20"/>
        </w:rPr>
        <w:t>rates</w:t>
      </w:r>
      <w:r>
        <w:rPr>
          <w:b/>
          <w:sz w:val="21"/>
        </w:rPr>
        <w:t>,</w:t>
      </w:r>
      <w:r>
        <w:rPr>
          <w:b/>
          <w:spacing w:val="-5"/>
          <w:sz w:val="21"/>
        </w:rPr>
        <w:t xml:space="preserve"> </w:t>
      </w:r>
      <w:r>
        <w:rPr>
          <w:b/>
          <w:sz w:val="21"/>
        </w:rPr>
        <w:t>long-term</w:t>
      </w:r>
      <w:r>
        <w:rPr>
          <w:b/>
          <w:spacing w:val="-5"/>
          <w:sz w:val="21"/>
        </w:rPr>
        <w:t xml:space="preserve"> </w:t>
      </w:r>
      <w:r>
        <w:rPr>
          <w:b/>
          <w:sz w:val="21"/>
        </w:rPr>
        <w:t>trend</w:t>
      </w:r>
      <w:r>
        <w:rPr>
          <w:b/>
          <w:spacing w:val="-5"/>
          <w:sz w:val="21"/>
        </w:rPr>
        <w:t xml:space="preserve"> </w:t>
      </w:r>
      <w:r>
        <w:rPr>
          <w:b/>
          <w:sz w:val="21"/>
        </w:rPr>
        <w:t>mathematics</w:t>
      </w:r>
      <w:r>
        <w:rPr>
          <w:b/>
          <w:spacing w:val="-5"/>
          <w:sz w:val="21"/>
        </w:rPr>
        <w:t xml:space="preserve"> </w:t>
      </w:r>
      <w:r>
        <w:rPr>
          <w:b/>
          <w:sz w:val="21"/>
        </w:rPr>
        <w:t>and</w:t>
      </w:r>
      <w:r>
        <w:rPr>
          <w:b/>
          <w:spacing w:val="-5"/>
          <w:sz w:val="21"/>
        </w:rPr>
        <w:t xml:space="preserve"> </w:t>
      </w:r>
      <w:r>
        <w:rPr>
          <w:b/>
          <w:sz w:val="21"/>
        </w:rPr>
        <w:t>reading</w:t>
      </w:r>
      <w:r>
        <w:rPr>
          <w:b/>
          <w:spacing w:val="-5"/>
          <w:sz w:val="21"/>
        </w:rPr>
        <w:t xml:space="preserve"> </w:t>
      </w:r>
      <w:r>
        <w:rPr>
          <w:b/>
          <w:sz w:val="21"/>
        </w:rPr>
        <w:t>assessments,</w:t>
      </w:r>
      <w:r>
        <w:rPr>
          <w:b/>
          <w:spacing w:val="-5"/>
          <w:sz w:val="21"/>
        </w:rPr>
        <w:t xml:space="preserve"> </w:t>
      </w:r>
      <w:r>
        <w:rPr>
          <w:b/>
          <w:sz w:val="21"/>
        </w:rPr>
        <w:t>by</w:t>
      </w:r>
      <w:r>
        <w:rPr>
          <w:b/>
          <w:spacing w:val="-5"/>
          <w:sz w:val="21"/>
        </w:rPr>
        <w:t xml:space="preserve"> </w:t>
      </w:r>
      <w:r>
        <w:rPr>
          <w:b/>
          <w:sz w:val="21"/>
        </w:rPr>
        <w:t>age,</w:t>
      </w:r>
      <w:r>
        <w:rPr>
          <w:b/>
          <w:spacing w:val="-5"/>
          <w:sz w:val="21"/>
        </w:rPr>
        <w:t xml:space="preserve"> </w:t>
      </w:r>
      <w:r>
        <w:rPr>
          <w:b/>
          <w:sz w:val="21"/>
        </w:rPr>
        <w:t>school</w:t>
      </w:r>
      <w:r>
        <w:rPr>
          <w:b/>
          <w:spacing w:val="-5"/>
          <w:sz w:val="21"/>
        </w:rPr>
        <w:t xml:space="preserve"> </w:t>
      </w:r>
      <w:r>
        <w:rPr>
          <w:b/>
          <w:sz w:val="21"/>
        </w:rPr>
        <w:t>type, and census region: 2022</w:t>
      </w:r>
    </w:p>
    <w:p w:rsidR="003F5784" w14:paraId="38B68D60" w14:textId="77777777">
      <w:pPr>
        <w:pStyle w:val="BodyText"/>
        <w:spacing w:before="1"/>
        <w:rPr>
          <w:b/>
          <w:sz w:val="12"/>
        </w:rPr>
      </w:pPr>
    </w:p>
    <w:tbl>
      <w:tblPr>
        <w:tblW w:w="0" w:type="auto"/>
        <w:tblInd w:w="482" w:type="dxa"/>
        <w:tblLayout w:type="fixed"/>
        <w:tblCellMar>
          <w:left w:w="0" w:type="dxa"/>
          <w:right w:w="0" w:type="dxa"/>
        </w:tblCellMar>
        <w:tblLook w:val="01E0"/>
      </w:tblPr>
      <w:tblGrid>
        <w:gridCol w:w="813"/>
        <w:gridCol w:w="3547"/>
        <w:gridCol w:w="3627"/>
        <w:gridCol w:w="2613"/>
        <w:gridCol w:w="3385"/>
      </w:tblGrid>
      <w:tr w14:paraId="6670CFD8" w14:textId="77777777">
        <w:tblPrEx>
          <w:tblW w:w="0" w:type="auto"/>
          <w:tblInd w:w="482" w:type="dxa"/>
          <w:tblLayout w:type="fixed"/>
          <w:tblCellMar>
            <w:left w:w="0" w:type="dxa"/>
            <w:right w:w="0" w:type="dxa"/>
          </w:tblCellMar>
          <w:tblLook w:val="01E0"/>
        </w:tblPrEx>
        <w:trPr>
          <w:trHeight w:val="502"/>
        </w:trPr>
        <w:tc>
          <w:tcPr>
            <w:tcW w:w="813" w:type="dxa"/>
            <w:tcBorders>
              <w:top w:val="single" w:sz="18" w:space="0" w:color="800000"/>
              <w:bottom w:val="single" w:sz="18" w:space="0" w:color="800000"/>
            </w:tcBorders>
          </w:tcPr>
          <w:p w:rsidR="003F5784" w14:paraId="4E5A6587" w14:textId="77777777">
            <w:pPr>
              <w:pStyle w:val="TableParagraph"/>
              <w:spacing w:before="2"/>
              <w:jc w:val="left"/>
              <w:rPr>
                <w:b/>
                <w:sz w:val="21"/>
              </w:rPr>
            </w:pPr>
          </w:p>
          <w:p w:rsidR="003F5784" w14:paraId="7CF5DB15" w14:textId="77777777">
            <w:pPr>
              <w:pStyle w:val="TableParagraph"/>
              <w:spacing w:before="0" w:line="238" w:lineRule="exact"/>
              <w:ind w:left="120"/>
              <w:jc w:val="left"/>
              <w:rPr>
                <w:sz w:val="21"/>
              </w:rPr>
            </w:pPr>
            <w:r>
              <w:rPr>
                <w:spacing w:val="-5"/>
                <w:sz w:val="21"/>
              </w:rPr>
              <w:t>Age</w:t>
            </w:r>
          </w:p>
        </w:tc>
        <w:tc>
          <w:tcPr>
            <w:tcW w:w="3547" w:type="dxa"/>
            <w:tcBorders>
              <w:top w:val="single" w:sz="18" w:space="0" w:color="800000"/>
              <w:bottom w:val="single" w:sz="18" w:space="0" w:color="800000"/>
            </w:tcBorders>
          </w:tcPr>
          <w:p w:rsidR="003F5784" w14:paraId="7EE2BC2C" w14:textId="77777777">
            <w:pPr>
              <w:pStyle w:val="TableParagraph"/>
              <w:spacing w:before="14" w:line="234" w:lineRule="exact"/>
              <w:ind w:left="345" w:right="1855"/>
              <w:jc w:val="left"/>
              <w:rPr>
                <w:sz w:val="21"/>
              </w:rPr>
            </w:pPr>
            <w:r>
              <w:rPr>
                <w:sz w:val="21"/>
              </w:rPr>
              <w:t>School</w:t>
            </w:r>
            <w:r>
              <w:rPr>
                <w:spacing w:val="-14"/>
                <w:sz w:val="21"/>
              </w:rPr>
              <w:t xml:space="preserve"> </w:t>
            </w:r>
            <w:r>
              <w:rPr>
                <w:sz w:val="21"/>
              </w:rPr>
              <w:t>type</w:t>
            </w:r>
            <w:r>
              <w:rPr>
                <w:spacing w:val="-13"/>
                <w:sz w:val="21"/>
              </w:rPr>
              <w:t xml:space="preserve"> </w:t>
            </w:r>
            <w:r>
              <w:rPr>
                <w:sz w:val="21"/>
              </w:rPr>
              <w:t>and census region</w:t>
            </w:r>
          </w:p>
        </w:tc>
        <w:tc>
          <w:tcPr>
            <w:tcW w:w="3627" w:type="dxa"/>
            <w:tcBorders>
              <w:top w:val="single" w:sz="18" w:space="0" w:color="800000"/>
              <w:bottom w:val="single" w:sz="18" w:space="0" w:color="800000"/>
            </w:tcBorders>
          </w:tcPr>
          <w:p w:rsidR="003F5784" w14:paraId="5B59D473" w14:textId="77777777">
            <w:pPr>
              <w:pStyle w:val="TableParagraph"/>
              <w:spacing w:before="14" w:line="234" w:lineRule="exact"/>
              <w:ind w:left="520" w:right="1045" w:firstLine="1140"/>
              <w:jc w:val="left"/>
              <w:rPr>
                <w:sz w:val="21"/>
              </w:rPr>
            </w:pPr>
            <w:r>
              <w:rPr>
                <w:sz w:val="21"/>
              </w:rPr>
              <w:t>Number</w:t>
            </w:r>
            <w:r>
              <w:rPr>
                <w:spacing w:val="-14"/>
                <w:sz w:val="21"/>
              </w:rPr>
              <w:t xml:space="preserve"> </w:t>
            </w:r>
            <w:r>
              <w:rPr>
                <w:sz w:val="21"/>
              </w:rPr>
              <w:t>of eligible</w:t>
            </w:r>
            <w:r>
              <w:rPr>
                <w:spacing w:val="-8"/>
                <w:sz w:val="21"/>
              </w:rPr>
              <w:t xml:space="preserve"> </w:t>
            </w:r>
            <w:r>
              <w:rPr>
                <w:sz w:val="21"/>
              </w:rPr>
              <w:t>sampled</w:t>
            </w:r>
            <w:r>
              <w:rPr>
                <w:spacing w:val="-8"/>
                <w:sz w:val="21"/>
              </w:rPr>
              <w:t xml:space="preserve"> </w:t>
            </w:r>
            <w:r>
              <w:rPr>
                <w:spacing w:val="-2"/>
                <w:sz w:val="21"/>
              </w:rPr>
              <w:t>schools</w:t>
            </w:r>
          </w:p>
        </w:tc>
        <w:tc>
          <w:tcPr>
            <w:tcW w:w="2613" w:type="dxa"/>
            <w:tcBorders>
              <w:top w:val="single" w:sz="18" w:space="0" w:color="800000"/>
              <w:bottom w:val="single" w:sz="18" w:space="0" w:color="800000"/>
            </w:tcBorders>
          </w:tcPr>
          <w:p w:rsidR="003F5784" w14:paraId="20383258" w14:textId="77777777">
            <w:pPr>
              <w:pStyle w:val="TableParagraph"/>
              <w:spacing w:before="14" w:line="234" w:lineRule="exact"/>
              <w:ind w:left="234" w:right="641" w:firstLine="822"/>
              <w:jc w:val="left"/>
              <w:rPr>
                <w:sz w:val="21"/>
              </w:rPr>
            </w:pPr>
            <w:r>
              <w:rPr>
                <w:spacing w:val="-2"/>
                <w:sz w:val="21"/>
              </w:rPr>
              <w:t>Number</w:t>
            </w:r>
            <w:r>
              <w:rPr>
                <w:spacing w:val="-12"/>
                <w:sz w:val="21"/>
              </w:rPr>
              <w:t xml:space="preserve"> </w:t>
            </w:r>
            <w:r>
              <w:rPr>
                <w:spacing w:val="-2"/>
                <w:sz w:val="21"/>
              </w:rPr>
              <w:t xml:space="preserve">of </w:t>
            </w:r>
            <w:r>
              <w:rPr>
                <w:sz w:val="21"/>
              </w:rPr>
              <w:t>participating</w:t>
            </w:r>
            <w:r>
              <w:rPr>
                <w:spacing w:val="-12"/>
                <w:sz w:val="21"/>
              </w:rPr>
              <w:t xml:space="preserve"> </w:t>
            </w:r>
            <w:r>
              <w:rPr>
                <w:spacing w:val="-2"/>
                <w:sz w:val="21"/>
              </w:rPr>
              <w:t>schools</w:t>
            </w:r>
          </w:p>
        </w:tc>
        <w:tc>
          <w:tcPr>
            <w:tcW w:w="3385" w:type="dxa"/>
            <w:tcBorders>
              <w:top w:val="single" w:sz="18" w:space="0" w:color="800000"/>
              <w:bottom w:val="single" w:sz="18" w:space="0" w:color="800000"/>
            </w:tcBorders>
          </w:tcPr>
          <w:p w:rsidR="003F5784" w14:paraId="26F02965" w14:textId="77777777">
            <w:pPr>
              <w:pStyle w:val="TableParagraph"/>
              <w:spacing w:before="14" w:line="234" w:lineRule="exact"/>
              <w:ind w:left="815" w:hanging="169"/>
              <w:jc w:val="left"/>
              <w:rPr>
                <w:sz w:val="21"/>
              </w:rPr>
            </w:pPr>
            <w:r>
              <w:rPr>
                <w:spacing w:val="-2"/>
                <w:sz w:val="21"/>
              </w:rPr>
              <w:t>Weighted</w:t>
            </w:r>
            <w:r>
              <w:rPr>
                <w:spacing w:val="-7"/>
                <w:sz w:val="21"/>
              </w:rPr>
              <w:t xml:space="preserve"> </w:t>
            </w:r>
            <w:r>
              <w:rPr>
                <w:spacing w:val="-2"/>
                <w:sz w:val="21"/>
              </w:rPr>
              <w:t>school</w:t>
            </w:r>
            <w:r>
              <w:rPr>
                <w:spacing w:val="-7"/>
                <w:sz w:val="21"/>
              </w:rPr>
              <w:t xml:space="preserve"> </w:t>
            </w:r>
            <w:r>
              <w:rPr>
                <w:spacing w:val="-2"/>
                <w:sz w:val="21"/>
              </w:rPr>
              <w:t>response</w:t>
            </w:r>
            <w:r>
              <w:rPr>
                <w:spacing w:val="-7"/>
                <w:sz w:val="21"/>
              </w:rPr>
              <w:t xml:space="preserve"> </w:t>
            </w:r>
            <w:r>
              <w:rPr>
                <w:spacing w:val="-2"/>
                <w:sz w:val="21"/>
              </w:rPr>
              <w:t xml:space="preserve">rates </w:t>
            </w:r>
            <w:r>
              <w:rPr>
                <w:sz w:val="21"/>
              </w:rPr>
              <w:t>prior</w:t>
            </w:r>
            <w:r>
              <w:rPr>
                <w:spacing w:val="-7"/>
                <w:sz w:val="21"/>
              </w:rPr>
              <w:t xml:space="preserve"> </w:t>
            </w:r>
            <w:r>
              <w:rPr>
                <w:sz w:val="21"/>
              </w:rPr>
              <w:t>to</w:t>
            </w:r>
            <w:r>
              <w:rPr>
                <w:spacing w:val="-6"/>
                <w:sz w:val="21"/>
              </w:rPr>
              <w:t xml:space="preserve"> </w:t>
            </w:r>
            <w:r>
              <w:rPr>
                <w:sz w:val="21"/>
              </w:rPr>
              <w:t>substitution</w:t>
            </w:r>
            <w:r>
              <w:rPr>
                <w:spacing w:val="-6"/>
                <w:sz w:val="21"/>
              </w:rPr>
              <w:t xml:space="preserve"> </w:t>
            </w:r>
            <w:r>
              <w:rPr>
                <w:spacing w:val="-2"/>
                <w:sz w:val="21"/>
              </w:rPr>
              <w:t>(percent)</w:t>
            </w:r>
          </w:p>
        </w:tc>
      </w:tr>
      <w:tr w14:paraId="789E6A12" w14:textId="77777777">
        <w:tblPrEx>
          <w:tblW w:w="0" w:type="auto"/>
          <w:tblInd w:w="482" w:type="dxa"/>
          <w:tblLayout w:type="fixed"/>
          <w:tblCellMar>
            <w:left w:w="0" w:type="dxa"/>
            <w:right w:w="0" w:type="dxa"/>
          </w:tblCellMar>
          <w:tblLook w:val="01E0"/>
        </w:tblPrEx>
        <w:trPr>
          <w:trHeight w:val="308"/>
        </w:trPr>
        <w:tc>
          <w:tcPr>
            <w:tcW w:w="813" w:type="dxa"/>
            <w:vMerge w:val="restart"/>
            <w:tcBorders>
              <w:top w:val="single" w:sz="18" w:space="0" w:color="800000"/>
              <w:bottom w:val="single" w:sz="18" w:space="0" w:color="800000"/>
            </w:tcBorders>
          </w:tcPr>
          <w:p w:rsidR="003F5784" w14:paraId="10E28E9A" w14:textId="77777777">
            <w:pPr>
              <w:pStyle w:val="TableParagraph"/>
              <w:spacing w:before="9"/>
              <w:ind w:left="120"/>
              <w:jc w:val="left"/>
              <w:rPr>
                <w:sz w:val="21"/>
              </w:rPr>
            </w:pPr>
            <w:r>
              <w:rPr>
                <w:spacing w:val="-10"/>
                <w:sz w:val="21"/>
              </w:rPr>
              <w:t>9</w:t>
            </w:r>
          </w:p>
        </w:tc>
        <w:tc>
          <w:tcPr>
            <w:tcW w:w="3547" w:type="dxa"/>
            <w:tcBorders>
              <w:top w:val="single" w:sz="18" w:space="0" w:color="800000"/>
            </w:tcBorders>
          </w:tcPr>
          <w:p w:rsidR="003F5784" w14:paraId="5E856A75" w14:textId="77777777">
            <w:pPr>
              <w:pStyle w:val="TableParagraph"/>
              <w:spacing w:before="19" w:line="269" w:lineRule="exact"/>
              <w:ind w:right="1669"/>
              <w:rPr>
                <w:b/>
                <w:sz w:val="17"/>
              </w:rPr>
            </w:pPr>
            <w:r>
              <w:rPr>
                <w:b/>
                <w:sz w:val="21"/>
              </w:rPr>
              <w:t>National</w:t>
            </w:r>
            <w:r>
              <w:rPr>
                <w:b/>
                <w:spacing w:val="-9"/>
                <w:sz w:val="21"/>
              </w:rPr>
              <w:t xml:space="preserve"> </w:t>
            </w:r>
            <w:r>
              <w:rPr>
                <w:b/>
                <w:spacing w:val="-4"/>
                <w:sz w:val="21"/>
              </w:rPr>
              <w:t>all</w:t>
            </w:r>
            <w:r>
              <w:rPr>
                <w:b/>
                <w:spacing w:val="-4"/>
                <w:position w:val="8"/>
                <w:sz w:val="17"/>
              </w:rPr>
              <w:t>1</w:t>
            </w:r>
          </w:p>
        </w:tc>
        <w:tc>
          <w:tcPr>
            <w:tcW w:w="3627" w:type="dxa"/>
            <w:tcBorders>
              <w:top w:val="single" w:sz="18" w:space="0" w:color="800000"/>
            </w:tcBorders>
          </w:tcPr>
          <w:p w:rsidR="003F5784" w14:paraId="3F51F367" w14:textId="77777777">
            <w:pPr>
              <w:pStyle w:val="TableParagraph"/>
              <w:spacing w:before="9"/>
              <w:ind w:right="1054"/>
              <w:rPr>
                <w:b/>
                <w:sz w:val="21"/>
              </w:rPr>
            </w:pPr>
            <w:r>
              <w:rPr>
                <w:b/>
                <w:spacing w:val="-5"/>
                <w:sz w:val="21"/>
              </w:rPr>
              <w:t>540</w:t>
            </w:r>
          </w:p>
        </w:tc>
        <w:tc>
          <w:tcPr>
            <w:tcW w:w="2613" w:type="dxa"/>
            <w:tcBorders>
              <w:top w:val="single" w:sz="18" w:space="0" w:color="800000"/>
            </w:tcBorders>
          </w:tcPr>
          <w:p w:rsidR="003F5784" w14:paraId="45F39BA5" w14:textId="77777777">
            <w:pPr>
              <w:pStyle w:val="TableParagraph"/>
              <w:spacing w:before="9"/>
              <w:ind w:right="645"/>
              <w:rPr>
                <w:b/>
                <w:sz w:val="21"/>
              </w:rPr>
            </w:pPr>
            <w:r>
              <w:rPr>
                <w:b/>
                <w:spacing w:val="-5"/>
                <w:sz w:val="21"/>
              </w:rPr>
              <w:t>410</w:t>
            </w:r>
          </w:p>
        </w:tc>
        <w:tc>
          <w:tcPr>
            <w:tcW w:w="3385" w:type="dxa"/>
            <w:tcBorders>
              <w:top w:val="single" w:sz="18" w:space="0" w:color="800000"/>
            </w:tcBorders>
          </w:tcPr>
          <w:p w:rsidR="003F5784" w14:paraId="2DA6F1FE" w14:textId="77777777">
            <w:pPr>
              <w:pStyle w:val="TableParagraph"/>
              <w:spacing w:before="9"/>
              <w:ind w:right="118"/>
              <w:rPr>
                <w:b/>
                <w:sz w:val="21"/>
              </w:rPr>
            </w:pPr>
            <w:r>
              <w:rPr>
                <w:b/>
                <w:spacing w:val="-2"/>
                <w:sz w:val="21"/>
              </w:rPr>
              <w:t>85.93</w:t>
            </w:r>
          </w:p>
        </w:tc>
      </w:tr>
      <w:tr w14:paraId="0D56EF69" w14:textId="77777777">
        <w:tblPrEx>
          <w:tblW w:w="0" w:type="auto"/>
          <w:tblInd w:w="482" w:type="dxa"/>
          <w:tblLayout w:type="fixed"/>
          <w:tblCellMar>
            <w:left w:w="0" w:type="dxa"/>
            <w:right w:w="0" w:type="dxa"/>
          </w:tblCellMar>
          <w:tblLook w:val="01E0"/>
        </w:tblPrEx>
        <w:trPr>
          <w:trHeight w:val="241"/>
        </w:trPr>
        <w:tc>
          <w:tcPr>
            <w:tcW w:w="813" w:type="dxa"/>
            <w:vMerge/>
            <w:tcBorders>
              <w:top w:val="nil"/>
              <w:bottom w:val="single" w:sz="18" w:space="0" w:color="800000"/>
            </w:tcBorders>
          </w:tcPr>
          <w:p w:rsidR="003F5784" w14:paraId="70583BB5" w14:textId="77777777">
            <w:pPr>
              <w:rPr>
                <w:sz w:val="2"/>
                <w:szCs w:val="2"/>
              </w:rPr>
            </w:pPr>
          </w:p>
        </w:tc>
        <w:tc>
          <w:tcPr>
            <w:tcW w:w="3547" w:type="dxa"/>
          </w:tcPr>
          <w:p w:rsidR="003F5784" w14:paraId="03F782AC" w14:textId="77777777">
            <w:pPr>
              <w:pStyle w:val="TableParagraph"/>
              <w:spacing w:before="0" w:line="222" w:lineRule="exact"/>
              <w:ind w:left="345"/>
              <w:jc w:val="left"/>
              <w:rPr>
                <w:sz w:val="21"/>
              </w:rPr>
            </w:pPr>
            <w:r>
              <w:rPr>
                <w:sz w:val="21"/>
              </w:rPr>
              <w:t>National</w:t>
            </w:r>
            <w:r>
              <w:rPr>
                <w:spacing w:val="-9"/>
                <w:sz w:val="21"/>
              </w:rPr>
              <w:t xml:space="preserve"> </w:t>
            </w:r>
            <w:r>
              <w:rPr>
                <w:spacing w:val="-2"/>
                <w:sz w:val="21"/>
              </w:rPr>
              <w:t>public</w:t>
            </w:r>
          </w:p>
        </w:tc>
        <w:tc>
          <w:tcPr>
            <w:tcW w:w="3627" w:type="dxa"/>
          </w:tcPr>
          <w:p w:rsidR="003F5784" w14:paraId="495CB3F6" w14:textId="77777777">
            <w:pPr>
              <w:pStyle w:val="TableParagraph"/>
              <w:spacing w:before="0" w:line="222" w:lineRule="exact"/>
              <w:ind w:right="1054"/>
              <w:rPr>
                <w:sz w:val="21"/>
              </w:rPr>
            </w:pPr>
            <w:r>
              <w:rPr>
                <w:spacing w:val="-5"/>
                <w:sz w:val="21"/>
              </w:rPr>
              <w:t>400</w:t>
            </w:r>
          </w:p>
        </w:tc>
        <w:tc>
          <w:tcPr>
            <w:tcW w:w="2613" w:type="dxa"/>
          </w:tcPr>
          <w:p w:rsidR="003F5784" w14:paraId="0470B60B" w14:textId="77777777">
            <w:pPr>
              <w:pStyle w:val="TableParagraph"/>
              <w:spacing w:before="0" w:line="222" w:lineRule="exact"/>
              <w:ind w:right="645"/>
              <w:rPr>
                <w:sz w:val="21"/>
              </w:rPr>
            </w:pPr>
            <w:r>
              <w:rPr>
                <w:spacing w:val="-5"/>
                <w:sz w:val="21"/>
              </w:rPr>
              <w:t>370</w:t>
            </w:r>
          </w:p>
        </w:tc>
        <w:tc>
          <w:tcPr>
            <w:tcW w:w="3385" w:type="dxa"/>
          </w:tcPr>
          <w:p w:rsidR="003F5784" w14:paraId="73047705" w14:textId="77777777">
            <w:pPr>
              <w:pStyle w:val="TableParagraph"/>
              <w:spacing w:before="0" w:line="222" w:lineRule="exact"/>
              <w:ind w:right="118"/>
              <w:rPr>
                <w:sz w:val="21"/>
              </w:rPr>
            </w:pPr>
            <w:r>
              <w:rPr>
                <w:spacing w:val="-2"/>
                <w:sz w:val="21"/>
              </w:rPr>
              <w:t>90.45</w:t>
            </w:r>
          </w:p>
        </w:tc>
      </w:tr>
      <w:tr w14:paraId="054E43CC" w14:textId="77777777">
        <w:tblPrEx>
          <w:tblW w:w="0" w:type="auto"/>
          <w:tblInd w:w="482" w:type="dxa"/>
          <w:tblLayout w:type="fixed"/>
          <w:tblCellMar>
            <w:left w:w="0" w:type="dxa"/>
            <w:right w:w="0" w:type="dxa"/>
          </w:tblCellMar>
          <w:tblLook w:val="01E0"/>
        </w:tblPrEx>
        <w:trPr>
          <w:trHeight w:val="241"/>
        </w:trPr>
        <w:tc>
          <w:tcPr>
            <w:tcW w:w="813" w:type="dxa"/>
            <w:vMerge/>
            <w:tcBorders>
              <w:top w:val="nil"/>
              <w:bottom w:val="single" w:sz="18" w:space="0" w:color="800000"/>
            </w:tcBorders>
          </w:tcPr>
          <w:p w:rsidR="003F5784" w14:paraId="5B2B3488" w14:textId="77777777">
            <w:pPr>
              <w:rPr>
                <w:sz w:val="2"/>
                <w:szCs w:val="2"/>
              </w:rPr>
            </w:pPr>
          </w:p>
        </w:tc>
        <w:tc>
          <w:tcPr>
            <w:tcW w:w="3547" w:type="dxa"/>
          </w:tcPr>
          <w:p w:rsidR="003F5784" w14:paraId="238B37C0" w14:textId="77777777">
            <w:pPr>
              <w:pStyle w:val="TableParagraph"/>
              <w:spacing w:before="0" w:line="222" w:lineRule="exact"/>
              <w:ind w:right="1659"/>
              <w:rPr>
                <w:sz w:val="21"/>
              </w:rPr>
            </w:pPr>
            <w:r>
              <w:rPr>
                <w:sz w:val="21"/>
              </w:rPr>
              <w:t>Northeast</w:t>
            </w:r>
            <w:r>
              <w:rPr>
                <w:spacing w:val="-10"/>
                <w:sz w:val="21"/>
              </w:rPr>
              <w:t xml:space="preserve"> </w:t>
            </w:r>
            <w:r>
              <w:rPr>
                <w:spacing w:val="-2"/>
                <w:sz w:val="21"/>
              </w:rPr>
              <w:t>public</w:t>
            </w:r>
          </w:p>
        </w:tc>
        <w:tc>
          <w:tcPr>
            <w:tcW w:w="3627" w:type="dxa"/>
          </w:tcPr>
          <w:p w:rsidR="003F5784" w14:paraId="2EE67B45" w14:textId="77777777">
            <w:pPr>
              <w:pStyle w:val="TableParagraph"/>
              <w:spacing w:before="0" w:line="222" w:lineRule="exact"/>
              <w:ind w:right="1054"/>
              <w:rPr>
                <w:sz w:val="21"/>
              </w:rPr>
            </w:pPr>
            <w:r>
              <w:rPr>
                <w:spacing w:val="-5"/>
                <w:sz w:val="21"/>
              </w:rPr>
              <w:t>60</w:t>
            </w:r>
          </w:p>
        </w:tc>
        <w:tc>
          <w:tcPr>
            <w:tcW w:w="2613" w:type="dxa"/>
          </w:tcPr>
          <w:p w:rsidR="003F5784" w14:paraId="5B13DA96" w14:textId="77777777">
            <w:pPr>
              <w:pStyle w:val="TableParagraph"/>
              <w:spacing w:before="0" w:line="222" w:lineRule="exact"/>
              <w:ind w:right="645"/>
              <w:rPr>
                <w:sz w:val="21"/>
              </w:rPr>
            </w:pPr>
            <w:r>
              <w:rPr>
                <w:spacing w:val="-5"/>
                <w:sz w:val="21"/>
              </w:rPr>
              <w:t>50</w:t>
            </w:r>
          </w:p>
        </w:tc>
        <w:tc>
          <w:tcPr>
            <w:tcW w:w="3385" w:type="dxa"/>
          </w:tcPr>
          <w:p w:rsidR="003F5784" w14:paraId="23B58223" w14:textId="77777777">
            <w:pPr>
              <w:pStyle w:val="TableParagraph"/>
              <w:spacing w:before="0" w:line="222" w:lineRule="exact"/>
              <w:ind w:right="118"/>
              <w:rPr>
                <w:sz w:val="21"/>
              </w:rPr>
            </w:pPr>
            <w:r>
              <w:rPr>
                <w:spacing w:val="-2"/>
                <w:sz w:val="21"/>
              </w:rPr>
              <w:t>94.29</w:t>
            </w:r>
          </w:p>
        </w:tc>
      </w:tr>
      <w:tr w14:paraId="285A99B0" w14:textId="77777777">
        <w:tblPrEx>
          <w:tblW w:w="0" w:type="auto"/>
          <w:tblInd w:w="482" w:type="dxa"/>
          <w:tblLayout w:type="fixed"/>
          <w:tblCellMar>
            <w:left w:w="0" w:type="dxa"/>
            <w:right w:w="0" w:type="dxa"/>
          </w:tblCellMar>
          <w:tblLook w:val="01E0"/>
        </w:tblPrEx>
        <w:trPr>
          <w:trHeight w:val="241"/>
        </w:trPr>
        <w:tc>
          <w:tcPr>
            <w:tcW w:w="813" w:type="dxa"/>
            <w:vMerge/>
            <w:tcBorders>
              <w:top w:val="nil"/>
              <w:bottom w:val="single" w:sz="18" w:space="0" w:color="800000"/>
            </w:tcBorders>
          </w:tcPr>
          <w:p w:rsidR="003F5784" w14:paraId="268B9CBD" w14:textId="77777777">
            <w:pPr>
              <w:rPr>
                <w:sz w:val="2"/>
                <w:szCs w:val="2"/>
              </w:rPr>
            </w:pPr>
          </w:p>
        </w:tc>
        <w:tc>
          <w:tcPr>
            <w:tcW w:w="3547" w:type="dxa"/>
          </w:tcPr>
          <w:p w:rsidR="003F5784" w14:paraId="5508B7E8" w14:textId="77777777">
            <w:pPr>
              <w:pStyle w:val="TableParagraph"/>
              <w:spacing w:before="0" w:line="222" w:lineRule="exact"/>
              <w:ind w:left="501"/>
              <w:jc w:val="left"/>
              <w:rPr>
                <w:sz w:val="21"/>
              </w:rPr>
            </w:pPr>
            <w:r>
              <w:rPr>
                <w:sz w:val="21"/>
              </w:rPr>
              <w:t>Midwest</w:t>
            </w:r>
            <w:r>
              <w:rPr>
                <w:spacing w:val="-9"/>
                <w:sz w:val="21"/>
              </w:rPr>
              <w:t xml:space="preserve"> </w:t>
            </w:r>
            <w:r>
              <w:rPr>
                <w:spacing w:val="-2"/>
                <w:sz w:val="21"/>
              </w:rPr>
              <w:t>public</w:t>
            </w:r>
          </w:p>
        </w:tc>
        <w:tc>
          <w:tcPr>
            <w:tcW w:w="3627" w:type="dxa"/>
          </w:tcPr>
          <w:p w:rsidR="003F5784" w14:paraId="4A84106E" w14:textId="77777777">
            <w:pPr>
              <w:pStyle w:val="TableParagraph"/>
              <w:spacing w:before="0" w:line="222" w:lineRule="exact"/>
              <w:ind w:right="1054"/>
              <w:rPr>
                <w:sz w:val="21"/>
              </w:rPr>
            </w:pPr>
            <w:r>
              <w:rPr>
                <w:spacing w:val="-5"/>
                <w:sz w:val="21"/>
              </w:rPr>
              <w:t>70</w:t>
            </w:r>
          </w:p>
        </w:tc>
        <w:tc>
          <w:tcPr>
            <w:tcW w:w="2613" w:type="dxa"/>
          </w:tcPr>
          <w:p w:rsidR="003F5784" w14:paraId="47771AEF" w14:textId="77777777">
            <w:pPr>
              <w:pStyle w:val="TableParagraph"/>
              <w:spacing w:before="0" w:line="222" w:lineRule="exact"/>
              <w:ind w:right="645"/>
              <w:rPr>
                <w:sz w:val="21"/>
              </w:rPr>
            </w:pPr>
            <w:r>
              <w:rPr>
                <w:spacing w:val="-5"/>
                <w:sz w:val="21"/>
              </w:rPr>
              <w:t>60</w:t>
            </w:r>
          </w:p>
        </w:tc>
        <w:tc>
          <w:tcPr>
            <w:tcW w:w="3385" w:type="dxa"/>
          </w:tcPr>
          <w:p w:rsidR="003F5784" w14:paraId="3F512DE6" w14:textId="77777777">
            <w:pPr>
              <w:pStyle w:val="TableParagraph"/>
              <w:spacing w:before="0" w:line="222" w:lineRule="exact"/>
              <w:ind w:right="118"/>
              <w:rPr>
                <w:sz w:val="21"/>
              </w:rPr>
            </w:pPr>
            <w:r>
              <w:rPr>
                <w:spacing w:val="-2"/>
                <w:sz w:val="21"/>
              </w:rPr>
              <w:t>76.17</w:t>
            </w:r>
          </w:p>
        </w:tc>
      </w:tr>
      <w:tr w14:paraId="00CBC38F" w14:textId="77777777">
        <w:tblPrEx>
          <w:tblW w:w="0" w:type="auto"/>
          <w:tblInd w:w="482" w:type="dxa"/>
          <w:tblLayout w:type="fixed"/>
          <w:tblCellMar>
            <w:left w:w="0" w:type="dxa"/>
            <w:right w:w="0" w:type="dxa"/>
          </w:tblCellMar>
          <w:tblLook w:val="01E0"/>
        </w:tblPrEx>
        <w:trPr>
          <w:trHeight w:val="241"/>
        </w:trPr>
        <w:tc>
          <w:tcPr>
            <w:tcW w:w="813" w:type="dxa"/>
            <w:vMerge/>
            <w:tcBorders>
              <w:top w:val="nil"/>
              <w:bottom w:val="single" w:sz="18" w:space="0" w:color="800000"/>
            </w:tcBorders>
          </w:tcPr>
          <w:p w:rsidR="003F5784" w14:paraId="36C6B334" w14:textId="77777777">
            <w:pPr>
              <w:rPr>
                <w:sz w:val="2"/>
                <w:szCs w:val="2"/>
              </w:rPr>
            </w:pPr>
          </w:p>
        </w:tc>
        <w:tc>
          <w:tcPr>
            <w:tcW w:w="3547" w:type="dxa"/>
          </w:tcPr>
          <w:p w:rsidR="003F5784" w14:paraId="7FD5A98E" w14:textId="77777777">
            <w:pPr>
              <w:pStyle w:val="TableParagraph"/>
              <w:spacing w:before="0" w:line="222" w:lineRule="exact"/>
              <w:ind w:left="501"/>
              <w:jc w:val="left"/>
              <w:rPr>
                <w:sz w:val="21"/>
              </w:rPr>
            </w:pPr>
            <w:r>
              <w:rPr>
                <w:sz w:val="21"/>
              </w:rPr>
              <w:t>South</w:t>
            </w:r>
            <w:r>
              <w:rPr>
                <w:spacing w:val="-6"/>
                <w:sz w:val="21"/>
              </w:rPr>
              <w:t xml:space="preserve"> </w:t>
            </w:r>
            <w:r>
              <w:rPr>
                <w:spacing w:val="-2"/>
                <w:sz w:val="21"/>
              </w:rPr>
              <w:t>public</w:t>
            </w:r>
          </w:p>
        </w:tc>
        <w:tc>
          <w:tcPr>
            <w:tcW w:w="3627" w:type="dxa"/>
          </w:tcPr>
          <w:p w:rsidR="003F5784" w14:paraId="42D69A5B" w14:textId="77777777">
            <w:pPr>
              <w:pStyle w:val="TableParagraph"/>
              <w:spacing w:before="0" w:line="222" w:lineRule="exact"/>
              <w:ind w:right="1054"/>
              <w:rPr>
                <w:sz w:val="21"/>
              </w:rPr>
            </w:pPr>
            <w:r>
              <w:rPr>
                <w:spacing w:val="-5"/>
                <w:sz w:val="21"/>
              </w:rPr>
              <w:t>170</w:t>
            </w:r>
          </w:p>
        </w:tc>
        <w:tc>
          <w:tcPr>
            <w:tcW w:w="2613" w:type="dxa"/>
          </w:tcPr>
          <w:p w:rsidR="003F5784" w14:paraId="3DEC72F2" w14:textId="77777777">
            <w:pPr>
              <w:pStyle w:val="TableParagraph"/>
              <w:spacing w:before="0" w:line="222" w:lineRule="exact"/>
              <w:ind w:right="645"/>
              <w:rPr>
                <w:sz w:val="21"/>
              </w:rPr>
            </w:pPr>
            <w:r>
              <w:rPr>
                <w:spacing w:val="-5"/>
                <w:sz w:val="21"/>
              </w:rPr>
              <w:t>170</w:t>
            </w:r>
          </w:p>
        </w:tc>
        <w:tc>
          <w:tcPr>
            <w:tcW w:w="3385" w:type="dxa"/>
          </w:tcPr>
          <w:p w:rsidR="003F5784" w14:paraId="3302783E" w14:textId="77777777">
            <w:pPr>
              <w:pStyle w:val="TableParagraph"/>
              <w:spacing w:before="0" w:line="222" w:lineRule="exact"/>
              <w:ind w:right="118"/>
              <w:rPr>
                <w:sz w:val="21"/>
              </w:rPr>
            </w:pPr>
            <w:r>
              <w:rPr>
                <w:spacing w:val="-2"/>
                <w:sz w:val="21"/>
              </w:rPr>
              <w:t>98.86</w:t>
            </w:r>
          </w:p>
        </w:tc>
      </w:tr>
      <w:tr w14:paraId="23209338" w14:textId="77777777">
        <w:tblPrEx>
          <w:tblW w:w="0" w:type="auto"/>
          <w:tblInd w:w="482" w:type="dxa"/>
          <w:tblLayout w:type="fixed"/>
          <w:tblCellMar>
            <w:left w:w="0" w:type="dxa"/>
            <w:right w:w="0" w:type="dxa"/>
          </w:tblCellMar>
          <w:tblLook w:val="01E0"/>
        </w:tblPrEx>
        <w:trPr>
          <w:trHeight w:val="241"/>
        </w:trPr>
        <w:tc>
          <w:tcPr>
            <w:tcW w:w="813" w:type="dxa"/>
            <w:vMerge/>
            <w:tcBorders>
              <w:top w:val="nil"/>
              <w:bottom w:val="single" w:sz="18" w:space="0" w:color="800000"/>
            </w:tcBorders>
          </w:tcPr>
          <w:p w:rsidR="003F5784" w14:paraId="241A010B" w14:textId="77777777">
            <w:pPr>
              <w:rPr>
                <w:sz w:val="2"/>
                <w:szCs w:val="2"/>
              </w:rPr>
            </w:pPr>
          </w:p>
        </w:tc>
        <w:tc>
          <w:tcPr>
            <w:tcW w:w="3547" w:type="dxa"/>
          </w:tcPr>
          <w:p w:rsidR="003F5784" w14:paraId="14A6D067" w14:textId="77777777">
            <w:pPr>
              <w:pStyle w:val="TableParagraph"/>
              <w:spacing w:before="0" w:line="222" w:lineRule="exact"/>
              <w:ind w:left="497"/>
              <w:jc w:val="left"/>
              <w:rPr>
                <w:sz w:val="21"/>
              </w:rPr>
            </w:pPr>
            <w:r>
              <w:rPr>
                <w:spacing w:val="-4"/>
                <w:sz w:val="21"/>
              </w:rPr>
              <w:t>West</w:t>
            </w:r>
            <w:r>
              <w:rPr>
                <w:spacing w:val="-7"/>
                <w:sz w:val="21"/>
              </w:rPr>
              <w:t xml:space="preserve"> </w:t>
            </w:r>
            <w:r>
              <w:rPr>
                <w:spacing w:val="-2"/>
                <w:sz w:val="21"/>
              </w:rPr>
              <w:t>public</w:t>
            </w:r>
          </w:p>
        </w:tc>
        <w:tc>
          <w:tcPr>
            <w:tcW w:w="3627" w:type="dxa"/>
          </w:tcPr>
          <w:p w:rsidR="003F5784" w14:paraId="5E95B062" w14:textId="77777777">
            <w:pPr>
              <w:pStyle w:val="TableParagraph"/>
              <w:spacing w:before="0" w:line="222" w:lineRule="exact"/>
              <w:ind w:right="1054"/>
              <w:rPr>
                <w:sz w:val="21"/>
              </w:rPr>
            </w:pPr>
            <w:r>
              <w:rPr>
                <w:spacing w:val="-5"/>
                <w:sz w:val="21"/>
              </w:rPr>
              <w:t>100</w:t>
            </w:r>
          </w:p>
        </w:tc>
        <w:tc>
          <w:tcPr>
            <w:tcW w:w="2613" w:type="dxa"/>
          </w:tcPr>
          <w:p w:rsidR="003F5784" w14:paraId="2F9C8132" w14:textId="77777777">
            <w:pPr>
              <w:pStyle w:val="TableParagraph"/>
              <w:spacing w:before="0" w:line="222" w:lineRule="exact"/>
              <w:ind w:right="645"/>
              <w:rPr>
                <w:sz w:val="21"/>
              </w:rPr>
            </w:pPr>
            <w:r>
              <w:rPr>
                <w:spacing w:val="-5"/>
                <w:sz w:val="21"/>
              </w:rPr>
              <w:t>90</w:t>
            </w:r>
          </w:p>
        </w:tc>
        <w:tc>
          <w:tcPr>
            <w:tcW w:w="3385" w:type="dxa"/>
          </w:tcPr>
          <w:p w:rsidR="003F5784" w14:paraId="22153861" w14:textId="77777777">
            <w:pPr>
              <w:pStyle w:val="TableParagraph"/>
              <w:spacing w:before="0" w:line="222" w:lineRule="exact"/>
              <w:ind w:right="118"/>
              <w:rPr>
                <w:sz w:val="21"/>
              </w:rPr>
            </w:pPr>
            <w:r>
              <w:rPr>
                <w:spacing w:val="-2"/>
                <w:sz w:val="21"/>
              </w:rPr>
              <w:t>85.64</w:t>
            </w:r>
          </w:p>
        </w:tc>
      </w:tr>
      <w:tr w14:paraId="0C4A3B2E" w14:textId="77777777">
        <w:tblPrEx>
          <w:tblW w:w="0" w:type="auto"/>
          <w:tblInd w:w="482" w:type="dxa"/>
          <w:tblLayout w:type="fixed"/>
          <w:tblCellMar>
            <w:left w:w="0" w:type="dxa"/>
            <w:right w:w="0" w:type="dxa"/>
          </w:tblCellMar>
          <w:tblLook w:val="01E0"/>
        </w:tblPrEx>
        <w:trPr>
          <w:trHeight w:val="241"/>
        </w:trPr>
        <w:tc>
          <w:tcPr>
            <w:tcW w:w="813" w:type="dxa"/>
            <w:vMerge/>
            <w:tcBorders>
              <w:top w:val="nil"/>
              <w:bottom w:val="single" w:sz="18" w:space="0" w:color="800000"/>
            </w:tcBorders>
          </w:tcPr>
          <w:p w:rsidR="003F5784" w14:paraId="33BC84BD" w14:textId="77777777">
            <w:pPr>
              <w:rPr>
                <w:sz w:val="2"/>
                <w:szCs w:val="2"/>
              </w:rPr>
            </w:pPr>
          </w:p>
        </w:tc>
        <w:tc>
          <w:tcPr>
            <w:tcW w:w="3547" w:type="dxa"/>
          </w:tcPr>
          <w:p w:rsidR="003F5784" w14:paraId="623D25BE" w14:textId="77777777">
            <w:pPr>
              <w:pStyle w:val="TableParagraph"/>
              <w:spacing w:before="0" w:line="222" w:lineRule="exact"/>
              <w:ind w:left="345"/>
              <w:jc w:val="left"/>
              <w:rPr>
                <w:sz w:val="21"/>
              </w:rPr>
            </w:pPr>
            <w:r>
              <w:rPr>
                <w:sz w:val="21"/>
              </w:rPr>
              <w:t>National</w:t>
            </w:r>
            <w:r>
              <w:rPr>
                <w:spacing w:val="-9"/>
                <w:sz w:val="21"/>
              </w:rPr>
              <w:t xml:space="preserve"> </w:t>
            </w:r>
            <w:r>
              <w:rPr>
                <w:spacing w:val="-2"/>
                <w:sz w:val="21"/>
              </w:rPr>
              <w:t>private</w:t>
            </w:r>
          </w:p>
        </w:tc>
        <w:tc>
          <w:tcPr>
            <w:tcW w:w="3627" w:type="dxa"/>
          </w:tcPr>
          <w:p w:rsidR="003F5784" w14:paraId="5EDDD71E" w14:textId="77777777">
            <w:pPr>
              <w:pStyle w:val="TableParagraph"/>
              <w:spacing w:before="0" w:line="222" w:lineRule="exact"/>
              <w:ind w:right="1054"/>
              <w:rPr>
                <w:sz w:val="21"/>
              </w:rPr>
            </w:pPr>
            <w:r>
              <w:rPr>
                <w:spacing w:val="-5"/>
                <w:sz w:val="21"/>
              </w:rPr>
              <w:t>140</w:t>
            </w:r>
          </w:p>
        </w:tc>
        <w:tc>
          <w:tcPr>
            <w:tcW w:w="2613" w:type="dxa"/>
          </w:tcPr>
          <w:p w:rsidR="003F5784" w14:paraId="7F9285B7" w14:textId="77777777">
            <w:pPr>
              <w:pStyle w:val="TableParagraph"/>
              <w:spacing w:before="0" w:line="222" w:lineRule="exact"/>
              <w:ind w:right="645"/>
              <w:rPr>
                <w:sz w:val="21"/>
              </w:rPr>
            </w:pPr>
            <w:r>
              <w:rPr>
                <w:spacing w:val="-5"/>
                <w:sz w:val="21"/>
              </w:rPr>
              <w:t>50</w:t>
            </w:r>
          </w:p>
        </w:tc>
        <w:tc>
          <w:tcPr>
            <w:tcW w:w="3385" w:type="dxa"/>
          </w:tcPr>
          <w:p w:rsidR="003F5784" w14:paraId="3320CC4B" w14:textId="77777777">
            <w:pPr>
              <w:pStyle w:val="TableParagraph"/>
              <w:spacing w:before="0" w:line="222" w:lineRule="exact"/>
              <w:ind w:right="118"/>
              <w:rPr>
                <w:sz w:val="21"/>
              </w:rPr>
            </w:pPr>
            <w:r>
              <w:rPr>
                <w:spacing w:val="-2"/>
                <w:sz w:val="21"/>
              </w:rPr>
              <w:t>32.02</w:t>
            </w:r>
          </w:p>
        </w:tc>
      </w:tr>
      <w:tr w14:paraId="27C2F614" w14:textId="77777777">
        <w:tblPrEx>
          <w:tblW w:w="0" w:type="auto"/>
          <w:tblInd w:w="482" w:type="dxa"/>
          <w:tblLayout w:type="fixed"/>
          <w:tblCellMar>
            <w:left w:w="0" w:type="dxa"/>
            <w:right w:w="0" w:type="dxa"/>
          </w:tblCellMar>
          <w:tblLook w:val="01E0"/>
        </w:tblPrEx>
        <w:trPr>
          <w:trHeight w:val="241"/>
        </w:trPr>
        <w:tc>
          <w:tcPr>
            <w:tcW w:w="813" w:type="dxa"/>
            <w:vMerge/>
            <w:tcBorders>
              <w:top w:val="nil"/>
              <w:bottom w:val="single" w:sz="18" w:space="0" w:color="800000"/>
            </w:tcBorders>
          </w:tcPr>
          <w:p w:rsidR="003F5784" w14:paraId="16CD16B3" w14:textId="77777777">
            <w:pPr>
              <w:rPr>
                <w:sz w:val="2"/>
                <w:szCs w:val="2"/>
              </w:rPr>
            </w:pPr>
          </w:p>
        </w:tc>
        <w:tc>
          <w:tcPr>
            <w:tcW w:w="3547" w:type="dxa"/>
          </w:tcPr>
          <w:p w:rsidR="003F5784" w14:paraId="54EC9357" w14:textId="77777777">
            <w:pPr>
              <w:pStyle w:val="TableParagraph"/>
              <w:spacing w:before="0" w:line="222" w:lineRule="exact"/>
              <w:ind w:left="501"/>
              <w:jc w:val="left"/>
              <w:rPr>
                <w:sz w:val="21"/>
              </w:rPr>
            </w:pPr>
            <w:r>
              <w:rPr>
                <w:spacing w:val="-2"/>
                <w:sz w:val="21"/>
              </w:rPr>
              <w:t>Catholic</w:t>
            </w:r>
          </w:p>
        </w:tc>
        <w:tc>
          <w:tcPr>
            <w:tcW w:w="3627" w:type="dxa"/>
          </w:tcPr>
          <w:p w:rsidR="003F5784" w14:paraId="12DD40EF" w14:textId="77777777">
            <w:pPr>
              <w:pStyle w:val="TableParagraph"/>
              <w:spacing w:before="0" w:line="222" w:lineRule="exact"/>
              <w:ind w:right="1054"/>
              <w:rPr>
                <w:sz w:val="21"/>
              </w:rPr>
            </w:pPr>
            <w:r>
              <w:rPr>
                <w:spacing w:val="-5"/>
                <w:sz w:val="21"/>
              </w:rPr>
              <w:t>40</w:t>
            </w:r>
          </w:p>
        </w:tc>
        <w:tc>
          <w:tcPr>
            <w:tcW w:w="2613" w:type="dxa"/>
          </w:tcPr>
          <w:p w:rsidR="003F5784" w14:paraId="4D10B983" w14:textId="77777777">
            <w:pPr>
              <w:pStyle w:val="TableParagraph"/>
              <w:spacing w:before="0" w:line="222" w:lineRule="exact"/>
              <w:ind w:right="645"/>
              <w:rPr>
                <w:sz w:val="21"/>
              </w:rPr>
            </w:pPr>
            <w:r>
              <w:rPr>
                <w:spacing w:val="-5"/>
                <w:sz w:val="21"/>
              </w:rPr>
              <w:t>30</w:t>
            </w:r>
          </w:p>
        </w:tc>
        <w:tc>
          <w:tcPr>
            <w:tcW w:w="3385" w:type="dxa"/>
          </w:tcPr>
          <w:p w:rsidR="003F5784" w14:paraId="15A9A245" w14:textId="77777777">
            <w:pPr>
              <w:pStyle w:val="TableParagraph"/>
              <w:spacing w:before="0" w:line="222" w:lineRule="exact"/>
              <w:ind w:right="118"/>
              <w:rPr>
                <w:sz w:val="21"/>
              </w:rPr>
            </w:pPr>
            <w:r>
              <w:rPr>
                <w:spacing w:val="-2"/>
                <w:sz w:val="21"/>
              </w:rPr>
              <w:t>62.73</w:t>
            </w:r>
          </w:p>
        </w:tc>
      </w:tr>
      <w:tr w14:paraId="5A4DA834" w14:textId="77777777">
        <w:tblPrEx>
          <w:tblW w:w="0" w:type="auto"/>
          <w:tblInd w:w="482" w:type="dxa"/>
          <w:tblLayout w:type="fixed"/>
          <w:tblCellMar>
            <w:left w:w="0" w:type="dxa"/>
            <w:right w:w="0" w:type="dxa"/>
          </w:tblCellMar>
          <w:tblLook w:val="01E0"/>
        </w:tblPrEx>
        <w:trPr>
          <w:trHeight w:val="266"/>
        </w:trPr>
        <w:tc>
          <w:tcPr>
            <w:tcW w:w="813" w:type="dxa"/>
            <w:vMerge/>
            <w:tcBorders>
              <w:top w:val="nil"/>
              <w:bottom w:val="single" w:sz="18" w:space="0" w:color="800000"/>
            </w:tcBorders>
          </w:tcPr>
          <w:p w:rsidR="003F5784" w14:paraId="7D671BE7" w14:textId="77777777">
            <w:pPr>
              <w:rPr>
                <w:sz w:val="2"/>
                <w:szCs w:val="2"/>
              </w:rPr>
            </w:pPr>
          </w:p>
        </w:tc>
        <w:tc>
          <w:tcPr>
            <w:tcW w:w="3547" w:type="dxa"/>
            <w:tcBorders>
              <w:bottom w:val="single" w:sz="18" w:space="0" w:color="800000"/>
            </w:tcBorders>
          </w:tcPr>
          <w:p w:rsidR="003F5784" w14:paraId="77A6676C" w14:textId="77777777">
            <w:pPr>
              <w:pStyle w:val="TableParagraph"/>
              <w:spacing w:before="0" w:line="237" w:lineRule="exact"/>
              <w:ind w:left="501"/>
              <w:jc w:val="left"/>
              <w:rPr>
                <w:sz w:val="21"/>
              </w:rPr>
            </w:pPr>
            <w:r>
              <w:rPr>
                <w:spacing w:val="-2"/>
                <w:sz w:val="21"/>
              </w:rPr>
              <w:t>Non-Catholic</w:t>
            </w:r>
          </w:p>
        </w:tc>
        <w:tc>
          <w:tcPr>
            <w:tcW w:w="3627" w:type="dxa"/>
            <w:tcBorders>
              <w:bottom w:val="single" w:sz="18" w:space="0" w:color="800000"/>
            </w:tcBorders>
          </w:tcPr>
          <w:p w:rsidR="003F5784" w14:paraId="45DA99D6" w14:textId="77777777">
            <w:pPr>
              <w:pStyle w:val="TableParagraph"/>
              <w:spacing w:before="0" w:line="237" w:lineRule="exact"/>
              <w:ind w:right="1054"/>
              <w:rPr>
                <w:sz w:val="21"/>
              </w:rPr>
            </w:pPr>
            <w:r>
              <w:rPr>
                <w:spacing w:val="-5"/>
                <w:sz w:val="21"/>
              </w:rPr>
              <w:t>90</w:t>
            </w:r>
          </w:p>
        </w:tc>
        <w:tc>
          <w:tcPr>
            <w:tcW w:w="2613" w:type="dxa"/>
            <w:tcBorders>
              <w:bottom w:val="single" w:sz="18" w:space="0" w:color="800000"/>
            </w:tcBorders>
          </w:tcPr>
          <w:p w:rsidR="003F5784" w14:paraId="6E4C8D77" w14:textId="77777777">
            <w:pPr>
              <w:pStyle w:val="TableParagraph"/>
              <w:spacing w:before="0" w:line="237" w:lineRule="exact"/>
              <w:ind w:right="645"/>
              <w:rPr>
                <w:sz w:val="21"/>
              </w:rPr>
            </w:pPr>
            <w:r>
              <w:rPr>
                <w:spacing w:val="-5"/>
                <w:sz w:val="21"/>
              </w:rPr>
              <w:t>20</w:t>
            </w:r>
          </w:p>
        </w:tc>
        <w:tc>
          <w:tcPr>
            <w:tcW w:w="3385" w:type="dxa"/>
            <w:tcBorders>
              <w:bottom w:val="single" w:sz="18" w:space="0" w:color="800000"/>
            </w:tcBorders>
          </w:tcPr>
          <w:p w:rsidR="003F5784" w14:paraId="09DC0F8F" w14:textId="77777777">
            <w:pPr>
              <w:pStyle w:val="TableParagraph"/>
              <w:spacing w:before="0" w:line="237" w:lineRule="exact"/>
              <w:ind w:right="118"/>
              <w:rPr>
                <w:sz w:val="21"/>
              </w:rPr>
            </w:pPr>
            <w:r>
              <w:rPr>
                <w:spacing w:val="-2"/>
                <w:sz w:val="21"/>
              </w:rPr>
              <w:t>13.88</w:t>
            </w:r>
          </w:p>
        </w:tc>
      </w:tr>
      <w:tr w14:paraId="1A42C298" w14:textId="77777777">
        <w:tblPrEx>
          <w:tblW w:w="0" w:type="auto"/>
          <w:tblInd w:w="482" w:type="dxa"/>
          <w:tblLayout w:type="fixed"/>
          <w:tblCellMar>
            <w:left w:w="0" w:type="dxa"/>
            <w:right w:w="0" w:type="dxa"/>
          </w:tblCellMar>
          <w:tblLook w:val="01E0"/>
        </w:tblPrEx>
        <w:trPr>
          <w:trHeight w:val="204"/>
        </w:trPr>
        <w:tc>
          <w:tcPr>
            <w:tcW w:w="13985" w:type="dxa"/>
            <w:gridSpan w:val="5"/>
            <w:tcBorders>
              <w:top w:val="single" w:sz="18" w:space="0" w:color="800000"/>
            </w:tcBorders>
          </w:tcPr>
          <w:p w:rsidR="003F5784" w14:paraId="703AC920" w14:textId="77777777">
            <w:pPr>
              <w:pStyle w:val="TableParagraph"/>
              <w:spacing w:before="10" w:line="174" w:lineRule="exact"/>
              <w:ind w:left="120"/>
              <w:jc w:val="left"/>
              <w:rPr>
                <w:sz w:val="21"/>
              </w:rPr>
            </w:pPr>
            <w:r>
              <w:rPr>
                <w:position w:val="8"/>
                <w:sz w:val="17"/>
              </w:rPr>
              <w:t>1</w:t>
            </w:r>
            <w:r>
              <w:rPr>
                <w:sz w:val="21"/>
              </w:rPr>
              <w:t>Includes</w:t>
            </w:r>
            <w:r>
              <w:rPr>
                <w:spacing w:val="-11"/>
                <w:sz w:val="21"/>
              </w:rPr>
              <w:t xml:space="preserve"> </w:t>
            </w:r>
            <w:r>
              <w:rPr>
                <w:sz w:val="21"/>
              </w:rPr>
              <w:t>national</w:t>
            </w:r>
            <w:r>
              <w:rPr>
                <w:spacing w:val="-6"/>
                <w:sz w:val="21"/>
              </w:rPr>
              <w:t xml:space="preserve"> </w:t>
            </w:r>
            <w:r>
              <w:rPr>
                <w:sz w:val="21"/>
              </w:rPr>
              <w:t>public,</w:t>
            </w:r>
            <w:r>
              <w:rPr>
                <w:spacing w:val="-7"/>
                <w:sz w:val="21"/>
              </w:rPr>
              <w:t xml:space="preserve"> </w:t>
            </w:r>
            <w:r>
              <w:rPr>
                <w:sz w:val="21"/>
              </w:rPr>
              <w:t>national</w:t>
            </w:r>
            <w:r>
              <w:rPr>
                <w:spacing w:val="-7"/>
                <w:sz w:val="21"/>
              </w:rPr>
              <w:t xml:space="preserve"> </w:t>
            </w:r>
            <w:r>
              <w:rPr>
                <w:sz w:val="21"/>
              </w:rPr>
              <w:t>private,</w:t>
            </w:r>
            <w:r>
              <w:rPr>
                <w:spacing w:val="-6"/>
                <w:sz w:val="21"/>
              </w:rPr>
              <w:t xml:space="preserve"> </w:t>
            </w:r>
            <w:r>
              <w:rPr>
                <w:sz w:val="21"/>
              </w:rPr>
              <w:t>Bureau</w:t>
            </w:r>
            <w:r>
              <w:rPr>
                <w:spacing w:val="-7"/>
                <w:sz w:val="21"/>
              </w:rPr>
              <w:t xml:space="preserve"> </w:t>
            </w:r>
            <w:r>
              <w:rPr>
                <w:sz w:val="21"/>
              </w:rPr>
              <w:t>of</w:t>
            </w:r>
            <w:r>
              <w:rPr>
                <w:spacing w:val="-7"/>
                <w:sz w:val="21"/>
              </w:rPr>
              <w:t xml:space="preserve"> </w:t>
            </w:r>
            <w:r>
              <w:rPr>
                <w:sz w:val="21"/>
              </w:rPr>
              <w:t>Indian</w:t>
            </w:r>
            <w:r>
              <w:rPr>
                <w:spacing w:val="-6"/>
                <w:sz w:val="21"/>
              </w:rPr>
              <w:t xml:space="preserve"> </w:t>
            </w:r>
            <w:r>
              <w:rPr>
                <w:sz w:val="21"/>
              </w:rPr>
              <w:t>Education,</w:t>
            </w:r>
            <w:r>
              <w:rPr>
                <w:spacing w:val="-7"/>
                <w:sz w:val="21"/>
              </w:rPr>
              <w:t xml:space="preserve"> </w:t>
            </w:r>
            <w:r>
              <w:rPr>
                <w:sz w:val="21"/>
              </w:rPr>
              <w:t>and</w:t>
            </w:r>
            <w:r>
              <w:rPr>
                <w:spacing w:val="-7"/>
                <w:sz w:val="21"/>
              </w:rPr>
              <w:t xml:space="preserve"> </w:t>
            </w:r>
            <w:r>
              <w:rPr>
                <w:sz w:val="21"/>
              </w:rPr>
              <w:t>Department</w:t>
            </w:r>
            <w:r>
              <w:rPr>
                <w:spacing w:val="-6"/>
                <w:sz w:val="21"/>
              </w:rPr>
              <w:t xml:space="preserve"> </w:t>
            </w:r>
            <w:r>
              <w:rPr>
                <w:sz w:val="21"/>
              </w:rPr>
              <w:t>of</w:t>
            </w:r>
            <w:r>
              <w:rPr>
                <w:spacing w:val="-7"/>
                <w:sz w:val="21"/>
              </w:rPr>
              <w:t xml:space="preserve"> </w:t>
            </w:r>
            <w:r>
              <w:rPr>
                <w:sz w:val="21"/>
              </w:rPr>
              <w:t>Defense</w:t>
            </w:r>
            <w:r>
              <w:rPr>
                <w:spacing w:val="-7"/>
                <w:sz w:val="21"/>
              </w:rPr>
              <w:t xml:space="preserve"> </w:t>
            </w:r>
            <w:r>
              <w:rPr>
                <w:sz w:val="21"/>
              </w:rPr>
              <w:t>Education</w:t>
            </w:r>
            <w:r>
              <w:rPr>
                <w:spacing w:val="-13"/>
                <w:sz w:val="21"/>
              </w:rPr>
              <w:t xml:space="preserve"> </w:t>
            </w:r>
            <w:r>
              <w:rPr>
                <w:sz w:val="21"/>
              </w:rPr>
              <w:t>Activity</w:t>
            </w:r>
            <w:r>
              <w:rPr>
                <w:spacing w:val="-7"/>
                <w:sz w:val="21"/>
              </w:rPr>
              <w:t xml:space="preserve"> </w:t>
            </w:r>
            <w:r>
              <w:rPr>
                <w:sz w:val="21"/>
              </w:rPr>
              <w:t>schools</w:t>
            </w:r>
            <w:r>
              <w:rPr>
                <w:spacing w:val="-6"/>
                <w:sz w:val="21"/>
              </w:rPr>
              <w:t xml:space="preserve"> </w:t>
            </w:r>
            <w:r>
              <w:rPr>
                <w:sz w:val="21"/>
              </w:rPr>
              <w:t>located</w:t>
            </w:r>
            <w:r>
              <w:rPr>
                <w:spacing w:val="-7"/>
                <w:sz w:val="21"/>
              </w:rPr>
              <w:t xml:space="preserve"> </w:t>
            </w:r>
            <w:r>
              <w:rPr>
                <w:sz w:val="21"/>
              </w:rPr>
              <w:t>in</w:t>
            </w:r>
            <w:r>
              <w:rPr>
                <w:spacing w:val="-7"/>
                <w:sz w:val="21"/>
              </w:rPr>
              <w:t xml:space="preserve"> </w:t>
            </w:r>
            <w:r>
              <w:rPr>
                <w:sz w:val="21"/>
              </w:rPr>
              <w:t>the</w:t>
            </w:r>
            <w:r>
              <w:rPr>
                <w:spacing w:val="-6"/>
                <w:sz w:val="21"/>
              </w:rPr>
              <w:t xml:space="preserve"> </w:t>
            </w:r>
            <w:r>
              <w:rPr>
                <w:sz w:val="21"/>
              </w:rPr>
              <w:t>United</w:t>
            </w:r>
            <w:r>
              <w:rPr>
                <w:spacing w:val="-7"/>
                <w:sz w:val="21"/>
              </w:rPr>
              <w:t xml:space="preserve"> </w:t>
            </w:r>
            <w:r>
              <w:rPr>
                <w:spacing w:val="-2"/>
                <w:sz w:val="21"/>
              </w:rPr>
              <w:t>States.</w:t>
            </w:r>
          </w:p>
        </w:tc>
      </w:tr>
    </w:tbl>
    <w:p w:rsidR="003F5784" w14:paraId="0E2FFF56" w14:textId="77777777">
      <w:pPr>
        <w:pStyle w:val="BodyText"/>
        <w:spacing w:before="88" w:line="232" w:lineRule="auto"/>
        <w:ind w:left="595" w:right="689"/>
        <w:jc w:val="both"/>
      </w:pPr>
      <w:r>
        <w:t>NOTE:</w:t>
      </w:r>
      <w:r>
        <w:rPr>
          <w:spacing w:val="-7"/>
        </w:rPr>
        <w:t xml:space="preserve"> </w:t>
      </w:r>
      <w:r>
        <w:t>National</w:t>
      </w:r>
      <w:r>
        <w:rPr>
          <w:spacing w:val="-7"/>
        </w:rPr>
        <w:t xml:space="preserve"> </w:t>
      </w:r>
      <w:r>
        <w:t>public</w:t>
      </w:r>
      <w:r>
        <w:rPr>
          <w:spacing w:val="-7"/>
        </w:rPr>
        <w:t xml:space="preserve"> </w:t>
      </w:r>
      <w:r>
        <w:t>includes</w:t>
      </w:r>
      <w:r>
        <w:rPr>
          <w:spacing w:val="-7"/>
        </w:rPr>
        <w:t xml:space="preserve"> </w:t>
      </w:r>
      <w:r>
        <w:t>students</w:t>
      </w:r>
      <w:r>
        <w:rPr>
          <w:spacing w:val="-7"/>
        </w:rPr>
        <w:t xml:space="preserve"> </w:t>
      </w:r>
      <w:r>
        <w:t>from</w:t>
      </w:r>
      <w:r>
        <w:rPr>
          <w:spacing w:val="-7"/>
        </w:rPr>
        <w:t xml:space="preserve"> </w:t>
      </w:r>
      <w:r>
        <w:t>public</w:t>
      </w:r>
      <w:r>
        <w:rPr>
          <w:spacing w:val="-7"/>
        </w:rPr>
        <w:t xml:space="preserve"> </w:t>
      </w:r>
      <w:r>
        <w:t>schools</w:t>
      </w:r>
      <w:r>
        <w:rPr>
          <w:spacing w:val="-7"/>
        </w:rPr>
        <w:t xml:space="preserve"> </w:t>
      </w:r>
      <w:r>
        <w:t>only.</w:t>
      </w:r>
      <w:r>
        <w:rPr>
          <w:spacing w:val="-7"/>
        </w:rPr>
        <w:t xml:space="preserve"> </w:t>
      </w:r>
      <w:r>
        <w:t>It</w:t>
      </w:r>
      <w:r>
        <w:rPr>
          <w:spacing w:val="-7"/>
        </w:rPr>
        <w:t xml:space="preserve"> </w:t>
      </w:r>
      <w:r>
        <w:t>includes</w:t>
      </w:r>
      <w:r>
        <w:rPr>
          <w:spacing w:val="-7"/>
        </w:rPr>
        <w:t xml:space="preserve"> </w:t>
      </w:r>
      <w:r>
        <w:t>charter</w:t>
      </w:r>
      <w:r>
        <w:rPr>
          <w:spacing w:val="-7"/>
        </w:rPr>
        <w:t xml:space="preserve"> </w:t>
      </w:r>
      <w:r>
        <w:t>schools,</w:t>
      </w:r>
      <w:r>
        <w:rPr>
          <w:spacing w:val="-7"/>
        </w:rPr>
        <w:t xml:space="preserve"> </w:t>
      </w:r>
      <w:r>
        <w:t>but</w:t>
      </w:r>
      <w:r>
        <w:rPr>
          <w:spacing w:val="-7"/>
        </w:rPr>
        <w:t xml:space="preserve"> </w:t>
      </w:r>
      <w:r>
        <w:t>excludes</w:t>
      </w:r>
      <w:r>
        <w:rPr>
          <w:spacing w:val="-7"/>
        </w:rPr>
        <w:t xml:space="preserve"> </w:t>
      </w:r>
      <w:r>
        <w:t>Bureau</w:t>
      </w:r>
      <w:r>
        <w:rPr>
          <w:spacing w:val="-7"/>
        </w:rPr>
        <w:t xml:space="preserve"> </w:t>
      </w:r>
      <w:r>
        <w:t>of</w:t>
      </w:r>
      <w:r>
        <w:rPr>
          <w:spacing w:val="-7"/>
        </w:rPr>
        <w:t xml:space="preserve"> </w:t>
      </w:r>
      <w:r>
        <w:t>Indian</w:t>
      </w:r>
      <w:r>
        <w:rPr>
          <w:spacing w:val="-7"/>
        </w:rPr>
        <w:t xml:space="preserve"> </w:t>
      </w:r>
      <w:r>
        <w:t>Education</w:t>
      </w:r>
      <w:r>
        <w:rPr>
          <w:spacing w:val="-7"/>
        </w:rPr>
        <w:t xml:space="preserve"> </w:t>
      </w:r>
      <w:r>
        <w:t>schools</w:t>
      </w:r>
      <w:r>
        <w:rPr>
          <w:spacing w:val="-7"/>
        </w:rPr>
        <w:t xml:space="preserve"> </w:t>
      </w:r>
      <w:r>
        <w:t>and</w:t>
      </w:r>
      <w:r>
        <w:rPr>
          <w:spacing w:val="-7"/>
        </w:rPr>
        <w:t xml:space="preserve"> </w:t>
      </w:r>
      <w:r>
        <w:t>Department</w:t>
      </w:r>
      <w:r>
        <w:rPr>
          <w:spacing w:val="-7"/>
        </w:rPr>
        <w:t xml:space="preserve"> </w:t>
      </w:r>
      <w:r>
        <w:t>of Defense</w:t>
      </w:r>
      <w:r>
        <w:rPr>
          <w:spacing w:val="-7"/>
        </w:rPr>
        <w:t xml:space="preserve"> </w:t>
      </w:r>
      <w:r>
        <w:t>Education</w:t>
      </w:r>
      <w:r>
        <w:rPr>
          <w:spacing w:val="-14"/>
        </w:rPr>
        <w:t xml:space="preserve"> </w:t>
      </w:r>
      <w:r>
        <w:t>Activity</w:t>
      </w:r>
      <w:r>
        <w:rPr>
          <w:spacing w:val="-4"/>
        </w:rPr>
        <w:t xml:space="preserve"> </w:t>
      </w:r>
      <w:r>
        <w:t>schools.</w:t>
      </w:r>
      <w:r>
        <w:rPr>
          <w:spacing w:val="-5"/>
        </w:rPr>
        <w:t xml:space="preserve"> </w:t>
      </w:r>
      <w:r>
        <w:t>It</w:t>
      </w:r>
      <w:r>
        <w:rPr>
          <w:spacing w:val="-5"/>
        </w:rPr>
        <w:t xml:space="preserve"> </w:t>
      </w:r>
      <w:r>
        <w:t>is</w:t>
      </w:r>
      <w:r>
        <w:rPr>
          <w:spacing w:val="-5"/>
        </w:rPr>
        <w:t xml:space="preserve"> </w:t>
      </w:r>
      <w:r>
        <w:t>used</w:t>
      </w:r>
      <w:r>
        <w:rPr>
          <w:spacing w:val="-5"/>
        </w:rPr>
        <w:t xml:space="preserve"> </w:t>
      </w:r>
      <w:r>
        <w:t>when</w:t>
      </w:r>
      <w:r>
        <w:rPr>
          <w:spacing w:val="-5"/>
        </w:rPr>
        <w:t xml:space="preserve"> </w:t>
      </w:r>
      <w:r>
        <w:t>comparing</w:t>
      </w:r>
      <w:r>
        <w:rPr>
          <w:spacing w:val="-5"/>
        </w:rPr>
        <w:t xml:space="preserve"> </w:t>
      </w:r>
      <w:r>
        <w:t>national</w:t>
      </w:r>
      <w:r>
        <w:rPr>
          <w:spacing w:val="-5"/>
        </w:rPr>
        <w:t xml:space="preserve"> </w:t>
      </w:r>
      <w:r>
        <w:t>data</w:t>
      </w:r>
      <w:r>
        <w:rPr>
          <w:spacing w:val="-5"/>
        </w:rPr>
        <w:t xml:space="preserve"> </w:t>
      </w:r>
      <w:r>
        <w:t>to</w:t>
      </w:r>
      <w:r>
        <w:rPr>
          <w:spacing w:val="-5"/>
        </w:rPr>
        <w:t xml:space="preserve"> </w:t>
      </w:r>
      <w:r>
        <w:t>those</w:t>
      </w:r>
      <w:r>
        <w:rPr>
          <w:spacing w:val="-5"/>
        </w:rPr>
        <w:t xml:space="preserve"> </w:t>
      </w:r>
      <w:r>
        <w:t>of</w:t>
      </w:r>
      <w:r>
        <w:rPr>
          <w:spacing w:val="-5"/>
        </w:rPr>
        <w:t xml:space="preserve"> </w:t>
      </w:r>
      <w:r>
        <w:t>states,</w:t>
      </w:r>
      <w:r>
        <w:rPr>
          <w:spacing w:val="-5"/>
        </w:rPr>
        <w:t xml:space="preserve"> </w:t>
      </w:r>
      <w:r>
        <w:t>urban</w:t>
      </w:r>
      <w:r>
        <w:rPr>
          <w:spacing w:val="-5"/>
        </w:rPr>
        <w:t xml:space="preserve"> </w:t>
      </w:r>
      <w:r>
        <w:t>districts,</w:t>
      </w:r>
      <w:r>
        <w:rPr>
          <w:spacing w:val="-5"/>
        </w:rPr>
        <w:t xml:space="preserve"> </w:t>
      </w:r>
      <w:r>
        <w:t>or</w:t>
      </w:r>
      <w:r>
        <w:rPr>
          <w:spacing w:val="-5"/>
        </w:rPr>
        <w:t xml:space="preserve"> </w:t>
      </w:r>
      <w:r>
        <w:t>regions.</w:t>
      </w:r>
      <w:r>
        <w:rPr>
          <w:spacing w:val="-5"/>
        </w:rPr>
        <w:t xml:space="preserve"> </w:t>
      </w:r>
      <w:r>
        <w:t>School</w:t>
      </w:r>
      <w:r>
        <w:rPr>
          <w:spacing w:val="-5"/>
        </w:rPr>
        <w:t xml:space="preserve"> </w:t>
      </w:r>
      <w:r>
        <w:t>counts</w:t>
      </w:r>
      <w:r>
        <w:rPr>
          <w:spacing w:val="-5"/>
        </w:rPr>
        <w:t xml:space="preserve"> </w:t>
      </w:r>
      <w:r>
        <w:t>are</w:t>
      </w:r>
      <w:r>
        <w:rPr>
          <w:spacing w:val="-5"/>
        </w:rPr>
        <w:t xml:space="preserve"> </w:t>
      </w:r>
      <w:r>
        <w:t>rounded</w:t>
      </w:r>
      <w:r>
        <w:rPr>
          <w:spacing w:val="-5"/>
        </w:rPr>
        <w:t xml:space="preserve"> </w:t>
      </w:r>
      <w:r>
        <w:t>to</w:t>
      </w:r>
      <w:r>
        <w:rPr>
          <w:spacing w:val="-5"/>
        </w:rPr>
        <w:t xml:space="preserve"> </w:t>
      </w:r>
      <w:r>
        <w:t>nearest</w:t>
      </w:r>
      <w:r>
        <w:rPr>
          <w:spacing w:val="-5"/>
        </w:rPr>
        <w:t xml:space="preserve"> </w:t>
      </w:r>
      <w:r>
        <w:t>ten. Detail may not sum to totals because of rounding. Percentages are based on unrounded counts.</w:t>
      </w:r>
    </w:p>
    <w:p w:rsidR="003F5784" w14:paraId="62634FF8" w14:textId="77777777">
      <w:pPr>
        <w:pStyle w:val="BodyText"/>
        <w:spacing w:before="1" w:line="232" w:lineRule="auto"/>
        <w:ind w:left="595" w:right="866"/>
        <w:jc w:val="both"/>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16FFD31C" w14:textId="77777777">
      <w:pPr>
        <w:spacing w:line="232" w:lineRule="auto"/>
        <w:jc w:val="both"/>
        <w:sectPr>
          <w:pgSz w:w="15840" w:h="12240" w:orient="landscape"/>
          <w:pgMar w:top="480" w:right="440" w:bottom="460" w:left="460" w:header="284" w:footer="275" w:gutter="0"/>
          <w:cols w:space="720"/>
        </w:sectPr>
      </w:pPr>
    </w:p>
    <w:p w:rsidR="003F5784" w14:paraId="6F528FDE" w14:textId="77777777">
      <w:pPr>
        <w:pStyle w:val="BodyText"/>
        <w:spacing w:before="91"/>
      </w:pPr>
    </w:p>
    <w:p w:rsidR="003F5784" w14:paraId="4D66286A" w14:textId="77777777">
      <w:pPr>
        <w:pStyle w:val="BodyText"/>
        <w:ind w:left="595"/>
      </w:pPr>
      <w:r>
        <w:rPr>
          <w:spacing w:val="-5"/>
        </w:rPr>
        <w:t>Age</w:t>
      </w:r>
    </w:p>
    <w:p w:rsidR="003F5784" w14:paraId="63295295" w14:textId="77777777">
      <w:pPr>
        <w:pStyle w:val="BodyText"/>
        <w:spacing w:before="104" w:line="232" w:lineRule="auto"/>
        <w:ind w:left="595" w:right="37"/>
      </w:pPr>
      <w:r>
        <w:br w:type="column"/>
        <w:t>School</w:t>
      </w:r>
      <w:r>
        <w:rPr>
          <w:spacing w:val="-14"/>
        </w:rPr>
        <w:t xml:space="preserve"> </w:t>
      </w:r>
      <w:r>
        <w:t>type</w:t>
      </w:r>
      <w:r>
        <w:rPr>
          <w:spacing w:val="-13"/>
        </w:rPr>
        <w:t xml:space="preserve"> </w:t>
      </w:r>
      <w:r>
        <w:t>and census region</w:t>
      </w:r>
    </w:p>
    <w:p w:rsidR="003F5784" w14:paraId="4352036F" w14:textId="77777777">
      <w:pPr>
        <w:pStyle w:val="BodyText"/>
        <w:spacing w:before="104" w:line="232" w:lineRule="auto"/>
        <w:ind w:left="595" w:right="38" w:firstLine="1140"/>
      </w:pPr>
      <w:r>
        <w:br w:type="column"/>
        <w:t>Number</w:t>
      </w:r>
      <w:r>
        <w:rPr>
          <w:spacing w:val="-14"/>
        </w:rPr>
        <w:t xml:space="preserve"> </w:t>
      </w:r>
      <w:r>
        <w:t>of eligible</w:t>
      </w:r>
      <w:r>
        <w:rPr>
          <w:spacing w:val="-8"/>
        </w:rPr>
        <w:t xml:space="preserve"> </w:t>
      </w:r>
      <w:r>
        <w:t>sampled</w:t>
      </w:r>
      <w:r>
        <w:rPr>
          <w:spacing w:val="-8"/>
        </w:rPr>
        <w:t xml:space="preserve"> </w:t>
      </w:r>
      <w:r>
        <w:rPr>
          <w:spacing w:val="-2"/>
        </w:rPr>
        <w:t>schools</w:t>
      </w:r>
    </w:p>
    <w:p w:rsidR="003F5784" w14:paraId="3C5A82FB" w14:textId="77777777">
      <w:pPr>
        <w:pStyle w:val="BodyText"/>
        <w:spacing w:before="104" w:line="232" w:lineRule="auto"/>
        <w:ind w:left="595" w:right="38" w:firstLine="822"/>
      </w:pPr>
      <w:r>
        <w:br w:type="column"/>
      </w:r>
      <w:r>
        <w:rPr>
          <w:spacing w:val="-2"/>
        </w:rPr>
        <w:t>Number</w:t>
      </w:r>
      <w:r>
        <w:rPr>
          <w:spacing w:val="-12"/>
        </w:rPr>
        <w:t xml:space="preserve"> </w:t>
      </w:r>
      <w:r>
        <w:rPr>
          <w:spacing w:val="-2"/>
        </w:rPr>
        <w:t xml:space="preserve">of </w:t>
      </w:r>
      <w:r>
        <w:t>participating</w:t>
      </w:r>
      <w:r>
        <w:rPr>
          <w:spacing w:val="-12"/>
        </w:rPr>
        <w:t xml:space="preserve"> </w:t>
      </w:r>
      <w:r>
        <w:rPr>
          <w:spacing w:val="-2"/>
        </w:rPr>
        <w:t>schools</w:t>
      </w:r>
    </w:p>
    <w:p w:rsidR="003F5784" w14:paraId="775F9FDC" w14:textId="77777777">
      <w:pPr>
        <w:pStyle w:val="BodyText"/>
        <w:spacing w:before="104" w:line="232" w:lineRule="auto"/>
        <w:ind w:left="763" w:right="598" w:hanging="169"/>
      </w:pPr>
      <w:r>
        <w:br w:type="column"/>
      </w:r>
      <w:r>
        <w:rPr>
          <w:spacing w:val="-2"/>
        </w:rPr>
        <w:t>Weighted</w:t>
      </w:r>
      <w:r>
        <w:rPr>
          <w:spacing w:val="-6"/>
        </w:rPr>
        <w:t xml:space="preserve"> </w:t>
      </w:r>
      <w:r>
        <w:rPr>
          <w:spacing w:val="-2"/>
        </w:rPr>
        <w:t>school</w:t>
      </w:r>
      <w:r>
        <w:rPr>
          <w:spacing w:val="-6"/>
        </w:rPr>
        <w:t xml:space="preserve"> </w:t>
      </w:r>
      <w:r>
        <w:rPr>
          <w:spacing w:val="-2"/>
        </w:rPr>
        <w:t>response</w:t>
      </w:r>
      <w:r>
        <w:rPr>
          <w:spacing w:val="-6"/>
        </w:rPr>
        <w:t xml:space="preserve"> </w:t>
      </w:r>
      <w:r>
        <w:rPr>
          <w:spacing w:val="-2"/>
        </w:rPr>
        <w:t xml:space="preserve">rates </w:t>
      </w:r>
      <w:r>
        <w:t>prior</w:t>
      </w:r>
      <w:r>
        <w:rPr>
          <w:spacing w:val="-7"/>
        </w:rPr>
        <w:t xml:space="preserve"> </w:t>
      </w:r>
      <w:r>
        <w:t>to</w:t>
      </w:r>
      <w:r>
        <w:rPr>
          <w:spacing w:val="-6"/>
        </w:rPr>
        <w:t xml:space="preserve"> </w:t>
      </w:r>
      <w:r>
        <w:t>substitution</w:t>
      </w:r>
      <w:r>
        <w:rPr>
          <w:spacing w:val="-6"/>
        </w:rPr>
        <w:t xml:space="preserve"> </w:t>
      </w:r>
      <w:r>
        <w:rPr>
          <w:spacing w:val="-2"/>
        </w:rPr>
        <w:t>(percent)</w:t>
      </w:r>
    </w:p>
    <w:p w:rsidR="003F5784" w14:paraId="2A84C278" w14:textId="77777777">
      <w:pPr>
        <w:spacing w:line="232" w:lineRule="auto"/>
        <w:sectPr>
          <w:pgSz w:w="15840" w:h="12240" w:orient="landscape"/>
          <w:pgMar w:top="480" w:right="440" w:bottom="460" w:left="460" w:header="284" w:footer="275" w:gutter="0"/>
          <w:cols w:num="5" w:space="720" w:equalWidth="0">
            <w:col w:w="983" w:space="55"/>
            <w:col w:w="1979" w:space="1743"/>
            <w:col w:w="2686" w:space="655"/>
            <w:col w:w="2367" w:space="658"/>
            <w:col w:w="3814"/>
          </w:cols>
        </w:sectPr>
      </w:pPr>
    </w:p>
    <w:tbl>
      <w:tblPr>
        <w:tblW w:w="0" w:type="auto"/>
        <w:tblInd w:w="482" w:type="dxa"/>
        <w:tblLayout w:type="fixed"/>
        <w:tblCellMar>
          <w:left w:w="0" w:type="dxa"/>
          <w:right w:w="0" w:type="dxa"/>
        </w:tblCellMar>
        <w:tblLook w:val="01E0"/>
      </w:tblPr>
      <w:tblGrid>
        <w:gridCol w:w="744"/>
        <w:gridCol w:w="3915"/>
        <w:gridCol w:w="3627"/>
        <w:gridCol w:w="3389"/>
        <w:gridCol w:w="2310"/>
      </w:tblGrid>
      <w:tr w14:paraId="48CB206A" w14:textId="77777777">
        <w:tblPrEx>
          <w:tblW w:w="0" w:type="auto"/>
          <w:tblInd w:w="482" w:type="dxa"/>
          <w:tblLayout w:type="fixed"/>
          <w:tblCellMar>
            <w:left w:w="0" w:type="dxa"/>
            <w:right w:w="0" w:type="dxa"/>
          </w:tblCellMar>
          <w:tblLook w:val="01E0"/>
        </w:tblPrEx>
        <w:trPr>
          <w:trHeight w:val="285"/>
        </w:trPr>
        <w:tc>
          <w:tcPr>
            <w:tcW w:w="744" w:type="dxa"/>
            <w:vMerge w:val="restart"/>
            <w:tcBorders>
              <w:top w:val="single" w:sz="36" w:space="0" w:color="800000"/>
              <w:bottom w:val="single" w:sz="18" w:space="0" w:color="800000"/>
            </w:tcBorders>
          </w:tcPr>
          <w:p w:rsidR="003F5784" w14:paraId="42253FB3" w14:textId="77777777">
            <w:pPr>
              <w:pStyle w:val="TableParagraph"/>
              <w:spacing w:before="0" w:line="228" w:lineRule="exact"/>
              <w:ind w:left="120"/>
              <w:jc w:val="left"/>
              <w:rPr>
                <w:sz w:val="21"/>
              </w:rPr>
            </w:pPr>
            <w:r>
              <w:rPr>
                <w:spacing w:val="-5"/>
                <w:sz w:val="21"/>
              </w:rPr>
              <w:t>13</w:t>
            </w:r>
          </w:p>
        </w:tc>
        <w:tc>
          <w:tcPr>
            <w:tcW w:w="3915" w:type="dxa"/>
            <w:tcBorders>
              <w:top w:val="single" w:sz="36" w:space="0" w:color="800000"/>
            </w:tcBorders>
          </w:tcPr>
          <w:p w:rsidR="003F5784" w14:paraId="2A098228" w14:textId="77777777">
            <w:pPr>
              <w:pStyle w:val="TableParagraph"/>
              <w:spacing w:before="0" w:line="266" w:lineRule="exact"/>
              <w:ind w:right="1968"/>
              <w:rPr>
                <w:b/>
                <w:sz w:val="17"/>
              </w:rPr>
            </w:pPr>
            <w:r>
              <w:rPr>
                <w:b/>
                <w:sz w:val="21"/>
              </w:rPr>
              <w:t>National</w:t>
            </w:r>
            <w:r>
              <w:rPr>
                <w:b/>
                <w:spacing w:val="-9"/>
                <w:sz w:val="21"/>
              </w:rPr>
              <w:t xml:space="preserve"> </w:t>
            </w:r>
            <w:r>
              <w:rPr>
                <w:b/>
                <w:spacing w:val="-4"/>
                <w:sz w:val="21"/>
              </w:rPr>
              <w:t>all</w:t>
            </w:r>
            <w:r>
              <w:rPr>
                <w:b/>
                <w:spacing w:val="-4"/>
                <w:position w:val="8"/>
                <w:sz w:val="17"/>
              </w:rPr>
              <w:t>1</w:t>
            </w:r>
          </w:p>
        </w:tc>
        <w:tc>
          <w:tcPr>
            <w:tcW w:w="3627" w:type="dxa"/>
            <w:tcBorders>
              <w:top w:val="single" w:sz="36" w:space="0" w:color="800000"/>
            </w:tcBorders>
          </w:tcPr>
          <w:p w:rsidR="003F5784" w14:paraId="49D300FD" w14:textId="77777777">
            <w:pPr>
              <w:pStyle w:val="TableParagraph"/>
              <w:spacing w:before="0" w:line="228" w:lineRule="exact"/>
              <w:ind w:right="1353"/>
              <w:rPr>
                <w:b/>
                <w:sz w:val="21"/>
              </w:rPr>
            </w:pPr>
            <w:r>
              <w:rPr>
                <w:b/>
                <w:spacing w:val="-5"/>
                <w:sz w:val="21"/>
              </w:rPr>
              <w:t>580</w:t>
            </w:r>
          </w:p>
        </w:tc>
        <w:tc>
          <w:tcPr>
            <w:tcW w:w="3389" w:type="dxa"/>
            <w:tcBorders>
              <w:top w:val="single" w:sz="36" w:space="0" w:color="800000"/>
            </w:tcBorders>
          </w:tcPr>
          <w:p w:rsidR="003F5784" w14:paraId="3ED9B630" w14:textId="77777777">
            <w:pPr>
              <w:pStyle w:val="TableParagraph"/>
              <w:spacing w:before="0" w:line="228" w:lineRule="exact"/>
              <w:ind w:left="1353"/>
              <w:jc w:val="left"/>
              <w:rPr>
                <w:b/>
                <w:sz w:val="21"/>
              </w:rPr>
            </w:pPr>
            <w:r>
              <w:rPr>
                <w:b/>
                <w:spacing w:val="-5"/>
                <w:sz w:val="21"/>
              </w:rPr>
              <w:t>460</w:t>
            </w:r>
          </w:p>
        </w:tc>
        <w:tc>
          <w:tcPr>
            <w:tcW w:w="2310" w:type="dxa"/>
            <w:tcBorders>
              <w:top w:val="single" w:sz="36" w:space="0" w:color="800000"/>
            </w:tcBorders>
          </w:tcPr>
          <w:p w:rsidR="003F5784" w14:paraId="412F25D4" w14:textId="77777777">
            <w:pPr>
              <w:pStyle w:val="TableParagraph"/>
              <w:spacing w:before="0" w:line="228" w:lineRule="exact"/>
              <w:ind w:right="118"/>
              <w:rPr>
                <w:b/>
                <w:sz w:val="21"/>
              </w:rPr>
            </w:pPr>
            <w:r>
              <w:rPr>
                <w:b/>
                <w:spacing w:val="-2"/>
                <w:sz w:val="21"/>
              </w:rPr>
              <w:t>85.98</w:t>
            </w:r>
          </w:p>
        </w:tc>
      </w:tr>
      <w:tr w14:paraId="463A66D8" w14:textId="77777777">
        <w:tblPrEx>
          <w:tblW w:w="0" w:type="auto"/>
          <w:tblInd w:w="482" w:type="dxa"/>
          <w:tblLayout w:type="fixed"/>
          <w:tblCellMar>
            <w:left w:w="0" w:type="dxa"/>
            <w:right w:w="0" w:type="dxa"/>
          </w:tblCellMar>
          <w:tblLook w:val="01E0"/>
        </w:tblPrEx>
        <w:trPr>
          <w:trHeight w:val="241"/>
        </w:trPr>
        <w:tc>
          <w:tcPr>
            <w:tcW w:w="744" w:type="dxa"/>
            <w:vMerge/>
            <w:tcBorders>
              <w:top w:val="nil"/>
              <w:bottom w:val="single" w:sz="18" w:space="0" w:color="800000"/>
            </w:tcBorders>
          </w:tcPr>
          <w:p w:rsidR="003F5784" w14:paraId="33A759A7" w14:textId="77777777">
            <w:pPr>
              <w:rPr>
                <w:sz w:val="2"/>
                <w:szCs w:val="2"/>
              </w:rPr>
            </w:pPr>
          </w:p>
        </w:tc>
        <w:tc>
          <w:tcPr>
            <w:tcW w:w="3915" w:type="dxa"/>
          </w:tcPr>
          <w:p w:rsidR="003F5784" w14:paraId="362718A9" w14:textId="77777777">
            <w:pPr>
              <w:pStyle w:val="TableParagraph"/>
              <w:spacing w:before="0" w:line="222" w:lineRule="exact"/>
              <w:ind w:left="414"/>
              <w:jc w:val="left"/>
              <w:rPr>
                <w:sz w:val="21"/>
              </w:rPr>
            </w:pPr>
            <w:r>
              <w:rPr>
                <w:sz w:val="21"/>
              </w:rPr>
              <w:t>National</w:t>
            </w:r>
            <w:r>
              <w:rPr>
                <w:spacing w:val="-9"/>
                <w:sz w:val="21"/>
              </w:rPr>
              <w:t xml:space="preserve"> </w:t>
            </w:r>
            <w:r>
              <w:rPr>
                <w:spacing w:val="-2"/>
                <w:sz w:val="21"/>
              </w:rPr>
              <w:t>public</w:t>
            </w:r>
          </w:p>
        </w:tc>
        <w:tc>
          <w:tcPr>
            <w:tcW w:w="3627" w:type="dxa"/>
          </w:tcPr>
          <w:p w:rsidR="003F5784" w14:paraId="14E9DFB1" w14:textId="77777777">
            <w:pPr>
              <w:pStyle w:val="TableParagraph"/>
              <w:spacing w:before="0" w:line="222" w:lineRule="exact"/>
              <w:ind w:right="1353"/>
              <w:rPr>
                <w:sz w:val="21"/>
              </w:rPr>
            </w:pPr>
            <w:r>
              <w:rPr>
                <w:spacing w:val="-5"/>
                <w:sz w:val="21"/>
              </w:rPr>
              <w:t>440</w:t>
            </w:r>
          </w:p>
        </w:tc>
        <w:tc>
          <w:tcPr>
            <w:tcW w:w="3389" w:type="dxa"/>
          </w:tcPr>
          <w:p w:rsidR="003F5784" w14:paraId="6B374A09" w14:textId="77777777">
            <w:pPr>
              <w:pStyle w:val="TableParagraph"/>
              <w:spacing w:before="0" w:line="222" w:lineRule="exact"/>
              <w:ind w:left="1353"/>
              <w:jc w:val="left"/>
              <w:rPr>
                <w:sz w:val="21"/>
              </w:rPr>
            </w:pPr>
            <w:r>
              <w:rPr>
                <w:spacing w:val="-5"/>
                <w:sz w:val="21"/>
              </w:rPr>
              <w:t>400</w:t>
            </w:r>
          </w:p>
        </w:tc>
        <w:tc>
          <w:tcPr>
            <w:tcW w:w="2310" w:type="dxa"/>
          </w:tcPr>
          <w:p w:rsidR="003F5784" w14:paraId="43203913" w14:textId="77777777">
            <w:pPr>
              <w:pStyle w:val="TableParagraph"/>
              <w:spacing w:before="0" w:line="222" w:lineRule="exact"/>
              <w:ind w:right="118"/>
              <w:rPr>
                <w:sz w:val="21"/>
              </w:rPr>
            </w:pPr>
            <w:r>
              <w:rPr>
                <w:spacing w:val="-2"/>
                <w:sz w:val="21"/>
              </w:rPr>
              <w:t>89.81</w:t>
            </w:r>
          </w:p>
        </w:tc>
      </w:tr>
      <w:tr w14:paraId="048E87F3" w14:textId="77777777">
        <w:tblPrEx>
          <w:tblW w:w="0" w:type="auto"/>
          <w:tblInd w:w="482" w:type="dxa"/>
          <w:tblLayout w:type="fixed"/>
          <w:tblCellMar>
            <w:left w:w="0" w:type="dxa"/>
            <w:right w:w="0" w:type="dxa"/>
          </w:tblCellMar>
          <w:tblLook w:val="01E0"/>
        </w:tblPrEx>
        <w:trPr>
          <w:trHeight w:val="241"/>
        </w:trPr>
        <w:tc>
          <w:tcPr>
            <w:tcW w:w="744" w:type="dxa"/>
            <w:vMerge/>
            <w:tcBorders>
              <w:top w:val="nil"/>
              <w:bottom w:val="single" w:sz="18" w:space="0" w:color="800000"/>
            </w:tcBorders>
          </w:tcPr>
          <w:p w:rsidR="003F5784" w14:paraId="4988373F" w14:textId="77777777">
            <w:pPr>
              <w:rPr>
                <w:sz w:val="2"/>
                <w:szCs w:val="2"/>
              </w:rPr>
            </w:pPr>
          </w:p>
        </w:tc>
        <w:tc>
          <w:tcPr>
            <w:tcW w:w="3915" w:type="dxa"/>
          </w:tcPr>
          <w:p w:rsidR="003F5784" w14:paraId="09BC505F" w14:textId="77777777">
            <w:pPr>
              <w:pStyle w:val="TableParagraph"/>
              <w:spacing w:before="0" w:line="222" w:lineRule="exact"/>
              <w:ind w:right="1958"/>
              <w:rPr>
                <w:sz w:val="21"/>
              </w:rPr>
            </w:pPr>
            <w:r>
              <w:rPr>
                <w:sz w:val="21"/>
              </w:rPr>
              <w:t>Northeast</w:t>
            </w:r>
            <w:r>
              <w:rPr>
                <w:spacing w:val="-10"/>
                <w:sz w:val="21"/>
              </w:rPr>
              <w:t xml:space="preserve"> </w:t>
            </w:r>
            <w:r>
              <w:rPr>
                <w:spacing w:val="-2"/>
                <w:sz w:val="21"/>
              </w:rPr>
              <w:t>public</w:t>
            </w:r>
          </w:p>
        </w:tc>
        <w:tc>
          <w:tcPr>
            <w:tcW w:w="3627" w:type="dxa"/>
          </w:tcPr>
          <w:p w:rsidR="003F5784" w14:paraId="1863EFE1" w14:textId="77777777">
            <w:pPr>
              <w:pStyle w:val="TableParagraph"/>
              <w:spacing w:before="0" w:line="222" w:lineRule="exact"/>
              <w:ind w:right="1353"/>
              <w:rPr>
                <w:sz w:val="21"/>
              </w:rPr>
            </w:pPr>
            <w:r>
              <w:rPr>
                <w:spacing w:val="-5"/>
                <w:sz w:val="21"/>
              </w:rPr>
              <w:t>60</w:t>
            </w:r>
          </w:p>
        </w:tc>
        <w:tc>
          <w:tcPr>
            <w:tcW w:w="3389" w:type="dxa"/>
          </w:tcPr>
          <w:p w:rsidR="003F5784" w14:paraId="4CF65A63" w14:textId="77777777">
            <w:pPr>
              <w:pStyle w:val="TableParagraph"/>
              <w:spacing w:before="0" w:line="222" w:lineRule="exact"/>
              <w:ind w:left="1458"/>
              <w:jc w:val="left"/>
              <w:rPr>
                <w:sz w:val="21"/>
              </w:rPr>
            </w:pPr>
            <w:r>
              <w:rPr>
                <w:spacing w:val="-5"/>
                <w:sz w:val="21"/>
              </w:rPr>
              <w:t>50</w:t>
            </w:r>
          </w:p>
        </w:tc>
        <w:tc>
          <w:tcPr>
            <w:tcW w:w="2310" w:type="dxa"/>
          </w:tcPr>
          <w:p w:rsidR="003F5784" w14:paraId="21F66507" w14:textId="77777777">
            <w:pPr>
              <w:pStyle w:val="TableParagraph"/>
              <w:spacing w:before="0" w:line="222" w:lineRule="exact"/>
              <w:ind w:right="118"/>
              <w:rPr>
                <w:sz w:val="21"/>
              </w:rPr>
            </w:pPr>
            <w:r>
              <w:rPr>
                <w:spacing w:val="-2"/>
                <w:sz w:val="21"/>
              </w:rPr>
              <w:t>86.80</w:t>
            </w:r>
          </w:p>
        </w:tc>
      </w:tr>
      <w:tr w14:paraId="2F432134" w14:textId="77777777">
        <w:tblPrEx>
          <w:tblW w:w="0" w:type="auto"/>
          <w:tblInd w:w="482" w:type="dxa"/>
          <w:tblLayout w:type="fixed"/>
          <w:tblCellMar>
            <w:left w:w="0" w:type="dxa"/>
            <w:right w:w="0" w:type="dxa"/>
          </w:tblCellMar>
          <w:tblLook w:val="01E0"/>
        </w:tblPrEx>
        <w:trPr>
          <w:trHeight w:val="241"/>
        </w:trPr>
        <w:tc>
          <w:tcPr>
            <w:tcW w:w="744" w:type="dxa"/>
            <w:vMerge/>
            <w:tcBorders>
              <w:top w:val="nil"/>
              <w:bottom w:val="single" w:sz="18" w:space="0" w:color="800000"/>
            </w:tcBorders>
          </w:tcPr>
          <w:p w:rsidR="003F5784" w14:paraId="6B0236EA" w14:textId="77777777">
            <w:pPr>
              <w:rPr>
                <w:sz w:val="2"/>
                <w:szCs w:val="2"/>
              </w:rPr>
            </w:pPr>
          </w:p>
        </w:tc>
        <w:tc>
          <w:tcPr>
            <w:tcW w:w="3915" w:type="dxa"/>
          </w:tcPr>
          <w:p w:rsidR="003F5784" w14:paraId="4F018D58" w14:textId="77777777">
            <w:pPr>
              <w:pStyle w:val="TableParagraph"/>
              <w:spacing w:before="0" w:line="222" w:lineRule="exact"/>
              <w:ind w:left="570"/>
              <w:jc w:val="left"/>
              <w:rPr>
                <w:sz w:val="21"/>
              </w:rPr>
            </w:pPr>
            <w:r>
              <w:rPr>
                <w:sz w:val="21"/>
              </w:rPr>
              <w:t>Midwest</w:t>
            </w:r>
            <w:r>
              <w:rPr>
                <w:spacing w:val="-9"/>
                <w:sz w:val="21"/>
              </w:rPr>
              <w:t xml:space="preserve"> </w:t>
            </w:r>
            <w:r>
              <w:rPr>
                <w:spacing w:val="-2"/>
                <w:sz w:val="21"/>
              </w:rPr>
              <w:t>public</w:t>
            </w:r>
          </w:p>
        </w:tc>
        <w:tc>
          <w:tcPr>
            <w:tcW w:w="3627" w:type="dxa"/>
          </w:tcPr>
          <w:p w:rsidR="003F5784" w14:paraId="099836D3" w14:textId="77777777">
            <w:pPr>
              <w:pStyle w:val="TableParagraph"/>
              <w:spacing w:before="0" w:line="222" w:lineRule="exact"/>
              <w:ind w:right="1353"/>
              <w:rPr>
                <w:sz w:val="21"/>
              </w:rPr>
            </w:pPr>
            <w:r>
              <w:rPr>
                <w:spacing w:val="-5"/>
                <w:sz w:val="21"/>
              </w:rPr>
              <w:t>80</w:t>
            </w:r>
          </w:p>
        </w:tc>
        <w:tc>
          <w:tcPr>
            <w:tcW w:w="3389" w:type="dxa"/>
          </w:tcPr>
          <w:p w:rsidR="003F5784" w14:paraId="2F7BE591" w14:textId="77777777">
            <w:pPr>
              <w:pStyle w:val="TableParagraph"/>
              <w:spacing w:before="0" w:line="222" w:lineRule="exact"/>
              <w:ind w:left="1458"/>
              <w:jc w:val="left"/>
              <w:rPr>
                <w:sz w:val="21"/>
              </w:rPr>
            </w:pPr>
            <w:r>
              <w:rPr>
                <w:spacing w:val="-5"/>
                <w:sz w:val="21"/>
              </w:rPr>
              <w:t>70</w:t>
            </w:r>
          </w:p>
        </w:tc>
        <w:tc>
          <w:tcPr>
            <w:tcW w:w="2310" w:type="dxa"/>
          </w:tcPr>
          <w:p w:rsidR="003F5784" w14:paraId="3F22A5E5" w14:textId="77777777">
            <w:pPr>
              <w:pStyle w:val="TableParagraph"/>
              <w:spacing w:before="0" w:line="222" w:lineRule="exact"/>
              <w:ind w:right="118"/>
              <w:rPr>
                <w:sz w:val="21"/>
              </w:rPr>
            </w:pPr>
            <w:r>
              <w:rPr>
                <w:spacing w:val="-2"/>
                <w:sz w:val="21"/>
              </w:rPr>
              <w:t>88.08</w:t>
            </w:r>
          </w:p>
        </w:tc>
      </w:tr>
      <w:tr w14:paraId="6CE70FAF" w14:textId="77777777">
        <w:tblPrEx>
          <w:tblW w:w="0" w:type="auto"/>
          <w:tblInd w:w="482" w:type="dxa"/>
          <w:tblLayout w:type="fixed"/>
          <w:tblCellMar>
            <w:left w:w="0" w:type="dxa"/>
            <w:right w:w="0" w:type="dxa"/>
          </w:tblCellMar>
          <w:tblLook w:val="01E0"/>
        </w:tblPrEx>
        <w:trPr>
          <w:trHeight w:val="241"/>
        </w:trPr>
        <w:tc>
          <w:tcPr>
            <w:tcW w:w="744" w:type="dxa"/>
            <w:vMerge/>
            <w:tcBorders>
              <w:top w:val="nil"/>
              <w:bottom w:val="single" w:sz="18" w:space="0" w:color="800000"/>
            </w:tcBorders>
          </w:tcPr>
          <w:p w:rsidR="003F5784" w14:paraId="3D5D87A8" w14:textId="77777777">
            <w:pPr>
              <w:rPr>
                <w:sz w:val="2"/>
                <w:szCs w:val="2"/>
              </w:rPr>
            </w:pPr>
          </w:p>
        </w:tc>
        <w:tc>
          <w:tcPr>
            <w:tcW w:w="3915" w:type="dxa"/>
          </w:tcPr>
          <w:p w:rsidR="003F5784" w14:paraId="482A019C" w14:textId="77777777">
            <w:pPr>
              <w:pStyle w:val="TableParagraph"/>
              <w:spacing w:before="0" w:line="222" w:lineRule="exact"/>
              <w:ind w:left="570"/>
              <w:jc w:val="left"/>
              <w:rPr>
                <w:sz w:val="21"/>
              </w:rPr>
            </w:pPr>
            <w:r>
              <w:rPr>
                <w:sz w:val="21"/>
              </w:rPr>
              <w:t>South</w:t>
            </w:r>
            <w:r>
              <w:rPr>
                <w:spacing w:val="-6"/>
                <w:sz w:val="21"/>
              </w:rPr>
              <w:t xml:space="preserve"> </w:t>
            </w:r>
            <w:r>
              <w:rPr>
                <w:spacing w:val="-2"/>
                <w:sz w:val="21"/>
              </w:rPr>
              <w:t>public</w:t>
            </w:r>
          </w:p>
        </w:tc>
        <w:tc>
          <w:tcPr>
            <w:tcW w:w="3627" w:type="dxa"/>
          </w:tcPr>
          <w:p w:rsidR="003F5784" w14:paraId="0E8CA5C0" w14:textId="77777777">
            <w:pPr>
              <w:pStyle w:val="TableParagraph"/>
              <w:spacing w:before="0" w:line="222" w:lineRule="exact"/>
              <w:ind w:right="1353"/>
              <w:rPr>
                <w:sz w:val="21"/>
              </w:rPr>
            </w:pPr>
            <w:r>
              <w:rPr>
                <w:spacing w:val="-5"/>
                <w:sz w:val="21"/>
              </w:rPr>
              <w:t>190</w:t>
            </w:r>
          </w:p>
        </w:tc>
        <w:tc>
          <w:tcPr>
            <w:tcW w:w="3389" w:type="dxa"/>
          </w:tcPr>
          <w:p w:rsidR="003F5784" w14:paraId="44BF75B1" w14:textId="77777777">
            <w:pPr>
              <w:pStyle w:val="TableParagraph"/>
              <w:spacing w:before="0" w:line="222" w:lineRule="exact"/>
              <w:ind w:left="1353"/>
              <w:jc w:val="left"/>
              <w:rPr>
                <w:sz w:val="21"/>
              </w:rPr>
            </w:pPr>
            <w:r>
              <w:rPr>
                <w:spacing w:val="-5"/>
                <w:sz w:val="21"/>
              </w:rPr>
              <w:t>180</w:t>
            </w:r>
          </w:p>
        </w:tc>
        <w:tc>
          <w:tcPr>
            <w:tcW w:w="2310" w:type="dxa"/>
          </w:tcPr>
          <w:p w:rsidR="003F5784" w14:paraId="0012D0F6" w14:textId="77777777">
            <w:pPr>
              <w:pStyle w:val="TableParagraph"/>
              <w:spacing w:before="0" w:line="222" w:lineRule="exact"/>
              <w:ind w:right="118"/>
              <w:rPr>
                <w:sz w:val="21"/>
              </w:rPr>
            </w:pPr>
            <w:r>
              <w:rPr>
                <w:spacing w:val="-2"/>
                <w:sz w:val="21"/>
              </w:rPr>
              <w:t>90.99</w:t>
            </w:r>
          </w:p>
        </w:tc>
      </w:tr>
      <w:tr w14:paraId="70031EB2" w14:textId="77777777">
        <w:tblPrEx>
          <w:tblW w:w="0" w:type="auto"/>
          <w:tblInd w:w="482" w:type="dxa"/>
          <w:tblLayout w:type="fixed"/>
          <w:tblCellMar>
            <w:left w:w="0" w:type="dxa"/>
            <w:right w:w="0" w:type="dxa"/>
          </w:tblCellMar>
          <w:tblLook w:val="01E0"/>
        </w:tblPrEx>
        <w:trPr>
          <w:trHeight w:val="241"/>
        </w:trPr>
        <w:tc>
          <w:tcPr>
            <w:tcW w:w="744" w:type="dxa"/>
            <w:vMerge/>
            <w:tcBorders>
              <w:top w:val="nil"/>
              <w:bottom w:val="single" w:sz="18" w:space="0" w:color="800000"/>
            </w:tcBorders>
          </w:tcPr>
          <w:p w:rsidR="003F5784" w14:paraId="77518DC1" w14:textId="77777777">
            <w:pPr>
              <w:rPr>
                <w:sz w:val="2"/>
                <w:szCs w:val="2"/>
              </w:rPr>
            </w:pPr>
          </w:p>
        </w:tc>
        <w:tc>
          <w:tcPr>
            <w:tcW w:w="3915" w:type="dxa"/>
          </w:tcPr>
          <w:p w:rsidR="003F5784" w14:paraId="0EB82339" w14:textId="77777777">
            <w:pPr>
              <w:pStyle w:val="TableParagraph"/>
              <w:spacing w:before="0" w:line="222" w:lineRule="exact"/>
              <w:ind w:left="566"/>
              <w:jc w:val="left"/>
              <w:rPr>
                <w:sz w:val="21"/>
              </w:rPr>
            </w:pPr>
            <w:r>
              <w:rPr>
                <w:spacing w:val="-4"/>
                <w:sz w:val="21"/>
              </w:rPr>
              <w:t>West</w:t>
            </w:r>
            <w:r>
              <w:rPr>
                <w:spacing w:val="-7"/>
                <w:sz w:val="21"/>
              </w:rPr>
              <w:t xml:space="preserve"> </w:t>
            </w:r>
            <w:r>
              <w:rPr>
                <w:spacing w:val="-2"/>
                <w:sz w:val="21"/>
              </w:rPr>
              <w:t>public</w:t>
            </w:r>
          </w:p>
        </w:tc>
        <w:tc>
          <w:tcPr>
            <w:tcW w:w="3627" w:type="dxa"/>
          </w:tcPr>
          <w:p w:rsidR="003F5784" w14:paraId="492BE9CB" w14:textId="77777777">
            <w:pPr>
              <w:pStyle w:val="TableParagraph"/>
              <w:spacing w:before="0" w:line="222" w:lineRule="exact"/>
              <w:ind w:right="1353"/>
              <w:rPr>
                <w:sz w:val="21"/>
              </w:rPr>
            </w:pPr>
            <w:r>
              <w:rPr>
                <w:spacing w:val="-5"/>
                <w:sz w:val="21"/>
              </w:rPr>
              <w:t>110</w:t>
            </w:r>
          </w:p>
        </w:tc>
        <w:tc>
          <w:tcPr>
            <w:tcW w:w="3389" w:type="dxa"/>
          </w:tcPr>
          <w:p w:rsidR="003F5784" w14:paraId="34B4F168" w14:textId="77777777">
            <w:pPr>
              <w:pStyle w:val="TableParagraph"/>
              <w:spacing w:before="0" w:line="222" w:lineRule="exact"/>
              <w:ind w:left="1353"/>
              <w:jc w:val="left"/>
              <w:rPr>
                <w:sz w:val="21"/>
              </w:rPr>
            </w:pPr>
            <w:r>
              <w:rPr>
                <w:spacing w:val="-5"/>
                <w:sz w:val="21"/>
              </w:rPr>
              <w:t>100</w:t>
            </w:r>
          </w:p>
        </w:tc>
        <w:tc>
          <w:tcPr>
            <w:tcW w:w="2310" w:type="dxa"/>
          </w:tcPr>
          <w:p w:rsidR="003F5784" w14:paraId="1C9DE266" w14:textId="77777777">
            <w:pPr>
              <w:pStyle w:val="TableParagraph"/>
              <w:spacing w:before="0" w:line="222" w:lineRule="exact"/>
              <w:ind w:right="118"/>
              <w:rPr>
                <w:sz w:val="21"/>
              </w:rPr>
            </w:pPr>
            <w:r>
              <w:rPr>
                <w:spacing w:val="-2"/>
                <w:sz w:val="21"/>
              </w:rPr>
              <w:t>91.15</w:t>
            </w:r>
          </w:p>
        </w:tc>
      </w:tr>
      <w:tr w14:paraId="7E1A3782" w14:textId="77777777">
        <w:tblPrEx>
          <w:tblW w:w="0" w:type="auto"/>
          <w:tblInd w:w="482" w:type="dxa"/>
          <w:tblLayout w:type="fixed"/>
          <w:tblCellMar>
            <w:left w:w="0" w:type="dxa"/>
            <w:right w:w="0" w:type="dxa"/>
          </w:tblCellMar>
          <w:tblLook w:val="01E0"/>
        </w:tblPrEx>
        <w:trPr>
          <w:trHeight w:val="241"/>
        </w:trPr>
        <w:tc>
          <w:tcPr>
            <w:tcW w:w="744" w:type="dxa"/>
            <w:vMerge/>
            <w:tcBorders>
              <w:top w:val="nil"/>
              <w:bottom w:val="single" w:sz="18" w:space="0" w:color="800000"/>
            </w:tcBorders>
          </w:tcPr>
          <w:p w:rsidR="003F5784" w14:paraId="42BD82FB" w14:textId="77777777">
            <w:pPr>
              <w:rPr>
                <w:sz w:val="2"/>
                <w:szCs w:val="2"/>
              </w:rPr>
            </w:pPr>
          </w:p>
        </w:tc>
        <w:tc>
          <w:tcPr>
            <w:tcW w:w="3915" w:type="dxa"/>
          </w:tcPr>
          <w:p w:rsidR="003F5784" w14:paraId="7B56BBCF" w14:textId="77777777">
            <w:pPr>
              <w:pStyle w:val="TableParagraph"/>
              <w:spacing w:before="0" w:line="222" w:lineRule="exact"/>
              <w:ind w:left="414"/>
              <w:jc w:val="left"/>
              <w:rPr>
                <w:sz w:val="21"/>
              </w:rPr>
            </w:pPr>
            <w:r>
              <w:rPr>
                <w:sz w:val="21"/>
              </w:rPr>
              <w:t>National</w:t>
            </w:r>
            <w:r>
              <w:rPr>
                <w:spacing w:val="-9"/>
                <w:sz w:val="21"/>
              </w:rPr>
              <w:t xml:space="preserve"> </w:t>
            </w:r>
            <w:r>
              <w:rPr>
                <w:spacing w:val="-2"/>
                <w:sz w:val="21"/>
              </w:rPr>
              <w:t>private</w:t>
            </w:r>
          </w:p>
        </w:tc>
        <w:tc>
          <w:tcPr>
            <w:tcW w:w="3627" w:type="dxa"/>
          </w:tcPr>
          <w:p w:rsidR="003F5784" w14:paraId="496FF23A" w14:textId="77777777">
            <w:pPr>
              <w:pStyle w:val="TableParagraph"/>
              <w:spacing w:before="0" w:line="222" w:lineRule="exact"/>
              <w:ind w:right="1353"/>
              <w:rPr>
                <w:sz w:val="21"/>
              </w:rPr>
            </w:pPr>
            <w:r>
              <w:rPr>
                <w:spacing w:val="-5"/>
                <w:sz w:val="21"/>
              </w:rPr>
              <w:t>140</w:t>
            </w:r>
          </w:p>
        </w:tc>
        <w:tc>
          <w:tcPr>
            <w:tcW w:w="3389" w:type="dxa"/>
          </w:tcPr>
          <w:p w:rsidR="003F5784" w14:paraId="66AC88FD" w14:textId="77777777">
            <w:pPr>
              <w:pStyle w:val="TableParagraph"/>
              <w:spacing w:before="0" w:line="222" w:lineRule="exact"/>
              <w:ind w:left="1458"/>
              <w:jc w:val="left"/>
              <w:rPr>
                <w:sz w:val="21"/>
              </w:rPr>
            </w:pPr>
            <w:r>
              <w:rPr>
                <w:spacing w:val="-5"/>
                <w:sz w:val="21"/>
              </w:rPr>
              <w:t>60</w:t>
            </w:r>
          </w:p>
        </w:tc>
        <w:tc>
          <w:tcPr>
            <w:tcW w:w="2310" w:type="dxa"/>
          </w:tcPr>
          <w:p w:rsidR="003F5784" w14:paraId="04103DA9" w14:textId="77777777">
            <w:pPr>
              <w:pStyle w:val="TableParagraph"/>
              <w:spacing w:before="0" w:line="222" w:lineRule="exact"/>
              <w:ind w:right="118"/>
              <w:rPr>
                <w:sz w:val="21"/>
              </w:rPr>
            </w:pPr>
            <w:r>
              <w:rPr>
                <w:spacing w:val="-2"/>
                <w:sz w:val="21"/>
              </w:rPr>
              <w:t>40.35</w:t>
            </w:r>
          </w:p>
        </w:tc>
      </w:tr>
      <w:tr w14:paraId="606954A6" w14:textId="77777777">
        <w:tblPrEx>
          <w:tblW w:w="0" w:type="auto"/>
          <w:tblInd w:w="482" w:type="dxa"/>
          <w:tblLayout w:type="fixed"/>
          <w:tblCellMar>
            <w:left w:w="0" w:type="dxa"/>
            <w:right w:w="0" w:type="dxa"/>
          </w:tblCellMar>
          <w:tblLook w:val="01E0"/>
        </w:tblPrEx>
        <w:trPr>
          <w:trHeight w:val="241"/>
        </w:trPr>
        <w:tc>
          <w:tcPr>
            <w:tcW w:w="744" w:type="dxa"/>
            <w:vMerge/>
            <w:tcBorders>
              <w:top w:val="nil"/>
              <w:bottom w:val="single" w:sz="18" w:space="0" w:color="800000"/>
            </w:tcBorders>
          </w:tcPr>
          <w:p w:rsidR="003F5784" w14:paraId="4ED0827E" w14:textId="77777777">
            <w:pPr>
              <w:rPr>
                <w:sz w:val="2"/>
                <w:szCs w:val="2"/>
              </w:rPr>
            </w:pPr>
          </w:p>
        </w:tc>
        <w:tc>
          <w:tcPr>
            <w:tcW w:w="3915" w:type="dxa"/>
          </w:tcPr>
          <w:p w:rsidR="003F5784" w14:paraId="302AF6D0" w14:textId="77777777">
            <w:pPr>
              <w:pStyle w:val="TableParagraph"/>
              <w:spacing w:before="0" w:line="222" w:lineRule="exact"/>
              <w:ind w:left="570"/>
              <w:jc w:val="left"/>
              <w:rPr>
                <w:sz w:val="21"/>
              </w:rPr>
            </w:pPr>
            <w:r>
              <w:rPr>
                <w:spacing w:val="-2"/>
                <w:sz w:val="21"/>
              </w:rPr>
              <w:t>Catholic</w:t>
            </w:r>
          </w:p>
        </w:tc>
        <w:tc>
          <w:tcPr>
            <w:tcW w:w="3627" w:type="dxa"/>
          </w:tcPr>
          <w:p w:rsidR="003F5784" w14:paraId="7B4B57A2" w14:textId="77777777">
            <w:pPr>
              <w:pStyle w:val="TableParagraph"/>
              <w:spacing w:before="0" w:line="222" w:lineRule="exact"/>
              <w:ind w:right="1353"/>
              <w:rPr>
                <w:sz w:val="21"/>
              </w:rPr>
            </w:pPr>
            <w:r>
              <w:rPr>
                <w:spacing w:val="-5"/>
                <w:sz w:val="21"/>
              </w:rPr>
              <w:t>50</w:t>
            </w:r>
          </w:p>
        </w:tc>
        <w:tc>
          <w:tcPr>
            <w:tcW w:w="3389" w:type="dxa"/>
          </w:tcPr>
          <w:p w:rsidR="003F5784" w14:paraId="146DEC66" w14:textId="77777777">
            <w:pPr>
              <w:pStyle w:val="TableParagraph"/>
              <w:spacing w:before="0" w:line="222" w:lineRule="exact"/>
              <w:ind w:left="1458"/>
              <w:jc w:val="left"/>
              <w:rPr>
                <w:sz w:val="21"/>
              </w:rPr>
            </w:pPr>
            <w:r>
              <w:rPr>
                <w:spacing w:val="-5"/>
                <w:sz w:val="21"/>
              </w:rPr>
              <w:t>40</w:t>
            </w:r>
          </w:p>
        </w:tc>
        <w:tc>
          <w:tcPr>
            <w:tcW w:w="2310" w:type="dxa"/>
          </w:tcPr>
          <w:p w:rsidR="003F5784" w14:paraId="5812B2FC" w14:textId="77777777">
            <w:pPr>
              <w:pStyle w:val="TableParagraph"/>
              <w:spacing w:before="0" w:line="222" w:lineRule="exact"/>
              <w:ind w:right="118"/>
              <w:rPr>
                <w:sz w:val="21"/>
              </w:rPr>
            </w:pPr>
            <w:r>
              <w:rPr>
                <w:spacing w:val="-2"/>
                <w:sz w:val="21"/>
              </w:rPr>
              <w:t>82.98</w:t>
            </w:r>
          </w:p>
        </w:tc>
      </w:tr>
      <w:tr w14:paraId="33E34C41" w14:textId="77777777">
        <w:tblPrEx>
          <w:tblW w:w="0" w:type="auto"/>
          <w:tblInd w:w="482" w:type="dxa"/>
          <w:tblLayout w:type="fixed"/>
          <w:tblCellMar>
            <w:left w:w="0" w:type="dxa"/>
            <w:right w:w="0" w:type="dxa"/>
          </w:tblCellMar>
          <w:tblLook w:val="01E0"/>
        </w:tblPrEx>
        <w:trPr>
          <w:trHeight w:val="266"/>
        </w:trPr>
        <w:tc>
          <w:tcPr>
            <w:tcW w:w="744" w:type="dxa"/>
            <w:vMerge/>
            <w:tcBorders>
              <w:top w:val="nil"/>
              <w:bottom w:val="single" w:sz="18" w:space="0" w:color="800000"/>
            </w:tcBorders>
          </w:tcPr>
          <w:p w:rsidR="003F5784" w14:paraId="43E13BBF" w14:textId="77777777">
            <w:pPr>
              <w:rPr>
                <w:sz w:val="2"/>
                <w:szCs w:val="2"/>
              </w:rPr>
            </w:pPr>
          </w:p>
        </w:tc>
        <w:tc>
          <w:tcPr>
            <w:tcW w:w="3915" w:type="dxa"/>
            <w:tcBorders>
              <w:bottom w:val="single" w:sz="18" w:space="0" w:color="800000"/>
            </w:tcBorders>
          </w:tcPr>
          <w:p w:rsidR="003F5784" w14:paraId="32BDE741" w14:textId="77777777">
            <w:pPr>
              <w:pStyle w:val="TableParagraph"/>
              <w:spacing w:before="0" w:line="237" w:lineRule="exact"/>
              <w:ind w:left="570"/>
              <w:jc w:val="left"/>
              <w:rPr>
                <w:sz w:val="21"/>
              </w:rPr>
            </w:pPr>
            <w:r>
              <w:rPr>
                <w:spacing w:val="-2"/>
                <w:sz w:val="21"/>
              </w:rPr>
              <w:t>Non-Catholic</w:t>
            </w:r>
          </w:p>
        </w:tc>
        <w:tc>
          <w:tcPr>
            <w:tcW w:w="3627" w:type="dxa"/>
            <w:tcBorders>
              <w:bottom w:val="single" w:sz="18" w:space="0" w:color="800000"/>
            </w:tcBorders>
          </w:tcPr>
          <w:p w:rsidR="003F5784" w14:paraId="3A5D6C6D" w14:textId="77777777">
            <w:pPr>
              <w:pStyle w:val="TableParagraph"/>
              <w:spacing w:before="0" w:line="237" w:lineRule="exact"/>
              <w:ind w:right="1353"/>
              <w:rPr>
                <w:sz w:val="21"/>
              </w:rPr>
            </w:pPr>
            <w:r>
              <w:rPr>
                <w:spacing w:val="-5"/>
                <w:sz w:val="21"/>
              </w:rPr>
              <w:t>90</w:t>
            </w:r>
          </w:p>
        </w:tc>
        <w:tc>
          <w:tcPr>
            <w:tcW w:w="3389" w:type="dxa"/>
            <w:tcBorders>
              <w:bottom w:val="single" w:sz="18" w:space="0" w:color="800000"/>
            </w:tcBorders>
          </w:tcPr>
          <w:p w:rsidR="003F5784" w14:paraId="2D1553D6" w14:textId="77777777">
            <w:pPr>
              <w:pStyle w:val="TableParagraph"/>
              <w:spacing w:before="0" w:line="237" w:lineRule="exact"/>
              <w:ind w:left="1458"/>
              <w:jc w:val="left"/>
              <w:rPr>
                <w:sz w:val="21"/>
              </w:rPr>
            </w:pPr>
            <w:r>
              <w:rPr>
                <w:spacing w:val="-5"/>
                <w:sz w:val="21"/>
              </w:rPr>
              <w:t>20</w:t>
            </w:r>
          </w:p>
        </w:tc>
        <w:tc>
          <w:tcPr>
            <w:tcW w:w="2310" w:type="dxa"/>
            <w:tcBorders>
              <w:bottom w:val="single" w:sz="18" w:space="0" w:color="800000"/>
            </w:tcBorders>
          </w:tcPr>
          <w:p w:rsidR="003F5784" w14:paraId="263E0219" w14:textId="77777777">
            <w:pPr>
              <w:pStyle w:val="TableParagraph"/>
              <w:spacing w:before="0" w:line="237" w:lineRule="exact"/>
              <w:ind w:right="118"/>
              <w:rPr>
                <w:sz w:val="21"/>
              </w:rPr>
            </w:pPr>
            <w:r>
              <w:rPr>
                <w:spacing w:val="-2"/>
                <w:sz w:val="21"/>
              </w:rPr>
              <w:t>12.54</w:t>
            </w:r>
          </w:p>
        </w:tc>
      </w:tr>
    </w:tbl>
    <w:p w:rsidR="003F5784" w14:paraId="31F124EB" w14:textId="77777777">
      <w:pPr>
        <w:pStyle w:val="BodyText"/>
        <w:spacing w:before="28" w:line="235" w:lineRule="auto"/>
        <w:ind w:left="595" w:right="671"/>
      </w:pPr>
      <w:r>
        <w:rPr>
          <w:position w:val="8"/>
          <w:sz w:val="17"/>
        </w:rPr>
        <w:t>1</w:t>
      </w:r>
      <w:r>
        <w:t>Includes national public, national private, Bureau of Indian Education, and Department of Defense Education</w:t>
      </w:r>
      <w:r>
        <w:rPr>
          <w:spacing w:val="-9"/>
        </w:rPr>
        <w:t xml:space="preserve"> </w:t>
      </w:r>
      <w:r>
        <w:t>Activity schools located in the United States. NOTE:</w:t>
      </w:r>
      <w:r>
        <w:rPr>
          <w:spacing w:val="-7"/>
        </w:rPr>
        <w:t xml:space="preserve"> </w:t>
      </w:r>
      <w:r>
        <w:t>National</w:t>
      </w:r>
      <w:r>
        <w:rPr>
          <w:spacing w:val="-7"/>
        </w:rPr>
        <w:t xml:space="preserve"> </w:t>
      </w:r>
      <w:r>
        <w:t>public</w:t>
      </w:r>
      <w:r>
        <w:rPr>
          <w:spacing w:val="-7"/>
        </w:rPr>
        <w:t xml:space="preserve"> </w:t>
      </w:r>
      <w:r>
        <w:t>includes</w:t>
      </w:r>
      <w:r>
        <w:rPr>
          <w:spacing w:val="-7"/>
        </w:rPr>
        <w:t xml:space="preserve"> </w:t>
      </w:r>
      <w:r>
        <w:t>students</w:t>
      </w:r>
      <w:r>
        <w:rPr>
          <w:spacing w:val="-7"/>
        </w:rPr>
        <w:t xml:space="preserve"> </w:t>
      </w:r>
      <w:r>
        <w:t>from</w:t>
      </w:r>
      <w:r>
        <w:rPr>
          <w:spacing w:val="-7"/>
        </w:rPr>
        <w:t xml:space="preserve"> </w:t>
      </w:r>
      <w:r>
        <w:t>public</w:t>
      </w:r>
      <w:r>
        <w:rPr>
          <w:spacing w:val="-7"/>
        </w:rPr>
        <w:t xml:space="preserve"> </w:t>
      </w:r>
      <w:r>
        <w:t>schools</w:t>
      </w:r>
      <w:r>
        <w:rPr>
          <w:spacing w:val="-7"/>
        </w:rPr>
        <w:t xml:space="preserve"> </w:t>
      </w:r>
      <w:r>
        <w:t>only.</w:t>
      </w:r>
      <w:r>
        <w:rPr>
          <w:spacing w:val="-7"/>
        </w:rPr>
        <w:t xml:space="preserve"> </w:t>
      </w:r>
      <w:r>
        <w:t>It</w:t>
      </w:r>
      <w:r>
        <w:rPr>
          <w:spacing w:val="-7"/>
        </w:rPr>
        <w:t xml:space="preserve"> </w:t>
      </w:r>
      <w:r>
        <w:t>includes</w:t>
      </w:r>
      <w:r>
        <w:rPr>
          <w:spacing w:val="-7"/>
        </w:rPr>
        <w:t xml:space="preserve"> </w:t>
      </w:r>
      <w:r>
        <w:t>charter</w:t>
      </w:r>
      <w:r>
        <w:rPr>
          <w:spacing w:val="-7"/>
        </w:rPr>
        <w:t xml:space="preserve"> </w:t>
      </w:r>
      <w:r>
        <w:t>schools,</w:t>
      </w:r>
      <w:r>
        <w:rPr>
          <w:spacing w:val="-7"/>
        </w:rPr>
        <w:t xml:space="preserve"> </w:t>
      </w:r>
      <w:r>
        <w:t>but</w:t>
      </w:r>
      <w:r>
        <w:rPr>
          <w:spacing w:val="-7"/>
        </w:rPr>
        <w:t xml:space="preserve"> </w:t>
      </w:r>
      <w:r>
        <w:t>excludes</w:t>
      </w:r>
      <w:r>
        <w:rPr>
          <w:spacing w:val="-7"/>
        </w:rPr>
        <w:t xml:space="preserve"> </w:t>
      </w:r>
      <w:r>
        <w:t>Bureau</w:t>
      </w:r>
      <w:r>
        <w:rPr>
          <w:spacing w:val="-7"/>
        </w:rPr>
        <w:t xml:space="preserve"> </w:t>
      </w:r>
      <w:r>
        <w:t>of</w:t>
      </w:r>
      <w:r>
        <w:rPr>
          <w:spacing w:val="-7"/>
        </w:rPr>
        <w:t xml:space="preserve"> </w:t>
      </w:r>
      <w:r>
        <w:t>Indian</w:t>
      </w:r>
      <w:r>
        <w:rPr>
          <w:spacing w:val="-7"/>
        </w:rPr>
        <w:t xml:space="preserve"> </w:t>
      </w:r>
      <w:r>
        <w:t>Education</w:t>
      </w:r>
      <w:r>
        <w:rPr>
          <w:spacing w:val="-7"/>
        </w:rPr>
        <w:t xml:space="preserve"> </w:t>
      </w:r>
      <w:r>
        <w:t>schools</w:t>
      </w:r>
      <w:r>
        <w:rPr>
          <w:spacing w:val="-7"/>
        </w:rPr>
        <w:t xml:space="preserve"> </w:t>
      </w:r>
      <w:r>
        <w:t>and</w:t>
      </w:r>
      <w:r>
        <w:rPr>
          <w:spacing w:val="-7"/>
        </w:rPr>
        <w:t xml:space="preserve"> </w:t>
      </w:r>
      <w:r>
        <w:t>Department</w:t>
      </w:r>
      <w:r>
        <w:rPr>
          <w:spacing w:val="-7"/>
        </w:rPr>
        <w:t xml:space="preserve"> </w:t>
      </w:r>
      <w:r>
        <w:t>of Defense</w:t>
      </w:r>
      <w:r>
        <w:rPr>
          <w:spacing w:val="-7"/>
        </w:rPr>
        <w:t xml:space="preserve"> </w:t>
      </w:r>
      <w:r>
        <w:t>Education</w:t>
      </w:r>
      <w:r>
        <w:rPr>
          <w:spacing w:val="-14"/>
        </w:rPr>
        <w:t xml:space="preserve"> </w:t>
      </w:r>
      <w:r>
        <w:t>Activity</w:t>
      </w:r>
      <w:r>
        <w:rPr>
          <w:spacing w:val="-4"/>
        </w:rPr>
        <w:t xml:space="preserve"> </w:t>
      </w:r>
      <w:r>
        <w:t>schools.</w:t>
      </w:r>
      <w:r>
        <w:rPr>
          <w:spacing w:val="-5"/>
        </w:rPr>
        <w:t xml:space="preserve"> </w:t>
      </w:r>
      <w:r>
        <w:t>It</w:t>
      </w:r>
      <w:r>
        <w:rPr>
          <w:spacing w:val="-5"/>
        </w:rPr>
        <w:t xml:space="preserve"> </w:t>
      </w:r>
      <w:r>
        <w:t>is</w:t>
      </w:r>
      <w:r>
        <w:rPr>
          <w:spacing w:val="-5"/>
        </w:rPr>
        <w:t xml:space="preserve"> </w:t>
      </w:r>
      <w:r>
        <w:t>used</w:t>
      </w:r>
      <w:r>
        <w:rPr>
          <w:spacing w:val="-5"/>
        </w:rPr>
        <w:t xml:space="preserve"> </w:t>
      </w:r>
      <w:r>
        <w:t>when</w:t>
      </w:r>
      <w:r>
        <w:rPr>
          <w:spacing w:val="-5"/>
        </w:rPr>
        <w:t xml:space="preserve"> </w:t>
      </w:r>
      <w:r>
        <w:t>comparing</w:t>
      </w:r>
      <w:r>
        <w:rPr>
          <w:spacing w:val="-5"/>
        </w:rPr>
        <w:t xml:space="preserve"> </w:t>
      </w:r>
      <w:r>
        <w:t>national</w:t>
      </w:r>
      <w:r>
        <w:rPr>
          <w:spacing w:val="-5"/>
        </w:rPr>
        <w:t xml:space="preserve"> </w:t>
      </w:r>
      <w:r>
        <w:t>data</w:t>
      </w:r>
      <w:r>
        <w:rPr>
          <w:spacing w:val="-5"/>
        </w:rPr>
        <w:t xml:space="preserve"> </w:t>
      </w:r>
      <w:r>
        <w:t>to</w:t>
      </w:r>
      <w:r>
        <w:rPr>
          <w:spacing w:val="-5"/>
        </w:rPr>
        <w:t xml:space="preserve"> </w:t>
      </w:r>
      <w:r>
        <w:t>those</w:t>
      </w:r>
      <w:r>
        <w:rPr>
          <w:spacing w:val="-5"/>
        </w:rPr>
        <w:t xml:space="preserve"> </w:t>
      </w:r>
      <w:r>
        <w:t>of</w:t>
      </w:r>
      <w:r>
        <w:rPr>
          <w:spacing w:val="-5"/>
        </w:rPr>
        <w:t xml:space="preserve"> </w:t>
      </w:r>
      <w:r>
        <w:t>states,</w:t>
      </w:r>
      <w:r>
        <w:rPr>
          <w:spacing w:val="-5"/>
        </w:rPr>
        <w:t xml:space="preserve"> </w:t>
      </w:r>
      <w:r>
        <w:t>urban</w:t>
      </w:r>
      <w:r>
        <w:rPr>
          <w:spacing w:val="-5"/>
        </w:rPr>
        <w:t xml:space="preserve"> </w:t>
      </w:r>
      <w:r>
        <w:t>districts,</w:t>
      </w:r>
      <w:r>
        <w:rPr>
          <w:spacing w:val="-5"/>
        </w:rPr>
        <w:t xml:space="preserve"> </w:t>
      </w:r>
      <w:r>
        <w:t>or</w:t>
      </w:r>
      <w:r>
        <w:rPr>
          <w:spacing w:val="-5"/>
        </w:rPr>
        <w:t xml:space="preserve"> </w:t>
      </w:r>
      <w:r>
        <w:t>regions.</w:t>
      </w:r>
      <w:r>
        <w:rPr>
          <w:spacing w:val="-5"/>
        </w:rPr>
        <w:t xml:space="preserve"> </w:t>
      </w:r>
      <w:r>
        <w:t>School</w:t>
      </w:r>
      <w:r>
        <w:rPr>
          <w:spacing w:val="-5"/>
        </w:rPr>
        <w:t xml:space="preserve"> </w:t>
      </w:r>
      <w:r>
        <w:t>counts</w:t>
      </w:r>
      <w:r>
        <w:rPr>
          <w:spacing w:val="-5"/>
        </w:rPr>
        <w:t xml:space="preserve"> </w:t>
      </w:r>
      <w:r>
        <w:t>are</w:t>
      </w:r>
      <w:r>
        <w:rPr>
          <w:spacing w:val="-5"/>
        </w:rPr>
        <w:t xml:space="preserve"> </w:t>
      </w:r>
      <w:r>
        <w:t>rounded</w:t>
      </w:r>
      <w:r>
        <w:rPr>
          <w:spacing w:val="-5"/>
        </w:rPr>
        <w:t xml:space="preserve"> </w:t>
      </w:r>
      <w:r>
        <w:t>to</w:t>
      </w:r>
      <w:r>
        <w:rPr>
          <w:spacing w:val="-5"/>
        </w:rPr>
        <w:t xml:space="preserve"> </w:t>
      </w:r>
      <w:r>
        <w:t>nearest</w:t>
      </w:r>
      <w:r>
        <w:rPr>
          <w:spacing w:val="-5"/>
        </w:rPr>
        <w:t xml:space="preserve"> </w:t>
      </w:r>
      <w:r>
        <w:t>ten. Detail may not sum to totals because of rounding. Percentages are based on unrounded counts.</w:t>
      </w:r>
    </w:p>
    <w:p w:rsidR="003F5784" w14:paraId="0B2213E8" w14:textId="77777777">
      <w:pPr>
        <w:pStyle w:val="BodyText"/>
        <w:spacing w:before="3"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3562582A" w14:textId="77777777">
      <w:pPr>
        <w:pStyle w:val="BodyText"/>
      </w:pPr>
    </w:p>
    <w:p w:rsidR="003F5784" w14:paraId="18DD1588" w14:textId="77777777">
      <w:pPr>
        <w:pStyle w:val="BodyText"/>
      </w:pPr>
    </w:p>
    <w:p w:rsidR="003F5784" w14:paraId="748FC6D0" w14:textId="77777777">
      <w:pPr>
        <w:pStyle w:val="BodyText"/>
      </w:pPr>
    </w:p>
    <w:p w:rsidR="003F5784" w14:paraId="4ACB138C" w14:textId="77777777">
      <w:pPr>
        <w:pStyle w:val="BodyText"/>
        <w:spacing w:before="190"/>
      </w:pPr>
    </w:p>
    <w:p w:rsidR="003F5784" w14:paraId="6BB9B09B" w14:textId="77777777">
      <w:pPr>
        <w:ind w:left="4687"/>
        <w:rPr>
          <w:sz w:val="18"/>
        </w:rPr>
      </w:pPr>
      <w:hyperlink r:id="rId190">
        <w:r>
          <w:rPr>
            <w:spacing w:val="-2"/>
            <w:w w:val="105"/>
            <w:sz w:val="18"/>
          </w:rPr>
          <w:t>http://nces.ed.gov/nationsreportcard/tdw/sample_design/2022/school_response_rates_for_the_2022_long_term_trend_assessment.aspx</w:t>
        </w:r>
      </w:hyperlink>
    </w:p>
    <w:p w:rsidR="003F5784" w14:paraId="4DB926D7" w14:textId="77777777">
      <w:pPr>
        <w:pStyle w:val="BodyText"/>
        <w:spacing w:before="11"/>
        <w:rPr>
          <w:sz w:val="14"/>
        </w:rPr>
      </w:pPr>
      <w:r>
        <w:rPr>
          <w:noProof/>
        </w:rPr>
        <mc:AlternateContent>
          <mc:Choice Requires="wps">
            <w:drawing>
              <wp:anchor distT="0" distB="0" distL="0" distR="0" simplePos="0" relativeHeight="251874304" behindDoc="1" locked="0" layoutInCell="1" allowOverlap="1">
                <wp:simplePos x="0" y="0"/>
                <wp:positionH relativeFrom="page">
                  <wp:posOffset>361937</wp:posOffset>
                </wp:positionH>
                <wp:positionV relativeFrom="paragraph">
                  <wp:posOffset>124618</wp:posOffset>
                </wp:positionV>
                <wp:extent cx="9339580" cy="8890"/>
                <wp:effectExtent l="0" t="0" r="0" b="0"/>
                <wp:wrapTopAndBottom/>
                <wp:docPr id="216" name="Graphic 21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80"/>
                              </a:lnTo>
                              <a:lnTo>
                                <a:pt x="9335110" y="8293"/>
                              </a:lnTo>
                              <a:lnTo>
                                <a:pt x="9338970" y="8293"/>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16" o:spid="_x0000_s1107" style="width:735.4pt;height:0.7pt;margin-top:9.8pt;margin-left:28.5pt;mso-position-horizontal-relative:page;mso-wrap-distance-bottom:0;mso-wrap-distance-left:0;mso-wrap-distance-right:0;mso-wrap-distance-top:0;mso-wrap-style:square;position:absolute;visibility:visible;v-text-anchor:top;z-index:-251441152" coordsize="9339580,8890" path="m9338970,25l9335110,25l8280,25,,,,8280l9335110,8293l9338970,8293l9338970,25xe" fillcolor="gray" stroked="f">
                <v:path arrowok="t"/>
                <w10:wrap type="topAndBottom"/>
              </v:shape>
            </w:pict>
          </mc:Fallback>
        </mc:AlternateContent>
      </w:r>
    </w:p>
    <w:p w:rsidR="003F5784" w14:paraId="5313DBBF" w14:textId="77777777">
      <w:pPr>
        <w:pStyle w:val="BodyText"/>
        <w:rPr>
          <w:sz w:val="18"/>
        </w:rPr>
      </w:pPr>
    </w:p>
    <w:p w:rsidR="003F5784" w14:paraId="3BE21FD4" w14:textId="77777777">
      <w:pPr>
        <w:pStyle w:val="BodyText"/>
        <w:spacing w:before="206"/>
        <w:rPr>
          <w:sz w:val="18"/>
        </w:rPr>
      </w:pPr>
    </w:p>
    <w:p w:rsidR="003F5784" w14:paraId="6CEBE201" w14:textId="08B32645">
      <w:pPr>
        <w:pStyle w:val="Heading1"/>
        <w:spacing w:line="244" w:lineRule="auto"/>
        <w:ind w:right="318"/>
      </w:pPr>
      <w:r>
        <w:t>NAEP</w:t>
      </w:r>
      <w:r>
        <w:rPr>
          <w:spacing w:val="-15"/>
        </w:rPr>
        <w:t xml:space="preserve"> </w:t>
      </w:r>
      <w:r>
        <w:t>Technical Documentation</w:t>
      </w:r>
      <w:r w:rsidR="005112A4">
        <w:t xml:space="preserve"> </w:t>
      </w:r>
      <w:r>
        <w:t>Student Response and Exclusion Rates for the 2022 Long-Term Trend Mathematics Assessment</w:t>
      </w:r>
    </w:p>
    <w:p w:rsidR="003F5784" w14:paraId="304A1FF9" w14:textId="77777777">
      <w:pPr>
        <w:pStyle w:val="BodyText"/>
        <w:spacing w:before="274" w:line="232" w:lineRule="auto"/>
        <w:ind w:left="109" w:right="117"/>
      </w:pPr>
      <w:r>
        <w:t>The following table presents the weighted student response, exclusion, and full-time remote rates for the 2022 ages 9 and 13 long-term trend mathematics assessments.</w:t>
      </w:r>
      <w:r>
        <w:rPr>
          <w:spacing w:val="-3"/>
        </w:rPr>
        <w:t xml:space="preserve"> </w:t>
      </w:r>
      <w:r>
        <w:t>The exclusion</w:t>
      </w:r>
      <w:r>
        <w:rPr>
          <w:spacing w:val="-6"/>
        </w:rPr>
        <w:t xml:space="preserve"> </w:t>
      </w:r>
      <w:r>
        <w:t>rates</w:t>
      </w:r>
      <w:r>
        <w:rPr>
          <w:spacing w:val="-6"/>
        </w:rPr>
        <w:t xml:space="preserve"> </w:t>
      </w:r>
      <w:r>
        <w:t>give</w:t>
      </w:r>
      <w:r>
        <w:rPr>
          <w:spacing w:val="-6"/>
        </w:rPr>
        <w:t xml:space="preserve"> </w:t>
      </w:r>
      <w:r>
        <w:t>the</w:t>
      </w:r>
      <w:r>
        <w:rPr>
          <w:spacing w:val="-6"/>
        </w:rPr>
        <w:t xml:space="preserve"> </w:t>
      </w:r>
      <w:r>
        <w:t>percentage</w:t>
      </w:r>
      <w:r>
        <w:rPr>
          <w:spacing w:val="-6"/>
        </w:rPr>
        <w:t xml:space="preserve"> </w:t>
      </w:r>
      <w:r>
        <w:t>excluded,</w:t>
      </w:r>
      <w:r>
        <w:rPr>
          <w:spacing w:val="-6"/>
        </w:rPr>
        <w:t xml:space="preserve"> </w:t>
      </w:r>
      <w:r>
        <w:t>among</w:t>
      </w:r>
      <w:r>
        <w:rPr>
          <w:spacing w:val="-6"/>
        </w:rPr>
        <w:t xml:space="preserve"> </w:t>
      </w:r>
      <w:r>
        <w:t>all</w:t>
      </w:r>
      <w:r>
        <w:rPr>
          <w:spacing w:val="-6"/>
        </w:rPr>
        <w:t xml:space="preserve"> </w:t>
      </w:r>
      <w:r>
        <w:t>eligible</w:t>
      </w:r>
      <w:r>
        <w:rPr>
          <w:spacing w:val="-6"/>
        </w:rPr>
        <w:t xml:space="preserve"> </w:t>
      </w:r>
      <w:r>
        <w:t>(i.e.,</w:t>
      </w:r>
      <w:r>
        <w:rPr>
          <w:spacing w:val="-6"/>
        </w:rPr>
        <w:t xml:space="preserve"> </w:t>
      </w:r>
      <w:r>
        <w:t>assessed,</w:t>
      </w:r>
      <w:r>
        <w:rPr>
          <w:spacing w:val="-6"/>
        </w:rPr>
        <w:t xml:space="preserve"> </w:t>
      </w:r>
      <w:r>
        <w:t>absent,</w:t>
      </w:r>
      <w:r>
        <w:rPr>
          <w:spacing w:val="-6"/>
        </w:rPr>
        <w:t xml:space="preserve"> </w:t>
      </w:r>
      <w:r>
        <w:t>or</w:t>
      </w:r>
      <w:r>
        <w:rPr>
          <w:spacing w:val="-6"/>
        </w:rPr>
        <w:t xml:space="preserve"> </w:t>
      </w:r>
      <w:r>
        <w:t>excluded)</w:t>
      </w:r>
      <w:r>
        <w:rPr>
          <w:spacing w:val="-6"/>
        </w:rPr>
        <w:t xml:space="preserve"> </w:t>
      </w:r>
      <w:r>
        <w:t>students.</w:t>
      </w:r>
      <w:r>
        <w:rPr>
          <w:spacing w:val="-6"/>
        </w:rPr>
        <w:t xml:space="preserve"> </w:t>
      </w:r>
      <w:r>
        <w:t>Excluded</w:t>
      </w:r>
      <w:r>
        <w:rPr>
          <w:spacing w:val="-6"/>
        </w:rPr>
        <w:t xml:space="preserve"> </w:t>
      </w:r>
      <w:r>
        <w:t>students</w:t>
      </w:r>
      <w:r>
        <w:rPr>
          <w:spacing w:val="-6"/>
        </w:rPr>
        <w:t xml:space="preserve"> </w:t>
      </w:r>
      <w:r>
        <w:t>must</w:t>
      </w:r>
      <w:r>
        <w:rPr>
          <w:spacing w:val="-6"/>
        </w:rPr>
        <w:t xml:space="preserve"> </w:t>
      </w:r>
      <w:r>
        <w:t>be</w:t>
      </w:r>
      <w:r>
        <w:rPr>
          <w:spacing w:val="-6"/>
        </w:rPr>
        <w:t xml:space="preserve"> </w:t>
      </w:r>
      <w:r>
        <w:t>either</w:t>
      </w:r>
      <w:r>
        <w:rPr>
          <w:spacing w:val="-6"/>
        </w:rPr>
        <w:t xml:space="preserve"> </w:t>
      </w:r>
      <w:r>
        <w:t>students</w:t>
      </w:r>
      <w:r>
        <w:rPr>
          <w:spacing w:val="-6"/>
        </w:rPr>
        <w:t xml:space="preserve"> </w:t>
      </w:r>
      <w:r>
        <w:t>with</w:t>
      </w:r>
      <w:r>
        <w:rPr>
          <w:spacing w:val="-6"/>
        </w:rPr>
        <w:t xml:space="preserve"> </w:t>
      </w:r>
      <w:r>
        <w:t>disabilities</w:t>
      </w:r>
      <w:r>
        <w:rPr>
          <w:spacing w:val="-6"/>
        </w:rPr>
        <w:t xml:space="preserve"> </w:t>
      </w:r>
      <w:r>
        <w:t>(SD)</w:t>
      </w:r>
      <w:r>
        <w:rPr>
          <w:spacing w:val="-6"/>
        </w:rPr>
        <w:t xml:space="preserve"> </w:t>
      </w:r>
      <w:r>
        <w:t>or English</w:t>
      </w:r>
      <w:r>
        <w:rPr>
          <w:spacing w:val="-6"/>
        </w:rPr>
        <w:t xml:space="preserve"> </w:t>
      </w:r>
      <w:r>
        <w:t>learners</w:t>
      </w:r>
      <w:r>
        <w:rPr>
          <w:spacing w:val="-6"/>
        </w:rPr>
        <w:t xml:space="preserve"> </w:t>
      </w:r>
      <w:r>
        <w:t>(EL).</w:t>
      </w:r>
      <w:r>
        <w:rPr>
          <w:spacing w:val="-9"/>
        </w:rPr>
        <w:t xml:space="preserve"> </w:t>
      </w:r>
      <w:r>
        <w:t>The</w:t>
      </w:r>
      <w:r>
        <w:rPr>
          <w:spacing w:val="-6"/>
        </w:rPr>
        <w:t xml:space="preserve"> </w:t>
      </w:r>
      <w:r>
        <w:t>response</w:t>
      </w:r>
      <w:r>
        <w:rPr>
          <w:spacing w:val="-6"/>
        </w:rPr>
        <w:t xml:space="preserve"> </w:t>
      </w:r>
      <w:r>
        <w:t>rates</w:t>
      </w:r>
      <w:r>
        <w:rPr>
          <w:spacing w:val="-6"/>
        </w:rPr>
        <w:t xml:space="preserve"> </w:t>
      </w:r>
      <w:r>
        <w:t>indicate</w:t>
      </w:r>
      <w:r>
        <w:rPr>
          <w:spacing w:val="-6"/>
        </w:rPr>
        <w:t xml:space="preserve"> </w:t>
      </w:r>
      <w:r>
        <w:t>the</w:t>
      </w:r>
      <w:r>
        <w:rPr>
          <w:spacing w:val="-6"/>
        </w:rPr>
        <w:t xml:space="preserve"> </w:t>
      </w:r>
      <w:r>
        <w:t>percentage</w:t>
      </w:r>
      <w:r>
        <w:rPr>
          <w:spacing w:val="-6"/>
        </w:rPr>
        <w:t xml:space="preserve"> </w:t>
      </w:r>
      <w:r>
        <w:t>of</w:t>
      </w:r>
      <w:r>
        <w:rPr>
          <w:spacing w:val="-6"/>
        </w:rPr>
        <w:t xml:space="preserve"> </w:t>
      </w:r>
      <w:r>
        <w:t>students</w:t>
      </w:r>
      <w:r>
        <w:rPr>
          <w:spacing w:val="-6"/>
        </w:rPr>
        <w:t xml:space="preserve"> </w:t>
      </w:r>
      <w:r>
        <w:t>assessed</w:t>
      </w:r>
      <w:r>
        <w:rPr>
          <w:spacing w:val="-6"/>
        </w:rPr>
        <w:t xml:space="preserve"> </w:t>
      </w:r>
      <w:r>
        <w:t>among</w:t>
      </w:r>
      <w:r>
        <w:rPr>
          <w:spacing w:val="-6"/>
        </w:rPr>
        <w:t xml:space="preserve"> </w:t>
      </w:r>
      <w:r>
        <w:t>those</w:t>
      </w:r>
      <w:r>
        <w:rPr>
          <w:spacing w:val="-6"/>
        </w:rPr>
        <w:t xml:space="preserve"> </w:t>
      </w:r>
      <w:r>
        <w:t>who</w:t>
      </w:r>
      <w:r>
        <w:rPr>
          <w:spacing w:val="-6"/>
        </w:rPr>
        <w:t xml:space="preserve"> </w:t>
      </w:r>
      <w:r>
        <w:t>it</w:t>
      </w:r>
      <w:r>
        <w:rPr>
          <w:spacing w:val="-6"/>
        </w:rPr>
        <w:t xml:space="preserve"> </w:t>
      </w:r>
      <w:r>
        <w:t>was</w:t>
      </w:r>
      <w:r>
        <w:rPr>
          <w:spacing w:val="-6"/>
        </w:rPr>
        <w:t xml:space="preserve"> </w:t>
      </w:r>
      <w:r>
        <w:t>intended</w:t>
      </w:r>
      <w:r>
        <w:rPr>
          <w:spacing w:val="-6"/>
        </w:rPr>
        <w:t xml:space="preserve"> </w:t>
      </w:r>
      <w:r>
        <w:t>would</w:t>
      </w:r>
      <w:r>
        <w:rPr>
          <w:spacing w:val="-6"/>
        </w:rPr>
        <w:t xml:space="preserve"> </w:t>
      </w:r>
      <w:r>
        <w:t>take</w:t>
      </w:r>
      <w:r>
        <w:rPr>
          <w:spacing w:val="-6"/>
        </w:rPr>
        <w:t xml:space="preserve"> </w:t>
      </w:r>
      <w:r>
        <w:t>the</w:t>
      </w:r>
      <w:r>
        <w:rPr>
          <w:spacing w:val="-6"/>
        </w:rPr>
        <w:t xml:space="preserve"> </w:t>
      </w:r>
      <w:r>
        <w:t>assessment</w:t>
      </w:r>
      <w:r>
        <w:rPr>
          <w:spacing w:val="-6"/>
        </w:rPr>
        <w:t xml:space="preserve"> </w:t>
      </w:r>
      <w:r>
        <w:t>from</w:t>
      </w:r>
      <w:r>
        <w:rPr>
          <w:spacing w:val="-6"/>
        </w:rPr>
        <w:t xml:space="preserve"> </w:t>
      </w:r>
      <w:r>
        <w:t>within</w:t>
      </w:r>
      <w:r>
        <w:rPr>
          <w:spacing w:val="-6"/>
        </w:rPr>
        <w:t xml:space="preserve"> </w:t>
      </w:r>
      <w:r>
        <w:t>the</w:t>
      </w:r>
      <w:r>
        <w:rPr>
          <w:spacing w:val="-6"/>
        </w:rPr>
        <w:t xml:space="preserve"> </w:t>
      </w:r>
      <w:r>
        <w:t>participating schools.</w:t>
      </w:r>
      <w:r>
        <w:rPr>
          <w:spacing w:val="-3"/>
        </w:rPr>
        <w:t xml:space="preserve"> </w:t>
      </w:r>
      <w:r>
        <w:t>Thus, students who were excluded are not included in the denominators of the response rates.</w:t>
      </w:r>
      <w:r>
        <w:rPr>
          <w:spacing w:val="-3"/>
        </w:rPr>
        <w:t xml:space="preserve"> </w:t>
      </w:r>
      <w:r>
        <w:t>The weighted student full-time remote rate indicates the percentage of the student population that is full-time remote (enrolled in brick-and-mortar schools but do not attend school in person).</w:t>
      </w:r>
    </w:p>
    <w:p w:rsidR="003F5784" w14:paraId="26B9649B" w14:textId="77777777">
      <w:pPr>
        <w:pStyle w:val="BodyText"/>
        <w:spacing w:before="99"/>
      </w:pPr>
    </w:p>
    <w:p w:rsidR="003F5784" w14:paraId="31555D49" w14:textId="77777777">
      <w:pPr>
        <w:spacing w:line="232" w:lineRule="auto"/>
        <w:ind w:left="477" w:right="318"/>
        <w:rPr>
          <w:b/>
          <w:sz w:val="21"/>
        </w:rPr>
      </w:pPr>
      <w:r>
        <w:rPr>
          <w:b/>
          <w:sz w:val="21"/>
        </w:rPr>
        <w:t>Weighted</w:t>
      </w:r>
      <w:r>
        <w:rPr>
          <w:b/>
          <w:spacing w:val="-7"/>
          <w:sz w:val="21"/>
        </w:rPr>
        <w:t xml:space="preserve"> </w:t>
      </w:r>
      <w:r>
        <w:rPr>
          <w:b/>
          <w:sz w:val="21"/>
        </w:rPr>
        <w:t>student</w:t>
      </w:r>
      <w:r>
        <w:rPr>
          <w:b/>
          <w:spacing w:val="-7"/>
          <w:sz w:val="21"/>
        </w:rPr>
        <w:t xml:space="preserve"> </w:t>
      </w:r>
      <w:r>
        <w:rPr>
          <w:b/>
          <w:sz w:val="20"/>
        </w:rPr>
        <w:t>response,</w:t>
      </w:r>
      <w:r>
        <w:rPr>
          <w:b/>
          <w:spacing w:val="-6"/>
          <w:sz w:val="20"/>
        </w:rPr>
        <w:t xml:space="preserve"> </w:t>
      </w:r>
      <w:r>
        <w:rPr>
          <w:b/>
          <w:sz w:val="20"/>
        </w:rPr>
        <w:t>exclusion,</w:t>
      </w:r>
      <w:r>
        <w:rPr>
          <w:b/>
          <w:spacing w:val="-6"/>
          <w:sz w:val="20"/>
        </w:rPr>
        <w:t xml:space="preserve"> </w:t>
      </w:r>
      <w:r>
        <w:rPr>
          <w:b/>
          <w:sz w:val="20"/>
        </w:rPr>
        <w:t>and</w:t>
      </w:r>
      <w:r>
        <w:rPr>
          <w:b/>
          <w:spacing w:val="-6"/>
          <w:sz w:val="20"/>
        </w:rPr>
        <w:t xml:space="preserve"> </w:t>
      </w:r>
      <w:r>
        <w:rPr>
          <w:b/>
          <w:sz w:val="20"/>
        </w:rPr>
        <w:t>full-time</w:t>
      </w:r>
      <w:r>
        <w:rPr>
          <w:b/>
          <w:spacing w:val="-6"/>
          <w:sz w:val="20"/>
        </w:rPr>
        <w:t xml:space="preserve"> </w:t>
      </w:r>
      <w:r>
        <w:rPr>
          <w:b/>
          <w:sz w:val="20"/>
        </w:rPr>
        <w:t>remote</w:t>
      </w:r>
      <w:r>
        <w:rPr>
          <w:b/>
          <w:spacing w:val="-6"/>
          <w:sz w:val="20"/>
        </w:rPr>
        <w:t xml:space="preserve"> </w:t>
      </w:r>
      <w:r>
        <w:rPr>
          <w:b/>
          <w:sz w:val="20"/>
        </w:rPr>
        <w:t>rates</w:t>
      </w:r>
      <w:r>
        <w:rPr>
          <w:b/>
          <w:sz w:val="21"/>
        </w:rPr>
        <w:t>,</w:t>
      </w:r>
      <w:r>
        <w:rPr>
          <w:b/>
          <w:spacing w:val="-7"/>
          <w:sz w:val="21"/>
        </w:rPr>
        <w:t xml:space="preserve"> </w:t>
      </w:r>
      <w:r>
        <w:rPr>
          <w:b/>
          <w:sz w:val="21"/>
        </w:rPr>
        <w:t>long-term</w:t>
      </w:r>
      <w:r>
        <w:rPr>
          <w:b/>
          <w:spacing w:val="-7"/>
          <w:sz w:val="21"/>
        </w:rPr>
        <w:t xml:space="preserve"> </w:t>
      </w:r>
      <w:r>
        <w:rPr>
          <w:b/>
          <w:sz w:val="21"/>
        </w:rPr>
        <w:t>trend</w:t>
      </w:r>
      <w:r>
        <w:rPr>
          <w:b/>
          <w:spacing w:val="-7"/>
          <w:sz w:val="21"/>
        </w:rPr>
        <w:t xml:space="preserve"> </w:t>
      </w:r>
      <w:r>
        <w:rPr>
          <w:b/>
          <w:sz w:val="21"/>
        </w:rPr>
        <w:t>public</w:t>
      </w:r>
      <w:r>
        <w:rPr>
          <w:b/>
          <w:spacing w:val="-7"/>
          <w:sz w:val="21"/>
        </w:rPr>
        <w:t xml:space="preserve"> </w:t>
      </w:r>
      <w:r>
        <w:rPr>
          <w:b/>
          <w:sz w:val="21"/>
        </w:rPr>
        <w:t>and</w:t>
      </w:r>
      <w:r>
        <w:rPr>
          <w:b/>
          <w:spacing w:val="-7"/>
          <w:sz w:val="21"/>
        </w:rPr>
        <w:t xml:space="preserve"> </w:t>
      </w:r>
      <w:r>
        <w:rPr>
          <w:b/>
          <w:sz w:val="21"/>
        </w:rPr>
        <w:t>private</w:t>
      </w:r>
      <w:r>
        <w:rPr>
          <w:b/>
          <w:spacing w:val="-7"/>
          <w:sz w:val="21"/>
        </w:rPr>
        <w:t xml:space="preserve"> </w:t>
      </w:r>
      <w:r>
        <w:rPr>
          <w:b/>
          <w:sz w:val="21"/>
        </w:rPr>
        <w:t>schools,</w:t>
      </w:r>
      <w:r>
        <w:rPr>
          <w:b/>
          <w:spacing w:val="-7"/>
          <w:sz w:val="21"/>
        </w:rPr>
        <w:t xml:space="preserve"> </w:t>
      </w:r>
      <w:r>
        <w:rPr>
          <w:b/>
          <w:sz w:val="21"/>
        </w:rPr>
        <w:t>national</w:t>
      </w:r>
      <w:r>
        <w:rPr>
          <w:b/>
          <w:spacing w:val="-7"/>
          <w:sz w:val="21"/>
        </w:rPr>
        <w:t xml:space="preserve"> </w:t>
      </w:r>
      <w:r>
        <w:rPr>
          <w:b/>
          <w:sz w:val="21"/>
        </w:rPr>
        <w:t>mathematics</w:t>
      </w:r>
      <w:r>
        <w:rPr>
          <w:b/>
          <w:spacing w:val="-7"/>
          <w:sz w:val="21"/>
        </w:rPr>
        <w:t xml:space="preserve"> </w:t>
      </w:r>
      <w:r>
        <w:rPr>
          <w:b/>
          <w:sz w:val="21"/>
        </w:rPr>
        <w:t>assessment,</w:t>
      </w:r>
      <w:r>
        <w:rPr>
          <w:b/>
          <w:spacing w:val="-7"/>
          <w:sz w:val="21"/>
        </w:rPr>
        <w:t xml:space="preserve"> </w:t>
      </w:r>
      <w:r>
        <w:rPr>
          <w:b/>
          <w:sz w:val="21"/>
        </w:rPr>
        <w:t>by</w:t>
      </w:r>
      <w:r>
        <w:rPr>
          <w:b/>
          <w:spacing w:val="-7"/>
          <w:sz w:val="21"/>
        </w:rPr>
        <w:t xml:space="preserve"> </w:t>
      </w:r>
      <w:r>
        <w:rPr>
          <w:b/>
          <w:sz w:val="21"/>
        </w:rPr>
        <w:t>age,</w:t>
      </w:r>
      <w:r>
        <w:rPr>
          <w:b/>
          <w:spacing w:val="-7"/>
          <w:sz w:val="21"/>
        </w:rPr>
        <w:t xml:space="preserve"> </w:t>
      </w:r>
      <w:r>
        <w:rPr>
          <w:b/>
          <w:sz w:val="21"/>
        </w:rPr>
        <w:t>school type, and census region: 2022</w:t>
      </w:r>
    </w:p>
    <w:p w:rsidR="003F5784" w14:paraId="32E87E3B" w14:textId="77777777">
      <w:pPr>
        <w:pStyle w:val="BodyText"/>
        <w:spacing w:before="1"/>
        <w:rPr>
          <w:b/>
          <w:sz w:val="12"/>
        </w:rPr>
      </w:pPr>
    </w:p>
    <w:tbl>
      <w:tblPr>
        <w:tblW w:w="0" w:type="auto"/>
        <w:tblInd w:w="482" w:type="dxa"/>
        <w:tblLayout w:type="fixed"/>
        <w:tblCellMar>
          <w:left w:w="0" w:type="dxa"/>
          <w:right w:w="0" w:type="dxa"/>
        </w:tblCellMar>
        <w:tblLook w:val="01E0"/>
      </w:tblPr>
      <w:tblGrid>
        <w:gridCol w:w="656"/>
        <w:gridCol w:w="2014"/>
        <w:gridCol w:w="2324"/>
        <w:gridCol w:w="3022"/>
        <w:gridCol w:w="2809"/>
        <w:gridCol w:w="3161"/>
      </w:tblGrid>
      <w:tr w14:paraId="50A4C0CE" w14:textId="77777777">
        <w:tblPrEx>
          <w:tblW w:w="0" w:type="auto"/>
          <w:tblInd w:w="482" w:type="dxa"/>
          <w:tblLayout w:type="fixed"/>
          <w:tblCellMar>
            <w:left w:w="0" w:type="dxa"/>
            <w:right w:w="0" w:type="dxa"/>
          </w:tblCellMar>
          <w:tblLook w:val="01E0"/>
        </w:tblPrEx>
        <w:trPr>
          <w:trHeight w:val="736"/>
        </w:trPr>
        <w:tc>
          <w:tcPr>
            <w:tcW w:w="656" w:type="dxa"/>
            <w:tcBorders>
              <w:top w:val="single" w:sz="18" w:space="0" w:color="800000"/>
              <w:bottom w:val="single" w:sz="18" w:space="0" w:color="800000"/>
            </w:tcBorders>
          </w:tcPr>
          <w:p w:rsidR="003F5784" w14:paraId="1C3F6691" w14:textId="77777777">
            <w:pPr>
              <w:pStyle w:val="TableParagraph"/>
              <w:spacing w:before="237"/>
              <w:jc w:val="left"/>
              <w:rPr>
                <w:b/>
                <w:sz w:val="21"/>
              </w:rPr>
            </w:pPr>
          </w:p>
          <w:p w:rsidR="003F5784" w14:paraId="474E86F1" w14:textId="77777777">
            <w:pPr>
              <w:pStyle w:val="TableParagraph"/>
              <w:spacing w:before="0" w:line="238" w:lineRule="exact"/>
              <w:ind w:left="120"/>
              <w:jc w:val="left"/>
              <w:rPr>
                <w:sz w:val="21"/>
              </w:rPr>
            </w:pPr>
            <w:r>
              <w:rPr>
                <w:spacing w:val="-5"/>
                <w:sz w:val="21"/>
              </w:rPr>
              <w:t>Age</w:t>
            </w:r>
          </w:p>
        </w:tc>
        <w:tc>
          <w:tcPr>
            <w:tcW w:w="2014" w:type="dxa"/>
            <w:tcBorders>
              <w:top w:val="single" w:sz="18" w:space="0" w:color="800000"/>
              <w:bottom w:val="single" w:sz="18" w:space="0" w:color="800000"/>
            </w:tcBorders>
          </w:tcPr>
          <w:p w:rsidR="003F5784" w14:paraId="2A9BA338" w14:textId="77777777">
            <w:pPr>
              <w:pStyle w:val="TableParagraph"/>
              <w:spacing w:before="7"/>
              <w:jc w:val="left"/>
              <w:rPr>
                <w:b/>
                <w:sz w:val="21"/>
              </w:rPr>
            </w:pPr>
          </w:p>
          <w:p w:rsidR="003F5784" w14:paraId="2FD162C0" w14:textId="77777777">
            <w:pPr>
              <w:pStyle w:val="TableParagraph"/>
              <w:spacing w:before="0" w:line="234" w:lineRule="exact"/>
              <w:ind w:left="187" w:right="480"/>
              <w:jc w:val="left"/>
              <w:rPr>
                <w:sz w:val="21"/>
              </w:rPr>
            </w:pPr>
            <w:r>
              <w:rPr>
                <w:sz w:val="21"/>
              </w:rPr>
              <w:t>School</w:t>
            </w:r>
            <w:r>
              <w:rPr>
                <w:spacing w:val="-14"/>
                <w:sz w:val="21"/>
              </w:rPr>
              <w:t xml:space="preserve"> </w:t>
            </w:r>
            <w:r>
              <w:rPr>
                <w:sz w:val="21"/>
              </w:rPr>
              <w:t>type</w:t>
            </w:r>
            <w:r>
              <w:rPr>
                <w:spacing w:val="-13"/>
                <w:sz w:val="21"/>
              </w:rPr>
              <w:t xml:space="preserve"> </w:t>
            </w:r>
            <w:r>
              <w:rPr>
                <w:sz w:val="21"/>
              </w:rPr>
              <w:t>and census region</w:t>
            </w:r>
          </w:p>
        </w:tc>
        <w:tc>
          <w:tcPr>
            <w:tcW w:w="2324" w:type="dxa"/>
            <w:tcBorders>
              <w:top w:val="single" w:sz="18" w:space="0" w:color="800000"/>
              <w:bottom w:val="single" w:sz="18" w:space="0" w:color="800000"/>
            </w:tcBorders>
          </w:tcPr>
          <w:p w:rsidR="003F5784" w14:paraId="0EC63D90" w14:textId="77777777">
            <w:pPr>
              <w:pStyle w:val="TableParagraph"/>
              <w:spacing w:before="15" w:line="232" w:lineRule="auto"/>
              <w:ind w:left="754" w:right="392" w:hanging="274"/>
              <w:rPr>
                <w:sz w:val="21"/>
              </w:rPr>
            </w:pPr>
            <w:r>
              <w:rPr>
                <w:spacing w:val="-2"/>
                <w:sz w:val="21"/>
              </w:rPr>
              <w:t>Weighted</w:t>
            </w:r>
            <w:r>
              <w:rPr>
                <w:spacing w:val="-12"/>
                <w:sz w:val="21"/>
              </w:rPr>
              <w:t xml:space="preserve"> </w:t>
            </w:r>
            <w:r>
              <w:rPr>
                <w:spacing w:val="-2"/>
                <w:sz w:val="21"/>
              </w:rPr>
              <w:t xml:space="preserve">student </w:t>
            </w:r>
            <w:r>
              <w:rPr>
                <w:sz w:val="21"/>
              </w:rPr>
              <w:t>response</w:t>
            </w:r>
            <w:r>
              <w:rPr>
                <w:spacing w:val="-9"/>
                <w:sz w:val="21"/>
              </w:rPr>
              <w:t xml:space="preserve"> </w:t>
            </w:r>
            <w:r>
              <w:rPr>
                <w:spacing w:val="-4"/>
                <w:sz w:val="21"/>
              </w:rPr>
              <w:t>rates</w:t>
            </w:r>
          </w:p>
          <w:p w:rsidR="003F5784" w14:paraId="663480AC" w14:textId="77777777">
            <w:pPr>
              <w:pStyle w:val="TableParagraph"/>
              <w:spacing w:before="0" w:line="233" w:lineRule="exact"/>
              <w:ind w:right="392"/>
              <w:rPr>
                <w:sz w:val="21"/>
              </w:rPr>
            </w:pPr>
            <w:r>
              <w:rPr>
                <w:spacing w:val="-2"/>
                <w:sz w:val="21"/>
              </w:rPr>
              <w:t>(percent)</w:t>
            </w:r>
          </w:p>
        </w:tc>
        <w:tc>
          <w:tcPr>
            <w:tcW w:w="3022" w:type="dxa"/>
            <w:tcBorders>
              <w:top w:val="single" w:sz="18" w:space="0" w:color="800000"/>
              <w:bottom w:val="single" w:sz="18" w:space="0" w:color="800000"/>
            </w:tcBorders>
          </w:tcPr>
          <w:p w:rsidR="003F5784" w14:paraId="07392BA4" w14:textId="77777777">
            <w:pPr>
              <w:pStyle w:val="TableParagraph"/>
              <w:spacing w:before="9" w:line="238" w:lineRule="exact"/>
              <w:ind w:right="392"/>
              <w:rPr>
                <w:sz w:val="21"/>
              </w:rPr>
            </w:pPr>
            <w:r>
              <w:rPr>
                <w:sz w:val="21"/>
              </w:rPr>
              <w:t>Weighted</w:t>
            </w:r>
            <w:r>
              <w:rPr>
                <w:spacing w:val="-15"/>
                <w:sz w:val="21"/>
              </w:rPr>
              <w:t xml:space="preserve"> </w:t>
            </w:r>
            <w:r>
              <w:rPr>
                <w:sz w:val="21"/>
              </w:rPr>
              <w:t>percentage</w:t>
            </w:r>
            <w:r>
              <w:rPr>
                <w:spacing w:val="-13"/>
                <w:sz w:val="21"/>
              </w:rPr>
              <w:t xml:space="preserve"> </w:t>
            </w:r>
            <w:r>
              <w:rPr>
                <w:sz w:val="21"/>
              </w:rPr>
              <w:t>of</w:t>
            </w:r>
            <w:r>
              <w:rPr>
                <w:spacing w:val="-13"/>
                <w:sz w:val="21"/>
              </w:rPr>
              <w:t xml:space="preserve"> </w:t>
            </w:r>
            <w:r>
              <w:rPr>
                <w:spacing w:val="-5"/>
                <w:sz w:val="21"/>
              </w:rPr>
              <w:t>all</w:t>
            </w:r>
          </w:p>
          <w:p w:rsidR="003F5784" w14:paraId="374BEE4C" w14:textId="77777777">
            <w:pPr>
              <w:pStyle w:val="TableParagraph"/>
              <w:spacing w:before="2" w:line="234" w:lineRule="exact"/>
              <w:ind w:left="484" w:right="392" w:firstLine="781"/>
              <w:rPr>
                <w:sz w:val="21"/>
              </w:rPr>
            </w:pPr>
            <w:r>
              <w:rPr>
                <w:spacing w:val="-2"/>
                <w:sz w:val="21"/>
              </w:rPr>
              <w:t>eligible</w:t>
            </w:r>
            <w:r>
              <w:rPr>
                <w:spacing w:val="-12"/>
                <w:sz w:val="21"/>
              </w:rPr>
              <w:t xml:space="preserve"> </w:t>
            </w:r>
            <w:r>
              <w:rPr>
                <w:spacing w:val="-2"/>
                <w:sz w:val="21"/>
              </w:rPr>
              <w:t xml:space="preserve">students </w:t>
            </w:r>
            <w:r>
              <w:rPr>
                <w:sz w:val="21"/>
              </w:rPr>
              <w:t>who</w:t>
            </w:r>
            <w:r>
              <w:rPr>
                <w:spacing w:val="-4"/>
                <w:sz w:val="21"/>
              </w:rPr>
              <w:t xml:space="preserve"> </w:t>
            </w:r>
            <w:r>
              <w:rPr>
                <w:sz w:val="21"/>
              </w:rPr>
              <w:t>are</w:t>
            </w:r>
            <w:r>
              <w:rPr>
                <w:spacing w:val="-4"/>
                <w:sz w:val="21"/>
              </w:rPr>
              <w:t xml:space="preserve"> </w:t>
            </w:r>
            <w:r>
              <w:rPr>
                <w:sz w:val="21"/>
              </w:rPr>
              <w:t>SD</w:t>
            </w:r>
            <w:r>
              <w:rPr>
                <w:spacing w:val="-4"/>
                <w:sz w:val="21"/>
              </w:rPr>
              <w:t xml:space="preserve"> </w:t>
            </w:r>
            <w:r>
              <w:rPr>
                <w:sz w:val="21"/>
              </w:rPr>
              <w:t>and</w:t>
            </w:r>
            <w:r>
              <w:rPr>
                <w:spacing w:val="-4"/>
                <w:sz w:val="21"/>
              </w:rPr>
              <w:t xml:space="preserve"> </w:t>
            </w:r>
            <w:r>
              <w:rPr>
                <w:spacing w:val="-2"/>
                <w:sz w:val="21"/>
              </w:rPr>
              <w:t>excluded</w:t>
            </w:r>
          </w:p>
        </w:tc>
        <w:tc>
          <w:tcPr>
            <w:tcW w:w="2809" w:type="dxa"/>
            <w:tcBorders>
              <w:top w:val="single" w:sz="18" w:space="0" w:color="800000"/>
              <w:bottom w:val="single" w:sz="18" w:space="0" w:color="800000"/>
            </w:tcBorders>
          </w:tcPr>
          <w:p w:rsidR="003F5784" w14:paraId="7701AA87" w14:textId="77777777">
            <w:pPr>
              <w:pStyle w:val="TableParagraph"/>
              <w:spacing w:before="9" w:line="238" w:lineRule="exact"/>
              <w:ind w:right="180"/>
              <w:rPr>
                <w:sz w:val="21"/>
              </w:rPr>
            </w:pPr>
            <w:r>
              <w:rPr>
                <w:sz w:val="21"/>
              </w:rPr>
              <w:t>Weighted</w:t>
            </w:r>
            <w:r>
              <w:rPr>
                <w:spacing w:val="-15"/>
                <w:sz w:val="21"/>
              </w:rPr>
              <w:t xml:space="preserve"> </w:t>
            </w:r>
            <w:r>
              <w:rPr>
                <w:sz w:val="21"/>
              </w:rPr>
              <w:t>percentage</w:t>
            </w:r>
            <w:r>
              <w:rPr>
                <w:spacing w:val="-13"/>
                <w:sz w:val="21"/>
              </w:rPr>
              <w:t xml:space="preserve"> </w:t>
            </w:r>
            <w:r>
              <w:rPr>
                <w:sz w:val="21"/>
              </w:rPr>
              <w:t>of</w:t>
            </w:r>
            <w:r>
              <w:rPr>
                <w:spacing w:val="-13"/>
                <w:sz w:val="21"/>
              </w:rPr>
              <w:t xml:space="preserve"> </w:t>
            </w:r>
            <w:r>
              <w:rPr>
                <w:spacing w:val="-5"/>
                <w:sz w:val="21"/>
              </w:rPr>
              <w:t>all</w:t>
            </w:r>
          </w:p>
          <w:p w:rsidR="003F5784" w14:paraId="15F803D8" w14:textId="77777777">
            <w:pPr>
              <w:pStyle w:val="TableParagraph"/>
              <w:spacing w:before="2" w:line="234" w:lineRule="exact"/>
              <w:ind w:left="503" w:right="180" w:firstLine="761"/>
              <w:rPr>
                <w:sz w:val="21"/>
              </w:rPr>
            </w:pPr>
            <w:r>
              <w:rPr>
                <w:spacing w:val="-2"/>
                <w:sz w:val="21"/>
              </w:rPr>
              <w:t>eligible</w:t>
            </w:r>
            <w:r>
              <w:rPr>
                <w:spacing w:val="-12"/>
                <w:sz w:val="21"/>
              </w:rPr>
              <w:t xml:space="preserve"> </w:t>
            </w:r>
            <w:r>
              <w:rPr>
                <w:spacing w:val="-2"/>
                <w:sz w:val="21"/>
              </w:rPr>
              <w:t xml:space="preserve">students </w:t>
            </w:r>
            <w:r>
              <w:rPr>
                <w:sz w:val="21"/>
              </w:rPr>
              <w:t>who</w:t>
            </w:r>
            <w:r>
              <w:rPr>
                <w:spacing w:val="-5"/>
                <w:sz w:val="21"/>
              </w:rPr>
              <w:t xml:space="preserve"> </w:t>
            </w:r>
            <w:r>
              <w:rPr>
                <w:sz w:val="21"/>
              </w:rPr>
              <w:t>are</w:t>
            </w:r>
            <w:r>
              <w:rPr>
                <w:spacing w:val="-4"/>
                <w:sz w:val="21"/>
              </w:rPr>
              <w:t xml:space="preserve"> </w:t>
            </w:r>
            <w:r>
              <w:rPr>
                <w:sz w:val="21"/>
              </w:rPr>
              <w:t>EL</w:t>
            </w:r>
            <w:r>
              <w:rPr>
                <w:spacing w:val="-11"/>
                <w:sz w:val="21"/>
              </w:rPr>
              <w:t xml:space="preserve"> </w:t>
            </w:r>
            <w:r>
              <w:rPr>
                <w:sz w:val="21"/>
              </w:rPr>
              <w:t>and</w:t>
            </w:r>
            <w:r>
              <w:rPr>
                <w:spacing w:val="-4"/>
                <w:sz w:val="21"/>
              </w:rPr>
              <w:t xml:space="preserve"> </w:t>
            </w:r>
            <w:r>
              <w:rPr>
                <w:spacing w:val="-2"/>
                <w:sz w:val="21"/>
              </w:rPr>
              <w:t>excluded</w:t>
            </w:r>
          </w:p>
        </w:tc>
        <w:tc>
          <w:tcPr>
            <w:tcW w:w="3161" w:type="dxa"/>
            <w:tcBorders>
              <w:top w:val="single" w:sz="18" w:space="0" w:color="800000"/>
              <w:bottom w:val="single" w:sz="18" w:space="0" w:color="800000"/>
            </w:tcBorders>
          </w:tcPr>
          <w:p w:rsidR="003F5784" w14:paraId="66B82040" w14:textId="77777777">
            <w:pPr>
              <w:pStyle w:val="TableParagraph"/>
              <w:spacing w:before="2"/>
              <w:jc w:val="left"/>
              <w:rPr>
                <w:b/>
                <w:sz w:val="21"/>
              </w:rPr>
            </w:pPr>
          </w:p>
          <w:p w:rsidR="003F5784" w14:paraId="40BA2C97" w14:textId="77777777">
            <w:pPr>
              <w:pStyle w:val="TableParagraph"/>
              <w:spacing w:before="0" w:line="238" w:lineRule="exact"/>
              <w:ind w:right="119"/>
              <w:rPr>
                <w:sz w:val="21"/>
              </w:rPr>
            </w:pPr>
            <w:r>
              <w:rPr>
                <w:spacing w:val="-2"/>
                <w:sz w:val="21"/>
              </w:rPr>
              <w:t>Weighted</w:t>
            </w:r>
            <w:r>
              <w:rPr>
                <w:spacing w:val="2"/>
                <w:sz w:val="21"/>
              </w:rPr>
              <w:t xml:space="preserve"> </w:t>
            </w:r>
            <w:r>
              <w:rPr>
                <w:spacing w:val="-2"/>
                <w:sz w:val="21"/>
              </w:rPr>
              <w:t>student</w:t>
            </w:r>
            <w:r>
              <w:rPr>
                <w:spacing w:val="2"/>
                <w:sz w:val="21"/>
              </w:rPr>
              <w:t xml:space="preserve"> </w:t>
            </w:r>
            <w:r>
              <w:rPr>
                <w:spacing w:val="-2"/>
                <w:sz w:val="21"/>
              </w:rPr>
              <w:t>full-time</w:t>
            </w:r>
            <w:r>
              <w:rPr>
                <w:spacing w:val="2"/>
                <w:sz w:val="21"/>
              </w:rPr>
              <w:t xml:space="preserve"> </w:t>
            </w:r>
            <w:r>
              <w:rPr>
                <w:spacing w:val="-2"/>
                <w:sz w:val="21"/>
              </w:rPr>
              <w:t>remote</w:t>
            </w:r>
          </w:p>
          <w:p w:rsidR="003F5784" w14:paraId="414D6191" w14:textId="77777777">
            <w:pPr>
              <w:pStyle w:val="TableParagraph"/>
              <w:spacing w:before="0" w:line="235" w:lineRule="exact"/>
              <w:ind w:right="119"/>
              <w:rPr>
                <w:sz w:val="21"/>
              </w:rPr>
            </w:pPr>
            <w:r>
              <w:rPr>
                <w:sz w:val="21"/>
              </w:rPr>
              <w:t>rates</w:t>
            </w:r>
            <w:r>
              <w:rPr>
                <w:spacing w:val="-5"/>
                <w:sz w:val="21"/>
              </w:rPr>
              <w:t xml:space="preserve"> </w:t>
            </w:r>
            <w:r>
              <w:rPr>
                <w:spacing w:val="-2"/>
                <w:sz w:val="21"/>
              </w:rPr>
              <w:t>(percent)</w:t>
            </w:r>
          </w:p>
        </w:tc>
      </w:tr>
    </w:tbl>
    <w:p w:rsidR="003F5784" w14:paraId="5B858377" w14:textId="77777777">
      <w:pPr>
        <w:spacing w:line="235" w:lineRule="exact"/>
        <w:rPr>
          <w:sz w:val="21"/>
        </w:rPr>
        <w:sectPr>
          <w:type w:val="continuous"/>
          <w:pgSz w:w="15840" w:h="12240" w:orient="landscape"/>
          <w:pgMar w:top="480" w:right="440" w:bottom="460" w:left="460" w:header="284" w:footer="275" w:gutter="0"/>
          <w:cols w:space="720"/>
        </w:sectPr>
      </w:pPr>
    </w:p>
    <w:p w:rsidR="003F5784" w14:paraId="2C1143E6" w14:textId="77777777">
      <w:pPr>
        <w:pStyle w:val="BodyText"/>
        <w:rPr>
          <w:b/>
        </w:rPr>
      </w:pPr>
    </w:p>
    <w:p w:rsidR="003F5784" w14:paraId="2D6695F6" w14:textId="77777777">
      <w:pPr>
        <w:pStyle w:val="BodyText"/>
        <w:spacing w:before="84"/>
        <w:rPr>
          <w:b/>
        </w:rPr>
      </w:pPr>
    </w:p>
    <w:p w:rsidR="003F5784" w14:paraId="5393DC2D" w14:textId="77777777">
      <w:pPr>
        <w:pStyle w:val="BodyText"/>
        <w:ind w:left="595"/>
      </w:pPr>
      <w:r>
        <w:rPr>
          <w:spacing w:val="-5"/>
        </w:rPr>
        <w:t>Age</w:t>
      </w:r>
    </w:p>
    <w:p w:rsidR="003F5784" w14:paraId="6A729412" w14:textId="77777777">
      <w:pPr>
        <w:spacing w:before="97"/>
        <w:rPr>
          <w:sz w:val="21"/>
        </w:rPr>
      </w:pPr>
      <w:r>
        <w:br w:type="column"/>
      </w:r>
    </w:p>
    <w:p w:rsidR="003F5784" w14:paraId="48A75BB1" w14:textId="77777777">
      <w:pPr>
        <w:pStyle w:val="BodyText"/>
        <w:spacing w:line="232" w:lineRule="auto"/>
        <w:ind w:left="335" w:right="38"/>
      </w:pPr>
      <w:r>
        <w:t>School</w:t>
      </w:r>
      <w:r>
        <w:rPr>
          <w:spacing w:val="-14"/>
        </w:rPr>
        <w:t xml:space="preserve"> </w:t>
      </w:r>
      <w:r>
        <w:t>type</w:t>
      </w:r>
      <w:r>
        <w:rPr>
          <w:spacing w:val="-13"/>
        </w:rPr>
        <w:t xml:space="preserve"> </w:t>
      </w:r>
      <w:r>
        <w:t>and census region</w:t>
      </w:r>
    </w:p>
    <w:p w:rsidR="003F5784" w14:paraId="57757761" w14:textId="77777777">
      <w:pPr>
        <w:pStyle w:val="BodyText"/>
        <w:spacing w:before="104" w:line="232" w:lineRule="auto"/>
        <w:ind w:left="868" w:right="38" w:hanging="274"/>
        <w:jc w:val="right"/>
      </w:pPr>
      <w:r>
        <w:br w:type="column"/>
      </w:r>
      <w:r>
        <w:rPr>
          <w:spacing w:val="-2"/>
        </w:rPr>
        <w:t>Weighted</w:t>
      </w:r>
      <w:r>
        <w:rPr>
          <w:spacing w:val="-12"/>
        </w:rPr>
        <w:t xml:space="preserve"> </w:t>
      </w:r>
      <w:r>
        <w:rPr>
          <w:spacing w:val="-2"/>
        </w:rPr>
        <w:t xml:space="preserve">student </w:t>
      </w:r>
      <w:r>
        <w:t>response</w:t>
      </w:r>
      <w:r>
        <w:rPr>
          <w:spacing w:val="-9"/>
        </w:rPr>
        <w:t xml:space="preserve"> </w:t>
      </w:r>
      <w:r>
        <w:rPr>
          <w:spacing w:val="-4"/>
        </w:rPr>
        <w:t>rates</w:t>
      </w:r>
    </w:p>
    <w:p w:rsidR="003F5784" w14:paraId="5071BB86" w14:textId="77777777">
      <w:pPr>
        <w:pStyle w:val="BodyText"/>
        <w:spacing w:line="236" w:lineRule="exact"/>
        <w:ind w:right="38"/>
        <w:jc w:val="right"/>
      </w:pPr>
      <w:r>
        <w:rPr>
          <w:spacing w:val="-2"/>
        </w:rPr>
        <w:t>(percent)</w:t>
      </w:r>
    </w:p>
    <w:p w:rsidR="003F5784" w14:paraId="3633E41D" w14:textId="77777777">
      <w:pPr>
        <w:pStyle w:val="BodyText"/>
        <w:spacing w:before="98" w:line="238" w:lineRule="exact"/>
        <w:ind w:right="38"/>
        <w:jc w:val="right"/>
      </w:pPr>
      <w:r>
        <w:br w:type="column"/>
        <w:t>Weighted</w:t>
      </w:r>
      <w:r>
        <w:rPr>
          <w:spacing w:val="-15"/>
        </w:rPr>
        <w:t xml:space="preserve"> </w:t>
      </w:r>
      <w:r>
        <w:t>percentage</w:t>
      </w:r>
      <w:r>
        <w:rPr>
          <w:spacing w:val="-13"/>
        </w:rPr>
        <w:t xml:space="preserve"> </w:t>
      </w:r>
      <w:r>
        <w:t>of</w:t>
      </w:r>
      <w:r>
        <w:rPr>
          <w:spacing w:val="-13"/>
        </w:rPr>
        <w:t xml:space="preserve"> </w:t>
      </w:r>
      <w:r>
        <w:rPr>
          <w:spacing w:val="-5"/>
        </w:rPr>
        <w:t>all</w:t>
      </w:r>
    </w:p>
    <w:p w:rsidR="003F5784" w14:paraId="7FC2FD9B" w14:textId="77777777">
      <w:pPr>
        <w:pStyle w:val="BodyText"/>
        <w:spacing w:before="3" w:line="232" w:lineRule="auto"/>
        <w:ind w:left="688" w:right="38" w:firstLine="781"/>
        <w:jc w:val="right"/>
      </w:pPr>
      <w:r>
        <w:rPr>
          <w:spacing w:val="-2"/>
        </w:rPr>
        <w:t>eligible</w:t>
      </w:r>
      <w:r>
        <w:rPr>
          <w:spacing w:val="-12"/>
        </w:rPr>
        <w:t xml:space="preserve"> </w:t>
      </w:r>
      <w:r>
        <w:rPr>
          <w:spacing w:val="-2"/>
        </w:rPr>
        <w:t xml:space="preserve">students </w:t>
      </w:r>
      <w:r>
        <w:t>who</w:t>
      </w:r>
      <w:r>
        <w:rPr>
          <w:spacing w:val="-4"/>
        </w:rPr>
        <w:t xml:space="preserve"> </w:t>
      </w:r>
      <w:r>
        <w:t>are</w:t>
      </w:r>
      <w:r>
        <w:rPr>
          <w:spacing w:val="-4"/>
        </w:rPr>
        <w:t xml:space="preserve"> </w:t>
      </w:r>
      <w:r>
        <w:t>SD</w:t>
      </w:r>
      <w:r>
        <w:rPr>
          <w:spacing w:val="-4"/>
        </w:rPr>
        <w:t xml:space="preserve"> </w:t>
      </w:r>
      <w:r>
        <w:t>and</w:t>
      </w:r>
      <w:r>
        <w:rPr>
          <w:spacing w:val="-4"/>
        </w:rPr>
        <w:t xml:space="preserve"> </w:t>
      </w:r>
      <w:r>
        <w:rPr>
          <w:spacing w:val="-2"/>
        </w:rPr>
        <w:t>excluded</w:t>
      </w:r>
    </w:p>
    <w:p w:rsidR="003F5784" w14:paraId="768811AD" w14:textId="77777777">
      <w:pPr>
        <w:pStyle w:val="BodyText"/>
        <w:spacing w:before="98" w:line="238" w:lineRule="exact"/>
        <w:jc w:val="right"/>
      </w:pPr>
      <w:r>
        <w:br w:type="column"/>
        <w:t>Weighted</w:t>
      </w:r>
      <w:r>
        <w:rPr>
          <w:spacing w:val="-15"/>
        </w:rPr>
        <w:t xml:space="preserve"> </w:t>
      </w:r>
      <w:r>
        <w:t>percentage</w:t>
      </w:r>
      <w:r>
        <w:rPr>
          <w:spacing w:val="-13"/>
        </w:rPr>
        <w:t xml:space="preserve"> </w:t>
      </w:r>
      <w:r>
        <w:t>of</w:t>
      </w:r>
      <w:r>
        <w:rPr>
          <w:spacing w:val="-13"/>
        </w:rPr>
        <w:t xml:space="preserve"> </w:t>
      </w:r>
      <w:r>
        <w:rPr>
          <w:spacing w:val="-5"/>
        </w:rPr>
        <w:t>all</w:t>
      </w:r>
    </w:p>
    <w:p w:rsidR="003F5784" w14:paraId="5D1B091D" w14:textId="77777777">
      <w:pPr>
        <w:pStyle w:val="BodyText"/>
        <w:spacing w:before="3" w:line="232" w:lineRule="auto"/>
        <w:ind w:left="707" w:firstLine="761"/>
        <w:jc w:val="right"/>
      </w:pPr>
      <w:r>
        <w:rPr>
          <w:spacing w:val="-2"/>
        </w:rPr>
        <w:t>eligible</w:t>
      </w:r>
      <w:r>
        <w:rPr>
          <w:spacing w:val="-12"/>
        </w:rPr>
        <w:t xml:space="preserve"> </w:t>
      </w:r>
      <w:r>
        <w:rPr>
          <w:spacing w:val="-2"/>
        </w:rPr>
        <w:t xml:space="preserve">students </w:t>
      </w:r>
      <w:r>
        <w:t>who</w:t>
      </w:r>
      <w:r>
        <w:rPr>
          <w:spacing w:val="-5"/>
        </w:rPr>
        <w:t xml:space="preserve"> </w:t>
      </w:r>
      <w:r>
        <w:t>are</w:t>
      </w:r>
      <w:r>
        <w:rPr>
          <w:spacing w:val="-4"/>
        </w:rPr>
        <w:t xml:space="preserve"> </w:t>
      </w:r>
      <w:r>
        <w:t>EL</w:t>
      </w:r>
      <w:r>
        <w:rPr>
          <w:spacing w:val="-11"/>
        </w:rPr>
        <w:t xml:space="preserve"> </w:t>
      </w:r>
      <w:r>
        <w:t>and</w:t>
      </w:r>
      <w:r>
        <w:rPr>
          <w:spacing w:val="-4"/>
        </w:rPr>
        <w:t xml:space="preserve"> </w:t>
      </w:r>
      <w:r>
        <w:rPr>
          <w:spacing w:val="-2"/>
        </w:rPr>
        <w:t>excluded</w:t>
      </w:r>
    </w:p>
    <w:p w:rsidR="003F5784" w14:paraId="713993B2" w14:textId="77777777">
      <w:pPr>
        <w:spacing w:before="91"/>
        <w:rPr>
          <w:sz w:val="21"/>
        </w:rPr>
      </w:pPr>
      <w:r>
        <w:br w:type="column"/>
      </w:r>
    </w:p>
    <w:p w:rsidR="003F5784" w14:paraId="48E3FEA9" w14:textId="77777777">
      <w:pPr>
        <w:pStyle w:val="BodyText"/>
        <w:spacing w:line="238" w:lineRule="exact"/>
        <w:ind w:right="598"/>
        <w:jc w:val="right"/>
      </w:pPr>
      <w:r>
        <w:rPr>
          <w:spacing w:val="-2"/>
        </w:rPr>
        <w:t>Weighted</w:t>
      </w:r>
      <w:r>
        <w:rPr>
          <w:spacing w:val="2"/>
        </w:rPr>
        <w:t xml:space="preserve"> </w:t>
      </w:r>
      <w:r>
        <w:rPr>
          <w:spacing w:val="-2"/>
        </w:rPr>
        <w:t>student</w:t>
      </w:r>
      <w:r>
        <w:rPr>
          <w:spacing w:val="2"/>
        </w:rPr>
        <w:t xml:space="preserve"> </w:t>
      </w:r>
      <w:r>
        <w:rPr>
          <w:spacing w:val="-2"/>
        </w:rPr>
        <w:t>full-time</w:t>
      </w:r>
      <w:r>
        <w:rPr>
          <w:spacing w:val="2"/>
        </w:rPr>
        <w:t xml:space="preserve"> </w:t>
      </w:r>
      <w:r>
        <w:rPr>
          <w:spacing w:val="-2"/>
        </w:rPr>
        <w:t>remote</w:t>
      </w:r>
    </w:p>
    <w:p w:rsidR="003F5784" w14:paraId="6DAD81EB" w14:textId="77777777">
      <w:pPr>
        <w:pStyle w:val="BodyText"/>
        <w:spacing w:line="238" w:lineRule="exact"/>
        <w:ind w:right="598"/>
        <w:jc w:val="right"/>
      </w:pPr>
      <w:r>
        <w:t>rates</w:t>
      </w:r>
      <w:r>
        <w:rPr>
          <w:spacing w:val="-5"/>
        </w:rPr>
        <w:t xml:space="preserve"> </w:t>
      </w:r>
      <w:r>
        <w:rPr>
          <w:spacing w:val="-2"/>
        </w:rPr>
        <w:t>(percent)</w:t>
      </w:r>
    </w:p>
    <w:p w:rsidR="003F5784" w14:paraId="345DFD1F" w14:textId="77777777">
      <w:pPr>
        <w:spacing w:line="238" w:lineRule="exact"/>
        <w:jc w:val="right"/>
        <w:sectPr>
          <w:pgSz w:w="15840" w:h="12240" w:orient="landscape"/>
          <w:pgMar w:top="480" w:right="440" w:bottom="460" w:left="460" w:header="284" w:footer="275" w:gutter="0"/>
          <w:cols w:num="6" w:space="720" w:equalWidth="0">
            <w:col w:w="943" w:space="40"/>
            <w:col w:w="1720" w:space="328"/>
            <w:col w:w="2084" w:space="150"/>
            <w:col w:w="2871" w:space="151"/>
            <w:col w:w="2831" w:space="40"/>
            <w:col w:w="3782"/>
          </w:cols>
        </w:sectPr>
      </w:pPr>
    </w:p>
    <w:tbl>
      <w:tblPr>
        <w:tblW w:w="0" w:type="auto"/>
        <w:tblInd w:w="482" w:type="dxa"/>
        <w:tblLayout w:type="fixed"/>
        <w:tblCellMar>
          <w:left w:w="0" w:type="dxa"/>
          <w:right w:w="0" w:type="dxa"/>
        </w:tblCellMar>
        <w:tblLook w:val="01E0"/>
      </w:tblPr>
      <w:tblGrid>
        <w:gridCol w:w="789"/>
        <w:gridCol w:w="2514"/>
        <w:gridCol w:w="2623"/>
        <w:gridCol w:w="3021"/>
        <w:gridCol w:w="3121"/>
        <w:gridCol w:w="1912"/>
      </w:tblGrid>
      <w:tr w14:paraId="32804DD8" w14:textId="77777777">
        <w:tblPrEx>
          <w:tblW w:w="0" w:type="auto"/>
          <w:tblInd w:w="482" w:type="dxa"/>
          <w:tblLayout w:type="fixed"/>
          <w:tblCellMar>
            <w:left w:w="0" w:type="dxa"/>
            <w:right w:w="0" w:type="dxa"/>
          </w:tblCellMar>
          <w:tblLook w:val="01E0"/>
        </w:tblPrEx>
        <w:trPr>
          <w:trHeight w:val="330"/>
        </w:trPr>
        <w:tc>
          <w:tcPr>
            <w:tcW w:w="789" w:type="dxa"/>
            <w:tcBorders>
              <w:top w:val="single" w:sz="18" w:space="0" w:color="800000"/>
            </w:tcBorders>
          </w:tcPr>
          <w:p w:rsidR="003F5784" w14:paraId="14C465B5" w14:textId="77777777">
            <w:pPr>
              <w:pStyle w:val="TableParagraph"/>
              <w:spacing w:before="9"/>
              <w:ind w:left="120"/>
              <w:jc w:val="left"/>
              <w:rPr>
                <w:sz w:val="21"/>
              </w:rPr>
            </w:pPr>
            <w:r>
              <w:rPr>
                <w:spacing w:val="-10"/>
                <w:sz w:val="21"/>
              </w:rPr>
              <w:t>9</w:t>
            </w:r>
          </w:p>
        </w:tc>
        <w:tc>
          <w:tcPr>
            <w:tcW w:w="2514" w:type="dxa"/>
            <w:tcBorders>
              <w:top w:val="single" w:sz="18" w:space="0" w:color="800000"/>
            </w:tcBorders>
          </w:tcPr>
          <w:p w:rsidR="003F5784" w14:paraId="4D7E8341" w14:textId="77777777">
            <w:pPr>
              <w:pStyle w:val="TableParagraph"/>
              <w:spacing w:before="19"/>
              <w:ind w:left="460"/>
              <w:jc w:val="left"/>
              <w:rPr>
                <w:b/>
                <w:sz w:val="17"/>
              </w:rPr>
            </w:pPr>
            <w:r>
              <w:rPr>
                <w:b/>
                <w:sz w:val="21"/>
              </w:rPr>
              <w:t>National</w:t>
            </w:r>
            <w:r>
              <w:rPr>
                <w:b/>
                <w:spacing w:val="-9"/>
                <w:sz w:val="21"/>
              </w:rPr>
              <w:t xml:space="preserve"> </w:t>
            </w:r>
            <w:r>
              <w:rPr>
                <w:b/>
                <w:spacing w:val="-4"/>
                <w:sz w:val="21"/>
              </w:rPr>
              <w:t>all</w:t>
            </w:r>
            <w:r>
              <w:rPr>
                <w:b/>
                <w:spacing w:val="-4"/>
                <w:position w:val="8"/>
                <w:sz w:val="17"/>
              </w:rPr>
              <w:t>1</w:t>
            </w:r>
          </w:p>
        </w:tc>
        <w:tc>
          <w:tcPr>
            <w:tcW w:w="2623" w:type="dxa"/>
            <w:tcBorders>
              <w:top w:val="single" w:sz="18" w:space="0" w:color="800000"/>
            </w:tcBorders>
          </w:tcPr>
          <w:p w:rsidR="003F5784" w14:paraId="097E3ECA" w14:textId="77777777">
            <w:pPr>
              <w:pStyle w:val="TableParagraph"/>
              <w:spacing w:before="9"/>
              <w:ind w:left="827"/>
              <w:jc w:val="left"/>
              <w:rPr>
                <w:b/>
                <w:sz w:val="21"/>
              </w:rPr>
            </w:pPr>
            <w:r>
              <w:rPr>
                <w:b/>
                <w:spacing w:val="-2"/>
                <w:sz w:val="21"/>
              </w:rPr>
              <w:t>87.08</w:t>
            </w:r>
          </w:p>
        </w:tc>
        <w:tc>
          <w:tcPr>
            <w:tcW w:w="3021" w:type="dxa"/>
            <w:tcBorders>
              <w:top w:val="single" w:sz="18" w:space="0" w:color="800000"/>
            </w:tcBorders>
          </w:tcPr>
          <w:p w:rsidR="003F5784" w14:paraId="4B3B8D9E" w14:textId="77777777">
            <w:pPr>
              <w:pStyle w:val="TableParagraph"/>
              <w:spacing w:before="9"/>
              <w:ind w:left="265" w:right="261"/>
              <w:jc w:val="center"/>
              <w:rPr>
                <w:b/>
                <w:sz w:val="21"/>
              </w:rPr>
            </w:pPr>
            <w:r>
              <w:rPr>
                <w:b/>
                <w:spacing w:val="-4"/>
                <w:sz w:val="21"/>
              </w:rPr>
              <w:t>1.55</w:t>
            </w:r>
          </w:p>
        </w:tc>
        <w:tc>
          <w:tcPr>
            <w:tcW w:w="3121" w:type="dxa"/>
            <w:tcBorders>
              <w:top w:val="single" w:sz="18" w:space="0" w:color="800000"/>
            </w:tcBorders>
          </w:tcPr>
          <w:p w:rsidR="003F5784" w14:paraId="46B4D61E" w14:textId="77777777">
            <w:pPr>
              <w:pStyle w:val="TableParagraph"/>
              <w:spacing w:before="9"/>
              <w:ind w:left="166" w:right="258"/>
              <w:jc w:val="center"/>
              <w:rPr>
                <w:b/>
                <w:sz w:val="21"/>
              </w:rPr>
            </w:pPr>
            <w:r>
              <w:rPr>
                <w:b/>
                <w:spacing w:val="-4"/>
                <w:sz w:val="21"/>
              </w:rPr>
              <w:t>0.63</w:t>
            </w:r>
          </w:p>
        </w:tc>
        <w:tc>
          <w:tcPr>
            <w:tcW w:w="1912" w:type="dxa"/>
            <w:tcBorders>
              <w:top w:val="single" w:sz="18" w:space="0" w:color="800000"/>
            </w:tcBorders>
          </w:tcPr>
          <w:p w:rsidR="003F5784" w14:paraId="22871012" w14:textId="77777777">
            <w:pPr>
              <w:pStyle w:val="TableParagraph"/>
              <w:spacing w:before="9"/>
              <w:ind w:right="113"/>
              <w:rPr>
                <w:b/>
                <w:sz w:val="21"/>
              </w:rPr>
            </w:pPr>
            <w:r>
              <w:rPr>
                <w:b/>
                <w:spacing w:val="-4"/>
                <w:sz w:val="21"/>
              </w:rPr>
              <w:t>0.71</w:t>
            </w:r>
          </w:p>
        </w:tc>
      </w:tr>
      <w:tr w14:paraId="614EC5EB" w14:textId="77777777">
        <w:tblPrEx>
          <w:tblW w:w="0" w:type="auto"/>
          <w:tblInd w:w="482" w:type="dxa"/>
          <w:tblLayout w:type="fixed"/>
          <w:tblCellMar>
            <w:left w:w="0" w:type="dxa"/>
            <w:right w:w="0" w:type="dxa"/>
          </w:tblCellMar>
          <w:tblLook w:val="01E0"/>
        </w:tblPrEx>
        <w:trPr>
          <w:trHeight w:val="286"/>
        </w:trPr>
        <w:tc>
          <w:tcPr>
            <w:tcW w:w="789" w:type="dxa"/>
          </w:tcPr>
          <w:p w:rsidR="003F5784" w14:paraId="7F371FFF" w14:textId="77777777">
            <w:pPr>
              <w:pStyle w:val="TableParagraph"/>
              <w:spacing w:before="0"/>
              <w:jc w:val="left"/>
              <w:rPr>
                <w:sz w:val="20"/>
              </w:rPr>
            </w:pPr>
          </w:p>
        </w:tc>
        <w:tc>
          <w:tcPr>
            <w:tcW w:w="2514" w:type="dxa"/>
          </w:tcPr>
          <w:p w:rsidR="003F5784" w14:paraId="00D37340" w14:textId="77777777">
            <w:pPr>
              <w:pStyle w:val="TableParagraph"/>
              <w:ind w:left="54"/>
              <w:jc w:val="left"/>
              <w:rPr>
                <w:sz w:val="21"/>
              </w:rPr>
            </w:pPr>
            <w:r>
              <w:rPr>
                <w:sz w:val="21"/>
              </w:rPr>
              <w:t>National</w:t>
            </w:r>
            <w:r>
              <w:rPr>
                <w:spacing w:val="-9"/>
                <w:sz w:val="21"/>
              </w:rPr>
              <w:t xml:space="preserve"> </w:t>
            </w:r>
            <w:r>
              <w:rPr>
                <w:spacing w:val="-2"/>
                <w:sz w:val="21"/>
              </w:rPr>
              <w:t>public</w:t>
            </w:r>
          </w:p>
        </w:tc>
        <w:tc>
          <w:tcPr>
            <w:tcW w:w="2623" w:type="dxa"/>
          </w:tcPr>
          <w:p w:rsidR="003F5784" w14:paraId="4AF90A3C" w14:textId="77777777">
            <w:pPr>
              <w:pStyle w:val="TableParagraph"/>
              <w:ind w:left="827"/>
              <w:jc w:val="left"/>
              <w:rPr>
                <w:sz w:val="21"/>
              </w:rPr>
            </w:pPr>
            <w:r>
              <w:rPr>
                <w:spacing w:val="-2"/>
                <w:sz w:val="21"/>
              </w:rPr>
              <w:t>86.96</w:t>
            </w:r>
          </w:p>
        </w:tc>
        <w:tc>
          <w:tcPr>
            <w:tcW w:w="3021" w:type="dxa"/>
          </w:tcPr>
          <w:p w:rsidR="003F5784" w14:paraId="4F0A6B2D" w14:textId="77777777">
            <w:pPr>
              <w:pStyle w:val="TableParagraph"/>
              <w:ind w:left="265" w:right="261"/>
              <w:jc w:val="center"/>
              <w:rPr>
                <w:sz w:val="21"/>
              </w:rPr>
            </w:pPr>
            <w:r>
              <w:rPr>
                <w:spacing w:val="-4"/>
                <w:sz w:val="21"/>
              </w:rPr>
              <w:t>1.67</w:t>
            </w:r>
          </w:p>
        </w:tc>
        <w:tc>
          <w:tcPr>
            <w:tcW w:w="3121" w:type="dxa"/>
          </w:tcPr>
          <w:p w:rsidR="003F5784" w14:paraId="5DBE784F" w14:textId="77777777">
            <w:pPr>
              <w:pStyle w:val="TableParagraph"/>
              <w:ind w:left="166" w:right="258"/>
              <w:jc w:val="center"/>
              <w:rPr>
                <w:sz w:val="21"/>
              </w:rPr>
            </w:pPr>
            <w:r>
              <w:rPr>
                <w:spacing w:val="-4"/>
                <w:sz w:val="21"/>
              </w:rPr>
              <w:t>0.68</w:t>
            </w:r>
          </w:p>
        </w:tc>
        <w:tc>
          <w:tcPr>
            <w:tcW w:w="1912" w:type="dxa"/>
          </w:tcPr>
          <w:p w:rsidR="003F5784" w14:paraId="6F1A5C2B" w14:textId="77777777">
            <w:pPr>
              <w:pStyle w:val="TableParagraph"/>
              <w:ind w:right="113"/>
              <w:rPr>
                <w:sz w:val="21"/>
              </w:rPr>
            </w:pPr>
            <w:r>
              <w:rPr>
                <w:spacing w:val="-4"/>
                <w:sz w:val="21"/>
              </w:rPr>
              <w:t>0.76</w:t>
            </w:r>
          </w:p>
        </w:tc>
      </w:tr>
      <w:tr w14:paraId="57D6E230" w14:textId="77777777">
        <w:tblPrEx>
          <w:tblW w:w="0" w:type="auto"/>
          <w:tblInd w:w="482" w:type="dxa"/>
          <w:tblLayout w:type="fixed"/>
          <w:tblCellMar>
            <w:left w:w="0" w:type="dxa"/>
            <w:right w:w="0" w:type="dxa"/>
          </w:tblCellMar>
          <w:tblLook w:val="01E0"/>
        </w:tblPrEx>
        <w:trPr>
          <w:trHeight w:val="286"/>
        </w:trPr>
        <w:tc>
          <w:tcPr>
            <w:tcW w:w="789" w:type="dxa"/>
          </w:tcPr>
          <w:p w:rsidR="003F5784" w14:paraId="260BC295" w14:textId="77777777">
            <w:pPr>
              <w:pStyle w:val="TableParagraph"/>
              <w:spacing w:before="0"/>
              <w:jc w:val="left"/>
              <w:rPr>
                <w:sz w:val="20"/>
              </w:rPr>
            </w:pPr>
          </w:p>
        </w:tc>
        <w:tc>
          <w:tcPr>
            <w:tcW w:w="2514" w:type="dxa"/>
          </w:tcPr>
          <w:p w:rsidR="003F5784" w14:paraId="2C348B6C" w14:textId="77777777">
            <w:pPr>
              <w:pStyle w:val="TableParagraph"/>
              <w:ind w:right="823"/>
              <w:rPr>
                <w:sz w:val="21"/>
              </w:rPr>
            </w:pPr>
            <w:r>
              <w:rPr>
                <w:sz w:val="21"/>
              </w:rPr>
              <w:t>Northeast</w:t>
            </w:r>
            <w:r>
              <w:rPr>
                <w:spacing w:val="-10"/>
                <w:sz w:val="21"/>
              </w:rPr>
              <w:t xml:space="preserve"> </w:t>
            </w:r>
            <w:r>
              <w:rPr>
                <w:spacing w:val="-2"/>
                <w:sz w:val="21"/>
              </w:rPr>
              <w:t>public</w:t>
            </w:r>
          </w:p>
        </w:tc>
        <w:tc>
          <w:tcPr>
            <w:tcW w:w="2623" w:type="dxa"/>
          </w:tcPr>
          <w:p w:rsidR="003F5784" w14:paraId="76D57809" w14:textId="77777777">
            <w:pPr>
              <w:pStyle w:val="TableParagraph"/>
              <w:ind w:left="827"/>
              <w:jc w:val="left"/>
              <w:rPr>
                <w:sz w:val="21"/>
              </w:rPr>
            </w:pPr>
            <w:r>
              <w:rPr>
                <w:spacing w:val="-2"/>
                <w:sz w:val="21"/>
              </w:rPr>
              <w:t>82.93</w:t>
            </w:r>
          </w:p>
        </w:tc>
        <w:tc>
          <w:tcPr>
            <w:tcW w:w="3021" w:type="dxa"/>
          </w:tcPr>
          <w:p w:rsidR="003F5784" w14:paraId="766AEE3F" w14:textId="77777777">
            <w:pPr>
              <w:pStyle w:val="TableParagraph"/>
              <w:ind w:left="265" w:right="261"/>
              <w:jc w:val="center"/>
              <w:rPr>
                <w:sz w:val="21"/>
              </w:rPr>
            </w:pPr>
            <w:r>
              <w:rPr>
                <w:spacing w:val="-4"/>
                <w:sz w:val="21"/>
              </w:rPr>
              <w:t>2.50</w:t>
            </w:r>
          </w:p>
        </w:tc>
        <w:tc>
          <w:tcPr>
            <w:tcW w:w="3121" w:type="dxa"/>
          </w:tcPr>
          <w:p w:rsidR="003F5784" w14:paraId="7F42E630" w14:textId="77777777">
            <w:pPr>
              <w:pStyle w:val="TableParagraph"/>
              <w:ind w:left="166" w:right="258"/>
              <w:jc w:val="center"/>
              <w:rPr>
                <w:sz w:val="21"/>
              </w:rPr>
            </w:pPr>
            <w:r>
              <w:rPr>
                <w:spacing w:val="-4"/>
                <w:sz w:val="21"/>
              </w:rPr>
              <w:t>0.64</w:t>
            </w:r>
          </w:p>
        </w:tc>
        <w:tc>
          <w:tcPr>
            <w:tcW w:w="1912" w:type="dxa"/>
          </w:tcPr>
          <w:p w:rsidR="003F5784" w14:paraId="4485B0A7" w14:textId="77777777">
            <w:pPr>
              <w:pStyle w:val="TableParagraph"/>
              <w:ind w:right="113"/>
              <w:rPr>
                <w:sz w:val="21"/>
              </w:rPr>
            </w:pPr>
            <w:r>
              <w:rPr>
                <w:spacing w:val="-4"/>
                <w:sz w:val="21"/>
              </w:rPr>
              <w:t>0.51</w:t>
            </w:r>
          </w:p>
        </w:tc>
      </w:tr>
      <w:tr w14:paraId="1E5ACFED" w14:textId="77777777">
        <w:tblPrEx>
          <w:tblW w:w="0" w:type="auto"/>
          <w:tblInd w:w="482" w:type="dxa"/>
          <w:tblLayout w:type="fixed"/>
          <w:tblCellMar>
            <w:left w:w="0" w:type="dxa"/>
            <w:right w:w="0" w:type="dxa"/>
          </w:tblCellMar>
          <w:tblLook w:val="01E0"/>
        </w:tblPrEx>
        <w:trPr>
          <w:trHeight w:val="286"/>
        </w:trPr>
        <w:tc>
          <w:tcPr>
            <w:tcW w:w="789" w:type="dxa"/>
          </w:tcPr>
          <w:p w:rsidR="003F5784" w14:paraId="69B03E60" w14:textId="77777777">
            <w:pPr>
              <w:pStyle w:val="TableParagraph"/>
              <w:spacing w:before="0"/>
              <w:jc w:val="left"/>
              <w:rPr>
                <w:sz w:val="20"/>
              </w:rPr>
            </w:pPr>
          </w:p>
        </w:tc>
        <w:tc>
          <w:tcPr>
            <w:tcW w:w="2514" w:type="dxa"/>
          </w:tcPr>
          <w:p w:rsidR="003F5784" w14:paraId="2955DB24" w14:textId="77777777">
            <w:pPr>
              <w:pStyle w:val="TableParagraph"/>
              <w:ind w:left="304"/>
              <w:jc w:val="left"/>
              <w:rPr>
                <w:sz w:val="21"/>
              </w:rPr>
            </w:pPr>
            <w:r>
              <w:rPr>
                <w:sz w:val="21"/>
              </w:rPr>
              <w:t>Midwest</w:t>
            </w:r>
            <w:r>
              <w:rPr>
                <w:spacing w:val="-9"/>
                <w:sz w:val="21"/>
              </w:rPr>
              <w:t xml:space="preserve"> </w:t>
            </w:r>
            <w:r>
              <w:rPr>
                <w:spacing w:val="-2"/>
                <w:sz w:val="21"/>
              </w:rPr>
              <w:t>public</w:t>
            </w:r>
          </w:p>
        </w:tc>
        <w:tc>
          <w:tcPr>
            <w:tcW w:w="2623" w:type="dxa"/>
          </w:tcPr>
          <w:p w:rsidR="003F5784" w14:paraId="5DC4CDFE" w14:textId="77777777">
            <w:pPr>
              <w:pStyle w:val="TableParagraph"/>
              <w:ind w:left="827"/>
              <w:jc w:val="left"/>
              <w:rPr>
                <w:sz w:val="21"/>
              </w:rPr>
            </w:pPr>
            <w:r>
              <w:rPr>
                <w:spacing w:val="-2"/>
                <w:sz w:val="21"/>
              </w:rPr>
              <w:t>87.88</w:t>
            </w:r>
          </w:p>
        </w:tc>
        <w:tc>
          <w:tcPr>
            <w:tcW w:w="3021" w:type="dxa"/>
          </w:tcPr>
          <w:p w:rsidR="003F5784" w14:paraId="621F61E9" w14:textId="77777777">
            <w:pPr>
              <w:pStyle w:val="TableParagraph"/>
              <w:ind w:left="265" w:right="261"/>
              <w:jc w:val="center"/>
              <w:rPr>
                <w:sz w:val="21"/>
              </w:rPr>
            </w:pPr>
            <w:r>
              <w:rPr>
                <w:spacing w:val="-4"/>
                <w:sz w:val="21"/>
              </w:rPr>
              <w:t>1.53</w:t>
            </w:r>
          </w:p>
        </w:tc>
        <w:tc>
          <w:tcPr>
            <w:tcW w:w="3121" w:type="dxa"/>
          </w:tcPr>
          <w:p w:rsidR="003F5784" w14:paraId="68FC2346" w14:textId="77777777">
            <w:pPr>
              <w:pStyle w:val="TableParagraph"/>
              <w:ind w:left="166" w:right="258"/>
              <w:jc w:val="center"/>
              <w:rPr>
                <w:sz w:val="21"/>
              </w:rPr>
            </w:pPr>
            <w:r>
              <w:rPr>
                <w:spacing w:val="-4"/>
                <w:sz w:val="21"/>
              </w:rPr>
              <w:t>0.28</w:t>
            </w:r>
          </w:p>
        </w:tc>
        <w:tc>
          <w:tcPr>
            <w:tcW w:w="1912" w:type="dxa"/>
          </w:tcPr>
          <w:p w:rsidR="003F5784" w14:paraId="2BE22965" w14:textId="77777777">
            <w:pPr>
              <w:pStyle w:val="TableParagraph"/>
              <w:ind w:right="113"/>
              <w:rPr>
                <w:sz w:val="21"/>
              </w:rPr>
            </w:pPr>
            <w:r>
              <w:rPr>
                <w:spacing w:val="-4"/>
                <w:sz w:val="21"/>
              </w:rPr>
              <w:t>0.64</w:t>
            </w:r>
          </w:p>
        </w:tc>
      </w:tr>
      <w:tr w14:paraId="0AE638D7" w14:textId="77777777">
        <w:tblPrEx>
          <w:tblW w:w="0" w:type="auto"/>
          <w:tblInd w:w="482" w:type="dxa"/>
          <w:tblLayout w:type="fixed"/>
          <w:tblCellMar>
            <w:left w:w="0" w:type="dxa"/>
            <w:right w:w="0" w:type="dxa"/>
          </w:tblCellMar>
          <w:tblLook w:val="01E0"/>
        </w:tblPrEx>
        <w:trPr>
          <w:trHeight w:val="286"/>
        </w:trPr>
        <w:tc>
          <w:tcPr>
            <w:tcW w:w="789" w:type="dxa"/>
          </w:tcPr>
          <w:p w:rsidR="003F5784" w14:paraId="1CE76E79" w14:textId="77777777">
            <w:pPr>
              <w:pStyle w:val="TableParagraph"/>
              <w:spacing w:before="0"/>
              <w:jc w:val="left"/>
              <w:rPr>
                <w:sz w:val="20"/>
              </w:rPr>
            </w:pPr>
          </w:p>
        </w:tc>
        <w:tc>
          <w:tcPr>
            <w:tcW w:w="2514" w:type="dxa"/>
          </w:tcPr>
          <w:p w:rsidR="003F5784" w14:paraId="7585D459" w14:textId="77777777">
            <w:pPr>
              <w:pStyle w:val="TableParagraph"/>
              <w:ind w:left="304"/>
              <w:jc w:val="left"/>
              <w:rPr>
                <w:sz w:val="21"/>
              </w:rPr>
            </w:pPr>
            <w:r>
              <w:rPr>
                <w:sz w:val="21"/>
              </w:rPr>
              <w:t>South</w:t>
            </w:r>
            <w:r>
              <w:rPr>
                <w:spacing w:val="-6"/>
                <w:sz w:val="21"/>
              </w:rPr>
              <w:t xml:space="preserve"> </w:t>
            </w:r>
            <w:r>
              <w:rPr>
                <w:spacing w:val="-2"/>
                <w:sz w:val="21"/>
              </w:rPr>
              <w:t>public</w:t>
            </w:r>
          </w:p>
        </w:tc>
        <w:tc>
          <w:tcPr>
            <w:tcW w:w="2623" w:type="dxa"/>
          </w:tcPr>
          <w:p w:rsidR="003F5784" w14:paraId="2A30439C" w14:textId="77777777">
            <w:pPr>
              <w:pStyle w:val="TableParagraph"/>
              <w:ind w:left="827"/>
              <w:jc w:val="left"/>
              <w:rPr>
                <w:sz w:val="21"/>
              </w:rPr>
            </w:pPr>
            <w:r>
              <w:rPr>
                <w:spacing w:val="-2"/>
                <w:sz w:val="21"/>
              </w:rPr>
              <w:t>88.34</w:t>
            </w:r>
          </w:p>
        </w:tc>
        <w:tc>
          <w:tcPr>
            <w:tcW w:w="3021" w:type="dxa"/>
          </w:tcPr>
          <w:p w:rsidR="003F5784" w14:paraId="189E7318" w14:textId="77777777">
            <w:pPr>
              <w:pStyle w:val="TableParagraph"/>
              <w:ind w:left="265" w:right="261"/>
              <w:jc w:val="center"/>
              <w:rPr>
                <w:sz w:val="21"/>
              </w:rPr>
            </w:pPr>
            <w:r>
              <w:rPr>
                <w:spacing w:val="-4"/>
                <w:sz w:val="21"/>
              </w:rPr>
              <w:t>1.36</w:t>
            </w:r>
          </w:p>
        </w:tc>
        <w:tc>
          <w:tcPr>
            <w:tcW w:w="3121" w:type="dxa"/>
          </w:tcPr>
          <w:p w:rsidR="003F5784" w14:paraId="11B214C5" w14:textId="77777777">
            <w:pPr>
              <w:pStyle w:val="TableParagraph"/>
              <w:ind w:left="166" w:right="258"/>
              <w:jc w:val="center"/>
              <w:rPr>
                <w:sz w:val="21"/>
              </w:rPr>
            </w:pPr>
            <w:r>
              <w:rPr>
                <w:spacing w:val="-4"/>
                <w:sz w:val="21"/>
              </w:rPr>
              <w:t>0.48</w:t>
            </w:r>
          </w:p>
        </w:tc>
        <w:tc>
          <w:tcPr>
            <w:tcW w:w="1912" w:type="dxa"/>
          </w:tcPr>
          <w:p w:rsidR="003F5784" w14:paraId="77D3941E" w14:textId="77777777">
            <w:pPr>
              <w:pStyle w:val="TableParagraph"/>
              <w:ind w:right="113"/>
              <w:rPr>
                <w:sz w:val="21"/>
              </w:rPr>
            </w:pPr>
            <w:r>
              <w:rPr>
                <w:spacing w:val="-4"/>
                <w:sz w:val="21"/>
              </w:rPr>
              <w:t>1.05</w:t>
            </w:r>
          </w:p>
        </w:tc>
      </w:tr>
      <w:tr w14:paraId="529AFA96" w14:textId="77777777">
        <w:tblPrEx>
          <w:tblW w:w="0" w:type="auto"/>
          <w:tblInd w:w="482" w:type="dxa"/>
          <w:tblLayout w:type="fixed"/>
          <w:tblCellMar>
            <w:left w:w="0" w:type="dxa"/>
            <w:right w:w="0" w:type="dxa"/>
          </w:tblCellMar>
          <w:tblLook w:val="01E0"/>
        </w:tblPrEx>
        <w:trPr>
          <w:trHeight w:val="286"/>
        </w:trPr>
        <w:tc>
          <w:tcPr>
            <w:tcW w:w="789" w:type="dxa"/>
          </w:tcPr>
          <w:p w:rsidR="003F5784" w14:paraId="3D1F3FFC" w14:textId="77777777">
            <w:pPr>
              <w:pStyle w:val="TableParagraph"/>
              <w:spacing w:before="0"/>
              <w:jc w:val="left"/>
              <w:rPr>
                <w:sz w:val="20"/>
              </w:rPr>
            </w:pPr>
          </w:p>
        </w:tc>
        <w:tc>
          <w:tcPr>
            <w:tcW w:w="2514" w:type="dxa"/>
          </w:tcPr>
          <w:p w:rsidR="003F5784" w14:paraId="72E68301" w14:textId="77777777">
            <w:pPr>
              <w:pStyle w:val="TableParagraph"/>
              <w:ind w:left="304"/>
              <w:jc w:val="left"/>
              <w:rPr>
                <w:sz w:val="21"/>
              </w:rPr>
            </w:pPr>
            <w:r>
              <w:rPr>
                <w:spacing w:val="-4"/>
                <w:sz w:val="21"/>
              </w:rPr>
              <w:t>West</w:t>
            </w:r>
            <w:r>
              <w:rPr>
                <w:spacing w:val="-7"/>
                <w:sz w:val="21"/>
              </w:rPr>
              <w:t xml:space="preserve"> </w:t>
            </w:r>
            <w:r>
              <w:rPr>
                <w:spacing w:val="-2"/>
                <w:sz w:val="21"/>
              </w:rPr>
              <w:t>public</w:t>
            </w:r>
          </w:p>
        </w:tc>
        <w:tc>
          <w:tcPr>
            <w:tcW w:w="2623" w:type="dxa"/>
          </w:tcPr>
          <w:p w:rsidR="003F5784" w14:paraId="103CC31D" w14:textId="77777777">
            <w:pPr>
              <w:pStyle w:val="TableParagraph"/>
              <w:ind w:left="827"/>
              <w:jc w:val="left"/>
              <w:rPr>
                <w:sz w:val="21"/>
              </w:rPr>
            </w:pPr>
            <w:r>
              <w:rPr>
                <w:spacing w:val="-2"/>
                <w:sz w:val="21"/>
              </w:rPr>
              <w:t>86.46</w:t>
            </w:r>
          </w:p>
        </w:tc>
        <w:tc>
          <w:tcPr>
            <w:tcW w:w="3021" w:type="dxa"/>
          </w:tcPr>
          <w:p w:rsidR="003F5784" w14:paraId="0615EBDB" w14:textId="77777777">
            <w:pPr>
              <w:pStyle w:val="TableParagraph"/>
              <w:ind w:left="265" w:right="261"/>
              <w:jc w:val="center"/>
              <w:rPr>
                <w:sz w:val="21"/>
              </w:rPr>
            </w:pPr>
            <w:r>
              <w:rPr>
                <w:spacing w:val="-4"/>
                <w:sz w:val="21"/>
              </w:rPr>
              <w:t>1.77</w:t>
            </w:r>
          </w:p>
        </w:tc>
        <w:tc>
          <w:tcPr>
            <w:tcW w:w="3121" w:type="dxa"/>
          </w:tcPr>
          <w:p w:rsidR="003F5784" w14:paraId="1205EC81" w14:textId="77777777">
            <w:pPr>
              <w:pStyle w:val="TableParagraph"/>
              <w:ind w:left="166" w:right="258"/>
              <w:jc w:val="center"/>
              <w:rPr>
                <w:sz w:val="21"/>
              </w:rPr>
            </w:pPr>
            <w:r>
              <w:rPr>
                <w:spacing w:val="-4"/>
                <w:sz w:val="21"/>
              </w:rPr>
              <w:t>1.42</w:t>
            </w:r>
          </w:p>
        </w:tc>
        <w:tc>
          <w:tcPr>
            <w:tcW w:w="1912" w:type="dxa"/>
          </w:tcPr>
          <w:p w:rsidR="003F5784" w14:paraId="084ED055" w14:textId="77777777">
            <w:pPr>
              <w:pStyle w:val="TableParagraph"/>
              <w:ind w:right="113"/>
              <w:rPr>
                <w:sz w:val="21"/>
              </w:rPr>
            </w:pPr>
            <w:r>
              <w:rPr>
                <w:spacing w:val="-4"/>
                <w:sz w:val="21"/>
              </w:rPr>
              <w:t>0.53</w:t>
            </w:r>
          </w:p>
        </w:tc>
      </w:tr>
      <w:tr w14:paraId="41C4C4F9" w14:textId="77777777">
        <w:tblPrEx>
          <w:tblW w:w="0" w:type="auto"/>
          <w:tblInd w:w="482" w:type="dxa"/>
          <w:tblLayout w:type="fixed"/>
          <w:tblCellMar>
            <w:left w:w="0" w:type="dxa"/>
            <w:right w:w="0" w:type="dxa"/>
          </w:tblCellMar>
          <w:tblLook w:val="01E0"/>
        </w:tblPrEx>
        <w:trPr>
          <w:trHeight w:val="286"/>
        </w:trPr>
        <w:tc>
          <w:tcPr>
            <w:tcW w:w="789" w:type="dxa"/>
          </w:tcPr>
          <w:p w:rsidR="003F5784" w14:paraId="1E8C1EB1" w14:textId="77777777">
            <w:pPr>
              <w:pStyle w:val="TableParagraph"/>
              <w:spacing w:before="0"/>
              <w:jc w:val="left"/>
              <w:rPr>
                <w:sz w:val="20"/>
              </w:rPr>
            </w:pPr>
          </w:p>
        </w:tc>
        <w:tc>
          <w:tcPr>
            <w:tcW w:w="2514" w:type="dxa"/>
          </w:tcPr>
          <w:p w:rsidR="003F5784" w14:paraId="008229BF" w14:textId="77777777">
            <w:pPr>
              <w:pStyle w:val="TableParagraph"/>
              <w:ind w:left="54"/>
              <w:jc w:val="left"/>
              <w:rPr>
                <w:sz w:val="21"/>
              </w:rPr>
            </w:pPr>
            <w:r>
              <w:rPr>
                <w:sz w:val="21"/>
              </w:rPr>
              <w:t>National</w:t>
            </w:r>
            <w:r>
              <w:rPr>
                <w:spacing w:val="-9"/>
                <w:sz w:val="21"/>
              </w:rPr>
              <w:t xml:space="preserve"> </w:t>
            </w:r>
            <w:r>
              <w:rPr>
                <w:spacing w:val="-2"/>
                <w:sz w:val="21"/>
              </w:rPr>
              <w:t>private</w:t>
            </w:r>
          </w:p>
        </w:tc>
        <w:tc>
          <w:tcPr>
            <w:tcW w:w="2623" w:type="dxa"/>
          </w:tcPr>
          <w:p w:rsidR="003F5784" w14:paraId="1C8835C4" w14:textId="77777777">
            <w:pPr>
              <w:pStyle w:val="TableParagraph"/>
              <w:ind w:left="827"/>
              <w:jc w:val="left"/>
              <w:rPr>
                <w:sz w:val="21"/>
              </w:rPr>
            </w:pPr>
            <w:r>
              <w:rPr>
                <w:spacing w:val="-2"/>
                <w:sz w:val="21"/>
              </w:rPr>
              <w:t>90.42</w:t>
            </w:r>
          </w:p>
        </w:tc>
        <w:tc>
          <w:tcPr>
            <w:tcW w:w="3021" w:type="dxa"/>
          </w:tcPr>
          <w:p w:rsidR="003F5784" w14:paraId="30836E95" w14:textId="77777777">
            <w:pPr>
              <w:pStyle w:val="TableParagraph"/>
              <w:ind w:left="265" w:right="261"/>
              <w:jc w:val="center"/>
              <w:rPr>
                <w:sz w:val="21"/>
              </w:rPr>
            </w:pPr>
            <w:r>
              <w:rPr>
                <w:spacing w:val="-4"/>
                <w:sz w:val="21"/>
              </w:rPr>
              <w:t>0.12</w:t>
            </w:r>
          </w:p>
        </w:tc>
        <w:tc>
          <w:tcPr>
            <w:tcW w:w="3121" w:type="dxa"/>
          </w:tcPr>
          <w:p w:rsidR="003F5784" w14:paraId="3D3608F5" w14:textId="77777777">
            <w:pPr>
              <w:pStyle w:val="TableParagraph"/>
              <w:ind w:left="258" w:right="92"/>
              <w:jc w:val="center"/>
              <w:rPr>
                <w:sz w:val="21"/>
              </w:rPr>
            </w:pPr>
            <w:r>
              <w:rPr>
                <w:spacing w:val="-10"/>
                <w:sz w:val="21"/>
              </w:rPr>
              <w:t>#</w:t>
            </w:r>
          </w:p>
        </w:tc>
        <w:tc>
          <w:tcPr>
            <w:tcW w:w="1912" w:type="dxa"/>
          </w:tcPr>
          <w:p w:rsidR="003F5784" w14:paraId="5D027163" w14:textId="77777777">
            <w:pPr>
              <w:pStyle w:val="TableParagraph"/>
              <w:ind w:right="113"/>
              <w:rPr>
                <w:sz w:val="21"/>
              </w:rPr>
            </w:pPr>
            <w:r>
              <w:rPr>
                <w:spacing w:val="-4"/>
                <w:sz w:val="21"/>
              </w:rPr>
              <w:t>0.17</w:t>
            </w:r>
          </w:p>
        </w:tc>
      </w:tr>
      <w:tr w14:paraId="5003DCEC" w14:textId="77777777">
        <w:tblPrEx>
          <w:tblW w:w="0" w:type="auto"/>
          <w:tblInd w:w="482" w:type="dxa"/>
          <w:tblLayout w:type="fixed"/>
          <w:tblCellMar>
            <w:left w:w="0" w:type="dxa"/>
            <w:right w:w="0" w:type="dxa"/>
          </w:tblCellMar>
          <w:tblLook w:val="01E0"/>
        </w:tblPrEx>
        <w:trPr>
          <w:trHeight w:val="286"/>
        </w:trPr>
        <w:tc>
          <w:tcPr>
            <w:tcW w:w="789" w:type="dxa"/>
          </w:tcPr>
          <w:p w:rsidR="003F5784" w14:paraId="34C54E6A" w14:textId="77777777">
            <w:pPr>
              <w:pStyle w:val="TableParagraph"/>
              <w:spacing w:before="0"/>
              <w:jc w:val="left"/>
              <w:rPr>
                <w:sz w:val="20"/>
              </w:rPr>
            </w:pPr>
          </w:p>
        </w:tc>
        <w:tc>
          <w:tcPr>
            <w:tcW w:w="2514" w:type="dxa"/>
          </w:tcPr>
          <w:p w:rsidR="003F5784" w14:paraId="105DF6B4" w14:textId="77777777">
            <w:pPr>
              <w:pStyle w:val="TableParagraph"/>
              <w:ind w:left="304"/>
              <w:jc w:val="left"/>
              <w:rPr>
                <w:sz w:val="21"/>
              </w:rPr>
            </w:pPr>
            <w:r>
              <w:rPr>
                <w:spacing w:val="-2"/>
                <w:sz w:val="21"/>
              </w:rPr>
              <w:t>Catholic</w:t>
            </w:r>
          </w:p>
        </w:tc>
        <w:tc>
          <w:tcPr>
            <w:tcW w:w="2623" w:type="dxa"/>
          </w:tcPr>
          <w:p w:rsidR="003F5784" w14:paraId="7FCE01B9" w14:textId="77777777">
            <w:pPr>
              <w:pStyle w:val="TableParagraph"/>
              <w:ind w:left="827"/>
              <w:jc w:val="left"/>
              <w:rPr>
                <w:sz w:val="21"/>
              </w:rPr>
            </w:pPr>
            <w:r>
              <w:rPr>
                <w:spacing w:val="-2"/>
                <w:sz w:val="21"/>
              </w:rPr>
              <w:t>93.25</w:t>
            </w:r>
          </w:p>
        </w:tc>
        <w:tc>
          <w:tcPr>
            <w:tcW w:w="3021" w:type="dxa"/>
          </w:tcPr>
          <w:p w:rsidR="003F5784" w14:paraId="1D25081A" w14:textId="77777777">
            <w:pPr>
              <w:pStyle w:val="TableParagraph"/>
              <w:ind w:left="265" w:right="261"/>
              <w:jc w:val="center"/>
              <w:rPr>
                <w:sz w:val="21"/>
              </w:rPr>
            </w:pPr>
            <w:r>
              <w:rPr>
                <w:spacing w:val="-4"/>
                <w:sz w:val="21"/>
              </w:rPr>
              <w:t>0.31</w:t>
            </w:r>
          </w:p>
        </w:tc>
        <w:tc>
          <w:tcPr>
            <w:tcW w:w="3121" w:type="dxa"/>
          </w:tcPr>
          <w:p w:rsidR="003F5784" w14:paraId="30B48485" w14:textId="77777777">
            <w:pPr>
              <w:pStyle w:val="TableParagraph"/>
              <w:ind w:left="258" w:right="92"/>
              <w:jc w:val="center"/>
              <w:rPr>
                <w:sz w:val="21"/>
              </w:rPr>
            </w:pPr>
            <w:r>
              <w:rPr>
                <w:spacing w:val="-10"/>
                <w:sz w:val="21"/>
              </w:rPr>
              <w:t>#</w:t>
            </w:r>
          </w:p>
        </w:tc>
        <w:tc>
          <w:tcPr>
            <w:tcW w:w="1912" w:type="dxa"/>
          </w:tcPr>
          <w:p w:rsidR="003F5784" w14:paraId="184CA934" w14:textId="77777777">
            <w:pPr>
              <w:pStyle w:val="TableParagraph"/>
              <w:ind w:right="113"/>
              <w:rPr>
                <w:sz w:val="21"/>
              </w:rPr>
            </w:pPr>
            <w:r>
              <w:rPr>
                <w:spacing w:val="-4"/>
                <w:sz w:val="21"/>
              </w:rPr>
              <w:t>0.44</w:t>
            </w:r>
          </w:p>
        </w:tc>
      </w:tr>
      <w:tr w14:paraId="29C05F23" w14:textId="77777777">
        <w:tblPrEx>
          <w:tblW w:w="0" w:type="auto"/>
          <w:tblInd w:w="482" w:type="dxa"/>
          <w:tblLayout w:type="fixed"/>
          <w:tblCellMar>
            <w:left w:w="0" w:type="dxa"/>
            <w:right w:w="0" w:type="dxa"/>
          </w:tblCellMar>
          <w:tblLook w:val="01E0"/>
        </w:tblPrEx>
        <w:trPr>
          <w:trHeight w:val="289"/>
        </w:trPr>
        <w:tc>
          <w:tcPr>
            <w:tcW w:w="789" w:type="dxa"/>
            <w:tcBorders>
              <w:bottom w:val="single" w:sz="12" w:space="0" w:color="800000"/>
            </w:tcBorders>
          </w:tcPr>
          <w:p w:rsidR="003F5784" w14:paraId="3F3F29F1" w14:textId="77777777">
            <w:pPr>
              <w:pStyle w:val="TableParagraph"/>
              <w:spacing w:before="0"/>
              <w:jc w:val="left"/>
              <w:rPr>
                <w:sz w:val="20"/>
              </w:rPr>
            </w:pPr>
          </w:p>
        </w:tc>
        <w:tc>
          <w:tcPr>
            <w:tcW w:w="2514" w:type="dxa"/>
            <w:tcBorders>
              <w:bottom w:val="single" w:sz="12" w:space="0" w:color="800000"/>
            </w:tcBorders>
          </w:tcPr>
          <w:p w:rsidR="003F5784" w14:paraId="7538E514" w14:textId="77777777">
            <w:pPr>
              <w:pStyle w:val="TableParagraph"/>
              <w:ind w:left="304"/>
              <w:jc w:val="left"/>
              <w:rPr>
                <w:sz w:val="21"/>
              </w:rPr>
            </w:pPr>
            <w:r>
              <w:rPr>
                <w:spacing w:val="-2"/>
                <w:sz w:val="21"/>
              </w:rPr>
              <w:t>Non-Catholic</w:t>
            </w:r>
          </w:p>
        </w:tc>
        <w:tc>
          <w:tcPr>
            <w:tcW w:w="2623" w:type="dxa"/>
            <w:tcBorders>
              <w:bottom w:val="single" w:sz="12" w:space="0" w:color="800000"/>
            </w:tcBorders>
          </w:tcPr>
          <w:p w:rsidR="003F5784" w14:paraId="22B92B00" w14:textId="77777777">
            <w:pPr>
              <w:pStyle w:val="TableParagraph"/>
              <w:ind w:left="827"/>
              <w:jc w:val="left"/>
              <w:rPr>
                <w:sz w:val="21"/>
              </w:rPr>
            </w:pPr>
            <w:r>
              <w:rPr>
                <w:spacing w:val="-2"/>
                <w:sz w:val="21"/>
              </w:rPr>
              <w:t>84.02</w:t>
            </w:r>
          </w:p>
        </w:tc>
        <w:tc>
          <w:tcPr>
            <w:tcW w:w="3021" w:type="dxa"/>
            <w:tcBorders>
              <w:bottom w:val="single" w:sz="12" w:space="0" w:color="800000"/>
            </w:tcBorders>
          </w:tcPr>
          <w:p w:rsidR="003F5784" w14:paraId="34B366DB" w14:textId="77777777">
            <w:pPr>
              <w:pStyle w:val="TableParagraph"/>
              <w:ind w:left="265"/>
              <w:jc w:val="center"/>
              <w:rPr>
                <w:sz w:val="21"/>
              </w:rPr>
            </w:pPr>
            <w:r>
              <w:rPr>
                <w:spacing w:val="-10"/>
                <w:sz w:val="21"/>
              </w:rPr>
              <w:t>#</w:t>
            </w:r>
          </w:p>
        </w:tc>
        <w:tc>
          <w:tcPr>
            <w:tcW w:w="3121" w:type="dxa"/>
            <w:tcBorders>
              <w:bottom w:val="single" w:sz="12" w:space="0" w:color="800000"/>
            </w:tcBorders>
          </w:tcPr>
          <w:p w:rsidR="003F5784" w14:paraId="617DC0D0" w14:textId="77777777">
            <w:pPr>
              <w:pStyle w:val="TableParagraph"/>
              <w:ind w:left="258" w:right="92"/>
              <w:jc w:val="center"/>
              <w:rPr>
                <w:sz w:val="21"/>
              </w:rPr>
            </w:pPr>
            <w:r>
              <w:rPr>
                <w:spacing w:val="-10"/>
                <w:sz w:val="21"/>
              </w:rPr>
              <w:t>#</w:t>
            </w:r>
          </w:p>
        </w:tc>
        <w:tc>
          <w:tcPr>
            <w:tcW w:w="1912" w:type="dxa"/>
            <w:tcBorders>
              <w:bottom w:val="single" w:sz="12" w:space="0" w:color="800000"/>
            </w:tcBorders>
          </w:tcPr>
          <w:p w:rsidR="003F5784" w14:paraId="305AE2ED" w14:textId="77777777">
            <w:pPr>
              <w:pStyle w:val="TableParagraph"/>
              <w:ind w:right="113"/>
              <w:rPr>
                <w:sz w:val="21"/>
              </w:rPr>
            </w:pPr>
            <w:r>
              <w:rPr>
                <w:spacing w:val="-10"/>
                <w:sz w:val="21"/>
              </w:rPr>
              <w:t>#</w:t>
            </w:r>
          </w:p>
        </w:tc>
      </w:tr>
      <w:tr w14:paraId="06787E8D" w14:textId="77777777">
        <w:tblPrEx>
          <w:tblW w:w="0" w:type="auto"/>
          <w:tblInd w:w="482" w:type="dxa"/>
          <w:tblLayout w:type="fixed"/>
          <w:tblCellMar>
            <w:left w:w="0" w:type="dxa"/>
            <w:right w:w="0" w:type="dxa"/>
          </w:tblCellMar>
          <w:tblLook w:val="01E0"/>
        </w:tblPrEx>
        <w:trPr>
          <w:trHeight w:val="331"/>
        </w:trPr>
        <w:tc>
          <w:tcPr>
            <w:tcW w:w="789" w:type="dxa"/>
            <w:tcBorders>
              <w:top w:val="single" w:sz="12" w:space="0" w:color="800000"/>
            </w:tcBorders>
          </w:tcPr>
          <w:p w:rsidR="003F5784" w14:paraId="540E8EAA" w14:textId="77777777">
            <w:pPr>
              <w:pStyle w:val="TableParagraph"/>
              <w:spacing w:before="0" w:line="239" w:lineRule="exact"/>
              <w:ind w:left="120"/>
              <w:jc w:val="left"/>
              <w:rPr>
                <w:sz w:val="21"/>
              </w:rPr>
            </w:pPr>
            <w:r>
              <w:rPr>
                <w:spacing w:val="-5"/>
                <w:sz w:val="21"/>
              </w:rPr>
              <w:t>13</w:t>
            </w:r>
          </w:p>
        </w:tc>
        <w:tc>
          <w:tcPr>
            <w:tcW w:w="2514" w:type="dxa"/>
            <w:tcBorders>
              <w:top w:val="single" w:sz="12" w:space="0" w:color="800000"/>
            </w:tcBorders>
          </w:tcPr>
          <w:p w:rsidR="003F5784" w14:paraId="4D83FE80" w14:textId="77777777">
            <w:pPr>
              <w:pStyle w:val="TableParagraph"/>
              <w:spacing w:before="20"/>
              <w:ind w:left="460"/>
              <w:jc w:val="left"/>
              <w:rPr>
                <w:b/>
                <w:sz w:val="17"/>
              </w:rPr>
            </w:pPr>
            <w:r>
              <w:rPr>
                <w:b/>
                <w:sz w:val="21"/>
              </w:rPr>
              <w:t>National</w:t>
            </w:r>
            <w:r>
              <w:rPr>
                <w:b/>
                <w:spacing w:val="-9"/>
                <w:sz w:val="21"/>
              </w:rPr>
              <w:t xml:space="preserve"> </w:t>
            </w:r>
            <w:r>
              <w:rPr>
                <w:b/>
                <w:spacing w:val="-4"/>
                <w:sz w:val="21"/>
              </w:rPr>
              <w:t>all</w:t>
            </w:r>
            <w:r>
              <w:rPr>
                <w:b/>
                <w:spacing w:val="-4"/>
                <w:position w:val="8"/>
                <w:sz w:val="17"/>
              </w:rPr>
              <w:t>1</w:t>
            </w:r>
          </w:p>
        </w:tc>
        <w:tc>
          <w:tcPr>
            <w:tcW w:w="2623" w:type="dxa"/>
            <w:tcBorders>
              <w:top w:val="single" w:sz="12" w:space="0" w:color="800000"/>
            </w:tcBorders>
          </w:tcPr>
          <w:p w:rsidR="003F5784" w14:paraId="5BC7602C" w14:textId="77777777">
            <w:pPr>
              <w:pStyle w:val="TableParagraph"/>
              <w:spacing w:before="0" w:line="239" w:lineRule="exact"/>
              <w:ind w:left="838"/>
              <w:jc w:val="left"/>
              <w:rPr>
                <w:b/>
                <w:sz w:val="21"/>
              </w:rPr>
            </w:pPr>
            <w:r>
              <w:rPr>
                <w:b/>
                <w:spacing w:val="-2"/>
                <w:sz w:val="21"/>
              </w:rPr>
              <w:t>89.11</w:t>
            </w:r>
          </w:p>
        </w:tc>
        <w:tc>
          <w:tcPr>
            <w:tcW w:w="3021" w:type="dxa"/>
            <w:tcBorders>
              <w:top w:val="single" w:sz="12" w:space="0" w:color="800000"/>
            </w:tcBorders>
          </w:tcPr>
          <w:p w:rsidR="003F5784" w14:paraId="0AC15280" w14:textId="77777777">
            <w:pPr>
              <w:pStyle w:val="TableParagraph"/>
              <w:spacing w:before="0" w:line="239" w:lineRule="exact"/>
              <w:ind w:left="265" w:right="261"/>
              <w:jc w:val="center"/>
              <w:rPr>
                <w:b/>
                <w:sz w:val="21"/>
              </w:rPr>
            </w:pPr>
            <w:r>
              <w:rPr>
                <w:b/>
                <w:spacing w:val="-4"/>
                <w:sz w:val="21"/>
              </w:rPr>
              <w:t>1.78</w:t>
            </w:r>
          </w:p>
        </w:tc>
        <w:tc>
          <w:tcPr>
            <w:tcW w:w="3121" w:type="dxa"/>
            <w:tcBorders>
              <w:top w:val="single" w:sz="12" w:space="0" w:color="800000"/>
            </w:tcBorders>
          </w:tcPr>
          <w:p w:rsidR="003F5784" w14:paraId="3586BC29" w14:textId="77777777">
            <w:pPr>
              <w:pStyle w:val="TableParagraph"/>
              <w:spacing w:before="0" w:line="239" w:lineRule="exact"/>
              <w:ind w:left="166" w:right="258"/>
              <w:jc w:val="center"/>
              <w:rPr>
                <w:b/>
                <w:sz w:val="21"/>
              </w:rPr>
            </w:pPr>
            <w:r>
              <w:rPr>
                <w:b/>
                <w:spacing w:val="-4"/>
                <w:sz w:val="21"/>
              </w:rPr>
              <w:t>1.51</w:t>
            </w:r>
          </w:p>
        </w:tc>
        <w:tc>
          <w:tcPr>
            <w:tcW w:w="1912" w:type="dxa"/>
            <w:tcBorders>
              <w:top w:val="single" w:sz="12" w:space="0" w:color="800000"/>
            </w:tcBorders>
          </w:tcPr>
          <w:p w:rsidR="003F5784" w14:paraId="0CED4B90" w14:textId="77777777">
            <w:pPr>
              <w:pStyle w:val="TableParagraph"/>
              <w:spacing w:before="0" w:line="239" w:lineRule="exact"/>
              <w:ind w:right="113"/>
              <w:rPr>
                <w:b/>
                <w:sz w:val="21"/>
              </w:rPr>
            </w:pPr>
            <w:r>
              <w:rPr>
                <w:b/>
                <w:spacing w:val="-4"/>
                <w:sz w:val="21"/>
              </w:rPr>
              <w:t>0.31</w:t>
            </w:r>
          </w:p>
        </w:tc>
      </w:tr>
      <w:tr w14:paraId="11AF4470" w14:textId="77777777">
        <w:tblPrEx>
          <w:tblW w:w="0" w:type="auto"/>
          <w:tblInd w:w="482" w:type="dxa"/>
          <w:tblLayout w:type="fixed"/>
          <w:tblCellMar>
            <w:left w:w="0" w:type="dxa"/>
            <w:right w:w="0" w:type="dxa"/>
          </w:tblCellMar>
          <w:tblLook w:val="01E0"/>
        </w:tblPrEx>
        <w:trPr>
          <w:trHeight w:val="286"/>
        </w:trPr>
        <w:tc>
          <w:tcPr>
            <w:tcW w:w="789" w:type="dxa"/>
          </w:tcPr>
          <w:p w:rsidR="003F5784" w14:paraId="579B9348" w14:textId="77777777">
            <w:pPr>
              <w:pStyle w:val="TableParagraph"/>
              <w:spacing w:before="0"/>
              <w:jc w:val="left"/>
              <w:rPr>
                <w:sz w:val="20"/>
              </w:rPr>
            </w:pPr>
          </w:p>
        </w:tc>
        <w:tc>
          <w:tcPr>
            <w:tcW w:w="2514" w:type="dxa"/>
          </w:tcPr>
          <w:p w:rsidR="003F5784" w14:paraId="066E0382" w14:textId="77777777">
            <w:pPr>
              <w:pStyle w:val="TableParagraph"/>
              <w:ind w:left="54"/>
              <w:jc w:val="left"/>
              <w:rPr>
                <w:sz w:val="21"/>
              </w:rPr>
            </w:pPr>
            <w:r>
              <w:rPr>
                <w:sz w:val="21"/>
              </w:rPr>
              <w:t>National</w:t>
            </w:r>
            <w:r>
              <w:rPr>
                <w:spacing w:val="-9"/>
                <w:sz w:val="21"/>
              </w:rPr>
              <w:t xml:space="preserve"> </w:t>
            </w:r>
            <w:r>
              <w:rPr>
                <w:spacing w:val="-2"/>
                <w:sz w:val="21"/>
              </w:rPr>
              <w:t>public</w:t>
            </w:r>
          </w:p>
        </w:tc>
        <w:tc>
          <w:tcPr>
            <w:tcW w:w="2623" w:type="dxa"/>
          </w:tcPr>
          <w:p w:rsidR="003F5784" w14:paraId="4589373E" w14:textId="77777777">
            <w:pPr>
              <w:pStyle w:val="TableParagraph"/>
              <w:ind w:left="827"/>
              <w:jc w:val="left"/>
              <w:rPr>
                <w:sz w:val="21"/>
              </w:rPr>
            </w:pPr>
            <w:r>
              <w:rPr>
                <w:spacing w:val="-2"/>
                <w:sz w:val="21"/>
              </w:rPr>
              <w:t>89.25</w:t>
            </w:r>
          </w:p>
        </w:tc>
        <w:tc>
          <w:tcPr>
            <w:tcW w:w="3021" w:type="dxa"/>
          </w:tcPr>
          <w:p w:rsidR="003F5784" w14:paraId="3C191506" w14:textId="77777777">
            <w:pPr>
              <w:pStyle w:val="TableParagraph"/>
              <w:ind w:left="265" w:right="261"/>
              <w:jc w:val="center"/>
              <w:rPr>
                <w:sz w:val="21"/>
              </w:rPr>
            </w:pPr>
            <w:r>
              <w:rPr>
                <w:spacing w:val="-4"/>
                <w:sz w:val="21"/>
              </w:rPr>
              <w:t>1.91</w:t>
            </w:r>
          </w:p>
        </w:tc>
        <w:tc>
          <w:tcPr>
            <w:tcW w:w="3121" w:type="dxa"/>
          </w:tcPr>
          <w:p w:rsidR="003F5784" w14:paraId="2948564E" w14:textId="77777777">
            <w:pPr>
              <w:pStyle w:val="TableParagraph"/>
              <w:ind w:left="166" w:right="258"/>
              <w:jc w:val="center"/>
              <w:rPr>
                <w:sz w:val="21"/>
              </w:rPr>
            </w:pPr>
            <w:r>
              <w:rPr>
                <w:spacing w:val="-4"/>
                <w:sz w:val="21"/>
              </w:rPr>
              <w:t>0.96</w:t>
            </w:r>
          </w:p>
        </w:tc>
        <w:tc>
          <w:tcPr>
            <w:tcW w:w="1912" w:type="dxa"/>
          </w:tcPr>
          <w:p w:rsidR="003F5784" w14:paraId="5723C0FB" w14:textId="77777777">
            <w:pPr>
              <w:pStyle w:val="TableParagraph"/>
              <w:ind w:right="113"/>
              <w:rPr>
                <w:sz w:val="21"/>
              </w:rPr>
            </w:pPr>
            <w:r>
              <w:rPr>
                <w:spacing w:val="-4"/>
                <w:sz w:val="21"/>
              </w:rPr>
              <w:t>0.33</w:t>
            </w:r>
          </w:p>
        </w:tc>
      </w:tr>
      <w:tr w14:paraId="57B2EC81" w14:textId="77777777">
        <w:tblPrEx>
          <w:tblW w:w="0" w:type="auto"/>
          <w:tblInd w:w="482" w:type="dxa"/>
          <w:tblLayout w:type="fixed"/>
          <w:tblCellMar>
            <w:left w:w="0" w:type="dxa"/>
            <w:right w:w="0" w:type="dxa"/>
          </w:tblCellMar>
          <w:tblLook w:val="01E0"/>
        </w:tblPrEx>
        <w:trPr>
          <w:trHeight w:val="286"/>
        </w:trPr>
        <w:tc>
          <w:tcPr>
            <w:tcW w:w="789" w:type="dxa"/>
          </w:tcPr>
          <w:p w:rsidR="003F5784" w14:paraId="0BE13BB5" w14:textId="77777777">
            <w:pPr>
              <w:pStyle w:val="TableParagraph"/>
              <w:spacing w:before="0"/>
              <w:jc w:val="left"/>
              <w:rPr>
                <w:sz w:val="20"/>
              </w:rPr>
            </w:pPr>
          </w:p>
        </w:tc>
        <w:tc>
          <w:tcPr>
            <w:tcW w:w="2514" w:type="dxa"/>
          </w:tcPr>
          <w:p w:rsidR="003F5784" w14:paraId="5ABC3903" w14:textId="77777777">
            <w:pPr>
              <w:pStyle w:val="TableParagraph"/>
              <w:ind w:right="823"/>
              <w:rPr>
                <w:sz w:val="21"/>
              </w:rPr>
            </w:pPr>
            <w:r>
              <w:rPr>
                <w:sz w:val="21"/>
              </w:rPr>
              <w:t>Northeast</w:t>
            </w:r>
            <w:r>
              <w:rPr>
                <w:spacing w:val="-10"/>
                <w:sz w:val="21"/>
              </w:rPr>
              <w:t xml:space="preserve"> </w:t>
            </w:r>
            <w:r>
              <w:rPr>
                <w:spacing w:val="-2"/>
                <w:sz w:val="21"/>
              </w:rPr>
              <w:t>public</w:t>
            </w:r>
          </w:p>
        </w:tc>
        <w:tc>
          <w:tcPr>
            <w:tcW w:w="2623" w:type="dxa"/>
          </w:tcPr>
          <w:p w:rsidR="003F5784" w14:paraId="01E41304" w14:textId="77777777">
            <w:pPr>
              <w:pStyle w:val="TableParagraph"/>
              <w:ind w:left="827"/>
              <w:jc w:val="left"/>
              <w:rPr>
                <w:sz w:val="21"/>
              </w:rPr>
            </w:pPr>
            <w:r>
              <w:rPr>
                <w:spacing w:val="-2"/>
                <w:sz w:val="21"/>
              </w:rPr>
              <w:t>85.20</w:t>
            </w:r>
          </w:p>
        </w:tc>
        <w:tc>
          <w:tcPr>
            <w:tcW w:w="3021" w:type="dxa"/>
          </w:tcPr>
          <w:p w:rsidR="003F5784" w14:paraId="25BA3BA6" w14:textId="77777777">
            <w:pPr>
              <w:pStyle w:val="TableParagraph"/>
              <w:ind w:left="265" w:right="261"/>
              <w:jc w:val="center"/>
              <w:rPr>
                <w:sz w:val="21"/>
              </w:rPr>
            </w:pPr>
            <w:r>
              <w:rPr>
                <w:spacing w:val="-4"/>
                <w:sz w:val="21"/>
              </w:rPr>
              <w:t>1.48</w:t>
            </w:r>
          </w:p>
        </w:tc>
        <w:tc>
          <w:tcPr>
            <w:tcW w:w="3121" w:type="dxa"/>
          </w:tcPr>
          <w:p w:rsidR="003F5784" w14:paraId="748F15D0" w14:textId="77777777">
            <w:pPr>
              <w:pStyle w:val="TableParagraph"/>
              <w:ind w:left="166" w:right="258"/>
              <w:jc w:val="center"/>
              <w:rPr>
                <w:sz w:val="21"/>
              </w:rPr>
            </w:pPr>
            <w:r>
              <w:rPr>
                <w:spacing w:val="-4"/>
                <w:sz w:val="21"/>
              </w:rPr>
              <w:t>1.52</w:t>
            </w:r>
          </w:p>
        </w:tc>
        <w:tc>
          <w:tcPr>
            <w:tcW w:w="1912" w:type="dxa"/>
          </w:tcPr>
          <w:p w:rsidR="003F5784" w14:paraId="3044BA7C" w14:textId="77777777">
            <w:pPr>
              <w:pStyle w:val="TableParagraph"/>
              <w:ind w:right="113"/>
              <w:rPr>
                <w:sz w:val="21"/>
              </w:rPr>
            </w:pPr>
            <w:r>
              <w:rPr>
                <w:spacing w:val="-4"/>
                <w:sz w:val="21"/>
              </w:rPr>
              <w:t>0.48</w:t>
            </w:r>
          </w:p>
        </w:tc>
      </w:tr>
      <w:tr w14:paraId="54BD91F1" w14:textId="77777777">
        <w:tblPrEx>
          <w:tblW w:w="0" w:type="auto"/>
          <w:tblInd w:w="482" w:type="dxa"/>
          <w:tblLayout w:type="fixed"/>
          <w:tblCellMar>
            <w:left w:w="0" w:type="dxa"/>
            <w:right w:w="0" w:type="dxa"/>
          </w:tblCellMar>
          <w:tblLook w:val="01E0"/>
        </w:tblPrEx>
        <w:trPr>
          <w:trHeight w:val="286"/>
        </w:trPr>
        <w:tc>
          <w:tcPr>
            <w:tcW w:w="789" w:type="dxa"/>
          </w:tcPr>
          <w:p w:rsidR="003F5784" w14:paraId="0627F951" w14:textId="77777777">
            <w:pPr>
              <w:pStyle w:val="TableParagraph"/>
              <w:spacing w:before="0"/>
              <w:jc w:val="left"/>
              <w:rPr>
                <w:sz w:val="20"/>
              </w:rPr>
            </w:pPr>
          </w:p>
        </w:tc>
        <w:tc>
          <w:tcPr>
            <w:tcW w:w="2514" w:type="dxa"/>
          </w:tcPr>
          <w:p w:rsidR="003F5784" w14:paraId="469453D8" w14:textId="77777777">
            <w:pPr>
              <w:pStyle w:val="TableParagraph"/>
              <w:ind w:left="304"/>
              <w:jc w:val="left"/>
              <w:rPr>
                <w:sz w:val="21"/>
              </w:rPr>
            </w:pPr>
            <w:r>
              <w:rPr>
                <w:sz w:val="21"/>
              </w:rPr>
              <w:t>Midwest</w:t>
            </w:r>
            <w:r>
              <w:rPr>
                <w:spacing w:val="-9"/>
                <w:sz w:val="21"/>
              </w:rPr>
              <w:t xml:space="preserve"> </w:t>
            </w:r>
            <w:r>
              <w:rPr>
                <w:spacing w:val="-2"/>
                <w:sz w:val="21"/>
              </w:rPr>
              <w:t>public</w:t>
            </w:r>
          </w:p>
        </w:tc>
        <w:tc>
          <w:tcPr>
            <w:tcW w:w="2623" w:type="dxa"/>
          </w:tcPr>
          <w:p w:rsidR="003F5784" w14:paraId="436160E2" w14:textId="77777777">
            <w:pPr>
              <w:pStyle w:val="TableParagraph"/>
              <w:ind w:left="827"/>
              <w:jc w:val="left"/>
              <w:rPr>
                <w:sz w:val="21"/>
              </w:rPr>
            </w:pPr>
            <w:r>
              <w:rPr>
                <w:spacing w:val="-2"/>
                <w:sz w:val="21"/>
              </w:rPr>
              <w:t>89.47</w:t>
            </w:r>
          </w:p>
        </w:tc>
        <w:tc>
          <w:tcPr>
            <w:tcW w:w="3021" w:type="dxa"/>
          </w:tcPr>
          <w:p w:rsidR="003F5784" w14:paraId="09CE88A9" w14:textId="77777777">
            <w:pPr>
              <w:pStyle w:val="TableParagraph"/>
              <w:ind w:left="265" w:right="261"/>
              <w:jc w:val="center"/>
              <w:rPr>
                <w:sz w:val="21"/>
              </w:rPr>
            </w:pPr>
            <w:r>
              <w:rPr>
                <w:spacing w:val="-4"/>
                <w:sz w:val="21"/>
              </w:rPr>
              <w:t>2.08</w:t>
            </w:r>
          </w:p>
        </w:tc>
        <w:tc>
          <w:tcPr>
            <w:tcW w:w="3121" w:type="dxa"/>
          </w:tcPr>
          <w:p w:rsidR="003F5784" w14:paraId="535D649B" w14:textId="77777777">
            <w:pPr>
              <w:pStyle w:val="TableParagraph"/>
              <w:ind w:left="166" w:right="258"/>
              <w:jc w:val="center"/>
              <w:rPr>
                <w:sz w:val="21"/>
              </w:rPr>
            </w:pPr>
            <w:r>
              <w:rPr>
                <w:spacing w:val="-4"/>
                <w:sz w:val="21"/>
              </w:rPr>
              <w:t>0.65</w:t>
            </w:r>
          </w:p>
        </w:tc>
        <w:tc>
          <w:tcPr>
            <w:tcW w:w="1912" w:type="dxa"/>
          </w:tcPr>
          <w:p w:rsidR="003F5784" w14:paraId="40E96467" w14:textId="77777777">
            <w:pPr>
              <w:pStyle w:val="TableParagraph"/>
              <w:ind w:right="113"/>
              <w:rPr>
                <w:sz w:val="21"/>
              </w:rPr>
            </w:pPr>
            <w:r>
              <w:rPr>
                <w:spacing w:val="-4"/>
                <w:sz w:val="21"/>
              </w:rPr>
              <w:t>0.37</w:t>
            </w:r>
          </w:p>
        </w:tc>
      </w:tr>
      <w:tr w14:paraId="4112C2A3" w14:textId="77777777">
        <w:tblPrEx>
          <w:tblW w:w="0" w:type="auto"/>
          <w:tblInd w:w="482" w:type="dxa"/>
          <w:tblLayout w:type="fixed"/>
          <w:tblCellMar>
            <w:left w:w="0" w:type="dxa"/>
            <w:right w:w="0" w:type="dxa"/>
          </w:tblCellMar>
          <w:tblLook w:val="01E0"/>
        </w:tblPrEx>
        <w:trPr>
          <w:trHeight w:val="286"/>
        </w:trPr>
        <w:tc>
          <w:tcPr>
            <w:tcW w:w="789" w:type="dxa"/>
          </w:tcPr>
          <w:p w:rsidR="003F5784" w14:paraId="0794B22E" w14:textId="77777777">
            <w:pPr>
              <w:pStyle w:val="TableParagraph"/>
              <w:spacing w:before="0"/>
              <w:jc w:val="left"/>
              <w:rPr>
                <w:sz w:val="20"/>
              </w:rPr>
            </w:pPr>
          </w:p>
        </w:tc>
        <w:tc>
          <w:tcPr>
            <w:tcW w:w="2514" w:type="dxa"/>
          </w:tcPr>
          <w:p w:rsidR="003F5784" w14:paraId="6E844A34" w14:textId="77777777">
            <w:pPr>
              <w:pStyle w:val="TableParagraph"/>
              <w:ind w:left="304"/>
              <w:jc w:val="left"/>
              <w:rPr>
                <w:sz w:val="21"/>
              </w:rPr>
            </w:pPr>
            <w:r>
              <w:rPr>
                <w:sz w:val="21"/>
              </w:rPr>
              <w:t>South</w:t>
            </w:r>
            <w:r>
              <w:rPr>
                <w:spacing w:val="-6"/>
                <w:sz w:val="21"/>
              </w:rPr>
              <w:t xml:space="preserve"> </w:t>
            </w:r>
            <w:r>
              <w:rPr>
                <w:spacing w:val="-2"/>
                <w:sz w:val="21"/>
              </w:rPr>
              <w:t>public</w:t>
            </w:r>
          </w:p>
        </w:tc>
        <w:tc>
          <w:tcPr>
            <w:tcW w:w="2623" w:type="dxa"/>
          </w:tcPr>
          <w:p w:rsidR="003F5784" w14:paraId="641F8F45" w14:textId="77777777">
            <w:pPr>
              <w:pStyle w:val="TableParagraph"/>
              <w:ind w:left="827"/>
              <w:jc w:val="left"/>
              <w:rPr>
                <w:sz w:val="21"/>
              </w:rPr>
            </w:pPr>
            <w:r>
              <w:rPr>
                <w:spacing w:val="-2"/>
                <w:sz w:val="21"/>
              </w:rPr>
              <w:t>90.43</w:t>
            </w:r>
          </w:p>
        </w:tc>
        <w:tc>
          <w:tcPr>
            <w:tcW w:w="3021" w:type="dxa"/>
          </w:tcPr>
          <w:p w:rsidR="003F5784" w14:paraId="29C836F0" w14:textId="77777777">
            <w:pPr>
              <w:pStyle w:val="TableParagraph"/>
              <w:ind w:left="265" w:right="261"/>
              <w:jc w:val="center"/>
              <w:rPr>
                <w:sz w:val="21"/>
              </w:rPr>
            </w:pPr>
            <w:r>
              <w:rPr>
                <w:spacing w:val="-4"/>
                <w:sz w:val="21"/>
              </w:rPr>
              <w:t>1.57</w:t>
            </w:r>
          </w:p>
        </w:tc>
        <w:tc>
          <w:tcPr>
            <w:tcW w:w="3121" w:type="dxa"/>
          </w:tcPr>
          <w:p w:rsidR="003F5784" w14:paraId="00F06C1C" w14:textId="77777777">
            <w:pPr>
              <w:pStyle w:val="TableParagraph"/>
              <w:ind w:left="166" w:right="258"/>
              <w:jc w:val="center"/>
              <w:rPr>
                <w:sz w:val="21"/>
              </w:rPr>
            </w:pPr>
            <w:r>
              <w:rPr>
                <w:spacing w:val="-4"/>
                <w:sz w:val="21"/>
              </w:rPr>
              <w:t>0.55</w:t>
            </w:r>
          </w:p>
        </w:tc>
        <w:tc>
          <w:tcPr>
            <w:tcW w:w="1912" w:type="dxa"/>
          </w:tcPr>
          <w:p w:rsidR="003F5784" w14:paraId="22701643" w14:textId="77777777">
            <w:pPr>
              <w:pStyle w:val="TableParagraph"/>
              <w:ind w:right="113"/>
              <w:rPr>
                <w:sz w:val="21"/>
              </w:rPr>
            </w:pPr>
            <w:r>
              <w:rPr>
                <w:spacing w:val="-4"/>
                <w:sz w:val="21"/>
              </w:rPr>
              <w:t>0.30</w:t>
            </w:r>
          </w:p>
        </w:tc>
      </w:tr>
      <w:tr w14:paraId="79A5E5B6" w14:textId="77777777">
        <w:tblPrEx>
          <w:tblW w:w="0" w:type="auto"/>
          <w:tblInd w:w="482" w:type="dxa"/>
          <w:tblLayout w:type="fixed"/>
          <w:tblCellMar>
            <w:left w:w="0" w:type="dxa"/>
            <w:right w:w="0" w:type="dxa"/>
          </w:tblCellMar>
          <w:tblLook w:val="01E0"/>
        </w:tblPrEx>
        <w:trPr>
          <w:trHeight w:val="286"/>
        </w:trPr>
        <w:tc>
          <w:tcPr>
            <w:tcW w:w="789" w:type="dxa"/>
          </w:tcPr>
          <w:p w:rsidR="003F5784" w14:paraId="07C1B256" w14:textId="77777777">
            <w:pPr>
              <w:pStyle w:val="TableParagraph"/>
              <w:spacing w:before="0"/>
              <w:jc w:val="left"/>
              <w:rPr>
                <w:sz w:val="20"/>
              </w:rPr>
            </w:pPr>
          </w:p>
        </w:tc>
        <w:tc>
          <w:tcPr>
            <w:tcW w:w="2514" w:type="dxa"/>
          </w:tcPr>
          <w:p w:rsidR="003F5784" w14:paraId="2CE33136" w14:textId="77777777">
            <w:pPr>
              <w:pStyle w:val="TableParagraph"/>
              <w:ind w:left="304"/>
              <w:jc w:val="left"/>
              <w:rPr>
                <w:sz w:val="21"/>
              </w:rPr>
            </w:pPr>
            <w:r>
              <w:rPr>
                <w:spacing w:val="-4"/>
                <w:sz w:val="21"/>
              </w:rPr>
              <w:t>West</w:t>
            </w:r>
            <w:r>
              <w:rPr>
                <w:spacing w:val="-7"/>
                <w:sz w:val="21"/>
              </w:rPr>
              <w:t xml:space="preserve"> </w:t>
            </w:r>
            <w:r>
              <w:rPr>
                <w:spacing w:val="-2"/>
                <w:sz w:val="21"/>
              </w:rPr>
              <w:t>public</w:t>
            </w:r>
          </w:p>
        </w:tc>
        <w:tc>
          <w:tcPr>
            <w:tcW w:w="2623" w:type="dxa"/>
          </w:tcPr>
          <w:p w:rsidR="003F5784" w14:paraId="22E39F4A" w14:textId="77777777">
            <w:pPr>
              <w:pStyle w:val="TableParagraph"/>
              <w:ind w:left="827"/>
              <w:jc w:val="left"/>
              <w:rPr>
                <w:sz w:val="21"/>
              </w:rPr>
            </w:pPr>
            <w:r>
              <w:rPr>
                <w:spacing w:val="-2"/>
                <w:sz w:val="21"/>
              </w:rPr>
              <w:t>89.36</w:t>
            </w:r>
          </w:p>
        </w:tc>
        <w:tc>
          <w:tcPr>
            <w:tcW w:w="3021" w:type="dxa"/>
          </w:tcPr>
          <w:p w:rsidR="003F5784" w14:paraId="116295FA" w14:textId="77777777">
            <w:pPr>
              <w:pStyle w:val="TableParagraph"/>
              <w:ind w:left="265" w:right="261"/>
              <w:jc w:val="center"/>
              <w:rPr>
                <w:sz w:val="21"/>
              </w:rPr>
            </w:pPr>
            <w:r>
              <w:rPr>
                <w:spacing w:val="-4"/>
                <w:sz w:val="21"/>
              </w:rPr>
              <w:t>2.61</w:t>
            </w:r>
          </w:p>
        </w:tc>
        <w:tc>
          <w:tcPr>
            <w:tcW w:w="3121" w:type="dxa"/>
          </w:tcPr>
          <w:p w:rsidR="003F5784" w14:paraId="0E206539" w14:textId="77777777">
            <w:pPr>
              <w:pStyle w:val="TableParagraph"/>
              <w:ind w:left="166" w:right="258"/>
              <w:jc w:val="center"/>
              <w:rPr>
                <w:sz w:val="21"/>
              </w:rPr>
            </w:pPr>
            <w:r>
              <w:rPr>
                <w:spacing w:val="-4"/>
                <w:sz w:val="21"/>
              </w:rPr>
              <w:t>1.61</w:t>
            </w:r>
          </w:p>
        </w:tc>
        <w:tc>
          <w:tcPr>
            <w:tcW w:w="1912" w:type="dxa"/>
          </w:tcPr>
          <w:p w:rsidR="003F5784" w14:paraId="0BD8078A" w14:textId="77777777">
            <w:pPr>
              <w:pStyle w:val="TableParagraph"/>
              <w:ind w:right="113"/>
              <w:rPr>
                <w:sz w:val="21"/>
              </w:rPr>
            </w:pPr>
            <w:r>
              <w:rPr>
                <w:spacing w:val="-4"/>
                <w:sz w:val="21"/>
              </w:rPr>
              <w:t>0.27</w:t>
            </w:r>
          </w:p>
        </w:tc>
      </w:tr>
      <w:tr w14:paraId="4CE8C63D" w14:textId="77777777">
        <w:tblPrEx>
          <w:tblW w:w="0" w:type="auto"/>
          <w:tblInd w:w="482" w:type="dxa"/>
          <w:tblLayout w:type="fixed"/>
          <w:tblCellMar>
            <w:left w:w="0" w:type="dxa"/>
            <w:right w:w="0" w:type="dxa"/>
          </w:tblCellMar>
          <w:tblLook w:val="01E0"/>
        </w:tblPrEx>
        <w:trPr>
          <w:trHeight w:val="286"/>
        </w:trPr>
        <w:tc>
          <w:tcPr>
            <w:tcW w:w="789" w:type="dxa"/>
          </w:tcPr>
          <w:p w:rsidR="003F5784" w14:paraId="6C6A7A3D" w14:textId="77777777">
            <w:pPr>
              <w:pStyle w:val="TableParagraph"/>
              <w:spacing w:before="0"/>
              <w:jc w:val="left"/>
              <w:rPr>
                <w:sz w:val="20"/>
              </w:rPr>
            </w:pPr>
          </w:p>
        </w:tc>
        <w:tc>
          <w:tcPr>
            <w:tcW w:w="2514" w:type="dxa"/>
          </w:tcPr>
          <w:p w:rsidR="003F5784" w14:paraId="4BE07191" w14:textId="77777777">
            <w:pPr>
              <w:pStyle w:val="TableParagraph"/>
              <w:ind w:left="54"/>
              <w:jc w:val="left"/>
              <w:rPr>
                <w:sz w:val="21"/>
              </w:rPr>
            </w:pPr>
            <w:r>
              <w:rPr>
                <w:sz w:val="21"/>
              </w:rPr>
              <w:t>National</w:t>
            </w:r>
            <w:r>
              <w:rPr>
                <w:spacing w:val="-9"/>
                <w:sz w:val="21"/>
              </w:rPr>
              <w:t xml:space="preserve"> </w:t>
            </w:r>
            <w:r>
              <w:rPr>
                <w:spacing w:val="-2"/>
                <w:sz w:val="21"/>
              </w:rPr>
              <w:t>private</w:t>
            </w:r>
          </w:p>
        </w:tc>
        <w:tc>
          <w:tcPr>
            <w:tcW w:w="2623" w:type="dxa"/>
          </w:tcPr>
          <w:p w:rsidR="003F5784" w14:paraId="7C71A7CE" w14:textId="77777777">
            <w:pPr>
              <w:pStyle w:val="TableParagraph"/>
              <w:ind w:left="827"/>
              <w:jc w:val="left"/>
              <w:rPr>
                <w:sz w:val="21"/>
              </w:rPr>
            </w:pPr>
            <w:r>
              <w:rPr>
                <w:spacing w:val="-2"/>
                <w:sz w:val="21"/>
              </w:rPr>
              <w:t>85.77</w:t>
            </w:r>
          </w:p>
        </w:tc>
        <w:tc>
          <w:tcPr>
            <w:tcW w:w="3021" w:type="dxa"/>
          </w:tcPr>
          <w:p w:rsidR="003F5784" w14:paraId="2F3F8BC3" w14:textId="77777777">
            <w:pPr>
              <w:pStyle w:val="TableParagraph"/>
              <w:ind w:left="265" w:right="261"/>
              <w:jc w:val="center"/>
              <w:rPr>
                <w:sz w:val="21"/>
              </w:rPr>
            </w:pPr>
            <w:r>
              <w:rPr>
                <w:spacing w:val="-4"/>
                <w:sz w:val="21"/>
              </w:rPr>
              <w:t>0.29</w:t>
            </w:r>
          </w:p>
        </w:tc>
        <w:tc>
          <w:tcPr>
            <w:tcW w:w="3121" w:type="dxa"/>
          </w:tcPr>
          <w:p w:rsidR="003F5784" w14:paraId="33E1907B" w14:textId="77777777">
            <w:pPr>
              <w:pStyle w:val="TableParagraph"/>
              <w:ind w:left="258" w:right="92"/>
              <w:jc w:val="center"/>
              <w:rPr>
                <w:sz w:val="21"/>
              </w:rPr>
            </w:pPr>
            <w:r>
              <w:rPr>
                <w:spacing w:val="-10"/>
                <w:sz w:val="21"/>
              </w:rPr>
              <w:t>#</w:t>
            </w:r>
          </w:p>
        </w:tc>
        <w:tc>
          <w:tcPr>
            <w:tcW w:w="1912" w:type="dxa"/>
          </w:tcPr>
          <w:p w:rsidR="003F5784" w14:paraId="6F7093F3" w14:textId="77777777">
            <w:pPr>
              <w:pStyle w:val="TableParagraph"/>
              <w:ind w:right="113"/>
              <w:rPr>
                <w:sz w:val="21"/>
              </w:rPr>
            </w:pPr>
            <w:r>
              <w:rPr>
                <w:spacing w:val="-10"/>
                <w:sz w:val="21"/>
              </w:rPr>
              <w:t>#</w:t>
            </w:r>
          </w:p>
        </w:tc>
      </w:tr>
      <w:tr w14:paraId="7213BF2F" w14:textId="77777777">
        <w:tblPrEx>
          <w:tblW w:w="0" w:type="auto"/>
          <w:tblInd w:w="482" w:type="dxa"/>
          <w:tblLayout w:type="fixed"/>
          <w:tblCellMar>
            <w:left w:w="0" w:type="dxa"/>
            <w:right w:w="0" w:type="dxa"/>
          </w:tblCellMar>
          <w:tblLook w:val="01E0"/>
        </w:tblPrEx>
        <w:trPr>
          <w:trHeight w:val="286"/>
        </w:trPr>
        <w:tc>
          <w:tcPr>
            <w:tcW w:w="789" w:type="dxa"/>
          </w:tcPr>
          <w:p w:rsidR="003F5784" w14:paraId="190A00D5" w14:textId="77777777">
            <w:pPr>
              <w:pStyle w:val="TableParagraph"/>
              <w:spacing w:before="0"/>
              <w:jc w:val="left"/>
              <w:rPr>
                <w:sz w:val="20"/>
              </w:rPr>
            </w:pPr>
          </w:p>
        </w:tc>
        <w:tc>
          <w:tcPr>
            <w:tcW w:w="2514" w:type="dxa"/>
          </w:tcPr>
          <w:p w:rsidR="003F5784" w14:paraId="2FCEA9B8" w14:textId="77777777">
            <w:pPr>
              <w:pStyle w:val="TableParagraph"/>
              <w:ind w:left="304"/>
              <w:jc w:val="left"/>
              <w:rPr>
                <w:sz w:val="21"/>
              </w:rPr>
            </w:pPr>
            <w:r>
              <w:rPr>
                <w:spacing w:val="-2"/>
                <w:sz w:val="21"/>
              </w:rPr>
              <w:t>Catholic</w:t>
            </w:r>
          </w:p>
        </w:tc>
        <w:tc>
          <w:tcPr>
            <w:tcW w:w="2623" w:type="dxa"/>
          </w:tcPr>
          <w:p w:rsidR="003F5784" w14:paraId="2651D67B" w14:textId="77777777">
            <w:pPr>
              <w:pStyle w:val="TableParagraph"/>
              <w:ind w:left="827"/>
              <w:jc w:val="left"/>
              <w:rPr>
                <w:sz w:val="21"/>
              </w:rPr>
            </w:pPr>
            <w:r>
              <w:rPr>
                <w:spacing w:val="-2"/>
                <w:sz w:val="21"/>
              </w:rPr>
              <w:t>85.77</w:t>
            </w:r>
          </w:p>
        </w:tc>
        <w:tc>
          <w:tcPr>
            <w:tcW w:w="3021" w:type="dxa"/>
          </w:tcPr>
          <w:p w:rsidR="003F5784" w14:paraId="2C9DEFF9" w14:textId="77777777">
            <w:pPr>
              <w:pStyle w:val="TableParagraph"/>
              <w:ind w:left="265" w:right="261"/>
              <w:jc w:val="center"/>
              <w:rPr>
                <w:sz w:val="21"/>
              </w:rPr>
            </w:pPr>
            <w:r>
              <w:rPr>
                <w:spacing w:val="-4"/>
                <w:sz w:val="21"/>
              </w:rPr>
              <w:t>0.73</w:t>
            </w:r>
          </w:p>
        </w:tc>
        <w:tc>
          <w:tcPr>
            <w:tcW w:w="3121" w:type="dxa"/>
          </w:tcPr>
          <w:p w:rsidR="003F5784" w14:paraId="420BDB47" w14:textId="77777777">
            <w:pPr>
              <w:pStyle w:val="TableParagraph"/>
              <w:ind w:left="258" w:right="92"/>
              <w:jc w:val="center"/>
              <w:rPr>
                <w:sz w:val="21"/>
              </w:rPr>
            </w:pPr>
            <w:r>
              <w:rPr>
                <w:spacing w:val="-10"/>
                <w:sz w:val="21"/>
              </w:rPr>
              <w:t>#</w:t>
            </w:r>
          </w:p>
        </w:tc>
        <w:tc>
          <w:tcPr>
            <w:tcW w:w="1912" w:type="dxa"/>
          </w:tcPr>
          <w:p w:rsidR="003F5784" w14:paraId="5BE818FE" w14:textId="77777777">
            <w:pPr>
              <w:pStyle w:val="TableParagraph"/>
              <w:ind w:right="113"/>
              <w:rPr>
                <w:sz w:val="21"/>
              </w:rPr>
            </w:pPr>
            <w:r>
              <w:rPr>
                <w:spacing w:val="-10"/>
                <w:sz w:val="21"/>
              </w:rPr>
              <w:t>#</w:t>
            </w:r>
          </w:p>
        </w:tc>
      </w:tr>
      <w:tr w14:paraId="5342E021" w14:textId="77777777">
        <w:tblPrEx>
          <w:tblW w:w="0" w:type="auto"/>
          <w:tblInd w:w="482" w:type="dxa"/>
          <w:tblLayout w:type="fixed"/>
          <w:tblCellMar>
            <w:left w:w="0" w:type="dxa"/>
            <w:right w:w="0" w:type="dxa"/>
          </w:tblCellMar>
          <w:tblLook w:val="01E0"/>
        </w:tblPrEx>
        <w:trPr>
          <w:trHeight w:val="288"/>
        </w:trPr>
        <w:tc>
          <w:tcPr>
            <w:tcW w:w="789" w:type="dxa"/>
            <w:tcBorders>
              <w:bottom w:val="single" w:sz="18" w:space="0" w:color="800000"/>
            </w:tcBorders>
          </w:tcPr>
          <w:p w:rsidR="003F5784" w14:paraId="7A9A5206" w14:textId="77777777">
            <w:pPr>
              <w:pStyle w:val="TableParagraph"/>
              <w:spacing w:before="0"/>
              <w:jc w:val="left"/>
              <w:rPr>
                <w:sz w:val="20"/>
              </w:rPr>
            </w:pPr>
          </w:p>
        </w:tc>
        <w:tc>
          <w:tcPr>
            <w:tcW w:w="2514" w:type="dxa"/>
            <w:tcBorders>
              <w:bottom w:val="single" w:sz="18" w:space="0" w:color="800000"/>
            </w:tcBorders>
          </w:tcPr>
          <w:p w:rsidR="003F5784" w14:paraId="0D49BC60" w14:textId="77777777">
            <w:pPr>
              <w:pStyle w:val="TableParagraph"/>
              <w:ind w:left="304"/>
              <w:jc w:val="left"/>
              <w:rPr>
                <w:sz w:val="21"/>
              </w:rPr>
            </w:pPr>
            <w:r>
              <w:rPr>
                <w:spacing w:val="-2"/>
                <w:sz w:val="21"/>
              </w:rPr>
              <w:t>Non-Catholic</w:t>
            </w:r>
          </w:p>
        </w:tc>
        <w:tc>
          <w:tcPr>
            <w:tcW w:w="2623" w:type="dxa"/>
            <w:tcBorders>
              <w:bottom w:val="single" w:sz="18" w:space="0" w:color="800000"/>
            </w:tcBorders>
          </w:tcPr>
          <w:p w:rsidR="003F5784" w14:paraId="60CC5CA8" w14:textId="77777777">
            <w:pPr>
              <w:pStyle w:val="TableParagraph"/>
              <w:ind w:left="827"/>
              <w:jc w:val="left"/>
              <w:rPr>
                <w:sz w:val="21"/>
              </w:rPr>
            </w:pPr>
            <w:r>
              <w:rPr>
                <w:spacing w:val="-2"/>
                <w:sz w:val="21"/>
              </w:rPr>
              <w:t>85.76</w:t>
            </w:r>
          </w:p>
        </w:tc>
        <w:tc>
          <w:tcPr>
            <w:tcW w:w="3021" w:type="dxa"/>
            <w:tcBorders>
              <w:bottom w:val="single" w:sz="18" w:space="0" w:color="800000"/>
            </w:tcBorders>
          </w:tcPr>
          <w:p w:rsidR="003F5784" w14:paraId="1B0B7233" w14:textId="77777777">
            <w:pPr>
              <w:pStyle w:val="TableParagraph"/>
              <w:ind w:left="265"/>
              <w:jc w:val="center"/>
              <w:rPr>
                <w:sz w:val="21"/>
              </w:rPr>
            </w:pPr>
            <w:r>
              <w:rPr>
                <w:spacing w:val="-10"/>
                <w:sz w:val="21"/>
              </w:rPr>
              <w:t>#</w:t>
            </w:r>
          </w:p>
        </w:tc>
        <w:tc>
          <w:tcPr>
            <w:tcW w:w="3121" w:type="dxa"/>
            <w:tcBorders>
              <w:bottom w:val="single" w:sz="18" w:space="0" w:color="800000"/>
            </w:tcBorders>
          </w:tcPr>
          <w:p w:rsidR="003F5784" w14:paraId="2128C7DA" w14:textId="77777777">
            <w:pPr>
              <w:pStyle w:val="TableParagraph"/>
              <w:ind w:left="258" w:right="92"/>
              <w:jc w:val="center"/>
              <w:rPr>
                <w:sz w:val="21"/>
              </w:rPr>
            </w:pPr>
            <w:r>
              <w:rPr>
                <w:spacing w:val="-10"/>
                <w:sz w:val="21"/>
              </w:rPr>
              <w:t>#</w:t>
            </w:r>
          </w:p>
        </w:tc>
        <w:tc>
          <w:tcPr>
            <w:tcW w:w="1912" w:type="dxa"/>
            <w:tcBorders>
              <w:bottom w:val="single" w:sz="18" w:space="0" w:color="800000"/>
            </w:tcBorders>
          </w:tcPr>
          <w:p w:rsidR="003F5784" w14:paraId="3487A7F3" w14:textId="77777777">
            <w:pPr>
              <w:pStyle w:val="TableParagraph"/>
              <w:ind w:right="113"/>
              <w:rPr>
                <w:sz w:val="21"/>
              </w:rPr>
            </w:pPr>
            <w:r>
              <w:rPr>
                <w:spacing w:val="-10"/>
                <w:sz w:val="21"/>
              </w:rPr>
              <w:t>#</w:t>
            </w:r>
          </w:p>
        </w:tc>
      </w:tr>
      <w:tr w14:paraId="2E6D167E" w14:textId="77777777">
        <w:tblPrEx>
          <w:tblW w:w="0" w:type="auto"/>
          <w:tblInd w:w="482" w:type="dxa"/>
          <w:tblLayout w:type="fixed"/>
          <w:tblCellMar>
            <w:left w:w="0" w:type="dxa"/>
            <w:right w:w="0" w:type="dxa"/>
          </w:tblCellMar>
          <w:tblLook w:val="01E0"/>
        </w:tblPrEx>
        <w:trPr>
          <w:trHeight w:val="204"/>
        </w:trPr>
        <w:tc>
          <w:tcPr>
            <w:tcW w:w="5926" w:type="dxa"/>
            <w:gridSpan w:val="3"/>
            <w:tcBorders>
              <w:top w:val="single" w:sz="18" w:space="0" w:color="800000"/>
            </w:tcBorders>
          </w:tcPr>
          <w:p w:rsidR="003F5784" w14:paraId="479D3D6F" w14:textId="77777777">
            <w:pPr>
              <w:pStyle w:val="TableParagraph"/>
              <w:spacing w:before="10" w:line="174" w:lineRule="exact"/>
              <w:ind w:left="120" w:right="-116"/>
              <w:jc w:val="left"/>
              <w:rPr>
                <w:sz w:val="21"/>
              </w:rPr>
            </w:pPr>
            <w:r>
              <w:rPr>
                <w:position w:val="8"/>
                <w:sz w:val="17"/>
              </w:rPr>
              <w:t>1</w:t>
            </w:r>
            <w:r>
              <w:rPr>
                <w:sz w:val="21"/>
              </w:rPr>
              <w:t>Includes</w:t>
            </w:r>
            <w:r>
              <w:rPr>
                <w:spacing w:val="-7"/>
                <w:sz w:val="21"/>
              </w:rPr>
              <w:t xml:space="preserve"> </w:t>
            </w:r>
            <w:r>
              <w:rPr>
                <w:sz w:val="21"/>
              </w:rPr>
              <w:t>national</w:t>
            </w:r>
            <w:r>
              <w:rPr>
                <w:spacing w:val="-7"/>
                <w:sz w:val="21"/>
              </w:rPr>
              <w:t xml:space="preserve"> </w:t>
            </w:r>
            <w:r>
              <w:rPr>
                <w:sz w:val="21"/>
              </w:rPr>
              <w:t>public,</w:t>
            </w:r>
            <w:r>
              <w:rPr>
                <w:spacing w:val="-6"/>
                <w:sz w:val="21"/>
              </w:rPr>
              <w:t xml:space="preserve"> </w:t>
            </w:r>
            <w:r>
              <w:rPr>
                <w:sz w:val="21"/>
              </w:rPr>
              <w:t>national</w:t>
            </w:r>
            <w:r>
              <w:rPr>
                <w:spacing w:val="-7"/>
                <w:sz w:val="21"/>
              </w:rPr>
              <w:t xml:space="preserve"> </w:t>
            </w:r>
            <w:r>
              <w:rPr>
                <w:sz w:val="21"/>
              </w:rPr>
              <w:t>private,</w:t>
            </w:r>
            <w:r>
              <w:rPr>
                <w:spacing w:val="-6"/>
                <w:sz w:val="21"/>
              </w:rPr>
              <w:t xml:space="preserve"> </w:t>
            </w:r>
            <w:r>
              <w:rPr>
                <w:sz w:val="21"/>
              </w:rPr>
              <w:t>Bureau</w:t>
            </w:r>
            <w:r>
              <w:rPr>
                <w:spacing w:val="-7"/>
                <w:sz w:val="21"/>
              </w:rPr>
              <w:t xml:space="preserve"> </w:t>
            </w:r>
            <w:r>
              <w:rPr>
                <w:sz w:val="21"/>
              </w:rPr>
              <w:t>of</w:t>
            </w:r>
            <w:r>
              <w:rPr>
                <w:spacing w:val="-6"/>
                <w:sz w:val="21"/>
              </w:rPr>
              <w:t xml:space="preserve"> </w:t>
            </w:r>
            <w:r>
              <w:rPr>
                <w:sz w:val="21"/>
              </w:rPr>
              <w:t>Indian</w:t>
            </w:r>
            <w:r>
              <w:rPr>
                <w:spacing w:val="-7"/>
                <w:sz w:val="21"/>
              </w:rPr>
              <w:t xml:space="preserve"> </w:t>
            </w:r>
            <w:r>
              <w:rPr>
                <w:spacing w:val="-2"/>
                <w:sz w:val="21"/>
              </w:rPr>
              <w:t>Education</w:t>
            </w:r>
          </w:p>
        </w:tc>
        <w:tc>
          <w:tcPr>
            <w:tcW w:w="3021" w:type="dxa"/>
            <w:tcBorders>
              <w:top w:val="single" w:sz="18" w:space="0" w:color="800000"/>
            </w:tcBorders>
          </w:tcPr>
          <w:p w:rsidR="003F5784" w14:paraId="764AB74B" w14:textId="77777777">
            <w:pPr>
              <w:pStyle w:val="TableParagraph"/>
              <w:spacing w:before="53" w:line="131" w:lineRule="exact"/>
              <w:ind w:left="106" w:right="-72"/>
              <w:jc w:val="left"/>
              <w:rPr>
                <w:sz w:val="21"/>
              </w:rPr>
            </w:pPr>
            <w:r>
              <w:rPr>
                <w:sz w:val="21"/>
              </w:rPr>
              <w:t>,</w:t>
            </w:r>
            <w:r>
              <w:rPr>
                <w:spacing w:val="-6"/>
                <w:sz w:val="21"/>
              </w:rPr>
              <w:t xml:space="preserve"> </w:t>
            </w:r>
            <w:r>
              <w:rPr>
                <w:sz w:val="21"/>
              </w:rPr>
              <w:t>and</w:t>
            </w:r>
            <w:r>
              <w:rPr>
                <w:spacing w:val="-5"/>
                <w:sz w:val="21"/>
              </w:rPr>
              <w:t xml:space="preserve"> </w:t>
            </w:r>
            <w:r>
              <w:rPr>
                <w:sz w:val="21"/>
              </w:rPr>
              <w:t>Department</w:t>
            </w:r>
            <w:r>
              <w:rPr>
                <w:spacing w:val="-6"/>
                <w:sz w:val="21"/>
              </w:rPr>
              <w:t xml:space="preserve"> </w:t>
            </w:r>
            <w:r>
              <w:rPr>
                <w:sz w:val="21"/>
              </w:rPr>
              <w:t>of</w:t>
            </w:r>
            <w:r>
              <w:rPr>
                <w:spacing w:val="-5"/>
                <w:sz w:val="21"/>
              </w:rPr>
              <w:t xml:space="preserve"> </w:t>
            </w:r>
            <w:r>
              <w:rPr>
                <w:sz w:val="21"/>
              </w:rPr>
              <w:t>Defense</w:t>
            </w:r>
            <w:r>
              <w:rPr>
                <w:spacing w:val="-6"/>
                <w:sz w:val="21"/>
              </w:rPr>
              <w:t xml:space="preserve"> </w:t>
            </w:r>
            <w:r>
              <w:rPr>
                <w:spacing w:val="-2"/>
                <w:sz w:val="21"/>
              </w:rPr>
              <w:t>Educa</w:t>
            </w:r>
          </w:p>
        </w:tc>
        <w:tc>
          <w:tcPr>
            <w:tcW w:w="3121" w:type="dxa"/>
            <w:tcBorders>
              <w:top w:val="single" w:sz="18" w:space="0" w:color="800000"/>
            </w:tcBorders>
          </w:tcPr>
          <w:p w:rsidR="003F5784" w14:paraId="2B66AEA2" w14:textId="77777777">
            <w:pPr>
              <w:pStyle w:val="TableParagraph"/>
              <w:spacing w:before="53" w:line="131" w:lineRule="exact"/>
              <w:ind w:left="61" w:right="-159"/>
              <w:jc w:val="left"/>
              <w:rPr>
                <w:sz w:val="21"/>
              </w:rPr>
            </w:pPr>
            <w:r>
              <w:rPr>
                <w:sz w:val="21"/>
              </w:rPr>
              <w:t>tion</w:t>
            </w:r>
            <w:r>
              <w:rPr>
                <w:spacing w:val="-14"/>
                <w:sz w:val="21"/>
              </w:rPr>
              <w:t xml:space="preserve"> </w:t>
            </w:r>
            <w:r>
              <w:rPr>
                <w:sz w:val="21"/>
              </w:rPr>
              <w:t>Activity</w:t>
            </w:r>
            <w:r>
              <w:rPr>
                <w:spacing w:val="-8"/>
                <w:sz w:val="21"/>
              </w:rPr>
              <w:t xml:space="preserve"> </w:t>
            </w:r>
            <w:r>
              <w:rPr>
                <w:sz w:val="21"/>
              </w:rPr>
              <w:t>schools</w:t>
            </w:r>
            <w:r>
              <w:rPr>
                <w:spacing w:val="-5"/>
                <w:sz w:val="21"/>
              </w:rPr>
              <w:t xml:space="preserve"> </w:t>
            </w:r>
            <w:r>
              <w:rPr>
                <w:sz w:val="21"/>
              </w:rPr>
              <w:t>located</w:t>
            </w:r>
            <w:r>
              <w:rPr>
                <w:spacing w:val="-6"/>
                <w:sz w:val="21"/>
              </w:rPr>
              <w:t xml:space="preserve"> </w:t>
            </w:r>
            <w:r>
              <w:rPr>
                <w:sz w:val="21"/>
              </w:rPr>
              <w:t>in</w:t>
            </w:r>
            <w:r>
              <w:rPr>
                <w:spacing w:val="-6"/>
                <w:sz w:val="21"/>
              </w:rPr>
              <w:t xml:space="preserve"> </w:t>
            </w:r>
            <w:r>
              <w:rPr>
                <w:sz w:val="21"/>
              </w:rPr>
              <w:t>the</w:t>
            </w:r>
            <w:r>
              <w:rPr>
                <w:spacing w:val="-5"/>
                <w:sz w:val="21"/>
              </w:rPr>
              <w:t xml:space="preserve"> Un</w:t>
            </w:r>
          </w:p>
        </w:tc>
        <w:tc>
          <w:tcPr>
            <w:tcW w:w="1912" w:type="dxa"/>
            <w:tcBorders>
              <w:top w:val="single" w:sz="18" w:space="0" w:color="800000"/>
            </w:tcBorders>
          </w:tcPr>
          <w:p w:rsidR="003F5784" w14:paraId="1D465665" w14:textId="77777777">
            <w:pPr>
              <w:pStyle w:val="TableParagraph"/>
              <w:spacing w:before="53" w:line="131" w:lineRule="exact"/>
              <w:ind w:left="148"/>
              <w:jc w:val="left"/>
              <w:rPr>
                <w:sz w:val="21"/>
              </w:rPr>
            </w:pPr>
            <w:r>
              <w:rPr>
                <w:sz w:val="21"/>
              </w:rPr>
              <w:t>ited</w:t>
            </w:r>
            <w:r>
              <w:rPr>
                <w:spacing w:val="-5"/>
                <w:sz w:val="21"/>
              </w:rPr>
              <w:t xml:space="preserve"> </w:t>
            </w:r>
            <w:r>
              <w:rPr>
                <w:spacing w:val="-2"/>
                <w:sz w:val="21"/>
              </w:rPr>
              <w:t>States.</w:t>
            </w:r>
          </w:p>
        </w:tc>
      </w:tr>
    </w:tbl>
    <w:p w:rsidR="003F5784" w14:paraId="2A04A349" w14:textId="77777777">
      <w:pPr>
        <w:pStyle w:val="BodyText"/>
        <w:spacing w:before="115" w:line="232" w:lineRule="auto"/>
        <w:ind w:left="595" w:right="588"/>
      </w:pPr>
      <w:r>
        <w:t>NOTE:</w:t>
      </w:r>
      <w:r>
        <w:rPr>
          <w:spacing w:val="-7"/>
        </w:rPr>
        <w:t xml:space="preserve"> </w:t>
      </w:r>
      <w:r>
        <w:t>National</w:t>
      </w:r>
      <w:r>
        <w:rPr>
          <w:spacing w:val="-7"/>
        </w:rPr>
        <w:t xml:space="preserve"> </w:t>
      </w:r>
      <w:r>
        <w:t>public</w:t>
      </w:r>
      <w:r>
        <w:rPr>
          <w:spacing w:val="-7"/>
        </w:rPr>
        <w:t xml:space="preserve"> </w:t>
      </w:r>
      <w:r>
        <w:t>includes</w:t>
      </w:r>
      <w:r>
        <w:rPr>
          <w:spacing w:val="-7"/>
        </w:rPr>
        <w:t xml:space="preserve"> </w:t>
      </w:r>
      <w:r>
        <w:t>students</w:t>
      </w:r>
      <w:r>
        <w:rPr>
          <w:spacing w:val="-7"/>
        </w:rPr>
        <w:t xml:space="preserve"> </w:t>
      </w:r>
      <w:r>
        <w:t>from</w:t>
      </w:r>
      <w:r>
        <w:rPr>
          <w:spacing w:val="-7"/>
        </w:rPr>
        <w:t xml:space="preserve"> </w:t>
      </w:r>
      <w:r>
        <w:t>public</w:t>
      </w:r>
      <w:r>
        <w:rPr>
          <w:spacing w:val="-7"/>
        </w:rPr>
        <w:t xml:space="preserve"> </w:t>
      </w:r>
      <w:r>
        <w:t>schools</w:t>
      </w:r>
      <w:r>
        <w:rPr>
          <w:spacing w:val="-7"/>
        </w:rPr>
        <w:t xml:space="preserve"> </w:t>
      </w:r>
      <w:r>
        <w:t>only.</w:t>
      </w:r>
      <w:r>
        <w:rPr>
          <w:spacing w:val="-7"/>
        </w:rPr>
        <w:t xml:space="preserve"> </w:t>
      </w:r>
      <w:r>
        <w:t>It</w:t>
      </w:r>
      <w:r>
        <w:rPr>
          <w:spacing w:val="-7"/>
        </w:rPr>
        <w:t xml:space="preserve"> </w:t>
      </w:r>
      <w:r>
        <w:t>includes</w:t>
      </w:r>
      <w:r>
        <w:rPr>
          <w:spacing w:val="-7"/>
        </w:rPr>
        <w:t xml:space="preserve"> </w:t>
      </w:r>
      <w:r>
        <w:t>charter</w:t>
      </w:r>
      <w:r>
        <w:rPr>
          <w:spacing w:val="-7"/>
        </w:rPr>
        <w:t xml:space="preserve"> </w:t>
      </w:r>
      <w:r>
        <w:t>schools,</w:t>
      </w:r>
      <w:r>
        <w:rPr>
          <w:spacing w:val="-7"/>
        </w:rPr>
        <w:t xml:space="preserve"> </w:t>
      </w:r>
      <w:r>
        <w:t>but</w:t>
      </w:r>
      <w:r>
        <w:rPr>
          <w:spacing w:val="-7"/>
        </w:rPr>
        <w:t xml:space="preserve"> </w:t>
      </w:r>
      <w:r>
        <w:t>excludes</w:t>
      </w:r>
      <w:r>
        <w:rPr>
          <w:spacing w:val="-7"/>
        </w:rPr>
        <w:t xml:space="preserve"> </w:t>
      </w:r>
      <w:r>
        <w:t>Bureau</w:t>
      </w:r>
      <w:r>
        <w:rPr>
          <w:spacing w:val="-7"/>
        </w:rPr>
        <w:t xml:space="preserve"> </w:t>
      </w:r>
      <w:r>
        <w:t>of</w:t>
      </w:r>
      <w:r>
        <w:rPr>
          <w:spacing w:val="-7"/>
        </w:rPr>
        <w:t xml:space="preserve"> </w:t>
      </w:r>
      <w:r>
        <w:t>Indian</w:t>
      </w:r>
      <w:r>
        <w:rPr>
          <w:spacing w:val="-7"/>
        </w:rPr>
        <w:t xml:space="preserve"> </w:t>
      </w:r>
      <w:r>
        <w:t>Education</w:t>
      </w:r>
      <w:r>
        <w:rPr>
          <w:spacing w:val="-7"/>
        </w:rPr>
        <w:t xml:space="preserve"> </w:t>
      </w:r>
      <w:r>
        <w:t>schools</w:t>
      </w:r>
      <w:r>
        <w:rPr>
          <w:spacing w:val="-7"/>
        </w:rPr>
        <w:t xml:space="preserve"> </w:t>
      </w:r>
      <w:r>
        <w:t>and</w:t>
      </w:r>
      <w:r>
        <w:rPr>
          <w:spacing w:val="-7"/>
        </w:rPr>
        <w:t xml:space="preserve"> </w:t>
      </w:r>
      <w:r>
        <w:t>Department</w:t>
      </w:r>
      <w:r>
        <w:rPr>
          <w:spacing w:val="-7"/>
        </w:rPr>
        <w:t xml:space="preserve"> </w:t>
      </w:r>
      <w:r>
        <w:t>of Defense Education</w:t>
      </w:r>
      <w:r>
        <w:rPr>
          <w:spacing w:val="-10"/>
        </w:rPr>
        <w:t xml:space="preserve"> </w:t>
      </w:r>
      <w:r>
        <w:t>Activity schools. It is used when comparing national data to those of states, urban districts, or regions. SD = students with disabilities; EL</w:t>
      </w:r>
      <w:r>
        <w:rPr>
          <w:spacing w:val="-7"/>
        </w:rPr>
        <w:t xml:space="preserve"> </w:t>
      </w:r>
      <w:r>
        <w:t>= English learners.</w:t>
      </w:r>
    </w:p>
    <w:p w:rsidR="003F5784" w14:paraId="0EF8F440" w14:textId="77777777">
      <w:pPr>
        <w:pStyle w:val="BodyText"/>
        <w:spacing w:before="1"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Mathematics Assessment.</w:t>
      </w:r>
    </w:p>
    <w:p w:rsidR="003F5784" w14:paraId="7FBEEEB9" w14:textId="77777777">
      <w:pPr>
        <w:pStyle w:val="BodyText"/>
      </w:pPr>
    </w:p>
    <w:p w:rsidR="003F5784" w14:paraId="5AD9273E" w14:textId="77777777">
      <w:pPr>
        <w:pStyle w:val="BodyText"/>
      </w:pPr>
    </w:p>
    <w:p w:rsidR="003F5784" w14:paraId="57C34F10" w14:textId="77777777">
      <w:pPr>
        <w:pStyle w:val="BodyText"/>
      </w:pPr>
    </w:p>
    <w:p w:rsidR="003F5784" w14:paraId="7ABCF4F9" w14:textId="77777777">
      <w:pPr>
        <w:pStyle w:val="BodyText"/>
      </w:pPr>
    </w:p>
    <w:p w:rsidR="003F5784" w14:paraId="3E0EDE55" w14:textId="77777777">
      <w:pPr>
        <w:pStyle w:val="BodyText"/>
        <w:spacing w:before="184"/>
      </w:pPr>
    </w:p>
    <w:p w:rsidR="003F5784" w14:paraId="5B742FAE" w14:textId="77777777">
      <w:pPr>
        <w:ind w:left="2415"/>
        <w:rPr>
          <w:sz w:val="18"/>
        </w:rPr>
      </w:pPr>
      <w:hyperlink r:id="rId191">
        <w:r>
          <w:rPr>
            <w:spacing w:val="-2"/>
            <w:w w:val="105"/>
            <w:sz w:val="18"/>
          </w:rPr>
          <w:t>http://nces.ed.gov/nationsreportcard/tdw/sample_design/2022/student_response_and_exclusion_rates_for_the_2022_long_term_trend_mathematics_assessment.aspx</w:t>
        </w:r>
      </w:hyperlink>
    </w:p>
    <w:p w:rsidR="003F5784" w14:paraId="13560705" w14:textId="77777777">
      <w:pPr>
        <w:pStyle w:val="BodyText"/>
        <w:spacing w:before="1"/>
        <w:rPr>
          <w:sz w:val="16"/>
        </w:rPr>
      </w:pPr>
      <w:r>
        <w:rPr>
          <w:noProof/>
        </w:rPr>
        <mc:AlternateContent>
          <mc:Choice Requires="wps">
            <w:drawing>
              <wp:anchor distT="0" distB="0" distL="0" distR="0" simplePos="0" relativeHeight="251876352" behindDoc="1" locked="0" layoutInCell="1" allowOverlap="1">
                <wp:simplePos x="0" y="0"/>
                <wp:positionH relativeFrom="page">
                  <wp:posOffset>361937</wp:posOffset>
                </wp:positionH>
                <wp:positionV relativeFrom="paragraph">
                  <wp:posOffset>132932</wp:posOffset>
                </wp:positionV>
                <wp:extent cx="9339580" cy="8890"/>
                <wp:effectExtent l="0" t="0" r="0" b="0"/>
                <wp:wrapTopAndBottom/>
                <wp:docPr id="217" name="Graphic 217"/>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67"/>
                              </a:lnTo>
                              <a:lnTo>
                                <a:pt x="9335110" y="8280"/>
                              </a:lnTo>
                              <a:lnTo>
                                <a:pt x="9338970" y="8280"/>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17" o:spid="_x0000_s1108" style="width:735.4pt;height:0.7pt;margin-top:10.45pt;margin-left:28.5pt;mso-position-horizontal-relative:page;mso-wrap-distance-bottom:0;mso-wrap-distance-left:0;mso-wrap-distance-right:0;mso-wrap-distance-top:0;mso-wrap-style:square;position:absolute;visibility:visible;v-text-anchor:top;z-index:-251439104" coordsize="9339580,8890" path="m9338970,12l9335110,12l8280,12,,,,8267l9335110,8280l9338970,8280l9338970,12xe" fillcolor="gray" stroked="f">
                <v:path arrowok="t"/>
                <w10:wrap type="topAndBottom"/>
              </v:shape>
            </w:pict>
          </mc:Fallback>
        </mc:AlternateContent>
      </w:r>
    </w:p>
    <w:p w:rsidR="003F5784" w14:paraId="6658185D" w14:textId="77777777">
      <w:pPr>
        <w:pStyle w:val="BodyText"/>
        <w:rPr>
          <w:sz w:val="18"/>
        </w:rPr>
      </w:pPr>
    </w:p>
    <w:p w:rsidR="003F5784" w14:paraId="5CABA7E9" w14:textId="77777777">
      <w:pPr>
        <w:pStyle w:val="BodyText"/>
        <w:spacing w:before="193"/>
        <w:rPr>
          <w:sz w:val="18"/>
        </w:rPr>
      </w:pPr>
    </w:p>
    <w:p w:rsidR="003F5784" w14:paraId="405586B6" w14:textId="5BCFD492">
      <w:pPr>
        <w:pStyle w:val="Heading1"/>
        <w:spacing w:line="244" w:lineRule="auto"/>
        <w:ind w:right="318"/>
      </w:pPr>
      <w:r>
        <w:t>NAEP</w:t>
      </w:r>
      <w:r>
        <w:rPr>
          <w:spacing w:val="-15"/>
        </w:rPr>
        <w:t xml:space="preserve"> </w:t>
      </w:r>
      <w:r>
        <w:t>Technical Documentation</w:t>
      </w:r>
      <w:r w:rsidR="005112A4">
        <w:t xml:space="preserve"> </w:t>
      </w:r>
      <w:r>
        <w:t>Student Response and Exclusion Rates for the 2022 Long-Term Trend Reading Assessment</w:t>
      </w:r>
    </w:p>
    <w:p w:rsidR="003F5784" w14:paraId="2C1DD1A1" w14:textId="77777777">
      <w:pPr>
        <w:spacing w:line="244" w:lineRule="auto"/>
        <w:sectPr>
          <w:type w:val="continuous"/>
          <w:pgSz w:w="15840" w:h="12240" w:orient="landscape"/>
          <w:pgMar w:top="480" w:right="440" w:bottom="460" w:left="460" w:header="284" w:footer="275" w:gutter="0"/>
          <w:cols w:space="720"/>
        </w:sectPr>
      </w:pPr>
    </w:p>
    <w:p w:rsidR="003F5784" w14:paraId="0EFFDB58" w14:textId="77777777">
      <w:pPr>
        <w:pStyle w:val="BodyText"/>
        <w:spacing w:before="78" w:line="232" w:lineRule="auto"/>
        <w:ind w:left="109" w:right="117"/>
      </w:pPr>
      <w:r>
        <w:t>The following table presents the weighted student response, exclusion, and full-time remote rates for the 2022 ages 9 and 13 long-term-trend reading assessments.</w:t>
      </w:r>
      <w:r>
        <w:rPr>
          <w:spacing w:val="-3"/>
        </w:rPr>
        <w:t xml:space="preserve"> </w:t>
      </w:r>
      <w:r>
        <w:t>The exclusion</w:t>
      </w:r>
      <w:r>
        <w:rPr>
          <w:spacing w:val="-6"/>
        </w:rPr>
        <w:t xml:space="preserve"> </w:t>
      </w:r>
      <w:r>
        <w:t>rates</w:t>
      </w:r>
      <w:r>
        <w:rPr>
          <w:spacing w:val="-6"/>
        </w:rPr>
        <w:t xml:space="preserve"> </w:t>
      </w:r>
      <w:r>
        <w:t>give</w:t>
      </w:r>
      <w:r>
        <w:rPr>
          <w:spacing w:val="-6"/>
        </w:rPr>
        <w:t xml:space="preserve"> </w:t>
      </w:r>
      <w:r>
        <w:t>the</w:t>
      </w:r>
      <w:r>
        <w:rPr>
          <w:spacing w:val="-6"/>
        </w:rPr>
        <w:t xml:space="preserve"> </w:t>
      </w:r>
      <w:r>
        <w:t>percentage</w:t>
      </w:r>
      <w:r>
        <w:rPr>
          <w:spacing w:val="-6"/>
        </w:rPr>
        <w:t xml:space="preserve"> </w:t>
      </w:r>
      <w:r>
        <w:t>excluded,</w:t>
      </w:r>
      <w:r>
        <w:rPr>
          <w:spacing w:val="-6"/>
        </w:rPr>
        <w:t xml:space="preserve"> </w:t>
      </w:r>
      <w:r>
        <w:t>among</w:t>
      </w:r>
      <w:r>
        <w:rPr>
          <w:spacing w:val="-6"/>
        </w:rPr>
        <w:t xml:space="preserve"> </w:t>
      </w:r>
      <w:r>
        <w:t>all</w:t>
      </w:r>
      <w:r>
        <w:rPr>
          <w:spacing w:val="-6"/>
        </w:rPr>
        <w:t xml:space="preserve"> </w:t>
      </w:r>
      <w:r>
        <w:t>eligible</w:t>
      </w:r>
      <w:r>
        <w:rPr>
          <w:spacing w:val="-6"/>
        </w:rPr>
        <w:t xml:space="preserve"> </w:t>
      </w:r>
      <w:r>
        <w:t>(i.e.,</w:t>
      </w:r>
      <w:r>
        <w:rPr>
          <w:spacing w:val="-6"/>
        </w:rPr>
        <w:t xml:space="preserve"> </w:t>
      </w:r>
      <w:r>
        <w:t>assessed,</w:t>
      </w:r>
      <w:r>
        <w:rPr>
          <w:spacing w:val="-6"/>
        </w:rPr>
        <w:t xml:space="preserve"> </w:t>
      </w:r>
      <w:r>
        <w:t>absent,</w:t>
      </w:r>
      <w:r>
        <w:rPr>
          <w:spacing w:val="-6"/>
        </w:rPr>
        <w:t xml:space="preserve"> </w:t>
      </w:r>
      <w:r>
        <w:t>or</w:t>
      </w:r>
      <w:r>
        <w:rPr>
          <w:spacing w:val="-6"/>
        </w:rPr>
        <w:t xml:space="preserve"> </w:t>
      </w:r>
      <w:r>
        <w:t>excluded)</w:t>
      </w:r>
      <w:r>
        <w:rPr>
          <w:spacing w:val="-6"/>
        </w:rPr>
        <w:t xml:space="preserve"> </w:t>
      </w:r>
      <w:r>
        <w:t>students.</w:t>
      </w:r>
      <w:r>
        <w:rPr>
          <w:spacing w:val="-6"/>
        </w:rPr>
        <w:t xml:space="preserve"> </w:t>
      </w:r>
      <w:r>
        <w:t>Excluded</w:t>
      </w:r>
      <w:r>
        <w:rPr>
          <w:spacing w:val="-6"/>
        </w:rPr>
        <w:t xml:space="preserve"> </w:t>
      </w:r>
      <w:r>
        <w:t>students</w:t>
      </w:r>
      <w:r>
        <w:rPr>
          <w:spacing w:val="-6"/>
        </w:rPr>
        <w:t xml:space="preserve"> </w:t>
      </w:r>
      <w:r>
        <w:t>must</w:t>
      </w:r>
      <w:r>
        <w:rPr>
          <w:spacing w:val="-6"/>
        </w:rPr>
        <w:t xml:space="preserve"> </w:t>
      </w:r>
      <w:r>
        <w:t>be</w:t>
      </w:r>
      <w:r>
        <w:rPr>
          <w:spacing w:val="-6"/>
        </w:rPr>
        <w:t xml:space="preserve"> </w:t>
      </w:r>
      <w:r>
        <w:t>either</w:t>
      </w:r>
      <w:r>
        <w:rPr>
          <w:spacing w:val="-6"/>
        </w:rPr>
        <w:t xml:space="preserve"> </w:t>
      </w:r>
      <w:r>
        <w:t>students</w:t>
      </w:r>
      <w:r>
        <w:rPr>
          <w:spacing w:val="-6"/>
        </w:rPr>
        <w:t xml:space="preserve"> </w:t>
      </w:r>
      <w:r>
        <w:t>with</w:t>
      </w:r>
      <w:r>
        <w:rPr>
          <w:spacing w:val="-6"/>
        </w:rPr>
        <w:t xml:space="preserve"> </w:t>
      </w:r>
      <w:r>
        <w:t>disabilities</w:t>
      </w:r>
      <w:r>
        <w:rPr>
          <w:spacing w:val="-6"/>
        </w:rPr>
        <w:t xml:space="preserve"> </w:t>
      </w:r>
      <w:r>
        <w:t>(SD)</w:t>
      </w:r>
      <w:r>
        <w:rPr>
          <w:spacing w:val="-6"/>
        </w:rPr>
        <w:t xml:space="preserve"> </w:t>
      </w:r>
      <w:r>
        <w:t>or English</w:t>
      </w:r>
      <w:r>
        <w:rPr>
          <w:spacing w:val="-6"/>
        </w:rPr>
        <w:t xml:space="preserve"> </w:t>
      </w:r>
      <w:r>
        <w:t>learners</w:t>
      </w:r>
      <w:r>
        <w:rPr>
          <w:spacing w:val="-6"/>
        </w:rPr>
        <w:t xml:space="preserve"> </w:t>
      </w:r>
      <w:r>
        <w:t>(EL).</w:t>
      </w:r>
      <w:r>
        <w:rPr>
          <w:spacing w:val="-9"/>
        </w:rPr>
        <w:t xml:space="preserve"> </w:t>
      </w:r>
      <w:r>
        <w:t>The</w:t>
      </w:r>
      <w:r>
        <w:rPr>
          <w:spacing w:val="-6"/>
        </w:rPr>
        <w:t xml:space="preserve"> </w:t>
      </w:r>
      <w:r>
        <w:t>response</w:t>
      </w:r>
      <w:r>
        <w:rPr>
          <w:spacing w:val="-6"/>
        </w:rPr>
        <w:t xml:space="preserve"> </w:t>
      </w:r>
      <w:r>
        <w:t>rates</w:t>
      </w:r>
      <w:r>
        <w:rPr>
          <w:spacing w:val="-6"/>
        </w:rPr>
        <w:t xml:space="preserve"> </w:t>
      </w:r>
      <w:r>
        <w:t>indicate</w:t>
      </w:r>
      <w:r>
        <w:rPr>
          <w:spacing w:val="-6"/>
        </w:rPr>
        <w:t xml:space="preserve"> </w:t>
      </w:r>
      <w:r>
        <w:t>the</w:t>
      </w:r>
      <w:r>
        <w:rPr>
          <w:spacing w:val="-6"/>
        </w:rPr>
        <w:t xml:space="preserve"> </w:t>
      </w:r>
      <w:r>
        <w:t>percentage</w:t>
      </w:r>
      <w:r>
        <w:rPr>
          <w:spacing w:val="-6"/>
        </w:rPr>
        <w:t xml:space="preserve"> </w:t>
      </w:r>
      <w:r>
        <w:t>of</w:t>
      </w:r>
      <w:r>
        <w:rPr>
          <w:spacing w:val="-6"/>
        </w:rPr>
        <w:t xml:space="preserve"> </w:t>
      </w:r>
      <w:r>
        <w:t>students</w:t>
      </w:r>
      <w:r>
        <w:rPr>
          <w:spacing w:val="-6"/>
        </w:rPr>
        <w:t xml:space="preserve"> </w:t>
      </w:r>
      <w:r>
        <w:t>assessed</w:t>
      </w:r>
      <w:r>
        <w:rPr>
          <w:spacing w:val="-6"/>
        </w:rPr>
        <w:t xml:space="preserve"> </w:t>
      </w:r>
      <w:r>
        <w:t>among</w:t>
      </w:r>
      <w:r>
        <w:rPr>
          <w:spacing w:val="-6"/>
        </w:rPr>
        <w:t xml:space="preserve"> </w:t>
      </w:r>
      <w:r>
        <w:t>those</w:t>
      </w:r>
      <w:r>
        <w:rPr>
          <w:spacing w:val="-6"/>
        </w:rPr>
        <w:t xml:space="preserve"> </w:t>
      </w:r>
      <w:r>
        <w:t>who</w:t>
      </w:r>
      <w:r>
        <w:rPr>
          <w:spacing w:val="-6"/>
        </w:rPr>
        <w:t xml:space="preserve"> </w:t>
      </w:r>
      <w:r>
        <w:t>it</w:t>
      </w:r>
      <w:r>
        <w:rPr>
          <w:spacing w:val="-6"/>
        </w:rPr>
        <w:t xml:space="preserve"> </w:t>
      </w:r>
      <w:r>
        <w:t>was</w:t>
      </w:r>
      <w:r>
        <w:rPr>
          <w:spacing w:val="-6"/>
        </w:rPr>
        <w:t xml:space="preserve"> </w:t>
      </w:r>
      <w:r>
        <w:t>intended</w:t>
      </w:r>
      <w:r>
        <w:rPr>
          <w:spacing w:val="-6"/>
        </w:rPr>
        <w:t xml:space="preserve"> </w:t>
      </w:r>
      <w:r>
        <w:t>would</w:t>
      </w:r>
      <w:r>
        <w:rPr>
          <w:spacing w:val="-6"/>
        </w:rPr>
        <w:t xml:space="preserve"> </w:t>
      </w:r>
      <w:r>
        <w:t>take</w:t>
      </w:r>
      <w:r>
        <w:rPr>
          <w:spacing w:val="-6"/>
        </w:rPr>
        <w:t xml:space="preserve"> </w:t>
      </w:r>
      <w:r>
        <w:t>the</w:t>
      </w:r>
      <w:r>
        <w:rPr>
          <w:spacing w:val="-6"/>
        </w:rPr>
        <w:t xml:space="preserve"> </w:t>
      </w:r>
      <w:r>
        <w:t>assessment</w:t>
      </w:r>
      <w:r>
        <w:rPr>
          <w:spacing w:val="-6"/>
        </w:rPr>
        <w:t xml:space="preserve"> </w:t>
      </w:r>
      <w:r>
        <w:t>from</w:t>
      </w:r>
      <w:r>
        <w:rPr>
          <w:spacing w:val="-6"/>
        </w:rPr>
        <w:t xml:space="preserve"> </w:t>
      </w:r>
      <w:r>
        <w:t>within</w:t>
      </w:r>
      <w:r>
        <w:rPr>
          <w:spacing w:val="-6"/>
        </w:rPr>
        <w:t xml:space="preserve"> </w:t>
      </w:r>
      <w:r>
        <w:t>the</w:t>
      </w:r>
      <w:r>
        <w:rPr>
          <w:spacing w:val="-6"/>
        </w:rPr>
        <w:t xml:space="preserve"> </w:t>
      </w:r>
      <w:r>
        <w:t>participating schools.</w:t>
      </w:r>
      <w:r>
        <w:rPr>
          <w:spacing w:val="-3"/>
        </w:rPr>
        <w:t xml:space="preserve"> </w:t>
      </w:r>
      <w:r>
        <w:t>Thus, students who were excluded are not included in the denominators of the response rates.</w:t>
      </w:r>
      <w:r>
        <w:rPr>
          <w:spacing w:val="-3"/>
        </w:rPr>
        <w:t xml:space="preserve"> </w:t>
      </w:r>
      <w:r>
        <w:t>The weighted student full-time remote rate indicates the percentage of the student population that is full-time remote (enrolled in brick-and-mortar schools but do not attend school in person).</w:t>
      </w:r>
    </w:p>
    <w:p w:rsidR="003F5784" w14:paraId="088E67E2" w14:textId="77777777">
      <w:pPr>
        <w:pStyle w:val="BodyText"/>
        <w:spacing w:before="99"/>
      </w:pPr>
    </w:p>
    <w:p w:rsidR="003F5784" w14:paraId="5A340352" w14:textId="77777777">
      <w:pPr>
        <w:spacing w:line="232" w:lineRule="auto"/>
        <w:ind w:left="477" w:right="318"/>
        <w:rPr>
          <w:b/>
          <w:sz w:val="21"/>
        </w:rPr>
      </w:pPr>
      <w:r>
        <w:rPr>
          <w:b/>
          <w:sz w:val="21"/>
        </w:rPr>
        <w:t>Weighted</w:t>
      </w:r>
      <w:r>
        <w:rPr>
          <w:b/>
          <w:spacing w:val="-7"/>
          <w:sz w:val="21"/>
        </w:rPr>
        <w:t xml:space="preserve"> </w:t>
      </w:r>
      <w:r>
        <w:rPr>
          <w:b/>
          <w:sz w:val="21"/>
        </w:rPr>
        <w:t>student</w:t>
      </w:r>
      <w:r>
        <w:rPr>
          <w:b/>
          <w:spacing w:val="-7"/>
          <w:sz w:val="21"/>
        </w:rPr>
        <w:t xml:space="preserve"> </w:t>
      </w:r>
      <w:r>
        <w:rPr>
          <w:b/>
          <w:sz w:val="20"/>
        </w:rPr>
        <w:t>response,</w:t>
      </w:r>
      <w:r>
        <w:rPr>
          <w:b/>
          <w:spacing w:val="-6"/>
          <w:sz w:val="20"/>
        </w:rPr>
        <w:t xml:space="preserve"> </w:t>
      </w:r>
      <w:r>
        <w:rPr>
          <w:b/>
          <w:sz w:val="20"/>
        </w:rPr>
        <w:t>exclusion,</w:t>
      </w:r>
      <w:r>
        <w:rPr>
          <w:b/>
          <w:spacing w:val="-6"/>
          <w:sz w:val="20"/>
        </w:rPr>
        <w:t xml:space="preserve"> </w:t>
      </w:r>
      <w:r>
        <w:rPr>
          <w:b/>
          <w:sz w:val="20"/>
        </w:rPr>
        <w:t>and</w:t>
      </w:r>
      <w:r>
        <w:rPr>
          <w:b/>
          <w:spacing w:val="-6"/>
          <w:sz w:val="20"/>
        </w:rPr>
        <w:t xml:space="preserve"> </w:t>
      </w:r>
      <w:r>
        <w:rPr>
          <w:b/>
          <w:sz w:val="20"/>
        </w:rPr>
        <w:t>full-time</w:t>
      </w:r>
      <w:r>
        <w:rPr>
          <w:b/>
          <w:spacing w:val="-6"/>
          <w:sz w:val="20"/>
        </w:rPr>
        <w:t xml:space="preserve"> </w:t>
      </w:r>
      <w:r>
        <w:rPr>
          <w:b/>
          <w:sz w:val="20"/>
        </w:rPr>
        <w:t>remote</w:t>
      </w:r>
      <w:r>
        <w:rPr>
          <w:b/>
          <w:spacing w:val="-6"/>
          <w:sz w:val="20"/>
        </w:rPr>
        <w:t xml:space="preserve"> </w:t>
      </w:r>
      <w:r>
        <w:rPr>
          <w:b/>
          <w:sz w:val="20"/>
        </w:rPr>
        <w:t>rates</w:t>
      </w:r>
      <w:r>
        <w:rPr>
          <w:b/>
          <w:sz w:val="21"/>
        </w:rPr>
        <w:t>,</w:t>
      </w:r>
      <w:r>
        <w:rPr>
          <w:b/>
          <w:spacing w:val="-7"/>
          <w:sz w:val="21"/>
        </w:rPr>
        <w:t xml:space="preserve"> </w:t>
      </w:r>
      <w:r>
        <w:rPr>
          <w:b/>
          <w:sz w:val="21"/>
        </w:rPr>
        <w:t>long-term</w:t>
      </w:r>
      <w:r>
        <w:rPr>
          <w:b/>
          <w:spacing w:val="-7"/>
          <w:sz w:val="21"/>
        </w:rPr>
        <w:t xml:space="preserve"> </w:t>
      </w:r>
      <w:r>
        <w:rPr>
          <w:b/>
          <w:sz w:val="21"/>
        </w:rPr>
        <w:t>trend</w:t>
      </w:r>
      <w:r>
        <w:rPr>
          <w:b/>
          <w:spacing w:val="-7"/>
          <w:sz w:val="21"/>
        </w:rPr>
        <w:t xml:space="preserve"> </w:t>
      </w:r>
      <w:r>
        <w:rPr>
          <w:b/>
          <w:sz w:val="21"/>
        </w:rPr>
        <w:t>public</w:t>
      </w:r>
      <w:r>
        <w:rPr>
          <w:b/>
          <w:spacing w:val="-7"/>
          <w:sz w:val="21"/>
        </w:rPr>
        <w:t xml:space="preserve"> </w:t>
      </w:r>
      <w:r>
        <w:rPr>
          <w:b/>
          <w:sz w:val="21"/>
        </w:rPr>
        <w:t>and</w:t>
      </w:r>
      <w:r>
        <w:rPr>
          <w:b/>
          <w:spacing w:val="-7"/>
          <w:sz w:val="21"/>
        </w:rPr>
        <w:t xml:space="preserve"> </w:t>
      </w:r>
      <w:r>
        <w:rPr>
          <w:b/>
          <w:sz w:val="21"/>
        </w:rPr>
        <w:t>private</w:t>
      </w:r>
      <w:r>
        <w:rPr>
          <w:b/>
          <w:spacing w:val="-7"/>
          <w:sz w:val="21"/>
        </w:rPr>
        <w:t xml:space="preserve"> </w:t>
      </w:r>
      <w:r>
        <w:rPr>
          <w:b/>
          <w:sz w:val="21"/>
        </w:rPr>
        <w:t>schools,</w:t>
      </w:r>
      <w:r>
        <w:rPr>
          <w:b/>
          <w:spacing w:val="-7"/>
          <w:sz w:val="21"/>
        </w:rPr>
        <w:t xml:space="preserve"> </w:t>
      </w:r>
      <w:r>
        <w:rPr>
          <w:b/>
          <w:sz w:val="21"/>
        </w:rPr>
        <w:t>national</w:t>
      </w:r>
      <w:r>
        <w:rPr>
          <w:b/>
          <w:spacing w:val="-7"/>
          <w:sz w:val="21"/>
        </w:rPr>
        <w:t xml:space="preserve"> </w:t>
      </w:r>
      <w:r>
        <w:rPr>
          <w:b/>
          <w:sz w:val="21"/>
        </w:rPr>
        <w:t>reading</w:t>
      </w:r>
      <w:r>
        <w:rPr>
          <w:b/>
          <w:spacing w:val="-7"/>
          <w:sz w:val="21"/>
        </w:rPr>
        <w:t xml:space="preserve"> </w:t>
      </w:r>
      <w:r>
        <w:rPr>
          <w:b/>
          <w:sz w:val="21"/>
        </w:rPr>
        <w:t>assessment,</w:t>
      </w:r>
      <w:r>
        <w:rPr>
          <w:b/>
          <w:spacing w:val="-7"/>
          <w:sz w:val="21"/>
        </w:rPr>
        <w:t xml:space="preserve"> </w:t>
      </w:r>
      <w:r>
        <w:rPr>
          <w:b/>
          <w:sz w:val="21"/>
        </w:rPr>
        <w:t>by</w:t>
      </w:r>
      <w:r>
        <w:rPr>
          <w:b/>
          <w:spacing w:val="-7"/>
          <w:sz w:val="21"/>
        </w:rPr>
        <w:t xml:space="preserve"> </w:t>
      </w:r>
      <w:r>
        <w:rPr>
          <w:b/>
          <w:sz w:val="21"/>
        </w:rPr>
        <w:t>age,</w:t>
      </w:r>
      <w:r>
        <w:rPr>
          <w:b/>
          <w:spacing w:val="-7"/>
          <w:sz w:val="21"/>
        </w:rPr>
        <w:t xml:space="preserve"> </w:t>
      </w:r>
      <w:r>
        <w:rPr>
          <w:b/>
          <w:sz w:val="21"/>
        </w:rPr>
        <w:t>school</w:t>
      </w:r>
      <w:r>
        <w:rPr>
          <w:b/>
          <w:spacing w:val="-7"/>
          <w:sz w:val="21"/>
        </w:rPr>
        <w:t xml:space="preserve"> </w:t>
      </w:r>
      <w:r>
        <w:rPr>
          <w:b/>
          <w:sz w:val="21"/>
        </w:rPr>
        <w:t>type, and census region: 2022</w:t>
      </w:r>
    </w:p>
    <w:p w:rsidR="003F5784" w14:paraId="18703FCD" w14:textId="77777777">
      <w:pPr>
        <w:pStyle w:val="BodyText"/>
        <w:spacing w:before="1"/>
        <w:rPr>
          <w:b/>
          <w:sz w:val="12"/>
        </w:rPr>
      </w:pPr>
    </w:p>
    <w:tbl>
      <w:tblPr>
        <w:tblW w:w="0" w:type="auto"/>
        <w:tblInd w:w="482" w:type="dxa"/>
        <w:tblLayout w:type="fixed"/>
        <w:tblCellMar>
          <w:left w:w="0" w:type="dxa"/>
          <w:right w:w="0" w:type="dxa"/>
        </w:tblCellMar>
        <w:tblLook w:val="01E0"/>
      </w:tblPr>
      <w:tblGrid>
        <w:gridCol w:w="859"/>
        <w:gridCol w:w="2445"/>
        <w:gridCol w:w="1689"/>
        <w:gridCol w:w="3022"/>
        <w:gridCol w:w="2809"/>
        <w:gridCol w:w="3161"/>
      </w:tblGrid>
      <w:tr w14:paraId="76BB4318" w14:textId="77777777">
        <w:tblPrEx>
          <w:tblW w:w="0" w:type="auto"/>
          <w:tblInd w:w="482" w:type="dxa"/>
          <w:tblLayout w:type="fixed"/>
          <w:tblCellMar>
            <w:left w:w="0" w:type="dxa"/>
            <w:right w:w="0" w:type="dxa"/>
          </w:tblCellMar>
          <w:tblLook w:val="01E0"/>
        </w:tblPrEx>
        <w:trPr>
          <w:trHeight w:val="252"/>
        </w:trPr>
        <w:tc>
          <w:tcPr>
            <w:tcW w:w="859" w:type="dxa"/>
            <w:tcBorders>
              <w:top w:val="single" w:sz="18" w:space="0" w:color="800000"/>
            </w:tcBorders>
          </w:tcPr>
          <w:p w:rsidR="003F5784" w14:paraId="254C5B3D" w14:textId="77777777">
            <w:pPr>
              <w:pStyle w:val="TableParagraph"/>
              <w:spacing w:before="0"/>
              <w:jc w:val="left"/>
              <w:rPr>
                <w:sz w:val="18"/>
              </w:rPr>
            </w:pPr>
          </w:p>
        </w:tc>
        <w:tc>
          <w:tcPr>
            <w:tcW w:w="4134" w:type="dxa"/>
            <w:gridSpan w:val="2"/>
            <w:tcBorders>
              <w:top w:val="single" w:sz="18" w:space="0" w:color="800000"/>
            </w:tcBorders>
          </w:tcPr>
          <w:p w:rsidR="003F5784" w14:paraId="7D54FCBC" w14:textId="77777777">
            <w:pPr>
              <w:pStyle w:val="TableParagraph"/>
              <w:spacing w:before="9" w:line="223" w:lineRule="exact"/>
              <w:ind w:left="2292"/>
              <w:jc w:val="left"/>
              <w:rPr>
                <w:sz w:val="21"/>
              </w:rPr>
            </w:pPr>
            <w:r>
              <w:rPr>
                <w:spacing w:val="-2"/>
                <w:sz w:val="21"/>
              </w:rPr>
              <w:t>Weighted</w:t>
            </w:r>
            <w:r>
              <w:rPr>
                <w:spacing w:val="-11"/>
                <w:sz w:val="21"/>
              </w:rPr>
              <w:t xml:space="preserve"> </w:t>
            </w:r>
            <w:r>
              <w:rPr>
                <w:spacing w:val="-2"/>
                <w:sz w:val="21"/>
              </w:rPr>
              <w:t>student</w:t>
            </w:r>
          </w:p>
        </w:tc>
        <w:tc>
          <w:tcPr>
            <w:tcW w:w="3022" w:type="dxa"/>
            <w:vMerge w:val="restart"/>
            <w:tcBorders>
              <w:top w:val="single" w:sz="18" w:space="0" w:color="800000"/>
            </w:tcBorders>
          </w:tcPr>
          <w:p w:rsidR="003F5784" w14:paraId="4070C6BC" w14:textId="77777777">
            <w:pPr>
              <w:pStyle w:val="TableParagraph"/>
              <w:spacing w:before="9" w:line="238" w:lineRule="exact"/>
              <w:ind w:right="391"/>
              <w:rPr>
                <w:sz w:val="21"/>
              </w:rPr>
            </w:pPr>
            <w:r>
              <w:rPr>
                <w:sz w:val="21"/>
              </w:rPr>
              <w:t>Weighted</w:t>
            </w:r>
            <w:r>
              <w:rPr>
                <w:spacing w:val="-15"/>
                <w:sz w:val="21"/>
              </w:rPr>
              <w:t xml:space="preserve"> </w:t>
            </w:r>
            <w:r>
              <w:rPr>
                <w:sz w:val="21"/>
              </w:rPr>
              <w:t>percentage</w:t>
            </w:r>
            <w:r>
              <w:rPr>
                <w:spacing w:val="-13"/>
                <w:sz w:val="21"/>
              </w:rPr>
              <w:t xml:space="preserve"> </w:t>
            </w:r>
            <w:r>
              <w:rPr>
                <w:sz w:val="21"/>
              </w:rPr>
              <w:t>of</w:t>
            </w:r>
            <w:r>
              <w:rPr>
                <w:spacing w:val="-13"/>
                <w:sz w:val="21"/>
              </w:rPr>
              <w:t xml:space="preserve"> </w:t>
            </w:r>
            <w:r>
              <w:rPr>
                <w:spacing w:val="-5"/>
                <w:sz w:val="21"/>
              </w:rPr>
              <w:t>all</w:t>
            </w:r>
          </w:p>
          <w:p w:rsidR="003F5784" w14:paraId="4184FFAD" w14:textId="77777777">
            <w:pPr>
              <w:pStyle w:val="TableParagraph"/>
              <w:spacing w:before="0" w:line="197" w:lineRule="exact"/>
              <w:ind w:right="391"/>
              <w:rPr>
                <w:sz w:val="21"/>
              </w:rPr>
            </w:pPr>
            <w:r>
              <w:rPr>
                <w:sz w:val="21"/>
              </w:rPr>
              <w:t>eligible</w:t>
            </w:r>
            <w:r>
              <w:rPr>
                <w:spacing w:val="-8"/>
                <w:sz w:val="21"/>
              </w:rPr>
              <w:t xml:space="preserve"> </w:t>
            </w:r>
            <w:r>
              <w:rPr>
                <w:spacing w:val="-2"/>
                <w:sz w:val="21"/>
              </w:rPr>
              <w:t>students</w:t>
            </w:r>
          </w:p>
        </w:tc>
        <w:tc>
          <w:tcPr>
            <w:tcW w:w="2809" w:type="dxa"/>
            <w:vMerge w:val="restart"/>
            <w:tcBorders>
              <w:top w:val="single" w:sz="18" w:space="0" w:color="800000"/>
            </w:tcBorders>
          </w:tcPr>
          <w:p w:rsidR="003F5784" w14:paraId="26516079" w14:textId="77777777">
            <w:pPr>
              <w:pStyle w:val="TableParagraph"/>
              <w:spacing w:before="9" w:line="238" w:lineRule="exact"/>
              <w:ind w:right="179"/>
              <w:rPr>
                <w:sz w:val="21"/>
              </w:rPr>
            </w:pPr>
            <w:r>
              <w:rPr>
                <w:sz w:val="21"/>
              </w:rPr>
              <w:t>Weighted</w:t>
            </w:r>
            <w:r>
              <w:rPr>
                <w:spacing w:val="-15"/>
                <w:sz w:val="21"/>
              </w:rPr>
              <w:t xml:space="preserve"> </w:t>
            </w:r>
            <w:r>
              <w:rPr>
                <w:sz w:val="21"/>
              </w:rPr>
              <w:t>percentage</w:t>
            </w:r>
            <w:r>
              <w:rPr>
                <w:spacing w:val="-13"/>
                <w:sz w:val="21"/>
              </w:rPr>
              <w:t xml:space="preserve"> </w:t>
            </w:r>
            <w:r>
              <w:rPr>
                <w:sz w:val="21"/>
              </w:rPr>
              <w:t>of</w:t>
            </w:r>
            <w:r>
              <w:rPr>
                <w:spacing w:val="-13"/>
                <w:sz w:val="21"/>
              </w:rPr>
              <w:t xml:space="preserve"> </w:t>
            </w:r>
            <w:r>
              <w:rPr>
                <w:spacing w:val="-5"/>
                <w:sz w:val="21"/>
              </w:rPr>
              <w:t>all</w:t>
            </w:r>
          </w:p>
          <w:p w:rsidR="003F5784" w14:paraId="1AEEC685" w14:textId="77777777">
            <w:pPr>
              <w:pStyle w:val="TableParagraph"/>
              <w:spacing w:before="0" w:line="197" w:lineRule="exact"/>
              <w:ind w:right="179"/>
              <w:rPr>
                <w:sz w:val="21"/>
              </w:rPr>
            </w:pPr>
            <w:r>
              <w:rPr>
                <w:sz w:val="21"/>
              </w:rPr>
              <w:t>eligible</w:t>
            </w:r>
            <w:r>
              <w:rPr>
                <w:spacing w:val="-8"/>
                <w:sz w:val="21"/>
              </w:rPr>
              <w:t xml:space="preserve"> </w:t>
            </w:r>
            <w:r>
              <w:rPr>
                <w:spacing w:val="-2"/>
                <w:sz w:val="21"/>
              </w:rPr>
              <w:t>students</w:t>
            </w:r>
          </w:p>
        </w:tc>
        <w:tc>
          <w:tcPr>
            <w:tcW w:w="3161" w:type="dxa"/>
            <w:tcBorders>
              <w:top w:val="single" w:sz="18" w:space="0" w:color="800000"/>
            </w:tcBorders>
          </w:tcPr>
          <w:p w:rsidR="003F5784" w14:paraId="55429782" w14:textId="77777777">
            <w:pPr>
              <w:pStyle w:val="TableParagraph"/>
              <w:spacing w:before="0"/>
              <w:jc w:val="left"/>
              <w:rPr>
                <w:sz w:val="18"/>
              </w:rPr>
            </w:pPr>
          </w:p>
        </w:tc>
      </w:tr>
      <w:tr w14:paraId="7B6757E9" w14:textId="77777777">
        <w:tblPrEx>
          <w:tblW w:w="0" w:type="auto"/>
          <w:tblInd w:w="482" w:type="dxa"/>
          <w:tblLayout w:type="fixed"/>
          <w:tblCellMar>
            <w:left w:w="0" w:type="dxa"/>
            <w:right w:w="0" w:type="dxa"/>
          </w:tblCellMar>
          <w:tblLook w:val="01E0"/>
        </w:tblPrEx>
        <w:trPr>
          <w:trHeight w:val="212"/>
        </w:trPr>
        <w:tc>
          <w:tcPr>
            <w:tcW w:w="859" w:type="dxa"/>
          </w:tcPr>
          <w:p w:rsidR="003F5784" w14:paraId="0909ED01" w14:textId="77777777">
            <w:pPr>
              <w:pStyle w:val="TableParagraph"/>
              <w:spacing w:before="0"/>
              <w:jc w:val="left"/>
              <w:rPr>
                <w:sz w:val="14"/>
              </w:rPr>
            </w:pPr>
          </w:p>
        </w:tc>
        <w:tc>
          <w:tcPr>
            <w:tcW w:w="2445" w:type="dxa"/>
          </w:tcPr>
          <w:p w:rsidR="003F5784" w14:paraId="5CD5E773" w14:textId="77777777">
            <w:pPr>
              <w:pStyle w:val="TableParagraph"/>
              <w:spacing w:before="0" w:line="192" w:lineRule="exact"/>
              <w:ind w:left="-16"/>
              <w:jc w:val="left"/>
              <w:rPr>
                <w:sz w:val="21"/>
              </w:rPr>
            </w:pPr>
            <w:r>
              <w:rPr>
                <w:sz w:val="21"/>
              </w:rPr>
              <w:t>School</w:t>
            </w:r>
            <w:r>
              <w:rPr>
                <w:spacing w:val="-6"/>
                <w:sz w:val="21"/>
              </w:rPr>
              <w:t xml:space="preserve"> </w:t>
            </w:r>
            <w:r>
              <w:rPr>
                <w:sz w:val="21"/>
              </w:rPr>
              <w:t>type</w:t>
            </w:r>
            <w:r>
              <w:rPr>
                <w:spacing w:val="-6"/>
                <w:sz w:val="21"/>
              </w:rPr>
              <w:t xml:space="preserve"> </w:t>
            </w:r>
            <w:r>
              <w:rPr>
                <w:spacing w:val="-5"/>
                <w:sz w:val="21"/>
              </w:rPr>
              <w:t>and</w:t>
            </w:r>
          </w:p>
        </w:tc>
        <w:tc>
          <w:tcPr>
            <w:tcW w:w="1689" w:type="dxa"/>
          </w:tcPr>
          <w:p w:rsidR="003F5784" w14:paraId="151D0770" w14:textId="77777777">
            <w:pPr>
              <w:pStyle w:val="TableParagraph"/>
              <w:spacing w:before="0" w:line="192" w:lineRule="exact"/>
              <w:ind w:right="391"/>
              <w:rPr>
                <w:sz w:val="21"/>
              </w:rPr>
            </w:pPr>
            <w:r>
              <w:rPr>
                <w:sz w:val="21"/>
              </w:rPr>
              <w:t>response</w:t>
            </w:r>
            <w:r>
              <w:rPr>
                <w:spacing w:val="-9"/>
                <w:sz w:val="21"/>
              </w:rPr>
              <w:t xml:space="preserve"> </w:t>
            </w:r>
            <w:r>
              <w:rPr>
                <w:spacing w:val="-2"/>
                <w:sz w:val="21"/>
              </w:rPr>
              <w:t>rates</w:t>
            </w:r>
          </w:p>
        </w:tc>
        <w:tc>
          <w:tcPr>
            <w:tcW w:w="3022" w:type="dxa"/>
            <w:vMerge/>
            <w:tcBorders>
              <w:top w:val="nil"/>
            </w:tcBorders>
          </w:tcPr>
          <w:p w:rsidR="003F5784" w14:paraId="15B3134E" w14:textId="77777777">
            <w:pPr>
              <w:rPr>
                <w:sz w:val="2"/>
                <w:szCs w:val="2"/>
              </w:rPr>
            </w:pPr>
          </w:p>
        </w:tc>
        <w:tc>
          <w:tcPr>
            <w:tcW w:w="2809" w:type="dxa"/>
            <w:vMerge/>
            <w:tcBorders>
              <w:top w:val="nil"/>
            </w:tcBorders>
          </w:tcPr>
          <w:p w:rsidR="003F5784" w14:paraId="11F852FB" w14:textId="77777777">
            <w:pPr>
              <w:rPr>
                <w:sz w:val="2"/>
                <w:szCs w:val="2"/>
              </w:rPr>
            </w:pPr>
          </w:p>
        </w:tc>
        <w:tc>
          <w:tcPr>
            <w:tcW w:w="3161" w:type="dxa"/>
            <w:vMerge w:val="restart"/>
            <w:tcBorders>
              <w:bottom w:val="single" w:sz="18" w:space="0" w:color="800000"/>
            </w:tcBorders>
          </w:tcPr>
          <w:p w:rsidR="003F5784" w14:paraId="7E943122" w14:textId="77777777">
            <w:pPr>
              <w:pStyle w:val="TableParagraph"/>
              <w:spacing w:before="0" w:line="230" w:lineRule="exact"/>
              <w:ind w:right="118"/>
              <w:rPr>
                <w:sz w:val="21"/>
              </w:rPr>
            </w:pPr>
            <w:r>
              <w:rPr>
                <w:spacing w:val="-2"/>
                <w:sz w:val="21"/>
              </w:rPr>
              <w:t>Weighted</w:t>
            </w:r>
            <w:r>
              <w:rPr>
                <w:spacing w:val="2"/>
                <w:sz w:val="21"/>
              </w:rPr>
              <w:t xml:space="preserve"> </w:t>
            </w:r>
            <w:r>
              <w:rPr>
                <w:spacing w:val="-2"/>
                <w:sz w:val="21"/>
              </w:rPr>
              <w:t>student</w:t>
            </w:r>
            <w:r>
              <w:rPr>
                <w:spacing w:val="2"/>
                <w:sz w:val="21"/>
              </w:rPr>
              <w:t xml:space="preserve"> </w:t>
            </w:r>
            <w:r>
              <w:rPr>
                <w:spacing w:val="-2"/>
                <w:sz w:val="21"/>
              </w:rPr>
              <w:t>full-time</w:t>
            </w:r>
            <w:r>
              <w:rPr>
                <w:spacing w:val="2"/>
                <w:sz w:val="21"/>
              </w:rPr>
              <w:t xml:space="preserve"> </w:t>
            </w:r>
            <w:r>
              <w:rPr>
                <w:spacing w:val="-2"/>
                <w:sz w:val="21"/>
              </w:rPr>
              <w:t>remote</w:t>
            </w:r>
          </w:p>
          <w:p w:rsidR="003F5784" w14:paraId="162DF046" w14:textId="77777777">
            <w:pPr>
              <w:pStyle w:val="TableParagraph"/>
              <w:spacing w:before="0" w:line="235" w:lineRule="exact"/>
              <w:ind w:right="118"/>
              <w:rPr>
                <w:sz w:val="21"/>
              </w:rPr>
            </w:pPr>
            <w:r>
              <w:rPr>
                <w:sz w:val="21"/>
              </w:rPr>
              <w:t>rates</w:t>
            </w:r>
            <w:r>
              <w:rPr>
                <w:spacing w:val="-5"/>
                <w:sz w:val="21"/>
              </w:rPr>
              <w:t xml:space="preserve"> </w:t>
            </w:r>
            <w:r>
              <w:rPr>
                <w:spacing w:val="-2"/>
                <w:sz w:val="21"/>
              </w:rPr>
              <w:t>(percent)</w:t>
            </w:r>
          </w:p>
        </w:tc>
      </w:tr>
      <w:tr w14:paraId="5DC62F7A" w14:textId="77777777">
        <w:tblPrEx>
          <w:tblW w:w="0" w:type="auto"/>
          <w:tblInd w:w="482" w:type="dxa"/>
          <w:tblLayout w:type="fixed"/>
          <w:tblCellMar>
            <w:left w:w="0" w:type="dxa"/>
            <w:right w:w="0" w:type="dxa"/>
          </w:tblCellMar>
          <w:tblLook w:val="01E0"/>
        </w:tblPrEx>
        <w:trPr>
          <w:trHeight w:val="227"/>
        </w:trPr>
        <w:tc>
          <w:tcPr>
            <w:tcW w:w="859" w:type="dxa"/>
            <w:tcBorders>
              <w:bottom w:val="single" w:sz="18" w:space="0" w:color="800000"/>
            </w:tcBorders>
          </w:tcPr>
          <w:p w:rsidR="003F5784" w14:paraId="46A48579" w14:textId="77777777">
            <w:pPr>
              <w:pStyle w:val="TableParagraph"/>
              <w:spacing w:before="0" w:line="207" w:lineRule="exact"/>
              <w:ind w:left="120"/>
              <w:jc w:val="left"/>
              <w:rPr>
                <w:sz w:val="21"/>
              </w:rPr>
            </w:pPr>
            <w:r>
              <w:rPr>
                <w:spacing w:val="-5"/>
                <w:sz w:val="21"/>
              </w:rPr>
              <w:t>Age</w:t>
            </w:r>
          </w:p>
        </w:tc>
        <w:tc>
          <w:tcPr>
            <w:tcW w:w="2445" w:type="dxa"/>
            <w:tcBorders>
              <w:bottom w:val="single" w:sz="18" w:space="0" w:color="800000"/>
            </w:tcBorders>
          </w:tcPr>
          <w:p w:rsidR="003F5784" w14:paraId="30A1484D" w14:textId="77777777">
            <w:pPr>
              <w:pStyle w:val="TableParagraph"/>
              <w:spacing w:before="0" w:line="207" w:lineRule="exact"/>
              <w:ind w:left="-16"/>
              <w:jc w:val="left"/>
              <w:rPr>
                <w:sz w:val="21"/>
              </w:rPr>
            </w:pPr>
            <w:r>
              <w:rPr>
                <w:sz w:val="21"/>
              </w:rPr>
              <w:t>census</w:t>
            </w:r>
            <w:r>
              <w:rPr>
                <w:spacing w:val="-7"/>
                <w:sz w:val="21"/>
              </w:rPr>
              <w:t xml:space="preserve"> </w:t>
            </w:r>
            <w:r>
              <w:rPr>
                <w:spacing w:val="-2"/>
                <w:sz w:val="21"/>
              </w:rPr>
              <w:t>region</w:t>
            </w:r>
          </w:p>
        </w:tc>
        <w:tc>
          <w:tcPr>
            <w:tcW w:w="1689" w:type="dxa"/>
            <w:tcBorders>
              <w:bottom w:val="single" w:sz="18" w:space="0" w:color="800000"/>
            </w:tcBorders>
          </w:tcPr>
          <w:p w:rsidR="003F5784" w14:paraId="365F878B" w14:textId="77777777">
            <w:pPr>
              <w:pStyle w:val="TableParagraph"/>
              <w:spacing w:before="0" w:line="207" w:lineRule="exact"/>
              <w:ind w:right="391"/>
              <w:rPr>
                <w:sz w:val="21"/>
              </w:rPr>
            </w:pPr>
            <w:r>
              <w:rPr>
                <w:spacing w:val="-2"/>
                <w:sz w:val="21"/>
              </w:rPr>
              <w:t>(percent)</w:t>
            </w:r>
          </w:p>
        </w:tc>
        <w:tc>
          <w:tcPr>
            <w:tcW w:w="3022" w:type="dxa"/>
            <w:tcBorders>
              <w:bottom w:val="single" w:sz="18" w:space="0" w:color="800000"/>
            </w:tcBorders>
          </w:tcPr>
          <w:p w:rsidR="003F5784" w14:paraId="09DFA39C" w14:textId="77777777">
            <w:pPr>
              <w:pStyle w:val="TableParagraph"/>
              <w:spacing w:before="0" w:line="207" w:lineRule="exact"/>
              <w:ind w:left="485"/>
              <w:jc w:val="left"/>
              <w:rPr>
                <w:sz w:val="21"/>
              </w:rPr>
            </w:pPr>
            <w:r>
              <w:rPr>
                <w:sz w:val="21"/>
              </w:rPr>
              <w:t>who</w:t>
            </w:r>
            <w:r>
              <w:rPr>
                <w:spacing w:val="-4"/>
                <w:sz w:val="21"/>
              </w:rPr>
              <w:t xml:space="preserve"> </w:t>
            </w:r>
            <w:r>
              <w:rPr>
                <w:sz w:val="21"/>
              </w:rPr>
              <w:t>are</w:t>
            </w:r>
            <w:r>
              <w:rPr>
                <w:spacing w:val="-4"/>
                <w:sz w:val="21"/>
              </w:rPr>
              <w:t xml:space="preserve"> </w:t>
            </w:r>
            <w:r>
              <w:rPr>
                <w:sz w:val="21"/>
              </w:rPr>
              <w:t>SD</w:t>
            </w:r>
            <w:r>
              <w:rPr>
                <w:spacing w:val="-4"/>
                <w:sz w:val="21"/>
              </w:rPr>
              <w:t xml:space="preserve"> </w:t>
            </w:r>
            <w:r>
              <w:rPr>
                <w:sz w:val="21"/>
              </w:rPr>
              <w:t>and</w:t>
            </w:r>
            <w:r>
              <w:rPr>
                <w:spacing w:val="-4"/>
                <w:sz w:val="21"/>
              </w:rPr>
              <w:t xml:space="preserve"> </w:t>
            </w:r>
            <w:r>
              <w:rPr>
                <w:spacing w:val="-2"/>
                <w:sz w:val="21"/>
              </w:rPr>
              <w:t>excluded</w:t>
            </w:r>
          </w:p>
        </w:tc>
        <w:tc>
          <w:tcPr>
            <w:tcW w:w="2809" w:type="dxa"/>
            <w:tcBorders>
              <w:bottom w:val="single" w:sz="18" w:space="0" w:color="800000"/>
            </w:tcBorders>
          </w:tcPr>
          <w:p w:rsidR="003F5784" w14:paraId="63944F6B" w14:textId="77777777">
            <w:pPr>
              <w:pStyle w:val="TableParagraph"/>
              <w:spacing w:before="0" w:line="207" w:lineRule="exact"/>
              <w:ind w:right="179"/>
              <w:rPr>
                <w:sz w:val="21"/>
              </w:rPr>
            </w:pPr>
            <w:r>
              <w:rPr>
                <w:sz w:val="21"/>
              </w:rPr>
              <w:t>who</w:t>
            </w:r>
            <w:r>
              <w:rPr>
                <w:spacing w:val="-5"/>
                <w:sz w:val="21"/>
              </w:rPr>
              <w:t xml:space="preserve"> </w:t>
            </w:r>
            <w:r>
              <w:rPr>
                <w:sz w:val="21"/>
              </w:rPr>
              <w:t>are</w:t>
            </w:r>
            <w:r>
              <w:rPr>
                <w:spacing w:val="-4"/>
                <w:sz w:val="21"/>
              </w:rPr>
              <w:t xml:space="preserve"> </w:t>
            </w:r>
            <w:r>
              <w:rPr>
                <w:sz w:val="21"/>
              </w:rPr>
              <w:t>EL</w:t>
            </w:r>
            <w:r>
              <w:rPr>
                <w:spacing w:val="-11"/>
                <w:sz w:val="21"/>
              </w:rPr>
              <w:t xml:space="preserve"> </w:t>
            </w:r>
            <w:r>
              <w:rPr>
                <w:sz w:val="21"/>
              </w:rPr>
              <w:t>and</w:t>
            </w:r>
            <w:r>
              <w:rPr>
                <w:spacing w:val="-4"/>
                <w:sz w:val="21"/>
              </w:rPr>
              <w:t xml:space="preserve"> </w:t>
            </w:r>
            <w:r>
              <w:rPr>
                <w:spacing w:val="-2"/>
                <w:sz w:val="21"/>
              </w:rPr>
              <w:t>excluded</w:t>
            </w:r>
          </w:p>
        </w:tc>
        <w:tc>
          <w:tcPr>
            <w:tcW w:w="3161" w:type="dxa"/>
            <w:vMerge/>
            <w:tcBorders>
              <w:top w:val="nil"/>
              <w:bottom w:val="single" w:sz="18" w:space="0" w:color="800000"/>
            </w:tcBorders>
          </w:tcPr>
          <w:p w:rsidR="003F5784" w14:paraId="4BB79B1B" w14:textId="77777777">
            <w:pPr>
              <w:rPr>
                <w:sz w:val="2"/>
                <w:szCs w:val="2"/>
              </w:rPr>
            </w:pPr>
          </w:p>
        </w:tc>
      </w:tr>
      <w:tr w14:paraId="63381D54" w14:textId="77777777">
        <w:tblPrEx>
          <w:tblW w:w="0" w:type="auto"/>
          <w:tblInd w:w="482" w:type="dxa"/>
          <w:tblLayout w:type="fixed"/>
          <w:tblCellMar>
            <w:left w:w="0" w:type="dxa"/>
            <w:right w:w="0" w:type="dxa"/>
          </w:tblCellMar>
          <w:tblLook w:val="01E0"/>
        </w:tblPrEx>
        <w:trPr>
          <w:trHeight w:val="330"/>
        </w:trPr>
        <w:tc>
          <w:tcPr>
            <w:tcW w:w="859" w:type="dxa"/>
            <w:tcBorders>
              <w:top w:val="single" w:sz="18" w:space="0" w:color="800000"/>
            </w:tcBorders>
          </w:tcPr>
          <w:p w:rsidR="003F5784" w14:paraId="17183EE7" w14:textId="77777777">
            <w:pPr>
              <w:pStyle w:val="TableParagraph"/>
              <w:spacing w:before="9"/>
              <w:ind w:left="120"/>
              <w:jc w:val="left"/>
              <w:rPr>
                <w:sz w:val="21"/>
              </w:rPr>
            </w:pPr>
            <w:r>
              <w:rPr>
                <w:spacing w:val="-10"/>
                <w:sz w:val="21"/>
              </w:rPr>
              <w:t>9</w:t>
            </w:r>
          </w:p>
        </w:tc>
        <w:tc>
          <w:tcPr>
            <w:tcW w:w="2445" w:type="dxa"/>
            <w:tcBorders>
              <w:top w:val="single" w:sz="18" w:space="0" w:color="800000"/>
            </w:tcBorders>
          </w:tcPr>
          <w:p w:rsidR="003F5784" w14:paraId="1831E6C2" w14:textId="77777777">
            <w:pPr>
              <w:pStyle w:val="TableParagraph"/>
              <w:spacing w:before="19"/>
              <w:ind w:left="390"/>
              <w:jc w:val="left"/>
              <w:rPr>
                <w:b/>
                <w:sz w:val="17"/>
              </w:rPr>
            </w:pPr>
            <w:r>
              <w:rPr>
                <w:b/>
                <w:sz w:val="21"/>
              </w:rPr>
              <w:t>National</w:t>
            </w:r>
            <w:r>
              <w:rPr>
                <w:b/>
                <w:spacing w:val="-9"/>
                <w:sz w:val="21"/>
              </w:rPr>
              <w:t xml:space="preserve"> </w:t>
            </w:r>
            <w:r>
              <w:rPr>
                <w:b/>
                <w:spacing w:val="-4"/>
                <w:sz w:val="21"/>
              </w:rPr>
              <w:t>all</w:t>
            </w:r>
            <w:r>
              <w:rPr>
                <w:b/>
                <w:spacing w:val="-4"/>
                <w:position w:val="8"/>
                <w:sz w:val="17"/>
              </w:rPr>
              <w:t>1</w:t>
            </w:r>
          </w:p>
        </w:tc>
        <w:tc>
          <w:tcPr>
            <w:tcW w:w="1689" w:type="dxa"/>
            <w:tcBorders>
              <w:top w:val="single" w:sz="18" w:space="0" w:color="800000"/>
            </w:tcBorders>
          </w:tcPr>
          <w:p w:rsidR="003F5784" w14:paraId="4D6E54DA" w14:textId="77777777">
            <w:pPr>
              <w:pStyle w:val="TableParagraph"/>
              <w:spacing w:before="9"/>
              <w:ind w:right="391"/>
              <w:rPr>
                <w:b/>
                <w:sz w:val="21"/>
              </w:rPr>
            </w:pPr>
            <w:r>
              <w:rPr>
                <w:b/>
                <w:spacing w:val="-2"/>
                <w:sz w:val="21"/>
              </w:rPr>
              <w:t>87.13</w:t>
            </w:r>
          </w:p>
        </w:tc>
        <w:tc>
          <w:tcPr>
            <w:tcW w:w="3022" w:type="dxa"/>
            <w:tcBorders>
              <w:top w:val="single" w:sz="18" w:space="0" w:color="800000"/>
            </w:tcBorders>
          </w:tcPr>
          <w:p w:rsidR="003F5784" w14:paraId="1CBA07C3" w14:textId="77777777">
            <w:pPr>
              <w:pStyle w:val="TableParagraph"/>
              <w:spacing w:before="9"/>
              <w:ind w:right="391"/>
              <w:rPr>
                <w:b/>
                <w:sz w:val="21"/>
              </w:rPr>
            </w:pPr>
            <w:r>
              <w:rPr>
                <w:b/>
                <w:spacing w:val="-4"/>
                <w:sz w:val="21"/>
              </w:rPr>
              <w:t>1.82</w:t>
            </w:r>
          </w:p>
        </w:tc>
        <w:tc>
          <w:tcPr>
            <w:tcW w:w="2809" w:type="dxa"/>
            <w:tcBorders>
              <w:top w:val="single" w:sz="18" w:space="0" w:color="800000"/>
            </w:tcBorders>
          </w:tcPr>
          <w:p w:rsidR="003F5784" w14:paraId="27C89224" w14:textId="77777777">
            <w:pPr>
              <w:pStyle w:val="TableParagraph"/>
              <w:spacing w:before="9"/>
              <w:ind w:right="179"/>
              <w:rPr>
                <w:b/>
                <w:sz w:val="21"/>
              </w:rPr>
            </w:pPr>
            <w:r>
              <w:rPr>
                <w:b/>
                <w:spacing w:val="-4"/>
                <w:sz w:val="21"/>
              </w:rPr>
              <w:t>0.90</w:t>
            </w:r>
          </w:p>
        </w:tc>
        <w:tc>
          <w:tcPr>
            <w:tcW w:w="3161" w:type="dxa"/>
            <w:tcBorders>
              <w:top w:val="single" w:sz="18" w:space="0" w:color="800000"/>
            </w:tcBorders>
          </w:tcPr>
          <w:p w:rsidR="003F5784" w14:paraId="549B41CC" w14:textId="77777777">
            <w:pPr>
              <w:pStyle w:val="TableParagraph"/>
              <w:spacing w:before="9"/>
              <w:ind w:right="118"/>
              <w:rPr>
                <w:b/>
                <w:sz w:val="21"/>
              </w:rPr>
            </w:pPr>
            <w:r>
              <w:rPr>
                <w:b/>
                <w:spacing w:val="-4"/>
                <w:sz w:val="21"/>
              </w:rPr>
              <w:t>0.87</w:t>
            </w:r>
          </w:p>
        </w:tc>
      </w:tr>
      <w:tr w14:paraId="741478CB" w14:textId="77777777">
        <w:tblPrEx>
          <w:tblW w:w="0" w:type="auto"/>
          <w:tblInd w:w="482" w:type="dxa"/>
          <w:tblLayout w:type="fixed"/>
          <w:tblCellMar>
            <w:left w:w="0" w:type="dxa"/>
            <w:right w:w="0" w:type="dxa"/>
          </w:tblCellMar>
          <w:tblLook w:val="01E0"/>
        </w:tblPrEx>
        <w:trPr>
          <w:trHeight w:val="286"/>
        </w:trPr>
        <w:tc>
          <w:tcPr>
            <w:tcW w:w="859" w:type="dxa"/>
          </w:tcPr>
          <w:p w:rsidR="003F5784" w14:paraId="7ACA00C5" w14:textId="77777777">
            <w:pPr>
              <w:pStyle w:val="TableParagraph"/>
              <w:spacing w:before="0"/>
              <w:jc w:val="left"/>
              <w:rPr>
                <w:sz w:val="20"/>
              </w:rPr>
            </w:pPr>
          </w:p>
        </w:tc>
        <w:tc>
          <w:tcPr>
            <w:tcW w:w="2445" w:type="dxa"/>
          </w:tcPr>
          <w:p w:rsidR="003F5784" w14:paraId="328C7CEE" w14:textId="77777777">
            <w:pPr>
              <w:pStyle w:val="TableParagraph"/>
              <w:ind w:left="-16"/>
              <w:jc w:val="left"/>
              <w:rPr>
                <w:sz w:val="21"/>
              </w:rPr>
            </w:pPr>
            <w:r>
              <w:rPr>
                <w:sz w:val="21"/>
              </w:rPr>
              <w:t>National</w:t>
            </w:r>
            <w:r>
              <w:rPr>
                <w:spacing w:val="-9"/>
                <w:sz w:val="21"/>
              </w:rPr>
              <w:t xml:space="preserve"> </w:t>
            </w:r>
            <w:r>
              <w:rPr>
                <w:spacing w:val="-2"/>
                <w:sz w:val="21"/>
              </w:rPr>
              <w:t>public</w:t>
            </w:r>
          </w:p>
        </w:tc>
        <w:tc>
          <w:tcPr>
            <w:tcW w:w="1689" w:type="dxa"/>
          </w:tcPr>
          <w:p w:rsidR="003F5784" w14:paraId="52A17793" w14:textId="77777777">
            <w:pPr>
              <w:pStyle w:val="TableParagraph"/>
              <w:ind w:right="391"/>
              <w:rPr>
                <w:sz w:val="21"/>
              </w:rPr>
            </w:pPr>
            <w:r>
              <w:rPr>
                <w:spacing w:val="-2"/>
                <w:sz w:val="21"/>
              </w:rPr>
              <w:t>87.00</w:t>
            </w:r>
          </w:p>
        </w:tc>
        <w:tc>
          <w:tcPr>
            <w:tcW w:w="3022" w:type="dxa"/>
          </w:tcPr>
          <w:p w:rsidR="003F5784" w14:paraId="17751653" w14:textId="77777777">
            <w:pPr>
              <w:pStyle w:val="TableParagraph"/>
              <w:ind w:right="391"/>
              <w:rPr>
                <w:sz w:val="21"/>
              </w:rPr>
            </w:pPr>
            <w:r>
              <w:rPr>
                <w:spacing w:val="-4"/>
                <w:sz w:val="21"/>
              </w:rPr>
              <w:t>1.96</w:t>
            </w:r>
          </w:p>
        </w:tc>
        <w:tc>
          <w:tcPr>
            <w:tcW w:w="2809" w:type="dxa"/>
          </w:tcPr>
          <w:p w:rsidR="003F5784" w14:paraId="01E6326B" w14:textId="77777777">
            <w:pPr>
              <w:pStyle w:val="TableParagraph"/>
              <w:ind w:right="179"/>
              <w:rPr>
                <w:sz w:val="21"/>
              </w:rPr>
            </w:pPr>
            <w:r>
              <w:rPr>
                <w:spacing w:val="-4"/>
                <w:sz w:val="21"/>
              </w:rPr>
              <w:t>0.97</w:t>
            </w:r>
          </w:p>
        </w:tc>
        <w:tc>
          <w:tcPr>
            <w:tcW w:w="3161" w:type="dxa"/>
          </w:tcPr>
          <w:p w:rsidR="003F5784" w14:paraId="7728D230" w14:textId="77777777">
            <w:pPr>
              <w:pStyle w:val="TableParagraph"/>
              <w:ind w:right="118"/>
              <w:rPr>
                <w:sz w:val="21"/>
              </w:rPr>
            </w:pPr>
            <w:r>
              <w:rPr>
                <w:spacing w:val="-4"/>
                <w:sz w:val="21"/>
              </w:rPr>
              <w:t>0.94</w:t>
            </w:r>
          </w:p>
        </w:tc>
      </w:tr>
      <w:tr w14:paraId="74015EFE" w14:textId="77777777">
        <w:tblPrEx>
          <w:tblW w:w="0" w:type="auto"/>
          <w:tblInd w:w="482" w:type="dxa"/>
          <w:tblLayout w:type="fixed"/>
          <w:tblCellMar>
            <w:left w:w="0" w:type="dxa"/>
            <w:right w:w="0" w:type="dxa"/>
          </w:tblCellMar>
          <w:tblLook w:val="01E0"/>
        </w:tblPrEx>
        <w:trPr>
          <w:trHeight w:val="286"/>
        </w:trPr>
        <w:tc>
          <w:tcPr>
            <w:tcW w:w="859" w:type="dxa"/>
          </w:tcPr>
          <w:p w:rsidR="003F5784" w14:paraId="506AF02B" w14:textId="77777777">
            <w:pPr>
              <w:pStyle w:val="TableParagraph"/>
              <w:spacing w:before="0"/>
              <w:jc w:val="left"/>
              <w:rPr>
                <w:sz w:val="20"/>
              </w:rPr>
            </w:pPr>
          </w:p>
        </w:tc>
        <w:tc>
          <w:tcPr>
            <w:tcW w:w="2445" w:type="dxa"/>
          </w:tcPr>
          <w:p w:rsidR="003F5784" w14:paraId="318C752B" w14:textId="77777777">
            <w:pPr>
              <w:pStyle w:val="TableParagraph"/>
              <w:ind w:right="824"/>
              <w:rPr>
                <w:sz w:val="21"/>
              </w:rPr>
            </w:pPr>
            <w:r>
              <w:rPr>
                <w:sz w:val="21"/>
              </w:rPr>
              <w:t>Northeast</w:t>
            </w:r>
            <w:r>
              <w:rPr>
                <w:spacing w:val="-10"/>
                <w:sz w:val="21"/>
              </w:rPr>
              <w:t xml:space="preserve"> </w:t>
            </w:r>
            <w:r>
              <w:rPr>
                <w:spacing w:val="-2"/>
                <w:sz w:val="21"/>
              </w:rPr>
              <w:t>public</w:t>
            </w:r>
          </w:p>
        </w:tc>
        <w:tc>
          <w:tcPr>
            <w:tcW w:w="1689" w:type="dxa"/>
          </w:tcPr>
          <w:p w:rsidR="003F5784" w14:paraId="7477BA66" w14:textId="77777777">
            <w:pPr>
              <w:pStyle w:val="TableParagraph"/>
              <w:ind w:right="391"/>
              <w:rPr>
                <w:sz w:val="21"/>
              </w:rPr>
            </w:pPr>
            <w:r>
              <w:rPr>
                <w:spacing w:val="-2"/>
                <w:sz w:val="21"/>
              </w:rPr>
              <w:t>82.18</w:t>
            </w:r>
          </w:p>
        </w:tc>
        <w:tc>
          <w:tcPr>
            <w:tcW w:w="3022" w:type="dxa"/>
          </w:tcPr>
          <w:p w:rsidR="003F5784" w14:paraId="3036DBB5" w14:textId="77777777">
            <w:pPr>
              <w:pStyle w:val="TableParagraph"/>
              <w:ind w:right="391"/>
              <w:rPr>
                <w:sz w:val="21"/>
              </w:rPr>
            </w:pPr>
            <w:r>
              <w:rPr>
                <w:spacing w:val="-4"/>
                <w:sz w:val="21"/>
              </w:rPr>
              <w:t>1.35</w:t>
            </w:r>
          </w:p>
        </w:tc>
        <w:tc>
          <w:tcPr>
            <w:tcW w:w="2809" w:type="dxa"/>
          </w:tcPr>
          <w:p w:rsidR="003F5784" w14:paraId="439783F3" w14:textId="77777777">
            <w:pPr>
              <w:pStyle w:val="TableParagraph"/>
              <w:ind w:right="179"/>
              <w:rPr>
                <w:sz w:val="21"/>
              </w:rPr>
            </w:pPr>
            <w:r>
              <w:rPr>
                <w:spacing w:val="-4"/>
                <w:sz w:val="21"/>
              </w:rPr>
              <w:t>0.67</w:t>
            </w:r>
          </w:p>
        </w:tc>
        <w:tc>
          <w:tcPr>
            <w:tcW w:w="3161" w:type="dxa"/>
          </w:tcPr>
          <w:p w:rsidR="003F5784" w14:paraId="26ADC8E9" w14:textId="77777777">
            <w:pPr>
              <w:pStyle w:val="TableParagraph"/>
              <w:ind w:right="118"/>
              <w:rPr>
                <w:sz w:val="21"/>
              </w:rPr>
            </w:pPr>
            <w:r>
              <w:rPr>
                <w:spacing w:val="-4"/>
                <w:sz w:val="21"/>
              </w:rPr>
              <w:t>0.98</w:t>
            </w:r>
          </w:p>
        </w:tc>
      </w:tr>
      <w:tr w14:paraId="38F01E9A" w14:textId="77777777">
        <w:tblPrEx>
          <w:tblW w:w="0" w:type="auto"/>
          <w:tblInd w:w="482" w:type="dxa"/>
          <w:tblLayout w:type="fixed"/>
          <w:tblCellMar>
            <w:left w:w="0" w:type="dxa"/>
            <w:right w:w="0" w:type="dxa"/>
          </w:tblCellMar>
          <w:tblLook w:val="01E0"/>
        </w:tblPrEx>
        <w:trPr>
          <w:trHeight w:val="286"/>
        </w:trPr>
        <w:tc>
          <w:tcPr>
            <w:tcW w:w="859" w:type="dxa"/>
          </w:tcPr>
          <w:p w:rsidR="003F5784" w14:paraId="73A639FF" w14:textId="77777777">
            <w:pPr>
              <w:pStyle w:val="TableParagraph"/>
              <w:spacing w:before="0"/>
              <w:jc w:val="left"/>
              <w:rPr>
                <w:sz w:val="20"/>
              </w:rPr>
            </w:pPr>
          </w:p>
        </w:tc>
        <w:tc>
          <w:tcPr>
            <w:tcW w:w="2445" w:type="dxa"/>
          </w:tcPr>
          <w:p w:rsidR="003F5784" w14:paraId="4B0BD210" w14:textId="77777777">
            <w:pPr>
              <w:pStyle w:val="TableParagraph"/>
              <w:ind w:left="234"/>
              <w:jc w:val="left"/>
              <w:rPr>
                <w:sz w:val="21"/>
              </w:rPr>
            </w:pPr>
            <w:r>
              <w:rPr>
                <w:sz w:val="21"/>
              </w:rPr>
              <w:t>Midwest</w:t>
            </w:r>
            <w:r>
              <w:rPr>
                <w:spacing w:val="-9"/>
                <w:sz w:val="21"/>
              </w:rPr>
              <w:t xml:space="preserve"> </w:t>
            </w:r>
            <w:r>
              <w:rPr>
                <w:spacing w:val="-2"/>
                <w:sz w:val="21"/>
              </w:rPr>
              <w:t>public</w:t>
            </w:r>
          </w:p>
        </w:tc>
        <w:tc>
          <w:tcPr>
            <w:tcW w:w="1689" w:type="dxa"/>
          </w:tcPr>
          <w:p w:rsidR="003F5784" w14:paraId="1F869558" w14:textId="77777777">
            <w:pPr>
              <w:pStyle w:val="TableParagraph"/>
              <w:ind w:right="391"/>
              <w:rPr>
                <w:sz w:val="21"/>
              </w:rPr>
            </w:pPr>
            <w:r>
              <w:rPr>
                <w:spacing w:val="-2"/>
                <w:sz w:val="21"/>
              </w:rPr>
              <w:t>89.63</w:t>
            </w:r>
          </w:p>
        </w:tc>
        <w:tc>
          <w:tcPr>
            <w:tcW w:w="3022" w:type="dxa"/>
          </w:tcPr>
          <w:p w:rsidR="003F5784" w14:paraId="091C092B" w14:textId="77777777">
            <w:pPr>
              <w:pStyle w:val="TableParagraph"/>
              <w:ind w:right="391"/>
              <w:rPr>
                <w:sz w:val="21"/>
              </w:rPr>
            </w:pPr>
            <w:r>
              <w:rPr>
                <w:spacing w:val="-4"/>
                <w:sz w:val="21"/>
              </w:rPr>
              <w:t>0.93</w:t>
            </w:r>
          </w:p>
        </w:tc>
        <w:tc>
          <w:tcPr>
            <w:tcW w:w="2809" w:type="dxa"/>
          </w:tcPr>
          <w:p w:rsidR="003F5784" w14:paraId="139872F1" w14:textId="77777777">
            <w:pPr>
              <w:pStyle w:val="TableParagraph"/>
              <w:ind w:right="179"/>
              <w:rPr>
                <w:sz w:val="21"/>
              </w:rPr>
            </w:pPr>
            <w:r>
              <w:rPr>
                <w:spacing w:val="-4"/>
                <w:sz w:val="21"/>
              </w:rPr>
              <w:t>0.53</w:t>
            </w:r>
          </w:p>
        </w:tc>
        <w:tc>
          <w:tcPr>
            <w:tcW w:w="3161" w:type="dxa"/>
          </w:tcPr>
          <w:p w:rsidR="003F5784" w14:paraId="5A7E437E" w14:textId="77777777">
            <w:pPr>
              <w:pStyle w:val="TableParagraph"/>
              <w:ind w:right="118"/>
              <w:rPr>
                <w:sz w:val="21"/>
              </w:rPr>
            </w:pPr>
            <w:r>
              <w:rPr>
                <w:spacing w:val="-4"/>
                <w:sz w:val="21"/>
              </w:rPr>
              <w:t>0.52</w:t>
            </w:r>
          </w:p>
        </w:tc>
      </w:tr>
      <w:tr w14:paraId="7F4D1259" w14:textId="77777777">
        <w:tblPrEx>
          <w:tblW w:w="0" w:type="auto"/>
          <w:tblInd w:w="482" w:type="dxa"/>
          <w:tblLayout w:type="fixed"/>
          <w:tblCellMar>
            <w:left w:w="0" w:type="dxa"/>
            <w:right w:w="0" w:type="dxa"/>
          </w:tblCellMar>
          <w:tblLook w:val="01E0"/>
        </w:tblPrEx>
        <w:trPr>
          <w:trHeight w:val="286"/>
        </w:trPr>
        <w:tc>
          <w:tcPr>
            <w:tcW w:w="859" w:type="dxa"/>
          </w:tcPr>
          <w:p w:rsidR="003F5784" w14:paraId="6ED2CE03" w14:textId="77777777">
            <w:pPr>
              <w:pStyle w:val="TableParagraph"/>
              <w:spacing w:before="0"/>
              <w:jc w:val="left"/>
              <w:rPr>
                <w:sz w:val="20"/>
              </w:rPr>
            </w:pPr>
          </w:p>
        </w:tc>
        <w:tc>
          <w:tcPr>
            <w:tcW w:w="2445" w:type="dxa"/>
          </w:tcPr>
          <w:p w:rsidR="003F5784" w14:paraId="283641A7" w14:textId="77777777">
            <w:pPr>
              <w:pStyle w:val="TableParagraph"/>
              <w:ind w:left="234"/>
              <w:jc w:val="left"/>
              <w:rPr>
                <w:sz w:val="21"/>
              </w:rPr>
            </w:pPr>
            <w:r>
              <w:rPr>
                <w:sz w:val="21"/>
              </w:rPr>
              <w:t>South</w:t>
            </w:r>
            <w:r>
              <w:rPr>
                <w:spacing w:val="-6"/>
                <w:sz w:val="21"/>
              </w:rPr>
              <w:t xml:space="preserve"> </w:t>
            </w:r>
            <w:r>
              <w:rPr>
                <w:spacing w:val="-2"/>
                <w:sz w:val="21"/>
              </w:rPr>
              <w:t>public</w:t>
            </w:r>
          </w:p>
        </w:tc>
        <w:tc>
          <w:tcPr>
            <w:tcW w:w="1689" w:type="dxa"/>
          </w:tcPr>
          <w:p w:rsidR="003F5784" w14:paraId="4481612F" w14:textId="77777777">
            <w:pPr>
              <w:pStyle w:val="TableParagraph"/>
              <w:ind w:right="391"/>
              <w:rPr>
                <w:sz w:val="21"/>
              </w:rPr>
            </w:pPr>
            <w:r>
              <w:rPr>
                <w:spacing w:val="-2"/>
                <w:sz w:val="21"/>
              </w:rPr>
              <w:t>87.84</w:t>
            </w:r>
          </w:p>
        </w:tc>
        <w:tc>
          <w:tcPr>
            <w:tcW w:w="3022" w:type="dxa"/>
          </w:tcPr>
          <w:p w:rsidR="003F5784" w14:paraId="327A26C9" w14:textId="77777777">
            <w:pPr>
              <w:pStyle w:val="TableParagraph"/>
              <w:ind w:right="391"/>
              <w:rPr>
                <w:sz w:val="21"/>
              </w:rPr>
            </w:pPr>
            <w:r>
              <w:rPr>
                <w:spacing w:val="-4"/>
                <w:sz w:val="21"/>
              </w:rPr>
              <w:t>2.26</w:t>
            </w:r>
          </w:p>
        </w:tc>
        <w:tc>
          <w:tcPr>
            <w:tcW w:w="2809" w:type="dxa"/>
          </w:tcPr>
          <w:p w:rsidR="003F5784" w14:paraId="132EB747" w14:textId="77777777">
            <w:pPr>
              <w:pStyle w:val="TableParagraph"/>
              <w:ind w:right="179"/>
              <w:rPr>
                <w:sz w:val="21"/>
              </w:rPr>
            </w:pPr>
            <w:r>
              <w:rPr>
                <w:spacing w:val="-4"/>
                <w:sz w:val="21"/>
              </w:rPr>
              <w:t>0.95</w:t>
            </w:r>
          </w:p>
        </w:tc>
        <w:tc>
          <w:tcPr>
            <w:tcW w:w="3161" w:type="dxa"/>
          </w:tcPr>
          <w:p w:rsidR="003F5784" w14:paraId="0239D27F" w14:textId="77777777">
            <w:pPr>
              <w:pStyle w:val="TableParagraph"/>
              <w:ind w:right="118"/>
              <w:rPr>
                <w:sz w:val="21"/>
              </w:rPr>
            </w:pPr>
            <w:r>
              <w:rPr>
                <w:spacing w:val="-4"/>
                <w:sz w:val="21"/>
              </w:rPr>
              <w:t>1.17</w:t>
            </w:r>
          </w:p>
        </w:tc>
      </w:tr>
      <w:tr w14:paraId="76EE6A65" w14:textId="77777777">
        <w:tblPrEx>
          <w:tblW w:w="0" w:type="auto"/>
          <w:tblInd w:w="482" w:type="dxa"/>
          <w:tblLayout w:type="fixed"/>
          <w:tblCellMar>
            <w:left w:w="0" w:type="dxa"/>
            <w:right w:w="0" w:type="dxa"/>
          </w:tblCellMar>
          <w:tblLook w:val="01E0"/>
        </w:tblPrEx>
        <w:trPr>
          <w:trHeight w:val="286"/>
        </w:trPr>
        <w:tc>
          <w:tcPr>
            <w:tcW w:w="859" w:type="dxa"/>
          </w:tcPr>
          <w:p w:rsidR="003F5784" w14:paraId="4AC5D3B9" w14:textId="77777777">
            <w:pPr>
              <w:pStyle w:val="TableParagraph"/>
              <w:spacing w:before="0"/>
              <w:jc w:val="left"/>
              <w:rPr>
                <w:sz w:val="20"/>
              </w:rPr>
            </w:pPr>
          </w:p>
        </w:tc>
        <w:tc>
          <w:tcPr>
            <w:tcW w:w="2445" w:type="dxa"/>
          </w:tcPr>
          <w:p w:rsidR="003F5784" w14:paraId="225846A3" w14:textId="77777777">
            <w:pPr>
              <w:pStyle w:val="TableParagraph"/>
              <w:ind w:left="234"/>
              <w:jc w:val="left"/>
              <w:rPr>
                <w:sz w:val="21"/>
              </w:rPr>
            </w:pPr>
            <w:r>
              <w:rPr>
                <w:spacing w:val="-4"/>
                <w:sz w:val="21"/>
              </w:rPr>
              <w:t>West</w:t>
            </w:r>
            <w:r>
              <w:rPr>
                <w:spacing w:val="-7"/>
                <w:sz w:val="21"/>
              </w:rPr>
              <w:t xml:space="preserve"> </w:t>
            </w:r>
            <w:r>
              <w:rPr>
                <w:spacing w:val="-2"/>
                <w:sz w:val="21"/>
              </w:rPr>
              <w:t>public</w:t>
            </w:r>
          </w:p>
        </w:tc>
        <w:tc>
          <w:tcPr>
            <w:tcW w:w="1689" w:type="dxa"/>
          </w:tcPr>
          <w:p w:rsidR="003F5784" w14:paraId="2F9A9A4E" w14:textId="77777777">
            <w:pPr>
              <w:pStyle w:val="TableParagraph"/>
              <w:ind w:right="391"/>
              <w:rPr>
                <w:sz w:val="21"/>
              </w:rPr>
            </w:pPr>
            <w:r>
              <w:rPr>
                <w:spacing w:val="-2"/>
                <w:sz w:val="21"/>
              </w:rPr>
              <w:t>86.82</w:t>
            </w:r>
          </w:p>
        </w:tc>
        <w:tc>
          <w:tcPr>
            <w:tcW w:w="3022" w:type="dxa"/>
          </w:tcPr>
          <w:p w:rsidR="003F5784" w14:paraId="591E79ED" w14:textId="77777777">
            <w:pPr>
              <w:pStyle w:val="TableParagraph"/>
              <w:ind w:right="391"/>
              <w:rPr>
                <w:sz w:val="21"/>
              </w:rPr>
            </w:pPr>
            <w:r>
              <w:rPr>
                <w:spacing w:val="-4"/>
                <w:sz w:val="21"/>
              </w:rPr>
              <w:t>2.74</w:t>
            </w:r>
          </w:p>
        </w:tc>
        <w:tc>
          <w:tcPr>
            <w:tcW w:w="2809" w:type="dxa"/>
          </w:tcPr>
          <w:p w:rsidR="003F5784" w14:paraId="01385FE7" w14:textId="77777777">
            <w:pPr>
              <w:pStyle w:val="TableParagraph"/>
              <w:ind w:right="179"/>
              <w:rPr>
                <w:sz w:val="21"/>
              </w:rPr>
            </w:pPr>
            <w:r>
              <w:rPr>
                <w:spacing w:val="-4"/>
                <w:sz w:val="21"/>
              </w:rPr>
              <w:t>1.60</w:t>
            </w:r>
          </w:p>
        </w:tc>
        <w:tc>
          <w:tcPr>
            <w:tcW w:w="3161" w:type="dxa"/>
          </w:tcPr>
          <w:p w:rsidR="003F5784" w14:paraId="6AC3DC7C" w14:textId="77777777">
            <w:pPr>
              <w:pStyle w:val="TableParagraph"/>
              <w:ind w:right="118"/>
              <w:rPr>
                <w:sz w:val="21"/>
              </w:rPr>
            </w:pPr>
            <w:r>
              <w:rPr>
                <w:spacing w:val="-4"/>
                <w:sz w:val="21"/>
              </w:rPr>
              <w:t>0.87</w:t>
            </w:r>
          </w:p>
        </w:tc>
      </w:tr>
      <w:tr w14:paraId="36304972" w14:textId="77777777">
        <w:tblPrEx>
          <w:tblW w:w="0" w:type="auto"/>
          <w:tblInd w:w="482" w:type="dxa"/>
          <w:tblLayout w:type="fixed"/>
          <w:tblCellMar>
            <w:left w:w="0" w:type="dxa"/>
            <w:right w:w="0" w:type="dxa"/>
          </w:tblCellMar>
          <w:tblLook w:val="01E0"/>
        </w:tblPrEx>
        <w:trPr>
          <w:trHeight w:val="286"/>
        </w:trPr>
        <w:tc>
          <w:tcPr>
            <w:tcW w:w="859" w:type="dxa"/>
          </w:tcPr>
          <w:p w:rsidR="003F5784" w14:paraId="337498D5" w14:textId="77777777">
            <w:pPr>
              <w:pStyle w:val="TableParagraph"/>
              <w:spacing w:before="0"/>
              <w:jc w:val="left"/>
              <w:rPr>
                <w:sz w:val="20"/>
              </w:rPr>
            </w:pPr>
          </w:p>
        </w:tc>
        <w:tc>
          <w:tcPr>
            <w:tcW w:w="2445" w:type="dxa"/>
          </w:tcPr>
          <w:p w:rsidR="003F5784" w14:paraId="1B17EBD6" w14:textId="77777777">
            <w:pPr>
              <w:pStyle w:val="TableParagraph"/>
              <w:ind w:left="-16"/>
              <w:jc w:val="left"/>
              <w:rPr>
                <w:sz w:val="21"/>
              </w:rPr>
            </w:pPr>
            <w:r>
              <w:rPr>
                <w:sz w:val="21"/>
              </w:rPr>
              <w:t>National</w:t>
            </w:r>
            <w:r>
              <w:rPr>
                <w:spacing w:val="-9"/>
                <w:sz w:val="21"/>
              </w:rPr>
              <w:t xml:space="preserve"> </w:t>
            </w:r>
            <w:r>
              <w:rPr>
                <w:spacing w:val="-2"/>
                <w:sz w:val="21"/>
              </w:rPr>
              <w:t>private</w:t>
            </w:r>
          </w:p>
        </w:tc>
        <w:tc>
          <w:tcPr>
            <w:tcW w:w="1689" w:type="dxa"/>
          </w:tcPr>
          <w:p w:rsidR="003F5784" w14:paraId="7FBF3D04" w14:textId="77777777">
            <w:pPr>
              <w:pStyle w:val="TableParagraph"/>
              <w:ind w:right="391"/>
              <w:rPr>
                <w:sz w:val="21"/>
              </w:rPr>
            </w:pPr>
            <w:r>
              <w:rPr>
                <w:spacing w:val="-2"/>
                <w:sz w:val="21"/>
              </w:rPr>
              <w:t>90.89</w:t>
            </w:r>
          </w:p>
        </w:tc>
        <w:tc>
          <w:tcPr>
            <w:tcW w:w="3022" w:type="dxa"/>
          </w:tcPr>
          <w:p w:rsidR="003F5784" w14:paraId="6694BF35" w14:textId="77777777">
            <w:pPr>
              <w:pStyle w:val="TableParagraph"/>
              <w:ind w:right="391"/>
              <w:rPr>
                <w:sz w:val="21"/>
              </w:rPr>
            </w:pPr>
            <w:r>
              <w:rPr>
                <w:spacing w:val="-4"/>
                <w:sz w:val="21"/>
              </w:rPr>
              <w:t>0.21</w:t>
            </w:r>
          </w:p>
        </w:tc>
        <w:tc>
          <w:tcPr>
            <w:tcW w:w="2809" w:type="dxa"/>
          </w:tcPr>
          <w:p w:rsidR="003F5784" w14:paraId="73783EB9" w14:textId="77777777">
            <w:pPr>
              <w:pStyle w:val="TableParagraph"/>
              <w:ind w:right="179"/>
              <w:rPr>
                <w:sz w:val="21"/>
              </w:rPr>
            </w:pPr>
            <w:r>
              <w:rPr>
                <w:spacing w:val="-4"/>
                <w:sz w:val="21"/>
              </w:rPr>
              <w:t>0.01</w:t>
            </w:r>
          </w:p>
        </w:tc>
        <w:tc>
          <w:tcPr>
            <w:tcW w:w="3161" w:type="dxa"/>
          </w:tcPr>
          <w:p w:rsidR="003F5784" w14:paraId="670B43AE" w14:textId="77777777">
            <w:pPr>
              <w:pStyle w:val="TableParagraph"/>
              <w:ind w:right="118"/>
              <w:rPr>
                <w:sz w:val="21"/>
              </w:rPr>
            </w:pPr>
            <w:r>
              <w:rPr>
                <w:spacing w:val="-4"/>
                <w:sz w:val="21"/>
              </w:rPr>
              <w:t>0.09</w:t>
            </w:r>
          </w:p>
        </w:tc>
      </w:tr>
      <w:tr w14:paraId="6F6F3F4D" w14:textId="77777777">
        <w:tblPrEx>
          <w:tblW w:w="0" w:type="auto"/>
          <w:tblInd w:w="482" w:type="dxa"/>
          <w:tblLayout w:type="fixed"/>
          <w:tblCellMar>
            <w:left w:w="0" w:type="dxa"/>
            <w:right w:w="0" w:type="dxa"/>
          </w:tblCellMar>
          <w:tblLook w:val="01E0"/>
        </w:tblPrEx>
        <w:trPr>
          <w:trHeight w:val="286"/>
        </w:trPr>
        <w:tc>
          <w:tcPr>
            <w:tcW w:w="859" w:type="dxa"/>
          </w:tcPr>
          <w:p w:rsidR="003F5784" w14:paraId="757E6F15" w14:textId="77777777">
            <w:pPr>
              <w:pStyle w:val="TableParagraph"/>
              <w:spacing w:before="0"/>
              <w:jc w:val="left"/>
              <w:rPr>
                <w:sz w:val="20"/>
              </w:rPr>
            </w:pPr>
          </w:p>
        </w:tc>
        <w:tc>
          <w:tcPr>
            <w:tcW w:w="2445" w:type="dxa"/>
          </w:tcPr>
          <w:p w:rsidR="003F5784" w14:paraId="0E785C36" w14:textId="77777777">
            <w:pPr>
              <w:pStyle w:val="TableParagraph"/>
              <w:ind w:left="234"/>
              <w:jc w:val="left"/>
              <w:rPr>
                <w:sz w:val="21"/>
              </w:rPr>
            </w:pPr>
            <w:r>
              <w:rPr>
                <w:spacing w:val="-2"/>
                <w:sz w:val="21"/>
              </w:rPr>
              <w:t>Catholic</w:t>
            </w:r>
          </w:p>
        </w:tc>
        <w:tc>
          <w:tcPr>
            <w:tcW w:w="1689" w:type="dxa"/>
          </w:tcPr>
          <w:p w:rsidR="003F5784" w14:paraId="3A764687" w14:textId="77777777">
            <w:pPr>
              <w:pStyle w:val="TableParagraph"/>
              <w:ind w:right="391"/>
              <w:rPr>
                <w:sz w:val="21"/>
              </w:rPr>
            </w:pPr>
            <w:r>
              <w:rPr>
                <w:spacing w:val="-2"/>
                <w:sz w:val="21"/>
              </w:rPr>
              <w:t>92.30</w:t>
            </w:r>
          </w:p>
        </w:tc>
        <w:tc>
          <w:tcPr>
            <w:tcW w:w="3022" w:type="dxa"/>
          </w:tcPr>
          <w:p w:rsidR="003F5784" w14:paraId="667C8ABF" w14:textId="77777777">
            <w:pPr>
              <w:pStyle w:val="TableParagraph"/>
              <w:ind w:right="391"/>
              <w:rPr>
                <w:sz w:val="21"/>
              </w:rPr>
            </w:pPr>
            <w:r>
              <w:rPr>
                <w:spacing w:val="-4"/>
                <w:sz w:val="21"/>
              </w:rPr>
              <w:t>0.57</w:t>
            </w:r>
          </w:p>
        </w:tc>
        <w:tc>
          <w:tcPr>
            <w:tcW w:w="2809" w:type="dxa"/>
          </w:tcPr>
          <w:p w:rsidR="003F5784" w14:paraId="52E3BC31" w14:textId="77777777">
            <w:pPr>
              <w:pStyle w:val="TableParagraph"/>
              <w:ind w:right="179"/>
              <w:rPr>
                <w:sz w:val="21"/>
              </w:rPr>
            </w:pPr>
            <w:r>
              <w:rPr>
                <w:spacing w:val="-4"/>
                <w:sz w:val="21"/>
              </w:rPr>
              <w:t>0.02</w:t>
            </w:r>
          </w:p>
        </w:tc>
        <w:tc>
          <w:tcPr>
            <w:tcW w:w="3161" w:type="dxa"/>
          </w:tcPr>
          <w:p w:rsidR="003F5784" w14:paraId="05B798D8" w14:textId="77777777">
            <w:pPr>
              <w:pStyle w:val="TableParagraph"/>
              <w:ind w:right="118"/>
              <w:rPr>
                <w:sz w:val="21"/>
              </w:rPr>
            </w:pPr>
            <w:r>
              <w:rPr>
                <w:spacing w:val="-4"/>
                <w:sz w:val="21"/>
              </w:rPr>
              <w:t>0.23</w:t>
            </w:r>
          </w:p>
        </w:tc>
      </w:tr>
      <w:tr w14:paraId="5C776B11" w14:textId="77777777">
        <w:tblPrEx>
          <w:tblW w:w="0" w:type="auto"/>
          <w:tblInd w:w="482" w:type="dxa"/>
          <w:tblLayout w:type="fixed"/>
          <w:tblCellMar>
            <w:left w:w="0" w:type="dxa"/>
            <w:right w:w="0" w:type="dxa"/>
          </w:tblCellMar>
          <w:tblLook w:val="01E0"/>
        </w:tblPrEx>
        <w:trPr>
          <w:trHeight w:val="289"/>
        </w:trPr>
        <w:tc>
          <w:tcPr>
            <w:tcW w:w="859" w:type="dxa"/>
            <w:tcBorders>
              <w:bottom w:val="single" w:sz="12" w:space="0" w:color="800000"/>
            </w:tcBorders>
          </w:tcPr>
          <w:p w:rsidR="003F5784" w14:paraId="19DC6CF4" w14:textId="77777777">
            <w:pPr>
              <w:pStyle w:val="TableParagraph"/>
              <w:spacing w:before="0"/>
              <w:jc w:val="left"/>
              <w:rPr>
                <w:sz w:val="20"/>
              </w:rPr>
            </w:pPr>
          </w:p>
        </w:tc>
        <w:tc>
          <w:tcPr>
            <w:tcW w:w="2445" w:type="dxa"/>
            <w:tcBorders>
              <w:bottom w:val="single" w:sz="12" w:space="0" w:color="800000"/>
            </w:tcBorders>
          </w:tcPr>
          <w:p w:rsidR="003F5784" w14:paraId="384C8969" w14:textId="77777777">
            <w:pPr>
              <w:pStyle w:val="TableParagraph"/>
              <w:ind w:left="234"/>
              <w:jc w:val="left"/>
              <w:rPr>
                <w:sz w:val="21"/>
              </w:rPr>
            </w:pPr>
            <w:r>
              <w:rPr>
                <w:spacing w:val="-2"/>
                <w:sz w:val="21"/>
              </w:rPr>
              <w:t>Non-Catholic</w:t>
            </w:r>
          </w:p>
        </w:tc>
        <w:tc>
          <w:tcPr>
            <w:tcW w:w="1689" w:type="dxa"/>
            <w:tcBorders>
              <w:bottom w:val="single" w:sz="12" w:space="0" w:color="800000"/>
            </w:tcBorders>
          </w:tcPr>
          <w:p w:rsidR="003F5784" w14:paraId="6B404088" w14:textId="77777777">
            <w:pPr>
              <w:pStyle w:val="TableParagraph"/>
              <w:ind w:right="391"/>
              <w:rPr>
                <w:sz w:val="21"/>
              </w:rPr>
            </w:pPr>
            <w:r>
              <w:rPr>
                <w:spacing w:val="-2"/>
                <w:sz w:val="21"/>
              </w:rPr>
              <w:t>87.70</w:t>
            </w:r>
          </w:p>
        </w:tc>
        <w:tc>
          <w:tcPr>
            <w:tcW w:w="3022" w:type="dxa"/>
            <w:tcBorders>
              <w:bottom w:val="single" w:sz="12" w:space="0" w:color="800000"/>
            </w:tcBorders>
          </w:tcPr>
          <w:p w:rsidR="003F5784" w14:paraId="1AF894E0" w14:textId="77777777">
            <w:pPr>
              <w:pStyle w:val="TableParagraph"/>
              <w:ind w:right="391"/>
              <w:rPr>
                <w:sz w:val="21"/>
              </w:rPr>
            </w:pPr>
            <w:r>
              <w:rPr>
                <w:spacing w:val="-10"/>
                <w:sz w:val="21"/>
              </w:rPr>
              <w:t>#</w:t>
            </w:r>
          </w:p>
        </w:tc>
        <w:tc>
          <w:tcPr>
            <w:tcW w:w="2809" w:type="dxa"/>
            <w:tcBorders>
              <w:bottom w:val="single" w:sz="12" w:space="0" w:color="800000"/>
            </w:tcBorders>
          </w:tcPr>
          <w:p w:rsidR="003F5784" w14:paraId="4D740567" w14:textId="77777777">
            <w:pPr>
              <w:pStyle w:val="TableParagraph"/>
              <w:ind w:right="179"/>
              <w:rPr>
                <w:sz w:val="21"/>
              </w:rPr>
            </w:pPr>
            <w:r>
              <w:rPr>
                <w:spacing w:val="-10"/>
                <w:sz w:val="21"/>
              </w:rPr>
              <w:t>#</w:t>
            </w:r>
          </w:p>
        </w:tc>
        <w:tc>
          <w:tcPr>
            <w:tcW w:w="3161" w:type="dxa"/>
            <w:tcBorders>
              <w:bottom w:val="single" w:sz="12" w:space="0" w:color="800000"/>
            </w:tcBorders>
          </w:tcPr>
          <w:p w:rsidR="003F5784" w14:paraId="77002AD0" w14:textId="77777777">
            <w:pPr>
              <w:pStyle w:val="TableParagraph"/>
              <w:ind w:right="118"/>
              <w:rPr>
                <w:sz w:val="21"/>
              </w:rPr>
            </w:pPr>
            <w:r>
              <w:rPr>
                <w:spacing w:val="-10"/>
                <w:sz w:val="21"/>
              </w:rPr>
              <w:t>#</w:t>
            </w:r>
          </w:p>
        </w:tc>
      </w:tr>
      <w:tr w14:paraId="0ABDC826" w14:textId="77777777">
        <w:tblPrEx>
          <w:tblW w:w="0" w:type="auto"/>
          <w:tblInd w:w="482" w:type="dxa"/>
          <w:tblLayout w:type="fixed"/>
          <w:tblCellMar>
            <w:left w:w="0" w:type="dxa"/>
            <w:right w:w="0" w:type="dxa"/>
          </w:tblCellMar>
          <w:tblLook w:val="01E0"/>
        </w:tblPrEx>
        <w:trPr>
          <w:trHeight w:val="331"/>
        </w:trPr>
        <w:tc>
          <w:tcPr>
            <w:tcW w:w="859" w:type="dxa"/>
            <w:tcBorders>
              <w:top w:val="single" w:sz="12" w:space="0" w:color="800000"/>
            </w:tcBorders>
          </w:tcPr>
          <w:p w:rsidR="003F5784" w14:paraId="6C534E9A" w14:textId="77777777">
            <w:pPr>
              <w:pStyle w:val="TableParagraph"/>
              <w:spacing w:before="0" w:line="239" w:lineRule="exact"/>
              <w:ind w:left="120"/>
              <w:jc w:val="left"/>
              <w:rPr>
                <w:sz w:val="21"/>
              </w:rPr>
            </w:pPr>
            <w:r>
              <w:rPr>
                <w:spacing w:val="-5"/>
                <w:sz w:val="21"/>
              </w:rPr>
              <w:t>13</w:t>
            </w:r>
          </w:p>
        </w:tc>
        <w:tc>
          <w:tcPr>
            <w:tcW w:w="2445" w:type="dxa"/>
            <w:tcBorders>
              <w:top w:val="single" w:sz="12" w:space="0" w:color="800000"/>
            </w:tcBorders>
          </w:tcPr>
          <w:p w:rsidR="003F5784" w14:paraId="52FB6B92" w14:textId="77777777">
            <w:pPr>
              <w:pStyle w:val="TableParagraph"/>
              <w:spacing w:before="20"/>
              <w:ind w:left="390"/>
              <w:jc w:val="left"/>
              <w:rPr>
                <w:b/>
                <w:sz w:val="17"/>
              </w:rPr>
            </w:pPr>
            <w:r>
              <w:rPr>
                <w:b/>
                <w:sz w:val="21"/>
              </w:rPr>
              <w:t>National</w:t>
            </w:r>
            <w:r>
              <w:rPr>
                <w:b/>
                <w:spacing w:val="-9"/>
                <w:sz w:val="21"/>
              </w:rPr>
              <w:t xml:space="preserve"> </w:t>
            </w:r>
            <w:r>
              <w:rPr>
                <w:b/>
                <w:spacing w:val="-4"/>
                <w:sz w:val="21"/>
              </w:rPr>
              <w:t>all</w:t>
            </w:r>
            <w:r>
              <w:rPr>
                <w:b/>
                <w:spacing w:val="-4"/>
                <w:position w:val="8"/>
                <w:sz w:val="17"/>
              </w:rPr>
              <w:t>1</w:t>
            </w:r>
          </w:p>
        </w:tc>
        <w:tc>
          <w:tcPr>
            <w:tcW w:w="1689" w:type="dxa"/>
            <w:tcBorders>
              <w:top w:val="single" w:sz="12" w:space="0" w:color="800000"/>
            </w:tcBorders>
          </w:tcPr>
          <w:p w:rsidR="003F5784" w14:paraId="125AA32C" w14:textId="77777777">
            <w:pPr>
              <w:pStyle w:val="TableParagraph"/>
              <w:spacing w:before="0" w:line="239" w:lineRule="exact"/>
              <w:ind w:right="391"/>
              <w:rPr>
                <w:b/>
                <w:sz w:val="21"/>
              </w:rPr>
            </w:pPr>
            <w:r>
              <w:rPr>
                <w:b/>
                <w:spacing w:val="-2"/>
                <w:sz w:val="21"/>
              </w:rPr>
              <w:t>89.22</w:t>
            </w:r>
          </w:p>
        </w:tc>
        <w:tc>
          <w:tcPr>
            <w:tcW w:w="3022" w:type="dxa"/>
            <w:tcBorders>
              <w:top w:val="single" w:sz="12" w:space="0" w:color="800000"/>
            </w:tcBorders>
          </w:tcPr>
          <w:p w:rsidR="003F5784" w14:paraId="3A328E60" w14:textId="77777777">
            <w:pPr>
              <w:pStyle w:val="TableParagraph"/>
              <w:spacing w:before="0" w:line="239" w:lineRule="exact"/>
              <w:ind w:right="391"/>
              <w:rPr>
                <w:b/>
                <w:sz w:val="21"/>
              </w:rPr>
            </w:pPr>
            <w:r>
              <w:rPr>
                <w:b/>
                <w:spacing w:val="-4"/>
                <w:sz w:val="21"/>
              </w:rPr>
              <w:t>2.44</w:t>
            </w:r>
          </w:p>
        </w:tc>
        <w:tc>
          <w:tcPr>
            <w:tcW w:w="2809" w:type="dxa"/>
            <w:tcBorders>
              <w:top w:val="single" w:sz="12" w:space="0" w:color="800000"/>
            </w:tcBorders>
          </w:tcPr>
          <w:p w:rsidR="003F5784" w14:paraId="408CC5FA" w14:textId="77777777">
            <w:pPr>
              <w:pStyle w:val="TableParagraph"/>
              <w:spacing w:before="0" w:line="239" w:lineRule="exact"/>
              <w:ind w:right="179"/>
              <w:rPr>
                <w:b/>
                <w:sz w:val="21"/>
              </w:rPr>
            </w:pPr>
            <w:r>
              <w:rPr>
                <w:b/>
                <w:spacing w:val="-4"/>
                <w:sz w:val="21"/>
              </w:rPr>
              <w:t>1.05</w:t>
            </w:r>
          </w:p>
        </w:tc>
        <w:tc>
          <w:tcPr>
            <w:tcW w:w="3161" w:type="dxa"/>
            <w:tcBorders>
              <w:top w:val="single" w:sz="12" w:space="0" w:color="800000"/>
            </w:tcBorders>
          </w:tcPr>
          <w:p w:rsidR="003F5784" w14:paraId="7393DE23" w14:textId="77777777">
            <w:pPr>
              <w:pStyle w:val="TableParagraph"/>
              <w:spacing w:before="0" w:line="239" w:lineRule="exact"/>
              <w:ind w:right="118"/>
              <w:rPr>
                <w:b/>
                <w:sz w:val="21"/>
              </w:rPr>
            </w:pPr>
            <w:r>
              <w:rPr>
                <w:b/>
                <w:spacing w:val="-4"/>
                <w:sz w:val="21"/>
              </w:rPr>
              <w:t>0.26</w:t>
            </w:r>
          </w:p>
        </w:tc>
      </w:tr>
      <w:tr w14:paraId="548627A5" w14:textId="77777777">
        <w:tblPrEx>
          <w:tblW w:w="0" w:type="auto"/>
          <w:tblInd w:w="482" w:type="dxa"/>
          <w:tblLayout w:type="fixed"/>
          <w:tblCellMar>
            <w:left w:w="0" w:type="dxa"/>
            <w:right w:w="0" w:type="dxa"/>
          </w:tblCellMar>
          <w:tblLook w:val="01E0"/>
        </w:tblPrEx>
        <w:trPr>
          <w:trHeight w:val="286"/>
        </w:trPr>
        <w:tc>
          <w:tcPr>
            <w:tcW w:w="859" w:type="dxa"/>
          </w:tcPr>
          <w:p w:rsidR="003F5784" w14:paraId="2DB40EC8" w14:textId="77777777">
            <w:pPr>
              <w:pStyle w:val="TableParagraph"/>
              <w:spacing w:before="0"/>
              <w:jc w:val="left"/>
              <w:rPr>
                <w:sz w:val="20"/>
              </w:rPr>
            </w:pPr>
          </w:p>
        </w:tc>
        <w:tc>
          <w:tcPr>
            <w:tcW w:w="2445" w:type="dxa"/>
          </w:tcPr>
          <w:p w:rsidR="003F5784" w14:paraId="6FA7D23D" w14:textId="77777777">
            <w:pPr>
              <w:pStyle w:val="TableParagraph"/>
              <w:ind w:left="-16"/>
              <w:jc w:val="left"/>
              <w:rPr>
                <w:sz w:val="21"/>
              </w:rPr>
            </w:pPr>
            <w:r>
              <w:rPr>
                <w:sz w:val="21"/>
              </w:rPr>
              <w:t>National</w:t>
            </w:r>
            <w:r>
              <w:rPr>
                <w:spacing w:val="-9"/>
                <w:sz w:val="21"/>
              </w:rPr>
              <w:t xml:space="preserve"> </w:t>
            </w:r>
            <w:r>
              <w:rPr>
                <w:spacing w:val="-2"/>
                <w:sz w:val="21"/>
              </w:rPr>
              <w:t>public</w:t>
            </w:r>
          </w:p>
        </w:tc>
        <w:tc>
          <w:tcPr>
            <w:tcW w:w="1689" w:type="dxa"/>
          </w:tcPr>
          <w:p w:rsidR="003F5784" w14:paraId="14396839" w14:textId="77777777">
            <w:pPr>
              <w:pStyle w:val="TableParagraph"/>
              <w:ind w:right="391"/>
              <w:rPr>
                <w:sz w:val="21"/>
              </w:rPr>
            </w:pPr>
            <w:r>
              <w:rPr>
                <w:spacing w:val="-2"/>
                <w:sz w:val="21"/>
              </w:rPr>
              <w:t>89.28</w:t>
            </w:r>
          </w:p>
        </w:tc>
        <w:tc>
          <w:tcPr>
            <w:tcW w:w="3022" w:type="dxa"/>
          </w:tcPr>
          <w:p w:rsidR="003F5784" w14:paraId="79600222" w14:textId="77777777">
            <w:pPr>
              <w:pStyle w:val="TableParagraph"/>
              <w:ind w:right="391"/>
              <w:rPr>
                <w:sz w:val="21"/>
              </w:rPr>
            </w:pPr>
            <w:r>
              <w:rPr>
                <w:spacing w:val="-4"/>
                <w:sz w:val="21"/>
              </w:rPr>
              <w:t>2.64</w:t>
            </w:r>
          </w:p>
        </w:tc>
        <w:tc>
          <w:tcPr>
            <w:tcW w:w="2809" w:type="dxa"/>
          </w:tcPr>
          <w:p w:rsidR="003F5784" w14:paraId="733ED1BA" w14:textId="77777777">
            <w:pPr>
              <w:pStyle w:val="TableParagraph"/>
              <w:ind w:right="179"/>
              <w:rPr>
                <w:sz w:val="21"/>
              </w:rPr>
            </w:pPr>
            <w:r>
              <w:rPr>
                <w:spacing w:val="-4"/>
                <w:sz w:val="21"/>
              </w:rPr>
              <w:t>1.09</w:t>
            </w:r>
          </w:p>
        </w:tc>
        <w:tc>
          <w:tcPr>
            <w:tcW w:w="3161" w:type="dxa"/>
          </w:tcPr>
          <w:p w:rsidR="003F5784" w14:paraId="4C00C4AE" w14:textId="77777777">
            <w:pPr>
              <w:pStyle w:val="TableParagraph"/>
              <w:ind w:right="118"/>
              <w:rPr>
                <w:sz w:val="21"/>
              </w:rPr>
            </w:pPr>
            <w:r>
              <w:rPr>
                <w:spacing w:val="-4"/>
                <w:sz w:val="21"/>
              </w:rPr>
              <w:t>0.28</w:t>
            </w:r>
          </w:p>
        </w:tc>
      </w:tr>
      <w:tr w14:paraId="160757B5" w14:textId="77777777">
        <w:tblPrEx>
          <w:tblW w:w="0" w:type="auto"/>
          <w:tblInd w:w="482" w:type="dxa"/>
          <w:tblLayout w:type="fixed"/>
          <w:tblCellMar>
            <w:left w:w="0" w:type="dxa"/>
            <w:right w:w="0" w:type="dxa"/>
          </w:tblCellMar>
          <w:tblLook w:val="01E0"/>
        </w:tblPrEx>
        <w:trPr>
          <w:trHeight w:val="286"/>
        </w:trPr>
        <w:tc>
          <w:tcPr>
            <w:tcW w:w="859" w:type="dxa"/>
          </w:tcPr>
          <w:p w:rsidR="003F5784" w14:paraId="39ABB604" w14:textId="77777777">
            <w:pPr>
              <w:pStyle w:val="TableParagraph"/>
              <w:spacing w:before="0"/>
              <w:jc w:val="left"/>
              <w:rPr>
                <w:sz w:val="20"/>
              </w:rPr>
            </w:pPr>
          </w:p>
        </w:tc>
        <w:tc>
          <w:tcPr>
            <w:tcW w:w="2445" w:type="dxa"/>
          </w:tcPr>
          <w:p w:rsidR="003F5784" w14:paraId="0B727F76" w14:textId="77777777">
            <w:pPr>
              <w:pStyle w:val="TableParagraph"/>
              <w:ind w:right="824"/>
              <w:rPr>
                <w:sz w:val="21"/>
              </w:rPr>
            </w:pPr>
            <w:r>
              <w:rPr>
                <w:sz w:val="21"/>
              </w:rPr>
              <w:t>Northeast</w:t>
            </w:r>
            <w:r>
              <w:rPr>
                <w:spacing w:val="-10"/>
                <w:sz w:val="21"/>
              </w:rPr>
              <w:t xml:space="preserve"> </w:t>
            </w:r>
            <w:r>
              <w:rPr>
                <w:spacing w:val="-2"/>
                <w:sz w:val="21"/>
              </w:rPr>
              <w:t>public</w:t>
            </w:r>
          </w:p>
        </w:tc>
        <w:tc>
          <w:tcPr>
            <w:tcW w:w="1689" w:type="dxa"/>
          </w:tcPr>
          <w:p w:rsidR="003F5784" w14:paraId="42909AB3" w14:textId="77777777">
            <w:pPr>
              <w:pStyle w:val="TableParagraph"/>
              <w:ind w:right="391"/>
              <w:rPr>
                <w:sz w:val="21"/>
              </w:rPr>
            </w:pPr>
            <w:r>
              <w:rPr>
                <w:spacing w:val="-2"/>
                <w:sz w:val="21"/>
              </w:rPr>
              <w:t>84.05</w:t>
            </w:r>
          </w:p>
        </w:tc>
        <w:tc>
          <w:tcPr>
            <w:tcW w:w="3022" w:type="dxa"/>
          </w:tcPr>
          <w:p w:rsidR="003F5784" w14:paraId="408B8DC8" w14:textId="77777777">
            <w:pPr>
              <w:pStyle w:val="TableParagraph"/>
              <w:ind w:right="391"/>
              <w:rPr>
                <w:sz w:val="21"/>
              </w:rPr>
            </w:pPr>
            <w:r>
              <w:rPr>
                <w:spacing w:val="-4"/>
                <w:sz w:val="21"/>
              </w:rPr>
              <w:t>3.32</w:t>
            </w:r>
          </w:p>
        </w:tc>
        <w:tc>
          <w:tcPr>
            <w:tcW w:w="2809" w:type="dxa"/>
          </w:tcPr>
          <w:p w:rsidR="003F5784" w14:paraId="44CB19CE" w14:textId="77777777">
            <w:pPr>
              <w:pStyle w:val="TableParagraph"/>
              <w:ind w:right="179"/>
              <w:rPr>
                <w:sz w:val="21"/>
              </w:rPr>
            </w:pPr>
            <w:r>
              <w:rPr>
                <w:spacing w:val="-4"/>
                <w:sz w:val="21"/>
              </w:rPr>
              <w:t>2.08</w:t>
            </w:r>
          </w:p>
        </w:tc>
        <w:tc>
          <w:tcPr>
            <w:tcW w:w="3161" w:type="dxa"/>
          </w:tcPr>
          <w:p w:rsidR="003F5784" w14:paraId="3EA9E01C" w14:textId="77777777">
            <w:pPr>
              <w:pStyle w:val="TableParagraph"/>
              <w:ind w:right="118"/>
              <w:rPr>
                <w:sz w:val="21"/>
              </w:rPr>
            </w:pPr>
            <w:r>
              <w:rPr>
                <w:spacing w:val="-4"/>
                <w:sz w:val="21"/>
              </w:rPr>
              <w:t>0.25</w:t>
            </w:r>
          </w:p>
        </w:tc>
      </w:tr>
      <w:tr w14:paraId="79C8E87D" w14:textId="77777777">
        <w:tblPrEx>
          <w:tblW w:w="0" w:type="auto"/>
          <w:tblInd w:w="482" w:type="dxa"/>
          <w:tblLayout w:type="fixed"/>
          <w:tblCellMar>
            <w:left w:w="0" w:type="dxa"/>
            <w:right w:w="0" w:type="dxa"/>
          </w:tblCellMar>
          <w:tblLook w:val="01E0"/>
        </w:tblPrEx>
        <w:trPr>
          <w:trHeight w:val="286"/>
        </w:trPr>
        <w:tc>
          <w:tcPr>
            <w:tcW w:w="859" w:type="dxa"/>
          </w:tcPr>
          <w:p w:rsidR="003F5784" w14:paraId="32BC83CF" w14:textId="77777777">
            <w:pPr>
              <w:pStyle w:val="TableParagraph"/>
              <w:spacing w:before="0"/>
              <w:jc w:val="left"/>
              <w:rPr>
                <w:sz w:val="20"/>
              </w:rPr>
            </w:pPr>
          </w:p>
        </w:tc>
        <w:tc>
          <w:tcPr>
            <w:tcW w:w="2445" w:type="dxa"/>
          </w:tcPr>
          <w:p w:rsidR="003F5784" w14:paraId="051979DD" w14:textId="77777777">
            <w:pPr>
              <w:pStyle w:val="TableParagraph"/>
              <w:ind w:left="234"/>
              <w:jc w:val="left"/>
              <w:rPr>
                <w:sz w:val="21"/>
              </w:rPr>
            </w:pPr>
            <w:r>
              <w:rPr>
                <w:sz w:val="21"/>
              </w:rPr>
              <w:t>Midwest</w:t>
            </w:r>
            <w:r>
              <w:rPr>
                <w:spacing w:val="-9"/>
                <w:sz w:val="21"/>
              </w:rPr>
              <w:t xml:space="preserve"> </w:t>
            </w:r>
            <w:r>
              <w:rPr>
                <w:spacing w:val="-2"/>
                <w:sz w:val="21"/>
              </w:rPr>
              <w:t>public</w:t>
            </w:r>
          </w:p>
        </w:tc>
        <w:tc>
          <w:tcPr>
            <w:tcW w:w="1689" w:type="dxa"/>
          </w:tcPr>
          <w:p w:rsidR="003F5784" w14:paraId="3D64C8B6" w14:textId="77777777">
            <w:pPr>
              <w:pStyle w:val="TableParagraph"/>
              <w:ind w:right="391"/>
              <w:rPr>
                <w:sz w:val="21"/>
              </w:rPr>
            </w:pPr>
            <w:r>
              <w:rPr>
                <w:spacing w:val="-2"/>
                <w:sz w:val="21"/>
              </w:rPr>
              <w:t>89.51</w:t>
            </w:r>
          </w:p>
        </w:tc>
        <w:tc>
          <w:tcPr>
            <w:tcW w:w="3022" w:type="dxa"/>
          </w:tcPr>
          <w:p w:rsidR="003F5784" w14:paraId="5E74B526" w14:textId="77777777">
            <w:pPr>
              <w:pStyle w:val="TableParagraph"/>
              <w:ind w:right="391"/>
              <w:rPr>
                <w:sz w:val="21"/>
              </w:rPr>
            </w:pPr>
            <w:r>
              <w:rPr>
                <w:spacing w:val="-4"/>
                <w:sz w:val="21"/>
              </w:rPr>
              <w:t>1.59</w:t>
            </w:r>
          </w:p>
        </w:tc>
        <w:tc>
          <w:tcPr>
            <w:tcW w:w="2809" w:type="dxa"/>
          </w:tcPr>
          <w:p w:rsidR="003F5784" w14:paraId="3E565423" w14:textId="77777777">
            <w:pPr>
              <w:pStyle w:val="TableParagraph"/>
              <w:ind w:right="179"/>
              <w:rPr>
                <w:sz w:val="21"/>
              </w:rPr>
            </w:pPr>
            <w:r>
              <w:rPr>
                <w:spacing w:val="-4"/>
                <w:sz w:val="21"/>
              </w:rPr>
              <w:t>0.43</w:t>
            </w:r>
          </w:p>
        </w:tc>
        <w:tc>
          <w:tcPr>
            <w:tcW w:w="3161" w:type="dxa"/>
          </w:tcPr>
          <w:p w:rsidR="003F5784" w14:paraId="10E69AAF" w14:textId="77777777">
            <w:pPr>
              <w:pStyle w:val="TableParagraph"/>
              <w:ind w:right="118"/>
              <w:rPr>
                <w:sz w:val="21"/>
              </w:rPr>
            </w:pPr>
            <w:r>
              <w:rPr>
                <w:spacing w:val="-4"/>
                <w:sz w:val="21"/>
              </w:rPr>
              <w:t>0.34</w:t>
            </w:r>
          </w:p>
        </w:tc>
      </w:tr>
      <w:tr w14:paraId="617698C8" w14:textId="77777777">
        <w:tblPrEx>
          <w:tblW w:w="0" w:type="auto"/>
          <w:tblInd w:w="482" w:type="dxa"/>
          <w:tblLayout w:type="fixed"/>
          <w:tblCellMar>
            <w:left w:w="0" w:type="dxa"/>
            <w:right w:w="0" w:type="dxa"/>
          </w:tblCellMar>
          <w:tblLook w:val="01E0"/>
        </w:tblPrEx>
        <w:trPr>
          <w:trHeight w:val="286"/>
        </w:trPr>
        <w:tc>
          <w:tcPr>
            <w:tcW w:w="859" w:type="dxa"/>
          </w:tcPr>
          <w:p w:rsidR="003F5784" w14:paraId="2B8BF71A" w14:textId="77777777">
            <w:pPr>
              <w:pStyle w:val="TableParagraph"/>
              <w:spacing w:before="0"/>
              <w:jc w:val="left"/>
              <w:rPr>
                <w:sz w:val="20"/>
              </w:rPr>
            </w:pPr>
          </w:p>
        </w:tc>
        <w:tc>
          <w:tcPr>
            <w:tcW w:w="2445" w:type="dxa"/>
          </w:tcPr>
          <w:p w:rsidR="003F5784" w14:paraId="3393654E" w14:textId="77777777">
            <w:pPr>
              <w:pStyle w:val="TableParagraph"/>
              <w:ind w:left="234"/>
              <w:jc w:val="left"/>
              <w:rPr>
                <w:sz w:val="21"/>
              </w:rPr>
            </w:pPr>
            <w:r>
              <w:rPr>
                <w:sz w:val="21"/>
              </w:rPr>
              <w:t>South</w:t>
            </w:r>
            <w:r>
              <w:rPr>
                <w:spacing w:val="-6"/>
                <w:sz w:val="21"/>
              </w:rPr>
              <w:t xml:space="preserve"> </w:t>
            </w:r>
            <w:r>
              <w:rPr>
                <w:spacing w:val="-2"/>
                <w:sz w:val="21"/>
              </w:rPr>
              <w:t>public</w:t>
            </w:r>
          </w:p>
        </w:tc>
        <w:tc>
          <w:tcPr>
            <w:tcW w:w="1689" w:type="dxa"/>
          </w:tcPr>
          <w:p w:rsidR="003F5784" w14:paraId="38A23867" w14:textId="77777777">
            <w:pPr>
              <w:pStyle w:val="TableParagraph"/>
              <w:ind w:right="391"/>
              <w:rPr>
                <w:sz w:val="21"/>
              </w:rPr>
            </w:pPr>
            <w:r>
              <w:rPr>
                <w:spacing w:val="-2"/>
                <w:sz w:val="21"/>
              </w:rPr>
              <w:t>91.24</w:t>
            </w:r>
          </w:p>
        </w:tc>
        <w:tc>
          <w:tcPr>
            <w:tcW w:w="3022" w:type="dxa"/>
          </w:tcPr>
          <w:p w:rsidR="003F5784" w14:paraId="425AA3CE" w14:textId="77777777">
            <w:pPr>
              <w:pStyle w:val="TableParagraph"/>
              <w:ind w:right="391"/>
              <w:rPr>
                <w:sz w:val="21"/>
              </w:rPr>
            </w:pPr>
            <w:r>
              <w:rPr>
                <w:spacing w:val="-4"/>
                <w:sz w:val="21"/>
              </w:rPr>
              <w:t>2.61</w:t>
            </w:r>
          </w:p>
        </w:tc>
        <w:tc>
          <w:tcPr>
            <w:tcW w:w="2809" w:type="dxa"/>
          </w:tcPr>
          <w:p w:rsidR="003F5784" w14:paraId="2A4AEE41" w14:textId="77777777">
            <w:pPr>
              <w:pStyle w:val="TableParagraph"/>
              <w:ind w:right="179"/>
              <w:rPr>
                <w:sz w:val="21"/>
              </w:rPr>
            </w:pPr>
            <w:r>
              <w:rPr>
                <w:spacing w:val="-4"/>
                <w:sz w:val="21"/>
              </w:rPr>
              <w:t>0.80</w:t>
            </w:r>
          </w:p>
        </w:tc>
        <w:tc>
          <w:tcPr>
            <w:tcW w:w="3161" w:type="dxa"/>
          </w:tcPr>
          <w:p w:rsidR="003F5784" w14:paraId="17A2F3FB" w14:textId="77777777">
            <w:pPr>
              <w:pStyle w:val="TableParagraph"/>
              <w:ind w:right="118"/>
              <w:rPr>
                <w:sz w:val="21"/>
              </w:rPr>
            </w:pPr>
            <w:r>
              <w:rPr>
                <w:spacing w:val="-4"/>
                <w:sz w:val="21"/>
              </w:rPr>
              <w:t>0.24</w:t>
            </w:r>
          </w:p>
        </w:tc>
      </w:tr>
      <w:tr w14:paraId="40555F7D" w14:textId="77777777">
        <w:tblPrEx>
          <w:tblW w:w="0" w:type="auto"/>
          <w:tblInd w:w="482" w:type="dxa"/>
          <w:tblLayout w:type="fixed"/>
          <w:tblCellMar>
            <w:left w:w="0" w:type="dxa"/>
            <w:right w:w="0" w:type="dxa"/>
          </w:tblCellMar>
          <w:tblLook w:val="01E0"/>
        </w:tblPrEx>
        <w:trPr>
          <w:trHeight w:val="286"/>
        </w:trPr>
        <w:tc>
          <w:tcPr>
            <w:tcW w:w="859" w:type="dxa"/>
          </w:tcPr>
          <w:p w:rsidR="003F5784" w14:paraId="1DD01E21" w14:textId="77777777">
            <w:pPr>
              <w:pStyle w:val="TableParagraph"/>
              <w:spacing w:before="0"/>
              <w:jc w:val="left"/>
              <w:rPr>
                <w:sz w:val="20"/>
              </w:rPr>
            </w:pPr>
          </w:p>
        </w:tc>
        <w:tc>
          <w:tcPr>
            <w:tcW w:w="2445" w:type="dxa"/>
          </w:tcPr>
          <w:p w:rsidR="003F5784" w14:paraId="542099ED" w14:textId="77777777">
            <w:pPr>
              <w:pStyle w:val="TableParagraph"/>
              <w:ind w:left="234"/>
              <w:jc w:val="left"/>
              <w:rPr>
                <w:sz w:val="21"/>
              </w:rPr>
            </w:pPr>
            <w:r>
              <w:rPr>
                <w:spacing w:val="-4"/>
                <w:sz w:val="21"/>
              </w:rPr>
              <w:t>West</w:t>
            </w:r>
            <w:r>
              <w:rPr>
                <w:spacing w:val="-7"/>
                <w:sz w:val="21"/>
              </w:rPr>
              <w:t xml:space="preserve"> </w:t>
            </w:r>
            <w:r>
              <w:rPr>
                <w:spacing w:val="-2"/>
                <w:sz w:val="21"/>
              </w:rPr>
              <w:t>public</w:t>
            </w:r>
          </w:p>
        </w:tc>
        <w:tc>
          <w:tcPr>
            <w:tcW w:w="1689" w:type="dxa"/>
          </w:tcPr>
          <w:p w:rsidR="003F5784" w14:paraId="01BDECF2" w14:textId="77777777">
            <w:pPr>
              <w:pStyle w:val="TableParagraph"/>
              <w:ind w:right="391"/>
              <w:rPr>
                <w:sz w:val="21"/>
              </w:rPr>
            </w:pPr>
            <w:r>
              <w:rPr>
                <w:spacing w:val="-2"/>
                <w:sz w:val="21"/>
              </w:rPr>
              <w:t>88.66</w:t>
            </w:r>
          </w:p>
        </w:tc>
        <w:tc>
          <w:tcPr>
            <w:tcW w:w="3022" w:type="dxa"/>
          </w:tcPr>
          <w:p w:rsidR="003F5784" w14:paraId="6E37BD34" w14:textId="77777777">
            <w:pPr>
              <w:pStyle w:val="TableParagraph"/>
              <w:ind w:right="391"/>
              <w:rPr>
                <w:sz w:val="21"/>
              </w:rPr>
            </w:pPr>
            <w:r>
              <w:rPr>
                <w:spacing w:val="-4"/>
                <w:sz w:val="21"/>
              </w:rPr>
              <w:t>3.22</w:t>
            </w:r>
          </w:p>
        </w:tc>
        <w:tc>
          <w:tcPr>
            <w:tcW w:w="2809" w:type="dxa"/>
          </w:tcPr>
          <w:p w:rsidR="003F5784" w14:paraId="6B62640F" w14:textId="77777777">
            <w:pPr>
              <w:pStyle w:val="TableParagraph"/>
              <w:ind w:right="179"/>
              <w:rPr>
                <w:sz w:val="21"/>
              </w:rPr>
            </w:pPr>
            <w:r>
              <w:rPr>
                <w:spacing w:val="-4"/>
                <w:sz w:val="21"/>
              </w:rPr>
              <w:t>1.60</w:t>
            </w:r>
          </w:p>
        </w:tc>
        <w:tc>
          <w:tcPr>
            <w:tcW w:w="3161" w:type="dxa"/>
          </w:tcPr>
          <w:p w:rsidR="003F5784" w14:paraId="38A58112" w14:textId="77777777">
            <w:pPr>
              <w:pStyle w:val="TableParagraph"/>
              <w:ind w:right="118"/>
              <w:rPr>
                <w:sz w:val="21"/>
              </w:rPr>
            </w:pPr>
            <w:r>
              <w:rPr>
                <w:spacing w:val="-4"/>
                <w:sz w:val="21"/>
              </w:rPr>
              <w:t>0.34</w:t>
            </w:r>
          </w:p>
        </w:tc>
      </w:tr>
      <w:tr w14:paraId="01E19784" w14:textId="77777777">
        <w:tblPrEx>
          <w:tblW w:w="0" w:type="auto"/>
          <w:tblInd w:w="482" w:type="dxa"/>
          <w:tblLayout w:type="fixed"/>
          <w:tblCellMar>
            <w:left w:w="0" w:type="dxa"/>
            <w:right w:w="0" w:type="dxa"/>
          </w:tblCellMar>
          <w:tblLook w:val="01E0"/>
        </w:tblPrEx>
        <w:trPr>
          <w:trHeight w:val="286"/>
        </w:trPr>
        <w:tc>
          <w:tcPr>
            <w:tcW w:w="859" w:type="dxa"/>
          </w:tcPr>
          <w:p w:rsidR="003F5784" w14:paraId="263D10FC" w14:textId="77777777">
            <w:pPr>
              <w:pStyle w:val="TableParagraph"/>
              <w:spacing w:before="0"/>
              <w:jc w:val="left"/>
              <w:rPr>
                <w:sz w:val="20"/>
              </w:rPr>
            </w:pPr>
          </w:p>
        </w:tc>
        <w:tc>
          <w:tcPr>
            <w:tcW w:w="2445" w:type="dxa"/>
          </w:tcPr>
          <w:p w:rsidR="003F5784" w14:paraId="0FC14D78" w14:textId="77777777">
            <w:pPr>
              <w:pStyle w:val="TableParagraph"/>
              <w:ind w:left="-16"/>
              <w:jc w:val="left"/>
              <w:rPr>
                <w:sz w:val="21"/>
              </w:rPr>
            </w:pPr>
            <w:r>
              <w:rPr>
                <w:sz w:val="21"/>
              </w:rPr>
              <w:t>National</w:t>
            </w:r>
            <w:r>
              <w:rPr>
                <w:spacing w:val="-9"/>
                <w:sz w:val="21"/>
              </w:rPr>
              <w:t xml:space="preserve"> </w:t>
            </w:r>
            <w:r>
              <w:rPr>
                <w:spacing w:val="-2"/>
                <w:sz w:val="21"/>
              </w:rPr>
              <w:t>private</w:t>
            </w:r>
          </w:p>
        </w:tc>
        <w:tc>
          <w:tcPr>
            <w:tcW w:w="1689" w:type="dxa"/>
          </w:tcPr>
          <w:p w:rsidR="003F5784" w14:paraId="05C5B7BC" w14:textId="77777777">
            <w:pPr>
              <w:pStyle w:val="TableParagraph"/>
              <w:ind w:right="391"/>
              <w:rPr>
                <w:sz w:val="21"/>
              </w:rPr>
            </w:pPr>
            <w:r>
              <w:rPr>
                <w:spacing w:val="-2"/>
                <w:sz w:val="21"/>
              </w:rPr>
              <w:t>87.68</w:t>
            </w:r>
          </w:p>
        </w:tc>
        <w:tc>
          <w:tcPr>
            <w:tcW w:w="3022" w:type="dxa"/>
          </w:tcPr>
          <w:p w:rsidR="003F5784" w14:paraId="0D26512F" w14:textId="77777777">
            <w:pPr>
              <w:pStyle w:val="TableParagraph"/>
              <w:ind w:right="391"/>
              <w:rPr>
                <w:sz w:val="21"/>
              </w:rPr>
            </w:pPr>
            <w:r>
              <w:rPr>
                <w:spacing w:val="-4"/>
                <w:sz w:val="21"/>
              </w:rPr>
              <w:t>0.17</w:t>
            </w:r>
          </w:p>
        </w:tc>
        <w:tc>
          <w:tcPr>
            <w:tcW w:w="2809" w:type="dxa"/>
          </w:tcPr>
          <w:p w:rsidR="003F5784" w14:paraId="12054029" w14:textId="77777777">
            <w:pPr>
              <w:pStyle w:val="TableParagraph"/>
              <w:ind w:right="179"/>
              <w:rPr>
                <w:sz w:val="21"/>
              </w:rPr>
            </w:pPr>
            <w:r>
              <w:rPr>
                <w:spacing w:val="-4"/>
                <w:sz w:val="21"/>
              </w:rPr>
              <w:t>0.50</w:t>
            </w:r>
          </w:p>
        </w:tc>
        <w:tc>
          <w:tcPr>
            <w:tcW w:w="3161" w:type="dxa"/>
          </w:tcPr>
          <w:p w:rsidR="003F5784" w14:paraId="6E7B0E54" w14:textId="77777777">
            <w:pPr>
              <w:pStyle w:val="TableParagraph"/>
              <w:ind w:right="118"/>
              <w:rPr>
                <w:sz w:val="21"/>
              </w:rPr>
            </w:pPr>
            <w:r>
              <w:rPr>
                <w:spacing w:val="-10"/>
                <w:sz w:val="21"/>
              </w:rPr>
              <w:t>#</w:t>
            </w:r>
          </w:p>
        </w:tc>
      </w:tr>
      <w:tr w14:paraId="724E3D8A" w14:textId="77777777">
        <w:tblPrEx>
          <w:tblW w:w="0" w:type="auto"/>
          <w:tblInd w:w="482" w:type="dxa"/>
          <w:tblLayout w:type="fixed"/>
          <w:tblCellMar>
            <w:left w:w="0" w:type="dxa"/>
            <w:right w:w="0" w:type="dxa"/>
          </w:tblCellMar>
          <w:tblLook w:val="01E0"/>
        </w:tblPrEx>
        <w:trPr>
          <w:trHeight w:val="286"/>
        </w:trPr>
        <w:tc>
          <w:tcPr>
            <w:tcW w:w="859" w:type="dxa"/>
          </w:tcPr>
          <w:p w:rsidR="003F5784" w14:paraId="467E651D" w14:textId="77777777">
            <w:pPr>
              <w:pStyle w:val="TableParagraph"/>
              <w:spacing w:before="0"/>
              <w:jc w:val="left"/>
              <w:rPr>
                <w:sz w:val="20"/>
              </w:rPr>
            </w:pPr>
          </w:p>
        </w:tc>
        <w:tc>
          <w:tcPr>
            <w:tcW w:w="2445" w:type="dxa"/>
          </w:tcPr>
          <w:p w:rsidR="003F5784" w14:paraId="79F9F249" w14:textId="77777777">
            <w:pPr>
              <w:pStyle w:val="TableParagraph"/>
              <w:ind w:left="234"/>
              <w:jc w:val="left"/>
              <w:rPr>
                <w:sz w:val="21"/>
              </w:rPr>
            </w:pPr>
            <w:r>
              <w:rPr>
                <w:spacing w:val="-2"/>
                <w:sz w:val="21"/>
              </w:rPr>
              <w:t>Catholic</w:t>
            </w:r>
          </w:p>
        </w:tc>
        <w:tc>
          <w:tcPr>
            <w:tcW w:w="1689" w:type="dxa"/>
          </w:tcPr>
          <w:p w:rsidR="003F5784" w14:paraId="04D0C8D1" w14:textId="77777777">
            <w:pPr>
              <w:pStyle w:val="TableParagraph"/>
              <w:ind w:right="391"/>
              <w:rPr>
                <w:sz w:val="21"/>
              </w:rPr>
            </w:pPr>
            <w:r>
              <w:rPr>
                <w:spacing w:val="-2"/>
                <w:sz w:val="21"/>
              </w:rPr>
              <w:t>87.16</w:t>
            </w:r>
          </w:p>
        </w:tc>
        <w:tc>
          <w:tcPr>
            <w:tcW w:w="3022" w:type="dxa"/>
          </w:tcPr>
          <w:p w:rsidR="003F5784" w14:paraId="58B4BBC9" w14:textId="77777777">
            <w:pPr>
              <w:pStyle w:val="TableParagraph"/>
              <w:ind w:right="391"/>
              <w:rPr>
                <w:sz w:val="21"/>
              </w:rPr>
            </w:pPr>
            <w:r>
              <w:rPr>
                <w:spacing w:val="-4"/>
                <w:sz w:val="21"/>
              </w:rPr>
              <w:t>0.42</w:t>
            </w:r>
          </w:p>
        </w:tc>
        <w:tc>
          <w:tcPr>
            <w:tcW w:w="2809" w:type="dxa"/>
          </w:tcPr>
          <w:p w:rsidR="003F5784" w14:paraId="28950143" w14:textId="77777777">
            <w:pPr>
              <w:pStyle w:val="TableParagraph"/>
              <w:ind w:right="179"/>
              <w:rPr>
                <w:sz w:val="21"/>
              </w:rPr>
            </w:pPr>
            <w:r>
              <w:rPr>
                <w:spacing w:val="-10"/>
                <w:sz w:val="21"/>
              </w:rPr>
              <w:t>#</w:t>
            </w:r>
          </w:p>
        </w:tc>
        <w:tc>
          <w:tcPr>
            <w:tcW w:w="3161" w:type="dxa"/>
          </w:tcPr>
          <w:p w:rsidR="003F5784" w14:paraId="775E28C0" w14:textId="77777777">
            <w:pPr>
              <w:pStyle w:val="TableParagraph"/>
              <w:ind w:right="118"/>
              <w:rPr>
                <w:sz w:val="21"/>
              </w:rPr>
            </w:pPr>
            <w:r>
              <w:rPr>
                <w:spacing w:val="-10"/>
                <w:sz w:val="21"/>
              </w:rPr>
              <w:t>#</w:t>
            </w:r>
          </w:p>
        </w:tc>
      </w:tr>
      <w:tr w14:paraId="0B00D394" w14:textId="77777777">
        <w:tblPrEx>
          <w:tblW w:w="0" w:type="auto"/>
          <w:tblInd w:w="482" w:type="dxa"/>
          <w:tblLayout w:type="fixed"/>
          <w:tblCellMar>
            <w:left w:w="0" w:type="dxa"/>
            <w:right w:w="0" w:type="dxa"/>
          </w:tblCellMar>
          <w:tblLook w:val="01E0"/>
        </w:tblPrEx>
        <w:trPr>
          <w:trHeight w:val="288"/>
        </w:trPr>
        <w:tc>
          <w:tcPr>
            <w:tcW w:w="859" w:type="dxa"/>
            <w:tcBorders>
              <w:bottom w:val="single" w:sz="18" w:space="0" w:color="800000"/>
            </w:tcBorders>
          </w:tcPr>
          <w:p w:rsidR="003F5784" w14:paraId="3E9BD7A3" w14:textId="77777777">
            <w:pPr>
              <w:pStyle w:val="TableParagraph"/>
              <w:spacing w:before="0"/>
              <w:jc w:val="left"/>
              <w:rPr>
                <w:sz w:val="20"/>
              </w:rPr>
            </w:pPr>
          </w:p>
        </w:tc>
        <w:tc>
          <w:tcPr>
            <w:tcW w:w="2445" w:type="dxa"/>
            <w:tcBorders>
              <w:bottom w:val="single" w:sz="18" w:space="0" w:color="800000"/>
            </w:tcBorders>
          </w:tcPr>
          <w:p w:rsidR="003F5784" w14:paraId="7BAC4F78" w14:textId="77777777">
            <w:pPr>
              <w:pStyle w:val="TableParagraph"/>
              <w:ind w:left="234"/>
              <w:jc w:val="left"/>
              <w:rPr>
                <w:sz w:val="21"/>
              </w:rPr>
            </w:pPr>
            <w:r>
              <w:rPr>
                <w:spacing w:val="-2"/>
                <w:sz w:val="21"/>
              </w:rPr>
              <w:t>Non-Catholic</w:t>
            </w:r>
          </w:p>
        </w:tc>
        <w:tc>
          <w:tcPr>
            <w:tcW w:w="1689" w:type="dxa"/>
            <w:tcBorders>
              <w:bottom w:val="single" w:sz="18" w:space="0" w:color="800000"/>
            </w:tcBorders>
          </w:tcPr>
          <w:p w:rsidR="003F5784" w14:paraId="1C71A4D5" w14:textId="77777777">
            <w:pPr>
              <w:pStyle w:val="TableParagraph"/>
              <w:ind w:right="391"/>
              <w:rPr>
                <w:sz w:val="21"/>
              </w:rPr>
            </w:pPr>
            <w:r>
              <w:rPr>
                <w:spacing w:val="-2"/>
                <w:sz w:val="21"/>
              </w:rPr>
              <w:t>89.97</w:t>
            </w:r>
          </w:p>
        </w:tc>
        <w:tc>
          <w:tcPr>
            <w:tcW w:w="3022" w:type="dxa"/>
            <w:tcBorders>
              <w:bottom w:val="single" w:sz="18" w:space="0" w:color="800000"/>
            </w:tcBorders>
          </w:tcPr>
          <w:p w:rsidR="003F5784" w14:paraId="4ECD4B21" w14:textId="77777777">
            <w:pPr>
              <w:pStyle w:val="TableParagraph"/>
              <w:ind w:right="391"/>
              <w:rPr>
                <w:sz w:val="21"/>
              </w:rPr>
            </w:pPr>
            <w:r>
              <w:rPr>
                <w:spacing w:val="-10"/>
                <w:sz w:val="21"/>
              </w:rPr>
              <w:t>#</w:t>
            </w:r>
          </w:p>
        </w:tc>
        <w:tc>
          <w:tcPr>
            <w:tcW w:w="2809" w:type="dxa"/>
            <w:tcBorders>
              <w:bottom w:val="single" w:sz="18" w:space="0" w:color="800000"/>
            </w:tcBorders>
          </w:tcPr>
          <w:p w:rsidR="003F5784" w14:paraId="34C82354" w14:textId="77777777">
            <w:pPr>
              <w:pStyle w:val="TableParagraph"/>
              <w:ind w:right="179"/>
              <w:rPr>
                <w:sz w:val="21"/>
              </w:rPr>
            </w:pPr>
            <w:r>
              <w:rPr>
                <w:spacing w:val="-4"/>
                <w:sz w:val="21"/>
              </w:rPr>
              <w:t>0.83</w:t>
            </w:r>
          </w:p>
        </w:tc>
        <w:tc>
          <w:tcPr>
            <w:tcW w:w="3161" w:type="dxa"/>
            <w:tcBorders>
              <w:bottom w:val="single" w:sz="18" w:space="0" w:color="800000"/>
            </w:tcBorders>
          </w:tcPr>
          <w:p w:rsidR="003F5784" w14:paraId="7D002E65" w14:textId="77777777">
            <w:pPr>
              <w:pStyle w:val="TableParagraph"/>
              <w:ind w:right="118"/>
              <w:rPr>
                <w:sz w:val="21"/>
              </w:rPr>
            </w:pPr>
            <w:r>
              <w:rPr>
                <w:spacing w:val="-10"/>
                <w:sz w:val="21"/>
              </w:rPr>
              <w:t>#</w:t>
            </w:r>
          </w:p>
        </w:tc>
      </w:tr>
      <w:tr w14:paraId="28B65EA7" w14:textId="77777777">
        <w:tblPrEx>
          <w:tblW w:w="0" w:type="auto"/>
          <w:tblInd w:w="482" w:type="dxa"/>
          <w:tblLayout w:type="fixed"/>
          <w:tblCellMar>
            <w:left w:w="0" w:type="dxa"/>
            <w:right w:w="0" w:type="dxa"/>
          </w:tblCellMar>
          <w:tblLook w:val="01E0"/>
        </w:tblPrEx>
        <w:trPr>
          <w:trHeight w:val="204"/>
        </w:trPr>
        <w:tc>
          <w:tcPr>
            <w:tcW w:w="4993" w:type="dxa"/>
            <w:gridSpan w:val="3"/>
            <w:tcBorders>
              <w:top w:val="single" w:sz="18" w:space="0" w:color="800000"/>
            </w:tcBorders>
          </w:tcPr>
          <w:p w:rsidR="003F5784" w14:paraId="39C1840C" w14:textId="77777777">
            <w:pPr>
              <w:pStyle w:val="TableParagraph"/>
              <w:spacing w:before="10" w:line="174" w:lineRule="exact"/>
              <w:ind w:left="120" w:right="-44"/>
              <w:jc w:val="left"/>
              <w:rPr>
                <w:sz w:val="21"/>
              </w:rPr>
            </w:pPr>
            <w:r>
              <w:rPr>
                <w:position w:val="8"/>
                <w:sz w:val="17"/>
              </w:rPr>
              <w:t>1</w:t>
            </w:r>
            <w:r>
              <w:rPr>
                <w:sz w:val="21"/>
              </w:rPr>
              <w:t>Includes</w:t>
            </w:r>
            <w:r>
              <w:rPr>
                <w:spacing w:val="-7"/>
                <w:sz w:val="21"/>
              </w:rPr>
              <w:t xml:space="preserve"> </w:t>
            </w:r>
            <w:r>
              <w:rPr>
                <w:sz w:val="21"/>
              </w:rPr>
              <w:t>national</w:t>
            </w:r>
            <w:r>
              <w:rPr>
                <w:spacing w:val="-7"/>
                <w:sz w:val="21"/>
              </w:rPr>
              <w:t xml:space="preserve"> </w:t>
            </w:r>
            <w:r>
              <w:rPr>
                <w:sz w:val="21"/>
              </w:rPr>
              <w:t>public,</w:t>
            </w:r>
            <w:r>
              <w:rPr>
                <w:spacing w:val="-6"/>
                <w:sz w:val="21"/>
              </w:rPr>
              <w:t xml:space="preserve"> </w:t>
            </w:r>
            <w:r>
              <w:rPr>
                <w:sz w:val="21"/>
              </w:rPr>
              <w:t>national</w:t>
            </w:r>
            <w:r>
              <w:rPr>
                <w:spacing w:val="-7"/>
                <w:sz w:val="21"/>
              </w:rPr>
              <w:t xml:space="preserve"> </w:t>
            </w:r>
            <w:r>
              <w:rPr>
                <w:sz w:val="21"/>
              </w:rPr>
              <w:t>private,</w:t>
            </w:r>
            <w:r>
              <w:rPr>
                <w:spacing w:val="-6"/>
                <w:sz w:val="21"/>
              </w:rPr>
              <w:t xml:space="preserve"> </w:t>
            </w:r>
            <w:r>
              <w:rPr>
                <w:sz w:val="21"/>
              </w:rPr>
              <w:t>Bureau</w:t>
            </w:r>
            <w:r>
              <w:rPr>
                <w:spacing w:val="-7"/>
                <w:sz w:val="21"/>
              </w:rPr>
              <w:t xml:space="preserve"> </w:t>
            </w:r>
            <w:r>
              <w:rPr>
                <w:sz w:val="21"/>
              </w:rPr>
              <w:t>of</w:t>
            </w:r>
            <w:r>
              <w:rPr>
                <w:spacing w:val="-6"/>
                <w:sz w:val="21"/>
              </w:rPr>
              <w:t xml:space="preserve"> </w:t>
            </w:r>
            <w:r>
              <w:rPr>
                <w:spacing w:val="-2"/>
                <w:sz w:val="21"/>
              </w:rPr>
              <w:t>India</w:t>
            </w:r>
          </w:p>
        </w:tc>
        <w:tc>
          <w:tcPr>
            <w:tcW w:w="3022" w:type="dxa"/>
            <w:tcBorders>
              <w:top w:val="single" w:sz="18" w:space="0" w:color="800000"/>
            </w:tcBorders>
          </w:tcPr>
          <w:p w:rsidR="003F5784" w14:paraId="4FF38B70" w14:textId="77777777">
            <w:pPr>
              <w:pStyle w:val="TableParagraph"/>
              <w:spacing w:before="53" w:line="131" w:lineRule="exact"/>
              <w:ind w:left="37" w:right="-58"/>
              <w:jc w:val="left"/>
              <w:rPr>
                <w:sz w:val="21"/>
              </w:rPr>
            </w:pPr>
            <w:r>
              <w:rPr>
                <w:sz w:val="21"/>
              </w:rPr>
              <w:t>n</w:t>
            </w:r>
            <w:r>
              <w:rPr>
                <w:spacing w:val="-6"/>
                <w:sz w:val="21"/>
              </w:rPr>
              <w:t xml:space="preserve"> </w:t>
            </w:r>
            <w:r>
              <w:rPr>
                <w:sz w:val="21"/>
              </w:rPr>
              <w:t>Education,</w:t>
            </w:r>
            <w:r>
              <w:rPr>
                <w:spacing w:val="-6"/>
                <w:sz w:val="21"/>
              </w:rPr>
              <w:t xml:space="preserve"> </w:t>
            </w:r>
            <w:r>
              <w:rPr>
                <w:sz w:val="21"/>
              </w:rPr>
              <w:t>and</w:t>
            </w:r>
            <w:r>
              <w:rPr>
                <w:spacing w:val="-6"/>
                <w:sz w:val="21"/>
              </w:rPr>
              <w:t xml:space="preserve"> </w:t>
            </w:r>
            <w:r>
              <w:rPr>
                <w:sz w:val="21"/>
              </w:rPr>
              <w:t>Department</w:t>
            </w:r>
            <w:r>
              <w:rPr>
                <w:spacing w:val="-6"/>
                <w:sz w:val="21"/>
              </w:rPr>
              <w:t xml:space="preserve"> </w:t>
            </w:r>
            <w:r>
              <w:rPr>
                <w:sz w:val="21"/>
              </w:rPr>
              <w:t>of</w:t>
            </w:r>
            <w:r>
              <w:rPr>
                <w:spacing w:val="-6"/>
                <w:sz w:val="21"/>
              </w:rPr>
              <w:t xml:space="preserve"> </w:t>
            </w:r>
            <w:r>
              <w:rPr>
                <w:spacing w:val="-5"/>
                <w:sz w:val="21"/>
              </w:rPr>
              <w:t>Def</w:t>
            </w:r>
          </w:p>
        </w:tc>
        <w:tc>
          <w:tcPr>
            <w:tcW w:w="2809" w:type="dxa"/>
            <w:tcBorders>
              <w:top w:val="single" w:sz="18" w:space="0" w:color="800000"/>
            </w:tcBorders>
          </w:tcPr>
          <w:p w:rsidR="003F5784" w14:paraId="4D3921AD" w14:textId="77777777">
            <w:pPr>
              <w:pStyle w:val="TableParagraph"/>
              <w:spacing w:before="53" w:line="131" w:lineRule="exact"/>
              <w:ind w:right="87"/>
              <w:rPr>
                <w:sz w:val="21"/>
              </w:rPr>
            </w:pPr>
            <w:r>
              <w:rPr>
                <w:sz w:val="21"/>
              </w:rPr>
              <w:t>ense</w:t>
            </w:r>
            <w:r>
              <w:rPr>
                <w:spacing w:val="-13"/>
                <w:sz w:val="21"/>
              </w:rPr>
              <w:t xml:space="preserve"> </w:t>
            </w:r>
            <w:r>
              <w:rPr>
                <w:sz w:val="21"/>
              </w:rPr>
              <w:t>Education</w:t>
            </w:r>
            <w:r>
              <w:rPr>
                <w:spacing w:val="-13"/>
                <w:sz w:val="21"/>
              </w:rPr>
              <w:t xml:space="preserve"> </w:t>
            </w:r>
            <w:r>
              <w:rPr>
                <w:sz w:val="21"/>
              </w:rPr>
              <w:t>Activity</w:t>
            </w:r>
            <w:r>
              <w:rPr>
                <w:spacing w:val="-8"/>
                <w:sz w:val="21"/>
              </w:rPr>
              <w:t xml:space="preserve"> </w:t>
            </w:r>
            <w:r>
              <w:rPr>
                <w:spacing w:val="-2"/>
                <w:sz w:val="21"/>
              </w:rPr>
              <w:t>schools</w:t>
            </w:r>
          </w:p>
        </w:tc>
        <w:tc>
          <w:tcPr>
            <w:tcW w:w="3161" w:type="dxa"/>
            <w:tcBorders>
              <w:top w:val="single" w:sz="18" w:space="0" w:color="800000"/>
            </w:tcBorders>
          </w:tcPr>
          <w:p w:rsidR="003F5784" w14:paraId="23CDC975" w14:textId="77777777">
            <w:pPr>
              <w:pStyle w:val="TableParagraph"/>
              <w:spacing w:before="53" w:line="131" w:lineRule="exact"/>
              <w:ind w:left="-38"/>
              <w:jc w:val="left"/>
              <w:rPr>
                <w:sz w:val="21"/>
              </w:rPr>
            </w:pPr>
            <w:r>
              <w:rPr>
                <w:sz w:val="21"/>
              </w:rPr>
              <w:t>located</w:t>
            </w:r>
            <w:r>
              <w:rPr>
                <w:spacing w:val="-5"/>
                <w:sz w:val="21"/>
              </w:rPr>
              <w:t xml:space="preserve"> </w:t>
            </w:r>
            <w:r>
              <w:rPr>
                <w:sz w:val="21"/>
              </w:rPr>
              <w:t>in</w:t>
            </w:r>
            <w:r>
              <w:rPr>
                <w:spacing w:val="-5"/>
                <w:sz w:val="21"/>
              </w:rPr>
              <w:t xml:space="preserve"> </w:t>
            </w:r>
            <w:r>
              <w:rPr>
                <w:sz w:val="21"/>
              </w:rPr>
              <w:t>the</w:t>
            </w:r>
            <w:r>
              <w:rPr>
                <w:spacing w:val="-5"/>
                <w:sz w:val="21"/>
              </w:rPr>
              <w:t xml:space="preserve"> </w:t>
            </w:r>
            <w:r>
              <w:rPr>
                <w:sz w:val="21"/>
              </w:rPr>
              <w:t>United</w:t>
            </w:r>
            <w:r>
              <w:rPr>
                <w:spacing w:val="-5"/>
                <w:sz w:val="21"/>
              </w:rPr>
              <w:t xml:space="preserve"> </w:t>
            </w:r>
            <w:r>
              <w:rPr>
                <w:spacing w:val="-2"/>
                <w:sz w:val="21"/>
              </w:rPr>
              <w:t>States.</w:t>
            </w:r>
          </w:p>
        </w:tc>
      </w:tr>
    </w:tbl>
    <w:p w:rsidR="003F5784" w14:paraId="7759FBA4" w14:textId="77777777">
      <w:pPr>
        <w:pStyle w:val="BodyText"/>
        <w:spacing w:before="96" w:line="232" w:lineRule="auto"/>
        <w:ind w:left="595" w:right="588"/>
      </w:pPr>
      <w:r>
        <w:t>NOTE:</w:t>
      </w:r>
      <w:r>
        <w:rPr>
          <w:spacing w:val="-7"/>
        </w:rPr>
        <w:t xml:space="preserve"> </w:t>
      </w:r>
      <w:r>
        <w:t>National</w:t>
      </w:r>
      <w:r>
        <w:rPr>
          <w:spacing w:val="-7"/>
        </w:rPr>
        <w:t xml:space="preserve"> </w:t>
      </w:r>
      <w:r>
        <w:t>public</w:t>
      </w:r>
      <w:r>
        <w:rPr>
          <w:spacing w:val="-7"/>
        </w:rPr>
        <w:t xml:space="preserve"> </w:t>
      </w:r>
      <w:r>
        <w:t>includes</w:t>
      </w:r>
      <w:r>
        <w:rPr>
          <w:spacing w:val="-7"/>
        </w:rPr>
        <w:t xml:space="preserve"> </w:t>
      </w:r>
      <w:r>
        <w:t>students</w:t>
      </w:r>
      <w:r>
        <w:rPr>
          <w:spacing w:val="-7"/>
        </w:rPr>
        <w:t xml:space="preserve"> </w:t>
      </w:r>
      <w:r>
        <w:t>from</w:t>
      </w:r>
      <w:r>
        <w:rPr>
          <w:spacing w:val="-7"/>
        </w:rPr>
        <w:t xml:space="preserve"> </w:t>
      </w:r>
      <w:r>
        <w:t>public</w:t>
      </w:r>
      <w:r>
        <w:rPr>
          <w:spacing w:val="-7"/>
        </w:rPr>
        <w:t xml:space="preserve"> </w:t>
      </w:r>
      <w:r>
        <w:t>schools</w:t>
      </w:r>
      <w:r>
        <w:rPr>
          <w:spacing w:val="-7"/>
        </w:rPr>
        <w:t xml:space="preserve"> </w:t>
      </w:r>
      <w:r>
        <w:t>only.</w:t>
      </w:r>
      <w:r>
        <w:rPr>
          <w:spacing w:val="-7"/>
        </w:rPr>
        <w:t xml:space="preserve"> </w:t>
      </w:r>
      <w:r>
        <w:t>It</w:t>
      </w:r>
      <w:r>
        <w:rPr>
          <w:spacing w:val="-7"/>
        </w:rPr>
        <w:t xml:space="preserve"> </w:t>
      </w:r>
      <w:r>
        <w:t>includes</w:t>
      </w:r>
      <w:r>
        <w:rPr>
          <w:spacing w:val="-7"/>
        </w:rPr>
        <w:t xml:space="preserve"> </w:t>
      </w:r>
      <w:r>
        <w:t>charter</w:t>
      </w:r>
      <w:r>
        <w:rPr>
          <w:spacing w:val="-7"/>
        </w:rPr>
        <w:t xml:space="preserve"> </w:t>
      </w:r>
      <w:r>
        <w:t>schools,</w:t>
      </w:r>
      <w:r>
        <w:rPr>
          <w:spacing w:val="-7"/>
        </w:rPr>
        <w:t xml:space="preserve"> </w:t>
      </w:r>
      <w:r>
        <w:t>but</w:t>
      </w:r>
      <w:r>
        <w:rPr>
          <w:spacing w:val="-7"/>
        </w:rPr>
        <w:t xml:space="preserve"> </w:t>
      </w:r>
      <w:r>
        <w:t>excludes</w:t>
      </w:r>
      <w:r>
        <w:rPr>
          <w:spacing w:val="-7"/>
        </w:rPr>
        <w:t xml:space="preserve"> </w:t>
      </w:r>
      <w:r>
        <w:t>Bureau</w:t>
      </w:r>
      <w:r>
        <w:rPr>
          <w:spacing w:val="-7"/>
        </w:rPr>
        <w:t xml:space="preserve"> </w:t>
      </w:r>
      <w:r>
        <w:t>of</w:t>
      </w:r>
      <w:r>
        <w:rPr>
          <w:spacing w:val="-7"/>
        </w:rPr>
        <w:t xml:space="preserve"> </w:t>
      </w:r>
      <w:r>
        <w:t>Indian</w:t>
      </w:r>
      <w:r>
        <w:rPr>
          <w:spacing w:val="-7"/>
        </w:rPr>
        <w:t xml:space="preserve"> </w:t>
      </w:r>
      <w:r>
        <w:t>Education</w:t>
      </w:r>
      <w:r>
        <w:rPr>
          <w:spacing w:val="-7"/>
        </w:rPr>
        <w:t xml:space="preserve"> </w:t>
      </w:r>
      <w:r>
        <w:t>schools</w:t>
      </w:r>
      <w:r>
        <w:rPr>
          <w:spacing w:val="-7"/>
        </w:rPr>
        <w:t xml:space="preserve"> </w:t>
      </w:r>
      <w:r>
        <w:t>and</w:t>
      </w:r>
      <w:r>
        <w:rPr>
          <w:spacing w:val="-7"/>
        </w:rPr>
        <w:t xml:space="preserve"> </w:t>
      </w:r>
      <w:r>
        <w:t>Department</w:t>
      </w:r>
      <w:r>
        <w:rPr>
          <w:spacing w:val="-7"/>
        </w:rPr>
        <w:t xml:space="preserve"> </w:t>
      </w:r>
      <w:r>
        <w:t>of Defense Education</w:t>
      </w:r>
      <w:r>
        <w:rPr>
          <w:spacing w:val="-10"/>
        </w:rPr>
        <w:t xml:space="preserve"> </w:t>
      </w:r>
      <w:r>
        <w:t>Activity schools. It is used when comparing national data to those of states, urban districts, or regions. SD = students with disabilities; EL</w:t>
      </w:r>
      <w:r>
        <w:rPr>
          <w:spacing w:val="-7"/>
        </w:rPr>
        <w:t xml:space="preserve"> </w:t>
      </w:r>
      <w:r>
        <w:t>= English learners.</w:t>
      </w:r>
    </w:p>
    <w:p w:rsidR="003F5784" w14:paraId="5217ADA6" w14:textId="77777777">
      <w:pPr>
        <w:pStyle w:val="BodyText"/>
        <w:spacing w:before="1"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Reading Assessment.</w:t>
      </w:r>
    </w:p>
    <w:p w:rsidR="003F5784" w14:paraId="716DA8DF" w14:textId="77777777">
      <w:pPr>
        <w:pStyle w:val="BodyText"/>
      </w:pPr>
    </w:p>
    <w:p w:rsidR="003F5784" w14:paraId="16F45E9D" w14:textId="77777777">
      <w:pPr>
        <w:pStyle w:val="BodyText"/>
      </w:pPr>
    </w:p>
    <w:p w:rsidR="003F5784" w14:paraId="37DE5A38" w14:textId="77777777">
      <w:pPr>
        <w:pStyle w:val="BodyText"/>
        <w:spacing w:before="198"/>
      </w:pPr>
    </w:p>
    <w:p w:rsidR="003F5784" w14:paraId="6837DE1F" w14:textId="77777777">
      <w:pPr>
        <w:ind w:left="2800"/>
        <w:rPr>
          <w:sz w:val="18"/>
        </w:rPr>
      </w:pPr>
      <w:hyperlink r:id="rId192">
        <w:r>
          <w:rPr>
            <w:spacing w:val="-2"/>
            <w:w w:val="105"/>
            <w:sz w:val="18"/>
          </w:rPr>
          <w:t>http://nces.ed.gov/nationsreportcard/tdw/sample_design/2022/student_response_and_exclusion_rates_for_the_2022_long_term_trend_reading_assessment.aspx</w:t>
        </w:r>
      </w:hyperlink>
    </w:p>
    <w:p w:rsidR="003F5784" w14:paraId="42514BEA" w14:textId="77777777">
      <w:pPr>
        <w:pStyle w:val="BodyText"/>
        <w:rPr>
          <w:sz w:val="16"/>
        </w:rPr>
      </w:pPr>
      <w:r>
        <w:rPr>
          <w:noProof/>
        </w:rPr>
        <mc:AlternateContent>
          <mc:Choice Requires="wps">
            <w:drawing>
              <wp:anchor distT="0" distB="0" distL="0" distR="0" simplePos="0" relativeHeight="251878400" behindDoc="1" locked="0" layoutInCell="1" allowOverlap="1">
                <wp:simplePos x="0" y="0"/>
                <wp:positionH relativeFrom="page">
                  <wp:posOffset>361937</wp:posOffset>
                </wp:positionH>
                <wp:positionV relativeFrom="paragraph">
                  <wp:posOffset>132047</wp:posOffset>
                </wp:positionV>
                <wp:extent cx="9339580" cy="8890"/>
                <wp:effectExtent l="0" t="0" r="0" b="0"/>
                <wp:wrapTopAndBottom/>
                <wp:docPr id="218" name="Graphic 21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67"/>
                              </a:lnTo>
                              <a:lnTo>
                                <a:pt x="9335110" y="8280"/>
                              </a:lnTo>
                              <a:lnTo>
                                <a:pt x="9338970" y="8280"/>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18" o:spid="_x0000_s1109" style="width:735.4pt;height:0.7pt;margin-top:10.4pt;margin-left:28.5pt;mso-position-horizontal-relative:page;mso-wrap-distance-bottom:0;mso-wrap-distance-left:0;mso-wrap-distance-right:0;mso-wrap-distance-top:0;mso-wrap-style:square;position:absolute;visibility:visible;v-text-anchor:top;z-index:-251437056" coordsize="9339580,8890" path="m9338970,12l9335110,12l8280,12,,,,8267l9335110,8280l9338970,8280l9338970,12xe" fillcolor="gray" stroked="f">
                <v:path arrowok="t"/>
                <w10:wrap type="topAndBottom"/>
              </v:shape>
            </w:pict>
          </mc:Fallback>
        </mc:AlternateContent>
      </w:r>
    </w:p>
    <w:p w:rsidR="003F5784" w14:paraId="43DA2520" w14:textId="77777777">
      <w:pPr>
        <w:rPr>
          <w:sz w:val="16"/>
        </w:rPr>
        <w:sectPr>
          <w:pgSz w:w="15840" w:h="12240" w:orient="landscape"/>
          <w:pgMar w:top="480" w:right="440" w:bottom="460" w:left="460" w:header="284" w:footer="275" w:gutter="0"/>
          <w:cols w:space="720"/>
        </w:sectPr>
      </w:pPr>
    </w:p>
    <w:p w:rsidR="003F5784" w14:paraId="22CF23A7" w14:textId="77777777">
      <w:pPr>
        <w:pStyle w:val="BodyText"/>
        <w:spacing w:before="118"/>
        <w:rPr>
          <w:sz w:val="41"/>
        </w:rPr>
      </w:pPr>
    </w:p>
    <w:p w:rsidR="003F5784" w14:paraId="7F978E23" w14:textId="2E724917">
      <w:pPr>
        <w:pStyle w:val="Heading1"/>
        <w:spacing w:line="244" w:lineRule="auto"/>
        <w:ind w:right="318"/>
      </w:pPr>
      <w:r>
        <w:t>NAEP</w:t>
      </w:r>
      <w:r>
        <w:rPr>
          <w:spacing w:val="-15"/>
        </w:rPr>
        <w:t xml:space="preserve"> </w:t>
      </w:r>
      <w:r>
        <w:t>Technical Documentation</w:t>
      </w:r>
      <w:r w:rsidR="005F7E54">
        <w:t xml:space="preserve"> </w:t>
      </w:r>
      <w:r>
        <w:t>Selection of Primary Sampling Units (PSUs) for the 2022 Assessment</w:t>
      </w:r>
    </w:p>
    <w:p w:rsidR="003F5784" w14:paraId="7434D810" w14:textId="77777777">
      <w:pPr>
        <w:pStyle w:val="BodyText"/>
        <w:spacing w:before="6"/>
        <w:rPr>
          <w:b/>
          <w:sz w:val="16"/>
        </w:rPr>
      </w:pPr>
    </w:p>
    <w:p w:rsidR="003F5784" w14:paraId="2A51C7B0" w14:textId="77777777">
      <w:pPr>
        <w:rPr>
          <w:sz w:val="16"/>
        </w:rPr>
        <w:sectPr>
          <w:pgSz w:w="15840" w:h="12240" w:orient="landscape"/>
          <w:pgMar w:top="480" w:right="440" w:bottom="460" w:left="460" w:header="284" w:footer="275" w:gutter="0"/>
          <w:cols w:space="720"/>
        </w:sectPr>
      </w:pPr>
    </w:p>
    <w:p w:rsidR="003F5784" w14:paraId="1E6677BE" w14:textId="77777777">
      <w:pPr>
        <w:pStyle w:val="BodyText"/>
        <w:spacing w:before="96" w:line="232" w:lineRule="auto"/>
        <w:ind w:left="109"/>
      </w:pPr>
      <w:r>
        <w:t>The</w:t>
      </w:r>
      <w:r>
        <w:rPr>
          <w:spacing w:val="-10"/>
        </w:rPr>
        <w:t xml:space="preserve"> </w:t>
      </w:r>
      <w:r>
        <w:t>first</w:t>
      </w:r>
      <w:r>
        <w:rPr>
          <w:spacing w:val="-6"/>
        </w:rPr>
        <w:t xml:space="preserve"> </w:t>
      </w:r>
      <w:r>
        <w:t>stage</w:t>
      </w:r>
      <w:r>
        <w:rPr>
          <w:spacing w:val="-6"/>
        </w:rPr>
        <w:t xml:space="preserve"> </w:t>
      </w:r>
      <w:r>
        <w:t>of</w:t>
      </w:r>
      <w:r>
        <w:rPr>
          <w:spacing w:val="-6"/>
        </w:rPr>
        <w:t xml:space="preserve"> </w:t>
      </w:r>
      <w:r>
        <w:t>sampling</w:t>
      </w:r>
      <w:r>
        <w:rPr>
          <w:spacing w:val="-6"/>
        </w:rPr>
        <w:t xml:space="preserve"> </w:t>
      </w:r>
      <w:r>
        <w:t>for</w:t>
      </w:r>
      <w:r>
        <w:rPr>
          <w:spacing w:val="-6"/>
        </w:rPr>
        <w:t xml:space="preserve"> </w:t>
      </w:r>
      <w:r>
        <w:t>the</w:t>
      </w:r>
      <w:r>
        <w:rPr>
          <w:spacing w:val="-6"/>
        </w:rPr>
        <w:t xml:space="preserve"> </w:t>
      </w:r>
      <w:r>
        <w:t>2022</w:t>
      </w:r>
      <w:r>
        <w:rPr>
          <w:spacing w:val="-6"/>
        </w:rPr>
        <w:t xml:space="preserve"> </w:t>
      </w:r>
      <w:r>
        <w:t>assessment</w:t>
      </w:r>
      <w:r>
        <w:rPr>
          <w:spacing w:val="-6"/>
        </w:rPr>
        <w:t xml:space="preserve"> </w:t>
      </w:r>
      <w:r>
        <w:t>was</w:t>
      </w:r>
      <w:r>
        <w:rPr>
          <w:spacing w:val="-6"/>
        </w:rPr>
        <w:t xml:space="preserve"> </w:t>
      </w:r>
      <w:r>
        <w:t>the</w:t>
      </w:r>
      <w:r>
        <w:rPr>
          <w:spacing w:val="-6"/>
        </w:rPr>
        <w:t xml:space="preserve"> </w:t>
      </w:r>
      <w:r>
        <w:t>selection</w:t>
      </w:r>
      <w:r>
        <w:rPr>
          <w:spacing w:val="-6"/>
        </w:rPr>
        <w:t xml:space="preserve"> </w:t>
      </w:r>
      <w:r>
        <w:t>of</w:t>
      </w:r>
      <w:r>
        <w:rPr>
          <w:spacing w:val="-6"/>
        </w:rPr>
        <w:t xml:space="preserve"> </w:t>
      </w:r>
      <w:r>
        <w:t>primary</w:t>
      </w:r>
      <w:r>
        <w:rPr>
          <w:spacing w:val="-6"/>
        </w:rPr>
        <w:t xml:space="preserve"> </w:t>
      </w:r>
      <w:r>
        <w:t>sampling</w:t>
      </w:r>
      <w:r>
        <w:rPr>
          <w:spacing w:val="-6"/>
        </w:rPr>
        <w:t xml:space="preserve"> </w:t>
      </w:r>
      <w:r>
        <w:t>units</w:t>
      </w:r>
      <w:r>
        <w:rPr>
          <w:spacing w:val="-6"/>
        </w:rPr>
        <w:t xml:space="preserve"> </w:t>
      </w:r>
      <w:r>
        <w:t>(PSUs).</w:t>
      </w:r>
      <w:r>
        <w:rPr>
          <w:spacing w:val="-14"/>
        </w:rPr>
        <w:t xml:space="preserve"> </w:t>
      </w:r>
      <w:r>
        <w:t>A</w:t>
      </w:r>
      <w:r>
        <w:rPr>
          <w:spacing w:val="-13"/>
        </w:rPr>
        <w:t xml:space="preserve"> </w:t>
      </w:r>
      <w:r>
        <w:t>PSU</w:t>
      </w:r>
      <w:r>
        <w:rPr>
          <w:spacing w:val="-5"/>
        </w:rPr>
        <w:t xml:space="preserve"> </w:t>
      </w:r>
      <w:r>
        <w:t>is</w:t>
      </w:r>
      <w:r>
        <w:rPr>
          <w:spacing w:val="-6"/>
        </w:rPr>
        <w:t xml:space="preserve"> </w:t>
      </w:r>
      <w:r>
        <w:t>a</w:t>
      </w:r>
      <w:r>
        <w:rPr>
          <w:spacing w:val="-6"/>
        </w:rPr>
        <w:t xml:space="preserve"> </w:t>
      </w:r>
      <w:r>
        <w:t>geographic</w:t>
      </w:r>
      <w:r>
        <w:rPr>
          <w:spacing w:val="-6"/>
        </w:rPr>
        <w:t xml:space="preserve"> </w:t>
      </w:r>
      <w:r>
        <w:t>area comprising an individual county or a group of contiguous counties. One set of 105 PSUs was selected for the 2020 long-term</w:t>
      </w:r>
    </w:p>
    <w:p w:rsidR="003F5784" w14:paraId="5C0C6E77" w14:textId="77777777">
      <w:pPr>
        <w:pStyle w:val="BodyText"/>
        <w:spacing w:line="236" w:lineRule="exact"/>
        <w:ind w:left="109"/>
      </w:pPr>
      <w:r>
        <w:t>trend</w:t>
      </w:r>
      <w:r>
        <w:rPr>
          <w:spacing w:val="-8"/>
        </w:rPr>
        <w:t xml:space="preserve"> </w:t>
      </w:r>
      <w:r>
        <w:t>(LTT)</w:t>
      </w:r>
      <w:r>
        <w:rPr>
          <w:spacing w:val="-7"/>
        </w:rPr>
        <w:t xml:space="preserve"> </w:t>
      </w:r>
      <w:r>
        <w:t>assessments.</w:t>
      </w:r>
      <w:r>
        <w:rPr>
          <w:spacing w:val="-11"/>
        </w:rPr>
        <w:t xml:space="preserve"> </w:t>
      </w:r>
      <w:r>
        <w:t>The</w:t>
      </w:r>
      <w:r>
        <w:rPr>
          <w:spacing w:val="-7"/>
        </w:rPr>
        <w:t xml:space="preserve"> </w:t>
      </w:r>
      <w:r>
        <w:t>same</w:t>
      </w:r>
      <w:r>
        <w:rPr>
          <w:spacing w:val="-8"/>
        </w:rPr>
        <w:t xml:space="preserve"> </w:t>
      </w:r>
      <w:r>
        <w:t>set</w:t>
      </w:r>
      <w:r>
        <w:rPr>
          <w:spacing w:val="-7"/>
        </w:rPr>
        <w:t xml:space="preserve"> </w:t>
      </w:r>
      <w:r>
        <w:t>of</w:t>
      </w:r>
      <w:r>
        <w:rPr>
          <w:spacing w:val="-8"/>
        </w:rPr>
        <w:t xml:space="preserve"> </w:t>
      </w:r>
      <w:r>
        <w:t>PSUs</w:t>
      </w:r>
      <w:r>
        <w:rPr>
          <w:spacing w:val="-7"/>
        </w:rPr>
        <w:t xml:space="preserve"> </w:t>
      </w:r>
      <w:r>
        <w:t>used</w:t>
      </w:r>
      <w:r>
        <w:rPr>
          <w:spacing w:val="-7"/>
        </w:rPr>
        <w:t xml:space="preserve"> </w:t>
      </w:r>
      <w:r>
        <w:t>for</w:t>
      </w:r>
      <w:r>
        <w:rPr>
          <w:spacing w:val="-8"/>
        </w:rPr>
        <w:t xml:space="preserve"> </w:t>
      </w:r>
      <w:r>
        <w:t>the</w:t>
      </w:r>
      <w:r>
        <w:rPr>
          <w:spacing w:val="-7"/>
        </w:rPr>
        <w:t xml:space="preserve"> </w:t>
      </w:r>
      <w:r>
        <w:t>2020</w:t>
      </w:r>
      <w:r>
        <w:rPr>
          <w:spacing w:val="-7"/>
        </w:rPr>
        <w:t xml:space="preserve"> </w:t>
      </w:r>
      <w:r>
        <w:t>assessments</w:t>
      </w:r>
      <w:r>
        <w:rPr>
          <w:spacing w:val="-8"/>
        </w:rPr>
        <w:t xml:space="preserve"> </w:t>
      </w:r>
      <w:r>
        <w:t>was</w:t>
      </w:r>
      <w:r>
        <w:rPr>
          <w:spacing w:val="-7"/>
        </w:rPr>
        <w:t xml:space="preserve"> </w:t>
      </w:r>
      <w:r>
        <w:t>used</w:t>
      </w:r>
      <w:r>
        <w:rPr>
          <w:spacing w:val="-7"/>
        </w:rPr>
        <w:t xml:space="preserve"> </w:t>
      </w:r>
      <w:r>
        <w:t>for</w:t>
      </w:r>
      <w:r>
        <w:rPr>
          <w:spacing w:val="-8"/>
        </w:rPr>
        <w:t xml:space="preserve"> </w:t>
      </w:r>
      <w:r>
        <w:t>the</w:t>
      </w:r>
      <w:r>
        <w:rPr>
          <w:spacing w:val="-7"/>
        </w:rPr>
        <w:t xml:space="preserve"> </w:t>
      </w:r>
      <w:r>
        <w:t>2022</w:t>
      </w:r>
      <w:r>
        <w:rPr>
          <w:spacing w:val="-8"/>
        </w:rPr>
        <w:t xml:space="preserve"> </w:t>
      </w:r>
      <w:r>
        <w:t>LTT</w:t>
      </w:r>
      <w:r>
        <w:rPr>
          <w:spacing w:val="-10"/>
        </w:rPr>
        <w:t xml:space="preserve"> </w:t>
      </w:r>
      <w:r>
        <w:rPr>
          <w:spacing w:val="-2"/>
        </w:rPr>
        <w:t>assessments.</w:t>
      </w:r>
    </w:p>
    <w:p w:rsidR="003F5784" w14:paraId="63F6BF25" w14:textId="77777777">
      <w:pPr>
        <w:pStyle w:val="BodyText"/>
        <w:spacing w:before="208" w:line="232" w:lineRule="auto"/>
        <w:ind w:left="109"/>
      </w:pPr>
      <w:r>
        <w:t>The PSU samples were drawn using a stratified sample design with one PSU selected per stratum or stratum pair with probability proportional</w:t>
      </w:r>
      <w:r>
        <w:rPr>
          <w:spacing w:val="-6"/>
        </w:rPr>
        <w:t xml:space="preserve"> </w:t>
      </w:r>
      <w:r>
        <w:t>to</w:t>
      </w:r>
      <w:r>
        <w:rPr>
          <w:spacing w:val="-6"/>
        </w:rPr>
        <w:t xml:space="preserve"> </w:t>
      </w:r>
      <w:r>
        <w:t>population</w:t>
      </w:r>
      <w:r>
        <w:rPr>
          <w:spacing w:val="-6"/>
        </w:rPr>
        <w:t xml:space="preserve"> </w:t>
      </w:r>
      <w:r>
        <w:t>size.</w:t>
      </w:r>
      <w:r>
        <w:rPr>
          <w:spacing w:val="-10"/>
        </w:rPr>
        <w:t xml:space="preserve"> </w:t>
      </w:r>
      <w:r>
        <w:t>The</w:t>
      </w:r>
      <w:r>
        <w:rPr>
          <w:spacing w:val="-6"/>
        </w:rPr>
        <w:t xml:space="preserve"> </w:t>
      </w:r>
      <w:r>
        <w:t>size</w:t>
      </w:r>
      <w:r>
        <w:rPr>
          <w:spacing w:val="-6"/>
        </w:rPr>
        <w:t xml:space="preserve"> </w:t>
      </w:r>
      <w:r>
        <w:t>measure</w:t>
      </w:r>
      <w:r>
        <w:rPr>
          <w:spacing w:val="-6"/>
        </w:rPr>
        <w:t xml:space="preserve"> </w:t>
      </w:r>
      <w:r>
        <w:t>used</w:t>
      </w:r>
      <w:r>
        <w:rPr>
          <w:spacing w:val="-6"/>
        </w:rPr>
        <w:t xml:space="preserve"> </w:t>
      </w:r>
      <w:r>
        <w:t>for</w:t>
      </w:r>
      <w:r>
        <w:rPr>
          <w:spacing w:val="-6"/>
        </w:rPr>
        <w:t xml:space="preserve"> </w:t>
      </w:r>
      <w:r>
        <w:t>PSU</w:t>
      </w:r>
      <w:r>
        <w:rPr>
          <w:spacing w:val="-6"/>
        </w:rPr>
        <w:t xml:space="preserve"> </w:t>
      </w:r>
      <w:r>
        <w:t>sampling</w:t>
      </w:r>
      <w:r>
        <w:rPr>
          <w:spacing w:val="-6"/>
        </w:rPr>
        <w:t xml:space="preserve"> </w:t>
      </w:r>
      <w:r>
        <w:t>was</w:t>
      </w:r>
      <w:r>
        <w:rPr>
          <w:spacing w:val="-6"/>
        </w:rPr>
        <w:t xml:space="preserve"> </w:t>
      </w:r>
      <w:r>
        <w:t>persons</w:t>
      </w:r>
      <w:r>
        <w:rPr>
          <w:spacing w:val="-6"/>
        </w:rPr>
        <w:t xml:space="preserve"> </w:t>
      </w:r>
      <w:r>
        <w:t>17</w:t>
      </w:r>
      <w:r>
        <w:rPr>
          <w:spacing w:val="-6"/>
        </w:rPr>
        <w:t xml:space="preserve"> </w:t>
      </w:r>
      <w:r>
        <w:t>years</w:t>
      </w:r>
      <w:r>
        <w:rPr>
          <w:spacing w:val="-6"/>
        </w:rPr>
        <w:t xml:space="preserve"> </w:t>
      </w:r>
      <w:r>
        <w:t>of</w:t>
      </w:r>
      <w:r>
        <w:rPr>
          <w:spacing w:val="-6"/>
        </w:rPr>
        <w:t xml:space="preserve"> </w:t>
      </w:r>
      <w:r>
        <w:t>age</w:t>
      </w:r>
      <w:r>
        <w:rPr>
          <w:spacing w:val="-6"/>
        </w:rPr>
        <w:t xml:space="preserve"> </w:t>
      </w:r>
      <w:r>
        <w:t>and</w:t>
      </w:r>
      <w:r>
        <w:rPr>
          <w:spacing w:val="-6"/>
        </w:rPr>
        <w:t xml:space="preserve"> </w:t>
      </w:r>
      <w:r>
        <w:t>younger</w:t>
      </w:r>
      <w:r>
        <w:rPr>
          <w:spacing w:val="-6"/>
        </w:rPr>
        <w:t xml:space="preserve"> </w:t>
      </w:r>
      <w:r>
        <w:t>from</w:t>
      </w:r>
      <w:r>
        <w:rPr>
          <w:spacing w:val="-6"/>
        </w:rPr>
        <w:t xml:space="preserve"> </w:t>
      </w:r>
      <w:r>
        <w:t>2017</w:t>
      </w:r>
      <w:r>
        <w:rPr>
          <w:spacing w:val="-6"/>
        </w:rPr>
        <w:t xml:space="preserve"> </w:t>
      </w:r>
      <w:r>
        <w:t>U.S.</w:t>
      </w:r>
      <w:r>
        <w:rPr>
          <w:spacing w:val="-6"/>
        </w:rPr>
        <w:t xml:space="preserve"> </w:t>
      </w:r>
      <w:r>
        <w:t>Census Bureau population estimates.</w:t>
      </w:r>
    </w:p>
    <w:p w:rsidR="003F5784" w14:paraId="0C0FC836" w14:textId="77777777">
      <w:pPr>
        <w:pStyle w:val="BodyText"/>
        <w:spacing w:before="209" w:line="232" w:lineRule="auto"/>
        <w:ind w:left="109" w:right="55"/>
      </w:pPr>
      <w:r>
        <w:t>The</w:t>
      </w:r>
      <w:r>
        <w:rPr>
          <w:spacing w:val="-6"/>
        </w:rPr>
        <w:t xml:space="preserve"> </w:t>
      </w:r>
      <w:r>
        <w:t>PSU</w:t>
      </w:r>
      <w:r>
        <w:rPr>
          <w:spacing w:val="-6"/>
        </w:rPr>
        <w:t xml:space="preserve"> </w:t>
      </w:r>
      <w:r>
        <w:t>sampling</w:t>
      </w:r>
      <w:r>
        <w:rPr>
          <w:spacing w:val="-6"/>
        </w:rPr>
        <w:t xml:space="preserve"> </w:t>
      </w:r>
      <w:r>
        <w:t>frame</w:t>
      </w:r>
      <w:r>
        <w:rPr>
          <w:spacing w:val="-6"/>
        </w:rPr>
        <w:t xml:space="preserve"> </w:t>
      </w:r>
      <w:r>
        <w:t>was</w:t>
      </w:r>
      <w:r>
        <w:rPr>
          <w:spacing w:val="-6"/>
        </w:rPr>
        <w:t xml:space="preserve"> </w:t>
      </w:r>
      <w:r>
        <w:t>constructed</w:t>
      </w:r>
      <w:r>
        <w:rPr>
          <w:spacing w:val="-6"/>
        </w:rPr>
        <w:t xml:space="preserve"> </w:t>
      </w:r>
      <w:r>
        <w:t>by</w:t>
      </w:r>
      <w:r>
        <w:rPr>
          <w:spacing w:val="-6"/>
        </w:rPr>
        <w:t xml:space="preserve"> </w:t>
      </w:r>
      <w:r>
        <w:t>partitioning</w:t>
      </w:r>
      <w:r>
        <w:rPr>
          <w:spacing w:val="-6"/>
        </w:rPr>
        <w:t xml:space="preserve"> </w:t>
      </w:r>
      <w:r>
        <w:t>all</w:t>
      </w:r>
      <w:r>
        <w:rPr>
          <w:spacing w:val="-6"/>
        </w:rPr>
        <w:t xml:space="preserve"> </w:t>
      </w:r>
      <w:r>
        <w:t>counties</w:t>
      </w:r>
      <w:r>
        <w:rPr>
          <w:spacing w:val="-6"/>
        </w:rPr>
        <w:t xml:space="preserve"> </w:t>
      </w:r>
      <w:r>
        <w:t>in</w:t>
      </w:r>
      <w:r>
        <w:rPr>
          <w:spacing w:val="-6"/>
        </w:rPr>
        <w:t xml:space="preserve"> </w:t>
      </w:r>
      <w:r>
        <w:t>the</w:t>
      </w:r>
      <w:r>
        <w:rPr>
          <w:spacing w:val="-6"/>
        </w:rPr>
        <w:t xml:space="preserve"> </w:t>
      </w:r>
      <w:r>
        <w:t>entire</w:t>
      </w:r>
      <w:r>
        <w:rPr>
          <w:spacing w:val="-6"/>
        </w:rPr>
        <w:t xml:space="preserve"> </w:t>
      </w:r>
      <w:r>
        <w:t>United</w:t>
      </w:r>
      <w:r>
        <w:rPr>
          <w:spacing w:val="-6"/>
        </w:rPr>
        <w:t xml:space="preserve"> </w:t>
      </w:r>
      <w:r>
        <w:t>States</w:t>
      </w:r>
      <w:r>
        <w:rPr>
          <w:spacing w:val="-6"/>
        </w:rPr>
        <w:t xml:space="preserve"> </w:t>
      </w:r>
      <w:r>
        <w:t>(the</w:t>
      </w:r>
      <w:r>
        <w:rPr>
          <w:spacing w:val="-6"/>
        </w:rPr>
        <w:t xml:space="preserve"> </w:t>
      </w:r>
      <w:r>
        <w:t>50</w:t>
      </w:r>
      <w:r>
        <w:rPr>
          <w:spacing w:val="-6"/>
        </w:rPr>
        <w:t xml:space="preserve"> </w:t>
      </w:r>
      <w:r>
        <w:t>states</w:t>
      </w:r>
      <w:r>
        <w:rPr>
          <w:spacing w:val="-6"/>
        </w:rPr>
        <w:t xml:space="preserve"> </w:t>
      </w:r>
      <w:r>
        <w:t>and</w:t>
      </w:r>
      <w:r>
        <w:rPr>
          <w:spacing w:val="-6"/>
        </w:rPr>
        <w:t xml:space="preserve"> </w:t>
      </w:r>
      <w:r>
        <w:t>the</w:t>
      </w:r>
      <w:r>
        <w:rPr>
          <w:spacing w:val="-6"/>
        </w:rPr>
        <w:t xml:space="preserve"> </w:t>
      </w:r>
      <w:r>
        <w:t>District</w:t>
      </w:r>
      <w:r>
        <w:rPr>
          <w:spacing w:val="-6"/>
        </w:rPr>
        <w:t xml:space="preserve"> </w:t>
      </w:r>
      <w:r>
        <w:t>of Columbia) into 1,001 non-overlapping PSUs as follows:</w:t>
      </w:r>
    </w:p>
    <w:p w:rsidR="003F5784" w14:paraId="548063F5" w14:textId="77777777">
      <w:pPr>
        <w:pStyle w:val="BodyText"/>
        <w:spacing w:before="210" w:line="232" w:lineRule="auto"/>
        <w:ind w:left="631" w:right="363" w:hanging="209"/>
      </w:pPr>
      <w:r>
        <w:rPr>
          <w:noProof/>
          <w:position w:val="3"/>
        </w:rPr>
        <w:drawing>
          <wp:inline distT="0" distB="0" distL="0" distR="0">
            <wp:extent cx="41379" cy="41378"/>
            <wp:effectExtent l="0" t="0" r="0" b="0"/>
            <wp:docPr id="219" name="Image 219"/>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xmlns:r="http://schemas.openxmlformats.org/officeDocument/2006/relationships" r:embed="rId193" cstate="print"/>
                    <a:stretch>
                      <a:fillRect/>
                    </a:stretch>
                  </pic:blipFill>
                  <pic:spPr>
                    <a:xfrm>
                      <a:off x="0" y="0"/>
                      <a:ext cx="41379" cy="41378"/>
                    </a:xfrm>
                    <a:prstGeom prst="rect">
                      <a:avLst/>
                    </a:prstGeom>
                  </pic:spPr>
                </pic:pic>
              </a:graphicData>
            </a:graphic>
          </wp:inline>
        </w:drawing>
      </w:r>
      <w:r>
        <w:rPr>
          <w:spacing w:val="79"/>
          <w:sz w:val="20"/>
        </w:rPr>
        <w:t xml:space="preserve"> </w:t>
      </w:r>
      <w:r>
        <w:t>Each</w:t>
      </w:r>
      <w:r>
        <w:rPr>
          <w:spacing w:val="-6"/>
        </w:rPr>
        <w:t xml:space="preserve"> </w:t>
      </w:r>
      <w:r>
        <w:t>metropolitan</w:t>
      </w:r>
      <w:r>
        <w:rPr>
          <w:spacing w:val="-6"/>
        </w:rPr>
        <w:t xml:space="preserve"> </w:t>
      </w:r>
      <w:r>
        <w:t>statistical</w:t>
      </w:r>
      <w:r>
        <w:rPr>
          <w:spacing w:val="-6"/>
        </w:rPr>
        <w:t xml:space="preserve"> </w:t>
      </w:r>
      <w:r>
        <w:t>area</w:t>
      </w:r>
      <w:r>
        <w:rPr>
          <w:spacing w:val="-6"/>
        </w:rPr>
        <w:t xml:space="preserve"> </w:t>
      </w:r>
      <w:r>
        <w:t>(metro</w:t>
      </w:r>
      <w:r>
        <w:rPr>
          <w:spacing w:val="-6"/>
        </w:rPr>
        <w:t xml:space="preserve"> </w:t>
      </w:r>
      <w:r>
        <w:t>area)</w:t>
      </w:r>
      <w:r>
        <w:rPr>
          <w:spacing w:val="-6"/>
        </w:rPr>
        <w:t xml:space="preserve"> </w:t>
      </w:r>
      <w:r>
        <w:t>was</w:t>
      </w:r>
      <w:r>
        <w:rPr>
          <w:spacing w:val="-6"/>
        </w:rPr>
        <w:t xml:space="preserve"> </w:t>
      </w:r>
      <w:r>
        <w:t>considered</w:t>
      </w:r>
      <w:r>
        <w:rPr>
          <w:spacing w:val="-6"/>
        </w:rPr>
        <w:t xml:space="preserve"> </w:t>
      </w:r>
      <w:r>
        <w:t>a</w:t>
      </w:r>
      <w:r>
        <w:rPr>
          <w:spacing w:val="-6"/>
        </w:rPr>
        <w:t xml:space="preserve"> </w:t>
      </w:r>
      <w:r>
        <w:t>separate</w:t>
      </w:r>
      <w:r>
        <w:rPr>
          <w:spacing w:val="-6"/>
        </w:rPr>
        <w:t xml:space="preserve"> </w:t>
      </w:r>
      <w:r>
        <w:t>PSU,</w:t>
      </w:r>
      <w:r>
        <w:rPr>
          <w:spacing w:val="-6"/>
        </w:rPr>
        <w:t xml:space="preserve"> </w:t>
      </w:r>
      <w:r>
        <w:t>unless</w:t>
      </w:r>
      <w:r>
        <w:rPr>
          <w:spacing w:val="-6"/>
        </w:rPr>
        <w:t xml:space="preserve"> </w:t>
      </w:r>
      <w:r>
        <w:t>it</w:t>
      </w:r>
      <w:r>
        <w:rPr>
          <w:spacing w:val="-6"/>
        </w:rPr>
        <w:t xml:space="preserve"> </w:t>
      </w:r>
      <w:r>
        <w:t>crossed</w:t>
      </w:r>
      <w:r>
        <w:rPr>
          <w:spacing w:val="-6"/>
        </w:rPr>
        <w:t xml:space="preserve"> </w:t>
      </w:r>
      <w:r>
        <w:t>census</w:t>
      </w:r>
      <w:r>
        <w:rPr>
          <w:spacing w:val="-6"/>
        </w:rPr>
        <w:t xml:space="preserve"> </w:t>
      </w:r>
      <w:r>
        <w:t>region</w:t>
      </w:r>
      <w:r>
        <w:rPr>
          <w:spacing w:val="-6"/>
        </w:rPr>
        <w:t xml:space="preserve"> </w:t>
      </w:r>
      <w:r>
        <w:t>boundaries.</w:t>
      </w:r>
      <w:r>
        <w:rPr>
          <w:spacing w:val="-10"/>
        </w:rPr>
        <w:t xml:space="preserve"> </w:t>
      </w:r>
      <w:r>
        <w:t>When this happened, the part within each region was made a separate PSU; and</w:t>
      </w:r>
    </w:p>
    <w:p w:rsidR="003F5784" w14:paraId="5C878B83" w14:textId="77777777">
      <w:pPr>
        <w:pStyle w:val="BodyText"/>
        <w:spacing w:before="96" w:line="232" w:lineRule="auto"/>
        <w:ind w:left="109" w:right="400"/>
      </w:pPr>
      <w:r>
        <w:br w:type="column"/>
        <w:t>PSU</w:t>
      </w:r>
      <w:r>
        <w:rPr>
          <w:spacing w:val="-14"/>
        </w:rPr>
        <w:t xml:space="preserve"> </w:t>
      </w:r>
      <w:r>
        <w:t>Generation:</w:t>
      </w:r>
      <w:r>
        <w:rPr>
          <w:spacing w:val="-13"/>
        </w:rPr>
        <w:t xml:space="preserve"> </w:t>
      </w:r>
      <w:r>
        <w:t>Metropolitan Statistical</w:t>
      </w:r>
      <w:r>
        <w:rPr>
          <w:spacing w:val="-12"/>
        </w:rPr>
        <w:t xml:space="preserve"> </w:t>
      </w:r>
      <w:r>
        <w:t>Areas</w:t>
      </w:r>
    </w:p>
    <w:p w:rsidR="003F5784" w14:paraId="570014CD" w14:textId="77777777">
      <w:pPr>
        <w:pStyle w:val="BodyText"/>
        <w:spacing w:before="204"/>
        <w:ind w:left="109"/>
      </w:pPr>
      <w:r>
        <w:t>PSU</w:t>
      </w:r>
      <w:r>
        <w:rPr>
          <w:spacing w:val="-9"/>
        </w:rPr>
        <w:t xml:space="preserve"> </w:t>
      </w:r>
      <w:r>
        <w:t>Generation:</w:t>
      </w:r>
      <w:r>
        <w:rPr>
          <w:spacing w:val="-8"/>
        </w:rPr>
        <w:t xml:space="preserve"> </w:t>
      </w:r>
      <w:r>
        <w:t>Certainty</w:t>
      </w:r>
      <w:r>
        <w:rPr>
          <w:spacing w:val="-8"/>
        </w:rPr>
        <w:t xml:space="preserve"> </w:t>
      </w:r>
      <w:r>
        <w:rPr>
          <w:spacing w:val="-4"/>
        </w:rPr>
        <w:t>PSUs</w:t>
      </w:r>
    </w:p>
    <w:p w:rsidR="003F5784" w14:paraId="392AF21C" w14:textId="77777777">
      <w:pPr>
        <w:pStyle w:val="BodyText"/>
        <w:spacing w:before="207" w:line="232" w:lineRule="auto"/>
        <w:ind w:left="109" w:right="400"/>
      </w:pPr>
      <w:r>
        <w:t xml:space="preserve">PSU Generation: Non- </w:t>
      </w:r>
      <w:r>
        <w:rPr>
          <w:spacing w:val="-2"/>
        </w:rPr>
        <w:t>Metropolitan Statistical</w:t>
      </w:r>
      <w:r>
        <w:rPr>
          <w:spacing w:val="-11"/>
        </w:rPr>
        <w:t xml:space="preserve"> </w:t>
      </w:r>
      <w:r>
        <w:rPr>
          <w:spacing w:val="-2"/>
        </w:rPr>
        <w:t>Areas</w:t>
      </w:r>
    </w:p>
    <w:p w:rsidR="003F5784" w14:paraId="3F96FCC1" w14:textId="77777777">
      <w:pPr>
        <w:pStyle w:val="BodyText"/>
        <w:spacing w:before="203" w:line="439" w:lineRule="auto"/>
        <w:ind w:left="109" w:right="854"/>
      </w:pPr>
      <w:r>
        <w:t>PSU</w:t>
      </w:r>
      <w:r>
        <w:rPr>
          <w:spacing w:val="-14"/>
        </w:rPr>
        <w:t xml:space="preserve"> </w:t>
      </w:r>
      <w:r>
        <w:t>Frame</w:t>
      </w:r>
      <w:r>
        <w:rPr>
          <w:spacing w:val="-13"/>
        </w:rPr>
        <w:t xml:space="preserve"> </w:t>
      </w:r>
      <w:r>
        <w:t>Stratification Final PSU Samples</w:t>
      </w:r>
    </w:p>
    <w:p w:rsidR="003F5784" w14:paraId="1E6B5720" w14:textId="77777777">
      <w:pPr>
        <w:spacing w:line="439" w:lineRule="auto"/>
        <w:sectPr>
          <w:type w:val="continuous"/>
          <w:pgSz w:w="15840" w:h="12240" w:orient="landscape"/>
          <w:pgMar w:top="480" w:right="440" w:bottom="460" w:left="460" w:header="284" w:footer="275" w:gutter="0"/>
          <w:cols w:num="2" w:space="720" w:equalWidth="0">
            <w:col w:w="11723" w:space="137"/>
            <w:col w:w="3080"/>
          </w:cols>
        </w:sectPr>
      </w:pPr>
    </w:p>
    <w:p w:rsidR="003F5784" w14:paraId="16FA2664" w14:textId="77777777">
      <w:pPr>
        <w:pStyle w:val="BodyText"/>
        <w:spacing w:before="209" w:line="232" w:lineRule="auto"/>
        <w:ind w:left="631" w:right="54" w:hanging="209"/>
      </w:pPr>
      <w:r>
        <w:rPr>
          <w:noProof/>
          <w:position w:val="3"/>
        </w:rPr>
        <w:drawing>
          <wp:inline distT="0" distB="0" distL="0" distR="0">
            <wp:extent cx="41379" cy="41378"/>
            <wp:effectExtent l="0" t="0" r="0" b="0"/>
            <wp:docPr id="220" name="Image 220"/>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xmlns:r="http://schemas.openxmlformats.org/officeDocument/2006/relationships" r:embed="rId194" cstate="print"/>
                    <a:stretch>
                      <a:fillRect/>
                    </a:stretch>
                  </pic:blipFill>
                  <pic:spPr>
                    <a:xfrm>
                      <a:off x="0" y="0"/>
                      <a:ext cx="41379" cy="41378"/>
                    </a:xfrm>
                    <a:prstGeom prst="rect">
                      <a:avLst/>
                    </a:prstGeom>
                  </pic:spPr>
                </pic:pic>
              </a:graphicData>
            </a:graphic>
          </wp:inline>
        </w:drawing>
      </w:r>
      <w:r>
        <w:rPr>
          <w:spacing w:val="80"/>
          <w:sz w:val="20"/>
        </w:rPr>
        <w:t xml:space="preserve"> </w:t>
      </w:r>
      <w:r>
        <w:t>Non-metro</w:t>
      </w:r>
      <w:r>
        <w:rPr>
          <w:spacing w:val="-6"/>
        </w:rPr>
        <w:t xml:space="preserve"> </w:t>
      </w:r>
      <w:r>
        <w:t>area</w:t>
      </w:r>
      <w:r>
        <w:rPr>
          <w:spacing w:val="-6"/>
        </w:rPr>
        <w:t xml:space="preserve"> </w:t>
      </w:r>
      <w:r>
        <w:t>PSUs</w:t>
      </w:r>
      <w:r>
        <w:rPr>
          <w:spacing w:val="-6"/>
        </w:rPr>
        <w:t xml:space="preserve"> </w:t>
      </w:r>
      <w:r>
        <w:t>were</w:t>
      </w:r>
      <w:r>
        <w:rPr>
          <w:spacing w:val="-6"/>
        </w:rPr>
        <w:t xml:space="preserve"> </w:t>
      </w:r>
      <w:r>
        <w:t>constructed</w:t>
      </w:r>
      <w:r>
        <w:rPr>
          <w:spacing w:val="-6"/>
        </w:rPr>
        <w:t xml:space="preserve"> </w:t>
      </w:r>
      <w:r>
        <w:t>from</w:t>
      </w:r>
      <w:r>
        <w:rPr>
          <w:spacing w:val="-6"/>
        </w:rPr>
        <w:t xml:space="preserve"> </w:t>
      </w:r>
      <w:r>
        <w:t>contiguous</w:t>
      </w:r>
      <w:r>
        <w:rPr>
          <w:spacing w:val="-6"/>
        </w:rPr>
        <w:t xml:space="preserve"> </w:t>
      </w:r>
      <w:r>
        <w:t>non-metro</w:t>
      </w:r>
      <w:r>
        <w:rPr>
          <w:spacing w:val="-6"/>
        </w:rPr>
        <w:t xml:space="preserve"> </w:t>
      </w:r>
      <w:r>
        <w:t>area</w:t>
      </w:r>
      <w:r>
        <w:rPr>
          <w:spacing w:val="-6"/>
        </w:rPr>
        <w:t xml:space="preserve"> </w:t>
      </w:r>
      <w:r>
        <w:t>counties</w:t>
      </w:r>
      <w:r>
        <w:rPr>
          <w:spacing w:val="-6"/>
        </w:rPr>
        <w:t xml:space="preserve"> </w:t>
      </w:r>
      <w:r>
        <w:t>within</w:t>
      </w:r>
      <w:r>
        <w:rPr>
          <w:spacing w:val="-6"/>
        </w:rPr>
        <w:t xml:space="preserve"> </w:t>
      </w:r>
      <w:r>
        <w:t>the</w:t>
      </w:r>
      <w:r>
        <w:rPr>
          <w:spacing w:val="-6"/>
        </w:rPr>
        <w:t xml:space="preserve"> </w:t>
      </w:r>
      <w:r>
        <w:t>same</w:t>
      </w:r>
      <w:r>
        <w:rPr>
          <w:spacing w:val="-6"/>
        </w:rPr>
        <w:t xml:space="preserve"> </w:t>
      </w:r>
      <w:r>
        <w:t>state</w:t>
      </w:r>
      <w:r>
        <w:rPr>
          <w:spacing w:val="-6"/>
        </w:rPr>
        <w:t xml:space="preserve"> </w:t>
      </w:r>
      <w:r>
        <w:t>that</w:t>
      </w:r>
      <w:r>
        <w:rPr>
          <w:spacing w:val="-6"/>
        </w:rPr>
        <w:t xml:space="preserve"> </w:t>
      </w:r>
      <w:r>
        <w:t>had</w:t>
      </w:r>
      <w:r>
        <w:rPr>
          <w:spacing w:val="-6"/>
        </w:rPr>
        <w:t xml:space="preserve"> </w:t>
      </w:r>
      <w:r>
        <w:t>minimum</w:t>
      </w:r>
      <w:r>
        <w:rPr>
          <w:spacing w:val="-6"/>
        </w:rPr>
        <w:t xml:space="preserve"> </w:t>
      </w:r>
      <w:r>
        <w:t>populations</w:t>
      </w:r>
      <w:r>
        <w:rPr>
          <w:spacing w:val="-6"/>
        </w:rPr>
        <w:t xml:space="preserve"> </w:t>
      </w:r>
      <w:r>
        <w:t>of</w:t>
      </w:r>
      <w:r>
        <w:rPr>
          <w:spacing w:val="-6"/>
        </w:rPr>
        <w:t xml:space="preserve"> </w:t>
      </w:r>
      <w:r>
        <w:t>15,000</w:t>
      </w:r>
      <w:r>
        <w:rPr>
          <w:spacing w:val="-6"/>
        </w:rPr>
        <w:t xml:space="preserve"> </w:t>
      </w:r>
      <w:r>
        <w:t>youths</w:t>
      </w:r>
      <w:r>
        <w:rPr>
          <w:spacing w:val="-6"/>
        </w:rPr>
        <w:t xml:space="preserve"> </w:t>
      </w:r>
      <w:r>
        <w:t>in</w:t>
      </w:r>
      <w:r>
        <w:rPr>
          <w:spacing w:val="-6"/>
        </w:rPr>
        <w:t xml:space="preserve"> </w:t>
      </w:r>
      <w:r>
        <w:t>the</w:t>
      </w:r>
      <w:r>
        <w:rPr>
          <w:spacing w:val="-6"/>
        </w:rPr>
        <w:t xml:space="preserve"> </w:t>
      </w:r>
      <w:r>
        <w:t>Northeast and South census regions and 10,000 youths in the Midwest and West census regions.</w:t>
      </w:r>
    </w:p>
    <w:p w:rsidR="003F5784" w14:paraId="159F93E9" w14:textId="77777777">
      <w:pPr>
        <w:pStyle w:val="BodyText"/>
        <w:spacing w:before="203"/>
        <w:ind w:left="109"/>
      </w:pPr>
      <w:r>
        <w:t>Measures</w:t>
      </w:r>
      <w:r>
        <w:rPr>
          <w:spacing w:val="-7"/>
        </w:rPr>
        <w:t xml:space="preserve"> </w:t>
      </w:r>
      <w:r>
        <w:t>of</w:t>
      </w:r>
      <w:r>
        <w:rPr>
          <w:spacing w:val="-6"/>
        </w:rPr>
        <w:t xml:space="preserve"> </w:t>
      </w:r>
      <w:r>
        <w:t>size</w:t>
      </w:r>
      <w:r>
        <w:rPr>
          <w:spacing w:val="-6"/>
        </w:rPr>
        <w:t xml:space="preserve"> </w:t>
      </w:r>
      <w:r>
        <w:t>for</w:t>
      </w:r>
      <w:r>
        <w:rPr>
          <w:spacing w:val="-6"/>
        </w:rPr>
        <w:t xml:space="preserve"> </w:t>
      </w:r>
      <w:r>
        <w:t>constructing</w:t>
      </w:r>
      <w:r>
        <w:rPr>
          <w:spacing w:val="-6"/>
        </w:rPr>
        <w:t xml:space="preserve"> </w:t>
      </w:r>
      <w:r>
        <w:t>the</w:t>
      </w:r>
      <w:r>
        <w:rPr>
          <w:spacing w:val="-6"/>
        </w:rPr>
        <w:t xml:space="preserve"> </w:t>
      </w:r>
      <w:r>
        <w:t>PSUs</w:t>
      </w:r>
      <w:r>
        <w:rPr>
          <w:spacing w:val="-6"/>
        </w:rPr>
        <w:t xml:space="preserve"> </w:t>
      </w:r>
      <w:r>
        <w:t>were</w:t>
      </w:r>
      <w:r>
        <w:rPr>
          <w:spacing w:val="-6"/>
        </w:rPr>
        <w:t xml:space="preserve"> </w:t>
      </w:r>
      <w:r>
        <w:t>based</w:t>
      </w:r>
      <w:r>
        <w:rPr>
          <w:spacing w:val="-6"/>
        </w:rPr>
        <w:t xml:space="preserve"> </w:t>
      </w:r>
      <w:r>
        <w:t>on</w:t>
      </w:r>
      <w:r>
        <w:rPr>
          <w:spacing w:val="-6"/>
        </w:rPr>
        <w:t xml:space="preserve"> </w:t>
      </w:r>
      <w:r>
        <w:t>youth</w:t>
      </w:r>
      <w:r>
        <w:rPr>
          <w:spacing w:val="-6"/>
        </w:rPr>
        <w:t xml:space="preserve"> </w:t>
      </w:r>
      <w:r>
        <w:t>population</w:t>
      </w:r>
      <w:r>
        <w:rPr>
          <w:spacing w:val="-7"/>
        </w:rPr>
        <w:t xml:space="preserve"> </w:t>
      </w:r>
      <w:r>
        <w:t>data</w:t>
      </w:r>
      <w:r>
        <w:rPr>
          <w:spacing w:val="-6"/>
        </w:rPr>
        <w:t xml:space="preserve"> </w:t>
      </w:r>
      <w:r>
        <w:t>obtained</w:t>
      </w:r>
      <w:r>
        <w:rPr>
          <w:spacing w:val="-6"/>
        </w:rPr>
        <w:t xml:space="preserve"> </w:t>
      </w:r>
      <w:r>
        <w:t>from</w:t>
      </w:r>
      <w:r>
        <w:rPr>
          <w:spacing w:val="-6"/>
        </w:rPr>
        <w:t xml:space="preserve"> </w:t>
      </w:r>
      <w:r>
        <w:t>the</w:t>
      </w:r>
      <w:r>
        <w:rPr>
          <w:spacing w:val="-6"/>
        </w:rPr>
        <w:t xml:space="preserve"> </w:t>
      </w:r>
      <w:r>
        <w:t>2010</w:t>
      </w:r>
      <w:r>
        <w:rPr>
          <w:spacing w:val="-6"/>
        </w:rPr>
        <w:t xml:space="preserve"> </w:t>
      </w:r>
      <w:r>
        <w:t>Decennial</w:t>
      </w:r>
      <w:r>
        <w:rPr>
          <w:spacing w:val="-6"/>
        </w:rPr>
        <w:t xml:space="preserve"> </w:t>
      </w:r>
      <w:r>
        <w:t>Census</w:t>
      </w:r>
      <w:r>
        <w:rPr>
          <w:spacing w:val="-6"/>
        </w:rPr>
        <w:t xml:space="preserve"> </w:t>
      </w:r>
      <w:r>
        <w:t>summary</w:t>
      </w:r>
      <w:r>
        <w:rPr>
          <w:spacing w:val="-6"/>
        </w:rPr>
        <w:t xml:space="preserve"> </w:t>
      </w:r>
      <w:r>
        <w:rPr>
          <w:spacing w:val="-2"/>
        </w:rPr>
        <w:t>files.</w:t>
      </w:r>
    </w:p>
    <w:p w:rsidR="003F5784" w14:paraId="25FA135C" w14:textId="77777777">
      <w:pPr>
        <w:pStyle w:val="BodyText"/>
        <w:spacing w:before="208" w:line="232" w:lineRule="auto"/>
        <w:ind w:left="109" w:right="179"/>
      </w:pPr>
      <w:r>
        <w:t>For</w:t>
      </w:r>
      <w:r>
        <w:rPr>
          <w:spacing w:val="-6"/>
        </w:rPr>
        <w:t xml:space="preserve"> </w:t>
      </w:r>
      <w:r>
        <w:t>the</w:t>
      </w:r>
      <w:r>
        <w:rPr>
          <w:spacing w:val="-6"/>
        </w:rPr>
        <w:t xml:space="preserve"> </w:t>
      </w:r>
      <w:r>
        <w:t>LTT</w:t>
      </w:r>
      <w:r>
        <w:rPr>
          <w:spacing w:val="-10"/>
        </w:rPr>
        <w:t xml:space="preserve"> </w:t>
      </w:r>
      <w:r>
        <w:t>PSU</w:t>
      </w:r>
      <w:r>
        <w:rPr>
          <w:spacing w:val="-6"/>
        </w:rPr>
        <w:t xml:space="preserve"> </w:t>
      </w:r>
      <w:r>
        <w:t>sample,</w:t>
      </w:r>
      <w:r>
        <w:rPr>
          <w:spacing w:val="-6"/>
        </w:rPr>
        <w:t xml:space="preserve"> </w:t>
      </w:r>
      <w:r>
        <w:t>29</w:t>
      </w:r>
      <w:r>
        <w:rPr>
          <w:spacing w:val="-6"/>
        </w:rPr>
        <w:t xml:space="preserve"> </w:t>
      </w:r>
      <w:r>
        <w:t>PSUs</w:t>
      </w:r>
      <w:r>
        <w:rPr>
          <w:spacing w:val="-6"/>
        </w:rPr>
        <w:t xml:space="preserve"> </w:t>
      </w:r>
      <w:r>
        <w:t>on</w:t>
      </w:r>
      <w:r>
        <w:rPr>
          <w:spacing w:val="-6"/>
        </w:rPr>
        <w:t xml:space="preserve"> </w:t>
      </w:r>
      <w:r>
        <w:t>the</w:t>
      </w:r>
      <w:r>
        <w:rPr>
          <w:spacing w:val="-6"/>
        </w:rPr>
        <w:t xml:space="preserve"> </w:t>
      </w:r>
      <w:r>
        <w:t>PSU</w:t>
      </w:r>
      <w:r>
        <w:rPr>
          <w:spacing w:val="-6"/>
        </w:rPr>
        <w:t xml:space="preserve"> </w:t>
      </w:r>
      <w:r>
        <w:t>sampling</w:t>
      </w:r>
      <w:r>
        <w:rPr>
          <w:spacing w:val="-6"/>
        </w:rPr>
        <w:t xml:space="preserve"> </w:t>
      </w:r>
      <w:r>
        <w:t>frame</w:t>
      </w:r>
      <w:r>
        <w:rPr>
          <w:spacing w:val="-6"/>
        </w:rPr>
        <w:t xml:space="preserve"> </w:t>
      </w:r>
      <w:r>
        <w:t>were</w:t>
      </w:r>
      <w:r>
        <w:rPr>
          <w:spacing w:val="-6"/>
        </w:rPr>
        <w:t xml:space="preserve"> </w:t>
      </w:r>
      <w:r>
        <w:t>included</w:t>
      </w:r>
      <w:r>
        <w:rPr>
          <w:spacing w:val="-6"/>
        </w:rPr>
        <w:t xml:space="preserve"> </w:t>
      </w:r>
      <w:r>
        <w:t>in</w:t>
      </w:r>
      <w:r>
        <w:rPr>
          <w:spacing w:val="-6"/>
        </w:rPr>
        <w:t xml:space="preserve"> </w:t>
      </w:r>
      <w:r>
        <w:t>the</w:t>
      </w:r>
      <w:r>
        <w:rPr>
          <w:spacing w:val="-6"/>
        </w:rPr>
        <w:t xml:space="preserve"> </w:t>
      </w:r>
      <w:r>
        <w:t>sample</w:t>
      </w:r>
      <w:r>
        <w:rPr>
          <w:spacing w:val="-6"/>
        </w:rPr>
        <w:t xml:space="preserve"> </w:t>
      </w:r>
      <w:r>
        <w:t>with</w:t>
      </w:r>
      <w:r>
        <w:rPr>
          <w:spacing w:val="-6"/>
        </w:rPr>
        <w:t xml:space="preserve"> </w:t>
      </w:r>
      <w:r>
        <w:t>certainty</w:t>
      </w:r>
      <w:r>
        <w:rPr>
          <w:spacing w:val="-6"/>
        </w:rPr>
        <w:t xml:space="preserve"> </w:t>
      </w:r>
      <w:r>
        <w:t>(selected</w:t>
      </w:r>
      <w:r>
        <w:rPr>
          <w:spacing w:val="-6"/>
        </w:rPr>
        <w:t xml:space="preserve"> </w:t>
      </w:r>
      <w:r>
        <w:t>with</w:t>
      </w:r>
      <w:r>
        <w:rPr>
          <w:spacing w:val="-6"/>
        </w:rPr>
        <w:t xml:space="preserve"> </w:t>
      </w:r>
      <w:r>
        <w:t>a</w:t>
      </w:r>
      <w:r>
        <w:rPr>
          <w:spacing w:val="-6"/>
        </w:rPr>
        <w:t xml:space="preserve"> </w:t>
      </w:r>
      <w:r>
        <w:t>probability</w:t>
      </w:r>
      <w:r>
        <w:rPr>
          <w:spacing w:val="-6"/>
        </w:rPr>
        <w:t xml:space="preserve"> </w:t>
      </w:r>
      <w:r>
        <w:t>of</w:t>
      </w:r>
      <w:r>
        <w:rPr>
          <w:spacing w:val="-6"/>
        </w:rPr>
        <w:t xml:space="preserve"> </w:t>
      </w:r>
      <w:r>
        <w:t>1).</w:t>
      </w:r>
      <w:r>
        <w:rPr>
          <w:spacing w:val="-10"/>
        </w:rPr>
        <w:t xml:space="preserve"> </w:t>
      </w:r>
      <w:r>
        <w:t>The</w:t>
      </w:r>
      <w:r>
        <w:rPr>
          <w:spacing w:val="-6"/>
        </w:rPr>
        <w:t xml:space="preserve"> </w:t>
      </w:r>
      <w:r>
        <w:t>certainty</w:t>
      </w:r>
      <w:r>
        <w:rPr>
          <w:spacing w:val="-6"/>
        </w:rPr>
        <w:t xml:space="preserve"> </w:t>
      </w:r>
      <w:r>
        <w:t>PSUs</w:t>
      </w:r>
      <w:r>
        <w:rPr>
          <w:spacing w:val="-6"/>
        </w:rPr>
        <w:t xml:space="preserve"> </w:t>
      </w:r>
      <w:r>
        <w:t>constitute</w:t>
      </w:r>
      <w:r>
        <w:rPr>
          <w:spacing w:val="-6"/>
        </w:rPr>
        <w:t xml:space="preserve"> </w:t>
      </w:r>
      <w:r>
        <w:t>the 29 largest metropolitan areas in the United States, and for any national sample to be fully representative it is important to include some schools from each of them.</w:t>
      </w:r>
    </w:p>
    <w:p w:rsidR="003F5784" w14:paraId="05C56F5E" w14:textId="77777777">
      <w:pPr>
        <w:pStyle w:val="BodyText"/>
        <w:spacing w:before="209" w:line="232" w:lineRule="auto"/>
        <w:ind w:left="109"/>
      </w:pPr>
      <w:r>
        <w:t>The remaining PSUs were grouped into noncertainty PSU sampling strata within eight primary strata, which were defined by census region and metropolitan status.</w:t>
      </w:r>
      <w:r>
        <w:rPr>
          <w:spacing w:val="-3"/>
        </w:rPr>
        <w:t xml:space="preserve"> </w:t>
      </w:r>
      <w:r>
        <w:t>The stratification of PSUs within the eight primary strata was based on characteristics shown to be highly correlated with student performance such as race/ethnicity composition, income,</w:t>
      </w:r>
      <w:r>
        <w:rPr>
          <w:spacing w:val="-10"/>
        </w:rPr>
        <w:t xml:space="preserve"> </w:t>
      </w:r>
      <w:r>
        <w:t>education,</w:t>
      </w:r>
      <w:r>
        <w:rPr>
          <w:spacing w:val="-7"/>
        </w:rPr>
        <w:t xml:space="preserve"> </w:t>
      </w:r>
      <w:r>
        <w:t>renter</w:t>
      </w:r>
      <w:r>
        <w:rPr>
          <w:spacing w:val="-7"/>
        </w:rPr>
        <w:t xml:space="preserve"> </w:t>
      </w:r>
      <w:r>
        <w:t>status,</w:t>
      </w:r>
      <w:r>
        <w:rPr>
          <w:spacing w:val="-7"/>
        </w:rPr>
        <w:t xml:space="preserve"> </w:t>
      </w:r>
      <w:r>
        <w:t>and</w:t>
      </w:r>
      <w:r>
        <w:rPr>
          <w:spacing w:val="-7"/>
        </w:rPr>
        <w:t xml:space="preserve"> </w:t>
      </w:r>
      <w:r>
        <w:t>percentage</w:t>
      </w:r>
      <w:r>
        <w:rPr>
          <w:spacing w:val="-7"/>
        </w:rPr>
        <w:t xml:space="preserve"> </w:t>
      </w:r>
      <w:r>
        <w:t>of</w:t>
      </w:r>
      <w:r>
        <w:rPr>
          <w:spacing w:val="-7"/>
        </w:rPr>
        <w:t xml:space="preserve"> </w:t>
      </w:r>
      <w:r>
        <w:t>female-headed</w:t>
      </w:r>
      <w:r>
        <w:rPr>
          <w:spacing w:val="-7"/>
        </w:rPr>
        <w:t xml:space="preserve"> </w:t>
      </w:r>
      <w:r>
        <w:t>households.</w:t>
      </w:r>
      <w:r>
        <w:rPr>
          <w:spacing w:val="-11"/>
        </w:rPr>
        <w:t xml:space="preserve"> </w:t>
      </w:r>
      <w:r>
        <w:t>These</w:t>
      </w:r>
      <w:r>
        <w:rPr>
          <w:spacing w:val="-7"/>
        </w:rPr>
        <w:t xml:space="preserve"> </w:t>
      </w:r>
      <w:r>
        <w:t>data</w:t>
      </w:r>
      <w:r>
        <w:rPr>
          <w:spacing w:val="-7"/>
        </w:rPr>
        <w:t xml:space="preserve"> </w:t>
      </w:r>
      <w:r>
        <w:t>were</w:t>
      </w:r>
      <w:r>
        <w:rPr>
          <w:spacing w:val="-7"/>
        </w:rPr>
        <w:t xml:space="preserve"> </w:t>
      </w:r>
      <w:r>
        <w:t>obtained</w:t>
      </w:r>
      <w:r>
        <w:rPr>
          <w:spacing w:val="-7"/>
        </w:rPr>
        <w:t xml:space="preserve"> </w:t>
      </w:r>
      <w:r>
        <w:t>at</w:t>
      </w:r>
      <w:r>
        <w:rPr>
          <w:spacing w:val="-7"/>
        </w:rPr>
        <w:t xml:space="preserve"> </w:t>
      </w:r>
      <w:r>
        <w:t>the</w:t>
      </w:r>
      <w:r>
        <w:rPr>
          <w:spacing w:val="-7"/>
        </w:rPr>
        <w:t xml:space="preserve"> </w:t>
      </w:r>
      <w:r>
        <w:t>county</w:t>
      </w:r>
      <w:r>
        <w:rPr>
          <w:spacing w:val="-7"/>
        </w:rPr>
        <w:t xml:space="preserve"> </w:t>
      </w:r>
      <w:r>
        <w:t>level</w:t>
      </w:r>
      <w:r>
        <w:rPr>
          <w:spacing w:val="-7"/>
        </w:rPr>
        <w:t xml:space="preserve"> </w:t>
      </w:r>
      <w:r>
        <w:t>from</w:t>
      </w:r>
      <w:r>
        <w:rPr>
          <w:spacing w:val="-7"/>
        </w:rPr>
        <w:t xml:space="preserve"> </w:t>
      </w:r>
      <w:r>
        <w:t>the</w:t>
      </w:r>
      <w:r>
        <w:rPr>
          <w:spacing w:val="-7"/>
        </w:rPr>
        <w:t xml:space="preserve"> </w:t>
      </w:r>
      <w:r>
        <w:t>2006</w:t>
      </w:r>
      <w:r>
        <w:rPr>
          <w:rFonts w:ascii="Arial" w:hAnsi="Arial"/>
        </w:rPr>
        <w:t>–20</w:t>
      </w:r>
      <w:r>
        <w:t>10</w:t>
      </w:r>
      <w:r>
        <w:rPr>
          <w:spacing w:val="-14"/>
        </w:rPr>
        <w:t xml:space="preserve"> </w:t>
      </w:r>
      <w:r>
        <w:t>American</w:t>
      </w:r>
      <w:r>
        <w:rPr>
          <w:spacing w:val="-6"/>
        </w:rPr>
        <w:t xml:space="preserve"> </w:t>
      </w:r>
      <w:r>
        <w:t>Community</w:t>
      </w:r>
      <w:r>
        <w:rPr>
          <w:spacing w:val="-7"/>
        </w:rPr>
        <w:t xml:space="preserve"> </w:t>
      </w:r>
      <w:r>
        <w:t>Survey (ACS) and then aggregated to the PSU level. Seventy-six noncertainty PSU strata were formed.</w:t>
      </w:r>
      <w:r>
        <w:rPr>
          <w:spacing w:val="-3"/>
        </w:rPr>
        <w:t xml:space="preserve"> </w:t>
      </w:r>
      <w:r>
        <w:t>These PSU strata were then paired to form 38 stratum pairs.</w:t>
      </w:r>
    </w:p>
    <w:p w:rsidR="003F5784" w14:paraId="024E0C72" w14:textId="77777777">
      <w:pPr>
        <w:pStyle w:val="BodyText"/>
      </w:pPr>
    </w:p>
    <w:p w:rsidR="003F5784" w14:paraId="074013BC" w14:textId="77777777">
      <w:pPr>
        <w:pStyle w:val="BodyText"/>
      </w:pPr>
    </w:p>
    <w:p w:rsidR="003F5784" w14:paraId="4041CE1E" w14:textId="77777777">
      <w:pPr>
        <w:pStyle w:val="BodyText"/>
        <w:spacing w:before="145"/>
      </w:pPr>
    </w:p>
    <w:p w:rsidR="003F5784" w14:paraId="378D35EC" w14:textId="77777777">
      <w:pPr>
        <w:ind w:left="4447"/>
        <w:rPr>
          <w:sz w:val="18"/>
        </w:rPr>
      </w:pPr>
      <w:hyperlink r:id="rId195">
        <w:r>
          <w:rPr>
            <w:spacing w:val="-2"/>
            <w:w w:val="105"/>
            <w:sz w:val="18"/>
          </w:rPr>
          <w:t>http://nces.ed.gov/nationsreportcard/tdw/sample_design/2022/selection_of_primary_sampling_units_psus_for_the_2022_assessment.aspx</w:t>
        </w:r>
      </w:hyperlink>
    </w:p>
    <w:p w:rsidR="003F5784" w14:paraId="3F5A71E8" w14:textId="77777777">
      <w:pPr>
        <w:pStyle w:val="BodyText"/>
        <w:spacing w:before="1"/>
        <w:rPr>
          <w:sz w:val="16"/>
        </w:rPr>
      </w:pPr>
      <w:r>
        <w:rPr>
          <w:noProof/>
        </w:rPr>
        <mc:AlternateContent>
          <mc:Choice Requires="wps">
            <w:drawing>
              <wp:anchor distT="0" distB="0" distL="0" distR="0" simplePos="0" relativeHeight="251880448" behindDoc="1" locked="0" layoutInCell="1" allowOverlap="1">
                <wp:simplePos x="0" y="0"/>
                <wp:positionH relativeFrom="page">
                  <wp:posOffset>361937</wp:posOffset>
                </wp:positionH>
                <wp:positionV relativeFrom="paragraph">
                  <wp:posOffset>132832</wp:posOffset>
                </wp:positionV>
                <wp:extent cx="9339580" cy="8890"/>
                <wp:effectExtent l="0" t="0" r="0" b="0"/>
                <wp:wrapTopAndBottom/>
                <wp:docPr id="221" name="Graphic 221"/>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305"/>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21" o:spid="_x0000_s1110" style="width:735.4pt;height:0.7pt;margin-top:10.45pt;margin-left:28.5pt;mso-position-horizontal-relative:page;mso-wrap-distance-bottom:0;mso-wrap-distance-left:0;mso-wrap-distance-right:0;mso-wrap-distance-top:0;mso-wrap-style:square;position:absolute;visibility:visible;v-text-anchor:top;z-index:-251435008" coordsize="9339580,8890" path="m9338970,l9335110,l,,,8280l8280,8305l9335110,8280l9338970,8280l9338970,xe" fillcolor="gray" stroked="f">
                <v:path arrowok="t"/>
                <w10:wrap type="topAndBottom"/>
              </v:shape>
            </w:pict>
          </mc:Fallback>
        </mc:AlternateContent>
      </w:r>
    </w:p>
    <w:p w:rsidR="003F5784" w14:paraId="0BD09C96" w14:textId="77777777">
      <w:pPr>
        <w:pStyle w:val="BodyText"/>
        <w:rPr>
          <w:sz w:val="18"/>
        </w:rPr>
      </w:pPr>
    </w:p>
    <w:p w:rsidR="003F5784" w14:paraId="5D13EF05" w14:textId="77777777">
      <w:pPr>
        <w:pStyle w:val="BodyText"/>
        <w:spacing w:before="193"/>
        <w:rPr>
          <w:sz w:val="18"/>
        </w:rPr>
      </w:pPr>
    </w:p>
    <w:p w:rsidR="003F5784" w14:paraId="60C58C6C" w14:textId="77777777">
      <w:pPr>
        <w:pStyle w:val="Heading1"/>
        <w:spacing w:line="244" w:lineRule="auto"/>
        <w:ind w:right="179"/>
      </w:pPr>
      <w:r>
        <w:t>NAEP</w:t>
      </w:r>
      <w:r>
        <w:rPr>
          <w:spacing w:val="-16"/>
        </w:rPr>
        <w:t xml:space="preserve"> </w:t>
      </w:r>
      <w:r>
        <w:t>Technical Documentation Final Primary Sampling Unit (PSU) Samples for the 2022 Assessment</w:t>
      </w:r>
    </w:p>
    <w:p w:rsidR="003F5784" w14:paraId="15A903DF" w14:textId="77777777">
      <w:pPr>
        <w:spacing w:line="244" w:lineRule="auto"/>
        <w:sectPr>
          <w:type w:val="continuous"/>
          <w:pgSz w:w="15840" w:h="12240" w:orient="landscape"/>
          <w:pgMar w:top="480" w:right="440" w:bottom="460" w:left="460" w:header="284" w:footer="275" w:gutter="0"/>
          <w:cols w:space="720"/>
        </w:sectPr>
      </w:pPr>
    </w:p>
    <w:p w:rsidR="003F5784" w14:paraId="1006466D" w14:textId="77777777">
      <w:pPr>
        <w:pStyle w:val="BodyText"/>
        <w:spacing w:before="78" w:line="232" w:lineRule="auto"/>
        <w:ind w:left="109" w:right="318"/>
      </w:pPr>
      <w:r>
        <w:t>There</w:t>
      </w:r>
      <w:r>
        <w:rPr>
          <w:spacing w:val="-7"/>
        </w:rPr>
        <w:t xml:space="preserve"> </w:t>
      </w:r>
      <w:r>
        <w:t>was</w:t>
      </w:r>
      <w:r>
        <w:rPr>
          <w:spacing w:val="-7"/>
        </w:rPr>
        <w:t xml:space="preserve"> </w:t>
      </w:r>
      <w:r>
        <w:t>one</w:t>
      </w:r>
      <w:r>
        <w:rPr>
          <w:spacing w:val="-7"/>
        </w:rPr>
        <w:t xml:space="preserve"> </w:t>
      </w:r>
      <w:r>
        <w:t>primary</w:t>
      </w:r>
      <w:r>
        <w:rPr>
          <w:spacing w:val="-7"/>
        </w:rPr>
        <w:t xml:space="preserve"> </w:t>
      </w:r>
      <w:r>
        <w:t>sampling</w:t>
      </w:r>
      <w:r>
        <w:rPr>
          <w:spacing w:val="-7"/>
        </w:rPr>
        <w:t xml:space="preserve"> </w:t>
      </w:r>
      <w:r>
        <w:t>unit</w:t>
      </w:r>
      <w:r>
        <w:rPr>
          <w:spacing w:val="-7"/>
        </w:rPr>
        <w:t xml:space="preserve"> </w:t>
      </w:r>
      <w:r>
        <w:t>(PSU)</w:t>
      </w:r>
      <w:r>
        <w:rPr>
          <w:spacing w:val="-7"/>
        </w:rPr>
        <w:t xml:space="preserve"> </w:t>
      </w:r>
      <w:r>
        <w:t>sample</w:t>
      </w:r>
      <w:r>
        <w:rPr>
          <w:spacing w:val="-7"/>
        </w:rPr>
        <w:t xml:space="preserve"> </w:t>
      </w:r>
      <w:r>
        <w:t>for</w:t>
      </w:r>
      <w:r>
        <w:rPr>
          <w:spacing w:val="-7"/>
        </w:rPr>
        <w:t xml:space="preserve"> </w:t>
      </w:r>
      <w:r>
        <w:t>the</w:t>
      </w:r>
      <w:r>
        <w:rPr>
          <w:spacing w:val="-7"/>
        </w:rPr>
        <w:t xml:space="preserve"> </w:t>
      </w:r>
      <w:r>
        <w:t>2022</w:t>
      </w:r>
      <w:r>
        <w:rPr>
          <w:spacing w:val="-7"/>
        </w:rPr>
        <w:t xml:space="preserve"> </w:t>
      </w:r>
      <w:r>
        <w:t>Long</w:t>
      </w:r>
      <w:r>
        <w:rPr>
          <w:spacing w:val="-11"/>
        </w:rPr>
        <w:t xml:space="preserve"> </w:t>
      </w:r>
      <w:r>
        <w:t>Term</w:t>
      </w:r>
      <w:r>
        <w:rPr>
          <w:spacing w:val="-11"/>
        </w:rPr>
        <w:t xml:space="preserve"> </w:t>
      </w:r>
      <w:r>
        <w:t>Trend</w:t>
      </w:r>
      <w:r>
        <w:rPr>
          <w:spacing w:val="-7"/>
        </w:rPr>
        <w:t xml:space="preserve"> </w:t>
      </w:r>
      <w:r>
        <w:t>(LTT)</w:t>
      </w:r>
      <w:r>
        <w:rPr>
          <w:spacing w:val="-7"/>
        </w:rPr>
        <w:t xml:space="preserve"> </w:t>
      </w:r>
      <w:r>
        <w:t>assessment,</w:t>
      </w:r>
      <w:r>
        <w:rPr>
          <w:spacing w:val="-7"/>
        </w:rPr>
        <w:t xml:space="preserve"> </w:t>
      </w:r>
      <w:r>
        <w:t>consisting</w:t>
      </w:r>
      <w:r>
        <w:rPr>
          <w:spacing w:val="-7"/>
        </w:rPr>
        <w:t xml:space="preserve"> </w:t>
      </w:r>
      <w:r>
        <w:t>of</w:t>
      </w:r>
      <w:r>
        <w:rPr>
          <w:spacing w:val="-7"/>
        </w:rPr>
        <w:t xml:space="preserve"> </w:t>
      </w:r>
      <w:r>
        <w:t>105</w:t>
      </w:r>
      <w:r>
        <w:rPr>
          <w:spacing w:val="-7"/>
        </w:rPr>
        <w:t xml:space="preserve"> </w:t>
      </w:r>
      <w:r>
        <w:t>sample</w:t>
      </w:r>
      <w:r>
        <w:rPr>
          <w:spacing w:val="-7"/>
        </w:rPr>
        <w:t xml:space="preserve"> </w:t>
      </w:r>
      <w:r>
        <w:t>PSUs</w:t>
      </w:r>
      <w:r>
        <w:rPr>
          <w:spacing w:val="-7"/>
        </w:rPr>
        <w:t xml:space="preserve"> </w:t>
      </w:r>
      <w:r>
        <w:t>of</w:t>
      </w:r>
      <w:r>
        <w:rPr>
          <w:spacing w:val="-7"/>
        </w:rPr>
        <w:t xml:space="preserve"> </w:t>
      </w:r>
      <w:r>
        <w:t>which</w:t>
      </w:r>
      <w:r>
        <w:rPr>
          <w:spacing w:val="-7"/>
        </w:rPr>
        <w:t xml:space="preserve"> </w:t>
      </w:r>
      <w:r>
        <w:t>29</w:t>
      </w:r>
      <w:r>
        <w:rPr>
          <w:spacing w:val="-7"/>
        </w:rPr>
        <w:t xml:space="preserve"> </w:t>
      </w:r>
      <w:r>
        <w:t>were</w:t>
      </w:r>
      <w:r>
        <w:rPr>
          <w:spacing w:val="-7"/>
        </w:rPr>
        <w:t xml:space="preserve"> </w:t>
      </w:r>
      <w:r>
        <w:t>certainty</w:t>
      </w:r>
      <w:r>
        <w:rPr>
          <w:spacing w:val="-7"/>
        </w:rPr>
        <w:t xml:space="preserve"> </w:t>
      </w:r>
      <w:r>
        <w:t>and</w:t>
      </w:r>
      <w:r>
        <w:rPr>
          <w:spacing w:val="-7"/>
        </w:rPr>
        <w:t xml:space="preserve"> </w:t>
      </w:r>
      <w:r>
        <w:t>76</w:t>
      </w:r>
      <w:r>
        <w:rPr>
          <w:spacing w:val="-7"/>
        </w:rPr>
        <w:t xml:space="preserve"> </w:t>
      </w:r>
      <w:r>
        <w:t>were noncertainty.</w:t>
      </w:r>
      <w:r>
        <w:rPr>
          <w:spacing w:val="-4"/>
        </w:rPr>
        <w:t xml:space="preserve"> </w:t>
      </w:r>
      <w:r>
        <w:t>These are the same sampled PSUs used for the 2020 LTT</w:t>
      </w:r>
      <w:r>
        <w:rPr>
          <w:spacing w:val="-4"/>
        </w:rPr>
        <w:t xml:space="preserve"> </w:t>
      </w:r>
      <w:r>
        <w:t>assessment. Using the same PSU sample was necessary in order to maximize overlap between the 2022 LTT school sample and the 2020 LTT school sample.</w:t>
      </w:r>
    </w:p>
    <w:p w:rsidR="003F5784" w14:paraId="5BC870DA" w14:textId="77777777">
      <w:pPr>
        <w:pStyle w:val="BodyText"/>
        <w:spacing w:before="210" w:line="232" w:lineRule="auto"/>
        <w:ind w:left="109" w:right="179"/>
      </w:pPr>
      <w:r>
        <w:t>To</w:t>
      </w:r>
      <w:r>
        <w:rPr>
          <w:spacing w:val="-7"/>
        </w:rPr>
        <w:t xml:space="preserve"> </w:t>
      </w:r>
      <w:r>
        <w:t>select</w:t>
      </w:r>
      <w:r>
        <w:rPr>
          <w:spacing w:val="-7"/>
        </w:rPr>
        <w:t xml:space="preserve"> </w:t>
      </w:r>
      <w:r>
        <w:t>the</w:t>
      </w:r>
      <w:r>
        <w:rPr>
          <w:spacing w:val="-7"/>
        </w:rPr>
        <w:t xml:space="preserve"> </w:t>
      </w:r>
      <w:r>
        <w:t>noncertainty</w:t>
      </w:r>
      <w:r>
        <w:rPr>
          <w:spacing w:val="-7"/>
        </w:rPr>
        <w:t xml:space="preserve"> </w:t>
      </w:r>
      <w:r>
        <w:t>PSUs</w:t>
      </w:r>
      <w:r>
        <w:rPr>
          <w:spacing w:val="-7"/>
        </w:rPr>
        <w:t xml:space="preserve"> </w:t>
      </w:r>
      <w:r>
        <w:t>for</w:t>
      </w:r>
      <w:r>
        <w:rPr>
          <w:spacing w:val="-7"/>
        </w:rPr>
        <w:t xml:space="preserve"> </w:t>
      </w:r>
      <w:r>
        <w:t>the</w:t>
      </w:r>
      <w:r>
        <w:rPr>
          <w:spacing w:val="-7"/>
        </w:rPr>
        <w:t xml:space="preserve"> </w:t>
      </w:r>
      <w:r>
        <w:t>LTT</w:t>
      </w:r>
      <w:r>
        <w:rPr>
          <w:spacing w:val="-10"/>
        </w:rPr>
        <w:t xml:space="preserve"> </w:t>
      </w:r>
      <w:r>
        <w:t>assessments,</w:t>
      </w:r>
      <w:r>
        <w:rPr>
          <w:spacing w:val="-7"/>
        </w:rPr>
        <w:t xml:space="preserve"> </w:t>
      </w:r>
      <w:r>
        <w:t>one</w:t>
      </w:r>
      <w:r>
        <w:rPr>
          <w:spacing w:val="-7"/>
        </w:rPr>
        <w:t xml:space="preserve"> </w:t>
      </w:r>
      <w:r>
        <w:t>PSU</w:t>
      </w:r>
      <w:r>
        <w:rPr>
          <w:spacing w:val="-7"/>
        </w:rPr>
        <w:t xml:space="preserve"> </w:t>
      </w:r>
      <w:r>
        <w:t>was</w:t>
      </w:r>
      <w:r>
        <w:rPr>
          <w:spacing w:val="-7"/>
        </w:rPr>
        <w:t xml:space="preserve"> </w:t>
      </w:r>
      <w:r>
        <w:t>selected</w:t>
      </w:r>
      <w:r>
        <w:rPr>
          <w:spacing w:val="-7"/>
        </w:rPr>
        <w:t xml:space="preserve"> </w:t>
      </w:r>
      <w:r>
        <w:t>from</w:t>
      </w:r>
      <w:r>
        <w:rPr>
          <w:spacing w:val="-7"/>
        </w:rPr>
        <w:t xml:space="preserve"> </w:t>
      </w:r>
      <w:r>
        <w:t>each</w:t>
      </w:r>
      <w:r>
        <w:rPr>
          <w:spacing w:val="-7"/>
        </w:rPr>
        <w:t xml:space="preserve"> </w:t>
      </w:r>
      <w:r>
        <w:t>of</w:t>
      </w:r>
      <w:r>
        <w:rPr>
          <w:spacing w:val="-7"/>
        </w:rPr>
        <w:t xml:space="preserve"> </w:t>
      </w:r>
      <w:r>
        <w:t>the</w:t>
      </w:r>
      <w:r>
        <w:rPr>
          <w:spacing w:val="-7"/>
        </w:rPr>
        <w:t xml:space="preserve"> </w:t>
      </w:r>
      <w:r>
        <w:t>76</w:t>
      </w:r>
      <w:r>
        <w:rPr>
          <w:spacing w:val="-7"/>
        </w:rPr>
        <w:t xml:space="preserve"> </w:t>
      </w:r>
      <w:r>
        <w:t>noncertainty</w:t>
      </w:r>
      <w:r>
        <w:rPr>
          <w:spacing w:val="-7"/>
        </w:rPr>
        <w:t xml:space="preserve"> </w:t>
      </w:r>
      <w:r>
        <w:t>strata</w:t>
      </w:r>
      <w:r>
        <w:rPr>
          <w:spacing w:val="-7"/>
        </w:rPr>
        <w:t xml:space="preserve"> </w:t>
      </w:r>
      <w:r>
        <w:t>defined</w:t>
      </w:r>
      <w:r>
        <w:rPr>
          <w:spacing w:val="-7"/>
        </w:rPr>
        <w:t xml:space="preserve"> </w:t>
      </w:r>
      <w:r>
        <w:t>in</w:t>
      </w:r>
      <w:r>
        <w:rPr>
          <w:spacing w:val="-7"/>
        </w:rPr>
        <w:t xml:space="preserve"> </w:t>
      </w:r>
      <w:r>
        <w:t>Final</w:t>
      </w:r>
      <w:r>
        <w:rPr>
          <w:spacing w:val="-7"/>
        </w:rPr>
        <w:t xml:space="preserve"> </w:t>
      </w:r>
      <w:r>
        <w:t>Primary</w:t>
      </w:r>
      <w:r>
        <w:rPr>
          <w:spacing w:val="-7"/>
        </w:rPr>
        <w:t xml:space="preserve"> </w:t>
      </w:r>
      <w:r>
        <w:t>Sampling</w:t>
      </w:r>
      <w:r>
        <w:rPr>
          <w:spacing w:val="-7"/>
        </w:rPr>
        <w:t xml:space="preserve"> </w:t>
      </w:r>
      <w:r>
        <w:t>Unit</w:t>
      </w:r>
      <w:r>
        <w:rPr>
          <w:spacing w:val="-7"/>
        </w:rPr>
        <w:t xml:space="preserve"> </w:t>
      </w:r>
      <w:r>
        <w:t>Strata.</w:t>
      </w:r>
      <w:r>
        <w:rPr>
          <w:spacing w:val="-7"/>
        </w:rPr>
        <w:t xml:space="preserve"> </w:t>
      </w:r>
      <w:r>
        <w:t>Each PSU was selected with probability proportionate to size, where the size measure was the number of persons 17 years of age and younger from the 2017 Census Bureau population estimates.</w:t>
      </w:r>
    </w:p>
    <w:p w:rsidR="003F5784" w14:paraId="339E504F" w14:textId="77777777">
      <w:pPr>
        <w:pStyle w:val="BodyText"/>
        <w:spacing w:before="209" w:line="232" w:lineRule="auto"/>
        <w:ind w:left="109" w:right="179"/>
      </w:pPr>
      <w:r>
        <w:t>In</w:t>
      </w:r>
      <w:r>
        <w:rPr>
          <w:spacing w:val="-6"/>
        </w:rPr>
        <w:t xml:space="preserve"> </w:t>
      </w:r>
      <w:r>
        <w:t>addition,</w:t>
      </w:r>
      <w:r>
        <w:rPr>
          <w:spacing w:val="-6"/>
        </w:rPr>
        <w:t xml:space="preserve"> </w:t>
      </w:r>
      <w:r>
        <w:t>to</w:t>
      </w:r>
      <w:r>
        <w:rPr>
          <w:spacing w:val="-6"/>
        </w:rPr>
        <w:t xml:space="preserve"> </w:t>
      </w:r>
      <w:r>
        <w:t>reduce</w:t>
      </w:r>
      <w:r>
        <w:rPr>
          <w:spacing w:val="-6"/>
        </w:rPr>
        <w:t xml:space="preserve"> </w:t>
      </w:r>
      <w:r>
        <w:t>the</w:t>
      </w:r>
      <w:r>
        <w:rPr>
          <w:spacing w:val="-6"/>
        </w:rPr>
        <w:t xml:space="preserve"> </w:t>
      </w:r>
      <w:r>
        <w:t>burden</w:t>
      </w:r>
      <w:r>
        <w:rPr>
          <w:spacing w:val="-6"/>
        </w:rPr>
        <w:t xml:space="preserve"> </w:t>
      </w:r>
      <w:r>
        <w:t>of</w:t>
      </w:r>
      <w:r>
        <w:rPr>
          <w:spacing w:val="-6"/>
        </w:rPr>
        <w:t xml:space="preserve"> </w:t>
      </w:r>
      <w:r>
        <w:t>any</w:t>
      </w:r>
      <w:r>
        <w:rPr>
          <w:spacing w:val="-6"/>
        </w:rPr>
        <w:t xml:space="preserve"> </w:t>
      </w:r>
      <w:r>
        <w:t>particular</w:t>
      </w:r>
      <w:r>
        <w:rPr>
          <w:spacing w:val="-6"/>
        </w:rPr>
        <w:t xml:space="preserve"> </w:t>
      </w:r>
      <w:r>
        <w:t>school</w:t>
      </w:r>
      <w:r>
        <w:rPr>
          <w:spacing w:val="-6"/>
        </w:rPr>
        <w:t xml:space="preserve"> </w:t>
      </w:r>
      <w:r>
        <w:t>when</w:t>
      </w:r>
      <w:r>
        <w:rPr>
          <w:spacing w:val="-6"/>
        </w:rPr>
        <w:t xml:space="preserve"> </w:t>
      </w:r>
      <w:r>
        <w:t>selecting</w:t>
      </w:r>
      <w:r>
        <w:rPr>
          <w:spacing w:val="-6"/>
        </w:rPr>
        <w:t xml:space="preserve"> </w:t>
      </w:r>
      <w:r>
        <w:t>the</w:t>
      </w:r>
      <w:r>
        <w:rPr>
          <w:spacing w:val="-6"/>
        </w:rPr>
        <w:t xml:space="preserve"> </w:t>
      </w:r>
      <w:r>
        <w:t>2020</w:t>
      </w:r>
      <w:r>
        <w:rPr>
          <w:spacing w:val="-6"/>
        </w:rPr>
        <w:t xml:space="preserve"> </w:t>
      </w:r>
      <w:r>
        <w:t>sample</w:t>
      </w:r>
      <w:r>
        <w:rPr>
          <w:spacing w:val="-6"/>
        </w:rPr>
        <w:t xml:space="preserve"> </w:t>
      </w:r>
      <w:r>
        <w:t>PSUs,</w:t>
      </w:r>
      <w:r>
        <w:rPr>
          <w:spacing w:val="-6"/>
        </w:rPr>
        <w:t xml:space="preserve"> </w:t>
      </w:r>
      <w:r>
        <w:t>efforts</w:t>
      </w:r>
      <w:r>
        <w:rPr>
          <w:spacing w:val="-6"/>
        </w:rPr>
        <w:t xml:space="preserve"> </w:t>
      </w:r>
      <w:r>
        <w:t>were</w:t>
      </w:r>
      <w:r>
        <w:rPr>
          <w:spacing w:val="-6"/>
        </w:rPr>
        <w:t xml:space="preserve"> </w:t>
      </w:r>
      <w:r>
        <w:t>made</w:t>
      </w:r>
      <w:r>
        <w:rPr>
          <w:spacing w:val="-6"/>
        </w:rPr>
        <w:t xml:space="preserve"> </w:t>
      </w:r>
      <w:r>
        <w:t>to</w:t>
      </w:r>
      <w:r>
        <w:rPr>
          <w:spacing w:val="-6"/>
        </w:rPr>
        <w:t xml:space="preserve"> </w:t>
      </w:r>
      <w:r>
        <w:t>minimize</w:t>
      </w:r>
      <w:r>
        <w:rPr>
          <w:spacing w:val="-6"/>
        </w:rPr>
        <w:t xml:space="preserve"> </w:t>
      </w:r>
      <w:r>
        <w:t>overlap</w:t>
      </w:r>
      <w:r>
        <w:rPr>
          <w:spacing w:val="-6"/>
        </w:rPr>
        <w:t xml:space="preserve"> </w:t>
      </w:r>
      <w:r>
        <w:t>with</w:t>
      </w:r>
      <w:r>
        <w:rPr>
          <w:spacing w:val="-6"/>
        </w:rPr>
        <w:t xml:space="preserve"> </w:t>
      </w:r>
      <w:r>
        <w:t>the</w:t>
      </w:r>
      <w:r>
        <w:rPr>
          <w:spacing w:val="-6"/>
        </w:rPr>
        <w:t xml:space="preserve"> </w:t>
      </w:r>
      <w:r>
        <w:t>2013,</w:t>
      </w:r>
      <w:r>
        <w:rPr>
          <w:spacing w:val="-6"/>
        </w:rPr>
        <w:t xml:space="preserve"> </w:t>
      </w:r>
      <w:r>
        <w:t>2014,</w:t>
      </w:r>
      <w:r>
        <w:rPr>
          <w:spacing w:val="-6"/>
        </w:rPr>
        <w:t xml:space="preserve"> </w:t>
      </w:r>
      <w:r>
        <w:t>2015,</w:t>
      </w:r>
      <w:r>
        <w:rPr>
          <w:spacing w:val="-6"/>
        </w:rPr>
        <w:t xml:space="preserve"> </w:t>
      </w:r>
      <w:r>
        <w:t>2016,</w:t>
      </w:r>
      <w:r>
        <w:rPr>
          <w:spacing w:val="-6"/>
        </w:rPr>
        <w:t xml:space="preserve"> </w:t>
      </w:r>
      <w:r>
        <w:t>and 2018 PSU samples.</w:t>
      </w:r>
      <w:r>
        <w:rPr>
          <w:spacing w:val="-3"/>
        </w:rPr>
        <w:t xml:space="preserve"> </w:t>
      </w:r>
      <w:r>
        <w:t>This overlap control was facilitated through the careful assignment of the random starts used to select the noncertainty PSUs.</w:t>
      </w:r>
      <w:r>
        <w:rPr>
          <w:spacing w:val="-3"/>
        </w:rPr>
        <w:t xml:space="preserve"> </w:t>
      </w:r>
      <w:r>
        <w:t>There was a small PSU sample that included 32 noncertainty PSUs in 2017, with which overlap control was not attempted.</w:t>
      </w:r>
      <w:r>
        <w:rPr>
          <w:spacing w:val="-2"/>
        </w:rPr>
        <w:t xml:space="preserve"> </w:t>
      </w:r>
      <w:r>
        <w:t>There was no PSU sample for NAEP</w:t>
      </w:r>
      <w:r>
        <w:rPr>
          <w:spacing w:val="-6"/>
        </w:rPr>
        <w:t xml:space="preserve"> </w:t>
      </w:r>
      <w:r>
        <w:t>2019.</w:t>
      </w:r>
    </w:p>
    <w:p w:rsidR="003F5784" w14:paraId="5B7BBCDE" w14:textId="77777777">
      <w:pPr>
        <w:pStyle w:val="BodyText"/>
        <w:spacing w:before="210" w:line="232" w:lineRule="auto"/>
        <w:ind w:left="109"/>
      </w:pPr>
      <w:r>
        <w:t>The</w:t>
      </w:r>
      <w:r>
        <w:rPr>
          <w:spacing w:val="-7"/>
        </w:rPr>
        <w:t xml:space="preserve"> </w:t>
      </w:r>
      <w:r>
        <w:t>table</w:t>
      </w:r>
      <w:r>
        <w:rPr>
          <w:spacing w:val="-7"/>
        </w:rPr>
        <w:t xml:space="preserve"> </w:t>
      </w:r>
      <w:r>
        <w:t>below</w:t>
      </w:r>
      <w:r>
        <w:rPr>
          <w:spacing w:val="-7"/>
        </w:rPr>
        <w:t xml:space="preserve"> </w:t>
      </w:r>
      <w:r>
        <w:t>shows</w:t>
      </w:r>
      <w:r>
        <w:rPr>
          <w:spacing w:val="-7"/>
        </w:rPr>
        <w:t xml:space="preserve"> </w:t>
      </w:r>
      <w:r>
        <w:t>the</w:t>
      </w:r>
      <w:r>
        <w:rPr>
          <w:spacing w:val="-7"/>
        </w:rPr>
        <w:t xml:space="preserve"> </w:t>
      </w:r>
      <w:r>
        <w:t>distribution</w:t>
      </w:r>
      <w:r>
        <w:rPr>
          <w:spacing w:val="-7"/>
        </w:rPr>
        <w:t xml:space="preserve"> </w:t>
      </w:r>
      <w:r>
        <w:t>of</w:t>
      </w:r>
      <w:r>
        <w:rPr>
          <w:spacing w:val="-7"/>
        </w:rPr>
        <w:t xml:space="preserve"> </w:t>
      </w:r>
      <w:r>
        <w:t>the</w:t>
      </w:r>
      <w:r>
        <w:rPr>
          <w:spacing w:val="-7"/>
        </w:rPr>
        <w:t xml:space="preserve"> </w:t>
      </w:r>
      <w:r>
        <w:t>2022</w:t>
      </w:r>
      <w:r>
        <w:rPr>
          <w:spacing w:val="-7"/>
        </w:rPr>
        <w:t xml:space="preserve"> </w:t>
      </w:r>
      <w:r>
        <w:t>sample</w:t>
      </w:r>
      <w:r>
        <w:rPr>
          <w:spacing w:val="-7"/>
        </w:rPr>
        <w:t xml:space="preserve"> </w:t>
      </w:r>
      <w:r>
        <w:t>PSUs</w:t>
      </w:r>
      <w:r>
        <w:rPr>
          <w:spacing w:val="-7"/>
        </w:rPr>
        <w:t xml:space="preserve"> </w:t>
      </w:r>
      <w:r>
        <w:t>for</w:t>
      </w:r>
      <w:r>
        <w:rPr>
          <w:spacing w:val="-7"/>
        </w:rPr>
        <w:t xml:space="preserve"> </w:t>
      </w:r>
      <w:r>
        <w:t>each</w:t>
      </w:r>
      <w:r>
        <w:rPr>
          <w:spacing w:val="-7"/>
        </w:rPr>
        <w:t xml:space="preserve"> </w:t>
      </w:r>
      <w:r>
        <w:t>assessment</w:t>
      </w:r>
      <w:r>
        <w:rPr>
          <w:spacing w:val="-7"/>
        </w:rPr>
        <w:t xml:space="preserve"> </w:t>
      </w:r>
      <w:r>
        <w:t>by</w:t>
      </w:r>
      <w:r>
        <w:rPr>
          <w:spacing w:val="-7"/>
        </w:rPr>
        <w:t xml:space="preserve"> </w:t>
      </w:r>
      <w:r>
        <w:t>metropolitan</w:t>
      </w:r>
      <w:r>
        <w:rPr>
          <w:spacing w:val="-7"/>
        </w:rPr>
        <w:t xml:space="preserve"> </w:t>
      </w:r>
      <w:r>
        <w:t>status</w:t>
      </w:r>
      <w:r>
        <w:rPr>
          <w:spacing w:val="-7"/>
        </w:rPr>
        <w:t xml:space="preserve"> </w:t>
      </w:r>
      <w:r>
        <w:t>(metropolitan/non-metropolitan),</w:t>
      </w:r>
      <w:r>
        <w:rPr>
          <w:spacing w:val="-7"/>
        </w:rPr>
        <w:t xml:space="preserve"> </w:t>
      </w:r>
      <w:r>
        <w:t>census</w:t>
      </w:r>
      <w:r>
        <w:rPr>
          <w:spacing w:val="-7"/>
        </w:rPr>
        <w:t xml:space="preserve"> </w:t>
      </w:r>
      <w:r>
        <w:t>region,</w:t>
      </w:r>
      <w:r>
        <w:rPr>
          <w:spacing w:val="-7"/>
        </w:rPr>
        <w:t xml:space="preserve"> </w:t>
      </w:r>
      <w:r>
        <w:t>and certainty/metropolitan status.</w:t>
      </w:r>
    </w:p>
    <w:p w:rsidR="003F5784" w14:paraId="35096625" w14:textId="77777777">
      <w:pPr>
        <w:pStyle w:val="BodyText"/>
        <w:spacing w:before="98"/>
      </w:pPr>
    </w:p>
    <w:p w:rsidR="003F5784" w14:paraId="44A05695" w14:textId="77777777">
      <w:pPr>
        <w:pStyle w:val="Heading2"/>
        <w:spacing w:line="232" w:lineRule="auto"/>
      </w:pPr>
      <w:r>
        <w:t>Distribution</w:t>
      </w:r>
      <w:r>
        <w:rPr>
          <w:spacing w:val="-9"/>
        </w:rPr>
        <w:t xml:space="preserve"> </w:t>
      </w:r>
      <w:r>
        <w:t>of</w:t>
      </w:r>
      <w:r>
        <w:rPr>
          <w:spacing w:val="-9"/>
        </w:rPr>
        <w:t xml:space="preserve"> </w:t>
      </w:r>
      <w:r>
        <w:t>sampled</w:t>
      </w:r>
      <w:r>
        <w:rPr>
          <w:spacing w:val="-9"/>
        </w:rPr>
        <w:t xml:space="preserve"> </w:t>
      </w:r>
      <w:r>
        <w:t>primary</w:t>
      </w:r>
      <w:r>
        <w:rPr>
          <w:spacing w:val="-9"/>
        </w:rPr>
        <w:t xml:space="preserve"> </w:t>
      </w:r>
      <w:r>
        <w:t>sampling</w:t>
      </w:r>
      <w:r>
        <w:rPr>
          <w:spacing w:val="-9"/>
        </w:rPr>
        <w:t xml:space="preserve"> </w:t>
      </w:r>
      <w:r>
        <w:t>units</w:t>
      </w:r>
      <w:r>
        <w:rPr>
          <w:spacing w:val="-9"/>
        </w:rPr>
        <w:t xml:space="preserve"> </w:t>
      </w:r>
      <w:r>
        <w:t>(PSUs)</w:t>
      </w:r>
      <w:r>
        <w:rPr>
          <w:spacing w:val="-9"/>
        </w:rPr>
        <w:t xml:space="preserve"> </w:t>
      </w:r>
      <w:r>
        <w:t>for</w:t>
      </w:r>
      <w:r>
        <w:rPr>
          <w:spacing w:val="-13"/>
        </w:rPr>
        <w:t xml:space="preserve"> </w:t>
      </w:r>
      <w:r>
        <w:t>the</w:t>
      </w:r>
      <w:r>
        <w:rPr>
          <w:spacing w:val="-9"/>
        </w:rPr>
        <w:t xml:space="preserve"> </w:t>
      </w:r>
      <w:r>
        <w:t>long-term</w:t>
      </w:r>
      <w:r>
        <w:rPr>
          <w:spacing w:val="-9"/>
        </w:rPr>
        <w:t xml:space="preserve"> </w:t>
      </w:r>
      <w:r>
        <w:t>trend</w:t>
      </w:r>
      <w:r>
        <w:rPr>
          <w:spacing w:val="-9"/>
        </w:rPr>
        <w:t xml:space="preserve"> </w:t>
      </w:r>
      <w:r>
        <w:t>(LTT)</w:t>
      </w:r>
      <w:r>
        <w:rPr>
          <w:spacing w:val="-9"/>
        </w:rPr>
        <w:t xml:space="preserve"> </w:t>
      </w:r>
      <w:r>
        <w:t>assessments,</w:t>
      </w:r>
      <w:r>
        <w:rPr>
          <w:spacing w:val="-9"/>
        </w:rPr>
        <w:t xml:space="preserve"> </w:t>
      </w:r>
      <w:r>
        <w:t>by</w:t>
      </w:r>
      <w:r>
        <w:rPr>
          <w:spacing w:val="-9"/>
        </w:rPr>
        <w:t xml:space="preserve"> </w:t>
      </w:r>
      <w:r>
        <w:t>metropolitan</w:t>
      </w:r>
      <w:r>
        <w:rPr>
          <w:spacing w:val="-9"/>
        </w:rPr>
        <w:t xml:space="preserve"> </w:t>
      </w:r>
      <w:r>
        <w:t>status,</w:t>
      </w:r>
      <w:r>
        <w:rPr>
          <w:spacing w:val="-9"/>
        </w:rPr>
        <w:t xml:space="preserve"> </w:t>
      </w:r>
      <w:r>
        <w:t>census</w:t>
      </w:r>
      <w:r>
        <w:rPr>
          <w:spacing w:val="-9"/>
        </w:rPr>
        <w:t xml:space="preserve"> </w:t>
      </w:r>
      <w:r>
        <w:t>region,</w:t>
      </w:r>
      <w:r>
        <w:rPr>
          <w:spacing w:val="-9"/>
        </w:rPr>
        <w:t xml:space="preserve"> </w:t>
      </w:r>
      <w:r>
        <w:t>and certainty/metropolitan status: 2022</w:t>
      </w:r>
    </w:p>
    <w:p w:rsidR="003F5784" w14:paraId="5626745C" w14:textId="77777777">
      <w:pPr>
        <w:pStyle w:val="BodyText"/>
        <w:spacing w:before="1"/>
        <w:rPr>
          <w:b/>
          <w:sz w:val="12"/>
        </w:rPr>
      </w:pPr>
    </w:p>
    <w:tbl>
      <w:tblPr>
        <w:tblW w:w="0" w:type="auto"/>
        <w:tblInd w:w="482" w:type="dxa"/>
        <w:tblLayout w:type="fixed"/>
        <w:tblCellMar>
          <w:left w:w="0" w:type="dxa"/>
          <w:right w:w="0" w:type="dxa"/>
        </w:tblCellMar>
        <w:tblLook w:val="01E0"/>
      </w:tblPr>
      <w:tblGrid>
        <w:gridCol w:w="7867"/>
        <w:gridCol w:w="6117"/>
      </w:tblGrid>
      <w:tr w14:paraId="18122E28" w14:textId="77777777">
        <w:tblPrEx>
          <w:tblW w:w="0" w:type="auto"/>
          <w:tblInd w:w="482" w:type="dxa"/>
          <w:tblLayout w:type="fixed"/>
          <w:tblCellMar>
            <w:left w:w="0" w:type="dxa"/>
            <w:right w:w="0" w:type="dxa"/>
          </w:tblCellMar>
          <w:tblLook w:val="01E0"/>
        </w:tblPrEx>
        <w:trPr>
          <w:trHeight w:val="267"/>
        </w:trPr>
        <w:tc>
          <w:tcPr>
            <w:tcW w:w="7867" w:type="dxa"/>
            <w:tcBorders>
              <w:top w:val="single" w:sz="18" w:space="0" w:color="800000"/>
              <w:bottom w:val="single" w:sz="18" w:space="0" w:color="800000"/>
            </w:tcBorders>
          </w:tcPr>
          <w:p w:rsidR="003F5784" w14:paraId="1C4ACC49" w14:textId="77777777">
            <w:pPr>
              <w:pStyle w:val="TableParagraph"/>
              <w:spacing w:before="9" w:line="238" w:lineRule="exact"/>
              <w:ind w:left="120"/>
              <w:jc w:val="left"/>
              <w:rPr>
                <w:sz w:val="21"/>
              </w:rPr>
            </w:pPr>
            <w:r>
              <w:rPr>
                <w:sz w:val="21"/>
              </w:rPr>
              <w:t>Metropolitan</w:t>
            </w:r>
            <w:r>
              <w:rPr>
                <w:spacing w:val="-10"/>
                <w:sz w:val="21"/>
              </w:rPr>
              <w:t xml:space="preserve"> </w:t>
            </w:r>
            <w:r>
              <w:rPr>
                <w:sz w:val="21"/>
              </w:rPr>
              <w:t>status,</w:t>
            </w:r>
            <w:r>
              <w:rPr>
                <w:spacing w:val="-9"/>
                <w:sz w:val="21"/>
              </w:rPr>
              <w:t xml:space="preserve"> </w:t>
            </w:r>
            <w:r>
              <w:rPr>
                <w:sz w:val="21"/>
              </w:rPr>
              <w:t>census</w:t>
            </w:r>
            <w:r>
              <w:rPr>
                <w:spacing w:val="-9"/>
                <w:sz w:val="21"/>
              </w:rPr>
              <w:t xml:space="preserve"> </w:t>
            </w:r>
            <w:r>
              <w:rPr>
                <w:sz w:val="21"/>
              </w:rPr>
              <w:t>region,</w:t>
            </w:r>
            <w:r>
              <w:rPr>
                <w:spacing w:val="-9"/>
                <w:sz w:val="21"/>
              </w:rPr>
              <w:t xml:space="preserve"> </w:t>
            </w:r>
            <w:r>
              <w:rPr>
                <w:sz w:val="21"/>
              </w:rPr>
              <w:t>or</w:t>
            </w:r>
            <w:r>
              <w:rPr>
                <w:spacing w:val="-9"/>
                <w:sz w:val="21"/>
              </w:rPr>
              <w:t xml:space="preserve"> </w:t>
            </w:r>
            <w:r>
              <w:rPr>
                <w:sz w:val="21"/>
              </w:rPr>
              <w:t>certainty/metropolitan</w:t>
            </w:r>
            <w:r>
              <w:rPr>
                <w:spacing w:val="-9"/>
                <w:sz w:val="21"/>
              </w:rPr>
              <w:t xml:space="preserve"> </w:t>
            </w:r>
            <w:r>
              <w:rPr>
                <w:spacing w:val="-2"/>
                <w:sz w:val="21"/>
              </w:rPr>
              <w:t>status</w:t>
            </w:r>
          </w:p>
        </w:tc>
        <w:tc>
          <w:tcPr>
            <w:tcW w:w="6117" w:type="dxa"/>
            <w:tcBorders>
              <w:top w:val="single" w:sz="18" w:space="0" w:color="800000"/>
              <w:bottom w:val="single" w:sz="18" w:space="0" w:color="800000"/>
            </w:tcBorders>
          </w:tcPr>
          <w:p w:rsidR="003F5784" w14:paraId="7C8BBE58" w14:textId="77777777">
            <w:pPr>
              <w:pStyle w:val="TableParagraph"/>
              <w:spacing w:before="9" w:line="238" w:lineRule="exact"/>
              <w:ind w:right="117"/>
              <w:rPr>
                <w:sz w:val="21"/>
              </w:rPr>
            </w:pPr>
            <w:r>
              <w:rPr>
                <w:sz w:val="21"/>
              </w:rPr>
              <w:t>Number</w:t>
            </w:r>
            <w:r>
              <w:rPr>
                <w:spacing w:val="-7"/>
                <w:sz w:val="21"/>
              </w:rPr>
              <w:t xml:space="preserve"> </w:t>
            </w:r>
            <w:r>
              <w:rPr>
                <w:sz w:val="21"/>
              </w:rPr>
              <w:t>of</w:t>
            </w:r>
            <w:r>
              <w:rPr>
                <w:spacing w:val="-6"/>
                <w:sz w:val="21"/>
              </w:rPr>
              <w:t xml:space="preserve"> </w:t>
            </w:r>
            <w:r>
              <w:rPr>
                <w:sz w:val="21"/>
              </w:rPr>
              <w:t>sampled</w:t>
            </w:r>
            <w:r>
              <w:rPr>
                <w:spacing w:val="-6"/>
                <w:sz w:val="21"/>
              </w:rPr>
              <w:t xml:space="preserve"> </w:t>
            </w:r>
            <w:r>
              <w:rPr>
                <w:sz w:val="21"/>
              </w:rPr>
              <w:t>PSUs</w:t>
            </w:r>
            <w:r>
              <w:rPr>
                <w:spacing w:val="-6"/>
                <w:sz w:val="21"/>
              </w:rPr>
              <w:t xml:space="preserve"> </w:t>
            </w:r>
            <w:r>
              <w:rPr>
                <w:sz w:val="21"/>
              </w:rPr>
              <w:t>for</w:t>
            </w:r>
            <w:r>
              <w:rPr>
                <w:spacing w:val="-6"/>
                <w:sz w:val="21"/>
              </w:rPr>
              <w:t xml:space="preserve"> </w:t>
            </w:r>
            <w:r>
              <w:rPr>
                <w:sz w:val="21"/>
              </w:rPr>
              <w:t>long-term</w:t>
            </w:r>
            <w:r>
              <w:rPr>
                <w:spacing w:val="-7"/>
                <w:sz w:val="21"/>
              </w:rPr>
              <w:t xml:space="preserve"> </w:t>
            </w:r>
            <w:r>
              <w:rPr>
                <w:spacing w:val="-2"/>
                <w:sz w:val="21"/>
              </w:rPr>
              <w:t>trend</w:t>
            </w:r>
          </w:p>
        </w:tc>
      </w:tr>
      <w:tr w14:paraId="5E3924C3" w14:textId="77777777">
        <w:tblPrEx>
          <w:tblW w:w="0" w:type="auto"/>
          <w:tblInd w:w="482" w:type="dxa"/>
          <w:tblLayout w:type="fixed"/>
          <w:tblCellMar>
            <w:left w:w="0" w:type="dxa"/>
            <w:right w:w="0" w:type="dxa"/>
          </w:tblCellMar>
          <w:tblLook w:val="01E0"/>
        </w:tblPrEx>
        <w:trPr>
          <w:trHeight w:val="278"/>
        </w:trPr>
        <w:tc>
          <w:tcPr>
            <w:tcW w:w="7867" w:type="dxa"/>
            <w:tcBorders>
              <w:top w:val="single" w:sz="18" w:space="0" w:color="800000"/>
            </w:tcBorders>
          </w:tcPr>
          <w:p w:rsidR="003F5784" w14:paraId="0C81757F" w14:textId="77777777">
            <w:pPr>
              <w:pStyle w:val="TableParagraph"/>
              <w:spacing w:before="9"/>
              <w:ind w:left="627"/>
              <w:jc w:val="left"/>
              <w:rPr>
                <w:b/>
                <w:sz w:val="21"/>
              </w:rPr>
            </w:pPr>
            <w:r>
              <w:rPr>
                <w:b/>
                <w:spacing w:val="-2"/>
                <w:sz w:val="21"/>
              </w:rPr>
              <w:t>Total</w:t>
            </w:r>
          </w:p>
        </w:tc>
        <w:tc>
          <w:tcPr>
            <w:tcW w:w="6117" w:type="dxa"/>
            <w:tcBorders>
              <w:top w:val="single" w:sz="18" w:space="0" w:color="800000"/>
            </w:tcBorders>
          </w:tcPr>
          <w:p w:rsidR="003F5784" w14:paraId="5D854F1E" w14:textId="77777777">
            <w:pPr>
              <w:pStyle w:val="TableParagraph"/>
              <w:spacing w:before="9"/>
              <w:ind w:right="117"/>
              <w:rPr>
                <w:b/>
                <w:sz w:val="21"/>
              </w:rPr>
            </w:pPr>
            <w:r>
              <w:rPr>
                <w:b/>
                <w:spacing w:val="-5"/>
                <w:sz w:val="21"/>
              </w:rPr>
              <w:t>105</w:t>
            </w:r>
          </w:p>
        </w:tc>
      </w:tr>
      <w:tr w14:paraId="14CDC205" w14:textId="77777777">
        <w:tblPrEx>
          <w:tblW w:w="0" w:type="auto"/>
          <w:tblInd w:w="482" w:type="dxa"/>
          <w:tblLayout w:type="fixed"/>
          <w:tblCellMar>
            <w:left w:w="0" w:type="dxa"/>
            <w:right w:w="0" w:type="dxa"/>
          </w:tblCellMar>
          <w:tblLook w:val="01E0"/>
        </w:tblPrEx>
        <w:trPr>
          <w:trHeight w:val="286"/>
        </w:trPr>
        <w:tc>
          <w:tcPr>
            <w:tcW w:w="7867" w:type="dxa"/>
          </w:tcPr>
          <w:p w:rsidR="003F5784" w14:paraId="51443823" w14:textId="77777777">
            <w:pPr>
              <w:pStyle w:val="TableParagraph"/>
              <w:ind w:left="120"/>
              <w:jc w:val="left"/>
              <w:rPr>
                <w:sz w:val="21"/>
              </w:rPr>
            </w:pPr>
            <w:r>
              <w:rPr>
                <w:sz w:val="21"/>
              </w:rPr>
              <w:t>Metropolitan</w:t>
            </w:r>
            <w:r>
              <w:rPr>
                <w:spacing w:val="-12"/>
                <w:sz w:val="21"/>
              </w:rPr>
              <w:t xml:space="preserve"> </w:t>
            </w:r>
            <w:r>
              <w:rPr>
                <w:spacing w:val="-2"/>
                <w:sz w:val="21"/>
              </w:rPr>
              <w:t>status</w:t>
            </w:r>
          </w:p>
        </w:tc>
        <w:tc>
          <w:tcPr>
            <w:tcW w:w="6117" w:type="dxa"/>
          </w:tcPr>
          <w:p w:rsidR="003F5784" w14:paraId="412A74C0" w14:textId="77777777">
            <w:pPr>
              <w:pStyle w:val="TableParagraph"/>
              <w:spacing w:before="0"/>
              <w:jc w:val="left"/>
              <w:rPr>
                <w:sz w:val="20"/>
              </w:rPr>
            </w:pPr>
          </w:p>
        </w:tc>
      </w:tr>
      <w:tr w14:paraId="0332714C" w14:textId="77777777">
        <w:tblPrEx>
          <w:tblW w:w="0" w:type="auto"/>
          <w:tblInd w:w="482" w:type="dxa"/>
          <w:tblLayout w:type="fixed"/>
          <w:tblCellMar>
            <w:left w:w="0" w:type="dxa"/>
            <w:right w:w="0" w:type="dxa"/>
          </w:tblCellMar>
          <w:tblLook w:val="01E0"/>
        </w:tblPrEx>
        <w:trPr>
          <w:trHeight w:val="286"/>
        </w:trPr>
        <w:tc>
          <w:tcPr>
            <w:tcW w:w="7867" w:type="dxa"/>
          </w:tcPr>
          <w:p w:rsidR="003F5784" w14:paraId="3498EC3F" w14:textId="77777777">
            <w:pPr>
              <w:pStyle w:val="TableParagraph"/>
              <w:ind w:left="224"/>
              <w:jc w:val="left"/>
              <w:rPr>
                <w:sz w:val="21"/>
              </w:rPr>
            </w:pPr>
            <w:r>
              <w:rPr>
                <w:spacing w:val="-2"/>
                <w:sz w:val="21"/>
              </w:rPr>
              <w:t>Metropolitan</w:t>
            </w:r>
          </w:p>
        </w:tc>
        <w:tc>
          <w:tcPr>
            <w:tcW w:w="6117" w:type="dxa"/>
          </w:tcPr>
          <w:p w:rsidR="003F5784" w14:paraId="69ABE9BA" w14:textId="77777777">
            <w:pPr>
              <w:pStyle w:val="TableParagraph"/>
              <w:ind w:right="117"/>
              <w:rPr>
                <w:sz w:val="21"/>
              </w:rPr>
            </w:pPr>
            <w:r>
              <w:rPr>
                <w:spacing w:val="-5"/>
                <w:sz w:val="21"/>
              </w:rPr>
              <w:t>85</w:t>
            </w:r>
          </w:p>
        </w:tc>
      </w:tr>
      <w:tr w14:paraId="3B9525C0" w14:textId="77777777">
        <w:tblPrEx>
          <w:tblW w:w="0" w:type="auto"/>
          <w:tblInd w:w="482" w:type="dxa"/>
          <w:tblLayout w:type="fixed"/>
          <w:tblCellMar>
            <w:left w:w="0" w:type="dxa"/>
            <w:right w:w="0" w:type="dxa"/>
          </w:tblCellMar>
          <w:tblLook w:val="01E0"/>
        </w:tblPrEx>
        <w:trPr>
          <w:trHeight w:val="286"/>
        </w:trPr>
        <w:tc>
          <w:tcPr>
            <w:tcW w:w="7867" w:type="dxa"/>
          </w:tcPr>
          <w:p w:rsidR="003F5784" w14:paraId="4131133A" w14:textId="77777777">
            <w:pPr>
              <w:pStyle w:val="TableParagraph"/>
              <w:ind w:left="224"/>
              <w:jc w:val="left"/>
              <w:rPr>
                <w:sz w:val="21"/>
              </w:rPr>
            </w:pPr>
            <w:r>
              <w:rPr>
                <w:spacing w:val="-2"/>
                <w:sz w:val="21"/>
              </w:rPr>
              <w:t>Non-metropolitan</w:t>
            </w:r>
          </w:p>
        </w:tc>
        <w:tc>
          <w:tcPr>
            <w:tcW w:w="6117" w:type="dxa"/>
          </w:tcPr>
          <w:p w:rsidR="003F5784" w14:paraId="12BB6EC5" w14:textId="77777777">
            <w:pPr>
              <w:pStyle w:val="TableParagraph"/>
              <w:ind w:right="117"/>
              <w:rPr>
                <w:sz w:val="21"/>
              </w:rPr>
            </w:pPr>
            <w:r>
              <w:rPr>
                <w:spacing w:val="-5"/>
                <w:sz w:val="21"/>
              </w:rPr>
              <w:t>20</w:t>
            </w:r>
          </w:p>
        </w:tc>
      </w:tr>
      <w:tr w14:paraId="3DF1E5AC" w14:textId="77777777">
        <w:tblPrEx>
          <w:tblW w:w="0" w:type="auto"/>
          <w:tblInd w:w="482" w:type="dxa"/>
          <w:tblLayout w:type="fixed"/>
          <w:tblCellMar>
            <w:left w:w="0" w:type="dxa"/>
            <w:right w:w="0" w:type="dxa"/>
          </w:tblCellMar>
          <w:tblLook w:val="01E0"/>
        </w:tblPrEx>
        <w:trPr>
          <w:trHeight w:val="286"/>
        </w:trPr>
        <w:tc>
          <w:tcPr>
            <w:tcW w:w="7867" w:type="dxa"/>
          </w:tcPr>
          <w:p w:rsidR="003F5784" w14:paraId="63D61AB4" w14:textId="77777777">
            <w:pPr>
              <w:pStyle w:val="TableParagraph"/>
              <w:ind w:left="120"/>
              <w:jc w:val="left"/>
              <w:rPr>
                <w:sz w:val="21"/>
              </w:rPr>
            </w:pPr>
            <w:r>
              <w:rPr>
                <w:sz w:val="21"/>
              </w:rPr>
              <w:t>Census</w:t>
            </w:r>
            <w:r>
              <w:rPr>
                <w:spacing w:val="-8"/>
                <w:sz w:val="21"/>
              </w:rPr>
              <w:t xml:space="preserve"> </w:t>
            </w:r>
            <w:r>
              <w:rPr>
                <w:spacing w:val="-2"/>
                <w:sz w:val="21"/>
              </w:rPr>
              <w:t>region</w:t>
            </w:r>
          </w:p>
        </w:tc>
        <w:tc>
          <w:tcPr>
            <w:tcW w:w="6117" w:type="dxa"/>
          </w:tcPr>
          <w:p w:rsidR="003F5784" w14:paraId="27CB5112" w14:textId="77777777">
            <w:pPr>
              <w:pStyle w:val="TableParagraph"/>
              <w:spacing w:before="0"/>
              <w:jc w:val="left"/>
              <w:rPr>
                <w:sz w:val="20"/>
              </w:rPr>
            </w:pPr>
          </w:p>
        </w:tc>
      </w:tr>
      <w:tr w14:paraId="4A477D2B" w14:textId="77777777">
        <w:tblPrEx>
          <w:tblW w:w="0" w:type="auto"/>
          <w:tblInd w:w="482" w:type="dxa"/>
          <w:tblLayout w:type="fixed"/>
          <w:tblCellMar>
            <w:left w:w="0" w:type="dxa"/>
            <w:right w:w="0" w:type="dxa"/>
          </w:tblCellMar>
          <w:tblLook w:val="01E0"/>
        </w:tblPrEx>
        <w:trPr>
          <w:trHeight w:val="286"/>
        </w:trPr>
        <w:tc>
          <w:tcPr>
            <w:tcW w:w="7867" w:type="dxa"/>
          </w:tcPr>
          <w:p w:rsidR="003F5784" w14:paraId="0404D1ED" w14:textId="77777777">
            <w:pPr>
              <w:pStyle w:val="TableParagraph"/>
              <w:ind w:left="224"/>
              <w:jc w:val="left"/>
              <w:rPr>
                <w:sz w:val="21"/>
              </w:rPr>
            </w:pPr>
            <w:r>
              <w:rPr>
                <w:spacing w:val="-2"/>
                <w:sz w:val="21"/>
              </w:rPr>
              <w:t>Northeast</w:t>
            </w:r>
          </w:p>
        </w:tc>
        <w:tc>
          <w:tcPr>
            <w:tcW w:w="6117" w:type="dxa"/>
          </w:tcPr>
          <w:p w:rsidR="003F5784" w14:paraId="47F62DCA" w14:textId="77777777">
            <w:pPr>
              <w:pStyle w:val="TableParagraph"/>
              <w:ind w:right="117"/>
              <w:rPr>
                <w:sz w:val="21"/>
              </w:rPr>
            </w:pPr>
            <w:r>
              <w:rPr>
                <w:spacing w:val="-5"/>
                <w:sz w:val="21"/>
              </w:rPr>
              <w:t>13</w:t>
            </w:r>
          </w:p>
        </w:tc>
      </w:tr>
      <w:tr w14:paraId="3C26CA19" w14:textId="77777777">
        <w:tblPrEx>
          <w:tblW w:w="0" w:type="auto"/>
          <w:tblInd w:w="482" w:type="dxa"/>
          <w:tblLayout w:type="fixed"/>
          <w:tblCellMar>
            <w:left w:w="0" w:type="dxa"/>
            <w:right w:w="0" w:type="dxa"/>
          </w:tblCellMar>
          <w:tblLook w:val="01E0"/>
        </w:tblPrEx>
        <w:trPr>
          <w:trHeight w:val="286"/>
        </w:trPr>
        <w:tc>
          <w:tcPr>
            <w:tcW w:w="7867" w:type="dxa"/>
          </w:tcPr>
          <w:p w:rsidR="003F5784" w14:paraId="3399ABD8" w14:textId="77777777">
            <w:pPr>
              <w:pStyle w:val="TableParagraph"/>
              <w:ind w:left="224"/>
              <w:jc w:val="left"/>
              <w:rPr>
                <w:sz w:val="21"/>
              </w:rPr>
            </w:pPr>
            <w:r>
              <w:rPr>
                <w:spacing w:val="-2"/>
                <w:sz w:val="21"/>
              </w:rPr>
              <w:t>Midwest</w:t>
            </w:r>
          </w:p>
        </w:tc>
        <w:tc>
          <w:tcPr>
            <w:tcW w:w="6117" w:type="dxa"/>
          </w:tcPr>
          <w:p w:rsidR="003F5784" w14:paraId="2962536A" w14:textId="77777777">
            <w:pPr>
              <w:pStyle w:val="TableParagraph"/>
              <w:ind w:right="117"/>
              <w:rPr>
                <w:sz w:val="21"/>
              </w:rPr>
            </w:pPr>
            <w:r>
              <w:rPr>
                <w:spacing w:val="-5"/>
                <w:sz w:val="21"/>
              </w:rPr>
              <w:t>23</w:t>
            </w:r>
          </w:p>
        </w:tc>
      </w:tr>
      <w:tr w14:paraId="1B72A002" w14:textId="77777777">
        <w:tblPrEx>
          <w:tblW w:w="0" w:type="auto"/>
          <w:tblInd w:w="482" w:type="dxa"/>
          <w:tblLayout w:type="fixed"/>
          <w:tblCellMar>
            <w:left w:w="0" w:type="dxa"/>
            <w:right w:w="0" w:type="dxa"/>
          </w:tblCellMar>
          <w:tblLook w:val="01E0"/>
        </w:tblPrEx>
        <w:trPr>
          <w:trHeight w:val="286"/>
        </w:trPr>
        <w:tc>
          <w:tcPr>
            <w:tcW w:w="7867" w:type="dxa"/>
          </w:tcPr>
          <w:p w:rsidR="003F5784" w14:paraId="3723EA96" w14:textId="77777777">
            <w:pPr>
              <w:pStyle w:val="TableParagraph"/>
              <w:ind w:left="224"/>
              <w:jc w:val="left"/>
              <w:rPr>
                <w:sz w:val="21"/>
              </w:rPr>
            </w:pPr>
            <w:r>
              <w:rPr>
                <w:spacing w:val="-2"/>
                <w:sz w:val="21"/>
              </w:rPr>
              <w:t>South</w:t>
            </w:r>
          </w:p>
        </w:tc>
        <w:tc>
          <w:tcPr>
            <w:tcW w:w="6117" w:type="dxa"/>
          </w:tcPr>
          <w:p w:rsidR="003F5784" w14:paraId="77EB5D99" w14:textId="77777777">
            <w:pPr>
              <w:pStyle w:val="TableParagraph"/>
              <w:ind w:right="117"/>
              <w:rPr>
                <w:sz w:val="21"/>
              </w:rPr>
            </w:pPr>
            <w:r>
              <w:rPr>
                <w:spacing w:val="-5"/>
                <w:sz w:val="21"/>
              </w:rPr>
              <w:t>41</w:t>
            </w:r>
          </w:p>
        </w:tc>
      </w:tr>
      <w:tr w14:paraId="158A01C7" w14:textId="77777777">
        <w:tblPrEx>
          <w:tblW w:w="0" w:type="auto"/>
          <w:tblInd w:w="482" w:type="dxa"/>
          <w:tblLayout w:type="fixed"/>
          <w:tblCellMar>
            <w:left w:w="0" w:type="dxa"/>
            <w:right w:w="0" w:type="dxa"/>
          </w:tblCellMar>
          <w:tblLook w:val="01E0"/>
        </w:tblPrEx>
        <w:trPr>
          <w:trHeight w:val="286"/>
        </w:trPr>
        <w:tc>
          <w:tcPr>
            <w:tcW w:w="7867" w:type="dxa"/>
          </w:tcPr>
          <w:p w:rsidR="003F5784" w14:paraId="17713616" w14:textId="77777777">
            <w:pPr>
              <w:pStyle w:val="TableParagraph"/>
              <w:ind w:left="220"/>
              <w:jc w:val="left"/>
              <w:rPr>
                <w:sz w:val="21"/>
              </w:rPr>
            </w:pPr>
            <w:r>
              <w:rPr>
                <w:spacing w:val="-4"/>
                <w:sz w:val="21"/>
              </w:rPr>
              <w:t>West</w:t>
            </w:r>
          </w:p>
        </w:tc>
        <w:tc>
          <w:tcPr>
            <w:tcW w:w="6117" w:type="dxa"/>
          </w:tcPr>
          <w:p w:rsidR="003F5784" w14:paraId="6D3496CC" w14:textId="77777777">
            <w:pPr>
              <w:pStyle w:val="TableParagraph"/>
              <w:ind w:right="117"/>
              <w:rPr>
                <w:sz w:val="21"/>
              </w:rPr>
            </w:pPr>
            <w:r>
              <w:rPr>
                <w:spacing w:val="-5"/>
                <w:sz w:val="21"/>
              </w:rPr>
              <w:t>28</w:t>
            </w:r>
          </w:p>
        </w:tc>
      </w:tr>
      <w:tr w14:paraId="3EFFAFB8" w14:textId="77777777">
        <w:tblPrEx>
          <w:tblW w:w="0" w:type="auto"/>
          <w:tblInd w:w="482" w:type="dxa"/>
          <w:tblLayout w:type="fixed"/>
          <w:tblCellMar>
            <w:left w:w="0" w:type="dxa"/>
            <w:right w:w="0" w:type="dxa"/>
          </w:tblCellMar>
          <w:tblLook w:val="01E0"/>
        </w:tblPrEx>
        <w:trPr>
          <w:trHeight w:val="286"/>
        </w:trPr>
        <w:tc>
          <w:tcPr>
            <w:tcW w:w="7867" w:type="dxa"/>
          </w:tcPr>
          <w:p w:rsidR="003F5784" w14:paraId="6A72F7E5" w14:textId="77777777">
            <w:pPr>
              <w:pStyle w:val="TableParagraph"/>
              <w:ind w:left="120"/>
              <w:jc w:val="left"/>
              <w:rPr>
                <w:sz w:val="21"/>
              </w:rPr>
            </w:pPr>
            <w:r>
              <w:rPr>
                <w:spacing w:val="-2"/>
                <w:sz w:val="21"/>
              </w:rPr>
              <w:t>Certainty/metropolitan</w:t>
            </w:r>
            <w:r>
              <w:rPr>
                <w:spacing w:val="23"/>
                <w:sz w:val="21"/>
              </w:rPr>
              <w:t xml:space="preserve"> </w:t>
            </w:r>
            <w:r>
              <w:rPr>
                <w:spacing w:val="-2"/>
                <w:sz w:val="21"/>
              </w:rPr>
              <w:t>status</w:t>
            </w:r>
          </w:p>
        </w:tc>
        <w:tc>
          <w:tcPr>
            <w:tcW w:w="6117" w:type="dxa"/>
          </w:tcPr>
          <w:p w:rsidR="003F5784" w14:paraId="579D0CC4" w14:textId="77777777">
            <w:pPr>
              <w:pStyle w:val="TableParagraph"/>
              <w:spacing w:before="0"/>
              <w:jc w:val="left"/>
              <w:rPr>
                <w:sz w:val="20"/>
              </w:rPr>
            </w:pPr>
          </w:p>
        </w:tc>
      </w:tr>
      <w:tr w14:paraId="2FCC4513" w14:textId="77777777">
        <w:tblPrEx>
          <w:tblW w:w="0" w:type="auto"/>
          <w:tblInd w:w="482" w:type="dxa"/>
          <w:tblLayout w:type="fixed"/>
          <w:tblCellMar>
            <w:left w:w="0" w:type="dxa"/>
            <w:right w:w="0" w:type="dxa"/>
          </w:tblCellMar>
          <w:tblLook w:val="01E0"/>
        </w:tblPrEx>
        <w:trPr>
          <w:trHeight w:val="286"/>
        </w:trPr>
        <w:tc>
          <w:tcPr>
            <w:tcW w:w="7867" w:type="dxa"/>
          </w:tcPr>
          <w:p w:rsidR="003F5784" w14:paraId="7204EAA0" w14:textId="77777777">
            <w:pPr>
              <w:pStyle w:val="TableParagraph"/>
              <w:ind w:left="224"/>
              <w:jc w:val="left"/>
              <w:rPr>
                <w:sz w:val="21"/>
              </w:rPr>
            </w:pPr>
            <w:r>
              <w:rPr>
                <w:spacing w:val="-2"/>
                <w:sz w:val="21"/>
              </w:rPr>
              <w:t>Certainty</w:t>
            </w:r>
          </w:p>
        </w:tc>
        <w:tc>
          <w:tcPr>
            <w:tcW w:w="6117" w:type="dxa"/>
          </w:tcPr>
          <w:p w:rsidR="003F5784" w14:paraId="41A9F296" w14:textId="77777777">
            <w:pPr>
              <w:pStyle w:val="TableParagraph"/>
              <w:ind w:right="117"/>
              <w:rPr>
                <w:sz w:val="21"/>
              </w:rPr>
            </w:pPr>
            <w:r>
              <w:rPr>
                <w:spacing w:val="-5"/>
                <w:sz w:val="21"/>
              </w:rPr>
              <w:t>29</w:t>
            </w:r>
          </w:p>
        </w:tc>
      </w:tr>
      <w:tr w14:paraId="5AC00D82" w14:textId="77777777">
        <w:tblPrEx>
          <w:tblW w:w="0" w:type="auto"/>
          <w:tblInd w:w="482" w:type="dxa"/>
          <w:tblLayout w:type="fixed"/>
          <w:tblCellMar>
            <w:left w:w="0" w:type="dxa"/>
            <w:right w:w="0" w:type="dxa"/>
          </w:tblCellMar>
          <w:tblLook w:val="01E0"/>
        </w:tblPrEx>
        <w:trPr>
          <w:trHeight w:val="286"/>
        </w:trPr>
        <w:tc>
          <w:tcPr>
            <w:tcW w:w="7867" w:type="dxa"/>
          </w:tcPr>
          <w:p w:rsidR="003F5784" w14:paraId="4A82C8E9" w14:textId="77777777">
            <w:pPr>
              <w:pStyle w:val="TableParagraph"/>
              <w:ind w:left="224"/>
              <w:jc w:val="left"/>
              <w:rPr>
                <w:sz w:val="21"/>
              </w:rPr>
            </w:pPr>
            <w:r>
              <w:rPr>
                <w:sz w:val="21"/>
              </w:rPr>
              <w:t>Non-certainty</w:t>
            </w:r>
            <w:r>
              <w:rPr>
                <w:spacing w:val="-13"/>
                <w:sz w:val="21"/>
              </w:rPr>
              <w:t xml:space="preserve"> </w:t>
            </w:r>
            <w:r>
              <w:rPr>
                <w:spacing w:val="-2"/>
                <w:sz w:val="21"/>
              </w:rPr>
              <w:t>metropolitan</w:t>
            </w:r>
          </w:p>
        </w:tc>
        <w:tc>
          <w:tcPr>
            <w:tcW w:w="6117" w:type="dxa"/>
          </w:tcPr>
          <w:p w:rsidR="003F5784" w14:paraId="166278C6" w14:textId="77777777">
            <w:pPr>
              <w:pStyle w:val="TableParagraph"/>
              <w:ind w:right="117"/>
              <w:rPr>
                <w:sz w:val="21"/>
              </w:rPr>
            </w:pPr>
            <w:r>
              <w:rPr>
                <w:spacing w:val="-5"/>
                <w:sz w:val="21"/>
              </w:rPr>
              <w:t>56</w:t>
            </w:r>
          </w:p>
        </w:tc>
      </w:tr>
      <w:tr w14:paraId="2CDEBC73" w14:textId="77777777">
        <w:tblPrEx>
          <w:tblW w:w="0" w:type="auto"/>
          <w:tblInd w:w="482" w:type="dxa"/>
          <w:tblLayout w:type="fixed"/>
          <w:tblCellMar>
            <w:left w:w="0" w:type="dxa"/>
            <w:right w:w="0" w:type="dxa"/>
          </w:tblCellMar>
          <w:tblLook w:val="01E0"/>
        </w:tblPrEx>
        <w:trPr>
          <w:trHeight w:val="288"/>
        </w:trPr>
        <w:tc>
          <w:tcPr>
            <w:tcW w:w="7867" w:type="dxa"/>
            <w:tcBorders>
              <w:bottom w:val="single" w:sz="18" w:space="0" w:color="800000"/>
            </w:tcBorders>
          </w:tcPr>
          <w:p w:rsidR="003F5784" w14:paraId="14D31C4E" w14:textId="77777777">
            <w:pPr>
              <w:pStyle w:val="TableParagraph"/>
              <w:ind w:left="224"/>
              <w:jc w:val="left"/>
              <w:rPr>
                <w:sz w:val="21"/>
              </w:rPr>
            </w:pPr>
            <w:r>
              <w:rPr>
                <w:spacing w:val="-2"/>
                <w:sz w:val="21"/>
              </w:rPr>
              <w:t>Non-certainty</w:t>
            </w:r>
            <w:r>
              <w:rPr>
                <w:spacing w:val="17"/>
                <w:sz w:val="21"/>
              </w:rPr>
              <w:t xml:space="preserve"> </w:t>
            </w:r>
            <w:r>
              <w:rPr>
                <w:spacing w:val="-2"/>
                <w:sz w:val="21"/>
              </w:rPr>
              <w:t>non-metropolitan</w:t>
            </w:r>
          </w:p>
        </w:tc>
        <w:tc>
          <w:tcPr>
            <w:tcW w:w="6117" w:type="dxa"/>
            <w:tcBorders>
              <w:bottom w:val="single" w:sz="18" w:space="0" w:color="800000"/>
            </w:tcBorders>
          </w:tcPr>
          <w:p w:rsidR="003F5784" w14:paraId="01F19B48" w14:textId="77777777">
            <w:pPr>
              <w:pStyle w:val="TableParagraph"/>
              <w:ind w:right="117"/>
              <w:rPr>
                <w:sz w:val="21"/>
              </w:rPr>
            </w:pPr>
            <w:r>
              <w:rPr>
                <w:spacing w:val="-5"/>
                <w:sz w:val="21"/>
              </w:rPr>
              <w:t>20</w:t>
            </w:r>
          </w:p>
        </w:tc>
      </w:tr>
      <w:tr w14:paraId="594B90B0" w14:textId="77777777">
        <w:tblPrEx>
          <w:tblW w:w="0" w:type="auto"/>
          <w:tblInd w:w="482" w:type="dxa"/>
          <w:tblLayout w:type="fixed"/>
          <w:tblCellMar>
            <w:left w:w="0" w:type="dxa"/>
            <w:right w:w="0" w:type="dxa"/>
          </w:tblCellMar>
          <w:tblLook w:val="01E0"/>
        </w:tblPrEx>
        <w:trPr>
          <w:trHeight w:val="472"/>
        </w:trPr>
        <w:tc>
          <w:tcPr>
            <w:tcW w:w="13984" w:type="dxa"/>
            <w:gridSpan w:val="2"/>
            <w:tcBorders>
              <w:top w:val="single" w:sz="18" w:space="0" w:color="800000"/>
            </w:tcBorders>
          </w:tcPr>
          <w:p w:rsidR="003F5784" w14:paraId="77F05075" w14:textId="77777777">
            <w:pPr>
              <w:pStyle w:val="TableParagraph"/>
              <w:spacing w:before="0" w:line="234" w:lineRule="exact"/>
              <w:ind w:left="120"/>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Progress (NAEP), 2022 Long-Term Trend Assessment.</w:t>
            </w:r>
          </w:p>
        </w:tc>
      </w:tr>
    </w:tbl>
    <w:p w:rsidR="003F5784" w14:paraId="42FA9744" w14:textId="77777777">
      <w:pPr>
        <w:pStyle w:val="BodyText"/>
        <w:rPr>
          <w:b/>
        </w:rPr>
      </w:pPr>
    </w:p>
    <w:p w:rsidR="003F5784" w14:paraId="2289D1B0" w14:textId="77777777">
      <w:pPr>
        <w:pStyle w:val="BodyText"/>
        <w:rPr>
          <w:b/>
        </w:rPr>
      </w:pPr>
    </w:p>
    <w:p w:rsidR="003F5784" w14:paraId="1C3E1971" w14:textId="77777777">
      <w:pPr>
        <w:pStyle w:val="BodyText"/>
        <w:spacing w:before="203"/>
        <w:rPr>
          <w:b/>
        </w:rPr>
      </w:pPr>
    </w:p>
    <w:p w:rsidR="003F5784" w14:paraId="1562C8FD" w14:textId="77777777">
      <w:pPr>
        <w:ind w:left="4822"/>
        <w:rPr>
          <w:sz w:val="18"/>
        </w:rPr>
      </w:pPr>
      <w:hyperlink r:id="rId196">
        <w:r>
          <w:rPr>
            <w:spacing w:val="-2"/>
            <w:w w:val="105"/>
            <w:sz w:val="18"/>
          </w:rPr>
          <w:t>http://nces.ed.gov/nationsreportcard/tdw/sample_design/2022/final_primary_sampling_unit_samples_for_the_2022_assessment.aspx</w:t>
        </w:r>
      </w:hyperlink>
    </w:p>
    <w:p w:rsidR="003F5784" w14:paraId="09C54996" w14:textId="77777777">
      <w:pPr>
        <w:pStyle w:val="BodyText"/>
        <w:spacing w:before="1"/>
        <w:rPr>
          <w:sz w:val="16"/>
        </w:rPr>
      </w:pPr>
      <w:r>
        <w:rPr>
          <w:noProof/>
        </w:rPr>
        <mc:AlternateContent>
          <mc:Choice Requires="wps">
            <w:drawing>
              <wp:anchor distT="0" distB="0" distL="0" distR="0" simplePos="0" relativeHeight="251882496" behindDoc="1" locked="0" layoutInCell="1" allowOverlap="1">
                <wp:simplePos x="0" y="0"/>
                <wp:positionH relativeFrom="page">
                  <wp:posOffset>361937</wp:posOffset>
                </wp:positionH>
                <wp:positionV relativeFrom="paragraph">
                  <wp:posOffset>132679</wp:posOffset>
                </wp:positionV>
                <wp:extent cx="9339580" cy="8890"/>
                <wp:effectExtent l="0" t="0" r="0" b="0"/>
                <wp:wrapTopAndBottom/>
                <wp:docPr id="222" name="Graphic 222"/>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67"/>
                              </a:lnTo>
                              <a:lnTo>
                                <a:pt x="9335110" y="8280"/>
                              </a:lnTo>
                              <a:lnTo>
                                <a:pt x="9338970" y="8280"/>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22" o:spid="_x0000_s1111" style="width:735.4pt;height:0.7pt;margin-top:10.45pt;margin-left:28.5pt;mso-position-horizontal-relative:page;mso-wrap-distance-bottom:0;mso-wrap-distance-left:0;mso-wrap-distance-right:0;mso-wrap-distance-top:0;mso-wrap-style:square;position:absolute;visibility:visible;v-text-anchor:top;z-index:-251432960" coordsize="9339580,8890" path="m9338970,12l9335110,12l8280,12,,,,8267l9335110,8280l9338970,8280l9338970,12xe" fillcolor="gray" stroked="f">
                <v:path arrowok="t"/>
                <w10:wrap type="topAndBottom"/>
              </v:shape>
            </w:pict>
          </mc:Fallback>
        </mc:AlternateContent>
      </w:r>
    </w:p>
    <w:p w:rsidR="003F5784" w14:paraId="70A4B164" w14:textId="77777777">
      <w:pPr>
        <w:rPr>
          <w:sz w:val="16"/>
        </w:rPr>
        <w:sectPr>
          <w:pgSz w:w="15840" w:h="12240" w:orient="landscape"/>
          <w:pgMar w:top="480" w:right="440" w:bottom="460" w:left="460" w:header="284" w:footer="275" w:gutter="0"/>
          <w:cols w:space="720"/>
        </w:sectPr>
      </w:pPr>
    </w:p>
    <w:p w:rsidR="003F5784" w14:paraId="7936487A" w14:textId="716ABCD0">
      <w:pPr>
        <w:pStyle w:val="Heading1"/>
        <w:spacing w:before="81" w:line="244" w:lineRule="auto"/>
        <w:ind w:right="1264"/>
      </w:pPr>
      <w:r>
        <w:t>NAEP</w:t>
      </w:r>
      <w:r>
        <w:rPr>
          <w:spacing w:val="-13"/>
        </w:rPr>
        <w:t xml:space="preserve"> </w:t>
      </w:r>
      <w:r>
        <w:t>Technical Documentation</w:t>
      </w:r>
      <w:r w:rsidR="005F7E54">
        <w:t xml:space="preserve"> </w:t>
      </w:r>
      <w:r>
        <w:t>Primary Sampling Unit (PSU) Frame Stratification for the 2022 Assessment</w:t>
      </w:r>
    </w:p>
    <w:p w:rsidR="003F5784" w14:paraId="328779F7" w14:textId="77777777">
      <w:pPr>
        <w:pStyle w:val="BodyText"/>
        <w:spacing w:before="5"/>
        <w:rPr>
          <w:b/>
          <w:sz w:val="15"/>
        </w:rPr>
      </w:pPr>
    </w:p>
    <w:p w:rsidR="003F5784" w14:paraId="125EC622" w14:textId="77777777">
      <w:pPr>
        <w:rPr>
          <w:sz w:val="15"/>
        </w:rPr>
        <w:sectPr>
          <w:pgSz w:w="15840" w:h="12240" w:orient="landscape"/>
          <w:pgMar w:top="480" w:right="440" w:bottom="460" w:left="460" w:header="284" w:footer="275" w:gutter="0"/>
          <w:cols w:space="720"/>
        </w:sectPr>
      </w:pPr>
    </w:p>
    <w:p w:rsidR="003F5784" w14:paraId="58E3D22E" w14:textId="77777777">
      <w:pPr>
        <w:pStyle w:val="BodyText"/>
        <w:spacing w:before="96" w:line="232" w:lineRule="auto"/>
        <w:ind w:left="109" w:right="38"/>
      </w:pPr>
      <w:r>
        <w:t>The</w:t>
      </w:r>
      <w:r>
        <w:rPr>
          <w:spacing w:val="-3"/>
        </w:rPr>
        <w:t xml:space="preserve"> </w:t>
      </w:r>
      <w:r>
        <w:t>primary</w:t>
      </w:r>
      <w:r>
        <w:rPr>
          <w:spacing w:val="-3"/>
        </w:rPr>
        <w:t xml:space="preserve"> </w:t>
      </w:r>
      <w:r>
        <w:t>sampling</w:t>
      </w:r>
      <w:r>
        <w:rPr>
          <w:spacing w:val="-3"/>
        </w:rPr>
        <w:t xml:space="preserve"> </w:t>
      </w:r>
      <w:r>
        <w:t>unit</w:t>
      </w:r>
      <w:r>
        <w:rPr>
          <w:spacing w:val="-3"/>
        </w:rPr>
        <w:t xml:space="preserve"> </w:t>
      </w:r>
      <w:r>
        <w:t>(PSU)</w:t>
      </w:r>
      <w:r>
        <w:rPr>
          <w:spacing w:val="-3"/>
        </w:rPr>
        <w:t xml:space="preserve"> </w:t>
      </w:r>
      <w:r>
        <w:t>strata</w:t>
      </w:r>
      <w:r>
        <w:rPr>
          <w:spacing w:val="-3"/>
        </w:rPr>
        <w:t xml:space="preserve"> </w:t>
      </w:r>
      <w:r>
        <w:t>were</w:t>
      </w:r>
      <w:r>
        <w:rPr>
          <w:spacing w:val="-3"/>
        </w:rPr>
        <w:t xml:space="preserve"> </w:t>
      </w:r>
      <w:r>
        <w:t>determined</w:t>
      </w:r>
      <w:r>
        <w:rPr>
          <w:spacing w:val="-3"/>
        </w:rPr>
        <w:t xml:space="preserve"> </w:t>
      </w:r>
      <w:r>
        <w:t>by</w:t>
      </w:r>
      <w:r>
        <w:rPr>
          <w:spacing w:val="-3"/>
        </w:rPr>
        <w:t xml:space="preserve"> </w:t>
      </w:r>
      <w:r>
        <w:t>census</w:t>
      </w:r>
      <w:r>
        <w:rPr>
          <w:spacing w:val="-3"/>
        </w:rPr>
        <w:t xml:space="preserve"> </w:t>
      </w:r>
      <w:r>
        <w:t>region</w:t>
      </w:r>
      <w:r>
        <w:rPr>
          <w:spacing w:val="-3"/>
        </w:rPr>
        <w:t xml:space="preserve"> </w:t>
      </w:r>
      <w:r>
        <w:t>and</w:t>
      </w:r>
      <w:r>
        <w:rPr>
          <w:spacing w:val="-3"/>
        </w:rPr>
        <w:t xml:space="preserve"> </w:t>
      </w:r>
      <w:r>
        <w:t>metropolitan</w:t>
      </w:r>
      <w:r>
        <w:rPr>
          <w:spacing w:val="-3"/>
        </w:rPr>
        <w:t xml:space="preserve"> </w:t>
      </w:r>
      <w:r>
        <w:t>status</w:t>
      </w:r>
      <w:r>
        <w:rPr>
          <w:spacing w:val="-3"/>
        </w:rPr>
        <w:t xml:space="preserve"> </w:t>
      </w:r>
      <w:r>
        <w:t>(metropolitan</w:t>
      </w:r>
      <w:r>
        <w:rPr>
          <w:spacing w:val="-3"/>
        </w:rPr>
        <w:t xml:space="preserve"> </w:t>
      </w:r>
      <w:r>
        <w:t>or</w:t>
      </w:r>
      <w:r>
        <w:rPr>
          <w:spacing w:val="-3"/>
        </w:rPr>
        <w:t xml:space="preserve"> </w:t>
      </w:r>
      <w:r>
        <w:t>non- metropolitan) for a total of eight "primary" strata. Measures of size were defined for each of these strata, determined by the relative share of the eventual PSU sample (the sample size is designed to be proportional to the number of youths). The</w:t>
      </w:r>
      <w:r>
        <w:rPr>
          <w:spacing w:val="-5"/>
        </w:rPr>
        <w:t xml:space="preserve"> </w:t>
      </w:r>
      <w:r>
        <w:t>PSU</w:t>
      </w:r>
      <w:r>
        <w:rPr>
          <w:spacing w:val="-5"/>
        </w:rPr>
        <w:t xml:space="preserve"> </w:t>
      </w:r>
      <w:r>
        <w:t>stratum</w:t>
      </w:r>
      <w:r>
        <w:rPr>
          <w:spacing w:val="-5"/>
        </w:rPr>
        <w:t xml:space="preserve"> </w:t>
      </w:r>
      <w:r>
        <w:t>measure</w:t>
      </w:r>
      <w:r>
        <w:rPr>
          <w:spacing w:val="-5"/>
        </w:rPr>
        <w:t xml:space="preserve"> </w:t>
      </w:r>
      <w:r>
        <w:t>of</w:t>
      </w:r>
      <w:r>
        <w:rPr>
          <w:spacing w:val="-5"/>
        </w:rPr>
        <w:t xml:space="preserve"> </w:t>
      </w:r>
      <w:r>
        <w:t>size</w:t>
      </w:r>
      <w:r>
        <w:rPr>
          <w:spacing w:val="-5"/>
        </w:rPr>
        <w:t xml:space="preserve"> </w:t>
      </w:r>
      <w:r>
        <w:t>then</w:t>
      </w:r>
      <w:r>
        <w:rPr>
          <w:spacing w:val="-5"/>
        </w:rPr>
        <w:t xml:space="preserve"> </w:t>
      </w:r>
      <w:r>
        <w:t>is</w:t>
      </w:r>
      <w:r>
        <w:rPr>
          <w:spacing w:val="-5"/>
        </w:rPr>
        <w:t xml:space="preserve"> </w:t>
      </w:r>
      <w:r>
        <w:t>the</w:t>
      </w:r>
      <w:r>
        <w:rPr>
          <w:spacing w:val="-5"/>
        </w:rPr>
        <w:t xml:space="preserve"> </w:t>
      </w:r>
      <w:r>
        <w:t>total</w:t>
      </w:r>
      <w:r>
        <w:rPr>
          <w:spacing w:val="-5"/>
        </w:rPr>
        <w:t xml:space="preserve"> </w:t>
      </w:r>
      <w:r>
        <w:t>number</w:t>
      </w:r>
      <w:r>
        <w:rPr>
          <w:spacing w:val="-5"/>
        </w:rPr>
        <w:t xml:space="preserve"> </w:t>
      </w:r>
      <w:r>
        <w:t>of</w:t>
      </w:r>
      <w:r>
        <w:rPr>
          <w:spacing w:val="-5"/>
        </w:rPr>
        <w:t xml:space="preserve"> </w:t>
      </w:r>
      <w:r>
        <w:t>youths</w:t>
      </w:r>
      <w:r>
        <w:rPr>
          <w:spacing w:val="-5"/>
        </w:rPr>
        <w:t xml:space="preserve"> </w:t>
      </w:r>
      <w:r>
        <w:t>(persons</w:t>
      </w:r>
      <w:r>
        <w:rPr>
          <w:spacing w:val="-5"/>
        </w:rPr>
        <w:t xml:space="preserve"> </w:t>
      </w:r>
      <w:r>
        <w:t>17</w:t>
      </w:r>
      <w:r>
        <w:rPr>
          <w:spacing w:val="-5"/>
        </w:rPr>
        <w:t xml:space="preserve"> </w:t>
      </w:r>
      <w:r>
        <w:t>years</w:t>
      </w:r>
      <w:r>
        <w:rPr>
          <w:spacing w:val="-5"/>
        </w:rPr>
        <w:t xml:space="preserve"> </w:t>
      </w:r>
      <w:r>
        <w:t>of</w:t>
      </w:r>
      <w:r>
        <w:rPr>
          <w:spacing w:val="-5"/>
        </w:rPr>
        <w:t xml:space="preserve"> </w:t>
      </w:r>
      <w:r>
        <w:t>age</w:t>
      </w:r>
      <w:r>
        <w:rPr>
          <w:spacing w:val="-5"/>
        </w:rPr>
        <w:t xml:space="preserve"> </w:t>
      </w:r>
      <w:r>
        <w:t>and</w:t>
      </w:r>
      <w:r>
        <w:rPr>
          <w:spacing w:val="-5"/>
        </w:rPr>
        <w:t xml:space="preserve"> </w:t>
      </w:r>
      <w:r>
        <w:t>younger)</w:t>
      </w:r>
      <w:r>
        <w:rPr>
          <w:spacing w:val="-5"/>
        </w:rPr>
        <w:t xml:space="preserve"> </w:t>
      </w:r>
      <w:r>
        <w:t>in</w:t>
      </w:r>
      <w:r>
        <w:rPr>
          <w:spacing w:val="-5"/>
        </w:rPr>
        <w:t xml:space="preserve"> </w:t>
      </w:r>
      <w:r>
        <w:t>the</w:t>
      </w:r>
      <w:r>
        <w:rPr>
          <w:spacing w:val="-5"/>
        </w:rPr>
        <w:t xml:space="preserve"> </w:t>
      </w:r>
      <w:r>
        <w:t>stratum. The table below presents these counts for each of the eight primary strata.</w:t>
      </w:r>
      <w:r>
        <w:rPr>
          <w:spacing w:val="-3"/>
        </w:rPr>
        <w:t xml:space="preserve"> </w:t>
      </w:r>
      <w:r>
        <w:t>The relative share of the PSU sample size for each stratum is the number of youths in the stratum divided by the total number of youths, multiplied by 76 (the total</w:t>
      </w:r>
    </w:p>
    <w:p w:rsidR="003F5784" w14:paraId="370301A8" w14:textId="77777777">
      <w:pPr>
        <w:pStyle w:val="BodyText"/>
        <w:spacing w:before="96" w:line="232" w:lineRule="auto"/>
        <w:ind w:left="109"/>
      </w:pPr>
      <w:r>
        <w:br w:type="column"/>
        <w:t>Stepwise</w:t>
      </w:r>
      <w:r>
        <w:rPr>
          <w:spacing w:val="-14"/>
        </w:rPr>
        <w:t xml:space="preserve"> </w:t>
      </w:r>
      <w:r>
        <w:t>Regression</w:t>
      </w:r>
      <w:r>
        <w:rPr>
          <w:spacing w:val="-13"/>
        </w:rPr>
        <w:t xml:space="preserve"> </w:t>
      </w:r>
      <w:r>
        <w:t>Analysis</w:t>
      </w:r>
      <w:r>
        <w:rPr>
          <w:spacing w:val="-13"/>
        </w:rPr>
        <w:t xml:space="preserve"> </w:t>
      </w:r>
      <w:r>
        <w:t>Results</w:t>
      </w:r>
      <w:r>
        <w:rPr>
          <w:spacing w:val="-13"/>
        </w:rPr>
        <w:t xml:space="preserve"> </w:t>
      </w:r>
      <w:r>
        <w:t>for</w:t>
      </w:r>
      <w:r>
        <w:rPr>
          <w:spacing w:val="-13"/>
        </w:rPr>
        <w:t xml:space="preserve"> </w:t>
      </w:r>
      <w:r>
        <w:t xml:space="preserve">PSU </w:t>
      </w:r>
      <w:r>
        <w:rPr>
          <w:spacing w:val="-2"/>
        </w:rPr>
        <w:t>Stratification</w:t>
      </w:r>
    </w:p>
    <w:p w:rsidR="003F5784" w14:paraId="096366CC" w14:textId="77777777">
      <w:pPr>
        <w:pStyle w:val="BodyText"/>
        <w:spacing w:before="203"/>
        <w:ind w:left="109"/>
      </w:pPr>
      <w:r>
        <w:t>Final</w:t>
      </w:r>
      <w:r>
        <w:rPr>
          <w:spacing w:val="-6"/>
        </w:rPr>
        <w:t xml:space="preserve"> </w:t>
      </w:r>
      <w:r>
        <w:t>PSU</w:t>
      </w:r>
      <w:r>
        <w:rPr>
          <w:spacing w:val="-5"/>
        </w:rPr>
        <w:t xml:space="preserve"> </w:t>
      </w:r>
      <w:r>
        <w:rPr>
          <w:spacing w:val="-2"/>
        </w:rPr>
        <w:t>Strata</w:t>
      </w:r>
    </w:p>
    <w:p w:rsidR="003F5784" w14:paraId="456B4EA4" w14:textId="77777777">
      <w:pPr>
        <w:sectPr>
          <w:type w:val="continuous"/>
          <w:pgSz w:w="15840" w:h="12240" w:orient="landscape"/>
          <w:pgMar w:top="480" w:right="440" w:bottom="460" w:left="460" w:header="284" w:footer="275" w:gutter="0"/>
          <w:cols w:num="2" w:space="720" w:equalWidth="0">
            <w:col w:w="10279" w:space="148"/>
            <w:col w:w="4513"/>
          </w:cols>
        </w:sectPr>
      </w:pPr>
    </w:p>
    <w:p w:rsidR="003F5784" w14:paraId="40B4BBB3" w14:textId="77777777">
      <w:pPr>
        <w:pStyle w:val="BodyText"/>
        <w:spacing w:before="2" w:line="232" w:lineRule="auto"/>
        <w:ind w:left="109" w:right="410"/>
        <w:jc w:val="both"/>
      </w:pPr>
      <w:r>
        <w:t>number</w:t>
      </w:r>
      <w:r>
        <w:rPr>
          <w:spacing w:val="-6"/>
        </w:rPr>
        <w:t xml:space="preserve"> </w:t>
      </w:r>
      <w:r>
        <w:t>of</w:t>
      </w:r>
      <w:r>
        <w:rPr>
          <w:spacing w:val="-6"/>
        </w:rPr>
        <w:t xml:space="preserve"> </w:t>
      </w:r>
      <w:r>
        <w:t>noncertainty</w:t>
      </w:r>
      <w:r>
        <w:rPr>
          <w:spacing w:val="-6"/>
        </w:rPr>
        <w:t xml:space="preserve"> </w:t>
      </w:r>
      <w:r>
        <w:t>PSU</w:t>
      </w:r>
      <w:r>
        <w:rPr>
          <w:spacing w:val="-6"/>
        </w:rPr>
        <w:t xml:space="preserve"> </w:t>
      </w:r>
      <w:r>
        <w:t>strata).</w:t>
      </w:r>
      <w:r>
        <w:rPr>
          <w:spacing w:val="-10"/>
        </w:rPr>
        <w:t xml:space="preserve"> </w:t>
      </w:r>
      <w:r>
        <w:t>This</w:t>
      </w:r>
      <w:r>
        <w:rPr>
          <w:spacing w:val="-6"/>
        </w:rPr>
        <w:t xml:space="preserve"> </w:t>
      </w:r>
      <w:r>
        <w:t>is</w:t>
      </w:r>
      <w:r>
        <w:rPr>
          <w:spacing w:val="-6"/>
        </w:rPr>
        <w:t xml:space="preserve"> </w:t>
      </w:r>
      <w:r>
        <w:t>shown</w:t>
      </w:r>
      <w:r>
        <w:rPr>
          <w:spacing w:val="-6"/>
        </w:rPr>
        <w:t xml:space="preserve"> </w:t>
      </w:r>
      <w:r>
        <w:t>in</w:t>
      </w:r>
      <w:r>
        <w:rPr>
          <w:spacing w:val="-6"/>
        </w:rPr>
        <w:t xml:space="preserve"> </w:t>
      </w:r>
      <w:r>
        <w:t>the</w:t>
      </w:r>
      <w:r>
        <w:rPr>
          <w:spacing w:val="-6"/>
        </w:rPr>
        <w:t xml:space="preserve"> </w:t>
      </w:r>
      <w:r>
        <w:t>column</w:t>
      </w:r>
      <w:r>
        <w:rPr>
          <w:spacing w:val="-6"/>
        </w:rPr>
        <w:t xml:space="preserve"> </w:t>
      </w:r>
      <w:r>
        <w:t>entitled</w:t>
      </w:r>
      <w:r>
        <w:rPr>
          <w:spacing w:val="-6"/>
        </w:rPr>
        <w:t xml:space="preserve"> </w:t>
      </w:r>
      <w:r>
        <w:t>"Target</w:t>
      </w:r>
      <w:r>
        <w:rPr>
          <w:spacing w:val="-6"/>
        </w:rPr>
        <w:t xml:space="preserve"> </w:t>
      </w:r>
      <w:r>
        <w:t>number</w:t>
      </w:r>
      <w:r>
        <w:rPr>
          <w:spacing w:val="-6"/>
        </w:rPr>
        <w:t xml:space="preserve"> </w:t>
      </w:r>
      <w:r>
        <w:t>of</w:t>
      </w:r>
      <w:r>
        <w:rPr>
          <w:spacing w:val="-6"/>
        </w:rPr>
        <w:t xml:space="preserve"> </w:t>
      </w:r>
      <w:r>
        <w:t>final</w:t>
      </w:r>
      <w:r>
        <w:rPr>
          <w:spacing w:val="-6"/>
        </w:rPr>
        <w:t xml:space="preserve"> </w:t>
      </w:r>
      <w:r>
        <w:t>PSU</w:t>
      </w:r>
      <w:r>
        <w:rPr>
          <w:spacing w:val="-6"/>
        </w:rPr>
        <w:t xml:space="preserve"> </w:t>
      </w:r>
      <w:r>
        <w:t>strata"</w:t>
      </w:r>
      <w:r>
        <w:rPr>
          <w:spacing w:val="-6"/>
        </w:rPr>
        <w:t xml:space="preserve"> </w:t>
      </w:r>
      <w:r>
        <w:t>in</w:t>
      </w:r>
      <w:r>
        <w:rPr>
          <w:spacing w:val="-6"/>
        </w:rPr>
        <w:t xml:space="preserve"> </w:t>
      </w:r>
      <w:r>
        <w:t>the</w:t>
      </w:r>
      <w:r>
        <w:rPr>
          <w:spacing w:val="-6"/>
        </w:rPr>
        <w:t xml:space="preserve"> </w:t>
      </w:r>
      <w:r>
        <w:t>table</w:t>
      </w:r>
      <w:r>
        <w:rPr>
          <w:spacing w:val="-6"/>
        </w:rPr>
        <w:t xml:space="preserve"> </w:t>
      </w:r>
      <w:r>
        <w:t>below.</w:t>
      </w:r>
      <w:r>
        <w:rPr>
          <w:spacing w:val="-10"/>
        </w:rPr>
        <w:t xml:space="preserve"> </w:t>
      </w:r>
      <w:r>
        <w:t>The</w:t>
      </w:r>
      <w:r>
        <w:rPr>
          <w:spacing w:val="-6"/>
        </w:rPr>
        <w:t xml:space="preserve"> </w:t>
      </w:r>
      <w:r>
        <w:t>resulting</w:t>
      </w:r>
      <w:r>
        <w:rPr>
          <w:spacing w:val="-6"/>
        </w:rPr>
        <w:t xml:space="preserve"> </w:t>
      </w:r>
      <w:r>
        <w:t>number</w:t>
      </w:r>
      <w:r>
        <w:rPr>
          <w:spacing w:val="-6"/>
        </w:rPr>
        <w:t xml:space="preserve"> </w:t>
      </w:r>
      <w:r>
        <w:t>is</w:t>
      </w:r>
      <w:r>
        <w:rPr>
          <w:spacing w:val="-6"/>
        </w:rPr>
        <w:t xml:space="preserve"> </w:t>
      </w:r>
      <w:r>
        <w:t>then</w:t>
      </w:r>
      <w:r>
        <w:rPr>
          <w:spacing w:val="-6"/>
        </w:rPr>
        <w:t xml:space="preserve"> </w:t>
      </w:r>
      <w:r>
        <w:t>rounded</w:t>
      </w:r>
      <w:r>
        <w:rPr>
          <w:spacing w:val="-6"/>
        </w:rPr>
        <w:t xml:space="preserve"> </w:t>
      </w:r>
      <w:r>
        <w:t>to</w:t>
      </w:r>
      <w:r>
        <w:rPr>
          <w:spacing w:val="-6"/>
        </w:rPr>
        <w:t xml:space="preserve"> </w:t>
      </w:r>
      <w:r>
        <w:t>the nearest</w:t>
      </w:r>
      <w:r>
        <w:rPr>
          <w:spacing w:val="-4"/>
        </w:rPr>
        <w:t xml:space="preserve"> </w:t>
      </w:r>
      <w:r>
        <w:t>even</w:t>
      </w:r>
      <w:r>
        <w:rPr>
          <w:spacing w:val="-4"/>
        </w:rPr>
        <w:t xml:space="preserve"> </w:t>
      </w:r>
      <w:r>
        <w:t>integer</w:t>
      </w:r>
      <w:r>
        <w:rPr>
          <w:spacing w:val="-4"/>
        </w:rPr>
        <w:t xml:space="preserve"> </w:t>
      </w:r>
      <w:r>
        <w:t>(the</w:t>
      </w:r>
      <w:r>
        <w:rPr>
          <w:spacing w:val="-4"/>
        </w:rPr>
        <w:t xml:space="preserve"> </w:t>
      </w:r>
      <w:r>
        <w:t>integer</w:t>
      </w:r>
      <w:r>
        <w:rPr>
          <w:spacing w:val="-4"/>
        </w:rPr>
        <w:t xml:space="preserve"> </w:t>
      </w:r>
      <w:r>
        <w:t>needs</w:t>
      </w:r>
      <w:r>
        <w:rPr>
          <w:spacing w:val="-4"/>
        </w:rPr>
        <w:t xml:space="preserve"> </w:t>
      </w:r>
      <w:r>
        <w:t>to</w:t>
      </w:r>
      <w:r>
        <w:rPr>
          <w:spacing w:val="-4"/>
        </w:rPr>
        <w:t xml:space="preserve"> </w:t>
      </w:r>
      <w:r>
        <w:t>be</w:t>
      </w:r>
      <w:r>
        <w:rPr>
          <w:spacing w:val="-4"/>
        </w:rPr>
        <w:t xml:space="preserve"> </w:t>
      </w:r>
      <w:r>
        <w:t>even</w:t>
      </w:r>
      <w:r>
        <w:rPr>
          <w:spacing w:val="-4"/>
        </w:rPr>
        <w:t xml:space="preserve"> </w:t>
      </w:r>
      <w:r>
        <w:t>to</w:t>
      </w:r>
      <w:r>
        <w:rPr>
          <w:spacing w:val="-4"/>
        </w:rPr>
        <w:t xml:space="preserve"> </w:t>
      </w:r>
      <w:r>
        <w:t>facilitate</w:t>
      </w:r>
      <w:r>
        <w:rPr>
          <w:spacing w:val="-4"/>
        </w:rPr>
        <w:t xml:space="preserve"> </w:t>
      </w:r>
      <w:r>
        <w:t>variance</w:t>
      </w:r>
      <w:r>
        <w:rPr>
          <w:spacing w:val="-4"/>
        </w:rPr>
        <w:t xml:space="preserve"> </w:t>
      </w:r>
      <w:r>
        <w:t>estimation).</w:t>
      </w:r>
      <w:r>
        <w:rPr>
          <w:spacing w:val="-4"/>
        </w:rPr>
        <w:t xml:space="preserve"> </w:t>
      </w:r>
      <w:r>
        <w:t>Some</w:t>
      </w:r>
      <w:r>
        <w:rPr>
          <w:spacing w:val="-4"/>
        </w:rPr>
        <w:t xml:space="preserve"> </w:t>
      </w:r>
      <w:r>
        <w:t>manual</w:t>
      </w:r>
      <w:r>
        <w:rPr>
          <w:spacing w:val="-4"/>
        </w:rPr>
        <w:t xml:space="preserve"> </w:t>
      </w:r>
      <w:r>
        <w:t>tweaking</w:t>
      </w:r>
      <w:r>
        <w:rPr>
          <w:spacing w:val="-4"/>
        </w:rPr>
        <w:t xml:space="preserve"> </w:t>
      </w:r>
      <w:r>
        <w:t>to</w:t>
      </w:r>
      <w:r>
        <w:rPr>
          <w:spacing w:val="-4"/>
        </w:rPr>
        <w:t xml:space="preserve"> </w:t>
      </w:r>
      <w:r>
        <w:t>the</w:t>
      </w:r>
      <w:r>
        <w:rPr>
          <w:spacing w:val="-4"/>
        </w:rPr>
        <w:t xml:space="preserve"> </w:t>
      </w:r>
      <w:r>
        <w:t>rounding</w:t>
      </w:r>
      <w:r>
        <w:rPr>
          <w:spacing w:val="-4"/>
        </w:rPr>
        <w:t xml:space="preserve"> </w:t>
      </w:r>
      <w:r>
        <w:t>is</w:t>
      </w:r>
      <w:r>
        <w:rPr>
          <w:spacing w:val="-4"/>
        </w:rPr>
        <w:t xml:space="preserve"> </w:t>
      </w:r>
      <w:r>
        <w:t>needed</w:t>
      </w:r>
      <w:r>
        <w:rPr>
          <w:spacing w:val="-4"/>
        </w:rPr>
        <w:t xml:space="preserve"> </w:t>
      </w:r>
      <w:r>
        <w:t>such</w:t>
      </w:r>
      <w:r>
        <w:rPr>
          <w:spacing w:val="-4"/>
        </w:rPr>
        <w:t xml:space="preserve"> </w:t>
      </w:r>
      <w:r>
        <w:t>that</w:t>
      </w:r>
      <w:r>
        <w:rPr>
          <w:spacing w:val="-4"/>
        </w:rPr>
        <w:t xml:space="preserve"> </w:t>
      </w:r>
      <w:r>
        <w:t>the</w:t>
      </w:r>
      <w:r>
        <w:rPr>
          <w:spacing w:val="-4"/>
        </w:rPr>
        <w:t xml:space="preserve"> </w:t>
      </w:r>
      <w:r>
        <w:t>total</w:t>
      </w:r>
      <w:r>
        <w:rPr>
          <w:spacing w:val="-4"/>
        </w:rPr>
        <w:t xml:space="preserve"> </w:t>
      </w:r>
      <w:r>
        <w:t>number</w:t>
      </w:r>
      <w:r>
        <w:rPr>
          <w:spacing w:val="-4"/>
        </w:rPr>
        <w:t xml:space="preserve"> </w:t>
      </w:r>
      <w:r>
        <w:t>of</w:t>
      </w:r>
      <w:r>
        <w:rPr>
          <w:spacing w:val="-4"/>
        </w:rPr>
        <w:t xml:space="preserve"> </w:t>
      </w:r>
      <w:r>
        <w:t>final</w:t>
      </w:r>
      <w:r>
        <w:rPr>
          <w:spacing w:val="-4"/>
        </w:rPr>
        <w:t xml:space="preserve"> </w:t>
      </w:r>
      <w:r>
        <w:t>PSU strata sums to 76. The results of these calculations are given in the table below.</w:t>
      </w:r>
    </w:p>
    <w:p w:rsidR="003F5784" w14:paraId="70919EDC" w14:textId="77777777">
      <w:pPr>
        <w:pStyle w:val="BodyText"/>
        <w:spacing w:before="92"/>
      </w:pPr>
    </w:p>
    <w:p w:rsidR="003F5784" w14:paraId="1D886026" w14:textId="77777777">
      <w:pPr>
        <w:pStyle w:val="Heading2"/>
        <w:spacing w:before="1"/>
      </w:pPr>
      <w:r>
        <w:t>Noncertainty</w:t>
      </w:r>
      <w:r>
        <w:rPr>
          <w:spacing w:val="-8"/>
        </w:rPr>
        <w:t xml:space="preserve"> </w:t>
      </w:r>
      <w:r>
        <w:t>primary</w:t>
      </w:r>
      <w:r>
        <w:rPr>
          <w:spacing w:val="-8"/>
        </w:rPr>
        <w:t xml:space="preserve"> </w:t>
      </w:r>
      <w:r>
        <w:t>sampling</w:t>
      </w:r>
      <w:r>
        <w:rPr>
          <w:spacing w:val="-7"/>
        </w:rPr>
        <w:t xml:space="preserve"> </w:t>
      </w:r>
      <w:r>
        <w:t>unit</w:t>
      </w:r>
      <w:r>
        <w:rPr>
          <w:spacing w:val="-8"/>
        </w:rPr>
        <w:t xml:space="preserve"> </w:t>
      </w:r>
      <w:r>
        <w:t>frame</w:t>
      </w:r>
      <w:r>
        <w:rPr>
          <w:spacing w:val="-7"/>
        </w:rPr>
        <w:t xml:space="preserve"> </w:t>
      </w:r>
      <w:r>
        <w:t>size</w:t>
      </w:r>
      <w:r>
        <w:rPr>
          <w:spacing w:val="-8"/>
        </w:rPr>
        <w:t xml:space="preserve"> </w:t>
      </w:r>
      <w:r>
        <w:t>statistics,</w:t>
      </w:r>
      <w:r>
        <w:rPr>
          <w:spacing w:val="-7"/>
        </w:rPr>
        <w:t xml:space="preserve"> </w:t>
      </w:r>
      <w:r>
        <w:t>by</w:t>
      </w:r>
      <w:r>
        <w:rPr>
          <w:spacing w:val="-8"/>
        </w:rPr>
        <w:t xml:space="preserve"> </w:t>
      </w:r>
      <w:r>
        <w:t>primary</w:t>
      </w:r>
      <w:r>
        <w:rPr>
          <w:spacing w:val="-7"/>
        </w:rPr>
        <w:t xml:space="preserve"> </w:t>
      </w:r>
      <w:r>
        <w:t>stratum:</w:t>
      </w:r>
      <w:r>
        <w:rPr>
          <w:spacing w:val="-8"/>
        </w:rPr>
        <w:t xml:space="preserve"> </w:t>
      </w:r>
      <w:r>
        <w:rPr>
          <w:spacing w:val="-4"/>
        </w:rPr>
        <w:t>2022</w:t>
      </w:r>
    </w:p>
    <w:p w:rsidR="003F5784" w14:paraId="13DD5FF5"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2978"/>
        <w:gridCol w:w="935"/>
        <w:gridCol w:w="1126"/>
        <w:gridCol w:w="1345"/>
        <w:gridCol w:w="2751"/>
        <w:gridCol w:w="2624"/>
        <w:gridCol w:w="2228"/>
      </w:tblGrid>
      <w:tr w14:paraId="33503455" w14:textId="77777777">
        <w:tblPrEx>
          <w:tblW w:w="0" w:type="auto"/>
          <w:tblInd w:w="482" w:type="dxa"/>
          <w:tblLayout w:type="fixed"/>
          <w:tblCellMar>
            <w:left w:w="0" w:type="dxa"/>
            <w:right w:w="0" w:type="dxa"/>
          </w:tblCellMar>
          <w:tblLook w:val="01E0"/>
        </w:tblPrEx>
        <w:trPr>
          <w:trHeight w:val="502"/>
        </w:trPr>
        <w:tc>
          <w:tcPr>
            <w:tcW w:w="2978" w:type="dxa"/>
            <w:tcBorders>
              <w:top w:val="single" w:sz="18" w:space="0" w:color="800000"/>
              <w:bottom w:val="single" w:sz="18" w:space="0" w:color="800000"/>
            </w:tcBorders>
          </w:tcPr>
          <w:p w:rsidR="003F5784" w14:paraId="2EB6FECA" w14:textId="77777777">
            <w:pPr>
              <w:pStyle w:val="TableParagraph"/>
              <w:spacing w:before="2"/>
              <w:jc w:val="left"/>
              <w:rPr>
                <w:b/>
                <w:sz w:val="21"/>
              </w:rPr>
            </w:pPr>
          </w:p>
          <w:p w:rsidR="003F5784" w14:paraId="3D595B7B" w14:textId="77777777">
            <w:pPr>
              <w:pStyle w:val="TableParagraph"/>
              <w:spacing w:before="0" w:line="238" w:lineRule="exact"/>
              <w:ind w:left="120"/>
              <w:jc w:val="left"/>
              <w:rPr>
                <w:sz w:val="21"/>
              </w:rPr>
            </w:pPr>
            <w:r>
              <w:rPr>
                <w:sz w:val="21"/>
              </w:rPr>
              <w:t>Primary</w:t>
            </w:r>
            <w:r>
              <w:rPr>
                <w:spacing w:val="-8"/>
                <w:sz w:val="21"/>
              </w:rPr>
              <w:t xml:space="preserve"> </w:t>
            </w:r>
            <w:r>
              <w:rPr>
                <w:spacing w:val="-2"/>
                <w:sz w:val="21"/>
              </w:rPr>
              <w:t>stratum</w:t>
            </w:r>
          </w:p>
        </w:tc>
        <w:tc>
          <w:tcPr>
            <w:tcW w:w="935" w:type="dxa"/>
            <w:tcBorders>
              <w:top w:val="single" w:sz="18" w:space="0" w:color="800000"/>
              <w:bottom w:val="single" w:sz="18" w:space="0" w:color="800000"/>
            </w:tcBorders>
          </w:tcPr>
          <w:p w:rsidR="003F5784" w14:paraId="28175E31" w14:textId="77777777">
            <w:pPr>
              <w:pStyle w:val="TableParagraph"/>
              <w:spacing w:before="2"/>
              <w:jc w:val="left"/>
              <w:rPr>
                <w:b/>
                <w:sz w:val="21"/>
              </w:rPr>
            </w:pPr>
          </w:p>
          <w:p w:rsidR="003F5784" w14:paraId="238555D8" w14:textId="77777777">
            <w:pPr>
              <w:pStyle w:val="TableParagraph"/>
              <w:spacing w:before="0" w:line="238" w:lineRule="exact"/>
              <w:ind w:right="183"/>
              <w:rPr>
                <w:sz w:val="21"/>
              </w:rPr>
            </w:pPr>
            <w:r>
              <w:rPr>
                <w:spacing w:val="-4"/>
                <w:sz w:val="21"/>
              </w:rPr>
              <w:t>PSUs</w:t>
            </w:r>
          </w:p>
        </w:tc>
        <w:tc>
          <w:tcPr>
            <w:tcW w:w="1126" w:type="dxa"/>
            <w:tcBorders>
              <w:top w:val="single" w:sz="18" w:space="0" w:color="800000"/>
              <w:bottom w:val="single" w:sz="18" w:space="0" w:color="800000"/>
            </w:tcBorders>
          </w:tcPr>
          <w:p w:rsidR="003F5784" w14:paraId="4D3B035A" w14:textId="77777777">
            <w:pPr>
              <w:pStyle w:val="TableParagraph"/>
              <w:spacing w:before="2"/>
              <w:jc w:val="left"/>
              <w:rPr>
                <w:b/>
                <w:sz w:val="21"/>
              </w:rPr>
            </w:pPr>
          </w:p>
          <w:p w:rsidR="003F5784" w14:paraId="6BFC8343" w14:textId="77777777">
            <w:pPr>
              <w:pStyle w:val="TableParagraph"/>
              <w:spacing w:before="0" w:line="238" w:lineRule="exact"/>
              <w:ind w:right="196"/>
              <w:rPr>
                <w:sz w:val="21"/>
              </w:rPr>
            </w:pPr>
            <w:r>
              <w:rPr>
                <w:spacing w:val="-2"/>
                <w:sz w:val="21"/>
              </w:rPr>
              <w:t>Counties</w:t>
            </w:r>
          </w:p>
        </w:tc>
        <w:tc>
          <w:tcPr>
            <w:tcW w:w="1345" w:type="dxa"/>
            <w:tcBorders>
              <w:top w:val="single" w:sz="18" w:space="0" w:color="800000"/>
              <w:bottom w:val="single" w:sz="18" w:space="0" w:color="800000"/>
            </w:tcBorders>
          </w:tcPr>
          <w:p w:rsidR="003F5784" w14:paraId="51448CF0" w14:textId="77777777">
            <w:pPr>
              <w:pStyle w:val="TableParagraph"/>
              <w:spacing w:before="2"/>
              <w:jc w:val="left"/>
              <w:rPr>
                <w:b/>
                <w:sz w:val="21"/>
              </w:rPr>
            </w:pPr>
          </w:p>
          <w:p w:rsidR="003F5784" w14:paraId="4DDFA6BB" w14:textId="77777777">
            <w:pPr>
              <w:pStyle w:val="TableParagraph"/>
              <w:spacing w:before="0" w:line="238" w:lineRule="exact"/>
              <w:ind w:right="205"/>
              <w:rPr>
                <w:sz w:val="21"/>
              </w:rPr>
            </w:pPr>
            <w:r>
              <w:rPr>
                <w:spacing w:val="-2"/>
                <w:sz w:val="21"/>
              </w:rPr>
              <w:t>Youths</w:t>
            </w:r>
          </w:p>
        </w:tc>
        <w:tc>
          <w:tcPr>
            <w:tcW w:w="2751" w:type="dxa"/>
            <w:tcBorders>
              <w:top w:val="single" w:sz="18" w:space="0" w:color="800000"/>
              <w:bottom w:val="single" w:sz="18" w:space="0" w:color="800000"/>
            </w:tcBorders>
          </w:tcPr>
          <w:p w:rsidR="003F5784" w14:paraId="180C4215" w14:textId="77777777">
            <w:pPr>
              <w:pStyle w:val="TableParagraph"/>
              <w:spacing w:before="9" w:line="238" w:lineRule="exact"/>
              <w:ind w:right="232"/>
              <w:rPr>
                <w:sz w:val="21"/>
              </w:rPr>
            </w:pPr>
            <w:r>
              <w:rPr>
                <w:sz w:val="21"/>
              </w:rPr>
              <w:t>Target</w:t>
            </w:r>
            <w:r>
              <w:rPr>
                <w:spacing w:val="-11"/>
                <w:sz w:val="21"/>
              </w:rPr>
              <w:t xml:space="preserve"> </w:t>
            </w:r>
            <w:r>
              <w:rPr>
                <w:sz w:val="21"/>
              </w:rPr>
              <w:t>number</w:t>
            </w:r>
            <w:r>
              <w:rPr>
                <w:spacing w:val="-10"/>
                <w:sz w:val="21"/>
              </w:rPr>
              <w:t xml:space="preserve"> </w:t>
            </w:r>
            <w:r>
              <w:rPr>
                <w:sz w:val="21"/>
              </w:rPr>
              <w:t>of</w:t>
            </w:r>
            <w:r>
              <w:rPr>
                <w:spacing w:val="-10"/>
                <w:sz w:val="21"/>
              </w:rPr>
              <w:t xml:space="preserve"> </w:t>
            </w:r>
            <w:r>
              <w:rPr>
                <w:sz w:val="21"/>
              </w:rPr>
              <w:t>final</w:t>
            </w:r>
            <w:r>
              <w:rPr>
                <w:spacing w:val="-10"/>
                <w:sz w:val="21"/>
              </w:rPr>
              <w:t xml:space="preserve"> </w:t>
            </w:r>
            <w:r>
              <w:rPr>
                <w:spacing w:val="-5"/>
                <w:sz w:val="21"/>
              </w:rPr>
              <w:t>PSU</w:t>
            </w:r>
          </w:p>
          <w:p w:rsidR="003F5784" w14:paraId="294FD38E" w14:textId="77777777">
            <w:pPr>
              <w:pStyle w:val="TableParagraph"/>
              <w:spacing w:before="0" w:line="235" w:lineRule="exact"/>
              <w:ind w:right="232"/>
              <w:rPr>
                <w:sz w:val="21"/>
              </w:rPr>
            </w:pPr>
            <w:r>
              <w:rPr>
                <w:spacing w:val="-2"/>
                <w:sz w:val="21"/>
              </w:rPr>
              <w:t>strata</w:t>
            </w:r>
          </w:p>
        </w:tc>
        <w:tc>
          <w:tcPr>
            <w:tcW w:w="2624" w:type="dxa"/>
            <w:tcBorders>
              <w:top w:val="single" w:sz="18" w:space="0" w:color="800000"/>
              <w:bottom w:val="single" w:sz="18" w:space="0" w:color="800000"/>
            </w:tcBorders>
          </w:tcPr>
          <w:p w:rsidR="003F5784" w14:paraId="7673C3B4" w14:textId="77777777">
            <w:pPr>
              <w:pStyle w:val="TableParagraph"/>
              <w:spacing w:before="9" w:line="238" w:lineRule="exact"/>
              <w:ind w:right="339"/>
              <w:rPr>
                <w:sz w:val="21"/>
              </w:rPr>
            </w:pPr>
            <w:r>
              <w:rPr>
                <w:sz w:val="21"/>
              </w:rPr>
              <w:t>Set</w:t>
            </w:r>
            <w:r>
              <w:rPr>
                <w:spacing w:val="-5"/>
                <w:sz w:val="21"/>
              </w:rPr>
              <w:t xml:space="preserve"> </w:t>
            </w:r>
            <w:r>
              <w:rPr>
                <w:sz w:val="21"/>
              </w:rPr>
              <w:t>number</w:t>
            </w:r>
            <w:r>
              <w:rPr>
                <w:spacing w:val="-5"/>
                <w:sz w:val="21"/>
              </w:rPr>
              <w:t xml:space="preserve"> </w:t>
            </w:r>
            <w:r>
              <w:rPr>
                <w:sz w:val="21"/>
              </w:rPr>
              <w:t>of</w:t>
            </w:r>
            <w:r>
              <w:rPr>
                <w:spacing w:val="-5"/>
                <w:sz w:val="21"/>
              </w:rPr>
              <w:t xml:space="preserve"> </w:t>
            </w:r>
            <w:r>
              <w:rPr>
                <w:sz w:val="21"/>
              </w:rPr>
              <w:t>final</w:t>
            </w:r>
            <w:r>
              <w:rPr>
                <w:spacing w:val="-4"/>
                <w:sz w:val="21"/>
              </w:rPr>
              <w:t xml:space="preserve"> </w:t>
            </w:r>
            <w:r>
              <w:rPr>
                <w:spacing w:val="-5"/>
                <w:sz w:val="21"/>
              </w:rPr>
              <w:t>PSU</w:t>
            </w:r>
          </w:p>
          <w:p w:rsidR="003F5784" w14:paraId="5227B76B" w14:textId="77777777">
            <w:pPr>
              <w:pStyle w:val="TableParagraph"/>
              <w:spacing w:before="0" w:line="235" w:lineRule="exact"/>
              <w:ind w:right="339"/>
              <w:rPr>
                <w:sz w:val="21"/>
              </w:rPr>
            </w:pPr>
            <w:r>
              <w:rPr>
                <w:spacing w:val="-2"/>
                <w:sz w:val="21"/>
              </w:rPr>
              <w:t>strata</w:t>
            </w:r>
          </w:p>
        </w:tc>
        <w:tc>
          <w:tcPr>
            <w:tcW w:w="2228" w:type="dxa"/>
            <w:tcBorders>
              <w:top w:val="single" w:sz="18" w:space="0" w:color="800000"/>
              <w:bottom w:val="single" w:sz="18" w:space="0" w:color="800000"/>
            </w:tcBorders>
          </w:tcPr>
          <w:p w:rsidR="003F5784" w14:paraId="58B4546B" w14:textId="77777777">
            <w:pPr>
              <w:pStyle w:val="TableParagraph"/>
              <w:spacing w:before="9" w:line="238" w:lineRule="exact"/>
              <w:ind w:right="120"/>
              <w:rPr>
                <w:sz w:val="21"/>
              </w:rPr>
            </w:pPr>
            <w:r>
              <w:rPr>
                <w:sz w:val="21"/>
              </w:rPr>
              <w:t>Youths</w:t>
            </w:r>
            <w:r>
              <w:rPr>
                <w:spacing w:val="-13"/>
                <w:sz w:val="21"/>
              </w:rPr>
              <w:t xml:space="preserve"> </w:t>
            </w:r>
            <w:r>
              <w:rPr>
                <w:sz w:val="21"/>
              </w:rPr>
              <w:t>per</w:t>
            </w:r>
            <w:r>
              <w:rPr>
                <w:spacing w:val="-12"/>
                <w:sz w:val="21"/>
              </w:rPr>
              <w:t xml:space="preserve"> </w:t>
            </w:r>
            <w:r>
              <w:rPr>
                <w:sz w:val="21"/>
              </w:rPr>
              <w:t>final</w:t>
            </w:r>
            <w:r>
              <w:rPr>
                <w:spacing w:val="-12"/>
                <w:sz w:val="21"/>
              </w:rPr>
              <w:t xml:space="preserve"> </w:t>
            </w:r>
            <w:r>
              <w:rPr>
                <w:spacing w:val="-5"/>
                <w:sz w:val="21"/>
              </w:rPr>
              <w:t>PSU</w:t>
            </w:r>
          </w:p>
          <w:p w:rsidR="003F5784" w14:paraId="191770D4" w14:textId="77777777">
            <w:pPr>
              <w:pStyle w:val="TableParagraph"/>
              <w:spacing w:before="0" w:line="235" w:lineRule="exact"/>
              <w:ind w:right="120"/>
              <w:rPr>
                <w:sz w:val="21"/>
              </w:rPr>
            </w:pPr>
            <w:r>
              <w:rPr>
                <w:spacing w:val="-2"/>
                <w:sz w:val="21"/>
              </w:rPr>
              <w:t>stratum</w:t>
            </w:r>
          </w:p>
        </w:tc>
      </w:tr>
      <w:tr w14:paraId="34C53F98" w14:textId="77777777">
        <w:tblPrEx>
          <w:tblW w:w="0" w:type="auto"/>
          <w:tblInd w:w="482" w:type="dxa"/>
          <w:tblLayout w:type="fixed"/>
          <w:tblCellMar>
            <w:left w:w="0" w:type="dxa"/>
            <w:right w:w="0" w:type="dxa"/>
          </w:tblCellMar>
          <w:tblLook w:val="01E0"/>
        </w:tblPrEx>
        <w:trPr>
          <w:trHeight w:val="278"/>
        </w:trPr>
        <w:tc>
          <w:tcPr>
            <w:tcW w:w="2978" w:type="dxa"/>
            <w:tcBorders>
              <w:top w:val="single" w:sz="18" w:space="0" w:color="800000"/>
            </w:tcBorders>
          </w:tcPr>
          <w:p w:rsidR="003F5784" w14:paraId="26F46703" w14:textId="77777777">
            <w:pPr>
              <w:pStyle w:val="TableParagraph"/>
              <w:spacing w:before="9"/>
              <w:ind w:left="370"/>
              <w:jc w:val="left"/>
              <w:rPr>
                <w:b/>
                <w:sz w:val="21"/>
              </w:rPr>
            </w:pPr>
            <w:r>
              <w:rPr>
                <w:b/>
                <w:spacing w:val="-2"/>
                <w:sz w:val="21"/>
              </w:rPr>
              <w:t>Total</w:t>
            </w:r>
            <w:r>
              <w:rPr>
                <w:b/>
                <w:spacing w:val="-3"/>
                <w:sz w:val="21"/>
              </w:rPr>
              <w:t xml:space="preserve"> </w:t>
            </w:r>
            <w:r>
              <w:rPr>
                <w:b/>
                <w:spacing w:val="-2"/>
                <w:sz w:val="21"/>
              </w:rPr>
              <w:t xml:space="preserve">noncertainty </w:t>
            </w:r>
            <w:r>
              <w:rPr>
                <w:b/>
                <w:spacing w:val="-4"/>
                <w:sz w:val="21"/>
              </w:rPr>
              <w:t>PSUs</w:t>
            </w:r>
          </w:p>
        </w:tc>
        <w:tc>
          <w:tcPr>
            <w:tcW w:w="935" w:type="dxa"/>
            <w:tcBorders>
              <w:top w:val="single" w:sz="18" w:space="0" w:color="800000"/>
            </w:tcBorders>
          </w:tcPr>
          <w:p w:rsidR="003F5784" w14:paraId="0920B888" w14:textId="77777777">
            <w:pPr>
              <w:pStyle w:val="TableParagraph"/>
              <w:spacing w:before="9"/>
              <w:ind w:right="183"/>
              <w:rPr>
                <w:b/>
                <w:sz w:val="21"/>
              </w:rPr>
            </w:pPr>
            <w:r>
              <w:rPr>
                <w:b/>
                <w:spacing w:val="-5"/>
                <w:sz w:val="21"/>
              </w:rPr>
              <w:t>972</w:t>
            </w:r>
          </w:p>
        </w:tc>
        <w:tc>
          <w:tcPr>
            <w:tcW w:w="1126" w:type="dxa"/>
            <w:tcBorders>
              <w:top w:val="single" w:sz="18" w:space="0" w:color="800000"/>
            </w:tcBorders>
          </w:tcPr>
          <w:p w:rsidR="003F5784" w14:paraId="4753F619" w14:textId="77777777">
            <w:pPr>
              <w:pStyle w:val="TableParagraph"/>
              <w:spacing w:before="9"/>
              <w:ind w:right="196"/>
              <w:rPr>
                <w:b/>
                <w:sz w:val="21"/>
              </w:rPr>
            </w:pPr>
            <w:r>
              <w:rPr>
                <w:b/>
                <w:spacing w:val="-2"/>
                <w:sz w:val="21"/>
              </w:rPr>
              <w:t>2,901</w:t>
            </w:r>
          </w:p>
        </w:tc>
        <w:tc>
          <w:tcPr>
            <w:tcW w:w="1345" w:type="dxa"/>
            <w:tcBorders>
              <w:top w:val="single" w:sz="18" w:space="0" w:color="800000"/>
            </w:tcBorders>
          </w:tcPr>
          <w:p w:rsidR="003F5784" w14:paraId="7B14FBDD" w14:textId="77777777">
            <w:pPr>
              <w:pStyle w:val="TableParagraph"/>
              <w:spacing w:before="9"/>
              <w:ind w:right="205"/>
              <w:rPr>
                <w:b/>
                <w:sz w:val="21"/>
              </w:rPr>
            </w:pPr>
            <w:r>
              <w:rPr>
                <w:b/>
                <w:spacing w:val="-2"/>
                <w:sz w:val="21"/>
              </w:rPr>
              <w:t>41,150,742</w:t>
            </w:r>
          </w:p>
        </w:tc>
        <w:tc>
          <w:tcPr>
            <w:tcW w:w="2751" w:type="dxa"/>
            <w:tcBorders>
              <w:top w:val="single" w:sz="18" w:space="0" w:color="800000"/>
            </w:tcBorders>
          </w:tcPr>
          <w:p w:rsidR="003F5784" w14:paraId="6F0F44DE" w14:textId="77777777">
            <w:pPr>
              <w:pStyle w:val="TableParagraph"/>
              <w:spacing w:before="9"/>
              <w:ind w:right="232"/>
              <w:rPr>
                <w:b/>
                <w:sz w:val="21"/>
              </w:rPr>
            </w:pPr>
            <w:r>
              <w:rPr>
                <w:b/>
                <w:spacing w:val="-5"/>
                <w:sz w:val="21"/>
              </w:rPr>
              <w:t>76</w:t>
            </w:r>
          </w:p>
        </w:tc>
        <w:tc>
          <w:tcPr>
            <w:tcW w:w="2624" w:type="dxa"/>
            <w:tcBorders>
              <w:top w:val="single" w:sz="18" w:space="0" w:color="800000"/>
            </w:tcBorders>
          </w:tcPr>
          <w:p w:rsidR="003F5784" w14:paraId="37D1F4F5" w14:textId="77777777">
            <w:pPr>
              <w:pStyle w:val="TableParagraph"/>
              <w:spacing w:before="9"/>
              <w:ind w:right="339"/>
              <w:rPr>
                <w:b/>
                <w:sz w:val="21"/>
              </w:rPr>
            </w:pPr>
            <w:r>
              <w:rPr>
                <w:b/>
                <w:spacing w:val="-5"/>
                <w:sz w:val="21"/>
              </w:rPr>
              <w:t>76</w:t>
            </w:r>
          </w:p>
        </w:tc>
        <w:tc>
          <w:tcPr>
            <w:tcW w:w="2228" w:type="dxa"/>
            <w:tcBorders>
              <w:top w:val="single" w:sz="18" w:space="0" w:color="800000"/>
            </w:tcBorders>
          </w:tcPr>
          <w:p w:rsidR="003F5784" w14:paraId="0CAF1BAC" w14:textId="77777777">
            <w:pPr>
              <w:pStyle w:val="TableParagraph"/>
              <w:spacing w:before="9"/>
              <w:ind w:right="120"/>
              <w:rPr>
                <w:b/>
                <w:sz w:val="21"/>
              </w:rPr>
            </w:pPr>
            <w:r>
              <w:rPr>
                <w:b/>
                <w:spacing w:val="-2"/>
                <w:sz w:val="21"/>
              </w:rPr>
              <w:t>541,457</w:t>
            </w:r>
          </w:p>
        </w:tc>
      </w:tr>
      <w:tr w14:paraId="59497ADA" w14:textId="77777777">
        <w:tblPrEx>
          <w:tblW w:w="0" w:type="auto"/>
          <w:tblInd w:w="482" w:type="dxa"/>
          <w:tblLayout w:type="fixed"/>
          <w:tblCellMar>
            <w:left w:w="0" w:type="dxa"/>
            <w:right w:w="0" w:type="dxa"/>
          </w:tblCellMar>
          <w:tblLook w:val="01E0"/>
        </w:tblPrEx>
        <w:trPr>
          <w:trHeight w:val="286"/>
        </w:trPr>
        <w:tc>
          <w:tcPr>
            <w:tcW w:w="2978" w:type="dxa"/>
          </w:tcPr>
          <w:p w:rsidR="003F5784" w14:paraId="0E258735" w14:textId="77777777">
            <w:pPr>
              <w:pStyle w:val="TableParagraph"/>
              <w:ind w:left="120"/>
              <w:jc w:val="left"/>
              <w:rPr>
                <w:sz w:val="21"/>
              </w:rPr>
            </w:pPr>
            <w:r>
              <w:rPr>
                <w:sz w:val="21"/>
              </w:rPr>
              <w:t>Northeast</w:t>
            </w:r>
            <w:r>
              <w:rPr>
                <w:spacing w:val="-8"/>
                <w:sz w:val="21"/>
              </w:rPr>
              <w:t xml:space="preserve"> </w:t>
            </w:r>
            <w:r>
              <w:rPr>
                <w:sz w:val="21"/>
              </w:rPr>
              <w:t>region</w:t>
            </w:r>
            <w:r>
              <w:rPr>
                <w:spacing w:val="-8"/>
                <w:sz w:val="21"/>
              </w:rPr>
              <w:t xml:space="preserve"> </w:t>
            </w:r>
            <w:r>
              <w:rPr>
                <w:spacing w:val="-2"/>
                <w:sz w:val="21"/>
              </w:rPr>
              <w:t>metropolitan</w:t>
            </w:r>
          </w:p>
        </w:tc>
        <w:tc>
          <w:tcPr>
            <w:tcW w:w="935" w:type="dxa"/>
          </w:tcPr>
          <w:p w:rsidR="003F5784" w14:paraId="50C0BFB0" w14:textId="77777777">
            <w:pPr>
              <w:pStyle w:val="TableParagraph"/>
              <w:ind w:right="183"/>
              <w:rPr>
                <w:sz w:val="21"/>
              </w:rPr>
            </w:pPr>
            <w:r>
              <w:rPr>
                <w:spacing w:val="-5"/>
                <w:sz w:val="21"/>
              </w:rPr>
              <w:t>43</w:t>
            </w:r>
          </w:p>
        </w:tc>
        <w:tc>
          <w:tcPr>
            <w:tcW w:w="1126" w:type="dxa"/>
          </w:tcPr>
          <w:p w:rsidR="003F5784" w14:paraId="0D86AF10" w14:textId="77777777">
            <w:pPr>
              <w:pStyle w:val="TableParagraph"/>
              <w:ind w:right="196"/>
              <w:rPr>
                <w:sz w:val="21"/>
              </w:rPr>
            </w:pPr>
            <w:r>
              <w:rPr>
                <w:spacing w:val="-5"/>
                <w:sz w:val="21"/>
              </w:rPr>
              <w:t>84</w:t>
            </w:r>
          </w:p>
        </w:tc>
        <w:tc>
          <w:tcPr>
            <w:tcW w:w="1345" w:type="dxa"/>
          </w:tcPr>
          <w:p w:rsidR="003F5784" w14:paraId="02F6B06A" w14:textId="77777777">
            <w:pPr>
              <w:pStyle w:val="TableParagraph"/>
              <w:ind w:right="205"/>
              <w:rPr>
                <w:sz w:val="21"/>
              </w:rPr>
            </w:pPr>
            <w:r>
              <w:rPr>
                <w:spacing w:val="-2"/>
                <w:sz w:val="21"/>
              </w:rPr>
              <w:t>4,353,475</w:t>
            </w:r>
          </w:p>
        </w:tc>
        <w:tc>
          <w:tcPr>
            <w:tcW w:w="2751" w:type="dxa"/>
          </w:tcPr>
          <w:p w:rsidR="003F5784" w14:paraId="4CDA7D71" w14:textId="77777777">
            <w:pPr>
              <w:pStyle w:val="TableParagraph"/>
              <w:ind w:right="232"/>
              <w:rPr>
                <w:sz w:val="21"/>
              </w:rPr>
            </w:pPr>
            <w:r>
              <w:rPr>
                <w:spacing w:val="-5"/>
                <w:sz w:val="21"/>
              </w:rPr>
              <w:t>8.0</w:t>
            </w:r>
          </w:p>
        </w:tc>
        <w:tc>
          <w:tcPr>
            <w:tcW w:w="2624" w:type="dxa"/>
          </w:tcPr>
          <w:p w:rsidR="003F5784" w14:paraId="750B34F6" w14:textId="77777777">
            <w:pPr>
              <w:pStyle w:val="TableParagraph"/>
              <w:ind w:right="339"/>
              <w:rPr>
                <w:sz w:val="21"/>
              </w:rPr>
            </w:pPr>
            <w:r>
              <w:rPr>
                <w:spacing w:val="-10"/>
                <w:sz w:val="21"/>
              </w:rPr>
              <w:t>8</w:t>
            </w:r>
          </w:p>
        </w:tc>
        <w:tc>
          <w:tcPr>
            <w:tcW w:w="2228" w:type="dxa"/>
          </w:tcPr>
          <w:p w:rsidR="003F5784" w14:paraId="49FBBB33" w14:textId="77777777">
            <w:pPr>
              <w:pStyle w:val="TableParagraph"/>
              <w:ind w:right="120"/>
              <w:rPr>
                <w:sz w:val="21"/>
              </w:rPr>
            </w:pPr>
            <w:r>
              <w:rPr>
                <w:spacing w:val="-2"/>
                <w:sz w:val="21"/>
              </w:rPr>
              <w:t>544,184</w:t>
            </w:r>
          </w:p>
        </w:tc>
      </w:tr>
      <w:tr w14:paraId="5AEB72CC" w14:textId="77777777">
        <w:tblPrEx>
          <w:tblW w:w="0" w:type="auto"/>
          <w:tblInd w:w="482" w:type="dxa"/>
          <w:tblLayout w:type="fixed"/>
          <w:tblCellMar>
            <w:left w:w="0" w:type="dxa"/>
            <w:right w:w="0" w:type="dxa"/>
          </w:tblCellMar>
          <w:tblLook w:val="01E0"/>
        </w:tblPrEx>
        <w:trPr>
          <w:trHeight w:val="521"/>
        </w:trPr>
        <w:tc>
          <w:tcPr>
            <w:tcW w:w="2978" w:type="dxa"/>
          </w:tcPr>
          <w:p w:rsidR="003F5784" w14:paraId="72FAE98A" w14:textId="77777777">
            <w:pPr>
              <w:pStyle w:val="TableParagraph"/>
              <w:spacing w:before="23" w:line="232" w:lineRule="auto"/>
              <w:ind w:left="120" w:right="1022"/>
              <w:jc w:val="left"/>
              <w:rPr>
                <w:sz w:val="21"/>
              </w:rPr>
            </w:pPr>
            <w:r>
              <w:rPr>
                <w:sz w:val="21"/>
              </w:rPr>
              <w:t>Northeast</w:t>
            </w:r>
            <w:r>
              <w:rPr>
                <w:spacing w:val="-14"/>
                <w:sz w:val="21"/>
              </w:rPr>
              <w:t xml:space="preserve"> </w:t>
            </w:r>
            <w:r>
              <w:rPr>
                <w:sz w:val="21"/>
              </w:rPr>
              <w:t>region</w:t>
            </w:r>
            <w:r>
              <w:rPr>
                <w:spacing w:val="-13"/>
                <w:sz w:val="21"/>
              </w:rPr>
              <w:t xml:space="preserve"> </w:t>
            </w:r>
            <w:r>
              <w:rPr>
                <w:sz w:val="21"/>
              </w:rPr>
              <w:t xml:space="preserve">non- </w:t>
            </w:r>
            <w:r>
              <w:rPr>
                <w:spacing w:val="-2"/>
                <w:sz w:val="21"/>
              </w:rPr>
              <w:t>metropolitan</w:t>
            </w:r>
          </w:p>
        </w:tc>
        <w:tc>
          <w:tcPr>
            <w:tcW w:w="935" w:type="dxa"/>
          </w:tcPr>
          <w:p w:rsidR="003F5784" w14:paraId="1EDE4600" w14:textId="77777777">
            <w:pPr>
              <w:pStyle w:val="TableParagraph"/>
              <w:ind w:right="183"/>
              <w:rPr>
                <w:sz w:val="21"/>
              </w:rPr>
            </w:pPr>
            <w:r>
              <w:rPr>
                <w:spacing w:val="-5"/>
                <w:sz w:val="21"/>
              </w:rPr>
              <w:t>48</w:t>
            </w:r>
          </w:p>
        </w:tc>
        <w:tc>
          <w:tcPr>
            <w:tcW w:w="1126" w:type="dxa"/>
          </w:tcPr>
          <w:p w:rsidR="003F5784" w14:paraId="50303302" w14:textId="77777777">
            <w:pPr>
              <w:pStyle w:val="TableParagraph"/>
              <w:ind w:right="196"/>
              <w:rPr>
                <w:sz w:val="21"/>
              </w:rPr>
            </w:pPr>
            <w:r>
              <w:rPr>
                <w:spacing w:val="-5"/>
                <w:sz w:val="21"/>
              </w:rPr>
              <w:t>94</w:t>
            </w:r>
          </w:p>
        </w:tc>
        <w:tc>
          <w:tcPr>
            <w:tcW w:w="1345" w:type="dxa"/>
          </w:tcPr>
          <w:p w:rsidR="003F5784" w14:paraId="6421B8BA" w14:textId="77777777">
            <w:pPr>
              <w:pStyle w:val="TableParagraph"/>
              <w:ind w:right="205"/>
              <w:rPr>
                <w:sz w:val="21"/>
              </w:rPr>
            </w:pPr>
            <w:r>
              <w:rPr>
                <w:spacing w:val="-2"/>
                <w:sz w:val="21"/>
              </w:rPr>
              <w:t>1,021,897</w:t>
            </w:r>
          </w:p>
        </w:tc>
        <w:tc>
          <w:tcPr>
            <w:tcW w:w="2751" w:type="dxa"/>
          </w:tcPr>
          <w:p w:rsidR="003F5784" w14:paraId="7CB8B213" w14:textId="77777777">
            <w:pPr>
              <w:pStyle w:val="TableParagraph"/>
              <w:ind w:right="232"/>
              <w:rPr>
                <w:sz w:val="21"/>
              </w:rPr>
            </w:pPr>
            <w:r>
              <w:rPr>
                <w:spacing w:val="-5"/>
                <w:sz w:val="21"/>
              </w:rPr>
              <w:t>1.9</w:t>
            </w:r>
          </w:p>
        </w:tc>
        <w:tc>
          <w:tcPr>
            <w:tcW w:w="2624" w:type="dxa"/>
          </w:tcPr>
          <w:p w:rsidR="003F5784" w14:paraId="5494826E" w14:textId="77777777">
            <w:pPr>
              <w:pStyle w:val="TableParagraph"/>
              <w:ind w:right="339"/>
              <w:rPr>
                <w:sz w:val="21"/>
              </w:rPr>
            </w:pPr>
            <w:r>
              <w:rPr>
                <w:spacing w:val="-10"/>
                <w:sz w:val="21"/>
              </w:rPr>
              <w:t>2</w:t>
            </w:r>
          </w:p>
        </w:tc>
        <w:tc>
          <w:tcPr>
            <w:tcW w:w="2228" w:type="dxa"/>
          </w:tcPr>
          <w:p w:rsidR="003F5784" w14:paraId="605C95CB" w14:textId="77777777">
            <w:pPr>
              <w:pStyle w:val="TableParagraph"/>
              <w:ind w:right="120"/>
              <w:rPr>
                <w:sz w:val="21"/>
              </w:rPr>
            </w:pPr>
            <w:r>
              <w:rPr>
                <w:spacing w:val="-2"/>
                <w:sz w:val="21"/>
              </w:rPr>
              <w:t>510,949</w:t>
            </w:r>
          </w:p>
        </w:tc>
      </w:tr>
      <w:tr w14:paraId="003793B4" w14:textId="77777777">
        <w:tblPrEx>
          <w:tblW w:w="0" w:type="auto"/>
          <w:tblInd w:w="482" w:type="dxa"/>
          <w:tblLayout w:type="fixed"/>
          <w:tblCellMar>
            <w:left w:w="0" w:type="dxa"/>
            <w:right w:w="0" w:type="dxa"/>
          </w:tblCellMar>
          <w:tblLook w:val="01E0"/>
        </w:tblPrEx>
        <w:trPr>
          <w:trHeight w:val="286"/>
        </w:trPr>
        <w:tc>
          <w:tcPr>
            <w:tcW w:w="2978" w:type="dxa"/>
          </w:tcPr>
          <w:p w:rsidR="003F5784" w14:paraId="159FE516" w14:textId="77777777">
            <w:pPr>
              <w:pStyle w:val="TableParagraph"/>
              <w:ind w:left="120"/>
              <w:jc w:val="left"/>
              <w:rPr>
                <w:sz w:val="21"/>
              </w:rPr>
            </w:pPr>
            <w:r>
              <w:rPr>
                <w:sz w:val="21"/>
              </w:rPr>
              <w:t>Midwest</w:t>
            </w:r>
            <w:r>
              <w:rPr>
                <w:spacing w:val="-8"/>
                <w:sz w:val="21"/>
              </w:rPr>
              <w:t xml:space="preserve"> </w:t>
            </w:r>
            <w:r>
              <w:rPr>
                <w:sz w:val="21"/>
              </w:rPr>
              <w:t>region</w:t>
            </w:r>
            <w:r>
              <w:rPr>
                <w:spacing w:val="-7"/>
                <w:sz w:val="21"/>
              </w:rPr>
              <w:t xml:space="preserve"> </w:t>
            </w:r>
            <w:r>
              <w:rPr>
                <w:spacing w:val="-2"/>
                <w:sz w:val="21"/>
              </w:rPr>
              <w:t>metropolitan</w:t>
            </w:r>
          </w:p>
        </w:tc>
        <w:tc>
          <w:tcPr>
            <w:tcW w:w="935" w:type="dxa"/>
          </w:tcPr>
          <w:p w:rsidR="003F5784" w14:paraId="322442D4" w14:textId="77777777">
            <w:pPr>
              <w:pStyle w:val="TableParagraph"/>
              <w:ind w:right="183"/>
              <w:rPr>
                <w:sz w:val="21"/>
              </w:rPr>
            </w:pPr>
            <w:r>
              <w:rPr>
                <w:spacing w:val="-5"/>
                <w:sz w:val="21"/>
              </w:rPr>
              <w:t>91</w:t>
            </w:r>
          </w:p>
        </w:tc>
        <w:tc>
          <w:tcPr>
            <w:tcW w:w="1126" w:type="dxa"/>
          </w:tcPr>
          <w:p w:rsidR="003F5784" w14:paraId="34247D95" w14:textId="77777777">
            <w:pPr>
              <w:pStyle w:val="TableParagraph"/>
              <w:ind w:right="196"/>
              <w:rPr>
                <w:sz w:val="21"/>
              </w:rPr>
            </w:pPr>
            <w:r>
              <w:rPr>
                <w:spacing w:val="-5"/>
                <w:sz w:val="21"/>
              </w:rPr>
              <w:t>229</w:t>
            </w:r>
          </w:p>
        </w:tc>
        <w:tc>
          <w:tcPr>
            <w:tcW w:w="1345" w:type="dxa"/>
          </w:tcPr>
          <w:p w:rsidR="003F5784" w14:paraId="76F28A4D" w14:textId="77777777">
            <w:pPr>
              <w:pStyle w:val="TableParagraph"/>
              <w:ind w:right="205"/>
              <w:rPr>
                <w:sz w:val="21"/>
              </w:rPr>
            </w:pPr>
            <w:r>
              <w:rPr>
                <w:spacing w:val="-2"/>
                <w:sz w:val="21"/>
              </w:rPr>
              <w:t>6,989,571</w:t>
            </w:r>
          </w:p>
        </w:tc>
        <w:tc>
          <w:tcPr>
            <w:tcW w:w="2751" w:type="dxa"/>
          </w:tcPr>
          <w:p w:rsidR="003F5784" w14:paraId="51B0AF9F" w14:textId="77777777">
            <w:pPr>
              <w:pStyle w:val="TableParagraph"/>
              <w:ind w:right="232"/>
              <w:rPr>
                <w:sz w:val="21"/>
              </w:rPr>
            </w:pPr>
            <w:r>
              <w:rPr>
                <w:spacing w:val="-4"/>
                <w:sz w:val="21"/>
              </w:rPr>
              <w:t>12.9</w:t>
            </w:r>
          </w:p>
        </w:tc>
        <w:tc>
          <w:tcPr>
            <w:tcW w:w="2624" w:type="dxa"/>
          </w:tcPr>
          <w:p w:rsidR="003F5784" w14:paraId="024E4626" w14:textId="77777777">
            <w:pPr>
              <w:pStyle w:val="TableParagraph"/>
              <w:ind w:right="339"/>
              <w:rPr>
                <w:sz w:val="21"/>
              </w:rPr>
            </w:pPr>
            <w:r>
              <w:rPr>
                <w:spacing w:val="-5"/>
                <w:sz w:val="21"/>
              </w:rPr>
              <w:t>12</w:t>
            </w:r>
          </w:p>
        </w:tc>
        <w:tc>
          <w:tcPr>
            <w:tcW w:w="2228" w:type="dxa"/>
          </w:tcPr>
          <w:p w:rsidR="003F5784" w14:paraId="0FE5DC0D" w14:textId="77777777">
            <w:pPr>
              <w:pStyle w:val="TableParagraph"/>
              <w:ind w:right="120"/>
              <w:rPr>
                <w:sz w:val="21"/>
              </w:rPr>
            </w:pPr>
            <w:r>
              <w:rPr>
                <w:spacing w:val="-2"/>
                <w:sz w:val="21"/>
              </w:rPr>
              <w:t>582,464</w:t>
            </w:r>
          </w:p>
        </w:tc>
      </w:tr>
      <w:tr w14:paraId="2CD44B5A" w14:textId="77777777">
        <w:tblPrEx>
          <w:tblW w:w="0" w:type="auto"/>
          <w:tblInd w:w="482" w:type="dxa"/>
          <w:tblLayout w:type="fixed"/>
          <w:tblCellMar>
            <w:left w:w="0" w:type="dxa"/>
            <w:right w:w="0" w:type="dxa"/>
          </w:tblCellMar>
          <w:tblLook w:val="01E0"/>
        </w:tblPrEx>
        <w:trPr>
          <w:trHeight w:val="521"/>
        </w:trPr>
        <w:tc>
          <w:tcPr>
            <w:tcW w:w="2978" w:type="dxa"/>
          </w:tcPr>
          <w:p w:rsidR="003F5784" w14:paraId="6F2A149D" w14:textId="77777777">
            <w:pPr>
              <w:pStyle w:val="TableParagraph"/>
              <w:spacing w:before="23" w:line="232" w:lineRule="auto"/>
              <w:ind w:left="120" w:right="1103"/>
              <w:jc w:val="left"/>
              <w:rPr>
                <w:sz w:val="21"/>
              </w:rPr>
            </w:pPr>
            <w:r>
              <w:rPr>
                <w:sz w:val="21"/>
              </w:rPr>
              <w:t>Midwest</w:t>
            </w:r>
            <w:r>
              <w:rPr>
                <w:spacing w:val="-14"/>
                <w:sz w:val="21"/>
              </w:rPr>
              <w:t xml:space="preserve"> </w:t>
            </w:r>
            <w:r>
              <w:rPr>
                <w:sz w:val="21"/>
              </w:rPr>
              <w:t>region</w:t>
            </w:r>
            <w:r>
              <w:rPr>
                <w:spacing w:val="-13"/>
                <w:sz w:val="21"/>
              </w:rPr>
              <w:t xml:space="preserve"> </w:t>
            </w:r>
            <w:r>
              <w:rPr>
                <w:sz w:val="21"/>
              </w:rPr>
              <w:t xml:space="preserve">non- </w:t>
            </w:r>
            <w:r>
              <w:rPr>
                <w:spacing w:val="-2"/>
                <w:sz w:val="21"/>
              </w:rPr>
              <w:t>metropolitan</w:t>
            </w:r>
          </w:p>
        </w:tc>
        <w:tc>
          <w:tcPr>
            <w:tcW w:w="935" w:type="dxa"/>
          </w:tcPr>
          <w:p w:rsidR="003F5784" w14:paraId="3C65BC07" w14:textId="77777777">
            <w:pPr>
              <w:pStyle w:val="TableParagraph"/>
              <w:ind w:right="183"/>
              <w:rPr>
                <w:sz w:val="21"/>
              </w:rPr>
            </w:pPr>
            <w:r>
              <w:rPr>
                <w:spacing w:val="-5"/>
                <w:sz w:val="21"/>
              </w:rPr>
              <w:t>228</w:t>
            </w:r>
          </w:p>
        </w:tc>
        <w:tc>
          <w:tcPr>
            <w:tcW w:w="1126" w:type="dxa"/>
          </w:tcPr>
          <w:p w:rsidR="003F5784" w14:paraId="25EB3D79" w14:textId="77777777">
            <w:pPr>
              <w:pStyle w:val="TableParagraph"/>
              <w:ind w:right="196"/>
              <w:rPr>
                <w:sz w:val="21"/>
              </w:rPr>
            </w:pPr>
            <w:r>
              <w:rPr>
                <w:spacing w:val="-5"/>
                <w:sz w:val="21"/>
              </w:rPr>
              <w:t>762</w:t>
            </w:r>
          </w:p>
        </w:tc>
        <w:tc>
          <w:tcPr>
            <w:tcW w:w="1345" w:type="dxa"/>
          </w:tcPr>
          <w:p w:rsidR="003F5784" w14:paraId="4CA21822" w14:textId="77777777">
            <w:pPr>
              <w:pStyle w:val="TableParagraph"/>
              <w:ind w:right="205"/>
              <w:rPr>
                <w:sz w:val="21"/>
              </w:rPr>
            </w:pPr>
            <w:r>
              <w:rPr>
                <w:spacing w:val="-2"/>
                <w:sz w:val="21"/>
              </w:rPr>
              <w:t>3,388,214</w:t>
            </w:r>
          </w:p>
        </w:tc>
        <w:tc>
          <w:tcPr>
            <w:tcW w:w="2751" w:type="dxa"/>
          </w:tcPr>
          <w:p w:rsidR="003F5784" w14:paraId="0184ADA4" w14:textId="77777777">
            <w:pPr>
              <w:pStyle w:val="TableParagraph"/>
              <w:ind w:right="232"/>
              <w:rPr>
                <w:sz w:val="21"/>
              </w:rPr>
            </w:pPr>
            <w:r>
              <w:rPr>
                <w:spacing w:val="-5"/>
                <w:sz w:val="21"/>
              </w:rPr>
              <w:t>6.3</w:t>
            </w:r>
          </w:p>
        </w:tc>
        <w:tc>
          <w:tcPr>
            <w:tcW w:w="2624" w:type="dxa"/>
          </w:tcPr>
          <w:p w:rsidR="003F5784" w14:paraId="5A062586" w14:textId="77777777">
            <w:pPr>
              <w:pStyle w:val="TableParagraph"/>
              <w:ind w:right="339"/>
              <w:rPr>
                <w:sz w:val="21"/>
              </w:rPr>
            </w:pPr>
            <w:r>
              <w:rPr>
                <w:spacing w:val="-10"/>
                <w:sz w:val="21"/>
              </w:rPr>
              <w:t>6</w:t>
            </w:r>
          </w:p>
        </w:tc>
        <w:tc>
          <w:tcPr>
            <w:tcW w:w="2228" w:type="dxa"/>
          </w:tcPr>
          <w:p w:rsidR="003F5784" w14:paraId="38DA6152" w14:textId="77777777">
            <w:pPr>
              <w:pStyle w:val="TableParagraph"/>
              <w:ind w:right="120"/>
              <w:rPr>
                <w:sz w:val="21"/>
              </w:rPr>
            </w:pPr>
            <w:r>
              <w:rPr>
                <w:spacing w:val="-2"/>
                <w:sz w:val="21"/>
              </w:rPr>
              <w:t>564,702</w:t>
            </w:r>
          </w:p>
        </w:tc>
      </w:tr>
      <w:tr w14:paraId="610D7318" w14:textId="77777777">
        <w:tblPrEx>
          <w:tblW w:w="0" w:type="auto"/>
          <w:tblInd w:w="482" w:type="dxa"/>
          <w:tblLayout w:type="fixed"/>
          <w:tblCellMar>
            <w:left w:w="0" w:type="dxa"/>
            <w:right w:w="0" w:type="dxa"/>
          </w:tblCellMar>
          <w:tblLook w:val="01E0"/>
        </w:tblPrEx>
        <w:trPr>
          <w:trHeight w:val="286"/>
        </w:trPr>
        <w:tc>
          <w:tcPr>
            <w:tcW w:w="2978" w:type="dxa"/>
          </w:tcPr>
          <w:p w:rsidR="003F5784" w14:paraId="675B76E3" w14:textId="77777777">
            <w:pPr>
              <w:pStyle w:val="TableParagraph"/>
              <w:ind w:left="120"/>
              <w:jc w:val="left"/>
              <w:rPr>
                <w:sz w:val="21"/>
              </w:rPr>
            </w:pPr>
            <w:r>
              <w:rPr>
                <w:sz w:val="21"/>
              </w:rPr>
              <w:t>South</w:t>
            </w:r>
            <w:r>
              <w:rPr>
                <w:spacing w:val="-7"/>
                <w:sz w:val="21"/>
              </w:rPr>
              <w:t xml:space="preserve"> </w:t>
            </w:r>
            <w:r>
              <w:rPr>
                <w:sz w:val="21"/>
              </w:rPr>
              <w:t>region</w:t>
            </w:r>
            <w:r>
              <w:rPr>
                <w:spacing w:val="-6"/>
                <w:sz w:val="21"/>
              </w:rPr>
              <w:t xml:space="preserve"> </w:t>
            </w:r>
            <w:r>
              <w:rPr>
                <w:spacing w:val="-2"/>
                <w:sz w:val="21"/>
              </w:rPr>
              <w:t>metropolitan</w:t>
            </w:r>
          </w:p>
        </w:tc>
        <w:tc>
          <w:tcPr>
            <w:tcW w:w="935" w:type="dxa"/>
          </w:tcPr>
          <w:p w:rsidR="003F5784" w14:paraId="3AECCF56" w14:textId="77777777">
            <w:pPr>
              <w:pStyle w:val="TableParagraph"/>
              <w:ind w:right="183"/>
              <w:rPr>
                <w:sz w:val="21"/>
              </w:rPr>
            </w:pPr>
            <w:r>
              <w:rPr>
                <w:spacing w:val="-5"/>
                <w:sz w:val="21"/>
              </w:rPr>
              <w:t>141</w:t>
            </w:r>
          </w:p>
        </w:tc>
        <w:tc>
          <w:tcPr>
            <w:tcW w:w="1126" w:type="dxa"/>
          </w:tcPr>
          <w:p w:rsidR="003F5784" w14:paraId="29DAED29" w14:textId="77777777">
            <w:pPr>
              <w:pStyle w:val="TableParagraph"/>
              <w:ind w:right="196"/>
              <w:rPr>
                <w:sz w:val="21"/>
              </w:rPr>
            </w:pPr>
            <w:r>
              <w:rPr>
                <w:spacing w:val="-5"/>
                <w:sz w:val="21"/>
              </w:rPr>
              <w:t>453</w:t>
            </w:r>
          </w:p>
        </w:tc>
        <w:tc>
          <w:tcPr>
            <w:tcW w:w="1345" w:type="dxa"/>
          </w:tcPr>
          <w:p w:rsidR="003F5784" w14:paraId="4EC90C58" w14:textId="77777777">
            <w:pPr>
              <w:pStyle w:val="TableParagraph"/>
              <w:ind w:right="205"/>
              <w:rPr>
                <w:sz w:val="21"/>
              </w:rPr>
            </w:pPr>
            <w:r>
              <w:rPr>
                <w:spacing w:val="-2"/>
                <w:sz w:val="21"/>
              </w:rPr>
              <w:t>13,175,373</w:t>
            </w:r>
          </w:p>
        </w:tc>
        <w:tc>
          <w:tcPr>
            <w:tcW w:w="2751" w:type="dxa"/>
          </w:tcPr>
          <w:p w:rsidR="003F5784" w14:paraId="11EB6CA1" w14:textId="77777777">
            <w:pPr>
              <w:pStyle w:val="TableParagraph"/>
              <w:ind w:right="232"/>
              <w:rPr>
                <w:sz w:val="21"/>
              </w:rPr>
            </w:pPr>
            <w:r>
              <w:rPr>
                <w:spacing w:val="-4"/>
                <w:sz w:val="21"/>
              </w:rPr>
              <w:t>24.3</w:t>
            </w:r>
          </w:p>
        </w:tc>
        <w:tc>
          <w:tcPr>
            <w:tcW w:w="2624" w:type="dxa"/>
          </w:tcPr>
          <w:p w:rsidR="003F5784" w14:paraId="0FB31C1B" w14:textId="77777777">
            <w:pPr>
              <w:pStyle w:val="TableParagraph"/>
              <w:ind w:right="339"/>
              <w:rPr>
                <w:sz w:val="21"/>
              </w:rPr>
            </w:pPr>
            <w:r>
              <w:rPr>
                <w:spacing w:val="-5"/>
                <w:sz w:val="21"/>
              </w:rPr>
              <w:t>24</w:t>
            </w:r>
          </w:p>
        </w:tc>
        <w:tc>
          <w:tcPr>
            <w:tcW w:w="2228" w:type="dxa"/>
          </w:tcPr>
          <w:p w:rsidR="003F5784" w14:paraId="6549F373" w14:textId="77777777">
            <w:pPr>
              <w:pStyle w:val="TableParagraph"/>
              <w:ind w:right="120"/>
              <w:rPr>
                <w:sz w:val="21"/>
              </w:rPr>
            </w:pPr>
            <w:r>
              <w:rPr>
                <w:spacing w:val="-2"/>
                <w:sz w:val="21"/>
              </w:rPr>
              <w:t>548,974</w:t>
            </w:r>
          </w:p>
        </w:tc>
      </w:tr>
      <w:tr w14:paraId="1F657F03" w14:textId="77777777">
        <w:tblPrEx>
          <w:tblW w:w="0" w:type="auto"/>
          <w:tblInd w:w="482" w:type="dxa"/>
          <w:tblLayout w:type="fixed"/>
          <w:tblCellMar>
            <w:left w:w="0" w:type="dxa"/>
            <w:right w:w="0" w:type="dxa"/>
          </w:tblCellMar>
          <w:tblLook w:val="01E0"/>
        </w:tblPrEx>
        <w:trPr>
          <w:trHeight w:val="286"/>
        </w:trPr>
        <w:tc>
          <w:tcPr>
            <w:tcW w:w="2978" w:type="dxa"/>
          </w:tcPr>
          <w:p w:rsidR="003F5784" w14:paraId="5C054445" w14:textId="77777777">
            <w:pPr>
              <w:pStyle w:val="TableParagraph"/>
              <w:ind w:left="120"/>
              <w:jc w:val="left"/>
              <w:rPr>
                <w:sz w:val="21"/>
              </w:rPr>
            </w:pPr>
            <w:r>
              <w:rPr>
                <w:sz w:val="21"/>
              </w:rPr>
              <w:t>South</w:t>
            </w:r>
            <w:r>
              <w:rPr>
                <w:spacing w:val="-9"/>
                <w:sz w:val="21"/>
              </w:rPr>
              <w:t xml:space="preserve"> </w:t>
            </w:r>
            <w:r>
              <w:rPr>
                <w:sz w:val="21"/>
              </w:rPr>
              <w:t>region</w:t>
            </w:r>
            <w:r>
              <w:rPr>
                <w:spacing w:val="-8"/>
                <w:sz w:val="21"/>
              </w:rPr>
              <w:t xml:space="preserve"> </w:t>
            </w:r>
            <w:r>
              <w:rPr>
                <w:sz w:val="21"/>
              </w:rPr>
              <w:t>non-</w:t>
            </w:r>
            <w:r>
              <w:rPr>
                <w:spacing w:val="-2"/>
                <w:sz w:val="21"/>
              </w:rPr>
              <w:t>metropolitan</w:t>
            </w:r>
          </w:p>
        </w:tc>
        <w:tc>
          <w:tcPr>
            <w:tcW w:w="935" w:type="dxa"/>
          </w:tcPr>
          <w:p w:rsidR="003F5784" w14:paraId="51190220" w14:textId="77777777">
            <w:pPr>
              <w:pStyle w:val="TableParagraph"/>
              <w:ind w:right="183"/>
              <w:rPr>
                <w:sz w:val="21"/>
              </w:rPr>
            </w:pPr>
            <w:r>
              <w:rPr>
                <w:spacing w:val="-5"/>
                <w:sz w:val="21"/>
              </w:rPr>
              <w:t>250</w:t>
            </w:r>
          </w:p>
        </w:tc>
        <w:tc>
          <w:tcPr>
            <w:tcW w:w="1126" w:type="dxa"/>
          </w:tcPr>
          <w:p w:rsidR="003F5784" w14:paraId="47737784" w14:textId="77777777">
            <w:pPr>
              <w:pStyle w:val="TableParagraph"/>
              <w:ind w:right="196"/>
              <w:rPr>
                <w:sz w:val="21"/>
              </w:rPr>
            </w:pPr>
            <w:r>
              <w:rPr>
                <w:spacing w:val="-5"/>
                <w:sz w:val="21"/>
              </w:rPr>
              <w:t>871</w:t>
            </w:r>
          </w:p>
        </w:tc>
        <w:tc>
          <w:tcPr>
            <w:tcW w:w="1345" w:type="dxa"/>
          </w:tcPr>
          <w:p w:rsidR="003F5784" w14:paraId="33BCE064" w14:textId="77777777">
            <w:pPr>
              <w:pStyle w:val="TableParagraph"/>
              <w:ind w:right="205"/>
              <w:rPr>
                <w:sz w:val="21"/>
              </w:rPr>
            </w:pPr>
            <w:r>
              <w:rPr>
                <w:spacing w:val="-2"/>
                <w:sz w:val="21"/>
              </w:rPr>
              <w:t>5,011,123</w:t>
            </w:r>
          </w:p>
        </w:tc>
        <w:tc>
          <w:tcPr>
            <w:tcW w:w="2751" w:type="dxa"/>
          </w:tcPr>
          <w:p w:rsidR="003F5784" w14:paraId="6FF92335" w14:textId="77777777">
            <w:pPr>
              <w:pStyle w:val="TableParagraph"/>
              <w:ind w:right="232"/>
              <w:rPr>
                <w:sz w:val="21"/>
              </w:rPr>
            </w:pPr>
            <w:r>
              <w:rPr>
                <w:spacing w:val="-5"/>
                <w:sz w:val="21"/>
              </w:rPr>
              <w:t>9.3</w:t>
            </w:r>
          </w:p>
        </w:tc>
        <w:tc>
          <w:tcPr>
            <w:tcW w:w="2624" w:type="dxa"/>
          </w:tcPr>
          <w:p w:rsidR="003F5784" w14:paraId="43C8A203" w14:textId="77777777">
            <w:pPr>
              <w:pStyle w:val="TableParagraph"/>
              <w:ind w:right="339"/>
              <w:rPr>
                <w:sz w:val="21"/>
              </w:rPr>
            </w:pPr>
            <w:r>
              <w:rPr>
                <w:spacing w:val="-10"/>
                <w:sz w:val="21"/>
              </w:rPr>
              <w:t>8</w:t>
            </w:r>
          </w:p>
        </w:tc>
        <w:tc>
          <w:tcPr>
            <w:tcW w:w="2228" w:type="dxa"/>
          </w:tcPr>
          <w:p w:rsidR="003F5784" w14:paraId="02FC2D60" w14:textId="77777777">
            <w:pPr>
              <w:pStyle w:val="TableParagraph"/>
              <w:ind w:right="120"/>
              <w:rPr>
                <w:sz w:val="21"/>
              </w:rPr>
            </w:pPr>
            <w:r>
              <w:rPr>
                <w:spacing w:val="-2"/>
                <w:sz w:val="21"/>
              </w:rPr>
              <w:t>626,390</w:t>
            </w:r>
          </w:p>
        </w:tc>
      </w:tr>
      <w:tr w14:paraId="5CCDC730" w14:textId="77777777">
        <w:tblPrEx>
          <w:tblW w:w="0" w:type="auto"/>
          <w:tblInd w:w="482" w:type="dxa"/>
          <w:tblLayout w:type="fixed"/>
          <w:tblCellMar>
            <w:left w:w="0" w:type="dxa"/>
            <w:right w:w="0" w:type="dxa"/>
          </w:tblCellMar>
          <w:tblLook w:val="01E0"/>
        </w:tblPrEx>
        <w:trPr>
          <w:trHeight w:val="286"/>
        </w:trPr>
        <w:tc>
          <w:tcPr>
            <w:tcW w:w="2978" w:type="dxa"/>
          </w:tcPr>
          <w:p w:rsidR="003F5784" w14:paraId="13C66658" w14:textId="77777777">
            <w:pPr>
              <w:pStyle w:val="TableParagraph"/>
              <w:ind w:left="120"/>
              <w:jc w:val="left"/>
              <w:rPr>
                <w:sz w:val="21"/>
              </w:rPr>
            </w:pPr>
            <w:r>
              <w:rPr>
                <w:spacing w:val="-2"/>
                <w:sz w:val="21"/>
              </w:rPr>
              <w:t>West</w:t>
            </w:r>
            <w:r>
              <w:rPr>
                <w:spacing w:val="-5"/>
                <w:sz w:val="21"/>
              </w:rPr>
              <w:t xml:space="preserve"> </w:t>
            </w:r>
            <w:r>
              <w:rPr>
                <w:spacing w:val="-2"/>
                <w:sz w:val="21"/>
              </w:rPr>
              <w:t>region</w:t>
            </w:r>
            <w:r>
              <w:rPr>
                <w:spacing w:val="-4"/>
                <w:sz w:val="21"/>
              </w:rPr>
              <w:t xml:space="preserve"> </w:t>
            </w:r>
            <w:r>
              <w:rPr>
                <w:spacing w:val="-2"/>
                <w:sz w:val="21"/>
              </w:rPr>
              <w:t>metropolitan</w:t>
            </w:r>
          </w:p>
        </w:tc>
        <w:tc>
          <w:tcPr>
            <w:tcW w:w="935" w:type="dxa"/>
          </w:tcPr>
          <w:p w:rsidR="003F5784" w14:paraId="3D50F6B1" w14:textId="77777777">
            <w:pPr>
              <w:pStyle w:val="TableParagraph"/>
              <w:ind w:right="183"/>
              <w:rPr>
                <w:sz w:val="21"/>
              </w:rPr>
            </w:pPr>
            <w:r>
              <w:rPr>
                <w:spacing w:val="-5"/>
                <w:sz w:val="21"/>
              </w:rPr>
              <w:t>68</w:t>
            </w:r>
          </w:p>
        </w:tc>
        <w:tc>
          <w:tcPr>
            <w:tcW w:w="1126" w:type="dxa"/>
          </w:tcPr>
          <w:p w:rsidR="003F5784" w14:paraId="6614AB08" w14:textId="77777777">
            <w:pPr>
              <w:pStyle w:val="TableParagraph"/>
              <w:ind w:right="196"/>
              <w:rPr>
                <w:sz w:val="21"/>
              </w:rPr>
            </w:pPr>
            <w:r>
              <w:rPr>
                <w:spacing w:val="-5"/>
                <w:sz w:val="21"/>
              </w:rPr>
              <w:t>92</w:t>
            </w:r>
          </w:p>
        </w:tc>
        <w:tc>
          <w:tcPr>
            <w:tcW w:w="1345" w:type="dxa"/>
          </w:tcPr>
          <w:p w:rsidR="003F5784" w14:paraId="41F23DBA" w14:textId="77777777">
            <w:pPr>
              <w:pStyle w:val="TableParagraph"/>
              <w:ind w:right="205"/>
              <w:rPr>
                <w:sz w:val="21"/>
              </w:rPr>
            </w:pPr>
            <w:r>
              <w:rPr>
                <w:spacing w:val="-2"/>
                <w:sz w:val="21"/>
              </w:rPr>
              <w:t>5,553,507</w:t>
            </w:r>
          </w:p>
        </w:tc>
        <w:tc>
          <w:tcPr>
            <w:tcW w:w="2751" w:type="dxa"/>
          </w:tcPr>
          <w:p w:rsidR="003F5784" w14:paraId="0536F106" w14:textId="77777777">
            <w:pPr>
              <w:pStyle w:val="TableParagraph"/>
              <w:ind w:right="232"/>
              <w:rPr>
                <w:sz w:val="21"/>
              </w:rPr>
            </w:pPr>
            <w:r>
              <w:rPr>
                <w:spacing w:val="-4"/>
                <w:sz w:val="21"/>
              </w:rPr>
              <w:t>10.3</w:t>
            </w:r>
          </w:p>
        </w:tc>
        <w:tc>
          <w:tcPr>
            <w:tcW w:w="2624" w:type="dxa"/>
          </w:tcPr>
          <w:p w:rsidR="003F5784" w14:paraId="27C92E9A" w14:textId="77777777">
            <w:pPr>
              <w:pStyle w:val="TableParagraph"/>
              <w:ind w:right="339"/>
              <w:rPr>
                <w:sz w:val="21"/>
              </w:rPr>
            </w:pPr>
            <w:r>
              <w:rPr>
                <w:spacing w:val="-5"/>
                <w:sz w:val="21"/>
              </w:rPr>
              <w:t>12</w:t>
            </w:r>
          </w:p>
        </w:tc>
        <w:tc>
          <w:tcPr>
            <w:tcW w:w="2228" w:type="dxa"/>
          </w:tcPr>
          <w:p w:rsidR="003F5784" w14:paraId="6C0D7EFE" w14:textId="77777777">
            <w:pPr>
              <w:pStyle w:val="TableParagraph"/>
              <w:ind w:right="120"/>
              <w:rPr>
                <w:sz w:val="21"/>
              </w:rPr>
            </w:pPr>
            <w:r>
              <w:rPr>
                <w:spacing w:val="-2"/>
                <w:sz w:val="21"/>
              </w:rPr>
              <w:t>462,792</w:t>
            </w:r>
          </w:p>
        </w:tc>
      </w:tr>
      <w:tr w14:paraId="1E2E8F36" w14:textId="77777777">
        <w:tblPrEx>
          <w:tblW w:w="0" w:type="auto"/>
          <w:tblInd w:w="482" w:type="dxa"/>
          <w:tblLayout w:type="fixed"/>
          <w:tblCellMar>
            <w:left w:w="0" w:type="dxa"/>
            <w:right w:w="0" w:type="dxa"/>
          </w:tblCellMar>
          <w:tblLook w:val="01E0"/>
        </w:tblPrEx>
        <w:trPr>
          <w:trHeight w:val="288"/>
        </w:trPr>
        <w:tc>
          <w:tcPr>
            <w:tcW w:w="2978" w:type="dxa"/>
            <w:tcBorders>
              <w:bottom w:val="single" w:sz="18" w:space="0" w:color="800000"/>
            </w:tcBorders>
          </w:tcPr>
          <w:p w:rsidR="003F5784" w14:paraId="5D5F7273" w14:textId="77777777">
            <w:pPr>
              <w:pStyle w:val="TableParagraph"/>
              <w:ind w:left="120"/>
              <w:jc w:val="left"/>
              <w:rPr>
                <w:sz w:val="21"/>
              </w:rPr>
            </w:pPr>
            <w:r>
              <w:rPr>
                <w:spacing w:val="-2"/>
                <w:sz w:val="21"/>
              </w:rPr>
              <w:t>West</w:t>
            </w:r>
            <w:r>
              <w:rPr>
                <w:spacing w:val="-3"/>
                <w:sz w:val="21"/>
              </w:rPr>
              <w:t xml:space="preserve"> </w:t>
            </w:r>
            <w:r>
              <w:rPr>
                <w:spacing w:val="-2"/>
                <w:sz w:val="21"/>
              </w:rPr>
              <w:t>region non-metropolitan</w:t>
            </w:r>
          </w:p>
        </w:tc>
        <w:tc>
          <w:tcPr>
            <w:tcW w:w="935" w:type="dxa"/>
            <w:tcBorders>
              <w:bottom w:val="single" w:sz="18" w:space="0" w:color="800000"/>
            </w:tcBorders>
          </w:tcPr>
          <w:p w:rsidR="003F5784" w14:paraId="31B682D7" w14:textId="77777777">
            <w:pPr>
              <w:pStyle w:val="TableParagraph"/>
              <w:ind w:right="183"/>
              <w:rPr>
                <w:sz w:val="21"/>
              </w:rPr>
            </w:pPr>
            <w:r>
              <w:rPr>
                <w:spacing w:val="-5"/>
                <w:sz w:val="21"/>
              </w:rPr>
              <w:t>103</w:t>
            </w:r>
          </w:p>
        </w:tc>
        <w:tc>
          <w:tcPr>
            <w:tcW w:w="1126" w:type="dxa"/>
            <w:tcBorders>
              <w:bottom w:val="single" w:sz="18" w:space="0" w:color="800000"/>
            </w:tcBorders>
          </w:tcPr>
          <w:p w:rsidR="003F5784" w14:paraId="41C63C82" w14:textId="77777777">
            <w:pPr>
              <w:pStyle w:val="TableParagraph"/>
              <w:ind w:right="196"/>
              <w:rPr>
                <w:sz w:val="21"/>
              </w:rPr>
            </w:pPr>
            <w:r>
              <w:rPr>
                <w:spacing w:val="-5"/>
                <w:sz w:val="21"/>
              </w:rPr>
              <w:t>316</w:t>
            </w:r>
          </w:p>
        </w:tc>
        <w:tc>
          <w:tcPr>
            <w:tcW w:w="1345" w:type="dxa"/>
            <w:tcBorders>
              <w:bottom w:val="single" w:sz="18" w:space="0" w:color="800000"/>
            </w:tcBorders>
          </w:tcPr>
          <w:p w:rsidR="003F5784" w14:paraId="6D0C2F39" w14:textId="77777777">
            <w:pPr>
              <w:pStyle w:val="TableParagraph"/>
              <w:ind w:right="205"/>
              <w:rPr>
                <w:sz w:val="21"/>
              </w:rPr>
            </w:pPr>
            <w:r>
              <w:rPr>
                <w:spacing w:val="-2"/>
                <w:sz w:val="21"/>
              </w:rPr>
              <w:t>1,657,582</w:t>
            </w:r>
          </w:p>
        </w:tc>
        <w:tc>
          <w:tcPr>
            <w:tcW w:w="2751" w:type="dxa"/>
            <w:tcBorders>
              <w:bottom w:val="single" w:sz="18" w:space="0" w:color="800000"/>
            </w:tcBorders>
          </w:tcPr>
          <w:p w:rsidR="003F5784" w14:paraId="077CA269" w14:textId="77777777">
            <w:pPr>
              <w:pStyle w:val="TableParagraph"/>
              <w:ind w:right="232"/>
              <w:rPr>
                <w:sz w:val="21"/>
              </w:rPr>
            </w:pPr>
            <w:r>
              <w:rPr>
                <w:spacing w:val="-5"/>
                <w:sz w:val="21"/>
              </w:rPr>
              <w:t>3.1</w:t>
            </w:r>
          </w:p>
        </w:tc>
        <w:tc>
          <w:tcPr>
            <w:tcW w:w="2624" w:type="dxa"/>
            <w:tcBorders>
              <w:bottom w:val="single" w:sz="18" w:space="0" w:color="800000"/>
            </w:tcBorders>
          </w:tcPr>
          <w:p w:rsidR="003F5784" w14:paraId="536F3DA2" w14:textId="77777777">
            <w:pPr>
              <w:pStyle w:val="TableParagraph"/>
              <w:ind w:right="339"/>
              <w:rPr>
                <w:sz w:val="21"/>
              </w:rPr>
            </w:pPr>
            <w:r>
              <w:rPr>
                <w:spacing w:val="-10"/>
                <w:sz w:val="21"/>
              </w:rPr>
              <w:t>4</w:t>
            </w:r>
          </w:p>
        </w:tc>
        <w:tc>
          <w:tcPr>
            <w:tcW w:w="2228" w:type="dxa"/>
            <w:tcBorders>
              <w:bottom w:val="single" w:sz="18" w:space="0" w:color="800000"/>
            </w:tcBorders>
          </w:tcPr>
          <w:p w:rsidR="003F5784" w14:paraId="6D9C3F20" w14:textId="77777777">
            <w:pPr>
              <w:pStyle w:val="TableParagraph"/>
              <w:ind w:right="120"/>
              <w:rPr>
                <w:sz w:val="21"/>
              </w:rPr>
            </w:pPr>
            <w:r>
              <w:rPr>
                <w:spacing w:val="-2"/>
                <w:sz w:val="21"/>
              </w:rPr>
              <w:t>414,396</w:t>
            </w:r>
          </w:p>
        </w:tc>
      </w:tr>
      <w:tr w14:paraId="4BAAA756" w14:textId="77777777">
        <w:tblPrEx>
          <w:tblW w:w="0" w:type="auto"/>
          <w:tblInd w:w="482" w:type="dxa"/>
          <w:tblLayout w:type="fixed"/>
          <w:tblCellMar>
            <w:left w:w="0" w:type="dxa"/>
            <w:right w:w="0" w:type="dxa"/>
          </w:tblCellMar>
          <w:tblLook w:val="01E0"/>
        </w:tblPrEx>
        <w:trPr>
          <w:trHeight w:val="472"/>
        </w:trPr>
        <w:tc>
          <w:tcPr>
            <w:tcW w:w="13987" w:type="dxa"/>
            <w:gridSpan w:val="7"/>
            <w:tcBorders>
              <w:top w:val="single" w:sz="18" w:space="0" w:color="800000"/>
            </w:tcBorders>
          </w:tcPr>
          <w:p w:rsidR="003F5784" w14:paraId="7B38C356" w14:textId="77777777">
            <w:pPr>
              <w:pStyle w:val="TableParagraph"/>
              <w:spacing w:before="0" w:line="234" w:lineRule="exact"/>
              <w:ind w:left="120"/>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Progress (NAEP), 2022 Long-Term Trend Assessment.</w:t>
            </w:r>
          </w:p>
        </w:tc>
      </w:tr>
    </w:tbl>
    <w:p w:rsidR="003F5784" w14:paraId="6CE27A10" w14:textId="77777777">
      <w:pPr>
        <w:pStyle w:val="BodyText"/>
        <w:spacing w:before="230"/>
        <w:rPr>
          <w:b/>
        </w:rPr>
      </w:pPr>
    </w:p>
    <w:p w:rsidR="003F5784" w14:paraId="4771A043" w14:textId="77777777">
      <w:pPr>
        <w:pStyle w:val="BodyText"/>
        <w:spacing w:line="232" w:lineRule="auto"/>
        <w:ind w:left="109" w:right="179"/>
      </w:pPr>
      <w:r>
        <w:t>The</w:t>
      </w:r>
      <w:r>
        <w:rPr>
          <w:spacing w:val="-1"/>
        </w:rPr>
        <w:t xml:space="preserve"> </w:t>
      </w:r>
      <w:r>
        <w:t>division</w:t>
      </w:r>
      <w:r>
        <w:rPr>
          <w:spacing w:val="-1"/>
        </w:rPr>
        <w:t xml:space="preserve"> </w:t>
      </w:r>
      <w:r>
        <w:t>of</w:t>
      </w:r>
      <w:r>
        <w:rPr>
          <w:spacing w:val="-1"/>
        </w:rPr>
        <w:t xml:space="preserve"> </w:t>
      </w:r>
      <w:r>
        <w:t>the</w:t>
      </w:r>
      <w:r>
        <w:rPr>
          <w:spacing w:val="-1"/>
        </w:rPr>
        <w:t xml:space="preserve"> </w:t>
      </w:r>
      <w:r>
        <w:t>primary</w:t>
      </w:r>
      <w:r>
        <w:rPr>
          <w:spacing w:val="-1"/>
        </w:rPr>
        <w:t xml:space="preserve"> </w:t>
      </w:r>
      <w:r>
        <w:t>strata</w:t>
      </w:r>
      <w:r>
        <w:rPr>
          <w:spacing w:val="-1"/>
        </w:rPr>
        <w:t xml:space="preserve"> </w:t>
      </w:r>
      <w:r>
        <w:t>into</w:t>
      </w:r>
      <w:r>
        <w:rPr>
          <w:spacing w:val="-1"/>
        </w:rPr>
        <w:t xml:space="preserve"> </w:t>
      </w:r>
      <w:r>
        <w:t>the</w:t>
      </w:r>
      <w:r>
        <w:rPr>
          <w:spacing w:val="-1"/>
        </w:rPr>
        <w:t xml:space="preserve"> </w:t>
      </w:r>
      <w:r>
        <w:t>final</w:t>
      </w:r>
      <w:r>
        <w:rPr>
          <w:spacing w:val="-1"/>
        </w:rPr>
        <w:t xml:space="preserve"> </w:t>
      </w:r>
      <w:r>
        <w:t>strata</w:t>
      </w:r>
      <w:r>
        <w:rPr>
          <w:spacing w:val="-1"/>
        </w:rPr>
        <w:t xml:space="preserve"> </w:t>
      </w:r>
      <w:r>
        <w:t>was</w:t>
      </w:r>
      <w:r>
        <w:rPr>
          <w:spacing w:val="-1"/>
        </w:rPr>
        <w:t xml:space="preserve"> </w:t>
      </w:r>
      <w:r>
        <w:t>done</w:t>
      </w:r>
      <w:r>
        <w:rPr>
          <w:spacing w:val="-1"/>
        </w:rPr>
        <w:t xml:space="preserve"> </w:t>
      </w:r>
      <w:r>
        <w:t>on</w:t>
      </w:r>
      <w:r>
        <w:rPr>
          <w:spacing w:val="-1"/>
        </w:rPr>
        <w:t xml:space="preserve"> </w:t>
      </w:r>
      <w:r>
        <w:t>a</w:t>
      </w:r>
      <w:r>
        <w:rPr>
          <w:spacing w:val="-1"/>
        </w:rPr>
        <w:t xml:space="preserve"> </w:t>
      </w:r>
      <w:r>
        <w:t>stratum-by-stratum</w:t>
      </w:r>
      <w:r>
        <w:rPr>
          <w:spacing w:val="-1"/>
        </w:rPr>
        <w:t xml:space="preserve"> </w:t>
      </w:r>
      <w:r>
        <w:t>basis.</w:t>
      </w:r>
      <w:r>
        <w:rPr>
          <w:spacing w:val="-5"/>
        </w:rPr>
        <w:t xml:space="preserve"> </w:t>
      </w:r>
      <w:r>
        <w:t>The</w:t>
      </w:r>
      <w:r>
        <w:rPr>
          <w:spacing w:val="-1"/>
        </w:rPr>
        <w:t xml:space="preserve"> </w:t>
      </w:r>
      <w:r>
        <w:t>criteria</w:t>
      </w:r>
      <w:r>
        <w:rPr>
          <w:spacing w:val="-1"/>
        </w:rPr>
        <w:t xml:space="preserve"> </w:t>
      </w:r>
      <w:r>
        <w:t>for</w:t>
      </w:r>
      <w:r>
        <w:rPr>
          <w:spacing w:val="-1"/>
        </w:rPr>
        <w:t xml:space="preserve"> </w:t>
      </w:r>
      <w:r>
        <w:t>good</w:t>
      </w:r>
      <w:r>
        <w:rPr>
          <w:spacing w:val="-1"/>
        </w:rPr>
        <w:t xml:space="preserve"> </w:t>
      </w:r>
      <w:r>
        <w:t>PSU</w:t>
      </w:r>
      <w:r>
        <w:rPr>
          <w:spacing w:val="-1"/>
        </w:rPr>
        <w:t xml:space="preserve"> </w:t>
      </w:r>
      <w:r>
        <w:t>strata</w:t>
      </w:r>
      <w:r>
        <w:rPr>
          <w:spacing w:val="-1"/>
        </w:rPr>
        <w:t xml:space="preserve"> </w:t>
      </w:r>
      <w:r>
        <w:t>were</w:t>
      </w:r>
      <w:r>
        <w:rPr>
          <w:spacing w:val="-1"/>
        </w:rPr>
        <w:t xml:space="preserve"> </w:t>
      </w:r>
      <w:r>
        <w:t>1)</w:t>
      </w:r>
      <w:r>
        <w:rPr>
          <w:spacing w:val="-1"/>
        </w:rPr>
        <w:t xml:space="preserve"> </w:t>
      </w:r>
      <w:r>
        <w:t>the</w:t>
      </w:r>
      <w:r>
        <w:rPr>
          <w:spacing w:val="-1"/>
        </w:rPr>
        <w:t xml:space="preserve"> </w:t>
      </w:r>
      <w:r>
        <w:t>strata</w:t>
      </w:r>
      <w:r>
        <w:rPr>
          <w:spacing w:val="-1"/>
        </w:rPr>
        <w:t xml:space="preserve"> </w:t>
      </w:r>
      <w:r>
        <w:t>should</w:t>
      </w:r>
      <w:r>
        <w:rPr>
          <w:spacing w:val="-1"/>
        </w:rPr>
        <w:t xml:space="preserve"> </w:t>
      </w:r>
      <w:r>
        <w:t>have</w:t>
      </w:r>
      <w:r>
        <w:rPr>
          <w:spacing w:val="-1"/>
        </w:rPr>
        <w:t xml:space="preserve"> </w:t>
      </w:r>
      <w:r>
        <w:t>as</w:t>
      </w:r>
      <w:r>
        <w:rPr>
          <w:spacing w:val="-1"/>
        </w:rPr>
        <w:t xml:space="preserve"> </w:t>
      </w:r>
      <w:r>
        <w:t>nearly</w:t>
      </w:r>
      <w:r>
        <w:rPr>
          <w:spacing w:val="-1"/>
        </w:rPr>
        <w:t xml:space="preserve"> </w:t>
      </w:r>
      <w:r>
        <w:t>equal measures</w:t>
      </w:r>
      <w:r>
        <w:rPr>
          <w:spacing w:val="-4"/>
        </w:rPr>
        <w:t xml:space="preserve"> </w:t>
      </w:r>
      <w:r>
        <w:t>of</w:t>
      </w:r>
      <w:r>
        <w:rPr>
          <w:spacing w:val="-4"/>
        </w:rPr>
        <w:t xml:space="preserve"> </w:t>
      </w:r>
      <w:r>
        <w:t>size</w:t>
      </w:r>
      <w:r>
        <w:rPr>
          <w:spacing w:val="-4"/>
        </w:rPr>
        <w:t xml:space="preserve"> </w:t>
      </w:r>
      <w:r>
        <w:t>as</w:t>
      </w:r>
      <w:r>
        <w:rPr>
          <w:spacing w:val="-4"/>
        </w:rPr>
        <w:t xml:space="preserve"> </w:t>
      </w:r>
      <w:r>
        <w:t>possible</w:t>
      </w:r>
      <w:r>
        <w:rPr>
          <w:spacing w:val="-4"/>
        </w:rPr>
        <w:t xml:space="preserve"> </w:t>
      </w:r>
      <w:r>
        <w:t>(to</w:t>
      </w:r>
      <w:r>
        <w:rPr>
          <w:spacing w:val="-4"/>
        </w:rPr>
        <w:t xml:space="preserve"> </w:t>
      </w:r>
      <w:r>
        <w:t>reduce</w:t>
      </w:r>
      <w:r>
        <w:rPr>
          <w:spacing w:val="-4"/>
        </w:rPr>
        <w:t xml:space="preserve"> </w:t>
      </w:r>
      <w:r>
        <w:t>sampling</w:t>
      </w:r>
      <w:r>
        <w:rPr>
          <w:spacing w:val="-4"/>
        </w:rPr>
        <w:t xml:space="preserve"> </w:t>
      </w:r>
      <w:r>
        <w:t>variance),</w:t>
      </w:r>
      <w:r>
        <w:rPr>
          <w:spacing w:val="-4"/>
        </w:rPr>
        <w:t xml:space="preserve"> </w:t>
      </w:r>
      <w:r>
        <w:t>and</w:t>
      </w:r>
      <w:r>
        <w:rPr>
          <w:spacing w:val="-4"/>
        </w:rPr>
        <w:t xml:space="preserve"> </w:t>
      </w:r>
      <w:r>
        <w:t>2)</w:t>
      </w:r>
      <w:r>
        <w:rPr>
          <w:spacing w:val="-4"/>
        </w:rPr>
        <w:t xml:space="preserve"> </w:t>
      </w:r>
      <w:r>
        <w:t>the</w:t>
      </w:r>
      <w:r>
        <w:rPr>
          <w:spacing w:val="-4"/>
        </w:rPr>
        <w:t xml:space="preserve"> </w:t>
      </w:r>
      <w:r>
        <w:t>strata</w:t>
      </w:r>
      <w:r>
        <w:rPr>
          <w:spacing w:val="-4"/>
        </w:rPr>
        <w:t xml:space="preserve"> </w:t>
      </w:r>
      <w:r>
        <w:t>should</w:t>
      </w:r>
      <w:r>
        <w:rPr>
          <w:spacing w:val="-4"/>
        </w:rPr>
        <w:t xml:space="preserve"> </w:t>
      </w:r>
      <w:r>
        <w:t>be</w:t>
      </w:r>
      <w:r>
        <w:rPr>
          <w:spacing w:val="-4"/>
        </w:rPr>
        <w:t xml:space="preserve"> </w:t>
      </w:r>
      <w:r>
        <w:t>as</w:t>
      </w:r>
      <w:r>
        <w:rPr>
          <w:spacing w:val="-4"/>
        </w:rPr>
        <w:t xml:space="preserve"> </w:t>
      </w:r>
      <w:r>
        <w:t>heterogeneous</w:t>
      </w:r>
      <w:r>
        <w:rPr>
          <w:spacing w:val="-4"/>
        </w:rPr>
        <w:t xml:space="preserve"> </w:t>
      </w:r>
      <w:r>
        <w:t>in</w:t>
      </w:r>
      <w:r>
        <w:rPr>
          <w:spacing w:val="-4"/>
        </w:rPr>
        <w:t xml:space="preserve"> </w:t>
      </w:r>
      <w:r>
        <w:t>measured</w:t>
      </w:r>
      <w:r>
        <w:rPr>
          <w:spacing w:val="-4"/>
        </w:rPr>
        <w:t xml:space="preserve"> </w:t>
      </w:r>
      <w:r>
        <w:t>achievement</w:t>
      </w:r>
      <w:r>
        <w:rPr>
          <w:spacing w:val="-4"/>
        </w:rPr>
        <w:t xml:space="preserve"> </w:t>
      </w:r>
      <w:r>
        <w:t>as</w:t>
      </w:r>
      <w:r>
        <w:rPr>
          <w:spacing w:val="-4"/>
        </w:rPr>
        <w:t xml:space="preserve"> </w:t>
      </w:r>
      <w:r>
        <w:t>possible</w:t>
      </w:r>
      <w:r>
        <w:rPr>
          <w:spacing w:val="-4"/>
        </w:rPr>
        <w:t xml:space="preserve"> </w:t>
      </w:r>
      <w:r>
        <w:t>(i.e.,</w:t>
      </w:r>
      <w:r>
        <w:rPr>
          <w:spacing w:val="-4"/>
        </w:rPr>
        <w:t xml:space="preserve"> </w:t>
      </w:r>
      <w:r>
        <w:t>there</w:t>
      </w:r>
      <w:r>
        <w:rPr>
          <w:spacing w:val="-4"/>
        </w:rPr>
        <w:t xml:space="preserve"> </w:t>
      </w:r>
      <w:r>
        <w:t>should</w:t>
      </w:r>
      <w:r>
        <w:rPr>
          <w:spacing w:val="-4"/>
        </w:rPr>
        <w:t xml:space="preserve"> </w:t>
      </w:r>
      <w:r>
        <w:t>be</w:t>
      </w:r>
      <w:r>
        <w:rPr>
          <w:spacing w:val="-4"/>
        </w:rPr>
        <w:t xml:space="preserve"> </w:t>
      </w:r>
      <w:r>
        <w:t>strata</w:t>
      </w:r>
      <w:r>
        <w:rPr>
          <w:spacing w:val="-4"/>
        </w:rPr>
        <w:t xml:space="preserve"> </w:t>
      </w:r>
      <w:r>
        <w:t>with low</w:t>
      </w:r>
      <w:r>
        <w:rPr>
          <w:spacing w:val="-6"/>
        </w:rPr>
        <w:t xml:space="preserve"> </w:t>
      </w:r>
      <w:r>
        <w:t>mean</w:t>
      </w:r>
      <w:r>
        <w:rPr>
          <w:spacing w:val="-6"/>
        </w:rPr>
        <w:t xml:space="preserve"> </w:t>
      </w:r>
      <w:r>
        <w:t>achievement,</w:t>
      </w:r>
      <w:r>
        <w:rPr>
          <w:spacing w:val="-6"/>
        </w:rPr>
        <w:t xml:space="preserve"> </w:t>
      </w:r>
      <w:r>
        <w:t>strata</w:t>
      </w:r>
      <w:r>
        <w:rPr>
          <w:spacing w:val="-6"/>
        </w:rPr>
        <w:t xml:space="preserve"> </w:t>
      </w:r>
      <w:r>
        <w:t>with</w:t>
      </w:r>
      <w:r>
        <w:rPr>
          <w:spacing w:val="-6"/>
        </w:rPr>
        <w:t xml:space="preserve"> </w:t>
      </w:r>
      <w:r>
        <w:t>mid-level</w:t>
      </w:r>
      <w:r>
        <w:rPr>
          <w:spacing w:val="-6"/>
        </w:rPr>
        <w:t xml:space="preserve"> </w:t>
      </w:r>
      <w:r>
        <w:t>mean</w:t>
      </w:r>
      <w:r>
        <w:rPr>
          <w:spacing w:val="-6"/>
        </w:rPr>
        <w:t xml:space="preserve"> </w:t>
      </w:r>
      <w:r>
        <w:t>achievement,</w:t>
      </w:r>
      <w:r>
        <w:rPr>
          <w:spacing w:val="-6"/>
        </w:rPr>
        <w:t xml:space="preserve"> </w:t>
      </w:r>
      <w:r>
        <w:t>and</w:t>
      </w:r>
      <w:r>
        <w:rPr>
          <w:spacing w:val="-6"/>
        </w:rPr>
        <w:t xml:space="preserve"> </w:t>
      </w:r>
      <w:r>
        <w:t>strata</w:t>
      </w:r>
      <w:r>
        <w:rPr>
          <w:spacing w:val="-6"/>
        </w:rPr>
        <w:t xml:space="preserve"> </w:t>
      </w:r>
      <w:r>
        <w:t>with</w:t>
      </w:r>
      <w:r>
        <w:rPr>
          <w:spacing w:val="-6"/>
        </w:rPr>
        <w:t xml:space="preserve"> </w:t>
      </w:r>
      <w:r>
        <w:t>high</w:t>
      </w:r>
      <w:r>
        <w:rPr>
          <w:spacing w:val="-6"/>
        </w:rPr>
        <w:t xml:space="preserve"> </w:t>
      </w:r>
      <w:r>
        <w:t>mean</w:t>
      </w:r>
      <w:r>
        <w:rPr>
          <w:spacing w:val="-6"/>
        </w:rPr>
        <w:t xml:space="preserve"> </w:t>
      </w:r>
      <w:r>
        <w:t>achievement).</w:t>
      </w:r>
      <w:r>
        <w:rPr>
          <w:spacing w:val="-10"/>
        </w:rPr>
        <w:t xml:space="preserve"> </w:t>
      </w:r>
      <w:r>
        <w:t>This</w:t>
      </w:r>
      <w:r>
        <w:rPr>
          <w:spacing w:val="-6"/>
        </w:rPr>
        <w:t xml:space="preserve"> </w:t>
      </w:r>
      <w:r>
        <w:t>second</w:t>
      </w:r>
      <w:r>
        <w:rPr>
          <w:spacing w:val="-6"/>
        </w:rPr>
        <w:t xml:space="preserve"> </w:t>
      </w:r>
      <w:r>
        <w:t>criterion</w:t>
      </w:r>
      <w:r>
        <w:rPr>
          <w:spacing w:val="-6"/>
        </w:rPr>
        <w:t xml:space="preserve"> </w:t>
      </w:r>
      <w:r>
        <w:t>will</w:t>
      </w:r>
      <w:r>
        <w:rPr>
          <w:spacing w:val="-6"/>
        </w:rPr>
        <w:t xml:space="preserve"> </w:t>
      </w:r>
      <w:r>
        <w:t>also</w:t>
      </w:r>
      <w:r>
        <w:rPr>
          <w:spacing w:val="-6"/>
        </w:rPr>
        <w:t xml:space="preserve"> </w:t>
      </w:r>
      <w:r>
        <w:t>ultimately</w:t>
      </w:r>
      <w:r>
        <w:rPr>
          <w:spacing w:val="-6"/>
        </w:rPr>
        <w:t xml:space="preserve"> </w:t>
      </w:r>
      <w:r>
        <w:t>reduce</w:t>
      </w:r>
      <w:r>
        <w:rPr>
          <w:spacing w:val="-6"/>
        </w:rPr>
        <w:t xml:space="preserve"> </w:t>
      </w:r>
      <w:r>
        <w:t>the</w:t>
      </w:r>
      <w:r>
        <w:rPr>
          <w:spacing w:val="-6"/>
        </w:rPr>
        <w:t xml:space="preserve"> </w:t>
      </w:r>
      <w:r>
        <w:t>variance</w:t>
      </w:r>
      <w:r>
        <w:rPr>
          <w:spacing w:val="-6"/>
        </w:rPr>
        <w:t xml:space="preserve"> </w:t>
      </w:r>
      <w:r>
        <w:t>of</w:t>
      </w:r>
      <w:r>
        <w:rPr>
          <w:spacing w:val="-6"/>
        </w:rPr>
        <w:t xml:space="preserve"> </w:t>
      </w:r>
      <w:r>
        <w:t>the assessment estimates since the final PSU sample will be balanced in terms of assessment means.</w:t>
      </w:r>
    </w:p>
    <w:p w:rsidR="003F5784" w14:paraId="6D1E0C45" w14:textId="77777777">
      <w:pPr>
        <w:pStyle w:val="BodyText"/>
        <w:spacing w:before="210" w:line="232" w:lineRule="auto"/>
        <w:ind w:left="109" w:right="179"/>
      </w:pPr>
      <w:r>
        <w:t>PSU assessment means from the current year cannot be used as assessments are only conducted after sampling is completed. Information is available about PSU sociodemographic characteristics in advance, however.</w:t>
      </w:r>
      <w:r>
        <w:rPr>
          <w:spacing w:val="-10"/>
        </w:rPr>
        <w:t xml:space="preserve"> </w:t>
      </w:r>
      <w:r>
        <w:t>An analysis was done within each primary stratum to find sociodemographic variables that were good predictors of performance</w:t>
      </w:r>
      <w:r>
        <w:rPr>
          <w:spacing w:val="-7"/>
        </w:rPr>
        <w:t xml:space="preserve"> </w:t>
      </w:r>
      <w:r>
        <w:t>on</w:t>
      </w:r>
      <w:r>
        <w:rPr>
          <w:spacing w:val="-7"/>
        </w:rPr>
        <w:t xml:space="preserve"> </w:t>
      </w:r>
      <w:r>
        <w:t>the</w:t>
      </w:r>
      <w:r>
        <w:rPr>
          <w:spacing w:val="-7"/>
        </w:rPr>
        <w:t xml:space="preserve"> </w:t>
      </w:r>
      <w:r>
        <w:t>eighth-grade</w:t>
      </w:r>
      <w:r>
        <w:rPr>
          <w:spacing w:val="-7"/>
        </w:rPr>
        <w:t xml:space="preserve"> </w:t>
      </w:r>
      <w:r>
        <w:t>reading</w:t>
      </w:r>
      <w:r>
        <w:rPr>
          <w:spacing w:val="-7"/>
        </w:rPr>
        <w:t xml:space="preserve"> </w:t>
      </w:r>
      <w:r>
        <w:t>assessments</w:t>
      </w:r>
      <w:r>
        <w:rPr>
          <w:spacing w:val="-7"/>
        </w:rPr>
        <w:t xml:space="preserve"> </w:t>
      </w:r>
      <w:r>
        <w:t>conducted</w:t>
      </w:r>
      <w:r>
        <w:rPr>
          <w:spacing w:val="-7"/>
        </w:rPr>
        <w:t xml:space="preserve"> </w:t>
      </w:r>
      <w:r>
        <w:t>in</w:t>
      </w:r>
      <w:r>
        <w:rPr>
          <w:spacing w:val="-7"/>
        </w:rPr>
        <w:t xml:space="preserve"> </w:t>
      </w:r>
      <w:r>
        <w:t>five</w:t>
      </w:r>
      <w:r>
        <w:rPr>
          <w:spacing w:val="-7"/>
        </w:rPr>
        <w:t xml:space="preserve"> </w:t>
      </w:r>
      <w:r>
        <w:t>previous</w:t>
      </w:r>
      <w:r>
        <w:rPr>
          <w:spacing w:val="-7"/>
        </w:rPr>
        <w:t xml:space="preserve"> </w:t>
      </w:r>
      <w:r>
        <w:t>NAEP</w:t>
      </w:r>
      <w:r>
        <w:rPr>
          <w:spacing w:val="-14"/>
        </w:rPr>
        <w:t xml:space="preserve"> </w:t>
      </w:r>
      <w:r>
        <w:t>cycles</w:t>
      </w:r>
      <w:r>
        <w:rPr>
          <w:spacing w:val="-6"/>
        </w:rPr>
        <w:t xml:space="preserve"> </w:t>
      </w:r>
      <w:r>
        <w:t>(2002,</w:t>
      </w:r>
      <w:r>
        <w:rPr>
          <w:spacing w:val="-7"/>
        </w:rPr>
        <w:t xml:space="preserve"> </w:t>
      </w:r>
      <w:r>
        <w:t>2003,</w:t>
      </w:r>
      <w:r>
        <w:rPr>
          <w:spacing w:val="-7"/>
        </w:rPr>
        <w:t xml:space="preserve"> </w:t>
      </w:r>
      <w:r>
        <w:t>2005,</w:t>
      </w:r>
      <w:r>
        <w:rPr>
          <w:spacing w:val="-7"/>
        </w:rPr>
        <w:t xml:space="preserve"> </w:t>
      </w:r>
      <w:r>
        <w:t>2007,</w:t>
      </w:r>
      <w:r>
        <w:rPr>
          <w:spacing w:val="-7"/>
        </w:rPr>
        <w:t xml:space="preserve"> </w:t>
      </w:r>
      <w:r>
        <w:t>and</w:t>
      </w:r>
      <w:r>
        <w:rPr>
          <w:spacing w:val="-7"/>
        </w:rPr>
        <w:t xml:space="preserve"> </w:t>
      </w:r>
      <w:r>
        <w:t>2009).</w:t>
      </w:r>
      <w:r>
        <w:rPr>
          <w:spacing w:val="-7"/>
        </w:rPr>
        <w:t xml:space="preserve"> </w:t>
      </w:r>
      <w:r>
        <w:t>Using</w:t>
      </w:r>
      <w:r>
        <w:rPr>
          <w:spacing w:val="-7"/>
        </w:rPr>
        <w:t xml:space="preserve"> </w:t>
      </w:r>
      <w:r>
        <w:t>these</w:t>
      </w:r>
      <w:r>
        <w:rPr>
          <w:spacing w:val="-7"/>
        </w:rPr>
        <w:t xml:space="preserve"> </w:t>
      </w:r>
      <w:r>
        <w:t>sociodemographic</w:t>
      </w:r>
      <w:r>
        <w:rPr>
          <w:spacing w:val="-7"/>
        </w:rPr>
        <w:t xml:space="preserve"> </w:t>
      </w:r>
      <w:r>
        <w:t>variables</w:t>
      </w:r>
      <w:r>
        <w:rPr>
          <w:spacing w:val="-7"/>
        </w:rPr>
        <w:t xml:space="preserve"> </w:t>
      </w:r>
      <w:r>
        <w:t>to define final strata should increase the chance of having efficient stratum definitions. Stepwise Regression</w:t>
      </w:r>
      <w:r>
        <w:rPr>
          <w:spacing w:val="-10"/>
        </w:rPr>
        <w:t xml:space="preserve"> </w:t>
      </w:r>
      <w:r>
        <w:t>Analysis Results for PSU Stratification describes this analysis for each primary stratum.</w:t>
      </w:r>
    </w:p>
    <w:p w:rsidR="003F5784" w14:paraId="34C99C6B" w14:textId="77777777">
      <w:pPr>
        <w:spacing w:line="232" w:lineRule="auto"/>
        <w:sectPr>
          <w:type w:val="continuous"/>
          <w:pgSz w:w="15840" w:h="12240" w:orient="landscape"/>
          <w:pgMar w:top="480" w:right="440" w:bottom="460" w:left="460" w:header="284" w:footer="275" w:gutter="0"/>
          <w:cols w:space="720"/>
        </w:sectPr>
      </w:pPr>
    </w:p>
    <w:p w:rsidR="003F5784" w14:paraId="35827755" w14:textId="77777777">
      <w:pPr>
        <w:pStyle w:val="BodyText"/>
        <w:spacing w:before="78" w:line="232" w:lineRule="auto"/>
        <w:ind w:left="109" w:right="179"/>
      </w:pPr>
      <w:r>
        <w:t>The final step in stratification was to define the desired number of final strata using the selected stratifiers, while constructing final strata that were as close to equal size as possible</w:t>
      </w:r>
      <w:r>
        <w:rPr>
          <w:spacing w:val="-6"/>
        </w:rPr>
        <w:t xml:space="preserve"> </w:t>
      </w:r>
      <w:r>
        <w:t>(with</w:t>
      </w:r>
      <w:r>
        <w:rPr>
          <w:spacing w:val="-6"/>
        </w:rPr>
        <w:t xml:space="preserve"> </w:t>
      </w:r>
      <w:r>
        <w:t>size</w:t>
      </w:r>
      <w:r>
        <w:rPr>
          <w:spacing w:val="-6"/>
        </w:rPr>
        <w:t xml:space="preserve"> </w:t>
      </w:r>
      <w:r>
        <w:t>defined</w:t>
      </w:r>
      <w:r>
        <w:rPr>
          <w:spacing w:val="-6"/>
        </w:rPr>
        <w:t xml:space="preserve"> </w:t>
      </w:r>
      <w:r>
        <w:t>by</w:t>
      </w:r>
      <w:r>
        <w:rPr>
          <w:spacing w:val="-6"/>
        </w:rPr>
        <w:t xml:space="preserve"> </w:t>
      </w:r>
      <w:r>
        <w:t>number</w:t>
      </w:r>
      <w:r>
        <w:rPr>
          <w:spacing w:val="-6"/>
        </w:rPr>
        <w:t xml:space="preserve"> </w:t>
      </w:r>
      <w:r>
        <w:t>of</w:t>
      </w:r>
      <w:r>
        <w:rPr>
          <w:spacing w:val="-6"/>
        </w:rPr>
        <w:t xml:space="preserve"> </w:t>
      </w:r>
      <w:r>
        <w:t>youth).</w:t>
      </w:r>
      <w:r>
        <w:rPr>
          <w:spacing w:val="-9"/>
        </w:rPr>
        <w:t xml:space="preserve"> </w:t>
      </w:r>
      <w:r>
        <w:t>The</w:t>
      </w:r>
      <w:r>
        <w:rPr>
          <w:spacing w:val="-6"/>
        </w:rPr>
        <w:t xml:space="preserve"> </w:t>
      </w:r>
      <w:r>
        <w:t>objective</w:t>
      </w:r>
      <w:r>
        <w:rPr>
          <w:spacing w:val="-6"/>
        </w:rPr>
        <w:t xml:space="preserve"> </w:t>
      </w:r>
      <w:r>
        <w:t>was</w:t>
      </w:r>
      <w:r>
        <w:rPr>
          <w:spacing w:val="-6"/>
        </w:rPr>
        <w:t xml:space="preserve"> </w:t>
      </w:r>
      <w:r>
        <w:t>to</w:t>
      </w:r>
      <w:r>
        <w:rPr>
          <w:spacing w:val="-6"/>
        </w:rPr>
        <w:t xml:space="preserve"> </w:t>
      </w:r>
      <w:r>
        <w:t>establish</w:t>
      </w:r>
      <w:r>
        <w:rPr>
          <w:spacing w:val="-6"/>
        </w:rPr>
        <w:t xml:space="preserve"> </w:t>
      </w:r>
      <w:r>
        <w:t>final</w:t>
      </w:r>
      <w:r>
        <w:rPr>
          <w:spacing w:val="-6"/>
        </w:rPr>
        <w:t xml:space="preserve"> </w:t>
      </w:r>
      <w:r>
        <w:t>strata</w:t>
      </w:r>
      <w:r>
        <w:rPr>
          <w:spacing w:val="-6"/>
        </w:rPr>
        <w:t xml:space="preserve"> </w:t>
      </w:r>
      <w:r>
        <w:t>that</w:t>
      </w:r>
      <w:r>
        <w:rPr>
          <w:spacing w:val="-6"/>
        </w:rPr>
        <w:t xml:space="preserve"> </w:t>
      </w:r>
      <w:r>
        <w:t>had</w:t>
      </w:r>
      <w:r>
        <w:rPr>
          <w:spacing w:val="-6"/>
        </w:rPr>
        <w:t xml:space="preserve"> </w:t>
      </w:r>
      <w:r>
        <w:t>a</w:t>
      </w:r>
      <w:r>
        <w:rPr>
          <w:spacing w:val="-6"/>
        </w:rPr>
        <w:t xml:space="preserve"> </w:t>
      </w:r>
      <w:r>
        <w:t>high</w:t>
      </w:r>
      <w:r>
        <w:rPr>
          <w:spacing w:val="-6"/>
        </w:rPr>
        <w:t xml:space="preserve"> </w:t>
      </w:r>
      <w:r>
        <w:t>between-stratum</w:t>
      </w:r>
      <w:r>
        <w:rPr>
          <w:spacing w:val="-6"/>
        </w:rPr>
        <w:t xml:space="preserve"> </w:t>
      </w:r>
      <w:r>
        <w:t>variance</w:t>
      </w:r>
      <w:r>
        <w:rPr>
          <w:spacing w:val="-6"/>
        </w:rPr>
        <w:t xml:space="preserve"> </w:t>
      </w:r>
      <w:r>
        <w:t>for</w:t>
      </w:r>
      <w:r>
        <w:rPr>
          <w:spacing w:val="-6"/>
        </w:rPr>
        <w:t xml:space="preserve"> </w:t>
      </w:r>
      <w:r>
        <w:t>the</w:t>
      </w:r>
      <w:r>
        <w:rPr>
          <w:spacing w:val="-6"/>
        </w:rPr>
        <w:t xml:space="preserve"> </w:t>
      </w:r>
      <w:r>
        <w:t>stratifiers</w:t>
      </w:r>
      <w:r>
        <w:rPr>
          <w:spacing w:val="-6"/>
        </w:rPr>
        <w:t xml:space="preserve"> </w:t>
      </w:r>
      <w:r>
        <w:t>(i.e.,</w:t>
      </w:r>
      <w:r>
        <w:rPr>
          <w:spacing w:val="-6"/>
        </w:rPr>
        <w:t xml:space="preserve"> </w:t>
      </w:r>
      <w:r>
        <w:t>which</w:t>
      </w:r>
      <w:r>
        <w:rPr>
          <w:spacing w:val="-6"/>
        </w:rPr>
        <w:t xml:space="preserve"> </w:t>
      </w:r>
      <w:r>
        <w:t>"spread</w:t>
      </w:r>
      <w:r>
        <w:rPr>
          <w:spacing w:val="-6"/>
        </w:rPr>
        <w:t xml:space="preserve"> </w:t>
      </w:r>
      <w:r>
        <w:t>out" the stratifiers as much as possible). These strata are given in Final PSU Strata.</w:t>
      </w:r>
    </w:p>
    <w:p w:rsidR="003F5784" w14:paraId="6928D623" w14:textId="77777777">
      <w:pPr>
        <w:pStyle w:val="BodyText"/>
      </w:pPr>
    </w:p>
    <w:p w:rsidR="003F5784" w14:paraId="5EABE9E2" w14:textId="77777777">
      <w:pPr>
        <w:pStyle w:val="BodyText"/>
      </w:pPr>
    </w:p>
    <w:p w:rsidR="003F5784" w14:paraId="043875E5" w14:textId="77777777">
      <w:pPr>
        <w:pStyle w:val="BodyText"/>
        <w:spacing w:before="146"/>
      </w:pPr>
    </w:p>
    <w:p w:rsidR="003F5784" w14:paraId="050F9029" w14:textId="77777777">
      <w:pPr>
        <w:ind w:left="4385"/>
        <w:rPr>
          <w:sz w:val="18"/>
        </w:rPr>
      </w:pPr>
      <w:hyperlink r:id="rId197">
        <w:r>
          <w:rPr>
            <w:spacing w:val="-2"/>
            <w:w w:val="105"/>
            <w:sz w:val="18"/>
          </w:rPr>
          <w:t>http://nces.ed.gov/nationsreportcard/tdw/sample_design/2022/primary_sampling_unit_frame_stratification_for_the_2022_assessment.aspx</w:t>
        </w:r>
      </w:hyperlink>
    </w:p>
    <w:p w:rsidR="003F5784" w14:paraId="411A30B0" w14:textId="77777777">
      <w:pPr>
        <w:pStyle w:val="BodyText"/>
        <w:spacing w:before="1"/>
        <w:rPr>
          <w:sz w:val="16"/>
        </w:rPr>
      </w:pPr>
      <w:r>
        <w:rPr>
          <w:noProof/>
        </w:rPr>
        <mc:AlternateContent>
          <mc:Choice Requires="wps">
            <w:drawing>
              <wp:anchor distT="0" distB="0" distL="0" distR="0" simplePos="0" relativeHeight="251884544" behindDoc="1" locked="0" layoutInCell="1" allowOverlap="1">
                <wp:simplePos x="0" y="0"/>
                <wp:positionH relativeFrom="page">
                  <wp:posOffset>361937</wp:posOffset>
                </wp:positionH>
                <wp:positionV relativeFrom="paragraph">
                  <wp:posOffset>132694</wp:posOffset>
                </wp:positionV>
                <wp:extent cx="9339580" cy="8890"/>
                <wp:effectExtent l="0" t="0" r="0" b="0"/>
                <wp:wrapTopAndBottom/>
                <wp:docPr id="223" name="Graphic 223"/>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38"/>
                              </a:moveTo>
                              <a:lnTo>
                                <a:pt x="9335110" y="38"/>
                              </a:lnTo>
                              <a:lnTo>
                                <a:pt x="8280" y="38"/>
                              </a:lnTo>
                              <a:lnTo>
                                <a:pt x="0" y="0"/>
                              </a:lnTo>
                              <a:lnTo>
                                <a:pt x="0" y="8267"/>
                              </a:lnTo>
                              <a:lnTo>
                                <a:pt x="9335110" y="8305"/>
                              </a:lnTo>
                              <a:lnTo>
                                <a:pt x="9338970" y="8305"/>
                              </a:lnTo>
                              <a:lnTo>
                                <a:pt x="9338970" y="38"/>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23" o:spid="_x0000_s1112" style="width:735.4pt;height:0.7pt;margin-top:10.45pt;margin-left:28.5pt;mso-position-horizontal-relative:page;mso-wrap-distance-bottom:0;mso-wrap-distance-left:0;mso-wrap-distance-right:0;mso-wrap-distance-top:0;mso-wrap-style:square;position:absolute;visibility:visible;v-text-anchor:top;z-index:-251430912" coordsize="9339580,8890" path="m9338970,38l9335110,38l8280,38,,,,8267l9335110,8305l9338970,8305l9338970,38xe" fillcolor="gray" stroked="f">
                <v:path arrowok="t"/>
                <w10:wrap type="topAndBottom"/>
              </v:shape>
            </w:pict>
          </mc:Fallback>
        </mc:AlternateContent>
      </w:r>
    </w:p>
    <w:p w:rsidR="003F5784" w14:paraId="24CAA7D5" w14:textId="77777777">
      <w:pPr>
        <w:pStyle w:val="BodyText"/>
        <w:rPr>
          <w:sz w:val="18"/>
        </w:rPr>
      </w:pPr>
    </w:p>
    <w:p w:rsidR="003F5784" w14:paraId="0D954C55" w14:textId="77777777">
      <w:pPr>
        <w:pStyle w:val="BodyText"/>
        <w:spacing w:before="193"/>
        <w:rPr>
          <w:sz w:val="18"/>
        </w:rPr>
      </w:pPr>
    </w:p>
    <w:p w:rsidR="003F5784" w14:paraId="339E03F7" w14:textId="419FE29E">
      <w:pPr>
        <w:pStyle w:val="Heading1"/>
        <w:spacing w:line="244" w:lineRule="auto"/>
      </w:pPr>
      <w:r>
        <w:t>NAEP</w:t>
      </w:r>
      <w:r>
        <w:rPr>
          <w:spacing w:val="-16"/>
        </w:rPr>
        <w:t xml:space="preserve"> </w:t>
      </w:r>
      <w:r>
        <w:t>Technical Documentation</w:t>
      </w:r>
      <w:r w:rsidR="004C039D">
        <w:t xml:space="preserve"> </w:t>
      </w:r>
      <w:r>
        <w:t>Final Primary Sampling Unit (PSU) Strata for the 2022 Assessment</w:t>
      </w:r>
    </w:p>
    <w:p w:rsidR="003F5784" w14:paraId="500ADF37" w14:textId="77777777">
      <w:pPr>
        <w:pStyle w:val="BodyText"/>
        <w:spacing w:before="7"/>
        <w:rPr>
          <w:b/>
          <w:sz w:val="16"/>
        </w:rPr>
      </w:pPr>
    </w:p>
    <w:p w:rsidR="003F5784" w14:paraId="4C221B91" w14:textId="77777777">
      <w:pPr>
        <w:rPr>
          <w:sz w:val="16"/>
        </w:rPr>
        <w:sectPr>
          <w:pgSz w:w="15840" w:h="12240" w:orient="landscape"/>
          <w:pgMar w:top="480" w:right="440" w:bottom="460" w:left="460" w:header="284" w:footer="275" w:gutter="0"/>
          <w:cols w:space="720"/>
        </w:sectPr>
      </w:pPr>
    </w:p>
    <w:p w:rsidR="003F5784" w14:paraId="53887AAB" w14:textId="77777777">
      <w:pPr>
        <w:pStyle w:val="BodyText"/>
        <w:spacing w:before="96" w:line="232" w:lineRule="auto"/>
        <w:ind w:left="109"/>
      </w:pPr>
      <w:r>
        <w:t>The</w:t>
      </w:r>
      <w:r>
        <w:rPr>
          <w:spacing w:val="-11"/>
        </w:rPr>
        <w:t xml:space="preserve"> </w:t>
      </w:r>
      <w:r>
        <w:t>strata</w:t>
      </w:r>
      <w:r>
        <w:rPr>
          <w:spacing w:val="-8"/>
        </w:rPr>
        <w:t xml:space="preserve"> </w:t>
      </w:r>
      <w:r>
        <w:t>were</w:t>
      </w:r>
      <w:r>
        <w:rPr>
          <w:spacing w:val="-8"/>
        </w:rPr>
        <w:t xml:space="preserve"> </w:t>
      </w:r>
      <w:r>
        <w:t>defined</w:t>
      </w:r>
      <w:r>
        <w:rPr>
          <w:spacing w:val="-8"/>
        </w:rPr>
        <w:t xml:space="preserve"> </w:t>
      </w:r>
      <w:r>
        <w:t>using</w:t>
      </w:r>
      <w:r>
        <w:rPr>
          <w:spacing w:val="-8"/>
        </w:rPr>
        <w:t xml:space="preserve"> </w:t>
      </w:r>
      <w:r>
        <w:t>the</w:t>
      </w:r>
      <w:r>
        <w:rPr>
          <w:spacing w:val="-8"/>
        </w:rPr>
        <w:t xml:space="preserve"> </w:t>
      </w:r>
      <w:r>
        <w:t>selected</w:t>
      </w:r>
      <w:r>
        <w:rPr>
          <w:spacing w:val="-8"/>
        </w:rPr>
        <w:t xml:space="preserve"> </w:t>
      </w:r>
      <w:r>
        <w:t>stratifiers</w:t>
      </w:r>
      <w:r>
        <w:rPr>
          <w:spacing w:val="-8"/>
        </w:rPr>
        <w:t xml:space="preserve"> </w:t>
      </w:r>
      <w:r>
        <w:t>from</w:t>
      </w:r>
      <w:r>
        <w:rPr>
          <w:spacing w:val="-8"/>
        </w:rPr>
        <w:t xml:space="preserve"> </w:t>
      </w:r>
      <w:r>
        <w:t>the</w:t>
      </w:r>
      <w:r>
        <w:rPr>
          <w:spacing w:val="-8"/>
        </w:rPr>
        <w:t xml:space="preserve"> </w:t>
      </w:r>
      <w:r>
        <w:t>stepwise</w:t>
      </w:r>
      <w:r>
        <w:rPr>
          <w:spacing w:val="-8"/>
        </w:rPr>
        <w:t xml:space="preserve"> </w:t>
      </w:r>
      <w:r>
        <w:t>regression</w:t>
      </w:r>
      <w:r>
        <w:rPr>
          <w:spacing w:val="-8"/>
        </w:rPr>
        <w:t xml:space="preserve"> </w:t>
      </w:r>
      <w:r>
        <w:t>analysis</w:t>
      </w:r>
      <w:r>
        <w:rPr>
          <w:spacing w:val="-8"/>
        </w:rPr>
        <w:t xml:space="preserve"> </w:t>
      </w:r>
      <w:r>
        <w:t>(see</w:t>
      </w:r>
      <w:r>
        <w:rPr>
          <w:spacing w:val="-8"/>
        </w:rPr>
        <w:t xml:space="preserve"> </w:t>
      </w:r>
      <w:r>
        <w:t>Stepwise</w:t>
      </w:r>
      <w:r>
        <w:rPr>
          <w:spacing w:val="-8"/>
        </w:rPr>
        <w:t xml:space="preserve"> </w:t>
      </w:r>
      <w:r>
        <w:t>Regression</w:t>
      </w:r>
      <w:r>
        <w:rPr>
          <w:spacing w:val="-14"/>
        </w:rPr>
        <w:t xml:space="preserve"> </w:t>
      </w:r>
      <w:r>
        <w:t>Analysis Results for PSU Stratification).</w:t>
      </w:r>
      <w:r>
        <w:rPr>
          <w:spacing w:val="-1"/>
        </w:rPr>
        <w:t xml:space="preserve"> </w:t>
      </w:r>
      <w:r>
        <w:t xml:space="preserve">The cutoffs were selected so that roughly equal measures of size were represented by each </w:t>
      </w:r>
      <w:r>
        <w:rPr>
          <w:spacing w:val="-2"/>
        </w:rPr>
        <w:t>stratum.</w:t>
      </w:r>
    </w:p>
    <w:p w:rsidR="003F5784" w14:paraId="35D6C8AA" w14:textId="77777777">
      <w:pPr>
        <w:pStyle w:val="BodyText"/>
        <w:spacing w:before="209" w:line="232" w:lineRule="auto"/>
        <w:ind w:left="109" w:right="101"/>
        <w:jc w:val="both"/>
      </w:pPr>
      <w:r>
        <w:t>The</w:t>
      </w:r>
      <w:r>
        <w:rPr>
          <w:spacing w:val="-6"/>
        </w:rPr>
        <w:t xml:space="preserve"> </w:t>
      </w:r>
      <w:r>
        <w:t>number</w:t>
      </w:r>
      <w:r>
        <w:rPr>
          <w:spacing w:val="-6"/>
        </w:rPr>
        <w:t xml:space="preserve"> </w:t>
      </w:r>
      <w:r>
        <w:t>of</w:t>
      </w:r>
      <w:r>
        <w:rPr>
          <w:spacing w:val="-6"/>
        </w:rPr>
        <w:t xml:space="preserve"> </w:t>
      </w:r>
      <w:r>
        <w:t>stratifiers</w:t>
      </w:r>
      <w:r>
        <w:rPr>
          <w:spacing w:val="-6"/>
        </w:rPr>
        <w:t xml:space="preserve"> </w:t>
      </w:r>
      <w:r>
        <w:t>used</w:t>
      </w:r>
      <w:r>
        <w:rPr>
          <w:spacing w:val="-6"/>
        </w:rPr>
        <w:t xml:space="preserve"> </w:t>
      </w:r>
      <w:r>
        <w:t>to</w:t>
      </w:r>
      <w:r>
        <w:rPr>
          <w:spacing w:val="-6"/>
        </w:rPr>
        <w:t xml:space="preserve"> </w:t>
      </w:r>
      <w:r>
        <w:t>define</w:t>
      </w:r>
      <w:r>
        <w:rPr>
          <w:spacing w:val="-6"/>
        </w:rPr>
        <w:t xml:space="preserve"> </w:t>
      </w:r>
      <w:r>
        <w:t>the</w:t>
      </w:r>
      <w:r>
        <w:rPr>
          <w:spacing w:val="-6"/>
        </w:rPr>
        <w:t xml:space="preserve"> </w:t>
      </w:r>
      <w:r>
        <w:t>noncertainty</w:t>
      </w:r>
      <w:r>
        <w:rPr>
          <w:spacing w:val="-6"/>
        </w:rPr>
        <w:t xml:space="preserve"> </w:t>
      </w:r>
      <w:r>
        <w:t>PSU</w:t>
      </w:r>
      <w:r>
        <w:rPr>
          <w:spacing w:val="-6"/>
        </w:rPr>
        <w:t xml:space="preserve"> </w:t>
      </w:r>
      <w:r>
        <w:t>strata</w:t>
      </w:r>
      <w:r>
        <w:rPr>
          <w:spacing w:val="-6"/>
        </w:rPr>
        <w:t xml:space="preserve"> </w:t>
      </w:r>
      <w:r>
        <w:t>within</w:t>
      </w:r>
      <w:r>
        <w:rPr>
          <w:spacing w:val="-6"/>
        </w:rPr>
        <w:t xml:space="preserve"> </w:t>
      </w:r>
      <w:r>
        <w:t>each</w:t>
      </w:r>
      <w:r>
        <w:rPr>
          <w:spacing w:val="-6"/>
        </w:rPr>
        <w:t xml:space="preserve"> </w:t>
      </w:r>
      <w:r>
        <w:t>primary</w:t>
      </w:r>
      <w:r>
        <w:rPr>
          <w:spacing w:val="-6"/>
        </w:rPr>
        <w:t xml:space="preserve"> </w:t>
      </w:r>
      <w:r>
        <w:t>stratum</w:t>
      </w:r>
      <w:r>
        <w:rPr>
          <w:spacing w:val="-6"/>
        </w:rPr>
        <w:t xml:space="preserve"> </w:t>
      </w:r>
      <w:r>
        <w:t>ranged</w:t>
      </w:r>
      <w:r>
        <w:rPr>
          <w:spacing w:val="-6"/>
        </w:rPr>
        <w:t xml:space="preserve"> </w:t>
      </w:r>
      <w:r>
        <w:t>from</w:t>
      </w:r>
      <w:r>
        <w:rPr>
          <w:spacing w:val="-6"/>
        </w:rPr>
        <w:t xml:space="preserve"> </w:t>
      </w:r>
      <w:r>
        <w:t>1</w:t>
      </w:r>
      <w:r>
        <w:rPr>
          <w:spacing w:val="-6"/>
        </w:rPr>
        <w:t xml:space="preserve"> </w:t>
      </w:r>
      <w:r>
        <w:t>to</w:t>
      </w:r>
      <w:r>
        <w:rPr>
          <w:spacing w:val="-6"/>
        </w:rPr>
        <w:t xml:space="preserve"> </w:t>
      </w:r>
      <w:r>
        <w:t>5</w:t>
      </w:r>
      <w:r>
        <w:rPr>
          <w:spacing w:val="-6"/>
        </w:rPr>
        <w:t xml:space="preserve"> </w:t>
      </w:r>
      <w:r>
        <w:t>stratifiers depending</w:t>
      </w:r>
      <w:r>
        <w:rPr>
          <w:spacing w:val="-5"/>
        </w:rPr>
        <w:t xml:space="preserve"> </w:t>
      </w:r>
      <w:r>
        <w:t>on</w:t>
      </w:r>
      <w:r>
        <w:rPr>
          <w:spacing w:val="-5"/>
        </w:rPr>
        <w:t xml:space="preserve"> </w:t>
      </w:r>
      <w:r>
        <w:t>the</w:t>
      </w:r>
      <w:r>
        <w:rPr>
          <w:spacing w:val="-5"/>
        </w:rPr>
        <w:t xml:space="preserve"> </w:t>
      </w:r>
      <w:r>
        <w:t>size</w:t>
      </w:r>
      <w:r>
        <w:rPr>
          <w:spacing w:val="-5"/>
        </w:rPr>
        <w:t xml:space="preserve"> </w:t>
      </w:r>
      <w:r>
        <w:t>of</w:t>
      </w:r>
      <w:r>
        <w:rPr>
          <w:spacing w:val="-5"/>
        </w:rPr>
        <w:t xml:space="preserve"> </w:t>
      </w:r>
      <w:r>
        <w:t>the</w:t>
      </w:r>
      <w:r>
        <w:rPr>
          <w:spacing w:val="-5"/>
        </w:rPr>
        <w:t xml:space="preserve"> </w:t>
      </w:r>
      <w:r>
        <w:t>primary</w:t>
      </w:r>
      <w:r>
        <w:rPr>
          <w:spacing w:val="-5"/>
        </w:rPr>
        <w:t xml:space="preserve"> </w:t>
      </w:r>
      <w:r>
        <w:t>stratum.</w:t>
      </w:r>
      <w:r>
        <w:rPr>
          <w:spacing w:val="-5"/>
        </w:rPr>
        <w:t xml:space="preserve"> </w:t>
      </w:r>
      <w:r>
        <w:t>For</w:t>
      </w:r>
      <w:r>
        <w:rPr>
          <w:spacing w:val="-5"/>
        </w:rPr>
        <w:t xml:space="preserve"> </w:t>
      </w:r>
      <w:r>
        <w:t>instance,</w:t>
      </w:r>
      <w:r>
        <w:rPr>
          <w:spacing w:val="-5"/>
        </w:rPr>
        <w:t xml:space="preserve"> </w:t>
      </w:r>
      <w:r>
        <w:t>the</w:t>
      </w:r>
      <w:r>
        <w:rPr>
          <w:spacing w:val="-5"/>
        </w:rPr>
        <w:t xml:space="preserve"> </w:t>
      </w:r>
      <w:r>
        <w:t>Northeast</w:t>
      </w:r>
      <w:r>
        <w:rPr>
          <w:spacing w:val="-5"/>
        </w:rPr>
        <w:t xml:space="preserve"> </w:t>
      </w:r>
      <w:r>
        <w:t>non-metropolitan</w:t>
      </w:r>
      <w:r>
        <w:rPr>
          <w:spacing w:val="-5"/>
        </w:rPr>
        <w:t xml:space="preserve"> </w:t>
      </w:r>
      <w:r>
        <w:t>primary</w:t>
      </w:r>
      <w:r>
        <w:rPr>
          <w:spacing w:val="-5"/>
        </w:rPr>
        <w:t xml:space="preserve"> </w:t>
      </w:r>
      <w:r>
        <w:t>stratum,</w:t>
      </w:r>
      <w:r>
        <w:rPr>
          <w:spacing w:val="-5"/>
        </w:rPr>
        <w:t xml:space="preserve"> </w:t>
      </w:r>
      <w:r>
        <w:t>which</w:t>
      </w:r>
      <w:r>
        <w:rPr>
          <w:spacing w:val="-5"/>
        </w:rPr>
        <w:t xml:space="preserve"> </w:t>
      </w:r>
      <w:r>
        <w:t>had</w:t>
      </w:r>
      <w:r>
        <w:rPr>
          <w:spacing w:val="-5"/>
        </w:rPr>
        <w:t xml:space="preserve"> </w:t>
      </w:r>
      <w:r>
        <w:t>about 1</w:t>
      </w:r>
      <w:r>
        <w:rPr>
          <w:spacing w:val="-6"/>
        </w:rPr>
        <w:t xml:space="preserve"> </w:t>
      </w:r>
      <w:r>
        <w:t>million</w:t>
      </w:r>
      <w:r>
        <w:rPr>
          <w:spacing w:val="-6"/>
        </w:rPr>
        <w:t xml:space="preserve"> </w:t>
      </w:r>
      <w:r>
        <w:t>youths</w:t>
      </w:r>
      <w:r>
        <w:rPr>
          <w:spacing w:val="-6"/>
        </w:rPr>
        <w:t xml:space="preserve"> </w:t>
      </w:r>
      <w:r>
        <w:t>in</w:t>
      </w:r>
      <w:r>
        <w:rPr>
          <w:spacing w:val="-6"/>
        </w:rPr>
        <w:t xml:space="preserve"> </w:t>
      </w:r>
      <w:r>
        <w:t>noncertainty</w:t>
      </w:r>
      <w:r>
        <w:rPr>
          <w:spacing w:val="-6"/>
        </w:rPr>
        <w:t xml:space="preserve"> </w:t>
      </w:r>
      <w:r>
        <w:t>PSUs,</w:t>
      </w:r>
      <w:r>
        <w:rPr>
          <w:spacing w:val="-6"/>
        </w:rPr>
        <w:t xml:space="preserve"> </w:t>
      </w:r>
      <w:r>
        <w:t>used</w:t>
      </w:r>
      <w:r>
        <w:rPr>
          <w:spacing w:val="-6"/>
        </w:rPr>
        <w:t xml:space="preserve"> </w:t>
      </w:r>
      <w:r>
        <w:t>only</w:t>
      </w:r>
      <w:r>
        <w:rPr>
          <w:spacing w:val="-6"/>
        </w:rPr>
        <w:t xml:space="preserve"> </w:t>
      </w:r>
      <w:r>
        <w:t>one</w:t>
      </w:r>
      <w:r>
        <w:rPr>
          <w:spacing w:val="-6"/>
        </w:rPr>
        <w:t xml:space="preserve"> </w:t>
      </w:r>
      <w:r>
        <w:t>stratifier;</w:t>
      </w:r>
      <w:r>
        <w:rPr>
          <w:spacing w:val="-6"/>
        </w:rPr>
        <w:t xml:space="preserve"> </w:t>
      </w:r>
      <w:r>
        <w:t>whereas</w:t>
      </w:r>
      <w:r>
        <w:rPr>
          <w:spacing w:val="-6"/>
        </w:rPr>
        <w:t xml:space="preserve"> </w:t>
      </w:r>
      <w:r>
        <w:t>the</w:t>
      </w:r>
      <w:r>
        <w:rPr>
          <w:spacing w:val="-6"/>
        </w:rPr>
        <w:t xml:space="preserve"> </w:t>
      </w:r>
      <w:r>
        <w:t>South</w:t>
      </w:r>
      <w:r>
        <w:rPr>
          <w:spacing w:val="-6"/>
        </w:rPr>
        <w:t xml:space="preserve"> </w:t>
      </w:r>
      <w:r>
        <w:t>metropolitan</w:t>
      </w:r>
      <w:r>
        <w:rPr>
          <w:spacing w:val="-6"/>
        </w:rPr>
        <w:t xml:space="preserve"> </w:t>
      </w:r>
      <w:r>
        <w:t>primary</w:t>
      </w:r>
      <w:r>
        <w:rPr>
          <w:spacing w:val="-6"/>
        </w:rPr>
        <w:t xml:space="preserve"> </w:t>
      </w:r>
      <w:r>
        <w:t>stratum</w:t>
      </w:r>
      <w:r>
        <w:rPr>
          <w:spacing w:val="-6"/>
        </w:rPr>
        <w:t xml:space="preserve"> </w:t>
      </w:r>
      <w:r>
        <w:t>had</w:t>
      </w:r>
      <w:r>
        <w:rPr>
          <w:spacing w:val="-6"/>
        </w:rPr>
        <w:t xml:space="preserve"> </w:t>
      </w:r>
      <w:r>
        <w:t>about</w:t>
      </w:r>
      <w:r>
        <w:rPr>
          <w:spacing w:val="-6"/>
        </w:rPr>
        <w:t xml:space="preserve"> </w:t>
      </w:r>
      <w:r>
        <w:t>13 million youths in noncertainty PSUs and used five stratifiers.</w:t>
      </w:r>
    </w:p>
    <w:p w:rsidR="003F5784" w14:paraId="0BDCF3BC" w14:textId="77777777">
      <w:pPr>
        <w:pStyle w:val="BodyText"/>
        <w:spacing w:before="210" w:line="232" w:lineRule="auto"/>
        <w:ind w:left="109"/>
      </w:pPr>
      <w:r>
        <w:t>The</w:t>
      </w:r>
      <w:r>
        <w:rPr>
          <w:spacing w:val="-6"/>
        </w:rPr>
        <w:t xml:space="preserve"> </w:t>
      </w:r>
      <w:r>
        <w:t>final</w:t>
      </w:r>
      <w:r>
        <w:rPr>
          <w:spacing w:val="-6"/>
        </w:rPr>
        <w:t xml:space="preserve"> </w:t>
      </w:r>
      <w:r>
        <w:t>noncertainty</w:t>
      </w:r>
      <w:r>
        <w:rPr>
          <w:spacing w:val="-6"/>
        </w:rPr>
        <w:t xml:space="preserve"> </w:t>
      </w:r>
      <w:r>
        <w:t>PSU</w:t>
      </w:r>
      <w:r>
        <w:rPr>
          <w:spacing w:val="-6"/>
        </w:rPr>
        <w:t xml:space="preserve"> </w:t>
      </w:r>
      <w:r>
        <w:t>strata</w:t>
      </w:r>
      <w:r>
        <w:rPr>
          <w:spacing w:val="-6"/>
        </w:rPr>
        <w:t xml:space="preserve"> </w:t>
      </w:r>
      <w:r>
        <w:t>are</w:t>
      </w:r>
      <w:r>
        <w:rPr>
          <w:spacing w:val="-6"/>
        </w:rPr>
        <w:t xml:space="preserve"> </w:t>
      </w:r>
      <w:r>
        <w:t>presented</w:t>
      </w:r>
      <w:r>
        <w:rPr>
          <w:spacing w:val="-6"/>
        </w:rPr>
        <w:t xml:space="preserve"> </w:t>
      </w:r>
      <w:r>
        <w:t>in</w:t>
      </w:r>
      <w:r>
        <w:rPr>
          <w:spacing w:val="-6"/>
        </w:rPr>
        <w:t xml:space="preserve"> </w:t>
      </w:r>
      <w:r>
        <w:t>summary</w:t>
      </w:r>
      <w:r>
        <w:rPr>
          <w:spacing w:val="-6"/>
        </w:rPr>
        <w:t xml:space="preserve"> </w:t>
      </w:r>
      <w:r>
        <w:t>tables</w:t>
      </w:r>
      <w:r>
        <w:rPr>
          <w:spacing w:val="-6"/>
        </w:rPr>
        <w:t xml:space="preserve"> </w:t>
      </w:r>
      <w:r>
        <w:t>for</w:t>
      </w:r>
      <w:r>
        <w:rPr>
          <w:spacing w:val="-6"/>
        </w:rPr>
        <w:t xml:space="preserve"> </w:t>
      </w:r>
      <w:r>
        <w:t>each</w:t>
      </w:r>
      <w:r>
        <w:rPr>
          <w:spacing w:val="-6"/>
        </w:rPr>
        <w:t xml:space="preserve"> </w:t>
      </w:r>
      <w:r>
        <w:t>primary</w:t>
      </w:r>
      <w:r>
        <w:rPr>
          <w:spacing w:val="-6"/>
        </w:rPr>
        <w:t xml:space="preserve"> </w:t>
      </w:r>
      <w:r>
        <w:t>PSU</w:t>
      </w:r>
      <w:r>
        <w:rPr>
          <w:spacing w:val="-6"/>
        </w:rPr>
        <w:t xml:space="preserve"> </w:t>
      </w:r>
      <w:r>
        <w:t>stratum.</w:t>
      </w:r>
      <w:r>
        <w:rPr>
          <w:spacing w:val="-10"/>
        </w:rPr>
        <w:t xml:space="preserve"> </w:t>
      </w:r>
      <w:r>
        <w:t>The</w:t>
      </w:r>
      <w:r>
        <w:rPr>
          <w:spacing w:val="-6"/>
        </w:rPr>
        <w:t xml:space="preserve"> </w:t>
      </w:r>
      <w:r>
        <w:t>tables</w:t>
      </w:r>
      <w:r>
        <w:rPr>
          <w:spacing w:val="-6"/>
        </w:rPr>
        <w:t xml:space="preserve"> </w:t>
      </w:r>
      <w:r>
        <w:t>show</w:t>
      </w:r>
      <w:r>
        <w:rPr>
          <w:spacing w:val="-6"/>
        </w:rPr>
        <w:t xml:space="preserve"> </w:t>
      </w:r>
      <w:r>
        <w:t>the definition, number of PSUs, and size of each stratum.</w:t>
      </w:r>
    </w:p>
    <w:p w:rsidR="003F5784" w14:paraId="367F1BD6" w14:textId="77777777">
      <w:pPr>
        <w:pStyle w:val="BodyText"/>
      </w:pPr>
    </w:p>
    <w:p w:rsidR="003F5784" w14:paraId="455B9E7C" w14:textId="77777777">
      <w:pPr>
        <w:pStyle w:val="BodyText"/>
      </w:pPr>
    </w:p>
    <w:p w:rsidR="003F5784" w14:paraId="66DBC84C" w14:textId="77777777">
      <w:pPr>
        <w:pStyle w:val="BodyText"/>
        <w:spacing w:before="146"/>
      </w:pPr>
    </w:p>
    <w:p w:rsidR="003F5784" w14:paraId="189FEFDE" w14:textId="77777777">
      <w:pPr>
        <w:ind w:left="902"/>
        <w:rPr>
          <w:sz w:val="18"/>
        </w:rPr>
      </w:pPr>
      <w:hyperlink r:id="rId198">
        <w:r>
          <w:rPr>
            <w:spacing w:val="-2"/>
            <w:sz w:val="18"/>
          </w:rPr>
          <w:t>http://nces.ed.gov/nationsreportcard/tdw/sample_design/2022/final_primary_sampling_unit_strata_for_the_2022_assessment.aspx</w:t>
        </w:r>
      </w:hyperlink>
    </w:p>
    <w:p w:rsidR="003F5784" w14:paraId="4AC1CC79" w14:textId="77777777">
      <w:pPr>
        <w:pStyle w:val="BodyText"/>
        <w:spacing w:before="96" w:line="232" w:lineRule="auto"/>
        <w:ind w:left="109" w:right="697"/>
      </w:pPr>
      <w:r>
        <w:br w:type="column"/>
        <w:t>Stratification</w:t>
      </w:r>
      <w:r>
        <w:rPr>
          <w:spacing w:val="-14"/>
        </w:rPr>
        <w:t xml:space="preserve"> </w:t>
      </w:r>
      <w:r>
        <w:t>for</w:t>
      </w:r>
      <w:r>
        <w:rPr>
          <w:spacing w:val="-13"/>
        </w:rPr>
        <w:t xml:space="preserve"> </w:t>
      </w:r>
      <w:r>
        <w:t>Northeast</w:t>
      </w:r>
      <w:r>
        <w:rPr>
          <w:spacing w:val="-13"/>
        </w:rPr>
        <w:t xml:space="preserve"> </w:t>
      </w:r>
      <w:r>
        <w:t>metropolitan noncertainty primary sampling units</w:t>
      </w:r>
    </w:p>
    <w:p w:rsidR="003F5784" w14:paraId="07CE19F9" w14:textId="77777777">
      <w:pPr>
        <w:pStyle w:val="BodyText"/>
        <w:spacing w:before="209" w:line="232" w:lineRule="auto"/>
        <w:ind w:left="109" w:right="311"/>
      </w:pPr>
      <w:r>
        <w:t>Stratification</w:t>
      </w:r>
      <w:r>
        <w:rPr>
          <w:spacing w:val="-14"/>
        </w:rPr>
        <w:t xml:space="preserve"> </w:t>
      </w:r>
      <w:r>
        <w:t>for</w:t>
      </w:r>
      <w:r>
        <w:rPr>
          <w:spacing w:val="-13"/>
        </w:rPr>
        <w:t xml:space="preserve"> </w:t>
      </w:r>
      <w:r>
        <w:t>Northeast</w:t>
      </w:r>
      <w:r>
        <w:rPr>
          <w:spacing w:val="-13"/>
        </w:rPr>
        <w:t xml:space="preserve"> </w:t>
      </w:r>
      <w:r>
        <w:t>non-metropolitan noncertainty primary sampling units</w:t>
      </w:r>
    </w:p>
    <w:p w:rsidR="003F5784" w14:paraId="08C71B09" w14:textId="77777777">
      <w:pPr>
        <w:pStyle w:val="BodyText"/>
        <w:spacing w:before="209" w:line="232" w:lineRule="auto"/>
        <w:ind w:left="109" w:right="311"/>
      </w:pPr>
      <w:r>
        <w:t>Stratification</w:t>
      </w:r>
      <w:r>
        <w:rPr>
          <w:spacing w:val="-14"/>
        </w:rPr>
        <w:t xml:space="preserve"> </w:t>
      </w:r>
      <w:r>
        <w:t>for</w:t>
      </w:r>
      <w:r>
        <w:rPr>
          <w:spacing w:val="-13"/>
        </w:rPr>
        <w:t xml:space="preserve"> </w:t>
      </w:r>
      <w:r>
        <w:t>Midwest</w:t>
      </w:r>
      <w:r>
        <w:rPr>
          <w:spacing w:val="-13"/>
        </w:rPr>
        <w:t xml:space="preserve"> </w:t>
      </w:r>
      <w:r>
        <w:t>metropolitan noncertainty primary sampling units</w:t>
      </w:r>
    </w:p>
    <w:p w:rsidR="003F5784" w14:paraId="5964D6E0" w14:textId="77777777">
      <w:pPr>
        <w:pStyle w:val="BodyText"/>
        <w:spacing w:before="210" w:line="232" w:lineRule="auto"/>
        <w:ind w:left="109" w:right="393"/>
      </w:pPr>
      <w:r>
        <w:t>Stratification</w:t>
      </w:r>
      <w:r>
        <w:rPr>
          <w:spacing w:val="-14"/>
        </w:rPr>
        <w:t xml:space="preserve"> </w:t>
      </w:r>
      <w:r>
        <w:t>for</w:t>
      </w:r>
      <w:r>
        <w:rPr>
          <w:spacing w:val="-13"/>
        </w:rPr>
        <w:t xml:space="preserve"> </w:t>
      </w:r>
      <w:r>
        <w:t>Midwest</w:t>
      </w:r>
      <w:r>
        <w:rPr>
          <w:spacing w:val="-13"/>
        </w:rPr>
        <w:t xml:space="preserve"> </w:t>
      </w:r>
      <w:r>
        <w:t>non-metropolitan noncertainty primary sampling units</w:t>
      </w:r>
    </w:p>
    <w:p w:rsidR="003F5784" w14:paraId="0C942878" w14:textId="77777777">
      <w:pPr>
        <w:pStyle w:val="BodyText"/>
        <w:spacing w:before="209" w:line="232" w:lineRule="auto"/>
        <w:ind w:left="109" w:right="311"/>
      </w:pPr>
      <w:r>
        <w:t>Stratification</w:t>
      </w:r>
      <w:r>
        <w:rPr>
          <w:spacing w:val="-14"/>
        </w:rPr>
        <w:t xml:space="preserve"> </w:t>
      </w:r>
      <w:r>
        <w:t>for</w:t>
      </w:r>
      <w:r>
        <w:rPr>
          <w:spacing w:val="-13"/>
        </w:rPr>
        <w:t xml:space="preserve"> </w:t>
      </w:r>
      <w:r>
        <w:t>South</w:t>
      </w:r>
      <w:r>
        <w:rPr>
          <w:spacing w:val="-13"/>
        </w:rPr>
        <w:t xml:space="preserve"> </w:t>
      </w:r>
      <w:r>
        <w:t>metropolitan noncertainty</w:t>
      </w:r>
      <w:r>
        <w:rPr>
          <w:spacing w:val="-10"/>
        </w:rPr>
        <w:t xml:space="preserve"> </w:t>
      </w:r>
      <w:r>
        <w:t>primary</w:t>
      </w:r>
      <w:r>
        <w:rPr>
          <w:spacing w:val="-9"/>
        </w:rPr>
        <w:t xml:space="preserve"> </w:t>
      </w:r>
      <w:r>
        <w:t>sampling</w:t>
      </w:r>
      <w:r>
        <w:rPr>
          <w:spacing w:val="-9"/>
        </w:rPr>
        <w:t xml:space="preserve"> </w:t>
      </w:r>
      <w:r>
        <w:rPr>
          <w:spacing w:val="-2"/>
        </w:rPr>
        <w:t>units</w:t>
      </w:r>
    </w:p>
    <w:p w:rsidR="003F5784" w14:paraId="2AE135F2" w14:textId="77777777">
      <w:pPr>
        <w:pStyle w:val="BodyText"/>
        <w:spacing w:before="203"/>
        <w:ind w:left="109"/>
      </w:pPr>
      <w:r>
        <w:t>Stratification</w:t>
      </w:r>
      <w:r>
        <w:rPr>
          <w:spacing w:val="-9"/>
        </w:rPr>
        <w:t xml:space="preserve"> </w:t>
      </w:r>
      <w:r>
        <w:t>for</w:t>
      </w:r>
      <w:r>
        <w:rPr>
          <w:spacing w:val="-8"/>
        </w:rPr>
        <w:t xml:space="preserve"> </w:t>
      </w:r>
      <w:r>
        <w:t>South</w:t>
      </w:r>
      <w:r>
        <w:rPr>
          <w:spacing w:val="-9"/>
        </w:rPr>
        <w:t xml:space="preserve"> </w:t>
      </w:r>
      <w:r>
        <w:t>non-</w:t>
      </w:r>
      <w:r>
        <w:rPr>
          <w:spacing w:val="-2"/>
        </w:rPr>
        <w:t>metropolitan</w:t>
      </w:r>
    </w:p>
    <w:p w:rsidR="003F5784" w14:paraId="1CDF6127" w14:textId="77777777">
      <w:pPr>
        <w:sectPr>
          <w:type w:val="continuous"/>
          <w:pgSz w:w="15840" w:h="12240" w:orient="landscape"/>
          <w:pgMar w:top="480" w:right="440" w:bottom="460" w:left="460" w:header="284" w:footer="275" w:gutter="0"/>
          <w:cols w:num="2" w:space="720" w:equalWidth="0">
            <w:col w:w="10707" w:space="59"/>
            <w:col w:w="4174"/>
          </w:cols>
        </w:sectPr>
      </w:pPr>
    </w:p>
    <w:p w:rsidR="003F5784" w14:paraId="409EDFA6" w14:textId="77777777">
      <w:pPr>
        <w:pStyle w:val="BodyText"/>
        <w:tabs>
          <w:tab w:val="left" w:pos="10754"/>
        </w:tabs>
        <w:spacing w:line="235" w:lineRule="exact"/>
        <w:ind w:left="109"/>
      </w:pPr>
      <w:r>
        <w:rPr>
          <w:u w:val="single" w:color="808080"/>
        </w:rPr>
        <w:tab/>
      </w:r>
      <w:r>
        <w:rPr>
          <w:spacing w:val="40"/>
        </w:rPr>
        <w:t xml:space="preserve"> </w:t>
      </w:r>
      <w:r>
        <w:t>noncertainty primary sampling units</w:t>
      </w:r>
    </w:p>
    <w:p w:rsidR="003F5784" w14:paraId="29F6ABE9" w14:textId="77777777">
      <w:pPr>
        <w:pStyle w:val="BodyText"/>
        <w:spacing w:before="170" w:line="234" w:lineRule="exact"/>
        <w:ind w:left="10876" w:right="1031"/>
      </w:pPr>
      <w:r>
        <w:t>Stratification</w:t>
      </w:r>
      <w:r>
        <w:rPr>
          <w:spacing w:val="-3"/>
        </w:rPr>
        <w:t xml:space="preserve"> </w:t>
      </w:r>
      <w:r>
        <w:t>for</w:t>
      </w:r>
      <w:r>
        <w:rPr>
          <w:spacing w:val="-7"/>
        </w:rPr>
        <w:t xml:space="preserve"> </w:t>
      </w:r>
      <w:r>
        <w:t>West</w:t>
      </w:r>
      <w:r>
        <w:rPr>
          <w:spacing w:val="-3"/>
        </w:rPr>
        <w:t xml:space="preserve"> </w:t>
      </w:r>
      <w:r>
        <w:t>metropolitan noncertainty</w:t>
      </w:r>
      <w:r>
        <w:rPr>
          <w:spacing w:val="-10"/>
        </w:rPr>
        <w:t xml:space="preserve"> </w:t>
      </w:r>
      <w:r>
        <w:t>primary</w:t>
      </w:r>
      <w:r>
        <w:rPr>
          <w:spacing w:val="-9"/>
        </w:rPr>
        <w:t xml:space="preserve"> </w:t>
      </w:r>
      <w:r>
        <w:t>sampling</w:t>
      </w:r>
      <w:r>
        <w:rPr>
          <w:spacing w:val="-9"/>
        </w:rPr>
        <w:t xml:space="preserve"> </w:t>
      </w:r>
      <w:r>
        <w:rPr>
          <w:spacing w:val="-2"/>
        </w:rPr>
        <w:t>units</w:t>
      </w:r>
    </w:p>
    <w:p w:rsidR="003F5784" w14:paraId="772DE3DB" w14:textId="77777777">
      <w:pPr>
        <w:spacing w:line="234" w:lineRule="exact"/>
        <w:sectPr>
          <w:type w:val="continuous"/>
          <w:pgSz w:w="15840" w:h="12240" w:orient="landscape"/>
          <w:pgMar w:top="480" w:right="440" w:bottom="460" w:left="460" w:header="284" w:footer="275" w:gutter="0"/>
          <w:cols w:space="720"/>
        </w:sectPr>
      </w:pPr>
    </w:p>
    <w:p w:rsidR="003F5784" w14:paraId="368B3D13" w14:textId="0CE60E5F">
      <w:pPr>
        <w:pStyle w:val="Heading1"/>
        <w:spacing w:line="409" w:lineRule="exact"/>
      </w:pPr>
      <w:r>
        <w:t>NAEP</w:t>
      </w:r>
      <w:r>
        <w:rPr>
          <w:spacing w:val="-21"/>
        </w:rPr>
        <w:t xml:space="preserve"> </w:t>
      </w:r>
      <w:r>
        <w:t>Technical</w:t>
      </w:r>
      <w:r>
        <w:rPr>
          <w:spacing w:val="13"/>
        </w:rPr>
        <w:t xml:space="preserve"> </w:t>
      </w:r>
      <w:r>
        <w:t>Documentation</w:t>
      </w:r>
      <w:r w:rsidR="004C039D">
        <w:t xml:space="preserve"> </w:t>
      </w:r>
      <w:r>
        <w:t>Stratification</w:t>
      </w:r>
      <w:r>
        <w:rPr>
          <w:spacing w:val="14"/>
        </w:rPr>
        <w:t xml:space="preserve"> </w:t>
      </w:r>
      <w:r>
        <w:t>for</w:t>
      </w:r>
      <w:r>
        <w:rPr>
          <w:spacing w:val="5"/>
        </w:rPr>
        <w:t xml:space="preserve"> </w:t>
      </w:r>
      <w:r>
        <w:rPr>
          <w:spacing w:val="-2"/>
        </w:rPr>
        <w:t>Midwest</w:t>
      </w:r>
    </w:p>
    <w:p w:rsidR="003F5784" w14:paraId="16B2C6C4" w14:textId="77777777">
      <w:pPr>
        <w:spacing w:before="10"/>
        <w:ind w:left="109"/>
        <w:rPr>
          <w:b/>
          <w:sz w:val="41"/>
        </w:rPr>
      </w:pPr>
      <w:r>
        <w:rPr>
          <w:b/>
          <w:sz w:val="41"/>
        </w:rPr>
        <w:t>Metropolitan</w:t>
      </w:r>
      <w:r>
        <w:rPr>
          <w:b/>
          <w:spacing w:val="18"/>
          <w:sz w:val="41"/>
        </w:rPr>
        <w:t xml:space="preserve"> </w:t>
      </w:r>
      <w:r>
        <w:rPr>
          <w:b/>
          <w:sz w:val="41"/>
        </w:rPr>
        <w:t>Noncertainty</w:t>
      </w:r>
      <w:r>
        <w:rPr>
          <w:b/>
          <w:spacing w:val="18"/>
          <w:sz w:val="41"/>
        </w:rPr>
        <w:t xml:space="preserve"> </w:t>
      </w:r>
      <w:r>
        <w:rPr>
          <w:b/>
          <w:sz w:val="41"/>
        </w:rPr>
        <w:t>Primary</w:t>
      </w:r>
      <w:r>
        <w:rPr>
          <w:b/>
          <w:spacing w:val="19"/>
          <w:sz w:val="41"/>
        </w:rPr>
        <w:t xml:space="preserve"> </w:t>
      </w:r>
      <w:r>
        <w:rPr>
          <w:b/>
          <w:sz w:val="41"/>
        </w:rPr>
        <w:t>Sampling</w:t>
      </w:r>
      <w:r>
        <w:rPr>
          <w:b/>
          <w:spacing w:val="18"/>
          <w:sz w:val="41"/>
        </w:rPr>
        <w:t xml:space="preserve"> </w:t>
      </w:r>
      <w:r>
        <w:rPr>
          <w:b/>
          <w:spacing w:val="-2"/>
          <w:sz w:val="41"/>
        </w:rPr>
        <w:t>Units</w:t>
      </w:r>
    </w:p>
    <w:p w:rsidR="003F5784" w14:paraId="637FFDE8" w14:textId="77777777">
      <w:pPr>
        <w:spacing w:before="5"/>
        <w:rPr>
          <w:b/>
          <w:sz w:val="21"/>
        </w:rPr>
      </w:pPr>
      <w:r>
        <w:br w:type="column"/>
      </w:r>
    </w:p>
    <w:p w:rsidR="003F5784" w14:paraId="403C89AB" w14:textId="77777777">
      <w:pPr>
        <w:pStyle w:val="BodyText"/>
        <w:spacing w:line="232" w:lineRule="auto"/>
        <w:ind w:left="109" w:right="311"/>
      </w:pPr>
      <w:r>
        <w:rPr>
          <w:spacing w:val="-2"/>
        </w:rPr>
        <w:t>Stratification for</w:t>
      </w:r>
      <w:r>
        <w:rPr>
          <w:spacing w:val="-6"/>
        </w:rPr>
        <w:t xml:space="preserve"> </w:t>
      </w:r>
      <w:r>
        <w:rPr>
          <w:spacing w:val="-2"/>
        </w:rPr>
        <w:t xml:space="preserve">West non-metropolitan </w:t>
      </w:r>
      <w:r>
        <w:t>noncertainty primary sampling units</w:t>
      </w:r>
    </w:p>
    <w:p w:rsidR="003F5784" w14:paraId="6D7A3D89" w14:textId="77777777">
      <w:pPr>
        <w:spacing w:line="232" w:lineRule="auto"/>
        <w:sectPr>
          <w:type w:val="continuous"/>
          <w:pgSz w:w="15840" w:h="12240" w:orient="landscape"/>
          <w:pgMar w:top="480" w:right="440" w:bottom="460" w:left="460" w:header="284" w:footer="275" w:gutter="0"/>
          <w:cols w:num="2" w:space="720" w:equalWidth="0">
            <w:col w:w="10522" w:space="244"/>
            <w:col w:w="4174"/>
          </w:cols>
        </w:sectPr>
      </w:pPr>
    </w:p>
    <w:p w:rsidR="003F5784" w14:paraId="05979780" w14:textId="77777777">
      <w:pPr>
        <w:pStyle w:val="BodyText"/>
        <w:spacing w:before="40"/>
      </w:pPr>
    </w:p>
    <w:p w:rsidR="003F5784" w14:paraId="239BBE2D" w14:textId="77777777">
      <w:pPr>
        <w:pStyle w:val="BodyText"/>
        <w:spacing w:before="1" w:line="232" w:lineRule="auto"/>
        <w:ind w:left="109"/>
      </w:pPr>
      <w:r>
        <w:t>The following table provides the definition, number of PSUs, and size of each noncertainty PSU stratum in the Midwest metropolitan primary stratum. Columns 2 through 5 show</w:t>
      </w:r>
      <w:r>
        <w:rPr>
          <w:spacing w:val="-5"/>
        </w:rPr>
        <w:t xml:space="preserve"> </w:t>
      </w:r>
      <w:r>
        <w:t>the</w:t>
      </w:r>
      <w:r>
        <w:rPr>
          <w:spacing w:val="-5"/>
        </w:rPr>
        <w:t xml:space="preserve"> </w:t>
      </w:r>
      <w:r>
        <w:t>characteristics</w:t>
      </w:r>
      <w:r>
        <w:rPr>
          <w:spacing w:val="-5"/>
        </w:rPr>
        <w:t xml:space="preserve"> </w:t>
      </w:r>
      <w:r>
        <w:t>used</w:t>
      </w:r>
      <w:r>
        <w:rPr>
          <w:spacing w:val="-5"/>
        </w:rPr>
        <w:t xml:space="preserve"> </w:t>
      </w:r>
      <w:r>
        <w:t>to</w:t>
      </w:r>
      <w:r>
        <w:rPr>
          <w:spacing w:val="-5"/>
        </w:rPr>
        <w:t xml:space="preserve"> </w:t>
      </w:r>
      <w:r>
        <w:t>define</w:t>
      </w:r>
      <w:r>
        <w:rPr>
          <w:spacing w:val="-5"/>
        </w:rPr>
        <w:t xml:space="preserve"> </w:t>
      </w:r>
      <w:r>
        <w:t>the</w:t>
      </w:r>
      <w:r>
        <w:rPr>
          <w:spacing w:val="-5"/>
        </w:rPr>
        <w:t xml:space="preserve"> </w:t>
      </w:r>
      <w:r>
        <w:t>strata</w:t>
      </w:r>
      <w:r>
        <w:rPr>
          <w:spacing w:val="-5"/>
        </w:rPr>
        <w:t xml:space="preserve"> </w:t>
      </w:r>
      <w:r>
        <w:t>along</w:t>
      </w:r>
      <w:r>
        <w:rPr>
          <w:spacing w:val="-5"/>
        </w:rPr>
        <w:t xml:space="preserve"> </w:t>
      </w:r>
      <w:r>
        <w:t>with</w:t>
      </w:r>
      <w:r>
        <w:rPr>
          <w:spacing w:val="-5"/>
        </w:rPr>
        <w:t xml:space="preserve"> </w:t>
      </w:r>
      <w:r>
        <w:t>their</w:t>
      </w:r>
      <w:r>
        <w:rPr>
          <w:spacing w:val="-5"/>
        </w:rPr>
        <w:t xml:space="preserve"> </w:t>
      </w:r>
      <w:r>
        <w:t>respective</w:t>
      </w:r>
      <w:r>
        <w:rPr>
          <w:spacing w:val="-5"/>
        </w:rPr>
        <w:t xml:space="preserve"> </w:t>
      </w:r>
      <w:r>
        <w:t>cutoffs.</w:t>
      </w:r>
      <w:r>
        <w:rPr>
          <w:spacing w:val="-9"/>
        </w:rPr>
        <w:t xml:space="preserve"> </w:t>
      </w:r>
      <w:r>
        <w:t>The</w:t>
      </w:r>
      <w:r>
        <w:rPr>
          <w:spacing w:val="-5"/>
        </w:rPr>
        <w:t xml:space="preserve"> </w:t>
      </w:r>
      <w:r>
        <w:t>size</w:t>
      </w:r>
      <w:r>
        <w:rPr>
          <w:spacing w:val="-5"/>
        </w:rPr>
        <w:t xml:space="preserve"> </w:t>
      </w:r>
      <w:r>
        <w:t>of</w:t>
      </w:r>
      <w:r>
        <w:rPr>
          <w:spacing w:val="-5"/>
        </w:rPr>
        <w:t xml:space="preserve"> </w:t>
      </w:r>
      <w:r>
        <w:t>each</w:t>
      </w:r>
      <w:r>
        <w:rPr>
          <w:spacing w:val="-5"/>
        </w:rPr>
        <w:t xml:space="preserve"> </w:t>
      </w:r>
      <w:r>
        <w:t>stratum</w:t>
      </w:r>
      <w:r>
        <w:rPr>
          <w:spacing w:val="-5"/>
        </w:rPr>
        <w:t xml:space="preserve"> </w:t>
      </w:r>
      <w:r>
        <w:t>is</w:t>
      </w:r>
      <w:r>
        <w:rPr>
          <w:spacing w:val="-5"/>
        </w:rPr>
        <w:t xml:space="preserve"> </w:t>
      </w:r>
      <w:r>
        <w:t>given</w:t>
      </w:r>
      <w:r>
        <w:rPr>
          <w:spacing w:val="-5"/>
        </w:rPr>
        <w:t xml:space="preserve"> </w:t>
      </w:r>
      <w:r>
        <w:t>in</w:t>
      </w:r>
      <w:r>
        <w:rPr>
          <w:spacing w:val="-5"/>
        </w:rPr>
        <w:t xml:space="preserve"> </w:t>
      </w:r>
      <w:r>
        <w:t>the</w:t>
      </w:r>
      <w:r>
        <w:rPr>
          <w:spacing w:val="-5"/>
        </w:rPr>
        <w:t xml:space="preserve"> </w:t>
      </w:r>
      <w:r>
        <w:t>last</w:t>
      </w:r>
      <w:r>
        <w:rPr>
          <w:spacing w:val="-5"/>
        </w:rPr>
        <w:t xml:space="preserve"> </w:t>
      </w:r>
      <w:r>
        <w:t>column</w:t>
      </w:r>
      <w:r>
        <w:rPr>
          <w:spacing w:val="-5"/>
        </w:rPr>
        <w:t xml:space="preserve"> </w:t>
      </w:r>
      <w:r>
        <w:t>and</w:t>
      </w:r>
      <w:r>
        <w:rPr>
          <w:spacing w:val="-5"/>
        </w:rPr>
        <w:t xml:space="preserve"> </w:t>
      </w:r>
      <w:r>
        <w:t>is</w:t>
      </w:r>
      <w:r>
        <w:rPr>
          <w:spacing w:val="-5"/>
        </w:rPr>
        <w:t xml:space="preserve"> </w:t>
      </w:r>
      <w:r>
        <w:t>in</w:t>
      </w:r>
      <w:r>
        <w:rPr>
          <w:spacing w:val="-5"/>
        </w:rPr>
        <w:t xml:space="preserve"> </w:t>
      </w:r>
      <w:r>
        <w:t>terms</w:t>
      </w:r>
      <w:r>
        <w:rPr>
          <w:spacing w:val="-5"/>
        </w:rPr>
        <w:t xml:space="preserve"> </w:t>
      </w:r>
      <w:r>
        <w:t>of</w:t>
      </w:r>
      <w:r>
        <w:rPr>
          <w:spacing w:val="-5"/>
        </w:rPr>
        <w:t xml:space="preserve"> </w:t>
      </w:r>
      <w:r>
        <w:t>the</w:t>
      </w:r>
      <w:r>
        <w:rPr>
          <w:spacing w:val="-5"/>
        </w:rPr>
        <w:t xml:space="preserve"> </w:t>
      </w:r>
      <w:r>
        <w:t>number</w:t>
      </w:r>
      <w:r>
        <w:rPr>
          <w:spacing w:val="-5"/>
        </w:rPr>
        <w:t xml:space="preserve"> </w:t>
      </w:r>
      <w:r>
        <w:t>of</w:t>
      </w:r>
      <w:r>
        <w:rPr>
          <w:spacing w:val="-5"/>
        </w:rPr>
        <w:t xml:space="preserve"> </w:t>
      </w:r>
      <w:r>
        <w:t>youths (persons 17 years of age and younger).</w:t>
      </w:r>
    </w:p>
    <w:p w:rsidR="003F5784" w14:paraId="28DB926D" w14:textId="77777777">
      <w:pPr>
        <w:pStyle w:val="BodyText"/>
        <w:spacing w:before="92"/>
      </w:pPr>
    </w:p>
    <w:p w:rsidR="003F5784" w14:paraId="0A8D1D6B" w14:textId="77777777">
      <w:pPr>
        <w:pStyle w:val="Heading2"/>
      </w:pPr>
      <w:r>
        <w:t>Stratification</w:t>
      </w:r>
      <w:r>
        <w:rPr>
          <w:spacing w:val="-9"/>
        </w:rPr>
        <w:t xml:space="preserve"> </w:t>
      </w:r>
      <w:r>
        <w:t>for</w:t>
      </w:r>
      <w:r>
        <w:rPr>
          <w:spacing w:val="-13"/>
        </w:rPr>
        <w:t xml:space="preserve"> </w:t>
      </w:r>
      <w:r>
        <w:t>Midwest</w:t>
      </w:r>
      <w:r>
        <w:rPr>
          <w:spacing w:val="-9"/>
        </w:rPr>
        <w:t xml:space="preserve"> </w:t>
      </w:r>
      <w:r>
        <w:t>metropolitan</w:t>
      </w:r>
      <w:r>
        <w:rPr>
          <w:spacing w:val="-8"/>
        </w:rPr>
        <w:t xml:space="preserve"> </w:t>
      </w:r>
      <w:r>
        <w:t>noncertainty</w:t>
      </w:r>
      <w:r>
        <w:rPr>
          <w:spacing w:val="-9"/>
        </w:rPr>
        <w:t xml:space="preserve"> </w:t>
      </w:r>
      <w:r>
        <w:t>primary</w:t>
      </w:r>
      <w:r>
        <w:rPr>
          <w:spacing w:val="-9"/>
        </w:rPr>
        <w:t xml:space="preserve"> </w:t>
      </w:r>
      <w:r>
        <w:t>sampling</w:t>
      </w:r>
      <w:r>
        <w:rPr>
          <w:spacing w:val="-9"/>
        </w:rPr>
        <w:t xml:space="preserve"> </w:t>
      </w:r>
      <w:r>
        <w:t>units</w:t>
      </w:r>
      <w:r>
        <w:rPr>
          <w:spacing w:val="-9"/>
        </w:rPr>
        <w:t xml:space="preserve"> </w:t>
      </w:r>
      <w:r>
        <w:t>(PSUs),</w:t>
      </w:r>
      <w:r>
        <w:rPr>
          <w:spacing w:val="-9"/>
        </w:rPr>
        <w:t xml:space="preserve"> </w:t>
      </w:r>
      <w:r>
        <w:t>by</w:t>
      </w:r>
      <w:r>
        <w:rPr>
          <w:spacing w:val="-9"/>
        </w:rPr>
        <w:t xml:space="preserve"> </w:t>
      </w:r>
      <w:r>
        <w:t>stratum:</w:t>
      </w:r>
      <w:r>
        <w:rPr>
          <w:spacing w:val="-9"/>
        </w:rPr>
        <w:t xml:space="preserve"> </w:t>
      </w:r>
      <w:r>
        <w:rPr>
          <w:spacing w:val="-4"/>
        </w:rPr>
        <w:t>2022</w:t>
      </w:r>
    </w:p>
    <w:p w:rsidR="003F5784" w14:paraId="62AE3FBA" w14:textId="77777777">
      <w:pPr>
        <w:sectPr>
          <w:type w:val="continuous"/>
          <w:pgSz w:w="15840" w:h="12240" w:orient="landscape"/>
          <w:pgMar w:top="480" w:right="440" w:bottom="460" w:left="460" w:header="284" w:footer="275" w:gutter="0"/>
          <w:cols w:space="720"/>
        </w:sectPr>
      </w:pPr>
    </w:p>
    <w:p w:rsidR="003F5784" w14:paraId="51CFA2B4" w14:textId="77777777">
      <w:pPr>
        <w:pStyle w:val="BodyText"/>
        <w:spacing w:before="5"/>
        <w:rPr>
          <w:b/>
          <w:sz w:val="7"/>
        </w:rPr>
      </w:pPr>
    </w:p>
    <w:tbl>
      <w:tblPr>
        <w:tblW w:w="0" w:type="auto"/>
        <w:tblInd w:w="482" w:type="dxa"/>
        <w:tblLayout w:type="fixed"/>
        <w:tblCellMar>
          <w:left w:w="0" w:type="dxa"/>
          <w:right w:w="0" w:type="dxa"/>
        </w:tblCellMar>
        <w:tblLook w:val="01E0"/>
      </w:tblPr>
      <w:tblGrid>
        <w:gridCol w:w="988"/>
        <w:gridCol w:w="1880"/>
        <w:gridCol w:w="1960"/>
        <w:gridCol w:w="3611"/>
        <w:gridCol w:w="3657"/>
        <w:gridCol w:w="701"/>
        <w:gridCol w:w="1183"/>
      </w:tblGrid>
      <w:tr w14:paraId="071DACFC" w14:textId="77777777">
        <w:tblPrEx>
          <w:tblW w:w="0" w:type="auto"/>
          <w:tblInd w:w="482" w:type="dxa"/>
          <w:tblLayout w:type="fixed"/>
          <w:tblCellMar>
            <w:left w:w="0" w:type="dxa"/>
            <w:right w:w="0" w:type="dxa"/>
          </w:tblCellMar>
          <w:tblLook w:val="01E0"/>
        </w:tblPrEx>
        <w:trPr>
          <w:trHeight w:val="502"/>
        </w:trPr>
        <w:tc>
          <w:tcPr>
            <w:tcW w:w="988" w:type="dxa"/>
            <w:tcBorders>
              <w:top w:val="single" w:sz="18" w:space="0" w:color="800000"/>
              <w:bottom w:val="single" w:sz="18" w:space="0" w:color="800000"/>
            </w:tcBorders>
          </w:tcPr>
          <w:p w:rsidR="003F5784" w14:paraId="25A1AEF4" w14:textId="77777777">
            <w:pPr>
              <w:pStyle w:val="TableParagraph"/>
              <w:spacing w:before="2"/>
              <w:jc w:val="left"/>
              <w:rPr>
                <w:b/>
                <w:sz w:val="21"/>
              </w:rPr>
            </w:pPr>
          </w:p>
          <w:p w:rsidR="003F5784" w14:paraId="46C19F21" w14:textId="77777777">
            <w:pPr>
              <w:pStyle w:val="TableParagraph"/>
              <w:spacing w:before="0" w:line="238" w:lineRule="exact"/>
              <w:ind w:left="120"/>
              <w:jc w:val="left"/>
              <w:rPr>
                <w:sz w:val="21"/>
              </w:rPr>
            </w:pPr>
            <w:r>
              <w:rPr>
                <w:spacing w:val="-2"/>
                <w:sz w:val="21"/>
              </w:rPr>
              <w:t>Stratum</w:t>
            </w:r>
          </w:p>
        </w:tc>
        <w:tc>
          <w:tcPr>
            <w:tcW w:w="1880" w:type="dxa"/>
            <w:tcBorders>
              <w:top w:val="single" w:sz="18" w:space="0" w:color="800000"/>
              <w:bottom w:val="single" w:sz="18" w:space="0" w:color="800000"/>
            </w:tcBorders>
          </w:tcPr>
          <w:p w:rsidR="003F5784" w14:paraId="0D02A2B0" w14:textId="77777777">
            <w:pPr>
              <w:pStyle w:val="TableParagraph"/>
              <w:spacing w:before="2"/>
              <w:jc w:val="left"/>
              <w:rPr>
                <w:b/>
                <w:sz w:val="21"/>
              </w:rPr>
            </w:pPr>
          </w:p>
          <w:p w:rsidR="003F5784" w14:paraId="3927EA6B" w14:textId="77777777">
            <w:pPr>
              <w:pStyle w:val="TableParagraph"/>
              <w:spacing w:before="0" w:line="238" w:lineRule="exact"/>
              <w:ind w:right="132"/>
              <w:rPr>
                <w:sz w:val="21"/>
              </w:rPr>
            </w:pPr>
            <w:r>
              <w:rPr>
                <w:sz w:val="21"/>
              </w:rPr>
              <w:t>Primary</w:t>
            </w:r>
            <w:r>
              <w:rPr>
                <w:spacing w:val="-8"/>
                <w:sz w:val="21"/>
              </w:rPr>
              <w:t xml:space="preserve"> </w:t>
            </w:r>
            <w:r>
              <w:rPr>
                <w:spacing w:val="-2"/>
                <w:sz w:val="21"/>
              </w:rPr>
              <w:t>stratifier</w:t>
            </w:r>
          </w:p>
        </w:tc>
        <w:tc>
          <w:tcPr>
            <w:tcW w:w="1960" w:type="dxa"/>
            <w:tcBorders>
              <w:top w:val="single" w:sz="18" w:space="0" w:color="800000"/>
              <w:bottom w:val="single" w:sz="18" w:space="0" w:color="800000"/>
            </w:tcBorders>
          </w:tcPr>
          <w:p w:rsidR="003F5784" w14:paraId="4B58D25A" w14:textId="77777777">
            <w:pPr>
              <w:pStyle w:val="TableParagraph"/>
              <w:spacing w:before="2"/>
              <w:jc w:val="left"/>
              <w:rPr>
                <w:b/>
                <w:sz w:val="21"/>
              </w:rPr>
            </w:pPr>
          </w:p>
          <w:p w:rsidR="003F5784" w14:paraId="298AAB7A" w14:textId="77777777">
            <w:pPr>
              <w:pStyle w:val="TableParagraph"/>
              <w:spacing w:before="0" w:line="238" w:lineRule="exact"/>
              <w:ind w:right="184"/>
              <w:rPr>
                <w:sz w:val="21"/>
              </w:rPr>
            </w:pPr>
            <w:r>
              <w:rPr>
                <w:sz w:val="21"/>
              </w:rPr>
              <w:t>Secondary</w:t>
            </w:r>
            <w:r>
              <w:rPr>
                <w:spacing w:val="-10"/>
                <w:sz w:val="21"/>
              </w:rPr>
              <w:t xml:space="preserve"> </w:t>
            </w:r>
            <w:r>
              <w:rPr>
                <w:spacing w:val="-2"/>
                <w:sz w:val="21"/>
              </w:rPr>
              <w:t>stratifier</w:t>
            </w:r>
          </w:p>
        </w:tc>
        <w:tc>
          <w:tcPr>
            <w:tcW w:w="3611" w:type="dxa"/>
            <w:tcBorders>
              <w:top w:val="single" w:sz="18" w:space="0" w:color="800000"/>
              <w:bottom w:val="single" w:sz="18" w:space="0" w:color="800000"/>
            </w:tcBorders>
          </w:tcPr>
          <w:p w:rsidR="003F5784" w14:paraId="47E1268F" w14:textId="77777777">
            <w:pPr>
              <w:pStyle w:val="TableParagraph"/>
              <w:spacing w:before="2"/>
              <w:jc w:val="left"/>
              <w:rPr>
                <w:b/>
                <w:sz w:val="21"/>
              </w:rPr>
            </w:pPr>
          </w:p>
          <w:p w:rsidR="003F5784" w14:paraId="2391217B" w14:textId="77777777">
            <w:pPr>
              <w:pStyle w:val="TableParagraph"/>
              <w:spacing w:before="0" w:line="238" w:lineRule="exact"/>
              <w:ind w:right="125"/>
              <w:rPr>
                <w:sz w:val="21"/>
              </w:rPr>
            </w:pPr>
            <w:r>
              <w:rPr>
                <w:spacing w:val="-2"/>
                <w:sz w:val="21"/>
              </w:rPr>
              <w:t>Tertiary</w:t>
            </w:r>
            <w:r>
              <w:rPr>
                <w:spacing w:val="-7"/>
                <w:sz w:val="21"/>
              </w:rPr>
              <w:t xml:space="preserve"> </w:t>
            </w:r>
            <w:r>
              <w:rPr>
                <w:spacing w:val="-2"/>
                <w:sz w:val="21"/>
              </w:rPr>
              <w:t>stratifier</w:t>
            </w:r>
          </w:p>
        </w:tc>
        <w:tc>
          <w:tcPr>
            <w:tcW w:w="3657" w:type="dxa"/>
            <w:tcBorders>
              <w:top w:val="single" w:sz="18" w:space="0" w:color="800000"/>
              <w:bottom w:val="single" w:sz="18" w:space="0" w:color="800000"/>
            </w:tcBorders>
          </w:tcPr>
          <w:p w:rsidR="003F5784" w14:paraId="11BE23E2" w14:textId="77777777">
            <w:pPr>
              <w:pStyle w:val="TableParagraph"/>
              <w:spacing w:before="2"/>
              <w:jc w:val="left"/>
              <w:rPr>
                <w:b/>
                <w:sz w:val="21"/>
              </w:rPr>
            </w:pPr>
          </w:p>
          <w:p w:rsidR="003F5784" w14:paraId="4673516B" w14:textId="77777777">
            <w:pPr>
              <w:pStyle w:val="TableParagraph"/>
              <w:spacing w:before="0" w:line="238" w:lineRule="exact"/>
              <w:ind w:right="112"/>
              <w:rPr>
                <w:sz w:val="21"/>
              </w:rPr>
            </w:pPr>
            <w:r>
              <w:rPr>
                <w:sz w:val="21"/>
              </w:rPr>
              <w:t>Quaternary</w:t>
            </w:r>
            <w:r>
              <w:rPr>
                <w:spacing w:val="-11"/>
                <w:sz w:val="21"/>
              </w:rPr>
              <w:t xml:space="preserve"> </w:t>
            </w:r>
            <w:r>
              <w:rPr>
                <w:spacing w:val="-2"/>
                <w:sz w:val="21"/>
              </w:rPr>
              <w:t>stratifier</w:t>
            </w:r>
          </w:p>
        </w:tc>
        <w:tc>
          <w:tcPr>
            <w:tcW w:w="701" w:type="dxa"/>
            <w:tcBorders>
              <w:top w:val="single" w:sz="18" w:space="0" w:color="800000"/>
              <w:bottom w:val="single" w:sz="18" w:space="0" w:color="800000"/>
            </w:tcBorders>
          </w:tcPr>
          <w:p w:rsidR="003F5784" w14:paraId="5107582D" w14:textId="77777777">
            <w:pPr>
              <w:pStyle w:val="TableParagraph"/>
              <w:spacing w:before="2"/>
              <w:jc w:val="left"/>
              <w:rPr>
                <w:b/>
                <w:sz w:val="21"/>
              </w:rPr>
            </w:pPr>
          </w:p>
          <w:p w:rsidR="003F5784" w14:paraId="21CE9C2D" w14:textId="77777777">
            <w:pPr>
              <w:pStyle w:val="TableParagraph"/>
              <w:spacing w:before="0" w:line="238" w:lineRule="exact"/>
              <w:ind w:right="115"/>
              <w:rPr>
                <w:sz w:val="21"/>
              </w:rPr>
            </w:pPr>
            <w:r>
              <w:rPr>
                <w:spacing w:val="-4"/>
                <w:sz w:val="21"/>
              </w:rPr>
              <w:t>PSUs</w:t>
            </w:r>
          </w:p>
        </w:tc>
        <w:tc>
          <w:tcPr>
            <w:tcW w:w="1183" w:type="dxa"/>
            <w:tcBorders>
              <w:top w:val="single" w:sz="18" w:space="0" w:color="800000"/>
              <w:bottom w:val="single" w:sz="18" w:space="0" w:color="800000"/>
            </w:tcBorders>
          </w:tcPr>
          <w:p w:rsidR="003F5784" w14:paraId="0E4A3E6C" w14:textId="77777777">
            <w:pPr>
              <w:pStyle w:val="TableParagraph"/>
              <w:spacing w:before="9" w:line="238" w:lineRule="exact"/>
              <w:ind w:right="113"/>
              <w:rPr>
                <w:sz w:val="21"/>
              </w:rPr>
            </w:pPr>
            <w:r>
              <w:rPr>
                <w:sz w:val="21"/>
              </w:rPr>
              <w:t>Measure</w:t>
            </w:r>
            <w:r>
              <w:rPr>
                <w:spacing w:val="-9"/>
                <w:sz w:val="21"/>
              </w:rPr>
              <w:t xml:space="preserve"> </w:t>
            </w:r>
            <w:r>
              <w:rPr>
                <w:spacing w:val="-5"/>
                <w:sz w:val="21"/>
              </w:rPr>
              <w:t>of</w:t>
            </w:r>
          </w:p>
          <w:p w:rsidR="003F5784" w14:paraId="51496111" w14:textId="77777777">
            <w:pPr>
              <w:pStyle w:val="TableParagraph"/>
              <w:spacing w:before="0" w:line="235" w:lineRule="exact"/>
              <w:ind w:right="113"/>
              <w:rPr>
                <w:sz w:val="21"/>
              </w:rPr>
            </w:pPr>
            <w:r>
              <w:rPr>
                <w:spacing w:val="-4"/>
                <w:sz w:val="21"/>
              </w:rPr>
              <w:t>size</w:t>
            </w:r>
          </w:p>
        </w:tc>
      </w:tr>
      <w:tr w14:paraId="39E10D0D" w14:textId="77777777">
        <w:tblPrEx>
          <w:tblW w:w="0" w:type="auto"/>
          <w:tblInd w:w="482" w:type="dxa"/>
          <w:tblLayout w:type="fixed"/>
          <w:tblCellMar>
            <w:left w:w="0" w:type="dxa"/>
            <w:right w:w="0" w:type="dxa"/>
          </w:tblCellMar>
          <w:tblLook w:val="01E0"/>
        </w:tblPrEx>
        <w:trPr>
          <w:trHeight w:val="278"/>
        </w:trPr>
        <w:tc>
          <w:tcPr>
            <w:tcW w:w="988" w:type="dxa"/>
            <w:tcBorders>
              <w:top w:val="single" w:sz="18" w:space="0" w:color="800000"/>
            </w:tcBorders>
          </w:tcPr>
          <w:p w:rsidR="003F5784" w14:paraId="1881F0ED" w14:textId="77777777">
            <w:pPr>
              <w:pStyle w:val="TableParagraph"/>
              <w:spacing w:before="9"/>
              <w:ind w:left="370"/>
              <w:jc w:val="left"/>
              <w:rPr>
                <w:b/>
                <w:sz w:val="21"/>
              </w:rPr>
            </w:pPr>
            <w:r>
              <w:rPr>
                <w:b/>
                <w:spacing w:val="-2"/>
                <w:sz w:val="21"/>
              </w:rPr>
              <w:t>Total</w:t>
            </w:r>
          </w:p>
        </w:tc>
        <w:tc>
          <w:tcPr>
            <w:tcW w:w="1880" w:type="dxa"/>
            <w:tcBorders>
              <w:top w:val="single" w:sz="18" w:space="0" w:color="800000"/>
            </w:tcBorders>
          </w:tcPr>
          <w:p w:rsidR="003F5784" w14:paraId="4C048279" w14:textId="77777777">
            <w:pPr>
              <w:pStyle w:val="TableParagraph"/>
              <w:spacing w:before="9"/>
              <w:ind w:right="131"/>
              <w:rPr>
                <w:b/>
                <w:sz w:val="21"/>
              </w:rPr>
            </w:pPr>
            <w:r>
              <w:rPr>
                <w:b/>
                <w:spacing w:val="-10"/>
                <w:sz w:val="21"/>
              </w:rPr>
              <w:t>†</w:t>
            </w:r>
          </w:p>
        </w:tc>
        <w:tc>
          <w:tcPr>
            <w:tcW w:w="1960" w:type="dxa"/>
            <w:tcBorders>
              <w:top w:val="single" w:sz="18" w:space="0" w:color="800000"/>
            </w:tcBorders>
          </w:tcPr>
          <w:p w:rsidR="003F5784" w14:paraId="640E35A5" w14:textId="77777777">
            <w:pPr>
              <w:pStyle w:val="TableParagraph"/>
              <w:spacing w:before="9"/>
              <w:ind w:right="184"/>
              <w:rPr>
                <w:b/>
                <w:sz w:val="21"/>
              </w:rPr>
            </w:pPr>
            <w:r>
              <w:rPr>
                <w:b/>
                <w:spacing w:val="-10"/>
                <w:sz w:val="21"/>
              </w:rPr>
              <w:t>†</w:t>
            </w:r>
          </w:p>
        </w:tc>
        <w:tc>
          <w:tcPr>
            <w:tcW w:w="3611" w:type="dxa"/>
            <w:tcBorders>
              <w:top w:val="single" w:sz="18" w:space="0" w:color="800000"/>
            </w:tcBorders>
          </w:tcPr>
          <w:p w:rsidR="003F5784" w14:paraId="102CE50B" w14:textId="77777777">
            <w:pPr>
              <w:pStyle w:val="TableParagraph"/>
              <w:spacing w:before="9"/>
              <w:ind w:right="125"/>
              <w:rPr>
                <w:b/>
                <w:sz w:val="21"/>
              </w:rPr>
            </w:pPr>
            <w:r>
              <w:rPr>
                <w:b/>
                <w:spacing w:val="-10"/>
                <w:sz w:val="21"/>
              </w:rPr>
              <w:t>†</w:t>
            </w:r>
          </w:p>
        </w:tc>
        <w:tc>
          <w:tcPr>
            <w:tcW w:w="3657" w:type="dxa"/>
            <w:tcBorders>
              <w:top w:val="single" w:sz="18" w:space="0" w:color="800000"/>
            </w:tcBorders>
          </w:tcPr>
          <w:p w:rsidR="003F5784" w14:paraId="255B9244" w14:textId="77777777">
            <w:pPr>
              <w:pStyle w:val="TableParagraph"/>
              <w:spacing w:before="9"/>
              <w:ind w:right="112"/>
              <w:rPr>
                <w:b/>
                <w:sz w:val="21"/>
              </w:rPr>
            </w:pPr>
            <w:r>
              <w:rPr>
                <w:b/>
                <w:spacing w:val="-10"/>
                <w:sz w:val="21"/>
              </w:rPr>
              <w:t>†</w:t>
            </w:r>
          </w:p>
        </w:tc>
        <w:tc>
          <w:tcPr>
            <w:tcW w:w="701" w:type="dxa"/>
            <w:tcBorders>
              <w:top w:val="single" w:sz="18" w:space="0" w:color="800000"/>
            </w:tcBorders>
          </w:tcPr>
          <w:p w:rsidR="003F5784" w14:paraId="4507082E" w14:textId="77777777">
            <w:pPr>
              <w:pStyle w:val="TableParagraph"/>
              <w:spacing w:before="9"/>
              <w:ind w:right="115"/>
              <w:rPr>
                <w:b/>
                <w:sz w:val="21"/>
              </w:rPr>
            </w:pPr>
            <w:r>
              <w:rPr>
                <w:b/>
                <w:spacing w:val="-5"/>
                <w:sz w:val="21"/>
              </w:rPr>
              <w:t>91</w:t>
            </w:r>
          </w:p>
        </w:tc>
        <w:tc>
          <w:tcPr>
            <w:tcW w:w="1183" w:type="dxa"/>
            <w:tcBorders>
              <w:top w:val="single" w:sz="18" w:space="0" w:color="800000"/>
            </w:tcBorders>
          </w:tcPr>
          <w:p w:rsidR="003F5784" w14:paraId="39D19F82" w14:textId="77777777">
            <w:pPr>
              <w:pStyle w:val="TableParagraph"/>
              <w:spacing w:before="9"/>
              <w:ind w:right="113"/>
              <w:rPr>
                <w:b/>
                <w:sz w:val="21"/>
              </w:rPr>
            </w:pPr>
            <w:r>
              <w:rPr>
                <w:b/>
                <w:spacing w:val="-2"/>
                <w:sz w:val="21"/>
              </w:rPr>
              <w:t>6,989,571</w:t>
            </w:r>
          </w:p>
        </w:tc>
      </w:tr>
      <w:tr w14:paraId="371B2234" w14:textId="77777777">
        <w:tblPrEx>
          <w:tblW w:w="0" w:type="auto"/>
          <w:tblInd w:w="482" w:type="dxa"/>
          <w:tblLayout w:type="fixed"/>
          <w:tblCellMar>
            <w:left w:w="0" w:type="dxa"/>
            <w:right w:w="0" w:type="dxa"/>
          </w:tblCellMar>
          <w:tblLook w:val="01E0"/>
        </w:tblPrEx>
        <w:trPr>
          <w:trHeight w:val="755"/>
        </w:trPr>
        <w:tc>
          <w:tcPr>
            <w:tcW w:w="988" w:type="dxa"/>
          </w:tcPr>
          <w:p w:rsidR="003F5784" w14:paraId="09BE88DD" w14:textId="77777777">
            <w:pPr>
              <w:pStyle w:val="TableParagraph"/>
              <w:ind w:left="120"/>
              <w:jc w:val="left"/>
              <w:rPr>
                <w:sz w:val="21"/>
              </w:rPr>
            </w:pPr>
            <w:r>
              <w:rPr>
                <w:spacing w:val="-10"/>
                <w:sz w:val="21"/>
              </w:rPr>
              <w:t>1</w:t>
            </w:r>
          </w:p>
        </w:tc>
        <w:tc>
          <w:tcPr>
            <w:tcW w:w="1880" w:type="dxa"/>
          </w:tcPr>
          <w:p w:rsidR="003F5784" w14:paraId="6D95314B" w14:textId="77777777">
            <w:pPr>
              <w:pStyle w:val="TableParagraph"/>
              <w:spacing w:before="23" w:line="232" w:lineRule="auto"/>
              <w:ind w:left="207" w:right="131" w:firstLine="397"/>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7"/>
                <w:sz w:val="21"/>
              </w:rPr>
              <w:t xml:space="preserve"> </w:t>
            </w:r>
            <w:r>
              <w:rPr>
                <w:sz w:val="21"/>
              </w:rPr>
              <w:t>&lt;=</w:t>
            </w:r>
            <w:r>
              <w:rPr>
                <w:spacing w:val="-7"/>
                <w:sz w:val="21"/>
              </w:rPr>
              <w:t xml:space="preserve"> </w:t>
            </w:r>
            <w:r>
              <w:rPr>
                <w:spacing w:val="-5"/>
                <w:sz w:val="21"/>
              </w:rPr>
              <w:t>9.6</w:t>
            </w:r>
          </w:p>
        </w:tc>
        <w:tc>
          <w:tcPr>
            <w:tcW w:w="1960" w:type="dxa"/>
          </w:tcPr>
          <w:p w:rsidR="003F5784" w14:paraId="0F90EE21" w14:textId="77777777">
            <w:pPr>
              <w:pStyle w:val="TableParagraph"/>
              <w:spacing w:before="23" w:line="232" w:lineRule="auto"/>
              <w:ind w:left="235" w:right="184" w:firstLine="397"/>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7"/>
                <w:sz w:val="21"/>
              </w:rPr>
              <w:t xml:space="preserve"> </w:t>
            </w:r>
            <w:r>
              <w:rPr>
                <w:sz w:val="21"/>
              </w:rPr>
              <w:t>&lt;=</w:t>
            </w:r>
            <w:r>
              <w:rPr>
                <w:spacing w:val="-7"/>
                <w:sz w:val="21"/>
              </w:rPr>
              <w:t xml:space="preserve"> </w:t>
            </w:r>
            <w:r>
              <w:rPr>
                <w:spacing w:val="-5"/>
                <w:sz w:val="21"/>
              </w:rPr>
              <w:t>8.4</w:t>
            </w:r>
          </w:p>
        </w:tc>
        <w:tc>
          <w:tcPr>
            <w:tcW w:w="3611" w:type="dxa"/>
          </w:tcPr>
          <w:p w:rsidR="003F5784" w14:paraId="460C2069" w14:textId="77777777">
            <w:pPr>
              <w:pStyle w:val="TableParagraph"/>
              <w:ind w:right="125"/>
              <w:rPr>
                <w:sz w:val="21"/>
              </w:rPr>
            </w:pPr>
            <w:r>
              <w:rPr>
                <w:spacing w:val="-10"/>
                <w:sz w:val="21"/>
              </w:rPr>
              <w:t>†</w:t>
            </w:r>
          </w:p>
        </w:tc>
        <w:tc>
          <w:tcPr>
            <w:tcW w:w="3657" w:type="dxa"/>
          </w:tcPr>
          <w:p w:rsidR="003F5784" w14:paraId="5A442D5E" w14:textId="77777777">
            <w:pPr>
              <w:pStyle w:val="TableParagraph"/>
              <w:ind w:right="112"/>
              <w:rPr>
                <w:sz w:val="21"/>
              </w:rPr>
            </w:pPr>
            <w:r>
              <w:rPr>
                <w:spacing w:val="-10"/>
                <w:sz w:val="21"/>
              </w:rPr>
              <w:t>†</w:t>
            </w:r>
          </w:p>
        </w:tc>
        <w:tc>
          <w:tcPr>
            <w:tcW w:w="701" w:type="dxa"/>
          </w:tcPr>
          <w:p w:rsidR="003F5784" w14:paraId="048D4518" w14:textId="77777777">
            <w:pPr>
              <w:pStyle w:val="TableParagraph"/>
              <w:ind w:right="115"/>
              <w:rPr>
                <w:sz w:val="21"/>
              </w:rPr>
            </w:pPr>
            <w:r>
              <w:rPr>
                <w:spacing w:val="-5"/>
                <w:sz w:val="21"/>
              </w:rPr>
              <w:t>14</w:t>
            </w:r>
          </w:p>
        </w:tc>
        <w:tc>
          <w:tcPr>
            <w:tcW w:w="1183" w:type="dxa"/>
          </w:tcPr>
          <w:p w:rsidR="003F5784" w14:paraId="3AA06A4F" w14:textId="77777777">
            <w:pPr>
              <w:pStyle w:val="TableParagraph"/>
              <w:ind w:right="113"/>
              <w:rPr>
                <w:sz w:val="21"/>
              </w:rPr>
            </w:pPr>
            <w:r>
              <w:rPr>
                <w:spacing w:val="-2"/>
                <w:sz w:val="21"/>
              </w:rPr>
              <w:t>613,052</w:t>
            </w:r>
          </w:p>
        </w:tc>
      </w:tr>
      <w:tr w14:paraId="033B0762" w14:textId="77777777">
        <w:tblPrEx>
          <w:tblW w:w="0" w:type="auto"/>
          <w:tblInd w:w="482" w:type="dxa"/>
          <w:tblLayout w:type="fixed"/>
          <w:tblCellMar>
            <w:left w:w="0" w:type="dxa"/>
            <w:right w:w="0" w:type="dxa"/>
          </w:tblCellMar>
          <w:tblLook w:val="01E0"/>
        </w:tblPrEx>
        <w:trPr>
          <w:trHeight w:val="755"/>
        </w:trPr>
        <w:tc>
          <w:tcPr>
            <w:tcW w:w="988" w:type="dxa"/>
          </w:tcPr>
          <w:p w:rsidR="003F5784" w14:paraId="26FC0600" w14:textId="77777777">
            <w:pPr>
              <w:pStyle w:val="TableParagraph"/>
              <w:ind w:left="120"/>
              <w:jc w:val="left"/>
              <w:rPr>
                <w:sz w:val="21"/>
              </w:rPr>
            </w:pPr>
            <w:r>
              <w:rPr>
                <w:spacing w:val="-10"/>
                <w:sz w:val="21"/>
              </w:rPr>
              <w:t>2</w:t>
            </w:r>
          </w:p>
        </w:tc>
        <w:tc>
          <w:tcPr>
            <w:tcW w:w="1880" w:type="dxa"/>
          </w:tcPr>
          <w:p w:rsidR="003F5784" w14:paraId="2D7EF110" w14:textId="77777777">
            <w:pPr>
              <w:pStyle w:val="TableParagraph"/>
              <w:spacing w:before="23" w:line="232" w:lineRule="auto"/>
              <w:ind w:left="207" w:right="131" w:firstLine="397"/>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7"/>
                <w:sz w:val="21"/>
              </w:rPr>
              <w:t xml:space="preserve"> </w:t>
            </w:r>
            <w:r>
              <w:rPr>
                <w:sz w:val="21"/>
              </w:rPr>
              <w:t>&lt;=</w:t>
            </w:r>
            <w:r>
              <w:rPr>
                <w:spacing w:val="-7"/>
                <w:sz w:val="21"/>
              </w:rPr>
              <w:t xml:space="preserve"> </w:t>
            </w:r>
            <w:r>
              <w:rPr>
                <w:spacing w:val="-5"/>
                <w:sz w:val="21"/>
              </w:rPr>
              <w:t>9.6</w:t>
            </w:r>
          </w:p>
        </w:tc>
        <w:tc>
          <w:tcPr>
            <w:tcW w:w="1960" w:type="dxa"/>
          </w:tcPr>
          <w:p w:rsidR="003F5784" w14:paraId="79F2BC17" w14:textId="77777777">
            <w:pPr>
              <w:pStyle w:val="TableParagraph"/>
              <w:spacing w:before="23" w:line="232" w:lineRule="auto"/>
              <w:ind w:left="352" w:right="184" w:firstLine="280"/>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7"/>
                <w:sz w:val="21"/>
              </w:rPr>
              <w:t xml:space="preserve"> </w:t>
            </w:r>
            <w:r>
              <w:rPr>
                <w:sz w:val="21"/>
              </w:rPr>
              <w:t>&gt;</w:t>
            </w:r>
            <w:r>
              <w:rPr>
                <w:spacing w:val="-6"/>
                <w:sz w:val="21"/>
              </w:rPr>
              <w:t xml:space="preserve"> </w:t>
            </w:r>
            <w:r>
              <w:rPr>
                <w:spacing w:val="-5"/>
                <w:sz w:val="21"/>
              </w:rPr>
              <w:t>8.4</w:t>
            </w:r>
          </w:p>
        </w:tc>
        <w:tc>
          <w:tcPr>
            <w:tcW w:w="3611" w:type="dxa"/>
          </w:tcPr>
          <w:p w:rsidR="003F5784" w14:paraId="7026B0EB" w14:textId="77777777">
            <w:pPr>
              <w:pStyle w:val="TableParagraph"/>
              <w:ind w:right="125"/>
              <w:rPr>
                <w:sz w:val="21"/>
              </w:rPr>
            </w:pPr>
            <w:r>
              <w:rPr>
                <w:spacing w:val="-10"/>
                <w:sz w:val="21"/>
              </w:rPr>
              <w:t>†</w:t>
            </w:r>
          </w:p>
        </w:tc>
        <w:tc>
          <w:tcPr>
            <w:tcW w:w="3657" w:type="dxa"/>
          </w:tcPr>
          <w:p w:rsidR="003F5784" w14:paraId="175E1D3C" w14:textId="77777777">
            <w:pPr>
              <w:pStyle w:val="TableParagraph"/>
              <w:ind w:right="112"/>
              <w:rPr>
                <w:sz w:val="21"/>
              </w:rPr>
            </w:pPr>
            <w:r>
              <w:rPr>
                <w:spacing w:val="-10"/>
                <w:sz w:val="21"/>
              </w:rPr>
              <w:t>†</w:t>
            </w:r>
          </w:p>
        </w:tc>
        <w:tc>
          <w:tcPr>
            <w:tcW w:w="701" w:type="dxa"/>
          </w:tcPr>
          <w:p w:rsidR="003F5784" w14:paraId="10945600" w14:textId="77777777">
            <w:pPr>
              <w:pStyle w:val="TableParagraph"/>
              <w:ind w:right="115"/>
              <w:rPr>
                <w:sz w:val="21"/>
              </w:rPr>
            </w:pPr>
            <w:r>
              <w:rPr>
                <w:spacing w:val="-5"/>
                <w:sz w:val="21"/>
              </w:rPr>
              <w:t>15</w:t>
            </w:r>
          </w:p>
        </w:tc>
        <w:tc>
          <w:tcPr>
            <w:tcW w:w="1183" w:type="dxa"/>
          </w:tcPr>
          <w:p w:rsidR="003F5784" w14:paraId="25B3F141" w14:textId="77777777">
            <w:pPr>
              <w:pStyle w:val="TableParagraph"/>
              <w:ind w:right="113"/>
              <w:rPr>
                <w:sz w:val="21"/>
              </w:rPr>
            </w:pPr>
            <w:r>
              <w:rPr>
                <w:spacing w:val="-2"/>
                <w:sz w:val="21"/>
              </w:rPr>
              <w:t>599,573</w:t>
            </w:r>
          </w:p>
        </w:tc>
      </w:tr>
      <w:tr w14:paraId="16CF15C1" w14:textId="77777777">
        <w:tblPrEx>
          <w:tblW w:w="0" w:type="auto"/>
          <w:tblInd w:w="482" w:type="dxa"/>
          <w:tblLayout w:type="fixed"/>
          <w:tblCellMar>
            <w:left w:w="0" w:type="dxa"/>
            <w:right w:w="0" w:type="dxa"/>
          </w:tblCellMar>
          <w:tblLook w:val="01E0"/>
        </w:tblPrEx>
        <w:trPr>
          <w:trHeight w:val="990"/>
        </w:trPr>
        <w:tc>
          <w:tcPr>
            <w:tcW w:w="988" w:type="dxa"/>
          </w:tcPr>
          <w:p w:rsidR="003F5784" w14:paraId="0A96F9FF" w14:textId="77777777">
            <w:pPr>
              <w:pStyle w:val="TableParagraph"/>
              <w:ind w:left="120"/>
              <w:jc w:val="left"/>
              <w:rPr>
                <w:sz w:val="21"/>
              </w:rPr>
            </w:pPr>
            <w:r>
              <w:rPr>
                <w:spacing w:val="-10"/>
                <w:sz w:val="21"/>
              </w:rPr>
              <w:t>3</w:t>
            </w:r>
          </w:p>
        </w:tc>
        <w:tc>
          <w:tcPr>
            <w:tcW w:w="1880" w:type="dxa"/>
          </w:tcPr>
          <w:p w:rsidR="003F5784" w14:paraId="5D015260" w14:textId="77777777">
            <w:pPr>
              <w:pStyle w:val="TableParagraph"/>
              <w:spacing w:before="23" w:line="232" w:lineRule="auto"/>
              <w:ind w:left="325" w:right="131" w:firstLine="280"/>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7"/>
                <w:sz w:val="21"/>
              </w:rPr>
              <w:t xml:space="preserve"> </w:t>
            </w:r>
            <w:r>
              <w:rPr>
                <w:sz w:val="21"/>
              </w:rPr>
              <w:t>&gt;</w:t>
            </w:r>
            <w:r>
              <w:rPr>
                <w:spacing w:val="-6"/>
                <w:sz w:val="21"/>
              </w:rPr>
              <w:t xml:space="preserve"> </w:t>
            </w:r>
            <w:r>
              <w:rPr>
                <w:spacing w:val="-5"/>
                <w:sz w:val="21"/>
              </w:rPr>
              <w:t>9.6</w:t>
            </w:r>
          </w:p>
        </w:tc>
        <w:tc>
          <w:tcPr>
            <w:tcW w:w="1960" w:type="dxa"/>
          </w:tcPr>
          <w:p w:rsidR="003F5784" w14:paraId="16C21A30" w14:textId="77777777">
            <w:pPr>
              <w:pStyle w:val="TableParagraph"/>
              <w:spacing w:before="23" w:line="232" w:lineRule="auto"/>
              <w:ind w:left="501" w:right="177" w:firstLine="131"/>
              <w:jc w:val="left"/>
              <w:rPr>
                <w:sz w:val="21"/>
              </w:rPr>
            </w:pPr>
            <w:r>
              <w:rPr>
                <w:spacing w:val="-2"/>
                <w:sz w:val="21"/>
              </w:rPr>
              <w:t>Percentage</w:t>
            </w:r>
            <w:r>
              <w:rPr>
                <w:spacing w:val="-12"/>
                <w:sz w:val="21"/>
              </w:rPr>
              <w:t xml:space="preserve"> </w:t>
            </w:r>
            <w:r>
              <w:rPr>
                <w:spacing w:val="-2"/>
                <w:sz w:val="21"/>
              </w:rPr>
              <w:t xml:space="preserve">of </w:t>
            </w:r>
            <w:r>
              <w:rPr>
                <w:sz w:val="21"/>
              </w:rPr>
              <w:t>renters</w:t>
            </w:r>
            <w:r>
              <w:rPr>
                <w:spacing w:val="-6"/>
                <w:sz w:val="21"/>
              </w:rPr>
              <w:t xml:space="preserve"> </w:t>
            </w:r>
            <w:r>
              <w:rPr>
                <w:sz w:val="21"/>
              </w:rPr>
              <w:t>&lt;=</w:t>
            </w:r>
            <w:r>
              <w:rPr>
                <w:spacing w:val="-5"/>
                <w:sz w:val="21"/>
              </w:rPr>
              <w:t xml:space="preserve"> </w:t>
            </w:r>
            <w:r>
              <w:rPr>
                <w:spacing w:val="-4"/>
                <w:sz w:val="21"/>
              </w:rPr>
              <w:t>30.6</w:t>
            </w:r>
          </w:p>
        </w:tc>
        <w:tc>
          <w:tcPr>
            <w:tcW w:w="3611" w:type="dxa"/>
          </w:tcPr>
          <w:p w:rsidR="003F5784" w14:paraId="2F736E84" w14:textId="77777777">
            <w:pPr>
              <w:pStyle w:val="TableParagraph"/>
              <w:spacing w:before="23" w:line="232" w:lineRule="auto"/>
              <w:ind w:left="188" w:right="125" w:firstLine="717"/>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 American Indian/Alaska Native, or Native</w:t>
            </w:r>
            <w:r>
              <w:rPr>
                <w:spacing w:val="-10"/>
                <w:sz w:val="21"/>
              </w:rPr>
              <w:t xml:space="preserve"> </w:t>
            </w:r>
            <w:r>
              <w:rPr>
                <w:sz w:val="21"/>
              </w:rPr>
              <w:t>Hawaiian/Other</w:t>
            </w:r>
            <w:r>
              <w:rPr>
                <w:spacing w:val="-9"/>
                <w:sz w:val="21"/>
              </w:rPr>
              <w:t xml:space="preserve"> </w:t>
            </w:r>
            <w:r>
              <w:rPr>
                <w:sz w:val="21"/>
              </w:rPr>
              <w:t>Pacific</w:t>
            </w:r>
            <w:r>
              <w:rPr>
                <w:spacing w:val="-9"/>
                <w:sz w:val="21"/>
              </w:rPr>
              <w:t xml:space="preserve"> </w:t>
            </w:r>
            <w:r>
              <w:rPr>
                <w:spacing w:val="-2"/>
                <w:sz w:val="21"/>
              </w:rPr>
              <w:t>Islander</w:t>
            </w:r>
          </w:p>
          <w:p w:rsidR="003F5784" w14:paraId="7A6397F0" w14:textId="77777777">
            <w:pPr>
              <w:pStyle w:val="TableParagraph"/>
              <w:spacing w:before="0" w:line="237" w:lineRule="exact"/>
              <w:ind w:right="125"/>
              <w:rPr>
                <w:sz w:val="21"/>
              </w:rPr>
            </w:pPr>
            <w:r>
              <w:rPr>
                <w:sz w:val="21"/>
              </w:rPr>
              <w:t>youth</w:t>
            </w:r>
            <w:r>
              <w:rPr>
                <w:spacing w:val="-5"/>
                <w:sz w:val="21"/>
              </w:rPr>
              <w:t xml:space="preserve"> </w:t>
            </w:r>
            <w:r>
              <w:rPr>
                <w:sz w:val="21"/>
              </w:rPr>
              <w:t>&lt;=</w:t>
            </w:r>
            <w:r>
              <w:rPr>
                <w:spacing w:val="-5"/>
                <w:sz w:val="21"/>
              </w:rPr>
              <w:t xml:space="preserve"> </w:t>
            </w:r>
            <w:r>
              <w:rPr>
                <w:spacing w:val="-4"/>
                <w:sz w:val="21"/>
              </w:rPr>
              <w:t>14.2</w:t>
            </w:r>
          </w:p>
        </w:tc>
        <w:tc>
          <w:tcPr>
            <w:tcW w:w="3657" w:type="dxa"/>
          </w:tcPr>
          <w:p w:rsidR="003F5784" w14:paraId="59C8D828" w14:textId="77777777">
            <w:pPr>
              <w:pStyle w:val="TableParagraph"/>
              <w:spacing w:before="23" w:line="232" w:lineRule="auto"/>
              <w:ind w:left="247" w:right="112" w:firstLine="717"/>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 American Indian/Alaska Native, or Native</w:t>
            </w:r>
            <w:r>
              <w:rPr>
                <w:spacing w:val="-10"/>
                <w:sz w:val="21"/>
              </w:rPr>
              <w:t xml:space="preserve"> </w:t>
            </w:r>
            <w:r>
              <w:rPr>
                <w:sz w:val="21"/>
              </w:rPr>
              <w:t>Hawaiian/Other</w:t>
            </w:r>
            <w:r>
              <w:rPr>
                <w:spacing w:val="-9"/>
                <w:sz w:val="21"/>
              </w:rPr>
              <w:t xml:space="preserve"> </w:t>
            </w:r>
            <w:r>
              <w:rPr>
                <w:sz w:val="21"/>
              </w:rPr>
              <w:t>Pacific</w:t>
            </w:r>
            <w:r>
              <w:rPr>
                <w:spacing w:val="-9"/>
                <w:sz w:val="21"/>
              </w:rPr>
              <w:t xml:space="preserve"> </w:t>
            </w:r>
            <w:r>
              <w:rPr>
                <w:spacing w:val="-2"/>
                <w:sz w:val="21"/>
              </w:rPr>
              <w:t>Islander</w:t>
            </w:r>
          </w:p>
          <w:p w:rsidR="003F5784" w14:paraId="09196E0C" w14:textId="77777777">
            <w:pPr>
              <w:pStyle w:val="TableParagraph"/>
              <w:spacing w:before="0" w:line="237" w:lineRule="exact"/>
              <w:ind w:right="112"/>
              <w:rPr>
                <w:sz w:val="21"/>
              </w:rPr>
            </w:pPr>
            <w:r>
              <w:rPr>
                <w:sz w:val="21"/>
              </w:rPr>
              <w:t>youth</w:t>
            </w:r>
            <w:r>
              <w:rPr>
                <w:spacing w:val="-5"/>
                <w:sz w:val="21"/>
              </w:rPr>
              <w:t xml:space="preserve"> </w:t>
            </w:r>
            <w:r>
              <w:rPr>
                <w:sz w:val="21"/>
              </w:rPr>
              <w:t>&lt;=</w:t>
            </w:r>
            <w:r>
              <w:rPr>
                <w:spacing w:val="-5"/>
                <w:sz w:val="21"/>
              </w:rPr>
              <w:t xml:space="preserve"> </w:t>
            </w:r>
            <w:r>
              <w:rPr>
                <w:spacing w:val="-4"/>
                <w:sz w:val="21"/>
              </w:rPr>
              <w:t>10.1</w:t>
            </w:r>
          </w:p>
        </w:tc>
        <w:tc>
          <w:tcPr>
            <w:tcW w:w="701" w:type="dxa"/>
          </w:tcPr>
          <w:p w:rsidR="003F5784" w14:paraId="2F9F6AF9" w14:textId="77777777">
            <w:pPr>
              <w:pStyle w:val="TableParagraph"/>
              <w:ind w:right="115"/>
              <w:rPr>
                <w:sz w:val="21"/>
              </w:rPr>
            </w:pPr>
            <w:r>
              <w:rPr>
                <w:spacing w:val="-5"/>
                <w:sz w:val="21"/>
              </w:rPr>
              <w:t>14</w:t>
            </w:r>
          </w:p>
        </w:tc>
        <w:tc>
          <w:tcPr>
            <w:tcW w:w="1183" w:type="dxa"/>
          </w:tcPr>
          <w:p w:rsidR="003F5784" w14:paraId="11D7972B" w14:textId="77777777">
            <w:pPr>
              <w:pStyle w:val="TableParagraph"/>
              <w:ind w:right="113"/>
              <w:rPr>
                <w:sz w:val="21"/>
              </w:rPr>
            </w:pPr>
            <w:r>
              <w:rPr>
                <w:spacing w:val="-2"/>
                <w:sz w:val="21"/>
              </w:rPr>
              <w:t>548,336</w:t>
            </w:r>
          </w:p>
        </w:tc>
      </w:tr>
      <w:tr w14:paraId="6BCA2E85" w14:textId="77777777">
        <w:tblPrEx>
          <w:tblW w:w="0" w:type="auto"/>
          <w:tblInd w:w="482" w:type="dxa"/>
          <w:tblLayout w:type="fixed"/>
          <w:tblCellMar>
            <w:left w:w="0" w:type="dxa"/>
            <w:right w:w="0" w:type="dxa"/>
          </w:tblCellMar>
          <w:tblLook w:val="01E0"/>
        </w:tblPrEx>
        <w:trPr>
          <w:trHeight w:val="990"/>
        </w:trPr>
        <w:tc>
          <w:tcPr>
            <w:tcW w:w="988" w:type="dxa"/>
          </w:tcPr>
          <w:p w:rsidR="003F5784" w14:paraId="21824B62" w14:textId="77777777">
            <w:pPr>
              <w:pStyle w:val="TableParagraph"/>
              <w:ind w:left="120"/>
              <w:jc w:val="left"/>
              <w:rPr>
                <w:sz w:val="21"/>
              </w:rPr>
            </w:pPr>
            <w:r>
              <w:rPr>
                <w:spacing w:val="-10"/>
                <w:sz w:val="21"/>
              </w:rPr>
              <w:t>4</w:t>
            </w:r>
          </w:p>
        </w:tc>
        <w:tc>
          <w:tcPr>
            <w:tcW w:w="1880" w:type="dxa"/>
          </w:tcPr>
          <w:p w:rsidR="003F5784" w14:paraId="1E929FE8" w14:textId="77777777">
            <w:pPr>
              <w:pStyle w:val="TableParagraph"/>
              <w:spacing w:before="23" w:line="232" w:lineRule="auto"/>
              <w:ind w:left="325" w:right="131" w:firstLine="280"/>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7"/>
                <w:sz w:val="21"/>
              </w:rPr>
              <w:t xml:space="preserve"> </w:t>
            </w:r>
            <w:r>
              <w:rPr>
                <w:sz w:val="21"/>
              </w:rPr>
              <w:t>&gt;</w:t>
            </w:r>
            <w:r>
              <w:rPr>
                <w:spacing w:val="-6"/>
                <w:sz w:val="21"/>
              </w:rPr>
              <w:t xml:space="preserve"> </w:t>
            </w:r>
            <w:r>
              <w:rPr>
                <w:spacing w:val="-5"/>
                <w:sz w:val="21"/>
              </w:rPr>
              <w:t>9.6</w:t>
            </w:r>
          </w:p>
        </w:tc>
        <w:tc>
          <w:tcPr>
            <w:tcW w:w="1960" w:type="dxa"/>
          </w:tcPr>
          <w:p w:rsidR="003F5784" w14:paraId="7A0D4EAF" w14:textId="77777777">
            <w:pPr>
              <w:pStyle w:val="TableParagraph"/>
              <w:spacing w:before="23" w:line="232" w:lineRule="auto"/>
              <w:ind w:left="501" w:right="177" w:firstLine="131"/>
              <w:jc w:val="left"/>
              <w:rPr>
                <w:sz w:val="21"/>
              </w:rPr>
            </w:pPr>
            <w:r>
              <w:rPr>
                <w:spacing w:val="-2"/>
                <w:sz w:val="21"/>
              </w:rPr>
              <w:t>Percentage</w:t>
            </w:r>
            <w:r>
              <w:rPr>
                <w:spacing w:val="-12"/>
                <w:sz w:val="21"/>
              </w:rPr>
              <w:t xml:space="preserve"> </w:t>
            </w:r>
            <w:r>
              <w:rPr>
                <w:spacing w:val="-2"/>
                <w:sz w:val="21"/>
              </w:rPr>
              <w:t xml:space="preserve">of </w:t>
            </w:r>
            <w:r>
              <w:rPr>
                <w:sz w:val="21"/>
              </w:rPr>
              <w:t>renters</w:t>
            </w:r>
            <w:r>
              <w:rPr>
                <w:spacing w:val="-6"/>
                <w:sz w:val="21"/>
              </w:rPr>
              <w:t xml:space="preserve"> </w:t>
            </w:r>
            <w:r>
              <w:rPr>
                <w:sz w:val="21"/>
              </w:rPr>
              <w:t>&lt;=</w:t>
            </w:r>
            <w:r>
              <w:rPr>
                <w:spacing w:val="-5"/>
                <w:sz w:val="21"/>
              </w:rPr>
              <w:t xml:space="preserve"> </w:t>
            </w:r>
            <w:r>
              <w:rPr>
                <w:spacing w:val="-4"/>
                <w:sz w:val="21"/>
              </w:rPr>
              <w:t>30.6</w:t>
            </w:r>
          </w:p>
        </w:tc>
        <w:tc>
          <w:tcPr>
            <w:tcW w:w="3611" w:type="dxa"/>
          </w:tcPr>
          <w:p w:rsidR="003F5784" w14:paraId="6B9093BF" w14:textId="77777777">
            <w:pPr>
              <w:pStyle w:val="TableParagraph"/>
              <w:spacing w:before="23" w:line="232" w:lineRule="auto"/>
              <w:ind w:left="188" w:right="125" w:firstLine="717"/>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 American Indian/Alaska Native, or Native</w:t>
            </w:r>
            <w:r>
              <w:rPr>
                <w:spacing w:val="-10"/>
                <w:sz w:val="21"/>
              </w:rPr>
              <w:t xml:space="preserve"> </w:t>
            </w:r>
            <w:r>
              <w:rPr>
                <w:sz w:val="21"/>
              </w:rPr>
              <w:t>Hawaiian/Other</w:t>
            </w:r>
            <w:r>
              <w:rPr>
                <w:spacing w:val="-9"/>
                <w:sz w:val="21"/>
              </w:rPr>
              <w:t xml:space="preserve"> </w:t>
            </w:r>
            <w:r>
              <w:rPr>
                <w:sz w:val="21"/>
              </w:rPr>
              <w:t>Pacific</w:t>
            </w:r>
            <w:r>
              <w:rPr>
                <w:spacing w:val="-9"/>
                <w:sz w:val="21"/>
              </w:rPr>
              <w:t xml:space="preserve"> </w:t>
            </w:r>
            <w:r>
              <w:rPr>
                <w:spacing w:val="-2"/>
                <w:sz w:val="21"/>
              </w:rPr>
              <w:t>Islander</w:t>
            </w:r>
          </w:p>
          <w:p w:rsidR="003F5784" w14:paraId="2480F01D" w14:textId="77777777">
            <w:pPr>
              <w:pStyle w:val="TableParagraph"/>
              <w:spacing w:before="0" w:line="237" w:lineRule="exact"/>
              <w:ind w:right="125"/>
              <w:rPr>
                <w:sz w:val="21"/>
              </w:rPr>
            </w:pPr>
            <w:r>
              <w:rPr>
                <w:sz w:val="21"/>
              </w:rPr>
              <w:t>youth</w:t>
            </w:r>
            <w:r>
              <w:rPr>
                <w:spacing w:val="-5"/>
                <w:sz w:val="21"/>
              </w:rPr>
              <w:t xml:space="preserve"> </w:t>
            </w:r>
            <w:r>
              <w:rPr>
                <w:sz w:val="21"/>
              </w:rPr>
              <w:t>&lt;=</w:t>
            </w:r>
            <w:r>
              <w:rPr>
                <w:spacing w:val="-5"/>
                <w:sz w:val="21"/>
              </w:rPr>
              <w:t xml:space="preserve"> </w:t>
            </w:r>
            <w:r>
              <w:rPr>
                <w:spacing w:val="-4"/>
                <w:sz w:val="21"/>
              </w:rPr>
              <w:t>14.2</w:t>
            </w:r>
          </w:p>
        </w:tc>
        <w:tc>
          <w:tcPr>
            <w:tcW w:w="3657" w:type="dxa"/>
          </w:tcPr>
          <w:p w:rsidR="003F5784" w14:paraId="01884767" w14:textId="77777777">
            <w:pPr>
              <w:pStyle w:val="TableParagraph"/>
              <w:spacing w:before="23" w:line="232" w:lineRule="auto"/>
              <w:ind w:left="247" w:right="112" w:firstLine="717"/>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 American Indian/Alaska Native, or Native</w:t>
            </w:r>
            <w:r>
              <w:rPr>
                <w:spacing w:val="-10"/>
                <w:sz w:val="21"/>
              </w:rPr>
              <w:t xml:space="preserve"> </w:t>
            </w:r>
            <w:r>
              <w:rPr>
                <w:sz w:val="21"/>
              </w:rPr>
              <w:t>Hawaiian/Other</w:t>
            </w:r>
            <w:r>
              <w:rPr>
                <w:spacing w:val="-9"/>
                <w:sz w:val="21"/>
              </w:rPr>
              <w:t xml:space="preserve"> </w:t>
            </w:r>
            <w:r>
              <w:rPr>
                <w:sz w:val="21"/>
              </w:rPr>
              <w:t>Pacific</w:t>
            </w:r>
            <w:r>
              <w:rPr>
                <w:spacing w:val="-9"/>
                <w:sz w:val="21"/>
              </w:rPr>
              <w:t xml:space="preserve"> </w:t>
            </w:r>
            <w:r>
              <w:rPr>
                <w:spacing w:val="-2"/>
                <w:sz w:val="21"/>
              </w:rPr>
              <w:t>Islander</w:t>
            </w:r>
          </w:p>
          <w:p w:rsidR="003F5784" w14:paraId="6427FD1A" w14:textId="77777777">
            <w:pPr>
              <w:pStyle w:val="TableParagraph"/>
              <w:spacing w:before="0" w:line="237" w:lineRule="exact"/>
              <w:ind w:right="112"/>
              <w:rPr>
                <w:sz w:val="21"/>
              </w:rPr>
            </w:pPr>
            <w:r>
              <w:rPr>
                <w:sz w:val="21"/>
              </w:rPr>
              <w:t>youth</w:t>
            </w:r>
            <w:r>
              <w:rPr>
                <w:spacing w:val="-4"/>
                <w:sz w:val="21"/>
              </w:rPr>
              <w:t xml:space="preserve"> </w:t>
            </w:r>
            <w:r>
              <w:rPr>
                <w:sz w:val="21"/>
              </w:rPr>
              <w:t>&gt;</w:t>
            </w:r>
            <w:r>
              <w:rPr>
                <w:spacing w:val="-4"/>
                <w:sz w:val="21"/>
              </w:rPr>
              <w:t xml:space="preserve"> 10.1</w:t>
            </w:r>
          </w:p>
        </w:tc>
        <w:tc>
          <w:tcPr>
            <w:tcW w:w="701" w:type="dxa"/>
          </w:tcPr>
          <w:p w:rsidR="003F5784" w14:paraId="6D25C19C" w14:textId="77777777">
            <w:pPr>
              <w:pStyle w:val="TableParagraph"/>
              <w:ind w:right="115"/>
              <w:rPr>
                <w:sz w:val="21"/>
              </w:rPr>
            </w:pPr>
            <w:r>
              <w:rPr>
                <w:spacing w:val="-5"/>
                <w:sz w:val="21"/>
              </w:rPr>
              <w:t>10</w:t>
            </w:r>
          </w:p>
        </w:tc>
        <w:tc>
          <w:tcPr>
            <w:tcW w:w="1183" w:type="dxa"/>
          </w:tcPr>
          <w:p w:rsidR="003F5784" w14:paraId="5C8169F1" w14:textId="77777777">
            <w:pPr>
              <w:pStyle w:val="TableParagraph"/>
              <w:ind w:right="113"/>
              <w:rPr>
                <w:sz w:val="21"/>
              </w:rPr>
            </w:pPr>
            <w:r>
              <w:rPr>
                <w:spacing w:val="-2"/>
                <w:sz w:val="21"/>
              </w:rPr>
              <w:t>567,571</w:t>
            </w:r>
          </w:p>
        </w:tc>
      </w:tr>
      <w:tr w14:paraId="5165FF56" w14:textId="77777777">
        <w:tblPrEx>
          <w:tblW w:w="0" w:type="auto"/>
          <w:tblInd w:w="482" w:type="dxa"/>
          <w:tblLayout w:type="fixed"/>
          <w:tblCellMar>
            <w:left w:w="0" w:type="dxa"/>
            <w:right w:w="0" w:type="dxa"/>
          </w:tblCellMar>
          <w:tblLook w:val="01E0"/>
        </w:tblPrEx>
        <w:trPr>
          <w:trHeight w:val="990"/>
        </w:trPr>
        <w:tc>
          <w:tcPr>
            <w:tcW w:w="988" w:type="dxa"/>
          </w:tcPr>
          <w:p w:rsidR="003F5784" w14:paraId="46679AB4" w14:textId="77777777">
            <w:pPr>
              <w:pStyle w:val="TableParagraph"/>
              <w:ind w:left="120"/>
              <w:jc w:val="left"/>
              <w:rPr>
                <w:sz w:val="21"/>
              </w:rPr>
            </w:pPr>
            <w:r>
              <w:rPr>
                <w:spacing w:val="-10"/>
                <w:sz w:val="21"/>
              </w:rPr>
              <w:t>5</w:t>
            </w:r>
          </w:p>
        </w:tc>
        <w:tc>
          <w:tcPr>
            <w:tcW w:w="1880" w:type="dxa"/>
          </w:tcPr>
          <w:p w:rsidR="003F5784" w14:paraId="0FA6C4EF" w14:textId="77777777">
            <w:pPr>
              <w:pStyle w:val="TableParagraph"/>
              <w:spacing w:before="23" w:line="232" w:lineRule="auto"/>
              <w:ind w:left="325" w:right="131" w:firstLine="280"/>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7"/>
                <w:sz w:val="21"/>
              </w:rPr>
              <w:t xml:space="preserve"> </w:t>
            </w:r>
            <w:r>
              <w:rPr>
                <w:sz w:val="21"/>
              </w:rPr>
              <w:t>&gt;</w:t>
            </w:r>
            <w:r>
              <w:rPr>
                <w:spacing w:val="-6"/>
                <w:sz w:val="21"/>
              </w:rPr>
              <w:t xml:space="preserve"> </w:t>
            </w:r>
            <w:r>
              <w:rPr>
                <w:spacing w:val="-5"/>
                <w:sz w:val="21"/>
              </w:rPr>
              <w:t>9.6</w:t>
            </w:r>
          </w:p>
        </w:tc>
        <w:tc>
          <w:tcPr>
            <w:tcW w:w="1960" w:type="dxa"/>
          </w:tcPr>
          <w:p w:rsidR="003F5784" w14:paraId="0BDDBAA0" w14:textId="77777777">
            <w:pPr>
              <w:pStyle w:val="TableParagraph"/>
              <w:spacing w:before="23" w:line="232" w:lineRule="auto"/>
              <w:ind w:left="501" w:right="177" w:firstLine="131"/>
              <w:jc w:val="left"/>
              <w:rPr>
                <w:sz w:val="21"/>
              </w:rPr>
            </w:pPr>
            <w:r>
              <w:rPr>
                <w:spacing w:val="-2"/>
                <w:sz w:val="21"/>
              </w:rPr>
              <w:t>Percentage</w:t>
            </w:r>
            <w:r>
              <w:rPr>
                <w:spacing w:val="-12"/>
                <w:sz w:val="21"/>
              </w:rPr>
              <w:t xml:space="preserve"> </w:t>
            </w:r>
            <w:r>
              <w:rPr>
                <w:spacing w:val="-2"/>
                <w:sz w:val="21"/>
              </w:rPr>
              <w:t xml:space="preserve">of </w:t>
            </w:r>
            <w:r>
              <w:rPr>
                <w:sz w:val="21"/>
              </w:rPr>
              <w:t>renters</w:t>
            </w:r>
            <w:r>
              <w:rPr>
                <w:spacing w:val="-6"/>
                <w:sz w:val="21"/>
              </w:rPr>
              <w:t xml:space="preserve"> </w:t>
            </w:r>
            <w:r>
              <w:rPr>
                <w:sz w:val="21"/>
              </w:rPr>
              <w:t>&lt;=</w:t>
            </w:r>
            <w:r>
              <w:rPr>
                <w:spacing w:val="-5"/>
                <w:sz w:val="21"/>
              </w:rPr>
              <w:t xml:space="preserve"> </w:t>
            </w:r>
            <w:r>
              <w:rPr>
                <w:spacing w:val="-4"/>
                <w:sz w:val="21"/>
              </w:rPr>
              <w:t>30.6</w:t>
            </w:r>
          </w:p>
        </w:tc>
        <w:tc>
          <w:tcPr>
            <w:tcW w:w="3611" w:type="dxa"/>
          </w:tcPr>
          <w:p w:rsidR="003F5784" w14:paraId="544D4FA2" w14:textId="77777777">
            <w:pPr>
              <w:pStyle w:val="TableParagraph"/>
              <w:spacing w:before="23" w:line="232" w:lineRule="auto"/>
              <w:ind w:left="188" w:right="125" w:firstLine="717"/>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 American Indian/Alaska Native, or Native</w:t>
            </w:r>
            <w:r>
              <w:rPr>
                <w:spacing w:val="-10"/>
                <w:sz w:val="21"/>
              </w:rPr>
              <w:t xml:space="preserve"> </w:t>
            </w:r>
            <w:r>
              <w:rPr>
                <w:sz w:val="21"/>
              </w:rPr>
              <w:t>Hawaiian/Other</w:t>
            </w:r>
            <w:r>
              <w:rPr>
                <w:spacing w:val="-9"/>
                <w:sz w:val="21"/>
              </w:rPr>
              <w:t xml:space="preserve"> </w:t>
            </w:r>
            <w:r>
              <w:rPr>
                <w:sz w:val="21"/>
              </w:rPr>
              <w:t>Pacific</w:t>
            </w:r>
            <w:r>
              <w:rPr>
                <w:spacing w:val="-9"/>
                <w:sz w:val="21"/>
              </w:rPr>
              <w:t xml:space="preserve"> </w:t>
            </w:r>
            <w:r>
              <w:rPr>
                <w:spacing w:val="-2"/>
                <w:sz w:val="21"/>
              </w:rPr>
              <w:t>Islander</w:t>
            </w:r>
          </w:p>
          <w:p w:rsidR="003F5784" w14:paraId="34F4ECF1" w14:textId="77777777">
            <w:pPr>
              <w:pStyle w:val="TableParagraph"/>
              <w:spacing w:before="0" w:line="237" w:lineRule="exact"/>
              <w:ind w:right="125"/>
              <w:rPr>
                <w:sz w:val="21"/>
              </w:rPr>
            </w:pPr>
            <w:r>
              <w:rPr>
                <w:sz w:val="21"/>
              </w:rPr>
              <w:t>youth</w:t>
            </w:r>
            <w:r>
              <w:rPr>
                <w:spacing w:val="-4"/>
                <w:sz w:val="21"/>
              </w:rPr>
              <w:t xml:space="preserve"> </w:t>
            </w:r>
            <w:r>
              <w:rPr>
                <w:sz w:val="21"/>
              </w:rPr>
              <w:t>&gt;</w:t>
            </w:r>
            <w:r>
              <w:rPr>
                <w:spacing w:val="-4"/>
                <w:sz w:val="21"/>
              </w:rPr>
              <w:t xml:space="preserve"> 14.2</w:t>
            </w:r>
          </w:p>
        </w:tc>
        <w:tc>
          <w:tcPr>
            <w:tcW w:w="3657" w:type="dxa"/>
          </w:tcPr>
          <w:p w:rsidR="003F5784" w14:paraId="3332B364" w14:textId="77777777">
            <w:pPr>
              <w:pStyle w:val="TableParagraph"/>
              <w:spacing w:before="23" w:line="232" w:lineRule="auto"/>
              <w:ind w:left="247" w:right="112" w:firstLine="717"/>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 American Indian/Alaska Native, or Native</w:t>
            </w:r>
            <w:r>
              <w:rPr>
                <w:spacing w:val="-10"/>
                <w:sz w:val="21"/>
              </w:rPr>
              <w:t xml:space="preserve"> </w:t>
            </w:r>
            <w:r>
              <w:rPr>
                <w:sz w:val="21"/>
              </w:rPr>
              <w:t>Hawaiian/Other</w:t>
            </w:r>
            <w:r>
              <w:rPr>
                <w:spacing w:val="-9"/>
                <w:sz w:val="21"/>
              </w:rPr>
              <w:t xml:space="preserve"> </w:t>
            </w:r>
            <w:r>
              <w:rPr>
                <w:sz w:val="21"/>
              </w:rPr>
              <w:t>Pacific</w:t>
            </w:r>
            <w:r>
              <w:rPr>
                <w:spacing w:val="-9"/>
                <w:sz w:val="21"/>
              </w:rPr>
              <w:t xml:space="preserve"> </w:t>
            </w:r>
            <w:r>
              <w:rPr>
                <w:spacing w:val="-2"/>
                <w:sz w:val="21"/>
              </w:rPr>
              <w:t>Islander</w:t>
            </w:r>
          </w:p>
          <w:p w:rsidR="003F5784" w14:paraId="3B18D500" w14:textId="77777777">
            <w:pPr>
              <w:pStyle w:val="TableParagraph"/>
              <w:spacing w:before="0" w:line="237" w:lineRule="exact"/>
              <w:ind w:right="112"/>
              <w:rPr>
                <w:sz w:val="21"/>
              </w:rPr>
            </w:pPr>
            <w:r>
              <w:rPr>
                <w:sz w:val="21"/>
              </w:rPr>
              <w:t>youth</w:t>
            </w:r>
            <w:r>
              <w:rPr>
                <w:spacing w:val="-5"/>
                <w:sz w:val="21"/>
              </w:rPr>
              <w:t xml:space="preserve"> </w:t>
            </w:r>
            <w:r>
              <w:rPr>
                <w:sz w:val="21"/>
              </w:rPr>
              <w:t>&lt;=</w:t>
            </w:r>
            <w:r>
              <w:rPr>
                <w:spacing w:val="-5"/>
                <w:sz w:val="21"/>
              </w:rPr>
              <w:t xml:space="preserve"> </w:t>
            </w:r>
            <w:r>
              <w:rPr>
                <w:spacing w:val="-4"/>
                <w:sz w:val="21"/>
              </w:rPr>
              <w:t>17.6</w:t>
            </w:r>
          </w:p>
        </w:tc>
        <w:tc>
          <w:tcPr>
            <w:tcW w:w="701" w:type="dxa"/>
          </w:tcPr>
          <w:p w:rsidR="003F5784" w14:paraId="42B03A64" w14:textId="77777777">
            <w:pPr>
              <w:pStyle w:val="TableParagraph"/>
              <w:ind w:right="115"/>
              <w:rPr>
                <w:sz w:val="21"/>
              </w:rPr>
            </w:pPr>
            <w:r>
              <w:rPr>
                <w:spacing w:val="-10"/>
                <w:sz w:val="21"/>
              </w:rPr>
              <w:t>8</w:t>
            </w:r>
          </w:p>
        </w:tc>
        <w:tc>
          <w:tcPr>
            <w:tcW w:w="1183" w:type="dxa"/>
          </w:tcPr>
          <w:p w:rsidR="003F5784" w14:paraId="7DBCDC8D" w14:textId="77777777">
            <w:pPr>
              <w:pStyle w:val="TableParagraph"/>
              <w:ind w:right="113"/>
              <w:rPr>
                <w:sz w:val="21"/>
              </w:rPr>
            </w:pPr>
            <w:r>
              <w:rPr>
                <w:spacing w:val="-2"/>
                <w:sz w:val="21"/>
              </w:rPr>
              <w:t>548,156</w:t>
            </w:r>
          </w:p>
        </w:tc>
      </w:tr>
      <w:tr w14:paraId="5C1BB2F0" w14:textId="77777777">
        <w:tblPrEx>
          <w:tblW w:w="0" w:type="auto"/>
          <w:tblInd w:w="482" w:type="dxa"/>
          <w:tblLayout w:type="fixed"/>
          <w:tblCellMar>
            <w:left w:w="0" w:type="dxa"/>
            <w:right w:w="0" w:type="dxa"/>
          </w:tblCellMar>
          <w:tblLook w:val="01E0"/>
        </w:tblPrEx>
        <w:trPr>
          <w:trHeight w:val="990"/>
        </w:trPr>
        <w:tc>
          <w:tcPr>
            <w:tcW w:w="988" w:type="dxa"/>
          </w:tcPr>
          <w:p w:rsidR="003F5784" w14:paraId="510178A8" w14:textId="77777777">
            <w:pPr>
              <w:pStyle w:val="TableParagraph"/>
              <w:ind w:left="120"/>
              <w:jc w:val="left"/>
              <w:rPr>
                <w:sz w:val="21"/>
              </w:rPr>
            </w:pPr>
            <w:r>
              <w:rPr>
                <w:spacing w:val="-10"/>
                <w:sz w:val="21"/>
              </w:rPr>
              <w:t>6</w:t>
            </w:r>
          </w:p>
        </w:tc>
        <w:tc>
          <w:tcPr>
            <w:tcW w:w="1880" w:type="dxa"/>
          </w:tcPr>
          <w:p w:rsidR="003F5784" w14:paraId="407EACE2" w14:textId="77777777">
            <w:pPr>
              <w:pStyle w:val="TableParagraph"/>
              <w:spacing w:before="23" w:line="232" w:lineRule="auto"/>
              <w:ind w:left="325" w:right="131" w:firstLine="280"/>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7"/>
                <w:sz w:val="21"/>
              </w:rPr>
              <w:t xml:space="preserve"> </w:t>
            </w:r>
            <w:r>
              <w:rPr>
                <w:sz w:val="21"/>
              </w:rPr>
              <w:t>&gt;</w:t>
            </w:r>
            <w:r>
              <w:rPr>
                <w:spacing w:val="-6"/>
                <w:sz w:val="21"/>
              </w:rPr>
              <w:t xml:space="preserve"> </w:t>
            </w:r>
            <w:r>
              <w:rPr>
                <w:spacing w:val="-5"/>
                <w:sz w:val="21"/>
              </w:rPr>
              <w:t>9.6</w:t>
            </w:r>
          </w:p>
        </w:tc>
        <w:tc>
          <w:tcPr>
            <w:tcW w:w="1960" w:type="dxa"/>
          </w:tcPr>
          <w:p w:rsidR="003F5784" w14:paraId="56BB2A80" w14:textId="77777777">
            <w:pPr>
              <w:pStyle w:val="TableParagraph"/>
              <w:spacing w:before="23" w:line="232" w:lineRule="auto"/>
              <w:ind w:left="501" w:right="177" w:firstLine="131"/>
              <w:jc w:val="left"/>
              <w:rPr>
                <w:sz w:val="21"/>
              </w:rPr>
            </w:pPr>
            <w:r>
              <w:rPr>
                <w:spacing w:val="-2"/>
                <w:sz w:val="21"/>
              </w:rPr>
              <w:t>Percentage</w:t>
            </w:r>
            <w:r>
              <w:rPr>
                <w:spacing w:val="-12"/>
                <w:sz w:val="21"/>
              </w:rPr>
              <w:t xml:space="preserve"> </w:t>
            </w:r>
            <w:r>
              <w:rPr>
                <w:spacing w:val="-2"/>
                <w:sz w:val="21"/>
              </w:rPr>
              <w:t xml:space="preserve">of </w:t>
            </w:r>
            <w:r>
              <w:rPr>
                <w:sz w:val="21"/>
              </w:rPr>
              <w:t>renters</w:t>
            </w:r>
            <w:r>
              <w:rPr>
                <w:spacing w:val="-6"/>
                <w:sz w:val="21"/>
              </w:rPr>
              <w:t xml:space="preserve"> </w:t>
            </w:r>
            <w:r>
              <w:rPr>
                <w:sz w:val="21"/>
              </w:rPr>
              <w:t>&lt;=</w:t>
            </w:r>
            <w:r>
              <w:rPr>
                <w:spacing w:val="-5"/>
                <w:sz w:val="21"/>
              </w:rPr>
              <w:t xml:space="preserve"> </w:t>
            </w:r>
            <w:r>
              <w:rPr>
                <w:spacing w:val="-4"/>
                <w:sz w:val="21"/>
              </w:rPr>
              <w:t>30.6</w:t>
            </w:r>
          </w:p>
        </w:tc>
        <w:tc>
          <w:tcPr>
            <w:tcW w:w="3611" w:type="dxa"/>
          </w:tcPr>
          <w:p w:rsidR="003F5784" w14:paraId="655A4684" w14:textId="77777777">
            <w:pPr>
              <w:pStyle w:val="TableParagraph"/>
              <w:spacing w:before="23" w:line="232" w:lineRule="auto"/>
              <w:ind w:left="188" w:right="125" w:firstLine="717"/>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 American Indian/Alaska Native, or Native</w:t>
            </w:r>
            <w:r>
              <w:rPr>
                <w:spacing w:val="-10"/>
                <w:sz w:val="21"/>
              </w:rPr>
              <w:t xml:space="preserve"> </w:t>
            </w:r>
            <w:r>
              <w:rPr>
                <w:sz w:val="21"/>
              </w:rPr>
              <w:t>Hawaiian/Other</w:t>
            </w:r>
            <w:r>
              <w:rPr>
                <w:spacing w:val="-9"/>
                <w:sz w:val="21"/>
              </w:rPr>
              <w:t xml:space="preserve"> </w:t>
            </w:r>
            <w:r>
              <w:rPr>
                <w:sz w:val="21"/>
              </w:rPr>
              <w:t>Pacific</w:t>
            </w:r>
            <w:r>
              <w:rPr>
                <w:spacing w:val="-9"/>
                <w:sz w:val="21"/>
              </w:rPr>
              <w:t xml:space="preserve"> </w:t>
            </w:r>
            <w:r>
              <w:rPr>
                <w:spacing w:val="-2"/>
                <w:sz w:val="21"/>
              </w:rPr>
              <w:t>Islander</w:t>
            </w:r>
          </w:p>
          <w:p w:rsidR="003F5784" w14:paraId="535023DF" w14:textId="77777777">
            <w:pPr>
              <w:pStyle w:val="TableParagraph"/>
              <w:spacing w:before="0" w:line="237" w:lineRule="exact"/>
              <w:ind w:right="125"/>
              <w:rPr>
                <w:sz w:val="21"/>
              </w:rPr>
            </w:pPr>
            <w:r>
              <w:rPr>
                <w:sz w:val="21"/>
              </w:rPr>
              <w:t>youth</w:t>
            </w:r>
            <w:r>
              <w:rPr>
                <w:spacing w:val="-4"/>
                <w:sz w:val="21"/>
              </w:rPr>
              <w:t xml:space="preserve"> </w:t>
            </w:r>
            <w:r>
              <w:rPr>
                <w:sz w:val="21"/>
              </w:rPr>
              <w:t>&gt;</w:t>
            </w:r>
            <w:r>
              <w:rPr>
                <w:spacing w:val="-4"/>
                <w:sz w:val="21"/>
              </w:rPr>
              <w:t xml:space="preserve"> 14.2</w:t>
            </w:r>
          </w:p>
        </w:tc>
        <w:tc>
          <w:tcPr>
            <w:tcW w:w="3657" w:type="dxa"/>
          </w:tcPr>
          <w:p w:rsidR="003F5784" w14:paraId="447D0DC2" w14:textId="77777777">
            <w:pPr>
              <w:pStyle w:val="TableParagraph"/>
              <w:spacing w:before="23" w:line="232" w:lineRule="auto"/>
              <w:ind w:left="247" w:right="112" w:firstLine="717"/>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 American Indian/Alaska Native, or Native</w:t>
            </w:r>
            <w:r>
              <w:rPr>
                <w:spacing w:val="-10"/>
                <w:sz w:val="21"/>
              </w:rPr>
              <w:t xml:space="preserve"> </w:t>
            </w:r>
            <w:r>
              <w:rPr>
                <w:sz w:val="21"/>
              </w:rPr>
              <w:t>Hawaiian/Other</w:t>
            </w:r>
            <w:r>
              <w:rPr>
                <w:spacing w:val="-9"/>
                <w:sz w:val="21"/>
              </w:rPr>
              <w:t xml:space="preserve"> </w:t>
            </w:r>
            <w:r>
              <w:rPr>
                <w:sz w:val="21"/>
              </w:rPr>
              <w:t>Pacific</w:t>
            </w:r>
            <w:r>
              <w:rPr>
                <w:spacing w:val="-9"/>
                <w:sz w:val="21"/>
              </w:rPr>
              <w:t xml:space="preserve"> </w:t>
            </w:r>
            <w:r>
              <w:rPr>
                <w:spacing w:val="-2"/>
                <w:sz w:val="21"/>
              </w:rPr>
              <w:t>Islander</w:t>
            </w:r>
          </w:p>
          <w:p w:rsidR="003F5784" w14:paraId="0C85ACF6" w14:textId="77777777">
            <w:pPr>
              <w:pStyle w:val="TableParagraph"/>
              <w:spacing w:before="0" w:line="237" w:lineRule="exact"/>
              <w:ind w:right="112"/>
              <w:rPr>
                <w:sz w:val="21"/>
              </w:rPr>
            </w:pPr>
            <w:r>
              <w:rPr>
                <w:sz w:val="21"/>
              </w:rPr>
              <w:t>youth</w:t>
            </w:r>
            <w:r>
              <w:rPr>
                <w:spacing w:val="-4"/>
                <w:sz w:val="21"/>
              </w:rPr>
              <w:t xml:space="preserve"> </w:t>
            </w:r>
            <w:r>
              <w:rPr>
                <w:sz w:val="21"/>
              </w:rPr>
              <w:t>&gt;</w:t>
            </w:r>
            <w:r>
              <w:rPr>
                <w:spacing w:val="-4"/>
                <w:sz w:val="21"/>
              </w:rPr>
              <w:t xml:space="preserve"> 17.6</w:t>
            </w:r>
          </w:p>
        </w:tc>
        <w:tc>
          <w:tcPr>
            <w:tcW w:w="701" w:type="dxa"/>
          </w:tcPr>
          <w:p w:rsidR="003F5784" w14:paraId="7F4918E7" w14:textId="77777777">
            <w:pPr>
              <w:pStyle w:val="TableParagraph"/>
              <w:ind w:right="115"/>
              <w:rPr>
                <w:sz w:val="21"/>
              </w:rPr>
            </w:pPr>
            <w:r>
              <w:rPr>
                <w:spacing w:val="-5"/>
                <w:sz w:val="21"/>
              </w:rPr>
              <w:t>11</w:t>
            </w:r>
          </w:p>
        </w:tc>
        <w:tc>
          <w:tcPr>
            <w:tcW w:w="1183" w:type="dxa"/>
          </w:tcPr>
          <w:p w:rsidR="003F5784" w14:paraId="324D5752" w14:textId="77777777">
            <w:pPr>
              <w:pStyle w:val="TableParagraph"/>
              <w:ind w:right="113"/>
              <w:rPr>
                <w:sz w:val="21"/>
              </w:rPr>
            </w:pPr>
            <w:r>
              <w:rPr>
                <w:spacing w:val="-2"/>
                <w:sz w:val="21"/>
              </w:rPr>
              <w:t>552,422</w:t>
            </w:r>
          </w:p>
        </w:tc>
      </w:tr>
      <w:tr w14:paraId="25AB53D2" w14:textId="77777777">
        <w:tblPrEx>
          <w:tblW w:w="0" w:type="auto"/>
          <w:tblInd w:w="482" w:type="dxa"/>
          <w:tblLayout w:type="fixed"/>
          <w:tblCellMar>
            <w:left w:w="0" w:type="dxa"/>
            <w:right w:w="0" w:type="dxa"/>
          </w:tblCellMar>
          <w:tblLook w:val="01E0"/>
        </w:tblPrEx>
        <w:trPr>
          <w:trHeight w:val="990"/>
        </w:trPr>
        <w:tc>
          <w:tcPr>
            <w:tcW w:w="988" w:type="dxa"/>
          </w:tcPr>
          <w:p w:rsidR="003F5784" w14:paraId="2DAC8C56" w14:textId="77777777">
            <w:pPr>
              <w:pStyle w:val="TableParagraph"/>
              <w:ind w:left="120"/>
              <w:jc w:val="left"/>
              <w:rPr>
                <w:sz w:val="21"/>
              </w:rPr>
            </w:pPr>
            <w:r>
              <w:rPr>
                <w:spacing w:val="-10"/>
                <w:sz w:val="21"/>
              </w:rPr>
              <w:t>7</w:t>
            </w:r>
          </w:p>
        </w:tc>
        <w:tc>
          <w:tcPr>
            <w:tcW w:w="1880" w:type="dxa"/>
          </w:tcPr>
          <w:p w:rsidR="003F5784" w14:paraId="4F908F57" w14:textId="77777777">
            <w:pPr>
              <w:pStyle w:val="TableParagraph"/>
              <w:spacing w:before="23" w:line="232" w:lineRule="auto"/>
              <w:ind w:left="325" w:right="131" w:firstLine="280"/>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7"/>
                <w:sz w:val="21"/>
              </w:rPr>
              <w:t xml:space="preserve"> </w:t>
            </w:r>
            <w:r>
              <w:rPr>
                <w:sz w:val="21"/>
              </w:rPr>
              <w:t>&gt;</w:t>
            </w:r>
            <w:r>
              <w:rPr>
                <w:spacing w:val="-6"/>
                <w:sz w:val="21"/>
              </w:rPr>
              <w:t xml:space="preserve"> </w:t>
            </w:r>
            <w:r>
              <w:rPr>
                <w:spacing w:val="-5"/>
                <w:sz w:val="21"/>
              </w:rPr>
              <w:t>9.6</w:t>
            </w:r>
          </w:p>
        </w:tc>
        <w:tc>
          <w:tcPr>
            <w:tcW w:w="1960" w:type="dxa"/>
          </w:tcPr>
          <w:p w:rsidR="003F5784" w14:paraId="77D7DD1C" w14:textId="77777777">
            <w:pPr>
              <w:pStyle w:val="TableParagraph"/>
              <w:spacing w:before="23" w:line="232" w:lineRule="auto"/>
              <w:ind w:left="216" w:right="177" w:firstLine="417"/>
              <w:jc w:val="left"/>
              <w:rPr>
                <w:sz w:val="21"/>
              </w:rPr>
            </w:pPr>
            <w:r>
              <w:rPr>
                <w:spacing w:val="-2"/>
                <w:sz w:val="21"/>
              </w:rPr>
              <w:t>Percentage</w:t>
            </w:r>
            <w:r>
              <w:rPr>
                <w:spacing w:val="-12"/>
                <w:sz w:val="21"/>
              </w:rPr>
              <w:t xml:space="preserve"> </w:t>
            </w:r>
            <w:r>
              <w:rPr>
                <w:spacing w:val="-2"/>
                <w:sz w:val="21"/>
              </w:rPr>
              <w:t xml:space="preserve">of </w:t>
            </w:r>
            <w:r>
              <w:rPr>
                <w:sz w:val="21"/>
              </w:rPr>
              <w:t>renters</w:t>
            </w:r>
            <w:r>
              <w:rPr>
                <w:spacing w:val="-12"/>
                <w:sz w:val="21"/>
              </w:rPr>
              <w:t xml:space="preserve"> </w:t>
            </w:r>
            <w:r>
              <w:rPr>
                <w:sz w:val="21"/>
              </w:rPr>
              <w:t>(30.6-</w:t>
            </w:r>
            <w:r>
              <w:rPr>
                <w:spacing w:val="-2"/>
                <w:sz w:val="21"/>
              </w:rPr>
              <w:t>32.2]</w:t>
            </w:r>
          </w:p>
        </w:tc>
        <w:tc>
          <w:tcPr>
            <w:tcW w:w="3611" w:type="dxa"/>
          </w:tcPr>
          <w:p w:rsidR="003F5784" w14:paraId="2F4A7994" w14:textId="77777777">
            <w:pPr>
              <w:pStyle w:val="TableParagraph"/>
              <w:spacing w:before="23" w:line="232" w:lineRule="auto"/>
              <w:ind w:left="188" w:right="125" w:firstLine="717"/>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 American Indian/Alaska Native, or Native</w:t>
            </w:r>
            <w:r>
              <w:rPr>
                <w:spacing w:val="-10"/>
                <w:sz w:val="21"/>
              </w:rPr>
              <w:t xml:space="preserve"> </w:t>
            </w:r>
            <w:r>
              <w:rPr>
                <w:sz w:val="21"/>
              </w:rPr>
              <w:t>Hawaiian/Other</w:t>
            </w:r>
            <w:r>
              <w:rPr>
                <w:spacing w:val="-9"/>
                <w:sz w:val="21"/>
              </w:rPr>
              <w:t xml:space="preserve"> </w:t>
            </w:r>
            <w:r>
              <w:rPr>
                <w:sz w:val="21"/>
              </w:rPr>
              <w:t>Pacific</w:t>
            </w:r>
            <w:r>
              <w:rPr>
                <w:spacing w:val="-9"/>
                <w:sz w:val="21"/>
              </w:rPr>
              <w:t xml:space="preserve"> </w:t>
            </w:r>
            <w:r>
              <w:rPr>
                <w:spacing w:val="-2"/>
                <w:sz w:val="21"/>
              </w:rPr>
              <w:t>Islander</w:t>
            </w:r>
          </w:p>
          <w:p w:rsidR="003F5784" w14:paraId="5726E6B9" w14:textId="77777777">
            <w:pPr>
              <w:pStyle w:val="TableParagraph"/>
              <w:spacing w:before="0" w:line="237" w:lineRule="exact"/>
              <w:ind w:right="125"/>
              <w:rPr>
                <w:sz w:val="21"/>
              </w:rPr>
            </w:pPr>
            <w:r>
              <w:rPr>
                <w:sz w:val="21"/>
              </w:rPr>
              <w:t>youth</w:t>
            </w:r>
            <w:r>
              <w:rPr>
                <w:spacing w:val="-5"/>
                <w:sz w:val="21"/>
              </w:rPr>
              <w:t xml:space="preserve"> </w:t>
            </w:r>
            <w:r>
              <w:rPr>
                <w:sz w:val="21"/>
              </w:rPr>
              <w:t>&lt;=</w:t>
            </w:r>
            <w:r>
              <w:rPr>
                <w:spacing w:val="-5"/>
                <w:sz w:val="21"/>
              </w:rPr>
              <w:t xml:space="preserve"> </w:t>
            </w:r>
            <w:r>
              <w:rPr>
                <w:spacing w:val="-4"/>
                <w:sz w:val="21"/>
              </w:rPr>
              <w:t>16.6</w:t>
            </w:r>
          </w:p>
        </w:tc>
        <w:tc>
          <w:tcPr>
            <w:tcW w:w="3657" w:type="dxa"/>
          </w:tcPr>
          <w:p w:rsidR="003F5784" w14:paraId="0A6E3DBF" w14:textId="77777777">
            <w:pPr>
              <w:pStyle w:val="TableParagraph"/>
              <w:spacing w:line="238" w:lineRule="exact"/>
              <w:ind w:right="112"/>
              <w:rPr>
                <w:sz w:val="21"/>
              </w:rPr>
            </w:pPr>
            <w:r>
              <w:rPr>
                <w:sz w:val="21"/>
              </w:rPr>
              <w:t>Percentage</w:t>
            </w:r>
            <w:r>
              <w:rPr>
                <w:spacing w:val="-9"/>
                <w:sz w:val="21"/>
              </w:rPr>
              <w:t xml:space="preserve"> </w:t>
            </w:r>
            <w:r>
              <w:rPr>
                <w:sz w:val="21"/>
              </w:rPr>
              <w:t>of</w:t>
            </w:r>
            <w:r>
              <w:rPr>
                <w:spacing w:val="-9"/>
                <w:sz w:val="21"/>
              </w:rPr>
              <w:t xml:space="preserve"> </w:t>
            </w:r>
            <w:r>
              <w:rPr>
                <w:sz w:val="21"/>
              </w:rPr>
              <w:t>female-headed</w:t>
            </w:r>
            <w:r>
              <w:rPr>
                <w:spacing w:val="-9"/>
                <w:sz w:val="21"/>
              </w:rPr>
              <w:t xml:space="preserve"> </w:t>
            </w:r>
            <w:r>
              <w:rPr>
                <w:spacing w:val="-2"/>
                <w:sz w:val="21"/>
              </w:rPr>
              <w:t>households</w:t>
            </w:r>
          </w:p>
          <w:p w:rsidR="003F5784" w14:paraId="42438980" w14:textId="77777777">
            <w:pPr>
              <w:pStyle w:val="TableParagraph"/>
              <w:spacing w:before="0" w:line="238" w:lineRule="exact"/>
              <w:ind w:right="112"/>
              <w:rPr>
                <w:sz w:val="21"/>
              </w:rPr>
            </w:pPr>
            <w:r>
              <w:rPr>
                <w:sz w:val="21"/>
              </w:rPr>
              <w:t>&lt;=</w:t>
            </w:r>
            <w:r>
              <w:rPr>
                <w:spacing w:val="-4"/>
                <w:sz w:val="21"/>
              </w:rPr>
              <w:t xml:space="preserve"> 12.1</w:t>
            </w:r>
          </w:p>
        </w:tc>
        <w:tc>
          <w:tcPr>
            <w:tcW w:w="701" w:type="dxa"/>
          </w:tcPr>
          <w:p w:rsidR="003F5784" w14:paraId="33FEC76C" w14:textId="77777777">
            <w:pPr>
              <w:pStyle w:val="TableParagraph"/>
              <w:ind w:right="115"/>
              <w:rPr>
                <w:sz w:val="21"/>
              </w:rPr>
            </w:pPr>
            <w:r>
              <w:rPr>
                <w:spacing w:val="-10"/>
                <w:sz w:val="21"/>
              </w:rPr>
              <w:t>6</w:t>
            </w:r>
          </w:p>
        </w:tc>
        <w:tc>
          <w:tcPr>
            <w:tcW w:w="1183" w:type="dxa"/>
          </w:tcPr>
          <w:p w:rsidR="003F5784" w14:paraId="50353E7E" w14:textId="77777777">
            <w:pPr>
              <w:pStyle w:val="TableParagraph"/>
              <w:ind w:right="113"/>
              <w:rPr>
                <w:sz w:val="21"/>
              </w:rPr>
            </w:pPr>
            <w:r>
              <w:rPr>
                <w:spacing w:val="-2"/>
                <w:sz w:val="21"/>
              </w:rPr>
              <w:t>562,849</w:t>
            </w:r>
          </w:p>
        </w:tc>
      </w:tr>
      <w:tr w14:paraId="55EB3D89" w14:textId="77777777">
        <w:tblPrEx>
          <w:tblW w:w="0" w:type="auto"/>
          <w:tblInd w:w="482" w:type="dxa"/>
          <w:tblLayout w:type="fixed"/>
          <w:tblCellMar>
            <w:left w:w="0" w:type="dxa"/>
            <w:right w:w="0" w:type="dxa"/>
          </w:tblCellMar>
          <w:tblLook w:val="01E0"/>
        </w:tblPrEx>
        <w:trPr>
          <w:trHeight w:val="990"/>
        </w:trPr>
        <w:tc>
          <w:tcPr>
            <w:tcW w:w="988" w:type="dxa"/>
          </w:tcPr>
          <w:p w:rsidR="003F5784" w14:paraId="38BB7648" w14:textId="77777777">
            <w:pPr>
              <w:pStyle w:val="TableParagraph"/>
              <w:ind w:left="120"/>
              <w:jc w:val="left"/>
              <w:rPr>
                <w:sz w:val="21"/>
              </w:rPr>
            </w:pPr>
            <w:r>
              <w:rPr>
                <w:spacing w:val="-10"/>
                <w:sz w:val="21"/>
              </w:rPr>
              <w:t>8</w:t>
            </w:r>
          </w:p>
        </w:tc>
        <w:tc>
          <w:tcPr>
            <w:tcW w:w="1880" w:type="dxa"/>
          </w:tcPr>
          <w:p w:rsidR="003F5784" w14:paraId="0AB57D94" w14:textId="77777777">
            <w:pPr>
              <w:pStyle w:val="TableParagraph"/>
              <w:spacing w:before="23" w:line="232" w:lineRule="auto"/>
              <w:ind w:left="325" w:right="131" w:firstLine="280"/>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7"/>
                <w:sz w:val="21"/>
              </w:rPr>
              <w:t xml:space="preserve"> </w:t>
            </w:r>
            <w:r>
              <w:rPr>
                <w:sz w:val="21"/>
              </w:rPr>
              <w:t>&gt;</w:t>
            </w:r>
            <w:r>
              <w:rPr>
                <w:spacing w:val="-6"/>
                <w:sz w:val="21"/>
              </w:rPr>
              <w:t xml:space="preserve"> </w:t>
            </w:r>
            <w:r>
              <w:rPr>
                <w:spacing w:val="-5"/>
                <w:sz w:val="21"/>
              </w:rPr>
              <w:t>9.6</w:t>
            </w:r>
          </w:p>
        </w:tc>
        <w:tc>
          <w:tcPr>
            <w:tcW w:w="1960" w:type="dxa"/>
          </w:tcPr>
          <w:p w:rsidR="003F5784" w14:paraId="6F9F4CF0" w14:textId="77777777">
            <w:pPr>
              <w:pStyle w:val="TableParagraph"/>
              <w:spacing w:before="23" w:line="232" w:lineRule="auto"/>
              <w:ind w:left="216" w:right="177" w:firstLine="417"/>
              <w:jc w:val="left"/>
              <w:rPr>
                <w:sz w:val="21"/>
              </w:rPr>
            </w:pPr>
            <w:r>
              <w:rPr>
                <w:spacing w:val="-2"/>
                <w:sz w:val="21"/>
              </w:rPr>
              <w:t>Percentage</w:t>
            </w:r>
            <w:r>
              <w:rPr>
                <w:spacing w:val="-12"/>
                <w:sz w:val="21"/>
              </w:rPr>
              <w:t xml:space="preserve"> </w:t>
            </w:r>
            <w:r>
              <w:rPr>
                <w:spacing w:val="-2"/>
                <w:sz w:val="21"/>
              </w:rPr>
              <w:t xml:space="preserve">of </w:t>
            </w:r>
            <w:r>
              <w:rPr>
                <w:sz w:val="21"/>
              </w:rPr>
              <w:t>renters</w:t>
            </w:r>
            <w:r>
              <w:rPr>
                <w:spacing w:val="-12"/>
                <w:sz w:val="21"/>
              </w:rPr>
              <w:t xml:space="preserve"> </w:t>
            </w:r>
            <w:r>
              <w:rPr>
                <w:sz w:val="21"/>
              </w:rPr>
              <w:t>(30.6-</w:t>
            </w:r>
            <w:r>
              <w:rPr>
                <w:spacing w:val="-2"/>
                <w:sz w:val="21"/>
              </w:rPr>
              <w:t>32.2]</w:t>
            </w:r>
          </w:p>
        </w:tc>
        <w:tc>
          <w:tcPr>
            <w:tcW w:w="3611" w:type="dxa"/>
          </w:tcPr>
          <w:p w:rsidR="003F5784" w14:paraId="4D57798A" w14:textId="77777777">
            <w:pPr>
              <w:pStyle w:val="TableParagraph"/>
              <w:spacing w:before="23" w:line="232" w:lineRule="auto"/>
              <w:ind w:left="188" w:right="125" w:firstLine="717"/>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 American Indian/Alaska Native, or Native</w:t>
            </w:r>
            <w:r>
              <w:rPr>
                <w:spacing w:val="-10"/>
                <w:sz w:val="21"/>
              </w:rPr>
              <w:t xml:space="preserve"> </w:t>
            </w:r>
            <w:r>
              <w:rPr>
                <w:sz w:val="21"/>
              </w:rPr>
              <w:t>Hawaiian/Other</w:t>
            </w:r>
            <w:r>
              <w:rPr>
                <w:spacing w:val="-9"/>
                <w:sz w:val="21"/>
              </w:rPr>
              <w:t xml:space="preserve"> </w:t>
            </w:r>
            <w:r>
              <w:rPr>
                <w:sz w:val="21"/>
              </w:rPr>
              <w:t>Pacific</w:t>
            </w:r>
            <w:r>
              <w:rPr>
                <w:spacing w:val="-9"/>
                <w:sz w:val="21"/>
              </w:rPr>
              <w:t xml:space="preserve"> </w:t>
            </w:r>
            <w:r>
              <w:rPr>
                <w:spacing w:val="-2"/>
                <w:sz w:val="21"/>
              </w:rPr>
              <w:t>Islander</w:t>
            </w:r>
          </w:p>
          <w:p w:rsidR="003F5784" w14:paraId="2FDE81C5" w14:textId="77777777">
            <w:pPr>
              <w:pStyle w:val="TableParagraph"/>
              <w:spacing w:before="0" w:line="237" w:lineRule="exact"/>
              <w:ind w:right="125"/>
              <w:rPr>
                <w:sz w:val="21"/>
              </w:rPr>
            </w:pPr>
            <w:r>
              <w:rPr>
                <w:sz w:val="21"/>
              </w:rPr>
              <w:t>youth</w:t>
            </w:r>
            <w:r>
              <w:rPr>
                <w:spacing w:val="-5"/>
                <w:sz w:val="21"/>
              </w:rPr>
              <w:t xml:space="preserve"> </w:t>
            </w:r>
            <w:r>
              <w:rPr>
                <w:sz w:val="21"/>
              </w:rPr>
              <w:t>&lt;=</w:t>
            </w:r>
            <w:r>
              <w:rPr>
                <w:spacing w:val="-5"/>
                <w:sz w:val="21"/>
              </w:rPr>
              <w:t xml:space="preserve"> </w:t>
            </w:r>
            <w:r>
              <w:rPr>
                <w:spacing w:val="-4"/>
                <w:sz w:val="21"/>
              </w:rPr>
              <w:t>16.6</w:t>
            </w:r>
          </w:p>
        </w:tc>
        <w:tc>
          <w:tcPr>
            <w:tcW w:w="3657" w:type="dxa"/>
          </w:tcPr>
          <w:p w:rsidR="003F5784" w14:paraId="062525DB" w14:textId="77777777">
            <w:pPr>
              <w:pStyle w:val="TableParagraph"/>
              <w:spacing w:line="238" w:lineRule="exact"/>
              <w:ind w:right="112"/>
              <w:rPr>
                <w:sz w:val="21"/>
              </w:rPr>
            </w:pPr>
            <w:r>
              <w:rPr>
                <w:sz w:val="21"/>
              </w:rPr>
              <w:t>Percentage</w:t>
            </w:r>
            <w:r>
              <w:rPr>
                <w:spacing w:val="-9"/>
                <w:sz w:val="21"/>
              </w:rPr>
              <w:t xml:space="preserve"> </w:t>
            </w:r>
            <w:r>
              <w:rPr>
                <w:sz w:val="21"/>
              </w:rPr>
              <w:t>of</w:t>
            </w:r>
            <w:r>
              <w:rPr>
                <w:spacing w:val="-9"/>
                <w:sz w:val="21"/>
              </w:rPr>
              <w:t xml:space="preserve"> </w:t>
            </w:r>
            <w:r>
              <w:rPr>
                <w:sz w:val="21"/>
              </w:rPr>
              <w:t>female-headed</w:t>
            </w:r>
            <w:r>
              <w:rPr>
                <w:spacing w:val="-9"/>
                <w:sz w:val="21"/>
              </w:rPr>
              <w:t xml:space="preserve"> </w:t>
            </w:r>
            <w:r>
              <w:rPr>
                <w:spacing w:val="-2"/>
                <w:sz w:val="21"/>
              </w:rPr>
              <w:t>households</w:t>
            </w:r>
          </w:p>
          <w:p w:rsidR="003F5784" w14:paraId="5A29FA61" w14:textId="77777777">
            <w:pPr>
              <w:pStyle w:val="TableParagraph"/>
              <w:spacing w:before="0" w:line="238" w:lineRule="exact"/>
              <w:ind w:right="112"/>
              <w:rPr>
                <w:sz w:val="21"/>
              </w:rPr>
            </w:pPr>
            <w:r>
              <w:rPr>
                <w:sz w:val="21"/>
              </w:rPr>
              <w:t>&gt;</w:t>
            </w:r>
            <w:r>
              <w:rPr>
                <w:spacing w:val="-3"/>
                <w:sz w:val="21"/>
              </w:rPr>
              <w:t xml:space="preserve"> </w:t>
            </w:r>
            <w:r>
              <w:rPr>
                <w:spacing w:val="-4"/>
                <w:sz w:val="21"/>
              </w:rPr>
              <w:t>12.1</w:t>
            </w:r>
          </w:p>
        </w:tc>
        <w:tc>
          <w:tcPr>
            <w:tcW w:w="701" w:type="dxa"/>
          </w:tcPr>
          <w:p w:rsidR="003F5784" w14:paraId="17774171" w14:textId="77777777">
            <w:pPr>
              <w:pStyle w:val="TableParagraph"/>
              <w:ind w:right="115"/>
              <w:rPr>
                <w:sz w:val="21"/>
              </w:rPr>
            </w:pPr>
            <w:r>
              <w:rPr>
                <w:spacing w:val="-10"/>
                <w:sz w:val="21"/>
              </w:rPr>
              <w:t>3</w:t>
            </w:r>
          </w:p>
        </w:tc>
        <w:tc>
          <w:tcPr>
            <w:tcW w:w="1183" w:type="dxa"/>
          </w:tcPr>
          <w:p w:rsidR="003F5784" w14:paraId="55165C99" w14:textId="77777777">
            <w:pPr>
              <w:pStyle w:val="TableParagraph"/>
              <w:ind w:right="113"/>
              <w:rPr>
                <w:sz w:val="21"/>
              </w:rPr>
            </w:pPr>
            <w:r>
              <w:rPr>
                <w:spacing w:val="-2"/>
                <w:sz w:val="21"/>
              </w:rPr>
              <w:t>576,197</w:t>
            </w:r>
          </w:p>
        </w:tc>
      </w:tr>
      <w:tr w14:paraId="114D1355" w14:textId="77777777">
        <w:tblPrEx>
          <w:tblW w:w="0" w:type="auto"/>
          <w:tblInd w:w="482" w:type="dxa"/>
          <w:tblLayout w:type="fixed"/>
          <w:tblCellMar>
            <w:left w:w="0" w:type="dxa"/>
            <w:right w:w="0" w:type="dxa"/>
          </w:tblCellMar>
          <w:tblLook w:val="01E0"/>
        </w:tblPrEx>
        <w:trPr>
          <w:trHeight w:val="990"/>
        </w:trPr>
        <w:tc>
          <w:tcPr>
            <w:tcW w:w="988" w:type="dxa"/>
          </w:tcPr>
          <w:p w:rsidR="003F5784" w14:paraId="3CA49673" w14:textId="77777777">
            <w:pPr>
              <w:pStyle w:val="TableParagraph"/>
              <w:ind w:left="120"/>
              <w:jc w:val="left"/>
              <w:rPr>
                <w:sz w:val="21"/>
              </w:rPr>
            </w:pPr>
            <w:r>
              <w:rPr>
                <w:spacing w:val="-10"/>
                <w:sz w:val="21"/>
              </w:rPr>
              <w:t>9</w:t>
            </w:r>
          </w:p>
        </w:tc>
        <w:tc>
          <w:tcPr>
            <w:tcW w:w="1880" w:type="dxa"/>
          </w:tcPr>
          <w:p w:rsidR="003F5784" w14:paraId="112C7FEA" w14:textId="77777777">
            <w:pPr>
              <w:pStyle w:val="TableParagraph"/>
              <w:spacing w:before="23" w:line="232" w:lineRule="auto"/>
              <w:ind w:left="325" w:right="131" w:firstLine="280"/>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7"/>
                <w:sz w:val="21"/>
              </w:rPr>
              <w:t xml:space="preserve"> </w:t>
            </w:r>
            <w:r>
              <w:rPr>
                <w:sz w:val="21"/>
              </w:rPr>
              <w:t>&gt;</w:t>
            </w:r>
            <w:r>
              <w:rPr>
                <w:spacing w:val="-6"/>
                <w:sz w:val="21"/>
              </w:rPr>
              <w:t xml:space="preserve"> </w:t>
            </w:r>
            <w:r>
              <w:rPr>
                <w:spacing w:val="-5"/>
                <w:sz w:val="21"/>
              </w:rPr>
              <w:t>9.6</w:t>
            </w:r>
          </w:p>
        </w:tc>
        <w:tc>
          <w:tcPr>
            <w:tcW w:w="1960" w:type="dxa"/>
          </w:tcPr>
          <w:p w:rsidR="003F5784" w14:paraId="7333E815" w14:textId="77777777">
            <w:pPr>
              <w:pStyle w:val="TableParagraph"/>
              <w:spacing w:before="23" w:line="232" w:lineRule="auto"/>
              <w:ind w:left="216" w:right="177" w:firstLine="417"/>
              <w:jc w:val="left"/>
              <w:rPr>
                <w:sz w:val="21"/>
              </w:rPr>
            </w:pPr>
            <w:r>
              <w:rPr>
                <w:spacing w:val="-2"/>
                <w:sz w:val="21"/>
              </w:rPr>
              <w:t>Percentage</w:t>
            </w:r>
            <w:r>
              <w:rPr>
                <w:spacing w:val="-12"/>
                <w:sz w:val="21"/>
              </w:rPr>
              <w:t xml:space="preserve"> </w:t>
            </w:r>
            <w:r>
              <w:rPr>
                <w:spacing w:val="-2"/>
                <w:sz w:val="21"/>
              </w:rPr>
              <w:t xml:space="preserve">of </w:t>
            </w:r>
            <w:r>
              <w:rPr>
                <w:sz w:val="21"/>
              </w:rPr>
              <w:t>renters</w:t>
            </w:r>
            <w:r>
              <w:rPr>
                <w:spacing w:val="-12"/>
                <w:sz w:val="21"/>
              </w:rPr>
              <w:t xml:space="preserve"> </w:t>
            </w:r>
            <w:r>
              <w:rPr>
                <w:sz w:val="21"/>
              </w:rPr>
              <w:t>(30.6-</w:t>
            </w:r>
            <w:r>
              <w:rPr>
                <w:spacing w:val="-2"/>
                <w:sz w:val="21"/>
              </w:rPr>
              <w:t>32.2]</w:t>
            </w:r>
          </w:p>
        </w:tc>
        <w:tc>
          <w:tcPr>
            <w:tcW w:w="3611" w:type="dxa"/>
          </w:tcPr>
          <w:p w:rsidR="003F5784" w14:paraId="295B50B0" w14:textId="77777777">
            <w:pPr>
              <w:pStyle w:val="TableParagraph"/>
              <w:spacing w:before="23" w:line="232" w:lineRule="auto"/>
              <w:ind w:left="188" w:right="125" w:firstLine="717"/>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 American Indian/Alaska Native, or Native</w:t>
            </w:r>
            <w:r>
              <w:rPr>
                <w:spacing w:val="-10"/>
                <w:sz w:val="21"/>
              </w:rPr>
              <w:t xml:space="preserve"> </w:t>
            </w:r>
            <w:r>
              <w:rPr>
                <w:sz w:val="21"/>
              </w:rPr>
              <w:t>Hawaiian/Other</w:t>
            </w:r>
            <w:r>
              <w:rPr>
                <w:spacing w:val="-9"/>
                <w:sz w:val="21"/>
              </w:rPr>
              <w:t xml:space="preserve"> </w:t>
            </w:r>
            <w:r>
              <w:rPr>
                <w:sz w:val="21"/>
              </w:rPr>
              <w:t>Pacific</w:t>
            </w:r>
            <w:r>
              <w:rPr>
                <w:spacing w:val="-9"/>
                <w:sz w:val="21"/>
              </w:rPr>
              <w:t xml:space="preserve"> </w:t>
            </w:r>
            <w:r>
              <w:rPr>
                <w:spacing w:val="-2"/>
                <w:sz w:val="21"/>
              </w:rPr>
              <w:t>Islander</w:t>
            </w:r>
          </w:p>
          <w:p w:rsidR="003F5784" w14:paraId="2F332882" w14:textId="77777777">
            <w:pPr>
              <w:pStyle w:val="TableParagraph"/>
              <w:spacing w:before="0" w:line="237" w:lineRule="exact"/>
              <w:ind w:right="125"/>
              <w:rPr>
                <w:sz w:val="21"/>
              </w:rPr>
            </w:pPr>
            <w:r>
              <w:rPr>
                <w:sz w:val="21"/>
              </w:rPr>
              <w:t>youth</w:t>
            </w:r>
            <w:r>
              <w:rPr>
                <w:spacing w:val="-4"/>
                <w:sz w:val="21"/>
              </w:rPr>
              <w:t xml:space="preserve"> </w:t>
            </w:r>
            <w:r>
              <w:rPr>
                <w:sz w:val="21"/>
              </w:rPr>
              <w:t>&gt;</w:t>
            </w:r>
            <w:r>
              <w:rPr>
                <w:spacing w:val="-4"/>
                <w:sz w:val="21"/>
              </w:rPr>
              <w:t xml:space="preserve"> 16.6</w:t>
            </w:r>
          </w:p>
        </w:tc>
        <w:tc>
          <w:tcPr>
            <w:tcW w:w="3657" w:type="dxa"/>
          </w:tcPr>
          <w:p w:rsidR="003F5784" w14:paraId="58A5E262" w14:textId="77777777">
            <w:pPr>
              <w:pStyle w:val="TableParagraph"/>
              <w:ind w:right="112"/>
              <w:rPr>
                <w:sz w:val="21"/>
              </w:rPr>
            </w:pPr>
            <w:r>
              <w:rPr>
                <w:sz w:val="21"/>
              </w:rPr>
              <w:t>Percentage</w:t>
            </w:r>
            <w:r>
              <w:rPr>
                <w:spacing w:val="-6"/>
                <w:sz w:val="21"/>
              </w:rPr>
              <w:t xml:space="preserve"> </w:t>
            </w:r>
            <w:r>
              <w:rPr>
                <w:sz w:val="21"/>
              </w:rPr>
              <w:t>of</w:t>
            </w:r>
            <w:r>
              <w:rPr>
                <w:spacing w:val="-6"/>
                <w:sz w:val="21"/>
              </w:rPr>
              <w:t xml:space="preserve"> </w:t>
            </w:r>
            <w:r>
              <w:rPr>
                <w:sz w:val="21"/>
              </w:rPr>
              <w:t>renters</w:t>
            </w:r>
            <w:r>
              <w:rPr>
                <w:spacing w:val="-6"/>
                <w:sz w:val="21"/>
              </w:rPr>
              <w:t xml:space="preserve"> </w:t>
            </w:r>
            <w:r>
              <w:rPr>
                <w:sz w:val="21"/>
              </w:rPr>
              <w:t>&lt;=</w:t>
            </w:r>
            <w:r>
              <w:rPr>
                <w:spacing w:val="-6"/>
                <w:sz w:val="21"/>
              </w:rPr>
              <w:t xml:space="preserve"> </w:t>
            </w:r>
            <w:r>
              <w:rPr>
                <w:spacing w:val="-4"/>
                <w:sz w:val="21"/>
              </w:rPr>
              <w:t>31.8</w:t>
            </w:r>
          </w:p>
        </w:tc>
        <w:tc>
          <w:tcPr>
            <w:tcW w:w="701" w:type="dxa"/>
          </w:tcPr>
          <w:p w:rsidR="003F5784" w14:paraId="6EEABDAA" w14:textId="77777777">
            <w:pPr>
              <w:pStyle w:val="TableParagraph"/>
              <w:ind w:right="115"/>
              <w:rPr>
                <w:sz w:val="21"/>
              </w:rPr>
            </w:pPr>
            <w:r>
              <w:rPr>
                <w:spacing w:val="-10"/>
                <w:sz w:val="21"/>
              </w:rPr>
              <w:t>2</w:t>
            </w:r>
          </w:p>
        </w:tc>
        <w:tc>
          <w:tcPr>
            <w:tcW w:w="1183" w:type="dxa"/>
          </w:tcPr>
          <w:p w:rsidR="003F5784" w14:paraId="3E7B0A76" w14:textId="77777777">
            <w:pPr>
              <w:pStyle w:val="TableParagraph"/>
              <w:ind w:right="113"/>
              <w:rPr>
                <w:sz w:val="21"/>
              </w:rPr>
            </w:pPr>
            <w:r>
              <w:rPr>
                <w:spacing w:val="-2"/>
                <w:sz w:val="21"/>
              </w:rPr>
              <w:t>639,144</w:t>
            </w:r>
          </w:p>
        </w:tc>
      </w:tr>
      <w:tr w14:paraId="68CD72CD" w14:textId="77777777">
        <w:tblPrEx>
          <w:tblW w:w="0" w:type="auto"/>
          <w:tblInd w:w="482" w:type="dxa"/>
          <w:tblLayout w:type="fixed"/>
          <w:tblCellMar>
            <w:left w:w="0" w:type="dxa"/>
            <w:right w:w="0" w:type="dxa"/>
          </w:tblCellMar>
          <w:tblLook w:val="01E0"/>
        </w:tblPrEx>
        <w:trPr>
          <w:trHeight w:val="992"/>
        </w:trPr>
        <w:tc>
          <w:tcPr>
            <w:tcW w:w="988" w:type="dxa"/>
            <w:tcBorders>
              <w:bottom w:val="single" w:sz="18" w:space="0" w:color="800000"/>
            </w:tcBorders>
          </w:tcPr>
          <w:p w:rsidR="003F5784" w14:paraId="54EB5BC6" w14:textId="77777777">
            <w:pPr>
              <w:pStyle w:val="TableParagraph"/>
              <w:ind w:left="120"/>
              <w:jc w:val="left"/>
              <w:rPr>
                <w:sz w:val="21"/>
              </w:rPr>
            </w:pPr>
            <w:r>
              <w:rPr>
                <w:spacing w:val="-5"/>
                <w:sz w:val="21"/>
              </w:rPr>
              <w:t>10</w:t>
            </w:r>
          </w:p>
        </w:tc>
        <w:tc>
          <w:tcPr>
            <w:tcW w:w="1880" w:type="dxa"/>
            <w:tcBorders>
              <w:bottom w:val="single" w:sz="18" w:space="0" w:color="800000"/>
            </w:tcBorders>
          </w:tcPr>
          <w:p w:rsidR="003F5784" w14:paraId="642CA819" w14:textId="77777777">
            <w:pPr>
              <w:pStyle w:val="TableParagraph"/>
              <w:spacing w:before="23" w:line="232" w:lineRule="auto"/>
              <w:ind w:left="325" w:right="131" w:firstLine="280"/>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7"/>
                <w:sz w:val="21"/>
              </w:rPr>
              <w:t xml:space="preserve"> </w:t>
            </w:r>
            <w:r>
              <w:rPr>
                <w:sz w:val="21"/>
              </w:rPr>
              <w:t>&gt;</w:t>
            </w:r>
            <w:r>
              <w:rPr>
                <w:spacing w:val="-6"/>
                <w:sz w:val="21"/>
              </w:rPr>
              <w:t xml:space="preserve"> </w:t>
            </w:r>
            <w:r>
              <w:rPr>
                <w:spacing w:val="-5"/>
                <w:sz w:val="21"/>
              </w:rPr>
              <w:t>9.6</w:t>
            </w:r>
          </w:p>
        </w:tc>
        <w:tc>
          <w:tcPr>
            <w:tcW w:w="1960" w:type="dxa"/>
            <w:tcBorders>
              <w:bottom w:val="single" w:sz="18" w:space="0" w:color="800000"/>
            </w:tcBorders>
          </w:tcPr>
          <w:p w:rsidR="003F5784" w14:paraId="2039B9E0" w14:textId="77777777">
            <w:pPr>
              <w:pStyle w:val="TableParagraph"/>
              <w:spacing w:before="23" w:line="232" w:lineRule="auto"/>
              <w:ind w:left="216" w:right="177" w:firstLine="417"/>
              <w:jc w:val="left"/>
              <w:rPr>
                <w:sz w:val="21"/>
              </w:rPr>
            </w:pPr>
            <w:r>
              <w:rPr>
                <w:spacing w:val="-2"/>
                <w:sz w:val="21"/>
              </w:rPr>
              <w:t>Percentage</w:t>
            </w:r>
            <w:r>
              <w:rPr>
                <w:spacing w:val="-12"/>
                <w:sz w:val="21"/>
              </w:rPr>
              <w:t xml:space="preserve"> </w:t>
            </w:r>
            <w:r>
              <w:rPr>
                <w:spacing w:val="-2"/>
                <w:sz w:val="21"/>
              </w:rPr>
              <w:t xml:space="preserve">of </w:t>
            </w:r>
            <w:r>
              <w:rPr>
                <w:sz w:val="21"/>
              </w:rPr>
              <w:t>renters</w:t>
            </w:r>
            <w:r>
              <w:rPr>
                <w:spacing w:val="-12"/>
                <w:sz w:val="21"/>
              </w:rPr>
              <w:t xml:space="preserve"> </w:t>
            </w:r>
            <w:r>
              <w:rPr>
                <w:sz w:val="21"/>
              </w:rPr>
              <w:t>(30.6-</w:t>
            </w:r>
            <w:r>
              <w:rPr>
                <w:spacing w:val="-2"/>
                <w:sz w:val="21"/>
              </w:rPr>
              <w:t>32.2]</w:t>
            </w:r>
          </w:p>
        </w:tc>
        <w:tc>
          <w:tcPr>
            <w:tcW w:w="3611" w:type="dxa"/>
            <w:tcBorders>
              <w:bottom w:val="single" w:sz="18" w:space="0" w:color="800000"/>
            </w:tcBorders>
          </w:tcPr>
          <w:p w:rsidR="003F5784" w14:paraId="619C8457" w14:textId="77777777">
            <w:pPr>
              <w:pStyle w:val="TableParagraph"/>
              <w:spacing w:before="23" w:line="232" w:lineRule="auto"/>
              <w:ind w:left="188" w:right="125" w:firstLine="717"/>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 American Indian/Alaska Native, or Native</w:t>
            </w:r>
            <w:r>
              <w:rPr>
                <w:spacing w:val="-10"/>
                <w:sz w:val="21"/>
              </w:rPr>
              <w:t xml:space="preserve"> </w:t>
            </w:r>
            <w:r>
              <w:rPr>
                <w:sz w:val="21"/>
              </w:rPr>
              <w:t>Hawaiian/Other</w:t>
            </w:r>
            <w:r>
              <w:rPr>
                <w:spacing w:val="-9"/>
                <w:sz w:val="21"/>
              </w:rPr>
              <w:t xml:space="preserve"> </w:t>
            </w:r>
            <w:r>
              <w:rPr>
                <w:sz w:val="21"/>
              </w:rPr>
              <w:t>Pacific</w:t>
            </w:r>
            <w:r>
              <w:rPr>
                <w:spacing w:val="-9"/>
                <w:sz w:val="21"/>
              </w:rPr>
              <w:t xml:space="preserve"> </w:t>
            </w:r>
            <w:r>
              <w:rPr>
                <w:spacing w:val="-2"/>
                <w:sz w:val="21"/>
              </w:rPr>
              <w:t>Islander</w:t>
            </w:r>
          </w:p>
          <w:p w:rsidR="003F5784" w14:paraId="4C8DDFC3" w14:textId="77777777">
            <w:pPr>
              <w:pStyle w:val="TableParagraph"/>
              <w:spacing w:before="0" w:line="237" w:lineRule="exact"/>
              <w:ind w:right="125"/>
              <w:rPr>
                <w:sz w:val="21"/>
              </w:rPr>
            </w:pPr>
            <w:r>
              <w:rPr>
                <w:sz w:val="21"/>
              </w:rPr>
              <w:t>youth</w:t>
            </w:r>
            <w:r>
              <w:rPr>
                <w:spacing w:val="-4"/>
                <w:sz w:val="21"/>
              </w:rPr>
              <w:t xml:space="preserve"> </w:t>
            </w:r>
            <w:r>
              <w:rPr>
                <w:sz w:val="21"/>
              </w:rPr>
              <w:t>&gt;</w:t>
            </w:r>
            <w:r>
              <w:rPr>
                <w:spacing w:val="-4"/>
                <w:sz w:val="21"/>
              </w:rPr>
              <w:t xml:space="preserve"> 16.6</w:t>
            </w:r>
          </w:p>
        </w:tc>
        <w:tc>
          <w:tcPr>
            <w:tcW w:w="3657" w:type="dxa"/>
            <w:tcBorders>
              <w:bottom w:val="single" w:sz="18" w:space="0" w:color="800000"/>
            </w:tcBorders>
          </w:tcPr>
          <w:p w:rsidR="003F5784" w14:paraId="79CE13BA" w14:textId="77777777">
            <w:pPr>
              <w:pStyle w:val="TableParagraph"/>
              <w:ind w:right="112"/>
              <w:rPr>
                <w:sz w:val="21"/>
              </w:rPr>
            </w:pPr>
            <w:r>
              <w:rPr>
                <w:sz w:val="21"/>
              </w:rPr>
              <w:t>Percentage</w:t>
            </w:r>
            <w:r>
              <w:rPr>
                <w:spacing w:val="-6"/>
                <w:sz w:val="21"/>
              </w:rPr>
              <w:t xml:space="preserve"> </w:t>
            </w:r>
            <w:r>
              <w:rPr>
                <w:sz w:val="21"/>
              </w:rPr>
              <w:t>of</w:t>
            </w:r>
            <w:r>
              <w:rPr>
                <w:spacing w:val="-5"/>
                <w:sz w:val="21"/>
              </w:rPr>
              <w:t xml:space="preserve"> </w:t>
            </w:r>
            <w:r>
              <w:rPr>
                <w:sz w:val="21"/>
              </w:rPr>
              <w:t>renters</w:t>
            </w:r>
            <w:r>
              <w:rPr>
                <w:spacing w:val="-6"/>
                <w:sz w:val="21"/>
              </w:rPr>
              <w:t xml:space="preserve"> </w:t>
            </w:r>
            <w:r>
              <w:rPr>
                <w:sz w:val="21"/>
              </w:rPr>
              <w:t>&gt;</w:t>
            </w:r>
            <w:r>
              <w:rPr>
                <w:spacing w:val="-5"/>
                <w:sz w:val="21"/>
              </w:rPr>
              <w:t xml:space="preserve"> </w:t>
            </w:r>
            <w:r>
              <w:rPr>
                <w:spacing w:val="-4"/>
                <w:sz w:val="21"/>
              </w:rPr>
              <w:t>31.8</w:t>
            </w:r>
          </w:p>
        </w:tc>
        <w:tc>
          <w:tcPr>
            <w:tcW w:w="701" w:type="dxa"/>
            <w:tcBorders>
              <w:bottom w:val="single" w:sz="18" w:space="0" w:color="800000"/>
            </w:tcBorders>
          </w:tcPr>
          <w:p w:rsidR="003F5784" w14:paraId="71D7C93E" w14:textId="77777777">
            <w:pPr>
              <w:pStyle w:val="TableParagraph"/>
              <w:ind w:right="115"/>
              <w:rPr>
                <w:sz w:val="21"/>
              </w:rPr>
            </w:pPr>
            <w:r>
              <w:rPr>
                <w:spacing w:val="-10"/>
                <w:sz w:val="21"/>
              </w:rPr>
              <w:t>2</w:t>
            </w:r>
          </w:p>
        </w:tc>
        <w:tc>
          <w:tcPr>
            <w:tcW w:w="1183" w:type="dxa"/>
            <w:tcBorders>
              <w:bottom w:val="single" w:sz="18" w:space="0" w:color="800000"/>
            </w:tcBorders>
          </w:tcPr>
          <w:p w:rsidR="003F5784" w14:paraId="7E504755" w14:textId="77777777">
            <w:pPr>
              <w:pStyle w:val="TableParagraph"/>
              <w:ind w:right="113"/>
              <w:rPr>
                <w:sz w:val="21"/>
              </w:rPr>
            </w:pPr>
            <w:r>
              <w:rPr>
                <w:spacing w:val="-2"/>
                <w:sz w:val="21"/>
              </w:rPr>
              <w:t>582,152</w:t>
            </w:r>
          </w:p>
        </w:tc>
      </w:tr>
      <w:tr w14:paraId="00480C54" w14:textId="77777777">
        <w:tblPrEx>
          <w:tblW w:w="0" w:type="auto"/>
          <w:tblInd w:w="482" w:type="dxa"/>
          <w:tblLayout w:type="fixed"/>
          <w:tblCellMar>
            <w:left w:w="0" w:type="dxa"/>
            <w:right w:w="0" w:type="dxa"/>
          </w:tblCellMar>
          <w:tblLook w:val="01E0"/>
        </w:tblPrEx>
        <w:trPr>
          <w:trHeight w:val="237"/>
        </w:trPr>
        <w:tc>
          <w:tcPr>
            <w:tcW w:w="2868" w:type="dxa"/>
            <w:gridSpan w:val="2"/>
            <w:tcBorders>
              <w:top w:val="single" w:sz="18" w:space="0" w:color="800000"/>
            </w:tcBorders>
          </w:tcPr>
          <w:p w:rsidR="003F5784" w14:paraId="2CBA041B" w14:textId="77777777">
            <w:pPr>
              <w:pStyle w:val="TableParagraph"/>
              <w:spacing w:before="0" w:line="218" w:lineRule="exact"/>
              <w:ind w:left="120"/>
              <w:jc w:val="left"/>
              <w:rPr>
                <w:sz w:val="21"/>
              </w:rPr>
            </w:pPr>
            <w:r>
              <w:rPr>
                <w:sz w:val="21"/>
              </w:rPr>
              <w:t>†</w:t>
            </w:r>
            <w:r>
              <w:rPr>
                <w:spacing w:val="-4"/>
                <w:sz w:val="21"/>
              </w:rPr>
              <w:t xml:space="preserve"> </w:t>
            </w:r>
            <w:r>
              <w:rPr>
                <w:sz w:val="21"/>
              </w:rPr>
              <w:t>Not</w:t>
            </w:r>
            <w:r>
              <w:rPr>
                <w:spacing w:val="-3"/>
                <w:sz w:val="21"/>
              </w:rPr>
              <w:t xml:space="preserve"> </w:t>
            </w:r>
            <w:r>
              <w:rPr>
                <w:spacing w:val="-2"/>
                <w:sz w:val="21"/>
              </w:rPr>
              <w:t>applicable.</w:t>
            </w:r>
          </w:p>
        </w:tc>
        <w:tc>
          <w:tcPr>
            <w:tcW w:w="1960" w:type="dxa"/>
            <w:tcBorders>
              <w:top w:val="single" w:sz="18" w:space="0" w:color="800000"/>
            </w:tcBorders>
          </w:tcPr>
          <w:p w:rsidR="003F5784" w14:paraId="773C4D48" w14:textId="77777777">
            <w:pPr>
              <w:pStyle w:val="TableParagraph"/>
              <w:spacing w:before="0"/>
              <w:jc w:val="left"/>
              <w:rPr>
                <w:sz w:val="16"/>
              </w:rPr>
            </w:pPr>
          </w:p>
        </w:tc>
        <w:tc>
          <w:tcPr>
            <w:tcW w:w="3611" w:type="dxa"/>
            <w:tcBorders>
              <w:top w:val="single" w:sz="18" w:space="0" w:color="800000"/>
            </w:tcBorders>
          </w:tcPr>
          <w:p w:rsidR="003F5784" w14:paraId="5F6DBC50" w14:textId="77777777">
            <w:pPr>
              <w:pStyle w:val="TableParagraph"/>
              <w:spacing w:before="0"/>
              <w:jc w:val="left"/>
              <w:rPr>
                <w:sz w:val="16"/>
              </w:rPr>
            </w:pPr>
          </w:p>
        </w:tc>
        <w:tc>
          <w:tcPr>
            <w:tcW w:w="3657" w:type="dxa"/>
            <w:tcBorders>
              <w:top w:val="single" w:sz="18" w:space="0" w:color="800000"/>
            </w:tcBorders>
          </w:tcPr>
          <w:p w:rsidR="003F5784" w14:paraId="0FDE3E54" w14:textId="77777777">
            <w:pPr>
              <w:pStyle w:val="TableParagraph"/>
              <w:spacing w:before="0"/>
              <w:jc w:val="left"/>
              <w:rPr>
                <w:sz w:val="16"/>
              </w:rPr>
            </w:pPr>
          </w:p>
        </w:tc>
        <w:tc>
          <w:tcPr>
            <w:tcW w:w="701" w:type="dxa"/>
            <w:tcBorders>
              <w:top w:val="single" w:sz="18" w:space="0" w:color="800000"/>
            </w:tcBorders>
          </w:tcPr>
          <w:p w:rsidR="003F5784" w14:paraId="5C09DA41" w14:textId="77777777">
            <w:pPr>
              <w:pStyle w:val="TableParagraph"/>
              <w:spacing w:before="0"/>
              <w:jc w:val="left"/>
              <w:rPr>
                <w:sz w:val="16"/>
              </w:rPr>
            </w:pPr>
          </w:p>
        </w:tc>
        <w:tc>
          <w:tcPr>
            <w:tcW w:w="1183" w:type="dxa"/>
            <w:tcBorders>
              <w:top w:val="single" w:sz="18" w:space="0" w:color="800000"/>
            </w:tcBorders>
          </w:tcPr>
          <w:p w:rsidR="003F5784" w14:paraId="0106E33B" w14:textId="77777777">
            <w:pPr>
              <w:pStyle w:val="TableParagraph"/>
              <w:spacing w:before="0"/>
              <w:jc w:val="left"/>
              <w:rPr>
                <w:sz w:val="16"/>
              </w:rPr>
            </w:pPr>
          </w:p>
        </w:tc>
      </w:tr>
    </w:tbl>
    <w:p w:rsidR="003F5784" w14:paraId="670DA757" w14:textId="77777777">
      <w:pPr>
        <w:pStyle w:val="BodyText"/>
        <w:spacing w:before="4"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11D99C1F" w14:textId="77777777">
      <w:pPr>
        <w:spacing w:line="232" w:lineRule="auto"/>
        <w:sectPr>
          <w:pgSz w:w="15840" w:h="12240" w:orient="landscape"/>
          <w:pgMar w:top="480" w:right="440" w:bottom="460" w:left="460" w:header="284" w:footer="275" w:gutter="0"/>
          <w:cols w:space="720"/>
        </w:sectPr>
      </w:pPr>
    </w:p>
    <w:p w:rsidR="003F5784" w14:paraId="6447015D" w14:textId="77777777">
      <w:pPr>
        <w:pStyle w:val="BodyText"/>
        <w:spacing w:before="91"/>
      </w:pPr>
    </w:p>
    <w:p w:rsidR="003F5784" w14:paraId="130C3E28" w14:textId="77777777">
      <w:pPr>
        <w:pStyle w:val="BodyText"/>
        <w:tabs>
          <w:tab w:val="left" w:pos="1778"/>
          <w:tab w:val="left" w:pos="3477"/>
          <w:tab w:val="left" w:pos="7370"/>
          <w:tab w:val="left" w:pos="10759"/>
          <w:tab w:val="left" w:pos="12690"/>
        </w:tabs>
        <w:ind w:left="595"/>
      </w:pPr>
      <w:r>
        <w:rPr>
          <w:spacing w:val="-2"/>
        </w:rPr>
        <w:t>Stratum</w:t>
      </w:r>
      <w:r>
        <w:tab/>
        <w:t>Primary</w:t>
      </w:r>
      <w:r>
        <w:rPr>
          <w:spacing w:val="-8"/>
        </w:rPr>
        <w:t xml:space="preserve"> </w:t>
      </w:r>
      <w:r>
        <w:rPr>
          <w:spacing w:val="-2"/>
        </w:rPr>
        <w:t>stratifier</w:t>
      </w:r>
      <w:r>
        <w:tab/>
        <w:t>Secondary</w:t>
      </w:r>
      <w:r>
        <w:rPr>
          <w:spacing w:val="-10"/>
        </w:rPr>
        <w:t xml:space="preserve"> </w:t>
      </w:r>
      <w:r>
        <w:rPr>
          <w:spacing w:val="-2"/>
        </w:rPr>
        <w:t>stratifier</w:t>
      </w:r>
      <w:r>
        <w:tab/>
      </w:r>
      <w:r>
        <w:rPr>
          <w:spacing w:val="-2"/>
        </w:rPr>
        <w:t>Tertiary</w:t>
      </w:r>
      <w:r>
        <w:rPr>
          <w:spacing w:val="-7"/>
        </w:rPr>
        <w:t xml:space="preserve"> </w:t>
      </w:r>
      <w:r>
        <w:rPr>
          <w:spacing w:val="-2"/>
        </w:rPr>
        <w:t>stratifier</w:t>
      </w:r>
      <w:r>
        <w:tab/>
        <w:t>Quaternary</w:t>
      </w:r>
      <w:r>
        <w:rPr>
          <w:spacing w:val="-11"/>
        </w:rPr>
        <w:t xml:space="preserve"> </w:t>
      </w:r>
      <w:r>
        <w:rPr>
          <w:spacing w:val="-2"/>
        </w:rPr>
        <w:t>stratifier</w:t>
      </w:r>
      <w:r>
        <w:tab/>
      </w:r>
      <w:r>
        <w:rPr>
          <w:spacing w:val="-3"/>
        </w:rPr>
        <w:t>PSUs</w:t>
      </w:r>
    </w:p>
    <w:p w:rsidR="003F5784" w14:paraId="57B93130" w14:textId="77777777">
      <w:pPr>
        <w:pStyle w:val="BodyText"/>
        <w:spacing w:before="98" w:line="238" w:lineRule="exact"/>
        <w:ind w:right="598"/>
        <w:jc w:val="right"/>
      </w:pPr>
      <w:r>
        <w:br w:type="column"/>
        <w:t>Measure</w:t>
      </w:r>
      <w:r>
        <w:rPr>
          <w:spacing w:val="-9"/>
        </w:rPr>
        <w:t xml:space="preserve"> </w:t>
      </w:r>
      <w:r>
        <w:rPr>
          <w:spacing w:val="-5"/>
        </w:rPr>
        <w:t>of</w:t>
      </w:r>
    </w:p>
    <w:p w:rsidR="003F5784" w14:paraId="76A0E22A" w14:textId="77777777">
      <w:pPr>
        <w:pStyle w:val="BodyText"/>
        <w:spacing w:line="238" w:lineRule="exact"/>
        <w:ind w:right="598"/>
        <w:jc w:val="right"/>
      </w:pPr>
      <w:r>
        <w:rPr>
          <w:spacing w:val="-4"/>
        </w:rPr>
        <w:t>size</w:t>
      </w:r>
    </w:p>
    <w:p w:rsidR="003F5784" w14:paraId="15115C66" w14:textId="77777777">
      <w:pPr>
        <w:spacing w:line="238" w:lineRule="exact"/>
        <w:jc w:val="right"/>
        <w:sectPr>
          <w:pgSz w:w="15840" w:h="12240" w:orient="landscape"/>
          <w:pgMar w:top="480" w:right="440" w:bottom="460" w:left="460" w:header="284" w:footer="275" w:gutter="0"/>
          <w:cols w:num="2" w:space="720" w:equalWidth="0">
            <w:col w:w="13155" w:space="40"/>
            <w:col w:w="1745"/>
          </w:cols>
        </w:sectPr>
      </w:pPr>
    </w:p>
    <w:tbl>
      <w:tblPr>
        <w:tblW w:w="0" w:type="auto"/>
        <w:tblInd w:w="482" w:type="dxa"/>
        <w:tblLayout w:type="fixed"/>
        <w:tblCellMar>
          <w:left w:w="0" w:type="dxa"/>
          <w:right w:w="0" w:type="dxa"/>
        </w:tblCellMar>
        <w:tblLook w:val="01E0"/>
      </w:tblPr>
      <w:tblGrid>
        <w:gridCol w:w="954"/>
        <w:gridCol w:w="2157"/>
        <w:gridCol w:w="1661"/>
        <w:gridCol w:w="5323"/>
        <w:gridCol w:w="2184"/>
        <w:gridCol w:w="655"/>
        <w:gridCol w:w="1051"/>
      </w:tblGrid>
      <w:tr w14:paraId="4445F53C" w14:textId="77777777">
        <w:tblPrEx>
          <w:tblW w:w="0" w:type="auto"/>
          <w:tblInd w:w="482" w:type="dxa"/>
          <w:tblLayout w:type="fixed"/>
          <w:tblCellMar>
            <w:left w:w="0" w:type="dxa"/>
            <w:right w:w="0" w:type="dxa"/>
          </w:tblCellMar>
          <w:tblLook w:val="01E0"/>
        </w:tblPrEx>
        <w:trPr>
          <w:trHeight w:val="747"/>
        </w:trPr>
        <w:tc>
          <w:tcPr>
            <w:tcW w:w="954" w:type="dxa"/>
            <w:tcBorders>
              <w:top w:val="single" w:sz="18" w:space="0" w:color="800000"/>
            </w:tcBorders>
          </w:tcPr>
          <w:p w:rsidR="003F5784" w14:paraId="56126156" w14:textId="77777777">
            <w:pPr>
              <w:pStyle w:val="TableParagraph"/>
              <w:spacing w:before="9"/>
              <w:ind w:left="120"/>
              <w:jc w:val="left"/>
              <w:rPr>
                <w:sz w:val="21"/>
              </w:rPr>
            </w:pPr>
            <w:r>
              <w:rPr>
                <w:spacing w:val="-5"/>
                <w:sz w:val="21"/>
              </w:rPr>
              <w:t>11</w:t>
            </w:r>
          </w:p>
        </w:tc>
        <w:tc>
          <w:tcPr>
            <w:tcW w:w="2157" w:type="dxa"/>
            <w:tcBorders>
              <w:top w:val="single" w:sz="18" w:space="0" w:color="800000"/>
            </w:tcBorders>
          </w:tcPr>
          <w:p w:rsidR="003F5784" w14:paraId="1A2D077F" w14:textId="77777777">
            <w:pPr>
              <w:pStyle w:val="TableParagraph"/>
              <w:spacing w:before="15" w:line="232" w:lineRule="auto"/>
              <w:ind w:left="359" w:right="374" w:firstLine="280"/>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7"/>
                <w:sz w:val="21"/>
              </w:rPr>
              <w:t xml:space="preserve"> </w:t>
            </w:r>
            <w:r>
              <w:rPr>
                <w:sz w:val="21"/>
              </w:rPr>
              <w:t>&gt;</w:t>
            </w:r>
            <w:r>
              <w:rPr>
                <w:spacing w:val="-6"/>
                <w:sz w:val="21"/>
              </w:rPr>
              <w:t xml:space="preserve"> </w:t>
            </w:r>
            <w:r>
              <w:rPr>
                <w:spacing w:val="-5"/>
                <w:sz w:val="21"/>
              </w:rPr>
              <w:t>9.6</w:t>
            </w:r>
          </w:p>
        </w:tc>
        <w:tc>
          <w:tcPr>
            <w:tcW w:w="1661" w:type="dxa"/>
            <w:tcBorders>
              <w:top w:val="single" w:sz="18" w:space="0" w:color="800000"/>
            </w:tcBorders>
          </w:tcPr>
          <w:p w:rsidR="003F5784" w14:paraId="4C855227" w14:textId="77777777">
            <w:pPr>
              <w:pStyle w:val="TableParagraph"/>
              <w:spacing w:before="15" w:line="232" w:lineRule="auto"/>
              <w:ind w:left="376" w:right="127" w:firstLine="13"/>
              <w:jc w:val="left"/>
              <w:rPr>
                <w:sz w:val="21"/>
              </w:rPr>
            </w:pPr>
            <w:r>
              <w:rPr>
                <w:spacing w:val="-2"/>
                <w:sz w:val="21"/>
              </w:rPr>
              <w:t>Percentage</w:t>
            </w:r>
            <w:r>
              <w:rPr>
                <w:spacing w:val="-12"/>
                <w:sz w:val="21"/>
              </w:rPr>
              <w:t xml:space="preserve"> </w:t>
            </w:r>
            <w:r>
              <w:rPr>
                <w:spacing w:val="-2"/>
                <w:sz w:val="21"/>
              </w:rPr>
              <w:t xml:space="preserve">of </w:t>
            </w:r>
            <w:r>
              <w:rPr>
                <w:sz w:val="21"/>
              </w:rPr>
              <w:t>renters</w:t>
            </w:r>
            <w:r>
              <w:rPr>
                <w:spacing w:val="-5"/>
                <w:sz w:val="21"/>
              </w:rPr>
              <w:t xml:space="preserve"> </w:t>
            </w:r>
            <w:r>
              <w:rPr>
                <w:sz w:val="21"/>
              </w:rPr>
              <w:t>&gt;</w:t>
            </w:r>
            <w:r>
              <w:rPr>
                <w:spacing w:val="-4"/>
                <w:sz w:val="21"/>
              </w:rPr>
              <w:t xml:space="preserve"> 32.2</w:t>
            </w:r>
          </w:p>
        </w:tc>
        <w:tc>
          <w:tcPr>
            <w:tcW w:w="5323" w:type="dxa"/>
            <w:tcBorders>
              <w:top w:val="single" w:sz="18" w:space="0" w:color="800000"/>
            </w:tcBorders>
          </w:tcPr>
          <w:p w:rsidR="003F5784" w14:paraId="31AD72CB" w14:textId="77777777">
            <w:pPr>
              <w:pStyle w:val="TableParagraph"/>
              <w:spacing w:before="9" w:line="238" w:lineRule="exact"/>
              <w:ind w:right="1781"/>
              <w:rPr>
                <w:sz w:val="21"/>
              </w:rPr>
            </w:pPr>
            <w:r>
              <w:rPr>
                <w:sz w:val="21"/>
              </w:rPr>
              <w:t>Percentage</w:t>
            </w:r>
            <w:r>
              <w:rPr>
                <w:spacing w:val="-9"/>
                <w:sz w:val="21"/>
              </w:rPr>
              <w:t xml:space="preserve"> </w:t>
            </w:r>
            <w:r>
              <w:rPr>
                <w:sz w:val="21"/>
              </w:rPr>
              <w:t>of</w:t>
            </w:r>
            <w:r>
              <w:rPr>
                <w:spacing w:val="-9"/>
                <w:sz w:val="21"/>
              </w:rPr>
              <w:t xml:space="preserve"> </w:t>
            </w:r>
            <w:r>
              <w:rPr>
                <w:sz w:val="21"/>
              </w:rPr>
              <w:t>female-headed</w:t>
            </w:r>
            <w:r>
              <w:rPr>
                <w:spacing w:val="-9"/>
                <w:sz w:val="21"/>
              </w:rPr>
              <w:t xml:space="preserve"> </w:t>
            </w:r>
            <w:r>
              <w:rPr>
                <w:spacing w:val="-2"/>
                <w:sz w:val="21"/>
              </w:rPr>
              <w:t>households</w:t>
            </w:r>
          </w:p>
          <w:p w:rsidR="003F5784" w14:paraId="66199A4E" w14:textId="77777777">
            <w:pPr>
              <w:pStyle w:val="TableParagraph"/>
              <w:spacing w:before="0" w:line="238" w:lineRule="exact"/>
              <w:ind w:right="1781"/>
              <w:rPr>
                <w:sz w:val="21"/>
              </w:rPr>
            </w:pPr>
            <w:r>
              <w:rPr>
                <w:sz w:val="21"/>
              </w:rPr>
              <w:t>&lt;=</w:t>
            </w:r>
            <w:r>
              <w:rPr>
                <w:spacing w:val="-4"/>
                <w:sz w:val="21"/>
              </w:rPr>
              <w:t xml:space="preserve"> 12.2</w:t>
            </w:r>
          </w:p>
        </w:tc>
        <w:tc>
          <w:tcPr>
            <w:tcW w:w="2184" w:type="dxa"/>
            <w:tcBorders>
              <w:top w:val="single" w:sz="18" w:space="0" w:color="800000"/>
            </w:tcBorders>
          </w:tcPr>
          <w:p w:rsidR="003F5784" w14:paraId="7F4183E4" w14:textId="77777777">
            <w:pPr>
              <w:pStyle w:val="TableParagraph"/>
              <w:spacing w:before="9"/>
              <w:ind w:right="295"/>
              <w:rPr>
                <w:sz w:val="21"/>
              </w:rPr>
            </w:pPr>
            <w:r>
              <w:rPr>
                <w:spacing w:val="-10"/>
                <w:sz w:val="21"/>
              </w:rPr>
              <w:t>†</w:t>
            </w:r>
          </w:p>
        </w:tc>
        <w:tc>
          <w:tcPr>
            <w:tcW w:w="655" w:type="dxa"/>
            <w:tcBorders>
              <w:top w:val="single" w:sz="18" w:space="0" w:color="800000"/>
            </w:tcBorders>
          </w:tcPr>
          <w:p w:rsidR="003F5784" w14:paraId="0F6DAEB4" w14:textId="77777777">
            <w:pPr>
              <w:pStyle w:val="TableParagraph"/>
              <w:spacing w:before="9"/>
              <w:ind w:left="41"/>
              <w:jc w:val="center"/>
              <w:rPr>
                <w:sz w:val="21"/>
              </w:rPr>
            </w:pPr>
            <w:r>
              <w:rPr>
                <w:spacing w:val="-10"/>
                <w:sz w:val="21"/>
              </w:rPr>
              <w:t>4</w:t>
            </w:r>
          </w:p>
        </w:tc>
        <w:tc>
          <w:tcPr>
            <w:tcW w:w="1051" w:type="dxa"/>
            <w:tcBorders>
              <w:top w:val="single" w:sz="18" w:space="0" w:color="800000"/>
            </w:tcBorders>
          </w:tcPr>
          <w:p w:rsidR="003F5784" w14:paraId="7DD3E004" w14:textId="77777777">
            <w:pPr>
              <w:pStyle w:val="TableParagraph"/>
              <w:spacing w:before="9"/>
              <w:ind w:right="118"/>
              <w:rPr>
                <w:sz w:val="21"/>
              </w:rPr>
            </w:pPr>
            <w:r>
              <w:rPr>
                <w:spacing w:val="-2"/>
                <w:sz w:val="21"/>
              </w:rPr>
              <w:t>649,462</w:t>
            </w:r>
          </w:p>
        </w:tc>
      </w:tr>
      <w:tr w14:paraId="2D14DBA9" w14:textId="77777777">
        <w:tblPrEx>
          <w:tblW w:w="0" w:type="auto"/>
          <w:tblInd w:w="482" w:type="dxa"/>
          <w:tblLayout w:type="fixed"/>
          <w:tblCellMar>
            <w:left w:w="0" w:type="dxa"/>
            <w:right w:w="0" w:type="dxa"/>
          </w:tblCellMar>
          <w:tblLook w:val="01E0"/>
        </w:tblPrEx>
        <w:trPr>
          <w:trHeight w:val="755"/>
        </w:trPr>
        <w:tc>
          <w:tcPr>
            <w:tcW w:w="954" w:type="dxa"/>
          </w:tcPr>
          <w:p w:rsidR="003F5784" w14:paraId="4ADDDB55" w14:textId="77777777">
            <w:pPr>
              <w:pStyle w:val="TableParagraph"/>
              <w:ind w:left="120"/>
              <w:jc w:val="left"/>
              <w:rPr>
                <w:sz w:val="21"/>
              </w:rPr>
            </w:pPr>
            <w:r>
              <w:rPr>
                <w:spacing w:val="-5"/>
                <w:sz w:val="21"/>
              </w:rPr>
              <w:t>12</w:t>
            </w:r>
          </w:p>
        </w:tc>
        <w:tc>
          <w:tcPr>
            <w:tcW w:w="2157" w:type="dxa"/>
          </w:tcPr>
          <w:p w:rsidR="003F5784" w14:paraId="3C34323B" w14:textId="77777777">
            <w:pPr>
              <w:pStyle w:val="TableParagraph"/>
              <w:spacing w:before="23" w:line="232" w:lineRule="auto"/>
              <w:ind w:left="359" w:right="374" w:firstLine="280"/>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7"/>
                <w:sz w:val="21"/>
              </w:rPr>
              <w:t xml:space="preserve"> </w:t>
            </w:r>
            <w:r>
              <w:rPr>
                <w:sz w:val="21"/>
              </w:rPr>
              <w:t>&gt;</w:t>
            </w:r>
            <w:r>
              <w:rPr>
                <w:spacing w:val="-6"/>
                <w:sz w:val="21"/>
              </w:rPr>
              <w:t xml:space="preserve"> </w:t>
            </w:r>
            <w:r>
              <w:rPr>
                <w:spacing w:val="-5"/>
                <w:sz w:val="21"/>
              </w:rPr>
              <w:t>9.6</w:t>
            </w:r>
          </w:p>
        </w:tc>
        <w:tc>
          <w:tcPr>
            <w:tcW w:w="1661" w:type="dxa"/>
          </w:tcPr>
          <w:p w:rsidR="003F5784" w14:paraId="3977DFEB" w14:textId="77777777">
            <w:pPr>
              <w:pStyle w:val="TableParagraph"/>
              <w:spacing w:before="23" w:line="232" w:lineRule="auto"/>
              <w:ind w:left="376" w:right="127" w:firstLine="13"/>
              <w:jc w:val="left"/>
              <w:rPr>
                <w:sz w:val="21"/>
              </w:rPr>
            </w:pPr>
            <w:r>
              <w:rPr>
                <w:spacing w:val="-2"/>
                <w:sz w:val="21"/>
              </w:rPr>
              <w:t>Percentage</w:t>
            </w:r>
            <w:r>
              <w:rPr>
                <w:spacing w:val="-12"/>
                <w:sz w:val="21"/>
              </w:rPr>
              <w:t xml:space="preserve"> </w:t>
            </w:r>
            <w:r>
              <w:rPr>
                <w:spacing w:val="-2"/>
                <w:sz w:val="21"/>
              </w:rPr>
              <w:t xml:space="preserve">of </w:t>
            </w:r>
            <w:r>
              <w:rPr>
                <w:sz w:val="21"/>
              </w:rPr>
              <w:t>renters</w:t>
            </w:r>
            <w:r>
              <w:rPr>
                <w:spacing w:val="-5"/>
                <w:sz w:val="21"/>
              </w:rPr>
              <w:t xml:space="preserve"> </w:t>
            </w:r>
            <w:r>
              <w:rPr>
                <w:sz w:val="21"/>
              </w:rPr>
              <w:t>&gt;</w:t>
            </w:r>
            <w:r>
              <w:rPr>
                <w:spacing w:val="-4"/>
                <w:sz w:val="21"/>
              </w:rPr>
              <w:t xml:space="preserve"> 32.2</w:t>
            </w:r>
          </w:p>
        </w:tc>
        <w:tc>
          <w:tcPr>
            <w:tcW w:w="5323" w:type="dxa"/>
          </w:tcPr>
          <w:p w:rsidR="003F5784" w14:paraId="46D61615" w14:textId="77777777">
            <w:pPr>
              <w:pStyle w:val="TableParagraph"/>
              <w:spacing w:line="238" w:lineRule="exact"/>
              <w:ind w:right="1781"/>
              <w:rPr>
                <w:sz w:val="21"/>
              </w:rPr>
            </w:pPr>
            <w:r>
              <w:rPr>
                <w:sz w:val="21"/>
              </w:rPr>
              <w:t>Percentage</w:t>
            </w:r>
            <w:r>
              <w:rPr>
                <w:spacing w:val="-9"/>
                <w:sz w:val="21"/>
              </w:rPr>
              <w:t xml:space="preserve"> </w:t>
            </w:r>
            <w:r>
              <w:rPr>
                <w:sz w:val="21"/>
              </w:rPr>
              <w:t>of</w:t>
            </w:r>
            <w:r>
              <w:rPr>
                <w:spacing w:val="-9"/>
                <w:sz w:val="21"/>
              </w:rPr>
              <w:t xml:space="preserve"> </w:t>
            </w:r>
            <w:r>
              <w:rPr>
                <w:sz w:val="21"/>
              </w:rPr>
              <w:t>female-headed</w:t>
            </w:r>
            <w:r>
              <w:rPr>
                <w:spacing w:val="-9"/>
                <w:sz w:val="21"/>
              </w:rPr>
              <w:t xml:space="preserve"> </w:t>
            </w:r>
            <w:r>
              <w:rPr>
                <w:spacing w:val="-2"/>
                <w:sz w:val="21"/>
              </w:rPr>
              <w:t>households</w:t>
            </w:r>
          </w:p>
          <w:p w:rsidR="003F5784" w14:paraId="1E1A0A0F" w14:textId="77777777">
            <w:pPr>
              <w:pStyle w:val="TableParagraph"/>
              <w:spacing w:before="0" w:line="238" w:lineRule="exact"/>
              <w:ind w:right="1781"/>
              <w:rPr>
                <w:sz w:val="21"/>
              </w:rPr>
            </w:pPr>
            <w:r>
              <w:rPr>
                <w:sz w:val="21"/>
              </w:rPr>
              <w:t>&gt;</w:t>
            </w:r>
            <w:r>
              <w:rPr>
                <w:spacing w:val="-3"/>
                <w:sz w:val="21"/>
              </w:rPr>
              <w:t xml:space="preserve"> </w:t>
            </w:r>
            <w:r>
              <w:rPr>
                <w:spacing w:val="-4"/>
                <w:sz w:val="21"/>
              </w:rPr>
              <w:t>12.2</w:t>
            </w:r>
          </w:p>
        </w:tc>
        <w:tc>
          <w:tcPr>
            <w:tcW w:w="2184" w:type="dxa"/>
          </w:tcPr>
          <w:p w:rsidR="003F5784" w14:paraId="6800A089" w14:textId="77777777">
            <w:pPr>
              <w:pStyle w:val="TableParagraph"/>
              <w:ind w:right="295"/>
              <w:rPr>
                <w:sz w:val="21"/>
              </w:rPr>
            </w:pPr>
            <w:r>
              <w:rPr>
                <w:spacing w:val="-10"/>
                <w:sz w:val="21"/>
              </w:rPr>
              <w:t>†</w:t>
            </w:r>
          </w:p>
        </w:tc>
        <w:tc>
          <w:tcPr>
            <w:tcW w:w="655" w:type="dxa"/>
          </w:tcPr>
          <w:p w:rsidR="003F5784" w14:paraId="7B1BA5B9" w14:textId="77777777">
            <w:pPr>
              <w:pStyle w:val="TableParagraph"/>
              <w:ind w:left="41"/>
              <w:jc w:val="center"/>
              <w:rPr>
                <w:sz w:val="21"/>
              </w:rPr>
            </w:pPr>
            <w:r>
              <w:rPr>
                <w:spacing w:val="-10"/>
                <w:sz w:val="21"/>
              </w:rPr>
              <w:t>2</w:t>
            </w:r>
          </w:p>
        </w:tc>
        <w:tc>
          <w:tcPr>
            <w:tcW w:w="1051" w:type="dxa"/>
          </w:tcPr>
          <w:p w:rsidR="003F5784" w14:paraId="6EB19102" w14:textId="77777777">
            <w:pPr>
              <w:pStyle w:val="TableParagraph"/>
              <w:ind w:right="118"/>
              <w:rPr>
                <w:sz w:val="21"/>
              </w:rPr>
            </w:pPr>
            <w:r>
              <w:rPr>
                <w:spacing w:val="-2"/>
                <w:sz w:val="21"/>
              </w:rPr>
              <w:t>550,657</w:t>
            </w:r>
          </w:p>
        </w:tc>
      </w:tr>
      <w:tr w14:paraId="77963398" w14:textId="77777777">
        <w:tblPrEx>
          <w:tblW w:w="0" w:type="auto"/>
          <w:tblInd w:w="482" w:type="dxa"/>
          <w:tblLayout w:type="fixed"/>
          <w:tblCellMar>
            <w:left w:w="0" w:type="dxa"/>
            <w:right w:w="0" w:type="dxa"/>
          </w:tblCellMar>
          <w:tblLook w:val="01E0"/>
        </w:tblPrEx>
        <w:trPr>
          <w:trHeight w:val="288"/>
        </w:trPr>
        <w:tc>
          <w:tcPr>
            <w:tcW w:w="954" w:type="dxa"/>
            <w:tcBorders>
              <w:bottom w:val="single" w:sz="18" w:space="0" w:color="800000"/>
            </w:tcBorders>
          </w:tcPr>
          <w:p w:rsidR="003F5784" w14:paraId="143BA575" w14:textId="77777777">
            <w:pPr>
              <w:pStyle w:val="TableParagraph"/>
              <w:ind w:left="120"/>
              <w:jc w:val="left"/>
              <w:rPr>
                <w:sz w:val="21"/>
              </w:rPr>
            </w:pPr>
            <w:r>
              <w:rPr>
                <w:spacing w:val="-4"/>
                <w:sz w:val="21"/>
              </w:rPr>
              <w:t>Mean</w:t>
            </w:r>
          </w:p>
        </w:tc>
        <w:tc>
          <w:tcPr>
            <w:tcW w:w="2157" w:type="dxa"/>
            <w:tcBorders>
              <w:bottom w:val="single" w:sz="18" w:space="0" w:color="800000"/>
            </w:tcBorders>
          </w:tcPr>
          <w:p w:rsidR="003F5784" w14:paraId="4F4742C8" w14:textId="77777777">
            <w:pPr>
              <w:pStyle w:val="TableParagraph"/>
              <w:ind w:right="374"/>
              <w:rPr>
                <w:sz w:val="21"/>
              </w:rPr>
            </w:pPr>
            <w:r>
              <w:rPr>
                <w:spacing w:val="-10"/>
                <w:sz w:val="21"/>
              </w:rPr>
              <w:t>†</w:t>
            </w:r>
          </w:p>
        </w:tc>
        <w:tc>
          <w:tcPr>
            <w:tcW w:w="1661" w:type="dxa"/>
            <w:tcBorders>
              <w:bottom w:val="single" w:sz="18" w:space="0" w:color="800000"/>
            </w:tcBorders>
          </w:tcPr>
          <w:p w:rsidR="003F5784" w14:paraId="7BD9E538" w14:textId="77777777">
            <w:pPr>
              <w:pStyle w:val="TableParagraph"/>
              <w:ind w:right="128"/>
              <w:rPr>
                <w:sz w:val="21"/>
              </w:rPr>
            </w:pPr>
            <w:r>
              <w:rPr>
                <w:spacing w:val="-10"/>
                <w:sz w:val="21"/>
              </w:rPr>
              <w:t>†</w:t>
            </w:r>
          </w:p>
        </w:tc>
        <w:tc>
          <w:tcPr>
            <w:tcW w:w="5323" w:type="dxa"/>
            <w:tcBorders>
              <w:bottom w:val="single" w:sz="18" w:space="0" w:color="800000"/>
            </w:tcBorders>
          </w:tcPr>
          <w:p w:rsidR="003F5784" w14:paraId="713B8B21" w14:textId="77777777">
            <w:pPr>
              <w:pStyle w:val="TableParagraph"/>
              <w:ind w:left="1651"/>
              <w:jc w:val="center"/>
              <w:rPr>
                <w:sz w:val="21"/>
              </w:rPr>
            </w:pPr>
            <w:r>
              <w:rPr>
                <w:spacing w:val="-10"/>
                <w:sz w:val="21"/>
              </w:rPr>
              <w:t>†</w:t>
            </w:r>
          </w:p>
        </w:tc>
        <w:tc>
          <w:tcPr>
            <w:tcW w:w="2184" w:type="dxa"/>
            <w:tcBorders>
              <w:bottom w:val="single" w:sz="18" w:space="0" w:color="800000"/>
            </w:tcBorders>
          </w:tcPr>
          <w:p w:rsidR="003F5784" w14:paraId="14555F83" w14:textId="77777777">
            <w:pPr>
              <w:pStyle w:val="TableParagraph"/>
              <w:ind w:right="295"/>
              <w:rPr>
                <w:sz w:val="21"/>
              </w:rPr>
            </w:pPr>
            <w:r>
              <w:rPr>
                <w:spacing w:val="-10"/>
                <w:sz w:val="21"/>
              </w:rPr>
              <w:t>†</w:t>
            </w:r>
          </w:p>
        </w:tc>
        <w:tc>
          <w:tcPr>
            <w:tcW w:w="655" w:type="dxa"/>
            <w:tcBorders>
              <w:bottom w:val="single" w:sz="18" w:space="0" w:color="800000"/>
            </w:tcBorders>
          </w:tcPr>
          <w:p w:rsidR="003F5784" w14:paraId="2A3DD512" w14:textId="77777777">
            <w:pPr>
              <w:pStyle w:val="TableParagraph"/>
              <w:ind w:left="41"/>
              <w:jc w:val="center"/>
              <w:rPr>
                <w:sz w:val="21"/>
              </w:rPr>
            </w:pPr>
            <w:r>
              <w:rPr>
                <w:spacing w:val="-10"/>
                <w:sz w:val="21"/>
              </w:rPr>
              <w:t>†</w:t>
            </w:r>
          </w:p>
        </w:tc>
        <w:tc>
          <w:tcPr>
            <w:tcW w:w="1051" w:type="dxa"/>
            <w:tcBorders>
              <w:bottom w:val="single" w:sz="18" w:space="0" w:color="800000"/>
            </w:tcBorders>
          </w:tcPr>
          <w:p w:rsidR="003F5784" w14:paraId="2123DB06" w14:textId="77777777">
            <w:pPr>
              <w:pStyle w:val="TableParagraph"/>
              <w:ind w:right="118"/>
              <w:rPr>
                <w:sz w:val="21"/>
              </w:rPr>
            </w:pPr>
            <w:r>
              <w:rPr>
                <w:spacing w:val="-2"/>
                <w:sz w:val="21"/>
              </w:rPr>
              <w:t>582,464</w:t>
            </w:r>
          </w:p>
        </w:tc>
      </w:tr>
    </w:tbl>
    <w:p w:rsidR="003F5784" w14:paraId="584633D2" w14:textId="77777777">
      <w:pPr>
        <w:pStyle w:val="BodyText"/>
        <w:spacing w:before="16" w:line="238" w:lineRule="exact"/>
        <w:ind w:left="595"/>
      </w:pPr>
      <w:r>
        <w:t>†</w:t>
      </w:r>
      <w:r>
        <w:rPr>
          <w:spacing w:val="-4"/>
        </w:rPr>
        <w:t xml:space="preserve"> </w:t>
      </w:r>
      <w:r>
        <w:t>Not</w:t>
      </w:r>
      <w:r>
        <w:rPr>
          <w:spacing w:val="-3"/>
        </w:rPr>
        <w:t xml:space="preserve"> </w:t>
      </w:r>
      <w:r>
        <w:rPr>
          <w:spacing w:val="-2"/>
        </w:rPr>
        <w:t>applicable.</w:t>
      </w:r>
    </w:p>
    <w:p w:rsidR="003F5784" w14:paraId="183EE4D2" w14:textId="77777777">
      <w:pPr>
        <w:pStyle w:val="BodyText"/>
        <w:spacing w:before="3"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3FDD047C" w14:textId="77777777">
      <w:pPr>
        <w:pStyle w:val="BodyText"/>
      </w:pPr>
    </w:p>
    <w:p w:rsidR="003F5784" w14:paraId="1D01EBBB" w14:textId="77777777">
      <w:pPr>
        <w:pStyle w:val="BodyText"/>
      </w:pPr>
    </w:p>
    <w:p w:rsidR="003F5784" w14:paraId="6DBD20E0" w14:textId="77777777">
      <w:pPr>
        <w:pStyle w:val="BodyText"/>
        <w:spacing w:before="197"/>
      </w:pPr>
    </w:p>
    <w:p w:rsidR="003F5784" w14:paraId="0BA31735" w14:textId="77777777">
      <w:pPr>
        <w:ind w:left="3749"/>
        <w:rPr>
          <w:sz w:val="18"/>
        </w:rPr>
      </w:pPr>
      <w:hyperlink r:id="rId199">
        <w:r>
          <w:rPr>
            <w:spacing w:val="-2"/>
            <w:w w:val="105"/>
            <w:sz w:val="18"/>
          </w:rPr>
          <w:t>http://nces.ed.gov/nationsreportcard/tdw/sample_design/2022/stratification_for_midwest_metropolitan_noncertainty_primary_sampling_units.aspx</w:t>
        </w:r>
      </w:hyperlink>
    </w:p>
    <w:p w:rsidR="003F5784" w14:paraId="0ABDFA0A" w14:textId="77777777">
      <w:pPr>
        <w:pStyle w:val="BodyText"/>
        <w:spacing w:before="1"/>
        <w:rPr>
          <w:sz w:val="16"/>
        </w:rPr>
      </w:pPr>
      <w:r>
        <w:rPr>
          <w:noProof/>
        </w:rPr>
        <mc:AlternateContent>
          <mc:Choice Requires="wps">
            <w:drawing>
              <wp:anchor distT="0" distB="0" distL="0" distR="0" simplePos="0" relativeHeight="251886592" behindDoc="1" locked="0" layoutInCell="1" allowOverlap="1">
                <wp:simplePos x="0" y="0"/>
                <wp:positionH relativeFrom="page">
                  <wp:posOffset>361937</wp:posOffset>
                </wp:positionH>
                <wp:positionV relativeFrom="paragraph">
                  <wp:posOffset>132778</wp:posOffset>
                </wp:positionV>
                <wp:extent cx="9339580" cy="8890"/>
                <wp:effectExtent l="0" t="0" r="0" b="0"/>
                <wp:wrapTopAndBottom/>
                <wp:docPr id="224" name="Graphic 224"/>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305"/>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24" o:spid="_x0000_s1113" style="width:735.4pt;height:0.7pt;margin-top:10.45pt;margin-left:28.5pt;mso-position-horizontal-relative:page;mso-wrap-distance-bottom:0;mso-wrap-distance-left:0;mso-wrap-distance-right:0;mso-wrap-distance-top:0;mso-wrap-style:square;position:absolute;visibility:visible;v-text-anchor:top;z-index:-251428864" coordsize="9339580,8890" path="m9338970,l9335110,l,,,8280l8280,8305l9335110,8280l9338970,8280l9338970,xe" fillcolor="gray" stroked="f">
                <v:path arrowok="t"/>
                <w10:wrap type="topAndBottom"/>
              </v:shape>
            </w:pict>
          </mc:Fallback>
        </mc:AlternateContent>
      </w:r>
    </w:p>
    <w:p w:rsidR="003F5784" w14:paraId="352E046F" w14:textId="77777777">
      <w:pPr>
        <w:pStyle w:val="BodyText"/>
        <w:rPr>
          <w:sz w:val="18"/>
        </w:rPr>
      </w:pPr>
    </w:p>
    <w:p w:rsidR="003F5784" w14:paraId="416CF602" w14:textId="77777777">
      <w:pPr>
        <w:pStyle w:val="BodyText"/>
        <w:rPr>
          <w:sz w:val="18"/>
        </w:rPr>
      </w:pPr>
    </w:p>
    <w:p w:rsidR="003F5784" w14:paraId="0C2682D9" w14:textId="77777777">
      <w:pPr>
        <w:pStyle w:val="BodyText"/>
        <w:rPr>
          <w:sz w:val="18"/>
        </w:rPr>
      </w:pPr>
    </w:p>
    <w:p w:rsidR="003F5784" w14:paraId="3C766353" w14:textId="77777777">
      <w:pPr>
        <w:pStyle w:val="BodyText"/>
        <w:rPr>
          <w:sz w:val="18"/>
        </w:rPr>
      </w:pPr>
    </w:p>
    <w:p w:rsidR="003F5784" w14:paraId="24CD2C3D" w14:textId="77777777">
      <w:pPr>
        <w:pStyle w:val="BodyText"/>
        <w:spacing w:before="15"/>
        <w:rPr>
          <w:sz w:val="18"/>
        </w:rPr>
      </w:pPr>
    </w:p>
    <w:p w:rsidR="003F5784" w14:paraId="6E26E5C4" w14:textId="6CFD153A">
      <w:pPr>
        <w:pStyle w:val="Heading1"/>
        <w:spacing w:before="1" w:line="244" w:lineRule="auto"/>
      </w:pPr>
      <w:r>
        <w:t>NAEP</w:t>
      </w:r>
      <w:r>
        <w:rPr>
          <w:spacing w:val="-7"/>
        </w:rPr>
        <w:t xml:space="preserve"> </w:t>
      </w:r>
      <w:r>
        <w:t>Technical Documentation</w:t>
      </w:r>
      <w:r w:rsidR="004C039D">
        <w:t xml:space="preserve"> </w:t>
      </w:r>
      <w:r>
        <w:t>Stratification for Midwest Non-Metropolitan Noncertainty Primary Sampling Units</w:t>
      </w:r>
    </w:p>
    <w:p w:rsidR="003F5784" w14:paraId="65498696" w14:textId="77777777">
      <w:pPr>
        <w:pStyle w:val="BodyText"/>
        <w:spacing w:before="286" w:line="232" w:lineRule="auto"/>
        <w:ind w:left="109" w:right="179"/>
      </w:pPr>
      <w:r>
        <w:t>The</w:t>
      </w:r>
      <w:r>
        <w:rPr>
          <w:spacing w:val="-2"/>
        </w:rPr>
        <w:t xml:space="preserve"> </w:t>
      </w:r>
      <w:r>
        <w:t>following</w:t>
      </w:r>
      <w:r>
        <w:rPr>
          <w:spacing w:val="-2"/>
        </w:rPr>
        <w:t xml:space="preserve"> </w:t>
      </w:r>
      <w:r>
        <w:t>table</w:t>
      </w:r>
      <w:r>
        <w:rPr>
          <w:spacing w:val="-2"/>
        </w:rPr>
        <w:t xml:space="preserve"> </w:t>
      </w:r>
      <w:r>
        <w:t>provides</w:t>
      </w:r>
      <w:r>
        <w:rPr>
          <w:spacing w:val="-2"/>
        </w:rPr>
        <w:t xml:space="preserve"> </w:t>
      </w:r>
      <w:r>
        <w:t>the</w:t>
      </w:r>
      <w:r>
        <w:rPr>
          <w:spacing w:val="-2"/>
        </w:rPr>
        <w:t xml:space="preserve"> </w:t>
      </w:r>
      <w:r>
        <w:t>definition,</w:t>
      </w:r>
      <w:r>
        <w:rPr>
          <w:spacing w:val="-2"/>
        </w:rPr>
        <w:t xml:space="preserve"> </w:t>
      </w:r>
      <w:r>
        <w:t>number</w:t>
      </w:r>
      <w:r>
        <w:rPr>
          <w:spacing w:val="-2"/>
        </w:rPr>
        <w:t xml:space="preserve"> </w:t>
      </w:r>
      <w:r>
        <w:t>of</w:t>
      </w:r>
      <w:r>
        <w:rPr>
          <w:spacing w:val="-2"/>
        </w:rPr>
        <w:t xml:space="preserve"> </w:t>
      </w:r>
      <w:r>
        <w:t>PSUs,</w:t>
      </w:r>
      <w:r>
        <w:rPr>
          <w:spacing w:val="-2"/>
        </w:rPr>
        <w:t xml:space="preserve"> </w:t>
      </w:r>
      <w:r>
        <w:t>and</w:t>
      </w:r>
      <w:r>
        <w:rPr>
          <w:spacing w:val="-2"/>
        </w:rPr>
        <w:t xml:space="preserve"> </w:t>
      </w:r>
      <w:r>
        <w:t>size</w:t>
      </w:r>
      <w:r>
        <w:rPr>
          <w:spacing w:val="-2"/>
        </w:rPr>
        <w:t xml:space="preserve"> </w:t>
      </w:r>
      <w:r>
        <w:t>of</w:t>
      </w:r>
      <w:r>
        <w:rPr>
          <w:spacing w:val="-2"/>
        </w:rPr>
        <w:t xml:space="preserve"> </w:t>
      </w:r>
      <w:r>
        <w:t>each</w:t>
      </w:r>
      <w:r>
        <w:rPr>
          <w:spacing w:val="-2"/>
        </w:rPr>
        <w:t xml:space="preserve"> </w:t>
      </w:r>
      <w:r>
        <w:t>noncertainty</w:t>
      </w:r>
      <w:r>
        <w:rPr>
          <w:spacing w:val="-2"/>
        </w:rPr>
        <w:t xml:space="preserve"> </w:t>
      </w:r>
      <w:r>
        <w:t>PSU</w:t>
      </w:r>
      <w:r>
        <w:rPr>
          <w:spacing w:val="-2"/>
        </w:rPr>
        <w:t xml:space="preserve"> </w:t>
      </w:r>
      <w:r>
        <w:t>stratum</w:t>
      </w:r>
      <w:r>
        <w:rPr>
          <w:spacing w:val="-2"/>
        </w:rPr>
        <w:t xml:space="preserve"> </w:t>
      </w:r>
      <w:r>
        <w:t>in</w:t>
      </w:r>
      <w:r>
        <w:rPr>
          <w:spacing w:val="-2"/>
        </w:rPr>
        <w:t xml:space="preserve"> </w:t>
      </w:r>
      <w:r>
        <w:t>the</w:t>
      </w:r>
      <w:r>
        <w:rPr>
          <w:spacing w:val="-2"/>
        </w:rPr>
        <w:t xml:space="preserve"> </w:t>
      </w:r>
      <w:r>
        <w:t>Midwest</w:t>
      </w:r>
      <w:r>
        <w:rPr>
          <w:spacing w:val="-2"/>
        </w:rPr>
        <w:t xml:space="preserve"> </w:t>
      </w:r>
      <w:r>
        <w:t>non-metropolitan</w:t>
      </w:r>
      <w:r>
        <w:rPr>
          <w:spacing w:val="-2"/>
        </w:rPr>
        <w:t xml:space="preserve"> </w:t>
      </w:r>
      <w:r>
        <w:t>primary</w:t>
      </w:r>
      <w:r>
        <w:rPr>
          <w:spacing w:val="-2"/>
        </w:rPr>
        <w:t xml:space="preserve"> </w:t>
      </w:r>
      <w:r>
        <w:t>stratum.</w:t>
      </w:r>
      <w:r>
        <w:rPr>
          <w:spacing w:val="-2"/>
        </w:rPr>
        <w:t xml:space="preserve"> </w:t>
      </w:r>
      <w:r>
        <w:t>Columns</w:t>
      </w:r>
      <w:r>
        <w:rPr>
          <w:spacing w:val="-2"/>
        </w:rPr>
        <w:t xml:space="preserve"> </w:t>
      </w:r>
      <w:r>
        <w:t>2</w:t>
      </w:r>
      <w:r>
        <w:rPr>
          <w:spacing w:val="-2"/>
        </w:rPr>
        <w:t xml:space="preserve"> </w:t>
      </w:r>
      <w:r>
        <w:t>and</w:t>
      </w:r>
      <w:r>
        <w:rPr>
          <w:spacing w:val="-2"/>
        </w:rPr>
        <w:t xml:space="preserve"> </w:t>
      </w:r>
      <w:r>
        <w:t>3 show</w:t>
      </w:r>
      <w:r>
        <w:rPr>
          <w:spacing w:val="-5"/>
        </w:rPr>
        <w:t xml:space="preserve"> </w:t>
      </w:r>
      <w:r>
        <w:t>the</w:t>
      </w:r>
      <w:r>
        <w:rPr>
          <w:spacing w:val="-5"/>
        </w:rPr>
        <w:t xml:space="preserve"> </w:t>
      </w:r>
      <w:r>
        <w:t>primary</w:t>
      </w:r>
      <w:r>
        <w:rPr>
          <w:spacing w:val="-5"/>
        </w:rPr>
        <w:t xml:space="preserve"> </w:t>
      </w:r>
      <w:r>
        <w:t>and</w:t>
      </w:r>
      <w:r>
        <w:rPr>
          <w:spacing w:val="-5"/>
        </w:rPr>
        <w:t xml:space="preserve"> </w:t>
      </w:r>
      <w:r>
        <w:t>secondary</w:t>
      </w:r>
      <w:r>
        <w:rPr>
          <w:spacing w:val="-5"/>
        </w:rPr>
        <w:t xml:space="preserve"> </w:t>
      </w:r>
      <w:r>
        <w:t>characteristics</w:t>
      </w:r>
      <w:r>
        <w:rPr>
          <w:spacing w:val="-5"/>
        </w:rPr>
        <w:t xml:space="preserve"> </w:t>
      </w:r>
      <w:r>
        <w:t>used</w:t>
      </w:r>
      <w:r>
        <w:rPr>
          <w:spacing w:val="-5"/>
        </w:rPr>
        <w:t xml:space="preserve"> </w:t>
      </w:r>
      <w:r>
        <w:t>to</w:t>
      </w:r>
      <w:r>
        <w:rPr>
          <w:spacing w:val="-5"/>
        </w:rPr>
        <w:t xml:space="preserve"> </w:t>
      </w:r>
      <w:r>
        <w:t>define</w:t>
      </w:r>
      <w:r>
        <w:rPr>
          <w:spacing w:val="-5"/>
        </w:rPr>
        <w:t xml:space="preserve"> </w:t>
      </w:r>
      <w:r>
        <w:t>the</w:t>
      </w:r>
      <w:r>
        <w:rPr>
          <w:spacing w:val="-5"/>
        </w:rPr>
        <w:t xml:space="preserve"> </w:t>
      </w:r>
      <w:r>
        <w:t>strata</w:t>
      </w:r>
      <w:r>
        <w:rPr>
          <w:spacing w:val="-5"/>
        </w:rPr>
        <w:t xml:space="preserve"> </w:t>
      </w:r>
      <w:r>
        <w:t>along</w:t>
      </w:r>
      <w:r>
        <w:rPr>
          <w:spacing w:val="-5"/>
        </w:rPr>
        <w:t xml:space="preserve"> </w:t>
      </w:r>
      <w:r>
        <w:t>with</w:t>
      </w:r>
      <w:r>
        <w:rPr>
          <w:spacing w:val="-5"/>
        </w:rPr>
        <w:t xml:space="preserve"> </w:t>
      </w:r>
      <w:r>
        <w:t>their</w:t>
      </w:r>
      <w:r>
        <w:rPr>
          <w:spacing w:val="-5"/>
        </w:rPr>
        <w:t xml:space="preserve"> </w:t>
      </w:r>
      <w:r>
        <w:t>respective</w:t>
      </w:r>
      <w:r>
        <w:rPr>
          <w:spacing w:val="-5"/>
        </w:rPr>
        <w:t xml:space="preserve"> </w:t>
      </w:r>
      <w:r>
        <w:t>cutoffs.</w:t>
      </w:r>
      <w:r>
        <w:rPr>
          <w:spacing w:val="-9"/>
        </w:rPr>
        <w:t xml:space="preserve"> </w:t>
      </w:r>
      <w:r>
        <w:t>The</w:t>
      </w:r>
      <w:r>
        <w:rPr>
          <w:spacing w:val="-5"/>
        </w:rPr>
        <w:t xml:space="preserve"> </w:t>
      </w:r>
      <w:r>
        <w:t>size</w:t>
      </w:r>
      <w:r>
        <w:rPr>
          <w:spacing w:val="-5"/>
        </w:rPr>
        <w:t xml:space="preserve"> </w:t>
      </w:r>
      <w:r>
        <w:t>of</w:t>
      </w:r>
      <w:r>
        <w:rPr>
          <w:spacing w:val="-5"/>
        </w:rPr>
        <w:t xml:space="preserve"> </w:t>
      </w:r>
      <w:r>
        <w:t>each</w:t>
      </w:r>
      <w:r>
        <w:rPr>
          <w:spacing w:val="-5"/>
        </w:rPr>
        <w:t xml:space="preserve"> </w:t>
      </w:r>
      <w:r>
        <w:t>stratum</w:t>
      </w:r>
      <w:r>
        <w:rPr>
          <w:spacing w:val="-5"/>
        </w:rPr>
        <w:t xml:space="preserve"> </w:t>
      </w:r>
      <w:r>
        <w:t>is</w:t>
      </w:r>
      <w:r>
        <w:rPr>
          <w:spacing w:val="-5"/>
        </w:rPr>
        <w:t xml:space="preserve"> </w:t>
      </w:r>
      <w:r>
        <w:t>given</w:t>
      </w:r>
      <w:r>
        <w:rPr>
          <w:spacing w:val="-5"/>
        </w:rPr>
        <w:t xml:space="preserve"> </w:t>
      </w:r>
      <w:r>
        <w:t>in</w:t>
      </w:r>
      <w:r>
        <w:rPr>
          <w:spacing w:val="-5"/>
        </w:rPr>
        <w:t xml:space="preserve"> </w:t>
      </w:r>
      <w:r>
        <w:t>the</w:t>
      </w:r>
      <w:r>
        <w:rPr>
          <w:spacing w:val="-5"/>
        </w:rPr>
        <w:t xml:space="preserve"> </w:t>
      </w:r>
      <w:r>
        <w:t>last</w:t>
      </w:r>
      <w:r>
        <w:rPr>
          <w:spacing w:val="-5"/>
        </w:rPr>
        <w:t xml:space="preserve"> </w:t>
      </w:r>
      <w:r>
        <w:t>column</w:t>
      </w:r>
      <w:r>
        <w:rPr>
          <w:spacing w:val="-5"/>
        </w:rPr>
        <w:t xml:space="preserve"> </w:t>
      </w:r>
      <w:r>
        <w:t>and</w:t>
      </w:r>
      <w:r>
        <w:rPr>
          <w:spacing w:val="-5"/>
        </w:rPr>
        <w:t xml:space="preserve"> </w:t>
      </w:r>
      <w:r>
        <w:t>is</w:t>
      </w:r>
      <w:r>
        <w:rPr>
          <w:spacing w:val="-5"/>
        </w:rPr>
        <w:t xml:space="preserve"> </w:t>
      </w:r>
      <w:r>
        <w:t>in</w:t>
      </w:r>
      <w:r>
        <w:rPr>
          <w:spacing w:val="-5"/>
        </w:rPr>
        <w:t xml:space="preserve"> </w:t>
      </w:r>
      <w:r>
        <w:t>terms of the number of youths (persons 17 years of age and younger).</w:t>
      </w:r>
    </w:p>
    <w:p w:rsidR="003F5784" w14:paraId="50BD2865" w14:textId="77777777">
      <w:pPr>
        <w:pStyle w:val="BodyText"/>
      </w:pPr>
    </w:p>
    <w:p w:rsidR="003F5784" w14:paraId="03C386DB" w14:textId="77777777">
      <w:pPr>
        <w:pStyle w:val="BodyText"/>
        <w:spacing w:before="86"/>
      </w:pPr>
    </w:p>
    <w:p w:rsidR="003F5784" w14:paraId="7F194311" w14:textId="77777777">
      <w:pPr>
        <w:pStyle w:val="Heading2"/>
      </w:pPr>
      <w:r>
        <w:t>Stratification</w:t>
      </w:r>
      <w:r>
        <w:rPr>
          <w:spacing w:val="-10"/>
        </w:rPr>
        <w:t xml:space="preserve"> </w:t>
      </w:r>
      <w:r>
        <w:t>for</w:t>
      </w:r>
      <w:r>
        <w:rPr>
          <w:spacing w:val="-12"/>
        </w:rPr>
        <w:t xml:space="preserve"> </w:t>
      </w:r>
      <w:r>
        <w:t>Midwest</w:t>
      </w:r>
      <w:r>
        <w:rPr>
          <w:spacing w:val="-10"/>
        </w:rPr>
        <w:t xml:space="preserve"> </w:t>
      </w:r>
      <w:r>
        <w:t>non-metropolitan</w:t>
      </w:r>
      <w:r>
        <w:rPr>
          <w:spacing w:val="-9"/>
        </w:rPr>
        <w:t xml:space="preserve"> </w:t>
      </w:r>
      <w:r>
        <w:t>noncertainty</w:t>
      </w:r>
      <w:r>
        <w:rPr>
          <w:spacing w:val="-9"/>
        </w:rPr>
        <w:t xml:space="preserve"> </w:t>
      </w:r>
      <w:r>
        <w:t>primary</w:t>
      </w:r>
      <w:r>
        <w:rPr>
          <w:spacing w:val="-9"/>
        </w:rPr>
        <w:t xml:space="preserve"> </w:t>
      </w:r>
      <w:r>
        <w:t>sampling</w:t>
      </w:r>
      <w:r>
        <w:rPr>
          <w:spacing w:val="-10"/>
        </w:rPr>
        <w:t xml:space="preserve"> </w:t>
      </w:r>
      <w:r>
        <w:t>units</w:t>
      </w:r>
      <w:r>
        <w:rPr>
          <w:spacing w:val="-9"/>
        </w:rPr>
        <w:t xml:space="preserve"> </w:t>
      </w:r>
      <w:r>
        <w:t>(PSUs),</w:t>
      </w:r>
      <w:r>
        <w:rPr>
          <w:spacing w:val="-9"/>
        </w:rPr>
        <w:t xml:space="preserve"> </w:t>
      </w:r>
      <w:r>
        <w:t>by</w:t>
      </w:r>
      <w:r>
        <w:rPr>
          <w:spacing w:val="-9"/>
        </w:rPr>
        <w:t xml:space="preserve"> </w:t>
      </w:r>
      <w:r>
        <w:t>stratum:</w:t>
      </w:r>
      <w:r>
        <w:rPr>
          <w:spacing w:val="-10"/>
        </w:rPr>
        <w:t xml:space="preserve"> </w:t>
      </w:r>
      <w:r>
        <w:rPr>
          <w:spacing w:val="-4"/>
        </w:rPr>
        <w:t>2022</w:t>
      </w:r>
    </w:p>
    <w:p w:rsidR="003F5784" w14:paraId="072ED645"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931"/>
        <w:gridCol w:w="4964"/>
        <w:gridCol w:w="6000"/>
        <w:gridCol w:w="802"/>
        <w:gridCol w:w="1284"/>
      </w:tblGrid>
      <w:tr w14:paraId="59E77CD9" w14:textId="77777777">
        <w:tblPrEx>
          <w:tblW w:w="0" w:type="auto"/>
          <w:tblInd w:w="482" w:type="dxa"/>
          <w:tblLayout w:type="fixed"/>
          <w:tblCellMar>
            <w:left w:w="0" w:type="dxa"/>
            <w:right w:w="0" w:type="dxa"/>
          </w:tblCellMar>
          <w:tblLook w:val="01E0"/>
        </w:tblPrEx>
        <w:trPr>
          <w:trHeight w:val="502"/>
        </w:trPr>
        <w:tc>
          <w:tcPr>
            <w:tcW w:w="931" w:type="dxa"/>
            <w:tcBorders>
              <w:top w:val="single" w:sz="18" w:space="0" w:color="800000"/>
              <w:bottom w:val="single" w:sz="18" w:space="0" w:color="800000"/>
            </w:tcBorders>
          </w:tcPr>
          <w:p w:rsidR="003F5784" w14:paraId="2ADEC88B" w14:textId="77777777">
            <w:pPr>
              <w:pStyle w:val="TableParagraph"/>
              <w:spacing w:before="2"/>
              <w:jc w:val="left"/>
              <w:rPr>
                <w:b/>
                <w:sz w:val="21"/>
              </w:rPr>
            </w:pPr>
          </w:p>
          <w:p w:rsidR="003F5784" w14:paraId="3FC04E2B" w14:textId="77777777">
            <w:pPr>
              <w:pStyle w:val="TableParagraph"/>
              <w:spacing w:before="0" w:line="238" w:lineRule="exact"/>
              <w:ind w:left="120"/>
              <w:jc w:val="left"/>
              <w:rPr>
                <w:sz w:val="21"/>
              </w:rPr>
            </w:pPr>
            <w:r>
              <w:rPr>
                <w:spacing w:val="-2"/>
                <w:sz w:val="21"/>
              </w:rPr>
              <w:t>Stratum</w:t>
            </w:r>
          </w:p>
        </w:tc>
        <w:tc>
          <w:tcPr>
            <w:tcW w:w="4964" w:type="dxa"/>
            <w:tcBorders>
              <w:top w:val="single" w:sz="18" w:space="0" w:color="800000"/>
              <w:bottom w:val="single" w:sz="18" w:space="0" w:color="800000"/>
            </w:tcBorders>
          </w:tcPr>
          <w:p w:rsidR="003F5784" w14:paraId="4F83A103" w14:textId="77777777">
            <w:pPr>
              <w:pStyle w:val="TableParagraph"/>
              <w:spacing w:before="2"/>
              <w:jc w:val="left"/>
              <w:rPr>
                <w:b/>
                <w:sz w:val="21"/>
              </w:rPr>
            </w:pPr>
          </w:p>
          <w:p w:rsidR="003F5784" w14:paraId="07C4BE52" w14:textId="77777777">
            <w:pPr>
              <w:pStyle w:val="TableParagraph"/>
              <w:spacing w:before="0" w:line="238" w:lineRule="exact"/>
              <w:ind w:right="1377"/>
              <w:rPr>
                <w:sz w:val="21"/>
              </w:rPr>
            </w:pPr>
            <w:r>
              <w:rPr>
                <w:sz w:val="21"/>
              </w:rPr>
              <w:t>Primary</w:t>
            </w:r>
            <w:r>
              <w:rPr>
                <w:spacing w:val="-8"/>
                <w:sz w:val="21"/>
              </w:rPr>
              <w:t xml:space="preserve"> </w:t>
            </w:r>
            <w:r>
              <w:rPr>
                <w:spacing w:val="-2"/>
                <w:sz w:val="21"/>
              </w:rPr>
              <w:t>stratifier</w:t>
            </w:r>
          </w:p>
        </w:tc>
        <w:tc>
          <w:tcPr>
            <w:tcW w:w="6000" w:type="dxa"/>
            <w:tcBorders>
              <w:top w:val="single" w:sz="18" w:space="0" w:color="800000"/>
              <w:bottom w:val="single" w:sz="18" w:space="0" w:color="800000"/>
            </w:tcBorders>
          </w:tcPr>
          <w:p w:rsidR="003F5784" w14:paraId="21C5F52E" w14:textId="77777777">
            <w:pPr>
              <w:pStyle w:val="TableParagraph"/>
              <w:spacing w:before="2"/>
              <w:jc w:val="left"/>
              <w:rPr>
                <w:b/>
                <w:sz w:val="21"/>
              </w:rPr>
            </w:pPr>
          </w:p>
          <w:p w:rsidR="003F5784" w14:paraId="425BB1B0" w14:textId="77777777">
            <w:pPr>
              <w:pStyle w:val="TableParagraph"/>
              <w:spacing w:before="0" w:line="238" w:lineRule="exact"/>
              <w:ind w:right="114"/>
              <w:rPr>
                <w:sz w:val="21"/>
              </w:rPr>
            </w:pPr>
            <w:r>
              <w:rPr>
                <w:sz w:val="21"/>
              </w:rPr>
              <w:t>Secondary</w:t>
            </w:r>
            <w:r>
              <w:rPr>
                <w:spacing w:val="-10"/>
                <w:sz w:val="21"/>
              </w:rPr>
              <w:t xml:space="preserve"> </w:t>
            </w:r>
            <w:r>
              <w:rPr>
                <w:spacing w:val="-2"/>
                <w:sz w:val="21"/>
              </w:rPr>
              <w:t>stratifier</w:t>
            </w:r>
          </w:p>
        </w:tc>
        <w:tc>
          <w:tcPr>
            <w:tcW w:w="802" w:type="dxa"/>
            <w:tcBorders>
              <w:top w:val="single" w:sz="18" w:space="0" w:color="800000"/>
              <w:bottom w:val="single" w:sz="18" w:space="0" w:color="800000"/>
            </w:tcBorders>
          </w:tcPr>
          <w:p w:rsidR="003F5784" w14:paraId="52BC8DD2" w14:textId="77777777">
            <w:pPr>
              <w:pStyle w:val="TableParagraph"/>
              <w:spacing w:before="2"/>
              <w:jc w:val="left"/>
              <w:rPr>
                <w:b/>
                <w:sz w:val="21"/>
              </w:rPr>
            </w:pPr>
          </w:p>
          <w:p w:rsidR="003F5784" w14:paraId="269985CF" w14:textId="77777777">
            <w:pPr>
              <w:pStyle w:val="TableParagraph"/>
              <w:spacing w:before="0" w:line="238" w:lineRule="exact"/>
              <w:ind w:right="217"/>
              <w:rPr>
                <w:sz w:val="21"/>
              </w:rPr>
            </w:pPr>
            <w:r>
              <w:rPr>
                <w:spacing w:val="-4"/>
                <w:sz w:val="21"/>
              </w:rPr>
              <w:t>PSUs</w:t>
            </w:r>
          </w:p>
        </w:tc>
        <w:tc>
          <w:tcPr>
            <w:tcW w:w="1284" w:type="dxa"/>
            <w:tcBorders>
              <w:top w:val="single" w:sz="18" w:space="0" w:color="800000"/>
              <w:bottom w:val="single" w:sz="18" w:space="0" w:color="800000"/>
            </w:tcBorders>
          </w:tcPr>
          <w:p w:rsidR="003F5784" w14:paraId="6AAF2BD7" w14:textId="77777777">
            <w:pPr>
              <w:pStyle w:val="TableParagraph"/>
              <w:spacing w:before="9" w:line="238" w:lineRule="exact"/>
              <w:ind w:right="114"/>
              <w:rPr>
                <w:sz w:val="21"/>
              </w:rPr>
            </w:pPr>
            <w:r>
              <w:rPr>
                <w:sz w:val="21"/>
              </w:rPr>
              <w:t>Measure</w:t>
            </w:r>
            <w:r>
              <w:rPr>
                <w:spacing w:val="-9"/>
                <w:sz w:val="21"/>
              </w:rPr>
              <w:t xml:space="preserve"> </w:t>
            </w:r>
            <w:r>
              <w:rPr>
                <w:spacing w:val="-5"/>
                <w:sz w:val="21"/>
              </w:rPr>
              <w:t>of</w:t>
            </w:r>
          </w:p>
          <w:p w:rsidR="003F5784" w14:paraId="5D31C88C" w14:textId="77777777">
            <w:pPr>
              <w:pStyle w:val="TableParagraph"/>
              <w:spacing w:before="0" w:line="235" w:lineRule="exact"/>
              <w:ind w:right="114"/>
              <w:rPr>
                <w:sz w:val="21"/>
              </w:rPr>
            </w:pPr>
            <w:r>
              <w:rPr>
                <w:spacing w:val="-4"/>
                <w:sz w:val="21"/>
              </w:rPr>
              <w:t>size</w:t>
            </w:r>
          </w:p>
        </w:tc>
      </w:tr>
      <w:tr w14:paraId="6BE82608" w14:textId="77777777">
        <w:tblPrEx>
          <w:tblW w:w="0" w:type="auto"/>
          <w:tblInd w:w="482" w:type="dxa"/>
          <w:tblLayout w:type="fixed"/>
          <w:tblCellMar>
            <w:left w:w="0" w:type="dxa"/>
            <w:right w:w="0" w:type="dxa"/>
          </w:tblCellMar>
          <w:tblLook w:val="01E0"/>
        </w:tblPrEx>
        <w:trPr>
          <w:trHeight w:val="278"/>
        </w:trPr>
        <w:tc>
          <w:tcPr>
            <w:tcW w:w="931" w:type="dxa"/>
            <w:tcBorders>
              <w:top w:val="single" w:sz="18" w:space="0" w:color="800000"/>
            </w:tcBorders>
          </w:tcPr>
          <w:p w:rsidR="003F5784" w14:paraId="20AD7071" w14:textId="77777777">
            <w:pPr>
              <w:pStyle w:val="TableParagraph"/>
              <w:spacing w:before="9"/>
              <w:ind w:left="370"/>
              <w:jc w:val="left"/>
              <w:rPr>
                <w:b/>
                <w:sz w:val="21"/>
              </w:rPr>
            </w:pPr>
            <w:r>
              <w:rPr>
                <w:b/>
                <w:spacing w:val="-2"/>
                <w:sz w:val="21"/>
              </w:rPr>
              <w:t>Total</w:t>
            </w:r>
          </w:p>
        </w:tc>
        <w:tc>
          <w:tcPr>
            <w:tcW w:w="4964" w:type="dxa"/>
            <w:tcBorders>
              <w:top w:val="single" w:sz="18" w:space="0" w:color="800000"/>
            </w:tcBorders>
          </w:tcPr>
          <w:p w:rsidR="003F5784" w14:paraId="38BF7033" w14:textId="77777777">
            <w:pPr>
              <w:pStyle w:val="TableParagraph"/>
              <w:spacing w:before="9"/>
              <w:ind w:right="1377"/>
              <w:rPr>
                <w:b/>
                <w:sz w:val="21"/>
              </w:rPr>
            </w:pPr>
            <w:r>
              <w:rPr>
                <w:b/>
                <w:spacing w:val="-10"/>
                <w:sz w:val="21"/>
              </w:rPr>
              <w:t>†</w:t>
            </w:r>
          </w:p>
        </w:tc>
        <w:tc>
          <w:tcPr>
            <w:tcW w:w="6000" w:type="dxa"/>
            <w:tcBorders>
              <w:top w:val="single" w:sz="18" w:space="0" w:color="800000"/>
            </w:tcBorders>
          </w:tcPr>
          <w:p w:rsidR="003F5784" w14:paraId="23402381" w14:textId="77777777">
            <w:pPr>
              <w:pStyle w:val="TableParagraph"/>
              <w:spacing w:before="9"/>
              <w:ind w:right="114"/>
              <w:rPr>
                <w:b/>
                <w:sz w:val="21"/>
              </w:rPr>
            </w:pPr>
            <w:r>
              <w:rPr>
                <w:b/>
                <w:spacing w:val="-10"/>
                <w:sz w:val="21"/>
              </w:rPr>
              <w:t>†</w:t>
            </w:r>
          </w:p>
        </w:tc>
        <w:tc>
          <w:tcPr>
            <w:tcW w:w="802" w:type="dxa"/>
            <w:tcBorders>
              <w:top w:val="single" w:sz="18" w:space="0" w:color="800000"/>
            </w:tcBorders>
          </w:tcPr>
          <w:p w:rsidR="003F5784" w14:paraId="6E9ED092" w14:textId="77777777">
            <w:pPr>
              <w:pStyle w:val="TableParagraph"/>
              <w:spacing w:before="9"/>
              <w:ind w:right="217"/>
              <w:rPr>
                <w:b/>
                <w:sz w:val="21"/>
              </w:rPr>
            </w:pPr>
            <w:r>
              <w:rPr>
                <w:b/>
                <w:spacing w:val="-5"/>
                <w:sz w:val="21"/>
              </w:rPr>
              <w:t>228</w:t>
            </w:r>
          </w:p>
        </w:tc>
        <w:tc>
          <w:tcPr>
            <w:tcW w:w="1284" w:type="dxa"/>
            <w:tcBorders>
              <w:top w:val="single" w:sz="18" w:space="0" w:color="800000"/>
            </w:tcBorders>
          </w:tcPr>
          <w:p w:rsidR="003F5784" w14:paraId="5DB46088" w14:textId="77777777">
            <w:pPr>
              <w:pStyle w:val="TableParagraph"/>
              <w:spacing w:before="9"/>
              <w:ind w:right="114"/>
              <w:rPr>
                <w:b/>
                <w:sz w:val="21"/>
              </w:rPr>
            </w:pPr>
            <w:r>
              <w:rPr>
                <w:b/>
                <w:spacing w:val="-2"/>
                <w:sz w:val="21"/>
              </w:rPr>
              <w:t>3,388,214</w:t>
            </w:r>
          </w:p>
        </w:tc>
      </w:tr>
      <w:tr w14:paraId="0529309C" w14:textId="77777777">
        <w:tblPrEx>
          <w:tblW w:w="0" w:type="auto"/>
          <w:tblInd w:w="482" w:type="dxa"/>
          <w:tblLayout w:type="fixed"/>
          <w:tblCellMar>
            <w:left w:w="0" w:type="dxa"/>
            <w:right w:w="0" w:type="dxa"/>
          </w:tblCellMar>
          <w:tblLook w:val="01E0"/>
        </w:tblPrEx>
        <w:trPr>
          <w:trHeight w:val="521"/>
        </w:trPr>
        <w:tc>
          <w:tcPr>
            <w:tcW w:w="931" w:type="dxa"/>
          </w:tcPr>
          <w:p w:rsidR="003F5784" w14:paraId="4407FEF0" w14:textId="77777777">
            <w:pPr>
              <w:pStyle w:val="TableParagraph"/>
              <w:ind w:left="120"/>
              <w:jc w:val="left"/>
              <w:rPr>
                <w:sz w:val="21"/>
              </w:rPr>
            </w:pPr>
            <w:r>
              <w:rPr>
                <w:spacing w:val="-10"/>
                <w:sz w:val="21"/>
              </w:rPr>
              <w:t>1</w:t>
            </w:r>
          </w:p>
        </w:tc>
        <w:tc>
          <w:tcPr>
            <w:tcW w:w="4964" w:type="dxa"/>
          </w:tcPr>
          <w:p w:rsidR="003F5784" w14:paraId="01CC04C0" w14:textId="77777777">
            <w:pPr>
              <w:pStyle w:val="TableParagraph"/>
              <w:spacing w:line="238" w:lineRule="exact"/>
              <w:ind w:right="1377"/>
              <w:rPr>
                <w:sz w:val="21"/>
              </w:rPr>
            </w:pPr>
            <w:r>
              <w:rPr>
                <w:sz w:val="21"/>
              </w:rPr>
              <w:t>Percentage</w:t>
            </w:r>
            <w:r>
              <w:rPr>
                <w:spacing w:val="-7"/>
                <w:sz w:val="21"/>
              </w:rPr>
              <w:t xml:space="preserve"> </w:t>
            </w:r>
            <w:r>
              <w:rPr>
                <w:sz w:val="21"/>
              </w:rPr>
              <w:t>of</w:t>
            </w:r>
            <w:r>
              <w:rPr>
                <w:spacing w:val="-6"/>
                <w:sz w:val="21"/>
              </w:rPr>
              <w:t xml:space="preserve"> </w:t>
            </w:r>
            <w:r>
              <w:rPr>
                <w:sz w:val="21"/>
              </w:rPr>
              <w:t>children</w:t>
            </w:r>
            <w:r>
              <w:rPr>
                <w:spacing w:val="-6"/>
                <w:sz w:val="21"/>
              </w:rPr>
              <w:t xml:space="preserve"> </w:t>
            </w:r>
            <w:r>
              <w:rPr>
                <w:sz w:val="21"/>
              </w:rPr>
              <w:t>below</w:t>
            </w:r>
            <w:r>
              <w:rPr>
                <w:spacing w:val="-6"/>
                <w:sz w:val="21"/>
              </w:rPr>
              <w:t xml:space="preserve"> </w:t>
            </w:r>
            <w:r>
              <w:rPr>
                <w:sz w:val="21"/>
              </w:rPr>
              <w:t>the</w:t>
            </w:r>
            <w:r>
              <w:rPr>
                <w:spacing w:val="-6"/>
                <w:sz w:val="21"/>
              </w:rPr>
              <w:t xml:space="preserve"> </w:t>
            </w:r>
            <w:r>
              <w:rPr>
                <w:spacing w:val="-2"/>
                <w:sz w:val="21"/>
              </w:rPr>
              <w:t>poverty</w:t>
            </w:r>
          </w:p>
          <w:p w:rsidR="003F5784" w14:paraId="0ADED8C6" w14:textId="77777777">
            <w:pPr>
              <w:pStyle w:val="TableParagraph"/>
              <w:spacing w:before="0" w:line="238" w:lineRule="exact"/>
              <w:ind w:right="1377"/>
              <w:rPr>
                <w:sz w:val="21"/>
              </w:rPr>
            </w:pPr>
            <w:r>
              <w:rPr>
                <w:sz w:val="21"/>
              </w:rPr>
              <w:t>line</w:t>
            </w:r>
            <w:r>
              <w:rPr>
                <w:spacing w:val="-4"/>
                <w:sz w:val="21"/>
              </w:rPr>
              <w:t xml:space="preserve"> </w:t>
            </w:r>
            <w:r>
              <w:rPr>
                <w:sz w:val="21"/>
              </w:rPr>
              <w:t>&lt;=</w:t>
            </w:r>
            <w:r>
              <w:rPr>
                <w:spacing w:val="-4"/>
                <w:sz w:val="21"/>
              </w:rPr>
              <w:t xml:space="preserve"> 16.1</w:t>
            </w:r>
          </w:p>
        </w:tc>
        <w:tc>
          <w:tcPr>
            <w:tcW w:w="6000" w:type="dxa"/>
          </w:tcPr>
          <w:p w:rsidR="003F5784" w14:paraId="222EDF0D" w14:textId="77777777">
            <w:pPr>
              <w:pStyle w:val="TableParagraph"/>
              <w:ind w:right="114"/>
              <w:rPr>
                <w:sz w:val="21"/>
              </w:rPr>
            </w:pPr>
            <w:r>
              <w:rPr>
                <w:sz w:val="21"/>
              </w:rPr>
              <w:t>Percentage</w:t>
            </w:r>
            <w:r>
              <w:rPr>
                <w:spacing w:val="-6"/>
                <w:sz w:val="21"/>
              </w:rPr>
              <w:t xml:space="preserve"> </w:t>
            </w:r>
            <w:r>
              <w:rPr>
                <w:sz w:val="21"/>
              </w:rPr>
              <w:t>of</w:t>
            </w:r>
            <w:r>
              <w:rPr>
                <w:spacing w:val="-6"/>
                <w:sz w:val="21"/>
              </w:rPr>
              <w:t xml:space="preserve"> </w:t>
            </w:r>
            <w:r>
              <w:rPr>
                <w:sz w:val="21"/>
              </w:rPr>
              <w:t>children</w:t>
            </w:r>
            <w:r>
              <w:rPr>
                <w:spacing w:val="-6"/>
                <w:sz w:val="21"/>
              </w:rPr>
              <w:t xml:space="preserve"> </w:t>
            </w:r>
            <w:r>
              <w:rPr>
                <w:sz w:val="21"/>
              </w:rPr>
              <w:t>below</w:t>
            </w:r>
            <w:r>
              <w:rPr>
                <w:spacing w:val="-5"/>
                <w:sz w:val="21"/>
              </w:rPr>
              <w:t xml:space="preserve"> </w:t>
            </w:r>
            <w:r>
              <w:rPr>
                <w:sz w:val="21"/>
              </w:rPr>
              <w:t>the</w:t>
            </w:r>
            <w:r>
              <w:rPr>
                <w:spacing w:val="-6"/>
                <w:sz w:val="21"/>
              </w:rPr>
              <w:t xml:space="preserve"> </w:t>
            </w:r>
            <w:r>
              <w:rPr>
                <w:sz w:val="21"/>
              </w:rPr>
              <w:t>poverty</w:t>
            </w:r>
            <w:r>
              <w:rPr>
                <w:spacing w:val="-6"/>
                <w:sz w:val="21"/>
              </w:rPr>
              <w:t xml:space="preserve"> </w:t>
            </w:r>
            <w:r>
              <w:rPr>
                <w:sz w:val="21"/>
              </w:rPr>
              <w:t>line</w:t>
            </w:r>
            <w:r>
              <w:rPr>
                <w:spacing w:val="-5"/>
                <w:sz w:val="21"/>
              </w:rPr>
              <w:t xml:space="preserve"> </w:t>
            </w:r>
            <w:r>
              <w:rPr>
                <w:sz w:val="21"/>
              </w:rPr>
              <w:t>&lt;=</w:t>
            </w:r>
            <w:r>
              <w:rPr>
                <w:spacing w:val="-6"/>
                <w:sz w:val="21"/>
              </w:rPr>
              <w:t xml:space="preserve"> </w:t>
            </w:r>
            <w:r>
              <w:rPr>
                <w:spacing w:val="-4"/>
                <w:sz w:val="21"/>
              </w:rPr>
              <w:t>13.7</w:t>
            </w:r>
          </w:p>
        </w:tc>
        <w:tc>
          <w:tcPr>
            <w:tcW w:w="802" w:type="dxa"/>
          </w:tcPr>
          <w:p w:rsidR="003F5784" w14:paraId="7B2FCC41" w14:textId="77777777">
            <w:pPr>
              <w:pStyle w:val="TableParagraph"/>
              <w:ind w:right="217"/>
              <w:rPr>
                <w:sz w:val="21"/>
              </w:rPr>
            </w:pPr>
            <w:r>
              <w:rPr>
                <w:spacing w:val="-5"/>
                <w:sz w:val="21"/>
              </w:rPr>
              <w:t>41</w:t>
            </w:r>
          </w:p>
        </w:tc>
        <w:tc>
          <w:tcPr>
            <w:tcW w:w="1284" w:type="dxa"/>
          </w:tcPr>
          <w:p w:rsidR="003F5784" w14:paraId="73BBC2B3" w14:textId="77777777">
            <w:pPr>
              <w:pStyle w:val="TableParagraph"/>
              <w:ind w:right="114"/>
              <w:rPr>
                <w:sz w:val="21"/>
              </w:rPr>
            </w:pPr>
            <w:r>
              <w:rPr>
                <w:spacing w:val="-2"/>
                <w:sz w:val="21"/>
              </w:rPr>
              <w:t>573,682</w:t>
            </w:r>
          </w:p>
        </w:tc>
      </w:tr>
      <w:tr w14:paraId="0F596FC7" w14:textId="77777777">
        <w:tblPrEx>
          <w:tblW w:w="0" w:type="auto"/>
          <w:tblInd w:w="482" w:type="dxa"/>
          <w:tblLayout w:type="fixed"/>
          <w:tblCellMar>
            <w:left w:w="0" w:type="dxa"/>
            <w:right w:w="0" w:type="dxa"/>
          </w:tblCellMar>
          <w:tblLook w:val="01E0"/>
        </w:tblPrEx>
        <w:trPr>
          <w:trHeight w:val="523"/>
        </w:trPr>
        <w:tc>
          <w:tcPr>
            <w:tcW w:w="931" w:type="dxa"/>
            <w:tcBorders>
              <w:bottom w:val="single" w:sz="18" w:space="0" w:color="800000"/>
            </w:tcBorders>
          </w:tcPr>
          <w:p w:rsidR="003F5784" w14:paraId="183A9396" w14:textId="77777777">
            <w:pPr>
              <w:pStyle w:val="TableParagraph"/>
              <w:ind w:left="120"/>
              <w:jc w:val="left"/>
              <w:rPr>
                <w:sz w:val="21"/>
              </w:rPr>
            </w:pPr>
            <w:r>
              <w:rPr>
                <w:spacing w:val="-10"/>
                <w:sz w:val="21"/>
              </w:rPr>
              <w:t>2</w:t>
            </w:r>
          </w:p>
        </w:tc>
        <w:tc>
          <w:tcPr>
            <w:tcW w:w="4964" w:type="dxa"/>
            <w:tcBorders>
              <w:bottom w:val="single" w:sz="18" w:space="0" w:color="800000"/>
            </w:tcBorders>
          </w:tcPr>
          <w:p w:rsidR="003F5784" w14:paraId="1A3C9CD7" w14:textId="77777777">
            <w:pPr>
              <w:pStyle w:val="TableParagraph"/>
              <w:spacing w:line="238" w:lineRule="exact"/>
              <w:ind w:right="1377"/>
              <w:rPr>
                <w:sz w:val="21"/>
              </w:rPr>
            </w:pPr>
            <w:r>
              <w:rPr>
                <w:sz w:val="21"/>
              </w:rPr>
              <w:t>Percentage</w:t>
            </w:r>
            <w:r>
              <w:rPr>
                <w:spacing w:val="-7"/>
                <w:sz w:val="21"/>
              </w:rPr>
              <w:t xml:space="preserve"> </w:t>
            </w:r>
            <w:r>
              <w:rPr>
                <w:sz w:val="21"/>
              </w:rPr>
              <w:t>of</w:t>
            </w:r>
            <w:r>
              <w:rPr>
                <w:spacing w:val="-6"/>
                <w:sz w:val="21"/>
              </w:rPr>
              <w:t xml:space="preserve"> </w:t>
            </w:r>
            <w:r>
              <w:rPr>
                <w:sz w:val="21"/>
              </w:rPr>
              <w:t>children</w:t>
            </w:r>
            <w:r>
              <w:rPr>
                <w:spacing w:val="-6"/>
                <w:sz w:val="21"/>
              </w:rPr>
              <w:t xml:space="preserve"> </w:t>
            </w:r>
            <w:r>
              <w:rPr>
                <w:sz w:val="21"/>
              </w:rPr>
              <w:t>below</w:t>
            </w:r>
            <w:r>
              <w:rPr>
                <w:spacing w:val="-6"/>
                <w:sz w:val="21"/>
              </w:rPr>
              <w:t xml:space="preserve"> </w:t>
            </w:r>
            <w:r>
              <w:rPr>
                <w:sz w:val="21"/>
              </w:rPr>
              <w:t>the</w:t>
            </w:r>
            <w:r>
              <w:rPr>
                <w:spacing w:val="-6"/>
                <w:sz w:val="21"/>
              </w:rPr>
              <w:t xml:space="preserve"> </w:t>
            </w:r>
            <w:r>
              <w:rPr>
                <w:spacing w:val="-2"/>
                <w:sz w:val="21"/>
              </w:rPr>
              <w:t>poverty</w:t>
            </w:r>
          </w:p>
          <w:p w:rsidR="003F5784" w14:paraId="22599230" w14:textId="77777777">
            <w:pPr>
              <w:pStyle w:val="TableParagraph"/>
              <w:spacing w:before="0" w:line="238" w:lineRule="exact"/>
              <w:ind w:right="1377"/>
              <w:rPr>
                <w:sz w:val="21"/>
              </w:rPr>
            </w:pPr>
            <w:r>
              <w:rPr>
                <w:sz w:val="21"/>
              </w:rPr>
              <w:t>line</w:t>
            </w:r>
            <w:r>
              <w:rPr>
                <w:spacing w:val="-4"/>
                <w:sz w:val="21"/>
              </w:rPr>
              <w:t xml:space="preserve"> </w:t>
            </w:r>
            <w:r>
              <w:rPr>
                <w:sz w:val="21"/>
              </w:rPr>
              <w:t>&lt;=</w:t>
            </w:r>
            <w:r>
              <w:rPr>
                <w:spacing w:val="-4"/>
                <w:sz w:val="21"/>
              </w:rPr>
              <w:t xml:space="preserve"> 16.1</w:t>
            </w:r>
          </w:p>
        </w:tc>
        <w:tc>
          <w:tcPr>
            <w:tcW w:w="6000" w:type="dxa"/>
            <w:tcBorders>
              <w:bottom w:val="single" w:sz="18" w:space="0" w:color="800000"/>
            </w:tcBorders>
          </w:tcPr>
          <w:p w:rsidR="003F5784" w14:paraId="614A0A1C" w14:textId="77777777">
            <w:pPr>
              <w:pStyle w:val="TableParagraph"/>
              <w:ind w:right="114"/>
              <w:rPr>
                <w:sz w:val="21"/>
              </w:rPr>
            </w:pPr>
            <w:r>
              <w:rPr>
                <w:sz w:val="21"/>
              </w:rPr>
              <w:t>Percentage</w:t>
            </w:r>
            <w:r>
              <w:rPr>
                <w:spacing w:val="-6"/>
                <w:sz w:val="21"/>
              </w:rPr>
              <w:t xml:space="preserve"> </w:t>
            </w:r>
            <w:r>
              <w:rPr>
                <w:sz w:val="21"/>
              </w:rPr>
              <w:t>of</w:t>
            </w:r>
            <w:r>
              <w:rPr>
                <w:spacing w:val="-6"/>
                <w:sz w:val="21"/>
              </w:rPr>
              <w:t xml:space="preserve"> </w:t>
            </w:r>
            <w:r>
              <w:rPr>
                <w:sz w:val="21"/>
              </w:rPr>
              <w:t>children</w:t>
            </w:r>
            <w:r>
              <w:rPr>
                <w:spacing w:val="-5"/>
                <w:sz w:val="21"/>
              </w:rPr>
              <w:t xml:space="preserve"> </w:t>
            </w:r>
            <w:r>
              <w:rPr>
                <w:sz w:val="21"/>
              </w:rPr>
              <w:t>below</w:t>
            </w:r>
            <w:r>
              <w:rPr>
                <w:spacing w:val="-6"/>
                <w:sz w:val="21"/>
              </w:rPr>
              <w:t xml:space="preserve"> </w:t>
            </w:r>
            <w:r>
              <w:rPr>
                <w:sz w:val="21"/>
              </w:rPr>
              <w:t>the</w:t>
            </w:r>
            <w:r>
              <w:rPr>
                <w:spacing w:val="-5"/>
                <w:sz w:val="21"/>
              </w:rPr>
              <w:t xml:space="preserve"> </w:t>
            </w:r>
            <w:r>
              <w:rPr>
                <w:sz w:val="21"/>
              </w:rPr>
              <w:t>poverty</w:t>
            </w:r>
            <w:r>
              <w:rPr>
                <w:spacing w:val="-6"/>
                <w:sz w:val="21"/>
              </w:rPr>
              <w:t xml:space="preserve"> </w:t>
            </w:r>
            <w:r>
              <w:rPr>
                <w:sz w:val="21"/>
              </w:rPr>
              <w:t>line</w:t>
            </w:r>
            <w:r>
              <w:rPr>
                <w:spacing w:val="-5"/>
                <w:sz w:val="21"/>
              </w:rPr>
              <w:t xml:space="preserve"> </w:t>
            </w:r>
            <w:r>
              <w:rPr>
                <w:sz w:val="21"/>
              </w:rPr>
              <w:t>&gt;</w:t>
            </w:r>
            <w:r>
              <w:rPr>
                <w:spacing w:val="-6"/>
                <w:sz w:val="21"/>
              </w:rPr>
              <w:t xml:space="preserve"> </w:t>
            </w:r>
            <w:r>
              <w:rPr>
                <w:spacing w:val="-4"/>
                <w:sz w:val="21"/>
              </w:rPr>
              <w:t>13.7</w:t>
            </w:r>
          </w:p>
        </w:tc>
        <w:tc>
          <w:tcPr>
            <w:tcW w:w="802" w:type="dxa"/>
            <w:tcBorders>
              <w:bottom w:val="single" w:sz="18" w:space="0" w:color="800000"/>
            </w:tcBorders>
          </w:tcPr>
          <w:p w:rsidR="003F5784" w14:paraId="7072C9BB" w14:textId="77777777">
            <w:pPr>
              <w:pStyle w:val="TableParagraph"/>
              <w:ind w:right="217"/>
              <w:rPr>
                <w:sz w:val="21"/>
              </w:rPr>
            </w:pPr>
            <w:r>
              <w:rPr>
                <w:spacing w:val="-5"/>
                <w:sz w:val="21"/>
              </w:rPr>
              <w:t>36</w:t>
            </w:r>
          </w:p>
        </w:tc>
        <w:tc>
          <w:tcPr>
            <w:tcW w:w="1284" w:type="dxa"/>
            <w:tcBorders>
              <w:bottom w:val="single" w:sz="18" w:space="0" w:color="800000"/>
            </w:tcBorders>
          </w:tcPr>
          <w:p w:rsidR="003F5784" w14:paraId="7EB20AE8" w14:textId="77777777">
            <w:pPr>
              <w:pStyle w:val="TableParagraph"/>
              <w:ind w:right="114"/>
              <w:rPr>
                <w:sz w:val="21"/>
              </w:rPr>
            </w:pPr>
            <w:r>
              <w:rPr>
                <w:spacing w:val="-2"/>
                <w:sz w:val="21"/>
              </w:rPr>
              <w:t>580,649</w:t>
            </w:r>
          </w:p>
        </w:tc>
      </w:tr>
      <w:tr w14:paraId="5360F95A" w14:textId="77777777">
        <w:tblPrEx>
          <w:tblW w:w="0" w:type="auto"/>
          <w:tblInd w:w="482" w:type="dxa"/>
          <w:tblLayout w:type="fixed"/>
          <w:tblCellMar>
            <w:left w:w="0" w:type="dxa"/>
            <w:right w:w="0" w:type="dxa"/>
          </w:tblCellMar>
          <w:tblLook w:val="01E0"/>
        </w:tblPrEx>
        <w:trPr>
          <w:trHeight w:val="237"/>
        </w:trPr>
        <w:tc>
          <w:tcPr>
            <w:tcW w:w="5895" w:type="dxa"/>
            <w:gridSpan w:val="2"/>
            <w:tcBorders>
              <w:top w:val="single" w:sz="18" w:space="0" w:color="800000"/>
            </w:tcBorders>
          </w:tcPr>
          <w:p w:rsidR="003F5784" w14:paraId="7521E4C1" w14:textId="77777777">
            <w:pPr>
              <w:pStyle w:val="TableParagraph"/>
              <w:spacing w:before="0" w:line="218" w:lineRule="exact"/>
              <w:ind w:left="120"/>
              <w:jc w:val="left"/>
              <w:rPr>
                <w:sz w:val="21"/>
              </w:rPr>
            </w:pPr>
            <w:r>
              <w:rPr>
                <w:sz w:val="21"/>
              </w:rPr>
              <w:t>†</w:t>
            </w:r>
            <w:r>
              <w:rPr>
                <w:spacing w:val="-4"/>
                <w:sz w:val="21"/>
              </w:rPr>
              <w:t xml:space="preserve"> </w:t>
            </w:r>
            <w:r>
              <w:rPr>
                <w:sz w:val="21"/>
              </w:rPr>
              <w:t>Not</w:t>
            </w:r>
            <w:r>
              <w:rPr>
                <w:spacing w:val="-3"/>
                <w:sz w:val="21"/>
              </w:rPr>
              <w:t xml:space="preserve"> </w:t>
            </w:r>
            <w:r>
              <w:rPr>
                <w:spacing w:val="-2"/>
                <w:sz w:val="21"/>
              </w:rPr>
              <w:t>applicable.</w:t>
            </w:r>
          </w:p>
        </w:tc>
        <w:tc>
          <w:tcPr>
            <w:tcW w:w="6000" w:type="dxa"/>
            <w:tcBorders>
              <w:top w:val="single" w:sz="18" w:space="0" w:color="800000"/>
            </w:tcBorders>
          </w:tcPr>
          <w:p w:rsidR="003F5784" w14:paraId="3051BA8C" w14:textId="77777777">
            <w:pPr>
              <w:pStyle w:val="TableParagraph"/>
              <w:spacing w:before="0"/>
              <w:jc w:val="left"/>
              <w:rPr>
                <w:sz w:val="16"/>
              </w:rPr>
            </w:pPr>
          </w:p>
        </w:tc>
        <w:tc>
          <w:tcPr>
            <w:tcW w:w="802" w:type="dxa"/>
            <w:tcBorders>
              <w:top w:val="single" w:sz="18" w:space="0" w:color="800000"/>
            </w:tcBorders>
          </w:tcPr>
          <w:p w:rsidR="003F5784" w14:paraId="4A6E5F35" w14:textId="77777777">
            <w:pPr>
              <w:pStyle w:val="TableParagraph"/>
              <w:spacing w:before="0"/>
              <w:jc w:val="left"/>
              <w:rPr>
                <w:sz w:val="16"/>
              </w:rPr>
            </w:pPr>
          </w:p>
        </w:tc>
        <w:tc>
          <w:tcPr>
            <w:tcW w:w="1284" w:type="dxa"/>
            <w:tcBorders>
              <w:top w:val="single" w:sz="18" w:space="0" w:color="800000"/>
            </w:tcBorders>
          </w:tcPr>
          <w:p w:rsidR="003F5784" w14:paraId="07473FA3" w14:textId="77777777">
            <w:pPr>
              <w:pStyle w:val="TableParagraph"/>
              <w:spacing w:before="0"/>
              <w:jc w:val="left"/>
              <w:rPr>
                <w:sz w:val="16"/>
              </w:rPr>
            </w:pPr>
          </w:p>
        </w:tc>
      </w:tr>
    </w:tbl>
    <w:p w:rsidR="003F5784" w14:paraId="4A4AC0D2" w14:textId="77777777">
      <w:pPr>
        <w:pStyle w:val="BodyText"/>
        <w:spacing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30D40AF0" w14:textId="77777777">
      <w:pPr>
        <w:spacing w:line="232" w:lineRule="auto"/>
        <w:sectPr>
          <w:type w:val="continuous"/>
          <w:pgSz w:w="15840" w:h="12240" w:orient="landscape"/>
          <w:pgMar w:top="480" w:right="440" w:bottom="460" w:left="460" w:header="284" w:footer="275" w:gutter="0"/>
          <w:cols w:space="720"/>
        </w:sectPr>
      </w:pPr>
    </w:p>
    <w:p w:rsidR="003F5784" w14:paraId="51B45A13" w14:textId="77777777">
      <w:pPr>
        <w:pStyle w:val="BodyText"/>
        <w:spacing w:before="91"/>
      </w:pPr>
    </w:p>
    <w:p w:rsidR="003F5784" w14:paraId="0EF07049" w14:textId="77777777">
      <w:pPr>
        <w:pStyle w:val="BodyText"/>
        <w:tabs>
          <w:tab w:val="left" w:pos="3560"/>
          <w:tab w:val="left" w:pos="10615"/>
          <w:tab w:val="left" w:pos="12488"/>
        </w:tabs>
        <w:ind w:left="595"/>
      </w:pPr>
      <w:r>
        <w:rPr>
          <w:spacing w:val="-2"/>
        </w:rPr>
        <w:t>Stratum</w:t>
      </w:r>
      <w:r>
        <w:tab/>
        <w:t>Primary</w:t>
      </w:r>
      <w:r>
        <w:rPr>
          <w:spacing w:val="-8"/>
        </w:rPr>
        <w:t xml:space="preserve"> </w:t>
      </w:r>
      <w:r>
        <w:rPr>
          <w:spacing w:val="-2"/>
        </w:rPr>
        <w:t>stratifier</w:t>
      </w:r>
      <w:r>
        <w:tab/>
        <w:t>Secondary</w:t>
      </w:r>
      <w:r>
        <w:rPr>
          <w:spacing w:val="-10"/>
        </w:rPr>
        <w:t xml:space="preserve"> </w:t>
      </w:r>
      <w:r>
        <w:rPr>
          <w:spacing w:val="-2"/>
        </w:rPr>
        <w:t>stratifier</w:t>
      </w:r>
      <w:r>
        <w:tab/>
      </w:r>
      <w:r>
        <w:rPr>
          <w:spacing w:val="-3"/>
        </w:rPr>
        <w:t>PSUs</w:t>
      </w:r>
    </w:p>
    <w:p w:rsidR="003F5784" w14:paraId="39104AC8" w14:textId="77777777">
      <w:pPr>
        <w:pStyle w:val="BodyText"/>
        <w:spacing w:before="98" w:line="238" w:lineRule="exact"/>
        <w:ind w:right="598"/>
        <w:jc w:val="right"/>
      </w:pPr>
      <w:r>
        <w:br w:type="column"/>
        <w:t>Measure</w:t>
      </w:r>
      <w:r>
        <w:rPr>
          <w:spacing w:val="-9"/>
        </w:rPr>
        <w:t xml:space="preserve"> </w:t>
      </w:r>
      <w:r>
        <w:rPr>
          <w:spacing w:val="-5"/>
        </w:rPr>
        <w:t>of</w:t>
      </w:r>
    </w:p>
    <w:p w:rsidR="003F5784" w14:paraId="41119F37" w14:textId="77777777">
      <w:pPr>
        <w:pStyle w:val="BodyText"/>
        <w:spacing w:line="238" w:lineRule="exact"/>
        <w:ind w:right="598"/>
        <w:jc w:val="right"/>
      </w:pPr>
      <w:r>
        <w:rPr>
          <w:spacing w:val="-4"/>
        </w:rPr>
        <w:t>size</w:t>
      </w:r>
    </w:p>
    <w:p w:rsidR="003F5784" w14:paraId="5C15E289" w14:textId="77777777">
      <w:pPr>
        <w:spacing w:line="238" w:lineRule="exact"/>
        <w:jc w:val="right"/>
        <w:sectPr>
          <w:pgSz w:w="15840" w:h="12240" w:orient="landscape"/>
          <w:pgMar w:top="480" w:right="440" w:bottom="460" w:left="460" w:header="284" w:footer="275" w:gutter="0"/>
          <w:cols w:num="2" w:space="720" w:equalWidth="0">
            <w:col w:w="12953" w:space="40"/>
            <w:col w:w="1947"/>
          </w:cols>
        </w:sectPr>
      </w:pPr>
    </w:p>
    <w:tbl>
      <w:tblPr>
        <w:tblW w:w="0" w:type="auto"/>
        <w:tblInd w:w="482" w:type="dxa"/>
        <w:tblLayout w:type="fixed"/>
        <w:tblCellMar>
          <w:left w:w="0" w:type="dxa"/>
          <w:right w:w="0" w:type="dxa"/>
        </w:tblCellMar>
        <w:tblLook w:val="01E0"/>
      </w:tblPr>
      <w:tblGrid>
        <w:gridCol w:w="839"/>
        <w:gridCol w:w="4231"/>
        <w:gridCol w:w="6954"/>
        <w:gridCol w:w="808"/>
        <w:gridCol w:w="1152"/>
      </w:tblGrid>
      <w:tr w14:paraId="0F68F6B3" w14:textId="77777777">
        <w:tblPrEx>
          <w:tblW w:w="0" w:type="auto"/>
          <w:tblInd w:w="482" w:type="dxa"/>
          <w:tblLayout w:type="fixed"/>
          <w:tblCellMar>
            <w:left w:w="0" w:type="dxa"/>
            <w:right w:w="0" w:type="dxa"/>
          </w:tblCellMar>
          <w:tblLook w:val="01E0"/>
        </w:tblPrEx>
        <w:trPr>
          <w:trHeight w:val="513"/>
        </w:trPr>
        <w:tc>
          <w:tcPr>
            <w:tcW w:w="839" w:type="dxa"/>
            <w:tcBorders>
              <w:top w:val="single" w:sz="18" w:space="0" w:color="800000"/>
            </w:tcBorders>
          </w:tcPr>
          <w:p w:rsidR="003F5784" w14:paraId="4EA08EA4" w14:textId="77777777">
            <w:pPr>
              <w:pStyle w:val="TableParagraph"/>
              <w:spacing w:before="9"/>
              <w:ind w:left="120"/>
              <w:jc w:val="left"/>
              <w:rPr>
                <w:sz w:val="21"/>
              </w:rPr>
            </w:pPr>
            <w:r>
              <w:rPr>
                <w:spacing w:val="-10"/>
                <w:sz w:val="21"/>
              </w:rPr>
              <w:t>3</w:t>
            </w:r>
          </w:p>
        </w:tc>
        <w:tc>
          <w:tcPr>
            <w:tcW w:w="4231" w:type="dxa"/>
            <w:tcBorders>
              <w:top w:val="single" w:sz="18" w:space="0" w:color="800000"/>
            </w:tcBorders>
          </w:tcPr>
          <w:p w:rsidR="003F5784" w14:paraId="008D0080" w14:textId="77777777">
            <w:pPr>
              <w:pStyle w:val="TableParagraph"/>
              <w:spacing w:before="9" w:line="238" w:lineRule="exact"/>
              <w:ind w:right="552"/>
              <w:rPr>
                <w:sz w:val="21"/>
              </w:rPr>
            </w:pPr>
            <w:r>
              <w:rPr>
                <w:sz w:val="21"/>
              </w:rPr>
              <w:t>Percentage</w:t>
            </w:r>
            <w:r>
              <w:rPr>
                <w:spacing w:val="-7"/>
                <w:sz w:val="21"/>
              </w:rPr>
              <w:t xml:space="preserve"> </w:t>
            </w:r>
            <w:r>
              <w:rPr>
                <w:sz w:val="21"/>
              </w:rPr>
              <w:t>of</w:t>
            </w:r>
            <w:r>
              <w:rPr>
                <w:spacing w:val="-6"/>
                <w:sz w:val="21"/>
              </w:rPr>
              <w:t xml:space="preserve"> </w:t>
            </w:r>
            <w:r>
              <w:rPr>
                <w:sz w:val="21"/>
              </w:rPr>
              <w:t>children</w:t>
            </w:r>
            <w:r>
              <w:rPr>
                <w:spacing w:val="-6"/>
                <w:sz w:val="21"/>
              </w:rPr>
              <w:t xml:space="preserve"> </w:t>
            </w:r>
            <w:r>
              <w:rPr>
                <w:sz w:val="21"/>
              </w:rPr>
              <w:t>below</w:t>
            </w:r>
            <w:r>
              <w:rPr>
                <w:spacing w:val="-6"/>
                <w:sz w:val="21"/>
              </w:rPr>
              <w:t xml:space="preserve"> </w:t>
            </w:r>
            <w:r>
              <w:rPr>
                <w:sz w:val="21"/>
              </w:rPr>
              <w:t>the</w:t>
            </w:r>
            <w:r>
              <w:rPr>
                <w:spacing w:val="-6"/>
                <w:sz w:val="21"/>
              </w:rPr>
              <w:t xml:space="preserve"> </w:t>
            </w:r>
            <w:r>
              <w:rPr>
                <w:spacing w:val="-2"/>
                <w:sz w:val="21"/>
              </w:rPr>
              <w:t>poverty</w:t>
            </w:r>
          </w:p>
          <w:p w:rsidR="003F5784" w14:paraId="3C58D696" w14:textId="77777777">
            <w:pPr>
              <w:pStyle w:val="TableParagraph"/>
              <w:spacing w:before="0" w:line="238" w:lineRule="exact"/>
              <w:ind w:right="552"/>
              <w:rPr>
                <w:sz w:val="21"/>
              </w:rPr>
            </w:pPr>
            <w:r>
              <w:rPr>
                <w:sz w:val="21"/>
              </w:rPr>
              <w:t>line</w:t>
            </w:r>
            <w:r>
              <w:rPr>
                <w:spacing w:val="-10"/>
                <w:sz w:val="21"/>
              </w:rPr>
              <w:t xml:space="preserve"> </w:t>
            </w:r>
            <w:r>
              <w:rPr>
                <w:sz w:val="21"/>
              </w:rPr>
              <w:t>(16.1-</w:t>
            </w:r>
            <w:r>
              <w:rPr>
                <w:spacing w:val="-2"/>
                <w:sz w:val="21"/>
              </w:rPr>
              <w:t>20.7]</w:t>
            </w:r>
          </w:p>
        </w:tc>
        <w:tc>
          <w:tcPr>
            <w:tcW w:w="6954" w:type="dxa"/>
            <w:tcBorders>
              <w:top w:val="single" w:sz="18" w:space="0" w:color="800000"/>
            </w:tcBorders>
          </w:tcPr>
          <w:p w:rsidR="003F5784" w14:paraId="372D1927" w14:textId="77777777">
            <w:pPr>
              <w:pStyle w:val="TableParagraph"/>
              <w:spacing w:before="9" w:line="238" w:lineRule="exact"/>
              <w:ind w:right="243"/>
              <w:rPr>
                <w:sz w:val="21"/>
              </w:rPr>
            </w:pPr>
            <w:r>
              <w:rPr>
                <w:sz w:val="21"/>
              </w:rPr>
              <w:t>Percentage</w:t>
            </w:r>
            <w:r>
              <w:rPr>
                <w:spacing w:val="-12"/>
                <w:sz w:val="21"/>
              </w:rPr>
              <w:t xml:space="preserve"> </w:t>
            </w:r>
            <w:r>
              <w:rPr>
                <w:sz w:val="21"/>
              </w:rPr>
              <w:t>of</w:t>
            </w:r>
            <w:r>
              <w:rPr>
                <w:spacing w:val="-8"/>
                <w:sz w:val="21"/>
              </w:rPr>
              <w:t xml:space="preserve"> </w:t>
            </w:r>
            <w:r>
              <w:rPr>
                <w:sz w:val="21"/>
              </w:rPr>
              <w:t>Black,</w:t>
            </w:r>
            <w:r>
              <w:rPr>
                <w:spacing w:val="-8"/>
                <w:sz w:val="21"/>
              </w:rPr>
              <w:t xml:space="preserve"> </w:t>
            </w:r>
            <w:r>
              <w:rPr>
                <w:sz w:val="21"/>
              </w:rPr>
              <w:t>Hispanic,</w:t>
            </w:r>
            <w:r>
              <w:rPr>
                <w:spacing w:val="-13"/>
                <w:sz w:val="21"/>
              </w:rPr>
              <w:t xml:space="preserve"> </w:t>
            </w:r>
            <w:r>
              <w:rPr>
                <w:sz w:val="21"/>
              </w:rPr>
              <w:t>American</w:t>
            </w:r>
            <w:r>
              <w:rPr>
                <w:spacing w:val="-8"/>
                <w:sz w:val="21"/>
              </w:rPr>
              <w:t xml:space="preserve"> </w:t>
            </w:r>
            <w:r>
              <w:rPr>
                <w:sz w:val="21"/>
              </w:rPr>
              <w:t>Indian/Alaska</w:t>
            </w:r>
            <w:r>
              <w:rPr>
                <w:spacing w:val="-7"/>
                <w:sz w:val="21"/>
              </w:rPr>
              <w:t xml:space="preserve"> </w:t>
            </w:r>
            <w:r>
              <w:rPr>
                <w:sz w:val="21"/>
              </w:rPr>
              <w:t>Native,</w:t>
            </w:r>
            <w:r>
              <w:rPr>
                <w:spacing w:val="-8"/>
                <w:sz w:val="21"/>
              </w:rPr>
              <w:t xml:space="preserve"> </w:t>
            </w:r>
            <w:r>
              <w:rPr>
                <w:sz w:val="21"/>
              </w:rPr>
              <w:t>or</w:t>
            </w:r>
            <w:r>
              <w:rPr>
                <w:spacing w:val="-8"/>
                <w:sz w:val="21"/>
              </w:rPr>
              <w:t xml:space="preserve"> </w:t>
            </w:r>
            <w:r>
              <w:rPr>
                <w:spacing w:val="-2"/>
                <w:sz w:val="21"/>
              </w:rPr>
              <w:t>Native</w:t>
            </w:r>
          </w:p>
          <w:p w:rsidR="003F5784" w14:paraId="582AB83F" w14:textId="77777777">
            <w:pPr>
              <w:pStyle w:val="TableParagraph"/>
              <w:spacing w:before="0" w:line="238" w:lineRule="exact"/>
              <w:ind w:right="243"/>
              <w:rPr>
                <w:sz w:val="21"/>
              </w:rPr>
            </w:pPr>
            <w:r>
              <w:rPr>
                <w:sz w:val="21"/>
              </w:rPr>
              <w:t>Hawaiian/Other</w:t>
            </w:r>
            <w:r>
              <w:rPr>
                <w:spacing w:val="-8"/>
                <w:sz w:val="21"/>
              </w:rPr>
              <w:t xml:space="preserve"> </w:t>
            </w:r>
            <w:r>
              <w:rPr>
                <w:sz w:val="21"/>
              </w:rPr>
              <w:t>Pacific</w:t>
            </w:r>
            <w:r>
              <w:rPr>
                <w:spacing w:val="-8"/>
                <w:sz w:val="21"/>
              </w:rPr>
              <w:t xml:space="preserve"> </w:t>
            </w:r>
            <w:r>
              <w:rPr>
                <w:sz w:val="21"/>
              </w:rPr>
              <w:t>Islander</w:t>
            </w:r>
            <w:r>
              <w:rPr>
                <w:spacing w:val="-7"/>
                <w:sz w:val="21"/>
              </w:rPr>
              <w:t xml:space="preserve"> </w:t>
            </w:r>
            <w:r>
              <w:rPr>
                <w:sz w:val="21"/>
              </w:rPr>
              <w:t>youth</w:t>
            </w:r>
            <w:r>
              <w:rPr>
                <w:spacing w:val="-8"/>
                <w:sz w:val="21"/>
              </w:rPr>
              <w:t xml:space="preserve"> </w:t>
            </w:r>
            <w:r>
              <w:rPr>
                <w:sz w:val="21"/>
              </w:rPr>
              <w:t>&lt;=</w:t>
            </w:r>
            <w:r>
              <w:rPr>
                <w:spacing w:val="-8"/>
                <w:sz w:val="21"/>
              </w:rPr>
              <w:t xml:space="preserve"> </w:t>
            </w:r>
            <w:r>
              <w:rPr>
                <w:spacing w:val="-5"/>
                <w:sz w:val="21"/>
              </w:rPr>
              <w:t>5.4</w:t>
            </w:r>
          </w:p>
        </w:tc>
        <w:tc>
          <w:tcPr>
            <w:tcW w:w="808" w:type="dxa"/>
            <w:tcBorders>
              <w:top w:val="single" w:sz="18" w:space="0" w:color="800000"/>
            </w:tcBorders>
          </w:tcPr>
          <w:p w:rsidR="003F5784" w14:paraId="79EB22DF" w14:textId="77777777">
            <w:pPr>
              <w:pStyle w:val="TableParagraph"/>
              <w:spacing w:before="9"/>
              <w:ind w:right="352"/>
              <w:rPr>
                <w:sz w:val="21"/>
              </w:rPr>
            </w:pPr>
            <w:r>
              <w:rPr>
                <w:spacing w:val="-5"/>
                <w:sz w:val="21"/>
              </w:rPr>
              <w:t>38</w:t>
            </w:r>
          </w:p>
        </w:tc>
        <w:tc>
          <w:tcPr>
            <w:tcW w:w="1152" w:type="dxa"/>
            <w:tcBorders>
              <w:top w:val="single" w:sz="18" w:space="0" w:color="800000"/>
            </w:tcBorders>
          </w:tcPr>
          <w:p w:rsidR="003F5784" w14:paraId="4CA5CAFC" w14:textId="77777777">
            <w:pPr>
              <w:pStyle w:val="TableParagraph"/>
              <w:spacing w:before="9"/>
              <w:ind w:right="117"/>
              <w:rPr>
                <w:sz w:val="21"/>
              </w:rPr>
            </w:pPr>
            <w:r>
              <w:rPr>
                <w:spacing w:val="-2"/>
                <w:sz w:val="21"/>
              </w:rPr>
              <w:t>556,318</w:t>
            </w:r>
          </w:p>
        </w:tc>
      </w:tr>
      <w:tr w14:paraId="72E1C923" w14:textId="77777777">
        <w:tblPrEx>
          <w:tblW w:w="0" w:type="auto"/>
          <w:tblInd w:w="482" w:type="dxa"/>
          <w:tblLayout w:type="fixed"/>
          <w:tblCellMar>
            <w:left w:w="0" w:type="dxa"/>
            <w:right w:w="0" w:type="dxa"/>
          </w:tblCellMar>
          <w:tblLook w:val="01E0"/>
        </w:tblPrEx>
        <w:trPr>
          <w:trHeight w:val="521"/>
        </w:trPr>
        <w:tc>
          <w:tcPr>
            <w:tcW w:w="839" w:type="dxa"/>
          </w:tcPr>
          <w:p w:rsidR="003F5784" w14:paraId="48CCD9A3" w14:textId="77777777">
            <w:pPr>
              <w:pStyle w:val="TableParagraph"/>
              <w:ind w:left="120"/>
              <w:jc w:val="left"/>
              <w:rPr>
                <w:sz w:val="21"/>
              </w:rPr>
            </w:pPr>
            <w:r>
              <w:rPr>
                <w:spacing w:val="-10"/>
                <w:sz w:val="21"/>
              </w:rPr>
              <w:t>4</w:t>
            </w:r>
          </w:p>
        </w:tc>
        <w:tc>
          <w:tcPr>
            <w:tcW w:w="4231" w:type="dxa"/>
          </w:tcPr>
          <w:p w:rsidR="003F5784" w14:paraId="75C62D49" w14:textId="77777777">
            <w:pPr>
              <w:pStyle w:val="TableParagraph"/>
              <w:spacing w:line="238" w:lineRule="exact"/>
              <w:ind w:right="552"/>
              <w:rPr>
                <w:sz w:val="21"/>
              </w:rPr>
            </w:pPr>
            <w:r>
              <w:rPr>
                <w:sz w:val="21"/>
              </w:rPr>
              <w:t>Percentage</w:t>
            </w:r>
            <w:r>
              <w:rPr>
                <w:spacing w:val="-7"/>
                <w:sz w:val="21"/>
              </w:rPr>
              <w:t xml:space="preserve"> </w:t>
            </w:r>
            <w:r>
              <w:rPr>
                <w:sz w:val="21"/>
              </w:rPr>
              <w:t>of</w:t>
            </w:r>
            <w:r>
              <w:rPr>
                <w:spacing w:val="-6"/>
                <w:sz w:val="21"/>
              </w:rPr>
              <w:t xml:space="preserve"> </w:t>
            </w:r>
            <w:r>
              <w:rPr>
                <w:sz w:val="21"/>
              </w:rPr>
              <w:t>children</w:t>
            </w:r>
            <w:r>
              <w:rPr>
                <w:spacing w:val="-6"/>
                <w:sz w:val="21"/>
              </w:rPr>
              <w:t xml:space="preserve"> </w:t>
            </w:r>
            <w:r>
              <w:rPr>
                <w:sz w:val="21"/>
              </w:rPr>
              <w:t>below</w:t>
            </w:r>
            <w:r>
              <w:rPr>
                <w:spacing w:val="-6"/>
                <w:sz w:val="21"/>
              </w:rPr>
              <w:t xml:space="preserve"> </w:t>
            </w:r>
            <w:r>
              <w:rPr>
                <w:sz w:val="21"/>
              </w:rPr>
              <w:t>the</w:t>
            </w:r>
            <w:r>
              <w:rPr>
                <w:spacing w:val="-6"/>
                <w:sz w:val="21"/>
              </w:rPr>
              <w:t xml:space="preserve"> </w:t>
            </w:r>
            <w:r>
              <w:rPr>
                <w:spacing w:val="-2"/>
                <w:sz w:val="21"/>
              </w:rPr>
              <w:t>poverty</w:t>
            </w:r>
          </w:p>
          <w:p w:rsidR="003F5784" w14:paraId="4EC43903" w14:textId="77777777">
            <w:pPr>
              <w:pStyle w:val="TableParagraph"/>
              <w:spacing w:before="0" w:line="238" w:lineRule="exact"/>
              <w:ind w:right="552"/>
              <w:rPr>
                <w:sz w:val="21"/>
              </w:rPr>
            </w:pPr>
            <w:r>
              <w:rPr>
                <w:sz w:val="21"/>
              </w:rPr>
              <w:t>line</w:t>
            </w:r>
            <w:r>
              <w:rPr>
                <w:spacing w:val="-10"/>
                <w:sz w:val="21"/>
              </w:rPr>
              <w:t xml:space="preserve"> </w:t>
            </w:r>
            <w:r>
              <w:rPr>
                <w:sz w:val="21"/>
              </w:rPr>
              <w:t>(16.1-</w:t>
            </w:r>
            <w:r>
              <w:rPr>
                <w:spacing w:val="-2"/>
                <w:sz w:val="21"/>
              </w:rPr>
              <w:t>20.7]</w:t>
            </w:r>
          </w:p>
        </w:tc>
        <w:tc>
          <w:tcPr>
            <w:tcW w:w="6954" w:type="dxa"/>
          </w:tcPr>
          <w:p w:rsidR="003F5784" w14:paraId="58CC0CB8" w14:textId="77777777">
            <w:pPr>
              <w:pStyle w:val="TableParagraph"/>
              <w:spacing w:line="238" w:lineRule="exact"/>
              <w:ind w:right="243"/>
              <w:rPr>
                <w:sz w:val="21"/>
              </w:rPr>
            </w:pPr>
            <w:r>
              <w:rPr>
                <w:sz w:val="21"/>
              </w:rPr>
              <w:t>Percentage</w:t>
            </w:r>
            <w:r>
              <w:rPr>
                <w:spacing w:val="-12"/>
                <w:sz w:val="21"/>
              </w:rPr>
              <w:t xml:space="preserve"> </w:t>
            </w:r>
            <w:r>
              <w:rPr>
                <w:sz w:val="21"/>
              </w:rPr>
              <w:t>of</w:t>
            </w:r>
            <w:r>
              <w:rPr>
                <w:spacing w:val="-8"/>
                <w:sz w:val="21"/>
              </w:rPr>
              <w:t xml:space="preserve"> </w:t>
            </w:r>
            <w:r>
              <w:rPr>
                <w:sz w:val="21"/>
              </w:rPr>
              <w:t>Black,</w:t>
            </w:r>
            <w:r>
              <w:rPr>
                <w:spacing w:val="-8"/>
                <w:sz w:val="21"/>
              </w:rPr>
              <w:t xml:space="preserve"> </w:t>
            </w:r>
            <w:r>
              <w:rPr>
                <w:sz w:val="21"/>
              </w:rPr>
              <w:t>Hispanic,</w:t>
            </w:r>
            <w:r>
              <w:rPr>
                <w:spacing w:val="-13"/>
                <w:sz w:val="21"/>
              </w:rPr>
              <w:t xml:space="preserve"> </w:t>
            </w:r>
            <w:r>
              <w:rPr>
                <w:sz w:val="21"/>
              </w:rPr>
              <w:t>American</w:t>
            </w:r>
            <w:r>
              <w:rPr>
                <w:spacing w:val="-8"/>
                <w:sz w:val="21"/>
              </w:rPr>
              <w:t xml:space="preserve"> </w:t>
            </w:r>
            <w:r>
              <w:rPr>
                <w:sz w:val="21"/>
              </w:rPr>
              <w:t>Indian/Alaska</w:t>
            </w:r>
            <w:r>
              <w:rPr>
                <w:spacing w:val="-7"/>
                <w:sz w:val="21"/>
              </w:rPr>
              <w:t xml:space="preserve"> </w:t>
            </w:r>
            <w:r>
              <w:rPr>
                <w:sz w:val="21"/>
              </w:rPr>
              <w:t>Native,</w:t>
            </w:r>
            <w:r>
              <w:rPr>
                <w:spacing w:val="-8"/>
                <w:sz w:val="21"/>
              </w:rPr>
              <w:t xml:space="preserve"> </w:t>
            </w:r>
            <w:r>
              <w:rPr>
                <w:sz w:val="21"/>
              </w:rPr>
              <w:t>or</w:t>
            </w:r>
            <w:r>
              <w:rPr>
                <w:spacing w:val="-8"/>
                <w:sz w:val="21"/>
              </w:rPr>
              <w:t xml:space="preserve"> </w:t>
            </w:r>
            <w:r>
              <w:rPr>
                <w:spacing w:val="-2"/>
                <w:sz w:val="21"/>
              </w:rPr>
              <w:t>Native</w:t>
            </w:r>
          </w:p>
          <w:p w:rsidR="003F5784" w14:paraId="2710C683" w14:textId="77777777">
            <w:pPr>
              <w:pStyle w:val="TableParagraph"/>
              <w:spacing w:before="0" w:line="238" w:lineRule="exact"/>
              <w:ind w:right="243"/>
              <w:rPr>
                <w:sz w:val="21"/>
              </w:rPr>
            </w:pPr>
            <w:r>
              <w:rPr>
                <w:sz w:val="21"/>
              </w:rPr>
              <w:t>Hawaiian/Other</w:t>
            </w:r>
            <w:r>
              <w:rPr>
                <w:spacing w:val="-8"/>
                <w:sz w:val="21"/>
              </w:rPr>
              <w:t xml:space="preserve"> </w:t>
            </w:r>
            <w:r>
              <w:rPr>
                <w:sz w:val="21"/>
              </w:rPr>
              <w:t>Pacific</w:t>
            </w:r>
            <w:r>
              <w:rPr>
                <w:spacing w:val="-7"/>
                <w:sz w:val="21"/>
              </w:rPr>
              <w:t xml:space="preserve"> </w:t>
            </w:r>
            <w:r>
              <w:rPr>
                <w:sz w:val="21"/>
              </w:rPr>
              <w:t>Islander</w:t>
            </w:r>
            <w:r>
              <w:rPr>
                <w:spacing w:val="-8"/>
                <w:sz w:val="21"/>
              </w:rPr>
              <w:t xml:space="preserve"> </w:t>
            </w:r>
            <w:r>
              <w:rPr>
                <w:sz w:val="21"/>
              </w:rPr>
              <w:t>youth</w:t>
            </w:r>
            <w:r>
              <w:rPr>
                <w:spacing w:val="-7"/>
                <w:sz w:val="21"/>
              </w:rPr>
              <w:t xml:space="preserve"> </w:t>
            </w:r>
            <w:r>
              <w:rPr>
                <w:sz w:val="21"/>
              </w:rPr>
              <w:t>&gt;</w:t>
            </w:r>
            <w:r>
              <w:rPr>
                <w:spacing w:val="-7"/>
                <w:sz w:val="21"/>
              </w:rPr>
              <w:t xml:space="preserve"> </w:t>
            </w:r>
            <w:r>
              <w:rPr>
                <w:spacing w:val="-5"/>
                <w:sz w:val="21"/>
              </w:rPr>
              <w:t>5.4</w:t>
            </w:r>
          </w:p>
        </w:tc>
        <w:tc>
          <w:tcPr>
            <w:tcW w:w="808" w:type="dxa"/>
          </w:tcPr>
          <w:p w:rsidR="003F5784" w14:paraId="499C56FF" w14:textId="77777777">
            <w:pPr>
              <w:pStyle w:val="TableParagraph"/>
              <w:ind w:right="352"/>
              <w:rPr>
                <w:sz w:val="21"/>
              </w:rPr>
            </w:pPr>
            <w:r>
              <w:rPr>
                <w:spacing w:val="-5"/>
                <w:sz w:val="21"/>
              </w:rPr>
              <w:t>37</w:t>
            </w:r>
          </w:p>
        </w:tc>
        <w:tc>
          <w:tcPr>
            <w:tcW w:w="1152" w:type="dxa"/>
          </w:tcPr>
          <w:p w:rsidR="003F5784" w14:paraId="0DC25273" w14:textId="77777777">
            <w:pPr>
              <w:pStyle w:val="TableParagraph"/>
              <w:ind w:right="117"/>
              <w:rPr>
                <w:sz w:val="21"/>
              </w:rPr>
            </w:pPr>
            <w:r>
              <w:rPr>
                <w:spacing w:val="-2"/>
                <w:sz w:val="21"/>
              </w:rPr>
              <w:t>560,613</w:t>
            </w:r>
          </w:p>
        </w:tc>
      </w:tr>
      <w:tr w14:paraId="38858865" w14:textId="77777777">
        <w:tblPrEx>
          <w:tblW w:w="0" w:type="auto"/>
          <w:tblInd w:w="482" w:type="dxa"/>
          <w:tblLayout w:type="fixed"/>
          <w:tblCellMar>
            <w:left w:w="0" w:type="dxa"/>
            <w:right w:w="0" w:type="dxa"/>
          </w:tblCellMar>
          <w:tblLook w:val="01E0"/>
        </w:tblPrEx>
        <w:trPr>
          <w:trHeight w:val="521"/>
        </w:trPr>
        <w:tc>
          <w:tcPr>
            <w:tcW w:w="839" w:type="dxa"/>
          </w:tcPr>
          <w:p w:rsidR="003F5784" w14:paraId="5AEE28DE" w14:textId="77777777">
            <w:pPr>
              <w:pStyle w:val="TableParagraph"/>
              <w:ind w:left="120"/>
              <w:jc w:val="left"/>
              <w:rPr>
                <w:sz w:val="21"/>
              </w:rPr>
            </w:pPr>
            <w:r>
              <w:rPr>
                <w:spacing w:val="-10"/>
                <w:sz w:val="21"/>
              </w:rPr>
              <w:t>5</w:t>
            </w:r>
          </w:p>
        </w:tc>
        <w:tc>
          <w:tcPr>
            <w:tcW w:w="4231" w:type="dxa"/>
          </w:tcPr>
          <w:p w:rsidR="003F5784" w14:paraId="7DA2AEE0" w14:textId="77777777">
            <w:pPr>
              <w:pStyle w:val="TableParagraph"/>
              <w:spacing w:line="238" w:lineRule="exact"/>
              <w:ind w:right="552"/>
              <w:rPr>
                <w:sz w:val="21"/>
              </w:rPr>
            </w:pPr>
            <w:r>
              <w:rPr>
                <w:sz w:val="21"/>
              </w:rPr>
              <w:t>Percentage</w:t>
            </w:r>
            <w:r>
              <w:rPr>
                <w:spacing w:val="-7"/>
                <w:sz w:val="21"/>
              </w:rPr>
              <w:t xml:space="preserve"> </w:t>
            </w:r>
            <w:r>
              <w:rPr>
                <w:sz w:val="21"/>
              </w:rPr>
              <w:t>of</w:t>
            </w:r>
            <w:r>
              <w:rPr>
                <w:spacing w:val="-6"/>
                <w:sz w:val="21"/>
              </w:rPr>
              <w:t xml:space="preserve"> </w:t>
            </w:r>
            <w:r>
              <w:rPr>
                <w:sz w:val="21"/>
              </w:rPr>
              <w:t>children</w:t>
            </w:r>
            <w:r>
              <w:rPr>
                <w:spacing w:val="-6"/>
                <w:sz w:val="21"/>
              </w:rPr>
              <w:t xml:space="preserve"> </w:t>
            </w:r>
            <w:r>
              <w:rPr>
                <w:sz w:val="21"/>
              </w:rPr>
              <w:t>below</w:t>
            </w:r>
            <w:r>
              <w:rPr>
                <w:spacing w:val="-6"/>
                <w:sz w:val="21"/>
              </w:rPr>
              <w:t xml:space="preserve"> </w:t>
            </w:r>
            <w:r>
              <w:rPr>
                <w:sz w:val="21"/>
              </w:rPr>
              <w:t>the</w:t>
            </w:r>
            <w:r>
              <w:rPr>
                <w:spacing w:val="-6"/>
                <w:sz w:val="21"/>
              </w:rPr>
              <w:t xml:space="preserve"> </w:t>
            </w:r>
            <w:r>
              <w:rPr>
                <w:spacing w:val="-2"/>
                <w:sz w:val="21"/>
              </w:rPr>
              <w:t>poverty</w:t>
            </w:r>
          </w:p>
          <w:p w:rsidR="003F5784" w14:paraId="651BCC98" w14:textId="77777777">
            <w:pPr>
              <w:pStyle w:val="TableParagraph"/>
              <w:spacing w:before="0" w:line="238" w:lineRule="exact"/>
              <w:ind w:right="552"/>
              <w:rPr>
                <w:sz w:val="21"/>
              </w:rPr>
            </w:pPr>
            <w:r>
              <w:rPr>
                <w:sz w:val="21"/>
              </w:rPr>
              <w:t>line</w:t>
            </w:r>
            <w:r>
              <w:rPr>
                <w:spacing w:val="-4"/>
                <w:sz w:val="21"/>
              </w:rPr>
              <w:t xml:space="preserve"> </w:t>
            </w:r>
            <w:r>
              <w:rPr>
                <w:sz w:val="21"/>
              </w:rPr>
              <w:t>&gt;</w:t>
            </w:r>
            <w:r>
              <w:rPr>
                <w:spacing w:val="-3"/>
                <w:sz w:val="21"/>
              </w:rPr>
              <w:t xml:space="preserve"> </w:t>
            </w:r>
            <w:r>
              <w:rPr>
                <w:spacing w:val="-4"/>
                <w:sz w:val="21"/>
              </w:rPr>
              <w:t>20.7</w:t>
            </w:r>
          </w:p>
        </w:tc>
        <w:tc>
          <w:tcPr>
            <w:tcW w:w="6954" w:type="dxa"/>
          </w:tcPr>
          <w:p w:rsidR="003F5784" w14:paraId="7684E1EB" w14:textId="77777777">
            <w:pPr>
              <w:pStyle w:val="TableParagraph"/>
              <w:ind w:right="243"/>
              <w:rPr>
                <w:sz w:val="21"/>
              </w:rPr>
            </w:pPr>
            <w:r>
              <w:rPr>
                <w:sz w:val="21"/>
              </w:rPr>
              <w:t>Percentage</w:t>
            </w:r>
            <w:r>
              <w:rPr>
                <w:spacing w:val="-6"/>
                <w:sz w:val="21"/>
              </w:rPr>
              <w:t xml:space="preserve"> </w:t>
            </w:r>
            <w:r>
              <w:rPr>
                <w:sz w:val="21"/>
              </w:rPr>
              <w:t>of</w:t>
            </w:r>
            <w:r>
              <w:rPr>
                <w:spacing w:val="-6"/>
                <w:sz w:val="21"/>
              </w:rPr>
              <w:t xml:space="preserve"> </w:t>
            </w:r>
            <w:r>
              <w:rPr>
                <w:sz w:val="21"/>
              </w:rPr>
              <w:t>children</w:t>
            </w:r>
            <w:r>
              <w:rPr>
                <w:spacing w:val="-6"/>
                <w:sz w:val="21"/>
              </w:rPr>
              <w:t xml:space="preserve"> </w:t>
            </w:r>
            <w:r>
              <w:rPr>
                <w:sz w:val="21"/>
              </w:rPr>
              <w:t>below</w:t>
            </w:r>
            <w:r>
              <w:rPr>
                <w:spacing w:val="-5"/>
                <w:sz w:val="21"/>
              </w:rPr>
              <w:t xml:space="preserve"> </w:t>
            </w:r>
            <w:r>
              <w:rPr>
                <w:sz w:val="21"/>
              </w:rPr>
              <w:t>the</w:t>
            </w:r>
            <w:r>
              <w:rPr>
                <w:spacing w:val="-6"/>
                <w:sz w:val="21"/>
              </w:rPr>
              <w:t xml:space="preserve"> </w:t>
            </w:r>
            <w:r>
              <w:rPr>
                <w:sz w:val="21"/>
              </w:rPr>
              <w:t>poverty</w:t>
            </w:r>
            <w:r>
              <w:rPr>
                <w:spacing w:val="-6"/>
                <w:sz w:val="21"/>
              </w:rPr>
              <w:t xml:space="preserve"> </w:t>
            </w:r>
            <w:r>
              <w:rPr>
                <w:sz w:val="21"/>
              </w:rPr>
              <w:t>line</w:t>
            </w:r>
            <w:r>
              <w:rPr>
                <w:spacing w:val="-5"/>
                <w:sz w:val="21"/>
              </w:rPr>
              <w:t xml:space="preserve"> </w:t>
            </w:r>
            <w:r>
              <w:rPr>
                <w:sz w:val="21"/>
              </w:rPr>
              <w:t>&lt;=</w:t>
            </w:r>
            <w:r>
              <w:rPr>
                <w:spacing w:val="-6"/>
                <w:sz w:val="21"/>
              </w:rPr>
              <w:t xml:space="preserve"> </w:t>
            </w:r>
            <w:r>
              <w:rPr>
                <w:spacing w:val="-5"/>
                <w:sz w:val="21"/>
              </w:rPr>
              <w:t>24</w:t>
            </w:r>
          </w:p>
        </w:tc>
        <w:tc>
          <w:tcPr>
            <w:tcW w:w="808" w:type="dxa"/>
          </w:tcPr>
          <w:p w:rsidR="003F5784" w14:paraId="62DBFA7E" w14:textId="77777777">
            <w:pPr>
              <w:pStyle w:val="TableParagraph"/>
              <w:ind w:right="352"/>
              <w:rPr>
                <w:sz w:val="21"/>
              </w:rPr>
            </w:pPr>
            <w:r>
              <w:rPr>
                <w:spacing w:val="-5"/>
                <w:sz w:val="21"/>
              </w:rPr>
              <w:t>38</w:t>
            </w:r>
          </w:p>
        </w:tc>
        <w:tc>
          <w:tcPr>
            <w:tcW w:w="1152" w:type="dxa"/>
          </w:tcPr>
          <w:p w:rsidR="003F5784" w14:paraId="2C259302" w14:textId="77777777">
            <w:pPr>
              <w:pStyle w:val="TableParagraph"/>
              <w:ind w:right="117"/>
              <w:rPr>
                <w:sz w:val="21"/>
              </w:rPr>
            </w:pPr>
            <w:r>
              <w:rPr>
                <w:spacing w:val="-2"/>
                <w:sz w:val="21"/>
              </w:rPr>
              <w:t>553,089</w:t>
            </w:r>
          </w:p>
        </w:tc>
      </w:tr>
      <w:tr w14:paraId="79DAED9A" w14:textId="77777777">
        <w:tblPrEx>
          <w:tblW w:w="0" w:type="auto"/>
          <w:tblInd w:w="482" w:type="dxa"/>
          <w:tblLayout w:type="fixed"/>
          <w:tblCellMar>
            <w:left w:w="0" w:type="dxa"/>
            <w:right w:w="0" w:type="dxa"/>
          </w:tblCellMar>
          <w:tblLook w:val="01E0"/>
        </w:tblPrEx>
        <w:trPr>
          <w:trHeight w:val="521"/>
        </w:trPr>
        <w:tc>
          <w:tcPr>
            <w:tcW w:w="839" w:type="dxa"/>
          </w:tcPr>
          <w:p w:rsidR="003F5784" w14:paraId="75CE6E45" w14:textId="77777777">
            <w:pPr>
              <w:pStyle w:val="TableParagraph"/>
              <w:ind w:left="120"/>
              <w:jc w:val="left"/>
              <w:rPr>
                <w:sz w:val="21"/>
              </w:rPr>
            </w:pPr>
            <w:r>
              <w:rPr>
                <w:spacing w:val="-10"/>
                <w:sz w:val="21"/>
              </w:rPr>
              <w:t>6</w:t>
            </w:r>
          </w:p>
        </w:tc>
        <w:tc>
          <w:tcPr>
            <w:tcW w:w="4231" w:type="dxa"/>
          </w:tcPr>
          <w:p w:rsidR="003F5784" w14:paraId="0B693645" w14:textId="77777777">
            <w:pPr>
              <w:pStyle w:val="TableParagraph"/>
              <w:spacing w:line="238" w:lineRule="exact"/>
              <w:ind w:right="552"/>
              <w:rPr>
                <w:sz w:val="21"/>
              </w:rPr>
            </w:pPr>
            <w:r>
              <w:rPr>
                <w:sz w:val="21"/>
              </w:rPr>
              <w:t>Percentage</w:t>
            </w:r>
            <w:r>
              <w:rPr>
                <w:spacing w:val="-7"/>
                <w:sz w:val="21"/>
              </w:rPr>
              <w:t xml:space="preserve"> </w:t>
            </w:r>
            <w:r>
              <w:rPr>
                <w:sz w:val="21"/>
              </w:rPr>
              <w:t>of</w:t>
            </w:r>
            <w:r>
              <w:rPr>
                <w:spacing w:val="-6"/>
                <w:sz w:val="21"/>
              </w:rPr>
              <w:t xml:space="preserve"> </w:t>
            </w:r>
            <w:r>
              <w:rPr>
                <w:sz w:val="21"/>
              </w:rPr>
              <w:t>children</w:t>
            </w:r>
            <w:r>
              <w:rPr>
                <w:spacing w:val="-6"/>
                <w:sz w:val="21"/>
              </w:rPr>
              <w:t xml:space="preserve"> </w:t>
            </w:r>
            <w:r>
              <w:rPr>
                <w:sz w:val="21"/>
              </w:rPr>
              <w:t>below</w:t>
            </w:r>
            <w:r>
              <w:rPr>
                <w:spacing w:val="-6"/>
                <w:sz w:val="21"/>
              </w:rPr>
              <w:t xml:space="preserve"> </w:t>
            </w:r>
            <w:r>
              <w:rPr>
                <w:sz w:val="21"/>
              </w:rPr>
              <w:t>the</w:t>
            </w:r>
            <w:r>
              <w:rPr>
                <w:spacing w:val="-6"/>
                <w:sz w:val="21"/>
              </w:rPr>
              <w:t xml:space="preserve"> </w:t>
            </w:r>
            <w:r>
              <w:rPr>
                <w:spacing w:val="-2"/>
                <w:sz w:val="21"/>
              </w:rPr>
              <w:t>poverty</w:t>
            </w:r>
          </w:p>
          <w:p w:rsidR="003F5784" w14:paraId="5E53A971" w14:textId="77777777">
            <w:pPr>
              <w:pStyle w:val="TableParagraph"/>
              <w:spacing w:before="0" w:line="238" w:lineRule="exact"/>
              <w:ind w:right="552"/>
              <w:rPr>
                <w:sz w:val="21"/>
              </w:rPr>
            </w:pPr>
            <w:r>
              <w:rPr>
                <w:sz w:val="21"/>
              </w:rPr>
              <w:t>line</w:t>
            </w:r>
            <w:r>
              <w:rPr>
                <w:spacing w:val="-4"/>
                <w:sz w:val="21"/>
              </w:rPr>
              <w:t xml:space="preserve"> </w:t>
            </w:r>
            <w:r>
              <w:rPr>
                <w:sz w:val="21"/>
              </w:rPr>
              <w:t>&gt;</w:t>
            </w:r>
            <w:r>
              <w:rPr>
                <w:spacing w:val="-3"/>
                <w:sz w:val="21"/>
              </w:rPr>
              <w:t xml:space="preserve"> </w:t>
            </w:r>
            <w:r>
              <w:rPr>
                <w:spacing w:val="-4"/>
                <w:sz w:val="21"/>
              </w:rPr>
              <w:t>20.7</w:t>
            </w:r>
          </w:p>
        </w:tc>
        <w:tc>
          <w:tcPr>
            <w:tcW w:w="6954" w:type="dxa"/>
          </w:tcPr>
          <w:p w:rsidR="003F5784" w14:paraId="4A982C9E" w14:textId="77777777">
            <w:pPr>
              <w:pStyle w:val="TableParagraph"/>
              <w:ind w:right="243"/>
              <w:rPr>
                <w:sz w:val="21"/>
              </w:rPr>
            </w:pPr>
            <w:r>
              <w:rPr>
                <w:sz w:val="21"/>
              </w:rPr>
              <w:t>Percentage</w:t>
            </w:r>
            <w:r>
              <w:rPr>
                <w:spacing w:val="-6"/>
                <w:sz w:val="21"/>
              </w:rPr>
              <w:t xml:space="preserve"> </w:t>
            </w:r>
            <w:r>
              <w:rPr>
                <w:sz w:val="21"/>
              </w:rPr>
              <w:t>of</w:t>
            </w:r>
            <w:r>
              <w:rPr>
                <w:spacing w:val="-6"/>
                <w:sz w:val="21"/>
              </w:rPr>
              <w:t xml:space="preserve"> </w:t>
            </w:r>
            <w:r>
              <w:rPr>
                <w:sz w:val="21"/>
              </w:rPr>
              <w:t>children</w:t>
            </w:r>
            <w:r>
              <w:rPr>
                <w:spacing w:val="-5"/>
                <w:sz w:val="21"/>
              </w:rPr>
              <w:t xml:space="preserve"> </w:t>
            </w:r>
            <w:r>
              <w:rPr>
                <w:sz w:val="21"/>
              </w:rPr>
              <w:t>below</w:t>
            </w:r>
            <w:r>
              <w:rPr>
                <w:spacing w:val="-6"/>
                <w:sz w:val="21"/>
              </w:rPr>
              <w:t xml:space="preserve"> </w:t>
            </w:r>
            <w:r>
              <w:rPr>
                <w:sz w:val="21"/>
              </w:rPr>
              <w:t>the</w:t>
            </w:r>
            <w:r>
              <w:rPr>
                <w:spacing w:val="-5"/>
                <w:sz w:val="21"/>
              </w:rPr>
              <w:t xml:space="preserve"> </w:t>
            </w:r>
            <w:r>
              <w:rPr>
                <w:sz w:val="21"/>
              </w:rPr>
              <w:t>poverty</w:t>
            </w:r>
            <w:r>
              <w:rPr>
                <w:spacing w:val="-6"/>
                <w:sz w:val="21"/>
              </w:rPr>
              <w:t xml:space="preserve"> </w:t>
            </w:r>
            <w:r>
              <w:rPr>
                <w:sz w:val="21"/>
              </w:rPr>
              <w:t>line</w:t>
            </w:r>
            <w:r>
              <w:rPr>
                <w:spacing w:val="-5"/>
                <w:sz w:val="21"/>
              </w:rPr>
              <w:t xml:space="preserve"> </w:t>
            </w:r>
            <w:r>
              <w:rPr>
                <w:sz w:val="21"/>
              </w:rPr>
              <w:t>&gt;</w:t>
            </w:r>
            <w:r>
              <w:rPr>
                <w:spacing w:val="-6"/>
                <w:sz w:val="21"/>
              </w:rPr>
              <w:t xml:space="preserve"> </w:t>
            </w:r>
            <w:r>
              <w:rPr>
                <w:spacing w:val="-5"/>
                <w:sz w:val="21"/>
              </w:rPr>
              <w:t>24</w:t>
            </w:r>
          </w:p>
        </w:tc>
        <w:tc>
          <w:tcPr>
            <w:tcW w:w="808" w:type="dxa"/>
          </w:tcPr>
          <w:p w:rsidR="003F5784" w14:paraId="4AF477B3" w14:textId="77777777">
            <w:pPr>
              <w:pStyle w:val="TableParagraph"/>
              <w:ind w:right="352"/>
              <w:rPr>
                <w:sz w:val="21"/>
              </w:rPr>
            </w:pPr>
            <w:r>
              <w:rPr>
                <w:spacing w:val="-5"/>
                <w:sz w:val="21"/>
              </w:rPr>
              <w:t>38</w:t>
            </w:r>
          </w:p>
        </w:tc>
        <w:tc>
          <w:tcPr>
            <w:tcW w:w="1152" w:type="dxa"/>
          </w:tcPr>
          <w:p w:rsidR="003F5784" w14:paraId="1FA0E0C0" w14:textId="77777777">
            <w:pPr>
              <w:pStyle w:val="TableParagraph"/>
              <w:ind w:right="117"/>
              <w:rPr>
                <w:sz w:val="21"/>
              </w:rPr>
            </w:pPr>
            <w:r>
              <w:rPr>
                <w:spacing w:val="-2"/>
                <w:sz w:val="21"/>
              </w:rPr>
              <w:t>563,863</w:t>
            </w:r>
          </w:p>
        </w:tc>
      </w:tr>
      <w:tr w14:paraId="25B0EB50" w14:textId="77777777">
        <w:tblPrEx>
          <w:tblW w:w="0" w:type="auto"/>
          <w:tblInd w:w="482" w:type="dxa"/>
          <w:tblLayout w:type="fixed"/>
          <w:tblCellMar>
            <w:left w:w="0" w:type="dxa"/>
            <w:right w:w="0" w:type="dxa"/>
          </w:tblCellMar>
          <w:tblLook w:val="01E0"/>
        </w:tblPrEx>
        <w:trPr>
          <w:trHeight w:val="288"/>
        </w:trPr>
        <w:tc>
          <w:tcPr>
            <w:tcW w:w="839" w:type="dxa"/>
            <w:tcBorders>
              <w:bottom w:val="single" w:sz="18" w:space="0" w:color="800000"/>
            </w:tcBorders>
          </w:tcPr>
          <w:p w:rsidR="003F5784" w14:paraId="5EDA3490" w14:textId="77777777">
            <w:pPr>
              <w:pStyle w:val="TableParagraph"/>
              <w:ind w:left="120"/>
              <w:jc w:val="left"/>
              <w:rPr>
                <w:sz w:val="21"/>
              </w:rPr>
            </w:pPr>
            <w:r>
              <w:rPr>
                <w:spacing w:val="-4"/>
                <w:sz w:val="21"/>
              </w:rPr>
              <w:t>Mean</w:t>
            </w:r>
          </w:p>
        </w:tc>
        <w:tc>
          <w:tcPr>
            <w:tcW w:w="4231" w:type="dxa"/>
            <w:tcBorders>
              <w:bottom w:val="single" w:sz="18" w:space="0" w:color="800000"/>
            </w:tcBorders>
          </w:tcPr>
          <w:p w:rsidR="003F5784" w14:paraId="741F6FD2" w14:textId="77777777">
            <w:pPr>
              <w:pStyle w:val="TableParagraph"/>
              <w:ind w:right="552"/>
              <w:rPr>
                <w:sz w:val="21"/>
              </w:rPr>
            </w:pPr>
            <w:r>
              <w:rPr>
                <w:spacing w:val="-10"/>
                <w:sz w:val="21"/>
              </w:rPr>
              <w:t>†</w:t>
            </w:r>
          </w:p>
        </w:tc>
        <w:tc>
          <w:tcPr>
            <w:tcW w:w="6954" w:type="dxa"/>
            <w:tcBorders>
              <w:bottom w:val="single" w:sz="18" w:space="0" w:color="800000"/>
            </w:tcBorders>
          </w:tcPr>
          <w:p w:rsidR="003F5784" w14:paraId="7511C0A0" w14:textId="77777777">
            <w:pPr>
              <w:pStyle w:val="TableParagraph"/>
              <w:ind w:right="243"/>
              <w:rPr>
                <w:sz w:val="21"/>
              </w:rPr>
            </w:pPr>
            <w:r>
              <w:rPr>
                <w:spacing w:val="-10"/>
                <w:sz w:val="21"/>
              </w:rPr>
              <w:t>†</w:t>
            </w:r>
          </w:p>
        </w:tc>
        <w:tc>
          <w:tcPr>
            <w:tcW w:w="808" w:type="dxa"/>
            <w:tcBorders>
              <w:bottom w:val="single" w:sz="18" w:space="0" w:color="800000"/>
            </w:tcBorders>
          </w:tcPr>
          <w:p w:rsidR="003F5784" w14:paraId="4517A559" w14:textId="77777777">
            <w:pPr>
              <w:pStyle w:val="TableParagraph"/>
              <w:ind w:right="352"/>
              <w:rPr>
                <w:sz w:val="21"/>
              </w:rPr>
            </w:pPr>
            <w:r>
              <w:rPr>
                <w:spacing w:val="-10"/>
                <w:sz w:val="21"/>
              </w:rPr>
              <w:t>†</w:t>
            </w:r>
          </w:p>
        </w:tc>
        <w:tc>
          <w:tcPr>
            <w:tcW w:w="1152" w:type="dxa"/>
            <w:tcBorders>
              <w:bottom w:val="single" w:sz="18" w:space="0" w:color="800000"/>
            </w:tcBorders>
          </w:tcPr>
          <w:p w:rsidR="003F5784" w14:paraId="372F1E79" w14:textId="77777777">
            <w:pPr>
              <w:pStyle w:val="TableParagraph"/>
              <w:ind w:right="117"/>
              <w:rPr>
                <w:sz w:val="21"/>
              </w:rPr>
            </w:pPr>
            <w:r>
              <w:rPr>
                <w:spacing w:val="-2"/>
                <w:sz w:val="21"/>
              </w:rPr>
              <w:t>564,702</w:t>
            </w:r>
          </w:p>
        </w:tc>
      </w:tr>
    </w:tbl>
    <w:p w:rsidR="003F5784" w14:paraId="0F40305C" w14:textId="77777777">
      <w:pPr>
        <w:pStyle w:val="BodyText"/>
        <w:spacing w:before="16" w:line="238" w:lineRule="exact"/>
        <w:ind w:left="595"/>
      </w:pPr>
      <w:r>
        <w:t>†</w:t>
      </w:r>
      <w:r>
        <w:rPr>
          <w:spacing w:val="-4"/>
        </w:rPr>
        <w:t xml:space="preserve"> </w:t>
      </w:r>
      <w:r>
        <w:t>Not</w:t>
      </w:r>
      <w:r>
        <w:rPr>
          <w:spacing w:val="-3"/>
        </w:rPr>
        <w:t xml:space="preserve"> </w:t>
      </w:r>
      <w:r>
        <w:rPr>
          <w:spacing w:val="-2"/>
        </w:rPr>
        <w:t>applicable.</w:t>
      </w:r>
    </w:p>
    <w:p w:rsidR="003F5784" w14:paraId="2C8BFA29"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1108CE57" w14:textId="77777777">
      <w:pPr>
        <w:pStyle w:val="BodyText"/>
      </w:pPr>
    </w:p>
    <w:p w:rsidR="003F5784" w14:paraId="19E0921C" w14:textId="77777777">
      <w:pPr>
        <w:pStyle w:val="BodyText"/>
      </w:pPr>
    </w:p>
    <w:p w:rsidR="003F5784" w14:paraId="5751FFFB" w14:textId="77777777">
      <w:pPr>
        <w:pStyle w:val="BodyText"/>
        <w:spacing w:before="198"/>
      </w:pPr>
    </w:p>
    <w:p w:rsidR="003F5784" w14:paraId="7FD628C8" w14:textId="77777777">
      <w:pPr>
        <w:ind w:left="3467"/>
        <w:rPr>
          <w:sz w:val="18"/>
        </w:rPr>
      </w:pPr>
      <w:hyperlink r:id="rId200">
        <w:r>
          <w:rPr>
            <w:spacing w:val="-2"/>
            <w:w w:val="105"/>
            <w:sz w:val="18"/>
          </w:rPr>
          <w:t>http://nces.ed.gov/nationsreportcard/tdw/sample_design/2022/stratification_for_midwest_nonmetropolitan_noncertainty_primary_sampling_units.aspx</w:t>
        </w:r>
      </w:hyperlink>
    </w:p>
    <w:p w:rsidR="003F5784" w14:paraId="55E77060" w14:textId="77777777">
      <w:pPr>
        <w:pStyle w:val="BodyText"/>
        <w:rPr>
          <w:sz w:val="16"/>
        </w:rPr>
      </w:pPr>
      <w:r>
        <w:rPr>
          <w:noProof/>
        </w:rPr>
        <mc:AlternateContent>
          <mc:Choice Requires="wps">
            <w:drawing>
              <wp:anchor distT="0" distB="0" distL="0" distR="0" simplePos="0" relativeHeight="251888640" behindDoc="1" locked="0" layoutInCell="1" allowOverlap="1">
                <wp:simplePos x="0" y="0"/>
                <wp:positionH relativeFrom="page">
                  <wp:posOffset>361937</wp:posOffset>
                </wp:positionH>
                <wp:positionV relativeFrom="paragraph">
                  <wp:posOffset>132511</wp:posOffset>
                </wp:positionV>
                <wp:extent cx="9339580" cy="8890"/>
                <wp:effectExtent l="0" t="0" r="0" b="0"/>
                <wp:wrapTopAndBottom/>
                <wp:docPr id="225" name="Graphic 225"/>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38"/>
                              </a:moveTo>
                              <a:lnTo>
                                <a:pt x="9335110" y="38"/>
                              </a:lnTo>
                              <a:lnTo>
                                <a:pt x="8280" y="38"/>
                              </a:lnTo>
                              <a:lnTo>
                                <a:pt x="0" y="0"/>
                              </a:lnTo>
                              <a:lnTo>
                                <a:pt x="0" y="8280"/>
                              </a:lnTo>
                              <a:lnTo>
                                <a:pt x="9335110" y="8305"/>
                              </a:lnTo>
                              <a:lnTo>
                                <a:pt x="9338970" y="8305"/>
                              </a:lnTo>
                              <a:lnTo>
                                <a:pt x="9338970" y="38"/>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25" o:spid="_x0000_s1114" style="width:735.4pt;height:0.7pt;margin-top:10.45pt;margin-left:28.5pt;mso-position-horizontal-relative:page;mso-wrap-distance-bottom:0;mso-wrap-distance-left:0;mso-wrap-distance-right:0;mso-wrap-distance-top:0;mso-wrap-style:square;position:absolute;visibility:visible;v-text-anchor:top;z-index:-251426816" coordsize="9339580,8890" path="m9338970,38l9335110,38l8280,38,,,,8280l9335110,8305l9338970,8305l9338970,38xe" fillcolor="gray" stroked="f">
                <v:path arrowok="t"/>
                <w10:wrap type="topAndBottom"/>
              </v:shape>
            </w:pict>
          </mc:Fallback>
        </mc:AlternateContent>
      </w:r>
    </w:p>
    <w:p w:rsidR="003F5784" w14:paraId="2ACEE61F" w14:textId="77777777">
      <w:pPr>
        <w:pStyle w:val="BodyText"/>
        <w:rPr>
          <w:sz w:val="18"/>
        </w:rPr>
      </w:pPr>
    </w:p>
    <w:p w:rsidR="003F5784" w14:paraId="5E5F0588" w14:textId="77777777">
      <w:pPr>
        <w:pStyle w:val="BodyText"/>
        <w:spacing w:before="193"/>
        <w:rPr>
          <w:sz w:val="18"/>
        </w:rPr>
      </w:pPr>
    </w:p>
    <w:p w:rsidR="003F5784" w14:paraId="7E641D2D" w14:textId="70C2157F">
      <w:pPr>
        <w:pStyle w:val="Heading1"/>
        <w:spacing w:line="244" w:lineRule="auto"/>
      </w:pPr>
      <w:r>
        <w:t>NAEP</w:t>
      </w:r>
      <w:r>
        <w:rPr>
          <w:spacing w:val="-9"/>
        </w:rPr>
        <w:t xml:space="preserve"> </w:t>
      </w:r>
      <w:r>
        <w:t>Technical Documentation</w:t>
      </w:r>
      <w:r w:rsidR="004C039D">
        <w:t xml:space="preserve"> </w:t>
      </w:r>
      <w:r>
        <w:t>Stratification for Northeast Metropolitan Noncertainty Primary Sampling Units</w:t>
      </w:r>
    </w:p>
    <w:p w:rsidR="003F5784" w14:paraId="61C04154" w14:textId="77777777">
      <w:pPr>
        <w:pStyle w:val="BodyText"/>
        <w:spacing w:before="287" w:line="232" w:lineRule="auto"/>
        <w:ind w:left="109"/>
      </w:pPr>
      <w:r>
        <w:t>The</w:t>
      </w:r>
      <w:r>
        <w:rPr>
          <w:spacing w:val="-3"/>
        </w:rPr>
        <w:t xml:space="preserve"> </w:t>
      </w:r>
      <w:r>
        <w:t>following</w:t>
      </w:r>
      <w:r>
        <w:rPr>
          <w:spacing w:val="-3"/>
        </w:rPr>
        <w:t xml:space="preserve"> </w:t>
      </w:r>
      <w:r>
        <w:t>table</w:t>
      </w:r>
      <w:r>
        <w:rPr>
          <w:spacing w:val="-3"/>
        </w:rPr>
        <w:t xml:space="preserve"> </w:t>
      </w:r>
      <w:r>
        <w:t>provides</w:t>
      </w:r>
      <w:r>
        <w:rPr>
          <w:spacing w:val="-3"/>
        </w:rPr>
        <w:t xml:space="preserve"> </w:t>
      </w:r>
      <w:r>
        <w:t>the</w:t>
      </w:r>
      <w:r>
        <w:rPr>
          <w:spacing w:val="-3"/>
        </w:rPr>
        <w:t xml:space="preserve"> </w:t>
      </w:r>
      <w:r>
        <w:t>definition,</w:t>
      </w:r>
      <w:r>
        <w:rPr>
          <w:spacing w:val="-3"/>
        </w:rPr>
        <w:t xml:space="preserve"> </w:t>
      </w:r>
      <w:r>
        <w:t>number</w:t>
      </w:r>
      <w:r>
        <w:rPr>
          <w:spacing w:val="-3"/>
        </w:rPr>
        <w:t xml:space="preserve"> </w:t>
      </w:r>
      <w:r>
        <w:t>of</w:t>
      </w:r>
      <w:r>
        <w:rPr>
          <w:spacing w:val="-3"/>
        </w:rPr>
        <w:t xml:space="preserve"> </w:t>
      </w:r>
      <w:r>
        <w:t>PSUs,</w:t>
      </w:r>
      <w:r>
        <w:rPr>
          <w:spacing w:val="-3"/>
        </w:rPr>
        <w:t xml:space="preserve"> </w:t>
      </w:r>
      <w:r>
        <w:t>and</w:t>
      </w:r>
      <w:r>
        <w:rPr>
          <w:spacing w:val="-3"/>
        </w:rPr>
        <w:t xml:space="preserve"> </w:t>
      </w:r>
      <w:r>
        <w:t>size</w:t>
      </w:r>
      <w:r>
        <w:rPr>
          <w:spacing w:val="-3"/>
        </w:rPr>
        <w:t xml:space="preserve"> </w:t>
      </w:r>
      <w:r>
        <w:t>of</w:t>
      </w:r>
      <w:r>
        <w:rPr>
          <w:spacing w:val="-3"/>
        </w:rPr>
        <w:t xml:space="preserve"> </w:t>
      </w:r>
      <w:r>
        <w:t>each</w:t>
      </w:r>
      <w:r>
        <w:rPr>
          <w:spacing w:val="-3"/>
        </w:rPr>
        <w:t xml:space="preserve"> </w:t>
      </w:r>
      <w:r>
        <w:t>noncertainty</w:t>
      </w:r>
      <w:r>
        <w:rPr>
          <w:spacing w:val="-3"/>
        </w:rPr>
        <w:t xml:space="preserve"> </w:t>
      </w:r>
      <w:r>
        <w:t>PSU</w:t>
      </w:r>
      <w:r>
        <w:rPr>
          <w:spacing w:val="-3"/>
        </w:rPr>
        <w:t xml:space="preserve"> </w:t>
      </w:r>
      <w:r>
        <w:t>stratum</w:t>
      </w:r>
      <w:r>
        <w:rPr>
          <w:spacing w:val="-3"/>
        </w:rPr>
        <w:t xml:space="preserve"> </w:t>
      </w:r>
      <w:r>
        <w:t>in</w:t>
      </w:r>
      <w:r>
        <w:rPr>
          <w:spacing w:val="-3"/>
        </w:rPr>
        <w:t xml:space="preserve"> </w:t>
      </w:r>
      <w:r>
        <w:t>the</w:t>
      </w:r>
      <w:r>
        <w:rPr>
          <w:spacing w:val="-3"/>
        </w:rPr>
        <w:t xml:space="preserve"> </w:t>
      </w:r>
      <w:r>
        <w:t>Northeast</w:t>
      </w:r>
      <w:r>
        <w:rPr>
          <w:spacing w:val="-3"/>
        </w:rPr>
        <w:t xml:space="preserve"> </w:t>
      </w:r>
      <w:r>
        <w:t>metropolitan</w:t>
      </w:r>
      <w:r>
        <w:rPr>
          <w:spacing w:val="-3"/>
        </w:rPr>
        <w:t xml:space="preserve"> </w:t>
      </w:r>
      <w:r>
        <w:t>primary</w:t>
      </w:r>
      <w:r>
        <w:rPr>
          <w:spacing w:val="-3"/>
        </w:rPr>
        <w:t xml:space="preserve"> </w:t>
      </w:r>
      <w:r>
        <w:t>stratum.</w:t>
      </w:r>
      <w:r>
        <w:rPr>
          <w:spacing w:val="-3"/>
        </w:rPr>
        <w:t xml:space="preserve"> </w:t>
      </w:r>
      <w:r>
        <w:t>Columns</w:t>
      </w:r>
      <w:r>
        <w:rPr>
          <w:spacing w:val="-3"/>
        </w:rPr>
        <w:t xml:space="preserve"> </w:t>
      </w:r>
      <w:r>
        <w:t>2</w:t>
      </w:r>
      <w:r>
        <w:rPr>
          <w:spacing w:val="-3"/>
        </w:rPr>
        <w:t xml:space="preserve"> </w:t>
      </w:r>
      <w:r>
        <w:t>and</w:t>
      </w:r>
      <w:r>
        <w:rPr>
          <w:spacing w:val="-3"/>
        </w:rPr>
        <w:t xml:space="preserve"> </w:t>
      </w:r>
      <w:r>
        <w:t>3</w:t>
      </w:r>
      <w:r>
        <w:rPr>
          <w:spacing w:val="-3"/>
        </w:rPr>
        <w:t xml:space="preserve"> </w:t>
      </w:r>
      <w:r>
        <w:t>show the</w:t>
      </w:r>
      <w:r>
        <w:rPr>
          <w:spacing w:val="-6"/>
        </w:rPr>
        <w:t xml:space="preserve"> </w:t>
      </w:r>
      <w:r>
        <w:t>primary</w:t>
      </w:r>
      <w:r>
        <w:rPr>
          <w:spacing w:val="-6"/>
        </w:rPr>
        <w:t xml:space="preserve"> </w:t>
      </w:r>
      <w:r>
        <w:t>and</w:t>
      </w:r>
      <w:r>
        <w:rPr>
          <w:spacing w:val="-6"/>
        </w:rPr>
        <w:t xml:space="preserve"> </w:t>
      </w:r>
      <w:r>
        <w:t>secondary</w:t>
      </w:r>
      <w:r>
        <w:rPr>
          <w:spacing w:val="-6"/>
        </w:rPr>
        <w:t xml:space="preserve"> </w:t>
      </w:r>
      <w:r>
        <w:t>characteristics,</w:t>
      </w:r>
      <w:r>
        <w:rPr>
          <w:spacing w:val="-6"/>
        </w:rPr>
        <w:t xml:space="preserve"> </w:t>
      </w:r>
      <w:r>
        <w:t>respectively,</w:t>
      </w:r>
      <w:r>
        <w:rPr>
          <w:spacing w:val="-6"/>
        </w:rPr>
        <w:t xml:space="preserve"> </w:t>
      </w:r>
      <w:r>
        <w:t>used</w:t>
      </w:r>
      <w:r>
        <w:rPr>
          <w:spacing w:val="-6"/>
        </w:rPr>
        <w:t xml:space="preserve"> </w:t>
      </w:r>
      <w:r>
        <w:t>to</w:t>
      </w:r>
      <w:r>
        <w:rPr>
          <w:spacing w:val="-6"/>
        </w:rPr>
        <w:t xml:space="preserve"> </w:t>
      </w:r>
      <w:r>
        <w:t>define</w:t>
      </w:r>
      <w:r>
        <w:rPr>
          <w:spacing w:val="-6"/>
        </w:rPr>
        <w:t xml:space="preserve"> </w:t>
      </w:r>
      <w:r>
        <w:t>the</w:t>
      </w:r>
      <w:r>
        <w:rPr>
          <w:spacing w:val="-6"/>
        </w:rPr>
        <w:t xml:space="preserve"> </w:t>
      </w:r>
      <w:r>
        <w:t>strata</w:t>
      </w:r>
      <w:r>
        <w:rPr>
          <w:spacing w:val="-6"/>
        </w:rPr>
        <w:t xml:space="preserve"> </w:t>
      </w:r>
      <w:r>
        <w:t>along</w:t>
      </w:r>
      <w:r>
        <w:rPr>
          <w:spacing w:val="-6"/>
        </w:rPr>
        <w:t xml:space="preserve"> </w:t>
      </w:r>
      <w:r>
        <w:t>with</w:t>
      </w:r>
      <w:r>
        <w:rPr>
          <w:spacing w:val="-6"/>
        </w:rPr>
        <w:t xml:space="preserve"> </w:t>
      </w:r>
      <w:r>
        <w:t>their</w:t>
      </w:r>
      <w:r>
        <w:rPr>
          <w:spacing w:val="-6"/>
        </w:rPr>
        <w:t xml:space="preserve"> </w:t>
      </w:r>
      <w:r>
        <w:t>respective</w:t>
      </w:r>
      <w:r>
        <w:rPr>
          <w:spacing w:val="-6"/>
        </w:rPr>
        <w:t xml:space="preserve"> </w:t>
      </w:r>
      <w:r>
        <w:t>cutoffs.</w:t>
      </w:r>
      <w:r>
        <w:rPr>
          <w:spacing w:val="-10"/>
        </w:rPr>
        <w:t xml:space="preserve"> </w:t>
      </w:r>
      <w:r>
        <w:t>The</w:t>
      </w:r>
      <w:r>
        <w:rPr>
          <w:spacing w:val="-6"/>
        </w:rPr>
        <w:t xml:space="preserve"> </w:t>
      </w:r>
      <w:r>
        <w:t>size</w:t>
      </w:r>
      <w:r>
        <w:rPr>
          <w:spacing w:val="-6"/>
        </w:rPr>
        <w:t xml:space="preserve"> </w:t>
      </w:r>
      <w:r>
        <w:t>of</w:t>
      </w:r>
      <w:r>
        <w:rPr>
          <w:spacing w:val="-6"/>
        </w:rPr>
        <w:t xml:space="preserve"> </w:t>
      </w:r>
      <w:r>
        <w:t>each</w:t>
      </w:r>
      <w:r>
        <w:rPr>
          <w:spacing w:val="-6"/>
        </w:rPr>
        <w:t xml:space="preserve"> </w:t>
      </w:r>
      <w:r>
        <w:t>stratum</w:t>
      </w:r>
      <w:r>
        <w:rPr>
          <w:spacing w:val="-6"/>
        </w:rPr>
        <w:t xml:space="preserve"> </w:t>
      </w:r>
      <w:r>
        <w:t>is</w:t>
      </w:r>
      <w:r>
        <w:rPr>
          <w:spacing w:val="-6"/>
        </w:rPr>
        <w:t xml:space="preserve"> </w:t>
      </w:r>
      <w:r>
        <w:t>given</w:t>
      </w:r>
      <w:r>
        <w:rPr>
          <w:spacing w:val="-6"/>
        </w:rPr>
        <w:t xml:space="preserve"> </w:t>
      </w:r>
      <w:r>
        <w:t>in</w:t>
      </w:r>
      <w:r>
        <w:rPr>
          <w:spacing w:val="-6"/>
        </w:rPr>
        <w:t xml:space="preserve"> </w:t>
      </w:r>
      <w:r>
        <w:t>the</w:t>
      </w:r>
      <w:r>
        <w:rPr>
          <w:spacing w:val="-6"/>
        </w:rPr>
        <w:t xml:space="preserve"> </w:t>
      </w:r>
      <w:r>
        <w:t>last</w:t>
      </w:r>
      <w:r>
        <w:rPr>
          <w:spacing w:val="-6"/>
        </w:rPr>
        <w:t xml:space="preserve"> </w:t>
      </w:r>
      <w:r>
        <w:t>column</w:t>
      </w:r>
      <w:r>
        <w:rPr>
          <w:spacing w:val="-6"/>
        </w:rPr>
        <w:t xml:space="preserve"> </w:t>
      </w:r>
      <w:r>
        <w:t>and</w:t>
      </w:r>
      <w:r>
        <w:rPr>
          <w:spacing w:val="-6"/>
        </w:rPr>
        <w:t xml:space="preserve"> </w:t>
      </w:r>
      <w:r>
        <w:t>is</w:t>
      </w:r>
      <w:r>
        <w:rPr>
          <w:spacing w:val="-6"/>
        </w:rPr>
        <w:t xml:space="preserve"> </w:t>
      </w:r>
      <w:r>
        <w:t>in terms of the number of youths (persons 17 years of age and younger).</w:t>
      </w:r>
    </w:p>
    <w:p w:rsidR="003F5784" w14:paraId="279728A1" w14:textId="77777777">
      <w:pPr>
        <w:pStyle w:val="BodyText"/>
        <w:spacing w:before="92"/>
      </w:pPr>
    </w:p>
    <w:p w:rsidR="003F5784" w14:paraId="6CFE7EA7" w14:textId="77777777">
      <w:pPr>
        <w:pStyle w:val="Heading2"/>
      </w:pPr>
      <w:r>
        <w:t>Stratification</w:t>
      </w:r>
      <w:r>
        <w:rPr>
          <w:spacing w:val="-9"/>
        </w:rPr>
        <w:t xml:space="preserve"> </w:t>
      </w:r>
      <w:r>
        <w:t>for</w:t>
      </w:r>
      <w:r>
        <w:rPr>
          <w:spacing w:val="-13"/>
        </w:rPr>
        <w:t xml:space="preserve"> </w:t>
      </w:r>
      <w:r>
        <w:t>Northeast</w:t>
      </w:r>
      <w:r>
        <w:rPr>
          <w:spacing w:val="-9"/>
        </w:rPr>
        <w:t xml:space="preserve"> </w:t>
      </w:r>
      <w:r>
        <w:t>metropolitan</w:t>
      </w:r>
      <w:r>
        <w:rPr>
          <w:spacing w:val="-9"/>
        </w:rPr>
        <w:t xml:space="preserve"> </w:t>
      </w:r>
      <w:r>
        <w:t>noncertainty</w:t>
      </w:r>
      <w:r>
        <w:rPr>
          <w:spacing w:val="-9"/>
        </w:rPr>
        <w:t xml:space="preserve"> </w:t>
      </w:r>
      <w:r>
        <w:t>primary</w:t>
      </w:r>
      <w:r>
        <w:rPr>
          <w:spacing w:val="-9"/>
        </w:rPr>
        <w:t xml:space="preserve"> </w:t>
      </w:r>
      <w:r>
        <w:t>sampling</w:t>
      </w:r>
      <w:r>
        <w:rPr>
          <w:spacing w:val="-9"/>
        </w:rPr>
        <w:t xml:space="preserve"> </w:t>
      </w:r>
      <w:r>
        <w:t>units</w:t>
      </w:r>
      <w:r>
        <w:rPr>
          <w:spacing w:val="-9"/>
        </w:rPr>
        <w:t xml:space="preserve"> </w:t>
      </w:r>
      <w:r>
        <w:t>(PSUs),</w:t>
      </w:r>
      <w:r>
        <w:rPr>
          <w:spacing w:val="-9"/>
        </w:rPr>
        <w:t xml:space="preserve"> </w:t>
      </w:r>
      <w:r>
        <w:t>by</w:t>
      </w:r>
      <w:r>
        <w:rPr>
          <w:spacing w:val="-9"/>
        </w:rPr>
        <w:t xml:space="preserve"> </w:t>
      </w:r>
      <w:r>
        <w:t>stratum:</w:t>
      </w:r>
      <w:r>
        <w:rPr>
          <w:spacing w:val="-9"/>
        </w:rPr>
        <w:t xml:space="preserve"> </w:t>
      </w:r>
      <w:r>
        <w:rPr>
          <w:spacing w:val="-4"/>
        </w:rPr>
        <w:t>2022</w:t>
      </w:r>
    </w:p>
    <w:p w:rsidR="003F5784" w14:paraId="7A4DC885"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1056"/>
        <w:gridCol w:w="4731"/>
        <w:gridCol w:w="5705"/>
        <w:gridCol w:w="851"/>
        <w:gridCol w:w="1641"/>
      </w:tblGrid>
      <w:tr w14:paraId="640FD6D7" w14:textId="77777777">
        <w:tblPrEx>
          <w:tblW w:w="0" w:type="auto"/>
          <w:tblInd w:w="482" w:type="dxa"/>
          <w:tblLayout w:type="fixed"/>
          <w:tblCellMar>
            <w:left w:w="0" w:type="dxa"/>
            <w:right w:w="0" w:type="dxa"/>
          </w:tblCellMar>
          <w:tblLook w:val="01E0"/>
        </w:tblPrEx>
        <w:trPr>
          <w:trHeight w:val="267"/>
        </w:trPr>
        <w:tc>
          <w:tcPr>
            <w:tcW w:w="1056" w:type="dxa"/>
            <w:tcBorders>
              <w:top w:val="single" w:sz="18" w:space="0" w:color="800000"/>
              <w:bottom w:val="single" w:sz="18" w:space="0" w:color="800000"/>
            </w:tcBorders>
          </w:tcPr>
          <w:p w:rsidR="003F5784" w14:paraId="1512A043" w14:textId="77777777">
            <w:pPr>
              <w:pStyle w:val="TableParagraph"/>
              <w:spacing w:before="9" w:line="238" w:lineRule="exact"/>
              <w:ind w:left="120"/>
              <w:jc w:val="left"/>
              <w:rPr>
                <w:sz w:val="21"/>
              </w:rPr>
            </w:pPr>
            <w:r>
              <w:rPr>
                <w:spacing w:val="-2"/>
                <w:sz w:val="21"/>
              </w:rPr>
              <w:t>Stratum</w:t>
            </w:r>
          </w:p>
        </w:tc>
        <w:tc>
          <w:tcPr>
            <w:tcW w:w="4731" w:type="dxa"/>
            <w:tcBorders>
              <w:top w:val="single" w:sz="18" w:space="0" w:color="800000"/>
              <w:bottom w:val="single" w:sz="18" w:space="0" w:color="800000"/>
            </w:tcBorders>
          </w:tcPr>
          <w:p w:rsidR="003F5784" w14:paraId="069AED41" w14:textId="77777777">
            <w:pPr>
              <w:pStyle w:val="TableParagraph"/>
              <w:spacing w:before="9" w:line="238" w:lineRule="exact"/>
              <w:ind w:right="225"/>
              <w:rPr>
                <w:sz w:val="21"/>
              </w:rPr>
            </w:pPr>
            <w:r>
              <w:rPr>
                <w:sz w:val="21"/>
              </w:rPr>
              <w:t>Primary</w:t>
            </w:r>
            <w:r>
              <w:rPr>
                <w:spacing w:val="-8"/>
                <w:sz w:val="21"/>
              </w:rPr>
              <w:t xml:space="preserve"> </w:t>
            </w:r>
            <w:r>
              <w:rPr>
                <w:spacing w:val="-2"/>
                <w:sz w:val="21"/>
              </w:rPr>
              <w:t>stratifier</w:t>
            </w:r>
          </w:p>
        </w:tc>
        <w:tc>
          <w:tcPr>
            <w:tcW w:w="5705" w:type="dxa"/>
            <w:tcBorders>
              <w:top w:val="single" w:sz="18" w:space="0" w:color="800000"/>
              <w:bottom w:val="single" w:sz="18" w:space="0" w:color="800000"/>
            </w:tcBorders>
          </w:tcPr>
          <w:p w:rsidR="003F5784" w14:paraId="008C91F6" w14:textId="77777777">
            <w:pPr>
              <w:pStyle w:val="TableParagraph"/>
              <w:spacing w:before="9" w:line="238" w:lineRule="exact"/>
              <w:ind w:right="183"/>
              <w:rPr>
                <w:sz w:val="21"/>
              </w:rPr>
            </w:pPr>
            <w:r>
              <w:rPr>
                <w:sz w:val="21"/>
              </w:rPr>
              <w:t>Secondary</w:t>
            </w:r>
            <w:r>
              <w:rPr>
                <w:spacing w:val="-10"/>
                <w:sz w:val="21"/>
              </w:rPr>
              <w:t xml:space="preserve"> </w:t>
            </w:r>
            <w:r>
              <w:rPr>
                <w:spacing w:val="-2"/>
                <w:sz w:val="21"/>
              </w:rPr>
              <w:t>stratifier</w:t>
            </w:r>
          </w:p>
        </w:tc>
        <w:tc>
          <w:tcPr>
            <w:tcW w:w="851" w:type="dxa"/>
            <w:tcBorders>
              <w:top w:val="single" w:sz="18" w:space="0" w:color="800000"/>
              <w:bottom w:val="single" w:sz="18" w:space="0" w:color="800000"/>
            </w:tcBorders>
          </w:tcPr>
          <w:p w:rsidR="003F5784" w14:paraId="2BC83873" w14:textId="77777777">
            <w:pPr>
              <w:pStyle w:val="TableParagraph"/>
              <w:spacing w:before="9" w:line="238" w:lineRule="exact"/>
              <w:ind w:right="198"/>
              <w:rPr>
                <w:sz w:val="21"/>
              </w:rPr>
            </w:pPr>
            <w:r>
              <w:rPr>
                <w:spacing w:val="-4"/>
                <w:sz w:val="21"/>
              </w:rPr>
              <w:t>PSUs</w:t>
            </w:r>
          </w:p>
        </w:tc>
        <w:tc>
          <w:tcPr>
            <w:tcW w:w="1641" w:type="dxa"/>
            <w:tcBorders>
              <w:top w:val="single" w:sz="18" w:space="0" w:color="800000"/>
              <w:bottom w:val="single" w:sz="18" w:space="0" w:color="800000"/>
            </w:tcBorders>
          </w:tcPr>
          <w:p w:rsidR="003F5784" w14:paraId="3B2A6274" w14:textId="77777777">
            <w:pPr>
              <w:pStyle w:val="TableParagraph"/>
              <w:spacing w:before="9" w:line="238" w:lineRule="exact"/>
              <w:ind w:right="117"/>
              <w:rPr>
                <w:sz w:val="21"/>
              </w:rPr>
            </w:pPr>
            <w:r>
              <w:rPr>
                <w:sz w:val="21"/>
              </w:rPr>
              <w:t>Measure</w:t>
            </w:r>
            <w:r>
              <w:rPr>
                <w:spacing w:val="-6"/>
                <w:sz w:val="21"/>
              </w:rPr>
              <w:t xml:space="preserve"> </w:t>
            </w:r>
            <w:r>
              <w:rPr>
                <w:sz w:val="21"/>
              </w:rPr>
              <w:t>of</w:t>
            </w:r>
            <w:r>
              <w:rPr>
                <w:spacing w:val="-5"/>
                <w:sz w:val="21"/>
              </w:rPr>
              <w:t xml:space="preserve"> </w:t>
            </w:r>
            <w:r>
              <w:rPr>
                <w:spacing w:val="-4"/>
                <w:sz w:val="21"/>
              </w:rPr>
              <w:t>size</w:t>
            </w:r>
          </w:p>
        </w:tc>
      </w:tr>
      <w:tr w14:paraId="2A43A0FE" w14:textId="77777777">
        <w:tblPrEx>
          <w:tblW w:w="0" w:type="auto"/>
          <w:tblInd w:w="482" w:type="dxa"/>
          <w:tblLayout w:type="fixed"/>
          <w:tblCellMar>
            <w:left w:w="0" w:type="dxa"/>
            <w:right w:w="0" w:type="dxa"/>
          </w:tblCellMar>
          <w:tblLook w:val="01E0"/>
        </w:tblPrEx>
        <w:trPr>
          <w:trHeight w:val="278"/>
        </w:trPr>
        <w:tc>
          <w:tcPr>
            <w:tcW w:w="1056" w:type="dxa"/>
            <w:tcBorders>
              <w:top w:val="single" w:sz="18" w:space="0" w:color="800000"/>
            </w:tcBorders>
          </w:tcPr>
          <w:p w:rsidR="003F5784" w14:paraId="4EB1DE68" w14:textId="77777777">
            <w:pPr>
              <w:pStyle w:val="TableParagraph"/>
              <w:spacing w:before="9"/>
              <w:ind w:left="370"/>
              <w:jc w:val="left"/>
              <w:rPr>
                <w:b/>
                <w:sz w:val="21"/>
              </w:rPr>
            </w:pPr>
            <w:r>
              <w:rPr>
                <w:b/>
                <w:spacing w:val="-2"/>
                <w:sz w:val="21"/>
              </w:rPr>
              <w:t>Total</w:t>
            </w:r>
          </w:p>
        </w:tc>
        <w:tc>
          <w:tcPr>
            <w:tcW w:w="4731" w:type="dxa"/>
            <w:tcBorders>
              <w:top w:val="single" w:sz="18" w:space="0" w:color="800000"/>
            </w:tcBorders>
          </w:tcPr>
          <w:p w:rsidR="003F5784" w14:paraId="18AE0FA1" w14:textId="77777777">
            <w:pPr>
              <w:pStyle w:val="TableParagraph"/>
              <w:spacing w:before="9"/>
              <w:ind w:right="224"/>
              <w:rPr>
                <w:b/>
                <w:sz w:val="21"/>
              </w:rPr>
            </w:pPr>
            <w:r>
              <w:rPr>
                <w:b/>
                <w:spacing w:val="-10"/>
                <w:sz w:val="21"/>
              </w:rPr>
              <w:t>†</w:t>
            </w:r>
          </w:p>
        </w:tc>
        <w:tc>
          <w:tcPr>
            <w:tcW w:w="5705" w:type="dxa"/>
            <w:tcBorders>
              <w:top w:val="single" w:sz="18" w:space="0" w:color="800000"/>
            </w:tcBorders>
          </w:tcPr>
          <w:p w:rsidR="003F5784" w14:paraId="689A50C7" w14:textId="77777777">
            <w:pPr>
              <w:pStyle w:val="TableParagraph"/>
              <w:spacing w:before="9"/>
              <w:ind w:right="183"/>
              <w:rPr>
                <w:b/>
                <w:sz w:val="21"/>
              </w:rPr>
            </w:pPr>
            <w:r>
              <w:rPr>
                <w:b/>
                <w:spacing w:val="-10"/>
                <w:sz w:val="21"/>
              </w:rPr>
              <w:t>†</w:t>
            </w:r>
          </w:p>
        </w:tc>
        <w:tc>
          <w:tcPr>
            <w:tcW w:w="851" w:type="dxa"/>
            <w:tcBorders>
              <w:top w:val="single" w:sz="18" w:space="0" w:color="800000"/>
            </w:tcBorders>
          </w:tcPr>
          <w:p w:rsidR="003F5784" w14:paraId="0319D277" w14:textId="77777777">
            <w:pPr>
              <w:pStyle w:val="TableParagraph"/>
              <w:spacing w:before="9"/>
              <w:ind w:right="198"/>
              <w:rPr>
                <w:b/>
                <w:sz w:val="21"/>
              </w:rPr>
            </w:pPr>
            <w:r>
              <w:rPr>
                <w:b/>
                <w:spacing w:val="-5"/>
                <w:sz w:val="21"/>
              </w:rPr>
              <w:t>43</w:t>
            </w:r>
          </w:p>
        </w:tc>
        <w:tc>
          <w:tcPr>
            <w:tcW w:w="1641" w:type="dxa"/>
            <w:tcBorders>
              <w:top w:val="single" w:sz="18" w:space="0" w:color="800000"/>
            </w:tcBorders>
          </w:tcPr>
          <w:p w:rsidR="003F5784" w14:paraId="10ABCF7D" w14:textId="77777777">
            <w:pPr>
              <w:pStyle w:val="TableParagraph"/>
              <w:spacing w:before="9"/>
              <w:ind w:right="117"/>
              <w:rPr>
                <w:b/>
                <w:sz w:val="21"/>
              </w:rPr>
            </w:pPr>
            <w:r>
              <w:rPr>
                <w:b/>
                <w:spacing w:val="-2"/>
                <w:sz w:val="21"/>
              </w:rPr>
              <w:t>4,353,475</w:t>
            </w:r>
          </w:p>
        </w:tc>
      </w:tr>
      <w:tr w14:paraId="5000FA22" w14:textId="77777777">
        <w:tblPrEx>
          <w:tblW w:w="0" w:type="auto"/>
          <w:tblInd w:w="482" w:type="dxa"/>
          <w:tblLayout w:type="fixed"/>
          <w:tblCellMar>
            <w:left w:w="0" w:type="dxa"/>
            <w:right w:w="0" w:type="dxa"/>
          </w:tblCellMar>
          <w:tblLook w:val="01E0"/>
        </w:tblPrEx>
        <w:trPr>
          <w:trHeight w:val="286"/>
        </w:trPr>
        <w:tc>
          <w:tcPr>
            <w:tcW w:w="1056" w:type="dxa"/>
          </w:tcPr>
          <w:p w:rsidR="003F5784" w14:paraId="7F83EBB0" w14:textId="77777777">
            <w:pPr>
              <w:pStyle w:val="TableParagraph"/>
              <w:ind w:left="120"/>
              <w:jc w:val="left"/>
              <w:rPr>
                <w:sz w:val="21"/>
              </w:rPr>
            </w:pPr>
            <w:r>
              <w:rPr>
                <w:spacing w:val="-10"/>
                <w:sz w:val="21"/>
              </w:rPr>
              <w:t>1</w:t>
            </w:r>
          </w:p>
        </w:tc>
        <w:tc>
          <w:tcPr>
            <w:tcW w:w="4731" w:type="dxa"/>
          </w:tcPr>
          <w:p w:rsidR="003F5784" w14:paraId="02F5C0B8" w14:textId="77777777">
            <w:pPr>
              <w:pStyle w:val="TableParagraph"/>
              <w:ind w:right="225"/>
              <w:rPr>
                <w:sz w:val="21"/>
              </w:rPr>
            </w:pPr>
            <w:r>
              <w:rPr>
                <w:sz w:val="21"/>
              </w:rPr>
              <w:t>Percentage</w:t>
            </w:r>
            <w:r>
              <w:rPr>
                <w:spacing w:val="-9"/>
                <w:sz w:val="21"/>
              </w:rPr>
              <w:t xml:space="preserve"> </w:t>
            </w:r>
            <w:r>
              <w:rPr>
                <w:sz w:val="21"/>
              </w:rPr>
              <w:t>of</w:t>
            </w:r>
            <w:r>
              <w:rPr>
                <w:spacing w:val="-8"/>
                <w:sz w:val="21"/>
              </w:rPr>
              <w:t xml:space="preserve"> </w:t>
            </w:r>
            <w:r>
              <w:rPr>
                <w:sz w:val="21"/>
              </w:rPr>
              <w:t>female-headed</w:t>
            </w:r>
            <w:r>
              <w:rPr>
                <w:spacing w:val="-8"/>
                <w:sz w:val="21"/>
              </w:rPr>
              <w:t xml:space="preserve"> </w:t>
            </w:r>
            <w:r>
              <w:rPr>
                <w:sz w:val="21"/>
              </w:rPr>
              <w:t>households</w:t>
            </w:r>
            <w:r>
              <w:rPr>
                <w:spacing w:val="-8"/>
                <w:sz w:val="21"/>
              </w:rPr>
              <w:t xml:space="preserve"> </w:t>
            </w:r>
            <w:r>
              <w:rPr>
                <w:sz w:val="21"/>
              </w:rPr>
              <w:t>&lt;=</w:t>
            </w:r>
            <w:r>
              <w:rPr>
                <w:spacing w:val="-8"/>
                <w:sz w:val="21"/>
              </w:rPr>
              <w:t xml:space="preserve"> </w:t>
            </w:r>
            <w:r>
              <w:rPr>
                <w:spacing w:val="-5"/>
                <w:sz w:val="21"/>
              </w:rPr>
              <w:t>11</w:t>
            </w:r>
          </w:p>
        </w:tc>
        <w:tc>
          <w:tcPr>
            <w:tcW w:w="5705" w:type="dxa"/>
          </w:tcPr>
          <w:p w:rsidR="003F5784" w14:paraId="28EEF709" w14:textId="77777777">
            <w:pPr>
              <w:pStyle w:val="TableParagraph"/>
              <w:ind w:right="183"/>
              <w:rPr>
                <w:sz w:val="21"/>
              </w:rPr>
            </w:pPr>
            <w:r>
              <w:rPr>
                <w:sz w:val="21"/>
              </w:rPr>
              <w:t>Percentage</w:t>
            </w:r>
            <w:r>
              <w:rPr>
                <w:spacing w:val="-9"/>
                <w:sz w:val="21"/>
              </w:rPr>
              <w:t xml:space="preserve"> </w:t>
            </w:r>
            <w:r>
              <w:rPr>
                <w:sz w:val="21"/>
              </w:rPr>
              <w:t>of</w:t>
            </w:r>
            <w:r>
              <w:rPr>
                <w:spacing w:val="-8"/>
                <w:sz w:val="21"/>
              </w:rPr>
              <w:t xml:space="preserve"> </w:t>
            </w:r>
            <w:r>
              <w:rPr>
                <w:sz w:val="21"/>
              </w:rPr>
              <w:t>female-headed</w:t>
            </w:r>
            <w:r>
              <w:rPr>
                <w:spacing w:val="-8"/>
                <w:sz w:val="21"/>
              </w:rPr>
              <w:t xml:space="preserve"> </w:t>
            </w:r>
            <w:r>
              <w:rPr>
                <w:sz w:val="21"/>
              </w:rPr>
              <w:t>households</w:t>
            </w:r>
            <w:r>
              <w:rPr>
                <w:spacing w:val="-8"/>
                <w:sz w:val="21"/>
              </w:rPr>
              <w:t xml:space="preserve"> </w:t>
            </w:r>
            <w:r>
              <w:rPr>
                <w:sz w:val="21"/>
              </w:rPr>
              <w:t>&lt;=</w:t>
            </w:r>
            <w:r>
              <w:rPr>
                <w:spacing w:val="-8"/>
                <w:sz w:val="21"/>
              </w:rPr>
              <w:t xml:space="preserve"> </w:t>
            </w:r>
            <w:r>
              <w:rPr>
                <w:spacing w:val="-4"/>
                <w:sz w:val="21"/>
              </w:rPr>
              <w:t>10.3</w:t>
            </w:r>
          </w:p>
        </w:tc>
        <w:tc>
          <w:tcPr>
            <w:tcW w:w="851" w:type="dxa"/>
          </w:tcPr>
          <w:p w:rsidR="003F5784" w14:paraId="7287E3D8" w14:textId="77777777">
            <w:pPr>
              <w:pStyle w:val="TableParagraph"/>
              <w:ind w:right="198"/>
              <w:rPr>
                <w:sz w:val="21"/>
              </w:rPr>
            </w:pPr>
            <w:r>
              <w:rPr>
                <w:spacing w:val="-5"/>
                <w:sz w:val="21"/>
              </w:rPr>
              <w:t>10</w:t>
            </w:r>
          </w:p>
        </w:tc>
        <w:tc>
          <w:tcPr>
            <w:tcW w:w="1641" w:type="dxa"/>
          </w:tcPr>
          <w:p w:rsidR="003F5784" w14:paraId="623CC290" w14:textId="77777777">
            <w:pPr>
              <w:pStyle w:val="TableParagraph"/>
              <w:ind w:right="117"/>
              <w:rPr>
                <w:sz w:val="21"/>
              </w:rPr>
            </w:pPr>
            <w:r>
              <w:rPr>
                <w:spacing w:val="-2"/>
                <w:sz w:val="21"/>
              </w:rPr>
              <w:t>526,409</w:t>
            </w:r>
          </w:p>
        </w:tc>
      </w:tr>
      <w:tr w14:paraId="4C408920" w14:textId="77777777">
        <w:tblPrEx>
          <w:tblW w:w="0" w:type="auto"/>
          <w:tblInd w:w="482" w:type="dxa"/>
          <w:tblLayout w:type="fixed"/>
          <w:tblCellMar>
            <w:left w:w="0" w:type="dxa"/>
            <w:right w:w="0" w:type="dxa"/>
          </w:tblCellMar>
          <w:tblLook w:val="01E0"/>
        </w:tblPrEx>
        <w:trPr>
          <w:trHeight w:val="286"/>
        </w:trPr>
        <w:tc>
          <w:tcPr>
            <w:tcW w:w="1056" w:type="dxa"/>
          </w:tcPr>
          <w:p w:rsidR="003F5784" w14:paraId="5088D2CD" w14:textId="77777777">
            <w:pPr>
              <w:pStyle w:val="TableParagraph"/>
              <w:ind w:left="120"/>
              <w:jc w:val="left"/>
              <w:rPr>
                <w:sz w:val="21"/>
              </w:rPr>
            </w:pPr>
            <w:r>
              <w:rPr>
                <w:spacing w:val="-10"/>
                <w:sz w:val="21"/>
              </w:rPr>
              <w:t>2</w:t>
            </w:r>
          </w:p>
        </w:tc>
        <w:tc>
          <w:tcPr>
            <w:tcW w:w="4731" w:type="dxa"/>
          </w:tcPr>
          <w:p w:rsidR="003F5784" w14:paraId="2C0BE441" w14:textId="77777777">
            <w:pPr>
              <w:pStyle w:val="TableParagraph"/>
              <w:ind w:right="225"/>
              <w:rPr>
                <w:sz w:val="21"/>
              </w:rPr>
            </w:pPr>
            <w:r>
              <w:rPr>
                <w:sz w:val="21"/>
              </w:rPr>
              <w:t>Percentage</w:t>
            </w:r>
            <w:r>
              <w:rPr>
                <w:spacing w:val="-9"/>
                <w:sz w:val="21"/>
              </w:rPr>
              <w:t xml:space="preserve"> </w:t>
            </w:r>
            <w:r>
              <w:rPr>
                <w:sz w:val="21"/>
              </w:rPr>
              <w:t>of</w:t>
            </w:r>
            <w:r>
              <w:rPr>
                <w:spacing w:val="-8"/>
                <w:sz w:val="21"/>
              </w:rPr>
              <w:t xml:space="preserve"> </w:t>
            </w:r>
            <w:r>
              <w:rPr>
                <w:sz w:val="21"/>
              </w:rPr>
              <w:t>female-headed</w:t>
            </w:r>
            <w:r>
              <w:rPr>
                <w:spacing w:val="-8"/>
                <w:sz w:val="21"/>
              </w:rPr>
              <w:t xml:space="preserve"> </w:t>
            </w:r>
            <w:r>
              <w:rPr>
                <w:sz w:val="21"/>
              </w:rPr>
              <w:t>households</w:t>
            </w:r>
            <w:r>
              <w:rPr>
                <w:spacing w:val="-8"/>
                <w:sz w:val="21"/>
              </w:rPr>
              <w:t xml:space="preserve"> </w:t>
            </w:r>
            <w:r>
              <w:rPr>
                <w:sz w:val="21"/>
              </w:rPr>
              <w:t>&lt;=</w:t>
            </w:r>
            <w:r>
              <w:rPr>
                <w:spacing w:val="-8"/>
                <w:sz w:val="21"/>
              </w:rPr>
              <w:t xml:space="preserve"> </w:t>
            </w:r>
            <w:r>
              <w:rPr>
                <w:spacing w:val="-5"/>
                <w:sz w:val="21"/>
              </w:rPr>
              <w:t>11</w:t>
            </w:r>
          </w:p>
        </w:tc>
        <w:tc>
          <w:tcPr>
            <w:tcW w:w="5705" w:type="dxa"/>
          </w:tcPr>
          <w:p w:rsidR="003F5784" w14:paraId="5F406D06" w14:textId="77777777">
            <w:pPr>
              <w:pStyle w:val="TableParagraph"/>
              <w:ind w:right="183"/>
              <w:rPr>
                <w:sz w:val="21"/>
              </w:rPr>
            </w:pPr>
            <w:r>
              <w:rPr>
                <w:sz w:val="21"/>
              </w:rPr>
              <w:t>Percentage</w:t>
            </w:r>
            <w:r>
              <w:rPr>
                <w:spacing w:val="-8"/>
                <w:sz w:val="21"/>
              </w:rPr>
              <w:t xml:space="preserve"> </w:t>
            </w:r>
            <w:r>
              <w:rPr>
                <w:sz w:val="21"/>
              </w:rPr>
              <w:t>of</w:t>
            </w:r>
            <w:r>
              <w:rPr>
                <w:spacing w:val="-8"/>
                <w:sz w:val="21"/>
              </w:rPr>
              <w:t xml:space="preserve"> </w:t>
            </w:r>
            <w:r>
              <w:rPr>
                <w:sz w:val="21"/>
              </w:rPr>
              <w:t>female-headed</w:t>
            </w:r>
            <w:r>
              <w:rPr>
                <w:spacing w:val="-8"/>
                <w:sz w:val="21"/>
              </w:rPr>
              <w:t xml:space="preserve"> </w:t>
            </w:r>
            <w:r>
              <w:rPr>
                <w:sz w:val="21"/>
              </w:rPr>
              <w:t>households</w:t>
            </w:r>
            <w:r>
              <w:rPr>
                <w:spacing w:val="-8"/>
                <w:sz w:val="21"/>
              </w:rPr>
              <w:t xml:space="preserve"> </w:t>
            </w:r>
            <w:r>
              <w:rPr>
                <w:sz w:val="21"/>
              </w:rPr>
              <w:t>&gt;</w:t>
            </w:r>
            <w:r>
              <w:rPr>
                <w:spacing w:val="-7"/>
                <w:sz w:val="21"/>
              </w:rPr>
              <w:t xml:space="preserve"> </w:t>
            </w:r>
            <w:r>
              <w:rPr>
                <w:spacing w:val="-4"/>
                <w:sz w:val="21"/>
              </w:rPr>
              <w:t>10.3</w:t>
            </w:r>
          </w:p>
        </w:tc>
        <w:tc>
          <w:tcPr>
            <w:tcW w:w="851" w:type="dxa"/>
          </w:tcPr>
          <w:p w:rsidR="003F5784" w14:paraId="45A37019" w14:textId="77777777">
            <w:pPr>
              <w:pStyle w:val="TableParagraph"/>
              <w:ind w:right="198"/>
              <w:rPr>
                <w:sz w:val="21"/>
              </w:rPr>
            </w:pPr>
            <w:r>
              <w:rPr>
                <w:spacing w:val="-10"/>
                <w:sz w:val="21"/>
              </w:rPr>
              <w:t>7</w:t>
            </w:r>
          </w:p>
        </w:tc>
        <w:tc>
          <w:tcPr>
            <w:tcW w:w="1641" w:type="dxa"/>
          </w:tcPr>
          <w:p w:rsidR="003F5784" w14:paraId="2A103EA8" w14:textId="77777777">
            <w:pPr>
              <w:pStyle w:val="TableParagraph"/>
              <w:ind w:right="117"/>
              <w:rPr>
                <w:sz w:val="21"/>
              </w:rPr>
            </w:pPr>
            <w:r>
              <w:rPr>
                <w:spacing w:val="-2"/>
                <w:sz w:val="21"/>
              </w:rPr>
              <w:t>600,293</w:t>
            </w:r>
          </w:p>
        </w:tc>
      </w:tr>
      <w:tr w14:paraId="0424DD8D" w14:textId="77777777">
        <w:tblPrEx>
          <w:tblW w:w="0" w:type="auto"/>
          <w:tblInd w:w="482" w:type="dxa"/>
          <w:tblLayout w:type="fixed"/>
          <w:tblCellMar>
            <w:left w:w="0" w:type="dxa"/>
            <w:right w:w="0" w:type="dxa"/>
          </w:tblCellMar>
          <w:tblLook w:val="01E0"/>
        </w:tblPrEx>
        <w:trPr>
          <w:trHeight w:val="523"/>
        </w:trPr>
        <w:tc>
          <w:tcPr>
            <w:tcW w:w="1056" w:type="dxa"/>
            <w:tcBorders>
              <w:bottom w:val="single" w:sz="18" w:space="0" w:color="800000"/>
            </w:tcBorders>
          </w:tcPr>
          <w:p w:rsidR="003F5784" w14:paraId="62D95F26" w14:textId="77777777">
            <w:pPr>
              <w:pStyle w:val="TableParagraph"/>
              <w:ind w:left="120"/>
              <w:jc w:val="left"/>
              <w:rPr>
                <w:sz w:val="21"/>
              </w:rPr>
            </w:pPr>
            <w:r>
              <w:rPr>
                <w:spacing w:val="-10"/>
                <w:sz w:val="21"/>
              </w:rPr>
              <w:t>3</w:t>
            </w:r>
          </w:p>
        </w:tc>
        <w:tc>
          <w:tcPr>
            <w:tcW w:w="4731" w:type="dxa"/>
            <w:tcBorders>
              <w:bottom w:val="single" w:sz="18" w:space="0" w:color="800000"/>
            </w:tcBorders>
          </w:tcPr>
          <w:p w:rsidR="003F5784" w14:paraId="48241C6E" w14:textId="77777777">
            <w:pPr>
              <w:pStyle w:val="TableParagraph"/>
              <w:ind w:right="225"/>
              <w:rPr>
                <w:sz w:val="21"/>
              </w:rPr>
            </w:pPr>
            <w:r>
              <w:rPr>
                <w:sz w:val="21"/>
              </w:rPr>
              <w:t>Percentage</w:t>
            </w:r>
            <w:r>
              <w:rPr>
                <w:spacing w:val="-13"/>
                <w:sz w:val="21"/>
              </w:rPr>
              <w:t xml:space="preserve"> </w:t>
            </w:r>
            <w:r>
              <w:rPr>
                <w:sz w:val="21"/>
              </w:rPr>
              <w:t>of</w:t>
            </w:r>
            <w:r>
              <w:rPr>
                <w:spacing w:val="-12"/>
                <w:sz w:val="21"/>
              </w:rPr>
              <w:t xml:space="preserve"> </w:t>
            </w:r>
            <w:r>
              <w:rPr>
                <w:sz w:val="21"/>
              </w:rPr>
              <w:t>female-headed</w:t>
            </w:r>
            <w:r>
              <w:rPr>
                <w:spacing w:val="-12"/>
                <w:sz w:val="21"/>
              </w:rPr>
              <w:t xml:space="preserve"> </w:t>
            </w:r>
            <w:r>
              <w:rPr>
                <w:sz w:val="21"/>
              </w:rPr>
              <w:t>households</w:t>
            </w:r>
            <w:r>
              <w:rPr>
                <w:spacing w:val="-12"/>
                <w:sz w:val="21"/>
              </w:rPr>
              <w:t xml:space="preserve"> </w:t>
            </w:r>
            <w:r>
              <w:rPr>
                <w:sz w:val="21"/>
              </w:rPr>
              <w:t>(11-</w:t>
            </w:r>
            <w:r>
              <w:rPr>
                <w:spacing w:val="-2"/>
                <w:sz w:val="21"/>
              </w:rPr>
              <w:t>11.6]</w:t>
            </w:r>
          </w:p>
        </w:tc>
        <w:tc>
          <w:tcPr>
            <w:tcW w:w="5705" w:type="dxa"/>
            <w:tcBorders>
              <w:bottom w:val="single" w:sz="18" w:space="0" w:color="800000"/>
            </w:tcBorders>
          </w:tcPr>
          <w:p w:rsidR="003F5784" w14:paraId="2C6389D2" w14:textId="77777777">
            <w:pPr>
              <w:pStyle w:val="TableParagraph"/>
              <w:spacing w:line="238" w:lineRule="exact"/>
              <w:ind w:right="183"/>
              <w:rPr>
                <w:sz w:val="21"/>
              </w:rPr>
            </w:pPr>
            <w:r>
              <w:rPr>
                <w:sz w:val="21"/>
              </w:rPr>
              <w:t>Percentage</w:t>
            </w:r>
            <w:r>
              <w:rPr>
                <w:spacing w:val="-7"/>
                <w:sz w:val="21"/>
              </w:rPr>
              <w:t xml:space="preserve"> </w:t>
            </w:r>
            <w:r>
              <w:rPr>
                <w:sz w:val="21"/>
              </w:rPr>
              <w:t>of</w:t>
            </w:r>
            <w:r>
              <w:rPr>
                <w:spacing w:val="-6"/>
                <w:sz w:val="21"/>
              </w:rPr>
              <w:t xml:space="preserve"> </w:t>
            </w:r>
            <w:r>
              <w:rPr>
                <w:sz w:val="21"/>
              </w:rPr>
              <w:t>persons</w:t>
            </w:r>
            <w:r>
              <w:rPr>
                <w:spacing w:val="-6"/>
                <w:sz w:val="21"/>
              </w:rPr>
              <w:t xml:space="preserve"> </w:t>
            </w:r>
            <w:r>
              <w:rPr>
                <w:sz w:val="21"/>
              </w:rPr>
              <w:t>aged</w:t>
            </w:r>
            <w:r>
              <w:rPr>
                <w:spacing w:val="-6"/>
                <w:sz w:val="21"/>
              </w:rPr>
              <w:t xml:space="preserve"> </w:t>
            </w:r>
            <w:r>
              <w:rPr>
                <w:sz w:val="21"/>
              </w:rPr>
              <w:t>25+</w:t>
            </w:r>
            <w:r>
              <w:rPr>
                <w:spacing w:val="-6"/>
                <w:sz w:val="21"/>
              </w:rPr>
              <w:t xml:space="preserve"> </w:t>
            </w:r>
            <w:r>
              <w:rPr>
                <w:sz w:val="21"/>
              </w:rPr>
              <w:t>who</w:t>
            </w:r>
            <w:r>
              <w:rPr>
                <w:spacing w:val="-6"/>
                <w:sz w:val="21"/>
              </w:rPr>
              <w:t xml:space="preserve"> </w:t>
            </w:r>
            <w:r>
              <w:rPr>
                <w:sz w:val="21"/>
              </w:rPr>
              <w:t>completed</w:t>
            </w:r>
            <w:r>
              <w:rPr>
                <w:spacing w:val="-6"/>
                <w:sz w:val="21"/>
              </w:rPr>
              <w:t xml:space="preserve"> </w:t>
            </w:r>
            <w:r>
              <w:rPr>
                <w:sz w:val="21"/>
              </w:rPr>
              <w:t>high</w:t>
            </w:r>
            <w:r>
              <w:rPr>
                <w:spacing w:val="-7"/>
                <w:sz w:val="21"/>
              </w:rPr>
              <w:t xml:space="preserve"> </w:t>
            </w:r>
            <w:r>
              <w:rPr>
                <w:sz w:val="21"/>
              </w:rPr>
              <w:t>school</w:t>
            </w:r>
            <w:r>
              <w:rPr>
                <w:spacing w:val="-6"/>
                <w:sz w:val="21"/>
              </w:rPr>
              <w:t xml:space="preserve"> </w:t>
            </w:r>
            <w:r>
              <w:rPr>
                <w:spacing w:val="-5"/>
                <w:sz w:val="21"/>
              </w:rPr>
              <w:t>&lt;=</w:t>
            </w:r>
          </w:p>
          <w:p w:rsidR="003F5784" w14:paraId="01AAF950" w14:textId="77777777">
            <w:pPr>
              <w:pStyle w:val="TableParagraph"/>
              <w:spacing w:before="0" w:line="238" w:lineRule="exact"/>
              <w:ind w:right="183"/>
              <w:rPr>
                <w:sz w:val="21"/>
              </w:rPr>
            </w:pPr>
            <w:r>
              <w:rPr>
                <w:spacing w:val="-4"/>
                <w:sz w:val="21"/>
              </w:rPr>
              <w:t>89.7</w:t>
            </w:r>
          </w:p>
        </w:tc>
        <w:tc>
          <w:tcPr>
            <w:tcW w:w="851" w:type="dxa"/>
            <w:tcBorders>
              <w:bottom w:val="single" w:sz="18" w:space="0" w:color="800000"/>
            </w:tcBorders>
          </w:tcPr>
          <w:p w:rsidR="003F5784" w14:paraId="172B1222" w14:textId="77777777">
            <w:pPr>
              <w:pStyle w:val="TableParagraph"/>
              <w:ind w:right="198"/>
              <w:rPr>
                <w:sz w:val="21"/>
              </w:rPr>
            </w:pPr>
            <w:r>
              <w:rPr>
                <w:spacing w:val="-10"/>
                <w:sz w:val="21"/>
              </w:rPr>
              <w:t>7</w:t>
            </w:r>
          </w:p>
        </w:tc>
        <w:tc>
          <w:tcPr>
            <w:tcW w:w="1641" w:type="dxa"/>
            <w:tcBorders>
              <w:bottom w:val="single" w:sz="18" w:space="0" w:color="800000"/>
            </w:tcBorders>
          </w:tcPr>
          <w:p w:rsidR="003F5784" w14:paraId="6A63724D" w14:textId="77777777">
            <w:pPr>
              <w:pStyle w:val="TableParagraph"/>
              <w:ind w:right="117"/>
              <w:rPr>
                <w:sz w:val="21"/>
              </w:rPr>
            </w:pPr>
            <w:r>
              <w:rPr>
                <w:spacing w:val="-2"/>
                <w:sz w:val="21"/>
              </w:rPr>
              <w:t>545,323</w:t>
            </w:r>
          </w:p>
        </w:tc>
      </w:tr>
      <w:tr w14:paraId="51D620EB" w14:textId="77777777">
        <w:tblPrEx>
          <w:tblW w:w="0" w:type="auto"/>
          <w:tblInd w:w="482" w:type="dxa"/>
          <w:tblLayout w:type="fixed"/>
          <w:tblCellMar>
            <w:left w:w="0" w:type="dxa"/>
            <w:right w:w="0" w:type="dxa"/>
          </w:tblCellMar>
          <w:tblLook w:val="01E0"/>
        </w:tblPrEx>
        <w:trPr>
          <w:trHeight w:val="237"/>
        </w:trPr>
        <w:tc>
          <w:tcPr>
            <w:tcW w:w="5787" w:type="dxa"/>
            <w:gridSpan w:val="2"/>
            <w:tcBorders>
              <w:top w:val="single" w:sz="18" w:space="0" w:color="800000"/>
            </w:tcBorders>
          </w:tcPr>
          <w:p w:rsidR="003F5784" w14:paraId="15541B14" w14:textId="77777777">
            <w:pPr>
              <w:pStyle w:val="TableParagraph"/>
              <w:spacing w:before="0" w:line="218" w:lineRule="exact"/>
              <w:ind w:left="120"/>
              <w:jc w:val="left"/>
              <w:rPr>
                <w:sz w:val="21"/>
              </w:rPr>
            </w:pPr>
            <w:r>
              <w:rPr>
                <w:sz w:val="21"/>
              </w:rPr>
              <w:t>†</w:t>
            </w:r>
            <w:r>
              <w:rPr>
                <w:spacing w:val="-4"/>
                <w:sz w:val="21"/>
              </w:rPr>
              <w:t xml:space="preserve"> </w:t>
            </w:r>
            <w:r>
              <w:rPr>
                <w:sz w:val="21"/>
              </w:rPr>
              <w:t>Not</w:t>
            </w:r>
            <w:r>
              <w:rPr>
                <w:spacing w:val="-3"/>
                <w:sz w:val="21"/>
              </w:rPr>
              <w:t xml:space="preserve"> </w:t>
            </w:r>
            <w:r>
              <w:rPr>
                <w:spacing w:val="-2"/>
                <w:sz w:val="21"/>
              </w:rPr>
              <w:t>applicable.</w:t>
            </w:r>
          </w:p>
        </w:tc>
        <w:tc>
          <w:tcPr>
            <w:tcW w:w="5705" w:type="dxa"/>
            <w:tcBorders>
              <w:top w:val="single" w:sz="18" w:space="0" w:color="800000"/>
            </w:tcBorders>
          </w:tcPr>
          <w:p w:rsidR="003F5784" w14:paraId="569F9239" w14:textId="77777777">
            <w:pPr>
              <w:pStyle w:val="TableParagraph"/>
              <w:spacing w:before="0"/>
              <w:jc w:val="left"/>
              <w:rPr>
                <w:sz w:val="16"/>
              </w:rPr>
            </w:pPr>
          </w:p>
        </w:tc>
        <w:tc>
          <w:tcPr>
            <w:tcW w:w="851" w:type="dxa"/>
            <w:tcBorders>
              <w:top w:val="single" w:sz="18" w:space="0" w:color="800000"/>
            </w:tcBorders>
          </w:tcPr>
          <w:p w:rsidR="003F5784" w14:paraId="42B98B3E" w14:textId="77777777">
            <w:pPr>
              <w:pStyle w:val="TableParagraph"/>
              <w:spacing w:before="0"/>
              <w:jc w:val="left"/>
              <w:rPr>
                <w:sz w:val="16"/>
              </w:rPr>
            </w:pPr>
          </w:p>
        </w:tc>
        <w:tc>
          <w:tcPr>
            <w:tcW w:w="1641" w:type="dxa"/>
            <w:tcBorders>
              <w:top w:val="single" w:sz="18" w:space="0" w:color="800000"/>
            </w:tcBorders>
          </w:tcPr>
          <w:p w:rsidR="003F5784" w14:paraId="631FB0FF" w14:textId="77777777">
            <w:pPr>
              <w:pStyle w:val="TableParagraph"/>
              <w:spacing w:before="0"/>
              <w:jc w:val="left"/>
              <w:rPr>
                <w:sz w:val="16"/>
              </w:rPr>
            </w:pPr>
          </w:p>
        </w:tc>
      </w:tr>
    </w:tbl>
    <w:p w:rsidR="003F5784" w14:paraId="1EB9C1FF" w14:textId="77777777">
      <w:pPr>
        <w:pStyle w:val="BodyText"/>
        <w:spacing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57541952" w14:textId="77777777">
      <w:pPr>
        <w:spacing w:line="232" w:lineRule="auto"/>
        <w:sectPr>
          <w:type w:val="continuous"/>
          <w:pgSz w:w="15840" w:h="12240" w:orient="landscape"/>
          <w:pgMar w:top="480" w:right="440" w:bottom="460" w:left="460" w:header="284" w:footer="275" w:gutter="0"/>
          <w:cols w:space="720"/>
        </w:sectPr>
      </w:pPr>
    </w:p>
    <w:p w:rsidR="003F5784" w14:paraId="505C35C8" w14:textId="77777777">
      <w:pPr>
        <w:pStyle w:val="BodyText"/>
        <w:tabs>
          <w:tab w:val="left" w:pos="4604"/>
          <w:tab w:val="left" w:pos="10142"/>
          <w:tab w:val="left" w:pos="12153"/>
          <w:tab w:val="left" w:pos="13019"/>
        </w:tabs>
        <w:spacing w:before="98" w:after="20"/>
        <w:ind w:left="595"/>
      </w:pPr>
      <w:r>
        <w:rPr>
          <w:spacing w:val="-2"/>
        </w:rPr>
        <w:t>Stratum</w:t>
      </w:r>
      <w:r>
        <w:tab/>
        <w:t>Primary</w:t>
      </w:r>
      <w:r>
        <w:rPr>
          <w:spacing w:val="-8"/>
        </w:rPr>
        <w:t xml:space="preserve"> </w:t>
      </w:r>
      <w:r>
        <w:rPr>
          <w:spacing w:val="-2"/>
        </w:rPr>
        <w:t>stratifier</w:t>
      </w:r>
      <w:r>
        <w:tab/>
        <w:t>Secondary</w:t>
      </w:r>
      <w:r>
        <w:rPr>
          <w:spacing w:val="-10"/>
        </w:rPr>
        <w:t xml:space="preserve"> </w:t>
      </w:r>
      <w:r>
        <w:rPr>
          <w:spacing w:val="-2"/>
        </w:rPr>
        <w:t>stratifier</w:t>
      </w:r>
      <w:r>
        <w:tab/>
      </w:r>
      <w:r>
        <w:rPr>
          <w:spacing w:val="-4"/>
        </w:rPr>
        <w:t>PSUs</w:t>
      </w:r>
      <w:r>
        <w:tab/>
        <w:t>Measure</w:t>
      </w:r>
      <w:r>
        <w:rPr>
          <w:spacing w:val="-6"/>
        </w:rPr>
        <w:t xml:space="preserve"> </w:t>
      </w:r>
      <w:r>
        <w:t>of</w:t>
      </w:r>
      <w:r>
        <w:rPr>
          <w:spacing w:val="-5"/>
        </w:rPr>
        <w:t xml:space="preserve"> </w:t>
      </w:r>
      <w:r>
        <w:rPr>
          <w:spacing w:val="-4"/>
        </w:rPr>
        <w:t>size</w:t>
      </w:r>
    </w:p>
    <w:tbl>
      <w:tblPr>
        <w:tblW w:w="0" w:type="auto"/>
        <w:tblInd w:w="482" w:type="dxa"/>
        <w:tblLayout w:type="fixed"/>
        <w:tblCellMar>
          <w:left w:w="0" w:type="dxa"/>
          <w:right w:w="0" w:type="dxa"/>
        </w:tblCellMar>
        <w:tblLook w:val="01E0"/>
      </w:tblPr>
      <w:tblGrid>
        <w:gridCol w:w="963"/>
        <w:gridCol w:w="4882"/>
        <w:gridCol w:w="5826"/>
        <w:gridCol w:w="992"/>
        <w:gridCol w:w="1319"/>
      </w:tblGrid>
      <w:tr w14:paraId="62C7ADE7" w14:textId="77777777">
        <w:tblPrEx>
          <w:tblW w:w="0" w:type="auto"/>
          <w:tblInd w:w="482" w:type="dxa"/>
          <w:tblLayout w:type="fixed"/>
          <w:tblCellMar>
            <w:left w:w="0" w:type="dxa"/>
            <w:right w:w="0" w:type="dxa"/>
          </w:tblCellMar>
          <w:tblLook w:val="01E0"/>
        </w:tblPrEx>
        <w:trPr>
          <w:trHeight w:val="513"/>
        </w:trPr>
        <w:tc>
          <w:tcPr>
            <w:tcW w:w="963" w:type="dxa"/>
            <w:tcBorders>
              <w:top w:val="single" w:sz="18" w:space="0" w:color="800000"/>
            </w:tcBorders>
          </w:tcPr>
          <w:p w:rsidR="003F5784" w14:paraId="7C880F12" w14:textId="77777777">
            <w:pPr>
              <w:pStyle w:val="TableParagraph"/>
              <w:spacing w:before="9"/>
              <w:ind w:left="120"/>
              <w:jc w:val="left"/>
              <w:rPr>
                <w:sz w:val="21"/>
              </w:rPr>
            </w:pPr>
            <w:r>
              <w:rPr>
                <w:spacing w:val="-10"/>
                <w:sz w:val="21"/>
              </w:rPr>
              <w:t>4</w:t>
            </w:r>
          </w:p>
        </w:tc>
        <w:tc>
          <w:tcPr>
            <w:tcW w:w="4882" w:type="dxa"/>
            <w:tcBorders>
              <w:top w:val="single" w:sz="18" w:space="0" w:color="800000"/>
            </w:tcBorders>
          </w:tcPr>
          <w:p w:rsidR="003F5784" w14:paraId="0AB72871" w14:textId="77777777">
            <w:pPr>
              <w:pStyle w:val="TableParagraph"/>
              <w:spacing w:before="9"/>
              <w:ind w:right="283"/>
              <w:rPr>
                <w:sz w:val="21"/>
              </w:rPr>
            </w:pPr>
            <w:r>
              <w:rPr>
                <w:sz w:val="21"/>
              </w:rPr>
              <w:t>Percentage</w:t>
            </w:r>
            <w:r>
              <w:rPr>
                <w:spacing w:val="-13"/>
                <w:sz w:val="21"/>
              </w:rPr>
              <w:t xml:space="preserve"> </w:t>
            </w:r>
            <w:r>
              <w:rPr>
                <w:sz w:val="21"/>
              </w:rPr>
              <w:t>of</w:t>
            </w:r>
            <w:r>
              <w:rPr>
                <w:spacing w:val="-12"/>
                <w:sz w:val="21"/>
              </w:rPr>
              <w:t xml:space="preserve"> </w:t>
            </w:r>
            <w:r>
              <w:rPr>
                <w:sz w:val="21"/>
              </w:rPr>
              <w:t>female-headed</w:t>
            </w:r>
            <w:r>
              <w:rPr>
                <w:spacing w:val="-12"/>
                <w:sz w:val="21"/>
              </w:rPr>
              <w:t xml:space="preserve"> </w:t>
            </w:r>
            <w:r>
              <w:rPr>
                <w:sz w:val="21"/>
              </w:rPr>
              <w:t>households</w:t>
            </w:r>
            <w:r>
              <w:rPr>
                <w:spacing w:val="-12"/>
                <w:sz w:val="21"/>
              </w:rPr>
              <w:t xml:space="preserve"> </w:t>
            </w:r>
            <w:r>
              <w:rPr>
                <w:sz w:val="21"/>
              </w:rPr>
              <w:t>(11-</w:t>
            </w:r>
            <w:r>
              <w:rPr>
                <w:spacing w:val="-2"/>
                <w:sz w:val="21"/>
              </w:rPr>
              <w:t>11.6]</w:t>
            </w:r>
          </w:p>
        </w:tc>
        <w:tc>
          <w:tcPr>
            <w:tcW w:w="5826" w:type="dxa"/>
            <w:tcBorders>
              <w:top w:val="single" w:sz="18" w:space="0" w:color="800000"/>
            </w:tcBorders>
          </w:tcPr>
          <w:p w:rsidR="003F5784" w14:paraId="2F97371E" w14:textId="77777777">
            <w:pPr>
              <w:pStyle w:val="TableParagraph"/>
              <w:spacing w:before="9" w:line="238" w:lineRule="exact"/>
              <w:ind w:right="362"/>
              <w:rPr>
                <w:sz w:val="21"/>
              </w:rPr>
            </w:pPr>
            <w:r>
              <w:rPr>
                <w:sz w:val="21"/>
              </w:rPr>
              <w:t>Percentage</w:t>
            </w:r>
            <w:r>
              <w:rPr>
                <w:spacing w:val="-7"/>
                <w:sz w:val="21"/>
              </w:rPr>
              <w:t xml:space="preserve"> </w:t>
            </w:r>
            <w:r>
              <w:rPr>
                <w:sz w:val="21"/>
              </w:rPr>
              <w:t>of</w:t>
            </w:r>
            <w:r>
              <w:rPr>
                <w:spacing w:val="-6"/>
                <w:sz w:val="21"/>
              </w:rPr>
              <w:t xml:space="preserve"> </w:t>
            </w:r>
            <w:r>
              <w:rPr>
                <w:sz w:val="21"/>
              </w:rPr>
              <w:t>persons</w:t>
            </w:r>
            <w:r>
              <w:rPr>
                <w:spacing w:val="-6"/>
                <w:sz w:val="21"/>
              </w:rPr>
              <w:t xml:space="preserve"> </w:t>
            </w:r>
            <w:r>
              <w:rPr>
                <w:sz w:val="21"/>
              </w:rPr>
              <w:t>aged</w:t>
            </w:r>
            <w:r>
              <w:rPr>
                <w:spacing w:val="-6"/>
                <w:sz w:val="21"/>
              </w:rPr>
              <w:t xml:space="preserve"> </w:t>
            </w:r>
            <w:r>
              <w:rPr>
                <w:sz w:val="21"/>
              </w:rPr>
              <w:t>25+</w:t>
            </w:r>
            <w:r>
              <w:rPr>
                <w:spacing w:val="-6"/>
                <w:sz w:val="21"/>
              </w:rPr>
              <w:t xml:space="preserve"> </w:t>
            </w:r>
            <w:r>
              <w:rPr>
                <w:sz w:val="21"/>
              </w:rPr>
              <w:t>who</w:t>
            </w:r>
            <w:r>
              <w:rPr>
                <w:spacing w:val="-6"/>
                <w:sz w:val="21"/>
              </w:rPr>
              <w:t xml:space="preserve"> </w:t>
            </w:r>
            <w:r>
              <w:rPr>
                <w:sz w:val="21"/>
              </w:rPr>
              <w:t>completed</w:t>
            </w:r>
            <w:r>
              <w:rPr>
                <w:spacing w:val="-6"/>
                <w:sz w:val="21"/>
              </w:rPr>
              <w:t xml:space="preserve"> </w:t>
            </w:r>
            <w:r>
              <w:rPr>
                <w:sz w:val="21"/>
              </w:rPr>
              <w:t>high</w:t>
            </w:r>
            <w:r>
              <w:rPr>
                <w:spacing w:val="-7"/>
                <w:sz w:val="21"/>
              </w:rPr>
              <w:t xml:space="preserve"> </w:t>
            </w:r>
            <w:r>
              <w:rPr>
                <w:sz w:val="21"/>
              </w:rPr>
              <w:t>school</w:t>
            </w:r>
            <w:r>
              <w:rPr>
                <w:spacing w:val="-6"/>
                <w:sz w:val="21"/>
              </w:rPr>
              <w:t xml:space="preserve"> </w:t>
            </w:r>
            <w:r>
              <w:rPr>
                <w:spacing w:val="-10"/>
                <w:sz w:val="21"/>
              </w:rPr>
              <w:t>&gt;</w:t>
            </w:r>
          </w:p>
          <w:p w:rsidR="003F5784" w14:paraId="572A38FD" w14:textId="77777777">
            <w:pPr>
              <w:pStyle w:val="TableParagraph"/>
              <w:spacing w:before="0" w:line="238" w:lineRule="exact"/>
              <w:ind w:right="362"/>
              <w:rPr>
                <w:sz w:val="21"/>
              </w:rPr>
            </w:pPr>
            <w:r>
              <w:rPr>
                <w:spacing w:val="-4"/>
                <w:sz w:val="21"/>
              </w:rPr>
              <w:t>89.7</w:t>
            </w:r>
          </w:p>
        </w:tc>
        <w:tc>
          <w:tcPr>
            <w:tcW w:w="992" w:type="dxa"/>
            <w:tcBorders>
              <w:top w:val="single" w:sz="18" w:space="0" w:color="800000"/>
            </w:tcBorders>
          </w:tcPr>
          <w:p w:rsidR="003F5784" w14:paraId="09D91981" w14:textId="77777777">
            <w:pPr>
              <w:pStyle w:val="TableParagraph"/>
              <w:spacing w:before="9"/>
              <w:ind w:left="366"/>
              <w:jc w:val="left"/>
              <w:rPr>
                <w:sz w:val="21"/>
              </w:rPr>
            </w:pPr>
            <w:r>
              <w:rPr>
                <w:spacing w:val="-10"/>
                <w:sz w:val="21"/>
              </w:rPr>
              <w:t>3</w:t>
            </w:r>
          </w:p>
        </w:tc>
        <w:tc>
          <w:tcPr>
            <w:tcW w:w="1319" w:type="dxa"/>
            <w:tcBorders>
              <w:top w:val="single" w:sz="18" w:space="0" w:color="800000"/>
            </w:tcBorders>
          </w:tcPr>
          <w:p w:rsidR="003F5784" w14:paraId="68B42A4D" w14:textId="77777777">
            <w:pPr>
              <w:pStyle w:val="TableParagraph"/>
              <w:spacing w:before="9"/>
              <w:ind w:right="115"/>
              <w:rPr>
                <w:sz w:val="21"/>
              </w:rPr>
            </w:pPr>
            <w:r>
              <w:rPr>
                <w:spacing w:val="-2"/>
                <w:sz w:val="21"/>
              </w:rPr>
              <w:t>518,431</w:t>
            </w:r>
          </w:p>
        </w:tc>
      </w:tr>
      <w:tr w14:paraId="7318EB3C" w14:textId="77777777">
        <w:tblPrEx>
          <w:tblW w:w="0" w:type="auto"/>
          <w:tblInd w:w="482" w:type="dxa"/>
          <w:tblLayout w:type="fixed"/>
          <w:tblCellMar>
            <w:left w:w="0" w:type="dxa"/>
            <w:right w:w="0" w:type="dxa"/>
          </w:tblCellMar>
          <w:tblLook w:val="01E0"/>
        </w:tblPrEx>
        <w:trPr>
          <w:trHeight w:val="521"/>
        </w:trPr>
        <w:tc>
          <w:tcPr>
            <w:tcW w:w="963" w:type="dxa"/>
          </w:tcPr>
          <w:p w:rsidR="003F5784" w14:paraId="21676045" w14:textId="77777777">
            <w:pPr>
              <w:pStyle w:val="TableParagraph"/>
              <w:ind w:left="120"/>
              <w:jc w:val="left"/>
              <w:rPr>
                <w:sz w:val="21"/>
              </w:rPr>
            </w:pPr>
            <w:r>
              <w:rPr>
                <w:spacing w:val="-10"/>
                <w:sz w:val="21"/>
              </w:rPr>
              <w:t>5</w:t>
            </w:r>
          </w:p>
        </w:tc>
        <w:tc>
          <w:tcPr>
            <w:tcW w:w="4882" w:type="dxa"/>
          </w:tcPr>
          <w:p w:rsidR="003F5784" w14:paraId="15E4F961" w14:textId="77777777">
            <w:pPr>
              <w:pStyle w:val="TableParagraph"/>
              <w:spacing w:line="238" w:lineRule="exact"/>
              <w:ind w:right="283"/>
              <w:rPr>
                <w:sz w:val="21"/>
              </w:rPr>
            </w:pPr>
            <w:r>
              <w:rPr>
                <w:sz w:val="21"/>
              </w:rPr>
              <w:t>Percentage</w:t>
            </w:r>
            <w:r>
              <w:rPr>
                <w:spacing w:val="-10"/>
                <w:sz w:val="21"/>
              </w:rPr>
              <w:t xml:space="preserve"> </w:t>
            </w:r>
            <w:r>
              <w:rPr>
                <w:sz w:val="21"/>
              </w:rPr>
              <w:t>of</w:t>
            </w:r>
            <w:r>
              <w:rPr>
                <w:spacing w:val="-9"/>
                <w:sz w:val="21"/>
              </w:rPr>
              <w:t xml:space="preserve"> </w:t>
            </w:r>
            <w:r>
              <w:rPr>
                <w:sz w:val="21"/>
              </w:rPr>
              <w:t>female-headed</w:t>
            </w:r>
            <w:r>
              <w:rPr>
                <w:spacing w:val="-9"/>
                <w:sz w:val="21"/>
              </w:rPr>
              <w:t xml:space="preserve"> </w:t>
            </w:r>
            <w:r>
              <w:rPr>
                <w:sz w:val="21"/>
              </w:rPr>
              <w:t>households</w:t>
            </w:r>
            <w:r>
              <w:rPr>
                <w:spacing w:val="-9"/>
                <w:sz w:val="21"/>
              </w:rPr>
              <w:t xml:space="preserve"> </w:t>
            </w:r>
            <w:r>
              <w:rPr>
                <w:spacing w:val="-2"/>
                <w:sz w:val="21"/>
              </w:rPr>
              <w:t>(11.6-</w:t>
            </w:r>
          </w:p>
          <w:p w:rsidR="003F5784" w14:paraId="0C3FCE91" w14:textId="77777777">
            <w:pPr>
              <w:pStyle w:val="TableParagraph"/>
              <w:spacing w:before="0" w:line="238" w:lineRule="exact"/>
              <w:ind w:right="282"/>
              <w:rPr>
                <w:sz w:val="21"/>
              </w:rPr>
            </w:pPr>
            <w:r>
              <w:rPr>
                <w:spacing w:val="-2"/>
                <w:sz w:val="21"/>
              </w:rPr>
              <w:t>12.7]</w:t>
            </w:r>
          </w:p>
        </w:tc>
        <w:tc>
          <w:tcPr>
            <w:tcW w:w="5826" w:type="dxa"/>
          </w:tcPr>
          <w:p w:rsidR="003F5784" w14:paraId="06E4395E" w14:textId="77777777">
            <w:pPr>
              <w:pStyle w:val="TableParagraph"/>
              <w:ind w:right="362"/>
              <w:rPr>
                <w:sz w:val="21"/>
              </w:rPr>
            </w:pPr>
            <w:r>
              <w:rPr>
                <w:sz w:val="21"/>
              </w:rPr>
              <w:t>Percentage</w:t>
            </w:r>
            <w:r>
              <w:rPr>
                <w:spacing w:val="-9"/>
                <w:sz w:val="21"/>
              </w:rPr>
              <w:t xml:space="preserve"> </w:t>
            </w:r>
            <w:r>
              <w:rPr>
                <w:sz w:val="21"/>
              </w:rPr>
              <w:t>of</w:t>
            </w:r>
            <w:r>
              <w:rPr>
                <w:spacing w:val="-8"/>
                <w:sz w:val="21"/>
              </w:rPr>
              <w:t xml:space="preserve"> </w:t>
            </w:r>
            <w:r>
              <w:rPr>
                <w:sz w:val="21"/>
              </w:rPr>
              <w:t>female-headed</w:t>
            </w:r>
            <w:r>
              <w:rPr>
                <w:spacing w:val="-8"/>
                <w:sz w:val="21"/>
              </w:rPr>
              <w:t xml:space="preserve"> </w:t>
            </w:r>
            <w:r>
              <w:rPr>
                <w:sz w:val="21"/>
              </w:rPr>
              <w:t>households</w:t>
            </w:r>
            <w:r>
              <w:rPr>
                <w:spacing w:val="-8"/>
                <w:sz w:val="21"/>
              </w:rPr>
              <w:t xml:space="preserve"> </w:t>
            </w:r>
            <w:r>
              <w:rPr>
                <w:sz w:val="21"/>
              </w:rPr>
              <w:t>&lt;=</w:t>
            </w:r>
            <w:r>
              <w:rPr>
                <w:spacing w:val="-8"/>
                <w:sz w:val="21"/>
              </w:rPr>
              <w:t xml:space="preserve"> </w:t>
            </w:r>
            <w:r>
              <w:rPr>
                <w:spacing w:val="-4"/>
                <w:sz w:val="21"/>
              </w:rPr>
              <w:t>12.5</w:t>
            </w:r>
          </w:p>
        </w:tc>
        <w:tc>
          <w:tcPr>
            <w:tcW w:w="992" w:type="dxa"/>
          </w:tcPr>
          <w:p w:rsidR="003F5784" w14:paraId="7C797076" w14:textId="77777777">
            <w:pPr>
              <w:pStyle w:val="TableParagraph"/>
              <w:ind w:left="366"/>
              <w:jc w:val="left"/>
              <w:rPr>
                <w:sz w:val="21"/>
              </w:rPr>
            </w:pPr>
            <w:r>
              <w:rPr>
                <w:spacing w:val="-10"/>
                <w:sz w:val="21"/>
              </w:rPr>
              <w:t>5</w:t>
            </w:r>
          </w:p>
        </w:tc>
        <w:tc>
          <w:tcPr>
            <w:tcW w:w="1319" w:type="dxa"/>
          </w:tcPr>
          <w:p w:rsidR="003F5784" w14:paraId="59DC4A3D" w14:textId="77777777">
            <w:pPr>
              <w:pStyle w:val="TableParagraph"/>
              <w:ind w:right="115"/>
              <w:rPr>
                <w:sz w:val="21"/>
              </w:rPr>
            </w:pPr>
            <w:r>
              <w:rPr>
                <w:spacing w:val="-2"/>
                <w:sz w:val="21"/>
              </w:rPr>
              <w:t>580,767</w:t>
            </w:r>
          </w:p>
        </w:tc>
      </w:tr>
      <w:tr w14:paraId="7349DFDE" w14:textId="77777777">
        <w:tblPrEx>
          <w:tblW w:w="0" w:type="auto"/>
          <w:tblInd w:w="482" w:type="dxa"/>
          <w:tblLayout w:type="fixed"/>
          <w:tblCellMar>
            <w:left w:w="0" w:type="dxa"/>
            <w:right w:w="0" w:type="dxa"/>
          </w:tblCellMar>
          <w:tblLook w:val="01E0"/>
        </w:tblPrEx>
        <w:trPr>
          <w:trHeight w:val="521"/>
        </w:trPr>
        <w:tc>
          <w:tcPr>
            <w:tcW w:w="963" w:type="dxa"/>
          </w:tcPr>
          <w:p w:rsidR="003F5784" w14:paraId="1E055E46" w14:textId="77777777">
            <w:pPr>
              <w:pStyle w:val="TableParagraph"/>
              <w:ind w:left="120"/>
              <w:jc w:val="left"/>
              <w:rPr>
                <w:sz w:val="21"/>
              </w:rPr>
            </w:pPr>
            <w:r>
              <w:rPr>
                <w:spacing w:val="-10"/>
                <w:sz w:val="21"/>
              </w:rPr>
              <w:t>6</w:t>
            </w:r>
          </w:p>
        </w:tc>
        <w:tc>
          <w:tcPr>
            <w:tcW w:w="4882" w:type="dxa"/>
          </w:tcPr>
          <w:p w:rsidR="003F5784" w14:paraId="4EFE7879" w14:textId="77777777">
            <w:pPr>
              <w:pStyle w:val="TableParagraph"/>
              <w:spacing w:line="238" w:lineRule="exact"/>
              <w:ind w:right="283"/>
              <w:rPr>
                <w:sz w:val="21"/>
              </w:rPr>
            </w:pPr>
            <w:r>
              <w:rPr>
                <w:sz w:val="21"/>
              </w:rPr>
              <w:t>Percentage</w:t>
            </w:r>
            <w:r>
              <w:rPr>
                <w:spacing w:val="-10"/>
                <w:sz w:val="21"/>
              </w:rPr>
              <w:t xml:space="preserve"> </w:t>
            </w:r>
            <w:r>
              <w:rPr>
                <w:sz w:val="21"/>
              </w:rPr>
              <w:t>of</w:t>
            </w:r>
            <w:r>
              <w:rPr>
                <w:spacing w:val="-9"/>
                <w:sz w:val="21"/>
              </w:rPr>
              <w:t xml:space="preserve"> </w:t>
            </w:r>
            <w:r>
              <w:rPr>
                <w:sz w:val="21"/>
              </w:rPr>
              <w:t>female-headed</w:t>
            </w:r>
            <w:r>
              <w:rPr>
                <w:spacing w:val="-9"/>
                <w:sz w:val="21"/>
              </w:rPr>
              <w:t xml:space="preserve"> </w:t>
            </w:r>
            <w:r>
              <w:rPr>
                <w:sz w:val="21"/>
              </w:rPr>
              <w:t>households</w:t>
            </w:r>
            <w:r>
              <w:rPr>
                <w:spacing w:val="-9"/>
                <w:sz w:val="21"/>
              </w:rPr>
              <w:t xml:space="preserve"> </w:t>
            </w:r>
            <w:r>
              <w:rPr>
                <w:spacing w:val="-2"/>
                <w:sz w:val="21"/>
              </w:rPr>
              <w:t>(11.6-</w:t>
            </w:r>
          </w:p>
          <w:p w:rsidR="003F5784" w14:paraId="13609A05" w14:textId="77777777">
            <w:pPr>
              <w:pStyle w:val="TableParagraph"/>
              <w:spacing w:before="0" w:line="238" w:lineRule="exact"/>
              <w:ind w:right="282"/>
              <w:rPr>
                <w:sz w:val="21"/>
              </w:rPr>
            </w:pPr>
            <w:r>
              <w:rPr>
                <w:spacing w:val="-2"/>
                <w:sz w:val="21"/>
              </w:rPr>
              <w:t>12.7]</w:t>
            </w:r>
          </w:p>
        </w:tc>
        <w:tc>
          <w:tcPr>
            <w:tcW w:w="5826" w:type="dxa"/>
          </w:tcPr>
          <w:p w:rsidR="003F5784" w14:paraId="7C01600B" w14:textId="77777777">
            <w:pPr>
              <w:pStyle w:val="TableParagraph"/>
              <w:ind w:right="362"/>
              <w:rPr>
                <w:sz w:val="21"/>
              </w:rPr>
            </w:pPr>
            <w:r>
              <w:rPr>
                <w:sz w:val="21"/>
              </w:rPr>
              <w:t>Percentage</w:t>
            </w:r>
            <w:r>
              <w:rPr>
                <w:spacing w:val="-8"/>
                <w:sz w:val="21"/>
              </w:rPr>
              <w:t xml:space="preserve"> </w:t>
            </w:r>
            <w:r>
              <w:rPr>
                <w:sz w:val="21"/>
              </w:rPr>
              <w:t>of</w:t>
            </w:r>
            <w:r>
              <w:rPr>
                <w:spacing w:val="-8"/>
                <w:sz w:val="21"/>
              </w:rPr>
              <w:t xml:space="preserve"> </w:t>
            </w:r>
            <w:r>
              <w:rPr>
                <w:sz w:val="21"/>
              </w:rPr>
              <w:t>female-headed</w:t>
            </w:r>
            <w:r>
              <w:rPr>
                <w:spacing w:val="-8"/>
                <w:sz w:val="21"/>
              </w:rPr>
              <w:t xml:space="preserve"> </w:t>
            </w:r>
            <w:r>
              <w:rPr>
                <w:sz w:val="21"/>
              </w:rPr>
              <w:t>households</w:t>
            </w:r>
            <w:r>
              <w:rPr>
                <w:spacing w:val="-8"/>
                <w:sz w:val="21"/>
              </w:rPr>
              <w:t xml:space="preserve"> </w:t>
            </w:r>
            <w:r>
              <w:rPr>
                <w:sz w:val="21"/>
              </w:rPr>
              <w:t>&gt;</w:t>
            </w:r>
            <w:r>
              <w:rPr>
                <w:spacing w:val="-7"/>
                <w:sz w:val="21"/>
              </w:rPr>
              <w:t xml:space="preserve"> </w:t>
            </w:r>
            <w:r>
              <w:rPr>
                <w:spacing w:val="-4"/>
                <w:sz w:val="21"/>
              </w:rPr>
              <w:t>12.5</w:t>
            </w:r>
          </w:p>
        </w:tc>
        <w:tc>
          <w:tcPr>
            <w:tcW w:w="992" w:type="dxa"/>
          </w:tcPr>
          <w:p w:rsidR="003F5784" w14:paraId="5BCE88F8" w14:textId="77777777">
            <w:pPr>
              <w:pStyle w:val="TableParagraph"/>
              <w:ind w:left="366"/>
              <w:jc w:val="left"/>
              <w:rPr>
                <w:sz w:val="21"/>
              </w:rPr>
            </w:pPr>
            <w:r>
              <w:rPr>
                <w:spacing w:val="-10"/>
                <w:sz w:val="21"/>
              </w:rPr>
              <w:t>3</w:t>
            </w:r>
          </w:p>
        </w:tc>
        <w:tc>
          <w:tcPr>
            <w:tcW w:w="1319" w:type="dxa"/>
          </w:tcPr>
          <w:p w:rsidR="003F5784" w14:paraId="1D697F6B" w14:textId="77777777">
            <w:pPr>
              <w:pStyle w:val="TableParagraph"/>
              <w:ind w:right="115"/>
              <w:rPr>
                <w:sz w:val="21"/>
              </w:rPr>
            </w:pPr>
            <w:r>
              <w:rPr>
                <w:spacing w:val="-2"/>
                <w:sz w:val="21"/>
              </w:rPr>
              <w:t>521,663</w:t>
            </w:r>
          </w:p>
        </w:tc>
      </w:tr>
      <w:tr w14:paraId="503D9097" w14:textId="77777777">
        <w:tblPrEx>
          <w:tblW w:w="0" w:type="auto"/>
          <w:tblInd w:w="482" w:type="dxa"/>
          <w:tblLayout w:type="fixed"/>
          <w:tblCellMar>
            <w:left w:w="0" w:type="dxa"/>
            <w:right w:w="0" w:type="dxa"/>
          </w:tblCellMar>
          <w:tblLook w:val="01E0"/>
        </w:tblPrEx>
        <w:trPr>
          <w:trHeight w:val="286"/>
        </w:trPr>
        <w:tc>
          <w:tcPr>
            <w:tcW w:w="963" w:type="dxa"/>
          </w:tcPr>
          <w:p w:rsidR="003F5784" w14:paraId="741E4A19" w14:textId="77777777">
            <w:pPr>
              <w:pStyle w:val="TableParagraph"/>
              <w:ind w:left="120"/>
              <w:jc w:val="left"/>
              <w:rPr>
                <w:sz w:val="21"/>
              </w:rPr>
            </w:pPr>
            <w:r>
              <w:rPr>
                <w:spacing w:val="-10"/>
                <w:sz w:val="21"/>
              </w:rPr>
              <w:t>7</w:t>
            </w:r>
          </w:p>
        </w:tc>
        <w:tc>
          <w:tcPr>
            <w:tcW w:w="4882" w:type="dxa"/>
          </w:tcPr>
          <w:p w:rsidR="003F5784" w14:paraId="490D8410" w14:textId="77777777">
            <w:pPr>
              <w:pStyle w:val="TableParagraph"/>
              <w:ind w:right="282"/>
              <w:rPr>
                <w:sz w:val="21"/>
              </w:rPr>
            </w:pPr>
            <w:r>
              <w:rPr>
                <w:sz w:val="21"/>
              </w:rPr>
              <w:t>Percentage</w:t>
            </w:r>
            <w:r>
              <w:rPr>
                <w:spacing w:val="-8"/>
                <w:sz w:val="21"/>
              </w:rPr>
              <w:t xml:space="preserve"> </w:t>
            </w:r>
            <w:r>
              <w:rPr>
                <w:sz w:val="21"/>
              </w:rPr>
              <w:t>of</w:t>
            </w:r>
            <w:r>
              <w:rPr>
                <w:spacing w:val="-8"/>
                <w:sz w:val="21"/>
              </w:rPr>
              <w:t xml:space="preserve"> </w:t>
            </w:r>
            <w:r>
              <w:rPr>
                <w:sz w:val="21"/>
              </w:rPr>
              <w:t>female-headed</w:t>
            </w:r>
            <w:r>
              <w:rPr>
                <w:spacing w:val="-8"/>
                <w:sz w:val="21"/>
              </w:rPr>
              <w:t xml:space="preserve"> </w:t>
            </w:r>
            <w:r>
              <w:rPr>
                <w:sz w:val="21"/>
              </w:rPr>
              <w:t>households</w:t>
            </w:r>
            <w:r>
              <w:rPr>
                <w:spacing w:val="-8"/>
                <w:sz w:val="21"/>
              </w:rPr>
              <w:t xml:space="preserve"> </w:t>
            </w:r>
            <w:r>
              <w:rPr>
                <w:sz w:val="21"/>
              </w:rPr>
              <w:t>&gt;</w:t>
            </w:r>
            <w:r>
              <w:rPr>
                <w:spacing w:val="-7"/>
                <w:sz w:val="21"/>
              </w:rPr>
              <w:t xml:space="preserve"> </w:t>
            </w:r>
            <w:r>
              <w:rPr>
                <w:spacing w:val="-4"/>
                <w:sz w:val="21"/>
              </w:rPr>
              <w:t>12.7</w:t>
            </w:r>
          </w:p>
        </w:tc>
        <w:tc>
          <w:tcPr>
            <w:tcW w:w="5826" w:type="dxa"/>
          </w:tcPr>
          <w:p w:rsidR="003F5784" w14:paraId="269031B5" w14:textId="77777777">
            <w:pPr>
              <w:pStyle w:val="TableParagraph"/>
              <w:ind w:right="362"/>
              <w:rPr>
                <w:sz w:val="21"/>
              </w:rPr>
            </w:pPr>
            <w:r>
              <w:rPr>
                <w:sz w:val="21"/>
              </w:rPr>
              <w:t>Percentage</w:t>
            </w:r>
            <w:r>
              <w:rPr>
                <w:spacing w:val="-9"/>
                <w:sz w:val="21"/>
              </w:rPr>
              <w:t xml:space="preserve"> </w:t>
            </w:r>
            <w:r>
              <w:rPr>
                <w:sz w:val="21"/>
              </w:rPr>
              <w:t>of</w:t>
            </w:r>
            <w:r>
              <w:rPr>
                <w:spacing w:val="-8"/>
                <w:sz w:val="21"/>
              </w:rPr>
              <w:t xml:space="preserve"> </w:t>
            </w:r>
            <w:r>
              <w:rPr>
                <w:sz w:val="21"/>
              </w:rPr>
              <w:t>female-headed</w:t>
            </w:r>
            <w:r>
              <w:rPr>
                <w:spacing w:val="-8"/>
                <w:sz w:val="21"/>
              </w:rPr>
              <w:t xml:space="preserve"> </w:t>
            </w:r>
            <w:r>
              <w:rPr>
                <w:sz w:val="21"/>
              </w:rPr>
              <w:t>households</w:t>
            </w:r>
            <w:r>
              <w:rPr>
                <w:spacing w:val="-8"/>
                <w:sz w:val="21"/>
              </w:rPr>
              <w:t xml:space="preserve"> </w:t>
            </w:r>
            <w:r>
              <w:rPr>
                <w:sz w:val="21"/>
              </w:rPr>
              <w:t>&lt;=</w:t>
            </w:r>
            <w:r>
              <w:rPr>
                <w:spacing w:val="-8"/>
                <w:sz w:val="21"/>
              </w:rPr>
              <w:t xml:space="preserve"> </w:t>
            </w:r>
            <w:r>
              <w:rPr>
                <w:spacing w:val="-4"/>
                <w:sz w:val="21"/>
              </w:rPr>
              <w:t>13.5</w:t>
            </w:r>
          </w:p>
        </w:tc>
        <w:tc>
          <w:tcPr>
            <w:tcW w:w="992" w:type="dxa"/>
          </w:tcPr>
          <w:p w:rsidR="003F5784" w14:paraId="04CFA2B5" w14:textId="77777777">
            <w:pPr>
              <w:pStyle w:val="TableParagraph"/>
              <w:ind w:left="366"/>
              <w:jc w:val="left"/>
              <w:rPr>
                <w:sz w:val="21"/>
              </w:rPr>
            </w:pPr>
            <w:r>
              <w:rPr>
                <w:spacing w:val="-10"/>
                <w:sz w:val="21"/>
              </w:rPr>
              <w:t>2</w:t>
            </w:r>
          </w:p>
        </w:tc>
        <w:tc>
          <w:tcPr>
            <w:tcW w:w="1319" w:type="dxa"/>
          </w:tcPr>
          <w:p w:rsidR="003F5784" w14:paraId="2CA1A4D7" w14:textId="77777777">
            <w:pPr>
              <w:pStyle w:val="TableParagraph"/>
              <w:ind w:right="115"/>
              <w:rPr>
                <w:sz w:val="21"/>
              </w:rPr>
            </w:pPr>
            <w:r>
              <w:rPr>
                <w:spacing w:val="-2"/>
                <w:sz w:val="21"/>
              </w:rPr>
              <w:t>554,582</w:t>
            </w:r>
          </w:p>
        </w:tc>
      </w:tr>
      <w:tr w14:paraId="214CF0EF" w14:textId="77777777">
        <w:tblPrEx>
          <w:tblW w:w="0" w:type="auto"/>
          <w:tblInd w:w="482" w:type="dxa"/>
          <w:tblLayout w:type="fixed"/>
          <w:tblCellMar>
            <w:left w:w="0" w:type="dxa"/>
            <w:right w:w="0" w:type="dxa"/>
          </w:tblCellMar>
          <w:tblLook w:val="01E0"/>
        </w:tblPrEx>
        <w:trPr>
          <w:trHeight w:val="286"/>
        </w:trPr>
        <w:tc>
          <w:tcPr>
            <w:tcW w:w="963" w:type="dxa"/>
          </w:tcPr>
          <w:p w:rsidR="003F5784" w14:paraId="64E0CB71" w14:textId="77777777">
            <w:pPr>
              <w:pStyle w:val="TableParagraph"/>
              <w:ind w:left="120"/>
              <w:jc w:val="left"/>
              <w:rPr>
                <w:sz w:val="21"/>
              </w:rPr>
            </w:pPr>
            <w:r>
              <w:rPr>
                <w:spacing w:val="-10"/>
                <w:sz w:val="21"/>
              </w:rPr>
              <w:t>8</w:t>
            </w:r>
          </w:p>
        </w:tc>
        <w:tc>
          <w:tcPr>
            <w:tcW w:w="4882" w:type="dxa"/>
          </w:tcPr>
          <w:p w:rsidR="003F5784" w14:paraId="1EE99F0C" w14:textId="77777777">
            <w:pPr>
              <w:pStyle w:val="TableParagraph"/>
              <w:ind w:right="282"/>
              <w:rPr>
                <w:sz w:val="21"/>
              </w:rPr>
            </w:pPr>
            <w:r>
              <w:rPr>
                <w:sz w:val="21"/>
              </w:rPr>
              <w:t>Percentage</w:t>
            </w:r>
            <w:r>
              <w:rPr>
                <w:spacing w:val="-8"/>
                <w:sz w:val="21"/>
              </w:rPr>
              <w:t xml:space="preserve"> </w:t>
            </w:r>
            <w:r>
              <w:rPr>
                <w:sz w:val="21"/>
              </w:rPr>
              <w:t>of</w:t>
            </w:r>
            <w:r>
              <w:rPr>
                <w:spacing w:val="-8"/>
                <w:sz w:val="21"/>
              </w:rPr>
              <w:t xml:space="preserve"> </w:t>
            </w:r>
            <w:r>
              <w:rPr>
                <w:sz w:val="21"/>
              </w:rPr>
              <w:t>female-headed</w:t>
            </w:r>
            <w:r>
              <w:rPr>
                <w:spacing w:val="-8"/>
                <w:sz w:val="21"/>
              </w:rPr>
              <w:t xml:space="preserve"> </w:t>
            </w:r>
            <w:r>
              <w:rPr>
                <w:sz w:val="21"/>
              </w:rPr>
              <w:t>households</w:t>
            </w:r>
            <w:r>
              <w:rPr>
                <w:spacing w:val="-8"/>
                <w:sz w:val="21"/>
              </w:rPr>
              <w:t xml:space="preserve"> </w:t>
            </w:r>
            <w:r>
              <w:rPr>
                <w:sz w:val="21"/>
              </w:rPr>
              <w:t>&gt;</w:t>
            </w:r>
            <w:r>
              <w:rPr>
                <w:spacing w:val="-7"/>
                <w:sz w:val="21"/>
              </w:rPr>
              <w:t xml:space="preserve"> </w:t>
            </w:r>
            <w:r>
              <w:rPr>
                <w:spacing w:val="-4"/>
                <w:sz w:val="21"/>
              </w:rPr>
              <w:t>12.7</w:t>
            </w:r>
          </w:p>
        </w:tc>
        <w:tc>
          <w:tcPr>
            <w:tcW w:w="5826" w:type="dxa"/>
          </w:tcPr>
          <w:p w:rsidR="003F5784" w14:paraId="03873F8B" w14:textId="77777777">
            <w:pPr>
              <w:pStyle w:val="TableParagraph"/>
              <w:ind w:right="362"/>
              <w:rPr>
                <w:sz w:val="21"/>
              </w:rPr>
            </w:pPr>
            <w:r>
              <w:rPr>
                <w:sz w:val="21"/>
              </w:rPr>
              <w:t>Percentage</w:t>
            </w:r>
            <w:r>
              <w:rPr>
                <w:spacing w:val="-8"/>
                <w:sz w:val="21"/>
              </w:rPr>
              <w:t xml:space="preserve"> </w:t>
            </w:r>
            <w:r>
              <w:rPr>
                <w:sz w:val="21"/>
              </w:rPr>
              <w:t>of</w:t>
            </w:r>
            <w:r>
              <w:rPr>
                <w:spacing w:val="-8"/>
                <w:sz w:val="21"/>
              </w:rPr>
              <w:t xml:space="preserve"> </w:t>
            </w:r>
            <w:r>
              <w:rPr>
                <w:sz w:val="21"/>
              </w:rPr>
              <w:t>female-headed</w:t>
            </w:r>
            <w:r>
              <w:rPr>
                <w:spacing w:val="-8"/>
                <w:sz w:val="21"/>
              </w:rPr>
              <w:t xml:space="preserve"> </w:t>
            </w:r>
            <w:r>
              <w:rPr>
                <w:sz w:val="21"/>
              </w:rPr>
              <w:t>households</w:t>
            </w:r>
            <w:r>
              <w:rPr>
                <w:spacing w:val="-8"/>
                <w:sz w:val="21"/>
              </w:rPr>
              <w:t xml:space="preserve"> </w:t>
            </w:r>
            <w:r>
              <w:rPr>
                <w:sz w:val="21"/>
              </w:rPr>
              <w:t>&gt;</w:t>
            </w:r>
            <w:r>
              <w:rPr>
                <w:spacing w:val="-7"/>
                <w:sz w:val="21"/>
              </w:rPr>
              <w:t xml:space="preserve"> </w:t>
            </w:r>
            <w:r>
              <w:rPr>
                <w:spacing w:val="-4"/>
                <w:sz w:val="21"/>
              </w:rPr>
              <w:t>13.5</w:t>
            </w:r>
          </w:p>
        </w:tc>
        <w:tc>
          <w:tcPr>
            <w:tcW w:w="992" w:type="dxa"/>
          </w:tcPr>
          <w:p w:rsidR="003F5784" w14:paraId="769D631A" w14:textId="77777777">
            <w:pPr>
              <w:pStyle w:val="TableParagraph"/>
              <w:ind w:left="366"/>
              <w:jc w:val="left"/>
              <w:rPr>
                <w:sz w:val="21"/>
              </w:rPr>
            </w:pPr>
            <w:r>
              <w:rPr>
                <w:spacing w:val="-10"/>
                <w:sz w:val="21"/>
              </w:rPr>
              <w:t>6</w:t>
            </w:r>
          </w:p>
        </w:tc>
        <w:tc>
          <w:tcPr>
            <w:tcW w:w="1319" w:type="dxa"/>
          </w:tcPr>
          <w:p w:rsidR="003F5784" w14:paraId="0EEFD1B6" w14:textId="77777777">
            <w:pPr>
              <w:pStyle w:val="TableParagraph"/>
              <w:ind w:right="115"/>
              <w:rPr>
                <w:sz w:val="21"/>
              </w:rPr>
            </w:pPr>
            <w:r>
              <w:rPr>
                <w:spacing w:val="-2"/>
                <w:sz w:val="21"/>
              </w:rPr>
              <w:t>506,007</w:t>
            </w:r>
          </w:p>
        </w:tc>
      </w:tr>
      <w:tr w14:paraId="2DD8A268" w14:textId="77777777">
        <w:tblPrEx>
          <w:tblW w:w="0" w:type="auto"/>
          <w:tblInd w:w="482" w:type="dxa"/>
          <w:tblLayout w:type="fixed"/>
          <w:tblCellMar>
            <w:left w:w="0" w:type="dxa"/>
            <w:right w:w="0" w:type="dxa"/>
          </w:tblCellMar>
          <w:tblLook w:val="01E0"/>
        </w:tblPrEx>
        <w:trPr>
          <w:trHeight w:val="288"/>
        </w:trPr>
        <w:tc>
          <w:tcPr>
            <w:tcW w:w="963" w:type="dxa"/>
            <w:tcBorders>
              <w:bottom w:val="single" w:sz="18" w:space="0" w:color="800000"/>
            </w:tcBorders>
          </w:tcPr>
          <w:p w:rsidR="003F5784" w14:paraId="1FC3D50C" w14:textId="77777777">
            <w:pPr>
              <w:pStyle w:val="TableParagraph"/>
              <w:ind w:left="120"/>
              <w:jc w:val="left"/>
              <w:rPr>
                <w:sz w:val="21"/>
              </w:rPr>
            </w:pPr>
            <w:r>
              <w:rPr>
                <w:spacing w:val="-4"/>
                <w:sz w:val="21"/>
              </w:rPr>
              <w:t>Mean</w:t>
            </w:r>
          </w:p>
        </w:tc>
        <w:tc>
          <w:tcPr>
            <w:tcW w:w="4882" w:type="dxa"/>
            <w:tcBorders>
              <w:bottom w:val="single" w:sz="18" w:space="0" w:color="800000"/>
            </w:tcBorders>
          </w:tcPr>
          <w:p w:rsidR="003F5784" w14:paraId="36D0E721" w14:textId="77777777">
            <w:pPr>
              <w:pStyle w:val="TableParagraph"/>
              <w:ind w:right="282"/>
              <w:rPr>
                <w:sz w:val="21"/>
              </w:rPr>
            </w:pPr>
            <w:r>
              <w:rPr>
                <w:spacing w:val="-10"/>
                <w:sz w:val="21"/>
              </w:rPr>
              <w:t>†</w:t>
            </w:r>
          </w:p>
        </w:tc>
        <w:tc>
          <w:tcPr>
            <w:tcW w:w="5826" w:type="dxa"/>
            <w:tcBorders>
              <w:bottom w:val="single" w:sz="18" w:space="0" w:color="800000"/>
            </w:tcBorders>
          </w:tcPr>
          <w:p w:rsidR="003F5784" w14:paraId="073FB88E" w14:textId="77777777">
            <w:pPr>
              <w:pStyle w:val="TableParagraph"/>
              <w:ind w:right="362"/>
              <w:rPr>
                <w:sz w:val="21"/>
              </w:rPr>
            </w:pPr>
            <w:r>
              <w:rPr>
                <w:spacing w:val="-10"/>
                <w:sz w:val="21"/>
              </w:rPr>
              <w:t>†</w:t>
            </w:r>
          </w:p>
        </w:tc>
        <w:tc>
          <w:tcPr>
            <w:tcW w:w="992" w:type="dxa"/>
            <w:tcBorders>
              <w:bottom w:val="single" w:sz="18" w:space="0" w:color="800000"/>
            </w:tcBorders>
          </w:tcPr>
          <w:p w:rsidR="003F5784" w14:paraId="3297D1B7" w14:textId="77777777">
            <w:pPr>
              <w:pStyle w:val="TableParagraph"/>
              <w:ind w:left="366"/>
              <w:jc w:val="left"/>
              <w:rPr>
                <w:sz w:val="21"/>
              </w:rPr>
            </w:pPr>
            <w:r>
              <w:rPr>
                <w:spacing w:val="-10"/>
                <w:sz w:val="21"/>
              </w:rPr>
              <w:t>†</w:t>
            </w:r>
          </w:p>
        </w:tc>
        <w:tc>
          <w:tcPr>
            <w:tcW w:w="1319" w:type="dxa"/>
            <w:tcBorders>
              <w:bottom w:val="single" w:sz="18" w:space="0" w:color="800000"/>
            </w:tcBorders>
          </w:tcPr>
          <w:p w:rsidR="003F5784" w14:paraId="055520D1" w14:textId="77777777">
            <w:pPr>
              <w:pStyle w:val="TableParagraph"/>
              <w:ind w:right="115"/>
              <w:rPr>
                <w:sz w:val="21"/>
              </w:rPr>
            </w:pPr>
            <w:r>
              <w:rPr>
                <w:spacing w:val="-2"/>
                <w:sz w:val="21"/>
              </w:rPr>
              <w:t>544,184</w:t>
            </w:r>
          </w:p>
        </w:tc>
      </w:tr>
    </w:tbl>
    <w:p w:rsidR="003F5784" w14:paraId="6ADB3743" w14:textId="77777777">
      <w:pPr>
        <w:pStyle w:val="BodyText"/>
        <w:spacing w:line="234" w:lineRule="exact"/>
        <w:ind w:left="595"/>
      </w:pPr>
      <w:r>
        <w:t>†</w:t>
      </w:r>
      <w:r>
        <w:rPr>
          <w:spacing w:val="-4"/>
        </w:rPr>
        <w:t xml:space="preserve"> </w:t>
      </w:r>
      <w:r>
        <w:t>Not</w:t>
      </w:r>
      <w:r>
        <w:rPr>
          <w:spacing w:val="-3"/>
        </w:rPr>
        <w:t xml:space="preserve"> </w:t>
      </w:r>
      <w:r>
        <w:rPr>
          <w:spacing w:val="-2"/>
        </w:rPr>
        <w:t>applicable.</w:t>
      </w:r>
    </w:p>
    <w:p w:rsidR="003F5784" w14:paraId="76E3EA1E"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20996694" w14:textId="77777777">
      <w:pPr>
        <w:pStyle w:val="BodyText"/>
      </w:pPr>
    </w:p>
    <w:p w:rsidR="003F5784" w14:paraId="380101F9" w14:textId="77777777">
      <w:pPr>
        <w:pStyle w:val="BodyText"/>
      </w:pPr>
    </w:p>
    <w:p w:rsidR="003F5784" w14:paraId="19B58EDE" w14:textId="77777777">
      <w:pPr>
        <w:pStyle w:val="BodyText"/>
      </w:pPr>
    </w:p>
    <w:p w:rsidR="003F5784" w14:paraId="65369338" w14:textId="77777777">
      <w:pPr>
        <w:pStyle w:val="BodyText"/>
        <w:spacing w:before="191"/>
      </w:pPr>
    </w:p>
    <w:p w:rsidR="003F5784" w14:paraId="79BAAA80" w14:textId="77777777">
      <w:pPr>
        <w:ind w:left="3697"/>
        <w:rPr>
          <w:sz w:val="18"/>
        </w:rPr>
      </w:pPr>
      <w:hyperlink r:id="rId201">
        <w:r>
          <w:rPr>
            <w:spacing w:val="-2"/>
            <w:w w:val="105"/>
            <w:sz w:val="18"/>
          </w:rPr>
          <w:t>http://nces.ed.gov/nationsreportcard/tdw/sample_design/2022/stratification_for_northeast_metropolitan_noncertainty_primary_sampling_units.aspx</w:t>
        </w:r>
      </w:hyperlink>
    </w:p>
    <w:p w:rsidR="003F5784" w14:paraId="092BE491" w14:textId="77777777">
      <w:pPr>
        <w:pStyle w:val="BodyText"/>
        <w:rPr>
          <w:sz w:val="16"/>
        </w:rPr>
      </w:pPr>
      <w:r>
        <w:rPr>
          <w:noProof/>
        </w:rPr>
        <mc:AlternateContent>
          <mc:Choice Requires="wps">
            <w:drawing>
              <wp:anchor distT="0" distB="0" distL="0" distR="0" simplePos="0" relativeHeight="251890688" behindDoc="1" locked="0" layoutInCell="1" allowOverlap="1">
                <wp:simplePos x="0" y="0"/>
                <wp:positionH relativeFrom="page">
                  <wp:posOffset>361937</wp:posOffset>
                </wp:positionH>
                <wp:positionV relativeFrom="paragraph">
                  <wp:posOffset>132639</wp:posOffset>
                </wp:positionV>
                <wp:extent cx="9339580" cy="8890"/>
                <wp:effectExtent l="0" t="0" r="0" b="0"/>
                <wp:wrapTopAndBottom/>
                <wp:docPr id="226" name="Graphic 22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67"/>
                              </a:lnTo>
                              <a:lnTo>
                                <a:pt x="9335110" y="8305"/>
                              </a:lnTo>
                              <a:lnTo>
                                <a:pt x="9338970" y="8305"/>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26" o:spid="_x0000_s1115" style="width:735.4pt;height:0.7pt;margin-top:10.45pt;margin-left:28.5pt;mso-position-horizontal-relative:page;mso-wrap-distance-bottom:0;mso-wrap-distance-left:0;mso-wrap-distance-right:0;mso-wrap-distance-top:0;mso-wrap-style:square;position:absolute;visibility:visible;v-text-anchor:top;z-index:-251424768" coordsize="9339580,8890" path="m9338970,25l9335110,25l8280,25,,,,8267l9335110,8305l9338970,8305l9338970,25xe" fillcolor="gray" stroked="f">
                <v:path arrowok="t"/>
                <w10:wrap type="topAndBottom"/>
              </v:shape>
            </w:pict>
          </mc:Fallback>
        </mc:AlternateContent>
      </w:r>
    </w:p>
    <w:p w:rsidR="003F5784" w14:paraId="73EC5016" w14:textId="77777777">
      <w:pPr>
        <w:pStyle w:val="BodyText"/>
        <w:rPr>
          <w:sz w:val="18"/>
        </w:rPr>
      </w:pPr>
    </w:p>
    <w:p w:rsidR="003F5784" w14:paraId="4BC94BC9" w14:textId="77777777">
      <w:pPr>
        <w:pStyle w:val="BodyText"/>
        <w:spacing w:before="193"/>
        <w:rPr>
          <w:sz w:val="18"/>
        </w:rPr>
      </w:pPr>
    </w:p>
    <w:p w:rsidR="003F5784" w14:paraId="046D382A" w14:textId="60BF91CF">
      <w:pPr>
        <w:pStyle w:val="Heading1"/>
        <w:spacing w:line="244" w:lineRule="auto"/>
      </w:pPr>
      <w:r>
        <w:t>NAEP</w:t>
      </w:r>
      <w:r>
        <w:rPr>
          <w:spacing w:val="-7"/>
        </w:rPr>
        <w:t xml:space="preserve"> </w:t>
      </w:r>
      <w:r>
        <w:t>Technical Documentation</w:t>
      </w:r>
      <w:r w:rsidR="004C039D">
        <w:t xml:space="preserve"> </w:t>
      </w:r>
      <w:r>
        <w:t>Stratification for Northeast Non-Metropolitan Noncertainty Primary Sampling Units</w:t>
      </w:r>
    </w:p>
    <w:p w:rsidR="003F5784" w14:paraId="6D104413" w14:textId="77777777">
      <w:pPr>
        <w:pStyle w:val="BodyText"/>
        <w:spacing w:before="287" w:line="232" w:lineRule="auto"/>
        <w:ind w:left="109" w:right="318"/>
        <w:jc w:val="both"/>
      </w:pPr>
      <w:r>
        <w:t>The</w:t>
      </w:r>
      <w:r>
        <w:rPr>
          <w:spacing w:val="-6"/>
        </w:rPr>
        <w:t xml:space="preserve"> </w:t>
      </w:r>
      <w:r>
        <w:t>following</w:t>
      </w:r>
      <w:r>
        <w:rPr>
          <w:spacing w:val="-6"/>
        </w:rPr>
        <w:t xml:space="preserve"> </w:t>
      </w:r>
      <w:r>
        <w:t>table</w:t>
      </w:r>
      <w:r>
        <w:rPr>
          <w:spacing w:val="-6"/>
        </w:rPr>
        <w:t xml:space="preserve"> </w:t>
      </w:r>
      <w:r>
        <w:t>provides</w:t>
      </w:r>
      <w:r>
        <w:rPr>
          <w:spacing w:val="-6"/>
        </w:rPr>
        <w:t xml:space="preserve"> </w:t>
      </w:r>
      <w:r>
        <w:t>the</w:t>
      </w:r>
      <w:r>
        <w:rPr>
          <w:spacing w:val="-6"/>
        </w:rPr>
        <w:t xml:space="preserve"> </w:t>
      </w:r>
      <w:r>
        <w:t>definition,</w:t>
      </w:r>
      <w:r>
        <w:rPr>
          <w:spacing w:val="-6"/>
        </w:rPr>
        <w:t xml:space="preserve"> </w:t>
      </w:r>
      <w:r>
        <w:t>number</w:t>
      </w:r>
      <w:r>
        <w:rPr>
          <w:spacing w:val="-6"/>
        </w:rPr>
        <w:t xml:space="preserve"> </w:t>
      </w:r>
      <w:r>
        <w:t>of</w:t>
      </w:r>
      <w:r>
        <w:rPr>
          <w:spacing w:val="-6"/>
        </w:rPr>
        <w:t xml:space="preserve"> </w:t>
      </w:r>
      <w:r>
        <w:t>PSUs,</w:t>
      </w:r>
      <w:r>
        <w:rPr>
          <w:spacing w:val="-6"/>
        </w:rPr>
        <w:t xml:space="preserve"> </w:t>
      </w:r>
      <w:r>
        <w:t>and</w:t>
      </w:r>
      <w:r>
        <w:rPr>
          <w:spacing w:val="-6"/>
        </w:rPr>
        <w:t xml:space="preserve"> </w:t>
      </w:r>
      <w:r>
        <w:t>size</w:t>
      </w:r>
      <w:r>
        <w:rPr>
          <w:spacing w:val="-6"/>
        </w:rPr>
        <w:t xml:space="preserve"> </w:t>
      </w:r>
      <w:r>
        <w:t>of</w:t>
      </w:r>
      <w:r>
        <w:rPr>
          <w:spacing w:val="-6"/>
        </w:rPr>
        <w:t xml:space="preserve"> </w:t>
      </w:r>
      <w:r>
        <w:t>each</w:t>
      </w:r>
      <w:r>
        <w:rPr>
          <w:spacing w:val="-6"/>
        </w:rPr>
        <w:t xml:space="preserve"> </w:t>
      </w:r>
      <w:r>
        <w:t>noncertainty</w:t>
      </w:r>
      <w:r>
        <w:rPr>
          <w:spacing w:val="-6"/>
        </w:rPr>
        <w:t xml:space="preserve"> </w:t>
      </w:r>
      <w:r>
        <w:t>PSU</w:t>
      </w:r>
      <w:r>
        <w:rPr>
          <w:spacing w:val="-6"/>
        </w:rPr>
        <w:t xml:space="preserve"> </w:t>
      </w:r>
      <w:r>
        <w:t>stratum</w:t>
      </w:r>
      <w:r>
        <w:rPr>
          <w:spacing w:val="-6"/>
        </w:rPr>
        <w:t xml:space="preserve"> </w:t>
      </w:r>
      <w:r>
        <w:t>in</w:t>
      </w:r>
      <w:r>
        <w:rPr>
          <w:spacing w:val="-6"/>
        </w:rPr>
        <w:t xml:space="preserve"> </w:t>
      </w:r>
      <w:r>
        <w:t>the</w:t>
      </w:r>
      <w:r>
        <w:rPr>
          <w:spacing w:val="-6"/>
        </w:rPr>
        <w:t xml:space="preserve"> </w:t>
      </w:r>
      <w:r>
        <w:t>Northeast</w:t>
      </w:r>
      <w:r>
        <w:rPr>
          <w:spacing w:val="-6"/>
        </w:rPr>
        <w:t xml:space="preserve"> </w:t>
      </w:r>
      <w:r>
        <w:t>non-metropolitan</w:t>
      </w:r>
      <w:r>
        <w:rPr>
          <w:spacing w:val="-6"/>
        </w:rPr>
        <w:t xml:space="preserve"> </w:t>
      </w:r>
      <w:r>
        <w:t>primary</w:t>
      </w:r>
      <w:r>
        <w:rPr>
          <w:spacing w:val="-6"/>
        </w:rPr>
        <w:t xml:space="preserve"> </w:t>
      </w:r>
      <w:r>
        <w:t>stratum.</w:t>
      </w:r>
      <w:r>
        <w:rPr>
          <w:spacing w:val="-6"/>
        </w:rPr>
        <w:t xml:space="preserve"> </w:t>
      </w:r>
      <w:r>
        <w:t>Column</w:t>
      </w:r>
      <w:r>
        <w:rPr>
          <w:spacing w:val="-6"/>
        </w:rPr>
        <w:t xml:space="preserve"> </w:t>
      </w:r>
      <w:r>
        <w:t>2</w:t>
      </w:r>
      <w:r>
        <w:rPr>
          <w:spacing w:val="-6"/>
        </w:rPr>
        <w:t xml:space="preserve"> </w:t>
      </w:r>
      <w:r>
        <w:t>shows the</w:t>
      </w:r>
      <w:r>
        <w:rPr>
          <w:spacing w:val="-5"/>
        </w:rPr>
        <w:t xml:space="preserve"> </w:t>
      </w:r>
      <w:r>
        <w:t>primary</w:t>
      </w:r>
      <w:r>
        <w:rPr>
          <w:spacing w:val="-5"/>
        </w:rPr>
        <w:t xml:space="preserve"> </w:t>
      </w:r>
      <w:r>
        <w:t>characteristic</w:t>
      </w:r>
      <w:r>
        <w:rPr>
          <w:spacing w:val="-5"/>
        </w:rPr>
        <w:t xml:space="preserve"> </w:t>
      </w:r>
      <w:r>
        <w:t>used</w:t>
      </w:r>
      <w:r>
        <w:rPr>
          <w:spacing w:val="-5"/>
        </w:rPr>
        <w:t xml:space="preserve"> </w:t>
      </w:r>
      <w:r>
        <w:t>to</w:t>
      </w:r>
      <w:r>
        <w:rPr>
          <w:spacing w:val="-5"/>
        </w:rPr>
        <w:t xml:space="preserve"> </w:t>
      </w:r>
      <w:r>
        <w:t>define</w:t>
      </w:r>
      <w:r>
        <w:rPr>
          <w:spacing w:val="-5"/>
        </w:rPr>
        <w:t xml:space="preserve"> </w:t>
      </w:r>
      <w:r>
        <w:t>the</w:t>
      </w:r>
      <w:r>
        <w:rPr>
          <w:spacing w:val="-5"/>
        </w:rPr>
        <w:t xml:space="preserve"> </w:t>
      </w:r>
      <w:r>
        <w:t>strata</w:t>
      </w:r>
      <w:r>
        <w:rPr>
          <w:spacing w:val="-5"/>
        </w:rPr>
        <w:t xml:space="preserve"> </w:t>
      </w:r>
      <w:r>
        <w:t>along</w:t>
      </w:r>
      <w:r>
        <w:rPr>
          <w:spacing w:val="-5"/>
        </w:rPr>
        <w:t xml:space="preserve"> </w:t>
      </w:r>
      <w:r>
        <w:t>with</w:t>
      </w:r>
      <w:r>
        <w:rPr>
          <w:spacing w:val="-5"/>
        </w:rPr>
        <w:t xml:space="preserve"> </w:t>
      </w:r>
      <w:r>
        <w:t>the</w:t>
      </w:r>
      <w:r>
        <w:rPr>
          <w:spacing w:val="-5"/>
        </w:rPr>
        <w:t xml:space="preserve"> </w:t>
      </w:r>
      <w:r>
        <w:t>cutoffs.</w:t>
      </w:r>
      <w:r>
        <w:rPr>
          <w:spacing w:val="-9"/>
        </w:rPr>
        <w:t xml:space="preserve"> </w:t>
      </w:r>
      <w:r>
        <w:t>The</w:t>
      </w:r>
      <w:r>
        <w:rPr>
          <w:spacing w:val="-5"/>
        </w:rPr>
        <w:t xml:space="preserve"> </w:t>
      </w:r>
      <w:r>
        <w:t>size</w:t>
      </w:r>
      <w:r>
        <w:rPr>
          <w:spacing w:val="-5"/>
        </w:rPr>
        <w:t xml:space="preserve"> </w:t>
      </w:r>
      <w:r>
        <w:t>of</w:t>
      </w:r>
      <w:r>
        <w:rPr>
          <w:spacing w:val="-5"/>
        </w:rPr>
        <w:t xml:space="preserve"> </w:t>
      </w:r>
      <w:r>
        <w:t>each</w:t>
      </w:r>
      <w:r>
        <w:rPr>
          <w:spacing w:val="-5"/>
        </w:rPr>
        <w:t xml:space="preserve"> </w:t>
      </w:r>
      <w:r>
        <w:t>stratum</w:t>
      </w:r>
      <w:r>
        <w:rPr>
          <w:spacing w:val="-5"/>
        </w:rPr>
        <w:t xml:space="preserve"> </w:t>
      </w:r>
      <w:r>
        <w:t>is</w:t>
      </w:r>
      <w:r>
        <w:rPr>
          <w:spacing w:val="-5"/>
        </w:rPr>
        <w:t xml:space="preserve"> </w:t>
      </w:r>
      <w:r>
        <w:t>given</w:t>
      </w:r>
      <w:r>
        <w:rPr>
          <w:spacing w:val="-5"/>
        </w:rPr>
        <w:t xml:space="preserve"> </w:t>
      </w:r>
      <w:r>
        <w:t>in</w:t>
      </w:r>
      <w:r>
        <w:rPr>
          <w:spacing w:val="-5"/>
        </w:rPr>
        <w:t xml:space="preserve"> </w:t>
      </w:r>
      <w:r>
        <w:t>the</w:t>
      </w:r>
      <w:r>
        <w:rPr>
          <w:spacing w:val="-5"/>
        </w:rPr>
        <w:t xml:space="preserve"> </w:t>
      </w:r>
      <w:r>
        <w:t>last</w:t>
      </w:r>
      <w:r>
        <w:rPr>
          <w:spacing w:val="-5"/>
        </w:rPr>
        <w:t xml:space="preserve"> </w:t>
      </w:r>
      <w:r>
        <w:t>column</w:t>
      </w:r>
      <w:r>
        <w:rPr>
          <w:spacing w:val="-5"/>
        </w:rPr>
        <w:t xml:space="preserve"> </w:t>
      </w:r>
      <w:r>
        <w:t>and</w:t>
      </w:r>
      <w:r>
        <w:rPr>
          <w:spacing w:val="-5"/>
        </w:rPr>
        <w:t xml:space="preserve"> </w:t>
      </w:r>
      <w:r>
        <w:t>is</w:t>
      </w:r>
      <w:r>
        <w:rPr>
          <w:spacing w:val="-5"/>
        </w:rPr>
        <w:t xml:space="preserve"> </w:t>
      </w:r>
      <w:r>
        <w:t>in</w:t>
      </w:r>
      <w:r>
        <w:rPr>
          <w:spacing w:val="-5"/>
        </w:rPr>
        <w:t xml:space="preserve"> </w:t>
      </w:r>
      <w:r>
        <w:t>terms</w:t>
      </w:r>
      <w:r>
        <w:rPr>
          <w:spacing w:val="-5"/>
        </w:rPr>
        <w:t xml:space="preserve"> </w:t>
      </w:r>
      <w:r>
        <w:t>of</w:t>
      </w:r>
      <w:r>
        <w:rPr>
          <w:spacing w:val="-5"/>
        </w:rPr>
        <w:t xml:space="preserve"> </w:t>
      </w:r>
      <w:r>
        <w:t>the</w:t>
      </w:r>
      <w:r>
        <w:rPr>
          <w:spacing w:val="-5"/>
        </w:rPr>
        <w:t xml:space="preserve"> </w:t>
      </w:r>
      <w:r>
        <w:t>number</w:t>
      </w:r>
      <w:r>
        <w:rPr>
          <w:spacing w:val="-5"/>
        </w:rPr>
        <w:t xml:space="preserve"> </w:t>
      </w:r>
      <w:r>
        <w:t>of</w:t>
      </w:r>
      <w:r>
        <w:rPr>
          <w:spacing w:val="-5"/>
        </w:rPr>
        <w:t xml:space="preserve"> </w:t>
      </w:r>
      <w:r>
        <w:t>youths</w:t>
      </w:r>
      <w:r>
        <w:rPr>
          <w:spacing w:val="-5"/>
        </w:rPr>
        <w:t xml:space="preserve"> </w:t>
      </w:r>
      <w:r>
        <w:t>(persons 17 years of age and younger).</w:t>
      </w:r>
    </w:p>
    <w:p w:rsidR="003F5784" w14:paraId="24107C2C" w14:textId="77777777">
      <w:pPr>
        <w:pStyle w:val="BodyText"/>
        <w:spacing w:before="92"/>
      </w:pPr>
    </w:p>
    <w:p w:rsidR="003F5784" w14:paraId="277873C9" w14:textId="77777777">
      <w:pPr>
        <w:pStyle w:val="Heading2"/>
      </w:pPr>
      <w:r>
        <w:t>Stratification</w:t>
      </w:r>
      <w:r>
        <w:rPr>
          <w:spacing w:val="-10"/>
        </w:rPr>
        <w:t xml:space="preserve"> </w:t>
      </w:r>
      <w:r>
        <w:t>for</w:t>
      </w:r>
      <w:r>
        <w:rPr>
          <w:spacing w:val="-13"/>
        </w:rPr>
        <w:t xml:space="preserve"> </w:t>
      </w:r>
      <w:r>
        <w:t>Northeast</w:t>
      </w:r>
      <w:r>
        <w:rPr>
          <w:spacing w:val="-9"/>
        </w:rPr>
        <w:t xml:space="preserve"> </w:t>
      </w:r>
      <w:r>
        <w:t>non-metropolitan</w:t>
      </w:r>
      <w:r>
        <w:rPr>
          <w:spacing w:val="-9"/>
        </w:rPr>
        <w:t xml:space="preserve"> </w:t>
      </w:r>
      <w:r>
        <w:t>noncertainty</w:t>
      </w:r>
      <w:r>
        <w:rPr>
          <w:spacing w:val="-10"/>
        </w:rPr>
        <w:t xml:space="preserve"> </w:t>
      </w:r>
      <w:r>
        <w:t>primary</w:t>
      </w:r>
      <w:r>
        <w:rPr>
          <w:spacing w:val="-9"/>
        </w:rPr>
        <w:t xml:space="preserve"> </w:t>
      </w:r>
      <w:r>
        <w:t>sampling</w:t>
      </w:r>
      <w:r>
        <w:rPr>
          <w:spacing w:val="-9"/>
        </w:rPr>
        <w:t xml:space="preserve"> </w:t>
      </w:r>
      <w:r>
        <w:t>units</w:t>
      </w:r>
      <w:r>
        <w:rPr>
          <w:spacing w:val="-10"/>
        </w:rPr>
        <w:t xml:space="preserve"> </w:t>
      </w:r>
      <w:r>
        <w:t>(PSUs),</w:t>
      </w:r>
      <w:r>
        <w:rPr>
          <w:spacing w:val="-9"/>
        </w:rPr>
        <w:t xml:space="preserve"> </w:t>
      </w:r>
      <w:r>
        <w:t>by</w:t>
      </w:r>
      <w:r>
        <w:rPr>
          <w:spacing w:val="-10"/>
        </w:rPr>
        <w:t xml:space="preserve"> </w:t>
      </w:r>
      <w:r>
        <w:t>stratum:</w:t>
      </w:r>
      <w:r>
        <w:rPr>
          <w:spacing w:val="-9"/>
        </w:rPr>
        <w:t xml:space="preserve"> </w:t>
      </w:r>
      <w:r>
        <w:rPr>
          <w:spacing w:val="-4"/>
        </w:rPr>
        <w:t>2022</w:t>
      </w:r>
    </w:p>
    <w:p w:rsidR="003F5784" w14:paraId="52FEAAA7"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2801"/>
        <w:gridCol w:w="7593"/>
        <w:gridCol w:w="1499"/>
        <w:gridCol w:w="2090"/>
      </w:tblGrid>
      <w:tr w14:paraId="02952D28" w14:textId="77777777">
        <w:tblPrEx>
          <w:tblW w:w="0" w:type="auto"/>
          <w:tblInd w:w="482" w:type="dxa"/>
          <w:tblLayout w:type="fixed"/>
          <w:tblCellMar>
            <w:left w:w="0" w:type="dxa"/>
            <w:right w:w="0" w:type="dxa"/>
          </w:tblCellMar>
          <w:tblLook w:val="01E0"/>
        </w:tblPrEx>
        <w:trPr>
          <w:trHeight w:val="267"/>
        </w:trPr>
        <w:tc>
          <w:tcPr>
            <w:tcW w:w="2801" w:type="dxa"/>
            <w:tcBorders>
              <w:top w:val="single" w:sz="18" w:space="0" w:color="800000"/>
              <w:bottom w:val="single" w:sz="18" w:space="0" w:color="800000"/>
            </w:tcBorders>
          </w:tcPr>
          <w:p w:rsidR="003F5784" w14:paraId="0EE5B132" w14:textId="77777777">
            <w:pPr>
              <w:pStyle w:val="TableParagraph"/>
              <w:spacing w:before="9" w:line="238" w:lineRule="exact"/>
              <w:ind w:left="120"/>
              <w:jc w:val="left"/>
              <w:rPr>
                <w:sz w:val="21"/>
              </w:rPr>
            </w:pPr>
            <w:r>
              <w:rPr>
                <w:spacing w:val="-2"/>
                <w:sz w:val="21"/>
              </w:rPr>
              <w:t>Stratum</w:t>
            </w:r>
          </w:p>
        </w:tc>
        <w:tc>
          <w:tcPr>
            <w:tcW w:w="7593" w:type="dxa"/>
            <w:tcBorders>
              <w:top w:val="single" w:sz="18" w:space="0" w:color="800000"/>
              <w:bottom w:val="single" w:sz="18" w:space="0" w:color="800000"/>
            </w:tcBorders>
          </w:tcPr>
          <w:p w:rsidR="003F5784" w14:paraId="1CCB8D8E" w14:textId="77777777">
            <w:pPr>
              <w:pStyle w:val="TableParagraph"/>
              <w:spacing w:before="9" w:line="238" w:lineRule="exact"/>
              <w:ind w:right="382"/>
              <w:rPr>
                <w:sz w:val="21"/>
              </w:rPr>
            </w:pPr>
            <w:r>
              <w:rPr>
                <w:sz w:val="21"/>
              </w:rPr>
              <w:t>Primary</w:t>
            </w:r>
            <w:r>
              <w:rPr>
                <w:spacing w:val="-8"/>
                <w:sz w:val="21"/>
              </w:rPr>
              <w:t xml:space="preserve"> </w:t>
            </w:r>
            <w:r>
              <w:rPr>
                <w:spacing w:val="-2"/>
                <w:sz w:val="21"/>
              </w:rPr>
              <w:t>stratifier</w:t>
            </w:r>
          </w:p>
        </w:tc>
        <w:tc>
          <w:tcPr>
            <w:tcW w:w="1499" w:type="dxa"/>
            <w:tcBorders>
              <w:top w:val="single" w:sz="18" w:space="0" w:color="800000"/>
              <w:bottom w:val="single" w:sz="18" w:space="0" w:color="800000"/>
            </w:tcBorders>
          </w:tcPr>
          <w:p w:rsidR="003F5784" w14:paraId="48023184" w14:textId="77777777">
            <w:pPr>
              <w:pStyle w:val="TableParagraph"/>
              <w:spacing w:before="9" w:line="238" w:lineRule="exact"/>
              <w:ind w:right="647"/>
              <w:rPr>
                <w:sz w:val="21"/>
              </w:rPr>
            </w:pPr>
            <w:r>
              <w:rPr>
                <w:spacing w:val="-4"/>
                <w:sz w:val="21"/>
              </w:rPr>
              <w:t>PSUs</w:t>
            </w:r>
          </w:p>
        </w:tc>
        <w:tc>
          <w:tcPr>
            <w:tcW w:w="2090" w:type="dxa"/>
            <w:tcBorders>
              <w:top w:val="single" w:sz="18" w:space="0" w:color="800000"/>
              <w:bottom w:val="single" w:sz="18" w:space="0" w:color="800000"/>
            </w:tcBorders>
          </w:tcPr>
          <w:p w:rsidR="003F5784" w14:paraId="17325FE2" w14:textId="77777777">
            <w:pPr>
              <w:pStyle w:val="TableParagraph"/>
              <w:spacing w:before="9" w:line="238" w:lineRule="exact"/>
              <w:ind w:right="116"/>
              <w:rPr>
                <w:sz w:val="21"/>
              </w:rPr>
            </w:pPr>
            <w:r>
              <w:rPr>
                <w:sz w:val="21"/>
              </w:rPr>
              <w:t>Measure</w:t>
            </w:r>
            <w:r>
              <w:rPr>
                <w:spacing w:val="-6"/>
                <w:sz w:val="21"/>
              </w:rPr>
              <w:t xml:space="preserve"> </w:t>
            </w:r>
            <w:r>
              <w:rPr>
                <w:sz w:val="21"/>
              </w:rPr>
              <w:t>of</w:t>
            </w:r>
            <w:r>
              <w:rPr>
                <w:spacing w:val="-5"/>
                <w:sz w:val="21"/>
              </w:rPr>
              <w:t xml:space="preserve"> </w:t>
            </w:r>
            <w:r>
              <w:rPr>
                <w:spacing w:val="-4"/>
                <w:sz w:val="21"/>
              </w:rPr>
              <w:t>size</w:t>
            </w:r>
          </w:p>
        </w:tc>
      </w:tr>
      <w:tr w14:paraId="4E8E47B6" w14:textId="77777777">
        <w:tblPrEx>
          <w:tblW w:w="0" w:type="auto"/>
          <w:tblInd w:w="482" w:type="dxa"/>
          <w:tblLayout w:type="fixed"/>
          <w:tblCellMar>
            <w:left w:w="0" w:type="dxa"/>
            <w:right w:w="0" w:type="dxa"/>
          </w:tblCellMar>
          <w:tblLook w:val="01E0"/>
        </w:tblPrEx>
        <w:trPr>
          <w:trHeight w:val="278"/>
        </w:trPr>
        <w:tc>
          <w:tcPr>
            <w:tcW w:w="2801" w:type="dxa"/>
            <w:tcBorders>
              <w:top w:val="single" w:sz="18" w:space="0" w:color="800000"/>
            </w:tcBorders>
          </w:tcPr>
          <w:p w:rsidR="003F5784" w14:paraId="2FF21905" w14:textId="77777777">
            <w:pPr>
              <w:pStyle w:val="TableParagraph"/>
              <w:spacing w:before="9"/>
              <w:ind w:left="370"/>
              <w:jc w:val="left"/>
              <w:rPr>
                <w:b/>
                <w:sz w:val="21"/>
              </w:rPr>
            </w:pPr>
            <w:r>
              <w:rPr>
                <w:b/>
                <w:spacing w:val="-2"/>
                <w:sz w:val="21"/>
              </w:rPr>
              <w:t>Total</w:t>
            </w:r>
          </w:p>
        </w:tc>
        <w:tc>
          <w:tcPr>
            <w:tcW w:w="7593" w:type="dxa"/>
            <w:tcBorders>
              <w:top w:val="single" w:sz="18" w:space="0" w:color="800000"/>
            </w:tcBorders>
          </w:tcPr>
          <w:p w:rsidR="003F5784" w14:paraId="75B6A537" w14:textId="77777777">
            <w:pPr>
              <w:pStyle w:val="TableParagraph"/>
              <w:spacing w:before="9"/>
              <w:ind w:right="382"/>
              <w:rPr>
                <w:b/>
                <w:sz w:val="21"/>
              </w:rPr>
            </w:pPr>
            <w:r>
              <w:rPr>
                <w:b/>
                <w:spacing w:val="-10"/>
                <w:sz w:val="21"/>
              </w:rPr>
              <w:t>†</w:t>
            </w:r>
          </w:p>
        </w:tc>
        <w:tc>
          <w:tcPr>
            <w:tcW w:w="1499" w:type="dxa"/>
            <w:tcBorders>
              <w:top w:val="single" w:sz="18" w:space="0" w:color="800000"/>
            </w:tcBorders>
          </w:tcPr>
          <w:p w:rsidR="003F5784" w14:paraId="7AED1BFF" w14:textId="77777777">
            <w:pPr>
              <w:pStyle w:val="TableParagraph"/>
              <w:spacing w:before="9"/>
              <w:ind w:right="647"/>
              <w:rPr>
                <w:b/>
                <w:sz w:val="21"/>
              </w:rPr>
            </w:pPr>
            <w:r>
              <w:rPr>
                <w:b/>
                <w:spacing w:val="-5"/>
                <w:sz w:val="21"/>
              </w:rPr>
              <w:t>48</w:t>
            </w:r>
          </w:p>
        </w:tc>
        <w:tc>
          <w:tcPr>
            <w:tcW w:w="2090" w:type="dxa"/>
            <w:tcBorders>
              <w:top w:val="single" w:sz="18" w:space="0" w:color="800000"/>
            </w:tcBorders>
          </w:tcPr>
          <w:p w:rsidR="003F5784" w14:paraId="755810ED" w14:textId="77777777">
            <w:pPr>
              <w:pStyle w:val="TableParagraph"/>
              <w:spacing w:before="9"/>
              <w:ind w:right="116"/>
              <w:rPr>
                <w:b/>
                <w:sz w:val="21"/>
              </w:rPr>
            </w:pPr>
            <w:r>
              <w:rPr>
                <w:b/>
                <w:spacing w:val="-2"/>
                <w:sz w:val="21"/>
              </w:rPr>
              <w:t>1,021,897</w:t>
            </w:r>
          </w:p>
        </w:tc>
      </w:tr>
      <w:tr w14:paraId="79E37B60" w14:textId="77777777">
        <w:tblPrEx>
          <w:tblW w:w="0" w:type="auto"/>
          <w:tblInd w:w="482" w:type="dxa"/>
          <w:tblLayout w:type="fixed"/>
          <w:tblCellMar>
            <w:left w:w="0" w:type="dxa"/>
            <w:right w:w="0" w:type="dxa"/>
          </w:tblCellMar>
          <w:tblLook w:val="01E0"/>
        </w:tblPrEx>
        <w:trPr>
          <w:trHeight w:val="286"/>
        </w:trPr>
        <w:tc>
          <w:tcPr>
            <w:tcW w:w="2801" w:type="dxa"/>
          </w:tcPr>
          <w:p w:rsidR="003F5784" w14:paraId="4361F572" w14:textId="77777777">
            <w:pPr>
              <w:pStyle w:val="TableParagraph"/>
              <w:ind w:left="120"/>
              <w:jc w:val="left"/>
              <w:rPr>
                <w:sz w:val="21"/>
              </w:rPr>
            </w:pPr>
            <w:r>
              <w:rPr>
                <w:spacing w:val="-10"/>
                <w:sz w:val="21"/>
              </w:rPr>
              <w:t>1</w:t>
            </w:r>
          </w:p>
        </w:tc>
        <w:tc>
          <w:tcPr>
            <w:tcW w:w="7593" w:type="dxa"/>
          </w:tcPr>
          <w:p w:rsidR="003F5784" w14:paraId="2011F893" w14:textId="77777777">
            <w:pPr>
              <w:pStyle w:val="TableParagraph"/>
              <w:ind w:right="382"/>
              <w:rPr>
                <w:sz w:val="21"/>
              </w:rPr>
            </w:pPr>
            <w:r>
              <w:rPr>
                <w:sz w:val="21"/>
              </w:rPr>
              <w:t>Percentage</w:t>
            </w:r>
            <w:r>
              <w:rPr>
                <w:spacing w:val="-6"/>
                <w:sz w:val="21"/>
              </w:rPr>
              <w:t xml:space="preserve"> </w:t>
            </w:r>
            <w:r>
              <w:rPr>
                <w:sz w:val="21"/>
              </w:rPr>
              <w:t>of</w:t>
            </w:r>
            <w:r>
              <w:rPr>
                <w:spacing w:val="-5"/>
                <w:sz w:val="21"/>
              </w:rPr>
              <w:t xml:space="preserve"> </w:t>
            </w:r>
            <w:r>
              <w:rPr>
                <w:sz w:val="21"/>
              </w:rPr>
              <w:t>persons</w:t>
            </w:r>
            <w:r>
              <w:rPr>
                <w:spacing w:val="-5"/>
                <w:sz w:val="21"/>
              </w:rPr>
              <w:t xml:space="preserve"> </w:t>
            </w:r>
            <w:r>
              <w:rPr>
                <w:sz w:val="21"/>
              </w:rPr>
              <w:t>aged</w:t>
            </w:r>
            <w:r>
              <w:rPr>
                <w:spacing w:val="-6"/>
                <w:sz w:val="21"/>
              </w:rPr>
              <w:t xml:space="preserve"> </w:t>
            </w:r>
            <w:r>
              <w:rPr>
                <w:sz w:val="21"/>
              </w:rPr>
              <w:t>25+</w:t>
            </w:r>
            <w:r>
              <w:rPr>
                <w:spacing w:val="-5"/>
                <w:sz w:val="21"/>
              </w:rPr>
              <w:t xml:space="preserve"> </w:t>
            </w:r>
            <w:r>
              <w:rPr>
                <w:sz w:val="21"/>
              </w:rPr>
              <w:t>with</w:t>
            </w:r>
            <w:r>
              <w:rPr>
                <w:spacing w:val="-5"/>
                <w:sz w:val="21"/>
              </w:rPr>
              <w:t xml:space="preserve"> </w:t>
            </w:r>
            <w:r>
              <w:rPr>
                <w:sz w:val="21"/>
              </w:rPr>
              <w:t>a</w:t>
            </w:r>
            <w:r>
              <w:rPr>
                <w:spacing w:val="-6"/>
                <w:sz w:val="21"/>
              </w:rPr>
              <w:t xml:space="preserve"> </w:t>
            </w:r>
            <w:r>
              <w:rPr>
                <w:sz w:val="21"/>
              </w:rPr>
              <w:t>college</w:t>
            </w:r>
            <w:r>
              <w:rPr>
                <w:spacing w:val="-5"/>
                <w:sz w:val="21"/>
              </w:rPr>
              <w:t xml:space="preserve"> </w:t>
            </w:r>
            <w:r>
              <w:rPr>
                <w:sz w:val="21"/>
              </w:rPr>
              <w:t>degree</w:t>
            </w:r>
            <w:r>
              <w:rPr>
                <w:spacing w:val="-5"/>
                <w:sz w:val="21"/>
              </w:rPr>
              <w:t xml:space="preserve"> </w:t>
            </w:r>
            <w:r>
              <w:rPr>
                <w:sz w:val="21"/>
              </w:rPr>
              <w:t>&lt;=</w:t>
            </w:r>
            <w:r>
              <w:rPr>
                <w:spacing w:val="-6"/>
                <w:sz w:val="21"/>
              </w:rPr>
              <w:t xml:space="preserve"> </w:t>
            </w:r>
            <w:r>
              <w:rPr>
                <w:spacing w:val="-4"/>
                <w:sz w:val="21"/>
              </w:rPr>
              <w:t>19.1</w:t>
            </w:r>
          </w:p>
        </w:tc>
        <w:tc>
          <w:tcPr>
            <w:tcW w:w="1499" w:type="dxa"/>
          </w:tcPr>
          <w:p w:rsidR="003F5784" w14:paraId="6C79D0ED" w14:textId="77777777">
            <w:pPr>
              <w:pStyle w:val="TableParagraph"/>
              <w:ind w:right="647"/>
              <w:rPr>
                <w:sz w:val="21"/>
              </w:rPr>
            </w:pPr>
            <w:r>
              <w:rPr>
                <w:spacing w:val="-5"/>
                <w:sz w:val="21"/>
              </w:rPr>
              <w:t>23</w:t>
            </w:r>
          </w:p>
        </w:tc>
        <w:tc>
          <w:tcPr>
            <w:tcW w:w="2090" w:type="dxa"/>
          </w:tcPr>
          <w:p w:rsidR="003F5784" w14:paraId="185116C6" w14:textId="77777777">
            <w:pPr>
              <w:pStyle w:val="TableParagraph"/>
              <w:ind w:right="116"/>
              <w:rPr>
                <w:sz w:val="21"/>
              </w:rPr>
            </w:pPr>
            <w:r>
              <w:rPr>
                <w:spacing w:val="-2"/>
                <w:sz w:val="21"/>
              </w:rPr>
              <w:t>505,650</w:t>
            </w:r>
          </w:p>
        </w:tc>
      </w:tr>
      <w:tr w14:paraId="3888B903" w14:textId="77777777">
        <w:tblPrEx>
          <w:tblW w:w="0" w:type="auto"/>
          <w:tblInd w:w="482" w:type="dxa"/>
          <w:tblLayout w:type="fixed"/>
          <w:tblCellMar>
            <w:left w:w="0" w:type="dxa"/>
            <w:right w:w="0" w:type="dxa"/>
          </w:tblCellMar>
          <w:tblLook w:val="01E0"/>
        </w:tblPrEx>
        <w:trPr>
          <w:trHeight w:val="286"/>
        </w:trPr>
        <w:tc>
          <w:tcPr>
            <w:tcW w:w="2801" w:type="dxa"/>
          </w:tcPr>
          <w:p w:rsidR="003F5784" w14:paraId="2700FCB9" w14:textId="77777777">
            <w:pPr>
              <w:pStyle w:val="TableParagraph"/>
              <w:ind w:left="120"/>
              <w:jc w:val="left"/>
              <w:rPr>
                <w:sz w:val="21"/>
              </w:rPr>
            </w:pPr>
            <w:r>
              <w:rPr>
                <w:spacing w:val="-10"/>
                <w:sz w:val="21"/>
              </w:rPr>
              <w:t>2</w:t>
            </w:r>
          </w:p>
        </w:tc>
        <w:tc>
          <w:tcPr>
            <w:tcW w:w="7593" w:type="dxa"/>
          </w:tcPr>
          <w:p w:rsidR="003F5784" w14:paraId="6BEC1FF1" w14:textId="77777777">
            <w:pPr>
              <w:pStyle w:val="TableParagraph"/>
              <w:ind w:right="382"/>
              <w:rPr>
                <w:sz w:val="21"/>
              </w:rPr>
            </w:pPr>
            <w:r>
              <w:rPr>
                <w:sz w:val="21"/>
              </w:rPr>
              <w:t>Percentage</w:t>
            </w:r>
            <w:r>
              <w:rPr>
                <w:spacing w:val="-6"/>
                <w:sz w:val="21"/>
              </w:rPr>
              <w:t xml:space="preserve"> </w:t>
            </w:r>
            <w:r>
              <w:rPr>
                <w:sz w:val="21"/>
              </w:rPr>
              <w:t>of</w:t>
            </w:r>
            <w:r>
              <w:rPr>
                <w:spacing w:val="-5"/>
                <w:sz w:val="21"/>
              </w:rPr>
              <w:t xml:space="preserve"> </w:t>
            </w:r>
            <w:r>
              <w:rPr>
                <w:sz w:val="21"/>
              </w:rPr>
              <w:t>persons</w:t>
            </w:r>
            <w:r>
              <w:rPr>
                <w:spacing w:val="-5"/>
                <w:sz w:val="21"/>
              </w:rPr>
              <w:t xml:space="preserve"> </w:t>
            </w:r>
            <w:r>
              <w:rPr>
                <w:sz w:val="21"/>
              </w:rPr>
              <w:t>aged</w:t>
            </w:r>
            <w:r>
              <w:rPr>
                <w:spacing w:val="-5"/>
                <w:sz w:val="21"/>
              </w:rPr>
              <w:t xml:space="preserve"> </w:t>
            </w:r>
            <w:r>
              <w:rPr>
                <w:sz w:val="21"/>
              </w:rPr>
              <w:t>25+</w:t>
            </w:r>
            <w:r>
              <w:rPr>
                <w:spacing w:val="-6"/>
                <w:sz w:val="21"/>
              </w:rPr>
              <w:t xml:space="preserve"> </w:t>
            </w:r>
            <w:r>
              <w:rPr>
                <w:sz w:val="21"/>
              </w:rPr>
              <w:t>with</w:t>
            </w:r>
            <w:r>
              <w:rPr>
                <w:spacing w:val="-5"/>
                <w:sz w:val="21"/>
              </w:rPr>
              <w:t xml:space="preserve"> </w:t>
            </w:r>
            <w:r>
              <w:rPr>
                <w:sz w:val="21"/>
              </w:rPr>
              <w:t>a</w:t>
            </w:r>
            <w:r>
              <w:rPr>
                <w:spacing w:val="-5"/>
                <w:sz w:val="21"/>
              </w:rPr>
              <w:t xml:space="preserve"> </w:t>
            </w:r>
            <w:r>
              <w:rPr>
                <w:sz w:val="21"/>
              </w:rPr>
              <w:t>college</w:t>
            </w:r>
            <w:r>
              <w:rPr>
                <w:spacing w:val="-5"/>
                <w:sz w:val="21"/>
              </w:rPr>
              <w:t xml:space="preserve"> </w:t>
            </w:r>
            <w:r>
              <w:rPr>
                <w:sz w:val="21"/>
              </w:rPr>
              <w:t>degree</w:t>
            </w:r>
            <w:r>
              <w:rPr>
                <w:spacing w:val="-5"/>
                <w:sz w:val="21"/>
              </w:rPr>
              <w:t xml:space="preserve"> </w:t>
            </w:r>
            <w:r>
              <w:rPr>
                <w:sz w:val="21"/>
              </w:rPr>
              <w:t>&gt;</w:t>
            </w:r>
            <w:r>
              <w:rPr>
                <w:spacing w:val="-6"/>
                <w:sz w:val="21"/>
              </w:rPr>
              <w:t xml:space="preserve"> </w:t>
            </w:r>
            <w:r>
              <w:rPr>
                <w:spacing w:val="-4"/>
                <w:sz w:val="21"/>
              </w:rPr>
              <w:t>19.1</w:t>
            </w:r>
          </w:p>
        </w:tc>
        <w:tc>
          <w:tcPr>
            <w:tcW w:w="1499" w:type="dxa"/>
          </w:tcPr>
          <w:p w:rsidR="003F5784" w14:paraId="5C925F7A" w14:textId="77777777">
            <w:pPr>
              <w:pStyle w:val="TableParagraph"/>
              <w:ind w:right="647"/>
              <w:rPr>
                <w:sz w:val="21"/>
              </w:rPr>
            </w:pPr>
            <w:r>
              <w:rPr>
                <w:spacing w:val="-5"/>
                <w:sz w:val="21"/>
              </w:rPr>
              <w:t>25</w:t>
            </w:r>
          </w:p>
        </w:tc>
        <w:tc>
          <w:tcPr>
            <w:tcW w:w="2090" w:type="dxa"/>
          </w:tcPr>
          <w:p w:rsidR="003F5784" w14:paraId="7665C021" w14:textId="77777777">
            <w:pPr>
              <w:pStyle w:val="TableParagraph"/>
              <w:ind w:right="116"/>
              <w:rPr>
                <w:sz w:val="21"/>
              </w:rPr>
            </w:pPr>
            <w:r>
              <w:rPr>
                <w:spacing w:val="-2"/>
                <w:sz w:val="21"/>
              </w:rPr>
              <w:t>516,247</w:t>
            </w:r>
          </w:p>
        </w:tc>
      </w:tr>
      <w:tr w14:paraId="4B3B3386" w14:textId="77777777">
        <w:tblPrEx>
          <w:tblW w:w="0" w:type="auto"/>
          <w:tblInd w:w="482" w:type="dxa"/>
          <w:tblLayout w:type="fixed"/>
          <w:tblCellMar>
            <w:left w:w="0" w:type="dxa"/>
            <w:right w:w="0" w:type="dxa"/>
          </w:tblCellMar>
          <w:tblLook w:val="01E0"/>
        </w:tblPrEx>
        <w:trPr>
          <w:trHeight w:val="288"/>
        </w:trPr>
        <w:tc>
          <w:tcPr>
            <w:tcW w:w="2801" w:type="dxa"/>
            <w:tcBorders>
              <w:bottom w:val="single" w:sz="18" w:space="0" w:color="800000"/>
            </w:tcBorders>
          </w:tcPr>
          <w:p w:rsidR="003F5784" w14:paraId="702E67DA" w14:textId="77777777">
            <w:pPr>
              <w:pStyle w:val="TableParagraph"/>
              <w:ind w:left="120"/>
              <w:jc w:val="left"/>
              <w:rPr>
                <w:sz w:val="21"/>
              </w:rPr>
            </w:pPr>
            <w:r>
              <w:rPr>
                <w:spacing w:val="-4"/>
                <w:sz w:val="21"/>
              </w:rPr>
              <w:t>Mean</w:t>
            </w:r>
          </w:p>
        </w:tc>
        <w:tc>
          <w:tcPr>
            <w:tcW w:w="7593" w:type="dxa"/>
            <w:tcBorders>
              <w:bottom w:val="single" w:sz="18" w:space="0" w:color="800000"/>
            </w:tcBorders>
          </w:tcPr>
          <w:p w:rsidR="003F5784" w14:paraId="3F530623" w14:textId="77777777">
            <w:pPr>
              <w:pStyle w:val="TableParagraph"/>
              <w:ind w:right="382"/>
              <w:rPr>
                <w:sz w:val="21"/>
              </w:rPr>
            </w:pPr>
            <w:r>
              <w:rPr>
                <w:spacing w:val="-10"/>
                <w:sz w:val="21"/>
              </w:rPr>
              <w:t>†</w:t>
            </w:r>
          </w:p>
        </w:tc>
        <w:tc>
          <w:tcPr>
            <w:tcW w:w="1499" w:type="dxa"/>
            <w:tcBorders>
              <w:bottom w:val="single" w:sz="18" w:space="0" w:color="800000"/>
            </w:tcBorders>
          </w:tcPr>
          <w:p w:rsidR="003F5784" w14:paraId="6F1F54F0" w14:textId="77777777">
            <w:pPr>
              <w:pStyle w:val="TableParagraph"/>
              <w:ind w:right="647"/>
              <w:rPr>
                <w:sz w:val="21"/>
              </w:rPr>
            </w:pPr>
            <w:r>
              <w:rPr>
                <w:spacing w:val="-10"/>
                <w:sz w:val="21"/>
              </w:rPr>
              <w:t>†</w:t>
            </w:r>
          </w:p>
        </w:tc>
        <w:tc>
          <w:tcPr>
            <w:tcW w:w="2090" w:type="dxa"/>
            <w:tcBorders>
              <w:bottom w:val="single" w:sz="18" w:space="0" w:color="800000"/>
            </w:tcBorders>
          </w:tcPr>
          <w:p w:rsidR="003F5784" w14:paraId="200A6E6E" w14:textId="77777777">
            <w:pPr>
              <w:pStyle w:val="TableParagraph"/>
              <w:ind w:right="116"/>
              <w:rPr>
                <w:sz w:val="21"/>
              </w:rPr>
            </w:pPr>
            <w:r>
              <w:rPr>
                <w:spacing w:val="-2"/>
                <w:sz w:val="21"/>
              </w:rPr>
              <w:t>510,949</w:t>
            </w:r>
          </w:p>
        </w:tc>
      </w:tr>
      <w:tr w14:paraId="7FD50019" w14:textId="77777777">
        <w:tblPrEx>
          <w:tblW w:w="0" w:type="auto"/>
          <w:tblInd w:w="482" w:type="dxa"/>
          <w:tblLayout w:type="fixed"/>
          <w:tblCellMar>
            <w:left w:w="0" w:type="dxa"/>
            <w:right w:w="0" w:type="dxa"/>
          </w:tblCellMar>
          <w:tblLook w:val="01E0"/>
        </w:tblPrEx>
        <w:trPr>
          <w:trHeight w:val="237"/>
        </w:trPr>
        <w:tc>
          <w:tcPr>
            <w:tcW w:w="2801" w:type="dxa"/>
            <w:tcBorders>
              <w:top w:val="single" w:sz="18" w:space="0" w:color="800000"/>
            </w:tcBorders>
          </w:tcPr>
          <w:p w:rsidR="003F5784" w14:paraId="3934730C" w14:textId="77777777">
            <w:pPr>
              <w:pStyle w:val="TableParagraph"/>
              <w:spacing w:before="0" w:line="218" w:lineRule="exact"/>
              <w:ind w:left="120"/>
              <w:jc w:val="left"/>
              <w:rPr>
                <w:sz w:val="21"/>
              </w:rPr>
            </w:pPr>
            <w:r>
              <w:rPr>
                <w:sz w:val="21"/>
              </w:rPr>
              <w:t>†</w:t>
            </w:r>
            <w:r>
              <w:rPr>
                <w:spacing w:val="-4"/>
                <w:sz w:val="21"/>
              </w:rPr>
              <w:t xml:space="preserve"> </w:t>
            </w:r>
            <w:r>
              <w:rPr>
                <w:sz w:val="21"/>
              </w:rPr>
              <w:t>Not</w:t>
            </w:r>
            <w:r>
              <w:rPr>
                <w:spacing w:val="-3"/>
                <w:sz w:val="21"/>
              </w:rPr>
              <w:t xml:space="preserve"> </w:t>
            </w:r>
            <w:r>
              <w:rPr>
                <w:spacing w:val="-2"/>
                <w:sz w:val="21"/>
              </w:rPr>
              <w:t>applicable.</w:t>
            </w:r>
          </w:p>
        </w:tc>
        <w:tc>
          <w:tcPr>
            <w:tcW w:w="7593" w:type="dxa"/>
            <w:tcBorders>
              <w:top w:val="single" w:sz="18" w:space="0" w:color="800000"/>
            </w:tcBorders>
          </w:tcPr>
          <w:p w:rsidR="003F5784" w14:paraId="2C2E6542" w14:textId="77777777">
            <w:pPr>
              <w:pStyle w:val="TableParagraph"/>
              <w:spacing w:before="0"/>
              <w:jc w:val="left"/>
              <w:rPr>
                <w:sz w:val="16"/>
              </w:rPr>
            </w:pPr>
          </w:p>
        </w:tc>
        <w:tc>
          <w:tcPr>
            <w:tcW w:w="1499" w:type="dxa"/>
            <w:tcBorders>
              <w:top w:val="single" w:sz="18" w:space="0" w:color="800000"/>
            </w:tcBorders>
          </w:tcPr>
          <w:p w:rsidR="003F5784" w14:paraId="0AEF5CE9" w14:textId="77777777">
            <w:pPr>
              <w:pStyle w:val="TableParagraph"/>
              <w:spacing w:before="0"/>
              <w:jc w:val="left"/>
              <w:rPr>
                <w:sz w:val="16"/>
              </w:rPr>
            </w:pPr>
          </w:p>
        </w:tc>
        <w:tc>
          <w:tcPr>
            <w:tcW w:w="2090" w:type="dxa"/>
            <w:tcBorders>
              <w:top w:val="single" w:sz="18" w:space="0" w:color="800000"/>
            </w:tcBorders>
          </w:tcPr>
          <w:p w:rsidR="003F5784" w14:paraId="1BCC1882" w14:textId="77777777">
            <w:pPr>
              <w:pStyle w:val="TableParagraph"/>
              <w:spacing w:before="0"/>
              <w:jc w:val="left"/>
              <w:rPr>
                <w:sz w:val="16"/>
              </w:rPr>
            </w:pPr>
          </w:p>
        </w:tc>
      </w:tr>
    </w:tbl>
    <w:p w:rsidR="003F5784" w14:paraId="2971CD39" w14:textId="77777777">
      <w:pPr>
        <w:pStyle w:val="BodyText"/>
        <w:spacing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0DDACD37" w14:textId="77777777">
      <w:pPr>
        <w:spacing w:line="232" w:lineRule="auto"/>
        <w:sectPr>
          <w:pgSz w:w="15840" w:h="12240" w:orient="landscape"/>
          <w:pgMar w:top="480" w:right="440" w:bottom="460" w:left="460" w:header="284" w:footer="275" w:gutter="0"/>
          <w:cols w:space="720"/>
        </w:sectPr>
      </w:pPr>
    </w:p>
    <w:p w:rsidR="003F5784" w14:paraId="1DFF71BA" w14:textId="77777777">
      <w:pPr>
        <w:pStyle w:val="BodyText"/>
        <w:rPr>
          <w:sz w:val="18"/>
        </w:rPr>
      </w:pPr>
    </w:p>
    <w:p w:rsidR="003F5784" w14:paraId="6BBAAFA1" w14:textId="77777777">
      <w:pPr>
        <w:pStyle w:val="BodyText"/>
        <w:spacing w:before="90"/>
        <w:rPr>
          <w:sz w:val="18"/>
        </w:rPr>
      </w:pPr>
    </w:p>
    <w:p w:rsidR="003F5784" w14:paraId="73F0A321" w14:textId="77777777">
      <w:pPr>
        <w:ind w:left="3415"/>
        <w:rPr>
          <w:sz w:val="18"/>
        </w:rPr>
      </w:pPr>
      <w:hyperlink r:id="rId202">
        <w:r>
          <w:rPr>
            <w:spacing w:val="-2"/>
            <w:w w:val="105"/>
            <w:sz w:val="18"/>
          </w:rPr>
          <w:t>http://nces.ed.gov/nationsreportcard/tdw/sample_design/2022/stratification_for_northeast_nonmetropolitan_noncertainty_primary_sampling_units.aspx</w:t>
        </w:r>
      </w:hyperlink>
    </w:p>
    <w:p w:rsidR="003F5784" w14:paraId="71AF1BB3" w14:textId="77777777">
      <w:pPr>
        <w:pStyle w:val="BodyText"/>
        <w:spacing w:before="1"/>
        <w:rPr>
          <w:sz w:val="16"/>
        </w:rPr>
      </w:pPr>
      <w:r>
        <w:rPr>
          <w:noProof/>
        </w:rPr>
        <mc:AlternateContent>
          <mc:Choice Requires="wps">
            <w:drawing>
              <wp:anchor distT="0" distB="0" distL="0" distR="0" simplePos="0" relativeHeight="251892736" behindDoc="1" locked="0" layoutInCell="1" allowOverlap="1">
                <wp:simplePos x="0" y="0"/>
                <wp:positionH relativeFrom="page">
                  <wp:posOffset>361937</wp:posOffset>
                </wp:positionH>
                <wp:positionV relativeFrom="paragraph">
                  <wp:posOffset>132884</wp:posOffset>
                </wp:positionV>
                <wp:extent cx="9339580" cy="8890"/>
                <wp:effectExtent l="0" t="0" r="0" b="0"/>
                <wp:wrapTopAndBottom/>
                <wp:docPr id="227" name="Graphic 227"/>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293"/>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27" o:spid="_x0000_s1116" style="width:735.4pt;height:0.7pt;margin-top:10.45pt;margin-left:28.5pt;mso-position-horizontal-relative:page;mso-wrap-distance-bottom:0;mso-wrap-distance-left:0;mso-wrap-distance-right:0;mso-wrap-distance-top:0;mso-wrap-style:square;position:absolute;visibility:visible;v-text-anchor:top;z-index:-251422720" coordsize="9339580,8890" path="m9338970,l9335110,l,,,8280l8280,8293l9335110,8280l9338970,8280l9338970,xe" fillcolor="gray" stroked="f">
                <v:path arrowok="t"/>
                <w10:wrap type="topAndBottom"/>
              </v:shape>
            </w:pict>
          </mc:Fallback>
        </mc:AlternateContent>
      </w:r>
    </w:p>
    <w:p w:rsidR="003F5784" w14:paraId="65C6A5D3" w14:textId="77777777">
      <w:pPr>
        <w:pStyle w:val="BodyText"/>
        <w:rPr>
          <w:sz w:val="18"/>
        </w:rPr>
      </w:pPr>
    </w:p>
    <w:p w:rsidR="003F5784" w14:paraId="10D47CFA" w14:textId="77777777">
      <w:pPr>
        <w:pStyle w:val="BodyText"/>
        <w:spacing w:before="193"/>
        <w:rPr>
          <w:sz w:val="18"/>
        </w:rPr>
      </w:pPr>
    </w:p>
    <w:p w:rsidR="003F5784" w14:paraId="42CB36D2" w14:textId="3049A8F6">
      <w:pPr>
        <w:pStyle w:val="Heading1"/>
        <w:spacing w:line="244" w:lineRule="auto"/>
        <w:ind w:right="1264"/>
      </w:pPr>
      <w:r>
        <w:t>NAEP</w:t>
      </w:r>
      <w:r>
        <w:rPr>
          <w:spacing w:val="-11"/>
        </w:rPr>
        <w:t xml:space="preserve"> </w:t>
      </w:r>
      <w:r>
        <w:t>Technical Documentation</w:t>
      </w:r>
      <w:r w:rsidR="004C039D">
        <w:t xml:space="preserve"> </w:t>
      </w:r>
      <w:r>
        <w:t>Stratification for South Metropolitan Noncertainty Primary Sampling Units</w:t>
      </w:r>
    </w:p>
    <w:p w:rsidR="003F5784" w14:paraId="0902F261" w14:textId="77777777">
      <w:pPr>
        <w:pStyle w:val="BodyText"/>
        <w:spacing w:before="287" w:line="232" w:lineRule="auto"/>
        <w:ind w:left="109" w:right="179"/>
      </w:pPr>
      <w:r>
        <w:t>The</w:t>
      </w:r>
      <w:r>
        <w:rPr>
          <w:spacing w:val="-6"/>
        </w:rPr>
        <w:t xml:space="preserve"> </w:t>
      </w:r>
      <w:r>
        <w:t>following</w:t>
      </w:r>
      <w:r>
        <w:rPr>
          <w:spacing w:val="-6"/>
        </w:rPr>
        <w:t xml:space="preserve"> </w:t>
      </w:r>
      <w:r>
        <w:t>table</w:t>
      </w:r>
      <w:r>
        <w:rPr>
          <w:spacing w:val="-6"/>
        </w:rPr>
        <w:t xml:space="preserve"> </w:t>
      </w:r>
      <w:r>
        <w:t>provides</w:t>
      </w:r>
      <w:r>
        <w:rPr>
          <w:spacing w:val="-6"/>
        </w:rPr>
        <w:t xml:space="preserve"> </w:t>
      </w:r>
      <w:r>
        <w:t>the</w:t>
      </w:r>
      <w:r>
        <w:rPr>
          <w:spacing w:val="-6"/>
        </w:rPr>
        <w:t xml:space="preserve"> </w:t>
      </w:r>
      <w:r>
        <w:t>definition,</w:t>
      </w:r>
      <w:r>
        <w:rPr>
          <w:spacing w:val="-6"/>
        </w:rPr>
        <w:t xml:space="preserve"> </w:t>
      </w:r>
      <w:r>
        <w:t>number</w:t>
      </w:r>
      <w:r>
        <w:rPr>
          <w:spacing w:val="-6"/>
        </w:rPr>
        <w:t xml:space="preserve"> </w:t>
      </w:r>
      <w:r>
        <w:t>of</w:t>
      </w:r>
      <w:r>
        <w:rPr>
          <w:spacing w:val="-6"/>
        </w:rPr>
        <w:t xml:space="preserve"> </w:t>
      </w:r>
      <w:r>
        <w:t>PSUs,</w:t>
      </w:r>
      <w:r>
        <w:rPr>
          <w:spacing w:val="-6"/>
        </w:rPr>
        <w:t xml:space="preserve"> </w:t>
      </w:r>
      <w:r>
        <w:t>and</w:t>
      </w:r>
      <w:r>
        <w:rPr>
          <w:spacing w:val="-6"/>
        </w:rPr>
        <w:t xml:space="preserve"> </w:t>
      </w:r>
      <w:r>
        <w:t>size</w:t>
      </w:r>
      <w:r>
        <w:rPr>
          <w:spacing w:val="-6"/>
        </w:rPr>
        <w:t xml:space="preserve"> </w:t>
      </w:r>
      <w:r>
        <w:t>of</w:t>
      </w:r>
      <w:r>
        <w:rPr>
          <w:spacing w:val="-6"/>
        </w:rPr>
        <w:t xml:space="preserve"> </w:t>
      </w:r>
      <w:r>
        <w:t>each</w:t>
      </w:r>
      <w:r>
        <w:rPr>
          <w:spacing w:val="-6"/>
        </w:rPr>
        <w:t xml:space="preserve"> </w:t>
      </w:r>
      <w:r>
        <w:t>noncertainty</w:t>
      </w:r>
      <w:r>
        <w:rPr>
          <w:spacing w:val="-6"/>
        </w:rPr>
        <w:t xml:space="preserve"> </w:t>
      </w:r>
      <w:r>
        <w:t>PSU</w:t>
      </w:r>
      <w:r>
        <w:rPr>
          <w:spacing w:val="-6"/>
        </w:rPr>
        <w:t xml:space="preserve"> </w:t>
      </w:r>
      <w:r>
        <w:t>stratum</w:t>
      </w:r>
      <w:r>
        <w:rPr>
          <w:spacing w:val="-6"/>
        </w:rPr>
        <w:t xml:space="preserve"> </w:t>
      </w:r>
      <w:r>
        <w:t>in</w:t>
      </w:r>
      <w:r>
        <w:rPr>
          <w:spacing w:val="-6"/>
        </w:rPr>
        <w:t xml:space="preserve"> </w:t>
      </w:r>
      <w:r>
        <w:t>the</w:t>
      </w:r>
      <w:r>
        <w:rPr>
          <w:spacing w:val="-6"/>
        </w:rPr>
        <w:t xml:space="preserve"> </w:t>
      </w:r>
      <w:r>
        <w:t>South</w:t>
      </w:r>
      <w:r>
        <w:rPr>
          <w:spacing w:val="-6"/>
        </w:rPr>
        <w:t xml:space="preserve"> </w:t>
      </w:r>
      <w:r>
        <w:t>metropolitan</w:t>
      </w:r>
      <w:r>
        <w:rPr>
          <w:spacing w:val="-6"/>
        </w:rPr>
        <w:t xml:space="preserve"> </w:t>
      </w:r>
      <w:r>
        <w:t>primary</w:t>
      </w:r>
      <w:r>
        <w:rPr>
          <w:spacing w:val="-6"/>
        </w:rPr>
        <w:t xml:space="preserve"> </w:t>
      </w:r>
      <w:r>
        <w:t>stratum.</w:t>
      </w:r>
      <w:r>
        <w:rPr>
          <w:spacing w:val="-6"/>
        </w:rPr>
        <w:t xml:space="preserve"> </w:t>
      </w:r>
      <w:r>
        <w:t>Columns</w:t>
      </w:r>
      <w:r>
        <w:rPr>
          <w:spacing w:val="-6"/>
        </w:rPr>
        <w:t xml:space="preserve"> </w:t>
      </w:r>
      <w:r>
        <w:t>2</w:t>
      </w:r>
      <w:r>
        <w:rPr>
          <w:spacing w:val="-6"/>
        </w:rPr>
        <w:t xml:space="preserve"> </w:t>
      </w:r>
      <w:r>
        <w:t>through</w:t>
      </w:r>
      <w:r>
        <w:rPr>
          <w:spacing w:val="-6"/>
        </w:rPr>
        <w:t xml:space="preserve"> </w:t>
      </w:r>
      <w:r>
        <w:t>6</w:t>
      </w:r>
      <w:r>
        <w:rPr>
          <w:spacing w:val="-6"/>
        </w:rPr>
        <w:t xml:space="preserve"> </w:t>
      </w:r>
      <w:r>
        <w:t>show the characteristics used to define the strata along with their respective cutoffs.</w:t>
      </w:r>
      <w:r>
        <w:rPr>
          <w:spacing w:val="-3"/>
        </w:rPr>
        <w:t xml:space="preserve"> </w:t>
      </w:r>
      <w:r>
        <w:t>The size of each stratum is given in the last column and is in terms of the number of youths (persons 17 years of age and younger).</w:t>
      </w:r>
    </w:p>
    <w:p w:rsidR="003F5784" w14:paraId="51192FC8" w14:textId="77777777">
      <w:pPr>
        <w:pStyle w:val="BodyText"/>
        <w:spacing w:before="92"/>
      </w:pPr>
    </w:p>
    <w:p w:rsidR="003F5784" w14:paraId="4E4ADC81" w14:textId="77777777">
      <w:pPr>
        <w:pStyle w:val="Heading2"/>
      </w:pPr>
      <w:r>
        <w:t>Stratification</w:t>
      </w:r>
      <w:r>
        <w:rPr>
          <w:spacing w:val="-9"/>
        </w:rPr>
        <w:t xml:space="preserve"> </w:t>
      </w:r>
      <w:r>
        <w:t>for</w:t>
      </w:r>
      <w:r>
        <w:rPr>
          <w:spacing w:val="-12"/>
        </w:rPr>
        <w:t xml:space="preserve"> </w:t>
      </w:r>
      <w:r>
        <w:t>South</w:t>
      </w:r>
      <w:r>
        <w:rPr>
          <w:spacing w:val="-9"/>
        </w:rPr>
        <w:t xml:space="preserve"> </w:t>
      </w:r>
      <w:r>
        <w:t>metropolitan</w:t>
      </w:r>
      <w:r>
        <w:rPr>
          <w:spacing w:val="-9"/>
        </w:rPr>
        <w:t xml:space="preserve"> </w:t>
      </w:r>
      <w:r>
        <w:t>noncertainty</w:t>
      </w:r>
      <w:r>
        <w:rPr>
          <w:spacing w:val="-8"/>
        </w:rPr>
        <w:t xml:space="preserve"> </w:t>
      </w:r>
      <w:r>
        <w:t>primary</w:t>
      </w:r>
      <w:r>
        <w:rPr>
          <w:spacing w:val="-9"/>
        </w:rPr>
        <w:t xml:space="preserve"> </w:t>
      </w:r>
      <w:r>
        <w:t>sampling</w:t>
      </w:r>
      <w:r>
        <w:rPr>
          <w:spacing w:val="-9"/>
        </w:rPr>
        <w:t xml:space="preserve"> </w:t>
      </w:r>
      <w:r>
        <w:t>units</w:t>
      </w:r>
      <w:r>
        <w:rPr>
          <w:spacing w:val="-8"/>
        </w:rPr>
        <w:t xml:space="preserve"> </w:t>
      </w:r>
      <w:r>
        <w:t>(PSUs),</w:t>
      </w:r>
      <w:r>
        <w:rPr>
          <w:spacing w:val="-9"/>
        </w:rPr>
        <w:t xml:space="preserve"> </w:t>
      </w:r>
      <w:r>
        <w:t>by</w:t>
      </w:r>
      <w:r>
        <w:rPr>
          <w:spacing w:val="-9"/>
        </w:rPr>
        <w:t xml:space="preserve"> </w:t>
      </w:r>
      <w:r>
        <w:t>stratum:</w:t>
      </w:r>
      <w:r>
        <w:rPr>
          <w:spacing w:val="-8"/>
        </w:rPr>
        <w:t xml:space="preserve"> </w:t>
      </w:r>
      <w:r>
        <w:rPr>
          <w:spacing w:val="-4"/>
        </w:rPr>
        <w:t>2022</w:t>
      </w:r>
    </w:p>
    <w:p w:rsidR="003F5784" w14:paraId="28FA1A54"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958"/>
        <w:gridCol w:w="1552"/>
        <w:gridCol w:w="1407"/>
        <w:gridCol w:w="2876"/>
        <w:gridCol w:w="2732"/>
        <w:gridCol w:w="2546"/>
        <w:gridCol w:w="719"/>
        <w:gridCol w:w="1201"/>
      </w:tblGrid>
      <w:tr w14:paraId="45976E98" w14:textId="77777777">
        <w:tblPrEx>
          <w:tblW w:w="0" w:type="auto"/>
          <w:tblInd w:w="482" w:type="dxa"/>
          <w:tblLayout w:type="fixed"/>
          <w:tblCellMar>
            <w:left w:w="0" w:type="dxa"/>
            <w:right w:w="0" w:type="dxa"/>
          </w:tblCellMar>
          <w:tblLook w:val="01E0"/>
        </w:tblPrEx>
        <w:trPr>
          <w:trHeight w:val="502"/>
        </w:trPr>
        <w:tc>
          <w:tcPr>
            <w:tcW w:w="958" w:type="dxa"/>
            <w:tcBorders>
              <w:top w:val="single" w:sz="18" w:space="0" w:color="800000"/>
              <w:bottom w:val="single" w:sz="18" w:space="0" w:color="800000"/>
            </w:tcBorders>
          </w:tcPr>
          <w:p w:rsidR="003F5784" w14:paraId="1DD0DDB6" w14:textId="77777777">
            <w:pPr>
              <w:pStyle w:val="TableParagraph"/>
              <w:spacing w:before="2"/>
              <w:jc w:val="left"/>
              <w:rPr>
                <w:b/>
                <w:sz w:val="21"/>
              </w:rPr>
            </w:pPr>
          </w:p>
          <w:p w:rsidR="003F5784" w14:paraId="70D656BF" w14:textId="77777777">
            <w:pPr>
              <w:pStyle w:val="TableParagraph"/>
              <w:spacing w:before="0" w:line="238" w:lineRule="exact"/>
              <w:ind w:left="120"/>
              <w:jc w:val="left"/>
              <w:rPr>
                <w:sz w:val="21"/>
              </w:rPr>
            </w:pPr>
            <w:r>
              <w:rPr>
                <w:spacing w:val="-2"/>
                <w:sz w:val="21"/>
              </w:rPr>
              <w:t>Stratum</w:t>
            </w:r>
          </w:p>
        </w:tc>
        <w:tc>
          <w:tcPr>
            <w:tcW w:w="1552" w:type="dxa"/>
            <w:tcBorders>
              <w:top w:val="single" w:sz="18" w:space="0" w:color="800000"/>
              <w:bottom w:val="single" w:sz="18" w:space="0" w:color="800000"/>
            </w:tcBorders>
          </w:tcPr>
          <w:p w:rsidR="003F5784" w14:paraId="69CAD01A" w14:textId="77777777">
            <w:pPr>
              <w:pStyle w:val="TableParagraph"/>
              <w:spacing w:before="14" w:line="234" w:lineRule="exact"/>
              <w:ind w:left="697" w:right="138" w:firstLine="34"/>
              <w:jc w:val="left"/>
              <w:rPr>
                <w:sz w:val="21"/>
              </w:rPr>
            </w:pPr>
            <w:r>
              <w:rPr>
                <w:spacing w:val="-2"/>
                <w:sz w:val="21"/>
              </w:rPr>
              <w:t>Primary stratifier</w:t>
            </w:r>
          </w:p>
        </w:tc>
        <w:tc>
          <w:tcPr>
            <w:tcW w:w="1407" w:type="dxa"/>
            <w:tcBorders>
              <w:top w:val="single" w:sz="18" w:space="0" w:color="800000"/>
              <w:bottom w:val="single" w:sz="18" w:space="0" w:color="800000"/>
            </w:tcBorders>
          </w:tcPr>
          <w:p w:rsidR="003F5784" w14:paraId="249E52E2" w14:textId="77777777">
            <w:pPr>
              <w:pStyle w:val="TableParagraph"/>
              <w:spacing w:before="14" w:line="234" w:lineRule="exact"/>
              <w:ind w:left="580" w:right="112" w:hanging="174"/>
              <w:jc w:val="left"/>
              <w:rPr>
                <w:sz w:val="21"/>
              </w:rPr>
            </w:pPr>
            <w:r>
              <w:rPr>
                <w:spacing w:val="-2"/>
                <w:sz w:val="21"/>
              </w:rPr>
              <w:t>Secondary stratifier</w:t>
            </w:r>
          </w:p>
        </w:tc>
        <w:tc>
          <w:tcPr>
            <w:tcW w:w="2876" w:type="dxa"/>
            <w:tcBorders>
              <w:top w:val="single" w:sz="18" w:space="0" w:color="800000"/>
              <w:bottom w:val="single" w:sz="18" w:space="0" w:color="800000"/>
            </w:tcBorders>
          </w:tcPr>
          <w:p w:rsidR="003F5784" w14:paraId="68DE6EFB" w14:textId="77777777">
            <w:pPr>
              <w:pStyle w:val="TableParagraph"/>
              <w:spacing w:before="2"/>
              <w:jc w:val="left"/>
              <w:rPr>
                <w:b/>
                <w:sz w:val="21"/>
              </w:rPr>
            </w:pPr>
          </w:p>
          <w:p w:rsidR="003F5784" w14:paraId="38548CF1" w14:textId="77777777">
            <w:pPr>
              <w:pStyle w:val="TableParagraph"/>
              <w:spacing w:before="0" w:line="238" w:lineRule="exact"/>
              <w:ind w:right="186"/>
              <w:rPr>
                <w:sz w:val="21"/>
              </w:rPr>
            </w:pPr>
            <w:r>
              <w:rPr>
                <w:spacing w:val="-2"/>
                <w:sz w:val="21"/>
              </w:rPr>
              <w:t>Tertiary</w:t>
            </w:r>
            <w:r>
              <w:rPr>
                <w:spacing w:val="-7"/>
                <w:sz w:val="21"/>
              </w:rPr>
              <w:t xml:space="preserve"> </w:t>
            </w:r>
            <w:r>
              <w:rPr>
                <w:spacing w:val="-2"/>
                <w:sz w:val="21"/>
              </w:rPr>
              <w:t>stratifier</w:t>
            </w:r>
          </w:p>
        </w:tc>
        <w:tc>
          <w:tcPr>
            <w:tcW w:w="2732" w:type="dxa"/>
            <w:tcBorders>
              <w:top w:val="single" w:sz="18" w:space="0" w:color="800000"/>
              <w:bottom w:val="single" w:sz="18" w:space="0" w:color="800000"/>
            </w:tcBorders>
          </w:tcPr>
          <w:p w:rsidR="003F5784" w14:paraId="1EAFD9C3" w14:textId="77777777">
            <w:pPr>
              <w:pStyle w:val="TableParagraph"/>
              <w:spacing w:before="2"/>
              <w:jc w:val="left"/>
              <w:rPr>
                <w:b/>
                <w:sz w:val="21"/>
              </w:rPr>
            </w:pPr>
          </w:p>
          <w:p w:rsidR="003F5784" w14:paraId="5B41CA02" w14:textId="77777777">
            <w:pPr>
              <w:pStyle w:val="TableParagraph"/>
              <w:spacing w:before="0" w:line="238" w:lineRule="exact"/>
              <w:ind w:right="142"/>
              <w:rPr>
                <w:sz w:val="21"/>
              </w:rPr>
            </w:pPr>
            <w:r>
              <w:rPr>
                <w:sz w:val="21"/>
              </w:rPr>
              <w:t>Quaternary</w:t>
            </w:r>
            <w:r>
              <w:rPr>
                <w:spacing w:val="-11"/>
                <w:sz w:val="21"/>
              </w:rPr>
              <w:t xml:space="preserve"> </w:t>
            </w:r>
            <w:r>
              <w:rPr>
                <w:spacing w:val="-2"/>
                <w:sz w:val="21"/>
              </w:rPr>
              <w:t>stratifier</w:t>
            </w:r>
          </w:p>
        </w:tc>
        <w:tc>
          <w:tcPr>
            <w:tcW w:w="2546" w:type="dxa"/>
            <w:tcBorders>
              <w:top w:val="single" w:sz="18" w:space="0" w:color="800000"/>
              <w:bottom w:val="single" w:sz="18" w:space="0" w:color="800000"/>
            </w:tcBorders>
          </w:tcPr>
          <w:p w:rsidR="003F5784" w14:paraId="05EF831A" w14:textId="77777777">
            <w:pPr>
              <w:pStyle w:val="TableParagraph"/>
              <w:spacing w:before="2"/>
              <w:jc w:val="left"/>
              <w:rPr>
                <w:b/>
                <w:sz w:val="21"/>
              </w:rPr>
            </w:pPr>
          </w:p>
          <w:p w:rsidR="003F5784" w14:paraId="50851DCA" w14:textId="77777777">
            <w:pPr>
              <w:pStyle w:val="TableParagraph"/>
              <w:spacing w:before="0" w:line="238" w:lineRule="exact"/>
              <w:ind w:right="119"/>
              <w:rPr>
                <w:sz w:val="21"/>
              </w:rPr>
            </w:pPr>
            <w:r>
              <w:rPr>
                <w:sz w:val="21"/>
              </w:rPr>
              <w:t>Quinary</w:t>
            </w:r>
            <w:r>
              <w:rPr>
                <w:spacing w:val="-8"/>
                <w:sz w:val="21"/>
              </w:rPr>
              <w:t xml:space="preserve"> </w:t>
            </w:r>
            <w:r>
              <w:rPr>
                <w:spacing w:val="-2"/>
                <w:sz w:val="21"/>
              </w:rPr>
              <w:t>stratifier</w:t>
            </w:r>
          </w:p>
        </w:tc>
        <w:tc>
          <w:tcPr>
            <w:tcW w:w="719" w:type="dxa"/>
            <w:tcBorders>
              <w:top w:val="single" w:sz="18" w:space="0" w:color="800000"/>
              <w:bottom w:val="single" w:sz="18" w:space="0" w:color="800000"/>
            </w:tcBorders>
          </w:tcPr>
          <w:p w:rsidR="003F5784" w14:paraId="1DD4A1B5" w14:textId="77777777">
            <w:pPr>
              <w:pStyle w:val="TableParagraph"/>
              <w:spacing w:before="2"/>
              <w:jc w:val="left"/>
              <w:rPr>
                <w:b/>
                <w:sz w:val="21"/>
              </w:rPr>
            </w:pPr>
          </w:p>
          <w:p w:rsidR="003F5784" w14:paraId="014C4FA2" w14:textId="77777777">
            <w:pPr>
              <w:pStyle w:val="TableParagraph"/>
              <w:spacing w:before="0" w:line="238" w:lineRule="exact"/>
              <w:ind w:right="140"/>
              <w:rPr>
                <w:sz w:val="21"/>
              </w:rPr>
            </w:pPr>
            <w:r>
              <w:rPr>
                <w:spacing w:val="-4"/>
                <w:sz w:val="21"/>
              </w:rPr>
              <w:t>PSUs</w:t>
            </w:r>
          </w:p>
        </w:tc>
        <w:tc>
          <w:tcPr>
            <w:tcW w:w="1201" w:type="dxa"/>
            <w:tcBorders>
              <w:top w:val="single" w:sz="18" w:space="0" w:color="800000"/>
              <w:bottom w:val="single" w:sz="18" w:space="0" w:color="800000"/>
            </w:tcBorders>
          </w:tcPr>
          <w:p w:rsidR="003F5784" w14:paraId="6797BA23" w14:textId="77777777">
            <w:pPr>
              <w:pStyle w:val="TableParagraph"/>
              <w:spacing w:before="9" w:line="238" w:lineRule="exact"/>
              <w:ind w:right="124"/>
              <w:rPr>
                <w:sz w:val="21"/>
              </w:rPr>
            </w:pPr>
            <w:r>
              <w:rPr>
                <w:sz w:val="21"/>
              </w:rPr>
              <w:t>Measure</w:t>
            </w:r>
            <w:r>
              <w:rPr>
                <w:spacing w:val="-9"/>
                <w:sz w:val="21"/>
              </w:rPr>
              <w:t xml:space="preserve"> </w:t>
            </w:r>
            <w:r>
              <w:rPr>
                <w:spacing w:val="-5"/>
                <w:sz w:val="21"/>
              </w:rPr>
              <w:t>of</w:t>
            </w:r>
          </w:p>
          <w:p w:rsidR="003F5784" w14:paraId="42CCCB13" w14:textId="77777777">
            <w:pPr>
              <w:pStyle w:val="TableParagraph"/>
              <w:spacing w:before="0" w:line="235" w:lineRule="exact"/>
              <w:ind w:right="124"/>
              <w:rPr>
                <w:sz w:val="21"/>
              </w:rPr>
            </w:pPr>
            <w:r>
              <w:rPr>
                <w:spacing w:val="-4"/>
                <w:sz w:val="21"/>
              </w:rPr>
              <w:t>size</w:t>
            </w:r>
          </w:p>
        </w:tc>
      </w:tr>
      <w:tr w14:paraId="3234227C" w14:textId="77777777">
        <w:tblPrEx>
          <w:tblW w:w="0" w:type="auto"/>
          <w:tblInd w:w="482" w:type="dxa"/>
          <w:tblLayout w:type="fixed"/>
          <w:tblCellMar>
            <w:left w:w="0" w:type="dxa"/>
            <w:right w:w="0" w:type="dxa"/>
          </w:tblCellMar>
          <w:tblLook w:val="01E0"/>
        </w:tblPrEx>
        <w:trPr>
          <w:trHeight w:val="278"/>
        </w:trPr>
        <w:tc>
          <w:tcPr>
            <w:tcW w:w="958" w:type="dxa"/>
            <w:tcBorders>
              <w:top w:val="single" w:sz="18" w:space="0" w:color="800000"/>
            </w:tcBorders>
          </w:tcPr>
          <w:p w:rsidR="003F5784" w14:paraId="5D7A9D20" w14:textId="77777777">
            <w:pPr>
              <w:pStyle w:val="TableParagraph"/>
              <w:spacing w:before="9"/>
              <w:ind w:left="370"/>
              <w:jc w:val="left"/>
              <w:rPr>
                <w:b/>
                <w:sz w:val="21"/>
              </w:rPr>
            </w:pPr>
            <w:r>
              <w:rPr>
                <w:b/>
                <w:spacing w:val="-2"/>
                <w:sz w:val="21"/>
              </w:rPr>
              <w:t>Total</w:t>
            </w:r>
          </w:p>
        </w:tc>
        <w:tc>
          <w:tcPr>
            <w:tcW w:w="1552" w:type="dxa"/>
            <w:tcBorders>
              <w:top w:val="single" w:sz="18" w:space="0" w:color="800000"/>
            </w:tcBorders>
          </w:tcPr>
          <w:p w:rsidR="003F5784" w14:paraId="43EAC1A5" w14:textId="77777777">
            <w:pPr>
              <w:pStyle w:val="TableParagraph"/>
              <w:spacing w:before="9"/>
              <w:ind w:right="146"/>
              <w:rPr>
                <w:b/>
                <w:sz w:val="21"/>
              </w:rPr>
            </w:pPr>
            <w:r>
              <w:rPr>
                <w:b/>
                <w:spacing w:val="-10"/>
                <w:sz w:val="21"/>
              </w:rPr>
              <w:t>†</w:t>
            </w:r>
          </w:p>
        </w:tc>
        <w:tc>
          <w:tcPr>
            <w:tcW w:w="1407" w:type="dxa"/>
            <w:tcBorders>
              <w:top w:val="single" w:sz="18" w:space="0" w:color="800000"/>
            </w:tcBorders>
          </w:tcPr>
          <w:p w:rsidR="003F5784" w14:paraId="2013BBCC" w14:textId="77777777">
            <w:pPr>
              <w:pStyle w:val="TableParagraph"/>
              <w:spacing w:before="9"/>
              <w:ind w:right="117"/>
              <w:rPr>
                <w:b/>
                <w:sz w:val="21"/>
              </w:rPr>
            </w:pPr>
            <w:r>
              <w:rPr>
                <w:b/>
                <w:spacing w:val="-10"/>
                <w:sz w:val="21"/>
              </w:rPr>
              <w:t>†</w:t>
            </w:r>
          </w:p>
        </w:tc>
        <w:tc>
          <w:tcPr>
            <w:tcW w:w="2876" w:type="dxa"/>
            <w:tcBorders>
              <w:top w:val="single" w:sz="18" w:space="0" w:color="800000"/>
            </w:tcBorders>
          </w:tcPr>
          <w:p w:rsidR="003F5784" w14:paraId="30184752" w14:textId="77777777">
            <w:pPr>
              <w:pStyle w:val="TableParagraph"/>
              <w:spacing w:before="9"/>
              <w:ind w:right="186"/>
              <w:rPr>
                <w:b/>
                <w:sz w:val="21"/>
              </w:rPr>
            </w:pPr>
            <w:r>
              <w:rPr>
                <w:b/>
                <w:spacing w:val="-10"/>
                <w:sz w:val="21"/>
              </w:rPr>
              <w:t>†</w:t>
            </w:r>
          </w:p>
        </w:tc>
        <w:tc>
          <w:tcPr>
            <w:tcW w:w="2732" w:type="dxa"/>
            <w:tcBorders>
              <w:top w:val="single" w:sz="18" w:space="0" w:color="800000"/>
            </w:tcBorders>
          </w:tcPr>
          <w:p w:rsidR="003F5784" w14:paraId="2E74CFD5" w14:textId="77777777">
            <w:pPr>
              <w:pStyle w:val="TableParagraph"/>
              <w:spacing w:before="9"/>
              <w:ind w:right="142"/>
              <w:rPr>
                <w:b/>
                <w:sz w:val="21"/>
              </w:rPr>
            </w:pPr>
            <w:r>
              <w:rPr>
                <w:b/>
                <w:spacing w:val="-10"/>
                <w:sz w:val="21"/>
              </w:rPr>
              <w:t>†</w:t>
            </w:r>
          </w:p>
        </w:tc>
        <w:tc>
          <w:tcPr>
            <w:tcW w:w="2546" w:type="dxa"/>
            <w:tcBorders>
              <w:top w:val="single" w:sz="18" w:space="0" w:color="800000"/>
            </w:tcBorders>
          </w:tcPr>
          <w:p w:rsidR="003F5784" w14:paraId="5255FD50" w14:textId="77777777">
            <w:pPr>
              <w:pStyle w:val="TableParagraph"/>
              <w:spacing w:before="9"/>
              <w:ind w:right="119"/>
              <w:rPr>
                <w:b/>
                <w:sz w:val="21"/>
              </w:rPr>
            </w:pPr>
            <w:r>
              <w:rPr>
                <w:b/>
                <w:spacing w:val="-10"/>
                <w:sz w:val="21"/>
              </w:rPr>
              <w:t>†</w:t>
            </w:r>
          </w:p>
        </w:tc>
        <w:tc>
          <w:tcPr>
            <w:tcW w:w="719" w:type="dxa"/>
            <w:tcBorders>
              <w:top w:val="single" w:sz="18" w:space="0" w:color="800000"/>
            </w:tcBorders>
          </w:tcPr>
          <w:p w:rsidR="003F5784" w14:paraId="47E3C539" w14:textId="77777777">
            <w:pPr>
              <w:pStyle w:val="TableParagraph"/>
              <w:spacing w:before="9"/>
              <w:ind w:right="140"/>
              <w:rPr>
                <w:b/>
                <w:sz w:val="21"/>
              </w:rPr>
            </w:pPr>
            <w:r>
              <w:rPr>
                <w:b/>
                <w:spacing w:val="-5"/>
                <w:sz w:val="21"/>
              </w:rPr>
              <w:t>141</w:t>
            </w:r>
          </w:p>
        </w:tc>
        <w:tc>
          <w:tcPr>
            <w:tcW w:w="1201" w:type="dxa"/>
            <w:tcBorders>
              <w:top w:val="single" w:sz="18" w:space="0" w:color="800000"/>
            </w:tcBorders>
          </w:tcPr>
          <w:p w:rsidR="003F5784" w14:paraId="0811E969" w14:textId="77777777">
            <w:pPr>
              <w:pStyle w:val="TableParagraph"/>
              <w:spacing w:before="9"/>
              <w:ind w:right="124"/>
              <w:rPr>
                <w:b/>
                <w:sz w:val="21"/>
              </w:rPr>
            </w:pPr>
            <w:r>
              <w:rPr>
                <w:b/>
                <w:spacing w:val="-2"/>
                <w:sz w:val="21"/>
              </w:rPr>
              <w:t>13,175,373</w:t>
            </w:r>
          </w:p>
        </w:tc>
      </w:tr>
      <w:tr w14:paraId="7B9040BA" w14:textId="77777777">
        <w:tblPrEx>
          <w:tblW w:w="0" w:type="auto"/>
          <w:tblInd w:w="482" w:type="dxa"/>
          <w:tblLayout w:type="fixed"/>
          <w:tblCellMar>
            <w:left w:w="0" w:type="dxa"/>
            <w:right w:w="0" w:type="dxa"/>
          </w:tblCellMar>
          <w:tblLook w:val="01E0"/>
        </w:tblPrEx>
        <w:trPr>
          <w:trHeight w:val="1459"/>
        </w:trPr>
        <w:tc>
          <w:tcPr>
            <w:tcW w:w="958" w:type="dxa"/>
          </w:tcPr>
          <w:p w:rsidR="003F5784" w14:paraId="151BB183" w14:textId="77777777">
            <w:pPr>
              <w:pStyle w:val="TableParagraph"/>
              <w:ind w:left="120"/>
              <w:jc w:val="left"/>
              <w:rPr>
                <w:sz w:val="21"/>
              </w:rPr>
            </w:pPr>
            <w:r>
              <w:rPr>
                <w:spacing w:val="-10"/>
                <w:sz w:val="21"/>
              </w:rPr>
              <w:t>1</w:t>
            </w:r>
          </w:p>
        </w:tc>
        <w:tc>
          <w:tcPr>
            <w:tcW w:w="1552" w:type="dxa"/>
          </w:tcPr>
          <w:p w:rsidR="003F5784" w14:paraId="6275A67C" w14:textId="77777777">
            <w:pPr>
              <w:pStyle w:val="TableParagraph"/>
              <w:spacing w:before="23" w:line="232" w:lineRule="auto"/>
              <w:ind w:left="176" w:right="146" w:firstLine="86"/>
              <w:jc w:val="both"/>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11"/>
                <w:sz w:val="21"/>
              </w:rPr>
              <w:t xml:space="preserve"> </w:t>
            </w:r>
            <w:r>
              <w:rPr>
                <w:spacing w:val="-5"/>
                <w:sz w:val="21"/>
              </w:rPr>
              <w:t>&lt;=</w:t>
            </w:r>
          </w:p>
          <w:p w:rsidR="003F5784" w14:paraId="5680D037" w14:textId="77777777">
            <w:pPr>
              <w:pStyle w:val="TableParagraph"/>
              <w:spacing w:before="0" w:line="237" w:lineRule="exact"/>
              <w:ind w:right="146"/>
              <w:rPr>
                <w:sz w:val="21"/>
              </w:rPr>
            </w:pPr>
            <w:r>
              <w:rPr>
                <w:spacing w:val="-4"/>
                <w:sz w:val="21"/>
              </w:rPr>
              <w:t>16.9</w:t>
            </w:r>
          </w:p>
        </w:tc>
        <w:tc>
          <w:tcPr>
            <w:tcW w:w="1407" w:type="dxa"/>
          </w:tcPr>
          <w:p w:rsidR="003F5784" w14:paraId="26C0C0C6" w14:textId="77777777">
            <w:pPr>
              <w:pStyle w:val="TableParagraph"/>
              <w:spacing w:before="23" w:line="232" w:lineRule="auto"/>
              <w:ind w:left="432" w:right="117" w:hanging="286"/>
              <w:rPr>
                <w:sz w:val="21"/>
              </w:rPr>
            </w:pPr>
            <w:r>
              <w:rPr>
                <w:spacing w:val="-2"/>
                <w:sz w:val="21"/>
              </w:rPr>
              <w:t>Percentage</w:t>
            </w:r>
            <w:r>
              <w:rPr>
                <w:spacing w:val="-12"/>
                <w:sz w:val="21"/>
              </w:rPr>
              <w:t xml:space="preserve"> </w:t>
            </w:r>
            <w:r>
              <w:rPr>
                <w:spacing w:val="-2"/>
                <w:sz w:val="21"/>
              </w:rPr>
              <w:t xml:space="preserve">of </w:t>
            </w:r>
            <w:r>
              <w:rPr>
                <w:sz w:val="21"/>
              </w:rPr>
              <w:t>renters</w:t>
            </w:r>
            <w:r>
              <w:rPr>
                <w:spacing w:val="-7"/>
                <w:sz w:val="21"/>
              </w:rPr>
              <w:t xml:space="preserve"> </w:t>
            </w:r>
            <w:r>
              <w:rPr>
                <w:spacing w:val="-5"/>
                <w:sz w:val="21"/>
              </w:rPr>
              <w:t>&lt;=</w:t>
            </w:r>
          </w:p>
          <w:p w:rsidR="003F5784" w14:paraId="4BB029E5" w14:textId="77777777">
            <w:pPr>
              <w:pStyle w:val="TableParagraph"/>
              <w:spacing w:before="0" w:line="236" w:lineRule="exact"/>
              <w:ind w:right="117"/>
              <w:rPr>
                <w:sz w:val="21"/>
              </w:rPr>
            </w:pPr>
            <w:r>
              <w:rPr>
                <w:spacing w:val="-4"/>
                <w:sz w:val="21"/>
              </w:rPr>
              <w:t>33.5</w:t>
            </w:r>
          </w:p>
        </w:tc>
        <w:tc>
          <w:tcPr>
            <w:tcW w:w="2876" w:type="dxa"/>
          </w:tcPr>
          <w:p w:rsidR="003F5784" w14:paraId="40441859" w14:textId="77777777">
            <w:pPr>
              <w:pStyle w:val="TableParagraph"/>
              <w:spacing w:before="23" w:line="232" w:lineRule="auto"/>
              <w:ind w:left="117" w:right="186" w:firstLine="839"/>
              <w:rPr>
                <w:sz w:val="21"/>
              </w:rPr>
            </w:pPr>
            <w:r>
              <w:rPr>
                <w:sz w:val="21"/>
              </w:rPr>
              <w:t>Percentage</w:t>
            </w:r>
            <w:r>
              <w:rPr>
                <w:spacing w:val="-14"/>
                <w:sz w:val="21"/>
              </w:rPr>
              <w:t xml:space="preserve"> </w:t>
            </w:r>
            <w:r>
              <w:rPr>
                <w:sz w:val="21"/>
              </w:rPr>
              <w:t>of</w:t>
            </w:r>
            <w:r>
              <w:rPr>
                <w:spacing w:val="-13"/>
                <w:sz w:val="21"/>
              </w:rPr>
              <w:t xml:space="preserve"> </w:t>
            </w:r>
            <w:r>
              <w:rPr>
                <w:sz w:val="21"/>
              </w:rPr>
              <w:t>Black, Hispanic,</w:t>
            </w:r>
            <w:r>
              <w:rPr>
                <w:spacing w:val="-12"/>
                <w:sz w:val="21"/>
              </w:rPr>
              <w:t xml:space="preserve"> </w:t>
            </w:r>
            <w:r>
              <w:rPr>
                <w:sz w:val="21"/>
              </w:rPr>
              <w:t>American Indian/Alaska Native, or Native</w:t>
            </w:r>
            <w:r>
              <w:rPr>
                <w:spacing w:val="-14"/>
                <w:sz w:val="21"/>
              </w:rPr>
              <w:t xml:space="preserve"> </w:t>
            </w:r>
            <w:r>
              <w:rPr>
                <w:sz w:val="21"/>
              </w:rPr>
              <w:t>Hawaiian/Other</w:t>
            </w:r>
            <w:r>
              <w:rPr>
                <w:spacing w:val="-13"/>
                <w:sz w:val="21"/>
              </w:rPr>
              <w:t xml:space="preserve"> </w:t>
            </w:r>
            <w:r>
              <w:rPr>
                <w:sz w:val="21"/>
              </w:rPr>
              <w:t>Pacific Islander youth &lt;= 28.2</w:t>
            </w:r>
          </w:p>
        </w:tc>
        <w:tc>
          <w:tcPr>
            <w:tcW w:w="2732" w:type="dxa"/>
          </w:tcPr>
          <w:p w:rsidR="003F5784" w14:paraId="0F66E63A" w14:textId="77777777">
            <w:pPr>
              <w:pStyle w:val="TableParagraph"/>
              <w:spacing w:line="238" w:lineRule="exact"/>
              <w:ind w:right="142"/>
              <w:rPr>
                <w:sz w:val="21"/>
              </w:rPr>
            </w:pPr>
            <w:r>
              <w:rPr>
                <w:sz w:val="21"/>
              </w:rPr>
              <w:t>Per</w:t>
            </w:r>
            <w:r>
              <w:rPr>
                <w:spacing w:val="-7"/>
                <w:sz w:val="21"/>
              </w:rPr>
              <w:t xml:space="preserve"> </w:t>
            </w:r>
            <w:r>
              <w:rPr>
                <w:sz w:val="21"/>
              </w:rPr>
              <w:t>capita</w:t>
            </w:r>
            <w:r>
              <w:rPr>
                <w:spacing w:val="-6"/>
                <w:sz w:val="21"/>
              </w:rPr>
              <w:t xml:space="preserve"> </w:t>
            </w:r>
            <w:r>
              <w:rPr>
                <w:sz w:val="21"/>
              </w:rPr>
              <w:t>household</w:t>
            </w:r>
            <w:r>
              <w:rPr>
                <w:spacing w:val="-7"/>
                <w:sz w:val="21"/>
              </w:rPr>
              <w:t xml:space="preserve"> </w:t>
            </w:r>
            <w:r>
              <w:rPr>
                <w:spacing w:val="-2"/>
                <w:sz w:val="21"/>
              </w:rPr>
              <w:t>income</w:t>
            </w:r>
          </w:p>
          <w:p w:rsidR="003F5784" w14:paraId="799AF504" w14:textId="77777777">
            <w:pPr>
              <w:pStyle w:val="TableParagraph"/>
              <w:spacing w:before="0" w:line="238" w:lineRule="exact"/>
              <w:ind w:right="142"/>
              <w:rPr>
                <w:sz w:val="21"/>
              </w:rPr>
            </w:pPr>
            <w:r>
              <w:rPr>
                <w:sz w:val="21"/>
              </w:rPr>
              <w:t>&lt;=</w:t>
            </w:r>
            <w:r>
              <w:rPr>
                <w:spacing w:val="-4"/>
                <w:sz w:val="21"/>
              </w:rPr>
              <w:t xml:space="preserve"> </w:t>
            </w:r>
            <w:r>
              <w:rPr>
                <w:spacing w:val="-2"/>
                <w:sz w:val="21"/>
              </w:rPr>
              <w:t>$23,025</w:t>
            </w:r>
          </w:p>
        </w:tc>
        <w:tc>
          <w:tcPr>
            <w:tcW w:w="2546" w:type="dxa"/>
          </w:tcPr>
          <w:p w:rsidR="003F5784" w14:paraId="48B69243" w14:textId="77777777">
            <w:pPr>
              <w:pStyle w:val="TableParagraph"/>
              <w:spacing w:before="23" w:line="232" w:lineRule="auto"/>
              <w:ind w:left="307" w:right="119" w:firstLine="386"/>
              <w:rPr>
                <w:sz w:val="21"/>
              </w:rPr>
            </w:pPr>
            <w:r>
              <w:rPr>
                <w:sz w:val="21"/>
              </w:rPr>
              <w:t>Percentage</w:t>
            </w:r>
            <w:r>
              <w:rPr>
                <w:spacing w:val="-14"/>
                <w:sz w:val="21"/>
              </w:rPr>
              <w:t xml:space="preserve"> </w:t>
            </w:r>
            <w:r>
              <w:rPr>
                <w:sz w:val="21"/>
              </w:rPr>
              <w:t>of</w:t>
            </w:r>
            <w:r>
              <w:rPr>
                <w:spacing w:val="-13"/>
                <w:sz w:val="21"/>
              </w:rPr>
              <w:t xml:space="preserve"> </w:t>
            </w:r>
            <w:r>
              <w:rPr>
                <w:sz w:val="21"/>
              </w:rPr>
              <w:t>Black, Hispanic,</w:t>
            </w:r>
            <w:r>
              <w:rPr>
                <w:spacing w:val="-12"/>
                <w:sz w:val="21"/>
              </w:rPr>
              <w:t xml:space="preserve"> </w:t>
            </w:r>
            <w:r>
              <w:rPr>
                <w:sz w:val="21"/>
              </w:rPr>
              <w:t>American Indian/Alaska Native, or Native Hawaiian/Other Pacific</w:t>
            </w:r>
            <w:r>
              <w:rPr>
                <w:spacing w:val="-7"/>
                <w:sz w:val="21"/>
              </w:rPr>
              <w:t xml:space="preserve"> </w:t>
            </w:r>
            <w:r>
              <w:rPr>
                <w:sz w:val="21"/>
              </w:rPr>
              <w:t>Islander</w:t>
            </w:r>
            <w:r>
              <w:rPr>
                <w:spacing w:val="-7"/>
                <w:sz w:val="21"/>
              </w:rPr>
              <w:t xml:space="preserve"> </w:t>
            </w:r>
            <w:r>
              <w:rPr>
                <w:sz w:val="21"/>
              </w:rPr>
              <w:t>youth</w:t>
            </w:r>
            <w:r>
              <w:rPr>
                <w:spacing w:val="-7"/>
                <w:sz w:val="21"/>
              </w:rPr>
              <w:t xml:space="preserve"> </w:t>
            </w:r>
            <w:r>
              <w:rPr>
                <w:spacing w:val="-5"/>
                <w:sz w:val="21"/>
              </w:rPr>
              <w:t>&lt;=</w:t>
            </w:r>
          </w:p>
          <w:p w:rsidR="003F5784" w14:paraId="1F15FF44" w14:textId="77777777">
            <w:pPr>
              <w:pStyle w:val="TableParagraph"/>
              <w:spacing w:before="0" w:line="237" w:lineRule="exact"/>
              <w:ind w:right="119"/>
              <w:rPr>
                <w:sz w:val="21"/>
              </w:rPr>
            </w:pPr>
            <w:r>
              <w:rPr>
                <w:spacing w:val="-4"/>
                <w:sz w:val="21"/>
              </w:rPr>
              <w:t>14.9</w:t>
            </w:r>
          </w:p>
        </w:tc>
        <w:tc>
          <w:tcPr>
            <w:tcW w:w="719" w:type="dxa"/>
          </w:tcPr>
          <w:p w:rsidR="003F5784" w14:paraId="29EE8EE6" w14:textId="77777777">
            <w:pPr>
              <w:pStyle w:val="TableParagraph"/>
              <w:ind w:right="140"/>
              <w:rPr>
                <w:sz w:val="21"/>
              </w:rPr>
            </w:pPr>
            <w:r>
              <w:rPr>
                <w:spacing w:val="-5"/>
                <w:sz w:val="21"/>
              </w:rPr>
              <w:t>14</w:t>
            </w:r>
          </w:p>
        </w:tc>
        <w:tc>
          <w:tcPr>
            <w:tcW w:w="1201" w:type="dxa"/>
          </w:tcPr>
          <w:p w:rsidR="003F5784" w14:paraId="3FECD410" w14:textId="77777777">
            <w:pPr>
              <w:pStyle w:val="TableParagraph"/>
              <w:ind w:right="124"/>
              <w:rPr>
                <w:sz w:val="21"/>
              </w:rPr>
            </w:pPr>
            <w:r>
              <w:rPr>
                <w:spacing w:val="-2"/>
                <w:sz w:val="21"/>
              </w:rPr>
              <w:t>533,826</w:t>
            </w:r>
          </w:p>
        </w:tc>
      </w:tr>
      <w:tr w14:paraId="0E72850F" w14:textId="77777777">
        <w:tblPrEx>
          <w:tblW w:w="0" w:type="auto"/>
          <w:tblInd w:w="482" w:type="dxa"/>
          <w:tblLayout w:type="fixed"/>
          <w:tblCellMar>
            <w:left w:w="0" w:type="dxa"/>
            <w:right w:w="0" w:type="dxa"/>
          </w:tblCellMar>
          <w:tblLook w:val="01E0"/>
        </w:tblPrEx>
        <w:trPr>
          <w:trHeight w:val="1459"/>
        </w:trPr>
        <w:tc>
          <w:tcPr>
            <w:tcW w:w="958" w:type="dxa"/>
          </w:tcPr>
          <w:p w:rsidR="003F5784" w14:paraId="68101462" w14:textId="77777777">
            <w:pPr>
              <w:pStyle w:val="TableParagraph"/>
              <w:ind w:left="120"/>
              <w:jc w:val="left"/>
              <w:rPr>
                <w:sz w:val="21"/>
              </w:rPr>
            </w:pPr>
            <w:r>
              <w:rPr>
                <w:spacing w:val="-10"/>
                <w:sz w:val="21"/>
              </w:rPr>
              <w:t>2</w:t>
            </w:r>
          </w:p>
        </w:tc>
        <w:tc>
          <w:tcPr>
            <w:tcW w:w="1552" w:type="dxa"/>
          </w:tcPr>
          <w:p w:rsidR="003F5784" w14:paraId="4BEAD455" w14:textId="77777777">
            <w:pPr>
              <w:pStyle w:val="TableParagraph"/>
              <w:spacing w:before="23" w:line="232" w:lineRule="auto"/>
              <w:ind w:left="176" w:right="146" w:firstLine="86"/>
              <w:jc w:val="both"/>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11"/>
                <w:sz w:val="21"/>
              </w:rPr>
              <w:t xml:space="preserve"> </w:t>
            </w:r>
            <w:r>
              <w:rPr>
                <w:spacing w:val="-5"/>
                <w:sz w:val="21"/>
              </w:rPr>
              <w:t>&lt;=</w:t>
            </w:r>
          </w:p>
          <w:p w:rsidR="003F5784" w14:paraId="0AE0ADD4" w14:textId="77777777">
            <w:pPr>
              <w:pStyle w:val="TableParagraph"/>
              <w:spacing w:before="0" w:line="237" w:lineRule="exact"/>
              <w:ind w:right="146"/>
              <w:rPr>
                <w:sz w:val="21"/>
              </w:rPr>
            </w:pPr>
            <w:r>
              <w:rPr>
                <w:spacing w:val="-4"/>
                <w:sz w:val="21"/>
              </w:rPr>
              <w:t>16.9</w:t>
            </w:r>
          </w:p>
        </w:tc>
        <w:tc>
          <w:tcPr>
            <w:tcW w:w="1407" w:type="dxa"/>
          </w:tcPr>
          <w:p w:rsidR="003F5784" w14:paraId="68795589" w14:textId="77777777">
            <w:pPr>
              <w:pStyle w:val="TableParagraph"/>
              <w:spacing w:before="23" w:line="232" w:lineRule="auto"/>
              <w:ind w:left="432" w:right="117" w:hanging="286"/>
              <w:rPr>
                <w:sz w:val="21"/>
              </w:rPr>
            </w:pPr>
            <w:r>
              <w:rPr>
                <w:spacing w:val="-2"/>
                <w:sz w:val="21"/>
              </w:rPr>
              <w:t>Percentage</w:t>
            </w:r>
            <w:r>
              <w:rPr>
                <w:spacing w:val="-12"/>
                <w:sz w:val="21"/>
              </w:rPr>
              <w:t xml:space="preserve"> </w:t>
            </w:r>
            <w:r>
              <w:rPr>
                <w:spacing w:val="-2"/>
                <w:sz w:val="21"/>
              </w:rPr>
              <w:t xml:space="preserve">of </w:t>
            </w:r>
            <w:r>
              <w:rPr>
                <w:sz w:val="21"/>
              </w:rPr>
              <w:t>renters</w:t>
            </w:r>
            <w:r>
              <w:rPr>
                <w:spacing w:val="-7"/>
                <w:sz w:val="21"/>
              </w:rPr>
              <w:t xml:space="preserve"> </w:t>
            </w:r>
            <w:r>
              <w:rPr>
                <w:spacing w:val="-5"/>
                <w:sz w:val="21"/>
              </w:rPr>
              <w:t>&lt;=</w:t>
            </w:r>
          </w:p>
          <w:p w:rsidR="003F5784" w14:paraId="11D35977" w14:textId="77777777">
            <w:pPr>
              <w:pStyle w:val="TableParagraph"/>
              <w:spacing w:before="0" w:line="236" w:lineRule="exact"/>
              <w:ind w:right="117"/>
              <w:rPr>
                <w:sz w:val="21"/>
              </w:rPr>
            </w:pPr>
            <w:r>
              <w:rPr>
                <w:spacing w:val="-4"/>
                <w:sz w:val="21"/>
              </w:rPr>
              <w:t>33.5</w:t>
            </w:r>
          </w:p>
        </w:tc>
        <w:tc>
          <w:tcPr>
            <w:tcW w:w="2876" w:type="dxa"/>
          </w:tcPr>
          <w:p w:rsidR="003F5784" w14:paraId="741BE4E5" w14:textId="77777777">
            <w:pPr>
              <w:pStyle w:val="TableParagraph"/>
              <w:spacing w:before="23" w:line="232" w:lineRule="auto"/>
              <w:ind w:left="117" w:right="186" w:firstLine="839"/>
              <w:rPr>
                <w:sz w:val="21"/>
              </w:rPr>
            </w:pPr>
            <w:r>
              <w:rPr>
                <w:sz w:val="21"/>
              </w:rPr>
              <w:t>Percentage</w:t>
            </w:r>
            <w:r>
              <w:rPr>
                <w:spacing w:val="-14"/>
                <w:sz w:val="21"/>
              </w:rPr>
              <w:t xml:space="preserve"> </w:t>
            </w:r>
            <w:r>
              <w:rPr>
                <w:sz w:val="21"/>
              </w:rPr>
              <w:t>of</w:t>
            </w:r>
            <w:r>
              <w:rPr>
                <w:spacing w:val="-13"/>
                <w:sz w:val="21"/>
              </w:rPr>
              <w:t xml:space="preserve"> </w:t>
            </w:r>
            <w:r>
              <w:rPr>
                <w:sz w:val="21"/>
              </w:rPr>
              <w:t>Black, Hispanic,</w:t>
            </w:r>
            <w:r>
              <w:rPr>
                <w:spacing w:val="-12"/>
                <w:sz w:val="21"/>
              </w:rPr>
              <w:t xml:space="preserve"> </w:t>
            </w:r>
            <w:r>
              <w:rPr>
                <w:sz w:val="21"/>
              </w:rPr>
              <w:t>American Indian/Alaska Native, or Native</w:t>
            </w:r>
            <w:r>
              <w:rPr>
                <w:spacing w:val="-14"/>
                <w:sz w:val="21"/>
              </w:rPr>
              <w:t xml:space="preserve"> </w:t>
            </w:r>
            <w:r>
              <w:rPr>
                <w:sz w:val="21"/>
              </w:rPr>
              <w:t>Hawaiian/Other</w:t>
            </w:r>
            <w:r>
              <w:rPr>
                <w:spacing w:val="-13"/>
                <w:sz w:val="21"/>
              </w:rPr>
              <w:t xml:space="preserve"> </w:t>
            </w:r>
            <w:r>
              <w:rPr>
                <w:sz w:val="21"/>
              </w:rPr>
              <w:t>Pacific Islander youth &lt;= 28.2</w:t>
            </w:r>
          </w:p>
        </w:tc>
        <w:tc>
          <w:tcPr>
            <w:tcW w:w="2732" w:type="dxa"/>
          </w:tcPr>
          <w:p w:rsidR="003F5784" w14:paraId="6D292E02" w14:textId="77777777">
            <w:pPr>
              <w:pStyle w:val="TableParagraph"/>
              <w:spacing w:line="238" w:lineRule="exact"/>
              <w:ind w:right="142"/>
              <w:rPr>
                <w:sz w:val="21"/>
              </w:rPr>
            </w:pPr>
            <w:r>
              <w:rPr>
                <w:sz w:val="21"/>
              </w:rPr>
              <w:t>Per</w:t>
            </w:r>
            <w:r>
              <w:rPr>
                <w:spacing w:val="-7"/>
                <w:sz w:val="21"/>
              </w:rPr>
              <w:t xml:space="preserve"> </w:t>
            </w:r>
            <w:r>
              <w:rPr>
                <w:sz w:val="21"/>
              </w:rPr>
              <w:t>capita</w:t>
            </w:r>
            <w:r>
              <w:rPr>
                <w:spacing w:val="-6"/>
                <w:sz w:val="21"/>
              </w:rPr>
              <w:t xml:space="preserve"> </w:t>
            </w:r>
            <w:r>
              <w:rPr>
                <w:sz w:val="21"/>
              </w:rPr>
              <w:t>household</w:t>
            </w:r>
            <w:r>
              <w:rPr>
                <w:spacing w:val="-7"/>
                <w:sz w:val="21"/>
              </w:rPr>
              <w:t xml:space="preserve"> </w:t>
            </w:r>
            <w:r>
              <w:rPr>
                <w:spacing w:val="-2"/>
                <w:sz w:val="21"/>
              </w:rPr>
              <w:t>income</w:t>
            </w:r>
          </w:p>
          <w:p w:rsidR="003F5784" w14:paraId="5FD6F6A4" w14:textId="77777777">
            <w:pPr>
              <w:pStyle w:val="TableParagraph"/>
              <w:spacing w:before="0" w:line="238" w:lineRule="exact"/>
              <w:ind w:right="142"/>
              <w:rPr>
                <w:sz w:val="21"/>
              </w:rPr>
            </w:pPr>
            <w:r>
              <w:rPr>
                <w:sz w:val="21"/>
              </w:rPr>
              <w:t>&lt;=</w:t>
            </w:r>
            <w:r>
              <w:rPr>
                <w:spacing w:val="-4"/>
                <w:sz w:val="21"/>
              </w:rPr>
              <w:t xml:space="preserve"> </w:t>
            </w:r>
            <w:r>
              <w:rPr>
                <w:spacing w:val="-2"/>
                <w:sz w:val="21"/>
              </w:rPr>
              <w:t>$23,025</w:t>
            </w:r>
          </w:p>
        </w:tc>
        <w:tc>
          <w:tcPr>
            <w:tcW w:w="2546" w:type="dxa"/>
          </w:tcPr>
          <w:p w:rsidR="003F5784" w14:paraId="54C0CB6B" w14:textId="77777777">
            <w:pPr>
              <w:pStyle w:val="TableParagraph"/>
              <w:spacing w:before="23" w:line="232" w:lineRule="auto"/>
              <w:ind w:left="368" w:right="119" w:firstLine="324"/>
              <w:rPr>
                <w:sz w:val="21"/>
              </w:rPr>
            </w:pPr>
            <w:r>
              <w:rPr>
                <w:sz w:val="21"/>
              </w:rPr>
              <w:t>Percentage</w:t>
            </w:r>
            <w:r>
              <w:rPr>
                <w:spacing w:val="-14"/>
                <w:sz w:val="21"/>
              </w:rPr>
              <w:t xml:space="preserve"> </w:t>
            </w:r>
            <w:r>
              <w:rPr>
                <w:sz w:val="21"/>
              </w:rPr>
              <w:t>of</w:t>
            </w:r>
            <w:r>
              <w:rPr>
                <w:spacing w:val="-13"/>
                <w:sz w:val="21"/>
              </w:rPr>
              <w:t xml:space="preserve"> </w:t>
            </w:r>
            <w:r>
              <w:rPr>
                <w:sz w:val="21"/>
              </w:rPr>
              <w:t>Black, Hispanic,</w:t>
            </w:r>
            <w:r>
              <w:rPr>
                <w:spacing w:val="-12"/>
                <w:sz w:val="21"/>
              </w:rPr>
              <w:t xml:space="preserve"> </w:t>
            </w:r>
            <w:r>
              <w:rPr>
                <w:sz w:val="21"/>
              </w:rPr>
              <w:t>American Indian/Alaska</w:t>
            </w:r>
            <w:r>
              <w:rPr>
                <w:spacing w:val="-14"/>
                <w:sz w:val="21"/>
              </w:rPr>
              <w:t xml:space="preserve"> </w:t>
            </w:r>
            <w:r>
              <w:rPr>
                <w:sz w:val="21"/>
              </w:rPr>
              <w:t>Native,</w:t>
            </w:r>
            <w:r>
              <w:rPr>
                <w:spacing w:val="-13"/>
                <w:sz w:val="21"/>
              </w:rPr>
              <w:t xml:space="preserve"> </w:t>
            </w:r>
            <w:r>
              <w:rPr>
                <w:sz w:val="21"/>
              </w:rPr>
              <w:t>or Native Hawaiian/Other Pacific Islander youth &gt;</w:t>
            </w:r>
          </w:p>
          <w:p w:rsidR="003F5784" w14:paraId="0348998C" w14:textId="77777777">
            <w:pPr>
              <w:pStyle w:val="TableParagraph"/>
              <w:spacing w:before="0" w:line="237" w:lineRule="exact"/>
              <w:ind w:right="119"/>
              <w:rPr>
                <w:sz w:val="21"/>
              </w:rPr>
            </w:pPr>
            <w:r>
              <w:rPr>
                <w:spacing w:val="-4"/>
                <w:sz w:val="21"/>
              </w:rPr>
              <w:t>14.9</w:t>
            </w:r>
          </w:p>
        </w:tc>
        <w:tc>
          <w:tcPr>
            <w:tcW w:w="719" w:type="dxa"/>
          </w:tcPr>
          <w:p w:rsidR="003F5784" w14:paraId="133742E3" w14:textId="77777777">
            <w:pPr>
              <w:pStyle w:val="TableParagraph"/>
              <w:ind w:right="140"/>
              <w:rPr>
                <w:sz w:val="21"/>
              </w:rPr>
            </w:pPr>
            <w:r>
              <w:rPr>
                <w:spacing w:val="-5"/>
                <w:sz w:val="21"/>
              </w:rPr>
              <w:t>12</w:t>
            </w:r>
          </w:p>
        </w:tc>
        <w:tc>
          <w:tcPr>
            <w:tcW w:w="1201" w:type="dxa"/>
          </w:tcPr>
          <w:p w:rsidR="003F5784" w14:paraId="4A0DCCB1" w14:textId="77777777">
            <w:pPr>
              <w:pStyle w:val="TableParagraph"/>
              <w:ind w:right="124"/>
              <w:rPr>
                <w:sz w:val="21"/>
              </w:rPr>
            </w:pPr>
            <w:r>
              <w:rPr>
                <w:spacing w:val="-2"/>
                <w:sz w:val="21"/>
              </w:rPr>
              <w:t>509,782</w:t>
            </w:r>
          </w:p>
        </w:tc>
      </w:tr>
      <w:tr w14:paraId="0C76061E" w14:textId="77777777">
        <w:tblPrEx>
          <w:tblW w:w="0" w:type="auto"/>
          <w:tblInd w:w="482" w:type="dxa"/>
          <w:tblLayout w:type="fixed"/>
          <w:tblCellMar>
            <w:left w:w="0" w:type="dxa"/>
            <w:right w:w="0" w:type="dxa"/>
          </w:tblCellMar>
          <w:tblLook w:val="01E0"/>
        </w:tblPrEx>
        <w:trPr>
          <w:trHeight w:val="1227"/>
        </w:trPr>
        <w:tc>
          <w:tcPr>
            <w:tcW w:w="958" w:type="dxa"/>
            <w:tcBorders>
              <w:bottom w:val="single" w:sz="18" w:space="0" w:color="800000"/>
            </w:tcBorders>
          </w:tcPr>
          <w:p w:rsidR="003F5784" w14:paraId="5A67535C" w14:textId="77777777">
            <w:pPr>
              <w:pStyle w:val="TableParagraph"/>
              <w:ind w:left="120"/>
              <w:jc w:val="left"/>
              <w:rPr>
                <w:sz w:val="21"/>
              </w:rPr>
            </w:pPr>
            <w:r>
              <w:rPr>
                <w:spacing w:val="-10"/>
                <w:sz w:val="21"/>
              </w:rPr>
              <w:t>3</w:t>
            </w:r>
          </w:p>
        </w:tc>
        <w:tc>
          <w:tcPr>
            <w:tcW w:w="1552" w:type="dxa"/>
            <w:tcBorders>
              <w:bottom w:val="single" w:sz="18" w:space="0" w:color="800000"/>
            </w:tcBorders>
          </w:tcPr>
          <w:p w:rsidR="003F5784" w14:paraId="48F5D221" w14:textId="77777777">
            <w:pPr>
              <w:pStyle w:val="TableParagraph"/>
              <w:spacing w:before="23" w:line="232" w:lineRule="auto"/>
              <w:ind w:left="176" w:right="146" w:firstLine="86"/>
              <w:jc w:val="both"/>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11"/>
                <w:sz w:val="21"/>
              </w:rPr>
              <w:t xml:space="preserve"> </w:t>
            </w:r>
            <w:r>
              <w:rPr>
                <w:spacing w:val="-5"/>
                <w:sz w:val="21"/>
              </w:rPr>
              <w:t>&lt;=</w:t>
            </w:r>
          </w:p>
          <w:p w:rsidR="003F5784" w14:paraId="198B106F" w14:textId="77777777">
            <w:pPr>
              <w:pStyle w:val="TableParagraph"/>
              <w:spacing w:before="0" w:line="237" w:lineRule="exact"/>
              <w:ind w:right="146"/>
              <w:rPr>
                <w:sz w:val="21"/>
              </w:rPr>
            </w:pPr>
            <w:r>
              <w:rPr>
                <w:spacing w:val="-4"/>
                <w:sz w:val="21"/>
              </w:rPr>
              <w:t>16.9</w:t>
            </w:r>
          </w:p>
        </w:tc>
        <w:tc>
          <w:tcPr>
            <w:tcW w:w="1407" w:type="dxa"/>
            <w:tcBorders>
              <w:bottom w:val="single" w:sz="18" w:space="0" w:color="800000"/>
            </w:tcBorders>
          </w:tcPr>
          <w:p w:rsidR="003F5784" w14:paraId="07024101" w14:textId="77777777">
            <w:pPr>
              <w:pStyle w:val="TableParagraph"/>
              <w:spacing w:before="23" w:line="232" w:lineRule="auto"/>
              <w:ind w:left="432" w:right="117" w:hanging="286"/>
              <w:rPr>
                <w:sz w:val="21"/>
              </w:rPr>
            </w:pPr>
            <w:r>
              <w:rPr>
                <w:spacing w:val="-2"/>
                <w:sz w:val="21"/>
              </w:rPr>
              <w:t>Percentage</w:t>
            </w:r>
            <w:r>
              <w:rPr>
                <w:spacing w:val="-12"/>
                <w:sz w:val="21"/>
              </w:rPr>
              <w:t xml:space="preserve"> </w:t>
            </w:r>
            <w:r>
              <w:rPr>
                <w:spacing w:val="-2"/>
                <w:sz w:val="21"/>
              </w:rPr>
              <w:t xml:space="preserve">of </w:t>
            </w:r>
            <w:r>
              <w:rPr>
                <w:sz w:val="21"/>
              </w:rPr>
              <w:t>renters</w:t>
            </w:r>
            <w:r>
              <w:rPr>
                <w:spacing w:val="-7"/>
                <w:sz w:val="21"/>
              </w:rPr>
              <w:t xml:space="preserve"> </w:t>
            </w:r>
            <w:r>
              <w:rPr>
                <w:spacing w:val="-5"/>
                <w:sz w:val="21"/>
              </w:rPr>
              <w:t>&lt;=</w:t>
            </w:r>
          </w:p>
          <w:p w:rsidR="003F5784" w14:paraId="7C846C32" w14:textId="77777777">
            <w:pPr>
              <w:pStyle w:val="TableParagraph"/>
              <w:spacing w:before="0" w:line="236" w:lineRule="exact"/>
              <w:ind w:right="117"/>
              <w:rPr>
                <w:sz w:val="21"/>
              </w:rPr>
            </w:pPr>
            <w:r>
              <w:rPr>
                <w:spacing w:val="-4"/>
                <w:sz w:val="21"/>
              </w:rPr>
              <w:t>33.5</w:t>
            </w:r>
          </w:p>
        </w:tc>
        <w:tc>
          <w:tcPr>
            <w:tcW w:w="2876" w:type="dxa"/>
            <w:tcBorders>
              <w:bottom w:val="single" w:sz="18" w:space="0" w:color="800000"/>
            </w:tcBorders>
          </w:tcPr>
          <w:p w:rsidR="003F5784" w14:paraId="7F37BA23" w14:textId="77777777">
            <w:pPr>
              <w:pStyle w:val="TableParagraph"/>
              <w:spacing w:before="23" w:line="232" w:lineRule="auto"/>
              <w:ind w:left="117" w:right="186" w:firstLine="839"/>
              <w:rPr>
                <w:sz w:val="21"/>
              </w:rPr>
            </w:pPr>
            <w:r>
              <w:rPr>
                <w:sz w:val="21"/>
              </w:rPr>
              <w:t>Percentage</w:t>
            </w:r>
            <w:r>
              <w:rPr>
                <w:spacing w:val="-14"/>
                <w:sz w:val="21"/>
              </w:rPr>
              <w:t xml:space="preserve"> </w:t>
            </w:r>
            <w:r>
              <w:rPr>
                <w:sz w:val="21"/>
              </w:rPr>
              <w:t>of</w:t>
            </w:r>
            <w:r>
              <w:rPr>
                <w:spacing w:val="-13"/>
                <w:sz w:val="21"/>
              </w:rPr>
              <w:t xml:space="preserve"> </w:t>
            </w:r>
            <w:r>
              <w:rPr>
                <w:sz w:val="21"/>
              </w:rPr>
              <w:t>Black, Hispanic,</w:t>
            </w:r>
            <w:r>
              <w:rPr>
                <w:spacing w:val="-12"/>
                <w:sz w:val="21"/>
              </w:rPr>
              <w:t xml:space="preserve"> </w:t>
            </w:r>
            <w:r>
              <w:rPr>
                <w:sz w:val="21"/>
              </w:rPr>
              <w:t>American Indian/Alaska Native, or Native</w:t>
            </w:r>
            <w:r>
              <w:rPr>
                <w:spacing w:val="-14"/>
                <w:sz w:val="21"/>
              </w:rPr>
              <w:t xml:space="preserve"> </w:t>
            </w:r>
            <w:r>
              <w:rPr>
                <w:sz w:val="21"/>
              </w:rPr>
              <w:t>Hawaiian/Other</w:t>
            </w:r>
            <w:r>
              <w:rPr>
                <w:spacing w:val="-13"/>
                <w:sz w:val="21"/>
              </w:rPr>
              <w:t xml:space="preserve"> </w:t>
            </w:r>
            <w:r>
              <w:rPr>
                <w:sz w:val="21"/>
              </w:rPr>
              <w:t>Pacific Islander youth &lt;= 28.2</w:t>
            </w:r>
          </w:p>
        </w:tc>
        <w:tc>
          <w:tcPr>
            <w:tcW w:w="2732" w:type="dxa"/>
            <w:tcBorders>
              <w:bottom w:val="single" w:sz="18" w:space="0" w:color="800000"/>
            </w:tcBorders>
          </w:tcPr>
          <w:p w:rsidR="003F5784" w14:paraId="17ECDA36" w14:textId="77777777">
            <w:pPr>
              <w:pStyle w:val="TableParagraph"/>
              <w:spacing w:line="238" w:lineRule="exact"/>
              <w:ind w:right="142"/>
              <w:rPr>
                <w:sz w:val="21"/>
              </w:rPr>
            </w:pPr>
            <w:r>
              <w:rPr>
                <w:sz w:val="21"/>
              </w:rPr>
              <w:t>Per</w:t>
            </w:r>
            <w:r>
              <w:rPr>
                <w:spacing w:val="-7"/>
                <w:sz w:val="21"/>
              </w:rPr>
              <w:t xml:space="preserve"> </w:t>
            </w:r>
            <w:r>
              <w:rPr>
                <w:sz w:val="21"/>
              </w:rPr>
              <w:t>capita</w:t>
            </w:r>
            <w:r>
              <w:rPr>
                <w:spacing w:val="-6"/>
                <w:sz w:val="21"/>
              </w:rPr>
              <w:t xml:space="preserve"> </w:t>
            </w:r>
            <w:r>
              <w:rPr>
                <w:sz w:val="21"/>
              </w:rPr>
              <w:t>household</w:t>
            </w:r>
            <w:r>
              <w:rPr>
                <w:spacing w:val="-7"/>
                <w:sz w:val="21"/>
              </w:rPr>
              <w:t xml:space="preserve"> </w:t>
            </w:r>
            <w:r>
              <w:rPr>
                <w:spacing w:val="-2"/>
                <w:sz w:val="21"/>
              </w:rPr>
              <w:t>income</w:t>
            </w:r>
          </w:p>
          <w:p w:rsidR="003F5784" w14:paraId="747C0914" w14:textId="77777777">
            <w:pPr>
              <w:pStyle w:val="TableParagraph"/>
              <w:spacing w:before="0" w:line="238" w:lineRule="exact"/>
              <w:ind w:right="142"/>
              <w:rPr>
                <w:sz w:val="21"/>
              </w:rPr>
            </w:pPr>
            <w:r>
              <w:rPr>
                <w:spacing w:val="-2"/>
                <w:sz w:val="21"/>
              </w:rPr>
              <w:t>($23,025-$25,326]</w:t>
            </w:r>
          </w:p>
        </w:tc>
        <w:tc>
          <w:tcPr>
            <w:tcW w:w="2546" w:type="dxa"/>
            <w:tcBorders>
              <w:bottom w:val="single" w:sz="18" w:space="0" w:color="800000"/>
            </w:tcBorders>
          </w:tcPr>
          <w:p w:rsidR="003F5784" w14:paraId="55753EB3" w14:textId="77777777">
            <w:pPr>
              <w:pStyle w:val="TableParagraph"/>
              <w:spacing w:before="23" w:line="232" w:lineRule="auto"/>
              <w:ind w:left="139" w:right="115" w:firstLine="456"/>
              <w:jc w:val="left"/>
              <w:rPr>
                <w:sz w:val="21"/>
              </w:rPr>
            </w:pPr>
            <w:r>
              <w:rPr>
                <w:sz w:val="21"/>
              </w:rPr>
              <w:t>Percentage</w:t>
            </w:r>
            <w:r>
              <w:rPr>
                <w:spacing w:val="-14"/>
                <w:sz w:val="21"/>
              </w:rPr>
              <w:t xml:space="preserve"> </w:t>
            </w:r>
            <w:r>
              <w:rPr>
                <w:sz w:val="21"/>
              </w:rPr>
              <w:t>of</w:t>
            </w:r>
            <w:r>
              <w:rPr>
                <w:spacing w:val="-13"/>
                <w:sz w:val="21"/>
              </w:rPr>
              <w:t xml:space="preserve"> </w:t>
            </w:r>
            <w:r>
              <w:rPr>
                <w:sz w:val="21"/>
              </w:rPr>
              <w:t>female- headed</w:t>
            </w:r>
            <w:r>
              <w:rPr>
                <w:spacing w:val="-7"/>
                <w:sz w:val="21"/>
              </w:rPr>
              <w:t xml:space="preserve"> </w:t>
            </w:r>
            <w:r>
              <w:rPr>
                <w:sz w:val="21"/>
              </w:rPr>
              <w:t>households</w:t>
            </w:r>
            <w:r>
              <w:rPr>
                <w:spacing w:val="-7"/>
                <w:sz w:val="21"/>
              </w:rPr>
              <w:t xml:space="preserve"> </w:t>
            </w:r>
            <w:r>
              <w:rPr>
                <w:sz w:val="21"/>
              </w:rPr>
              <w:t>&lt;=</w:t>
            </w:r>
            <w:r>
              <w:rPr>
                <w:spacing w:val="-7"/>
                <w:sz w:val="21"/>
              </w:rPr>
              <w:t xml:space="preserve"> </w:t>
            </w:r>
            <w:r>
              <w:rPr>
                <w:spacing w:val="-4"/>
                <w:sz w:val="21"/>
              </w:rPr>
              <w:t>12.1</w:t>
            </w:r>
          </w:p>
        </w:tc>
        <w:tc>
          <w:tcPr>
            <w:tcW w:w="719" w:type="dxa"/>
            <w:tcBorders>
              <w:bottom w:val="single" w:sz="18" w:space="0" w:color="800000"/>
            </w:tcBorders>
          </w:tcPr>
          <w:p w:rsidR="003F5784" w14:paraId="0DF32B60" w14:textId="77777777">
            <w:pPr>
              <w:pStyle w:val="TableParagraph"/>
              <w:ind w:right="140"/>
              <w:rPr>
                <w:sz w:val="21"/>
              </w:rPr>
            </w:pPr>
            <w:r>
              <w:rPr>
                <w:spacing w:val="-10"/>
                <w:sz w:val="21"/>
              </w:rPr>
              <w:t>6</w:t>
            </w:r>
          </w:p>
        </w:tc>
        <w:tc>
          <w:tcPr>
            <w:tcW w:w="1201" w:type="dxa"/>
            <w:tcBorders>
              <w:bottom w:val="single" w:sz="18" w:space="0" w:color="800000"/>
            </w:tcBorders>
          </w:tcPr>
          <w:p w:rsidR="003F5784" w14:paraId="44D3CD41" w14:textId="77777777">
            <w:pPr>
              <w:pStyle w:val="TableParagraph"/>
              <w:ind w:right="124"/>
              <w:rPr>
                <w:sz w:val="21"/>
              </w:rPr>
            </w:pPr>
            <w:r>
              <w:rPr>
                <w:spacing w:val="-2"/>
                <w:sz w:val="21"/>
              </w:rPr>
              <w:t>539,598</w:t>
            </w:r>
          </w:p>
        </w:tc>
      </w:tr>
      <w:tr w14:paraId="046D1D6E" w14:textId="77777777">
        <w:tblPrEx>
          <w:tblW w:w="0" w:type="auto"/>
          <w:tblInd w:w="482" w:type="dxa"/>
          <w:tblLayout w:type="fixed"/>
          <w:tblCellMar>
            <w:left w:w="0" w:type="dxa"/>
            <w:right w:w="0" w:type="dxa"/>
          </w:tblCellMar>
          <w:tblLook w:val="01E0"/>
        </w:tblPrEx>
        <w:trPr>
          <w:trHeight w:val="237"/>
        </w:trPr>
        <w:tc>
          <w:tcPr>
            <w:tcW w:w="2510" w:type="dxa"/>
            <w:gridSpan w:val="2"/>
            <w:tcBorders>
              <w:top w:val="single" w:sz="18" w:space="0" w:color="800000"/>
            </w:tcBorders>
          </w:tcPr>
          <w:p w:rsidR="003F5784" w14:paraId="26D555A9" w14:textId="77777777">
            <w:pPr>
              <w:pStyle w:val="TableParagraph"/>
              <w:spacing w:before="0" w:line="218" w:lineRule="exact"/>
              <w:ind w:left="120"/>
              <w:jc w:val="left"/>
              <w:rPr>
                <w:sz w:val="21"/>
              </w:rPr>
            </w:pPr>
            <w:r>
              <w:rPr>
                <w:sz w:val="21"/>
              </w:rPr>
              <w:t>†</w:t>
            </w:r>
            <w:r>
              <w:rPr>
                <w:spacing w:val="-4"/>
                <w:sz w:val="21"/>
              </w:rPr>
              <w:t xml:space="preserve"> </w:t>
            </w:r>
            <w:r>
              <w:rPr>
                <w:sz w:val="21"/>
              </w:rPr>
              <w:t>Not</w:t>
            </w:r>
            <w:r>
              <w:rPr>
                <w:spacing w:val="-3"/>
                <w:sz w:val="21"/>
              </w:rPr>
              <w:t xml:space="preserve"> </w:t>
            </w:r>
            <w:r>
              <w:rPr>
                <w:spacing w:val="-2"/>
                <w:sz w:val="21"/>
              </w:rPr>
              <w:t>applicable.</w:t>
            </w:r>
          </w:p>
        </w:tc>
        <w:tc>
          <w:tcPr>
            <w:tcW w:w="1407" w:type="dxa"/>
            <w:tcBorders>
              <w:top w:val="single" w:sz="18" w:space="0" w:color="800000"/>
            </w:tcBorders>
          </w:tcPr>
          <w:p w:rsidR="003F5784" w14:paraId="6144070A" w14:textId="77777777">
            <w:pPr>
              <w:pStyle w:val="TableParagraph"/>
              <w:spacing w:before="0"/>
              <w:jc w:val="left"/>
              <w:rPr>
                <w:sz w:val="16"/>
              </w:rPr>
            </w:pPr>
          </w:p>
        </w:tc>
        <w:tc>
          <w:tcPr>
            <w:tcW w:w="2876" w:type="dxa"/>
            <w:tcBorders>
              <w:top w:val="single" w:sz="18" w:space="0" w:color="800000"/>
            </w:tcBorders>
          </w:tcPr>
          <w:p w:rsidR="003F5784" w14:paraId="09CEF1E3" w14:textId="77777777">
            <w:pPr>
              <w:pStyle w:val="TableParagraph"/>
              <w:spacing w:before="0"/>
              <w:jc w:val="left"/>
              <w:rPr>
                <w:sz w:val="16"/>
              </w:rPr>
            </w:pPr>
          </w:p>
        </w:tc>
        <w:tc>
          <w:tcPr>
            <w:tcW w:w="2732" w:type="dxa"/>
            <w:tcBorders>
              <w:top w:val="single" w:sz="18" w:space="0" w:color="800000"/>
            </w:tcBorders>
          </w:tcPr>
          <w:p w:rsidR="003F5784" w14:paraId="6322507A" w14:textId="77777777">
            <w:pPr>
              <w:pStyle w:val="TableParagraph"/>
              <w:spacing w:before="0"/>
              <w:jc w:val="left"/>
              <w:rPr>
                <w:sz w:val="16"/>
              </w:rPr>
            </w:pPr>
          </w:p>
        </w:tc>
        <w:tc>
          <w:tcPr>
            <w:tcW w:w="2546" w:type="dxa"/>
            <w:tcBorders>
              <w:top w:val="single" w:sz="18" w:space="0" w:color="800000"/>
            </w:tcBorders>
          </w:tcPr>
          <w:p w:rsidR="003F5784" w14:paraId="36764F4F" w14:textId="77777777">
            <w:pPr>
              <w:pStyle w:val="TableParagraph"/>
              <w:spacing w:before="0"/>
              <w:jc w:val="left"/>
              <w:rPr>
                <w:sz w:val="16"/>
              </w:rPr>
            </w:pPr>
          </w:p>
        </w:tc>
        <w:tc>
          <w:tcPr>
            <w:tcW w:w="719" w:type="dxa"/>
            <w:tcBorders>
              <w:top w:val="single" w:sz="18" w:space="0" w:color="800000"/>
            </w:tcBorders>
          </w:tcPr>
          <w:p w:rsidR="003F5784" w14:paraId="73CD4E41" w14:textId="77777777">
            <w:pPr>
              <w:pStyle w:val="TableParagraph"/>
              <w:spacing w:before="0"/>
              <w:jc w:val="left"/>
              <w:rPr>
                <w:sz w:val="16"/>
              </w:rPr>
            </w:pPr>
          </w:p>
        </w:tc>
        <w:tc>
          <w:tcPr>
            <w:tcW w:w="1201" w:type="dxa"/>
            <w:tcBorders>
              <w:top w:val="single" w:sz="18" w:space="0" w:color="800000"/>
            </w:tcBorders>
          </w:tcPr>
          <w:p w:rsidR="003F5784" w14:paraId="26401B89" w14:textId="77777777">
            <w:pPr>
              <w:pStyle w:val="TableParagraph"/>
              <w:spacing w:before="0"/>
              <w:jc w:val="left"/>
              <w:rPr>
                <w:sz w:val="16"/>
              </w:rPr>
            </w:pPr>
          </w:p>
        </w:tc>
      </w:tr>
    </w:tbl>
    <w:p w:rsidR="003F5784" w14:paraId="690EC373" w14:textId="77777777">
      <w:pPr>
        <w:pStyle w:val="BodyText"/>
        <w:spacing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766CFF58" w14:textId="77777777">
      <w:pPr>
        <w:spacing w:line="232" w:lineRule="auto"/>
        <w:sectPr>
          <w:pgSz w:w="15840" w:h="12240" w:orient="landscape"/>
          <w:pgMar w:top="480" w:right="440" w:bottom="460" w:left="460" w:header="284" w:footer="275" w:gutter="0"/>
          <w:cols w:space="720"/>
        </w:sectPr>
      </w:pPr>
    </w:p>
    <w:p w:rsidR="003F5784" w14:paraId="4E8CDABD" w14:textId="77777777">
      <w:pPr>
        <w:pStyle w:val="BodyText"/>
        <w:spacing w:before="5"/>
        <w:rPr>
          <w:sz w:val="9"/>
        </w:rPr>
      </w:pPr>
    </w:p>
    <w:tbl>
      <w:tblPr>
        <w:tblW w:w="0" w:type="auto"/>
        <w:tblInd w:w="552" w:type="dxa"/>
        <w:tblLayout w:type="fixed"/>
        <w:tblCellMar>
          <w:left w:w="0" w:type="dxa"/>
          <w:right w:w="0" w:type="dxa"/>
        </w:tblCellMar>
        <w:tblLook w:val="01E0"/>
      </w:tblPr>
      <w:tblGrid>
        <w:gridCol w:w="1148"/>
        <w:gridCol w:w="10"/>
        <w:gridCol w:w="1352"/>
        <w:gridCol w:w="60"/>
        <w:gridCol w:w="1828"/>
        <w:gridCol w:w="27"/>
        <w:gridCol w:w="2652"/>
        <w:gridCol w:w="21"/>
        <w:gridCol w:w="2780"/>
        <w:gridCol w:w="10"/>
        <w:gridCol w:w="2114"/>
        <w:gridCol w:w="46"/>
        <w:gridCol w:w="630"/>
        <w:gridCol w:w="43"/>
        <w:gridCol w:w="1132"/>
        <w:gridCol w:w="130"/>
      </w:tblGrid>
      <w:tr w14:paraId="0BDF3D2E" w14:textId="77777777">
        <w:tblPrEx>
          <w:tblW w:w="0" w:type="auto"/>
          <w:tblInd w:w="552" w:type="dxa"/>
          <w:tblLayout w:type="fixed"/>
          <w:tblCellMar>
            <w:left w:w="0" w:type="dxa"/>
            <w:right w:w="0" w:type="dxa"/>
          </w:tblCellMar>
          <w:tblLook w:val="01E0"/>
        </w:tblPrEx>
        <w:trPr>
          <w:gridAfter w:val="1"/>
          <w:wAfter w:w="130" w:type="dxa"/>
          <w:trHeight w:val="232"/>
        </w:trPr>
        <w:tc>
          <w:tcPr>
            <w:tcW w:w="1148" w:type="dxa"/>
          </w:tcPr>
          <w:p w:rsidR="003F5784" w14:paraId="0CB06399" w14:textId="77777777">
            <w:pPr>
              <w:pStyle w:val="TableParagraph"/>
              <w:spacing w:before="0"/>
              <w:jc w:val="left"/>
              <w:rPr>
                <w:sz w:val="16"/>
              </w:rPr>
            </w:pPr>
          </w:p>
        </w:tc>
        <w:tc>
          <w:tcPr>
            <w:tcW w:w="1422" w:type="dxa"/>
            <w:gridSpan w:val="3"/>
          </w:tcPr>
          <w:p w:rsidR="003F5784" w14:paraId="65E99D60" w14:textId="77777777">
            <w:pPr>
              <w:pStyle w:val="TableParagraph"/>
              <w:spacing w:before="0" w:line="213" w:lineRule="exact"/>
              <w:ind w:left="193"/>
              <w:jc w:val="center"/>
              <w:rPr>
                <w:sz w:val="21"/>
              </w:rPr>
            </w:pPr>
            <w:r>
              <w:rPr>
                <w:spacing w:val="-2"/>
                <w:sz w:val="21"/>
              </w:rPr>
              <w:t>Primary</w:t>
            </w:r>
          </w:p>
        </w:tc>
        <w:tc>
          <w:tcPr>
            <w:tcW w:w="1855" w:type="dxa"/>
            <w:gridSpan w:val="2"/>
          </w:tcPr>
          <w:p w:rsidR="003F5784" w14:paraId="4E475FF0" w14:textId="77777777">
            <w:pPr>
              <w:pStyle w:val="TableParagraph"/>
              <w:spacing w:before="0" w:line="213" w:lineRule="exact"/>
              <w:ind w:right="696"/>
              <w:rPr>
                <w:sz w:val="21"/>
              </w:rPr>
            </w:pPr>
            <w:r>
              <w:rPr>
                <w:spacing w:val="-2"/>
                <w:sz w:val="21"/>
              </w:rPr>
              <w:t>Secondary</w:t>
            </w:r>
          </w:p>
        </w:tc>
        <w:tc>
          <w:tcPr>
            <w:tcW w:w="2652" w:type="dxa"/>
          </w:tcPr>
          <w:p w:rsidR="003F5784" w14:paraId="233861E4" w14:textId="77777777">
            <w:pPr>
              <w:pStyle w:val="TableParagraph"/>
              <w:spacing w:before="0"/>
              <w:jc w:val="left"/>
              <w:rPr>
                <w:sz w:val="16"/>
              </w:rPr>
            </w:pPr>
          </w:p>
        </w:tc>
        <w:tc>
          <w:tcPr>
            <w:tcW w:w="2801" w:type="dxa"/>
            <w:gridSpan w:val="2"/>
          </w:tcPr>
          <w:p w:rsidR="003F5784" w14:paraId="45102A4A" w14:textId="77777777">
            <w:pPr>
              <w:pStyle w:val="TableParagraph"/>
              <w:spacing w:before="0"/>
              <w:jc w:val="left"/>
              <w:rPr>
                <w:sz w:val="16"/>
              </w:rPr>
            </w:pPr>
          </w:p>
        </w:tc>
        <w:tc>
          <w:tcPr>
            <w:tcW w:w="2124" w:type="dxa"/>
            <w:gridSpan w:val="2"/>
          </w:tcPr>
          <w:p w:rsidR="003F5784" w14:paraId="18333725" w14:textId="77777777">
            <w:pPr>
              <w:pStyle w:val="TableParagraph"/>
              <w:spacing w:before="0"/>
              <w:jc w:val="left"/>
              <w:rPr>
                <w:sz w:val="16"/>
              </w:rPr>
            </w:pPr>
          </w:p>
        </w:tc>
        <w:tc>
          <w:tcPr>
            <w:tcW w:w="719" w:type="dxa"/>
            <w:gridSpan w:val="3"/>
          </w:tcPr>
          <w:p w:rsidR="003F5784" w14:paraId="7FD74D3F" w14:textId="77777777">
            <w:pPr>
              <w:pStyle w:val="TableParagraph"/>
              <w:spacing w:before="0"/>
              <w:jc w:val="left"/>
              <w:rPr>
                <w:sz w:val="16"/>
              </w:rPr>
            </w:pPr>
          </w:p>
        </w:tc>
        <w:tc>
          <w:tcPr>
            <w:tcW w:w="1132" w:type="dxa"/>
          </w:tcPr>
          <w:p w:rsidR="003F5784" w14:paraId="01BB5CAE" w14:textId="77777777">
            <w:pPr>
              <w:pStyle w:val="TableParagraph"/>
              <w:spacing w:before="0" w:line="213" w:lineRule="exact"/>
              <w:ind w:right="56"/>
              <w:rPr>
                <w:sz w:val="21"/>
              </w:rPr>
            </w:pPr>
            <w:r>
              <w:rPr>
                <w:sz w:val="21"/>
              </w:rPr>
              <w:t>Measure</w:t>
            </w:r>
            <w:r>
              <w:rPr>
                <w:spacing w:val="-9"/>
                <w:sz w:val="21"/>
              </w:rPr>
              <w:t xml:space="preserve"> </w:t>
            </w:r>
            <w:r>
              <w:rPr>
                <w:spacing w:val="-5"/>
                <w:sz w:val="21"/>
              </w:rPr>
              <w:t>of</w:t>
            </w:r>
          </w:p>
        </w:tc>
      </w:tr>
      <w:tr w14:paraId="4D176400" w14:textId="77777777">
        <w:tblPrEx>
          <w:tblW w:w="0" w:type="auto"/>
          <w:tblInd w:w="552" w:type="dxa"/>
          <w:tblLayout w:type="fixed"/>
          <w:tblCellMar>
            <w:left w:w="0" w:type="dxa"/>
            <w:right w:w="0" w:type="dxa"/>
          </w:tblCellMar>
          <w:tblLook w:val="01E0"/>
        </w:tblPrEx>
        <w:trPr>
          <w:gridAfter w:val="1"/>
          <w:wAfter w:w="130" w:type="dxa"/>
          <w:trHeight w:val="232"/>
        </w:trPr>
        <w:tc>
          <w:tcPr>
            <w:tcW w:w="1148" w:type="dxa"/>
          </w:tcPr>
          <w:p w:rsidR="003F5784" w14:paraId="0E3AC982" w14:textId="77777777">
            <w:pPr>
              <w:pStyle w:val="TableParagraph"/>
              <w:spacing w:before="0" w:line="213" w:lineRule="exact"/>
              <w:ind w:left="50"/>
              <w:jc w:val="left"/>
              <w:rPr>
                <w:sz w:val="21"/>
              </w:rPr>
            </w:pPr>
            <w:r>
              <w:rPr>
                <w:spacing w:val="-2"/>
                <w:sz w:val="21"/>
              </w:rPr>
              <w:t>Stratum</w:t>
            </w:r>
          </w:p>
        </w:tc>
        <w:tc>
          <w:tcPr>
            <w:tcW w:w="1422" w:type="dxa"/>
            <w:gridSpan w:val="3"/>
          </w:tcPr>
          <w:p w:rsidR="003F5784" w14:paraId="005148C1" w14:textId="77777777">
            <w:pPr>
              <w:pStyle w:val="TableParagraph"/>
              <w:spacing w:before="0" w:line="213" w:lineRule="exact"/>
              <w:ind w:left="193" w:right="35"/>
              <w:jc w:val="center"/>
              <w:rPr>
                <w:sz w:val="21"/>
              </w:rPr>
            </w:pPr>
            <w:r>
              <w:rPr>
                <w:spacing w:val="-2"/>
                <w:sz w:val="21"/>
              </w:rPr>
              <w:t>stratifier</w:t>
            </w:r>
          </w:p>
        </w:tc>
        <w:tc>
          <w:tcPr>
            <w:tcW w:w="1855" w:type="dxa"/>
            <w:gridSpan w:val="2"/>
          </w:tcPr>
          <w:p w:rsidR="003F5784" w14:paraId="4960B1BF" w14:textId="77777777">
            <w:pPr>
              <w:pStyle w:val="TableParagraph"/>
              <w:spacing w:before="0" w:line="213" w:lineRule="exact"/>
              <w:ind w:right="696"/>
              <w:rPr>
                <w:sz w:val="21"/>
              </w:rPr>
            </w:pPr>
            <w:r>
              <w:rPr>
                <w:spacing w:val="-2"/>
                <w:sz w:val="21"/>
              </w:rPr>
              <w:t>stratifier</w:t>
            </w:r>
          </w:p>
        </w:tc>
        <w:tc>
          <w:tcPr>
            <w:tcW w:w="2652" w:type="dxa"/>
          </w:tcPr>
          <w:p w:rsidR="003F5784" w14:paraId="1D8FD33B" w14:textId="77777777">
            <w:pPr>
              <w:pStyle w:val="TableParagraph"/>
              <w:spacing w:before="0" w:line="213" w:lineRule="exact"/>
              <w:ind w:left="694"/>
              <w:jc w:val="left"/>
              <w:rPr>
                <w:sz w:val="21"/>
              </w:rPr>
            </w:pPr>
            <w:r>
              <w:rPr>
                <w:spacing w:val="-2"/>
                <w:sz w:val="21"/>
              </w:rPr>
              <w:t>Tertiary</w:t>
            </w:r>
            <w:r>
              <w:rPr>
                <w:spacing w:val="-7"/>
                <w:sz w:val="21"/>
              </w:rPr>
              <w:t xml:space="preserve"> </w:t>
            </w:r>
            <w:r>
              <w:rPr>
                <w:spacing w:val="-2"/>
                <w:sz w:val="21"/>
              </w:rPr>
              <w:t>stratifier</w:t>
            </w:r>
          </w:p>
        </w:tc>
        <w:tc>
          <w:tcPr>
            <w:tcW w:w="2801" w:type="dxa"/>
            <w:gridSpan w:val="2"/>
          </w:tcPr>
          <w:p w:rsidR="003F5784" w14:paraId="31A738A7" w14:textId="77777777">
            <w:pPr>
              <w:pStyle w:val="TableParagraph"/>
              <w:spacing w:before="0" w:line="213" w:lineRule="exact"/>
              <w:ind w:left="536"/>
              <w:jc w:val="left"/>
              <w:rPr>
                <w:sz w:val="21"/>
              </w:rPr>
            </w:pPr>
            <w:r>
              <w:rPr>
                <w:sz w:val="21"/>
              </w:rPr>
              <w:t>Quaternary</w:t>
            </w:r>
            <w:r>
              <w:rPr>
                <w:spacing w:val="-11"/>
                <w:sz w:val="21"/>
              </w:rPr>
              <w:t xml:space="preserve"> </w:t>
            </w:r>
            <w:r>
              <w:rPr>
                <w:spacing w:val="-2"/>
                <w:sz w:val="21"/>
              </w:rPr>
              <w:t>stratifier</w:t>
            </w:r>
          </w:p>
        </w:tc>
        <w:tc>
          <w:tcPr>
            <w:tcW w:w="2124" w:type="dxa"/>
            <w:gridSpan w:val="2"/>
          </w:tcPr>
          <w:p w:rsidR="003F5784" w14:paraId="77353DAD" w14:textId="77777777">
            <w:pPr>
              <w:pStyle w:val="TableParagraph"/>
              <w:spacing w:before="0" w:line="213" w:lineRule="exact"/>
              <w:ind w:left="559"/>
              <w:jc w:val="left"/>
              <w:rPr>
                <w:sz w:val="21"/>
              </w:rPr>
            </w:pPr>
            <w:r>
              <w:rPr>
                <w:sz w:val="21"/>
              </w:rPr>
              <w:t>Quinary</w:t>
            </w:r>
            <w:r>
              <w:rPr>
                <w:spacing w:val="-8"/>
                <w:sz w:val="21"/>
              </w:rPr>
              <w:t xml:space="preserve"> </w:t>
            </w:r>
            <w:r>
              <w:rPr>
                <w:spacing w:val="-2"/>
                <w:sz w:val="21"/>
              </w:rPr>
              <w:t>stratifier</w:t>
            </w:r>
          </w:p>
        </w:tc>
        <w:tc>
          <w:tcPr>
            <w:tcW w:w="719" w:type="dxa"/>
            <w:gridSpan w:val="3"/>
          </w:tcPr>
          <w:p w:rsidR="003F5784" w14:paraId="508BFBF9" w14:textId="77777777">
            <w:pPr>
              <w:pStyle w:val="TableParagraph"/>
              <w:spacing w:before="0" w:line="213" w:lineRule="exact"/>
              <w:ind w:left="111"/>
              <w:jc w:val="left"/>
              <w:rPr>
                <w:sz w:val="21"/>
              </w:rPr>
            </w:pPr>
            <w:r>
              <w:rPr>
                <w:spacing w:val="-4"/>
                <w:sz w:val="21"/>
              </w:rPr>
              <w:t>PSUs</w:t>
            </w:r>
          </w:p>
        </w:tc>
        <w:tc>
          <w:tcPr>
            <w:tcW w:w="1132" w:type="dxa"/>
          </w:tcPr>
          <w:p w:rsidR="003F5784" w14:paraId="254E6F7A" w14:textId="77777777">
            <w:pPr>
              <w:pStyle w:val="TableParagraph"/>
              <w:spacing w:before="0" w:line="213" w:lineRule="exact"/>
              <w:ind w:right="56"/>
              <w:rPr>
                <w:sz w:val="21"/>
              </w:rPr>
            </w:pPr>
            <w:r>
              <w:rPr>
                <w:spacing w:val="-4"/>
                <w:sz w:val="21"/>
              </w:rPr>
              <w:t>size</w:t>
            </w:r>
          </w:p>
        </w:tc>
      </w:tr>
      <w:tr w14:paraId="65E4463A" w14:textId="77777777" w:rsidTr="00040E74">
        <w:tblPrEx>
          <w:tblW w:w="0" w:type="auto"/>
          <w:tblInd w:w="552" w:type="dxa"/>
          <w:tblLayout w:type="fixed"/>
          <w:tblCellMar>
            <w:left w:w="0" w:type="dxa"/>
            <w:right w:w="0" w:type="dxa"/>
          </w:tblCellMar>
          <w:tblLook w:val="01E0"/>
        </w:tblPrEx>
        <w:trPr>
          <w:trHeight w:val="1216"/>
        </w:trPr>
        <w:tc>
          <w:tcPr>
            <w:tcW w:w="1158" w:type="dxa"/>
            <w:gridSpan w:val="2"/>
            <w:tcBorders>
              <w:top w:val="single" w:sz="18" w:space="0" w:color="800000"/>
            </w:tcBorders>
          </w:tcPr>
          <w:p w:rsidR="003F5784" w14:paraId="1564352F" w14:textId="77777777">
            <w:pPr>
              <w:pStyle w:val="TableParagraph"/>
              <w:spacing w:before="9"/>
              <w:ind w:left="120"/>
              <w:jc w:val="left"/>
              <w:rPr>
                <w:sz w:val="21"/>
              </w:rPr>
            </w:pPr>
            <w:r>
              <w:rPr>
                <w:spacing w:val="-10"/>
                <w:sz w:val="21"/>
              </w:rPr>
              <w:t>4</w:t>
            </w:r>
          </w:p>
        </w:tc>
        <w:tc>
          <w:tcPr>
            <w:tcW w:w="1352" w:type="dxa"/>
            <w:tcBorders>
              <w:top w:val="single" w:sz="18" w:space="0" w:color="800000"/>
            </w:tcBorders>
          </w:tcPr>
          <w:p w:rsidR="003F5784" w14:paraId="4059161B" w14:textId="77777777">
            <w:pPr>
              <w:pStyle w:val="TableParagraph"/>
              <w:spacing w:before="15" w:line="232" w:lineRule="auto"/>
              <w:ind w:left="402" w:right="146" w:firstLine="86"/>
              <w:jc w:val="both"/>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11"/>
                <w:sz w:val="21"/>
              </w:rPr>
              <w:t xml:space="preserve"> </w:t>
            </w:r>
            <w:r>
              <w:rPr>
                <w:spacing w:val="-5"/>
                <w:sz w:val="21"/>
              </w:rPr>
              <w:t>&lt;=</w:t>
            </w:r>
          </w:p>
          <w:p w:rsidR="003F5784" w14:paraId="34B1CEF8" w14:textId="77777777">
            <w:pPr>
              <w:pStyle w:val="TableParagraph"/>
              <w:spacing w:before="0" w:line="237" w:lineRule="exact"/>
              <w:ind w:right="146"/>
              <w:rPr>
                <w:sz w:val="21"/>
              </w:rPr>
            </w:pPr>
            <w:r>
              <w:rPr>
                <w:spacing w:val="-4"/>
                <w:sz w:val="21"/>
              </w:rPr>
              <w:t>16.9</w:t>
            </w:r>
          </w:p>
        </w:tc>
        <w:tc>
          <w:tcPr>
            <w:tcW w:w="1888" w:type="dxa"/>
            <w:gridSpan w:val="2"/>
            <w:tcBorders>
              <w:top w:val="single" w:sz="18" w:space="0" w:color="800000"/>
            </w:tcBorders>
          </w:tcPr>
          <w:p w:rsidR="003F5784" w14:paraId="245DCCAC" w14:textId="77777777">
            <w:pPr>
              <w:pStyle w:val="TableParagraph"/>
              <w:spacing w:before="15" w:line="232" w:lineRule="auto"/>
              <w:ind w:left="432" w:right="117" w:hanging="286"/>
              <w:rPr>
                <w:sz w:val="21"/>
              </w:rPr>
            </w:pPr>
            <w:r>
              <w:rPr>
                <w:spacing w:val="-2"/>
                <w:sz w:val="21"/>
              </w:rPr>
              <w:t>Percentage</w:t>
            </w:r>
            <w:r>
              <w:rPr>
                <w:spacing w:val="-12"/>
                <w:sz w:val="21"/>
              </w:rPr>
              <w:t xml:space="preserve"> </w:t>
            </w:r>
            <w:r>
              <w:rPr>
                <w:spacing w:val="-2"/>
                <w:sz w:val="21"/>
              </w:rPr>
              <w:t xml:space="preserve">of </w:t>
            </w:r>
            <w:r>
              <w:rPr>
                <w:sz w:val="21"/>
              </w:rPr>
              <w:t>renters</w:t>
            </w:r>
            <w:r>
              <w:rPr>
                <w:spacing w:val="-7"/>
                <w:sz w:val="21"/>
              </w:rPr>
              <w:t xml:space="preserve"> </w:t>
            </w:r>
            <w:r>
              <w:rPr>
                <w:spacing w:val="-5"/>
                <w:sz w:val="21"/>
              </w:rPr>
              <w:t>&lt;=</w:t>
            </w:r>
          </w:p>
          <w:p w:rsidR="003F5784" w14:paraId="3D81AE63" w14:textId="77777777">
            <w:pPr>
              <w:pStyle w:val="TableParagraph"/>
              <w:spacing w:before="0" w:line="236" w:lineRule="exact"/>
              <w:ind w:right="117"/>
              <w:rPr>
                <w:sz w:val="21"/>
              </w:rPr>
            </w:pPr>
            <w:r>
              <w:rPr>
                <w:spacing w:val="-4"/>
                <w:sz w:val="21"/>
              </w:rPr>
              <w:t>33.5</w:t>
            </w:r>
          </w:p>
        </w:tc>
        <w:tc>
          <w:tcPr>
            <w:tcW w:w="2700" w:type="dxa"/>
            <w:gridSpan w:val="3"/>
            <w:tcBorders>
              <w:top w:val="single" w:sz="18" w:space="0" w:color="800000"/>
            </w:tcBorders>
          </w:tcPr>
          <w:p w:rsidR="003F5784" w14:paraId="330BE5E1" w14:textId="77777777">
            <w:pPr>
              <w:pStyle w:val="TableParagraph"/>
              <w:spacing w:before="15" w:line="232" w:lineRule="auto"/>
              <w:ind w:left="117" w:right="177" w:firstLine="839"/>
              <w:rPr>
                <w:sz w:val="21"/>
              </w:rPr>
            </w:pPr>
            <w:r>
              <w:rPr>
                <w:sz w:val="21"/>
              </w:rPr>
              <w:t>Percentage</w:t>
            </w:r>
            <w:r>
              <w:rPr>
                <w:spacing w:val="-14"/>
                <w:sz w:val="21"/>
              </w:rPr>
              <w:t xml:space="preserve"> </w:t>
            </w:r>
            <w:r>
              <w:rPr>
                <w:sz w:val="21"/>
              </w:rPr>
              <w:t>of</w:t>
            </w:r>
            <w:r>
              <w:rPr>
                <w:spacing w:val="-13"/>
                <w:sz w:val="21"/>
              </w:rPr>
              <w:t xml:space="preserve"> </w:t>
            </w:r>
            <w:r>
              <w:rPr>
                <w:sz w:val="21"/>
              </w:rPr>
              <w:t>Black, Hispanic,</w:t>
            </w:r>
            <w:r>
              <w:rPr>
                <w:spacing w:val="-12"/>
                <w:sz w:val="21"/>
              </w:rPr>
              <w:t xml:space="preserve"> </w:t>
            </w:r>
            <w:r>
              <w:rPr>
                <w:sz w:val="21"/>
              </w:rPr>
              <w:t>American Indian/Alaska Native, or Native</w:t>
            </w:r>
            <w:r>
              <w:rPr>
                <w:spacing w:val="-14"/>
                <w:sz w:val="21"/>
              </w:rPr>
              <w:t xml:space="preserve"> </w:t>
            </w:r>
            <w:r>
              <w:rPr>
                <w:sz w:val="21"/>
              </w:rPr>
              <w:t>Hawaiian/Other</w:t>
            </w:r>
            <w:r>
              <w:rPr>
                <w:spacing w:val="-13"/>
                <w:sz w:val="21"/>
              </w:rPr>
              <w:t xml:space="preserve"> </w:t>
            </w:r>
            <w:r>
              <w:rPr>
                <w:sz w:val="21"/>
              </w:rPr>
              <w:t>Pacific Islander youth &lt;= 28.2</w:t>
            </w:r>
          </w:p>
        </w:tc>
        <w:tc>
          <w:tcPr>
            <w:tcW w:w="2790" w:type="dxa"/>
            <w:gridSpan w:val="2"/>
            <w:tcBorders>
              <w:top w:val="single" w:sz="18" w:space="0" w:color="800000"/>
            </w:tcBorders>
          </w:tcPr>
          <w:p w:rsidR="003F5784" w14:paraId="6A7EC160" w14:textId="77777777">
            <w:pPr>
              <w:pStyle w:val="TableParagraph"/>
              <w:spacing w:before="9" w:line="238" w:lineRule="exact"/>
              <w:ind w:right="144"/>
              <w:rPr>
                <w:sz w:val="21"/>
              </w:rPr>
            </w:pPr>
            <w:r>
              <w:rPr>
                <w:sz w:val="21"/>
              </w:rPr>
              <w:t>Per</w:t>
            </w:r>
            <w:r>
              <w:rPr>
                <w:spacing w:val="-7"/>
                <w:sz w:val="21"/>
              </w:rPr>
              <w:t xml:space="preserve"> </w:t>
            </w:r>
            <w:r>
              <w:rPr>
                <w:sz w:val="21"/>
              </w:rPr>
              <w:t>capita</w:t>
            </w:r>
            <w:r>
              <w:rPr>
                <w:spacing w:val="-6"/>
                <w:sz w:val="21"/>
              </w:rPr>
              <w:t xml:space="preserve"> </w:t>
            </w:r>
            <w:r>
              <w:rPr>
                <w:sz w:val="21"/>
              </w:rPr>
              <w:t>household</w:t>
            </w:r>
            <w:r>
              <w:rPr>
                <w:spacing w:val="-7"/>
                <w:sz w:val="21"/>
              </w:rPr>
              <w:t xml:space="preserve"> </w:t>
            </w:r>
            <w:r>
              <w:rPr>
                <w:spacing w:val="-2"/>
                <w:sz w:val="21"/>
              </w:rPr>
              <w:t>income</w:t>
            </w:r>
          </w:p>
          <w:p w:rsidR="003F5784" w14:paraId="1BCD7B82" w14:textId="77777777">
            <w:pPr>
              <w:pStyle w:val="TableParagraph"/>
              <w:spacing w:before="0" w:line="238" w:lineRule="exact"/>
              <w:ind w:right="144"/>
              <w:rPr>
                <w:sz w:val="21"/>
              </w:rPr>
            </w:pPr>
            <w:r>
              <w:rPr>
                <w:spacing w:val="-2"/>
                <w:sz w:val="21"/>
              </w:rPr>
              <w:t>($23,025-$25,326]</w:t>
            </w:r>
          </w:p>
        </w:tc>
        <w:tc>
          <w:tcPr>
            <w:tcW w:w="2160" w:type="dxa"/>
            <w:gridSpan w:val="2"/>
            <w:tcBorders>
              <w:top w:val="single" w:sz="18" w:space="0" w:color="800000"/>
            </w:tcBorders>
          </w:tcPr>
          <w:p w:rsidR="003F5784" w14:paraId="3507F8D4" w14:textId="77777777">
            <w:pPr>
              <w:pStyle w:val="TableParagraph"/>
              <w:spacing w:before="15" w:line="232" w:lineRule="auto"/>
              <w:ind w:left="671" w:right="295" w:hanging="79"/>
              <w:rPr>
                <w:sz w:val="21"/>
              </w:rPr>
            </w:pPr>
            <w:r>
              <w:rPr>
                <w:sz w:val="21"/>
              </w:rPr>
              <w:t>Percentage</w:t>
            </w:r>
            <w:r>
              <w:rPr>
                <w:spacing w:val="-14"/>
                <w:sz w:val="21"/>
              </w:rPr>
              <w:t xml:space="preserve"> </w:t>
            </w:r>
            <w:r>
              <w:rPr>
                <w:sz w:val="21"/>
              </w:rPr>
              <w:t>of</w:t>
            </w:r>
            <w:r>
              <w:rPr>
                <w:spacing w:val="-13"/>
                <w:sz w:val="21"/>
              </w:rPr>
              <w:t xml:space="preserve"> </w:t>
            </w:r>
            <w:r>
              <w:rPr>
                <w:sz w:val="21"/>
              </w:rPr>
              <w:t>female- headed</w:t>
            </w:r>
            <w:r>
              <w:rPr>
                <w:spacing w:val="-9"/>
                <w:sz w:val="21"/>
              </w:rPr>
              <w:t xml:space="preserve"> </w:t>
            </w:r>
            <w:r>
              <w:rPr>
                <w:sz w:val="21"/>
              </w:rPr>
              <w:t>households</w:t>
            </w:r>
            <w:r>
              <w:rPr>
                <w:spacing w:val="-9"/>
                <w:sz w:val="21"/>
              </w:rPr>
              <w:t xml:space="preserve"> </w:t>
            </w:r>
            <w:r>
              <w:rPr>
                <w:spacing w:val="-10"/>
                <w:sz w:val="21"/>
              </w:rPr>
              <w:t>&gt;</w:t>
            </w:r>
          </w:p>
          <w:p w:rsidR="003F5784" w14:paraId="0DE1A540" w14:textId="77777777">
            <w:pPr>
              <w:pStyle w:val="TableParagraph"/>
              <w:spacing w:before="0" w:line="236" w:lineRule="exact"/>
              <w:ind w:right="295"/>
              <w:rPr>
                <w:sz w:val="21"/>
              </w:rPr>
            </w:pPr>
            <w:r>
              <w:rPr>
                <w:spacing w:val="-4"/>
                <w:sz w:val="21"/>
              </w:rPr>
              <w:t>12.1</w:t>
            </w:r>
          </w:p>
        </w:tc>
        <w:tc>
          <w:tcPr>
            <w:tcW w:w="630" w:type="dxa"/>
            <w:tcBorders>
              <w:top w:val="single" w:sz="18" w:space="0" w:color="800000"/>
            </w:tcBorders>
          </w:tcPr>
          <w:p w:rsidR="003F5784" w14:paraId="248D3FA0" w14:textId="77777777">
            <w:pPr>
              <w:pStyle w:val="TableParagraph"/>
              <w:spacing w:before="9"/>
              <w:ind w:left="27"/>
              <w:jc w:val="center"/>
              <w:rPr>
                <w:sz w:val="21"/>
              </w:rPr>
            </w:pPr>
            <w:r>
              <w:rPr>
                <w:spacing w:val="-10"/>
                <w:sz w:val="21"/>
              </w:rPr>
              <w:t>6</w:t>
            </w:r>
          </w:p>
        </w:tc>
        <w:tc>
          <w:tcPr>
            <w:tcW w:w="1305" w:type="dxa"/>
            <w:gridSpan w:val="3"/>
            <w:tcBorders>
              <w:top w:val="single" w:sz="18" w:space="0" w:color="800000"/>
            </w:tcBorders>
          </w:tcPr>
          <w:p w:rsidR="003F5784" w14:paraId="59CE9984" w14:textId="77777777">
            <w:pPr>
              <w:pStyle w:val="TableParagraph"/>
              <w:spacing w:before="9"/>
              <w:ind w:right="116"/>
              <w:rPr>
                <w:sz w:val="21"/>
              </w:rPr>
            </w:pPr>
            <w:r>
              <w:rPr>
                <w:spacing w:val="-2"/>
                <w:sz w:val="21"/>
              </w:rPr>
              <w:t>543,970</w:t>
            </w:r>
          </w:p>
        </w:tc>
      </w:tr>
      <w:tr w14:paraId="0CCED342" w14:textId="77777777" w:rsidTr="00040E74">
        <w:tblPrEx>
          <w:tblW w:w="0" w:type="auto"/>
          <w:tblInd w:w="552" w:type="dxa"/>
          <w:tblLayout w:type="fixed"/>
          <w:tblCellMar>
            <w:left w:w="0" w:type="dxa"/>
            <w:right w:w="0" w:type="dxa"/>
          </w:tblCellMar>
          <w:tblLook w:val="01E0"/>
        </w:tblPrEx>
        <w:trPr>
          <w:trHeight w:val="1225"/>
        </w:trPr>
        <w:tc>
          <w:tcPr>
            <w:tcW w:w="1158" w:type="dxa"/>
            <w:gridSpan w:val="2"/>
          </w:tcPr>
          <w:p w:rsidR="003F5784" w14:paraId="016700C8" w14:textId="77777777">
            <w:pPr>
              <w:pStyle w:val="TableParagraph"/>
              <w:ind w:left="120"/>
              <w:jc w:val="left"/>
              <w:rPr>
                <w:sz w:val="21"/>
              </w:rPr>
            </w:pPr>
            <w:r>
              <w:rPr>
                <w:spacing w:val="-10"/>
                <w:sz w:val="21"/>
              </w:rPr>
              <w:t>5</w:t>
            </w:r>
          </w:p>
        </w:tc>
        <w:tc>
          <w:tcPr>
            <w:tcW w:w="1352" w:type="dxa"/>
          </w:tcPr>
          <w:p w:rsidR="003F5784" w14:paraId="6795A6BC" w14:textId="77777777">
            <w:pPr>
              <w:pStyle w:val="TableParagraph"/>
              <w:spacing w:before="23" w:line="232" w:lineRule="auto"/>
              <w:ind w:left="402" w:right="146" w:firstLine="86"/>
              <w:jc w:val="both"/>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11"/>
                <w:sz w:val="21"/>
              </w:rPr>
              <w:t xml:space="preserve"> </w:t>
            </w:r>
            <w:r>
              <w:rPr>
                <w:spacing w:val="-5"/>
                <w:sz w:val="21"/>
              </w:rPr>
              <w:t>&lt;=</w:t>
            </w:r>
          </w:p>
          <w:p w:rsidR="003F5784" w14:paraId="732A6F55" w14:textId="77777777">
            <w:pPr>
              <w:pStyle w:val="TableParagraph"/>
              <w:spacing w:before="0" w:line="237" w:lineRule="exact"/>
              <w:ind w:right="146"/>
              <w:rPr>
                <w:sz w:val="21"/>
              </w:rPr>
            </w:pPr>
            <w:r>
              <w:rPr>
                <w:spacing w:val="-4"/>
                <w:sz w:val="21"/>
              </w:rPr>
              <w:t>16.9</w:t>
            </w:r>
          </w:p>
        </w:tc>
        <w:tc>
          <w:tcPr>
            <w:tcW w:w="1888" w:type="dxa"/>
            <w:gridSpan w:val="2"/>
          </w:tcPr>
          <w:p w:rsidR="003F5784" w14:paraId="3DFE10E8" w14:textId="77777777">
            <w:pPr>
              <w:pStyle w:val="TableParagraph"/>
              <w:spacing w:before="23" w:line="232" w:lineRule="auto"/>
              <w:ind w:left="432" w:right="117" w:hanging="286"/>
              <w:rPr>
                <w:sz w:val="21"/>
              </w:rPr>
            </w:pPr>
            <w:r>
              <w:rPr>
                <w:spacing w:val="-2"/>
                <w:sz w:val="21"/>
              </w:rPr>
              <w:t>Percentage</w:t>
            </w:r>
            <w:r>
              <w:rPr>
                <w:spacing w:val="-12"/>
                <w:sz w:val="21"/>
              </w:rPr>
              <w:t xml:space="preserve"> </w:t>
            </w:r>
            <w:r>
              <w:rPr>
                <w:spacing w:val="-2"/>
                <w:sz w:val="21"/>
              </w:rPr>
              <w:t xml:space="preserve">of </w:t>
            </w:r>
            <w:r>
              <w:rPr>
                <w:sz w:val="21"/>
              </w:rPr>
              <w:t>renters</w:t>
            </w:r>
            <w:r>
              <w:rPr>
                <w:spacing w:val="-7"/>
                <w:sz w:val="21"/>
              </w:rPr>
              <w:t xml:space="preserve"> </w:t>
            </w:r>
            <w:r>
              <w:rPr>
                <w:spacing w:val="-5"/>
                <w:sz w:val="21"/>
              </w:rPr>
              <w:t>&lt;=</w:t>
            </w:r>
          </w:p>
          <w:p w:rsidR="003F5784" w14:paraId="56DB6607" w14:textId="77777777">
            <w:pPr>
              <w:pStyle w:val="TableParagraph"/>
              <w:spacing w:before="0" w:line="236" w:lineRule="exact"/>
              <w:ind w:right="117"/>
              <w:rPr>
                <w:sz w:val="21"/>
              </w:rPr>
            </w:pPr>
            <w:r>
              <w:rPr>
                <w:spacing w:val="-4"/>
                <w:sz w:val="21"/>
              </w:rPr>
              <w:t>33.5</w:t>
            </w:r>
          </w:p>
        </w:tc>
        <w:tc>
          <w:tcPr>
            <w:tcW w:w="2700" w:type="dxa"/>
            <w:gridSpan w:val="3"/>
          </w:tcPr>
          <w:p w:rsidR="003F5784" w14:paraId="39E5FAE7" w14:textId="77777777">
            <w:pPr>
              <w:pStyle w:val="TableParagraph"/>
              <w:spacing w:before="23" w:line="232" w:lineRule="auto"/>
              <w:ind w:left="117" w:right="177" w:firstLine="839"/>
              <w:rPr>
                <w:sz w:val="21"/>
              </w:rPr>
            </w:pPr>
            <w:r>
              <w:rPr>
                <w:sz w:val="21"/>
              </w:rPr>
              <w:t>Percentage</w:t>
            </w:r>
            <w:r>
              <w:rPr>
                <w:spacing w:val="-14"/>
                <w:sz w:val="21"/>
              </w:rPr>
              <w:t xml:space="preserve"> </w:t>
            </w:r>
            <w:r>
              <w:rPr>
                <w:sz w:val="21"/>
              </w:rPr>
              <w:t>of</w:t>
            </w:r>
            <w:r>
              <w:rPr>
                <w:spacing w:val="-13"/>
                <w:sz w:val="21"/>
              </w:rPr>
              <w:t xml:space="preserve"> </w:t>
            </w:r>
            <w:r>
              <w:rPr>
                <w:sz w:val="21"/>
              </w:rPr>
              <w:t>Black, Hispanic,</w:t>
            </w:r>
            <w:r>
              <w:rPr>
                <w:spacing w:val="-12"/>
                <w:sz w:val="21"/>
              </w:rPr>
              <w:t xml:space="preserve"> </w:t>
            </w:r>
            <w:r>
              <w:rPr>
                <w:sz w:val="21"/>
              </w:rPr>
              <w:t>American Indian/Alaska Native, or Native</w:t>
            </w:r>
            <w:r>
              <w:rPr>
                <w:spacing w:val="-14"/>
                <w:sz w:val="21"/>
              </w:rPr>
              <w:t xml:space="preserve"> </w:t>
            </w:r>
            <w:r>
              <w:rPr>
                <w:sz w:val="21"/>
              </w:rPr>
              <w:t>Hawaiian/Other</w:t>
            </w:r>
            <w:r>
              <w:rPr>
                <w:spacing w:val="-13"/>
                <w:sz w:val="21"/>
              </w:rPr>
              <w:t xml:space="preserve"> </w:t>
            </w:r>
            <w:r>
              <w:rPr>
                <w:sz w:val="21"/>
              </w:rPr>
              <w:t>Pacific Islander youth &lt;= 28.2</w:t>
            </w:r>
          </w:p>
        </w:tc>
        <w:tc>
          <w:tcPr>
            <w:tcW w:w="2790" w:type="dxa"/>
            <w:gridSpan w:val="2"/>
          </w:tcPr>
          <w:p w:rsidR="003F5784" w14:paraId="46D73A06" w14:textId="77777777">
            <w:pPr>
              <w:pStyle w:val="TableParagraph"/>
              <w:spacing w:line="238" w:lineRule="exact"/>
              <w:ind w:right="144"/>
              <w:rPr>
                <w:sz w:val="21"/>
              </w:rPr>
            </w:pPr>
            <w:r>
              <w:rPr>
                <w:sz w:val="21"/>
              </w:rPr>
              <w:t>Per</w:t>
            </w:r>
            <w:r>
              <w:rPr>
                <w:spacing w:val="-7"/>
                <w:sz w:val="21"/>
              </w:rPr>
              <w:t xml:space="preserve"> </w:t>
            </w:r>
            <w:r>
              <w:rPr>
                <w:sz w:val="21"/>
              </w:rPr>
              <w:t>capita</w:t>
            </w:r>
            <w:r>
              <w:rPr>
                <w:spacing w:val="-6"/>
                <w:sz w:val="21"/>
              </w:rPr>
              <w:t xml:space="preserve"> </w:t>
            </w:r>
            <w:r>
              <w:rPr>
                <w:sz w:val="21"/>
              </w:rPr>
              <w:t>household</w:t>
            </w:r>
            <w:r>
              <w:rPr>
                <w:spacing w:val="-7"/>
                <w:sz w:val="21"/>
              </w:rPr>
              <w:t xml:space="preserve"> </w:t>
            </w:r>
            <w:r>
              <w:rPr>
                <w:spacing w:val="-2"/>
                <w:sz w:val="21"/>
              </w:rPr>
              <w:t>income</w:t>
            </w:r>
          </w:p>
          <w:p w:rsidR="003F5784" w14:paraId="49D9C44E" w14:textId="77777777">
            <w:pPr>
              <w:pStyle w:val="TableParagraph"/>
              <w:spacing w:before="0" w:line="238" w:lineRule="exact"/>
              <w:ind w:right="144"/>
              <w:rPr>
                <w:sz w:val="21"/>
              </w:rPr>
            </w:pPr>
            <w:r>
              <w:rPr>
                <w:spacing w:val="-2"/>
                <w:sz w:val="21"/>
              </w:rPr>
              <w:t>($25,326-$27,540]</w:t>
            </w:r>
          </w:p>
        </w:tc>
        <w:tc>
          <w:tcPr>
            <w:tcW w:w="2160" w:type="dxa"/>
            <w:gridSpan w:val="2"/>
          </w:tcPr>
          <w:p w:rsidR="003F5784" w14:paraId="424CD328" w14:textId="77777777">
            <w:pPr>
              <w:pStyle w:val="TableParagraph"/>
              <w:spacing w:before="23" w:line="232" w:lineRule="auto"/>
              <w:ind w:left="144" w:right="291" w:firstLine="448"/>
              <w:jc w:val="left"/>
              <w:rPr>
                <w:sz w:val="21"/>
              </w:rPr>
            </w:pPr>
            <w:r>
              <w:rPr>
                <w:sz w:val="21"/>
              </w:rPr>
              <w:t>Percentage</w:t>
            </w:r>
            <w:r>
              <w:rPr>
                <w:spacing w:val="-14"/>
                <w:sz w:val="21"/>
              </w:rPr>
              <w:t xml:space="preserve"> </w:t>
            </w:r>
            <w:r>
              <w:rPr>
                <w:sz w:val="21"/>
              </w:rPr>
              <w:t>of</w:t>
            </w:r>
            <w:r>
              <w:rPr>
                <w:spacing w:val="-13"/>
                <w:sz w:val="21"/>
              </w:rPr>
              <w:t xml:space="preserve"> </w:t>
            </w:r>
            <w:r>
              <w:rPr>
                <w:sz w:val="21"/>
              </w:rPr>
              <w:t>female- headed</w:t>
            </w:r>
            <w:r>
              <w:rPr>
                <w:spacing w:val="-7"/>
                <w:sz w:val="21"/>
              </w:rPr>
              <w:t xml:space="preserve"> </w:t>
            </w:r>
            <w:r>
              <w:rPr>
                <w:sz w:val="21"/>
              </w:rPr>
              <w:t>households</w:t>
            </w:r>
            <w:r>
              <w:rPr>
                <w:spacing w:val="-7"/>
                <w:sz w:val="21"/>
              </w:rPr>
              <w:t xml:space="preserve"> </w:t>
            </w:r>
            <w:r>
              <w:rPr>
                <w:sz w:val="21"/>
              </w:rPr>
              <w:t>&lt;=</w:t>
            </w:r>
            <w:r>
              <w:rPr>
                <w:spacing w:val="-7"/>
                <w:sz w:val="21"/>
              </w:rPr>
              <w:t xml:space="preserve"> </w:t>
            </w:r>
            <w:r>
              <w:rPr>
                <w:spacing w:val="-4"/>
                <w:sz w:val="21"/>
              </w:rPr>
              <w:t>11.8</w:t>
            </w:r>
          </w:p>
        </w:tc>
        <w:tc>
          <w:tcPr>
            <w:tcW w:w="630" w:type="dxa"/>
          </w:tcPr>
          <w:p w:rsidR="003F5784" w14:paraId="184D71D0" w14:textId="77777777">
            <w:pPr>
              <w:pStyle w:val="TableParagraph"/>
              <w:ind w:left="27"/>
              <w:jc w:val="center"/>
              <w:rPr>
                <w:sz w:val="21"/>
              </w:rPr>
            </w:pPr>
            <w:r>
              <w:rPr>
                <w:spacing w:val="-10"/>
                <w:sz w:val="21"/>
              </w:rPr>
              <w:t>6</w:t>
            </w:r>
          </w:p>
        </w:tc>
        <w:tc>
          <w:tcPr>
            <w:tcW w:w="1305" w:type="dxa"/>
            <w:gridSpan w:val="3"/>
          </w:tcPr>
          <w:p w:rsidR="003F5784" w14:paraId="6E13E897" w14:textId="77777777">
            <w:pPr>
              <w:pStyle w:val="TableParagraph"/>
              <w:ind w:right="116"/>
              <w:rPr>
                <w:sz w:val="21"/>
              </w:rPr>
            </w:pPr>
            <w:r>
              <w:rPr>
                <w:spacing w:val="-2"/>
                <w:sz w:val="21"/>
              </w:rPr>
              <w:t>456,746</w:t>
            </w:r>
          </w:p>
        </w:tc>
      </w:tr>
      <w:tr w14:paraId="188BAC8E" w14:textId="77777777" w:rsidTr="00040E74">
        <w:tblPrEx>
          <w:tblW w:w="0" w:type="auto"/>
          <w:tblInd w:w="552" w:type="dxa"/>
          <w:tblLayout w:type="fixed"/>
          <w:tblCellMar>
            <w:left w:w="0" w:type="dxa"/>
            <w:right w:w="0" w:type="dxa"/>
          </w:tblCellMar>
          <w:tblLook w:val="01E0"/>
        </w:tblPrEx>
        <w:trPr>
          <w:trHeight w:val="1225"/>
        </w:trPr>
        <w:tc>
          <w:tcPr>
            <w:tcW w:w="1158" w:type="dxa"/>
            <w:gridSpan w:val="2"/>
          </w:tcPr>
          <w:p w:rsidR="003F5784" w14:paraId="758B3BC0" w14:textId="77777777">
            <w:pPr>
              <w:pStyle w:val="TableParagraph"/>
              <w:ind w:left="120"/>
              <w:jc w:val="left"/>
              <w:rPr>
                <w:sz w:val="21"/>
              </w:rPr>
            </w:pPr>
            <w:r>
              <w:rPr>
                <w:spacing w:val="-10"/>
                <w:sz w:val="21"/>
              </w:rPr>
              <w:t>6</w:t>
            </w:r>
          </w:p>
        </w:tc>
        <w:tc>
          <w:tcPr>
            <w:tcW w:w="1352" w:type="dxa"/>
          </w:tcPr>
          <w:p w:rsidR="003F5784" w14:paraId="79803E77" w14:textId="77777777">
            <w:pPr>
              <w:pStyle w:val="TableParagraph"/>
              <w:spacing w:before="23" w:line="232" w:lineRule="auto"/>
              <w:ind w:left="402" w:right="146" w:firstLine="86"/>
              <w:jc w:val="both"/>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11"/>
                <w:sz w:val="21"/>
              </w:rPr>
              <w:t xml:space="preserve"> </w:t>
            </w:r>
            <w:r>
              <w:rPr>
                <w:spacing w:val="-5"/>
                <w:sz w:val="21"/>
              </w:rPr>
              <w:t>&lt;=</w:t>
            </w:r>
          </w:p>
          <w:p w:rsidR="003F5784" w14:paraId="47E9560A" w14:textId="77777777">
            <w:pPr>
              <w:pStyle w:val="TableParagraph"/>
              <w:spacing w:before="0" w:line="237" w:lineRule="exact"/>
              <w:ind w:right="146"/>
              <w:rPr>
                <w:sz w:val="21"/>
              </w:rPr>
            </w:pPr>
            <w:r>
              <w:rPr>
                <w:spacing w:val="-4"/>
                <w:sz w:val="21"/>
              </w:rPr>
              <w:t>16.9</w:t>
            </w:r>
          </w:p>
        </w:tc>
        <w:tc>
          <w:tcPr>
            <w:tcW w:w="1888" w:type="dxa"/>
            <w:gridSpan w:val="2"/>
          </w:tcPr>
          <w:p w:rsidR="003F5784" w14:paraId="5D968C62" w14:textId="77777777">
            <w:pPr>
              <w:pStyle w:val="TableParagraph"/>
              <w:spacing w:before="23" w:line="232" w:lineRule="auto"/>
              <w:ind w:left="432" w:right="117" w:hanging="286"/>
              <w:rPr>
                <w:sz w:val="21"/>
              </w:rPr>
            </w:pPr>
            <w:r>
              <w:rPr>
                <w:spacing w:val="-2"/>
                <w:sz w:val="21"/>
              </w:rPr>
              <w:t>Percentage</w:t>
            </w:r>
            <w:r>
              <w:rPr>
                <w:spacing w:val="-12"/>
                <w:sz w:val="21"/>
              </w:rPr>
              <w:t xml:space="preserve"> </w:t>
            </w:r>
            <w:r>
              <w:rPr>
                <w:spacing w:val="-2"/>
                <w:sz w:val="21"/>
              </w:rPr>
              <w:t xml:space="preserve">of </w:t>
            </w:r>
            <w:r>
              <w:rPr>
                <w:sz w:val="21"/>
              </w:rPr>
              <w:t>renters</w:t>
            </w:r>
            <w:r>
              <w:rPr>
                <w:spacing w:val="-7"/>
                <w:sz w:val="21"/>
              </w:rPr>
              <w:t xml:space="preserve"> </w:t>
            </w:r>
            <w:r>
              <w:rPr>
                <w:spacing w:val="-5"/>
                <w:sz w:val="21"/>
              </w:rPr>
              <w:t>&lt;=</w:t>
            </w:r>
          </w:p>
          <w:p w:rsidR="003F5784" w14:paraId="739461C4" w14:textId="77777777">
            <w:pPr>
              <w:pStyle w:val="TableParagraph"/>
              <w:spacing w:before="0" w:line="236" w:lineRule="exact"/>
              <w:ind w:right="117"/>
              <w:rPr>
                <w:sz w:val="21"/>
              </w:rPr>
            </w:pPr>
            <w:r>
              <w:rPr>
                <w:spacing w:val="-4"/>
                <w:sz w:val="21"/>
              </w:rPr>
              <w:t>33.5</w:t>
            </w:r>
          </w:p>
        </w:tc>
        <w:tc>
          <w:tcPr>
            <w:tcW w:w="2700" w:type="dxa"/>
            <w:gridSpan w:val="3"/>
          </w:tcPr>
          <w:p w:rsidR="003F5784" w14:paraId="1E779810" w14:textId="77777777">
            <w:pPr>
              <w:pStyle w:val="TableParagraph"/>
              <w:spacing w:before="23" w:line="232" w:lineRule="auto"/>
              <w:ind w:left="117" w:right="177" w:firstLine="839"/>
              <w:rPr>
                <w:sz w:val="21"/>
              </w:rPr>
            </w:pPr>
            <w:r>
              <w:rPr>
                <w:sz w:val="21"/>
              </w:rPr>
              <w:t>Percentage</w:t>
            </w:r>
            <w:r>
              <w:rPr>
                <w:spacing w:val="-14"/>
                <w:sz w:val="21"/>
              </w:rPr>
              <w:t xml:space="preserve"> </w:t>
            </w:r>
            <w:r>
              <w:rPr>
                <w:sz w:val="21"/>
              </w:rPr>
              <w:t>of</w:t>
            </w:r>
            <w:r>
              <w:rPr>
                <w:spacing w:val="-13"/>
                <w:sz w:val="21"/>
              </w:rPr>
              <w:t xml:space="preserve"> </w:t>
            </w:r>
            <w:r>
              <w:rPr>
                <w:sz w:val="21"/>
              </w:rPr>
              <w:t>Black, Hispanic,</w:t>
            </w:r>
            <w:r>
              <w:rPr>
                <w:spacing w:val="-12"/>
                <w:sz w:val="21"/>
              </w:rPr>
              <w:t xml:space="preserve"> </w:t>
            </w:r>
            <w:r>
              <w:rPr>
                <w:sz w:val="21"/>
              </w:rPr>
              <w:t>American Indian/Alaska Native, or Native</w:t>
            </w:r>
            <w:r>
              <w:rPr>
                <w:spacing w:val="-14"/>
                <w:sz w:val="21"/>
              </w:rPr>
              <w:t xml:space="preserve"> </w:t>
            </w:r>
            <w:r>
              <w:rPr>
                <w:sz w:val="21"/>
              </w:rPr>
              <w:t>Hawaiian/Other</w:t>
            </w:r>
            <w:r>
              <w:rPr>
                <w:spacing w:val="-13"/>
                <w:sz w:val="21"/>
              </w:rPr>
              <w:t xml:space="preserve"> </w:t>
            </w:r>
            <w:r>
              <w:rPr>
                <w:sz w:val="21"/>
              </w:rPr>
              <w:t>Pacific Islander youth &lt;= 28.2</w:t>
            </w:r>
          </w:p>
        </w:tc>
        <w:tc>
          <w:tcPr>
            <w:tcW w:w="2790" w:type="dxa"/>
            <w:gridSpan w:val="2"/>
          </w:tcPr>
          <w:p w:rsidR="003F5784" w14:paraId="6D115B07" w14:textId="77777777">
            <w:pPr>
              <w:pStyle w:val="TableParagraph"/>
              <w:spacing w:line="238" w:lineRule="exact"/>
              <w:ind w:right="144"/>
              <w:rPr>
                <w:sz w:val="21"/>
              </w:rPr>
            </w:pPr>
            <w:r>
              <w:rPr>
                <w:sz w:val="21"/>
              </w:rPr>
              <w:t>Per</w:t>
            </w:r>
            <w:r>
              <w:rPr>
                <w:spacing w:val="-7"/>
                <w:sz w:val="21"/>
              </w:rPr>
              <w:t xml:space="preserve"> </w:t>
            </w:r>
            <w:r>
              <w:rPr>
                <w:sz w:val="21"/>
              </w:rPr>
              <w:t>capita</w:t>
            </w:r>
            <w:r>
              <w:rPr>
                <w:spacing w:val="-6"/>
                <w:sz w:val="21"/>
              </w:rPr>
              <w:t xml:space="preserve"> </w:t>
            </w:r>
            <w:r>
              <w:rPr>
                <w:sz w:val="21"/>
              </w:rPr>
              <w:t>household</w:t>
            </w:r>
            <w:r>
              <w:rPr>
                <w:spacing w:val="-7"/>
                <w:sz w:val="21"/>
              </w:rPr>
              <w:t xml:space="preserve"> </w:t>
            </w:r>
            <w:r>
              <w:rPr>
                <w:spacing w:val="-2"/>
                <w:sz w:val="21"/>
              </w:rPr>
              <w:t>income</w:t>
            </w:r>
          </w:p>
          <w:p w:rsidR="003F5784" w14:paraId="4DDE04BE" w14:textId="77777777">
            <w:pPr>
              <w:pStyle w:val="TableParagraph"/>
              <w:spacing w:before="0" w:line="238" w:lineRule="exact"/>
              <w:ind w:right="144"/>
              <w:rPr>
                <w:sz w:val="21"/>
              </w:rPr>
            </w:pPr>
            <w:r>
              <w:rPr>
                <w:spacing w:val="-2"/>
                <w:sz w:val="21"/>
              </w:rPr>
              <w:t>($25,326-$27,540]</w:t>
            </w:r>
          </w:p>
        </w:tc>
        <w:tc>
          <w:tcPr>
            <w:tcW w:w="2160" w:type="dxa"/>
            <w:gridSpan w:val="2"/>
          </w:tcPr>
          <w:p w:rsidR="003F5784" w14:paraId="5968C7C3" w14:textId="77777777">
            <w:pPr>
              <w:pStyle w:val="TableParagraph"/>
              <w:spacing w:before="23" w:line="232" w:lineRule="auto"/>
              <w:ind w:left="671" w:right="295" w:hanging="79"/>
              <w:rPr>
                <w:sz w:val="21"/>
              </w:rPr>
            </w:pPr>
            <w:r>
              <w:rPr>
                <w:sz w:val="21"/>
              </w:rPr>
              <w:t>Percentage</w:t>
            </w:r>
            <w:r>
              <w:rPr>
                <w:spacing w:val="-14"/>
                <w:sz w:val="21"/>
              </w:rPr>
              <w:t xml:space="preserve"> </w:t>
            </w:r>
            <w:r>
              <w:rPr>
                <w:sz w:val="21"/>
              </w:rPr>
              <w:t>of</w:t>
            </w:r>
            <w:r>
              <w:rPr>
                <w:spacing w:val="-13"/>
                <w:sz w:val="21"/>
              </w:rPr>
              <w:t xml:space="preserve"> </w:t>
            </w:r>
            <w:r>
              <w:rPr>
                <w:sz w:val="21"/>
              </w:rPr>
              <w:t>female- headed</w:t>
            </w:r>
            <w:r>
              <w:rPr>
                <w:spacing w:val="-9"/>
                <w:sz w:val="21"/>
              </w:rPr>
              <w:t xml:space="preserve"> </w:t>
            </w:r>
            <w:r>
              <w:rPr>
                <w:sz w:val="21"/>
              </w:rPr>
              <w:t>households</w:t>
            </w:r>
            <w:r>
              <w:rPr>
                <w:spacing w:val="-9"/>
                <w:sz w:val="21"/>
              </w:rPr>
              <w:t xml:space="preserve"> </w:t>
            </w:r>
            <w:r>
              <w:rPr>
                <w:spacing w:val="-10"/>
                <w:sz w:val="21"/>
              </w:rPr>
              <w:t>&gt;</w:t>
            </w:r>
          </w:p>
          <w:p w:rsidR="003F5784" w14:paraId="23C45C68" w14:textId="77777777">
            <w:pPr>
              <w:pStyle w:val="TableParagraph"/>
              <w:spacing w:before="0" w:line="236" w:lineRule="exact"/>
              <w:ind w:right="295"/>
              <w:rPr>
                <w:sz w:val="21"/>
              </w:rPr>
            </w:pPr>
            <w:r>
              <w:rPr>
                <w:spacing w:val="-4"/>
                <w:sz w:val="21"/>
              </w:rPr>
              <w:t>11.8</w:t>
            </w:r>
          </w:p>
        </w:tc>
        <w:tc>
          <w:tcPr>
            <w:tcW w:w="630" w:type="dxa"/>
          </w:tcPr>
          <w:p w:rsidR="003F5784" w14:paraId="3F19D015" w14:textId="77777777">
            <w:pPr>
              <w:pStyle w:val="TableParagraph"/>
              <w:ind w:left="27"/>
              <w:jc w:val="center"/>
              <w:rPr>
                <w:sz w:val="21"/>
              </w:rPr>
            </w:pPr>
            <w:r>
              <w:rPr>
                <w:spacing w:val="-10"/>
                <w:sz w:val="21"/>
              </w:rPr>
              <w:t>3</w:t>
            </w:r>
          </w:p>
        </w:tc>
        <w:tc>
          <w:tcPr>
            <w:tcW w:w="1305" w:type="dxa"/>
            <w:gridSpan w:val="3"/>
          </w:tcPr>
          <w:p w:rsidR="003F5784" w14:paraId="5C508859" w14:textId="77777777">
            <w:pPr>
              <w:pStyle w:val="TableParagraph"/>
              <w:ind w:right="116"/>
              <w:rPr>
                <w:sz w:val="21"/>
              </w:rPr>
            </w:pPr>
            <w:r>
              <w:rPr>
                <w:spacing w:val="-2"/>
                <w:sz w:val="21"/>
              </w:rPr>
              <w:t>652,881</w:t>
            </w:r>
          </w:p>
        </w:tc>
      </w:tr>
      <w:tr w14:paraId="3CA36B13" w14:textId="77777777" w:rsidTr="00040E74">
        <w:tblPrEx>
          <w:tblW w:w="0" w:type="auto"/>
          <w:tblInd w:w="552" w:type="dxa"/>
          <w:tblLayout w:type="fixed"/>
          <w:tblCellMar>
            <w:left w:w="0" w:type="dxa"/>
            <w:right w:w="0" w:type="dxa"/>
          </w:tblCellMar>
          <w:tblLook w:val="01E0"/>
        </w:tblPrEx>
        <w:trPr>
          <w:trHeight w:val="1225"/>
        </w:trPr>
        <w:tc>
          <w:tcPr>
            <w:tcW w:w="1158" w:type="dxa"/>
            <w:gridSpan w:val="2"/>
          </w:tcPr>
          <w:p w:rsidR="003F5784" w14:paraId="41677E7B" w14:textId="77777777">
            <w:pPr>
              <w:pStyle w:val="TableParagraph"/>
              <w:ind w:left="120"/>
              <w:jc w:val="left"/>
              <w:rPr>
                <w:sz w:val="21"/>
              </w:rPr>
            </w:pPr>
            <w:r>
              <w:rPr>
                <w:spacing w:val="-10"/>
                <w:sz w:val="21"/>
              </w:rPr>
              <w:t>7</w:t>
            </w:r>
          </w:p>
        </w:tc>
        <w:tc>
          <w:tcPr>
            <w:tcW w:w="1352" w:type="dxa"/>
          </w:tcPr>
          <w:p w:rsidR="003F5784" w14:paraId="3A6C05AF" w14:textId="77777777">
            <w:pPr>
              <w:pStyle w:val="TableParagraph"/>
              <w:spacing w:before="23" w:line="232" w:lineRule="auto"/>
              <w:ind w:left="402" w:right="146" w:firstLine="86"/>
              <w:jc w:val="both"/>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11"/>
                <w:sz w:val="21"/>
              </w:rPr>
              <w:t xml:space="preserve"> </w:t>
            </w:r>
            <w:r>
              <w:rPr>
                <w:spacing w:val="-5"/>
                <w:sz w:val="21"/>
              </w:rPr>
              <w:t>&lt;=</w:t>
            </w:r>
          </w:p>
          <w:p w:rsidR="003F5784" w14:paraId="5D22CB9C" w14:textId="77777777">
            <w:pPr>
              <w:pStyle w:val="TableParagraph"/>
              <w:spacing w:before="0" w:line="237" w:lineRule="exact"/>
              <w:ind w:right="146"/>
              <w:rPr>
                <w:sz w:val="21"/>
              </w:rPr>
            </w:pPr>
            <w:r>
              <w:rPr>
                <w:spacing w:val="-4"/>
                <w:sz w:val="21"/>
              </w:rPr>
              <w:t>16.9</w:t>
            </w:r>
          </w:p>
        </w:tc>
        <w:tc>
          <w:tcPr>
            <w:tcW w:w="1888" w:type="dxa"/>
            <w:gridSpan w:val="2"/>
          </w:tcPr>
          <w:p w:rsidR="003F5784" w14:paraId="1AEA12FD" w14:textId="77777777">
            <w:pPr>
              <w:pStyle w:val="TableParagraph"/>
              <w:spacing w:before="23" w:line="232" w:lineRule="auto"/>
              <w:ind w:left="432" w:right="117" w:hanging="286"/>
              <w:rPr>
                <w:sz w:val="21"/>
              </w:rPr>
            </w:pPr>
            <w:r>
              <w:rPr>
                <w:spacing w:val="-2"/>
                <w:sz w:val="21"/>
              </w:rPr>
              <w:t>Percentage</w:t>
            </w:r>
            <w:r>
              <w:rPr>
                <w:spacing w:val="-12"/>
                <w:sz w:val="21"/>
              </w:rPr>
              <w:t xml:space="preserve"> </w:t>
            </w:r>
            <w:r>
              <w:rPr>
                <w:spacing w:val="-2"/>
                <w:sz w:val="21"/>
              </w:rPr>
              <w:t xml:space="preserve">of </w:t>
            </w:r>
            <w:r>
              <w:rPr>
                <w:sz w:val="21"/>
              </w:rPr>
              <w:t>renters</w:t>
            </w:r>
            <w:r>
              <w:rPr>
                <w:spacing w:val="-7"/>
                <w:sz w:val="21"/>
              </w:rPr>
              <w:t xml:space="preserve"> </w:t>
            </w:r>
            <w:r>
              <w:rPr>
                <w:spacing w:val="-5"/>
                <w:sz w:val="21"/>
              </w:rPr>
              <w:t>&lt;=</w:t>
            </w:r>
          </w:p>
          <w:p w:rsidR="003F5784" w14:paraId="20E73C4B" w14:textId="77777777">
            <w:pPr>
              <w:pStyle w:val="TableParagraph"/>
              <w:spacing w:before="0" w:line="236" w:lineRule="exact"/>
              <w:ind w:right="117"/>
              <w:rPr>
                <w:sz w:val="21"/>
              </w:rPr>
            </w:pPr>
            <w:r>
              <w:rPr>
                <w:spacing w:val="-4"/>
                <w:sz w:val="21"/>
              </w:rPr>
              <w:t>33.5</w:t>
            </w:r>
          </w:p>
        </w:tc>
        <w:tc>
          <w:tcPr>
            <w:tcW w:w="2700" w:type="dxa"/>
            <w:gridSpan w:val="3"/>
          </w:tcPr>
          <w:p w:rsidR="003F5784" w14:paraId="6200CE8E" w14:textId="77777777">
            <w:pPr>
              <w:pStyle w:val="TableParagraph"/>
              <w:spacing w:before="23" w:line="232" w:lineRule="auto"/>
              <w:ind w:left="117" w:right="177" w:firstLine="839"/>
              <w:rPr>
                <w:sz w:val="21"/>
              </w:rPr>
            </w:pPr>
            <w:r>
              <w:rPr>
                <w:sz w:val="21"/>
              </w:rPr>
              <w:t>Percentage</w:t>
            </w:r>
            <w:r>
              <w:rPr>
                <w:spacing w:val="-14"/>
                <w:sz w:val="21"/>
              </w:rPr>
              <w:t xml:space="preserve"> </w:t>
            </w:r>
            <w:r>
              <w:rPr>
                <w:sz w:val="21"/>
              </w:rPr>
              <w:t>of</w:t>
            </w:r>
            <w:r>
              <w:rPr>
                <w:spacing w:val="-13"/>
                <w:sz w:val="21"/>
              </w:rPr>
              <w:t xml:space="preserve"> </w:t>
            </w:r>
            <w:r>
              <w:rPr>
                <w:sz w:val="21"/>
              </w:rPr>
              <w:t>Black, Hispanic,</w:t>
            </w:r>
            <w:r>
              <w:rPr>
                <w:spacing w:val="-12"/>
                <w:sz w:val="21"/>
              </w:rPr>
              <w:t xml:space="preserve"> </w:t>
            </w:r>
            <w:r>
              <w:rPr>
                <w:sz w:val="21"/>
              </w:rPr>
              <w:t>American Indian/Alaska Native, or Native</w:t>
            </w:r>
            <w:r>
              <w:rPr>
                <w:spacing w:val="-14"/>
                <w:sz w:val="21"/>
              </w:rPr>
              <w:t xml:space="preserve"> </w:t>
            </w:r>
            <w:r>
              <w:rPr>
                <w:sz w:val="21"/>
              </w:rPr>
              <w:t>Hawaiian/Other</w:t>
            </w:r>
            <w:r>
              <w:rPr>
                <w:spacing w:val="-13"/>
                <w:sz w:val="21"/>
              </w:rPr>
              <w:t xml:space="preserve"> </w:t>
            </w:r>
            <w:r>
              <w:rPr>
                <w:sz w:val="21"/>
              </w:rPr>
              <w:t>Pacific Islander youth &lt;= 28.2</w:t>
            </w:r>
          </w:p>
        </w:tc>
        <w:tc>
          <w:tcPr>
            <w:tcW w:w="2790" w:type="dxa"/>
            <w:gridSpan w:val="2"/>
          </w:tcPr>
          <w:p w:rsidR="003F5784" w14:paraId="5400F819" w14:textId="77777777">
            <w:pPr>
              <w:pStyle w:val="TableParagraph"/>
              <w:spacing w:line="238" w:lineRule="exact"/>
              <w:ind w:right="144"/>
              <w:rPr>
                <w:sz w:val="21"/>
              </w:rPr>
            </w:pPr>
            <w:r>
              <w:rPr>
                <w:sz w:val="21"/>
              </w:rPr>
              <w:t>Per</w:t>
            </w:r>
            <w:r>
              <w:rPr>
                <w:spacing w:val="-7"/>
                <w:sz w:val="21"/>
              </w:rPr>
              <w:t xml:space="preserve"> </w:t>
            </w:r>
            <w:r>
              <w:rPr>
                <w:sz w:val="21"/>
              </w:rPr>
              <w:t>capita</w:t>
            </w:r>
            <w:r>
              <w:rPr>
                <w:spacing w:val="-6"/>
                <w:sz w:val="21"/>
              </w:rPr>
              <w:t xml:space="preserve"> </w:t>
            </w:r>
            <w:r>
              <w:rPr>
                <w:sz w:val="21"/>
              </w:rPr>
              <w:t>household</w:t>
            </w:r>
            <w:r>
              <w:rPr>
                <w:spacing w:val="-7"/>
                <w:sz w:val="21"/>
              </w:rPr>
              <w:t xml:space="preserve"> </w:t>
            </w:r>
            <w:r>
              <w:rPr>
                <w:spacing w:val="-2"/>
                <w:sz w:val="21"/>
              </w:rPr>
              <w:t>income</w:t>
            </w:r>
          </w:p>
          <w:p w:rsidR="003F5784" w14:paraId="443AC11B" w14:textId="77777777">
            <w:pPr>
              <w:pStyle w:val="TableParagraph"/>
              <w:spacing w:before="0" w:line="238" w:lineRule="exact"/>
              <w:ind w:right="144"/>
              <w:rPr>
                <w:sz w:val="21"/>
              </w:rPr>
            </w:pPr>
            <w:r>
              <w:rPr>
                <w:spacing w:val="-2"/>
                <w:sz w:val="21"/>
              </w:rPr>
              <w:t>($27,540-$28,621]</w:t>
            </w:r>
          </w:p>
        </w:tc>
        <w:tc>
          <w:tcPr>
            <w:tcW w:w="2160" w:type="dxa"/>
            <w:gridSpan w:val="2"/>
          </w:tcPr>
          <w:p w:rsidR="003F5784" w14:paraId="1D0F0379" w14:textId="77777777">
            <w:pPr>
              <w:pStyle w:val="TableParagraph"/>
              <w:ind w:right="295"/>
              <w:rPr>
                <w:sz w:val="21"/>
              </w:rPr>
            </w:pPr>
            <w:r>
              <w:rPr>
                <w:spacing w:val="-10"/>
                <w:sz w:val="21"/>
              </w:rPr>
              <w:t>†</w:t>
            </w:r>
          </w:p>
        </w:tc>
        <w:tc>
          <w:tcPr>
            <w:tcW w:w="630" w:type="dxa"/>
          </w:tcPr>
          <w:p w:rsidR="003F5784" w14:paraId="64050A8D" w14:textId="77777777">
            <w:pPr>
              <w:pStyle w:val="TableParagraph"/>
              <w:ind w:left="27"/>
              <w:jc w:val="center"/>
              <w:rPr>
                <w:sz w:val="21"/>
              </w:rPr>
            </w:pPr>
            <w:r>
              <w:rPr>
                <w:spacing w:val="-10"/>
                <w:sz w:val="21"/>
              </w:rPr>
              <w:t>3</w:t>
            </w:r>
          </w:p>
        </w:tc>
        <w:tc>
          <w:tcPr>
            <w:tcW w:w="1305" w:type="dxa"/>
            <w:gridSpan w:val="3"/>
          </w:tcPr>
          <w:p w:rsidR="003F5784" w14:paraId="3072BC02" w14:textId="77777777">
            <w:pPr>
              <w:pStyle w:val="TableParagraph"/>
              <w:ind w:right="116"/>
              <w:rPr>
                <w:sz w:val="21"/>
              </w:rPr>
            </w:pPr>
            <w:r>
              <w:rPr>
                <w:spacing w:val="-2"/>
                <w:sz w:val="21"/>
              </w:rPr>
              <w:t>575,617</w:t>
            </w:r>
          </w:p>
        </w:tc>
      </w:tr>
      <w:tr w14:paraId="5144B27B" w14:textId="77777777" w:rsidTr="00040E74">
        <w:tblPrEx>
          <w:tblW w:w="0" w:type="auto"/>
          <w:tblInd w:w="552" w:type="dxa"/>
          <w:tblLayout w:type="fixed"/>
          <w:tblCellMar>
            <w:left w:w="0" w:type="dxa"/>
            <w:right w:w="0" w:type="dxa"/>
          </w:tblCellMar>
          <w:tblLook w:val="01E0"/>
        </w:tblPrEx>
        <w:trPr>
          <w:trHeight w:val="1225"/>
        </w:trPr>
        <w:tc>
          <w:tcPr>
            <w:tcW w:w="1158" w:type="dxa"/>
            <w:gridSpan w:val="2"/>
          </w:tcPr>
          <w:p w:rsidR="003F5784" w14:paraId="644F8347" w14:textId="77777777">
            <w:pPr>
              <w:pStyle w:val="TableParagraph"/>
              <w:ind w:left="120"/>
              <w:jc w:val="left"/>
              <w:rPr>
                <w:sz w:val="21"/>
              </w:rPr>
            </w:pPr>
            <w:r>
              <w:rPr>
                <w:spacing w:val="-10"/>
                <w:sz w:val="21"/>
              </w:rPr>
              <w:t>8</w:t>
            </w:r>
          </w:p>
        </w:tc>
        <w:tc>
          <w:tcPr>
            <w:tcW w:w="1352" w:type="dxa"/>
          </w:tcPr>
          <w:p w:rsidR="003F5784" w14:paraId="596C30A7" w14:textId="77777777">
            <w:pPr>
              <w:pStyle w:val="TableParagraph"/>
              <w:spacing w:before="23" w:line="232" w:lineRule="auto"/>
              <w:ind w:left="402" w:right="146" w:firstLine="86"/>
              <w:jc w:val="both"/>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11"/>
                <w:sz w:val="21"/>
              </w:rPr>
              <w:t xml:space="preserve"> </w:t>
            </w:r>
            <w:r>
              <w:rPr>
                <w:spacing w:val="-5"/>
                <w:sz w:val="21"/>
              </w:rPr>
              <w:t>&lt;=</w:t>
            </w:r>
          </w:p>
          <w:p w:rsidR="003F5784" w14:paraId="26936C28" w14:textId="77777777">
            <w:pPr>
              <w:pStyle w:val="TableParagraph"/>
              <w:spacing w:before="0" w:line="237" w:lineRule="exact"/>
              <w:ind w:right="146"/>
              <w:rPr>
                <w:sz w:val="21"/>
              </w:rPr>
            </w:pPr>
            <w:r>
              <w:rPr>
                <w:spacing w:val="-4"/>
                <w:sz w:val="21"/>
              </w:rPr>
              <w:t>16.9</w:t>
            </w:r>
          </w:p>
        </w:tc>
        <w:tc>
          <w:tcPr>
            <w:tcW w:w="1888" w:type="dxa"/>
            <w:gridSpan w:val="2"/>
          </w:tcPr>
          <w:p w:rsidR="003F5784" w14:paraId="00A90D2E" w14:textId="77777777">
            <w:pPr>
              <w:pStyle w:val="TableParagraph"/>
              <w:spacing w:before="23" w:line="232" w:lineRule="auto"/>
              <w:ind w:left="432" w:right="117" w:hanging="286"/>
              <w:rPr>
                <w:sz w:val="21"/>
              </w:rPr>
            </w:pPr>
            <w:r>
              <w:rPr>
                <w:spacing w:val="-2"/>
                <w:sz w:val="21"/>
              </w:rPr>
              <w:t>Percentage</w:t>
            </w:r>
            <w:r>
              <w:rPr>
                <w:spacing w:val="-12"/>
                <w:sz w:val="21"/>
              </w:rPr>
              <w:t xml:space="preserve"> </w:t>
            </w:r>
            <w:r>
              <w:rPr>
                <w:spacing w:val="-2"/>
                <w:sz w:val="21"/>
              </w:rPr>
              <w:t xml:space="preserve">of </w:t>
            </w:r>
            <w:r>
              <w:rPr>
                <w:sz w:val="21"/>
              </w:rPr>
              <w:t>renters</w:t>
            </w:r>
            <w:r>
              <w:rPr>
                <w:spacing w:val="-7"/>
                <w:sz w:val="21"/>
              </w:rPr>
              <w:t xml:space="preserve"> </w:t>
            </w:r>
            <w:r>
              <w:rPr>
                <w:spacing w:val="-5"/>
                <w:sz w:val="21"/>
              </w:rPr>
              <w:t>&lt;=</w:t>
            </w:r>
          </w:p>
          <w:p w:rsidR="003F5784" w14:paraId="706B5E99" w14:textId="77777777">
            <w:pPr>
              <w:pStyle w:val="TableParagraph"/>
              <w:spacing w:before="0" w:line="236" w:lineRule="exact"/>
              <w:ind w:right="117"/>
              <w:rPr>
                <w:sz w:val="21"/>
              </w:rPr>
            </w:pPr>
            <w:r>
              <w:rPr>
                <w:spacing w:val="-4"/>
                <w:sz w:val="21"/>
              </w:rPr>
              <w:t>33.5</w:t>
            </w:r>
          </w:p>
        </w:tc>
        <w:tc>
          <w:tcPr>
            <w:tcW w:w="2700" w:type="dxa"/>
            <w:gridSpan w:val="3"/>
          </w:tcPr>
          <w:p w:rsidR="003F5784" w14:paraId="6218F8F6" w14:textId="77777777">
            <w:pPr>
              <w:pStyle w:val="TableParagraph"/>
              <w:spacing w:before="23" w:line="232" w:lineRule="auto"/>
              <w:ind w:left="117" w:right="177" w:firstLine="839"/>
              <w:rPr>
                <w:sz w:val="21"/>
              </w:rPr>
            </w:pPr>
            <w:r>
              <w:rPr>
                <w:sz w:val="21"/>
              </w:rPr>
              <w:t>Percentage</w:t>
            </w:r>
            <w:r>
              <w:rPr>
                <w:spacing w:val="-14"/>
                <w:sz w:val="21"/>
              </w:rPr>
              <w:t xml:space="preserve"> </w:t>
            </w:r>
            <w:r>
              <w:rPr>
                <w:sz w:val="21"/>
              </w:rPr>
              <w:t>of</w:t>
            </w:r>
            <w:r>
              <w:rPr>
                <w:spacing w:val="-13"/>
                <w:sz w:val="21"/>
              </w:rPr>
              <w:t xml:space="preserve"> </w:t>
            </w:r>
            <w:r>
              <w:rPr>
                <w:sz w:val="21"/>
              </w:rPr>
              <w:t>Black, Hispanic,</w:t>
            </w:r>
            <w:r>
              <w:rPr>
                <w:spacing w:val="-12"/>
                <w:sz w:val="21"/>
              </w:rPr>
              <w:t xml:space="preserve"> </w:t>
            </w:r>
            <w:r>
              <w:rPr>
                <w:sz w:val="21"/>
              </w:rPr>
              <w:t>American Indian/Alaska Native, or Native</w:t>
            </w:r>
            <w:r>
              <w:rPr>
                <w:spacing w:val="-14"/>
                <w:sz w:val="21"/>
              </w:rPr>
              <w:t xml:space="preserve"> </w:t>
            </w:r>
            <w:r>
              <w:rPr>
                <w:sz w:val="21"/>
              </w:rPr>
              <w:t>Hawaiian/Other</w:t>
            </w:r>
            <w:r>
              <w:rPr>
                <w:spacing w:val="-13"/>
                <w:sz w:val="21"/>
              </w:rPr>
              <w:t xml:space="preserve"> </w:t>
            </w:r>
            <w:r>
              <w:rPr>
                <w:sz w:val="21"/>
              </w:rPr>
              <w:t>Pacific Islander youth &lt;= 28.2</w:t>
            </w:r>
          </w:p>
        </w:tc>
        <w:tc>
          <w:tcPr>
            <w:tcW w:w="2790" w:type="dxa"/>
            <w:gridSpan w:val="2"/>
          </w:tcPr>
          <w:p w:rsidR="003F5784" w14:paraId="7313D19A" w14:textId="77777777">
            <w:pPr>
              <w:pStyle w:val="TableParagraph"/>
              <w:spacing w:line="238" w:lineRule="exact"/>
              <w:ind w:right="144"/>
              <w:rPr>
                <w:sz w:val="21"/>
              </w:rPr>
            </w:pPr>
            <w:r>
              <w:rPr>
                <w:sz w:val="21"/>
              </w:rPr>
              <w:t>Per</w:t>
            </w:r>
            <w:r>
              <w:rPr>
                <w:spacing w:val="-7"/>
                <w:sz w:val="21"/>
              </w:rPr>
              <w:t xml:space="preserve"> </w:t>
            </w:r>
            <w:r>
              <w:rPr>
                <w:sz w:val="21"/>
              </w:rPr>
              <w:t>capita</w:t>
            </w:r>
            <w:r>
              <w:rPr>
                <w:spacing w:val="-6"/>
                <w:sz w:val="21"/>
              </w:rPr>
              <w:t xml:space="preserve"> </w:t>
            </w:r>
            <w:r>
              <w:rPr>
                <w:sz w:val="21"/>
              </w:rPr>
              <w:t>household</w:t>
            </w:r>
            <w:r>
              <w:rPr>
                <w:spacing w:val="-7"/>
                <w:sz w:val="21"/>
              </w:rPr>
              <w:t xml:space="preserve"> </w:t>
            </w:r>
            <w:r>
              <w:rPr>
                <w:spacing w:val="-2"/>
                <w:sz w:val="21"/>
              </w:rPr>
              <w:t>income</w:t>
            </w:r>
          </w:p>
          <w:p w:rsidR="003F5784" w14:paraId="5A5CF1C9" w14:textId="77777777">
            <w:pPr>
              <w:pStyle w:val="TableParagraph"/>
              <w:spacing w:before="0" w:line="238" w:lineRule="exact"/>
              <w:ind w:right="144"/>
              <w:rPr>
                <w:sz w:val="21"/>
              </w:rPr>
            </w:pPr>
            <w:r>
              <w:rPr>
                <w:sz w:val="21"/>
              </w:rPr>
              <w:t>&gt;</w:t>
            </w:r>
            <w:r>
              <w:rPr>
                <w:spacing w:val="-3"/>
                <w:sz w:val="21"/>
              </w:rPr>
              <w:t xml:space="preserve"> </w:t>
            </w:r>
            <w:r>
              <w:rPr>
                <w:spacing w:val="-2"/>
                <w:sz w:val="21"/>
              </w:rPr>
              <w:t>$28,621</w:t>
            </w:r>
          </w:p>
        </w:tc>
        <w:tc>
          <w:tcPr>
            <w:tcW w:w="2160" w:type="dxa"/>
            <w:gridSpan w:val="2"/>
          </w:tcPr>
          <w:p w:rsidR="003F5784" w14:paraId="3AB49B24" w14:textId="77777777">
            <w:pPr>
              <w:pStyle w:val="TableParagraph"/>
              <w:ind w:right="295"/>
              <w:rPr>
                <w:sz w:val="21"/>
              </w:rPr>
            </w:pPr>
            <w:r>
              <w:rPr>
                <w:spacing w:val="-10"/>
                <w:sz w:val="21"/>
              </w:rPr>
              <w:t>†</w:t>
            </w:r>
          </w:p>
        </w:tc>
        <w:tc>
          <w:tcPr>
            <w:tcW w:w="630" w:type="dxa"/>
          </w:tcPr>
          <w:p w:rsidR="003F5784" w14:paraId="3DB075DE" w14:textId="77777777">
            <w:pPr>
              <w:pStyle w:val="TableParagraph"/>
              <w:ind w:left="27"/>
              <w:jc w:val="center"/>
              <w:rPr>
                <w:sz w:val="21"/>
              </w:rPr>
            </w:pPr>
            <w:r>
              <w:rPr>
                <w:spacing w:val="-10"/>
                <w:sz w:val="21"/>
              </w:rPr>
              <w:t>5</w:t>
            </w:r>
          </w:p>
        </w:tc>
        <w:tc>
          <w:tcPr>
            <w:tcW w:w="1305" w:type="dxa"/>
            <w:gridSpan w:val="3"/>
          </w:tcPr>
          <w:p w:rsidR="003F5784" w14:paraId="35A68B8F" w14:textId="77777777">
            <w:pPr>
              <w:pStyle w:val="TableParagraph"/>
              <w:ind w:right="116"/>
              <w:rPr>
                <w:sz w:val="21"/>
              </w:rPr>
            </w:pPr>
            <w:r>
              <w:rPr>
                <w:spacing w:val="-2"/>
                <w:sz w:val="21"/>
              </w:rPr>
              <w:t>535,472</w:t>
            </w:r>
          </w:p>
        </w:tc>
      </w:tr>
      <w:tr w14:paraId="79452137" w14:textId="77777777" w:rsidTr="00040E74">
        <w:tblPrEx>
          <w:tblW w:w="0" w:type="auto"/>
          <w:tblInd w:w="552" w:type="dxa"/>
          <w:tblLayout w:type="fixed"/>
          <w:tblCellMar>
            <w:left w:w="0" w:type="dxa"/>
            <w:right w:w="0" w:type="dxa"/>
          </w:tblCellMar>
          <w:tblLook w:val="01E0"/>
        </w:tblPrEx>
        <w:trPr>
          <w:trHeight w:val="1225"/>
        </w:trPr>
        <w:tc>
          <w:tcPr>
            <w:tcW w:w="1158" w:type="dxa"/>
            <w:gridSpan w:val="2"/>
          </w:tcPr>
          <w:p w:rsidR="003F5784" w14:paraId="5380081A" w14:textId="77777777">
            <w:pPr>
              <w:pStyle w:val="TableParagraph"/>
              <w:ind w:left="120"/>
              <w:jc w:val="left"/>
              <w:rPr>
                <w:sz w:val="21"/>
              </w:rPr>
            </w:pPr>
            <w:r>
              <w:rPr>
                <w:spacing w:val="-10"/>
                <w:sz w:val="21"/>
              </w:rPr>
              <w:t>9</w:t>
            </w:r>
          </w:p>
        </w:tc>
        <w:tc>
          <w:tcPr>
            <w:tcW w:w="1352" w:type="dxa"/>
          </w:tcPr>
          <w:p w:rsidR="003F5784" w14:paraId="71C3AB1A" w14:textId="77777777">
            <w:pPr>
              <w:pStyle w:val="TableParagraph"/>
              <w:spacing w:before="23" w:line="232" w:lineRule="auto"/>
              <w:ind w:left="402" w:right="146" w:firstLine="86"/>
              <w:jc w:val="both"/>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11"/>
                <w:sz w:val="21"/>
              </w:rPr>
              <w:t xml:space="preserve"> </w:t>
            </w:r>
            <w:r>
              <w:rPr>
                <w:spacing w:val="-5"/>
                <w:sz w:val="21"/>
              </w:rPr>
              <w:t>&lt;=</w:t>
            </w:r>
          </w:p>
          <w:p w:rsidR="003F5784" w14:paraId="7A880698" w14:textId="77777777">
            <w:pPr>
              <w:pStyle w:val="TableParagraph"/>
              <w:spacing w:before="0" w:line="237" w:lineRule="exact"/>
              <w:ind w:right="146"/>
              <w:rPr>
                <w:sz w:val="21"/>
              </w:rPr>
            </w:pPr>
            <w:r>
              <w:rPr>
                <w:spacing w:val="-4"/>
                <w:sz w:val="21"/>
              </w:rPr>
              <w:t>16.9</w:t>
            </w:r>
          </w:p>
        </w:tc>
        <w:tc>
          <w:tcPr>
            <w:tcW w:w="1888" w:type="dxa"/>
            <w:gridSpan w:val="2"/>
          </w:tcPr>
          <w:p w:rsidR="003F5784" w14:paraId="4F71E2B0" w14:textId="77777777">
            <w:pPr>
              <w:pStyle w:val="TableParagraph"/>
              <w:spacing w:before="23" w:line="232" w:lineRule="auto"/>
              <w:ind w:left="432" w:right="117" w:hanging="286"/>
              <w:rPr>
                <w:sz w:val="21"/>
              </w:rPr>
            </w:pPr>
            <w:r>
              <w:rPr>
                <w:spacing w:val="-2"/>
                <w:sz w:val="21"/>
              </w:rPr>
              <w:t>Percentage</w:t>
            </w:r>
            <w:r>
              <w:rPr>
                <w:spacing w:val="-12"/>
                <w:sz w:val="21"/>
              </w:rPr>
              <w:t xml:space="preserve"> </w:t>
            </w:r>
            <w:r>
              <w:rPr>
                <w:spacing w:val="-2"/>
                <w:sz w:val="21"/>
              </w:rPr>
              <w:t xml:space="preserve">of </w:t>
            </w:r>
            <w:r>
              <w:rPr>
                <w:sz w:val="21"/>
              </w:rPr>
              <w:t>renters</w:t>
            </w:r>
            <w:r>
              <w:rPr>
                <w:spacing w:val="-7"/>
                <w:sz w:val="21"/>
              </w:rPr>
              <w:t xml:space="preserve"> </w:t>
            </w:r>
            <w:r>
              <w:rPr>
                <w:spacing w:val="-5"/>
                <w:sz w:val="21"/>
              </w:rPr>
              <w:t>&lt;=</w:t>
            </w:r>
          </w:p>
          <w:p w:rsidR="003F5784" w14:paraId="5F126250" w14:textId="77777777">
            <w:pPr>
              <w:pStyle w:val="TableParagraph"/>
              <w:spacing w:before="0" w:line="236" w:lineRule="exact"/>
              <w:ind w:right="117"/>
              <w:rPr>
                <w:sz w:val="21"/>
              </w:rPr>
            </w:pPr>
            <w:r>
              <w:rPr>
                <w:spacing w:val="-4"/>
                <w:sz w:val="21"/>
              </w:rPr>
              <w:t>33.5</w:t>
            </w:r>
          </w:p>
        </w:tc>
        <w:tc>
          <w:tcPr>
            <w:tcW w:w="2700" w:type="dxa"/>
            <w:gridSpan w:val="3"/>
          </w:tcPr>
          <w:p w:rsidR="003F5784" w14:paraId="5F5271E0" w14:textId="77777777">
            <w:pPr>
              <w:pStyle w:val="TableParagraph"/>
              <w:spacing w:before="23" w:line="232" w:lineRule="auto"/>
              <w:ind w:left="117" w:right="177" w:firstLine="839"/>
              <w:rPr>
                <w:sz w:val="21"/>
              </w:rPr>
            </w:pPr>
            <w:r>
              <w:rPr>
                <w:sz w:val="21"/>
              </w:rPr>
              <w:t>Percentage</w:t>
            </w:r>
            <w:r>
              <w:rPr>
                <w:spacing w:val="-14"/>
                <w:sz w:val="21"/>
              </w:rPr>
              <w:t xml:space="preserve"> </w:t>
            </w:r>
            <w:r>
              <w:rPr>
                <w:sz w:val="21"/>
              </w:rPr>
              <w:t>of</w:t>
            </w:r>
            <w:r>
              <w:rPr>
                <w:spacing w:val="-13"/>
                <w:sz w:val="21"/>
              </w:rPr>
              <w:t xml:space="preserve"> </w:t>
            </w:r>
            <w:r>
              <w:rPr>
                <w:sz w:val="21"/>
              </w:rPr>
              <w:t>Black, Hispanic,</w:t>
            </w:r>
            <w:r>
              <w:rPr>
                <w:spacing w:val="-12"/>
                <w:sz w:val="21"/>
              </w:rPr>
              <w:t xml:space="preserve"> </w:t>
            </w:r>
            <w:r>
              <w:rPr>
                <w:sz w:val="21"/>
              </w:rPr>
              <w:t>American Indian/Alaska Native, or Native</w:t>
            </w:r>
            <w:r>
              <w:rPr>
                <w:spacing w:val="-14"/>
                <w:sz w:val="21"/>
              </w:rPr>
              <w:t xml:space="preserve"> </w:t>
            </w:r>
            <w:r>
              <w:rPr>
                <w:sz w:val="21"/>
              </w:rPr>
              <w:t>Hawaiian/Other</w:t>
            </w:r>
            <w:r>
              <w:rPr>
                <w:spacing w:val="-13"/>
                <w:sz w:val="21"/>
              </w:rPr>
              <w:t xml:space="preserve"> </w:t>
            </w:r>
            <w:r>
              <w:rPr>
                <w:sz w:val="21"/>
              </w:rPr>
              <w:t>Pacific Islander youth (28.2-30.6]</w:t>
            </w:r>
          </w:p>
        </w:tc>
        <w:tc>
          <w:tcPr>
            <w:tcW w:w="2790" w:type="dxa"/>
            <w:gridSpan w:val="2"/>
          </w:tcPr>
          <w:p w:rsidR="003F5784" w14:paraId="78E77DE8" w14:textId="77777777">
            <w:pPr>
              <w:pStyle w:val="TableParagraph"/>
              <w:spacing w:line="238" w:lineRule="exact"/>
              <w:ind w:right="144"/>
              <w:rPr>
                <w:sz w:val="21"/>
              </w:rPr>
            </w:pPr>
            <w:r>
              <w:rPr>
                <w:sz w:val="21"/>
              </w:rPr>
              <w:t>Percentage</w:t>
            </w:r>
            <w:r>
              <w:rPr>
                <w:spacing w:val="-10"/>
                <w:sz w:val="21"/>
              </w:rPr>
              <w:t xml:space="preserve"> </w:t>
            </w:r>
            <w:r>
              <w:rPr>
                <w:sz w:val="21"/>
              </w:rPr>
              <w:t>of</w:t>
            </w:r>
            <w:r>
              <w:rPr>
                <w:spacing w:val="-10"/>
                <w:sz w:val="21"/>
              </w:rPr>
              <w:t xml:space="preserve"> </w:t>
            </w:r>
            <w:r>
              <w:rPr>
                <w:sz w:val="21"/>
              </w:rPr>
              <w:t>female-</w:t>
            </w:r>
            <w:r>
              <w:rPr>
                <w:spacing w:val="-2"/>
                <w:sz w:val="21"/>
              </w:rPr>
              <w:t>headed</w:t>
            </w:r>
          </w:p>
          <w:p w:rsidR="003F5784" w14:paraId="63D61DD2" w14:textId="77777777">
            <w:pPr>
              <w:pStyle w:val="TableParagraph"/>
              <w:spacing w:before="0" w:line="238" w:lineRule="exact"/>
              <w:ind w:right="144"/>
              <w:rPr>
                <w:sz w:val="21"/>
              </w:rPr>
            </w:pPr>
            <w:r>
              <w:rPr>
                <w:sz w:val="21"/>
              </w:rPr>
              <w:t>households</w:t>
            </w:r>
            <w:r>
              <w:rPr>
                <w:spacing w:val="-7"/>
                <w:sz w:val="21"/>
              </w:rPr>
              <w:t xml:space="preserve"> </w:t>
            </w:r>
            <w:r>
              <w:rPr>
                <w:sz w:val="21"/>
              </w:rPr>
              <w:t>&lt;=</w:t>
            </w:r>
            <w:r>
              <w:rPr>
                <w:spacing w:val="-7"/>
                <w:sz w:val="21"/>
              </w:rPr>
              <w:t xml:space="preserve"> </w:t>
            </w:r>
            <w:r>
              <w:rPr>
                <w:spacing w:val="-5"/>
                <w:sz w:val="21"/>
              </w:rPr>
              <w:t>13</w:t>
            </w:r>
          </w:p>
        </w:tc>
        <w:tc>
          <w:tcPr>
            <w:tcW w:w="2160" w:type="dxa"/>
            <w:gridSpan w:val="2"/>
          </w:tcPr>
          <w:p w:rsidR="003F5784" w14:paraId="2842FAE6" w14:textId="77777777">
            <w:pPr>
              <w:pStyle w:val="TableParagraph"/>
              <w:ind w:right="295"/>
              <w:rPr>
                <w:sz w:val="21"/>
              </w:rPr>
            </w:pPr>
            <w:r>
              <w:rPr>
                <w:spacing w:val="-10"/>
                <w:sz w:val="21"/>
              </w:rPr>
              <w:t>†</w:t>
            </w:r>
          </w:p>
        </w:tc>
        <w:tc>
          <w:tcPr>
            <w:tcW w:w="630" w:type="dxa"/>
          </w:tcPr>
          <w:p w:rsidR="003F5784" w14:paraId="2CA01BD4" w14:textId="77777777">
            <w:pPr>
              <w:pStyle w:val="TableParagraph"/>
              <w:ind w:left="27"/>
              <w:jc w:val="center"/>
              <w:rPr>
                <w:sz w:val="21"/>
              </w:rPr>
            </w:pPr>
            <w:r>
              <w:rPr>
                <w:spacing w:val="-10"/>
                <w:sz w:val="21"/>
              </w:rPr>
              <w:t>4</w:t>
            </w:r>
          </w:p>
        </w:tc>
        <w:tc>
          <w:tcPr>
            <w:tcW w:w="1305" w:type="dxa"/>
            <w:gridSpan w:val="3"/>
          </w:tcPr>
          <w:p w:rsidR="003F5784" w14:paraId="1558586E" w14:textId="77777777">
            <w:pPr>
              <w:pStyle w:val="TableParagraph"/>
              <w:ind w:right="116"/>
              <w:rPr>
                <w:sz w:val="21"/>
              </w:rPr>
            </w:pPr>
            <w:r>
              <w:rPr>
                <w:spacing w:val="-2"/>
                <w:sz w:val="21"/>
              </w:rPr>
              <w:t>564,610</w:t>
            </w:r>
          </w:p>
        </w:tc>
      </w:tr>
      <w:tr w14:paraId="3F5A926A" w14:textId="77777777" w:rsidTr="00040E74">
        <w:tblPrEx>
          <w:tblW w:w="0" w:type="auto"/>
          <w:tblInd w:w="552" w:type="dxa"/>
          <w:tblLayout w:type="fixed"/>
          <w:tblCellMar>
            <w:left w:w="0" w:type="dxa"/>
            <w:right w:w="0" w:type="dxa"/>
          </w:tblCellMar>
          <w:tblLook w:val="01E0"/>
        </w:tblPrEx>
        <w:trPr>
          <w:trHeight w:val="1227"/>
        </w:trPr>
        <w:tc>
          <w:tcPr>
            <w:tcW w:w="1158" w:type="dxa"/>
            <w:gridSpan w:val="2"/>
            <w:tcBorders>
              <w:bottom w:val="single" w:sz="18" w:space="0" w:color="800000"/>
            </w:tcBorders>
          </w:tcPr>
          <w:p w:rsidR="003F5784" w14:paraId="6C183017" w14:textId="77777777">
            <w:pPr>
              <w:pStyle w:val="TableParagraph"/>
              <w:ind w:left="120"/>
              <w:jc w:val="left"/>
              <w:rPr>
                <w:sz w:val="21"/>
              </w:rPr>
            </w:pPr>
            <w:r>
              <w:rPr>
                <w:spacing w:val="-5"/>
                <w:sz w:val="21"/>
              </w:rPr>
              <w:t>10</w:t>
            </w:r>
          </w:p>
        </w:tc>
        <w:tc>
          <w:tcPr>
            <w:tcW w:w="1352" w:type="dxa"/>
            <w:tcBorders>
              <w:bottom w:val="single" w:sz="18" w:space="0" w:color="800000"/>
            </w:tcBorders>
          </w:tcPr>
          <w:p w:rsidR="003F5784" w14:paraId="76F9DEF5" w14:textId="77777777">
            <w:pPr>
              <w:pStyle w:val="TableParagraph"/>
              <w:spacing w:before="23" w:line="232" w:lineRule="auto"/>
              <w:ind w:left="402" w:right="146" w:firstLine="86"/>
              <w:jc w:val="both"/>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11"/>
                <w:sz w:val="21"/>
              </w:rPr>
              <w:t xml:space="preserve"> </w:t>
            </w:r>
            <w:r>
              <w:rPr>
                <w:spacing w:val="-5"/>
                <w:sz w:val="21"/>
              </w:rPr>
              <w:t>&lt;=</w:t>
            </w:r>
          </w:p>
          <w:p w:rsidR="003F5784" w14:paraId="6AEB5FE7" w14:textId="77777777">
            <w:pPr>
              <w:pStyle w:val="TableParagraph"/>
              <w:spacing w:before="0" w:line="237" w:lineRule="exact"/>
              <w:ind w:right="146"/>
              <w:rPr>
                <w:sz w:val="21"/>
              </w:rPr>
            </w:pPr>
            <w:r>
              <w:rPr>
                <w:spacing w:val="-4"/>
                <w:sz w:val="21"/>
              </w:rPr>
              <w:t>16.9</w:t>
            </w:r>
          </w:p>
        </w:tc>
        <w:tc>
          <w:tcPr>
            <w:tcW w:w="1888" w:type="dxa"/>
            <w:gridSpan w:val="2"/>
            <w:tcBorders>
              <w:bottom w:val="single" w:sz="18" w:space="0" w:color="800000"/>
            </w:tcBorders>
          </w:tcPr>
          <w:p w:rsidR="003F5784" w14:paraId="62CB0758" w14:textId="77777777">
            <w:pPr>
              <w:pStyle w:val="TableParagraph"/>
              <w:spacing w:before="23" w:line="232" w:lineRule="auto"/>
              <w:ind w:left="432" w:right="117" w:hanging="286"/>
              <w:rPr>
                <w:sz w:val="21"/>
              </w:rPr>
            </w:pPr>
            <w:r>
              <w:rPr>
                <w:spacing w:val="-2"/>
                <w:sz w:val="21"/>
              </w:rPr>
              <w:t>Percentage</w:t>
            </w:r>
            <w:r>
              <w:rPr>
                <w:spacing w:val="-12"/>
                <w:sz w:val="21"/>
              </w:rPr>
              <w:t xml:space="preserve"> </w:t>
            </w:r>
            <w:r>
              <w:rPr>
                <w:spacing w:val="-2"/>
                <w:sz w:val="21"/>
              </w:rPr>
              <w:t xml:space="preserve">of </w:t>
            </w:r>
            <w:r>
              <w:rPr>
                <w:sz w:val="21"/>
              </w:rPr>
              <w:t>renters</w:t>
            </w:r>
            <w:r>
              <w:rPr>
                <w:spacing w:val="-7"/>
                <w:sz w:val="21"/>
              </w:rPr>
              <w:t xml:space="preserve"> </w:t>
            </w:r>
            <w:r>
              <w:rPr>
                <w:spacing w:val="-5"/>
                <w:sz w:val="21"/>
              </w:rPr>
              <w:t>&lt;=</w:t>
            </w:r>
          </w:p>
          <w:p w:rsidR="003F5784" w14:paraId="21E5A080" w14:textId="77777777">
            <w:pPr>
              <w:pStyle w:val="TableParagraph"/>
              <w:spacing w:before="0" w:line="236" w:lineRule="exact"/>
              <w:ind w:right="117"/>
              <w:rPr>
                <w:sz w:val="21"/>
              </w:rPr>
            </w:pPr>
            <w:r>
              <w:rPr>
                <w:spacing w:val="-4"/>
                <w:sz w:val="21"/>
              </w:rPr>
              <w:t>33.5</w:t>
            </w:r>
          </w:p>
        </w:tc>
        <w:tc>
          <w:tcPr>
            <w:tcW w:w="2700" w:type="dxa"/>
            <w:gridSpan w:val="3"/>
            <w:tcBorders>
              <w:bottom w:val="single" w:sz="18" w:space="0" w:color="800000"/>
            </w:tcBorders>
          </w:tcPr>
          <w:p w:rsidR="003F5784" w14:paraId="014B06B3" w14:textId="77777777">
            <w:pPr>
              <w:pStyle w:val="TableParagraph"/>
              <w:spacing w:before="23" w:line="232" w:lineRule="auto"/>
              <w:ind w:left="117" w:right="177" w:firstLine="839"/>
              <w:rPr>
                <w:sz w:val="21"/>
              </w:rPr>
            </w:pPr>
            <w:r>
              <w:rPr>
                <w:sz w:val="21"/>
              </w:rPr>
              <w:t>Percentage</w:t>
            </w:r>
            <w:r>
              <w:rPr>
                <w:spacing w:val="-14"/>
                <w:sz w:val="21"/>
              </w:rPr>
              <w:t xml:space="preserve"> </w:t>
            </w:r>
            <w:r>
              <w:rPr>
                <w:sz w:val="21"/>
              </w:rPr>
              <w:t>of</w:t>
            </w:r>
            <w:r>
              <w:rPr>
                <w:spacing w:val="-13"/>
                <w:sz w:val="21"/>
              </w:rPr>
              <w:t xml:space="preserve"> </w:t>
            </w:r>
            <w:r>
              <w:rPr>
                <w:sz w:val="21"/>
              </w:rPr>
              <w:t>Black, Hispanic,</w:t>
            </w:r>
            <w:r>
              <w:rPr>
                <w:spacing w:val="-12"/>
                <w:sz w:val="21"/>
              </w:rPr>
              <w:t xml:space="preserve"> </w:t>
            </w:r>
            <w:r>
              <w:rPr>
                <w:sz w:val="21"/>
              </w:rPr>
              <w:t>American Indian/Alaska Native, or Native</w:t>
            </w:r>
            <w:r>
              <w:rPr>
                <w:spacing w:val="-14"/>
                <w:sz w:val="21"/>
              </w:rPr>
              <w:t xml:space="preserve"> </w:t>
            </w:r>
            <w:r>
              <w:rPr>
                <w:sz w:val="21"/>
              </w:rPr>
              <w:t>Hawaiian/Other</w:t>
            </w:r>
            <w:r>
              <w:rPr>
                <w:spacing w:val="-13"/>
                <w:sz w:val="21"/>
              </w:rPr>
              <w:t xml:space="preserve"> </w:t>
            </w:r>
            <w:r>
              <w:rPr>
                <w:sz w:val="21"/>
              </w:rPr>
              <w:t>Pacific Islander youth (28.2-30.6]</w:t>
            </w:r>
          </w:p>
        </w:tc>
        <w:tc>
          <w:tcPr>
            <w:tcW w:w="2790" w:type="dxa"/>
            <w:gridSpan w:val="2"/>
            <w:tcBorders>
              <w:bottom w:val="single" w:sz="18" w:space="0" w:color="800000"/>
            </w:tcBorders>
          </w:tcPr>
          <w:p w:rsidR="003F5784" w14:paraId="364CBD58" w14:textId="77777777">
            <w:pPr>
              <w:pStyle w:val="TableParagraph"/>
              <w:spacing w:line="238" w:lineRule="exact"/>
              <w:ind w:right="144"/>
              <w:rPr>
                <w:sz w:val="21"/>
              </w:rPr>
            </w:pPr>
            <w:r>
              <w:rPr>
                <w:sz w:val="21"/>
              </w:rPr>
              <w:t>Percentage</w:t>
            </w:r>
            <w:r>
              <w:rPr>
                <w:spacing w:val="-10"/>
                <w:sz w:val="21"/>
              </w:rPr>
              <w:t xml:space="preserve"> </w:t>
            </w:r>
            <w:r>
              <w:rPr>
                <w:sz w:val="21"/>
              </w:rPr>
              <w:t>of</w:t>
            </w:r>
            <w:r>
              <w:rPr>
                <w:spacing w:val="-10"/>
                <w:sz w:val="21"/>
              </w:rPr>
              <w:t xml:space="preserve"> </w:t>
            </w:r>
            <w:r>
              <w:rPr>
                <w:sz w:val="21"/>
              </w:rPr>
              <w:t>female-</w:t>
            </w:r>
            <w:r>
              <w:rPr>
                <w:spacing w:val="-2"/>
                <w:sz w:val="21"/>
              </w:rPr>
              <w:t>headed</w:t>
            </w:r>
          </w:p>
          <w:p w:rsidR="003F5784" w14:paraId="3908BB47" w14:textId="77777777">
            <w:pPr>
              <w:pStyle w:val="TableParagraph"/>
              <w:spacing w:before="0" w:line="238" w:lineRule="exact"/>
              <w:ind w:right="144"/>
              <w:rPr>
                <w:sz w:val="21"/>
              </w:rPr>
            </w:pPr>
            <w:r>
              <w:rPr>
                <w:sz w:val="21"/>
              </w:rPr>
              <w:t>households</w:t>
            </w:r>
            <w:r>
              <w:rPr>
                <w:spacing w:val="-7"/>
                <w:sz w:val="21"/>
              </w:rPr>
              <w:t xml:space="preserve"> </w:t>
            </w:r>
            <w:r>
              <w:rPr>
                <w:sz w:val="21"/>
              </w:rPr>
              <w:t>&gt;</w:t>
            </w:r>
            <w:r>
              <w:rPr>
                <w:spacing w:val="-6"/>
                <w:sz w:val="21"/>
              </w:rPr>
              <w:t xml:space="preserve"> </w:t>
            </w:r>
            <w:r>
              <w:rPr>
                <w:spacing w:val="-5"/>
                <w:sz w:val="21"/>
              </w:rPr>
              <w:t>13</w:t>
            </w:r>
          </w:p>
        </w:tc>
        <w:tc>
          <w:tcPr>
            <w:tcW w:w="2160" w:type="dxa"/>
            <w:gridSpan w:val="2"/>
            <w:tcBorders>
              <w:bottom w:val="single" w:sz="18" w:space="0" w:color="800000"/>
            </w:tcBorders>
          </w:tcPr>
          <w:p w:rsidR="003F5784" w14:paraId="1F055DB9" w14:textId="77777777">
            <w:pPr>
              <w:pStyle w:val="TableParagraph"/>
              <w:ind w:right="295"/>
              <w:rPr>
                <w:sz w:val="21"/>
              </w:rPr>
            </w:pPr>
            <w:r>
              <w:rPr>
                <w:spacing w:val="-10"/>
                <w:sz w:val="21"/>
              </w:rPr>
              <w:t>†</w:t>
            </w:r>
          </w:p>
        </w:tc>
        <w:tc>
          <w:tcPr>
            <w:tcW w:w="630" w:type="dxa"/>
            <w:tcBorders>
              <w:bottom w:val="single" w:sz="18" w:space="0" w:color="800000"/>
            </w:tcBorders>
          </w:tcPr>
          <w:p w:rsidR="003F5784" w14:paraId="2BE94E43" w14:textId="77777777">
            <w:pPr>
              <w:pStyle w:val="TableParagraph"/>
              <w:ind w:left="27"/>
              <w:jc w:val="center"/>
              <w:rPr>
                <w:sz w:val="21"/>
              </w:rPr>
            </w:pPr>
            <w:r>
              <w:rPr>
                <w:spacing w:val="-10"/>
                <w:sz w:val="21"/>
              </w:rPr>
              <w:t>6</w:t>
            </w:r>
          </w:p>
        </w:tc>
        <w:tc>
          <w:tcPr>
            <w:tcW w:w="1305" w:type="dxa"/>
            <w:gridSpan w:val="3"/>
            <w:tcBorders>
              <w:bottom w:val="single" w:sz="18" w:space="0" w:color="800000"/>
            </w:tcBorders>
          </w:tcPr>
          <w:p w:rsidR="003F5784" w14:paraId="306C21D4" w14:textId="77777777">
            <w:pPr>
              <w:pStyle w:val="TableParagraph"/>
              <w:ind w:right="116"/>
              <w:rPr>
                <w:sz w:val="21"/>
              </w:rPr>
            </w:pPr>
            <w:r>
              <w:rPr>
                <w:spacing w:val="-2"/>
                <w:sz w:val="21"/>
              </w:rPr>
              <w:t>545,366</w:t>
            </w:r>
          </w:p>
        </w:tc>
      </w:tr>
    </w:tbl>
    <w:p w:rsidR="003F5784" w14:paraId="10AFC287" w14:textId="77777777">
      <w:pPr>
        <w:pStyle w:val="BodyText"/>
        <w:spacing w:before="16" w:line="238" w:lineRule="exact"/>
        <w:ind w:left="595"/>
      </w:pPr>
      <w:r>
        <w:t>†</w:t>
      </w:r>
      <w:r>
        <w:rPr>
          <w:spacing w:val="-4"/>
        </w:rPr>
        <w:t xml:space="preserve"> </w:t>
      </w:r>
      <w:r>
        <w:t>Not</w:t>
      </w:r>
      <w:r>
        <w:rPr>
          <w:spacing w:val="-3"/>
        </w:rPr>
        <w:t xml:space="preserve"> </w:t>
      </w:r>
      <w:r>
        <w:rPr>
          <w:spacing w:val="-2"/>
        </w:rPr>
        <w:t>applicable.</w:t>
      </w:r>
    </w:p>
    <w:p w:rsidR="003F5784" w14:paraId="41C67C9A" w14:textId="77777777">
      <w:pPr>
        <w:pStyle w:val="BodyText"/>
        <w:spacing w:before="3"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76A6E553" w14:textId="77777777">
      <w:pPr>
        <w:spacing w:line="232" w:lineRule="auto"/>
        <w:sectPr>
          <w:pgSz w:w="15840" w:h="12240" w:orient="landscape"/>
          <w:pgMar w:top="480" w:right="440" w:bottom="460" w:left="460" w:header="284" w:footer="275" w:gutter="0"/>
          <w:cols w:space="720"/>
        </w:sectPr>
      </w:pPr>
    </w:p>
    <w:p w:rsidR="003F5784" w14:paraId="7BB8A8FE" w14:textId="77777777">
      <w:pPr>
        <w:pStyle w:val="BodyText"/>
        <w:spacing w:before="5"/>
        <w:rPr>
          <w:sz w:val="9"/>
        </w:rPr>
      </w:pPr>
    </w:p>
    <w:tbl>
      <w:tblPr>
        <w:tblW w:w="0" w:type="auto"/>
        <w:tblInd w:w="552" w:type="dxa"/>
        <w:tblLayout w:type="fixed"/>
        <w:tblCellMar>
          <w:left w:w="0" w:type="dxa"/>
          <w:right w:w="0" w:type="dxa"/>
        </w:tblCellMar>
        <w:tblLook w:val="01E0"/>
      </w:tblPr>
      <w:tblGrid>
        <w:gridCol w:w="1148"/>
        <w:gridCol w:w="10"/>
        <w:gridCol w:w="1412"/>
        <w:gridCol w:w="28"/>
        <w:gridCol w:w="1800"/>
        <w:gridCol w:w="27"/>
        <w:gridCol w:w="2652"/>
        <w:gridCol w:w="21"/>
        <w:gridCol w:w="2780"/>
        <w:gridCol w:w="10"/>
        <w:gridCol w:w="2070"/>
        <w:gridCol w:w="44"/>
        <w:gridCol w:w="719"/>
        <w:gridCol w:w="47"/>
        <w:gridCol w:w="1085"/>
        <w:gridCol w:w="135"/>
      </w:tblGrid>
      <w:tr w14:paraId="1553D16D" w14:textId="77777777">
        <w:tblPrEx>
          <w:tblW w:w="0" w:type="auto"/>
          <w:tblInd w:w="552" w:type="dxa"/>
          <w:tblLayout w:type="fixed"/>
          <w:tblCellMar>
            <w:left w:w="0" w:type="dxa"/>
            <w:right w:w="0" w:type="dxa"/>
          </w:tblCellMar>
          <w:tblLook w:val="01E0"/>
        </w:tblPrEx>
        <w:trPr>
          <w:gridAfter w:val="1"/>
          <w:wAfter w:w="135" w:type="dxa"/>
          <w:trHeight w:val="232"/>
        </w:trPr>
        <w:tc>
          <w:tcPr>
            <w:tcW w:w="1148" w:type="dxa"/>
          </w:tcPr>
          <w:p w:rsidR="003F5784" w14:paraId="7638249C" w14:textId="77777777">
            <w:pPr>
              <w:pStyle w:val="TableParagraph"/>
              <w:spacing w:before="0"/>
              <w:jc w:val="left"/>
              <w:rPr>
                <w:sz w:val="16"/>
              </w:rPr>
            </w:pPr>
          </w:p>
        </w:tc>
        <w:tc>
          <w:tcPr>
            <w:tcW w:w="1422" w:type="dxa"/>
            <w:gridSpan w:val="2"/>
          </w:tcPr>
          <w:p w:rsidR="003F5784" w14:paraId="62E17D1D" w14:textId="77777777">
            <w:pPr>
              <w:pStyle w:val="TableParagraph"/>
              <w:spacing w:before="0" w:line="213" w:lineRule="exact"/>
              <w:ind w:left="193"/>
              <w:jc w:val="center"/>
              <w:rPr>
                <w:sz w:val="21"/>
              </w:rPr>
            </w:pPr>
            <w:r>
              <w:rPr>
                <w:spacing w:val="-2"/>
                <w:sz w:val="21"/>
              </w:rPr>
              <w:t>Primary</w:t>
            </w:r>
          </w:p>
        </w:tc>
        <w:tc>
          <w:tcPr>
            <w:tcW w:w="1855" w:type="dxa"/>
            <w:gridSpan w:val="3"/>
          </w:tcPr>
          <w:p w:rsidR="003F5784" w14:paraId="7F89B8E4" w14:textId="77777777">
            <w:pPr>
              <w:pStyle w:val="TableParagraph"/>
              <w:spacing w:before="0" w:line="213" w:lineRule="exact"/>
              <w:ind w:right="696"/>
              <w:rPr>
                <w:sz w:val="21"/>
              </w:rPr>
            </w:pPr>
            <w:r>
              <w:rPr>
                <w:spacing w:val="-2"/>
                <w:sz w:val="21"/>
              </w:rPr>
              <w:t>Secondary</w:t>
            </w:r>
          </w:p>
        </w:tc>
        <w:tc>
          <w:tcPr>
            <w:tcW w:w="2652" w:type="dxa"/>
          </w:tcPr>
          <w:p w:rsidR="003F5784" w14:paraId="61871097" w14:textId="77777777">
            <w:pPr>
              <w:pStyle w:val="TableParagraph"/>
              <w:spacing w:before="0"/>
              <w:jc w:val="left"/>
              <w:rPr>
                <w:sz w:val="16"/>
              </w:rPr>
            </w:pPr>
          </w:p>
        </w:tc>
        <w:tc>
          <w:tcPr>
            <w:tcW w:w="2801" w:type="dxa"/>
            <w:gridSpan w:val="2"/>
          </w:tcPr>
          <w:p w:rsidR="003F5784" w14:paraId="1594642C" w14:textId="77777777">
            <w:pPr>
              <w:pStyle w:val="TableParagraph"/>
              <w:spacing w:before="0"/>
              <w:jc w:val="left"/>
              <w:rPr>
                <w:sz w:val="16"/>
              </w:rPr>
            </w:pPr>
          </w:p>
        </w:tc>
        <w:tc>
          <w:tcPr>
            <w:tcW w:w="2124" w:type="dxa"/>
            <w:gridSpan w:val="3"/>
          </w:tcPr>
          <w:p w:rsidR="003F5784" w14:paraId="78D3B45D" w14:textId="77777777">
            <w:pPr>
              <w:pStyle w:val="TableParagraph"/>
              <w:spacing w:before="0"/>
              <w:jc w:val="left"/>
              <w:rPr>
                <w:sz w:val="16"/>
              </w:rPr>
            </w:pPr>
          </w:p>
        </w:tc>
        <w:tc>
          <w:tcPr>
            <w:tcW w:w="719" w:type="dxa"/>
          </w:tcPr>
          <w:p w:rsidR="003F5784" w14:paraId="6CBB3F74" w14:textId="77777777">
            <w:pPr>
              <w:pStyle w:val="TableParagraph"/>
              <w:spacing w:before="0"/>
              <w:jc w:val="left"/>
              <w:rPr>
                <w:sz w:val="16"/>
              </w:rPr>
            </w:pPr>
          </w:p>
        </w:tc>
        <w:tc>
          <w:tcPr>
            <w:tcW w:w="1132" w:type="dxa"/>
            <w:gridSpan w:val="2"/>
          </w:tcPr>
          <w:p w:rsidR="003F5784" w14:paraId="667E4617" w14:textId="77777777">
            <w:pPr>
              <w:pStyle w:val="TableParagraph"/>
              <w:spacing w:before="0" w:line="213" w:lineRule="exact"/>
              <w:ind w:right="56"/>
              <w:rPr>
                <w:sz w:val="21"/>
              </w:rPr>
            </w:pPr>
            <w:r>
              <w:rPr>
                <w:sz w:val="21"/>
              </w:rPr>
              <w:t>Measure</w:t>
            </w:r>
            <w:r>
              <w:rPr>
                <w:spacing w:val="-9"/>
                <w:sz w:val="21"/>
              </w:rPr>
              <w:t xml:space="preserve"> </w:t>
            </w:r>
            <w:r>
              <w:rPr>
                <w:spacing w:val="-5"/>
                <w:sz w:val="21"/>
              </w:rPr>
              <w:t>of</w:t>
            </w:r>
          </w:p>
        </w:tc>
      </w:tr>
      <w:tr w14:paraId="08FE61D7" w14:textId="77777777">
        <w:tblPrEx>
          <w:tblW w:w="0" w:type="auto"/>
          <w:tblInd w:w="552" w:type="dxa"/>
          <w:tblLayout w:type="fixed"/>
          <w:tblCellMar>
            <w:left w:w="0" w:type="dxa"/>
            <w:right w:w="0" w:type="dxa"/>
          </w:tblCellMar>
          <w:tblLook w:val="01E0"/>
        </w:tblPrEx>
        <w:trPr>
          <w:gridAfter w:val="1"/>
          <w:wAfter w:w="135" w:type="dxa"/>
          <w:trHeight w:val="232"/>
        </w:trPr>
        <w:tc>
          <w:tcPr>
            <w:tcW w:w="1148" w:type="dxa"/>
          </w:tcPr>
          <w:p w:rsidR="003F5784" w14:paraId="4B95F9BF" w14:textId="77777777">
            <w:pPr>
              <w:pStyle w:val="TableParagraph"/>
              <w:spacing w:before="0" w:line="213" w:lineRule="exact"/>
              <w:ind w:left="50"/>
              <w:jc w:val="left"/>
              <w:rPr>
                <w:sz w:val="21"/>
              </w:rPr>
            </w:pPr>
            <w:r>
              <w:rPr>
                <w:spacing w:val="-2"/>
                <w:sz w:val="21"/>
              </w:rPr>
              <w:t>Stratum</w:t>
            </w:r>
          </w:p>
        </w:tc>
        <w:tc>
          <w:tcPr>
            <w:tcW w:w="1422" w:type="dxa"/>
            <w:gridSpan w:val="2"/>
          </w:tcPr>
          <w:p w:rsidR="003F5784" w14:paraId="539AE23D" w14:textId="77777777">
            <w:pPr>
              <w:pStyle w:val="TableParagraph"/>
              <w:spacing w:before="0" w:line="213" w:lineRule="exact"/>
              <w:ind w:left="193" w:right="35"/>
              <w:jc w:val="center"/>
              <w:rPr>
                <w:sz w:val="21"/>
              </w:rPr>
            </w:pPr>
            <w:r>
              <w:rPr>
                <w:spacing w:val="-2"/>
                <w:sz w:val="21"/>
              </w:rPr>
              <w:t>stratifier</w:t>
            </w:r>
          </w:p>
        </w:tc>
        <w:tc>
          <w:tcPr>
            <w:tcW w:w="1855" w:type="dxa"/>
            <w:gridSpan w:val="3"/>
          </w:tcPr>
          <w:p w:rsidR="003F5784" w14:paraId="77E60D6E" w14:textId="77777777">
            <w:pPr>
              <w:pStyle w:val="TableParagraph"/>
              <w:spacing w:before="0" w:line="213" w:lineRule="exact"/>
              <w:ind w:right="696"/>
              <w:rPr>
                <w:sz w:val="21"/>
              </w:rPr>
            </w:pPr>
            <w:r>
              <w:rPr>
                <w:spacing w:val="-2"/>
                <w:sz w:val="21"/>
              </w:rPr>
              <w:t>stratifier</w:t>
            </w:r>
          </w:p>
        </w:tc>
        <w:tc>
          <w:tcPr>
            <w:tcW w:w="2652" w:type="dxa"/>
          </w:tcPr>
          <w:p w:rsidR="003F5784" w14:paraId="4F9E3BE8" w14:textId="77777777">
            <w:pPr>
              <w:pStyle w:val="TableParagraph"/>
              <w:spacing w:before="0" w:line="213" w:lineRule="exact"/>
              <w:ind w:left="694"/>
              <w:jc w:val="left"/>
              <w:rPr>
                <w:sz w:val="21"/>
              </w:rPr>
            </w:pPr>
            <w:r>
              <w:rPr>
                <w:spacing w:val="-2"/>
                <w:sz w:val="21"/>
              </w:rPr>
              <w:t>Tertiary</w:t>
            </w:r>
            <w:r>
              <w:rPr>
                <w:spacing w:val="-7"/>
                <w:sz w:val="21"/>
              </w:rPr>
              <w:t xml:space="preserve"> </w:t>
            </w:r>
            <w:r>
              <w:rPr>
                <w:spacing w:val="-2"/>
                <w:sz w:val="21"/>
              </w:rPr>
              <w:t>stratifier</w:t>
            </w:r>
          </w:p>
        </w:tc>
        <w:tc>
          <w:tcPr>
            <w:tcW w:w="2801" w:type="dxa"/>
            <w:gridSpan w:val="2"/>
          </w:tcPr>
          <w:p w:rsidR="003F5784" w14:paraId="046D125F" w14:textId="77777777">
            <w:pPr>
              <w:pStyle w:val="TableParagraph"/>
              <w:spacing w:before="0" w:line="213" w:lineRule="exact"/>
              <w:ind w:left="536"/>
              <w:jc w:val="left"/>
              <w:rPr>
                <w:sz w:val="21"/>
              </w:rPr>
            </w:pPr>
            <w:r>
              <w:rPr>
                <w:sz w:val="21"/>
              </w:rPr>
              <w:t>Quaternary</w:t>
            </w:r>
            <w:r>
              <w:rPr>
                <w:spacing w:val="-11"/>
                <w:sz w:val="21"/>
              </w:rPr>
              <w:t xml:space="preserve"> </w:t>
            </w:r>
            <w:r>
              <w:rPr>
                <w:spacing w:val="-2"/>
                <w:sz w:val="21"/>
              </w:rPr>
              <w:t>stratifier</w:t>
            </w:r>
          </w:p>
        </w:tc>
        <w:tc>
          <w:tcPr>
            <w:tcW w:w="2124" w:type="dxa"/>
            <w:gridSpan w:val="3"/>
          </w:tcPr>
          <w:p w:rsidR="003F5784" w14:paraId="676666E1" w14:textId="77777777">
            <w:pPr>
              <w:pStyle w:val="TableParagraph"/>
              <w:spacing w:before="0" w:line="213" w:lineRule="exact"/>
              <w:ind w:left="559"/>
              <w:jc w:val="left"/>
              <w:rPr>
                <w:sz w:val="21"/>
              </w:rPr>
            </w:pPr>
            <w:r>
              <w:rPr>
                <w:sz w:val="21"/>
              </w:rPr>
              <w:t>Quinary</w:t>
            </w:r>
            <w:r>
              <w:rPr>
                <w:spacing w:val="-8"/>
                <w:sz w:val="21"/>
              </w:rPr>
              <w:t xml:space="preserve"> </w:t>
            </w:r>
            <w:r>
              <w:rPr>
                <w:spacing w:val="-2"/>
                <w:sz w:val="21"/>
              </w:rPr>
              <w:t>stratifier</w:t>
            </w:r>
          </w:p>
        </w:tc>
        <w:tc>
          <w:tcPr>
            <w:tcW w:w="719" w:type="dxa"/>
          </w:tcPr>
          <w:p w:rsidR="003F5784" w14:paraId="5E85B18F" w14:textId="77777777">
            <w:pPr>
              <w:pStyle w:val="TableParagraph"/>
              <w:spacing w:before="0" w:line="213" w:lineRule="exact"/>
              <w:ind w:left="111"/>
              <w:jc w:val="left"/>
              <w:rPr>
                <w:sz w:val="21"/>
              </w:rPr>
            </w:pPr>
            <w:r>
              <w:rPr>
                <w:spacing w:val="-4"/>
                <w:sz w:val="21"/>
              </w:rPr>
              <w:t>PSUs</w:t>
            </w:r>
          </w:p>
        </w:tc>
        <w:tc>
          <w:tcPr>
            <w:tcW w:w="1132" w:type="dxa"/>
            <w:gridSpan w:val="2"/>
          </w:tcPr>
          <w:p w:rsidR="003F5784" w14:paraId="49F9A366" w14:textId="77777777">
            <w:pPr>
              <w:pStyle w:val="TableParagraph"/>
              <w:spacing w:before="0" w:line="213" w:lineRule="exact"/>
              <w:ind w:right="56"/>
              <w:rPr>
                <w:sz w:val="21"/>
              </w:rPr>
            </w:pPr>
            <w:r>
              <w:rPr>
                <w:spacing w:val="-4"/>
                <w:sz w:val="21"/>
              </w:rPr>
              <w:t>size</w:t>
            </w:r>
          </w:p>
        </w:tc>
      </w:tr>
      <w:tr w14:paraId="7A43AC13" w14:textId="77777777" w:rsidTr="00040E74">
        <w:tblPrEx>
          <w:tblW w:w="0" w:type="auto"/>
          <w:tblInd w:w="552" w:type="dxa"/>
          <w:tblLayout w:type="fixed"/>
          <w:tblCellMar>
            <w:left w:w="0" w:type="dxa"/>
            <w:right w:w="0" w:type="dxa"/>
          </w:tblCellMar>
          <w:tblLook w:val="01E0"/>
        </w:tblPrEx>
        <w:trPr>
          <w:trHeight w:val="1216"/>
        </w:trPr>
        <w:tc>
          <w:tcPr>
            <w:tcW w:w="1158" w:type="dxa"/>
            <w:gridSpan w:val="2"/>
            <w:tcBorders>
              <w:top w:val="single" w:sz="18" w:space="0" w:color="800000"/>
            </w:tcBorders>
          </w:tcPr>
          <w:p w:rsidR="003F5784" w14:paraId="21FC2A28" w14:textId="77777777">
            <w:pPr>
              <w:pStyle w:val="TableParagraph"/>
              <w:spacing w:before="9"/>
              <w:ind w:left="120"/>
              <w:jc w:val="left"/>
              <w:rPr>
                <w:sz w:val="21"/>
              </w:rPr>
            </w:pPr>
            <w:r>
              <w:rPr>
                <w:spacing w:val="-5"/>
                <w:sz w:val="21"/>
              </w:rPr>
              <w:t>11</w:t>
            </w:r>
          </w:p>
        </w:tc>
        <w:tc>
          <w:tcPr>
            <w:tcW w:w="1440" w:type="dxa"/>
            <w:gridSpan w:val="2"/>
            <w:tcBorders>
              <w:top w:val="single" w:sz="18" w:space="0" w:color="800000"/>
            </w:tcBorders>
          </w:tcPr>
          <w:p w:rsidR="003F5784" w14:paraId="61EA0B15" w14:textId="77777777">
            <w:pPr>
              <w:pStyle w:val="TableParagraph"/>
              <w:spacing w:before="15" w:line="232" w:lineRule="auto"/>
              <w:ind w:left="402" w:right="139" w:firstLine="86"/>
              <w:jc w:val="both"/>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11"/>
                <w:sz w:val="21"/>
              </w:rPr>
              <w:t xml:space="preserve"> </w:t>
            </w:r>
            <w:r>
              <w:rPr>
                <w:spacing w:val="-5"/>
                <w:sz w:val="21"/>
              </w:rPr>
              <w:t>&lt;=</w:t>
            </w:r>
          </w:p>
          <w:p w:rsidR="003F5784" w14:paraId="6AB81A90" w14:textId="77777777">
            <w:pPr>
              <w:pStyle w:val="TableParagraph"/>
              <w:spacing w:before="0" w:line="237" w:lineRule="exact"/>
              <w:ind w:right="139"/>
              <w:rPr>
                <w:sz w:val="21"/>
              </w:rPr>
            </w:pPr>
            <w:r>
              <w:rPr>
                <w:spacing w:val="-4"/>
                <w:sz w:val="21"/>
              </w:rPr>
              <w:t>16.9</w:t>
            </w:r>
          </w:p>
        </w:tc>
        <w:tc>
          <w:tcPr>
            <w:tcW w:w="1800" w:type="dxa"/>
            <w:tcBorders>
              <w:top w:val="single" w:sz="18" w:space="0" w:color="800000"/>
            </w:tcBorders>
          </w:tcPr>
          <w:p w:rsidR="003F5784" w14:paraId="33E002C5" w14:textId="77777777">
            <w:pPr>
              <w:pStyle w:val="TableParagraph"/>
              <w:spacing w:before="15" w:line="232" w:lineRule="auto"/>
              <w:ind w:left="439" w:right="116" w:hanging="286"/>
              <w:rPr>
                <w:sz w:val="21"/>
              </w:rPr>
            </w:pPr>
            <w:r>
              <w:rPr>
                <w:spacing w:val="-2"/>
                <w:sz w:val="21"/>
              </w:rPr>
              <w:t>Percentage</w:t>
            </w:r>
            <w:r>
              <w:rPr>
                <w:spacing w:val="-12"/>
                <w:sz w:val="21"/>
              </w:rPr>
              <w:t xml:space="preserve"> </w:t>
            </w:r>
            <w:r>
              <w:rPr>
                <w:spacing w:val="-2"/>
                <w:sz w:val="21"/>
              </w:rPr>
              <w:t xml:space="preserve">of </w:t>
            </w:r>
            <w:r>
              <w:rPr>
                <w:sz w:val="21"/>
              </w:rPr>
              <w:t>renters</w:t>
            </w:r>
            <w:r>
              <w:rPr>
                <w:spacing w:val="-7"/>
                <w:sz w:val="21"/>
              </w:rPr>
              <w:t xml:space="preserve"> </w:t>
            </w:r>
            <w:r>
              <w:rPr>
                <w:spacing w:val="-5"/>
                <w:sz w:val="21"/>
              </w:rPr>
              <w:t>&lt;=</w:t>
            </w:r>
          </w:p>
          <w:p w:rsidR="003F5784" w14:paraId="33D70E18" w14:textId="77777777">
            <w:pPr>
              <w:pStyle w:val="TableParagraph"/>
              <w:spacing w:before="0" w:line="236" w:lineRule="exact"/>
              <w:ind w:right="116"/>
              <w:rPr>
                <w:sz w:val="21"/>
              </w:rPr>
            </w:pPr>
            <w:r>
              <w:rPr>
                <w:spacing w:val="-4"/>
                <w:sz w:val="21"/>
              </w:rPr>
              <w:t>33.5</w:t>
            </w:r>
          </w:p>
        </w:tc>
        <w:tc>
          <w:tcPr>
            <w:tcW w:w="2700" w:type="dxa"/>
            <w:gridSpan w:val="3"/>
            <w:tcBorders>
              <w:top w:val="single" w:sz="18" w:space="0" w:color="800000"/>
            </w:tcBorders>
          </w:tcPr>
          <w:p w:rsidR="003F5784" w14:paraId="5C446FFB" w14:textId="77777777">
            <w:pPr>
              <w:pStyle w:val="TableParagraph"/>
              <w:spacing w:before="15" w:line="232" w:lineRule="auto"/>
              <w:ind w:left="118" w:right="121" w:firstLine="839"/>
              <w:rPr>
                <w:sz w:val="21"/>
              </w:rPr>
            </w:pPr>
            <w:r>
              <w:rPr>
                <w:sz w:val="21"/>
              </w:rPr>
              <w:t>Percentage</w:t>
            </w:r>
            <w:r>
              <w:rPr>
                <w:spacing w:val="-14"/>
                <w:sz w:val="21"/>
              </w:rPr>
              <w:t xml:space="preserve"> </w:t>
            </w:r>
            <w:r>
              <w:rPr>
                <w:sz w:val="21"/>
              </w:rPr>
              <w:t>of</w:t>
            </w:r>
            <w:r>
              <w:rPr>
                <w:spacing w:val="-13"/>
                <w:sz w:val="21"/>
              </w:rPr>
              <w:t xml:space="preserve"> </w:t>
            </w:r>
            <w:r>
              <w:rPr>
                <w:sz w:val="21"/>
              </w:rPr>
              <w:t>Black, Hispanic,</w:t>
            </w:r>
            <w:r>
              <w:rPr>
                <w:spacing w:val="-12"/>
                <w:sz w:val="21"/>
              </w:rPr>
              <w:t xml:space="preserve"> </w:t>
            </w:r>
            <w:r>
              <w:rPr>
                <w:sz w:val="21"/>
              </w:rPr>
              <w:t>American Indian/Alaska Native, or Native</w:t>
            </w:r>
            <w:r>
              <w:rPr>
                <w:spacing w:val="-14"/>
                <w:sz w:val="21"/>
              </w:rPr>
              <w:t xml:space="preserve"> </w:t>
            </w:r>
            <w:r>
              <w:rPr>
                <w:sz w:val="21"/>
              </w:rPr>
              <w:t>Hawaiian/Other</w:t>
            </w:r>
            <w:r>
              <w:rPr>
                <w:spacing w:val="-13"/>
                <w:sz w:val="21"/>
              </w:rPr>
              <w:t xml:space="preserve"> </w:t>
            </w:r>
            <w:r>
              <w:rPr>
                <w:sz w:val="21"/>
              </w:rPr>
              <w:t>Pacific Islander youth (30.6-33.2]</w:t>
            </w:r>
          </w:p>
        </w:tc>
        <w:tc>
          <w:tcPr>
            <w:tcW w:w="2790" w:type="dxa"/>
            <w:gridSpan w:val="2"/>
            <w:tcBorders>
              <w:top w:val="single" w:sz="18" w:space="0" w:color="800000"/>
            </w:tcBorders>
          </w:tcPr>
          <w:p w:rsidR="003F5784" w14:paraId="4888D20A" w14:textId="77777777">
            <w:pPr>
              <w:pStyle w:val="TableParagraph"/>
              <w:spacing w:before="15" w:line="232" w:lineRule="auto"/>
              <w:ind w:left="117" w:right="1233" w:firstLine="803"/>
              <w:rPr>
                <w:sz w:val="21"/>
              </w:rPr>
            </w:pPr>
            <w:r>
              <w:rPr>
                <w:sz w:val="21"/>
              </w:rPr>
              <w:t>Percentage</w:t>
            </w:r>
            <w:r>
              <w:rPr>
                <w:spacing w:val="-14"/>
                <w:sz w:val="21"/>
              </w:rPr>
              <w:t xml:space="preserve"> </w:t>
            </w:r>
            <w:r>
              <w:rPr>
                <w:sz w:val="21"/>
              </w:rPr>
              <w:t>of</w:t>
            </w:r>
            <w:r>
              <w:rPr>
                <w:spacing w:val="-13"/>
                <w:sz w:val="21"/>
              </w:rPr>
              <w:t xml:space="preserve"> </w:t>
            </w:r>
            <w:r>
              <w:rPr>
                <w:sz w:val="21"/>
              </w:rPr>
              <w:t>Black, Hispanic,</w:t>
            </w:r>
            <w:r>
              <w:rPr>
                <w:spacing w:val="-12"/>
                <w:sz w:val="21"/>
              </w:rPr>
              <w:t xml:space="preserve"> </w:t>
            </w:r>
            <w:r>
              <w:rPr>
                <w:sz w:val="21"/>
              </w:rPr>
              <w:t>American Indian/Alaska Native, or Native Hawaiian/Other Pacific</w:t>
            </w:r>
            <w:r>
              <w:rPr>
                <w:spacing w:val="-6"/>
                <w:sz w:val="21"/>
              </w:rPr>
              <w:t xml:space="preserve"> </w:t>
            </w:r>
            <w:r>
              <w:rPr>
                <w:sz w:val="21"/>
              </w:rPr>
              <w:t>Islander</w:t>
            </w:r>
            <w:r>
              <w:rPr>
                <w:spacing w:val="-6"/>
                <w:sz w:val="21"/>
              </w:rPr>
              <w:t xml:space="preserve"> </w:t>
            </w:r>
            <w:r>
              <w:rPr>
                <w:sz w:val="21"/>
              </w:rPr>
              <w:t>youth</w:t>
            </w:r>
            <w:r>
              <w:rPr>
                <w:spacing w:val="-6"/>
                <w:sz w:val="21"/>
              </w:rPr>
              <w:t xml:space="preserve"> </w:t>
            </w:r>
            <w:r>
              <w:rPr>
                <w:sz w:val="21"/>
              </w:rPr>
              <w:t>&lt;=</w:t>
            </w:r>
            <w:r>
              <w:rPr>
                <w:spacing w:val="-6"/>
                <w:sz w:val="21"/>
              </w:rPr>
              <w:t xml:space="preserve"> </w:t>
            </w:r>
            <w:r>
              <w:rPr>
                <w:spacing w:val="-4"/>
                <w:sz w:val="21"/>
              </w:rPr>
              <w:t>32.2</w:t>
            </w:r>
          </w:p>
        </w:tc>
        <w:tc>
          <w:tcPr>
            <w:tcW w:w="2070" w:type="dxa"/>
            <w:tcBorders>
              <w:top w:val="single" w:sz="18" w:space="0" w:color="800000"/>
            </w:tcBorders>
          </w:tcPr>
          <w:p w:rsidR="003F5784" w14:paraId="43EEAC04" w14:textId="77777777">
            <w:pPr>
              <w:pStyle w:val="TableParagraph"/>
              <w:spacing w:before="9"/>
              <w:ind w:right="246"/>
              <w:rPr>
                <w:sz w:val="21"/>
              </w:rPr>
            </w:pPr>
            <w:r>
              <w:rPr>
                <w:spacing w:val="-10"/>
                <w:sz w:val="21"/>
              </w:rPr>
              <w:t>†</w:t>
            </w:r>
          </w:p>
        </w:tc>
        <w:tc>
          <w:tcPr>
            <w:tcW w:w="810" w:type="dxa"/>
            <w:gridSpan w:val="3"/>
            <w:tcBorders>
              <w:top w:val="single" w:sz="18" w:space="0" w:color="800000"/>
            </w:tcBorders>
          </w:tcPr>
          <w:p w:rsidR="003F5784" w14:paraId="3649DBE3" w14:textId="77777777">
            <w:pPr>
              <w:pStyle w:val="TableParagraph"/>
              <w:spacing w:before="9"/>
              <w:ind w:right="271"/>
              <w:rPr>
                <w:sz w:val="21"/>
              </w:rPr>
            </w:pPr>
            <w:r>
              <w:rPr>
                <w:spacing w:val="-10"/>
                <w:sz w:val="21"/>
              </w:rPr>
              <w:t>5</w:t>
            </w:r>
          </w:p>
        </w:tc>
        <w:tc>
          <w:tcPr>
            <w:tcW w:w="1220" w:type="dxa"/>
            <w:gridSpan w:val="2"/>
            <w:tcBorders>
              <w:top w:val="single" w:sz="18" w:space="0" w:color="800000"/>
            </w:tcBorders>
          </w:tcPr>
          <w:p w:rsidR="003F5784" w14:paraId="4A85636A" w14:textId="77777777">
            <w:pPr>
              <w:pStyle w:val="TableParagraph"/>
              <w:spacing w:before="9"/>
              <w:ind w:right="121"/>
              <w:rPr>
                <w:sz w:val="21"/>
              </w:rPr>
            </w:pPr>
            <w:r>
              <w:rPr>
                <w:spacing w:val="-2"/>
                <w:sz w:val="21"/>
              </w:rPr>
              <w:t>574,325</w:t>
            </w:r>
          </w:p>
        </w:tc>
      </w:tr>
      <w:tr w14:paraId="142786EB" w14:textId="77777777" w:rsidTr="00040E74">
        <w:tblPrEx>
          <w:tblW w:w="0" w:type="auto"/>
          <w:tblInd w:w="552" w:type="dxa"/>
          <w:tblLayout w:type="fixed"/>
          <w:tblCellMar>
            <w:left w:w="0" w:type="dxa"/>
            <w:right w:w="0" w:type="dxa"/>
          </w:tblCellMar>
          <w:tblLook w:val="01E0"/>
        </w:tblPrEx>
        <w:trPr>
          <w:trHeight w:val="1225"/>
        </w:trPr>
        <w:tc>
          <w:tcPr>
            <w:tcW w:w="1158" w:type="dxa"/>
            <w:gridSpan w:val="2"/>
          </w:tcPr>
          <w:p w:rsidR="003F5784" w14:paraId="112D5B8D" w14:textId="77777777">
            <w:pPr>
              <w:pStyle w:val="TableParagraph"/>
              <w:ind w:left="120"/>
              <w:jc w:val="left"/>
              <w:rPr>
                <w:sz w:val="21"/>
              </w:rPr>
            </w:pPr>
            <w:r>
              <w:rPr>
                <w:spacing w:val="-5"/>
                <w:sz w:val="21"/>
              </w:rPr>
              <w:t>12</w:t>
            </w:r>
          </w:p>
        </w:tc>
        <w:tc>
          <w:tcPr>
            <w:tcW w:w="1440" w:type="dxa"/>
            <w:gridSpan w:val="2"/>
          </w:tcPr>
          <w:p w:rsidR="003F5784" w14:paraId="141DF370" w14:textId="77777777">
            <w:pPr>
              <w:pStyle w:val="TableParagraph"/>
              <w:spacing w:before="23" w:line="232" w:lineRule="auto"/>
              <w:ind w:left="402" w:right="139" w:firstLine="86"/>
              <w:jc w:val="both"/>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11"/>
                <w:sz w:val="21"/>
              </w:rPr>
              <w:t xml:space="preserve"> </w:t>
            </w:r>
            <w:r>
              <w:rPr>
                <w:spacing w:val="-5"/>
                <w:sz w:val="21"/>
              </w:rPr>
              <w:t>&lt;=</w:t>
            </w:r>
          </w:p>
          <w:p w:rsidR="003F5784" w14:paraId="5C10C08A" w14:textId="77777777">
            <w:pPr>
              <w:pStyle w:val="TableParagraph"/>
              <w:spacing w:before="0" w:line="237" w:lineRule="exact"/>
              <w:ind w:right="139"/>
              <w:rPr>
                <w:sz w:val="21"/>
              </w:rPr>
            </w:pPr>
            <w:r>
              <w:rPr>
                <w:spacing w:val="-4"/>
                <w:sz w:val="21"/>
              </w:rPr>
              <w:t>16.9</w:t>
            </w:r>
          </w:p>
        </w:tc>
        <w:tc>
          <w:tcPr>
            <w:tcW w:w="1800" w:type="dxa"/>
          </w:tcPr>
          <w:p w:rsidR="003F5784" w14:paraId="09B75876" w14:textId="77777777">
            <w:pPr>
              <w:pStyle w:val="TableParagraph"/>
              <w:spacing w:before="23" w:line="232" w:lineRule="auto"/>
              <w:ind w:left="439" w:right="116" w:hanging="286"/>
              <w:rPr>
                <w:sz w:val="21"/>
              </w:rPr>
            </w:pPr>
            <w:r>
              <w:rPr>
                <w:spacing w:val="-2"/>
                <w:sz w:val="21"/>
              </w:rPr>
              <w:t>Percentage</w:t>
            </w:r>
            <w:r>
              <w:rPr>
                <w:spacing w:val="-12"/>
                <w:sz w:val="21"/>
              </w:rPr>
              <w:t xml:space="preserve"> </w:t>
            </w:r>
            <w:r>
              <w:rPr>
                <w:spacing w:val="-2"/>
                <w:sz w:val="21"/>
              </w:rPr>
              <w:t xml:space="preserve">of </w:t>
            </w:r>
            <w:r>
              <w:rPr>
                <w:sz w:val="21"/>
              </w:rPr>
              <w:t>renters</w:t>
            </w:r>
            <w:r>
              <w:rPr>
                <w:spacing w:val="-7"/>
                <w:sz w:val="21"/>
              </w:rPr>
              <w:t xml:space="preserve"> </w:t>
            </w:r>
            <w:r>
              <w:rPr>
                <w:spacing w:val="-5"/>
                <w:sz w:val="21"/>
              </w:rPr>
              <w:t>&lt;=</w:t>
            </w:r>
          </w:p>
          <w:p w:rsidR="003F5784" w14:paraId="59C950AD" w14:textId="77777777">
            <w:pPr>
              <w:pStyle w:val="TableParagraph"/>
              <w:spacing w:before="0" w:line="236" w:lineRule="exact"/>
              <w:ind w:right="116"/>
              <w:rPr>
                <w:sz w:val="21"/>
              </w:rPr>
            </w:pPr>
            <w:r>
              <w:rPr>
                <w:spacing w:val="-4"/>
                <w:sz w:val="21"/>
              </w:rPr>
              <w:t>33.5</w:t>
            </w:r>
          </w:p>
        </w:tc>
        <w:tc>
          <w:tcPr>
            <w:tcW w:w="2700" w:type="dxa"/>
            <w:gridSpan w:val="3"/>
          </w:tcPr>
          <w:p w:rsidR="003F5784" w14:paraId="1B28E454" w14:textId="77777777">
            <w:pPr>
              <w:pStyle w:val="TableParagraph"/>
              <w:spacing w:before="23" w:line="232" w:lineRule="auto"/>
              <w:ind w:left="118" w:right="121" w:firstLine="839"/>
              <w:rPr>
                <w:sz w:val="21"/>
              </w:rPr>
            </w:pPr>
            <w:r>
              <w:rPr>
                <w:sz w:val="21"/>
              </w:rPr>
              <w:t>Percentage</w:t>
            </w:r>
            <w:r>
              <w:rPr>
                <w:spacing w:val="-14"/>
                <w:sz w:val="21"/>
              </w:rPr>
              <w:t xml:space="preserve"> </w:t>
            </w:r>
            <w:r>
              <w:rPr>
                <w:sz w:val="21"/>
              </w:rPr>
              <w:t>of</w:t>
            </w:r>
            <w:r>
              <w:rPr>
                <w:spacing w:val="-13"/>
                <w:sz w:val="21"/>
              </w:rPr>
              <w:t xml:space="preserve"> </w:t>
            </w:r>
            <w:r>
              <w:rPr>
                <w:sz w:val="21"/>
              </w:rPr>
              <w:t>Black, Hispanic,</w:t>
            </w:r>
            <w:r>
              <w:rPr>
                <w:spacing w:val="-12"/>
                <w:sz w:val="21"/>
              </w:rPr>
              <w:t xml:space="preserve"> </w:t>
            </w:r>
            <w:r>
              <w:rPr>
                <w:sz w:val="21"/>
              </w:rPr>
              <w:t>American Indian/Alaska Native, or Native</w:t>
            </w:r>
            <w:r>
              <w:rPr>
                <w:spacing w:val="-14"/>
                <w:sz w:val="21"/>
              </w:rPr>
              <w:t xml:space="preserve"> </w:t>
            </w:r>
            <w:r>
              <w:rPr>
                <w:sz w:val="21"/>
              </w:rPr>
              <w:t>Hawaiian/Other</w:t>
            </w:r>
            <w:r>
              <w:rPr>
                <w:spacing w:val="-13"/>
                <w:sz w:val="21"/>
              </w:rPr>
              <w:t xml:space="preserve"> </w:t>
            </w:r>
            <w:r>
              <w:rPr>
                <w:sz w:val="21"/>
              </w:rPr>
              <w:t>Pacific Islander youth (30.6-33.2]</w:t>
            </w:r>
          </w:p>
        </w:tc>
        <w:tc>
          <w:tcPr>
            <w:tcW w:w="2790" w:type="dxa"/>
            <w:gridSpan w:val="2"/>
          </w:tcPr>
          <w:p w:rsidR="003F5784" w14:paraId="0ACC1813" w14:textId="77777777">
            <w:pPr>
              <w:pStyle w:val="TableParagraph"/>
              <w:spacing w:before="23" w:line="232" w:lineRule="auto"/>
              <w:ind w:left="235" w:right="1233" w:firstLine="685"/>
              <w:rPr>
                <w:sz w:val="21"/>
              </w:rPr>
            </w:pPr>
            <w:r>
              <w:rPr>
                <w:sz w:val="21"/>
              </w:rPr>
              <w:t>Percentage</w:t>
            </w:r>
            <w:r>
              <w:rPr>
                <w:spacing w:val="-14"/>
                <w:sz w:val="21"/>
              </w:rPr>
              <w:t xml:space="preserve"> </w:t>
            </w:r>
            <w:r>
              <w:rPr>
                <w:sz w:val="21"/>
              </w:rPr>
              <w:t>of</w:t>
            </w:r>
            <w:r>
              <w:rPr>
                <w:spacing w:val="-13"/>
                <w:sz w:val="21"/>
              </w:rPr>
              <w:t xml:space="preserve"> </w:t>
            </w:r>
            <w:r>
              <w:rPr>
                <w:sz w:val="21"/>
              </w:rPr>
              <w:t>Black, Hispanic,</w:t>
            </w:r>
            <w:r>
              <w:rPr>
                <w:spacing w:val="-12"/>
                <w:sz w:val="21"/>
              </w:rPr>
              <w:t xml:space="preserve"> </w:t>
            </w:r>
            <w:r>
              <w:rPr>
                <w:sz w:val="21"/>
              </w:rPr>
              <w:t>American Indian/Alaska Native, or Native Hawaiian/Other Pacific</w:t>
            </w:r>
            <w:r>
              <w:rPr>
                <w:spacing w:val="-6"/>
                <w:sz w:val="21"/>
              </w:rPr>
              <w:t xml:space="preserve"> </w:t>
            </w:r>
            <w:r>
              <w:rPr>
                <w:sz w:val="21"/>
              </w:rPr>
              <w:t>Islander</w:t>
            </w:r>
            <w:r>
              <w:rPr>
                <w:spacing w:val="-6"/>
                <w:sz w:val="21"/>
              </w:rPr>
              <w:t xml:space="preserve"> </w:t>
            </w:r>
            <w:r>
              <w:rPr>
                <w:sz w:val="21"/>
              </w:rPr>
              <w:t>youth</w:t>
            </w:r>
            <w:r>
              <w:rPr>
                <w:spacing w:val="-5"/>
                <w:sz w:val="21"/>
              </w:rPr>
              <w:t xml:space="preserve"> </w:t>
            </w:r>
            <w:r>
              <w:rPr>
                <w:sz w:val="21"/>
              </w:rPr>
              <w:t>&gt;</w:t>
            </w:r>
            <w:r>
              <w:rPr>
                <w:spacing w:val="-6"/>
                <w:sz w:val="21"/>
              </w:rPr>
              <w:t xml:space="preserve"> </w:t>
            </w:r>
            <w:r>
              <w:rPr>
                <w:spacing w:val="-4"/>
                <w:sz w:val="21"/>
              </w:rPr>
              <w:t>32.2</w:t>
            </w:r>
          </w:p>
        </w:tc>
        <w:tc>
          <w:tcPr>
            <w:tcW w:w="2070" w:type="dxa"/>
          </w:tcPr>
          <w:p w:rsidR="003F5784" w14:paraId="52C45529" w14:textId="77777777">
            <w:pPr>
              <w:pStyle w:val="TableParagraph"/>
              <w:ind w:right="246"/>
              <w:rPr>
                <w:sz w:val="21"/>
              </w:rPr>
            </w:pPr>
            <w:r>
              <w:rPr>
                <w:spacing w:val="-10"/>
                <w:sz w:val="21"/>
              </w:rPr>
              <w:t>†</w:t>
            </w:r>
          </w:p>
        </w:tc>
        <w:tc>
          <w:tcPr>
            <w:tcW w:w="810" w:type="dxa"/>
            <w:gridSpan w:val="3"/>
          </w:tcPr>
          <w:p w:rsidR="003F5784" w14:paraId="5103F1F1" w14:textId="77777777">
            <w:pPr>
              <w:pStyle w:val="TableParagraph"/>
              <w:ind w:right="271"/>
              <w:rPr>
                <w:sz w:val="21"/>
              </w:rPr>
            </w:pPr>
            <w:r>
              <w:rPr>
                <w:spacing w:val="-10"/>
                <w:sz w:val="21"/>
              </w:rPr>
              <w:t>2</w:t>
            </w:r>
          </w:p>
        </w:tc>
        <w:tc>
          <w:tcPr>
            <w:tcW w:w="1220" w:type="dxa"/>
            <w:gridSpan w:val="2"/>
          </w:tcPr>
          <w:p w:rsidR="003F5784" w14:paraId="1F65818B" w14:textId="77777777">
            <w:pPr>
              <w:pStyle w:val="TableParagraph"/>
              <w:ind w:right="121"/>
              <w:rPr>
                <w:sz w:val="21"/>
              </w:rPr>
            </w:pPr>
            <w:r>
              <w:rPr>
                <w:spacing w:val="-2"/>
                <w:sz w:val="21"/>
              </w:rPr>
              <w:t>544,937</w:t>
            </w:r>
          </w:p>
        </w:tc>
      </w:tr>
      <w:tr w14:paraId="123D6AF4" w14:textId="77777777" w:rsidTr="00040E74">
        <w:tblPrEx>
          <w:tblW w:w="0" w:type="auto"/>
          <w:tblInd w:w="552" w:type="dxa"/>
          <w:tblLayout w:type="fixed"/>
          <w:tblCellMar>
            <w:left w:w="0" w:type="dxa"/>
            <w:right w:w="0" w:type="dxa"/>
          </w:tblCellMar>
          <w:tblLook w:val="01E0"/>
        </w:tblPrEx>
        <w:trPr>
          <w:trHeight w:val="1225"/>
        </w:trPr>
        <w:tc>
          <w:tcPr>
            <w:tcW w:w="1158" w:type="dxa"/>
            <w:gridSpan w:val="2"/>
          </w:tcPr>
          <w:p w:rsidR="003F5784" w14:paraId="4B6F9B8B" w14:textId="77777777">
            <w:pPr>
              <w:pStyle w:val="TableParagraph"/>
              <w:ind w:left="120"/>
              <w:jc w:val="left"/>
              <w:rPr>
                <w:sz w:val="21"/>
              </w:rPr>
            </w:pPr>
            <w:r>
              <w:rPr>
                <w:spacing w:val="-5"/>
                <w:sz w:val="21"/>
              </w:rPr>
              <w:t>13</w:t>
            </w:r>
          </w:p>
        </w:tc>
        <w:tc>
          <w:tcPr>
            <w:tcW w:w="1440" w:type="dxa"/>
            <w:gridSpan w:val="2"/>
          </w:tcPr>
          <w:p w:rsidR="003F5784" w14:paraId="13AF09DA" w14:textId="77777777">
            <w:pPr>
              <w:pStyle w:val="TableParagraph"/>
              <w:spacing w:before="23" w:line="232" w:lineRule="auto"/>
              <w:ind w:left="402" w:right="139" w:firstLine="86"/>
              <w:jc w:val="both"/>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11"/>
                <w:sz w:val="21"/>
              </w:rPr>
              <w:t xml:space="preserve"> </w:t>
            </w:r>
            <w:r>
              <w:rPr>
                <w:spacing w:val="-5"/>
                <w:sz w:val="21"/>
              </w:rPr>
              <w:t>&lt;=</w:t>
            </w:r>
          </w:p>
          <w:p w:rsidR="003F5784" w14:paraId="3D19A851" w14:textId="77777777">
            <w:pPr>
              <w:pStyle w:val="TableParagraph"/>
              <w:spacing w:before="0" w:line="237" w:lineRule="exact"/>
              <w:ind w:right="139"/>
              <w:rPr>
                <w:sz w:val="21"/>
              </w:rPr>
            </w:pPr>
            <w:r>
              <w:rPr>
                <w:spacing w:val="-4"/>
                <w:sz w:val="21"/>
              </w:rPr>
              <w:t>16.9</w:t>
            </w:r>
          </w:p>
        </w:tc>
        <w:tc>
          <w:tcPr>
            <w:tcW w:w="1800" w:type="dxa"/>
          </w:tcPr>
          <w:p w:rsidR="003F5784" w14:paraId="1C5B0724" w14:textId="77777777">
            <w:pPr>
              <w:pStyle w:val="TableParagraph"/>
              <w:spacing w:before="23" w:line="232" w:lineRule="auto"/>
              <w:ind w:left="439" w:right="116" w:hanging="286"/>
              <w:rPr>
                <w:sz w:val="21"/>
              </w:rPr>
            </w:pPr>
            <w:r>
              <w:rPr>
                <w:spacing w:val="-2"/>
                <w:sz w:val="21"/>
              </w:rPr>
              <w:t>Percentage</w:t>
            </w:r>
            <w:r>
              <w:rPr>
                <w:spacing w:val="-12"/>
                <w:sz w:val="21"/>
              </w:rPr>
              <w:t xml:space="preserve"> </w:t>
            </w:r>
            <w:r>
              <w:rPr>
                <w:spacing w:val="-2"/>
                <w:sz w:val="21"/>
              </w:rPr>
              <w:t xml:space="preserve">of </w:t>
            </w:r>
            <w:r>
              <w:rPr>
                <w:sz w:val="21"/>
              </w:rPr>
              <w:t>renters</w:t>
            </w:r>
            <w:r>
              <w:rPr>
                <w:spacing w:val="-7"/>
                <w:sz w:val="21"/>
              </w:rPr>
              <w:t xml:space="preserve"> </w:t>
            </w:r>
            <w:r>
              <w:rPr>
                <w:spacing w:val="-5"/>
                <w:sz w:val="21"/>
              </w:rPr>
              <w:t>&lt;=</w:t>
            </w:r>
          </w:p>
          <w:p w:rsidR="003F5784" w14:paraId="6B2DB024" w14:textId="77777777">
            <w:pPr>
              <w:pStyle w:val="TableParagraph"/>
              <w:spacing w:before="0" w:line="236" w:lineRule="exact"/>
              <w:ind w:right="116"/>
              <w:rPr>
                <w:sz w:val="21"/>
              </w:rPr>
            </w:pPr>
            <w:r>
              <w:rPr>
                <w:spacing w:val="-4"/>
                <w:sz w:val="21"/>
              </w:rPr>
              <w:t>33.5</w:t>
            </w:r>
          </w:p>
        </w:tc>
        <w:tc>
          <w:tcPr>
            <w:tcW w:w="2700" w:type="dxa"/>
            <w:gridSpan w:val="3"/>
          </w:tcPr>
          <w:p w:rsidR="003F5784" w14:paraId="52CB3A88" w14:textId="77777777">
            <w:pPr>
              <w:pStyle w:val="TableParagraph"/>
              <w:spacing w:before="23" w:line="232" w:lineRule="auto"/>
              <w:ind w:left="118" w:right="121" w:firstLine="839"/>
              <w:rPr>
                <w:sz w:val="21"/>
              </w:rPr>
            </w:pPr>
            <w:r>
              <w:rPr>
                <w:sz w:val="21"/>
              </w:rPr>
              <w:t>Percentage</w:t>
            </w:r>
            <w:r>
              <w:rPr>
                <w:spacing w:val="-14"/>
                <w:sz w:val="21"/>
              </w:rPr>
              <w:t xml:space="preserve"> </w:t>
            </w:r>
            <w:r>
              <w:rPr>
                <w:sz w:val="21"/>
              </w:rPr>
              <w:t>of</w:t>
            </w:r>
            <w:r>
              <w:rPr>
                <w:spacing w:val="-13"/>
                <w:sz w:val="21"/>
              </w:rPr>
              <w:t xml:space="preserve"> </w:t>
            </w:r>
            <w:r>
              <w:rPr>
                <w:sz w:val="21"/>
              </w:rPr>
              <w:t>Black, Hispanic,</w:t>
            </w:r>
            <w:r>
              <w:rPr>
                <w:spacing w:val="-12"/>
                <w:sz w:val="21"/>
              </w:rPr>
              <w:t xml:space="preserve"> </w:t>
            </w:r>
            <w:r>
              <w:rPr>
                <w:sz w:val="21"/>
              </w:rPr>
              <w:t>American Indian/Alaska Native, or Native</w:t>
            </w:r>
            <w:r>
              <w:rPr>
                <w:spacing w:val="-13"/>
                <w:sz w:val="21"/>
              </w:rPr>
              <w:t xml:space="preserve"> </w:t>
            </w:r>
            <w:r>
              <w:rPr>
                <w:sz w:val="21"/>
              </w:rPr>
              <w:t>Hawaiian/Other</w:t>
            </w:r>
            <w:r>
              <w:rPr>
                <w:spacing w:val="-10"/>
                <w:sz w:val="21"/>
              </w:rPr>
              <w:t xml:space="preserve"> </w:t>
            </w:r>
            <w:r>
              <w:rPr>
                <w:spacing w:val="-2"/>
                <w:sz w:val="21"/>
              </w:rPr>
              <w:t>Pacific</w:t>
            </w:r>
          </w:p>
          <w:p w:rsidR="003F5784" w14:paraId="59914B25" w14:textId="77777777">
            <w:pPr>
              <w:pStyle w:val="TableParagraph"/>
              <w:spacing w:before="0" w:line="237" w:lineRule="exact"/>
              <w:ind w:right="121"/>
              <w:rPr>
                <w:sz w:val="21"/>
              </w:rPr>
            </w:pPr>
            <w:r>
              <w:rPr>
                <w:sz w:val="21"/>
              </w:rPr>
              <w:t>Islander</w:t>
            </w:r>
            <w:r>
              <w:rPr>
                <w:spacing w:val="-6"/>
                <w:sz w:val="21"/>
              </w:rPr>
              <w:t xml:space="preserve"> </w:t>
            </w:r>
            <w:r>
              <w:rPr>
                <w:sz w:val="21"/>
              </w:rPr>
              <w:t>youth</w:t>
            </w:r>
            <w:r>
              <w:rPr>
                <w:spacing w:val="-5"/>
                <w:sz w:val="21"/>
              </w:rPr>
              <w:t xml:space="preserve"> </w:t>
            </w:r>
            <w:r>
              <w:rPr>
                <w:sz w:val="21"/>
              </w:rPr>
              <w:t>&gt;</w:t>
            </w:r>
            <w:r>
              <w:rPr>
                <w:spacing w:val="-5"/>
                <w:sz w:val="21"/>
              </w:rPr>
              <w:t xml:space="preserve"> </w:t>
            </w:r>
            <w:r>
              <w:rPr>
                <w:spacing w:val="-4"/>
                <w:sz w:val="21"/>
              </w:rPr>
              <w:t>33.2</w:t>
            </w:r>
          </w:p>
        </w:tc>
        <w:tc>
          <w:tcPr>
            <w:tcW w:w="2790" w:type="dxa"/>
            <w:gridSpan w:val="2"/>
          </w:tcPr>
          <w:p w:rsidR="003F5784" w14:paraId="35FCBF2E" w14:textId="77777777">
            <w:pPr>
              <w:pStyle w:val="TableParagraph"/>
              <w:spacing w:before="23" w:line="232" w:lineRule="auto"/>
              <w:ind w:left="117" w:right="1233" w:firstLine="803"/>
              <w:rPr>
                <w:sz w:val="21"/>
              </w:rPr>
            </w:pPr>
            <w:r>
              <w:rPr>
                <w:sz w:val="21"/>
              </w:rPr>
              <w:t>Percentage</w:t>
            </w:r>
            <w:r>
              <w:rPr>
                <w:spacing w:val="-14"/>
                <w:sz w:val="21"/>
              </w:rPr>
              <w:t xml:space="preserve"> </w:t>
            </w:r>
            <w:r>
              <w:rPr>
                <w:sz w:val="21"/>
              </w:rPr>
              <w:t>of</w:t>
            </w:r>
            <w:r>
              <w:rPr>
                <w:spacing w:val="-13"/>
                <w:sz w:val="21"/>
              </w:rPr>
              <w:t xml:space="preserve"> </w:t>
            </w:r>
            <w:r>
              <w:rPr>
                <w:sz w:val="21"/>
              </w:rPr>
              <w:t>Black, Hispanic,</w:t>
            </w:r>
            <w:r>
              <w:rPr>
                <w:spacing w:val="-12"/>
                <w:sz w:val="21"/>
              </w:rPr>
              <w:t xml:space="preserve"> </w:t>
            </w:r>
            <w:r>
              <w:rPr>
                <w:sz w:val="21"/>
              </w:rPr>
              <w:t>American Indian/Alaska Native, or Native Hawaiian/Other Pacific</w:t>
            </w:r>
            <w:r>
              <w:rPr>
                <w:spacing w:val="-6"/>
                <w:sz w:val="21"/>
              </w:rPr>
              <w:t xml:space="preserve"> </w:t>
            </w:r>
            <w:r>
              <w:rPr>
                <w:sz w:val="21"/>
              </w:rPr>
              <w:t>Islander</w:t>
            </w:r>
            <w:r>
              <w:rPr>
                <w:spacing w:val="-6"/>
                <w:sz w:val="21"/>
              </w:rPr>
              <w:t xml:space="preserve"> </w:t>
            </w:r>
            <w:r>
              <w:rPr>
                <w:sz w:val="21"/>
              </w:rPr>
              <w:t>youth</w:t>
            </w:r>
            <w:r>
              <w:rPr>
                <w:spacing w:val="-6"/>
                <w:sz w:val="21"/>
              </w:rPr>
              <w:t xml:space="preserve"> </w:t>
            </w:r>
            <w:r>
              <w:rPr>
                <w:sz w:val="21"/>
              </w:rPr>
              <w:t>&lt;=</w:t>
            </w:r>
            <w:r>
              <w:rPr>
                <w:spacing w:val="-6"/>
                <w:sz w:val="21"/>
              </w:rPr>
              <w:t xml:space="preserve"> </w:t>
            </w:r>
            <w:r>
              <w:rPr>
                <w:spacing w:val="-4"/>
                <w:sz w:val="21"/>
              </w:rPr>
              <w:t>36.9</w:t>
            </w:r>
          </w:p>
        </w:tc>
        <w:tc>
          <w:tcPr>
            <w:tcW w:w="2070" w:type="dxa"/>
          </w:tcPr>
          <w:p w:rsidR="003F5784" w14:paraId="3C3F2167" w14:textId="77777777">
            <w:pPr>
              <w:pStyle w:val="TableParagraph"/>
              <w:ind w:right="246"/>
              <w:rPr>
                <w:sz w:val="21"/>
              </w:rPr>
            </w:pPr>
            <w:r>
              <w:rPr>
                <w:spacing w:val="-10"/>
                <w:sz w:val="21"/>
              </w:rPr>
              <w:t>†</w:t>
            </w:r>
          </w:p>
        </w:tc>
        <w:tc>
          <w:tcPr>
            <w:tcW w:w="810" w:type="dxa"/>
            <w:gridSpan w:val="3"/>
          </w:tcPr>
          <w:p w:rsidR="003F5784" w14:paraId="5CF13027" w14:textId="77777777">
            <w:pPr>
              <w:pStyle w:val="TableParagraph"/>
              <w:ind w:right="271"/>
              <w:rPr>
                <w:sz w:val="21"/>
              </w:rPr>
            </w:pPr>
            <w:r>
              <w:rPr>
                <w:spacing w:val="-10"/>
                <w:sz w:val="21"/>
              </w:rPr>
              <w:t>6</w:t>
            </w:r>
          </w:p>
        </w:tc>
        <w:tc>
          <w:tcPr>
            <w:tcW w:w="1220" w:type="dxa"/>
            <w:gridSpan w:val="2"/>
          </w:tcPr>
          <w:p w:rsidR="003F5784" w14:paraId="2BD129CD" w14:textId="77777777">
            <w:pPr>
              <w:pStyle w:val="TableParagraph"/>
              <w:ind w:right="121"/>
              <w:rPr>
                <w:sz w:val="21"/>
              </w:rPr>
            </w:pPr>
            <w:r>
              <w:rPr>
                <w:spacing w:val="-2"/>
                <w:sz w:val="21"/>
              </w:rPr>
              <w:t>531,652</w:t>
            </w:r>
          </w:p>
        </w:tc>
      </w:tr>
      <w:tr w14:paraId="371673F0" w14:textId="77777777" w:rsidTr="00040E74">
        <w:tblPrEx>
          <w:tblW w:w="0" w:type="auto"/>
          <w:tblInd w:w="552" w:type="dxa"/>
          <w:tblLayout w:type="fixed"/>
          <w:tblCellMar>
            <w:left w:w="0" w:type="dxa"/>
            <w:right w:w="0" w:type="dxa"/>
          </w:tblCellMar>
          <w:tblLook w:val="01E0"/>
        </w:tblPrEx>
        <w:trPr>
          <w:trHeight w:val="1225"/>
        </w:trPr>
        <w:tc>
          <w:tcPr>
            <w:tcW w:w="1158" w:type="dxa"/>
            <w:gridSpan w:val="2"/>
          </w:tcPr>
          <w:p w:rsidR="003F5784" w14:paraId="593CBF12" w14:textId="77777777">
            <w:pPr>
              <w:pStyle w:val="TableParagraph"/>
              <w:ind w:left="120"/>
              <w:jc w:val="left"/>
              <w:rPr>
                <w:sz w:val="21"/>
              </w:rPr>
            </w:pPr>
            <w:r>
              <w:rPr>
                <w:spacing w:val="-5"/>
                <w:sz w:val="21"/>
              </w:rPr>
              <w:t>14</w:t>
            </w:r>
          </w:p>
        </w:tc>
        <w:tc>
          <w:tcPr>
            <w:tcW w:w="1440" w:type="dxa"/>
            <w:gridSpan w:val="2"/>
          </w:tcPr>
          <w:p w:rsidR="003F5784" w14:paraId="0A7B0ABB" w14:textId="77777777">
            <w:pPr>
              <w:pStyle w:val="TableParagraph"/>
              <w:spacing w:before="23" w:line="232" w:lineRule="auto"/>
              <w:ind w:left="402" w:right="139" w:firstLine="86"/>
              <w:jc w:val="both"/>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11"/>
                <w:sz w:val="21"/>
              </w:rPr>
              <w:t xml:space="preserve"> </w:t>
            </w:r>
            <w:r>
              <w:rPr>
                <w:spacing w:val="-5"/>
                <w:sz w:val="21"/>
              </w:rPr>
              <w:t>&lt;=</w:t>
            </w:r>
          </w:p>
          <w:p w:rsidR="003F5784" w14:paraId="2D575EB5" w14:textId="77777777">
            <w:pPr>
              <w:pStyle w:val="TableParagraph"/>
              <w:spacing w:before="0" w:line="237" w:lineRule="exact"/>
              <w:ind w:right="139"/>
              <w:rPr>
                <w:sz w:val="21"/>
              </w:rPr>
            </w:pPr>
            <w:r>
              <w:rPr>
                <w:spacing w:val="-4"/>
                <w:sz w:val="21"/>
              </w:rPr>
              <w:t>16.9</w:t>
            </w:r>
          </w:p>
        </w:tc>
        <w:tc>
          <w:tcPr>
            <w:tcW w:w="1800" w:type="dxa"/>
          </w:tcPr>
          <w:p w:rsidR="003F5784" w14:paraId="0BD91721" w14:textId="77777777">
            <w:pPr>
              <w:pStyle w:val="TableParagraph"/>
              <w:spacing w:before="23" w:line="232" w:lineRule="auto"/>
              <w:ind w:left="439" w:right="116" w:hanging="286"/>
              <w:rPr>
                <w:sz w:val="21"/>
              </w:rPr>
            </w:pPr>
            <w:r>
              <w:rPr>
                <w:spacing w:val="-2"/>
                <w:sz w:val="21"/>
              </w:rPr>
              <w:t>Percentage</w:t>
            </w:r>
            <w:r>
              <w:rPr>
                <w:spacing w:val="-12"/>
                <w:sz w:val="21"/>
              </w:rPr>
              <w:t xml:space="preserve"> </w:t>
            </w:r>
            <w:r>
              <w:rPr>
                <w:spacing w:val="-2"/>
                <w:sz w:val="21"/>
              </w:rPr>
              <w:t xml:space="preserve">of </w:t>
            </w:r>
            <w:r>
              <w:rPr>
                <w:sz w:val="21"/>
              </w:rPr>
              <w:t>renters</w:t>
            </w:r>
            <w:r>
              <w:rPr>
                <w:spacing w:val="-7"/>
                <w:sz w:val="21"/>
              </w:rPr>
              <w:t xml:space="preserve"> </w:t>
            </w:r>
            <w:r>
              <w:rPr>
                <w:spacing w:val="-5"/>
                <w:sz w:val="21"/>
              </w:rPr>
              <w:t>&lt;=</w:t>
            </w:r>
          </w:p>
          <w:p w:rsidR="003F5784" w14:paraId="22590A82" w14:textId="77777777">
            <w:pPr>
              <w:pStyle w:val="TableParagraph"/>
              <w:spacing w:before="0" w:line="236" w:lineRule="exact"/>
              <w:ind w:right="116"/>
              <w:rPr>
                <w:sz w:val="21"/>
              </w:rPr>
            </w:pPr>
            <w:r>
              <w:rPr>
                <w:spacing w:val="-4"/>
                <w:sz w:val="21"/>
              </w:rPr>
              <w:t>33.5</w:t>
            </w:r>
          </w:p>
        </w:tc>
        <w:tc>
          <w:tcPr>
            <w:tcW w:w="2700" w:type="dxa"/>
            <w:gridSpan w:val="3"/>
          </w:tcPr>
          <w:p w:rsidR="003F5784" w14:paraId="4CF4D592" w14:textId="77777777">
            <w:pPr>
              <w:pStyle w:val="TableParagraph"/>
              <w:spacing w:before="23" w:line="232" w:lineRule="auto"/>
              <w:ind w:left="118" w:right="121" w:firstLine="839"/>
              <w:rPr>
                <w:sz w:val="21"/>
              </w:rPr>
            </w:pPr>
            <w:r>
              <w:rPr>
                <w:sz w:val="21"/>
              </w:rPr>
              <w:t>Percentage</w:t>
            </w:r>
            <w:r>
              <w:rPr>
                <w:spacing w:val="-14"/>
                <w:sz w:val="21"/>
              </w:rPr>
              <w:t xml:space="preserve"> </w:t>
            </w:r>
            <w:r>
              <w:rPr>
                <w:sz w:val="21"/>
              </w:rPr>
              <w:t>of</w:t>
            </w:r>
            <w:r>
              <w:rPr>
                <w:spacing w:val="-13"/>
                <w:sz w:val="21"/>
              </w:rPr>
              <w:t xml:space="preserve"> </w:t>
            </w:r>
            <w:r>
              <w:rPr>
                <w:sz w:val="21"/>
              </w:rPr>
              <w:t>Black, Hispanic,</w:t>
            </w:r>
            <w:r>
              <w:rPr>
                <w:spacing w:val="-12"/>
                <w:sz w:val="21"/>
              </w:rPr>
              <w:t xml:space="preserve"> </w:t>
            </w:r>
            <w:r>
              <w:rPr>
                <w:sz w:val="21"/>
              </w:rPr>
              <w:t>American Indian/Alaska Native, or Native</w:t>
            </w:r>
            <w:r>
              <w:rPr>
                <w:spacing w:val="-13"/>
                <w:sz w:val="21"/>
              </w:rPr>
              <w:t xml:space="preserve"> </w:t>
            </w:r>
            <w:r>
              <w:rPr>
                <w:sz w:val="21"/>
              </w:rPr>
              <w:t>Hawaiian/Other</w:t>
            </w:r>
            <w:r>
              <w:rPr>
                <w:spacing w:val="-10"/>
                <w:sz w:val="21"/>
              </w:rPr>
              <w:t xml:space="preserve"> </w:t>
            </w:r>
            <w:r>
              <w:rPr>
                <w:spacing w:val="-2"/>
                <w:sz w:val="21"/>
              </w:rPr>
              <w:t>Pacific</w:t>
            </w:r>
          </w:p>
          <w:p w:rsidR="003F5784" w14:paraId="67B232A7" w14:textId="77777777">
            <w:pPr>
              <w:pStyle w:val="TableParagraph"/>
              <w:spacing w:before="0" w:line="237" w:lineRule="exact"/>
              <w:ind w:right="121"/>
              <w:rPr>
                <w:sz w:val="21"/>
              </w:rPr>
            </w:pPr>
            <w:r>
              <w:rPr>
                <w:sz w:val="21"/>
              </w:rPr>
              <w:t>Islander</w:t>
            </w:r>
            <w:r>
              <w:rPr>
                <w:spacing w:val="-6"/>
                <w:sz w:val="21"/>
              </w:rPr>
              <w:t xml:space="preserve"> </w:t>
            </w:r>
            <w:r>
              <w:rPr>
                <w:sz w:val="21"/>
              </w:rPr>
              <w:t>youth</w:t>
            </w:r>
            <w:r>
              <w:rPr>
                <w:spacing w:val="-5"/>
                <w:sz w:val="21"/>
              </w:rPr>
              <w:t xml:space="preserve"> </w:t>
            </w:r>
            <w:r>
              <w:rPr>
                <w:sz w:val="21"/>
              </w:rPr>
              <w:t>&gt;</w:t>
            </w:r>
            <w:r>
              <w:rPr>
                <w:spacing w:val="-5"/>
                <w:sz w:val="21"/>
              </w:rPr>
              <w:t xml:space="preserve"> </w:t>
            </w:r>
            <w:r>
              <w:rPr>
                <w:spacing w:val="-4"/>
                <w:sz w:val="21"/>
              </w:rPr>
              <w:t>33.2</w:t>
            </w:r>
          </w:p>
        </w:tc>
        <w:tc>
          <w:tcPr>
            <w:tcW w:w="2790" w:type="dxa"/>
            <w:gridSpan w:val="2"/>
          </w:tcPr>
          <w:p w:rsidR="003F5784" w14:paraId="3A4E3119" w14:textId="77777777">
            <w:pPr>
              <w:pStyle w:val="TableParagraph"/>
              <w:spacing w:before="23" w:line="232" w:lineRule="auto"/>
              <w:ind w:left="235" w:right="1233" w:firstLine="685"/>
              <w:rPr>
                <w:sz w:val="21"/>
              </w:rPr>
            </w:pPr>
            <w:r>
              <w:rPr>
                <w:sz w:val="21"/>
              </w:rPr>
              <w:t>Percentage</w:t>
            </w:r>
            <w:r>
              <w:rPr>
                <w:spacing w:val="-14"/>
                <w:sz w:val="21"/>
              </w:rPr>
              <w:t xml:space="preserve"> </w:t>
            </w:r>
            <w:r>
              <w:rPr>
                <w:sz w:val="21"/>
              </w:rPr>
              <w:t>of</w:t>
            </w:r>
            <w:r>
              <w:rPr>
                <w:spacing w:val="-13"/>
                <w:sz w:val="21"/>
              </w:rPr>
              <w:t xml:space="preserve"> </w:t>
            </w:r>
            <w:r>
              <w:rPr>
                <w:sz w:val="21"/>
              </w:rPr>
              <w:t>Black, Hispanic,</w:t>
            </w:r>
            <w:r>
              <w:rPr>
                <w:spacing w:val="-12"/>
                <w:sz w:val="21"/>
              </w:rPr>
              <w:t xml:space="preserve"> </w:t>
            </w:r>
            <w:r>
              <w:rPr>
                <w:sz w:val="21"/>
              </w:rPr>
              <w:t>American Indian/Alaska Native, or Native Hawaiian/Other Pacific</w:t>
            </w:r>
            <w:r>
              <w:rPr>
                <w:spacing w:val="-6"/>
                <w:sz w:val="21"/>
              </w:rPr>
              <w:t xml:space="preserve"> </w:t>
            </w:r>
            <w:r>
              <w:rPr>
                <w:sz w:val="21"/>
              </w:rPr>
              <w:t>Islander</w:t>
            </w:r>
            <w:r>
              <w:rPr>
                <w:spacing w:val="-6"/>
                <w:sz w:val="21"/>
              </w:rPr>
              <w:t xml:space="preserve"> </w:t>
            </w:r>
            <w:r>
              <w:rPr>
                <w:sz w:val="21"/>
              </w:rPr>
              <w:t>youth</w:t>
            </w:r>
            <w:r>
              <w:rPr>
                <w:spacing w:val="-5"/>
                <w:sz w:val="21"/>
              </w:rPr>
              <w:t xml:space="preserve"> </w:t>
            </w:r>
            <w:r>
              <w:rPr>
                <w:sz w:val="21"/>
              </w:rPr>
              <w:t>&gt;</w:t>
            </w:r>
            <w:r>
              <w:rPr>
                <w:spacing w:val="-6"/>
                <w:sz w:val="21"/>
              </w:rPr>
              <w:t xml:space="preserve"> </w:t>
            </w:r>
            <w:r>
              <w:rPr>
                <w:spacing w:val="-4"/>
                <w:sz w:val="21"/>
              </w:rPr>
              <w:t>36.9</w:t>
            </w:r>
          </w:p>
        </w:tc>
        <w:tc>
          <w:tcPr>
            <w:tcW w:w="2070" w:type="dxa"/>
          </w:tcPr>
          <w:p w:rsidR="003F5784" w14:paraId="64BE4C4B" w14:textId="77777777">
            <w:pPr>
              <w:pStyle w:val="TableParagraph"/>
              <w:ind w:right="246"/>
              <w:rPr>
                <w:sz w:val="21"/>
              </w:rPr>
            </w:pPr>
            <w:r>
              <w:rPr>
                <w:spacing w:val="-10"/>
                <w:sz w:val="21"/>
              </w:rPr>
              <w:t>†</w:t>
            </w:r>
          </w:p>
        </w:tc>
        <w:tc>
          <w:tcPr>
            <w:tcW w:w="810" w:type="dxa"/>
            <w:gridSpan w:val="3"/>
          </w:tcPr>
          <w:p w:rsidR="003F5784" w14:paraId="7381CCA2" w14:textId="77777777">
            <w:pPr>
              <w:pStyle w:val="TableParagraph"/>
              <w:ind w:right="271"/>
              <w:rPr>
                <w:sz w:val="21"/>
              </w:rPr>
            </w:pPr>
            <w:r>
              <w:rPr>
                <w:spacing w:val="-10"/>
                <w:sz w:val="21"/>
              </w:rPr>
              <w:t>6</w:t>
            </w:r>
          </w:p>
        </w:tc>
        <w:tc>
          <w:tcPr>
            <w:tcW w:w="1220" w:type="dxa"/>
            <w:gridSpan w:val="2"/>
          </w:tcPr>
          <w:p w:rsidR="003F5784" w14:paraId="55945890" w14:textId="77777777">
            <w:pPr>
              <w:pStyle w:val="TableParagraph"/>
              <w:ind w:right="121"/>
              <w:rPr>
                <w:sz w:val="21"/>
              </w:rPr>
            </w:pPr>
            <w:r>
              <w:rPr>
                <w:spacing w:val="-2"/>
                <w:sz w:val="21"/>
              </w:rPr>
              <w:t>533,107</w:t>
            </w:r>
          </w:p>
        </w:tc>
      </w:tr>
      <w:tr w14:paraId="21A56FA1" w14:textId="77777777" w:rsidTr="00040E74">
        <w:tblPrEx>
          <w:tblW w:w="0" w:type="auto"/>
          <w:tblInd w:w="552" w:type="dxa"/>
          <w:tblLayout w:type="fixed"/>
          <w:tblCellMar>
            <w:left w:w="0" w:type="dxa"/>
            <w:right w:w="0" w:type="dxa"/>
          </w:tblCellMar>
          <w:tblLook w:val="01E0"/>
        </w:tblPrEx>
        <w:trPr>
          <w:trHeight w:val="990"/>
        </w:trPr>
        <w:tc>
          <w:tcPr>
            <w:tcW w:w="1158" w:type="dxa"/>
            <w:gridSpan w:val="2"/>
          </w:tcPr>
          <w:p w:rsidR="003F5784" w14:paraId="736AA00B" w14:textId="77777777">
            <w:pPr>
              <w:pStyle w:val="TableParagraph"/>
              <w:ind w:left="120"/>
              <w:jc w:val="left"/>
              <w:rPr>
                <w:sz w:val="21"/>
              </w:rPr>
            </w:pPr>
            <w:r>
              <w:rPr>
                <w:spacing w:val="-5"/>
                <w:sz w:val="21"/>
              </w:rPr>
              <w:t>15</w:t>
            </w:r>
          </w:p>
        </w:tc>
        <w:tc>
          <w:tcPr>
            <w:tcW w:w="1440" w:type="dxa"/>
            <w:gridSpan w:val="2"/>
          </w:tcPr>
          <w:p w:rsidR="003F5784" w14:paraId="5C8AA860" w14:textId="77777777">
            <w:pPr>
              <w:pStyle w:val="TableParagraph"/>
              <w:spacing w:before="23" w:line="232" w:lineRule="auto"/>
              <w:ind w:left="402" w:right="139" w:firstLine="86"/>
              <w:jc w:val="both"/>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11"/>
                <w:sz w:val="21"/>
              </w:rPr>
              <w:t xml:space="preserve"> </w:t>
            </w:r>
            <w:r>
              <w:rPr>
                <w:spacing w:val="-5"/>
                <w:sz w:val="21"/>
              </w:rPr>
              <w:t>&lt;=</w:t>
            </w:r>
          </w:p>
          <w:p w:rsidR="003F5784" w14:paraId="4E6A57BF" w14:textId="77777777">
            <w:pPr>
              <w:pStyle w:val="TableParagraph"/>
              <w:spacing w:before="0" w:line="237" w:lineRule="exact"/>
              <w:ind w:right="139"/>
              <w:rPr>
                <w:sz w:val="21"/>
              </w:rPr>
            </w:pPr>
            <w:r>
              <w:rPr>
                <w:spacing w:val="-4"/>
                <w:sz w:val="21"/>
              </w:rPr>
              <w:t>16.9</w:t>
            </w:r>
          </w:p>
        </w:tc>
        <w:tc>
          <w:tcPr>
            <w:tcW w:w="1800" w:type="dxa"/>
          </w:tcPr>
          <w:p w:rsidR="003F5784" w14:paraId="60B5114D" w14:textId="77777777">
            <w:pPr>
              <w:pStyle w:val="TableParagraph"/>
              <w:spacing w:before="23" w:line="232" w:lineRule="auto"/>
              <w:ind w:left="139" w:right="116" w:firstLine="13"/>
              <w:jc w:val="left"/>
              <w:rPr>
                <w:sz w:val="21"/>
              </w:rPr>
            </w:pPr>
            <w:r>
              <w:rPr>
                <w:spacing w:val="-2"/>
                <w:sz w:val="21"/>
              </w:rPr>
              <w:t>Percentage</w:t>
            </w:r>
            <w:r>
              <w:rPr>
                <w:spacing w:val="-12"/>
                <w:sz w:val="21"/>
              </w:rPr>
              <w:t xml:space="preserve"> </w:t>
            </w:r>
            <w:r>
              <w:rPr>
                <w:spacing w:val="-2"/>
                <w:sz w:val="21"/>
              </w:rPr>
              <w:t xml:space="preserve">of </w:t>
            </w:r>
            <w:r>
              <w:rPr>
                <w:sz w:val="21"/>
              </w:rPr>
              <w:t>renters</w:t>
            </w:r>
            <w:r>
              <w:rPr>
                <w:spacing w:val="-5"/>
                <w:sz w:val="21"/>
              </w:rPr>
              <w:t xml:space="preserve"> </w:t>
            </w:r>
            <w:r>
              <w:rPr>
                <w:sz w:val="21"/>
              </w:rPr>
              <w:t>&gt;</w:t>
            </w:r>
            <w:r>
              <w:rPr>
                <w:spacing w:val="-4"/>
                <w:sz w:val="21"/>
              </w:rPr>
              <w:t xml:space="preserve"> 33.5</w:t>
            </w:r>
          </w:p>
        </w:tc>
        <w:tc>
          <w:tcPr>
            <w:tcW w:w="2700" w:type="dxa"/>
            <w:gridSpan w:val="3"/>
          </w:tcPr>
          <w:p w:rsidR="003F5784" w14:paraId="1D65ABCA" w14:textId="77777777">
            <w:pPr>
              <w:pStyle w:val="TableParagraph"/>
              <w:spacing w:line="238" w:lineRule="exact"/>
              <w:ind w:right="121"/>
              <w:rPr>
                <w:sz w:val="21"/>
              </w:rPr>
            </w:pPr>
            <w:r>
              <w:rPr>
                <w:sz w:val="21"/>
              </w:rPr>
              <w:t>Per</w:t>
            </w:r>
            <w:r>
              <w:rPr>
                <w:spacing w:val="-7"/>
                <w:sz w:val="21"/>
              </w:rPr>
              <w:t xml:space="preserve"> </w:t>
            </w:r>
            <w:r>
              <w:rPr>
                <w:sz w:val="21"/>
              </w:rPr>
              <w:t>capita</w:t>
            </w:r>
            <w:r>
              <w:rPr>
                <w:spacing w:val="-6"/>
                <w:sz w:val="21"/>
              </w:rPr>
              <w:t xml:space="preserve"> </w:t>
            </w:r>
            <w:r>
              <w:rPr>
                <w:sz w:val="21"/>
              </w:rPr>
              <w:t>household</w:t>
            </w:r>
            <w:r>
              <w:rPr>
                <w:spacing w:val="-7"/>
                <w:sz w:val="21"/>
              </w:rPr>
              <w:t xml:space="preserve"> </w:t>
            </w:r>
            <w:r>
              <w:rPr>
                <w:spacing w:val="-2"/>
                <w:sz w:val="21"/>
              </w:rPr>
              <w:t>income</w:t>
            </w:r>
          </w:p>
          <w:p w:rsidR="003F5784" w14:paraId="607C1EAD" w14:textId="77777777">
            <w:pPr>
              <w:pStyle w:val="TableParagraph"/>
              <w:spacing w:before="0" w:line="238" w:lineRule="exact"/>
              <w:ind w:right="121"/>
              <w:rPr>
                <w:sz w:val="21"/>
              </w:rPr>
            </w:pPr>
            <w:r>
              <w:rPr>
                <w:sz w:val="21"/>
              </w:rPr>
              <w:t>&lt;=</w:t>
            </w:r>
            <w:r>
              <w:rPr>
                <w:spacing w:val="-4"/>
                <w:sz w:val="21"/>
              </w:rPr>
              <w:t xml:space="preserve"> </w:t>
            </w:r>
            <w:r>
              <w:rPr>
                <w:spacing w:val="-2"/>
                <w:sz w:val="21"/>
              </w:rPr>
              <w:t>$23,655</w:t>
            </w:r>
          </w:p>
        </w:tc>
        <w:tc>
          <w:tcPr>
            <w:tcW w:w="2790" w:type="dxa"/>
            <w:gridSpan w:val="2"/>
          </w:tcPr>
          <w:p w:rsidR="003F5784" w14:paraId="14B1B8D4" w14:textId="77777777">
            <w:pPr>
              <w:pStyle w:val="TableParagraph"/>
              <w:ind w:left="187"/>
              <w:jc w:val="left"/>
              <w:rPr>
                <w:sz w:val="21"/>
              </w:rPr>
            </w:pPr>
            <w:r>
              <w:rPr>
                <w:sz w:val="21"/>
              </w:rPr>
              <w:t>Percentage</w:t>
            </w:r>
            <w:r>
              <w:rPr>
                <w:spacing w:val="-6"/>
                <w:sz w:val="21"/>
              </w:rPr>
              <w:t xml:space="preserve"> </w:t>
            </w:r>
            <w:r>
              <w:rPr>
                <w:sz w:val="21"/>
              </w:rPr>
              <w:t>of</w:t>
            </w:r>
            <w:r>
              <w:rPr>
                <w:spacing w:val="-6"/>
                <w:sz w:val="21"/>
              </w:rPr>
              <w:t xml:space="preserve"> </w:t>
            </w:r>
            <w:r>
              <w:rPr>
                <w:sz w:val="21"/>
              </w:rPr>
              <w:t>renters</w:t>
            </w:r>
            <w:r>
              <w:rPr>
                <w:spacing w:val="-6"/>
                <w:sz w:val="21"/>
              </w:rPr>
              <w:t xml:space="preserve"> </w:t>
            </w:r>
            <w:r>
              <w:rPr>
                <w:sz w:val="21"/>
              </w:rPr>
              <w:t>&lt;=</w:t>
            </w:r>
            <w:r>
              <w:rPr>
                <w:spacing w:val="-6"/>
                <w:sz w:val="21"/>
              </w:rPr>
              <w:t xml:space="preserve"> </w:t>
            </w:r>
            <w:r>
              <w:rPr>
                <w:spacing w:val="-4"/>
                <w:sz w:val="21"/>
              </w:rPr>
              <w:t>36.9</w:t>
            </w:r>
          </w:p>
        </w:tc>
        <w:tc>
          <w:tcPr>
            <w:tcW w:w="2070" w:type="dxa"/>
          </w:tcPr>
          <w:p w:rsidR="003F5784" w14:paraId="010C58AA" w14:textId="77777777">
            <w:pPr>
              <w:pStyle w:val="TableParagraph"/>
              <w:ind w:right="246"/>
              <w:rPr>
                <w:sz w:val="21"/>
              </w:rPr>
            </w:pPr>
            <w:r>
              <w:rPr>
                <w:spacing w:val="-10"/>
                <w:sz w:val="21"/>
              </w:rPr>
              <w:t>†</w:t>
            </w:r>
          </w:p>
        </w:tc>
        <w:tc>
          <w:tcPr>
            <w:tcW w:w="810" w:type="dxa"/>
            <w:gridSpan w:val="3"/>
          </w:tcPr>
          <w:p w:rsidR="003F5784" w14:paraId="51B21559" w14:textId="77777777">
            <w:pPr>
              <w:pStyle w:val="TableParagraph"/>
              <w:ind w:right="271"/>
              <w:rPr>
                <w:sz w:val="21"/>
              </w:rPr>
            </w:pPr>
            <w:r>
              <w:rPr>
                <w:spacing w:val="-5"/>
                <w:sz w:val="21"/>
              </w:rPr>
              <w:t>10</w:t>
            </w:r>
          </w:p>
        </w:tc>
        <w:tc>
          <w:tcPr>
            <w:tcW w:w="1220" w:type="dxa"/>
            <w:gridSpan w:val="2"/>
          </w:tcPr>
          <w:p w:rsidR="003F5784" w14:paraId="37E9DBE3" w14:textId="77777777">
            <w:pPr>
              <w:pStyle w:val="TableParagraph"/>
              <w:ind w:right="121"/>
              <w:rPr>
                <w:sz w:val="21"/>
              </w:rPr>
            </w:pPr>
            <w:r>
              <w:rPr>
                <w:spacing w:val="-2"/>
                <w:sz w:val="21"/>
              </w:rPr>
              <w:t>566,668</w:t>
            </w:r>
          </w:p>
        </w:tc>
      </w:tr>
      <w:tr w14:paraId="0F82D3F3" w14:textId="77777777" w:rsidTr="00040E74">
        <w:tblPrEx>
          <w:tblW w:w="0" w:type="auto"/>
          <w:tblInd w:w="552" w:type="dxa"/>
          <w:tblLayout w:type="fixed"/>
          <w:tblCellMar>
            <w:left w:w="0" w:type="dxa"/>
            <w:right w:w="0" w:type="dxa"/>
          </w:tblCellMar>
          <w:tblLook w:val="01E0"/>
        </w:tblPrEx>
        <w:trPr>
          <w:trHeight w:val="990"/>
        </w:trPr>
        <w:tc>
          <w:tcPr>
            <w:tcW w:w="1158" w:type="dxa"/>
            <w:gridSpan w:val="2"/>
          </w:tcPr>
          <w:p w:rsidR="003F5784" w14:paraId="62B836FF" w14:textId="77777777">
            <w:pPr>
              <w:pStyle w:val="TableParagraph"/>
              <w:ind w:left="120"/>
              <w:jc w:val="left"/>
              <w:rPr>
                <w:sz w:val="21"/>
              </w:rPr>
            </w:pPr>
            <w:r>
              <w:rPr>
                <w:spacing w:val="-5"/>
                <w:sz w:val="21"/>
              </w:rPr>
              <w:t>16</w:t>
            </w:r>
          </w:p>
        </w:tc>
        <w:tc>
          <w:tcPr>
            <w:tcW w:w="1440" w:type="dxa"/>
            <w:gridSpan w:val="2"/>
          </w:tcPr>
          <w:p w:rsidR="003F5784" w14:paraId="5022C7BA" w14:textId="77777777">
            <w:pPr>
              <w:pStyle w:val="TableParagraph"/>
              <w:spacing w:before="23" w:line="232" w:lineRule="auto"/>
              <w:ind w:left="402" w:right="139" w:firstLine="86"/>
              <w:jc w:val="both"/>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11"/>
                <w:sz w:val="21"/>
              </w:rPr>
              <w:t xml:space="preserve"> </w:t>
            </w:r>
            <w:r>
              <w:rPr>
                <w:spacing w:val="-5"/>
                <w:sz w:val="21"/>
              </w:rPr>
              <w:t>&lt;=</w:t>
            </w:r>
          </w:p>
          <w:p w:rsidR="003F5784" w14:paraId="61550468" w14:textId="77777777">
            <w:pPr>
              <w:pStyle w:val="TableParagraph"/>
              <w:spacing w:before="0" w:line="237" w:lineRule="exact"/>
              <w:ind w:right="139"/>
              <w:rPr>
                <w:sz w:val="21"/>
              </w:rPr>
            </w:pPr>
            <w:r>
              <w:rPr>
                <w:spacing w:val="-4"/>
                <w:sz w:val="21"/>
              </w:rPr>
              <w:t>16.9</w:t>
            </w:r>
          </w:p>
        </w:tc>
        <w:tc>
          <w:tcPr>
            <w:tcW w:w="1800" w:type="dxa"/>
          </w:tcPr>
          <w:p w:rsidR="003F5784" w14:paraId="159701D2" w14:textId="77777777">
            <w:pPr>
              <w:pStyle w:val="TableParagraph"/>
              <w:spacing w:before="23" w:line="232" w:lineRule="auto"/>
              <w:ind w:left="139" w:right="116" w:firstLine="13"/>
              <w:jc w:val="left"/>
              <w:rPr>
                <w:sz w:val="21"/>
              </w:rPr>
            </w:pPr>
            <w:r>
              <w:rPr>
                <w:spacing w:val="-2"/>
                <w:sz w:val="21"/>
              </w:rPr>
              <w:t>Percentage</w:t>
            </w:r>
            <w:r>
              <w:rPr>
                <w:spacing w:val="-12"/>
                <w:sz w:val="21"/>
              </w:rPr>
              <w:t xml:space="preserve"> </w:t>
            </w:r>
            <w:r>
              <w:rPr>
                <w:spacing w:val="-2"/>
                <w:sz w:val="21"/>
              </w:rPr>
              <w:t xml:space="preserve">of </w:t>
            </w:r>
            <w:r>
              <w:rPr>
                <w:sz w:val="21"/>
              </w:rPr>
              <w:t>renters</w:t>
            </w:r>
            <w:r>
              <w:rPr>
                <w:spacing w:val="-5"/>
                <w:sz w:val="21"/>
              </w:rPr>
              <w:t xml:space="preserve"> </w:t>
            </w:r>
            <w:r>
              <w:rPr>
                <w:sz w:val="21"/>
              </w:rPr>
              <w:t>&gt;</w:t>
            </w:r>
            <w:r>
              <w:rPr>
                <w:spacing w:val="-4"/>
                <w:sz w:val="21"/>
              </w:rPr>
              <w:t xml:space="preserve"> 33.5</w:t>
            </w:r>
          </w:p>
        </w:tc>
        <w:tc>
          <w:tcPr>
            <w:tcW w:w="2700" w:type="dxa"/>
            <w:gridSpan w:val="3"/>
          </w:tcPr>
          <w:p w:rsidR="003F5784" w14:paraId="5D2D8850" w14:textId="77777777">
            <w:pPr>
              <w:pStyle w:val="TableParagraph"/>
              <w:spacing w:line="238" w:lineRule="exact"/>
              <w:ind w:right="121"/>
              <w:rPr>
                <w:sz w:val="21"/>
              </w:rPr>
            </w:pPr>
            <w:r>
              <w:rPr>
                <w:sz w:val="21"/>
              </w:rPr>
              <w:t>Per</w:t>
            </w:r>
            <w:r>
              <w:rPr>
                <w:spacing w:val="-7"/>
                <w:sz w:val="21"/>
              </w:rPr>
              <w:t xml:space="preserve"> </w:t>
            </w:r>
            <w:r>
              <w:rPr>
                <w:sz w:val="21"/>
              </w:rPr>
              <w:t>capita</w:t>
            </w:r>
            <w:r>
              <w:rPr>
                <w:spacing w:val="-6"/>
                <w:sz w:val="21"/>
              </w:rPr>
              <w:t xml:space="preserve"> </w:t>
            </w:r>
            <w:r>
              <w:rPr>
                <w:sz w:val="21"/>
              </w:rPr>
              <w:t>household</w:t>
            </w:r>
            <w:r>
              <w:rPr>
                <w:spacing w:val="-7"/>
                <w:sz w:val="21"/>
              </w:rPr>
              <w:t xml:space="preserve"> </w:t>
            </w:r>
            <w:r>
              <w:rPr>
                <w:spacing w:val="-2"/>
                <w:sz w:val="21"/>
              </w:rPr>
              <w:t>income</w:t>
            </w:r>
          </w:p>
          <w:p w:rsidR="003F5784" w14:paraId="36D359A7" w14:textId="77777777">
            <w:pPr>
              <w:pStyle w:val="TableParagraph"/>
              <w:spacing w:before="0" w:line="238" w:lineRule="exact"/>
              <w:ind w:right="121"/>
              <w:rPr>
                <w:sz w:val="21"/>
              </w:rPr>
            </w:pPr>
            <w:r>
              <w:rPr>
                <w:sz w:val="21"/>
              </w:rPr>
              <w:t>&lt;=</w:t>
            </w:r>
            <w:r>
              <w:rPr>
                <w:spacing w:val="-4"/>
                <w:sz w:val="21"/>
              </w:rPr>
              <w:t xml:space="preserve"> </w:t>
            </w:r>
            <w:r>
              <w:rPr>
                <w:spacing w:val="-2"/>
                <w:sz w:val="21"/>
              </w:rPr>
              <w:t>$23,655</w:t>
            </w:r>
          </w:p>
        </w:tc>
        <w:tc>
          <w:tcPr>
            <w:tcW w:w="2790" w:type="dxa"/>
            <w:gridSpan w:val="2"/>
          </w:tcPr>
          <w:p w:rsidR="003F5784" w14:paraId="6523276B" w14:textId="77777777">
            <w:pPr>
              <w:pStyle w:val="TableParagraph"/>
              <w:spacing w:line="238" w:lineRule="exact"/>
              <w:ind w:right="1233"/>
              <w:rPr>
                <w:sz w:val="21"/>
              </w:rPr>
            </w:pPr>
            <w:r>
              <w:rPr>
                <w:sz w:val="21"/>
              </w:rPr>
              <w:t>Percentage</w:t>
            </w:r>
            <w:r>
              <w:rPr>
                <w:spacing w:val="-7"/>
                <w:sz w:val="21"/>
              </w:rPr>
              <w:t xml:space="preserve"> </w:t>
            </w:r>
            <w:r>
              <w:rPr>
                <w:sz w:val="21"/>
              </w:rPr>
              <w:t>of</w:t>
            </w:r>
            <w:r>
              <w:rPr>
                <w:spacing w:val="-7"/>
                <w:sz w:val="21"/>
              </w:rPr>
              <w:t xml:space="preserve"> </w:t>
            </w:r>
            <w:r>
              <w:rPr>
                <w:sz w:val="21"/>
              </w:rPr>
              <w:t>renters</w:t>
            </w:r>
            <w:r>
              <w:rPr>
                <w:spacing w:val="-6"/>
                <w:sz w:val="21"/>
              </w:rPr>
              <w:t xml:space="preserve"> </w:t>
            </w:r>
            <w:r>
              <w:rPr>
                <w:spacing w:val="-10"/>
                <w:sz w:val="21"/>
              </w:rPr>
              <w:t>&gt;</w:t>
            </w:r>
          </w:p>
          <w:p w:rsidR="003F5784" w14:paraId="10AC2637" w14:textId="77777777">
            <w:pPr>
              <w:pStyle w:val="TableParagraph"/>
              <w:spacing w:before="0" w:line="238" w:lineRule="exact"/>
              <w:ind w:right="1233"/>
              <w:rPr>
                <w:sz w:val="21"/>
              </w:rPr>
            </w:pPr>
            <w:r>
              <w:rPr>
                <w:spacing w:val="-4"/>
                <w:sz w:val="21"/>
              </w:rPr>
              <w:t>36.9</w:t>
            </w:r>
          </w:p>
        </w:tc>
        <w:tc>
          <w:tcPr>
            <w:tcW w:w="2070" w:type="dxa"/>
          </w:tcPr>
          <w:p w:rsidR="003F5784" w14:paraId="3742C680" w14:textId="77777777">
            <w:pPr>
              <w:pStyle w:val="TableParagraph"/>
              <w:ind w:right="246"/>
              <w:rPr>
                <w:sz w:val="21"/>
              </w:rPr>
            </w:pPr>
            <w:r>
              <w:rPr>
                <w:spacing w:val="-10"/>
                <w:sz w:val="21"/>
              </w:rPr>
              <w:t>†</w:t>
            </w:r>
          </w:p>
        </w:tc>
        <w:tc>
          <w:tcPr>
            <w:tcW w:w="810" w:type="dxa"/>
            <w:gridSpan w:val="3"/>
          </w:tcPr>
          <w:p w:rsidR="003F5784" w14:paraId="17C5F106" w14:textId="77777777">
            <w:pPr>
              <w:pStyle w:val="TableParagraph"/>
              <w:ind w:right="271"/>
              <w:rPr>
                <w:sz w:val="21"/>
              </w:rPr>
            </w:pPr>
            <w:r>
              <w:rPr>
                <w:spacing w:val="-5"/>
                <w:sz w:val="21"/>
              </w:rPr>
              <w:t>11</w:t>
            </w:r>
          </w:p>
        </w:tc>
        <w:tc>
          <w:tcPr>
            <w:tcW w:w="1220" w:type="dxa"/>
            <w:gridSpan w:val="2"/>
          </w:tcPr>
          <w:p w:rsidR="003F5784" w14:paraId="1FBC2276" w14:textId="77777777">
            <w:pPr>
              <w:pStyle w:val="TableParagraph"/>
              <w:ind w:right="121"/>
              <w:rPr>
                <w:sz w:val="21"/>
              </w:rPr>
            </w:pPr>
            <w:r>
              <w:rPr>
                <w:spacing w:val="-2"/>
                <w:sz w:val="21"/>
              </w:rPr>
              <w:t>558,330</w:t>
            </w:r>
          </w:p>
        </w:tc>
      </w:tr>
      <w:tr w14:paraId="641ECAF4" w14:textId="77777777" w:rsidTr="00040E74">
        <w:tblPrEx>
          <w:tblW w:w="0" w:type="auto"/>
          <w:tblInd w:w="552" w:type="dxa"/>
          <w:tblLayout w:type="fixed"/>
          <w:tblCellMar>
            <w:left w:w="0" w:type="dxa"/>
            <w:right w:w="0" w:type="dxa"/>
          </w:tblCellMar>
          <w:tblLook w:val="01E0"/>
        </w:tblPrEx>
        <w:trPr>
          <w:trHeight w:val="990"/>
        </w:trPr>
        <w:tc>
          <w:tcPr>
            <w:tcW w:w="1158" w:type="dxa"/>
            <w:gridSpan w:val="2"/>
          </w:tcPr>
          <w:p w:rsidR="003F5784" w14:paraId="2909C4E8" w14:textId="77777777">
            <w:pPr>
              <w:pStyle w:val="TableParagraph"/>
              <w:ind w:left="120"/>
              <w:jc w:val="left"/>
              <w:rPr>
                <w:sz w:val="21"/>
              </w:rPr>
            </w:pPr>
            <w:r>
              <w:rPr>
                <w:spacing w:val="-5"/>
                <w:sz w:val="21"/>
              </w:rPr>
              <w:t>17</w:t>
            </w:r>
          </w:p>
        </w:tc>
        <w:tc>
          <w:tcPr>
            <w:tcW w:w="1440" w:type="dxa"/>
            <w:gridSpan w:val="2"/>
          </w:tcPr>
          <w:p w:rsidR="003F5784" w14:paraId="76D3B186" w14:textId="77777777">
            <w:pPr>
              <w:pStyle w:val="TableParagraph"/>
              <w:spacing w:before="23" w:line="232" w:lineRule="auto"/>
              <w:ind w:left="402" w:right="139" w:firstLine="86"/>
              <w:jc w:val="both"/>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11"/>
                <w:sz w:val="21"/>
              </w:rPr>
              <w:t xml:space="preserve"> </w:t>
            </w:r>
            <w:r>
              <w:rPr>
                <w:spacing w:val="-5"/>
                <w:sz w:val="21"/>
              </w:rPr>
              <w:t>&lt;=</w:t>
            </w:r>
          </w:p>
          <w:p w:rsidR="003F5784" w14:paraId="324E5931" w14:textId="77777777">
            <w:pPr>
              <w:pStyle w:val="TableParagraph"/>
              <w:spacing w:before="0" w:line="237" w:lineRule="exact"/>
              <w:ind w:right="139"/>
              <w:rPr>
                <w:sz w:val="21"/>
              </w:rPr>
            </w:pPr>
            <w:r>
              <w:rPr>
                <w:spacing w:val="-4"/>
                <w:sz w:val="21"/>
              </w:rPr>
              <w:t>16.9</w:t>
            </w:r>
          </w:p>
        </w:tc>
        <w:tc>
          <w:tcPr>
            <w:tcW w:w="1800" w:type="dxa"/>
          </w:tcPr>
          <w:p w:rsidR="003F5784" w14:paraId="02C07BDB" w14:textId="77777777">
            <w:pPr>
              <w:pStyle w:val="TableParagraph"/>
              <w:spacing w:before="23" w:line="232" w:lineRule="auto"/>
              <w:ind w:left="139" w:right="116" w:firstLine="13"/>
              <w:jc w:val="left"/>
              <w:rPr>
                <w:sz w:val="21"/>
              </w:rPr>
            </w:pPr>
            <w:r>
              <w:rPr>
                <w:spacing w:val="-2"/>
                <w:sz w:val="21"/>
              </w:rPr>
              <w:t>Percentage</w:t>
            </w:r>
            <w:r>
              <w:rPr>
                <w:spacing w:val="-12"/>
                <w:sz w:val="21"/>
              </w:rPr>
              <w:t xml:space="preserve"> </w:t>
            </w:r>
            <w:r>
              <w:rPr>
                <w:spacing w:val="-2"/>
                <w:sz w:val="21"/>
              </w:rPr>
              <w:t xml:space="preserve">of </w:t>
            </w:r>
            <w:r>
              <w:rPr>
                <w:sz w:val="21"/>
              </w:rPr>
              <w:t>renters</w:t>
            </w:r>
            <w:r>
              <w:rPr>
                <w:spacing w:val="-5"/>
                <w:sz w:val="21"/>
              </w:rPr>
              <w:t xml:space="preserve"> </w:t>
            </w:r>
            <w:r>
              <w:rPr>
                <w:sz w:val="21"/>
              </w:rPr>
              <w:t>&gt;</w:t>
            </w:r>
            <w:r>
              <w:rPr>
                <w:spacing w:val="-4"/>
                <w:sz w:val="21"/>
              </w:rPr>
              <w:t xml:space="preserve"> 33.5</w:t>
            </w:r>
          </w:p>
        </w:tc>
        <w:tc>
          <w:tcPr>
            <w:tcW w:w="2700" w:type="dxa"/>
            <w:gridSpan w:val="3"/>
          </w:tcPr>
          <w:p w:rsidR="003F5784" w14:paraId="2D5C25E0" w14:textId="77777777">
            <w:pPr>
              <w:pStyle w:val="TableParagraph"/>
              <w:spacing w:line="238" w:lineRule="exact"/>
              <w:ind w:right="121"/>
              <w:rPr>
                <w:sz w:val="21"/>
              </w:rPr>
            </w:pPr>
            <w:r>
              <w:rPr>
                <w:sz w:val="21"/>
              </w:rPr>
              <w:t>Per</w:t>
            </w:r>
            <w:r>
              <w:rPr>
                <w:spacing w:val="-7"/>
                <w:sz w:val="21"/>
              </w:rPr>
              <w:t xml:space="preserve"> </w:t>
            </w:r>
            <w:r>
              <w:rPr>
                <w:sz w:val="21"/>
              </w:rPr>
              <w:t>capita</w:t>
            </w:r>
            <w:r>
              <w:rPr>
                <w:spacing w:val="-6"/>
                <w:sz w:val="21"/>
              </w:rPr>
              <w:t xml:space="preserve"> </w:t>
            </w:r>
            <w:r>
              <w:rPr>
                <w:sz w:val="21"/>
              </w:rPr>
              <w:t>household</w:t>
            </w:r>
            <w:r>
              <w:rPr>
                <w:spacing w:val="-7"/>
                <w:sz w:val="21"/>
              </w:rPr>
              <w:t xml:space="preserve"> </w:t>
            </w:r>
            <w:r>
              <w:rPr>
                <w:spacing w:val="-2"/>
                <w:sz w:val="21"/>
              </w:rPr>
              <w:t>income</w:t>
            </w:r>
          </w:p>
          <w:p w:rsidR="003F5784" w14:paraId="4325C763" w14:textId="77777777">
            <w:pPr>
              <w:pStyle w:val="TableParagraph"/>
              <w:spacing w:before="0" w:line="238" w:lineRule="exact"/>
              <w:ind w:right="121"/>
              <w:rPr>
                <w:sz w:val="21"/>
              </w:rPr>
            </w:pPr>
            <w:r>
              <w:rPr>
                <w:spacing w:val="-2"/>
                <w:sz w:val="21"/>
              </w:rPr>
              <w:t>($23,655-$26,682]</w:t>
            </w:r>
          </w:p>
        </w:tc>
        <w:tc>
          <w:tcPr>
            <w:tcW w:w="2790" w:type="dxa"/>
            <w:gridSpan w:val="2"/>
          </w:tcPr>
          <w:p w:rsidR="003F5784" w14:paraId="1B5EF69C" w14:textId="77777777">
            <w:pPr>
              <w:pStyle w:val="TableParagraph"/>
              <w:spacing w:line="238" w:lineRule="exact"/>
              <w:ind w:right="1233"/>
              <w:rPr>
                <w:sz w:val="21"/>
              </w:rPr>
            </w:pPr>
            <w:r>
              <w:rPr>
                <w:sz w:val="21"/>
              </w:rPr>
              <w:t>Percentage</w:t>
            </w:r>
            <w:r>
              <w:rPr>
                <w:spacing w:val="-10"/>
                <w:sz w:val="21"/>
              </w:rPr>
              <w:t xml:space="preserve"> </w:t>
            </w:r>
            <w:r>
              <w:rPr>
                <w:sz w:val="21"/>
              </w:rPr>
              <w:t>of</w:t>
            </w:r>
            <w:r>
              <w:rPr>
                <w:spacing w:val="-10"/>
                <w:sz w:val="21"/>
              </w:rPr>
              <w:t xml:space="preserve"> </w:t>
            </w:r>
            <w:r>
              <w:rPr>
                <w:sz w:val="21"/>
              </w:rPr>
              <w:t>female-</w:t>
            </w:r>
            <w:r>
              <w:rPr>
                <w:spacing w:val="-2"/>
                <w:sz w:val="21"/>
              </w:rPr>
              <w:t>headed</w:t>
            </w:r>
          </w:p>
          <w:p w:rsidR="003F5784" w14:paraId="252789C1" w14:textId="77777777">
            <w:pPr>
              <w:pStyle w:val="TableParagraph"/>
              <w:spacing w:before="0" w:line="238" w:lineRule="exact"/>
              <w:ind w:right="1233"/>
              <w:rPr>
                <w:sz w:val="21"/>
              </w:rPr>
            </w:pPr>
            <w:r>
              <w:rPr>
                <w:sz w:val="21"/>
              </w:rPr>
              <w:t>households</w:t>
            </w:r>
            <w:r>
              <w:rPr>
                <w:spacing w:val="-7"/>
                <w:sz w:val="21"/>
              </w:rPr>
              <w:t xml:space="preserve"> </w:t>
            </w:r>
            <w:r>
              <w:rPr>
                <w:sz w:val="21"/>
              </w:rPr>
              <w:t>&lt;=</w:t>
            </w:r>
            <w:r>
              <w:rPr>
                <w:spacing w:val="-7"/>
                <w:sz w:val="21"/>
              </w:rPr>
              <w:t xml:space="preserve"> </w:t>
            </w:r>
            <w:r>
              <w:rPr>
                <w:spacing w:val="-4"/>
                <w:sz w:val="21"/>
              </w:rPr>
              <w:t>14.2</w:t>
            </w:r>
          </w:p>
        </w:tc>
        <w:tc>
          <w:tcPr>
            <w:tcW w:w="2070" w:type="dxa"/>
          </w:tcPr>
          <w:p w:rsidR="003F5784" w14:paraId="78DC64BC" w14:textId="77777777">
            <w:pPr>
              <w:pStyle w:val="TableParagraph"/>
              <w:ind w:right="246"/>
              <w:rPr>
                <w:sz w:val="21"/>
              </w:rPr>
            </w:pPr>
            <w:r>
              <w:rPr>
                <w:spacing w:val="-10"/>
                <w:sz w:val="21"/>
              </w:rPr>
              <w:t>†</w:t>
            </w:r>
          </w:p>
        </w:tc>
        <w:tc>
          <w:tcPr>
            <w:tcW w:w="810" w:type="dxa"/>
            <w:gridSpan w:val="3"/>
          </w:tcPr>
          <w:p w:rsidR="003F5784" w14:paraId="3A118645" w14:textId="77777777">
            <w:pPr>
              <w:pStyle w:val="TableParagraph"/>
              <w:ind w:right="271"/>
              <w:rPr>
                <w:sz w:val="21"/>
              </w:rPr>
            </w:pPr>
            <w:r>
              <w:rPr>
                <w:spacing w:val="-10"/>
                <w:sz w:val="21"/>
              </w:rPr>
              <w:t>6</w:t>
            </w:r>
          </w:p>
        </w:tc>
        <w:tc>
          <w:tcPr>
            <w:tcW w:w="1220" w:type="dxa"/>
            <w:gridSpan w:val="2"/>
          </w:tcPr>
          <w:p w:rsidR="003F5784" w14:paraId="4D58D637" w14:textId="77777777">
            <w:pPr>
              <w:pStyle w:val="TableParagraph"/>
              <w:ind w:right="121"/>
              <w:rPr>
                <w:sz w:val="21"/>
              </w:rPr>
            </w:pPr>
            <w:r>
              <w:rPr>
                <w:spacing w:val="-2"/>
                <w:sz w:val="21"/>
              </w:rPr>
              <w:t>576,105</w:t>
            </w:r>
          </w:p>
        </w:tc>
      </w:tr>
      <w:tr w14:paraId="7DE06119" w14:textId="77777777" w:rsidTr="00040E74">
        <w:tblPrEx>
          <w:tblW w:w="0" w:type="auto"/>
          <w:tblInd w:w="552" w:type="dxa"/>
          <w:tblLayout w:type="fixed"/>
          <w:tblCellMar>
            <w:left w:w="0" w:type="dxa"/>
            <w:right w:w="0" w:type="dxa"/>
          </w:tblCellMar>
          <w:tblLook w:val="01E0"/>
        </w:tblPrEx>
        <w:trPr>
          <w:trHeight w:val="990"/>
        </w:trPr>
        <w:tc>
          <w:tcPr>
            <w:tcW w:w="1158" w:type="dxa"/>
            <w:gridSpan w:val="2"/>
          </w:tcPr>
          <w:p w:rsidR="003F5784" w14:paraId="0C5CDDB7" w14:textId="77777777">
            <w:pPr>
              <w:pStyle w:val="TableParagraph"/>
              <w:ind w:left="120"/>
              <w:jc w:val="left"/>
              <w:rPr>
                <w:sz w:val="21"/>
              </w:rPr>
            </w:pPr>
            <w:r>
              <w:rPr>
                <w:spacing w:val="-5"/>
                <w:sz w:val="21"/>
              </w:rPr>
              <w:t>18</w:t>
            </w:r>
          </w:p>
        </w:tc>
        <w:tc>
          <w:tcPr>
            <w:tcW w:w="1440" w:type="dxa"/>
            <w:gridSpan w:val="2"/>
          </w:tcPr>
          <w:p w:rsidR="003F5784" w14:paraId="61B27E9C" w14:textId="77777777">
            <w:pPr>
              <w:pStyle w:val="TableParagraph"/>
              <w:spacing w:before="23" w:line="232" w:lineRule="auto"/>
              <w:ind w:left="402" w:right="139" w:firstLine="86"/>
              <w:jc w:val="both"/>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11"/>
                <w:sz w:val="21"/>
              </w:rPr>
              <w:t xml:space="preserve"> </w:t>
            </w:r>
            <w:r>
              <w:rPr>
                <w:spacing w:val="-5"/>
                <w:sz w:val="21"/>
              </w:rPr>
              <w:t>&lt;=</w:t>
            </w:r>
          </w:p>
          <w:p w:rsidR="003F5784" w14:paraId="17B00B4E" w14:textId="77777777">
            <w:pPr>
              <w:pStyle w:val="TableParagraph"/>
              <w:spacing w:before="0" w:line="237" w:lineRule="exact"/>
              <w:ind w:right="139"/>
              <w:rPr>
                <w:sz w:val="21"/>
              </w:rPr>
            </w:pPr>
            <w:r>
              <w:rPr>
                <w:spacing w:val="-4"/>
                <w:sz w:val="21"/>
              </w:rPr>
              <w:t>16.9</w:t>
            </w:r>
          </w:p>
        </w:tc>
        <w:tc>
          <w:tcPr>
            <w:tcW w:w="1800" w:type="dxa"/>
          </w:tcPr>
          <w:p w:rsidR="003F5784" w14:paraId="57AE60A3" w14:textId="77777777">
            <w:pPr>
              <w:pStyle w:val="TableParagraph"/>
              <w:spacing w:before="23" w:line="232" w:lineRule="auto"/>
              <w:ind w:left="139" w:right="116" w:firstLine="13"/>
              <w:jc w:val="left"/>
              <w:rPr>
                <w:sz w:val="21"/>
              </w:rPr>
            </w:pPr>
            <w:r>
              <w:rPr>
                <w:spacing w:val="-2"/>
                <w:sz w:val="21"/>
              </w:rPr>
              <w:t>Percentage</w:t>
            </w:r>
            <w:r>
              <w:rPr>
                <w:spacing w:val="-12"/>
                <w:sz w:val="21"/>
              </w:rPr>
              <w:t xml:space="preserve"> </w:t>
            </w:r>
            <w:r>
              <w:rPr>
                <w:spacing w:val="-2"/>
                <w:sz w:val="21"/>
              </w:rPr>
              <w:t xml:space="preserve">of </w:t>
            </w:r>
            <w:r>
              <w:rPr>
                <w:sz w:val="21"/>
              </w:rPr>
              <w:t>renters</w:t>
            </w:r>
            <w:r>
              <w:rPr>
                <w:spacing w:val="-5"/>
                <w:sz w:val="21"/>
              </w:rPr>
              <w:t xml:space="preserve"> </w:t>
            </w:r>
            <w:r>
              <w:rPr>
                <w:sz w:val="21"/>
              </w:rPr>
              <w:t>&gt;</w:t>
            </w:r>
            <w:r>
              <w:rPr>
                <w:spacing w:val="-4"/>
                <w:sz w:val="21"/>
              </w:rPr>
              <w:t xml:space="preserve"> 33.5</w:t>
            </w:r>
          </w:p>
        </w:tc>
        <w:tc>
          <w:tcPr>
            <w:tcW w:w="2700" w:type="dxa"/>
            <w:gridSpan w:val="3"/>
          </w:tcPr>
          <w:p w:rsidR="003F5784" w14:paraId="57BE3AFC" w14:textId="77777777">
            <w:pPr>
              <w:pStyle w:val="TableParagraph"/>
              <w:spacing w:line="238" w:lineRule="exact"/>
              <w:ind w:right="121"/>
              <w:rPr>
                <w:sz w:val="21"/>
              </w:rPr>
            </w:pPr>
            <w:r>
              <w:rPr>
                <w:sz w:val="21"/>
              </w:rPr>
              <w:t>Per</w:t>
            </w:r>
            <w:r>
              <w:rPr>
                <w:spacing w:val="-7"/>
                <w:sz w:val="21"/>
              </w:rPr>
              <w:t xml:space="preserve"> </w:t>
            </w:r>
            <w:r>
              <w:rPr>
                <w:sz w:val="21"/>
              </w:rPr>
              <w:t>capita</w:t>
            </w:r>
            <w:r>
              <w:rPr>
                <w:spacing w:val="-6"/>
                <w:sz w:val="21"/>
              </w:rPr>
              <w:t xml:space="preserve"> </w:t>
            </w:r>
            <w:r>
              <w:rPr>
                <w:sz w:val="21"/>
              </w:rPr>
              <w:t>household</w:t>
            </w:r>
            <w:r>
              <w:rPr>
                <w:spacing w:val="-7"/>
                <w:sz w:val="21"/>
              </w:rPr>
              <w:t xml:space="preserve"> </w:t>
            </w:r>
            <w:r>
              <w:rPr>
                <w:spacing w:val="-2"/>
                <w:sz w:val="21"/>
              </w:rPr>
              <w:t>income</w:t>
            </w:r>
          </w:p>
          <w:p w:rsidR="003F5784" w14:paraId="37E9B35C" w14:textId="77777777">
            <w:pPr>
              <w:pStyle w:val="TableParagraph"/>
              <w:spacing w:before="0" w:line="238" w:lineRule="exact"/>
              <w:ind w:right="121"/>
              <w:rPr>
                <w:sz w:val="21"/>
              </w:rPr>
            </w:pPr>
            <w:r>
              <w:rPr>
                <w:spacing w:val="-2"/>
                <w:sz w:val="21"/>
              </w:rPr>
              <w:t>($23,655-$26,682]</w:t>
            </w:r>
          </w:p>
        </w:tc>
        <w:tc>
          <w:tcPr>
            <w:tcW w:w="2790" w:type="dxa"/>
            <w:gridSpan w:val="2"/>
          </w:tcPr>
          <w:p w:rsidR="003F5784" w14:paraId="1B9293C9" w14:textId="77777777">
            <w:pPr>
              <w:pStyle w:val="TableParagraph"/>
              <w:spacing w:line="238" w:lineRule="exact"/>
              <w:ind w:right="1233"/>
              <w:rPr>
                <w:sz w:val="21"/>
              </w:rPr>
            </w:pPr>
            <w:r>
              <w:rPr>
                <w:sz w:val="21"/>
              </w:rPr>
              <w:t>Percentage</w:t>
            </w:r>
            <w:r>
              <w:rPr>
                <w:spacing w:val="-10"/>
                <w:sz w:val="21"/>
              </w:rPr>
              <w:t xml:space="preserve"> </w:t>
            </w:r>
            <w:r>
              <w:rPr>
                <w:sz w:val="21"/>
              </w:rPr>
              <w:t>of</w:t>
            </w:r>
            <w:r>
              <w:rPr>
                <w:spacing w:val="-10"/>
                <w:sz w:val="21"/>
              </w:rPr>
              <w:t xml:space="preserve"> </w:t>
            </w:r>
            <w:r>
              <w:rPr>
                <w:sz w:val="21"/>
              </w:rPr>
              <w:t>female-</w:t>
            </w:r>
            <w:r>
              <w:rPr>
                <w:spacing w:val="-2"/>
                <w:sz w:val="21"/>
              </w:rPr>
              <w:t>headed</w:t>
            </w:r>
          </w:p>
          <w:p w:rsidR="003F5784" w14:paraId="613C44CF" w14:textId="77777777">
            <w:pPr>
              <w:pStyle w:val="TableParagraph"/>
              <w:spacing w:before="0" w:line="238" w:lineRule="exact"/>
              <w:ind w:right="1233"/>
              <w:rPr>
                <w:sz w:val="21"/>
              </w:rPr>
            </w:pPr>
            <w:r>
              <w:rPr>
                <w:sz w:val="21"/>
              </w:rPr>
              <w:t>households</w:t>
            </w:r>
            <w:r>
              <w:rPr>
                <w:spacing w:val="-7"/>
                <w:sz w:val="21"/>
              </w:rPr>
              <w:t xml:space="preserve"> </w:t>
            </w:r>
            <w:r>
              <w:rPr>
                <w:sz w:val="21"/>
              </w:rPr>
              <w:t>&gt;</w:t>
            </w:r>
            <w:r>
              <w:rPr>
                <w:spacing w:val="-6"/>
                <w:sz w:val="21"/>
              </w:rPr>
              <w:t xml:space="preserve"> </w:t>
            </w:r>
            <w:r>
              <w:rPr>
                <w:spacing w:val="-4"/>
                <w:sz w:val="21"/>
              </w:rPr>
              <w:t>14.2</w:t>
            </w:r>
          </w:p>
        </w:tc>
        <w:tc>
          <w:tcPr>
            <w:tcW w:w="2070" w:type="dxa"/>
          </w:tcPr>
          <w:p w:rsidR="003F5784" w14:paraId="60289B47" w14:textId="77777777">
            <w:pPr>
              <w:pStyle w:val="TableParagraph"/>
              <w:ind w:right="246"/>
              <w:rPr>
                <w:sz w:val="21"/>
              </w:rPr>
            </w:pPr>
            <w:r>
              <w:rPr>
                <w:spacing w:val="-10"/>
                <w:sz w:val="21"/>
              </w:rPr>
              <w:t>†</w:t>
            </w:r>
          </w:p>
        </w:tc>
        <w:tc>
          <w:tcPr>
            <w:tcW w:w="810" w:type="dxa"/>
            <w:gridSpan w:val="3"/>
          </w:tcPr>
          <w:p w:rsidR="003F5784" w14:paraId="10D9EA15" w14:textId="77777777">
            <w:pPr>
              <w:pStyle w:val="TableParagraph"/>
              <w:ind w:right="271"/>
              <w:rPr>
                <w:sz w:val="21"/>
              </w:rPr>
            </w:pPr>
            <w:r>
              <w:rPr>
                <w:spacing w:val="-10"/>
                <w:sz w:val="21"/>
              </w:rPr>
              <w:t>4</w:t>
            </w:r>
          </w:p>
        </w:tc>
        <w:tc>
          <w:tcPr>
            <w:tcW w:w="1220" w:type="dxa"/>
            <w:gridSpan w:val="2"/>
          </w:tcPr>
          <w:p w:rsidR="003F5784" w14:paraId="12F5E1B4" w14:textId="77777777">
            <w:pPr>
              <w:pStyle w:val="TableParagraph"/>
              <w:ind w:right="121"/>
              <w:rPr>
                <w:sz w:val="21"/>
              </w:rPr>
            </w:pPr>
            <w:r>
              <w:rPr>
                <w:spacing w:val="-2"/>
                <w:sz w:val="21"/>
              </w:rPr>
              <w:t>566,865</w:t>
            </w:r>
          </w:p>
        </w:tc>
      </w:tr>
      <w:tr w14:paraId="2F746311" w14:textId="77777777" w:rsidTr="00040E74">
        <w:tblPrEx>
          <w:tblW w:w="0" w:type="auto"/>
          <w:tblInd w:w="552" w:type="dxa"/>
          <w:tblLayout w:type="fixed"/>
          <w:tblCellMar>
            <w:left w:w="0" w:type="dxa"/>
            <w:right w:w="0" w:type="dxa"/>
          </w:tblCellMar>
          <w:tblLook w:val="01E0"/>
        </w:tblPrEx>
        <w:trPr>
          <w:trHeight w:val="927"/>
        </w:trPr>
        <w:tc>
          <w:tcPr>
            <w:tcW w:w="1158" w:type="dxa"/>
            <w:gridSpan w:val="2"/>
            <w:tcBorders>
              <w:bottom w:val="single" w:sz="18" w:space="0" w:color="800000"/>
            </w:tcBorders>
          </w:tcPr>
          <w:p w:rsidR="003F5784" w14:paraId="23F9EA74" w14:textId="77777777">
            <w:pPr>
              <w:pStyle w:val="TableParagraph"/>
              <w:ind w:left="120"/>
              <w:jc w:val="left"/>
              <w:rPr>
                <w:sz w:val="21"/>
              </w:rPr>
            </w:pPr>
            <w:r>
              <w:rPr>
                <w:spacing w:val="-5"/>
                <w:sz w:val="21"/>
              </w:rPr>
              <w:t>19</w:t>
            </w:r>
          </w:p>
        </w:tc>
        <w:tc>
          <w:tcPr>
            <w:tcW w:w="1440" w:type="dxa"/>
            <w:gridSpan w:val="2"/>
            <w:tcBorders>
              <w:bottom w:val="single" w:sz="18" w:space="0" w:color="800000"/>
            </w:tcBorders>
          </w:tcPr>
          <w:p w:rsidR="003F5784" w14:paraId="45A42D0C" w14:textId="77777777">
            <w:pPr>
              <w:pStyle w:val="TableParagraph"/>
              <w:spacing w:before="23" w:line="232" w:lineRule="auto"/>
              <w:ind w:left="402" w:right="139" w:firstLine="86"/>
              <w:jc w:val="left"/>
              <w:rPr>
                <w:sz w:val="21"/>
              </w:rPr>
            </w:pPr>
            <w:r>
              <w:rPr>
                <w:spacing w:val="-2"/>
                <w:sz w:val="21"/>
              </w:rPr>
              <w:t>Percentage</w:t>
            </w:r>
            <w:r>
              <w:rPr>
                <w:spacing w:val="-12"/>
                <w:sz w:val="21"/>
              </w:rPr>
              <w:t xml:space="preserve"> </w:t>
            </w:r>
            <w:r>
              <w:rPr>
                <w:spacing w:val="-2"/>
                <w:sz w:val="21"/>
              </w:rPr>
              <w:t>of female-headed</w:t>
            </w:r>
          </w:p>
        </w:tc>
        <w:tc>
          <w:tcPr>
            <w:tcW w:w="1800" w:type="dxa"/>
            <w:tcBorders>
              <w:bottom w:val="single" w:sz="18" w:space="0" w:color="800000"/>
            </w:tcBorders>
          </w:tcPr>
          <w:p w:rsidR="003F5784" w14:paraId="4660F515" w14:textId="77777777">
            <w:pPr>
              <w:pStyle w:val="TableParagraph"/>
              <w:spacing w:before="23" w:line="232" w:lineRule="auto"/>
              <w:ind w:left="139" w:right="116" w:firstLine="13"/>
              <w:jc w:val="left"/>
              <w:rPr>
                <w:sz w:val="21"/>
              </w:rPr>
            </w:pPr>
            <w:r>
              <w:rPr>
                <w:spacing w:val="-2"/>
                <w:sz w:val="21"/>
              </w:rPr>
              <w:t>Percentage</w:t>
            </w:r>
            <w:r>
              <w:rPr>
                <w:spacing w:val="-12"/>
                <w:sz w:val="21"/>
              </w:rPr>
              <w:t xml:space="preserve"> </w:t>
            </w:r>
            <w:r>
              <w:rPr>
                <w:spacing w:val="-2"/>
                <w:sz w:val="21"/>
              </w:rPr>
              <w:t xml:space="preserve">of </w:t>
            </w:r>
            <w:r>
              <w:rPr>
                <w:sz w:val="21"/>
              </w:rPr>
              <w:t>renters</w:t>
            </w:r>
            <w:r>
              <w:rPr>
                <w:spacing w:val="-5"/>
                <w:sz w:val="21"/>
              </w:rPr>
              <w:t xml:space="preserve"> </w:t>
            </w:r>
            <w:r>
              <w:rPr>
                <w:sz w:val="21"/>
              </w:rPr>
              <w:t>&gt;</w:t>
            </w:r>
            <w:r>
              <w:rPr>
                <w:spacing w:val="-4"/>
                <w:sz w:val="21"/>
              </w:rPr>
              <w:t xml:space="preserve"> 33.5</w:t>
            </w:r>
          </w:p>
        </w:tc>
        <w:tc>
          <w:tcPr>
            <w:tcW w:w="2700" w:type="dxa"/>
            <w:gridSpan w:val="3"/>
            <w:tcBorders>
              <w:bottom w:val="single" w:sz="18" w:space="0" w:color="800000"/>
            </w:tcBorders>
          </w:tcPr>
          <w:p w:rsidR="003F5784" w14:paraId="10A70AA9" w14:textId="77777777">
            <w:pPr>
              <w:pStyle w:val="TableParagraph"/>
              <w:spacing w:line="238" w:lineRule="exact"/>
              <w:ind w:right="121"/>
              <w:rPr>
                <w:sz w:val="21"/>
              </w:rPr>
            </w:pPr>
            <w:r>
              <w:rPr>
                <w:sz w:val="21"/>
              </w:rPr>
              <w:t>Per</w:t>
            </w:r>
            <w:r>
              <w:rPr>
                <w:spacing w:val="-7"/>
                <w:sz w:val="21"/>
              </w:rPr>
              <w:t xml:space="preserve"> </w:t>
            </w:r>
            <w:r>
              <w:rPr>
                <w:sz w:val="21"/>
              </w:rPr>
              <w:t>capita</w:t>
            </w:r>
            <w:r>
              <w:rPr>
                <w:spacing w:val="-7"/>
                <w:sz w:val="21"/>
              </w:rPr>
              <w:t xml:space="preserve"> </w:t>
            </w:r>
            <w:r>
              <w:rPr>
                <w:sz w:val="21"/>
              </w:rPr>
              <w:t>household</w:t>
            </w:r>
            <w:r>
              <w:rPr>
                <w:spacing w:val="-6"/>
                <w:sz w:val="21"/>
              </w:rPr>
              <w:t xml:space="preserve"> </w:t>
            </w:r>
            <w:r>
              <w:rPr>
                <w:sz w:val="21"/>
              </w:rPr>
              <w:t>income</w:t>
            </w:r>
            <w:r>
              <w:rPr>
                <w:spacing w:val="-7"/>
                <w:sz w:val="21"/>
              </w:rPr>
              <w:t xml:space="preserve"> </w:t>
            </w:r>
            <w:r>
              <w:rPr>
                <w:spacing w:val="-12"/>
                <w:sz w:val="21"/>
              </w:rPr>
              <w:t>&gt;</w:t>
            </w:r>
          </w:p>
          <w:p w:rsidR="003F5784" w14:paraId="7350BBAD" w14:textId="77777777">
            <w:pPr>
              <w:pStyle w:val="TableParagraph"/>
              <w:spacing w:before="0" w:line="238" w:lineRule="exact"/>
              <w:ind w:right="121"/>
              <w:rPr>
                <w:sz w:val="21"/>
              </w:rPr>
            </w:pPr>
            <w:r>
              <w:rPr>
                <w:spacing w:val="-2"/>
                <w:sz w:val="21"/>
              </w:rPr>
              <w:t>$26,682</w:t>
            </w:r>
          </w:p>
        </w:tc>
        <w:tc>
          <w:tcPr>
            <w:tcW w:w="2790" w:type="dxa"/>
            <w:gridSpan w:val="2"/>
            <w:tcBorders>
              <w:bottom w:val="single" w:sz="18" w:space="0" w:color="800000"/>
            </w:tcBorders>
          </w:tcPr>
          <w:p w:rsidR="003F5784" w14:paraId="7B3CC438" w14:textId="77777777">
            <w:pPr>
              <w:pStyle w:val="TableParagraph"/>
              <w:ind w:left="187"/>
              <w:jc w:val="left"/>
              <w:rPr>
                <w:sz w:val="21"/>
              </w:rPr>
            </w:pPr>
            <w:r>
              <w:rPr>
                <w:sz w:val="21"/>
              </w:rPr>
              <w:t>Percentage</w:t>
            </w:r>
            <w:r>
              <w:rPr>
                <w:spacing w:val="-6"/>
                <w:sz w:val="21"/>
              </w:rPr>
              <w:t xml:space="preserve"> </w:t>
            </w:r>
            <w:r>
              <w:rPr>
                <w:sz w:val="21"/>
              </w:rPr>
              <w:t>of</w:t>
            </w:r>
            <w:r>
              <w:rPr>
                <w:spacing w:val="-6"/>
                <w:sz w:val="21"/>
              </w:rPr>
              <w:t xml:space="preserve"> </w:t>
            </w:r>
            <w:r>
              <w:rPr>
                <w:sz w:val="21"/>
              </w:rPr>
              <w:t>renters</w:t>
            </w:r>
            <w:r>
              <w:rPr>
                <w:spacing w:val="-6"/>
                <w:sz w:val="21"/>
              </w:rPr>
              <w:t xml:space="preserve"> </w:t>
            </w:r>
            <w:r>
              <w:rPr>
                <w:sz w:val="21"/>
              </w:rPr>
              <w:t>&lt;=</w:t>
            </w:r>
            <w:r>
              <w:rPr>
                <w:spacing w:val="-6"/>
                <w:sz w:val="21"/>
              </w:rPr>
              <w:t xml:space="preserve"> </w:t>
            </w:r>
            <w:r>
              <w:rPr>
                <w:spacing w:val="-4"/>
                <w:sz w:val="21"/>
              </w:rPr>
              <w:t>38.7</w:t>
            </w:r>
          </w:p>
        </w:tc>
        <w:tc>
          <w:tcPr>
            <w:tcW w:w="2070" w:type="dxa"/>
            <w:tcBorders>
              <w:bottom w:val="single" w:sz="18" w:space="0" w:color="800000"/>
            </w:tcBorders>
          </w:tcPr>
          <w:p w:rsidR="003F5784" w14:paraId="65409998" w14:textId="77777777">
            <w:pPr>
              <w:pStyle w:val="TableParagraph"/>
              <w:ind w:right="246"/>
              <w:rPr>
                <w:sz w:val="21"/>
              </w:rPr>
            </w:pPr>
            <w:r>
              <w:rPr>
                <w:spacing w:val="-10"/>
                <w:sz w:val="21"/>
              </w:rPr>
              <w:t>†</w:t>
            </w:r>
          </w:p>
        </w:tc>
        <w:tc>
          <w:tcPr>
            <w:tcW w:w="810" w:type="dxa"/>
            <w:gridSpan w:val="3"/>
            <w:tcBorders>
              <w:bottom w:val="single" w:sz="18" w:space="0" w:color="800000"/>
            </w:tcBorders>
          </w:tcPr>
          <w:p w:rsidR="003F5784" w14:paraId="7A5142CB" w14:textId="77777777">
            <w:pPr>
              <w:pStyle w:val="TableParagraph"/>
              <w:ind w:right="271"/>
              <w:rPr>
                <w:sz w:val="21"/>
              </w:rPr>
            </w:pPr>
            <w:r>
              <w:rPr>
                <w:spacing w:val="-10"/>
                <w:sz w:val="21"/>
              </w:rPr>
              <w:t>3</w:t>
            </w:r>
          </w:p>
        </w:tc>
        <w:tc>
          <w:tcPr>
            <w:tcW w:w="1220" w:type="dxa"/>
            <w:gridSpan w:val="2"/>
            <w:tcBorders>
              <w:bottom w:val="single" w:sz="18" w:space="0" w:color="800000"/>
            </w:tcBorders>
          </w:tcPr>
          <w:p w:rsidR="003F5784" w14:paraId="1A7C5923" w14:textId="77777777">
            <w:pPr>
              <w:pStyle w:val="TableParagraph"/>
              <w:ind w:right="121"/>
              <w:rPr>
                <w:sz w:val="21"/>
              </w:rPr>
            </w:pPr>
            <w:r>
              <w:rPr>
                <w:spacing w:val="-2"/>
                <w:sz w:val="21"/>
              </w:rPr>
              <w:t>540,457</w:t>
            </w:r>
          </w:p>
        </w:tc>
      </w:tr>
    </w:tbl>
    <w:p w:rsidR="003F5784" w14:paraId="1F09445E" w14:textId="77777777">
      <w:pPr>
        <w:pStyle w:val="BodyText"/>
        <w:spacing w:before="19" w:line="238" w:lineRule="exact"/>
        <w:ind w:left="595"/>
      </w:pPr>
      <w:r>
        <w:t>†</w:t>
      </w:r>
      <w:r>
        <w:rPr>
          <w:spacing w:val="-4"/>
        </w:rPr>
        <w:t xml:space="preserve"> </w:t>
      </w:r>
      <w:r>
        <w:t>Not</w:t>
      </w:r>
      <w:r>
        <w:rPr>
          <w:spacing w:val="-3"/>
        </w:rPr>
        <w:t xml:space="preserve"> </w:t>
      </w:r>
      <w:r>
        <w:rPr>
          <w:spacing w:val="-2"/>
        </w:rPr>
        <w:t>applicable.</w:t>
      </w:r>
    </w:p>
    <w:p w:rsidR="003F5784" w14:paraId="41907EAC"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5F5872FC" w14:textId="77777777">
      <w:pPr>
        <w:spacing w:line="232" w:lineRule="auto"/>
        <w:sectPr>
          <w:pgSz w:w="15840" w:h="12240" w:orient="landscape"/>
          <w:pgMar w:top="480" w:right="440" w:bottom="460" w:left="460" w:header="284" w:footer="275" w:gutter="0"/>
          <w:cols w:space="720"/>
        </w:sectPr>
      </w:pPr>
    </w:p>
    <w:p w:rsidR="003F5784" w14:paraId="5F4019F7" w14:textId="77777777">
      <w:pPr>
        <w:pStyle w:val="BodyText"/>
        <w:spacing w:before="5"/>
        <w:rPr>
          <w:sz w:val="9"/>
        </w:rPr>
      </w:pPr>
    </w:p>
    <w:tbl>
      <w:tblPr>
        <w:tblW w:w="0" w:type="auto"/>
        <w:tblInd w:w="482" w:type="dxa"/>
        <w:tblLayout w:type="fixed"/>
        <w:tblCellMar>
          <w:left w:w="0" w:type="dxa"/>
          <w:right w:w="0" w:type="dxa"/>
        </w:tblCellMar>
        <w:tblLook w:val="01E0"/>
      </w:tblPr>
      <w:tblGrid>
        <w:gridCol w:w="2502"/>
        <w:gridCol w:w="1412"/>
        <w:gridCol w:w="3113"/>
        <w:gridCol w:w="2916"/>
        <w:gridCol w:w="2123"/>
        <w:gridCol w:w="718"/>
        <w:gridCol w:w="1200"/>
      </w:tblGrid>
      <w:tr w14:paraId="26B1FA90" w14:textId="77777777">
        <w:tblPrEx>
          <w:tblW w:w="0" w:type="auto"/>
          <w:tblInd w:w="482" w:type="dxa"/>
          <w:tblLayout w:type="fixed"/>
          <w:tblCellMar>
            <w:left w:w="0" w:type="dxa"/>
            <w:right w:w="0" w:type="dxa"/>
          </w:tblCellMar>
          <w:tblLook w:val="01E0"/>
        </w:tblPrEx>
        <w:trPr>
          <w:trHeight w:val="482"/>
        </w:trPr>
        <w:tc>
          <w:tcPr>
            <w:tcW w:w="2502" w:type="dxa"/>
            <w:tcBorders>
              <w:bottom w:val="single" w:sz="18" w:space="0" w:color="800000"/>
            </w:tcBorders>
          </w:tcPr>
          <w:p w:rsidR="003F5784" w14:paraId="39311291" w14:textId="77777777">
            <w:pPr>
              <w:pStyle w:val="TableParagraph"/>
              <w:spacing w:before="0" w:line="228" w:lineRule="exact"/>
              <w:ind w:right="138"/>
              <w:rPr>
                <w:sz w:val="21"/>
              </w:rPr>
            </w:pPr>
            <w:r>
              <w:rPr>
                <w:spacing w:val="-2"/>
                <w:sz w:val="21"/>
              </w:rPr>
              <w:t>Primary</w:t>
            </w:r>
          </w:p>
          <w:p w:rsidR="003F5784" w14:paraId="2AA2057E" w14:textId="77777777">
            <w:pPr>
              <w:pStyle w:val="TableParagraph"/>
              <w:tabs>
                <w:tab w:val="left" w:pos="1534"/>
              </w:tabs>
              <w:spacing w:before="0" w:line="235" w:lineRule="exact"/>
              <w:ind w:right="138"/>
              <w:rPr>
                <w:sz w:val="21"/>
              </w:rPr>
            </w:pPr>
            <w:r>
              <w:rPr>
                <w:spacing w:val="-2"/>
                <w:sz w:val="21"/>
              </w:rPr>
              <w:t>Stratum</w:t>
            </w:r>
            <w:r>
              <w:rPr>
                <w:sz w:val="21"/>
              </w:rPr>
              <w:tab/>
            </w:r>
            <w:r>
              <w:rPr>
                <w:spacing w:val="-2"/>
                <w:sz w:val="21"/>
              </w:rPr>
              <w:t>stratifier</w:t>
            </w:r>
          </w:p>
        </w:tc>
        <w:tc>
          <w:tcPr>
            <w:tcW w:w="1412" w:type="dxa"/>
            <w:tcBorders>
              <w:bottom w:val="single" w:sz="18" w:space="0" w:color="800000"/>
            </w:tcBorders>
          </w:tcPr>
          <w:p w:rsidR="003F5784" w14:paraId="24B96AD2" w14:textId="77777777">
            <w:pPr>
              <w:pStyle w:val="TableParagraph"/>
              <w:spacing w:before="0" w:line="228" w:lineRule="exact"/>
              <w:ind w:right="114"/>
              <w:rPr>
                <w:sz w:val="21"/>
              </w:rPr>
            </w:pPr>
            <w:r>
              <w:rPr>
                <w:spacing w:val="-2"/>
                <w:sz w:val="21"/>
              </w:rPr>
              <w:t>Secondary</w:t>
            </w:r>
          </w:p>
          <w:p w:rsidR="003F5784" w14:paraId="7843CF08" w14:textId="77777777">
            <w:pPr>
              <w:pStyle w:val="TableParagraph"/>
              <w:spacing w:before="0" w:line="235" w:lineRule="exact"/>
              <w:ind w:right="115"/>
              <w:rPr>
                <w:sz w:val="21"/>
              </w:rPr>
            </w:pPr>
            <w:r>
              <w:rPr>
                <w:spacing w:val="-2"/>
                <w:sz w:val="21"/>
              </w:rPr>
              <w:t>stratifier</w:t>
            </w:r>
          </w:p>
        </w:tc>
        <w:tc>
          <w:tcPr>
            <w:tcW w:w="3113" w:type="dxa"/>
            <w:tcBorders>
              <w:bottom w:val="single" w:sz="18" w:space="0" w:color="800000"/>
            </w:tcBorders>
          </w:tcPr>
          <w:p w:rsidR="003F5784" w14:paraId="5C6A5074" w14:textId="77777777">
            <w:pPr>
              <w:pStyle w:val="TableParagraph"/>
              <w:spacing w:before="224" w:line="238" w:lineRule="exact"/>
              <w:ind w:left="1275"/>
              <w:jc w:val="left"/>
              <w:rPr>
                <w:sz w:val="21"/>
              </w:rPr>
            </w:pPr>
            <w:r>
              <w:rPr>
                <w:spacing w:val="-2"/>
                <w:sz w:val="21"/>
              </w:rPr>
              <w:t>Tertiary</w:t>
            </w:r>
            <w:r>
              <w:rPr>
                <w:spacing w:val="-7"/>
                <w:sz w:val="21"/>
              </w:rPr>
              <w:t xml:space="preserve"> </w:t>
            </w:r>
            <w:r>
              <w:rPr>
                <w:spacing w:val="-2"/>
                <w:sz w:val="21"/>
              </w:rPr>
              <w:t>stratifier</w:t>
            </w:r>
          </w:p>
        </w:tc>
        <w:tc>
          <w:tcPr>
            <w:tcW w:w="2916" w:type="dxa"/>
            <w:tcBorders>
              <w:bottom w:val="single" w:sz="18" w:space="0" w:color="800000"/>
            </w:tcBorders>
          </w:tcPr>
          <w:p w:rsidR="003F5784" w14:paraId="759D575E" w14:textId="77777777">
            <w:pPr>
              <w:pStyle w:val="TableParagraph"/>
              <w:spacing w:before="224" w:line="238" w:lineRule="exact"/>
              <w:ind w:left="656"/>
              <w:jc w:val="left"/>
              <w:rPr>
                <w:sz w:val="21"/>
              </w:rPr>
            </w:pPr>
            <w:r>
              <w:rPr>
                <w:sz w:val="21"/>
              </w:rPr>
              <w:t>Quaternary</w:t>
            </w:r>
            <w:r>
              <w:rPr>
                <w:spacing w:val="-11"/>
                <w:sz w:val="21"/>
              </w:rPr>
              <w:t xml:space="preserve"> </w:t>
            </w:r>
            <w:r>
              <w:rPr>
                <w:spacing w:val="-2"/>
                <w:sz w:val="21"/>
              </w:rPr>
              <w:t>stratifier</w:t>
            </w:r>
          </w:p>
        </w:tc>
        <w:tc>
          <w:tcPr>
            <w:tcW w:w="2123" w:type="dxa"/>
            <w:tcBorders>
              <w:bottom w:val="single" w:sz="18" w:space="0" w:color="800000"/>
            </w:tcBorders>
          </w:tcPr>
          <w:p w:rsidR="003F5784" w14:paraId="302D9A33" w14:textId="77777777">
            <w:pPr>
              <w:pStyle w:val="TableParagraph"/>
              <w:spacing w:before="224" w:line="238" w:lineRule="exact"/>
              <w:ind w:left="564"/>
              <w:jc w:val="left"/>
              <w:rPr>
                <w:sz w:val="21"/>
              </w:rPr>
            </w:pPr>
            <w:r>
              <w:rPr>
                <w:sz w:val="21"/>
              </w:rPr>
              <w:t>Quinary</w:t>
            </w:r>
            <w:r>
              <w:rPr>
                <w:spacing w:val="-8"/>
                <w:sz w:val="21"/>
              </w:rPr>
              <w:t xml:space="preserve"> </w:t>
            </w:r>
            <w:r>
              <w:rPr>
                <w:spacing w:val="-2"/>
                <w:sz w:val="21"/>
              </w:rPr>
              <w:t>stratifier</w:t>
            </w:r>
          </w:p>
        </w:tc>
        <w:tc>
          <w:tcPr>
            <w:tcW w:w="718" w:type="dxa"/>
            <w:tcBorders>
              <w:bottom w:val="single" w:sz="18" w:space="0" w:color="800000"/>
            </w:tcBorders>
          </w:tcPr>
          <w:p w:rsidR="003F5784" w14:paraId="6081637A" w14:textId="77777777">
            <w:pPr>
              <w:pStyle w:val="TableParagraph"/>
              <w:spacing w:before="224" w:line="238" w:lineRule="exact"/>
              <w:ind w:left="118"/>
              <w:jc w:val="left"/>
              <w:rPr>
                <w:sz w:val="21"/>
              </w:rPr>
            </w:pPr>
            <w:r>
              <w:rPr>
                <w:spacing w:val="-4"/>
                <w:sz w:val="21"/>
              </w:rPr>
              <w:t>PSUs</w:t>
            </w:r>
          </w:p>
        </w:tc>
        <w:tc>
          <w:tcPr>
            <w:tcW w:w="1200" w:type="dxa"/>
            <w:tcBorders>
              <w:bottom w:val="single" w:sz="18" w:space="0" w:color="800000"/>
            </w:tcBorders>
          </w:tcPr>
          <w:p w:rsidR="003F5784" w14:paraId="5ED22E10" w14:textId="77777777">
            <w:pPr>
              <w:pStyle w:val="TableParagraph"/>
              <w:spacing w:before="0" w:line="228" w:lineRule="exact"/>
              <w:ind w:right="117"/>
              <w:rPr>
                <w:sz w:val="21"/>
              </w:rPr>
            </w:pPr>
            <w:r>
              <w:rPr>
                <w:sz w:val="21"/>
              </w:rPr>
              <w:t>Measure</w:t>
            </w:r>
            <w:r>
              <w:rPr>
                <w:spacing w:val="-9"/>
                <w:sz w:val="21"/>
              </w:rPr>
              <w:t xml:space="preserve"> </w:t>
            </w:r>
            <w:r>
              <w:rPr>
                <w:spacing w:val="-5"/>
                <w:sz w:val="21"/>
              </w:rPr>
              <w:t>of</w:t>
            </w:r>
          </w:p>
          <w:p w:rsidR="003F5784" w14:paraId="403E077C" w14:textId="77777777">
            <w:pPr>
              <w:pStyle w:val="TableParagraph"/>
              <w:spacing w:before="0" w:line="235" w:lineRule="exact"/>
              <w:ind w:right="117"/>
              <w:rPr>
                <w:sz w:val="21"/>
              </w:rPr>
            </w:pPr>
            <w:r>
              <w:rPr>
                <w:spacing w:val="-4"/>
                <w:sz w:val="21"/>
              </w:rPr>
              <w:t>size</w:t>
            </w:r>
          </w:p>
        </w:tc>
      </w:tr>
      <w:tr w14:paraId="341F50CC" w14:textId="77777777">
        <w:tblPrEx>
          <w:tblW w:w="0" w:type="auto"/>
          <w:tblInd w:w="482" w:type="dxa"/>
          <w:tblLayout w:type="fixed"/>
          <w:tblCellMar>
            <w:left w:w="0" w:type="dxa"/>
            <w:right w:w="0" w:type="dxa"/>
          </w:tblCellMar>
          <w:tblLook w:val="01E0"/>
        </w:tblPrEx>
        <w:trPr>
          <w:trHeight w:val="459"/>
        </w:trPr>
        <w:tc>
          <w:tcPr>
            <w:tcW w:w="2502" w:type="dxa"/>
            <w:tcBorders>
              <w:top w:val="single" w:sz="18" w:space="0" w:color="800000"/>
            </w:tcBorders>
          </w:tcPr>
          <w:p w:rsidR="003F5784" w14:paraId="14E629FA" w14:textId="77777777">
            <w:pPr>
              <w:pStyle w:val="TableParagraph"/>
              <w:spacing w:before="0" w:line="221" w:lineRule="exact"/>
              <w:ind w:right="138"/>
              <w:rPr>
                <w:sz w:val="21"/>
              </w:rPr>
            </w:pPr>
            <w:r>
              <w:rPr>
                <w:sz w:val="21"/>
              </w:rPr>
              <w:t>households</w:t>
            </w:r>
            <w:r>
              <w:rPr>
                <w:spacing w:val="-11"/>
                <w:sz w:val="21"/>
              </w:rPr>
              <w:t xml:space="preserve"> </w:t>
            </w:r>
            <w:r>
              <w:rPr>
                <w:spacing w:val="-5"/>
                <w:sz w:val="21"/>
              </w:rPr>
              <w:t>&lt;=</w:t>
            </w:r>
          </w:p>
          <w:p w:rsidR="003F5784" w14:paraId="5CE5101E" w14:textId="77777777">
            <w:pPr>
              <w:pStyle w:val="TableParagraph"/>
              <w:spacing w:before="0" w:line="218" w:lineRule="exact"/>
              <w:ind w:right="138"/>
              <w:rPr>
                <w:sz w:val="21"/>
              </w:rPr>
            </w:pPr>
            <w:r>
              <w:rPr>
                <w:spacing w:val="-4"/>
                <w:sz w:val="21"/>
              </w:rPr>
              <w:t>16.9</w:t>
            </w:r>
          </w:p>
        </w:tc>
        <w:tc>
          <w:tcPr>
            <w:tcW w:w="1412" w:type="dxa"/>
            <w:tcBorders>
              <w:top w:val="single" w:sz="18" w:space="0" w:color="800000"/>
            </w:tcBorders>
          </w:tcPr>
          <w:p w:rsidR="003F5784" w14:paraId="5AA846DB" w14:textId="77777777">
            <w:pPr>
              <w:pStyle w:val="TableParagraph"/>
              <w:spacing w:before="0"/>
              <w:jc w:val="left"/>
              <w:rPr>
                <w:sz w:val="20"/>
              </w:rPr>
            </w:pPr>
          </w:p>
        </w:tc>
        <w:tc>
          <w:tcPr>
            <w:tcW w:w="3113" w:type="dxa"/>
            <w:tcBorders>
              <w:top w:val="single" w:sz="18" w:space="0" w:color="800000"/>
            </w:tcBorders>
          </w:tcPr>
          <w:p w:rsidR="003F5784" w14:paraId="04B33859" w14:textId="77777777">
            <w:pPr>
              <w:pStyle w:val="TableParagraph"/>
              <w:spacing w:before="0"/>
              <w:jc w:val="left"/>
              <w:rPr>
                <w:sz w:val="20"/>
              </w:rPr>
            </w:pPr>
          </w:p>
        </w:tc>
        <w:tc>
          <w:tcPr>
            <w:tcW w:w="2916" w:type="dxa"/>
            <w:tcBorders>
              <w:top w:val="single" w:sz="18" w:space="0" w:color="800000"/>
            </w:tcBorders>
          </w:tcPr>
          <w:p w:rsidR="003F5784" w14:paraId="6A855A50" w14:textId="77777777">
            <w:pPr>
              <w:pStyle w:val="TableParagraph"/>
              <w:spacing w:before="0"/>
              <w:jc w:val="left"/>
              <w:rPr>
                <w:sz w:val="20"/>
              </w:rPr>
            </w:pPr>
          </w:p>
        </w:tc>
        <w:tc>
          <w:tcPr>
            <w:tcW w:w="2123" w:type="dxa"/>
            <w:tcBorders>
              <w:top w:val="single" w:sz="18" w:space="0" w:color="800000"/>
            </w:tcBorders>
          </w:tcPr>
          <w:p w:rsidR="003F5784" w14:paraId="18E6A0CE" w14:textId="77777777">
            <w:pPr>
              <w:pStyle w:val="TableParagraph"/>
              <w:spacing w:before="0"/>
              <w:jc w:val="left"/>
              <w:rPr>
                <w:sz w:val="20"/>
              </w:rPr>
            </w:pPr>
          </w:p>
        </w:tc>
        <w:tc>
          <w:tcPr>
            <w:tcW w:w="718" w:type="dxa"/>
            <w:tcBorders>
              <w:top w:val="single" w:sz="18" w:space="0" w:color="800000"/>
            </w:tcBorders>
          </w:tcPr>
          <w:p w:rsidR="003F5784" w14:paraId="62B3CE55" w14:textId="77777777">
            <w:pPr>
              <w:pStyle w:val="TableParagraph"/>
              <w:spacing w:before="0"/>
              <w:jc w:val="left"/>
              <w:rPr>
                <w:sz w:val="20"/>
              </w:rPr>
            </w:pPr>
          </w:p>
        </w:tc>
        <w:tc>
          <w:tcPr>
            <w:tcW w:w="1200" w:type="dxa"/>
            <w:tcBorders>
              <w:top w:val="single" w:sz="18" w:space="0" w:color="800000"/>
            </w:tcBorders>
          </w:tcPr>
          <w:p w:rsidR="003F5784" w14:paraId="26FF885E" w14:textId="77777777">
            <w:pPr>
              <w:pStyle w:val="TableParagraph"/>
              <w:spacing w:before="0"/>
              <w:jc w:val="left"/>
              <w:rPr>
                <w:sz w:val="20"/>
              </w:rPr>
            </w:pPr>
          </w:p>
        </w:tc>
      </w:tr>
    </w:tbl>
    <w:p w:rsidR="003F5784" w14:paraId="306B6300" w14:textId="77777777">
      <w:pPr>
        <w:rPr>
          <w:sz w:val="20"/>
        </w:rPr>
        <w:sectPr>
          <w:pgSz w:w="15840" w:h="12240" w:orient="landscape"/>
          <w:pgMar w:top="480" w:right="440" w:bottom="460" w:left="460" w:header="284" w:footer="275" w:gutter="0"/>
          <w:cols w:space="720"/>
        </w:sectPr>
      </w:pPr>
    </w:p>
    <w:p w:rsidR="003F5784" w14:paraId="22C1B604" w14:textId="77777777">
      <w:pPr>
        <w:pStyle w:val="ListParagraph"/>
        <w:numPr>
          <w:ilvl w:val="0"/>
          <w:numId w:val="6"/>
        </w:numPr>
        <w:tabs>
          <w:tab w:val="left" w:pos="1609"/>
          <w:tab w:val="left" w:pos="1696"/>
        </w:tabs>
        <w:spacing w:before="52" w:line="232" w:lineRule="auto"/>
        <w:ind w:hanging="1015"/>
        <w:jc w:val="both"/>
        <w:rPr>
          <w:sz w:val="21"/>
        </w:rPr>
      </w:pPr>
      <w:r>
        <w:rPr>
          <w:noProof/>
        </w:rPr>
        <mc:AlternateContent>
          <mc:Choice Requires="wps">
            <w:drawing>
              <wp:anchor distT="0" distB="0" distL="0" distR="0" simplePos="0" relativeHeight="251658240" behindDoc="0" locked="0" layoutInCell="1" allowOverlap="1">
                <wp:simplePos x="0" y="0"/>
                <wp:positionH relativeFrom="page">
                  <wp:posOffset>555572</wp:posOffset>
                </wp:positionH>
                <wp:positionV relativeFrom="paragraph">
                  <wp:posOffset>23540</wp:posOffset>
                </wp:positionV>
                <wp:extent cx="8956675" cy="3336925"/>
                <wp:effectExtent l="0" t="0" r="0" b="0"/>
                <wp:wrapNone/>
                <wp:docPr id="228" name="Textbox 228"/>
                <wp:cNvGraphicFramePr/>
                <a:graphic xmlns:a="http://schemas.openxmlformats.org/drawingml/2006/main">
                  <a:graphicData uri="http://schemas.microsoft.com/office/word/2010/wordprocessingShape">
                    <wps:wsp xmlns:wps="http://schemas.microsoft.com/office/word/2010/wordprocessingShape">
                      <wps:cNvSpPr txBox="1"/>
                      <wps:spPr>
                        <a:xfrm>
                          <a:off x="0" y="0"/>
                          <a:ext cx="8956675" cy="3336925"/>
                        </a:xfrm>
                        <a:prstGeom prst="rect">
                          <a:avLst/>
                        </a:prstGeom>
                      </wps:spPr>
                      <wps:txbx>
                        <w:txbxContent>
                          <w:tbl>
                            <w:tblPr>
                              <w:tblW w:w="0" w:type="auto"/>
                              <w:tblInd w:w="67" w:type="dxa"/>
                              <w:tblLayout w:type="fixed"/>
                              <w:tblCellMar>
                                <w:left w:w="0" w:type="dxa"/>
                                <w:right w:w="0" w:type="dxa"/>
                              </w:tblCellMar>
                              <w:tblLook w:val="01E0"/>
                            </w:tblPr>
                            <w:tblGrid>
                              <w:gridCol w:w="865"/>
                              <w:gridCol w:w="1637"/>
                              <w:gridCol w:w="1412"/>
                              <w:gridCol w:w="3113"/>
                              <w:gridCol w:w="2896"/>
                              <w:gridCol w:w="2160"/>
                              <w:gridCol w:w="720"/>
                              <w:gridCol w:w="1181"/>
                            </w:tblGrid>
                            <w:tr w14:paraId="5B7A360E" w14:textId="77777777" w:rsidTr="00040E74">
                              <w:tblPrEx>
                                <w:tblW w:w="0" w:type="auto"/>
                                <w:tblInd w:w="67" w:type="dxa"/>
                                <w:tblLayout w:type="fixed"/>
                                <w:tblCellMar>
                                  <w:left w:w="0" w:type="dxa"/>
                                  <w:right w:w="0" w:type="dxa"/>
                                </w:tblCellMar>
                                <w:tblLook w:val="01E0"/>
                              </w:tblPrEx>
                              <w:trPr>
                                <w:trHeight w:val="962"/>
                              </w:trPr>
                              <w:tc>
                                <w:tcPr>
                                  <w:tcW w:w="865" w:type="dxa"/>
                                </w:tcPr>
                                <w:p w:rsidR="003F5784" w14:textId="77777777">
                                  <w:pPr>
                                    <w:pStyle w:val="TableParagraph"/>
                                    <w:spacing w:before="0"/>
                                    <w:jc w:val="left"/>
                                    <w:rPr>
                                      <w:sz w:val="20"/>
                                    </w:rPr>
                                  </w:pPr>
                                </w:p>
                              </w:tc>
                              <w:tc>
                                <w:tcPr>
                                  <w:tcW w:w="1637" w:type="dxa"/>
                                </w:tcPr>
                                <w:p w:rsidR="003F5784" w14:textId="77777777">
                                  <w:pPr>
                                    <w:pStyle w:val="TableParagraph"/>
                                    <w:spacing w:before="0"/>
                                    <w:jc w:val="left"/>
                                    <w:rPr>
                                      <w:sz w:val="20"/>
                                    </w:rPr>
                                  </w:pPr>
                                </w:p>
                              </w:tc>
                              <w:tc>
                                <w:tcPr>
                                  <w:tcW w:w="1412" w:type="dxa"/>
                                </w:tcPr>
                                <w:p w:rsidR="003F5784" w14:textId="77777777">
                                  <w:pPr>
                                    <w:pStyle w:val="TableParagraph"/>
                                    <w:spacing w:before="0"/>
                                    <w:jc w:val="left"/>
                                    <w:rPr>
                                      <w:sz w:val="20"/>
                                    </w:rPr>
                                  </w:pPr>
                                </w:p>
                              </w:tc>
                              <w:tc>
                                <w:tcPr>
                                  <w:tcW w:w="3113" w:type="dxa"/>
                                </w:tcPr>
                                <w:p w:rsidR="003F5784" w14:textId="77777777">
                                  <w:pPr>
                                    <w:pStyle w:val="TableParagraph"/>
                                    <w:spacing w:before="0"/>
                                    <w:jc w:val="left"/>
                                    <w:rPr>
                                      <w:sz w:val="20"/>
                                    </w:rPr>
                                  </w:pPr>
                                </w:p>
                              </w:tc>
                              <w:tc>
                                <w:tcPr>
                                  <w:tcW w:w="2896" w:type="dxa"/>
                                </w:tcPr>
                                <w:p w:rsidR="003F5784" w14:textId="77777777">
                                  <w:pPr>
                                    <w:pStyle w:val="TableParagraph"/>
                                    <w:spacing w:before="0"/>
                                    <w:jc w:val="left"/>
                                    <w:rPr>
                                      <w:sz w:val="20"/>
                                    </w:rPr>
                                  </w:pPr>
                                </w:p>
                              </w:tc>
                              <w:tc>
                                <w:tcPr>
                                  <w:tcW w:w="2160" w:type="dxa"/>
                                </w:tcPr>
                                <w:p w:rsidR="003F5784" w14:textId="77777777">
                                  <w:pPr>
                                    <w:pStyle w:val="TableParagraph"/>
                                    <w:spacing w:before="0"/>
                                    <w:jc w:val="left"/>
                                    <w:rPr>
                                      <w:sz w:val="20"/>
                                    </w:rPr>
                                  </w:pPr>
                                </w:p>
                              </w:tc>
                              <w:tc>
                                <w:tcPr>
                                  <w:tcW w:w="720" w:type="dxa"/>
                                </w:tcPr>
                                <w:p w:rsidR="003F5784" w14:textId="77777777">
                                  <w:pPr>
                                    <w:pStyle w:val="TableParagraph"/>
                                    <w:spacing w:before="0"/>
                                    <w:jc w:val="left"/>
                                    <w:rPr>
                                      <w:sz w:val="20"/>
                                    </w:rPr>
                                  </w:pPr>
                                </w:p>
                              </w:tc>
                              <w:tc>
                                <w:tcPr>
                                  <w:tcW w:w="1181" w:type="dxa"/>
                                </w:tcPr>
                                <w:p w:rsidR="003F5784" w14:textId="77777777">
                                  <w:pPr>
                                    <w:pStyle w:val="TableParagraph"/>
                                    <w:spacing w:before="0"/>
                                    <w:jc w:val="left"/>
                                    <w:rPr>
                                      <w:sz w:val="20"/>
                                    </w:rPr>
                                  </w:pPr>
                                </w:p>
                              </w:tc>
                            </w:tr>
                            <w:tr w14:paraId="1FE570E3" w14:textId="77777777" w:rsidTr="00040E74">
                              <w:tblPrEx>
                                <w:tblW w:w="0" w:type="auto"/>
                                <w:tblInd w:w="67" w:type="dxa"/>
                                <w:tblLayout w:type="fixed"/>
                                <w:tblCellMar>
                                  <w:left w:w="0" w:type="dxa"/>
                                  <w:right w:w="0" w:type="dxa"/>
                                </w:tblCellMar>
                                <w:tblLook w:val="01E0"/>
                              </w:tblPrEx>
                              <w:trPr>
                                <w:trHeight w:val="990"/>
                              </w:trPr>
                              <w:tc>
                                <w:tcPr>
                                  <w:tcW w:w="865" w:type="dxa"/>
                                </w:tcPr>
                                <w:p w:rsidR="003F5784" w14:textId="77777777">
                                  <w:pPr>
                                    <w:pStyle w:val="TableParagraph"/>
                                    <w:spacing w:before="0"/>
                                    <w:jc w:val="left"/>
                                    <w:rPr>
                                      <w:sz w:val="20"/>
                                    </w:rPr>
                                  </w:pPr>
                                </w:p>
                              </w:tc>
                              <w:tc>
                                <w:tcPr>
                                  <w:tcW w:w="1637" w:type="dxa"/>
                                </w:tcPr>
                                <w:p w:rsidR="003F5784" w14:textId="77777777">
                                  <w:pPr>
                                    <w:pStyle w:val="TableParagraph"/>
                                    <w:spacing w:before="0"/>
                                    <w:jc w:val="left"/>
                                    <w:rPr>
                                      <w:sz w:val="20"/>
                                    </w:rPr>
                                  </w:pPr>
                                </w:p>
                              </w:tc>
                              <w:tc>
                                <w:tcPr>
                                  <w:tcW w:w="1412" w:type="dxa"/>
                                </w:tcPr>
                                <w:p w:rsidR="003F5784" w14:textId="77777777">
                                  <w:pPr>
                                    <w:pStyle w:val="TableParagraph"/>
                                    <w:spacing w:before="0"/>
                                    <w:jc w:val="left"/>
                                    <w:rPr>
                                      <w:sz w:val="20"/>
                                    </w:rPr>
                                  </w:pPr>
                                </w:p>
                              </w:tc>
                              <w:tc>
                                <w:tcPr>
                                  <w:tcW w:w="3113" w:type="dxa"/>
                                </w:tcPr>
                                <w:p w:rsidR="003F5784" w14:textId="77777777">
                                  <w:pPr>
                                    <w:pStyle w:val="TableParagraph"/>
                                    <w:spacing w:before="0"/>
                                    <w:jc w:val="left"/>
                                    <w:rPr>
                                      <w:sz w:val="20"/>
                                    </w:rPr>
                                  </w:pPr>
                                </w:p>
                              </w:tc>
                              <w:tc>
                                <w:tcPr>
                                  <w:tcW w:w="2896" w:type="dxa"/>
                                </w:tcPr>
                                <w:p w:rsidR="003F5784" w14:textId="77777777">
                                  <w:pPr>
                                    <w:pStyle w:val="TableParagraph"/>
                                    <w:spacing w:before="0"/>
                                    <w:jc w:val="left"/>
                                    <w:rPr>
                                      <w:sz w:val="20"/>
                                    </w:rPr>
                                  </w:pPr>
                                </w:p>
                              </w:tc>
                              <w:tc>
                                <w:tcPr>
                                  <w:tcW w:w="2160" w:type="dxa"/>
                                </w:tcPr>
                                <w:p w:rsidR="003F5784" w14:textId="77777777">
                                  <w:pPr>
                                    <w:pStyle w:val="TableParagraph"/>
                                    <w:spacing w:before="0"/>
                                    <w:jc w:val="left"/>
                                    <w:rPr>
                                      <w:sz w:val="20"/>
                                    </w:rPr>
                                  </w:pPr>
                                </w:p>
                              </w:tc>
                              <w:tc>
                                <w:tcPr>
                                  <w:tcW w:w="720" w:type="dxa"/>
                                </w:tcPr>
                                <w:p w:rsidR="003F5784" w14:textId="77777777">
                                  <w:pPr>
                                    <w:pStyle w:val="TableParagraph"/>
                                    <w:spacing w:before="0"/>
                                    <w:jc w:val="left"/>
                                    <w:rPr>
                                      <w:sz w:val="20"/>
                                    </w:rPr>
                                  </w:pPr>
                                </w:p>
                              </w:tc>
                              <w:tc>
                                <w:tcPr>
                                  <w:tcW w:w="1181" w:type="dxa"/>
                                </w:tcPr>
                                <w:p w:rsidR="003F5784" w14:textId="77777777">
                                  <w:pPr>
                                    <w:pStyle w:val="TableParagraph"/>
                                    <w:spacing w:before="0"/>
                                    <w:jc w:val="left"/>
                                    <w:rPr>
                                      <w:sz w:val="20"/>
                                    </w:rPr>
                                  </w:pPr>
                                </w:p>
                              </w:tc>
                            </w:tr>
                            <w:tr w14:paraId="36D45E22" w14:textId="77777777" w:rsidTr="00040E74">
                              <w:tblPrEx>
                                <w:tblW w:w="0" w:type="auto"/>
                                <w:tblInd w:w="67" w:type="dxa"/>
                                <w:tblLayout w:type="fixed"/>
                                <w:tblCellMar>
                                  <w:left w:w="0" w:type="dxa"/>
                                  <w:right w:w="0" w:type="dxa"/>
                                </w:tblCellMar>
                                <w:tblLook w:val="01E0"/>
                              </w:tblPrEx>
                              <w:trPr>
                                <w:trHeight w:val="990"/>
                              </w:trPr>
                              <w:tc>
                                <w:tcPr>
                                  <w:tcW w:w="865" w:type="dxa"/>
                                </w:tcPr>
                                <w:p w:rsidR="003F5784" w14:textId="77777777">
                                  <w:pPr>
                                    <w:pStyle w:val="TableParagraph"/>
                                    <w:spacing w:before="0"/>
                                    <w:jc w:val="left"/>
                                    <w:rPr>
                                      <w:sz w:val="20"/>
                                    </w:rPr>
                                  </w:pPr>
                                </w:p>
                              </w:tc>
                              <w:tc>
                                <w:tcPr>
                                  <w:tcW w:w="1637" w:type="dxa"/>
                                </w:tcPr>
                                <w:p w:rsidR="003F5784" w14:textId="77777777">
                                  <w:pPr>
                                    <w:pStyle w:val="TableParagraph"/>
                                    <w:spacing w:before="0"/>
                                    <w:jc w:val="left"/>
                                    <w:rPr>
                                      <w:sz w:val="20"/>
                                    </w:rPr>
                                  </w:pPr>
                                </w:p>
                              </w:tc>
                              <w:tc>
                                <w:tcPr>
                                  <w:tcW w:w="1412" w:type="dxa"/>
                                </w:tcPr>
                                <w:p w:rsidR="003F5784" w14:textId="77777777">
                                  <w:pPr>
                                    <w:pStyle w:val="TableParagraph"/>
                                    <w:spacing w:before="0"/>
                                    <w:jc w:val="left"/>
                                    <w:rPr>
                                      <w:sz w:val="20"/>
                                    </w:rPr>
                                  </w:pPr>
                                </w:p>
                              </w:tc>
                              <w:tc>
                                <w:tcPr>
                                  <w:tcW w:w="3113" w:type="dxa"/>
                                </w:tcPr>
                                <w:p w:rsidR="003F5784" w14:textId="77777777">
                                  <w:pPr>
                                    <w:pStyle w:val="TableParagraph"/>
                                    <w:spacing w:before="0"/>
                                    <w:jc w:val="left"/>
                                    <w:rPr>
                                      <w:sz w:val="20"/>
                                    </w:rPr>
                                  </w:pPr>
                                </w:p>
                              </w:tc>
                              <w:tc>
                                <w:tcPr>
                                  <w:tcW w:w="2896" w:type="dxa"/>
                                </w:tcPr>
                                <w:p w:rsidR="003F5784" w14:textId="77777777">
                                  <w:pPr>
                                    <w:pStyle w:val="TableParagraph"/>
                                    <w:spacing w:before="0"/>
                                    <w:jc w:val="left"/>
                                    <w:rPr>
                                      <w:sz w:val="20"/>
                                    </w:rPr>
                                  </w:pPr>
                                </w:p>
                              </w:tc>
                              <w:tc>
                                <w:tcPr>
                                  <w:tcW w:w="2160" w:type="dxa"/>
                                </w:tcPr>
                                <w:p w:rsidR="003F5784" w14:textId="77777777">
                                  <w:pPr>
                                    <w:pStyle w:val="TableParagraph"/>
                                    <w:spacing w:before="0"/>
                                    <w:jc w:val="left"/>
                                    <w:rPr>
                                      <w:sz w:val="20"/>
                                    </w:rPr>
                                  </w:pPr>
                                </w:p>
                              </w:tc>
                              <w:tc>
                                <w:tcPr>
                                  <w:tcW w:w="720" w:type="dxa"/>
                                </w:tcPr>
                                <w:p w:rsidR="003F5784" w14:textId="77777777">
                                  <w:pPr>
                                    <w:pStyle w:val="TableParagraph"/>
                                    <w:spacing w:before="0"/>
                                    <w:jc w:val="left"/>
                                    <w:rPr>
                                      <w:sz w:val="20"/>
                                    </w:rPr>
                                  </w:pPr>
                                </w:p>
                              </w:tc>
                              <w:tc>
                                <w:tcPr>
                                  <w:tcW w:w="1181" w:type="dxa"/>
                                </w:tcPr>
                                <w:p w:rsidR="003F5784" w14:textId="77777777">
                                  <w:pPr>
                                    <w:pStyle w:val="TableParagraph"/>
                                    <w:spacing w:before="0"/>
                                    <w:jc w:val="left"/>
                                    <w:rPr>
                                      <w:sz w:val="20"/>
                                    </w:rPr>
                                  </w:pPr>
                                </w:p>
                              </w:tc>
                            </w:tr>
                            <w:tr w14:paraId="4582B410" w14:textId="77777777" w:rsidTr="00040E74">
                              <w:tblPrEx>
                                <w:tblW w:w="0" w:type="auto"/>
                                <w:tblInd w:w="67" w:type="dxa"/>
                                <w:tblLayout w:type="fixed"/>
                                <w:tblCellMar>
                                  <w:left w:w="0" w:type="dxa"/>
                                  <w:right w:w="0" w:type="dxa"/>
                                </w:tblCellMar>
                                <w:tblLook w:val="01E0"/>
                              </w:tblPrEx>
                              <w:trPr>
                                <w:trHeight w:val="990"/>
                              </w:trPr>
                              <w:tc>
                                <w:tcPr>
                                  <w:tcW w:w="865" w:type="dxa"/>
                                </w:tcPr>
                                <w:p w:rsidR="003F5784" w14:textId="77777777">
                                  <w:pPr>
                                    <w:pStyle w:val="TableParagraph"/>
                                    <w:spacing w:before="0"/>
                                    <w:jc w:val="left"/>
                                    <w:rPr>
                                      <w:sz w:val="20"/>
                                    </w:rPr>
                                  </w:pPr>
                                </w:p>
                              </w:tc>
                              <w:tc>
                                <w:tcPr>
                                  <w:tcW w:w="1637" w:type="dxa"/>
                                </w:tcPr>
                                <w:p w:rsidR="003F5784" w14:textId="77777777">
                                  <w:pPr>
                                    <w:pStyle w:val="TableParagraph"/>
                                    <w:spacing w:before="0"/>
                                    <w:jc w:val="left"/>
                                    <w:rPr>
                                      <w:sz w:val="20"/>
                                    </w:rPr>
                                  </w:pPr>
                                </w:p>
                              </w:tc>
                              <w:tc>
                                <w:tcPr>
                                  <w:tcW w:w="1412" w:type="dxa"/>
                                </w:tcPr>
                                <w:p w:rsidR="003F5784" w14:textId="77777777">
                                  <w:pPr>
                                    <w:pStyle w:val="TableParagraph"/>
                                    <w:spacing w:before="0"/>
                                    <w:jc w:val="left"/>
                                    <w:rPr>
                                      <w:sz w:val="20"/>
                                    </w:rPr>
                                  </w:pPr>
                                </w:p>
                              </w:tc>
                              <w:tc>
                                <w:tcPr>
                                  <w:tcW w:w="3113" w:type="dxa"/>
                                </w:tcPr>
                                <w:p w:rsidR="003F5784" w14:textId="77777777">
                                  <w:pPr>
                                    <w:pStyle w:val="TableParagraph"/>
                                    <w:spacing w:before="0"/>
                                    <w:jc w:val="left"/>
                                    <w:rPr>
                                      <w:sz w:val="20"/>
                                    </w:rPr>
                                  </w:pPr>
                                </w:p>
                              </w:tc>
                              <w:tc>
                                <w:tcPr>
                                  <w:tcW w:w="2896" w:type="dxa"/>
                                </w:tcPr>
                                <w:p w:rsidR="003F5784" w14:textId="77777777">
                                  <w:pPr>
                                    <w:pStyle w:val="TableParagraph"/>
                                    <w:spacing w:before="0"/>
                                    <w:jc w:val="left"/>
                                    <w:rPr>
                                      <w:sz w:val="20"/>
                                    </w:rPr>
                                  </w:pPr>
                                </w:p>
                              </w:tc>
                              <w:tc>
                                <w:tcPr>
                                  <w:tcW w:w="2160" w:type="dxa"/>
                                </w:tcPr>
                                <w:p w:rsidR="003F5784" w14:textId="77777777">
                                  <w:pPr>
                                    <w:pStyle w:val="TableParagraph"/>
                                    <w:spacing w:before="0"/>
                                    <w:jc w:val="left"/>
                                    <w:rPr>
                                      <w:sz w:val="20"/>
                                    </w:rPr>
                                  </w:pPr>
                                </w:p>
                              </w:tc>
                              <w:tc>
                                <w:tcPr>
                                  <w:tcW w:w="720" w:type="dxa"/>
                                </w:tcPr>
                                <w:p w:rsidR="003F5784" w14:textId="77777777">
                                  <w:pPr>
                                    <w:pStyle w:val="TableParagraph"/>
                                    <w:spacing w:before="0"/>
                                    <w:jc w:val="left"/>
                                    <w:rPr>
                                      <w:sz w:val="20"/>
                                    </w:rPr>
                                  </w:pPr>
                                </w:p>
                              </w:tc>
                              <w:tc>
                                <w:tcPr>
                                  <w:tcW w:w="1181" w:type="dxa"/>
                                </w:tcPr>
                                <w:p w:rsidR="003F5784" w14:textId="77777777">
                                  <w:pPr>
                                    <w:pStyle w:val="TableParagraph"/>
                                    <w:spacing w:before="0"/>
                                    <w:jc w:val="left"/>
                                    <w:rPr>
                                      <w:sz w:val="20"/>
                                    </w:rPr>
                                  </w:pPr>
                                </w:p>
                              </w:tc>
                            </w:tr>
                            <w:tr w14:paraId="60715B11" w14:textId="77777777" w:rsidTr="00040E74">
                              <w:tblPrEx>
                                <w:tblW w:w="0" w:type="auto"/>
                                <w:tblInd w:w="67" w:type="dxa"/>
                                <w:tblLayout w:type="fixed"/>
                                <w:tblCellMar>
                                  <w:left w:w="0" w:type="dxa"/>
                                  <w:right w:w="0" w:type="dxa"/>
                                </w:tblCellMar>
                                <w:tblLook w:val="01E0"/>
                              </w:tblPrEx>
                              <w:trPr>
                                <w:trHeight w:val="990"/>
                              </w:trPr>
                              <w:tc>
                                <w:tcPr>
                                  <w:tcW w:w="865" w:type="dxa"/>
                                </w:tcPr>
                                <w:p w:rsidR="003F5784" w14:textId="77777777">
                                  <w:pPr>
                                    <w:pStyle w:val="TableParagraph"/>
                                    <w:spacing w:before="0"/>
                                    <w:jc w:val="left"/>
                                    <w:rPr>
                                      <w:sz w:val="20"/>
                                    </w:rPr>
                                  </w:pPr>
                                </w:p>
                              </w:tc>
                              <w:tc>
                                <w:tcPr>
                                  <w:tcW w:w="1637" w:type="dxa"/>
                                </w:tcPr>
                                <w:p w:rsidR="003F5784" w14:textId="77777777">
                                  <w:pPr>
                                    <w:pStyle w:val="TableParagraph"/>
                                    <w:spacing w:before="0"/>
                                    <w:jc w:val="left"/>
                                    <w:rPr>
                                      <w:sz w:val="20"/>
                                    </w:rPr>
                                  </w:pPr>
                                </w:p>
                              </w:tc>
                              <w:tc>
                                <w:tcPr>
                                  <w:tcW w:w="1412" w:type="dxa"/>
                                </w:tcPr>
                                <w:p w:rsidR="003F5784" w14:textId="77777777">
                                  <w:pPr>
                                    <w:pStyle w:val="TableParagraph"/>
                                    <w:spacing w:before="0"/>
                                    <w:jc w:val="left"/>
                                    <w:rPr>
                                      <w:sz w:val="20"/>
                                    </w:rPr>
                                  </w:pPr>
                                </w:p>
                              </w:tc>
                              <w:tc>
                                <w:tcPr>
                                  <w:tcW w:w="3113" w:type="dxa"/>
                                </w:tcPr>
                                <w:p w:rsidR="003F5784" w14:textId="77777777">
                                  <w:pPr>
                                    <w:pStyle w:val="TableParagraph"/>
                                    <w:spacing w:before="0"/>
                                    <w:jc w:val="left"/>
                                    <w:rPr>
                                      <w:sz w:val="20"/>
                                    </w:rPr>
                                  </w:pPr>
                                </w:p>
                              </w:tc>
                              <w:tc>
                                <w:tcPr>
                                  <w:tcW w:w="2896" w:type="dxa"/>
                                </w:tcPr>
                                <w:p w:rsidR="003F5784" w14:textId="77777777">
                                  <w:pPr>
                                    <w:pStyle w:val="TableParagraph"/>
                                    <w:spacing w:before="0"/>
                                    <w:jc w:val="left"/>
                                    <w:rPr>
                                      <w:sz w:val="20"/>
                                    </w:rPr>
                                  </w:pPr>
                                </w:p>
                              </w:tc>
                              <w:tc>
                                <w:tcPr>
                                  <w:tcW w:w="2160" w:type="dxa"/>
                                </w:tcPr>
                                <w:p w:rsidR="003F5784" w14:textId="77777777">
                                  <w:pPr>
                                    <w:pStyle w:val="TableParagraph"/>
                                    <w:spacing w:before="0"/>
                                    <w:jc w:val="left"/>
                                    <w:rPr>
                                      <w:sz w:val="20"/>
                                    </w:rPr>
                                  </w:pPr>
                                </w:p>
                              </w:tc>
                              <w:tc>
                                <w:tcPr>
                                  <w:tcW w:w="720" w:type="dxa"/>
                                </w:tcPr>
                                <w:p w:rsidR="003F5784" w14:textId="77777777">
                                  <w:pPr>
                                    <w:pStyle w:val="TableParagraph"/>
                                    <w:spacing w:before="0"/>
                                    <w:jc w:val="left"/>
                                    <w:rPr>
                                      <w:sz w:val="20"/>
                                    </w:rPr>
                                  </w:pPr>
                                </w:p>
                              </w:tc>
                              <w:tc>
                                <w:tcPr>
                                  <w:tcW w:w="1181" w:type="dxa"/>
                                </w:tcPr>
                                <w:p w:rsidR="003F5784" w14:textId="77777777">
                                  <w:pPr>
                                    <w:pStyle w:val="TableParagraph"/>
                                    <w:spacing w:before="0"/>
                                    <w:jc w:val="left"/>
                                    <w:rPr>
                                      <w:sz w:val="20"/>
                                    </w:rPr>
                                  </w:pPr>
                                </w:p>
                              </w:tc>
                            </w:tr>
                            <w:tr w14:paraId="1BF991CA" w14:textId="77777777" w:rsidTr="00040E74">
                              <w:tblPrEx>
                                <w:tblW w:w="0" w:type="auto"/>
                                <w:tblInd w:w="67" w:type="dxa"/>
                                <w:tblLayout w:type="fixed"/>
                                <w:tblCellMar>
                                  <w:left w:w="0" w:type="dxa"/>
                                  <w:right w:w="0" w:type="dxa"/>
                                </w:tblCellMar>
                                <w:tblLook w:val="01E0"/>
                              </w:tblPrEx>
                              <w:trPr>
                                <w:trHeight w:val="288"/>
                              </w:trPr>
                              <w:tc>
                                <w:tcPr>
                                  <w:tcW w:w="865" w:type="dxa"/>
                                  <w:tcBorders>
                                    <w:bottom w:val="single" w:sz="18" w:space="0" w:color="800000"/>
                                  </w:tcBorders>
                                </w:tcPr>
                                <w:p w:rsidR="003F5784" w14:textId="77777777">
                                  <w:pPr>
                                    <w:pStyle w:val="TableParagraph"/>
                                    <w:spacing w:before="0"/>
                                    <w:jc w:val="left"/>
                                    <w:rPr>
                                      <w:sz w:val="20"/>
                                    </w:rPr>
                                  </w:pPr>
                                </w:p>
                              </w:tc>
                              <w:tc>
                                <w:tcPr>
                                  <w:tcW w:w="1637" w:type="dxa"/>
                                  <w:tcBorders>
                                    <w:bottom w:val="single" w:sz="18" w:space="0" w:color="800000"/>
                                  </w:tcBorders>
                                </w:tcPr>
                                <w:p w:rsidR="003F5784" w14:textId="77777777">
                                  <w:pPr>
                                    <w:pStyle w:val="TableParagraph"/>
                                    <w:spacing w:before="0"/>
                                    <w:jc w:val="left"/>
                                    <w:rPr>
                                      <w:sz w:val="20"/>
                                    </w:rPr>
                                  </w:pPr>
                                </w:p>
                              </w:tc>
                              <w:tc>
                                <w:tcPr>
                                  <w:tcW w:w="1412" w:type="dxa"/>
                                  <w:tcBorders>
                                    <w:bottom w:val="single" w:sz="18" w:space="0" w:color="800000"/>
                                  </w:tcBorders>
                                </w:tcPr>
                                <w:p w:rsidR="003F5784" w14:textId="77777777">
                                  <w:pPr>
                                    <w:pStyle w:val="TableParagraph"/>
                                    <w:spacing w:before="0"/>
                                    <w:jc w:val="left"/>
                                    <w:rPr>
                                      <w:sz w:val="20"/>
                                    </w:rPr>
                                  </w:pPr>
                                </w:p>
                              </w:tc>
                              <w:tc>
                                <w:tcPr>
                                  <w:tcW w:w="3113" w:type="dxa"/>
                                  <w:tcBorders>
                                    <w:bottom w:val="single" w:sz="18" w:space="0" w:color="800000"/>
                                  </w:tcBorders>
                                </w:tcPr>
                                <w:p w:rsidR="003F5784" w14:textId="77777777">
                                  <w:pPr>
                                    <w:pStyle w:val="TableParagraph"/>
                                    <w:spacing w:before="0"/>
                                    <w:jc w:val="left"/>
                                    <w:rPr>
                                      <w:sz w:val="20"/>
                                    </w:rPr>
                                  </w:pPr>
                                </w:p>
                              </w:tc>
                              <w:tc>
                                <w:tcPr>
                                  <w:tcW w:w="2896" w:type="dxa"/>
                                  <w:tcBorders>
                                    <w:bottom w:val="single" w:sz="18" w:space="0" w:color="800000"/>
                                  </w:tcBorders>
                                </w:tcPr>
                                <w:p w:rsidR="003F5784" w14:textId="77777777">
                                  <w:pPr>
                                    <w:pStyle w:val="TableParagraph"/>
                                    <w:spacing w:before="0"/>
                                    <w:jc w:val="left"/>
                                    <w:rPr>
                                      <w:sz w:val="20"/>
                                    </w:rPr>
                                  </w:pPr>
                                </w:p>
                              </w:tc>
                              <w:tc>
                                <w:tcPr>
                                  <w:tcW w:w="2160" w:type="dxa"/>
                                  <w:tcBorders>
                                    <w:bottom w:val="single" w:sz="18" w:space="0" w:color="800000"/>
                                  </w:tcBorders>
                                </w:tcPr>
                                <w:p w:rsidR="003F5784" w14:textId="77777777">
                                  <w:pPr>
                                    <w:pStyle w:val="TableParagraph"/>
                                    <w:spacing w:before="0"/>
                                    <w:jc w:val="left"/>
                                    <w:rPr>
                                      <w:sz w:val="20"/>
                                    </w:rPr>
                                  </w:pPr>
                                </w:p>
                              </w:tc>
                              <w:tc>
                                <w:tcPr>
                                  <w:tcW w:w="720" w:type="dxa"/>
                                  <w:tcBorders>
                                    <w:bottom w:val="single" w:sz="18" w:space="0" w:color="800000"/>
                                  </w:tcBorders>
                                </w:tcPr>
                                <w:p w:rsidR="003F5784" w14:textId="77777777">
                                  <w:pPr>
                                    <w:pStyle w:val="TableParagraph"/>
                                    <w:spacing w:before="0"/>
                                    <w:jc w:val="left"/>
                                    <w:rPr>
                                      <w:sz w:val="20"/>
                                    </w:rPr>
                                  </w:pPr>
                                </w:p>
                              </w:tc>
                              <w:tc>
                                <w:tcPr>
                                  <w:tcW w:w="1181" w:type="dxa"/>
                                  <w:tcBorders>
                                    <w:bottom w:val="single" w:sz="18" w:space="0" w:color="800000"/>
                                  </w:tcBorders>
                                </w:tcPr>
                                <w:p w:rsidR="003F5784" w14:textId="77777777">
                                  <w:pPr>
                                    <w:pStyle w:val="TableParagraph"/>
                                    <w:spacing w:before="0"/>
                                    <w:jc w:val="left"/>
                                    <w:rPr>
                                      <w:sz w:val="20"/>
                                    </w:rPr>
                                  </w:pPr>
                                </w:p>
                              </w:tc>
                            </w:tr>
                          </w:tbl>
                          <w:p w:rsidR="003F5784" w14:textId="77777777">
                            <w:pPr>
                              <w:pStyle w:val="BodyText"/>
                            </w:pP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28" o:spid="_x0000_s1117" type="#_x0000_t202" style="width:705.25pt;height:262.75pt;margin-top:1.85pt;margin-left:43.75pt;mso-position-horizontal-relative:page;mso-wrap-distance-bottom:0;mso-wrap-distance-left:0;mso-wrap-distance-right:0;mso-wrap-distance-top:0;mso-wrap-style:square;position:absolute;visibility:visible;v-text-anchor:top;z-index:251659264" filled="f" stroked="f">
                <v:textbox inset="0,0,0,0">
                  <w:txbxContent>
                    <w:tbl>
                      <w:tblPr>
                        <w:tblW w:w="0" w:type="auto"/>
                        <w:tblInd w:w="67" w:type="dxa"/>
                        <w:tblLayout w:type="fixed"/>
                        <w:tblCellMar>
                          <w:left w:w="0" w:type="dxa"/>
                          <w:right w:w="0" w:type="dxa"/>
                        </w:tblCellMar>
                        <w:tblLook w:val="01E0"/>
                      </w:tblPr>
                      <w:tblGrid>
                        <w:gridCol w:w="865"/>
                        <w:gridCol w:w="1637"/>
                        <w:gridCol w:w="1412"/>
                        <w:gridCol w:w="3113"/>
                        <w:gridCol w:w="2896"/>
                        <w:gridCol w:w="2160"/>
                        <w:gridCol w:w="720"/>
                        <w:gridCol w:w="1181"/>
                      </w:tblGrid>
                      <w:tr w14:paraId="5B7A360E" w14:textId="77777777" w:rsidTr="00040E74">
                        <w:tblPrEx>
                          <w:tblW w:w="0" w:type="auto"/>
                          <w:tblInd w:w="67" w:type="dxa"/>
                          <w:tblLayout w:type="fixed"/>
                          <w:tblCellMar>
                            <w:left w:w="0" w:type="dxa"/>
                            <w:right w:w="0" w:type="dxa"/>
                          </w:tblCellMar>
                          <w:tblLook w:val="01E0"/>
                        </w:tblPrEx>
                        <w:trPr>
                          <w:trHeight w:val="962"/>
                        </w:trPr>
                        <w:tc>
                          <w:tcPr>
                            <w:tcW w:w="865" w:type="dxa"/>
                          </w:tcPr>
                          <w:p w:rsidR="003F5784" w14:paraId="57BF34BD" w14:textId="77777777">
                            <w:pPr>
                              <w:pStyle w:val="TableParagraph"/>
                              <w:spacing w:before="0"/>
                              <w:jc w:val="left"/>
                              <w:rPr>
                                <w:sz w:val="20"/>
                              </w:rPr>
                            </w:pPr>
                          </w:p>
                        </w:tc>
                        <w:tc>
                          <w:tcPr>
                            <w:tcW w:w="1637" w:type="dxa"/>
                          </w:tcPr>
                          <w:p w:rsidR="003F5784" w14:paraId="5D570988" w14:textId="77777777">
                            <w:pPr>
                              <w:pStyle w:val="TableParagraph"/>
                              <w:spacing w:before="0"/>
                              <w:jc w:val="left"/>
                              <w:rPr>
                                <w:sz w:val="20"/>
                              </w:rPr>
                            </w:pPr>
                          </w:p>
                        </w:tc>
                        <w:tc>
                          <w:tcPr>
                            <w:tcW w:w="1412" w:type="dxa"/>
                          </w:tcPr>
                          <w:p w:rsidR="003F5784" w14:paraId="6F157C32" w14:textId="77777777">
                            <w:pPr>
                              <w:pStyle w:val="TableParagraph"/>
                              <w:spacing w:before="0"/>
                              <w:jc w:val="left"/>
                              <w:rPr>
                                <w:sz w:val="20"/>
                              </w:rPr>
                            </w:pPr>
                          </w:p>
                        </w:tc>
                        <w:tc>
                          <w:tcPr>
                            <w:tcW w:w="3113" w:type="dxa"/>
                          </w:tcPr>
                          <w:p w:rsidR="003F5784" w14:paraId="264A898B" w14:textId="77777777">
                            <w:pPr>
                              <w:pStyle w:val="TableParagraph"/>
                              <w:spacing w:before="0"/>
                              <w:jc w:val="left"/>
                              <w:rPr>
                                <w:sz w:val="20"/>
                              </w:rPr>
                            </w:pPr>
                          </w:p>
                        </w:tc>
                        <w:tc>
                          <w:tcPr>
                            <w:tcW w:w="2896" w:type="dxa"/>
                          </w:tcPr>
                          <w:p w:rsidR="003F5784" w14:paraId="148B6B3F" w14:textId="77777777">
                            <w:pPr>
                              <w:pStyle w:val="TableParagraph"/>
                              <w:spacing w:before="0"/>
                              <w:jc w:val="left"/>
                              <w:rPr>
                                <w:sz w:val="20"/>
                              </w:rPr>
                            </w:pPr>
                          </w:p>
                        </w:tc>
                        <w:tc>
                          <w:tcPr>
                            <w:tcW w:w="2160" w:type="dxa"/>
                          </w:tcPr>
                          <w:p w:rsidR="003F5784" w14:paraId="439E09E2" w14:textId="77777777">
                            <w:pPr>
                              <w:pStyle w:val="TableParagraph"/>
                              <w:spacing w:before="0"/>
                              <w:jc w:val="left"/>
                              <w:rPr>
                                <w:sz w:val="20"/>
                              </w:rPr>
                            </w:pPr>
                          </w:p>
                        </w:tc>
                        <w:tc>
                          <w:tcPr>
                            <w:tcW w:w="720" w:type="dxa"/>
                          </w:tcPr>
                          <w:p w:rsidR="003F5784" w14:paraId="20EDED35" w14:textId="77777777">
                            <w:pPr>
                              <w:pStyle w:val="TableParagraph"/>
                              <w:spacing w:before="0"/>
                              <w:jc w:val="left"/>
                              <w:rPr>
                                <w:sz w:val="20"/>
                              </w:rPr>
                            </w:pPr>
                          </w:p>
                        </w:tc>
                        <w:tc>
                          <w:tcPr>
                            <w:tcW w:w="1181" w:type="dxa"/>
                          </w:tcPr>
                          <w:p w:rsidR="003F5784" w14:paraId="62B1D661" w14:textId="77777777">
                            <w:pPr>
                              <w:pStyle w:val="TableParagraph"/>
                              <w:spacing w:before="0"/>
                              <w:jc w:val="left"/>
                              <w:rPr>
                                <w:sz w:val="20"/>
                              </w:rPr>
                            </w:pPr>
                          </w:p>
                        </w:tc>
                      </w:tr>
                      <w:tr w14:paraId="1FE570E3" w14:textId="77777777" w:rsidTr="00040E74">
                        <w:tblPrEx>
                          <w:tblW w:w="0" w:type="auto"/>
                          <w:tblInd w:w="67" w:type="dxa"/>
                          <w:tblLayout w:type="fixed"/>
                          <w:tblCellMar>
                            <w:left w:w="0" w:type="dxa"/>
                            <w:right w:w="0" w:type="dxa"/>
                          </w:tblCellMar>
                          <w:tblLook w:val="01E0"/>
                        </w:tblPrEx>
                        <w:trPr>
                          <w:trHeight w:val="990"/>
                        </w:trPr>
                        <w:tc>
                          <w:tcPr>
                            <w:tcW w:w="865" w:type="dxa"/>
                          </w:tcPr>
                          <w:p w:rsidR="003F5784" w14:paraId="7A78A9B9" w14:textId="77777777">
                            <w:pPr>
                              <w:pStyle w:val="TableParagraph"/>
                              <w:spacing w:before="0"/>
                              <w:jc w:val="left"/>
                              <w:rPr>
                                <w:sz w:val="20"/>
                              </w:rPr>
                            </w:pPr>
                          </w:p>
                        </w:tc>
                        <w:tc>
                          <w:tcPr>
                            <w:tcW w:w="1637" w:type="dxa"/>
                          </w:tcPr>
                          <w:p w:rsidR="003F5784" w14:paraId="02141AF7" w14:textId="77777777">
                            <w:pPr>
                              <w:pStyle w:val="TableParagraph"/>
                              <w:spacing w:before="0"/>
                              <w:jc w:val="left"/>
                              <w:rPr>
                                <w:sz w:val="20"/>
                              </w:rPr>
                            </w:pPr>
                          </w:p>
                        </w:tc>
                        <w:tc>
                          <w:tcPr>
                            <w:tcW w:w="1412" w:type="dxa"/>
                          </w:tcPr>
                          <w:p w:rsidR="003F5784" w14:paraId="585B39D7" w14:textId="77777777">
                            <w:pPr>
                              <w:pStyle w:val="TableParagraph"/>
                              <w:spacing w:before="0"/>
                              <w:jc w:val="left"/>
                              <w:rPr>
                                <w:sz w:val="20"/>
                              </w:rPr>
                            </w:pPr>
                          </w:p>
                        </w:tc>
                        <w:tc>
                          <w:tcPr>
                            <w:tcW w:w="3113" w:type="dxa"/>
                          </w:tcPr>
                          <w:p w:rsidR="003F5784" w14:paraId="3EC6CB38" w14:textId="77777777">
                            <w:pPr>
                              <w:pStyle w:val="TableParagraph"/>
                              <w:spacing w:before="0"/>
                              <w:jc w:val="left"/>
                              <w:rPr>
                                <w:sz w:val="20"/>
                              </w:rPr>
                            </w:pPr>
                          </w:p>
                        </w:tc>
                        <w:tc>
                          <w:tcPr>
                            <w:tcW w:w="2896" w:type="dxa"/>
                          </w:tcPr>
                          <w:p w:rsidR="003F5784" w14:paraId="6B6EF337" w14:textId="77777777">
                            <w:pPr>
                              <w:pStyle w:val="TableParagraph"/>
                              <w:spacing w:before="0"/>
                              <w:jc w:val="left"/>
                              <w:rPr>
                                <w:sz w:val="20"/>
                              </w:rPr>
                            </w:pPr>
                          </w:p>
                        </w:tc>
                        <w:tc>
                          <w:tcPr>
                            <w:tcW w:w="2160" w:type="dxa"/>
                          </w:tcPr>
                          <w:p w:rsidR="003F5784" w14:paraId="1A7576F3" w14:textId="77777777">
                            <w:pPr>
                              <w:pStyle w:val="TableParagraph"/>
                              <w:spacing w:before="0"/>
                              <w:jc w:val="left"/>
                              <w:rPr>
                                <w:sz w:val="20"/>
                              </w:rPr>
                            </w:pPr>
                          </w:p>
                        </w:tc>
                        <w:tc>
                          <w:tcPr>
                            <w:tcW w:w="720" w:type="dxa"/>
                          </w:tcPr>
                          <w:p w:rsidR="003F5784" w14:paraId="27610665" w14:textId="77777777">
                            <w:pPr>
                              <w:pStyle w:val="TableParagraph"/>
                              <w:spacing w:before="0"/>
                              <w:jc w:val="left"/>
                              <w:rPr>
                                <w:sz w:val="20"/>
                              </w:rPr>
                            </w:pPr>
                          </w:p>
                        </w:tc>
                        <w:tc>
                          <w:tcPr>
                            <w:tcW w:w="1181" w:type="dxa"/>
                          </w:tcPr>
                          <w:p w:rsidR="003F5784" w14:paraId="503F1A6C" w14:textId="77777777">
                            <w:pPr>
                              <w:pStyle w:val="TableParagraph"/>
                              <w:spacing w:before="0"/>
                              <w:jc w:val="left"/>
                              <w:rPr>
                                <w:sz w:val="20"/>
                              </w:rPr>
                            </w:pPr>
                          </w:p>
                        </w:tc>
                      </w:tr>
                      <w:tr w14:paraId="36D45E22" w14:textId="77777777" w:rsidTr="00040E74">
                        <w:tblPrEx>
                          <w:tblW w:w="0" w:type="auto"/>
                          <w:tblInd w:w="67" w:type="dxa"/>
                          <w:tblLayout w:type="fixed"/>
                          <w:tblCellMar>
                            <w:left w:w="0" w:type="dxa"/>
                            <w:right w:w="0" w:type="dxa"/>
                          </w:tblCellMar>
                          <w:tblLook w:val="01E0"/>
                        </w:tblPrEx>
                        <w:trPr>
                          <w:trHeight w:val="990"/>
                        </w:trPr>
                        <w:tc>
                          <w:tcPr>
                            <w:tcW w:w="865" w:type="dxa"/>
                          </w:tcPr>
                          <w:p w:rsidR="003F5784" w14:paraId="40286B2A" w14:textId="77777777">
                            <w:pPr>
                              <w:pStyle w:val="TableParagraph"/>
                              <w:spacing w:before="0"/>
                              <w:jc w:val="left"/>
                              <w:rPr>
                                <w:sz w:val="20"/>
                              </w:rPr>
                            </w:pPr>
                          </w:p>
                        </w:tc>
                        <w:tc>
                          <w:tcPr>
                            <w:tcW w:w="1637" w:type="dxa"/>
                          </w:tcPr>
                          <w:p w:rsidR="003F5784" w14:paraId="69A3F4A9" w14:textId="77777777">
                            <w:pPr>
                              <w:pStyle w:val="TableParagraph"/>
                              <w:spacing w:before="0"/>
                              <w:jc w:val="left"/>
                              <w:rPr>
                                <w:sz w:val="20"/>
                              </w:rPr>
                            </w:pPr>
                          </w:p>
                        </w:tc>
                        <w:tc>
                          <w:tcPr>
                            <w:tcW w:w="1412" w:type="dxa"/>
                          </w:tcPr>
                          <w:p w:rsidR="003F5784" w14:paraId="51EDDF65" w14:textId="77777777">
                            <w:pPr>
                              <w:pStyle w:val="TableParagraph"/>
                              <w:spacing w:before="0"/>
                              <w:jc w:val="left"/>
                              <w:rPr>
                                <w:sz w:val="20"/>
                              </w:rPr>
                            </w:pPr>
                          </w:p>
                        </w:tc>
                        <w:tc>
                          <w:tcPr>
                            <w:tcW w:w="3113" w:type="dxa"/>
                          </w:tcPr>
                          <w:p w:rsidR="003F5784" w14:paraId="2DA00407" w14:textId="77777777">
                            <w:pPr>
                              <w:pStyle w:val="TableParagraph"/>
                              <w:spacing w:before="0"/>
                              <w:jc w:val="left"/>
                              <w:rPr>
                                <w:sz w:val="20"/>
                              </w:rPr>
                            </w:pPr>
                          </w:p>
                        </w:tc>
                        <w:tc>
                          <w:tcPr>
                            <w:tcW w:w="2896" w:type="dxa"/>
                          </w:tcPr>
                          <w:p w:rsidR="003F5784" w14:paraId="6EC74E51" w14:textId="77777777">
                            <w:pPr>
                              <w:pStyle w:val="TableParagraph"/>
                              <w:spacing w:before="0"/>
                              <w:jc w:val="left"/>
                              <w:rPr>
                                <w:sz w:val="20"/>
                              </w:rPr>
                            </w:pPr>
                          </w:p>
                        </w:tc>
                        <w:tc>
                          <w:tcPr>
                            <w:tcW w:w="2160" w:type="dxa"/>
                          </w:tcPr>
                          <w:p w:rsidR="003F5784" w14:paraId="6F146818" w14:textId="77777777">
                            <w:pPr>
                              <w:pStyle w:val="TableParagraph"/>
                              <w:spacing w:before="0"/>
                              <w:jc w:val="left"/>
                              <w:rPr>
                                <w:sz w:val="20"/>
                              </w:rPr>
                            </w:pPr>
                          </w:p>
                        </w:tc>
                        <w:tc>
                          <w:tcPr>
                            <w:tcW w:w="720" w:type="dxa"/>
                          </w:tcPr>
                          <w:p w:rsidR="003F5784" w14:paraId="7CEA457E" w14:textId="77777777">
                            <w:pPr>
                              <w:pStyle w:val="TableParagraph"/>
                              <w:spacing w:before="0"/>
                              <w:jc w:val="left"/>
                              <w:rPr>
                                <w:sz w:val="20"/>
                              </w:rPr>
                            </w:pPr>
                          </w:p>
                        </w:tc>
                        <w:tc>
                          <w:tcPr>
                            <w:tcW w:w="1181" w:type="dxa"/>
                          </w:tcPr>
                          <w:p w:rsidR="003F5784" w14:paraId="4278FED1" w14:textId="77777777">
                            <w:pPr>
                              <w:pStyle w:val="TableParagraph"/>
                              <w:spacing w:before="0"/>
                              <w:jc w:val="left"/>
                              <w:rPr>
                                <w:sz w:val="20"/>
                              </w:rPr>
                            </w:pPr>
                          </w:p>
                        </w:tc>
                      </w:tr>
                      <w:tr w14:paraId="4582B410" w14:textId="77777777" w:rsidTr="00040E74">
                        <w:tblPrEx>
                          <w:tblW w:w="0" w:type="auto"/>
                          <w:tblInd w:w="67" w:type="dxa"/>
                          <w:tblLayout w:type="fixed"/>
                          <w:tblCellMar>
                            <w:left w:w="0" w:type="dxa"/>
                            <w:right w:w="0" w:type="dxa"/>
                          </w:tblCellMar>
                          <w:tblLook w:val="01E0"/>
                        </w:tblPrEx>
                        <w:trPr>
                          <w:trHeight w:val="990"/>
                        </w:trPr>
                        <w:tc>
                          <w:tcPr>
                            <w:tcW w:w="865" w:type="dxa"/>
                          </w:tcPr>
                          <w:p w:rsidR="003F5784" w14:paraId="0C2C1FC3" w14:textId="77777777">
                            <w:pPr>
                              <w:pStyle w:val="TableParagraph"/>
                              <w:spacing w:before="0"/>
                              <w:jc w:val="left"/>
                              <w:rPr>
                                <w:sz w:val="20"/>
                              </w:rPr>
                            </w:pPr>
                          </w:p>
                        </w:tc>
                        <w:tc>
                          <w:tcPr>
                            <w:tcW w:w="1637" w:type="dxa"/>
                          </w:tcPr>
                          <w:p w:rsidR="003F5784" w14:paraId="13CB346A" w14:textId="77777777">
                            <w:pPr>
                              <w:pStyle w:val="TableParagraph"/>
                              <w:spacing w:before="0"/>
                              <w:jc w:val="left"/>
                              <w:rPr>
                                <w:sz w:val="20"/>
                              </w:rPr>
                            </w:pPr>
                          </w:p>
                        </w:tc>
                        <w:tc>
                          <w:tcPr>
                            <w:tcW w:w="1412" w:type="dxa"/>
                          </w:tcPr>
                          <w:p w:rsidR="003F5784" w14:paraId="75A67F4D" w14:textId="77777777">
                            <w:pPr>
                              <w:pStyle w:val="TableParagraph"/>
                              <w:spacing w:before="0"/>
                              <w:jc w:val="left"/>
                              <w:rPr>
                                <w:sz w:val="20"/>
                              </w:rPr>
                            </w:pPr>
                          </w:p>
                        </w:tc>
                        <w:tc>
                          <w:tcPr>
                            <w:tcW w:w="3113" w:type="dxa"/>
                          </w:tcPr>
                          <w:p w:rsidR="003F5784" w14:paraId="0F6EA10A" w14:textId="77777777">
                            <w:pPr>
                              <w:pStyle w:val="TableParagraph"/>
                              <w:spacing w:before="0"/>
                              <w:jc w:val="left"/>
                              <w:rPr>
                                <w:sz w:val="20"/>
                              </w:rPr>
                            </w:pPr>
                          </w:p>
                        </w:tc>
                        <w:tc>
                          <w:tcPr>
                            <w:tcW w:w="2896" w:type="dxa"/>
                          </w:tcPr>
                          <w:p w:rsidR="003F5784" w14:paraId="2224BE0C" w14:textId="77777777">
                            <w:pPr>
                              <w:pStyle w:val="TableParagraph"/>
                              <w:spacing w:before="0"/>
                              <w:jc w:val="left"/>
                              <w:rPr>
                                <w:sz w:val="20"/>
                              </w:rPr>
                            </w:pPr>
                          </w:p>
                        </w:tc>
                        <w:tc>
                          <w:tcPr>
                            <w:tcW w:w="2160" w:type="dxa"/>
                          </w:tcPr>
                          <w:p w:rsidR="003F5784" w14:paraId="769B9BC9" w14:textId="77777777">
                            <w:pPr>
                              <w:pStyle w:val="TableParagraph"/>
                              <w:spacing w:before="0"/>
                              <w:jc w:val="left"/>
                              <w:rPr>
                                <w:sz w:val="20"/>
                              </w:rPr>
                            </w:pPr>
                          </w:p>
                        </w:tc>
                        <w:tc>
                          <w:tcPr>
                            <w:tcW w:w="720" w:type="dxa"/>
                          </w:tcPr>
                          <w:p w:rsidR="003F5784" w14:paraId="4AB46E85" w14:textId="77777777">
                            <w:pPr>
                              <w:pStyle w:val="TableParagraph"/>
                              <w:spacing w:before="0"/>
                              <w:jc w:val="left"/>
                              <w:rPr>
                                <w:sz w:val="20"/>
                              </w:rPr>
                            </w:pPr>
                          </w:p>
                        </w:tc>
                        <w:tc>
                          <w:tcPr>
                            <w:tcW w:w="1181" w:type="dxa"/>
                          </w:tcPr>
                          <w:p w:rsidR="003F5784" w14:paraId="0700D1F1" w14:textId="77777777">
                            <w:pPr>
                              <w:pStyle w:val="TableParagraph"/>
                              <w:spacing w:before="0"/>
                              <w:jc w:val="left"/>
                              <w:rPr>
                                <w:sz w:val="20"/>
                              </w:rPr>
                            </w:pPr>
                          </w:p>
                        </w:tc>
                      </w:tr>
                      <w:tr w14:paraId="60715B11" w14:textId="77777777" w:rsidTr="00040E74">
                        <w:tblPrEx>
                          <w:tblW w:w="0" w:type="auto"/>
                          <w:tblInd w:w="67" w:type="dxa"/>
                          <w:tblLayout w:type="fixed"/>
                          <w:tblCellMar>
                            <w:left w:w="0" w:type="dxa"/>
                            <w:right w:w="0" w:type="dxa"/>
                          </w:tblCellMar>
                          <w:tblLook w:val="01E0"/>
                        </w:tblPrEx>
                        <w:trPr>
                          <w:trHeight w:val="990"/>
                        </w:trPr>
                        <w:tc>
                          <w:tcPr>
                            <w:tcW w:w="865" w:type="dxa"/>
                          </w:tcPr>
                          <w:p w:rsidR="003F5784" w14:paraId="4242956A" w14:textId="77777777">
                            <w:pPr>
                              <w:pStyle w:val="TableParagraph"/>
                              <w:spacing w:before="0"/>
                              <w:jc w:val="left"/>
                              <w:rPr>
                                <w:sz w:val="20"/>
                              </w:rPr>
                            </w:pPr>
                          </w:p>
                        </w:tc>
                        <w:tc>
                          <w:tcPr>
                            <w:tcW w:w="1637" w:type="dxa"/>
                          </w:tcPr>
                          <w:p w:rsidR="003F5784" w14:paraId="0F6AE7EA" w14:textId="77777777">
                            <w:pPr>
                              <w:pStyle w:val="TableParagraph"/>
                              <w:spacing w:before="0"/>
                              <w:jc w:val="left"/>
                              <w:rPr>
                                <w:sz w:val="20"/>
                              </w:rPr>
                            </w:pPr>
                          </w:p>
                        </w:tc>
                        <w:tc>
                          <w:tcPr>
                            <w:tcW w:w="1412" w:type="dxa"/>
                          </w:tcPr>
                          <w:p w:rsidR="003F5784" w14:paraId="134FBEC6" w14:textId="77777777">
                            <w:pPr>
                              <w:pStyle w:val="TableParagraph"/>
                              <w:spacing w:before="0"/>
                              <w:jc w:val="left"/>
                              <w:rPr>
                                <w:sz w:val="20"/>
                              </w:rPr>
                            </w:pPr>
                          </w:p>
                        </w:tc>
                        <w:tc>
                          <w:tcPr>
                            <w:tcW w:w="3113" w:type="dxa"/>
                          </w:tcPr>
                          <w:p w:rsidR="003F5784" w14:paraId="75565F55" w14:textId="77777777">
                            <w:pPr>
                              <w:pStyle w:val="TableParagraph"/>
                              <w:spacing w:before="0"/>
                              <w:jc w:val="left"/>
                              <w:rPr>
                                <w:sz w:val="20"/>
                              </w:rPr>
                            </w:pPr>
                          </w:p>
                        </w:tc>
                        <w:tc>
                          <w:tcPr>
                            <w:tcW w:w="2896" w:type="dxa"/>
                          </w:tcPr>
                          <w:p w:rsidR="003F5784" w14:paraId="0D9442EF" w14:textId="77777777">
                            <w:pPr>
                              <w:pStyle w:val="TableParagraph"/>
                              <w:spacing w:before="0"/>
                              <w:jc w:val="left"/>
                              <w:rPr>
                                <w:sz w:val="20"/>
                              </w:rPr>
                            </w:pPr>
                          </w:p>
                        </w:tc>
                        <w:tc>
                          <w:tcPr>
                            <w:tcW w:w="2160" w:type="dxa"/>
                          </w:tcPr>
                          <w:p w:rsidR="003F5784" w14:paraId="0BD87277" w14:textId="77777777">
                            <w:pPr>
                              <w:pStyle w:val="TableParagraph"/>
                              <w:spacing w:before="0"/>
                              <w:jc w:val="left"/>
                              <w:rPr>
                                <w:sz w:val="20"/>
                              </w:rPr>
                            </w:pPr>
                          </w:p>
                        </w:tc>
                        <w:tc>
                          <w:tcPr>
                            <w:tcW w:w="720" w:type="dxa"/>
                          </w:tcPr>
                          <w:p w:rsidR="003F5784" w14:paraId="09ABF615" w14:textId="77777777">
                            <w:pPr>
                              <w:pStyle w:val="TableParagraph"/>
                              <w:spacing w:before="0"/>
                              <w:jc w:val="left"/>
                              <w:rPr>
                                <w:sz w:val="20"/>
                              </w:rPr>
                            </w:pPr>
                          </w:p>
                        </w:tc>
                        <w:tc>
                          <w:tcPr>
                            <w:tcW w:w="1181" w:type="dxa"/>
                          </w:tcPr>
                          <w:p w:rsidR="003F5784" w14:paraId="250C359C" w14:textId="77777777">
                            <w:pPr>
                              <w:pStyle w:val="TableParagraph"/>
                              <w:spacing w:before="0"/>
                              <w:jc w:val="left"/>
                              <w:rPr>
                                <w:sz w:val="20"/>
                              </w:rPr>
                            </w:pPr>
                          </w:p>
                        </w:tc>
                      </w:tr>
                      <w:tr w14:paraId="1BF991CA" w14:textId="77777777" w:rsidTr="00040E74">
                        <w:tblPrEx>
                          <w:tblW w:w="0" w:type="auto"/>
                          <w:tblInd w:w="67" w:type="dxa"/>
                          <w:tblLayout w:type="fixed"/>
                          <w:tblCellMar>
                            <w:left w:w="0" w:type="dxa"/>
                            <w:right w:w="0" w:type="dxa"/>
                          </w:tblCellMar>
                          <w:tblLook w:val="01E0"/>
                        </w:tblPrEx>
                        <w:trPr>
                          <w:trHeight w:val="288"/>
                        </w:trPr>
                        <w:tc>
                          <w:tcPr>
                            <w:tcW w:w="865" w:type="dxa"/>
                            <w:tcBorders>
                              <w:bottom w:val="single" w:sz="18" w:space="0" w:color="800000"/>
                            </w:tcBorders>
                          </w:tcPr>
                          <w:p w:rsidR="003F5784" w14:paraId="77BF7A42" w14:textId="77777777">
                            <w:pPr>
                              <w:pStyle w:val="TableParagraph"/>
                              <w:spacing w:before="0"/>
                              <w:jc w:val="left"/>
                              <w:rPr>
                                <w:sz w:val="20"/>
                              </w:rPr>
                            </w:pPr>
                          </w:p>
                        </w:tc>
                        <w:tc>
                          <w:tcPr>
                            <w:tcW w:w="1637" w:type="dxa"/>
                            <w:tcBorders>
                              <w:bottom w:val="single" w:sz="18" w:space="0" w:color="800000"/>
                            </w:tcBorders>
                          </w:tcPr>
                          <w:p w:rsidR="003F5784" w14:paraId="07C22313" w14:textId="77777777">
                            <w:pPr>
                              <w:pStyle w:val="TableParagraph"/>
                              <w:spacing w:before="0"/>
                              <w:jc w:val="left"/>
                              <w:rPr>
                                <w:sz w:val="20"/>
                              </w:rPr>
                            </w:pPr>
                          </w:p>
                        </w:tc>
                        <w:tc>
                          <w:tcPr>
                            <w:tcW w:w="1412" w:type="dxa"/>
                            <w:tcBorders>
                              <w:bottom w:val="single" w:sz="18" w:space="0" w:color="800000"/>
                            </w:tcBorders>
                          </w:tcPr>
                          <w:p w:rsidR="003F5784" w14:paraId="3DC8555D" w14:textId="77777777">
                            <w:pPr>
                              <w:pStyle w:val="TableParagraph"/>
                              <w:spacing w:before="0"/>
                              <w:jc w:val="left"/>
                              <w:rPr>
                                <w:sz w:val="20"/>
                              </w:rPr>
                            </w:pPr>
                          </w:p>
                        </w:tc>
                        <w:tc>
                          <w:tcPr>
                            <w:tcW w:w="3113" w:type="dxa"/>
                            <w:tcBorders>
                              <w:bottom w:val="single" w:sz="18" w:space="0" w:color="800000"/>
                            </w:tcBorders>
                          </w:tcPr>
                          <w:p w:rsidR="003F5784" w14:paraId="497F92DF" w14:textId="77777777">
                            <w:pPr>
                              <w:pStyle w:val="TableParagraph"/>
                              <w:spacing w:before="0"/>
                              <w:jc w:val="left"/>
                              <w:rPr>
                                <w:sz w:val="20"/>
                              </w:rPr>
                            </w:pPr>
                          </w:p>
                        </w:tc>
                        <w:tc>
                          <w:tcPr>
                            <w:tcW w:w="2896" w:type="dxa"/>
                            <w:tcBorders>
                              <w:bottom w:val="single" w:sz="18" w:space="0" w:color="800000"/>
                            </w:tcBorders>
                          </w:tcPr>
                          <w:p w:rsidR="003F5784" w14:paraId="3E3256CB" w14:textId="77777777">
                            <w:pPr>
                              <w:pStyle w:val="TableParagraph"/>
                              <w:spacing w:before="0"/>
                              <w:jc w:val="left"/>
                              <w:rPr>
                                <w:sz w:val="20"/>
                              </w:rPr>
                            </w:pPr>
                          </w:p>
                        </w:tc>
                        <w:tc>
                          <w:tcPr>
                            <w:tcW w:w="2160" w:type="dxa"/>
                            <w:tcBorders>
                              <w:bottom w:val="single" w:sz="18" w:space="0" w:color="800000"/>
                            </w:tcBorders>
                          </w:tcPr>
                          <w:p w:rsidR="003F5784" w14:paraId="2C388529" w14:textId="77777777">
                            <w:pPr>
                              <w:pStyle w:val="TableParagraph"/>
                              <w:spacing w:before="0"/>
                              <w:jc w:val="left"/>
                              <w:rPr>
                                <w:sz w:val="20"/>
                              </w:rPr>
                            </w:pPr>
                          </w:p>
                        </w:tc>
                        <w:tc>
                          <w:tcPr>
                            <w:tcW w:w="720" w:type="dxa"/>
                            <w:tcBorders>
                              <w:bottom w:val="single" w:sz="18" w:space="0" w:color="800000"/>
                            </w:tcBorders>
                          </w:tcPr>
                          <w:p w:rsidR="003F5784" w14:paraId="0F594074" w14:textId="77777777">
                            <w:pPr>
                              <w:pStyle w:val="TableParagraph"/>
                              <w:spacing w:before="0"/>
                              <w:jc w:val="left"/>
                              <w:rPr>
                                <w:sz w:val="20"/>
                              </w:rPr>
                            </w:pPr>
                          </w:p>
                        </w:tc>
                        <w:tc>
                          <w:tcPr>
                            <w:tcW w:w="1181" w:type="dxa"/>
                            <w:tcBorders>
                              <w:bottom w:val="single" w:sz="18" w:space="0" w:color="800000"/>
                            </w:tcBorders>
                          </w:tcPr>
                          <w:p w:rsidR="003F5784" w14:paraId="6E0A4B59" w14:textId="77777777">
                            <w:pPr>
                              <w:pStyle w:val="TableParagraph"/>
                              <w:spacing w:before="0"/>
                              <w:jc w:val="left"/>
                              <w:rPr>
                                <w:sz w:val="20"/>
                              </w:rPr>
                            </w:pPr>
                          </w:p>
                        </w:tc>
                      </w:tr>
                    </w:tbl>
                    <w:p w:rsidR="003F5784" w14:paraId="505AC0FB" w14:textId="77777777">
                      <w:pPr>
                        <w:pStyle w:val="BodyText"/>
                      </w:pPr>
                    </w:p>
                  </w:txbxContent>
                </v:textbox>
              </v:shape>
            </w:pict>
          </mc:Fallback>
        </mc:AlternateContent>
      </w:r>
      <w:r>
        <w:rPr>
          <w:sz w:val="21"/>
        </w:rPr>
        <w:tab/>
      </w:r>
      <w:r>
        <w:rPr>
          <w:spacing w:val="-2"/>
          <w:sz w:val="21"/>
        </w:rPr>
        <w:t>Percentage</w:t>
      </w:r>
      <w:r>
        <w:rPr>
          <w:spacing w:val="-12"/>
          <w:sz w:val="21"/>
        </w:rPr>
        <w:t xml:space="preserve"> </w:t>
      </w:r>
      <w:r>
        <w:rPr>
          <w:spacing w:val="-2"/>
          <w:sz w:val="21"/>
        </w:rPr>
        <w:t xml:space="preserve">of female-headed </w:t>
      </w:r>
      <w:r>
        <w:rPr>
          <w:sz w:val="21"/>
        </w:rPr>
        <w:t>households</w:t>
      </w:r>
      <w:r>
        <w:rPr>
          <w:spacing w:val="-11"/>
          <w:sz w:val="21"/>
        </w:rPr>
        <w:t xml:space="preserve"> </w:t>
      </w:r>
      <w:r>
        <w:rPr>
          <w:spacing w:val="-5"/>
          <w:sz w:val="21"/>
        </w:rPr>
        <w:t>&lt;=</w:t>
      </w:r>
    </w:p>
    <w:p w:rsidR="003F5784" w14:paraId="7C708813" w14:textId="77777777">
      <w:pPr>
        <w:pStyle w:val="BodyText"/>
        <w:spacing w:line="237" w:lineRule="exact"/>
        <w:jc w:val="right"/>
      </w:pPr>
      <w:r>
        <w:rPr>
          <w:spacing w:val="-4"/>
        </w:rPr>
        <w:t>16.9</w:t>
      </w:r>
    </w:p>
    <w:p w:rsidR="003F5784" w14:paraId="04212BD4" w14:textId="77777777">
      <w:pPr>
        <w:pStyle w:val="BodyText"/>
        <w:spacing w:before="52" w:line="232" w:lineRule="auto"/>
        <w:ind w:left="241" w:right="-3" w:firstLine="13"/>
      </w:pPr>
      <w:r>
        <w:br w:type="column"/>
      </w:r>
      <w:r>
        <w:rPr>
          <w:spacing w:val="-2"/>
        </w:rPr>
        <w:t>Percentage</w:t>
      </w:r>
      <w:r>
        <w:rPr>
          <w:spacing w:val="-12"/>
        </w:rPr>
        <w:t xml:space="preserve"> </w:t>
      </w:r>
      <w:r>
        <w:rPr>
          <w:spacing w:val="-2"/>
        </w:rPr>
        <w:t xml:space="preserve">of </w:t>
      </w:r>
      <w:r>
        <w:t>renters</w:t>
      </w:r>
      <w:r>
        <w:rPr>
          <w:spacing w:val="-5"/>
        </w:rPr>
        <w:t xml:space="preserve"> </w:t>
      </w:r>
      <w:r>
        <w:t>&gt;</w:t>
      </w:r>
      <w:r>
        <w:rPr>
          <w:spacing w:val="-4"/>
        </w:rPr>
        <w:t xml:space="preserve"> 33.5</w:t>
      </w:r>
    </w:p>
    <w:p w:rsidR="003F5784" w14:paraId="079B1F4A" w14:textId="77777777">
      <w:pPr>
        <w:pStyle w:val="BodyText"/>
        <w:spacing w:before="46" w:line="238" w:lineRule="exact"/>
        <w:ind w:right="38"/>
        <w:jc w:val="right"/>
      </w:pPr>
      <w:r>
        <w:br w:type="column"/>
        <w:t>Per</w:t>
      </w:r>
      <w:r>
        <w:rPr>
          <w:spacing w:val="-7"/>
        </w:rPr>
        <w:t xml:space="preserve"> </w:t>
      </w:r>
      <w:r>
        <w:t>capita</w:t>
      </w:r>
      <w:r>
        <w:rPr>
          <w:spacing w:val="-7"/>
        </w:rPr>
        <w:t xml:space="preserve"> </w:t>
      </w:r>
      <w:r>
        <w:t>household</w:t>
      </w:r>
      <w:r>
        <w:rPr>
          <w:spacing w:val="-6"/>
        </w:rPr>
        <w:t xml:space="preserve"> </w:t>
      </w:r>
      <w:r>
        <w:t>income</w:t>
      </w:r>
      <w:r>
        <w:rPr>
          <w:spacing w:val="-7"/>
        </w:rPr>
        <w:t xml:space="preserve"> </w:t>
      </w:r>
      <w:r>
        <w:rPr>
          <w:spacing w:val="-12"/>
        </w:rPr>
        <w:t>&gt;</w:t>
      </w:r>
    </w:p>
    <w:p w:rsidR="003F5784" w14:paraId="650C00FE" w14:textId="77777777">
      <w:pPr>
        <w:pStyle w:val="BodyText"/>
        <w:spacing w:line="238" w:lineRule="exact"/>
        <w:ind w:right="38"/>
        <w:jc w:val="right"/>
      </w:pPr>
      <w:r>
        <w:rPr>
          <w:spacing w:val="-2"/>
        </w:rPr>
        <w:t>$26,682</w:t>
      </w:r>
    </w:p>
    <w:p w:rsidR="003F5784" w14:paraId="188F096F" w14:textId="77777777">
      <w:pPr>
        <w:pStyle w:val="BodyText"/>
        <w:spacing w:before="46" w:line="238" w:lineRule="exact"/>
        <w:ind w:right="38"/>
        <w:jc w:val="right"/>
      </w:pPr>
      <w:r>
        <w:br w:type="column"/>
        <w:t>Percentage</w:t>
      </w:r>
      <w:r>
        <w:rPr>
          <w:spacing w:val="-7"/>
        </w:rPr>
        <w:t xml:space="preserve"> </w:t>
      </w:r>
      <w:r>
        <w:t>of</w:t>
      </w:r>
      <w:r>
        <w:rPr>
          <w:spacing w:val="-7"/>
        </w:rPr>
        <w:t xml:space="preserve"> </w:t>
      </w:r>
      <w:r>
        <w:t>renters</w:t>
      </w:r>
      <w:r>
        <w:rPr>
          <w:spacing w:val="-6"/>
        </w:rPr>
        <w:t xml:space="preserve"> </w:t>
      </w:r>
      <w:r>
        <w:rPr>
          <w:spacing w:val="-10"/>
        </w:rPr>
        <w:t>&gt;</w:t>
      </w:r>
    </w:p>
    <w:p w:rsidR="003F5784" w14:paraId="4269B626" w14:textId="77777777">
      <w:pPr>
        <w:pStyle w:val="BodyText"/>
        <w:spacing w:line="238" w:lineRule="exact"/>
        <w:ind w:right="38"/>
        <w:jc w:val="right"/>
      </w:pPr>
      <w:r>
        <w:rPr>
          <w:spacing w:val="-4"/>
        </w:rPr>
        <w:t>38.7</w:t>
      </w:r>
    </w:p>
    <w:p w:rsidR="003F5784" w14:paraId="6C7DACF0" w14:textId="77777777">
      <w:pPr>
        <w:pStyle w:val="BodyText"/>
        <w:tabs>
          <w:tab w:val="left" w:pos="1293"/>
          <w:tab w:val="left" w:pos="1936"/>
        </w:tabs>
        <w:spacing w:before="46"/>
        <w:ind w:left="595"/>
      </w:pPr>
      <w:r>
        <w:br w:type="column"/>
      </w:r>
      <w:r>
        <w:rPr>
          <w:spacing w:val="-10"/>
        </w:rPr>
        <w:t>†</w:t>
      </w:r>
      <w:r>
        <w:tab/>
      </w:r>
      <w:r>
        <w:rPr>
          <w:spacing w:val="-10"/>
        </w:rPr>
        <w:t>2</w:t>
      </w:r>
      <w:r>
        <w:tab/>
      </w:r>
      <w:r>
        <w:rPr>
          <w:spacing w:val="-2"/>
        </w:rPr>
        <w:t>608,592</w:t>
      </w:r>
    </w:p>
    <w:p w:rsidR="003F5784" w14:paraId="2C606AED" w14:textId="77777777">
      <w:pPr>
        <w:sectPr>
          <w:type w:val="continuous"/>
          <w:pgSz w:w="15840" w:h="12240" w:orient="landscape"/>
          <w:pgMar w:top="480" w:right="440" w:bottom="460" w:left="460" w:header="284" w:footer="275" w:gutter="0"/>
          <w:cols w:num="5" w:space="720" w:equalWidth="0">
            <w:col w:w="2837" w:space="40"/>
            <w:col w:w="1396" w:space="39"/>
            <w:col w:w="2809" w:space="210"/>
            <w:col w:w="2565" w:space="1829"/>
            <w:col w:w="3215"/>
          </w:cols>
        </w:sectPr>
      </w:pPr>
    </w:p>
    <w:p w:rsidR="003F5784" w14:paraId="09F2C3C4" w14:textId="77777777">
      <w:pPr>
        <w:pStyle w:val="ListParagraph"/>
        <w:numPr>
          <w:ilvl w:val="0"/>
          <w:numId w:val="6"/>
        </w:numPr>
        <w:tabs>
          <w:tab w:val="left" w:pos="1609"/>
          <w:tab w:val="left" w:pos="1696"/>
        </w:tabs>
        <w:spacing w:before="51" w:line="232" w:lineRule="auto"/>
        <w:ind w:hanging="1015"/>
        <w:jc w:val="both"/>
        <w:rPr>
          <w:sz w:val="21"/>
        </w:rPr>
      </w:pPr>
      <w:r>
        <w:rPr>
          <w:sz w:val="21"/>
        </w:rPr>
        <w:tab/>
      </w:r>
      <w:r>
        <w:rPr>
          <w:spacing w:val="-2"/>
          <w:sz w:val="21"/>
        </w:rPr>
        <w:t>Percentage</w:t>
      </w:r>
      <w:r>
        <w:rPr>
          <w:spacing w:val="-12"/>
          <w:sz w:val="21"/>
        </w:rPr>
        <w:t xml:space="preserve"> </w:t>
      </w:r>
      <w:r>
        <w:rPr>
          <w:spacing w:val="-2"/>
          <w:sz w:val="21"/>
        </w:rPr>
        <w:t xml:space="preserve">of female-headed </w:t>
      </w:r>
      <w:r>
        <w:rPr>
          <w:sz w:val="21"/>
        </w:rPr>
        <w:t>households &gt;</w:t>
      </w:r>
    </w:p>
    <w:p w:rsidR="003F5784" w14:paraId="414CFC7C" w14:textId="77777777">
      <w:pPr>
        <w:pStyle w:val="BodyText"/>
        <w:spacing w:line="237" w:lineRule="exact"/>
        <w:ind w:left="2471"/>
      </w:pPr>
      <w:r>
        <w:rPr>
          <w:spacing w:val="-4"/>
        </w:rPr>
        <w:t>16.9</w:t>
      </w:r>
    </w:p>
    <w:p w:rsidR="003F5784" w14:paraId="417F096C" w14:textId="77777777">
      <w:pPr>
        <w:pStyle w:val="ListParagraph"/>
        <w:numPr>
          <w:ilvl w:val="0"/>
          <w:numId w:val="6"/>
        </w:numPr>
        <w:tabs>
          <w:tab w:val="left" w:pos="1609"/>
          <w:tab w:val="left" w:pos="1696"/>
        </w:tabs>
        <w:spacing w:before="51" w:line="232" w:lineRule="auto"/>
        <w:ind w:hanging="1015"/>
        <w:jc w:val="both"/>
        <w:rPr>
          <w:sz w:val="21"/>
        </w:rPr>
      </w:pPr>
      <w:r>
        <w:rPr>
          <w:sz w:val="21"/>
        </w:rPr>
        <w:tab/>
      </w:r>
      <w:r>
        <w:rPr>
          <w:spacing w:val="-2"/>
          <w:sz w:val="21"/>
        </w:rPr>
        <w:t>Percentage</w:t>
      </w:r>
      <w:r>
        <w:rPr>
          <w:spacing w:val="-12"/>
          <w:sz w:val="21"/>
        </w:rPr>
        <w:t xml:space="preserve"> </w:t>
      </w:r>
      <w:r>
        <w:rPr>
          <w:spacing w:val="-2"/>
          <w:sz w:val="21"/>
        </w:rPr>
        <w:t xml:space="preserve">of female-headed </w:t>
      </w:r>
      <w:r>
        <w:rPr>
          <w:sz w:val="21"/>
        </w:rPr>
        <w:t>households &gt;</w:t>
      </w:r>
    </w:p>
    <w:p w:rsidR="003F5784" w14:paraId="41994F0C" w14:textId="77777777">
      <w:pPr>
        <w:pStyle w:val="BodyText"/>
        <w:spacing w:line="237" w:lineRule="exact"/>
        <w:ind w:left="2471"/>
      </w:pPr>
      <w:r>
        <w:rPr>
          <w:spacing w:val="-4"/>
        </w:rPr>
        <w:t>16.9</w:t>
      </w:r>
    </w:p>
    <w:p w:rsidR="003F5784" w14:paraId="317A5EE5" w14:textId="77777777">
      <w:pPr>
        <w:pStyle w:val="BodyText"/>
        <w:spacing w:before="51" w:line="232" w:lineRule="auto"/>
        <w:ind w:left="494" w:firstLine="73"/>
        <w:jc w:val="both"/>
      </w:pPr>
      <w:r>
        <w:br w:type="column"/>
      </w:r>
      <w:r>
        <w:rPr>
          <w:spacing w:val="-2"/>
        </w:rPr>
        <w:t>Per</w:t>
      </w:r>
      <w:r>
        <w:rPr>
          <w:spacing w:val="-12"/>
        </w:rPr>
        <w:t xml:space="preserve"> </w:t>
      </w:r>
      <w:r>
        <w:rPr>
          <w:spacing w:val="-2"/>
        </w:rPr>
        <w:t xml:space="preserve">capita household </w:t>
      </w:r>
      <w:r>
        <w:t>income</w:t>
      </w:r>
      <w:r>
        <w:rPr>
          <w:spacing w:val="-8"/>
        </w:rPr>
        <w:t xml:space="preserve"> </w:t>
      </w:r>
      <w:r>
        <w:rPr>
          <w:spacing w:val="-5"/>
        </w:rPr>
        <w:t>&lt;=</w:t>
      </w:r>
    </w:p>
    <w:p w:rsidR="003F5784" w14:paraId="3E97415F" w14:textId="77777777">
      <w:pPr>
        <w:pStyle w:val="BodyText"/>
        <w:spacing w:line="237" w:lineRule="exact"/>
        <w:ind w:left="717"/>
      </w:pPr>
      <w:r>
        <w:rPr>
          <w:spacing w:val="-2"/>
        </w:rPr>
        <w:t>$21,548</w:t>
      </w:r>
    </w:p>
    <w:p w:rsidR="003F5784" w14:paraId="4BB3AC9B" w14:textId="77777777">
      <w:pPr>
        <w:pStyle w:val="BodyText"/>
        <w:spacing w:before="51" w:line="232" w:lineRule="auto"/>
        <w:ind w:left="494" w:firstLine="73"/>
        <w:jc w:val="both"/>
      </w:pPr>
      <w:r>
        <w:rPr>
          <w:spacing w:val="-2"/>
        </w:rPr>
        <w:t>Per</w:t>
      </w:r>
      <w:r>
        <w:rPr>
          <w:spacing w:val="-12"/>
        </w:rPr>
        <w:t xml:space="preserve"> </w:t>
      </w:r>
      <w:r>
        <w:rPr>
          <w:spacing w:val="-2"/>
        </w:rPr>
        <w:t xml:space="preserve">capita household </w:t>
      </w:r>
      <w:r>
        <w:t>income</w:t>
      </w:r>
      <w:r>
        <w:rPr>
          <w:spacing w:val="-8"/>
        </w:rPr>
        <w:t xml:space="preserve"> </w:t>
      </w:r>
      <w:r>
        <w:rPr>
          <w:spacing w:val="-5"/>
        </w:rPr>
        <w:t>&lt;=</w:t>
      </w:r>
    </w:p>
    <w:p w:rsidR="003F5784" w14:paraId="46F1A102" w14:textId="77777777">
      <w:pPr>
        <w:pStyle w:val="BodyText"/>
        <w:spacing w:line="237" w:lineRule="exact"/>
        <w:ind w:left="717"/>
      </w:pPr>
      <w:r>
        <w:rPr>
          <w:spacing w:val="-2"/>
        </w:rPr>
        <w:t>$21,548</w:t>
      </w:r>
    </w:p>
    <w:p w:rsidR="003F5784" w14:paraId="3EBA9661" w14:textId="77777777">
      <w:pPr>
        <w:pStyle w:val="BodyText"/>
        <w:tabs>
          <w:tab w:val="left" w:pos="5135"/>
          <w:tab w:val="left" w:pos="7704"/>
          <w:tab w:val="left" w:pos="8402"/>
          <w:tab w:val="left" w:pos="9046"/>
        </w:tabs>
        <w:spacing w:before="45"/>
        <w:ind w:right="598"/>
        <w:jc w:val="right"/>
      </w:pPr>
      <w:r>
        <w:br w:type="column"/>
        <w:t>Percentage</w:t>
      </w:r>
      <w:r>
        <w:rPr>
          <w:spacing w:val="-6"/>
        </w:rPr>
        <w:t xml:space="preserve"> </w:t>
      </w:r>
      <w:r>
        <w:t>of</w:t>
      </w:r>
      <w:r>
        <w:rPr>
          <w:spacing w:val="-6"/>
        </w:rPr>
        <w:t xml:space="preserve"> </w:t>
      </w:r>
      <w:r>
        <w:t>renters</w:t>
      </w:r>
      <w:r>
        <w:rPr>
          <w:spacing w:val="-6"/>
        </w:rPr>
        <w:t xml:space="preserve"> </w:t>
      </w:r>
      <w:r>
        <w:t>&lt;=</w:t>
      </w:r>
      <w:r>
        <w:rPr>
          <w:spacing w:val="-6"/>
        </w:rPr>
        <w:t xml:space="preserve"> </w:t>
      </w:r>
      <w:r>
        <w:rPr>
          <w:spacing w:val="-4"/>
        </w:rPr>
        <w:t>31.7</w:t>
      </w:r>
      <w:r>
        <w:tab/>
      </w:r>
      <w:r>
        <w:rPr>
          <w:spacing w:val="-10"/>
        </w:rPr>
        <w:t>†</w:t>
      </w:r>
      <w:r>
        <w:tab/>
      </w:r>
      <w:r>
        <w:rPr>
          <w:spacing w:val="-10"/>
        </w:rPr>
        <w:t>†</w:t>
      </w:r>
      <w:r>
        <w:tab/>
      </w:r>
      <w:r>
        <w:rPr>
          <w:spacing w:val="-10"/>
        </w:rPr>
        <w:t>4</w:t>
      </w:r>
      <w:r>
        <w:tab/>
      </w:r>
      <w:r>
        <w:rPr>
          <w:spacing w:val="-2"/>
        </w:rPr>
        <w:t>560,596</w:t>
      </w:r>
    </w:p>
    <w:p w:rsidR="003F5784" w14:paraId="1727DA1D" w14:textId="77777777">
      <w:pPr>
        <w:pStyle w:val="BodyText"/>
      </w:pPr>
    </w:p>
    <w:p w:rsidR="003F5784" w14:paraId="6EE739F6" w14:textId="77777777">
      <w:pPr>
        <w:pStyle w:val="BodyText"/>
      </w:pPr>
    </w:p>
    <w:p w:rsidR="003F5784" w14:paraId="37A791BF" w14:textId="77777777">
      <w:pPr>
        <w:pStyle w:val="BodyText"/>
        <w:spacing w:before="25"/>
      </w:pPr>
    </w:p>
    <w:p w:rsidR="003F5784" w14:paraId="328F1E22" w14:textId="77777777">
      <w:pPr>
        <w:pStyle w:val="BodyText"/>
        <w:tabs>
          <w:tab w:val="left" w:pos="5017"/>
          <w:tab w:val="left" w:pos="7587"/>
          <w:tab w:val="left" w:pos="8285"/>
          <w:tab w:val="left" w:pos="8928"/>
        </w:tabs>
        <w:ind w:right="598"/>
        <w:jc w:val="right"/>
      </w:pPr>
      <w:r>
        <w:t>Percentage</w:t>
      </w:r>
      <w:r>
        <w:rPr>
          <w:spacing w:val="-6"/>
        </w:rPr>
        <w:t xml:space="preserve"> </w:t>
      </w:r>
      <w:r>
        <w:t>of</w:t>
      </w:r>
      <w:r>
        <w:rPr>
          <w:spacing w:val="-5"/>
        </w:rPr>
        <w:t xml:space="preserve"> </w:t>
      </w:r>
      <w:r>
        <w:t>renters</w:t>
      </w:r>
      <w:r>
        <w:rPr>
          <w:spacing w:val="-6"/>
        </w:rPr>
        <w:t xml:space="preserve"> </w:t>
      </w:r>
      <w:r>
        <w:t>&gt;</w:t>
      </w:r>
      <w:r>
        <w:rPr>
          <w:spacing w:val="-5"/>
        </w:rPr>
        <w:t xml:space="preserve"> </w:t>
      </w:r>
      <w:r>
        <w:rPr>
          <w:spacing w:val="-4"/>
        </w:rPr>
        <w:t>31.7</w:t>
      </w:r>
      <w:r>
        <w:tab/>
      </w:r>
      <w:r>
        <w:rPr>
          <w:spacing w:val="-10"/>
        </w:rPr>
        <w:t>†</w:t>
      </w:r>
      <w:r>
        <w:tab/>
      </w:r>
      <w:r>
        <w:rPr>
          <w:spacing w:val="-10"/>
        </w:rPr>
        <w:t>†</w:t>
      </w:r>
      <w:r>
        <w:tab/>
      </w:r>
      <w:r>
        <w:rPr>
          <w:spacing w:val="-10"/>
        </w:rPr>
        <w:t>9</w:t>
      </w:r>
      <w:r>
        <w:tab/>
      </w:r>
      <w:r>
        <w:rPr>
          <w:spacing w:val="-2"/>
        </w:rPr>
        <w:t>549,613</w:t>
      </w:r>
    </w:p>
    <w:p w:rsidR="003F5784" w14:paraId="3783DEB6" w14:textId="77777777">
      <w:pPr>
        <w:jc w:val="right"/>
        <w:sectPr>
          <w:type w:val="continuous"/>
          <w:pgSz w:w="15840" w:h="12240" w:orient="landscape"/>
          <w:pgMar w:top="480" w:right="440" w:bottom="460" w:left="460" w:header="284" w:footer="275" w:gutter="0"/>
          <w:cols w:num="3" w:space="720" w:equalWidth="0">
            <w:col w:w="2837" w:space="40"/>
            <w:col w:w="1396" w:space="39"/>
            <w:col w:w="10628"/>
          </w:cols>
        </w:sectPr>
      </w:pPr>
    </w:p>
    <w:p w:rsidR="003F5784" w14:paraId="5903B638" w14:textId="77777777">
      <w:pPr>
        <w:pStyle w:val="ListParagraph"/>
        <w:numPr>
          <w:ilvl w:val="0"/>
          <w:numId w:val="6"/>
        </w:numPr>
        <w:tabs>
          <w:tab w:val="left" w:pos="1609"/>
          <w:tab w:val="left" w:pos="1696"/>
        </w:tabs>
        <w:spacing w:before="51" w:line="232" w:lineRule="auto"/>
        <w:ind w:hanging="1015"/>
        <w:jc w:val="both"/>
        <w:rPr>
          <w:sz w:val="21"/>
        </w:rPr>
      </w:pPr>
      <w:r>
        <w:rPr>
          <w:sz w:val="21"/>
        </w:rPr>
        <w:tab/>
      </w:r>
      <w:r>
        <w:rPr>
          <w:spacing w:val="-2"/>
          <w:sz w:val="21"/>
        </w:rPr>
        <w:t>Percentage</w:t>
      </w:r>
      <w:r>
        <w:rPr>
          <w:spacing w:val="-12"/>
          <w:sz w:val="21"/>
        </w:rPr>
        <w:t xml:space="preserve"> </w:t>
      </w:r>
      <w:r>
        <w:rPr>
          <w:spacing w:val="-2"/>
          <w:sz w:val="21"/>
        </w:rPr>
        <w:t xml:space="preserve">of female-headed </w:t>
      </w:r>
      <w:r>
        <w:rPr>
          <w:sz w:val="21"/>
        </w:rPr>
        <w:t>households &gt;</w:t>
      </w:r>
    </w:p>
    <w:p w:rsidR="003F5784" w14:paraId="7E7274D5" w14:textId="77777777">
      <w:pPr>
        <w:pStyle w:val="BodyText"/>
        <w:spacing w:line="237" w:lineRule="exact"/>
        <w:ind w:left="2471"/>
      </w:pPr>
      <w:r>
        <w:rPr>
          <w:spacing w:val="-4"/>
        </w:rPr>
        <w:t>16.9</w:t>
      </w:r>
    </w:p>
    <w:p w:rsidR="003F5784" w14:paraId="07F8FE34" w14:textId="77777777">
      <w:pPr>
        <w:pStyle w:val="ListParagraph"/>
        <w:numPr>
          <w:ilvl w:val="0"/>
          <w:numId w:val="6"/>
        </w:numPr>
        <w:tabs>
          <w:tab w:val="left" w:pos="1609"/>
          <w:tab w:val="left" w:pos="1696"/>
        </w:tabs>
        <w:spacing w:before="51" w:line="232" w:lineRule="auto"/>
        <w:ind w:hanging="1015"/>
        <w:jc w:val="both"/>
        <w:rPr>
          <w:sz w:val="21"/>
        </w:rPr>
      </w:pPr>
      <w:r>
        <w:rPr>
          <w:sz w:val="21"/>
        </w:rPr>
        <w:tab/>
      </w:r>
      <w:r>
        <w:rPr>
          <w:spacing w:val="-2"/>
          <w:sz w:val="21"/>
        </w:rPr>
        <w:t>Percentage</w:t>
      </w:r>
      <w:r>
        <w:rPr>
          <w:spacing w:val="-12"/>
          <w:sz w:val="21"/>
        </w:rPr>
        <w:t xml:space="preserve"> </w:t>
      </w:r>
      <w:r>
        <w:rPr>
          <w:spacing w:val="-2"/>
          <w:sz w:val="21"/>
        </w:rPr>
        <w:t xml:space="preserve">of female-headed </w:t>
      </w:r>
      <w:r>
        <w:rPr>
          <w:sz w:val="21"/>
        </w:rPr>
        <w:t>households &gt;</w:t>
      </w:r>
    </w:p>
    <w:p w:rsidR="003F5784" w14:paraId="763CB6E0" w14:textId="77777777">
      <w:pPr>
        <w:pStyle w:val="BodyText"/>
        <w:spacing w:line="237" w:lineRule="exact"/>
        <w:ind w:left="2471"/>
      </w:pPr>
      <w:r>
        <w:rPr>
          <w:spacing w:val="-4"/>
        </w:rPr>
        <w:t>16.9</w:t>
      </w:r>
    </w:p>
    <w:p w:rsidR="003F5784" w14:paraId="1240B31A" w14:textId="77777777">
      <w:pPr>
        <w:pStyle w:val="BodyText"/>
        <w:spacing w:before="51" w:line="232" w:lineRule="auto"/>
        <w:ind w:left="537" w:firstLine="29"/>
        <w:jc w:val="both"/>
      </w:pPr>
      <w:r>
        <w:br w:type="column"/>
      </w:r>
      <w:r>
        <w:rPr>
          <w:spacing w:val="-2"/>
        </w:rPr>
        <w:t>Per</w:t>
      </w:r>
      <w:r>
        <w:rPr>
          <w:spacing w:val="-12"/>
        </w:rPr>
        <w:t xml:space="preserve"> </w:t>
      </w:r>
      <w:r>
        <w:rPr>
          <w:spacing w:val="-2"/>
        </w:rPr>
        <w:t xml:space="preserve">capita household </w:t>
      </w:r>
      <w:r>
        <w:t>income &gt;</w:t>
      </w:r>
    </w:p>
    <w:p w:rsidR="003F5784" w14:paraId="5723AC82" w14:textId="77777777">
      <w:pPr>
        <w:pStyle w:val="BodyText"/>
        <w:spacing w:line="237" w:lineRule="exact"/>
        <w:ind w:left="717"/>
      </w:pPr>
      <w:r>
        <w:rPr>
          <w:spacing w:val="-2"/>
        </w:rPr>
        <w:t>$21,548</w:t>
      </w:r>
    </w:p>
    <w:p w:rsidR="003F5784" w14:paraId="0E9DDCAF" w14:textId="77777777">
      <w:pPr>
        <w:pStyle w:val="BodyText"/>
        <w:spacing w:before="51" w:line="232" w:lineRule="auto"/>
        <w:ind w:left="537" w:firstLine="29"/>
        <w:jc w:val="both"/>
      </w:pPr>
      <w:r>
        <w:rPr>
          <w:spacing w:val="-2"/>
        </w:rPr>
        <w:t>Per</w:t>
      </w:r>
      <w:r>
        <w:rPr>
          <w:spacing w:val="-12"/>
        </w:rPr>
        <w:t xml:space="preserve"> </w:t>
      </w:r>
      <w:r>
        <w:rPr>
          <w:spacing w:val="-2"/>
        </w:rPr>
        <w:t xml:space="preserve">capita household </w:t>
      </w:r>
      <w:r>
        <w:t>income &gt;</w:t>
      </w:r>
    </w:p>
    <w:p w:rsidR="003F5784" w14:paraId="5927D6CD" w14:textId="77777777">
      <w:pPr>
        <w:pStyle w:val="BodyText"/>
        <w:spacing w:line="237" w:lineRule="exact"/>
        <w:ind w:left="717"/>
      </w:pPr>
      <w:r>
        <w:rPr>
          <w:spacing w:val="-2"/>
        </w:rPr>
        <w:t>$21,548</w:t>
      </w:r>
    </w:p>
    <w:p w:rsidR="003F5784" w14:paraId="68685D46" w14:textId="77777777">
      <w:pPr>
        <w:pStyle w:val="BodyText"/>
        <w:spacing w:before="45" w:line="238" w:lineRule="exact"/>
        <w:ind w:right="38"/>
        <w:jc w:val="right"/>
      </w:pPr>
      <w:r>
        <w:br w:type="column"/>
        <w:t>Percentage</w:t>
      </w:r>
      <w:r>
        <w:rPr>
          <w:spacing w:val="-10"/>
        </w:rPr>
        <w:t xml:space="preserve"> </w:t>
      </w:r>
      <w:r>
        <w:t>of</w:t>
      </w:r>
      <w:r>
        <w:rPr>
          <w:spacing w:val="-10"/>
        </w:rPr>
        <w:t xml:space="preserve"> </w:t>
      </w:r>
      <w:r>
        <w:t>female-</w:t>
      </w:r>
      <w:r>
        <w:rPr>
          <w:spacing w:val="-2"/>
        </w:rPr>
        <w:t>headed</w:t>
      </w:r>
    </w:p>
    <w:p w:rsidR="003F5784" w14:paraId="06CF285D" w14:textId="77777777">
      <w:pPr>
        <w:pStyle w:val="BodyText"/>
        <w:spacing w:line="238" w:lineRule="exact"/>
        <w:ind w:right="38"/>
        <w:jc w:val="right"/>
      </w:pPr>
      <w:r>
        <w:t>households</w:t>
      </w:r>
      <w:r>
        <w:rPr>
          <w:spacing w:val="-7"/>
        </w:rPr>
        <w:t xml:space="preserve"> </w:t>
      </w:r>
      <w:r>
        <w:t>&lt;=</w:t>
      </w:r>
      <w:r>
        <w:rPr>
          <w:spacing w:val="-7"/>
        </w:rPr>
        <w:t xml:space="preserve"> </w:t>
      </w:r>
      <w:r>
        <w:rPr>
          <w:spacing w:val="-4"/>
        </w:rPr>
        <w:t>18.7</w:t>
      </w:r>
    </w:p>
    <w:p w:rsidR="003F5784" w14:paraId="544C3AC5" w14:textId="77777777">
      <w:pPr>
        <w:pStyle w:val="BodyText"/>
      </w:pPr>
    </w:p>
    <w:p w:rsidR="003F5784" w14:paraId="0B77803F" w14:textId="77777777">
      <w:pPr>
        <w:pStyle w:val="BodyText"/>
        <w:spacing w:before="32"/>
      </w:pPr>
    </w:p>
    <w:p w:rsidR="003F5784" w14:paraId="027F9ADA" w14:textId="77777777">
      <w:pPr>
        <w:pStyle w:val="BodyText"/>
        <w:spacing w:line="238" w:lineRule="exact"/>
        <w:ind w:right="38"/>
        <w:jc w:val="right"/>
      </w:pPr>
      <w:r>
        <w:t>Percentage</w:t>
      </w:r>
      <w:r>
        <w:rPr>
          <w:spacing w:val="-10"/>
        </w:rPr>
        <w:t xml:space="preserve"> </w:t>
      </w:r>
      <w:r>
        <w:t>of</w:t>
      </w:r>
      <w:r>
        <w:rPr>
          <w:spacing w:val="-10"/>
        </w:rPr>
        <w:t xml:space="preserve"> </w:t>
      </w:r>
      <w:r>
        <w:t>female-</w:t>
      </w:r>
      <w:r>
        <w:rPr>
          <w:spacing w:val="-2"/>
        </w:rPr>
        <w:t>headed</w:t>
      </w:r>
    </w:p>
    <w:p w:rsidR="003F5784" w14:paraId="746445E1" w14:textId="77777777">
      <w:pPr>
        <w:pStyle w:val="BodyText"/>
        <w:spacing w:line="238" w:lineRule="exact"/>
        <w:ind w:right="38"/>
        <w:jc w:val="right"/>
      </w:pPr>
      <w:r>
        <w:t>households</w:t>
      </w:r>
      <w:r>
        <w:rPr>
          <w:spacing w:val="-7"/>
        </w:rPr>
        <w:t xml:space="preserve"> </w:t>
      </w:r>
      <w:r>
        <w:t>&gt;</w:t>
      </w:r>
      <w:r>
        <w:rPr>
          <w:spacing w:val="-6"/>
        </w:rPr>
        <w:t xml:space="preserve"> </w:t>
      </w:r>
      <w:r>
        <w:rPr>
          <w:spacing w:val="-4"/>
        </w:rPr>
        <w:t>18.7</w:t>
      </w:r>
    </w:p>
    <w:p w:rsidR="003F5784" w14:paraId="45D9BAC8" w14:textId="77777777">
      <w:pPr>
        <w:pStyle w:val="BodyText"/>
        <w:tabs>
          <w:tab w:val="left" w:pos="3164"/>
          <w:tab w:val="left" w:pos="3862"/>
          <w:tab w:val="left" w:pos="4506"/>
        </w:tabs>
        <w:spacing w:before="45"/>
        <w:ind w:left="595"/>
      </w:pPr>
      <w:r>
        <w:br w:type="column"/>
      </w:r>
      <w:r>
        <w:rPr>
          <w:spacing w:val="-10"/>
        </w:rPr>
        <w:t>†</w:t>
      </w:r>
      <w:r>
        <w:tab/>
      </w:r>
      <w:r>
        <w:rPr>
          <w:spacing w:val="-10"/>
        </w:rPr>
        <w:t>†</w:t>
      </w:r>
      <w:r>
        <w:tab/>
      </w:r>
      <w:r>
        <w:rPr>
          <w:spacing w:val="-10"/>
        </w:rPr>
        <w:t>5</w:t>
      </w:r>
      <w:r>
        <w:tab/>
      </w:r>
      <w:r>
        <w:rPr>
          <w:spacing w:val="-2"/>
        </w:rPr>
        <w:t>501,582</w:t>
      </w:r>
    </w:p>
    <w:p w:rsidR="003F5784" w14:paraId="4CDF66BE" w14:textId="77777777">
      <w:pPr>
        <w:pStyle w:val="BodyText"/>
      </w:pPr>
    </w:p>
    <w:p w:rsidR="003F5784" w14:paraId="317569EE" w14:textId="77777777">
      <w:pPr>
        <w:pStyle w:val="BodyText"/>
      </w:pPr>
    </w:p>
    <w:p w:rsidR="003F5784" w14:paraId="006DA050" w14:textId="77777777">
      <w:pPr>
        <w:pStyle w:val="BodyText"/>
        <w:spacing w:before="25"/>
      </w:pPr>
    </w:p>
    <w:p w:rsidR="003F5784" w14:paraId="08ABD02B" w14:textId="77777777">
      <w:pPr>
        <w:pStyle w:val="BodyText"/>
        <w:tabs>
          <w:tab w:val="left" w:pos="3164"/>
          <w:tab w:val="left" w:pos="3862"/>
          <w:tab w:val="left" w:pos="4506"/>
        </w:tabs>
        <w:ind w:left="595"/>
      </w:pPr>
      <w:r>
        <w:rPr>
          <w:spacing w:val="-10"/>
        </w:rPr>
        <w:t>†</w:t>
      </w:r>
      <w:r>
        <w:tab/>
      </w:r>
      <w:r>
        <w:rPr>
          <w:spacing w:val="-10"/>
        </w:rPr>
        <w:t>†</w:t>
      </w:r>
      <w:r>
        <w:tab/>
      </w:r>
      <w:r>
        <w:rPr>
          <w:spacing w:val="-10"/>
        </w:rPr>
        <w:t>3</w:t>
      </w:r>
      <w:r>
        <w:tab/>
      </w:r>
      <w:r>
        <w:rPr>
          <w:spacing w:val="-2"/>
        </w:rPr>
        <w:t>504,676</w:t>
      </w:r>
    </w:p>
    <w:p w:rsidR="003F5784" w14:paraId="425DB074" w14:textId="77777777">
      <w:pPr>
        <w:sectPr>
          <w:type w:val="continuous"/>
          <w:pgSz w:w="15840" w:h="12240" w:orient="landscape"/>
          <w:pgMar w:top="480" w:right="440" w:bottom="460" w:left="460" w:header="284" w:footer="275" w:gutter="0"/>
          <w:cols w:num="4" w:space="720" w:equalWidth="0">
            <w:col w:w="2837" w:space="40"/>
            <w:col w:w="1396" w:space="39"/>
            <w:col w:w="2808" w:space="2035"/>
            <w:col w:w="5785"/>
          </w:cols>
        </w:sectPr>
      </w:pPr>
    </w:p>
    <w:p w:rsidR="003F5784" w14:paraId="1F472547" w14:textId="77777777">
      <w:pPr>
        <w:pStyle w:val="BodyText"/>
        <w:tabs>
          <w:tab w:val="left" w:pos="2732"/>
          <w:tab w:val="left" w:pos="4167"/>
          <w:tab w:val="left" w:pos="6975"/>
          <w:tab w:val="left" w:pos="9750"/>
          <w:tab w:val="left" w:pos="12320"/>
          <w:tab w:val="left" w:pos="13018"/>
          <w:tab w:val="left" w:pos="13661"/>
        </w:tabs>
        <w:spacing w:before="46"/>
        <w:ind w:left="595"/>
      </w:pPr>
      <w:r>
        <w:rPr>
          <w:spacing w:val="-4"/>
        </w:rPr>
        <w:t>Mean</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2"/>
        </w:rPr>
        <w:t>548,974</w:t>
      </w:r>
    </w:p>
    <w:p w:rsidR="003F5784" w14:paraId="076DC965" w14:textId="77777777">
      <w:pPr>
        <w:pStyle w:val="BodyText"/>
        <w:spacing w:before="71" w:line="238" w:lineRule="exact"/>
        <w:ind w:left="595"/>
      </w:pPr>
      <w:r>
        <w:t>†</w:t>
      </w:r>
      <w:r>
        <w:rPr>
          <w:spacing w:val="-4"/>
        </w:rPr>
        <w:t xml:space="preserve"> </w:t>
      </w:r>
      <w:r>
        <w:t>Not</w:t>
      </w:r>
      <w:r>
        <w:rPr>
          <w:spacing w:val="-3"/>
        </w:rPr>
        <w:t xml:space="preserve"> </w:t>
      </w:r>
      <w:r>
        <w:rPr>
          <w:spacing w:val="-2"/>
        </w:rPr>
        <w:t>applicable.</w:t>
      </w:r>
    </w:p>
    <w:p w:rsidR="003F5784" w14:paraId="19D3EECD"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727CF068" w14:textId="77777777">
      <w:pPr>
        <w:pStyle w:val="BodyText"/>
      </w:pPr>
    </w:p>
    <w:p w:rsidR="003F5784" w14:paraId="3E1FBFFD" w14:textId="77777777">
      <w:pPr>
        <w:pStyle w:val="BodyText"/>
      </w:pPr>
    </w:p>
    <w:p w:rsidR="003F5784" w14:paraId="631530A3" w14:textId="77777777">
      <w:pPr>
        <w:pStyle w:val="BodyText"/>
        <w:spacing w:before="198"/>
      </w:pPr>
    </w:p>
    <w:p w:rsidR="003F5784" w14:paraId="3EF7D45A" w14:textId="77777777">
      <w:pPr>
        <w:ind w:left="3978"/>
        <w:rPr>
          <w:sz w:val="18"/>
        </w:rPr>
      </w:pPr>
      <w:hyperlink r:id="rId203">
        <w:r>
          <w:rPr>
            <w:spacing w:val="-2"/>
            <w:w w:val="105"/>
            <w:sz w:val="18"/>
          </w:rPr>
          <w:t>http://nces.ed.gov/nationsreportcard/tdw/sample_design/2022/stratification_for_south_metropolitan_noncertainty_primary_sampling_units.aspx</w:t>
        </w:r>
      </w:hyperlink>
    </w:p>
    <w:p w:rsidR="003F5784" w14:paraId="449A5331" w14:textId="77777777">
      <w:pPr>
        <w:pStyle w:val="BodyText"/>
        <w:spacing w:before="1"/>
        <w:rPr>
          <w:sz w:val="16"/>
        </w:rPr>
      </w:pPr>
      <w:r>
        <w:rPr>
          <w:noProof/>
        </w:rPr>
        <mc:AlternateContent>
          <mc:Choice Requires="wps">
            <w:drawing>
              <wp:anchor distT="0" distB="0" distL="0" distR="0" simplePos="0" relativeHeight="251894784" behindDoc="1" locked="0" layoutInCell="1" allowOverlap="1">
                <wp:simplePos x="0" y="0"/>
                <wp:positionH relativeFrom="page">
                  <wp:posOffset>361937</wp:posOffset>
                </wp:positionH>
                <wp:positionV relativeFrom="paragraph">
                  <wp:posOffset>132753</wp:posOffset>
                </wp:positionV>
                <wp:extent cx="9339580" cy="8890"/>
                <wp:effectExtent l="0" t="0" r="0" b="0"/>
                <wp:wrapTopAndBottom/>
                <wp:docPr id="229" name="Graphic 229"/>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63"/>
                              </a:moveTo>
                              <a:lnTo>
                                <a:pt x="9335110" y="63"/>
                              </a:lnTo>
                              <a:lnTo>
                                <a:pt x="8280" y="63"/>
                              </a:lnTo>
                              <a:lnTo>
                                <a:pt x="0" y="0"/>
                              </a:lnTo>
                              <a:lnTo>
                                <a:pt x="0" y="8280"/>
                              </a:lnTo>
                              <a:lnTo>
                                <a:pt x="9335110" y="8331"/>
                              </a:lnTo>
                              <a:lnTo>
                                <a:pt x="9338970" y="8331"/>
                              </a:lnTo>
                              <a:lnTo>
                                <a:pt x="9338970" y="63"/>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29" o:spid="_x0000_s1118" style="width:735.4pt;height:0.7pt;margin-top:10.45pt;margin-left:28.5pt;mso-position-horizontal-relative:page;mso-wrap-distance-bottom:0;mso-wrap-distance-left:0;mso-wrap-distance-right:0;mso-wrap-distance-top:0;mso-wrap-style:square;position:absolute;visibility:visible;v-text-anchor:top;z-index:-251420672" coordsize="9339580,8890" path="m9338970,63l9335110,63l8280,63,,,,8280l9335110,8331l9338970,8331l9338970,63xe" fillcolor="gray" stroked="f">
                <v:path arrowok="t"/>
                <w10:wrap type="topAndBottom"/>
              </v:shape>
            </w:pict>
          </mc:Fallback>
        </mc:AlternateContent>
      </w:r>
    </w:p>
    <w:p w:rsidR="003F5784" w14:paraId="6F76581D" w14:textId="77777777">
      <w:pPr>
        <w:pStyle w:val="BodyText"/>
        <w:rPr>
          <w:sz w:val="18"/>
        </w:rPr>
      </w:pPr>
    </w:p>
    <w:p w:rsidR="003F5784" w14:paraId="2A1F3E28" w14:textId="77777777">
      <w:pPr>
        <w:pStyle w:val="BodyText"/>
        <w:spacing w:before="193"/>
        <w:rPr>
          <w:sz w:val="18"/>
        </w:rPr>
      </w:pPr>
    </w:p>
    <w:p w:rsidR="003F5784" w14:paraId="0BA0547C" w14:textId="14E3BB63">
      <w:pPr>
        <w:pStyle w:val="Heading1"/>
        <w:spacing w:line="244" w:lineRule="auto"/>
      </w:pPr>
      <w:r>
        <w:t>NAEP</w:t>
      </w:r>
      <w:r>
        <w:rPr>
          <w:spacing w:val="-9"/>
        </w:rPr>
        <w:t xml:space="preserve"> </w:t>
      </w:r>
      <w:r>
        <w:t>Technical Documentation</w:t>
      </w:r>
      <w:r w:rsidR="004C039D">
        <w:t xml:space="preserve"> </w:t>
      </w:r>
      <w:r>
        <w:t>Stratification for South Non-Metropolitan Noncertainty Primary Sampling Units</w:t>
      </w:r>
    </w:p>
    <w:p w:rsidR="003F5784" w14:paraId="20D5C542" w14:textId="77777777">
      <w:pPr>
        <w:pStyle w:val="BodyText"/>
        <w:spacing w:before="287" w:line="232" w:lineRule="auto"/>
        <w:ind w:left="109"/>
      </w:pPr>
      <w:r>
        <w:t>The</w:t>
      </w:r>
      <w:r>
        <w:rPr>
          <w:spacing w:val="-2"/>
        </w:rPr>
        <w:t xml:space="preserve"> </w:t>
      </w:r>
      <w:r>
        <w:t>following</w:t>
      </w:r>
      <w:r>
        <w:rPr>
          <w:spacing w:val="-2"/>
        </w:rPr>
        <w:t xml:space="preserve"> </w:t>
      </w:r>
      <w:r>
        <w:t>table</w:t>
      </w:r>
      <w:r>
        <w:rPr>
          <w:spacing w:val="-2"/>
        </w:rPr>
        <w:t xml:space="preserve"> </w:t>
      </w:r>
      <w:r>
        <w:t>provides</w:t>
      </w:r>
      <w:r>
        <w:rPr>
          <w:spacing w:val="-2"/>
        </w:rPr>
        <w:t xml:space="preserve"> </w:t>
      </w:r>
      <w:r>
        <w:t>the</w:t>
      </w:r>
      <w:r>
        <w:rPr>
          <w:spacing w:val="-2"/>
        </w:rPr>
        <w:t xml:space="preserve"> </w:t>
      </w:r>
      <w:r>
        <w:t>definition,</w:t>
      </w:r>
      <w:r>
        <w:rPr>
          <w:spacing w:val="-2"/>
        </w:rPr>
        <w:t xml:space="preserve"> </w:t>
      </w:r>
      <w:r>
        <w:t>number</w:t>
      </w:r>
      <w:r>
        <w:rPr>
          <w:spacing w:val="-2"/>
        </w:rPr>
        <w:t xml:space="preserve"> </w:t>
      </w:r>
      <w:r>
        <w:t>of</w:t>
      </w:r>
      <w:r>
        <w:rPr>
          <w:spacing w:val="-2"/>
        </w:rPr>
        <w:t xml:space="preserve"> </w:t>
      </w:r>
      <w:r>
        <w:t>PSUs,</w:t>
      </w:r>
      <w:r>
        <w:rPr>
          <w:spacing w:val="-2"/>
        </w:rPr>
        <w:t xml:space="preserve"> </w:t>
      </w:r>
      <w:r>
        <w:t>and</w:t>
      </w:r>
      <w:r>
        <w:rPr>
          <w:spacing w:val="-2"/>
        </w:rPr>
        <w:t xml:space="preserve"> </w:t>
      </w:r>
      <w:r>
        <w:t>size</w:t>
      </w:r>
      <w:r>
        <w:rPr>
          <w:spacing w:val="-2"/>
        </w:rPr>
        <w:t xml:space="preserve"> </w:t>
      </w:r>
      <w:r>
        <w:t>of</w:t>
      </w:r>
      <w:r>
        <w:rPr>
          <w:spacing w:val="-2"/>
        </w:rPr>
        <w:t xml:space="preserve"> </w:t>
      </w:r>
      <w:r>
        <w:t>each</w:t>
      </w:r>
      <w:r>
        <w:rPr>
          <w:spacing w:val="-2"/>
        </w:rPr>
        <w:t xml:space="preserve"> </w:t>
      </w:r>
      <w:r>
        <w:t>noncertainty</w:t>
      </w:r>
      <w:r>
        <w:rPr>
          <w:spacing w:val="-2"/>
        </w:rPr>
        <w:t xml:space="preserve"> </w:t>
      </w:r>
      <w:r>
        <w:t>PSU</w:t>
      </w:r>
      <w:r>
        <w:rPr>
          <w:spacing w:val="-2"/>
        </w:rPr>
        <w:t xml:space="preserve"> </w:t>
      </w:r>
      <w:r>
        <w:t>stratum</w:t>
      </w:r>
      <w:r>
        <w:rPr>
          <w:spacing w:val="-2"/>
        </w:rPr>
        <w:t xml:space="preserve"> </w:t>
      </w:r>
      <w:r>
        <w:t>in</w:t>
      </w:r>
      <w:r>
        <w:rPr>
          <w:spacing w:val="-2"/>
        </w:rPr>
        <w:t xml:space="preserve"> </w:t>
      </w:r>
      <w:r>
        <w:t>the</w:t>
      </w:r>
      <w:r>
        <w:rPr>
          <w:spacing w:val="-2"/>
        </w:rPr>
        <w:t xml:space="preserve"> </w:t>
      </w:r>
      <w:r>
        <w:t>South</w:t>
      </w:r>
      <w:r>
        <w:rPr>
          <w:spacing w:val="-2"/>
        </w:rPr>
        <w:t xml:space="preserve"> </w:t>
      </w:r>
      <w:r>
        <w:t>non-metropolitan</w:t>
      </w:r>
      <w:r>
        <w:rPr>
          <w:spacing w:val="-2"/>
        </w:rPr>
        <w:t xml:space="preserve"> </w:t>
      </w:r>
      <w:r>
        <w:t>primary</w:t>
      </w:r>
      <w:r>
        <w:rPr>
          <w:spacing w:val="-2"/>
        </w:rPr>
        <w:t xml:space="preserve"> </w:t>
      </w:r>
      <w:r>
        <w:t>stratum.</w:t>
      </w:r>
      <w:r>
        <w:rPr>
          <w:spacing w:val="-2"/>
        </w:rPr>
        <w:t xml:space="preserve"> </w:t>
      </w:r>
      <w:r>
        <w:t>Columns</w:t>
      </w:r>
      <w:r>
        <w:rPr>
          <w:spacing w:val="-2"/>
        </w:rPr>
        <w:t xml:space="preserve"> </w:t>
      </w:r>
      <w:r>
        <w:t>2</w:t>
      </w:r>
      <w:r>
        <w:rPr>
          <w:spacing w:val="-2"/>
        </w:rPr>
        <w:t xml:space="preserve"> </w:t>
      </w:r>
      <w:r>
        <w:t>through</w:t>
      </w:r>
      <w:r>
        <w:rPr>
          <w:spacing w:val="-2"/>
        </w:rPr>
        <w:t xml:space="preserve"> </w:t>
      </w:r>
      <w:r>
        <w:t>4 show</w:t>
      </w:r>
      <w:r>
        <w:rPr>
          <w:spacing w:val="-5"/>
        </w:rPr>
        <w:t xml:space="preserve"> </w:t>
      </w:r>
      <w:r>
        <w:t>the</w:t>
      </w:r>
      <w:r>
        <w:rPr>
          <w:spacing w:val="-5"/>
        </w:rPr>
        <w:t xml:space="preserve"> </w:t>
      </w:r>
      <w:r>
        <w:t>characteristics</w:t>
      </w:r>
      <w:r>
        <w:rPr>
          <w:spacing w:val="-5"/>
        </w:rPr>
        <w:t xml:space="preserve"> </w:t>
      </w:r>
      <w:r>
        <w:t>used</w:t>
      </w:r>
      <w:r>
        <w:rPr>
          <w:spacing w:val="-5"/>
        </w:rPr>
        <w:t xml:space="preserve"> </w:t>
      </w:r>
      <w:r>
        <w:t>to</w:t>
      </w:r>
      <w:r>
        <w:rPr>
          <w:spacing w:val="-5"/>
        </w:rPr>
        <w:t xml:space="preserve"> </w:t>
      </w:r>
      <w:r>
        <w:t>define</w:t>
      </w:r>
      <w:r>
        <w:rPr>
          <w:spacing w:val="-5"/>
        </w:rPr>
        <w:t xml:space="preserve"> </w:t>
      </w:r>
      <w:r>
        <w:t>the</w:t>
      </w:r>
      <w:r>
        <w:rPr>
          <w:spacing w:val="-5"/>
        </w:rPr>
        <w:t xml:space="preserve"> </w:t>
      </w:r>
      <w:r>
        <w:t>strata</w:t>
      </w:r>
      <w:r>
        <w:rPr>
          <w:spacing w:val="-5"/>
        </w:rPr>
        <w:t xml:space="preserve"> </w:t>
      </w:r>
      <w:r>
        <w:t>along</w:t>
      </w:r>
      <w:r>
        <w:rPr>
          <w:spacing w:val="-5"/>
        </w:rPr>
        <w:t xml:space="preserve"> </w:t>
      </w:r>
      <w:r>
        <w:t>with</w:t>
      </w:r>
      <w:r>
        <w:rPr>
          <w:spacing w:val="-5"/>
        </w:rPr>
        <w:t xml:space="preserve"> </w:t>
      </w:r>
      <w:r>
        <w:t>their</w:t>
      </w:r>
      <w:r>
        <w:rPr>
          <w:spacing w:val="-5"/>
        </w:rPr>
        <w:t xml:space="preserve"> </w:t>
      </w:r>
      <w:r>
        <w:t>respective</w:t>
      </w:r>
      <w:r>
        <w:rPr>
          <w:spacing w:val="-5"/>
        </w:rPr>
        <w:t xml:space="preserve"> </w:t>
      </w:r>
      <w:r>
        <w:t>cutoffs.</w:t>
      </w:r>
      <w:r>
        <w:rPr>
          <w:spacing w:val="-9"/>
        </w:rPr>
        <w:t xml:space="preserve"> </w:t>
      </w:r>
      <w:r>
        <w:t>The</w:t>
      </w:r>
      <w:r>
        <w:rPr>
          <w:spacing w:val="-5"/>
        </w:rPr>
        <w:t xml:space="preserve"> </w:t>
      </w:r>
      <w:r>
        <w:t>size</w:t>
      </w:r>
      <w:r>
        <w:rPr>
          <w:spacing w:val="-5"/>
        </w:rPr>
        <w:t xml:space="preserve"> </w:t>
      </w:r>
      <w:r>
        <w:t>of</w:t>
      </w:r>
      <w:r>
        <w:rPr>
          <w:spacing w:val="-5"/>
        </w:rPr>
        <w:t xml:space="preserve"> </w:t>
      </w:r>
      <w:r>
        <w:t>each</w:t>
      </w:r>
      <w:r>
        <w:rPr>
          <w:spacing w:val="-5"/>
        </w:rPr>
        <w:t xml:space="preserve"> </w:t>
      </w:r>
      <w:r>
        <w:t>stratum</w:t>
      </w:r>
      <w:r>
        <w:rPr>
          <w:spacing w:val="-5"/>
        </w:rPr>
        <w:t xml:space="preserve"> </w:t>
      </w:r>
      <w:r>
        <w:t>is</w:t>
      </w:r>
      <w:r>
        <w:rPr>
          <w:spacing w:val="-5"/>
        </w:rPr>
        <w:t xml:space="preserve"> </w:t>
      </w:r>
      <w:r>
        <w:t>given</w:t>
      </w:r>
      <w:r>
        <w:rPr>
          <w:spacing w:val="-5"/>
        </w:rPr>
        <w:t xml:space="preserve"> </w:t>
      </w:r>
      <w:r>
        <w:t>in</w:t>
      </w:r>
      <w:r>
        <w:rPr>
          <w:spacing w:val="-5"/>
        </w:rPr>
        <w:t xml:space="preserve"> </w:t>
      </w:r>
      <w:r>
        <w:t>the</w:t>
      </w:r>
      <w:r>
        <w:rPr>
          <w:spacing w:val="-5"/>
        </w:rPr>
        <w:t xml:space="preserve"> </w:t>
      </w:r>
      <w:r>
        <w:t>last</w:t>
      </w:r>
      <w:r>
        <w:rPr>
          <w:spacing w:val="-5"/>
        </w:rPr>
        <w:t xml:space="preserve"> </w:t>
      </w:r>
      <w:r>
        <w:t>column</w:t>
      </w:r>
      <w:r>
        <w:rPr>
          <w:spacing w:val="-5"/>
        </w:rPr>
        <w:t xml:space="preserve"> </w:t>
      </w:r>
      <w:r>
        <w:t>and</w:t>
      </w:r>
      <w:r>
        <w:rPr>
          <w:spacing w:val="-5"/>
        </w:rPr>
        <w:t xml:space="preserve"> </w:t>
      </w:r>
      <w:r>
        <w:t>is</w:t>
      </w:r>
      <w:r>
        <w:rPr>
          <w:spacing w:val="-5"/>
        </w:rPr>
        <w:t xml:space="preserve"> </w:t>
      </w:r>
      <w:r>
        <w:t>in</w:t>
      </w:r>
      <w:r>
        <w:rPr>
          <w:spacing w:val="-5"/>
        </w:rPr>
        <w:t xml:space="preserve"> </w:t>
      </w:r>
      <w:r>
        <w:t>terms</w:t>
      </w:r>
      <w:r>
        <w:rPr>
          <w:spacing w:val="-5"/>
        </w:rPr>
        <w:t xml:space="preserve"> </w:t>
      </w:r>
      <w:r>
        <w:t>of</w:t>
      </w:r>
      <w:r>
        <w:rPr>
          <w:spacing w:val="-5"/>
        </w:rPr>
        <w:t xml:space="preserve"> </w:t>
      </w:r>
      <w:r>
        <w:t>the</w:t>
      </w:r>
      <w:r>
        <w:rPr>
          <w:spacing w:val="-5"/>
        </w:rPr>
        <w:t xml:space="preserve"> </w:t>
      </w:r>
      <w:r>
        <w:t>number</w:t>
      </w:r>
      <w:r>
        <w:rPr>
          <w:spacing w:val="-5"/>
        </w:rPr>
        <w:t xml:space="preserve"> </w:t>
      </w:r>
      <w:r>
        <w:t>of</w:t>
      </w:r>
      <w:r>
        <w:rPr>
          <w:spacing w:val="-5"/>
        </w:rPr>
        <w:t xml:space="preserve"> </w:t>
      </w:r>
      <w:r>
        <w:t>youths (persons 17 years of age and younger).</w:t>
      </w:r>
    </w:p>
    <w:p w:rsidR="003F5784" w14:paraId="43FD2EE5" w14:textId="77777777">
      <w:pPr>
        <w:spacing w:line="232" w:lineRule="auto"/>
        <w:sectPr>
          <w:type w:val="continuous"/>
          <w:pgSz w:w="15840" w:h="12240" w:orient="landscape"/>
          <w:pgMar w:top="480" w:right="440" w:bottom="460" w:left="460" w:header="284" w:footer="275" w:gutter="0"/>
          <w:cols w:space="720"/>
        </w:sectPr>
      </w:pPr>
    </w:p>
    <w:p w:rsidR="003F5784" w14:paraId="62FCF0B0" w14:textId="77777777">
      <w:pPr>
        <w:pStyle w:val="Heading2"/>
        <w:spacing w:before="202"/>
      </w:pPr>
      <w:r>
        <w:t>Stratification</w:t>
      </w:r>
      <w:r>
        <w:rPr>
          <w:spacing w:val="-10"/>
        </w:rPr>
        <w:t xml:space="preserve"> </w:t>
      </w:r>
      <w:r>
        <w:t>for</w:t>
      </w:r>
      <w:r>
        <w:rPr>
          <w:spacing w:val="-12"/>
        </w:rPr>
        <w:t xml:space="preserve"> </w:t>
      </w:r>
      <w:r>
        <w:t>South</w:t>
      </w:r>
      <w:r>
        <w:rPr>
          <w:spacing w:val="-9"/>
        </w:rPr>
        <w:t xml:space="preserve"> </w:t>
      </w:r>
      <w:r>
        <w:t>non-metropolitan</w:t>
      </w:r>
      <w:r>
        <w:rPr>
          <w:spacing w:val="-9"/>
        </w:rPr>
        <w:t xml:space="preserve"> </w:t>
      </w:r>
      <w:r>
        <w:t>noncertainty</w:t>
      </w:r>
      <w:r>
        <w:rPr>
          <w:spacing w:val="-9"/>
        </w:rPr>
        <w:t xml:space="preserve"> </w:t>
      </w:r>
      <w:r>
        <w:t>primary</w:t>
      </w:r>
      <w:r>
        <w:rPr>
          <w:spacing w:val="-9"/>
        </w:rPr>
        <w:t xml:space="preserve"> </w:t>
      </w:r>
      <w:r>
        <w:t>sampling</w:t>
      </w:r>
      <w:r>
        <w:rPr>
          <w:spacing w:val="-9"/>
        </w:rPr>
        <w:t xml:space="preserve"> </w:t>
      </w:r>
      <w:r>
        <w:t>units</w:t>
      </w:r>
      <w:r>
        <w:rPr>
          <w:spacing w:val="-9"/>
        </w:rPr>
        <w:t xml:space="preserve"> </w:t>
      </w:r>
      <w:r>
        <w:t>(PSUs),</w:t>
      </w:r>
      <w:r>
        <w:rPr>
          <w:spacing w:val="-9"/>
        </w:rPr>
        <w:t xml:space="preserve"> </w:t>
      </w:r>
      <w:r>
        <w:t>by</w:t>
      </w:r>
      <w:r>
        <w:rPr>
          <w:spacing w:val="-9"/>
        </w:rPr>
        <w:t xml:space="preserve"> </w:t>
      </w:r>
      <w:r>
        <w:t>stratum:</w:t>
      </w:r>
      <w:r>
        <w:rPr>
          <w:spacing w:val="-9"/>
        </w:rPr>
        <w:t xml:space="preserve"> </w:t>
      </w:r>
      <w:r>
        <w:rPr>
          <w:spacing w:val="-4"/>
        </w:rPr>
        <w:t>2022</w:t>
      </w:r>
    </w:p>
    <w:p w:rsidR="003F5784" w14:paraId="1CAA868D"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969"/>
        <w:gridCol w:w="2792"/>
        <w:gridCol w:w="5675"/>
        <w:gridCol w:w="2564"/>
        <w:gridCol w:w="751"/>
        <w:gridCol w:w="1233"/>
      </w:tblGrid>
      <w:tr w14:paraId="109ACF24" w14:textId="77777777">
        <w:tblPrEx>
          <w:tblW w:w="0" w:type="auto"/>
          <w:tblInd w:w="482" w:type="dxa"/>
          <w:tblLayout w:type="fixed"/>
          <w:tblCellMar>
            <w:left w:w="0" w:type="dxa"/>
            <w:right w:w="0" w:type="dxa"/>
          </w:tblCellMar>
          <w:tblLook w:val="01E0"/>
        </w:tblPrEx>
        <w:trPr>
          <w:trHeight w:val="502"/>
        </w:trPr>
        <w:tc>
          <w:tcPr>
            <w:tcW w:w="969" w:type="dxa"/>
            <w:tcBorders>
              <w:top w:val="single" w:sz="18" w:space="0" w:color="800000"/>
              <w:bottom w:val="single" w:sz="18" w:space="0" w:color="800000"/>
            </w:tcBorders>
          </w:tcPr>
          <w:p w:rsidR="003F5784" w14:paraId="54F8974D" w14:textId="77777777">
            <w:pPr>
              <w:pStyle w:val="TableParagraph"/>
              <w:spacing w:before="2"/>
              <w:jc w:val="left"/>
              <w:rPr>
                <w:b/>
                <w:sz w:val="21"/>
              </w:rPr>
            </w:pPr>
          </w:p>
          <w:p w:rsidR="003F5784" w14:paraId="5FD15B22" w14:textId="77777777">
            <w:pPr>
              <w:pStyle w:val="TableParagraph"/>
              <w:spacing w:before="0" w:line="238" w:lineRule="exact"/>
              <w:ind w:left="120"/>
              <w:jc w:val="left"/>
              <w:rPr>
                <w:sz w:val="21"/>
              </w:rPr>
            </w:pPr>
            <w:r>
              <w:rPr>
                <w:spacing w:val="-2"/>
                <w:sz w:val="21"/>
              </w:rPr>
              <w:t>Stratum</w:t>
            </w:r>
          </w:p>
        </w:tc>
        <w:tc>
          <w:tcPr>
            <w:tcW w:w="2792" w:type="dxa"/>
            <w:tcBorders>
              <w:top w:val="single" w:sz="18" w:space="0" w:color="800000"/>
              <w:bottom w:val="single" w:sz="18" w:space="0" w:color="800000"/>
            </w:tcBorders>
          </w:tcPr>
          <w:p w:rsidR="003F5784" w14:paraId="7DA21259" w14:textId="77777777">
            <w:pPr>
              <w:pStyle w:val="TableParagraph"/>
              <w:spacing w:before="2"/>
              <w:jc w:val="left"/>
              <w:rPr>
                <w:b/>
                <w:sz w:val="21"/>
              </w:rPr>
            </w:pPr>
          </w:p>
          <w:p w:rsidR="003F5784" w14:paraId="4DA6C8DB" w14:textId="77777777">
            <w:pPr>
              <w:pStyle w:val="TableParagraph"/>
              <w:spacing w:before="0" w:line="238" w:lineRule="exact"/>
              <w:ind w:right="182"/>
              <w:rPr>
                <w:sz w:val="21"/>
              </w:rPr>
            </w:pPr>
            <w:r>
              <w:rPr>
                <w:sz w:val="21"/>
              </w:rPr>
              <w:t>Primary</w:t>
            </w:r>
            <w:r>
              <w:rPr>
                <w:spacing w:val="-8"/>
                <w:sz w:val="21"/>
              </w:rPr>
              <w:t xml:space="preserve"> </w:t>
            </w:r>
            <w:r>
              <w:rPr>
                <w:spacing w:val="-2"/>
                <w:sz w:val="21"/>
              </w:rPr>
              <w:t>stratifier</w:t>
            </w:r>
          </w:p>
        </w:tc>
        <w:tc>
          <w:tcPr>
            <w:tcW w:w="5675" w:type="dxa"/>
            <w:tcBorders>
              <w:top w:val="single" w:sz="18" w:space="0" w:color="800000"/>
              <w:bottom w:val="single" w:sz="18" w:space="0" w:color="800000"/>
            </w:tcBorders>
          </w:tcPr>
          <w:p w:rsidR="003F5784" w14:paraId="12746263" w14:textId="77777777">
            <w:pPr>
              <w:pStyle w:val="TableParagraph"/>
              <w:spacing w:before="2"/>
              <w:jc w:val="left"/>
              <w:rPr>
                <w:b/>
                <w:sz w:val="21"/>
              </w:rPr>
            </w:pPr>
          </w:p>
          <w:p w:rsidR="003F5784" w14:paraId="15EF27DD" w14:textId="77777777">
            <w:pPr>
              <w:pStyle w:val="TableParagraph"/>
              <w:spacing w:before="0" w:line="238" w:lineRule="exact"/>
              <w:ind w:right="168"/>
              <w:rPr>
                <w:sz w:val="21"/>
              </w:rPr>
            </w:pPr>
            <w:r>
              <w:rPr>
                <w:sz w:val="21"/>
              </w:rPr>
              <w:t>Secondary</w:t>
            </w:r>
            <w:r>
              <w:rPr>
                <w:spacing w:val="-10"/>
                <w:sz w:val="21"/>
              </w:rPr>
              <w:t xml:space="preserve"> </w:t>
            </w:r>
            <w:r>
              <w:rPr>
                <w:spacing w:val="-2"/>
                <w:sz w:val="21"/>
              </w:rPr>
              <w:t>stratifier</w:t>
            </w:r>
          </w:p>
        </w:tc>
        <w:tc>
          <w:tcPr>
            <w:tcW w:w="2564" w:type="dxa"/>
            <w:tcBorders>
              <w:top w:val="single" w:sz="18" w:space="0" w:color="800000"/>
              <w:bottom w:val="single" w:sz="18" w:space="0" w:color="800000"/>
            </w:tcBorders>
          </w:tcPr>
          <w:p w:rsidR="003F5784" w14:paraId="12D91018" w14:textId="77777777">
            <w:pPr>
              <w:pStyle w:val="TableParagraph"/>
              <w:spacing w:before="2"/>
              <w:jc w:val="left"/>
              <w:rPr>
                <w:b/>
                <w:sz w:val="21"/>
              </w:rPr>
            </w:pPr>
          </w:p>
          <w:p w:rsidR="003F5784" w14:paraId="2C4B3526" w14:textId="77777777">
            <w:pPr>
              <w:pStyle w:val="TableParagraph"/>
              <w:spacing w:before="0" w:line="238" w:lineRule="exact"/>
              <w:ind w:right="115"/>
              <w:rPr>
                <w:sz w:val="21"/>
              </w:rPr>
            </w:pPr>
            <w:r>
              <w:rPr>
                <w:spacing w:val="-2"/>
                <w:sz w:val="21"/>
              </w:rPr>
              <w:t>Tertiary</w:t>
            </w:r>
            <w:r>
              <w:rPr>
                <w:spacing w:val="-7"/>
                <w:sz w:val="21"/>
              </w:rPr>
              <w:t xml:space="preserve"> </w:t>
            </w:r>
            <w:r>
              <w:rPr>
                <w:spacing w:val="-2"/>
                <w:sz w:val="21"/>
              </w:rPr>
              <w:t>stratifier</w:t>
            </w:r>
          </w:p>
        </w:tc>
        <w:tc>
          <w:tcPr>
            <w:tcW w:w="751" w:type="dxa"/>
            <w:tcBorders>
              <w:top w:val="single" w:sz="18" w:space="0" w:color="800000"/>
              <w:bottom w:val="single" w:sz="18" w:space="0" w:color="800000"/>
            </w:tcBorders>
          </w:tcPr>
          <w:p w:rsidR="003F5784" w14:paraId="5C42B0C5" w14:textId="77777777">
            <w:pPr>
              <w:pStyle w:val="TableParagraph"/>
              <w:spacing w:before="2"/>
              <w:jc w:val="left"/>
              <w:rPr>
                <w:b/>
                <w:sz w:val="21"/>
              </w:rPr>
            </w:pPr>
          </w:p>
          <w:p w:rsidR="003F5784" w14:paraId="058457BA" w14:textId="77777777">
            <w:pPr>
              <w:pStyle w:val="TableParagraph"/>
              <w:spacing w:before="0" w:line="238" w:lineRule="exact"/>
              <w:ind w:right="168"/>
              <w:rPr>
                <w:sz w:val="21"/>
              </w:rPr>
            </w:pPr>
            <w:r>
              <w:rPr>
                <w:spacing w:val="-4"/>
                <w:sz w:val="21"/>
              </w:rPr>
              <w:t>PSUs</w:t>
            </w:r>
          </w:p>
        </w:tc>
        <w:tc>
          <w:tcPr>
            <w:tcW w:w="1233" w:type="dxa"/>
            <w:tcBorders>
              <w:top w:val="single" w:sz="18" w:space="0" w:color="800000"/>
              <w:bottom w:val="single" w:sz="18" w:space="0" w:color="800000"/>
            </w:tcBorders>
          </w:tcPr>
          <w:p w:rsidR="003F5784" w14:paraId="41262C19" w14:textId="77777777">
            <w:pPr>
              <w:pStyle w:val="TableParagraph"/>
              <w:spacing w:before="9" w:line="238" w:lineRule="exact"/>
              <w:ind w:right="117"/>
              <w:rPr>
                <w:sz w:val="21"/>
              </w:rPr>
            </w:pPr>
            <w:r>
              <w:rPr>
                <w:sz w:val="21"/>
              </w:rPr>
              <w:t>Measure</w:t>
            </w:r>
            <w:r>
              <w:rPr>
                <w:spacing w:val="-9"/>
                <w:sz w:val="21"/>
              </w:rPr>
              <w:t xml:space="preserve"> </w:t>
            </w:r>
            <w:r>
              <w:rPr>
                <w:spacing w:val="-5"/>
                <w:sz w:val="21"/>
              </w:rPr>
              <w:t>of</w:t>
            </w:r>
          </w:p>
          <w:p w:rsidR="003F5784" w14:paraId="70769764" w14:textId="77777777">
            <w:pPr>
              <w:pStyle w:val="TableParagraph"/>
              <w:spacing w:before="0" w:line="235" w:lineRule="exact"/>
              <w:ind w:right="117"/>
              <w:rPr>
                <w:sz w:val="21"/>
              </w:rPr>
            </w:pPr>
            <w:r>
              <w:rPr>
                <w:spacing w:val="-4"/>
                <w:sz w:val="21"/>
              </w:rPr>
              <w:t>size</w:t>
            </w:r>
          </w:p>
        </w:tc>
      </w:tr>
      <w:tr w14:paraId="2F5FEC55" w14:textId="77777777">
        <w:tblPrEx>
          <w:tblW w:w="0" w:type="auto"/>
          <w:tblInd w:w="482" w:type="dxa"/>
          <w:tblLayout w:type="fixed"/>
          <w:tblCellMar>
            <w:left w:w="0" w:type="dxa"/>
            <w:right w:w="0" w:type="dxa"/>
          </w:tblCellMar>
          <w:tblLook w:val="01E0"/>
        </w:tblPrEx>
        <w:trPr>
          <w:trHeight w:val="278"/>
        </w:trPr>
        <w:tc>
          <w:tcPr>
            <w:tcW w:w="969" w:type="dxa"/>
            <w:tcBorders>
              <w:top w:val="single" w:sz="18" w:space="0" w:color="800000"/>
            </w:tcBorders>
          </w:tcPr>
          <w:p w:rsidR="003F5784" w14:paraId="1E095CA4" w14:textId="77777777">
            <w:pPr>
              <w:pStyle w:val="TableParagraph"/>
              <w:spacing w:before="9"/>
              <w:ind w:left="370"/>
              <w:jc w:val="left"/>
              <w:rPr>
                <w:b/>
                <w:sz w:val="21"/>
              </w:rPr>
            </w:pPr>
            <w:r>
              <w:rPr>
                <w:b/>
                <w:spacing w:val="-2"/>
                <w:sz w:val="21"/>
              </w:rPr>
              <w:t>Total</w:t>
            </w:r>
          </w:p>
        </w:tc>
        <w:tc>
          <w:tcPr>
            <w:tcW w:w="2792" w:type="dxa"/>
            <w:tcBorders>
              <w:top w:val="single" w:sz="18" w:space="0" w:color="800000"/>
            </w:tcBorders>
          </w:tcPr>
          <w:p w:rsidR="003F5784" w14:paraId="6833BAC5" w14:textId="77777777">
            <w:pPr>
              <w:pStyle w:val="TableParagraph"/>
              <w:spacing w:before="9"/>
              <w:ind w:right="182"/>
              <w:rPr>
                <w:b/>
                <w:sz w:val="21"/>
              </w:rPr>
            </w:pPr>
            <w:r>
              <w:rPr>
                <w:b/>
                <w:spacing w:val="-10"/>
                <w:sz w:val="21"/>
              </w:rPr>
              <w:t>†</w:t>
            </w:r>
          </w:p>
        </w:tc>
        <w:tc>
          <w:tcPr>
            <w:tcW w:w="5675" w:type="dxa"/>
            <w:tcBorders>
              <w:top w:val="single" w:sz="18" w:space="0" w:color="800000"/>
            </w:tcBorders>
          </w:tcPr>
          <w:p w:rsidR="003F5784" w14:paraId="23910470" w14:textId="77777777">
            <w:pPr>
              <w:pStyle w:val="TableParagraph"/>
              <w:spacing w:before="9"/>
              <w:ind w:right="167"/>
              <w:rPr>
                <w:b/>
                <w:sz w:val="21"/>
              </w:rPr>
            </w:pPr>
            <w:r>
              <w:rPr>
                <w:b/>
                <w:spacing w:val="-10"/>
                <w:sz w:val="21"/>
              </w:rPr>
              <w:t>†</w:t>
            </w:r>
          </w:p>
        </w:tc>
        <w:tc>
          <w:tcPr>
            <w:tcW w:w="2564" w:type="dxa"/>
            <w:tcBorders>
              <w:top w:val="single" w:sz="18" w:space="0" w:color="800000"/>
            </w:tcBorders>
          </w:tcPr>
          <w:p w:rsidR="003F5784" w14:paraId="0D64139C" w14:textId="77777777">
            <w:pPr>
              <w:pStyle w:val="TableParagraph"/>
              <w:spacing w:before="9"/>
              <w:ind w:right="115"/>
              <w:rPr>
                <w:b/>
                <w:sz w:val="21"/>
              </w:rPr>
            </w:pPr>
            <w:r>
              <w:rPr>
                <w:b/>
                <w:spacing w:val="-10"/>
                <w:sz w:val="21"/>
              </w:rPr>
              <w:t>†</w:t>
            </w:r>
          </w:p>
        </w:tc>
        <w:tc>
          <w:tcPr>
            <w:tcW w:w="751" w:type="dxa"/>
            <w:tcBorders>
              <w:top w:val="single" w:sz="18" w:space="0" w:color="800000"/>
            </w:tcBorders>
          </w:tcPr>
          <w:p w:rsidR="003F5784" w14:paraId="5350EFC2" w14:textId="77777777">
            <w:pPr>
              <w:pStyle w:val="TableParagraph"/>
              <w:spacing w:before="9"/>
              <w:ind w:right="168"/>
              <w:rPr>
                <w:b/>
                <w:sz w:val="21"/>
              </w:rPr>
            </w:pPr>
            <w:r>
              <w:rPr>
                <w:b/>
                <w:spacing w:val="-5"/>
                <w:sz w:val="21"/>
              </w:rPr>
              <w:t>250</w:t>
            </w:r>
          </w:p>
        </w:tc>
        <w:tc>
          <w:tcPr>
            <w:tcW w:w="1233" w:type="dxa"/>
            <w:tcBorders>
              <w:top w:val="single" w:sz="18" w:space="0" w:color="800000"/>
            </w:tcBorders>
          </w:tcPr>
          <w:p w:rsidR="003F5784" w14:paraId="630AC622" w14:textId="77777777">
            <w:pPr>
              <w:pStyle w:val="TableParagraph"/>
              <w:spacing w:before="9"/>
              <w:ind w:right="117"/>
              <w:rPr>
                <w:b/>
                <w:sz w:val="21"/>
              </w:rPr>
            </w:pPr>
            <w:r>
              <w:rPr>
                <w:b/>
                <w:spacing w:val="-2"/>
                <w:sz w:val="21"/>
              </w:rPr>
              <w:t>5,011,123</w:t>
            </w:r>
          </w:p>
        </w:tc>
      </w:tr>
      <w:tr w14:paraId="6952867D" w14:textId="77777777">
        <w:tblPrEx>
          <w:tblW w:w="0" w:type="auto"/>
          <w:tblInd w:w="482" w:type="dxa"/>
          <w:tblLayout w:type="fixed"/>
          <w:tblCellMar>
            <w:left w:w="0" w:type="dxa"/>
            <w:right w:w="0" w:type="dxa"/>
          </w:tblCellMar>
          <w:tblLook w:val="01E0"/>
        </w:tblPrEx>
        <w:trPr>
          <w:trHeight w:val="521"/>
        </w:trPr>
        <w:tc>
          <w:tcPr>
            <w:tcW w:w="969" w:type="dxa"/>
          </w:tcPr>
          <w:p w:rsidR="003F5784" w14:paraId="0DFA3486" w14:textId="77777777">
            <w:pPr>
              <w:pStyle w:val="TableParagraph"/>
              <w:ind w:left="120"/>
              <w:jc w:val="left"/>
              <w:rPr>
                <w:sz w:val="21"/>
              </w:rPr>
            </w:pPr>
            <w:r>
              <w:rPr>
                <w:spacing w:val="-10"/>
                <w:sz w:val="21"/>
              </w:rPr>
              <w:t>1</w:t>
            </w:r>
          </w:p>
        </w:tc>
        <w:tc>
          <w:tcPr>
            <w:tcW w:w="2792" w:type="dxa"/>
          </w:tcPr>
          <w:p w:rsidR="003F5784" w14:paraId="52BDC2A2" w14:textId="77777777">
            <w:pPr>
              <w:pStyle w:val="TableParagraph"/>
              <w:spacing w:line="238" w:lineRule="exact"/>
              <w:ind w:right="182"/>
              <w:rPr>
                <w:sz w:val="21"/>
              </w:rPr>
            </w:pPr>
            <w:r>
              <w:rPr>
                <w:sz w:val="21"/>
              </w:rPr>
              <w:t>Percentage</w:t>
            </w:r>
            <w:r>
              <w:rPr>
                <w:spacing w:val="-10"/>
                <w:sz w:val="21"/>
              </w:rPr>
              <w:t xml:space="preserve"> </w:t>
            </w:r>
            <w:r>
              <w:rPr>
                <w:sz w:val="21"/>
              </w:rPr>
              <w:t>of</w:t>
            </w:r>
            <w:r>
              <w:rPr>
                <w:spacing w:val="-10"/>
                <w:sz w:val="21"/>
              </w:rPr>
              <w:t xml:space="preserve"> </w:t>
            </w:r>
            <w:r>
              <w:rPr>
                <w:sz w:val="21"/>
              </w:rPr>
              <w:t>female-</w:t>
            </w:r>
            <w:r>
              <w:rPr>
                <w:spacing w:val="-2"/>
                <w:sz w:val="21"/>
              </w:rPr>
              <w:t>headed</w:t>
            </w:r>
          </w:p>
          <w:p w:rsidR="003F5784" w14:paraId="54E0A568" w14:textId="77777777">
            <w:pPr>
              <w:pStyle w:val="TableParagraph"/>
              <w:spacing w:before="0" w:line="238" w:lineRule="exact"/>
              <w:ind w:right="182"/>
              <w:rPr>
                <w:sz w:val="21"/>
              </w:rPr>
            </w:pPr>
            <w:r>
              <w:rPr>
                <w:sz w:val="21"/>
              </w:rPr>
              <w:t>households</w:t>
            </w:r>
            <w:r>
              <w:rPr>
                <w:spacing w:val="-7"/>
                <w:sz w:val="21"/>
              </w:rPr>
              <w:t xml:space="preserve"> </w:t>
            </w:r>
            <w:r>
              <w:rPr>
                <w:sz w:val="21"/>
              </w:rPr>
              <w:t>&lt;=</w:t>
            </w:r>
            <w:r>
              <w:rPr>
                <w:spacing w:val="-7"/>
                <w:sz w:val="21"/>
              </w:rPr>
              <w:t xml:space="preserve"> </w:t>
            </w:r>
            <w:r>
              <w:rPr>
                <w:spacing w:val="-4"/>
                <w:sz w:val="21"/>
              </w:rPr>
              <w:t>12.6</w:t>
            </w:r>
          </w:p>
        </w:tc>
        <w:tc>
          <w:tcPr>
            <w:tcW w:w="5675" w:type="dxa"/>
          </w:tcPr>
          <w:p w:rsidR="003F5784" w14:paraId="4936577B" w14:textId="77777777">
            <w:pPr>
              <w:pStyle w:val="TableParagraph"/>
              <w:ind w:right="167"/>
              <w:rPr>
                <w:sz w:val="21"/>
              </w:rPr>
            </w:pPr>
            <w:r>
              <w:rPr>
                <w:sz w:val="21"/>
              </w:rPr>
              <w:t>Per</w:t>
            </w:r>
            <w:r>
              <w:rPr>
                <w:spacing w:val="-6"/>
                <w:sz w:val="21"/>
              </w:rPr>
              <w:t xml:space="preserve"> </w:t>
            </w:r>
            <w:r>
              <w:rPr>
                <w:sz w:val="21"/>
              </w:rPr>
              <w:t>capita</w:t>
            </w:r>
            <w:r>
              <w:rPr>
                <w:spacing w:val="-6"/>
                <w:sz w:val="21"/>
              </w:rPr>
              <w:t xml:space="preserve"> </w:t>
            </w:r>
            <w:r>
              <w:rPr>
                <w:sz w:val="21"/>
              </w:rPr>
              <w:t>household</w:t>
            </w:r>
            <w:r>
              <w:rPr>
                <w:spacing w:val="-6"/>
                <w:sz w:val="21"/>
              </w:rPr>
              <w:t xml:space="preserve"> </w:t>
            </w:r>
            <w:r>
              <w:rPr>
                <w:sz w:val="21"/>
              </w:rPr>
              <w:t>income</w:t>
            </w:r>
            <w:r>
              <w:rPr>
                <w:spacing w:val="-6"/>
                <w:sz w:val="21"/>
              </w:rPr>
              <w:t xml:space="preserve"> </w:t>
            </w:r>
            <w:r>
              <w:rPr>
                <w:sz w:val="21"/>
              </w:rPr>
              <w:t>&lt;=</w:t>
            </w:r>
            <w:r>
              <w:rPr>
                <w:spacing w:val="-6"/>
                <w:sz w:val="21"/>
              </w:rPr>
              <w:t xml:space="preserve"> </w:t>
            </w:r>
            <w:r>
              <w:rPr>
                <w:spacing w:val="-2"/>
                <w:sz w:val="21"/>
              </w:rPr>
              <w:t>$20,111</w:t>
            </w:r>
          </w:p>
        </w:tc>
        <w:tc>
          <w:tcPr>
            <w:tcW w:w="2564" w:type="dxa"/>
          </w:tcPr>
          <w:p w:rsidR="003F5784" w14:paraId="44C6D536" w14:textId="77777777">
            <w:pPr>
              <w:pStyle w:val="TableParagraph"/>
              <w:spacing w:before="23" w:line="232" w:lineRule="auto"/>
              <w:ind w:left="168" w:right="111" w:firstLine="448"/>
              <w:jc w:val="left"/>
              <w:rPr>
                <w:sz w:val="21"/>
              </w:rPr>
            </w:pPr>
            <w:r>
              <w:rPr>
                <w:sz w:val="21"/>
              </w:rPr>
              <w:t>Percentage</w:t>
            </w:r>
            <w:r>
              <w:rPr>
                <w:spacing w:val="-14"/>
                <w:sz w:val="21"/>
              </w:rPr>
              <w:t xml:space="preserve"> </w:t>
            </w:r>
            <w:r>
              <w:rPr>
                <w:sz w:val="21"/>
              </w:rPr>
              <w:t>of</w:t>
            </w:r>
            <w:r>
              <w:rPr>
                <w:spacing w:val="-13"/>
                <w:sz w:val="21"/>
              </w:rPr>
              <w:t xml:space="preserve"> </w:t>
            </w:r>
            <w:r>
              <w:rPr>
                <w:sz w:val="21"/>
              </w:rPr>
              <w:t>female- headed</w:t>
            </w:r>
            <w:r>
              <w:rPr>
                <w:spacing w:val="-7"/>
                <w:sz w:val="21"/>
              </w:rPr>
              <w:t xml:space="preserve"> </w:t>
            </w:r>
            <w:r>
              <w:rPr>
                <w:sz w:val="21"/>
              </w:rPr>
              <w:t>households</w:t>
            </w:r>
            <w:r>
              <w:rPr>
                <w:spacing w:val="-7"/>
                <w:sz w:val="21"/>
              </w:rPr>
              <w:t xml:space="preserve"> </w:t>
            </w:r>
            <w:r>
              <w:rPr>
                <w:sz w:val="21"/>
              </w:rPr>
              <w:t>&lt;=</w:t>
            </w:r>
            <w:r>
              <w:rPr>
                <w:spacing w:val="-7"/>
                <w:sz w:val="21"/>
              </w:rPr>
              <w:t xml:space="preserve"> </w:t>
            </w:r>
            <w:r>
              <w:rPr>
                <w:spacing w:val="-4"/>
                <w:sz w:val="21"/>
              </w:rPr>
              <w:t>11.3</w:t>
            </w:r>
          </w:p>
        </w:tc>
        <w:tc>
          <w:tcPr>
            <w:tcW w:w="751" w:type="dxa"/>
          </w:tcPr>
          <w:p w:rsidR="003F5784" w14:paraId="1AEE560E" w14:textId="77777777">
            <w:pPr>
              <w:pStyle w:val="TableParagraph"/>
              <w:ind w:right="168"/>
              <w:rPr>
                <w:sz w:val="21"/>
              </w:rPr>
            </w:pPr>
            <w:r>
              <w:rPr>
                <w:spacing w:val="-5"/>
                <w:sz w:val="21"/>
              </w:rPr>
              <w:t>33</w:t>
            </w:r>
          </w:p>
        </w:tc>
        <w:tc>
          <w:tcPr>
            <w:tcW w:w="1233" w:type="dxa"/>
          </w:tcPr>
          <w:p w:rsidR="003F5784" w14:paraId="44681DF8" w14:textId="77777777">
            <w:pPr>
              <w:pStyle w:val="TableParagraph"/>
              <w:ind w:right="117"/>
              <w:rPr>
                <w:sz w:val="21"/>
              </w:rPr>
            </w:pPr>
            <w:r>
              <w:rPr>
                <w:spacing w:val="-2"/>
                <w:sz w:val="21"/>
              </w:rPr>
              <w:t>633,594</w:t>
            </w:r>
          </w:p>
        </w:tc>
      </w:tr>
      <w:tr w14:paraId="12C0DC1F" w14:textId="77777777">
        <w:tblPrEx>
          <w:tblW w:w="0" w:type="auto"/>
          <w:tblInd w:w="482" w:type="dxa"/>
          <w:tblLayout w:type="fixed"/>
          <w:tblCellMar>
            <w:left w:w="0" w:type="dxa"/>
            <w:right w:w="0" w:type="dxa"/>
          </w:tblCellMar>
          <w:tblLook w:val="01E0"/>
        </w:tblPrEx>
        <w:trPr>
          <w:trHeight w:val="521"/>
        </w:trPr>
        <w:tc>
          <w:tcPr>
            <w:tcW w:w="969" w:type="dxa"/>
          </w:tcPr>
          <w:p w:rsidR="003F5784" w14:paraId="1DFE499F" w14:textId="77777777">
            <w:pPr>
              <w:pStyle w:val="TableParagraph"/>
              <w:ind w:left="120"/>
              <w:jc w:val="left"/>
              <w:rPr>
                <w:sz w:val="21"/>
              </w:rPr>
            </w:pPr>
            <w:r>
              <w:rPr>
                <w:spacing w:val="-10"/>
                <w:sz w:val="21"/>
              </w:rPr>
              <w:t>2</w:t>
            </w:r>
          </w:p>
        </w:tc>
        <w:tc>
          <w:tcPr>
            <w:tcW w:w="2792" w:type="dxa"/>
          </w:tcPr>
          <w:p w:rsidR="003F5784" w14:paraId="3F5B14EE" w14:textId="77777777">
            <w:pPr>
              <w:pStyle w:val="TableParagraph"/>
              <w:spacing w:line="238" w:lineRule="exact"/>
              <w:ind w:right="182"/>
              <w:rPr>
                <w:sz w:val="21"/>
              </w:rPr>
            </w:pPr>
            <w:r>
              <w:rPr>
                <w:sz w:val="21"/>
              </w:rPr>
              <w:t>Percentage</w:t>
            </w:r>
            <w:r>
              <w:rPr>
                <w:spacing w:val="-10"/>
                <w:sz w:val="21"/>
              </w:rPr>
              <w:t xml:space="preserve"> </w:t>
            </w:r>
            <w:r>
              <w:rPr>
                <w:sz w:val="21"/>
              </w:rPr>
              <w:t>of</w:t>
            </w:r>
            <w:r>
              <w:rPr>
                <w:spacing w:val="-10"/>
                <w:sz w:val="21"/>
              </w:rPr>
              <w:t xml:space="preserve"> </w:t>
            </w:r>
            <w:r>
              <w:rPr>
                <w:sz w:val="21"/>
              </w:rPr>
              <w:t>female-</w:t>
            </w:r>
            <w:r>
              <w:rPr>
                <w:spacing w:val="-2"/>
                <w:sz w:val="21"/>
              </w:rPr>
              <w:t>headed</w:t>
            </w:r>
          </w:p>
          <w:p w:rsidR="003F5784" w14:paraId="243EC2D5" w14:textId="77777777">
            <w:pPr>
              <w:pStyle w:val="TableParagraph"/>
              <w:spacing w:before="0" w:line="238" w:lineRule="exact"/>
              <w:ind w:right="182"/>
              <w:rPr>
                <w:sz w:val="21"/>
              </w:rPr>
            </w:pPr>
            <w:r>
              <w:rPr>
                <w:sz w:val="21"/>
              </w:rPr>
              <w:t>households</w:t>
            </w:r>
            <w:r>
              <w:rPr>
                <w:spacing w:val="-7"/>
                <w:sz w:val="21"/>
              </w:rPr>
              <w:t xml:space="preserve"> </w:t>
            </w:r>
            <w:r>
              <w:rPr>
                <w:sz w:val="21"/>
              </w:rPr>
              <w:t>&lt;=</w:t>
            </w:r>
            <w:r>
              <w:rPr>
                <w:spacing w:val="-7"/>
                <w:sz w:val="21"/>
              </w:rPr>
              <w:t xml:space="preserve"> </w:t>
            </w:r>
            <w:r>
              <w:rPr>
                <w:spacing w:val="-4"/>
                <w:sz w:val="21"/>
              </w:rPr>
              <w:t>12.6</w:t>
            </w:r>
          </w:p>
        </w:tc>
        <w:tc>
          <w:tcPr>
            <w:tcW w:w="5675" w:type="dxa"/>
          </w:tcPr>
          <w:p w:rsidR="003F5784" w14:paraId="16C52D17" w14:textId="77777777">
            <w:pPr>
              <w:pStyle w:val="TableParagraph"/>
              <w:ind w:right="167"/>
              <w:rPr>
                <w:sz w:val="21"/>
              </w:rPr>
            </w:pPr>
            <w:r>
              <w:rPr>
                <w:sz w:val="21"/>
              </w:rPr>
              <w:t>Per</w:t>
            </w:r>
            <w:r>
              <w:rPr>
                <w:spacing w:val="-6"/>
                <w:sz w:val="21"/>
              </w:rPr>
              <w:t xml:space="preserve"> </w:t>
            </w:r>
            <w:r>
              <w:rPr>
                <w:sz w:val="21"/>
              </w:rPr>
              <w:t>capita</w:t>
            </w:r>
            <w:r>
              <w:rPr>
                <w:spacing w:val="-6"/>
                <w:sz w:val="21"/>
              </w:rPr>
              <w:t xml:space="preserve"> </w:t>
            </w:r>
            <w:r>
              <w:rPr>
                <w:sz w:val="21"/>
              </w:rPr>
              <w:t>household</w:t>
            </w:r>
            <w:r>
              <w:rPr>
                <w:spacing w:val="-6"/>
                <w:sz w:val="21"/>
              </w:rPr>
              <w:t xml:space="preserve"> </w:t>
            </w:r>
            <w:r>
              <w:rPr>
                <w:sz w:val="21"/>
              </w:rPr>
              <w:t>income</w:t>
            </w:r>
            <w:r>
              <w:rPr>
                <w:spacing w:val="-6"/>
                <w:sz w:val="21"/>
              </w:rPr>
              <w:t xml:space="preserve"> </w:t>
            </w:r>
            <w:r>
              <w:rPr>
                <w:sz w:val="21"/>
              </w:rPr>
              <w:t>&lt;=</w:t>
            </w:r>
            <w:r>
              <w:rPr>
                <w:spacing w:val="-6"/>
                <w:sz w:val="21"/>
              </w:rPr>
              <w:t xml:space="preserve"> </w:t>
            </w:r>
            <w:r>
              <w:rPr>
                <w:spacing w:val="-2"/>
                <w:sz w:val="21"/>
              </w:rPr>
              <w:t>$20,111</w:t>
            </w:r>
          </w:p>
        </w:tc>
        <w:tc>
          <w:tcPr>
            <w:tcW w:w="2564" w:type="dxa"/>
          </w:tcPr>
          <w:p w:rsidR="003F5784" w14:paraId="255F7850" w14:textId="77777777">
            <w:pPr>
              <w:pStyle w:val="TableParagraph"/>
              <w:spacing w:before="23" w:line="232" w:lineRule="auto"/>
              <w:ind w:left="286" w:right="110" w:firstLine="330"/>
              <w:jc w:val="left"/>
              <w:rPr>
                <w:sz w:val="21"/>
              </w:rPr>
            </w:pPr>
            <w:r>
              <w:rPr>
                <w:sz w:val="21"/>
              </w:rPr>
              <w:t>Percentage</w:t>
            </w:r>
            <w:r>
              <w:rPr>
                <w:spacing w:val="-14"/>
                <w:sz w:val="21"/>
              </w:rPr>
              <w:t xml:space="preserve"> </w:t>
            </w:r>
            <w:r>
              <w:rPr>
                <w:sz w:val="21"/>
              </w:rPr>
              <w:t>of</w:t>
            </w:r>
            <w:r>
              <w:rPr>
                <w:spacing w:val="-13"/>
                <w:sz w:val="21"/>
              </w:rPr>
              <w:t xml:space="preserve"> </w:t>
            </w:r>
            <w:r>
              <w:rPr>
                <w:sz w:val="21"/>
              </w:rPr>
              <w:t>female- headed</w:t>
            </w:r>
            <w:r>
              <w:rPr>
                <w:spacing w:val="-7"/>
                <w:sz w:val="21"/>
              </w:rPr>
              <w:t xml:space="preserve"> </w:t>
            </w:r>
            <w:r>
              <w:rPr>
                <w:sz w:val="21"/>
              </w:rPr>
              <w:t>households</w:t>
            </w:r>
            <w:r>
              <w:rPr>
                <w:spacing w:val="-7"/>
                <w:sz w:val="21"/>
              </w:rPr>
              <w:t xml:space="preserve"> </w:t>
            </w:r>
            <w:r>
              <w:rPr>
                <w:sz w:val="21"/>
              </w:rPr>
              <w:t>&gt;</w:t>
            </w:r>
            <w:r>
              <w:rPr>
                <w:spacing w:val="-6"/>
                <w:sz w:val="21"/>
              </w:rPr>
              <w:t xml:space="preserve"> </w:t>
            </w:r>
            <w:r>
              <w:rPr>
                <w:spacing w:val="-4"/>
                <w:sz w:val="21"/>
              </w:rPr>
              <w:t>11.3</w:t>
            </w:r>
          </w:p>
        </w:tc>
        <w:tc>
          <w:tcPr>
            <w:tcW w:w="751" w:type="dxa"/>
          </w:tcPr>
          <w:p w:rsidR="003F5784" w14:paraId="5A976E4D" w14:textId="77777777">
            <w:pPr>
              <w:pStyle w:val="TableParagraph"/>
              <w:ind w:right="168"/>
              <w:rPr>
                <w:sz w:val="21"/>
              </w:rPr>
            </w:pPr>
            <w:r>
              <w:rPr>
                <w:spacing w:val="-5"/>
                <w:sz w:val="21"/>
              </w:rPr>
              <w:t>33</w:t>
            </w:r>
          </w:p>
        </w:tc>
        <w:tc>
          <w:tcPr>
            <w:tcW w:w="1233" w:type="dxa"/>
          </w:tcPr>
          <w:p w:rsidR="003F5784" w14:paraId="7E6F669F" w14:textId="77777777">
            <w:pPr>
              <w:pStyle w:val="TableParagraph"/>
              <w:ind w:right="117"/>
              <w:rPr>
                <w:sz w:val="21"/>
              </w:rPr>
            </w:pPr>
            <w:r>
              <w:rPr>
                <w:spacing w:val="-2"/>
                <w:sz w:val="21"/>
              </w:rPr>
              <w:t>627,232</w:t>
            </w:r>
          </w:p>
        </w:tc>
      </w:tr>
      <w:tr w14:paraId="3CE85B59" w14:textId="77777777">
        <w:tblPrEx>
          <w:tblW w:w="0" w:type="auto"/>
          <w:tblInd w:w="482" w:type="dxa"/>
          <w:tblLayout w:type="fixed"/>
          <w:tblCellMar>
            <w:left w:w="0" w:type="dxa"/>
            <w:right w:w="0" w:type="dxa"/>
          </w:tblCellMar>
          <w:tblLook w:val="01E0"/>
        </w:tblPrEx>
        <w:trPr>
          <w:trHeight w:val="521"/>
        </w:trPr>
        <w:tc>
          <w:tcPr>
            <w:tcW w:w="969" w:type="dxa"/>
          </w:tcPr>
          <w:p w:rsidR="003F5784" w14:paraId="0BC95C91" w14:textId="77777777">
            <w:pPr>
              <w:pStyle w:val="TableParagraph"/>
              <w:ind w:left="120"/>
              <w:jc w:val="left"/>
              <w:rPr>
                <w:sz w:val="21"/>
              </w:rPr>
            </w:pPr>
            <w:r>
              <w:rPr>
                <w:spacing w:val="-10"/>
                <w:sz w:val="21"/>
              </w:rPr>
              <w:t>3</w:t>
            </w:r>
          </w:p>
        </w:tc>
        <w:tc>
          <w:tcPr>
            <w:tcW w:w="2792" w:type="dxa"/>
          </w:tcPr>
          <w:p w:rsidR="003F5784" w14:paraId="46F0EF35" w14:textId="77777777">
            <w:pPr>
              <w:pStyle w:val="TableParagraph"/>
              <w:spacing w:line="238" w:lineRule="exact"/>
              <w:ind w:right="182"/>
              <w:rPr>
                <w:sz w:val="21"/>
              </w:rPr>
            </w:pPr>
            <w:r>
              <w:rPr>
                <w:sz w:val="21"/>
              </w:rPr>
              <w:t>Percentage</w:t>
            </w:r>
            <w:r>
              <w:rPr>
                <w:spacing w:val="-10"/>
                <w:sz w:val="21"/>
              </w:rPr>
              <w:t xml:space="preserve"> </w:t>
            </w:r>
            <w:r>
              <w:rPr>
                <w:sz w:val="21"/>
              </w:rPr>
              <w:t>of</w:t>
            </w:r>
            <w:r>
              <w:rPr>
                <w:spacing w:val="-10"/>
                <w:sz w:val="21"/>
              </w:rPr>
              <w:t xml:space="preserve"> </w:t>
            </w:r>
            <w:r>
              <w:rPr>
                <w:sz w:val="21"/>
              </w:rPr>
              <w:t>female-</w:t>
            </w:r>
            <w:r>
              <w:rPr>
                <w:spacing w:val="-2"/>
                <w:sz w:val="21"/>
              </w:rPr>
              <w:t>headed</w:t>
            </w:r>
          </w:p>
          <w:p w:rsidR="003F5784" w14:paraId="24159780" w14:textId="77777777">
            <w:pPr>
              <w:pStyle w:val="TableParagraph"/>
              <w:spacing w:before="0" w:line="238" w:lineRule="exact"/>
              <w:ind w:right="182"/>
              <w:rPr>
                <w:sz w:val="21"/>
              </w:rPr>
            </w:pPr>
            <w:r>
              <w:rPr>
                <w:sz w:val="21"/>
              </w:rPr>
              <w:t>households</w:t>
            </w:r>
            <w:r>
              <w:rPr>
                <w:spacing w:val="-7"/>
                <w:sz w:val="21"/>
              </w:rPr>
              <w:t xml:space="preserve"> </w:t>
            </w:r>
            <w:r>
              <w:rPr>
                <w:sz w:val="21"/>
              </w:rPr>
              <w:t>&lt;=</w:t>
            </w:r>
            <w:r>
              <w:rPr>
                <w:spacing w:val="-7"/>
                <w:sz w:val="21"/>
              </w:rPr>
              <w:t xml:space="preserve"> </w:t>
            </w:r>
            <w:r>
              <w:rPr>
                <w:spacing w:val="-4"/>
                <w:sz w:val="21"/>
              </w:rPr>
              <w:t>12.6</w:t>
            </w:r>
          </w:p>
        </w:tc>
        <w:tc>
          <w:tcPr>
            <w:tcW w:w="5675" w:type="dxa"/>
          </w:tcPr>
          <w:p w:rsidR="003F5784" w14:paraId="6B61DBC5" w14:textId="77777777">
            <w:pPr>
              <w:pStyle w:val="TableParagraph"/>
              <w:ind w:right="167"/>
              <w:rPr>
                <w:sz w:val="21"/>
              </w:rPr>
            </w:pPr>
            <w:r>
              <w:rPr>
                <w:sz w:val="21"/>
              </w:rPr>
              <w:t>Per</w:t>
            </w:r>
            <w:r>
              <w:rPr>
                <w:spacing w:val="-13"/>
                <w:sz w:val="21"/>
              </w:rPr>
              <w:t xml:space="preserve"> </w:t>
            </w:r>
            <w:r>
              <w:rPr>
                <w:sz w:val="21"/>
              </w:rPr>
              <w:t>capita</w:t>
            </w:r>
            <w:r>
              <w:rPr>
                <w:spacing w:val="-13"/>
                <w:sz w:val="21"/>
              </w:rPr>
              <w:t xml:space="preserve"> </w:t>
            </w:r>
            <w:r>
              <w:rPr>
                <w:sz w:val="21"/>
              </w:rPr>
              <w:t>household</w:t>
            </w:r>
            <w:r>
              <w:rPr>
                <w:spacing w:val="-13"/>
                <w:sz w:val="21"/>
              </w:rPr>
              <w:t xml:space="preserve"> </w:t>
            </w:r>
            <w:r>
              <w:rPr>
                <w:sz w:val="21"/>
              </w:rPr>
              <w:t>income</w:t>
            </w:r>
            <w:r>
              <w:rPr>
                <w:spacing w:val="-12"/>
                <w:sz w:val="21"/>
              </w:rPr>
              <w:t xml:space="preserve"> </w:t>
            </w:r>
            <w:r>
              <w:rPr>
                <w:sz w:val="21"/>
              </w:rPr>
              <w:t>($20,111-</w:t>
            </w:r>
            <w:r>
              <w:rPr>
                <w:spacing w:val="-2"/>
                <w:sz w:val="21"/>
              </w:rPr>
              <w:t>$22,659]</w:t>
            </w:r>
          </w:p>
        </w:tc>
        <w:tc>
          <w:tcPr>
            <w:tcW w:w="2564" w:type="dxa"/>
          </w:tcPr>
          <w:p w:rsidR="003F5784" w14:paraId="2438FF57" w14:textId="77777777">
            <w:pPr>
              <w:pStyle w:val="TableParagraph"/>
              <w:ind w:right="115"/>
              <w:rPr>
                <w:sz w:val="21"/>
              </w:rPr>
            </w:pPr>
            <w:r>
              <w:rPr>
                <w:spacing w:val="-10"/>
                <w:sz w:val="21"/>
              </w:rPr>
              <w:t>†</w:t>
            </w:r>
          </w:p>
        </w:tc>
        <w:tc>
          <w:tcPr>
            <w:tcW w:w="751" w:type="dxa"/>
          </w:tcPr>
          <w:p w:rsidR="003F5784" w14:paraId="39A8804D" w14:textId="77777777">
            <w:pPr>
              <w:pStyle w:val="TableParagraph"/>
              <w:ind w:right="168"/>
              <w:rPr>
                <w:sz w:val="21"/>
              </w:rPr>
            </w:pPr>
            <w:r>
              <w:rPr>
                <w:spacing w:val="-5"/>
                <w:sz w:val="21"/>
              </w:rPr>
              <w:t>32</w:t>
            </w:r>
          </w:p>
        </w:tc>
        <w:tc>
          <w:tcPr>
            <w:tcW w:w="1233" w:type="dxa"/>
          </w:tcPr>
          <w:p w:rsidR="003F5784" w14:paraId="104EDFB2" w14:textId="77777777">
            <w:pPr>
              <w:pStyle w:val="TableParagraph"/>
              <w:ind w:right="117"/>
              <w:rPr>
                <w:sz w:val="21"/>
              </w:rPr>
            </w:pPr>
            <w:r>
              <w:rPr>
                <w:spacing w:val="-2"/>
                <w:sz w:val="21"/>
              </w:rPr>
              <w:t>645,084</w:t>
            </w:r>
          </w:p>
        </w:tc>
      </w:tr>
      <w:tr w14:paraId="1A2AF6E0" w14:textId="77777777">
        <w:tblPrEx>
          <w:tblW w:w="0" w:type="auto"/>
          <w:tblInd w:w="482" w:type="dxa"/>
          <w:tblLayout w:type="fixed"/>
          <w:tblCellMar>
            <w:left w:w="0" w:type="dxa"/>
            <w:right w:w="0" w:type="dxa"/>
          </w:tblCellMar>
          <w:tblLook w:val="01E0"/>
        </w:tblPrEx>
        <w:trPr>
          <w:trHeight w:val="521"/>
        </w:trPr>
        <w:tc>
          <w:tcPr>
            <w:tcW w:w="969" w:type="dxa"/>
          </w:tcPr>
          <w:p w:rsidR="003F5784" w14:paraId="39053B33" w14:textId="77777777">
            <w:pPr>
              <w:pStyle w:val="TableParagraph"/>
              <w:ind w:left="120"/>
              <w:jc w:val="left"/>
              <w:rPr>
                <w:sz w:val="21"/>
              </w:rPr>
            </w:pPr>
            <w:r>
              <w:rPr>
                <w:spacing w:val="-10"/>
                <w:sz w:val="21"/>
              </w:rPr>
              <w:t>4</w:t>
            </w:r>
          </w:p>
        </w:tc>
        <w:tc>
          <w:tcPr>
            <w:tcW w:w="2792" w:type="dxa"/>
          </w:tcPr>
          <w:p w:rsidR="003F5784" w14:paraId="18BCF383" w14:textId="77777777">
            <w:pPr>
              <w:pStyle w:val="TableParagraph"/>
              <w:spacing w:line="238" w:lineRule="exact"/>
              <w:ind w:right="182"/>
              <w:rPr>
                <w:sz w:val="21"/>
              </w:rPr>
            </w:pPr>
            <w:r>
              <w:rPr>
                <w:sz w:val="21"/>
              </w:rPr>
              <w:t>Percentage</w:t>
            </w:r>
            <w:r>
              <w:rPr>
                <w:spacing w:val="-10"/>
                <w:sz w:val="21"/>
              </w:rPr>
              <w:t xml:space="preserve"> </w:t>
            </w:r>
            <w:r>
              <w:rPr>
                <w:sz w:val="21"/>
              </w:rPr>
              <w:t>of</w:t>
            </w:r>
            <w:r>
              <w:rPr>
                <w:spacing w:val="-10"/>
                <w:sz w:val="21"/>
              </w:rPr>
              <w:t xml:space="preserve"> </w:t>
            </w:r>
            <w:r>
              <w:rPr>
                <w:sz w:val="21"/>
              </w:rPr>
              <w:t>female-</w:t>
            </w:r>
            <w:r>
              <w:rPr>
                <w:spacing w:val="-2"/>
                <w:sz w:val="21"/>
              </w:rPr>
              <w:t>headed</w:t>
            </w:r>
          </w:p>
          <w:p w:rsidR="003F5784" w14:paraId="23D6B638" w14:textId="77777777">
            <w:pPr>
              <w:pStyle w:val="TableParagraph"/>
              <w:spacing w:before="0" w:line="238" w:lineRule="exact"/>
              <w:ind w:right="182"/>
              <w:rPr>
                <w:sz w:val="21"/>
              </w:rPr>
            </w:pPr>
            <w:r>
              <w:rPr>
                <w:sz w:val="21"/>
              </w:rPr>
              <w:t>households</w:t>
            </w:r>
            <w:r>
              <w:rPr>
                <w:spacing w:val="-7"/>
                <w:sz w:val="21"/>
              </w:rPr>
              <w:t xml:space="preserve"> </w:t>
            </w:r>
            <w:r>
              <w:rPr>
                <w:sz w:val="21"/>
              </w:rPr>
              <w:t>&lt;=</w:t>
            </w:r>
            <w:r>
              <w:rPr>
                <w:spacing w:val="-7"/>
                <w:sz w:val="21"/>
              </w:rPr>
              <w:t xml:space="preserve"> </w:t>
            </w:r>
            <w:r>
              <w:rPr>
                <w:spacing w:val="-4"/>
                <w:sz w:val="21"/>
              </w:rPr>
              <w:t>12.6</w:t>
            </w:r>
          </w:p>
        </w:tc>
        <w:tc>
          <w:tcPr>
            <w:tcW w:w="5675" w:type="dxa"/>
          </w:tcPr>
          <w:p w:rsidR="003F5784" w14:paraId="7F193CB6" w14:textId="77777777">
            <w:pPr>
              <w:pStyle w:val="TableParagraph"/>
              <w:ind w:right="168"/>
              <w:rPr>
                <w:sz w:val="21"/>
              </w:rPr>
            </w:pPr>
            <w:r>
              <w:rPr>
                <w:sz w:val="21"/>
              </w:rPr>
              <w:t>Per</w:t>
            </w:r>
            <w:r>
              <w:rPr>
                <w:spacing w:val="-6"/>
                <w:sz w:val="21"/>
              </w:rPr>
              <w:t xml:space="preserve"> </w:t>
            </w:r>
            <w:r>
              <w:rPr>
                <w:sz w:val="21"/>
              </w:rPr>
              <w:t>capita</w:t>
            </w:r>
            <w:r>
              <w:rPr>
                <w:spacing w:val="-6"/>
                <w:sz w:val="21"/>
              </w:rPr>
              <w:t xml:space="preserve"> </w:t>
            </w:r>
            <w:r>
              <w:rPr>
                <w:sz w:val="21"/>
              </w:rPr>
              <w:t>household</w:t>
            </w:r>
            <w:r>
              <w:rPr>
                <w:spacing w:val="-6"/>
                <w:sz w:val="21"/>
              </w:rPr>
              <w:t xml:space="preserve"> </w:t>
            </w:r>
            <w:r>
              <w:rPr>
                <w:sz w:val="21"/>
              </w:rPr>
              <w:t>income</w:t>
            </w:r>
            <w:r>
              <w:rPr>
                <w:spacing w:val="-6"/>
                <w:sz w:val="21"/>
              </w:rPr>
              <w:t xml:space="preserve"> </w:t>
            </w:r>
            <w:r>
              <w:rPr>
                <w:sz w:val="21"/>
              </w:rPr>
              <w:t>&gt;</w:t>
            </w:r>
            <w:r>
              <w:rPr>
                <w:spacing w:val="-5"/>
                <w:sz w:val="21"/>
              </w:rPr>
              <w:t xml:space="preserve"> </w:t>
            </w:r>
            <w:r>
              <w:rPr>
                <w:spacing w:val="-2"/>
                <w:sz w:val="21"/>
              </w:rPr>
              <w:t>$22,659</w:t>
            </w:r>
          </w:p>
        </w:tc>
        <w:tc>
          <w:tcPr>
            <w:tcW w:w="2564" w:type="dxa"/>
          </w:tcPr>
          <w:p w:rsidR="003F5784" w14:paraId="063AFF11" w14:textId="77777777">
            <w:pPr>
              <w:pStyle w:val="TableParagraph"/>
              <w:ind w:right="115"/>
              <w:rPr>
                <w:sz w:val="21"/>
              </w:rPr>
            </w:pPr>
            <w:r>
              <w:rPr>
                <w:spacing w:val="-10"/>
                <w:sz w:val="21"/>
              </w:rPr>
              <w:t>†</w:t>
            </w:r>
          </w:p>
        </w:tc>
        <w:tc>
          <w:tcPr>
            <w:tcW w:w="751" w:type="dxa"/>
          </w:tcPr>
          <w:p w:rsidR="003F5784" w14:paraId="2057E6DA" w14:textId="77777777">
            <w:pPr>
              <w:pStyle w:val="TableParagraph"/>
              <w:ind w:right="168"/>
              <w:rPr>
                <w:sz w:val="21"/>
              </w:rPr>
            </w:pPr>
            <w:r>
              <w:rPr>
                <w:spacing w:val="-5"/>
                <w:sz w:val="21"/>
              </w:rPr>
              <w:t>28</w:t>
            </w:r>
          </w:p>
        </w:tc>
        <w:tc>
          <w:tcPr>
            <w:tcW w:w="1233" w:type="dxa"/>
          </w:tcPr>
          <w:p w:rsidR="003F5784" w14:paraId="673FEB18" w14:textId="77777777">
            <w:pPr>
              <w:pStyle w:val="TableParagraph"/>
              <w:ind w:right="117"/>
              <w:rPr>
                <w:sz w:val="21"/>
              </w:rPr>
            </w:pPr>
            <w:r>
              <w:rPr>
                <w:spacing w:val="-2"/>
                <w:sz w:val="21"/>
              </w:rPr>
              <w:t>647,245</w:t>
            </w:r>
          </w:p>
        </w:tc>
      </w:tr>
      <w:tr w14:paraId="6FC09A14" w14:textId="77777777">
        <w:tblPrEx>
          <w:tblW w:w="0" w:type="auto"/>
          <w:tblInd w:w="482" w:type="dxa"/>
          <w:tblLayout w:type="fixed"/>
          <w:tblCellMar>
            <w:left w:w="0" w:type="dxa"/>
            <w:right w:w="0" w:type="dxa"/>
          </w:tblCellMar>
          <w:tblLook w:val="01E0"/>
        </w:tblPrEx>
        <w:trPr>
          <w:trHeight w:val="521"/>
        </w:trPr>
        <w:tc>
          <w:tcPr>
            <w:tcW w:w="969" w:type="dxa"/>
          </w:tcPr>
          <w:p w:rsidR="003F5784" w14:paraId="7D4DAC37" w14:textId="77777777">
            <w:pPr>
              <w:pStyle w:val="TableParagraph"/>
              <w:ind w:left="120"/>
              <w:jc w:val="left"/>
              <w:rPr>
                <w:sz w:val="21"/>
              </w:rPr>
            </w:pPr>
            <w:r>
              <w:rPr>
                <w:spacing w:val="-10"/>
                <w:sz w:val="21"/>
              </w:rPr>
              <w:t>5</w:t>
            </w:r>
          </w:p>
        </w:tc>
        <w:tc>
          <w:tcPr>
            <w:tcW w:w="2792" w:type="dxa"/>
          </w:tcPr>
          <w:p w:rsidR="003F5784" w14:paraId="27D4A6B4" w14:textId="77777777">
            <w:pPr>
              <w:pStyle w:val="TableParagraph"/>
              <w:spacing w:before="23" w:line="232" w:lineRule="auto"/>
              <w:ind w:left="678" w:right="176" w:hanging="492"/>
              <w:jc w:val="left"/>
              <w:rPr>
                <w:sz w:val="21"/>
              </w:rPr>
            </w:pPr>
            <w:r>
              <w:rPr>
                <w:sz w:val="21"/>
              </w:rPr>
              <w:t>Percentage</w:t>
            </w:r>
            <w:r>
              <w:rPr>
                <w:spacing w:val="-14"/>
                <w:sz w:val="21"/>
              </w:rPr>
              <w:t xml:space="preserve"> </w:t>
            </w:r>
            <w:r>
              <w:rPr>
                <w:sz w:val="21"/>
              </w:rPr>
              <w:t>of</w:t>
            </w:r>
            <w:r>
              <w:rPr>
                <w:spacing w:val="-13"/>
                <w:sz w:val="21"/>
              </w:rPr>
              <w:t xml:space="preserve"> </w:t>
            </w:r>
            <w:r>
              <w:rPr>
                <w:sz w:val="21"/>
              </w:rPr>
              <w:t xml:space="preserve">female-headed </w:t>
            </w:r>
            <w:r>
              <w:rPr>
                <w:spacing w:val="-2"/>
                <w:sz w:val="21"/>
              </w:rPr>
              <w:t>households</w:t>
            </w:r>
            <w:r>
              <w:rPr>
                <w:spacing w:val="16"/>
                <w:sz w:val="21"/>
              </w:rPr>
              <w:t xml:space="preserve"> </w:t>
            </w:r>
            <w:r>
              <w:rPr>
                <w:spacing w:val="-2"/>
                <w:sz w:val="21"/>
              </w:rPr>
              <w:t>(12.6-16.2]</w:t>
            </w:r>
          </w:p>
        </w:tc>
        <w:tc>
          <w:tcPr>
            <w:tcW w:w="5675" w:type="dxa"/>
          </w:tcPr>
          <w:p w:rsidR="003F5784" w14:paraId="240C1073" w14:textId="77777777">
            <w:pPr>
              <w:pStyle w:val="TableParagraph"/>
              <w:spacing w:before="23" w:line="232" w:lineRule="auto"/>
              <w:ind w:left="753" w:right="46" w:hanging="570"/>
              <w:jc w:val="left"/>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w:t>
            </w:r>
            <w:r>
              <w:rPr>
                <w:spacing w:val="-13"/>
                <w:sz w:val="21"/>
              </w:rPr>
              <w:t xml:space="preserve"> </w:t>
            </w:r>
            <w:r>
              <w:rPr>
                <w:sz w:val="21"/>
              </w:rPr>
              <w:t>American</w:t>
            </w:r>
            <w:r>
              <w:rPr>
                <w:spacing w:val="-13"/>
                <w:sz w:val="21"/>
              </w:rPr>
              <w:t xml:space="preserve"> </w:t>
            </w:r>
            <w:r>
              <w:rPr>
                <w:sz w:val="21"/>
              </w:rPr>
              <w:t>Indian/Alaska</w:t>
            </w:r>
            <w:r>
              <w:rPr>
                <w:spacing w:val="-13"/>
                <w:sz w:val="21"/>
              </w:rPr>
              <w:t xml:space="preserve"> </w:t>
            </w:r>
            <w:r>
              <w:rPr>
                <w:sz w:val="21"/>
              </w:rPr>
              <w:t>Native, or</w:t>
            </w:r>
            <w:r>
              <w:rPr>
                <w:spacing w:val="-7"/>
                <w:sz w:val="21"/>
              </w:rPr>
              <w:t xml:space="preserve"> </w:t>
            </w:r>
            <w:r>
              <w:rPr>
                <w:sz w:val="21"/>
              </w:rPr>
              <w:t>Native</w:t>
            </w:r>
            <w:r>
              <w:rPr>
                <w:spacing w:val="-7"/>
                <w:sz w:val="21"/>
              </w:rPr>
              <w:t xml:space="preserve"> </w:t>
            </w:r>
            <w:r>
              <w:rPr>
                <w:sz w:val="21"/>
              </w:rPr>
              <w:t>Hawaiian/Other</w:t>
            </w:r>
            <w:r>
              <w:rPr>
                <w:spacing w:val="-7"/>
                <w:sz w:val="21"/>
              </w:rPr>
              <w:t xml:space="preserve"> </w:t>
            </w:r>
            <w:r>
              <w:rPr>
                <w:sz w:val="21"/>
              </w:rPr>
              <w:t>Pacific</w:t>
            </w:r>
            <w:r>
              <w:rPr>
                <w:spacing w:val="-7"/>
                <w:sz w:val="21"/>
              </w:rPr>
              <w:t xml:space="preserve"> </w:t>
            </w:r>
            <w:r>
              <w:rPr>
                <w:sz w:val="21"/>
              </w:rPr>
              <w:t>Islander</w:t>
            </w:r>
            <w:r>
              <w:rPr>
                <w:spacing w:val="-6"/>
                <w:sz w:val="21"/>
              </w:rPr>
              <w:t xml:space="preserve"> </w:t>
            </w:r>
            <w:r>
              <w:rPr>
                <w:sz w:val="21"/>
              </w:rPr>
              <w:t>youth</w:t>
            </w:r>
            <w:r>
              <w:rPr>
                <w:spacing w:val="-7"/>
                <w:sz w:val="21"/>
              </w:rPr>
              <w:t xml:space="preserve"> </w:t>
            </w:r>
            <w:r>
              <w:rPr>
                <w:sz w:val="21"/>
              </w:rPr>
              <w:t>&lt;=</w:t>
            </w:r>
            <w:r>
              <w:rPr>
                <w:spacing w:val="-7"/>
                <w:sz w:val="21"/>
              </w:rPr>
              <w:t xml:space="preserve"> </w:t>
            </w:r>
            <w:r>
              <w:rPr>
                <w:spacing w:val="-4"/>
                <w:sz w:val="21"/>
              </w:rPr>
              <w:t>29.2</w:t>
            </w:r>
          </w:p>
        </w:tc>
        <w:tc>
          <w:tcPr>
            <w:tcW w:w="2564" w:type="dxa"/>
          </w:tcPr>
          <w:p w:rsidR="003F5784" w14:paraId="7DDFC312" w14:textId="77777777">
            <w:pPr>
              <w:pStyle w:val="TableParagraph"/>
              <w:ind w:right="115"/>
              <w:rPr>
                <w:sz w:val="21"/>
              </w:rPr>
            </w:pPr>
            <w:r>
              <w:rPr>
                <w:spacing w:val="-10"/>
                <w:sz w:val="21"/>
              </w:rPr>
              <w:t>†</w:t>
            </w:r>
          </w:p>
        </w:tc>
        <w:tc>
          <w:tcPr>
            <w:tcW w:w="751" w:type="dxa"/>
          </w:tcPr>
          <w:p w:rsidR="003F5784" w14:paraId="0C4B8BB1" w14:textId="77777777">
            <w:pPr>
              <w:pStyle w:val="TableParagraph"/>
              <w:ind w:right="168"/>
              <w:rPr>
                <w:sz w:val="21"/>
              </w:rPr>
            </w:pPr>
            <w:r>
              <w:rPr>
                <w:spacing w:val="-5"/>
                <w:sz w:val="21"/>
              </w:rPr>
              <w:t>32</w:t>
            </w:r>
          </w:p>
        </w:tc>
        <w:tc>
          <w:tcPr>
            <w:tcW w:w="1233" w:type="dxa"/>
          </w:tcPr>
          <w:p w:rsidR="003F5784" w14:paraId="493ACC68" w14:textId="77777777">
            <w:pPr>
              <w:pStyle w:val="TableParagraph"/>
              <w:ind w:right="117"/>
              <w:rPr>
                <w:sz w:val="21"/>
              </w:rPr>
            </w:pPr>
            <w:r>
              <w:rPr>
                <w:spacing w:val="-2"/>
                <w:sz w:val="21"/>
              </w:rPr>
              <w:t>622,008</w:t>
            </w:r>
          </w:p>
        </w:tc>
      </w:tr>
      <w:tr w14:paraId="03D29D48" w14:textId="77777777">
        <w:tblPrEx>
          <w:tblW w:w="0" w:type="auto"/>
          <w:tblInd w:w="482" w:type="dxa"/>
          <w:tblLayout w:type="fixed"/>
          <w:tblCellMar>
            <w:left w:w="0" w:type="dxa"/>
            <w:right w:w="0" w:type="dxa"/>
          </w:tblCellMar>
          <w:tblLook w:val="01E0"/>
        </w:tblPrEx>
        <w:trPr>
          <w:trHeight w:val="521"/>
        </w:trPr>
        <w:tc>
          <w:tcPr>
            <w:tcW w:w="969" w:type="dxa"/>
          </w:tcPr>
          <w:p w:rsidR="003F5784" w14:paraId="4AE3EB79" w14:textId="77777777">
            <w:pPr>
              <w:pStyle w:val="TableParagraph"/>
              <w:ind w:left="120"/>
              <w:jc w:val="left"/>
              <w:rPr>
                <w:sz w:val="21"/>
              </w:rPr>
            </w:pPr>
            <w:r>
              <w:rPr>
                <w:spacing w:val="-10"/>
                <w:sz w:val="21"/>
              </w:rPr>
              <w:t>6</w:t>
            </w:r>
          </w:p>
        </w:tc>
        <w:tc>
          <w:tcPr>
            <w:tcW w:w="2792" w:type="dxa"/>
          </w:tcPr>
          <w:p w:rsidR="003F5784" w14:paraId="24CD64B0" w14:textId="77777777">
            <w:pPr>
              <w:pStyle w:val="TableParagraph"/>
              <w:spacing w:before="23" w:line="232" w:lineRule="auto"/>
              <w:ind w:left="678" w:right="176" w:hanging="492"/>
              <w:jc w:val="left"/>
              <w:rPr>
                <w:sz w:val="21"/>
              </w:rPr>
            </w:pPr>
            <w:r>
              <w:rPr>
                <w:sz w:val="21"/>
              </w:rPr>
              <w:t>Percentage</w:t>
            </w:r>
            <w:r>
              <w:rPr>
                <w:spacing w:val="-14"/>
                <w:sz w:val="21"/>
              </w:rPr>
              <w:t xml:space="preserve"> </w:t>
            </w:r>
            <w:r>
              <w:rPr>
                <w:sz w:val="21"/>
              </w:rPr>
              <w:t>of</w:t>
            </w:r>
            <w:r>
              <w:rPr>
                <w:spacing w:val="-13"/>
                <w:sz w:val="21"/>
              </w:rPr>
              <w:t xml:space="preserve"> </w:t>
            </w:r>
            <w:r>
              <w:rPr>
                <w:sz w:val="21"/>
              </w:rPr>
              <w:t xml:space="preserve">female-headed </w:t>
            </w:r>
            <w:r>
              <w:rPr>
                <w:spacing w:val="-2"/>
                <w:sz w:val="21"/>
              </w:rPr>
              <w:t>households</w:t>
            </w:r>
            <w:r>
              <w:rPr>
                <w:spacing w:val="16"/>
                <w:sz w:val="21"/>
              </w:rPr>
              <w:t xml:space="preserve"> </w:t>
            </w:r>
            <w:r>
              <w:rPr>
                <w:spacing w:val="-2"/>
                <w:sz w:val="21"/>
              </w:rPr>
              <w:t>(12.6-16.2]</w:t>
            </w:r>
          </w:p>
        </w:tc>
        <w:tc>
          <w:tcPr>
            <w:tcW w:w="5675" w:type="dxa"/>
          </w:tcPr>
          <w:p w:rsidR="003F5784" w14:paraId="769C84B5" w14:textId="77777777">
            <w:pPr>
              <w:pStyle w:val="TableParagraph"/>
              <w:spacing w:before="23" w:line="232" w:lineRule="auto"/>
              <w:ind w:left="870" w:right="46" w:hanging="688"/>
              <w:jc w:val="left"/>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w:t>
            </w:r>
            <w:r>
              <w:rPr>
                <w:spacing w:val="-13"/>
                <w:sz w:val="21"/>
              </w:rPr>
              <w:t xml:space="preserve"> </w:t>
            </w:r>
            <w:r>
              <w:rPr>
                <w:sz w:val="21"/>
              </w:rPr>
              <w:t>American</w:t>
            </w:r>
            <w:r>
              <w:rPr>
                <w:spacing w:val="-13"/>
                <w:sz w:val="21"/>
              </w:rPr>
              <w:t xml:space="preserve"> </w:t>
            </w:r>
            <w:r>
              <w:rPr>
                <w:sz w:val="21"/>
              </w:rPr>
              <w:t>Indian/Alaska</w:t>
            </w:r>
            <w:r>
              <w:rPr>
                <w:spacing w:val="-13"/>
                <w:sz w:val="21"/>
              </w:rPr>
              <w:t xml:space="preserve"> </w:t>
            </w:r>
            <w:r>
              <w:rPr>
                <w:sz w:val="21"/>
              </w:rPr>
              <w:t>Native, or</w:t>
            </w:r>
            <w:r>
              <w:rPr>
                <w:spacing w:val="-7"/>
                <w:sz w:val="21"/>
              </w:rPr>
              <w:t xml:space="preserve"> </w:t>
            </w:r>
            <w:r>
              <w:rPr>
                <w:sz w:val="21"/>
              </w:rPr>
              <w:t>Native</w:t>
            </w:r>
            <w:r>
              <w:rPr>
                <w:spacing w:val="-7"/>
                <w:sz w:val="21"/>
              </w:rPr>
              <w:t xml:space="preserve"> </w:t>
            </w:r>
            <w:r>
              <w:rPr>
                <w:sz w:val="21"/>
              </w:rPr>
              <w:t>Hawaiian/Other</w:t>
            </w:r>
            <w:r>
              <w:rPr>
                <w:spacing w:val="-6"/>
                <w:sz w:val="21"/>
              </w:rPr>
              <w:t xml:space="preserve"> </w:t>
            </w:r>
            <w:r>
              <w:rPr>
                <w:sz w:val="21"/>
              </w:rPr>
              <w:t>Pacific</w:t>
            </w:r>
            <w:r>
              <w:rPr>
                <w:spacing w:val="-7"/>
                <w:sz w:val="21"/>
              </w:rPr>
              <w:t xml:space="preserve"> </w:t>
            </w:r>
            <w:r>
              <w:rPr>
                <w:sz w:val="21"/>
              </w:rPr>
              <w:t>Islander</w:t>
            </w:r>
            <w:r>
              <w:rPr>
                <w:spacing w:val="-7"/>
                <w:sz w:val="21"/>
              </w:rPr>
              <w:t xml:space="preserve"> </w:t>
            </w:r>
            <w:r>
              <w:rPr>
                <w:sz w:val="21"/>
              </w:rPr>
              <w:t>youth</w:t>
            </w:r>
            <w:r>
              <w:rPr>
                <w:spacing w:val="-6"/>
                <w:sz w:val="21"/>
              </w:rPr>
              <w:t xml:space="preserve"> </w:t>
            </w:r>
            <w:r>
              <w:rPr>
                <w:sz w:val="21"/>
              </w:rPr>
              <w:t>&gt;</w:t>
            </w:r>
            <w:r>
              <w:rPr>
                <w:spacing w:val="-7"/>
                <w:sz w:val="21"/>
              </w:rPr>
              <w:t xml:space="preserve"> </w:t>
            </w:r>
            <w:r>
              <w:rPr>
                <w:spacing w:val="-4"/>
                <w:sz w:val="21"/>
              </w:rPr>
              <w:t>29.2</w:t>
            </w:r>
          </w:p>
        </w:tc>
        <w:tc>
          <w:tcPr>
            <w:tcW w:w="2564" w:type="dxa"/>
          </w:tcPr>
          <w:p w:rsidR="003F5784" w14:paraId="6D9C0C9C" w14:textId="77777777">
            <w:pPr>
              <w:pStyle w:val="TableParagraph"/>
              <w:ind w:right="115"/>
              <w:rPr>
                <w:sz w:val="21"/>
              </w:rPr>
            </w:pPr>
            <w:r>
              <w:rPr>
                <w:spacing w:val="-10"/>
                <w:sz w:val="21"/>
              </w:rPr>
              <w:t>†</w:t>
            </w:r>
          </w:p>
        </w:tc>
        <w:tc>
          <w:tcPr>
            <w:tcW w:w="751" w:type="dxa"/>
          </w:tcPr>
          <w:p w:rsidR="003F5784" w14:paraId="169CBC6D" w14:textId="77777777">
            <w:pPr>
              <w:pStyle w:val="TableParagraph"/>
              <w:ind w:right="168"/>
              <w:rPr>
                <w:sz w:val="21"/>
              </w:rPr>
            </w:pPr>
            <w:r>
              <w:rPr>
                <w:spacing w:val="-5"/>
                <w:sz w:val="21"/>
              </w:rPr>
              <w:t>32</w:t>
            </w:r>
          </w:p>
        </w:tc>
        <w:tc>
          <w:tcPr>
            <w:tcW w:w="1233" w:type="dxa"/>
          </w:tcPr>
          <w:p w:rsidR="003F5784" w14:paraId="15F56FE7" w14:textId="77777777">
            <w:pPr>
              <w:pStyle w:val="TableParagraph"/>
              <w:ind w:right="117"/>
              <w:rPr>
                <w:sz w:val="21"/>
              </w:rPr>
            </w:pPr>
            <w:r>
              <w:rPr>
                <w:spacing w:val="-2"/>
                <w:sz w:val="21"/>
              </w:rPr>
              <w:t>633,149</w:t>
            </w:r>
          </w:p>
        </w:tc>
      </w:tr>
      <w:tr w14:paraId="67DD1926" w14:textId="77777777">
        <w:tblPrEx>
          <w:tblW w:w="0" w:type="auto"/>
          <w:tblInd w:w="482" w:type="dxa"/>
          <w:tblLayout w:type="fixed"/>
          <w:tblCellMar>
            <w:left w:w="0" w:type="dxa"/>
            <w:right w:w="0" w:type="dxa"/>
          </w:tblCellMar>
          <w:tblLook w:val="01E0"/>
        </w:tblPrEx>
        <w:trPr>
          <w:trHeight w:val="521"/>
        </w:trPr>
        <w:tc>
          <w:tcPr>
            <w:tcW w:w="969" w:type="dxa"/>
          </w:tcPr>
          <w:p w:rsidR="003F5784" w14:paraId="41E874A6" w14:textId="77777777">
            <w:pPr>
              <w:pStyle w:val="TableParagraph"/>
              <w:ind w:left="120"/>
              <w:jc w:val="left"/>
              <w:rPr>
                <w:sz w:val="21"/>
              </w:rPr>
            </w:pPr>
            <w:r>
              <w:rPr>
                <w:spacing w:val="-10"/>
                <w:sz w:val="21"/>
              </w:rPr>
              <w:t>7</w:t>
            </w:r>
          </w:p>
        </w:tc>
        <w:tc>
          <w:tcPr>
            <w:tcW w:w="2792" w:type="dxa"/>
          </w:tcPr>
          <w:p w:rsidR="003F5784" w14:paraId="0DCFE591" w14:textId="77777777">
            <w:pPr>
              <w:pStyle w:val="TableParagraph"/>
              <w:spacing w:line="238" w:lineRule="exact"/>
              <w:ind w:right="182"/>
              <w:rPr>
                <w:sz w:val="21"/>
              </w:rPr>
            </w:pPr>
            <w:r>
              <w:rPr>
                <w:sz w:val="21"/>
              </w:rPr>
              <w:t>Percentage</w:t>
            </w:r>
            <w:r>
              <w:rPr>
                <w:spacing w:val="-10"/>
                <w:sz w:val="21"/>
              </w:rPr>
              <w:t xml:space="preserve"> </w:t>
            </w:r>
            <w:r>
              <w:rPr>
                <w:sz w:val="21"/>
              </w:rPr>
              <w:t>of</w:t>
            </w:r>
            <w:r>
              <w:rPr>
                <w:spacing w:val="-10"/>
                <w:sz w:val="21"/>
              </w:rPr>
              <w:t xml:space="preserve"> </w:t>
            </w:r>
            <w:r>
              <w:rPr>
                <w:sz w:val="21"/>
              </w:rPr>
              <w:t>female-</w:t>
            </w:r>
            <w:r>
              <w:rPr>
                <w:spacing w:val="-2"/>
                <w:sz w:val="21"/>
              </w:rPr>
              <w:t>headed</w:t>
            </w:r>
          </w:p>
          <w:p w:rsidR="003F5784" w14:paraId="7BA6964F" w14:textId="77777777">
            <w:pPr>
              <w:pStyle w:val="TableParagraph"/>
              <w:spacing w:before="0" w:line="238" w:lineRule="exact"/>
              <w:ind w:right="182"/>
              <w:rPr>
                <w:sz w:val="21"/>
              </w:rPr>
            </w:pPr>
            <w:r>
              <w:rPr>
                <w:sz w:val="21"/>
              </w:rPr>
              <w:t>households</w:t>
            </w:r>
            <w:r>
              <w:rPr>
                <w:spacing w:val="-7"/>
                <w:sz w:val="21"/>
              </w:rPr>
              <w:t xml:space="preserve"> </w:t>
            </w:r>
            <w:r>
              <w:rPr>
                <w:sz w:val="21"/>
              </w:rPr>
              <w:t>&gt;</w:t>
            </w:r>
            <w:r>
              <w:rPr>
                <w:spacing w:val="-6"/>
                <w:sz w:val="21"/>
              </w:rPr>
              <w:t xml:space="preserve"> </w:t>
            </w:r>
            <w:r>
              <w:rPr>
                <w:spacing w:val="-4"/>
                <w:sz w:val="21"/>
              </w:rPr>
              <w:t>16.2</w:t>
            </w:r>
          </w:p>
        </w:tc>
        <w:tc>
          <w:tcPr>
            <w:tcW w:w="5675" w:type="dxa"/>
          </w:tcPr>
          <w:p w:rsidR="003F5784" w14:paraId="40E13C1A" w14:textId="77777777">
            <w:pPr>
              <w:pStyle w:val="TableParagraph"/>
              <w:ind w:right="167"/>
              <w:rPr>
                <w:sz w:val="21"/>
              </w:rPr>
            </w:pPr>
            <w:r>
              <w:rPr>
                <w:sz w:val="21"/>
              </w:rPr>
              <w:t>Per</w:t>
            </w:r>
            <w:r>
              <w:rPr>
                <w:spacing w:val="-6"/>
                <w:sz w:val="21"/>
              </w:rPr>
              <w:t xml:space="preserve"> </w:t>
            </w:r>
            <w:r>
              <w:rPr>
                <w:sz w:val="21"/>
              </w:rPr>
              <w:t>capita</w:t>
            </w:r>
            <w:r>
              <w:rPr>
                <w:spacing w:val="-6"/>
                <w:sz w:val="21"/>
              </w:rPr>
              <w:t xml:space="preserve"> </w:t>
            </w:r>
            <w:r>
              <w:rPr>
                <w:sz w:val="21"/>
              </w:rPr>
              <w:t>household</w:t>
            </w:r>
            <w:r>
              <w:rPr>
                <w:spacing w:val="-6"/>
                <w:sz w:val="21"/>
              </w:rPr>
              <w:t xml:space="preserve"> </w:t>
            </w:r>
            <w:r>
              <w:rPr>
                <w:sz w:val="21"/>
              </w:rPr>
              <w:t>income</w:t>
            </w:r>
            <w:r>
              <w:rPr>
                <w:spacing w:val="-6"/>
                <w:sz w:val="21"/>
              </w:rPr>
              <w:t xml:space="preserve"> </w:t>
            </w:r>
            <w:r>
              <w:rPr>
                <w:sz w:val="21"/>
              </w:rPr>
              <w:t>&lt;=</w:t>
            </w:r>
            <w:r>
              <w:rPr>
                <w:spacing w:val="-6"/>
                <w:sz w:val="21"/>
              </w:rPr>
              <w:t xml:space="preserve"> </w:t>
            </w:r>
            <w:r>
              <w:rPr>
                <w:spacing w:val="-2"/>
                <w:sz w:val="21"/>
              </w:rPr>
              <w:t>$17,691</w:t>
            </w:r>
          </w:p>
        </w:tc>
        <w:tc>
          <w:tcPr>
            <w:tcW w:w="2564" w:type="dxa"/>
          </w:tcPr>
          <w:p w:rsidR="003F5784" w14:paraId="1BCB7E66" w14:textId="77777777">
            <w:pPr>
              <w:pStyle w:val="TableParagraph"/>
              <w:ind w:right="115"/>
              <w:rPr>
                <w:sz w:val="21"/>
              </w:rPr>
            </w:pPr>
            <w:r>
              <w:rPr>
                <w:spacing w:val="-10"/>
                <w:sz w:val="21"/>
              </w:rPr>
              <w:t>†</w:t>
            </w:r>
          </w:p>
        </w:tc>
        <w:tc>
          <w:tcPr>
            <w:tcW w:w="751" w:type="dxa"/>
          </w:tcPr>
          <w:p w:rsidR="003F5784" w14:paraId="68BCD76F" w14:textId="77777777">
            <w:pPr>
              <w:pStyle w:val="TableParagraph"/>
              <w:ind w:right="168"/>
              <w:rPr>
                <w:sz w:val="21"/>
              </w:rPr>
            </w:pPr>
            <w:r>
              <w:rPr>
                <w:spacing w:val="-5"/>
                <w:sz w:val="21"/>
              </w:rPr>
              <w:t>31</w:t>
            </w:r>
          </w:p>
        </w:tc>
        <w:tc>
          <w:tcPr>
            <w:tcW w:w="1233" w:type="dxa"/>
          </w:tcPr>
          <w:p w:rsidR="003F5784" w14:paraId="2FA1A8FF" w14:textId="77777777">
            <w:pPr>
              <w:pStyle w:val="TableParagraph"/>
              <w:ind w:right="117"/>
              <w:rPr>
                <w:sz w:val="21"/>
              </w:rPr>
            </w:pPr>
            <w:r>
              <w:rPr>
                <w:spacing w:val="-2"/>
                <w:sz w:val="21"/>
              </w:rPr>
              <w:t>595,547</w:t>
            </w:r>
          </w:p>
        </w:tc>
      </w:tr>
      <w:tr w14:paraId="706C2D54" w14:textId="77777777">
        <w:tblPrEx>
          <w:tblW w:w="0" w:type="auto"/>
          <w:tblInd w:w="482" w:type="dxa"/>
          <w:tblLayout w:type="fixed"/>
          <w:tblCellMar>
            <w:left w:w="0" w:type="dxa"/>
            <w:right w:w="0" w:type="dxa"/>
          </w:tblCellMar>
          <w:tblLook w:val="01E0"/>
        </w:tblPrEx>
        <w:trPr>
          <w:trHeight w:val="521"/>
        </w:trPr>
        <w:tc>
          <w:tcPr>
            <w:tcW w:w="969" w:type="dxa"/>
          </w:tcPr>
          <w:p w:rsidR="003F5784" w14:paraId="281AB0D4" w14:textId="77777777">
            <w:pPr>
              <w:pStyle w:val="TableParagraph"/>
              <w:ind w:left="120"/>
              <w:jc w:val="left"/>
              <w:rPr>
                <w:sz w:val="21"/>
              </w:rPr>
            </w:pPr>
            <w:r>
              <w:rPr>
                <w:spacing w:val="-10"/>
                <w:sz w:val="21"/>
              </w:rPr>
              <w:t>8</w:t>
            </w:r>
          </w:p>
        </w:tc>
        <w:tc>
          <w:tcPr>
            <w:tcW w:w="2792" w:type="dxa"/>
          </w:tcPr>
          <w:p w:rsidR="003F5784" w14:paraId="22FE8FAE" w14:textId="77777777">
            <w:pPr>
              <w:pStyle w:val="TableParagraph"/>
              <w:spacing w:line="238" w:lineRule="exact"/>
              <w:ind w:right="182"/>
              <w:rPr>
                <w:sz w:val="21"/>
              </w:rPr>
            </w:pPr>
            <w:r>
              <w:rPr>
                <w:sz w:val="21"/>
              </w:rPr>
              <w:t>Percentage</w:t>
            </w:r>
            <w:r>
              <w:rPr>
                <w:spacing w:val="-10"/>
                <w:sz w:val="21"/>
              </w:rPr>
              <w:t xml:space="preserve"> </w:t>
            </w:r>
            <w:r>
              <w:rPr>
                <w:sz w:val="21"/>
              </w:rPr>
              <w:t>of</w:t>
            </w:r>
            <w:r>
              <w:rPr>
                <w:spacing w:val="-10"/>
                <w:sz w:val="21"/>
              </w:rPr>
              <w:t xml:space="preserve"> </w:t>
            </w:r>
            <w:r>
              <w:rPr>
                <w:sz w:val="21"/>
              </w:rPr>
              <w:t>female-</w:t>
            </w:r>
            <w:r>
              <w:rPr>
                <w:spacing w:val="-2"/>
                <w:sz w:val="21"/>
              </w:rPr>
              <w:t>headed</w:t>
            </w:r>
          </w:p>
          <w:p w:rsidR="003F5784" w14:paraId="1ADAD7CF" w14:textId="77777777">
            <w:pPr>
              <w:pStyle w:val="TableParagraph"/>
              <w:spacing w:before="0" w:line="238" w:lineRule="exact"/>
              <w:ind w:right="182"/>
              <w:rPr>
                <w:sz w:val="21"/>
              </w:rPr>
            </w:pPr>
            <w:r>
              <w:rPr>
                <w:sz w:val="21"/>
              </w:rPr>
              <w:t>households</w:t>
            </w:r>
            <w:r>
              <w:rPr>
                <w:spacing w:val="-7"/>
                <w:sz w:val="21"/>
              </w:rPr>
              <w:t xml:space="preserve"> </w:t>
            </w:r>
            <w:r>
              <w:rPr>
                <w:sz w:val="21"/>
              </w:rPr>
              <w:t>&gt;</w:t>
            </w:r>
            <w:r>
              <w:rPr>
                <w:spacing w:val="-6"/>
                <w:sz w:val="21"/>
              </w:rPr>
              <w:t xml:space="preserve"> </w:t>
            </w:r>
            <w:r>
              <w:rPr>
                <w:spacing w:val="-4"/>
                <w:sz w:val="21"/>
              </w:rPr>
              <w:t>16.2</w:t>
            </w:r>
          </w:p>
        </w:tc>
        <w:tc>
          <w:tcPr>
            <w:tcW w:w="5675" w:type="dxa"/>
          </w:tcPr>
          <w:p w:rsidR="003F5784" w14:paraId="5895F29F" w14:textId="77777777">
            <w:pPr>
              <w:pStyle w:val="TableParagraph"/>
              <w:ind w:right="168"/>
              <w:rPr>
                <w:sz w:val="21"/>
              </w:rPr>
            </w:pPr>
            <w:r>
              <w:rPr>
                <w:sz w:val="21"/>
              </w:rPr>
              <w:t>Per</w:t>
            </w:r>
            <w:r>
              <w:rPr>
                <w:spacing w:val="-6"/>
                <w:sz w:val="21"/>
              </w:rPr>
              <w:t xml:space="preserve"> </w:t>
            </w:r>
            <w:r>
              <w:rPr>
                <w:sz w:val="21"/>
              </w:rPr>
              <w:t>capita</w:t>
            </w:r>
            <w:r>
              <w:rPr>
                <w:spacing w:val="-6"/>
                <w:sz w:val="21"/>
              </w:rPr>
              <w:t xml:space="preserve"> </w:t>
            </w:r>
            <w:r>
              <w:rPr>
                <w:sz w:val="21"/>
              </w:rPr>
              <w:t>household</w:t>
            </w:r>
            <w:r>
              <w:rPr>
                <w:spacing w:val="-6"/>
                <w:sz w:val="21"/>
              </w:rPr>
              <w:t xml:space="preserve"> </w:t>
            </w:r>
            <w:r>
              <w:rPr>
                <w:sz w:val="21"/>
              </w:rPr>
              <w:t>income</w:t>
            </w:r>
            <w:r>
              <w:rPr>
                <w:spacing w:val="-6"/>
                <w:sz w:val="21"/>
              </w:rPr>
              <w:t xml:space="preserve"> </w:t>
            </w:r>
            <w:r>
              <w:rPr>
                <w:sz w:val="21"/>
              </w:rPr>
              <w:t>&gt;</w:t>
            </w:r>
            <w:r>
              <w:rPr>
                <w:spacing w:val="-5"/>
                <w:sz w:val="21"/>
              </w:rPr>
              <w:t xml:space="preserve"> </w:t>
            </w:r>
            <w:r>
              <w:rPr>
                <w:spacing w:val="-2"/>
                <w:sz w:val="21"/>
              </w:rPr>
              <w:t>$17,691</w:t>
            </w:r>
          </w:p>
        </w:tc>
        <w:tc>
          <w:tcPr>
            <w:tcW w:w="2564" w:type="dxa"/>
          </w:tcPr>
          <w:p w:rsidR="003F5784" w14:paraId="0B89901D" w14:textId="77777777">
            <w:pPr>
              <w:pStyle w:val="TableParagraph"/>
              <w:ind w:right="115"/>
              <w:rPr>
                <w:sz w:val="21"/>
              </w:rPr>
            </w:pPr>
            <w:r>
              <w:rPr>
                <w:spacing w:val="-10"/>
                <w:sz w:val="21"/>
              </w:rPr>
              <w:t>†</w:t>
            </w:r>
          </w:p>
        </w:tc>
        <w:tc>
          <w:tcPr>
            <w:tcW w:w="751" w:type="dxa"/>
          </w:tcPr>
          <w:p w:rsidR="003F5784" w14:paraId="376A4D8D" w14:textId="77777777">
            <w:pPr>
              <w:pStyle w:val="TableParagraph"/>
              <w:ind w:right="168"/>
              <w:rPr>
                <w:sz w:val="21"/>
              </w:rPr>
            </w:pPr>
            <w:r>
              <w:rPr>
                <w:spacing w:val="-5"/>
                <w:sz w:val="21"/>
              </w:rPr>
              <w:t>29</w:t>
            </w:r>
          </w:p>
        </w:tc>
        <w:tc>
          <w:tcPr>
            <w:tcW w:w="1233" w:type="dxa"/>
          </w:tcPr>
          <w:p w:rsidR="003F5784" w14:paraId="042DE9BA" w14:textId="77777777">
            <w:pPr>
              <w:pStyle w:val="TableParagraph"/>
              <w:ind w:right="117"/>
              <w:rPr>
                <w:sz w:val="21"/>
              </w:rPr>
            </w:pPr>
            <w:r>
              <w:rPr>
                <w:spacing w:val="-2"/>
                <w:sz w:val="21"/>
              </w:rPr>
              <w:t>607,264</w:t>
            </w:r>
          </w:p>
        </w:tc>
      </w:tr>
      <w:tr w14:paraId="2EEFCE69" w14:textId="77777777">
        <w:tblPrEx>
          <w:tblW w:w="0" w:type="auto"/>
          <w:tblInd w:w="482" w:type="dxa"/>
          <w:tblLayout w:type="fixed"/>
          <w:tblCellMar>
            <w:left w:w="0" w:type="dxa"/>
            <w:right w:w="0" w:type="dxa"/>
          </w:tblCellMar>
          <w:tblLook w:val="01E0"/>
        </w:tblPrEx>
        <w:trPr>
          <w:trHeight w:val="288"/>
        </w:trPr>
        <w:tc>
          <w:tcPr>
            <w:tcW w:w="969" w:type="dxa"/>
            <w:tcBorders>
              <w:bottom w:val="single" w:sz="18" w:space="0" w:color="800000"/>
            </w:tcBorders>
          </w:tcPr>
          <w:p w:rsidR="003F5784" w14:paraId="0113E887" w14:textId="77777777">
            <w:pPr>
              <w:pStyle w:val="TableParagraph"/>
              <w:ind w:left="120"/>
              <w:jc w:val="left"/>
              <w:rPr>
                <w:sz w:val="21"/>
              </w:rPr>
            </w:pPr>
            <w:r>
              <w:rPr>
                <w:spacing w:val="-4"/>
                <w:sz w:val="21"/>
              </w:rPr>
              <w:t>Mean</w:t>
            </w:r>
          </w:p>
        </w:tc>
        <w:tc>
          <w:tcPr>
            <w:tcW w:w="2792" w:type="dxa"/>
            <w:tcBorders>
              <w:bottom w:val="single" w:sz="18" w:space="0" w:color="800000"/>
            </w:tcBorders>
          </w:tcPr>
          <w:p w:rsidR="003F5784" w14:paraId="73CC4401" w14:textId="77777777">
            <w:pPr>
              <w:pStyle w:val="TableParagraph"/>
              <w:ind w:right="182"/>
              <w:rPr>
                <w:sz w:val="21"/>
              </w:rPr>
            </w:pPr>
            <w:r>
              <w:rPr>
                <w:spacing w:val="-10"/>
                <w:sz w:val="21"/>
              </w:rPr>
              <w:t>†</w:t>
            </w:r>
          </w:p>
        </w:tc>
        <w:tc>
          <w:tcPr>
            <w:tcW w:w="5675" w:type="dxa"/>
            <w:tcBorders>
              <w:bottom w:val="single" w:sz="18" w:space="0" w:color="800000"/>
            </w:tcBorders>
          </w:tcPr>
          <w:p w:rsidR="003F5784" w14:paraId="7E59C6B5" w14:textId="77777777">
            <w:pPr>
              <w:pStyle w:val="TableParagraph"/>
              <w:ind w:right="167"/>
              <w:rPr>
                <w:sz w:val="21"/>
              </w:rPr>
            </w:pPr>
            <w:r>
              <w:rPr>
                <w:spacing w:val="-10"/>
                <w:sz w:val="21"/>
              </w:rPr>
              <w:t>†</w:t>
            </w:r>
          </w:p>
        </w:tc>
        <w:tc>
          <w:tcPr>
            <w:tcW w:w="2564" w:type="dxa"/>
            <w:tcBorders>
              <w:bottom w:val="single" w:sz="18" w:space="0" w:color="800000"/>
            </w:tcBorders>
          </w:tcPr>
          <w:p w:rsidR="003F5784" w14:paraId="55290C28" w14:textId="77777777">
            <w:pPr>
              <w:pStyle w:val="TableParagraph"/>
              <w:ind w:right="115"/>
              <w:rPr>
                <w:sz w:val="21"/>
              </w:rPr>
            </w:pPr>
            <w:r>
              <w:rPr>
                <w:spacing w:val="-10"/>
                <w:sz w:val="21"/>
              </w:rPr>
              <w:t>†</w:t>
            </w:r>
          </w:p>
        </w:tc>
        <w:tc>
          <w:tcPr>
            <w:tcW w:w="751" w:type="dxa"/>
            <w:tcBorders>
              <w:bottom w:val="single" w:sz="18" w:space="0" w:color="800000"/>
            </w:tcBorders>
          </w:tcPr>
          <w:p w:rsidR="003F5784" w14:paraId="22C444DB" w14:textId="77777777">
            <w:pPr>
              <w:pStyle w:val="TableParagraph"/>
              <w:ind w:right="168"/>
              <w:rPr>
                <w:sz w:val="21"/>
              </w:rPr>
            </w:pPr>
            <w:r>
              <w:rPr>
                <w:spacing w:val="-10"/>
                <w:sz w:val="21"/>
              </w:rPr>
              <w:t>†</w:t>
            </w:r>
          </w:p>
        </w:tc>
        <w:tc>
          <w:tcPr>
            <w:tcW w:w="1233" w:type="dxa"/>
            <w:tcBorders>
              <w:bottom w:val="single" w:sz="18" w:space="0" w:color="800000"/>
            </w:tcBorders>
          </w:tcPr>
          <w:p w:rsidR="003F5784" w14:paraId="5E9255BB" w14:textId="77777777">
            <w:pPr>
              <w:pStyle w:val="TableParagraph"/>
              <w:ind w:right="117"/>
              <w:rPr>
                <w:sz w:val="21"/>
              </w:rPr>
            </w:pPr>
            <w:r>
              <w:rPr>
                <w:spacing w:val="-2"/>
                <w:sz w:val="21"/>
              </w:rPr>
              <w:t>626,390</w:t>
            </w:r>
          </w:p>
        </w:tc>
      </w:tr>
      <w:tr w14:paraId="7D7C57B0" w14:textId="77777777">
        <w:tblPrEx>
          <w:tblW w:w="0" w:type="auto"/>
          <w:tblInd w:w="482" w:type="dxa"/>
          <w:tblLayout w:type="fixed"/>
          <w:tblCellMar>
            <w:left w:w="0" w:type="dxa"/>
            <w:right w:w="0" w:type="dxa"/>
          </w:tblCellMar>
          <w:tblLook w:val="01E0"/>
        </w:tblPrEx>
        <w:trPr>
          <w:trHeight w:val="237"/>
        </w:trPr>
        <w:tc>
          <w:tcPr>
            <w:tcW w:w="3761" w:type="dxa"/>
            <w:gridSpan w:val="2"/>
            <w:tcBorders>
              <w:top w:val="single" w:sz="18" w:space="0" w:color="800000"/>
            </w:tcBorders>
          </w:tcPr>
          <w:p w:rsidR="003F5784" w14:paraId="40CE6611" w14:textId="77777777">
            <w:pPr>
              <w:pStyle w:val="TableParagraph"/>
              <w:spacing w:before="0" w:line="218" w:lineRule="exact"/>
              <w:ind w:left="120"/>
              <w:jc w:val="left"/>
              <w:rPr>
                <w:sz w:val="21"/>
              </w:rPr>
            </w:pPr>
            <w:r>
              <w:rPr>
                <w:sz w:val="21"/>
              </w:rPr>
              <w:t>†</w:t>
            </w:r>
            <w:r>
              <w:rPr>
                <w:spacing w:val="-4"/>
                <w:sz w:val="21"/>
              </w:rPr>
              <w:t xml:space="preserve"> </w:t>
            </w:r>
            <w:r>
              <w:rPr>
                <w:sz w:val="21"/>
              </w:rPr>
              <w:t>Not</w:t>
            </w:r>
            <w:r>
              <w:rPr>
                <w:spacing w:val="-3"/>
                <w:sz w:val="21"/>
              </w:rPr>
              <w:t xml:space="preserve"> </w:t>
            </w:r>
            <w:r>
              <w:rPr>
                <w:spacing w:val="-2"/>
                <w:sz w:val="21"/>
              </w:rPr>
              <w:t>applicable.</w:t>
            </w:r>
          </w:p>
        </w:tc>
        <w:tc>
          <w:tcPr>
            <w:tcW w:w="5675" w:type="dxa"/>
            <w:tcBorders>
              <w:top w:val="single" w:sz="18" w:space="0" w:color="800000"/>
            </w:tcBorders>
          </w:tcPr>
          <w:p w:rsidR="003F5784" w14:paraId="492E5E6F" w14:textId="77777777">
            <w:pPr>
              <w:pStyle w:val="TableParagraph"/>
              <w:spacing w:before="0"/>
              <w:jc w:val="left"/>
              <w:rPr>
                <w:sz w:val="16"/>
              </w:rPr>
            </w:pPr>
          </w:p>
        </w:tc>
        <w:tc>
          <w:tcPr>
            <w:tcW w:w="2564" w:type="dxa"/>
            <w:tcBorders>
              <w:top w:val="single" w:sz="18" w:space="0" w:color="800000"/>
            </w:tcBorders>
          </w:tcPr>
          <w:p w:rsidR="003F5784" w14:paraId="12E9B460" w14:textId="77777777">
            <w:pPr>
              <w:pStyle w:val="TableParagraph"/>
              <w:spacing w:before="0"/>
              <w:jc w:val="left"/>
              <w:rPr>
                <w:sz w:val="16"/>
              </w:rPr>
            </w:pPr>
          </w:p>
        </w:tc>
        <w:tc>
          <w:tcPr>
            <w:tcW w:w="751" w:type="dxa"/>
            <w:tcBorders>
              <w:top w:val="single" w:sz="18" w:space="0" w:color="800000"/>
            </w:tcBorders>
          </w:tcPr>
          <w:p w:rsidR="003F5784" w14:paraId="2AB97781" w14:textId="77777777">
            <w:pPr>
              <w:pStyle w:val="TableParagraph"/>
              <w:spacing w:before="0"/>
              <w:jc w:val="left"/>
              <w:rPr>
                <w:sz w:val="16"/>
              </w:rPr>
            </w:pPr>
          </w:p>
        </w:tc>
        <w:tc>
          <w:tcPr>
            <w:tcW w:w="1233" w:type="dxa"/>
            <w:tcBorders>
              <w:top w:val="single" w:sz="18" w:space="0" w:color="800000"/>
            </w:tcBorders>
          </w:tcPr>
          <w:p w:rsidR="003F5784" w14:paraId="282A6549" w14:textId="77777777">
            <w:pPr>
              <w:pStyle w:val="TableParagraph"/>
              <w:spacing w:before="0"/>
              <w:jc w:val="left"/>
              <w:rPr>
                <w:sz w:val="16"/>
              </w:rPr>
            </w:pPr>
          </w:p>
        </w:tc>
      </w:tr>
    </w:tbl>
    <w:p w:rsidR="003F5784" w14:paraId="263D07A8" w14:textId="77777777">
      <w:pPr>
        <w:pStyle w:val="BodyText"/>
        <w:spacing w:before="1"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0E5B704E" w14:textId="77777777">
      <w:pPr>
        <w:pStyle w:val="BodyText"/>
      </w:pPr>
    </w:p>
    <w:p w:rsidR="003F5784" w14:paraId="64F0239F" w14:textId="77777777">
      <w:pPr>
        <w:pStyle w:val="BodyText"/>
      </w:pPr>
    </w:p>
    <w:p w:rsidR="003F5784" w14:paraId="6B9368F2" w14:textId="77777777">
      <w:pPr>
        <w:pStyle w:val="BodyText"/>
        <w:spacing w:before="198"/>
      </w:pPr>
    </w:p>
    <w:p w:rsidR="003F5784" w14:paraId="112DF21F" w14:textId="77777777">
      <w:pPr>
        <w:ind w:left="3697"/>
        <w:rPr>
          <w:sz w:val="18"/>
        </w:rPr>
      </w:pPr>
      <w:hyperlink r:id="rId204">
        <w:r>
          <w:rPr>
            <w:spacing w:val="-2"/>
            <w:w w:val="105"/>
            <w:sz w:val="18"/>
          </w:rPr>
          <w:t>http://nces.ed.gov/nationsreportcard/tdw/sample_design/2022/stratification_for_south_nonmetropolitan_noncertainty_primary_sampling_units.aspx</w:t>
        </w:r>
      </w:hyperlink>
    </w:p>
    <w:p w:rsidR="003F5784" w14:paraId="2AAE3973" w14:textId="77777777">
      <w:pPr>
        <w:pStyle w:val="BodyText"/>
        <w:rPr>
          <w:sz w:val="16"/>
        </w:rPr>
      </w:pPr>
      <w:r>
        <w:rPr>
          <w:noProof/>
        </w:rPr>
        <mc:AlternateContent>
          <mc:Choice Requires="wps">
            <w:drawing>
              <wp:anchor distT="0" distB="0" distL="0" distR="0" simplePos="0" relativeHeight="251896832" behindDoc="1" locked="0" layoutInCell="1" allowOverlap="1">
                <wp:simplePos x="0" y="0"/>
                <wp:positionH relativeFrom="page">
                  <wp:posOffset>361937</wp:posOffset>
                </wp:positionH>
                <wp:positionV relativeFrom="paragraph">
                  <wp:posOffset>132508</wp:posOffset>
                </wp:positionV>
                <wp:extent cx="9339580" cy="8890"/>
                <wp:effectExtent l="0" t="0" r="0" b="0"/>
                <wp:wrapTopAndBottom/>
                <wp:docPr id="230" name="Graphic 230"/>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293"/>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30" o:spid="_x0000_s1119" style="width:735.4pt;height:0.7pt;margin-top:10.45pt;margin-left:28.5pt;mso-position-horizontal-relative:page;mso-wrap-distance-bottom:0;mso-wrap-distance-left:0;mso-wrap-distance-right:0;mso-wrap-distance-top:0;mso-wrap-style:square;position:absolute;visibility:visible;v-text-anchor:top;z-index:-251418624" coordsize="9339580,8890" path="m9338970,l9335110,l,,,8280l8280,8293l9335110,8280l9338970,8280l9338970,xe" fillcolor="gray" stroked="f">
                <v:path arrowok="t"/>
                <w10:wrap type="topAndBottom"/>
              </v:shape>
            </w:pict>
          </mc:Fallback>
        </mc:AlternateContent>
      </w:r>
    </w:p>
    <w:p w:rsidR="003F5784" w14:paraId="78DEAE5E" w14:textId="77777777">
      <w:pPr>
        <w:pStyle w:val="BodyText"/>
        <w:rPr>
          <w:sz w:val="18"/>
        </w:rPr>
      </w:pPr>
    </w:p>
    <w:p w:rsidR="003F5784" w14:paraId="11D431D4" w14:textId="77777777">
      <w:pPr>
        <w:pStyle w:val="BodyText"/>
        <w:spacing w:before="193"/>
        <w:rPr>
          <w:sz w:val="18"/>
        </w:rPr>
      </w:pPr>
    </w:p>
    <w:p w:rsidR="003F5784" w14:paraId="1488583A" w14:textId="7F988C85">
      <w:pPr>
        <w:pStyle w:val="Heading1"/>
        <w:spacing w:line="244" w:lineRule="auto"/>
      </w:pPr>
      <w:r>
        <w:t>NAEP</w:t>
      </w:r>
      <w:r>
        <w:rPr>
          <w:spacing w:val="-12"/>
        </w:rPr>
        <w:t xml:space="preserve"> </w:t>
      </w:r>
      <w:r>
        <w:t>Technical Documentation</w:t>
      </w:r>
      <w:r w:rsidR="004C039D">
        <w:t xml:space="preserve"> </w:t>
      </w:r>
      <w:r>
        <w:t>Stratification for West Metropolitan Noncertainty Primary Sampling Units</w:t>
      </w:r>
    </w:p>
    <w:p w:rsidR="003F5784" w14:paraId="4DAD641D" w14:textId="77777777">
      <w:pPr>
        <w:pStyle w:val="BodyText"/>
        <w:spacing w:before="287" w:line="232" w:lineRule="auto"/>
        <w:ind w:left="109" w:right="179"/>
      </w:pPr>
      <w:r>
        <w:t>The</w:t>
      </w:r>
      <w:r>
        <w:rPr>
          <w:spacing w:val="-7"/>
        </w:rPr>
        <w:t xml:space="preserve"> </w:t>
      </w:r>
      <w:r>
        <w:t>following</w:t>
      </w:r>
      <w:r>
        <w:rPr>
          <w:spacing w:val="-7"/>
        </w:rPr>
        <w:t xml:space="preserve"> </w:t>
      </w:r>
      <w:r>
        <w:t>table</w:t>
      </w:r>
      <w:r>
        <w:rPr>
          <w:spacing w:val="-7"/>
        </w:rPr>
        <w:t xml:space="preserve"> </w:t>
      </w:r>
      <w:r>
        <w:t>provides</w:t>
      </w:r>
      <w:r>
        <w:rPr>
          <w:spacing w:val="-7"/>
        </w:rPr>
        <w:t xml:space="preserve"> </w:t>
      </w:r>
      <w:r>
        <w:t>the</w:t>
      </w:r>
      <w:r>
        <w:rPr>
          <w:spacing w:val="-7"/>
        </w:rPr>
        <w:t xml:space="preserve"> </w:t>
      </w:r>
      <w:r>
        <w:t>definition,</w:t>
      </w:r>
      <w:r>
        <w:rPr>
          <w:spacing w:val="-7"/>
        </w:rPr>
        <w:t xml:space="preserve"> </w:t>
      </w:r>
      <w:r>
        <w:t>number</w:t>
      </w:r>
      <w:r>
        <w:rPr>
          <w:spacing w:val="-7"/>
        </w:rPr>
        <w:t xml:space="preserve"> </w:t>
      </w:r>
      <w:r>
        <w:t>of</w:t>
      </w:r>
      <w:r>
        <w:rPr>
          <w:spacing w:val="-7"/>
        </w:rPr>
        <w:t xml:space="preserve"> </w:t>
      </w:r>
      <w:r>
        <w:t>PSUs,</w:t>
      </w:r>
      <w:r>
        <w:rPr>
          <w:spacing w:val="-7"/>
        </w:rPr>
        <w:t xml:space="preserve"> </w:t>
      </w:r>
      <w:r>
        <w:t>and</w:t>
      </w:r>
      <w:r>
        <w:rPr>
          <w:spacing w:val="-7"/>
        </w:rPr>
        <w:t xml:space="preserve"> </w:t>
      </w:r>
      <w:r>
        <w:t>size</w:t>
      </w:r>
      <w:r>
        <w:rPr>
          <w:spacing w:val="-7"/>
        </w:rPr>
        <w:t xml:space="preserve"> </w:t>
      </w:r>
      <w:r>
        <w:t>of</w:t>
      </w:r>
      <w:r>
        <w:rPr>
          <w:spacing w:val="-7"/>
        </w:rPr>
        <w:t xml:space="preserve"> </w:t>
      </w:r>
      <w:r>
        <w:t>each</w:t>
      </w:r>
      <w:r>
        <w:rPr>
          <w:spacing w:val="-7"/>
        </w:rPr>
        <w:t xml:space="preserve"> </w:t>
      </w:r>
      <w:r>
        <w:t>noncertainty</w:t>
      </w:r>
      <w:r>
        <w:rPr>
          <w:spacing w:val="-7"/>
        </w:rPr>
        <w:t xml:space="preserve"> </w:t>
      </w:r>
      <w:r>
        <w:t>PSU</w:t>
      </w:r>
      <w:r>
        <w:rPr>
          <w:spacing w:val="-7"/>
        </w:rPr>
        <w:t xml:space="preserve"> </w:t>
      </w:r>
      <w:r>
        <w:t>stratum</w:t>
      </w:r>
      <w:r>
        <w:rPr>
          <w:spacing w:val="-7"/>
        </w:rPr>
        <w:t xml:space="preserve"> </w:t>
      </w:r>
      <w:r>
        <w:t>in</w:t>
      </w:r>
      <w:r>
        <w:rPr>
          <w:spacing w:val="-7"/>
        </w:rPr>
        <w:t xml:space="preserve"> </w:t>
      </w:r>
      <w:r>
        <w:t>the</w:t>
      </w:r>
      <w:r>
        <w:rPr>
          <w:spacing w:val="-10"/>
        </w:rPr>
        <w:t xml:space="preserve"> </w:t>
      </w:r>
      <w:r>
        <w:t>West</w:t>
      </w:r>
      <w:r>
        <w:rPr>
          <w:spacing w:val="-7"/>
        </w:rPr>
        <w:t xml:space="preserve"> </w:t>
      </w:r>
      <w:r>
        <w:t>metropolitan</w:t>
      </w:r>
      <w:r>
        <w:rPr>
          <w:spacing w:val="-7"/>
        </w:rPr>
        <w:t xml:space="preserve"> </w:t>
      </w:r>
      <w:r>
        <w:t>primary</w:t>
      </w:r>
      <w:r>
        <w:rPr>
          <w:spacing w:val="-7"/>
        </w:rPr>
        <w:t xml:space="preserve"> </w:t>
      </w:r>
      <w:r>
        <w:t>stratum.</w:t>
      </w:r>
      <w:r>
        <w:rPr>
          <w:spacing w:val="-7"/>
        </w:rPr>
        <w:t xml:space="preserve"> </w:t>
      </w:r>
      <w:r>
        <w:t>Columns</w:t>
      </w:r>
      <w:r>
        <w:rPr>
          <w:spacing w:val="-7"/>
        </w:rPr>
        <w:t xml:space="preserve"> </w:t>
      </w:r>
      <w:r>
        <w:t>2</w:t>
      </w:r>
      <w:r>
        <w:rPr>
          <w:spacing w:val="-7"/>
        </w:rPr>
        <w:t xml:space="preserve"> </w:t>
      </w:r>
      <w:r>
        <w:t>through</w:t>
      </w:r>
      <w:r>
        <w:rPr>
          <w:spacing w:val="-7"/>
        </w:rPr>
        <w:t xml:space="preserve"> </w:t>
      </w:r>
      <w:r>
        <w:t>4</w:t>
      </w:r>
      <w:r>
        <w:rPr>
          <w:spacing w:val="-7"/>
        </w:rPr>
        <w:t xml:space="preserve"> </w:t>
      </w:r>
      <w:r>
        <w:t>show the characteristics used to define the strata along with their respective cutoffs.</w:t>
      </w:r>
      <w:r>
        <w:rPr>
          <w:spacing w:val="-3"/>
        </w:rPr>
        <w:t xml:space="preserve"> </w:t>
      </w:r>
      <w:r>
        <w:t>The size of each stratum is given in the last column and is in terms of the number of youths (persons 17 years of age and younger).</w:t>
      </w:r>
    </w:p>
    <w:p w:rsidR="003F5784" w14:paraId="0FE68B79" w14:textId="77777777">
      <w:pPr>
        <w:spacing w:line="232" w:lineRule="auto"/>
        <w:sectPr>
          <w:pgSz w:w="15840" w:h="12240" w:orient="landscape"/>
          <w:pgMar w:top="480" w:right="440" w:bottom="460" w:left="460" w:header="284" w:footer="275" w:gutter="0"/>
          <w:cols w:space="720"/>
        </w:sectPr>
      </w:pPr>
    </w:p>
    <w:p w:rsidR="003F5784" w14:paraId="1A8159C1" w14:textId="77777777">
      <w:pPr>
        <w:pStyle w:val="Heading2"/>
        <w:spacing w:before="203"/>
      </w:pPr>
      <w:r>
        <w:t>Stratification</w:t>
      </w:r>
      <w:r>
        <w:rPr>
          <w:spacing w:val="-13"/>
        </w:rPr>
        <w:t xml:space="preserve"> </w:t>
      </w:r>
      <w:r>
        <w:t>for</w:t>
      </w:r>
      <w:r>
        <w:rPr>
          <w:spacing w:val="-13"/>
        </w:rPr>
        <w:t xml:space="preserve"> </w:t>
      </w:r>
      <w:r>
        <w:t>West</w:t>
      </w:r>
      <w:r>
        <w:rPr>
          <w:spacing w:val="-10"/>
        </w:rPr>
        <w:t xml:space="preserve"> </w:t>
      </w:r>
      <w:r>
        <w:t>metropolitan</w:t>
      </w:r>
      <w:r>
        <w:rPr>
          <w:spacing w:val="-9"/>
        </w:rPr>
        <w:t xml:space="preserve"> </w:t>
      </w:r>
      <w:r>
        <w:t>noncertainty</w:t>
      </w:r>
      <w:r>
        <w:rPr>
          <w:spacing w:val="-10"/>
        </w:rPr>
        <w:t xml:space="preserve"> </w:t>
      </w:r>
      <w:r>
        <w:t>primary</w:t>
      </w:r>
      <w:r>
        <w:rPr>
          <w:spacing w:val="-10"/>
        </w:rPr>
        <w:t xml:space="preserve"> </w:t>
      </w:r>
      <w:r>
        <w:t>sampling</w:t>
      </w:r>
      <w:r>
        <w:rPr>
          <w:spacing w:val="-10"/>
        </w:rPr>
        <w:t xml:space="preserve"> </w:t>
      </w:r>
      <w:r>
        <w:t>units</w:t>
      </w:r>
      <w:r>
        <w:rPr>
          <w:spacing w:val="-9"/>
        </w:rPr>
        <w:t xml:space="preserve"> </w:t>
      </w:r>
      <w:r>
        <w:t>(PSUs),</w:t>
      </w:r>
      <w:r>
        <w:rPr>
          <w:spacing w:val="-10"/>
        </w:rPr>
        <w:t xml:space="preserve"> </w:t>
      </w:r>
      <w:r>
        <w:t>by</w:t>
      </w:r>
      <w:r>
        <w:rPr>
          <w:spacing w:val="-10"/>
        </w:rPr>
        <w:t xml:space="preserve"> </w:t>
      </w:r>
      <w:r>
        <w:t>stratum:</w:t>
      </w:r>
      <w:r>
        <w:rPr>
          <w:spacing w:val="-10"/>
        </w:rPr>
        <w:t xml:space="preserve"> </w:t>
      </w:r>
      <w:r>
        <w:rPr>
          <w:spacing w:val="-4"/>
        </w:rPr>
        <w:t>2022</w:t>
      </w:r>
    </w:p>
    <w:p w:rsidR="003F5784" w14:paraId="6F5D0ED0"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965"/>
        <w:gridCol w:w="4371"/>
        <w:gridCol w:w="2447"/>
        <w:gridCol w:w="4282"/>
        <w:gridCol w:w="719"/>
        <w:gridCol w:w="1201"/>
      </w:tblGrid>
      <w:tr w14:paraId="05BDF875" w14:textId="77777777">
        <w:tblPrEx>
          <w:tblW w:w="0" w:type="auto"/>
          <w:tblInd w:w="482" w:type="dxa"/>
          <w:tblLayout w:type="fixed"/>
          <w:tblCellMar>
            <w:left w:w="0" w:type="dxa"/>
            <w:right w:w="0" w:type="dxa"/>
          </w:tblCellMar>
          <w:tblLook w:val="01E0"/>
        </w:tblPrEx>
        <w:trPr>
          <w:trHeight w:val="502"/>
        </w:trPr>
        <w:tc>
          <w:tcPr>
            <w:tcW w:w="965" w:type="dxa"/>
            <w:tcBorders>
              <w:top w:val="single" w:sz="18" w:space="0" w:color="800000"/>
              <w:bottom w:val="single" w:sz="18" w:space="0" w:color="800000"/>
            </w:tcBorders>
          </w:tcPr>
          <w:p w:rsidR="003F5784" w14:paraId="600E2943" w14:textId="77777777">
            <w:pPr>
              <w:pStyle w:val="TableParagraph"/>
              <w:spacing w:before="2"/>
              <w:jc w:val="left"/>
              <w:rPr>
                <w:b/>
                <w:sz w:val="21"/>
              </w:rPr>
            </w:pPr>
          </w:p>
          <w:p w:rsidR="003F5784" w14:paraId="1A51D82B" w14:textId="77777777">
            <w:pPr>
              <w:pStyle w:val="TableParagraph"/>
              <w:spacing w:before="0" w:line="238" w:lineRule="exact"/>
              <w:ind w:left="120"/>
              <w:jc w:val="left"/>
              <w:rPr>
                <w:sz w:val="21"/>
              </w:rPr>
            </w:pPr>
            <w:r>
              <w:rPr>
                <w:spacing w:val="-2"/>
                <w:sz w:val="21"/>
              </w:rPr>
              <w:t>Stratum</w:t>
            </w:r>
          </w:p>
        </w:tc>
        <w:tc>
          <w:tcPr>
            <w:tcW w:w="4371" w:type="dxa"/>
            <w:tcBorders>
              <w:top w:val="single" w:sz="18" w:space="0" w:color="800000"/>
              <w:bottom w:val="single" w:sz="18" w:space="0" w:color="800000"/>
            </w:tcBorders>
          </w:tcPr>
          <w:p w:rsidR="003F5784" w14:paraId="50DEA184" w14:textId="77777777">
            <w:pPr>
              <w:pStyle w:val="TableParagraph"/>
              <w:spacing w:before="2"/>
              <w:jc w:val="left"/>
              <w:rPr>
                <w:b/>
                <w:sz w:val="21"/>
              </w:rPr>
            </w:pPr>
          </w:p>
          <w:p w:rsidR="003F5784" w14:paraId="07E73221" w14:textId="77777777">
            <w:pPr>
              <w:pStyle w:val="TableParagraph"/>
              <w:spacing w:before="0" w:line="238" w:lineRule="exact"/>
              <w:ind w:right="137"/>
              <w:rPr>
                <w:sz w:val="21"/>
              </w:rPr>
            </w:pPr>
            <w:r>
              <w:rPr>
                <w:sz w:val="21"/>
              </w:rPr>
              <w:t>Primary</w:t>
            </w:r>
            <w:r>
              <w:rPr>
                <w:spacing w:val="-8"/>
                <w:sz w:val="21"/>
              </w:rPr>
              <w:t xml:space="preserve"> </w:t>
            </w:r>
            <w:r>
              <w:rPr>
                <w:spacing w:val="-2"/>
                <w:sz w:val="21"/>
              </w:rPr>
              <w:t>stratifier</w:t>
            </w:r>
          </w:p>
        </w:tc>
        <w:tc>
          <w:tcPr>
            <w:tcW w:w="2447" w:type="dxa"/>
            <w:tcBorders>
              <w:top w:val="single" w:sz="18" w:space="0" w:color="800000"/>
              <w:bottom w:val="single" w:sz="18" w:space="0" w:color="800000"/>
            </w:tcBorders>
          </w:tcPr>
          <w:p w:rsidR="003F5784" w14:paraId="4B7AC20D" w14:textId="77777777">
            <w:pPr>
              <w:pStyle w:val="TableParagraph"/>
              <w:spacing w:before="2"/>
              <w:jc w:val="left"/>
              <w:rPr>
                <w:b/>
                <w:sz w:val="21"/>
              </w:rPr>
            </w:pPr>
          </w:p>
          <w:p w:rsidR="003F5784" w14:paraId="3F73510D" w14:textId="77777777">
            <w:pPr>
              <w:pStyle w:val="TableParagraph"/>
              <w:spacing w:before="0" w:line="238" w:lineRule="exact"/>
              <w:ind w:right="115"/>
              <w:rPr>
                <w:sz w:val="21"/>
              </w:rPr>
            </w:pPr>
            <w:r>
              <w:rPr>
                <w:sz w:val="21"/>
              </w:rPr>
              <w:t>Secondary</w:t>
            </w:r>
            <w:r>
              <w:rPr>
                <w:spacing w:val="-10"/>
                <w:sz w:val="21"/>
              </w:rPr>
              <w:t xml:space="preserve"> </w:t>
            </w:r>
            <w:r>
              <w:rPr>
                <w:spacing w:val="-2"/>
                <w:sz w:val="21"/>
              </w:rPr>
              <w:t>stratifier</w:t>
            </w:r>
          </w:p>
        </w:tc>
        <w:tc>
          <w:tcPr>
            <w:tcW w:w="4282" w:type="dxa"/>
            <w:tcBorders>
              <w:top w:val="single" w:sz="18" w:space="0" w:color="800000"/>
              <w:bottom w:val="single" w:sz="18" w:space="0" w:color="800000"/>
            </w:tcBorders>
          </w:tcPr>
          <w:p w:rsidR="003F5784" w14:paraId="45F941E1" w14:textId="77777777">
            <w:pPr>
              <w:pStyle w:val="TableParagraph"/>
              <w:spacing w:before="2"/>
              <w:jc w:val="left"/>
              <w:rPr>
                <w:b/>
                <w:sz w:val="21"/>
              </w:rPr>
            </w:pPr>
          </w:p>
          <w:p w:rsidR="003F5784" w14:paraId="06612CA2" w14:textId="77777777">
            <w:pPr>
              <w:pStyle w:val="TableParagraph"/>
              <w:spacing w:before="0" w:line="238" w:lineRule="exact"/>
              <w:ind w:right="115"/>
              <w:rPr>
                <w:sz w:val="21"/>
              </w:rPr>
            </w:pPr>
            <w:r>
              <w:rPr>
                <w:spacing w:val="-2"/>
                <w:sz w:val="21"/>
              </w:rPr>
              <w:t>Tertiary</w:t>
            </w:r>
            <w:r>
              <w:rPr>
                <w:spacing w:val="-7"/>
                <w:sz w:val="21"/>
              </w:rPr>
              <w:t xml:space="preserve"> </w:t>
            </w:r>
            <w:r>
              <w:rPr>
                <w:spacing w:val="-2"/>
                <w:sz w:val="21"/>
              </w:rPr>
              <w:t>stratifier</w:t>
            </w:r>
          </w:p>
        </w:tc>
        <w:tc>
          <w:tcPr>
            <w:tcW w:w="719" w:type="dxa"/>
            <w:tcBorders>
              <w:top w:val="single" w:sz="18" w:space="0" w:color="800000"/>
              <w:bottom w:val="single" w:sz="18" w:space="0" w:color="800000"/>
            </w:tcBorders>
          </w:tcPr>
          <w:p w:rsidR="003F5784" w14:paraId="58F9F8CC" w14:textId="77777777">
            <w:pPr>
              <w:pStyle w:val="TableParagraph"/>
              <w:spacing w:before="2"/>
              <w:jc w:val="left"/>
              <w:rPr>
                <w:b/>
                <w:sz w:val="21"/>
              </w:rPr>
            </w:pPr>
          </w:p>
          <w:p w:rsidR="003F5784" w14:paraId="08CAA1EC" w14:textId="77777777">
            <w:pPr>
              <w:pStyle w:val="TableParagraph"/>
              <w:spacing w:before="0" w:line="238" w:lineRule="exact"/>
              <w:ind w:right="136"/>
              <w:rPr>
                <w:sz w:val="21"/>
              </w:rPr>
            </w:pPr>
            <w:r>
              <w:rPr>
                <w:spacing w:val="-4"/>
                <w:sz w:val="21"/>
              </w:rPr>
              <w:t>PSUs</w:t>
            </w:r>
          </w:p>
        </w:tc>
        <w:tc>
          <w:tcPr>
            <w:tcW w:w="1201" w:type="dxa"/>
            <w:tcBorders>
              <w:top w:val="single" w:sz="18" w:space="0" w:color="800000"/>
              <w:bottom w:val="single" w:sz="18" w:space="0" w:color="800000"/>
            </w:tcBorders>
          </w:tcPr>
          <w:p w:rsidR="003F5784" w14:paraId="60B29F38" w14:textId="77777777">
            <w:pPr>
              <w:pStyle w:val="TableParagraph"/>
              <w:spacing w:before="9" w:line="238" w:lineRule="exact"/>
              <w:ind w:right="118"/>
              <w:rPr>
                <w:sz w:val="21"/>
              </w:rPr>
            </w:pPr>
            <w:r>
              <w:rPr>
                <w:sz w:val="21"/>
              </w:rPr>
              <w:t>Measure</w:t>
            </w:r>
            <w:r>
              <w:rPr>
                <w:spacing w:val="-9"/>
                <w:sz w:val="21"/>
              </w:rPr>
              <w:t xml:space="preserve"> </w:t>
            </w:r>
            <w:r>
              <w:rPr>
                <w:spacing w:val="-5"/>
                <w:sz w:val="21"/>
              </w:rPr>
              <w:t>of</w:t>
            </w:r>
          </w:p>
          <w:p w:rsidR="003F5784" w14:paraId="3F9301EF" w14:textId="77777777">
            <w:pPr>
              <w:pStyle w:val="TableParagraph"/>
              <w:spacing w:before="0" w:line="235" w:lineRule="exact"/>
              <w:ind w:right="118"/>
              <w:rPr>
                <w:sz w:val="21"/>
              </w:rPr>
            </w:pPr>
            <w:r>
              <w:rPr>
                <w:spacing w:val="-4"/>
                <w:sz w:val="21"/>
              </w:rPr>
              <w:t>size</w:t>
            </w:r>
          </w:p>
        </w:tc>
      </w:tr>
      <w:tr w14:paraId="007624F7" w14:textId="77777777">
        <w:tblPrEx>
          <w:tblW w:w="0" w:type="auto"/>
          <w:tblInd w:w="482" w:type="dxa"/>
          <w:tblLayout w:type="fixed"/>
          <w:tblCellMar>
            <w:left w:w="0" w:type="dxa"/>
            <w:right w:w="0" w:type="dxa"/>
          </w:tblCellMar>
          <w:tblLook w:val="01E0"/>
        </w:tblPrEx>
        <w:trPr>
          <w:trHeight w:val="278"/>
        </w:trPr>
        <w:tc>
          <w:tcPr>
            <w:tcW w:w="965" w:type="dxa"/>
            <w:tcBorders>
              <w:top w:val="single" w:sz="18" w:space="0" w:color="800000"/>
            </w:tcBorders>
          </w:tcPr>
          <w:p w:rsidR="003F5784" w14:paraId="63F150AE" w14:textId="77777777">
            <w:pPr>
              <w:pStyle w:val="TableParagraph"/>
              <w:spacing w:before="9"/>
              <w:ind w:left="370"/>
              <w:jc w:val="left"/>
              <w:rPr>
                <w:b/>
                <w:sz w:val="21"/>
              </w:rPr>
            </w:pPr>
            <w:r>
              <w:rPr>
                <w:b/>
                <w:spacing w:val="-2"/>
                <w:sz w:val="21"/>
              </w:rPr>
              <w:t>Total</w:t>
            </w:r>
          </w:p>
        </w:tc>
        <w:tc>
          <w:tcPr>
            <w:tcW w:w="4371" w:type="dxa"/>
            <w:tcBorders>
              <w:top w:val="single" w:sz="18" w:space="0" w:color="800000"/>
            </w:tcBorders>
          </w:tcPr>
          <w:p w:rsidR="003F5784" w14:paraId="3BB11B8C" w14:textId="77777777">
            <w:pPr>
              <w:pStyle w:val="TableParagraph"/>
              <w:spacing w:before="9"/>
              <w:ind w:right="137"/>
              <w:rPr>
                <w:b/>
                <w:sz w:val="21"/>
              </w:rPr>
            </w:pPr>
            <w:r>
              <w:rPr>
                <w:b/>
                <w:spacing w:val="-10"/>
                <w:sz w:val="21"/>
              </w:rPr>
              <w:t>†</w:t>
            </w:r>
          </w:p>
        </w:tc>
        <w:tc>
          <w:tcPr>
            <w:tcW w:w="2447" w:type="dxa"/>
            <w:tcBorders>
              <w:top w:val="single" w:sz="18" w:space="0" w:color="800000"/>
            </w:tcBorders>
          </w:tcPr>
          <w:p w:rsidR="003F5784" w14:paraId="147A98C3" w14:textId="77777777">
            <w:pPr>
              <w:pStyle w:val="TableParagraph"/>
              <w:spacing w:before="9"/>
              <w:ind w:right="115"/>
              <w:rPr>
                <w:b/>
                <w:sz w:val="21"/>
              </w:rPr>
            </w:pPr>
            <w:r>
              <w:rPr>
                <w:b/>
                <w:spacing w:val="-10"/>
                <w:sz w:val="21"/>
              </w:rPr>
              <w:t>†</w:t>
            </w:r>
          </w:p>
        </w:tc>
        <w:tc>
          <w:tcPr>
            <w:tcW w:w="4282" w:type="dxa"/>
            <w:tcBorders>
              <w:top w:val="single" w:sz="18" w:space="0" w:color="800000"/>
            </w:tcBorders>
          </w:tcPr>
          <w:p w:rsidR="003F5784" w14:paraId="3E432E95" w14:textId="77777777">
            <w:pPr>
              <w:pStyle w:val="TableParagraph"/>
              <w:spacing w:before="9"/>
              <w:ind w:right="115"/>
              <w:rPr>
                <w:b/>
                <w:sz w:val="21"/>
              </w:rPr>
            </w:pPr>
            <w:r>
              <w:rPr>
                <w:b/>
                <w:spacing w:val="-10"/>
                <w:sz w:val="21"/>
              </w:rPr>
              <w:t>†</w:t>
            </w:r>
          </w:p>
        </w:tc>
        <w:tc>
          <w:tcPr>
            <w:tcW w:w="719" w:type="dxa"/>
            <w:tcBorders>
              <w:top w:val="single" w:sz="18" w:space="0" w:color="800000"/>
            </w:tcBorders>
          </w:tcPr>
          <w:p w:rsidR="003F5784" w14:paraId="325ED762" w14:textId="77777777">
            <w:pPr>
              <w:pStyle w:val="TableParagraph"/>
              <w:spacing w:before="9"/>
              <w:ind w:right="136"/>
              <w:rPr>
                <w:b/>
                <w:sz w:val="21"/>
              </w:rPr>
            </w:pPr>
            <w:r>
              <w:rPr>
                <w:b/>
                <w:spacing w:val="-5"/>
                <w:sz w:val="21"/>
              </w:rPr>
              <w:t>68</w:t>
            </w:r>
          </w:p>
        </w:tc>
        <w:tc>
          <w:tcPr>
            <w:tcW w:w="1201" w:type="dxa"/>
            <w:tcBorders>
              <w:top w:val="single" w:sz="18" w:space="0" w:color="800000"/>
            </w:tcBorders>
          </w:tcPr>
          <w:p w:rsidR="003F5784" w14:paraId="7B79887D" w14:textId="77777777">
            <w:pPr>
              <w:pStyle w:val="TableParagraph"/>
              <w:spacing w:before="9"/>
              <w:ind w:right="118"/>
              <w:rPr>
                <w:b/>
                <w:sz w:val="21"/>
              </w:rPr>
            </w:pPr>
            <w:r>
              <w:rPr>
                <w:b/>
                <w:spacing w:val="-2"/>
                <w:sz w:val="21"/>
              </w:rPr>
              <w:t>5,553,507</w:t>
            </w:r>
          </w:p>
        </w:tc>
      </w:tr>
      <w:tr w14:paraId="7342AEBA" w14:textId="77777777">
        <w:tblPrEx>
          <w:tblW w:w="0" w:type="auto"/>
          <w:tblInd w:w="482" w:type="dxa"/>
          <w:tblLayout w:type="fixed"/>
          <w:tblCellMar>
            <w:left w:w="0" w:type="dxa"/>
            <w:right w:w="0" w:type="dxa"/>
          </w:tblCellMar>
          <w:tblLook w:val="01E0"/>
        </w:tblPrEx>
        <w:trPr>
          <w:trHeight w:val="755"/>
        </w:trPr>
        <w:tc>
          <w:tcPr>
            <w:tcW w:w="965" w:type="dxa"/>
          </w:tcPr>
          <w:p w:rsidR="003F5784" w14:paraId="4F74CD74" w14:textId="77777777">
            <w:pPr>
              <w:pStyle w:val="TableParagraph"/>
              <w:ind w:left="120"/>
              <w:jc w:val="left"/>
              <w:rPr>
                <w:sz w:val="21"/>
              </w:rPr>
            </w:pPr>
            <w:r>
              <w:rPr>
                <w:spacing w:val="-10"/>
                <w:sz w:val="21"/>
              </w:rPr>
              <w:t>1</w:t>
            </w:r>
          </w:p>
        </w:tc>
        <w:tc>
          <w:tcPr>
            <w:tcW w:w="4371" w:type="dxa"/>
          </w:tcPr>
          <w:p w:rsidR="003F5784" w14:paraId="4EFABE0C" w14:textId="77777777">
            <w:pPr>
              <w:pStyle w:val="TableParagraph"/>
              <w:spacing w:before="23" w:line="232" w:lineRule="auto"/>
              <w:ind w:left="184" w:right="137" w:firstLine="608"/>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w:t>
            </w:r>
            <w:r>
              <w:rPr>
                <w:spacing w:val="-13"/>
                <w:sz w:val="21"/>
              </w:rPr>
              <w:t xml:space="preserve"> </w:t>
            </w:r>
            <w:r>
              <w:rPr>
                <w:sz w:val="21"/>
              </w:rPr>
              <w:t>American Indian/Alaska</w:t>
            </w:r>
            <w:r>
              <w:rPr>
                <w:spacing w:val="-8"/>
                <w:sz w:val="21"/>
              </w:rPr>
              <w:t xml:space="preserve"> </w:t>
            </w:r>
            <w:r>
              <w:rPr>
                <w:sz w:val="21"/>
              </w:rPr>
              <w:t>Native,</w:t>
            </w:r>
            <w:r>
              <w:rPr>
                <w:spacing w:val="-7"/>
                <w:sz w:val="21"/>
              </w:rPr>
              <w:t xml:space="preserve"> </w:t>
            </w:r>
            <w:r>
              <w:rPr>
                <w:sz w:val="21"/>
              </w:rPr>
              <w:t>or</w:t>
            </w:r>
            <w:r>
              <w:rPr>
                <w:spacing w:val="-7"/>
                <w:sz w:val="21"/>
              </w:rPr>
              <w:t xml:space="preserve"> </w:t>
            </w:r>
            <w:r>
              <w:rPr>
                <w:sz w:val="21"/>
              </w:rPr>
              <w:t>Native</w:t>
            </w:r>
            <w:r>
              <w:rPr>
                <w:spacing w:val="-8"/>
                <w:sz w:val="21"/>
              </w:rPr>
              <w:t xml:space="preserve"> </w:t>
            </w:r>
            <w:r>
              <w:rPr>
                <w:spacing w:val="-2"/>
                <w:sz w:val="21"/>
              </w:rPr>
              <w:t>Hawaiian/Other</w:t>
            </w:r>
          </w:p>
          <w:p w:rsidR="003F5784" w14:paraId="0459AEAD" w14:textId="77777777">
            <w:pPr>
              <w:pStyle w:val="TableParagraph"/>
              <w:spacing w:before="0" w:line="236" w:lineRule="exact"/>
              <w:ind w:right="137"/>
              <w:rPr>
                <w:sz w:val="21"/>
              </w:rPr>
            </w:pPr>
            <w:r>
              <w:rPr>
                <w:sz w:val="21"/>
              </w:rPr>
              <w:t>Pacific</w:t>
            </w:r>
            <w:r>
              <w:rPr>
                <w:spacing w:val="-6"/>
                <w:sz w:val="21"/>
              </w:rPr>
              <w:t xml:space="preserve"> </w:t>
            </w:r>
            <w:r>
              <w:rPr>
                <w:sz w:val="21"/>
              </w:rPr>
              <w:t>Islander</w:t>
            </w:r>
            <w:r>
              <w:rPr>
                <w:spacing w:val="-6"/>
                <w:sz w:val="21"/>
              </w:rPr>
              <w:t xml:space="preserve"> </w:t>
            </w:r>
            <w:r>
              <w:rPr>
                <w:sz w:val="21"/>
              </w:rPr>
              <w:t>youth</w:t>
            </w:r>
            <w:r>
              <w:rPr>
                <w:spacing w:val="-6"/>
                <w:sz w:val="21"/>
              </w:rPr>
              <w:t xml:space="preserve"> </w:t>
            </w:r>
            <w:r>
              <w:rPr>
                <w:sz w:val="21"/>
              </w:rPr>
              <w:t>&lt;=</w:t>
            </w:r>
            <w:r>
              <w:rPr>
                <w:spacing w:val="-6"/>
                <w:sz w:val="21"/>
              </w:rPr>
              <w:t xml:space="preserve"> </w:t>
            </w:r>
            <w:r>
              <w:rPr>
                <w:spacing w:val="-4"/>
                <w:sz w:val="21"/>
              </w:rPr>
              <w:t>18.4</w:t>
            </w:r>
          </w:p>
        </w:tc>
        <w:tc>
          <w:tcPr>
            <w:tcW w:w="2447" w:type="dxa"/>
          </w:tcPr>
          <w:p w:rsidR="003F5784" w14:paraId="7F8ECDEE" w14:textId="77777777">
            <w:pPr>
              <w:pStyle w:val="TableParagraph"/>
              <w:spacing w:line="238" w:lineRule="exact"/>
              <w:ind w:right="115"/>
              <w:rPr>
                <w:sz w:val="21"/>
              </w:rPr>
            </w:pPr>
            <w:r>
              <w:rPr>
                <w:sz w:val="21"/>
              </w:rPr>
              <w:t>Percentage</w:t>
            </w:r>
            <w:r>
              <w:rPr>
                <w:spacing w:val="-7"/>
                <w:sz w:val="21"/>
              </w:rPr>
              <w:t xml:space="preserve"> </w:t>
            </w:r>
            <w:r>
              <w:rPr>
                <w:sz w:val="21"/>
              </w:rPr>
              <w:t>of</w:t>
            </w:r>
            <w:r>
              <w:rPr>
                <w:spacing w:val="-7"/>
                <w:sz w:val="21"/>
              </w:rPr>
              <w:t xml:space="preserve"> </w:t>
            </w:r>
            <w:r>
              <w:rPr>
                <w:sz w:val="21"/>
              </w:rPr>
              <w:t>renters</w:t>
            </w:r>
            <w:r>
              <w:rPr>
                <w:spacing w:val="-6"/>
                <w:sz w:val="21"/>
              </w:rPr>
              <w:t xml:space="preserve"> </w:t>
            </w:r>
            <w:r>
              <w:rPr>
                <w:spacing w:val="-5"/>
                <w:sz w:val="21"/>
              </w:rPr>
              <w:t>&lt;=</w:t>
            </w:r>
          </w:p>
          <w:p w:rsidR="003F5784" w14:paraId="247F0E50" w14:textId="77777777">
            <w:pPr>
              <w:pStyle w:val="TableParagraph"/>
              <w:spacing w:before="0" w:line="238" w:lineRule="exact"/>
              <w:ind w:right="115"/>
              <w:rPr>
                <w:sz w:val="21"/>
              </w:rPr>
            </w:pPr>
            <w:r>
              <w:rPr>
                <w:spacing w:val="-4"/>
                <w:sz w:val="21"/>
              </w:rPr>
              <w:t>29.3</w:t>
            </w:r>
          </w:p>
        </w:tc>
        <w:tc>
          <w:tcPr>
            <w:tcW w:w="4282" w:type="dxa"/>
          </w:tcPr>
          <w:p w:rsidR="003F5784" w14:paraId="3954C770" w14:textId="77777777">
            <w:pPr>
              <w:pStyle w:val="TableParagraph"/>
              <w:ind w:right="115"/>
              <w:rPr>
                <w:sz w:val="21"/>
              </w:rPr>
            </w:pPr>
            <w:r>
              <w:rPr>
                <w:spacing w:val="-10"/>
                <w:sz w:val="21"/>
              </w:rPr>
              <w:t>†</w:t>
            </w:r>
          </w:p>
        </w:tc>
        <w:tc>
          <w:tcPr>
            <w:tcW w:w="719" w:type="dxa"/>
          </w:tcPr>
          <w:p w:rsidR="003F5784" w14:paraId="0473EC42" w14:textId="77777777">
            <w:pPr>
              <w:pStyle w:val="TableParagraph"/>
              <w:ind w:right="136"/>
              <w:rPr>
                <w:sz w:val="21"/>
              </w:rPr>
            </w:pPr>
            <w:r>
              <w:rPr>
                <w:spacing w:val="-10"/>
                <w:sz w:val="21"/>
              </w:rPr>
              <w:t>8</w:t>
            </w:r>
          </w:p>
        </w:tc>
        <w:tc>
          <w:tcPr>
            <w:tcW w:w="1201" w:type="dxa"/>
          </w:tcPr>
          <w:p w:rsidR="003F5784" w14:paraId="6E3B47E9" w14:textId="77777777">
            <w:pPr>
              <w:pStyle w:val="TableParagraph"/>
              <w:ind w:right="118"/>
              <w:rPr>
                <w:sz w:val="21"/>
              </w:rPr>
            </w:pPr>
            <w:r>
              <w:rPr>
                <w:spacing w:val="-2"/>
                <w:sz w:val="21"/>
              </w:rPr>
              <w:t>447,020</w:t>
            </w:r>
          </w:p>
        </w:tc>
      </w:tr>
      <w:tr w14:paraId="123BC378" w14:textId="77777777">
        <w:tblPrEx>
          <w:tblW w:w="0" w:type="auto"/>
          <w:tblInd w:w="482" w:type="dxa"/>
          <w:tblLayout w:type="fixed"/>
          <w:tblCellMar>
            <w:left w:w="0" w:type="dxa"/>
            <w:right w:w="0" w:type="dxa"/>
          </w:tblCellMar>
          <w:tblLook w:val="01E0"/>
        </w:tblPrEx>
        <w:trPr>
          <w:trHeight w:val="755"/>
        </w:trPr>
        <w:tc>
          <w:tcPr>
            <w:tcW w:w="965" w:type="dxa"/>
          </w:tcPr>
          <w:p w:rsidR="003F5784" w14:paraId="603603CA" w14:textId="77777777">
            <w:pPr>
              <w:pStyle w:val="TableParagraph"/>
              <w:ind w:left="120"/>
              <w:jc w:val="left"/>
              <w:rPr>
                <w:sz w:val="21"/>
              </w:rPr>
            </w:pPr>
            <w:r>
              <w:rPr>
                <w:spacing w:val="-10"/>
                <w:sz w:val="21"/>
              </w:rPr>
              <w:t>2</w:t>
            </w:r>
          </w:p>
        </w:tc>
        <w:tc>
          <w:tcPr>
            <w:tcW w:w="4371" w:type="dxa"/>
          </w:tcPr>
          <w:p w:rsidR="003F5784" w14:paraId="133C3DB8" w14:textId="77777777">
            <w:pPr>
              <w:pStyle w:val="TableParagraph"/>
              <w:spacing w:before="23" w:line="232" w:lineRule="auto"/>
              <w:ind w:left="184" w:right="137" w:firstLine="608"/>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w:t>
            </w:r>
            <w:r>
              <w:rPr>
                <w:spacing w:val="-13"/>
                <w:sz w:val="21"/>
              </w:rPr>
              <w:t xml:space="preserve"> </w:t>
            </w:r>
            <w:r>
              <w:rPr>
                <w:sz w:val="21"/>
              </w:rPr>
              <w:t>American Indian/Alaska</w:t>
            </w:r>
            <w:r>
              <w:rPr>
                <w:spacing w:val="-8"/>
                <w:sz w:val="21"/>
              </w:rPr>
              <w:t xml:space="preserve"> </w:t>
            </w:r>
            <w:r>
              <w:rPr>
                <w:sz w:val="21"/>
              </w:rPr>
              <w:t>Native,</w:t>
            </w:r>
            <w:r>
              <w:rPr>
                <w:spacing w:val="-7"/>
                <w:sz w:val="21"/>
              </w:rPr>
              <w:t xml:space="preserve"> </w:t>
            </w:r>
            <w:r>
              <w:rPr>
                <w:sz w:val="21"/>
              </w:rPr>
              <w:t>or</w:t>
            </w:r>
            <w:r>
              <w:rPr>
                <w:spacing w:val="-7"/>
                <w:sz w:val="21"/>
              </w:rPr>
              <w:t xml:space="preserve"> </w:t>
            </w:r>
            <w:r>
              <w:rPr>
                <w:sz w:val="21"/>
              </w:rPr>
              <w:t>Native</w:t>
            </w:r>
            <w:r>
              <w:rPr>
                <w:spacing w:val="-8"/>
                <w:sz w:val="21"/>
              </w:rPr>
              <w:t xml:space="preserve"> </w:t>
            </w:r>
            <w:r>
              <w:rPr>
                <w:spacing w:val="-2"/>
                <w:sz w:val="21"/>
              </w:rPr>
              <w:t>Hawaiian/Other</w:t>
            </w:r>
          </w:p>
          <w:p w:rsidR="003F5784" w14:paraId="09186D73" w14:textId="77777777">
            <w:pPr>
              <w:pStyle w:val="TableParagraph"/>
              <w:spacing w:before="0" w:line="236" w:lineRule="exact"/>
              <w:ind w:right="137"/>
              <w:rPr>
                <w:sz w:val="21"/>
              </w:rPr>
            </w:pPr>
            <w:r>
              <w:rPr>
                <w:sz w:val="21"/>
              </w:rPr>
              <w:t>Pacific</w:t>
            </w:r>
            <w:r>
              <w:rPr>
                <w:spacing w:val="-6"/>
                <w:sz w:val="21"/>
              </w:rPr>
              <w:t xml:space="preserve"> </w:t>
            </w:r>
            <w:r>
              <w:rPr>
                <w:sz w:val="21"/>
              </w:rPr>
              <w:t>Islander</w:t>
            </w:r>
            <w:r>
              <w:rPr>
                <w:spacing w:val="-6"/>
                <w:sz w:val="21"/>
              </w:rPr>
              <w:t xml:space="preserve"> </w:t>
            </w:r>
            <w:r>
              <w:rPr>
                <w:sz w:val="21"/>
              </w:rPr>
              <w:t>youth</w:t>
            </w:r>
            <w:r>
              <w:rPr>
                <w:spacing w:val="-6"/>
                <w:sz w:val="21"/>
              </w:rPr>
              <w:t xml:space="preserve"> </w:t>
            </w:r>
            <w:r>
              <w:rPr>
                <w:sz w:val="21"/>
              </w:rPr>
              <w:t>&lt;=</w:t>
            </w:r>
            <w:r>
              <w:rPr>
                <w:spacing w:val="-6"/>
                <w:sz w:val="21"/>
              </w:rPr>
              <w:t xml:space="preserve"> </w:t>
            </w:r>
            <w:r>
              <w:rPr>
                <w:spacing w:val="-4"/>
                <w:sz w:val="21"/>
              </w:rPr>
              <w:t>18.4</w:t>
            </w:r>
          </w:p>
        </w:tc>
        <w:tc>
          <w:tcPr>
            <w:tcW w:w="2447" w:type="dxa"/>
          </w:tcPr>
          <w:p w:rsidR="003F5784" w14:paraId="092B91B3" w14:textId="77777777">
            <w:pPr>
              <w:pStyle w:val="TableParagraph"/>
              <w:spacing w:line="238" w:lineRule="exact"/>
              <w:ind w:right="115"/>
              <w:rPr>
                <w:sz w:val="21"/>
              </w:rPr>
            </w:pPr>
            <w:r>
              <w:rPr>
                <w:sz w:val="21"/>
              </w:rPr>
              <w:t>Percentage</w:t>
            </w:r>
            <w:r>
              <w:rPr>
                <w:spacing w:val="-7"/>
                <w:sz w:val="21"/>
              </w:rPr>
              <w:t xml:space="preserve"> </w:t>
            </w:r>
            <w:r>
              <w:rPr>
                <w:sz w:val="21"/>
              </w:rPr>
              <w:t>of</w:t>
            </w:r>
            <w:r>
              <w:rPr>
                <w:spacing w:val="-6"/>
                <w:sz w:val="21"/>
              </w:rPr>
              <w:t xml:space="preserve"> </w:t>
            </w:r>
            <w:r>
              <w:rPr>
                <w:spacing w:val="-2"/>
                <w:sz w:val="21"/>
              </w:rPr>
              <w:t>renters</w:t>
            </w:r>
          </w:p>
          <w:p w:rsidR="003F5784" w14:paraId="678126FD" w14:textId="77777777">
            <w:pPr>
              <w:pStyle w:val="TableParagraph"/>
              <w:spacing w:before="0" w:line="238" w:lineRule="exact"/>
              <w:ind w:right="115"/>
              <w:rPr>
                <w:sz w:val="21"/>
              </w:rPr>
            </w:pPr>
            <w:r>
              <w:rPr>
                <w:spacing w:val="-2"/>
                <w:sz w:val="21"/>
              </w:rPr>
              <w:t>(29.3-</w:t>
            </w:r>
            <w:r>
              <w:rPr>
                <w:spacing w:val="-5"/>
                <w:sz w:val="21"/>
              </w:rPr>
              <w:t>31]</w:t>
            </w:r>
          </w:p>
        </w:tc>
        <w:tc>
          <w:tcPr>
            <w:tcW w:w="4282" w:type="dxa"/>
          </w:tcPr>
          <w:p w:rsidR="003F5784" w14:paraId="60C1A322" w14:textId="77777777">
            <w:pPr>
              <w:pStyle w:val="TableParagraph"/>
              <w:ind w:right="115"/>
              <w:rPr>
                <w:sz w:val="21"/>
              </w:rPr>
            </w:pPr>
            <w:r>
              <w:rPr>
                <w:spacing w:val="-10"/>
                <w:sz w:val="21"/>
              </w:rPr>
              <w:t>†</w:t>
            </w:r>
          </w:p>
        </w:tc>
        <w:tc>
          <w:tcPr>
            <w:tcW w:w="719" w:type="dxa"/>
          </w:tcPr>
          <w:p w:rsidR="003F5784" w14:paraId="7F9C266A" w14:textId="77777777">
            <w:pPr>
              <w:pStyle w:val="TableParagraph"/>
              <w:ind w:right="136"/>
              <w:rPr>
                <w:sz w:val="21"/>
              </w:rPr>
            </w:pPr>
            <w:r>
              <w:rPr>
                <w:spacing w:val="-10"/>
                <w:sz w:val="21"/>
              </w:rPr>
              <w:t>6</w:t>
            </w:r>
          </w:p>
        </w:tc>
        <w:tc>
          <w:tcPr>
            <w:tcW w:w="1201" w:type="dxa"/>
          </w:tcPr>
          <w:p w:rsidR="003F5784" w14:paraId="247AB342" w14:textId="77777777">
            <w:pPr>
              <w:pStyle w:val="TableParagraph"/>
              <w:ind w:right="118"/>
              <w:rPr>
                <w:sz w:val="21"/>
              </w:rPr>
            </w:pPr>
            <w:r>
              <w:rPr>
                <w:spacing w:val="-2"/>
                <w:sz w:val="21"/>
              </w:rPr>
              <w:t>500,321</w:t>
            </w:r>
          </w:p>
        </w:tc>
      </w:tr>
      <w:tr w14:paraId="383CAC0F" w14:textId="77777777">
        <w:tblPrEx>
          <w:tblW w:w="0" w:type="auto"/>
          <w:tblInd w:w="482" w:type="dxa"/>
          <w:tblLayout w:type="fixed"/>
          <w:tblCellMar>
            <w:left w:w="0" w:type="dxa"/>
            <w:right w:w="0" w:type="dxa"/>
          </w:tblCellMar>
          <w:tblLook w:val="01E0"/>
        </w:tblPrEx>
        <w:trPr>
          <w:trHeight w:val="755"/>
        </w:trPr>
        <w:tc>
          <w:tcPr>
            <w:tcW w:w="965" w:type="dxa"/>
          </w:tcPr>
          <w:p w:rsidR="003F5784" w14:paraId="19C699EE" w14:textId="77777777">
            <w:pPr>
              <w:pStyle w:val="TableParagraph"/>
              <w:ind w:left="120"/>
              <w:jc w:val="left"/>
              <w:rPr>
                <w:sz w:val="21"/>
              </w:rPr>
            </w:pPr>
            <w:r>
              <w:rPr>
                <w:spacing w:val="-10"/>
                <w:sz w:val="21"/>
              </w:rPr>
              <w:t>3</w:t>
            </w:r>
          </w:p>
        </w:tc>
        <w:tc>
          <w:tcPr>
            <w:tcW w:w="4371" w:type="dxa"/>
          </w:tcPr>
          <w:p w:rsidR="003F5784" w14:paraId="730BEFF0" w14:textId="77777777">
            <w:pPr>
              <w:pStyle w:val="TableParagraph"/>
              <w:spacing w:before="23" w:line="232" w:lineRule="auto"/>
              <w:ind w:left="184" w:right="137" w:firstLine="608"/>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w:t>
            </w:r>
            <w:r>
              <w:rPr>
                <w:spacing w:val="-13"/>
                <w:sz w:val="21"/>
              </w:rPr>
              <w:t xml:space="preserve"> </w:t>
            </w:r>
            <w:r>
              <w:rPr>
                <w:sz w:val="21"/>
              </w:rPr>
              <w:t>American Indian/Alaska</w:t>
            </w:r>
            <w:r>
              <w:rPr>
                <w:spacing w:val="-8"/>
                <w:sz w:val="21"/>
              </w:rPr>
              <w:t xml:space="preserve"> </w:t>
            </w:r>
            <w:r>
              <w:rPr>
                <w:sz w:val="21"/>
              </w:rPr>
              <w:t>Native,</w:t>
            </w:r>
            <w:r>
              <w:rPr>
                <w:spacing w:val="-7"/>
                <w:sz w:val="21"/>
              </w:rPr>
              <w:t xml:space="preserve"> </w:t>
            </w:r>
            <w:r>
              <w:rPr>
                <w:sz w:val="21"/>
              </w:rPr>
              <w:t>or</w:t>
            </w:r>
            <w:r>
              <w:rPr>
                <w:spacing w:val="-7"/>
                <w:sz w:val="21"/>
              </w:rPr>
              <w:t xml:space="preserve"> </w:t>
            </w:r>
            <w:r>
              <w:rPr>
                <w:sz w:val="21"/>
              </w:rPr>
              <w:t>Native</w:t>
            </w:r>
            <w:r>
              <w:rPr>
                <w:spacing w:val="-8"/>
                <w:sz w:val="21"/>
              </w:rPr>
              <w:t xml:space="preserve"> </w:t>
            </w:r>
            <w:r>
              <w:rPr>
                <w:spacing w:val="-2"/>
                <w:sz w:val="21"/>
              </w:rPr>
              <w:t>Hawaiian/Other</w:t>
            </w:r>
          </w:p>
          <w:p w:rsidR="003F5784" w14:paraId="2C00B809" w14:textId="77777777">
            <w:pPr>
              <w:pStyle w:val="TableParagraph"/>
              <w:spacing w:before="0" w:line="236" w:lineRule="exact"/>
              <w:ind w:right="137"/>
              <w:rPr>
                <w:sz w:val="21"/>
              </w:rPr>
            </w:pPr>
            <w:r>
              <w:rPr>
                <w:sz w:val="21"/>
              </w:rPr>
              <w:t>Pacific</w:t>
            </w:r>
            <w:r>
              <w:rPr>
                <w:spacing w:val="-6"/>
                <w:sz w:val="21"/>
              </w:rPr>
              <w:t xml:space="preserve"> </w:t>
            </w:r>
            <w:r>
              <w:rPr>
                <w:sz w:val="21"/>
              </w:rPr>
              <w:t>Islander</w:t>
            </w:r>
            <w:r>
              <w:rPr>
                <w:spacing w:val="-6"/>
                <w:sz w:val="21"/>
              </w:rPr>
              <w:t xml:space="preserve"> </w:t>
            </w:r>
            <w:r>
              <w:rPr>
                <w:sz w:val="21"/>
              </w:rPr>
              <w:t>youth</w:t>
            </w:r>
            <w:r>
              <w:rPr>
                <w:spacing w:val="-6"/>
                <w:sz w:val="21"/>
              </w:rPr>
              <w:t xml:space="preserve"> </w:t>
            </w:r>
            <w:r>
              <w:rPr>
                <w:sz w:val="21"/>
              </w:rPr>
              <w:t>&lt;=</w:t>
            </w:r>
            <w:r>
              <w:rPr>
                <w:spacing w:val="-6"/>
                <w:sz w:val="21"/>
              </w:rPr>
              <w:t xml:space="preserve"> </w:t>
            </w:r>
            <w:r>
              <w:rPr>
                <w:spacing w:val="-4"/>
                <w:sz w:val="21"/>
              </w:rPr>
              <w:t>18.4</w:t>
            </w:r>
          </w:p>
        </w:tc>
        <w:tc>
          <w:tcPr>
            <w:tcW w:w="2447" w:type="dxa"/>
          </w:tcPr>
          <w:p w:rsidR="003F5784" w14:paraId="32A0EFD6" w14:textId="77777777">
            <w:pPr>
              <w:pStyle w:val="TableParagraph"/>
              <w:ind w:right="115"/>
              <w:rPr>
                <w:sz w:val="21"/>
              </w:rPr>
            </w:pPr>
            <w:r>
              <w:rPr>
                <w:sz w:val="21"/>
              </w:rPr>
              <w:t>Percentage</w:t>
            </w:r>
            <w:r>
              <w:rPr>
                <w:spacing w:val="-6"/>
                <w:sz w:val="21"/>
              </w:rPr>
              <w:t xml:space="preserve"> </w:t>
            </w:r>
            <w:r>
              <w:rPr>
                <w:sz w:val="21"/>
              </w:rPr>
              <w:t>of</w:t>
            </w:r>
            <w:r>
              <w:rPr>
                <w:spacing w:val="-5"/>
                <w:sz w:val="21"/>
              </w:rPr>
              <w:t xml:space="preserve"> </w:t>
            </w:r>
            <w:r>
              <w:rPr>
                <w:sz w:val="21"/>
              </w:rPr>
              <w:t>renters</w:t>
            </w:r>
            <w:r>
              <w:rPr>
                <w:spacing w:val="-6"/>
                <w:sz w:val="21"/>
              </w:rPr>
              <w:t xml:space="preserve"> </w:t>
            </w:r>
            <w:r>
              <w:rPr>
                <w:sz w:val="21"/>
              </w:rPr>
              <w:t>&gt;</w:t>
            </w:r>
            <w:r>
              <w:rPr>
                <w:spacing w:val="-5"/>
                <w:sz w:val="21"/>
              </w:rPr>
              <w:t xml:space="preserve"> 31</w:t>
            </w:r>
          </w:p>
        </w:tc>
        <w:tc>
          <w:tcPr>
            <w:tcW w:w="4282" w:type="dxa"/>
          </w:tcPr>
          <w:p w:rsidR="003F5784" w14:paraId="631DB1EB" w14:textId="77777777">
            <w:pPr>
              <w:pStyle w:val="TableParagraph"/>
              <w:spacing w:line="238" w:lineRule="exact"/>
              <w:ind w:right="115"/>
              <w:rPr>
                <w:sz w:val="21"/>
              </w:rPr>
            </w:pPr>
            <w:r>
              <w:rPr>
                <w:sz w:val="21"/>
              </w:rPr>
              <w:t>Percentage</w:t>
            </w:r>
            <w:r>
              <w:rPr>
                <w:spacing w:val="-6"/>
                <w:sz w:val="21"/>
              </w:rPr>
              <w:t xml:space="preserve"> </w:t>
            </w:r>
            <w:r>
              <w:rPr>
                <w:sz w:val="21"/>
              </w:rPr>
              <w:t>of</w:t>
            </w:r>
            <w:r>
              <w:rPr>
                <w:spacing w:val="-5"/>
                <w:sz w:val="21"/>
              </w:rPr>
              <w:t xml:space="preserve"> </w:t>
            </w:r>
            <w:r>
              <w:rPr>
                <w:sz w:val="21"/>
              </w:rPr>
              <w:t>persons</w:t>
            </w:r>
            <w:r>
              <w:rPr>
                <w:spacing w:val="-5"/>
                <w:sz w:val="21"/>
              </w:rPr>
              <w:t xml:space="preserve"> </w:t>
            </w:r>
            <w:r>
              <w:rPr>
                <w:sz w:val="21"/>
              </w:rPr>
              <w:t>aged</w:t>
            </w:r>
            <w:r>
              <w:rPr>
                <w:spacing w:val="-5"/>
                <w:sz w:val="21"/>
              </w:rPr>
              <w:t xml:space="preserve"> </w:t>
            </w:r>
            <w:r>
              <w:rPr>
                <w:sz w:val="21"/>
              </w:rPr>
              <w:t>25+</w:t>
            </w:r>
            <w:r>
              <w:rPr>
                <w:spacing w:val="-5"/>
                <w:sz w:val="21"/>
              </w:rPr>
              <w:t xml:space="preserve"> </w:t>
            </w:r>
            <w:r>
              <w:rPr>
                <w:sz w:val="21"/>
              </w:rPr>
              <w:t>with</w:t>
            </w:r>
            <w:r>
              <w:rPr>
                <w:spacing w:val="-6"/>
                <w:sz w:val="21"/>
              </w:rPr>
              <w:t xml:space="preserve"> </w:t>
            </w:r>
            <w:r>
              <w:rPr>
                <w:sz w:val="21"/>
              </w:rPr>
              <w:t>a</w:t>
            </w:r>
            <w:r>
              <w:rPr>
                <w:spacing w:val="-5"/>
                <w:sz w:val="21"/>
              </w:rPr>
              <w:t xml:space="preserve"> </w:t>
            </w:r>
            <w:r>
              <w:rPr>
                <w:spacing w:val="-2"/>
                <w:sz w:val="21"/>
              </w:rPr>
              <w:t>college</w:t>
            </w:r>
          </w:p>
          <w:p w:rsidR="003F5784" w14:paraId="053F61A9" w14:textId="77777777">
            <w:pPr>
              <w:pStyle w:val="TableParagraph"/>
              <w:spacing w:before="0" w:line="238" w:lineRule="exact"/>
              <w:ind w:right="115"/>
              <w:rPr>
                <w:sz w:val="21"/>
              </w:rPr>
            </w:pPr>
            <w:r>
              <w:rPr>
                <w:sz w:val="21"/>
              </w:rPr>
              <w:t>degree</w:t>
            </w:r>
            <w:r>
              <w:rPr>
                <w:spacing w:val="-5"/>
                <w:sz w:val="21"/>
              </w:rPr>
              <w:t xml:space="preserve"> </w:t>
            </w:r>
            <w:r>
              <w:rPr>
                <w:sz w:val="21"/>
              </w:rPr>
              <w:t>&lt;=</w:t>
            </w:r>
            <w:r>
              <w:rPr>
                <w:spacing w:val="-5"/>
                <w:sz w:val="21"/>
              </w:rPr>
              <w:t xml:space="preserve"> </w:t>
            </w:r>
            <w:r>
              <w:rPr>
                <w:spacing w:val="-4"/>
                <w:sz w:val="21"/>
              </w:rPr>
              <w:t>28.1</w:t>
            </w:r>
          </w:p>
        </w:tc>
        <w:tc>
          <w:tcPr>
            <w:tcW w:w="719" w:type="dxa"/>
          </w:tcPr>
          <w:p w:rsidR="003F5784" w14:paraId="6B924956" w14:textId="77777777">
            <w:pPr>
              <w:pStyle w:val="TableParagraph"/>
              <w:ind w:right="136"/>
              <w:rPr>
                <w:sz w:val="21"/>
              </w:rPr>
            </w:pPr>
            <w:r>
              <w:rPr>
                <w:spacing w:val="-5"/>
                <w:sz w:val="21"/>
              </w:rPr>
              <w:t>10</w:t>
            </w:r>
          </w:p>
        </w:tc>
        <w:tc>
          <w:tcPr>
            <w:tcW w:w="1201" w:type="dxa"/>
          </w:tcPr>
          <w:p w:rsidR="003F5784" w14:paraId="66146A3E" w14:textId="77777777">
            <w:pPr>
              <w:pStyle w:val="TableParagraph"/>
              <w:ind w:right="118"/>
              <w:rPr>
                <w:sz w:val="21"/>
              </w:rPr>
            </w:pPr>
            <w:r>
              <w:rPr>
                <w:spacing w:val="-2"/>
                <w:sz w:val="21"/>
              </w:rPr>
              <w:t>447,141</w:t>
            </w:r>
          </w:p>
        </w:tc>
      </w:tr>
      <w:tr w14:paraId="6C827C37" w14:textId="77777777">
        <w:tblPrEx>
          <w:tblW w:w="0" w:type="auto"/>
          <w:tblInd w:w="482" w:type="dxa"/>
          <w:tblLayout w:type="fixed"/>
          <w:tblCellMar>
            <w:left w:w="0" w:type="dxa"/>
            <w:right w:w="0" w:type="dxa"/>
          </w:tblCellMar>
          <w:tblLook w:val="01E0"/>
        </w:tblPrEx>
        <w:trPr>
          <w:trHeight w:val="755"/>
        </w:trPr>
        <w:tc>
          <w:tcPr>
            <w:tcW w:w="965" w:type="dxa"/>
          </w:tcPr>
          <w:p w:rsidR="003F5784" w14:paraId="0AA185A2" w14:textId="77777777">
            <w:pPr>
              <w:pStyle w:val="TableParagraph"/>
              <w:ind w:left="120"/>
              <w:jc w:val="left"/>
              <w:rPr>
                <w:sz w:val="21"/>
              </w:rPr>
            </w:pPr>
            <w:r>
              <w:rPr>
                <w:spacing w:val="-10"/>
                <w:sz w:val="21"/>
              </w:rPr>
              <w:t>4</w:t>
            </w:r>
          </w:p>
        </w:tc>
        <w:tc>
          <w:tcPr>
            <w:tcW w:w="4371" w:type="dxa"/>
          </w:tcPr>
          <w:p w:rsidR="003F5784" w14:paraId="71904495" w14:textId="77777777">
            <w:pPr>
              <w:pStyle w:val="TableParagraph"/>
              <w:spacing w:before="23" w:line="232" w:lineRule="auto"/>
              <w:ind w:left="184" w:right="137" w:firstLine="608"/>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w:t>
            </w:r>
            <w:r>
              <w:rPr>
                <w:spacing w:val="-13"/>
                <w:sz w:val="21"/>
              </w:rPr>
              <w:t xml:space="preserve"> </w:t>
            </w:r>
            <w:r>
              <w:rPr>
                <w:sz w:val="21"/>
              </w:rPr>
              <w:t>American Indian/Alaska</w:t>
            </w:r>
            <w:r>
              <w:rPr>
                <w:spacing w:val="-8"/>
                <w:sz w:val="21"/>
              </w:rPr>
              <w:t xml:space="preserve"> </w:t>
            </w:r>
            <w:r>
              <w:rPr>
                <w:sz w:val="21"/>
              </w:rPr>
              <w:t>Native,</w:t>
            </w:r>
            <w:r>
              <w:rPr>
                <w:spacing w:val="-7"/>
                <w:sz w:val="21"/>
              </w:rPr>
              <w:t xml:space="preserve"> </w:t>
            </w:r>
            <w:r>
              <w:rPr>
                <w:sz w:val="21"/>
              </w:rPr>
              <w:t>or</w:t>
            </w:r>
            <w:r>
              <w:rPr>
                <w:spacing w:val="-7"/>
                <w:sz w:val="21"/>
              </w:rPr>
              <w:t xml:space="preserve"> </w:t>
            </w:r>
            <w:r>
              <w:rPr>
                <w:sz w:val="21"/>
              </w:rPr>
              <w:t>Native</w:t>
            </w:r>
            <w:r>
              <w:rPr>
                <w:spacing w:val="-8"/>
                <w:sz w:val="21"/>
              </w:rPr>
              <w:t xml:space="preserve"> </w:t>
            </w:r>
            <w:r>
              <w:rPr>
                <w:spacing w:val="-2"/>
                <w:sz w:val="21"/>
              </w:rPr>
              <w:t>Hawaiian/Other</w:t>
            </w:r>
          </w:p>
          <w:p w:rsidR="003F5784" w14:paraId="46A3F2D4" w14:textId="77777777">
            <w:pPr>
              <w:pStyle w:val="TableParagraph"/>
              <w:spacing w:before="0" w:line="236" w:lineRule="exact"/>
              <w:ind w:right="137"/>
              <w:rPr>
                <w:sz w:val="21"/>
              </w:rPr>
            </w:pPr>
            <w:r>
              <w:rPr>
                <w:sz w:val="21"/>
              </w:rPr>
              <w:t>Pacific</w:t>
            </w:r>
            <w:r>
              <w:rPr>
                <w:spacing w:val="-6"/>
                <w:sz w:val="21"/>
              </w:rPr>
              <w:t xml:space="preserve"> </w:t>
            </w:r>
            <w:r>
              <w:rPr>
                <w:sz w:val="21"/>
              </w:rPr>
              <w:t>Islander</w:t>
            </w:r>
            <w:r>
              <w:rPr>
                <w:spacing w:val="-6"/>
                <w:sz w:val="21"/>
              </w:rPr>
              <w:t xml:space="preserve"> </w:t>
            </w:r>
            <w:r>
              <w:rPr>
                <w:sz w:val="21"/>
              </w:rPr>
              <w:t>youth</w:t>
            </w:r>
            <w:r>
              <w:rPr>
                <w:spacing w:val="-6"/>
                <w:sz w:val="21"/>
              </w:rPr>
              <w:t xml:space="preserve"> </w:t>
            </w:r>
            <w:r>
              <w:rPr>
                <w:sz w:val="21"/>
              </w:rPr>
              <w:t>&lt;=</w:t>
            </w:r>
            <w:r>
              <w:rPr>
                <w:spacing w:val="-6"/>
                <w:sz w:val="21"/>
              </w:rPr>
              <w:t xml:space="preserve"> </w:t>
            </w:r>
            <w:r>
              <w:rPr>
                <w:spacing w:val="-4"/>
                <w:sz w:val="21"/>
              </w:rPr>
              <w:t>18.4</w:t>
            </w:r>
          </w:p>
        </w:tc>
        <w:tc>
          <w:tcPr>
            <w:tcW w:w="2447" w:type="dxa"/>
          </w:tcPr>
          <w:p w:rsidR="003F5784" w14:paraId="1AA77BAB" w14:textId="77777777">
            <w:pPr>
              <w:pStyle w:val="TableParagraph"/>
              <w:ind w:right="115"/>
              <w:rPr>
                <w:sz w:val="21"/>
              </w:rPr>
            </w:pPr>
            <w:r>
              <w:rPr>
                <w:sz w:val="21"/>
              </w:rPr>
              <w:t>Percentage</w:t>
            </w:r>
            <w:r>
              <w:rPr>
                <w:spacing w:val="-6"/>
                <w:sz w:val="21"/>
              </w:rPr>
              <w:t xml:space="preserve"> </w:t>
            </w:r>
            <w:r>
              <w:rPr>
                <w:sz w:val="21"/>
              </w:rPr>
              <w:t>of</w:t>
            </w:r>
            <w:r>
              <w:rPr>
                <w:spacing w:val="-5"/>
                <w:sz w:val="21"/>
              </w:rPr>
              <w:t xml:space="preserve"> </w:t>
            </w:r>
            <w:r>
              <w:rPr>
                <w:sz w:val="21"/>
              </w:rPr>
              <w:t>renters</w:t>
            </w:r>
            <w:r>
              <w:rPr>
                <w:spacing w:val="-6"/>
                <w:sz w:val="21"/>
              </w:rPr>
              <w:t xml:space="preserve"> </w:t>
            </w:r>
            <w:r>
              <w:rPr>
                <w:sz w:val="21"/>
              </w:rPr>
              <w:t>&gt;</w:t>
            </w:r>
            <w:r>
              <w:rPr>
                <w:spacing w:val="-5"/>
                <w:sz w:val="21"/>
              </w:rPr>
              <w:t xml:space="preserve"> 31</w:t>
            </w:r>
          </w:p>
        </w:tc>
        <w:tc>
          <w:tcPr>
            <w:tcW w:w="4282" w:type="dxa"/>
          </w:tcPr>
          <w:p w:rsidR="003F5784" w14:paraId="264021FE" w14:textId="77777777">
            <w:pPr>
              <w:pStyle w:val="TableParagraph"/>
              <w:spacing w:line="238" w:lineRule="exact"/>
              <w:ind w:right="115"/>
              <w:rPr>
                <w:sz w:val="21"/>
              </w:rPr>
            </w:pPr>
            <w:r>
              <w:rPr>
                <w:sz w:val="21"/>
              </w:rPr>
              <w:t>Percentage</w:t>
            </w:r>
            <w:r>
              <w:rPr>
                <w:spacing w:val="-6"/>
                <w:sz w:val="21"/>
              </w:rPr>
              <w:t xml:space="preserve"> </w:t>
            </w:r>
            <w:r>
              <w:rPr>
                <w:sz w:val="21"/>
              </w:rPr>
              <w:t>of</w:t>
            </w:r>
            <w:r>
              <w:rPr>
                <w:spacing w:val="-5"/>
                <w:sz w:val="21"/>
              </w:rPr>
              <w:t xml:space="preserve"> </w:t>
            </w:r>
            <w:r>
              <w:rPr>
                <w:sz w:val="21"/>
              </w:rPr>
              <w:t>persons</w:t>
            </w:r>
            <w:r>
              <w:rPr>
                <w:spacing w:val="-5"/>
                <w:sz w:val="21"/>
              </w:rPr>
              <w:t xml:space="preserve"> </w:t>
            </w:r>
            <w:r>
              <w:rPr>
                <w:sz w:val="21"/>
              </w:rPr>
              <w:t>aged</w:t>
            </w:r>
            <w:r>
              <w:rPr>
                <w:spacing w:val="-5"/>
                <w:sz w:val="21"/>
              </w:rPr>
              <w:t xml:space="preserve"> </w:t>
            </w:r>
            <w:r>
              <w:rPr>
                <w:sz w:val="21"/>
              </w:rPr>
              <w:t>25+</w:t>
            </w:r>
            <w:r>
              <w:rPr>
                <w:spacing w:val="-5"/>
                <w:sz w:val="21"/>
              </w:rPr>
              <w:t xml:space="preserve"> </w:t>
            </w:r>
            <w:r>
              <w:rPr>
                <w:sz w:val="21"/>
              </w:rPr>
              <w:t>with</w:t>
            </w:r>
            <w:r>
              <w:rPr>
                <w:spacing w:val="-6"/>
                <w:sz w:val="21"/>
              </w:rPr>
              <w:t xml:space="preserve"> </w:t>
            </w:r>
            <w:r>
              <w:rPr>
                <w:sz w:val="21"/>
              </w:rPr>
              <w:t>a</w:t>
            </w:r>
            <w:r>
              <w:rPr>
                <w:spacing w:val="-5"/>
                <w:sz w:val="21"/>
              </w:rPr>
              <w:t xml:space="preserve"> </w:t>
            </w:r>
            <w:r>
              <w:rPr>
                <w:spacing w:val="-2"/>
                <w:sz w:val="21"/>
              </w:rPr>
              <w:t>college</w:t>
            </w:r>
          </w:p>
          <w:p w:rsidR="003F5784" w14:paraId="0564E312" w14:textId="77777777">
            <w:pPr>
              <w:pStyle w:val="TableParagraph"/>
              <w:spacing w:before="0" w:line="238" w:lineRule="exact"/>
              <w:ind w:right="115"/>
              <w:rPr>
                <w:sz w:val="21"/>
              </w:rPr>
            </w:pPr>
            <w:r>
              <w:rPr>
                <w:sz w:val="21"/>
              </w:rPr>
              <w:t>degree</w:t>
            </w:r>
            <w:r>
              <w:rPr>
                <w:spacing w:val="-5"/>
                <w:sz w:val="21"/>
              </w:rPr>
              <w:t xml:space="preserve"> </w:t>
            </w:r>
            <w:r>
              <w:rPr>
                <w:sz w:val="21"/>
              </w:rPr>
              <w:t>&gt;</w:t>
            </w:r>
            <w:r>
              <w:rPr>
                <w:spacing w:val="-4"/>
                <w:sz w:val="21"/>
              </w:rPr>
              <w:t xml:space="preserve"> 28.1</w:t>
            </w:r>
          </w:p>
        </w:tc>
        <w:tc>
          <w:tcPr>
            <w:tcW w:w="719" w:type="dxa"/>
          </w:tcPr>
          <w:p w:rsidR="003F5784" w14:paraId="0A67DC32" w14:textId="77777777">
            <w:pPr>
              <w:pStyle w:val="TableParagraph"/>
              <w:ind w:right="136"/>
              <w:rPr>
                <w:sz w:val="21"/>
              </w:rPr>
            </w:pPr>
            <w:r>
              <w:rPr>
                <w:spacing w:val="-10"/>
                <w:sz w:val="21"/>
              </w:rPr>
              <w:t>9</w:t>
            </w:r>
          </w:p>
        </w:tc>
        <w:tc>
          <w:tcPr>
            <w:tcW w:w="1201" w:type="dxa"/>
          </w:tcPr>
          <w:p w:rsidR="003F5784" w14:paraId="4D77158C" w14:textId="77777777">
            <w:pPr>
              <w:pStyle w:val="TableParagraph"/>
              <w:ind w:right="118"/>
              <w:rPr>
                <w:sz w:val="21"/>
              </w:rPr>
            </w:pPr>
            <w:r>
              <w:rPr>
                <w:spacing w:val="-2"/>
                <w:sz w:val="21"/>
              </w:rPr>
              <w:t>454,153</w:t>
            </w:r>
          </w:p>
        </w:tc>
      </w:tr>
      <w:tr w14:paraId="75F69F95" w14:textId="77777777">
        <w:tblPrEx>
          <w:tblW w:w="0" w:type="auto"/>
          <w:tblInd w:w="482" w:type="dxa"/>
          <w:tblLayout w:type="fixed"/>
          <w:tblCellMar>
            <w:left w:w="0" w:type="dxa"/>
            <w:right w:w="0" w:type="dxa"/>
          </w:tblCellMar>
          <w:tblLook w:val="01E0"/>
        </w:tblPrEx>
        <w:trPr>
          <w:trHeight w:val="755"/>
        </w:trPr>
        <w:tc>
          <w:tcPr>
            <w:tcW w:w="965" w:type="dxa"/>
          </w:tcPr>
          <w:p w:rsidR="003F5784" w14:paraId="64E43A72" w14:textId="77777777">
            <w:pPr>
              <w:pStyle w:val="TableParagraph"/>
              <w:ind w:left="120"/>
              <w:jc w:val="left"/>
              <w:rPr>
                <w:sz w:val="21"/>
              </w:rPr>
            </w:pPr>
            <w:r>
              <w:rPr>
                <w:spacing w:val="-10"/>
                <w:sz w:val="21"/>
              </w:rPr>
              <w:t>5</w:t>
            </w:r>
          </w:p>
        </w:tc>
        <w:tc>
          <w:tcPr>
            <w:tcW w:w="4371" w:type="dxa"/>
          </w:tcPr>
          <w:p w:rsidR="003F5784" w14:paraId="22A319FB" w14:textId="77777777">
            <w:pPr>
              <w:pStyle w:val="TableParagraph"/>
              <w:spacing w:before="23" w:line="232" w:lineRule="auto"/>
              <w:ind w:left="184" w:right="137" w:firstLine="608"/>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w:t>
            </w:r>
            <w:r>
              <w:rPr>
                <w:spacing w:val="-13"/>
                <w:sz w:val="21"/>
              </w:rPr>
              <w:t xml:space="preserve"> </w:t>
            </w:r>
            <w:r>
              <w:rPr>
                <w:sz w:val="21"/>
              </w:rPr>
              <w:t>American Indian/Alaska</w:t>
            </w:r>
            <w:r>
              <w:rPr>
                <w:spacing w:val="-8"/>
                <w:sz w:val="21"/>
              </w:rPr>
              <w:t xml:space="preserve"> </w:t>
            </w:r>
            <w:r>
              <w:rPr>
                <w:sz w:val="21"/>
              </w:rPr>
              <w:t>Native,</w:t>
            </w:r>
            <w:r>
              <w:rPr>
                <w:spacing w:val="-7"/>
                <w:sz w:val="21"/>
              </w:rPr>
              <w:t xml:space="preserve"> </w:t>
            </w:r>
            <w:r>
              <w:rPr>
                <w:sz w:val="21"/>
              </w:rPr>
              <w:t>or</w:t>
            </w:r>
            <w:r>
              <w:rPr>
                <w:spacing w:val="-7"/>
                <w:sz w:val="21"/>
              </w:rPr>
              <w:t xml:space="preserve"> </w:t>
            </w:r>
            <w:r>
              <w:rPr>
                <w:sz w:val="21"/>
              </w:rPr>
              <w:t>Native</w:t>
            </w:r>
            <w:r>
              <w:rPr>
                <w:spacing w:val="-8"/>
                <w:sz w:val="21"/>
              </w:rPr>
              <w:t xml:space="preserve"> </w:t>
            </w:r>
            <w:r>
              <w:rPr>
                <w:spacing w:val="-2"/>
                <w:sz w:val="21"/>
              </w:rPr>
              <w:t>Hawaiian/Other</w:t>
            </w:r>
          </w:p>
          <w:p w:rsidR="003F5784" w14:paraId="6628819B" w14:textId="77777777">
            <w:pPr>
              <w:pStyle w:val="TableParagraph"/>
              <w:spacing w:before="0" w:line="236" w:lineRule="exact"/>
              <w:ind w:right="137"/>
              <w:rPr>
                <w:sz w:val="21"/>
              </w:rPr>
            </w:pPr>
            <w:r>
              <w:rPr>
                <w:sz w:val="21"/>
              </w:rPr>
              <w:t>Pacific</w:t>
            </w:r>
            <w:r>
              <w:rPr>
                <w:spacing w:val="-9"/>
                <w:sz w:val="21"/>
              </w:rPr>
              <w:t xml:space="preserve"> </w:t>
            </w:r>
            <w:r>
              <w:rPr>
                <w:sz w:val="21"/>
              </w:rPr>
              <w:t>Islander</w:t>
            </w:r>
            <w:r>
              <w:rPr>
                <w:spacing w:val="-8"/>
                <w:sz w:val="21"/>
              </w:rPr>
              <w:t xml:space="preserve"> </w:t>
            </w:r>
            <w:r>
              <w:rPr>
                <w:sz w:val="21"/>
              </w:rPr>
              <w:t>youth</w:t>
            </w:r>
            <w:r>
              <w:rPr>
                <w:spacing w:val="-9"/>
                <w:sz w:val="21"/>
              </w:rPr>
              <w:t xml:space="preserve"> </w:t>
            </w:r>
            <w:r>
              <w:rPr>
                <w:sz w:val="21"/>
              </w:rPr>
              <w:t>(18.4-</w:t>
            </w:r>
            <w:r>
              <w:rPr>
                <w:spacing w:val="-2"/>
                <w:sz w:val="21"/>
              </w:rPr>
              <w:t>44.3]</w:t>
            </w:r>
          </w:p>
        </w:tc>
        <w:tc>
          <w:tcPr>
            <w:tcW w:w="2447" w:type="dxa"/>
          </w:tcPr>
          <w:p w:rsidR="003F5784" w14:paraId="3B0105D4" w14:textId="77777777">
            <w:pPr>
              <w:pStyle w:val="TableParagraph"/>
              <w:spacing w:line="238" w:lineRule="exact"/>
              <w:ind w:right="115"/>
              <w:rPr>
                <w:sz w:val="21"/>
              </w:rPr>
            </w:pPr>
            <w:r>
              <w:rPr>
                <w:sz w:val="21"/>
              </w:rPr>
              <w:t>Percentage</w:t>
            </w:r>
            <w:r>
              <w:rPr>
                <w:spacing w:val="-7"/>
                <w:sz w:val="21"/>
              </w:rPr>
              <w:t xml:space="preserve"> </w:t>
            </w:r>
            <w:r>
              <w:rPr>
                <w:sz w:val="21"/>
              </w:rPr>
              <w:t>of</w:t>
            </w:r>
            <w:r>
              <w:rPr>
                <w:spacing w:val="-7"/>
                <w:sz w:val="21"/>
              </w:rPr>
              <w:t xml:space="preserve"> </w:t>
            </w:r>
            <w:r>
              <w:rPr>
                <w:sz w:val="21"/>
              </w:rPr>
              <w:t>renters</w:t>
            </w:r>
            <w:r>
              <w:rPr>
                <w:spacing w:val="-6"/>
                <w:sz w:val="21"/>
              </w:rPr>
              <w:t xml:space="preserve"> </w:t>
            </w:r>
            <w:r>
              <w:rPr>
                <w:spacing w:val="-5"/>
                <w:sz w:val="21"/>
              </w:rPr>
              <w:t>&lt;=</w:t>
            </w:r>
          </w:p>
          <w:p w:rsidR="003F5784" w14:paraId="31496CC9" w14:textId="77777777">
            <w:pPr>
              <w:pStyle w:val="TableParagraph"/>
              <w:spacing w:before="0" w:line="238" w:lineRule="exact"/>
              <w:ind w:right="115"/>
              <w:rPr>
                <w:sz w:val="21"/>
              </w:rPr>
            </w:pPr>
            <w:r>
              <w:rPr>
                <w:spacing w:val="-4"/>
                <w:sz w:val="21"/>
              </w:rPr>
              <w:t>33.6</w:t>
            </w:r>
          </w:p>
        </w:tc>
        <w:tc>
          <w:tcPr>
            <w:tcW w:w="4282" w:type="dxa"/>
          </w:tcPr>
          <w:p w:rsidR="003F5784" w14:paraId="68DF1B88" w14:textId="77777777">
            <w:pPr>
              <w:pStyle w:val="TableParagraph"/>
              <w:spacing w:before="23" w:line="232" w:lineRule="auto"/>
              <w:ind w:left="117" w:right="115" w:firstLine="607"/>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w:t>
            </w:r>
            <w:r>
              <w:rPr>
                <w:spacing w:val="-13"/>
                <w:sz w:val="21"/>
              </w:rPr>
              <w:t xml:space="preserve"> </w:t>
            </w:r>
            <w:r>
              <w:rPr>
                <w:sz w:val="21"/>
              </w:rPr>
              <w:t>American Indian/Alaska</w:t>
            </w:r>
            <w:r>
              <w:rPr>
                <w:spacing w:val="-8"/>
                <w:sz w:val="21"/>
              </w:rPr>
              <w:t xml:space="preserve"> </w:t>
            </w:r>
            <w:r>
              <w:rPr>
                <w:sz w:val="21"/>
              </w:rPr>
              <w:t>Native,</w:t>
            </w:r>
            <w:r>
              <w:rPr>
                <w:spacing w:val="-7"/>
                <w:sz w:val="21"/>
              </w:rPr>
              <w:t xml:space="preserve"> </w:t>
            </w:r>
            <w:r>
              <w:rPr>
                <w:sz w:val="21"/>
              </w:rPr>
              <w:t>or</w:t>
            </w:r>
            <w:r>
              <w:rPr>
                <w:spacing w:val="-7"/>
                <w:sz w:val="21"/>
              </w:rPr>
              <w:t xml:space="preserve"> </w:t>
            </w:r>
            <w:r>
              <w:rPr>
                <w:sz w:val="21"/>
              </w:rPr>
              <w:t>Native</w:t>
            </w:r>
            <w:r>
              <w:rPr>
                <w:spacing w:val="-8"/>
                <w:sz w:val="21"/>
              </w:rPr>
              <w:t xml:space="preserve"> </w:t>
            </w:r>
            <w:r>
              <w:rPr>
                <w:spacing w:val="-2"/>
                <w:sz w:val="21"/>
              </w:rPr>
              <w:t>Hawaiian/Other</w:t>
            </w:r>
          </w:p>
          <w:p w:rsidR="003F5784" w14:paraId="5230194E" w14:textId="77777777">
            <w:pPr>
              <w:pStyle w:val="TableParagraph"/>
              <w:spacing w:before="0" w:line="236" w:lineRule="exact"/>
              <w:ind w:right="115"/>
              <w:rPr>
                <w:sz w:val="21"/>
              </w:rPr>
            </w:pPr>
            <w:r>
              <w:rPr>
                <w:sz w:val="21"/>
              </w:rPr>
              <w:t>Pacific</w:t>
            </w:r>
            <w:r>
              <w:rPr>
                <w:spacing w:val="-6"/>
                <w:sz w:val="21"/>
              </w:rPr>
              <w:t xml:space="preserve"> </w:t>
            </w:r>
            <w:r>
              <w:rPr>
                <w:sz w:val="21"/>
              </w:rPr>
              <w:t>Islander</w:t>
            </w:r>
            <w:r>
              <w:rPr>
                <w:spacing w:val="-6"/>
                <w:sz w:val="21"/>
              </w:rPr>
              <w:t xml:space="preserve"> </w:t>
            </w:r>
            <w:r>
              <w:rPr>
                <w:sz w:val="21"/>
              </w:rPr>
              <w:t>youth</w:t>
            </w:r>
            <w:r>
              <w:rPr>
                <w:spacing w:val="-6"/>
                <w:sz w:val="21"/>
              </w:rPr>
              <w:t xml:space="preserve"> </w:t>
            </w:r>
            <w:r>
              <w:rPr>
                <w:sz w:val="21"/>
              </w:rPr>
              <w:t>&lt;=</w:t>
            </w:r>
            <w:r>
              <w:rPr>
                <w:spacing w:val="-6"/>
                <w:sz w:val="21"/>
              </w:rPr>
              <w:t xml:space="preserve"> </w:t>
            </w:r>
            <w:r>
              <w:rPr>
                <w:spacing w:val="-5"/>
                <w:sz w:val="21"/>
              </w:rPr>
              <w:t>21</w:t>
            </w:r>
          </w:p>
        </w:tc>
        <w:tc>
          <w:tcPr>
            <w:tcW w:w="719" w:type="dxa"/>
          </w:tcPr>
          <w:p w:rsidR="003F5784" w14:paraId="1A47AA91" w14:textId="77777777">
            <w:pPr>
              <w:pStyle w:val="TableParagraph"/>
              <w:ind w:right="136"/>
              <w:rPr>
                <w:sz w:val="21"/>
              </w:rPr>
            </w:pPr>
            <w:r>
              <w:rPr>
                <w:spacing w:val="-10"/>
                <w:sz w:val="21"/>
              </w:rPr>
              <w:t>2</w:t>
            </w:r>
          </w:p>
        </w:tc>
        <w:tc>
          <w:tcPr>
            <w:tcW w:w="1201" w:type="dxa"/>
          </w:tcPr>
          <w:p w:rsidR="003F5784" w14:paraId="4A673F5D" w14:textId="77777777">
            <w:pPr>
              <w:pStyle w:val="TableParagraph"/>
              <w:ind w:right="118"/>
              <w:rPr>
                <w:sz w:val="21"/>
              </w:rPr>
            </w:pPr>
            <w:r>
              <w:rPr>
                <w:spacing w:val="-2"/>
                <w:sz w:val="21"/>
              </w:rPr>
              <w:t>519,462</w:t>
            </w:r>
          </w:p>
        </w:tc>
      </w:tr>
      <w:tr w14:paraId="2211C999" w14:textId="77777777">
        <w:tblPrEx>
          <w:tblW w:w="0" w:type="auto"/>
          <w:tblInd w:w="482" w:type="dxa"/>
          <w:tblLayout w:type="fixed"/>
          <w:tblCellMar>
            <w:left w:w="0" w:type="dxa"/>
            <w:right w:w="0" w:type="dxa"/>
          </w:tblCellMar>
          <w:tblLook w:val="01E0"/>
        </w:tblPrEx>
        <w:trPr>
          <w:trHeight w:val="755"/>
        </w:trPr>
        <w:tc>
          <w:tcPr>
            <w:tcW w:w="965" w:type="dxa"/>
          </w:tcPr>
          <w:p w:rsidR="003F5784" w14:paraId="11551E4D" w14:textId="77777777">
            <w:pPr>
              <w:pStyle w:val="TableParagraph"/>
              <w:ind w:left="120"/>
              <w:jc w:val="left"/>
              <w:rPr>
                <w:sz w:val="21"/>
              </w:rPr>
            </w:pPr>
            <w:r>
              <w:rPr>
                <w:spacing w:val="-10"/>
                <w:sz w:val="21"/>
              </w:rPr>
              <w:t>6</w:t>
            </w:r>
          </w:p>
        </w:tc>
        <w:tc>
          <w:tcPr>
            <w:tcW w:w="4371" w:type="dxa"/>
          </w:tcPr>
          <w:p w:rsidR="003F5784" w14:paraId="09783D87" w14:textId="77777777">
            <w:pPr>
              <w:pStyle w:val="TableParagraph"/>
              <w:spacing w:before="23" w:line="232" w:lineRule="auto"/>
              <w:ind w:left="184" w:right="137" w:firstLine="608"/>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w:t>
            </w:r>
            <w:r>
              <w:rPr>
                <w:spacing w:val="-13"/>
                <w:sz w:val="21"/>
              </w:rPr>
              <w:t xml:space="preserve"> </w:t>
            </w:r>
            <w:r>
              <w:rPr>
                <w:sz w:val="21"/>
              </w:rPr>
              <w:t>American Indian/Alaska</w:t>
            </w:r>
            <w:r>
              <w:rPr>
                <w:spacing w:val="-8"/>
                <w:sz w:val="21"/>
              </w:rPr>
              <w:t xml:space="preserve"> </w:t>
            </w:r>
            <w:r>
              <w:rPr>
                <w:sz w:val="21"/>
              </w:rPr>
              <w:t>Native,</w:t>
            </w:r>
            <w:r>
              <w:rPr>
                <w:spacing w:val="-7"/>
                <w:sz w:val="21"/>
              </w:rPr>
              <w:t xml:space="preserve"> </w:t>
            </w:r>
            <w:r>
              <w:rPr>
                <w:sz w:val="21"/>
              </w:rPr>
              <w:t>or</w:t>
            </w:r>
            <w:r>
              <w:rPr>
                <w:spacing w:val="-7"/>
                <w:sz w:val="21"/>
              </w:rPr>
              <w:t xml:space="preserve"> </w:t>
            </w:r>
            <w:r>
              <w:rPr>
                <w:sz w:val="21"/>
              </w:rPr>
              <w:t>Native</w:t>
            </w:r>
            <w:r>
              <w:rPr>
                <w:spacing w:val="-8"/>
                <w:sz w:val="21"/>
              </w:rPr>
              <w:t xml:space="preserve"> </w:t>
            </w:r>
            <w:r>
              <w:rPr>
                <w:spacing w:val="-2"/>
                <w:sz w:val="21"/>
              </w:rPr>
              <w:t>Hawaiian/Other</w:t>
            </w:r>
          </w:p>
          <w:p w:rsidR="003F5784" w14:paraId="64DD1771" w14:textId="77777777">
            <w:pPr>
              <w:pStyle w:val="TableParagraph"/>
              <w:spacing w:before="0" w:line="236" w:lineRule="exact"/>
              <w:ind w:right="137"/>
              <w:rPr>
                <w:sz w:val="21"/>
              </w:rPr>
            </w:pPr>
            <w:r>
              <w:rPr>
                <w:sz w:val="21"/>
              </w:rPr>
              <w:t>Pacific</w:t>
            </w:r>
            <w:r>
              <w:rPr>
                <w:spacing w:val="-9"/>
                <w:sz w:val="21"/>
              </w:rPr>
              <w:t xml:space="preserve"> </w:t>
            </w:r>
            <w:r>
              <w:rPr>
                <w:sz w:val="21"/>
              </w:rPr>
              <w:t>Islander</w:t>
            </w:r>
            <w:r>
              <w:rPr>
                <w:spacing w:val="-8"/>
                <w:sz w:val="21"/>
              </w:rPr>
              <w:t xml:space="preserve"> </w:t>
            </w:r>
            <w:r>
              <w:rPr>
                <w:sz w:val="21"/>
              </w:rPr>
              <w:t>youth</w:t>
            </w:r>
            <w:r>
              <w:rPr>
                <w:spacing w:val="-9"/>
                <w:sz w:val="21"/>
              </w:rPr>
              <w:t xml:space="preserve"> </w:t>
            </w:r>
            <w:r>
              <w:rPr>
                <w:sz w:val="21"/>
              </w:rPr>
              <w:t>(18.4-</w:t>
            </w:r>
            <w:r>
              <w:rPr>
                <w:spacing w:val="-2"/>
                <w:sz w:val="21"/>
              </w:rPr>
              <w:t>44.3]</w:t>
            </w:r>
          </w:p>
        </w:tc>
        <w:tc>
          <w:tcPr>
            <w:tcW w:w="2447" w:type="dxa"/>
          </w:tcPr>
          <w:p w:rsidR="003F5784" w14:paraId="10D93B1F" w14:textId="77777777">
            <w:pPr>
              <w:pStyle w:val="TableParagraph"/>
              <w:spacing w:line="238" w:lineRule="exact"/>
              <w:ind w:right="115"/>
              <w:rPr>
                <w:sz w:val="21"/>
              </w:rPr>
            </w:pPr>
            <w:r>
              <w:rPr>
                <w:sz w:val="21"/>
              </w:rPr>
              <w:t>Percentage</w:t>
            </w:r>
            <w:r>
              <w:rPr>
                <w:spacing w:val="-7"/>
                <w:sz w:val="21"/>
              </w:rPr>
              <w:t xml:space="preserve"> </w:t>
            </w:r>
            <w:r>
              <w:rPr>
                <w:sz w:val="21"/>
              </w:rPr>
              <w:t>of</w:t>
            </w:r>
            <w:r>
              <w:rPr>
                <w:spacing w:val="-7"/>
                <w:sz w:val="21"/>
              </w:rPr>
              <w:t xml:space="preserve"> </w:t>
            </w:r>
            <w:r>
              <w:rPr>
                <w:sz w:val="21"/>
              </w:rPr>
              <w:t>renters</w:t>
            </w:r>
            <w:r>
              <w:rPr>
                <w:spacing w:val="-6"/>
                <w:sz w:val="21"/>
              </w:rPr>
              <w:t xml:space="preserve"> </w:t>
            </w:r>
            <w:r>
              <w:rPr>
                <w:spacing w:val="-5"/>
                <w:sz w:val="21"/>
              </w:rPr>
              <w:t>&lt;=</w:t>
            </w:r>
          </w:p>
          <w:p w:rsidR="003F5784" w14:paraId="78BDCB68" w14:textId="77777777">
            <w:pPr>
              <w:pStyle w:val="TableParagraph"/>
              <w:spacing w:before="0" w:line="238" w:lineRule="exact"/>
              <w:ind w:right="115"/>
              <w:rPr>
                <w:sz w:val="21"/>
              </w:rPr>
            </w:pPr>
            <w:r>
              <w:rPr>
                <w:spacing w:val="-4"/>
                <w:sz w:val="21"/>
              </w:rPr>
              <w:t>33.6</w:t>
            </w:r>
          </w:p>
        </w:tc>
        <w:tc>
          <w:tcPr>
            <w:tcW w:w="4282" w:type="dxa"/>
          </w:tcPr>
          <w:p w:rsidR="003F5784" w14:paraId="243148FF" w14:textId="77777777">
            <w:pPr>
              <w:pStyle w:val="TableParagraph"/>
              <w:spacing w:before="23" w:line="232" w:lineRule="auto"/>
              <w:ind w:left="117" w:right="115" w:firstLine="607"/>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w:t>
            </w:r>
            <w:r>
              <w:rPr>
                <w:spacing w:val="-13"/>
                <w:sz w:val="21"/>
              </w:rPr>
              <w:t xml:space="preserve"> </w:t>
            </w:r>
            <w:r>
              <w:rPr>
                <w:sz w:val="21"/>
              </w:rPr>
              <w:t>American Indian/Alaska</w:t>
            </w:r>
            <w:r>
              <w:rPr>
                <w:spacing w:val="-8"/>
                <w:sz w:val="21"/>
              </w:rPr>
              <w:t xml:space="preserve"> </w:t>
            </w:r>
            <w:r>
              <w:rPr>
                <w:sz w:val="21"/>
              </w:rPr>
              <w:t>Native,</w:t>
            </w:r>
            <w:r>
              <w:rPr>
                <w:spacing w:val="-7"/>
                <w:sz w:val="21"/>
              </w:rPr>
              <w:t xml:space="preserve"> </w:t>
            </w:r>
            <w:r>
              <w:rPr>
                <w:sz w:val="21"/>
              </w:rPr>
              <w:t>or</w:t>
            </w:r>
            <w:r>
              <w:rPr>
                <w:spacing w:val="-7"/>
                <w:sz w:val="21"/>
              </w:rPr>
              <w:t xml:space="preserve"> </w:t>
            </w:r>
            <w:r>
              <w:rPr>
                <w:sz w:val="21"/>
              </w:rPr>
              <w:t>Native</w:t>
            </w:r>
            <w:r>
              <w:rPr>
                <w:spacing w:val="-8"/>
                <w:sz w:val="21"/>
              </w:rPr>
              <w:t xml:space="preserve"> </w:t>
            </w:r>
            <w:r>
              <w:rPr>
                <w:spacing w:val="-2"/>
                <w:sz w:val="21"/>
              </w:rPr>
              <w:t>Hawaiian/Other</w:t>
            </w:r>
          </w:p>
          <w:p w:rsidR="003F5784" w14:paraId="11CA2DFD" w14:textId="77777777">
            <w:pPr>
              <w:pStyle w:val="TableParagraph"/>
              <w:spacing w:before="0" w:line="236" w:lineRule="exact"/>
              <w:ind w:right="115"/>
              <w:rPr>
                <w:sz w:val="21"/>
              </w:rPr>
            </w:pPr>
            <w:r>
              <w:rPr>
                <w:sz w:val="21"/>
              </w:rPr>
              <w:t>Pacific</w:t>
            </w:r>
            <w:r>
              <w:rPr>
                <w:spacing w:val="-6"/>
                <w:sz w:val="21"/>
              </w:rPr>
              <w:t xml:space="preserve"> </w:t>
            </w:r>
            <w:r>
              <w:rPr>
                <w:sz w:val="21"/>
              </w:rPr>
              <w:t>Islander</w:t>
            </w:r>
            <w:r>
              <w:rPr>
                <w:spacing w:val="-6"/>
                <w:sz w:val="21"/>
              </w:rPr>
              <w:t xml:space="preserve"> </w:t>
            </w:r>
            <w:r>
              <w:rPr>
                <w:sz w:val="21"/>
              </w:rPr>
              <w:t>youth</w:t>
            </w:r>
            <w:r>
              <w:rPr>
                <w:spacing w:val="-5"/>
                <w:sz w:val="21"/>
              </w:rPr>
              <w:t xml:space="preserve"> </w:t>
            </w:r>
            <w:r>
              <w:rPr>
                <w:sz w:val="21"/>
              </w:rPr>
              <w:t>&gt;</w:t>
            </w:r>
            <w:r>
              <w:rPr>
                <w:spacing w:val="-6"/>
                <w:sz w:val="21"/>
              </w:rPr>
              <w:t xml:space="preserve"> </w:t>
            </w:r>
            <w:r>
              <w:rPr>
                <w:spacing w:val="-5"/>
                <w:sz w:val="21"/>
              </w:rPr>
              <w:t>21</w:t>
            </w:r>
          </w:p>
        </w:tc>
        <w:tc>
          <w:tcPr>
            <w:tcW w:w="719" w:type="dxa"/>
          </w:tcPr>
          <w:p w:rsidR="003F5784" w14:paraId="1453041A" w14:textId="77777777">
            <w:pPr>
              <w:pStyle w:val="TableParagraph"/>
              <w:ind w:right="136"/>
              <w:rPr>
                <w:sz w:val="21"/>
              </w:rPr>
            </w:pPr>
            <w:r>
              <w:rPr>
                <w:spacing w:val="-10"/>
                <w:sz w:val="21"/>
              </w:rPr>
              <w:t>5</w:t>
            </w:r>
          </w:p>
        </w:tc>
        <w:tc>
          <w:tcPr>
            <w:tcW w:w="1201" w:type="dxa"/>
          </w:tcPr>
          <w:p w:rsidR="003F5784" w14:paraId="4FD10DF8" w14:textId="77777777">
            <w:pPr>
              <w:pStyle w:val="TableParagraph"/>
              <w:ind w:right="118"/>
              <w:rPr>
                <w:sz w:val="21"/>
              </w:rPr>
            </w:pPr>
            <w:r>
              <w:rPr>
                <w:spacing w:val="-2"/>
                <w:sz w:val="21"/>
              </w:rPr>
              <w:t>429,036</w:t>
            </w:r>
          </w:p>
        </w:tc>
      </w:tr>
      <w:tr w14:paraId="1AAF3F46" w14:textId="77777777">
        <w:tblPrEx>
          <w:tblW w:w="0" w:type="auto"/>
          <w:tblInd w:w="482" w:type="dxa"/>
          <w:tblLayout w:type="fixed"/>
          <w:tblCellMar>
            <w:left w:w="0" w:type="dxa"/>
            <w:right w:w="0" w:type="dxa"/>
          </w:tblCellMar>
          <w:tblLook w:val="01E0"/>
        </w:tblPrEx>
        <w:trPr>
          <w:trHeight w:val="755"/>
        </w:trPr>
        <w:tc>
          <w:tcPr>
            <w:tcW w:w="965" w:type="dxa"/>
          </w:tcPr>
          <w:p w:rsidR="003F5784" w14:paraId="1F6FB8A4" w14:textId="77777777">
            <w:pPr>
              <w:pStyle w:val="TableParagraph"/>
              <w:ind w:left="120"/>
              <w:jc w:val="left"/>
              <w:rPr>
                <w:sz w:val="21"/>
              </w:rPr>
            </w:pPr>
            <w:r>
              <w:rPr>
                <w:spacing w:val="-10"/>
                <w:sz w:val="21"/>
              </w:rPr>
              <w:t>7</w:t>
            </w:r>
          </w:p>
        </w:tc>
        <w:tc>
          <w:tcPr>
            <w:tcW w:w="4371" w:type="dxa"/>
          </w:tcPr>
          <w:p w:rsidR="003F5784" w14:paraId="1C0B3F0D" w14:textId="77777777">
            <w:pPr>
              <w:pStyle w:val="TableParagraph"/>
              <w:spacing w:before="23" w:line="232" w:lineRule="auto"/>
              <w:ind w:left="184" w:right="137" w:firstLine="608"/>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w:t>
            </w:r>
            <w:r>
              <w:rPr>
                <w:spacing w:val="-13"/>
                <w:sz w:val="21"/>
              </w:rPr>
              <w:t xml:space="preserve"> </w:t>
            </w:r>
            <w:r>
              <w:rPr>
                <w:sz w:val="21"/>
              </w:rPr>
              <w:t>American Indian/Alaska</w:t>
            </w:r>
            <w:r>
              <w:rPr>
                <w:spacing w:val="-8"/>
                <w:sz w:val="21"/>
              </w:rPr>
              <w:t xml:space="preserve"> </w:t>
            </w:r>
            <w:r>
              <w:rPr>
                <w:sz w:val="21"/>
              </w:rPr>
              <w:t>Native,</w:t>
            </w:r>
            <w:r>
              <w:rPr>
                <w:spacing w:val="-7"/>
                <w:sz w:val="21"/>
              </w:rPr>
              <w:t xml:space="preserve"> </w:t>
            </w:r>
            <w:r>
              <w:rPr>
                <w:sz w:val="21"/>
              </w:rPr>
              <w:t>or</w:t>
            </w:r>
            <w:r>
              <w:rPr>
                <w:spacing w:val="-7"/>
                <w:sz w:val="21"/>
              </w:rPr>
              <w:t xml:space="preserve"> </w:t>
            </w:r>
            <w:r>
              <w:rPr>
                <w:sz w:val="21"/>
              </w:rPr>
              <w:t>Native</w:t>
            </w:r>
            <w:r>
              <w:rPr>
                <w:spacing w:val="-8"/>
                <w:sz w:val="21"/>
              </w:rPr>
              <w:t xml:space="preserve"> </w:t>
            </w:r>
            <w:r>
              <w:rPr>
                <w:spacing w:val="-2"/>
                <w:sz w:val="21"/>
              </w:rPr>
              <w:t>Hawaiian/Other</w:t>
            </w:r>
          </w:p>
          <w:p w:rsidR="003F5784" w14:paraId="767E9688" w14:textId="77777777">
            <w:pPr>
              <w:pStyle w:val="TableParagraph"/>
              <w:spacing w:before="0" w:line="236" w:lineRule="exact"/>
              <w:ind w:right="137"/>
              <w:rPr>
                <w:sz w:val="21"/>
              </w:rPr>
            </w:pPr>
            <w:r>
              <w:rPr>
                <w:sz w:val="21"/>
              </w:rPr>
              <w:t>Pacific</w:t>
            </w:r>
            <w:r>
              <w:rPr>
                <w:spacing w:val="-9"/>
                <w:sz w:val="21"/>
              </w:rPr>
              <w:t xml:space="preserve"> </w:t>
            </w:r>
            <w:r>
              <w:rPr>
                <w:sz w:val="21"/>
              </w:rPr>
              <w:t>Islander</w:t>
            </w:r>
            <w:r>
              <w:rPr>
                <w:spacing w:val="-8"/>
                <w:sz w:val="21"/>
              </w:rPr>
              <w:t xml:space="preserve"> </w:t>
            </w:r>
            <w:r>
              <w:rPr>
                <w:sz w:val="21"/>
              </w:rPr>
              <w:t>youth</w:t>
            </w:r>
            <w:r>
              <w:rPr>
                <w:spacing w:val="-9"/>
                <w:sz w:val="21"/>
              </w:rPr>
              <w:t xml:space="preserve"> </w:t>
            </w:r>
            <w:r>
              <w:rPr>
                <w:sz w:val="21"/>
              </w:rPr>
              <w:t>(18.4-</w:t>
            </w:r>
            <w:r>
              <w:rPr>
                <w:spacing w:val="-2"/>
                <w:sz w:val="21"/>
              </w:rPr>
              <w:t>44.3]</w:t>
            </w:r>
          </w:p>
        </w:tc>
        <w:tc>
          <w:tcPr>
            <w:tcW w:w="2447" w:type="dxa"/>
          </w:tcPr>
          <w:p w:rsidR="003F5784" w14:paraId="7161E42D" w14:textId="77777777">
            <w:pPr>
              <w:pStyle w:val="TableParagraph"/>
              <w:spacing w:line="238" w:lineRule="exact"/>
              <w:ind w:right="115"/>
              <w:rPr>
                <w:sz w:val="21"/>
              </w:rPr>
            </w:pPr>
            <w:r>
              <w:rPr>
                <w:sz w:val="21"/>
              </w:rPr>
              <w:t>Percentage</w:t>
            </w:r>
            <w:r>
              <w:rPr>
                <w:spacing w:val="-7"/>
                <w:sz w:val="21"/>
              </w:rPr>
              <w:t xml:space="preserve"> </w:t>
            </w:r>
            <w:r>
              <w:rPr>
                <w:sz w:val="21"/>
              </w:rPr>
              <w:t>of</w:t>
            </w:r>
            <w:r>
              <w:rPr>
                <w:spacing w:val="-7"/>
                <w:sz w:val="21"/>
              </w:rPr>
              <w:t xml:space="preserve"> </w:t>
            </w:r>
            <w:r>
              <w:rPr>
                <w:sz w:val="21"/>
              </w:rPr>
              <w:t>renters</w:t>
            </w:r>
            <w:r>
              <w:rPr>
                <w:spacing w:val="-6"/>
                <w:sz w:val="21"/>
              </w:rPr>
              <w:t xml:space="preserve"> </w:t>
            </w:r>
            <w:r>
              <w:rPr>
                <w:spacing w:val="-10"/>
                <w:sz w:val="21"/>
              </w:rPr>
              <w:t>&gt;</w:t>
            </w:r>
          </w:p>
          <w:p w:rsidR="003F5784" w14:paraId="537B8D74" w14:textId="77777777">
            <w:pPr>
              <w:pStyle w:val="TableParagraph"/>
              <w:spacing w:before="0" w:line="238" w:lineRule="exact"/>
              <w:ind w:right="115"/>
              <w:rPr>
                <w:sz w:val="21"/>
              </w:rPr>
            </w:pPr>
            <w:r>
              <w:rPr>
                <w:spacing w:val="-4"/>
                <w:sz w:val="21"/>
              </w:rPr>
              <w:t>33.6</w:t>
            </w:r>
          </w:p>
        </w:tc>
        <w:tc>
          <w:tcPr>
            <w:tcW w:w="4282" w:type="dxa"/>
          </w:tcPr>
          <w:p w:rsidR="003F5784" w14:paraId="45EE85C3" w14:textId="77777777">
            <w:pPr>
              <w:pStyle w:val="TableParagraph"/>
              <w:spacing w:before="23" w:line="232" w:lineRule="auto"/>
              <w:ind w:left="117" w:right="115" w:firstLine="607"/>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w:t>
            </w:r>
            <w:r>
              <w:rPr>
                <w:spacing w:val="-13"/>
                <w:sz w:val="21"/>
              </w:rPr>
              <w:t xml:space="preserve"> </w:t>
            </w:r>
            <w:r>
              <w:rPr>
                <w:sz w:val="21"/>
              </w:rPr>
              <w:t>American Indian/Alaska</w:t>
            </w:r>
            <w:r>
              <w:rPr>
                <w:spacing w:val="-8"/>
                <w:sz w:val="21"/>
              </w:rPr>
              <w:t xml:space="preserve"> </w:t>
            </w:r>
            <w:r>
              <w:rPr>
                <w:sz w:val="21"/>
              </w:rPr>
              <w:t>Native,</w:t>
            </w:r>
            <w:r>
              <w:rPr>
                <w:spacing w:val="-7"/>
                <w:sz w:val="21"/>
              </w:rPr>
              <w:t xml:space="preserve"> </w:t>
            </w:r>
            <w:r>
              <w:rPr>
                <w:sz w:val="21"/>
              </w:rPr>
              <w:t>or</w:t>
            </w:r>
            <w:r>
              <w:rPr>
                <w:spacing w:val="-7"/>
                <w:sz w:val="21"/>
              </w:rPr>
              <w:t xml:space="preserve"> </w:t>
            </w:r>
            <w:r>
              <w:rPr>
                <w:sz w:val="21"/>
              </w:rPr>
              <w:t>Native</w:t>
            </w:r>
            <w:r>
              <w:rPr>
                <w:spacing w:val="-8"/>
                <w:sz w:val="21"/>
              </w:rPr>
              <w:t xml:space="preserve"> </w:t>
            </w:r>
            <w:r>
              <w:rPr>
                <w:spacing w:val="-2"/>
                <w:sz w:val="21"/>
              </w:rPr>
              <w:t>Hawaiian/Other</w:t>
            </w:r>
          </w:p>
          <w:p w:rsidR="003F5784" w14:paraId="6A8E75E2" w14:textId="77777777">
            <w:pPr>
              <w:pStyle w:val="TableParagraph"/>
              <w:spacing w:before="0" w:line="236" w:lineRule="exact"/>
              <w:ind w:right="115"/>
              <w:rPr>
                <w:sz w:val="21"/>
              </w:rPr>
            </w:pPr>
            <w:r>
              <w:rPr>
                <w:sz w:val="21"/>
              </w:rPr>
              <w:t>Pacific</w:t>
            </w:r>
            <w:r>
              <w:rPr>
                <w:spacing w:val="-6"/>
                <w:sz w:val="21"/>
              </w:rPr>
              <w:t xml:space="preserve"> </w:t>
            </w:r>
            <w:r>
              <w:rPr>
                <w:sz w:val="21"/>
              </w:rPr>
              <w:t>Islander</w:t>
            </w:r>
            <w:r>
              <w:rPr>
                <w:spacing w:val="-6"/>
                <w:sz w:val="21"/>
              </w:rPr>
              <w:t xml:space="preserve"> </w:t>
            </w:r>
            <w:r>
              <w:rPr>
                <w:sz w:val="21"/>
              </w:rPr>
              <w:t>youth</w:t>
            </w:r>
            <w:r>
              <w:rPr>
                <w:spacing w:val="-6"/>
                <w:sz w:val="21"/>
              </w:rPr>
              <w:t xml:space="preserve"> </w:t>
            </w:r>
            <w:r>
              <w:rPr>
                <w:sz w:val="21"/>
              </w:rPr>
              <w:t>&lt;=</w:t>
            </w:r>
            <w:r>
              <w:rPr>
                <w:spacing w:val="-6"/>
                <w:sz w:val="21"/>
              </w:rPr>
              <w:t xml:space="preserve"> </w:t>
            </w:r>
            <w:r>
              <w:rPr>
                <w:spacing w:val="-4"/>
                <w:sz w:val="21"/>
              </w:rPr>
              <w:t>32.4</w:t>
            </w:r>
          </w:p>
        </w:tc>
        <w:tc>
          <w:tcPr>
            <w:tcW w:w="719" w:type="dxa"/>
          </w:tcPr>
          <w:p w:rsidR="003F5784" w14:paraId="764D5C74" w14:textId="77777777">
            <w:pPr>
              <w:pStyle w:val="TableParagraph"/>
              <w:ind w:right="136"/>
              <w:rPr>
                <w:sz w:val="21"/>
              </w:rPr>
            </w:pPr>
            <w:r>
              <w:rPr>
                <w:spacing w:val="-10"/>
                <w:sz w:val="21"/>
              </w:rPr>
              <w:t>7</w:t>
            </w:r>
          </w:p>
        </w:tc>
        <w:tc>
          <w:tcPr>
            <w:tcW w:w="1201" w:type="dxa"/>
          </w:tcPr>
          <w:p w:rsidR="003F5784" w14:paraId="10E0C9ED" w14:textId="77777777">
            <w:pPr>
              <w:pStyle w:val="TableParagraph"/>
              <w:ind w:right="118"/>
              <w:rPr>
                <w:sz w:val="21"/>
              </w:rPr>
            </w:pPr>
            <w:r>
              <w:rPr>
                <w:spacing w:val="-2"/>
                <w:sz w:val="21"/>
              </w:rPr>
              <w:t>466,560</w:t>
            </w:r>
          </w:p>
        </w:tc>
      </w:tr>
      <w:tr w14:paraId="45113AC1" w14:textId="77777777">
        <w:tblPrEx>
          <w:tblW w:w="0" w:type="auto"/>
          <w:tblInd w:w="482" w:type="dxa"/>
          <w:tblLayout w:type="fixed"/>
          <w:tblCellMar>
            <w:left w:w="0" w:type="dxa"/>
            <w:right w:w="0" w:type="dxa"/>
          </w:tblCellMar>
          <w:tblLook w:val="01E0"/>
        </w:tblPrEx>
        <w:trPr>
          <w:trHeight w:val="755"/>
        </w:trPr>
        <w:tc>
          <w:tcPr>
            <w:tcW w:w="965" w:type="dxa"/>
          </w:tcPr>
          <w:p w:rsidR="003F5784" w14:paraId="501B206B" w14:textId="77777777">
            <w:pPr>
              <w:pStyle w:val="TableParagraph"/>
              <w:ind w:left="120"/>
              <w:jc w:val="left"/>
              <w:rPr>
                <w:sz w:val="21"/>
              </w:rPr>
            </w:pPr>
            <w:r>
              <w:rPr>
                <w:spacing w:val="-10"/>
                <w:sz w:val="21"/>
              </w:rPr>
              <w:t>8</w:t>
            </w:r>
          </w:p>
        </w:tc>
        <w:tc>
          <w:tcPr>
            <w:tcW w:w="4371" w:type="dxa"/>
          </w:tcPr>
          <w:p w:rsidR="003F5784" w14:paraId="3BB7875B" w14:textId="77777777">
            <w:pPr>
              <w:pStyle w:val="TableParagraph"/>
              <w:spacing w:before="23" w:line="232" w:lineRule="auto"/>
              <w:ind w:left="184" w:right="137" w:firstLine="608"/>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w:t>
            </w:r>
            <w:r>
              <w:rPr>
                <w:spacing w:val="-13"/>
                <w:sz w:val="21"/>
              </w:rPr>
              <w:t xml:space="preserve"> </w:t>
            </w:r>
            <w:r>
              <w:rPr>
                <w:sz w:val="21"/>
              </w:rPr>
              <w:t>American Indian/Alaska</w:t>
            </w:r>
            <w:r>
              <w:rPr>
                <w:spacing w:val="-8"/>
                <w:sz w:val="21"/>
              </w:rPr>
              <w:t xml:space="preserve"> </w:t>
            </w:r>
            <w:r>
              <w:rPr>
                <w:sz w:val="21"/>
              </w:rPr>
              <w:t>Native,</w:t>
            </w:r>
            <w:r>
              <w:rPr>
                <w:spacing w:val="-7"/>
                <w:sz w:val="21"/>
              </w:rPr>
              <w:t xml:space="preserve"> </w:t>
            </w:r>
            <w:r>
              <w:rPr>
                <w:sz w:val="21"/>
              </w:rPr>
              <w:t>or</w:t>
            </w:r>
            <w:r>
              <w:rPr>
                <w:spacing w:val="-7"/>
                <w:sz w:val="21"/>
              </w:rPr>
              <w:t xml:space="preserve"> </w:t>
            </w:r>
            <w:r>
              <w:rPr>
                <w:sz w:val="21"/>
              </w:rPr>
              <w:t>Native</w:t>
            </w:r>
            <w:r>
              <w:rPr>
                <w:spacing w:val="-8"/>
                <w:sz w:val="21"/>
              </w:rPr>
              <w:t xml:space="preserve"> </w:t>
            </w:r>
            <w:r>
              <w:rPr>
                <w:spacing w:val="-2"/>
                <w:sz w:val="21"/>
              </w:rPr>
              <w:t>Hawaiian/Other</w:t>
            </w:r>
          </w:p>
          <w:p w:rsidR="003F5784" w14:paraId="0AD089C6" w14:textId="77777777">
            <w:pPr>
              <w:pStyle w:val="TableParagraph"/>
              <w:spacing w:before="0" w:line="236" w:lineRule="exact"/>
              <w:ind w:right="137"/>
              <w:rPr>
                <w:sz w:val="21"/>
              </w:rPr>
            </w:pPr>
            <w:r>
              <w:rPr>
                <w:sz w:val="21"/>
              </w:rPr>
              <w:t>Pacific</w:t>
            </w:r>
            <w:r>
              <w:rPr>
                <w:spacing w:val="-9"/>
                <w:sz w:val="21"/>
              </w:rPr>
              <w:t xml:space="preserve"> </w:t>
            </w:r>
            <w:r>
              <w:rPr>
                <w:sz w:val="21"/>
              </w:rPr>
              <w:t>Islander</w:t>
            </w:r>
            <w:r>
              <w:rPr>
                <w:spacing w:val="-8"/>
                <w:sz w:val="21"/>
              </w:rPr>
              <w:t xml:space="preserve"> </w:t>
            </w:r>
            <w:r>
              <w:rPr>
                <w:sz w:val="21"/>
              </w:rPr>
              <w:t>youth</w:t>
            </w:r>
            <w:r>
              <w:rPr>
                <w:spacing w:val="-9"/>
                <w:sz w:val="21"/>
              </w:rPr>
              <w:t xml:space="preserve"> </w:t>
            </w:r>
            <w:r>
              <w:rPr>
                <w:sz w:val="21"/>
              </w:rPr>
              <w:t>(18.4-</w:t>
            </w:r>
            <w:r>
              <w:rPr>
                <w:spacing w:val="-2"/>
                <w:sz w:val="21"/>
              </w:rPr>
              <w:t>44.3]</w:t>
            </w:r>
          </w:p>
        </w:tc>
        <w:tc>
          <w:tcPr>
            <w:tcW w:w="2447" w:type="dxa"/>
          </w:tcPr>
          <w:p w:rsidR="003F5784" w14:paraId="7D4230FD" w14:textId="77777777">
            <w:pPr>
              <w:pStyle w:val="TableParagraph"/>
              <w:spacing w:line="238" w:lineRule="exact"/>
              <w:ind w:right="115"/>
              <w:rPr>
                <w:sz w:val="21"/>
              </w:rPr>
            </w:pPr>
            <w:r>
              <w:rPr>
                <w:sz w:val="21"/>
              </w:rPr>
              <w:t>Percentage</w:t>
            </w:r>
            <w:r>
              <w:rPr>
                <w:spacing w:val="-7"/>
                <w:sz w:val="21"/>
              </w:rPr>
              <w:t xml:space="preserve"> </w:t>
            </w:r>
            <w:r>
              <w:rPr>
                <w:sz w:val="21"/>
              </w:rPr>
              <w:t>of</w:t>
            </w:r>
            <w:r>
              <w:rPr>
                <w:spacing w:val="-7"/>
                <w:sz w:val="21"/>
              </w:rPr>
              <w:t xml:space="preserve"> </w:t>
            </w:r>
            <w:r>
              <w:rPr>
                <w:sz w:val="21"/>
              </w:rPr>
              <w:t>renters</w:t>
            </w:r>
            <w:r>
              <w:rPr>
                <w:spacing w:val="-6"/>
                <w:sz w:val="21"/>
              </w:rPr>
              <w:t xml:space="preserve"> </w:t>
            </w:r>
            <w:r>
              <w:rPr>
                <w:spacing w:val="-10"/>
                <w:sz w:val="21"/>
              </w:rPr>
              <w:t>&gt;</w:t>
            </w:r>
          </w:p>
          <w:p w:rsidR="003F5784" w14:paraId="6F5E65B9" w14:textId="77777777">
            <w:pPr>
              <w:pStyle w:val="TableParagraph"/>
              <w:spacing w:before="0" w:line="238" w:lineRule="exact"/>
              <w:ind w:right="115"/>
              <w:rPr>
                <w:sz w:val="21"/>
              </w:rPr>
            </w:pPr>
            <w:r>
              <w:rPr>
                <w:spacing w:val="-4"/>
                <w:sz w:val="21"/>
              </w:rPr>
              <w:t>33.6</w:t>
            </w:r>
          </w:p>
        </w:tc>
        <w:tc>
          <w:tcPr>
            <w:tcW w:w="4282" w:type="dxa"/>
          </w:tcPr>
          <w:p w:rsidR="003F5784" w14:paraId="13716850" w14:textId="77777777">
            <w:pPr>
              <w:pStyle w:val="TableParagraph"/>
              <w:spacing w:before="23" w:line="232" w:lineRule="auto"/>
              <w:ind w:left="117" w:right="115" w:firstLine="607"/>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w:t>
            </w:r>
            <w:r>
              <w:rPr>
                <w:spacing w:val="-13"/>
                <w:sz w:val="21"/>
              </w:rPr>
              <w:t xml:space="preserve"> </w:t>
            </w:r>
            <w:r>
              <w:rPr>
                <w:sz w:val="21"/>
              </w:rPr>
              <w:t>American Indian/Alaska</w:t>
            </w:r>
            <w:r>
              <w:rPr>
                <w:spacing w:val="-8"/>
                <w:sz w:val="21"/>
              </w:rPr>
              <w:t xml:space="preserve"> </w:t>
            </w:r>
            <w:r>
              <w:rPr>
                <w:sz w:val="21"/>
              </w:rPr>
              <w:t>Native,</w:t>
            </w:r>
            <w:r>
              <w:rPr>
                <w:spacing w:val="-7"/>
                <w:sz w:val="21"/>
              </w:rPr>
              <w:t xml:space="preserve"> </w:t>
            </w:r>
            <w:r>
              <w:rPr>
                <w:sz w:val="21"/>
              </w:rPr>
              <w:t>or</w:t>
            </w:r>
            <w:r>
              <w:rPr>
                <w:spacing w:val="-7"/>
                <w:sz w:val="21"/>
              </w:rPr>
              <w:t xml:space="preserve"> </w:t>
            </w:r>
            <w:r>
              <w:rPr>
                <w:sz w:val="21"/>
              </w:rPr>
              <w:t>Native</w:t>
            </w:r>
            <w:r>
              <w:rPr>
                <w:spacing w:val="-8"/>
                <w:sz w:val="21"/>
              </w:rPr>
              <w:t xml:space="preserve"> </w:t>
            </w:r>
            <w:r>
              <w:rPr>
                <w:spacing w:val="-2"/>
                <w:sz w:val="21"/>
              </w:rPr>
              <w:t>Hawaiian/Other</w:t>
            </w:r>
          </w:p>
          <w:p w:rsidR="003F5784" w14:paraId="00BB9384" w14:textId="77777777">
            <w:pPr>
              <w:pStyle w:val="TableParagraph"/>
              <w:spacing w:before="0" w:line="236" w:lineRule="exact"/>
              <w:ind w:right="115"/>
              <w:rPr>
                <w:sz w:val="21"/>
              </w:rPr>
            </w:pPr>
            <w:r>
              <w:rPr>
                <w:sz w:val="21"/>
              </w:rPr>
              <w:t>Pacific</w:t>
            </w:r>
            <w:r>
              <w:rPr>
                <w:spacing w:val="-6"/>
                <w:sz w:val="21"/>
              </w:rPr>
              <w:t xml:space="preserve"> </w:t>
            </w:r>
            <w:r>
              <w:rPr>
                <w:sz w:val="21"/>
              </w:rPr>
              <w:t>Islander</w:t>
            </w:r>
            <w:r>
              <w:rPr>
                <w:spacing w:val="-6"/>
                <w:sz w:val="21"/>
              </w:rPr>
              <w:t xml:space="preserve"> </w:t>
            </w:r>
            <w:r>
              <w:rPr>
                <w:sz w:val="21"/>
              </w:rPr>
              <w:t>youth</w:t>
            </w:r>
            <w:r>
              <w:rPr>
                <w:spacing w:val="-5"/>
                <w:sz w:val="21"/>
              </w:rPr>
              <w:t xml:space="preserve"> </w:t>
            </w:r>
            <w:r>
              <w:rPr>
                <w:sz w:val="21"/>
              </w:rPr>
              <w:t>&gt;</w:t>
            </w:r>
            <w:r>
              <w:rPr>
                <w:spacing w:val="-6"/>
                <w:sz w:val="21"/>
              </w:rPr>
              <w:t xml:space="preserve"> </w:t>
            </w:r>
            <w:r>
              <w:rPr>
                <w:spacing w:val="-4"/>
                <w:sz w:val="21"/>
              </w:rPr>
              <w:t>32.4</w:t>
            </w:r>
          </w:p>
        </w:tc>
        <w:tc>
          <w:tcPr>
            <w:tcW w:w="719" w:type="dxa"/>
          </w:tcPr>
          <w:p w:rsidR="003F5784" w14:paraId="3716E940" w14:textId="77777777">
            <w:pPr>
              <w:pStyle w:val="TableParagraph"/>
              <w:ind w:right="136"/>
              <w:rPr>
                <w:sz w:val="21"/>
              </w:rPr>
            </w:pPr>
            <w:r>
              <w:rPr>
                <w:spacing w:val="-10"/>
                <w:sz w:val="21"/>
              </w:rPr>
              <w:t>5</w:t>
            </w:r>
          </w:p>
        </w:tc>
        <w:tc>
          <w:tcPr>
            <w:tcW w:w="1201" w:type="dxa"/>
          </w:tcPr>
          <w:p w:rsidR="003F5784" w14:paraId="04FEFBDF" w14:textId="77777777">
            <w:pPr>
              <w:pStyle w:val="TableParagraph"/>
              <w:ind w:right="118"/>
              <w:rPr>
                <w:sz w:val="21"/>
              </w:rPr>
            </w:pPr>
            <w:r>
              <w:rPr>
                <w:spacing w:val="-2"/>
                <w:sz w:val="21"/>
              </w:rPr>
              <w:t>474,872</w:t>
            </w:r>
          </w:p>
        </w:tc>
      </w:tr>
      <w:tr w14:paraId="700CB3DB" w14:textId="77777777">
        <w:tblPrEx>
          <w:tblW w:w="0" w:type="auto"/>
          <w:tblInd w:w="482" w:type="dxa"/>
          <w:tblLayout w:type="fixed"/>
          <w:tblCellMar>
            <w:left w:w="0" w:type="dxa"/>
            <w:right w:w="0" w:type="dxa"/>
          </w:tblCellMar>
          <w:tblLook w:val="01E0"/>
        </w:tblPrEx>
        <w:trPr>
          <w:trHeight w:val="755"/>
        </w:trPr>
        <w:tc>
          <w:tcPr>
            <w:tcW w:w="965" w:type="dxa"/>
          </w:tcPr>
          <w:p w:rsidR="003F5784" w14:paraId="4107E66A" w14:textId="77777777">
            <w:pPr>
              <w:pStyle w:val="TableParagraph"/>
              <w:ind w:left="120"/>
              <w:jc w:val="left"/>
              <w:rPr>
                <w:sz w:val="21"/>
              </w:rPr>
            </w:pPr>
            <w:r>
              <w:rPr>
                <w:spacing w:val="-10"/>
                <w:sz w:val="21"/>
              </w:rPr>
              <w:t>9</w:t>
            </w:r>
          </w:p>
        </w:tc>
        <w:tc>
          <w:tcPr>
            <w:tcW w:w="4371" w:type="dxa"/>
          </w:tcPr>
          <w:p w:rsidR="003F5784" w14:paraId="671F445A" w14:textId="77777777">
            <w:pPr>
              <w:pStyle w:val="TableParagraph"/>
              <w:spacing w:before="23" w:line="232" w:lineRule="auto"/>
              <w:ind w:left="184" w:right="137" w:firstLine="608"/>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w:t>
            </w:r>
            <w:r>
              <w:rPr>
                <w:spacing w:val="-13"/>
                <w:sz w:val="21"/>
              </w:rPr>
              <w:t xml:space="preserve"> </w:t>
            </w:r>
            <w:r>
              <w:rPr>
                <w:sz w:val="21"/>
              </w:rPr>
              <w:t>American Indian/Alaska</w:t>
            </w:r>
            <w:r>
              <w:rPr>
                <w:spacing w:val="-8"/>
                <w:sz w:val="21"/>
              </w:rPr>
              <w:t xml:space="preserve"> </w:t>
            </w:r>
            <w:r>
              <w:rPr>
                <w:sz w:val="21"/>
              </w:rPr>
              <w:t>Native,</w:t>
            </w:r>
            <w:r>
              <w:rPr>
                <w:spacing w:val="-7"/>
                <w:sz w:val="21"/>
              </w:rPr>
              <w:t xml:space="preserve"> </w:t>
            </w:r>
            <w:r>
              <w:rPr>
                <w:sz w:val="21"/>
              </w:rPr>
              <w:t>or</w:t>
            </w:r>
            <w:r>
              <w:rPr>
                <w:spacing w:val="-7"/>
                <w:sz w:val="21"/>
              </w:rPr>
              <w:t xml:space="preserve"> </w:t>
            </w:r>
            <w:r>
              <w:rPr>
                <w:sz w:val="21"/>
              </w:rPr>
              <w:t>Native</w:t>
            </w:r>
            <w:r>
              <w:rPr>
                <w:spacing w:val="-8"/>
                <w:sz w:val="21"/>
              </w:rPr>
              <w:t xml:space="preserve"> </w:t>
            </w:r>
            <w:r>
              <w:rPr>
                <w:spacing w:val="-2"/>
                <w:sz w:val="21"/>
              </w:rPr>
              <w:t>Hawaiian/Other</w:t>
            </w:r>
          </w:p>
          <w:p w:rsidR="003F5784" w14:paraId="358E145A" w14:textId="77777777">
            <w:pPr>
              <w:pStyle w:val="TableParagraph"/>
              <w:spacing w:before="0" w:line="236" w:lineRule="exact"/>
              <w:ind w:right="137"/>
              <w:rPr>
                <w:sz w:val="21"/>
              </w:rPr>
            </w:pPr>
            <w:r>
              <w:rPr>
                <w:sz w:val="21"/>
              </w:rPr>
              <w:t>Pacific</w:t>
            </w:r>
            <w:r>
              <w:rPr>
                <w:spacing w:val="-9"/>
                <w:sz w:val="21"/>
              </w:rPr>
              <w:t xml:space="preserve"> </w:t>
            </w:r>
            <w:r>
              <w:rPr>
                <w:sz w:val="21"/>
              </w:rPr>
              <w:t>Islander</w:t>
            </w:r>
            <w:r>
              <w:rPr>
                <w:spacing w:val="-8"/>
                <w:sz w:val="21"/>
              </w:rPr>
              <w:t xml:space="preserve"> </w:t>
            </w:r>
            <w:r>
              <w:rPr>
                <w:sz w:val="21"/>
              </w:rPr>
              <w:t>youth</w:t>
            </w:r>
            <w:r>
              <w:rPr>
                <w:spacing w:val="-9"/>
                <w:sz w:val="21"/>
              </w:rPr>
              <w:t xml:space="preserve"> </w:t>
            </w:r>
            <w:r>
              <w:rPr>
                <w:sz w:val="21"/>
              </w:rPr>
              <w:t>(44.3-</w:t>
            </w:r>
            <w:r>
              <w:rPr>
                <w:spacing w:val="-2"/>
                <w:sz w:val="21"/>
              </w:rPr>
              <w:t>54.4]</w:t>
            </w:r>
          </w:p>
        </w:tc>
        <w:tc>
          <w:tcPr>
            <w:tcW w:w="2447" w:type="dxa"/>
          </w:tcPr>
          <w:p w:rsidR="003F5784" w14:paraId="26AF8A80" w14:textId="77777777">
            <w:pPr>
              <w:pStyle w:val="TableParagraph"/>
              <w:spacing w:line="238" w:lineRule="exact"/>
              <w:ind w:right="115"/>
              <w:rPr>
                <w:sz w:val="21"/>
              </w:rPr>
            </w:pPr>
            <w:r>
              <w:rPr>
                <w:sz w:val="21"/>
              </w:rPr>
              <w:t>Percentage</w:t>
            </w:r>
            <w:r>
              <w:rPr>
                <w:spacing w:val="-7"/>
                <w:sz w:val="21"/>
              </w:rPr>
              <w:t xml:space="preserve"> </w:t>
            </w:r>
            <w:r>
              <w:rPr>
                <w:sz w:val="21"/>
              </w:rPr>
              <w:t>of</w:t>
            </w:r>
            <w:r>
              <w:rPr>
                <w:spacing w:val="-7"/>
                <w:sz w:val="21"/>
              </w:rPr>
              <w:t xml:space="preserve"> </w:t>
            </w:r>
            <w:r>
              <w:rPr>
                <w:sz w:val="21"/>
              </w:rPr>
              <w:t>renters</w:t>
            </w:r>
            <w:r>
              <w:rPr>
                <w:spacing w:val="-6"/>
                <w:sz w:val="21"/>
              </w:rPr>
              <w:t xml:space="preserve"> </w:t>
            </w:r>
            <w:r>
              <w:rPr>
                <w:spacing w:val="-5"/>
                <w:sz w:val="21"/>
              </w:rPr>
              <w:t>&lt;=</w:t>
            </w:r>
          </w:p>
          <w:p w:rsidR="003F5784" w14:paraId="3761271E" w14:textId="77777777">
            <w:pPr>
              <w:pStyle w:val="TableParagraph"/>
              <w:spacing w:before="0" w:line="238" w:lineRule="exact"/>
              <w:ind w:right="115"/>
              <w:rPr>
                <w:sz w:val="21"/>
              </w:rPr>
            </w:pPr>
            <w:r>
              <w:rPr>
                <w:spacing w:val="-4"/>
                <w:sz w:val="21"/>
              </w:rPr>
              <w:t>37.9</w:t>
            </w:r>
          </w:p>
        </w:tc>
        <w:tc>
          <w:tcPr>
            <w:tcW w:w="4282" w:type="dxa"/>
          </w:tcPr>
          <w:p w:rsidR="003F5784" w14:paraId="252682D7" w14:textId="77777777">
            <w:pPr>
              <w:pStyle w:val="TableParagraph"/>
              <w:ind w:right="115"/>
              <w:rPr>
                <w:sz w:val="21"/>
              </w:rPr>
            </w:pPr>
            <w:r>
              <w:rPr>
                <w:spacing w:val="-10"/>
                <w:sz w:val="21"/>
              </w:rPr>
              <w:t>†</w:t>
            </w:r>
          </w:p>
        </w:tc>
        <w:tc>
          <w:tcPr>
            <w:tcW w:w="719" w:type="dxa"/>
          </w:tcPr>
          <w:p w:rsidR="003F5784" w14:paraId="51763CE2" w14:textId="77777777">
            <w:pPr>
              <w:pStyle w:val="TableParagraph"/>
              <w:ind w:right="136"/>
              <w:rPr>
                <w:sz w:val="21"/>
              </w:rPr>
            </w:pPr>
            <w:r>
              <w:rPr>
                <w:spacing w:val="-10"/>
                <w:sz w:val="21"/>
              </w:rPr>
              <w:t>4</w:t>
            </w:r>
          </w:p>
        </w:tc>
        <w:tc>
          <w:tcPr>
            <w:tcW w:w="1201" w:type="dxa"/>
          </w:tcPr>
          <w:p w:rsidR="003F5784" w14:paraId="400A8E95" w14:textId="77777777">
            <w:pPr>
              <w:pStyle w:val="TableParagraph"/>
              <w:ind w:right="118"/>
              <w:rPr>
                <w:sz w:val="21"/>
              </w:rPr>
            </w:pPr>
            <w:r>
              <w:rPr>
                <w:spacing w:val="-2"/>
                <w:sz w:val="21"/>
              </w:rPr>
              <w:t>454,868</w:t>
            </w:r>
          </w:p>
        </w:tc>
      </w:tr>
      <w:tr w14:paraId="43D4378E" w14:textId="77777777">
        <w:tblPrEx>
          <w:tblW w:w="0" w:type="auto"/>
          <w:tblInd w:w="482" w:type="dxa"/>
          <w:tblLayout w:type="fixed"/>
          <w:tblCellMar>
            <w:left w:w="0" w:type="dxa"/>
            <w:right w:w="0" w:type="dxa"/>
          </w:tblCellMar>
          <w:tblLook w:val="01E0"/>
        </w:tblPrEx>
        <w:trPr>
          <w:trHeight w:val="755"/>
        </w:trPr>
        <w:tc>
          <w:tcPr>
            <w:tcW w:w="965" w:type="dxa"/>
          </w:tcPr>
          <w:p w:rsidR="003F5784" w14:paraId="325CCE92" w14:textId="77777777">
            <w:pPr>
              <w:pStyle w:val="TableParagraph"/>
              <w:ind w:left="120"/>
              <w:jc w:val="left"/>
              <w:rPr>
                <w:sz w:val="21"/>
              </w:rPr>
            </w:pPr>
            <w:r>
              <w:rPr>
                <w:spacing w:val="-5"/>
                <w:sz w:val="21"/>
              </w:rPr>
              <w:t>10</w:t>
            </w:r>
          </w:p>
        </w:tc>
        <w:tc>
          <w:tcPr>
            <w:tcW w:w="4371" w:type="dxa"/>
          </w:tcPr>
          <w:p w:rsidR="003F5784" w14:paraId="2D6D942D" w14:textId="77777777">
            <w:pPr>
              <w:pStyle w:val="TableParagraph"/>
              <w:spacing w:before="23" w:line="232" w:lineRule="auto"/>
              <w:ind w:left="184" w:right="137" w:firstLine="608"/>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w:t>
            </w:r>
            <w:r>
              <w:rPr>
                <w:spacing w:val="-13"/>
                <w:sz w:val="21"/>
              </w:rPr>
              <w:t xml:space="preserve"> </w:t>
            </w:r>
            <w:r>
              <w:rPr>
                <w:sz w:val="21"/>
              </w:rPr>
              <w:t>American Indian/Alaska</w:t>
            </w:r>
            <w:r>
              <w:rPr>
                <w:spacing w:val="-8"/>
                <w:sz w:val="21"/>
              </w:rPr>
              <w:t xml:space="preserve"> </w:t>
            </w:r>
            <w:r>
              <w:rPr>
                <w:sz w:val="21"/>
              </w:rPr>
              <w:t>Native,</w:t>
            </w:r>
            <w:r>
              <w:rPr>
                <w:spacing w:val="-7"/>
                <w:sz w:val="21"/>
              </w:rPr>
              <w:t xml:space="preserve"> </w:t>
            </w:r>
            <w:r>
              <w:rPr>
                <w:sz w:val="21"/>
              </w:rPr>
              <w:t>or</w:t>
            </w:r>
            <w:r>
              <w:rPr>
                <w:spacing w:val="-7"/>
                <w:sz w:val="21"/>
              </w:rPr>
              <w:t xml:space="preserve"> </w:t>
            </w:r>
            <w:r>
              <w:rPr>
                <w:sz w:val="21"/>
              </w:rPr>
              <w:t>Native</w:t>
            </w:r>
            <w:r>
              <w:rPr>
                <w:spacing w:val="-8"/>
                <w:sz w:val="21"/>
              </w:rPr>
              <w:t xml:space="preserve"> </w:t>
            </w:r>
            <w:r>
              <w:rPr>
                <w:spacing w:val="-2"/>
                <w:sz w:val="21"/>
              </w:rPr>
              <w:t>Hawaiian/Other</w:t>
            </w:r>
          </w:p>
          <w:p w:rsidR="003F5784" w14:paraId="5FDA53B8" w14:textId="77777777">
            <w:pPr>
              <w:pStyle w:val="TableParagraph"/>
              <w:spacing w:before="0" w:line="236" w:lineRule="exact"/>
              <w:ind w:right="137"/>
              <w:rPr>
                <w:sz w:val="21"/>
              </w:rPr>
            </w:pPr>
            <w:r>
              <w:rPr>
                <w:sz w:val="21"/>
              </w:rPr>
              <w:t>Pacific</w:t>
            </w:r>
            <w:r>
              <w:rPr>
                <w:spacing w:val="-9"/>
                <w:sz w:val="21"/>
              </w:rPr>
              <w:t xml:space="preserve"> </w:t>
            </w:r>
            <w:r>
              <w:rPr>
                <w:sz w:val="21"/>
              </w:rPr>
              <w:t>Islander</w:t>
            </w:r>
            <w:r>
              <w:rPr>
                <w:spacing w:val="-8"/>
                <w:sz w:val="21"/>
              </w:rPr>
              <w:t xml:space="preserve"> </w:t>
            </w:r>
            <w:r>
              <w:rPr>
                <w:sz w:val="21"/>
              </w:rPr>
              <w:t>youth</w:t>
            </w:r>
            <w:r>
              <w:rPr>
                <w:spacing w:val="-9"/>
                <w:sz w:val="21"/>
              </w:rPr>
              <w:t xml:space="preserve"> </w:t>
            </w:r>
            <w:r>
              <w:rPr>
                <w:sz w:val="21"/>
              </w:rPr>
              <w:t>(44.3-</w:t>
            </w:r>
            <w:r>
              <w:rPr>
                <w:spacing w:val="-2"/>
                <w:sz w:val="21"/>
              </w:rPr>
              <w:t>54.4]</w:t>
            </w:r>
          </w:p>
        </w:tc>
        <w:tc>
          <w:tcPr>
            <w:tcW w:w="2447" w:type="dxa"/>
          </w:tcPr>
          <w:p w:rsidR="003F5784" w14:paraId="55CA9DB9" w14:textId="77777777">
            <w:pPr>
              <w:pStyle w:val="TableParagraph"/>
              <w:spacing w:line="238" w:lineRule="exact"/>
              <w:ind w:right="115"/>
              <w:rPr>
                <w:sz w:val="21"/>
              </w:rPr>
            </w:pPr>
            <w:r>
              <w:rPr>
                <w:sz w:val="21"/>
              </w:rPr>
              <w:t>Percentage</w:t>
            </w:r>
            <w:r>
              <w:rPr>
                <w:spacing w:val="-7"/>
                <w:sz w:val="21"/>
              </w:rPr>
              <w:t xml:space="preserve"> </w:t>
            </w:r>
            <w:r>
              <w:rPr>
                <w:sz w:val="21"/>
              </w:rPr>
              <w:t>of</w:t>
            </w:r>
            <w:r>
              <w:rPr>
                <w:spacing w:val="-7"/>
                <w:sz w:val="21"/>
              </w:rPr>
              <w:t xml:space="preserve"> </w:t>
            </w:r>
            <w:r>
              <w:rPr>
                <w:sz w:val="21"/>
              </w:rPr>
              <w:t>renters</w:t>
            </w:r>
            <w:r>
              <w:rPr>
                <w:spacing w:val="-6"/>
                <w:sz w:val="21"/>
              </w:rPr>
              <w:t xml:space="preserve"> </w:t>
            </w:r>
            <w:r>
              <w:rPr>
                <w:spacing w:val="-10"/>
                <w:sz w:val="21"/>
              </w:rPr>
              <w:t>&gt;</w:t>
            </w:r>
          </w:p>
          <w:p w:rsidR="003F5784" w14:paraId="5911A0EA" w14:textId="77777777">
            <w:pPr>
              <w:pStyle w:val="TableParagraph"/>
              <w:spacing w:before="0" w:line="238" w:lineRule="exact"/>
              <w:ind w:right="115"/>
              <w:rPr>
                <w:sz w:val="21"/>
              </w:rPr>
            </w:pPr>
            <w:r>
              <w:rPr>
                <w:spacing w:val="-4"/>
                <w:sz w:val="21"/>
              </w:rPr>
              <w:t>37.9</w:t>
            </w:r>
          </w:p>
        </w:tc>
        <w:tc>
          <w:tcPr>
            <w:tcW w:w="4282" w:type="dxa"/>
          </w:tcPr>
          <w:p w:rsidR="003F5784" w14:paraId="145721A1" w14:textId="77777777">
            <w:pPr>
              <w:pStyle w:val="TableParagraph"/>
              <w:ind w:right="115"/>
              <w:rPr>
                <w:sz w:val="21"/>
              </w:rPr>
            </w:pPr>
            <w:r>
              <w:rPr>
                <w:spacing w:val="-10"/>
                <w:sz w:val="21"/>
              </w:rPr>
              <w:t>†</w:t>
            </w:r>
          </w:p>
        </w:tc>
        <w:tc>
          <w:tcPr>
            <w:tcW w:w="719" w:type="dxa"/>
          </w:tcPr>
          <w:p w:rsidR="003F5784" w14:paraId="6DB1D130" w14:textId="77777777">
            <w:pPr>
              <w:pStyle w:val="TableParagraph"/>
              <w:ind w:right="136"/>
              <w:rPr>
                <w:sz w:val="21"/>
              </w:rPr>
            </w:pPr>
            <w:r>
              <w:rPr>
                <w:spacing w:val="-10"/>
                <w:sz w:val="21"/>
              </w:rPr>
              <w:t>2</w:t>
            </w:r>
          </w:p>
        </w:tc>
        <w:tc>
          <w:tcPr>
            <w:tcW w:w="1201" w:type="dxa"/>
          </w:tcPr>
          <w:p w:rsidR="003F5784" w14:paraId="59B30503" w14:textId="77777777">
            <w:pPr>
              <w:pStyle w:val="TableParagraph"/>
              <w:ind w:right="118"/>
              <w:rPr>
                <w:sz w:val="21"/>
              </w:rPr>
            </w:pPr>
            <w:r>
              <w:rPr>
                <w:spacing w:val="-2"/>
                <w:sz w:val="21"/>
              </w:rPr>
              <w:t>462,254</w:t>
            </w:r>
          </w:p>
        </w:tc>
      </w:tr>
      <w:tr w14:paraId="5EE65C2E" w14:textId="77777777">
        <w:tblPrEx>
          <w:tblW w:w="0" w:type="auto"/>
          <w:tblInd w:w="482" w:type="dxa"/>
          <w:tblLayout w:type="fixed"/>
          <w:tblCellMar>
            <w:left w:w="0" w:type="dxa"/>
            <w:right w:w="0" w:type="dxa"/>
          </w:tblCellMar>
          <w:tblLook w:val="01E0"/>
        </w:tblPrEx>
        <w:trPr>
          <w:trHeight w:val="755"/>
        </w:trPr>
        <w:tc>
          <w:tcPr>
            <w:tcW w:w="965" w:type="dxa"/>
          </w:tcPr>
          <w:p w:rsidR="003F5784" w14:paraId="3F6418E7" w14:textId="77777777">
            <w:pPr>
              <w:pStyle w:val="TableParagraph"/>
              <w:ind w:left="120"/>
              <w:jc w:val="left"/>
              <w:rPr>
                <w:sz w:val="21"/>
              </w:rPr>
            </w:pPr>
            <w:r>
              <w:rPr>
                <w:spacing w:val="-5"/>
                <w:sz w:val="21"/>
              </w:rPr>
              <w:t>11</w:t>
            </w:r>
          </w:p>
        </w:tc>
        <w:tc>
          <w:tcPr>
            <w:tcW w:w="4371" w:type="dxa"/>
          </w:tcPr>
          <w:p w:rsidR="003F5784" w14:paraId="7E1C3958" w14:textId="77777777">
            <w:pPr>
              <w:pStyle w:val="TableParagraph"/>
              <w:spacing w:before="23" w:line="232" w:lineRule="auto"/>
              <w:ind w:left="184" w:right="137" w:firstLine="608"/>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w:t>
            </w:r>
            <w:r>
              <w:rPr>
                <w:spacing w:val="-13"/>
                <w:sz w:val="21"/>
              </w:rPr>
              <w:t xml:space="preserve"> </w:t>
            </w:r>
            <w:r>
              <w:rPr>
                <w:sz w:val="21"/>
              </w:rPr>
              <w:t>American Indian/Alaska</w:t>
            </w:r>
            <w:r>
              <w:rPr>
                <w:spacing w:val="-8"/>
                <w:sz w:val="21"/>
              </w:rPr>
              <w:t xml:space="preserve"> </w:t>
            </w:r>
            <w:r>
              <w:rPr>
                <w:sz w:val="21"/>
              </w:rPr>
              <w:t>Native,</w:t>
            </w:r>
            <w:r>
              <w:rPr>
                <w:spacing w:val="-7"/>
                <w:sz w:val="21"/>
              </w:rPr>
              <w:t xml:space="preserve"> </w:t>
            </w:r>
            <w:r>
              <w:rPr>
                <w:sz w:val="21"/>
              </w:rPr>
              <w:t>or</w:t>
            </w:r>
            <w:r>
              <w:rPr>
                <w:spacing w:val="-7"/>
                <w:sz w:val="21"/>
              </w:rPr>
              <w:t xml:space="preserve"> </w:t>
            </w:r>
            <w:r>
              <w:rPr>
                <w:sz w:val="21"/>
              </w:rPr>
              <w:t>Native</w:t>
            </w:r>
            <w:r>
              <w:rPr>
                <w:spacing w:val="-8"/>
                <w:sz w:val="21"/>
              </w:rPr>
              <w:t xml:space="preserve"> </w:t>
            </w:r>
            <w:r>
              <w:rPr>
                <w:spacing w:val="-2"/>
                <w:sz w:val="21"/>
              </w:rPr>
              <w:t>Hawaiian/Other</w:t>
            </w:r>
          </w:p>
          <w:p w:rsidR="003F5784" w14:paraId="1BD0E699" w14:textId="77777777">
            <w:pPr>
              <w:pStyle w:val="TableParagraph"/>
              <w:spacing w:before="0" w:line="236" w:lineRule="exact"/>
              <w:ind w:right="137"/>
              <w:rPr>
                <w:sz w:val="21"/>
              </w:rPr>
            </w:pPr>
            <w:r>
              <w:rPr>
                <w:sz w:val="21"/>
              </w:rPr>
              <w:t>Pacific</w:t>
            </w:r>
            <w:r>
              <w:rPr>
                <w:spacing w:val="-6"/>
                <w:sz w:val="21"/>
              </w:rPr>
              <w:t xml:space="preserve"> </w:t>
            </w:r>
            <w:r>
              <w:rPr>
                <w:sz w:val="21"/>
              </w:rPr>
              <w:t>Islander</w:t>
            </w:r>
            <w:r>
              <w:rPr>
                <w:spacing w:val="-6"/>
                <w:sz w:val="21"/>
              </w:rPr>
              <w:t xml:space="preserve"> </w:t>
            </w:r>
            <w:r>
              <w:rPr>
                <w:sz w:val="21"/>
              </w:rPr>
              <w:t>youth</w:t>
            </w:r>
            <w:r>
              <w:rPr>
                <w:spacing w:val="-5"/>
                <w:sz w:val="21"/>
              </w:rPr>
              <w:t xml:space="preserve"> </w:t>
            </w:r>
            <w:r>
              <w:rPr>
                <w:sz w:val="21"/>
              </w:rPr>
              <w:t>&gt;</w:t>
            </w:r>
            <w:r>
              <w:rPr>
                <w:spacing w:val="-6"/>
                <w:sz w:val="21"/>
              </w:rPr>
              <w:t xml:space="preserve"> </w:t>
            </w:r>
            <w:r>
              <w:rPr>
                <w:spacing w:val="-4"/>
                <w:sz w:val="21"/>
              </w:rPr>
              <w:t>54.4</w:t>
            </w:r>
          </w:p>
        </w:tc>
        <w:tc>
          <w:tcPr>
            <w:tcW w:w="2447" w:type="dxa"/>
          </w:tcPr>
          <w:p w:rsidR="003F5784" w14:paraId="382B385A" w14:textId="77777777">
            <w:pPr>
              <w:pStyle w:val="TableParagraph"/>
              <w:spacing w:before="23" w:line="232" w:lineRule="auto"/>
              <w:ind w:left="335" w:right="115" w:firstLine="163"/>
              <w:rPr>
                <w:sz w:val="21"/>
              </w:rPr>
            </w:pPr>
            <w:r>
              <w:rPr>
                <w:sz w:val="21"/>
              </w:rPr>
              <w:t>Percentage</w:t>
            </w:r>
            <w:r>
              <w:rPr>
                <w:spacing w:val="-14"/>
                <w:sz w:val="21"/>
              </w:rPr>
              <w:t xml:space="preserve"> </w:t>
            </w:r>
            <w:r>
              <w:rPr>
                <w:sz w:val="21"/>
              </w:rPr>
              <w:t>of</w:t>
            </w:r>
            <w:r>
              <w:rPr>
                <w:spacing w:val="-13"/>
                <w:sz w:val="21"/>
              </w:rPr>
              <w:t xml:space="preserve"> </w:t>
            </w:r>
            <w:r>
              <w:rPr>
                <w:sz w:val="21"/>
              </w:rPr>
              <w:t>persons aged</w:t>
            </w:r>
            <w:r>
              <w:rPr>
                <w:spacing w:val="-4"/>
                <w:sz w:val="21"/>
              </w:rPr>
              <w:t xml:space="preserve"> </w:t>
            </w:r>
            <w:r>
              <w:rPr>
                <w:sz w:val="21"/>
              </w:rPr>
              <w:t>25+</w:t>
            </w:r>
            <w:r>
              <w:rPr>
                <w:spacing w:val="-4"/>
                <w:sz w:val="21"/>
              </w:rPr>
              <w:t xml:space="preserve"> </w:t>
            </w:r>
            <w:r>
              <w:rPr>
                <w:sz w:val="21"/>
              </w:rPr>
              <w:t>with</w:t>
            </w:r>
            <w:r>
              <w:rPr>
                <w:spacing w:val="-4"/>
                <w:sz w:val="21"/>
              </w:rPr>
              <w:t xml:space="preserve"> </w:t>
            </w:r>
            <w:r>
              <w:rPr>
                <w:sz w:val="21"/>
              </w:rPr>
              <w:t>a</w:t>
            </w:r>
            <w:r>
              <w:rPr>
                <w:spacing w:val="-4"/>
                <w:sz w:val="21"/>
              </w:rPr>
              <w:t xml:space="preserve"> </w:t>
            </w:r>
            <w:r>
              <w:rPr>
                <w:spacing w:val="-2"/>
                <w:sz w:val="21"/>
              </w:rPr>
              <w:t>college</w:t>
            </w:r>
          </w:p>
          <w:p w:rsidR="003F5784" w14:paraId="6D1D9415" w14:textId="77777777">
            <w:pPr>
              <w:pStyle w:val="TableParagraph"/>
              <w:spacing w:before="0" w:line="236" w:lineRule="exact"/>
              <w:ind w:right="115"/>
              <w:rPr>
                <w:sz w:val="21"/>
              </w:rPr>
            </w:pPr>
            <w:r>
              <w:rPr>
                <w:sz w:val="21"/>
              </w:rPr>
              <w:t>degree</w:t>
            </w:r>
            <w:r>
              <w:rPr>
                <w:spacing w:val="-5"/>
                <w:sz w:val="21"/>
              </w:rPr>
              <w:t xml:space="preserve"> </w:t>
            </w:r>
            <w:r>
              <w:rPr>
                <w:sz w:val="21"/>
              </w:rPr>
              <w:t>&lt;=</w:t>
            </w:r>
            <w:r>
              <w:rPr>
                <w:spacing w:val="-5"/>
                <w:sz w:val="21"/>
              </w:rPr>
              <w:t xml:space="preserve"> </w:t>
            </w:r>
            <w:r>
              <w:rPr>
                <w:spacing w:val="-4"/>
                <w:sz w:val="21"/>
              </w:rPr>
              <w:t>15.1</w:t>
            </w:r>
          </w:p>
        </w:tc>
        <w:tc>
          <w:tcPr>
            <w:tcW w:w="4282" w:type="dxa"/>
          </w:tcPr>
          <w:p w:rsidR="003F5784" w14:paraId="22C6DD18" w14:textId="77777777">
            <w:pPr>
              <w:pStyle w:val="TableParagraph"/>
              <w:ind w:right="115"/>
              <w:rPr>
                <w:sz w:val="21"/>
              </w:rPr>
            </w:pPr>
            <w:r>
              <w:rPr>
                <w:spacing w:val="-10"/>
                <w:sz w:val="21"/>
              </w:rPr>
              <w:t>†</w:t>
            </w:r>
          </w:p>
        </w:tc>
        <w:tc>
          <w:tcPr>
            <w:tcW w:w="719" w:type="dxa"/>
          </w:tcPr>
          <w:p w:rsidR="003F5784" w14:paraId="421CB81C" w14:textId="77777777">
            <w:pPr>
              <w:pStyle w:val="TableParagraph"/>
              <w:ind w:right="136"/>
              <w:rPr>
                <w:sz w:val="21"/>
              </w:rPr>
            </w:pPr>
            <w:r>
              <w:rPr>
                <w:spacing w:val="-10"/>
                <w:sz w:val="21"/>
              </w:rPr>
              <w:t>7</w:t>
            </w:r>
          </w:p>
        </w:tc>
        <w:tc>
          <w:tcPr>
            <w:tcW w:w="1201" w:type="dxa"/>
          </w:tcPr>
          <w:p w:rsidR="003F5784" w14:paraId="62CFF491" w14:textId="77777777">
            <w:pPr>
              <w:pStyle w:val="TableParagraph"/>
              <w:ind w:right="118"/>
              <w:rPr>
                <w:sz w:val="21"/>
              </w:rPr>
            </w:pPr>
            <w:r>
              <w:rPr>
                <w:spacing w:val="-2"/>
                <w:sz w:val="21"/>
              </w:rPr>
              <w:t>447,696</w:t>
            </w:r>
          </w:p>
        </w:tc>
      </w:tr>
      <w:tr w14:paraId="13AF7D86" w14:textId="77777777">
        <w:tblPrEx>
          <w:tblW w:w="0" w:type="auto"/>
          <w:tblInd w:w="482" w:type="dxa"/>
          <w:tblLayout w:type="fixed"/>
          <w:tblCellMar>
            <w:left w:w="0" w:type="dxa"/>
            <w:right w:w="0" w:type="dxa"/>
          </w:tblCellMar>
          <w:tblLook w:val="01E0"/>
        </w:tblPrEx>
        <w:trPr>
          <w:trHeight w:val="653"/>
        </w:trPr>
        <w:tc>
          <w:tcPr>
            <w:tcW w:w="965" w:type="dxa"/>
            <w:tcBorders>
              <w:bottom w:val="single" w:sz="18" w:space="0" w:color="800000"/>
            </w:tcBorders>
          </w:tcPr>
          <w:p w:rsidR="003F5784" w14:paraId="466B3411" w14:textId="77777777">
            <w:pPr>
              <w:pStyle w:val="TableParagraph"/>
              <w:ind w:left="120"/>
              <w:jc w:val="left"/>
              <w:rPr>
                <w:sz w:val="21"/>
              </w:rPr>
            </w:pPr>
            <w:r>
              <w:rPr>
                <w:spacing w:val="-5"/>
                <w:sz w:val="21"/>
              </w:rPr>
              <w:t>12</w:t>
            </w:r>
          </w:p>
        </w:tc>
        <w:tc>
          <w:tcPr>
            <w:tcW w:w="4371" w:type="dxa"/>
            <w:tcBorders>
              <w:bottom w:val="single" w:sz="18" w:space="0" w:color="800000"/>
            </w:tcBorders>
          </w:tcPr>
          <w:p w:rsidR="003F5784" w14:paraId="19B94479" w14:textId="77777777">
            <w:pPr>
              <w:pStyle w:val="TableParagraph"/>
              <w:spacing w:before="23" w:line="232" w:lineRule="auto"/>
              <w:ind w:left="184" w:right="136" w:firstLine="608"/>
              <w:jc w:val="left"/>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w:t>
            </w:r>
            <w:r>
              <w:rPr>
                <w:spacing w:val="-13"/>
                <w:sz w:val="21"/>
              </w:rPr>
              <w:t xml:space="preserve"> </w:t>
            </w:r>
            <w:r>
              <w:rPr>
                <w:sz w:val="21"/>
              </w:rPr>
              <w:t>American Indian/Alaska</w:t>
            </w:r>
            <w:r>
              <w:rPr>
                <w:spacing w:val="-8"/>
                <w:sz w:val="21"/>
              </w:rPr>
              <w:t xml:space="preserve"> </w:t>
            </w:r>
            <w:r>
              <w:rPr>
                <w:sz w:val="21"/>
              </w:rPr>
              <w:t>Native,</w:t>
            </w:r>
            <w:r>
              <w:rPr>
                <w:spacing w:val="-7"/>
                <w:sz w:val="21"/>
              </w:rPr>
              <w:t xml:space="preserve"> </w:t>
            </w:r>
            <w:r>
              <w:rPr>
                <w:sz w:val="21"/>
              </w:rPr>
              <w:t>or</w:t>
            </w:r>
            <w:r>
              <w:rPr>
                <w:spacing w:val="-7"/>
                <w:sz w:val="21"/>
              </w:rPr>
              <w:t xml:space="preserve"> </w:t>
            </w:r>
            <w:r>
              <w:rPr>
                <w:sz w:val="21"/>
              </w:rPr>
              <w:t>Native</w:t>
            </w:r>
            <w:r>
              <w:rPr>
                <w:spacing w:val="-8"/>
                <w:sz w:val="21"/>
              </w:rPr>
              <w:t xml:space="preserve"> </w:t>
            </w:r>
            <w:r>
              <w:rPr>
                <w:spacing w:val="-2"/>
                <w:sz w:val="21"/>
              </w:rPr>
              <w:t>Hawaiian/Other</w:t>
            </w:r>
          </w:p>
        </w:tc>
        <w:tc>
          <w:tcPr>
            <w:tcW w:w="2447" w:type="dxa"/>
            <w:tcBorders>
              <w:bottom w:val="single" w:sz="18" w:space="0" w:color="800000"/>
            </w:tcBorders>
          </w:tcPr>
          <w:p w:rsidR="003F5784" w14:paraId="738496B1" w14:textId="77777777">
            <w:pPr>
              <w:pStyle w:val="TableParagraph"/>
              <w:spacing w:before="23" w:line="232" w:lineRule="auto"/>
              <w:ind w:left="335" w:right="113" w:firstLine="163"/>
              <w:jc w:val="left"/>
              <w:rPr>
                <w:sz w:val="21"/>
              </w:rPr>
            </w:pPr>
            <w:r>
              <w:rPr>
                <w:sz w:val="21"/>
              </w:rPr>
              <w:t>Percentage</w:t>
            </w:r>
            <w:r>
              <w:rPr>
                <w:spacing w:val="-14"/>
                <w:sz w:val="21"/>
              </w:rPr>
              <w:t xml:space="preserve"> </w:t>
            </w:r>
            <w:r>
              <w:rPr>
                <w:sz w:val="21"/>
              </w:rPr>
              <w:t>of</w:t>
            </w:r>
            <w:r>
              <w:rPr>
                <w:spacing w:val="-13"/>
                <w:sz w:val="21"/>
              </w:rPr>
              <w:t xml:space="preserve"> </w:t>
            </w:r>
            <w:r>
              <w:rPr>
                <w:sz w:val="21"/>
              </w:rPr>
              <w:t>persons aged</w:t>
            </w:r>
            <w:r>
              <w:rPr>
                <w:spacing w:val="-4"/>
                <w:sz w:val="21"/>
              </w:rPr>
              <w:t xml:space="preserve"> </w:t>
            </w:r>
            <w:r>
              <w:rPr>
                <w:sz w:val="21"/>
              </w:rPr>
              <w:t>25+</w:t>
            </w:r>
            <w:r>
              <w:rPr>
                <w:spacing w:val="-4"/>
                <w:sz w:val="21"/>
              </w:rPr>
              <w:t xml:space="preserve"> </w:t>
            </w:r>
            <w:r>
              <w:rPr>
                <w:sz w:val="21"/>
              </w:rPr>
              <w:t>with</w:t>
            </w:r>
            <w:r>
              <w:rPr>
                <w:spacing w:val="-4"/>
                <w:sz w:val="21"/>
              </w:rPr>
              <w:t xml:space="preserve"> </w:t>
            </w:r>
            <w:r>
              <w:rPr>
                <w:sz w:val="21"/>
              </w:rPr>
              <w:t>a</w:t>
            </w:r>
            <w:r>
              <w:rPr>
                <w:spacing w:val="-4"/>
                <w:sz w:val="21"/>
              </w:rPr>
              <w:t xml:space="preserve"> </w:t>
            </w:r>
            <w:r>
              <w:rPr>
                <w:spacing w:val="-2"/>
                <w:sz w:val="21"/>
              </w:rPr>
              <w:t>college</w:t>
            </w:r>
          </w:p>
        </w:tc>
        <w:tc>
          <w:tcPr>
            <w:tcW w:w="4282" w:type="dxa"/>
            <w:tcBorders>
              <w:bottom w:val="single" w:sz="18" w:space="0" w:color="800000"/>
            </w:tcBorders>
          </w:tcPr>
          <w:p w:rsidR="003F5784" w14:paraId="4096021B" w14:textId="77777777">
            <w:pPr>
              <w:pStyle w:val="TableParagraph"/>
              <w:ind w:right="115"/>
              <w:rPr>
                <w:sz w:val="21"/>
              </w:rPr>
            </w:pPr>
            <w:r>
              <w:rPr>
                <w:spacing w:val="-10"/>
                <w:sz w:val="21"/>
              </w:rPr>
              <w:t>†</w:t>
            </w:r>
          </w:p>
        </w:tc>
        <w:tc>
          <w:tcPr>
            <w:tcW w:w="719" w:type="dxa"/>
            <w:tcBorders>
              <w:bottom w:val="single" w:sz="18" w:space="0" w:color="800000"/>
            </w:tcBorders>
          </w:tcPr>
          <w:p w:rsidR="003F5784" w14:paraId="55DB9EBF" w14:textId="77777777">
            <w:pPr>
              <w:pStyle w:val="TableParagraph"/>
              <w:ind w:right="136"/>
              <w:rPr>
                <w:sz w:val="21"/>
              </w:rPr>
            </w:pPr>
            <w:r>
              <w:rPr>
                <w:spacing w:val="-10"/>
                <w:sz w:val="21"/>
              </w:rPr>
              <w:t>3</w:t>
            </w:r>
          </w:p>
        </w:tc>
        <w:tc>
          <w:tcPr>
            <w:tcW w:w="1201" w:type="dxa"/>
            <w:tcBorders>
              <w:bottom w:val="single" w:sz="18" w:space="0" w:color="800000"/>
            </w:tcBorders>
          </w:tcPr>
          <w:p w:rsidR="003F5784" w14:paraId="6565F687" w14:textId="77777777">
            <w:pPr>
              <w:pStyle w:val="TableParagraph"/>
              <w:ind w:right="118"/>
              <w:rPr>
                <w:sz w:val="21"/>
              </w:rPr>
            </w:pPr>
            <w:r>
              <w:rPr>
                <w:spacing w:val="-2"/>
                <w:sz w:val="21"/>
              </w:rPr>
              <w:t>450,124</w:t>
            </w:r>
          </w:p>
        </w:tc>
      </w:tr>
      <w:tr w14:paraId="32397640" w14:textId="77777777">
        <w:tblPrEx>
          <w:tblW w:w="0" w:type="auto"/>
          <w:tblInd w:w="482" w:type="dxa"/>
          <w:tblLayout w:type="fixed"/>
          <w:tblCellMar>
            <w:left w:w="0" w:type="dxa"/>
            <w:right w:w="0" w:type="dxa"/>
          </w:tblCellMar>
          <w:tblLook w:val="01E0"/>
        </w:tblPrEx>
        <w:trPr>
          <w:trHeight w:val="237"/>
        </w:trPr>
        <w:tc>
          <w:tcPr>
            <w:tcW w:w="5336" w:type="dxa"/>
            <w:gridSpan w:val="2"/>
            <w:tcBorders>
              <w:top w:val="single" w:sz="18" w:space="0" w:color="800000"/>
            </w:tcBorders>
          </w:tcPr>
          <w:p w:rsidR="003F5784" w14:paraId="4E6F4769" w14:textId="77777777">
            <w:pPr>
              <w:pStyle w:val="TableParagraph"/>
              <w:spacing w:before="0" w:line="218" w:lineRule="exact"/>
              <w:ind w:left="120"/>
              <w:jc w:val="left"/>
              <w:rPr>
                <w:sz w:val="21"/>
              </w:rPr>
            </w:pPr>
            <w:r>
              <w:rPr>
                <w:sz w:val="21"/>
              </w:rPr>
              <w:t>†</w:t>
            </w:r>
            <w:r>
              <w:rPr>
                <w:spacing w:val="-4"/>
                <w:sz w:val="21"/>
              </w:rPr>
              <w:t xml:space="preserve"> </w:t>
            </w:r>
            <w:r>
              <w:rPr>
                <w:sz w:val="21"/>
              </w:rPr>
              <w:t>Not</w:t>
            </w:r>
            <w:r>
              <w:rPr>
                <w:spacing w:val="-3"/>
                <w:sz w:val="21"/>
              </w:rPr>
              <w:t xml:space="preserve"> </w:t>
            </w:r>
            <w:r>
              <w:rPr>
                <w:spacing w:val="-2"/>
                <w:sz w:val="21"/>
              </w:rPr>
              <w:t>applicable.</w:t>
            </w:r>
          </w:p>
        </w:tc>
        <w:tc>
          <w:tcPr>
            <w:tcW w:w="2447" w:type="dxa"/>
            <w:tcBorders>
              <w:top w:val="single" w:sz="18" w:space="0" w:color="800000"/>
            </w:tcBorders>
          </w:tcPr>
          <w:p w:rsidR="003F5784" w14:paraId="1E1356CC" w14:textId="77777777">
            <w:pPr>
              <w:pStyle w:val="TableParagraph"/>
              <w:spacing w:before="0"/>
              <w:jc w:val="left"/>
              <w:rPr>
                <w:sz w:val="16"/>
              </w:rPr>
            </w:pPr>
          </w:p>
        </w:tc>
        <w:tc>
          <w:tcPr>
            <w:tcW w:w="4282" w:type="dxa"/>
            <w:tcBorders>
              <w:top w:val="single" w:sz="18" w:space="0" w:color="800000"/>
            </w:tcBorders>
          </w:tcPr>
          <w:p w:rsidR="003F5784" w14:paraId="66F586CE" w14:textId="77777777">
            <w:pPr>
              <w:pStyle w:val="TableParagraph"/>
              <w:spacing w:before="0"/>
              <w:jc w:val="left"/>
              <w:rPr>
                <w:sz w:val="16"/>
              </w:rPr>
            </w:pPr>
          </w:p>
        </w:tc>
        <w:tc>
          <w:tcPr>
            <w:tcW w:w="719" w:type="dxa"/>
            <w:tcBorders>
              <w:top w:val="single" w:sz="18" w:space="0" w:color="800000"/>
            </w:tcBorders>
          </w:tcPr>
          <w:p w:rsidR="003F5784" w14:paraId="74417D9A" w14:textId="77777777">
            <w:pPr>
              <w:pStyle w:val="TableParagraph"/>
              <w:spacing w:before="0"/>
              <w:jc w:val="left"/>
              <w:rPr>
                <w:sz w:val="16"/>
              </w:rPr>
            </w:pPr>
          </w:p>
        </w:tc>
        <w:tc>
          <w:tcPr>
            <w:tcW w:w="1201" w:type="dxa"/>
            <w:tcBorders>
              <w:top w:val="single" w:sz="18" w:space="0" w:color="800000"/>
            </w:tcBorders>
          </w:tcPr>
          <w:p w:rsidR="003F5784" w14:paraId="0F7C64F3" w14:textId="77777777">
            <w:pPr>
              <w:pStyle w:val="TableParagraph"/>
              <w:spacing w:before="0"/>
              <w:jc w:val="left"/>
              <w:rPr>
                <w:sz w:val="16"/>
              </w:rPr>
            </w:pPr>
          </w:p>
        </w:tc>
      </w:tr>
    </w:tbl>
    <w:p w:rsidR="003F5784" w14:paraId="617A4306" w14:textId="77777777">
      <w:pPr>
        <w:pStyle w:val="BodyText"/>
        <w:spacing w:before="8"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2A6A2BDA" w14:textId="77777777">
      <w:pPr>
        <w:spacing w:line="232" w:lineRule="auto"/>
        <w:sectPr>
          <w:pgSz w:w="15840" w:h="12240" w:orient="landscape"/>
          <w:pgMar w:top="480" w:right="440" w:bottom="460" w:left="460" w:header="284" w:footer="275" w:gutter="0"/>
          <w:cols w:space="720"/>
        </w:sectPr>
      </w:pPr>
    </w:p>
    <w:p w:rsidR="003F5784" w14:paraId="46210889" w14:textId="77777777">
      <w:pPr>
        <w:pStyle w:val="BodyText"/>
        <w:spacing w:before="91"/>
      </w:pPr>
    </w:p>
    <w:p w:rsidR="003F5784" w14:paraId="7C514E67" w14:textId="77777777">
      <w:pPr>
        <w:pStyle w:val="BodyText"/>
        <w:tabs>
          <w:tab w:val="left" w:pos="4241"/>
          <w:tab w:val="left" w:pos="6501"/>
          <w:tab w:val="left" w:pos="11006"/>
          <w:tab w:val="left" w:pos="12656"/>
        </w:tabs>
        <w:ind w:left="595"/>
      </w:pPr>
      <w:r>
        <w:rPr>
          <w:spacing w:val="-2"/>
        </w:rPr>
        <w:t>Stratum</w:t>
      </w:r>
      <w:r>
        <w:tab/>
        <w:t>Primary</w:t>
      </w:r>
      <w:r>
        <w:rPr>
          <w:spacing w:val="-8"/>
        </w:rPr>
        <w:t xml:space="preserve"> </w:t>
      </w:r>
      <w:r>
        <w:rPr>
          <w:spacing w:val="-2"/>
        </w:rPr>
        <w:t>stratifier</w:t>
      </w:r>
      <w:r>
        <w:tab/>
        <w:t>Secondary</w:t>
      </w:r>
      <w:r>
        <w:rPr>
          <w:spacing w:val="-10"/>
        </w:rPr>
        <w:t xml:space="preserve"> </w:t>
      </w:r>
      <w:r>
        <w:rPr>
          <w:spacing w:val="-2"/>
        </w:rPr>
        <w:t>stratifier</w:t>
      </w:r>
      <w:r>
        <w:tab/>
      </w:r>
      <w:r>
        <w:rPr>
          <w:spacing w:val="-2"/>
        </w:rPr>
        <w:t>Tertiary</w:t>
      </w:r>
      <w:r>
        <w:rPr>
          <w:spacing w:val="-7"/>
        </w:rPr>
        <w:t xml:space="preserve"> </w:t>
      </w:r>
      <w:r>
        <w:rPr>
          <w:spacing w:val="-2"/>
        </w:rPr>
        <w:t>stratifier</w:t>
      </w:r>
      <w:r>
        <w:tab/>
      </w:r>
      <w:r>
        <w:rPr>
          <w:spacing w:val="-3"/>
        </w:rPr>
        <w:t>PSUs</w:t>
      </w:r>
    </w:p>
    <w:p w:rsidR="003F5784" w14:paraId="5639AF11" w14:textId="77777777">
      <w:pPr>
        <w:pStyle w:val="BodyText"/>
        <w:spacing w:before="98" w:line="238" w:lineRule="exact"/>
        <w:ind w:right="598"/>
        <w:jc w:val="right"/>
      </w:pPr>
      <w:r>
        <w:br w:type="column"/>
        <w:t>Measure</w:t>
      </w:r>
      <w:r>
        <w:rPr>
          <w:spacing w:val="-9"/>
        </w:rPr>
        <w:t xml:space="preserve"> </w:t>
      </w:r>
      <w:r>
        <w:rPr>
          <w:spacing w:val="-5"/>
        </w:rPr>
        <w:t>of</w:t>
      </w:r>
    </w:p>
    <w:p w:rsidR="003F5784" w14:paraId="7DFDFD82" w14:textId="77777777">
      <w:pPr>
        <w:pStyle w:val="BodyText"/>
        <w:spacing w:line="238" w:lineRule="exact"/>
        <w:ind w:right="598"/>
        <w:jc w:val="right"/>
      </w:pPr>
      <w:r>
        <w:rPr>
          <w:spacing w:val="-4"/>
        </w:rPr>
        <w:t>size</w:t>
      </w:r>
    </w:p>
    <w:p w:rsidR="003F5784" w14:paraId="13F3585E" w14:textId="77777777">
      <w:pPr>
        <w:spacing w:line="238" w:lineRule="exact"/>
        <w:jc w:val="right"/>
        <w:sectPr>
          <w:headerReference w:type="default" r:id="rId205"/>
          <w:footerReference w:type="default" r:id="rId206"/>
          <w:pgSz w:w="15840" w:h="12240" w:orient="landscape"/>
          <w:pgMar w:top="480" w:right="440" w:bottom="460" w:left="460" w:header="284" w:footer="275" w:gutter="0"/>
          <w:cols w:num="2" w:space="720" w:equalWidth="0">
            <w:col w:w="13121" w:space="40"/>
            <w:col w:w="1779"/>
          </w:cols>
        </w:sectPr>
      </w:pPr>
    </w:p>
    <w:tbl>
      <w:tblPr>
        <w:tblW w:w="0" w:type="auto"/>
        <w:tblInd w:w="482" w:type="dxa"/>
        <w:tblLayout w:type="fixed"/>
        <w:tblCellMar>
          <w:left w:w="0" w:type="dxa"/>
          <w:right w:w="0" w:type="dxa"/>
        </w:tblCellMar>
        <w:tblLook w:val="01E0"/>
      </w:tblPr>
      <w:tblGrid>
        <w:gridCol w:w="2844"/>
        <w:gridCol w:w="3535"/>
        <w:gridCol w:w="3375"/>
        <w:gridCol w:w="2490"/>
        <w:gridCol w:w="672"/>
        <w:gridCol w:w="1068"/>
      </w:tblGrid>
      <w:tr w14:paraId="1B9F6F34" w14:textId="77777777">
        <w:tblPrEx>
          <w:tblW w:w="0" w:type="auto"/>
          <w:tblInd w:w="482" w:type="dxa"/>
          <w:tblLayout w:type="fixed"/>
          <w:tblCellMar>
            <w:left w:w="0" w:type="dxa"/>
            <w:right w:w="0" w:type="dxa"/>
          </w:tblCellMar>
          <w:tblLook w:val="01E0"/>
        </w:tblPrEx>
        <w:trPr>
          <w:trHeight w:val="541"/>
        </w:trPr>
        <w:tc>
          <w:tcPr>
            <w:tcW w:w="2844" w:type="dxa"/>
            <w:tcBorders>
              <w:top w:val="single" w:sz="18" w:space="0" w:color="800000"/>
              <w:bottom w:val="single" w:sz="18" w:space="0" w:color="800000"/>
            </w:tcBorders>
          </w:tcPr>
          <w:p w:rsidR="003F5784" w14:paraId="7991D69A" w14:textId="77777777">
            <w:pPr>
              <w:pStyle w:val="TableParagraph"/>
              <w:spacing w:before="0" w:line="225" w:lineRule="exact"/>
              <w:ind w:right="-159"/>
              <w:rPr>
                <w:sz w:val="21"/>
              </w:rPr>
            </w:pPr>
            <w:r>
              <w:rPr>
                <w:spacing w:val="-5"/>
                <w:sz w:val="21"/>
              </w:rPr>
              <w:t>Pa</w:t>
            </w:r>
          </w:p>
          <w:p w:rsidR="003F5784" w14:paraId="6AE2C495" w14:textId="77777777">
            <w:pPr>
              <w:pStyle w:val="TableParagraph"/>
              <w:spacing w:before="45"/>
              <w:ind w:left="120"/>
              <w:jc w:val="left"/>
              <w:rPr>
                <w:sz w:val="21"/>
              </w:rPr>
            </w:pPr>
            <w:r>
              <w:rPr>
                <w:spacing w:val="-4"/>
                <w:sz w:val="21"/>
              </w:rPr>
              <w:t>Mean</w:t>
            </w:r>
          </w:p>
        </w:tc>
        <w:tc>
          <w:tcPr>
            <w:tcW w:w="3535" w:type="dxa"/>
            <w:tcBorders>
              <w:top w:val="single" w:sz="18" w:space="0" w:color="800000"/>
              <w:bottom w:val="single" w:sz="18" w:space="0" w:color="800000"/>
            </w:tcBorders>
          </w:tcPr>
          <w:p w:rsidR="003F5784" w14:paraId="189C8509" w14:textId="77777777">
            <w:pPr>
              <w:pStyle w:val="TableParagraph"/>
              <w:spacing w:before="0" w:line="225" w:lineRule="exact"/>
              <w:ind w:right="1180"/>
              <w:rPr>
                <w:sz w:val="21"/>
              </w:rPr>
            </w:pPr>
            <w:r>
              <w:rPr>
                <w:sz w:val="21"/>
              </w:rPr>
              <w:t>cific</w:t>
            </w:r>
            <w:r>
              <w:rPr>
                <w:spacing w:val="-6"/>
                <w:sz w:val="21"/>
              </w:rPr>
              <w:t xml:space="preserve"> </w:t>
            </w:r>
            <w:r>
              <w:rPr>
                <w:sz w:val="21"/>
              </w:rPr>
              <w:t>Islander</w:t>
            </w:r>
            <w:r>
              <w:rPr>
                <w:spacing w:val="-5"/>
                <w:sz w:val="21"/>
              </w:rPr>
              <w:t xml:space="preserve"> </w:t>
            </w:r>
            <w:r>
              <w:rPr>
                <w:sz w:val="21"/>
              </w:rPr>
              <w:t>youth</w:t>
            </w:r>
            <w:r>
              <w:rPr>
                <w:spacing w:val="-5"/>
                <w:sz w:val="21"/>
              </w:rPr>
              <w:t xml:space="preserve"> </w:t>
            </w:r>
            <w:r>
              <w:rPr>
                <w:sz w:val="21"/>
              </w:rPr>
              <w:t>&gt;</w:t>
            </w:r>
            <w:r>
              <w:rPr>
                <w:spacing w:val="-5"/>
                <w:sz w:val="21"/>
              </w:rPr>
              <w:t xml:space="preserve"> </w:t>
            </w:r>
            <w:r>
              <w:rPr>
                <w:spacing w:val="-4"/>
                <w:sz w:val="21"/>
              </w:rPr>
              <w:t>54.4</w:t>
            </w:r>
          </w:p>
          <w:p w:rsidR="003F5784" w14:paraId="47A87C51" w14:textId="77777777">
            <w:pPr>
              <w:pStyle w:val="TableParagraph"/>
              <w:spacing w:before="45"/>
              <w:ind w:right="1180"/>
              <w:rPr>
                <w:sz w:val="21"/>
              </w:rPr>
            </w:pPr>
            <w:r>
              <w:rPr>
                <w:spacing w:val="-10"/>
                <w:sz w:val="21"/>
              </w:rPr>
              <w:t>†</w:t>
            </w:r>
          </w:p>
        </w:tc>
        <w:tc>
          <w:tcPr>
            <w:tcW w:w="3375" w:type="dxa"/>
            <w:tcBorders>
              <w:top w:val="single" w:sz="18" w:space="0" w:color="800000"/>
              <w:bottom w:val="single" w:sz="18" w:space="0" w:color="800000"/>
            </w:tcBorders>
          </w:tcPr>
          <w:p w:rsidR="003F5784" w14:paraId="25B6054C" w14:textId="77777777">
            <w:pPr>
              <w:pStyle w:val="TableParagraph"/>
              <w:spacing w:before="0" w:line="225" w:lineRule="exact"/>
              <w:ind w:right="2086"/>
              <w:rPr>
                <w:sz w:val="21"/>
              </w:rPr>
            </w:pPr>
            <w:r>
              <w:rPr>
                <w:sz w:val="21"/>
              </w:rPr>
              <w:t>degree</w:t>
            </w:r>
            <w:r>
              <w:rPr>
                <w:spacing w:val="-5"/>
                <w:sz w:val="21"/>
              </w:rPr>
              <w:t xml:space="preserve"> </w:t>
            </w:r>
            <w:r>
              <w:rPr>
                <w:sz w:val="21"/>
              </w:rPr>
              <w:t>&gt;</w:t>
            </w:r>
            <w:r>
              <w:rPr>
                <w:spacing w:val="-4"/>
                <w:sz w:val="21"/>
              </w:rPr>
              <w:t xml:space="preserve"> 15.1</w:t>
            </w:r>
          </w:p>
          <w:p w:rsidR="003F5784" w14:paraId="52F5EE3A" w14:textId="77777777">
            <w:pPr>
              <w:pStyle w:val="TableParagraph"/>
              <w:spacing w:before="45"/>
              <w:ind w:right="2086"/>
              <w:rPr>
                <w:sz w:val="21"/>
              </w:rPr>
            </w:pPr>
            <w:r>
              <w:rPr>
                <w:spacing w:val="-10"/>
                <w:sz w:val="21"/>
              </w:rPr>
              <w:t>†</w:t>
            </w:r>
          </w:p>
        </w:tc>
        <w:tc>
          <w:tcPr>
            <w:tcW w:w="2490" w:type="dxa"/>
            <w:tcBorders>
              <w:top w:val="single" w:sz="18" w:space="0" w:color="800000"/>
              <w:bottom w:val="single" w:sz="18" w:space="0" w:color="800000"/>
            </w:tcBorders>
          </w:tcPr>
          <w:p w:rsidR="003F5784" w14:paraId="3FC11B0F" w14:textId="77777777">
            <w:pPr>
              <w:pStyle w:val="TableParagraph"/>
              <w:spacing w:before="28"/>
              <w:jc w:val="left"/>
              <w:rPr>
                <w:sz w:val="21"/>
              </w:rPr>
            </w:pPr>
          </w:p>
          <w:p w:rsidR="003F5784" w14:paraId="6E37EF2E" w14:textId="77777777">
            <w:pPr>
              <w:pStyle w:val="TableParagraph"/>
              <w:spacing w:before="0"/>
              <w:ind w:right="294"/>
              <w:rPr>
                <w:sz w:val="21"/>
              </w:rPr>
            </w:pPr>
            <w:r>
              <w:rPr>
                <w:spacing w:val="-10"/>
                <w:sz w:val="21"/>
              </w:rPr>
              <w:t>†</w:t>
            </w:r>
          </w:p>
        </w:tc>
        <w:tc>
          <w:tcPr>
            <w:tcW w:w="672" w:type="dxa"/>
            <w:tcBorders>
              <w:top w:val="single" w:sz="18" w:space="0" w:color="800000"/>
              <w:bottom w:val="single" w:sz="18" w:space="0" w:color="800000"/>
            </w:tcBorders>
          </w:tcPr>
          <w:p w:rsidR="003F5784" w14:paraId="72DFA4A7" w14:textId="77777777">
            <w:pPr>
              <w:pStyle w:val="TableParagraph"/>
              <w:spacing w:before="28"/>
              <w:jc w:val="left"/>
              <w:rPr>
                <w:sz w:val="21"/>
              </w:rPr>
            </w:pPr>
          </w:p>
          <w:p w:rsidR="003F5784" w14:paraId="08BC9F12" w14:textId="77777777">
            <w:pPr>
              <w:pStyle w:val="TableParagraph"/>
              <w:spacing w:before="0"/>
              <w:ind w:left="27"/>
              <w:jc w:val="center"/>
              <w:rPr>
                <w:sz w:val="21"/>
              </w:rPr>
            </w:pPr>
            <w:r>
              <w:rPr>
                <w:spacing w:val="-10"/>
                <w:sz w:val="21"/>
              </w:rPr>
              <w:t>†</w:t>
            </w:r>
          </w:p>
        </w:tc>
        <w:tc>
          <w:tcPr>
            <w:tcW w:w="1068" w:type="dxa"/>
            <w:tcBorders>
              <w:top w:val="single" w:sz="18" w:space="0" w:color="800000"/>
              <w:bottom w:val="single" w:sz="18" w:space="0" w:color="800000"/>
            </w:tcBorders>
          </w:tcPr>
          <w:p w:rsidR="003F5784" w14:paraId="472F2784" w14:textId="77777777">
            <w:pPr>
              <w:pStyle w:val="TableParagraph"/>
              <w:spacing w:before="28"/>
              <w:jc w:val="left"/>
              <w:rPr>
                <w:sz w:val="21"/>
              </w:rPr>
            </w:pPr>
          </w:p>
          <w:p w:rsidR="003F5784" w14:paraId="770BD2B5" w14:textId="77777777">
            <w:pPr>
              <w:pStyle w:val="TableParagraph"/>
              <w:spacing w:before="0"/>
              <w:ind w:left="271"/>
              <w:jc w:val="left"/>
              <w:rPr>
                <w:sz w:val="21"/>
              </w:rPr>
            </w:pPr>
            <w:r>
              <w:rPr>
                <w:spacing w:val="-2"/>
                <w:sz w:val="21"/>
              </w:rPr>
              <w:t>462,792</w:t>
            </w:r>
          </w:p>
        </w:tc>
      </w:tr>
    </w:tbl>
    <w:p w:rsidR="003F5784" w14:paraId="4E79E4B3" w14:textId="77777777">
      <w:pPr>
        <w:pStyle w:val="BodyText"/>
        <w:spacing w:before="14" w:line="238" w:lineRule="exact"/>
        <w:ind w:left="595"/>
      </w:pPr>
      <w:r>
        <w:t>†</w:t>
      </w:r>
      <w:r>
        <w:rPr>
          <w:spacing w:val="-4"/>
        </w:rPr>
        <w:t xml:space="preserve"> </w:t>
      </w:r>
      <w:r>
        <w:t>Not</w:t>
      </w:r>
      <w:r>
        <w:rPr>
          <w:spacing w:val="-3"/>
        </w:rPr>
        <w:t xml:space="preserve"> </w:t>
      </w:r>
      <w:r>
        <w:rPr>
          <w:spacing w:val="-2"/>
        </w:rPr>
        <w:t>applicable.</w:t>
      </w:r>
    </w:p>
    <w:p w:rsidR="003F5784" w14:paraId="35477375"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11250D79" w14:textId="77777777">
      <w:pPr>
        <w:pStyle w:val="BodyText"/>
      </w:pPr>
    </w:p>
    <w:p w:rsidR="003F5784" w14:paraId="558296C0" w14:textId="77777777">
      <w:pPr>
        <w:pStyle w:val="BodyText"/>
      </w:pPr>
    </w:p>
    <w:p w:rsidR="003F5784" w14:paraId="0DDE1BA5" w14:textId="77777777">
      <w:pPr>
        <w:pStyle w:val="BodyText"/>
        <w:spacing w:before="198"/>
      </w:pPr>
    </w:p>
    <w:p w:rsidR="003F5784" w14:paraId="1CD73EE4" w14:textId="77777777">
      <w:pPr>
        <w:ind w:left="4041"/>
        <w:rPr>
          <w:sz w:val="18"/>
        </w:rPr>
      </w:pPr>
      <w:hyperlink r:id="rId207">
        <w:r>
          <w:rPr>
            <w:spacing w:val="-2"/>
            <w:w w:val="105"/>
            <w:sz w:val="18"/>
          </w:rPr>
          <w:t>http://nces.ed.gov/nationsreportcard/tdw/sample_design/2022/stratification_for_west_metropolitan_noncertainty_primary_sampling_units.aspx</w:t>
        </w:r>
      </w:hyperlink>
    </w:p>
    <w:p w:rsidR="003F5784" w14:paraId="08948247" w14:textId="77777777">
      <w:pPr>
        <w:pStyle w:val="BodyText"/>
        <w:spacing w:before="1"/>
        <w:rPr>
          <w:sz w:val="16"/>
        </w:rPr>
      </w:pPr>
      <w:r>
        <w:rPr>
          <w:noProof/>
        </w:rPr>
        <mc:AlternateContent>
          <mc:Choice Requires="wps">
            <w:drawing>
              <wp:anchor distT="0" distB="0" distL="0" distR="0" simplePos="0" relativeHeight="251898880" behindDoc="1" locked="0" layoutInCell="1" allowOverlap="1">
                <wp:simplePos x="0" y="0"/>
                <wp:positionH relativeFrom="page">
                  <wp:posOffset>361937</wp:posOffset>
                </wp:positionH>
                <wp:positionV relativeFrom="paragraph">
                  <wp:posOffset>132765</wp:posOffset>
                </wp:positionV>
                <wp:extent cx="9339580" cy="8890"/>
                <wp:effectExtent l="0" t="0" r="0" b="0"/>
                <wp:wrapTopAndBottom/>
                <wp:docPr id="235" name="Graphic 235"/>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67"/>
                              </a:lnTo>
                              <a:lnTo>
                                <a:pt x="9335110" y="8293"/>
                              </a:lnTo>
                              <a:lnTo>
                                <a:pt x="9338970" y="8293"/>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35" o:spid="_x0000_s1120" style="width:735.4pt;height:0.7pt;margin-top:10.45pt;margin-left:28.5pt;mso-position-horizontal-relative:page;mso-wrap-distance-bottom:0;mso-wrap-distance-left:0;mso-wrap-distance-right:0;mso-wrap-distance-top:0;mso-wrap-style:square;position:absolute;visibility:visible;v-text-anchor:top;z-index:-251416576" coordsize="9339580,8890" path="m9338970,12l9335110,12l8280,12,,,,8267l9335110,8293l9338970,8293l9338970,12xe" fillcolor="gray" stroked="f">
                <v:path arrowok="t"/>
                <w10:wrap type="topAndBottom"/>
              </v:shape>
            </w:pict>
          </mc:Fallback>
        </mc:AlternateContent>
      </w:r>
    </w:p>
    <w:p w:rsidR="003F5784" w14:paraId="4456A247" w14:textId="77777777">
      <w:pPr>
        <w:pStyle w:val="BodyText"/>
        <w:rPr>
          <w:sz w:val="18"/>
        </w:rPr>
      </w:pPr>
    </w:p>
    <w:p w:rsidR="003F5784" w14:paraId="4A9C5862" w14:textId="77777777">
      <w:pPr>
        <w:pStyle w:val="BodyText"/>
        <w:spacing w:before="193"/>
        <w:rPr>
          <w:sz w:val="18"/>
        </w:rPr>
      </w:pPr>
    </w:p>
    <w:p w:rsidR="003F5784" w14:paraId="6AF7723A" w14:textId="1A53B611">
      <w:pPr>
        <w:pStyle w:val="Heading1"/>
        <w:spacing w:line="244" w:lineRule="auto"/>
      </w:pPr>
      <w:r>
        <w:t>NAEP</w:t>
      </w:r>
      <w:r>
        <w:rPr>
          <w:spacing w:val="-12"/>
        </w:rPr>
        <w:t xml:space="preserve"> </w:t>
      </w:r>
      <w:r>
        <w:t>Technical Documentation</w:t>
      </w:r>
      <w:r w:rsidR="004C039D">
        <w:t xml:space="preserve"> </w:t>
      </w:r>
      <w:r>
        <w:t>Stratification for West Non-Metropolitan Noncertainty Primary Sampling Units</w:t>
      </w:r>
    </w:p>
    <w:p w:rsidR="003F5784" w14:paraId="31E617FA" w14:textId="77777777">
      <w:pPr>
        <w:pStyle w:val="BodyText"/>
        <w:spacing w:before="287" w:line="232" w:lineRule="auto"/>
        <w:ind w:left="109"/>
      </w:pPr>
      <w:r>
        <w:t>The</w:t>
      </w:r>
      <w:r>
        <w:rPr>
          <w:spacing w:val="-3"/>
        </w:rPr>
        <w:t xml:space="preserve"> </w:t>
      </w:r>
      <w:r>
        <w:t>following</w:t>
      </w:r>
      <w:r>
        <w:rPr>
          <w:spacing w:val="-3"/>
        </w:rPr>
        <w:t xml:space="preserve"> </w:t>
      </w:r>
      <w:r>
        <w:t>table</w:t>
      </w:r>
      <w:r>
        <w:rPr>
          <w:spacing w:val="-3"/>
        </w:rPr>
        <w:t xml:space="preserve"> </w:t>
      </w:r>
      <w:r>
        <w:t>provides</w:t>
      </w:r>
      <w:r>
        <w:rPr>
          <w:spacing w:val="-3"/>
        </w:rPr>
        <w:t xml:space="preserve"> </w:t>
      </w:r>
      <w:r>
        <w:t>the</w:t>
      </w:r>
      <w:r>
        <w:rPr>
          <w:spacing w:val="-3"/>
        </w:rPr>
        <w:t xml:space="preserve"> </w:t>
      </w:r>
      <w:r>
        <w:t>definition,</w:t>
      </w:r>
      <w:r>
        <w:rPr>
          <w:spacing w:val="-3"/>
        </w:rPr>
        <w:t xml:space="preserve"> </w:t>
      </w:r>
      <w:r>
        <w:t>number</w:t>
      </w:r>
      <w:r>
        <w:rPr>
          <w:spacing w:val="-3"/>
        </w:rPr>
        <w:t xml:space="preserve"> </w:t>
      </w:r>
      <w:r>
        <w:t>of</w:t>
      </w:r>
      <w:r>
        <w:rPr>
          <w:spacing w:val="-3"/>
        </w:rPr>
        <w:t xml:space="preserve"> </w:t>
      </w:r>
      <w:r>
        <w:t>PSUs,</w:t>
      </w:r>
      <w:r>
        <w:rPr>
          <w:spacing w:val="-3"/>
        </w:rPr>
        <w:t xml:space="preserve"> </w:t>
      </w:r>
      <w:r>
        <w:t>and</w:t>
      </w:r>
      <w:r>
        <w:rPr>
          <w:spacing w:val="-3"/>
        </w:rPr>
        <w:t xml:space="preserve"> </w:t>
      </w:r>
      <w:r>
        <w:t>size</w:t>
      </w:r>
      <w:r>
        <w:rPr>
          <w:spacing w:val="-3"/>
        </w:rPr>
        <w:t xml:space="preserve"> </w:t>
      </w:r>
      <w:r>
        <w:t>of</w:t>
      </w:r>
      <w:r>
        <w:rPr>
          <w:spacing w:val="-3"/>
        </w:rPr>
        <w:t xml:space="preserve"> </w:t>
      </w:r>
      <w:r>
        <w:t>each</w:t>
      </w:r>
      <w:r>
        <w:rPr>
          <w:spacing w:val="-3"/>
        </w:rPr>
        <w:t xml:space="preserve"> </w:t>
      </w:r>
      <w:r>
        <w:t>noncertainty</w:t>
      </w:r>
      <w:r>
        <w:rPr>
          <w:spacing w:val="-3"/>
        </w:rPr>
        <w:t xml:space="preserve"> </w:t>
      </w:r>
      <w:r>
        <w:t>PSU</w:t>
      </w:r>
      <w:r>
        <w:rPr>
          <w:spacing w:val="-3"/>
        </w:rPr>
        <w:t xml:space="preserve"> </w:t>
      </w:r>
      <w:r>
        <w:t>stratum</w:t>
      </w:r>
      <w:r>
        <w:rPr>
          <w:spacing w:val="-3"/>
        </w:rPr>
        <w:t xml:space="preserve"> </w:t>
      </w:r>
      <w:r>
        <w:t>in</w:t>
      </w:r>
      <w:r>
        <w:rPr>
          <w:spacing w:val="-3"/>
        </w:rPr>
        <w:t xml:space="preserve"> </w:t>
      </w:r>
      <w:r>
        <w:t>the</w:t>
      </w:r>
      <w:r>
        <w:rPr>
          <w:spacing w:val="-7"/>
        </w:rPr>
        <w:t xml:space="preserve"> </w:t>
      </w:r>
      <w:r>
        <w:t>West</w:t>
      </w:r>
      <w:r>
        <w:rPr>
          <w:spacing w:val="-3"/>
        </w:rPr>
        <w:t xml:space="preserve"> </w:t>
      </w:r>
      <w:r>
        <w:t>non-metropolitan</w:t>
      </w:r>
      <w:r>
        <w:rPr>
          <w:spacing w:val="-3"/>
        </w:rPr>
        <w:t xml:space="preserve"> </w:t>
      </w:r>
      <w:r>
        <w:t>primary</w:t>
      </w:r>
      <w:r>
        <w:rPr>
          <w:spacing w:val="-3"/>
        </w:rPr>
        <w:t xml:space="preserve"> </w:t>
      </w:r>
      <w:r>
        <w:t>stratum.</w:t>
      </w:r>
      <w:r>
        <w:rPr>
          <w:spacing w:val="-3"/>
        </w:rPr>
        <w:t xml:space="preserve"> </w:t>
      </w:r>
      <w:r>
        <w:t>Columns</w:t>
      </w:r>
      <w:r>
        <w:rPr>
          <w:spacing w:val="-3"/>
        </w:rPr>
        <w:t xml:space="preserve"> </w:t>
      </w:r>
      <w:r>
        <w:t>2</w:t>
      </w:r>
      <w:r>
        <w:rPr>
          <w:spacing w:val="-3"/>
        </w:rPr>
        <w:t xml:space="preserve"> </w:t>
      </w:r>
      <w:r>
        <w:t>and</w:t>
      </w:r>
      <w:r>
        <w:rPr>
          <w:spacing w:val="-3"/>
        </w:rPr>
        <w:t xml:space="preserve"> </w:t>
      </w:r>
      <w:r>
        <w:t>3</w:t>
      </w:r>
      <w:r>
        <w:rPr>
          <w:spacing w:val="-3"/>
        </w:rPr>
        <w:t xml:space="preserve"> </w:t>
      </w:r>
      <w:r>
        <w:t>show the</w:t>
      </w:r>
      <w:r>
        <w:rPr>
          <w:spacing w:val="-6"/>
        </w:rPr>
        <w:t xml:space="preserve"> </w:t>
      </w:r>
      <w:r>
        <w:t>primary</w:t>
      </w:r>
      <w:r>
        <w:rPr>
          <w:spacing w:val="-6"/>
        </w:rPr>
        <w:t xml:space="preserve"> </w:t>
      </w:r>
      <w:r>
        <w:t>and</w:t>
      </w:r>
      <w:r>
        <w:rPr>
          <w:spacing w:val="-6"/>
        </w:rPr>
        <w:t xml:space="preserve"> </w:t>
      </w:r>
      <w:r>
        <w:t>secondary</w:t>
      </w:r>
      <w:r>
        <w:rPr>
          <w:spacing w:val="-6"/>
        </w:rPr>
        <w:t xml:space="preserve"> </w:t>
      </w:r>
      <w:r>
        <w:t>characteristics,</w:t>
      </w:r>
      <w:r>
        <w:rPr>
          <w:spacing w:val="-6"/>
        </w:rPr>
        <w:t xml:space="preserve"> </w:t>
      </w:r>
      <w:r>
        <w:t>respectively,</w:t>
      </w:r>
      <w:r>
        <w:rPr>
          <w:spacing w:val="-6"/>
        </w:rPr>
        <w:t xml:space="preserve"> </w:t>
      </w:r>
      <w:r>
        <w:t>used</w:t>
      </w:r>
      <w:r>
        <w:rPr>
          <w:spacing w:val="-6"/>
        </w:rPr>
        <w:t xml:space="preserve"> </w:t>
      </w:r>
      <w:r>
        <w:t>to</w:t>
      </w:r>
      <w:r>
        <w:rPr>
          <w:spacing w:val="-6"/>
        </w:rPr>
        <w:t xml:space="preserve"> </w:t>
      </w:r>
      <w:r>
        <w:t>define</w:t>
      </w:r>
      <w:r>
        <w:rPr>
          <w:spacing w:val="-6"/>
        </w:rPr>
        <w:t xml:space="preserve"> </w:t>
      </w:r>
      <w:r>
        <w:t>the</w:t>
      </w:r>
      <w:r>
        <w:rPr>
          <w:spacing w:val="-6"/>
        </w:rPr>
        <w:t xml:space="preserve"> </w:t>
      </w:r>
      <w:r>
        <w:t>strata</w:t>
      </w:r>
      <w:r>
        <w:rPr>
          <w:spacing w:val="-6"/>
        </w:rPr>
        <w:t xml:space="preserve"> </w:t>
      </w:r>
      <w:r>
        <w:t>along</w:t>
      </w:r>
      <w:r>
        <w:rPr>
          <w:spacing w:val="-6"/>
        </w:rPr>
        <w:t xml:space="preserve"> </w:t>
      </w:r>
      <w:r>
        <w:t>with</w:t>
      </w:r>
      <w:r>
        <w:rPr>
          <w:spacing w:val="-6"/>
        </w:rPr>
        <w:t xml:space="preserve"> </w:t>
      </w:r>
      <w:r>
        <w:t>their</w:t>
      </w:r>
      <w:r>
        <w:rPr>
          <w:spacing w:val="-6"/>
        </w:rPr>
        <w:t xml:space="preserve"> </w:t>
      </w:r>
      <w:r>
        <w:t>respective</w:t>
      </w:r>
      <w:r>
        <w:rPr>
          <w:spacing w:val="-6"/>
        </w:rPr>
        <w:t xml:space="preserve"> </w:t>
      </w:r>
      <w:r>
        <w:t>cutoffs.</w:t>
      </w:r>
      <w:r>
        <w:rPr>
          <w:spacing w:val="-10"/>
        </w:rPr>
        <w:t xml:space="preserve"> </w:t>
      </w:r>
      <w:r>
        <w:t>The</w:t>
      </w:r>
      <w:r>
        <w:rPr>
          <w:spacing w:val="-6"/>
        </w:rPr>
        <w:t xml:space="preserve"> </w:t>
      </w:r>
      <w:r>
        <w:t>size</w:t>
      </w:r>
      <w:r>
        <w:rPr>
          <w:spacing w:val="-6"/>
        </w:rPr>
        <w:t xml:space="preserve"> </w:t>
      </w:r>
      <w:r>
        <w:t>of</w:t>
      </w:r>
      <w:r>
        <w:rPr>
          <w:spacing w:val="-6"/>
        </w:rPr>
        <w:t xml:space="preserve"> </w:t>
      </w:r>
      <w:r>
        <w:t>each</w:t>
      </w:r>
      <w:r>
        <w:rPr>
          <w:spacing w:val="-6"/>
        </w:rPr>
        <w:t xml:space="preserve"> </w:t>
      </w:r>
      <w:r>
        <w:t>stratum</w:t>
      </w:r>
      <w:r>
        <w:rPr>
          <w:spacing w:val="-6"/>
        </w:rPr>
        <w:t xml:space="preserve"> </w:t>
      </w:r>
      <w:r>
        <w:t>is</w:t>
      </w:r>
      <w:r>
        <w:rPr>
          <w:spacing w:val="-6"/>
        </w:rPr>
        <w:t xml:space="preserve"> </w:t>
      </w:r>
      <w:r>
        <w:t>given</w:t>
      </w:r>
      <w:r>
        <w:rPr>
          <w:spacing w:val="-6"/>
        </w:rPr>
        <w:t xml:space="preserve"> </w:t>
      </w:r>
      <w:r>
        <w:t>in</w:t>
      </w:r>
      <w:r>
        <w:rPr>
          <w:spacing w:val="-6"/>
        </w:rPr>
        <w:t xml:space="preserve"> </w:t>
      </w:r>
      <w:r>
        <w:t>the</w:t>
      </w:r>
      <w:r>
        <w:rPr>
          <w:spacing w:val="-6"/>
        </w:rPr>
        <w:t xml:space="preserve"> </w:t>
      </w:r>
      <w:r>
        <w:t>last</w:t>
      </w:r>
      <w:r>
        <w:rPr>
          <w:spacing w:val="-6"/>
        </w:rPr>
        <w:t xml:space="preserve"> </w:t>
      </w:r>
      <w:r>
        <w:t>column</w:t>
      </w:r>
      <w:r>
        <w:rPr>
          <w:spacing w:val="-6"/>
        </w:rPr>
        <w:t xml:space="preserve"> </w:t>
      </w:r>
      <w:r>
        <w:t>and</w:t>
      </w:r>
      <w:r>
        <w:rPr>
          <w:spacing w:val="-6"/>
        </w:rPr>
        <w:t xml:space="preserve"> </w:t>
      </w:r>
      <w:r>
        <w:t>is</w:t>
      </w:r>
      <w:r>
        <w:rPr>
          <w:spacing w:val="-6"/>
        </w:rPr>
        <w:t xml:space="preserve"> </w:t>
      </w:r>
      <w:r>
        <w:t>in terms of the number of youths (person 17 years of age and younger).</w:t>
      </w:r>
    </w:p>
    <w:p w:rsidR="003F5784" w14:paraId="6332A3DD" w14:textId="77777777">
      <w:pPr>
        <w:pStyle w:val="BodyText"/>
        <w:spacing w:before="92"/>
      </w:pPr>
    </w:p>
    <w:p w:rsidR="003F5784" w14:paraId="28C55185" w14:textId="77777777">
      <w:pPr>
        <w:pStyle w:val="Heading2"/>
      </w:pPr>
      <w:r>
        <w:t>Stratification</w:t>
      </w:r>
      <w:r>
        <w:rPr>
          <w:spacing w:val="-13"/>
        </w:rPr>
        <w:t xml:space="preserve"> </w:t>
      </w:r>
      <w:r>
        <w:t>for</w:t>
      </w:r>
      <w:r>
        <w:rPr>
          <w:spacing w:val="-13"/>
        </w:rPr>
        <w:t xml:space="preserve"> </w:t>
      </w:r>
      <w:r>
        <w:t>West</w:t>
      </w:r>
      <w:r>
        <w:rPr>
          <w:spacing w:val="-11"/>
        </w:rPr>
        <w:t xml:space="preserve"> </w:t>
      </w:r>
      <w:r>
        <w:t>non-metropolitan</w:t>
      </w:r>
      <w:r>
        <w:rPr>
          <w:spacing w:val="-10"/>
        </w:rPr>
        <w:t xml:space="preserve"> </w:t>
      </w:r>
      <w:r>
        <w:t>noncertainty</w:t>
      </w:r>
      <w:r>
        <w:rPr>
          <w:spacing w:val="-10"/>
        </w:rPr>
        <w:t xml:space="preserve"> </w:t>
      </w:r>
      <w:r>
        <w:t>primary</w:t>
      </w:r>
      <w:r>
        <w:rPr>
          <w:spacing w:val="-10"/>
        </w:rPr>
        <w:t xml:space="preserve"> </w:t>
      </w:r>
      <w:r>
        <w:t>sampling</w:t>
      </w:r>
      <w:r>
        <w:rPr>
          <w:spacing w:val="-10"/>
        </w:rPr>
        <w:t xml:space="preserve"> </w:t>
      </w:r>
      <w:r>
        <w:t>units</w:t>
      </w:r>
      <w:r>
        <w:rPr>
          <w:spacing w:val="-10"/>
        </w:rPr>
        <w:t xml:space="preserve"> </w:t>
      </w:r>
      <w:r>
        <w:t>(PSUs),</w:t>
      </w:r>
      <w:r>
        <w:rPr>
          <w:spacing w:val="-10"/>
        </w:rPr>
        <w:t xml:space="preserve"> </w:t>
      </w:r>
      <w:r>
        <w:t>by</w:t>
      </w:r>
      <w:r>
        <w:rPr>
          <w:spacing w:val="-10"/>
        </w:rPr>
        <w:t xml:space="preserve"> </w:t>
      </w:r>
      <w:r>
        <w:t>stratum:</w:t>
      </w:r>
      <w:r>
        <w:rPr>
          <w:spacing w:val="-11"/>
        </w:rPr>
        <w:t xml:space="preserve"> </w:t>
      </w:r>
      <w:r>
        <w:rPr>
          <w:spacing w:val="-4"/>
        </w:rPr>
        <w:t>2022</w:t>
      </w:r>
    </w:p>
    <w:p w:rsidR="003F5784" w14:paraId="34D514F0"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1255"/>
        <w:gridCol w:w="3621"/>
        <w:gridCol w:w="7000"/>
        <w:gridCol w:w="814"/>
        <w:gridCol w:w="1296"/>
      </w:tblGrid>
      <w:tr w14:paraId="759E4DCB" w14:textId="77777777">
        <w:tblPrEx>
          <w:tblW w:w="0" w:type="auto"/>
          <w:tblInd w:w="482" w:type="dxa"/>
          <w:tblLayout w:type="fixed"/>
          <w:tblCellMar>
            <w:left w:w="0" w:type="dxa"/>
            <w:right w:w="0" w:type="dxa"/>
          </w:tblCellMar>
          <w:tblLook w:val="01E0"/>
        </w:tblPrEx>
        <w:trPr>
          <w:trHeight w:val="502"/>
        </w:trPr>
        <w:tc>
          <w:tcPr>
            <w:tcW w:w="1255" w:type="dxa"/>
            <w:tcBorders>
              <w:top w:val="single" w:sz="18" w:space="0" w:color="800000"/>
              <w:bottom w:val="single" w:sz="18" w:space="0" w:color="800000"/>
            </w:tcBorders>
          </w:tcPr>
          <w:p w:rsidR="003F5784" w14:paraId="6D9108D0" w14:textId="77777777">
            <w:pPr>
              <w:pStyle w:val="TableParagraph"/>
              <w:spacing w:before="2"/>
              <w:jc w:val="left"/>
              <w:rPr>
                <w:b/>
                <w:sz w:val="21"/>
              </w:rPr>
            </w:pPr>
          </w:p>
          <w:p w:rsidR="003F5784" w14:paraId="700BF44B" w14:textId="77777777">
            <w:pPr>
              <w:pStyle w:val="TableParagraph"/>
              <w:spacing w:before="0" w:line="238" w:lineRule="exact"/>
              <w:ind w:left="120"/>
              <w:jc w:val="left"/>
              <w:rPr>
                <w:sz w:val="21"/>
              </w:rPr>
            </w:pPr>
            <w:r>
              <w:rPr>
                <w:spacing w:val="-2"/>
                <w:sz w:val="21"/>
              </w:rPr>
              <w:t>Stratum</w:t>
            </w:r>
          </w:p>
        </w:tc>
        <w:tc>
          <w:tcPr>
            <w:tcW w:w="3621" w:type="dxa"/>
            <w:tcBorders>
              <w:top w:val="single" w:sz="18" w:space="0" w:color="800000"/>
              <w:bottom w:val="single" w:sz="18" w:space="0" w:color="800000"/>
            </w:tcBorders>
          </w:tcPr>
          <w:p w:rsidR="003F5784" w14:paraId="15A7CE45" w14:textId="77777777">
            <w:pPr>
              <w:pStyle w:val="TableParagraph"/>
              <w:spacing w:before="2"/>
              <w:jc w:val="left"/>
              <w:rPr>
                <w:b/>
                <w:sz w:val="21"/>
              </w:rPr>
            </w:pPr>
          </w:p>
          <w:p w:rsidR="003F5784" w14:paraId="61A0EBA1" w14:textId="77777777">
            <w:pPr>
              <w:pStyle w:val="TableParagraph"/>
              <w:spacing w:before="0" w:line="238" w:lineRule="exact"/>
              <w:ind w:right="725"/>
              <w:rPr>
                <w:sz w:val="21"/>
              </w:rPr>
            </w:pPr>
            <w:r>
              <w:rPr>
                <w:sz w:val="21"/>
              </w:rPr>
              <w:t>Primary</w:t>
            </w:r>
            <w:r>
              <w:rPr>
                <w:spacing w:val="-8"/>
                <w:sz w:val="21"/>
              </w:rPr>
              <w:t xml:space="preserve"> </w:t>
            </w:r>
            <w:r>
              <w:rPr>
                <w:spacing w:val="-2"/>
                <w:sz w:val="21"/>
              </w:rPr>
              <w:t>stratifier</w:t>
            </w:r>
          </w:p>
        </w:tc>
        <w:tc>
          <w:tcPr>
            <w:tcW w:w="7000" w:type="dxa"/>
            <w:tcBorders>
              <w:top w:val="single" w:sz="18" w:space="0" w:color="800000"/>
              <w:bottom w:val="single" w:sz="18" w:space="0" w:color="800000"/>
            </w:tcBorders>
          </w:tcPr>
          <w:p w:rsidR="003F5784" w14:paraId="757C7306" w14:textId="77777777">
            <w:pPr>
              <w:pStyle w:val="TableParagraph"/>
              <w:spacing w:before="2"/>
              <w:jc w:val="left"/>
              <w:rPr>
                <w:b/>
                <w:sz w:val="21"/>
              </w:rPr>
            </w:pPr>
          </w:p>
          <w:p w:rsidR="003F5784" w14:paraId="4255B0D4" w14:textId="77777777">
            <w:pPr>
              <w:pStyle w:val="TableParagraph"/>
              <w:spacing w:before="0" w:line="238" w:lineRule="exact"/>
              <w:ind w:right="116"/>
              <w:rPr>
                <w:sz w:val="21"/>
              </w:rPr>
            </w:pPr>
            <w:r>
              <w:rPr>
                <w:sz w:val="21"/>
              </w:rPr>
              <w:t>Secondary</w:t>
            </w:r>
            <w:r>
              <w:rPr>
                <w:spacing w:val="-10"/>
                <w:sz w:val="21"/>
              </w:rPr>
              <w:t xml:space="preserve"> </w:t>
            </w:r>
            <w:r>
              <w:rPr>
                <w:spacing w:val="-2"/>
                <w:sz w:val="21"/>
              </w:rPr>
              <w:t>stratifier</w:t>
            </w:r>
          </w:p>
        </w:tc>
        <w:tc>
          <w:tcPr>
            <w:tcW w:w="814" w:type="dxa"/>
            <w:tcBorders>
              <w:top w:val="single" w:sz="18" w:space="0" w:color="800000"/>
              <w:bottom w:val="single" w:sz="18" w:space="0" w:color="800000"/>
            </w:tcBorders>
          </w:tcPr>
          <w:p w:rsidR="003F5784" w14:paraId="6C6D9466" w14:textId="77777777">
            <w:pPr>
              <w:pStyle w:val="TableParagraph"/>
              <w:spacing w:before="2"/>
              <w:jc w:val="left"/>
              <w:rPr>
                <w:b/>
                <w:sz w:val="21"/>
              </w:rPr>
            </w:pPr>
          </w:p>
          <w:p w:rsidR="003F5784" w14:paraId="42E2EFA9" w14:textId="77777777">
            <w:pPr>
              <w:pStyle w:val="TableParagraph"/>
              <w:spacing w:before="0" w:line="238" w:lineRule="exact"/>
              <w:ind w:right="232"/>
              <w:rPr>
                <w:sz w:val="21"/>
              </w:rPr>
            </w:pPr>
            <w:r>
              <w:rPr>
                <w:spacing w:val="-4"/>
                <w:sz w:val="21"/>
              </w:rPr>
              <w:t>PSUs</w:t>
            </w:r>
          </w:p>
        </w:tc>
        <w:tc>
          <w:tcPr>
            <w:tcW w:w="1296" w:type="dxa"/>
            <w:tcBorders>
              <w:top w:val="single" w:sz="18" w:space="0" w:color="800000"/>
              <w:bottom w:val="single" w:sz="18" w:space="0" w:color="800000"/>
            </w:tcBorders>
          </w:tcPr>
          <w:p w:rsidR="003F5784" w14:paraId="171101BC" w14:textId="77777777">
            <w:pPr>
              <w:pStyle w:val="TableParagraph"/>
              <w:spacing w:before="9" w:line="238" w:lineRule="exact"/>
              <w:ind w:right="119"/>
              <w:rPr>
                <w:sz w:val="21"/>
              </w:rPr>
            </w:pPr>
            <w:r>
              <w:rPr>
                <w:sz w:val="21"/>
              </w:rPr>
              <w:t>Measure</w:t>
            </w:r>
            <w:r>
              <w:rPr>
                <w:spacing w:val="-9"/>
                <w:sz w:val="21"/>
              </w:rPr>
              <w:t xml:space="preserve"> </w:t>
            </w:r>
            <w:r>
              <w:rPr>
                <w:spacing w:val="-5"/>
                <w:sz w:val="21"/>
              </w:rPr>
              <w:t>of</w:t>
            </w:r>
          </w:p>
          <w:p w:rsidR="003F5784" w14:paraId="027C4CE3" w14:textId="77777777">
            <w:pPr>
              <w:pStyle w:val="TableParagraph"/>
              <w:spacing w:before="0" w:line="235" w:lineRule="exact"/>
              <w:ind w:right="119"/>
              <w:rPr>
                <w:sz w:val="21"/>
              </w:rPr>
            </w:pPr>
            <w:r>
              <w:rPr>
                <w:spacing w:val="-4"/>
                <w:sz w:val="21"/>
              </w:rPr>
              <w:t>size</w:t>
            </w:r>
          </w:p>
        </w:tc>
      </w:tr>
      <w:tr w14:paraId="018F9BC5" w14:textId="77777777">
        <w:tblPrEx>
          <w:tblW w:w="0" w:type="auto"/>
          <w:tblInd w:w="482" w:type="dxa"/>
          <w:tblLayout w:type="fixed"/>
          <w:tblCellMar>
            <w:left w:w="0" w:type="dxa"/>
            <w:right w:w="0" w:type="dxa"/>
          </w:tblCellMar>
          <w:tblLook w:val="01E0"/>
        </w:tblPrEx>
        <w:trPr>
          <w:trHeight w:val="278"/>
        </w:trPr>
        <w:tc>
          <w:tcPr>
            <w:tcW w:w="1255" w:type="dxa"/>
            <w:tcBorders>
              <w:top w:val="single" w:sz="18" w:space="0" w:color="800000"/>
            </w:tcBorders>
          </w:tcPr>
          <w:p w:rsidR="003F5784" w14:paraId="551B60D4" w14:textId="77777777">
            <w:pPr>
              <w:pStyle w:val="TableParagraph"/>
              <w:spacing w:before="9"/>
              <w:ind w:left="370"/>
              <w:jc w:val="left"/>
              <w:rPr>
                <w:b/>
                <w:sz w:val="21"/>
              </w:rPr>
            </w:pPr>
            <w:r>
              <w:rPr>
                <w:b/>
                <w:spacing w:val="-2"/>
                <w:sz w:val="21"/>
              </w:rPr>
              <w:t>Total</w:t>
            </w:r>
          </w:p>
        </w:tc>
        <w:tc>
          <w:tcPr>
            <w:tcW w:w="3621" w:type="dxa"/>
            <w:tcBorders>
              <w:top w:val="single" w:sz="18" w:space="0" w:color="800000"/>
            </w:tcBorders>
          </w:tcPr>
          <w:p w:rsidR="003F5784" w14:paraId="165E8E25" w14:textId="77777777">
            <w:pPr>
              <w:pStyle w:val="TableParagraph"/>
              <w:spacing w:before="9"/>
              <w:ind w:right="725"/>
              <w:rPr>
                <w:b/>
                <w:sz w:val="21"/>
              </w:rPr>
            </w:pPr>
            <w:r>
              <w:rPr>
                <w:b/>
                <w:spacing w:val="-10"/>
                <w:sz w:val="21"/>
              </w:rPr>
              <w:t>†</w:t>
            </w:r>
          </w:p>
        </w:tc>
        <w:tc>
          <w:tcPr>
            <w:tcW w:w="7000" w:type="dxa"/>
            <w:tcBorders>
              <w:top w:val="single" w:sz="18" w:space="0" w:color="800000"/>
            </w:tcBorders>
          </w:tcPr>
          <w:p w:rsidR="003F5784" w14:paraId="447FCED9" w14:textId="77777777">
            <w:pPr>
              <w:pStyle w:val="TableParagraph"/>
              <w:spacing w:before="9"/>
              <w:ind w:right="116"/>
              <w:rPr>
                <w:b/>
                <w:sz w:val="21"/>
              </w:rPr>
            </w:pPr>
            <w:r>
              <w:rPr>
                <w:b/>
                <w:spacing w:val="-10"/>
                <w:sz w:val="21"/>
              </w:rPr>
              <w:t>†</w:t>
            </w:r>
          </w:p>
        </w:tc>
        <w:tc>
          <w:tcPr>
            <w:tcW w:w="814" w:type="dxa"/>
            <w:tcBorders>
              <w:top w:val="single" w:sz="18" w:space="0" w:color="800000"/>
            </w:tcBorders>
          </w:tcPr>
          <w:p w:rsidR="003F5784" w14:paraId="762F3784" w14:textId="77777777">
            <w:pPr>
              <w:pStyle w:val="TableParagraph"/>
              <w:spacing w:before="9"/>
              <w:ind w:right="232"/>
              <w:rPr>
                <w:b/>
                <w:sz w:val="21"/>
              </w:rPr>
            </w:pPr>
            <w:r>
              <w:rPr>
                <w:b/>
                <w:spacing w:val="-5"/>
                <w:sz w:val="21"/>
              </w:rPr>
              <w:t>103</w:t>
            </w:r>
          </w:p>
        </w:tc>
        <w:tc>
          <w:tcPr>
            <w:tcW w:w="1296" w:type="dxa"/>
            <w:tcBorders>
              <w:top w:val="single" w:sz="18" w:space="0" w:color="800000"/>
            </w:tcBorders>
          </w:tcPr>
          <w:p w:rsidR="003F5784" w14:paraId="0C71B73F" w14:textId="77777777">
            <w:pPr>
              <w:pStyle w:val="TableParagraph"/>
              <w:spacing w:before="9"/>
              <w:ind w:right="119"/>
              <w:rPr>
                <w:b/>
                <w:sz w:val="21"/>
              </w:rPr>
            </w:pPr>
            <w:r>
              <w:rPr>
                <w:b/>
                <w:spacing w:val="-2"/>
                <w:sz w:val="21"/>
              </w:rPr>
              <w:t>1,657,582</w:t>
            </w:r>
          </w:p>
        </w:tc>
      </w:tr>
      <w:tr w14:paraId="06A8E21E" w14:textId="77777777">
        <w:tblPrEx>
          <w:tblW w:w="0" w:type="auto"/>
          <w:tblInd w:w="482" w:type="dxa"/>
          <w:tblLayout w:type="fixed"/>
          <w:tblCellMar>
            <w:left w:w="0" w:type="dxa"/>
            <w:right w:w="0" w:type="dxa"/>
          </w:tblCellMar>
          <w:tblLook w:val="01E0"/>
        </w:tblPrEx>
        <w:trPr>
          <w:trHeight w:val="521"/>
        </w:trPr>
        <w:tc>
          <w:tcPr>
            <w:tcW w:w="1255" w:type="dxa"/>
          </w:tcPr>
          <w:p w:rsidR="003F5784" w14:paraId="7D578AA9" w14:textId="77777777">
            <w:pPr>
              <w:pStyle w:val="TableParagraph"/>
              <w:ind w:left="120"/>
              <w:jc w:val="left"/>
              <w:rPr>
                <w:sz w:val="21"/>
              </w:rPr>
            </w:pPr>
            <w:r>
              <w:rPr>
                <w:spacing w:val="-10"/>
                <w:sz w:val="21"/>
              </w:rPr>
              <w:t>1</w:t>
            </w:r>
          </w:p>
        </w:tc>
        <w:tc>
          <w:tcPr>
            <w:tcW w:w="3621" w:type="dxa"/>
          </w:tcPr>
          <w:p w:rsidR="003F5784" w14:paraId="226F7B25" w14:textId="77777777">
            <w:pPr>
              <w:pStyle w:val="TableParagraph"/>
              <w:spacing w:line="238" w:lineRule="exact"/>
              <w:ind w:right="725"/>
              <w:rPr>
                <w:sz w:val="21"/>
              </w:rPr>
            </w:pPr>
            <w:r>
              <w:rPr>
                <w:sz w:val="21"/>
              </w:rPr>
              <w:t>Percentage</w:t>
            </w:r>
            <w:r>
              <w:rPr>
                <w:spacing w:val="-10"/>
                <w:sz w:val="21"/>
              </w:rPr>
              <w:t xml:space="preserve"> </w:t>
            </w:r>
            <w:r>
              <w:rPr>
                <w:sz w:val="21"/>
              </w:rPr>
              <w:t>of</w:t>
            </w:r>
            <w:r>
              <w:rPr>
                <w:spacing w:val="-10"/>
                <w:sz w:val="21"/>
              </w:rPr>
              <w:t xml:space="preserve"> </w:t>
            </w:r>
            <w:r>
              <w:rPr>
                <w:sz w:val="21"/>
              </w:rPr>
              <w:t>female-</w:t>
            </w:r>
            <w:r>
              <w:rPr>
                <w:spacing w:val="-2"/>
                <w:sz w:val="21"/>
              </w:rPr>
              <w:t>headed</w:t>
            </w:r>
          </w:p>
          <w:p w:rsidR="003F5784" w14:paraId="29D4024D" w14:textId="77777777">
            <w:pPr>
              <w:pStyle w:val="TableParagraph"/>
              <w:spacing w:before="0" w:line="238" w:lineRule="exact"/>
              <w:ind w:right="725"/>
              <w:rPr>
                <w:sz w:val="21"/>
              </w:rPr>
            </w:pPr>
            <w:r>
              <w:rPr>
                <w:sz w:val="21"/>
              </w:rPr>
              <w:t>households</w:t>
            </w:r>
            <w:r>
              <w:rPr>
                <w:spacing w:val="-7"/>
                <w:sz w:val="21"/>
              </w:rPr>
              <w:t xml:space="preserve"> </w:t>
            </w:r>
            <w:r>
              <w:rPr>
                <w:sz w:val="21"/>
              </w:rPr>
              <w:t>&lt;=</w:t>
            </w:r>
            <w:r>
              <w:rPr>
                <w:spacing w:val="-7"/>
                <w:sz w:val="21"/>
              </w:rPr>
              <w:t xml:space="preserve"> </w:t>
            </w:r>
            <w:r>
              <w:rPr>
                <w:spacing w:val="-5"/>
                <w:sz w:val="21"/>
              </w:rPr>
              <w:t>9.7</w:t>
            </w:r>
          </w:p>
        </w:tc>
        <w:tc>
          <w:tcPr>
            <w:tcW w:w="7000" w:type="dxa"/>
          </w:tcPr>
          <w:p w:rsidR="003F5784" w14:paraId="4568FEDE" w14:textId="77777777">
            <w:pPr>
              <w:pStyle w:val="TableParagraph"/>
              <w:spacing w:line="238" w:lineRule="exact"/>
              <w:ind w:right="116"/>
              <w:rPr>
                <w:sz w:val="21"/>
              </w:rPr>
            </w:pPr>
            <w:r>
              <w:rPr>
                <w:sz w:val="21"/>
              </w:rPr>
              <w:t>Percentage</w:t>
            </w:r>
            <w:r>
              <w:rPr>
                <w:spacing w:val="-12"/>
                <w:sz w:val="21"/>
              </w:rPr>
              <w:t xml:space="preserve"> </w:t>
            </w:r>
            <w:r>
              <w:rPr>
                <w:sz w:val="21"/>
              </w:rPr>
              <w:t>of</w:t>
            </w:r>
            <w:r>
              <w:rPr>
                <w:spacing w:val="-8"/>
                <w:sz w:val="21"/>
              </w:rPr>
              <w:t xml:space="preserve"> </w:t>
            </w:r>
            <w:r>
              <w:rPr>
                <w:sz w:val="21"/>
              </w:rPr>
              <w:t>Black,</w:t>
            </w:r>
            <w:r>
              <w:rPr>
                <w:spacing w:val="-8"/>
                <w:sz w:val="21"/>
              </w:rPr>
              <w:t xml:space="preserve"> </w:t>
            </w:r>
            <w:r>
              <w:rPr>
                <w:sz w:val="21"/>
              </w:rPr>
              <w:t>Hispanic,</w:t>
            </w:r>
            <w:r>
              <w:rPr>
                <w:spacing w:val="-13"/>
                <w:sz w:val="21"/>
              </w:rPr>
              <w:t xml:space="preserve"> </w:t>
            </w:r>
            <w:r>
              <w:rPr>
                <w:sz w:val="21"/>
              </w:rPr>
              <w:t>American</w:t>
            </w:r>
            <w:r>
              <w:rPr>
                <w:spacing w:val="-8"/>
                <w:sz w:val="21"/>
              </w:rPr>
              <w:t xml:space="preserve"> </w:t>
            </w:r>
            <w:r>
              <w:rPr>
                <w:sz w:val="21"/>
              </w:rPr>
              <w:t>Indian/Alaska</w:t>
            </w:r>
            <w:r>
              <w:rPr>
                <w:spacing w:val="-7"/>
                <w:sz w:val="21"/>
              </w:rPr>
              <w:t xml:space="preserve"> </w:t>
            </w:r>
            <w:r>
              <w:rPr>
                <w:sz w:val="21"/>
              </w:rPr>
              <w:t>Native,</w:t>
            </w:r>
            <w:r>
              <w:rPr>
                <w:spacing w:val="-8"/>
                <w:sz w:val="21"/>
              </w:rPr>
              <w:t xml:space="preserve"> </w:t>
            </w:r>
            <w:r>
              <w:rPr>
                <w:sz w:val="21"/>
              </w:rPr>
              <w:t>or</w:t>
            </w:r>
            <w:r>
              <w:rPr>
                <w:spacing w:val="-8"/>
                <w:sz w:val="21"/>
              </w:rPr>
              <w:t xml:space="preserve"> </w:t>
            </w:r>
            <w:r>
              <w:rPr>
                <w:spacing w:val="-2"/>
                <w:sz w:val="21"/>
              </w:rPr>
              <w:t>Native</w:t>
            </w:r>
          </w:p>
          <w:p w:rsidR="003F5784" w14:paraId="68065BA5" w14:textId="77777777">
            <w:pPr>
              <w:pStyle w:val="TableParagraph"/>
              <w:spacing w:before="0" w:line="238" w:lineRule="exact"/>
              <w:ind w:right="116"/>
              <w:rPr>
                <w:sz w:val="21"/>
              </w:rPr>
            </w:pPr>
            <w:r>
              <w:rPr>
                <w:sz w:val="21"/>
              </w:rPr>
              <w:t>Hawaiian/Other</w:t>
            </w:r>
            <w:r>
              <w:rPr>
                <w:spacing w:val="-8"/>
                <w:sz w:val="21"/>
              </w:rPr>
              <w:t xml:space="preserve"> </w:t>
            </w:r>
            <w:r>
              <w:rPr>
                <w:sz w:val="21"/>
              </w:rPr>
              <w:t>Pacific</w:t>
            </w:r>
            <w:r>
              <w:rPr>
                <w:spacing w:val="-8"/>
                <w:sz w:val="21"/>
              </w:rPr>
              <w:t xml:space="preserve"> </w:t>
            </w:r>
            <w:r>
              <w:rPr>
                <w:sz w:val="21"/>
              </w:rPr>
              <w:t>Islander</w:t>
            </w:r>
            <w:r>
              <w:rPr>
                <w:spacing w:val="-7"/>
                <w:sz w:val="21"/>
              </w:rPr>
              <w:t xml:space="preserve"> </w:t>
            </w:r>
            <w:r>
              <w:rPr>
                <w:sz w:val="21"/>
              </w:rPr>
              <w:t>youth</w:t>
            </w:r>
            <w:r>
              <w:rPr>
                <w:spacing w:val="-8"/>
                <w:sz w:val="21"/>
              </w:rPr>
              <w:t xml:space="preserve"> </w:t>
            </w:r>
            <w:r>
              <w:rPr>
                <w:sz w:val="21"/>
              </w:rPr>
              <w:t>&lt;=</w:t>
            </w:r>
            <w:r>
              <w:rPr>
                <w:spacing w:val="-8"/>
                <w:sz w:val="21"/>
              </w:rPr>
              <w:t xml:space="preserve"> </w:t>
            </w:r>
            <w:r>
              <w:rPr>
                <w:spacing w:val="-5"/>
                <w:sz w:val="21"/>
              </w:rPr>
              <w:t>12</w:t>
            </w:r>
          </w:p>
        </w:tc>
        <w:tc>
          <w:tcPr>
            <w:tcW w:w="814" w:type="dxa"/>
          </w:tcPr>
          <w:p w:rsidR="003F5784" w14:paraId="56F6B057" w14:textId="77777777">
            <w:pPr>
              <w:pStyle w:val="TableParagraph"/>
              <w:ind w:right="232"/>
              <w:rPr>
                <w:sz w:val="21"/>
              </w:rPr>
            </w:pPr>
            <w:r>
              <w:rPr>
                <w:spacing w:val="-5"/>
                <w:sz w:val="21"/>
              </w:rPr>
              <w:t>27</w:t>
            </w:r>
          </w:p>
        </w:tc>
        <w:tc>
          <w:tcPr>
            <w:tcW w:w="1296" w:type="dxa"/>
          </w:tcPr>
          <w:p w:rsidR="003F5784" w14:paraId="50D7ECEB" w14:textId="77777777">
            <w:pPr>
              <w:pStyle w:val="TableParagraph"/>
              <w:ind w:right="119"/>
              <w:rPr>
                <w:sz w:val="21"/>
              </w:rPr>
            </w:pPr>
            <w:r>
              <w:rPr>
                <w:spacing w:val="-2"/>
                <w:sz w:val="21"/>
              </w:rPr>
              <w:t>422,853</w:t>
            </w:r>
          </w:p>
        </w:tc>
      </w:tr>
      <w:tr w14:paraId="7A5DD4FA" w14:textId="77777777">
        <w:tblPrEx>
          <w:tblW w:w="0" w:type="auto"/>
          <w:tblInd w:w="482" w:type="dxa"/>
          <w:tblLayout w:type="fixed"/>
          <w:tblCellMar>
            <w:left w:w="0" w:type="dxa"/>
            <w:right w:w="0" w:type="dxa"/>
          </w:tblCellMar>
          <w:tblLook w:val="01E0"/>
        </w:tblPrEx>
        <w:trPr>
          <w:trHeight w:val="521"/>
        </w:trPr>
        <w:tc>
          <w:tcPr>
            <w:tcW w:w="1255" w:type="dxa"/>
          </w:tcPr>
          <w:p w:rsidR="003F5784" w14:paraId="17F75E36" w14:textId="77777777">
            <w:pPr>
              <w:pStyle w:val="TableParagraph"/>
              <w:ind w:left="120"/>
              <w:jc w:val="left"/>
              <w:rPr>
                <w:sz w:val="21"/>
              </w:rPr>
            </w:pPr>
            <w:r>
              <w:rPr>
                <w:spacing w:val="-10"/>
                <w:sz w:val="21"/>
              </w:rPr>
              <w:t>2</w:t>
            </w:r>
          </w:p>
        </w:tc>
        <w:tc>
          <w:tcPr>
            <w:tcW w:w="3621" w:type="dxa"/>
          </w:tcPr>
          <w:p w:rsidR="003F5784" w14:paraId="07E5F1C5" w14:textId="77777777">
            <w:pPr>
              <w:pStyle w:val="TableParagraph"/>
              <w:spacing w:line="238" w:lineRule="exact"/>
              <w:ind w:right="725"/>
              <w:rPr>
                <w:sz w:val="21"/>
              </w:rPr>
            </w:pPr>
            <w:r>
              <w:rPr>
                <w:sz w:val="21"/>
              </w:rPr>
              <w:t>Percentage</w:t>
            </w:r>
            <w:r>
              <w:rPr>
                <w:spacing w:val="-10"/>
                <w:sz w:val="21"/>
              </w:rPr>
              <w:t xml:space="preserve"> </w:t>
            </w:r>
            <w:r>
              <w:rPr>
                <w:sz w:val="21"/>
              </w:rPr>
              <w:t>of</w:t>
            </w:r>
            <w:r>
              <w:rPr>
                <w:spacing w:val="-10"/>
                <w:sz w:val="21"/>
              </w:rPr>
              <w:t xml:space="preserve"> </w:t>
            </w:r>
            <w:r>
              <w:rPr>
                <w:sz w:val="21"/>
              </w:rPr>
              <w:t>female-</w:t>
            </w:r>
            <w:r>
              <w:rPr>
                <w:spacing w:val="-2"/>
                <w:sz w:val="21"/>
              </w:rPr>
              <w:t>headed</w:t>
            </w:r>
          </w:p>
          <w:p w:rsidR="003F5784" w14:paraId="1B78D63B" w14:textId="77777777">
            <w:pPr>
              <w:pStyle w:val="TableParagraph"/>
              <w:spacing w:before="0" w:line="238" w:lineRule="exact"/>
              <w:ind w:right="725"/>
              <w:rPr>
                <w:sz w:val="21"/>
              </w:rPr>
            </w:pPr>
            <w:r>
              <w:rPr>
                <w:sz w:val="21"/>
              </w:rPr>
              <w:t>households</w:t>
            </w:r>
            <w:r>
              <w:rPr>
                <w:spacing w:val="-7"/>
                <w:sz w:val="21"/>
              </w:rPr>
              <w:t xml:space="preserve"> </w:t>
            </w:r>
            <w:r>
              <w:rPr>
                <w:sz w:val="21"/>
              </w:rPr>
              <w:t>&lt;=</w:t>
            </w:r>
            <w:r>
              <w:rPr>
                <w:spacing w:val="-7"/>
                <w:sz w:val="21"/>
              </w:rPr>
              <w:t xml:space="preserve"> </w:t>
            </w:r>
            <w:r>
              <w:rPr>
                <w:spacing w:val="-5"/>
                <w:sz w:val="21"/>
              </w:rPr>
              <w:t>9.7</w:t>
            </w:r>
          </w:p>
        </w:tc>
        <w:tc>
          <w:tcPr>
            <w:tcW w:w="7000" w:type="dxa"/>
          </w:tcPr>
          <w:p w:rsidR="003F5784" w14:paraId="05BF49BD" w14:textId="77777777">
            <w:pPr>
              <w:pStyle w:val="TableParagraph"/>
              <w:spacing w:line="238" w:lineRule="exact"/>
              <w:ind w:right="116"/>
              <w:rPr>
                <w:sz w:val="21"/>
              </w:rPr>
            </w:pPr>
            <w:r>
              <w:rPr>
                <w:sz w:val="21"/>
              </w:rPr>
              <w:t>Percentage</w:t>
            </w:r>
            <w:r>
              <w:rPr>
                <w:spacing w:val="-12"/>
                <w:sz w:val="21"/>
              </w:rPr>
              <w:t xml:space="preserve"> </w:t>
            </w:r>
            <w:r>
              <w:rPr>
                <w:sz w:val="21"/>
              </w:rPr>
              <w:t>of</w:t>
            </w:r>
            <w:r>
              <w:rPr>
                <w:spacing w:val="-8"/>
                <w:sz w:val="21"/>
              </w:rPr>
              <w:t xml:space="preserve"> </w:t>
            </w:r>
            <w:r>
              <w:rPr>
                <w:sz w:val="21"/>
              </w:rPr>
              <w:t>Black,</w:t>
            </w:r>
            <w:r>
              <w:rPr>
                <w:spacing w:val="-8"/>
                <w:sz w:val="21"/>
              </w:rPr>
              <w:t xml:space="preserve"> </w:t>
            </w:r>
            <w:r>
              <w:rPr>
                <w:sz w:val="21"/>
              </w:rPr>
              <w:t>Hispanic,</w:t>
            </w:r>
            <w:r>
              <w:rPr>
                <w:spacing w:val="-13"/>
                <w:sz w:val="21"/>
              </w:rPr>
              <w:t xml:space="preserve"> </w:t>
            </w:r>
            <w:r>
              <w:rPr>
                <w:sz w:val="21"/>
              </w:rPr>
              <w:t>American</w:t>
            </w:r>
            <w:r>
              <w:rPr>
                <w:spacing w:val="-8"/>
                <w:sz w:val="21"/>
              </w:rPr>
              <w:t xml:space="preserve"> </w:t>
            </w:r>
            <w:r>
              <w:rPr>
                <w:sz w:val="21"/>
              </w:rPr>
              <w:t>Indian/Alaska</w:t>
            </w:r>
            <w:r>
              <w:rPr>
                <w:spacing w:val="-7"/>
                <w:sz w:val="21"/>
              </w:rPr>
              <w:t xml:space="preserve"> </w:t>
            </w:r>
            <w:r>
              <w:rPr>
                <w:sz w:val="21"/>
              </w:rPr>
              <w:t>Native,</w:t>
            </w:r>
            <w:r>
              <w:rPr>
                <w:spacing w:val="-8"/>
                <w:sz w:val="21"/>
              </w:rPr>
              <w:t xml:space="preserve"> </w:t>
            </w:r>
            <w:r>
              <w:rPr>
                <w:sz w:val="21"/>
              </w:rPr>
              <w:t>or</w:t>
            </w:r>
            <w:r>
              <w:rPr>
                <w:spacing w:val="-8"/>
                <w:sz w:val="21"/>
              </w:rPr>
              <w:t xml:space="preserve"> </w:t>
            </w:r>
            <w:r>
              <w:rPr>
                <w:spacing w:val="-2"/>
                <w:sz w:val="21"/>
              </w:rPr>
              <w:t>Native</w:t>
            </w:r>
          </w:p>
          <w:p w:rsidR="003F5784" w14:paraId="167C82E6" w14:textId="77777777">
            <w:pPr>
              <w:pStyle w:val="TableParagraph"/>
              <w:spacing w:before="0" w:line="238" w:lineRule="exact"/>
              <w:ind w:right="116"/>
              <w:rPr>
                <w:sz w:val="21"/>
              </w:rPr>
            </w:pPr>
            <w:r>
              <w:rPr>
                <w:sz w:val="21"/>
              </w:rPr>
              <w:t>Hawaiian/Other</w:t>
            </w:r>
            <w:r>
              <w:rPr>
                <w:spacing w:val="-8"/>
                <w:sz w:val="21"/>
              </w:rPr>
              <w:t xml:space="preserve"> </w:t>
            </w:r>
            <w:r>
              <w:rPr>
                <w:sz w:val="21"/>
              </w:rPr>
              <w:t>Pacific</w:t>
            </w:r>
            <w:r>
              <w:rPr>
                <w:spacing w:val="-7"/>
                <w:sz w:val="21"/>
              </w:rPr>
              <w:t xml:space="preserve"> </w:t>
            </w:r>
            <w:r>
              <w:rPr>
                <w:sz w:val="21"/>
              </w:rPr>
              <w:t>Islander</w:t>
            </w:r>
            <w:r>
              <w:rPr>
                <w:spacing w:val="-8"/>
                <w:sz w:val="21"/>
              </w:rPr>
              <w:t xml:space="preserve"> </w:t>
            </w:r>
            <w:r>
              <w:rPr>
                <w:sz w:val="21"/>
              </w:rPr>
              <w:t>youth</w:t>
            </w:r>
            <w:r>
              <w:rPr>
                <w:spacing w:val="-7"/>
                <w:sz w:val="21"/>
              </w:rPr>
              <w:t xml:space="preserve"> </w:t>
            </w:r>
            <w:r>
              <w:rPr>
                <w:sz w:val="21"/>
              </w:rPr>
              <w:t>&gt;</w:t>
            </w:r>
            <w:r>
              <w:rPr>
                <w:spacing w:val="-7"/>
                <w:sz w:val="21"/>
              </w:rPr>
              <w:t xml:space="preserve"> </w:t>
            </w:r>
            <w:r>
              <w:rPr>
                <w:spacing w:val="-5"/>
                <w:sz w:val="21"/>
              </w:rPr>
              <w:t>12</w:t>
            </w:r>
          </w:p>
        </w:tc>
        <w:tc>
          <w:tcPr>
            <w:tcW w:w="814" w:type="dxa"/>
          </w:tcPr>
          <w:p w:rsidR="003F5784" w14:paraId="41B65D9D" w14:textId="77777777">
            <w:pPr>
              <w:pStyle w:val="TableParagraph"/>
              <w:ind w:right="232"/>
              <w:rPr>
                <w:sz w:val="21"/>
              </w:rPr>
            </w:pPr>
            <w:r>
              <w:rPr>
                <w:spacing w:val="-5"/>
                <w:sz w:val="21"/>
              </w:rPr>
              <w:t>28</w:t>
            </w:r>
          </w:p>
        </w:tc>
        <w:tc>
          <w:tcPr>
            <w:tcW w:w="1296" w:type="dxa"/>
          </w:tcPr>
          <w:p w:rsidR="003F5784" w14:paraId="0C322263" w14:textId="77777777">
            <w:pPr>
              <w:pStyle w:val="TableParagraph"/>
              <w:ind w:right="119"/>
              <w:rPr>
                <w:sz w:val="21"/>
              </w:rPr>
            </w:pPr>
            <w:r>
              <w:rPr>
                <w:spacing w:val="-2"/>
                <w:sz w:val="21"/>
              </w:rPr>
              <w:t>403,074</w:t>
            </w:r>
          </w:p>
        </w:tc>
      </w:tr>
      <w:tr w14:paraId="69D5C0FE" w14:textId="77777777">
        <w:tblPrEx>
          <w:tblW w:w="0" w:type="auto"/>
          <w:tblInd w:w="482" w:type="dxa"/>
          <w:tblLayout w:type="fixed"/>
          <w:tblCellMar>
            <w:left w:w="0" w:type="dxa"/>
            <w:right w:w="0" w:type="dxa"/>
          </w:tblCellMar>
          <w:tblLook w:val="01E0"/>
        </w:tblPrEx>
        <w:trPr>
          <w:trHeight w:val="521"/>
        </w:trPr>
        <w:tc>
          <w:tcPr>
            <w:tcW w:w="1255" w:type="dxa"/>
          </w:tcPr>
          <w:p w:rsidR="003F5784" w14:paraId="7CC070AE" w14:textId="77777777">
            <w:pPr>
              <w:pStyle w:val="TableParagraph"/>
              <w:ind w:left="120"/>
              <w:jc w:val="left"/>
              <w:rPr>
                <w:sz w:val="21"/>
              </w:rPr>
            </w:pPr>
            <w:r>
              <w:rPr>
                <w:spacing w:val="-10"/>
                <w:sz w:val="21"/>
              </w:rPr>
              <w:t>3</w:t>
            </w:r>
          </w:p>
        </w:tc>
        <w:tc>
          <w:tcPr>
            <w:tcW w:w="3621" w:type="dxa"/>
          </w:tcPr>
          <w:p w:rsidR="003F5784" w14:paraId="7DAFB8C5" w14:textId="77777777">
            <w:pPr>
              <w:pStyle w:val="TableParagraph"/>
              <w:spacing w:line="238" w:lineRule="exact"/>
              <w:ind w:right="725"/>
              <w:rPr>
                <w:sz w:val="21"/>
              </w:rPr>
            </w:pPr>
            <w:r>
              <w:rPr>
                <w:sz w:val="21"/>
              </w:rPr>
              <w:t>Percentage</w:t>
            </w:r>
            <w:r>
              <w:rPr>
                <w:spacing w:val="-10"/>
                <w:sz w:val="21"/>
              </w:rPr>
              <w:t xml:space="preserve"> </w:t>
            </w:r>
            <w:r>
              <w:rPr>
                <w:sz w:val="21"/>
              </w:rPr>
              <w:t>of</w:t>
            </w:r>
            <w:r>
              <w:rPr>
                <w:spacing w:val="-10"/>
                <w:sz w:val="21"/>
              </w:rPr>
              <w:t xml:space="preserve"> </w:t>
            </w:r>
            <w:r>
              <w:rPr>
                <w:sz w:val="21"/>
              </w:rPr>
              <w:t>female-</w:t>
            </w:r>
            <w:r>
              <w:rPr>
                <w:spacing w:val="-2"/>
                <w:sz w:val="21"/>
              </w:rPr>
              <w:t>headed</w:t>
            </w:r>
          </w:p>
          <w:p w:rsidR="003F5784" w14:paraId="59505D9E" w14:textId="77777777">
            <w:pPr>
              <w:pStyle w:val="TableParagraph"/>
              <w:spacing w:before="0" w:line="238" w:lineRule="exact"/>
              <w:ind w:right="725"/>
              <w:rPr>
                <w:sz w:val="21"/>
              </w:rPr>
            </w:pPr>
            <w:r>
              <w:rPr>
                <w:sz w:val="21"/>
              </w:rPr>
              <w:t>households</w:t>
            </w:r>
            <w:r>
              <w:rPr>
                <w:spacing w:val="-7"/>
                <w:sz w:val="21"/>
              </w:rPr>
              <w:t xml:space="preserve"> </w:t>
            </w:r>
            <w:r>
              <w:rPr>
                <w:sz w:val="21"/>
              </w:rPr>
              <w:t>&gt;</w:t>
            </w:r>
            <w:r>
              <w:rPr>
                <w:spacing w:val="-6"/>
                <w:sz w:val="21"/>
              </w:rPr>
              <w:t xml:space="preserve"> </w:t>
            </w:r>
            <w:r>
              <w:rPr>
                <w:spacing w:val="-5"/>
                <w:sz w:val="21"/>
              </w:rPr>
              <w:t>9.7</w:t>
            </w:r>
          </w:p>
        </w:tc>
        <w:tc>
          <w:tcPr>
            <w:tcW w:w="7000" w:type="dxa"/>
          </w:tcPr>
          <w:p w:rsidR="003F5784" w14:paraId="7B246092" w14:textId="77777777">
            <w:pPr>
              <w:pStyle w:val="TableParagraph"/>
              <w:ind w:right="116"/>
              <w:rPr>
                <w:sz w:val="21"/>
              </w:rPr>
            </w:pPr>
            <w:r>
              <w:rPr>
                <w:sz w:val="21"/>
              </w:rPr>
              <w:t>Percentage</w:t>
            </w:r>
            <w:r>
              <w:rPr>
                <w:spacing w:val="-9"/>
                <w:sz w:val="21"/>
              </w:rPr>
              <w:t xml:space="preserve"> </w:t>
            </w:r>
            <w:r>
              <w:rPr>
                <w:sz w:val="21"/>
              </w:rPr>
              <w:t>of</w:t>
            </w:r>
            <w:r>
              <w:rPr>
                <w:spacing w:val="-8"/>
                <w:sz w:val="21"/>
              </w:rPr>
              <w:t xml:space="preserve"> </w:t>
            </w:r>
            <w:r>
              <w:rPr>
                <w:sz w:val="21"/>
              </w:rPr>
              <w:t>female-headed</w:t>
            </w:r>
            <w:r>
              <w:rPr>
                <w:spacing w:val="-8"/>
                <w:sz w:val="21"/>
              </w:rPr>
              <w:t xml:space="preserve"> </w:t>
            </w:r>
            <w:r>
              <w:rPr>
                <w:sz w:val="21"/>
              </w:rPr>
              <w:t>households</w:t>
            </w:r>
            <w:r>
              <w:rPr>
                <w:spacing w:val="-8"/>
                <w:sz w:val="21"/>
              </w:rPr>
              <w:t xml:space="preserve"> </w:t>
            </w:r>
            <w:r>
              <w:rPr>
                <w:sz w:val="21"/>
              </w:rPr>
              <w:t>&lt;=</w:t>
            </w:r>
            <w:r>
              <w:rPr>
                <w:spacing w:val="-8"/>
                <w:sz w:val="21"/>
              </w:rPr>
              <w:t xml:space="preserve"> </w:t>
            </w:r>
            <w:r>
              <w:rPr>
                <w:spacing w:val="-4"/>
                <w:sz w:val="21"/>
              </w:rPr>
              <w:t>11.9</w:t>
            </w:r>
          </w:p>
        </w:tc>
        <w:tc>
          <w:tcPr>
            <w:tcW w:w="814" w:type="dxa"/>
          </w:tcPr>
          <w:p w:rsidR="003F5784" w14:paraId="3D99A9A4" w14:textId="77777777">
            <w:pPr>
              <w:pStyle w:val="TableParagraph"/>
              <w:ind w:right="232"/>
              <w:rPr>
                <w:sz w:val="21"/>
              </w:rPr>
            </w:pPr>
            <w:r>
              <w:rPr>
                <w:spacing w:val="-5"/>
                <w:sz w:val="21"/>
              </w:rPr>
              <w:t>26</w:t>
            </w:r>
          </w:p>
        </w:tc>
        <w:tc>
          <w:tcPr>
            <w:tcW w:w="1296" w:type="dxa"/>
          </w:tcPr>
          <w:p w:rsidR="003F5784" w14:paraId="4B0DC1EF" w14:textId="77777777">
            <w:pPr>
              <w:pStyle w:val="TableParagraph"/>
              <w:ind w:right="119"/>
              <w:rPr>
                <w:sz w:val="21"/>
              </w:rPr>
            </w:pPr>
            <w:r>
              <w:rPr>
                <w:spacing w:val="-2"/>
                <w:sz w:val="21"/>
              </w:rPr>
              <w:t>414,689</w:t>
            </w:r>
          </w:p>
        </w:tc>
      </w:tr>
      <w:tr w14:paraId="77A6C610" w14:textId="77777777">
        <w:tblPrEx>
          <w:tblW w:w="0" w:type="auto"/>
          <w:tblInd w:w="482" w:type="dxa"/>
          <w:tblLayout w:type="fixed"/>
          <w:tblCellMar>
            <w:left w:w="0" w:type="dxa"/>
            <w:right w:w="0" w:type="dxa"/>
          </w:tblCellMar>
          <w:tblLook w:val="01E0"/>
        </w:tblPrEx>
        <w:trPr>
          <w:trHeight w:val="521"/>
        </w:trPr>
        <w:tc>
          <w:tcPr>
            <w:tcW w:w="1255" w:type="dxa"/>
          </w:tcPr>
          <w:p w:rsidR="003F5784" w14:paraId="4859C1F1" w14:textId="77777777">
            <w:pPr>
              <w:pStyle w:val="TableParagraph"/>
              <w:ind w:left="120"/>
              <w:jc w:val="left"/>
              <w:rPr>
                <w:sz w:val="21"/>
              </w:rPr>
            </w:pPr>
            <w:r>
              <w:rPr>
                <w:spacing w:val="-10"/>
                <w:sz w:val="21"/>
              </w:rPr>
              <w:t>4</w:t>
            </w:r>
          </w:p>
        </w:tc>
        <w:tc>
          <w:tcPr>
            <w:tcW w:w="3621" w:type="dxa"/>
          </w:tcPr>
          <w:p w:rsidR="003F5784" w14:paraId="36720315" w14:textId="77777777">
            <w:pPr>
              <w:pStyle w:val="TableParagraph"/>
              <w:spacing w:line="238" w:lineRule="exact"/>
              <w:ind w:right="725"/>
              <w:rPr>
                <w:sz w:val="21"/>
              </w:rPr>
            </w:pPr>
            <w:r>
              <w:rPr>
                <w:sz w:val="21"/>
              </w:rPr>
              <w:t>Percentage</w:t>
            </w:r>
            <w:r>
              <w:rPr>
                <w:spacing w:val="-10"/>
                <w:sz w:val="21"/>
              </w:rPr>
              <w:t xml:space="preserve"> </w:t>
            </w:r>
            <w:r>
              <w:rPr>
                <w:sz w:val="21"/>
              </w:rPr>
              <w:t>of</w:t>
            </w:r>
            <w:r>
              <w:rPr>
                <w:spacing w:val="-10"/>
                <w:sz w:val="21"/>
              </w:rPr>
              <w:t xml:space="preserve"> </w:t>
            </w:r>
            <w:r>
              <w:rPr>
                <w:sz w:val="21"/>
              </w:rPr>
              <w:t>female-</w:t>
            </w:r>
            <w:r>
              <w:rPr>
                <w:spacing w:val="-2"/>
                <w:sz w:val="21"/>
              </w:rPr>
              <w:t>headed</w:t>
            </w:r>
          </w:p>
          <w:p w:rsidR="003F5784" w14:paraId="4EED0FE0" w14:textId="77777777">
            <w:pPr>
              <w:pStyle w:val="TableParagraph"/>
              <w:spacing w:before="0" w:line="238" w:lineRule="exact"/>
              <w:ind w:right="725"/>
              <w:rPr>
                <w:sz w:val="21"/>
              </w:rPr>
            </w:pPr>
            <w:r>
              <w:rPr>
                <w:sz w:val="21"/>
              </w:rPr>
              <w:t>households</w:t>
            </w:r>
            <w:r>
              <w:rPr>
                <w:spacing w:val="-7"/>
                <w:sz w:val="21"/>
              </w:rPr>
              <w:t xml:space="preserve"> </w:t>
            </w:r>
            <w:r>
              <w:rPr>
                <w:sz w:val="21"/>
              </w:rPr>
              <w:t>&gt;</w:t>
            </w:r>
            <w:r>
              <w:rPr>
                <w:spacing w:val="-6"/>
                <w:sz w:val="21"/>
              </w:rPr>
              <w:t xml:space="preserve"> </w:t>
            </w:r>
            <w:r>
              <w:rPr>
                <w:spacing w:val="-5"/>
                <w:sz w:val="21"/>
              </w:rPr>
              <w:t>9.7</w:t>
            </w:r>
          </w:p>
        </w:tc>
        <w:tc>
          <w:tcPr>
            <w:tcW w:w="7000" w:type="dxa"/>
          </w:tcPr>
          <w:p w:rsidR="003F5784" w14:paraId="7786D6A5" w14:textId="77777777">
            <w:pPr>
              <w:pStyle w:val="TableParagraph"/>
              <w:ind w:right="116"/>
              <w:rPr>
                <w:sz w:val="21"/>
              </w:rPr>
            </w:pPr>
            <w:r>
              <w:rPr>
                <w:sz w:val="21"/>
              </w:rPr>
              <w:t>Percentage</w:t>
            </w:r>
            <w:r>
              <w:rPr>
                <w:spacing w:val="-8"/>
                <w:sz w:val="21"/>
              </w:rPr>
              <w:t xml:space="preserve"> </w:t>
            </w:r>
            <w:r>
              <w:rPr>
                <w:sz w:val="21"/>
              </w:rPr>
              <w:t>of</w:t>
            </w:r>
            <w:r>
              <w:rPr>
                <w:spacing w:val="-8"/>
                <w:sz w:val="21"/>
              </w:rPr>
              <w:t xml:space="preserve"> </w:t>
            </w:r>
            <w:r>
              <w:rPr>
                <w:sz w:val="21"/>
              </w:rPr>
              <w:t>female-headed</w:t>
            </w:r>
            <w:r>
              <w:rPr>
                <w:spacing w:val="-8"/>
                <w:sz w:val="21"/>
              </w:rPr>
              <w:t xml:space="preserve"> </w:t>
            </w:r>
            <w:r>
              <w:rPr>
                <w:sz w:val="21"/>
              </w:rPr>
              <w:t>households</w:t>
            </w:r>
            <w:r>
              <w:rPr>
                <w:spacing w:val="-8"/>
                <w:sz w:val="21"/>
              </w:rPr>
              <w:t xml:space="preserve"> </w:t>
            </w:r>
            <w:r>
              <w:rPr>
                <w:sz w:val="21"/>
              </w:rPr>
              <w:t>&gt;</w:t>
            </w:r>
            <w:r>
              <w:rPr>
                <w:spacing w:val="-7"/>
                <w:sz w:val="21"/>
              </w:rPr>
              <w:t xml:space="preserve"> </w:t>
            </w:r>
            <w:r>
              <w:rPr>
                <w:spacing w:val="-4"/>
                <w:sz w:val="21"/>
              </w:rPr>
              <w:t>11.9</w:t>
            </w:r>
          </w:p>
        </w:tc>
        <w:tc>
          <w:tcPr>
            <w:tcW w:w="814" w:type="dxa"/>
          </w:tcPr>
          <w:p w:rsidR="003F5784" w14:paraId="0AE562B8" w14:textId="77777777">
            <w:pPr>
              <w:pStyle w:val="TableParagraph"/>
              <w:ind w:right="232"/>
              <w:rPr>
                <w:sz w:val="21"/>
              </w:rPr>
            </w:pPr>
            <w:r>
              <w:rPr>
                <w:spacing w:val="-5"/>
                <w:sz w:val="21"/>
              </w:rPr>
              <w:t>22</w:t>
            </w:r>
          </w:p>
        </w:tc>
        <w:tc>
          <w:tcPr>
            <w:tcW w:w="1296" w:type="dxa"/>
          </w:tcPr>
          <w:p w:rsidR="003F5784" w14:paraId="1D08DA2E" w14:textId="77777777">
            <w:pPr>
              <w:pStyle w:val="TableParagraph"/>
              <w:ind w:right="119"/>
              <w:rPr>
                <w:sz w:val="21"/>
              </w:rPr>
            </w:pPr>
            <w:r>
              <w:rPr>
                <w:spacing w:val="-2"/>
                <w:sz w:val="21"/>
              </w:rPr>
              <w:t>416,966</w:t>
            </w:r>
          </w:p>
        </w:tc>
      </w:tr>
      <w:tr w14:paraId="3F7F55CF" w14:textId="77777777">
        <w:tblPrEx>
          <w:tblW w:w="0" w:type="auto"/>
          <w:tblInd w:w="482" w:type="dxa"/>
          <w:tblLayout w:type="fixed"/>
          <w:tblCellMar>
            <w:left w:w="0" w:type="dxa"/>
            <w:right w:w="0" w:type="dxa"/>
          </w:tblCellMar>
          <w:tblLook w:val="01E0"/>
        </w:tblPrEx>
        <w:trPr>
          <w:trHeight w:val="288"/>
        </w:trPr>
        <w:tc>
          <w:tcPr>
            <w:tcW w:w="1255" w:type="dxa"/>
            <w:tcBorders>
              <w:bottom w:val="single" w:sz="18" w:space="0" w:color="800000"/>
            </w:tcBorders>
          </w:tcPr>
          <w:p w:rsidR="003F5784" w14:paraId="54094C39" w14:textId="77777777">
            <w:pPr>
              <w:pStyle w:val="TableParagraph"/>
              <w:ind w:left="120"/>
              <w:jc w:val="left"/>
              <w:rPr>
                <w:sz w:val="21"/>
              </w:rPr>
            </w:pPr>
            <w:r>
              <w:rPr>
                <w:spacing w:val="-4"/>
                <w:sz w:val="21"/>
              </w:rPr>
              <w:t>Mean</w:t>
            </w:r>
          </w:p>
        </w:tc>
        <w:tc>
          <w:tcPr>
            <w:tcW w:w="3621" w:type="dxa"/>
            <w:tcBorders>
              <w:bottom w:val="single" w:sz="18" w:space="0" w:color="800000"/>
            </w:tcBorders>
          </w:tcPr>
          <w:p w:rsidR="003F5784" w14:paraId="03BDFCA7" w14:textId="77777777">
            <w:pPr>
              <w:pStyle w:val="TableParagraph"/>
              <w:ind w:right="725"/>
              <w:rPr>
                <w:sz w:val="21"/>
              </w:rPr>
            </w:pPr>
            <w:r>
              <w:rPr>
                <w:spacing w:val="-10"/>
                <w:sz w:val="21"/>
              </w:rPr>
              <w:t>†</w:t>
            </w:r>
          </w:p>
        </w:tc>
        <w:tc>
          <w:tcPr>
            <w:tcW w:w="7000" w:type="dxa"/>
            <w:tcBorders>
              <w:bottom w:val="single" w:sz="18" w:space="0" w:color="800000"/>
            </w:tcBorders>
          </w:tcPr>
          <w:p w:rsidR="003F5784" w14:paraId="2A925342" w14:textId="77777777">
            <w:pPr>
              <w:pStyle w:val="TableParagraph"/>
              <w:ind w:right="116"/>
              <w:rPr>
                <w:sz w:val="21"/>
              </w:rPr>
            </w:pPr>
            <w:r>
              <w:rPr>
                <w:spacing w:val="-10"/>
                <w:sz w:val="21"/>
              </w:rPr>
              <w:t>†</w:t>
            </w:r>
          </w:p>
        </w:tc>
        <w:tc>
          <w:tcPr>
            <w:tcW w:w="814" w:type="dxa"/>
            <w:tcBorders>
              <w:bottom w:val="single" w:sz="18" w:space="0" w:color="800000"/>
            </w:tcBorders>
          </w:tcPr>
          <w:p w:rsidR="003F5784" w14:paraId="4A90D47B" w14:textId="77777777">
            <w:pPr>
              <w:pStyle w:val="TableParagraph"/>
              <w:ind w:right="232"/>
              <w:rPr>
                <w:sz w:val="21"/>
              </w:rPr>
            </w:pPr>
            <w:r>
              <w:rPr>
                <w:spacing w:val="-10"/>
                <w:sz w:val="21"/>
              </w:rPr>
              <w:t>†</w:t>
            </w:r>
          </w:p>
        </w:tc>
        <w:tc>
          <w:tcPr>
            <w:tcW w:w="1296" w:type="dxa"/>
            <w:tcBorders>
              <w:bottom w:val="single" w:sz="18" w:space="0" w:color="800000"/>
            </w:tcBorders>
          </w:tcPr>
          <w:p w:rsidR="003F5784" w14:paraId="313453CB" w14:textId="77777777">
            <w:pPr>
              <w:pStyle w:val="TableParagraph"/>
              <w:ind w:right="119"/>
              <w:rPr>
                <w:sz w:val="21"/>
              </w:rPr>
            </w:pPr>
            <w:r>
              <w:rPr>
                <w:spacing w:val="-2"/>
                <w:sz w:val="21"/>
              </w:rPr>
              <w:t>414,396</w:t>
            </w:r>
          </w:p>
        </w:tc>
      </w:tr>
      <w:tr w14:paraId="24963051" w14:textId="77777777">
        <w:tblPrEx>
          <w:tblW w:w="0" w:type="auto"/>
          <w:tblInd w:w="482" w:type="dxa"/>
          <w:tblLayout w:type="fixed"/>
          <w:tblCellMar>
            <w:left w:w="0" w:type="dxa"/>
            <w:right w:w="0" w:type="dxa"/>
          </w:tblCellMar>
          <w:tblLook w:val="01E0"/>
        </w:tblPrEx>
        <w:trPr>
          <w:trHeight w:val="237"/>
        </w:trPr>
        <w:tc>
          <w:tcPr>
            <w:tcW w:w="4876" w:type="dxa"/>
            <w:gridSpan w:val="2"/>
            <w:tcBorders>
              <w:top w:val="single" w:sz="18" w:space="0" w:color="800000"/>
            </w:tcBorders>
          </w:tcPr>
          <w:p w:rsidR="003F5784" w14:paraId="130BAF7B" w14:textId="77777777">
            <w:pPr>
              <w:pStyle w:val="TableParagraph"/>
              <w:spacing w:before="0" w:line="218" w:lineRule="exact"/>
              <w:ind w:left="120"/>
              <w:jc w:val="left"/>
              <w:rPr>
                <w:sz w:val="21"/>
              </w:rPr>
            </w:pPr>
            <w:r>
              <w:rPr>
                <w:sz w:val="21"/>
              </w:rPr>
              <w:t>†</w:t>
            </w:r>
            <w:r>
              <w:rPr>
                <w:spacing w:val="-4"/>
                <w:sz w:val="21"/>
              </w:rPr>
              <w:t xml:space="preserve"> </w:t>
            </w:r>
            <w:r>
              <w:rPr>
                <w:sz w:val="21"/>
              </w:rPr>
              <w:t>Not</w:t>
            </w:r>
            <w:r>
              <w:rPr>
                <w:spacing w:val="-3"/>
                <w:sz w:val="21"/>
              </w:rPr>
              <w:t xml:space="preserve"> </w:t>
            </w:r>
            <w:r>
              <w:rPr>
                <w:spacing w:val="-2"/>
                <w:sz w:val="21"/>
              </w:rPr>
              <w:t>applicable.</w:t>
            </w:r>
          </w:p>
        </w:tc>
        <w:tc>
          <w:tcPr>
            <w:tcW w:w="7000" w:type="dxa"/>
            <w:tcBorders>
              <w:top w:val="single" w:sz="18" w:space="0" w:color="800000"/>
            </w:tcBorders>
          </w:tcPr>
          <w:p w:rsidR="003F5784" w14:paraId="4257CDE3" w14:textId="77777777">
            <w:pPr>
              <w:pStyle w:val="TableParagraph"/>
              <w:spacing w:before="0"/>
              <w:jc w:val="left"/>
              <w:rPr>
                <w:sz w:val="16"/>
              </w:rPr>
            </w:pPr>
          </w:p>
        </w:tc>
        <w:tc>
          <w:tcPr>
            <w:tcW w:w="814" w:type="dxa"/>
            <w:tcBorders>
              <w:top w:val="single" w:sz="18" w:space="0" w:color="800000"/>
            </w:tcBorders>
          </w:tcPr>
          <w:p w:rsidR="003F5784" w14:paraId="3D824CE4" w14:textId="77777777">
            <w:pPr>
              <w:pStyle w:val="TableParagraph"/>
              <w:spacing w:before="0"/>
              <w:jc w:val="left"/>
              <w:rPr>
                <w:sz w:val="16"/>
              </w:rPr>
            </w:pPr>
          </w:p>
        </w:tc>
        <w:tc>
          <w:tcPr>
            <w:tcW w:w="1296" w:type="dxa"/>
            <w:tcBorders>
              <w:top w:val="single" w:sz="18" w:space="0" w:color="800000"/>
            </w:tcBorders>
          </w:tcPr>
          <w:p w:rsidR="003F5784" w14:paraId="4ACC8EFC" w14:textId="77777777">
            <w:pPr>
              <w:pStyle w:val="TableParagraph"/>
              <w:spacing w:before="0"/>
              <w:jc w:val="left"/>
              <w:rPr>
                <w:sz w:val="16"/>
              </w:rPr>
            </w:pPr>
          </w:p>
        </w:tc>
      </w:tr>
    </w:tbl>
    <w:p w:rsidR="003F5784" w14:paraId="30C853F1" w14:textId="77777777">
      <w:pPr>
        <w:pStyle w:val="BodyText"/>
        <w:spacing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10490717" w14:textId="77777777">
      <w:pPr>
        <w:spacing w:line="232" w:lineRule="auto"/>
        <w:sectPr>
          <w:type w:val="continuous"/>
          <w:pgSz w:w="15840" w:h="12240" w:orient="landscape"/>
          <w:pgMar w:top="480" w:right="440" w:bottom="460" w:left="460" w:header="284" w:footer="275" w:gutter="0"/>
          <w:cols w:space="720"/>
        </w:sectPr>
      </w:pPr>
    </w:p>
    <w:p w:rsidR="003F5784" w14:paraId="5CA1BC38" w14:textId="77777777">
      <w:pPr>
        <w:pStyle w:val="BodyText"/>
        <w:rPr>
          <w:sz w:val="18"/>
        </w:rPr>
      </w:pPr>
    </w:p>
    <w:p w:rsidR="003F5784" w14:paraId="43BE9965" w14:textId="77777777">
      <w:pPr>
        <w:pStyle w:val="BodyText"/>
        <w:spacing w:before="90"/>
        <w:rPr>
          <w:sz w:val="18"/>
        </w:rPr>
      </w:pPr>
    </w:p>
    <w:p w:rsidR="003F5784" w14:paraId="020F847F" w14:textId="77777777">
      <w:pPr>
        <w:ind w:right="113"/>
        <w:jc w:val="right"/>
        <w:rPr>
          <w:sz w:val="18"/>
        </w:rPr>
      </w:pPr>
      <w:hyperlink r:id="rId208">
        <w:r>
          <w:rPr>
            <w:spacing w:val="-2"/>
            <w:w w:val="105"/>
            <w:sz w:val="18"/>
          </w:rPr>
          <w:t>http://nces.ed.gov/nationsreportcard/tdw/sample_design/2022/stratification_for_west_nonmetropolitan_noncertainty_primary_sampling_units.aspx</w:t>
        </w:r>
      </w:hyperlink>
    </w:p>
    <w:p w:rsidR="003F5784" w14:paraId="285AB695" w14:textId="77777777">
      <w:pPr>
        <w:pStyle w:val="BodyText"/>
        <w:spacing w:before="1"/>
        <w:rPr>
          <w:sz w:val="16"/>
        </w:rPr>
      </w:pPr>
      <w:r>
        <w:rPr>
          <w:noProof/>
        </w:rPr>
        <mc:AlternateContent>
          <mc:Choice Requires="wps">
            <w:drawing>
              <wp:anchor distT="0" distB="0" distL="0" distR="0" simplePos="0" relativeHeight="251900928" behindDoc="1" locked="0" layoutInCell="1" allowOverlap="1">
                <wp:simplePos x="0" y="0"/>
                <wp:positionH relativeFrom="page">
                  <wp:posOffset>361937</wp:posOffset>
                </wp:positionH>
                <wp:positionV relativeFrom="paragraph">
                  <wp:posOffset>132859</wp:posOffset>
                </wp:positionV>
                <wp:extent cx="9339580" cy="8890"/>
                <wp:effectExtent l="0" t="0" r="0" b="0"/>
                <wp:wrapTopAndBottom/>
                <wp:docPr id="240" name="Graphic 240"/>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67"/>
                              </a:lnTo>
                              <a:lnTo>
                                <a:pt x="9335110" y="8293"/>
                              </a:lnTo>
                              <a:lnTo>
                                <a:pt x="9338970" y="8293"/>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40" o:spid="_x0000_s1121" style="width:735.4pt;height:0.7pt;margin-top:10.45pt;margin-left:28.5pt;mso-position-horizontal-relative:page;mso-wrap-distance-bottom:0;mso-wrap-distance-left:0;mso-wrap-distance-right:0;mso-wrap-distance-top:0;mso-wrap-style:square;position:absolute;visibility:visible;v-text-anchor:top;z-index:-251414528" coordsize="9339580,8890" path="m9338970,12l9335110,12l8280,12,,,,8267l9335110,8293l9338970,8293l9338970,12xe" fillcolor="gray" stroked="f">
                <v:path arrowok="t"/>
                <w10:wrap type="topAndBottom"/>
              </v:shape>
            </w:pict>
          </mc:Fallback>
        </mc:AlternateContent>
      </w:r>
    </w:p>
    <w:p w:rsidR="003F5784" w14:paraId="3B1B3FAF" w14:textId="77777777">
      <w:pPr>
        <w:pStyle w:val="BodyText"/>
        <w:rPr>
          <w:sz w:val="18"/>
        </w:rPr>
      </w:pPr>
    </w:p>
    <w:p w:rsidR="003F5784" w14:paraId="1F66E6FB" w14:textId="77777777">
      <w:pPr>
        <w:pStyle w:val="BodyText"/>
        <w:spacing w:before="193"/>
        <w:rPr>
          <w:sz w:val="18"/>
        </w:rPr>
      </w:pPr>
    </w:p>
    <w:p w:rsidR="003F5784" w14:paraId="49B7ECD2" w14:textId="187C6572">
      <w:pPr>
        <w:pStyle w:val="Heading1"/>
        <w:spacing w:line="244" w:lineRule="auto"/>
      </w:pPr>
      <w:r>
        <w:t>NAEP</w:t>
      </w:r>
      <w:r>
        <w:rPr>
          <w:spacing w:val="-12"/>
        </w:rPr>
        <w:t xml:space="preserve"> </w:t>
      </w:r>
      <w:r>
        <w:t>Technical Documentation</w:t>
      </w:r>
      <w:r w:rsidR="004C039D">
        <w:t xml:space="preserve"> </w:t>
      </w:r>
      <w:r>
        <w:t>Stepwise Regression</w:t>
      </w:r>
      <w:r>
        <w:rPr>
          <w:spacing w:val="-3"/>
        </w:rPr>
        <w:t xml:space="preserve"> </w:t>
      </w:r>
      <w:r>
        <w:t>Analysis Results for Primary Sampling Unit (PSU) Stratification for the 2022 Assessment</w:t>
      </w:r>
    </w:p>
    <w:p w:rsidR="003F5784" w14:paraId="300512A0" w14:textId="77777777">
      <w:pPr>
        <w:pStyle w:val="BodyText"/>
        <w:spacing w:before="287" w:line="232" w:lineRule="auto"/>
        <w:ind w:left="109" w:right="117"/>
        <w:jc w:val="both"/>
      </w:pPr>
      <w:r>
        <w:t>The</w:t>
      </w:r>
      <w:r>
        <w:rPr>
          <w:spacing w:val="-6"/>
        </w:rPr>
        <w:t xml:space="preserve"> </w:t>
      </w:r>
      <w:r>
        <w:t>objective</w:t>
      </w:r>
      <w:r>
        <w:rPr>
          <w:spacing w:val="-6"/>
        </w:rPr>
        <w:t xml:space="preserve"> </w:t>
      </w:r>
      <w:r>
        <w:t>was</w:t>
      </w:r>
      <w:r>
        <w:rPr>
          <w:spacing w:val="-6"/>
        </w:rPr>
        <w:t xml:space="preserve"> </w:t>
      </w:r>
      <w:r>
        <w:t>to</w:t>
      </w:r>
      <w:r>
        <w:rPr>
          <w:spacing w:val="-6"/>
        </w:rPr>
        <w:t xml:space="preserve"> </w:t>
      </w:r>
      <w:r>
        <w:t>find</w:t>
      </w:r>
      <w:r>
        <w:rPr>
          <w:spacing w:val="-6"/>
        </w:rPr>
        <w:t xml:space="preserve"> </w:t>
      </w:r>
      <w:r>
        <w:t>the</w:t>
      </w:r>
      <w:r>
        <w:rPr>
          <w:spacing w:val="-6"/>
        </w:rPr>
        <w:t xml:space="preserve"> </w:t>
      </w:r>
      <w:r>
        <w:t>optimum</w:t>
      </w:r>
      <w:r>
        <w:rPr>
          <w:spacing w:val="-6"/>
        </w:rPr>
        <w:t xml:space="preserve"> </w:t>
      </w:r>
      <w:r>
        <w:t>set</w:t>
      </w:r>
      <w:r>
        <w:rPr>
          <w:spacing w:val="-6"/>
        </w:rPr>
        <w:t xml:space="preserve"> </w:t>
      </w:r>
      <w:r>
        <w:t>of</w:t>
      </w:r>
      <w:r>
        <w:rPr>
          <w:spacing w:val="-6"/>
        </w:rPr>
        <w:t xml:space="preserve"> </w:t>
      </w:r>
      <w:r>
        <w:t>primary</w:t>
      </w:r>
      <w:r>
        <w:rPr>
          <w:spacing w:val="-6"/>
        </w:rPr>
        <w:t xml:space="preserve"> </w:t>
      </w:r>
      <w:r>
        <w:t>sampling</w:t>
      </w:r>
      <w:r>
        <w:rPr>
          <w:spacing w:val="-6"/>
        </w:rPr>
        <w:t xml:space="preserve"> </w:t>
      </w:r>
      <w:r>
        <w:t>unit</w:t>
      </w:r>
      <w:r>
        <w:rPr>
          <w:spacing w:val="-6"/>
        </w:rPr>
        <w:t xml:space="preserve"> </w:t>
      </w:r>
      <w:r>
        <w:t>(PSU)-level</w:t>
      </w:r>
      <w:r>
        <w:rPr>
          <w:spacing w:val="-6"/>
        </w:rPr>
        <w:t xml:space="preserve"> </w:t>
      </w:r>
      <w:r>
        <w:t>sociodemographic</w:t>
      </w:r>
      <w:r>
        <w:rPr>
          <w:spacing w:val="-6"/>
        </w:rPr>
        <w:t xml:space="preserve"> </w:t>
      </w:r>
      <w:r>
        <w:t>characteristics</w:t>
      </w:r>
      <w:r>
        <w:rPr>
          <w:spacing w:val="-6"/>
        </w:rPr>
        <w:t xml:space="preserve"> </w:t>
      </w:r>
      <w:r>
        <w:t>in</w:t>
      </w:r>
      <w:r>
        <w:rPr>
          <w:spacing w:val="-6"/>
        </w:rPr>
        <w:t xml:space="preserve"> </w:t>
      </w:r>
      <w:r>
        <w:t>terms</w:t>
      </w:r>
      <w:r>
        <w:rPr>
          <w:spacing w:val="-6"/>
        </w:rPr>
        <w:t xml:space="preserve"> </w:t>
      </w:r>
      <w:r>
        <w:t>of</w:t>
      </w:r>
      <w:r>
        <w:rPr>
          <w:spacing w:val="-6"/>
        </w:rPr>
        <w:t xml:space="preserve"> </w:t>
      </w:r>
      <w:r>
        <w:t>strength</w:t>
      </w:r>
      <w:r>
        <w:rPr>
          <w:spacing w:val="-6"/>
        </w:rPr>
        <w:t xml:space="preserve"> </w:t>
      </w:r>
      <w:r>
        <w:t>of</w:t>
      </w:r>
      <w:r>
        <w:rPr>
          <w:spacing w:val="-6"/>
        </w:rPr>
        <w:t xml:space="preserve"> </w:t>
      </w:r>
      <w:r>
        <w:t>relationship</w:t>
      </w:r>
      <w:r>
        <w:rPr>
          <w:spacing w:val="-6"/>
        </w:rPr>
        <w:t xml:space="preserve"> </w:t>
      </w:r>
      <w:r>
        <w:t>to</w:t>
      </w:r>
      <w:r>
        <w:rPr>
          <w:spacing w:val="-6"/>
        </w:rPr>
        <w:t xml:space="preserve"> </w:t>
      </w:r>
      <w:r>
        <w:t>achievement.</w:t>
      </w:r>
      <w:r>
        <w:rPr>
          <w:spacing w:val="-10"/>
        </w:rPr>
        <w:t xml:space="preserve"> </w:t>
      </w:r>
      <w:r>
        <w:t>The</w:t>
      </w:r>
      <w:r>
        <w:rPr>
          <w:spacing w:val="-6"/>
        </w:rPr>
        <w:t xml:space="preserve"> </w:t>
      </w:r>
      <w:r>
        <w:t>PSU- level</w:t>
      </w:r>
      <w:r>
        <w:rPr>
          <w:spacing w:val="-9"/>
        </w:rPr>
        <w:t xml:space="preserve"> </w:t>
      </w:r>
      <w:r>
        <w:t>values</w:t>
      </w:r>
      <w:r>
        <w:rPr>
          <w:spacing w:val="-6"/>
        </w:rPr>
        <w:t xml:space="preserve"> </w:t>
      </w:r>
      <w:r>
        <w:t>of</w:t>
      </w:r>
      <w:r>
        <w:rPr>
          <w:spacing w:val="-6"/>
        </w:rPr>
        <w:t xml:space="preserve"> </w:t>
      </w:r>
      <w:r>
        <w:t>these</w:t>
      </w:r>
      <w:r>
        <w:rPr>
          <w:spacing w:val="-6"/>
        </w:rPr>
        <w:t xml:space="preserve"> </w:t>
      </w:r>
      <w:r>
        <w:t>characteristics</w:t>
      </w:r>
      <w:r>
        <w:rPr>
          <w:spacing w:val="-6"/>
        </w:rPr>
        <w:t xml:space="preserve"> </w:t>
      </w:r>
      <w:r>
        <w:t>were</w:t>
      </w:r>
      <w:r>
        <w:rPr>
          <w:spacing w:val="-6"/>
        </w:rPr>
        <w:t xml:space="preserve"> </w:t>
      </w:r>
      <w:r>
        <w:t>derived</w:t>
      </w:r>
      <w:r>
        <w:rPr>
          <w:spacing w:val="-6"/>
        </w:rPr>
        <w:t xml:space="preserve"> </w:t>
      </w:r>
      <w:r>
        <w:t>from</w:t>
      </w:r>
      <w:r>
        <w:rPr>
          <w:spacing w:val="-6"/>
        </w:rPr>
        <w:t xml:space="preserve"> </w:t>
      </w:r>
      <w:r>
        <w:t>the</w:t>
      </w:r>
      <w:r>
        <w:rPr>
          <w:spacing w:val="-6"/>
        </w:rPr>
        <w:t xml:space="preserve"> </w:t>
      </w:r>
      <w:r>
        <w:t>2010</w:t>
      </w:r>
      <w:r>
        <w:rPr>
          <w:spacing w:val="-6"/>
        </w:rPr>
        <w:t xml:space="preserve"> </w:t>
      </w:r>
      <w:r>
        <w:t>Decennial</w:t>
      </w:r>
      <w:r>
        <w:rPr>
          <w:spacing w:val="-6"/>
        </w:rPr>
        <w:t xml:space="preserve"> </w:t>
      </w:r>
      <w:r>
        <w:t>Census</w:t>
      </w:r>
      <w:r>
        <w:rPr>
          <w:spacing w:val="-6"/>
        </w:rPr>
        <w:t xml:space="preserve"> </w:t>
      </w:r>
      <w:r>
        <w:t>summary</w:t>
      </w:r>
      <w:r>
        <w:rPr>
          <w:spacing w:val="-6"/>
        </w:rPr>
        <w:t xml:space="preserve"> </w:t>
      </w:r>
      <w:r>
        <w:t>files</w:t>
      </w:r>
      <w:r>
        <w:rPr>
          <w:spacing w:val="-6"/>
        </w:rPr>
        <w:t xml:space="preserve"> </w:t>
      </w:r>
      <w:r>
        <w:t>and</w:t>
      </w:r>
      <w:r>
        <w:rPr>
          <w:spacing w:val="-6"/>
        </w:rPr>
        <w:t xml:space="preserve"> </w:t>
      </w:r>
      <w:r>
        <w:t>the</w:t>
      </w:r>
      <w:r>
        <w:rPr>
          <w:spacing w:val="-6"/>
        </w:rPr>
        <w:t xml:space="preserve"> </w:t>
      </w:r>
      <w:r>
        <w:t>2006</w:t>
      </w:r>
      <w:r>
        <w:rPr>
          <w:rFonts w:ascii="Arial" w:hAnsi="Arial"/>
        </w:rPr>
        <w:t>–20</w:t>
      </w:r>
      <w:r>
        <w:t>10</w:t>
      </w:r>
      <w:r>
        <w:rPr>
          <w:spacing w:val="-14"/>
        </w:rPr>
        <w:t xml:space="preserve"> </w:t>
      </w:r>
      <w:r>
        <w:t>American</w:t>
      </w:r>
      <w:r>
        <w:rPr>
          <w:spacing w:val="-5"/>
        </w:rPr>
        <w:t xml:space="preserve"> </w:t>
      </w:r>
      <w:r>
        <w:t>Community</w:t>
      </w:r>
      <w:r>
        <w:rPr>
          <w:spacing w:val="-6"/>
        </w:rPr>
        <w:t xml:space="preserve"> </w:t>
      </w:r>
      <w:r>
        <w:t>Survey</w:t>
      </w:r>
      <w:r>
        <w:rPr>
          <w:spacing w:val="-6"/>
        </w:rPr>
        <w:t xml:space="preserve"> </w:t>
      </w:r>
      <w:r>
        <w:t>(ACS)</w:t>
      </w:r>
      <w:r>
        <w:rPr>
          <w:spacing w:val="-6"/>
        </w:rPr>
        <w:t xml:space="preserve"> </w:t>
      </w:r>
      <w:r>
        <w:t>estimates,</w:t>
      </w:r>
      <w:r>
        <w:rPr>
          <w:spacing w:val="-6"/>
        </w:rPr>
        <w:t xml:space="preserve"> </w:t>
      </w:r>
      <w:r>
        <w:t>computed by combining the county-level data (using county youth estimates as the relative weighting factor for each county within the PSU).</w:t>
      </w:r>
      <w:r>
        <w:rPr>
          <w:spacing w:val="-3"/>
        </w:rPr>
        <w:t xml:space="preserve"> </w:t>
      </w:r>
      <w:r>
        <w:t>The characteristics used were as follows:</w:t>
      </w:r>
    </w:p>
    <w:p w:rsidR="003F5784" w14:paraId="4DA851E6" w14:textId="77777777">
      <w:pPr>
        <w:pStyle w:val="BodyText"/>
        <w:spacing w:before="203" w:line="439" w:lineRule="auto"/>
        <w:ind w:left="422" w:right="1406"/>
      </w:pPr>
      <w:r>
        <w:rPr>
          <w:noProof/>
          <w:position w:val="3"/>
        </w:rPr>
        <w:drawing>
          <wp:inline distT="0" distB="0" distL="0" distR="0">
            <wp:extent cx="41379" cy="41378"/>
            <wp:effectExtent l="0" t="0" r="0" b="0"/>
            <wp:docPr id="241" name="Image 241"/>
            <wp:cNvGraphicFramePr/>
            <a:graphic xmlns:a="http://schemas.openxmlformats.org/drawingml/2006/main">
              <a:graphicData uri="http://schemas.openxmlformats.org/drawingml/2006/picture">
                <pic:pic xmlns:pic="http://schemas.openxmlformats.org/drawingml/2006/picture">
                  <pic:nvPicPr>
                    <pic:cNvPr id="241" name="Image 241"/>
                    <pic:cNvPicPr/>
                  </pic:nvPicPr>
                  <pic:blipFill>
                    <a:blip xmlns:r="http://schemas.openxmlformats.org/officeDocument/2006/relationships" r:embed="rId209" cstate="print"/>
                    <a:stretch>
                      <a:fillRect/>
                    </a:stretch>
                  </pic:blipFill>
                  <pic:spPr>
                    <a:xfrm>
                      <a:off x="0" y="0"/>
                      <a:ext cx="41379" cy="41378"/>
                    </a:xfrm>
                    <a:prstGeom prst="rect">
                      <a:avLst/>
                    </a:prstGeom>
                  </pic:spPr>
                </pic:pic>
              </a:graphicData>
            </a:graphic>
          </wp:inline>
        </w:drawing>
      </w:r>
      <w:r>
        <w:rPr>
          <w:spacing w:val="71"/>
          <w:sz w:val="20"/>
        </w:rPr>
        <w:t xml:space="preserve"> </w:t>
      </w:r>
      <w:r>
        <w:t>aggregate</w:t>
      </w:r>
      <w:r>
        <w:rPr>
          <w:spacing w:val="-8"/>
        </w:rPr>
        <w:t xml:space="preserve"> </w:t>
      </w:r>
      <w:r>
        <w:t>race/ethnicity</w:t>
      </w:r>
      <w:r>
        <w:rPr>
          <w:spacing w:val="-8"/>
        </w:rPr>
        <w:t xml:space="preserve"> </w:t>
      </w:r>
      <w:r>
        <w:t>percentages</w:t>
      </w:r>
      <w:r>
        <w:rPr>
          <w:spacing w:val="-8"/>
        </w:rPr>
        <w:t xml:space="preserve"> </w:t>
      </w:r>
      <w:r>
        <w:t>(percentage</w:t>
      </w:r>
      <w:r>
        <w:rPr>
          <w:spacing w:val="-8"/>
        </w:rPr>
        <w:t xml:space="preserve"> </w:t>
      </w:r>
      <w:r>
        <w:t>of</w:t>
      </w:r>
      <w:r>
        <w:rPr>
          <w:spacing w:val="-8"/>
        </w:rPr>
        <w:t xml:space="preserve"> </w:t>
      </w:r>
      <w:r>
        <w:t>Black,</w:t>
      </w:r>
      <w:r>
        <w:rPr>
          <w:spacing w:val="-8"/>
        </w:rPr>
        <w:t xml:space="preserve"> </w:t>
      </w:r>
      <w:r>
        <w:t>Hispanic,</w:t>
      </w:r>
      <w:r>
        <w:rPr>
          <w:spacing w:val="-14"/>
        </w:rPr>
        <w:t xml:space="preserve"> </w:t>
      </w:r>
      <w:r>
        <w:t>American</w:t>
      </w:r>
      <w:r>
        <w:rPr>
          <w:spacing w:val="-7"/>
        </w:rPr>
        <w:t xml:space="preserve"> </w:t>
      </w:r>
      <w:r>
        <w:t>Indian/Alaska</w:t>
      </w:r>
      <w:r>
        <w:rPr>
          <w:spacing w:val="-8"/>
        </w:rPr>
        <w:t xml:space="preserve"> </w:t>
      </w:r>
      <w:r>
        <w:t>Native,</w:t>
      </w:r>
      <w:r>
        <w:rPr>
          <w:spacing w:val="-8"/>
        </w:rPr>
        <w:t xml:space="preserve"> </w:t>
      </w:r>
      <w:r>
        <w:t>or</w:t>
      </w:r>
      <w:r>
        <w:rPr>
          <w:spacing w:val="-8"/>
        </w:rPr>
        <w:t xml:space="preserve"> </w:t>
      </w:r>
      <w:r>
        <w:t>Native</w:t>
      </w:r>
      <w:r>
        <w:rPr>
          <w:spacing w:val="-8"/>
        </w:rPr>
        <w:t xml:space="preserve"> </w:t>
      </w:r>
      <w:r>
        <w:t>Hawaiian/Other</w:t>
      </w:r>
      <w:r>
        <w:rPr>
          <w:spacing w:val="-8"/>
        </w:rPr>
        <w:t xml:space="preserve"> </w:t>
      </w:r>
      <w:r>
        <w:t>Pacific</w:t>
      </w:r>
      <w:r>
        <w:rPr>
          <w:spacing w:val="-8"/>
        </w:rPr>
        <w:t xml:space="preserve"> </w:t>
      </w:r>
      <w:r>
        <w:t>Islander</w:t>
      </w:r>
      <w:r>
        <w:rPr>
          <w:spacing w:val="-8"/>
        </w:rPr>
        <w:t xml:space="preserve"> </w:t>
      </w:r>
      <w:r>
        <w:t xml:space="preserve">students); </w:t>
      </w:r>
      <w:r>
        <w:rPr>
          <w:noProof/>
          <w:position w:val="3"/>
        </w:rPr>
        <w:drawing>
          <wp:inline distT="0" distB="0" distL="0" distR="0">
            <wp:extent cx="41379" cy="41378"/>
            <wp:effectExtent l="0" t="0" r="0" b="0"/>
            <wp:docPr id="242" name="Image 242"/>
            <wp:cNvGraphicFramePr/>
            <a:graphic xmlns:a="http://schemas.openxmlformats.org/drawingml/2006/main">
              <a:graphicData uri="http://schemas.openxmlformats.org/drawingml/2006/picture">
                <pic:pic xmlns:pic="http://schemas.openxmlformats.org/drawingml/2006/picture">
                  <pic:nvPicPr>
                    <pic:cNvPr id="242" name="Image 242"/>
                    <pic:cNvPicPr/>
                  </pic:nvPicPr>
                  <pic:blipFill>
                    <a:blip xmlns:r="http://schemas.openxmlformats.org/officeDocument/2006/relationships" r:embed="rId210" cstate="print"/>
                    <a:stretch>
                      <a:fillRect/>
                    </a:stretch>
                  </pic:blipFill>
                  <pic:spPr>
                    <a:xfrm>
                      <a:off x="0" y="0"/>
                      <a:ext cx="41379" cy="41378"/>
                    </a:xfrm>
                    <a:prstGeom prst="rect">
                      <a:avLst/>
                    </a:prstGeom>
                  </pic:spPr>
                </pic:pic>
              </a:graphicData>
            </a:graphic>
          </wp:inline>
        </w:drawing>
      </w:r>
      <w:r>
        <w:rPr>
          <w:spacing w:val="80"/>
        </w:rPr>
        <w:t xml:space="preserve"> </w:t>
      </w:r>
      <w:r>
        <w:t>income levels (per capita household income, percentage of children below the poverty line);</w:t>
      </w:r>
    </w:p>
    <w:p w:rsidR="003F5784" w14:paraId="4D5AD339" w14:textId="77777777">
      <w:pPr>
        <w:pStyle w:val="BodyText"/>
        <w:spacing w:before="2" w:line="439" w:lineRule="auto"/>
        <w:ind w:left="422" w:right="1315"/>
      </w:pPr>
      <w:r>
        <w:rPr>
          <w:noProof/>
          <w:position w:val="3"/>
        </w:rPr>
        <w:drawing>
          <wp:inline distT="0" distB="0" distL="0" distR="0">
            <wp:extent cx="41379" cy="41378"/>
            <wp:effectExtent l="0" t="0" r="0" b="0"/>
            <wp:docPr id="243" name="Image 243"/>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xmlns:r="http://schemas.openxmlformats.org/officeDocument/2006/relationships" r:embed="rId211" cstate="print"/>
                    <a:stretch>
                      <a:fillRect/>
                    </a:stretch>
                  </pic:blipFill>
                  <pic:spPr>
                    <a:xfrm>
                      <a:off x="0" y="0"/>
                      <a:ext cx="41379" cy="41378"/>
                    </a:xfrm>
                    <a:prstGeom prst="rect">
                      <a:avLst/>
                    </a:prstGeom>
                  </pic:spPr>
                </pic:pic>
              </a:graphicData>
            </a:graphic>
          </wp:inline>
        </w:drawing>
      </w:r>
      <w:r>
        <w:rPr>
          <w:spacing w:val="80"/>
          <w:sz w:val="20"/>
        </w:rPr>
        <w:t xml:space="preserve"> </w:t>
      </w:r>
      <w:r>
        <w:t>education</w:t>
      </w:r>
      <w:r>
        <w:rPr>
          <w:spacing w:val="-6"/>
        </w:rPr>
        <w:t xml:space="preserve"> </w:t>
      </w:r>
      <w:r>
        <w:t>levels</w:t>
      </w:r>
      <w:r>
        <w:rPr>
          <w:spacing w:val="-6"/>
        </w:rPr>
        <w:t xml:space="preserve"> </w:t>
      </w:r>
      <w:r>
        <w:t>in</w:t>
      </w:r>
      <w:r>
        <w:rPr>
          <w:spacing w:val="-6"/>
        </w:rPr>
        <w:t xml:space="preserve"> </w:t>
      </w:r>
      <w:r>
        <w:t>the</w:t>
      </w:r>
      <w:r>
        <w:rPr>
          <w:spacing w:val="-6"/>
        </w:rPr>
        <w:t xml:space="preserve"> </w:t>
      </w:r>
      <w:r>
        <w:t>population</w:t>
      </w:r>
      <w:r>
        <w:rPr>
          <w:spacing w:val="-6"/>
        </w:rPr>
        <w:t xml:space="preserve"> </w:t>
      </w:r>
      <w:r>
        <w:t>(i.e.,</w:t>
      </w:r>
      <w:r>
        <w:rPr>
          <w:spacing w:val="-6"/>
        </w:rPr>
        <w:t xml:space="preserve"> </w:t>
      </w:r>
      <w:r>
        <w:t>percentage</w:t>
      </w:r>
      <w:r>
        <w:rPr>
          <w:spacing w:val="-6"/>
        </w:rPr>
        <w:t xml:space="preserve"> </w:t>
      </w:r>
      <w:r>
        <w:t>of</w:t>
      </w:r>
      <w:r>
        <w:rPr>
          <w:spacing w:val="-6"/>
        </w:rPr>
        <w:t xml:space="preserve"> </w:t>
      </w:r>
      <w:r>
        <w:t>persons</w:t>
      </w:r>
      <w:r>
        <w:rPr>
          <w:spacing w:val="-6"/>
        </w:rPr>
        <w:t xml:space="preserve"> </w:t>
      </w:r>
      <w:r>
        <w:t>aged</w:t>
      </w:r>
      <w:r>
        <w:rPr>
          <w:spacing w:val="-6"/>
        </w:rPr>
        <w:t xml:space="preserve"> </w:t>
      </w:r>
      <w:r>
        <w:t>25+</w:t>
      </w:r>
      <w:r>
        <w:rPr>
          <w:spacing w:val="-6"/>
        </w:rPr>
        <w:t xml:space="preserve"> </w:t>
      </w:r>
      <w:r>
        <w:t>who</w:t>
      </w:r>
      <w:r>
        <w:rPr>
          <w:spacing w:val="-6"/>
        </w:rPr>
        <w:t xml:space="preserve"> </w:t>
      </w:r>
      <w:r>
        <w:t>completed</w:t>
      </w:r>
      <w:r>
        <w:rPr>
          <w:spacing w:val="-6"/>
        </w:rPr>
        <w:t xml:space="preserve"> </w:t>
      </w:r>
      <w:r>
        <w:t>high</w:t>
      </w:r>
      <w:r>
        <w:rPr>
          <w:spacing w:val="-6"/>
        </w:rPr>
        <w:t xml:space="preserve"> </w:t>
      </w:r>
      <w:r>
        <w:t>school,</w:t>
      </w:r>
      <w:r>
        <w:rPr>
          <w:spacing w:val="-6"/>
        </w:rPr>
        <w:t xml:space="preserve"> </w:t>
      </w:r>
      <w:r>
        <w:t>percentage</w:t>
      </w:r>
      <w:r>
        <w:rPr>
          <w:spacing w:val="-6"/>
        </w:rPr>
        <w:t xml:space="preserve"> </w:t>
      </w:r>
      <w:r>
        <w:t>of</w:t>
      </w:r>
      <w:r>
        <w:rPr>
          <w:spacing w:val="-6"/>
        </w:rPr>
        <w:t xml:space="preserve"> </w:t>
      </w:r>
      <w:r>
        <w:t>persons</w:t>
      </w:r>
      <w:r>
        <w:rPr>
          <w:spacing w:val="-6"/>
        </w:rPr>
        <w:t xml:space="preserve"> </w:t>
      </w:r>
      <w:r>
        <w:t>aged</w:t>
      </w:r>
      <w:r>
        <w:rPr>
          <w:spacing w:val="-6"/>
        </w:rPr>
        <w:t xml:space="preserve"> </w:t>
      </w:r>
      <w:r>
        <w:t>25+</w:t>
      </w:r>
      <w:r>
        <w:rPr>
          <w:spacing w:val="-6"/>
        </w:rPr>
        <w:t xml:space="preserve"> </w:t>
      </w:r>
      <w:r>
        <w:t>with</w:t>
      </w:r>
      <w:r>
        <w:rPr>
          <w:spacing w:val="-6"/>
        </w:rPr>
        <w:t xml:space="preserve"> </w:t>
      </w:r>
      <w:r>
        <w:t>a</w:t>
      </w:r>
      <w:r>
        <w:rPr>
          <w:spacing w:val="-6"/>
        </w:rPr>
        <w:t xml:space="preserve"> </w:t>
      </w:r>
      <w:r>
        <w:t>college</w:t>
      </w:r>
      <w:r>
        <w:rPr>
          <w:spacing w:val="-6"/>
        </w:rPr>
        <w:t xml:space="preserve"> </w:t>
      </w:r>
      <w:r>
        <w:t xml:space="preserve">degree); </w:t>
      </w:r>
      <w:r>
        <w:rPr>
          <w:noProof/>
          <w:position w:val="3"/>
        </w:rPr>
        <w:drawing>
          <wp:inline distT="0" distB="0" distL="0" distR="0">
            <wp:extent cx="41379" cy="41378"/>
            <wp:effectExtent l="0" t="0" r="0" b="0"/>
            <wp:docPr id="244" name="Image 244"/>
            <wp:cNvGraphicFramePr/>
            <a:graphic xmlns:a="http://schemas.openxmlformats.org/drawingml/2006/main">
              <a:graphicData uri="http://schemas.openxmlformats.org/drawingml/2006/picture">
                <pic:pic xmlns:pic="http://schemas.openxmlformats.org/drawingml/2006/picture">
                  <pic:nvPicPr>
                    <pic:cNvPr id="244" name="Image 244"/>
                    <pic:cNvPicPr/>
                  </pic:nvPicPr>
                  <pic:blipFill>
                    <a:blip xmlns:r="http://schemas.openxmlformats.org/officeDocument/2006/relationships" r:embed="rId212" cstate="print"/>
                    <a:stretch>
                      <a:fillRect/>
                    </a:stretch>
                  </pic:blipFill>
                  <pic:spPr>
                    <a:xfrm>
                      <a:off x="0" y="0"/>
                      <a:ext cx="41379" cy="41378"/>
                    </a:xfrm>
                    <a:prstGeom prst="rect">
                      <a:avLst/>
                    </a:prstGeom>
                  </pic:spPr>
                </pic:pic>
              </a:graphicData>
            </a:graphic>
          </wp:inline>
        </w:drawing>
      </w:r>
      <w:r>
        <w:rPr>
          <w:spacing w:val="80"/>
        </w:rPr>
        <w:t xml:space="preserve"> </w:t>
      </w:r>
      <w:r>
        <w:t>percentage of renters (i.e., percentage of householders who rent rather than own their place of residence); and</w:t>
      </w:r>
    </w:p>
    <w:p w:rsidR="003F5784" w14:paraId="30661669" w14:textId="77777777">
      <w:pPr>
        <w:pStyle w:val="BodyText"/>
        <w:spacing w:before="2"/>
        <w:ind w:left="422"/>
      </w:pPr>
      <w:r>
        <w:rPr>
          <w:noProof/>
          <w:position w:val="3"/>
        </w:rPr>
        <w:drawing>
          <wp:inline distT="0" distB="0" distL="0" distR="0">
            <wp:extent cx="41379" cy="41378"/>
            <wp:effectExtent l="0" t="0" r="0" b="0"/>
            <wp:docPr id="245" name="Image 245"/>
            <wp:cNvGraphicFramePr/>
            <a:graphic xmlns:a="http://schemas.openxmlformats.org/drawingml/2006/main">
              <a:graphicData uri="http://schemas.openxmlformats.org/drawingml/2006/picture">
                <pic:pic xmlns:pic="http://schemas.openxmlformats.org/drawingml/2006/picture">
                  <pic:nvPicPr>
                    <pic:cNvPr id="245" name="Image 245"/>
                    <pic:cNvPicPr/>
                  </pic:nvPicPr>
                  <pic:blipFill>
                    <a:blip xmlns:r="http://schemas.openxmlformats.org/officeDocument/2006/relationships" r:embed="rId213" cstate="print"/>
                    <a:stretch>
                      <a:fillRect/>
                    </a:stretch>
                  </pic:blipFill>
                  <pic:spPr>
                    <a:xfrm>
                      <a:off x="0" y="0"/>
                      <a:ext cx="41379" cy="41378"/>
                    </a:xfrm>
                    <a:prstGeom prst="rect">
                      <a:avLst/>
                    </a:prstGeom>
                  </pic:spPr>
                </pic:pic>
              </a:graphicData>
            </a:graphic>
          </wp:inline>
        </w:drawing>
      </w:r>
      <w:r>
        <w:rPr>
          <w:spacing w:val="80"/>
          <w:sz w:val="20"/>
        </w:rPr>
        <w:t xml:space="preserve"> </w:t>
      </w:r>
      <w:r>
        <w:t>percentage of female-headed households.</w:t>
      </w:r>
    </w:p>
    <w:p w:rsidR="003F5784" w14:paraId="577698C7" w14:textId="77777777">
      <w:pPr>
        <w:pStyle w:val="BodyText"/>
        <w:spacing w:before="208" w:line="232" w:lineRule="auto"/>
        <w:ind w:left="109" w:right="388"/>
      </w:pPr>
      <w:r>
        <w:t>These</w:t>
      </w:r>
      <w:r>
        <w:rPr>
          <w:spacing w:val="-7"/>
        </w:rPr>
        <w:t xml:space="preserve"> </w:t>
      </w:r>
      <w:r>
        <w:t>PSU-level</w:t>
      </w:r>
      <w:r>
        <w:rPr>
          <w:spacing w:val="-7"/>
        </w:rPr>
        <w:t xml:space="preserve"> </w:t>
      </w:r>
      <w:r>
        <w:t>census</w:t>
      </w:r>
      <w:r>
        <w:rPr>
          <w:spacing w:val="-7"/>
        </w:rPr>
        <w:t xml:space="preserve"> </w:t>
      </w:r>
      <w:r>
        <w:t>characteristics</w:t>
      </w:r>
      <w:r>
        <w:rPr>
          <w:spacing w:val="-7"/>
        </w:rPr>
        <w:t xml:space="preserve"> </w:t>
      </w:r>
      <w:r>
        <w:t>were</w:t>
      </w:r>
      <w:r>
        <w:rPr>
          <w:spacing w:val="-7"/>
        </w:rPr>
        <w:t xml:space="preserve"> </w:t>
      </w:r>
      <w:r>
        <w:t>analyzed</w:t>
      </w:r>
      <w:r>
        <w:rPr>
          <w:spacing w:val="-7"/>
        </w:rPr>
        <w:t xml:space="preserve"> </w:t>
      </w:r>
      <w:r>
        <w:t>with</w:t>
      </w:r>
      <w:r>
        <w:rPr>
          <w:spacing w:val="-7"/>
        </w:rPr>
        <w:t xml:space="preserve"> </w:t>
      </w:r>
      <w:r>
        <w:t>the</w:t>
      </w:r>
      <w:r>
        <w:rPr>
          <w:spacing w:val="-7"/>
        </w:rPr>
        <w:t xml:space="preserve"> </w:t>
      </w:r>
      <w:r>
        <w:t>eighth-grade</w:t>
      </w:r>
      <w:r>
        <w:rPr>
          <w:spacing w:val="-7"/>
        </w:rPr>
        <w:t xml:space="preserve"> </w:t>
      </w:r>
      <w:r>
        <w:t>reading</w:t>
      </w:r>
      <w:r>
        <w:rPr>
          <w:spacing w:val="-7"/>
        </w:rPr>
        <w:t xml:space="preserve"> </w:t>
      </w:r>
      <w:r>
        <w:t>assessment</w:t>
      </w:r>
      <w:r>
        <w:rPr>
          <w:spacing w:val="-7"/>
        </w:rPr>
        <w:t xml:space="preserve"> </w:t>
      </w:r>
      <w:r>
        <w:t>scores</w:t>
      </w:r>
      <w:r>
        <w:rPr>
          <w:spacing w:val="-7"/>
        </w:rPr>
        <w:t xml:space="preserve"> </w:t>
      </w:r>
      <w:r>
        <w:t>from</w:t>
      </w:r>
      <w:r>
        <w:rPr>
          <w:spacing w:val="-7"/>
        </w:rPr>
        <w:t xml:space="preserve"> </w:t>
      </w:r>
      <w:r>
        <w:t>five</w:t>
      </w:r>
      <w:r>
        <w:rPr>
          <w:spacing w:val="-7"/>
        </w:rPr>
        <w:t xml:space="preserve"> </w:t>
      </w:r>
      <w:r>
        <w:t>previous</w:t>
      </w:r>
      <w:r>
        <w:rPr>
          <w:spacing w:val="-7"/>
        </w:rPr>
        <w:t xml:space="preserve"> </w:t>
      </w:r>
      <w:r>
        <w:t>NAEP</w:t>
      </w:r>
      <w:r>
        <w:rPr>
          <w:spacing w:val="-14"/>
        </w:rPr>
        <w:t xml:space="preserve"> </w:t>
      </w:r>
      <w:r>
        <w:t>cycles</w:t>
      </w:r>
      <w:r>
        <w:rPr>
          <w:spacing w:val="-6"/>
        </w:rPr>
        <w:t xml:space="preserve"> </w:t>
      </w:r>
      <w:r>
        <w:t>(2002,</w:t>
      </w:r>
      <w:r>
        <w:rPr>
          <w:spacing w:val="-7"/>
        </w:rPr>
        <w:t xml:space="preserve"> </w:t>
      </w:r>
      <w:r>
        <w:t>2003,</w:t>
      </w:r>
      <w:r>
        <w:rPr>
          <w:spacing w:val="-7"/>
        </w:rPr>
        <w:t xml:space="preserve"> </w:t>
      </w:r>
      <w:r>
        <w:t>2005,</w:t>
      </w:r>
      <w:r>
        <w:rPr>
          <w:spacing w:val="-7"/>
        </w:rPr>
        <w:t xml:space="preserve"> </w:t>
      </w:r>
      <w:r>
        <w:t>2007,</w:t>
      </w:r>
      <w:r>
        <w:rPr>
          <w:spacing w:val="-7"/>
        </w:rPr>
        <w:t xml:space="preserve"> </w:t>
      </w:r>
      <w:r>
        <w:t>and</w:t>
      </w:r>
      <w:r>
        <w:rPr>
          <w:spacing w:val="-7"/>
        </w:rPr>
        <w:t xml:space="preserve"> </w:t>
      </w:r>
      <w:r>
        <w:t>2009). The criterion was that good strata should be heterogeneous for each of the five characteristics (i.e., within-stratum variance for each assessment value should be low and between-stratum variance high).</w:t>
      </w:r>
    </w:p>
    <w:p w:rsidR="003F5784" w14:paraId="7BCFF3F0" w14:textId="77777777">
      <w:pPr>
        <w:pStyle w:val="BodyText"/>
        <w:spacing w:before="210" w:line="232" w:lineRule="auto"/>
        <w:ind w:left="109" w:right="588"/>
      </w:pPr>
      <w:r>
        <w:t>The</w:t>
      </w:r>
      <w:r>
        <w:rPr>
          <w:spacing w:val="-6"/>
        </w:rPr>
        <w:t xml:space="preserve"> </w:t>
      </w:r>
      <w:r>
        <w:t>analysis</w:t>
      </w:r>
      <w:r>
        <w:rPr>
          <w:spacing w:val="-6"/>
        </w:rPr>
        <w:t xml:space="preserve"> </w:t>
      </w:r>
      <w:r>
        <w:t>was</w:t>
      </w:r>
      <w:r>
        <w:rPr>
          <w:spacing w:val="-6"/>
        </w:rPr>
        <w:t xml:space="preserve"> </w:t>
      </w:r>
      <w:r>
        <w:t>done</w:t>
      </w:r>
      <w:r>
        <w:rPr>
          <w:spacing w:val="-6"/>
        </w:rPr>
        <w:t xml:space="preserve"> </w:t>
      </w:r>
      <w:r>
        <w:t>separately</w:t>
      </w:r>
      <w:r>
        <w:rPr>
          <w:spacing w:val="-6"/>
        </w:rPr>
        <w:t xml:space="preserve"> </w:t>
      </w:r>
      <w:r>
        <w:t>within</w:t>
      </w:r>
      <w:r>
        <w:rPr>
          <w:spacing w:val="-6"/>
        </w:rPr>
        <w:t xml:space="preserve"> </w:t>
      </w:r>
      <w:r>
        <w:t>each</w:t>
      </w:r>
      <w:r>
        <w:rPr>
          <w:spacing w:val="-6"/>
        </w:rPr>
        <w:t xml:space="preserve"> </w:t>
      </w:r>
      <w:r>
        <w:t>of</w:t>
      </w:r>
      <w:r>
        <w:rPr>
          <w:spacing w:val="-6"/>
        </w:rPr>
        <w:t xml:space="preserve"> </w:t>
      </w:r>
      <w:r>
        <w:t>the</w:t>
      </w:r>
      <w:r>
        <w:rPr>
          <w:spacing w:val="-6"/>
        </w:rPr>
        <w:t xml:space="preserve"> </w:t>
      </w:r>
      <w:r>
        <w:t>eight</w:t>
      </w:r>
      <w:r>
        <w:rPr>
          <w:spacing w:val="-6"/>
        </w:rPr>
        <w:t xml:space="preserve"> </w:t>
      </w:r>
      <w:r>
        <w:t>primary</w:t>
      </w:r>
      <w:r>
        <w:rPr>
          <w:spacing w:val="-6"/>
        </w:rPr>
        <w:t xml:space="preserve"> </w:t>
      </w:r>
      <w:r>
        <w:t>strata</w:t>
      </w:r>
      <w:r>
        <w:rPr>
          <w:spacing w:val="-6"/>
        </w:rPr>
        <w:t xml:space="preserve"> </w:t>
      </w:r>
      <w:r>
        <w:t>(census</w:t>
      </w:r>
      <w:r>
        <w:rPr>
          <w:spacing w:val="-6"/>
        </w:rPr>
        <w:t xml:space="preserve"> </w:t>
      </w:r>
      <w:r>
        <w:t>region</w:t>
      </w:r>
      <w:r>
        <w:rPr>
          <w:spacing w:val="-6"/>
        </w:rPr>
        <w:t xml:space="preserve"> </w:t>
      </w:r>
      <w:r>
        <w:t>and</w:t>
      </w:r>
      <w:r>
        <w:rPr>
          <w:spacing w:val="-6"/>
        </w:rPr>
        <w:t xml:space="preserve"> </w:t>
      </w:r>
      <w:r>
        <w:t>metropolitan</w:t>
      </w:r>
      <w:r>
        <w:rPr>
          <w:spacing w:val="-6"/>
        </w:rPr>
        <w:t xml:space="preserve"> </w:t>
      </w:r>
      <w:r>
        <w:t>status),</w:t>
      </w:r>
      <w:r>
        <w:rPr>
          <w:spacing w:val="-6"/>
        </w:rPr>
        <w:t xml:space="preserve"> </w:t>
      </w:r>
      <w:r>
        <w:t>using</w:t>
      </w:r>
      <w:r>
        <w:rPr>
          <w:spacing w:val="-6"/>
        </w:rPr>
        <w:t xml:space="preserve"> </w:t>
      </w:r>
      <w:r>
        <w:t>a</w:t>
      </w:r>
      <w:r>
        <w:rPr>
          <w:spacing w:val="-6"/>
        </w:rPr>
        <w:t xml:space="preserve"> </w:t>
      </w:r>
      <w:r>
        <w:t>forward</w:t>
      </w:r>
      <w:r>
        <w:rPr>
          <w:spacing w:val="-6"/>
        </w:rPr>
        <w:t xml:space="preserve"> </w:t>
      </w:r>
      <w:r>
        <w:t>stepwise</w:t>
      </w:r>
      <w:r>
        <w:rPr>
          <w:spacing w:val="-6"/>
        </w:rPr>
        <w:t xml:space="preserve"> </w:t>
      </w:r>
      <w:r>
        <w:t>regression</w:t>
      </w:r>
      <w:r>
        <w:rPr>
          <w:spacing w:val="-6"/>
        </w:rPr>
        <w:t xml:space="preserve"> </w:t>
      </w:r>
      <w:r>
        <w:t>approach,</w:t>
      </w:r>
      <w:r>
        <w:rPr>
          <w:spacing w:val="-6"/>
        </w:rPr>
        <w:t xml:space="preserve"> </w:t>
      </w:r>
      <w:r>
        <w:t>with</w:t>
      </w:r>
      <w:r>
        <w:rPr>
          <w:spacing w:val="-6"/>
        </w:rPr>
        <w:t xml:space="preserve"> </w:t>
      </w:r>
      <w:r>
        <w:t>a</w:t>
      </w:r>
      <w:r>
        <w:rPr>
          <w:spacing w:val="-6"/>
        </w:rPr>
        <w:t xml:space="preserve"> </w:t>
      </w:r>
      <w:r>
        <w:rPr>
          <w:i/>
        </w:rPr>
        <w:t>p</w:t>
      </w:r>
      <w:r>
        <w:t>- value of .20. The results of the regression model were used to generate the Final PSU Strata.</w:t>
      </w:r>
    </w:p>
    <w:p w:rsidR="003F5784" w14:paraId="73CE42BC" w14:textId="77777777">
      <w:pPr>
        <w:pStyle w:val="BodyText"/>
      </w:pPr>
    </w:p>
    <w:p w:rsidR="003F5784" w14:paraId="4AE30C93" w14:textId="77777777">
      <w:pPr>
        <w:pStyle w:val="BodyText"/>
      </w:pPr>
    </w:p>
    <w:p w:rsidR="003F5784" w14:paraId="03663AFF" w14:textId="77777777">
      <w:pPr>
        <w:pStyle w:val="BodyText"/>
        <w:spacing w:before="145"/>
      </w:pPr>
    </w:p>
    <w:p w:rsidR="003F5784" w14:paraId="03F20914" w14:textId="77777777">
      <w:pPr>
        <w:ind w:right="113"/>
        <w:jc w:val="right"/>
        <w:rPr>
          <w:sz w:val="18"/>
        </w:rPr>
      </w:pPr>
      <w:hyperlink r:id="rId214">
        <w:r>
          <w:rPr>
            <w:spacing w:val="-2"/>
            <w:w w:val="105"/>
            <w:sz w:val="18"/>
          </w:rPr>
          <w:t>http://nces.ed.gov/nationsreportcard/tdw/sample_design/2022/stepwise_regression_analysis_results_for_primary_sampling_unit_stratification_for_the_2022_assessment.aspx</w:t>
        </w:r>
      </w:hyperlink>
    </w:p>
    <w:p w:rsidR="003F5784" w14:paraId="7752FFD5" w14:textId="77777777">
      <w:pPr>
        <w:pStyle w:val="BodyText"/>
        <w:spacing w:before="11"/>
        <w:rPr>
          <w:sz w:val="14"/>
        </w:rPr>
      </w:pPr>
      <w:r>
        <w:rPr>
          <w:noProof/>
        </w:rPr>
        <mc:AlternateContent>
          <mc:Choice Requires="wps">
            <w:drawing>
              <wp:anchor distT="0" distB="0" distL="0" distR="0" simplePos="0" relativeHeight="251902976" behindDoc="1" locked="0" layoutInCell="1" allowOverlap="1">
                <wp:simplePos x="0" y="0"/>
                <wp:positionH relativeFrom="page">
                  <wp:posOffset>361937</wp:posOffset>
                </wp:positionH>
                <wp:positionV relativeFrom="paragraph">
                  <wp:posOffset>124483</wp:posOffset>
                </wp:positionV>
                <wp:extent cx="9339580" cy="8890"/>
                <wp:effectExtent l="0" t="0" r="0" b="0"/>
                <wp:wrapTopAndBottom/>
                <wp:docPr id="246" name="Graphic 24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80"/>
                              </a:lnTo>
                              <a:lnTo>
                                <a:pt x="9335110" y="8293"/>
                              </a:lnTo>
                              <a:lnTo>
                                <a:pt x="9338970" y="8293"/>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46" o:spid="_x0000_s1122" style="width:735.4pt;height:0.7pt;margin-top:9.8pt;margin-left:28.5pt;mso-position-horizontal-relative:page;mso-wrap-distance-bottom:0;mso-wrap-distance-left:0;mso-wrap-distance-right:0;mso-wrap-distance-top:0;mso-wrap-style:square;position:absolute;visibility:visible;v-text-anchor:top;z-index:-251412480" coordsize="9339580,8890" path="m9338970,12l9335110,12l8280,12,,,,8280l9335110,8293l9338970,8293l9338970,12xe" fillcolor="gray" stroked="f">
                <v:path arrowok="t"/>
                <w10:wrap type="topAndBottom"/>
              </v:shape>
            </w:pict>
          </mc:Fallback>
        </mc:AlternateContent>
      </w:r>
    </w:p>
    <w:p w:rsidR="003F5784" w14:paraId="462D77BA" w14:textId="77777777">
      <w:pPr>
        <w:pStyle w:val="BodyText"/>
        <w:rPr>
          <w:sz w:val="18"/>
        </w:rPr>
      </w:pPr>
    </w:p>
    <w:p w:rsidR="003F5784" w14:paraId="59570365" w14:textId="77777777">
      <w:pPr>
        <w:pStyle w:val="BodyText"/>
        <w:spacing w:before="206"/>
        <w:rPr>
          <w:sz w:val="18"/>
        </w:rPr>
      </w:pPr>
    </w:p>
    <w:p w:rsidR="003F5784" w14:paraId="7A2A17F3" w14:textId="774C93E3">
      <w:pPr>
        <w:pStyle w:val="Heading1"/>
        <w:spacing w:line="244" w:lineRule="auto"/>
      </w:pPr>
      <w:r>
        <w:t>NAEP</w:t>
      </w:r>
      <w:r>
        <w:rPr>
          <w:spacing w:val="-11"/>
        </w:rPr>
        <w:t xml:space="preserve"> </w:t>
      </w:r>
      <w:r>
        <w:t>Technical Documentation</w:t>
      </w:r>
      <w:r w:rsidR="004C039D">
        <w:t xml:space="preserve"> </w:t>
      </w:r>
      <w:r>
        <w:t>Primary Sampling Unit (PSU) Generation: Certainty PSUs for the 2022 Assessment</w:t>
      </w:r>
    </w:p>
    <w:p w:rsidR="003F5784" w14:paraId="3BE5B273" w14:textId="77777777">
      <w:pPr>
        <w:pStyle w:val="BodyText"/>
        <w:spacing w:before="274" w:line="232" w:lineRule="auto"/>
        <w:ind w:left="109"/>
      </w:pPr>
      <w:r>
        <w:t>Any primary sampling unit (PSU) was defined as a certainty PSU if it had 500,000 or more youths or if it represented more than 80 percent of its assigned stratum.</w:t>
      </w:r>
      <w:r>
        <w:rPr>
          <w:spacing w:val="-3"/>
        </w:rPr>
        <w:t xml:space="preserve"> </w:t>
      </w:r>
      <w:r>
        <w:t>The estimated number of youths used to designate certainty PSUs was the number of persons aged 17 or under from the 2010 Decennial Census.</w:t>
      </w:r>
      <w:r>
        <w:rPr>
          <w:spacing w:val="-3"/>
        </w:rPr>
        <w:t xml:space="preserve"> </w:t>
      </w:r>
      <w:r>
        <w:t>These PSUs were so large that a sample</w:t>
      </w:r>
      <w:r>
        <w:rPr>
          <w:spacing w:val="-5"/>
        </w:rPr>
        <w:t xml:space="preserve"> </w:t>
      </w:r>
      <w:r>
        <w:t>of</w:t>
      </w:r>
      <w:r>
        <w:rPr>
          <w:spacing w:val="-5"/>
        </w:rPr>
        <w:t xml:space="preserve"> </w:t>
      </w:r>
      <w:r>
        <w:t>schools</w:t>
      </w:r>
      <w:r>
        <w:rPr>
          <w:spacing w:val="-5"/>
        </w:rPr>
        <w:t xml:space="preserve"> </w:t>
      </w:r>
      <w:r>
        <w:t>was</w:t>
      </w:r>
      <w:r>
        <w:rPr>
          <w:spacing w:val="-5"/>
        </w:rPr>
        <w:t xml:space="preserve"> </w:t>
      </w:r>
      <w:r>
        <w:t>taken</w:t>
      </w:r>
      <w:r>
        <w:rPr>
          <w:spacing w:val="-5"/>
        </w:rPr>
        <w:t xml:space="preserve"> </w:t>
      </w:r>
      <w:r>
        <w:t>from</w:t>
      </w:r>
      <w:r>
        <w:rPr>
          <w:spacing w:val="-5"/>
        </w:rPr>
        <w:t xml:space="preserve"> </w:t>
      </w:r>
      <w:r>
        <w:t>all</w:t>
      </w:r>
      <w:r>
        <w:rPr>
          <w:spacing w:val="-5"/>
        </w:rPr>
        <w:t xml:space="preserve"> </w:t>
      </w:r>
      <w:r>
        <w:t>of</w:t>
      </w:r>
      <w:r>
        <w:rPr>
          <w:spacing w:val="-5"/>
        </w:rPr>
        <w:t xml:space="preserve"> </w:t>
      </w:r>
      <w:r>
        <w:t>them</w:t>
      </w:r>
      <w:r>
        <w:rPr>
          <w:spacing w:val="-5"/>
        </w:rPr>
        <w:t xml:space="preserve"> </w:t>
      </w:r>
      <w:r>
        <w:t>(rather</w:t>
      </w:r>
      <w:r>
        <w:rPr>
          <w:spacing w:val="-5"/>
        </w:rPr>
        <w:t xml:space="preserve"> </w:t>
      </w:r>
      <w:r>
        <w:t>than</w:t>
      </w:r>
      <w:r>
        <w:rPr>
          <w:spacing w:val="-5"/>
        </w:rPr>
        <w:t xml:space="preserve"> </w:t>
      </w:r>
      <w:r>
        <w:t>from</w:t>
      </w:r>
      <w:r>
        <w:rPr>
          <w:spacing w:val="-5"/>
        </w:rPr>
        <w:t xml:space="preserve"> </w:t>
      </w:r>
      <w:r>
        <w:t>only</w:t>
      </w:r>
      <w:r>
        <w:rPr>
          <w:spacing w:val="-5"/>
        </w:rPr>
        <w:t xml:space="preserve"> </w:t>
      </w:r>
      <w:r>
        <w:t>a</w:t>
      </w:r>
      <w:r>
        <w:rPr>
          <w:spacing w:val="-5"/>
        </w:rPr>
        <w:t xml:space="preserve"> </w:t>
      </w:r>
      <w:r>
        <w:t>subsample</w:t>
      </w:r>
      <w:r>
        <w:rPr>
          <w:spacing w:val="-5"/>
        </w:rPr>
        <w:t xml:space="preserve"> </w:t>
      </w:r>
      <w:r>
        <w:t>of</w:t>
      </w:r>
      <w:r>
        <w:rPr>
          <w:spacing w:val="-5"/>
        </w:rPr>
        <w:t xml:space="preserve"> </w:t>
      </w:r>
      <w:r>
        <w:t>them,</w:t>
      </w:r>
      <w:r>
        <w:rPr>
          <w:spacing w:val="-5"/>
        </w:rPr>
        <w:t xml:space="preserve"> </w:t>
      </w:r>
      <w:r>
        <w:t>as</w:t>
      </w:r>
      <w:r>
        <w:rPr>
          <w:spacing w:val="-5"/>
        </w:rPr>
        <w:t xml:space="preserve"> </w:t>
      </w:r>
      <w:r>
        <w:t>with</w:t>
      </w:r>
      <w:r>
        <w:rPr>
          <w:spacing w:val="-5"/>
        </w:rPr>
        <w:t xml:space="preserve"> </w:t>
      </w:r>
      <w:r>
        <w:t>noncertainty</w:t>
      </w:r>
      <w:r>
        <w:rPr>
          <w:spacing w:val="-5"/>
        </w:rPr>
        <w:t xml:space="preserve"> </w:t>
      </w:r>
      <w:r>
        <w:t>PSUs).</w:t>
      </w:r>
      <w:r>
        <w:rPr>
          <w:spacing w:val="-9"/>
        </w:rPr>
        <w:t xml:space="preserve"> </w:t>
      </w:r>
      <w:r>
        <w:t>The</w:t>
      </w:r>
      <w:r>
        <w:rPr>
          <w:spacing w:val="-5"/>
        </w:rPr>
        <w:t xml:space="preserve"> </w:t>
      </w:r>
      <w:r>
        <w:t>Honolulu,</w:t>
      </w:r>
      <w:r>
        <w:rPr>
          <w:spacing w:val="-5"/>
        </w:rPr>
        <w:t xml:space="preserve"> </w:t>
      </w:r>
      <w:r>
        <w:t>Hawaii</w:t>
      </w:r>
      <w:r>
        <w:rPr>
          <w:spacing w:val="-5"/>
        </w:rPr>
        <w:t xml:space="preserve"> </w:t>
      </w:r>
      <w:r>
        <w:t>PSU</w:t>
      </w:r>
      <w:r>
        <w:rPr>
          <w:spacing w:val="-5"/>
        </w:rPr>
        <w:t xml:space="preserve"> </w:t>
      </w:r>
      <w:r>
        <w:t>was</w:t>
      </w:r>
      <w:r>
        <w:rPr>
          <w:spacing w:val="-5"/>
        </w:rPr>
        <w:t xml:space="preserve"> </w:t>
      </w:r>
      <w:r>
        <w:t>included</w:t>
      </w:r>
      <w:r>
        <w:rPr>
          <w:spacing w:val="-5"/>
        </w:rPr>
        <w:t xml:space="preserve"> </w:t>
      </w:r>
      <w:r>
        <w:t>as</w:t>
      </w:r>
      <w:r>
        <w:rPr>
          <w:spacing w:val="-5"/>
        </w:rPr>
        <w:t xml:space="preserve"> </w:t>
      </w:r>
      <w:r>
        <w:t>certainty</w:t>
      </w:r>
      <w:r>
        <w:rPr>
          <w:spacing w:val="-5"/>
        </w:rPr>
        <w:t xml:space="preserve"> </w:t>
      </w:r>
      <w:r>
        <w:t>by</w:t>
      </w:r>
    </w:p>
    <w:p w:rsidR="003F5784" w14:paraId="75FBB247" w14:textId="77777777">
      <w:pPr>
        <w:spacing w:line="232" w:lineRule="auto"/>
        <w:sectPr>
          <w:headerReference w:type="default" r:id="rId215"/>
          <w:footerReference w:type="default" r:id="rId216"/>
          <w:pgSz w:w="15840" w:h="12240" w:orient="landscape"/>
          <w:pgMar w:top="480" w:right="440" w:bottom="460" w:left="460" w:header="284" w:footer="275" w:gutter="0"/>
          <w:pgNumType w:start="101"/>
          <w:cols w:space="720"/>
        </w:sectPr>
      </w:pPr>
    </w:p>
    <w:p w:rsidR="003F5784" w14:paraId="53F33917" w14:textId="77777777">
      <w:pPr>
        <w:pStyle w:val="BodyText"/>
        <w:spacing w:before="72" w:line="238" w:lineRule="exact"/>
        <w:ind w:left="109"/>
      </w:pPr>
      <w:r>
        <w:t>design</w:t>
      </w:r>
      <w:r>
        <w:rPr>
          <w:spacing w:val="-14"/>
        </w:rPr>
        <w:t xml:space="preserve"> </w:t>
      </w:r>
      <w:r>
        <w:t>in</w:t>
      </w:r>
      <w:r>
        <w:rPr>
          <w:spacing w:val="-6"/>
        </w:rPr>
        <w:t xml:space="preserve"> </w:t>
      </w:r>
      <w:r>
        <w:t>order</w:t>
      </w:r>
      <w:r>
        <w:rPr>
          <w:spacing w:val="-6"/>
        </w:rPr>
        <w:t xml:space="preserve"> </w:t>
      </w:r>
      <w:r>
        <w:t>to</w:t>
      </w:r>
      <w:r>
        <w:rPr>
          <w:spacing w:val="-6"/>
        </w:rPr>
        <w:t xml:space="preserve"> </w:t>
      </w:r>
      <w:r>
        <w:t>reduce</w:t>
      </w:r>
      <w:r>
        <w:rPr>
          <w:spacing w:val="-5"/>
        </w:rPr>
        <w:t xml:space="preserve"> </w:t>
      </w:r>
      <w:r>
        <w:t>the</w:t>
      </w:r>
      <w:r>
        <w:rPr>
          <w:spacing w:val="-6"/>
        </w:rPr>
        <w:t xml:space="preserve"> </w:t>
      </w:r>
      <w:r>
        <w:t>variances</w:t>
      </w:r>
      <w:r>
        <w:rPr>
          <w:spacing w:val="-6"/>
        </w:rPr>
        <w:t xml:space="preserve"> </w:t>
      </w:r>
      <w:r>
        <w:t>of</w:t>
      </w:r>
      <w:r>
        <w:rPr>
          <w:spacing w:val="-6"/>
        </w:rPr>
        <w:t xml:space="preserve"> </w:t>
      </w:r>
      <w:r>
        <w:t>estimates</w:t>
      </w:r>
      <w:r>
        <w:rPr>
          <w:spacing w:val="-5"/>
        </w:rPr>
        <w:t xml:space="preserve"> </w:t>
      </w:r>
      <w:r>
        <w:t>for</w:t>
      </w:r>
      <w:r>
        <w:rPr>
          <w:spacing w:val="-14"/>
        </w:rPr>
        <w:t xml:space="preserve"> </w:t>
      </w:r>
      <w:r>
        <w:t>Asian</w:t>
      </w:r>
      <w:r>
        <w:rPr>
          <w:spacing w:val="-5"/>
        </w:rPr>
        <w:t xml:space="preserve"> </w:t>
      </w:r>
      <w:r>
        <w:t>and</w:t>
      </w:r>
      <w:r>
        <w:rPr>
          <w:spacing w:val="-6"/>
        </w:rPr>
        <w:t xml:space="preserve"> </w:t>
      </w:r>
      <w:r>
        <w:t>Native</w:t>
      </w:r>
      <w:r>
        <w:rPr>
          <w:spacing w:val="-6"/>
        </w:rPr>
        <w:t xml:space="preserve"> </w:t>
      </w:r>
      <w:r>
        <w:t>Hawaiian/Other</w:t>
      </w:r>
      <w:r>
        <w:rPr>
          <w:spacing w:val="-6"/>
        </w:rPr>
        <w:t xml:space="preserve"> </w:t>
      </w:r>
      <w:r>
        <w:t>Pacific</w:t>
      </w:r>
      <w:r>
        <w:rPr>
          <w:spacing w:val="-5"/>
        </w:rPr>
        <w:t xml:space="preserve"> </w:t>
      </w:r>
      <w:r>
        <w:t>Islander</w:t>
      </w:r>
      <w:r>
        <w:rPr>
          <w:spacing w:val="-6"/>
        </w:rPr>
        <w:t xml:space="preserve"> </w:t>
      </w:r>
      <w:r>
        <w:t>students.</w:t>
      </w:r>
      <w:r>
        <w:rPr>
          <w:spacing w:val="-13"/>
        </w:rPr>
        <w:t xml:space="preserve"> </w:t>
      </w:r>
      <w:r>
        <w:t>A</w:t>
      </w:r>
      <w:r>
        <w:rPr>
          <w:spacing w:val="-13"/>
        </w:rPr>
        <w:t xml:space="preserve"> </w:t>
      </w:r>
      <w:r>
        <w:t>total</w:t>
      </w:r>
      <w:r>
        <w:rPr>
          <w:spacing w:val="-6"/>
        </w:rPr>
        <w:t xml:space="preserve"> </w:t>
      </w:r>
      <w:r>
        <w:t>of</w:t>
      </w:r>
      <w:r>
        <w:rPr>
          <w:spacing w:val="-6"/>
        </w:rPr>
        <w:t xml:space="preserve"> </w:t>
      </w:r>
      <w:r>
        <w:t>29</w:t>
      </w:r>
      <w:r>
        <w:rPr>
          <w:spacing w:val="-6"/>
        </w:rPr>
        <w:t xml:space="preserve"> </w:t>
      </w:r>
      <w:r>
        <w:t>PSUs</w:t>
      </w:r>
      <w:r>
        <w:rPr>
          <w:spacing w:val="-6"/>
        </w:rPr>
        <w:t xml:space="preserve"> </w:t>
      </w:r>
      <w:r>
        <w:t>were</w:t>
      </w:r>
      <w:r>
        <w:rPr>
          <w:spacing w:val="-5"/>
        </w:rPr>
        <w:t xml:space="preserve"> </w:t>
      </w:r>
      <w:r>
        <w:t>classified</w:t>
      </w:r>
      <w:r>
        <w:rPr>
          <w:spacing w:val="-6"/>
        </w:rPr>
        <w:t xml:space="preserve"> </w:t>
      </w:r>
      <w:r>
        <w:t>as</w:t>
      </w:r>
      <w:r>
        <w:rPr>
          <w:spacing w:val="-6"/>
        </w:rPr>
        <w:t xml:space="preserve"> </w:t>
      </w:r>
      <w:r>
        <w:t>certainties</w:t>
      </w:r>
      <w:r>
        <w:rPr>
          <w:spacing w:val="-6"/>
        </w:rPr>
        <w:t xml:space="preserve"> </w:t>
      </w:r>
      <w:r>
        <w:t>in</w:t>
      </w:r>
      <w:r>
        <w:rPr>
          <w:spacing w:val="-6"/>
        </w:rPr>
        <w:t xml:space="preserve"> </w:t>
      </w:r>
      <w:r>
        <w:rPr>
          <w:spacing w:val="-5"/>
        </w:rPr>
        <w:t>the</w:t>
      </w:r>
    </w:p>
    <w:p w:rsidR="003F5784" w14:paraId="34E20564" w14:textId="77777777">
      <w:pPr>
        <w:pStyle w:val="BodyText"/>
        <w:spacing w:before="3" w:line="232" w:lineRule="auto"/>
        <w:ind w:left="109"/>
      </w:pPr>
      <w:r>
        <w:t>PSU</w:t>
      </w:r>
      <w:r>
        <w:rPr>
          <w:spacing w:val="-6"/>
        </w:rPr>
        <w:t xml:space="preserve"> </w:t>
      </w:r>
      <w:r>
        <w:t>frame.</w:t>
      </w:r>
      <w:r>
        <w:rPr>
          <w:spacing w:val="-9"/>
        </w:rPr>
        <w:t xml:space="preserve"> </w:t>
      </w:r>
      <w:r>
        <w:t>The</w:t>
      </w:r>
      <w:r>
        <w:rPr>
          <w:spacing w:val="-6"/>
        </w:rPr>
        <w:t xml:space="preserve"> </w:t>
      </w:r>
      <w:r>
        <w:t>table</w:t>
      </w:r>
      <w:r>
        <w:rPr>
          <w:spacing w:val="-6"/>
        </w:rPr>
        <w:t xml:space="preserve"> </w:t>
      </w:r>
      <w:r>
        <w:t>below</w:t>
      </w:r>
      <w:r>
        <w:rPr>
          <w:spacing w:val="-6"/>
        </w:rPr>
        <w:t xml:space="preserve"> </w:t>
      </w:r>
      <w:r>
        <w:t>provides</w:t>
      </w:r>
      <w:r>
        <w:rPr>
          <w:spacing w:val="-6"/>
        </w:rPr>
        <w:t xml:space="preserve"> </w:t>
      </w:r>
      <w:r>
        <w:t>a</w:t>
      </w:r>
      <w:r>
        <w:rPr>
          <w:spacing w:val="-6"/>
        </w:rPr>
        <w:t xml:space="preserve"> </w:t>
      </w:r>
      <w:r>
        <w:t>listing</w:t>
      </w:r>
      <w:r>
        <w:rPr>
          <w:spacing w:val="-6"/>
        </w:rPr>
        <w:t xml:space="preserve"> </w:t>
      </w:r>
      <w:r>
        <w:t>of</w:t>
      </w:r>
      <w:r>
        <w:rPr>
          <w:spacing w:val="-6"/>
        </w:rPr>
        <w:t xml:space="preserve"> </w:t>
      </w:r>
      <w:r>
        <w:t>the</w:t>
      </w:r>
      <w:r>
        <w:rPr>
          <w:spacing w:val="-6"/>
        </w:rPr>
        <w:t xml:space="preserve"> </w:t>
      </w:r>
      <w:r>
        <w:t>certainty</w:t>
      </w:r>
      <w:r>
        <w:rPr>
          <w:spacing w:val="-6"/>
        </w:rPr>
        <w:t xml:space="preserve"> </w:t>
      </w:r>
      <w:r>
        <w:t>PSUs</w:t>
      </w:r>
      <w:r>
        <w:rPr>
          <w:spacing w:val="-6"/>
        </w:rPr>
        <w:t xml:space="preserve"> </w:t>
      </w:r>
      <w:r>
        <w:t>by</w:t>
      </w:r>
      <w:r>
        <w:rPr>
          <w:spacing w:val="-6"/>
        </w:rPr>
        <w:t xml:space="preserve"> </w:t>
      </w:r>
      <w:r>
        <w:t>census</w:t>
      </w:r>
      <w:r>
        <w:rPr>
          <w:spacing w:val="-6"/>
        </w:rPr>
        <w:t xml:space="preserve"> </w:t>
      </w:r>
      <w:r>
        <w:t>region.</w:t>
      </w:r>
      <w:r>
        <w:rPr>
          <w:spacing w:val="-6"/>
        </w:rPr>
        <w:t xml:space="preserve"> </w:t>
      </w:r>
      <w:r>
        <w:t>Note</w:t>
      </w:r>
      <w:r>
        <w:rPr>
          <w:spacing w:val="-6"/>
        </w:rPr>
        <w:t xml:space="preserve"> </w:t>
      </w:r>
      <w:r>
        <w:t>that</w:t>
      </w:r>
      <w:r>
        <w:rPr>
          <w:spacing w:val="-6"/>
        </w:rPr>
        <w:t xml:space="preserve"> </w:t>
      </w:r>
      <w:r>
        <w:t>the</w:t>
      </w:r>
      <w:r>
        <w:rPr>
          <w:spacing w:val="-6"/>
        </w:rPr>
        <w:t xml:space="preserve"> </w:t>
      </w:r>
      <w:r>
        <w:t>names</w:t>
      </w:r>
      <w:r>
        <w:rPr>
          <w:spacing w:val="-6"/>
        </w:rPr>
        <w:t xml:space="preserve"> </w:t>
      </w:r>
      <w:r>
        <w:t>of</w:t>
      </w:r>
      <w:r>
        <w:rPr>
          <w:spacing w:val="-6"/>
        </w:rPr>
        <w:t xml:space="preserve"> </w:t>
      </w:r>
      <w:r>
        <w:t>the</w:t>
      </w:r>
      <w:r>
        <w:rPr>
          <w:spacing w:val="-6"/>
        </w:rPr>
        <w:t xml:space="preserve"> </w:t>
      </w:r>
      <w:r>
        <w:t>metropolitan</w:t>
      </w:r>
      <w:r>
        <w:rPr>
          <w:spacing w:val="-6"/>
        </w:rPr>
        <w:t xml:space="preserve"> </w:t>
      </w:r>
      <w:r>
        <w:t>statistical</w:t>
      </w:r>
      <w:r>
        <w:rPr>
          <w:spacing w:val="-6"/>
        </w:rPr>
        <w:t xml:space="preserve"> </w:t>
      </w:r>
      <w:r>
        <w:t>areas</w:t>
      </w:r>
      <w:r>
        <w:rPr>
          <w:spacing w:val="-6"/>
        </w:rPr>
        <w:t xml:space="preserve"> </w:t>
      </w:r>
      <w:r>
        <w:t>do</w:t>
      </w:r>
      <w:r>
        <w:rPr>
          <w:spacing w:val="-6"/>
        </w:rPr>
        <w:t xml:space="preserve"> </w:t>
      </w:r>
      <w:r>
        <w:t>not</w:t>
      </w:r>
      <w:r>
        <w:rPr>
          <w:spacing w:val="-6"/>
        </w:rPr>
        <w:t xml:space="preserve"> </w:t>
      </w:r>
      <w:r>
        <w:t>represent</w:t>
      </w:r>
      <w:r>
        <w:rPr>
          <w:spacing w:val="-6"/>
        </w:rPr>
        <w:t xml:space="preserve"> </w:t>
      </w:r>
      <w:r>
        <w:t>the</w:t>
      </w:r>
      <w:r>
        <w:rPr>
          <w:spacing w:val="-6"/>
        </w:rPr>
        <w:t xml:space="preserve"> </w:t>
      </w:r>
      <w:r>
        <w:t>cities</w:t>
      </w:r>
      <w:r>
        <w:rPr>
          <w:spacing w:val="-6"/>
        </w:rPr>
        <w:t xml:space="preserve"> </w:t>
      </w:r>
      <w:r>
        <w:t>proper. Rather they can and do cross jurisdiction and county boundaries (for example, the Boston-Cambridge-Quincy metropolitan statistical area includes Massachusetts and New Hampshire). The "Number of youths" column in the table reflects updated 2017 U.S. Census Bureau population estimates.</w:t>
      </w:r>
    </w:p>
    <w:p w:rsidR="003F5784" w14:paraId="5DF5A598" w14:textId="77777777">
      <w:pPr>
        <w:pStyle w:val="BodyText"/>
        <w:spacing w:before="92"/>
      </w:pPr>
    </w:p>
    <w:p w:rsidR="003F5784" w14:paraId="33DE9103" w14:textId="77777777">
      <w:pPr>
        <w:pStyle w:val="Heading2"/>
      </w:pPr>
      <w:r>
        <w:t>Metropolitan</w:t>
      </w:r>
      <w:r>
        <w:rPr>
          <w:spacing w:val="-9"/>
        </w:rPr>
        <w:t xml:space="preserve"> </w:t>
      </w:r>
      <w:r>
        <w:t>statistical</w:t>
      </w:r>
      <w:r>
        <w:rPr>
          <w:spacing w:val="-9"/>
        </w:rPr>
        <w:t xml:space="preserve"> </w:t>
      </w:r>
      <w:r>
        <w:t>area</w:t>
      </w:r>
      <w:r>
        <w:rPr>
          <w:spacing w:val="-9"/>
        </w:rPr>
        <w:t xml:space="preserve"> </w:t>
      </w:r>
      <w:r>
        <w:t>definitions</w:t>
      </w:r>
      <w:r>
        <w:rPr>
          <w:spacing w:val="-8"/>
        </w:rPr>
        <w:t xml:space="preserve"> </w:t>
      </w:r>
      <w:r>
        <w:t>for</w:t>
      </w:r>
      <w:r>
        <w:rPr>
          <w:spacing w:val="-12"/>
        </w:rPr>
        <w:t xml:space="preserve"> </w:t>
      </w:r>
      <w:r>
        <w:t>certainty</w:t>
      </w:r>
      <w:r>
        <w:rPr>
          <w:spacing w:val="-9"/>
        </w:rPr>
        <w:t xml:space="preserve"> </w:t>
      </w:r>
      <w:r>
        <w:t>PSUs,</w:t>
      </w:r>
      <w:r>
        <w:rPr>
          <w:spacing w:val="-9"/>
        </w:rPr>
        <w:t xml:space="preserve"> </w:t>
      </w:r>
      <w:r>
        <w:t>by</w:t>
      </w:r>
      <w:r>
        <w:rPr>
          <w:spacing w:val="-8"/>
        </w:rPr>
        <w:t xml:space="preserve"> </w:t>
      </w:r>
      <w:r>
        <w:t>census</w:t>
      </w:r>
      <w:r>
        <w:rPr>
          <w:spacing w:val="-9"/>
        </w:rPr>
        <w:t xml:space="preserve"> </w:t>
      </w:r>
      <w:r>
        <w:t>region:</w:t>
      </w:r>
      <w:r>
        <w:rPr>
          <w:spacing w:val="-9"/>
        </w:rPr>
        <w:t xml:space="preserve"> </w:t>
      </w:r>
      <w:r>
        <w:rPr>
          <w:spacing w:val="-4"/>
        </w:rPr>
        <w:t>2022</w:t>
      </w:r>
    </w:p>
    <w:p w:rsidR="003F5784" w14:paraId="7C6DDCEE"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5851"/>
        <w:gridCol w:w="3322"/>
        <w:gridCol w:w="2661"/>
        <w:gridCol w:w="2148"/>
      </w:tblGrid>
      <w:tr w14:paraId="313049C1" w14:textId="77777777">
        <w:tblPrEx>
          <w:tblW w:w="0" w:type="auto"/>
          <w:tblInd w:w="482" w:type="dxa"/>
          <w:tblLayout w:type="fixed"/>
          <w:tblCellMar>
            <w:left w:w="0" w:type="dxa"/>
            <w:right w:w="0" w:type="dxa"/>
          </w:tblCellMar>
          <w:tblLook w:val="01E0"/>
        </w:tblPrEx>
        <w:trPr>
          <w:trHeight w:val="267"/>
        </w:trPr>
        <w:tc>
          <w:tcPr>
            <w:tcW w:w="5851" w:type="dxa"/>
            <w:tcBorders>
              <w:top w:val="single" w:sz="18" w:space="0" w:color="800000"/>
              <w:bottom w:val="single" w:sz="18" w:space="0" w:color="800000"/>
            </w:tcBorders>
          </w:tcPr>
          <w:p w:rsidR="003F5784" w14:paraId="1DC1832F" w14:textId="77777777">
            <w:pPr>
              <w:pStyle w:val="TableParagraph"/>
              <w:spacing w:before="9" w:line="238" w:lineRule="exact"/>
              <w:ind w:left="120"/>
              <w:jc w:val="left"/>
              <w:rPr>
                <w:sz w:val="21"/>
              </w:rPr>
            </w:pPr>
            <w:r>
              <w:rPr>
                <w:sz w:val="21"/>
              </w:rPr>
              <w:t>Census</w:t>
            </w:r>
            <w:r>
              <w:rPr>
                <w:spacing w:val="-12"/>
                <w:sz w:val="21"/>
              </w:rPr>
              <w:t xml:space="preserve"> </w:t>
            </w:r>
            <w:r>
              <w:rPr>
                <w:sz w:val="21"/>
              </w:rPr>
              <w:t>region/Metropolitan</w:t>
            </w:r>
            <w:r>
              <w:rPr>
                <w:spacing w:val="-11"/>
                <w:sz w:val="21"/>
              </w:rPr>
              <w:t xml:space="preserve"> </w:t>
            </w:r>
            <w:r>
              <w:rPr>
                <w:sz w:val="21"/>
              </w:rPr>
              <w:t>statistical</w:t>
            </w:r>
            <w:r>
              <w:rPr>
                <w:spacing w:val="-11"/>
                <w:sz w:val="21"/>
              </w:rPr>
              <w:t xml:space="preserve"> </w:t>
            </w:r>
            <w:r>
              <w:rPr>
                <w:spacing w:val="-4"/>
                <w:sz w:val="21"/>
              </w:rPr>
              <w:t>area</w:t>
            </w:r>
          </w:p>
        </w:tc>
        <w:tc>
          <w:tcPr>
            <w:tcW w:w="3322" w:type="dxa"/>
            <w:tcBorders>
              <w:top w:val="single" w:sz="18" w:space="0" w:color="800000"/>
              <w:bottom w:val="single" w:sz="18" w:space="0" w:color="800000"/>
            </w:tcBorders>
          </w:tcPr>
          <w:p w:rsidR="003F5784" w14:paraId="23D26B22" w14:textId="77777777">
            <w:pPr>
              <w:pStyle w:val="TableParagraph"/>
              <w:spacing w:before="9" w:line="238" w:lineRule="exact"/>
              <w:ind w:right="491"/>
              <w:rPr>
                <w:sz w:val="21"/>
              </w:rPr>
            </w:pPr>
            <w:r>
              <w:rPr>
                <w:spacing w:val="-2"/>
                <w:sz w:val="21"/>
              </w:rPr>
              <w:t>Jurisdiction</w:t>
            </w:r>
          </w:p>
        </w:tc>
        <w:tc>
          <w:tcPr>
            <w:tcW w:w="2661" w:type="dxa"/>
            <w:tcBorders>
              <w:top w:val="single" w:sz="18" w:space="0" w:color="800000"/>
              <w:bottom w:val="single" w:sz="18" w:space="0" w:color="800000"/>
            </w:tcBorders>
          </w:tcPr>
          <w:p w:rsidR="003F5784" w14:paraId="5A64AEA6" w14:textId="77777777">
            <w:pPr>
              <w:pStyle w:val="TableParagraph"/>
              <w:spacing w:before="9" w:line="238" w:lineRule="exact"/>
              <w:ind w:right="508"/>
              <w:rPr>
                <w:sz w:val="21"/>
              </w:rPr>
            </w:pPr>
            <w:r>
              <w:rPr>
                <w:sz w:val="21"/>
              </w:rPr>
              <w:t>Number</w:t>
            </w:r>
            <w:r>
              <w:rPr>
                <w:spacing w:val="-6"/>
                <w:sz w:val="21"/>
              </w:rPr>
              <w:t xml:space="preserve"> </w:t>
            </w:r>
            <w:r>
              <w:rPr>
                <w:sz w:val="21"/>
              </w:rPr>
              <w:t>of</w:t>
            </w:r>
            <w:r>
              <w:rPr>
                <w:spacing w:val="-5"/>
                <w:sz w:val="21"/>
              </w:rPr>
              <w:t xml:space="preserve"> </w:t>
            </w:r>
            <w:r>
              <w:rPr>
                <w:spacing w:val="-2"/>
                <w:sz w:val="21"/>
              </w:rPr>
              <w:t>counties</w:t>
            </w:r>
          </w:p>
        </w:tc>
        <w:tc>
          <w:tcPr>
            <w:tcW w:w="2148" w:type="dxa"/>
            <w:tcBorders>
              <w:top w:val="single" w:sz="18" w:space="0" w:color="800000"/>
              <w:bottom w:val="single" w:sz="18" w:space="0" w:color="800000"/>
            </w:tcBorders>
          </w:tcPr>
          <w:p w:rsidR="003F5784" w14:paraId="638CF217" w14:textId="77777777">
            <w:pPr>
              <w:pStyle w:val="TableParagraph"/>
              <w:spacing w:before="9" w:line="238" w:lineRule="exact"/>
              <w:ind w:right="115"/>
              <w:rPr>
                <w:sz w:val="21"/>
              </w:rPr>
            </w:pPr>
            <w:r>
              <w:rPr>
                <w:sz w:val="21"/>
              </w:rPr>
              <w:t>Number</w:t>
            </w:r>
            <w:r>
              <w:rPr>
                <w:spacing w:val="-6"/>
                <w:sz w:val="21"/>
              </w:rPr>
              <w:t xml:space="preserve"> </w:t>
            </w:r>
            <w:r>
              <w:rPr>
                <w:sz w:val="21"/>
              </w:rPr>
              <w:t>of</w:t>
            </w:r>
            <w:r>
              <w:rPr>
                <w:spacing w:val="-5"/>
                <w:sz w:val="21"/>
              </w:rPr>
              <w:t xml:space="preserve"> </w:t>
            </w:r>
            <w:r>
              <w:rPr>
                <w:spacing w:val="-2"/>
                <w:sz w:val="21"/>
              </w:rPr>
              <w:t>youths</w:t>
            </w:r>
          </w:p>
        </w:tc>
      </w:tr>
      <w:tr w14:paraId="27090FE0" w14:textId="77777777">
        <w:tblPrEx>
          <w:tblW w:w="0" w:type="auto"/>
          <w:tblInd w:w="482" w:type="dxa"/>
          <w:tblLayout w:type="fixed"/>
          <w:tblCellMar>
            <w:left w:w="0" w:type="dxa"/>
            <w:right w:w="0" w:type="dxa"/>
          </w:tblCellMar>
          <w:tblLook w:val="01E0"/>
        </w:tblPrEx>
        <w:trPr>
          <w:trHeight w:val="277"/>
        </w:trPr>
        <w:tc>
          <w:tcPr>
            <w:tcW w:w="5851" w:type="dxa"/>
            <w:tcBorders>
              <w:top w:val="single" w:sz="18" w:space="0" w:color="800000"/>
            </w:tcBorders>
          </w:tcPr>
          <w:p w:rsidR="003F5784" w14:paraId="248A2C15" w14:textId="77777777">
            <w:pPr>
              <w:pStyle w:val="TableParagraph"/>
              <w:spacing w:before="9"/>
              <w:ind w:left="627"/>
              <w:jc w:val="left"/>
              <w:rPr>
                <w:b/>
                <w:sz w:val="21"/>
              </w:rPr>
            </w:pPr>
            <w:r>
              <w:rPr>
                <w:b/>
                <w:spacing w:val="-2"/>
                <w:sz w:val="21"/>
              </w:rPr>
              <w:t>Total</w:t>
            </w:r>
          </w:p>
        </w:tc>
        <w:tc>
          <w:tcPr>
            <w:tcW w:w="3322" w:type="dxa"/>
            <w:tcBorders>
              <w:top w:val="single" w:sz="18" w:space="0" w:color="800000"/>
            </w:tcBorders>
          </w:tcPr>
          <w:p w:rsidR="003F5784" w14:paraId="63C9F998" w14:textId="77777777">
            <w:pPr>
              <w:pStyle w:val="TableParagraph"/>
              <w:spacing w:before="11"/>
              <w:ind w:right="490"/>
              <w:rPr>
                <w:b/>
                <w:sz w:val="18"/>
              </w:rPr>
            </w:pPr>
            <w:r>
              <w:rPr>
                <w:b/>
                <w:spacing w:val="-10"/>
                <w:sz w:val="18"/>
              </w:rPr>
              <w:t>†</w:t>
            </w:r>
          </w:p>
        </w:tc>
        <w:tc>
          <w:tcPr>
            <w:tcW w:w="2661" w:type="dxa"/>
            <w:tcBorders>
              <w:top w:val="single" w:sz="18" w:space="0" w:color="800000"/>
            </w:tcBorders>
          </w:tcPr>
          <w:p w:rsidR="003F5784" w14:paraId="56791F7F" w14:textId="77777777">
            <w:pPr>
              <w:pStyle w:val="TableParagraph"/>
              <w:spacing w:before="9"/>
              <w:ind w:right="508"/>
              <w:rPr>
                <w:b/>
                <w:sz w:val="21"/>
              </w:rPr>
            </w:pPr>
            <w:r>
              <w:rPr>
                <w:b/>
                <w:spacing w:val="-5"/>
                <w:sz w:val="21"/>
              </w:rPr>
              <w:t>241</w:t>
            </w:r>
          </w:p>
        </w:tc>
        <w:tc>
          <w:tcPr>
            <w:tcW w:w="2148" w:type="dxa"/>
            <w:tcBorders>
              <w:top w:val="single" w:sz="18" w:space="0" w:color="800000"/>
            </w:tcBorders>
          </w:tcPr>
          <w:p w:rsidR="003F5784" w14:paraId="7FBA3ED3" w14:textId="77777777">
            <w:pPr>
              <w:pStyle w:val="TableParagraph"/>
              <w:spacing w:before="9"/>
              <w:ind w:right="115"/>
              <w:rPr>
                <w:b/>
                <w:sz w:val="21"/>
              </w:rPr>
            </w:pPr>
            <w:r>
              <w:rPr>
                <w:b/>
                <w:spacing w:val="-2"/>
                <w:sz w:val="21"/>
              </w:rPr>
              <w:t>32,504,636</w:t>
            </w:r>
          </w:p>
        </w:tc>
      </w:tr>
      <w:tr w14:paraId="36859151" w14:textId="77777777">
        <w:tblPrEx>
          <w:tblW w:w="0" w:type="auto"/>
          <w:tblInd w:w="482" w:type="dxa"/>
          <w:tblLayout w:type="fixed"/>
          <w:tblCellMar>
            <w:left w:w="0" w:type="dxa"/>
            <w:right w:w="0" w:type="dxa"/>
          </w:tblCellMar>
          <w:tblLook w:val="01E0"/>
        </w:tblPrEx>
        <w:trPr>
          <w:trHeight w:val="288"/>
        </w:trPr>
        <w:tc>
          <w:tcPr>
            <w:tcW w:w="5851" w:type="dxa"/>
          </w:tcPr>
          <w:p w:rsidR="003F5784" w14:paraId="21B2DB85" w14:textId="77777777">
            <w:pPr>
              <w:pStyle w:val="TableParagraph"/>
              <w:spacing w:before="19"/>
              <w:ind w:left="120"/>
              <w:jc w:val="left"/>
              <w:rPr>
                <w:b/>
                <w:sz w:val="21"/>
              </w:rPr>
            </w:pPr>
            <w:r>
              <w:rPr>
                <w:b/>
                <w:spacing w:val="-2"/>
                <w:sz w:val="21"/>
              </w:rPr>
              <w:t>Northeast</w:t>
            </w:r>
          </w:p>
        </w:tc>
        <w:tc>
          <w:tcPr>
            <w:tcW w:w="3322" w:type="dxa"/>
          </w:tcPr>
          <w:p w:rsidR="003F5784" w14:paraId="659C3A4E" w14:textId="77777777">
            <w:pPr>
              <w:pStyle w:val="TableParagraph"/>
              <w:spacing w:before="21"/>
              <w:ind w:right="490"/>
              <w:rPr>
                <w:b/>
                <w:sz w:val="18"/>
              </w:rPr>
            </w:pPr>
            <w:r>
              <w:rPr>
                <w:b/>
                <w:spacing w:val="-10"/>
                <w:sz w:val="18"/>
              </w:rPr>
              <w:t>†</w:t>
            </w:r>
          </w:p>
        </w:tc>
        <w:tc>
          <w:tcPr>
            <w:tcW w:w="2661" w:type="dxa"/>
          </w:tcPr>
          <w:p w:rsidR="003F5784" w14:paraId="3575BCFF" w14:textId="77777777">
            <w:pPr>
              <w:pStyle w:val="TableParagraph"/>
              <w:spacing w:before="19"/>
              <w:ind w:right="508"/>
              <w:rPr>
                <w:b/>
                <w:sz w:val="21"/>
              </w:rPr>
            </w:pPr>
            <w:r>
              <w:rPr>
                <w:b/>
                <w:spacing w:val="-5"/>
                <w:sz w:val="21"/>
              </w:rPr>
              <w:t>39</w:t>
            </w:r>
          </w:p>
        </w:tc>
        <w:tc>
          <w:tcPr>
            <w:tcW w:w="2148" w:type="dxa"/>
          </w:tcPr>
          <w:p w:rsidR="003F5784" w14:paraId="00E04361" w14:textId="77777777">
            <w:pPr>
              <w:pStyle w:val="TableParagraph"/>
              <w:spacing w:before="19"/>
              <w:ind w:right="115"/>
              <w:rPr>
                <w:b/>
                <w:sz w:val="21"/>
              </w:rPr>
            </w:pPr>
            <w:r>
              <w:rPr>
                <w:b/>
                <w:spacing w:val="-2"/>
                <w:sz w:val="21"/>
              </w:rPr>
              <w:t>6,372,003</w:t>
            </w:r>
          </w:p>
        </w:tc>
      </w:tr>
      <w:tr w14:paraId="38B5AB71" w14:textId="77777777">
        <w:tblPrEx>
          <w:tblW w:w="0" w:type="auto"/>
          <w:tblInd w:w="482" w:type="dxa"/>
          <w:tblLayout w:type="fixed"/>
          <w:tblCellMar>
            <w:left w:w="0" w:type="dxa"/>
            <w:right w:w="0" w:type="dxa"/>
          </w:tblCellMar>
          <w:tblLook w:val="01E0"/>
        </w:tblPrEx>
        <w:trPr>
          <w:trHeight w:val="286"/>
        </w:trPr>
        <w:tc>
          <w:tcPr>
            <w:tcW w:w="5851" w:type="dxa"/>
          </w:tcPr>
          <w:p w:rsidR="003F5784" w14:paraId="3D24A94B" w14:textId="77777777">
            <w:pPr>
              <w:pStyle w:val="TableParagraph"/>
              <w:ind w:left="224"/>
              <w:jc w:val="left"/>
              <w:rPr>
                <w:sz w:val="21"/>
              </w:rPr>
            </w:pPr>
            <w:r>
              <w:rPr>
                <w:spacing w:val="-2"/>
                <w:sz w:val="21"/>
              </w:rPr>
              <w:t>Boston-Cambridge-Quincy</w:t>
            </w:r>
          </w:p>
        </w:tc>
        <w:tc>
          <w:tcPr>
            <w:tcW w:w="3322" w:type="dxa"/>
          </w:tcPr>
          <w:p w:rsidR="003F5784" w14:paraId="427F7185" w14:textId="77777777">
            <w:pPr>
              <w:pStyle w:val="TableParagraph"/>
              <w:ind w:right="490"/>
              <w:rPr>
                <w:sz w:val="21"/>
              </w:rPr>
            </w:pPr>
            <w:r>
              <w:rPr>
                <w:spacing w:val="-2"/>
                <w:sz w:val="21"/>
              </w:rPr>
              <w:t>MA-</w:t>
            </w:r>
            <w:r>
              <w:rPr>
                <w:spacing w:val="-7"/>
                <w:sz w:val="21"/>
              </w:rPr>
              <w:t>NH</w:t>
            </w:r>
          </w:p>
        </w:tc>
        <w:tc>
          <w:tcPr>
            <w:tcW w:w="2661" w:type="dxa"/>
          </w:tcPr>
          <w:p w:rsidR="003F5784" w14:paraId="2E32DBE6" w14:textId="77777777">
            <w:pPr>
              <w:pStyle w:val="TableParagraph"/>
              <w:ind w:right="508"/>
              <w:rPr>
                <w:sz w:val="21"/>
              </w:rPr>
            </w:pPr>
            <w:r>
              <w:rPr>
                <w:spacing w:val="-10"/>
                <w:sz w:val="21"/>
              </w:rPr>
              <w:t>7</w:t>
            </w:r>
          </w:p>
        </w:tc>
        <w:tc>
          <w:tcPr>
            <w:tcW w:w="2148" w:type="dxa"/>
          </w:tcPr>
          <w:p w:rsidR="003F5784" w14:paraId="702AE590" w14:textId="77777777">
            <w:pPr>
              <w:pStyle w:val="TableParagraph"/>
              <w:ind w:right="115"/>
              <w:rPr>
                <w:sz w:val="21"/>
              </w:rPr>
            </w:pPr>
            <w:r>
              <w:rPr>
                <w:spacing w:val="-2"/>
                <w:sz w:val="21"/>
              </w:rPr>
              <w:t>964,952</w:t>
            </w:r>
          </w:p>
        </w:tc>
      </w:tr>
      <w:tr w14:paraId="3A06A423" w14:textId="77777777">
        <w:tblPrEx>
          <w:tblW w:w="0" w:type="auto"/>
          <w:tblInd w:w="482" w:type="dxa"/>
          <w:tblLayout w:type="fixed"/>
          <w:tblCellMar>
            <w:left w:w="0" w:type="dxa"/>
            <w:right w:w="0" w:type="dxa"/>
          </w:tblCellMar>
          <w:tblLook w:val="01E0"/>
        </w:tblPrEx>
        <w:trPr>
          <w:trHeight w:val="286"/>
        </w:trPr>
        <w:tc>
          <w:tcPr>
            <w:tcW w:w="5851" w:type="dxa"/>
          </w:tcPr>
          <w:p w:rsidR="003F5784" w14:paraId="2C7ED7B5" w14:textId="77777777">
            <w:pPr>
              <w:pStyle w:val="TableParagraph"/>
              <w:ind w:left="224"/>
              <w:jc w:val="left"/>
              <w:rPr>
                <w:sz w:val="21"/>
              </w:rPr>
            </w:pPr>
            <w:r>
              <w:rPr>
                <w:spacing w:val="-2"/>
                <w:sz w:val="21"/>
              </w:rPr>
              <w:t>New</w:t>
            </w:r>
            <w:r>
              <w:rPr>
                <w:spacing w:val="-8"/>
                <w:sz w:val="21"/>
              </w:rPr>
              <w:t xml:space="preserve"> </w:t>
            </w:r>
            <w:r>
              <w:rPr>
                <w:spacing w:val="-2"/>
                <w:sz w:val="21"/>
              </w:rPr>
              <w:t>York-Northern</w:t>
            </w:r>
            <w:r>
              <w:rPr>
                <w:spacing w:val="1"/>
                <w:sz w:val="21"/>
              </w:rPr>
              <w:t xml:space="preserve"> </w:t>
            </w:r>
            <w:r>
              <w:rPr>
                <w:spacing w:val="-2"/>
                <w:sz w:val="21"/>
              </w:rPr>
              <w:t>New</w:t>
            </w:r>
            <w:r>
              <w:rPr>
                <w:spacing w:val="1"/>
                <w:sz w:val="21"/>
              </w:rPr>
              <w:t xml:space="preserve"> </w:t>
            </w:r>
            <w:r>
              <w:rPr>
                <w:spacing w:val="-2"/>
                <w:sz w:val="21"/>
              </w:rPr>
              <w:t>Jersey-Long</w:t>
            </w:r>
            <w:r>
              <w:rPr>
                <w:spacing w:val="2"/>
                <w:sz w:val="21"/>
              </w:rPr>
              <w:t xml:space="preserve"> </w:t>
            </w:r>
            <w:r>
              <w:rPr>
                <w:spacing w:val="-2"/>
                <w:sz w:val="21"/>
              </w:rPr>
              <w:t>Island</w:t>
            </w:r>
          </w:p>
        </w:tc>
        <w:tc>
          <w:tcPr>
            <w:tcW w:w="3322" w:type="dxa"/>
          </w:tcPr>
          <w:p w:rsidR="003F5784" w14:paraId="19260370" w14:textId="77777777">
            <w:pPr>
              <w:pStyle w:val="TableParagraph"/>
              <w:ind w:right="491"/>
              <w:rPr>
                <w:sz w:val="21"/>
              </w:rPr>
            </w:pPr>
            <w:r>
              <w:rPr>
                <w:spacing w:val="-6"/>
                <w:sz w:val="21"/>
              </w:rPr>
              <w:t>NY-NJ-PA</w:t>
            </w:r>
          </w:p>
        </w:tc>
        <w:tc>
          <w:tcPr>
            <w:tcW w:w="2661" w:type="dxa"/>
          </w:tcPr>
          <w:p w:rsidR="003F5784" w14:paraId="625E9A81" w14:textId="77777777">
            <w:pPr>
              <w:pStyle w:val="TableParagraph"/>
              <w:ind w:right="508"/>
              <w:rPr>
                <w:sz w:val="21"/>
              </w:rPr>
            </w:pPr>
            <w:r>
              <w:rPr>
                <w:spacing w:val="-5"/>
                <w:sz w:val="21"/>
              </w:rPr>
              <w:t>23</w:t>
            </w:r>
          </w:p>
        </w:tc>
        <w:tc>
          <w:tcPr>
            <w:tcW w:w="2148" w:type="dxa"/>
          </w:tcPr>
          <w:p w:rsidR="003F5784" w14:paraId="625A3741" w14:textId="77777777">
            <w:pPr>
              <w:pStyle w:val="TableParagraph"/>
              <w:ind w:right="115"/>
              <w:rPr>
                <w:sz w:val="21"/>
              </w:rPr>
            </w:pPr>
            <w:r>
              <w:rPr>
                <w:spacing w:val="-2"/>
                <w:sz w:val="21"/>
              </w:rPr>
              <w:t>4,222,175</w:t>
            </w:r>
          </w:p>
        </w:tc>
      </w:tr>
      <w:tr w14:paraId="261C6851" w14:textId="77777777">
        <w:tblPrEx>
          <w:tblW w:w="0" w:type="auto"/>
          <w:tblInd w:w="482" w:type="dxa"/>
          <w:tblLayout w:type="fixed"/>
          <w:tblCellMar>
            <w:left w:w="0" w:type="dxa"/>
            <w:right w:w="0" w:type="dxa"/>
          </w:tblCellMar>
          <w:tblLook w:val="01E0"/>
        </w:tblPrEx>
        <w:trPr>
          <w:trHeight w:val="285"/>
        </w:trPr>
        <w:tc>
          <w:tcPr>
            <w:tcW w:w="5851" w:type="dxa"/>
          </w:tcPr>
          <w:p w:rsidR="003F5784" w14:paraId="2BD39F4B" w14:textId="77777777">
            <w:pPr>
              <w:pStyle w:val="TableParagraph"/>
              <w:ind w:left="224"/>
              <w:jc w:val="left"/>
              <w:rPr>
                <w:sz w:val="21"/>
              </w:rPr>
            </w:pPr>
            <w:r>
              <w:rPr>
                <w:spacing w:val="-2"/>
                <w:sz w:val="21"/>
              </w:rPr>
              <w:t>Philadelphia-Camden-Wilmington</w:t>
            </w:r>
            <w:r>
              <w:rPr>
                <w:spacing w:val="15"/>
                <w:sz w:val="21"/>
              </w:rPr>
              <w:t xml:space="preserve"> </w:t>
            </w:r>
            <w:r>
              <w:rPr>
                <w:spacing w:val="-2"/>
                <w:sz w:val="21"/>
              </w:rPr>
              <w:t>(Northeast</w:t>
            </w:r>
            <w:r>
              <w:rPr>
                <w:spacing w:val="16"/>
                <w:sz w:val="21"/>
              </w:rPr>
              <w:t xml:space="preserve"> </w:t>
            </w:r>
            <w:r>
              <w:rPr>
                <w:spacing w:val="-2"/>
                <w:sz w:val="21"/>
              </w:rPr>
              <w:t>part)</w:t>
            </w:r>
          </w:p>
        </w:tc>
        <w:tc>
          <w:tcPr>
            <w:tcW w:w="3322" w:type="dxa"/>
          </w:tcPr>
          <w:p w:rsidR="003F5784" w14:paraId="7092CC25" w14:textId="77777777">
            <w:pPr>
              <w:pStyle w:val="TableParagraph"/>
              <w:ind w:right="490"/>
              <w:rPr>
                <w:sz w:val="21"/>
              </w:rPr>
            </w:pPr>
            <w:r>
              <w:rPr>
                <w:spacing w:val="-9"/>
                <w:sz w:val="21"/>
              </w:rPr>
              <w:t>PA-</w:t>
            </w:r>
            <w:r>
              <w:rPr>
                <w:spacing w:val="-5"/>
                <w:sz w:val="21"/>
              </w:rPr>
              <w:t>NJ</w:t>
            </w:r>
          </w:p>
        </w:tc>
        <w:tc>
          <w:tcPr>
            <w:tcW w:w="2661" w:type="dxa"/>
          </w:tcPr>
          <w:p w:rsidR="003F5784" w14:paraId="4AAEA7B8" w14:textId="77777777">
            <w:pPr>
              <w:pStyle w:val="TableParagraph"/>
              <w:ind w:right="508"/>
              <w:rPr>
                <w:sz w:val="21"/>
              </w:rPr>
            </w:pPr>
            <w:r>
              <w:rPr>
                <w:spacing w:val="-10"/>
                <w:sz w:val="21"/>
              </w:rPr>
              <w:t>9</w:t>
            </w:r>
          </w:p>
        </w:tc>
        <w:tc>
          <w:tcPr>
            <w:tcW w:w="2148" w:type="dxa"/>
          </w:tcPr>
          <w:p w:rsidR="003F5784" w14:paraId="2965167C" w14:textId="77777777">
            <w:pPr>
              <w:pStyle w:val="TableParagraph"/>
              <w:ind w:right="115"/>
              <w:rPr>
                <w:sz w:val="21"/>
              </w:rPr>
            </w:pPr>
            <w:r>
              <w:rPr>
                <w:spacing w:val="-2"/>
                <w:sz w:val="21"/>
              </w:rPr>
              <w:t>1,184,876</w:t>
            </w:r>
          </w:p>
        </w:tc>
      </w:tr>
      <w:tr w14:paraId="6A8F85DD" w14:textId="77777777">
        <w:tblPrEx>
          <w:tblW w:w="0" w:type="auto"/>
          <w:tblInd w:w="482" w:type="dxa"/>
          <w:tblLayout w:type="fixed"/>
          <w:tblCellMar>
            <w:left w:w="0" w:type="dxa"/>
            <w:right w:w="0" w:type="dxa"/>
          </w:tblCellMar>
          <w:tblLook w:val="01E0"/>
        </w:tblPrEx>
        <w:trPr>
          <w:trHeight w:val="288"/>
        </w:trPr>
        <w:tc>
          <w:tcPr>
            <w:tcW w:w="5851" w:type="dxa"/>
          </w:tcPr>
          <w:p w:rsidR="003F5784" w14:paraId="2ADABA07" w14:textId="77777777">
            <w:pPr>
              <w:pStyle w:val="TableParagraph"/>
              <w:spacing w:before="19"/>
              <w:ind w:left="120"/>
              <w:jc w:val="left"/>
              <w:rPr>
                <w:b/>
                <w:sz w:val="21"/>
              </w:rPr>
            </w:pPr>
            <w:r>
              <w:rPr>
                <w:b/>
                <w:spacing w:val="-2"/>
                <w:sz w:val="21"/>
              </w:rPr>
              <w:t>Midwest</w:t>
            </w:r>
          </w:p>
        </w:tc>
        <w:tc>
          <w:tcPr>
            <w:tcW w:w="3322" w:type="dxa"/>
          </w:tcPr>
          <w:p w:rsidR="003F5784" w14:paraId="241F66C7" w14:textId="77777777">
            <w:pPr>
              <w:pStyle w:val="TableParagraph"/>
              <w:spacing w:before="21"/>
              <w:ind w:right="490"/>
              <w:rPr>
                <w:b/>
                <w:sz w:val="18"/>
              </w:rPr>
            </w:pPr>
            <w:r>
              <w:rPr>
                <w:b/>
                <w:spacing w:val="-10"/>
                <w:sz w:val="18"/>
              </w:rPr>
              <w:t>†</w:t>
            </w:r>
          </w:p>
        </w:tc>
        <w:tc>
          <w:tcPr>
            <w:tcW w:w="2661" w:type="dxa"/>
          </w:tcPr>
          <w:p w:rsidR="003F5784" w14:paraId="63B697AA" w14:textId="77777777">
            <w:pPr>
              <w:pStyle w:val="TableParagraph"/>
              <w:spacing w:before="19"/>
              <w:ind w:right="508"/>
              <w:rPr>
                <w:b/>
                <w:sz w:val="21"/>
              </w:rPr>
            </w:pPr>
            <w:r>
              <w:rPr>
                <w:b/>
                <w:spacing w:val="-5"/>
                <w:sz w:val="21"/>
              </w:rPr>
              <w:t>64</w:t>
            </w:r>
          </w:p>
        </w:tc>
        <w:tc>
          <w:tcPr>
            <w:tcW w:w="2148" w:type="dxa"/>
          </w:tcPr>
          <w:p w:rsidR="003F5784" w14:paraId="6EE53783" w14:textId="77777777">
            <w:pPr>
              <w:pStyle w:val="TableParagraph"/>
              <w:spacing w:before="19"/>
              <w:ind w:right="115"/>
              <w:rPr>
                <w:b/>
                <w:sz w:val="21"/>
              </w:rPr>
            </w:pPr>
            <w:r>
              <w:rPr>
                <w:b/>
                <w:spacing w:val="-2"/>
                <w:sz w:val="21"/>
              </w:rPr>
              <w:t>5,149,811</w:t>
            </w:r>
          </w:p>
        </w:tc>
      </w:tr>
      <w:tr w14:paraId="14D40EF0" w14:textId="77777777">
        <w:tblPrEx>
          <w:tblW w:w="0" w:type="auto"/>
          <w:tblInd w:w="482" w:type="dxa"/>
          <w:tblLayout w:type="fixed"/>
          <w:tblCellMar>
            <w:left w:w="0" w:type="dxa"/>
            <w:right w:w="0" w:type="dxa"/>
          </w:tblCellMar>
          <w:tblLook w:val="01E0"/>
        </w:tblPrEx>
        <w:trPr>
          <w:trHeight w:val="286"/>
        </w:trPr>
        <w:tc>
          <w:tcPr>
            <w:tcW w:w="5851" w:type="dxa"/>
          </w:tcPr>
          <w:p w:rsidR="003F5784" w14:paraId="1F0F5112" w14:textId="77777777">
            <w:pPr>
              <w:pStyle w:val="TableParagraph"/>
              <w:ind w:left="224"/>
              <w:jc w:val="left"/>
              <w:rPr>
                <w:sz w:val="21"/>
              </w:rPr>
            </w:pPr>
            <w:r>
              <w:rPr>
                <w:spacing w:val="-2"/>
                <w:sz w:val="21"/>
              </w:rPr>
              <w:t>Chicago-Joliet-Naperville</w:t>
            </w:r>
          </w:p>
        </w:tc>
        <w:tc>
          <w:tcPr>
            <w:tcW w:w="3322" w:type="dxa"/>
          </w:tcPr>
          <w:p w:rsidR="003F5784" w14:paraId="29A5D497" w14:textId="77777777">
            <w:pPr>
              <w:pStyle w:val="TableParagraph"/>
              <w:ind w:right="491"/>
              <w:rPr>
                <w:sz w:val="21"/>
              </w:rPr>
            </w:pPr>
            <w:r>
              <w:rPr>
                <w:spacing w:val="-2"/>
                <w:sz w:val="21"/>
              </w:rPr>
              <w:t>IL-IN-</w:t>
            </w:r>
            <w:r>
              <w:rPr>
                <w:spacing w:val="-5"/>
                <w:sz w:val="21"/>
              </w:rPr>
              <w:t>WI</w:t>
            </w:r>
          </w:p>
        </w:tc>
        <w:tc>
          <w:tcPr>
            <w:tcW w:w="2661" w:type="dxa"/>
          </w:tcPr>
          <w:p w:rsidR="003F5784" w14:paraId="59D96F68" w14:textId="77777777">
            <w:pPr>
              <w:pStyle w:val="TableParagraph"/>
              <w:ind w:right="508"/>
              <w:rPr>
                <w:sz w:val="21"/>
              </w:rPr>
            </w:pPr>
            <w:r>
              <w:rPr>
                <w:spacing w:val="-5"/>
                <w:sz w:val="21"/>
              </w:rPr>
              <w:t>14</w:t>
            </w:r>
          </w:p>
        </w:tc>
        <w:tc>
          <w:tcPr>
            <w:tcW w:w="2148" w:type="dxa"/>
          </w:tcPr>
          <w:p w:rsidR="003F5784" w14:paraId="0593DEB9" w14:textId="77777777">
            <w:pPr>
              <w:pStyle w:val="TableParagraph"/>
              <w:ind w:right="115"/>
              <w:rPr>
                <w:sz w:val="21"/>
              </w:rPr>
            </w:pPr>
            <w:r>
              <w:rPr>
                <w:spacing w:val="-2"/>
                <w:sz w:val="21"/>
              </w:rPr>
              <w:t>2,192,226</w:t>
            </w:r>
          </w:p>
        </w:tc>
      </w:tr>
      <w:tr w14:paraId="6162B3B1" w14:textId="77777777">
        <w:tblPrEx>
          <w:tblW w:w="0" w:type="auto"/>
          <w:tblInd w:w="482" w:type="dxa"/>
          <w:tblLayout w:type="fixed"/>
          <w:tblCellMar>
            <w:left w:w="0" w:type="dxa"/>
            <w:right w:w="0" w:type="dxa"/>
          </w:tblCellMar>
          <w:tblLook w:val="01E0"/>
        </w:tblPrEx>
        <w:trPr>
          <w:trHeight w:val="286"/>
        </w:trPr>
        <w:tc>
          <w:tcPr>
            <w:tcW w:w="5851" w:type="dxa"/>
          </w:tcPr>
          <w:p w:rsidR="003F5784" w14:paraId="264DDBB7" w14:textId="77777777">
            <w:pPr>
              <w:pStyle w:val="TableParagraph"/>
              <w:ind w:left="224"/>
              <w:jc w:val="left"/>
              <w:rPr>
                <w:sz w:val="21"/>
              </w:rPr>
            </w:pPr>
            <w:r>
              <w:rPr>
                <w:spacing w:val="-4"/>
                <w:sz w:val="21"/>
              </w:rPr>
              <w:t>Detroit-Warren-Livonia</w:t>
            </w:r>
          </w:p>
        </w:tc>
        <w:tc>
          <w:tcPr>
            <w:tcW w:w="3322" w:type="dxa"/>
          </w:tcPr>
          <w:p w:rsidR="003F5784" w14:paraId="13F2BCBF" w14:textId="77777777">
            <w:pPr>
              <w:pStyle w:val="TableParagraph"/>
              <w:ind w:right="491"/>
              <w:rPr>
                <w:sz w:val="21"/>
              </w:rPr>
            </w:pPr>
            <w:r>
              <w:rPr>
                <w:spacing w:val="-5"/>
                <w:sz w:val="21"/>
              </w:rPr>
              <w:t>MI</w:t>
            </w:r>
          </w:p>
        </w:tc>
        <w:tc>
          <w:tcPr>
            <w:tcW w:w="2661" w:type="dxa"/>
          </w:tcPr>
          <w:p w:rsidR="003F5784" w14:paraId="623FA6E1" w14:textId="77777777">
            <w:pPr>
              <w:pStyle w:val="TableParagraph"/>
              <w:ind w:right="508"/>
              <w:rPr>
                <w:sz w:val="21"/>
              </w:rPr>
            </w:pPr>
            <w:r>
              <w:rPr>
                <w:spacing w:val="-10"/>
                <w:sz w:val="21"/>
              </w:rPr>
              <w:t>6</w:t>
            </w:r>
          </w:p>
        </w:tc>
        <w:tc>
          <w:tcPr>
            <w:tcW w:w="2148" w:type="dxa"/>
          </w:tcPr>
          <w:p w:rsidR="003F5784" w14:paraId="3EF1E81F" w14:textId="77777777">
            <w:pPr>
              <w:pStyle w:val="TableParagraph"/>
              <w:ind w:right="115"/>
              <w:rPr>
                <w:sz w:val="21"/>
              </w:rPr>
            </w:pPr>
            <w:r>
              <w:rPr>
                <w:spacing w:val="-2"/>
                <w:sz w:val="21"/>
              </w:rPr>
              <w:t>960,673</w:t>
            </w:r>
          </w:p>
        </w:tc>
      </w:tr>
      <w:tr w14:paraId="3E3BAF4F" w14:textId="77777777">
        <w:tblPrEx>
          <w:tblW w:w="0" w:type="auto"/>
          <w:tblInd w:w="482" w:type="dxa"/>
          <w:tblLayout w:type="fixed"/>
          <w:tblCellMar>
            <w:left w:w="0" w:type="dxa"/>
            <w:right w:w="0" w:type="dxa"/>
          </w:tblCellMar>
          <w:tblLook w:val="01E0"/>
        </w:tblPrEx>
        <w:trPr>
          <w:trHeight w:val="286"/>
        </w:trPr>
        <w:tc>
          <w:tcPr>
            <w:tcW w:w="5851" w:type="dxa"/>
          </w:tcPr>
          <w:p w:rsidR="003F5784" w14:paraId="2294839D" w14:textId="77777777">
            <w:pPr>
              <w:pStyle w:val="TableParagraph"/>
              <w:ind w:left="224"/>
              <w:jc w:val="left"/>
              <w:rPr>
                <w:sz w:val="21"/>
              </w:rPr>
            </w:pPr>
            <w:r>
              <w:rPr>
                <w:sz w:val="21"/>
              </w:rPr>
              <w:t>Kansas</w:t>
            </w:r>
            <w:r>
              <w:rPr>
                <w:spacing w:val="-8"/>
                <w:sz w:val="21"/>
              </w:rPr>
              <w:t xml:space="preserve"> </w:t>
            </w:r>
            <w:r>
              <w:rPr>
                <w:spacing w:val="-4"/>
                <w:sz w:val="21"/>
              </w:rPr>
              <w:t>City</w:t>
            </w:r>
          </w:p>
        </w:tc>
        <w:tc>
          <w:tcPr>
            <w:tcW w:w="3322" w:type="dxa"/>
          </w:tcPr>
          <w:p w:rsidR="003F5784" w14:paraId="3689F09B" w14:textId="77777777">
            <w:pPr>
              <w:pStyle w:val="TableParagraph"/>
              <w:ind w:right="490"/>
              <w:rPr>
                <w:sz w:val="21"/>
              </w:rPr>
            </w:pPr>
            <w:r>
              <w:rPr>
                <w:spacing w:val="-2"/>
                <w:sz w:val="21"/>
              </w:rPr>
              <w:t>MO-</w:t>
            </w:r>
            <w:r>
              <w:rPr>
                <w:spacing w:val="-7"/>
                <w:sz w:val="21"/>
              </w:rPr>
              <w:t>KS</w:t>
            </w:r>
          </w:p>
        </w:tc>
        <w:tc>
          <w:tcPr>
            <w:tcW w:w="2661" w:type="dxa"/>
          </w:tcPr>
          <w:p w:rsidR="003F5784" w14:paraId="64E04A97" w14:textId="77777777">
            <w:pPr>
              <w:pStyle w:val="TableParagraph"/>
              <w:ind w:right="508"/>
              <w:rPr>
                <w:sz w:val="21"/>
              </w:rPr>
            </w:pPr>
            <w:r>
              <w:rPr>
                <w:spacing w:val="-5"/>
                <w:sz w:val="21"/>
              </w:rPr>
              <w:t>15</w:t>
            </w:r>
          </w:p>
        </w:tc>
        <w:tc>
          <w:tcPr>
            <w:tcW w:w="2148" w:type="dxa"/>
          </w:tcPr>
          <w:p w:rsidR="003F5784" w14:paraId="0B9A6C5C" w14:textId="77777777">
            <w:pPr>
              <w:pStyle w:val="TableParagraph"/>
              <w:ind w:right="115"/>
              <w:rPr>
                <w:sz w:val="21"/>
              </w:rPr>
            </w:pPr>
            <w:r>
              <w:rPr>
                <w:spacing w:val="-2"/>
                <w:sz w:val="21"/>
              </w:rPr>
              <w:t>526,178</w:t>
            </w:r>
          </w:p>
        </w:tc>
      </w:tr>
      <w:tr w14:paraId="35A195E9" w14:textId="77777777">
        <w:tblPrEx>
          <w:tblW w:w="0" w:type="auto"/>
          <w:tblInd w:w="482" w:type="dxa"/>
          <w:tblLayout w:type="fixed"/>
          <w:tblCellMar>
            <w:left w:w="0" w:type="dxa"/>
            <w:right w:w="0" w:type="dxa"/>
          </w:tblCellMar>
          <w:tblLook w:val="01E0"/>
        </w:tblPrEx>
        <w:trPr>
          <w:trHeight w:val="286"/>
        </w:trPr>
        <w:tc>
          <w:tcPr>
            <w:tcW w:w="5851" w:type="dxa"/>
          </w:tcPr>
          <w:p w:rsidR="003F5784" w14:paraId="12C131C9" w14:textId="77777777">
            <w:pPr>
              <w:pStyle w:val="TableParagraph"/>
              <w:ind w:left="224"/>
              <w:jc w:val="left"/>
              <w:rPr>
                <w:sz w:val="21"/>
              </w:rPr>
            </w:pPr>
            <w:r>
              <w:rPr>
                <w:spacing w:val="-2"/>
                <w:sz w:val="21"/>
              </w:rPr>
              <w:t>Minneapolis-St.</w:t>
            </w:r>
            <w:r>
              <w:rPr>
                <w:spacing w:val="21"/>
                <w:sz w:val="21"/>
              </w:rPr>
              <w:t xml:space="preserve"> </w:t>
            </w:r>
            <w:r>
              <w:rPr>
                <w:spacing w:val="-2"/>
                <w:sz w:val="21"/>
              </w:rPr>
              <w:t>Paul-Bloomington</w:t>
            </w:r>
          </w:p>
        </w:tc>
        <w:tc>
          <w:tcPr>
            <w:tcW w:w="3322" w:type="dxa"/>
          </w:tcPr>
          <w:p w:rsidR="003F5784" w14:paraId="189F9575" w14:textId="77777777">
            <w:pPr>
              <w:pStyle w:val="TableParagraph"/>
              <w:ind w:right="491"/>
              <w:rPr>
                <w:sz w:val="21"/>
              </w:rPr>
            </w:pPr>
            <w:r>
              <w:rPr>
                <w:spacing w:val="-2"/>
                <w:sz w:val="21"/>
              </w:rPr>
              <w:t>MN-</w:t>
            </w:r>
            <w:r>
              <w:rPr>
                <w:spacing w:val="-7"/>
                <w:sz w:val="21"/>
              </w:rPr>
              <w:t>WI</w:t>
            </w:r>
          </w:p>
        </w:tc>
        <w:tc>
          <w:tcPr>
            <w:tcW w:w="2661" w:type="dxa"/>
          </w:tcPr>
          <w:p w:rsidR="003F5784" w14:paraId="3D356E24" w14:textId="77777777">
            <w:pPr>
              <w:pStyle w:val="TableParagraph"/>
              <w:ind w:right="508"/>
              <w:rPr>
                <w:sz w:val="21"/>
              </w:rPr>
            </w:pPr>
            <w:r>
              <w:rPr>
                <w:spacing w:val="-5"/>
                <w:sz w:val="21"/>
              </w:rPr>
              <w:t>13</w:t>
            </w:r>
          </w:p>
        </w:tc>
        <w:tc>
          <w:tcPr>
            <w:tcW w:w="2148" w:type="dxa"/>
          </w:tcPr>
          <w:p w:rsidR="003F5784" w14:paraId="45CF1D3D" w14:textId="77777777">
            <w:pPr>
              <w:pStyle w:val="TableParagraph"/>
              <w:ind w:right="115"/>
              <w:rPr>
                <w:sz w:val="21"/>
              </w:rPr>
            </w:pPr>
            <w:r>
              <w:rPr>
                <w:spacing w:val="-2"/>
                <w:sz w:val="21"/>
              </w:rPr>
              <w:t>838,824</w:t>
            </w:r>
          </w:p>
        </w:tc>
      </w:tr>
      <w:tr w14:paraId="2C87F263" w14:textId="77777777">
        <w:tblPrEx>
          <w:tblW w:w="0" w:type="auto"/>
          <w:tblInd w:w="482" w:type="dxa"/>
          <w:tblLayout w:type="fixed"/>
          <w:tblCellMar>
            <w:left w:w="0" w:type="dxa"/>
            <w:right w:w="0" w:type="dxa"/>
          </w:tblCellMar>
          <w:tblLook w:val="01E0"/>
        </w:tblPrEx>
        <w:trPr>
          <w:trHeight w:val="285"/>
        </w:trPr>
        <w:tc>
          <w:tcPr>
            <w:tcW w:w="5851" w:type="dxa"/>
          </w:tcPr>
          <w:p w:rsidR="003F5784" w14:paraId="1300E2F0" w14:textId="77777777">
            <w:pPr>
              <w:pStyle w:val="TableParagraph"/>
              <w:ind w:left="224"/>
              <w:jc w:val="left"/>
              <w:rPr>
                <w:sz w:val="21"/>
              </w:rPr>
            </w:pPr>
            <w:r>
              <w:rPr>
                <w:sz w:val="21"/>
              </w:rPr>
              <w:t>St.</w:t>
            </w:r>
            <w:r>
              <w:rPr>
                <w:spacing w:val="-4"/>
                <w:sz w:val="21"/>
              </w:rPr>
              <w:t xml:space="preserve"> </w:t>
            </w:r>
            <w:r>
              <w:rPr>
                <w:spacing w:val="-2"/>
                <w:sz w:val="21"/>
              </w:rPr>
              <w:t>Louis</w:t>
            </w:r>
          </w:p>
        </w:tc>
        <w:tc>
          <w:tcPr>
            <w:tcW w:w="3322" w:type="dxa"/>
          </w:tcPr>
          <w:p w:rsidR="003F5784" w14:paraId="240EDC1E" w14:textId="77777777">
            <w:pPr>
              <w:pStyle w:val="TableParagraph"/>
              <w:ind w:right="491"/>
              <w:rPr>
                <w:sz w:val="21"/>
              </w:rPr>
            </w:pPr>
            <w:r>
              <w:rPr>
                <w:spacing w:val="-2"/>
                <w:sz w:val="21"/>
              </w:rPr>
              <w:t>MO-</w:t>
            </w:r>
            <w:r>
              <w:rPr>
                <w:spacing w:val="-5"/>
                <w:sz w:val="21"/>
              </w:rPr>
              <w:t>IL</w:t>
            </w:r>
          </w:p>
        </w:tc>
        <w:tc>
          <w:tcPr>
            <w:tcW w:w="2661" w:type="dxa"/>
          </w:tcPr>
          <w:p w:rsidR="003F5784" w14:paraId="691F36F3" w14:textId="77777777">
            <w:pPr>
              <w:pStyle w:val="TableParagraph"/>
              <w:ind w:right="508"/>
              <w:rPr>
                <w:sz w:val="21"/>
              </w:rPr>
            </w:pPr>
            <w:r>
              <w:rPr>
                <w:spacing w:val="-5"/>
                <w:sz w:val="21"/>
              </w:rPr>
              <w:t>16</w:t>
            </w:r>
          </w:p>
        </w:tc>
        <w:tc>
          <w:tcPr>
            <w:tcW w:w="2148" w:type="dxa"/>
          </w:tcPr>
          <w:p w:rsidR="003F5784" w14:paraId="6D8BF020" w14:textId="77777777">
            <w:pPr>
              <w:pStyle w:val="TableParagraph"/>
              <w:ind w:right="115"/>
              <w:rPr>
                <w:sz w:val="21"/>
              </w:rPr>
            </w:pPr>
            <w:r>
              <w:rPr>
                <w:spacing w:val="-2"/>
                <w:sz w:val="21"/>
              </w:rPr>
              <w:t>631,910</w:t>
            </w:r>
          </w:p>
        </w:tc>
      </w:tr>
      <w:tr w14:paraId="5696914C" w14:textId="77777777">
        <w:tblPrEx>
          <w:tblW w:w="0" w:type="auto"/>
          <w:tblInd w:w="482" w:type="dxa"/>
          <w:tblLayout w:type="fixed"/>
          <w:tblCellMar>
            <w:left w:w="0" w:type="dxa"/>
            <w:right w:w="0" w:type="dxa"/>
          </w:tblCellMar>
          <w:tblLook w:val="01E0"/>
        </w:tblPrEx>
        <w:trPr>
          <w:trHeight w:val="288"/>
        </w:trPr>
        <w:tc>
          <w:tcPr>
            <w:tcW w:w="5851" w:type="dxa"/>
          </w:tcPr>
          <w:p w:rsidR="003F5784" w14:paraId="766A960E" w14:textId="77777777">
            <w:pPr>
              <w:pStyle w:val="TableParagraph"/>
              <w:spacing w:before="19"/>
              <w:ind w:left="120"/>
              <w:jc w:val="left"/>
              <w:rPr>
                <w:b/>
                <w:sz w:val="21"/>
              </w:rPr>
            </w:pPr>
            <w:r>
              <w:rPr>
                <w:b/>
                <w:spacing w:val="-2"/>
                <w:sz w:val="21"/>
              </w:rPr>
              <w:t>South</w:t>
            </w:r>
          </w:p>
        </w:tc>
        <w:tc>
          <w:tcPr>
            <w:tcW w:w="3322" w:type="dxa"/>
          </w:tcPr>
          <w:p w:rsidR="003F5784" w14:paraId="720B8BF9" w14:textId="77777777">
            <w:pPr>
              <w:pStyle w:val="TableParagraph"/>
              <w:spacing w:before="21"/>
              <w:ind w:right="490"/>
              <w:rPr>
                <w:b/>
                <w:sz w:val="18"/>
              </w:rPr>
            </w:pPr>
            <w:r>
              <w:rPr>
                <w:b/>
                <w:spacing w:val="-10"/>
                <w:sz w:val="18"/>
              </w:rPr>
              <w:t>†</w:t>
            </w:r>
          </w:p>
        </w:tc>
        <w:tc>
          <w:tcPr>
            <w:tcW w:w="2661" w:type="dxa"/>
          </w:tcPr>
          <w:p w:rsidR="003F5784" w14:paraId="4005B715" w14:textId="77777777">
            <w:pPr>
              <w:pStyle w:val="TableParagraph"/>
              <w:spacing w:before="19"/>
              <w:ind w:right="508"/>
              <w:rPr>
                <w:b/>
                <w:sz w:val="21"/>
              </w:rPr>
            </w:pPr>
            <w:r>
              <w:rPr>
                <w:b/>
                <w:spacing w:val="-5"/>
                <w:sz w:val="21"/>
              </w:rPr>
              <w:t>98</w:t>
            </w:r>
          </w:p>
        </w:tc>
        <w:tc>
          <w:tcPr>
            <w:tcW w:w="2148" w:type="dxa"/>
          </w:tcPr>
          <w:p w:rsidR="003F5784" w14:paraId="364D8290" w14:textId="77777777">
            <w:pPr>
              <w:pStyle w:val="TableParagraph"/>
              <w:spacing w:before="19"/>
              <w:ind w:right="115"/>
              <w:rPr>
                <w:b/>
                <w:sz w:val="21"/>
              </w:rPr>
            </w:pPr>
            <w:r>
              <w:rPr>
                <w:b/>
                <w:spacing w:val="-2"/>
                <w:sz w:val="21"/>
              </w:rPr>
              <w:t>10,318,929</w:t>
            </w:r>
          </w:p>
        </w:tc>
      </w:tr>
      <w:tr w14:paraId="19FE8EA6" w14:textId="77777777">
        <w:tblPrEx>
          <w:tblW w:w="0" w:type="auto"/>
          <w:tblInd w:w="482" w:type="dxa"/>
          <w:tblLayout w:type="fixed"/>
          <w:tblCellMar>
            <w:left w:w="0" w:type="dxa"/>
            <w:right w:w="0" w:type="dxa"/>
          </w:tblCellMar>
          <w:tblLook w:val="01E0"/>
        </w:tblPrEx>
        <w:trPr>
          <w:trHeight w:val="286"/>
        </w:trPr>
        <w:tc>
          <w:tcPr>
            <w:tcW w:w="5851" w:type="dxa"/>
          </w:tcPr>
          <w:p w:rsidR="003F5784" w14:paraId="6950F948" w14:textId="77777777">
            <w:pPr>
              <w:pStyle w:val="TableParagraph"/>
              <w:ind w:left="213"/>
              <w:jc w:val="left"/>
              <w:rPr>
                <w:sz w:val="21"/>
              </w:rPr>
            </w:pPr>
            <w:r>
              <w:rPr>
                <w:spacing w:val="-2"/>
                <w:sz w:val="21"/>
              </w:rPr>
              <w:t>Atlanta-Sandy</w:t>
            </w:r>
            <w:r>
              <w:rPr>
                <w:spacing w:val="21"/>
                <w:sz w:val="21"/>
              </w:rPr>
              <w:t xml:space="preserve"> </w:t>
            </w:r>
            <w:r>
              <w:rPr>
                <w:spacing w:val="-2"/>
                <w:sz w:val="21"/>
              </w:rPr>
              <w:t>Springs-Marietta</w:t>
            </w:r>
          </w:p>
        </w:tc>
        <w:tc>
          <w:tcPr>
            <w:tcW w:w="3322" w:type="dxa"/>
          </w:tcPr>
          <w:p w:rsidR="003F5784" w14:paraId="627835D7" w14:textId="77777777">
            <w:pPr>
              <w:pStyle w:val="TableParagraph"/>
              <w:ind w:right="490"/>
              <w:rPr>
                <w:sz w:val="21"/>
              </w:rPr>
            </w:pPr>
            <w:r>
              <w:rPr>
                <w:spacing w:val="-5"/>
                <w:sz w:val="21"/>
              </w:rPr>
              <w:t>GA</w:t>
            </w:r>
          </w:p>
        </w:tc>
        <w:tc>
          <w:tcPr>
            <w:tcW w:w="2661" w:type="dxa"/>
          </w:tcPr>
          <w:p w:rsidR="003F5784" w14:paraId="38B66E85" w14:textId="77777777">
            <w:pPr>
              <w:pStyle w:val="TableParagraph"/>
              <w:ind w:right="508"/>
              <w:rPr>
                <w:sz w:val="21"/>
              </w:rPr>
            </w:pPr>
            <w:r>
              <w:rPr>
                <w:spacing w:val="-5"/>
                <w:sz w:val="21"/>
              </w:rPr>
              <w:t>28</w:t>
            </w:r>
          </w:p>
        </w:tc>
        <w:tc>
          <w:tcPr>
            <w:tcW w:w="2148" w:type="dxa"/>
          </w:tcPr>
          <w:p w:rsidR="003F5784" w14:paraId="49BAAFFE" w14:textId="77777777">
            <w:pPr>
              <w:pStyle w:val="TableParagraph"/>
              <w:ind w:right="115"/>
              <w:rPr>
                <w:sz w:val="21"/>
              </w:rPr>
            </w:pPr>
            <w:r>
              <w:rPr>
                <w:spacing w:val="-2"/>
                <w:sz w:val="21"/>
              </w:rPr>
              <w:t>1,451,162</w:t>
            </w:r>
          </w:p>
        </w:tc>
      </w:tr>
      <w:tr w14:paraId="66063CF5" w14:textId="77777777">
        <w:tblPrEx>
          <w:tblW w:w="0" w:type="auto"/>
          <w:tblInd w:w="482" w:type="dxa"/>
          <w:tblLayout w:type="fixed"/>
          <w:tblCellMar>
            <w:left w:w="0" w:type="dxa"/>
            <w:right w:w="0" w:type="dxa"/>
          </w:tblCellMar>
          <w:tblLook w:val="01E0"/>
        </w:tblPrEx>
        <w:trPr>
          <w:trHeight w:val="286"/>
        </w:trPr>
        <w:tc>
          <w:tcPr>
            <w:tcW w:w="5851" w:type="dxa"/>
          </w:tcPr>
          <w:p w:rsidR="003F5784" w14:paraId="55B334F2" w14:textId="77777777">
            <w:pPr>
              <w:pStyle w:val="TableParagraph"/>
              <w:ind w:left="224"/>
              <w:jc w:val="left"/>
              <w:rPr>
                <w:sz w:val="21"/>
              </w:rPr>
            </w:pPr>
            <w:r>
              <w:rPr>
                <w:spacing w:val="-2"/>
                <w:sz w:val="21"/>
              </w:rPr>
              <w:t>Baltimore-Towson</w:t>
            </w:r>
          </w:p>
        </w:tc>
        <w:tc>
          <w:tcPr>
            <w:tcW w:w="3322" w:type="dxa"/>
          </w:tcPr>
          <w:p w:rsidR="003F5784" w14:paraId="5702FC0F" w14:textId="77777777">
            <w:pPr>
              <w:pStyle w:val="TableParagraph"/>
              <w:ind w:right="490"/>
              <w:rPr>
                <w:sz w:val="21"/>
              </w:rPr>
            </w:pPr>
            <w:r>
              <w:rPr>
                <w:spacing w:val="-5"/>
                <w:sz w:val="21"/>
              </w:rPr>
              <w:t>MD</w:t>
            </w:r>
          </w:p>
        </w:tc>
        <w:tc>
          <w:tcPr>
            <w:tcW w:w="2661" w:type="dxa"/>
          </w:tcPr>
          <w:p w:rsidR="003F5784" w14:paraId="288CA49E" w14:textId="77777777">
            <w:pPr>
              <w:pStyle w:val="TableParagraph"/>
              <w:ind w:right="508"/>
              <w:rPr>
                <w:sz w:val="21"/>
              </w:rPr>
            </w:pPr>
            <w:r>
              <w:rPr>
                <w:spacing w:val="-10"/>
                <w:sz w:val="21"/>
              </w:rPr>
              <w:t>7</w:t>
            </w:r>
          </w:p>
        </w:tc>
        <w:tc>
          <w:tcPr>
            <w:tcW w:w="2148" w:type="dxa"/>
          </w:tcPr>
          <w:p w:rsidR="003F5784" w14:paraId="3693FAB8" w14:textId="77777777">
            <w:pPr>
              <w:pStyle w:val="TableParagraph"/>
              <w:ind w:right="115"/>
              <w:rPr>
                <w:sz w:val="21"/>
              </w:rPr>
            </w:pPr>
            <w:r>
              <w:rPr>
                <w:spacing w:val="-2"/>
                <w:sz w:val="21"/>
              </w:rPr>
              <w:t>616,336</w:t>
            </w:r>
          </w:p>
        </w:tc>
      </w:tr>
      <w:tr w14:paraId="6FEE7E2A" w14:textId="77777777">
        <w:tblPrEx>
          <w:tblW w:w="0" w:type="auto"/>
          <w:tblInd w:w="482" w:type="dxa"/>
          <w:tblLayout w:type="fixed"/>
          <w:tblCellMar>
            <w:left w:w="0" w:type="dxa"/>
            <w:right w:w="0" w:type="dxa"/>
          </w:tblCellMar>
          <w:tblLook w:val="01E0"/>
        </w:tblPrEx>
        <w:trPr>
          <w:trHeight w:val="286"/>
        </w:trPr>
        <w:tc>
          <w:tcPr>
            <w:tcW w:w="5851" w:type="dxa"/>
          </w:tcPr>
          <w:p w:rsidR="003F5784" w14:paraId="185D7439" w14:textId="77777777">
            <w:pPr>
              <w:pStyle w:val="TableParagraph"/>
              <w:ind w:left="224"/>
              <w:jc w:val="left"/>
              <w:rPr>
                <w:sz w:val="21"/>
              </w:rPr>
            </w:pPr>
            <w:r>
              <w:rPr>
                <w:spacing w:val="-2"/>
                <w:sz w:val="21"/>
              </w:rPr>
              <w:t>Dallas-Fort</w:t>
            </w:r>
            <w:r>
              <w:rPr>
                <w:spacing w:val="-4"/>
                <w:sz w:val="21"/>
              </w:rPr>
              <w:t xml:space="preserve"> </w:t>
            </w:r>
            <w:r>
              <w:rPr>
                <w:spacing w:val="-2"/>
                <w:sz w:val="21"/>
              </w:rPr>
              <w:t>Worth-Arlington</w:t>
            </w:r>
          </w:p>
        </w:tc>
        <w:tc>
          <w:tcPr>
            <w:tcW w:w="3322" w:type="dxa"/>
          </w:tcPr>
          <w:p w:rsidR="003F5784" w14:paraId="544073CA" w14:textId="77777777">
            <w:pPr>
              <w:pStyle w:val="TableParagraph"/>
              <w:ind w:right="490"/>
              <w:rPr>
                <w:sz w:val="21"/>
              </w:rPr>
            </w:pPr>
            <w:r>
              <w:rPr>
                <w:spacing w:val="-5"/>
                <w:sz w:val="21"/>
              </w:rPr>
              <w:t>TX</w:t>
            </w:r>
          </w:p>
        </w:tc>
        <w:tc>
          <w:tcPr>
            <w:tcW w:w="2661" w:type="dxa"/>
          </w:tcPr>
          <w:p w:rsidR="003F5784" w14:paraId="47A6F85B" w14:textId="77777777">
            <w:pPr>
              <w:pStyle w:val="TableParagraph"/>
              <w:ind w:right="508"/>
              <w:rPr>
                <w:sz w:val="21"/>
              </w:rPr>
            </w:pPr>
            <w:r>
              <w:rPr>
                <w:spacing w:val="-5"/>
                <w:sz w:val="21"/>
              </w:rPr>
              <w:t>12</w:t>
            </w:r>
          </w:p>
        </w:tc>
        <w:tc>
          <w:tcPr>
            <w:tcW w:w="2148" w:type="dxa"/>
          </w:tcPr>
          <w:p w:rsidR="003F5784" w14:paraId="6B928B14" w14:textId="77777777">
            <w:pPr>
              <w:pStyle w:val="TableParagraph"/>
              <w:ind w:right="115"/>
              <w:rPr>
                <w:sz w:val="21"/>
              </w:rPr>
            </w:pPr>
            <w:r>
              <w:rPr>
                <w:spacing w:val="-2"/>
                <w:sz w:val="21"/>
              </w:rPr>
              <w:t>1,926,790</w:t>
            </w:r>
          </w:p>
        </w:tc>
      </w:tr>
      <w:tr w14:paraId="77EB460B" w14:textId="77777777">
        <w:tblPrEx>
          <w:tblW w:w="0" w:type="auto"/>
          <w:tblInd w:w="482" w:type="dxa"/>
          <w:tblLayout w:type="fixed"/>
          <w:tblCellMar>
            <w:left w:w="0" w:type="dxa"/>
            <w:right w:w="0" w:type="dxa"/>
          </w:tblCellMar>
          <w:tblLook w:val="01E0"/>
        </w:tblPrEx>
        <w:trPr>
          <w:trHeight w:val="286"/>
        </w:trPr>
        <w:tc>
          <w:tcPr>
            <w:tcW w:w="5851" w:type="dxa"/>
          </w:tcPr>
          <w:p w:rsidR="003F5784" w14:paraId="2B6B13DC" w14:textId="77777777">
            <w:pPr>
              <w:pStyle w:val="TableParagraph"/>
              <w:ind w:left="224"/>
              <w:jc w:val="left"/>
              <w:rPr>
                <w:sz w:val="21"/>
              </w:rPr>
            </w:pPr>
            <w:r>
              <w:rPr>
                <w:spacing w:val="-2"/>
                <w:sz w:val="21"/>
              </w:rPr>
              <w:t>Houston-Sugar</w:t>
            </w:r>
            <w:r>
              <w:rPr>
                <w:spacing w:val="17"/>
                <w:sz w:val="21"/>
              </w:rPr>
              <w:t xml:space="preserve"> </w:t>
            </w:r>
            <w:r>
              <w:rPr>
                <w:spacing w:val="-2"/>
                <w:sz w:val="21"/>
              </w:rPr>
              <w:t>Land-Baytown</w:t>
            </w:r>
          </w:p>
        </w:tc>
        <w:tc>
          <w:tcPr>
            <w:tcW w:w="3322" w:type="dxa"/>
          </w:tcPr>
          <w:p w:rsidR="003F5784" w14:paraId="45E5A97A" w14:textId="77777777">
            <w:pPr>
              <w:pStyle w:val="TableParagraph"/>
              <w:ind w:right="490"/>
              <w:rPr>
                <w:sz w:val="21"/>
              </w:rPr>
            </w:pPr>
            <w:r>
              <w:rPr>
                <w:spacing w:val="-5"/>
                <w:sz w:val="21"/>
              </w:rPr>
              <w:t>TX</w:t>
            </w:r>
          </w:p>
        </w:tc>
        <w:tc>
          <w:tcPr>
            <w:tcW w:w="2661" w:type="dxa"/>
          </w:tcPr>
          <w:p w:rsidR="003F5784" w14:paraId="16A37CE6" w14:textId="77777777">
            <w:pPr>
              <w:pStyle w:val="TableParagraph"/>
              <w:ind w:right="508"/>
              <w:rPr>
                <w:sz w:val="21"/>
              </w:rPr>
            </w:pPr>
            <w:r>
              <w:rPr>
                <w:spacing w:val="-5"/>
                <w:sz w:val="21"/>
              </w:rPr>
              <w:t>10</w:t>
            </w:r>
          </w:p>
        </w:tc>
        <w:tc>
          <w:tcPr>
            <w:tcW w:w="2148" w:type="dxa"/>
          </w:tcPr>
          <w:p w:rsidR="003F5784" w14:paraId="18FB3349" w14:textId="77777777">
            <w:pPr>
              <w:pStyle w:val="TableParagraph"/>
              <w:ind w:right="115"/>
              <w:rPr>
                <w:sz w:val="21"/>
              </w:rPr>
            </w:pPr>
            <w:r>
              <w:rPr>
                <w:spacing w:val="-2"/>
                <w:sz w:val="21"/>
              </w:rPr>
              <w:t>1,850,453</w:t>
            </w:r>
          </w:p>
        </w:tc>
      </w:tr>
      <w:tr w14:paraId="2978B095" w14:textId="77777777">
        <w:tblPrEx>
          <w:tblW w:w="0" w:type="auto"/>
          <w:tblInd w:w="482" w:type="dxa"/>
          <w:tblLayout w:type="fixed"/>
          <w:tblCellMar>
            <w:left w:w="0" w:type="dxa"/>
            <w:right w:w="0" w:type="dxa"/>
          </w:tblCellMar>
          <w:tblLook w:val="01E0"/>
        </w:tblPrEx>
        <w:trPr>
          <w:trHeight w:val="286"/>
        </w:trPr>
        <w:tc>
          <w:tcPr>
            <w:tcW w:w="5851" w:type="dxa"/>
          </w:tcPr>
          <w:p w:rsidR="003F5784" w14:paraId="17EAFBA0" w14:textId="77777777">
            <w:pPr>
              <w:pStyle w:val="TableParagraph"/>
              <w:ind w:left="224"/>
              <w:jc w:val="left"/>
              <w:rPr>
                <w:sz w:val="21"/>
              </w:rPr>
            </w:pPr>
            <w:r>
              <w:rPr>
                <w:spacing w:val="-2"/>
                <w:sz w:val="21"/>
              </w:rPr>
              <w:t>Miami-Fort</w:t>
            </w:r>
            <w:r>
              <w:rPr>
                <w:spacing w:val="13"/>
                <w:sz w:val="21"/>
              </w:rPr>
              <w:t xml:space="preserve"> </w:t>
            </w:r>
            <w:r>
              <w:rPr>
                <w:spacing w:val="-2"/>
                <w:sz w:val="21"/>
              </w:rPr>
              <w:t>Lauderdale-Pompano</w:t>
            </w:r>
            <w:r>
              <w:rPr>
                <w:spacing w:val="13"/>
                <w:sz w:val="21"/>
              </w:rPr>
              <w:t xml:space="preserve"> </w:t>
            </w:r>
            <w:r>
              <w:rPr>
                <w:spacing w:val="-2"/>
                <w:sz w:val="21"/>
              </w:rPr>
              <w:t>Beach</w:t>
            </w:r>
          </w:p>
        </w:tc>
        <w:tc>
          <w:tcPr>
            <w:tcW w:w="3322" w:type="dxa"/>
          </w:tcPr>
          <w:p w:rsidR="003F5784" w14:paraId="2CC3E4B2" w14:textId="77777777">
            <w:pPr>
              <w:pStyle w:val="TableParagraph"/>
              <w:ind w:right="490"/>
              <w:rPr>
                <w:sz w:val="21"/>
              </w:rPr>
            </w:pPr>
            <w:r>
              <w:rPr>
                <w:spacing w:val="-5"/>
                <w:sz w:val="21"/>
              </w:rPr>
              <w:t>FL</w:t>
            </w:r>
          </w:p>
        </w:tc>
        <w:tc>
          <w:tcPr>
            <w:tcW w:w="2661" w:type="dxa"/>
          </w:tcPr>
          <w:p w:rsidR="003F5784" w14:paraId="722943A6" w14:textId="77777777">
            <w:pPr>
              <w:pStyle w:val="TableParagraph"/>
              <w:ind w:right="508"/>
              <w:rPr>
                <w:sz w:val="21"/>
              </w:rPr>
            </w:pPr>
            <w:r>
              <w:rPr>
                <w:spacing w:val="-10"/>
                <w:sz w:val="21"/>
              </w:rPr>
              <w:t>3</w:t>
            </w:r>
          </w:p>
        </w:tc>
        <w:tc>
          <w:tcPr>
            <w:tcW w:w="2148" w:type="dxa"/>
          </w:tcPr>
          <w:p w:rsidR="003F5784" w14:paraId="34151FFB" w14:textId="77777777">
            <w:pPr>
              <w:pStyle w:val="TableParagraph"/>
              <w:ind w:right="115"/>
              <w:rPr>
                <w:sz w:val="21"/>
              </w:rPr>
            </w:pPr>
            <w:r>
              <w:rPr>
                <w:spacing w:val="-2"/>
                <w:sz w:val="21"/>
              </w:rPr>
              <w:t>1,252,616</w:t>
            </w:r>
          </w:p>
        </w:tc>
      </w:tr>
      <w:tr w14:paraId="3E7BA66C" w14:textId="77777777">
        <w:tblPrEx>
          <w:tblW w:w="0" w:type="auto"/>
          <w:tblInd w:w="482" w:type="dxa"/>
          <w:tblLayout w:type="fixed"/>
          <w:tblCellMar>
            <w:left w:w="0" w:type="dxa"/>
            <w:right w:w="0" w:type="dxa"/>
          </w:tblCellMar>
          <w:tblLook w:val="01E0"/>
        </w:tblPrEx>
        <w:trPr>
          <w:trHeight w:val="286"/>
        </w:trPr>
        <w:tc>
          <w:tcPr>
            <w:tcW w:w="5851" w:type="dxa"/>
          </w:tcPr>
          <w:p w:rsidR="003F5784" w14:paraId="161B1A26" w14:textId="77777777">
            <w:pPr>
              <w:pStyle w:val="TableParagraph"/>
              <w:ind w:left="224"/>
              <w:jc w:val="left"/>
              <w:rPr>
                <w:sz w:val="21"/>
              </w:rPr>
            </w:pPr>
            <w:r>
              <w:rPr>
                <w:spacing w:val="-2"/>
                <w:sz w:val="21"/>
              </w:rPr>
              <w:t>Orlando-Kissimmee-Sanford</w:t>
            </w:r>
          </w:p>
        </w:tc>
        <w:tc>
          <w:tcPr>
            <w:tcW w:w="3322" w:type="dxa"/>
          </w:tcPr>
          <w:p w:rsidR="003F5784" w14:paraId="28C6EB5D" w14:textId="77777777">
            <w:pPr>
              <w:pStyle w:val="TableParagraph"/>
              <w:ind w:right="490"/>
              <w:rPr>
                <w:sz w:val="21"/>
              </w:rPr>
            </w:pPr>
            <w:r>
              <w:rPr>
                <w:spacing w:val="-5"/>
                <w:sz w:val="21"/>
              </w:rPr>
              <w:t>FL</w:t>
            </w:r>
          </w:p>
        </w:tc>
        <w:tc>
          <w:tcPr>
            <w:tcW w:w="2661" w:type="dxa"/>
          </w:tcPr>
          <w:p w:rsidR="003F5784" w14:paraId="7240142A" w14:textId="77777777">
            <w:pPr>
              <w:pStyle w:val="TableParagraph"/>
              <w:ind w:right="508"/>
              <w:rPr>
                <w:sz w:val="21"/>
              </w:rPr>
            </w:pPr>
            <w:r>
              <w:rPr>
                <w:spacing w:val="-10"/>
                <w:sz w:val="21"/>
              </w:rPr>
              <w:t>4</w:t>
            </w:r>
          </w:p>
        </w:tc>
        <w:tc>
          <w:tcPr>
            <w:tcW w:w="2148" w:type="dxa"/>
          </w:tcPr>
          <w:p w:rsidR="003F5784" w14:paraId="1F52971B" w14:textId="77777777">
            <w:pPr>
              <w:pStyle w:val="TableParagraph"/>
              <w:ind w:right="115"/>
              <w:rPr>
                <w:sz w:val="21"/>
              </w:rPr>
            </w:pPr>
            <w:r>
              <w:rPr>
                <w:spacing w:val="-2"/>
                <w:sz w:val="21"/>
              </w:rPr>
              <w:t>553,844</w:t>
            </w:r>
          </w:p>
        </w:tc>
      </w:tr>
      <w:tr w14:paraId="32717D2C" w14:textId="77777777">
        <w:tblPrEx>
          <w:tblW w:w="0" w:type="auto"/>
          <w:tblInd w:w="482" w:type="dxa"/>
          <w:tblLayout w:type="fixed"/>
          <w:tblCellMar>
            <w:left w:w="0" w:type="dxa"/>
            <w:right w:w="0" w:type="dxa"/>
          </w:tblCellMar>
          <w:tblLook w:val="01E0"/>
        </w:tblPrEx>
        <w:trPr>
          <w:trHeight w:val="286"/>
        </w:trPr>
        <w:tc>
          <w:tcPr>
            <w:tcW w:w="5851" w:type="dxa"/>
          </w:tcPr>
          <w:p w:rsidR="003F5784" w14:paraId="28AC5F3E" w14:textId="77777777">
            <w:pPr>
              <w:pStyle w:val="TableParagraph"/>
              <w:ind w:left="224"/>
              <w:jc w:val="left"/>
              <w:rPr>
                <w:sz w:val="21"/>
              </w:rPr>
            </w:pPr>
            <w:r>
              <w:rPr>
                <w:spacing w:val="-2"/>
                <w:sz w:val="21"/>
              </w:rPr>
              <w:t>San</w:t>
            </w:r>
            <w:r>
              <w:rPr>
                <w:spacing w:val="-7"/>
                <w:sz w:val="21"/>
              </w:rPr>
              <w:t xml:space="preserve"> </w:t>
            </w:r>
            <w:r>
              <w:rPr>
                <w:spacing w:val="-2"/>
                <w:sz w:val="21"/>
              </w:rPr>
              <w:t>Antonio-New</w:t>
            </w:r>
            <w:r>
              <w:rPr>
                <w:spacing w:val="7"/>
                <w:sz w:val="21"/>
              </w:rPr>
              <w:t xml:space="preserve"> </w:t>
            </w:r>
            <w:r>
              <w:rPr>
                <w:spacing w:val="-2"/>
                <w:sz w:val="21"/>
              </w:rPr>
              <w:t>Braunfels</w:t>
            </w:r>
          </w:p>
        </w:tc>
        <w:tc>
          <w:tcPr>
            <w:tcW w:w="3322" w:type="dxa"/>
          </w:tcPr>
          <w:p w:rsidR="003F5784" w14:paraId="77CE9779" w14:textId="77777777">
            <w:pPr>
              <w:pStyle w:val="TableParagraph"/>
              <w:ind w:right="490"/>
              <w:rPr>
                <w:sz w:val="21"/>
              </w:rPr>
            </w:pPr>
            <w:r>
              <w:rPr>
                <w:spacing w:val="-5"/>
                <w:sz w:val="21"/>
              </w:rPr>
              <w:t>TX</w:t>
            </w:r>
          </w:p>
        </w:tc>
        <w:tc>
          <w:tcPr>
            <w:tcW w:w="2661" w:type="dxa"/>
          </w:tcPr>
          <w:p w:rsidR="003F5784" w14:paraId="4B9607E0" w14:textId="77777777">
            <w:pPr>
              <w:pStyle w:val="TableParagraph"/>
              <w:ind w:right="508"/>
              <w:rPr>
                <w:sz w:val="21"/>
              </w:rPr>
            </w:pPr>
            <w:r>
              <w:rPr>
                <w:spacing w:val="-10"/>
                <w:sz w:val="21"/>
              </w:rPr>
              <w:t>8</w:t>
            </w:r>
          </w:p>
        </w:tc>
        <w:tc>
          <w:tcPr>
            <w:tcW w:w="2148" w:type="dxa"/>
          </w:tcPr>
          <w:p w:rsidR="003F5784" w14:paraId="55B8ED39" w14:textId="77777777">
            <w:pPr>
              <w:pStyle w:val="TableParagraph"/>
              <w:ind w:right="115"/>
              <w:rPr>
                <w:sz w:val="21"/>
              </w:rPr>
            </w:pPr>
            <w:r>
              <w:rPr>
                <w:spacing w:val="-2"/>
                <w:sz w:val="21"/>
              </w:rPr>
              <w:t>629,757</w:t>
            </w:r>
          </w:p>
        </w:tc>
      </w:tr>
      <w:tr w14:paraId="5FCB9107" w14:textId="77777777">
        <w:tblPrEx>
          <w:tblW w:w="0" w:type="auto"/>
          <w:tblInd w:w="482" w:type="dxa"/>
          <w:tblLayout w:type="fixed"/>
          <w:tblCellMar>
            <w:left w:w="0" w:type="dxa"/>
            <w:right w:w="0" w:type="dxa"/>
          </w:tblCellMar>
          <w:tblLook w:val="01E0"/>
        </w:tblPrEx>
        <w:trPr>
          <w:trHeight w:val="286"/>
        </w:trPr>
        <w:tc>
          <w:tcPr>
            <w:tcW w:w="5851" w:type="dxa"/>
          </w:tcPr>
          <w:p w:rsidR="003F5784" w14:paraId="46DBD62E" w14:textId="77777777">
            <w:pPr>
              <w:pStyle w:val="TableParagraph"/>
              <w:ind w:left="220"/>
              <w:jc w:val="left"/>
              <w:rPr>
                <w:sz w:val="21"/>
              </w:rPr>
            </w:pPr>
            <w:r>
              <w:rPr>
                <w:spacing w:val="-2"/>
                <w:sz w:val="21"/>
              </w:rPr>
              <w:t>Tampa-St.</w:t>
            </w:r>
            <w:r>
              <w:rPr>
                <w:spacing w:val="1"/>
                <w:sz w:val="21"/>
              </w:rPr>
              <w:t xml:space="preserve"> </w:t>
            </w:r>
            <w:r>
              <w:rPr>
                <w:spacing w:val="-2"/>
                <w:sz w:val="21"/>
              </w:rPr>
              <w:t>Petersburg-Clearwater</w:t>
            </w:r>
          </w:p>
        </w:tc>
        <w:tc>
          <w:tcPr>
            <w:tcW w:w="3322" w:type="dxa"/>
          </w:tcPr>
          <w:p w:rsidR="003F5784" w14:paraId="7AB46A57" w14:textId="77777777">
            <w:pPr>
              <w:pStyle w:val="TableParagraph"/>
              <w:ind w:right="490"/>
              <w:rPr>
                <w:sz w:val="21"/>
              </w:rPr>
            </w:pPr>
            <w:r>
              <w:rPr>
                <w:spacing w:val="-5"/>
                <w:sz w:val="21"/>
              </w:rPr>
              <w:t>FL</w:t>
            </w:r>
          </w:p>
        </w:tc>
        <w:tc>
          <w:tcPr>
            <w:tcW w:w="2661" w:type="dxa"/>
          </w:tcPr>
          <w:p w:rsidR="003F5784" w14:paraId="76607E51" w14:textId="77777777">
            <w:pPr>
              <w:pStyle w:val="TableParagraph"/>
              <w:ind w:right="508"/>
              <w:rPr>
                <w:sz w:val="21"/>
              </w:rPr>
            </w:pPr>
            <w:r>
              <w:rPr>
                <w:spacing w:val="-10"/>
                <w:sz w:val="21"/>
              </w:rPr>
              <w:t>4</w:t>
            </w:r>
          </w:p>
        </w:tc>
        <w:tc>
          <w:tcPr>
            <w:tcW w:w="2148" w:type="dxa"/>
          </w:tcPr>
          <w:p w:rsidR="003F5784" w14:paraId="6EDAED39" w14:textId="77777777">
            <w:pPr>
              <w:pStyle w:val="TableParagraph"/>
              <w:ind w:right="115"/>
              <w:rPr>
                <w:sz w:val="21"/>
              </w:rPr>
            </w:pPr>
            <w:r>
              <w:rPr>
                <w:spacing w:val="-2"/>
                <w:sz w:val="21"/>
              </w:rPr>
              <w:t>623,162</w:t>
            </w:r>
          </w:p>
        </w:tc>
      </w:tr>
      <w:tr w14:paraId="6C96CAA8" w14:textId="77777777">
        <w:tblPrEx>
          <w:tblW w:w="0" w:type="auto"/>
          <w:tblInd w:w="482" w:type="dxa"/>
          <w:tblLayout w:type="fixed"/>
          <w:tblCellMar>
            <w:left w:w="0" w:type="dxa"/>
            <w:right w:w="0" w:type="dxa"/>
          </w:tblCellMar>
          <w:tblLook w:val="01E0"/>
        </w:tblPrEx>
        <w:trPr>
          <w:trHeight w:val="285"/>
        </w:trPr>
        <w:tc>
          <w:tcPr>
            <w:tcW w:w="5851" w:type="dxa"/>
          </w:tcPr>
          <w:p w:rsidR="003F5784" w14:paraId="1F8793FC" w14:textId="77777777">
            <w:pPr>
              <w:pStyle w:val="TableParagraph"/>
              <w:ind w:left="220"/>
              <w:jc w:val="left"/>
              <w:rPr>
                <w:sz w:val="21"/>
              </w:rPr>
            </w:pPr>
            <w:r>
              <w:rPr>
                <w:spacing w:val="-2"/>
                <w:sz w:val="21"/>
              </w:rPr>
              <w:t>Washington-Arlington-Alexandria</w:t>
            </w:r>
          </w:p>
        </w:tc>
        <w:tc>
          <w:tcPr>
            <w:tcW w:w="3322" w:type="dxa"/>
          </w:tcPr>
          <w:p w:rsidR="003F5784" w14:paraId="2F44E73D" w14:textId="77777777">
            <w:pPr>
              <w:pStyle w:val="TableParagraph"/>
              <w:ind w:right="491"/>
              <w:rPr>
                <w:sz w:val="21"/>
              </w:rPr>
            </w:pPr>
            <w:r>
              <w:rPr>
                <w:spacing w:val="-6"/>
                <w:sz w:val="21"/>
              </w:rPr>
              <w:t>DC-VA-MD-WV</w:t>
            </w:r>
          </w:p>
        </w:tc>
        <w:tc>
          <w:tcPr>
            <w:tcW w:w="2661" w:type="dxa"/>
          </w:tcPr>
          <w:p w:rsidR="003F5784" w14:paraId="0167EDF3" w14:textId="77777777">
            <w:pPr>
              <w:pStyle w:val="TableParagraph"/>
              <w:ind w:right="508"/>
              <w:rPr>
                <w:sz w:val="21"/>
              </w:rPr>
            </w:pPr>
            <w:r>
              <w:rPr>
                <w:spacing w:val="-5"/>
                <w:sz w:val="21"/>
              </w:rPr>
              <w:t>22</w:t>
            </w:r>
          </w:p>
        </w:tc>
        <w:tc>
          <w:tcPr>
            <w:tcW w:w="2148" w:type="dxa"/>
          </w:tcPr>
          <w:p w:rsidR="003F5784" w14:paraId="0B202E24" w14:textId="77777777">
            <w:pPr>
              <w:pStyle w:val="TableParagraph"/>
              <w:ind w:right="115"/>
              <w:rPr>
                <w:sz w:val="21"/>
              </w:rPr>
            </w:pPr>
            <w:r>
              <w:rPr>
                <w:spacing w:val="-2"/>
                <w:sz w:val="21"/>
              </w:rPr>
              <w:t>1,414,809</w:t>
            </w:r>
          </w:p>
        </w:tc>
      </w:tr>
      <w:tr w14:paraId="0BC87456" w14:textId="77777777">
        <w:tblPrEx>
          <w:tblW w:w="0" w:type="auto"/>
          <w:tblInd w:w="482" w:type="dxa"/>
          <w:tblLayout w:type="fixed"/>
          <w:tblCellMar>
            <w:left w:w="0" w:type="dxa"/>
            <w:right w:w="0" w:type="dxa"/>
          </w:tblCellMar>
          <w:tblLook w:val="01E0"/>
        </w:tblPrEx>
        <w:trPr>
          <w:trHeight w:val="288"/>
        </w:trPr>
        <w:tc>
          <w:tcPr>
            <w:tcW w:w="5851" w:type="dxa"/>
          </w:tcPr>
          <w:p w:rsidR="003F5784" w14:paraId="6FE9817B" w14:textId="77777777">
            <w:pPr>
              <w:pStyle w:val="TableParagraph"/>
              <w:spacing w:before="19"/>
              <w:ind w:left="120"/>
              <w:jc w:val="left"/>
              <w:rPr>
                <w:b/>
                <w:sz w:val="21"/>
              </w:rPr>
            </w:pPr>
            <w:r>
              <w:rPr>
                <w:b/>
                <w:spacing w:val="-4"/>
                <w:sz w:val="21"/>
              </w:rPr>
              <w:t>West</w:t>
            </w:r>
          </w:p>
        </w:tc>
        <w:tc>
          <w:tcPr>
            <w:tcW w:w="3322" w:type="dxa"/>
          </w:tcPr>
          <w:p w:rsidR="003F5784" w14:paraId="6C194A3C" w14:textId="77777777">
            <w:pPr>
              <w:pStyle w:val="TableParagraph"/>
              <w:spacing w:before="21"/>
              <w:ind w:right="490"/>
              <w:rPr>
                <w:b/>
                <w:sz w:val="18"/>
              </w:rPr>
            </w:pPr>
            <w:r>
              <w:rPr>
                <w:b/>
                <w:spacing w:val="-10"/>
                <w:sz w:val="18"/>
              </w:rPr>
              <w:t>†</w:t>
            </w:r>
          </w:p>
        </w:tc>
        <w:tc>
          <w:tcPr>
            <w:tcW w:w="2661" w:type="dxa"/>
          </w:tcPr>
          <w:p w:rsidR="003F5784" w14:paraId="2141D80F" w14:textId="77777777">
            <w:pPr>
              <w:pStyle w:val="TableParagraph"/>
              <w:spacing w:before="19"/>
              <w:ind w:right="508"/>
              <w:rPr>
                <w:b/>
                <w:sz w:val="21"/>
              </w:rPr>
            </w:pPr>
            <w:r>
              <w:rPr>
                <w:b/>
                <w:spacing w:val="-5"/>
                <w:sz w:val="21"/>
              </w:rPr>
              <w:t>40</w:t>
            </w:r>
          </w:p>
        </w:tc>
        <w:tc>
          <w:tcPr>
            <w:tcW w:w="2148" w:type="dxa"/>
          </w:tcPr>
          <w:p w:rsidR="003F5784" w14:paraId="760A7F74" w14:textId="77777777">
            <w:pPr>
              <w:pStyle w:val="TableParagraph"/>
              <w:spacing w:before="19"/>
              <w:ind w:right="115"/>
              <w:rPr>
                <w:b/>
                <w:sz w:val="21"/>
              </w:rPr>
            </w:pPr>
            <w:r>
              <w:rPr>
                <w:b/>
                <w:spacing w:val="-2"/>
                <w:sz w:val="21"/>
              </w:rPr>
              <w:t>10,663,893</w:t>
            </w:r>
          </w:p>
        </w:tc>
      </w:tr>
      <w:tr w14:paraId="4F0EB3B6" w14:textId="77777777">
        <w:tblPrEx>
          <w:tblW w:w="0" w:type="auto"/>
          <w:tblInd w:w="482" w:type="dxa"/>
          <w:tblLayout w:type="fixed"/>
          <w:tblCellMar>
            <w:left w:w="0" w:type="dxa"/>
            <w:right w:w="0" w:type="dxa"/>
          </w:tblCellMar>
          <w:tblLook w:val="01E0"/>
        </w:tblPrEx>
        <w:trPr>
          <w:trHeight w:val="286"/>
        </w:trPr>
        <w:tc>
          <w:tcPr>
            <w:tcW w:w="5851" w:type="dxa"/>
          </w:tcPr>
          <w:p w:rsidR="003F5784" w14:paraId="2423D000" w14:textId="77777777">
            <w:pPr>
              <w:pStyle w:val="TableParagraph"/>
              <w:ind w:left="224"/>
              <w:jc w:val="left"/>
              <w:rPr>
                <w:sz w:val="21"/>
              </w:rPr>
            </w:pPr>
            <w:r>
              <w:rPr>
                <w:spacing w:val="-2"/>
                <w:sz w:val="21"/>
              </w:rPr>
              <w:t>Denver-Aurora-Broomfield</w:t>
            </w:r>
          </w:p>
        </w:tc>
        <w:tc>
          <w:tcPr>
            <w:tcW w:w="3322" w:type="dxa"/>
          </w:tcPr>
          <w:p w:rsidR="003F5784" w14:paraId="0CEF51CA" w14:textId="77777777">
            <w:pPr>
              <w:pStyle w:val="TableParagraph"/>
              <w:ind w:right="491"/>
              <w:rPr>
                <w:sz w:val="21"/>
              </w:rPr>
            </w:pPr>
            <w:r>
              <w:rPr>
                <w:spacing w:val="-5"/>
                <w:sz w:val="21"/>
              </w:rPr>
              <w:t>CO</w:t>
            </w:r>
          </w:p>
        </w:tc>
        <w:tc>
          <w:tcPr>
            <w:tcW w:w="2661" w:type="dxa"/>
          </w:tcPr>
          <w:p w:rsidR="003F5784" w14:paraId="5421784A" w14:textId="77777777">
            <w:pPr>
              <w:pStyle w:val="TableParagraph"/>
              <w:ind w:right="508"/>
              <w:rPr>
                <w:sz w:val="21"/>
              </w:rPr>
            </w:pPr>
            <w:r>
              <w:rPr>
                <w:spacing w:val="-5"/>
                <w:sz w:val="21"/>
              </w:rPr>
              <w:t>10</w:t>
            </w:r>
          </w:p>
        </w:tc>
        <w:tc>
          <w:tcPr>
            <w:tcW w:w="2148" w:type="dxa"/>
          </w:tcPr>
          <w:p w:rsidR="003F5784" w14:paraId="23109AC8" w14:textId="77777777">
            <w:pPr>
              <w:pStyle w:val="TableParagraph"/>
              <w:ind w:right="115"/>
              <w:rPr>
                <w:sz w:val="21"/>
              </w:rPr>
            </w:pPr>
            <w:r>
              <w:rPr>
                <w:spacing w:val="-2"/>
                <w:sz w:val="21"/>
              </w:rPr>
              <w:t>659,646</w:t>
            </w:r>
          </w:p>
        </w:tc>
      </w:tr>
      <w:tr w14:paraId="5D9F0FFB" w14:textId="77777777">
        <w:tblPrEx>
          <w:tblW w:w="0" w:type="auto"/>
          <w:tblInd w:w="482" w:type="dxa"/>
          <w:tblLayout w:type="fixed"/>
          <w:tblCellMar>
            <w:left w:w="0" w:type="dxa"/>
            <w:right w:w="0" w:type="dxa"/>
          </w:tblCellMar>
          <w:tblLook w:val="01E0"/>
        </w:tblPrEx>
        <w:trPr>
          <w:trHeight w:val="286"/>
        </w:trPr>
        <w:tc>
          <w:tcPr>
            <w:tcW w:w="5851" w:type="dxa"/>
          </w:tcPr>
          <w:p w:rsidR="003F5784" w14:paraId="02112AC8" w14:textId="77777777">
            <w:pPr>
              <w:pStyle w:val="TableParagraph"/>
              <w:ind w:left="224"/>
              <w:jc w:val="left"/>
              <w:rPr>
                <w:sz w:val="21"/>
              </w:rPr>
            </w:pPr>
            <w:r>
              <w:rPr>
                <w:spacing w:val="-2"/>
                <w:sz w:val="21"/>
              </w:rPr>
              <w:t>Honolulu</w:t>
            </w:r>
          </w:p>
        </w:tc>
        <w:tc>
          <w:tcPr>
            <w:tcW w:w="3322" w:type="dxa"/>
          </w:tcPr>
          <w:p w:rsidR="003F5784" w14:paraId="67A2F014" w14:textId="77777777">
            <w:pPr>
              <w:pStyle w:val="TableParagraph"/>
              <w:ind w:right="491"/>
              <w:rPr>
                <w:sz w:val="21"/>
              </w:rPr>
            </w:pPr>
            <w:r>
              <w:rPr>
                <w:spacing w:val="-5"/>
                <w:sz w:val="21"/>
              </w:rPr>
              <w:t>HI</w:t>
            </w:r>
          </w:p>
        </w:tc>
        <w:tc>
          <w:tcPr>
            <w:tcW w:w="2661" w:type="dxa"/>
          </w:tcPr>
          <w:p w:rsidR="003F5784" w14:paraId="70E11CA9" w14:textId="77777777">
            <w:pPr>
              <w:pStyle w:val="TableParagraph"/>
              <w:ind w:right="508"/>
              <w:rPr>
                <w:sz w:val="21"/>
              </w:rPr>
            </w:pPr>
            <w:r>
              <w:rPr>
                <w:spacing w:val="-10"/>
                <w:sz w:val="21"/>
              </w:rPr>
              <w:t>1</w:t>
            </w:r>
          </w:p>
        </w:tc>
        <w:tc>
          <w:tcPr>
            <w:tcW w:w="2148" w:type="dxa"/>
          </w:tcPr>
          <w:p w:rsidR="003F5784" w14:paraId="071577BC" w14:textId="77777777">
            <w:pPr>
              <w:pStyle w:val="TableParagraph"/>
              <w:ind w:right="115"/>
              <w:rPr>
                <w:sz w:val="21"/>
              </w:rPr>
            </w:pPr>
            <w:r>
              <w:rPr>
                <w:spacing w:val="-2"/>
                <w:sz w:val="21"/>
              </w:rPr>
              <w:t>209,809</w:t>
            </w:r>
          </w:p>
        </w:tc>
      </w:tr>
      <w:tr w14:paraId="205F83DC" w14:textId="77777777">
        <w:tblPrEx>
          <w:tblW w:w="0" w:type="auto"/>
          <w:tblInd w:w="482" w:type="dxa"/>
          <w:tblLayout w:type="fixed"/>
          <w:tblCellMar>
            <w:left w:w="0" w:type="dxa"/>
            <w:right w:w="0" w:type="dxa"/>
          </w:tblCellMar>
          <w:tblLook w:val="01E0"/>
        </w:tblPrEx>
        <w:trPr>
          <w:trHeight w:val="286"/>
        </w:trPr>
        <w:tc>
          <w:tcPr>
            <w:tcW w:w="5851" w:type="dxa"/>
          </w:tcPr>
          <w:p w:rsidR="003F5784" w14:paraId="3A35023A" w14:textId="77777777">
            <w:pPr>
              <w:pStyle w:val="TableParagraph"/>
              <w:ind w:left="224"/>
              <w:jc w:val="left"/>
              <w:rPr>
                <w:sz w:val="21"/>
              </w:rPr>
            </w:pPr>
            <w:r>
              <w:rPr>
                <w:spacing w:val="-4"/>
                <w:sz w:val="21"/>
              </w:rPr>
              <w:t>Las</w:t>
            </w:r>
            <w:r>
              <w:rPr>
                <w:spacing w:val="-2"/>
                <w:sz w:val="21"/>
              </w:rPr>
              <w:t xml:space="preserve"> </w:t>
            </w:r>
            <w:r>
              <w:rPr>
                <w:spacing w:val="-4"/>
                <w:sz w:val="21"/>
              </w:rPr>
              <w:t>Vegas-Paradise</w:t>
            </w:r>
          </w:p>
        </w:tc>
        <w:tc>
          <w:tcPr>
            <w:tcW w:w="3322" w:type="dxa"/>
          </w:tcPr>
          <w:p w:rsidR="003F5784" w14:paraId="1EA33015" w14:textId="77777777">
            <w:pPr>
              <w:pStyle w:val="TableParagraph"/>
              <w:ind w:right="490"/>
              <w:rPr>
                <w:sz w:val="21"/>
              </w:rPr>
            </w:pPr>
            <w:r>
              <w:rPr>
                <w:spacing w:val="-5"/>
                <w:sz w:val="21"/>
              </w:rPr>
              <w:t>NV</w:t>
            </w:r>
          </w:p>
        </w:tc>
        <w:tc>
          <w:tcPr>
            <w:tcW w:w="2661" w:type="dxa"/>
          </w:tcPr>
          <w:p w:rsidR="003F5784" w14:paraId="75785444" w14:textId="77777777">
            <w:pPr>
              <w:pStyle w:val="TableParagraph"/>
              <w:ind w:right="508"/>
              <w:rPr>
                <w:sz w:val="21"/>
              </w:rPr>
            </w:pPr>
            <w:r>
              <w:rPr>
                <w:spacing w:val="-10"/>
                <w:sz w:val="21"/>
              </w:rPr>
              <w:t>1</w:t>
            </w:r>
          </w:p>
        </w:tc>
        <w:tc>
          <w:tcPr>
            <w:tcW w:w="2148" w:type="dxa"/>
          </w:tcPr>
          <w:p w:rsidR="003F5784" w14:paraId="2445AF37" w14:textId="77777777">
            <w:pPr>
              <w:pStyle w:val="TableParagraph"/>
              <w:ind w:right="115"/>
              <w:rPr>
                <w:sz w:val="21"/>
              </w:rPr>
            </w:pPr>
            <w:r>
              <w:rPr>
                <w:spacing w:val="-2"/>
                <w:sz w:val="21"/>
              </w:rPr>
              <w:t>514,192</w:t>
            </w:r>
          </w:p>
        </w:tc>
      </w:tr>
      <w:tr w14:paraId="74636A11" w14:textId="77777777">
        <w:tblPrEx>
          <w:tblW w:w="0" w:type="auto"/>
          <w:tblInd w:w="482" w:type="dxa"/>
          <w:tblLayout w:type="fixed"/>
          <w:tblCellMar>
            <w:left w:w="0" w:type="dxa"/>
            <w:right w:w="0" w:type="dxa"/>
          </w:tblCellMar>
          <w:tblLook w:val="01E0"/>
        </w:tblPrEx>
        <w:trPr>
          <w:trHeight w:val="286"/>
        </w:trPr>
        <w:tc>
          <w:tcPr>
            <w:tcW w:w="5851" w:type="dxa"/>
          </w:tcPr>
          <w:p w:rsidR="003F5784" w14:paraId="0B524F37" w14:textId="77777777">
            <w:pPr>
              <w:pStyle w:val="TableParagraph"/>
              <w:ind w:left="224"/>
              <w:jc w:val="left"/>
              <w:rPr>
                <w:sz w:val="21"/>
              </w:rPr>
            </w:pPr>
            <w:r>
              <w:rPr>
                <w:spacing w:val="-2"/>
                <w:sz w:val="21"/>
              </w:rPr>
              <w:t>Los</w:t>
            </w:r>
            <w:r>
              <w:rPr>
                <w:spacing w:val="-4"/>
                <w:sz w:val="21"/>
              </w:rPr>
              <w:t xml:space="preserve"> </w:t>
            </w:r>
            <w:r>
              <w:rPr>
                <w:spacing w:val="-2"/>
                <w:sz w:val="21"/>
              </w:rPr>
              <w:t>Angeles-Long</w:t>
            </w:r>
            <w:r>
              <w:rPr>
                <w:spacing w:val="9"/>
                <w:sz w:val="21"/>
              </w:rPr>
              <w:t xml:space="preserve"> </w:t>
            </w:r>
            <w:r>
              <w:rPr>
                <w:spacing w:val="-2"/>
                <w:sz w:val="21"/>
              </w:rPr>
              <w:t>Beach-Santa</w:t>
            </w:r>
            <w:r>
              <w:rPr>
                <w:spacing w:val="-4"/>
                <w:sz w:val="21"/>
              </w:rPr>
              <w:t xml:space="preserve"> </w:t>
            </w:r>
            <w:r>
              <w:rPr>
                <w:spacing w:val="-5"/>
                <w:sz w:val="21"/>
              </w:rPr>
              <w:t>Ana</w:t>
            </w:r>
          </w:p>
        </w:tc>
        <w:tc>
          <w:tcPr>
            <w:tcW w:w="3322" w:type="dxa"/>
          </w:tcPr>
          <w:p w:rsidR="003F5784" w14:paraId="6FB59E9C" w14:textId="77777777">
            <w:pPr>
              <w:pStyle w:val="TableParagraph"/>
              <w:ind w:right="491"/>
              <w:rPr>
                <w:sz w:val="21"/>
              </w:rPr>
            </w:pPr>
            <w:r>
              <w:rPr>
                <w:spacing w:val="-5"/>
                <w:sz w:val="21"/>
              </w:rPr>
              <w:t>CA</w:t>
            </w:r>
          </w:p>
        </w:tc>
        <w:tc>
          <w:tcPr>
            <w:tcW w:w="2661" w:type="dxa"/>
          </w:tcPr>
          <w:p w:rsidR="003F5784" w14:paraId="2592B844" w14:textId="77777777">
            <w:pPr>
              <w:pStyle w:val="TableParagraph"/>
              <w:ind w:right="508"/>
              <w:rPr>
                <w:sz w:val="21"/>
              </w:rPr>
            </w:pPr>
            <w:r>
              <w:rPr>
                <w:spacing w:val="-10"/>
                <w:sz w:val="21"/>
              </w:rPr>
              <w:t>2</w:t>
            </w:r>
          </w:p>
        </w:tc>
        <w:tc>
          <w:tcPr>
            <w:tcW w:w="2148" w:type="dxa"/>
          </w:tcPr>
          <w:p w:rsidR="003F5784" w14:paraId="08B3CA45" w14:textId="77777777">
            <w:pPr>
              <w:pStyle w:val="TableParagraph"/>
              <w:ind w:right="115"/>
              <w:rPr>
                <w:sz w:val="21"/>
              </w:rPr>
            </w:pPr>
            <w:r>
              <w:rPr>
                <w:spacing w:val="-2"/>
                <w:sz w:val="21"/>
              </w:rPr>
              <w:t>2,930,904</w:t>
            </w:r>
          </w:p>
        </w:tc>
      </w:tr>
      <w:tr w14:paraId="60B535FA" w14:textId="77777777">
        <w:tblPrEx>
          <w:tblW w:w="0" w:type="auto"/>
          <w:tblInd w:w="482" w:type="dxa"/>
          <w:tblLayout w:type="fixed"/>
          <w:tblCellMar>
            <w:left w:w="0" w:type="dxa"/>
            <w:right w:w="0" w:type="dxa"/>
          </w:tblCellMar>
          <w:tblLook w:val="01E0"/>
        </w:tblPrEx>
        <w:trPr>
          <w:trHeight w:val="286"/>
        </w:trPr>
        <w:tc>
          <w:tcPr>
            <w:tcW w:w="5851" w:type="dxa"/>
          </w:tcPr>
          <w:p w:rsidR="003F5784" w14:paraId="24E90670" w14:textId="77777777">
            <w:pPr>
              <w:pStyle w:val="TableParagraph"/>
              <w:ind w:left="224"/>
              <w:jc w:val="left"/>
              <w:rPr>
                <w:sz w:val="21"/>
              </w:rPr>
            </w:pPr>
            <w:r>
              <w:rPr>
                <w:spacing w:val="-2"/>
                <w:sz w:val="21"/>
              </w:rPr>
              <w:t>Phoenix-Mesa-Glendale</w:t>
            </w:r>
          </w:p>
        </w:tc>
        <w:tc>
          <w:tcPr>
            <w:tcW w:w="3322" w:type="dxa"/>
          </w:tcPr>
          <w:p w:rsidR="003F5784" w14:paraId="1AA8BEB2" w14:textId="77777777">
            <w:pPr>
              <w:pStyle w:val="TableParagraph"/>
              <w:ind w:right="490"/>
              <w:rPr>
                <w:sz w:val="21"/>
              </w:rPr>
            </w:pPr>
            <w:r>
              <w:rPr>
                <w:spacing w:val="-5"/>
                <w:sz w:val="21"/>
              </w:rPr>
              <w:t>AZ</w:t>
            </w:r>
          </w:p>
        </w:tc>
        <w:tc>
          <w:tcPr>
            <w:tcW w:w="2661" w:type="dxa"/>
          </w:tcPr>
          <w:p w:rsidR="003F5784" w14:paraId="56A87B7E" w14:textId="77777777">
            <w:pPr>
              <w:pStyle w:val="TableParagraph"/>
              <w:ind w:right="508"/>
              <w:rPr>
                <w:sz w:val="21"/>
              </w:rPr>
            </w:pPr>
            <w:r>
              <w:rPr>
                <w:spacing w:val="-10"/>
                <w:sz w:val="21"/>
              </w:rPr>
              <w:t>2</w:t>
            </w:r>
          </w:p>
        </w:tc>
        <w:tc>
          <w:tcPr>
            <w:tcW w:w="2148" w:type="dxa"/>
          </w:tcPr>
          <w:p w:rsidR="003F5784" w14:paraId="18967FE5" w14:textId="77777777">
            <w:pPr>
              <w:pStyle w:val="TableParagraph"/>
              <w:ind w:right="115"/>
              <w:rPr>
                <w:sz w:val="21"/>
              </w:rPr>
            </w:pPr>
            <w:r>
              <w:rPr>
                <w:spacing w:val="-2"/>
                <w:sz w:val="21"/>
              </w:rPr>
              <w:t>1,144,270</w:t>
            </w:r>
          </w:p>
        </w:tc>
      </w:tr>
      <w:tr w14:paraId="53B92D98" w14:textId="77777777">
        <w:tblPrEx>
          <w:tblW w:w="0" w:type="auto"/>
          <w:tblInd w:w="482" w:type="dxa"/>
          <w:tblLayout w:type="fixed"/>
          <w:tblCellMar>
            <w:left w:w="0" w:type="dxa"/>
            <w:right w:w="0" w:type="dxa"/>
          </w:tblCellMar>
          <w:tblLook w:val="01E0"/>
        </w:tblPrEx>
        <w:trPr>
          <w:trHeight w:val="286"/>
        </w:trPr>
        <w:tc>
          <w:tcPr>
            <w:tcW w:w="5851" w:type="dxa"/>
          </w:tcPr>
          <w:p w:rsidR="003F5784" w14:paraId="22E4A418" w14:textId="77777777">
            <w:pPr>
              <w:pStyle w:val="TableParagraph"/>
              <w:ind w:left="224"/>
              <w:jc w:val="left"/>
              <w:rPr>
                <w:sz w:val="21"/>
              </w:rPr>
            </w:pPr>
            <w:r>
              <w:rPr>
                <w:spacing w:val="-4"/>
                <w:sz w:val="21"/>
              </w:rPr>
              <w:t>Portland-Vancouver-Hillsboro</w:t>
            </w:r>
          </w:p>
        </w:tc>
        <w:tc>
          <w:tcPr>
            <w:tcW w:w="3322" w:type="dxa"/>
          </w:tcPr>
          <w:p w:rsidR="003F5784" w14:paraId="3877F241" w14:textId="77777777">
            <w:pPr>
              <w:pStyle w:val="TableParagraph"/>
              <w:ind w:right="490"/>
              <w:rPr>
                <w:sz w:val="21"/>
              </w:rPr>
            </w:pPr>
            <w:r>
              <w:rPr>
                <w:spacing w:val="-2"/>
                <w:sz w:val="21"/>
              </w:rPr>
              <w:t>OR-</w:t>
            </w:r>
            <w:r>
              <w:rPr>
                <w:spacing w:val="-5"/>
                <w:sz w:val="21"/>
              </w:rPr>
              <w:t>WA</w:t>
            </w:r>
          </w:p>
        </w:tc>
        <w:tc>
          <w:tcPr>
            <w:tcW w:w="2661" w:type="dxa"/>
          </w:tcPr>
          <w:p w:rsidR="003F5784" w14:paraId="6C9570AA" w14:textId="77777777">
            <w:pPr>
              <w:pStyle w:val="TableParagraph"/>
              <w:ind w:right="508"/>
              <w:rPr>
                <w:sz w:val="21"/>
              </w:rPr>
            </w:pPr>
            <w:r>
              <w:rPr>
                <w:spacing w:val="-10"/>
                <w:sz w:val="21"/>
              </w:rPr>
              <w:t>7</w:t>
            </w:r>
          </w:p>
        </w:tc>
        <w:tc>
          <w:tcPr>
            <w:tcW w:w="2148" w:type="dxa"/>
          </w:tcPr>
          <w:p w:rsidR="003F5784" w14:paraId="3C102DC8" w14:textId="77777777">
            <w:pPr>
              <w:pStyle w:val="TableParagraph"/>
              <w:ind w:right="115"/>
              <w:rPr>
                <w:sz w:val="21"/>
              </w:rPr>
            </w:pPr>
            <w:r>
              <w:rPr>
                <w:spacing w:val="-2"/>
                <w:sz w:val="21"/>
              </w:rPr>
              <w:t>533,626</w:t>
            </w:r>
          </w:p>
        </w:tc>
      </w:tr>
      <w:tr w14:paraId="19AE4742" w14:textId="77777777">
        <w:tblPrEx>
          <w:tblW w:w="0" w:type="auto"/>
          <w:tblInd w:w="482" w:type="dxa"/>
          <w:tblLayout w:type="fixed"/>
          <w:tblCellMar>
            <w:left w:w="0" w:type="dxa"/>
            <w:right w:w="0" w:type="dxa"/>
          </w:tblCellMar>
          <w:tblLook w:val="01E0"/>
        </w:tblPrEx>
        <w:trPr>
          <w:trHeight w:val="288"/>
        </w:trPr>
        <w:tc>
          <w:tcPr>
            <w:tcW w:w="5851" w:type="dxa"/>
            <w:tcBorders>
              <w:bottom w:val="single" w:sz="18" w:space="0" w:color="800000"/>
            </w:tcBorders>
          </w:tcPr>
          <w:p w:rsidR="003F5784" w14:paraId="0216F531" w14:textId="77777777">
            <w:pPr>
              <w:pStyle w:val="TableParagraph"/>
              <w:ind w:left="224"/>
              <w:jc w:val="left"/>
              <w:rPr>
                <w:sz w:val="21"/>
              </w:rPr>
            </w:pPr>
            <w:r>
              <w:rPr>
                <w:spacing w:val="-2"/>
                <w:sz w:val="21"/>
              </w:rPr>
              <w:t>Riverside-San</w:t>
            </w:r>
            <w:r>
              <w:rPr>
                <w:spacing w:val="24"/>
                <w:sz w:val="21"/>
              </w:rPr>
              <w:t xml:space="preserve"> </w:t>
            </w:r>
            <w:r>
              <w:rPr>
                <w:spacing w:val="-2"/>
                <w:sz w:val="21"/>
              </w:rPr>
              <w:t>Bernardino-Ontario</w:t>
            </w:r>
          </w:p>
        </w:tc>
        <w:tc>
          <w:tcPr>
            <w:tcW w:w="3322" w:type="dxa"/>
            <w:tcBorders>
              <w:bottom w:val="single" w:sz="18" w:space="0" w:color="800000"/>
            </w:tcBorders>
          </w:tcPr>
          <w:p w:rsidR="003F5784" w14:paraId="45C90B87" w14:textId="77777777">
            <w:pPr>
              <w:pStyle w:val="TableParagraph"/>
              <w:ind w:right="491"/>
              <w:rPr>
                <w:sz w:val="21"/>
              </w:rPr>
            </w:pPr>
            <w:r>
              <w:rPr>
                <w:spacing w:val="-5"/>
                <w:sz w:val="21"/>
              </w:rPr>
              <w:t>CA</w:t>
            </w:r>
          </w:p>
        </w:tc>
        <w:tc>
          <w:tcPr>
            <w:tcW w:w="2661" w:type="dxa"/>
            <w:tcBorders>
              <w:bottom w:val="single" w:sz="18" w:space="0" w:color="800000"/>
            </w:tcBorders>
          </w:tcPr>
          <w:p w:rsidR="003F5784" w14:paraId="4CCC12C3" w14:textId="77777777">
            <w:pPr>
              <w:pStyle w:val="TableParagraph"/>
              <w:ind w:right="508"/>
              <w:rPr>
                <w:sz w:val="21"/>
              </w:rPr>
            </w:pPr>
            <w:r>
              <w:rPr>
                <w:spacing w:val="-10"/>
                <w:sz w:val="21"/>
              </w:rPr>
              <w:t>2</w:t>
            </w:r>
          </w:p>
        </w:tc>
        <w:tc>
          <w:tcPr>
            <w:tcW w:w="2148" w:type="dxa"/>
            <w:tcBorders>
              <w:bottom w:val="single" w:sz="18" w:space="0" w:color="800000"/>
            </w:tcBorders>
          </w:tcPr>
          <w:p w:rsidR="003F5784" w14:paraId="4BF88FB7" w14:textId="77777777">
            <w:pPr>
              <w:pStyle w:val="TableParagraph"/>
              <w:ind w:right="115"/>
              <w:rPr>
                <w:sz w:val="21"/>
              </w:rPr>
            </w:pPr>
            <w:r>
              <w:rPr>
                <w:spacing w:val="-2"/>
                <w:sz w:val="21"/>
              </w:rPr>
              <w:t>1,187,880</w:t>
            </w:r>
          </w:p>
        </w:tc>
      </w:tr>
    </w:tbl>
    <w:p w:rsidR="003F5784" w14:paraId="4DF07868" w14:textId="77777777">
      <w:pPr>
        <w:spacing w:before="39" w:line="207" w:lineRule="exact"/>
        <w:ind w:left="595"/>
        <w:rPr>
          <w:sz w:val="18"/>
        </w:rPr>
      </w:pPr>
      <w:r>
        <w:rPr>
          <w:sz w:val="18"/>
        </w:rPr>
        <w:t>†</w:t>
      </w:r>
      <w:r>
        <w:rPr>
          <w:spacing w:val="1"/>
          <w:sz w:val="18"/>
        </w:rPr>
        <w:t xml:space="preserve"> </w:t>
      </w:r>
      <w:r>
        <w:rPr>
          <w:sz w:val="18"/>
        </w:rPr>
        <w:t>Not</w:t>
      </w:r>
      <w:r>
        <w:rPr>
          <w:spacing w:val="2"/>
          <w:sz w:val="18"/>
        </w:rPr>
        <w:t xml:space="preserve"> </w:t>
      </w:r>
      <w:r>
        <w:rPr>
          <w:spacing w:val="-2"/>
          <w:sz w:val="18"/>
        </w:rPr>
        <w:t>applicable.</w:t>
      </w:r>
    </w:p>
    <w:p w:rsidR="003F5784" w14:paraId="1D4807EC" w14:textId="77777777">
      <w:pPr>
        <w:pStyle w:val="BodyText"/>
        <w:spacing w:before="6"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6F64AFEA" w14:textId="77777777">
      <w:pPr>
        <w:spacing w:line="232" w:lineRule="auto"/>
        <w:sectPr>
          <w:pgSz w:w="15840" w:h="12240" w:orient="landscape"/>
          <w:pgMar w:top="480" w:right="440" w:bottom="460" w:left="460" w:header="284" w:footer="275" w:gutter="0"/>
          <w:cols w:space="720"/>
        </w:sectPr>
      </w:pPr>
    </w:p>
    <w:p w:rsidR="003F5784" w14:paraId="04BD9348" w14:textId="77777777">
      <w:pPr>
        <w:pStyle w:val="BodyText"/>
        <w:tabs>
          <w:tab w:val="left" w:pos="8181"/>
          <w:tab w:val="left" w:pos="10142"/>
          <w:tab w:val="left" w:pos="12822"/>
        </w:tabs>
        <w:spacing w:before="98" w:after="20"/>
        <w:ind w:left="595"/>
      </w:pPr>
      <w:r>
        <w:t>Census</w:t>
      </w:r>
      <w:r>
        <w:rPr>
          <w:spacing w:val="-12"/>
        </w:rPr>
        <w:t xml:space="preserve"> </w:t>
      </w:r>
      <w:r>
        <w:t>region/Metropolitan</w:t>
      </w:r>
      <w:r>
        <w:rPr>
          <w:spacing w:val="-11"/>
        </w:rPr>
        <w:t xml:space="preserve"> </w:t>
      </w:r>
      <w:r>
        <w:t>statistical</w:t>
      </w:r>
      <w:r>
        <w:rPr>
          <w:spacing w:val="-11"/>
        </w:rPr>
        <w:t xml:space="preserve"> </w:t>
      </w:r>
      <w:r>
        <w:rPr>
          <w:spacing w:val="-4"/>
        </w:rPr>
        <w:t>area</w:t>
      </w:r>
      <w:r>
        <w:tab/>
      </w:r>
      <w:r>
        <w:rPr>
          <w:spacing w:val="-2"/>
        </w:rPr>
        <w:t>Jurisdiction</w:t>
      </w:r>
      <w:r>
        <w:tab/>
        <w:t>Number</w:t>
      </w:r>
      <w:r>
        <w:rPr>
          <w:spacing w:val="-6"/>
        </w:rPr>
        <w:t xml:space="preserve"> </w:t>
      </w:r>
      <w:r>
        <w:t>of</w:t>
      </w:r>
      <w:r>
        <w:rPr>
          <w:spacing w:val="-5"/>
        </w:rPr>
        <w:t xml:space="preserve"> </w:t>
      </w:r>
      <w:r>
        <w:rPr>
          <w:spacing w:val="-2"/>
        </w:rPr>
        <w:t>counties</w:t>
      </w:r>
      <w:r>
        <w:tab/>
        <w:t>Number</w:t>
      </w:r>
      <w:r>
        <w:rPr>
          <w:spacing w:val="-6"/>
        </w:rPr>
        <w:t xml:space="preserve"> </w:t>
      </w:r>
      <w:r>
        <w:t>of</w:t>
      </w:r>
      <w:r>
        <w:rPr>
          <w:spacing w:val="-5"/>
        </w:rPr>
        <w:t xml:space="preserve"> </w:t>
      </w:r>
      <w:r>
        <w:rPr>
          <w:spacing w:val="-2"/>
        </w:rPr>
        <w:t>youths</w:t>
      </w:r>
    </w:p>
    <w:tbl>
      <w:tblPr>
        <w:tblW w:w="0" w:type="auto"/>
        <w:tblInd w:w="482" w:type="dxa"/>
        <w:tblLayout w:type="fixed"/>
        <w:tblCellMar>
          <w:left w:w="0" w:type="dxa"/>
          <w:right w:w="0" w:type="dxa"/>
        </w:tblCellMar>
        <w:tblLook w:val="01E0"/>
      </w:tblPr>
      <w:tblGrid>
        <w:gridCol w:w="5911"/>
        <w:gridCol w:w="4038"/>
        <w:gridCol w:w="2305"/>
        <w:gridCol w:w="1728"/>
      </w:tblGrid>
      <w:tr w14:paraId="749269A8" w14:textId="77777777">
        <w:tblPrEx>
          <w:tblW w:w="0" w:type="auto"/>
          <w:tblInd w:w="482" w:type="dxa"/>
          <w:tblLayout w:type="fixed"/>
          <w:tblCellMar>
            <w:left w:w="0" w:type="dxa"/>
            <w:right w:w="0" w:type="dxa"/>
          </w:tblCellMar>
          <w:tblLook w:val="01E0"/>
        </w:tblPrEx>
        <w:trPr>
          <w:trHeight w:val="278"/>
        </w:trPr>
        <w:tc>
          <w:tcPr>
            <w:tcW w:w="5911" w:type="dxa"/>
            <w:tcBorders>
              <w:top w:val="single" w:sz="18" w:space="0" w:color="800000"/>
            </w:tcBorders>
          </w:tcPr>
          <w:p w:rsidR="003F5784" w14:paraId="77C7DA97" w14:textId="77777777">
            <w:pPr>
              <w:pStyle w:val="TableParagraph"/>
              <w:spacing w:before="9"/>
              <w:ind w:left="224"/>
              <w:jc w:val="left"/>
              <w:rPr>
                <w:sz w:val="21"/>
              </w:rPr>
            </w:pPr>
            <w:r>
              <w:rPr>
                <w:spacing w:val="-2"/>
                <w:sz w:val="21"/>
              </w:rPr>
              <w:t>Sacramento--Arden-Arcade--Roseville</w:t>
            </w:r>
          </w:p>
        </w:tc>
        <w:tc>
          <w:tcPr>
            <w:tcW w:w="4038" w:type="dxa"/>
            <w:tcBorders>
              <w:top w:val="single" w:sz="18" w:space="0" w:color="800000"/>
            </w:tcBorders>
          </w:tcPr>
          <w:p w:rsidR="003F5784" w14:paraId="4919BDDA" w14:textId="77777777">
            <w:pPr>
              <w:pStyle w:val="TableParagraph"/>
              <w:spacing w:before="9"/>
              <w:ind w:right="1267"/>
              <w:rPr>
                <w:sz w:val="21"/>
              </w:rPr>
            </w:pPr>
            <w:r>
              <w:rPr>
                <w:spacing w:val="-5"/>
                <w:sz w:val="21"/>
              </w:rPr>
              <w:t>CA</w:t>
            </w:r>
          </w:p>
        </w:tc>
        <w:tc>
          <w:tcPr>
            <w:tcW w:w="2305" w:type="dxa"/>
            <w:tcBorders>
              <w:top w:val="single" w:sz="18" w:space="0" w:color="800000"/>
            </w:tcBorders>
          </w:tcPr>
          <w:p w:rsidR="003F5784" w14:paraId="7B953CB8" w14:textId="77777777">
            <w:pPr>
              <w:pStyle w:val="TableParagraph"/>
              <w:spacing w:before="9"/>
              <w:ind w:right="928"/>
              <w:rPr>
                <w:sz w:val="21"/>
              </w:rPr>
            </w:pPr>
            <w:r>
              <w:rPr>
                <w:spacing w:val="-10"/>
                <w:sz w:val="21"/>
              </w:rPr>
              <w:t>4</w:t>
            </w:r>
          </w:p>
        </w:tc>
        <w:tc>
          <w:tcPr>
            <w:tcW w:w="1728" w:type="dxa"/>
            <w:tcBorders>
              <w:top w:val="single" w:sz="18" w:space="0" w:color="800000"/>
            </w:tcBorders>
          </w:tcPr>
          <w:p w:rsidR="003F5784" w14:paraId="27474798" w14:textId="77777777">
            <w:pPr>
              <w:pStyle w:val="TableParagraph"/>
              <w:spacing w:before="9"/>
              <w:ind w:right="115"/>
              <w:rPr>
                <w:sz w:val="21"/>
              </w:rPr>
            </w:pPr>
            <w:r>
              <w:rPr>
                <w:spacing w:val="-2"/>
                <w:sz w:val="21"/>
              </w:rPr>
              <w:t>534,664</w:t>
            </w:r>
          </w:p>
        </w:tc>
      </w:tr>
      <w:tr w14:paraId="0B47464B" w14:textId="77777777">
        <w:tblPrEx>
          <w:tblW w:w="0" w:type="auto"/>
          <w:tblInd w:w="482" w:type="dxa"/>
          <w:tblLayout w:type="fixed"/>
          <w:tblCellMar>
            <w:left w:w="0" w:type="dxa"/>
            <w:right w:w="0" w:type="dxa"/>
          </w:tblCellMar>
          <w:tblLook w:val="01E0"/>
        </w:tblPrEx>
        <w:trPr>
          <w:trHeight w:val="286"/>
        </w:trPr>
        <w:tc>
          <w:tcPr>
            <w:tcW w:w="5911" w:type="dxa"/>
          </w:tcPr>
          <w:p w:rsidR="003F5784" w14:paraId="2FEC5143" w14:textId="77777777">
            <w:pPr>
              <w:pStyle w:val="TableParagraph"/>
              <w:ind w:left="224"/>
              <w:jc w:val="left"/>
              <w:rPr>
                <w:sz w:val="21"/>
              </w:rPr>
            </w:pPr>
            <w:r>
              <w:rPr>
                <w:sz w:val="21"/>
              </w:rPr>
              <w:t>San</w:t>
            </w:r>
            <w:r>
              <w:rPr>
                <w:spacing w:val="-12"/>
                <w:sz w:val="21"/>
              </w:rPr>
              <w:t xml:space="preserve"> </w:t>
            </w:r>
            <w:r>
              <w:rPr>
                <w:sz w:val="21"/>
              </w:rPr>
              <w:t>Diego-Carlsbad-San</w:t>
            </w:r>
            <w:r>
              <w:rPr>
                <w:spacing w:val="-11"/>
                <w:sz w:val="21"/>
              </w:rPr>
              <w:t xml:space="preserve"> </w:t>
            </w:r>
            <w:r>
              <w:rPr>
                <w:spacing w:val="-2"/>
                <w:sz w:val="21"/>
              </w:rPr>
              <w:t>Marcos</w:t>
            </w:r>
          </w:p>
        </w:tc>
        <w:tc>
          <w:tcPr>
            <w:tcW w:w="4038" w:type="dxa"/>
          </w:tcPr>
          <w:p w:rsidR="003F5784" w14:paraId="17F63B4D" w14:textId="77777777">
            <w:pPr>
              <w:pStyle w:val="TableParagraph"/>
              <w:ind w:right="1267"/>
              <w:rPr>
                <w:sz w:val="21"/>
              </w:rPr>
            </w:pPr>
            <w:r>
              <w:rPr>
                <w:spacing w:val="-5"/>
                <w:sz w:val="21"/>
              </w:rPr>
              <w:t>CA</w:t>
            </w:r>
          </w:p>
        </w:tc>
        <w:tc>
          <w:tcPr>
            <w:tcW w:w="2305" w:type="dxa"/>
          </w:tcPr>
          <w:p w:rsidR="003F5784" w14:paraId="5C4DC925" w14:textId="77777777">
            <w:pPr>
              <w:pStyle w:val="TableParagraph"/>
              <w:ind w:right="928"/>
              <w:rPr>
                <w:sz w:val="21"/>
              </w:rPr>
            </w:pPr>
            <w:r>
              <w:rPr>
                <w:spacing w:val="-10"/>
                <w:sz w:val="21"/>
              </w:rPr>
              <w:t>1</w:t>
            </w:r>
          </w:p>
        </w:tc>
        <w:tc>
          <w:tcPr>
            <w:tcW w:w="1728" w:type="dxa"/>
          </w:tcPr>
          <w:p w:rsidR="003F5784" w14:paraId="2F2A77EB" w14:textId="77777777">
            <w:pPr>
              <w:pStyle w:val="TableParagraph"/>
              <w:ind w:right="115"/>
              <w:rPr>
                <w:sz w:val="21"/>
              </w:rPr>
            </w:pPr>
            <w:r>
              <w:rPr>
                <w:spacing w:val="-2"/>
                <w:sz w:val="21"/>
              </w:rPr>
              <w:t>728,528</w:t>
            </w:r>
          </w:p>
        </w:tc>
      </w:tr>
      <w:tr w14:paraId="557A8563" w14:textId="77777777">
        <w:tblPrEx>
          <w:tblW w:w="0" w:type="auto"/>
          <w:tblInd w:w="482" w:type="dxa"/>
          <w:tblLayout w:type="fixed"/>
          <w:tblCellMar>
            <w:left w:w="0" w:type="dxa"/>
            <w:right w:w="0" w:type="dxa"/>
          </w:tblCellMar>
          <w:tblLook w:val="01E0"/>
        </w:tblPrEx>
        <w:trPr>
          <w:trHeight w:val="286"/>
        </w:trPr>
        <w:tc>
          <w:tcPr>
            <w:tcW w:w="5911" w:type="dxa"/>
          </w:tcPr>
          <w:p w:rsidR="003F5784" w14:paraId="48606F81" w14:textId="77777777">
            <w:pPr>
              <w:pStyle w:val="TableParagraph"/>
              <w:ind w:left="224"/>
              <w:jc w:val="left"/>
              <w:rPr>
                <w:sz w:val="21"/>
              </w:rPr>
            </w:pPr>
            <w:r>
              <w:rPr>
                <w:spacing w:val="-2"/>
                <w:sz w:val="21"/>
              </w:rPr>
              <w:t>San</w:t>
            </w:r>
            <w:r>
              <w:rPr>
                <w:spacing w:val="21"/>
                <w:sz w:val="21"/>
              </w:rPr>
              <w:t xml:space="preserve"> </w:t>
            </w:r>
            <w:r>
              <w:rPr>
                <w:spacing w:val="-2"/>
                <w:sz w:val="21"/>
              </w:rPr>
              <w:t>Francisco-Oakland-Fremont</w:t>
            </w:r>
          </w:p>
        </w:tc>
        <w:tc>
          <w:tcPr>
            <w:tcW w:w="4038" w:type="dxa"/>
          </w:tcPr>
          <w:p w:rsidR="003F5784" w14:paraId="36A293E9" w14:textId="77777777">
            <w:pPr>
              <w:pStyle w:val="TableParagraph"/>
              <w:ind w:right="1267"/>
              <w:rPr>
                <w:sz w:val="21"/>
              </w:rPr>
            </w:pPr>
            <w:r>
              <w:rPr>
                <w:spacing w:val="-5"/>
                <w:sz w:val="21"/>
              </w:rPr>
              <w:t>CA</w:t>
            </w:r>
          </w:p>
        </w:tc>
        <w:tc>
          <w:tcPr>
            <w:tcW w:w="2305" w:type="dxa"/>
          </w:tcPr>
          <w:p w:rsidR="003F5784" w14:paraId="161128A4" w14:textId="77777777">
            <w:pPr>
              <w:pStyle w:val="TableParagraph"/>
              <w:ind w:right="928"/>
              <w:rPr>
                <w:sz w:val="21"/>
              </w:rPr>
            </w:pPr>
            <w:r>
              <w:rPr>
                <w:spacing w:val="-10"/>
                <w:sz w:val="21"/>
              </w:rPr>
              <w:t>5</w:t>
            </w:r>
          </w:p>
        </w:tc>
        <w:tc>
          <w:tcPr>
            <w:tcW w:w="1728" w:type="dxa"/>
          </w:tcPr>
          <w:p w:rsidR="003F5784" w14:paraId="2B50CAA2" w14:textId="77777777">
            <w:pPr>
              <w:pStyle w:val="TableParagraph"/>
              <w:ind w:right="115"/>
              <w:rPr>
                <w:sz w:val="21"/>
              </w:rPr>
            </w:pPr>
            <w:r>
              <w:rPr>
                <w:spacing w:val="-2"/>
                <w:sz w:val="21"/>
              </w:rPr>
              <w:t>938,267</w:t>
            </w:r>
          </w:p>
        </w:tc>
      </w:tr>
      <w:tr w14:paraId="6B70577F" w14:textId="77777777">
        <w:tblPrEx>
          <w:tblW w:w="0" w:type="auto"/>
          <w:tblInd w:w="482" w:type="dxa"/>
          <w:tblLayout w:type="fixed"/>
          <w:tblCellMar>
            <w:left w:w="0" w:type="dxa"/>
            <w:right w:w="0" w:type="dxa"/>
          </w:tblCellMar>
          <w:tblLook w:val="01E0"/>
        </w:tblPrEx>
        <w:trPr>
          <w:trHeight w:val="286"/>
        </w:trPr>
        <w:tc>
          <w:tcPr>
            <w:tcW w:w="5911" w:type="dxa"/>
          </w:tcPr>
          <w:p w:rsidR="003F5784" w14:paraId="585C0D51" w14:textId="77777777">
            <w:pPr>
              <w:pStyle w:val="TableParagraph"/>
              <w:ind w:left="224"/>
              <w:jc w:val="left"/>
              <w:rPr>
                <w:sz w:val="21"/>
              </w:rPr>
            </w:pPr>
            <w:r>
              <w:rPr>
                <w:sz w:val="21"/>
              </w:rPr>
              <w:t>San</w:t>
            </w:r>
            <w:r>
              <w:rPr>
                <w:spacing w:val="-12"/>
                <w:sz w:val="21"/>
              </w:rPr>
              <w:t xml:space="preserve"> </w:t>
            </w:r>
            <w:r>
              <w:rPr>
                <w:sz w:val="21"/>
              </w:rPr>
              <w:t>Jose-Sunnyvale-Santa</w:t>
            </w:r>
            <w:r>
              <w:rPr>
                <w:spacing w:val="-12"/>
                <w:sz w:val="21"/>
              </w:rPr>
              <w:t xml:space="preserve"> </w:t>
            </w:r>
            <w:r>
              <w:rPr>
                <w:spacing w:val="-2"/>
                <w:sz w:val="21"/>
              </w:rPr>
              <w:t>Clara</w:t>
            </w:r>
          </w:p>
        </w:tc>
        <w:tc>
          <w:tcPr>
            <w:tcW w:w="4038" w:type="dxa"/>
          </w:tcPr>
          <w:p w:rsidR="003F5784" w14:paraId="5E77BAE9" w14:textId="77777777">
            <w:pPr>
              <w:pStyle w:val="TableParagraph"/>
              <w:ind w:right="1267"/>
              <w:rPr>
                <w:sz w:val="21"/>
              </w:rPr>
            </w:pPr>
            <w:r>
              <w:rPr>
                <w:spacing w:val="-5"/>
                <w:sz w:val="21"/>
              </w:rPr>
              <w:t>CA</w:t>
            </w:r>
          </w:p>
        </w:tc>
        <w:tc>
          <w:tcPr>
            <w:tcW w:w="2305" w:type="dxa"/>
          </w:tcPr>
          <w:p w:rsidR="003F5784" w14:paraId="324A585C" w14:textId="77777777">
            <w:pPr>
              <w:pStyle w:val="TableParagraph"/>
              <w:ind w:right="928"/>
              <w:rPr>
                <w:sz w:val="21"/>
              </w:rPr>
            </w:pPr>
            <w:r>
              <w:rPr>
                <w:spacing w:val="-10"/>
                <w:sz w:val="21"/>
              </w:rPr>
              <w:t>2</w:t>
            </w:r>
          </w:p>
        </w:tc>
        <w:tc>
          <w:tcPr>
            <w:tcW w:w="1728" w:type="dxa"/>
          </w:tcPr>
          <w:p w:rsidR="003F5784" w14:paraId="692C817C" w14:textId="77777777">
            <w:pPr>
              <w:pStyle w:val="TableParagraph"/>
              <w:ind w:right="115"/>
              <w:rPr>
                <w:sz w:val="21"/>
              </w:rPr>
            </w:pPr>
            <w:r>
              <w:rPr>
                <w:spacing w:val="-2"/>
                <w:sz w:val="21"/>
              </w:rPr>
              <w:t>445,589</w:t>
            </w:r>
          </w:p>
        </w:tc>
      </w:tr>
      <w:tr w14:paraId="5C8DBCDB" w14:textId="77777777">
        <w:tblPrEx>
          <w:tblW w:w="0" w:type="auto"/>
          <w:tblInd w:w="482" w:type="dxa"/>
          <w:tblLayout w:type="fixed"/>
          <w:tblCellMar>
            <w:left w:w="0" w:type="dxa"/>
            <w:right w:w="0" w:type="dxa"/>
          </w:tblCellMar>
          <w:tblLook w:val="01E0"/>
        </w:tblPrEx>
        <w:trPr>
          <w:trHeight w:val="288"/>
        </w:trPr>
        <w:tc>
          <w:tcPr>
            <w:tcW w:w="5911" w:type="dxa"/>
            <w:tcBorders>
              <w:bottom w:val="single" w:sz="18" w:space="0" w:color="800000"/>
            </w:tcBorders>
          </w:tcPr>
          <w:p w:rsidR="003F5784" w14:paraId="4FD9A117" w14:textId="77777777">
            <w:pPr>
              <w:pStyle w:val="TableParagraph"/>
              <w:ind w:left="224"/>
              <w:jc w:val="left"/>
              <w:rPr>
                <w:sz w:val="21"/>
              </w:rPr>
            </w:pPr>
            <w:r>
              <w:rPr>
                <w:spacing w:val="-2"/>
                <w:sz w:val="21"/>
              </w:rPr>
              <w:t>Seattle-Tacoma-Bellevue</w:t>
            </w:r>
          </w:p>
        </w:tc>
        <w:tc>
          <w:tcPr>
            <w:tcW w:w="4038" w:type="dxa"/>
            <w:tcBorders>
              <w:bottom w:val="single" w:sz="18" w:space="0" w:color="800000"/>
            </w:tcBorders>
          </w:tcPr>
          <w:p w:rsidR="003F5784" w14:paraId="6B05D63B" w14:textId="77777777">
            <w:pPr>
              <w:pStyle w:val="TableParagraph"/>
              <w:ind w:right="1267"/>
              <w:rPr>
                <w:sz w:val="21"/>
              </w:rPr>
            </w:pPr>
            <w:r>
              <w:rPr>
                <w:spacing w:val="-5"/>
                <w:sz w:val="21"/>
              </w:rPr>
              <w:t>WA</w:t>
            </w:r>
          </w:p>
        </w:tc>
        <w:tc>
          <w:tcPr>
            <w:tcW w:w="2305" w:type="dxa"/>
            <w:tcBorders>
              <w:bottom w:val="single" w:sz="18" w:space="0" w:color="800000"/>
            </w:tcBorders>
          </w:tcPr>
          <w:p w:rsidR="003F5784" w14:paraId="59F87E55" w14:textId="77777777">
            <w:pPr>
              <w:pStyle w:val="TableParagraph"/>
              <w:ind w:right="928"/>
              <w:rPr>
                <w:sz w:val="21"/>
              </w:rPr>
            </w:pPr>
            <w:r>
              <w:rPr>
                <w:spacing w:val="-10"/>
                <w:sz w:val="21"/>
              </w:rPr>
              <w:t>3</w:t>
            </w:r>
          </w:p>
        </w:tc>
        <w:tc>
          <w:tcPr>
            <w:tcW w:w="1728" w:type="dxa"/>
            <w:tcBorders>
              <w:bottom w:val="single" w:sz="18" w:space="0" w:color="800000"/>
            </w:tcBorders>
          </w:tcPr>
          <w:p w:rsidR="003F5784" w14:paraId="2D13681C" w14:textId="77777777">
            <w:pPr>
              <w:pStyle w:val="TableParagraph"/>
              <w:ind w:right="115"/>
              <w:rPr>
                <w:sz w:val="21"/>
              </w:rPr>
            </w:pPr>
            <w:r>
              <w:rPr>
                <w:spacing w:val="-2"/>
                <w:sz w:val="21"/>
              </w:rPr>
              <w:t>836,518</w:t>
            </w:r>
          </w:p>
        </w:tc>
      </w:tr>
    </w:tbl>
    <w:p w:rsidR="003F5784" w14:paraId="449310B9" w14:textId="77777777">
      <w:pPr>
        <w:spacing w:before="25" w:line="207" w:lineRule="exact"/>
        <w:ind w:left="595"/>
        <w:rPr>
          <w:sz w:val="18"/>
        </w:rPr>
      </w:pPr>
      <w:r>
        <w:rPr>
          <w:sz w:val="18"/>
        </w:rPr>
        <w:t>†</w:t>
      </w:r>
      <w:r>
        <w:rPr>
          <w:spacing w:val="1"/>
          <w:sz w:val="18"/>
        </w:rPr>
        <w:t xml:space="preserve"> </w:t>
      </w:r>
      <w:r>
        <w:rPr>
          <w:sz w:val="18"/>
        </w:rPr>
        <w:t>Not</w:t>
      </w:r>
      <w:r>
        <w:rPr>
          <w:spacing w:val="2"/>
          <w:sz w:val="18"/>
        </w:rPr>
        <w:t xml:space="preserve"> </w:t>
      </w:r>
      <w:r>
        <w:rPr>
          <w:spacing w:val="-2"/>
          <w:sz w:val="18"/>
        </w:rPr>
        <w:t>applicable.</w:t>
      </w:r>
    </w:p>
    <w:p w:rsidR="003F5784" w14:paraId="58F56A03" w14:textId="77777777">
      <w:pPr>
        <w:pStyle w:val="BodyText"/>
        <w:spacing w:before="6"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59F0E901" w14:textId="77777777">
      <w:pPr>
        <w:pStyle w:val="BodyText"/>
      </w:pPr>
    </w:p>
    <w:p w:rsidR="003F5784" w14:paraId="0A27A522" w14:textId="77777777">
      <w:pPr>
        <w:pStyle w:val="BodyText"/>
      </w:pPr>
    </w:p>
    <w:p w:rsidR="003F5784" w14:paraId="2DF6ADB1" w14:textId="77777777">
      <w:pPr>
        <w:pStyle w:val="BodyText"/>
      </w:pPr>
    </w:p>
    <w:p w:rsidR="003F5784" w14:paraId="6B723CCF" w14:textId="77777777">
      <w:pPr>
        <w:pStyle w:val="BodyText"/>
        <w:spacing w:before="190"/>
      </w:pPr>
    </w:p>
    <w:p w:rsidR="003F5784" w14:paraId="1893C56A" w14:textId="77777777">
      <w:pPr>
        <w:ind w:left="3895"/>
        <w:rPr>
          <w:sz w:val="18"/>
        </w:rPr>
      </w:pPr>
      <w:hyperlink r:id="rId217">
        <w:r>
          <w:rPr>
            <w:spacing w:val="-2"/>
            <w:w w:val="105"/>
            <w:sz w:val="18"/>
          </w:rPr>
          <w:t>http://nces.ed.gov/nationsreportcard/tdw/sample_design/2022/primary_sampling_unit_generation_certainty_psus_for_the_2022_assessment.aspx</w:t>
        </w:r>
      </w:hyperlink>
    </w:p>
    <w:p w:rsidR="003F5784" w14:paraId="780942DB" w14:textId="77777777">
      <w:pPr>
        <w:pStyle w:val="BodyText"/>
        <w:spacing w:before="1"/>
        <w:rPr>
          <w:sz w:val="16"/>
        </w:rPr>
      </w:pPr>
      <w:r>
        <w:rPr>
          <w:noProof/>
        </w:rPr>
        <mc:AlternateContent>
          <mc:Choice Requires="wps">
            <w:drawing>
              <wp:anchor distT="0" distB="0" distL="0" distR="0" simplePos="0" relativeHeight="251905024" behindDoc="1" locked="0" layoutInCell="1" allowOverlap="1">
                <wp:simplePos x="0" y="0"/>
                <wp:positionH relativeFrom="page">
                  <wp:posOffset>361937</wp:posOffset>
                </wp:positionH>
                <wp:positionV relativeFrom="paragraph">
                  <wp:posOffset>132918</wp:posOffset>
                </wp:positionV>
                <wp:extent cx="9339580" cy="8890"/>
                <wp:effectExtent l="0" t="0" r="0" b="0"/>
                <wp:wrapTopAndBottom/>
                <wp:docPr id="247" name="Graphic 247"/>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47" o:spid="_x0000_s1123" style="width:735.4pt;height:0.7pt;margin-top:10.45pt;margin-left:28.5pt;mso-position-horizontal-relative:page;mso-wrap-distance-bottom:0;mso-wrap-distance-left:0;mso-wrap-distance-right:0;mso-wrap-distance-top:0;mso-wrap-style:square;position:absolute;visibility:visible;v-text-anchor:top;z-index:-251410432" coordsize="9339580,8890" path="m9338970,l9335110,l8280,,,,,8280l8280,8280l9335110,8280l9338970,8280l9338970,xe" fillcolor="gray" stroked="f">
                <v:path arrowok="t"/>
                <w10:wrap type="topAndBottom"/>
              </v:shape>
            </w:pict>
          </mc:Fallback>
        </mc:AlternateContent>
      </w:r>
    </w:p>
    <w:p w:rsidR="003F5784" w14:paraId="1656B31D" w14:textId="77777777">
      <w:pPr>
        <w:pStyle w:val="BodyText"/>
        <w:rPr>
          <w:sz w:val="18"/>
        </w:rPr>
      </w:pPr>
    </w:p>
    <w:p w:rsidR="003F5784" w14:paraId="17221436" w14:textId="77777777">
      <w:pPr>
        <w:pStyle w:val="BodyText"/>
        <w:spacing w:before="193"/>
        <w:rPr>
          <w:sz w:val="18"/>
        </w:rPr>
      </w:pPr>
    </w:p>
    <w:p w:rsidR="003F5784" w14:paraId="116E29B2" w14:textId="77777777">
      <w:pPr>
        <w:pStyle w:val="Heading1"/>
        <w:spacing w:line="244" w:lineRule="auto"/>
      </w:pPr>
      <w:r>
        <w:t>NAEP</w:t>
      </w:r>
      <w:r>
        <w:rPr>
          <w:spacing w:val="-13"/>
        </w:rPr>
        <w:t xml:space="preserve"> </w:t>
      </w:r>
      <w:r>
        <w:t>TechnicaL</w:t>
      </w:r>
      <w:r>
        <w:rPr>
          <w:spacing w:val="-5"/>
        </w:rPr>
        <w:t xml:space="preserve"> </w:t>
      </w:r>
      <w:r>
        <w:t>Documentation Primary Sampling Unit (PSU) Generation: Metropolitan Statistical Areas for the 2022 Assessment</w:t>
      </w:r>
    </w:p>
    <w:p w:rsidR="003F5784" w14:paraId="4A424F7B" w14:textId="77777777">
      <w:pPr>
        <w:pStyle w:val="BodyText"/>
        <w:spacing w:before="301" w:line="232" w:lineRule="auto"/>
        <w:ind w:left="109" w:right="125"/>
      </w:pPr>
      <w:r>
        <w:t>Primary Sampling Units (PSUs) for NAEP</w:t>
      </w:r>
      <w:r>
        <w:rPr>
          <w:spacing w:val="-8"/>
        </w:rPr>
        <w:t xml:space="preserve"> </w:t>
      </w:r>
      <w:r>
        <w:t>are classified as either metropolitan statistical areas</w:t>
      </w:r>
      <w:r>
        <w:rPr>
          <w:position w:val="8"/>
          <w:sz w:val="17"/>
        </w:rPr>
        <w:t xml:space="preserve">1 </w:t>
      </w:r>
      <w:r>
        <w:t>(metro areas) or non-metro areas. Each metro area constitutes a separate PSU, except</w:t>
      </w:r>
      <w:r>
        <w:rPr>
          <w:spacing w:val="-6"/>
        </w:rPr>
        <w:t xml:space="preserve"> </w:t>
      </w:r>
      <w:r>
        <w:t>when</w:t>
      </w:r>
      <w:r>
        <w:rPr>
          <w:spacing w:val="-6"/>
        </w:rPr>
        <w:t xml:space="preserve"> </w:t>
      </w:r>
      <w:r>
        <w:t>it</w:t>
      </w:r>
      <w:r>
        <w:rPr>
          <w:spacing w:val="-6"/>
        </w:rPr>
        <w:t xml:space="preserve"> </w:t>
      </w:r>
      <w:r>
        <w:t>crosses</w:t>
      </w:r>
      <w:r>
        <w:rPr>
          <w:spacing w:val="-6"/>
        </w:rPr>
        <w:t xml:space="preserve"> </w:t>
      </w:r>
      <w:r>
        <w:t>census</w:t>
      </w:r>
      <w:r>
        <w:rPr>
          <w:spacing w:val="-6"/>
        </w:rPr>
        <w:t xml:space="preserve"> </w:t>
      </w:r>
      <w:r>
        <w:t>region</w:t>
      </w:r>
      <w:r>
        <w:rPr>
          <w:spacing w:val="-6"/>
        </w:rPr>
        <w:t xml:space="preserve"> </w:t>
      </w:r>
      <w:r>
        <w:t>boundaries.</w:t>
      </w:r>
      <w:r>
        <w:rPr>
          <w:spacing w:val="-6"/>
        </w:rPr>
        <w:t xml:space="preserve"> </w:t>
      </w:r>
      <w:r>
        <w:t>Such</w:t>
      </w:r>
      <w:r>
        <w:rPr>
          <w:spacing w:val="-6"/>
        </w:rPr>
        <w:t xml:space="preserve"> </w:t>
      </w:r>
      <w:r>
        <w:t>metro</w:t>
      </w:r>
      <w:r>
        <w:rPr>
          <w:spacing w:val="-6"/>
        </w:rPr>
        <w:t xml:space="preserve"> </w:t>
      </w:r>
      <w:r>
        <w:t>areas</w:t>
      </w:r>
      <w:r>
        <w:rPr>
          <w:spacing w:val="-6"/>
        </w:rPr>
        <w:t xml:space="preserve"> </w:t>
      </w:r>
      <w:r>
        <w:t>are</w:t>
      </w:r>
      <w:r>
        <w:rPr>
          <w:spacing w:val="-6"/>
        </w:rPr>
        <w:t xml:space="preserve"> </w:t>
      </w:r>
      <w:r>
        <w:t>split</w:t>
      </w:r>
      <w:r>
        <w:rPr>
          <w:spacing w:val="-6"/>
        </w:rPr>
        <w:t xml:space="preserve"> </w:t>
      </w:r>
      <w:r>
        <w:t>along</w:t>
      </w:r>
      <w:r>
        <w:rPr>
          <w:spacing w:val="-6"/>
        </w:rPr>
        <w:t xml:space="preserve"> </w:t>
      </w:r>
      <w:r>
        <w:t>regional</w:t>
      </w:r>
      <w:r>
        <w:rPr>
          <w:spacing w:val="-6"/>
        </w:rPr>
        <w:t xml:space="preserve"> </w:t>
      </w:r>
      <w:r>
        <w:t>boundaries</w:t>
      </w:r>
      <w:r>
        <w:rPr>
          <w:spacing w:val="-6"/>
        </w:rPr>
        <w:t xml:space="preserve"> </w:t>
      </w:r>
      <w:r>
        <w:t>with</w:t>
      </w:r>
      <w:r>
        <w:rPr>
          <w:spacing w:val="-6"/>
        </w:rPr>
        <w:t xml:space="preserve"> </w:t>
      </w:r>
      <w:r>
        <w:t>each</w:t>
      </w:r>
      <w:r>
        <w:rPr>
          <w:spacing w:val="-6"/>
        </w:rPr>
        <w:t xml:space="preserve"> </w:t>
      </w:r>
      <w:r>
        <w:t>regional</w:t>
      </w:r>
      <w:r>
        <w:rPr>
          <w:spacing w:val="-6"/>
        </w:rPr>
        <w:t xml:space="preserve"> </w:t>
      </w:r>
      <w:r>
        <w:t>part</w:t>
      </w:r>
      <w:r>
        <w:rPr>
          <w:spacing w:val="-6"/>
        </w:rPr>
        <w:t xml:space="preserve"> </w:t>
      </w:r>
      <w:r>
        <w:t>considered</w:t>
      </w:r>
      <w:r>
        <w:rPr>
          <w:spacing w:val="-6"/>
        </w:rPr>
        <w:t xml:space="preserve"> </w:t>
      </w:r>
      <w:r>
        <w:t>its</w:t>
      </w:r>
      <w:r>
        <w:rPr>
          <w:spacing w:val="-6"/>
        </w:rPr>
        <w:t xml:space="preserve"> </w:t>
      </w:r>
      <w:r>
        <w:t>own</w:t>
      </w:r>
      <w:r>
        <w:rPr>
          <w:spacing w:val="-6"/>
        </w:rPr>
        <w:t xml:space="preserve"> </w:t>
      </w:r>
      <w:r>
        <w:t>distinct</w:t>
      </w:r>
      <w:r>
        <w:rPr>
          <w:spacing w:val="-6"/>
        </w:rPr>
        <w:t xml:space="preserve"> </w:t>
      </w:r>
      <w:r>
        <w:t>PSU.</w:t>
      </w:r>
      <w:r>
        <w:rPr>
          <w:spacing w:val="-6"/>
        </w:rPr>
        <w:t xml:space="preserve"> </w:t>
      </w:r>
      <w:r>
        <w:t>For</w:t>
      </w:r>
      <w:r>
        <w:rPr>
          <w:spacing w:val="-6"/>
        </w:rPr>
        <w:t xml:space="preserve"> </w:t>
      </w:r>
      <w:r>
        <w:t>example,</w:t>
      </w:r>
      <w:r>
        <w:rPr>
          <w:spacing w:val="-6"/>
        </w:rPr>
        <w:t xml:space="preserve"> </w:t>
      </w:r>
      <w:r>
        <w:t>the Louisville-Jefferson</w:t>
      </w:r>
      <w:r>
        <w:rPr>
          <w:spacing w:val="-5"/>
        </w:rPr>
        <w:t xml:space="preserve"> </w:t>
      </w:r>
      <w:r>
        <w:t>County,</w:t>
      </w:r>
      <w:r>
        <w:rPr>
          <w:spacing w:val="-5"/>
        </w:rPr>
        <w:t xml:space="preserve"> </w:t>
      </w:r>
      <w:r>
        <w:t>KY-IN</w:t>
      </w:r>
      <w:r>
        <w:rPr>
          <w:spacing w:val="-5"/>
        </w:rPr>
        <w:t xml:space="preserve"> </w:t>
      </w:r>
      <w:r>
        <w:t>metro</w:t>
      </w:r>
      <w:r>
        <w:rPr>
          <w:spacing w:val="-5"/>
        </w:rPr>
        <w:t xml:space="preserve"> </w:t>
      </w:r>
      <w:r>
        <w:t>area</w:t>
      </w:r>
      <w:r>
        <w:rPr>
          <w:spacing w:val="-5"/>
        </w:rPr>
        <w:t xml:space="preserve"> </w:t>
      </w:r>
      <w:r>
        <w:t>was</w:t>
      </w:r>
      <w:r>
        <w:rPr>
          <w:spacing w:val="-5"/>
        </w:rPr>
        <w:t xml:space="preserve"> </w:t>
      </w:r>
      <w:r>
        <w:t>partitioned</w:t>
      </w:r>
      <w:r>
        <w:rPr>
          <w:spacing w:val="-5"/>
        </w:rPr>
        <w:t xml:space="preserve"> </w:t>
      </w:r>
      <w:r>
        <w:t>into</w:t>
      </w:r>
      <w:r>
        <w:rPr>
          <w:spacing w:val="-5"/>
        </w:rPr>
        <w:t xml:space="preserve"> </w:t>
      </w:r>
      <w:r>
        <w:t>two</w:t>
      </w:r>
      <w:r>
        <w:rPr>
          <w:spacing w:val="-5"/>
        </w:rPr>
        <w:t xml:space="preserve"> </w:t>
      </w:r>
      <w:r>
        <w:t>PSUs,</w:t>
      </w:r>
      <w:r>
        <w:rPr>
          <w:spacing w:val="-5"/>
        </w:rPr>
        <w:t xml:space="preserve"> </w:t>
      </w:r>
      <w:r>
        <w:t>one</w:t>
      </w:r>
      <w:r>
        <w:rPr>
          <w:spacing w:val="-5"/>
        </w:rPr>
        <w:t xml:space="preserve"> </w:t>
      </w:r>
      <w:r>
        <w:t>for</w:t>
      </w:r>
      <w:r>
        <w:rPr>
          <w:spacing w:val="-5"/>
        </w:rPr>
        <w:t xml:space="preserve"> </w:t>
      </w:r>
      <w:r>
        <w:t>the</w:t>
      </w:r>
      <w:r>
        <w:rPr>
          <w:spacing w:val="-5"/>
        </w:rPr>
        <w:t xml:space="preserve"> </w:t>
      </w:r>
      <w:r>
        <w:t>counties</w:t>
      </w:r>
      <w:r>
        <w:rPr>
          <w:spacing w:val="-5"/>
        </w:rPr>
        <w:t xml:space="preserve"> </w:t>
      </w:r>
      <w:r>
        <w:t>in</w:t>
      </w:r>
      <w:r>
        <w:rPr>
          <w:spacing w:val="-5"/>
        </w:rPr>
        <w:t xml:space="preserve"> </w:t>
      </w:r>
      <w:r>
        <w:t>Kentucky</w:t>
      </w:r>
      <w:r>
        <w:rPr>
          <w:spacing w:val="-5"/>
        </w:rPr>
        <w:t xml:space="preserve"> </w:t>
      </w:r>
      <w:r>
        <w:t>which</w:t>
      </w:r>
      <w:r>
        <w:rPr>
          <w:spacing w:val="-5"/>
        </w:rPr>
        <w:t xml:space="preserve"> </w:t>
      </w:r>
      <w:r>
        <w:t>are</w:t>
      </w:r>
      <w:r>
        <w:rPr>
          <w:spacing w:val="-5"/>
        </w:rPr>
        <w:t xml:space="preserve"> </w:t>
      </w:r>
      <w:r>
        <w:t>part</w:t>
      </w:r>
      <w:r>
        <w:rPr>
          <w:spacing w:val="-5"/>
        </w:rPr>
        <w:t xml:space="preserve"> </w:t>
      </w:r>
      <w:r>
        <w:t>of</w:t>
      </w:r>
      <w:r>
        <w:rPr>
          <w:spacing w:val="-5"/>
        </w:rPr>
        <w:t xml:space="preserve"> </w:t>
      </w:r>
      <w:r>
        <w:t>the</w:t>
      </w:r>
      <w:r>
        <w:rPr>
          <w:spacing w:val="-5"/>
        </w:rPr>
        <w:t xml:space="preserve"> </w:t>
      </w:r>
      <w:r>
        <w:t>South</w:t>
      </w:r>
      <w:r>
        <w:rPr>
          <w:spacing w:val="-5"/>
        </w:rPr>
        <w:t xml:space="preserve"> </w:t>
      </w:r>
      <w:r>
        <w:t>region</w:t>
      </w:r>
      <w:r>
        <w:rPr>
          <w:spacing w:val="-5"/>
        </w:rPr>
        <w:t xml:space="preserve"> </w:t>
      </w:r>
      <w:r>
        <w:t>and</w:t>
      </w:r>
      <w:r>
        <w:rPr>
          <w:spacing w:val="-5"/>
        </w:rPr>
        <w:t xml:space="preserve"> </w:t>
      </w:r>
      <w:r>
        <w:t>the</w:t>
      </w:r>
      <w:r>
        <w:rPr>
          <w:spacing w:val="-5"/>
        </w:rPr>
        <w:t xml:space="preserve"> </w:t>
      </w:r>
      <w:r>
        <w:t>other</w:t>
      </w:r>
      <w:r>
        <w:rPr>
          <w:spacing w:val="-5"/>
        </w:rPr>
        <w:t xml:space="preserve"> </w:t>
      </w:r>
      <w:r>
        <w:t>for</w:t>
      </w:r>
      <w:r>
        <w:rPr>
          <w:spacing w:val="-5"/>
        </w:rPr>
        <w:t xml:space="preserve"> </w:t>
      </w:r>
      <w:r>
        <w:t>counties</w:t>
      </w:r>
      <w:r>
        <w:rPr>
          <w:spacing w:val="-5"/>
        </w:rPr>
        <w:t xml:space="preserve"> </w:t>
      </w:r>
      <w:r>
        <w:t>in Indiana which are part of the Midwest region.</w:t>
      </w:r>
    </w:p>
    <w:p w:rsidR="003F5784" w14:paraId="6CEFF5E7" w14:textId="77777777">
      <w:pPr>
        <w:pStyle w:val="BodyText"/>
        <w:spacing w:before="205" w:line="232" w:lineRule="auto"/>
        <w:ind w:left="109" w:right="179"/>
      </w:pPr>
      <w:r>
        <w:t>In total, there were 372 metro area PSUs, 29 of which were defined as certainty PSUs.</w:t>
      </w:r>
      <w:r>
        <w:rPr>
          <w:spacing w:val="-3"/>
        </w:rPr>
        <w:t xml:space="preserve"> </w:t>
      </w:r>
      <w:r>
        <w:t>The remaining 343 metro area PSUs, covering a total of 858 counties, constituted the noncertainty portion of the metro area PSU sampling frame.</w:t>
      </w:r>
      <w:r>
        <w:rPr>
          <w:spacing w:val="-3"/>
        </w:rPr>
        <w:t xml:space="preserve"> </w:t>
      </w:r>
      <w:r>
        <w:t>The estimated number of youths used to define certainty and noncertainty PSUs was the number of persons aged 17 or under from the 2010 Decennial Census.</w:t>
      </w:r>
      <w:r>
        <w:rPr>
          <w:spacing w:val="-4"/>
        </w:rPr>
        <w:t xml:space="preserve"> </w:t>
      </w:r>
      <w:r>
        <w:t>The table below presents the number of PSUs, the number of counties represented, and the updated estimated number of youths (total</w:t>
      </w:r>
      <w:r>
        <w:rPr>
          <w:spacing w:val="-6"/>
        </w:rPr>
        <w:t xml:space="preserve"> </w:t>
      </w:r>
      <w:r>
        <w:t>and</w:t>
      </w:r>
      <w:r>
        <w:rPr>
          <w:spacing w:val="-6"/>
        </w:rPr>
        <w:t xml:space="preserve"> </w:t>
      </w:r>
      <w:r>
        <w:t>mean</w:t>
      </w:r>
      <w:r>
        <w:rPr>
          <w:spacing w:val="-6"/>
        </w:rPr>
        <w:t xml:space="preserve"> </w:t>
      </w:r>
      <w:r>
        <w:t>per</w:t>
      </w:r>
      <w:r>
        <w:rPr>
          <w:spacing w:val="-6"/>
        </w:rPr>
        <w:t xml:space="preserve"> </w:t>
      </w:r>
      <w:r>
        <w:t>PSU)</w:t>
      </w:r>
      <w:r>
        <w:rPr>
          <w:spacing w:val="-6"/>
        </w:rPr>
        <w:t xml:space="preserve"> </w:t>
      </w:r>
      <w:r>
        <w:t>in</w:t>
      </w:r>
      <w:r>
        <w:rPr>
          <w:spacing w:val="-6"/>
        </w:rPr>
        <w:t xml:space="preserve"> </w:t>
      </w:r>
      <w:r>
        <w:t>noncertainty</w:t>
      </w:r>
      <w:r>
        <w:rPr>
          <w:spacing w:val="-6"/>
        </w:rPr>
        <w:t xml:space="preserve"> </w:t>
      </w:r>
      <w:r>
        <w:t>metro</w:t>
      </w:r>
      <w:r>
        <w:rPr>
          <w:spacing w:val="-6"/>
        </w:rPr>
        <w:t xml:space="preserve"> </w:t>
      </w:r>
      <w:r>
        <w:t>area</w:t>
      </w:r>
      <w:r>
        <w:rPr>
          <w:spacing w:val="-6"/>
        </w:rPr>
        <w:t xml:space="preserve"> </w:t>
      </w:r>
      <w:r>
        <w:t>PSUs</w:t>
      </w:r>
      <w:r>
        <w:rPr>
          <w:spacing w:val="-6"/>
        </w:rPr>
        <w:t xml:space="preserve"> </w:t>
      </w:r>
      <w:r>
        <w:t>by</w:t>
      </w:r>
      <w:r>
        <w:rPr>
          <w:spacing w:val="-6"/>
        </w:rPr>
        <w:t xml:space="preserve"> </w:t>
      </w:r>
      <w:r>
        <w:t>census</w:t>
      </w:r>
      <w:r>
        <w:rPr>
          <w:spacing w:val="-6"/>
        </w:rPr>
        <w:t xml:space="preserve"> </w:t>
      </w:r>
      <w:r>
        <w:t>region.</w:t>
      </w:r>
      <w:r>
        <w:rPr>
          <w:spacing w:val="-9"/>
        </w:rPr>
        <w:t xml:space="preserve"> </w:t>
      </w:r>
      <w:r>
        <w:t>These</w:t>
      </w:r>
      <w:r>
        <w:rPr>
          <w:spacing w:val="-6"/>
        </w:rPr>
        <w:t xml:space="preserve"> </w:t>
      </w:r>
      <w:r>
        <w:t>updated</w:t>
      </w:r>
      <w:r>
        <w:rPr>
          <w:spacing w:val="-6"/>
        </w:rPr>
        <w:t xml:space="preserve"> </w:t>
      </w:r>
      <w:r>
        <w:t>estimates</w:t>
      </w:r>
      <w:r>
        <w:rPr>
          <w:spacing w:val="-6"/>
        </w:rPr>
        <w:t xml:space="preserve"> </w:t>
      </w:r>
      <w:r>
        <w:t>come</w:t>
      </w:r>
      <w:r>
        <w:rPr>
          <w:spacing w:val="-6"/>
        </w:rPr>
        <w:t xml:space="preserve"> </w:t>
      </w:r>
      <w:r>
        <w:t>from</w:t>
      </w:r>
      <w:r>
        <w:rPr>
          <w:spacing w:val="-6"/>
        </w:rPr>
        <w:t xml:space="preserve"> </w:t>
      </w:r>
      <w:r>
        <w:t>the</w:t>
      </w:r>
      <w:r>
        <w:rPr>
          <w:spacing w:val="-6"/>
        </w:rPr>
        <w:t xml:space="preserve"> </w:t>
      </w:r>
      <w:r>
        <w:t>county-level</w:t>
      </w:r>
      <w:r>
        <w:rPr>
          <w:spacing w:val="-6"/>
        </w:rPr>
        <w:t xml:space="preserve"> </w:t>
      </w:r>
      <w:r>
        <w:t>estimates</w:t>
      </w:r>
      <w:r>
        <w:rPr>
          <w:spacing w:val="-6"/>
        </w:rPr>
        <w:t xml:space="preserve"> </w:t>
      </w:r>
      <w:r>
        <w:t>of</w:t>
      </w:r>
      <w:r>
        <w:rPr>
          <w:spacing w:val="-6"/>
        </w:rPr>
        <w:t xml:space="preserve"> </w:t>
      </w:r>
      <w:r>
        <w:t>numbers</w:t>
      </w:r>
      <w:r>
        <w:rPr>
          <w:spacing w:val="-6"/>
        </w:rPr>
        <w:t xml:space="preserve"> </w:t>
      </w:r>
      <w:r>
        <w:t>of</w:t>
      </w:r>
      <w:r>
        <w:rPr>
          <w:spacing w:val="-6"/>
        </w:rPr>
        <w:t xml:space="preserve"> </w:t>
      </w:r>
      <w:r>
        <w:t>persons</w:t>
      </w:r>
      <w:r>
        <w:rPr>
          <w:spacing w:val="-6"/>
        </w:rPr>
        <w:t xml:space="preserve"> </w:t>
      </w:r>
      <w:r>
        <w:t>aged</w:t>
      </w:r>
      <w:r>
        <w:rPr>
          <w:spacing w:val="-6"/>
        </w:rPr>
        <w:t xml:space="preserve"> </w:t>
      </w:r>
      <w:r>
        <w:t>0</w:t>
      </w:r>
      <w:r>
        <w:rPr>
          <w:spacing w:val="-6"/>
        </w:rPr>
        <w:t xml:space="preserve"> </w:t>
      </w:r>
      <w:r>
        <w:t>to</w:t>
      </w:r>
      <w:r>
        <w:rPr>
          <w:spacing w:val="-6"/>
        </w:rPr>
        <w:t xml:space="preserve"> </w:t>
      </w:r>
      <w:r>
        <w:t>17 from the 2017 U.S. Census Bureau population estimates.</w:t>
      </w:r>
    </w:p>
    <w:p w:rsidR="003F5784" w14:paraId="4CB97F0D" w14:textId="77777777">
      <w:pPr>
        <w:pStyle w:val="BodyText"/>
        <w:spacing w:before="93"/>
      </w:pPr>
    </w:p>
    <w:p w:rsidR="003F5784" w14:paraId="034BF15D" w14:textId="77777777">
      <w:pPr>
        <w:pStyle w:val="Heading2"/>
        <w:spacing w:before="1"/>
      </w:pPr>
      <w:r>
        <w:t>Noncertainty</w:t>
      </w:r>
      <w:r>
        <w:rPr>
          <w:spacing w:val="-9"/>
        </w:rPr>
        <w:t xml:space="preserve"> </w:t>
      </w:r>
      <w:r>
        <w:t>metropolitan</w:t>
      </w:r>
      <w:r>
        <w:rPr>
          <w:spacing w:val="-9"/>
        </w:rPr>
        <w:t xml:space="preserve"> </w:t>
      </w:r>
      <w:r>
        <w:t>primary</w:t>
      </w:r>
      <w:r>
        <w:rPr>
          <w:spacing w:val="-8"/>
        </w:rPr>
        <w:t xml:space="preserve"> </w:t>
      </w:r>
      <w:r>
        <w:t>sampling</w:t>
      </w:r>
      <w:r>
        <w:rPr>
          <w:spacing w:val="-9"/>
        </w:rPr>
        <w:t xml:space="preserve"> </w:t>
      </w:r>
      <w:r>
        <w:t>unit</w:t>
      </w:r>
      <w:r>
        <w:rPr>
          <w:spacing w:val="-9"/>
        </w:rPr>
        <w:t xml:space="preserve"> </w:t>
      </w:r>
      <w:r>
        <w:t>(PSU)</w:t>
      </w:r>
      <w:r>
        <w:rPr>
          <w:spacing w:val="-8"/>
        </w:rPr>
        <w:t xml:space="preserve"> </w:t>
      </w:r>
      <w:r>
        <w:t>frame,</w:t>
      </w:r>
      <w:r>
        <w:rPr>
          <w:spacing w:val="-9"/>
        </w:rPr>
        <w:t xml:space="preserve"> </w:t>
      </w:r>
      <w:r>
        <w:t>by</w:t>
      </w:r>
      <w:r>
        <w:rPr>
          <w:spacing w:val="-9"/>
        </w:rPr>
        <w:t xml:space="preserve"> </w:t>
      </w:r>
      <w:r>
        <w:t>census</w:t>
      </w:r>
      <w:r>
        <w:rPr>
          <w:spacing w:val="-8"/>
        </w:rPr>
        <w:t xml:space="preserve"> </w:t>
      </w:r>
      <w:r>
        <w:t>region:</w:t>
      </w:r>
      <w:r>
        <w:rPr>
          <w:spacing w:val="-9"/>
        </w:rPr>
        <w:t xml:space="preserve"> </w:t>
      </w:r>
      <w:r>
        <w:rPr>
          <w:spacing w:val="-4"/>
        </w:rPr>
        <w:t>2022</w:t>
      </w:r>
    </w:p>
    <w:p w:rsidR="003F5784" w14:paraId="137735E2"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2455"/>
        <w:gridCol w:w="2227"/>
        <w:gridCol w:w="2074"/>
        <w:gridCol w:w="3006"/>
        <w:gridCol w:w="4222"/>
      </w:tblGrid>
      <w:tr w14:paraId="6272C0A7" w14:textId="77777777">
        <w:tblPrEx>
          <w:tblW w:w="0" w:type="auto"/>
          <w:tblInd w:w="482" w:type="dxa"/>
          <w:tblLayout w:type="fixed"/>
          <w:tblCellMar>
            <w:left w:w="0" w:type="dxa"/>
            <w:right w:w="0" w:type="dxa"/>
          </w:tblCellMar>
          <w:tblLook w:val="01E0"/>
        </w:tblPrEx>
        <w:trPr>
          <w:trHeight w:val="267"/>
        </w:trPr>
        <w:tc>
          <w:tcPr>
            <w:tcW w:w="2455" w:type="dxa"/>
            <w:tcBorders>
              <w:top w:val="single" w:sz="18" w:space="0" w:color="800000"/>
              <w:bottom w:val="single" w:sz="18" w:space="0" w:color="800000"/>
            </w:tcBorders>
          </w:tcPr>
          <w:p w:rsidR="003F5784" w14:paraId="5F5AE250" w14:textId="77777777">
            <w:pPr>
              <w:pStyle w:val="TableParagraph"/>
              <w:spacing w:before="9" w:line="238" w:lineRule="exact"/>
              <w:ind w:left="120"/>
              <w:jc w:val="left"/>
              <w:rPr>
                <w:sz w:val="21"/>
              </w:rPr>
            </w:pPr>
            <w:r>
              <w:rPr>
                <w:sz w:val="21"/>
              </w:rPr>
              <w:t>Census</w:t>
            </w:r>
            <w:r>
              <w:rPr>
                <w:spacing w:val="-8"/>
                <w:sz w:val="21"/>
              </w:rPr>
              <w:t xml:space="preserve"> </w:t>
            </w:r>
            <w:r>
              <w:rPr>
                <w:spacing w:val="-2"/>
                <w:sz w:val="21"/>
              </w:rPr>
              <w:t>region</w:t>
            </w:r>
          </w:p>
        </w:tc>
        <w:tc>
          <w:tcPr>
            <w:tcW w:w="2227" w:type="dxa"/>
            <w:tcBorders>
              <w:top w:val="single" w:sz="18" w:space="0" w:color="800000"/>
              <w:bottom w:val="single" w:sz="18" w:space="0" w:color="800000"/>
            </w:tcBorders>
          </w:tcPr>
          <w:p w:rsidR="003F5784" w14:paraId="3CA90548" w14:textId="77777777">
            <w:pPr>
              <w:pStyle w:val="TableParagraph"/>
              <w:spacing w:before="9" w:line="238" w:lineRule="exact"/>
              <w:ind w:right="613"/>
              <w:rPr>
                <w:sz w:val="21"/>
              </w:rPr>
            </w:pPr>
            <w:r>
              <w:rPr>
                <w:spacing w:val="-4"/>
                <w:sz w:val="21"/>
              </w:rPr>
              <w:t>PSUs</w:t>
            </w:r>
          </w:p>
        </w:tc>
        <w:tc>
          <w:tcPr>
            <w:tcW w:w="2074" w:type="dxa"/>
            <w:tcBorders>
              <w:top w:val="single" w:sz="18" w:space="0" w:color="800000"/>
              <w:bottom w:val="single" w:sz="18" w:space="0" w:color="800000"/>
            </w:tcBorders>
          </w:tcPr>
          <w:p w:rsidR="003F5784" w14:paraId="3B3C7C6A" w14:textId="77777777">
            <w:pPr>
              <w:pStyle w:val="TableParagraph"/>
              <w:spacing w:before="9" w:line="238" w:lineRule="exact"/>
              <w:ind w:right="713"/>
              <w:rPr>
                <w:sz w:val="21"/>
              </w:rPr>
            </w:pPr>
            <w:r>
              <w:rPr>
                <w:spacing w:val="-2"/>
                <w:sz w:val="21"/>
              </w:rPr>
              <w:t>Counties</w:t>
            </w:r>
          </w:p>
        </w:tc>
        <w:tc>
          <w:tcPr>
            <w:tcW w:w="3006" w:type="dxa"/>
            <w:tcBorders>
              <w:top w:val="single" w:sz="18" w:space="0" w:color="800000"/>
              <w:bottom w:val="single" w:sz="18" w:space="0" w:color="800000"/>
            </w:tcBorders>
          </w:tcPr>
          <w:p w:rsidR="003F5784" w14:paraId="1A7DBF82" w14:textId="77777777">
            <w:pPr>
              <w:pStyle w:val="TableParagraph"/>
              <w:spacing w:before="9" w:line="238" w:lineRule="exact"/>
              <w:ind w:right="1348"/>
              <w:rPr>
                <w:sz w:val="21"/>
              </w:rPr>
            </w:pPr>
            <w:r>
              <w:rPr>
                <w:spacing w:val="-2"/>
                <w:sz w:val="21"/>
              </w:rPr>
              <w:t>Youths</w:t>
            </w:r>
          </w:p>
        </w:tc>
        <w:tc>
          <w:tcPr>
            <w:tcW w:w="4222" w:type="dxa"/>
            <w:tcBorders>
              <w:top w:val="single" w:sz="18" w:space="0" w:color="800000"/>
              <w:bottom w:val="single" w:sz="18" w:space="0" w:color="800000"/>
            </w:tcBorders>
          </w:tcPr>
          <w:p w:rsidR="003F5784" w14:paraId="65289F43" w14:textId="77777777">
            <w:pPr>
              <w:pStyle w:val="TableParagraph"/>
              <w:spacing w:before="9" w:line="238" w:lineRule="exact"/>
              <w:ind w:right="117"/>
              <w:rPr>
                <w:sz w:val="21"/>
              </w:rPr>
            </w:pPr>
            <w:r>
              <w:rPr>
                <w:sz w:val="21"/>
              </w:rPr>
              <w:t>Mean</w:t>
            </w:r>
            <w:r>
              <w:rPr>
                <w:spacing w:val="-6"/>
                <w:sz w:val="21"/>
              </w:rPr>
              <w:t xml:space="preserve"> </w:t>
            </w:r>
            <w:r>
              <w:rPr>
                <w:sz w:val="21"/>
              </w:rPr>
              <w:t>number</w:t>
            </w:r>
            <w:r>
              <w:rPr>
                <w:spacing w:val="-5"/>
                <w:sz w:val="21"/>
              </w:rPr>
              <w:t xml:space="preserve"> </w:t>
            </w:r>
            <w:r>
              <w:rPr>
                <w:sz w:val="21"/>
              </w:rPr>
              <w:t>of</w:t>
            </w:r>
            <w:r>
              <w:rPr>
                <w:spacing w:val="-5"/>
                <w:sz w:val="21"/>
              </w:rPr>
              <w:t xml:space="preserve"> </w:t>
            </w:r>
            <w:r>
              <w:rPr>
                <w:sz w:val="21"/>
              </w:rPr>
              <w:t>youths</w:t>
            </w:r>
            <w:r>
              <w:rPr>
                <w:spacing w:val="-5"/>
                <w:sz w:val="21"/>
              </w:rPr>
              <w:t xml:space="preserve"> </w:t>
            </w:r>
            <w:r>
              <w:rPr>
                <w:sz w:val="21"/>
              </w:rPr>
              <w:t>per</w:t>
            </w:r>
            <w:r>
              <w:rPr>
                <w:spacing w:val="-6"/>
                <w:sz w:val="21"/>
              </w:rPr>
              <w:t xml:space="preserve"> </w:t>
            </w:r>
            <w:r>
              <w:rPr>
                <w:spacing w:val="-5"/>
                <w:sz w:val="21"/>
              </w:rPr>
              <w:t>PSU</w:t>
            </w:r>
          </w:p>
        </w:tc>
      </w:tr>
      <w:tr w14:paraId="6B4FF040" w14:textId="77777777">
        <w:tblPrEx>
          <w:tblW w:w="0" w:type="auto"/>
          <w:tblInd w:w="482" w:type="dxa"/>
          <w:tblLayout w:type="fixed"/>
          <w:tblCellMar>
            <w:left w:w="0" w:type="dxa"/>
            <w:right w:w="0" w:type="dxa"/>
          </w:tblCellMar>
          <w:tblLook w:val="01E0"/>
        </w:tblPrEx>
        <w:trPr>
          <w:trHeight w:val="278"/>
        </w:trPr>
        <w:tc>
          <w:tcPr>
            <w:tcW w:w="2455" w:type="dxa"/>
            <w:tcBorders>
              <w:top w:val="single" w:sz="18" w:space="0" w:color="800000"/>
            </w:tcBorders>
          </w:tcPr>
          <w:p w:rsidR="003F5784" w14:paraId="6755B569" w14:textId="77777777">
            <w:pPr>
              <w:pStyle w:val="TableParagraph"/>
              <w:spacing w:before="9"/>
              <w:ind w:left="370"/>
              <w:jc w:val="left"/>
              <w:rPr>
                <w:b/>
                <w:sz w:val="21"/>
              </w:rPr>
            </w:pPr>
            <w:r>
              <w:rPr>
                <w:b/>
                <w:spacing w:val="-2"/>
                <w:sz w:val="21"/>
              </w:rPr>
              <w:t>Total</w:t>
            </w:r>
          </w:p>
        </w:tc>
        <w:tc>
          <w:tcPr>
            <w:tcW w:w="2227" w:type="dxa"/>
            <w:tcBorders>
              <w:top w:val="single" w:sz="18" w:space="0" w:color="800000"/>
            </w:tcBorders>
          </w:tcPr>
          <w:p w:rsidR="003F5784" w14:paraId="5E1D68D1" w14:textId="77777777">
            <w:pPr>
              <w:pStyle w:val="TableParagraph"/>
              <w:spacing w:before="9"/>
              <w:ind w:right="613"/>
              <w:rPr>
                <w:b/>
                <w:sz w:val="21"/>
              </w:rPr>
            </w:pPr>
            <w:r>
              <w:rPr>
                <w:b/>
                <w:spacing w:val="-5"/>
                <w:sz w:val="21"/>
              </w:rPr>
              <w:t>343</w:t>
            </w:r>
          </w:p>
        </w:tc>
        <w:tc>
          <w:tcPr>
            <w:tcW w:w="2074" w:type="dxa"/>
            <w:tcBorders>
              <w:top w:val="single" w:sz="18" w:space="0" w:color="800000"/>
            </w:tcBorders>
          </w:tcPr>
          <w:p w:rsidR="003F5784" w14:paraId="294AF471" w14:textId="77777777">
            <w:pPr>
              <w:pStyle w:val="TableParagraph"/>
              <w:spacing w:before="9"/>
              <w:ind w:right="713"/>
              <w:rPr>
                <w:b/>
                <w:sz w:val="21"/>
              </w:rPr>
            </w:pPr>
            <w:r>
              <w:rPr>
                <w:b/>
                <w:spacing w:val="-5"/>
                <w:sz w:val="21"/>
              </w:rPr>
              <w:t>858</w:t>
            </w:r>
          </w:p>
        </w:tc>
        <w:tc>
          <w:tcPr>
            <w:tcW w:w="3006" w:type="dxa"/>
            <w:tcBorders>
              <w:top w:val="single" w:sz="18" w:space="0" w:color="800000"/>
            </w:tcBorders>
          </w:tcPr>
          <w:p w:rsidR="003F5784" w14:paraId="3B9056B6" w14:textId="77777777">
            <w:pPr>
              <w:pStyle w:val="TableParagraph"/>
              <w:spacing w:before="9"/>
              <w:ind w:right="1348"/>
              <w:rPr>
                <w:b/>
                <w:sz w:val="21"/>
              </w:rPr>
            </w:pPr>
            <w:r>
              <w:rPr>
                <w:b/>
                <w:spacing w:val="-2"/>
                <w:sz w:val="21"/>
              </w:rPr>
              <w:t>30,071,926</w:t>
            </w:r>
          </w:p>
        </w:tc>
        <w:tc>
          <w:tcPr>
            <w:tcW w:w="4222" w:type="dxa"/>
            <w:tcBorders>
              <w:top w:val="single" w:sz="18" w:space="0" w:color="800000"/>
            </w:tcBorders>
          </w:tcPr>
          <w:p w:rsidR="003F5784" w14:paraId="2B5B5EC8" w14:textId="77777777">
            <w:pPr>
              <w:pStyle w:val="TableParagraph"/>
              <w:spacing w:before="9"/>
              <w:ind w:right="117"/>
              <w:rPr>
                <w:b/>
                <w:sz w:val="21"/>
              </w:rPr>
            </w:pPr>
            <w:r>
              <w:rPr>
                <w:b/>
                <w:spacing w:val="-2"/>
                <w:sz w:val="21"/>
              </w:rPr>
              <w:t>87,673</w:t>
            </w:r>
          </w:p>
        </w:tc>
      </w:tr>
      <w:tr w14:paraId="0EE63BDD" w14:textId="77777777">
        <w:tblPrEx>
          <w:tblW w:w="0" w:type="auto"/>
          <w:tblInd w:w="482" w:type="dxa"/>
          <w:tblLayout w:type="fixed"/>
          <w:tblCellMar>
            <w:left w:w="0" w:type="dxa"/>
            <w:right w:w="0" w:type="dxa"/>
          </w:tblCellMar>
          <w:tblLook w:val="01E0"/>
        </w:tblPrEx>
        <w:trPr>
          <w:trHeight w:val="286"/>
        </w:trPr>
        <w:tc>
          <w:tcPr>
            <w:tcW w:w="2455" w:type="dxa"/>
          </w:tcPr>
          <w:p w:rsidR="003F5784" w14:paraId="74C0C008" w14:textId="77777777">
            <w:pPr>
              <w:pStyle w:val="TableParagraph"/>
              <w:ind w:left="120"/>
              <w:jc w:val="left"/>
              <w:rPr>
                <w:sz w:val="21"/>
              </w:rPr>
            </w:pPr>
            <w:r>
              <w:rPr>
                <w:spacing w:val="-2"/>
                <w:sz w:val="21"/>
              </w:rPr>
              <w:t>Northeast</w:t>
            </w:r>
          </w:p>
        </w:tc>
        <w:tc>
          <w:tcPr>
            <w:tcW w:w="2227" w:type="dxa"/>
          </w:tcPr>
          <w:p w:rsidR="003F5784" w14:paraId="2193EB9E" w14:textId="77777777">
            <w:pPr>
              <w:pStyle w:val="TableParagraph"/>
              <w:ind w:right="613"/>
              <w:rPr>
                <w:sz w:val="21"/>
              </w:rPr>
            </w:pPr>
            <w:r>
              <w:rPr>
                <w:spacing w:val="-5"/>
                <w:sz w:val="21"/>
              </w:rPr>
              <w:t>43</w:t>
            </w:r>
          </w:p>
        </w:tc>
        <w:tc>
          <w:tcPr>
            <w:tcW w:w="2074" w:type="dxa"/>
          </w:tcPr>
          <w:p w:rsidR="003F5784" w14:paraId="42C2D7DA" w14:textId="77777777">
            <w:pPr>
              <w:pStyle w:val="TableParagraph"/>
              <w:ind w:right="713"/>
              <w:rPr>
                <w:sz w:val="21"/>
              </w:rPr>
            </w:pPr>
            <w:r>
              <w:rPr>
                <w:spacing w:val="-5"/>
                <w:sz w:val="21"/>
              </w:rPr>
              <w:t>84</w:t>
            </w:r>
          </w:p>
        </w:tc>
        <w:tc>
          <w:tcPr>
            <w:tcW w:w="3006" w:type="dxa"/>
          </w:tcPr>
          <w:p w:rsidR="003F5784" w14:paraId="47DF9CAA" w14:textId="77777777">
            <w:pPr>
              <w:pStyle w:val="TableParagraph"/>
              <w:ind w:right="1348"/>
              <w:rPr>
                <w:sz w:val="21"/>
              </w:rPr>
            </w:pPr>
            <w:r>
              <w:rPr>
                <w:spacing w:val="-2"/>
                <w:sz w:val="21"/>
              </w:rPr>
              <w:t>4,353,475</w:t>
            </w:r>
          </w:p>
        </w:tc>
        <w:tc>
          <w:tcPr>
            <w:tcW w:w="4222" w:type="dxa"/>
          </w:tcPr>
          <w:p w:rsidR="003F5784" w14:paraId="6889F0C2" w14:textId="77777777">
            <w:pPr>
              <w:pStyle w:val="TableParagraph"/>
              <w:ind w:right="117"/>
              <w:rPr>
                <w:sz w:val="21"/>
              </w:rPr>
            </w:pPr>
            <w:r>
              <w:rPr>
                <w:spacing w:val="-2"/>
                <w:sz w:val="21"/>
              </w:rPr>
              <w:t>101,244</w:t>
            </w:r>
          </w:p>
        </w:tc>
      </w:tr>
      <w:tr w14:paraId="30CBE6F2" w14:textId="77777777">
        <w:tblPrEx>
          <w:tblW w:w="0" w:type="auto"/>
          <w:tblInd w:w="482" w:type="dxa"/>
          <w:tblLayout w:type="fixed"/>
          <w:tblCellMar>
            <w:left w:w="0" w:type="dxa"/>
            <w:right w:w="0" w:type="dxa"/>
          </w:tblCellMar>
          <w:tblLook w:val="01E0"/>
        </w:tblPrEx>
        <w:trPr>
          <w:trHeight w:val="286"/>
        </w:trPr>
        <w:tc>
          <w:tcPr>
            <w:tcW w:w="2455" w:type="dxa"/>
          </w:tcPr>
          <w:p w:rsidR="003F5784" w14:paraId="31934AA7" w14:textId="77777777">
            <w:pPr>
              <w:pStyle w:val="TableParagraph"/>
              <w:ind w:left="120"/>
              <w:jc w:val="left"/>
              <w:rPr>
                <w:sz w:val="21"/>
              </w:rPr>
            </w:pPr>
            <w:r>
              <w:rPr>
                <w:spacing w:val="-2"/>
                <w:sz w:val="21"/>
              </w:rPr>
              <w:t>Midwest</w:t>
            </w:r>
          </w:p>
        </w:tc>
        <w:tc>
          <w:tcPr>
            <w:tcW w:w="2227" w:type="dxa"/>
          </w:tcPr>
          <w:p w:rsidR="003F5784" w14:paraId="7AA3B970" w14:textId="77777777">
            <w:pPr>
              <w:pStyle w:val="TableParagraph"/>
              <w:ind w:right="613"/>
              <w:rPr>
                <w:sz w:val="21"/>
              </w:rPr>
            </w:pPr>
            <w:r>
              <w:rPr>
                <w:spacing w:val="-5"/>
                <w:sz w:val="21"/>
              </w:rPr>
              <w:t>91</w:t>
            </w:r>
          </w:p>
        </w:tc>
        <w:tc>
          <w:tcPr>
            <w:tcW w:w="2074" w:type="dxa"/>
          </w:tcPr>
          <w:p w:rsidR="003F5784" w14:paraId="760DF68B" w14:textId="77777777">
            <w:pPr>
              <w:pStyle w:val="TableParagraph"/>
              <w:ind w:right="713"/>
              <w:rPr>
                <w:sz w:val="21"/>
              </w:rPr>
            </w:pPr>
            <w:r>
              <w:rPr>
                <w:spacing w:val="-5"/>
                <w:sz w:val="21"/>
              </w:rPr>
              <w:t>229</w:t>
            </w:r>
          </w:p>
        </w:tc>
        <w:tc>
          <w:tcPr>
            <w:tcW w:w="3006" w:type="dxa"/>
          </w:tcPr>
          <w:p w:rsidR="003F5784" w14:paraId="10B83241" w14:textId="77777777">
            <w:pPr>
              <w:pStyle w:val="TableParagraph"/>
              <w:ind w:right="1348"/>
              <w:rPr>
                <w:sz w:val="21"/>
              </w:rPr>
            </w:pPr>
            <w:r>
              <w:rPr>
                <w:spacing w:val="-2"/>
                <w:sz w:val="21"/>
              </w:rPr>
              <w:t>6,989,571</w:t>
            </w:r>
          </w:p>
        </w:tc>
        <w:tc>
          <w:tcPr>
            <w:tcW w:w="4222" w:type="dxa"/>
          </w:tcPr>
          <w:p w:rsidR="003F5784" w14:paraId="056C8F8E" w14:textId="77777777">
            <w:pPr>
              <w:pStyle w:val="TableParagraph"/>
              <w:ind w:right="117"/>
              <w:rPr>
                <w:sz w:val="21"/>
              </w:rPr>
            </w:pPr>
            <w:r>
              <w:rPr>
                <w:spacing w:val="-2"/>
                <w:sz w:val="21"/>
              </w:rPr>
              <w:t>76,808</w:t>
            </w:r>
          </w:p>
        </w:tc>
      </w:tr>
      <w:tr w14:paraId="62C6F922" w14:textId="77777777">
        <w:tblPrEx>
          <w:tblW w:w="0" w:type="auto"/>
          <w:tblInd w:w="482" w:type="dxa"/>
          <w:tblLayout w:type="fixed"/>
          <w:tblCellMar>
            <w:left w:w="0" w:type="dxa"/>
            <w:right w:w="0" w:type="dxa"/>
          </w:tblCellMar>
          <w:tblLook w:val="01E0"/>
        </w:tblPrEx>
        <w:trPr>
          <w:trHeight w:val="288"/>
        </w:trPr>
        <w:tc>
          <w:tcPr>
            <w:tcW w:w="2455" w:type="dxa"/>
            <w:tcBorders>
              <w:bottom w:val="single" w:sz="18" w:space="0" w:color="800000"/>
            </w:tcBorders>
          </w:tcPr>
          <w:p w:rsidR="003F5784" w14:paraId="196799C6" w14:textId="77777777">
            <w:pPr>
              <w:pStyle w:val="TableParagraph"/>
              <w:ind w:left="120"/>
              <w:jc w:val="left"/>
              <w:rPr>
                <w:sz w:val="21"/>
              </w:rPr>
            </w:pPr>
            <w:r>
              <w:rPr>
                <w:spacing w:val="-2"/>
                <w:sz w:val="21"/>
              </w:rPr>
              <w:t>South</w:t>
            </w:r>
          </w:p>
        </w:tc>
        <w:tc>
          <w:tcPr>
            <w:tcW w:w="2227" w:type="dxa"/>
            <w:tcBorders>
              <w:bottom w:val="single" w:sz="18" w:space="0" w:color="800000"/>
            </w:tcBorders>
          </w:tcPr>
          <w:p w:rsidR="003F5784" w14:paraId="3682FBD3" w14:textId="77777777">
            <w:pPr>
              <w:pStyle w:val="TableParagraph"/>
              <w:ind w:right="613"/>
              <w:rPr>
                <w:sz w:val="21"/>
              </w:rPr>
            </w:pPr>
            <w:r>
              <w:rPr>
                <w:spacing w:val="-5"/>
                <w:sz w:val="21"/>
              </w:rPr>
              <w:t>141</w:t>
            </w:r>
          </w:p>
        </w:tc>
        <w:tc>
          <w:tcPr>
            <w:tcW w:w="2074" w:type="dxa"/>
            <w:tcBorders>
              <w:bottom w:val="single" w:sz="18" w:space="0" w:color="800000"/>
            </w:tcBorders>
          </w:tcPr>
          <w:p w:rsidR="003F5784" w14:paraId="5A039EA6" w14:textId="77777777">
            <w:pPr>
              <w:pStyle w:val="TableParagraph"/>
              <w:ind w:right="713"/>
              <w:rPr>
                <w:sz w:val="21"/>
              </w:rPr>
            </w:pPr>
            <w:r>
              <w:rPr>
                <w:spacing w:val="-5"/>
                <w:sz w:val="21"/>
              </w:rPr>
              <w:t>453</w:t>
            </w:r>
          </w:p>
        </w:tc>
        <w:tc>
          <w:tcPr>
            <w:tcW w:w="3006" w:type="dxa"/>
            <w:tcBorders>
              <w:bottom w:val="single" w:sz="18" w:space="0" w:color="800000"/>
            </w:tcBorders>
          </w:tcPr>
          <w:p w:rsidR="003F5784" w14:paraId="57EA2DB4" w14:textId="77777777">
            <w:pPr>
              <w:pStyle w:val="TableParagraph"/>
              <w:ind w:right="1348"/>
              <w:rPr>
                <w:sz w:val="21"/>
              </w:rPr>
            </w:pPr>
            <w:r>
              <w:rPr>
                <w:spacing w:val="-2"/>
                <w:sz w:val="21"/>
              </w:rPr>
              <w:t>13,175,373</w:t>
            </w:r>
          </w:p>
        </w:tc>
        <w:tc>
          <w:tcPr>
            <w:tcW w:w="4222" w:type="dxa"/>
            <w:tcBorders>
              <w:bottom w:val="single" w:sz="18" w:space="0" w:color="800000"/>
            </w:tcBorders>
          </w:tcPr>
          <w:p w:rsidR="003F5784" w14:paraId="4DE845B4" w14:textId="77777777">
            <w:pPr>
              <w:pStyle w:val="TableParagraph"/>
              <w:ind w:right="117"/>
              <w:rPr>
                <w:sz w:val="21"/>
              </w:rPr>
            </w:pPr>
            <w:r>
              <w:rPr>
                <w:spacing w:val="-2"/>
                <w:sz w:val="21"/>
              </w:rPr>
              <w:t>93,442</w:t>
            </w:r>
          </w:p>
        </w:tc>
      </w:tr>
      <w:tr w14:paraId="583FB5B1" w14:textId="77777777">
        <w:tblPrEx>
          <w:tblW w:w="0" w:type="auto"/>
          <w:tblInd w:w="482" w:type="dxa"/>
          <w:tblLayout w:type="fixed"/>
          <w:tblCellMar>
            <w:left w:w="0" w:type="dxa"/>
            <w:right w:w="0" w:type="dxa"/>
          </w:tblCellMar>
          <w:tblLook w:val="01E0"/>
        </w:tblPrEx>
        <w:trPr>
          <w:trHeight w:val="472"/>
        </w:trPr>
        <w:tc>
          <w:tcPr>
            <w:tcW w:w="13984" w:type="dxa"/>
            <w:gridSpan w:val="5"/>
            <w:tcBorders>
              <w:top w:val="single" w:sz="18" w:space="0" w:color="800000"/>
            </w:tcBorders>
          </w:tcPr>
          <w:p w:rsidR="003F5784" w14:paraId="06507907" w14:textId="77777777">
            <w:pPr>
              <w:pStyle w:val="TableParagraph"/>
              <w:spacing w:before="0" w:line="234" w:lineRule="exact"/>
              <w:ind w:left="120"/>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Progress (NAEP), 2022 Long-Term Trend Assessment.</w:t>
            </w:r>
          </w:p>
        </w:tc>
      </w:tr>
    </w:tbl>
    <w:p w:rsidR="003F5784" w14:paraId="1F2A3154" w14:textId="77777777">
      <w:pPr>
        <w:spacing w:line="234" w:lineRule="exact"/>
        <w:rPr>
          <w:sz w:val="21"/>
        </w:rPr>
        <w:sectPr>
          <w:pgSz w:w="15840" w:h="12240" w:orient="landscape"/>
          <w:pgMar w:top="480" w:right="440" w:bottom="460" w:left="460" w:header="284" w:footer="275" w:gutter="0"/>
          <w:cols w:space="720"/>
        </w:sectPr>
      </w:pPr>
    </w:p>
    <w:tbl>
      <w:tblPr>
        <w:tblW w:w="0" w:type="auto"/>
        <w:tblInd w:w="482" w:type="dxa"/>
        <w:tblLayout w:type="fixed"/>
        <w:tblCellMar>
          <w:left w:w="0" w:type="dxa"/>
          <w:right w:w="0" w:type="dxa"/>
        </w:tblCellMar>
        <w:tblLook w:val="01E0"/>
      </w:tblPr>
      <w:tblGrid>
        <w:gridCol w:w="2195"/>
        <w:gridCol w:w="2754"/>
        <w:gridCol w:w="1860"/>
        <w:gridCol w:w="4043"/>
        <w:gridCol w:w="3133"/>
      </w:tblGrid>
      <w:tr w14:paraId="3313A620" w14:textId="77777777">
        <w:tblPrEx>
          <w:tblW w:w="0" w:type="auto"/>
          <w:tblInd w:w="482" w:type="dxa"/>
          <w:tblLayout w:type="fixed"/>
          <w:tblCellMar>
            <w:left w:w="0" w:type="dxa"/>
            <w:right w:w="0" w:type="dxa"/>
          </w:tblCellMar>
          <w:tblLook w:val="01E0"/>
        </w:tblPrEx>
        <w:trPr>
          <w:trHeight w:val="280"/>
        </w:trPr>
        <w:tc>
          <w:tcPr>
            <w:tcW w:w="2195" w:type="dxa"/>
            <w:tcBorders>
              <w:top w:val="single" w:sz="18" w:space="0" w:color="800000"/>
              <w:bottom w:val="single" w:sz="18" w:space="0" w:color="800000"/>
            </w:tcBorders>
          </w:tcPr>
          <w:p w:rsidR="003F5784" w14:paraId="30B317D1" w14:textId="77777777">
            <w:pPr>
              <w:pStyle w:val="TableParagraph"/>
              <w:spacing w:before="9"/>
              <w:ind w:left="120"/>
              <w:jc w:val="left"/>
              <w:rPr>
                <w:sz w:val="21"/>
              </w:rPr>
            </w:pPr>
            <w:r>
              <w:rPr>
                <w:spacing w:val="-4"/>
                <w:sz w:val="21"/>
              </w:rPr>
              <w:t>West</w:t>
            </w:r>
          </w:p>
        </w:tc>
        <w:tc>
          <w:tcPr>
            <w:tcW w:w="2754" w:type="dxa"/>
            <w:tcBorders>
              <w:top w:val="single" w:sz="18" w:space="0" w:color="800000"/>
              <w:bottom w:val="single" w:sz="18" w:space="0" w:color="800000"/>
            </w:tcBorders>
          </w:tcPr>
          <w:p w:rsidR="003F5784" w14:paraId="61A57E85" w14:textId="77777777">
            <w:pPr>
              <w:pStyle w:val="TableParagraph"/>
              <w:spacing w:before="9"/>
              <w:ind w:left="1663"/>
              <w:jc w:val="left"/>
              <w:rPr>
                <w:sz w:val="21"/>
              </w:rPr>
            </w:pPr>
            <w:r>
              <w:rPr>
                <w:spacing w:val="-5"/>
                <w:sz w:val="21"/>
              </w:rPr>
              <w:t>68</w:t>
            </w:r>
          </w:p>
        </w:tc>
        <w:tc>
          <w:tcPr>
            <w:tcW w:w="1860" w:type="dxa"/>
            <w:tcBorders>
              <w:top w:val="single" w:sz="18" w:space="0" w:color="800000"/>
              <w:bottom w:val="single" w:sz="18" w:space="0" w:color="800000"/>
            </w:tcBorders>
          </w:tcPr>
          <w:p w:rsidR="003F5784" w14:paraId="24F3AD1A" w14:textId="77777777">
            <w:pPr>
              <w:pStyle w:val="TableParagraph"/>
              <w:spacing w:before="9"/>
              <w:ind w:left="113"/>
              <w:jc w:val="center"/>
              <w:rPr>
                <w:sz w:val="21"/>
              </w:rPr>
            </w:pPr>
            <w:r>
              <w:rPr>
                <w:spacing w:val="-5"/>
                <w:sz w:val="21"/>
              </w:rPr>
              <w:t>92</w:t>
            </w:r>
          </w:p>
        </w:tc>
        <w:tc>
          <w:tcPr>
            <w:tcW w:w="4043" w:type="dxa"/>
            <w:tcBorders>
              <w:top w:val="single" w:sz="18" w:space="0" w:color="800000"/>
              <w:bottom w:val="single" w:sz="18" w:space="0" w:color="800000"/>
            </w:tcBorders>
          </w:tcPr>
          <w:p w:rsidR="003F5784" w14:paraId="334490CB" w14:textId="77777777">
            <w:pPr>
              <w:pStyle w:val="TableParagraph"/>
              <w:spacing w:before="9"/>
              <w:ind w:left="768"/>
              <w:jc w:val="left"/>
              <w:rPr>
                <w:sz w:val="21"/>
              </w:rPr>
            </w:pPr>
            <w:r>
              <w:rPr>
                <w:spacing w:val="-2"/>
                <w:sz w:val="21"/>
              </w:rPr>
              <w:t>5,553,507</w:t>
            </w:r>
          </w:p>
        </w:tc>
        <w:tc>
          <w:tcPr>
            <w:tcW w:w="3133" w:type="dxa"/>
            <w:tcBorders>
              <w:top w:val="single" w:sz="18" w:space="0" w:color="800000"/>
              <w:bottom w:val="single" w:sz="18" w:space="0" w:color="800000"/>
            </w:tcBorders>
          </w:tcPr>
          <w:p w:rsidR="003F5784" w14:paraId="6873871F" w14:textId="77777777">
            <w:pPr>
              <w:pStyle w:val="TableParagraph"/>
              <w:spacing w:before="9"/>
              <w:ind w:right="118"/>
              <w:rPr>
                <w:sz w:val="21"/>
              </w:rPr>
            </w:pPr>
            <w:r>
              <w:rPr>
                <w:spacing w:val="-2"/>
                <w:sz w:val="21"/>
              </w:rPr>
              <w:t>81,669</w:t>
            </w:r>
          </w:p>
        </w:tc>
      </w:tr>
    </w:tbl>
    <w:p w:rsidR="003F5784" w14:paraId="13D8E8C1" w14:textId="77777777">
      <w:pPr>
        <w:pStyle w:val="BodyText"/>
        <w:spacing w:before="20"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0365E066" w14:textId="77777777">
      <w:pPr>
        <w:pStyle w:val="BodyText"/>
        <w:spacing w:before="236"/>
      </w:pPr>
    </w:p>
    <w:p w:rsidR="003F5784" w14:paraId="765E69F1" w14:textId="77777777">
      <w:pPr>
        <w:spacing w:line="264" w:lineRule="auto"/>
        <w:ind w:left="109" w:right="2665"/>
        <w:rPr>
          <w:sz w:val="15"/>
        </w:rPr>
      </w:pPr>
      <w:r>
        <w:rPr>
          <w:w w:val="105"/>
          <w:position w:val="8"/>
          <w:sz w:val="17"/>
        </w:rPr>
        <w:t>1</w:t>
      </w:r>
      <w:r>
        <w:rPr>
          <w:spacing w:val="-5"/>
          <w:w w:val="105"/>
          <w:position w:val="8"/>
          <w:sz w:val="17"/>
        </w:rPr>
        <w:t xml:space="preserve"> </w:t>
      </w:r>
      <w:r>
        <w:rPr>
          <w:w w:val="105"/>
          <w:sz w:val="15"/>
        </w:rPr>
        <w:t>Based</w:t>
      </w:r>
      <w:r>
        <w:rPr>
          <w:spacing w:val="-5"/>
          <w:w w:val="105"/>
          <w:sz w:val="15"/>
        </w:rPr>
        <w:t xml:space="preserve"> </w:t>
      </w:r>
      <w:r>
        <w:rPr>
          <w:w w:val="105"/>
          <w:sz w:val="15"/>
        </w:rPr>
        <w:t>on</w:t>
      </w:r>
      <w:r>
        <w:rPr>
          <w:spacing w:val="-5"/>
          <w:w w:val="105"/>
          <w:sz w:val="15"/>
        </w:rPr>
        <w:t xml:space="preserve"> </w:t>
      </w:r>
      <w:r>
        <w:rPr>
          <w:w w:val="105"/>
          <w:sz w:val="15"/>
        </w:rPr>
        <w:t>the</w:t>
      </w:r>
      <w:r>
        <w:rPr>
          <w:spacing w:val="-5"/>
          <w:w w:val="105"/>
          <w:sz w:val="15"/>
        </w:rPr>
        <w:t xml:space="preserve"> </w:t>
      </w:r>
      <w:r>
        <w:rPr>
          <w:w w:val="105"/>
          <w:sz w:val="15"/>
        </w:rPr>
        <w:t>2009</w:t>
      </w:r>
      <w:r>
        <w:rPr>
          <w:spacing w:val="-5"/>
          <w:w w:val="105"/>
          <w:sz w:val="15"/>
        </w:rPr>
        <w:t xml:space="preserve"> </w:t>
      </w:r>
      <w:r>
        <w:rPr>
          <w:w w:val="105"/>
          <w:sz w:val="15"/>
        </w:rPr>
        <w:t>metro</w:t>
      </w:r>
      <w:r>
        <w:rPr>
          <w:spacing w:val="-5"/>
          <w:w w:val="105"/>
          <w:sz w:val="15"/>
        </w:rPr>
        <w:t xml:space="preserve"> </w:t>
      </w:r>
      <w:r>
        <w:rPr>
          <w:w w:val="105"/>
          <w:sz w:val="15"/>
        </w:rPr>
        <w:t>area</w:t>
      </w:r>
      <w:r>
        <w:rPr>
          <w:spacing w:val="-5"/>
          <w:w w:val="105"/>
          <w:sz w:val="15"/>
        </w:rPr>
        <w:t xml:space="preserve"> </w:t>
      </w:r>
      <w:r>
        <w:rPr>
          <w:w w:val="105"/>
          <w:sz w:val="15"/>
        </w:rPr>
        <w:t>definitions,</w:t>
      </w:r>
      <w:r>
        <w:rPr>
          <w:spacing w:val="-5"/>
          <w:w w:val="105"/>
          <w:sz w:val="15"/>
        </w:rPr>
        <w:t xml:space="preserve"> </w:t>
      </w:r>
      <w:r>
        <w:rPr>
          <w:w w:val="105"/>
          <w:sz w:val="15"/>
        </w:rPr>
        <w:t>the</w:t>
      </w:r>
      <w:r>
        <w:rPr>
          <w:spacing w:val="-5"/>
          <w:w w:val="105"/>
          <w:sz w:val="15"/>
        </w:rPr>
        <w:t xml:space="preserve"> </w:t>
      </w:r>
      <w:r>
        <w:rPr>
          <w:w w:val="105"/>
          <w:sz w:val="15"/>
        </w:rPr>
        <w:t>most</w:t>
      </w:r>
      <w:r>
        <w:rPr>
          <w:spacing w:val="-5"/>
          <w:w w:val="105"/>
          <w:sz w:val="15"/>
        </w:rPr>
        <w:t xml:space="preserve"> </w:t>
      </w:r>
      <w:r>
        <w:rPr>
          <w:w w:val="105"/>
          <w:sz w:val="15"/>
        </w:rPr>
        <w:t>recent</w:t>
      </w:r>
      <w:r>
        <w:rPr>
          <w:spacing w:val="-5"/>
          <w:w w:val="105"/>
          <w:sz w:val="15"/>
        </w:rPr>
        <w:t xml:space="preserve"> </w:t>
      </w:r>
      <w:r>
        <w:rPr>
          <w:w w:val="105"/>
          <w:sz w:val="15"/>
        </w:rPr>
        <w:t>available</w:t>
      </w:r>
      <w:r>
        <w:rPr>
          <w:spacing w:val="-5"/>
          <w:w w:val="105"/>
          <w:sz w:val="15"/>
        </w:rPr>
        <w:t xml:space="preserve"> </w:t>
      </w:r>
      <w:r>
        <w:rPr>
          <w:w w:val="105"/>
          <w:sz w:val="15"/>
        </w:rPr>
        <w:t>metro</w:t>
      </w:r>
      <w:r>
        <w:rPr>
          <w:spacing w:val="-5"/>
          <w:w w:val="105"/>
          <w:sz w:val="15"/>
        </w:rPr>
        <w:t xml:space="preserve"> </w:t>
      </w:r>
      <w:r>
        <w:rPr>
          <w:w w:val="105"/>
          <w:sz w:val="15"/>
        </w:rPr>
        <w:t>area</w:t>
      </w:r>
      <w:r>
        <w:rPr>
          <w:spacing w:val="-5"/>
          <w:w w:val="105"/>
          <w:sz w:val="15"/>
        </w:rPr>
        <w:t xml:space="preserve"> </w:t>
      </w:r>
      <w:r>
        <w:rPr>
          <w:w w:val="105"/>
          <w:sz w:val="15"/>
        </w:rPr>
        <w:t>definitions</w:t>
      </w:r>
      <w:r>
        <w:rPr>
          <w:spacing w:val="-5"/>
          <w:w w:val="105"/>
          <w:sz w:val="15"/>
        </w:rPr>
        <w:t xml:space="preserve"> </w:t>
      </w:r>
      <w:r>
        <w:rPr>
          <w:w w:val="105"/>
          <w:sz w:val="15"/>
        </w:rPr>
        <w:t>at</w:t>
      </w:r>
      <w:r>
        <w:rPr>
          <w:spacing w:val="-5"/>
          <w:w w:val="105"/>
          <w:sz w:val="15"/>
        </w:rPr>
        <w:t xml:space="preserve"> </w:t>
      </w:r>
      <w:r>
        <w:rPr>
          <w:w w:val="105"/>
          <w:sz w:val="15"/>
        </w:rPr>
        <w:t>the</w:t>
      </w:r>
      <w:r>
        <w:rPr>
          <w:spacing w:val="-5"/>
          <w:w w:val="105"/>
          <w:sz w:val="15"/>
        </w:rPr>
        <w:t xml:space="preserve"> </w:t>
      </w:r>
      <w:r>
        <w:rPr>
          <w:w w:val="105"/>
          <w:sz w:val="15"/>
        </w:rPr>
        <w:t>time</w:t>
      </w:r>
      <w:r>
        <w:rPr>
          <w:spacing w:val="-5"/>
          <w:w w:val="105"/>
          <w:sz w:val="15"/>
        </w:rPr>
        <w:t xml:space="preserve"> </w:t>
      </w:r>
      <w:r>
        <w:rPr>
          <w:w w:val="105"/>
          <w:sz w:val="15"/>
        </w:rPr>
        <w:t>of</w:t>
      </w:r>
      <w:r>
        <w:rPr>
          <w:spacing w:val="-5"/>
          <w:w w:val="105"/>
          <w:sz w:val="15"/>
        </w:rPr>
        <w:t xml:space="preserve"> </w:t>
      </w:r>
      <w:r>
        <w:rPr>
          <w:w w:val="105"/>
          <w:sz w:val="15"/>
        </w:rPr>
        <w:t>PSU</w:t>
      </w:r>
      <w:r>
        <w:rPr>
          <w:spacing w:val="-5"/>
          <w:w w:val="105"/>
          <w:sz w:val="15"/>
        </w:rPr>
        <w:t xml:space="preserve"> </w:t>
      </w:r>
      <w:r>
        <w:rPr>
          <w:w w:val="105"/>
          <w:sz w:val="15"/>
        </w:rPr>
        <w:t>construction,</w:t>
      </w:r>
      <w:r>
        <w:rPr>
          <w:spacing w:val="-5"/>
          <w:w w:val="105"/>
          <w:sz w:val="15"/>
        </w:rPr>
        <w:t xml:space="preserve"> </w:t>
      </w:r>
      <w:r>
        <w:rPr>
          <w:w w:val="105"/>
          <w:sz w:val="15"/>
        </w:rPr>
        <w:t>from</w:t>
      </w:r>
      <w:r>
        <w:rPr>
          <w:spacing w:val="-5"/>
          <w:w w:val="105"/>
          <w:sz w:val="15"/>
        </w:rPr>
        <w:t xml:space="preserve"> </w:t>
      </w:r>
      <w:r>
        <w:rPr>
          <w:w w:val="105"/>
          <w:sz w:val="15"/>
        </w:rPr>
        <w:t>the</w:t>
      </w:r>
      <w:r>
        <w:rPr>
          <w:spacing w:val="-5"/>
          <w:w w:val="105"/>
          <w:sz w:val="15"/>
        </w:rPr>
        <w:t xml:space="preserve"> </w:t>
      </w:r>
      <w:r>
        <w:rPr>
          <w:w w:val="105"/>
          <w:sz w:val="15"/>
        </w:rPr>
        <w:t>U.S.</w:t>
      </w:r>
      <w:r>
        <w:rPr>
          <w:spacing w:val="-5"/>
          <w:w w:val="105"/>
          <w:sz w:val="15"/>
        </w:rPr>
        <w:t xml:space="preserve"> </w:t>
      </w:r>
      <w:r>
        <w:rPr>
          <w:w w:val="105"/>
          <w:sz w:val="15"/>
        </w:rPr>
        <w:t>Office</w:t>
      </w:r>
      <w:r>
        <w:rPr>
          <w:spacing w:val="-5"/>
          <w:w w:val="105"/>
          <w:sz w:val="15"/>
        </w:rPr>
        <w:t xml:space="preserve"> </w:t>
      </w:r>
      <w:r>
        <w:rPr>
          <w:w w:val="105"/>
          <w:sz w:val="15"/>
        </w:rPr>
        <w:t>of</w:t>
      </w:r>
      <w:r>
        <w:rPr>
          <w:spacing w:val="-5"/>
          <w:w w:val="105"/>
          <w:sz w:val="15"/>
        </w:rPr>
        <w:t xml:space="preserve"> </w:t>
      </w:r>
      <w:r>
        <w:rPr>
          <w:w w:val="105"/>
          <w:sz w:val="15"/>
        </w:rPr>
        <w:t>Management</w:t>
      </w:r>
      <w:r>
        <w:rPr>
          <w:spacing w:val="-5"/>
          <w:w w:val="105"/>
          <w:sz w:val="15"/>
        </w:rPr>
        <w:t xml:space="preserve"> </w:t>
      </w:r>
      <w:r>
        <w:rPr>
          <w:w w:val="105"/>
          <w:sz w:val="15"/>
        </w:rPr>
        <w:t>and</w:t>
      </w:r>
      <w:r>
        <w:rPr>
          <w:spacing w:val="-5"/>
          <w:w w:val="105"/>
          <w:sz w:val="15"/>
        </w:rPr>
        <w:t xml:space="preserve"> </w:t>
      </w:r>
      <w:r>
        <w:rPr>
          <w:w w:val="105"/>
          <w:sz w:val="15"/>
        </w:rPr>
        <w:t>Budget</w:t>
      </w:r>
      <w:r>
        <w:rPr>
          <w:spacing w:val="-5"/>
          <w:w w:val="105"/>
          <w:sz w:val="15"/>
        </w:rPr>
        <w:t xml:space="preserve"> </w:t>
      </w:r>
      <w:r>
        <w:rPr>
          <w:w w:val="105"/>
          <w:sz w:val="15"/>
        </w:rPr>
        <w:t>(OMB</w:t>
      </w:r>
      <w:r>
        <w:rPr>
          <w:spacing w:val="-5"/>
          <w:w w:val="105"/>
          <w:sz w:val="15"/>
        </w:rPr>
        <w:t xml:space="preserve"> </w:t>
      </w:r>
      <w:r>
        <w:rPr>
          <w:w w:val="105"/>
          <w:sz w:val="15"/>
        </w:rPr>
        <w:t>Bulletin</w:t>
      </w:r>
      <w:r>
        <w:rPr>
          <w:spacing w:val="-5"/>
          <w:w w:val="105"/>
          <w:sz w:val="15"/>
        </w:rPr>
        <w:t xml:space="preserve"> </w:t>
      </w:r>
      <w:r>
        <w:rPr>
          <w:w w:val="105"/>
          <w:sz w:val="15"/>
        </w:rPr>
        <w:t>No.</w:t>
      </w:r>
      <w:r>
        <w:rPr>
          <w:spacing w:val="40"/>
          <w:w w:val="105"/>
          <w:sz w:val="15"/>
        </w:rPr>
        <w:t xml:space="preserve"> </w:t>
      </w:r>
      <w:r>
        <w:rPr>
          <w:spacing w:val="-2"/>
          <w:w w:val="105"/>
          <w:sz w:val="15"/>
        </w:rPr>
        <w:t>10-02).</w:t>
      </w:r>
    </w:p>
    <w:p w:rsidR="003F5784" w14:paraId="1F1327EE" w14:textId="77777777">
      <w:pPr>
        <w:pStyle w:val="BodyText"/>
        <w:rPr>
          <w:sz w:val="15"/>
        </w:rPr>
      </w:pPr>
    </w:p>
    <w:p w:rsidR="003F5784" w14:paraId="3CEFA629" w14:textId="77777777">
      <w:pPr>
        <w:pStyle w:val="BodyText"/>
        <w:rPr>
          <w:sz w:val="15"/>
        </w:rPr>
      </w:pPr>
    </w:p>
    <w:p w:rsidR="003F5784" w14:paraId="50C63E6C" w14:textId="77777777">
      <w:pPr>
        <w:pStyle w:val="BodyText"/>
        <w:rPr>
          <w:sz w:val="15"/>
        </w:rPr>
      </w:pPr>
    </w:p>
    <w:p w:rsidR="003F5784" w14:paraId="605592AB" w14:textId="77777777">
      <w:pPr>
        <w:pStyle w:val="BodyText"/>
        <w:rPr>
          <w:sz w:val="15"/>
        </w:rPr>
      </w:pPr>
    </w:p>
    <w:p w:rsidR="003F5784" w14:paraId="4DE8975E" w14:textId="77777777">
      <w:pPr>
        <w:pStyle w:val="BodyText"/>
        <w:spacing w:before="14"/>
        <w:rPr>
          <w:sz w:val="15"/>
        </w:rPr>
      </w:pPr>
    </w:p>
    <w:p w:rsidR="003F5784" w14:paraId="6F03C48B" w14:textId="77777777">
      <w:pPr>
        <w:ind w:left="2738"/>
        <w:rPr>
          <w:sz w:val="18"/>
        </w:rPr>
      </w:pPr>
      <w:hyperlink r:id="rId218">
        <w:r>
          <w:rPr>
            <w:spacing w:val="-2"/>
            <w:w w:val="105"/>
            <w:sz w:val="18"/>
          </w:rPr>
          <w:t>http://nces.ed.gov/nationsreportcard/tdw/sample_design/2022/primary_sampling_unit_generation_metropolitan_statistical_areas_for_the_2022_assessment.aspx</w:t>
        </w:r>
      </w:hyperlink>
    </w:p>
    <w:p w:rsidR="003F5784" w14:paraId="7E97E8B3" w14:textId="77777777">
      <w:pPr>
        <w:pStyle w:val="BodyText"/>
        <w:spacing w:before="11"/>
        <w:rPr>
          <w:sz w:val="14"/>
        </w:rPr>
      </w:pPr>
      <w:r>
        <w:rPr>
          <w:noProof/>
        </w:rPr>
        <mc:AlternateContent>
          <mc:Choice Requires="wps">
            <w:drawing>
              <wp:anchor distT="0" distB="0" distL="0" distR="0" simplePos="0" relativeHeight="251907072" behindDoc="1" locked="0" layoutInCell="1" allowOverlap="1">
                <wp:simplePos x="0" y="0"/>
                <wp:positionH relativeFrom="page">
                  <wp:posOffset>361937</wp:posOffset>
                </wp:positionH>
                <wp:positionV relativeFrom="paragraph">
                  <wp:posOffset>124438</wp:posOffset>
                </wp:positionV>
                <wp:extent cx="9339580" cy="8890"/>
                <wp:effectExtent l="0" t="0" r="0" b="0"/>
                <wp:wrapTopAndBottom/>
                <wp:docPr id="255" name="Graphic 255"/>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80"/>
                              </a:lnTo>
                              <a:lnTo>
                                <a:pt x="9335110" y="8293"/>
                              </a:lnTo>
                              <a:lnTo>
                                <a:pt x="9338970" y="8293"/>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55" o:spid="_x0000_s1124" style="width:735.4pt;height:0.7pt;margin-top:9.8pt;margin-left:28.5pt;mso-position-horizontal-relative:page;mso-wrap-distance-bottom:0;mso-wrap-distance-left:0;mso-wrap-distance-right:0;mso-wrap-distance-top:0;mso-wrap-style:square;position:absolute;visibility:visible;v-text-anchor:top;z-index:-251408384" coordsize="9339580,8890" path="m9338970,12l9335110,12l8280,12,,,,8280l9335110,8293l9338970,8293l9338970,12xe" fillcolor="gray" stroked="f">
                <v:path arrowok="t"/>
                <w10:wrap type="topAndBottom"/>
              </v:shape>
            </w:pict>
          </mc:Fallback>
        </mc:AlternateContent>
      </w:r>
    </w:p>
    <w:p w:rsidR="003F5784" w14:paraId="24C723EC" w14:textId="77777777">
      <w:pPr>
        <w:pStyle w:val="BodyText"/>
        <w:rPr>
          <w:sz w:val="18"/>
        </w:rPr>
      </w:pPr>
    </w:p>
    <w:p w:rsidR="003F5784" w14:paraId="06B9E92F" w14:textId="77777777">
      <w:pPr>
        <w:pStyle w:val="BodyText"/>
        <w:spacing w:before="206"/>
        <w:rPr>
          <w:sz w:val="18"/>
        </w:rPr>
      </w:pPr>
    </w:p>
    <w:p w:rsidR="003F5784" w14:paraId="25335863" w14:textId="77777777">
      <w:pPr>
        <w:pStyle w:val="Heading1"/>
        <w:spacing w:line="244" w:lineRule="auto"/>
      </w:pPr>
      <w:r>
        <w:t>NAEP</w:t>
      </w:r>
      <w:r>
        <w:rPr>
          <w:spacing w:val="-15"/>
        </w:rPr>
        <w:t xml:space="preserve"> </w:t>
      </w:r>
      <w:r>
        <w:t>Technical Documentation Primary Sampling Unit (PSU) Generation: Non- Metropolitan Statistical Areas for the 2022 Assessment</w:t>
      </w:r>
    </w:p>
    <w:p w:rsidR="003F5784" w14:paraId="3DD29D2A" w14:textId="77777777">
      <w:pPr>
        <w:pStyle w:val="BodyText"/>
        <w:spacing w:before="292" w:line="228" w:lineRule="auto"/>
        <w:ind w:left="109"/>
      </w:pPr>
      <w:r>
        <w:t>Primary</w:t>
      </w:r>
      <w:r>
        <w:rPr>
          <w:spacing w:val="-6"/>
        </w:rPr>
        <w:t xml:space="preserve"> </w:t>
      </w:r>
      <w:r>
        <w:t>Sampling</w:t>
      </w:r>
      <w:r>
        <w:rPr>
          <w:spacing w:val="-6"/>
        </w:rPr>
        <w:t xml:space="preserve"> </w:t>
      </w:r>
      <w:r>
        <w:t>Units</w:t>
      </w:r>
      <w:r>
        <w:rPr>
          <w:spacing w:val="-6"/>
        </w:rPr>
        <w:t xml:space="preserve"> </w:t>
      </w:r>
      <w:r>
        <w:t>(PSUs)</w:t>
      </w:r>
      <w:r>
        <w:rPr>
          <w:spacing w:val="-6"/>
        </w:rPr>
        <w:t xml:space="preserve"> </w:t>
      </w:r>
      <w:r>
        <w:t>for</w:t>
      </w:r>
      <w:r>
        <w:rPr>
          <w:spacing w:val="-6"/>
        </w:rPr>
        <w:t xml:space="preserve"> </w:t>
      </w:r>
      <w:r>
        <w:t>NAEP</w:t>
      </w:r>
      <w:r>
        <w:rPr>
          <w:spacing w:val="-13"/>
        </w:rPr>
        <w:t xml:space="preserve"> </w:t>
      </w:r>
      <w:r>
        <w:t>are</w:t>
      </w:r>
      <w:r>
        <w:rPr>
          <w:spacing w:val="-6"/>
        </w:rPr>
        <w:t xml:space="preserve"> </w:t>
      </w:r>
      <w:r>
        <w:t>classified</w:t>
      </w:r>
      <w:r>
        <w:rPr>
          <w:spacing w:val="-6"/>
        </w:rPr>
        <w:t xml:space="preserve"> </w:t>
      </w:r>
      <w:r>
        <w:t>as</w:t>
      </w:r>
      <w:r>
        <w:rPr>
          <w:spacing w:val="-6"/>
        </w:rPr>
        <w:t xml:space="preserve"> </w:t>
      </w:r>
      <w:r>
        <w:t>either</w:t>
      </w:r>
      <w:r>
        <w:rPr>
          <w:spacing w:val="-6"/>
        </w:rPr>
        <w:t xml:space="preserve"> </w:t>
      </w:r>
      <w:r>
        <w:t>metropolitan</w:t>
      </w:r>
      <w:r>
        <w:rPr>
          <w:spacing w:val="-6"/>
        </w:rPr>
        <w:t xml:space="preserve"> </w:t>
      </w:r>
      <w:r>
        <w:t>statistical</w:t>
      </w:r>
      <w:r>
        <w:rPr>
          <w:spacing w:val="-6"/>
        </w:rPr>
        <w:t xml:space="preserve"> </w:t>
      </w:r>
      <w:r>
        <w:t>areas</w:t>
      </w:r>
      <w:r>
        <w:rPr>
          <w:position w:val="8"/>
          <w:sz w:val="17"/>
        </w:rPr>
        <w:t xml:space="preserve">1 </w:t>
      </w:r>
      <w:r>
        <w:t>(metro</w:t>
      </w:r>
      <w:r>
        <w:rPr>
          <w:spacing w:val="-6"/>
        </w:rPr>
        <w:t xml:space="preserve"> </w:t>
      </w:r>
      <w:r>
        <w:t>areas)</w:t>
      </w:r>
      <w:r>
        <w:rPr>
          <w:spacing w:val="-6"/>
        </w:rPr>
        <w:t xml:space="preserve"> </w:t>
      </w:r>
      <w:r>
        <w:t>or</w:t>
      </w:r>
      <w:r>
        <w:rPr>
          <w:spacing w:val="-6"/>
        </w:rPr>
        <w:t xml:space="preserve"> </w:t>
      </w:r>
      <w:r>
        <w:t>non-metro</w:t>
      </w:r>
      <w:r>
        <w:rPr>
          <w:spacing w:val="-6"/>
        </w:rPr>
        <w:t xml:space="preserve"> </w:t>
      </w:r>
      <w:r>
        <w:t>areas.</w:t>
      </w:r>
      <w:r>
        <w:rPr>
          <w:spacing w:val="-6"/>
        </w:rPr>
        <w:t xml:space="preserve"> </w:t>
      </w:r>
      <w:r>
        <w:t>Non-metro</w:t>
      </w:r>
      <w:r>
        <w:rPr>
          <w:spacing w:val="-6"/>
        </w:rPr>
        <w:t xml:space="preserve"> </w:t>
      </w:r>
      <w:r>
        <w:t>area</w:t>
      </w:r>
      <w:r>
        <w:rPr>
          <w:spacing w:val="-6"/>
        </w:rPr>
        <w:t xml:space="preserve"> </w:t>
      </w:r>
      <w:r>
        <w:t>PSUs</w:t>
      </w:r>
      <w:r>
        <w:rPr>
          <w:spacing w:val="-6"/>
        </w:rPr>
        <w:t xml:space="preserve"> </w:t>
      </w:r>
      <w:r>
        <w:t>are</w:t>
      </w:r>
      <w:r>
        <w:rPr>
          <w:spacing w:val="-6"/>
        </w:rPr>
        <w:t xml:space="preserve"> </w:t>
      </w:r>
      <w:r>
        <w:t>PSUs</w:t>
      </w:r>
      <w:r>
        <w:rPr>
          <w:spacing w:val="-6"/>
        </w:rPr>
        <w:t xml:space="preserve"> </w:t>
      </w:r>
      <w:r>
        <w:t>that</w:t>
      </w:r>
      <w:r>
        <w:rPr>
          <w:spacing w:val="-6"/>
        </w:rPr>
        <w:t xml:space="preserve"> </w:t>
      </w:r>
      <w:r>
        <w:t>are</w:t>
      </w:r>
      <w:r>
        <w:rPr>
          <w:spacing w:val="-6"/>
        </w:rPr>
        <w:t xml:space="preserve"> </w:t>
      </w:r>
      <w:r>
        <w:t>made up of counties that are not part of any metropolitan statistical areas.</w:t>
      </w:r>
    </w:p>
    <w:p w:rsidR="003F5784" w14:paraId="53E42DDF" w14:textId="77777777">
      <w:pPr>
        <w:pStyle w:val="BodyText"/>
        <w:spacing w:before="210" w:line="232" w:lineRule="auto"/>
        <w:ind w:left="109" w:right="179"/>
      </w:pPr>
      <w:r>
        <w:t>An algorithm was used to define a preliminary set of non-metro area PSUs satisfying specific design constraints.</w:t>
      </w:r>
      <w:r>
        <w:rPr>
          <w:spacing w:val="-3"/>
        </w:rPr>
        <w:t xml:space="preserve"> </w:t>
      </w:r>
      <w:r>
        <w:t>The algorithm attempted to form PSUs that were geographically compact, of a minimum population size based on 2010 Decennial Census estimates (15,000 youths in the Northeast and South census regions, and 10,000 youths</w:t>
      </w:r>
      <w:r>
        <w:rPr>
          <w:spacing w:val="-6"/>
        </w:rPr>
        <w:t xml:space="preserve"> </w:t>
      </w:r>
      <w:r>
        <w:t>in</w:t>
      </w:r>
      <w:r>
        <w:rPr>
          <w:spacing w:val="-6"/>
        </w:rPr>
        <w:t xml:space="preserve"> </w:t>
      </w:r>
      <w:r>
        <w:t>the</w:t>
      </w:r>
      <w:r>
        <w:rPr>
          <w:spacing w:val="-6"/>
        </w:rPr>
        <w:t xml:space="preserve"> </w:t>
      </w:r>
      <w:r>
        <w:t>Midwest</w:t>
      </w:r>
      <w:r>
        <w:rPr>
          <w:spacing w:val="-6"/>
        </w:rPr>
        <w:t xml:space="preserve"> </w:t>
      </w:r>
      <w:r>
        <w:t>and</w:t>
      </w:r>
      <w:r>
        <w:rPr>
          <w:spacing w:val="-10"/>
        </w:rPr>
        <w:t xml:space="preserve"> </w:t>
      </w:r>
      <w:r>
        <w:t>West</w:t>
      </w:r>
      <w:r>
        <w:rPr>
          <w:spacing w:val="-6"/>
        </w:rPr>
        <w:t xml:space="preserve"> </w:t>
      </w:r>
      <w:r>
        <w:t>census</w:t>
      </w:r>
      <w:r>
        <w:rPr>
          <w:spacing w:val="-6"/>
        </w:rPr>
        <w:t xml:space="preserve"> </w:t>
      </w:r>
      <w:r>
        <w:t>regions)</w:t>
      </w:r>
      <w:r>
        <w:rPr>
          <w:spacing w:val="-6"/>
        </w:rPr>
        <w:t xml:space="preserve"> </w:t>
      </w:r>
      <w:r>
        <w:t>and</w:t>
      </w:r>
      <w:r>
        <w:rPr>
          <w:spacing w:val="-6"/>
        </w:rPr>
        <w:t xml:space="preserve"> </w:t>
      </w:r>
      <w:r>
        <w:t>that</w:t>
      </w:r>
      <w:r>
        <w:rPr>
          <w:spacing w:val="-6"/>
        </w:rPr>
        <w:t xml:space="preserve"> </w:t>
      </w:r>
      <w:r>
        <w:t>also</w:t>
      </w:r>
      <w:r>
        <w:rPr>
          <w:spacing w:val="-6"/>
        </w:rPr>
        <w:t xml:space="preserve"> </w:t>
      </w:r>
      <w:r>
        <w:t>did</w:t>
      </w:r>
      <w:r>
        <w:rPr>
          <w:spacing w:val="-6"/>
        </w:rPr>
        <w:t xml:space="preserve"> </w:t>
      </w:r>
      <w:r>
        <w:t>not</w:t>
      </w:r>
      <w:r>
        <w:rPr>
          <w:spacing w:val="-6"/>
        </w:rPr>
        <w:t xml:space="preserve"> </w:t>
      </w:r>
      <w:r>
        <w:t>cross</w:t>
      </w:r>
      <w:r>
        <w:rPr>
          <w:spacing w:val="-6"/>
        </w:rPr>
        <w:t xml:space="preserve"> </w:t>
      </w:r>
      <w:r>
        <w:t>state</w:t>
      </w:r>
      <w:r>
        <w:rPr>
          <w:spacing w:val="-6"/>
        </w:rPr>
        <w:t xml:space="preserve"> </w:t>
      </w:r>
      <w:r>
        <w:t>boundaries.</w:t>
      </w:r>
      <w:r>
        <w:rPr>
          <w:spacing w:val="-10"/>
        </w:rPr>
        <w:t xml:space="preserve"> </w:t>
      </w:r>
      <w:r>
        <w:t>The</w:t>
      </w:r>
      <w:r>
        <w:rPr>
          <w:spacing w:val="-6"/>
        </w:rPr>
        <w:t xml:space="preserve"> </w:t>
      </w:r>
      <w:r>
        <w:t>input</w:t>
      </w:r>
      <w:r>
        <w:rPr>
          <w:spacing w:val="-6"/>
        </w:rPr>
        <w:t xml:space="preserve"> </w:t>
      </w:r>
      <w:r>
        <w:t>set</w:t>
      </w:r>
      <w:r>
        <w:rPr>
          <w:spacing w:val="-6"/>
        </w:rPr>
        <w:t xml:space="preserve"> </w:t>
      </w:r>
      <w:r>
        <w:t>consisted</w:t>
      </w:r>
      <w:r>
        <w:rPr>
          <w:spacing w:val="-6"/>
        </w:rPr>
        <w:t xml:space="preserve"> </w:t>
      </w:r>
      <w:r>
        <w:t>of</w:t>
      </w:r>
      <w:r>
        <w:rPr>
          <w:spacing w:val="-6"/>
        </w:rPr>
        <w:t xml:space="preserve"> </w:t>
      </w:r>
      <w:r>
        <w:t>all</w:t>
      </w:r>
      <w:r>
        <w:rPr>
          <w:spacing w:val="-6"/>
        </w:rPr>
        <w:t xml:space="preserve"> </w:t>
      </w:r>
      <w:r>
        <w:t>non-metro</w:t>
      </w:r>
      <w:r>
        <w:rPr>
          <w:spacing w:val="-6"/>
        </w:rPr>
        <w:t xml:space="preserve"> </w:t>
      </w:r>
      <w:r>
        <w:t>area</w:t>
      </w:r>
      <w:r>
        <w:rPr>
          <w:spacing w:val="-6"/>
        </w:rPr>
        <w:t xml:space="preserve"> </w:t>
      </w:r>
      <w:r>
        <w:t>counties.</w:t>
      </w:r>
      <w:r>
        <w:rPr>
          <w:spacing w:val="-10"/>
        </w:rPr>
        <w:t xml:space="preserve"> </w:t>
      </w:r>
      <w:r>
        <w:t>The</w:t>
      </w:r>
      <w:r>
        <w:rPr>
          <w:spacing w:val="-6"/>
        </w:rPr>
        <w:t xml:space="preserve"> </w:t>
      </w:r>
      <w:r>
        <w:t>county</w:t>
      </w:r>
      <w:r>
        <w:rPr>
          <w:spacing w:val="-6"/>
        </w:rPr>
        <w:t xml:space="preserve"> </w:t>
      </w:r>
      <w:r>
        <w:t>which</w:t>
      </w:r>
      <w:r>
        <w:rPr>
          <w:spacing w:val="-6"/>
        </w:rPr>
        <w:t xml:space="preserve"> </w:t>
      </w:r>
      <w:r>
        <w:t>had</w:t>
      </w:r>
      <w:r>
        <w:rPr>
          <w:spacing w:val="-6"/>
        </w:rPr>
        <w:t xml:space="preserve"> </w:t>
      </w:r>
      <w:r>
        <w:t>the largest</w:t>
      </w:r>
      <w:r>
        <w:rPr>
          <w:spacing w:val="-5"/>
        </w:rPr>
        <w:t xml:space="preserve"> </w:t>
      </w:r>
      <w:r>
        <w:t>maximum</w:t>
      </w:r>
      <w:r>
        <w:rPr>
          <w:spacing w:val="-5"/>
        </w:rPr>
        <w:t xml:space="preserve"> </w:t>
      </w:r>
      <w:r>
        <w:t>point-to-point</w:t>
      </w:r>
      <w:r>
        <w:rPr>
          <w:spacing w:val="-5"/>
        </w:rPr>
        <w:t xml:space="preserve"> </w:t>
      </w:r>
      <w:r>
        <w:t>distance</w:t>
      </w:r>
      <w:r>
        <w:rPr>
          <w:spacing w:val="-5"/>
        </w:rPr>
        <w:t xml:space="preserve"> </w:t>
      </w:r>
      <w:r>
        <w:t>was</w:t>
      </w:r>
      <w:r>
        <w:rPr>
          <w:spacing w:val="-5"/>
        </w:rPr>
        <w:t xml:space="preserve"> </w:t>
      </w:r>
      <w:r>
        <w:t>addressed</w:t>
      </w:r>
      <w:r>
        <w:rPr>
          <w:spacing w:val="-5"/>
        </w:rPr>
        <w:t xml:space="preserve"> </w:t>
      </w:r>
      <w:r>
        <w:t>first.</w:t>
      </w:r>
      <w:r>
        <w:rPr>
          <w:spacing w:val="-5"/>
        </w:rPr>
        <w:t xml:space="preserve"> </w:t>
      </w:r>
      <w:r>
        <w:t>It</w:t>
      </w:r>
      <w:r>
        <w:rPr>
          <w:spacing w:val="-5"/>
        </w:rPr>
        <w:t xml:space="preserve"> </w:t>
      </w:r>
      <w:r>
        <w:t>was</w:t>
      </w:r>
      <w:r>
        <w:rPr>
          <w:spacing w:val="-5"/>
        </w:rPr>
        <w:t xml:space="preserve"> </w:t>
      </w:r>
      <w:r>
        <w:t>grouped</w:t>
      </w:r>
      <w:r>
        <w:rPr>
          <w:spacing w:val="-5"/>
        </w:rPr>
        <w:t xml:space="preserve"> </w:t>
      </w:r>
      <w:r>
        <w:t>with</w:t>
      </w:r>
      <w:r>
        <w:rPr>
          <w:spacing w:val="-5"/>
        </w:rPr>
        <w:t xml:space="preserve"> </w:t>
      </w:r>
      <w:r>
        <w:t>adjacent</w:t>
      </w:r>
      <w:r>
        <w:rPr>
          <w:spacing w:val="-5"/>
        </w:rPr>
        <w:t xml:space="preserve"> </w:t>
      </w:r>
      <w:r>
        <w:t>non-metro</w:t>
      </w:r>
      <w:r>
        <w:rPr>
          <w:spacing w:val="-5"/>
        </w:rPr>
        <w:t xml:space="preserve"> </w:t>
      </w:r>
      <w:r>
        <w:t>area</w:t>
      </w:r>
      <w:r>
        <w:rPr>
          <w:spacing w:val="-5"/>
        </w:rPr>
        <w:t xml:space="preserve"> </w:t>
      </w:r>
      <w:r>
        <w:t>counties</w:t>
      </w:r>
      <w:r>
        <w:rPr>
          <w:spacing w:val="-5"/>
        </w:rPr>
        <w:t xml:space="preserve"> </w:t>
      </w:r>
      <w:r>
        <w:t>until</w:t>
      </w:r>
      <w:r>
        <w:rPr>
          <w:spacing w:val="-5"/>
        </w:rPr>
        <w:t xml:space="preserve"> </w:t>
      </w:r>
      <w:r>
        <w:t>the</w:t>
      </w:r>
      <w:r>
        <w:rPr>
          <w:spacing w:val="-5"/>
        </w:rPr>
        <w:t xml:space="preserve"> </w:t>
      </w:r>
      <w:r>
        <w:t>minimum</w:t>
      </w:r>
      <w:r>
        <w:rPr>
          <w:spacing w:val="-5"/>
        </w:rPr>
        <w:t xml:space="preserve"> </w:t>
      </w:r>
      <w:r>
        <w:t>PSU</w:t>
      </w:r>
      <w:r>
        <w:rPr>
          <w:spacing w:val="-5"/>
        </w:rPr>
        <w:t xml:space="preserve"> </w:t>
      </w:r>
      <w:r>
        <w:t>size</w:t>
      </w:r>
      <w:r>
        <w:rPr>
          <w:spacing w:val="-5"/>
        </w:rPr>
        <w:t xml:space="preserve"> </w:t>
      </w:r>
      <w:r>
        <w:t>was</w:t>
      </w:r>
      <w:r>
        <w:rPr>
          <w:spacing w:val="-5"/>
        </w:rPr>
        <w:t xml:space="preserve"> </w:t>
      </w:r>
      <w:r>
        <w:t>met.</w:t>
      </w:r>
      <w:r>
        <w:rPr>
          <w:spacing w:val="-8"/>
        </w:rPr>
        <w:t xml:space="preserve"> </w:t>
      </w:r>
      <w:r>
        <w:t>The</w:t>
      </w:r>
      <w:r>
        <w:rPr>
          <w:spacing w:val="-5"/>
        </w:rPr>
        <w:t xml:space="preserve"> </w:t>
      </w:r>
      <w:r>
        <w:t>algorithm</w:t>
      </w:r>
      <w:r>
        <w:rPr>
          <w:spacing w:val="-5"/>
        </w:rPr>
        <w:t xml:space="preserve"> </w:t>
      </w:r>
      <w:r>
        <w:t>was then run on the remaining non-metro area counties not yet assigned to a PSU to combine the county with the largest maximum point-to-point distance among the remaining counties with its adjacent non-metro area counties until the minimum PSU size was met.</w:t>
      </w:r>
      <w:r>
        <w:rPr>
          <w:spacing w:val="-3"/>
        </w:rPr>
        <w:t xml:space="preserve"> </w:t>
      </w:r>
      <w:r>
        <w:t>This process was repeated until all counties were grouped into PSUs.</w:t>
      </w:r>
    </w:p>
    <w:p w:rsidR="003F5784" w14:paraId="73C0A724" w14:textId="77777777">
      <w:pPr>
        <w:pStyle w:val="BodyText"/>
        <w:spacing w:before="211" w:line="232" w:lineRule="auto"/>
        <w:ind w:left="109" w:right="314"/>
      </w:pPr>
      <w:r>
        <w:t>When</w:t>
      </w:r>
      <w:r>
        <w:rPr>
          <w:spacing w:val="-6"/>
        </w:rPr>
        <w:t xml:space="preserve"> </w:t>
      </w:r>
      <w:r>
        <w:t>the</w:t>
      </w:r>
      <w:r>
        <w:rPr>
          <w:spacing w:val="-6"/>
        </w:rPr>
        <w:t xml:space="preserve"> </w:t>
      </w:r>
      <w:r>
        <w:t>algorithm</w:t>
      </w:r>
      <w:r>
        <w:rPr>
          <w:spacing w:val="-6"/>
        </w:rPr>
        <w:t xml:space="preserve"> </w:t>
      </w:r>
      <w:r>
        <w:t>was</w:t>
      </w:r>
      <w:r>
        <w:rPr>
          <w:spacing w:val="-6"/>
        </w:rPr>
        <w:t xml:space="preserve"> </w:t>
      </w:r>
      <w:r>
        <w:t>unable</w:t>
      </w:r>
      <w:r>
        <w:rPr>
          <w:spacing w:val="-6"/>
        </w:rPr>
        <w:t xml:space="preserve"> </w:t>
      </w:r>
      <w:r>
        <w:t>to</w:t>
      </w:r>
      <w:r>
        <w:rPr>
          <w:spacing w:val="-6"/>
        </w:rPr>
        <w:t xml:space="preserve"> </w:t>
      </w:r>
      <w:r>
        <w:t>create</w:t>
      </w:r>
      <w:r>
        <w:rPr>
          <w:spacing w:val="-6"/>
        </w:rPr>
        <w:t xml:space="preserve"> </w:t>
      </w:r>
      <w:r>
        <w:t>PSUs</w:t>
      </w:r>
      <w:r>
        <w:rPr>
          <w:spacing w:val="-6"/>
        </w:rPr>
        <w:t xml:space="preserve"> </w:t>
      </w:r>
      <w:r>
        <w:t>that</w:t>
      </w:r>
      <w:r>
        <w:rPr>
          <w:spacing w:val="-6"/>
        </w:rPr>
        <w:t xml:space="preserve"> </w:t>
      </w:r>
      <w:r>
        <w:t>conformed</w:t>
      </w:r>
      <w:r>
        <w:rPr>
          <w:spacing w:val="-6"/>
        </w:rPr>
        <w:t xml:space="preserve"> </w:t>
      </w:r>
      <w:r>
        <w:t>to</w:t>
      </w:r>
      <w:r>
        <w:rPr>
          <w:spacing w:val="-6"/>
        </w:rPr>
        <w:t xml:space="preserve"> </w:t>
      </w:r>
      <w:r>
        <w:t>the</w:t>
      </w:r>
      <w:r>
        <w:rPr>
          <w:spacing w:val="-6"/>
        </w:rPr>
        <w:t xml:space="preserve"> </w:t>
      </w:r>
      <w:r>
        <w:t>specific</w:t>
      </w:r>
      <w:r>
        <w:rPr>
          <w:spacing w:val="-6"/>
        </w:rPr>
        <w:t xml:space="preserve"> </w:t>
      </w:r>
      <w:r>
        <w:t>design</w:t>
      </w:r>
      <w:r>
        <w:rPr>
          <w:spacing w:val="-6"/>
        </w:rPr>
        <w:t xml:space="preserve"> </w:t>
      </w:r>
      <w:r>
        <w:t>constraints,</w:t>
      </w:r>
      <w:r>
        <w:rPr>
          <w:spacing w:val="-6"/>
        </w:rPr>
        <w:t xml:space="preserve"> </w:t>
      </w:r>
      <w:r>
        <w:t>manual</w:t>
      </w:r>
      <w:r>
        <w:rPr>
          <w:spacing w:val="-6"/>
        </w:rPr>
        <w:t xml:space="preserve"> </w:t>
      </w:r>
      <w:r>
        <w:t>adjustments</w:t>
      </w:r>
      <w:r>
        <w:rPr>
          <w:spacing w:val="-6"/>
        </w:rPr>
        <w:t xml:space="preserve"> </w:t>
      </w:r>
      <w:r>
        <w:t>were</w:t>
      </w:r>
      <w:r>
        <w:rPr>
          <w:spacing w:val="-6"/>
        </w:rPr>
        <w:t xml:space="preserve"> </w:t>
      </w:r>
      <w:r>
        <w:t>made.</w:t>
      </w:r>
      <w:r>
        <w:rPr>
          <w:spacing w:val="-9"/>
        </w:rPr>
        <w:t xml:space="preserve"> </w:t>
      </w:r>
      <w:r>
        <w:t>The</w:t>
      </w:r>
      <w:r>
        <w:rPr>
          <w:spacing w:val="-6"/>
        </w:rPr>
        <w:t xml:space="preserve"> </w:t>
      </w:r>
      <w:r>
        <w:t>end</w:t>
      </w:r>
      <w:r>
        <w:rPr>
          <w:spacing w:val="-6"/>
        </w:rPr>
        <w:t xml:space="preserve"> </w:t>
      </w:r>
      <w:r>
        <w:t>result</w:t>
      </w:r>
      <w:r>
        <w:rPr>
          <w:spacing w:val="-6"/>
        </w:rPr>
        <w:t xml:space="preserve"> </w:t>
      </w:r>
      <w:r>
        <w:t>of</w:t>
      </w:r>
      <w:r>
        <w:rPr>
          <w:spacing w:val="-6"/>
        </w:rPr>
        <w:t xml:space="preserve"> </w:t>
      </w:r>
      <w:r>
        <w:t>this</w:t>
      </w:r>
      <w:r>
        <w:rPr>
          <w:spacing w:val="-6"/>
        </w:rPr>
        <w:t xml:space="preserve"> </w:t>
      </w:r>
      <w:r>
        <w:t>procedure</w:t>
      </w:r>
      <w:r>
        <w:rPr>
          <w:spacing w:val="-6"/>
        </w:rPr>
        <w:t xml:space="preserve"> </w:t>
      </w:r>
      <w:r>
        <w:t>was</w:t>
      </w:r>
      <w:r>
        <w:rPr>
          <w:spacing w:val="-6"/>
        </w:rPr>
        <w:t xml:space="preserve"> </w:t>
      </w:r>
      <w:r>
        <w:t>that</w:t>
      </w:r>
      <w:r>
        <w:rPr>
          <w:spacing w:val="-6"/>
        </w:rPr>
        <w:t xml:space="preserve"> </w:t>
      </w:r>
      <w:r>
        <w:t>all non-metro area PSUs were contained within state boundaries, but in some cases the PSU size fell slightly below the pre-specified minimum.</w:t>
      </w:r>
    </w:p>
    <w:p w:rsidR="003F5784" w14:paraId="40D8F5D5" w14:textId="77777777">
      <w:pPr>
        <w:pStyle w:val="BodyText"/>
        <w:spacing w:before="209" w:line="232" w:lineRule="auto"/>
        <w:ind w:left="109"/>
      </w:pPr>
      <w:r>
        <w:t>In</w:t>
      </w:r>
      <w:r>
        <w:rPr>
          <w:spacing w:val="-5"/>
        </w:rPr>
        <w:t xml:space="preserve"> </w:t>
      </w:r>
      <w:r>
        <w:t>total,</w:t>
      </w:r>
      <w:r>
        <w:rPr>
          <w:spacing w:val="-5"/>
        </w:rPr>
        <w:t xml:space="preserve"> </w:t>
      </w:r>
      <w:r>
        <w:t>there</w:t>
      </w:r>
      <w:r>
        <w:rPr>
          <w:spacing w:val="-5"/>
        </w:rPr>
        <w:t xml:space="preserve"> </w:t>
      </w:r>
      <w:r>
        <w:t>were</w:t>
      </w:r>
      <w:r>
        <w:rPr>
          <w:spacing w:val="-5"/>
        </w:rPr>
        <w:t xml:space="preserve"> </w:t>
      </w:r>
      <w:r>
        <w:t>629</w:t>
      </w:r>
      <w:r>
        <w:rPr>
          <w:spacing w:val="-5"/>
        </w:rPr>
        <w:t xml:space="preserve"> </w:t>
      </w:r>
      <w:r>
        <w:t>non-metro</w:t>
      </w:r>
      <w:r>
        <w:rPr>
          <w:spacing w:val="-5"/>
        </w:rPr>
        <w:t xml:space="preserve"> </w:t>
      </w:r>
      <w:r>
        <w:t>area</w:t>
      </w:r>
      <w:r>
        <w:rPr>
          <w:spacing w:val="-5"/>
        </w:rPr>
        <w:t xml:space="preserve"> </w:t>
      </w:r>
      <w:r>
        <w:t>PSUs</w:t>
      </w:r>
      <w:r>
        <w:rPr>
          <w:spacing w:val="-5"/>
        </w:rPr>
        <w:t xml:space="preserve"> </w:t>
      </w:r>
      <w:r>
        <w:t>covering</w:t>
      </w:r>
      <w:r>
        <w:rPr>
          <w:spacing w:val="-5"/>
        </w:rPr>
        <w:t xml:space="preserve"> </w:t>
      </w:r>
      <w:r>
        <w:t>a</w:t>
      </w:r>
      <w:r>
        <w:rPr>
          <w:spacing w:val="-5"/>
        </w:rPr>
        <w:t xml:space="preserve"> </w:t>
      </w:r>
      <w:r>
        <w:t>total</w:t>
      </w:r>
      <w:r>
        <w:rPr>
          <w:spacing w:val="-5"/>
        </w:rPr>
        <w:t xml:space="preserve"> </w:t>
      </w:r>
      <w:r>
        <w:t>of</w:t>
      </w:r>
      <w:r>
        <w:rPr>
          <w:spacing w:val="-5"/>
        </w:rPr>
        <w:t xml:space="preserve"> </w:t>
      </w:r>
      <w:r>
        <w:t>2,043</w:t>
      </w:r>
      <w:r>
        <w:rPr>
          <w:spacing w:val="-5"/>
        </w:rPr>
        <w:t xml:space="preserve"> </w:t>
      </w:r>
      <w:r>
        <w:t>counties,</w:t>
      </w:r>
      <w:r>
        <w:rPr>
          <w:spacing w:val="-5"/>
        </w:rPr>
        <w:t xml:space="preserve"> </w:t>
      </w:r>
      <w:r>
        <w:t>all</w:t>
      </w:r>
      <w:r>
        <w:rPr>
          <w:spacing w:val="-5"/>
        </w:rPr>
        <w:t xml:space="preserve"> </w:t>
      </w:r>
      <w:r>
        <w:t>of</w:t>
      </w:r>
      <w:r>
        <w:rPr>
          <w:spacing w:val="-5"/>
        </w:rPr>
        <w:t xml:space="preserve"> </w:t>
      </w:r>
      <w:r>
        <w:t>which</w:t>
      </w:r>
      <w:r>
        <w:rPr>
          <w:spacing w:val="-5"/>
        </w:rPr>
        <w:t xml:space="preserve"> </w:t>
      </w:r>
      <w:r>
        <w:t>constitute</w:t>
      </w:r>
      <w:r>
        <w:rPr>
          <w:spacing w:val="-5"/>
        </w:rPr>
        <w:t xml:space="preserve"> </w:t>
      </w:r>
      <w:r>
        <w:t>the</w:t>
      </w:r>
      <w:r>
        <w:rPr>
          <w:spacing w:val="-5"/>
        </w:rPr>
        <w:t xml:space="preserve"> </w:t>
      </w:r>
      <w:r>
        <w:t>non-metro</w:t>
      </w:r>
      <w:r>
        <w:rPr>
          <w:spacing w:val="-5"/>
        </w:rPr>
        <w:t xml:space="preserve"> </w:t>
      </w:r>
      <w:r>
        <w:t>area</w:t>
      </w:r>
      <w:r>
        <w:rPr>
          <w:spacing w:val="-5"/>
        </w:rPr>
        <w:t xml:space="preserve"> </w:t>
      </w:r>
      <w:r>
        <w:t>PSU</w:t>
      </w:r>
      <w:r>
        <w:rPr>
          <w:spacing w:val="-5"/>
        </w:rPr>
        <w:t xml:space="preserve"> </w:t>
      </w:r>
      <w:r>
        <w:t>sampling</w:t>
      </w:r>
      <w:r>
        <w:rPr>
          <w:spacing w:val="-5"/>
        </w:rPr>
        <w:t xml:space="preserve"> </w:t>
      </w:r>
      <w:r>
        <w:t>frame.</w:t>
      </w:r>
      <w:r>
        <w:rPr>
          <w:spacing w:val="-9"/>
        </w:rPr>
        <w:t xml:space="preserve"> </w:t>
      </w:r>
      <w:r>
        <w:t>The</w:t>
      </w:r>
      <w:r>
        <w:rPr>
          <w:spacing w:val="-5"/>
        </w:rPr>
        <w:t xml:space="preserve"> </w:t>
      </w:r>
      <w:r>
        <w:t>table</w:t>
      </w:r>
      <w:r>
        <w:rPr>
          <w:spacing w:val="-5"/>
        </w:rPr>
        <w:t xml:space="preserve"> </w:t>
      </w:r>
      <w:r>
        <w:t>below</w:t>
      </w:r>
      <w:r>
        <w:rPr>
          <w:spacing w:val="-5"/>
        </w:rPr>
        <w:t xml:space="preserve"> </w:t>
      </w:r>
      <w:r>
        <w:t>presents</w:t>
      </w:r>
      <w:r>
        <w:rPr>
          <w:spacing w:val="-5"/>
        </w:rPr>
        <w:t xml:space="preserve"> </w:t>
      </w:r>
      <w:r>
        <w:t>the number of PSUs, the number of counties represented, and the updated estimated number of youths (total and mean per PSU) in the non-metro area PSU sampling frame by census region.</w:t>
      </w:r>
      <w:r>
        <w:rPr>
          <w:spacing w:val="-3"/>
        </w:rPr>
        <w:t xml:space="preserve"> </w:t>
      </w:r>
      <w:r>
        <w:t>The updated estimated number of youths (persons aged 0 to 17) for each county comes from the 2017 U.S. Census Bureau population estimates.</w:t>
      </w:r>
    </w:p>
    <w:p w:rsidR="003F5784" w14:paraId="5E5BB9A1" w14:textId="77777777">
      <w:pPr>
        <w:pStyle w:val="BodyText"/>
        <w:spacing w:before="92"/>
      </w:pPr>
    </w:p>
    <w:p w:rsidR="003F5784" w14:paraId="7FED39BD" w14:textId="77777777">
      <w:pPr>
        <w:pStyle w:val="Heading2"/>
        <w:spacing w:before="1"/>
      </w:pPr>
      <w:r>
        <w:t>Non-metropolitan</w:t>
      </w:r>
      <w:r>
        <w:rPr>
          <w:spacing w:val="-9"/>
        </w:rPr>
        <w:t xml:space="preserve"> </w:t>
      </w:r>
      <w:r>
        <w:t>statistical</w:t>
      </w:r>
      <w:r>
        <w:rPr>
          <w:spacing w:val="-9"/>
        </w:rPr>
        <w:t xml:space="preserve"> </w:t>
      </w:r>
      <w:r>
        <w:t>area</w:t>
      </w:r>
      <w:r>
        <w:rPr>
          <w:spacing w:val="-9"/>
        </w:rPr>
        <w:t xml:space="preserve"> </w:t>
      </w:r>
      <w:r>
        <w:t>primary</w:t>
      </w:r>
      <w:r>
        <w:rPr>
          <w:spacing w:val="-9"/>
        </w:rPr>
        <w:t xml:space="preserve"> </w:t>
      </w:r>
      <w:r>
        <w:t>sampling</w:t>
      </w:r>
      <w:r>
        <w:rPr>
          <w:spacing w:val="-8"/>
        </w:rPr>
        <w:t xml:space="preserve"> </w:t>
      </w:r>
      <w:r>
        <w:t>unit</w:t>
      </w:r>
      <w:r>
        <w:rPr>
          <w:spacing w:val="-9"/>
        </w:rPr>
        <w:t xml:space="preserve"> </w:t>
      </w:r>
      <w:r>
        <w:t>(PSU)</w:t>
      </w:r>
      <w:r>
        <w:rPr>
          <w:spacing w:val="-9"/>
        </w:rPr>
        <w:t xml:space="preserve"> </w:t>
      </w:r>
      <w:r>
        <w:t>frame,</w:t>
      </w:r>
      <w:r>
        <w:rPr>
          <w:spacing w:val="-9"/>
        </w:rPr>
        <w:t xml:space="preserve"> </w:t>
      </w:r>
      <w:r>
        <w:t>by</w:t>
      </w:r>
      <w:r>
        <w:rPr>
          <w:spacing w:val="-8"/>
        </w:rPr>
        <w:t xml:space="preserve"> </w:t>
      </w:r>
      <w:r>
        <w:t>census</w:t>
      </w:r>
      <w:r>
        <w:rPr>
          <w:spacing w:val="-9"/>
        </w:rPr>
        <w:t xml:space="preserve"> </w:t>
      </w:r>
      <w:r>
        <w:t>region:</w:t>
      </w:r>
      <w:r>
        <w:rPr>
          <w:spacing w:val="-9"/>
        </w:rPr>
        <w:t xml:space="preserve"> </w:t>
      </w:r>
      <w:r>
        <w:rPr>
          <w:spacing w:val="-4"/>
        </w:rPr>
        <w:t>2022</w:t>
      </w:r>
    </w:p>
    <w:p w:rsidR="003F5784" w14:paraId="4ACD0936"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2460"/>
        <w:gridCol w:w="2234"/>
        <w:gridCol w:w="2073"/>
        <w:gridCol w:w="2993"/>
        <w:gridCol w:w="4223"/>
      </w:tblGrid>
      <w:tr w14:paraId="31EEE242" w14:textId="77777777">
        <w:tblPrEx>
          <w:tblW w:w="0" w:type="auto"/>
          <w:tblInd w:w="482" w:type="dxa"/>
          <w:tblLayout w:type="fixed"/>
          <w:tblCellMar>
            <w:left w:w="0" w:type="dxa"/>
            <w:right w:w="0" w:type="dxa"/>
          </w:tblCellMar>
          <w:tblLook w:val="01E0"/>
        </w:tblPrEx>
        <w:trPr>
          <w:trHeight w:val="267"/>
        </w:trPr>
        <w:tc>
          <w:tcPr>
            <w:tcW w:w="2460" w:type="dxa"/>
            <w:tcBorders>
              <w:top w:val="single" w:sz="18" w:space="0" w:color="800000"/>
              <w:bottom w:val="single" w:sz="18" w:space="0" w:color="800000"/>
            </w:tcBorders>
          </w:tcPr>
          <w:p w:rsidR="003F5784" w14:paraId="36E738B4" w14:textId="77777777">
            <w:pPr>
              <w:pStyle w:val="TableParagraph"/>
              <w:spacing w:before="9" w:line="238" w:lineRule="exact"/>
              <w:ind w:left="120"/>
              <w:jc w:val="left"/>
              <w:rPr>
                <w:sz w:val="21"/>
              </w:rPr>
            </w:pPr>
            <w:r>
              <w:rPr>
                <w:sz w:val="21"/>
              </w:rPr>
              <w:t>Census</w:t>
            </w:r>
            <w:r>
              <w:rPr>
                <w:spacing w:val="-8"/>
                <w:sz w:val="21"/>
              </w:rPr>
              <w:t xml:space="preserve"> </w:t>
            </w:r>
            <w:r>
              <w:rPr>
                <w:spacing w:val="-2"/>
                <w:sz w:val="21"/>
              </w:rPr>
              <w:t>region</w:t>
            </w:r>
          </w:p>
        </w:tc>
        <w:tc>
          <w:tcPr>
            <w:tcW w:w="2234" w:type="dxa"/>
            <w:tcBorders>
              <w:top w:val="single" w:sz="18" w:space="0" w:color="800000"/>
              <w:bottom w:val="single" w:sz="18" w:space="0" w:color="800000"/>
            </w:tcBorders>
          </w:tcPr>
          <w:p w:rsidR="003F5784" w14:paraId="5F77344B" w14:textId="77777777">
            <w:pPr>
              <w:pStyle w:val="TableParagraph"/>
              <w:spacing w:before="9" w:line="238" w:lineRule="exact"/>
              <w:ind w:right="615"/>
              <w:rPr>
                <w:sz w:val="21"/>
              </w:rPr>
            </w:pPr>
            <w:r>
              <w:rPr>
                <w:spacing w:val="-4"/>
                <w:sz w:val="21"/>
              </w:rPr>
              <w:t>PSUs</w:t>
            </w:r>
          </w:p>
        </w:tc>
        <w:tc>
          <w:tcPr>
            <w:tcW w:w="2073" w:type="dxa"/>
            <w:tcBorders>
              <w:top w:val="single" w:sz="18" w:space="0" w:color="800000"/>
              <w:bottom w:val="single" w:sz="18" w:space="0" w:color="800000"/>
            </w:tcBorders>
          </w:tcPr>
          <w:p w:rsidR="003F5784" w14:paraId="7B1E1874" w14:textId="77777777">
            <w:pPr>
              <w:pStyle w:val="TableParagraph"/>
              <w:spacing w:before="9" w:line="238" w:lineRule="exact"/>
              <w:ind w:right="711"/>
              <w:rPr>
                <w:sz w:val="21"/>
              </w:rPr>
            </w:pPr>
            <w:r>
              <w:rPr>
                <w:spacing w:val="-2"/>
                <w:sz w:val="21"/>
              </w:rPr>
              <w:t>Counties</w:t>
            </w:r>
          </w:p>
        </w:tc>
        <w:tc>
          <w:tcPr>
            <w:tcW w:w="2993" w:type="dxa"/>
            <w:tcBorders>
              <w:top w:val="single" w:sz="18" w:space="0" w:color="800000"/>
              <w:bottom w:val="single" w:sz="18" w:space="0" w:color="800000"/>
            </w:tcBorders>
          </w:tcPr>
          <w:p w:rsidR="003F5784" w14:paraId="4C9D19F8" w14:textId="77777777">
            <w:pPr>
              <w:pStyle w:val="TableParagraph"/>
              <w:spacing w:before="9" w:line="238" w:lineRule="exact"/>
              <w:ind w:right="1350"/>
              <w:rPr>
                <w:sz w:val="21"/>
              </w:rPr>
            </w:pPr>
            <w:r>
              <w:rPr>
                <w:spacing w:val="-2"/>
                <w:sz w:val="21"/>
              </w:rPr>
              <w:t>Youths</w:t>
            </w:r>
          </w:p>
        </w:tc>
        <w:tc>
          <w:tcPr>
            <w:tcW w:w="4223" w:type="dxa"/>
            <w:tcBorders>
              <w:top w:val="single" w:sz="18" w:space="0" w:color="800000"/>
              <w:bottom w:val="single" w:sz="18" w:space="0" w:color="800000"/>
            </w:tcBorders>
          </w:tcPr>
          <w:p w:rsidR="003F5784" w14:paraId="41FA1470" w14:textId="77777777">
            <w:pPr>
              <w:pStyle w:val="TableParagraph"/>
              <w:spacing w:before="9" w:line="238" w:lineRule="exact"/>
              <w:ind w:right="116"/>
              <w:rPr>
                <w:sz w:val="21"/>
              </w:rPr>
            </w:pPr>
            <w:r>
              <w:rPr>
                <w:sz w:val="21"/>
              </w:rPr>
              <w:t>Mean</w:t>
            </w:r>
            <w:r>
              <w:rPr>
                <w:spacing w:val="-6"/>
                <w:sz w:val="21"/>
              </w:rPr>
              <w:t xml:space="preserve"> </w:t>
            </w:r>
            <w:r>
              <w:rPr>
                <w:sz w:val="21"/>
              </w:rPr>
              <w:t>number</w:t>
            </w:r>
            <w:r>
              <w:rPr>
                <w:spacing w:val="-5"/>
                <w:sz w:val="21"/>
              </w:rPr>
              <w:t xml:space="preserve"> </w:t>
            </w:r>
            <w:r>
              <w:rPr>
                <w:sz w:val="21"/>
              </w:rPr>
              <w:t>of</w:t>
            </w:r>
            <w:r>
              <w:rPr>
                <w:spacing w:val="-5"/>
                <w:sz w:val="21"/>
              </w:rPr>
              <w:t xml:space="preserve"> </w:t>
            </w:r>
            <w:r>
              <w:rPr>
                <w:sz w:val="21"/>
              </w:rPr>
              <w:t>youths</w:t>
            </w:r>
            <w:r>
              <w:rPr>
                <w:spacing w:val="-5"/>
                <w:sz w:val="21"/>
              </w:rPr>
              <w:t xml:space="preserve"> </w:t>
            </w:r>
            <w:r>
              <w:rPr>
                <w:sz w:val="21"/>
              </w:rPr>
              <w:t>per</w:t>
            </w:r>
            <w:r>
              <w:rPr>
                <w:spacing w:val="-6"/>
                <w:sz w:val="21"/>
              </w:rPr>
              <w:t xml:space="preserve"> </w:t>
            </w:r>
            <w:r>
              <w:rPr>
                <w:spacing w:val="-5"/>
                <w:sz w:val="21"/>
              </w:rPr>
              <w:t>PSU</w:t>
            </w:r>
          </w:p>
        </w:tc>
      </w:tr>
      <w:tr w14:paraId="063FDC85" w14:textId="77777777">
        <w:tblPrEx>
          <w:tblW w:w="0" w:type="auto"/>
          <w:tblInd w:w="482" w:type="dxa"/>
          <w:tblLayout w:type="fixed"/>
          <w:tblCellMar>
            <w:left w:w="0" w:type="dxa"/>
            <w:right w:w="0" w:type="dxa"/>
          </w:tblCellMar>
          <w:tblLook w:val="01E0"/>
        </w:tblPrEx>
        <w:trPr>
          <w:trHeight w:val="280"/>
        </w:trPr>
        <w:tc>
          <w:tcPr>
            <w:tcW w:w="2460" w:type="dxa"/>
            <w:tcBorders>
              <w:top w:val="single" w:sz="18" w:space="0" w:color="800000"/>
              <w:bottom w:val="single" w:sz="18" w:space="0" w:color="800000"/>
            </w:tcBorders>
          </w:tcPr>
          <w:p w:rsidR="003F5784" w14:paraId="346AC216" w14:textId="77777777">
            <w:pPr>
              <w:pStyle w:val="TableParagraph"/>
              <w:spacing w:before="9"/>
              <w:ind w:left="370"/>
              <w:jc w:val="left"/>
              <w:rPr>
                <w:b/>
                <w:sz w:val="21"/>
              </w:rPr>
            </w:pPr>
            <w:r>
              <w:rPr>
                <w:b/>
                <w:spacing w:val="-2"/>
                <w:sz w:val="21"/>
              </w:rPr>
              <w:t>Total</w:t>
            </w:r>
          </w:p>
        </w:tc>
        <w:tc>
          <w:tcPr>
            <w:tcW w:w="2234" w:type="dxa"/>
            <w:tcBorders>
              <w:top w:val="single" w:sz="18" w:space="0" w:color="800000"/>
              <w:bottom w:val="single" w:sz="18" w:space="0" w:color="800000"/>
            </w:tcBorders>
          </w:tcPr>
          <w:p w:rsidR="003F5784" w14:paraId="7EA4A419" w14:textId="77777777">
            <w:pPr>
              <w:pStyle w:val="TableParagraph"/>
              <w:spacing w:before="9"/>
              <w:ind w:right="615"/>
              <w:rPr>
                <w:b/>
                <w:sz w:val="21"/>
              </w:rPr>
            </w:pPr>
            <w:r>
              <w:rPr>
                <w:b/>
                <w:spacing w:val="-5"/>
                <w:sz w:val="21"/>
              </w:rPr>
              <w:t>629</w:t>
            </w:r>
          </w:p>
        </w:tc>
        <w:tc>
          <w:tcPr>
            <w:tcW w:w="2073" w:type="dxa"/>
            <w:tcBorders>
              <w:top w:val="single" w:sz="18" w:space="0" w:color="800000"/>
              <w:bottom w:val="single" w:sz="18" w:space="0" w:color="800000"/>
            </w:tcBorders>
          </w:tcPr>
          <w:p w:rsidR="003F5784" w14:paraId="0D3858AF" w14:textId="77777777">
            <w:pPr>
              <w:pStyle w:val="TableParagraph"/>
              <w:spacing w:before="9"/>
              <w:ind w:right="711"/>
              <w:rPr>
                <w:b/>
                <w:sz w:val="21"/>
              </w:rPr>
            </w:pPr>
            <w:r>
              <w:rPr>
                <w:b/>
                <w:spacing w:val="-2"/>
                <w:sz w:val="21"/>
              </w:rPr>
              <w:t>2,043</w:t>
            </w:r>
          </w:p>
        </w:tc>
        <w:tc>
          <w:tcPr>
            <w:tcW w:w="2993" w:type="dxa"/>
            <w:tcBorders>
              <w:top w:val="single" w:sz="18" w:space="0" w:color="800000"/>
              <w:bottom w:val="single" w:sz="18" w:space="0" w:color="800000"/>
            </w:tcBorders>
          </w:tcPr>
          <w:p w:rsidR="003F5784" w14:paraId="45AEDFF4" w14:textId="77777777">
            <w:pPr>
              <w:pStyle w:val="TableParagraph"/>
              <w:spacing w:before="9"/>
              <w:ind w:right="1350"/>
              <w:rPr>
                <w:b/>
                <w:sz w:val="21"/>
              </w:rPr>
            </w:pPr>
            <w:r>
              <w:rPr>
                <w:b/>
                <w:spacing w:val="-2"/>
                <w:sz w:val="21"/>
              </w:rPr>
              <w:t>11,078,816</w:t>
            </w:r>
          </w:p>
        </w:tc>
        <w:tc>
          <w:tcPr>
            <w:tcW w:w="4223" w:type="dxa"/>
            <w:tcBorders>
              <w:top w:val="single" w:sz="18" w:space="0" w:color="800000"/>
              <w:bottom w:val="single" w:sz="18" w:space="0" w:color="800000"/>
            </w:tcBorders>
          </w:tcPr>
          <w:p w:rsidR="003F5784" w14:paraId="60D27E30" w14:textId="77777777">
            <w:pPr>
              <w:pStyle w:val="TableParagraph"/>
              <w:spacing w:before="9"/>
              <w:ind w:right="116"/>
              <w:rPr>
                <w:b/>
                <w:sz w:val="21"/>
              </w:rPr>
            </w:pPr>
            <w:r>
              <w:rPr>
                <w:b/>
                <w:spacing w:val="-2"/>
                <w:sz w:val="21"/>
              </w:rPr>
              <w:t>17,613</w:t>
            </w:r>
          </w:p>
        </w:tc>
      </w:tr>
      <w:tr w14:paraId="7FAC5437" w14:textId="77777777">
        <w:tblPrEx>
          <w:tblW w:w="0" w:type="auto"/>
          <w:tblInd w:w="482" w:type="dxa"/>
          <w:tblLayout w:type="fixed"/>
          <w:tblCellMar>
            <w:left w:w="0" w:type="dxa"/>
            <w:right w:w="0" w:type="dxa"/>
          </w:tblCellMar>
          <w:tblLook w:val="01E0"/>
        </w:tblPrEx>
        <w:trPr>
          <w:trHeight w:val="472"/>
        </w:trPr>
        <w:tc>
          <w:tcPr>
            <w:tcW w:w="13983" w:type="dxa"/>
            <w:gridSpan w:val="5"/>
            <w:tcBorders>
              <w:top w:val="single" w:sz="18" w:space="0" w:color="800000"/>
            </w:tcBorders>
          </w:tcPr>
          <w:p w:rsidR="003F5784" w14:paraId="5AFB8F11" w14:textId="77777777">
            <w:pPr>
              <w:pStyle w:val="TableParagraph"/>
              <w:spacing w:before="0" w:line="234" w:lineRule="exact"/>
              <w:ind w:left="120"/>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Progress (NAEP), 2022 Long-Term Trend Assessment.</w:t>
            </w:r>
          </w:p>
        </w:tc>
      </w:tr>
    </w:tbl>
    <w:p w:rsidR="003F5784" w14:paraId="1127C868" w14:textId="77777777">
      <w:pPr>
        <w:spacing w:line="234" w:lineRule="exact"/>
        <w:rPr>
          <w:sz w:val="21"/>
        </w:rPr>
        <w:sectPr>
          <w:headerReference w:type="default" r:id="rId219"/>
          <w:footerReference w:type="default" r:id="rId220"/>
          <w:pgSz w:w="15840" w:h="12240" w:orient="landscape"/>
          <w:pgMar w:top="820" w:right="440" w:bottom="723" w:left="460" w:header="305" w:footer="275" w:gutter="0"/>
          <w:cols w:space="720"/>
        </w:sectPr>
      </w:pPr>
    </w:p>
    <w:tbl>
      <w:tblPr>
        <w:tblW w:w="0" w:type="auto"/>
        <w:tblInd w:w="482" w:type="dxa"/>
        <w:tblLayout w:type="fixed"/>
        <w:tblCellMar>
          <w:left w:w="0" w:type="dxa"/>
          <w:right w:w="0" w:type="dxa"/>
        </w:tblCellMar>
        <w:tblLook w:val="01E0"/>
      </w:tblPr>
      <w:tblGrid>
        <w:gridCol w:w="2347"/>
        <w:gridCol w:w="2561"/>
        <w:gridCol w:w="1905"/>
        <w:gridCol w:w="4036"/>
        <w:gridCol w:w="3135"/>
      </w:tblGrid>
      <w:tr w14:paraId="756D0177" w14:textId="77777777">
        <w:tblPrEx>
          <w:tblW w:w="0" w:type="auto"/>
          <w:tblInd w:w="482" w:type="dxa"/>
          <w:tblLayout w:type="fixed"/>
          <w:tblCellMar>
            <w:left w:w="0" w:type="dxa"/>
            <w:right w:w="0" w:type="dxa"/>
          </w:tblCellMar>
          <w:tblLook w:val="01E0"/>
        </w:tblPrEx>
        <w:trPr>
          <w:trHeight w:val="278"/>
        </w:trPr>
        <w:tc>
          <w:tcPr>
            <w:tcW w:w="2347" w:type="dxa"/>
            <w:tcBorders>
              <w:top w:val="single" w:sz="18" w:space="0" w:color="800000"/>
            </w:tcBorders>
          </w:tcPr>
          <w:p w:rsidR="003F5784" w14:paraId="3E3FEC2A" w14:textId="77777777">
            <w:pPr>
              <w:pStyle w:val="TableParagraph"/>
              <w:spacing w:before="9"/>
              <w:ind w:left="120"/>
              <w:jc w:val="left"/>
              <w:rPr>
                <w:sz w:val="21"/>
              </w:rPr>
            </w:pPr>
            <w:r>
              <w:rPr>
                <w:spacing w:val="-2"/>
                <w:sz w:val="21"/>
              </w:rPr>
              <w:t>Northeast</w:t>
            </w:r>
          </w:p>
        </w:tc>
        <w:tc>
          <w:tcPr>
            <w:tcW w:w="2561" w:type="dxa"/>
            <w:tcBorders>
              <w:top w:val="single" w:sz="18" w:space="0" w:color="800000"/>
            </w:tcBorders>
          </w:tcPr>
          <w:p w:rsidR="003F5784" w14:paraId="3553CB72" w14:textId="77777777">
            <w:pPr>
              <w:pStyle w:val="TableParagraph"/>
              <w:spacing w:before="9"/>
              <w:ind w:right="829"/>
              <w:rPr>
                <w:sz w:val="21"/>
              </w:rPr>
            </w:pPr>
            <w:r>
              <w:rPr>
                <w:spacing w:val="-5"/>
                <w:sz w:val="21"/>
              </w:rPr>
              <w:t>48</w:t>
            </w:r>
          </w:p>
        </w:tc>
        <w:tc>
          <w:tcPr>
            <w:tcW w:w="1905" w:type="dxa"/>
            <w:tcBorders>
              <w:top w:val="single" w:sz="18" w:space="0" w:color="800000"/>
            </w:tcBorders>
          </w:tcPr>
          <w:p w:rsidR="003F5784" w14:paraId="6AB09320" w14:textId="77777777">
            <w:pPr>
              <w:pStyle w:val="TableParagraph"/>
              <w:spacing w:before="9"/>
              <w:ind w:right="757"/>
              <w:rPr>
                <w:sz w:val="21"/>
              </w:rPr>
            </w:pPr>
            <w:r>
              <w:rPr>
                <w:spacing w:val="-5"/>
                <w:sz w:val="21"/>
              </w:rPr>
              <w:t>94</w:t>
            </w:r>
          </w:p>
        </w:tc>
        <w:tc>
          <w:tcPr>
            <w:tcW w:w="4036" w:type="dxa"/>
            <w:tcBorders>
              <w:top w:val="single" w:sz="18" w:space="0" w:color="800000"/>
            </w:tcBorders>
          </w:tcPr>
          <w:p w:rsidR="003F5784" w14:paraId="1309341B" w14:textId="77777777">
            <w:pPr>
              <w:pStyle w:val="TableParagraph"/>
              <w:spacing w:before="9"/>
              <w:ind w:left="760"/>
              <w:jc w:val="left"/>
              <w:rPr>
                <w:sz w:val="21"/>
              </w:rPr>
            </w:pPr>
            <w:r>
              <w:rPr>
                <w:spacing w:val="-2"/>
                <w:sz w:val="21"/>
              </w:rPr>
              <w:t>1,021,897</w:t>
            </w:r>
          </w:p>
        </w:tc>
        <w:tc>
          <w:tcPr>
            <w:tcW w:w="3135" w:type="dxa"/>
            <w:tcBorders>
              <w:top w:val="single" w:sz="18" w:space="0" w:color="800000"/>
            </w:tcBorders>
          </w:tcPr>
          <w:p w:rsidR="003F5784" w14:paraId="63209E7D" w14:textId="77777777">
            <w:pPr>
              <w:pStyle w:val="TableParagraph"/>
              <w:spacing w:before="9"/>
              <w:ind w:right="117"/>
              <w:rPr>
                <w:sz w:val="21"/>
              </w:rPr>
            </w:pPr>
            <w:r>
              <w:rPr>
                <w:spacing w:val="-2"/>
                <w:sz w:val="21"/>
              </w:rPr>
              <w:t>21,290</w:t>
            </w:r>
          </w:p>
        </w:tc>
      </w:tr>
      <w:tr w14:paraId="17CC4FBA" w14:textId="77777777">
        <w:tblPrEx>
          <w:tblW w:w="0" w:type="auto"/>
          <w:tblInd w:w="482" w:type="dxa"/>
          <w:tblLayout w:type="fixed"/>
          <w:tblCellMar>
            <w:left w:w="0" w:type="dxa"/>
            <w:right w:w="0" w:type="dxa"/>
          </w:tblCellMar>
          <w:tblLook w:val="01E0"/>
        </w:tblPrEx>
        <w:trPr>
          <w:trHeight w:val="286"/>
        </w:trPr>
        <w:tc>
          <w:tcPr>
            <w:tcW w:w="2347" w:type="dxa"/>
          </w:tcPr>
          <w:p w:rsidR="003F5784" w14:paraId="71DE2D2F" w14:textId="77777777">
            <w:pPr>
              <w:pStyle w:val="TableParagraph"/>
              <w:ind w:left="120"/>
              <w:jc w:val="left"/>
              <w:rPr>
                <w:sz w:val="21"/>
              </w:rPr>
            </w:pPr>
            <w:r>
              <w:rPr>
                <w:spacing w:val="-2"/>
                <w:sz w:val="21"/>
              </w:rPr>
              <w:t>Midwest</w:t>
            </w:r>
          </w:p>
        </w:tc>
        <w:tc>
          <w:tcPr>
            <w:tcW w:w="2561" w:type="dxa"/>
          </w:tcPr>
          <w:p w:rsidR="003F5784" w14:paraId="7378671F" w14:textId="77777777">
            <w:pPr>
              <w:pStyle w:val="TableParagraph"/>
              <w:ind w:right="829"/>
              <w:rPr>
                <w:sz w:val="21"/>
              </w:rPr>
            </w:pPr>
            <w:r>
              <w:rPr>
                <w:spacing w:val="-5"/>
                <w:sz w:val="21"/>
              </w:rPr>
              <w:t>228</w:t>
            </w:r>
          </w:p>
        </w:tc>
        <w:tc>
          <w:tcPr>
            <w:tcW w:w="1905" w:type="dxa"/>
          </w:tcPr>
          <w:p w:rsidR="003F5784" w14:paraId="6D19049F" w14:textId="77777777">
            <w:pPr>
              <w:pStyle w:val="TableParagraph"/>
              <w:ind w:right="757"/>
              <w:rPr>
                <w:sz w:val="21"/>
              </w:rPr>
            </w:pPr>
            <w:r>
              <w:rPr>
                <w:spacing w:val="-5"/>
                <w:sz w:val="21"/>
              </w:rPr>
              <w:t>762</w:t>
            </w:r>
          </w:p>
        </w:tc>
        <w:tc>
          <w:tcPr>
            <w:tcW w:w="4036" w:type="dxa"/>
          </w:tcPr>
          <w:p w:rsidR="003F5784" w14:paraId="73D34B68" w14:textId="77777777">
            <w:pPr>
              <w:pStyle w:val="TableParagraph"/>
              <w:ind w:left="760"/>
              <w:jc w:val="left"/>
              <w:rPr>
                <w:sz w:val="21"/>
              </w:rPr>
            </w:pPr>
            <w:r>
              <w:rPr>
                <w:spacing w:val="-2"/>
                <w:sz w:val="21"/>
              </w:rPr>
              <w:t>3,388,214</w:t>
            </w:r>
          </w:p>
        </w:tc>
        <w:tc>
          <w:tcPr>
            <w:tcW w:w="3135" w:type="dxa"/>
          </w:tcPr>
          <w:p w:rsidR="003F5784" w14:paraId="0C00DA88" w14:textId="77777777">
            <w:pPr>
              <w:pStyle w:val="TableParagraph"/>
              <w:ind w:right="117"/>
              <w:rPr>
                <w:sz w:val="21"/>
              </w:rPr>
            </w:pPr>
            <w:r>
              <w:rPr>
                <w:spacing w:val="-2"/>
                <w:sz w:val="21"/>
              </w:rPr>
              <w:t>14,861</w:t>
            </w:r>
          </w:p>
        </w:tc>
      </w:tr>
      <w:tr w14:paraId="7BE7DA31" w14:textId="77777777">
        <w:tblPrEx>
          <w:tblW w:w="0" w:type="auto"/>
          <w:tblInd w:w="482" w:type="dxa"/>
          <w:tblLayout w:type="fixed"/>
          <w:tblCellMar>
            <w:left w:w="0" w:type="dxa"/>
            <w:right w:w="0" w:type="dxa"/>
          </w:tblCellMar>
          <w:tblLook w:val="01E0"/>
        </w:tblPrEx>
        <w:trPr>
          <w:trHeight w:val="286"/>
        </w:trPr>
        <w:tc>
          <w:tcPr>
            <w:tcW w:w="2347" w:type="dxa"/>
          </w:tcPr>
          <w:p w:rsidR="003F5784" w14:paraId="141B4E84" w14:textId="77777777">
            <w:pPr>
              <w:pStyle w:val="TableParagraph"/>
              <w:ind w:left="120"/>
              <w:jc w:val="left"/>
              <w:rPr>
                <w:sz w:val="21"/>
              </w:rPr>
            </w:pPr>
            <w:r>
              <w:rPr>
                <w:spacing w:val="-2"/>
                <w:sz w:val="21"/>
              </w:rPr>
              <w:t>South</w:t>
            </w:r>
          </w:p>
        </w:tc>
        <w:tc>
          <w:tcPr>
            <w:tcW w:w="2561" w:type="dxa"/>
          </w:tcPr>
          <w:p w:rsidR="003F5784" w14:paraId="769FDD6A" w14:textId="77777777">
            <w:pPr>
              <w:pStyle w:val="TableParagraph"/>
              <w:ind w:right="829"/>
              <w:rPr>
                <w:sz w:val="21"/>
              </w:rPr>
            </w:pPr>
            <w:r>
              <w:rPr>
                <w:spacing w:val="-5"/>
                <w:sz w:val="21"/>
              </w:rPr>
              <w:t>250</w:t>
            </w:r>
          </w:p>
        </w:tc>
        <w:tc>
          <w:tcPr>
            <w:tcW w:w="1905" w:type="dxa"/>
          </w:tcPr>
          <w:p w:rsidR="003F5784" w14:paraId="6DFE25F0" w14:textId="77777777">
            <w:pPr>
              <w:pStyle w:val="TableParagraph"/>
              <w:ind w:right="757"/>
              <w:rPr>
                <w:sz w:val="21"/>
              </w:rPr>
            </w:pPr>
            <w:r>
              <w:rPr>
                <w:spacing w:val="-5"/>
                <w:sz w:val="21"/>
              </w:rPr>
              <w:t>871</w:t>
            </w:r>
          </w:p>
        </w:tc>
        <w:tc>
          <w:tcPr>
            <w:tcW w:w="4036" w:type="dxa"/>
          </w:tcPr>
          <w:p w:rsidR="003F5784" w14:paraId="4A0260E6" w14:textId="77777777">
            <w:pPr>
              <w:pStyle w:val="TableParagraph"/>
              <w:ind w:left="768"/>
              <w:jc w:val="left"/>
              <w:rPr>
                <w:sz w:val="21"/>
              </w:rPr>
            </w:pPr>
            <w:r>
              <w:rPr>
                <w:spacing w:val="-2"/>
                <w:sz w:val="21"/>
              </w:rPr>
              <w:t>5,011,123</w:t>
            </w:r>
          </w:p>
        </w:tc>
        <w:tc>
          <w:tcPr>
            <w:tcW w:w="3135" w:type="dxa"/>
          </w:tcPr>
          <w:p w:rsidR="003F5784" w14:paraId="584C2302" w14:textId="77777777">
            <w:pPr>
              <w:pStyle w:val="TableParagraph"/>
              <w:ind w:right="117"/>
              <w:rPr>
                <w:sz w:val="21"/>
              </w:rPr>
            </w:pPr>
            <w:r>
              <w:rPr>
                <w:spacing w:val="-2"/>
                <w:sz w:val="21"/>
              </w:rPr>
              <w:t>20,044</w:t>
            </w:r>
          </w:p>
        </w:tc>
      </w:tr>
      <w:tr w14:paraId="35CD8BD3" w14:textId="77777777">
        <w:tblPrEx>
          <w:tblW w:w="0" w:type="auto"/>
          <w:tblInd w:w="482" w:type="dxa"/>
          <w:tblLayout w:type="fixed"/>
          <w:tblCellMar>
            <w:left w:w="0" w:type="dxa"/>
            <w:right w:w="0" w:type="dxa"/>
          </w:tblCellMar>
          <w:tblLook w:val="01E0"/>
        </w:tblPrEx>
        <w:trPr>
          <w:trHeight w:val="288"/>
        </w:trPr>
        <w:tc>
          <w:tcPr>
            <w:tcW w:w="2347" w:type="dxa"/>
            <w:tcBorders>
              <w:bottom w:val="single" w:sz="18" w:space="0" w:color="800000"/>
            </w:tcBorders>
          </w:tcPr>
          <w:p w:rsidR="003F5784" w14:paraId="08AA7B2C" w14:textId="77777777">
            <w:pPr>
              <w:pStyle w:val="TableParagraph"/>
              <w:ind w:left="120"/>
              <w:jc w:val="left"/>
              <w:rPr>
                <w:sz w:val="21"/>
              </w:rPr>
            </w:pPr>
            <w:r>
              <w:rPr>
                <w:spacing w:val="-4"/>
                <w:sz w:val="21"/>
              </w:rPr>
              <w:t>West</w:t>
            </w:r>
          </w:p>
        </w:tc>
        <w:tc>
          <w:tcPr>
            <w:tcW w:w="2561" w:type="dxa"/>
            <w:tcBorders>
              <w:bottom w:val="single" w:sz="18" w:space="0" w:color="800000"/>
            </w:tcBorders>
          </w:tcPr>
          <w:p w:rsidR="003F5784" w14:paraId="0F43F3B8" w14:textId="77777777">
            <w:pPr>
              <w:pStyle w:val="TableParagraph"/>
              <w:ind w:right="829"/>
              <w:rPr>
                <w:sz w:val="21"/>
              </w:rPr>
            </w:pPr>
            <w:r>
              <w:rPr>
                <w:spacing w:val="-5"/>
                <w:sz w:val="21"/>
              </w:rPr>
              <w:t>103</w:t>
            </w:r>
          </w:p>
        </w:tc>
        <w:tc>
          <w:tcPr>
            <w:tcW w:w="1905" w:type="dxa"/>
            <w:tcBorders>
              <w:bottom w:val="single" w:sz="18" w:space="0" w:color="800000"/>
            </w:tcBorders>
          </w:tcPr>
          <w:p w:rsidR="003F5784" w14:paraId="3CE99E2E" w14:textId="77777777">
            <w:pPr>
              <w:pStyle w:val="TableParagraph"/>
              <w:ind w:right="757"/>
              <w:rPr>
                <w:sz w:val="21"/>
              </w:rPr>
            </w:pPr>
            <w:r>
              <w:rPr>
                <w:spacing w:val="-5"/>
                <w:sz w:val="21"/>
              </w:rPr>
              <w:t>316</w:t>
            </w:r>
          </w:p>
        </w:tc>
        <w:tc>
          <w:tcPr>
            <w:tcW w:w="4036" w:type="dxa"/>
            <w:tcBorders>
              <w:bottom w:val="single" w:sz="18" w:space="0" w:color="800000"/>
            </w:tcBorders>
          </w:tcPr>
          <w:p w:rsidR="003F5784" w14:paraId="6966175C" w14:textId="77777777">
            <w:pPr>
              <w:pStyle w:val="TableParagraph"/>
              <w:ind w:left="760"/>
              <w:jc w:val="left"/>
              <w:rPr>
                <w:sz w:val="21"/>
              </w:rPr>
            </w:pPr>
            <w:r>
              <w:rPr>
                <w:spacing w:val="-2"/>
                <w:sz w:val="21"/>
              </w:rPr>
              <w:t>1,657,582</w:t>
            </w:r>
          </w:p>
        </w:tc>
        <w:tc>
          <w:tcPr>
            <w:tcW w:w="3135" w:type="dxa"/>
            <w:tcBorders>
              <w:bottom w:val="single" w:sz="18" w:space="0" w:color="800000"/>
            </w:tcBorders>
          </w:tcPr>
          <w:p w:rsidR="003F5784" w14:paraId="0C9B1DA9" w14:textId="77777777">
            <w:pPr>
              <w:pStyle w:val="TableParagraph"/>
              <w:ind w:right="117"/>
              <w:rPr>
                <w:sz w:val="21"/>
              </w:rPr>
            </w:pPr>
            <w:r>
              <w:rPr>
                <w:spacing w:val="-2"/>
                <w:sz w:val="21"/>
              </w:rPr>
              <w:t>16,093</w:t>
            </w:r>
          </w:p>
        </w:tc>
      </w:tr>
    </w:tbl>
    <w:p w:rsidR="003F5784" w14:paraId="2979F6AB" w14:textId="77777777">
      <w:pPr>
        <w:pStyle w:val="BodyText"/>
        <w:spacing w:before="2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46F8CFDE" w14:textId="77777777">
      <w:pPr>
        <w:pStyle w:val="BodyText"/>
        <w:spacing w:before="28"/>
      </w:pPr>
    </w:p>
    <w:p w:rsidR="003F5784" w14:paraId="524B5801" w14:textId="77777777">
      <w:pPr>
        <w:spacing w:line="264" w:lineRule="auto"/>
        <w:ind w:left="109" w:right="2669"/>
        <w:rPr>
          <w:sz w:val="15"/>
        </w:rPr>
      </w:pPr>
      <w:r>
        <w:rPr>
          <w:w w:val="105"/>
          <w:position w:val="8"/>
          <w:sz w:val="17"/>
        </w:rPr>
        <w:t>1</w:t>
      </w:r>
      <w:r>
        <w:rPr>
          <w:spacing w:val="-10"/>
          <w:w w:val="105"/>
          <w:position w:val="8"/>
          <w:sz w:val="17"/>
        </w:rPr>
        <w:t xml:space="preserve"> </w:t>
      </w:r>
      <w:r>
        <w:rPr>
          <w:w w:val="105"/>
          <w:sz w:val="15"/>
        </w:rPr>
        <w:t>Based</w:t>
      </w:r>
      <w:r>
        <w:rPr>
          <w:spacing w:val="-5"/>
          <w:w w:val="105"/>
          <w:sz w:val="15"/>
        </w:rPr>
        <w:t xml:space="preserve"> </w:t>
      </w:r>
      <w:r>
        <w:rPr>
          <w:w w:val="105"/>
          <w:sz w:val="15"/>
        </w:rPr>
        <w:t>on</w:t>
      </w:r>
      <w:r>
        <w:rPr>
          <w:spacing w:val="-5"/>
          <w:w w:val="105"/>
          <w:sz w:val="15"/>
        </w:rPr>
        <w:t xml:space="preserve"> </w:t>
      </w:r>
      <w:r>
        <w:rPr>
          <w:w w:val="105"/>
          <w:sz w:val="15"/>
        </w:rPr>
        <w:t>the</w:t>
      </w:r>
      <w:r>
        <w:rPr>
          <w:spacing w:val="-5"/>
          <w:w w:val="105"/>
          <w:sz w:val="15"/>
        </w:rPr>
        <w:t xml:space="preserve"> </w:t>
      </w:r>
      <w:r>
        <w:rPr>
          <w:w w:val="105"/>
          <w:sz w:val="15"/>
        </w:rPr>
        <w:t>2009</w:t>
      </w:r>
      <w:r>
        <w:rPr>
          <w:spacing w:val="-5"/>
          <w:w w:val="105"/>
          <w:sz w:val="15"/>
        </w:rPr>
        <w:t xml:space="preserve"> </w:t>
      </w:r>
      <w:r>
        <w:rPr>
          <w:w w:val="105"/>
          <w:sz w:val="15"/>
        </w:rPr>
        <w:t>metro</w:t>
      </w:r>
      <w:r>
        <w:rPr>
          <w:spacing w:val="-5"/>
          <w:w w:val="105"/>
          <w:sz w:val="15"/>
        </w:rPr>
        <w:t xml:space="preserve"> </w:t>
      </w:r>
      <w:r>
        <w:rPr>
          <w:w w:val="105"/>
          <w:sz w:val="15"/>
        </w:rPr>
        <w:t>area</w:t>
      </w:r>
      <w:r>
        <w:rPr>
          <w:spacing w:val="-5"/>
          <w:w w:val="105"/>
          <w:sz w:val="15"/>
        </w:rPr>
        <w:t xml:space="preserve"> </w:t>
      </w:r>
      <w:r>
        <w:rPr>
          <w:w w:val="105"/>
          <w:sz w:val="15"/>
        </w:rPr>
        <w:t>definitions,</w:t>
      </w:r>
      <w:r>
        <w:rPr>
          <w:spacing w:val="-5"/>
          <w:w w:val="105"/>
          <w:sz w:val="15"/>
        </w:rPr>
        <w:t xml:space="preserve"> </w:t>
      </w:r>
      <w:r>
        <w:rPr>
          <w:w w:val="105"/>
          <w:sz w:val="15"/>
        </w:rPr>
        <w:t>the</w:t>
      </w:r>
      <w:r>
        <w:rPr>
          <w:spacing w:val="-5"/>
          <w:w w:val="105"/>
          <w:sz w:val="15"/>
        </w:rPr>
        <w:t xml:space="preserve"> </w:t>
      </w:r>
      <w:r>
        <w:rPr>
          <w:w w:val="105"/>
          <w:sz w:val="15"/>
        </w:rPr>
        <w:t>most</w:t>
      </w:r>
      <w:r>
        <w:rPr>
          <w:spacing w:val="-5"/>
          <w:w w:val="105"/>
          <w:sz w:val="15"/>
        </w:rPr>
        <w:t xml:space="preserve"> </w:t>
      </w:r>
      <w:r>
        <w:rPr>
          <w:w w:val="105"/>
          <w:sz w:val="15"/>
        </w:rPr>
        <w:t>recent</w:t>
      </w:r>
      <w:r>
        <w:rPr>
          <w:spacing w:val="-5"/>
          <w:w w:val="105"/>
          <w:sz w:val="15"/>
        </w:rPr>
        <w:t xml:space="preserve"> </w:t>
      </w:r>
      <w:r>
        <w:rPr>
          <w:w w:val="105"/>
          <w:sz w:val="15"/>
        </w:rPr>
        <w:t>available</w:t>
      </w:r>
      <w:r>
        <w:rPr>
          <w:spacing w:val="-5"/>
          <w:w w:val="105"/>
          <w:sz w:val="15"/>
        </w:rPr>
        <w:t xml:space="preserve"> </w:t>
      </w:r>
      <w:r>
        <w:rPr>
          <w:w w:val="105"/>
          <w:sz w:val="15"/>
        </w:rPr>
        <w:t>metro</w:t>
      </w:r>
      <w:r>
        <w:rPr>
          <w:spacing w:val="-5"/>
          <w:w w:val="105"/>
          <w:sz w:val="15"/>
        </w:rPr>
        <w:t xml:space="preserve"> </w:t>
      </w:r>
      <w:r>
        <w:rPr>
          <w:w w:val="105"/>
          <w:sz w:val="15"/>
        </w:rPr>
        <w:t>area</w:t>
      </w:r>
      <w:r>
        <w:rPr>
          <w:spacing w:val="-5"/>
          <w:w w:val="105"/>
          <w:sz w:val="15"/>
        </w:rPr>
        <w:t xml:space="preserve"> </w:t>
      </w:r>
      <w:r>
        <w:rPr>
          <w:w w:val="105"/>
          <w:sz w:val="15"/>
        </w:rPr>
        <w:t>definitions</w:t>
      </w:r>
      <w:r>
        <w:rPr>
          <w:spacing w:val="-5"/>
          <w:w w:val="105"/>
          <w:sz w:val="15"/>
        </w:rPr>
        <w:t xml:space="preserve"> </w:t>
      </w:r>
      <w:r>
        <w:rPr>
          <w:w w:val="105"/>
          <w:sz w:val="15"/>
        </w:rPr>
        <w:t>at</w:t>
      </w:r>
      <w:r>
        <w:rPr>
          <w:spacing w:val="-5"/>
          <w:w w:val="105"/>
          <w:sz w:val="15"/>
        </w:rPr>
        <w:t xml:space="preserve"> </w:t>
      </w:r>
      <w:r>
        <w:rPr>
          <w:w w:val="105"/>
          <w:sz w:val="15"/>
        </w:rPr>
        <w:t>the</w:t>
      </w:r>
      <w:r>
        <w:rPr>
          <w:spacing w:val="-5"/>
          <w:w w:val="105"/>
          <w:sz w:val="15"/>
        </w:rPr>
        <w:t xml:space="preserve"> </w:t>
      </w:r>
      <w:r>
        <w:rPr>
          <w:w w:val="105"/>
          <w:sz w:val="15"/>
        </w:rPr>
        <w:t>time</w:t>
      </w:r>
      <w:r>
        <w:rPr>
          <w:spacing w:val="-5"/>
          <w:w w:val="105"/>
          <w:sz w:val="15"/>
        </w:rPr>
        <w:t xml:space="preserve"> </w:t>
      </w:r>
      <w:r>
        <w:rPr>
          <w:w w:val="105"/>
          <w:sz w:val="15"/>
        </w:rPr>
        <w:t>of</w:t>
      </w:r>
      <w:r>
        <w:rPr>
          <w:spacing w:val="-5"/>
          <w:w w:val="105"/>
          <w:sz w:val="15"/>
        </w:rPr>
        <w:t xml:space="preserve"> </w:t>
      </w:r>
      <w:r>
        <w:rPr>
          <w:w w:val="105"/>
          <w:sz w:val="15"/>
        </w:rPr>
        <w:t>PSU</w:t>
      </w:r>
      <w:r>
        <w:rPr>
          <w:spacing w:val="-5"/>
          <w:w w:val="105"/>
          <w:sz w:val="15"/>
        </w:rPr>
        <w:t xml:space="preserve"> </w:t>
      </w:r>
      <w:r>
        <w:rPr>
          <w:w w:val="105"/>
          <w:sz w:val="15"/>
        </w:rPr>
        <w:t>construction,</w:t>
      </w:r>
      <w:r>
        <w:rPr>
          <w:spacing w:val="-5"/>
          <w:w w:val="105"/>
          <w:sz w:val="15"/>
        </w:rPr>
        <w:t xml:space="preserve"> </w:t>
      </w:r>
      <w:r>
        <w:rPr>
          <w:w w:val="105"/>
          <w:sz w:val="15"/>
        </w:rPr>
        <w:t>from</w:t>
      </w:r>
      <w:r>
        <w:rPr>
          <w:spacing w:val="-5"/>
          <w:w w:val="105"/>
          <w:sz w:val="15"/>
        </w:rPr>
        <w:t xml:space="preserve"> </w:t>
      </w:r>
      <w:r>
        <w:rPr>
          <w:w w:val="105"/>
          <w:sz w:val="15"/>
        </w:rPr>
        <w:t>the</w:t>
      </w:r>
      <w:r>
        <w:rPr>
          <w:spacing w:val="-5"/>
          <w:w w:val="105"/>
          <w:sz w:val="15"/>
        </w:rPr>
        <w:t xml:space="preserve"> </w:t>
      </w:r>
      <w:r>
        <w:rPr>
          <w:w w:val="105"/>
          <w:sz w:val="15"/>
        </w:rPr>
        <w:t>U.S.</w:t>
      </w:r>
      <w:r>
        <w:rPr>
          <w:spacing w:val="-5"/>
          <w:w w:val="105"/>
          <w:sz w:val="15"/>
        </w:rPr>
        <w:t xml:space="preserve"> </w:t>
      </w:r>
      <w:r>
        <w:rPr>
          <w:w w:val="105"/>
          <w:sz w:val="15"/>
        </w:rPr>
        <w:t>Office</w:t>
      </w:r>
      <w:r>
        <w:rPr>
          <w:spacing w:val="-5"/>
          <w:w w:val="105"/>
          <w:sz w:val="15"/>
        </w:rPr>
        <w:t xml:space="preserve"> </w:t>
      </w:r>
      <w:r>
        <w:rPr>
          <w:w w:val="105"/>
          <w:sz w:val="15"/>
        </w:rPr>
        <w:t>of</w:t>
      </w:r>
      <w:r>
        <w:rPr>
          <w:spacing w:val="-5"/>
          <w:w w:val="105"/>
          <w:sz w:val="15"/>
        </w:rPr>
        <w:t xml:space="preserve"> </w:t>
      </w:r>
      <w:r>
        <w:rPr>
          <w:w w:val="105"/>
          <w:sz w:val="15"/>
        </w:rPr>
        <w:t>Management</w:t>
      </w:r>
      <w:r>
        <w:rPr>
          <w:spacing w:val="-5"/>
          <w:w w:val="105"/>
          <w:sz w:val="15"/>
        </w:rPr>
        <w:t xml:space="preserve"> </w:t>
      </w:r>
      <w:r>
        <w:rPr>
          <w:w w:val="105"/>
          <w:sz w:val="15"/>
        </w:rPr>
        <w:t>and</w:t>
      </w:r>
      <w:r>
        <w:rPr>
          <w:spacing w:val="-5"/>
          <w:w w:val="105"/>
          <w:sz w:val="15"/>
        </w:rPr>
        <w:t xml:space="preserve"> </w:t>
      </w:r>
      <w:r>
        <w:rPr>
          <w:w w:val="105"/>
          <w:sz w:val="15"/>
        </w:rPr>
        <w:t>Budget</w:t>
      </w:r>
      <w:r>
        <w:rPr>
          <w:spacing w:val="-5"/>
          <w:w w:val="105"/>
          <w:sz w:val="15"/>
        </w:rPr>
        <w:t xml:space="preserve"> </w:t>
      </w:r>
      <w:r>
        <w:rPr>
          <w:w w:val="105"/>
          <w:sz w:val="15"/>
        </w:rPr>
        <w:t>(OMB</w:t>
      </w:r>
      <w:r>
        <w:rPr>
          <w:spacing w:val="-5"/>
          <w:w w:val="105"/>
          <w:sz w:val="15"/>
        </w:rPr>
        <w:t xml:space="preserve"> </w:t>
      </w:r>
      <w:r>
        <w:rPr>
          <w:w w:val="105"/>
          <w:sz w:val="15"/>
        </w:rPr>
        <w:t>Bulletin</w:t>
      </w:r>
      <w:r>
        <w:rPr>
          <w:spacing w:val="-5"/>
          <w:w w:val="105"/>
          <w:sz w:val="15"/>
        </w:rPr>
        <w:t xml:space="preserve"> </w:t>
      </w:r>
      <w:r>
        <w:rPr>
          <w:w w:val="105"/>
          <w:sz w:val="15"/>
        </w:rPr>
        <w:t>No.</w:t>
      </w:r>
      <w:r>
        <w:rPr>
          <w:spacing w:val="40"/>
          <w:w w:val="105"/>
          <w:sz w:val="15"/>
        </w:rPr>
        <w:t xml:space="preserve"> </w:t>
      </w:r>
      <w:r>
        <w:rPr>
          <w:spacing w:val="-2"/>
          <w:w w:val="105"/>
          <w:sz w:val="15"/>
        </w:rPr>
        <w:t>10-02).</w:t>
      </w:r>
    </w:p>
    <w:p w:rsidR="003F5784" w14:paraId="2F7C0ED5" w14:textId="77777777">
      <w:pPr>
        <w:pStyle w:val="BodyText"/>
        <w:rPr>
          <w:sz w:val="15"/>
        </w:rPr>
      </w:pPr>
    </w:p>
    <w:p w:rsidR="003F5784" w14:paraId="4551CD82" w14:textId="77777777">
      <w:pPr>
        <w:pStyle w:val="BodyText"/>
        <w:rPr>
          <w:sz w:val="15"/>
        </w:rPr>
      </w:pPr>
    </w:p>
    <w:p w:rsidR="003F5784" w14:paraId="6E45BCAE" w14:textId="77777777">
      <w:pPr>
        <w:pStyle w:val="BodyText"/>
        <w:rPr>
          <w:sz w:val="15"/>
        </w:rPr>
      </w:pPr>
    </w:p>
    <w:p w:rsidR="003F5784" w14:paraId="046451DB" w14:textId="77777777">
      <w:pPr>
        <w:pStyle w:val="BodyText"/>
        <w:rPr>
          <w:sz w:val="15"/>
        </w:rPr>
      </w:pPr>
    </w:p>
    <w:p w:rsidR="003F5784" w14:paraId="17A4EEBE" w14:textId="77777777">
      <w:pPr>
        <w:pStyle w:val="BodyText"/>
        <w:rPr>
          <w:sz w:val="15"/>
        </w:rPr>
      </w:pPr>
    </w:p>
    <w:p w:rsidR="003F5784" w14:paraId="2D679AA2" w14:textId="77777777">
      <w:pPr>
        <w:pStyle w:val="BodyText"/>
        <w:rPr>
          <w:sz w:val="15"/>
        </w:rPr>
      </w:pPr>
    </w:p>
    <w:p w:rsidR="003F5784" w14:paraId="7AA407BF" w14:textId="77777777">
      <w:pPr>
        <w:pStyle w:val="BodyText"/>
        <w:spacing w:before="112"/>
        <w:rPr>
          <w:sz w:val="15"/>
        </w:rPr>
      </w:pPr>
    </w:p>
    <w:p w:rsidR="003F5784" w14:paraId="01CA34DC" w14:textId="77777777">
      <w:pPr>
        <w:ind w:left="2363"/>
        <w:rPr>
          <w:sz w:val="18"/>
        </w:rPr>
      </w:pPr>
      <w:hyperlink r:id="rId221">
        <w:r>
          <w:rPr>
            <w:spacing w:val="-2"/>
            <w:w w:val="105"/>
            <w:sz w:val="18"/>
          </w:rPr>
          <w:t>http://nces.ed.gov/nationsreportcard/tdw/sample_design/2022/primary_sampling_unit_generation_non_metropolitan_statistical_areas_for_the_2022_assessment.aspx</w:t>
        </w:r>
      </w:hyperlink>
    </w:p>
    <w:p w:rsidR="003F5784" w14:paraId="455A82CF" w14:textId="77777777">
      <w:pPr>
        <w:pStyle w:val="BodyText"/>
        <w:spacing w:before="10"/>
        <w:rPr>
          <w:sz w:val="14"/>
        </w:rPr>
      </w:pPr>
      <w:r>
        <w:rPr>
          <w:noProof/>
        </w:rPr>
        <mc:AlternateContent>
          <mc:Choice Requires="wps">
            <w:drawing>
              <wp:anchor distT="0" distB="0" distL="0" distR="0" simplePos="0" relativeHeight="251909120" behindDoc="1" locked="0" layoutInCell="1" allowOverlap="1">
                <wp:simplePos x="0" y="0"/>
                <wp:positionH relativeFrom="page">
                  <wp:posOffset>361937</wp:posOffset>
                </wp:positionH>
                <wp:positionV relativeFrom="paragraph">
                  <wp:posOffset>124306</wp:posOffset>
                </wp:positionV>
                <wp:extent cx="9339580" cy="8890"/>
                <wp:effectExtent l="0" t="0" r="0" b="0"/>
                <wp:wrapTopAndBottom/>
                <wp:docPr id="256" name="Graphic 25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67"/>
                              </a:lnTo>
                              <a:lnTo>
                                <a:pt x="9335110" y="8280"/>
                              </a:lnTo>
                              <a:lnTo>
                                <a:pt x="9338970" y="8280"/>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56" o:spid="_x0000_s1125" style="width:735.4pt;height:0.7pt;margin-top:9.8pt;margin-left:28.5pt;mso-position-horizontal-relative:page;mso-wrap-distance-bottom:0;mso-wrap-distance-left:0;mso-wrap-distance-right:0;mso-wrap-distance-top:0;mso-wrap-style:square;position:absolute;visibility:visible;v-text-anchor:top;z-index:-251406336" coordsize="9339580,8890" path="m9338970,12l9335110,12l8280,12,,,,8267l9335110,8280l9338970,8280l9338970,12xe" fillcolor="gray" stroked="f">
                <v:path arrowok="t"/>
                <w10:wrap type="topAndBottom"/>
              </v:shape>
            </w:pict>
          </mc:Fallback>
        </mc:AlternateContent>
      </w:r>
    </w:p>
    <w:p w:rsidR="003F5784" w14:paraId="3C592375" w14:textId="77777777">
      <w:pPr>
        <w:pStyle w:val="BodyText"/>
        <w:rPr>
          <w:sz w:val="18"/>
        </w:rPr>
      </w:pPr>
    </w:p>
    <w:p w:rsidR="003F5784" w14:paraId="42B20B55" w14:textId="77777777">
      <w:pPr>
        <w:pStyle w:val="BodyText"/>
        <w:spacing w:before="206"/>
        <w:rPr>
          <w:sz w:val="18"/>
        </w:rPr>
      </w:pPr>
    </w:p>
    <w:p w:rsidR="003F5784" w14:paraId="43698ED3" w14:textId="4FD264A0">
      <w:pPr>
        <w:pStyle w:val="Heading1"/>
      </w:pPr>
      <w:r>
        <w:t>NAEP</w:t>
      </w:r>
      <w:r>
        <w:rPr>
          <w:spacing w:val="-23"/>
        </w:rPr>
        <w:t xml:space="preserve"> </w:t>
      </w:r>
      <w:r>
        <w:t>Technical</w:t>
      </w:r>
      <w:r>
        <w:rPr>
          <w:spacing w:val="10"/>
        </w:rPr>
        <w:t xml:space="preserve"> </w:t>
      </w:r>
      <w:r>
        <w:t>Documentation</w:t>
      </w:r>
      <w:r w:rsidR="004C039D">
        <w:t xml:space="preserve"> </w:t>
      </w:r>
      <w:r>
        <w:t>Sample</w:t>
      </w:r>
      <w:r>
        <w:rPr>
          <w:spacing w:val="11"/>
        </w:rPr>
        <w:t xml:space="preserve"> </w:t>
      </w:r>
      <w:r>
        <w:t>Design</w:t>
      </w:r>
      <w:r>
        <w:rPr>
          <w:spacing w:val="10"/>
        </w:rPr>
        <w:t xml:space="preserve"> </w:t>
      </w:r>
      <w:r>
        <w:t>for</w:t>
      </w:r>
      <w:r>
        <w:rPr>
          <w:spacing w:val="3"/>
        </w:rPr>
        <w:t xml:space="preserve"> </w:t>
      </w:r>
      <w:r>
        <w:t>the</w:t>
      </w:r>
      <w:r>
        <w:rPr>
          <w:spacing w:val="10"/>
        </w:rPr>
        <w:t xml:space="preserve"> </w:t>
      </w:r>
      <w:r>
        <w:t>2022</w:t>
      </w:r>
      <w:r>
        <w:rPr>
          <w:spacing w:val="10"/>
        </w:rPr>
        <w:t xml:space="preserve"> </w:t>
      </w:r>
      <w:r>
        <w:t>State</w:t>
      </w:r>
      <w:r>
        <w:rPr>
          <w:spacing w:val="-15"/>
        </w:rPr>
        <w:t xml:space="preserve"> </w:t>
      </w:r>
      <w:r>
        <w:rPr>
          <w:spacing w:val="-2"/>
        </w:rPr>
        <w:t>Assessment</w:t>
      </w:r>
    </w:p>
    <w:p w:rsidR="003F5784" w14:paraId="4399116A" w14:textId="77777777">
      <w:pPr>
        <w:pStyle w:val="BodyText"/>
        <w:spacing w:before="2"/>
        <w:rPr>
          <w:b/>
          <w:sz w:val="16"/>
        </w:rPr>
      </w:pPr>
    </w:p>
    <w:p w:rsidR="003F5784" w14:paraId="623DE466" w14:textId="77777777">
      <w:pPr>
        <w:rPr>
          <w:sz w:val="16"/>
        </w:rPr>
        <w:sectPr>
          <w:type w:val="continuous"/>
          <w:pgSz w:w="15840" w:h="12240" w:orient="landscape"/>
          <w:pgMar w:top="820" w:right="440" w:bottom="460" w:left="460" w:header="305" w:footer="275" w:gutter="0"/>
          <w:cols w:space="720"/>
        </w:sectPr>
      </w:pPr>
    </w:p>
    <w:p w:rsidR="003F5784" w14:paraId="7B701589" w14:textId="77777777">
      <w:pPr>
        <w:pStyle w:val="BodyText"/>
        <w:spacing w:before="96" w:line="232" w:lineRule="auto"/>
        <w:ind w:left="109"/>
      </w:pPr>
      <w:r>
        <w:t>The</w:t>
      </w:r>
      <w:r>
        <w:rPr>
          <w:spacing w:val="-7"/>
        </w:rPr>
        <w:t xml:space="preserve"> </w:t>
      </w:r>
      <w:r>
        <w:t>NAEP</w:t>
      </w:r>
      <w:r>
        <w:rPr>
          <w:spacing w:val="-14"/>
        </w:rPr>
        <w:t xml:space="preserve"> </w:t>
      </w:r>
      <w:r>
        <w:t>2022</w:t>
      </w:r>
      <w:r>
        <w:rPr>
          <w:spacing w:val="-6"/>
        </w:rPr>
        <w:t xml:space="preserve"> </w:t>
      </w:r>
      <w:r>
        <w:t>state</w:t>
      </w:r>
      <w:r>
        <w:rPr>
          <w:spacing w:val="-7"/>
        </w:rPr>
        <w:t xml:space="preserve"> </w:t>
      </w:r>
      <w:r>
        <w:t>assessment</w:t>
      </w:r>
      <w:r>
        <w:rPr>
          <w:spacing w:val="-7"/>
        </w:rPr>
        <w:t xml:space="preserve"> </w:t>
      </w:r>
      <w:r>
        <w:t>sampled</w:t>
      </w:r>
      <w:r>
        <w:rPr>
          <w:spacing w:val="-7"/>
        </w:rPr>
        <w:t xml:space="preserve"> </w:t>
      </w:r>
      <w:r>
        <w:t>jurisdictions</w:t>
      </w:r>
      <w:r>
        <w:rPr>
          <w:spacing w:val="-7"/>
        </w:rPr>
        <w:t xml:space="preserve"> </w:t>
      </w:r>
      <w:r>
        <w:t>comprising</w:t>
      </w:r>
      <w:r>
        <w:rPr>
          <w:spacing w:val="-7"/>
        </w:rPr>
        <w:t xml:space="preserve"> </w:t>
      </w:r>
      <w:r>
        <w:t>the</w:t>
      </w:r>
      <w:r>
        <w:rPr>
          <w:spacing w:val="-7"/>
        </w:rPr>
        <w:t xml:space="preserve"> </w:t>
      </w:r>
      <w:r>
        <w:t>50</w:t>
      </w:r>
      <w:r>
        <w:rPr>
          <w:spacing w:val="-7"/>
        </w:rPr>
        <w:t xml:space="preserve"> </w:t>
      </w:r>
      <w:r>
        <w:t>states,</w:t>
      </w:r>
      <w:r>
        <w:rPr>
          <w:spacing w:val="-7"/>
        </w:rPr>
        <w:t xml:space="preserve"> </w:t>
      </w:r>
      <w:r>
        <w:t>the</w:t>
      </w:r>
      <w:r>
        <w:rPr>
          <w:spacing w:val="-7"/>
        </w:rPr>
        <w:t xml:space="preserve"> </w:t>
      </w:r>
      <w:r>
        <w:t>District</w:t>
      </w:r>
      <w:r>
        <w:rPr>
          <w:spacing w:val="-7"/>
        </w:rPr>
        <w:t xml:space="preserve"> </w:t>
      </w:r>
      <w:r>
        <w:t>of</w:t>
      </w:r>
      <w:r>
        <w:rPr>
          <w:spacing w:val="-7"/>
        </w:rPr>
        <w:t xml:space="preserve"> </w:t>
      </w:r>
      <w:r>
        <w:t>Columbia,</w:t>
      </w:r>
      <w:r>
        <w:rPr>
          <w:spacing w:val="-7"/>
        </w:rPr>
        <w:t xml:space="preserve"> </w:t>
      </w:r>
      <w:r>
        <w:t>Puerto</w:t>
      </w:r>
      <w:r>
        <w:rPr>
          <w:spacing w:val="-7"/>
        </w:rPr>
        <w:t xml:space="preserve"> </w:t>
      </w:r>
      <w:r>
        <w:t>Rico,</w:t>
      </w:r>
      <w:r>
        <w:rPr>
          <w:spacing w:val="-7"/>
        </w:rPr>
        <w:t xml:space="preserve"> </w:t>
      </w:r>
      <w:r>
        <w:t>Bureau</w:t>
      </w:r>
      <w:r>
        <w:rPr>
          <w:spacing w:val="-7"/>
        </w:rPr>
        <w:t xml:space="preserve"> </w:t>
      </w:r>
      <w:r>
        <w:t>of</w:t>
      </w:r>
      <w:r>
        <w:rPr>
          <w:spacing w:val="-7"/>
        </w:rPr>
        <w:t xml:space="preserve"> </w:t>
      </w:r>
      <w:r>
        <w:t>Indian Education (BIE) schools, Department of Defense Education</w:t>
      </w:r>
      <w:r>
        <w:rPr>
          <w:spacing w:val="-9"/>
        </w:rPr>
        <w:t xml:space="preserve"> </w:t>
      </w:r>
      <w:r>
        <w:t>Activity (DoDEA) schools, and school districts participating in the</w:t>
      </w:r>
      <w:r>
        <w:rPr>
          <w:spacing w:val="-1"/>
        </w:rPr>
        <w:t xml:space="preserve"> </w:t>
      </w:r>
      <w:r>
        <w:t>Trial Urban</w:t>
      </w:r>
      <w:r>
        <w:rPr>
          <w:spacing w:val="-3"/>
        </w:rPr>
        <w:t xml:space="preserve"> </w:t>
      </w:r>
      <w:r>
        <w:t>District</w:t>
      </w:r>
      <w:r>
        <w:rPr>
          <w:spacing w:val="-13"/>
        </w:rPr>
        <w:t xml:space="preserve"> </w:t>
      </w:r>
      <w:r>
        <w:t>Assessment</w:t>
      </w:r>
      <w:r>
        <w:rPr>
          <w:spacing w:val="-3"/>
        </w:rPr>
        <w:t xml:space="preserve"> </w:t>
      </w:r>
      <w:r>
        <w:t>(TUDA).</w:t>
      </w:r>
      <w:r>
        <w:rPr>
          <w:spacing w:val="-3"/>
        </w:rPr>
        <w:t xml:space="preserve"> </w:t>
      </w:r>
      <w:r>
        <w:t>Each</w:t>
      </w:r>
      <w:r>
        <w:rPr>
          <w:spacing w:val="-3"/>
        </w:rPr>
        <w:t xml:space="preserve"> </w:t>
      </w:r>
      <w:r>
        <w:t>sample,</w:t>
      </w:r>
      <w:r>
        <w:rPr>
          <w:spacing w:val="-3"/>
        </w:rPr>
        <w:t xml:space="preserve"> </w:t>
      </w:r>
      <w:r>
        <w:t>with</w:t>
      </w:r>
      <w:r>
        <w:rPr>
          <w:spacing w:val="-3"/>
        </w:rPr>
        <w:t xml:space="preserve"> </w:t>
      </w:r>
      <w:r>
        <w:t>the</w:t>
      </w:r>
      <w:r>
        <w:rPr>
          <w:spacing w:val="-3"/>
        </w:rPr>
        <w:t xml:space="preserve"> </w:t>
      </w:r>
      <w:r>
        <w:t>exception</w:t>
      </w:r>
      <w:r>
        <w:rPr>
          <w:spacing w:val="-3"/>
        </w:rPr>
        <w:t xml:space="preserve"> </w:t>
      </w:r>
      <w:r>
        <w:t>of</w:t>
      </w:r>
      <w:r>
        <w:rPr>
          <w:spacing w:val="-3"/>
        </w:rPr>
        <w:t xml:space="preserve"> </w:t>
      </w:r>
      <w:r>
        <w:t>BIE</w:t>
      </w:r>
      <w:r>
        <w:rPr>
          <w:spacing w:val="-3"/>
        </w:rPr>
        <w:t xml:space="preserve"> </w:t>
      </w:r>
      <w:r>
        <w:t>schools,</w:t>
      </w:r>
      <w:r>
        <w:rPr>
          <w:spacing w:val="-3"/>
        </w:rPr>
        <w:t xml:space="preserve"> </w:t>
      </w:r>
      <w:r>
        <w:t>was</w:t>
      </w:r>
      <w:r>
        <w:rPr>
          <w:spacing w:val="-3"/>
        </w:rPr>
        <w:t xml:space="preserve"> </w:t>
      </w:r>
      <w:r>
        <w:t>designed</w:t>
      </w:r>
      <w:r>
        <w:rPr>
          <w:spacing w:val="-3"/>
        </w:rPr>
        <w:t xml:space="preserve"> </w:t>
      </w:r>
      <w:r>
        <w:t>to</w:t>
      </w:r>
      <w:r>
        <w:rPr>
          <w:spacing w:val="-3"/>
        </w:rPr>
        <w:t xml:space="preserve"> </w:t>
      </w:r>
      <w:r>
        <w:t>produce</w:t>
      </w:r>
      <w:r>
        <w:rPr>
          <w:spacing w:val="-3"/>
        </w:rPr>
        <w:t xml:space="preserve"> </w:t>
      </w:r>
      <w:r>
        <w:t>aggregate</w:t>
      </w:r>
      <w:r>
        <w:rPr>
          <w:spacing w:val="-3"/>
        </w:rPr>
        <w:t xml:space="preserve"> </w:t>
      </w:r>
      <w:r>
        <w:t>estimates</w:t>
      </w:r>
      <w:r>
        <w:rPr>
          <w:spacing w:val="-3"/>
        </w:rPr>
        <w:t xml:space="preserve"> </w:t>
      </w:r>
      <w:r>
        <w:t>with approximately equal precision for all the participating jurisdictions, as well as estimates for various student populations of interest. In 2022, by design BIE was not a reportable jurisdiction. However, to ensure that there were sufficient numbers of</w:t>
      </w:r>
      <w:r>
        <w:rPr>
          <w:spacing w:val="-9"/>
        </w:rPr>
        <w:t xml:space="preserve"> </w:t>
      </w:r>
      <w:r>
        <w:t>American Indian</w:t>
      </w:r>
    </w:p>
    <w:p w:rsidR="003F5784" w14:paraId="15F72BF9" w14:textId="77777777">
      <w:pPr>
        <w:pStyle w:val="BodyText"/>
        <w:spacing w:line="237" w:lineRule="exact"/>
        <w:ind w:left="109"/>
      </w:pPr>
      <w:r>
        <w:t>or</w:t>
      </w:r>
      <w:r>
        <w:rPr>
          <w:spacing w:val="-14"/>
        </w:rPr>
        <w:t xml:space="preserve"> </w:t>
      </w:r>
      <w:r>
        <w:t>Alaska</w:t>
      </w:r>
      <w:r>
        <w:rPr>
          <w:spacing w:val="-7"/>
        </w:rPr>
        <w:t xml:space="preserve"> </w:t>
      </w:r>
      <w:r>
        <w:t>Native</w:t>
      </w:r>
      <w:r>
        <w:rPr>
          <w:spacing w:val="-6"/>
        </w:rPr>
        <w:t xml:space="preserve"> </w:t>
      </w:r>
      <w:r>
        <w:t>(AI/AN)</w:t>
      </w:r>
      <w:r>
        <w:rPr>
          <w:spacing w:val="-5"/>
        </w:rPr>
        <w:t xml:space="preserve"> </w:t>
      </w:r>
      <w:r>
        <w:t>students</w:t>
      </w:r>
      <w:r>
        <w:rPr>
          <w:spacing w:val="-5"/>
        </w:rPr>
        <w:t xml:space="preserve"> </w:t>
      </w:r>
      <w:r>
        <w:t>at</w:t>
      </w:r>
      <w:r>
        <w:rPr>
          <w:spacing w:val="-6"/>
        </w:rPr>
        <w:t xml:space="preserve"> </w:t>
      </w:r>
      <w:r>
        <w:t>the</w:t>
      </w:r>
      <w:r>
        <w:rPr>
          <w:spacing w:val="-5"/>
        </w:rPr>
        <w:t xml:space="preserve"> </w:t>
      </w:r>
      <w:r>
        <w:t>national</w:t>
      </w:r>
      <w:r>
        <w:rPr>
          <w:spacing w:val="-5"/>
        </w:rPr>
        <w:t xml:space="preserve"> </w:t>
      </w:r>
      <w:r>
        <w:t>level,</w:t>
      </w:r>
      <w:r>
        <w:rPr>
          <w:spacing w:val="-6"/>
        </w:rPr>
        <w:t xml:space="preserve"> </w:t>
      </w:r>
      <w:r>
        <w:t>a</w:t>
      </w:r>
      <w:r>
        <w:rPr>
          <w:spacing w:val="-5"/>
        </w:rPr>
        <w:t xml:space="preserve"> </w:t>
      </w:r>
      <w:r>
        <w:t>small</w:t>
      </w:r>
      <w:r>
        <w:rPr>
          <w:spacing w:val="-5"/>
        </w:rPr>
        <w:t xml:space="preserve"> </w:t>
      </w:r>
      <w:r>
        <w:t>number</w:t>
      </w:r>
      <w:r>
        <w:rPr>
          <w:spacing w:val="-6"/>
        </w:rPr>
        <w:t xml:space="preserve"> </w:t>
      </w:r>
      <w:r>
        <w:t>of</w:t>
      </w:r>
      <w:r>
        <w:rPr>
          <w:spacing w:val="-5"/>
        </w:rPr>
        <w:t xml:space="preserve"> </w:t>
      </w:r>
      <w:r>
        <w:t>BIE</w:t>
      </w:r>
      <w:r>
        <w:rPr>
          <w:spacing w:val="-5"/>
        </w:rPr>
        <w:t xml:space="preserve"> </w:t>
      </w:r>
      <w:r>
        <w:t>schools</w:t>
      </w:r>
      <w:r>
        <w:rPr>
          <w:spacing w:val="-6"/>
        </w:rPr>
        <w:t xml:space="preserve"> </w:t>
      </w:r>
      <w:r>
        <w:t>were</w:t>
      </w:r>
      <w:r>
        <w:rPr>
          <w:spacing w:val="-5"/>
        </w:rPr>
        <w:t xml:space="preserve"> </w:t>
      </w:r>
      <w:r>
        <w:t>included</w:t>
      </w:r>
      <w:r>
        <w:rPr>
          <w:spacing w:val="-5"/>
        </w:rPr>
        <w:t xml:space="preserve"> </w:t>
      </w:r>
      <w:r>
        <w:t>in</w:t>
      </w:r>
      <w:r>
        <w:rPr>
          <w:spacing w:val="-6"/>
        </w:rPr>
        <w:t xml:space="preserve"> </w:t>
      </w:r>
      <w:r>
        <w:t>the</w:t>
      </w:r>
      <w:r>
        <w:rPr>
          <w:spacing w:val="-5"/>
        </w:rPr>
        <w:t xml:space="preserve"> </w:t>
      </w:r>
      <w:r>
        <w:rPr>
          <w:spacing w:val="-2"/>
        </w:rPr>
        <w:t>sample.</w:t>
      </w:r>
    </w:p>
    <w:p w:rsidR="003F5784" w14:paraId="465EA508" w14:textId="77777777">
      <w:pPr>
        <w:pStyle w:val="BodyText"/>
        <w:spacing w:before="208" w:line="232" w:lineRule="auto"/>
        <w:ind w:left="109"/>
      </w:pPr>
      <w:r>
        <w:t>The target population for the NAEP</w:t>
      </w:r>
      <w:r>
        <w:rPr>
          <w:spacing w:val="-5"/>
        </w:rPr>
        <w:t xml:space="preserve"> </w:t>
      </w:r>
      <w:r>
        <w:t>2022 state assessments covered fourth- and eighth-grade students in public schools who were enrolled in grades 4 and 8 at the time of assessment. Operational mathematics and reading assessments were conducted in all jurisdictions,</w:t>
      </w:r>
      <w:r>
        <w:rPr>
          <w:spacing w:val="-11"/>
        </w:rPr>
        <w:t xml:space="preserve"> </w:t>
      </w:r>
      <w:r>
        <w:t>including</w:t>
      </w:r>
      <w:r>
        <w:rPr>
          <w:spacing w:val="-7"/>
        </w:rPr>
        <w:t xml:space="preserve"> </w:t>
      </w:r>
      <w:r>
        <w:t>the</w:t>
      </w:r>
      <w:r>
        <w:rPr>
          <w:spacing w:val="-11"/>
        </w:rPr>
        <w:t xml:space="preserve"> </w:t>
      </w:r>
      <w:r>
        <w:t>TUDA</w:t>
      </w:r>
      <w:r>
        <w:rPr>
          <w:spacing w:val="-14"/>
        </w:rPr>
        <w:t xml:space="preserve"> </w:t>
      </w:r>
      <w:r>
        <w:t>districts,</w:t>
      </w:r>
      <w:r>
        <w:rPr>
          <w:spacing w:val="-7"/>
        </w:rPr>
        <w:t xml:space="preserve"> </w:t>
      </w:r>
      <w:r>
        <w:t>with</w:t>
      </w:r>
      <w:r>
        <w:rPr>
          <w:spacing w:val="-7"/>
        </w:rPr>
        <w:t xml:space="preserve"> </w:t>
      </w:r>
      <w:r>
        <w:t>the</w:t>
      </w:r>
      <w:r>
        <w:rPr>
          <w:spacing w:val="-7"/>
        </w:rPr>
        <w:t xml:space="preserve"> </w:t>
      </w:r>
      <w:r>
        <w:t>exception</w:t>
      </w:r>
      <w:r>
        <w:rPr>
          <w:spacing w:val="-7"/>
        </w:rPr>
        <w:t xml:space="preserve"> </w:t>
      </w:r>
      <w:r>
        <w:t>of</w:t>
      </w:r>
      <w:r>
        <w:rPr>
          <w:spacing w:val="-7"/>
        </w:rPr>
        <w:t xml:space="preserve"> </w:t>
      </w:r>
      <w:r>
        <w:t>Puerto</w:t>
      </w:r>
      <w:r>
        <w:rPr>
          <w:spacing w:val="-7"/>
        </w:rPr>
        <w:t xml:space="preserve"> </w:t>
      </w:r>
      <w:r>
        <w:t>Rico,</w:t>
      </w:r>
      <w:r>
        <w:rPr>
          <w:spacing w:val="-7"/>
        </w:rPr>
        <w:t xml:space="preserve"> </w:t>
      </w:r>
      <w:r>
        <w:t>where</w:t>
      </w:r>
      <w:r>
        <w:rPr>
          <w:spacing w:val="-7"/>
        </w:rPr>
        <w:t xml:space="preserve"> </w:t>
      </w:r>
      <w:r>
        <w:t>only</w:t>
      </w:r>
      <w:r>
        <w:rPr>
          <w:spacing w:val="-7"/>
        </w:rPr>
        <w:t xml:space="preserve"> </w:t>
      </w:r>
      <w:r>
        <w:t>the</w:t>
      </w:r>
      <w:r>
        <w:rPr>
          <w:spacing w:val="-7"/>
        </w:rPr>
        <w:t xml:space="preserve"> </w:t>
      </w:r>
      <w:r>
        <w:t>operational</w:t>
      </w:r>
      <w:r>
        <w:rPr>
          <w:spacing w:val="-7"/>
        </w:rPr>
        <w:t xml:space="preserve"> </w:t>
      </w:r>
      <w:r>
        <w:t>mathematics</w:t>
      </w:r>
      <w:r>
        <w:rPr>
          <w:spacing w:val="-7"/>
        </w:rPr>
        <w:t xml:space="preserve"> </w:t>
      </w:r>
      <w:r>
        <w:t>assessment</w:t>
      </w:r>
      <w:r>
        <w:rPr>
          <w:spacing w:val="-7"/>
        </w:rPr>
        <w:t xml:space="preserve"> </w:t>
      </w:r>
      <w:r>
        <w:t xml:space="preserve">was </w:t>
      </w:r>
      <w:r>
        <w:rPr>
          <w:spacing w:val="-2"/>
        </w:rPr>
        <w:t>conducted.</w:t>
      </w:r>
    </w:p>
    <w:p w:rsidR="003F5784" w14:paraId="37EDF8E0" w14:textId="77777777">
      <w:pPr>
        <w:pStyle w:val="BodyText"/>
        <w:spacing w:before="209" w:line="232" w:lineRule="auto"/>
        <w:ind w:left="109" w:right="79"/>
      </w:pPr>
      <w:r>
        <w:t>The</w:t>
      </w:r>
      <w:r>
        <w:rPr>
          <w:spacing w:val="-6"/>
        </w:rPr>
        <w:t xml:space="preserve"> </w:t>
      </w:r>
      <w:r>
        <w:t>state</w:t>
      </w:r>
      <w:r>
        <w:rPr>
          <w:spacing w:val="-6"/>
        </w:rPr>
        <w:t xml:space="preserve"> </w:t>
      </w:r>
      <w:r>
        <w:t>samples</w:t>
      </w:r>
      <w:r>
        <w:rPr>
          <w:spacing w:val="-6"/>
        </w:rPr>
        <w:t xml:space="preserve"> </w:t>
      </w:r>
      <w:r>
        <w:t>were</w:t>
      </w:r>
      <w:r>
        <w:rPr>
          <w:spacing w:val="-6"/>
        </w:rPr>
        <w:t xml:space="preserve"> </w:t>
      </w:r>
      <w:r>
        <w:t>selected</w:t>
      </w:r>
      <w:r>
        <w:rPr>
          <w:spacing w:val="-6"/>
        </w:rPr>
        <w:t xml:space="preserve"> </w:t>
      </w:r>
      <w:r>
        <w:t>to</w:t>
      </w:r>
      <w:r>
        <w:rPr>
          <w:spacing w:val="-6"/>
        </w:rPr>
        <w:t xml:space="preserve"> </w:t>
      </w:r>
      <w:r>
        <w:t>have</w:t>
      </w:r>
      <w:r>
        <w:rPr>
          <w:spacing w:val="-6"/>
        </w:rPr>
        <w:t xml:space="preserve"> </w:t>
      </w:r>
      <w:r>
        <w:t>maximum</w:t>
      </w:r>
      <w:r>
        <w:rPr>
          <w:spacing w:val="-6"/>
        </w:rPr>
        <w:t xml:space="preserve"> </w:t>
      </w:r>
      <w:r>
        <w:t>overlap</w:t>
      </w:r>
      <w:r>
        <w:rPr>
          <w:spacing w:val="-6"/>
        </w:rPr>
        <w:t xml:space="preserve"> </w:t>
      </w:r>
      <w:r>
        <w:t>with</w:t>
      </w:r>
      <w:r>
        <w:rPr>
          <w:spacing w:val="-6"/>
        </w:rPr>
        <w:t xml:space="preserve"> </w:t>
      </w:r>
      <w:r>
        <w:t>the</w:t>
      </w:r>
      <w:r>
        <w:rPr>
          <w:spacing w:val="-6"/>
        </w:rPr>
        <w:t xml:space="preserve"> </w:t>
      </w:r>
      <w:r>
        <w:t>school</w:t>
      </w:r>
      <w:r>
        <w:rPr>
          <w:spacing w:val="-6"/>
        </w:rPr>
        <w:t xml:space="preserve"> </w:t>
      </w:r>
      <w:r>
        <w:t>samples</w:t>
      </w:r>
      <w:r>
        <w:rPr>
          <w:spacing w:val="-6"/>
        </w:rPr>
        <w:t xml:space="preserve"> </w:t>
      </w:r>
      <w:r>
        <w:t>for</w:t>
      </w:r>
      <w:r>
        <w:rPr>
          <w:spacing w:val="-6"/>
        </w:rPr>
        <w:t xml:space="preserve"> </w:t>
      </w:r>
      <w:r>
        <w:t>the</w:t>
      </w:r>
      <w:r>
        <w:rPr>
          <w:spacing w:val="-6"/>
        </w:rPr>
        <w:t xml:space="preserve"> </w:t>
      </w:r>
      <w:r>
        <w:t>NAEP</w:t>
      </w:r>
      <w:r>
        <w:rPr>
          <w:spacing w:val="-13"/>
        </w:rPr>
        <w:t xml:space="preserve"> </w:t>
      </w:r>
      <w:r>
        <w:t>2021</w:t>
      </w:r>
      <w:r>
        <w:rPr>
          <w:spacing w:val="-6"/>
        </w:rPr>
        <w:t xml:space="preserve"> </w:t>
      </w:r>
      <w:r>
        <w:t>Monthly</w:t>
      </w:r>
      <w:r>
        <w:rPr>
          <w:spacing w:val="-6"/>
        </w:rPr>
        <w:t xml:space="preserve"> </w:t>
      </w:r>
      <w:r>
        <w:t>School</w:t>
      </w:r>
      <w:r>
        <w:rPr>
          <w:spacing w:val="-6"/>
        </w:rPr>
        <w:t xml:space="preserve"> </w:t>
      </w:r>
      <w:r>
        <w:t>Survey</w:t>
      </w:r>
      <w:r>
        <w:rPr>
          <w:spacing w:val="-6"/>
        </w:rPr>
        <w:t xml:space="preserve"> </w:t>
      </w:r>
      <w:r>
        <w:t>and</w:t>
      </w:r>
      <w:r>
        <w:rPr>
          <w:spacing w:val="-6"/>
        </w:rPr>
        <w:t xml:space="preserve"> </w:t>
      </w:r>
      <w:r>
        <w:t>the NAEP</w:t>
      </w:r>
      <w:r>
        <w:rPr>
          <w:spacing w:val="-7"/>
        </w:rPr>
        <w:t xml:space="preserve"> </w:t>
      </w:r>
      <w:r>
        <w:t>2021 School and</w:t>
      </w:r>
      <w:r>
        <w:rPr>
          <w:spacing w:val="-3"/>
        </w:rPr>
        <w:t xml:space="preserve"> </w:t>
      </w:r>
      <w:r>
        <w:t>Teacher Questionnaire Study.</w:t>
      </w:r>
      <w:r>
        <w:rPr>
          <w:spacing w:val="-3"/>
        </w:rPr>
        <w:t xml:space="preserve"> </w:t>
      </w:r>
      <w:r>
        <w:t>This overlap control was achieved for these samples by using an adaptation of the Keyfitz process.</w:t>
      </w:r>
    </w:p>
    <w:p w:rsidR="003F5784" w14:paraId="3F718277" w14:textId="77777777">
      <w:pPr>
        <w:pStyle w:val="BodyText"/>
        <w:spacing w:before="90" w:line="465" w:lineRule="auto"/>
        <w:ind w:left="109" w:right="928"/>
      </w:pPr>
      <w:r>
        <w:br w:type="column"/>
        <w:t>Target Population Sampling Frame Stratification of Schools School Sample Selection Ineligible Schools Student</w:t>
      </w:r>
      <w:r>
        <w:rPr>
          <w:spacing w:val="-14"/>
        </w:rPr>
        <w:t xml:space="preserve"> </w:t>
      </w:r>
      <w:r>
        <w:t>Sample</w:t>
      </w:r>
      <w:r>
        <w:rPr>
          <w:spacing w:val="-13"/>
        </w:rPr>
        <w:t xml:space="preserve"> </w:t>
      </w:r>
      <w:r>
        <w:t>Selection</w:t>
      </w:r>
    </w:p>
    <w:p w:rsidR="003F5784" w14:paraId="00A6E7F3" w14:textId="77777777">
      <w:pPr>
        <w:pStyle w:val="BodyText"/>
        <w:spacing w:before="4"/>
        <w:ind w:left="109"/>
      </w:pPr>
      <w:r>
        <w:t>School</w:t>
      </w:r>
      <w:r>
        <w:rPr>
          <w:spacing w:val="-7"/>
        </w:rPr>
        <w:t xml:space="preserve"> </w:t>
      </w:r>
      <w:r>
        <w:t>and</w:t>
      </w:r>
      <w:r>
        <w:rPr>
          <w:spacing w:val="-6"/>
        </w:rPr>
        <w:t xml:space="preserve"> </w:t>
      </w:r>
      <w:r>
        <w:t>Student</w:t>
      </w:r>
      <w:r>
        <w:rPr>
          <w:spacing w:val="-6"/>
        </w:rPr>
        <w:t xml:space="preserve"> </w:t>
      </w:r>
      <w:r>
        <w:rPr>
          <w:spacing w:val="-2"/>
        </w:rPr>
        <w:t>Participation</w:t>
      </w:r>
    </w:p>
    <w:p w:rsidR="003F5784" w14:paraId="1E1D0B27" w14:textId="77777777">
      <w:pPr>
        <w:sectPr>
          <w:type w:val="continuous"/>
          <w:pgSz w:w="15840" w:h="12240" w:orient="landscape"/>
          <w:pgMar w:top="480" w:right="440" w:bottom="460" w:left="460" w:header="305" w:footer="275" w:gutter="0"/>
          <w:cols w:num="2" w:space="720" w:equalWidth="0">
            <w:col w:w="11598" w:space="153"/>
            <w:col w:w="3189"/>
          </w:cols>
        </w:sectPr>
      </w:pPr>
    </w:p>
    <w:p w:rsidR="003F5784" w14:paraId="5B41A1A6" w14:textId="77777777">
      <w:pPr>
        <w:pStyle w:val="BodyText"/>
        <w:spacing w:before="210" w:line="232" w:lineRule="auto"/>
        <w:ind w:left="109" w:right="169"/>
        <w:jc w:val="both"/>
      </w:pPr>
      <w:r>
        <w:t>The</w:t>
      </w:r>
      <w:r>
        <w:rPr>
          <w:spacing w:val="-8"/>
        </w:rPr>
        <w:t xml:space="preserve"> </w:t>
      </w:r>
      <w:r>
        <w:t>overall</w:t>
      </w:r>
      <w:r>
        <w:rPr>
          <w:spacing w:val="-6"/>
        </w:rPr>
        <w:t xml:space="preserve"> </w:t>
      </w:r>
      <w:r>
        <w:t>target</w:t>
      </w:r>
      <w:r>
        <w:rPr>
          <w:spacing w:val="-6"/>
        </w:rPr>
        <w:t xml:space="preserve"> </w:t>
      </w:r>
      <w:r>
        <w:t>student</w:t>
      </w:r>
      <w:r>
        <w:rPr>
          <w:spacing w:val="-6"/>
        </w:rPr>
        <w:t xml:space="preserve"> </w:t>
      </w:r>
      <w:r>
        <w:t>sample</w:t>
      </w:r>
      <w:r>
        <w:rPr>
          <w:spacing w:val="-6"/>
        </w:rPr>
        <w:t xml:space="preserve"> </w:t>
      </w:r>
      <w:r>
        <w:t>size</w:t>
      </w:r>
      <w:r>
        <w:rPr>
          <w:spacing w:val="-6"/>
        </w:rPr>
        <w:t xml:space="preserve"> </w:t>
      </w:r>
      <w:r>
        <w:t>for</w:t>
      </w:r>
      <w:r>
        <w:rPr>
          <w:spacing w:val="-6"/>
        </w:rPr>
        <w:t xml:space="preserve"> </w:t>
      </w:r>
      <w:r>
        <w:t>the</w:t>
      </w:r>
      <w:r>
        <w:rPr>
          <w:spacing w:val="-6"/>
        </w:rPr>
        <w:t xml:space="preserve"> </w:t>
      </w:r>
      <w:r>
        <w:t>operational</w:t>
      </w:r>
      <w:r>
        <w:rPr>
          <w:spacing w:val="-6"/>
        </w:rPr>
        <w:t xml:space="preserve"> </w:t>
      </w:r>
      <w:r>
        <w:t>samples</w:t>
      </w:r>
      <w:r>
        <w:rPr>
          <w:spacing w:val="-6"/>
        </w:rPr>
        <w:t xml:space="preserve"> </w:t>
      </w:r>
      <w:r>
        <w:t>in</w:t>
      </w:r>
      <w:r>
        <w:rPr>
          <w:spacing w:val="-6"/>
        </w:rPr>
        <w:t xml:space="preserve"> </w:t>
      </w:r>
      <w:r>
        <w:t>each</w:t>
      </w:r>
      <w:r>
        <w:rPr>
          <w:spacing w:val="-6"/>
        </w:rPr>
        <w:t xml:space="preserve"> </w:t>
      </w:r>
      <w:r>
        <w:t>non-TUDA</w:t>
      </w:r>
      <w:r>
        <w:rPr>
          <w:spacing w:val="-14"/>
        </w:rPr>
        <w:t xml:space="preserve"> </w:t>
      </w:r>
      <w:r>
        <w:t>jurisdiction,</w:t>
      </w:r>
      <w:r>
        <w:rPr>
          <w:spacing w:val="-5"/>
        </w:rPr>
        <w:t xml:space="preserve"> </w:t>
      </w:r>
      <w:r>
        <w:t>with</w:t>
      </w:r>
      <w:r>
        <w:rPr>
          <w:spacing w:val="-6"/>
        </w:rPr>
        <w:t xml:space="preserve"> </w:t>
      </w:r>
      <w:r>
        <w:t>the</w:t>
      </w:r>
      <w:r>
        <w:rPr>
          <w:spacing w:val="-6"/>
        </w:rPr>
        <w:t xml:space="preserve"> </w:t>
      </w:r>
      <w:r>
        <w:t>exception</w:t>
      </w:r>
      <w:r>
        <w:rPr>
          <w:spacing w:val="-6"/>
        </w:rPr>
        <w:t xml:space="preserve"> </w:t>
      </w:r>
      <w:r>
        <w:t>of</w:t>
      </w:r>
      <w:r>
        <w:rPr>
          <w:spacing w:val="-6"/>
        </w:rPr>
        <w:t xml:space="preserve"> </w:t>
      </w:r>
      <w:r>
        <w:t>Puerto</w:t>
      </w:r>
      <w:r>
        <w:rPr>
          <w:spacing w:val="-6"/>
        </w:rPr>
        <w:t xml:space="preserve"> </w:t>
      </w:r>
      <w:r>
        <w:t>Rico,</w:t>
      </w:r>
      <w:r>
        <w:rPr>
          <w:spacing w:val="-6"/>
        </w:rPr>
        <w:t xml:space="preserve"> </w:t>
      </w:r>
      <w:r>
        <w:t>was</w:t>
      </w:r>
      <w:r>
        <w:rPr>
          <w:spacing w:val="-6"/>
        </w:rPr>
        <w:t xml:space="preserve"> </w:t>
      </w:r>
      <w:r>
        <w:t>4,100</w:t>
      </w:r>
      <w:r>
        <w:rPr>
          <w:spacing w:val="-6"/>
        </w:rPr>
        <w:t xml:space="preserve"> </w:t>
      </w:r>
      <w:r>
        <w:t>at</w:t>
      </w:r>
      <w:r>
        <w:rPr>
          <w:spacing w:val="-6"/>
        </w:rPr>
        <w:t xml:space="preserve"> </w:t>
      </w:r>
      <w:r>
        <w:t>grade</w:t>
      </w:r>
      <w:r>
        <w:rPr>
          <w:spacing w:val="-6"/>
        </w:rPr>
        <w:t xml:space="preserve"> </w:t>
      </w:r>
      <w:r>
        <w:t>4</w:t>
      </w:r>
      <w:r>
        <w:rPr>
          <w:spacing w:val="-6"/>
        </w:rPr>
        <w:t xml:space="preserve"> </w:t>
      </w:r>
      <w:r>
        <w:t>and</w:t>
      </w:r>
      <w:r>
        <w:rPr>
          <w:spacing w:val="-6"/>
        </w:rPr>
        <w:t xml:space="preserve"> </w:t>
      </w:r>
      <w:r>
        <w:t>4,200</w:t>
      </w:r>
      <w:r>
        <w:rPr>
          <w:spacing w:val="-6"/>
        </w:rPr>
        <w:t xml:space="preserve"> </w:t>
      </w:r>
      <w:r>
        <w:t>at</w:t>
      </w:r>
      <w:r>
        <w:rPr>
          <w:spacing w:val="-6"/>
        </w:rPr>
        <w:t xml:space="preserve"> </w:t>
      </w:r>
      <w:r>
        <w:t>grade</w:t>
      </w:r>
      <w:r>
        <w:rPr>
          <w:spacing w:val="-6"/>
        </w:rPr>
        <w:t xml:space="preserve"> </w:t>
      </w:r>
      <w:r>
        <w:t>8. The</w:t>
      </w:r>
      <w:r>
        <w:rPr>
          <w:spacing w:val="-5"/>
        </w:rPr>
        <w:t xml:space="preserve"> </w:t>
      </w:r>
      <w:r>
        <w:t>goal</w:t>
      </w:r>
      <w:r>
        <w:rPr>
          <w:spacing w:val="-5"/>
        </w:rPr>
        <w:t xml:space="preserve"> </w:t>
      </w:r>
      <w:r>
        <w:t>at</w:t>
      </w:r>
      <w:r>
        <w:rPr>
          <w:spacing w:val="-5"/>
        </w:rPr>
        <w:t xml:space="preserve"> </w:t>
      </w:r>
      <w:r>
        <w:t>each</w:t>
      </w:r>
      <w:r>
        <w:rPr>
          <w:spacing w:val="-5"/>
        </w:rPr>
        <w:t xml:space="preserve"> </w:t>
      </w:r>
      <w:r>
        <w:t>grade</w:t>
      </w:r>
      <w:r>
        <w:rPr>
          <w:spacing w:val="-5"/>
        </w:rPr>
        <w:t xml:space="preserve"> </w:t>
      </w:r>
      <w:r>
        <w:t>was</w:t>
      </w:r>
      <w:r>
        <w:rPr>
          <w:spacing w:val="-5"/>
        </w:rPr>
        <w:t xml:space="preserve"> </w:t>
      </w:r>
      <w:r>
        <w:t>to</w:t>
      </w:r>
      <w:r>
        <w:rPr>
          <w:spacing w:val="-5"/>
        </w:rPr>
        <w:t xml:space="preserve"> </w:t>
      </w:r>
      <w:r>
        <w:t>obtain</w:t>
      </w:r>
      <w:r>
        <w:rPr>
          <w:spacing w:val="-5"/>
        </w:rPr>
        <w:t xml:space="preserve"> </w:t>
      </w:r>
      <w:r>
        <w:t>3,500</w:t>
      </w:r>
      <w:r>
        <w:rPr>
          <w:spacing w:val="-5"/>
        </w:rPr>
        <w:t xml:space="preserve"> </w:t>
      </w:r>
      <w:r>
        <w:t>assessed</w:t>
      </w:r>
      <w:r>
        <w:rPr>
          <w:spacing w:val="-5"/>
        </w:rPr>
        <w:t xml:space="preserve"> </w:t>
      </w:r>
      <w:r>
        <w:t>students</w:t>
      </w:r>
      <w:r>
        <w:rPr>
          <w:spacing w:val="-5"/>
        </w:rPr>
        <w:t xml:space="preserve"> </w:t>
      </w:r>
      <w:r>
        <w:t>after</w:t>
      </w:r>
      <w:r>
        <w:rPr>
          <w:spacing w:val="-5"/>
        </w:rPr>
        <w:t xml:space="preserve"> </w:t>
      </w:r>
      <w:r>
        <w:t>attrition:</w:t>
      </w:r>
      <w:r>
        <w:rPr>
          <w:spacing w:val="-5"/>
        </w:rPr>
        <w:t xml:space="preserve"> </w:t>
      </w:r>
      <w:r>
        <w:t>1,750</w:t>
      </w:r>
      <w:r>
        <w:rPr>
          <w:spacing w:val="-5"/>
        </w:rPr>
        <w:t xml:space="preserve"> </w:t>
      </w:r>
      <w:r>
        <w:t>for</w:t>
      </w:r>
      <w:r>
        <w:rPr>
          <w:spacing w:val="-5"/>
        </w:rPr>
        <w:t xml:space="preserve"> </w:t>
      </w:r>
      <w:r>
        <w:t>mathematics</w:t>
      </w:r>
      <w:r>
        <w:rPr>
          <w:spacing w:val="-5"/>
        </w:rPr>
        <w:t xml:space="preserve"> </w:t>
      </w:r>
      <w:r>
        <w:t>and</w:t>
      </w:r>
      <w:r>
        <w:rPr>
          <w:spacing w:val="-5"/>
        </w:rPr>
        <w:t xml:space="preserve"> </w:t>
      </w:r>
      <w:r>
        <w:t>1,750</w:t>
      </w:r>
      <w:r>
        <w:rPr>
          <w:spacing w:val="-5"/>
        </w:rPr>
        <w:t xml:space="preserve"> </w:t>
      </w:r>
      <w:r>
        <w:t>for</w:t>
      </w:r>
      <w:r>
        <w:rPr>
          <w:spacing w:val="-5"/>
        </w:rPr>
        <w:t xml:space="preserve"> </w:t>
      </w:r>
      <w:r>
        <w:t>reading.</w:t>
      </w:r>
      <w:r>
        <w:rPr>
          <w:spacing w:val="-5"/>
        </w:rPr>
        <w:t xml:space="preserve"> </w:t>
      </w:r>
      <w:r>
        <w:t>For</w:t>
      </w:r>
      <w:r>
        <w:rPr>
          <w:spacing w:val="-5"/>
        </w:rPr>
        <w:t xml:space="preserve"> </w:t>
      </w:r>
      <w:r>
        <w:t>the</w:t>
      </w:r>
      <w:r>
        <w:rPr>
          <w:spacing w:val="-5"/>
        </w:rPr>
        <w:t xml:space="preserve"> </w:t>
      </w:r>
      <w:r>
        <w:t>operational</w:t>
      </w:r>
      <w:r>
        <w:rPr>
          <w:spacing w:val="-5"/>
        </w:rPr>
        <w:t xml:space="preserve"> </w:t>
      </w:r>
      <w:r>
        <w:t>mathematics</w:t>
      </w:r>
      <w:r>
        <w:rPr>
          <w:spacing w:val="-5"/>
        </w:rPr>
        <w:t xml:space="preserve"> </w:t>
      </w:r>
      <w:r>
        <w:t>assessment</w:t>
      </w:r>
      <w:r>
        <w:rPr>
          <w:spacing w:val="-5"/>
        </w:rPr>
        <w:t xml:space="preserve"> </w:t>
      </w:r>
      <w:r>
        <w:t>in</w:t>
      </w:r>
      <w:r>
        <w:rPr>
          <w:spacing w:val="-5"/>
        </w:rPr>
        <w:t xml:space="preserve"> </w:t>
      </w:r>
      <w:r>
        <w:t>Puerto Rico, the target student sample size was 3,600 for both grades, with the goal of assessing 3,000 students after attrition.</w:t>
      </w:r>
    </w:p>
    <w:p w:rsidR="003F5784" w14:paraId="7FE33168" w14:textId="77777777">
      <w:pPr>
        <w:pStyle w:val="BodyText"/>
        <w:spacing w:before="210" w:line="232" w:lineRule="auto"/>
        <w:ind w:left="109" w:right="179"/>
      </w:pPr>
      <w:r>
        <w:t>The</w:t>
      </w:r>
      <w:r>
        <w:rPr>
          <w:spacing w:val="-6"/>
        </w:rPr>
        <w:t xml:space="preserve"> </w:t>
      </w:r>
      <w:r>
        <w:t>primary</w:t>
      </w:r>
      <w:r>
        <w:rPr>
          <w:spacing w:val="-6"/>
        </w:rPr>
        <w:t xml:space="preserve"> </w:t>
      </w:r>
      <w:r>
        <w:t>sampling</w:t>
      </w:r>
      <w:r>
        <w:rPr>
          <w:spacing w:val="-6"/>
        </w:rPr>
        <w:t xml:space="preserve"> </w:t>
      </w:r>
      <w:r>
        <w:t>frame</w:t>
      </w:r>
      <w:r>
        <w:rPr>
          <w:spacing w:val="-6"/>
        </w:rPr>
        <w:t xml:space="preserve"> </w:t>
      </w:r>
      <w:r>
        <w:t>for</w:t>
      </w:r>
      <w:r>
        <w:rPr>
          <w:spacing w:val="-6"/>
        </w:rPr>
        <w:t xml:space="preserve"> </w:t>
      </w:r>
      <w:r>
        <w:t>each</w:t>
      </w:r>
      <w:r>
        <w:rPr>
          <w:spacing w:val="-6"/>
        </w:rPr>
        <w:t xml:space="preserve"> </w:t>
      </w:r>
      <w:r>
        <w:t>grade</w:t>
      </w:r>
      <w:r>
        <w:rPr>
          <w:spacing w:val="-6"/>
        </w:rPr>
        <w:t xml:space="preserve"> </w:t>
      </w:r>
      <w:r>
        <w:t>included</w:t>
      </w:r>
      <w:r>
        <w:rPr>
          <w:spacing w:val="-6"/>
        </w:rPr>
        <w:t xml:space="preserve"> </w:t>
      </w:r>
      <w:r>
        <w:t>public</w:t>
      </w:r>
      <w:r>
        <w:rPr>
          <w:spacing w:val="-6"/>
        </w:rPr>
        <w:t xml:space="preserve"> </w:t>
      </w:r>
      <w:r>
        <w:t>schools</w:t>
      </w:r>
      <w:r>
        <w:rPr>
          <w:spacing w:val="-6"/>
        </w:rPr>
        <w:t xml:space="preserve"> </w:t>
      </w:r>
      <w:r>
        <w:t>having</w:t>
      </w:r>
      <w:r>
        <w:rPr>
          <w:spacing w:val="-6"/>
        </w:rPr>
        <w:t xml:space="preserve"> </w:t>
      </w:r>
      <w:r>
        <w:t>the</w:t>
      </w:r>
      <w:r>
        <w:rPr>
          <w:spacing w:val="-6"/>
        </w:rPr>
        <w:t xml:space="preserve"> </w:t>
      </w:r>
      <w:r>
        <w:t>relevant</w:t>
      </w:r>
      <w:r>
        <w:rPr>
          <w:spacing w:val="-6"/>
        </w:rPr>
        <w:t xml:space="preserve"> </w:t>
      </w:r>
      <w:r>
        <w:t>grade</w:t>
      </w:r>
      <w:r>
        <w:rPr>
          <w:spacing w:val="-6"/>
        </w:rPr>
        <w:t xml:space="preserve"> </w:t>
      </w:r>
      <w:r>
        <w:t>in</w:t>
      </w:r>
      <w:r>
        <w:rPr>
          <w:spacing w:val="-6"/>
        </w:rPr>
        <w:t xml:space="preserve"> </w:t>
      </w:r>
      <w:r>
        <w:t>each</w:t>
      </w:r>
      <w:r>
        <w:rPr>
          <w:spacing w:val="-6"/>
        </w:rPr>
        <w:t xml:space="preserve"> </w:t>
      </w:r>
      <w:r>
        <w:t>jurisdiction.</w:t>
      </w:r>
      <w:r>
        <w:rPr>
          <w:spacing w:val="-10"/>
        </w:rPr>
        <w:t xml:space="preserve"> </w:t>
      </w:r>
      <w:r>
        <w:t>The</w:t>
      </w:r>
      <w:r>
        <w:rPr>
          <w:spacing w:val="-6"/>
        </w:rPr>
        <w:t xml:space="preserve"> </w:t>
      </w:r>
      <w:r>
        <w:t>samples</w:t>
      </w:r>
      <w:r>
        <w:rPr>
          <w:spacing w:val="-6"/>
        </w:rPr>
        <w:t xml:space="preserve"> </w:t>
      </w:r>
      <w:r>
        <w:t>were</w:t>
      </w:r>
      <w:r>
        <w:rPr>
          <w:spacing w:val="-6"/>
        </w:rPr>
        <w:t xml:space="preserve"> </w:t>
      </w:r>
      <w:r>
        <w:t>selected</w:t>
      </w:r>
      <w:r>
        <w:rPr>
          <w:spacing w:val="-6"/>
        </w:rPr>
        <w:t xml:space="preserve"> </w:t>
      </w:r>
      <w:r>
        <w:t>based</w:t>
      </w:r>
      <w:r>
        <w:rPr>
          <w:spacing w:val="-6"/>
        </w:rPr>
        <w:t xml:space="preserve"> </w:t>
      </w:r>
      <w:r>
        <w:t>on</w:t>
      </w:r>
      <w:r>
        <w:rPr>
          <w:spacing w:val="-6"/>
        </w:rPr>
        <w:t xml:space="preserve"> </w:t>
      </w:r>
      <w:r>
        <w:t>a</w:t>
      </w:r>
      <w:r>
        <w:rPr>
          <w:spacing w:val="-6"/>
        </w:rPr>
        <w:t xml:space="preserve"> </w:t>
      </w:r>
      <w:r>
        <w:t>two-stage</w:t>
      </w:r>
      <w:r>
        <w:rPr>
          <w:spacing w:val="-6"/>
        </w:rPr>
        <w:t xml:space="preserve"> </w:t>
      </w:r>
      <w:r>
        <w:t xml:space="preserve">sample </w:t>
      </w:r>
      <w:r>
        <w:rPr>
          <w:spacing w:val="-2"/>
        </w:rPr>
        <w:t>design:</w:t>
      </w:r>
    </w:p>
    <w:p w:rsidR="003F5784" w14:paraId="49EB720B" w14:textId="77777777">
      <w:pPr>
        <w:spacing w:line="232" w:lineRule="auto"/>
        <w:sectPr>
          <w:type w:val="continuous"/>
          <w:pgSz w:w="15840" w:h="12240" w:orient="landscape"/>
          <w:pgMar w:top="480" w:right="440" w:bottom="460" w:left="460" w:header="305" w:footer="275" w:gutter="0"/>
          <w:cols w:space="720"/>
        </w:sectPr>
      </w:pPr>
    </w:p>
    <w:p w:rsidR="003F5784" w14:paraId="6882F539" w14:textId="77777777">
      <w:pPr>
        <w:pStyle w:val="BodyText"/>
        <w:spacing w:before="78" w:line="232" w:lineRule="auto"/>
        <w:ind w:left="422" w:right="9475"/>
      </w:pPr>
      <w:r>
        <w:rPr>
          <w:noProof/>
          <w:position w:val="3"/>
        </w:rPr>
        <w:drawing>
          <wp:inline distT="0" distB="0" distL="0" distR="0">
            <wp:extent cx="41379" cy="41378"/>
            <wp:effectExtent l="0" t="0" r="0" b="0"/>
            <wp:docPr id="261" name="Image 261"/>
            <wp:cNvGraphicFramePr/>
            <a:graphic xmlns:a="http://schemas.openxmlformats.org/drawingml/2006/main">
              <a:graphicData uri="http://schemas.openxmlformats.org/drawingml/2006/picture">
                <pic:pic xmlns:pic="http://schemas.openxmlformats.org/drawingml/2006/picture">
                  <pic:nvPicPr>
                    <pic:cNvPr id="261" name="Image 261"/>
                    <pic:cNvPicPr/>
                  </pic:nvPicPr>
                  <pic:blipFill>
                    <a:blip xmlns:r="http://schemas.openxmlformats.org/officeDocument/2006/relationships" r:embed="rId222" cstate="print"/>
                    <a:stretch>
                      <a:fillRect/>
                    </a:stretch>
                  </pic:blipFill>
                  <pic:spPr>
                    <a:xfrm>
                      <a:off x="0" y="0"/>
                      <a:ext cx="41379" cy="41378"/>
                    </a:xfrm>
                    <a:prstGeom prst="rect">
                      <a:avLst/>
                    </a:prstGeom>
                  </pic:spPr>
                </pic:pic>
              </a:graphicData>
            </a:graphic>
          </wp:inline>
        </w:drawing>
      </w:r>
      <w:r>
        <w:rPr>
          <w:spacing w:val="72"/>
          <w:sz w:val="20"/>
        </w:rPr>
        <w:t xml:space="preserve"> </w:t>
      </w:r>
      <w:r>
        <w:t>selection</w:t>
      </w:r>
      <w:r>
        <w:rPr>
          <w:spacing w:val="-9"/>
        </w:rPr>
        <w:t xml:space="preserve"> </w:t>
      </w:r>
      <w:r>
        <w:t>of</w:t>
      </w:r>
      <w:r>
        <w:rPr>
          <w:spacing w:val="-9"/>
        </w:rPr>
        <w:t xml:space="preserve"> </w:t>
      </w:r>
      <w:r>
        <w:t>schools</w:t>
      </w:r>
      <w:r>
        <w:rPr>
          <w:spacing w:val="-9"/>
        </w:rPr>
        <w:t xml:space="preserve"> </w:t>
      </w:r>
      <w:r>
        <w:t>within</w:t>
      </w:r>
      <w:r>
        <w:rPr>
          <w:spacing w:val="-9"/>
        </w:rPr>
        <w:t xml:space="preserve"> </w:t>
      </w:r>
      <w:r>
        <w:t>participating</w:t>
      </w:r>
      <w:r>
        <w:rPr>
          <w:spacing w:val="-9"/>
        </w:rPr>
        <w:t xml:space="preserve"> </w:t>
      </w:r>
      <w:r>
        <w:t>jurisdictions;</w:t>
      </w:r>
      <w:r>
        <w:rPr>
          <w:spacing w:val="-9"/>
        </w:rPr>
        <w:t xml:space="preserve"> </w:t>
      </w:r>
      <w:r>
        <w:t xml:space="preserve">and </w:t>
      </w:r>
      <w:r>
        <w:rPr>
          <w:noProof/>
          <w:position w:val="3"/>
        </w:rPr>
        <w:drawing>
          <wp:inline distT="0" distB="0" distL="0" distR="0">
            <wp:extent cx="41379" cy="41378"/>
            <wp:effectExtent l="0" t="0" r="0" b="0"/>
            <wp:docPr id="262" name="Image 262"/>
            <wp:cNvGraphicFramePr/>
            <a:graphic xmlns:a="http://schemas.openxmlformats.org/drawingml/2006/main">
              <a:graphicData uri="http://schemas.openxmlformats.org/drawingml/2006/picture">
                <pic:pic xmlns:pic="http://schemas.openxmlformats.org/drawingml/2006/picture">
                  <pic:nvPicPr>
                    <pic:cNvPr id="262" name="Image 262"/>
                    <pic:cNvPicPr/>
                  </pic:nvPicPr>
                  <pic:blipFill>
                    <a:blip xmlns:r="http://schemas.openxmlformats.org/officeDocument/2006/relationships" r:embed="rId223" cstate="print"/>
                    <a:stretch>
                      <a:fillRect/>
                    </a:stretch>
                  </pic:blipFill>
                  <pic:spPr>
                    <a:xfrm>
                      <a:off x="0" y="0"/>
                      <a:ext cx="41379" cy="41378"/>
                    </a:xfrm>
                    <a:prstGeom prst="rect">
                      <a:avLst/>
                    </a:prstGeom>
                  </pic:spPr>
                </pic:pic>
              </a:graphicData>
            </a:graphic>
          </wp:inline>
        </w:drawing>
      </w:r>
      <w:r>
        <w:rPr>
          <w:spacing w:val="80"/>
        </w:rPr>
        <w:t xml:space="preserve"> </w:t>
      </w:r>
      <w:r>
        <w:t>selection of students within schools.</w:t>
      </w:r>
    </w:p>
    <w:p w:rsidR="003F5784" w14:paraId="030674C3" w14:textId="77777777">
      <w:pPr>
        <w:pStyle w:val="BodyText"/>
        <w:spacing w:before="203"/>
        <w:ind w:left="109"/>
      </w:pPr>
      <w:r>
        <w:t>The</w:t>
      </w:r>
      <w:r>
        <w:rPr>
          <w:spacing w:val="-7"/>
        </w:rPr>
        <w:t xml:space="preserve"> </w:t>
      </w:r>
      <w:r>
        <w:t>first-stage</w:t>
      </w:r>
      <w:r>
        <w:rPr>
          <w:spacing w:val="-6"/>
        </w:rPr>
        <w:t xml:space="preserve"> </w:t>
      </w:r>
      <w:r>
        <w:t>samples</w:t>
      </w:r>
      <w:r>
        <w:rPr>
          <w:spacing w:val="-6"/>
        </w:rPr>
        <w:t xml:space="preserve"> </w:t>
      </w:r>
      <w:r>
        <w:t>of</w:t>
      </w:r>
      <w:r>
        <w:rPr>
          <w:spacing w:val="-6"/>
        </w:rPr>
        <w:t xml:space="preserve"> </w:t>
      </w:r>
      <w:r>
        <w:t>schools</w:t>
      </w:r>
      <w:r>
        <w:rPr>
          <w:spacing w:val="-6"/>
        </w:rPr>
        <w:t xml:space="preserve"> </w:t>
      </w:r>
      <w:r>
        <w:t>were</w:t>
      </w:r>
      <w:r>
        <w:rPr>
          <w:spacing w:val="-6"/>
        </w:rPr>
        <w:t xml:space="preserve"> </w:t>
      </w:r>
      <w:r>
        <w:t>selected</w:t>
      </w:r>
      <w:r>
        <w:rPr>
          <w:spacing w:val="-6"/>
        </w:rPr>
        <w:t xml:space="preserve"> </w:t>
      </w:r>
      <w:r>
        <w:t>with</w:t>
      </w:r>
      <w:r>
        <w:rPr>
          <w:spacing w:val="-7"/>
        </w:rPr>
        <w:t xml:space="preserve"> </w:t>
      </w:r>
      <w:r>
        <w:t>probability</w:t>
      </w:r>
      <w:r>
        <w:rPr>
          <w:spacing w:val="-6"/>
        </w:rPr>
        <w:t xml:space="preserve"> </w:t>
      </w:r>
      <w:r>
        <w:t>proportional</w:t>
      </w:r>
      <w:r>
        <w:rPr>
          <w:spacing w:val="-6"/>
        </w:rPr>
        <w:t xml:space="preserve"> </w:t>
      </w:r>
      <w:r>
        <w:t>to</w:t>
      </w:r>
      <w:r>
        <w:rPr>
          <w:spacing w:val="-6"/>
        </w:rPr>
        <w:t xml:space="preserve"> </w:t>
      </w:r>
      <w:r>
        <w:t>a</w:t>
      </w:r>
      <w:r>
        <w:rPr>
          <w:spacing w:val="-6"/>
        </w:rPr>
        <w:t xml:space="preserve"> </w:t>
      </w:r>
      <w:r>
        <w:rPr>
          <w:color w:val="0066CC"/>
        </w:rPr>
        <w:t>measure</w:t>
      </w:r>
      <w:r>
        <w:rPr>
          <w:color w:val="0066CC"/>
          <w:spacing w:val="-6"/>
        </w:rPr>
        <w:t xml:space="preserve"> </w:t>
      </w:r>
      <w:r>
        <w:rPr>
          <w:color w:val="0066CC"/>
        </w:rPr>
        <w:t>of</w:t>
      </w:r>
      <w:r>
        <w:rPr>
          <w:color w:val="0066CC"/>
          <w:spacing w:val="-6"/>
        </w:rPr>
        <w:t xml:space="preserve"> </w:t>
      </w:r>
      <w:r>
        <w:rPr>
          <w:color w:val="0066CC"/>
        </w:rPr>
        <w:t>size</w:t>
      </w:r>
      <w:r>
        <w:rPr>
          <w:color w:val="0066CC"/>
          <w:spacing w:val="-6"/>
        </w:rPr>
        <w:t xml:space="preserve"> </w:t>
      </w:r>
      <w:r>
        <w:t>based</w:t>
      </w:r>
      <w:r>
        <w:rPr>
          <w:spacing w:val="-7"/>
        </w:rPr>
        <w:t xml:space="preserve"> </w:t>
      </w:r>
      <w:r>
        <w:t>on</w:t>
      </w:r>
      <w:r>
        <w:rPr>
          <w:spacing w:val="-6"/>
        </w:rPr>
        <w:t xml:space="preserve"> </w:t>
      </w:r>
      <w:r>
        <w:t>the</w:t>
      </w:r>
      <w:r>
        <w:rPr>
          <w:spacing w:val="-6"/>
        </w:rPr>
        <w:t xml:space="preserve"> </w:t>
      </w:r>
      <w:r>
        <w:t>estimated</w:t>
      </w:r>
      <w:r>
        <w:rPr>
          <w:spacing w:val="-6"/>
        </w:rPr>
        <w:t xml:space="preserve"> </w:t>
      </w:r>
      <w:r>
        <w:t>grade-specific</w:t>
      </w:r>
      <w:r>
        <w:rPr>
          <w:spacing w:val="-6"/>
        </w:rPr>
        <w:t xml:space="preserve"> </w:t>
      </w:r>
      <w:r>
        <w:t>enrollment</w:t>
      </w:r>
      <w:r>
        <w:rPr>
          <w:spacing w:val="-6"/>
        </w:rPr>
        <w:t xml:space="preserve"> </w:t>
      </w:r>
      <w:r>
        <w:t>in</w:t>
      </w:r>
      <w:r>
        <w:rPr>
          <w:spacing w:val="-6"/>
        </w:rPr>
        <w:t xml:space="preserve"> </w:t>
      </w:r>
      <w:r>
        <w:t>the</w:t>
      </w:r>
      <w:r>
        <w:rPr>
          <w:spacing w:val="-6"/>
        </w:rPr>
        <w:t xml:space="preserve"> </w:t>
      </w:r>
      <w:r>
        <w:rPr>
          <w:spacing w:val="-2"/>
        </w:rPr>
        <w:t>schools.</w:t>
      </w:r>
    </w:p>
    <w:p w:rsidR="003F5784" w14:paraId="29BA0348" w14:textId="77777777">
      <w:pPr>
        <w:pStyle w:val="BodyText"/>
        <w:spacing w:before="208" w:line="232" w:lineRule="auto"/>
        <w:ind w:left="109" w:right="179"/>
      </w:pPr>
      <w:r>
        <w:t>The</w:t>
      </w:r>
      <w:r>
        <w:rPr>
          <w:spacing w:val="-6"/>
        </w:rPr>
        <w:t xml:space="preserve"> </w:t>
      </w:r>
      <w:r>
        <w:t>sampling</w:t>
      </w:r>
      <w:r>
        <w:rPr>
          <w:spacing w:val="-6"/>
        </w:rPr>
        <w:t xml:space="preserve"> </w:t>
      </w:r>
      <w:r>
        <w:t>of</w:t>
      </w:r>
      <w:r>
        <w:rPr>
          <w:spacing w:val="-6"/>
        </w:rPr>
        <w:t xml:space="preserve"> </w:t>
      </w:r>
      <w:r>
        <w:t>students</w:t>
      </w:r>
      <w:r>
        <w:rPr>
          <w:spacing w:val="-6"/>
        </w:rPr>
        <w:t xml:space="preserve"> </w:t>
      </w:r>
      <w:r>
        <w:t>at</w:t>
      </w:r>
      <w:r>
        <w:rPr>
          <w:spacing w:val="-6"/>
        </w:rPr>
        <w:t xml:space="preserve"> </w:t>
      </w:r>
      <w:r>
        <w:t>the</w:t>
      </w:r>
      <w:r>
        <w:rPr>
          <w:spacing w:val="-6"/>
        </w:rPr>
        <w:t xml:space="preserve"> </w:t>
      </w:r>
      <w:r>
        <w:t>second</w:t>
      </w:r>
      <w:r>
        <w:rPr>
          <w:spacing w:val="-6"/>
        </w:rPr>
        <w:t xml:space="preserve"> </w:t>
      </w:r>
      <w:r>
        <w:t>stage</w:t>
      </w:r>
      <w:r>
        <w:rPr>
          <w:spacing w:val="-6"/>
        </w:rPr>
        <w:t xml:space="preserve"> </w:t>
      </w:r>
      <w:r>
        <w:t>involved</w:t>
      </w:r>
      <w:r>
        <w:rPr>
          <w:spacing w:val="-6"/>
        </w:rPr>
        <w:t xml:space="preserve"> </w:t>
      </w:r>
      <w:r>
        <w:t>two</w:t>
      </w:r>
      <w:r>
        <w:rPr>
          <w:spacing w:val="-6"/>
        </w:rPr>
        <w:t xml:space="preserve"> </w:t>
      </w:r>
      <w:r>
        <w:t>steps:</w:t>
      </w:r>
      <w:r>
        <w:rPr>
          <w:spacing w:val="-6"/>
        </w:rPr>
        <w:t xml:space="preserve"> </w:t>
      </w:r>
      <w:r>
        <w:t>(1)</w:t>
      </w:r>
      <w:r>
        <w:rPr>
          <w:spacing w:val="-6"/>
        </w:rPr>
        <w:t xml:space="preserve"> </w:t>
      </w:r>
      <w:r>
        <w:t>sampling</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targeted</w:t>
      </w:r>
      <w:r>
        <w:rPr>
          <w:spacing w:val="-6"/>
        </w:rPr>
        <w:t xml:space="preserve"> </w:t>
      </w:r>
      <w:r>
        <w:t>grade</w:t>
      </w:r>
      <w:r>
        <w:rPr>
          <w:spacing w:val="-6"/>
        </w:rPr>
        <w:t xml:space="preserve"> </w:t>
      </w:r>
      <w:r>
        <w:t>(fourth</w:t>
      </w:r>
      <w:r>
        <w:rPr>
          <w:spacing w:val="-6"/>
        </w:rPr>
        <w:t xml:space="preserve"> </w:t>
      </w:r>
      <w:r>
        <w:t>or</w:t>
      </w:r>
      <w:r>
        <w:rPr>
          <w:spacing w:val="-6"/>
        </w:rPr>
        <w:t xml:space="preserve"> </w:t>
      </w:r>
      <w:r>
        <w:t>eighth)</w:t>
      </w:r>
      <w:r>
        <w:rPr>
          <w:spacing w:val="-6"/>
        </w:rPr>
        <w:t xml:space="preserve"> </w:t>
      </w:r>
      <w:r>
        <w:t>from</w:t>
      </w:r>
      <w:r>
        <w:rPr>
          <w:spacing w:val="-6"/>
        </w:rPr>
        <w:t xml:space="preserve"> </w:t>
      </w:r>
      <w:r>
        <w:t>each</w:t>
      </w:r>
      <w:r>
        <w:rPr>
          <w:spacing w:val="-6"/>
        </w:rPr>
        <w:t xml:space="preserve"> </w:t>
      </w:r>
      <w:r>
        <w:t>sampled</w:t>
      </w:r>
      <w:r>
        <w:rPr>
          <w:spacing w:val="-6"/>
        </w:rPr>
        <w:t xml:space="preserve"> </w:t>
      </w:r>
      <w:r>
        <w:t>school,</w:t>
      </w:r>
      <w:r>
        <w:rPr>
          <w:spacing w:val="-6"/>
        </w:rPr>
        <w:t xml:space="preserve"> </w:t>
      </w:r>
      <w:r>
        <w:t>and</w:t>
      </w:r>
      <w:r>
        <w:rPr>
          <w:spacing w:val="-6"/>
        </w:rPr>
        <w:t xml:space="preserve"> </w:t>
      </w:r>
      <w:r>
        <w:t>(2)</w:t>
      </w:r>
      <w:r>
        <w:rPr>
          <w:spacing w:val="-6"/>
        </w:rPr>
        <w:t xml:space="preserve"> </w:t>
      </w:r>
      <w:r>
        <w:t>assignment of assessment subject (mathematics or reading) to the sampled students.</w:t>
      </w:r>
    </w:p>
    <w:p w:rsidR="003F5784" w14:paraId="601C9B9A" w14:textId="77777777">
      <w:pPr>
        <w:pStyle w:val="BodyText"/>
        <w:spacing w:before="209" w:line="232" w:lineRule="auto"/>
        <w:ind w:left="109"/>
      </w:pPr>
      <w:r>
        <w:t>For</w:t>
      </w:r>
      <w:r>
        <w:rPr>
          <w:spacing w:val="-14"/>
        </w:rPr>
        <w:t xml:space="preserve"> </w:t>
      </w:r>
      <w:r>
        <w:t>the</w:t>
      </w:r>
      <w:r>
        <w:rPr>
          <w:spacing w:val="-9"/>
        </w:rPr>
        <w:t xml:space="preserve"> </w:t>
      </w:r>
      <w:r>
        <w:t>TUDA</w:t>
      </w:r>
      <w:r>
        <w:rPr>
          <w:spacing w:val="-14"/>
        </w:rPr>
        <w:t xml:space="preserve"> </w:t>
      </w:r>
      <w:r>
        <w:t>samples,</w:t>
      </w:r>
      <w:r>
        <w:rPr>
          <w:spacing w:val="-5"/>
        </w:rPr>
        <w:t xml:space="preserve"> </w:t>
      </w:r>
      <w:r>
        <w:t>schools</w:t>
      </w:r>
      <w:r>
        <w:rPr>
          <w:spacing w:val="-6"/>
        </w:rPr>
        <w:t xml:space="preserve"> </w:t>
      </w:r>
      <w:r>
        <w:t>were</w:t>
      </w:r>
      <w:r>
        <w:rPr>
          <w:spacing w:val="-6"/>
        </w:rPr>
        <w:t xml:space="preserve"> </w:t>
      </w:r>
      <w:r>
        <w:t>sampled</w:t>
      </w:r>
      <w:r>
        <w:rPr>
          <w:spacing w:val="-6"/>
        </w:rPr>
        <w:t xml:space="preserve"> </w:t>
      </w:r>
      <w:r>
        <w:t>from</w:t>
      </w:r>
      <w:r>
        <w:rPr>
          <w:spacing w:val="-6"/>
        </w:rPr>
        <w:t xml:space="preserve"> </w:t>
      </w:r>
      <w:r>
        <w:t>the</w:t>
      </w:r>
      <w:r>
        <w:rPr>
          <w:spacing w:val="-6"/>
        </w:rPr>
        <w:t xml:space="preserve"> </w:t>
      </w:r>
      <w:r>
        <w:t>26</w:t>
      </w:r>
      <w:r>
        <w:rPr>
          <w:spacing w:val="-6"/>
        </w:rPr>
        <w:t xml:space="preserve"> </w:t>
      </w:r>
      <w:r>
        <w:t>participating</w:t>
      </w:r>
      <w:r>
        <w:rPr>
          <w:spacing w:val="-10"/>
        </w:rPr>
        <w:t xml:space="preserve"> </w:t>
      </w:r>
      <w:r>
        <w:t>TUDA</w:t>
      </w:r>
      <w:r>
        <w:rPr>
          <w:spacing w:val="-14"/>
        </w:rPr>
        <w:t xml:space="preserve"> </w:t>
      </w:r>
      <w:r>
        <w:t>districts</w:t>
      </w:r>
      <w:r>
        <w:rPr>
          <w:spacing w:val="-5"/>
        </w:rPr>
        <w:t xml:space="preserve"> </w:t>
      </w:r>
      <w:r>
        <w:t>at</w:t>
      </w:r>
      <w:r>
        <w:rPr>
          <w:spacing w:val="-6"/>
        </w:rPr>
        <w:t xml:space="preserve"> </w:t>
      </w:r>
      <w:r>
        <w:t>the</w:t>
      </w:r>
      <w:r>
        <w:rPr>
          <w:spacing w:val="-6"/>
        </w:rPr>
        <w:t xml:space="preserve"> </w:t>
      </w:r>
      <w:r>
        <w:t>same</w:t>
      </w:r>
      <w:r>
        <w:rPr>
          <w:spacing w:val="-6"/>
        </w:rPr>
        <w:t xml:space="preserve"> </w:t>
      </w:r>
      <w:r>
        <w:t>time</w:t>
      </w:r>
      <w:r>
        <w:rPr>
          <w:spacing w:val="-6"/>
        </w:rPr>
        <w:t xml:space="preserve"> </w:t>
      </w:r>
      <w:r>
        <w:t>schools</w:t>
      </w:r>
      <w:r>
        <w:rPr>
          <w:spacing w:val="-6"/>
        </w:rPr>
        <w:t xml:space="preserve"> </w:t>
      </w:r>
      <w:r>
        <w:t>were</w:t>
      </w:r>
      <w:r>
        <w:rPr>
          <w:spacing w:val="-6"/>
        </w:rPr>
        <w:t xml:space="preserve"> </w:t>
      </w:r>
      <w:r>
        <w:t>selected</w:t>
      </w:r>
      <w:r>
        <w:rPr>
          <w:spacing w:val="-6"/>
        </w:rPr>
        <w:t xml:space="preserve"> </w:t>
      </w:r>
      <w:r>
        <w:t>for</w:t>
      </w:r>
      <w:r>
        <w:rPr>
          <w:spacing w:val="-6"/>
        </w:rPr>
        <w:t xml:space="preserve"> </w:t>
      </w:r>
      <w:r>
        <w:t>the</w:t>
      </w:r>
      <w:r>
        <w:rPr>
          <w:spacing w:val="-6"/>
        </w:rPr>
        <w:t xml:space="preserve"> </w:t>
      </w:r>
      <w:r>
        <w:t>non-TUDA</w:t>
      </w:r>
      <w:r>
        <w:rPr>
          <w:spacing w:val="-14"/>
        </w:rPr>
        <w:t xml:space="preserve"> </w:t>
      </w:r>
      <w:r>
        <w:t>jurisdiction</w:t>
      </w:r>
      <w:r>
        <w:rPr>
          <w:spacing w:val="-5"/>
        </w:rPr>
        <w:t xml:space="preserve"> </w:t>
      </w:r>
      <w:r>
        <w:t>samples.</w:t>
      </w:r>
      <w:r>
        <w:rPr>
          <w:spacing w:val="-10"/>
        </w:rPr>
        <w:t xml:space="preserve"> </w:t>
      </w:r>
      <w:r>
        <w:t>The participating TUDA districts are listed below:</w:t>
      </w:r>
    </w:p>
    <w:p w:rsidR="003F5784" w14:paraId="448A4780" w14:textId="77777777">
      <w:pPr>
        <w:pStyle w:val="BodyText"/>
        <w:spacing w:before="209" w:line="232" w:lineRule="auto"/>
        <w:ind w:left="422" w:right="10671"/>
      </w:pPr>
      <w:r>
        <w:rPr>
          <w:noProof/>
          <w:position w:val="3"/>
        </w:rPr>
        <w:drawing>
          <wp:inline distT="0" distB="0" distL="0" distR="0">
            <wp:extent cx="41379" cy="41378"/>
            <wp:effectExtent l="0" t="0" r="0" b="0"/>
            <wp:docPr id="263" name="Image 263"/>
            <wp:cNvGraphicFramePr/>
            <a:graphic xmlns:a="http://schemas.openxmlformats.org/drawingml/2006/main">
              <a:graphicData uri="http://schemas.openxmlformats.org/drawingml/2006/picture">
                <pic:pic xmlns:pic="http://schemas.openxmlformats.org/drawingml/2006/picture">
                  <pic:nvPicPr>
                    <pic:cNvPr id="263" name="Image 263"/>
                    <pic:cNvPicPr/>
                  </pic:nvPicPr>
                  <pic:blipFill>
                    <a:blip xmlns:r="http://schemas.openxmlformats.org/officeDocument/2006/relationships" r:embed="rId224" cstate="print"/>
                    <a:stretch>
                      <a:fillRect/>
                    </a:stretch>
                  </pic:blipFill>
                  <pic:spPr>
                    <a:xfrm>
                      <a:off x="0" y="0"/>
                      <a:ext cx="41379" cy="41378"/>
                    </a:xfrm>
                    <a:prstGeom prst="rect">
                      <a:avLst/>
                    </a:prstGeom>
                  </pic:spPr>
                </pic:pic>
              </a:graphicData>
            </a:graphic>
          </wp:inline>
        </w:drawing>
      </w:r>
      <w:r>
        <w:rPr>
          <w:spacing w:val="69"/>
          <w:sz w:val="20"/>
        </w:rPr>
        <w:t xml:space="preserve"> </w:t>
      </w:r>
      <w:r>
        <w:t>Albuquerque</w:t>
      </w:r>
      <w:r>
        <w:rPr>
          <w:spacing w:val="-10"/>
        </w:rPr>
        <w:t xml:space="preserve"> </w:t>
      </w:r>
      <w:r>
        <w:t>Public</w:t>
      </w:r>
      <w:r>
        <w:rPr>
          <w:spacing w:val="-10"/>
        </w:rPr>
        <w:t xml:space="preserve"> </w:t>
      </w:r>
      <w:r>
        <w:t>Schools,</w:t>
      </w:r>
      <w:r>
        <w:rPr>
          <w:spacing w:val="-10"/>
        </w:rPr>
        <w:t xml:space="preserve"> </w:t>
      </w:r>
      <w:r>
        <w:t>New</w:t>
      </w:r>
      <w:r>
        <w:rPr>
          <w:spacing w:val="-10"/>
        </w:rPr>
        <w:t xml:space="preserve"> </w:t>
      </w:r>
      <w:r>
        <w:t xml:space="preserve">Mexico; </w:t>
      </w:r>
      <w:r>
        <w:rPr>
          <w:noProof/>
          <w:position w:val="3"/>
        </w:rPr>
        <w:drawing>
          <wp:inline distT="0" distB="0" distL="0" distR="0">
            <wp:extent cx="41379" cy="41378"/>
            <wp:effectExtent l="0" t="0" r="0" b="0"/>
            <wp:docPr id="264" name="Image 264"/>
            <wp:cNvGraphicFramePr/>
            <a:graphic xmlns:a="http://schemas.openxmlformats.org/drawingml/2006/main">
              <a:graphicData uri="http://schemas.openxmlformats.org/drawingml/2006/picture">
                <pic:pic xmlns:pic="http://schemas.openxmlformats.org/drawingml/2006/picture">
                  <pic:nvPicPr>
                    <pic:cNvPr id="264" name="Image 264"/>
                    <pic:cNvPicPr/>
                  </pic:nvPicPr>
                  <pic:blipFill>
                    <a:blip xmlns:r="http://schemas.openxmlformats.org/officeDocument/2006/relationships" r:embed="rId225" cstate="print"/>
                    <a:stretch>
                      <a:fillRect/>
                    </a:stretch>
                  </pic:blipFill>
                  <pic:spPr>
                    <a:xfrm>
                      <a:off x="0" y="0"/>
                      <a:ext cx="41379" cy="41378"/>
                    </a:xfrm>
                    <a:prstGeom prst="rect">
                      <a:avLst/>
                    </a:prstGeom>
                  </pic:spPr>
                </pic:pic>
              </a:graphicData>
            </a:graphic>
          </wp:inline>
        </w:drawing>
      </w:r>
      <w:r>
        <w:rPr>
          <w:spacing w:val="80"/>
        </w:rPr>
        <w:t xml:space="preserve"> </w:t>
      </w:r>
      <w:r>
        <w:t>Atlanta Public Schools, Georgia;</w:t>
      </w:r>
    </w:p>
    <w:p w:rsidR="003F5784" w14:paraId="07E5CA34" w14:textId="77777777">
      <w:pPr>
        <w:pStyle w:val="BodyText"/>
        <w:spacing w:before="1" w:line="232" w:lineRule="auto"/>
        <w:ind w:left="422" w:right="10717"/>
      </w:pPr>
      <w:r>
        <w:rPr>
          <w:noProof/>
          <w:position w:val="3"/>
        </w:rPr>
        <w:drawing>
          <wp:inline distT="0" distB="0" distL="0" distR="0">
            <wp:extent cx="41379" cy="41378"/>
            <wp:effectExtent l="0" t="0" r="0" b="0"/>
            <wp:docPr id="265" name="Image 265"/>
            <wp:cNvGraphicFramePr/>
            <a:graphic xmlns:a="http://schemas.openxmlformats.org/drawingml/2006/main">
              <a:graphicData uri="http://schemas.openxmlformats.org/drawingml/2006/picture">
                <pic:pic xmlns:pic="http://schemas.openxmlformats.org/drawingml/2006/picture">
                  <pic:nvPicPr>
                    <pic:cNvPr id="265" name="Image 265"/>
                    <pic:cNvPicPr/>
                  </pic:nvPicPr>
                  <pic:blipFill>
                    <a:blip xmlns:r="http://schemas.openxmlformats.org/officeDocument/2006/relationships" r:embed="rId226" cstate="print"/>
                    <a:stretch>
                      <a:fillRect/>
                    </a:stretch>
                  </pic:blipFill>
                  <pic:spPr>
                    <a:xfrm>
                      <a:off x="0" y="0"/>
                      <a:ext cx="41379" cy="41378"/>
                    </a:xfrm>
                    <a:prstGeom prst="rect">
                      <a:avLst/>
                    </a:prstGeom>
                  </pic:spPr>
                </pic:pic>
              </a:graphicData>
            </a:graphic>
          </wp:inline>
        </w:drawing>
      </w:r>
      <w:r>
        <w:rPr>
          <w:spacing w:val="60"/>
          <w:sz w:val="20"/>
        </w:rPr>
        <w:t xml:space="preserve"> </w:t>
      </w:r>
      <w:r>
        <w:t>Austin</w:t>
      </w:r>
      <w:r>
        <w:rPr>
          <w:spacing w:val="-12"/>
        </w:rPr>
        <w:t xml:space="preserve"> </w:t>
      </w:r>
      <w:r>
        <w:t>Independent</w:t>
      </w:r>
      <w:r>
        <w:rPr>
          <w:spacing w:val="-12"/>
        </w:rPr>
        <w:t xml:space="preserve"> </w:t>
      </w:r>
      <w:r>
        <w:t>School</w:t>
      </w:r>
      <w:r>
        <w:rPr>
          <w:spacing w:val="-12"/>
        </w:rPr>
        <w:t xml:space="preserve"> </w:t>
      </w:r>
      <w:r>
        <w:t>District,</w:t>
      </w:r>
      <w:r>
        <w:rPr>
          <w:spacing w:val="-14"/>
        </w:rPr>
        <w:t xml:space="preserve"> </w:t>
      </w:r>
      <w:r>
        <w:t xml:space="preserve">Texas; </w:t>
      </w:r>
      <w:r>
        <w:rPr>
          <w:noProof/>
          <w:position w:val="3"/>
        </w:rPr>
        <w:drawing>
          <wp:inline distT="0" distB="0" distL="0" distR="0">
            <wp:extent cx="41379" cy="41378"/>
            <wp:effectExtent l="0" t="0" r="0" b="0"/>
            <wp:docPr id="266" name="Image 266"/>
            <wp:cNvGraphicFramePr/>
            <a:graphic xmlns:a="http://schemas.openxmlformats.org/drawingml/2006/main">
              <a:graphicData uri="http://schemas.openxmlformats.org/drawingml/2006/picture">
                <pic:pic xmlns:pic="http://schemas.openxmlformats.org/drawingml/2006/picture">
                  <pic:nvPicPr>
                    <pic:cNvPr id="266" name="Image 266"/>
                    <pic:cNvPicPr/>
                  </pic:nvPicPr>
                  <pic:blipFill>
                    <a:blip xmlns:r="http://schemas.openxmlformats.org/officeDocument/2006/relationships" r:embed="rId227" cstate="print"/>
                    <a:stretch>
                      <a:fillRect/>
                    </a:stretch>
                  </pic:blipFill>
                  <pic:spPr>
                    <a:xfrm>
                      <a:off x="0" y="0"/>
                      <a:ext cx="41379" cy="41378"/>
                    </a:xfrm>
                    <a:prstGeom prst="rect">
                      <a:avLst/>
                    </a:prstGeom>
                  </pic:spPr>
                </pic:pic>
              </a:graphicData>
            </a:graphic>
          </wp:inline>
        </w:drawing>
      </w:r>
      <w:r>
        <w:rPr>
          <w:spacing w:val="80"/>
        </w:rPr>
        <w:t xml:space="preserve"> </w:t>
      </w:r>
      <w:r>
        <w:t xml:space="preserve">Baltimore City Public Schools, Maryland; </w:t>
      </w:r>
      <w:r>
        <w:rPr>
          <w:noProof/>
          <w:position w:val="3"/>
        </w:rPr>
        <w:drawing>
          <wp:inline distT="0" distB="0" distL="0" distR="0">
            <wp:extent cx="41379" cy="41378"/>
            <wp:effectExtent l="0" t="0" r="0" b="0"/>
            <wp:docPr id="267" name="Image 267"/>
            <wp:cNvGraphicFramePr/>
            <a:graphic xmlns:a="http://schemas.openxmlformats.org/drawingml/2006/main">
              <a:graphicData uri="http://schemas.openxmlformats.org/drawingml/2006/picture">
                <pic:pic xmlns:pic="http://schemas.openxmlformats.org/drawingml/2006/picture">
                  <pic:nvPicPr>
                    <pic:cNvPr id="267" name="Image 267"/>
                    <pic:cNvPicPr/>
                  </pic:nvPicPr>
                  <pic:blipFill>
                    <a:blip xmlns:r="http://schemas.openxmlformats.org/officeDocument/2006/relationships" r:embed="rId228" cstate="print"/>
                    <a:stretch>
                      <a:fillRect/>
                    </a:stretch>
                  </pic:blipFill>
                  <pic:spPr>
                    <a:xfrm>
                      <a:off x="0" y="0"/>
                      <a:ext cx="41379" cy="41378"/>
                    </a:xfrm>
                    <a:prstGeom prst="rect">
                      <a:avLst/>
                    </a:prstGeom>
                  </pic:spPr>
                </pic:pic>
              </a:graphicData>
            </a:graphic>
          </wp:inline>
        </w:drawing>
      </w:r>
      <w:r>
        <w:rPr>
          <w:spacing w:val="80"/>
        </w:rPr>
        <w:t xml:space="preserve"> </w:t>
      </w:r>
      <w:r>
        <w:t>Boston Public Schools, Massachusetts;</w:t>
      </w:r>
    </w:p>
    <w:p w:rsidR="003F5784" w14:paraId="158AD20F" w14:textId="77777777">
      <w:pPr>
        <w:pStyle w:val="BodyText"/>
        <w:spacing w:before="1" w:line="232" w:lineRule="auto"/>
        <w:ind w:left="422" w:right="10218"/>
      </w:pPr>
      <w:r>
        <w:rPr>
          <w:noProof/>
          <w:position w:val="3"/>
        </w:rPr>
        <w:drawing>
          <wp:inline distT="0" distB="0" distL="0" distR="0">
            <wp:extent cx="41379" cy="41378"/>
            <wp:effectExtent l="0" t="0" r="0" b="0"/>
            <wp:docPr id="268" name="Image 268"/>
            <wp:cNvGraphicFramePr/>
            <a:graphic xmlns:a="http://schemas.openxmlformats.org/drawingml/2006/main">
              <a:graphicData uri="http://schemas.openxmlformats.org/drawingml/2006/picture">
                <pic:pic xmlns:pic="http://schemas.openxmlformats.org/drawingml/2006/picture">
                  <pic:nvPicPr>
                    <pic:cNvPr id="268" name="Image 268"/>
                    <pic:cNvPicPr/>
                  </pic:nvPicPr>
                  <pic:blipFill>
                    <a:blip xmlns:r="http://schemas.openxmlformats.org/officeDocument/2006/relationships" r:embed="rId229" cstate="print"/>
                    <a:stretch>
                      <a:fillRect/>
                    </a:stretch>
                  </pic:blipFill>
                  <pic:spPr>
                    <a:xfrm>
                      <a:off x="0" y="0"/>
                      <a:ext cx="41379" cy="41378"/>
                    </a:xfrm>
                    <a:prstGeom prst="rect">
                      <a:avLst/>
                    </a:prstGeom>
                  </pic:spPr>
                </pic:pic>
              </a:graphicData>
            </a:graphic>
          </wp:inline>
        </w:drawing>
      </w:r>
      <w:r>
        <w:rPr>
          <w:spacing w:val="61"/>
          <w:sz w:val="20"/>
        </w:rPr>
        <w:t xml:space="preserve"> </w:t>
      </w:r>
      <w:r>
        <w:t>Charlotte-Mecklenburg</w:t>
      </w:r>
      <w:r>
        <w:rPr>
          <w:spacing w:val="-13"/>
        </w:rPr>
        <w:t xml:space="preserve"> </w:t>
      </w:r>
      <w:r>
        <w:t>Schools,</w:t>
      </w:r>
      <w:r>
        <w:rPr>
          <w:spacing w:val="-13"/>
        </w:rPr>
        <w:t xml:space="preserve"> </w:t>
      </w:r>
      <w:r>
        <w:t>North</w:t>
      </w:r>
      <w:r>
        <w:rPr>
          <w:spacing w:val="-13"/>
        </w:rPr>
        <w:t xml:space="preserve"> </w:t>
      </w:r>
      <w:r>
        <w:t xml:space="preserve">Carolina; </w:t>
      </w:r>
      <w:r>
        <w:rPr>
          <w:noProof/>
          <w:position w:val="3"/>
        </w:rPr>
        <w:drawing>
          <wp:inline distT="0" distB="0" distL="0" distR="0">
            <wp:extent cx="41379" cy="41378"/>
            <wp:effectExtent l="0" t="0" r="0" b="0"/>
            <wp:docPr id="269" name="Image 269"/>
            <wp:cNvGraphicFramePr/>
            <a:graphic xmlns:a="http://schemas.openxmlformats.org/drawingml/2006/main">
              <a:graphicData uri="http://schemas.openxmlformats.org/drawingml/2006/picture">
                <pic:pic xmlns:pic="http://schemas.openxmlformats.org/drawingml/2006/picture">
                  <pic:nvPicPr>
                    <pic:cNvPr id="269" name="Image 269"/>
                    <pic:cNvPicPr/>
                  </pic:nvPicPr>
                  <pic:blipFill>
                    <a:blip xmlns:r="http://schemas.openxmlformats.org/officeDocument/2006/relationships" r:embed="rId230" cstate="print"/>
                    <a:stretch>
                      <a:fillRect/>
                    </a:stretch>
                  </pic:blipFill>
                  <pic:spPr>
                    <a:xfrm>
                      <a:off x="0" y="0"/>
                      <a:ext cx="41379" cy="41378"/>
                    </a:xfrm>
                    <a:prstGeom prst="rect">
                      <a:avLst/>
                    </a:prstGeom>
                  </pic:spPr>
                </pic:pic>
              </a:graphicData>
            </a:graphic>
          </wp:inline>
        </w:drawing>
      </w:r>
      <w:r>
        <w:rPr>
          <w:spacing w:val="80"/>
        </w:rPr>
        <w:t xml:space="preserve"> </w:t>
      </w:r>
      <w:r>
        <w:t>Chicago Public Schools, Illinois;</w:t>
      </w:r>
    </w:p>
    <w:p w:rsidR="003F5784" w14:paraId="09A94086" w14:textId="77777777">
      <w:pPr>
        <w:pStyle w:val="BodyText"/>
        <w:spacing w:line="233" w:lineRule="exact"/>
        <w:ind w:left="422"/>
      </w:pPr>
      <w:r>
        <w:rPr>
          <w:noProof/>
          <w:position w:val="3"/>
        </w:rPr>
        <w:drawing>
          <wp:inline distT="0" distB="0" distL="0" distR="0">
            <wp:extent cx="41379" cy="41378"/>
            <wp:effectExtent l="0" t="0" r="0" b="0"/>
            <wp:docPr id="270" name="Image 270"/>
            <wp:cNvGraphicFramePr/>
            <a:graphic xmlns:a="http://schemas.openxmlformats.org/drawingml/2006/main">
              <a:graphicData uri="http://schemas.openxmlformats.org/drawingml/2006/picture">
                <pic:pic xmlns:pic="http://schemas.openxmlformats.org/drawingml/2006/picture">
                  <pic:nvPicPr>
                    <pic:cNvPr id="270" name="Image 270"/>
                    <pic:cNvPicPr/>
                  </pic:nvPicPr>
                  <pic:blipFill>
                    <a:blip xmlns:r="http://schemas.openxmlformats.org/officeDocument/2006/relationships" r:embed="rId231" cstate="print"/>
                    <a:stretch>
                      <a:fillRect/>
                    </a:stretch>
                  </pic:blipFill>
                  <pic:spPr>
                    <a:xfrm>
                      <a:off x="0" y="0"/>
                      <a:ext cx="41379" cy="41378"/>
                    </a:xfrm>
                    <a:prstGeom prst="rect">
                      <a:avLst/>
                    </a:prstGeom>
                  </pic:spPr>
                </pic:pic>
              </a:graphicData>
            </a:graphic>
          </wp:inline>
        </w:drawing>
      </w:r>
      <w:r>
        <w:rPr>
          <w:spacing w:val="80"/>
          <w:sz w:val="20"/>
        </w:rPr>
        <w:t xml:space="preserve"> </w:t>
      </w:r>
      <w:r>
        <w:t>Clark County School District, Nevada;</w:t>
      </w:r>
    </w:p>
    <w:p w:rsidR="003F5784" w14:paraId="3D1D1B90" w14:textId="77777777">
      <w:pPr>
        <w:pStyle w:val="BodyText"/>
        <w:spacing w:before="3" w:line="232" w:lineRule="auto"/>
        <w:ind w:left="422" w:right="10427"/>
      </w:pPr>
      <w:r>
        <w:rPr>
          <w:noProof/>
          <w:position w:val="3"/>
        </w:rPr>
        <w:drawing>
          <wp:inline distT="0" distB="0" distL="0" distR="0">
            <wp:extent cx="41379" cy="41378"/>
            <wp:effectExtent l="0" t="0" r="0" b="0"/>
            <wp:docPr id="271" name="Image 271"/>
            <wp:cNvGraphicFramePr/>
            <a:graphic xmlns:a="http://schemas.openxmlformats.org/drawingml/2006/main">
              <a:graphicData uri="http://schemas.openxmlformats.org/drawingml/2006/picture">
                <pic:pic xmlns:pic="http://schemas.openxmlformats.org/drawingml/2006/picture">
                  <pic:nvPicPr>
                    <pic:cNvPr id="271" name="Image 271"/>
                    <pic:cNvPicPr/>
                  </pic:nvPicPr>
                  <pic:blipFill>
                    <a:blip xmlns:r="http://schemas.openxmlformats.org/officeDocument/2006/relationships" r:embed="rId232" cstate="print"/>
                    <a:stretch>
                      <a:fillRect/>
                    </a:stretch>
                  </pic:blipFill>
                  <pic:spPr>
                    <a:xfrm>
                      <a:off x="0" y="0"/>
                      <a:ext cx="41379" cy="41378"/>
                    </a:xfrm>
                    <a:prstGeom prst="rect">
                      <a:avLst/>
                    </a:prstGeom>
                  </pic:spPr>
                </pic:pic>
              </a:graphicData>
            </a:graphic>
          </wp:inline>
        </w:drawing>
      </w:r>
      <w:r>
        <w:rPr>
          <w:spacing w:val="68"/>
          <w:sz w:val="20"/>
        </w:rPr>
        <w:t xml:space="preserve"> </w:t>
      </w:r>
      <w:r>
        <w:t>Cleveland</w:t>
      </w:r>
      <w:r>
        <w:rPr>
          <w:spacing w:val="-10"/>
        </w:rPr>
        <w:t xml:space="preserve"> </w:t>
      </w:r>
      <w:r>
        <w:t>Metropolitan</w:t>
      </w:r>
      <w:r>
        <w:rPr>
          <w:spacing w:val="-10"/>
        </w:rPr>
        <w:t xml:space="preserve"> </w:t>
      </w:r>
      <w:r>
        <w:t>School</w:t>
      </w:r>
      <w:r>
        <w:rPr>
          <w:spacing w:val="-10"/>
        </w:rPr>
        <w:t xml:space="preserve"> </w:t>
      </w:r>
      <w:r>
        <w:t>District,</w:t>
      </w:r>
      <w:r>
        <w:rPr>
          <w:spacing w:val="-10"/>
        </w:rPr>
        <w:t xml:space="preserve"> </w:t>
      </w:r>
      <w:r>
        <w:t xml:space="preserve">Ohio; </w:t>
      </w:r>
      <w:r>
        <w:rPr>
          <w:noProof/>
          <w:position w:val="3"/>
        </w:rPr>
        <w:drawing>
          <wp:inline distT="0" distB="0" distL="0" distR="0">
            <wp:extent cx="41379" cy="41378"/>
            <wp:effectExtent l="0" t="0" r="0" b="0"/>
            <wp:docPr id="272" name="Image 272"/>
            <wp:cNvGraphicFramePr/>
            <a:graphic xmlns:a="http://schemas.openxmlformats.org/drawingml/2006/main">
              <a:graphicData uri="http://schemas.openxmlformats.org/drawingml/2006/picture">
                <pic:pic xmlns:pic="http://schemas.openxmlformats.org/drawingml/2006/picture">
                  <pic:nvPicPr>
                    <pic:cNvPr id="272" name="Image 272"/>
                    <pic:cNvPicPr/>
                  </pic:nvPicPr>
                  <pic:blipFill>
                    <a:blip xmlns:r="http://schemas.openxmlformats.org/officeDocument/2006/relationships" r:embed="rId233" cstate="print"/>
                    <a:stretch>
                      <a:fillRect/>
                    </a:stretch>
                  </pic:blipFill>
                  <pic:spPr>
                    <a:xfrm>
                      <a:off x="0" y="0"/>
                      <a:ext cx="41379" cy="41378"/>
                    </a:xfrm>
                    <a:prstGeom prst="rect">
                      <a:avLst/>
                    </a:prstGeom>
                  </pic:spPr>
                </pic:pic>
              </a:graphicData>
            </a:graphic>
          </wp:inline>
        </w:drawing>
      </w:r>
      <w:r>
        <w:rPr>
          <w:spacing w:val="80"/>
        </w:rPr>
        <w:t xml:space="preserve"> </w:t>
      </w:r>
      <w:r>
        <w:t>Dallas Independent School District, Texas;</w:t>
      </w:r>
    </w:p>
    <w:p w:rsidR="003F5784" w14:paraId="20B736B6" w14:textId="77777777">
      <w:pPr>
        <w:pStyle w:val="BodyText"/>
        <w:spacing w:line="232" w:lineRule="auto"/>
        <w:ind w:left="422" w:right="11454"/>
      </w:pPr>
      <w:r>
        <w:rPr>
          <w:noProof/>
          <w:position w:val="3"/>
        </w:rPr>
        <w:drawing>
          <wp:inline distT="0" distB="0" distL="0" distR="0">
            <wp:extent cx="41379" cy="41378"/>
            <wp:effectExtent l="0" t="0" r="0" b="0"/>
            <wp:docPr id="273" name="Image 273"/>
            <wp:cNvGraphicFramePr/>
            <a:graphic xmlns:a="http://schemas.openxmlformats.org/drawingml/2006/main">
              <a:graphicData uri="http://schemas.openxmlformats.org/drawingml/2006/picture">
                <pic:pic xmlns:pic="http://schemas.openxmlformats.org/drawingml/2006/picture">
                  <pic:nvPicPr>
                    <pic:cNvPr id="273" name="Image 273"/>
                    <pic:cNvPicPr/>
                  </pic:nvPicPr>
                  <pic:blipFill>
                    <a:blip xmlns:r="http://schemas.openxmlformats.org/officeDocument/2006/relationships" r:embed="rId234" cstate="print"/>
                    <a:stretch>
                      <a:fillRect/>
                    </a:stretch>
                  </pic:blipFill>
                  <pic:spPr>
                    <a:xfrm>
                      <a:off x="0" y="0"/>
                      <a:ext cx="41379" cy="41378"/>
                    </a:xfrm>
                    <a:prstGeom prst="rect">
                      <a:avLst/>
                    </a:prstGeom>
                  </pic:spPr>
                </pic:pic>
              </a:graphicData>
            </a:graphic>
          </wp:inline>
        </w:drawing>
      </w:r>
      <w:r>
        <w:rPr>
          <w:spacing w:val="67"/>
          <w:sz w:val="20"/>
        </w:rPr>
        <w:t xml:space="preserve"> </w:t>
      </w:r>
      <w:r>
        <w:t>Denver</w:t>
      </w:r>
      <w:r>
        <w:rPr>
          <w:spacing w:val="-11"/>
        </w:rPr>
        <w:t xml:space="preserve"> </w:t>
      </w:r>
      <w:r>
        <w:t>Public</w:t>
      </w:r>
      <w:r>
        <w:rPr>
          <w:spacing w:val="-11"/>
        </w:rPr>
        <w:t xml:space="preserve"> </w:t>
      </w:r>
      <w:r>
        <w:t>Schools,</w:t>
      </w:r>
      <w:r>
        <w:rPr>
          <w:spacing w:val="-11"/>
        </w:rPr>
        <w:t xml:space="preserve"> </w:t>
      </w:r>
      <w:r>
        <w:t xml:space="preserve">Colorado; </w:t>
      </w:r>
      <w:r>
        <w:rPr>
          <w:noProof/>
          <w:position w:val="3"/>
        </w:rPr>
        <w:drawing>
          <wp:inline distT="0" distB="0" distL="0" distR="0">
            <wp:extent cx="41379" cy="41378"/>
            <wp:effectExtent l="0" t="0" r="0" b="0"/>
            <wp:docPr id="274" name="Image 274"/>
            <wp:cNvGraphicFramePr/>
            <a:graphic xmlns:a="http://schemas.openxmlformats.org/drawingml/2006/main">
              <a:graphicData uri="http://schemas.openxmlformats.org/drawingml/2006/picture">
                <pic:pic xmlns:pic="http://schemas.openxmlformats.org/drawingml/2006/picture">
                  <pic:nvPicPr>
                    <pic:cNvPr id="274" name="Image 274"/>
                    <pic:cNvPicPr/>
                  </pic:nvPicPr>
                  <pic:blipFill>
                    <a:blip xmlns:r="http://schemas.openxmlformats.org/officeDocument/2006/relationships" r:embed="rId235" cstate="print"/>
                    <a:stretch>
                      <a:fillRect/>
                    </a:stretch>
                  </pic:blipFill>
                  <pic:spPr>
                    <a:xfrm>
                      <a:off x="0" y="0"/>
                      <a:ext cx="41379" cy="41378"/>
                    </a:xfrm>
                    <a:prstGeom prst="rect">
                      <a:avLst/>
                    </a:prstGeom>
                  </pic:spPr>
                </pic:pic>
              </a:graphicData>
            </a:graphic>
          </wp:inline>
        </w:drawing>
      </w:r>
      <w:r>
        <w:rPr>
          <w:spacing w:val="63"/>
        </w:rPr>
        <w:t xml:space="preserve"> </w:t>
      </w:r>
      <w:r>
        <w:t>Detroit</w:t>
      </w:r>
      <w:r>
        <w:rPr>
          <w:spacing w:val="-11"/>
        </w:rPr>
        <w:t xml:space="preserve"> </w:t>
      </w:r>
      <w:r>
        <w:t>Public</w:t>
      </w:r>
      <w:r>
        <w:rPr>
          <w:spacing w:val="-11"/>
        </w:rPr>
        <w:t xml:space="preserve"> </w:t>
      </w:r>
      <w:r>
        <w:t>Schools,</w:t>
      </w:r>
      <w:r>
        <w:rPr>
          <w:spacing w:val="-11"/>
        </w:rPr>
        <w:t xml:space="preserve"> </w:t>
      </w:r>
      <w:r>
        <w:t>Michigan;</w:t>
      </w:r>
    </w:p>
    <w:p w:rsidR="003F5784" w14:paraId="2FBA9DF7" w14:textId="77777777">
      <w:pPr>
        <w:pStyle w:val="BodyText"/>
        <w:spacing w:before="1" w:line="232" w:lineRule="auto"/>
        <w:ind w:left="422" w:right="9393"/>
      </w:pPr>
      <w:r>
        <w:rPr>
          <w:noProof/>
          <w:position w:val="3"/>
        </w:rPr>
        <w:drawing>
          <wp:inline distT="0" distB="0" distL="0" distR="0">
            <wp:extent cx="41379" cy="41378"/>
            <wp:effectExtent l="0" t="0" r="0" b="0"/>
            <wp:docPr id="275" name="Image 275"/>
            <wp:cNvGraphicFramePr/>
            <a:graphic xmlns:a="http://schemas.openxmlformats.org/drawingml/2006/main">
              <a:graphicData uri="http://schemas.openxmlformats.org/drawingml/2006/picture">
                <pic:pic xmlns:pic="http://schemas.openxmlformats.org/drawingml/2006/picture">
                  <pic:nvPicPr>
                    <pic:cNvPr id="275" name="Image 275"/>
                    <pic:cNvPicPr/>
                  </pic:nvPicPr>
                  <pic:blipFill>
                    <a:blip xmlns:r="http://schemas.openxmlformats.org/officeDocument/2006/relationships" r:embed="rId236" cstate="print"/>
                    <a:stretch>
                      <a:fillRect/>
                    </a:stretch>
                  </pic:blipFill>
                  <pic:spPr>
                    <a:xfrm>
                      <a:off x="0" y="0"/>
                      <a:ext cx="41379" cy="41378"/>
                    </a:xfrm>
                    <a:prstGeom prst="rect">
                      <a:avLst/>
                    </a:prstGeom>
                  </pic:spPr>
                </pic:pic>
              </a:graphicData>
            </a:graphic>
          </wp:inline>
        </w:drawing>
      </w:r>
      <w:r>
        <w:rPr>
          <w:spacing w:val="74"/>
          <w:sz w:val="20"/>
        </w:rPr>
        <w:t xml:space="preserve"> </w:t>
      </w:r>
      <w:r>
        <w:t>District</w:t>
      </w:r>
      <w:r>
        <w:rPr>
          <w:spacing w:val="-8"/>
        </w:rPr>
        <w:t xml:space="preserve"> </w:t>
      </w:r>
      <w:r>
        <w:t>of</w:t>
      </w:r>
      <w:r>
        <w:rPr>
          <w:spacing w:val="-8"/>
        </w:rPr>
        <w:t xml:space="preserve"> </w:t>
      </w:r>
      <w:r>
        <w:t>Columbia</w:t>
      </w:r>
      <w:r>
        <w:rPr>
          <w:spacing w:val="-8"/>
        </w:rPr>
        <w:t xml:space="preserve"> </w:t>
      </w:r>
      <w:r>
        <w:t>Public</w:t>
      </w:r>
      <w:r>
        <w:rPr>
          <w:spacing w:val="-8"/>
        </w:rPr>
        <w:t xml:space="preserve"> </w:t>
      </w:r>
      <w:r>
        <w:t>Schools,</w:t>
      </w:r>
      <w:r>
        <w:rPr>
          <w:spacing w:val="-8"/>
        </w:rPr>
        <w:t xml:space="preserve"> </w:t>
      </w:r>
      <w:r>
        <w:t>District</w:t>
      </w:r>
      <w:r>
        <w:rPr>
          <w:spacing w:val="-8"/>
        </w:rPr>
        <w:t xml:space="preserve"> </w:t>
      </w:r>
      <w:r>
        <w:t>of</w:t>
      </w:r>
      <w:r>
        <w:rPr>
          <w:spacing w:val="-8"/>
        </w:rPr>
        <w:t xml:space="preserve"> </w:t>
      </w:r>
      <w:r>
        <w:t xml:space="preserve">Columbia; </w:t>
      </w:r>
      <w:r>
        <w:rPr>
          <w:noProof/>
          <w:position w:val="3"/>
        </w:rPr>
        <w:drawing>
          <wp:inline distT="0" distB="0" distL="0" distR="0">
            <wp:extent cx="41379" cy="41378"/>
            <wp:effectExtent l="0" t="0" r="0" b="0"/>
            <wp:docPr id="276" name="Image 276"/>
            <wp:cNvGraphicFramePr/>
            <a:graphic xmlns:a="http://schemas.openxmlformats.org/drawingml/2006/main">
              <a:graphicData uri="http://schemas.openxmlformats.org/drawingml/2006/picture">
                <pic:pic xmlns:pic="http://schemas.openxmlformats.org/drawingml/2006/picture">
                  <pic:nvPicPr>
                    <pic:cNvPr id="276" name="Image 276"/>
                    <pic:cNvPicPr/>
                  </pic:nvPicPr>
                  <pic:blipFill>
                    <a:blip xmlns:r="http://schemas.openxmlformats.org/officeDocument/2006/relationships" r:embed="rId224" cstate="print"/>
                    <a:stretch>
                      <a:fillRect/>
                    </a:stretch>
                  </pic:blipFill>
                  <pic:spPr>
                    <a:xfrm>
                      <a:off x="0" y="0"/>
                      <a:ext cx="41379" cy="41378"/>
                    </a:xfrm>
                    <a:prstGeom prst="rect">
                      <a:avLst/>
                    </a:prstGeom>
                  </pic:spPr>
                </pic:pic>
              </a:graphicData>
            </a:graphic>
          </wp:inline>
        </w:drawing>
      </w:r>
      <w:r>
        <w:rPr>
          <w:spacing w:val="80"/>
        </w:rPr>
        <w:t xml:space="preserve"> </w:t>
      </w:r>
      <w:r>
        <w:t>Duval County Public Schools, Florida;</w:t>
      </w:r>
    </w:p>
    <w:p w:rsidR="003F5784" w14:paraId="254AC8E6" w14:textId="77777777">
      <w:pPr>
        <w:pStyle w:val="BodyText"/>
        <w:spacing w:before="1" w:line="232" w:lineRule="auto"/>
        <w:ind w:left="422" w:right="10357"/>
      </w:pPr>
      <w:r>
        <w:rPr>
          <w:noProof/>
          <w:position w:val="3"/>
        </w:rPr>
        <w:drawing>
          <wp:inline distT="0" distB="0" distL="0" distR="0">
            <wp:extent cx="41379" cy="41378"/>
            <wp:effectExtent l="0" t="0" r="0" b="0"/>
            <wp:docPr id="277" name="Image 277"/>
            <wp:cNvGraphicFramePr/>
            <a:graphic xmlns:a="http://schemas.openxmlformats.org/drawingml/2006/main">
              <a:graphicData uri="http://schemas.openxmlformats.org/drawingml/2006/picture">
                <pic:pic xmlns:pic="http://schemas.openxmlformats.org/drawingml/2006/picture">
                  <pic:nvPicPr>
                    <pic:cNvPr id="277" name="Image 277"/>
                    <pic:cNvPicPr/>
                  </pic:nvPicPr>
                  <pic:blipFill>
                    <a:blip xmlns:r="http://schemas.openxmlformats.org/officeDocument/2006/relationships" r:embed="rId237" cstate="print"/>
                    <a:stretch>
                      <a:fillRect/>
                    </a:stretch>
                  </pic:blipFill>
                  <pic:spPr>
                    <a:xfrm>
                      <a:off x="0" y="0"/>
                      <a:ext cx="41379" cy="41378"/>
                    </a:xfrm>
                    <a:prstGeom prst="rect">
                      <a:avLst/>
                    </a:prstGeom>
                  </pic:spPr>
                </pic:pic>
              </a:graphicData>
            </a:graphic>
          </wp:inline>
        </w:drawing>
      </w:r>
      <w:r>
        <w:rPr>
          <w:spacing w:val="54"/>
          <w:sz w:val="20"/>
        </w:rPr>
        <w:t xml:space="preserve"> </w:t>
      </w:r>
      <w:r>
        <w:t>Fort</w:t>
      </w:r>
      <w:r>
        <w:rPr>
          <w:spacing w:val="-13"/>
        </w:rPr>
        <w:t xml:space="preserve"> </w:t>
      </w:r>
      <w:r>
        <w:t>Worth</w:t>
      </w:r>
      <w:r>
        <w:rPr>
          <w:spacing w:val="-13"/>
        </w:rPr>
        <w:t xml:space="preserve"> </w:t>
      </w:r>
      <w:r>
        <w:t>Independent</w:t>
      </w:r>
      <w:r>
        <w:rPr>
          <w:spacing w:val="-13"/>
        </w:rPr>
        <w:t xml:space="preserve"> </w:t>
      </w:r>
      <w:r>
        <w:t>School</w:t>
      </w:r>
      <w:r>
        <w:rPr>
          <w:spacing w:val="-13"/>
        </w:rPr>
        <w:t xml:space="preserve"> </w:t>
      </w:r>
      <w:r>
        <w:t>District,</w:t>
      </w:r>
      <w:r>
        <w:rPr>
          <w:spacing w:val="-14"/>
        </w:rPr>
        <w:t xml:space="preserve"> </w:t>
      </w:r>
      <w:r>
        <w:t xml:space="preserve">Texas; </w:t>
      </w:r>
      <w:r>
        <w:rPr>
          <w:noProof/>
          <w:position w:val="3"/>
        </w:rPr>
        <w:drawing>
          <wp:inline distT="0" distB="0" distL="0" distR="0">
            <wp:extent cx="41379" cy="41378"/>
            <wp:effectExtent l="0" t="0" r="0" b="0"/>
            <wp:docPr id="278" name="Image 278"/>
            <wp:cNvGraphicFramePr/>
            <a:graphic xmlns:a="http://schemas.openxmlformats.org/drawingml/2006/main">
              <a:graphicData uri="http://schemas.openxmlformats.org/drawingml/2006/picture">
                <pic:pic xmlns:pic="http://schemas.openxmlformats.org/drawingml/2006/picture">
                  <pic:nvPicPr>
                    <pic:cNvPr id="278" name="Image 278"/>
                    <pic:cNvPicPr/>
                  </pic:nvPicPr>
                  <pic:blipFill>
                    <a:blip xmlns:r="http://schemas.openxmlformats.org/officeDocument/2006/relationships" r:embed="rId238" cstate="print"/>
                    <a:stretch>
                      <a:fillRect/>
                    </a:stretch>
                  </pic:blipFill>
                  <pic:spPr>
                    <a:xfrm>
                      <a:off x="0" y="0"/>
                      <a:ext cx="41379" cy="41378"/>
                    </a:xfrm>
                    <a:prstGeom prst="rect">
                      <a:avLst/>
                    </a:prstGeom>
                  </pic:spPr>
                </pic:pic>
              </a:graphicData>
            </a:graphic>
          </wp:inline>
        </w:drawing>
      </w:r>
      <w:r>
        <w:rPr>
          <w:spacing w:val="80"/>
        </w:rPr>
        <w:t xml:space="preserve"> </w:t>
      </w:r>
      <w:r>
        <w:t>Guilford County Schools, North Carolina;</w:t>
      </w:r>
    </w:p>
    <w:p w:rsidR="003F5784" w14:paraId="4109F3ED" w14:textId="77777777">
      <w:pPr>
        <w:pStyle w:val="BodyText"/>
        <w:spacing w:line="232" w:lineRule="auto"/>
        <w:ind w:left="422" w:right="10477"/>
      </w:pPr>
      <w:r>
        <w:rPr>
          <w:noProof/>
          <w:position w:val="3"/>
        </w:rPr>
        <w:drawing>
          <wp:inline distT="0" distB="0" distL="0" distR="0">
            <wp:extent cx="41379" cy="41378"/>
            <wp:effectExtent l="0" t="0" r="0" b="0"/>
            <wp:docPr id="279" name="Image 279"/>
            <wp:cNvGraphicFramePr/>
            <a:graphic xmlns:a="http://schemas.openxmlformats.org/drawingml/2006/main">
              <a:graphicData uri="http://schemas.openxmlformats.org/drawingml/2006/picture">
                <pic:pic xmlns:pic="http://schemas.openxmlformats.org/drawingml/2006/picture">
                  <pic:nvPicPr>
                    <pic:cNvPr id="279" name="Image 279"/>
                    <pic:cNvPicPr/>
                  </pic:nvPicPr>
                  <pic:blipFill>
                    <a:blip xmlns:r="http://schemas.openxmlformats.org/officeDocument/2006/relationships" r:embed="rId239" cstate="print"/>
                    <a:stretch>
                      <a:fillRect/>
                    </a:stretch>
                  </pic:blipFill>
                  <pic:spPr>
                    <a:xfrm>
                      <a:off x="0" y="0"/>
                      <a:ext cx="41379" cy="41378"/>
                    </a:xfrm>
                    <a:prstGeom prst="rect">
                      <a:avLst/>
                    </a:prstGeom>
                  </pic:spPr>
                </pic:pic>
              </a:graphicData>
            </a:graphic>
          </wp:inline>
        </w:drawing>
      </w:r>
      <w:r>
        <w:rPr>
          <w:spacing w:val="68"/>
          <w:sz w:val="20"/>
        </w:rPr>
        <w:t xml:space="preserve"> </w:t>
      </w:r>
      <w:r>
        <w:t>Hillsborough</w:t>
      </w:r>
      <w:r>
        <w:rPr>
          <w:spacing w:val="-10"/>
        </w:rPr>
        <w:t xml:space="preserve"> </w:t>
      </w:r>
      <w:r>
        <w:t>County</w:t>
      </w:r>
      <w:r>
        <w:rPr>
          <w:spacing w:val="-10"/>
        </w:rPr>
        <w:t xml:space="preserve"> </w:t>
      </w:r>
      <w:r>
        <w:t>Public</w:t>
      </w:r>
      <w:r>
        <w:rPr>
          <w:spacing w:val="-10"/>
        </w:rPr>
        <w:t xml:space="preserve"> </w:t>
      </w:r>
      <w:r>
        <w:t>Schools,</w:t>
      </w:r>
      <w:r>
        <w:rPr>
          <w:spacing w:val="-10"/>
        </w:rPr>
        <w:t xml:space="preserve"> </w:t>
      </w:r>
      <w:r>
        <w:t xml:space="preserve">Florida; </w:t>
      </w:r>
      <w:r>
        <w:rPr>
          <w:noProof/>
          <w:position w:val="3"/>
        </w:rPr>
        <w:drawing>
          <wp:inline distT="0" distB="0" distL="0" distR="0">
            <wp:extent cx="41379" cy="41378"/>
            <wp:effectExtent l="0" t="0" r="0" b="0"/>
            <wp:docPr id="280" name="Image 280"/>
            <wp:cNvGraphicFramePr/>
            <a:graphic xmlns:a="http://schemas.openxmlformats.org/drawingml/2006/main">
              <a:graphicData uri="http://schemas.openxmlformats.org/drawingml/2006/picture">
                <pic:pic xmlns:pic="http://schemas.openxmlformats.org/drawingml/2006/picture">
                  <pic:nvPicPr>
                    <pic:cNvPr id="280" name="Image 280"/>
                    <pic:cNvPicPr/>
                  </pic:nvPicPr>
                  <pic:blipFill>
                    <a:blip xmlns:r="http://schemas.openxmlformats.org/officeDocument/2006/relationships" r:embed="rId240" cstate="print"/>
                    <a:stretch>
                      <a:fillRect/>
                    </a:stretch>
                  </pic:blipFill>
                  <pic:spPr>
                    <a:xfrm>
                      <a:off x="0" y="0"/>
                      <a:ext cx="41379" cy="41378"/>
                    </a:xfrm>
                    <a:prstGeom prst="rect">
                      <a:avLst/>
                    </a:prstGeom>
                  </pic:spPr>
                </pic:pic>
              </a:graphicData>
            </a:graphic>
          </wp:inline>
        </w:drawing>
      </w:r>
      <w:r>
        <w:rPr>
          <w:spacing w:val="80"/>
        </w:rPr>
        <w:t xml:space="preserve"> </w:t>
      </w:r>
      <w:r>
        <w:t>Houston Independent School District,</w:t>
      </w:r>
      <w:r>
        <w:rPr>
          <w:spacing w:val="-3"/>
        </w:rPr>
        <w:t xml:space="preserve"> </w:t>
      </w:r>
      <w:r>
        <w:t xml:space="preserve">Texas; </w:t>
      </w:r>
      <w:r>
        <w:rPr>
          <w:noProof/>
          <w:position w:val="3"/>
        </w:rPr>
        <w:drawing>
          <wp:inline distT="0" distB="0" distL="0" distR="0">
            <wp:extent cx="41379" cy="41378"/>
            <wp:effectExtent l="0" t="0" r="0" b="0"/>
            <wp:docPr id="281" name="Image 281"/>
            <wp:cNvGraphicFramePr/>
            <a:graphic xmlns:a="http://schemas.openxmlformats.org/drawingml/2006/main">
              <a:graphicData uri="http://schemas.openxmlformats.org/drawingml/2006/picture">
                <pic:pic xmlns:pic="http://schemas.openxmlformats.org/drawingml/2006/picture">
                  <pic:nvPicPr>
                    <pic:cNvPr id="281" name="Image 281"/>
                    <pic:cNvPicPr/>
                  </pic:nvPicPr>
                  <pic:blipFill>
                    <a:blip xmlns:r="http://schemas.openxmlformats.org/officeDocument/2006/relationships" r:embed="rId222" cstate="print"/>
                    <a:stretch>
                      <a:fillRect/>
                    </a:stretch>
                  </pic:blipFill>
                  <pic:spPr>
                    <a:xfrm>
                      <a:off x="0" y="0"/>
                      <a:ext cx="41379" cy="41378"/>
                    </a:xfrm>
                    <a:prstGeom prst="rect">
                      <a:avLst/>
                    </a:prstGeom>
                  </pic:spPr>
                </pic:pic>
              </a:graphicData>
            </a:graphic>
          </wp:inline>
        </w:drawing>
      </w:r>
      <w:r>
        <w:rPr>
          <w:spacing w:val="80"/>
        </w:rPr>
        <w:t xml:space="preserve"> </w:t>
      </w:r>
      <w:r>
        <w:t>Jefferson County Public Schools, Kentucky;</w:t>
      </w:r>
    </w:p>
    <w:p w:rsidR="003F5784" w14:paraId="35DF92CE" w14:textId="77777777">
      <w:pPr>
        <w:pStyle w:val="BodyText"/>
        <w:spacing w:before="2" w:line="232" w:lineRule="auto"/>
        <w:ind w:left="422" w:right="10263"/>
      </w:pPr>
      <w:r>
        <w:rPr>
          <w:noProof/>
          <w:position w:val="3"/>
        </w:rPr>
        <w:drawing>
          <wp:inline distT="0" distB="0" distL="0" distR="0">
            <wp:extent cx="41379" cy="41378"/>
            <wp:effectExtent l="0" t="0" r="0" b="0"/>
            <wp:docPr id="282" name="Image 282"/>
            <wp:cNvGraphicFramePr/>
            <a:graphic xmlns:a="http://schemas.openxmlformats.org/drawingml/2006/main">
              <a:graphicData uri="http://schemas.openxmlformats.org/drawingml/2006/picture">
                <pic:pic xmlns:pic="http://schemas.openxmlformats.org/drawingml/2006/picture">
                  <pic:nvPicPr>
                    <pic:cNvPr id="282" name="Image 282"/>
                    <pic:cNvPicPr/>
                  </pic:nvPicPr>
                  <pic:blipFill>
                    <a:blip xmlns:r="http://schemas.openxmlformats.org/officeDocument/2006/relationships" r:embed="rId241" cstate="print"/>
                    <a:stretch>
                      <a:fillRect/>
                    </a:stretch>
                  </pic:blipFill>
                  <pic:spPr>
                    <a:xfrm>
                      <a:off x="0" y="0"/>
                      <a:ext cx="41379" cy="41378"/>
                    </a:xfrm>
                    <a:prstGeom prst="rect">
                      <a:avLst/>
                    </a:prstGeom>
                  </pic:spPr>
                </pic:pic>
              </a:graphicData>
            </a:graphic>
          </wp:inline>
        </w:drawing>
      </w:r>
      <w:r>
        <w:rPr>
          <w:spacing w:val="65"/>
          <w:sz w:val="20"/>
        </w:rPr>
        <w:t xml:space="preserve"> </w:t>
      </w:r>
      <w:r>
        <w:t>Los</w:t>
      </w:r>
      <w:r>
        <w:rPr>
          <w:spacing w:val="-14"/>
        </w:rPr>
        <w:t xml:space="preserve"> </w:t>
      </w:r>
      <w:r>
        <w:t>Angeles</w:t>
      </w:r>
      <w:r>
        <w:rPr>
          <w:spacing w:val="-9"/>
        </w:rPr>
        <w:t xml:space="preserve"> </w:t>
      </w:r>
      <w:r>
        <w:t>Unified</w:t>
      </w:r>
      <w:r>
        <w:rPr>
          <w:spacing w:val="-10"/>
        </w:rPr>
        <w:t xml:space="preserve"> </w:t>
      </w:r>
      <w:r>
        <w:t>School</w:t>
      </w:r>
      <w:r>
        <w:rPr>
          <w:spacing w:val="-10"/>
        </w:rPr>
        <w:t xml:space="preserve"> </w:t>
      </w:r>
      <w:r>
        <w:t>District,</w:t>
      </w:r>
      <w:r>
        <w:rPr>
          <w:spacing w:val="-10"/>
        </w:rPr>
        <w:t xml:space="preserve"> </w:t>
      </w:r>
      <w:r>
        <w:t xml:space="preserve">California; </w:t>
      </w:r>
      <w:r>
        <w:rPr>
          <w:noProof/>
          <w:position w:val="3"/>
        </w:rPr>
        <w:drawing>
          <wp:inline distT="0" distB="0" distL="0" distR="0">
            <wp:extent cx="41379" cy="41378"/>
            <wp:effectExtent l="0" t="0" r="0" b="0"/>
            <wp:docPr id="283" name="Image 283"/>
            <wp:cNvGraphicFramePr/>
            <a:graphic xmlns:a="http://schemas.openxmlformats.org/drawingml/2006/main">
              <a:graphicData uri="http://schemas.openxmlformats.org/drawingml/2006/picture">
                <pic:pic xmlns:pic="http://schemas.openxmlformats.org/drawingml/2006/picture">
                  <pic:nvPicPr>
                    <pic:cNvPr id="283" name="Image 283"/>
                    <pic:cNvPicPr/>
                  </pic:nvPicPr>
                  <pic:blipFill>
                    <a:blip xmlns:r="http://schemas.openxmlformats.org/officeDocument/2006/relationships" r:embed="rId242" cstate="print"/>
                    <a:stretch>
                      <a:fillRect/>
                    </a:stretch>
                  </pic:blipFill>
                  <pic:spPr>
                    <a:xfrm>
                      <a:off x="0" y="0"/>
                      <a:ext cx="41379" cy="41378"/>
                    </a:xfrm>
                    <a:prstGeom prst="rect">
                      <a:avLst/>
                    </a:prstGeom>
                  </pic:spPr>
                </pic:pic>
              </a:graphicData>
            </a:graphic>
          </wp:inline>
        </w:drawing>
      </w:r>
      <w:r>
        <w:rPr>
          <w:spacing w:val="80"/>
        </w:rPr>
        <w:t xml:space="preserve"> </w:t>
      </w:r>
      <w:r>
        <w:t>Miami-Dade County Public Schools, Florida;</w:t>
      </w:r>
    </w:p>
    <w:p w:rsidR="003F5784" w14:paraId="5D0FBC28" w14:textId="77777777">
      <w:pPr>
        <w:pStyle w:val="BodyText"/>
        <w:spacing w:line="233" w:lineRule="exact"/>
        <w:ind w:left="422"/>
      </w:pPr>
      <w:r>
        <w:rPr>
          <w:noProof/>
          <w:position w:val="3"/>
        </w:rPr>
        <w:drawing>
          <wp:inline distT="0" distB="0" distL="0" distR="0">
            <wp:extent cx="41379" cy="41378"/>
            <wp:effectExtent l="0" t="0" r="0" b="0"/>
            <wp:docPr id="284" name="Image 284"/>
            <wp:cNvGraphicFramePr/>
            <a:graphic xmlns:a="http://schemas.openxmlformats.org/drawingml/2006/main">
              <a:graphicData uri="http://schemas.openxmlformats.org/drawingml/2006/picture">
                <pic:pic xmlns:pic="http://schemas.openxmlformats.org/drawingml/2006/picture">
                  <pic:nvPicPr>
                    <pic:cNvPr id="284" name="Image 284"/>
                    <pic:cNvPicPr/>
                  </pic:nvPicPr>
                  <pic:blipFill>
                    <a:blip xmlns:r="http://schemas.openxmlformats.org/officeDocument/2006/relationships" r:embed="rId243" cstate="print"/>
                    <a:stretch>
                      <a:fillRect/>
                    </a:stretch>
                  </pic:blipFill>
                  <pic:spPr>
                    <a:xfrm>
                      <a:off x="0" y="0"/>
                      <a:ext cx="41379" cy="41378"/>
                    </a:xfrm>
                    <a:prstGeom prst="rect">
                      <a:avLst/>
                    </a:prstGeom>
                  </pic:spPr>
                </pic:pic>
              </a:graphicData>
            </a:graphic>
          </wp:inline>
        </w:drawing>
      </w:r>
      <w:r>
        <w:rPr>
          <w:spacing w:val="80"/>
          <w:sz w:val="20"/>
        </w:rPr>
        <w:t xml:space="preserve"> </w:t>
      </w:r>
      <w:r>
        <w:t>Milwaukee Public Schools, Wisconsin;</w:t>
      </w:r>
    </w:p>
    <w:p w:rsidR="003F5784" w14:paraId="3FB223C5" w14:textId="77777777">
      <w:pPr>
        <w:pStyle w:val="BodyText"/>
        <w:spacing w:before="2" w:line="232" w:lineRule="auto"/>
        <w:ind w:left="422" w:right="9881"/>
      </w:pPr>
      <w:r>
        <w:rPr>
          <w:noProof/>
          <w:position w:val="3"/>
        </w:rPr>
        <w:drawing>
          <wp:inline distT="0" distB="0" distL="0" distR="0">
            <wp:extent cx="41379" cy="41378"/>
            <wp:effectExtent l="0" t="0" r="0" b="0"/>
            <wp:docPr id="285" name="Image 285"/>
            <wp:cNvGraphicFramePr/>
            <a:graphic xmlns:a="http://schemas.openxmlformats.org/drawingml/2006/main">
              <a:graphicData uri="http://schemas.openxmlformats.org/drawingml/2006/picture">
                <pic:pic xmlns:pic="http://schemas.openxmlformats.org/drawingml/2006/picture">
                  <pic:nvPicPr>
                    <pic:cNvPr id="285" name="Image 285"/>
                    <pic:cNvPicPr/>
                  </pic:nvPicPr>
                  <pic:blipFill>
                    <a:blip xmlns:r="http://schemas.openxmlformats.org/officeDocument/2006/relationships" r:embed="rId244" cstate="print"/>
                    <a:stretch>
                      <a:fillRect/>
                    </a:stretch>
                  </pic:blipFill>
                  <pic:spPr>
                    <a:xfrm>
                      <a:off x="0" y="0"/>
                      <a:ext cx="41379" cy="41378"/>
                    </a:xfrm>
                    <a:prstGeom prst="rect">
                      <a:avLst/>
                    </a:prstGeom>
                  </pic:spPr>
                </pic:pic>
              </a:graphicData>
            </a:graphic>
          </wp:inline>
        </w:drawing>
      </w:r>
      <w:r>
        <w:rPr>
          <w:spacing w:val="53"/>
          <w:sz w:val="20"/>
        </w:rPr>
        <w:t xml:space="preserve"> </w:t>
      </w:r>
      <w:r>
        <w:t>New</w:t>
      </w:r>
      <w:r>
        <w:rPr>
          <w:spacing w:val="-14"/>
        </w:rPr>
        <w:t xml:space="preserve"> </w:t>
      </w:r>
      <w:r>
        <w:t>York</w:t>
      </w:r>
      <w:r>
        <w:rPr>
          <w:spacing w:val="-11"/>
        </w:rPr>
        <w:t xml:space="preserve"> </w:t>
      </w:r>
      <w:r>
        <w:t>City</w:t>
      </w:r>
      <w:r>
        <w:rPr>
          <w:spacing w:val="-12"/>
        </w:rPr>
        <w:t xml:space="preserve"> </w:t>
      </w:r>
      <w:r>
        <w:t>Department</w:t>
      </w:r>
      <w:r>
        <w:rPr>
          <w:spacing w:val="-12"/>
        </w:rPr>
        <w:t xml:space="preserve"> </w:t>
      </w:r>
      <w:r>
        <w:t>of</w:t>
      </w:r>
      <w:r>
        <w:rPr>
          <w:spacing w:val="-12"/>
        </w:rPr>
        <w:t xml:space="preserve"> </w:t>
      </w:r>
      <w:r>
        <w:t>Education,</w:t>
      </w:r>
      <w:r>
        <w:rPr>
          <w:spacing w:val="-12"/>
        </w:rPr>
        <w:t xml:space="preserve"> </w:t>
      </w:r>
      <w:r>
        <w:t>New</w:t>
      </w:r>
      <w:r>
        <w:rPr>
          <w:spacing w:val="-14"/>
        </w:rPr>
        <w:t xml:space="preserve"> </w:t>
      </w:r>
      <w:r>
        <w:t xml:space="preserve">York; </w:t>
      </w:r>
      <w:r>
        <w:rPr>
          <w:noProof/>
          <w:position w:val="3"/>
        </w:rPr>
        <w:drawing>
          <wp:inline distT="0" distB="0" distL="0" distR="0">
            <wp:extent cx="41379" cy="41378"/>
            <wp:effectExtent l="0" t="0" r="0" b="0"/>
            <wp:docPr id="286" name="Image 286"/>
            <wp:cNvGraphicFramePr/>
            <a:graphic xmlns:a="http://schemas.openxmlformats.org/drawingml/2006/main">
              <a:graphicData uri="http://schemas.openxmlformats.org/drawingml/2006/picture">
                <pic:pic xmlns:pic="http://schemas.openxmlformats.org/drawingml/2006/picture">
                  <pic:nvPicPr>
                    <pic:cNvPr id="286" name="Image 286"/>
                    <pic:cNvPicPr/>
                  </pic:nvPicPr>
                  <pic:blipFill>
                    <a:blip xmlns:r="http://schemas.openxmlformats.org/officeDocument/2006/relationships" r:embed="rId245" cstate="print"/>
                    <a:stretch>
                      <a:fillRect/>
                    </a:stretch>
                  </pic:blipFill>
                  <pic:spPr>
                    <a:xfrm>
                      <a:off x="0" y="0"/>
                      <a:ext cx="41379" cy="41378"/>
                    </a:xfrm>
                    <a:prstGeom prst="rect">
                      <a:avLst/>
                    </a:prstGeom>
                  </pic:spPr>
                </pic:pic>
              </a:graphicData>
            </a:graphic>
          </wp:inline>
        </w:drawing>
      </w:r>
      <w:r>
        <w:rPr>
          <w:spacing w:val="80"/>
        </w:rPr>
        <w:t xml:space="preserve"> </w:t>
      </w:r>
      <w:r>
        <w:t>San Diego Unified School District, California;</w:t>
      </w:r>
    </w:p>
    <w:p w:rsidR="003F5784" w14:paraId="30132338" w14:textId="77777777">
      <w:pPr>
        <w:pStyle w:val="BodyText"/>
        <w:spacing w:before="1" w:line="232" w:lineRule="auto"/>
        <w:ind w:left="422" w:right="10098"/>
      </w:pPr>
      <w:r>
        <w:rPr>
          <w:noProof/>
          <w:position w:val="3"/>
        </w:rPr>
        <w:drawing>
          <wp:inline distT="0" distB="0" distL="0" distR="0">
            <wp:extent cx="41379" cy="41378"/>
            <wp:effectExtent l="0" t="0" r="0" b="0"/>
            <wp:docPr id="287" name="Image 287"/>
            <wp:cNvGraphicFramePr/>
            <a:graphic xmlns:a="http://schemas.openxmlformats.org/drawingml/2006/main">
              <a:graphicData uri="http://schemas.openxmlformats.org/drawingml/2006/picture">
                <pic:pic xmlns:pic="http://schemas.openxmlformats.org/drawingml/2006/picture">
                  <pic:nvPicPr>
                    <pic:cNvPr id="287" name="Image 287"/>
                    <pic:cNvPicPr/>
                  </pic:nvPicPr>
                  <pic:blipFill>
                    <a:blip xmlns:r="http://schemas.openxmlformats.org/officeDocument/2006/relationships" r:embed="rId246" cstate="print"/>
                    <a:stretch>
                      <a:fillRect/>
                    </a:stretch>
                  </pic:blipFill>
                  <pic:spPr>
                    <a:xfrm>
                      <a:off x="0" y="0"/>
                      <a:ext cx="41379" cy="41378"/>
                    </a:xfrm>
                    <a:prstGeom prst="rect">
                      <a:avLst/>
                    </a:prstGeom>
                  </pic:spPr>
                </pic:pic>
              </a:graphicData>
            </a:graphic>
          </wp:inline>
        </w:drawing>
      </w:r>
      <w:r>
        <w:rPr>
          <w:spacing w:val="70"/>
          <w:sz w:val="20"/>
        </w:rPr>
        <w:t xml:space="preserve"> </w:t>
      </w:r>
      <w:r>
        <w:t>School</w:t>
      </w:r>
      <w:r>
        <w:rPr>
          <w:spacing w:val="-9"/>
        </w:rPr>
        <w:t xml:space="preserve"> </w:t>
      </w:r>
      <w:r>
        <w:t>District</w:t>
      </w:r>
      <w:r>
        <w:rPr>
          <w:spacing w:val="-9"/>
        </w:rPr>
        <w:t xml:space="preserve"> </w:t>
      </w:r>
      <w:r>
        <w:t>of</w:t>
      </w:r>
      <w:r>
        <w:rPr>
          <w:spacing w:val="-9"/>
        </w:rPr>
        <w:t xml:space="preserve"> </w:t>
      </w:r>
      <w:r>
        <w:t>Philadelphia,</w:t>
      </w:r>
      <w:r>
        <w:rPr>
          <w:spacing w:val="-9"/>
        </w:rPr>
        <w:t xml:space="preserve"> </w:t>
      </w:r>
      <w:r>
        <w:t>Pennsylvania;</w:t>
      </w:r>
      <w:r>
        <w:rPr>
          <w:spacing w:val="-9"/>
        </w:rPr>
        <w:t xml:space="preserve"> </w:t>
      </w:r>
      <w:r>
        <w:t xml:space="preserve">and </w:t>
      </w:r>
      <w:r>
        <w:rPr>
          <w:noProof/>
          <w:position w:val="3"/>
        </w:rPr>
        <w:drawing>
          <wp:inline distT="0" distB="0" distL="0" distR="0">
            <wp:extent cx="41379" cy="41378"/>
            <wp:effectExtent l="0" t="0" r="0" b="0"/>
            <wp:docPr id="288" name="Image 288"/>
            <wp:cNvGraphicFramePr/>
            <a:graphic xmlns:a="http://schemas.openxmlformats.org/drawingml/2006/main">
              <a:graphicData uri="http://schemas.openxmlformats.org/drawingml/2006/picture">
                <pic:pic xmlns:pic="http://schemas.openxmlformats.org/drawingml/2006/picture">
                  <pic:nvPicPr>
                    <pic:cNvPr id="288" name="Image 288"/>
                    <pic:cNvPicPr/>
                  </pic:nvPicPr>
                  <pic:blipFill>
                    <a:blip xmlns:r="http://schemas.openxmlformats.org/officeDocument/2006/relationships" r:embed="rId247" cstate="print"/>
                    <a:stretch>
                      <a:fillRect/>
                    </a:stretch>
                  </pic:blipFill>
                  <pic:spPr>
                    <a:xfrm>
                      <a:off x="0" y="0"/>
                      <a:ext cx="41379" cy="41378"/>
                    </a:xfrm>
                    <a:prstGeom prst="rect">
                      <a:avLst/>
                    </a:prstGeom>
                  </pic:spPr>
                </pic:pic>
              </a:graphicData>
            </a:graphic>
          </wp:inline>
        </w:drawing>
      </w:r>
      <w:r>
        <w:rPr>
          <w:spacing w:val="80"/>
        </w:rPr>
        <w:t xml:space="preserve"> </w:t>
      </w:r>
      <w:r>
        <w:t>Shelby County Schools, Tennessee.</w:t>
      </w:r>
    </w:p>
    <w:p w:rsidR="003F5784" w14:paraId="693AEF56" w14:textId="77777777">
      <w:pPr>
        <w:pStyle w:val="BodyText"/>
        <w:spacing w:before="209" w:line="232" w:lineRule="auto"/>
        <w:ind w:left="109" w:right="179"/>
      </w:pPr>
      <w:r>
        <w:t>These</w:t>
      </w:r>
      <w:r>
        <w:rPr>
          <w:spacing w:val="-8"/>
        </w:rPr>
        <w:t xml:space="preserve"> </w:t>
      </w:r>
      <w:r>
        <w:t>subsamples</w:t>
      </w:r>
      <w:r>
        <w:rPr>
          <w:spacing w:val="-6"/>
        </w:rPr>
        <w:t xml:space="preserve"> </w:t>
      </w:r>
      <w:r>
        <w:t>affected</w:t>
      </w:r>
      <w:r>
        <w:rPr>
          <w:spacing w:val="-6"/>
        </w:rPr>
        <w:t xml:space="preserve"> </w:t>
      </w:r>
      <w:r>
        <w:t>the</w:t>
      </w:r>
      <w:r>
        <w:rPr>
          <w:spacing w:val="-6"/>
        </w:rPr>
        <w:t xml:space="preserve"> </w:t>
      </w:r>
      <w:r>
        <w:t>design</w:t>
      </w:r>
      <w:r>
        <w:rPr>
          <w:spacing w:val="-6"/>
        </w:rPr>
        <w:t xml:space="preserve"> </w:t>
      </w:r>
      <w:r>
        <w:t>of</w:t>
      </w:r>
      <w:r>
        <w:rPr>
          <w:spacing w:val="-6"/>
        </w:rPr>
        <w:t xml:space="preserve"> </w:t>
      </w:r>
      <w:r>
        <w:t>the</w:t>
      </w:r>
      <w:r>
        <w:rPr>
          <w:spacing w:val="-6"/>
        </w:rPr>
        <w:t xml:space="preserve"> </w:t>
      </w:r>
      <w:r>
        <w:t>state</w:t>
      </w:r>
      <w:r>
        <w:rPr>
          <w:spacing w:val="-6"/>
        </w:rPr>
        <w:t xml:space="preserve"> </w:t>
      </w:r>
      <w:r>
        <w:t>samples</w:t>
      </w:r>
      <w:r>
        <w:rPr>
          <w:spacing w:val="-6"/>
        </w:rPr>
        <w:t xml:space="preserve"> </w:t>
      </w:r>
      <w:r>
        <w:t>in</w:t>
      </w:r>
      <w:r>
        <w:rPr>
          <w:spacing w:val="-6"/>
        </w:rPr>
        <w:t xml:space="preserve"> </w:t>
      </w:r>
      <w:r>
        <w:t>those</w:t>
      </w:r>
      <w:r>
        <w:rPr>
          <w:spacing w:val="-6"/>
        </w:rPr>
        <w:t xml:space="preserve"> </w:t>
      </w:r>
      <w:r>
        <w:t>states</w:t>
      </w:r>
      <w:r>
        <w:rPr>
          <w:spacing w:val="-6"/>
        </w:rPr>
        <w:t xml:space="preserve"> </w:t>
      </w:r>
      <w:r>
        <w:t>where</w:t>
      </w:r>
      <w:r>
        <w:rPr>
          <w:spacing w:val="-10"/>
        </w:rPr>
        <w:t xml:space="preserve"> </w:t>
      </w:r>
      <w:r>
        <w:t>TUDA</w:t>
      </w:r>
      <w:r>
        <w:rPr>
          <w:spacing w:val="-14"/>
        </w:rPr>
        <w:t xml:space="preserve"> </w:t>
      </w:r>
      <w:r>
        <w:t>districts</w:t>
      </w:r>
      <w:r>
        <w:rPr>
          <w:spacing w:val="-5"/>
        </w:rPr>
        <w:t xml:space="preserve"> </w:t>
      </w:r>
      <w:r>
        <w:t>were</w:t>
      </w:r>
      <w:r>
        <w:rPr>
          <w:spacing w:val="-6"/>
        </w:rPr>
        <w:t xml:space="preserve"> </w:t>
      </w:r>
      <w:r>
        <w:t>oversampled.</w:t>
      </w:r>
      <w:r>
        <w:rPr>
          <w:spacing w:val="-6"/>
        </w:rPr>
        <w:t xml:space="preserve"> </w:t>
      </w:r>
      <w:r>
        <w:t>In</w:t>
      </w:r>
      <w:r>
        <w:rPr>
          <w:spacing w:val="-6"/>
        </w:rPr>
        <w:t xml:space="preserve"> </w:t>
      </w:r>
      <w:r>
        <w:t>each</w:t>
      </w:r>
      <w:r>
        <w:rPr>
          <w:spacing w:val="-6"/>
        </w:rPr>
        <w:t xml:space="preserve"> </w:t>
      </w:r>
      <w:r>
        <w:t>of</w:t>
      </w:r>
      <w:r>
        <w:rPr>
          <w:spacing w:val="-6"/>
        </w:rPr>
        <w:t xml:space="preserve"> </w:t>
      </w:r>
      <w:r>
        <w:t>these</w:t>
      </w:r>
      <w:r>
        <w:rPr>
          <w:spacing w:val="-6"/>
        </w:rPr>
        <w:t xml:space="preserve"> </w:t>
      </w:r>
      <w:r>
        <w:t>states,</w:t>
      </w:r>
      <w:r>
        <w:rPr>
          <w:spacing w:val="-6"/>
        </w:rPr>
        <w:t xml:space="preserve"> </w:t>
      </w:r>
      <w:r>
        <w:t>there</w:t>
      </w:r>
      <w:r>
        <w:rPr>
          <w:spacing w:val="-6"/>
        </w:rPr>
        <w:t xml:space="preserve"> </w:t>
      </w:r>
      <w:r>
        <w:t>were</w:t>
      </w:r>
      <w:r>
        <w:rPr>
          <w:spacing w:val="-6"/>
        </w:rPr>
        <w:t xml:space="preserve"> </w:t>
      </w:r>
      <w:r>
        <w:t>distinct</w:t>
      </w:r>
      <w:r>
        <w:rPr>
          <w:spacing w:val="-6"/>
        </w:rPr>
        <w:t xml:space="preserve"> </w:t>
      </w:r>
      <w:r>
        <w:t>sampling</w:t>
      </w:r>
      <w:r>
        <w:rPr>
          <w:spacing w:val="-6"/>
        </w:rPr>
        <w:t xml:space="preserve"> </w:t>
      </w:r>
      <w:r>
        <w:t>rates</w:t>
      </w:r>
      <w:r>
        <w:rPr>
          <w:spacing w:val="-6"/>
        </w:rPr>
        <w:t xml:space="preserve"> </w:t>
      </w:r>
      <w:r>
        <w:t>for each</w:t>
      </w:r>
      <w:r>
        <w:rPr>
          <w:spacing w:val="-4"/>
        </w:rPr>
        <w:t xml:space="preserve"> </w:t>
      </w:r>
      <w:r>
        <w:t>TUDA</w:t>
      </w:r>
      <w:r>
        <w:rPr>
          <w:spacing w:val="-11"/>
        </w:rPr>
        <w:t xml:space="preserve"> </w:t>
      </w:r>
      <w:r>
        <w:t>district and for the balance of the state (i.e., the rest of the state not in a</w:t>
      </w:r>
      <w:r>
        <w:rPr>
          <w:spacing w:val="-4"/>
        </w:rPr>
        <w:t xml:space="preserve"> </w:t>
      </w:r>
      <w:r>
        <w:t>TUDA</w:t>
      </w:r>
      <w:r>
        <w:rPr>
          <w:spacing w:val="-11"/>
        </w:rPr>
        <w:t xml:space="preserve"> </w:t>
      </w:r>
      <w:r>
        <w:t>district). For the six large</w:t>
      </w:r>
      <w:r>
        <w:rPr>
          <w:spacing w:val="-4"/>
        </w:rPr>
        <w:t xml:space="preserve"> </w:t>
      </w:r>
      <w:r>
        <w:t>TUDA</w:t>
      </w:r>
      <w:r>
        <w:rPr>
          <w:spacing w:val="-11"/>
        </w:rPr>
        <w:t xml:space="preserve"> </w:t>
      </w:r>
      <w:r>
        <w:t>districts (i.e., New</w:t>
      </w:r>
      <w:r>
        <w:rPr>
          <w:spacing w:val="-8"/>
        </w:rPr>
        <w:t xml:space="preserve"> </w:t>
      </w:r>
      <w:r>
        <w:t>York, Los</w:t>
      </w:r>
      <w:r>
        <w:rPr>
          <w:spacing w:val="-11"/>
        </w:rPr>
        <w:t xml:space="preserve"> </w:t>
      </w:r>
      <w:r>
        <w:t>Angeles, Chicago, Miami-Dade,</w:t>
      </w:r>
      <w:r>
        <w:rPr>
          <w:spacing w:val="-4"/>
        </w:rPr>
        <w:t xml:space="preserve"> </w:t>
      </w:r>
      <w:r>
        <w:t>Clark</w:t>
      </w:r>
      <w:r>
        <w:rPr>
          <w:spacing w:val="-4"/>
        </w:rPr>
        <w:t xml:space="preserve"> </w:t>
      </w:r>
      <w:r>
        <w:t>County,</w:t>
      </w:r>
      <w:r>
        <w:rPr>
          <w:spacing w:val="-4"/>
        </w:rPr>
        <w:t xml:space="preserve"> </w:t>
      </w:r>
      <w:r>
        <w:t>and</w:t>
      </w:r>
      <w:r>
        <w:rPr>
          <w:spacing w:val="-4"/>
        </w:rPr>
        <w:t xml:space="preserve"> </w:t>
      </w:r>
      <w:r>
        <w:t>Houston)</w:t>
      </w:r>
      <w:r>
        <w:rPr>
          <w:spacing w:val="-4"/>
        </w:rPr>
        <w:t xml:space="preserve"> </w:t>
      </w:r>
      <w:r>
        <w:t>the</w:t>
      </w:r>
      <w:r>
        <w:rPr>
          <w:spacing w:val="-4"/>
        </w:rPr>
        <w:t xml:space="preserve"> </w:t>
      </w:r>
      <w:r>
        <w:t>target</w:t>
      </w:r>
      <w:r>
        <w:rPr>
          <w:spacing w:val="-4"/>
        </w:rPr>
        <w:t xml:space="preserve"> </w:t>
      </w:r>
      <w:r>
        <w:t>assessed</w:t>
      </w:r>
      <w:r>
        <w:rPr>
          <w:spacing w:val="-4"/>
        </w:rPr>
        <w:t xml:space="preserve"> </w:t>
      </w:r>
      <w:r>
        <w:t>student</w:t>
      </w:r>
      <w:r>
        <w:rPr>
          <w:spacing w:val="-4"/>
        </w:rPr>
        <w:t xml:space="preserve"> </w:t>
      </w:r>
      <w:r>
        <w:t>sample</w:t>
      </w:r>
      <w:r>
        <w:rPr>
          <w:spacing w:val="-4"/>
        </w:rPr>
        <w:t xml:space="preserve"> </w:t>
      </w:r>
      <w:r>
        <w:t>size</w:t>
      </w:r>
      <w:r>
        <w:rPr>
          <w:spacing w:val="-4"/>
        </w:rPr>
        <w:t xml:space="preserve"> </w:t>
      </w:r>
      <w:r>
        <w:t>for</w:t>
      </w:r>
      <w:r>
        <w:rPr>
          <w:spacing w:val="-4"/>
        </w:rPr>
        <w:t xml:space="preserve"> </w:t>
      </w:r>
      <w:r>
        <w:t>the</w:t>
      </w:r>
      <w:r>
        <w:rPr>
          <w:spacing w:val="-4"/>
        </w:rPr>
        <w:t xml:space="preserve"> </w:t>
      </w:r>
      <w:r>
        <w:t>operational</w:t>
      </w:r>
      <w:r>
        <w:rPr>
          <w:spacing w:val="-4"/>
        </w:rPr>
        <w:t xml:space="preserve"> </w:t>
      </w:r>
      <w:r>
        <w:t>samples</w:t>
      </w:r>
      <w:r>
        <w:rPr>
          <w:spacing w:val="-4"/>
        </w:rPr>
        <w:t xml:space="preserve"> </w:t>
      </w:r>
      <w:r>
        <w:t>was</w:t>
      </w:r>
      <w:r>
        <w:rPr>
          <w:spacing w:val="-4"/>
        </w:rPr>
        <w:t xml:space="preserve"> </w:t>
      </w:r>
      <w:r>
        <w:t>three-quarters</w:t>
      </w:r>
      <w:r>
        <w:rPr>
          <w:spacing w:val="-4"/>
        </w:rPr>
        <w:t xml:space="preserve"> </w:t>
      </w:r>
      <w:r>
        <w:t>the</w:t>
      </w:r>
      <w:r>
        <w:rPr>
          <w:spacing w:val="-4"/>
        </w:rPr>
        <w:t xml:space="preserve"> </w:t>
      </w:r>
      <w:r>
        <w:t>size</w:t>
      </w:r>
      <w:r>
        <w:rPr>
          <w:spacing w:val="-4"/>
        </w:rPr>
        <w:t xml:space="preserve"> </w:t>
      </w:r>
      <w:r>
        <w:t>of</w:t>
      </w:r>
      <w:r>
        <w:rPr>
          <w:spacing w:val="-4"/>
        </w:rPr>
        <w:t xml:space="preserve"> </w:t>
      </w:r>
      <w:r>
        <w:t>the</w:t>
      </w:r>
      <w:r>
        <w:rPr>
          <w:spacing w:val="-4"/>
        </w:rPr>
        <w:t xml:space="preserve"> </w:t>
      </w:r>
      <w:r>
        <w:t>non-TUDA</w:t>
      </w:r>
      <w:r>
        <w:rPr>
          <w:spacing w:val="-14"/>
        </w:rPr>
        <w:t xml:space="preserve"> </w:t>
      </w:r>
      <w:r>
        <w:t>jurisdictions:</w:t>
      </w:r>
      <w:r>
        <w:rPr>
          <w:spacing w:val="-3"/>
        </w:rPr>
        <w:t xml:space="preserve"> </w:t>
      </w:r>
      <w:r>
        <w:t>2,625 per</w:t>
      </w:r>
      <w:r>
        <w:rPr>
          <w:spacing w:val="-1"/>
        </w:rPr>
        <w:t xml:space="preserve"> </w:t>
      </w:r>
      <w:r>
        <w:t>grade</w:t>
      </w:r>
      <w:r>
        <w:rPr>
          <w:spacing w:val="-1"/>
        </w:rPr>
        <w:t xml:space="preserve"> </w:t>
      </w:r>
      <w:r>
        <w:t>(i.e.,</w:t>
      </w:r>
      <w:r>
        <w:rPr>
          <w:spacing w:val="-1"/>
        </w:rPr>
        <w:t xml:space="preserve"> </w:t>
      </w:r>
      <w:r>
        <w:t>1,313</w:t>
      </w:r>
      <w:r>
        <w:rPr>
          <w:spacing w:val="-1"/>
        </w:rPr>
        <w:t xml:space="preserve"> </w:t>
      </w:r>
      <w:r>
        <w:t>per</w:t>
      </w:r>
      <w:r>
        <w:rPr>
          <w:spacing w:val="-1"/>
        </w:rPr>
        <w:t xml:space="preserve"> </w:t>
      </w:r>
      <w:r>
        <w:t>subject</w:t>
      </w:r>
      <w:r>
        <w:rPr>
          <w:spacing w:val="-1"/>
        </w:rPr>
        <w:t xml:space="preserve"> </w:t>
      </w:r>
      <w:r>
        <w:t>for</w:t>
      </w:r>
      <w:r>
        <w:rPr>
          <w:spacing w:val="-1"/>
        </w:rPr>
        <w:t xml:space="preserve"> </w:t>
      </w:r>
      <w:r>
        <w:t>each</w:t>
      </w:r>
      <w:r>
        <w:rPr>
          <w:spacing w:val="-1"/>
        </w:rPr>
        <w:t xml:space="preserve"> </w:t>
      </w:r>
      <w:r>
        <w:t>grade).</w:t>
      </w:r>
      <w:r>
        <w:rPr>
          <w:spacing w:val="-1"/>
        </w:rPr>
        <w:t xml:space="preserve"> </w:t>
      </w:r>
      <w:r>
        <w:t>For</w:t>
      </w:r>
      <w:r>
        <w:rPr>
          <w:spacing w:val="-1"/>
        </w:rPr>
        <w:t xml:space="preserve"> </w:t>
      </w:r>
      <w:r>
        <w:t>the</w:t>
      </w:r>
      <w:r>
        <w:rPr>
          <w:spacing w:val="-1"/>
        </w:rPr>
        <w:t xml:space="preserve"> </w:t>
      </w:r>
      <w:r>
        <w:t>remaining</w:t>
      </w:r>
      <w:r>
        <w:rPr>
          <w:spacing w:val="-5"/>
        </w:rPr>
        <w:t xml:space="preserve"> </w:t>
      </w:r>
      <w:r>
        <w:t>TUDA</w:t>
      </w:r>
      <w:r>
        <w:rPr>
          <w:spacing w:val="-12"/>
        </w:rPr>
        <w:t xml:space="preserve"> </w:t>
      </w:r>
      <w:r>
        <w:t>districts,</w:t>
      </w:r>
      <w:r>
        <w:rPr>
          <w:spacing w:val="-1"/>
        </w:rPr>
        <w:t xml:space="preserve"> </w:t>
      </w:r>
      <w:r>
        <w:t>the</w:t>
      </w:r>
      <w:r>
        <w:rPr>
          <w:spacing w:val="-1"/>
        </w:rPr>
        <w:t xml:space="preserve"> </w:t>
      </w:r>
      <w:r>
        <w:t>target</w:t>
      </w:r>
      <w:r>
        <w:rPr>
          <w:spacing w:val="-1"/>
        </w:rPr>
        <w:t xml:space="preserve"> </w:t>
      </w:r>
      <w:r>
        <w:t>assessed</w:t>
      </w:r>
      <w:r>
        <w:rPr>
          <w:spacing w:val="-1"/>
        </w:rPr>
        <w:t xml:space="preserve"> </w:t>
      </w:r>
      <w:r>
        <w:t>student</w:t>
      </w:r>
      <w:r>
        <w:rPr>
          <w:spacing w:val="-1"/>
        </w:rPr>
        <w:t xml:space="preserve"> </w:t>
      </w:r>
      <w:r>
        <w:t>sample</w:t>
      </w:r>
      <w:r>
        <w:rPr>
          <w:spacing w:val="-1"/>
        </w:rPr>
        <w:t xml:space="preserve"> </w:t>
      </w:r>
      <w:r>
        <w:t>size</w:t>
      </w:r>
      <w:r>
        <w:rPr>
          <w:spacing w:val="-1"/>
        </w:rPr>
        <w:t xml:space="preserve"> </w:t>
      </w:r>
      <w:r>
        <w:t>for</w:t>
      </w:r>
      <w:r>
        <w:rPr>
          <w:spacing w:val="-1"/>
        </w:rPr>
        <w:t xml:space="preserve"> </w:t>
      </w:r>
      <w:r>
        <w:t>the</w:t>
      </w:r>
      <w:r>
        <w:rPr>
          <w:spacing w:val="-1"/>
        </w:rPr>
        <w:t xml:space="preserve"> </w:t>
      </w:r>
      <w:r>
        <w:t>operational</w:t>
      </w:r>
      <w:r>
        <w:rPr>
          <w:spacing w:val="-1"/>
        </w:rPr>
        <w:t xml:space="preserve"> </w:t>
      </w:r>
      <w:r>
        <w:t>samples</w:t>
      </w:r>
      <w:r>
        <w:rPr>
          <w:spacing w:val="-1"/>
        </w:rPr>
        <w:t xml:space="preserve"> </w:t>
      </w:r>
      <w:r>
        <w:t>was</w:t>
      </w:r>
      <w:r>
        <w:rPr>
          <w:spacing w:val="-1"/>
        </w:rPr>
        <w:t xml:space="preserve"> </w:t>
      </w:r>
      <w:r>
        <w:t>half</w:t>
      </w:r>
      <w:r>
        <w:rPr>
          <w:spacing w:val="-1"/>
        </w:rPr>
        <w:t xml:space="preserve"> </w:t>
      </w:r>
      <w:r>
        <w:t>the</w:t>
      </w:r>
      <w:r>
        <w:rPr>
          <w:spacing w:val="-1"/>
        </w:rPr>
        <w:t xml:space="preserve"> </w:t>
      </w:r>
      <w:r>
        <w:t>size</w:t>
      </w:r>
      <w:r>
        <w:rPr>
          <w:spacing w:val="-1"/>
        </w:rPr>
        <w:t xml:space="preserve"> </w:t>
      </w:r>
      <w:r>
        <w:t>of</w:t>
      </w:r>
      <w:r>
        <w:rPr>
          <w:spacing w:val="-1"/>
        </w:rPr>
        <w:t xml:space="preserve"> </w:t>
      </w:r>
      <w:r>
        <w:t>the state sample: 1,750 per grade (i.e., 875 per subject for each grade).</w:t>
      </w:r>
    </w:p>
    <w:p w:rsidR="003F5784" w14:paraId="14FCA7D6" w14:textId="77777777">
      <w:pPr>
        <w:pStyle w:val="BodyText"/>
        <w:spacing w:before="210" w:line="232" w:lineRule="auto"/>
        <w:ind w:left="109" w:right="179"/>
      </w:pPr>
      <w:r>
        <w:t>Each</w:t>
      </w:r>
      <w:r>
        <w:rPr>
          <w:spacing w:val="-6"/>
        </w:rPr>
        <w:t xml:space="preserve"> </w:t>
      </w:r>
      <w:r>
        <w:t>selected</w:t>
      </w:r>
      <w:r>
        <w:rPr>
          <w:spacing w:val="-6"/>
        </w:rPr>
        <w:t xml:space="preserve"> </w:t>
      </w:r>
      <w:r>
        <w:t>school</w:t>
      </w:r>
      <w:r>
        <w:rPr>
          <w:spacing w:val="-6"/>
        </w:rPr>
        <w:t xml:space="preserve"> </w:t>
      </w:r>
      <w:r>
        <w:t>provided</w:t>
      </w:r>
      <w:r>
        <w:rPr>
          <w:spacing w:val="-6"/>
        </w:rPr>
        <w:t xml:space="preserve"> </w:t>
      </w:r>
      <w:r>
        <w:t>a</w:t>
      </w:r>
      <w:r>
        <w:rPr>
          <w:spacing w:val="-6"/>
        </w:rPr>
        <w:t xml:space="preserve"> </w:t>
      </w:r>
      <w:r>
        <w:t>list</w:t>
      </w:r>
      <w:r>
        <w:rPr>
          <w:spacing w:val="-6"/>
        </w:rPr>
        <w:t xml:space="preserve"> </w:t>
      </w:r>
      <w:r>
        <w:t>of</w:t>
      </w:r>
      <w:r>
        <w:rPr>
          <w:spacing w:val="-6"/>
        </w:rPr>
        <w:t xml:space="preserve"> </w:t>
      </w:r>
      <w:r>
        <w:t>eligible</w:t>
      </w:r>
      <w:r>
        <w:rPr>
          <w:spacing w:val="-6"/>
        </w:rPr>
        <w:t xml:space="preserve"> </w:t>
      </w:r>
      <w:r>
        <w:t>enrolled</w:t>
      </w:r>
      <w:r>
        <w:rPr>
          <w:spacing w:val="-6"/>
        </w:rPr>
        <w:t xml:space="preserve"> </w:t>
      </w:r>
      <w:r>
        <w:t>students</w:t>
      </w:r>
      <w:r>
        <w:rPr>
          <w:spacing w:val="-6"/>
        </w:rPr>
        <w:t xml:space="preserve"> </w:t>
      </w:r>
      <w:r>
        <w:t>from</w:t>
      </w:r>
      <w:r>
        <w:rPr>
          <w:spacing w:val="-6"/>
        </w:rPr>
        <w:t xml:space="preserve"> </w:t>
      </w:r>
      <w:r>
        <w:t>which</w:t>
      </w:r>
      <w:r>
        <w:rPr>
          <w:spacing w:val="-6"/>
        </w:rPr>
        <w:t xml:space="preserve"> </w:t>
      </w:r>
      <w:r>
        <w:t>a</w:t>
      </w:r>
      <w:r>
        <w:rPr>
          <w:spacing w:val="-6"/>
        </w:rPr>
        <w:t xml:space="preserve"> </w:t>
      </w:r>
      <w:r>
        <w:t>systematic</w:t>
      </w:r>
      <w:r>
        <w:rPr>
          <w:spacing w:val="-6"/>
        </w:rPr>
        <w:t xml:space="preserve"> </w:t>
      </w:r>
      <w:r>
        <w:t>sample</w:t>
      </w:r>
      <w:r>
        <w:rPr>
          <w:spacing w:val="-6"/>
        </w:rPr>
        <w:t xml:space="preserve"> </w:t>
      </w:r>
      <w:r>
        <w:t>of</w:t>
      </w:r>
      <w:r>
        <w:rPr>
          <w:spacing w:val="-6"/>
        </w:rPr>
        <w:t xml:space="preserve"> </w:t>
      </w:r>
      <w:r>
        <w:t>students</w:t>
      </w:r>
      <w:r>
        <w:rPr>
          <w:spacing w:val="-6"/>
        </w:rPr>
        <w:t xml:space="preserve"> </w:t>
      </w:r>
      <w:r>
        <w:t>was</w:t>
      </w:r>
      <w:r>
        <w:rPr>
          <w:spacing w:val="-6"/>
        </w:rPr>
        <w:t xml:space="preserve"> </w:t>
      </w:r>
      <w:r>
        <w:t>drawn.</w:t>
      </w:r>
      <w:r>
        <w:rPr>
          <w:spacing w:val="-6"/>
        </w:rPr>
        <w:t xml:space="preserve"> </w:t>
      </w:r>
      <w:r>
        <w:t>In</w:t>
      </w:r>
      <w:r>
        <w:rPr>
          <w:spacing w:val="-6"/>
        </w:rPr>
        <w:t xml:space="preserve"> </w:t>
      </w:r>
      <w:r>
        <w:t>fourth-</w:t>
      </w:r>
      <w:r>
        <w:rPr>
          <w:spacing w:val="-6"/>
        </w:rPr>
        <w:t xml:space="preserve"> </w:t>
      </w:r>
      <w:r>
        <w:t>and</w:t>
      </w:r>
      <w:r>
        <w:rPr>
          <w:spacing w:val="-6"/>
        </w:rPr>
        <w:t xml:space="preserve"> </w:t>
      </w:r>
      <w:r>
        <w:t>eighth-grade</w:t>
      </w:r>
      <w:r>
        <w:rPr>
          <w:spacing w:val="-6"/>
        </w:rPr>
        <w:t xml:space="preserve"> </w:t>
      </w:r>
      <w:r>
        <w:t>schools,</w:t>
      </w:r>
      <w:r>
        <w:rPr>
          <w:spacing w:val="-6"/>
        </w:rPr>
        <w:t xml:space="preserve"> </w:t>
      </w:r>
      <w:r>
        <w:t>50</w:t>
      </w:r>
      <w:r>
        <w:rPr>
          <w:spacing w:val="-6"/>
        </w:rPr>
        <w:t xml:space="preserve"> </w:t>
      </w:r>
      <w:r>
        <w:t>students,</w:t>
      </w:r>
      <w:r>
        <w:rPr>
          <w:spacing w:val="-6"/>
        </w:rPr>
        <w:t xml:space="preserve"> </w:t>
      </w:r>
      <w:r>
        <w:t>if possible, were selected from each school: roughly 25 for mathematics and 25 for reading. In some very large schools, multiples of 50 students (i.e., 100, 150, etc.) were selected. Details can be found on the student sample selection page.</w:t>
      </w:r>
    </w:p>
    <w:p w:rsidR="003F5784" w14:paraId="3BBF7E4E" w14:textId="77777777">
      <w:pPr>
        <w:spacing w:line="232" w:lineRule="auto"/>
        <w:sectPr>
          <w:headerReference w:type="default" r:id="rId248"/>
          <w:footerReference w:type="default" r:id="rId249"/>
          <w:pgSz w:w="15840" w:h="12240" w:orient="landscape"/>
          <w:pgMar w:top="480" w:right="440" w:bottom="460" w:left="460" w:header="284" w:footer="275" w:gutter="0"/>
          <w:cols w:space="720"/>
        </w:sectPr>
      </w:pPr>
    </w:p>
    <w:p w:rsidR="003F5784" w14:paraId="3C5D4DB4" w14:textId="77777777">
      <w:pPr>
        <w:pStyle w:val="BodyText"/>
        <w:rPr>
          <w:sz w:val="18"/>
        </w:rPr>
      </w:pPr>
    </w:p>
    <w:p w:rsidR="003F5784" w14:paraId="627AC449" w14:textId="77777777">
      <w:pPr>
        <w:pStyle w:val="BodyText"/>
        <w:rPr>
          <w:sz w:val="18"/>
        </w:rPr>
      </w:pPr>
    </w:p>
    <w:p w:rsidR="003F5784" w14:paraId="1AC912D1" w14:textId="77777777">
      <w:pPr>
        <w:pStyle w:val="BodyText"/>
        <w:spacing w:before="118"/>
        <w:rPr>
          <w:sz w:val="18"/>
        </w:rPr>
      </w:pPr>
    </w:p>
    <w:p w:rsidR="003F5784" w14:paraId="2EE39DCA" w14:textId="77777777">
      <w:pPr>
        <w:ind w:left="6167"/>
        <w:rPr>
          <w:sz w:val="18"/>
        </w:rPr>
      </w:pPr>
      <w:hyperlink r:id="rId250">
        <w:r>
          <w:rPr>
            <w:spacing w:val="-2"/>
            <w:w w:val="105"/>
            <w:sz w:val="18"/>
          </w:rPr>
          <w:t>http://nces.ed.gov/nationsreportcard/tdw/sample_design/2022/sample_design_for_the_2022_state_assessment.aspx</w:t>
        </w:r>
      </w:hyperlink>
    </w:p>
    <w:p w:rsidR="003F5784" w14:paraId="6D291B42" w14:textId="77777777">
      <w:pPr>
        <w:pStyle w:val="BodyText"/>
        <w:rPr>
          <w:sz w:val="16"/>
        </w:rPr>
      </w:pPr>
      <w:r>
        <w:rPr>
          <w:noProof/>
        </w:rPr>
        <mc:AlternateContent>
          <mc:Choice Requires="wps">
            <w:drawing>
              <wp:anchor distT="0" distB="0" distL="0" distR="0" simplePos="0" relativeHeight="251911168" behindDoc="1" locked="0" layoutInCell="1" allowOverlap="1">
                <wp:simplePos x="0" y="0"/>
                <wp:positionH relativeFrom="page">
                  <wp:posOffset>361937</wp:posOffset>
                </wp:positionH>
                <wp:positionV relativeFrom="paragraph">
                  <wp:posOffset>132565</wp:posOffset>
                </wp:positionV>
                <wp:extent cx="9339580" cy="8890"/>
                <wp:effectExtent l="0" t="0" r="0" b="0"/>
                <wp:wrapTopAndBottom/>
                <wp:docPr id="289" name="Graphic 289"/>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50"/>
                              </a:moveTo>
                              <a:lnTo>
                                <a:pt x="9335110" y="50"/>
                              </a:lnTo>
                              <a:lnTo>
                                <a:pt x="8280" y="50"/>
                              </a:lnTo>
                              <a:lnTo>
                                <a:pt x="0" y="0"/>
                              </a:lnTo>
                              <a:lnTo>
                                <a:pt x="0" y="8267"/>
                              </a:lnTo>
                              <a:lnTo>
                                <a:pt x="9335110" y="8331"/>
                              </a:lnTo>
                              <a:lnTo>
                                <a:pt x="9338970" y="8331"/>
                              </a:lnTo>
                              <a:lnTo>
                                <a:pt x="9338970" y="5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89" o:spid="_x0000_s1126" style="width:735.4pt;height:0.7pt;margin-top:10.45pt;margin-left:28.5pt;mso-position-horizontal-relative:page;mso-wrap-distance-bottom:0;mso-wrap-distance-left:0;mso-wrap-distance-right:0;mso-wrap-distance-top:0;mso-wrap-style:square;position:absolute;visibility:visible;v-text-anchor:top;z-index:-251404288" coordsize="9339580,8890" path="m9338970,50l9335110,50l8280,50,,,,8267l9335110,8331l9338970,8331l9338970,50xe" fillcolor="gray" stroked="f">
                <v:path arrowok="t"/>
                <w10:wrap type="topAndBottom"/>
              </v:shape>
            </w:pict>
          </mc:Fallback>
        </mc:AlternateContent>
      </w:r>
    </w:p>
    <w:p w:rsidR="003F5784" w14:paraId="5D079AC0" w14:textId="77777777">
      <w:pPr>
        <w:pStyle w:val="BodyText"/>
        <w:rPr>
          <w:sz w:val="18"/>
        </w:rPr>
      </w:pPr>
    </w:p>
    <w:p w:rsidR="003F5784" w14:paraId="07C8A79F" w14:textId="77777777">
      <w:pPr>
        <w:pStyle w:val="BodyText"/>
        <w:spacing w:before="193"/>
        <w:rPr>
          <w:sz w:val="18"/>
        </w:rPr>
      </w:pPr>
    </w:p>
    <w:p w:rsidR="003F5784" w14:paraId="37D33982" w14:textId="556B1D06">
      <w:pPr>
        <w:pStyle w:val="Heading1"/>
      </w:pPr>
      <w:r>
        <w:t>NAEP</w:t>
      </w:r>
      <w:r>
        <w:rPr>
          <w:spacing w:val="-22"/>
        </w:rPr>
        <w:t xml:space="preserve"> </w:t>
      </w:r>
      <w:r>
        <w:t>Technical</w:t>
      </w:r>
      <w:r>
        <w:rPr>
          <w:spacing w:val="10"/>
        </w:rPr>
        <w:t xml:space="preserve"> </w:t>
      </w:r>
      <w:r>
        <w:t>Documentation</w:t>
      </w:r>
      <w:r w:rsidR="004C039D">
        <w:t xml:space="preserve"> </w:t>
      </w:r>
      <w:r>
        <w:t>Ineligible</w:t>
      </w:r>
      <w:r>
        <w:rPr>
          <w:spacing w:val="11"/>
        </w:rPr>
        <w:t xml:space="preserve"> </w:t>
      </w:r>
      <w:r>
        <w:t>Schools</w:t>
      </w:r>
      <w:r>
        <w:rPr>
          <w:spacing w:val="11"/>
        </w:rPr>
        <w:t xml:space="preserve"> </w:t>
      </w:r>
      <w:r>
        <w:t>for</w:t>
      </w:r>
      <w:r>
        <w:rPr>
          <w:spacing w:val="4"/>
        </w:rPr>
        <w:t xml:space="preserve"> </w:t>
      </w:r>
      <w:r>
        <w:t>the</w:t>
      </w:r>
      <w:r>
        <w:rPr>
          <w:spacing w:val="10"/>
        </w:rPr>
        <w:t xml:space="preserve"> </w:t>
      </w:r>
      <w:r>
        <w:t>2022</w:t>
      </w:r>
      <w:r>
        <w:rPr>
          <w:spacing w:val="11"/>
        </w:rPr>
        <w:t xml:space="preserve"> </w:t>
      </w:r>
      <w:r>
        <w:t>State</w:t>
      </w:r>
      <w:r>
        <w:rPr>
          <w:spacing w:val="-14"/>
        </w:rPr>
        <w:t xml:space="preserve"> </w:t>
      </w:r>
      <w:r>
        <w:rPr>
          <w:spacing w:val="-2"/>
        </w:rPr>
        <w:t>Assessment</w:t>
      </w:r>
    </w:p>
    <w:p w:rsidR="003F5784" w14:paraId="3D51F34A" w14:textId="77777777">
      <w:pPr>
        <w:pStyle w:val="BodyText"/>
        <w:spacing w:before="4"/>
        <w:rPr>
          <w:b/>
          <w:sz w:val="17"/>
        </w:rPr>
      </w:pPr>
    </w:p>
    <w:p w:rsidR="003F5784" w14:paraId="0BEF272B" w14:textId="77777777">
      <w:pPr>
        <w:rPr>
          <w:sz w:val="17"/>
        </w:rPr>
        <w:sectPr>
          <w:pgSz w:w="15840" w:h="12240" w:orient="landscape"/>
          <w:pgMar w:top="480" w:right="440" w:bottom="460" w:left="460" w:header="284" w:footer="275" w:gutter="0"/>
          <w:cols w:space="720"/>
        </w:sectPr>
      </w:pPr>
    </w:p>
    <w:p w:rsidR="003F5784" w14:paraId="70BE4275" w14:textId="77777777">
      <w:pPr>
        <w:pStyle w:val="BodyText"/>
        <w:spacing w:before="95" w:line="232" w:lineRule="auto"/>
        <w:ind w:left="109" w:right="38"/>
      </w:pPr>
      <w:r>
        <w:t>The</w:t>
      </w:r>
      <w:r>
        <w:rPr>
          <w:spacing w:val="-7"/>
        </w:rPr>
        <w:t xml:space="preserve"> </w:t>
      </w:r>
      <w:r>
        <w:rPr>
          <w:color w:val="0066CC"/>
        </w:rPr>
        <w:t>Common</w:t>
      </w:r>
      <w:r>
        <w:rPr>
          <w:color w:val="0066CC"/>
          <w:spacing w:val="-7"/>
        </w:rPr>
        <w:t xml:space="preserve"> </w:t>
      </w:r>
      <w:r>
        <w:rPr>
          <w:color w:val="0066CC"/>
        </w:rPr>
        <w:t>Core</w:t>
      </w:r>
      <w:r>
        <w:rPr>
          <w:color w:val="0066CC"/>
          <w:spacing w:val="-7"/>
        </w:rPr>
        <w:t xml:space="preserve"> </w:t>
      </w:r>
      <w:r>
        <w:rPr>
          <w:color w:val="0066CC"/>
        </w:rPr>
        <w:t>of</w:t>
      </w:r>
      <w:r>
        <w:rPr>
          <w:color w:val="0066CC"/>
          <w:spacing w:val="-7"/>
        </w:rPr>
        <w:t xml:space="preserve"> </w:t>
      </w:r>
      <w:r>
        <w:rPr>
          <w:color w:val="0066CC"/>
        </w:rPr>
        <w:t>Data</w:t>
      </w:r>
      <w:r>
        <w:rPr>
          <w:color w:val="0066CC"/>
          <w:spacing w:val="-7"/>
        </w:rPr>
        <w:t xml:space="preserve"> </w:t>
      </w:r>
      <w:r>
        <w:rPr>
          <w:color w:val="0066CC"/>
        </w:rPr>
        <w:t>(CCD)-based</w:t>
      </w:r>
      <w:r>
        <w:rPr>
          <w:color w:val="0066CC"/>
          <w:spacing w:val="-7"/>
        </w:rPr>
        <w:t xml:space="preserve"> </w:t>
      </w:r>
      <w:r>
        <w:rPr>
          <w:color w:val="0066CC"/>
        </w:rPr>
        <w:t>sampling</w:t>
      </w:r>
      <w:r>
        <w:rPr>
          <w:color w:val="0066CC"/>
          <w:spacing w:val="-7"/>
        </w:rPr>
        <w:t xml:space="preserve"> </w:t>
      </w:r>
      <w:r>
        <w:rPr>
          <w:color w:val="0066CC"/>
        </w:rPr>
        <w:t>frames</w:t>
      </w:r>
      <w:r>
        <w:t>,</w:t>
      </w:r>
      <w:r>
        <w:rPr>
          <w:spacing w:val="-7"/>
        </w:rPr>
        <w:t xml:space="preserve"> </w:t>
      </w:r>
      <w:r>
        <w:t>from</w:t>
      </w:r>
      <w:r>
        <w:rPr>
          <w:spacing w:val="-7"/>
        </w:rPr>
        <w:t xml:space="preserve"> </w:t>
      </w:r>
      <w:r>
        <w:t>which</w:t>
      </w:r>
      <w:r>
        <w:rPr>
          <w:spacing w:val="-7"/>
        </w:rPr>
        <w:t xml:space="preserve"> </w:t>
      </w:r>
      <w:r>
        <w:t>most</w:t>
      </w:r>
      <w:r>
        <w:rPr>
          <w:spacing w:val="-7"/>
        </w:rPr>
        <w:t xml:space="preserve"> </w:t>
      </w:r>
      <w:r>
        <w:t>of</w:t>
      </w:r>
      <w:r>
        <w:rPr>
          <w:spacing w:val="-7"/>
        </w:rPr>
        <w:t xml:space="preserve"> </w:t>
      </w:r>
      <w:r>
        <w:t>the</w:t>
      </w:r>
      <w:r>
        <w:rPr>
          <w:spacing w:val="-7"/>
        </w:rPr>
        <w:t xml:space="preserve"> </w:t>
      </w:r>
      <w:r>
        <w:t>sampled</w:t>
      </w:r>
      <w:r>
        <w:rPr>
          <w:spacing w:val="-7"/>
        </w:rPr>
        <w:t xml:space="preserve"> </w:t>
      </w:r>
      <w:r>
        <w:t>schools</w:t>
      </w:r>
      <w:r>
        <w:rPr>
          <w:spacing w:val="-7"/>
        </w:rPr>
        <w:t xml:space="preserve"> </w:t>
      </w:r>
      <w:r>
        <w:t>were</w:t>
      </w:r>
      <w:r>
        <w:rPr>
          <w:spacing w:val="-7"/>
        </w:rPr>
        <w:t xml:space="preserve"> </w:t>
      </w:r>
      <w:r>
        <w:t>drawn,</w:t>
      </w:r>
      <w:r>
        <w:rPr>
          <w:spacing w:val="-7"/>
        </w:rPr>
        <w:t xml:space="preserve"> </w:t>
      </w:r>
      <w:r>
        <w:t>corresponds</w:t>
      </w:r>
      <w:r>
        <w:rPr>
          <w:spacing w:val="-7"/>
        </w:rPr>
        <w:t xml:space="preserve"> </w:t>
      </w:r>
      <w:r>
        <w:t>to the</w:t>
      </w:r>
      <w:r>
        <w:rPr>
          <w:spacing w:val="-2"/>
        </w:rPr>
        <w:t xml:space="preserve"> </w:t>
      </w:r>
      <w:r>
        <w:t>2019–2020</w:t>
      </w:r>
      <w:r>
        <w:rPr>
          <w:spacing w:val="-2"/>
        </w:rPr>
        <w:t xml:space="preserve"> </w:t>
      </w:r>
      <w:r>
        <w:t>school</w:t>
      </w:r>
      <w:r>
        <w:rPr>
          <w:spacing w:val="-2"/>
        </w:rPr>
        <w:t xml:space="preserve"> </w:t>
      </w:r>
      <w:r>
        <w:t>year,</w:t>
      </w:r>
      <w:r>
        <w:rPr>
          <w:spacing w:val="-2"/>
        </w:rPr>
        <w:t xml:space="preserve"> </w:t>
      </w:r>
      <w:r>
        <w:t>two</w:t>
      </w:r>
      <w:r>
        <w:rPr>
          <w:spacing w:val="-2"/>
        </w:rPr>
        <w:t xml:space="preserve"> </w:t>
      </w:r>
      <w:r>
        <w:t>years</w:t>
      </w:r>
      <w:r>
        <w:rPr>
          <w:spacing w:val="-2"/>
        </w:rPr>
        <w:t xml:space="preserve"> </w:t>
      </w:r>
      <w:r>
        <w:t>prior</w:t>
      </w:r>
      <w:r>
        <w:rPr>
          <w:spacing w:val="-2"/>
        </w:rPr>
        <w:t xml:space="preserve"> </w:t>
      </w:r>
      <w:r>
        <w:t>to</w:t>
      </w:r>
      <w:r>
        <w:rPr>
          <w:spacing w:val="-2"/>
        </w:rPr>
        <w:t xml:space="preserve"> </w:t>
      </w:r>
      <w:r>
        <w:t>the</w:t>
      </w:r>
      <w:r>
        <w:rPr>
          <w:spacing w:val="-2"/>
        </w:rPr>
        <w:t xml:space="preserve"> </w:t>
      </w:r>
      <w:r>
        <w:t>assessment</w:t>
      </w:r>
      <w:r>
        <w:rPr>
          <w:spacing w:val="-2"/>
        </w:rPr>
        <w:t xml:space="preserve"> </w:t>
      </w:r>
      <w:r>
        <w:t>school</w:t>
      </w:r>
      <w:r>
        <w:rPr>
          <w:spacing w:val="-2"/>
        </w:rPr>
        <w:t xml:space="preserve"> </w:t>
      </w:r>
      <w:r>
        <w:t>year.</w:t>
      </w:r>
      <w:r>
        <w:rPr>
          <w:spacing w:val="-2"/>
        </w:rPr>
        <w:t xml:space="preserve"> </w:t>
      </w:r>
      <w:r>
        <w:t>During</w:t>
      </w:r>
      <w:r>
        <w:rPr>
          <w:spacing w:val="-2"/>
        </w:rPr>
        <w:t xml:space="preserve"> </w:t>
      </w:r>
      <w:r>
        <w:t>the</w:t>
      </w:r>
      <w:r>
        <w:rPr>
          <w:spacing w:val="-2"/>
        </w:rPr>
        <w:t xml:space="preserve"> </w:t>
      </w:r>
      <w:r>
        <w:t>intervening</w:t>
      </w:r>
      <w:r>
        <w:rPr>
          <w:spacing w:val="-2"/>
        </w:rPr>
        <w:t xml:space="preserve"> </w:t>
      </w:r>
      <w:r>
        <w:t>period,</w:t>
      </w:r>
      <w:r>
        <w:rPr>
          <w:spacing w:val="-2"/>
        </w:rPr>
        <w:t xml:space="preserve"> </w:t>
      </w:r>
      <w:r>
        <w:t>some</w:t>
      </w:r>
      <w:r>
        <w:rPr>
          <w:spacing w:val="-2"/>
        </w:rPr>
        <w:t xml:space="preserve"> </w:t>
      </w:r>
      <w:r>
        <w:t>of</w:t>
      </w:r>
      <w:r>
        <w:rPr>
          <w:spacing w:val="-2"/>
        </w:rPr>
        <w:t xml:space="preserve"> </w:t>
      </w:r>
      <w:r>
        <w:t>these</w:t>
      </w:r>
      <w:r>
        <w:rPr>
          <w:spacing w:val="-2"/>
        </w:rPr>
        <w:t xml:space="preserve"> </w:t>
      </w:r>
      <w:r>
        <w:t>schools either</w:t>
      </w:r>
      <w:r>
        <w:rPr>
          <w:spacing w:val="-2"/>
        </w:rPr>
        <w:t xml:space="preserve"> </w:t>
      </w:r>
      <w:r>
        <w:t>closed,</w:t>
      </w:r>
      <w:r>
        <w:rPr>
          <w:spacing w:val="-2"/>
        </w:rPr>
        <w:t xml:space="preserve"> </w:t>
      </w:r>
      <w:r>
        <w:t>no</w:t>
      </w:r>
      <w:r>
        <w:rPr>
          <w:spacing w:val="-2"/>
        </w:rPr>
        <w:t xml:space="preserve"> </w:t>
      </w:r>
      <w:r>
        <w:t>longer</w:t>
      </w:r>
      <w:r>
        <w:rPr>
          <w:spacing w:val="-2"/>
        </w:rPr>
        <w:t xml:space="preserve"> </w:t>
      </w:r>
      <w:r>
        <w:t>offered</w:t>
      </w:r>
      <w:r>
        <w:rPr>
          <w:spacing w:val="-2"/>
        </w:rPr>
        <w:t xml:space="preserve"> </w:t>
      </w:r>
      <w:r>
        <w:t>the</w:t>
      </w:r>
      <w:r>
        <w:rPr>
          <w:spacing w:val="-2"/>
        </w:rPr>
        <w:t xml:space="preserve"> </w:t>
      </w:r>
      <w:r>
        <w:t>grade</w:t>
      </w:r>
      <w:r>
        <w:rPr>
          <w:spacing w:val="-2"/>
        </w:rPr>
        <w:t xml:space="preserve"> </w:t>
      </w:r>
      <w:r>
        <w:t>of</w:t>
      </w:r>
      <w:r>
        <w:rPr>
          <w:spacing w:val="-2"/>
        </w:rPr>
        <w:t xml:space="preserve"> </w:t>
      </w:r>
      <w:r>
        <w:t>interest,</w:t>
      </w:r>
      <w:r>
        <w:rPr>
          <w:spacing w:val="-2"/>
        </w:rPr>
        <w:t xml:space="preserve"> </w:t>
      </w:r>
      <w:r>
        <w:t>or</w:t>
      </w:r>
      <w:r>
        <w:rPr>
          <w:spacing w:val="-2"/>
        </w:rPr>
        <w:t xml:space="preserve"> </w:t>
      </w:r>
      <w:r>
        <w:t>were</w:t>
      </w:r>
      <w:r>
        <w:rPr>
          <w:spacing w:val="-2"/>
        </w:rPr>
        <w:t xml:space="preserve"> </w:t>
      </w:r>
      <w:r>
        <w:t>ineligible</w:t>
      </w:r>
      <w:r>
        <w:rPr>
          <w:spacing w:val="-2"/>
        </w:rPr>
        <w:t xml:space="preserve"> </w:t>
      </w:r>
      <w:r>
        <w:t>for</w:t>
      </w:r>
      <w:r>
        <w:rPr>
          <w:spacing w:val="-2"/>
        </w:rPr>
        <w:t xml:space="preserve"> </w:t>
      </w:r>
      <w:r>
        <w:t>other</w:t>
      </w:r>
      <w:r>
        <w:rPr>
          <w:spacing w:val="-2"/>
        </w:rPr>
        <w:t xml:space="preserve"> </w:t>
      </w:r>
      <w:r>
        <w:t>reasons.</w:t>
      </w:r>
      <w:r>
        <w:rPr>
          <w:spacing w:val="-2"/>
        </w:rPr>
        <w:t xml:space="preserve"> </w:t>
      </w:r>
      <w:r>
        <w:t>In</w:t>
      </w:r>
      <w:r>
        <w:rPr>
          <w:spacing w:val="-2"/>
        </w:rPr>
        <w:t xml:space="preserve"> </w:t>
      </w:r>
      <w:r>
        <w:t>such</w:t>
      </w:r>
      <w:r>
        <w:rPr>
          <w:spacing w:val="-2"/>
        </w:rPr>
        <w:t xml:space="preserve"> </w:t>
      </w:r>
      <w:r>
        <w:t>cases,</w:t>
      </w:r>
      <w:r>
        <w:rPr>
          <w:spacing w:val="-2"/>
        </w:rPr>
        <w:t xml:space="preserve"> </w:t>
      </w:r>
      <w:r>
        <w:t>the</w:t>
      </w:r>
      <w:r>
        <w:rPr>
          <w:spacing w:val="-2"/>
        </w:rPr>
        <w:t xml:space="preserve"> </w:t>
      </w:r>
      <w:r>
        <w:t>sampled</w:t>
      </w:r>
      <w:r>
        <w:rPr>
          <w:spacing w:val="-2"/>
        </w:rPr>
        <w:t xml:space="preserve"> </w:t>
      </w:r>
      <w:r>
        <w:t>school</w:t>
      </w:r>
      <w:r>
        <w:rPr>
          <w:spacing w:val="-2"/>
        </w:rPr>
        <w:t xml:space="preserve"> </w:t>
      </w:r>
      <w:r>
        <w:t>was coded as ineligible.</w:t>
      </w:r>
    </w:p>
    <w:p w:rsidR="003F5784" w14:paraId="4E08784A" w14:textId="77777777">
      <w:pPr>
        <w:pStyle w:val="BodyText"/>
        <w:spacing w:before="90" w:line="439" w:lineRule="auto"/>
        <w:ind w:left="109"/>
      </w:pPr>
      <w:r>
        <w:br w:type="column"/>
        <w:t>Total and Eligible Schools Sampled Eligibility</w:t>
      </w:r>
      <w:r>
        <w:rPr>
          <w:spacing w:val="-14"/>
        </w:rPr>
        <w:t xml:space="preserve"> </w:t>
      </w:r>
      <w:r>
        <w:t>Status</w:t>
      </w:r>
      <w:r>
        <w:rPr>
          <w:spacing w:val="-13"/>
        </w:rPr>
        <w:t xml:space="preserve"> </w:t>
      </w:r>
      <w:r>
        <w:t>of</w:t>
      </w:r>
      <w:r>
        <w:rPr>
          <w:spacing w:val="-13"/>
        </w:rPr>
        <w:t xml:space="preserve"> </w:t>
      </w:r>
      <w:r>
        <w:t>Schools</w:t>
      </w:r>
      <w:r>
        <w:rPr>
          <w:spacing w:val="-13"/>
        </w:rPr>
        <w:t xml:space="preserve"> </w:t>
      </w:r>
      <w:r>
        <w:t>Sampled</w:t>
      </w:r>
    </w:p>
    <w:p w:rsidR="003F5784" w14:paraId="35FB9D67" w14:textId="77777777">
      <w:pPr>
        <w:spacing w:line="439" w:lineRule="auto"/>
        <w:sectPr>
          <w:type w:val="continuous"/>
          <w:pgSz w:w="15840" w:h="12240" w:orient="landscape"/>
          <w:pgMar w:top="480" w:right="440" w:bottom="460" w:left="460" w:header="284" w:footer="275" w:gutter="0"/>
          <w:cols w:num="2" w:space="720" w:equalWidth="0">
            <w:col w:w="10875" w:space="482"/>
            <w:col w:w="3583"/>
          </w:cols>
        </w:sectPr>
      </w:pPr>
    </w:p>
    <w:p w:rsidR="003F5784" w14:paraId="10D24F30" w14:textId="77777777">
      <w:pPr>
        <w:pStyle w:val="BodyText"/>
        <w:rPr>
          <w:sz w:val="18"/>
        </w:rPr>
      </w:pPr>
    </w:p>
    <w:p w:rsidR="003F5784" w14:paraId="6F34A4F3" w14:textId="77777777">
      <w:pPr>
        <w:pStyle w:val="BodyText"/>
        <w:rPr>
          <w:sz w:val="18"/>
        </w:rPr>
      </w:pPr>
    </w:p>
    <w:p w:rsidR="003F5784" w14:paraId="51A8E72D" w14:textId="77777777">
      <w:pPr>
        <w:pStyle w:val="BodyText"/>
        <w:rPr>
          <w:sz w:val="18"/>
        </w:rPr>
      </w:pPr>
    </w:p>
    <w:p w:rsidR="003F5784" w14:paraId="57B98E93" w14:textId="77777777">
      <w:pPr>
        <w:pStyle w:val="BodyText"/>
        <w:spacing w:before="43"/>
        <w:rPr>
          <w:sz w:val="18"/>
        </w:rPr>
      </w:pPr>
    </w:p>
    <w:p w:rsidR="003F5784" w14:paraId="049F8675" w14:textId="77777777">
      <w:pPr>
        <w:ind w:left="5917"/>
        <w:rPr>
          <w:sz w:val="18"/>
        </w:rPr>
      </w:pPr>
      <w:hyperlink r:id="rId251">
        <w:r>
          <w:rPr>
            <w:spacing w:val="-2"/>
            <w:w w:val="105"/>
            <w:sz w:val="18"/>
          </w:rPr>
          <w:t>http://nces.ed.gov/nationsreportcard/tdw/sample_design/2022/ineligible_schools_for_the_2022_state_assessment.aspx</w:t>
        </w:r>
      </w:hyperlink>
    </w:p>
    <w:p w:rsidR="003F5784" w14:paraId="76F5DCF0" w14:textId="77777777">
      <w:pPr>
        <w:pStyle w:val="BodyText"/>
        <w:spacing w:before="11"/>
        <w:rPr>
          <w:sz w:val="14"/>
        </w:rPr>
      </w:pPr>
      <w:r>
        <w:rPr>
          <w:noProof/>
        </w:rPr>
        <mc:AlternateContent>
          <mc:Choice Requires="wps">
            <w:drawing>
              <wp:anchor distT="0" distB="0" distL="0" distR="0" simplePos="0" relativeHeight="251913216" behindDoc="1" locked="0" layoutInCell="1" allowOverlap="1">
                <wp:simplePos x="0" y="0"/>
                <wp:positionH relativeFrom="page">
                  <wp:posOffset>361937</wp:posOffset>
                </wp:positionH>
                <wp:positionV relativeFrom="paragraph">
                  <wp:posOffset>124530</wp:posOffset>
                </wp:positionV>
                <wp:extent cx="9339580" cy="8890"/>
                <wp:effectExtent l="0" t="0" r="0" b="0"/>
                <wp:wrapTopAndBottom/>
                <wp:docPr id="290" name="Graphic 290"/>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50"/>
                              </a:moveTo>
                              <a:lnTo>
                                <a:pt x="9335110" y="50"/>
                              </a:lnTo>
                              <a:lnTo>
                                <a:pt x="8280" y="50"/>
                              </a:lnTo>
                              <a:lnTo>
                                <a:pt x="0" y="0"/>
                              </a:lnTo>
                              <a:lnTo>
                                <a:pt x="0" y="8267"/>
                              </a:lnTo>
                              <a:lnTo>
                                <a:pt x="9335110" y="8331"/>
                              </a:lnTo>
                              <a:lnTo>
                                <a:pt x="9338970" y="8331"/>
                              </a:lnTo>
                              <a:lnTo>
                                <a:pt x="9338970" y="5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90" o:spid="_x0000_s1127" style="width:735.4pt;height:0.7pt;margin-top:9.8pt;margin-left:28.5pt;mso-position-horizontal-relative:page;mso-wrap-distance-bottom:0;mso-wrap-distance-left:0;mso-wrap-distance-right:0;mso-wrap-distance-top:0;mso-wrap-style:square;position:absolute;visibility:visible;v-text-anchor:top;z-index:-251402240" coordsize="9339580,8890" path="m9338970,50l9335110,50l8280,50,,,,8267l9335110,8331l9338970,8331l9338970,50xe" fillcolor="gray" stroked="f">
                <v:path arrowok="t"/>
                <w10:wrap type="topAndBottom"/>
              </v:shape>
            </w:pict>
          </mc:Fallback>
        </mc:AlternateContent>
      </w:r>
    </w:p>
    <w:p w:rsidR="003F5784" w14:paraId="5129EA5B" w14:textId="77777777">
      <w:pPr>
        <w:pStyle w:val="BodyText"/>
        <w:rPr>
          <w:sz w:val="18"/>
        </w:rPr>
      </w:pPr>
    </w:p>
    <w:p w:rsidR="003F5784" w14:paraId="501098F9" w14:textId="77777777">
      <w:pPr>
        <w:pStyle w:val="BodyText"/>
        <w:spacing w:before="206"/>
        <w:rPr>
          <w:sz w:val="18"/>
        </w:rPr>
      </w:pPr>
    </w:p>
    <w:p w:rsidR="003F5784" w14:paraId="27C96239" w14:textId="0945534A">
      <w:pPr>
        <w:pStyle w:val="Heading1"/>
        <w:spacing w:line="244" w:lineRule="auto"/>
      </w:pPr>
      <w:r>
        <w:t>NAEP</w:t>
      </w:r>
      <w:r>
        <w:rPr>
          <w:spacing w:val="-16"/>
        </w:rPr>
        <w:t xml:space="preserve"> </w:t>
      </w:r>
      <w:r>
        <w:t>Technical Documentation</w:t>
      </w:r>
      <w:r w:rsidR="004C039D">
        <w:t xml:space="preserve"> </w:t>
      </w:r>
      <w:r>
        <w:t>Eligibility Status of Schools Sampled for the 2022 State Assessment</w:t>
      </w:r>
    </w:p>
    <w:p w:rsidR="003F5784" w14:paraId="73C9EF68" w14:textId="77777777">
      <w:pPr>
        <w:pStyle w:val="BodyText"/>
        <w:spacing w:before="274" w:line="232" w:lineRule="auto"/>
        <w:ind w:left="109" w:right="179"/>
      </w:pPr>
      <w:r>
        <w:t>The</w:t>
      </w:r>
      <w:r>
        <w:rPr>
          <w:spacing w:val="-7"/>
        </w:rPr>
        <w:t xml:space="preserve"> </w:t>
      </w:r>
      <w:r>
        <w:t>following</w:t>
      </w:r>
      <w:r>
        <w:rPr>
          <w:spacing w:val="-7"/>
        </w:rPr>
        <w:t xml:space="preserve"> </w:t>
      </w:r>
      <w:r>
        <w:t>table</w:t>
      </w:r>
      <w:r>
        <w:rPr>
          <w:spacing w:val="-7"/>
        </w:rPr>
        <w:t xml:space="preserve"> </w:t>
      </w:r>
      <w:r>
        <w:t>shows</w:t>
      </w:r>
      <w:r>
        <w:rPr>
          <w:spacing w:val="-7"/>
        </w:rPr>
        <w:t xml:space="preserve"> </w:t>
      </w:r>
      <w:r>
        <w:t>the</w:t>
      </w:r>
      <w:r>
        <w:rPr>
          <w:spacing w:val="-7"/>
        </w:rPr>
        <w:t xml:space="preserve"> </w:t>
      </w:r>
      <w:r>
        <w:t>unweighted</w:t>
      </w:r>
      <w:r>
        <w:rPr>
          <w:spacing w:val="-7"/>
        </w:rPr>
        <w:t xml:space="preserve"> </w:t>
      </w:r>
      <w:r>
        <w:t>counts</w:t>
      </w:r>
      <w:r>
        <w:rPr>
          <w:spacing w:val="-7"/>
        </w:rPr>
        <w:t xml:space="preserve"> </w:t>
      </w:r>
      <w:r>
        <w:t>and</w:t>
      </w:r>
      <w:r>
        <w:rPr>
          <w:spacing w:val="-7"/>
        </w:rPr>
        <w:t xml:space="preserve"> </w:t>
      </w:r>
      <w:r>
        <w:t>percentages</w:t>
      </w:r>
      <w:r>
        <w:rPr>
          <w:spacing w:val="-7"/>
        </w:rPr>
        <w:t xml:space="preserve"> </w:t>
      </w:r>
      <w:r>
        <w:t>of</w:t>
      </w:r>
      <w:r>
        <w:rPr>
          <w:spacing w:val="-7"/>
        </w:rPr>
        <w:t xml:space="preserve"> </w:t>
      </w:r>
      <w:r>
        <w:t>sampled</w:t>
      </w:r>
      <w:r>
        <w:rPr>
          <w:spacing w:val="-7"/>
        </w:rPr>
        <w:t xml:space="preserve"> </w:t>
      </w:r>
      <w:r>
        <w:t>schools</w:t>
      </w:r>
      <w:r>
        <w:rPr>
          <w:spacing w:val="-7"/>
        </w:rPr>
        <w:t xml:space="preserve"> </w:t>
      </w:r>
      <w:r>
        <w:t>that</w:t>
      </w:r>
      <w:r>
        <w:rPr>
          <w:spacing w:val="-7"/>
        </w:rPr>
        <w:t xml:space="preserve"> </w:t>
      </w:r>
      <w:r>
        <w:t>were</w:t>
      </w:r>
      <w:r>
        <w:rPr>
          <w:spacing w:val="-7"/>
        </w:rPr>
        <w:t xml:space="preserve"> </w:t>
      </w:r>
      <w:r>
        <w:t>eligible</w:t>
      </w:r>
      <w:r>
        <w:rPr>
          <w:spacing w:val="-7"/>
        </w:rPr>
        <w:t xml:space="preserve"> </w:t>
      </w:r>
      <w:r>
        <w:t>and</w:t>
      </w:r>
      <w:r>
        <w:rPr>
          <w:spacing w:val="-7"/>
        </w:rPr>
        <w:t xml:space="preserve"> </w:t>
      </w:r>
      <w:r>
        <w:t>ineligible,</w:t>
      </w:r>
      <w:r>
        <w:rPr>
          <w:spacing w:val="-7"/>
        </w:rPr>
        <w:t xml:space="preserve"> </w:t>
      </w:r>
      <w:r>
        <w:t>by</w:t>
      </w:r>
      <w:r>
        <w:rPr>
          <w:spacing w:val="-7"/>
        </w:rPr>
        <w:t xml:space="preserve"> </w:t>
      </w:r>
      <w:r>
        <w:t>reason</w:t>
      </w:r>
      <w:r>
        <w:rPr>
          <w:spacing w:val="-7"/>
        </w:rPr>
        <w:t xml:space="preserve"> </w:t>
      </w:r>
      <w:r>
        <w:t>for</w:t>
      </w:r>
      <w:r>
        <w:rPr>
          <w:spacing w:val="-7"/>
        </w:rPr>
        <w:t xml:space="preserve"> </w:t>
      </w:r>
      <w:r>
        <w:t>ineligibility,</w:t>
      </w:r>
      <w:r>
        <w:rPr>
          <w:spacing w:val="-7"/>
        </w:rPr>
        <w:t xml:space="preserve"> </w:t>
      </w:r>
      <w:r>
        <w:t>for</w:t>
      </w:r>
      <w:r>
        <w:rPr>
          <w:spacing w:val="-7"/>
        </w:rPr>
        <w:t xml:space="preserve"> </w:t>
      </w:r>
      <w:r>
        <w:t>the</w:t>
      </w:r>
      <w:r>
        <w:rPr>
          <w:spacing w:val="-7"/>
        </w:rPr>
        <w:t xml:space="preserve"> </w:t>
      </w:r>
      <w:r>
        <w:t>fourth-</w:t>
      </w:r>
      <w:r>
        <w:rPr>
          <w:spacing w:val="-7"/>
        </w:rPr>
        <w:t xml:space="preserve"> </w:t>
      </w:r>
      <w:r>
        <w:t>and</w:t>
      </w:r>
      <w:r>
        <w:rPr>
          <w:spacing w:val="-7"/>
        </w:rPr>
        <w:t xml:space="preserve"> </w:t>
      </w:r>
      <w:r>
        <w:t>eighth- grade public school state assessment samples.</w:t>
      </w:r>
    </w:p>
    <w:p w:rsidR="003F5784" w14:paraId="24F26CA8" w14:textId="77777777">
      <w:pPr>
        <w:pStyle w:val="BodyText"/>
        <w:spacing w:before="92"/>
      </w:pPr>
    </w:p>
    <w:p w:rsidR="003F5784" w14:paraId="033F36E3" w14:textId="77777777">
      <w:pPr>
        <w:pStyle w:val="Heading2"/>
      </w:pPr>
      <w:r>
        <w:t>Sampled</w:t>
      </w:r>
      <w:r>
        <w:rPr>
          <w:spacing w:val="-8"/>
        </w:rPr>
        <w:t xml:space="preserve"> </w:t>
      </w:r>
      <w:r>
        <w:t>schools,</w:t>
      </w:r>
      <w:r>
        <w:rPr>
          <w:spacing w:val="-7"/>
        </w:rPr>
        <w:t xml:space="preserve"> </w:t>
      </w:r>
      <w:r>
        <w:t>state</w:t>
      </w:r>
      <w:r>
        <w:rPr>
          <w:spacing w:val="-7"/>
        </w:rPr>
        <w:t xml:space="preserve"> </w:t>
      </w:r>
      <w:r>
        <w:t>assessment,</w:t>
      </w:r>
      <w:r>
        <w:rPr>
          <w:spacing w:val="-7"/>
        </w:rPr>
        <w:t xml:space="preserve"> </w:t>
      </w:r>
      <w:r>
        <w:t>by</w:t>
      </w:r>
      <w:r>
        <w:rPr>
          <w:spacing w:val="-7"/>
        </w:rPr>
        <w:t xml:space="preserve"> </w:t>
      </w:r>
      <w:r>
        <w:t>grade</w:t>
      </w:r>
      <w:r>
        <w:rPr>
          <w:spacing w:val="-7"/>
        </w:rPr>
        <w:t xml:space="preserve"> </w:t>
      </w:r>
      <w:r>
        <w:t>and</w:t>
      </w:r>
      <w:r>
        <w:rPr>
          <w:spacing w:val="-7"/>
        </w:rPr>
        <w:t xml:space="preserve"> </w:t>
      </w:r>
      <w:r>
        <w:t>eligibility</w:t>
      </w:r>
      <w:r>
        <w:rPr>
          <w:spacing w:val="-7"/>
        </w:rPr>
        <w:t xml:space="preserve"> </w:t>
      </w:r>
      <w:r>
        <w:t>status:</w:t>
      </w:r>
      <w:r>
        <w:rPr>
          <w:spacing w:val="-7"/>
        </w:rPr>
        <w:t xml:space="preserve"> </w:t>
      </w:r>
      <w:r>
        <w:rPr>
          <w:spacing w:val="-4"/>
        </w:rPr>
        <w:t>2022</w:t>
      </w:r>
    </w:p>
    <w:p w:rsidR="003F5784" w14:paraId="2B294B61" w14:textId="77777777">
      <w:pPr>
        <w:pStyle w:val="BodyText"/>
        <w:spacing w:before="10" w:after="1"/>
        <w:rPr>
          <w:b/>
          <w:sz w:val="11"/>
        </w:rPr>
      </w:pPr>
    </w:p>
    <w:tbl>
      <w:tblPr>
        <w:tblW w:w="0" w:type="auto"/>
        <w:tblInd w:w="482" w:type="dxa"/>
        <w:tblLayout w:type="fixed"/>
        <w:tblCellMar>
          <w:left w:w="0" w:type="dxa"/>
          <w:right w:w="0" w:type="dxa"/>
        </w:tblCellMar>
        <w:tblLook w:val="01E0"/>
      </w:tblPr>
      <w:tblGrid>
        <w:gridCol w:w="4757"/>
        <w:gridCol w:w="3061"/>
        <w:gridCol w:w="1787"/>
        <w:gridCol w:w="2676"/>
        <w:gridCol w:w="1704"/>
      </w:tblGrid>
      <w:tr w14:paraId="5359AD48" w14:textId="77777777">
        <w:tblPrEx>
          <w:tblW w:w="0" w:type="auto"/>
          <w:tblInd w:w="482" w:type="dxa"/>
          <w:tblLayout w:type="fixed"/>
          <w:tblCellMar>
            <w:left w:w="0" w:type="dxa"/>
            <w:right w:w="0" w:type="dxa"/>
          </w:tblCellMar>
          <w:tblLook w:val="01E0"/>
        </w:tblPrEx>
        <w:trPr>
          <w:trHeight w:val="268"/>
        </w:trPr>
        <w:tc>
          <w:tcPr>
            <w:tcW w:w="4757" w:type="dxa"/>
            <w:tcBorders>
              <w:top w:val="single" w:sz="18" w:space="0" w:color="800000"/>
            </w:tcBorders>
          </w:tcPr>
          <w:p w:rsidR="003F5784" w14:paraId="6A3D8275" w14:textId="77777777">
            <w:pPr>
              <w:pStyle w:val="TableParagraph"/>
              <w:spacing w:before="0"/>
              <w:jc w:val="left"/>
              <w:rPr>
                <w:sz w:val="18"/>
              </w:rPr>
            </w:pPr>
          </w:p>
        </w:tc>
        <w:tc>
          <w:tcPr>
            <w:tcW w:w="3061" w:type="dxa"/>
            <w:tcBorders>
              <w:top w:val="single" w:sz="18" w:space="0" w:color="800000"/>
              <w:bottom w:val="single" w:sz="12" w:space="0" w:color="800000"/>
            </w:tcBorders>
          </w:tcPr>
          <w:p w:rsidR="003F5784" w14:paraId="54C2B884" w14:textId="77777777">
            <w:pPr>
              <w:pStyle w:val="TableParagraph"/>
              <w:spacing w:before="9" w:line="239" w:lineRule="exact"/>
              <w:ind w:left="1977"/>
              <w:jc w:val="left"/>
              <w:rPr>
                <w:sz w:val="21"/>
              </w:rPr>
            </w:pPr>
            <w:r>
              <w:rPr>
                <w:sz w:val="21"/>
              </w:rPr>
              <w:t>Grade</w:t>
            </w:r>
            <w:r>
              <w:rPr>
                <w:spacing w:val="-7"/>
                <w:sz w:val="21"/>
              </w:rPr>
              <w:t xml:space="preserve"> </w:t>
            </w:r>
            <w:r>
              <w:rPr>
                <w:spacing w:val="-10"/>
                <w:sz w:val="21"/>
              </w:rPr>
              <w:t>4</w:t>
            </w:r>
          </w:p>
        </w:tc>
        <w:tc>
          <w:tcPr>
            <w:tcW w:w="1787" w:type="dxa"/>
            <w:tcBorders>
              <w:top w:val="single" w:sz="18" w:space="0" w:color="800000"/>
              <w:bottom w:val="single" w:sz="12" w:space="0" w:color="800000"/>
            </w:tcBorders>
          </w:tcPr>
          <w:p w:rsidR="003F5784" w14:paraId="4D2D7D03" w14:textId="77777777">
            <w:pPr>
              <w:pStyle w:val="TableParagraph"/>
              <w:spacing w:before="0"/>
              <w:jc w:val="left"/>
              <w:rPr>
                <w:sz w:val="18"/>
              </w:rPr>
            </w:pPr>
          </w:p>
        </w:tc>
        <w:tc>
          <w:tcPr>
            <w:tcW w:w="2676" w:type="dxa"/>
            <w:tcBorders>
              <w:top w:val="single" w:sz="18" w:space="0" w:color="800000"/>
              <w:bottom w:val="single" w:sz="12" w:space="0" w:color="800000"/>
            </w:tcBorders>
          </w:tcPr>
          <w:p w:rsidR="003F5784" w14:paraId="6521CCDB" w14:textId="77777777">
            <w:pPr>
              <w:pStyle w:val="TableParagraph"/>
              <w:spacing w:before="9" w:line="239" w:lineRule="exact"/>
              <w:ind w:left="1738"/>
              <w:jc w:val="left"/>
              <w:rPr>
                <w:sz w:val="21"/>
              </w:rPr>
            </w:pPr>
            <w:r>
              <w:rPr>
                <w:sz w:val="21"/>
              </w:rPr>
              <w:t>Grade</w:t>
            </w:r>
            <w:r>
              <w:rPr>
                <w:spacing w:val="-7"/>
                <w:sz w:val="21"/>
              </w:rPr>
              <w:t xml:space="preserve"> </w:t>
            </w:r>
            <w:r>
              <w:rPr>
                <w:spacing w:val="-10"/>
                <w:sz w:val="21"/>
              </w:rPr>
              <w:t>8</w:t>
            </w:r>
          </w:p>
        </w:tc>
        <w:tc>
          <w:tcPr>
            <w:tcW w:w="1704" w:type="dxa"/>
            <w:tcBorders>
              <w:top w:val="single" w:sz="18" w:space="0" w:color="800000"/>
              <w:bottom w:val="single" w:sz="12" w:space="0" w:color="800000"/>
            </w:tcBorders>
          </w:tcPr>
          <w:p w:rsidR="003F5784" w14:paraId="5CBCD58F" w14:textId="77777777">
            <w:pPr>
              <w:pStyle w:val="TableParagraph"/>
              <w:spacing w:before="0"/>
              <w:jc w:val="left"/>
              <w:rPr>
                <w:sz w:val="18"/>
              </w:rPr>
            </w:pPr>
          </w:p>
        </w:tc>
      </w:tr>
      <w:tr w14:paraId="56CF9BD5" w14:textId="77777777">
        <w:tblPrEx>
          <w:tblW w:w="0" w:type="auto"/>
          <w:tblInd w:w="482" w:type="dxa"/>
          <w:tblLayout w:type="fixed"/>
          <w:tblCellMar>
            <w:left w:w="0" w:type="dxa"/>
            <w:right w:w="0" w:type="dxa"/>
          </w:tblCellMar>
          <w:tblLook w:val="01E0"/>
        </w:tblPrEx>
        <w:trPr>
          <w:trHeight w:val="503"/>
        </w:trPr>
        <w:tc>
          <w:tcPr>
            <w:tcW w:w="4757" w:type="dxa"/>
            <w:tcBorders>
              <w:bottom w:val="single" w:sz="18" w:space="0" w:color="800000"/>
            </w:tcBorders>
          </w:tcPr>
          <w:p w:rsidR="003F5784" w14:paraId="3259974C" w14:textId="77777777">
            <w:pPr>
              <w:pStyle w:val="TableParagraph"/>
              <w:spacing w:before="3"/>
              <w:jc w:val="left"/>
              <w:rPr>
                <w:b/>
                <w:sz w:val="21"/>
              </w:rPr>
            </w:pPr>
          </w:p>
          <w:p w:rsidR="003F5784" w14:paraId="320E06EB" w14:textId="77777777">
            <w:pPr>
              <w:pStyle w:val="TableParagraph"/>
              <w:spacing w:before="0" w:line="238" w:lineRule="exact"/>
              <w:ind w:left="120"/>
              <w:jc w:val="left"/>
              <w:rPr>
                <w:sz w:val="21"/>
              </w:rPr>
            </w:pPr>
            <w:r>
              <w:rPr>
                <w:sz w:val="21"/>
              </w:rPr>
              <w:t>Eligibility</w:t>
            </w:r>
            <w:r>
              <w:rPr>
                <w:spacing w:val="-10"/>
                <w:sz w:val="21"/>
              </w:rPr>
              <w:t xml:space="preserve"> </w:t>
            </w:r>
            <w:r>
              <w:rPr>
                <w:spacing w:val="-2"/>
                <w:sz w:val="21"/>
              </w:rPr>
              <w:t>status</w:t>
            </w:r>
          </w:p>
        </w:tc>
        <w:tc>
          <w:tcPr>
            <w:tcW w:w="3061" w:type="dxa"/>
            <w:tcBorders>
              <w:top w:val="single" w:sz="12" w:space="0" w:color="800000"/>
              <w:bottom w:val="single" w:sz="18" w:space="0" w:color="800000"/>
            </w:tcBorders>
          </w:tcPr>
          <w:p w:rsidR="003F5784" w14:paraId="5F2C23B6" w14:textId="77777777">
            <w:pPr>
              <w:pStyle w:val="TableParagraph"/>
              <w:spacing w:before="10" w:line="238" w:lineRule="exact"/>
              <w:ind w:right="710"/>
              <w:rPr>
                <w:sz w:val="21"/>
              </w:rPr>
            </w:pPr>
            <w:r>
              <w:rPr>
                <w:sz w:val="21"/>
              </w:rPr>
              <w:t>Unweighted</w:t>
            </w:r>
            <w:r>
              <w:rPr>
                <w:spacing w:val="-9"/>
                <w:sz w:val="21"/>
              </w:rPr>
              <w:t xml:space="preserve"> </w:t>
            </w:r>
            <w:r>
              <w:rPr>
                <w:sz w:val="21"/>
              </w:rPr>
              <w:t>count</w:t>
            </w:r>
            <w:r>
              <w:rPr>
                <w:spacing w:val="-8"/>
                <w:sz w:val="21"/>
              </w:rPr>
              <w:t xml:space="preserve"> </w:t>
            </w:r>
            <w:r>
              <w:rPr>
                <w:spacing w:val="-5"/>
                <w:sz w:val="21"/>
              </w:rPr>
              <w:t>of</w:t>
            </w:r>
          </w:p>
          <w:p w:rsidR="003F5784" w14:paraId="3B62DBC1" w14:textId="77777777">
            <w:pPr>
              <w:pStyle w:val="TableParagraph"/>
              <w:spacing w:before="0" w:line="235" w:lineRule="exact"/>
              <w:ind w:right="710"/>
              <w:rPr>
                <w:sz w:val="21"/>
              </w:rPr>
            </w:pPr>
            <w:r>
              <w:rPr>
                <w:spacing w:val="-2"/>
                <w:sz w:val="21"/>
              </w:rPr>
              <w:t>schools</w:t>
            </w:r>
          </w:p>
        </w:tc>
        <w:tc>
          <w:tcPr>
            <w:tcW w:w="1787" w:type="dxa"/>
            <w:tcBorders>
              <w:top w:val="single" w:sz="12" w:space="0" w:color="800000"/>
              <w:bottom w:val="single" w:sz="18" w:space="0" w:color="800000"/>
            </w:tcBorders>
          </w:tcPr>
          <w:p w:rsidR="003F5784" w14:paraId="5A953E66" w14:textId="77777777">
            <w:pPr>
              <w:pStyle w:val="TableParagraph"/>
              <w:spacing w:before="15" w:line="234" w:lineRule="exact"/>
              <w:ind w:left="533" w:right="344" w:hanging="117"/>
              <w:jc w:val="left"/>
              <w:rPr>
                <w:sz w:val="21"/>
              </w:rPr>
            </w:pPr>
            <w:r>
              <w:rPr>
                <w:spacing w:val="-2"/>
                <w:sz w:val="21"/>
              </w:rPr>
              <w:t>Unweighted percentage</w:t>
            </w:r>
          </w:p>
        </w:tc>
        <w:tc>
          <w:tcPr>
            <w:tcW w:w="2676" w:type="dxa"/>
            <w:tcBorders>
              <w:top w:val="single" w:sz="12" w:space="0" w:color="800000"/>
              <w:bottom w:val="single" w:sz="18" w:space="0" w:color="800000"/>
            </w:tcBorders>
          </w:tcPr>
          <w:p w:rsidR="003F5784" w14:paraId="2A87AD3E" w14:textId="77777777">
            <w:pPr>
              <w:pStyle w:val="TableParagraph"/>
              <w:spacing w:before="10" w:line="238" w:lineRule="exact"/>
              <w:ind w:right="564"/>
              <w:rPr>
                <w:sz w:val="21"/>
              </w:rPr>
            </w:pPr>
            <w:r>
              <w:rPr>
                <w:sz w:val="21"/>
              </w:rPr>
              <w:t>Unweighted</w:t>
            </w:r>
            <w:r>
              <w:rPr>
                <w:spacing w:val="-9"/>
                <w:sz w:val="21"/>
              </w:rPr>
              <w:t xml:space="preserve"> </w:t>
            </w:r>
            <w:r>
              <w:rPr>
                <w:sz w:val="21"/>
              </w:rPr>
              <w:t>count</w:t>
            </w:r>
            <w:r>
              <w:rPr>
                <w:spacing w:val="-8"/>
                <w:sz w:val="21"/>
              </w:rPr>
              <w:t xml:space="preserve"> </w:t>
            </w:r>
            <w:r>
              <w:rPr>
                <w:spacing w:val="-5"/>
                <w:sz w:val="21"/>
              </w:rPr>
              <w:t>of</w:t>
            </w:r>
          </w:p>
          <w:p w:rsidR="003F5784" w14:paraId="320DE35D" w14:textId="77777777">
            <w:pPr>
              <w:pStyle w:val="TableParagraph"/>
              <w:spacing w:before="0" w:line="235" w:lineRule="exact"/>
              <w:ind w:right="564"/>
              <w:rPr>
                <w:sz w:val="21"/>
              </w:rPr>
            </w:pPr>
            <w:r>
              <w:rPr>
                <w:spacing w:val="-2"/>
                <w:sz w:val="21"/>
              </w:rPr>
              <w:t>schools</w:t>
            </w:r>
          </w:p>
        </w:tc>
        <w:tc>
          <w:tcPr>
            <w:tcW w:w="1704" w:type="dxa"/>
            <w:tcBorders>
              <w:top w:val="single" w:sz="12" w:space="0" w:color="800000"/>
              <w:bottom w:val="single" w:sz="18" w:space="0" w:color="800000"/>
            </w:tcBorders>
          </w:tcPr>
          <w:p w:rsidR="003F5784" w14:paraId="59D83755" w14:textId="77777777">
            <w:pPr>
              <w:pStyle w:val="TableParagraph"/>
              <w:spacing w:before="15" w:line="234" w:lineRule="exact"/>
              <w:ind w:left="680" w:right="114" w:hanging="117"/>
              <w:jc w:val="left"/>
              <w:rPr>
                <w:sz w:val="21"/>
              </w:rPr>
            </w:pPr>
            <w:r>
              <w:rPr>
                <w:spacing w:val="-2"/>
                <w:sz w:val="21"/>
              </w:rPr>
              <w:t>Unweighted percentage</w:t>
            </w:r>
          </w:p>
        </w:tc>
      </w:tr>
      <w:tr w14:paraId="09071812" w14:textId="77777777">
        <w:tblPrEx>
          <w:tblW w:w="0" w:type="auto"/>
          <w:tblInd w:w="482" w:type="dxa"/>
          <w:tblLayout w:type="fixed"/>
          <w:tblCellMar>
            <w:left w:w="0" w:type="dxa"/>
            <w:right w:w="0" w:type="dxa"/>
          </w:tblCellMar>
          <w:tblLook w:val="01E0"/>
        </w:tblPrEx>
        <w:trPr>
          <w:trHeight w:val="278"/>
        </w:trPr>
        <w:tc>
          <w:tcPr>
            <w:tcW w:w="4757" w:type="dxa"/>
            <w:tcBorders>
              <w:top w:val="single" w:sz="18" w:space="0" w:color="800000"/>
            </w:tcBorders>
          </w:tcPr>
          <w:p w:rsidR="003F5784" w14:paraId="759A200E" w14:textId="77777777">
            <w:pPr>
              <w:pStyle w:val="TableParagraph"/>
              <w:spacing w:before="9"/>
              <w:ind w:left="515"/>
              <w:jc w:val="left"/>
              <w:rPr>
                <w:b/>
                <w:sz w:val="21"/>
              </w:rPr>
            </w:pPr>
            <w:r>
              <w:rPr>
                <w:b/>
                <w:sz w:val="21"/>
              </w:rPr>
              <w:t>All</w:t>
            </w:r>
            <w:r>
              <w:rPr>
                <w:b/>
                <w:spacing w:val="-7"/>
                <w:sz w:val="21"/>
              </w:rPr>
              <w:t xml:space="preserve"> </w:t>
            </w:r>
            <w:r>
              <w:rPr>
                <w:b/>
                <w:sz w:val="21"/>
              </w:rPr>
              <w:t>sampled</w:t>
            </w:r>
            <w:r>
              <w:rPr>
                <w:b/>
                <w:spacing w:val="-6"/>
                <w:sz w:val="21"/>
              </w:rPr>
              <w:t xml:space="preserve"> </w:t>
            </w:r>
            <w:r>
              <w:rPr>
                <w:b/>
                <w:sz w:val="21"/>
              </w:rPr>
              <w:t>public</w:t>
            </w:r>
            <w:r>
              <w:rPr>
                <w:b/>
                <w:spacing w:val="-6"/>
                <w:sz w:val="21"/>
              </w:rPr>
              <w:t xml:space="preserve"> </w:t>
            </w:r>
            <w:r>
              <w:rPr>
                <w:b/>
                <w:spacing w:val="-2"/>
                <w:sz w:val="21"/>
              </w:rPr>
              <w:t>schools</w:t>
            </w:r>
          </w:p>
        </w:tc>
        <w:tc>
          <w:tcPr>
            <w:tcW w:w="3061" w:type="dxa"/>
            <w:tcBorders>
              <w:top w:val="single" w:sz="18" w:space="0" w:color="800000"/>
            </w:tcBorders>
          </w:tcPr>
          <w:p w:rsidR="003F5784" w14:paraId="34CCA595" w14:textId="77777777">
            <w:pPr>
              <w:pStyle w:val="TableParagraph"/>
              <w:spacing w:before="9"/>
              <w:ind w:left="1878"/>
              <w:jc w:val="left"/>
              <w:rPr>
                <w:b/>
                <w:sz w:val="21"/>
              </w:rPr>
            </w:pPr>
            <w:r>
              <w:rPr>
                <w:b/>
                <w:spacing w:val="-2"/>
                <w:sz w:val="21"/>
              </w:rPr>
              <w:t>6,010</w:t>
            </w:r>
          </w:p>
        </w:tc>
        <w:tc>
          <w:tcPr>
            <w:tcW w:w="1787" w:type="dxa"/>
            <w:tcBorders>
              <w:top w:val="single" w:sz="18" w:space="0" w:color="800000"/>
            </w:tcBorders>
          </w:tcPr>
          <w:p w:rsidR="003F5784" w14:paraId="29F91F92" w14:textId="77777777">
            <w:pPr>
              <w:pStyle w:val="TableParagraph"/>
              <w:spacing w:before="9"/>
              <w:ind w:right="348"/>
              <w:rPr>
                <w:b/>
                <w:sz w:val="21"/>
              </w:rPr>
            </w:pPr>
            <w:r>
              <w:rPr>
                <w:b/>
                <w:spacing w:val="-2"/>
                <w:sz w:val="21"/>
              </w:rPr>
              <w:t>100.00</w:t>
            </w:r>
          </w:p>
        </w:tc>
        <w:tc>
          <w:tcPr>
            <w:tcW w:w="2676" w:type="dxa"/>
            <w:tcBorders>
              <w:top w:val="single" w:sz="18" w:space="0" w:color="800000"/>
            </w:tcBorders>
          </w:tcPr>
          <w:p w:rsidR="003F5784" w14:paraId="553CE0BB" w14:textId="77777777">
            <w:pPr>
              <w:pStyle w:val="TableParagraph"/>
              <w:spacing w:before="9"/>
              <w:ind w:left="1640"/>
              <w:jc w:val="left"/>
              <w:rPr>
                <w:b/>
                <w:sz w:val="21"/>
              </w:rPr>
            </w:pPr>
            <w:r>
              <w:rPr>
                <w:b/>
                <w:spacing w:val="-2"/>
                <w:sz w:val="21"/>
              </w:rPr>
              <w:t>5,490</w:t>
            </w:r>
          </w:p>
        </w:tc>
        <w:tc>
          <w:tcPr>
            <w:tcW w:w="1704" w:type="dxa"/>
            <w:tcBorders>
              <w:top w:val="single" w:sz="18" w:space="0" w:color="800000"/>
            </w:tcBorders>
          </w:tcPr>
          <w:p w:rsidR="003F5784" w14:paraId="1B8644B8" w14:textId="77777777">
            <w:pPr>
              <w:pStyle w:val="TableParagraph"/>
              <w:spacing w:before="9"/>
              <w:ind w:right="118"/>
              <w:rPr>
                <w:b/>
                <w:sz w:val="21"/>
              </w:rPr>
            </w:pPr>
            <w:r>
              <w:rPr>
                <w:b/>
                <w:spacing w:val="-2"/>
                <w:sz w:val="21"/>
              </w:rPr>
              <w:t>100.00</w:t>
            </w:r>
          </w:p>
        </w:tc>
      </w:tr>
      <w:tr w14:paraId="718B21DE" w14:textId="77777777">
        <w:tblPrEx>
          <w:tblW w:w="0" w:type="auto"/>
          <w:tblInd w:w="482" w:type="dxa"/>
          <w:tblLayout w:type="fixed"/>
          <w:tblCellMar>
            <w:left w:w="0" w:type="dxa"/>
            <w:right w:w="0" w:type="dxa"/>
          </w:tblCellMar>
          <w:tblLook w:val="01E0"/>
        </w:tblPrEx>
        <w:trPr>
          <w:trHeight w:val="286"/>
        </w:trPr>
        <w:tc>
          <w:tcPr>
            <w:tcW w:w="4757" w:type="dxa"/>
          </w:tcPr>
          <w:p w:rsidR="003F5784" w14:paraId="70331A1E" w14:textId="77777777">
            <w:pPr>
              <w:pStyle w:val="TableParagraph"/>
              <w:ind w:left="120"/>
              <w:jc w:val="left"/>
              <w:rPr>
                <w:sz w:val="21"/>
              </w:rPr>
            </w:pPr>
            <w:r>
              <w:rPr>
                <w:spacing w:val="-2"/>
                <w:sz w:val="21"/>
              </w:rPr>
              <w:t>Eligible</w:t>
            </w:r>
          </w:p>
        </w:tc>
        <w:tc>
          <w:tcPr>
            <w:tcW w:w="3061" w:type="dxa"/>
          </w:tcPr>
          <w:p w:rsidR="003F5784" w14:paraId="737DD7D9" w14:textId="77777777">
            <w:pPr>
              <w:pStyle w:val="TableParagraph"/>
              <w:ind w:left="1878"/>
              <w:jc w:val="left"/>
              <w:rPr>
                <w:sz w:val="21"/>
              </w:rPr>
            </w:pPr>
            <w:r>
              <w:rPr>
                <w:spacing w:val="-2"/>
                <w:sz w:val="21"/>
              </w:rPr>
              <w:t>5,830</w:t>
            </w:r>
          </w:p>
        </w:tc>
        <w:tc>
          <w:tcPr>
            <w:tcW w:w="1787" w:type="dxa"/>
          </w:tcPr>
          <w:p w:rsidR="003F5784" w14:paraId="3DCE8FDA" w14:textId="77777777">
            <w:pPr>
              <w:pStyle w:val="TableParagraph"/>
              <w:ind w:right="348"/>
              <w:rPr>
                <w:sz w:val="21"/>
              </w:rPr>
            </w:pPr>
            <w:r>
              <w:rPr>
                <w:spacing w:val="-2"/>
                <w:sz w:val="21"/>
              </w:rPr>
              <w:t>96.99</w:t>
            </w:r>
          </w:p>
        </w:tc>
        <w:tc>
          <w:tcPr>
            <w:tcW w:w="2676" w:type="dxa"/>
          </w:tcPr>
          <w:p w:rsidR="003F5784" w14:paraId="387166F4" w14:textId="77777777">
            <w:pPr>
              <w:pStyle w:val="TableParagraph"/>
              <w:ind w:left="1640"/>
              <w:jc w:val="left"/>
              <w:rPr>
                <w:sz w:val="21"/>
              </w:rPr>
            </w:pPr>
            <w:r>
              <w:rPr>
                <w:spacing w:val="-2"/>
                <w:sz w:val="21"/>
              </w:rPr>
              <w:t>5,250</w:t>
            </w:r>
          </w:p>
        </w:tc>
        <w:tc>
          <w:tcPr>
            <w:tcW w:w="1704" w:type="dxa"/>
          </w:tcPr>
          <w:p w:rsidR="003F5784" w14:paraId="7187606D" w14:textId="77777777">
            <w:pPr>
              <w:pStyle w:val="TableParagraph"/>
              <w:ind w:right="118"/>
              <w:rPr>
                <w:sz w:val="21"/>
              </w:rPr>
            </w:pPr>
            <w:r>
              <w:rPr>
                <w:spacing w:val="-2"/>
                <w:sz w:val="21"/>
              </w:rPr>
              <w:t>95.70</w:t>
            </w:r>
          </w:p>
        </w:tc>
      </w:tr>
      <w:tr w14:paraId="012F93BB" w14:textId="77777777">
        <w:tblPrEx>
          <w:tblW w:w="0" w:type="auto"/>
          <w:tblInd w:w="482" w:type="dxa"/>
          <w:tblLayout w:type="fixed"/>
          <w:tblCellMar>
            <w:left w:w="0" w:type="dxa"/>
            <w:right w:w="0" w:type="dxa"/>
          </w:tblCellMar>
          <w:tblLook w:val="01E0"/>
        </w:tblPrEx>
        <w:trPr>
          <w:trHeight w:val="286"/>
        </w:trPr>
        <w:tc>
          <w:tcPr>
            <w:tcW w:w="4757" w:type="dxa"/>
          </w:tcPr>
          <w:p w:rsidR="003F5784" w14:paraId="019F2DA0" w14:textId="77777777">
            <w:pPr>
              <w:pStyle w:val="TableParagraph"/>
              <w:ind w:left="120"/>
              <w:jc w:val="left"/>
              <w:rPr>
                <w:sz w:val="21"/>
              </w:rPr>
            </w:pPr>
            <w:r>
              <w:rPr>
                <w:spacing w:val="-2"/>
                <w:sz w:val="21"/>
              </w:rPr>
              <w:t>Ineligible</w:t>
            </w:r>
          </w:p>
        </w:tc>
        <w:tc>
          <w:tcPr>
            <w:tcW w:w="3061" w:type="dxa"/>
          </w:tcPr>
          <w:p w:rsidR="003F5784" w14:paraId="52A5FCDC" w14:textId="77777777">
            <w:pPr>
              <w:pStyle w:val="TableParagraph"/>
              <w:ind w:left="2035"/>
              <w:jc w:val="left"/>
              <w:rPr>
                <w:sz w:val="21"/>
              </w:rPr>
            </w:pPr>
            <w:r>
              <w:rPr>
                <w:spacing w:val="-5"/>
                <w:sz w:val="21"/>
              </w:rPr>
              <w:t>181</w:t>
            </w:r>
          </w:p>
        </w:tc>
        <w:tc>
          <w:tcPr>
            <w:tcW w:w="1787" w:type="dxa"/>
          </w:tcPr>
          <w:p w:rsidR="003F5784" w14:paraId="44E2646E" w14:textId="77777777">
            <w:pPr>
              <w:pStyle w:val="TableParagraph"/>
              <w:ind w:right="348"/>
              <w:rPr>
                <w:sz w:val="21"/>
              </w:rPr>
            </w:pPr>
            <w:r>
              <w:rPr>
                <w:spacing w:val="-4"/>
                <w:sz w:val="21"/>
              </w:rPr>
              <w:t>3.01</w:t>
            </w:r>
          </w:p>
        </w:tc>
        <w:tc>
          <w:tcPr>
            <w:tcW w:w="2676" w:type="dxa"/>
          </w:tcPr>
          <w:p w:rsidR="003F5784" w14:paraId="3C33B377" w14:textId="77777777">
            <w:pPr>
              <w:pStyle w:val="TableParagraph"/>
              <w:ind w:right="564"/>
              <w:rPr>
                <w:sz w:val="21"/>
              </w:rPr>
            </w:pPr>
            <w:r>
              <w:rPr>
                <w:spacing w:val="-5"/>
                <w:sz w:val="21"/>
              </w:rPr>
              <w:t>236</w:t>
            </w:r>
          </w:p>
        </w:tc>
        <w:tc>
          <w:tcPr>
            <w:tcW w:w="1704" w:type="dxa"/>
          </w:tcPr>
          <w:p w:rsidR="003F5784" w14:paraId="2678BE77" w14:textId="77777777">
            <w:pPr>
              <w:pStyle w:val="TableParagraph"/>
              <w:ind w:right="118"/>
              <w:rPr>
                <w:sz w:val="21"/>
              </w:rPr>
            </w:pPr>
            <w:r>
              <w:rPr>
                <w:spacing w:val="-4"/>
                <w:sz w:val="21"/>
              </w:rPr>
              <w:t>4.30</w:t>
            </w:r>
          </w:p>
        </w:tc>
      </w:tr>
      <w:tr w14:paraId="754D5E14" w14:textId="77777777">
        <w:tblPrEx>
          <w:tblW w:w="0" w:type="auto"/>
          <w:tblInd w:w="482" w:type="dxa"/>
          <w:tblLayout w:type="fixed"/>
          <w:tblCellMar>
            <w:left w:w="0" w:type="dxa"/>
            <w:right w:w="0" w:type="dxa"/>
          </w:tblCellMar>
          <w:tblLook w:val="01E0"/>
        </w:tblPrEx>
        <w:trPr>
          <w:trHeight w:val="286"/>
        </w:trPr>
        <w:tc>
          <w:tcPr>
            <w:tcW w:w="4757" w:type="dxa"/>
          </w:tcPr>
          <w:p w:rsidR="003F5784" w14:paraId="19431EC3" w14:textId="77777777">
            <w:pPr>
              <w:pStyle w:val="TableParagraph"/>
              <w:ind w:left="328"/>
              <w:jc w:val="left"/>
              <w:rPr>
                <w:sz w:val="21"/>
              </w:rPr>
            </w:pPr>
            <w:r>
              <w:rPr>
                <w:sz w:val="21"/>
              </w:rPr>
              <w:t>Has</w:t>
            </w:r>
            <w:r>
              <w:rPr>
                <w:spacing w:val="-6"/>
                <w:sz w:val="21"/>
              </w:rPr>
              <w:t xml:space="preserve"> </w:t>
            </w:r>
            <w:r>
              <w:rPr>
                <w:sz w:val="21"/>
              </w:rPr>
              <w:t>sampled</w:t>
            </w:r>
            <w:r>
              <w:rPr>
                <w:spacing w:val="-5"/>
                <w:sz w:val="21"/>
              </w:rPr>
              <w:t xml:space="preserve"> </w:t>
            </w:r>
            <w:r>
              <w:rPr>
                <w:sz w:val="21"/>
              </w:rPr>
              <w:t>grade,</w:t>
            </w:r>
            <w:r>
              <w:rPr>
                <w:spacing w:val="-6"/>
                <w:sz w:val="21"/>
              </w:rPr>
              <w:t xml:space="preserve"> </w:t>
            </w:r>
            <w:r>
              <w:rPr>
                <w:sz w:val="21"/>
              </w:rPr>
              <w:t>but</w:t>
            </w:r>
            <w:r>
              <w:rPr>
                <w:spacing w:val="-5"/>
                <w:sz w:val="21"/>
              </w:rPr>
              <w:t xml:space="preserve"> </w:t>
            </w:r>
            <w:r>
              <w:rPr>
                <w:sz w:val="21"/>
              </w:rPr>
              <w:t>no</w:t>
            </w:r>
            <w:r>
              <w:rPr>
                <w:spacing w:val="-6"/>
                <w:sz w:val="21"/>
              </w:rPr>
              <w:t xml:space="preserve"> </w:t>
            </w:r>
            <w:r>
              <w:rPr>
                <w:sz w:val="21"/>
              </w:rPr>
              <w:t>eligible</w:t>
            </w:r>
            <w:r>
              <w:rPr>
                <w:spacing w:val="-5"/>
                <w:sz w:val="21"/>
              </w:rPr>
              <w:t xml:space="preserve"> </w:t>
            </w:r>
            <w:r>
              <w:rPr>
                <w:spacing w:val="-2"/>
                <w:sz w:val="21"/>
              </w:rPr>
              <w:t>students</w:t>
            </w:r>
          </w:p>
        </w:tc>
        <w:tc>
          <w:tcPr>
            <w:tcW w:w="3061" w:type="dxa"/>
          </w:tcPr>
          <w:p w:rsidR="003F5784" w14:paraId="3EFFF0AA" w14:textId="77777777">
            <w:pPr>
              <w:pStyle w:val="TableParagraph"/>
              <w:ind w:right="710"/>
              <w:rPr>
                <w:sz w:val="21"/>
              </w:rPr>
            </w:pPr>
            <w:r>
              <w:rPr>
                <w:spacing w:val="-5"/>
                <w:sz w:val="21"/>
              </w:rPr>
              <w:t>22</w:t>
            </w:r>
          </w:p>
        </w:tc>
        <w:tc>
          <w:tcPr>
            <w:tcW w:w="1787" w:type="dxa"/>
          </w:tcPr>
          <w:p w:rsidR="003F5784" w14:paraId="7BC07638" w14:textId="77777777">
            <w:pPr>
              <w:pStyle w:val="TableParagraph"/>
              <w:ind w:right="348"/>
              <w:rPr>
                <w:sz w:val="21"/>
              </w:rPr>
            </w:pPr>
            <w:r>
              <w:rPr>
                <w:spacing w:val="-4"/>
                <w:sz w:val="21"/>
              </w:rPr>
              <w:t>0.37</w:t>
            </w:r>
          </w:p>
        </w:tc>
        <w:tc>
          <w:tcPr>
            <w:tcW w:w="2676" w:type="dxa"/>
          </w:tcPr>
          <w:p w:rsidR="003F5784" w14:paraId="21843D61" w14:textId="77777777">
            <w:pPr>
              <w:pStyle w:val="TableParagraph"/>
              <w:ind w:right="564"/>
              <w:rPr>
                <w:sz w:val="21"/>
              </w:rPr>
            </w:pPr>
            <w:r>
              <w:rPr>
                <w:spacing w:val="-5"/>
                <w:sz w:val="21"/>
              </w:rPr>
              <w:t>23</w:t>
            </w:r>
          </w:p>
        </w:tc>
        <w:tc>
          <w:tcPr>
            <w:tcW w:w="1704" w:type="dxa"/>
          </w:tcPr>
          <w:p w:rsidR="003F5784" w14:paraId="69336F9A" w14:textId="77777777">
            <w:pPr>
              <w:pStyle w:val="TableParagraph"/>
              <w:ind w:right="118"/>
              <w:rPr>
                <w:sz w:val="21"/>
              </w:rPr>
            </w:pPr>
            <w:r>
              <w:rPr>
                <w:spacing w:val="-4"/>
                <w:sz w:val="21"/>
              </w:rPr>
              <w:t>0.42</w:t>
            </w:r>
          </w:p>
        </w:tc>
      </w:tr>
      <w:tr w14:paraId="3CC0FFA3" w14:textId="77777777">
        <w:tblPrEx>
          <w:tblW w:w="0" w:type="auto"/>
          <w:tblInd w:w="482" w:type="dxa"/>
          <w:tblLayout w:type="fixed"/>
          <w:tblCellMar>
            <w:left w:w="0" w:type="dxa"/>
            <w:right w:w="0" w:type="dxa"/>
          </w:tblCellMar>
          <w:tblLook w:val="01E0"/>
        </w:tblPrEx>
        <w:trPr>
          <w:trHeight w:val="288"/>
        </w:trPr>
        <w:tc>
          <w:tcPr>
            <w:tcW w:w="4757" w:type="dxa"/>
            <w:tcBorders>
              <w:bottom w:val="single" w:sz="18" w:space="0" w:color="800000"/>
            </w:tcBorders>
          </w:tcPr>
          <w:p w:rsidR="003F5784" w14:paraId="341F1E20" w14:textId="77777777">
            <w:pPr>
              <w:pStyle w:val="TableParagraph"/>
              <w:ind w:left="328"/>
              <w:jc w:val="left"/>
              <w:rPr>
                <w:sz w:val="21"/>
              </w:rPr>
            </w:pPr>
            <w:r>
              <w:rPr>
                <w:sz w:val="21"/>
              </w:rPr>
              <w:t>Does</w:t>
            </w:r>
            <w:r>
              <w:rPr>
                <w:spacing w:val="-6"/>
                <w:sz w:val="21"/>
              </w:rPr>
              <w:t xml:space="preserve"> </w:t>
            </w:r>
            <w:r>
              <w:rPr>
                <w:sz w:val="21"/>
              </w:rPr>
              <w:t>not</w:t>
            </w:r>
            <w:r>
              <w:rPr>
                <w:spacing w:val="-5"/>
                <w:sz w:val="21"/>
              </w:rPr>
              <w:t xml:space="preserve"> </w:t>
            </w:r>
            <w:r>
              <w:rPr>
                <w:sz w:val="21"/>
              </w:rPr>
              <w:t>have</w:t>
            </w:r>
            <w:r>
              <w:rPr>
                <w:spacing w:val="-6"/>
                <w:sz w:val="21"/>
              </w:rPr>
              <w:t xml:space="preserve"> </w:t>
            </w:r>
            <w:r>
              <w:rPr>
                <w:sz w:val="21"/>
              </w:rPr>
              <w:t>sampled</w:t>
            </w:r>
            <w:r>
              <w:rPr>
                <w:spacing w:val="-5"/>
                <w:sz w:val="21"/>
              </w:rPr>
              <w:t xml:space="preserve"> </w:t>
            </w:r>
            <w:r>
              <w:rPr>
                <w:spacing w:val="-2"/>
                <w:sz w:val="21"/>
              </w:rPr>
              <w:t>grade</w:t>
            </w:r>
          </w:p>
        </w:tc>
        <w:tc>
          <w:tcPr>
            <w:tcW w:w="3061" w:type="dxa"/>
            <w:tcBorders>
              <w:bottom w:val="single" w:sz="18" w:space="0" w:color="800000"/>
            </w:tcBorders>
          </w:tcPr>
          <w:p w:rsidR="003F5784" w14:paraId="28D38B04" w14:textId="77777777">
            <w:pPr>
              <w:pStyle w:val="TableParagraph"/>
              <w:ind w:right="710"/>
              <w:rPr>
                <w:sz w:val="21"/>
              </w:rPr>
            </w:pPr>
            <w:r>
              <w:rPr>
                <w:spacing w:val="-5"/>
                <w:sz w:val="21"/>
              </w:rPr>
              <w:t>48</w:t>
            </w:r>
          </w:p>
        </w:tc>
        <w:tc>
          <w:tcPr>
            <w:tcW w:w="1787" w:type="dxa"/>
            <w:tcBorders>
              <w:bottom w:val="single" w:sz="18" w:space="0" w:color="800000"/>
            </w:tcBorders>
          </w:tcPr>
          <w:p w:rsidR="003F5784" w14:paraId="5688E6AD" w14:textId="77777777">
            <w:pPr>
              <w:pStyle w:val="TableParagraph"/>
              <w:ind w:right="348"/>
              <w:rPr>
                <w:sz w:val="21"/>
              </w:rPr>
            </w:pPr>
            <w:r>
              <w:rPr>
                <w:spacing w:val="-4"/>
                <w:sz w:val="21"/>
              </w:rPr>
              <w:t>0.80</w:t>
            </w:r>
          </w:p>
        </w:tc>
        <w:tc>
          <w:tcPr>
            <w:tcW w:w="2676" w:type="dxa"/>
            <w:tcBorders>
              <w:bottom w:val="single" w:sz="18" w:space="0" w:color="800000"/>
            </w:tcBorders>
          </w:tcPr>
          <w:p w:rsidR="003F5784" w14:paraId="5D066CF6" w14:textId="77777777">
            <w:pPr>
              <w:pStyle w:val="TableParagraph"/>
              <w:ind w:right="564"/>
              <w:rPr>
                <w:sz w:val="21"/>
              </w:rPr>
            </w:pPr>
            <w:r>
              <w:rPr>
                <w:spacing w:val="-5"/>
                <w:sz w:val="21"/>
              </w:rPr>
              <w:t>59</w:t>
            </w:r>
          </w:p>
        </w:tc>
        <w:tc>
          <w:tcPr>
            <w:tcW w:w="1704" w:type="dxa"/>
            <w:tcBorders>
              <w:bottom w:val="single" w:sz="18" w:space="0" w:color="800000"/>
            </w:tcBorders>
          </w:tcPr>
          <w:p w:rsidR="003F5784" w14:paraId="5A8F0BB5" w14:textId="77777777">
            <w:pPr>
              <w:pStyle w:val="TableParagraph"/>
              <w:ind w:right="118"/>
              <w:rPr>
                <w:sz w:val="21"/>
              </w:rPr>
            </w:pPr>
            <w:r>
              <w:rPr>
                <w:spacing w:val="-4"/>
                <w:sz w:val="21"/>
              </w:rPr>
              <w:t>1.07</w:t>
            </w:r>
          </w:p>
        </w:tc>
      </w:tr>
      <w:tr w14:paraId="7022D5F0" w14:textId="77777777">
        <w:tblPrEx>
          <w:tblW w:w="0" w:type="auto"/>
          <w:tblInd w:w="482" w:type="dxa"/>
          <w:tblLayout w:type="fixed"/>
          <w:tblCellMar>
            <w:left w:w="0" w:type="dxa"/>
            <w:right w:w="0" w:type="dxa"/>
          </w:tblCellMar>
          <w:tblLook w:val="01E0"/>
        </w:tblPrEx>
        <w:trPr>
          <w:trHeight w:val="472"/>
        </w:trPr>
        <w:tc>
          <w:tcPr>
            <w:tcW w:w="13985" w:type="dxa"/>
            <w:gridSpan w:val="5"/>
            <w:tcBorders>
              <w:top w:val="single" w:sz="18" w:space="0" w:color="800000"/>
            </w:tcBorders>
          </w:tcPr>
          <w:p w:rsidR="003F5784" w14:paraId="531BE4BC" w14:textId="77777777">
            <w:pPr>
              <w:pStyle w:val="TableParagraph"/>
              <w:spacing w:before="0" w:line="234" w:lineRule="exact"/>
              <w:ind w:left="120"/>
              <w:jc w:val="left"/>
              <w:rPr>
                <w:sz w:val="21"/>
              </w:rPr>
            </w:pPr>
            <w:r>
              <w:rPr>
                <w:sz w:val="21"/>
              </w:rPr>
              <w:t>NOTE:</w:t>
            </w:r>
            <w:r>
              <w:rPr>
                <w:spacing w:val="-6"/>
                <w:sz w:val="21"/>
              </w:rPr>
              <w:t xml:space="preserve"> </w:t>
            </w:r>
            <w:r>
              <w:rPr>
                <w:sz w:val="21"/>
              </w:rPr>
              <w:t>Numbers</w:t>
            </w:r>
            <w:r>
              <w:rPr>
                <w:spacing w:val="-6"/>
                <w:sz w:val="21"/>
              </w:rPr>
              <w:t xml:space="preserve"> </w:t>
            </w:r>
            <w:r>
              <w:rPr>
                <w:sz w:val="21"/>
              </w:rPr>
              <w:t>of</w:t>
            </w:r>
            <w:r>
              <w:rPr>
                <w:spacing w:val="-6"/>
                <w:sz w:val="21"/>
              </w:rPr>
              <w:t xml:space="preserve"> </w:t>
            </w:r>
            <w:r>
              <w:rPr>
                <w:sz w:val="21"/>
              </w:rPr>
              <w:t>schools</w:t>
            </w:r>
            <w:r>
              <w:rPr>
                <w:spacing w:val="-6"/>
                <w:sz w:val="21"/>
              </w:rPr>
              <w:t xml:space="preserve"> </w:t>
            </w:r>
            <w:r>
              <w:rPr>
                <w:sz w:val="21"/>
              </w:rPr>
              <w:t>are</w:t>
            </w:r>
            <w:r>
              <w:rPr>
                <w:spacing w:val="-6"/>
                <w:sz w:val="21"/>
              </w:rPr>
              <w:t xml:space="preserve"> </w:t>
            </w:r>
            <w:r>
              <w:rPr>
                <w:sz w:val="21"/>
              </w:rPr>
              <w:t>rounded</w:t>
            </w:r>
            <w:r>
              <w:rPr>
                <w:spacing w:val="-6"/>
                <w:sz w:val="21"/>
              </w:rPr>
              <w:t xml:space="preserve"> </w:t>
            </w:r>
            <w:r>
              <w:rPr>
                <w:sz w:val="21"/>
              </w:rPr>
              <w:t>to</w:t>
            </w:r>
            <w:r>
              <w:rPr>
                <w:spacing w:val="-6"/>
                <w:sz w:val="21"/>
              </w:rPr>
              <w:t xml:space="preserve"> </w:t>
            </w:r>
            <w:r>
              <w:rPr>
                <w:sz w:val="21"/>
              </w:rPr>
              <w:t>nearest</w:t>
            </w:r>
            <w:r>
              <w:rPr>
                <w:spacing w:val="-6"/>
                <w:sz w:val="21"/>
              </w:rPr>
              <w:t xml:space="preserve"> </w:t>
            </w:r>
            <w:r>
              <w:rPr>
                <w:sz w:val="21"/>
              </w:rPr>
              <w:t>ten,</w:t>
            </w:r>
            <w:r>
              <w:rPr>
                <w:spacing w:val="-6"/>
                <w:sz w:val="21"/>
              </w:rPr>
              <w:t xml:space="preserve"> </w:t>
            </w:r>
            <w:r>
              <w:rPr>
                <w:sz w:val="21"/>
              </w:rPr>
              <w:t>except</w:t>
            </w:r>
            <w:r>
              <w:rPr>
                <w:spacing w:val="-6"/>
                <w:sz w:val="21"/>
              </w:rPr>
              <w:t xml:space="preserve"> </w:t>
            </w:r>
            <w:r>
              <w:rPr>
                <w:sz w:val="21"/>
              </w:rPr>
              <w:t>those</w:t>
            </w:r>
            <w:r>
              <w:rPr>
                <w:spacing w:val="-6"/>
                <w:sz w:val="21"/>
              </w:rPr>
              <w:t xml:space="preserve"> </w:t>
            </w:r>
            <w:r>
              <w:rPr>
                <w:sz w:val="21"/>
              </w:rPr>
              <w:t>pertaining</w:t>
            </w:r>
            <w:r>
              <w:rPr>
                <w:spacing w:val="-6"/>
                <w:sz w:val="21"/>
              </w:rPr>
              <w:t xml:space="preserve"> </w:t>
            </w:r>
            <w:r>
              <w:rPr>
                <w:sz w:val="21"/>
              </w:rPr>
              <w:t>to</w:t>
            </w:r>
            <w:r>
              <w:rPr>
                <w:spacing w:val="-6"/>
                <w:sz w:val="21"/>
              </w:rPr>
              <w:t xml:space="preserve"> </w:t>
            </w:r>
            <w:r>
              <w:rPr>
                <w:sz w:val="21"/>
              </w:rPr>
              <w:t>ineligible</w:t>
            </w:r>
            <w:r>
              <w:rPr>
                <w:spacing w:val="-6"/>
                <w:sz w:val="21"/>
              </w:rPr>
              <w:t xml:space="preserve"> </w:t>
            </w:r>
            <w:r>
              <w:rPr>
                <w:sz w:val="21"/>
              </w:rPr>
              <w:t>schools.</w:t>
            </w:r>
            <w:r>
              <w:rPr>
                <w:spacing w:val="-6"/>
                <w:sz w:val="21"/>
              </w:rPr>
              <w:t xml:space="preserve"> </w:t>
            </w:r>
            <w:r>
              <w:rPr>
                <w:sz w:val="21"/>
              </w:rPr>
              <w:t>Detail</w:t>
            </w:r>
            <w:r>
              <w:rPr>
                <w:spacing w:val="-6"/>
                <w:sz w:val="21"/>
              </w:rPr>
              <w:t xml:space="preserve"> </w:t>
            </w:r>
            <w:r>
              <w:rPr>
                <w:sz w:val="21"/>
              </w:rPr>
              <w:t>may</w:t>
            </w:r>
            <w:r>
              <w:rPr>
                <w:spacing w:val="-6"/>
                <w:sz w:val="21"/>
              </w:rPr>
              <w:t xml:space="preserve"> </w:t>
            </w:r>
            <w:r>
              <w:rPr>
                <w:sz w:val="21"/>
              </w:rPr>
              <w:t>not</w:t>
            </w:r>
            <w:r>
              <w:rPr>
                <w:spacing w:val="-6"/>
                <w:sz w:val="21"/>
              </w:rPr>
              <w:t xml:space="preserve"> </w:t>
            </w:r>
            <w:r>
              <w:rPr>
                <w:sz w:val="21"/>
              </w:rPr>
              <w:t>sum</w:t>
            </w:r>
            <w:r>
              <w:rPr>
                <w:spacing w:val="-6"/>
                <w:sz w:val="21"/>
              </w:rPr>
              <w:t xml:space="preserve"> </w:t>
            </w:r>
            <w:r>
              <w:rPr>
                <w:sz w:val="21"/>
              </w:rPr>
              <w:t>to</w:t>
            </w:r>
            <w:r>
              <w:rPr>
                <w:spacing w:val="-6"/>
                <w:sz w:val="21"/>
              </w:rPr>
              <w:t xml:space="preserve"> </w:t>
            </w:r>
            <w:r>
              <w:rPr>
                <w:sz w:val="21"/>
              </w:rPr>
              <w:t>totals</w:t>
            </w:r>
            <w:r>
              <w:rPr>
                <w:spacing w:val="-6"/>
                <w:sz w:val="21"/>
              </w:rPr>
              <w:t xml:space="preserve"> </w:t>
            </w:r>
            <w:r>
              <w:rPr>
                <w:sz w:val="21"/>
              </w:rPr>
              <w:t>due</w:t>
            </w:r>
            <w:r>
              <w:rPr>
                <w:spacing w:val="-6"/>
                <w:sz w:val="21"/>
              </w:rPr>
              <w:t xml:space="preserve"> </w:t>
            </w:r>
            <w:r>
              <w:rPr>
                <w:sz w:val="21"/>
              </w:rPr>
              <w:t>to</w:t>
            </w:r>
            <w:r>
              <w:rPr>
                <w:spacing w:val="-6"/>
                <w:sz w:val="21"/>
              </w:rPr>
              <w:t xml:space="preserve"> </w:t>
            </w:r>
            <w:r>
              <w:rPr>
                <w:sz w:val="21"/>
              </w:rPr>
              <w:t>rounding.</w:t>
            </w:r>
            <w:r>
              <w:rPr>
                <w:spacing w:val="-6"/>
                <w:sz w:val="21"/>
              </w:rPr>
              <w:t xml:space="preserve"> </w:t>
            </w:r>
            <w:r>
              <w:rPr>
                <w:sz w:val="21"/>
              </w:rPr>
              <w:t>Percentages</w:t>
            </w:r>
            <w:r>
              <w:rPr>
                <w:spacing w:val="-6"/>
                <w:sz w:val="21"/>
              </w:rPr>
              <w:t xml:space="preserve"> </w:t>
            </w:r>
            <w:r>
              <w:rPr>
                <w:sz w:val="21"/>
              </w:rPr>
              <w:t>are based on unrounded counts.</w:t>
            </w:r>
          </w:p>
        </w:tc>
      </w:tr>
    </w:tbl>
    <w:p w:rsidR="003F5784" w14:paraId="037649A2" w14:textId="77777777">
      <w:pPr>
        <w:pStyle w:val="BodyText"/>
        <w:spacing w:before="1"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State Mathematics and Reading Assessments.</w:t>
      </w:r>
    </w:p>
    <w:p w:rsidR="003F5784" w14:paraId="6BF37FA0" w14:textId="77777777">
      <w:pPr>
        <w:spacing w:line="232" w:lineRule="auto"/>
        <w:sectPr>
          <w:type w:val="continuous"/>
          <w:pgSz w:w="15840" w:h="12240" w:orient="landscape"/>
          <w:pgMar w:top="480" w:right="440" w:bottom="460" w:left="460" w:header="284" w:footer="275" w:gutter="0"/>
          <w:cols w:space="720"/>
        </w:sectPr>
      </w:pPr>
    </w:p>
    <w:p w:rsidR="003F5784" w14:paraId="77740AAB" w14:textId="77777777">
      <w:pPr>
        <w:pStyle w:val="BodyText"/>
        <w:tabs>
          <w:tab w:val="left" w:pos="11818"/>
        </w:tabs>
        <w:spacing w:before="98"/>
        <w:ind w:left="7209"/>
      </w:pPr>
      <w:r>
        <w:rPr>
          <w:noProof/>
        </w:rPr>
        <mc:AlternateContent>
          <mc:Choice Requires="wps">
            <w:drawing>
              <wp:anchor distT="0" distB="0" distL="0" distR="0" simplePos="0" relativeHeight="251660288" behindDoc="0" locked="0" layoutInCell="1" allowOverlap="1">
                <wp:simplePos x="0" y="0"/>
                <wp:positionH relativeFrom="page">
                  <wp:posOffset>3614331</wp:posOffset>
                </wp:positionH>
                <wp:positionV relativeFrom="paragraph">
                  <wp:posOffset>228456</wp:posOffset>
                </wp:positionV>
                <wp:extent cx="5859780" cy="17145"/>
                <wp:effectExtent l="0" t="0" r="0" b="0"/>
                <wp:wrapNone/>
                <wp:docPr id="291" name="Graphic 291"/>
                <wp:cNvGraphicFramePr/>
                <a:graphic xmlns:a="http://schemas.openxmlformats.org/drawingml/2006/main">
                  <a:graphicData uri="http://schemas.microsoft.com/office/word/2010/wordprocessingShape">
                    <wps:wsp xmlns:wps="http://schemas.microsoft.com/office/word/2010/wordprocessingShape">
                      <wps:cNvSpPr/>
                      <wps:spPr>
                        <a:xfrm>
                          <a:off x="0" y="0"/>
                          <a:ext cx="5859780" cy="17145"/>
                        </a:xfrm>
                        <a:custGeom>
                          <a:avLst/>
                          <a:gdLst/>
                          <a:rect l="l" t="t" r="r" b="b"/>
                          <a:pathLst>
                            <a:path fill="norm" h="17145" w="5859780" stroke="1">
                              <a:moveTo>
                                <a:pt x="5859272" y="0"/>
                              </a:moveTo>
                              <a:lnTo>
                                <a:pt x="2929636" y="0"/>
                              </a:lnTo>
                              <a:lnTo>
                                <a:pt x="0" y="0"/>
                              </a:lnTo>
                              <a:lnTo>
                                <a:pt x="0" y="16560"/>
                              </a:lnTo>
                              <a:lnTo>
                                <a:pt x="2929636" y="16560"/>
                              </a:lnTo>
                              <a:lnTo>
                                <a:pt x="5859272" y="16560"/>
                              </a:lnTo>
                              <a:lnTo>
                                <a:pt x="5859272" y="0"/>
                              </a:lnTo>
                              <a:close/>
                            </a:path>
                          </a:pathLst>
                        </a:custGeom>
                        <a:solidFill>
                          <a:srgbClr val="800000"/>
                        </a:solidFill>
                      </wps:spPr>
                      <wps:bodyPr wrap="square" lIns="0" tIns="0" rIns="0" bIns="0" rtlCol="0">
                        <a:prstTxWarp prst="textNoShape">
                          <a:avLst/>
                        </a:prstTxWarp>
                      </wps:bodyPr>
                    </wps:wsp>
                  </a:graphicData>
                </a:graphic>
              </wp:anchor>
            </w:drawing>
          </mc:Choice>
          <mc:Fallback>
            <w:pict>
              <v:shape id="Graphic 291" o:spid="_x0000_s1128" style="width:461.4pt;height:1.35pt;margin-top:18pt;margin-left:284.6pt;mso-position-horizontal-relative:page;mso-wrap-distance-bottom:0;mso-wrap-distance-left:0;mso-wrap-distance-right:0;mso-wrap-distance-top:0;mso-wrap-style:square;position:absolute;visibility:visible;v-text-anchor:top;z-index:251661312" coordsize="5859780,17145" path="m5859272,l2929636,,,,,16560l2929636,16560l5859272,16560l5859272,xe" fillcolor="maroon" stroked="f">
                <v:path arrowok="t"/>
              </v:shape>
            </w:pict>
          </mc:Fallback>
        </mc:AlternateContent>
      </w:r>
      <w:r>
        <w:t>Grade</w:t>
      </w:r>
      <w:r>
        <w:rPr>
          <w:spacing w:val="-7"/>
        </w:rPr>
        <w:t xml:space="preserve"> </w:t>
      </w:r>
      <w:r>
        <w:rPr>
          <w:spacing w:val="-10"/>
        </w:rPr>
        <w:t>4</w:t>
      </w:r>
      <w:r>
        <w:tab/>
        <w:t>Grade</w:t>
      </w:r>
      <w:r>
        <w:rPr>
          <w:spacing w:val="-7"/>
        </w:rPr>
        <w:t xml:space="preserve"> </w:t>
      </w:r>
      <w:r>
        <w:rPr>
          <w:spacing w:val="-10"/>
        </w:rPr>
        <w:t>8</w:t>
      </w:r>
    </w:p>
    <w:p w:rsidR="003F5784" w14:paraId="39CA318A" w14:textId="77777777">
      <w:pPr>
        <w:sectPr>
          <w:pgSz w:w="15840" w:h="12240" w:orient="landscape"/>
          <w:pgMar w:top="480" w:right="440" w:bottom="460" w:left="460" w:header="284" w:footer="275" w:gutter="0"/>
          <w:cols w:space="720"/>
        </w:sectPr>
      </w:pPr>
    </w:p>
    <w:p w:rsidR="003F5784" w14:paraId="1CDB58DF" w14:textId="77777777">
      <w:pPr>
        <w:pStyle w:val="BodyText"/>
        <w:spacing w:before="51"/>
      </w:pPr>
    </w:p>
    <w:p w:rsidR="003F5784" w14:paraId="25ED1F68" w14:textId="77777777">
      <w:pPr>
        <w:pStyle w:val="BodyText"/>
        <w:spacing w:before="1"/>
        <w:ind w:left="595"/>
      </w:pPr>
      <w:r>
        <w:t>Eligibility</w:t>
      </w:r>
      <w:r>
        <w:rPr>
          <w:spacing w:val="-10"/>
        </w:rPr>
        <w:t xml:space="preserve"> </w:t>
      </w:r>
      <w:r>
        <w:rPr>
          <w:spacing w:val="-2"/>
        </w:rPr>
        <w:t>status</w:t>
      </w:r>
    </w:p>
    <w:p w:rsidR="003F5784" w14:paraId="14DA9BB2" w14:textId="77777777">
      <w:pPr>
        <w:pStyle w:val="BodyText"/>
        <w:spacing w:before="59" w:line="238" w:lineRule="exact"/>
        <w:ind w:right="38"/>
        <w:jc w:val="right"/>
      </w:pPr>
      <w:r>
        <w:br w:type="column"/>
        <w:t>Unweighted</w:t>
      </w:r>
      <w:r>
        <w:rPr>
          <w:spacing w:val="-9"/>
        </w:rPr>
        <w:t xml:space="preserve"> </w:t>
      </w:r>
      <w:r>
        <w:t>count</w:t>
      </w:r>
      <w:r>
        <w:rPr>
          <w:spacing w:val="-8"/>
        </w:rPr>
        <w:t xml:space="preserve"> </w:t>
      </w:r>
      <w:r>
        <w:rPr>
          <w:spacing w:val="-5"/>
        </w:rPr>
        <w:t>of</w:t>
      </w:r>
    </w:p>
    <w:p w:rsidR="003F5784" w14:paraId="2193B702" w14:textId="77777777">
      <w:pPr>
        <w:pStyle w:val="BodyText"/>
        <w:spacing w:line="238" w:lineRule="exact"/>
        <w:ind w:right="38"/>
        <w:jc w:val="right"/>
      </w:pPr>
      <w:r>
        <w:rPr>
          <w:spacing w:val="-2"/>
        </w:rPr>
        <w:t>schools</w:t>
      </w:r>
    </w:p>
    <w:p w:rsidR="003F5784" w14:paraId="3AE09C2C" w14:textId="77777777">
      <w:pPr>
        <w:pStyle w:val="BodyText"/>
        <w:spacing w:before="64" w:line="232" w:lineRule="auto"/>
        <w:ind w:left="711" w:right="38" w:hanging="117"/>
      </w:pPr>
      <w:r>
        <w:br w:type="column"/>
      </w:r>
      <w:r>
        <w:rPr>
          <w:spacing w:val="-2"/>
        </w:rPr>
        <w:t>Unweighted percentage</w:t>
      </w:r>
    </w:p>
    <w:p w:rsidR="003F5784" w14:paraId="55D412A8" w14:textId="77777777">
      <w:pPr>
        <w:pStyle w:val="BodyText"/>
        <w:spacing w:before="59" w:line="238" w:lineRule="exact"/>
        <w:ind w:right="38"/>
        <w:jc w:val="right"/>
      </w:pPr>
      <w:r>
        <w:br w:type="column"/>
        <w:t>Unweighted</w:t>
      </w:r>
      <w:r>
        <w:rPr>
          <w:spacing w:val="-9"/>
        </w:rPr>
        <w:t xml:space="preserve"> </w:t>
      </w:r>
      <w:r>
        <w:t>count</w:t>
      </w:r>
      <w:r>
        <w:rPr>
          <w:spacing w:val="-8"/>
        </w:rPr>
        <w:t xml:space="preserve"> </w:t>
      </w:r>
      <w:r>
        <w:rPr>
          <w:spacing w:val="-5"/>
        </w:rPr>
        <w:t>of</w:t>
      </w:r>
    </w:p>
    <w:p w:rsidR="003F5784" w14:paraId="43DCAC98" w14:textId="77777777">
      <w:pPr>
        <w:pStyle w:val="BodyText"/>
        <w:spacing w:line="238" w:lineRule="exact"/>
        <w:ind w:right="38"/>
        <w:jc w:val="right"/>
      </w:pPr>
      <w:r>
        <w:rPr>
          <w:spacing w:val="-2"/>
        </w:rPr>
        <w:t>schools</w:t>
      </w:r>
    </w:p>
    <w:p w:rsidR="003F5784" w14:paraId="03D61CD6" w14:textId="77777777">
      <w:pPr>
        <w:pStyle w:val="BodyText"/>
        <w:spacing w:before="64" w:line="232" w:lineRule="auto"/>
        <w:ind w:left="711" w:right="598" w:hanging="117"/>
      </w:pPr>
      <w:r>
        <w:br w:type="column"/>
      </w:r>
      <w:r>
        <w:rPr>
          <w:spacing w:val="-2"/>
        </w:rPr>
        <w:t>Unweighted percentage</w:t>
      </w:r>
    </w:p>
    <w:p w:rsidR="003F5784" w14:paraId="481CFA82" w14:textId="77777777">
      <w:pPr>
        <w:spacing w:line="232" w:lineRule="auto"/>
        <w:sectPr>
          <w:type w:val="continuous"/>
          <w:pgSz w:w="15840" w:h="12240" w:orient="landscape"/>
          <w:pgMar w:top="480" w:right="440" w:bottom="460" w:left="460" w:header="284" w:footer="275" w:gutter="0"/>
          <w:cols w:num="5" w:space="720" w:equalWidth="0">
            <w:col w:w="2009" w:space="3216"/>
            <w:col w:w="2396" w:space="494"/>
            <w:col w:w="1655" w:space="64"/>
            <w:col w:w="2396" w:space="495"/>
            <w:col w:w="2215"/>
          </w:cols>
        </w:sectPr>
      </w:pPr>
    </w:p>
    <w:tbl>
      <w:tblPr>
        <w:tblW w:w="0" w:type="auto"/>
        <w:tblInd w:w="482" w:type="dxa"/>
        <w:tblLayout w:type="fixed"/>
        <w:tblCellMar>
          <w:left w:w="0" w:type="dxa"/>
          <w:right w:w="0" w:type="dxa"/>
        </w:tblCellMar>
        <w:tblLook w:val="01E0"/>
      </w:tblPr>
      <w:tblGrid>
        <w:gridCol w:w="4826"/>
        <w:gridCol w:w="3172"/>
        <w:gridCol w:w="2383"/>
        <w:gridCol w:w="2227"/>
        <w:gridCol w:w="1377"/>
      </w:tblGrid>
      <w:tr w14:paraId="4AC929DE" w14:textId="77777777">
        <w:tblPrEx>
          <w:tblW w:w="0" w:type="auto"/>
          <w:tblInd w:w="482" w:type="dxa"/>
          <w:tblLayout w:type="fixed"/>
          <w:tblCellMar>
            <w:left w:w="0" w:type="dxa"/>
            <w:right w:w="0" w:type="dxa"/>
          </w:tblCellMar>
          <w:tblLook w:val="01E0"/>
        </w:tblPrEx>
        <w:trPr>
          <w:trHeight w:val="278"/>
        </w:trPr>
        <w:tc>
          <w:tcPr>
            <w:tcW w:w="4826" w:type="dxa"/>
            <w:tcBorders>
              <w:top w:val="single" w:sz="18" w:space="0" w:color="800000"/>
            </w:tcBorders>
          </w:tcPr>
          <w:p w:rsidR="003F5784" w14:paraId="1AC332FB" w14:textId="77777777">
            <w:pPr>
              <w:pStyle w:val="TableParagraph"/>
              <w:spacing w:before="9"/>
              <w:ind w:left="328"/>
              <w:jc w:val="left"/>
              <w:rPr>
                <w:sz w:val="21"/>
              </w:rPr>
            </w:pPr>
            <w:r>
              <w:rPr>
                <w:sz w:val="21"/>
              </w:rPr>
              <w:t>School</w:t>
            </w:r>
            <w:r>
              <w:rPr>
                <w:spacing w:val="-7"/>
                <w:sz w:val="21"/>
              </w:rPr>
              <w:t xml:space="preserve"> </w:t>
            </w:r>
            <w:r>
              <w:rPr>
                <w:spacing w:val="-2"/>
                <w:sz w:val="21"/>
              </w:rPr>
              <w:t>closed</w:t>
            </w:r>
          </w:p>
        </w:tc>
        <w:tc>
          <w:tcPr>
            <w:tcW w:w="3172" w:type="dxa"/>
            <w:tcBorders>
              <w:top w:val="single" w:sz="18" w:space="0" w:color="800000"/>
            </w:tcBorders>
          </w:tcPr>
          <w:p w:rsidR="003F5784" w14:paraId="4D879449" w14:textId="77777777">
            <w:pPr>
              <w:pStyle w:val="TableParagraph"/>
              <w:spacing w:before="9"/>
              <w:ind w:right="890"/>
              <w:rPr>
                <w:sz w:val="21"/>
              </w:rPr>
            </w:pPr>
            <w:r>
              <w:rPr>
                <w:spacing w:val="-5"/>
                <w:sz w:val="21"/>
              </w:rPr>
              <w:t>51</w:t>
            </w:r>
          </w:p>
        </w:tc>
        <w:tc>
          <w:tcPr>
            <w:tcW w:w="2383" w:type="dxa"/>
            <w:tcBorders>
              <w:top w:val="single" w:sz="18" w:space="0" w:color="800000"/>
            </w:tcBorders>
          </w:tcPr>
          <w:p w:rsidR="003F5784" w14:paraId="65508AD6" w14:textId="77777777">
            <w:pPr>
              <w:pStyle w:val="TableParagraph"/>
              <w:spacing w:before="9"/>
              <w:ind w:right="1124"/>
              <w:rPr>
                <w:sz w:val="21"/>
              </w:rPr>
            </w:pPr>
            <w:r>
              <w:rPr>
                <w:spacing w:val="-4"/>
                <w:sz w:val="21"/>
              </w:rPr>
              <w:t>0.85</w:t>
            </w:r>
          </w:p>
        </w:tc>
        <w:tc>
          <w:tcPr>
            <w:tcW w:w="2227" w:type="dxa"/>
            <w:tcBorders>
              <w:top w:val="single" w:sz="18" w:space="0" w:color="800000"/>
            </w:tcBorders>
          </w:tcPr>
          <w:p w:rsidR="003F5784" w14:paraId="5DEB172C" w14:textId="77777777">
            <w:pPr>
              <w:pStyle w:val="TableParagraph"/>
              <w:spacing w:before="9"/>
              <w:ind w:right="891"/>
              <w:rPr>
                <w:sz w:val="21"/>
              </w:rPr>
            </w:pPr>
            <w:r>
              <w:rPr>
                <w:spacing w:val="-5"/>
                <w:sz w:val="21"/>
              </w:rPr>
              <w:t>51</w:t>
            </w:r>
          </w:p>
        </w:tc>
        <w:tc>
          <w:tcPr>
            <w:tcW w:w="1377" w:type="dxa"/>
            <w:tcBorders>
              <w:top w:val="single" w:sz="18" w:space="0" w:color="800000"/>
            </w:tcBorders>
          </w:tcPr>
          <w:p w:rsidR="003F5784" w14:paraId="1EE4CE40" w14:textId="77777777">
            <w:pPr>
              <w:pStyle w:val="TableParagraph"/>
              <w:spacing w:before="9"/>
              <w:ind w:right="118"/>
              <w:rPr>
                <w:sz w:val="21"/>
              </w:rPr>
            </w:pPr>
            <w:r>
              <w:rPr>
                <w:spacing w:val="-4"/>
                <w:sz w:val="21"/>
              </w:rPr>
              <w:t>0.93</w:t>
            </w:r>
          </w:p>
        </w:tc>
      </w:tr>
      <w:tr w14:paraId="4493ED41" w14:textId="77777777">
        <w:tblPrEx>
          <w:tblW w:w="0" w:type="auto"/>
          <w:tblInd w:w="482" w:type="dxa"/>
          <w:tblLayout w:type="fixed"/>
          <w:tblCellMar>
            <w:left w:w="0" w:type="dxa"/>
            <w:right w:w="0" w:type="dxa"/>
          </w:tblCellMar>
          <w:tblLook w:val="01E0"/>
        </w:tblPrEx>
        <w:trPr>
          <w:trHeight w:val="286"/>
        </w:trPr>
        <w:tc>
          <w:tcPr>
            <w:tcW w:w="4826" w:type="dxa"/>
          </w:tcPr>
          <w:p w:rsidR="003F5784" w14:paraId="22580177" w14:textId="77777777">
            <w:pPr>
              <w:pStyle w:val="TableParagraph"/>
              <w:ind w:left="328"/>
              <w:jc w:val="left"/>
              <w:rPr>
                <w:sz w:val="21"/>
              </w:rPr>
            </w:pPr>
            <w:r>
              <w:rPr>
                <w:sz w:val="21"/>
              </w:rPr>
              <w:t>Not</w:t>
            </w:r>
            <w:r>
              <w:rPr>
                <w:spacing w:val="-5"/>
                <w:sz w:val="21"/>
              </w:rPr>
              <w:t xml:space="preserve"> </w:t>
            </w:r>
            <w:r>
              <w:rPr>
                <w:sz w:val="21"/>
              </w:rPr>
              <w:t>a</w:t>
            </w:r>
            <w:r>
              <w:rPr>
                <w:spacing w:val="-4"/>
                <w:sz w:val="21"/>
              </w:rPr>
              <w:t xml:space="preserve"> </w:t>
            </w:r>
            <w:r>
              <w:rPr>
                <w:sz w:val="21"/>
              </w:rPr>
              <w:t>regular</w:t>
            </w:r>
            <w:r>
              <w:rPr>
                <w:spacing w:val="-5"/>
                <w:sz w:val="21"/>
              </w:rPr>
              <w:t xml:space="preserve"> </w:t>
            </w:r>
            <w:r>
              <w:rPr>
                <w:spacing w:val="-2"/>
                <w:sz w:val="21"/>
              </w:rPr>
              <w:t>school</w:t>
            </w:r>
          </w:p>
        </w:tc>
        <w:tc>
          <w:tcPr>
            <w:tcW w:w="3172" w:type="dxa"/>
          </w:tcPr>
          <w:p w:rsidR="003F5784" w14:paraId="253D0793" w14:textId="77777777">
            <w:pPr>
              <w:pStyle w:val="TableParagraph"/>
              <w:ind w:right="890"/>
              <w:rPr>
                <w:sz w:val="21"/>
              </w:rPr>
            </w:pPr>
            <w:r>
              <w:rPr>
                <w:spacing w:val="-5"/>
                <w:sz w:val="21"/>
              </w:rPr>
              <w:t>52</w:t>
            </w:r>
          </w:p>
        </w:tc>
        <w:tc>
          <w:tcPr>
            <w:tcW w:w="2383" w:type="dxa"/>
          </w:tcPr>
          <w:p w:rsidR="003F5784" w14:paraId="315867F9" w14:textId="77777777">
            <w:pPr>
              <w:pStyle w:val="TableParagraph"/>
              <w:ind w:right="1124"/>
              <w:rPr>
                <w:sz w:val="21"/>
              </w:rPr>
            </w:pPr>
            <w:r>
              <w:rPr>
                <w:spacing w:val="-4"/>
                <w:sz w:val="21"/>
              </w:rPr>
              <w:t>0.87</w:t>
            </w:r>
          </w:p>
        </w:tc>
        <w:tc>
          <w:tcPr>
            <w:tcW w:w="2227" w:type="dxa"/>
          </w:tcPr>
          <w:p w:rsidR="003F5784" w14:paraId="27997F92" w14:textId="77777777">
            <w:pPr>
              <w:pStyle w:val="TableParagraph"/>
              <w:ind w:right="891"/>
              <w:rPr>
                <w:sz w:val="21"/>
              </w:rPr>
            </w:pPr>
            <w:r>
              <w:rPr>
                <w:spacing w:val="-5"/>
                <w:sz w:val="21"/>
              </w:rPr>
              <w:t>81</w:t>
            </w:r>
          </w:p>
        </w:tc>
        <w:tc>
          <w:tcPr>
            <w:tcW w:w="1377" w:type="dxa"/>
          </w:tcPr>
          <w:p w:rsidR="003F5784" w14:paraId="46BFBBC9" w14:textId="77777777">
            <w:pPr>
              <w:pStyle w:val="TableParagraph"/>
              <w:ind w:right="118"/>
              <w:rPr>
                <w:sz w:val="21"/>
              </w:rPr>
            </w:pPr>
            <w:r>
              <w:rPr>
                <w:spacing w:val="-4"/>
                <w:sz w:val="21"/>
              </w:rPr>
              <w:t>1.48</w:t>
            </w:r>
          </w:p>
        </w:tc>
      </w:tr>
      <w:tr w14:paraId="7115C80D" w14:textId="77777777">
        <w:tblPrEx>
          <w:tblW w:w="0" w:type="auto"/>
          <w:tblInd w:w="482" w:type="dxa"/>
          <w:tblLayout w:type="fixed"/>
          <w:tblCellMar>
            <w:left w:w="0" w:type="dxa"/>
            <w:right w:w="0" w:type="dxa"/>
          </w:tblCellMar>
          <w:tblLook w:val="01E0"/>
        </w:tblPrEx>
        <w:trPr>
          <w:trHeight w:val="286"/>
        </w:trPr>
        <w:tc>
          <w:tcPr>
            <w:tcW w:w="4826" w:type="dxa"/>
          </w:tcPr>
          <w:p w:rsidR="003F5784" w14:paraId="7A01AB47" w14:textId="77777777">
            <w:pPr>
              <w:pStyle w:val="TableParagraph"/>
              <w:ind w:left="328"/>
              <w:jc w:val="left"/>
              <w:rPr>
                <w:sz w:val="21"/>
              </w:rPr>
            </w:pPr>
            <w:r>
              <w:rPr>
                <w:sz w:val="21"/>
              </w:rPr>
              <w:t>Other</w:t>
            </w:r>
            <w:r>
              <w:rPr>
                <w:spacing w:val="-8"/>
                <w:sz w:val="21"/>
              </w:rPr>
              <w:t xml:space="preserve"> </w:t>
            </w:r>
            <w:r>
              <w:rPr>
                <w:sz w:val="21"/>
              </w:rPr>
              <w:t>ineligible</w:t>
            </w:r>
            <w:r>
              <w:rPr>
                <w:spacing w:val="-7"/>
                <w:sz w:val="21"/>
              </w:rPr>
              <w:t xml:space="preserve"> </w:t>
            </w:r>
            <w:r>
              <w:rPr>
                <w:spacing w:val="-2"/>
                <w:sz w:val="21"/>
              </w:rPr>
              <w:t>school</w:t>
            </w:r>
          </w:p>
        </w:tc>
        <w:tc>
          <w:tcPr>
            <w:tcW w:w="3172" w:type="dxa"/>
          </w:tcPr>
          <w:p w:rsidR="003F5784" w14:paraId="2D14CCBD" w14:textId="77777777">
            <w:pPr>
              <w:pStyle w:val="TableParagraph"/>
              <w:ind w:right="890"/>
              <w:rPr>
                <w:sz w:val="21"/>
              </w:rPr>
            </w:pPr>
            <w:r>
              <w:rPr>
                <w:spacing w:val="-10"/>
                <w:sz w:val="21"/>
              </w:rPr>
              <w:t>8</w:t>
            </w:r>
          </w:p>
        </w:tc>
        <w:tc>
          <w:tcPr>
            <w:tcW w:w="2383" w:type="dxa"/>
          </w:tcPr>
          <w:p w:rsidR="003F5784" w14:paraId="11FF3193" w14:textId="77777777">
            <w:pPr>
              <w:pStyle w:val="TableParagraph"/>
              <w:ind w:right="1124"/>
              <w:rPr>
                <w:sz w:val="21"/>
              </w:rPr>
            </w:pPr>
            <w:r>
              <w:rPr>
                <w:spacing w:val="-4"/>
                <w:sz w:val="21"/>
              </w:rPr>
              <w:t>0.13</w:t>
            </w:r>
          </w:p>
        </w:tc>
        <w:tc>
          <w:tcPr>
            <w:tcW w:w="2227" w:type="dxa"/>
          </w:tcPr>
          <w:p w:rsidR="003F5784" w14:paraId="061D8FC0" w14:textId="77777777">
            <w:pPr>
              <w:pStyle w:val="TableParagraph"/>
              <w:ind w:right="891"/>
              <w:rPr>
                <w:sz w:val="21"/>
              </w:rPr>
            </w:pPr>
            <w:r>
              <w:rPr>
                <w:spacing w:val="-5"/>
                <w:sz w:val="21"/>
              </w:rPr>
              <w:t>22</w:t>
            </w:r>
          </w:p>
        </w:tc>
        <w:tc>
          <w:tcPr>
            <w:tcW w:w="1377" w:type="dxa"/>
          </w:tcPr>
          <w:p w:rsidR="003F5784" w14:paraId="372066D5" w14:textId="77777777">
            <w:pPr>
              <w:pStyle w:val="TableParagraph"/>
              <w:ind w:right="118"/>
              <w:rPr>
                <w:sz w:val="21"/>
              </w:rPr>
            </w:pPr>
            <w:r>
              <w:rPr>
                <w:spacing w:val="-4"/>
                <w:sz w:val="21"/>
              </w:rPr>
              <w:t>0.40</w:t>
            </w:r>
          </w:p>
        </w:tc>
      </w:tr>
      <w:tr w14:paraId="35837946" w14:textId="77777777">
        <w:tblPrEx>
          <w:tblW w:w="0" w:type="auto"/>
          <w:tblInd w:w="482" w:type="dxa"/>
          <w:tblLayout w:type="fixed"/>
          <w:tblCellMar>
            <w:left w:w="0" w:type="dxa"/>
            <w:right w:w="0" w:type="dxa"/>
          </w:tblCellMar>
          <w:tblLook w:val="01E0"/>
        </w:tblPrEx>
        <w:trPr>
          <w:trHeight w:val="288"/>
        </w:trPr>
        <w:tc>
          <w:tcPr>
            <w:tcW w:w="4826" w:type="dxa"/>
            <w:tcBorders>
              <w:bottom w:val="single" w:sz="18" w:space="0" w:color="800000"/>
            </w:tcBorders>
          </w:tcPr>
          <w:p w:rsidR="003F5784" w14:paraId="6BA89048" w14:textId="77777777">
            <w:pPr>
              <w:pStyle w:val="TableParagraph"/>
              <w:ind w:left="328"/>
              <w:jc w:val="left"/>
              <w:rPr>
                <w:sz w:val="21"/>
              </w:rPr>
            </w:pPr>
            <w:r>
              <w:rPr>
                <w:sz w:val="21"/>
              </w:rPr>
              <w:t>Duplicate</w:t>
            </w:r>
            <w:r>
              <w:rPr>
                <w:spacing w:val="-7"/>
                <w:sz w:val="21"/>
              </w:rPr>
              <w:t xml:space="preserve"> </w:t>
            </w:r>
            <w:r>
              <w:rPr>
                <w:sz w:val="21"/>
              </w:rPr>
              <w:t>on</w:t>
            </w:r>
            <w:r>
              <w:rPr>
                <w:spacing w:val="-7"/>
                <w:sz w:val="21"/>
              </w:rPr>
              <w:t xml:space="preserve"> </w:t>
            </w:r>
            <w:r>
              <w:rPr>
                <w:sz w:val="21"/>
              </w:rPr>
              <w:t>sampling</w:t>
            </w:r>
            <w:r>
              <w:rPr>
                <w:spacing w:val="-7"/>
                <w:sz w:val="21"/>
              </w:rPr>
              <w:t xml:space="preserve"> </w:t>
            </w:r>
            <w:r>
              <w:rPr>
                <w:spacing w:val="-4"/>
                <w:sz w:val="21"/>
              </w:rPr>
              <w:t>frame</w:t>
            </w:r>
          </w:p>
        </w:tc>
        <w:tc>
          <w:tcPr>
            <w:tcW w:w="3172" w:type="dxa"/>
            <w:tcBorders>
              <w:bottom w:val="single" w:sz="18" w:space="0" w:color="800000"/>
            </w:tcBorders>
          </w:tcPr>
          <w:p w:rsidR="003F5784" w14:paraId="3CB41A36" w14:textId="77777777">
            <w:pPr>
              <w:pStyle w:val="TableParagraph"/>
              <w:ind w:right="890"/>
              <w:rPr>
                <w:sz w:val="21"/>
              </w:rPr>
            </w:pPr>
            <w:r>
              <w:rPr>
                <w:spacing w:val="-10"/>
                <w:sz w:val="21"/>
              </w:rPr>
              <w:t>0</w:t>
            </w:r>
          </w:p>
        </w:tc>
        <w:tc>
          <w:tcPr>
            <w:tcW w:w="2383" w:type="dxa"/>
            <w:tcBorders>
              <w:bottom w:val="single" w:sz="18" w:space="0" w:color="800000"/>
            </w:tcBorders>
          </w:tcPr>
          <w:p w:rsidR="003F5784" w14:paraId="645E4D6D" w14:textId="77777777">
            <w:pPr>
              <w:pStyle w:val="TableParagraph"/>
              <w:ind w:right="1124"/>
              <w:rPr>
                <w:sz w:val="21"/>
              </w:rPr>
            </w:pPr>
            <w:r>
              <w:rPr>
                <w:spacing w:val="-10"/>
                <w:sz w:val="21"/>
              </w:rPr>
              <w:t>0</w:t>
            </w:r>
          </w:p>
        </w:tc>
        <w:tc>
          <w:tcPr>
            <w:tcW w:w="2227" w:type="dxa"/>
            <w:tcBorders>
              <w:bottom w:val="single" w:sz="18" w:space="0" w:color="800000"/>
            </w:tcBorders>
          </w:tcPr>
          <w:p w:rsidR="003F5784" w14:paraId="10CD3733" w14:textId="77777777">
            <w:pPr>
              <w:pStyle w:val="TableParagraph"/>
              <w:ind w:right="891"/>
              <w:rPr>
                <w:sz w:val="21"/>
              </w:rPr>
            </w:pPr>
            <w:r>
              <w:rPr>
                <w:spacing w:val="-10"/>
                <w:sz w:val="21"/>
              </w:rPr>
              <w:t>0</w:t>
            </w:r>
          </w:p>
        </w:tc>
        <w:tc>
          <w:tcPr>
            <w:tcW w:w="1377" w:type="dxa"/>
            <w:tcBorders>
              <w:bottom w:val="single" w:sz="18" w:space="0" w:color="800000"/>
            </w:tcBorders>
          </w:tcPr>
          <w:p w:rsidR="003F5784" w14:paraId="2BCB68E2" w14:textId="77777777">
            <w:pPr>
              <w:pStyle w:val="TableParagraph"/>
              <w:ind w:right="118"/>
              <w:rPr>
                <w:sz w:val="21"/>
              </w:rPr>
            </w:pPr>
            <w:r>
              <w:rPr>
                <w:spacing w:val="-10"/>
                <w:sz w:val="21"/>
              </w:rPr>
              <w:t>0</w:t>
            </w:r>
          </w:p>
        </w:tc>
      </w:tr>
    </w:tbl>
    <w:p w:rsidR="003F5784" w14:paraId="0FD03DBC" w14:textId="77777777">
      <w:pPr>
        <w:pStyle w:val="BodyText"/>
        <w:spacing w:before="22" w:line="232" w:lineRule="auto"/>
        <w:ind w:left="595" w:right="588"/>
      </w:pPr>
      <w:r>
        <w:t>NOTE:</w:t>
      </w:r>
      <w:r>
        <w:rPr>
          <w:spacing w:val="-6"/>
        </w:rPr>
        <w:t xml:space="preserve"> </w:t>
      </w:r>
      <w:r>
        <w:t>Numbers</w:t>
      </w:r>
      <w:r>
        <w:rPr>
          <w:spacing w:val="-6"/>
        </w:rPr>
        <w:t xml:space="preserve"> </w:t>
      </w:r>
      <w:r>
        <w:t>of</w:t>
      </w:r>
      <w:r>
        <w:rPr>
          <w:spacing w:val="-6"/>
        </w:rPr>
        <w:t xml:space="preserve"> </w:t>
      </w:r>
      <w:r>
        <w:t>schools</w:t>
      </w:r>
      <w:r>
        <w:rPr>
          <w:spacing w:val="-6"/>
        </w:rPr>
        <w:t xml:space="preserve"> </w:t>
      </w:r>
      <w:r>
        <w:t>are</w:t>
      </w:r>
      <w:r>
        <w:rPr>
          <w:spacing w:val="-6"/>
        </w:rPr>
        <w:t xml:space="preserve"> </w:t>
      </w:r>
      <w:r>
        <w:t>rounded</w:t>
      </w:r>
      <w:r>
        <w:rPr>
          <w:spacing w:val="-6"/>
        </w:rPr>
        <w:t xml:space="preserve"> </w:t>
      </w:r>
      <w:r>
        <w:t>to</w:t>
      </w:r>
      <w:r>
        <w:rPr>
          <w:spacing w:val="-6"/>
        </w:rPr>
        <w:t xml:space="preserve"> </w:t>
      </w:r>
      <w:r>
        <w:t>nearest</w:t>
      </w:r>
      <w:r>
        <w:rPr>
          <w:spacing w:val="-6"/>
        </w:rPr>
        <w:t xml:space="preserve"> </w:t>
      </w:r>
      <w:r>
        <w:t>ten,</w:t>
      </w:r>
      <w:r>
        <w:rPr>
          <w:spacing w:val="-6"/>
        </w:rPr>
        <w:t xml:space="preserve"> </w:t>
      </w:r>
      <w:r>
        <w:t>except</w:t>
      </w:r>
      <w:r>
        <w:rPr>
          <w:spacing w:val="-6"/>
        </w:rPr>
        <w:t xml:space="preserve"> </w:t>
      </w:r>
      <w:r>
        <w:t>those</w:t>
      </w:r>
      <w:r>
        <w:rPr>
          <w:spacing w:val="-6"/>
        </w:rPr>
        <w:t xml:space="preserve"> </w:t>
      </w:r>
      <w:r>
        <w:t>pertaining</w:t>
      </w:r>
      <w:r>
        <w:rPr>
          <w:spacing w:val="-6"/>
        </w:rPr>
        <w:t xml:space="preserve"> </w:t>
      </w:r>
      <w:r>
        <w:t>to</w:t>
      </w:r>
      <w:r>
        <w:rPr>
          <w:spacing w:val="-6"/>
        </w:rPr>
        <w:t xml:space="preserve"> </w:t>
      </w:r>
      <w:r>
        <w:t>ineligible</w:t>
      </w:r>
      <w:r>
        <w:rPr>
          <w:spacing w:val="-6"/>
        </w:rPr>
        <w:t xml:space="preserve"> </w:t>
      </w:r>
      <w:r>
        <w:t>schools.</w:t>
      </w:r>
      <w:r>
        <w:rPr>
          <w:spacing w:val="-6"/>
        </w:rPr>
        <w:t xml:space="preserve"> </w:t>
      </w:r>
      <w:r>
        <w:t>Detail</w:t>
      </w:r>
      <w:r>
        <w:rPr>
          <w:spacing w:val="-6"/>
        </w:rPr>
        <w:t xml:space="preserve"> </w:t>
      </w:r>
      <w:r>
        <w:t>may</w:t>
      </w:r>
      <w:r>
        <w:rPr>
          <w:spacing w:val="-6"/>
        </w:rPr>
        <w:t xml:space="preserve"> </w:t>
      </w:r>
      <w:r>
        <w:t>not</w:t>
      </w:r>
      <w:r>
        <w:rPr>
          <w:spacing w:val="-6"/>
        </w:rPr>
        <w:t xml:space="preserve"> </w:t>
      </w:r>
      <w:r>
        <w:t>sum</w:t>
      </w:r>
      <w:r>
        <w:rPr>
          <w:spacing w:val="-6"/>
        </w:rPr>
        <w:t xml:space="preserve"> </w:t>
      </w:r>
      <w:r>
        <w:t>to</w:t>
      </w:r>
      <w:r>
        <w:rPr>
          <w:spacing w:val="-6"/>
        </w:rPr>
        <w:t xml:space="preserve"> </w:t>
      </w:r>
      <w:r>
        <w:t>totals</w:t>
      </w:r>
      <w:r>
        <w:rPr>
          <w:spacing w:val="-6"/>
        </w:rPr>
        <w:t xml:space="preserve"> </w:t>
      </w:r>
      <w:r>
        <w:t>due</w:t>
      </w:r>
      <w:r>
        <w:rPr>
          <w:spacing w:val="-6"/>
        </w:rPr>
        <w:t xml:space="preserve"> </w:t>
      </w:r>
      <w:r>
        <w:t>to</w:t>
      </w:r>
      <w:r>
        <w:rPr>
          <w:spacing w:val="-6"/>
        </w:rPr>
        <w:t xml:space="preserve"> </w:t>
      </w:r>
      <w:r>
        <w:t>rounding.</w:t>
      </w:r>
      <w:r>
        <w:rPr>
          <w:spacing w:val="-6"/>
        </w:rPr>
        <w:t xml:space="preserve"> </w:t>
      </w:r>
      <w:r>
        <w:t>Percentages</w:t>
      </w:r>
      <w:r>
        <w:rPr>
          <w:spacing w:val="-6"/>
        </w:rPr>
        <w:t xml:space="preserve"> </w:t>
      </w:r>
      <w:r>
        <w:t>are based on unrounded counts.</w:t>
      </w:r>
    </w:p>
    <w:p w:rsidR="003F5784" w14:paraId="42DD1DD4" w14:textId="77777777">
      <w:pPr>
        <w:pStyle w:val="BodyText"/>
        <w:spacing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State Mathematics and Reading Assessments.</w:t>
      </w:r>
    </w:p>
    <w:p w:rsidR="003F5784" w14:paraId="37CE2143" w14:textId="77777777">
      <w:pPr>
        <w:pStyle w:val="BodyText"/>
      </w:pPr>
    </w:p>
    <w:p w:rsidR="003F5784" w14:paraId="79DED99C" w14:textId="77777777">
      <w:pPr>
        <w:pStyle w:val="BodyText"/>
        <w:spacing w:before="205"/>
      </w:pPr>
    </w:p>
    <w:p w:rsidR="003F5784" w14:paraId="754F2071" w14:textId="77777777">
      <w:pPr>
        <w:ind w:left="4405"/>
        <w:rPr>
          <w:sz w:val="18"/>
        </w:rPr>
      </w:pPr>
      <w:hyperlink r:id="rId252">
        <w:r>
          <w:rPr>
            <w:spacing w:val="-2"/>
            <w:w w:val="105"/>
            <w:sz w:val="18"/>
          </w:rPr>
          <w:t>http://nces.ed.gov/nationsreportcard/tdw/sample_design/2022/eligibility_status_of_schools_sampled_for_the_2022_state_assessment.aspx</w:t>
        </w:r>
      </w:hyperlink>
    </w:p>
    <w:p w:rsidR="003F5784" w14:paraId="779C891B" w14:textId="77777777">
      <w:pPr>
        <w:pStyle w:val="BodyText"/>
        <w:spacing w:before="1"/>
        <w:rPr>
          <w:sz w:val="16"/>
        </w:rPr>
      </w:pPr>
      <w:r>
        <w:rPr>
          <w:noProof/>
        </w:rPr>
        <mc:AlternateContent>
          <mc:Choice Requires="wps">
            <w:drawing>
              <wp:anchor distT="0" distB="0" distL="0" distR="0" simplePos="0" relativeHeight="251915264" behindDoc="1" locked="0" layoutInCell="1" allowOverlap="1">
                <wp:simplePos x="0" y="0"/>
                <wp:positionH relativeFrom="page">
                  <wp:posOffset>361937</wp:posOffset>
                </wp:positionH>
                <wp:positionV relativeFrom="paragraph">
                  <wp:posOffset>132667</wp:posOffset>
                </wp:positionV>
                <wp:extent cx="9339580" cy="8890"/>
                <wp:effectExtent l="0" t="0" r="0" b="0"/>
                <wp:wrapTopAndBottom/>
                <wp:docPr id="292" name="Graphic 292"/>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38"/>
                              </a:moveTo>
                              <a:lnTo>
                                <a:pt x="9335110" y="38"/>
                              </a:lnTo>
                              <a:lnTo>
                                <a:pt x="8280" y="38"/>
                              </a:lnTo>
                              <a:lnTo>
                                <a:pt x="0" y="0"/>
                              </a:lnTo>
                              <a:lnTo>
                                <a:pt x="0" y="8267"/>
                              </a:lnTo>
                              <a:lnTo>
                                <a:pt x="9335110" y="8305"/>
                              </a:lnTo>
                              <a:lnTo>
                                <a:pt x="9338970" y="8305"/>
                              </a:lnTo>
                              <a:lnTo>
                                <a:pt x="9338970" y="38"/>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92" o:spid="_x0000_s1129" style="width:735.4pt;height:0.7pt;margin-top:10.45pt;margin-left:28.5pt;mso-position-horizontal-relative:page;mso-wrap-distance-bottom:0;mso-wrap-distance-left:0;mso-wrap-distance-right:0;mso-wrap-distance-top:0;mso-wrap-style:square;position:absolute;visibility:visible;v-text-anchor:top;z-index:-251400192" coordsize="9339580,8890" path="m9338970,38l9335110,38l8280,38,,,,8267l9335110,8305l9338970,8305l9338970,38xe" fillcolor="gray" stroked="f">
                <v:path arrowok="t"/>
                <w10:wrap type="topAndBottom"/>
              </v:shape>
            </w:pict>
          </mc:Fallback>
        </mc:AlternateContent>
      </w:r>
    </w:p>
    <w:p w:rsidR="003F5784" w14:paraId="4B44CCF7" w14:textId="77777777">
      <w:pPr>
        <w:pStyle w:val="BodyText"/>
        <w:rPr>
          <w:sz w:val="18"/>
        </w:rPr>
      </w:pPr>
    </w:p>
    <w:p w:rsidR="003F5784" w14:paraId="2977F8D2" w14:textId="77777777">
      <w:pPr>
        <w:pStyle w:val="BodyText"/>
        <w:spacing w:before="193"/>
        <w:rPr>
          <w:sz w:val="18"/>
        </w:rPr>
      </w:pPr>
    </w:p>
    <w:p w:rsidR="003F5784" w14:paraId="7A916900" w14:textId="4398E4C5">
      <w:pPr>
        <w:pStyle w:val="Heading1"/>
        <w:spacing w:line="244" w:lineRule="auto"/>
      </w:pPr>
      <w:r>
        <w:t>NAEP</w:t>
      </w:r>
      <w:r>
        <w:rPr>
          <w:spacing w:val="-20"/>
        </w:rPr>
        <w:t xml:space="preserve"> </w:t>
      </w:r>
      <w:r>
        <w:t>Technical Documentation</w:t>
      </w:r>
      <w:r w:rsidR="004C039D">
        <w:t xml:space="preserve"> </w:t>
      </w:r>
      <w:r>
        <w:t>Total and Eligible Sampled Schools for the 2022 State Assessment</w:t>
      </w:r>
    </w:p>
    <w:p w:rsidR="003F5784" w14:paraId="3776279A" w14:textId="77777777">
      <w:pPr>
        <w:pStyle w:val="BodyText"/>
        <w:spacing w:before="281"/>
        <w:ind w:left="109"/>
      </w:pPr>
      <w:r>
        <w:t>The</w:t>
      </w:r>
      <w:r>
        <w:rPr>
          <w:spacing w:val="-7"/>
        </w:rPr>
        <w:t xml:space="preserve"> </w:t>
      </w:r>
      <w:r>
        <w:t>following</w:t>
      </w:r>
      <w:r>
        <w:rPr>
          <w:spacing w:val="-6"/>
        </w:rPr>
        <w:t xml:space="preserve"> </w:t>
      </w:r>
      <w:r>
        <w:t>table</w:t>
      </w:r>
      <w:r>
        <w:rPr>
          <w:spacing w:val="-6"/>
        </w:rPr>
        <w:t xml:space="preserve"> </w:t>
      </w:r>
      <w:r>
        <w:t>presents</w:t>
      </w:r>
      <w:r>
        <w:rPr>
          <w:spacing w:val="-7"/>
        </w:rPr>
        <w:t xml:space="preserve"> </w:t>
      </w:r>
      <w:r>
        <w:t>the</w:t>
      </w:r>
      <w:r>
        <w:rPr>
          <w:spacing w:val="-6"/>
        </w:rPr>
        <w:t xml:space="preserve"> </w:t>
      </w:r>
      <w:r>
        <w:t>numbers</w:t>
      </w:r>
      <w:r>
        <w:rPr>
          <w:spacing w:val="-6"/>
        </w:rPr>
        <w:t xml:space="preserve"> </w:t>
      </w:r>
      <w:r>
        <w:t>of</w:t>
      </w:r>
      <w:r>
        <w:rPr>
          <w:spacing w:val="-6"/>
        </w:rPr>
        <w:t xml:space="preserve"> </w:t>
      </w:r>
      <w:r>
        <w:t>total</w:t>
      </w:r>
      <w:r>
        <w:rPr>
          <w:spacing w:val="-7"/>
        </w:rPr>
        <w:t xml:space="preserve"> </w:t>
      </w:r>
      <w:r>
        <w:t>and</w:t>
      </w:r>
      <w:r>
        <w:rPr>
          <w:spacing w:val="-6"/>
        </w:rPr>
        <w:t xml:space="preserve"> </w:t>
      </w:r>
      <w:r>
        <w:t>eligible</w:t>
      </w:r>
      <w:r>
        <w:rPr>
          <w:spacing w:val="-6"/>
        </w:rPr>
        <w:t xml:space="preserve"> </w:t>
      </w:r>
      <w:r>
        <w:t>fourth-</w:t>
      </w:r>
      <w:r>
        <w:rPr>
          <w:spacing w:val="-6"/>
        </w:rPr>
        <w:t xml:space="preserve"> </w:t>
      </w:r>
      <w:r>
        <w:t>and</w:t>
      </w:r>
      <w:r>
        <w:rPr>
          <w:spacing w:val="-6"/>
        </w:rPr>
        <w:t xml:space="preserve"> </w:t>
      </w:r>
      <w:r>
        <w:t>eighth-grade</w:t>
      </w:r>
      <w:r>
        <w:rPr>
          <w:spacing w:val="-7"/>
        </w:rPr>
        <w:t xml:space="preserve"> </w:t>
      </w:r>
      <w:r>
        <w:t>schools</w:t>
      </w:r>
      <w:r>
        <w:rPr>
          <w:spacing w:val="-6"/>
        </w:rPr>
        <w:t xml:space="preserve"> </w:t>
      </w:r>
      <w:r>
        <w:t>sampled</w:t>
      </w:r>
      <w:r>
        <w:rPr>
          <w:spacing w:val="-6"/>
        </w:rPr>
        <w:t xml:space="preserve"> </w:t>
      </w:r>
      <w:r>
        <w:t>for</w:t>
      </w:r>
      <w:r>
        <w:rPr>
          <w:spacing w:val="-6"/>
        </w:rPr>
        <w:t xml:space="preserve"> </w:t>
      </w:r>
      <w:r>
        <w:t>each</w:t>
      </w:r>
      <w:r>
        <w:rPr>
          <w:spacing w:val="-7"/>
        </w:rPr>
        <w:t xml:space="preserve"> </w:t>
      </w:r>
      <w:r>
        <w:t>NAEP</w:t>
      </w:r>
      <w:r>
        <w:rPr>
          <w:spacing w:val="-13"/>
        </w:rPr>
        <w:t xml:space="preserve"> </w:t>
      </w:r>
      <w:r>
        <w:t>2022</w:t>
      </w:r>
      <w:r>
        <w:rPr>
          <w:spacing w:val="-6"/>
        </w:rPr>
        <w:t xml:space="preserve"> </w:t>
      </w:r>
      <w:r>
        <w:t>state</w:t>
      </w:r>
      <w:r>
        <w:rPr>
          <w:spacing w:val="-6"/>
        </w:rPr>
        <w:t xml:space="preserve"> </w:t>
      </w:r>
      <w:r>
        <w:t>assessment</w:t>
      </w:r>
      <w:r>
        <w:rPr>
          <w:spacing w:val="-6"/>
        </w:rPr>
        <w:t xml:space="preserve"> </w:t>
      </w:r>
      <w:r>
        <w:rPr>
          <w:spacing w:val="-2"/>
        </w:rPr>
        <w:t>jurisdiction.</w:t>
      </w:r>
    </w:p>
    <w:p w:rsidR="003F5784" w14:paraId="4ADA0980" w14:textId="77777777">
      <w:pPr>
        <w:pStyle w:val="BodyText"/>
        <w:spacing w:before="90"/>
      </w:pPr>
    </w:p>
    <w:p w:rsidR="003F5784" w14:paraId="29AB4313" w14:textId="77777777">
      <w:pPr>
        <w:pStyle w:val="Heading2"/>
      </w:pPr>
      <w:r>
        <w:t>Total</w:t>
      </w:r>
      <w:r>
        <w:rPr>
          <w:spacing w:val="-9"/>
        </w:rPr>
        <w:t xml:space="preserve"> </w:t>
      </w:r>
      <w:r>
        <w:t>and</w:t>
      </w:r>
      <w:r>
        <w:rPr>
          <w:spacing w:val="-9"/>
        </w:rPr>
        <w:t xml:space="preserve"> </w:t>
      </w:r>
      <w:r>
        <w:t>eligible</w:t>
      </w:r>
      <w:r>
        <w:rPr>
          <w:spacing w:val="-9"/>
        </w:rPr>
        <w:t xml:space="preserve"> </w:t>
      </w:r>
      <w:r>
        <w:t>sampled</w:t>
      </w:r>
      <w:r>
        <w:rPr>
          <w:spacing w:val="-9"/>
        </w:rPr>
        <w:t xml:space="preserve"> </w:t>
      </w:r>
      <w:r>
        <w:t>schools,</w:t>
      </w:r>
      <w:r>
        <w:rPr>
          <w:spacing w:val="-8"/>
        </w:rPr>
        <w:t xml:space="preserve"> </w:t>
      </w:r>
      <w:r>
        <w:t>state</w:t>
      </w:r>
      <w:r>
        <w:rPr>
          <w:spacing w:val="-9"/>
        </w:rPr>
        <w:t xml:space="preserve"> </w:t>
      </w:r>
      <w:r>
        <w:t>assessment,</w:t>
      </w:r>
      <w:r>
        <w:rPr>
          <w:spacing w:val="-9"/>
        </w:rPr>
        <w:t xml:space="preserve"> </w:t>
      </w:r>
      <w:r>
        <w:t>by</w:t>
      </w:r>
      <w:r>
        <w:rPr>
          <w:spacing w:val="-9"/>
        </w:rPr>
        <w:t xml:space="preserve"> </w:t>
      </w:r>
      <w:r>
        <w:t>grade</w:t>
      </w:r>
      <w:r>
        <w:rPr>
          <w:spacing w:val="-8"/>
        </w:rPr>
        <w:t xml:space="preserve"> </w:t>
      </w:r>
      <w:r>
        <w:t>and</w:t>
      </w:r>
      <w:r>
        <w:rPr>
          <w:spacing w:val="-9"/>
        </w:rPr>
        <w:t xml:space="preserve"> </w:t>
      </w:r>
      <w:r>
        <w:t>jurisdiction:</w:t>
      </w:r>
      <w:r>
        <w:rPr>
          <w:spacing w:val="-9"/>
        </w:rPr>
        <w:t xml:space="preserve"> </w:t>
      </w:r>
      <w:r>
        <w:rPr>
          <w:spacing w:val="-4"/>
        </w:rPr>
        <w:t>2022</w:t>
      </w:r>
    </w:p>
    <w:p w:rsidR="003F5784" w14:paraId="2A3905FF"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5200"/>
        <w:gridCol w:w="2164"/>
        <w:gridCol w:w="2312"/>
        <w:gridCol w:w="2078"/>
        <w:gridCol w:w="2229"/>
      </w:tblGrid>
      <w:tr w14:paraId="107C7096" w14:textId="77777777">
        <w:tblPrEx>
          <w:tblW w:w="0" w:type="auto"/>
          <w:tblInd w:w="482" w:type="dxa"/>
          <w:tblLayout w:type="fixed"/>
          <w:tblCellMar>
            <w:left w:w="0" w:type="dxa"/>
            <w:right w:w="0" w:type="dxa"/>
          </w:tblCellMar>
          <w:tblLook w:val="01E0"/>
        </w:tblPrEx>
        <w:trPr>
          <w:trHeight w:val="267"/>
        </w:trPr>
        <w:tc>
          <w:tcPr>
            <w:tcW w:w="5200" w:type="dxa"/>
            <w:vMerge w:val="restart"/>
            <w:tcBorders>
              <w:top w:val="single" w:sz="18" w:space="0" w:color="800000"/>
              <w:bottom w:val="single" w:sz="18" w:space="0" w:color="800000"/>
            </w:tcBorders>
          </w:tcPr>
          <w:p w:rsidR="003F5784" w14:paraId="68A7D629" w14:textId="77777777">
            <w:pPr>
              <w:pStyle w:val="TableParagraph"/>
              <w:spacing w:before="80"/>
              <w:jc w:val="left"/>
              <w:rPr>
                <w:b/>
                <w:sz w:val="21"/>
              </w:rPr>
            </w:pPr>
          </w:p>
          <w:p w:rsidR="003F5784" w14:paraId="09CFCA86" w14:textId="77777777">
            <w:pPr>
              <w:pStyle w:val="TableParagraph"/>
              <w:spacing w:before="0" w:line="238" w:lineRule="exact"/>
              <w:ind w:left="120"/>
              <w:jc w:val="left"/>
              <w:rPr>
                <w:sz w:val="21"/>
              </w:rPr>
            </w:pPr>
            <w:r>
              <w:rPr>
                <w:spacing w:val="-2"/>
                <w:sz w:val="21"/>
              </w:rPr>
              <w:t>Jurisdiction</w:t>
            </w:r>
          </w:p>
        </w:tc>
        <w:tc>
          <w:tcPr>
            <w:tcW w:w="4476" w:type="dxa"/>
            <w:gridSpan w:val="2"/>
            <w:tcBorders>
              <w:top w:val="single" w:sz="18" w:space="0" w:color="800000"/>
              <w:bottom w:val="single" w:sz="18" w:space="0" w:color="800000"/>
            </w:tcBorders>
          </w:tcPr>
          <w:p w:rsidR="003F5784" w14:paraId="0399322D" w14:textId="77777777">
            <w:pPr>
              <w:pStyle w:val="TableParagraph"/>
              <w:spacing w:before="9" w:line="238" w:lineRule="exact"/>
              <w:ind w:right="81"/>
              <w:jc w:val="center"/>
              <w:rPr>
                <w:sz w:val="21"/>
              </w:rPr>
            </w:pPr>
            <w:r>
              <w:rPr>
                <w:sz w:val="21"/>
              </w:rPr>
              <w:t>Grade</w:t>
            </w:r>
            <w:r>
              <w:rPr>
                <w:spacing w:val="-7"/>
                <w:sz w:val="21"/>
              </w:rPr>
              <w:t xml:space="preserve"> </w:t>
            </w:r>
            <w:r>
              <w:rPr>
                <w:spacing w:val="-10"/>
                <w:sz w:val="21"/>
              </w:rPr>
              <w:t>4</w:t>
            </w:r>
          </w:p>
        </w:tc>
        <w:tc>
          <w:tcPr>
            <w:tcW w:w="4307" w:type="dxa"/>
            <w:gridSpan w:val="2"/>
            <w:tcBorders>
              <w:top w:val="single" w:sz="18" w:space="0" w:color="800000"/>
              <w:bottom w:val="single" w:sz="18" w:space="0" w:color="800000"/>
            </w:tcBorders>
          </w:tcPr>
          <w:p w:rsidR="003F5784" w14:paraId="2726A45E" w14:textId="77777777">
            <w:pPr>
              <w:pStyle w:val="TableParagraph"/>
              <w:spacing w:before="9" w:line="238" w:lineRule="exact"/>
              <w:ind w:right="84"/>
              <w:jc w:val="center"/>
              <w:rPr>
                <w:sz w:val="21"/>
              </w:rPr>
            </w:pPr>
            <w:r>
              <w:rPr>
                <w:sz w:val="21"/>
              </w:rPr>
              <w:t>Grade</w:t>
            </w:r>
            <w:r>
              <w:rPr>
                <w:spacing w:val="-7"/>
                <w:sz w:val="21"/>
              </w:rPr>
              <w:t xml:space="preserve"> </w:t>
            </w:r>
            <w:r>
              <w:rPr>
                <w:spacing w:val="-10"/>
                <w:sz w:val="21"/>
              </w:rPr>
              <w:t>8</w:t>
            </w:r>
          </w:p>
        </w:tc>
      </w:tr>
      <w:tr w14:paraId="1BAC13F3" w14:textId="77777777">
        <w:tblPrEx>
          <w:tblW w:w="0" w:type="auto"/>
          <w:tblInd w:w="482" w:type="dxa"/>
          <w:tblLayout w:type="fixed"/>
          <w:tblCellMar>
            <w:left w:w="0" w:type="dxa"/>
            <w:right w:w="0" w:type="dxa"/>
          </w:tblCellMar>
          <w:tblLook w:val="01E0"/>
        </w:tblPrEx>
        <w:trPr>
          <w:trHeight w:val="267"/>
        </w:trPr>
        <w:tc>
          <w:tcPr>
            <w:tcW w:w="5200" w:type="dxa"/>
            <w:vMerge/>
            <w:tcBorders>
              <w:top w:val="nil"/>
              <w:bottom w:val="single" w:sz="18" w:space="0" w:color="800000"/>
            </w:tcBorders>
          </w:tcPr>
          <w:p w:rsidR="003F5784" w14:paraId="10F7D415" w14:textId="77777777">
            <w:pPr>
              <w:rPr>
                <w:sz w:val="2"/>
                <w:szCs w:val="2"/>
              </w:rPr>
            </w:pPr>
          </w:p>
        </w:tc>
        <w:tc>
          <w:tcPr>
            <w:tcW w:w="2164" w:type="dxa"/>
            <w:tcBorders>
              <w:top w:val="single" w:sz="18" w:space="0" w:color="800000"/>
              <w:bottom w:val="single" w:sz="18" w:space="0" w:color="800000"/>
            </w:tcBorders>
          </w:tcPr>
          <w:p w:rsidR="003F5784" w14:paraId="0E8FD5D7" w14:textId="77777777">
            <w:pPr>
              <w:pStyle w:val="TableParagraph"/>
              <w:spacing w:before="9" w:line="238" w:lineRule="exact"/>
              <w:ind w:right="207"/>
              <w:rPr>
                <w:sz w:val="21"/>
              </w:rPr>
            </w:pPr>
            <w:r>
              <w:rPr>
                <w:spacing w:val="-2"/>
                <w:sz w:val="21"/>
              </w:rPr>
              <w:t>Total</w:t>
            </w:r>
            <w:r>
              <w:rPr>
                <w:spacing w:val="-3"/>
                <w:sz w:val="21"/>
              </w:rPr>
              <w:t xml:space="preserve"> </w:t>
            </w:r>
            <w:r>
              <w:rPr>
                <w:spacing w:val="-2"/>
                <w:sz w:val="21"/>
              </w:rPr>
              <w:t>school sample</w:t>
            </w:r>
          </w:p>
        </w:tc>
        <w:tc>
          <w:tcPr>
            <w:tcW w:w="2312" w:type="dxa"/>
            <w:tcBorders>
              <w:top w:val="single" w:sz="18" w:space="0" w:color="800000"/>
              <w:bottom w:val="single" w:sz="18" w:space="0" w:color="800000"/>
            </w:tcBorders>
          </w:tcPr>
          <w:p w:rsidR="003F5784" w14:paraId="3F0B5307" w14:textId="77777777">
            <w:pPr>
              <w:pStyle w:val="TableParagraph"/>
              <w:spacing w:before="9" w:line="238" w:lineRule="exact"/>
              <w:ind w:right="200"/>
              <w:rPr>
                <w:sz w:val="21"/>
              </w:rPr>
            </w:pPr>
            <w:r>
              <w:rPr>
                <w:sz w:val="21"/>
              </w:rPr>
              <w:t>Eligible</w:t>
            </w:r>
            <w:r>
              <w:rPr>
                <w:spacing w:val="-8"/>
                <w:sz w:val="21"/>
              </w:rPr>
              <w:t xml:space="preserve"> </w:t>
            </w:r>
            <w:r>
              <w:rPr>
                <w:sz w:val="21"/>
              </w:rPr>
              <w:t>school</w:t>
            </w:r>
            <w:r>
              <w:rPr>
                <w:spacing w:val="-7"/>
                <w:sz w:val="21"/>
              </w:rPr>
              <w:t xml:space="preserve"> </w:t>
            </w:r>
            <w:r>
              <w:rPr>
                <w:spacing w:val="-2"/>
                <w:sz w:val="21"/>
              </w:rPr>
              <w:t>sample</w:t>
            </w:r>
          </w:p>
        </w:tc>
        <w:tc>
          <w:tcPr>
            <w:tcW w:w="2078" w:type="dxa"/>
            <w:tcBorders>
              <w:top w:val="single" w:sz="18" w:space="0" w:color="800000"/>
              <w:bottom w:val="single" w:sz="18" w:space="0" w:color="800000"/>
            </w:tcBorders>
          </w:tcPr>
          <w:p w:rsidR="003F5784" w14:paraId="307CF6AE" w14:textId="77777777">
            <w:pPr>
              <w:pStyle w:val="TableParagraph"/>
              <w:spacing w:before="9" w:line="238" w:lineRule="exact"/>
              <w:ind w:right="207"/>
              <w:rPr>
                <w:sz w:val="21"/>
              </w:rPr>
            </w:pPr>
            <w:r>
              <w:rPr>
                <w:spacing w:val="-2"/>
                <w:sz w:val="21"/>
              </w:rPr>
              <w:t>Total</w:t>
            </w:r>
            <w:r>
              <w:rPr>
                <w:spacing w:val="-3"/>
                <w:sz w:val="21"/>
              </w:rPr>
              <w:t xml:space="preserve"> </w:t>
            </w:r>
            <w:r>
              <w:rPr>
                <w:spacing w:val="-2"/>
                <w:sz w:val="21"/>
              </w:rPr>
              <w:t>school sample</w:t>
            </w:r>
          </w:p>
        </w:tc>
        <w:tc>
          <w:tcPr>
            <w:tcW w:w="2229" w:type="dxa"/>
            <w:tcBorders>
              <w:top w:val="single" w:sz="18" w:space="0" w:color="800000"/>
              <w:bottom w:val="single" w:sz="18" w:space="0" w:color="800000"/>
            </w:tcBorders>
          </w:tcPr>
          <w:p w:rsidR="003F5784" w14:paraId="45104176" w14:textId="77777777">
            <w:pPr>
              <w:pStyle w:val="TableParagraph"/>
              <w:spacing w:before="9" w:line="238" w:lineRule="exact"/>
              <w:ind w:right="116"/>
              <w:rPr>
                <w:sz w:val="21"/>
              </w:rPr>
            </w:pPr>
            <w:r>
              <w:rPr>
                <w:sz w:val="21"/>
              </w:rPr>
              <w:t>Eligible</w:t>
            </w:r>
            <w:r>
              <w:rPr>
                <w:spacing w:val="-8"/>
                <w:sz w:val="21"/>
              </w:rPr>
              <w:t xml:space="preserve"> </w:t>
            </w:r>
            <w:r>
              <w:rPr>
                <w:sz w:val="21"/>
              </w:rPr>
              <w:t>school</w:t>
            </w:r>
            <w:r>
              <w:rPr>
                <w:spacing w:val="-7"/>
                <w:sz w:val="21"/>
              </w:rPr>
              <w:t xml:space="preserve"> </w:t>
            </w:r>
            <w:r>
              <w:rPr>
                <w:spacing w:val="-2"/>
                <w:sz w:val="21"/>
              </w:rPr>
              <w:t>sample</w:t>
            </w:r>
          </w:p>
        </w:tc>
      </w:tr>
      <w:tr w14:paraId="1F18E251" w14:textId="77777777">
        <w:tblPrEx>
          <w:tblW w:w="0" w:type="auto"/>
          <w:tblInd w:w="482" w:type="dxa"/>
          <w:tblLayout w:type="fixed"/>
          <w:tblCellMar>
            <w:left w:w="0" w:type="dxa"/>
            <w:right w:w="0" w:type="dxa"/>
          </w:tblCellMar>
          <w:tblLook w:val="01E0"/>
        </w:tblPrEx>
        <w:trPr>
          <w:trHeight w:val="278"/>
        </w:trPr>
        <w:tc>
          <w:tcPr>
            <w:tcW w:w="5200" w:type="dxa"/>
            <w:tcBorders>
              <w:top w:val="single" w:sz="18" w:space="0" w:color="800000"/>
            </w:tcBorders>
          </w:tcPr>
          <w:p w:rsidR="003F5784" w14:paraId="33862114" w14:textId="77777777">
            <w:pPr>
              <w:pStyle w:val="TableParagraph"/>
              <w:spacing w:before="9"/>
              <w:ind w:left="370"/>
              <w:jc w:val="left"/>
              <w:rPr>
                <w:b/>
                <w:sz w:val="21"/>
              </w:rPr>
            </w:pPr>
            <w:r>
              <w:rPr>
                <w:b/>
                <w:spacing w:val="-2"/>
                <w:sz w:val="21"/>
              </w:rPr>
              <w:t>Total</w:t>
            </w:r>
          </w:p>
        </w:tc>
        <w:tc>
          <w:tcPr>
            <w:tcW w:w="2164" w:type="dxa"/>
            <w:tcBorders>
              <w:top w:val="single" w:sz="18" w:space="0" w:color="800000"/>
            </w:tcBorders>
          </w:tcPr>
          <w:p w:rsidR="003F5784" w14:paraId="3BAFC0E7" w14:textId="77777777">
            <w:pPr>
              <w:pStyle w:val="TableParagraph"/>
              <w:spacing w:before="9"/>
              <w:ind w:right="207"/>
              <w:rPr>
                <w:b/>
                <w:sz w:val="21"/>
              </w:rPr>
            </w:pPr>
            <w:r>
              <w:rPr>
                <w:b/>
                <w:spacing w:val="-2"/>
                <w:sz w:val="21"/>
              </w:rPr>
              <w:t>6,010</w:t>
            </w:r>
          </w:p>
        </w:tc>
        <w:tc>
          <w:tcPr>
            <w:tcW w:w="2312" w:type="dxa"/>
            <w:tcBorders>
              <w:top w:val="single" w:sz="18" w:space="0" w:color="800000"/>
            </w:tcBorders>
          </w:tcPr>
          <w:p w:rsidR="003F5784" w14:paraId="60882014" w14:textId="77777777">
            <w:pPr>
              <w:pStyle w:val="TableParagraph"/>
              <w:spacing w:before="9"/>
              <w:ind w:right="200"/>
              <w:rPr>
                <w:b/>
                <w:sz w:val="21"/>
              </w:rPr>
            </w:pPr>
            <w:r>
              <w:rPr>
                <w:b/>
                <w:spacing w:val="-2"/>
                <w:sz w:val="21"/>
              </w:rPr>
              <w:t>5,830</w:t>
            </w:r>
          </w:p>
        </w:tc>
        <w:tc>
          <w:tcPr>
            <w:tcW w:w="2078" w:type="dxa"/>
            <w:tcBorders>
              <w:top w:val="single" w:sz="18" w:space="0" w:color="800000"/>
            </w:tcBorders>
          </w:tcPr>
          <w:p w:rsidR="003F5784" w14:paraId="61438803" w14:textId="77777777">
            <w:pPr>
              <w:pStyle w:val="TableParagraph"/>
              <w:spacing w:before="9"/>
              <w:ind w:right="207"/>
              <w:rPr>
                <w:b/>
                <w:sz w:val="21"/>
              </w:rPr>
            </w:pPr>
            <w:r>
              <w:rPr>
                <w:b/>
                <w:spacing w:val="-2"/>
                <w:sz w:val="21"/>
              </w:rPr>
              <w:t>5,490</w:t>
            </w:r>
          </w:p>
        </w:tc>
        <w:tc>
          <w:tcPr>
            <w:tcW w:w="2229" w:type="dxa"/>
            <w:tcBorders>
              <w:top w:val="single" w:sz="18" w:space="0" w:color="800000"/>
            </w:tcBorders>
          </w:tcPr>
          <w:p w:rsidR="003F5784" w14:paraId="76C5D8BE" w14:textId="77777777">
            <w:pPr>
              <w:pStyle w:val="TableParagraph"/>
              <w:spacing w:before="9"/>
              <w:ind w:right="116"/>
              <w:rPr>
                <w:b/>
                <w:sz w:val="21"/>
              </w:rPr>
            </w:pPr>
            <w:r>
              <w:rPr>
                <w:b/>
                <w:spacing w:val="-2"/>
                <w:sz w:val="21"/>
              </w:rPr>
              <w:t>5,250</w:t>
            </w:r>
          </w:p>
        </w:tc>
      </w:tr>
      <w:tr w14:paraId="5742582C" w14:textId="77777777">
        <w:tblPrEx>
          <w:tblW w:w="0" w:type="auto"/>
          <w:tblInd w:w="482" w:type="dxa"/>
          <w:tblLayout w:type="fixed"/>
          <w:tblCellMar>
            <w:left w:w="0" w:type="dxa"/>
            <w:right w:w="0" w:type="dxa"/>
          </w:tblCellMar>
          <w:tblLook w:val="01E0"/>
        </w:tblPrEx>
        <w:trPr>
          <w:trHeight w:val="286"/>
        </w:trPr>
        <w:tc>
          <w:tcPr>
            <w:tcW w:w="5200" w:type="dxa"/>
          </w:tcPr>
          <w:p w:rsidR="003F5784" w14:paraId="18AF097B" w14:textId="77777777">
            <w:pPr>
              <w:pStyle w:val="TableParagraph"/>
              <w:ind w:left="120"/>
              <w:jc w:val="left"/>
              <w:rPr>
                <w:sz w:val="21"/>
              </w:rPr>
            </w:pPr>
            <w:r>
              <w:rPr>
                <w:spacing w:val="-2"/>
                <w:sz w:val="21"/>
              </w:rPr>
              <w:t>Alabama</w:t>
            </w:r>
          </w:p>
        </w:tc>
        <w:tc>
          <w:tcPr>
            <w:tcW w:w="2164" w:type="dxa"/>
          </w:tcPr>
          <w:p w:rsidR="003F5784" w14:paraId="0E0B752D" w14:textId="77777777">
            <w:pPr>
              <w:pStyle w:val="TableParagraph"/>
              <w:ind w:right="207"/>
              <w:rPr>
                <w:sz w:val="21"/>
              </w:rPr>
            </w:pPr>
            <w:r>
              <w:rPr>
                <w:spacing w:val="-5"/>
                <w:sz w:val="21"/>
              </w:rPr>
              <w:t>90</w:t>
            </w:r>
          </w:p>
        </w:tc>
        <w:tc>
          <w:tcPr>
            <w:tcW w:w="2312" w:type="dxa"/>
          </w:tcPr>
          <w:p w:rsidR="003F5784" w14:paraId="689AE961" w14:textId="77777777">
            <w:pPr>
              <w:pStyle w:val="TableParagraph"/>
              <w:ind w:right="200"/>
              <w:rPr>
                <w:sz w:val="21"/>
              </w:rPr>
            </w:pPr>
            <w:r>
              <w:rPr>
                <w:spacing w:val="-5"/>
                <w:sz w:val="21"/>
              </w:rPr>
              <w:t>90</w:t>
            </w:r>
          </w:p>
        </w:tc>
        <w:tc>
          <w:tcPr>
            <w:tcW w:w="2078" w:type="dxa"/>
          </w:tcPr>
          <w:p w:rsidR="003F5784" w14:paraId="19F82A9F" w14:textId="77777777">
            <w:pPr>
              <w:pStyle w:val="TableParagraph"/>
              <w:ind w:right="207"/>
              <w:rPr>
                <w:sz w:val="21"/>
              </w:rPr>
            </w:pPr>
            <w:r>
              <w:rPr>
                <w:spacing w:val="-5"/>
                <w:sz w:val="21"/>
              </w:rPr>
              <w:t>90</w:t>
            </w:r>
          </w:p>
        </w:tc>
        <w:tc>
          <w:tcPr>
            <w:tcW w:w="2229" w:type="dxa"/>
          </w:tcPr>
          <w:p w:rsidR="003F5784" w14:paraId="6087DD51" w14:textId="77777777">
            <w:pPr>
              <w:pStyle w:val="TableParagraph"/>
              <w:ind w:right="116"/>
              <w:rPr>
                <w:sz w:val="21"/>
              </w:rPr>
            </w:pPr>
            <w:r>
              <w:rPr>
                <w:spacing w:val="-5"/>
                <w:sz w:val="21"/>
              </w:rPr>
              <w:t>90</w:t>
            </w:r>
          </w:p>
        </w:tc>
      </w:tr>
      <w:tr w14:paraId="125FD391" w14:textId="77777777">
        <w:tblPrEx>
          <w:tblW w:w="0" w:type="auto"/>
          <w:tblInd w:w="482" w:type="dxa"/>
          <w:tblLayout w:type="fixed"/>
          <w:tblCellMar>
            <w:left w:w="0" w:type="dxa"/>
            <w:right w:w="0" w:type="dxa"/>
          </w:tblCellMar>
          <w:tblLook w:val="01E0"/>
        </w:tblPrEx>
        <w:trPr>
          <w:trHeight w:val="286"/>
        </w:trPr>
        <w:tc>
          <w:tcPr>
            <w:tcW w:w="5200" w:type="dxa"/>
          </w:tcPr>
          <w:p w:rsidR="003F5784" w14:paraId="273D7178" w14:textId="77777777">
            <w:pPr>
              <w:pStyle w:val="TableParagraph"/>
              <w:ind w:left="120"/>
              <w:jc w:val="left"/>
              <w:rPr>
                <w:sz w:val="21"/>
              </w:rPr>
            </w:pPr>
            <w:r>
              <w:rPr>
                <w:spacing w:val="-2"/>
                <w:sz w:val="21"/>
              </w:rPr>
              <w:t>Alaska</w:t>
            </w:r>
          </w:p>
        </w:tc>
        <w:tc>
          <w:tcPr>
            <w:tcW w:w="2164" w:type="dxa"/>
          </w:tcPr>
          <w:p w:rsidR="003F5784" w14:paraId="7B36C821" w14:textId="77777777">
            <w:pPr>
              <w:pStyle w:val="TableParagraph"/>
              <w:ind w:right="207"/>
              <w:rPr>
                <w:sz w:val="21"/>
              </w:rPr>
            </w:pPr>
            <w:r>
              <w:rPr>
                <w:spacing w:val="-5"/>
                <w:sz w:val="21"/>
              </w:rPr>
              <w:t>130</w:t>
            </w:r>
          </w:p>
        </w:tc>
        <w:tc>
          <w:tcPr>
            <w:tcW w:w="2312" w:type="dxa"/>
          </w:tcPr>
          <w:p w:rsidR="003F5784" w14:paraId="7FA89B63" w14:textId="77777777">
            <w:pPr>
              <w:pStyle w:val="TableParagraph"/>
              <w:ind w:right="200"/>
              <w:rPr>
                <w:sz w:val="21"/>
              </w:rPr>
            </w:pPr>
            <w:r>
              <w:rPr>
                <w:spacing w:val="-5"/>
                <w:sz w:val="21"/>
              </w:rPr>
              <w:t>130</w:t>
            </w:r>
          </w:p>
        </w:tc>
        <w:tc>
          <w:tcPr>
            <w:tcW w:w="2078" w:type="dxa"/>
          </w:tcPr>
          <w:p w:rsidR="003F5784" w14:paraId="025E197C" w14:textId="77777777">
            <w:pPr>
              <w:pStyle w:val="TableParagraph"/>
              <w:ind w:right="207"/>
              <w:rPr>
                <w:sz w:val="21"/>
              </w:rPr>
            </w:pPr>
            <w:r>
              <w:rPr>
                <w:spacing w:val="-5"/>
                <w:sz w:val="21"/>
              </w:rPr>
              <w:t>110</w:t>
            </w:r>
          </w:p>
        </w:tc>
        <w:tc>
          <w:tcPr>
            <w:tcW w:w="2229" w:type="dxa"/>
          </w:tcPr>
          <w:p w:rsidR="003F5784" w14:paraId="6F04488A" w14:textId="77777777">
            <w:pPr>
              <w:pStyle w:val="TableParagraph"/>
              <w:ind w:right="116"/>
              <w:rPr>
                <w:sz w:val="21"/>
              </w:rPr>
            </w:pPr>
            <w:r>
              <w:rPr>
                <w:spacing w:val="-5"/>
                <w:sz w:val="21"/>
              </w:rPr>
              <w:t>100</w:t>
            </w:r>
          </w:p>
        </w:tc>
      </w:tr>
      <w:tr w14:paraId="28457E44" w14:textId="77777777">
        <w:tblPrEx>
          <w:tblW w:w="0" w:type="auto"/>
          <w:tblInd w:w="482" w:type="dxa"/>
          <w:tblLayout w:type="fixed"/>
          <w:tblCellMar>
            <w:left w:w="0" w:type="dxa"/>
            <w:right w:w="0" w:type="dxa"/>
          </w:tblCellMar>
          <w:tblLook w:val="01E0"/>
        </w:tblPrEx>
        <w:trPr>
          <w:trHeight w:val="286"/>
        </w:trPr>
        <w:tc>
          <w:tcPr>
            <w:tcW w:w="5200" w:type="dxa"/>
          </w:tcPr>
          <w:p w:rsidR="003F5784" w14:paraId="01442EC8" w14:textId="77777777">
            <w:pPr>
              <w:pStyle w:val="TableParagraph"/>
              <w:ind w:left="120"/>
              <w:jc w:val="left"/>
              <w:rPr>
                <w:sz w:val="21"/>
              </w:rPr>
            </w:pPr>
            <w:r>
              <w:rPr>
                <w:spacing w:val="-2"/>
                <w:sz w:val="21"/>
              </w:rPr>
              <w:t>Arizona</w:t>
            </w:r>
          </w:p>
        </w:tc>
        <w:tc>
          <w:tcPr>
            <w:tcW w:w="2164" w:type="dxa"/>
          </w:tcPr>
          <w:p w:rsidR="003F5784" w14:paraId="2FC35E9D" w14:textId="77777777">
            <w:pPr>
              <w:pStyle w:val="TableParagraph"/>
              <w:ind w:right="207"/>
              <w:rPr>
                <w:sz w:val="21"/>
              </w:rPr>
            </w:pPr>
            <w:r>
              <w:rPr>
                <w:spacing w:val="-5"/>
                <w:sz w:val="21"/>
              </w:rPr>
              <w:t>90</w:t>
            </w:r>
          </w:p>
        </w:tc>
        <w:tc>
          <w:tcPr>
            <w:tcW w:w="2312" w:type="dxa"/>
          </w:tcPr>
          <w:p w:rsidR="003F5784" w14:paraId="75116A1A" w14:textId="77777777">
            <w:pPr>
              <w:pStyle w:val="TableParagraph"/>
              <w:ind w:right="200"/>
              <w:rPr>
                <w:sz w:val="21"/>
              </w:rPr>
            </w:pPr>
            <w:r>
              <w:rPr>
                <w:spacing w:val="-5"/>
                <w:sz w:val="21"/>
              </w:rPr>
              <w:t>90</w:t>
            </w:r>
          </w:p>
        </w:tc>
        <w:tc>
          <w:tcPr>
            <w:tcW w:w="2078" w:type="dxa"/>
          </w:tcPr>
          <w:p w:rsidR="003F5784" w14:paraId="38204E36" w14:textId="77777777">
            <w:pPr>
              <w:pStyle w:val="TableParagraph"/>
              <w:ind w:right="207"/>
              <w:rPr>
                <w:sz w:val="21"/>
              </w:rPr>
            </w:pPr>
            <w:r>
              <w:rPr>
                <w:spacing w:val="-5"/>
                <w:sz w:val="21"/>
              </w:rPr>
              <w:t>90</w:t>
            </w:r>
          </w:p>
        </w:tc>
        <w:tc>
          <w:tcPr>
            <w:tcW w:w="2229" w:type="dxa"/>
          </w:tcPr>
          <w:p w:rsidR="003F5784" w14:paraId="4A6538EB" w14:textId="77777777">
            <w:pPr>
              <w:pStyle w:val="TableParagraph"/>
              <w:ind w:right="116"/>
              <w:rPr>
                <w:sz w:val="21"/>
              </w:rPr>
            </w:pPr>
            <w:r>
              <w:rPr>
                <w:spacing w:val="-5"/>
                <w:sz w:val="21"/>
              </w:rPr>
              <w:t>90</w:t>
            </w:r>
          </w:p>
        </w:tc>
      </w:tr>
      <w:tr w14:paraId="4AEB19EC" w14:textId="77777777">
        <w:tblPrEx>
          <w:tblW w:w="0" w:type="auto"/>
          <w:tblInd w:w="482" w:type="dxa"/>
          <w:tblLayout w:type="fixed"/>
          <w:tblCellMar>
            <w:left w:w="0" w:type="dxa"/>
            <w:right w:w="0" w:type="dxa"/>
          </w:tblCellMar>
          <w:tblLook w:val="01E0"/>
        </w:tblPrEx>
        <w:trPr>
          <w:trHeight w:val="286"/>
        </w:trPr>
        <w:tc>
          <w:tcPr>
            <w:tcW w:w="5200" w:type="dxa"/>
          </w:tcPr>
          <w:p w:rsidR="003F5784" w14:paraId="0D09C9F4" w14:textId="77777777">
            <w:pPr>
              <w:pStyle w:val="TableParagraph"/>
              <w:ind w:left="120"/>
              <w:jc w:val="left"/>
              <w:rPr>
                <w:sz w:val="21"/>
              </w:rPr>
            </w:pPr>
            <w:r>
              <w:rPr>
                <w:spacing w:val="-2"/>
                <w:sz w:val="21"/>
              </w:rPr>
              <w:t>Arkansas</w:t>
            </w:r>
          </w:p>
        </w:tc>
        <w:tc>
          <w:tcPr>
            <w:tcW w:w="2164" w:type="dxa"/>
          </w:tcPr>
          <w:p w:rsidR="003F5784" w14:paraId="4B95418C" w14:textId="77777777">
            <w:pPr>
              <w:pStyle w:val="TableParagraph"/>
              <w:ind w:right="207"/>
              <w:rPr>
                <w:sz w:val="21"/>
              </w:rPr>
            </w:pPr>
            <w:r>
              <w:rPr>
                <w:spacing w:val="-5"/>
                <w:sz w:val="21"/>
              </w:rPr>
              <w:t>90</w:t>
            </w:r>
          </w:p>
        </w:tc>
        <w:tc>
          <w:tcPr>
            <w:tcW w:w="2312" w:type="dxa"/>
          </w:tcPr>
          <w:p w:rsidR="003F5784" w14:paraId="380082A2" w14:textId="77777777">
            <w:pPr>
              <w:pStyle w:val="TableParagraph"/>
              <w:ind w:right="200"/>
              <w:rPr>
                <w:sz w:val="21"/>
              </w:rPr>
            </w:pPr>
            <w:r>
              <w:rPr>
                <w:spacing w:val="-5"/>
                <w:sz w:val="21"/>
              </w:rPr>
              <w:t>80</w:t>
            </w:r>
          </w:p>
        </w:tc>
        <w:tc>
          <w:tcPr>
            <w:tcW w:w="2078" w:type="dxa"/>
          </w:tcPr>
          <w:p w:rsidR="003F5784" w14:paraId="06A0547A" w14:textId="77777777">
            <w:pPr>
              <w:pStyle w:val="TableParagraph"/>
              <w:ind w:right="207"/>
              <w:rPr>
                <w:sz w:val="21"/>
              </w:rPr>
            </w:pPr>
            <w:r>
              <w:rPr>
                <w:spacing w:val="-5"/>
                <w:sz w:val="21"/>
              </w:rPr>
              <w:t>90</w:t>
            </w:r>
          </w:p>
        </w:tc>
        <w:tc>
          <w:tcPr>
            <w:tcW w:w="2229" w:type="dxa"/>
          </w:tcPr>
          <w:p w:rsidR="003F5784" w14:paraId="4FD574B5" w14:textId="77777777">
            <w:pPr>
              <w:pStyle w:val="TableParagraph"/>
              <w:ind w:right="116"/>
              <w:rPr>
                <w:sz w:val="21"/>
              </w:rPr>
            </w:pPr>
            <w:r>
              <w:rPr>
                <w:spacing w:val="-5"/>
                <w:sz w:val="21"/>
              </w:rPr>
              <w:t>90</w:t>
            </w:r>
          </w:p>
        </w:tc>
      </w:tr>
      <w:tr w14:paraId="75D3A485" w14:textId="77777777">
        <w:tblPrEx>
          <w:tblW w:w="0" w:type="auto"/>
          <w:tblInd w:w="482" w:type="dxa"/>
          <w:tblLayout w:type="fixed"/>
          <w:tblCellMar>
            <w:left w:w="0" w:type="dxa"/>
            <w:right w:w="0" w:type="dxa"/>
          </w:tblCellMar>
          <w:tblLook w:val="01E0"/>
        </w:tblPrEx>
        <w:trPr>
          <w:trHeight w:val="286"/>
        </w:trPr>
        <w:tc>
          <w:tcPr>
            <w:tcW w:w="5200" w:type="dxa"/>
          </w:tcPr>
          <w:p w:rsidR="003F5784" w14:paraId="384E483A" w14:textId="77777777">
            <w:pPr>
              <w:pStyle w:val="TableParagraph"/>
              <w:ind w:left="120"/>
              <w:jc w:val="left"/>
              <w:rPr>
                <w:sz w:val="21"/>
              </w:rPr>
            </w:pPr>
            <w:r>
              <w:rPr>
                <w:spacing w:val="-2"/>
                <w:sz w:val="21"/>
              </w:rPr>
              <w:t>California–Los</w:t>
            </w:r>
            <w:r>
              <w:rPr>
                <w:spacing w:val="3"/>
                <w:sz w:val="21"/>
              </w:rPr>
              <w:t xml:space="preserve"> </w:t>
            </w:r>
            <w:r>
              <w:rPr>
                <w:spacing w:val="-2"/>
                <w:sz w:val="21"/>
              </w:rPr>
              <w:t>Angeles</w:t>
            </w:r>
          </w:p>
        </w:tc>
        <w:tc>
          <w:tcPr>
            <w:tcW w:w="2164" w:type="dxa"/>
          </w:tcPr>
          <w:p w:rsidR="003F5784" w14:paraId="2E35BC94" w14:textId="77777777">
            <w:pPr>
              <w:pStyle w:val="TableParagraph"/>
              <w:ind w:right="207"/>
              <w:rPr>
                <w:sz w:val="21"/>
              </w:rPr>
            </w:pPr>
            <w:r>
              <w:rPr>
                <w:spacing w:val="-5"/>
                <w:sz w:val="21"/>
              </w:rPr>
              <w:t>60</w:t>
            </w:r>
          </w:p>
        </w:tc>
        <w:tc>
          <w:tcPr>
            <w:tcW w:w="2312" w:type="dxa"/>
          </w:tcPr>
          <w:p w:rsidR="003F5784" w14:paraId="5E9035A2" w14:textId="77777777">
            <w:pPr>
              <w:pStyle w:val="TableParagraph"/>
              <w:ind w:right="200"/>
              <w:rPr>
                <w:sz w:val="21"/>
              </w:rPr>
            </w:pPr>
            <w:r>
              <w:rPr>
                <w:spacing w:val="-5"/>
                <w:sz w:val="21"/>
              </w:rPr>
              <w:t>60</w:t>
            </w:r>
          </w:p>
        </w:tc>
        <w:tc>
          <w:tcPr>
            <w:tcW w:w="2078" w:type="dxa"/>
          </w:tcPr>
          <w:p w:rsidR="003F5784" w14:paraId="5D6666B6" w14:textId="77777777">
            <w:pPr>
              <w:pStyle w:val="TableParagraph"/>
              <w:ind w:right="207"/>
              <w:rPr>
                <w:sz w:val="21"/>
              </w:rPr>
            </w:pPr>
            <w:r>
              <w:rPr>
                <w:spacing w:val="-5"/>
                <w:sz w:val="21"/>
              </w:rPr>
              <w:t>60</w:t>
            </w:r>
          </w:p>
        </w:tc>
        <w:tc>
          <w:tcPr>
            <w:tcW w:w="2229" w:type="dxa"/>
          </w:tcPr>
          <w:p w:rsidR="003F5784" w14:paraId="3C7F2C4F" w14:textId="77777777">
            <w:pPr>
              <w:pStyle w:val="TableParagraph"/>
              <w:ind w:right="116"/>
              <w:rPr>
                <w:sz w:val="21"/>
              </w:rPr>
            </w:pPr>
            <w:r>
              <w:rPr>
                <w:spacing w:val="-5"/>
                <w:sz w:val="21"/>
              </w:rPr>
              <w:t>60</w:t>
            </w:r>
          </w:p>
        </w:tc>
      </w:tr>
      <w:tr w14:paraId="36E25C7F" w14:textId="77777777">
        <w:tblPrEx>
          <w:tblW w:w="0" w:type="auto"/>
          <w:tblInd w:w="482" w:type="dxa"/>
          <w:tblLayout w:type="fixed"/>
          <w:tblCellMar>
            <w:left w:w="0" w:type="dxa"/>
            <w:right w:w="0" w:type="dxa"/>
          </w:tblCellMar>
          <w:tblLook w:val="01E0"/>
        </w:tblPrEx>
        <w:trPr>
          <w:trHeight w:val="286"/>
        </w:trPr>
        <w:tc>
          <w:tcPr>
            <w:tcW w:w="5200" w:type="dxa"/>
          </w:tcPr>
          <w:p w:rsidR="003F5784" w14:paraId="535B69A4" w14:textId="77777777">
            <w:pPr>
              <w:pStyle w:val="TableParagraph"/>
              <w:ind w:left="120"/>
              <w:jc w:val="left"/>
              <w:rPr>
                <w:sz w:val="21"/>
              </w:rPr>
            </w:pPr>
            <w:r>
              <w:rPr>
                <w:spacing w:val="-2"/>
                <w:sz w:val="21"/>
              </w:rPr>
              <w:t>California–San</w:t>
            </w:r>
            <w:r>
              <w:rPr>
                <w:spacing w:val="14"/>
                <w:sz w:val="21"/>
              </w:rPr>
              <w:t xml:space="preserve"> </w:t>
            </w:r>
            <w:r>
              <w:rPr>
                <w:spacing w:val="-2"/>
                <w:sz w:val="21"/>
              </w:rPr>
              <w:t>Diego</w:t>
            </w:r>
          </w:p>
        </w:tc>
        <w:tc>
          <w:tcPr>
            <w:tcW w:w="2164" w:type="dxa"/>
          </w:tcPr>
          <w:p w:rsidR="003F5784" w14:paraId="74F0A4FF" w14:textId="77777777">
            <w:pPr>
              <w:pStyle w:val="TableParagraph"/>
              <w:ind w:right="207"/>
              <w:rPr>
                <w:sz w:val="21"/>
              </w:rPr>
            </w:pPr>
            <w:r>
              <w:rPr>
                <w:spacing w:val="-5"/>
                <w:sz w:val="21"/>
              </w:rPr>
              <w:t>40</w:t>
            </w:r>
          </w:p>
        </w:tc>
        <w:tc>
          <w:tcPr>
            <w:tcW w:w="2312" w:type="dxa"/>
          </w:tcPr>
          <w:p w:rsidR="003F5784" w14:paraId="4EF6C478" w14:textId="77777777">
            <w:pPr>
              <w:pStyle w:val="TableParagraph"/>
              <w:ind w:right="200"/>
              <w:rPr>
                <w:sz w:val="21"/>
              </w:rPr>
            </w:pPr>
            <w:r>
              <w:rPr>
                <w:spacing w:val="-5"/>
                <w:sz w:val="21"/>
              </w:rPr>
              <w:t>40</w:t>
            </w:r>
          </w:p>
        </w:tc>
        <w:tc>
          <w:tcPr>
            <w:tcW w:w="2078" w:type="dxa"/>
          </w:tcPr>
          <w:p w:rsidR="003F5784" w14:paraId="6BDC16EB" w14:textId="77777777">
            <w:pPr>
              <w:pStyle w:val="TableParagraph"/>
              <w:ind w:right="207"/>
              <w:rPr>
                <w:sz w:val="21"/>
              </w:rPr>
            </w:pPr>
            <w:r>
              <w:rPr>
                <w:spacing w:val="-5"/>
                <w:sz w:val="21"/>
              </w:rPr>
              <w:t>40</w:t>
            </w:r>
          </w:p>
        </w:tc>
        <w:tc>
          <w:tcPr>
            <w:tcW w:w="2229" w:type="dxa"/>
          </w:tcPr>
          <w:p w:rsidR="003F5784" w14:paraId="756821B7" w14:textId="77777777">
            <w:pPr>
              <w:pStyle w:val="TableParagraph"/>
              <w:ind w:right="116"/>
              <w:rPr>
                <w:sz w:val="21"/>
              </w:rPr>
            </w:pPr>
            <w:r>
              <w:rPr>
                <w:spacing w:val="-5"/>
                <w:sz w:val="21"/>
              </w:rPr>
              <w:t>30</w:t>
            </w:r>
          </w:p>
        </w:tc>
      </w:tr>
      <w:tr w14:paraId="03DAB223" w14:textId="77777777">
        <w:tblPrEx>
          <w:tblW w:w="0" w:type="auto"/>
          <w:tblInd w:w="482" w:type="dxa"/>
          <w:tblLayout w:type="fixed"/>
          <w:tblCellMar>
            <w:left w:w="0" w:type="dxa"/>
            <w:right w:w="0" w:type="dxa"/>
          </w:tblCellMar>
          <w:tblLook w:val="01E0"/>
        </w:tblPrEx>
        <w:trPr>
          <w:trHeight w:val="286"/>
        </w:trPr>
        <w:tc>
          <w:tcPr>
            <w:tcW w:w="5200" w:type="dxa"/>
          </w:tcPr>
          <w:p w:rsidR="003F5784" w14:paraId="25034716" w14:textId="77777777">
            <w:pPr>
              <w:pStyle w:val="TableParagraph"/>
              <w:ind w:left="120"/>
              <w:jc w:val="left"/>
              <w:rPr>
                <w:sz w:val="21"/>
              </w:rPr>
            </w:pPr>
            <w:r>
              <w:rPr>
                <w:spacing w:val="-2"/>
                <w:sz w:val="21"/>
              </w:rPr>
              <w:t>California–Balance</w:t>
            </w:r>
          </w:p>
        </w:tc>
        <w:tc>
          <w:tcPr>
            <w:tcW w:w="2164" w:type="dxa"/>
          </w:tcPr>
          <w:p w:rsidR="003F5784" w14:paraId="09CACD65" w14:textId="77777777">
            <w:pPr>
              <w:pStyle w:val="TableParagraph"/>
              <w:ind w:right="207"/>
              <w:rPr>
                <w:sz w:val="21"/>
              </w:rPr>
            </w:pPr>
            <w:r>
              <w:rPr>
                <w:spacing w:val="-5"/>
                <w:sz w:val="21"/>
              </w:rPr>
              <w:t>80</w:t>
            </w:r>
          </w:p>
        </w:tc>
        <w:tc>
          <w:tcPr>
            <w:tcW w:w="2312" w:type="dxa"/>
          </w:tcPr>
          <w:p w:rsidR="003F5784" w14:paraId="44364A39" w14:textId="77777777">
            <w:pPr>
              <w:pStyle w:val="TableParagraph"/>
              <w:ind w:right="200"/>
              <w:rPr>
                <w:sz w:val="21"/>
              </w:rPr>
            </w:pPr>
            <w:r>
              <w:rPr>
                <w:spacing w:val="-5"/>
                <w:sz w:val="21"/>
              </w:rPr>
              <w:t>80</w:t>
            </w:r>
          </w:p>
        </w:tc>
        <w:tc>
          <w:tcPr>
            <w:tcW w:w="2078" w:type="dxa"/>
          </w:tcPr>
          <w:p w:rsidR="003F5784" w14:paraId="71CA3ED3" w14:textId="77777777">
            <w:pPr>
              <w:pStyle w:val="TableParagraph"/>
              <w:ind w:right="207"/>
              <w:rPr>
                <w:sz w:val="21"/>
              </w:rPr>
            </w:pPr>
            <w:r>
              <w:rPr>
                <w:spacing w:val="-5"/>
                <w:sz w:val="21"/>
              </w:rPr>
              <w:t>80</w:t>
            </w:r>
          </w:p>
        </w:tc>
        <w:tc>
          <w:tcPr>
            <w:tcW w:w="2229" w:type="dxa"/>
          </w:tcPr>
          <w:p w:rsidR="003F5784" w14:paraId="76D927D9" w14:textId="77777777">
            <w:pPr>
              <w:pStyle w:val="TableParagraph"/>
              <w:ind w:right="116"/>
              <w:rPr>
                <w:sz w:val="21"/>
              </w:rPr>
            </w:pPr>
            <w:r>
              <w:rPr>
                <w:spacing w:val="-5"/>
                <w:sz w:val="21"/>
              </w:rPr>
              <w:t>70</w:t>
            </w:r>
          </w:p>
        </w:tc>
      </w:tr>
      <w:tr w14:paraId="212670C3" w14:textId="77777777">
        <w:tblPrEx>
          <w:tblW w:w="0" w:type="auto"/>
          <w:tblInd w:w="482" w:type="dxa"/>
          <w:tblLayout w:type="fixed"/>
          <w:tblCellMar>
            <w:left w:w="0" w:type="dxa"/>
            <w:right w:w="0" w:type="dxa"/>
          </w:tblCellMar>
          <w:tblLook w:val="01E0"/>
        </w:tblPrEx>
        <w:trPr>
          <w:trHeight w:val="288"/>
        </w:trPr>
        <w:tc>
          <w:tcPr>
            <w:tcW w:w="5200" w:type="dxa"/>
            <w:tcBorders>
              <w:bottom w:val="single" w:sz="18" w:space="0" w:color="800000"/>
            </w:tcBorders>
          </w:tcPr>
          <w:p w:rsidR="003F5784" w14:paraId="77F09764" w14:textId="77777777">
            <w:pPr>
              <w:pStyle w:val="TableParagraph"/>
              <w:ind w:left="120"/>
              <w:jc w:val="left"/>
              <w:rPr>
                <w:sz w:val="21"/>
              </w:rPr>
            </w:pPr>
            <w:r>
              <w:rPr>
                <w:spacing w:val="-2"/>
                <w:sz w:val="21"/>
              </w:rPr>
              <w:t>Colorado–Denver</w:t>
            </w:r>
          </w:p>
        </w:tc>
        <w:tc>
          <w:tcPr>
            <w:tcW w:w="2164" w:type="dxa"/>
            <w:tcBorders>
              <w:bottom w:val="single" w:sz="18" w:space="0" w:color="800000"/>
            </w:tcBorders>
          </w:tcPr>
          <w:p w:rsidR="003F5784" w14:paraId="63ECDDBF" w14:textId="77777777">
            <w:pPr>
              <w:pStyle w:val="TableParagraph"/>
              <w:ind w:right="207"/>
              <w:rPr>
                <w:sz w:val="21"/>
              </w:rPr>
            </w:pPr>
            <w:r>
              <w:rPr>
                <w:spacing w:val="-5"/>
                <w:sz w:val="21"/>
              </w:rPr>
              <w:t>40</w:t>
            </w:r>
          </w:p>
        </w:tc>
        <w:tc>
          <w:tcPr>
            <w:tcW w:w="2312" w:type="dxa"/>
            <w:tcBorders>
              <w:bottom w:val="single" w:sz="18" w:space="0" w:color="800000"/>
            </w:tcBorders>
          </w:tcPr>
          <w:p w:rsidR="003F5784" w14:paraId="1103E37F" w14:textId="77777777">
            <w:pPr>
              <w:pStyle w:val="TableParagraph"/>
              <w:ind w:right="200"/>
              <w:rPr>
                <w:sz w:val="21"/>
              </w:rPr>
            </w:pPr>
            <w:r>
              <w:rPr>
                <w:spacing w:val="-5"/>
                <w:sz w:val="21"/>
              </w:rPr>
              <w:t>40</w:t>
            </w:r>
          </w:p>
        </w:tc>
        <w:tc>
          <w:tcPr>
            <w:tcW w:w="2078" w:type="dxa"/>
            <w:tcBorders>
              <w:bottom w:val="single" w:sz="18" w:space="0" w:color="800000"/>
            </w:tcBorders>
          </w:tcPr>
          <w:p w:rsidR="003F5784" w14:paraId="5D3B4352" w14:textId="77777777">
            <w:pPr>
              <w:pStyle w:val="TableParagraph"/>
              <w:ind w:right="207"/>
              <w:rPr>
                <w:sz w:val="21"/>
              </w:rPr>
            </w:pPr>
            <w:r>
              <w:rPr>
                <w:spacing w:val="-5"/>
                <w:sz w:val="21"/>
              </w:rPr>
              <w:t>40</w:t>
            </w:r>
          </w:p>
        </w:tc>
        <w:tc>
          <w:tcPr>
            <w:tcW w:w="2229" w:type="dxa"/>
            <w:tcBorders>
              <w:bottom w:val="single" w:sz="18" w:space="0" w:color="800000"/>
            </w:tcBorders>
          </w:tcPr>
          <w:p w:rsidR="003F5784" w14:paraId="459285DE" w14:textId="77777777">
            <w:pPr>
              <w:pStyle w:val="TableParagraph"/>
              <w:ind w:right="116"/>
              <w:rPr>
                <w:sz w:val="21"/>
              </w:rPr>
            </w:pPr>
            <w:r>
              <w:rPr>
                <w:spacing w:val="-5"/>
                <w:sz w:val="21"/>
              </w:rPr>
              <w:t>40</w:t>
            </w:r>
          </w:p>
        </w:tc>
      </w:tr>
      <w:tr w14:paraId="2F416729" w14:textId="77777777">
        <w:tblPrEx>
          <w:tblW w:w="0" w:type="auto"/>
          <w:tblInd w:w="482" w:type="dxa"/>
          <w:tblLayout w:type="fixed"/>
          <w:tblCellMar>
            <w:left w:w="0" w:type="dxa"/>
            <w:right w:w="0" w:type="dxa"/>
          </w:tblCellMar>
          <w:tblLook w:val="01E0"/>
        </w:tblPrEx>
        <w:trPr>
          <w:trHeight w:val="205"/>
        </w:trPr>
        <w:tc>
          <w:tcPr>
            <w:tcW w:w="13983" w:type="dxa"/>
            <w:gridSpan w:val="5"/>
            <w:tcBorders>
              <w:top w:val="single" w:sz="18" w:space="0" w:color="800000"/>
            </w:tcBorders>
          </w:tcPr>
          <w:p w:rsidR="003F5784" w14:paraId="5AC0BDE2" w14:textId="77777777">
            <w:pPr>
              <w:pStyle w:val="TableParagraph"/>
              <w:spacing w:before="0" w:line="186" w:lineRule="exact"/>
              <w:ind w:left="120"/>
              <w:jc w:val="left"/>
              <w:rPr>
                <w:sz w:val="18"/>
              </w:rPr>
            </w:pPr>
            <w:r>
              <w:rPr>
                <w:sz w:val="18"/>
              </w:rPr>
              <w:t>NOTE:</w:t>
            </w:r>
            <w:r>
              <w:rPr>
                <w:spacing w:val="3"/>
                <w:sz w:val="18"/>
              </w:rPr>
              <w:t xml:space="preserve"> </w:t>
            </w:r>
            <w:r>
              <w:rPr>
                <w:sz w:val="18"/>
              </w:rPr>
              <w:t>Numbers</w:t>
            </w:r>
            <w:r>
              <w:rPr>
                <w:spacing w:val="4"/>
                <w:sz w:val="18"/>
              </w:rPr>
              <w:t xml:space="preserve"> </w:t>
            </w:r>
            <w:r>
              <w:rPr>
                <w:sz w:val="18"/>
              </w:rPr>
              <w:t>of</w:t>
            </w:r>
            <w:r>
              <w:rPr>
                <w:spacing w:val="3"/>
                <w:sz w:val="18"/>
              </w:rPr>
              <w:t xml:space="preserve"> </w:t>
            </w:r>
            <w:r>
              <w:rPr>
                <w:sz w:val="18"/>
              </w:rPr>
              <w:t>schools</w:t>
            </w:r>
            <w:r>
              <w:rPr>
                <w:spacing w:val="3"/>
                <w:sz w:val="18"/>
              </w:rPr>
              <w:t xml:space="preserve"> </w:t>
            </w:r>
            <w:r>
              <w:rPr>
                <w:sz w:val="18"/>
              </w:rPr>
              <w:t>rounded</w:t>
            </w:r>
            <w:r>
              <w:rPr>
                <w:spacing w:val="4"/>
                <w:sz w:val="18"/>
              </w:rPr>
              <w:t xml:space="preserve"> </w:t>
            </w:r>
            <w:r>
              <w:rPr>
                <w:sz w:val="18"/>
              </w:rPr>
              <w:t>to</w:t>
            </w:r>
            <w:r>
              <w:rPr>
                <w:spacing w:val="3"/>
                <w:sz w:val="18"/>
              </w:rPr>
              <w:t xml:space="preserve"> </w:t>
            </w:r>
            <w:r>
              <w:rPr>
                <w:sz w:val="18"/>
              </w:rPr>
              <w:t>nearest</w:t>
            </w:r>
            <w:r>
              <w:rPr>
                <w:spacing w:val="4"/>
                <w:sz w:val="18"/>
              </w:rPr>
              <w:t xml:space="preserve"> </w:t>
            </w:r>
            <w:r>
              <w:rPr>
                <w:sz w:val="18"/>
              </w:rPr>
              <w:t>ten.</w:t>
            </w:r>
            <w:r>
              <w:rPr>
                <w:spacing w:val="3"/>
                <w:sz w:val="18"/>
              </w:rPr>
              <w:t xml:space="preserve"> </w:t>
            </w:r>
            <w:r>
              <w:rPr>
                <w:sz w:val="18"/>
              </w:rPr>
              <w:t>Detail</w:t>
            </w:r>
            <w:r>
              <w:rPr>
                <w:spacing w:val="4"/>
                <w:sz w:val="18"/>
              </w:rPr>
              <w:t xml:space="preserve"> </w:t>
            </w:r>
            <w:r>
              <w:rPr>
                <w:sz w:val="18"/>
              </w:rPr>
              <w:t>may</w:t>
            </w:r>
            <w:r>
              <w:rPr>
                <w:spacing w:val="3"/>
                <w:sz w:val="18"/>
              </w:rPr>
              <w:t xml:space="preserve"> </w:t>
            </w:r>
            <w:r>
              <w:rPr>
                <w:sz w:val="18"/>
              </w:rPr>
              <w:t>not</w:t>
            </w:r>
            <w:r>
              <w:rPr>
                <w:spacing w:val="4"/>
                <w:sz w:val="18"/>
              </w:rPr>
              <w:t xml:space="preserve"> </w:t>
            </w:r>
            <w:r>
              <w:rPr>
                <w:sz w:val="18"/>
              </w:rPr>
              <w:t>sum</w:t>
            </w:r>
            <w:r>
              <w:rPr>
                <w:spacing w:val="3"/>
                <w:sz w:val="18"/>
              </w:rPr>
              <w:t xml:space="preserve"> </w:t>
            </w:r>
            <w:r>
              <w:rPr>
                <w:sz w:val="18"/>
              </w:rPr>
              <w:t>to</w:t>
            </w:r>
            <w:r>
              <w:rPr>
                <w:spacing w:val="4"/>
                <w:sz w:val="18"/>
              </w:rPr>
              <w:t xml:space="preserve"> </w:t>
            </w:r>
            <w:r>
              <w:rPr>
                <w:sz w:val="18"/>
              </w:rPr>
              <w:t>totals</w:t>
            </w:r>
            <w:r>
              <w:rPr>
                <w:spacing w:val="3"/>
                <w:sz w:val="18"/>
              </w:rPr>
              <w:t xml:space="preserve"> </w:t>
            </w:r>
            <w:r>
              <w:rPr>
                <w:sz w:val="18"/>
              </w:rPr>
              <w:t>due</w:t>
            </w:r>
            <w:r>
              <w:rPr>
                <w:spacing w:val="4"/>
                <w:sz w:val="18"/>
              </w:rPr>
              <w:t xml:space="preserve"> </w:t>
            </w:r>
            <w:r>
              <w:rPr>
                <w:sz w:val="18"/>
              </w:rPr>
              <w:t>to</w:t>
            </w:r>
            <w:r>
              <w:rPr>
                <w:spacing w:val="3"/>
                <w:sz w:val="18"/>
              </w:rPr>
              <w:t xml:space="preserve"> </w:t>
            </w:r>
            <w:r>
              <w:rPr>
                <w:spacing w:val="-2"/>
                <w:sz w:val="18"/>
              </w:rPr>
              <w:t>rounding.</w:t>
            </w:r>
          </w:p>
        </w:tc>
      </w:tr>
    </w:tbl>
    <w:p w:rsidR="003F5784" w14:paraId="7B1F647C" w14:textId="77777777">
      <w:pPr>
        <w:spacing w:before="7"/>
        <w:ind w:left="595" w:right="318"/>
        <w:rPr>
          <w:sz w:val="18"/>
        </w:rPr>
      </w:pPr>
      <w:r>
        <w:rPr>
          <w:sz w:val="18"/>
        </w:rPr>
        <w:t>SOURCE: U.S. Department of Education, Institute of Education Sciences, National Center for Education Statistics, National</w:t>
      </w:r>
      <w:r>
        <w:rPr>
          <w:spacing w:val="-5"/>
          <w:sz w:val="18"/>
        </w:rPr>
        <w:t xml:space="preserve"> </w:t>
      </w:r>
      <w:r>
        <w:rPr>
          <w:sz w:val="18"/>
        </w:rPr>
        <w:t>Assessment of Educational Progress (NAEP), 2022 State Mathematics and Reading Assessments.</w:t>
      </w:r>
    </w:p>
    <w:p w:rsidR="003F5784" w14:paraId="7E5EEC05" w14:textId="77777777">
      <w:pPr>
        <w:rPr>
          <w:sz w:val="18"/>
        </w:rPr>
        <w:sectPr>
          <w:type w:val="continuous"/>
          <w:pgSz w:w="15840" w:h="12240" w:orient="landscape"/>
          <w:pgMar w:top="480" w:right="440" w:bottom="460" w:left="460" w:header="284" w:footer="275" w:gutter="0"/>
          <w:cols w:space="720"/>
        </w:sectPr>
      </w:pPr>
    </w:p>
    <w:tbl>
      <w:tblPr>
        <w:tblW w:w="0" w:type="auto"/>
        <w:tblInd w:w="482" w:type="dxa"/>
        <w:tblLayout w:type="fixed"/>
        <w:tblCellMar>
          <w:left w:w="0" w:type="dxa"/>
          <w:right w:w="0" w:type="dxa"/>
        </w:tblCellMar>
        <w:tblLook w:val="01E0"/>
      </w:tblPr>
      <w:tblGrid>
        <w:gridCol w:w="4718"/>
        <w:gridCol w:w="3440"/>
        <w:gridCol w:w="2195"/>
        <w:gridCol w:w="2196"/>
        <w:gridCol w:w="1436"/>
      </w:tblGrid>
      <w:tr w14:paraId="1F7C6C95" w14:textId="77777777">
        <w:tblPrEx>
          <w:tblW w:w="0" w:type="auto"/>
          <w:tblInd w:w="482" w:type="dxa"/>
          <w:tblLayout w:type="fixed"/>
          <w:tblCellMar>
            <w:left w:w="0" w:type="dxa"/>
            <w:right w:w="0" w:type="dxa"/>
          </w:tblCellMar>
          <w:tblLook w:val="01E0"/>
        </w:tblPrEx>
        <w:trPr>
          <w:trHeight w:val="278"/>
        </w:trPr>
        <w:tc>
          <w:tcPr>
            <w:tcW w:w="4718" w:type="dxa"/>
            <w:tcBorders>
              <w:top w:val="single" w:sz="18" w:space="0" w:color="800000"/>
            </w:tcBorders>
          </w:tcPr>
          <w:p w:rsidR="003F5784" w14:paraId="1A916924" w14:textId="77777777">
            <w:pPr>
              <w:pStyle w:val="TableParagraph"/>
              <w:spacing w:before="9"/>
              <w:ind w:left="120"/>
              <w:jc w:val="left"/>
              <w:rPr>
                <w:sz w:val="21"/>
              </w:rPr>
            </w:pPr>
            <w:r>
              <w:rPr>
                <w:spacing w:val="-2"/>
                <w:sz w:val="21"/>
              </w:rPr>
              <w:t>Colorado–Balance</w:t>
            </w:r>
          </w:p>
        </w:tc>
        <w:tc>
          <w:tcPr>
            <w:tcW w:w="3440" w:type="dxa"/>
            <w:tcBorders>
              <w:top w:val="single" w:sz="18" w:space="0" w:color="800000"/>
            </w:tcBorders>
          </w:tcPr>
          <w:p w:rsidR="003F5784" w14:paraId="577B3E27" w14:textId="77777777">
            <w:pPr>
              <w:pStyle w:val="TableParagraph"/>
              <w:spacing w:before="9"/>
              <w:ind w:right="1001"/>
              <w:rPr>
                <w:sz w:val="21"/>
              </w:rPr>
            </w:pPr>
            <w:r>
              <w:rPr>
                <w:spacing w:val="-5"/>
                <w:sz w:val="21"/>
              </w:rPr>
              <w:t>80</w:t>
            </w:r>
          </w:p>
        </w:tc>
        <w:tc>
          <w:tcPr>
            <w:tcW w:w="2195" w:type="dxa"/>
            <w:tcBorders>
              <w:top w:val="single" w:sz="18" w:space="0" w:color="800000"/>
            </w:tcBorders>
          </w:tcPr>
          <w:p w:rsidR="003F5784" w14:paraId="2E0C4139" w14:textId="77777777">
            <w:pPr>
              <w:pStyle w:val="TableParagraph"/>
              <w:spacing w:before="9"/>
              <w:ind w:left="228"/>
              <w:jc w:val="center"/>
              <w:rPr>
                <w:sz w:val="21"/>
              </w:rPr>
            </w:pPr>
            <w:r>
              <w:rPr>
                <w:spacing w:val="-5"/>
                <w:sz w:val="21"/>
              </w:rPr>
              <w:t>80</w:t>
            </w:r>
          </w:p>
        </w:tc>
        <w:tc>
          <w:tcPr>
            <w:tcW w:w="2196" w:type="dxa"/>
            <w:tcBorders>
              <w:top w:val="single" w:sz="18" w:space="0" w:color="800000"/>
            </w:tcBorders>
          </w:tcPr>
          <w:p w:rsidR="003F5784" w14:paraId="272F067E" w14:textId="77777777">
            <w:pPr>
              <w:pStyle w:val="TableParagraph"/>
              <w:spacing w:before="9"/>
              <w:ind w:right="1002"/>
              <w:rPr>
                <w:sz w:val="21"/>
              </w:rPr>
            </w:pPr>
            <w:r>
              <w:rPr>
                <w:spacing w:val="-5"/>
                <w:sz w:val="21"/>
              </w:rPr>
              <w:t>80</w:t>
            </w:r>
          </w:p>
        </w:tc>
        <w:tc>
          <w:tcPr>
            <w:tcW w:w="1436" w:type="dxa"/>
            <w:tcBorders>
              <w:top w:val="single" w:sz="18" w:space="0" w:color="800000"/>
            </w:tcBorders>
          </w:tcPr>
          <w:p w:rsidR="003F5784" w14:paraId="5218E0FF" w14:textId="77777777">
            <w:pPr>
              <w:pStyle w:val="TableParagraph"/>
              <w:spacing w:before="9"/>
              <w:ind w:right="118"/>
              <w:rPr>
                <w:sz w:val="21"/>
              </w:rPr>
            </w:pPr>
            <w:r>
              <w:rPr>
                <w:spacing w:val="-5"/>
                <w:sz w:val="21"/>
              </w:rPr>
              <w:t>70</w:t>
            </w:r>
          </w:p>
        </w:tc>
      </w:tr>
      <w:tr w14:paraId="018AFC01" w14:textId="77777777">
        <w:tblPrEx>
          <w:tblW w:w="0" w:type="auto"/>
          <w:tblInd w:w="482" w:type="dxa"/>
          <w:tblLayout w:type="fixed"/>
          <w:tblCellMar>
            <w:left w:w="0" w:type="dxa"/>
            <w:right w:w="0" w:type="dxa"/>
          </w:tblCellMar>
          <w:tblLook w:val="01E0"/>
        </w:tblPrEx>
        <w:trPr>
          <w:trHeight w:val="286"/>
        </w:trPr>
        <w:tc>
          <w:tcPr>
            <w:tcW w:w="4718" w:type="dxa"/>
          </w:tcPr>
          <w:p w:rsidR="003F5784" w14:paraId="035E50B9" w14:textId="77777777">
            <w:pPr>
              <w:pStyle w:val="TableParagraph"/>
              <w:ind w:left="120"/>
              <w:jc w:val="left"/>
              <w:rPr>
                <w:sz w:val="21"/>
              </w:rPr>
            </w:pPr>
            <w:r>
              <w:rPr>
                <w:spacing w:val="-2"/>
                <w:sz w:val="21"/>
              </w:rPr>
              <w:t>Connecticut</w:t>
            </w:r>
          </w:p>
        </w:tc>
        <w:tc>
          <w:tcPr>
            <w:tcW w:w="3440" w:type="dxa"/>
          </w:tcPr>
          <w:p w:rsidR="003F5784" w14:paraId="544B6C59" w14:textId="77777777">
            <w:pPr>
              <w:pStyle w:val="TableParagraph"/>
              <w:ind w:right="1001"/>
              <w:rPr>
                <w:sz w:val="21"/>
              </w:rPr>
            </w:pPr>
            <w:r>
              <w:rPr>
                <w:spacing w:val="-5"/>
                <w:sz w:val="21"/>
              </w:rPr>
              <w:t>90</w:t>
            </w:r>
          </w:p>
        </w:tc>
        <w:tc>
          <w:tcPr>
            <w:tcW w:w="2195" w:type="dxa"/>
          </w:tcPr>
          <w:p w:rsidR="003F5784" w14:paraId="6C887370" w14:textId="77777777">
            <w:pPr>
              <w:pStyle w:val="TableParagraph"/>
              <w:ind w:left="228"/>
              <w:jc w:val="center"/>
              <w:rPr>
                <w:sz w:val="21"/>
              </w:rPr>
            </w:pPr>
            <w:r>
              <w:rPr>
                <w:spacing w:val="-5"/>
                <w:sz w:val="21"/>
              </w:rPr>
              <w:t>80</w:t>
            </w:r>
          </w:p>
        </w:tc>
        <w:tc>
          <w:tcPr>
            <w:tcW w:w="2196" w:type="dxa"/>
          </w:tcPr>
          <w:p w:rsidR="003F5784" w14:paraId="49C1791D" w14:textId="77777777">
            <w:pPr>
              <w:pStyle w:val="TableParagraph"/>
              <w:ind w:right="1002"/>
              <w:rPr>
                <w:sz w:val="21"/>
              </w:rPr>
            </w:pPr>
            <w:r>
              <w:rPr>
                <w:spacing w:val="-5"/>
                <w:sz w:val="21"/>
              </w:rPr>
              <w:t>90</w:t>
            </w:r>
          </w:p>
        </w:tc>
        <w:tc>
          <w:tcPr>
            <w:tcW w:w="1436" w:type="dxa"/>
          </w:tcPr>
          <w:p w:rsidR="003F5784" w14:paraId="1E5016E4" w14:textId="77777777">
            <w:pPr>
              <w:pStyle w:val="TableParagraph"/>
              <w:ind w:right="118"/>
              <w:rPr>
                <w:sz w:val="21"/>
              </w:rPr>
            </w:pPr>
            <w:r>
              <w:rPr>
                <w:spacing w:val="-5"/>
                <w:sz w:val="21"/>
              </w:rPr>
              <w:t>80</w:t>
            </w:r>
          </w:p>
        </w:tc>
      </w:tr>
      <w:tr w14:paraId="19CD5C39" w14:textId="77777777">
        <w:tblPrEx>
          <w:tblW w:w="0" w:type="auto"/>
          <w:tblInd w:w="482" w:type="dxa"/>
          <w:tblLayout w:type="fixed"/>
          <w:tblCellMar>
            <w:left w:w="0" w:type="dxa"/>
            <w:right w:w="0" w:type="dxa"/>
          </w:tblCellMar>
          <w:tblLook w:val="01E0"/>
        </w:tblPrEx>
        <w:trPr>
          <w:trHeight w:val="286"/>
        </w:trPr>
        <w:tc>
          <w:tcPr>
            <w:tcW w:w="4718" w:type="dxa"/>
          </w:tcPr>
          <w:p w:rsidR="003F5784" w14:paraId="4BF2574D" w14:textId="77777777">
            <w:pPr>
              <w:pStyle w:val="TableParagraph"/>
              <w:ind w:left="120"/>
              <w:jc w:val="left"/>
              <w:rPr>
                <w:sz w:val="21"/>
              </w:rPr>
            </w:pPr>
            <w:r>
              <w:rPr>
                <w:spacing w:val="-2"/>
                <w:sz w:val="21"/>
              </w:rPr>
              <w:t>Delaware</w:t>
            </w:r>
          </w:p>
        </w:tc>
        <w:tc>
          <w:tcPr>
            <w:tcW w:w="3440" w:type="dxa"/>
          </w:tcPr>
          <w:p w:rsidR="003F5784" w14:paraId="2B0C13DF" w14:textId="77777777">
            <w:pPr>
              <w:pStyle w:val="TableParagraph"/>
              <w:ind w:right="1001"/>
              <w:rPr>
                <w:sz w:val="21"/>
              </w:rPr>
            </w:pPr>
            <w:r>
              <w:rPr>
                <w:spacing w:val="-5"/>
                <w:sz w:val="21"/>
              </w:rPr>
              <w:t>80</w:t>
            </w:r>
          </w:p>
        </w:tc>
        <w:tc>
          <w:tcPr>
            <w:tcW w:w="2195" w:type="dxa"/>
          </w:tcPr>
          <w:p w:rsidR="003F5784" w14:paraId="09630A5D" w14:textId="77777777">
            <w:pPr>
              <w:pStyle w:val="TableParagraph"/>
              <w:ind w:left="228"/>
              <w:jc w:val="center"/>
              <w:rPr>
                <w:sz w:val="21"/>
              </w:rPr>
            </w:pPr>
            <w:r>
              <w:rPr>
                <w:spacing w:val="-5"/>
                <w:sz w:val="21"/>
              </w:rPr>
              <w:t>70</w:t>
            </w:r>
          </w:p>
        </w:tc>
        <w:tc>
          <w:tcPr>
            <w:tcW w:w="2196" w:type="dxa"/>
          </w:tcPr>
          <w:p w:rsidR="003F5784" w14:paraId="379135AD" w14:textId="77777777">
            <w:pPr>
              <w:pStyle w:val="TableParagraph"/>
              <w:ind w:right="1002"/>
              <w:rPr>
                <w:sz w:val="21"/>
              </w:rPr>
            </w:pPr>
            <w:r>
              <w:rPr>
                <w:spacing w:val="-5"/>
                <w:sz w:val="21"/>
              </w:rPr>
              <w:t>50</w:t>
            </w:r>
          </w:p>
        </w:tc>
        <w:tc>
          <w:tcPr>
            <w:tcW w:w="1436" w:type="dxa"/>
          </w:tcPr>
          <w:p w:rsidR="003F5784" w14:paraId="58C507E9" w14:textId="77777777">
            <w:pPr>
              <w:pStyle w:val="TableParagraph"/>
              <w:ind w:right="118"/>
              <w:rPr>
                <w:sz w:val="21"/>
              </w:rPr>
            </w:pPr>
            <w:r>
              <w:rPr>
                <w:spacing w:val="-5"/>
                <w:sz w:val="21"/>
              </w:rPr>
              <w:t>50</w:t>
            </w:r>
          </w:p>
        </w:tc>
      </w:tr>
      <w:tr w14:paraId="5BF475D1" w14:textId="77777777">
        <w:tblPrEx>
          <w:tblW w:w="0" w:type="auto"/>
          <w:tblInd w:w="482" w:type="dxa"/>
          <w:tblLayout w:type="fixed"/>
          <w:tblCellMar>
            <w:left w:w="0" w:type="dxa"/>
            <w:right w:w="0" w:type="dxa"/>
          </w:tblCellMar>
          <w:tblLook w:val="01E0"/>
        </w:tblPrEx>
        <w:trPr>
          <w:trHeight w:val="286"/>
        </w:trPr>
        <w:tc>
          <w:tcPr>
            <w:tcW w:w="4718" w:type="dxa"/>
          </w:tcPr>
          <w:p w:rsidR="003F5784" w14:paraId="7657C3BB" w14:textId="77777777">
            <w:pPr>
              <w:pStyle w:val="TableParagraph"/>
              <w:ind w:left="120"/>
              <w:jc w:val="left"/>
              <w:rPr>
                <w:sz w:val="21"/>
              </w:rPr>
            </w:pPr>
            <w:r>
              <w:rPr>
                <w:spacing w:val="-2"/>
                <w:sz w:val="21"/>
              </w:rPr>
              <w:t>Florida–Duval</w:t>
            </w:r>
            <w:r>
              <w:rPr>
                <w:spacing w:val="12"/>
                <w:sz w:val="21"/>
              </w:rPr>
              <w:t xml:space="preserve"> </w:t>
            </w:r>
            <w:r>
              <w:rPr>
                <w:spacing w:val="-2"/>
                <w:sz w:val="21"/>
              </w:rPr>
              <w:t>County</w:t>
            </w:r>
          </w:p>
        </w:tc>
        <w:tc>
          <w:tcPr>
            <w:tcW w:w="3440" w:type="dxa"/>
          </w:tcPr>
          <w:p w:rsidR="003F5784" w14:paraId="1FFCD2A6" w14:textId="77777777">
            <w:pPr>
              <w:pStyle w:val="TableParagraph"/>
              <w:ind w:right="1001"/>
              <w:rPr>
                <w:sz w:val="21"/>
              </w:rPr>
            </w:pPr>
            <w:r>
              <w:rPr>
                <w:spacing w:val="-5"/>
                <w:sz w:val="21"/>
              </w:rPr>
              <w:t>40</w:t>
            </w:r>
          </w:p>
        </w:tc>
        <w:tc>
          <w:tcPr>
            <w:tcW w:w="2195" w:type="dxa"/>
          </w:tcPr>
          <w:p w:rsidR="003F5784" w14:paraId="4129EB91" w14:textId="77777777">
            <w:pPr>
              <w:pStyle w:val="TableParagraph"/>
              <w:ind w:left="228"/>
              <w:jc w:val="center"/>
              <w:rPr>
                <w:sz w:val="21"/>
              </w:rPr>
            </w:pPr>
            <w:r>
              <w:rPr>
                <w:spacing w:val="-5"/>
                <w:sz w:val="21"/>
              </w:rPr>
              <w:t>40</w:t>
            </w:r>
          </w:p>
        </w:tc>
        <w:tc>
          <w:tcPr>
            <w:tcW w:w="2196" w:type="dxa"/>
          </w:tcPr>
          <w:p w:rsidR="003F5784" w14:paraId="003EFB89" w14:textId="77777777">
            <w:pPr>
              <w:pStyle w:val="TableParagraph"/>
              <w:ind w:right="1002"/>
              <w:rPr>
                <w:sz w:val="21"/>
              </w:rPr>
            </w:pPr>
            <w:r>
              <w:rPr>
                <w:spacing w:val="-5"/>
                <w:sz w:val="21"/>
              </w:rPr>
              <w:t>40</w:t>
            </w:r>
          </w:p>
        </w:tc>
        <w:tc>
          <w:tcPr>
            <w:tcW w:w="1436" w:type="dxa"/>
          </w:tcPr>
          <w:p w:rsidR="003F5784" w14:paraId="0B4472CA" w14:textId="77777777">
            <w:pPr>
              <w:pStyle w:val="TableParagraph"/>
              <w:ind w:right="118"/>
              <w:rPr>
                <w:sz w:val="21"/>
              </w:rPr>
            </w:pPr>
            <w:r>
              <w:rPr>
                <w:spacing w:val="-5"/>
                <w:sz w:val="21"/>
              </w:rPr>
              <w:t>40</w:t>
            </w:r>
          </w:p>
        </w:tc>
      </w:tr>
      <w:tr w14:paraId="09B237EF" w14:textId="77777777">
        <w:tblPrEx>
          <w:tblW w:w="0" w:type="auto"/>
          <w:tblInd w:w="482" w:type="dxa"/>
          <w:tblLayout w:type="fixed"/>
          <w:tblCellMar>
            <w:left w:w="0" w:type="dxa"/>
            <w:right w:w="0" w:type="dxa"/>
          </w:tblCellMar>
          <w:tblLook w:val="01E0"/>
        </w:tblPrEx>
        <w:trPr>
          <w:trHeight w:val="286"/>
        </w:trPr>
        <w:tc>
          <w:tcPr>
            <w:tcW w:w="4718" w:type="dxa"/>
          </w:tcPr>
          <w:p w:rsidR="003F5784" w14:paraId="4C58B140" w14:textId="77777777">
            <w:pPr>
              <w:pStyle w:val="TableParagraph"/>
              <w:ind w:left="120"/>
              <w:jc w:val="left"/>
              <w:rPr>
                <w:sz w:val="21"/>
              </w:rPr>
            </w:pPr>
            <w:r>
              <w:rPr>
                <w:spacing w:val="-2"/>
                <w:sz w:val="21"/>
              </w:rPr>
              <w:t>Florida–Hillsborough</w:t>
            </w:r>
            <w:r>
              <w:rPr>
                <w:spacing w:val="20"/>
                <w:sz w:val="21"/>
              </w:rPr>
              <w:t xml:space="preserve"> </w:t>
            </w:r>
            <w:r>
              <w:rPr>
                <w:spacing w:val="-2"/>
                <w:sz w:val="21"/>
              </w:rPr>
              <w:t>County</w:t>
            </w:r>
          </w:p>
        </w:tc>
        <w:tc>
          <w:tcPr>
            <w:tcW w:w="3440" w:type="dxa"/>
          </w:tcPr>
          <w:p w:rsidR="003F5784" w14:paraId="0194C91C" w14:textId="77777777">
            <w:pPr>
              <w:pStyle w:val="TableParagraph"/>
              <w:ind w:right="1001"/>
              <w:rPr>
                <w:sz w:val="21"/>
              </w:rPr>
            </w:pPr>
            <w:r>
              <w:rPr>
                <w:spacing w:val="-5"/>
                <w:sz w:val="21"/>
              </w:rPr>
              <w:t>40</w:t>
            </w:r>
          </w:p>
        </w:tc>
        <w:tc>
          <w:tcPr>
            <w:tcW w:w="2195" w:type="dxa"/>
          </w:tcPr>
          <w:p w:rsidR="003F5784" w14:paraId="43F3D704" w14:textId="77777777">
            <w:pPr>
              <w:pStyle w:val="TableParagraph"/>
              <w:ind w:left="228"/>
              <w:jc w:val="center"/>
              <w:rPr>
                <w:sz w:val="21"/>
              </w:rPr>
            </w:pPr>
            <w:r>
              <w:rPr>
                <w:spacing w:val="-5"/>
                <w:sz w:val="21"/>
              </w:rPr>
              <w:t>40</w:t>
            </w:r>
          </w:p>
        </w:tc>
        <w:tc>
          <w:tcPr>
            <w:tcW w:w="2196" w:type="dxa"/>
          </w:tcPr>
          <w:p w:rsidR="003F5784" w14:paraId="7C8C95DC" w14:textId="77777777">
            <w:pPr>
              <w:pStyle w:val="TableParagraph"/>
              <w:ind w:right="1002"/>
              <w:rPr>
                <w:sz w:val="21"/>
              </w:rPr>
            </w:pPr>
            <w:r>
              <w:rPr>
                <w:spacing w:val="-5"/>
                <w:sz w:val="21"/>
              </w:rPr>
              <w:t>40</w:t>
            </w:r>
          </w:p>
        </w:tc>
        <w:tc>
          <w:tcPr>
            <w:tcW w:w="1436" w:type="dxa"/>
          </w:tcPr>
          <w:p w:rsidR="003F5784" w14:paraId="385E0352" w14:textId="77777777">
            <w:pPr>
              <w:pStyle w:val="TableParagraph"/>
              <w:ind w:right="118"/>
              <w:rPr>
                <w:sz w:val="21"/>
              </w:rPr>
            </w:pPr>
            <w:r>
              <w:rPr>
                <w:spacing w:val="-5"/>
                <w:sz w:val="21"/>
              </w:rPr>
              <w:t>40</w:t>
            </w:r>
          </w:p>
        </w:tc>
      </w:tr>
      <w:tr w14:paraId="60978C68" w14:textId="77777777">
        <w:tblPrEx>
          <w:tblW w:w="0" w:type="auto"/>
          <w:tblInd w:w="482" w:type="dxa"/>
          <w:tblLayout w:type="fixed"/>
          <w:tblCellMar>
            <w:left w:w="0" w:type="dxa"/>
            <w:right w:w="0" w:type="dxa"/>
          </w:tblCellMar>
          <w:tblLook w:val="01E0"/>
        </w:tblPrEx>
        <w:trPr>
          <w:trHeight w:val="286"/>
        </w:trPr>
        <w:tc>
          <w:tcPr>
            <w:tcW w:w="4718" w:type="dxa"/>
          </w:tcPr>
          <w:p w:rsidR="003F5784" w14:paraId="151888D2" w14:textId="77777777">
            <w:pPr>
              <w:pStyle w:val="TableParagraph"/>
              <w:ind w:left="120"/>
              <w:jc w:val="left"/>
              <w:rPr>
                <w:sz w:val="21"/>
              </w:rPr>
            </w:pPr>
            <w:r>
              <w:rPr>
                <w:spacing w:val="-2"/>
                <w:sz w:val="21"/>
              </w:rPr>
              <w:t>Florida–Miami-Dade</w:t>
            </w:r>
            <w:r>
              <w:rPr>
                <w:spacing w:val="17"/>
                <w:sz w:val="21"/>
              </w:rPr>
              <w:t xml:space="preserve"> </w:t>
            </w:r>
            <w:r>
              <w:rPr>
                <w:spacing w:val="-2"/>
                <w:sz w:val="21"/>
              </w:rPr>
              <w:t>County</w:t>
            </w:r>
          </w:p>
        </w:tc>
        <w:tc>
          <w:tcPr>
            <w:tcW w:w="3440" w:type="dxa"/>
          </w:tcPr>
          <w:p w:rsidR="003F5784" w14:paraId="69458E38" w14:textId="77777777">
            <w:pPr>
              <w:pStyle w:val="TableParagraph"/>
              <w:ind w:right="1001"/>
              <w:rPr>
                <w:sz w:val="21"/>
              </w:rPr>
            </w:pPr>
            <w:r>
              <w:rPr>
                <w:spacing w:val="-5"/>
                <w:sz w:val="21"/>
              </w:rPr>
              <w:t>60</w:t>
            </w:r>
          </w:p>
        </w:tc>
        <w:tc>
          <w:tcPr>
            <w:tcW w:w="2195" w:type="dxa"/>
          </w:tcPr>
          <w:p w:rsidR="003F5784" w14:paraId="2C6DE172" w14:textId="77777777">
            <w:pPr>
              <w:pStyle w:val="TableParagraph"/>
              <w:ind w:left="228"/>
              <w:jc w:val="center"/>
              <w:rPr>
                <w:sz w:val="21"/>
              </w:rPr>
            </w:pPr>
            <w:r>
              <w:rPr>
                <w:spacing w:val="-5"/>
                <w:sz w:val="21"/>
              </w:rPr>
              <w:t>60</w:t>
            </w:r>
          </w:p>
        </w:tc>
        <w:tc>
          <w:tcPr>
            <w:tcW w:w="2196" w:type="dxa"/>
          </w:tcPr>
          <w:p w:rsidR="003F5784" w14:paraId="0E6EA9DC" w14:textId="77777777">
            <w:pPr>
              <w:pStyle w:val="TableParagraph"/>
              <w:ind w:right="1002"/>
              <w:rPr>
                <w:sz w:val="21"/>
              </w:rPr>
            </w:pPr>
            <w:r>
              <w:rPr>
                <w:spacing w:val="-5"/>
                <w:sz w:val="21"/>
              </w:rPr>
              <w:t>70</w:t>
            </w:r>
          </w:p>
        </w:tc>
        <w:tc>
          <w:tcPr>
            <w:tcW w:w="1436" w:type="dxa"/>
          </w:tcPr>
          <w:p w:rsidR="003F5784" w14:paraId="46770F6C" w14:textId="77777777">
            <w:pPr>
              <w:pStyle w:val="TableParagraph"/>
              <w:ind w:right="118"/>
              <w:rPr>
                <w:sz w:val="21"/>
              </w:rPr>
            </w:pPr>
            <w:r>
              <w:rPr>
                <w:spacing w:val="-5"/>
                <w:sz w:val="21"/>
              </w:rPr>
              <w:t>60</w:t>
            </w:r>
          </w:p>
        </w:tc>
      </w:tr>
      <w:tr w14:paraId="18F837C6" w14:textId="77777777">
        <w:tblPrEx>
          <w:tblW w:w="0" w:type="auto"/>
          <w:tblInd w:w="482" w:type="dxa"/>
          <w:tblLayout w:type="fixed"/>
          <w:tblCellMar>
            <w:left w:w="0" w:type="dxa"/>
            <w:right w:w="0" w:type="dxa"/>
          </w:tblCellMar>
          <w:tblLook w:val="01E0"/>
        </w:tblPrEx>
        <w:trPr>
          <w:trHeight w:val="286"/>
        </w:trPr>
        <w:tc>
          <w:tcPr>
            <w:tcW w:w="4718" w:type="dxa"/>
          </w:tcPr>
          <w:p w:rsidR="003F5784" w14:paraId="30F25A62" w14:textId="77777777">
            <w:pPr>
              <w:pStyle w:val="TableParagraph"/>
              <w:ind w:left="120"/>
              <w:jc w:val="left"/>
              <w:rPr>
                <w:sz w:val="21"/>
              </w:rPr>
            </w:pPr>
            <w:r>
              <w:rPr>
                <w:spacing w:val="-2"/>
                <w:sz w:val="21"/>
              </w:rPr>
              <w:t>Florida–Balance</w:t>
            </w:r>
          </w:p>
        </w:tc>
        <w:tc>
          <w:tcPr>
            <w:tcW w:w="3440" w:type="dxa"/>
          </w:tcPr>
          <w:p w:rsidR="003F5784" w14:paraId="5C822AF4" w14:textId="77777777">
            <w:pPr>
              <w:pStyle w:val="TableParagraph"/>
              <w:ind w:right="1001"/>
              <w:rPr>
                <w:sz w:val="21"/>
              </w:rPr>
            </w:pPr>
            <w:r>
              <w:rPr>
                <w:spacing w:val="-5"/>
                <w:sz w:val="21"/>
              </w:rPr>
              <w:t>60</w:t>
            </w:r>
          </w:p>
        </w:tc>
        <w:tc>
          <w:tcPr>
            <w:tcW w:w="2195" w:type="dxa"/>
          </w:tcPr>
          <w:p w:rsidR="003F5784" w14:paraId="08B6CC2E" w14:textId="77777777">
            <w:pPr>
              <w:pStyle w:val="TableParagraph"/>
              <w:ind w:left="228"/>
              <w:jc w:val="center"/>
              <w:rPr>
                <w:sz w:val="21"/>
              </w:rPr>
            </w:pPr>
            <w:r>
              <w:rPr>
                <w:spacing w:val="-5"/>
                <w:sz w:val="21"/>
              </w:rPr>
              <w:t>60</w:t>
            </w:r>
          </w:p>
        </w:tc>
        <w:tc>
          <w:tcPr>
            <w:tcW w:w="2196" w:type="dxa"/>
          </w:tcPr>
          <w:p w:rsidR="003F5784" w14:paraId="67C3A5A6" w14:textId="77777777">
            <w:pPr>
              <w:pStyle w:val="TableParagraph"/>
              <w:ind w:right="1002"/>
              <w:rPr>
                <w:sz w:val="21"/>
              </w:rPr>
            </w:pPr>
            <w:r>
              <w:rPr>
                <w:spacing w:val="-5"/>
                <w:sz w:val="21"/>
              </w:rPr>
              <w:t>70</w:t>
            </w:r>
          </w:p>
        </w:tc>
        <w:tc>
          <w:tcPr>
            <w:tcW w:w="1436" w:type="dxa"/>
          </w:tcPr>
          <w:p w:rsidR="003F5784" w14:paraId="57B6C033" w14:textId="77777777">
            <w:pPr>
              <w:pStyle w:val="TableParagraph"/>
              <w:ind w:right="118"/>
              <w:rPr>
                <w:sz w:val="21"/>
              </w:rPr>
            </w:pPr>
            <w:r>
              <w:rPr>
                <w:spacing w:val="-5"/>
                <w:sz w:val="21"/>
              </w:rPr>
              <w:t>70</w:t>
            </w:r>
          </w:p>
        </w:tc>
      </w:tr>
      <w:tr w14:paraId="4E7451B4" w14:textId="77777777">
        <w:tblPrEx>
          <w:tblW w:w="0" w:type="auto"/>
          <w:tblInd w:w="482" w:type="dxa"/>
          <w:tblLayout w:type="fixed"/>
          <w:tblCellMar>
            <w:left w:w="0" w:type="dxa"/>
            <w:right w:w="0" w:type="dxa"/>
          </w:tblCellMar>
          <w:tblLook w:val="01E0"/>
        </w:tblPrEx>
        <w:trPr>
          <w:trHeight w:val="286"/>
        </w:trPr>
        <w:tc>
          <w:tcPr>
            <w:tcW w:w="4718" w:type="dxa"/>
          </w:tcPr>
          <w:p w:rsidR="003F5784" w14:paraId="05807934" w14:textId="77777777">
            <w:pPr>
              <w:pStyle w:val="TableParagraph"/>
              <w:ind w:left="120"/>
              <w:jc w:val="left"/>
              <w:rPr>
                <w:sz w:val="21"/>
              </w:rPr>
            </w:pPr>
            <w:r>
              <w:rPr>
                <w:spacing w:val="-2"/>
                <w:sz w:val="21"/>
              </w:rPr>
              <w:t>Georgia–Atlanta</w:t>
            </w:r>
          </w:p>
        </w:tc>
        <w:tc>
          <w:tcPr>
            <w:tcW w:w="3440" w:type="dxa"/>
          </w:tcPr>
          <w:p w:rsidR="003F5784" w14:paraId="2CB6844D" w14:textId="77777777">
            <w:pPr>
              <w:pStyle w:val="TableParagraph"/>
              <w:ind w:right="1001"/>
              <w:rPr>
                <w:sz w:val="21"/>
              </w:rPr>
            </w:pPr>
            <w:r>
              <w:rPr>
                <w:spacing w:val="-5"/>
                <w:sz w:val="21"/>
              </w:rPr>
              <w:t>40</w:t>
            </w:r>
          </w:p>
        </w:tc>
        <w:tc>
          <w:tcPr>
            <w:tcW w:w="2195" w:type="dxa"/>
          </w:tcPr>
          <w:p w:rsidR="003F5784" w14:paraId="70FE5197" w14:textId="77777777">
            <w:pPr>
              <w:pStyle w:val="TableParagraph"/>
              <w:ind w:left="228"/>
              <w:jc w:val="center"/>
              <w:rPr>
                <w:sz w:val="21"/>
              </w:rPr>
            </w:pPr>
            <w:r>
              <w:rPr>
                <w:spacing w:val="-5"/>
                <w:sz w:val="21"/>
              </w:rPr>
              <w:t>40</w:t>
            </w:r>
          </w:p>
        </w:tc>
        <w:tc>
          <w:tcPr>
            <w:tcW w:w="2196" w:type="dxa"/>
          </w:tcPr>
          <w:p w:rsidR="003F5784" w14:paraId="678D02F7" w14:textId="77777777">
            <w:pPr>
              <w:pStyle w:val="TableParagraph"/>
              <w:ind w:right="1002"/>
              <w:rPr>
                <w:sz w:val="21"/>
              </w:rPr>
            </w:pPr>
            <w:r>
              <w:rPr>
                <w:spacing w:val="-5"/>
                <w:sz w:val="21"/>
              </w:rPr>
              <w:t>30</w:t>
            </w:r>
          </w:p>
        </w:tc>
        <w:tc>
          <w:tcPr>
            <w:tcW w:w="1436" w:type="dxa"/>
          </w:tcPr>
          <w:p w:rsidR="003F5784" w14:paraId="27B7BA57" w14:textId="77777777">
            <w:pPr>
              <w:pStyle w:val="TableParagraph"/>
              <w:ind w:right="118"/>
              <w:rPr>
                <w:sz w:val="21"/>
              </w:rPr>
            </w:pPr>
            <w:r>
              <w:rPr>
                <w:spacing w:val="-5"/>
                <w:sz w:val="21"/>
              </w:rPr>
              <w:t>30</w:t>
            </w:r>
          </w:p>
        </w:tc>
      </w:tr>
      <w:tr w14:paraId="7B2F16B3" w14:textId="77777777">
        <w:tblPrEx>
          <w:tblW w:w="0" w:type="auto"/>
          <w:tblInd w:w="482" w:type="dxa"/>
          <w:tblLayout w:type="fixed"/>
          <w:tblCellMar>
            <w:left w:w="0" w:type="dxa"/>
            <w:right w:w="0" w:type="dxa"/>
          </w:tblCellMar>
          <w:tblLook w:val="01E0"/>
        </w:tblPrEx>
        <w:trPr>
          <w:trHeight w:val="286"/>
        </w:trPr>
        <w:tc>
          <w:tcPr>
            <w:tcW w:w="4718" w:type="dxa"/>
          </w:tcPr>
          <w:p w:rsidR="003F5784" w14:paraId="5F6F45C6" w14:textId="77777777">
            <w:pPr>
              <w:pStyle w:val="TableParagraph"/>
              <w:ind w:left="120"/>
              <w:jc w:val="left"/>
              <w:rPr>
                <w:sz w:val="21"/>
              </w:rPr>
            </w:pPr>
            <w:r>
              <w:rPr>
                <w:spacing w:val="-2"/>
                <w:sz w:val="21"/>
              </w:rPr>
              <w:t>Georgia–Balance</w:t>
            </w:r>
          </w:p>
        </w:tc>
        <w:tc>
          <w:tcPr>
            <w:tcW w:w="3440" w:type="dxa"/>
          </w:tcPr>
          <w:p w:rsidR="003F5784" w14:paraId="4AD49F89" w14:textId="77777777">
            <w:pPr>
              <w:pStyle w:val="TableParagraph"/>
              <w:ind w:right="1001"/>
              <w:rPr>
                <w:sz w:val="21"/>
              </w:rPr>
            </w:pPr>
            <w:r>
              <w:rPr>
                <w:spacing w:val="-5"/>
                <w:sz w:val="21"/>
              </w:rPr>
              <w:t>80</w:t>
            </w:r>
          </w:p>
        </w:tc>
        <w:tc>
          <w:tcPr>
            <w:tcW w:w="2195" w:type="dxa"/>
          </w:tcPr>
          <w:p w:rsidR="003F5784" w14:paraId="59F9261B" w14:textId="77777777">
            <w:pPr>
              <w:pStyle w:val="TableParagraph"/>
              <w:ind w:left="228"/>
              <w:jc w:val="center"/>
              <w:rPr>
                <w:sz w:val="21"/>
              </w:rPr>
            </w:pPr>
            <w:r>
              <w:rPr>
                <w:spacing w:val="-5"/>
                <w:sz w:val="21"/>
              </w:rPr>
              <w:t>80</w:t>
            </w:r>
          </w:p>
        </w:tc>
        <w:tc>
          <w:tcPr>
            <w:tcW w:w="2196" w:type="dxa"/>
          </w:tcPr>
          <w:p w:rsidR="003F5784" w14:paraId="4637C3C2" w14:textId="77777777">
            <w:pPr>
              <w:pStyle w:val="TableParagraph"/>
              <w:ind w:right="1002"/>
              <w:rPr>
                <w:sz w:val="21"/>
              </w:rPr>
            </w:pPr>
            <w:r>
              <w:rPr>
                <w:spacing w:val="-5"/>
                <w:sz w:val="21"/>
              </w:rPr>
              <w:t>80</w:t>
            </w:r>
          </w:p>
        </w:tc>
        <w:tc>
          <w:tcPr>
            <w:tcW w:w="1436" w:type="dxa"/>
          </w:tcPr>
          <w:p w:rsidR="003F5784" w14:paraId="645DBD2B" w14:textId="77777777">
            <w:pPr>
              <w:pStyle w:val="TableParagraph"/>
              <w:ind w:right="118"/>
              <w:rPr>
                <w:sz w:val="21"/>
              </w:rPr>
            </w:pPr>
            <w:r>
              <w:rPr>
                <w:spacing w:val="-5"/>
                <w:sz w:val="21"/>
              </w:rPr>
              <w:t>80</w:t>
            </w:r>
          </w:p>
        </w:tc>
      </w:tr>
      <w:tr w14:paraId="2202A5BA" w14:textId="77777777">
        <w:tblPrEx>
          <w:tblW w:w="0" w:type="auto"/>
          <w:tblInd w:w="482" w:type="dxa"/>
          <w:tblLayout w:type="fixed"/>
          <w:tblCellMar>
            <w:left w:w="0" w:type="dxa"/>
            <w:right w:w="0" w:type="dxa"/>
          </w:tblCellMar>
          <w:tblLook w:val="01E0"/>
        </w:tblPrEx>
        <w:trPr>
          <w:trHeight w:val="286"/>
        </w:trPr>
        <w:tc>
          <w:tcPr>
            <w:tcW w:w="4718" w:type="dxa"/>
          </w:tcPr>
          <w:p w:rsidR="003F5784" w14:paraId="5886C970" w14:textId="77777777">
            <w:pPr>
              <w:pStyle w:val="TableParagraph"/>
              <w:ind w:left="120"/>
              <w:jc w:val="left"/>
              <w:rPr>
                <w:sz w:val="21"/>
              </w:rPr>
            </w:pPr>
            <w:r>
              <w:rPr>
                <w:spacing w:val="-2"/>
                <w:sz w:val="21"/>
              </w:rPr>
              <w:t>Hawaii</w:t>
            </w:r>
          </w:p>
        </w:tc>
        <w:tc>
          <w:tcPr>
            <w:tcW w:w="3440" w:type="dxa"/>
          </w:tcPr>
          <w:p w:rsidR="003F5784" w14:paraId="45EAA3A1" w14:textId="77777777">
            <w:pPr>
              <w:pStyle w:val="TableParagraph"/>
              <w:ind w:right="1001"/>
              <w:rPr>
                <w:sz w:val="21"/>
              </w:rPr>
            </w:pPr>
            <w:r>
              <w:rPr>
                <w:spacing w:val="-5"/>
                <w:sz w:val="21"/>
              </w:rPr>
              <w:t>90</w:t>
            </w:r>
          </w:p>
        </w:tc>
        <w:tc>
          <w:tcPr>
            <w:tcW w:w="2195" w:type="dxa"/>
          </w:tcPr>
          <w:p w:rsidR="003F5784" w14:paraId="55943E70" w14:textId="77777777">
            <w:pPr>
              <w:pStyle w:val="TableParagraph"/>
              <w:ind w:left="228"/>
              <w:jc w:val="center"/>
              <w:rPr>
                <w:sz w:val="21"/>
              </w:rPr>
            </w:pPr>
            <w:r>
              <w:rPr>
                <w:spacing w:val="-5"/>
                <w:sz w:val="21"/>
              </w:rPr>
              <w:t>90</w:t>
            </w:r>
          </w:p>
        </w:tc>
        <w:tc>
          <w:tcPr>
            <w:tcW w:w="2196" w:type="dxa"/>
          </w:tcPr>
          <w:p w:rsidR="003F5784" w14:paraId="332C3E8E" w14:textId="77777777">
            <w:pPr>
              <w:pStyle w:val="TableParagraph"/>
              <w:ind w:right="1002"/>
              <w:rPr>
                <w:sz w:val="21"/>
              </w:rPr>
            </w:pPr>
            <w:r>
              <w:rPr>
                <w:spacing w:val="-5"/>
                <w:sz w:val="21"/>
              </w:rPr>
              <w:t>50</w:t>
            </w:r>
          </w:p>
        </w:tc>
        <w:tc>
          <w:tcPr>
            <w:tcW w:w="1436" w:type="dxa"/>
          </w:tcPr>
          <w:p w:rsidR="003F5784" w14:paraId="4368AEB1" w14:textId="77777777">
            <w:pPr>
              <w:pStyle w:val="TableParagraph"/>
              <w:ind w:right="118"/>
              <w:rPr>
                <w:sz w:val="21"/>
              </w:rPr>
            </w:pPr>
            <w:r>
              <w:rPr>
                <w:spacing w:val="-5"/>
                <w:sz w:val="21"/>
              </w:rPr>
              <w:t>50</w:t>
            </w:r>
          </w:p>
        </w:tc>
      </w:tr>
      <w:tr w14:paraId="49A111E3" w14:textId="77777777">
        <w:tblPrEx>
          <w:tblW w:w="0" w:type="auto"/>
          <w:tblInd w:w="482" w:type="dxa"/>
          <w:tblLayout w:type="fixed"/>
          <w:tblCellMar>
            <w:left w:w="0" w:type="dxa"/>
            <w:right w:w="0" w:type="dxa"/>
          </w:tblCellMar>
          <w:tblLook w:val="01E0"/>
        </w:tblPrEx>
        <w:trPr>
          <w:trHeight w:val="286"/>
        </w:trPr>
        <w:tc>
          <w:tcPr>
            <w:tcW w:w="4718" w:type="dxa"/>
          </w:tcPr>
          <w:p w:rsidR="003F5784" w14:paraId="5A9C99D9" w14:textId="77777777">
            <w:pPr>
              <w:pStyle w:val="TableParagraph"/>
              <w:ind w:left="120"/>
              <w:jc w:val="left"/>
              <w:rPr>
                <w:sz w:val="21"/>
              </w:rPr>
            </w:pPr>
            <w:r>
              <w:rPr>
                <w:spacing w:val="-2"/>
                <w:sz w:val="21"/>
              </w:rPr>
              <w:t>Idaho</w:t>
            </w:r>
          </w:p>
        </w:tc>
        <w:tc>
          <w:tcPr>
            <w:tcW w:w="3440" w:type="dxa"/>
          </w:tcPr>
          <w:p w:rsidR="003F5784" w14:paraId="44C70C66" w14:textId="77777777">
            <w:pPr>
              <w:pStyle w:val="TableParagraph"/>
              <w:ind w:right="1001"/>
              <w:rPr>
                <w:sz w:val="21"/>
              </w:rPr>
            </w:pPr>
            <w:r>
              <w:rPr>
                <w:spacing w:val="-5"/>
                <w:sz w:val="21"/>
              </w:rPr>
              <w:t>90</w:t>
            </w:r>
          </w:p>
        </w:tc>
        <w:tc>
          <w:tcPr>
            <w:tcW w:w="2195" w:type="dxa"/>
          </w:tcPr>
          <w:p w:rsidR="003F5784" w14:paraId="2333747B" w14:textId="77777777">
            <w:pPr>
              <w:pStyle w:val="TableParagraph"/>
              <w:ind w:left="228"/>
              <w:jc w:val="center"/>
              <w:rPr>
                <w:sz w:val="21"/>
              </w:rPr>
            </w:pPr>
            <w:r>
              <w:rPr>
                <w:spacing w:val="-5"/>
                <w:sz w:val="21"/>
              </w:rPr>
              <w:t>90</w:t>
            </w:r>
          </w:p>
        </w:tc>
        <w:tc>
          <w:tcPr>
            <w:tcW w:w="2196" w:type="dxa"/>
          </w:tcPr>
          <w:p w:rsidR="003F5784" w14:paraId="08085AD8" w14:textId="77777777">
            <w:pPr>
              <w:pStyle w:val="TableParagraph"/>
              <w:ind w:right="1002"/>
              <w:rPr>
                <w:sz w:val="21"/>
              </w:rPr>
            </w:pPr>
            <w:r>
              <w:rPr>
                <w:spacing w:val="-5"/>
                <w:sz w:val="21"/>
              </w:rPr>
              <w:t>90</w:t>
            </w:r>
          </w:p>
        </w:tc>
        <w:tc>
          <w:tcPr>
            <w:tcW w:w="1436" w:type="dxa"/>
          </w:tcPr>
          <w:p w:rsidR="003F5784" w14:paraId="4391C0DF" w14:textId="77777777">
            <w:pPr>
              <w:pStyle w:val="TableParagraph"/>
              <w:ind w:right="118"/>
              <w:rPr>
                <w:sz w:val="21"/>
              </w:rPr>
            </w:pPr>
            <w:r>
              <w:rPr>
                <w:spacing w:val="-5"/>
                <w:sz w:val="21"/>
              </w:rPr>
              <w:t>80</w:t>
            </w:r>
          </w:p>
        </w:tc>
      </w:tr>
      <w:tr w14:paraId="15DA3C6A" w14:textId="77777777">
        <w:tblPrEx>
          <w:tblW w:w="0" w:type="auto"/>
          <w:tblInd w:w="482" w:type="dxa"/>
          <w:tblLayout w:type="fixed"/>
          <w:tblCellMar>
            <w:left w:w="0" w:type="dxa"/>
            <w:right w:w="0" w:type="dxa"/>
          </w:tblCellMar>
          <w:tblLook w:val="01E0"/>
        </w:tblPrEx>
        <w:trPr>
          <w:trHeight w:val="286"/>
        </w:trPr>
        <w:tc>
          <w:tcPr>
            <w:tcW w:w="4718" w:type="dxa"/>
          </w:tcPr>
          <w:p w:rsidR="003F5784" w14:paraId="43381A5D" w14:textId="77777777">
            <w:pPr>
              <w:pStyle w:val="TableParagraph"/>
              <w:ind w:left="120"/>
              <w:jc w:val="left"/>
              <w:rPr>
                <w:sz w:val="21"/>
              </w:rPr>
            </w:pPr>
            <w:r>
              <w:rPr>
                <w:spacing w:val="-2"/>
                <w:sz w:val="21"/>
              </w:rPr>
              <w:t>Illinois–Chicago</w:t>
            </w:r>
          </w:p>
        </w:tc>
        <w:tc>
          <w:tcPr>
            <w:tcW w:w="3440" w:type="dxa"/>
          </w:tcPr>
          <w:p w:rsidR="003F5784" w14:paraId="5A584703" w14:textId="77777777">
            <w:pPr>
              <w:pStyle w:val="TableParagraph"/>
              <w:ind w:right="1001"/>
              <w:rPr>
                <w:sz w:val="21"/>
              </w:rPr>
            </w:pPr>
            <w:r>
              <w:rPr>
                <w:spacing w:val="-5"/>
                <w:sz w:val="21"/>
              </w:rPr>
              <w:t>70</w:t>
            </w:r>
          </w:p>
        </w:tc>
        <w:tc>
          <w:tcPr>
            <w:tcW w:w="2195" w:type="dxa"/>
          </w:tcPr>
          <w:p w:rsidR="003F5784" w14:paraId="07A92725" w14:textId="77777777">
            <w:pPr>
              <w:pStyle w:val="TableParagraph"/>
              <w:ind w:left="228"/>
              <w:jc w:val="center"/>
              <w:rPr>
                <w:sz w:val="21"/>
              </w:rPr>
            </w:pPr>
            <w:r>
              <w:rPr>
                <w:spacing w:val="-5"/>
                <w:sz w:val="21"/>
              </w:rPr>
              <w:t>70</w:t>
            </w:r>
          </w:p>
        </w:tc>
        <w:tc>
          <w:tcPr>
            <w:tcW w:w="2196" w:type="dxa"/>
          </w:tcPr>
          <w:p w:rsidR="003F5784" w14:paraId="7F4F5CE0" w14:textId="77777777">
            <w:pPr>
              <w:pStyle w:val="TableParagraph"/>
              <w:ind w:right="1002"/>
              <w:rPr>
                <w:sz w:val="21"/>
              </w:rPr>
            </w:pPr>
            <w:r>
              <w:rPr>
                <w:spacing w:val="-5"/>
                <w:sz w:val="21"/>
              </w:rPr>
              <w:t>70</w:t>
            </w:r>
          </w:p>
        </w:tc>
        <w:tc>
          <w:tcPr>
            <w:tcW w:w="1436" w:type="dxa"/>
          </w:tcPr>
          <w:p w:rsidR="003F5784" w14:paraId="22AB048C" w14:textId="77777777">
            <w:pPr>
              <w:pStyle w:val="TableParagraph"/>
              <w:ind w:right="118"/>
              <w:rPr>
                <w:sz w:val="21"/>
              </w:rPr>
            </w:pPr>
            <w:r>
              <w:rPr>
                <w:spacing w:val="-5"/>
                <w:sz w:val="21"/>
              </w:rPr>
              <w:t>70</w:t>
            </w:r>
          </w:p>
        </w:tc>
      </w:tr>
      <w:tr w14:paraId="3C35C899" w14:textId="77777777">
        <w:tblPrEx>
          <w:tblW w:w="0" w:type="auto"/>
          <w:tblInd w:w="482" w:type="dxa"/>
          <w:tblLayout w:type="fixed"/>
          <w:tblCellMar>
            <w:left w:w="0" w:type="dxa"/>
            <w:right w:w="0" w:type="dxa"/>
          </w:tblCellMar>
          <w:tblLook w:val="01E0"/>
        </w:tblPrEx>
        <w:trPr>
          <w:trHeight w:val="286"/>
        </w:trPr>
        <w:tc>
          <w:tcPr>
            <w:tcW w:w="4718" w:type="dxa"/>
          </w:tcPr>
          <w:p w:rsidR="003F5784" w14:paraId="704C61E8" w14:textId="77777777">
            <w:pPr>
              <w:pStyle w:val="TableParagraph"/>
              <w:ind w:left="120"/>
              <w:jc w:val="left"/>
              <w:rPr>
                <w:sz w:val="21"/>
              </w:rPr>
            </w:pPr>
            <w:r>
              <w:rPr>
                <w:spacing w:val="-2"/>
                <w:sz w:val="21"/>
              </w:rPr>
              <w:t>Illinois–Balance</w:t>
            </w:r>
          </w:p>
        </w:tc>
        <w:tc>
          <w:tcPr>
            <w:tcW w:w="3440" w:type="dxa"/>
          </w:tcPr>
          <w:p w:rsidR="003F5784" w14:paraId="3D54F259" w14:textId="77777777">
            <w:pPr>
              <w:pStyle w:val="TableParagraph"/>
              <w:ind w:right="1001"/>
              <w:rPr>
                <w:sz w:val="21"/>
              </w:rPr>
            </w:pPr>
            <w:r>
              <w:rPr>
                <w:spacing w:val="-5"/>
                <w:sz w:val="21"/>
              </w:rPr>
              <w:t>80</w:t>
            </w:r>
          </w:p>
        </w:tc>
        <w:tc>
          <w:tcPr>
            <w:tcW w:w="2195" w:type="dxa"/>
          </w:tcPr>
          <w:p w:rsidR="003F5784" w14:paraId="7EE21DEA" w14:textId="77777777">
            <w:pPr>
              <w:pStyle w:val="TableParagraph"/>
              <w:ind w:left="228"/>
              <w:jc w:val="center"/>
              <w:rPr>
                <w:sz w:val="21"/>
              </w:rPr>
            </w:pPr>
            <w:r>
              <w:rPr>
                <w:spacing w:val="-5"/>
                <w:sz w:val="21"/>
              </w:rPr>
              <w:t>70</w:t>
            </w:r>
          </w:p>
        </w:tc>
        <w:tc>
          <w:tcPr>
            <w:tcW w:w="2196" w:type="dxa"/>
          </w:tcPr>
          <w:p w:rsidR="003F5784" w14:paraId="43A29531" w14:textId="77777777">
            <w:pPr>
              <w:pStyle w:val="TableParagraph"/>
              <w:ind w:right="1002"/>
              <w:rPr>
                <w:sz w:val="21"/>
              </w:rPr>
            </w:pPr>
            <w:r>
              <w:rPr>
                <w:spacing w:val="-5"/>
                <w:sz w:val="21"/>
              </w:rPr>
              <w:t>70</w:t>
            </w:r>
          </w:p>
        </w:tc>
        <w:tc>
          <w:tcPr>
            <w:tcW w:w="1436" w:type="dxa"/>
          </w:tcPr>
          <w:p w:rsidR="003F5784" w14:paraId="4F4243F4" w14:textId="77777777">
            <w:pPr>
              <w:pStyle w:val="TableParagraph"/>
              <w:ind w:right="118"/>
              <w:rPr>
                <w:sz w:val="21"/>
              </w:rPr>
            </w:pPr>
            <w:r>
              <w:rPr>
                <w:spacing w:val="-5"/>
                <w:sz w:val="21"/>
              </w:rPr>
              <w:t>70</w:t>
            </w:r>
          </w:p>
        </w:tc>
      </w:tr>
      <w:tr w14:paraId="5E2A75B1" w14:textId="77777777">
        <w:tblPrEx>
          <w:tblW w:w="0" w:type="auto"/>
          <w:tblInd w:w="482" w:type="dxa"/>
          <w:tblLayout w:type="fixed"/>
          <w:tblCellMar>
            <w:left w:w="0" w:type="dxa"/>
            <w:right w:w="0" w:type="dxa"/>
          </w:tblCellMar>
          <w:tblLook w:val="01E0"/>
        </w:tblPrEx>
        <w:trPr>
          <w:trHeight w:val="286"/>
        </w:trPr>
        <w:tc>
          <w:tcPr>
            <w:tcW w:w="4718" w:type="dxa"/>
          </w:tcPr>
          <w:p w:rsidR="003F5784" w14:paraId="765D7111" w14:textId="77777777">
            <w:pPr>
              <w:pStyle w:val="TableParagraph"/>
              <w:ind w:left="120"/>
              <w:jc w:val="left"/>
              <w:rPr>
                <w:sz w:val="21"/>
              </w:rPr>
            </w:pPr>
            <w:r>
              <w:rPr>
                <w:spacing w:val="-2"/>
                <w:sz w:val="21"/>
              </w:rPr>
              <w:t>Indiana</w:t>
            </w:r>
          </w:p>
        </w:tc>
        <w:tc>
          <w:tcPr>
            <w:tcW w:w="3440" w:type="dxa"/>
          </w:tcPr>
          <w:p w:rsidR="003F5784" w14:paraId="79C7910F" w14:textId="77777777">
            <w:pPr>
              <w:pStyle w:val="TableParagraph"/>
              <w:ind w:right="1001"/>
              <w:rPr>
                <w:sz w:val="21"/>
              </w:rPr>
            </w:pPr>
            <w:r>
              <w:rPr>
                <w:spacing w:val="-5"/>
                <w:sz w:val="21"/>
              </w:rPr>
              <w:t>90</w:t>
            </w:r>
          </w:p>
        </w:tc>
        <w:tc>
          <w:tcPr>
            <w:tcW w:w="2195" w:type="dxa"/>
          </w:tcPr>
          <w:p w:rsidR="003F5784" w14:paraId="7814DE43" w14:textId="77777777">
            <w:pPr>
              <w:pStyle w:val="TableParagraph"/>
              <w:ind w:left="228"/>
              <w:jc w:val="center"/>
              <w:rPr>
                <w:sz w:val="21"/>
              </w:rPr>
            </w:pPr>
            <w:r>
              <w:rPr>
                <w:spacing w:val="-5"/>
                <w:sz w:val="21"/>
              </w:rPr>
              <w:t>90</w:t>
            </w:r>
          </w:p>
        </w:tc>
        <w:tc>
          <w:tcPr>
            <w:tcW w:w="2196" w:type="dxa"/>
          </w:tcPr>
          <w:p w:rsidR="003F5784" w14:paraId="539FAD3F" w14:textId="77777777">
            <w:pPr>
              <w:pStyle w:val="TableParagraph"/>
              <w:ind w:right="1002"/>
              <w:rPr>
                <w:sz w:val="21"/>
              </w:rPr>
            </w:pPr>
            <w:r>
              <w:rPr>
                <w:spacing w:val="-5"/>
                <w:sz w:val="21"/>
              </w:rPr>
              <w:t>90</w:t>
            </w:r>
          </w:p>
        </w:tc>
        <w:tc>
          <w:tcPr>
            <w:tcW w:w="1436" w:type="dxa"/>
          </w:tcPr>
          <w:p w:rsidR="003F5784" w14:paraId="2FC61BEF" w14:textId="77777777">
            <w:pPr>
              <w:pStyle w:val="TableParagraph"/>
              <w:ind w:right="118"/>
              <w:rPr>
                <w:sz w:val="21"/>
              </w:rPr>
            </w:pPr>
            <w:r>
              <w:rPr>
                <w:spacing w:val="-5"/>
                <w:sz w:val="21"/>
              </w:rPr>
              <w:t>80</w:t>
            </w:r>
          </w:p>
        </w:tc>
      </w:tr>
      <w:tr w14:paraId="12DF0168" w14:textId="77777777">
        <w:tblPrEx>
          <w:tblW w:w="0" w:type="auto"/>
          <w:tblInd w:w="482" w:type="dxa"/>
          <w:tblLayout w:type="fixed"/>
          <w:tblCellMar>
            <w:left w:w="0" w:type="dxa"/>
            <w:right w:w="0" w:type="dxa"/>
          </w:tblCellMar>
          <w:tblLook w:val="01E0"/>
        </w:tblPrEx>
        <w:trPr>
          <w:trHeight w:val="286"/>
        </w:trPr>
        <w:tc>
          <w:tcPr>
            <w:tcW w:w="4718" w:type="dxa"/>
          </w:tcPr>
          <w:p w:rsidR="003F5784" w14:paraId="1DF1E749" w14:textId="77777777">
            <w:pPr>
              <w:pStyle w:val="TableParagraph"/>
              <w:ind w:left="120"/>
              <w:jc w:val="left"/>
              <w:rPr>
                <w:sz w:val="21"/>
              </w:rPr>
            </w:pPr>
            <w:r>
              <w:rPr>
                <w:spacing w:val="-4"/>
                <w:sz w:val="21"/>
              </w:rPr>
              <w:t>Iowa</w:t>
            </w:r>
          </w:p>
        </w:tc>
        <w:tc>
          <w:tcPr>
            <w:tcW w:w="3440" w:type="dxa"/>
          </w:tcPr>
          <w:p w:rsidR="003F5784" w14:paraId="6442A925" w14:textId="77777777">
            <w:pPr>
              <w:pStyle w:val="TableParagraph"/>
              <w:ind w:right="1001"/>
              <w:rPr>
                <w:sz w:val="21"/>
              </w:rPr>
            </w:pPr>
            <w:r>
              <w:rPr>
                <w:spacing w:val="-5"/>
                <w:sz w:val="21"/>
              </w:rPr>
              <w:t>90</w:t>
            </w:r>
          </w:p>
        </w:tc>
        <w:tc>
          <w:tcPr>
            <w:tcW w:w="2195" w:type="dxa"/>
          </w:tcPr>
          <w:p w:rsidR="003F5784" w14:paraId="6C5FD12C" w14:textId="77777777">
            <w:pPr>
              <w:pStyle w:val="TableParagraph"/>
              <w:ind w:left="228"/>
              <w:jc w:val="center"/>
              <w:rPr>
                <w:sz w:val="21"/>
              </w:rPr>
            </w:pPr>
            <w:r>
              <w:rPr>
                <w:spacing w:val="-5"/>
                <w:sz w:val="21"/>
              </w:rPr>
              <w:t>90</w:t>
            </w:r>
          </w:p>
        </w:tc>
        <w:tc>
          <w:tcPr>
            <w:tcW w:w="2196" w:type="dxa"/>
          </w:tcPr>
          <w:p w:rsidR="003F5784" w14:paraId="32E871EE" w14:textId="77777777">
            <w:pPr>
              <w:pStyle w:val="TableParagraph"/>
              <w:ind w:right="1002"/>
              <w:rPr>
                <w:sz w:val="21"/>
              </w:rPr>
            </w:pPr>
            <w:r>
              <w:rPr>
                <w:spacing w:val="-5"/>
                <w:sz w:val="21"/>
              </w:rPr>
              <w:t>90</w:t>
            </w:r>
          </w:p>
        </w:tc>
        <w:tc>
          <w:tcPr>
            <w:tcW w:w="1436" w:type="dxa"/>
          </w:tcPr>
          <w:p w:rsidR="003F5784" w14:paraId="1A679580" w14:textId="77777777">
            <w:pPr>
              <w:pStyle w:val="TableParagraph"/>
              <w:ind w:right="118"/>
              <w:rPr>
                <w:sz w:val="21"/>
              </w:rPr>
            </w:pPr>
            <w:r>
              <w:rPr>
                <w:spacing w:val="-5"/>
                <w:sz w:val="21"/>
              </w:rPr>
              <w:t>80</w:t>
            </w:r>
          </w:p>
        </w:tc>
      </w:tr>
      <w:tr w14:paraId="6133AF6A" w14:textId="77777777">
        <w:tblPrEx>
          <w:tblW w:w="0" w:type="auto"/>
          <w:tblInd w:w="482" w:type="dxa"/>
          <w:tblLayout w:type="fixed"/>
          <w:tblCellMar>
            <w:left w:w="0" w:type="dxa"/>
            <w:right w:w="0" w:type="dxa"/>
          </w:tblCellMar>
          <w:tblLook w:val="01E0"/>
        </w:tblPrEx>
        <w:trPr>
          <w:trHeight w:val="286"/>
        </w:trPr>
        <w:tc>
          <w:tcPr>
            <w:tcW w:w="4718" w:type="dxa"/>
          </w:tcPr>
          <w:p w:rsidR="003F5784" w14:paraId="1045A536" w14:textId="77777777">
            <w:pPr>
              <w:pStyle w:val="TableParagraph"/>
              <w:ind w:left="120"/>
              <w:jc w:val="left"/>
              <w:rPr>
                <w:sz w:val="21"/>
              </w:rPr>
            </w:pPr>
            <w:r>
              <w:rPr>
                <w:spacing w:val="-2"/>
                <w:sz w:val="21"/>
              </w:rPr>
              <w:t>Kansas</w:t>
            </w:r>
          </w:p>
        </w:tc>
        <w:tc>
          <w:tcPr>
            <w:tcW w:w="3440" w:type="dxa"/>
          </w:tcPr>
          <w:p w:rsidR="003F5784" w14:paraId="5ADFC575" w14:textId="77777777">
            <w:pPr>
              <w:pStyle w:val="TableParagraph"/>
              <w:ind w:right="1001"/>
              <w:rPr>
                <w:sz w:val="21"/>
              </w:rPr>
            </w:pPr>
            <w:r>
              <w:rPr>
                <w:spacing w:val="-5"/>
                <w:sz w:val="21"/>
              </w:rPr>
              <w:t>100</w:t>
            </w:r>
          </w:p>
        </w:tc>
        <w:tc>
          <w:tcPr>
            <w:tcW w:w="2195" w:type="dxa"/>
          </w:tcPr>
          <w:p w:rsidR="003F5784" w14:paraId="55A70639" w14:textId="77777777">
            <w:pPr>
              <w:pStyle w:val="TableParagraph"/>
              <w:ind w:left="228" w:right="105"/>
              <w:jc w:val="center"/>
              <w:rPr>
                <w:sz w:val="21"/>
              </w:rPr>
            </w:pPr>
            <w:r>
              <w:rPr>
                <w:spacing w:val="-5"/>
                <w:sz w:val="21"/>
              </w:rPr>
              <w:t>100</w:t>
            </w:r>
          </w:p>
        </w:tc>
        <w:tc>
          <w:tcPr>
            <w:tcW w:w="2196" w:type="dxa"/>
          </w:tcPr>
          <w:p w:rsidR="003F5784" w14:paraId="03A6A80E" w14:textId="77777777">
            <w:pPr>
              <w:pStyle w:val="TableParagraph"/>
              <w:ind w:right="1002"/>
              <w:rPr>
                <w:sz w:val="21"/>
              </w:rPr>
            </w:pPr>
            <w:r>
              <w:rPr>
                <w:spacing w:val="-5"/>
                <w:sz w:val="21"/>
              </w:rPr>
              <w:t>90</w:t>
            </w:r>
          </w:p>
        </w:tc>
        <w:tc>
          <w:tcPr>
            <w:tcW w:w="1436" w:type="dxa"/>
          </w:tcPr>
          <w:p w:rsidR="003F5784" w14:paraId="2B89D16B" w14:textId="77777777">
            <w:pPr>
              <w:pStyle w:val="TableParagraph"/>
              <w:ind w:right="118"/>
              <w:rPr>
                <w:sz w:val="21"/>
              </w:rPr>
            </w:pPr>
            <w:r>
              <w:rPr>
                <w:spacing w:val="-5"/>
                <w:sz w:val="21"/>
              </w:rPr>
              <w:t>90</w:t>
            </w:r>
          </w:p>
        </w:tc>
      </w:tr>
      <w:tr w14:paraId="7C44AE72" w14:textId="77777777">
        <w:tblPrEx>
          <w:tblW w:w="0" w:type="auto"/>
          <w:tblInd w:w="482" w:type="dxa"/>
          <w:tblLayout w:type="fixed"/>
          <w:tblCellMar>
            <w:left w:w="0" w:type="dxa"/>
            <w:right w:w="0" w:type="dxa"/>
          </w:tblCellMar>
          <w:tblLook w:val="01E0"/>
        </w:tblPrEx>
        <w:trPr>
          <w:trHeight w:val="286"/>
        </w:trPr>
        <w:tc>
          <w:tcPr>
            <w:tcW w:w="4718" w:type="dxa"/>
          </w:tcPr>
          <w:p w:rsidR="003F5784" w14:paraId="16DD6288" w14:textId="77777777">
            <w:pPr>
              <w:pStyle w:val="TableParagraph"/>
              <w:ind w:left="120"/>
              <w:jc w:val="left"/>
              <w:rPr>
                <w:sz w:val="21"/>
              </w:rPr>
            </w:pPr>
            <w:r>
              <w:rPr>
                <w:spacing w:val="-2"/>
                <w:sz w:val="21"/>
              </w:rPr>
              <w:t>Kentucky–Jefferson</w:t>
            </w:r>
            <w:r>
              <w:rPr>
                <w:spacing w:val="14"/>
                <w:sz w:val="21"/>
              </w:rPr>
              <w:t xml:space="preserve"> </w:t>
            </w:r>
            <w:r>
              <w:rPr>
                <w:spacing w:val="-2"/>
                <w:sz w:val="21"/>
              </w:rPr>
              <w:t>County</w:t>
            </w:r>
          </w:p>
        </w:tc>
        <w:tc>
          <w:tcPr>
            <w:tcW w:w="3440" w:type="dxa"/>
          </w:tcPr>
          <w:p w:rsidR="003F5784" w14:paraId="4619B9E5" w14:textId="77777777">
            <w:pPr>
              <w:pStyle w:val="TableParagraph"/>
              <w:ind w:right="1001"/>
              <w:rPr>
                <w:sz w:val="21"/>
              </w:rPr>
            </w:pPr>
            <w:r>
              <w:rPr>
                <w:spacing w:val="-5"/>
                <w:sz w:val="21"/>
              </w:rPr>
              <w:t>40</w:t>
            </w:r>
          </w:p>
        </w:tc>
        <w:tc>
          <w:tcPr>
            <w:tcW w:w="2195" w:type="dxa"/>
          </w:tcPr>
          <w:p w:rsidR="003F5784" w14:paraId="63FD72C3" w14:textId="77777777">
            <w:pPr>
              <w:pStyle w:val="TableParagraph"/>
              <w:ind w:left="228"/>
              <w:jc w:val="center"/>
              <w:rPr>
                <w:sz w:val="21"/>
              </w:rPr>
            </w:pPr>
            <w:r>
              <w:rPr>
                <w:spacing w:val="-5"/>
                <w:sz w:val="21"/>
              </w:rPr>
              <w:t>40</w:t>
            </w:r>
          </w:p>
        </w:tc>
        <w:tc>
          <w:tcPr>
            <w:tcW w:w="2196" w:type="dxa"/>
          </w:tcPr>
          <w:p w:rsidR="003F5784" w14:paraId="0D288440" w14:textId="77777777">
            <w:pPr>
              <w:pStyle w:val="TableParagraph"/>
              <w:ind w:right="1002"/>
              <w:rPr>
                <w:sz w:val="21"/>
              </w:rPr>
            </w:pPr>
            <w:r>
              <w:rPr>
                <w:spacing w:val="-5"/>
                <w:sz w:val="21"/>
              </w:rPr>
              <w:t>30</w:t>
            </w:r>
          </w:p>
        </w:tc>
        <w:tc>
          <w:tcPr>
            <w:tcW w:w="1436" w:type="dxa"/>
          </w:tcPr>
          <w:p w:rsidR="003F5784" w14:paraId="666643D2" w14:textId="77777777">
            <w:pPr>
              <w:pStyle w:val="TableParagraph"/>
              <w:ind w:right="118"/>
              <w:rPr>
                <w:sz w:val="21"/>
              </w:rPr>
            </w:pPr>
            <w:r>
              <w:rPr>
                <w:spacing w:val="-5"/>
                <w:sz w:val="21"/>
              </w:rPr>
              <w:t>20</w:t>
            </w:r>
          </w:p>
        </w:tc>
      </w:tr>
      <w:tr w14:paraId="7238474D" w14:textId="77777777">
        <w:tblPrEx>
          <w:tblW w:w="0" w:type="auto"/>
          <w:tblInd w:w="482" w:type="dxa"/>
          <w:tblLayout w:type="fixed"/>
          <w:tblCellMar>
            <w:left w:w="0" w:type="dxa"/>
            <w:right w:w="0" w:type="dxa"/>
          </w:tblCellMar>
          <w:tblLook w:val="01E0"/>
        </w:tblPrEx>
        <w:trPr>
          <w:trHeight w:val="286"/>
        </w:trPr>
        <w:tc>
          <w:tcPr>
            <w:tcW w:w="4718" w:type="dxa"/>
          </w:tcPr>
          <w:p w:rsidR="003F5784" w14:paraId="71E53F7A" w14:textId="77777777">
            <w:pPr>
              <w:pStyle w:val="TableParagraph"/>
              <w:ind w:left="120"/>
              <w:jc w:val="left"/>
              <w:rPr>
                <w:sz w:val="21"/>
              </w:rPr>
            </w:pPr>
            <w:r>
              <w:rPr>
                <w:spacing w:val="-2"/>
                <w:sz w:val="21"/>
              </w:rPr>
              <w:t>Kentucky–Balance</w:t>
            </w:r>
          </w:p>
        </w:tc>
        <w:tc>
          <w:tcPr>
            <w:tcW w:w="3440" w:type="dxa"/>
          </w:tcPr>
          <w:p w:rsidR="003F5784" w14:paraId="02C1131A" w14:textId="77777777">
            <w:pPr>
              <w:pStyle w:val="TableParagraph"/>
              <w:ind w:right="1001"/>
              <w:rPr>
                <w:sz w:val="21"/>
              </w:rPr>
            </w:pPr>
            <w:r>
              <w:rPr>
                <w:spacing w:val="-5"/>
                <w:sz w:val="21"/>
              </w:rPr>
              <w:t>70</w:t>
            </w:r>
          </w:p>
        </w:tc>
        <w:tc>
          <w:tcPr>
            <w:tcW w:w="2195" w:type="dxa"/>
          </w:tcPr>
          <w:p w:rsidR="003F5784" w14:paraId="44066F96" w14:textId="77777777">
            <w:pPr>
              <w:pStyle w:val="TableParagraph"/>
              <w:ind w:left="228"/>
              <w:jc w:val="center"/>
              <w:rPr>
                <w:sz w:val="21"/>
              </w:rPr>
            </w:pPr>
            <w:r>
              <w:rPr>
                <w:spacing w:val="-5"/>
                <w:sz w:val="21"/>
              </w:rPr>
              <w:t>70</w:t>
            </w:r>
          </w:p>
        </w:tc>
        <w:tc>
          <w:tcPr>
            <w:tcW w:w="2196" w:type="dxa"/>
          </w:tcPr>
          <w:p w:rsidR="003F5784" w14:paraId="45F3AE9A" w14:textId="77777777">
            <w:pPr>
              <w:pStyle w:val="TableParagraph"/>
              <w:ind w:right="1002"/>
              <w:rPr>
                <w:sz w:val="21"/>
              </w:rPr>
            </w:pPr>
            <w:r>
              <w:rPr>
                <w:spacing w:val="-5"/>
                <w:sz w:val="21"/>
              </w:rPr>
              <w:t>80</w:t>
            </w:r>
          </w:p>
        </w:tc>
        <w:tc>
          <w:tcPr>
            <w:tcW w:w="1436" w:type="dxa"/>
          </w:tcPr>
          <w:p w:rsidR="003F5784" w14:paraId="307E2403" w14:textId="77777777">
            <w:pPr>
              <w:pStyle w:val="TableParagraph"/>
              <w:ind w:right="118"/>
              <w:rPr>
                <w:sz w:val="21"/>
              </w:rPr>
            </w:pPr>
            <w:r>
              <w:rPr>
                <w:spacing w:val="-5"/>
                <w:sz w:val="21"/>
              </w:rPr>
              <w:t>70</w:t>
            </w:r>
          </w:p>
        </w:tc>
      </w:tr>
      <w:tr w14:paraId="3B4F7ADE" w14:textId="77777777">
        <w:tblPrEx>
          <w:tblW w:w="0" w:type="auto"/>
          <w:tblInd w:w="482" w:type="dxa"/>
          <w:tblLayout w:type="fixed"/>
          <w:tblCellMar>
            <w:left w:w="0" w:type="dxa"/>
            <w:right w:w="0" w:type="dxa"/>
          </w:tblCellMar>
          <w:tblLook w:val="01E0"/>
        </w:tblPrEx>
        <w:trPr>
          <w:trHeight w:val="286"/>
        </w:trPr>
        <w:tc>
          <w:tcPr>
            <w:tcW w:w="4718" w:type="dxa"/>
          </w:tcPr>
          <w:p w:rsidR="003F5784" w14:paraId="7414485C" w14:textId="77777777">
            <w:pPr>
              <w:pStyle w:val="TableParagraph"/>
              <w:ind w:left="120"/>
              <w:jc w:val="left"/>
              <w:rPr>
                <w:sz w:val="21"/>
              </w:rPr>
            </w:pPr>
            <w:r>
              <w:rPr>
                <w:spacing w:val="-2"/>
                <w:sz w:val="21"/>
              </w:rPr>
              <w:t>Louisiana</w:t>
            </w:r>
          </w:p>
        </w:tc>
        <w:tc>
          <w:tcPr>
            <w:tcW w:w="3440" w:type="dxa"/>
          </w:tcPr>
          <w:p w:rsidR="003F5784" w14:paraId="4928E722" w14:textId="77777777">
            <w:pPr>
              <w:pStyle w:val="TableParagraph"/>
              <w:ind w:right="1001"/>
              <w:rPr>
                <w:sz w:val="21"/>
              </w:rPr>
            </w:pPr>
            <w:r>
              <w:rPr>
                <w:spacing w:val="-5"/>
                <w:sz w:val="21"/>
              </w:rPr>
              <w:t>90</w:t>
            </w:r>
          </w:p>
        </w:tc>
        <w:tc>
          <w:tcPr>
            <w:tcW w:w="2195" w:type="dxa"/>
          </w:tcPr>
          <w:p w:rsidR="003F5784" w14:paraId="4137EAFA" w14:textId="77777777">
            <w:pPr>
              <w:pStyle w:val="TableParagraph"/>
              <w:ind w:left="228"/>
              <w:jc w:val="center"/>
              <w:rPr>
                <w:sz w:val="21"/>
              </w:rPr>
            </w:pPr>
            <w:r>
              <w:rPr>
                <w:spacing w:val="-5"/>
                <w:sz w:val="21"/>
              </w:rPr>
              <w:t>80</w:t>
            </w:r>
          </w:p>
        </w:tc>
        <w:tc>
          <w:tcPr>
            <w:tcW w:w="2196" w:type="dxa"/>
          </w:tcPr>
          <w:p w:rsidR="003F5784" w14:paraId="193E5AAE" w14:textId="77777777">
            <w:pPr>
              <w:pStyle w:val="TableParagraph"/>
              <w:ind w:right="1002"/>
              <w:rPr>
                <w:sz w:val="21"/>
              </w:rPr>
            </w:pPr>
            <w:r>
              <w:rPr>
                <w:spacing w:val="-5"/>
                <w:sz w:val="21"/>
              </w:rPr>
              <w:t>90</w:t>
            </w:r>
          </w:p>
        </w:tc>
        <w:tc>
          <w:tcPr>
            <w:tcW w:w="1436" w:type="dxa"/>
          </w:tcPr>
          <w:p w:rsidR="003F5784" w14:paraId="0829813B" w14:textId="77777777">
            <w:pPr>
              <w:pStyle w:val="TableParagraph"/>
              <w:ind w:right="118"/>
              <w:rPr>
                <w:sz w:val="21"/>
              </w:rPr>
            </w:pPr>
            <w:r>
              <w:rPr>
                <w:spacing w:val="-5"/>
                <w:sz w:val="21"/>
              </w:rPr>
              <w:t>90</w:t>
            </w:r>
          </w:p>
        </w:tc>
      </w:tr>
      <w:tr w14:paraId="4D29057B" w14:textId="77777777">
        <w:tblPrEx>
          <w:tblW w:w="0" w:type="auto"/>
          <w:tblInd w:w="482" w:type="dxa"/>
          <w:tblLayout w:type="fixed"/>
          <w:tblCellMar>
            <w:left w:w="0" w:type="dxa"/>
            <w:right w:w="0" w:type="dxa"/>
          </w:tblCellMar>
          <w:tblLook w:val="01E0"/>
        </w:tblPrEx>
        <w:trPr>
          <w:trHeight w:val="286"/>
        </w:trPr>
        <w:tc>
          <w:tcPr>
            <w:tcW w:w="4718" w:type="dxa"/>
          </w:tcPr>
          <w:p w:rsidR="003F5784" w14:paraId="73296698" w14:textId="77777777">
            <w:pPr>
              <w:pStyle w:val="TableParagraph"/>
              <w:ind w:left="120"/>
              <w:jc w:val="left"/>
              <w:rPr>
                <w:sz w:val="21"/>
              </w:rPr>
            </w:pPr>
            <w:r>
              <w:rPr>
                <w:spacing w:val="-2"/>
                <w:sz w:val="21"/>
              </w:rPr>
              <w:t>Maine</w:t>
            </w:r>
          </w:p>
        </w:tc>
        <w:tc>
          <w:tcPr>
            <w:tcW w:w="3440" w:type="dxa"/>
          </w:tcPr>
          <w:p w:rsidR="003F5784" w14:paraId="1651CE28" w14:textId="77777777">
            <w:pPr>
              <w:pStyle w:val="TableParagraph"/>
              <w:ind w:right="1001"/>
              <w:rPr>
                <w:sz w:val="21"/>
              </w:rPr>
            </w:pPr>
            <w:r>
              <w:rPr>
                <w:spacing w:val="-5"/>
                <w:sz w:val="21"/>
              </w:rPr>
              <w:t>110</w:t>
            </w:r>
          </w:p>
        </w:tc>
        <w:tc>
          <w:tcPr>
            <w:tcW w:w="2195" w:type="dxa"/>
          </w:tcPr>
          <w:p w:rsidR="003F5784" w14:paraId="5B5E8E99" w14:textId="77777777">
            <w:pPr>
              <w:pStyle w:val="TableParagraph"/>
              <w:ind w:left="228" w:right="97"/>
              <w:jc w:val="center"/>
              <w:rPr>
                <w:sz w:val="21"/>
              </w:rPr>
            </w:pPr>
            <w:r>
              <w:rPr>
                <w:spacing w:val="-5"/>
                <w:sz w:val="21"/>
              </w:rPr>
              <w:t>110</w:t>
            </w:r>
          </w:p>
        </w:tc>
        <w:tc>
          <w:tcPr>
            <w:tcW w:w="2196" w:type="dxa"/>
          </w:tcPr>
          <w:p w:rsidR="003F5784" w14:paraId="55917B04" w14:textId="77777777">
            <w:pPr>
              <w:pStyle w:val="TableParagraph"/>
              <w:ind w:right="1002"/>
              <w:rPr>
                <w:sz w:val="21"/>
              </w:rPr>
            </w:pPr>
            <w:r>
              <w:rPr>
                <w:spacing w:val="-5"/>
                <w:sz w:val="21"/>
              </w:rPr>
              <w:t>90</w:t>
            </w:r>
          </w:p>
        </w:tc>
        <w:tc>
          <w:tcPr>
            <w:tcW w:w="1436" w:type="dxa"/>
          </w:tcPr>
          <w:p w:rsidR="003F5784" w14:paraId="492936D2" w14:textId="77777777">
            <w:pPr>
              <w:pStyle w:val="TableParagraph"/>
              <w:ind w:right="118"/>
              <w:rPr>
                <w:sz w:val="21"/>
              </w:rPr>
            </w:pPr>
            <w:r>
              <w:rPr>
                <w:spacing w:val="-5"/>
                <w:sz w:val="21"/>
              </w:rPr>
              <w:t>90</w:t>
            </w:r>
          </w:p>
        </w:tc>
      </w:tr>
      <w:tr w14:paraId="0B2C377E" w14:textId="77777777">
        <w:tblPrEx>
          <w:tblW w:w="0" w:type="auto"/>
          <w:tblInd w:w="482" w:type="dxa"/>
          <w:tblLayout w:type="fixed"/>
          <w:tblCellMar>
            <w:left w:w="0" w:type="dxa"/>
            <w:right w:w="0" w:type="dxa"/>
          </w:tblCellMar>
          <w:tblLook w:val="01E0"/>
        </w:tblPrEx>
        <w:trPr>
          <w:trHeight w:val="286"/>
        </w:trPr>
        <w:tc>
          <w:tcPr>
            <w:tcW w:w="4718" w:type="dxa"/>
          </w:tcPr>
          <w:p w:rsidR="003F5784" w14:paraId="39C42ECE" w14:textId="77777777">
            <w:pPr>
              <w:pStyle w:val="TableParagraph"/>
              <w:ind w:left="120"/>
              <w:jc w:val="left"/>
              <w:rPr>
                <w:sz w:val="21"/>
              </w:rPr>
            </w:pPr>
            <w:r>
              <w:rPr>
                <w:spacing w:val="-2"/>
                <w:sz w:val="21"/>
              </w:rPr>
              <w:t>Maryland–Baltimore</w:t>
            </w:r>
          </w:p>
        </w:tc>
        <w:tc>
          <w:tcPr>
            <w:tcW w:w="3440" w:type="dxa"/>
          </w:tcPr>
          <w:p w:rsidR="003F5784" w14:paraId="364456A0" w14:textId="77777777">
            <w:pPr>
              <w:pStyle w:val="TableParagraph"/>
              <w:ind w:right="1001"/>
              <w:rPr>
                <w:sz w:val="21"/>
              </w:rPr>
            </w:pPr>
            <w:r>
              <w:rPr>
                <w:spacing w:val="-5"/>
                <w:sz w:val="21"/>
              </w:rPr>
              <w:t>50</w:t>
            </w:r>
          </w:p>
        </w:tc>
        <w:tc>
          <w:tcPr>
            <w:tcW w:w="2195" w:type="dxa"/>
          </w:tcPr>
          <w:p w:rsidR="003F5784" w14:paraId="76BBFE08" w14:textId="77777777">
            <w:pPr>
              <w:pStyle w:val="TableParagraph"/>
              <w:ind w:left="228"/>
              <w:jc w:val="center"/>
              <w:rPr>
                <w:sz w:val="21"/>
              </w:rPr>
            </w:pPr>
            <w:r>
              <w:rPr>
                <w:spacing w:val="-5"/>
                <w:sz w:val="21"/>
              </w:rPr>
              <w:t>40</w:t>
            </w:r>
          </w:p>
        </w:tc>
        <w:tc>
          <w:tcPr>
            <w:tcW w:w="2196" w:type="dxa"/>
          </w:tcPr>
          <w:p w:rsidR="003F5784" w14:paraId="250D64CE" w14:textId="77777777">
            <w:pPr>
              <w:pStyle w:val="TableParagraph"/>
              <w:ind w:right="1002"/>
              <w:rPr>
                <w:sz w:val="21"/>
              </w:rPr>
            </w:pPr>
            <w:r>
              <w:rPr>
                <w:spacing w:val="-5"/>
                <w:sz w:val="21"/>
              </w:rPr>
              <w:t>50</w:t>
            </w:r>
          </w:p>
        </w:tc>
        <w:tc>
          <w:tcPr>
            <w:tcW w:w="1436" w:type="dxa"/>
          </w:tcPr>
          <w:p w:rsidR="003F5784" w14:paraId="0DE0FBE5" w14:textId="77777777">
            <w:pPr>
              <w:pStyle w:val="TableParagraph"/>
              <w:ind w:right="118"/>
              <w:rPr>
                <w:sz w:val="21"/>
              </w:rPr>
            </w:pPr>
            <w:r>
              <w:rPr>
                <w:spacing w:val="-5"/>
                <w:sz w:val="21"/>
              </w:rPr>
              <w:t>40</w:t>
            </w:r>
          </w:p>
        </w:tc>
      </w:tr>
      <w:tr w14:paraId="4E184BD2" w14:textId="77777777">
        <w:tblPrEx>
          <w:tblW w:w="0" w:type="auto"/>
          <w:tblInd w:w="482" w:type="dxa"/>
          <w:tblLayout w:type="fixed"/>
          <w:tblCellMar>
            <w:left w:w="0" w:type="dxa"/>
            <w:right w:w="0" w:type="dxa"/>
          </w:tblCellMar>
          <w:tblLook w:val="01E0"/>
        </w:tblPrEx>
        <w:trPr>
          <w:trHeight w:val="286"/>
        </w:trPr>
        <w:tc>
          <w:tcPr>
            <w:tcW w:w="4718" w:type="dxa"/>
          </w:tcPr>
          <w:p w:rsidR="003F5784" w14:paraId="3A599233" w14:textId="77777777">
            <w:pPr>
              <w:pStyle w:val="TableParagraph"/>
              <w:ind w:left="120"/>
              <w:jc w:val="left"/>
              <w:rPr>
                <w:sz w:val="21"/>
              </w:rPr>
            </w:pPr>
            <w:r>
              <w:rPr>
                <w:spacing w:val="-2"/>
                <w:sz w:val="21"/>
              </w:rPr>
              <w:t>Maryland–Balance</w:t>
            </w:r>
          </w:p>
        </w:tc>
        <w:tc>
          <w:tcPr>
            <w:tcW w:w="3440" w:type="dxa"/>
          </w:tcPr>
          <w:p w:rsidR="003F5784" w14:paraId="194A7590" w14:textId="77777777">
            <w:pPr>
              <w:pStyle w:val="TableParagraph"/>
              <w:ind w:right="1001"/>
              <w:rPr>
                <w:sz w:val="21"/>
              </w:rPr>
            </w:pPr>
            <w:r>
              <w:rPr>
                <w:spacing w:val="-5"/>
                <w:sz w:val="21"/>
              </w:rPr>
              <w:t>80</w:t>
            </w:r>
          </w:p>
        </w:tc>
        <w:tc>
          <w:tcPr>
            <w:tcW w:w="2195" w:type="dxa"/>
          </w:tcPr>
          <w:p w:rsidR="003F5784" w14:paraId="588CD048" w14:textId="77777777">
            <w:pPr>
              <w:pStyle w:val="TableParagraph"/>
              <w:ind w:left="228"/>
              <w:jc w:val="center"/>
              <w:rPr>
                <w:sz w:val="21"/>
              </w:rPr>
            </w:pPr>
            <w:r>
              <w:rPr>
                <w:spacing w:val="-5"/>
                <w:sz w:val="21"/>
              </w:rPr>
              <w:t>80</w:t>
            </w:r>
          </w:p>
        </w:tc>
        <w:tc>
          <w:tcPr>
            <w:tcW w:w="2196" w:type="dxa"/>
          </w:tcPr>
          <w:p w:rsidR="003F5784" w14:paraId="2D1F3220" w14:textId="77777777">
            <w:pPr>
              <w:pStyle w:val="TableParagraph"/>
              <w:ind w:right="1002"/>
              <w:rPr>
                <w:sz w:val="21"/>
              </w:rPr>
            </w:pPr>
            <w:r>
              <w:rPr>
                <w:spacing w:val="-5"/>
                <w:sz w:val="21"/>
              </w:rPr>
              <w:t>80</w:t>
            </w:r>
          </w:p>
        </w:tc>
        <w:tc>
          <w:tcPr>
            <w:tcW w:w="1436" w:type="dxa"/>
          </w:tcPr>
          <w:p w:rsidR="003F5784" w14:paraId="20D2B28B" w14:textId="77777777">
            <w:pPr>
              <w:pStyle w:val="TableParagraph"/>
              <w:ind w:right="118"/>
              <w:rPr>
                <w:sz w:val="21"/>
              </w:rPr>
            </w:pPr>
            <w:r>
              <w:rPr>
                <w:spacing w:val="-5"/>
                <w:sz w:val="21"/>
              </w:rPr>
              <w:t>80</w:t>
            </w:r>
          </w:p>
        </w:tc>
      </w:tr>
      <w:tr w14:paraId="361E2EDA" w14:textId="77777777">
        <w:tblPrEx>
          <w:tblW w:w="0" w:type="auto"/>
          <w:tblInd w:w="482" w:type="dxa"/>
          <w:tblLayout w:type="fixed"/>
          <w:tblCellMar>
            <w:left w:w="0" w:type="dxa"/>
            <w:right w:w="0" w:type="dxa"/>
          </w:tblCellMar>
          <w:tblLook w:val="01E0"/>
        </w:tblPrEx>
        <w:trPr>
          <w:trHeight w:val="286"/>
        </w:trPr>
        <w:tc>
          <w:tcPr>
            <w:tcW w:w="4718" w:type="dxa"/>
          </w:tcPr>
          <w:p w:rsidR="003F5784" w14:paraId="1521A284" w14:textId="77777777">
            <w:pPr>
              <w:pStyle w:val="TableParagraph"/>
              <w:ind w:left="120"/>
              <w:jc w:val="left"/>
              <w:rPr>
                <w:sz w:val="21"/>
              </w:rPr>
            </w:pPr>
            <w:r>
              <w:rPr>
                <w:spacing w:val="-2"/>
                <w:sz w:val="21"/>
              </w:rPr>
              <w:t>Massachusetts–Boston</w:t>
            </w:r>
          </w:p>
        </w:tc>
        <w:tc>
          <w:tcPr>
            <w:tcW w:w="3440" w:type="dxa"/>
          </w:tcPr>
          <w:p w:rsidR="003F5784" w14:paraId="466452A8" w14:textId="77777777">
            <w:pPr>
              <w:pStyle w:val="TableParagraph"/>
              <w:ind w:right="1001"/>
              <w:rPr>
                <w:sz w:val="21"/>
              </w:rPr>
            </w:pPr>
            <w:r>
              <w:rPr>
                <w:spacing w:val="-5"/>
                <w:sz w:val="21"/>
              </w:rPr>
              <w:t>50</w:t>
            </w:r>
          </w:p>
        </w:tc>
        <w:tc>
          <w:tcPr>
            <w:tcW w:w="2195" w:type="dxa"/>
          </w:tcPr>
          <w:p w:rsidR="003F5784" w14:paraId="11C3D36C" w14:textId="77777777">
            <w:pPr>
              <w:pStyle w:val="TableParagraph"/>
              <w:ind w:left="228"/>
              <w:jc w:val="center"/>
              <w:rPr>
                <w:sz w:val="21"/>
              </w:rPr>
            </w:pPr>
            <w:r>
              <w:rPr>
                <w:spacing w:val="-5"/>
                <w:sz w:val="21"/>
              </w:rPr>
              <w:t>50</w:t>
            </w:r>
          </w:p>
        </w:tc>
        <w:tc>
          <w:tcPr>
            <w:tcW w:w="2196" w:type="dxa"/>
          </w:tcPr>
          <w:p w:rsidR="003F5784" w14:paraId="2092884A" w14:textId="77777777">
            <w:pPr>
              <w:pStyle w:val="TableParagraph"/>
              <w:ind w:right="1002"/>
              <w:rPr>
                <w:sz w:val="21"/>
              </w:rPr>
            </w:pPr>
            <w:r>
              <w:rPr>
                <w:spacing w:val="-5"/>
                <w:sz w:val="21"/>
              </w:rPr>
              <w:t>50</w:t>
            </w:r>
          </w:p>
        </w:tc>
        <w:tc>
          <w:tcPr>
            <w:tcW w:w="1436" w:type="dxa"/>
          </w:tcPr>
          <w:p w:rsidR="003F5784" w14:paraId="30833F3F" w14:textId="77777777">
            <w:pPr>
              <w:pStyle w:val="TableParagraph"/>
              <w:ind w:right="118"/>
              <w:rPr>
                <w:sz w:val="21"/>
              </w:rPr>
            </w:pPr>
            <w:r>
              <w:rPr>
                <w:spacing w:val="-5"/>
                <w:sz w:val="21"/>
              </w:rPr>
              <w:t>40</w:t>
            </w:r>
          </w:p>
        </w:tc>
      </w:tr>
      <w:tr w14:paraId="29C5E1BA" w14:textId="77777777">
        <w:tblPrEx>
          <w:tblW w:w="0" w:type="auto"/>
          <w:tblInd w:w="482" w:type="dxa"/>
          <w:tblLayout w:type="fixed"/>
          <w:tblCellMar>
            <w:left w:w="0" w:type="dxa"/>
            <w:right w:w="0" w:type="dxa"/>
          </w:tblCellMar>
          <w:tblLook w:val="01E0"/>
        </w:tblPrEx>
        <w:trPr>
          <w:trHeight w:val="286"/>
        </w:trPr>
        <w:tc>
          <w:tcPr>
            <w:tcW w:w="4718" w:type="dxa"/>
          </w:tcPr>
          <w:p w:rsidR="003F5784" w14:paraId="3EF8284D" w14:textId="77777777">
            <w:pPr>
              <w:pStyle w:val="TableParagraph"/>
              <w:ind w:left="120"/>
              <w:jc w:val="left"/>
              <w:rPr>
                <w:sz w:val="21"/>
              </w:rPr>
            </w:pPr>
            <w:r>
              <w:rPr>
                <w:spacing w:val="-2"/>
                <w:sz w:val="21"/>
              </w:rPr>
              <w:t>Massachusetts–Balance</w:t>
            </w:r>
          </w:p>
        </w:tc>
        <w:tc>
          <w:tcPr>
            <w:tcW w:w="3440" w:type="dxa"/>
          </w:tcPr>
          <w:p w:rsidR="003F5784" w14:paraId="512EFA46" w14:textId="77777777">
            <w:pPr>
              <w:pStyle w:val="TableParagraph"/>
              <w:ind w:right="1001"/>
              <w:rPr>
                <w:sz w:val="21"/>
              </w:rPr>
            </w:pPr>
            <w:r>
              <w:rPr>
                <w:spacing w:val="-5"/>
                <w:sz w:val="21"/>
              </w:rPr>
              <w:t>80</w:t>
            </w:r>
          </w:p>
        </w:tc>
        <w:tc>
          <w:tcPr>
            <w:tcW w:w="2195" w:type="dxa"/>
          </w:tcPr>
          <w:p w:rsidR="003F5784" w14:paraId="12442347" w14:textId="77777777">
            <w:pPr>
              <w:pStyle w:val="TableParagraph"/>
              <w:ind w:left="228"/>
              <w:jc w:val="center"/>
              <w:rPr>
                <w:sz w:val="21"/>
              </w:rPr>
            </w:pPr>
            <w:r>
              <w:rPr>
                <w:spacing w:val="-5"/>
                <w:sz w:val="21"/>
              </w:rPr>
              <w:t>80</w:t>
            </w:r>
          </w:p>
        </w:tc>
        <w:tc>
          <w:tcPr>
            <w:tcW w:w="2196" w:type="dxa"/>
          </w:tcPr>
          <w:p w:rsidR="003F5784" w14:paraId="5B0A1815" w14:textId="77777777">
            <w:pPr>
              <w:pStyle w:val="TableParagraph"/>
              <w:ind w:right="1002"/>
              <w:rPr>
                <w:sz w:val="21"/>
              </w:rPr>
            </w:pPr>
            <w:r>
              <w:rPr>
                <w:spacing w:val="-5"/>
                <w:sz w:val="21"/>
              </w:rPr>
              <w:t>80</w:t>
            </w:r>
          </w:p>
        </w:tc>
        <w:tc>
          <w:tcPr>
            <w:tcW w:w="1436" w:type="dxa"/>
          </w:tcPr>
          <w:p w:rsidR="003F5784" w14:paraId="2D4ACDCC" w14:textId="77777777">
            <w:pPr>
              <w:pStyle w:val="TableParagraph"/>
              <w:ind w:right="118"/>
              <w:rPr>
                <w:sz w:val="21"/>
              </w:rPr>
            </w:pPr>
            <w:r>
              <w:rPr>
                <w:spacing w:val="-5"/>
                <w:sz w:val="21"/>
              </w:rPr>
              <w:t>80</w:t>
            </w:r>
          </w:p>
        </w:tc>
      </w:tr>
      <w:tr w14:paraId="73EE8D55" w14:textId="77777777">
        <w:tblPrEx>
          <w:tblW w:w="0" w:type="auto"/>
          <w:tblInd w:w="482" w:type="dxa"/>
          <w:tblLayout w:type="fixed"/>
          <w:tblCellMar>
            <w:left w:w="0" w:type="dxa"/>
            <w:right w:w="0" w:type="dxa"/>
          </w:tblCellMar>
          <w:tblLook w:val="01E0"/>
        </w:tblPrEx>
        <w:trPr>
          <w:trHeight w:val="286"/>
        </w:trPr>
        <w:tc>
          <w:tcPr>
            <w:tcW w:w="4718" w:type="dxa"/>
          </w:tcPr>
          <w:p w:rsidR="003F5784" w14:paraId="27717583" w14:textId="77777777">
            <w:pPr>
              <w:pStyle w:val="TableParagraph"/>
              <w:ind w:left="120"/>
              <w:jc w:val="left"/>
              <w:rPr>
                <w:sz w:val="21"/>
              </w:rPr>
            </w:pPr>
            <w:r>
              <w:rPr>
                <w:spacing w:val="-2"/>
                <w:sz w:val="21"/>
              </w:rPr>
              <w:t>Michigan–Detroit</w:t>
            </w:r>
          </w:p>
        </w:tc>
        <w:tc>
          <w:tcPr>
            <w:tcW w:w="3440" w:type="dxa"/>
          </w:tcPr>
          <w:p w:rsidR="003F5784" w14:paraId="46B5ED5E" w14:textId="77777777">
            <w:pPr>
              <w:pStyle w:val="TableParagraph"/>
              <w:ind w:right="1001"/>
              <w:rPr>
                <w:sz w:val="21"/>
              </w:rPr>
            </w:pPr>
            <w:r>
              <w:rPr>
                <w:spacing w:val="-5"/>
                <w:sz w:val="21"/>
              </w:rPr>
              <w:t>40</w:t>
            </w:r>
          </w:p>
        </w:tc>
        <w:tc>
          <w:tcPr>
            <w:tcW w:w="2195" w:type="dxa"/>
          </w:tcPr>
          <w:p w:rsidR="003F5784" w14:paraId="4C6013A0" w14:textId="77777777">
            <w:pPr>
              <w:pStyle w:val="TableParagraph"/>
              <w:ind w:left="228"/>
              <w:jc w:val="center"/>
              <w:rPr>
                <w:sz w:val="21"/>
              </w:rPr>
            </w:pPr>
            <w:r>
              <w:rPr>
                <w:spacing w:val="-5"/>
                <w:sz w:val="21"/>
              </w:rPr>
              <w:t>40</w:t>
            </w:r>
          </w:p>
        </w:tc>
        <w:tc>
          <w:tcPr>
            <w:tcW w:w="2196" w:type="dxa"/>
          </w:tcPr>
          <w:p w:rsidR="003F5784" w14:paraId="1CDDD138" w14:textId="77777777">
            <w:pPr>
              <w:pStyle w:val="TableParagraph"/>
              <w:ind w:right="1002"/>
              <w:rPr>
                <w:sz w:val="21"/>
              </w:rPr>
            </w:pPr>
            <w:r>
              <w:rPr>
                <w:spacing w:val="-5"/>
                <w:sz w:val="21"/>
              </w:rPr>
              <w:t>40</w:t>
            </w:r>
          </w:p>
        </w:tc>
        <w:tc>
          <w:tcPr>
            <w:tcW w:w="1436" w:type="dxa"/>
          </w:tcPr>
          <w:p w:rsidR="003F5784" w14:paraId="04B020FF" w14:textId="77777777">
            <w:pPr>
              <w:pStyle w:val="TableParagraph"/>
              <w:ind w:right="118"/>
              <w:rPr>
                <w:sz w:val="21"/>
              </w:rPr>
            </w:pPr>
            <w:r>
              <w:rPr>
                <w:spacing w:val="-5"/>
                <w:sz w:val="21"/>
              </w:rPr>
              <w:t>40</w:t>
            </w:r>
          </w:p>
        </w:tc>
      </w:tr>
      <w:tr w14:paraId="5E843316" w14:textId="77777777">
        <w:tblPrEx>
          <w:tblW w:w="0" w:type="auto"/>
          <w:tblInd w:w="482" w:type="dxa"/>
          <w:tblLayout w:type="fixed"/>
          <w:tblCellMar>
            <w:left w:w="0" w:type="dxa"/>
            <w:right w:w="0" w:type="dxa"/>
          </w:tblCellMar>
          <w:tblLook w:val="01E0"/>
        </w:tblPrEx>
        <w:trPr>
          <w:trHeight w:val="286"/>
        </w:trPr>
        <w:tc>
          <w:tcPr>
            <w:tcW w:w="4718" w:type="dxa"/>
          </w:tcPr>
          <w:p w:rsidR="003F5784" w14:paraId="21B0E6A6" w14:textId="77777777">
            <w:pPr>
              <w:pStyle w:val="TableParagraph"/>
              <w:ind w:left="120"/>
              <w:jc w:val="left"/>
              <w:rPr>
                <w:sz w:val="21"/>
              </w:rPr>
            </w:pPr>
            <w:r>
              <w:rPr>
                <w:spacing w:val="-2"/>
                <w:sz w:val="21"/>
              </w:rPr>
              <w:t>Michigan–Balance</w:t>
            </w:r>
          </w:p>
        </w:tc>
        <w:tc>
          <w:tcPr>
            <w:tcW w:w="3440" w:type="dxa"/>
          </w:tcPr>
          <w:p w:rsidR="003F5784" w14:paraId="1A8D3005" w14:textId="77777777">
            <w:pPr>
              <w:pStyle w:val="TableParagraph"/>
              <w:ind w:right="1001"/>
              <w:rPr>
                <w:sz w:val="21"/>
              </w:rPr>
            </w:pPr>
            <w:r>
              <w:rPr>
                <w:spacing w:val="-5"/>
                <w:sz w:val="21"/>
              </w:rPr>
              <w:t>90</w:t>
            </w:r>
          </w:p>
        </w:tc>
        <w:tc>
          <w:tcPr>
            <w:tcW w:w="2195" w:type="dxa"/>
          </w:tcPr>
          <w:p w:rsidR="003F5784" w14:paraId="3577EEC2" w14:textId="77777777">
            <w:pPr>
              <w:pStyle w:val="TableParagraph"/>
              <w:ind w:left="228"/>
              <w:jc w:val="center"/>
              <w:rPr>
                <w:sz w:val="21"/>
              </w:rPr>
            </w:pPr>
            <w:r>
              <w:rPr>
                <w:spacing w:val="-5"/>
                <w:sz w:val="21"/>
              </w:rPr>
              <w:t>80</w:t>
            </w:r>
          </w:p>
        </w:tc>
        <w:tc>
          <w:tcPr>
            <w:tcW w:w="2196" w:type="dxa"/>
          </w:tcPr>
          <w:p w:rsidR="003F5784" w14:paraId="550F5221" w14:textId="77777777">
            <w:pPr>
              <w:pStyle w:val="TableParagraph"/>
              <w:ind w:right="1002"/>
              <w:rPr>
                <w:sz w:val="21"/>
              </w:rPr>
            </w:pPr>
            <w:r>
              <w:rPr>
                <w:spacing w:val="-5"/>
                <w:sz w:val="21"/>
              </w:rPr>
              <w:t>90</w:t>
            </w:r>
          </w:p>
        </w:tc>
        <w:tc>
          <w:tcPr>
            <w:tcW w:w="1436" w:type="dxa"/>
          </w:tcPr>
          <w:p w:rsidR="003F5784" w14:paraId="47CEAB08" w14:textId="77777777">
            <w:pPr>
              <w:pStyle w:val="TableParagraph"/>
              <w:ind w:right="118"/>
              <w:rPr>
                <w:sz w:val="21"/>
              </w:rPr>
            </w:pPr>
            <w:r>
              <w:rPr>
                <w:spacing w:val="-5"/>
                <w:sz w:val="21"/>
              </w:rPr>
              <w:t>90</w:t>
            </w:r>
          </w:p>
        </w:tc>
      </w:tr>
      <w:tr w14:paraId="56730D09" w14:textId="77777777">
        <w:tblPrEx>
          <w:tblW w:w="0" w:type="auto"/>
          <w:tblInd w:w="482" w:type="dxa"/>
          <w:tblLayout w:type="fixed"/>
          <w:tblCellMar>
            <w:left w:w="0" w:type="dxa"/>
            <w:right w:w="0" w:type="dxa"/>
          </w:tblCellMar>
          <w:tblLook w:val="01E0"/>
        </w:tblPrEx>
        <w:trPr>
          <w:trHeight w:val="286"/>
        </w:trPr>
        <w:tc>
          <w:tcPr>
            <w:tcW w:w="4718" w:type="dxa"/>
          </w:tcPr>
          <w:p w:rsidR="003F5784" w14:paraId="10A8C363" w14:textId="77777777">
            <w:pPr>
              <w:pStyle w:val="TableParagraph"/>
              <w:ind w:left="120"/>
              <w:jc w:val="left"/>
              <w:rPr>
                <w:sz w:val="21"/>
              </w:rPr>
            </w:pPr>
            <w:r>
              <w:rPr>
                <w:spacing w:val="-2"/>
                <w:sz w:val="21"/>
              </w:rPr>
              <w:t>Minnesota</w:t>
            </w:r>
          </w:p>
        </w:tc>
        <w:tc>
          <w:tcPr>
            <w:tcW w:w="3440" w:type="dxa"/>
          </w:tcPr>
          <w:p w:rsidR="003F5784" w14:paraId="355C7220" w14:textId="77777777">
            <w:pPr>
              <w:pStyle w:val="TableParagraph"/>
              <w:ind w:right="1001"/>
              <w:rPr>
                <w:sz w:val="21"/>
              </w:rPr>
            </w:pPr>
            <w:r>
              <w:rPr>
                <w:spacing w:val="-5"/>
                <w:sz w:val="21"/>
              </w:rPr>
              <w:t>90</w:t>
            </w:r>
          </w:p>
        </w:tc>
        <w:tc>
          <w:tcPr>
            <w:tcW w:w="2195" w:type="dxa"/>
          </w:tcPr>
          <w:p w:rsidR="003F5784" w14:paraId="36930234" w14:textId="77777777">
            <w:pPr>
              <w:pStyle w:val="TableParagraph"/>
              <w:ind w:left="228"/>
              <w:jc w:val="center"/>
              <w:rPr>
                <w:sz w:val="21"/>
              </w:rPr>
            </w:pPr>
            <w:r>
              <w:rPr>
                <w:spacing w:val="-5"/>
                <w:sz w:val="21"/>
              </w:rPr>
              <w:t>90</w:t>
            </w:r>
          </w:p>
        </w:tc>
        <w:tc>
          <w:tcPr>
            <w:tcW w:w="2196" w:type="dxa"/>
          </w:tcPr>
          <w:p w:rsidR="003F5784" w14:paraId="40C850CB" w14:textId="77777777">
            <w:pPr>
              <w:pStyle w:val="TableParagraph"/>
              <w:ind w:right="1002"/>
              <w:rPr>
                <w:sz w:val="21"/>
              </w:rPr>
            </w:pPr>
            <w:r>
              <w:rPr>
                <w:spacing w:val="-5"/>
                <w:sz w:val="21"/>
              </w:rPr>
              <w:t>100</w:t>
            </w:r>
          </w:p>
        </w:tc>
        <w:tc>
          <w:tcPr>
            <w:tcW w:w="1436" w:type="dxa"/>
          </w:tcPr>
          <w:p w:rsidR="003F5784" w14:paraId="5FD055A9" w14:textId="77777777">
            <w:pPr>
              <w:pStyle w:val="TableParagraph"/>
              <w:ind w:right="118"/>
              <w:rPr>
                <w:sz w:val="21"/>
              </w:rPr>
            </w:pPr>
            <w:r>
              <w:rPr>
                <w:spacing w:val="-5"/>
                <w:sz w:val="21"/>
              </w:rPr>
              <w:t>80</w:t>
            </w:r>
          </w:p>
        </w:tc>
      </w:tr>
      <w:tr w14:paraId="1C8029A3" w14:textId="77777777">
        <w:tblPrEx>
          <w:tblW w:w="0" w:type="auto"/>
          <w:tblInd w:w="482" w:type="dxa"/>
          <w:tblLayout w:type="fixed"/>
          <w:tblCellMar>
            <w:left w:w="0" w:type="dxa"/>
            <w:right w:w="0" w:type="dxa"/>
          </w:tblCellMar>
          <w:tblLook w:val="01E0"/>
        </w:tblPrEx>
        <w:trPr>
          <w:trHeight w:val="286"/>
        </w:trPr>
        <w:tc>
          <w:tcPr>
            <w:tcW w:w="4718" w:type="dxa"/>
          </w:tcPr>
          <w:p w:rsidR="003F5784" w14:paraId="16C7E78A" w14:textId="77777777">
            <w:pPr>
              <w:pStyle w:val="TableParagraph"/>
              <w:ind w:left="120"/>
              <w:jc w:val="left"/>
              <w:rPr>
                <w:sz w:val="21"/>
              </w:rPr>
            </w:pPr>
            <w:r>
              <w:rPr>
                <w:spacing w:val="-2"/>
                <w:sz w:val="21"/>
              </w:rPr>
              <w:t>Mississippi</w:t>
            </w:r>
          </w:p>
        </w:tc>
        <w:tc>
          <w:tcPr>
            <w:tcW w:w="3440" w:type="dxa"/>
          </w:tcPr>
          <w:p w:rsidR="003F5784" w14:paraId="0E0A67BC" w14:textId="77777777">
            <w:pPr>
              <w:pStyle w:val="TableParagraph"/>
              <w:ind w:right="1001"/>
              <w:rPr>
                <w:sz w:val="21"/>
              </w:rPr>
            </w:pPr>
            <w:r>
              <w:rPr>
                <w:spacing w:val="-5"/>
                <w:sz w:val="21"/>
              </w:rPr>
              <w:t>90</w:t>
            </w:r>
          </w:p>
        </w:tc>
        <w:tc>
          <w:tcPr>
            <w:tcW w:w="2195" w:type="dxa"/>
          </w:tcPr>
          <w:p w:rsidR="003F5784" w14:paraId="403A5F87" w14:textId="77777777">
            <w:pPr>
              <w:pStyle w:val="TableParagraph"/>
              <w:ind w:left="228"/>
              <w:jc w:val="center"/>
              <w:rPr>
                <w:sz w:val="21"/>
              </w:rPr>
            </w:pPr>
            <w:r>
              <w:rPr>
                <w:spacing w:val="-5"/>
                <w:sz w:val="21"/>
              </w:rPr>
              <w:t>90</w:t>
            </w:r>
          </w:p>
        </w:tc>
        <w:tc>
          <w:tcPr>
            <w:tcW w:w="2196" w:type="dxa"/>
          </w:tcPr>
          <w:p w:rsidR="003F5784" w14:paraId="1A6F9BC8" w14:textId="77777777">
            <w:pPr>
              <w:pStyle w:val="TableParagraph"/>
              <w:ind w:right="1002"/>
              <w:rPr>
                <w:sz w:val="21"/>
              </w:rPr>
            </w:pPr>
            <w:r>
              <w:rPr>
                <w:spacing w:val="-5"/>
                <w:sz w:val="21"/>
              </w:rPr>
              <w:t>90</w:t>
            </w:r>
          </w:p>
        </w:tc>
        <w:tc>
          <w:tcPr>
            <w:tcW w:w="1436" w:type="dxa"/>
          </w:tcPr>
          <w:p w:rsidR="003F5784" w14:paraId="46B8040C" w14:textId="77777777">
            <w:pPr>
              <w:pStyle w:val="TableParagraph"/>
              <w:ind w:right="118"/>
              <w:rPr>
                <w:sz w:val="21"/>
              </w:rPr>
            </w:pPr>
            <w:r>
              <w:rPr>
                <w:spacing w:val="-5"/>
                <w:sz w:val="21"/>
              </w:rPr>
              <w:t>80</w:t>
            </w:r>
          </w:p>
        </w:tc>
      </w:tr>
      <w:tr w14:paraId="581CF752" w14:textId="77777777">
        <w:tblPrEx>
          <w:tblW w:w="0" w:type="auto"/>
          <w:tblInd w:w="482" w:type="dxa"/>
          <w:tblLayout w:type="fixed"/>
          <w:tblCellMar>
            <w:left w:w="0" w:type="dxa"/>
            <w:right w:w="0" w:type="dxa"/>
          </w:tblCellMar>
          <w:tblLook w:val="01E0"/>
        </w:tblPrEx>
        <w:trPr>
          <w:trHeight w:val="286"/>
        </w:trPr>
        <w:tc>
          <w:tcPr>
            <w:tcW w:w="4718" w:type="dxa"/>
          </w:tcPr>
          <w:p w:rsidR="003F5784" w14:paraId="7BCA0D8E" w14:textId="77777777">
            <w:pPr>
              <w:pStyle w:val="TableParagraph"/>
              <w:ind w:left="120"/>
              <w:jc w:val="left"/>
              <w:rPr>
                <w:sz w:val="21"/>
              </w:rPr>
            </w:pPr>
            <w:r>
              <w:rPr>
                <w:spacing w:val="-2"/>
                <w:sz w:val="21"/>
              </w:rPr>
              <w:t>Missouri</w:t>
            </w:r>
          </w:p>
        </w:tc>
        <w:tc>
          <w:tcPr>
            <w:tcW w:w="3440" w:type="dxa"/>
          </w:tcPr>
          <w:p w:rsidR="003F5784" w14:paraId="1176FB66" w14:textId="77777777">
            <w:pPr>
              <w:pStyle w:val="TableParagraph"/>
              <w:ind w:right="1001"/>
              <w:rPr>
                <w:sz w:val="21"/>
              </w:rPr>
            </w:pPr>
            <w:r>
              <w:rPr>
                <w:spacing w:val="-5"/>
                <w:sz w:val="21"/>
              </w:rPr>
              <w:t>100</w:t>
            </w:r>
          </w:p>
        </w:tc>
        <w:tc>
          <w:tcPr>
            <w:tcW w:w="2195" w:type="dxa"/>
          </w:tcPr>
          <w:p w:rsidR="003F5784" w14:paraId="1C972072" w14:textId="77777777">
            <w:pPr>
              <w:pStyle w:val="TableParagraph"/>
              <w:ind w:left="228"/>
              <w:jc w:val="center"/>
              <w:rPr>
                <w:sz w:val="21"/>
              </w:rPr>
            </w:pPr>
            <w:r>
              <w:rPr>
                <w:spacing w:val="-5"/>
                <w:sz w:val="21"/>
              </w:rPr>
              <w:t>90</w:t>
            </w:r>
          </w:p>
        </w:tc>
        <w:tc>
          <w:tcPr>
            <w:tcW w:w="2196" w:type="dxa"/>
          </w:tcPr>
          <w:p w:rsidR="003F5784" w14:paraId="6CC46537" w14:textId="77777777">
            <w:pPr>
              <w:pStyle w:val="TableParagraph"/>
              <w:ind w:right="1002"/>
              <w:rPr>
                <w:sz w:val="21"/>
              </w:rPr>
            </w:pPr>
            <w:r>
              <w:rPr>
                <w:spacing w:val="-5"/>
                <w:sz w:val="21"/>
              </w:rPr>
              <w:t>100</w:t>
            </w:r>
          </w:p>
        </w:tc>
        <w:tc>
          <w:tcPr>
            <w:tcW w:w="1436" w:type="dxa"/>
          </w:tcPr>
          <w:p w:rsidR="003F5784" w14:paraId="456BEAD6" w14:textId="77777777">
            <w:pPr>
              <w:pStyle w:val="TableParagraph"/>
              <w:ind w:right="118"/>
              <w:rPr>
                <w:sz w:val="21"/>
              </w:rPr>
            </w:pPr>
            <w:r>
              <w:rPr>
                <w:spacing w:val="-5"/>
                <w:sz w:val="21"/>
              </w:rPr>
              <w:t>90</w:t>
            </w:r>
          </w:p>
        </w:tc>
      </w:tr>
      <w:tr w14:paraId="72A1DFDF" w14:textId="77777777">
        <w:tblPrEx>
          <w:tblW w:w="0" w:type="auto"/>
          <w:tblInd w:w="482" w:type="dxa"/>
          <w:tblLayout w:type="fixed"/>
          <w:tblCellMar>
            <w:left w:w="0" w:type="dxa"/>
            <w:right w:w="0" w:type="dxa"/>
          </w:tblCellMar>
          <w:tblLook w:val="01E0"/>
        </w:tblPrEx>
        <w:trPr>
          <w:trHeight w:val="286"/>
        </w:trPr>
        <w:tc>
          <w:tcPr>
            <w:tcW w:w="4718" w:type="dxa"/>
          </w:tcPr>
          <w:p w:rsidR="003F5784" w14:paraId="6A48EDFC" w14:textId="77777777">
            <w:pPr>
              <w:pStyle w:val="TableParagraph"/>
              <w:ind w:left="120"/>
              <w:jc w:val="left"/>
              <w:rPr>
                <w:sz w:val="21"/>
              </w:rPr>
            </w:pPr>
            <w:r>
              <w:rPr>
                <w:spacing w:val="-2"/>
                <w:sz w:val="21"/>
              </w:rPr>
              <w:t>Montana</w:t>
            </w:r>
          </w:p>
        </w:tc>
        <w:tc>
          <w:tcPr>
            <w:tcW w:w="3440" w:type="dxa"/>
          </w:tcPr>
          <w:p w:rsidR="003F5784" w14:paraId="0ADEDDA7" w14:textId="77777777">
            <w:pPr>
              <w:pStyle w:val="TableParagraph"/>
              <w:ind w:right="1001"/>
              <w:rPr>
                <w:sz w:val="21"/>
              </w:rPr>
            </w:pPr>
            <w:r>
              <w:rPr>
                <w:spacing w:val="-5"/>
                <w:sz w:val="21"/>
              </w:rPr>
              <w:t>130</w:t>
            </w:r>
          </w:p>
        </w:tc>
        <w:tc>
          <w:tcPr>
            <w:tcW w:w="2195" w:type="dxa"/>
          </w:tcPr>
          <w:p w:rsidR="003F5784" w14:paraId="22EA01DF" w14:textId="77777777">
            <w:pPr>
              <w:pStyle w:val="TableParagraph"/>
              <w:ind w:left="228" w:right="105"/>
              <w:jc w:val="center"/>
              <w:rPr>
                <w:sz w:val="21"/>
              </w:rPr>
            </w:pPr>
            <w:r>
              <w:rPr>
                <w:spacing w:val="-5"/>
                <w:sz w:val="21"/>
              </w:rPr>
              <w:t>120</w:t>
            </w:r>
          </w:p>
        </w:tc>
        <w:tc>
          <w:tcPr>
            <w:tcW w:w="2196" w:type="dxa"/>
          </w:tcPr>
          <w:p w:rsidR="003F5784" w14:paraId="06569651" w14:textId="77777777">
            <w:pPr>
              <w:pStyle w:val="TableParagraph"/>
              <w:ind w:right="1002"/>
              <w:rPr>
                <w:sz w:val="21"/>
              </w:rPr>
            </w:pPr>
            <w:r>
              <w:rPr>
                <w:spacing w:val="-5"/>
                <w:sz w:val="21"/>
              </w:rPr>
              <w:t>100</w:t>
            </w:r>
          </w:p>
        </w:tc>
        <w:tc>
          <w:tcPr>
            <w:tcW w:w="1436" w:type="dxa"/>
          </w:tcPr>
          <w:p w:rsidR="003F5784" w14:paraId="42D14DC9" w14:textId="77777777">
            <w:pPr>
              <w:pStyle w:val="TableParagraph"/>
              <w:ind w:right="118"/>
              <w:rPr>
                <w:sz w:val="21"/>
              </w:rPr>
            </w:pPr>
            <w:r>
              <w:rPr>
                <w:spacing w:val="-5"/>
                <w:sz w:val="21"/>
              </w:rPr>
              <w:t>100</w:t>
            </w:r>
          </w:p>
        </w:tc>
      </w:tr>
      <w:tr w14:paraId="133FF067" w14:textId="77777777">
        <w:tblPrEx>
          <w:tblW w:w="0" w:type="auto"/>
          <w:tblInd w:w="482" w:type="dxa"/>
          <w:tblLayout w:type="fixed"/>
          <w:tblCellMar>
            <w:left w:w="0" w:type="dxa"/>
            <w:right w:w="0" w:type="dxa"/>
          </w:tblCellMar>
          <w:tblLook w:val="01E0"/>
        </w:tblPrEx>
        <w:trPr>
          <w:trHeight w:val="286"/>
        </w:trPr>
        <w:tc>
          <w:tcPr>
            <w:tcW w:w="4718" w:type="dxa"/>
          </w:tcPr>
          <w:p w:rsidR="003F5784" w14:paraId="471675A2" w14:textId="77777777">
            <w:pPr>
              <w:pStyle w:val="TableParagraph"/>
              <w:ind w:left="120"/>
              <w:jc w:val="left"/>
              <w:rPr>
                <w:sz w:val="21"/>
              </w:rPr>
            </w:pPr>
            <w:r>
              <w:rPr>
                <w:spacing w:val="-2"/>
                <w:sz w:val="21"/>
              </w:rPr>
              <w:t>Nebraska</w:t>
            </w:r>
          </w:p>
        </w:tc>
        <w:tc>
          <w:tcPr>
            <w:tcW w:w="3440" w:type="dxa"/>
          </w:tcPr>
          <w:p w:rsidR="003F5784" w14:paraId="43AB9900" w14:textId="77777777">
            <w:pPr>
              <w:pStyle w:val="TableParagraph"/>
              <w:ind w:right="1001"/>
              <w:rPr>
                <w:sz w:val="21"/>
              </w:rPr>
            </w:pPr>
            <w:r>
              <w:rPr>
                <w:spacing w:val="-5"/>
                <w:sz w:val="21"/>
              </w:rPr>
              <w:t>100</w:t>
            </w:r>
          </w:p>
        </w:tc>
        <w:tc>
          <w:tcPr>
            <w:tcW w:w="2195" w:type="dxa"/>
          </w:tcPr>
          <w:p w:rsidR="003F5784" w14:paraId="291963FA" w14:textId="77777777">
            <w:pPr>
              <w:pStyle w:val="TableParagraph"/>
              <w:ind w:left="228" w:right="105"/>
              <w:jc w:val="center"/>
              <w:rPr>
                <w:sz w:val="21"/>
              </w:rPr>
            </w:pPr>
            <w:r>
              <w:rPr>
                <w:spacing w:val="-5"/>
                <w:sz w:val="21"/>
              </w:rPr>
              <w:t>100</w:t>
            </w:r>
          </w:p>
        </w:tc>
        <w:tc>
          <w:tcPr>
            <w:tcW w:w="2196" w:type="dxa"/>
          </w:tcPr>
          <w:p w:rsidR="003F5784" w14:paraId="4E1D3287" w14:textId="77777777">
            <w:pPr>
              <w:pStyle w:val="TableParagraph"/>
              <w:ind w:right="1002"/>
              <w:rPr>
                <w:sz w:val="21"/>
              </w:rPr>
            </w:pPr>
            <w:r>
              <w:rPr>
                <w:spacing w:val="-5"/>
                <w:sz w:val="21"/>
              </w:rPr>
              <w:t>100</w:t>
            </w:r>
          </w:p>
        </w:tc>
        <w:tc>
          <w:tcPr>
            <w:tcW w:w="1436" w:type="dxa"/>
          </w:tcPr>
          <w:p w:rsidR="003F5784" w14:paraId="51285489" w14:textId="77777777">
            <w:pPr>
              <w:pStyle w:val="TableParagraph"/>
              <w:ind w:right="118"/>
              <w:rPr>
                <w:sz w:val="21"/>
              </w:rPr>
            </w:pPr>
            <w:r>
              <w:rPr>
                <w:spacing w:val="-5"/>
                <w:sz w:val="21"/>
              </w:rPr>
              <w:t>100</w:t>
            </w:r>
          </w:p>
        </w:tc>
      </w:tr>
      <w:tr w14:paraId="50C96702" w14:textId="77777777">
        <w:tblPrEx>
          <w:tblW w:w="0" w:type="auto"/>
          <w:tblInd w:w="482" w:type="dxa"/>
          <w:tblLayout w:type="fixed"/>
          <w:tblCellMar>
            <w:left w:w="0" w:type="dxa"/>
            <w:right w:w="0" w:type="dxa"/>
          </w:tblCellMar>
          <w:tblLook w:val="01E0"/>
        </w:tblPrEx>
        <w:trPr>
          <w:trHeight w:val="286"/>
        </w:trPr>
        <w:tc>
          <w:tcPr>
            <w:tcW w:w="4718" w:type="dxa"/>
          </w:tcPr>
          <w:p w:rsidR="003F5784" w14:paraId="16F650B9" w14:textId="77777777">
            <w:pPr>
              <w:pStyle w:val="TableParagraph"/>
              <w:ind w:left="120"/>
              <w:jc w:val="left"/>
              <w:rPr>
                <w:sz w:val="21"/>
              </w:rPr>
            </w:pPr>
            <w:r>
              <w:rPr>
                <w:spacing w:val="-2"/>
                <w:sz w:val="21"/>
              </w:rPr>
              <w:t>Nevada–Clark</w:t>
            </w:r>
            <w:r>
              <w:rPr>
                <w:spacing w:val="10"/>
                <w:sz w:val="21"/>
              </w:rPr>
              <w:t xml:space="preserve"> </w:t>
            </w:r>
            <w:r>
              <w:rPr>
                <w:spacing w:val="-2"/>
                <w:sz w:val="21"/>
              </w:rPr>
              <w:t>County</w:t>
            </w:r>
          </w:p>
        </w:tc>
        <w:tc>
          <w:tcPr>
            <w:tcW w:w="3440" w:type="dxa"/>
          </w:tcPr>
          <w:p w:rsidR="003F5784" w14:paraId="0283909E" w14:textId="77777777">
            <w:pPr>
              <w:pStyle w:val="TableParagraph"/>
              <w:ind w:right="1001"/>
              <w:rPr>
                <w:sz w:val="21"/>
              </w:rPr>
            </w:pPr>
            <w:r>
              <w:rPr>
                <w:spacing w:val="-5"/>
                <w:sz w:val="21"/>
              </w:rPr>
              <w:t>60</w:t>
            </w:r>
          </w:p>
        </w:tc>
        <w:tc>
          <w:tcPr>
            <w:tcW w:w="2195" w:type="dxa"/>
          </w:tcPr>
          <w:p w:rsidR="003F5784" w14:paraId="0C4FB4D9" w14:textId="77777777">
            <w:pPr>
              <w:pStyle w:val="TableParagraph"/>
              <w:ind w:left="228"/>
              <w:jc w:val="center"/>
              <w:rPr>
                <w:sz w:val="21"/>
              </w:rPr>
            </w:pPr>
            <w:r>
              <w:rPr>
                <w:spacing w:val="-5"/>
                <w:sz w:val="21"/>
              </w:rPr>
              <w:t>60</w:t>
            </w:r>
          </w:p>
        </w:tc>
        <w:tc>
          <w:tcPr>
            <w:tcW w:w="2196" w:type="dxa"/>
          </w:tcPr>
          <w:p w:rsidR="003F5784" w14:paraId="68D9AC31" w14:textId="77777777">
            <w:pPr>
              <w:pStyle w:val="TableParagraph"/>
              <w:ind w:right="1002"/>
              <w:rPr>
                <w:sz w:val="21"/>
              </w:rPr>
            </w:pPr>
            <w:r>
              <w:rPr>
                <w:spacing w:val="-5"/>
                <w:sz w:val="21"/>
              </w:rPr>
              <w:t>50</w:t>
            </w:r>
          </w:p>
        </w:tc>
        <w:tc>
          <w:tcPr>
            <w:tcW w:w="1436" w:type="dxa"/>
          </w:tcPr>
          <w:p w:rsidR="003F5784" w14:paraId="01AFCFF4" w14:textId="77777777">
            <w:pPr>
              <w:pStyle w:val="TableParagraph"/>
              <w:ind w:right="118"/>
              <w:rPr>
                <w:sz w:val="21"/>
              </w:rPr>
            </w:pPr>
            <w:r>
              <w:rPr>
                <w:spacing w:val="-5"/>
                <w:sz w:val="21"/>
              </w:rPr>
              <w:t>50</w:t>
            </w:r>
          </w:p>
        </w:tc>
      </w:tr>
      <w:tr w14:paraId="1F52EF40" w14:textId="77777777">
        <w:tblPrEx>
          <w:tblW w:w="0" w:type="auto"/>
          <w:tblInd w:w="482" w:type="dxa"/>
          <w:tblLayout w:type="fixed"/>
          <w:tblCellMar>
            <w:left w:w="0" w:type="dxa"/>
            <w:right w:w="0" w:type="dxa"/>
          </w:tblCellMar>
          <w:tblLook w:val="01E0"/>
        </w:tblPrEx>
        <w:trPr>
          <w:trHeight w:val="286"/>
        </w:trPr>
        <w:tc>
          <w:tcPr>
            <w:tcW w:w="4718" w:type="dxa"/>
          </w:tcPr>
          <w:p w:rsidR="003F5784" w14:paraId="59818760" w14:textId="77777777">
            <w:pPr>
              <w:pStyle w:val="TableParagraph"/>
              <w:ind w:left="120"/>
              <w:jc w:val="left"/>
              <w:rPr>
                <w:sz w:val="21"/>
              </w:rPr>
            </w:pPr>
            <w:r>
              <w:rPr>
                <w:spacing w:val="-2"/>
                <w:sz w:val="21"/>
              </w:rPr>
              <w:t>Nevada–Balance</w:t>
            </w:r>
          </w:p>
        </w:tc>
        <w:tc>
          <w:tcPr>
            <w:tcW w:w="3440" w:type="dxa"/>
          </w:tcPr>
          <w:p w:rsidR="003F5784" w14:paraId="593361F0" w14:textId="77777777">
            <w:pPr>
              <w:pStyle w:val="TableParagraph"/>
              <w:ind w:right="1001"/>
              <w:rPr>
                <w:sz w:val="21"/>
              </w:rPr>
            </w:pPr>
            <w:r>
              <w:rPr>
                <w:spacing w:val="-5"/>
                <w:sz w:val="21"/>
              </w:rPr>
              <w:t>30</w:t>
            </w:r>
          </w:p>
        </w:tc>
        <w:tc>
          <w:tcPr>
            <w:tcW w:w="2195" w:type="dxa"/>
          </w:tcPr>
          <w:p w:rsidR="003F5784" w14:paraId="23411BE4" w14:textId="77777777">
            <w:pPr>
              <w:pStyle w:val="TableParagraph"/>
              <w:ind w:left="228"/>
              <w:jc w:val="center"/>
              <w:rPr>
                <w:sz w:val="21"/>
              </w:rPr>
            </w:pPr>
            <w:r>
              <w:rPr>
                <w:spacing w:val="-5"/>
                <w:sz w:val="21"/>
              </w:rPr>
              <w:t>30</w:t>
            </w:r>
          </w:p>
        </w:tc>
        <w:tc>
          <w:tcPr>
            <w:tcW w:w="2196" w:type="dxa"/>
          </w:tcPr>
          <w:p w:rsidR="003F5784" w14:paraId="13D7BC4B" w14:textId="77777777">
            <w:pPr>
              <w:pStyle w:val="TableParagraph"/>
              <w:ind w:right="1002"/>
              <w:rPr>
                <w:sz w:val="21"/>
              </w:rPr>
            </w:pPr>
            <w:r>
              <w:rPr>
                <w:spacing w:val="-5"/>
                <w:sz w:val="21"/>
              </w:rPr>
              <w:t>30</w:t>
            </w:r>
          </w:p>
        </w:tc>
        <w:tc>
          <w:tcPr>
            <w:tcW w:w="1436" w:type="dxa"/>
          </w:tcPr>
          <w:p w:rsidR="003F5784" w14:paraId="565F4124" w14:textId="77777777">
            <w:pPr>
              <w:pStyle w:val="TableParagraph"/>
              <w:ind w:right="118"/>
              <w:rPr>
                <w:sz w:val="21"/>
              </w:rPr>
            </w:pPr>
            <w:r>
              <w:rPr>
                <w:spacing w:val="-5"/>
                <w:sz w:val="21"/>
              </w:rPr>
              <w:t>30</w:t>
            </w:r>
          </w:p>
        </w:tc>
      </w:tr>
      <w:tr w14:paraId="1D9A1A0C" w14:textId="77777777">
        <w:tblPrEx>
          <w:tblW w:w="0" w:type="auto"/>
          <w:tblInd w:w="482" w:type="dxa"/>
          <w:tblLayout w:type="fixed"/>
          <w:tblCellMar>
            <w:left w:w="0" w:type="dxa"/>
            <w:right w:w="0" w:type="dxa"/>
          </w:tblCellMar>
          <w:tblLook w:val="01E0"/>
        </w:tblPrEx>
        <w:trPr>
          <w:trHeight w:val="288"/>
        </w:trPr>
        <w:tc>
          <w:tcPr>
            <w:tcW w:w="4718" w:type="dxa"/>
            <w:tcBorders>
              <w:bottom w:val="single" w:sz="18" w:space="0" w:color="800000"/>
            </w:tcBorders>
          </w:tcPr>
          <w:p w:rsidR="003F5784" w14:paraId="4BB136AD" w14:textId="77777777">
            <w:pPr>
              <w:pStyle w:val="TableParagraph"/>
              <w:ind w:left="120"/>
              <w:jc w:val="left"/>
              <w:rPr>
                <w:sz w:val="21"/>
              </w:rPr>
            </w:pPr>
            <w:r>
              <w:rPr>
                <w:sz w:val="21"/>
              </w:rPr>
              <w:t>New</w:t>
            </w:r>
            <w:r>
              <w:rPr>
                <w:spacing w:val="-5"/>
                <w:sz w:val="21"/>
              </w:rPr>
              <w:t xml:space="preserve"> </w:t>
            </w:r>
            <w:r>
              <w:rPr>
                <w:spacing w:val="-2"/>
                <w:sz w:val="21"/>
              </w:rPr>
              <w:t>Hampshire</w:t>
            </w:r>
          </w:p>
        </w:tc>
        <w:tc>
          <w:tcPr>
            <w:tcW w:w="3440" w:type="dxa"/>
            <w:tcBorders>
              <w:bottom w:val="single" w:sz="18" w:space="0" w:color="800000"/>
            </w:tcBorders>
          </w:tcPr>
          <w:p w:rsidR="003F5784" w14:paraId="688B6F2D" w14:textId="77777777">
            <w:pPr>
              <w:pStyle w:val="TableParagraph"/>
              <w:ind w:right="1001"/>
              <w:rPr>
                <w:sz w:val="21"/>
              </w:rPr>
            </w:pPr>
            <w:r>
              <w:rPr>
                <w:spacing w:val="-5"/>
                <w:sz w:val="21"/>
              </w:rPr>
              <w:t>100</w:t>
            </w:r>
          </w:p>
        </w:tc>
        <w:tc>
          <w:tcPr>
            <w:tcW w:w="2195" w:type="dxa"/>
            <w:tcBorders>
              <w:bottom w:val="single" w:sz="18" w:space="0" w:color="800000"/>
            </w:tcBorders>
          </w:tcPr>
          <w:p w:rsidR="003F5784" w14:paraId="4834F381" w14:textId="77777777">
            <w:pPr>
              <w:pStyle w:val="TableParagraph"/>
              <w:ind w:left="228" w:right="105"/>
              <w:jc w:val="center"/>
              <w:rPr>
                <w:sz w:val="21"/>
              </w:rPr>
            </w:pPr>
            <w:r>
              <w:rPr>
                <w:spacing w:val="-5"/>
                <w:sz w:val="21"/>
              </w:rPr>
              <w:t>100</w:t>
            </w:r>
          </w:p>
        </w:tc>
        <w:tc>
          <w:tcPr>
            <w:tcW w:w="2196" w:type="dxa"/>
            <w:tcBorders>
              <w:bottom w:val="single" w:sz="18" w:space="0" w:color="800000"/>
            </w:tcBorders>
          </w:tcPr>
          <w:p w:rsidR="003F5784" w14:paraId="326E73C1" w14:textId="77777777">
            <w:pPr>
              <w:pStyle w:val="TableParagraph"/>
              <w:ind w:right="1002"/>
              <w:rPr>
                <w:sz w:val="21"/>
              </w:rPr>
            </w:pPr>
            <w:r>
              <w:rPr>
                <w:spacing w:val="-5"/>
                <w:sz w:val="21"/>
              </w:rPr>
              <w:t>80</w:t>
            </w:r>
          </w:p>
        </w:tc>
        <w:tc>
          <w:tcPr>
            <w:tcW w:w="1436" w:type="dxa"/>
            <w:tcBorders>
              <w:bottom w:val="single" w:sz="18" w:space="0" w:color="800000"/>
            </w:tcBorders>
          </w:tcPr>
          <w:p w:rsidR="003F5784" w14:paraId="525B8F6D" w14:textId="77777777">
            <w:pPr>
              <w:pStyle w:val="TableParagraph"/>
              <w:ind w:right="118"/>
              <w:rPr>
                <w:sz w:val="21"/>
              </w:rPr>
            </w:pPr>
            <w:r>
              <w:rPr>
                <w:spacing w:val="-5"/>
                <w:sz w:val="21"/>
              </w:rPr>
              <w:t>80</w:t>
            </w:r>
          </w:p>
        </w:tc>
      </w:tr>
    </w:tbl>
    <w:p w:rsidR="003F5784" w14:paraId="3BE602D8" w14:textId="77777777">
      <w:pPr>
        <w:rPr>
          <w:sz w:val="21"/>
        </w:rPr>
        <w:sectPr>
          <w:headerReference w:type="default" r:id="rId253"/>
          <w:footerReference w:type="default" r:id="rId254"/>
          <w:pgSz w:w="15840" w:h="12240" w:orient="landscape"/>
          <w:pgMar w:top="1140" w:right="440" w:bottom="1180" w:left="460" w:header="305" w:footer="996" w:gutter="0"/>
          <w:cols w:space="720"/>
        </w:sectPr>
      </w:pPr>
    </w:p>
    <w:tbl>
      <w:tblPr>
        <w:tblW w:w="0" w:type="auto"/>
        <w:tblInd w:w="482" w:type="dxa"/>
        <w:tblLayout w:type="fixed"/>
        <w:tblCellMar>
          <w:left w:w="0" w:type="dxa"/>
          <w:right w:w="0" w:type="dxa"/>
        </w:tblCellMar>
        <w:tblLook w:val="01E0"/>
      </w:tblPr>
      <w:tblGrid>
        <w:gridCol w:w="4854"/>
        <w:gridCol w:w="3304"/>
        <w:gridCol w:w="2195"/>
        <w:gridCol w:w="2248"/>
        <w:gridCol w:w="1384"/>
      </w:tblGrid>
      <w:tr w14:paraId="5A03E452" w14:textId="77777777">
        <w:tblPrEx>
          <w:tblW w:w="0" w:type="auto"/>
          <w:tblInd w:w="482" w:type="dxa"/>
          <w:tblLayout w:type="fixed"/>
          <w:tblCellMar>
            <w:left w:w="0" w:type="dxa"/>
            <w:right w:w="0" w:type="dxa"/>
          </w:tblCellMar>
          <w:tblLook w:val="01E0"/>
        </w:tblPrEx>
        <w:trPr>
          <w:trHeight w:val="278"/>
        </w:trPr>
        <w:tc>
          <w:tcPr>
            <w:tcW w:w="4854" w:type="dxa"/>
            <w:tcBorders>
              <w:top w:val="single" w:sz="18" w:space="0" w:color="800000"/>
            </w:tcBorders>
          </w:tcPr>
          <w:p w:rsidR="003F5784" w14:paraId="0207F310" w14:textId="77777777">
            <w:pPr>
              <w:pStyle w:val="TableParagraph"/>
              <w:spacing w:before="9"/>
              <w:ind w:left="120"/>
              <w:jc w:val="left"/>
              <w:rPr>
                <w:sz w:val="21"/>
              </w:rPr>
            </w:pPr>
            <w:r>
              <w:rPr>
                <w:sz w:val="21"/>
              </w:rPr>
              <w:t>New</w:t>
            </w:r>
            <w:r>
              <w:rPr>
                <w:spacing w:val="-5"/>
                <w:sz w:val="21"/>
              </w:rPr>
              <w:t xml:space="preserve"> </w:t>
            </w:r>
            <w:r>
              <w:rPr>
                <w:spacing w:val="-2"/>
                <w:sz w:val="21"/>
              </w:rPr>
              <w:t>Jersey</w:t>
            </w:r>
          </w:p>
        </w:tc>
        <w:tc>
          <w:tcPr>
            <w:tcW w:w="3304" w:type="dxa"/>
            <w:tcBorders>
              <w:top w:val="single" w:sz="18" w:space="0" w:color="800000"/>
            </w:tcBorders>
          </w:tcPr>
          <w:p w:rsidR="003F5784" w14:paraId="06045115" w14:textId="77777777">
            <w:pPr>
              <w:pStyle w:val="TableParagraph"/>
              <w:spacing w:before="9"/>
              <w:ind w:right="1001"/>
              <w:rPr>
                <w:sz w:val="21"/>
              </w:rPr>
            </w:pPr>
            <w:r>
              <w:rPr>
                <w:spacing w:val="-5"/>
                <w:sz w:val="21"/>
              </w:rPr>
              <w:t>90</w:t>
            </w:r>
          </w:p>
        </w:tc>
        <w:tc>
          <w:tcPr>
            <w:tcW w:w="2195" w:type="dxa"/>
            <w:tcBorders>
              <w:top w:val="single" w:sz="18" w:space="0" w:color="800000"/>
            </w:tcBorders>
          </w:tcPr>
          <w:p w:rsidR="003F5784" w14:paraId="6EA742CF" w14:textId="77777777">
            <w:pPr>
              <w:pStyle w:val="TableParagraph"/>
              <w:spacing w:before="9"/>
              <w:ind w:left="228"/>
              <w:jc w:val="center"/>
              <w:rPr>
                <w:sz w:val="21"/>
              </w:rPr>
            </w:pPr>
            <w:r>
              <w:rPr>
                <w:spacing w:val="-5"/>
                <w:sz w:val="21"/>
              </w:rPr>
              <w:t>90</w:t>
            </w:r>
          </w:p>
        </w:tc>
        <w:tc>
          <w:tcPr>
            <w:tcW w:w="2248" w:type="dxa"/>
            <w:tcBorders>
              <w:top w:val="single" w:sz="18" w:space="0" w:color="800000"/>
            </w:tcBorders>
          </w:tcPr>
          <w:p w:rsidR="003F5784" w14:paraId="21BAE82B" w14:textId="77777777">
            <w:pPr>
              <w:pStyle w:val="TableParagraph"/>
              <w:spacing w:before="9"/>
              <w:ind w:right="1054"/>
              <w:rPr>
                <w:sz w:val="21"/>
              </w:rPr>
            </w:pPr>
            <w:r>
              <w:rPr>
                <w:spacing w:val="-5"/>
                <w:sz w:val="21"/>
              </w:rPr>
              <w:t>90</w:t>
            </w:r>
          </w:p>
        </w:tc>
        <w:tc>
          <w:tcPr>
            <w:tcW w:w="1384" w:type="dxa"/>
            <w:tcBorders>
              <w:top w:val="single" w:sz="18" w:space="0" w:color="800000"/>
            </w:tcBorders>
          </w:tcPr>
          <w:p w:rsidR="003F5784" w14:paraId="1A69703F" w14:textId="77777777">
            <w:pPr>
              <w:pStyle w:val="TableParagraph"/>
              <w:spacing w:before="9"/>
              <w:ind w:right="118"/>
              <w:rPr>
                <w:sz w:val="21"/>
              </w:rPr>
            </w:pPr>
            <w:r>
              <w:rPr>
                <w:spacing w:val="-5"/>
                <w:sz w:val="21"/>
              </w:rPr>
              <w:t>90</w:t>
            </w:r>
          </w:p>
        </w:tc>
      </w:tr>
      <w:tr w14:paraId="6B53363A" w14:textId="77777777">
        <w:tblPrEx>
          <w:tblW w:w="0" w:type="auto"/>
          <w:tblInd w:w="482" w:type="dxa"/>
          <w:tblLayout w:type="fixed"/>
          <w:tblCellMar>
            <w:left w:w="0" w:type="dxa"/>
            <w:right w:w="0" w:type="dxa"/>
          </w:tblCellMar>
          <w:tblLook w:val="01E0"/>
        </w:tblPrEx>
        <w:trPr>
          <w:trHeight w:val="286"/>
        </w:trPr>
        <w:tc>
          <w:tcPr>
            <w:tcW w:w="4854" w:type="dxa"/>
          </w:tcPr>
          <w:p w:rsidR="003F5784" w14:paraId="625B09E9" w14:textId="77777777">
            <w:pPr>
              <w:pStyle w:val="TableParagraph"/>
              <w:ind w:left="120"/>
              <w:jc w:val="left"/>
              <w:rPr>
                <w:sz w:val="21"/>
              </w:rPr>
            </w:pPr>
            <w:r>
              <w:rPr>
                <w:sz w:val="21"/>
              </w:rPr>
              <w:t>New</w:t>
            </w:r>
            <w:r>
              <w:rPr>
                <w:spacing w:val="-5"/>
                <w:sz w:val="21"/>
              </w:rPr>
              <w:t xml:space="preserve"> </w:t>
            </w:r>
            <w:r>
              <w:rPr>
                <w:spacing w:val="-2"/>
                <w:sz w:val="21"/>
              </w:rPr>
              <w:t>Mexico–Albuquerque</w:t>
            </w:r>
          </w:p>
        </w:tc>
        <w:tc>
          <w:tcPr>
            <w:tcW w:w="3304" w:type="dxa"/>
          </w:tcPr>
          <w:p w:rsidR="003F5784" w14:paraId="59980D9A" w14:textId="77777777">
            <w:pPr>
              <w:pStyle w:val="TableParagraph"/>
              <w:ind w:right="1001"/>
              <w:rPr>
                <w:sz w:val="21"/>
              </w:rPr>
            </w:pPr>
            <w:r>
              <w:rPr>
                <w:spacing w:val="-5"/>
                <w:sz w:val="21"/>
              </w:rPr>
              <w:t>40</w:t>
            </w:r>
          </w:p>
        </w:tc>
        <w:tc>
          <w:tcPr>
            <w:tcW w:w="2195" w:type="dxa"/>
          </w:tcPr>
          <w:p w:rsidR="003F5784" w14:paraId="394EC49B" w14:textId="77777777">
            <w:pPr>
              <w:pStyle w:val="TableParagraph"/>
              <w:ind w:left="228"/>
              <w:jc w:val="center"/>
              <w:rPr>
                <w:sz w:val="21"/>
              </w:rPr>
            </w:pPr>
            <w:r>
              <w:rPr>
                <w:spacing w:val="-5"/>
                <w:sz w:val="21"/>
              </w:rPr>
              <w:t>40</w:t>
            </w:r>
          </w:p>
        </w:tc>
        <w:tc>
          <w:tcPr>
            <w:tcW w:w="2248" w:type="dxa"/>
          </w:tcPr>
          <w:p w:rsidR="003F5784" w14:paraId="1DD94B39" w14:textId="77777777">
            <w:pPr>
              <w:pStyle w:val="TableParagraph"/>
              <w:ind w:right="1054"/>
              <w:rPr>
                <w:sz w:val="21"/>
              </w:rPr>
            </w:pPr>
            <w:r>
              <w:rPr>
                <w:spacing w:val="-5"/>
                <w:sz w:val="21"/>
              </w:rPr>
              <w:t>40</w:t>
            </w:r>
          </w:p>
        </w:tc>
        <w:tc>
          <w:tcPr>
            <w:tcW w:w="1384" w:type="dxa"/>
          </w:tcPr>
          <w:p w:rsidR="003F5784" w14:paraId="3427862D" w14:textId="77777777">
            <w:pPr>
              <w:pStyle w:val="TableParagraph"/>
              <w:ind w:right="118"/>
              <w:rPr>
                <w:sz w:val="21"/>
              </w:rPr>
            </w:pPr>
            <w:r>
              <w:rPr>
                <w:spacing w:val="-5"/>
                <w:sz w:val="21"/>
              </w:rPr>
              <w:t>30</w:t>
            </w:r>
          </w:p>
        </w:tc>
      </w:tr>
      <w:tr w14:paraId="2895299B" w14:textId="77777777">
        <w:tblPrEx>
          <w:tblW w:w="0" w:type="auto"/>
          <w:tblInd w:w="482" w:type="dxa"/>
          <w:tblLayout w:type="fixed"/>
          <w:tblCellMar>
            <w:left w:w="0" w:type="dxa"/>
            <w:right w:w="0" w:type="dxa"/>
          </w:tblCellMar>
          <w:tblLook w:val="01E0"/>
        </w:tblPrEx>
        <w:trPr>
          <w:trHeight w:val="286"/>
        </w:trPr>
        <w:tc>
          <w:tcPr>
            <w:tcW w:w="4854" w:type="dxa"/>
          </w:tcPr>
          <w:p w:rsidR="003F5784" w14:paraId="72542CA7" w14:textId="77777777">
            <w:pPr>
              <w:pStyle w:val="TableParagraph"/>
              <w:ind w:left="120"/>
              <w:jc w:val="left"/>
              <w:rPr>
                <w:sz w:val="21"/>
              </w:rPr>
            </w:pPr>
            <w:r>
              <w:rPr>
                <w:sz w:val="21"/>
              </w:rPr>
              <w:t>New</w:t>
            </w:r>
            <w:r>
              <w:rPr>
                <w:spacing w:val="-5"/>
                <w:sz w:val="21"/>
              </w:rPr>
              <w:t xml:space="preserve"> </w:t>
            </w:r>
            <w:r>
              <w:rPr>
                <w:spacing w:val="-2"/>
                <w:sz w:val="21"/>
              </w:rPr>
              <w:t>Mexico–Balance</w:t>
            </w:r>
          </w:p>
        </w:tc>
        <w:tc>
          <w:tcPr>
            <w:tcW w:w="3304" w:type="dxa"/>
          </w:tcPr>
          <w:p w:rsidR="003F5784" w14:paraId="2241FDED" w14:textId="77777777">
            <w:pPr>
              <w:pStyle w:val="TableParagraph"/>
              <w:ind w:right="1001"/>
              <w:rPr>
                <w:sz w:val="21"/>
              </w:rPr>
            </w:pPr>
            <w:r>
              <w:rPr>
                <w:spacing w:val="-5"/>
                <w:sz w:val="21"/>
              </w:rPr>
              <w:t>70</w:t>
            </w:r>
          </w:p>
        </w:tc>
        <w:tc>
          <w:tcPr>
            <w:tcW w:w="2195" w:type="dxa"/>
          </w:tcPr>
          <w:p w:rsidR="003F5784" w14:paraId="58B73F4B" w14:textId="77777777">
            <w:pPr>
              <w:pStyle w:val="TableParagraph"/>
              <w:ind w:left="228"/>
              <w:jc w:val="center"/>
              <w:rPr>
                <w:sz w:val="21"/>
              </w:rPr>
            </w:pPr>
            <w:r>
              <w:rPr>
                <w:spacing w:val="-5"/>
                <w:sz w:val="21"/>
              </w:rPr>
              <w:t>70</w:t>
            </w:r>
          </w:p>
        </w:tc>
        <w:tc>
          <w:tcPr>
            <w:tcW w:w="2248" w:type="dxa"/>
          </w:tcPr>
          <w:p w:rsidR="003F5784" w14:paraId="0904040E" w14:textId="77777777">
            <w:pPr>
              <w:pStyle w:val="TableParagraph"/>
              <w:ind w:right="1054"/>
              <w:rPr>
                <w:sz w:val="21"/>
              </w:rPr>
            </w:pPr>
            <w:r>
              <w:rPr>
                <w:spacing w:val="-5"/>
                <w:sz w:val="21"/>
              </w:rPr>
              <w:t>70</w:t>
            </w:r>
          </w:p>
        </w:tc>
        <w:tc>
          <w:tcPr>
            <w:tcW w:w="1384" w:type="dxa"/>
          </w:tcPr>
          <w:p w:rsidR="003F5784" w14:paraId="7A1C3E76" w14:textId="77777777">
            <w:pPr>
              <w:pStyle w:val="TableParagraph"/>
              <w:ind w:right="118"/>
              <w:rPr>
                <w:sz w:val="21"/>
              </w:rPr>
            </w:pPr>
            <w:r>
              <w:rPr>
                <w:spacing w:val="-5"/>
                <w:sz w:val="21"/>
              </w:rPr>
              <w:t>70</w:t>
            </w:r>
          </w:p>
        </w:tc>
      </w:tr>
      <w:tr w14:paraId="4FDC2597" w14:textId="77777777">
        <w:tblPrEx>
          <w:tblW w:w="0" w:type="auto"/>
          <w:tblInd w:w="482" w:type="dxa"/>
          <w:tblLayout w:type="fixed"/>
          <w:tblCellMar>
            <w:left w:w="0" w:type="dxa"/>
            <w:right w:w="0" w:type="dxa"/>
          </w:tblCellMar>
          <w:tblLook w:val="01E0"/>
        </w:tblPrEx>
        <w:trPr>
          <w:trHeight w:val="286"/>
        </w:trPr>
        <w:tc>
          <w:tcPr>
            <w:tcW w:w="4854" w:type="dxa"/>
          </w:tcPr>
          <w:p w:rsidR="003F5784" w14:paraId="7D69F925" w14:textId="77777777">
            <w:pPr>
              <w:pStyle w:val="TableParagraph"/>
              <w:ind w:left="120"/>
              <w:jc w:val="left"/>
              <w:rPr>
                <w:sz w:val="21"/>
              </w:rPr>
            </w:pPr>
            <w:r>
              <w:rPr>
                <w:spacing w:val="-4"/>
                <w:sz w:val="21"/>
              </w:rPr>
              <w:t>New</w:t>
            </w:r>
            <w:r>
              <w:rPr>
                <w:spacing w:val="-9"/>
                <w:sz w:val="21"/>
              </w:rPr>
              <w:t xml:space="preserve"> </w:t>
            </w:r>
            <w:r>
              <w:rPr>
                <w:spacing w:val="-4"/>
                <w:sz w:val="21"/>
              </w:rPr>
              <w:t>York–New</w:t>
            </w:r>
            <w:r>
              <w:rPr>
                <w:spacing w:val="-9"/>
                <w:sz w:val="21"/>
              </w:rPr>
              <w:t xml:space="preserve"> </w:t>
            </w:r>
            <w:r>
              <w:rPr>
                <w:spacing w:val="-4"/>
                <w:sz w:val="21"/>
              </w:rPr>
              <w:t>York</w:t>
            </w:r>
            <w:r>
              <w:rPr>
                <w:spacing w:val="-1"/>
                <w:sz w:val="21"/>
              </w:rPr>
              <w:t xml:space="preserve"> </w:t>
            </w:r>
            <w:r>
              <w:rPr>
                <w:spacing w:val="-4"/>
                <w:sz w:val="21"/>
              </w:rPr>
              <w:t>City</w:t>
            </w:r>
          </w:p>
        </w:tc>
        <w:tc>
          <w:tcPr>
            <w:tcW w:w="3304" w:type="dxa"/>
          </w:tcPr>
          <w:p w:rsidR="003F5784" w14:paraId="6587F879" w14:textId="77777777">
            <w:pPr>
              <w:pStyle w:val="TableParagraph"/>
              <w:ind w:right="1001"/>
              <w:rPr>
                <w:sz w:val="21"/>
              </w:rPr>
            </w:pPr>
            <w:r>
              <w:rPr>
                <w:spacing w:val="-5"/>
                <w:sz w:val="21"/>
              </w:rPr>
              <w:t>70</w:t>
            </w:r>
          </w:p>
        </w:tc>
        <w:tc>
          <w:tcPr>
            <w:tcW w:w="2195" w:type="dxa"/>
          </w:tcPr>
          <w:p w:rsidR="003F5784" w14:paraId="2C5439DC" w14:textId="77777777">
            <w:pPr>
              <w:pStyle w:val="TableParagraph"/>
              <w:ind w:left="228"/>
              <w:jc w:val="center"/>
              <w:rPr>
                <w:sz w:val="21"/>
              </w:rPr>
            </w:pPr>
            <w:r>
              <w:rPr>
                <w:spacing w:val="-5"/>
                <w:sz w:val="21"/>
              </w:rPr>
              <w:t>70</w:t>
            </w:r>
          </w:p>
        </w:tc>
        <w:tc>
          <w:tcPr>
            <w:tcW w:w="2248" w:type="dxa"/>
          </w:tcPr>
          <w:p w:rsidR="003F5784" w14:paraId="363C8916" w14:textId="77777777">
            <w:pPr>
              <w:pStyle w:val="TableParagraph"/>
              <w:ind w:right="1054"/>
              <w:rPr>
                <w:sz w:val="21"/>
              </w:rPr>
            </w:pPr>
            <w:r>
              <w:rPr>
                <w:spacing w:val="-5"/>
                <w:sz w:val="21"/>
              </w:rPr>
              <w:t>70</w:t>
            </w:r>
          </w:p>
        </w:tc>
        <w:tc>
          <w:tcPr>
            <w:tcW w:w="1384" w:type="dxa"/>
          </w:tcPr>
          <w:p w:rsidR="003F5784" w14:paraId="4B63D481" w14:textId="77777777">
            <w:pPr>
              <w:pStyle w:val="TableParagraph"/>
              <w:ind w:right="118"/>
              <w:rPr>
                <w:sz w:val="21"/>
              </w:rPr>
            </w:pPr>
            <w:r>
              <w:rPr>
                <w:spacing w:val="-5"/>
                <w:sz w:val="21"/>
              </w:rPr>
              <w:t>70</w:t>
            </w:r>
          </w:p>
        </w:tc>
      </w:tr>
      <w:tr w14:paraId="05DAE0DF" w14:textId="77777777">
        <w:tblPrEx>
          <w:tblW w:w="0" w:type="auto"/>
          <w:tblInd w:w="482" w:type="dxa"/>
          <w:tblLayout w:type="fixed"/>
          <w:tblCellMar>
            <w:left w:w="0" w:type="dxa"/>
            <w:right w:w="0" w:type="dxa"/>
          </w:tblCellMar>
          <w:tblLook w:val="01E0"/>
        </w:tblPrEx>
        <w:trPr>
          <w:trHeight w:val="286"/>
        </w:trPr>
        <w:tc>
          <w:tcPr>
            <w:tcW w:w="4854" w:type="dxa"/>
          </w:tcPr>
          <w:p w:rsidR="003F5784" w14:paraId="4B9AEBB2" w14:textId="77777777">
            <w:pPr>
              <w:pStyle w:val="TableParagraph"/>
              <w:ind w:left="120"/>
              <w:jc w:val="left"/>
              <w:rPr>
                <w:sz w:val="21"/>
              </w:rPr>
            </w:pPr>
            <w:r>
              <w:rPr>
                <w:sz w:val="21"/>
              </w:rPr>
              <w:t>New</w:t>
            </w:r>
            <w:r>
              <w:rPr>
                <w:spacing w:val="-13"/>
                <w:sz w:val="21"/>
              </w:rPr>
              <w:t xml:space="preserve"> </w:t>
            </w:r>
            <w:r>
              <w:rPr>
                <w:spacing w:val="-2"/>
                <w:sz w:val="21"/>
              </w:rPr>
              <w:t>York–Balance</w:t>
            </w:r>
          </w:p>
        </w:tc>
        <w:tc>
          <w:tcPr>
            <w:tcW w:w="3304" w:type="dxa"/>
          </w:tcPr>
          <w:p w:rsidR="003F5784" w14:paraId="1150DD57" w14:textId="77777777">
            <w:pPr>
              <w:pStyle w:val="TableParagraph"/>
              <w:ind w:right="1001"/>
              <w:rPr>
                <w:sz w:val="21"/>
              </w:rPr>
            </w:pPr>
            <w:r>
              <w:rPr>
                <w:spacing w:val="-5"/>
                <w:sz w:val="21"/>
              </w:rPr>
              <w:t>60</w:t>
            </w:r>
          </w:p>
        </w:tc>
        <w:tc>
          <w:tcPr>
            <w:tcW w:w="2195" w:type="dxa"/>
          </w:tcPr>
          <w:p w:rsidR="003F5784" w14:paraId="664805A1" w14:textId="77777777">
            <w:pPr>
              <w:pStyle w:val="TableParagraph"/>
              <w:ind w:left="228"/>
              <w:jc w:val="center"/>
              <w:rPr>
                <w:sz w:val="21"/>
              </w:rPr>
            </w:pPr>
            <w:r>
              <w:rPr>
                <w:spacing w:val="-5"/>
                <w:sz w:val="21"/>
              </w:rPr>
              <w:t>50</w:t>
            </w:r>
          </w:p>
        </w:tc>
        <w:tc>
          <w:tcPr>
            <w:tcW w:w="2248" w:type="dxa"/>
          </w:tcPr>
          <w:p w:rsidR="003F5784" w14:paraId="740CE613" w14:textId="77777777">
            <w:pPr>
              <w:pStyle w:val="TableParagraph"/>
              <w:ind w:right="1054"/>
              <w:rPr>
                <w:sz w:val="21"/>
              </w:rPr>
            </w:pPr>
            <w:r>
              <w:rPr>
                <w:spacing w:val="-5"/>
                <w:sz w:val="21"/>
              </w:rPr>
              <w:t>60</w:t>
            </w:r>
          </w:p>
        </w:tc>
        <w:tc>
          <w:tcPr>
            <w:tcW w:w="1384" w:type="dxa"/>
          </w:tcPr>
          <w:p w:rsidR="003F5784" w14:paraId="2DE35905" w14:textId="77777777">
            <w:pPr>
              <w:pStyle w:val="TableParagraph"/>
              <w:ind w:right="118"/>
              <w:rPr>
                <w:sz w:val="21"/>
              </w:rPr>
            </w:pPr>
            <w:r>
              <w:rPr>
                <w:spacing w:val="-5"/>
                <w:sz w:val="21"/>
              </w:rPr>
              <w:t>60</w:t>
            </w:r>
          </w:p>
        </w:tc>
      </w:tr>
      <w:tr w14:paraId="067ABA3C" w14:textId="77777777">
        <w:tblPrEx>
          <w:tblW w:w="0" w:type="auto"/>
          <w:tblInd w:w="482" w:type="dxa"/>
          <w:tblLayout w:type="fixed"/>
          <w:tblCellMar>
            <w:left w:w="0" w:type="dxa"/>
            <w:right w:w="0" w:type="dxa"/>
          </w:tblCellMar>
          <w:tblLook w:val="01E0"/>
        </w:tblPrEx>
        <w:trPr>
          <w:trHeight w:val="286"/>
        </w:trPr>
        <w:tc>
          <w:tcPr>
            <w:tcW w:w="4854" w:type="dxa"/>
          </w:tcPr>
          <w:p w:rsidR="003F5784" w14:paraId="38F18C80" w14:textId="77777777">
            <w:pPr>
              <w:pStyle w:val="TableParagraph"/>
              <w:ind w:left="120"/>
              <w:jc w:val="left"/>
              <w:rPr>
                <w:sz w:val="21"/>
              </w:rPr>
            </w:pPr>
            <w:r>
              <w:rPr>
                <w:sz w:val="21"/>
              </w:rPr>
              <w:t>North</w:t>
            </w:r>
            <w:r>
              <w:rPr>
                <w:spacing w:val="-6"/>
                <w:sz w:val="21"/>
              </w:rPr>
              <w:t xml:space="preserve"> </w:t>
            </w:r>
            <w:r>
              <w:rPr>
                <w:spacing w:val="-2"/>
                <w:sz w:val="21"/>
              </w:rPr>
              <w:t>Carolina–Charlotte</w:t>
            </w:r>
          </w:p>
        </w:tc>
        <w:tc>
          <w:tcPr>
            <w:tcW w:w="3304" w:type="dxa"/>
          </w:tcPr>
          <w:p w:rsidR="003F5784" w14:paraId="25A7DAE6" w14:textId="77777777">
            <w:pPr>
              <w:pStyle w:val="TableParagraph"/>
              <w:ind w:right="1001"/>
              <w:rPr>
                <w:sz w:val="21"/>
              </w:rPr>
            </w:pPr>
            <w:r>
              <w:rPr>
                <w:spacing w:val="-5"/>
                <w:sz w:val="21"/>
              </w:rPr>
              <w:t>40</w:t>
            </w:r>
          </w:p>
        </w:tc>
        <w:tc>
          <w:tcPr>
            <w:tcW w:w="2195" w:type="dxa"/>
          </w:tcPr>
          <w:p w:rsidR="003F5784" w14:paraId="33857F93" w14:textId="77777777">
            <w:pPr>
              <w:pStyle w:val="TableParagraph"/>
              <w:ind w:left="228"/>
              <w:jc w:val="center"/>
              <w:rPr>
                <w:sz w:val="21"/>
              </w:rPr>
            </w:pPr>
            <w:r>
              <w:rPr>
                <w:spacing w:val="-5"/>
                <w:sz w:val="21"/>
              </w:rPr>
              <w:t>40</w:t>
            </w:r>
          </w:p>
        </w:tc>
        <w:tc>
          <w:tcPr>
            <w:tcW w:w="2248" w:type="dxa"/>
          </w:tcPr>
          <w:p w:rsidR="003F5784" w14:paraId="237BF1F6" w14:textId="77777777">
            <w:pPr>
              <w:pStyle w:val="TableParagraph"/>
              <w:ind w:right="1054"/>
              <w:rPr>
                <w:sz w:val="21"/>
              </w:rPr>
            </w:pPr>
            <w:r>
              <w:rPr>
                <w:spacing w:val="-5"/>
                <w:sz w:val="21"/>
              </w:rPr>
              <w:t>30</w:t>
            </w:r>
          </w:p>
        </w:tc>
        <w:tc>
          <w:tcPr>
            <w:tcW w:w="1384" w:type="dxa"/>
          </w:tcPr>
          <w:p w:rsidR="003F5784" w14:paraId="64FE2FC0" w14:textId="77777777">
            <w:pPr>
              <w:pStyle w:val="TableParagraph"/>
              <w:ind w:right="118"/>
              <w:rPr>
                <w:sz w:val="21"/>
              </w:rPr>
            </w:pPr>
            <w:r>
              <w:rPr>
                <w:spacing w:val="-5"/>
                <w:sz w:val="21"/>
              </w:rPr>
              <w:t>30</w:t>
            </w:r>
          </w:p>
        </w:tc>
      </w:tr>
      <w:tr w14:paraId="25A0B8C0" w14:textId="77777777">
        <w:tblPrEx>
          <w:tblW w:w="0" w:type="auto"/>
          <w:tblInd w:w="482" w:type="dxa"/>
          <w:tblLayout w:type="fixed"/>
          <w:tblCellMar>
            <w:left w:w="0" w:type="dxa"/>
            <w:right w:w="0" w:type="dxa"/>
          </w:tblCellMar>
          <w:tblLook w:val="01E0"/>
        </w:tblPrEx>
        <w:trPr>
          <w:trHeight w:val="286"/>
        </w:trPr>
        <w:tc>
          <w:tcPr>
            <w:tcW w:w="4854" w:type="dxa"/>
          </w:tcPr>
          <w:p w:rsidR="003F5784" w14:paraId="2D474F56" w14:textId="77777777">
            <w:pPr>
              <w:pStyle w:val="TableParagraph"/>
              <w:ind w:left="120"/>
              <w:jc w:val="left"/>
              <w:rPr>
                <w:sz w:val="21"/>
              </w:rPr>
            </w:pPr>
            <w:r>
              <w:rPr>
                <w:sz w:val="21"/>
              </w:rPr>
              <w:t>North</w:t>
            </w:r>
            <w:r>
              <w:rPr>
                <w:spacing w:val="-12"/>
                <w:sz w:val="21"/>
              </w:rPr>
              <w:t xml:space="preserve"> </w:t>
            </w:r>
            <w:r>
              <w:rPr>
                <w:sz w:val="21"/>
              </w:rPr>
              <w:t>Carolina–Guilford</w:t>
            </w:r>
            <w:r>
              <w:rPr>
                <w:spacing w:val="-11"/>
                <w:sz w:val="21"/>
              </w:rPr>
              <w:t xml:space="preserve"> </w:t>
            </w:r>
            <w:r>
              <w:rPr>
                <w:spacing w:val="-2"/>
                <w:sz w:val="21"/>
              </w:rPr>
              <w:t>County</w:t>
            </w:r>
          </w:p>
        </w:tc>
        <w:tc>
          <w:tcPr>
            <w:tcW w:w="3304" w:type="dxa"/>
          </w:tcPr>
          <w:p w:rsidR="003F5784" w14:paraId="23BB7148" w14:textId="77777777">
            <w:pPr>
              <w:pStyle w:val="TableParagraph"/>
              <w:ind w:right="1001"/>
              <w:rPr>
                <w:sz w:val="21"/>
              </w:rPr>
            </w:pPr>
            <w:r>
              <w:rPr>
                <w:spacing w:val="-5"/>
                <w:sz w:val="21"/>
              </w:rPr>
              <w:t>40</w:t>
            </w:r>
          </w:p>
        </w:tc>
        <w:tc>
          <w:tcPr>
            <w:tcW w:w="2195" w:type="dxa"/>
          </w:tcPr>
          <w:p w:rsidR="003F5784" w14:paraId="68F5A53B" w14:textId="77777777">
            <w:pPr>
              <w:pStyle w:val="TableParagraph"/>
              <w:ind w:left="228"/>
              <w:jc w:val="center"/>
              <w:rPr>
                <w:sz w:val="21"/>
              </w:rPr>
            </w:pPr>
            <w:r>
              <w:rPr>
                <w:spacing w:val="-5"/>
                <w:sz w:val="21"/>
              </w:rPr>
              <w:t>40</w:t>
            </w:r>
          </w:p>
        </w:tc>
        <w:tc>
          <w:tcPr>
            <w:tcW w:w="2248" w:type="dxa"/>
          </w:tcPr>
          <w:p w:rsidR="003F5784" w14:paraId="32D0AC9D" w14:textId="77777777">
            <w:pPr>
              <w:pStyle w:val="TableParagraph"/>
              <w:ind w:right="1054"/>
              <w:rPr>
                <w:sz w:val="21"/>
              </w:rPr>
            </w:pPr>
            <w:r>
              <w:rPr>
                <w:spacing w:val="-5"/>
                <w:sz w:val="21"/>
              </w:rPr>
              <w:t>30</w:t>
            </w:r>
          </w:p>
        </w:tc>
        <w:tc>
          <w:tcPr>
            <w:tcW w:w="1384" w:type="dxa"/>
          </w:tcPr>
          <w:p w:rsidR="003F5784" w14:paraId="0A7AD742" w14:textId="77777777">
            <w:pPr>
              <w:pStyle w:val="TableParagraph"/>
              <w:ind w:right="118"/>
              <w:rPr>
                <w:sz w:val="21"/>
              </w:rPr>
            </w:pPr>
            <w:r>
              <w:rPr>
                <w:spacing w:val="-5"/>
                <w:sz w:val="21"/>
              </w:rPr>
              <w:t>20</w:t>
            </w:r>
          </w:p>
        </w:tc>
      </w:tr>
      <w:tr w14:paraId="7295C28C" w14:textId="77777777">
        <w:tblPrEx>
          <w:tblW w:w="0" w:type="auto"/>
          <w:tblInd w:w="482" w:type="dxa"/>
          <w:tblLayout w:type="fixed"/>
          <w:tblCellMar>
            <w:left w:w="0" w:type="dxa"/>
            <w:right w:w="0" w:type="dxa"/>
          </w:tblCellMar>
          <w:tblLook w:val="01E0"/>
        </w:tblPrEx>
        <w:trPr>
          <w:trHeight w:val="286"/>
        </w:trPr>
        <w:tc>
          <w:tcPr>
            <w:tcW w:w="4854" w:type="dxa"/>
          </w:tcPr>
          <w:p w:rsidR="003F5784" w14:paraId="21DC52F4" w14:textId="77777777">
            <w:pPr>
              <w:pStyle w:val="TableParagraph"/>
              <w:ind w:left="120"/>
              <w:jc w:val="left"/>
              <w:rPr>
                <w:sz w:val="21"/>
              </w:rPr>
            </w:pPr>
            <w:r>
              <w:rPr>
                <w:sz w:val="21"/>
              </w:rPr>
              <w:t>North</w:t>
            </w:r>
            <w:r>
              <w:rPr>
                <w:spacing w:val="-6"/>
                <w:sz w:val="21"/>
              </w:rPr>
              <w:t xml:space="preserve"> </w:t>
            </w:r>
            <w:r>
              <w:rPr>
                <w:spacing w:val="-2"/>
                <w:sz w:val="21"/>
              </w:rPr>
              <w:t>Carolina–Balance</w:t>
            </w:r>
          </w:p>
        </w:tc>
        <w:tc>
          <w:tcPr>
            <w:tcW w:w="3304" w:type="dxa"/>
          </w:tcPr>
          <w:p w:rsidR="003F5784" w14:paraId="1C670CC5" w14:textId="77777777">
            <w:pPr>
              <w:pStyle w:val="TableParagraph"/>
              <w:ind w:right="1001"/>
              <w:rPr>
                <w:sz w:val="21"/>
              </w:rPr>
            </w:pPr>
            <w:r>
              <w:rPr>
                <w:spacing w:val="-5"/>
                <w:sz w:val="21"/>
              </w:rPr>
              <w:t>80</w:t>
            </w:r>
          </w:p>
        </w:tc>
        <w:tc>
          <w:tcPr>
            <w:tcW w:w="2195" w:type="dxa"/>
          </w:tcPr>
          <w:p w:rsidR="003F5784" w14:paraId="3861A8E6" w14:textId="77777777">
            <w:pPr>
              <w:pStyle w:val="TableParagraph"/>
              <w:ind w:left="228"/>
              <w:jc w:val="center"/>
              <w:rPr>
                <w:sz w:val="21"/>
              </w:rPr>
            </w:pPr>
            <w:r>
              <w:rPr>
                <w:spacing w:val="-5"/>
                <w:sz w:val="21"/>
              </w:rPr>
              <w:t>70</w:t>
            </w:r>
          </w:p>
        </w:tc>
        <w:tc>
          <w:tcPr>
            <w:tcW w:w="2248" w:type="dxa"/>
          </w:tcPr>
          <w:p w:rsidR="003F5784" w14:paraId="15995666" w14:textId="77777777">
            <w:pPr>
              <w:pStyle w:val="TableParagraph"/>
              <w:ind w:right="1054"/>
              <w:rPr>
                <w:sz w:val="21"/>
              </w:rPr>
            </w:pPr>
            <w:r>
              <w:rPr>
                <w:spacing w:val="-5"/>
                <w:sz w:val="21"/>
              </w:rPr>
              <w:t>80</w:t>
            </w:r>
          </w:p>
        </w:tc>
        <w:tc>
          <w:tcPr>
            <w:tcW w:w="1384" w:type="dxa"/>
          </w:tcPr>
          <w:p w:rsidR="003F5784" w14:paraId="36944E8A" w14:textId="77777777">
            <w:pPr>
              <w:pStyle w:val="TableParagraph"/>
              <w:ind w:right="118"/>
              <w:rPr>
                <w:sz w:val="21"/>
              </w:rPr>
            </w:pPr>
            <w:r>
              <w:rPr>
                <w:spacing w:val="-5"/>
                <w:sz w:val="21"/>
              </w:rPr>
              <w:t>70</w:t>
            </w:r>
          </w:p>
        </w:tc>
      </w:tr>
      <w:tr w14:paraId="6ACE9D3B" w14:textId="77777777">
        <w:tblPrEx>
          <w:tblW w:w="0" w:type="auto"/>
          <w:tblInd w:w="482" w:type="dxa"/>
          <w:tblLayout w:type="fixed"/>
          <w:tblCellMar>
            <w:left w:w="0" w:type="dxa"/>
            <w:right w:w="0" w:type="dxa"/>
          </w:tblCellMar>
          <w:tblLook w:val="01E0"/>
        </w:tblPrEx>
        <w:trPr>
          <w:trHeight w:val="286"/>
        </w:trPr>
        <w:tc>
          <w:tcPr>
            <w:tcW w:w="4854" w:type="dxa"/>
          </w:tcPr>
          <w:p w:rsidR="003F5784" w14:paraId="76555A76" w14:textId="77777777">
            <w:pPr>
              <w:pStyle w:val="TableParagraph"/>
              <w:ind w:left="120"/>
              <w:jc w:val="left"/>
              <w:rPr>
                <w:sz w:val="21"/>
              </w:rPr>
            </w:pPr>
            <w:r>
              <w:rPr>
                <w:sz w:val="21"/>
              </w:rPr>
              <w:t>North</w:t>
            </w:r>
            <w:r>
              <w:rPr>
                <w:spacing w:val="-6"/>
                <w:sz w:val="21"/>
              </w:rPr>
              <w:t xml:space="preserve"> </w:t>
            </w:r>
            <w:r>
              <w:rPr>
                <w:spacing w:val="-2"/>
                <w:sz w:val="21"/>
              </w:rPr>
              <w:t>Dakota</w:t>
            </w:r>
          </w:p>
        </w:tc>
        <w:tc>
          <w:tcPr>
            <w:tcW w:w="3304" w:type="dxa"/>
          </w:tcPr>
          <w:p w:rsidR="003F5784" w14:paraId="437C4665" w14:textId="77777777">
            <w:pPr>
              <w:pStyle w:val="TableParagraph"/>
              <w:ind w:right="1001"/>
              <w:rPr>
                <w:sz w:val="21"/>
              </w:rPr>
            </w:pPr>
            <w:r>
              <w:rPr>
                <w:spacing w:val="-5"/>
                <w:sz w:val="21"/>
              </w:rPr>
              <w:t>120</w:t>
            </w:r>
          </w:p>
        </w:tc>
        <w:tc>
          <w:tcPr>
            <w:tcW w:w="2195" w:type="dxa"/>
          </w:tcPr>
          <w:p w:rsidR="003F5784" w14:paraId="11A56F54" w14:textId="77777777">
            <w:pPr>
              <w:pStyle w:val="TableParagraph"/>
              <w:ind w:left="228" w:right="105"/>
              <w:jc w:val="center"/>
              <w:rPr>
                <w:sz w:val="21"/>
              </w:rPr>
            </w:pPr>
            <w:r>
              <w:rPr>
                <w:spacing w:val="-5"/>
                <w:sz w:val="21"/>
              </w:rPr>
              <w:t>120</w:t>
            </w:r>
          </w:p>
        </w:tc>
        <w:tc>
          <w:tcPr>
            <w:tcW w:w="2248" w:type="dxa"/>
          </w:tcPr>
          <w:p w:rsidR="003F5784" w14:paraId="12ACACCE" w14:textId="77777777">
            <w:pPr>
              <w:pStyle w:val="TableParagraph"/>
              <w:ind w:right="1054"/>
              <w:rPr>
                <w:sz w:val="21"/>
              </w:rPr>
            </w:pPr>
            <w:r>
              <w:rPr>
                <w:spacing w:val="-5"/>
                <w:sz w:val="21"/>
              </w:rPr>
              <w:t>90</w:t>
            </w:r>
          </w:p>
        </w:tc>
        <w:tc>
          <w:tcPr>
            <w:tcW w:w="1384" w:type="dxa"/>
          </w:tcPr>
          <w:p w:rsidR="003F5784" w14:paraId="056E12A9" w14:textId="77777777">
            <w:pPr>
              <w:pStyle w:val="TableParagraph"/>
              <w:ind w:right="118"/>
              <w:rPr>
                <w:sz w:val="21"/>
              </w:rPr>
            </w:pPr>
            <w:r>
              <w:rPr>
                <w:spacing w:val="-5"/>
                <w:sz w:val="21"/>
              </w:rPr>
              <w:t>80</w:t>
            </w:r>
          </w:p>
        </w:tc>
      </w:tr>
      <w:tr w14:paraId="42900EE1" w14:textId="77777777">
        <w:tblPrEx>
          <w:tblW w:w="0" w:type="auto"/>
          <w:tblInd w:w="482" w:type="dxa"/>
          <w:tblLayout w:type="fixed"/>
          <w:tblCellMar>
            <w:left w:w="0" w:type="dxa"/>
            <w:right w:w="0" w:type="dxa"/>
          </w:tblCellMar>
          <w:tblLook w:val="01E0"/>
        </w:tblPrEx>
        <w:trPr>
          <w:trHeight w:val="286"/>
        </w:trPr>
        <w:tc>
          <w:tcPr>
            <w:tcW w:w="4854" w:type="dxa"/>
          </w:tcPr>
          <w:p w:rsidR="003F5784" w14:paraId="1372D759" w14:textId="77777777">
            <w:pPr>
              <w:pStyle w:val="TableParagraph"/>
              <w:ind w:left="120"/>
              <w:jc w:val="left"/>
              <w:rPr>
                <w:sz w:val="21"/>
              </w:rPr>
            </w:pPr>
            <w:r>
              <w:rPr>
                <w:spacing w:val="-2"/>
                <w:sz w:val="21"/>
              </w:rPr>
              <w:t>Ohio–Cleveland</w:t>
            </w:r>
          </w:p>
        </w:tc>
        <w:tc>
          <w:tcPr>
            <w:tcW w:w="3304" w:type="dxa"/>
          </w:tcPr>
          <w:p w:rsidR="003F5784" w14:paraId="37BC2F00" w14:textId="77777777">
            <w:pPr>
              <w:pStyle w:val="TableParagraph"/>
              <w:ind w:right="1001"/>
              <w:rPr>
                <w:sz w:val="21"/>
              </w:rPr>
            </w:pPr>
            <w:r>
              <w:rPr>
                <w:spacing w:val="-5"/>
                <w:sz w:val="21"/>
              </w:rPr>
              <w:t>50</w:t>
            </w:r>
          </w:p>
        </w:tc>
        <w:tc>
          <w:tcPr>
            <w:tcW w:w="2195" w:type="dxa"/>
          </w:tcPr>
          <w:p w:rsidR="003F5784" w14:paraId="4963D948" w14:textId="77777777">
            <w:pPr>
              <w:pStyle w:val="TableParagraph"/>
              <w:ind w:left="228"/>
              <w:jc w:val="center"/>
              <w:rPr>
                <w:sz w:val="21"/>
              </w:rPr>
            </w:pPr>
            <w:r>
              <w:rPr>
                <w:spacing w:val="-5"/>
                <w:sz w:val="21"/>
              </w:rPr>
              <w:t>50</w:t>
            </w:r>
          </w:p>
        </w:tc>
        <w:tc>
          <w:tcPr>
            <w:tcW w:w="2248" w:type="dxa"/>
          </w:tcPr>
          <w:p w:rsidR="003F5784" w14:paraId="16938789" w14:textId="77777777">
            <w:pPr>
              <w:pStyle w:val="TableParagraph"/>
              <w:ind w:right="1054"/>
              <w:rPr>
                <w:sz w:val="21"/>
              </w:rPr>
            </w:pPr>
            <w:r>
              <w:rPr>
                <w:spacing w:val="-5"/>
                <w:sz w:val="21"/>
              </w:rPr>
              <w:t>50</w:t>
            </w:r>
          </w:p>
        </w:tc>
        <w:tc>
          <w:tcPr>
            <w:tcW w:w="1384" w:type="dxa"/>
          </w:tcPr>
          <w:p w:rsidR="003F5784" w14:paraId="34C34738" w14:textId="77777777">
            <w:pPr>
              <w:pStyle w:val="TableParagraph"/>
              <w:ind w:right="118"/>
              <w:rPr>
                <w:sz w:val="21"/>
              </w:rPr>
            </w:pPr>
            <w:r>
              <w:rPr>
                <w:spacing w:val="-5"/>
                <w:sz w:val="21"/>
              </w:rPr>
              <w:t>50</w:t>
            </w:r>
          </w:p>
        </w:tc>
      </w:tr>
      <w:tr w14:paraId="76EE2992" w14:textId="77777777">
        <w:tblPrEx>
          <w:tblW w:w="0" w:type="auto"/>
          <w:tblInd w:w="482" w:type="dxa"/>
          <w:tblLayout w:type="fixed"/>
          <w:tblCellMar>
            <w:left w:w="0" w:type="dxa"/>
            <w:right w:w="0" w:type="dxa"/>
          </w:tblCellMar>
          <w:tblLook w:val="01E0"/>
        </w:tblPrEx>
        <w:trPr>
          <w:trHeight w:val="286"/>
        </w:trPr>
        <w:tc>
          <w:tcPr>
            <w:tcW w:w="4854" w:type="dxa"/>
          </w:tcPr>
          <w:p w:rsidR="003F5784" w14:paraId="2B9797EB" w14:textId="77777777">
            <w:pPr>
              <w:pStyle w:val="TableParagraph"/>
              <w:ind w:left="120"/>
              <w:jc w:val="left"/>
              <w:rPr>
                <w:sz w:val="21"/>
              </w:rPr>
            </w:pPr>
            <w:r>
              <w:rPr>
                <w:spacing w:val="-2"/>
                <w:sz w:val="21"/>
              </w:rPr>
              <w:t>Ohio–Balance</w:t>
            </w:r>
          </w:p>
        </w:tc>
        <w:tc>
          <w:tcPr>
            <w:tcW w:w="3304" w:type="dxa"/>
          </w:tcPr>
          <w:p w:rsidR="003F5784" w14:paraId="71ABE577" w14:textId="77777777">
            <w:pPr>
              <w:pStyle w:val="TableParagraph"/>
              <w:ind w:right="1001"/>
              <w:rPr>
                <w:sz w:val="21"/>
              </w:rPr>
            </w:pPr>
            <w:r>
              <w:rPr>
                <w:spacing w:val="-5"/>
                <w:sz w:val="21"/>
              </w:rPr>
              <w:t>90</w:t>
            </w:r>
          </w:p>
        </w:tc>
        <w:tc>
          <w:tcPr>
            <w:tcW w:w="2195" w:type="dxa"/>
          </w:tcPr>
          <w:p w:rsidR="003F5784" w14:paraId="6A8EF0ED" w14:textId="77777777">
            <w:pPr>
              <w:pStyle w:val="TableParagraph"/>
              <w:ind w:left="228"/>
              <w:jc w:val="center"/>
              <w:rPr>
                <w:sz w:val="21"/>
              </w:rPr>
            </w:pPr>
            <w:r>
              <w:rPr>
                <w:spacing w:val="-5"/>
                <w:sz w:val="21"/>
              </w:rPr>
              <w:t>80</w:t>
            </w:r>
          </w:p>
        </w:tc>
        <w:tc>
          <w:tcPr>
            <w:tcW w:w="2248" w:type="dxa"/>
          </w:tcPr>
          <w:p w:rsidR="003F5784" w14:paraId="08BDA71E" w14:textId="77777777">
            <w:pPr>
              <w:pStyle w:val="TableParagraph"/>
              <w:ind w:right="1054"/>
              <w:rPr>
                <w:sz w:val="21"/>
              </w:rPr>
            </w:pPr>
            <w:r>
              <w:rPr>
                <w:spacing w:val="-5"/>
                <w:sz w:val="21"/>
              </w:rPr>
              <w:t>90</w:t>
            </w:r>
          </w:p>
        </w:tc>
        <w:tc>
          <w:tcPr>
            <w:tcW w:w="1384" w:type="dxa"/>
          </w:tcPr>
          <w:p w:rsidR="003F5784" w14:paraId="6EC0D667" w14:textId="77777777">
            <w:pPr>
              <w:pStyle w:val="TableParagraph"/>
              <w:ind w:right="118"/>
              <w:rPr>
                <w:sz w:val="21"/>
              </w:rPr>
            </w:pPr>
            <w:r>
              <w:rPr>
                <w:spacing w:val="-5"/>
                <w:sz w:val="21"/>
              </w:rPr>
              <w:t>80</w:t>
            </w:r>
          </w:p>
        </w:tc>
      </w:tr>
      <w:tr w14:paraId="0E683EB6" w14:textId="77777777">
        <w:tblPrEx>
          <w:tblW w:w="0" w:type="auto"/>
          <w:tblInd w:w="482" w:type="dxa"/>
          <w:tblLayout w:type="fixed"/>
          <w:tblCellMar>
            <w:left w:w="0" w:type="dxa"/>
            <w:right w:w="0" w:type="dxa"/>
          </w:tblCellMar>
          <w:tblLook w:val="01E0"/>
        </w:tblPrEx>
        <w:trPr>
          <w:trHeight w:val="286"/>
        </w:trPr>
        <w:tc>
          <w:tcPr>
            <w:tcW w:w="4854" w:type="dxa"/>
          </w:tcPr>
          <w:p w:rsidR="003F5784" w14:paraId="29BDC57E" w14:textId="77777777">
            <w:pPr>
              <w:pStyle w:val="TableParagraph"/>
              <w:ind w:left="120"/>
              <w:jc w:val="left"/>
              <w:rPr>
                <w:sz w:val="21"/>
              </w:rPr>
            </w:pPr>
            <w:r>
              <w:rPr>
                <w:spacing w:val="-2"/>
                <w:sz w:val="21"/>
              </w:rPr>
              <w:t>Oklahoma</w:t>
            </w:r>
          </w:p>
        </w:tc>
        <w:tc>
          <w:tcPr>
            <w:tcW w:w="3304" w:type="dxa"/>
          </w:tcPr>
          <w:p w:rsidR="003F5784" w14:paraId="704E4B90" w14:textId="77777777">
            <w:pPr>
              <w:pStyle w:val="TableParagraph"/>
              <w:ind w:right="1001"/>
              <w:rPr>
                <w:sz w:val="21"/>
              </w:rPr>
            </w:pPr>
            <w:r>
              <w:rPr>
                <w:spacing w:val="-5"/>
                <w:sz w:val="21"/>
              </w:rPr>
              <w:t>100</w:t>
            </w:r>
          </w:p>
        </w:tc>
        <w:tc>
          <w:tcPr>
            <w:tcW w:w="2195" w:type="dxa"/>
          </w:tcPr>
          <w:p w:rsidR="003F5784" w14:paraId="06B5B685" w14:textId="77777777">
            <w:pPr>
              <w:pStyle w:val="TableParagraph"/>
              <w:ind w:left="228"/>
              <w:jc w:val="center"/>
              <w:rPr>
                <w:sz w:val="21"/>
              </w:rPr>
            </w:pPr>
            <w:r>
              <w:rPr>
                <w:spacing w:val="-5"/>
                <w:sz w:val="21"/>
              </w:rPr>
              <w:t>90</w:t>
            </w:r>
          </w:p>
        </w:tc>
        <w:tc>
          <w:tcPr>
            <w:tcW w:w="2248" w:type="dxa"/>
          </w:tcPr>
          <w:p w:rsidR="003F5784" w14:paraId="0427D2AE" w14:textId="77777777">
            <w:pPr>
              <w:pStyle w:val="TableParagraph"/>
              <w:ind w:right="1054"/>
              <w:rPr>
                <w:sz w:val="21"/>
              </w:rPr>
            </w:pPr>
            <w:r>
              <w:rPr>
                <w:spacing w:val="-5"/>
                <w:sz w:val="21"/>
              </w:rPr>
              <w:t>90</w:t>
            </w:r>
          </w:p>
        </w:tc>
        <w:tc>
          <w:tcPr>
            <w:tcW w:w="1384" w:type="dxa"/>
          </w:tcPr>
          <w:p w:rsidR="003F5784" w14:paraId="06C9FFD5" w14:textId="77777777">
            <w:pPr>
              <w:pStyle w:val="TableParagraph"/>
              <w:ind w:right="118"/>
              <w:rPr>
                <w:sz w:val="21"/>
              </w:rPr>
            </w:pPr>
            <w:r>
              <w:rPr>
                <w:spacing w:val="-5"/>
                <w:sz w:val="21"/>
              </w:rPr>
              <w:t>90</w:t>
            </w:r>
          </w:p>
        </w:tc>
      </w:tr>
      <w:tr w14:paraId="2F6FB414" w14:textId="77777777">
        <w:tblPrEx>
          <w:tblW w:w="0" w:type="auto"/>
          <w:tblInd w:w="482" w:type="dxa"/>
          <w:tblLayout w:type="fixed"/>
          <w:tblCellMar>
            <w:left w:w="0" w:type="dxa"/>
            <w:right w:w="0" w:type="dxa"/>
          </w:tblCellMar>
          <w:tblLook w:val="01E0"/>
        </w:tblPrEx>
        <w:trPr>
          <w:trHeight w:val="286"/>
        </w:trPr>
        <w:tc>
          <w:tcPr>
            <w:tcW w:w="4854" w:type="dxa"/>
          </w:tcPr>
          <w:p w:rsidR="003F5784" w14:paraId="503A85A9" w14:textId="77777777">
            <w:pPr>
              <w:pStyle w:val="TableParagraph"/>
              <w:ind w:left="120"/>
              <w:jc w:val="left"/>
              <w:rPr>
                <w:sz w:val="21"/>
              </w:rPr>
            </w:pPr>
            <w:r>
              <w:rPr>
                <w:spacing w:val="-2"/>
                <w:sz w:val="21"/>
              </w:rPr>
              <w:t>Oregon</w:t>
            </w:r>
          </w:p>
        </w:tc>
        <w:tc>
          <w:tcPr>
            <w:tcW w:w="3304" w:type="dxa"/>
          </w:tcPr>
          <w:p w:rsidR="003F5784" w14:paraId="7026916A" w14:textId="77777777">
            <w:pPr>
              <w:pStyle w:val="TableParagraph"/>
              <w:ind w:right="1001"/>
              <w:rPr>
                <w:sz w:val="21"/>
              </w:rPr>
            </w:pPr>
            <w:r>
              <w:rPr>
                <w:spacing w:val="-5"/>
                <w:sz w:val="21"/>
              </w:rPr>
              <w:t>90</w:t>
            </w:r>
          </w:p>
        </w:tc>
        <w:tc>
          <w:tcPr>
            <w:tcW w:w="2195" w:type="dxa"/>
          </w:tcPr>
          <w:p w:rsidR="003F5784" w14:paraId="12A5745D" w14:textId="77777777">
            <w:pPr>
              <w:pStyle w:val="TableParagraph"/>
              <w:ind w:left="228"/>
              <w:jc w:val="center"/>
              <w:rPr>
                <w:sz w:val="21"/>
              </w:rPr>
            </w:pPr>
            <w:r>
              <w:rPr>
                <w:spacing w:val="-5"/>
                <w:sz w:val="21"/>
              </w:rPr>
              <w:t>90</w:t>
            </w:r>
          </w:p>
        </w:tc>
        <w:tc>
          <w:tcPr>
            <w:tcW w:w="2248" w:type="dxa"/>
          </w:tcPr>
          <w:p w:rsidR="003F5784" w14:paraId="706DDA24" w14:textId="77777777">
            <w:pPr>
              <w:pStyle w:val="TableParagraph"/>
              <w:ind w:right="1054"/>
              <w:rPr>
                <w:sz w:val="21"/>
              </w:rPr>
            </w:pPr>
            <w:r>
              <w:rPr>
                <w:spacing w:val="-5"/>
                <w:sz w:val="21"/>
              </w:rPr>
              <w:t>90</w:t>
            </w:r>
          </w:p>
        </w:tc>
        <w:tc>
          <w:tcPr>
            <w:tcW w:w="1384" w:type="dxa"/>
          </w:tcPr>
          <w:p w:rsidR="003F5784" w14:paraId="4156866C" w14:textId="77777777">
            <w:pPr>
              <w:pStyle w:val="TableParagraph"/>
              <w:ind w:right="118"/>
              <w:rPr>
                <w:sz w:val="21"/>
              </w:rPr>
            </w:pPr>
            <w:r>
              <w:rPr>
                <w:spacing w:val="-5"/>
                <w:sz w:val="21"/>
              </w:rPr>
              <w:t>90</w:t>
            </w:r>
          </w:p>
        </w:tc>
      </w:tr>
      <w:tr w14:paraId="1B68A334" w14:textId="77777777">
        <w:tblPrEx>
          <w:tblW w:w="0" w:type="auto"/>
          <w:tblInd w:w="482" w:type="dxa"/>
          <w:tblLayout w:type="fixed"/>
          <w:tblCellMar>
            <w:left w:w="0" w:type="dxa"/>
            <w:right w:w="0" w:type="dxa"/>
          </w:tblCellMar>
          <w:tblLook w:val="01E0"/>
        </w:tblPrEx>
        <w:trPr>
          <w:trHeight w:val="286"/>
        </w:trPr>
        <w:tc>
          <w:tcPr>
            <w:tcW w:w="4854" w:type="dxa"/>
          </w:tcPr>
          <w:p w:rsidR="003F5784" w14:paraId="6B5C2ABF" w14:textId="77777777">
            <w:pPr>
              <w:pStyle w:val="TableParagraph"/>
              <w:ind w:left="120"/>
              <w:jc w:val="left"/>
              <w:rPr>
                <w:sz w:val="21"/>
              </w:rPr>
            </w:pPr>
            <w:r>
              <w:rPr>
                <w:spacing w:val="-2"/>
                <w:sz w:val="21"/>
              </w:rPr>
              <w:t>Pennsylvania–Philadelphia</w:t>
            </w:r>
          </w:p>
        </w:tc>
        <w:tc>
          <w:tcPr>
            <w:tcW w:w="3304" w:type="dxa"/>
          </w:tcPr>
          <w:p w:rsidR="003F5784" w14:paraId="49E0C62A" w14:textId="77777777">
            <w:pPr>
              <w:pStyle w:val="TableParagraph"/>
              <w:ind w:right="1001"/>
              <w:rPr>
                <w:sz w:val="21"/>
              </w:rPr>
            </w:pPr>
            <w:r>
              <w:rPr>
                <w:spacing w:val="-5"/>
                <w:sz w:val="21"/>
              </w:rPr>
              <w:t>40</w:t>
            </w:r>
          </w:p>
        </w:tc>
        <w:tc>
          <w:tcPr>
            <w:tcW w:w="2195" w:type="dxa"/>
          </w:tcPr>
          <w:p w:rsidR="003F5784" w14:paraId="4F1F1EEF" w14:textId="77777777">
            <w:pPr>
              <w:pStyle w:val="TableParagraph"/>
              <w:ind w:left="228"/>
              <w:jc w:val="center"/>
              <w:rPr>
                <w:sz w:val="21"/>
              </w:rPr>
            </w:pPr>
            <w:r>
              <w:rPr>
                <w:spacing w:val="-5"/>
                <w:sz w:val="21"/>
              </w:rPr>
              <w:t>40</w:t>
            </w:r>
          </w:p>
        </w:tc>
        <w:tc>
          <w:tcPr>
            <w:tcW w:w="2248" w:type="dxa"/>
          </w:tcPr>
          <w:p w:rsidR="003F5784" w14:paraId="77F2A351" w14:textId="77777777">
            <w:pPr>
              <w:pStyle w:val="TableParagraph"/>
              <w:ind w:right="1054"/>
              <w:rPr>
                <w:sz w:val="21"/>
              </w:rPr>
            </w:pPr>
            <w:r>
              <w:rPr>
                <w:spacing w:val="-5"/>
                <w:sz w:val="21"/>
              </w:rPr>
              <w:t>40</w:t>
            </w:r>
          </w:p>
        </w:tc>
        <w:tc>
          <w:tcPr>
            <w:tcW w:w="1384" w:type="dxa"/>
          </w:tcPr>
          <w:p w:rsidR="003F5784" w14:paraId="32705B3B" w14:textId="77777777">
            <w:pPr>
              <w:pStyle w:val="TableParagraph"/>
              <w:ind w:right="118"/>
              <w:rPr>
                <w:sz w:val="21"/>
              </w:rPr>
            </w:pPr>
            <w:r>
              <w:rPr>
                <w:spacing w:val="-5"/>
                <w:sz w:val="21"/>
              </w:rPr>
              <w:t>40</w:t>
            </w:r>
          </w:p>
        </w:tc>
      </w:tr>
      <w:tr w14:paraId="16345307" w14:textId="77777777">
        <w:tblPrEx>
          <w:tblW w:w="0" w:type="auto"/>
          <w:tblInd w:w="482" w:type="dxa"/>
          <w:tblLayout w:type="fixed"/>
          <w:tblCellMar>
            <w:left w:w="0" w:type="dxa"/>
            <w:right w:w="0" w:type="dxa"/>
          </w:tblCellMar>
          <w:tblLook w:val="01E0"/>
        </w:tblPrEx>
        <w:trPr>
          <w:trHeight w:val="286"/>
        </w:trPr>
        <w:tc>
          <w:tcPr>
            <w:tcW w:w="4854" w:type="dxa"/>
          </w:tcPr>
          <w:p w:rsidR="003F5784" w14:paraId="1849C148" w14:textId="77777777">
            <w:pPr>
              <w:pStyle w:val="TableParagraph"/>
              <w:ind w:left="120"/>
              <w:jc w:val="left"/>
              <w:rPr>
                <w:sz w:val="21"/>
              </w:rPr>
            </w:pPr>
            <w:r>
              <w:rPr>
                <w:spacing w:val="-2"/>
                <w:sz w:val="21"/>
              </w:rPr>
              <w:t>Pennsylvania–Balance</w:t>
            </w:r>
          </w:p>
        </w:tc>
        <w:tc>
          <w:tcPr>
            <w:tcW w:w="3304" w:type="dxa"/>
          </w:tcPr>
          <w:p w:rsidR="003F5784" w14:paraId="6088B441" w14:textId="77777777">
            <w:pPr>
              <w:pStyle w:val="TableParagraph"/>
              <w:ind w:right="1001"/>
              <w:rPr>
                <w:sz w:val="21"/>
              </w:rPr>
            </w:pPr>
            <w:r>
              <w:rPr>
                <w:spacing w:val="-5"/>
                <w:sz w:val="21"/>
              </w:rPr>
              <w:t>80</w:t>
            </w:r>
          </w:p>
        </w:tc>
        <w:tc>
          <w:tcPr>
            <w:tcW w:w="2195" w:type="dxa"/>
          </w:tcPr>
          <w:p w:rsidR="003F5784" w14:paraId="77781E4A" w14:textId="77777777">
            <w:pPr>
              <w:pStyle w:val="TableParagraph"/>
              <w:ind w:left="228"/>
              <w:jc w:val="center"/>
              <w:rPr>
                <w:sz w:val="21"/>
              </w:rPr>
            </w:pPr>
            <w:r>
              <w:rPr>
                <w:spacing w:val="-5"/>
                <w:sz w:val="21"/>
              </w:rPr>
              <w:t>80</w:t>
            </w:r>
          </w:p>
        </w:tc>
        <w:tc>
          <w:tcPr>
            <w:tcW w:w="2248" w:type="dxa"/>
          </w:tcPr>
          <w:p w:rsidR="003F5784" w14:paraId="562F06AD" w14:textId="77777777">
            <w:pPr>
              <w:pStyle w:val="TableParagraph"/>
              <w:ind w:right="1054"/>
              <w:rPr>
                <w:sz w:val="21"/>
              </w:rPr>
            </w:pPr>
            <w:r>
              <w:rPr>
                <w:spacing w:val="-5"/>
                <w:sz w:val="21"/>
              </w:rPr>
              <w:t>80</w:t>
            </w:r>
          </w:p>
        </w:tc>
        <w:tc>
          <w:tcPr>
            <w:tcW w:w="1384" w:type="dxa"/>
          </w:tcPr>
          <w:p w:rsidR="003F5784" w14:paraId="651FF62F" w14:textId="77777777">
            <w:pPr>
              <w:pStyle w:val="TableParagraph"/>
              <w:ind w:right="118"/>
              <w:rPr>
                <w:sz w:val="21"/>
              </w:rPr>
            </w:pPr>
            <w:r>
              <w:rPr>
                <w:spacing w:val="-5"/>
                <w:sz w:val="21"/>
              </w:rPr>
              <w:t>80</w:t>
            </w:r>
          </w:p>
        </w:tc>
      </w:tr>
      <w:tr w14:paraId="55945C11" w14:textId="77777777">
        <w:tblPrEx>
          <w:tblW w:w="0" w:type="auto"/>
          <w:tblInd w:w="482" w:type="dxa"/>
          <w:tblLayout w:type="fixed"/>
          <w:tblCellMar>
            <w:left w:w="0" w:type="dxa"/>
            <w:right w:w="0" w:type="dxa"/>
          </w:tblCellMar>
          <w:tblLook w:val="01E0"/>
        </w:tblPrEx>
        <w:trPr>
          <w:trHeight w:val="286"/>
        </w:trPr>
        <w:tc>
          <w:tcPr>
            <w:tcW w:w="4854" w:type="dxa"/>
          </w:tcPr>
          <w:p w:rsidR="003F5784" w14:paraId="7061E0DF" w14:textId="77777777">
            <w:pPr>
              <w:pStyle w:val="TableParagraph"/>
              <w:ind w:left="120"/>
              <w:jc w:val="left"/>
              <w:rPr>
                <w:sz w:val="21"/>
              </w:rPr>
            </w:pPr>
            <w:r>
              <w:rPr>
                <w:sz w:val="21"/>
              </w:rPr>
              <w:t>Rhode</w:t>
            </w:r>
            <w:r>
              <w:rPr>
                <w:spacing w:val="-7"/>
                <w:sz w:val="21"/>
              </w:rPr>
              <w:t xml:space="preserve"> </w:t>
            </w:r>
            <w:r>
              <w:rPr>
                <w:spacing w:val="-2"/>
                <w:sz w:val="21"/>
              </w:rPr>
              <w:t>Island</w:t>
            </w:r>
          </w:p>
        </w:tc>
        <w:tc>
          <w:tcPr>
            <w:tcW w:w="3304" w:type="dxa"/>
          </w:tcPr>
          <w:p w:rsidR="003F5784" w14:paraId="75FCC717" w14:textId="77777777">
            <w:pPr>
              <w:pStyle w:val="TableParagraph"/>
              <w:ind w:right="1001"/>
              <w:rPr>
                <w:sz w:val="21"/>
              </w:rPr>
            </w:pPr>
            <w:r>
              <w:rPr>
                <w:spacing w:val="-5"/>
                <w:sz w:val="21"/>
              </w:rPr>
              <w:t>90</w:t>
            </w:r>
          </w:p>
        </w:tc>
        <w:tc>
          <w:tcPr>
            <w:tcW w:w="2195" w:type="dxa"/>
          </w:tcPr>
          <w:p w:rsidR="003F5784" w14:paraId="7D6EB5C3" w14:textId="77777777">
            <w:pPr>
              <w:pStyle w:val="TableParagraph"/>
              <w:ind w:left="228"/>
              <w:jc w:val="center"/>
              <w:rPr>
                <w:sz w:val="21"/>
              </w:rPr>
            </w:pPr>
            <w:r>
              <w:rPr>
                <w:spacing w:val="-5"/>
                <w:sz w:val="21"/>
              </w:rPr>
              <w:t>90</w:t>
            </w:r>
          </w:p>
        </w:tc>
        <w:tc>
          <w:tcPr>
            <w:tcW w:w="2248" w:type="dxa"/>
          </w:tcPr>
          <w:p w:rsidR="003F5784" w14:paraId="1B3FF626" w14:textId="77777777">
            <w:pPr>
              <w:pStyle w:val="TableParagraph"/>
              <w:ind w:right="1054"/>
              <w:rPr>
                <w:sz w:val="21"/>
              </w:rPr>
            </w:pPr>
            <w:r>
              <w:rPr>
                <w:spacing w:val="-5"/>
                <w:sz w:val="21"/>
              </w:rPr>
              <w:t>60</w:t>
            </w:r>
          </w:p>
        </w:tc>
        <w:tc>
          <w:tcPr>
            <w:tcW w:w="1384" w:type="dxa"/>
          </w:tcPr>
          <w:p w:rsidR="003F5784" w14:paraId="7FD2D077" w14:textId="77777777">
            <w:pPr>
              <w:pStyle w:val="TableParagraph"/>
              <w:ind w:right="118"/>
              <w:rPr>
                <w:sz w:val="21"/>
              </w:rPr>
            </w:pPr>
            <w:r>
              <w:rPr>
                <w:spacing w:val="-5"/>
                <w:sz w:val="21"/>
              </w:rPr>
              <w:t>60</w:t>
            </w:r>
          </w:p>
        </w:tc>
      </w:tr>
      <w:tr w14:paraId="3810E03B" w14:textId="77777777">
        <w:tblPrEx>
          <w:tblW w:w="0" w:type="auto"/>
          <w:tblInd w:w="482" w:type="dxa"/>
          <w:tblLayout w:type="fixed"/>
          <w:tblCellMar>
            <w:left w:w="0" w:type="dxa"/>
            <w:right w:w="0" w:type="dxa"/>
          </w:tblCellMar>
          <w:tblLook w:val="01E0"/>
        </w:tblPrEx>
        <w:trPr>
          <w:trHeight w:val="286"/>
        </w:trPr>
        <w:tc>
          <w:tcPr>
            <w:tcW w:w="4854" w:type="dxa"/>
          </w:tcPr>
          <w:p w:rsidR="003F5784" w14:paraId="379CD550" w14:textId="77777777">
            <w:pPr>
              <w:pStyle w:val="TableParagraph"/>
              <w:ind w:left="120"/>
              <w:jc w:val="left"/>
              <w:rPr>
                <w:sz w:val="21"/>
              </w:rPr>
            </w:pPr>
            <w:r>
              <w:rPr>
                <w:sz w:val="21"/>
              </w:rPr>
              <w:t>South</w:t>
            </w:r>
            <w:r>
              <w:rPr>
                <w:spacing w:val="-6"/>
                <w:sz w:val="21"/>
              </w:rPr>
              <w:t xml:space="preserve"> </w:t>
            </w:r>
            <w:r>
              <w:rPr>
                <w:spacing w:val="-2"/>
                <w:sz w:val="21"/>
              </w:rPr>
              <w:t>Carolina</w:t>
            </w:r>
          </w:p>
        </w:tc>
        <w:tc>
          <w:tcPr>
            <w:tcW w:w="3304" w:type="dxa"/>
          </w:tcPr>
          <w:p w:rsidR="003F5784" w14:paraId="16B02F70" w14:textId="77777777">
            <w:pPr>
              <w:pStyle w:val="TableParagraph"/>
              <w:ind w:right="1001"/>
              <w:rPr>
                <w:sz w:val="21"/>
              </w:rPr>
            </w:pPr>
            <w:r>
              <w:rPr>
                <w:spacing w:val="-5"/>
                <w:sz w:val="21"/>
              </w:rPr>
              <w:t>90</w:t>
            </w:r>
          </w:p>
        </w:tc>
        <w:tc>
          <w:tcPr>
            <w:tcW w:w="2195" w:type="dxa"/>
          </w:tcPr>
          <w:p w:rsidR="003F5784" w14:paraId="00189935" w14:textId="77777777">
            <w:pPr>
              <w:pStyle w:val="TableParagraph"/>
              <w:ind w:left="228"/>
              <w:jc w:val="center"/>
              <w:rPr>
                <w:sz w:val="21"/>
              </w:rPr>
            </w:pPr>
            <w:r>
              <w:rPr>
                <w:spacing w:val="-5"/>
                <w:sz w:val="21"/>
              </w:rPr>
              <w:t>90</w:t>
            </w:r>
          </w:p>
        </w:tc>
        <w:tc>
          <w:tcPr>
            <w:tcW w:w="2248" w:type="dxa"/>
          </w:tcPr>
          <w:p w:rsidR="003F5784" w14:paraId="4ABA3E9A" w14:textId="77777777">
            <w:pPr>
              <w:pStyle w:val="TableParagraph"/>
              <w:ind w:right="1054"/>
              <w:rPr>
                <w:sz w:val="21"/>
              </w:rPr>
            </w:pPr>
            <w:r>
              <w:rPr>
                <w:spacing w:val="-5"/>
                <w:sz w:val="21"/>
              </w:rPr>
              <w:t>90</w:t>
            </w:r>
          </w:p>
        </w:tc>
        <w:tc>
          <w:tcPr>
            <w:tcW w:w="1384" w:type="dxa"/>
          </w:tcPr>
          <w:p w:rsidR="003F5784" w14:paraId="66006433" w14:textId="77777777">
            <w:pPr>
              <w:pStyle w:val="TableParagraph"/>
              <w:ind w:right="118"/>
              <w:rPr>
                <w:sz w:val="21"/>
              </w:rPr>
            </w:pPr>
            <w:r>
              <w:rPr>
                <w:spacing w:val="-5"/>
                <w:sz w:val="21"/>
              </w:rPr>
              <w:t>90</w:t>
            </w:r>
          </w:p>
        </w:tc>
      </w:tr>
      <w:tr w14:paraId="7BD17067" w14:textId="77777777">
        <w:tblPrEx>
          <w:tblW w:w="0" w:type="auto"/>
          <w:tblInd w:w="482" w:type="dxa"/>
          <w:tblLayout w:type="fixed"/>
          <w:tblCellMar>
            <w:left w:w="0" w:type="dxa"/>
            <w:right w:w="0" w:type="dxa"/>
          </w:tblCellMar>
          <w:tblLook w:val="01E0"/>
        </w:tblPrEx>
        <w:trPr>
          <w:trHeight w:val="286"/>
        </w:trPr>
        <w:tc>
          <w:tcPr>
            <w:tcW w:w="4854" w:type="dxa"/>
          </w:tcPr>
          <w:p w:rsidR="003F5784" w14:paraId="7A76F9E4" w14:textId="77777777">
            <w:pPr>
              <w:pStyle w:val="TableParagraph"/>
              <w:ind w:left="120"/>
              <w:jc w:val="left"/>
              <w:rPr>
                <w:sz w:val="21"/>
              </w:rPr>
            </w:pPr>
            <w:r>
              <w:rPr>
                <w:sz w:val="21"/>
              </w:rPr>
              <w:t>South</w:t>
            </w:r>
            <w:r>
              <w:rPr>
                <w:spacing w:val="-6"/>
                <w:sz w:val="21"/>
              </w:rPr>
              <w:t xml:space="preserve"> </w:t>
            </w:r>
            <w:r>
              <w:rPr>
                <w:spacing w:val="-2"/>
                <w:sz w:val="21"/>
              </w:rPr>
              <w:t>Dakota</w:t>
            </w:r>
          </w:p>
        </w:tc>
        <w:tc>
          <w:tcPr>
            <w:tcW w:w="3304" w:type="dxa"/>
          </w:tcPr>
          <w:p w:rsidR="003F5784" w14:paraId="415DA474" w14:textId="77777777">
            <w:pPr>
              <w:pStyle w:val="TableParagraph"/>
              <w:ind w:right="1001"/>
              <w:rPr>
                <w:sz w:val="21"/>
              </w:rPr>
            </w:pPr>
            <w:r>
              <w:rPr>
                <w:spacing w:val="-5"/>
                <w:sz w:val="21"/>
              </w:rPr>
              <w:t>120</w:t>
            </w:r>
          </w:p>
        </w:tc>
        <w:tc>
          <w:tcPr>
            <w:tcW w:w="2195" w:type="dxa"/>
          </w:tcPr>
          <w:p w:rsidR="003F5784" w14:paraId="407ABD19" w14:textId="77777777">
            <w:pPr>
              <w:pStyle w:val="TableParagraph"/>
              <w:ind w:left="228" w:right="105"/>
              <w:jc w:val="center"/>
              <w:rPr>
                <w:sz w:val="21"/>
              </w:rPr>
            </w:pPr>
            <w:r>
              <w:rPr>
                <w:spacing w:val="-5"/>
                <w:sz w:val="21"/>
              </w:rPr>
              <w:t>120</w:t>
            </w:r>
          </w:p>
        </w:tc>
        <w:tc>
          <w:tcPr>
            <w:tcW w:w="2248" w:type="dxa"/>
          </w:tcPr>
          <w:p w:rsidR="003F5784" w14:paraId="3FB54272" w14:textId="77777777">
            <w:pPr>
              <w:pStyle w:val="TableParagraph"/>
              <w:ind w:right="1054"/>
              <w:rPr>
                <w:sz w:val="21"/>
              </w:rPr>
            </w:pPr>
            <w:r>
              <w:rPr>
                <w:spacing w:val="-5"/>
                <w:sz w:val="21"/>
              </w:rPr>
              <w:t>100</w:t>
            </w:r>
          </w:p>
        </w:tc>
        <w:tc>
          <w:tcPr>
            <w:tcW w:w="1384" w:type="dxa"/>
          </w:tcPr>
          <w:p w:rsidR="003F5784" w14:paraId="27C2EB81" w14:textId="77777777">
            <w:pPr>
              <w:pStyle w:val="TableParagraph"/>
              <w:ind w:right="118"/>
              <w:rPr>
                <w:sz w:val="21"/>
              </w:rPr>
            </w:pPr>
            <w:r>
              <w:rPr>
                <w:spacing w:val="-5"/>
                <w:sz w:val="21"/>
              </w:rPr>
              <w:t>90</w:t>
            </w:r>
          </w:p>
        </w:tc>
      </w:tr>
      <w:tr w14:paraId="1EDF79CD" w14:textId="77777777">
        <w:tblPrEx>
          <w:tblW w:w="0" w:type="auto"/>
          <w:tblInd w:w="482" w:type="dxa"/>
          <w:tblLayout w:type="fixed"/>
          <w:tblCellMar>
            <w:left w:w="0" w:type="dxa"/>
            <w:right w:w="0" w:type="dxa"/>
          </w:tblCellMar>
          <w:tblLook w:val="01E0"/>
        </w:tblPrEx>
        <w:trPr>
          <w:trHeight w:val="286"/>
        </w:trPr>
        <w:tc>
          <w:tcPr>
            <w:tcW w:w="4854" w:type="dxa"/>
          </w:tcPr>
          <w:p w:rsidR="003F5784" w14:paraId="2CD216A1" w14:textId="77777777">
            <w:pPr>
              <w:pStyle w:val="TableParagraph"/>
              <w:ind w:left="120"/>
              <w:jc w:val="left"/>
              <w:rPr>
                <w:sz w:val="21"/>
              </w:rPr>
            </w:pPr>
            <w:r>
              <w:rPr>
                <w:spacing w:val="-2"/>
                <w:sz w:val="21"/>
              </w:rPr>
              <w:t>Tennessee–Shelby</w:t>
            </w:r>
            <w:r>
              <w:rPr>
                <w:sz w:val="21"/>
              </w:rPr>
              <w:t xml:space="preserve"> </w:t>
            </w:r>
            <w:r>
              <w:rPr>
                <w:spacing w:val="-2"/>
                <w:sz w:val="21"/>
              </w:rPr>
              <w:t>County</w:t>
            </w:r>
          </w:p>
        </w:tc>
        <w:tc>
          <w:tcPr>
            <w:tcW w:w="3304" w:type="dxa"/>
          </w:tcPr>
          <w:p w:rsidR="003F5784" w14:paraId="12BAF808" w14:textId="77777777">
            <w:pPr>
              <w:pStyle w:val="TableParagraph"/>
              <w:ind w:right="1001"/>
              <w:rPr>
                <w:sz w:val="21"/>
              </w:rPr>
            </w:pPr>
            <w:r>
              <w:rPr>
                <w:spacing w:val="-5"/>
                <w:sz w:val="21"/>
              </w:rPr>
              <w:t>40</w:t>
            </w:r>
          </w:p>
        </w:tc>
        <w:tc>
          <w:tcPr>
            <w:tcW w:w="2195" w:type="dxa"/>
          </w:tcPr>
          <w:p w:rsidR="003F5784" w14:paraId="29CA00B5" w14:textId="77777777">
            <w:pPr>
              <w:pStyle w:val="TableParagraph"/>
              <w:ind w:left="228"/>
              <w:jc w:val="center"/>
              <w:rPr>
                <w:sz w:val="21"/>
              </w:rPr>
            </w:pPr>
            <w:r>
              <w:rPr>
                <w:spacing w:val="-5"/>
                <w:sz w:val="21"/>
              </w:rPr>
              <w:t>40</w:t>
            </w:r>
          </w:p>
        </w:tc>
        <w:tc>
          <w:tcPr>
            <w:tcW w:w="2248" w:type="dxa"/>
          </w:tcPr>
          <w:p w:rsidR="003F5784" w14:paraId="4589E344" w14:textId="77777777">
            <w:pPr>
              <w:pStyle w:val="TableParagraph"/>
              <w:ind w:right="1054"/>
              <w:rPr>
                <w:sz w:val="21"/>
              </w:rPr>
            </w:pPr>
            <w:r>
              <w:rPr>
                <w:spacing w:val="-5"/>
                <w:sz w:val="21"/>
              </w:rPr>
              <w:t>40</w:t>
            </w:r>
          </w:p>
        </w:tc>
        <w:tc>
          <w:tcPr>
            <w:tcW w:w="1384" w:type="dxa"/>
          </w:tcPr>
          <w:p w:rsidR="003F5784" w14:paraId="55E0746E" w14:textId="77777777">
            <w:pPr>
              <w:pStyle w:val="TableParagraph"/>
              <w:ind w:right="118"/>
              <w:rPr>
                <w:sz w:val="21"/>
              </w:rPr>
            </w:pPr>
            <w:r>
              <w:rPr>
                <w:spacing w:val="-5"/>
                <w:sz w:val="21"/>
              </w:rPr>
              <w:t>40</w:t>
            </w:r>
          </w:p>
        </w:tc>
      </w:tr>
      <w:tr w14:paraId="57B0375B" w14:textId="77777777">
        <w:tblPrEx>
          <w:tblW w:w="0" w:type="auto"/>
          <w:tblInd w:w="482" w:type="dxa"/>
          <w:tblLayout w:type="fixed"/>
          <w:tblCellMar>
            <w:left w:w="0" w:type="dxa"/>
            <w:right w:w="0" w:type="dxa"/>
          </w:tblCellMar>
          <w:tblLook w:val="01E0"/>
        </w:tblPrEx>
        <w:trPr>
          <w:trHeight w:val="286"/>
        </w:trPr>
        <w:tc>
          <w:tcPr>
            <w:tcW w:w="4854" w:type="dxa"/>
          </w:tcPr>
          <w:p w:rsidR="003F5784" w14:paraId="7E507F24" w14:textId="77777777">
            <w:pPr>
              <w:pStyle w:val="TableParagraph"/>
              <w:ind w:left="120"/>
              <w:jc w:val="left"/>
              <w:rPr>
                <w:sz w:val="21"/>
              </w:rPr>
            </w:pPr>
            <w:r>
              <w:rPr>
                <w:spacing w:val="-2"/>
                <w:sz w:val="21"/>
              </w:rPr>
              <w:t>Tennessee–Balance</w:t>
            </w:r>
          </w:p>
        </w:tc>
        <w:tc>
          <w:tcPr>
            <w:tcW w:w="3304" w:type="dxa"/>
          </w:tcPr>
          <w:p w:rsidR="003F5784" w14:paraId="712A87D4" w14:textId="77777777">
            <w:pPr>
              <w:pStyle w:val="TableParagraph"/>
              <w:ind w:right="1001"/>
              <w:rPr>
                <w:sz w:val="21"/>
              </w:rPr>
            </w:pPr>
            <w:r>
              <w:rPr>
                <w:spacing w:val="-5"/>
                <w:sz w:val="21"/>
              </w:rPr>
              <w:t>80</w:t>
            </w:r>
          </w:p>
        </w:tc>
        <w:tc>
          <w:tcPr>
            <w:tcW w:w="2195" w:type="dxa"/>
          </w:tcPr>
          <w:p w:rsidR="003F5784" w14:paraId="07A9C4AF" w14:textId="77777777">
            <w:pPr>
              <w:pStyle w:val="TableParagraph"/>
              <w:ind w:left="228"/>
              <w:jc w:val="center"/>
              <w:rPr>
                <w:sz w:val="21"/>
              </w:rPr>
            </w:pPr>
            <w:r>
              <w:rPr>
                <w:spacing w:val="-5"/>
                <w:sz w:val="21"/>
              </w:rPr>
              <w:t>80</w:t>
            </w:r>
          </w:p>
        </w:tc>
        <w:tc>
          <w:tcPr>
            <w:tcW w:w="2248" w:type="dxa"/>
          </w:tcPr>
          <w:p w:rsidR="003F5784" w14:paraId="16EB1A02" w14:textId="77777777">
            <w:pPr>
              <w:pStyle w:val="TableParagraph"/>
              <w:ind w:right="1054"/>
              <w:rPr>
                <w:sz w:val="21"/>
              </w:rPr>
            </w:pPr>
            <w:r>
              <w:rPr>
                <w:spacing w:val="-5"/>
                <w:sz w:val="21"/>
              </w:rPr>
              <w:t>80</w:t>
            </w:r>
          </w:p>
        </w:tc>
        <w:tc>
          <w:tcPr>
            <w:tcW w:w="1384" w:type="dxa"/>
          </w:tcPr>
          <w:p w:rsidR="003F5784" w14:paraId="54518D8D" w14:textId="77777777">
            <w:pPr>
              <w:pStyle w:val="TableParagraph"/>
              <w:ind w:right="118"/>
              <w:rPr>
                <w:sz w:val="21"/>
              </w:rPr>
            </w:pPr>
            <w:r>
              <w:rPr>
                <w:spacing w:val="-5"/>
                <w:sz w:val="21"/>
              </w:rPr>
              <w:t>80</w:t>
            </w:r>
          </w:p>
        </w:tc>
      </w:tr>
      <w:tr w14:paraId="5A390479" w14:textId="77777777">
        <w:tblPrEx>
          <w:tblW w:w="0" w:type="auto"/>
          <w:tblInd w:w="482" w:type="dxa"/>
          <w:tblLayout w:type="fixed"/>
          <w:tblCellMar>
            <w:left w:w="0" w:type="dxa"/>
            <w:right w:w="0" w:type="dxa"/>
          </w:tblCellMar>
          <w:tblLook w:val="01E0"/>
        </w:tblPrEx>
        <w:trPr>
          <w:trHeight w:val="286"/>
        </w:trPr>
        <w:tc>
          <w:tcPr>
            <w:tcW w:w="4854" w:type="dxa"/>
          </w:tcPr>
          <w:p w:rsidR="003F5784" w14:paraId="1E4895CC" w14:textId="77777777">
            <w:pPr>
              <w:pStyle w:val="TableParagraph"/>
              <w:ind w:left="120"/>
              <w:jc w:val="left"/>
              <w:rPr>
                <w:sz w:val="21"/>
              </w:rPr>
            </w:pPr>
            <w:r>
              <w:rPr>
                <w:spacing w:val="-2"/>
                <w:sz w:val="21"/>
              </w:rPr>
              <w:t>Texas–Austin</w:t>
            </w:r>
          </w:p>
        </w:tc>
        <w:tc>
          <w:tcPr>
            <w:tcW w:w="3304" w:type="dxa"/>
          </w:tcPr>
          <w:p w:rsidR="003F5784" w14:paraId="61A770A0" w14:textId="77777777">
            <w:pPr>
              <w:pStyle w:val="TableParagraph"/>
              <w:ind w:right="1001"/>
              <w:rPr>
                <w:sz w:val="21"/>
              </w:rPr>
            </w:pPr>
            <w:r>
              <w:rPr>
                <w:spacing w:val="-5"/>
                <w:sz w:val="21"/>
              </w:rPr>
              <w:t>40</w:t>
            </w:r>
          </w:p>
        </w:tc>
        <w:tc>
          <w:tcPr>
            <w:tcW w:w="2195" w:type="dxa"/>
          </w:tcPr>
          <w:p w:rsidR="003F5784" w14:paraId="6F9888D5" w14:textId="77777777">
            <w:pPr>
              <w:pStyle w:val="TableParagraph"/>
              <w:ind w:left="228"/>
              <w:jc w:val="center"/>
              <w:rPr>
                <w:sz w:val="21"/>
              </w:rPr>
            </w:pPr>
            <w:r>
              <w:rPr>
                <w:spacing w:val="-5"/>
                <w:sz w:val="21"/>
              </w:rPr>
              <w:t>40</w:t>
            </w:r>
          </w:p>
        </w:tc>
        <w:tc>
          <w:tcPr>
            <w:tcW w:w="2248" w:type="dxa"/>
          </w:tcPr>
          <w:p w:rsidR="003F5784" w14:paraId="49C643FF" w14:textId="77777777">
            <w:pPr>
              <w:pStyle w:val="TableParagraph"/>
              <w:ind w:right="1054"/>
              <w:rPr>
                <w:sz w:val="21"/>
              </w:rPr>
            </w:pPr>
            <w:r>
              <w:rPr>
                <w:spacing w:val="-5"/>
                <w:sz w:val="21"/>
              </w:rPr>
              <w:t>20</w:t>
            </w:r>
          </w:p>
        </w:tc>
        <w:tc>
          <w:tcPr>
            <w:tcW w:w="1384" w:type="dxa"/>
          </w:tcPr>
          <w:p w:rsidR="003F5784" w14:paraId="562B67C6" w14:textId="77777777">
            <w:pPr>
              <w:pStyle w:val="TableParagraph"/>
              <w:ind w:right="118"/>
              <w:rPr>
                <w:sz w:val="21"/>
              </w:rPr>
            </w:pPr>
            <w:r>
              <w:rPr>
                <w:spacing w:val="-5"/>
                <w:sz w:val="21"/>
              </w:rPr>
              <w:t>20</w:t>
            </w:r>
          </w:p>
        </w:tc>
      </w:tr>
      <w:tr w14:paraId="31F36E26" w14:textId="77777777">
        <w:tblPrEx>
          <w:tblW w:w="0" w:type="auto"/>
          <w:tblInd w:w="482" w:type="dxa"/>
          <w:tblLayout w:type="fixed"/>
          <w:tblCellMar>
            <w:left w:w="0" w:type="dxa"/>
            <w:right w:w="0" w:type="dxa"/>
          </w:tblCellMar>
          <w:tblLook w:val="01E0"/>
        </w:tblPrEx>
        <w:trPr>
          <w:trHeight w:val="286"/>
        </w:trPr>
        <w:tc>
          <w:tcPr>
            <w:tcW w:w="4854" w:type="dxa"/>
          </w:tcPr>
          <w:p w:rsidR="003F5784" w14:paraId="586D8539" w14:textId="77777777">
            <w:pPr>
              <w:pStyle w:val="TableParagraph"/>
              <w:ind w:left="120"/>
              <w:jc w:val="left"/>
              <w:rPr>
                <w:sz w:val="21"/>
              </w:rPr>
            </w:pPr>
            <w:r>
              <w:rPr>
                <w:spacing w:val="-2"/>
                <w:sz w:val="21"/>
              </w:rPr>
              <w:t>Texas–Dallas</w:t>
            </w:r>
          </w:p>
        </w:tc>
        <w:tc>
          <w:tcPr>
            <w:tcW w:w="3304" w:type="dxa"/>
          </w:tcPr>
          <w:p w:rsidR="003F5784" w14:paraId="7C9CD1CA" w14:textId="77777777">
            <w:pPr>
              <w:pStyle w:val="TableParagraph"/>
              <w:ind w:right="1001"/>
              <w:rPr>
                <w:sz w:val="21"/>
              </w:rPr>
            </w:pPr>
            <w:r>
              <w:rPr>
                <w:spacing w:val="-5"/>
                <w:sz w:val="21"/>
              </w:rPr>
              <w:t>40</w:t>
            </w:r>
          </w:p>
        </w:tc>
        <w:tc>
          <w:tcPr>
            <w:tcW w:w="2195" w:type="dxa"/>
          </w:tcPr>
          <w:p w:rsidR="003F5784" w14:paraId="27293CC7" w14:textId="77777777">
            <w:pPr>
              <w:pStyle w:val="TableParagraph"/>
              <w:ind w:left="228"/>
              <w:jc w:val="center"/>
              <w:rPr>
                <w:sz w:val="21"/>
              </w:rPr>
            </w:pPr>
            <w:r>
              <w:rPr>
                <w:spacing w:val="-5"/>
                <w:sz w:val="21"/>
              </w:rPr>
              <w:t>40</w:t>
            </w:r>
          </w:p>
        </w:tc>
        <w:tc>
          <w:tcPr>
            <w:tcW w:w="2248" w:type="dxa"/>
          </w:tcPr>
          <w:p w:rsidR="003F5784" w14:paraId="740D64A6" w14:textId="77777777">
            <w:pPr>
              <w:pStyle w:val="TableParagraph"/>
              <w:ind w:right="1054"/>
              <w:rPr>
                <w:sz w:val="21"/>
              </w:rPr>
            </w:pPr>
            <w:r>
              <w:rPr>
                <w:spacing w:val="-5"/>
                <w:sz w:val="21"/>
              </w:rPr>
              <w:t>40</w:t>
            </w:r>
          </w:p>
        </w:tc>
        <w:tc>
          <w:tcPr>
            <w:tcW w:w="1384" w:type="dxa"/>
          </w:tcPr>
          <w:p w:rsidR="003F5784" w14:paraId="40DB23A6" w14:textId="77777777">
            <w:pPr>
              <w:pStyle w:val="TableParagraph"/>
              <w:ind w:right="118"/>
              <w:rPr>
                <w:sz w:val="21"/>
              </w:rPr>
            </w:pPr>
            <w:r>
              <w:rPr>
                <w:spacing w:val="-5"/>
                <w:sz w:val="21"/>
              </w:rPr>
              <w:t>40</w:t>
            </w:r>
          </w:p>
        </w:tc>
      </w:tr>
      <w:tr w14:paraId="6184FE8D" w14:textId="77777777">
        <w:tblPrEx>
          <w:tblW w:w="0" w:type="auto"/>
          <w:tblInd w:w="482" w:type="dxa"/>
          <w:tblLayout w:type="fixed"/>
          <w:tblCellMar>
            <w:left w:w="0" w:type="dxa"/>
            <w:right w:w="0" w:type="dxa"/>
          </w:tblCellMar>
          <w:tblLook w:val="01E0"/>
        </w:tblPrEx>
        <w:trPr>
          <w:trHeight w:val="286"/>
        </w:trPr>
        <w:tc>
          <w:tcPr>
            <w:tcW w:w="4854" w:type="dxa"/>
          </w:tcPr>
          <w:p w:rsidR="003F5784" w14:paraId="62D56F49" w14:textId="77777777">
            <w:pPr>
              <w:pStyle w:val="TableParagraph"/>
              <w:ind w:left="120"/>
              <w:jc w:val="left"/>
              <w:rPr>
                <w:sz w:val="21"/>
              </w:rPr>
            </w:pPr>
            <w:r>
              <w:rPr>
                <w:spacing w:val="-2"/>
                <w:sz w:val="21"/>
              </w:rPr>
              <w:t>Texas–Fort</w:t>
            </w:r>
            <w:r>
              <w:rPr>
                <w:spacing w:val="-10"/>
                <w:sz w:val="21"/>
              </w:rPr>
              <w:t xml:space="preserve"> </w:t>
            </w:r>
            <w:r>
              <w:rPr>
                <w:spacing w:val="-2"/>
                <w:sz w:val="21"/>
              </w:rPr>
              <w:t>Worth</w:t>
            </w:r>
          </w:p>
        </w:tc>
        <w:tc>
          <w:tcPr>
            <w:tcW w:w="3304" w:type="dxa"/>
          </w:tcPr>
          <w:p w:rsidR="003F5784" w14:paraId="311B284D" w14:textId="77777777">
            <w:pPr>
              <w:pStyle w:val="TableParagraph"/>
              <w:ind w:right="1001"/>
              <w:rPr>
                <w:sz w:val="21"/>
              </w:rPr>
            </w:pPr>
            <w:r>
              <w:rPr>
                <w:spacing w:val="-5"/>
                <w:sz w:val="21"/>
              </w:rPr>
              <w:t>40</w:t>
            </w:r>
          </w:p>
        </w:tc>
        <w:tc>
          <w:tcPr>
            <w:tcW w:w="2195" w:type="dxa"/>
          </w:tcPr>
          <w:p w:rsidR="003F5784" w14:paraId="79E5D135" w14:textId="77777777">
            <w:pPr>
              <w:pStyle w:val="TableParagraph"/>
              <w:ind w:left="228"/>
              <w:jc w:val="center"/>
              <w:rPr>
                <w:sz w:val="21"/>
              </w:rPr>
            </w:pPr>
            <w:r>
              <w:rPr>
                <w:spacing w:val="-5"/>
                <w:sz w:val="21"/>
              </w:rPr>
              <w:t>40</w:t>
            </w:r>
          </w:p>
        </w:tc>
        <w:tc>
          <w:tcPr>
            <w:tcW w:w="2248" w:type="dxa"/>
          </w:tcPr>
          <w:p w:rsidR="003F5784" w14:paraId="0097EA26" w14:textId="77777777">
            <w:pPr>
              <w:pStyle w:val="TableParagraph"/>
              <w:ind w:right="1054"/>
              <w:rPr>
                <w:sz w:val="21"/>
              </w:rPr>
            </w:pPr>
            <w:r>
              <w:rPr>
                <w:spacing w:val="-5"/>
                <w:sz w:val="21"/>
              </w:rPr>
              <w:t>30</w:t>
            </w:r>
          </w:p>
        </w:tc>
        <w:tc>
          <w:tcPr>
            <w:tcW w:w="1384" w:type="dxa"/>
          </w:tcPr>
          <w:p w:rsidR="003F5784" w14:paraId="5EFE6C13" w14:textId="77777777">
            <w:pPr>
              <w:pStyle w:val="TableParagraph"/>
              <w:ind w:right="118"/>
              <w:rPr>
                <w:sz w:val="21"/>
              </w:rPr>
            </w:pPr>
            <w:r>
              <w:rPr>
                <w:spacing w:val="-5"/>
                <w:sz w:val="21"/>
              </w:rPr>
              <w:t>20</w:t>
            </w:r>
          </w:p>
        </w:tc>
      </w:tr>
      <w:tr w14:paraId="5BB71613" w14:textId="77777777">
        <w:tblPrEx>
          <w:tblW w:w="0" w:type="auto"/>
          <w:tblInd w:w="482" w:type="dxa"/>
          <w:tblLayout w:type="fixed"/>
          <w:tblCellMar>
            <w:left w:w="0" w:type="dxa"/>
            <w:right w:w="0" w:type="dxa"/>
          </w:tblCellMar>
          <w:tblLook w:val="01E0"/>
        </w:tblPrEx>
        <w:trPr>
          <w:trHeight w:val="286"/>
        </w:trPr>
        <w:tc>
          <w:tcPr>
            <w:tcW w:w="4854" w:type="dxa"/>
          </w:tcPr>
          <w:p w:rsidR="003F5784" w14:paraId="462650DF" w14:textId="77777777">
            <w:pPr>
              <w:pStyle w:val="TableParagraph"/>
              <w:ind w:left="120"/>
              <w:jc w:val="left"/>
              <w:rPr>
                <w:sz w:val="21"/>
              </w:rPr>
            </w:pPr>
            <w:r>
              <w:rPr>
                <w:spacing w:val="-2"/>
                <w:sz w:val="21"/>
              </w:rPr>
              <w:t>Texas–Houston</w:t>
            </w:r>
          </w:p>
        </w:tc>
        <w:tc>
          <w:tcPr>
            <w:tcW w:w="3304" w:type="dxa"/>
          </w:tcPr>
          <w:p w:rsidR="003F5784" w14:paraId="46F95932" w14:textId="77777777">
            <w:pPr>
              <w:pStyle w:val="TableParagraph"/>
              <w:ind w:right="1001"/>
              <w:rPr>
                <w:sz w:val="21"/>
              </w:rPr>
            </w:pPr>
            <w:r>
              <w:rPr>
                <w:spacing w:val="-5"/>
                <w:sz w:val="21"/>
              </w:rPr>
              <w:t>60</w:t>
            </w:r>
          </w:p>
        </w:tc>
        <w:tc>
          <w:tcPr>
            <w:tcW w:w="2195" w:type="dxa"/>
          </w:tcPr>
          <w:p w:rsidR="003F5784" w14:paraId="66DFB95D" w14:textId="77777777">
            <w:pPr>
              <w:pStyle w:val="TableParagraph"/>
              <w:ind w:left="228"/>
              <w:jc w:val="center"/>
              <w:rPr>
                <w:sz w:val="21"/>
              </w:rPr>
            </w:pPr>
            <w:r>
              <w:rPr>
                <w:spacing w:val="-5"/>
                <w:sz w:val="21"/>
              </w:rPr>
              <w:t>60</w:t>
            </w:r>
          </w:p>
        </w:tc>
        <w:tc>
          <w:tcPr>
            <w:tcW w:w="2248" w:type="dxa"/>
          </w:tcPr>
          <w:p w:rsidR="003F5784" w14:paraId="2FD71BB3" w14:textId="77777777">
            <w:pPr>
              <w:pStyle w:val="TableParagraph"/>
              <w:ind w:right="1054"/>
              <w:rPr>
                <w:sz w:val="21"/>
              </w:rPr>
            </w:pPr>
            <w:r>
              <w:rPr>
                <w:spacing w:val="-5"/>
                <w:sz w:val="21"/>
              </w:rPr>
              <w:t>40</w:t>
            </w:r>
          </w:p>
        </w:tc>
        <w:tc>
          <w:tcPr>
            <w:tcW w:w="1384" w:type="dxa"/>
          </w:tcPr>
          <w:p w:rsidR="003F5784" w14:paraId="6A4E5F9E" w14:textId="77777777">
            <w:pPr>
              <w:pStyle w:val="TableParagraph"/>
              <w:ind w:right="118"/>
              <w:rPr>
                <w:sz w:val="21"/>
              </w:rPr>
            </w:pPr>
            <w:r>
              <w:rPr>
                <w:spacing w:val="-5"/>
                <w:sz w:val="21"/>
              </w:rPr>
              <w:t>40</w:t>
            </w:r>
          </w:p>
        </w:tc>
      </w:tr>
      <w:tr w14:paraId="3D87107A" w14:textId="77777777">
        <w:tblPrEx>
          <w:tblW w:w="0" w:type="auto"/>
          <w:tblInd w:w="482" w:type="dxa"/>
          <w:tblLayout w:type="fixed"/>
          <w:tblCellMar>
            <w:left w:w="0" w:type="dxa"/>
            <w:right w:w="0" w:type="dxa"/>
          </w:tblCellMar>
          <w:tblLook w:val="01E0"/>
        </w:tblPrEx>
        <w:trPr>
          <w:trHeight w:val="286"/>
        </w:trPr>
        <w:tc>
          <w:tcPr>
            <w:tcW w:w="4854" w:type="dxa"/>
          </w:tcPr>
          <w:p w:rsidR="003F5784" w14:paraId="19D6C367" w14:textId="77777777">
            <w:pPr>
              <w:pStyle w:val="TableParagraph"/>
              <w:ind w:left="120"/>
              <w:jc w:val="left"/>
              <w:rPr>
                <w:sz w:val="21"/>
              </w:rPr>
            </w:pPr>
            <w:r>
              <w:rPr>
                <w:spacing w:val="-2"/>
                <w:sz w:val="21"/>
              </w:rPr>
              <w:t>Texas–Balance</w:t>
            </w:r>
          </w:p>
        </w:tc>
        <w:tc>
          <w:tcPr>
            <w:tcW w:w="3304" w:type="dxa"/>
          </w:tcPr>
          <w:p w:rsidR="003F5784" w14:paraId="5F12FA7E" w14:textId="77777777">
            <w:pPr>
              <w:pStyle w:val="TableParagraph"/>
              <w:ind w:right="1001"/>
              <w:rPr>
                <w:sz w:val="21"/>
              </w:rPr>
            </w:pPr>
            <w:r>
              <w:rPr>
                <w:spacing w:val="-5"/>
                <w:sz w:val="21"/>
              </w:rPr>
              <w:t>80</w:t>
            </w:r>
          </w:p>
        </w:tc>
        <w:tc>
          <w:tcPr>
            <w:tcW w:w="2195" w:type="dxa"/>
          </w:tcPr>
          <w:p w:rsidR="003F5784" w14:paraId="762096D3" w14:textId="77777777">
            <w:pPr>
              <w:pStyle w:val="TableParagraph"/>
              <w:ind w:left="228"/>
              <w:jc w:val="center"/>
              <w:rPr>
                <w:sz w:val="21"/>
              </w:rPr>
            </w:pPr>
            <w:r>
              <w:rPr>
                <w:spacing w:val="-5"/>
                <w:sz w:val="21"/>
              </w:rPr>
              <w:t>80</w:t>
            </w:r>
          </w:p>
        </w:tc>
        <w:tc>
          <w:tcPr>
            <w:tcW w:w="2248" w:type="dxa"/>
          </w:tcPr>
          <w:p w:rsidR="003F5784" w14:paraId="5B4721CC" w14:textId="77777777">
            <w:pPr>
              <w:pStyle w:val="TableParagraph"/>
              <w:ind w:right="1054"/>
              <w:rPr>
                <w:sz w:val="21"/>
              </w:rPr>
            </w:pPr>
            <w:r>
              <w:rPr>
                <w:spacing w:val="-5"/>
                <w:sz w:val="21"/>
              </w:rPr>
              <w:t>80</w:t>
            </w:r>
          </w:p>
        </w:tc>
        <w:tc>
          <w:tcPr>
            <w:tcW w:w="1384" w:type="dxa"/>
          </w:tcPr>
          <w:p w:rsidR="003F5784" w14:paraId="52E886C5" w14:textId="77777777">
            <w:pPr>
              <w:pStyle w:val="TableParagraph"/>
              <w:ind w:right="118"/>
              <w:rPr>
                <w:sz w:val="21"/>
              </w:rPr>
            </w:pPr>
            <w:r>
              <w:rPr>
                <w:spacing w:val="-5"/>
                <w:sz w:val="21"/>
              </w:rPr>
              <w:t>80</w:t>
            </w:r>
          </w:p>
        </w:tc>
      </w:tr>
      <w:tr w14:paraId="157B2A4E" w14:textId="77777777">
        <w:tblPrEx>
          <w:tblW w:w="0" w:type="auto"/>
          <w:tblInd w:w="482" w:type="dxa"/>
          <w:tblLayout w:type="fixed"/>
          <w:tblCellMar>
            <w:left w:w="0" w:type="dxa"/>
            <w:right w:w="0" w:type="dxa"/>
          </w:tblCellMar>
          <w:tblLook w:val="01E0"/>
        </w:tblPrEx>
        <w:trPr>
          <w:trHeight w:val="286"/>
        </w:trPr>
        <w:tc>
          <w:tcPr>
            <w:tcW w:w="4854" w:type="dxa"/>
          </w:tcPr>
          <w:p w:rsidR="003F5784" w14:paraId="018FFB28" w14:textId="77777777">
            <w:pPr>
              <w:pStyle w:val="TableParagraph"/>
              <w:ind w:left="120"/>
              <w:jc w:val="left"/>
              <w:rPr>
                <w:sz w:val="21"/>
              </w:rPr>
            </w:pPr>
            <w:r>
              <w:rPr>
                <w:spacing w:val="-4"/>
                <w:sz w:val="21"/>
              </w:rPr>
              <w:t>Utah</w:t>
            </w:r>
          </w:p>
        </w:tc>
        <w:tc>
          <w:tcPr>
            <w:tcW w:w="3304" w:type="dxa"/>
          </w:tcPr>
          <w:p w:rsidR="003F5784" w14:paraId="0BA2D10D" w14:textId="77777777">
            <w:pPr>
              <w:pStyle w:val="TableParagraph"/>
              <w:ind w:right="1001"/>
              <w:rPr>
                <w:sz w:val="21"/>
              </w:rPr>
            </w:pPr>
            <w:r>
              <w:rPr>
                <w:spacing w:val="-5"/>
                <w:sz w:val="21"/>
              </w:rPr>
              <w:t>90</w:t>
            </w:r>
          </w:p>
        </w:tc>
        <w:tc>
          <w:tcPr>
            <w:tcW w:w="2195" w:type="dxa"/>
          </w:tcPr>
          <w:p w:rsidR="003F5784" w14:paraId="003A96F3" w14:textId="77777777">
            <w:pPr>
              <w:pStyle w:val="TableParagraph"/>
              <w:ind w:left="228"/>
              <w:jc w:val="center"/>
              <w:rPr>
                <w:sz w:val="21"/>
              </w:rPr>
            </w:pPr>
            <w:r>
              <w:rPr>
                <w:spacing w:val="-5"/>
                <w:sz w:val="21"/>
              </w:rPr>
              <w:t>80</w:t>
            </w:r>
          </w:p>
        </w:tc>
        <w:tc>
          <w:tcPr>
            <w:tcW w:w="2248" w:type="dxa"/>
          </w:tcPr>
          <w:p w:rsidR="003F5784" w14:paraId="62BDA23C" w14:textId="77777777">
            <w:pPr>
              <w:pStyle w:val="TableParagraph"/>
              <w:ind w:right="1054"/>
              <w:rPr>
                <w:sz w:val="21"/>
              </w:rPr>
            </w:pPr>
            <w:r>
              <w:rPr>
                <w:spacing w:val="-5"/>
                <w:sz w:val="21"/>
              </w:rPr>
              <w:t>90</w:t>
            </w:r>
          </w:p>
        </w:tc>
        <w:tc>
          <w:tcPr>
            <w:tcW w:w="1384" w:type="dxa"/>
          </w:tcPr>
          <w:p w:rsidR="003F5784" w14:paraId="2005B19A" w14:textId="77777777">
            <w:pPr>
              <w:pStyle w:val="TableParagraph"/>
              <w:ind w:right="118"/>
              <w:rPr>
                <w:sz w:val="21"/>
              </w:rPr>
            </w:pPr>
            <w:r>
              <w:rPr>
                <w:spacing w:val="-5"/>
                <w:sz w:val="21"/>
              </w:rPr>
              <w:t>90</w:t>
            </w:r>
          </w:p>
        </w:tc>
      </w:tr>
      <w:tr w14:paraId="5536F3E5" w14:textId="77777777">
        <w:tblPrEx>
          <w:tblW w:w="0" w:type="auto"/>
          <w:tblInd w:w="482" w:type="dxa"/>
          <w:tblLayout w:type="fixed"/>
          <w:tblCellMar>
            <w:left w:w="0" w:type="dxa"/>
            <w:right w:w="0" w:type="dxa"/>
          </w:tblCellMar>
          <w:tblLook w:val="01E0"/>
        </w:tblPrEx>
        <w:trPr>
          <w:trHeight w:val="286"/>
        </w:trPr>
        <w:tc>
          <w:tcPr>
            <w:tcW w:w="4854" w:type="dxa"/>
          </w:tcPr>
          <w:p w:rsidR="003F5784" w14:paraId="31129F25" w14:textId="77777777">
            <w:pPr>
              <w:pStyle w:val="TableParagraph"/>
              <w:ind w:left="120"/>
              <w:jc w:val="left"/>
              <w:rPr>
                <w:sz w:val="21"/>
              </w:rPr>
            </w:pPr>
            <w:r>
              <w:rPr>
                <w:spacing w:val="-2"/>
                <w:sz w:val="21"/>
              </w:rPr>
              <w:t>Vermont</w:t>
            </w:r>
          </w:p>
        </w:tc>
        <w:tc>
          <w:tcPr>
            <w:tcW w:w="3304" w:type="dxa"/>
          </w:tcPr>
          <w:p w:rsidR="003F5784" w14:paraId="327019BF" w14:textId="77777777">
            <w:pPr>
              <w:pStyle w:val="TableParagraph"/>
              <w:ind w:right="1001"/>
              <w:rPr>
                <w:sz w:val="21"/>
              </w:rPr>
            </w:pPr>
            <w:r>
              <w:rPr>
                <w:spacing w:val="-5"/>
                <w:sz w:val="21"/>
              </w:rPr>
              <w:t>130</w:t>
            </w:r>
          </w:p>
        </w:tc>
        <w:tc>
          <w:tcPr>
            <w:tcW w:w="2195" w:type="dxa"/>
          </w:tcPr>
          <w:p w:rsidR="003F5784" w14:paraId="11987CEC" w14:textId="77777777">
            <w:pPr>
              <w:pStyle w:val="TableParagraph"/>
              <w:ind w:left="228" w:right="105"/>
              <w:jc w:val="center"/>
              <w:rPr>
                <w:sz w:val="21"/>
              </w:rPr>
            </w:pPr>
            <w:r>
              <w:rPr>
                <w:spacing w:val="-5"/>
                <w:sz w:val="21"/>
              </w:rPr>
              <w:t>130</w:t>
            </w:r>
          </w:p>
        </w:tc>
        <w:tc>
          <w:tcPr>
            <w:tcW w:w="2248" w:type="dxa"/>
          </w:tcPr>
          <w:p w:rsidR="003F5784" w14:paraId="21FD169E" w14:textId="77777777">
            <w:pPr>
              <w:pStyle w:val="TableParagraph"/>
              <w:ind w:right="1054"/>
              <w:rPr>
                <w:sz w:val="21"/>
              </w:rPr>
            </w:pPr>
            <w:r>
              <w:rPr>
                <w:spacing w:val="-5"/>
                <w:sz w:val="21"/>
              </w:rPr>
              <w:t>90</w:t>
            </w:r>
          </w:p>
        </w:tc>
        <w:tc>
          <w:tcPr>
            <w:tcW w:w="1384" w:type="dxa"/>
          </w:tcPr>
          <w:p w:rsidR="003F5784" w14:paraId="05597DAC" w14:textId="77777777">
            <w:pPr>
              <w:pStyle w:val="TableParagraph"/>
              <w:ind w:right="118"/>
              <w:rPr>
                <w:sz w:val="21"/>
              </w:rPr>
            </w:pPr>
            <w:r>
              <w:rPr>
                <w:spacing w:val="-5"/>
                <w:sz w:val="21"/>
              </w:rPr>
              <w:t>90</w:t>
            </w:r>
          </w:p>
        </w:tc>
      </w:tr>
      <w:tr w14:paraId="30B6B52D" w14:textId="77777777">
        <w:tblPrEx>
          <w:tblW w:w="0" w:type="auto"/>
          <w:tblInd w:w="482" w:type="dxa"/>
          <w:tblLayout w:type="fixed"/>
          <w:tblCellMar>
            <w:left w:w="0" w:type="dxa"/>
            <w:right w:w="0" w:type="dxa"/>
          </w:tblCellMar>
          <w:tblLook w:val="01E0"/>
        </w:tblPrEx>
        <w:trPr>
          <w:trHeight w:val="286"/>
        </w:trPr>
        <w:tc>
          <w:tcPr>
            <w:tcW w:w="4854" w:type="dxa"/>
          </w:tcPr>
          <w:p w:rsidR="003F5784" w14:paraId="38376BD0" w14:textId="77777777">
            <w:pPr>
              <w:pStyle w:val="TableParagraph"/>
              <w:ind w:left="120"/>
              <w:jc w:val="left"/>
              <w:rPr>
                <w:sz w:val="21"/>
              </w:rPr>
            </w:pPr>
            <w:r>
              <w:rPr>
                <w:spacing w:val="-2"/>
                <w:sz w:val="21"/>
              </w:rPr>
              <w:t>Virginia</w:t>
            </w:r>
          </w:p>
        </w:tc>
        <w:tc>
          <w:tcPr>
            <w:tcW w:w="3304" w:type="dxa"/>
          </w:tcPr>
          <w:p w:rsidR="003F5784" w14:paraId="412FD950" w14:textId="77777777">
            <w:pPr>
              <w:pStyle w:val="TableParagraph"/>
              <w:ind w:right="1001"/>
              <w:rPr>
                <w:sz w:val="21"/>
              </w:rPr>
            </w:pPr>
            <w:r>
              <w:rPr>
                <w:spacing w:val="-5"/>
                <w:sz w:val="21"/>
              </w:rPr>
              <w:t>90</w:t>
            </w:r>
          </w:p>
        </w:tc>
        <w:tc>
          <w:tcPr>
            <w:tcW w:w="2195" w:type="dxa"/>
          </w:tcPr>
          <w:p w:rsidR="003F5784" w14:paraId="63B0A83A" w14:textId="77777777">
            <w:pPr>
              <w:pStyle w:val="TableParagraph"/>
              <w:ind w:left="228"/>
              <w:jc w:val="center"/>
              <w:rPr>
                <w:sz w:val="21"/>
              </w:rPr>
            </w:pPr>
            <w:r>
              <w:rPr>
                <w:spacing w:val="-5"/>
                <w:sz w:val="21"/>
              </w:rPr>
              <w:t>80</w:t>
            </w:r>
          </w:p>
        </w:tc>
        <w:tc>
          <w:tcPr>
            <w:tcW w:w="2248" w:type="dxa"/>
          </w:tcPr>
          <w:p w:rsidR="003F5784" w14:paraId="0B32B4EE" w14:textId="77777777">
            <w:pPr>
              <w:pStyle w:val="TableParagraph"/>
              <w:ind w:right="1054"/>
              <w:rPr>
                <w:sz w:val="21"/>
              </w:rPr>
            </w:pPr>
            <w:r>
              <w:rPr>
                <w:spacing w:val="-5"/>
                <w:sz w:val="21"/>
              </w:rPr>
              <w:t>90</w:t>
            </w:r>
          </w:p>
        </w:tc>
        <w:tc>
          <w:tcPr>
            <w:tcW w:w="1384" w:type="dxa"/>
          </w:tcPr>
          <w:p w:rsidR="003F5784" w14:paraId="3353CB9B" w14:textId="77777777">
            <w:pPr>
              <w:pStyle w:val="TableParagraph"/>
              <w:ind w:right="118"/>
              <w:rPr>
                <w:sz w:val="21"/>
              </w:rPr>
            </w:pPr>
            <w:r>
              <w:rPr>
                <w:spacing w:val="-5"/>
                <w:sz w:val="21"/>
              </w:rPr>
              <w:t>80</w:t>
            </w:r>
          </w:p>
        </w:tc>
      </w:tr>
      <w:tr w14:paraId="26DA9961" w14:textId="77777777">
        <w:tblPrEx>
          <w:tblW w:w="0" w:type="auto"/>
          <w:tblInd w:w="482" w:type="dxa"/>
          <w:tblLayout w:type="fixed"/>
          <w:tblCellMar>
            <w:left w:w="0" w:type="dxa"/>
            <w:right w:w="0" w:type="dxa"/>
          </w:tblCellMar>
          <w:tblLook w:val="01E0"/>
        </w:tblPrEx>
        <w:trPr>
          <w:trHeight w:val="286"/>
        </w:trPr>
        <w:tc>
          <w:tcPr>
            <w:tcW w:w="4854" w:type="dxa"/>
          </w:tcPr>
          <w:p w:rsidR="003F5784" w14:paraId="6C515E34" w14:textId="77777777">
            <w:pPr>
              <w:pStyle w:val="TableParagraph"/>
              <w:ind w:left="120"/>
              <w:jc w:val="left"/>
              <w:rPr>
                <w:sz w:val="21"/>
              </w:rPr>
            </w:pPr>
            <w:r>
              <w:rPr>
                <w:spacing w:val="-2"/>
                <w:sz w:val="21"/>
              </w:rPr>
              <w:t>Washington</w:t>
            </w:r>
          </w:p>
        </w:tc>
        <w:tc>
          <w:tcPr>
            <w:tcW w:w="3304" w:type="dxa"/>
          </w:tcPr>
          <w:p w:rsidR="003F5784" w14:paraId="0897EF73" w14:textId="77777777">
            <w:pPr>
              <w:pStyle w:val="TableParagraph"/>
              <w:ind w:right="1001"/>
              <w:rPr>
                <w:sz w:val="21"/>
              </w:rPr>
            </w:pPr>
            <w:r>
              <w:rPr>
                <w:spacing w:val="-5"/>
                <w:sz w:val="21"/>
              </w:rPr>
              <w:t>90</w:t>
            </w:r>
          </w:p>
        </w:tc>
        <w:tc>
          <w:tcPr>
            <w:tcW w:w="2195" w:type="dxa"/>
          </w:tcPr>
          <w:p w:rsidR="003F5784" w14:paraId="47C9BA4F" w14:textId="77777777">
            <w:pPr>
              <w:pStyle w:val="TableParagraph"/>
              <w:ind w:left="228"/>
              <w:jc w:val="center"/>
              <w:rPr>
                <w:sz w:val="21"/>
              </w:rPr>
            </w:pPr>
            <w:r>
              <w:rPr>
                <w:spacing w:val="-5"/>
                <w:sz w:val="21"/>
              </w:rPr>
              <w:t>90</w:t>
            </w:r>
          </w:p>
        </w:tc>
        <w:tc>
          <w:tcPr>
            <w:tcW w:w="2248" w:type="dxa"/>
          </w:tcPr>
          <w:p w:rsidR="003F5784" w14:paraId="20FD56FF" w14:textId="77777777">
            <w:pPr>
              <w:pStyle w:val="TableParagraph"/>
              <w:ind w:right="1054"/>
              <w:rPr>
                <w:sz w:val="21"/>
              </w:rPr>
            </w:pPr>
            <w:r>
              <w:rPr>
                <w:spacing w:val="-5"/>
                <w:sz w:val="21"/>
              </w:rPr>
              <w:t>90</w:t>
            </w:r>
          </w:p>
        </w:tc>
        <w:tc>
          <w:tcPr>
            <w:tcW w:w="1384" w:type="dxa"/>
          </w:tcPr>
          <w:p w:rsidR="003F5784" w14:paraId="31FF3680" w14:textId="77777777">
            <w:pPr>
              <w:pStyle w:val="TableParagraph"/>
              <w:ind w:right="118"/>
              <w:rPr>
                <w:sz w:val="21"/>
              </w:rPr>
            </w:pPr>
            <w:r>
              <w:rPr>
                <w:spacing w:val="-5"/>
                <w:sz w:val="21"/>
              </w:rPr>
              <w:t>90</w:t>
            </w:r>
          </w:p>
        </w:tc>
      </w:tr>
      <w:tr w14:paraId="30811C19" w14:textId="77777777">
        <w:tblPrEx>
          <w:tblW w:w="0" w:type="auto"/>
          <w:tblInd w:w="482" w:type="dxa"/>
          <w:tblLayout w:type="fixed"/>
          <w:tblCellMar>
            <w:left w:w="0" w:type="dxa"/>
            <w:right w:w="0" w:type="dxa"/>
          </w:tblCellMar>
          <w:tblLook w:val="01E0"/>
        </w:tblPrEx>
        <w:trPr>
          <w:trHeight w:val="286"/>
        </w:trPr>
        <w:tc>
          <w:tcPr>
            <w:tcW w:w="4854" w:type="dxa"/>
          </w:tcPr>
          <w:p w:rsidR="003F5784" w14:paraId="2B3ADFA7" w14:textId="77777777">
            <w:pPr>
              <w:pStyle w:val="TableParagraph"/>
              <w:ind w:left="120"/>
              <w:jc w:val="left"/>
              <w:rPr>
                <w:sz w:val="21"/>
              </w:rPr>
            </w:pPr>
            <w:r>
              <w:rPr>
                <w:spacing w:val="-5"/>
                <w:sz w:val="21"/>
              </w:rPr>
              <w:t>West</w:t>
            </w:r>
            <w:r>
              <w:rPr>
                <w:spacing w:val="-7"/>
                <w:sz w:val="21"/>
              </w:rPr>
              <w:t xml:space="preserve"> </w:t>
            </w:r>
            <w:r>
              <w:rPr>
                <w:spacing w:val="-2"/>
                <w:sz w:val="21"/>
              </w:rPr>
              <w:t>Virginia</w:t>
            </w:r>
          </w:p>
        </w:tc>
        <w:tc>
          <w:tcPr>
            <w:tcW w:w="3304" w:type="dxa"/>
          </w:tcPr>
          <w:p w:rsidR="003F5784" w14:paraId="0CA2D31A" w14:textId="77777777">
            <w:pPr>
              <w:pStyle w:val="TableParagraph"/>
              <w:ind w:right="1001"/>
              <w:rPr>
                <w:sz w:val="21"/>
              </w:rPr>
            </w:pPr>
            <w:r>
              <w:rPr>
                <w:spacing w:val="-5"/>
                <w:sz w:val="21"/>
              </w:rPr>
              <w:t>100</w:t>
            </w:r>
          </w:p>
        </w:tc>
        <w:tc>
          <w:tcPr>
            <w:tcW w:w="2195" w:type="dxa"/>
          </w:tcPr>
          <w:p w:rsidR="003F5784" w14:paraId="5D894038" w14:textId="77777777">
            <w:pPr>
              <w:pStyle w:val="TableParagraph"/>
              <w:ind w:left="228" w:right="105"/>
              <w:jc w:val="center"/>
              <w:rPr>
                <w:sz w:val="21"/>
              </w:rPr>
            </w:pPr>
            <w:r>
              <w:rPr>
                <w:spacing w:val="-5"/>
                <w:sz w:val="21"/>
              </w:rPr>
              <w:t>100</w:t>
            </w:r>
          </w:p>
        </w:tc>
        <w:tc>
          <w:tcPr>
            <w:tcW w:w="2248" w:type="dxa"/>
          </w:tcPr>
          <w:p w:rsidR="003F5784" w14:paraId="757191E3" w14:textId="77777777">
            <w:pPr>
              <w:pStyle w:val="TableParagraph"/>
              <w:ind w:right="1054"/>
              <w:rPr>
                <w:sz w:val="21"/>
              </w:rPr>
            </w:pPr>
            <w:r>
              <w:rPr>
                <w:spacing w:val="-5"/>
                <w:sz w:val="21"/>
              </w:rPr>
              <w:t>90</w:t>
            </w:r>
          </w:p>
        </w:tc>
        <w:tc>
          <w:tcPr>
            <w:tcW w:w="1384" w:type="dxa"/>
          </w:tcPr>
          <w:p w:rsidR="003F5784" w14:paraId="20F6A0BC" w14:textId="77777777">
            <w:pPr>
              <w:pStyle w:val="TableParagraph"/>
              <w:ind w:right="118"/>
              <w:rPr>
                <w:sz w:val="21"/>
              </w:rPr>
            </w:pPr>
            <w:r>
              <w:rPr>
                <w:spacing w:val="-5"/>
                <w:sz w:val="21"/>
              </w:rPr>
              <w:t>90</w:t>
            </w:r>
          </w:p>
        </w:tc>
      </w:tr>
      <w:tr w14:paraId="1EBE9CF8" w14:textId="77777777">
        <w:tblPrEx>
          <w:tblW w:w="0" w:type="auto"/>
          <w:tblInd w:w="482" w:type="dxa"/>
          <w:tblLayout w:type="fixed"/>
          <w:tblCellMar>
            <w:left w:w="0" w:type="dxa"/>
            <w:right w:w="0" w:type="dxa"/>
          </w:tblCellMar>
          <w:tblLook w:val="01E0"/>
        </w:tblPrEx>
        <w:trPr>
          <w:trHeight w:val="286"/>
        </w:trPr>
        <w:tc>
          <w:tcPr>
            <w:tcW w:w="4854" w:type="dxa"/>
          </w:tcPr>
          <w:p w:rsidR="003F5784" w14:paraId="641FAFB7" w14:textId="77777777">
            <w:pPr>
              <w:pStyle w:val="TableParagraph"/>
              <w:ind w:left="120"/>
              <w:jc w:val="left"/>
              <w:rPr>
                <w:sz w:val="21"/>
              </w:rPr>
            </w:pPr>
            <w:r>
              <w:rPr>
                <w:spacing w:val="-2"/>
                <w:sz w:val="21"/>
              </w:rPr>
              <w:t>Wisconsin–Milwaukee</w:t>
            </w:r>
          </w:p>
        </w:tc>
        <w:tc>
          <w:tcPr>
            <w:tcW w:w="3304" w:type="dxa"/>
          </w:tcPr>
          <w:p w:rsidR="003F5784" w14:paraId="2EA4E802" w14:textId="77777777">
            <w:pPr>
              <w:pStyle w:val="TableParagraph"/>
              <w:ind w:right="1001"/>
              <w:rPr>
                <w:sz w:val="21"/>
              </w:rPr>
            </w:pPr>
            <w:r>
              <w:rPr>
                <w:spacing w:val="-5"/>
                <w:sz w:val="21"/>
              </w:rPr>
              <w:t>50</w:t>
            </w:r>
          </w:p>
        </w:tc>
        <w:tc>
          <w:tcPr>
            <w:tcW w:w="2195" w:type="dxa"/>
          </w:tcPr>
          <w:p w:rsidR="003F5784" w14:paraId="0765571E" w14:textId="77777777">
            <w:pPr>
              <w:pStyle w:val="TableParagraph"/>
              <w:ind w:left="228"/>
              <w:jc w:val="center"/>
              <w:rPr>
                <w:sz w:val="21"/>
              </w:rPr>
            </w:pPr>
            <w:r>
              <w:rPr>
                <w:spacing w:val="-5"/>
                <w:sz w:val="21"/>
              </w:rPr>
              <w:t>50</w:t>
            </w:r>
          </w:p>
        </w:tc>
        <w:tc>
          <w:tcPr>
            <w:tcW w:w="2248" w:type="dxa"/>
          </w:tcPr>
          <w:p w:rsidR="003F5784" w14:paraId="55CBCAD3" w14:textId="77777777">
            <w:pPr>
              <w:pStyle w:val="TableParagraph"/>
              <w:ind w:right="1054"/>
              <w:rPr>
                <w:sz w:val="21"/>
              </w:rPr>
            </w:pPr>
            <w:r>
              <w:rPr>
                <w:spacing w:val="-5"/>
                <w:sz w:val="21"/>
              </w:rPr>
              <w:t>40</w:t>
            </w:r>
          </w:p>
        </w:tc>
        <w:tc>
          <w:tcPr>
            <w:tcW w:w="1384" w:type="dxa"/>
          </w:tcPr>
          <w:p w:rsidR="003F5784" w14:paraId="0630F1F3" w14:textId="77777777">
            <w:pPr>
              <w:pStyle w:val="TableParagraph"/>
              <w:ind w:right="118"/>
              <w:rPr>
                <w:sz w:val="21"/>
              </w:rPr>
            </w:pPr>
            <w:r>
              <w:rPr>
                <w:spacing w:val="-5"/>
                <w:sz w:val="21"/>
              </w:rPr>
              <w:t>40</w:t>
            </w:r>
          </w:p>
        </w:tc>
      </w:tr>
      <w:tr w14:paraId="228968D3" w14:textId="77777777">
        <w:tblPrEx>
          <w:tblW w:w="0" w:type="auto"/>
          <w:tblInd w:w="482" w:type="dxa"/>
          <w:tblLayout w:type="fixed"/>
          <w:tblCellMar>
            <w:left w:w="0" w:type="dxa"/>
            <w:right w:w="0" w:type="dxa"/>
          </w:tblCellMar>
          <w:tblLook w:val="01E0"/>
        </w:tblPrEx>
        <w:trPr>
          <w:trHeight w:val="286"/>
        </w:trPr>
        <w:tc>
          <w:tcPr>
            <w:tcW w:w="4854" w:type="dxa"/>
          </w:tcPr>
          <w:p w:rsidR="003F5784" w14:paraId="11989796" w14:textId="77777777">
            <w:pPr>
              <w:pStyle w:val="TableParagraph"/>
              <w:ind w:left="120"/>
              <w:jc w:val="left"/>
              <w:rPr>
                <w:sz w:val="21"/>
              </w:rPr>
            </w:pPr>
            <w:r>
              <w:rPr>
                <w:spacing w:val="-2"/>
                <w:sz w:val="21"/>
              </w:rPr>
              <w:t>Wisconsin–Balance</w:t>
            </w:r>
          </w:p>
        </w:tc>
        <w:tc>
          <w:tcPr>
            <w:tcW w:w="3304" w:type="dxa"/>
          </w:tcPr>
          <w:p w:rsidR="003F5784" w14:paraId="25FBFF87" w14:textId="77777777">
            <w:pPr>
              <w:pStyle w:val="TableParagraph"/>
              <w:ind w:right="1001"/>
              <w:rPr>
                <w:sz w:val="21"/>
              </w:rPr>
            </w:pPr>
            <w:r>
              <w:rPr>
                <w:spacing w:val="-5"/>
                <w:sz w:val="21"/>
              </w:rPr>
              <w:t>90</w:t>
            </w:r>
          </w:p>
        </w:tc>
        <w:tc>
          <w:tcPr>
            <w:tcW w:w="2195" w:type="dxa"/>
          </w:tcPr>
          <w:p w:rsidR="003F5784" w14:paraId="4F86B40F" w14:textId="77777777">
            <w:pPr>
              <w:pStyle w:val="TableParagraph"/>
              <w:ind w:left="228"/>
              <w:jc w:val="center"/>
              <w:rPr>
                <w:sz w:val="21"/>
              </w:rPr>
            </w:pPr>
            <w:r>
              <w:rPr>
                <w:spacing w:val="-5"/>
                <w:sz w:val="21"/>
              </w:rPr>
              <w:t>80</w:t>
            </w:r>
          </w:p>
        </w:tc>
        <w:tc>
          <w:tcPr>
            <w:tcW w:w="2248" w:type="dxa"/>
          </w:tcPr>
          <w:p w:rsidR="003F5784" w14:paraId="7DB6915E" w14:textId="77777777">
            <w:pPr>
              <w:pStyle w:val="TableParagraph"/>
              <w:ind w:right="1054"/>
              <w:rPr>
                <w:sz w:val="21"/>
              </w:rPr>
            </w:pPr>
            <w:r>
              <w:rPr>
                <w:spacing w:val="-5"/>
                <w:sz w:val="21"/>
              </w:rPr>
              <w:t>80</w:t>
            </w:r>
          </w:p>
        </w:tc>
        <w:tc>
          <w:tcPr>
            <w:tcW w:w="1384" w:type="dxa"/>
          </w:tcPr>
          <w:p w:rsidR="003F5784" w14:paraId="5FF3AEE5" w14:textId="77777777">
            <w:pPr>
              <w:pStyle w:val="TableParagraph"/>
              <w:ind w:right="118"/>
              <w:rPr>
                <w:sz w:val="21"/>
              </w:rPr>
            </w:pPr>
            <w:r>
              <w:rPr>
                <w:spacing w:val="-5"/>
                <w:sz w:val="21"/>
              </w:rPr>
              <w:t>80</w:t>
            </w:r>
          </w:p>
        </w:tc>
      </w:tr>
      <w:tr w14:paraId="73AA1216" w14:textId="77777777">
        <w:tblPrEx>
          <w:tblW w:w="0" w:type="auto"/>
          <w:tblInd w:w="482" w:type="dxa"/>
          <w:tblLayout w:type="fixed"/>
          <w:tblCellMar>
            <w:left w:w="0" w:type="dxa"/>
            <w:right w:w="0" w:type="dxa"/>
          </w:tblCellMar>
          <w:tblLook w:val="01E0"/>
        </w:tblPrEx>
        <w:trPr>
          <w:trHeight w:val="286"/>
        </w:trPr>
        <w:tc>
          <w:tcPr>
            <w:tcW w:w="4854" w:type="dxa"/>
          </w:tcPr>
          <w:p w:rsidR="003F5784" w14:paraId="0C873422" w14:textId="77777777">
            <w:pPr>
              <w:pStyle w:val="TableParagraph"/>
              <w:ind w:left="120"/>
              <w:jc w:val="left"/>
              <w:rPr>
                <w:sz w:val="21"/>
              </w:rPr>
            </w:pPr>
            <w:r>
              <w:rPr>
                <w:spacing w:val="-2"/>
                <w:sz w:val="21"/>
              </w:rPr>
              <w:t>Wyoming</w:t>
            </w:r>
          </w:p>
        </w:tc>
        <w:tc>
          <w:tcPr>
            <w:tcW w:w="3304" w:type="dxa"/>
          </w:tcPr>
          <w:p w:rsidR="003F5784" w14:paraId="39E7A8C9" w14:textId="77777777">
            <w:pPr>
              <w:pStyle w:val="TableParagraph"/>
              <w:ind w:right="1001"/>
              <w:rPr>
                <w:sz w:val="21"/>
              </w:rPr>
            </w:pPr>
            <w:r>
              <w:rPr>
                <w:spacing w:val="-5"/>
                <w:sz w:val="21"/>
              </w:rPr>
              <w:t>100</w:t>
            </w:r>
          </w:p>
        </w:tc>
        <w:tc>
          <w:tcPr>
            <w:tcW w:w="2195" w:type="dxa"/>
          </w:tcPr>
          <w:p w:rsidR="003F5784" w14:paraId="0742F5D9" w14:textId="77777777">
            <w:pPr>
              <w:pStyle w:val="TableParagraph"/>
              <w:ind w:left="228" w:right="105"/>
              <w:jc w:val="center"/>
              <w:rPr>
                <w:sz w:val="21"/>
              </w:rPr>
            </w:pPr>
            <w:r>
              <w:rPr>
                <w:spacing w:val="-5"/>
                <w:sz w:val="21"/>
              </w:rPr>
              <w:t>100</w:t>
            </w:r>
          </w:p>
        </w:tc>
        <w:tc>
          <w:tcPr>
            <w:tcW w:w="2248" w:type="dxa"/>
          </w:tcPr>
          <w:p w:rsidR="003F5784" w14:paraId="2EDE3C9B" w14:textId="77777777">
            <w:pPr>
              <w:pStyle w:val="TableParagraph"/>
              <w:ind w:right="1054"/>
              <w:rPr>
                <w:sz w:val="21"/>
              </w:rPr>
            </w:pPr>
            <w:r>
              <w:rPr>
                <w:spacing w:val="-5"/>
                <w:sz w:val="21"/>
              </w:rPr>
              <w:t>70</w:t>
            </w:r>
          </w:p>
        </w:tc>
        <w:tc>
          <w:tcPr>
            <w:tcW w:w="1384" w:type="dxa"/>
          </w:tcPr>
          <w:p w:rsidR="003F5784" w14:paraId="1EC7D7AF" w14:textId="77777777">
            <w:pPr>
              <w:pStyle w:val="TableParagraph"/>
              <w:ind w:right="118"/>
              <w:rPr>
                <w:sz w:val="21"/>
              </w:rPr>
            </w:pPr>
            <w:r>
              <w:rPr>
                <w:spacing w:val="-5"/>
                <w:sz w:val="21"/>
              </w:rPr>
              <w:t>60</w:t>
            </w:r>
          </w:p>
        </w:tc>
      </w:tr>
      <w:tr w14:paraId="29D4E56E" w14:textId="77777777">
        <w:tblPrEx>
          <w:tblW w:w="0" w:type="auto"/>
          <w:tblInd w:w="482" w:type="dxa"/>
          <w:tblLayout w:type="fixed"/>
          <w:tblCellMar>
            <w:left w:w="0" w:type="dxa"/>
            <w:right w:w="0" w:type="dxa"/>
          </w:tblCellMar>
          <w:tblLook w:val="01E0"/>
        </w:tblPrEx>
        <w:trPr>
          <w:trHeight w:val="288"/>
        </w:trPr>
        <w:tc>
          <w:tcPr>
            <w:tcW w:w="13985" w:type="dxa"/>
            <w:gridSpan w:val="5"/>
            <w:tcBorders>
              <w:bottom w:val="single" w:sz="18" w:space="0" w:color="800000"/>
            </w:tcBorders>
          </w:tcPr>
          <w:p w:rsidR="003F5784" w14:paraId="5E84DB10" w14:textId="77777777">
            <w:pPr>
              <w:pStyle w:val="TableParagraph"/>
              <w:ind w:left="120"/>
              <w:jc w:val="left"/>
              <w:rPr>
                <w:sz w:val="21"/>
              </w:rPr>
            </w:pPr>
            <w:r>
              <w:rPr>
                <w:sz w:val="21"/>
              </w:rPr>
              <w:t>Other</w:t>
            </w:r>
            <w:r>
              <w:rPr>
                <w:spacing w:val="-6"/>
                <w:sz w:val="21"/>
              </w:rPr>
              <w:t xml:space="preserve"> </w:t>
            </w:r>
            <w:r>
              <w:rPr>
                <w:spacing w:val="-2"/>
                <w:sz w:val="21"/>
              </w:rPr>
              <w:t>jurisdictions</w:t>
            </w:r>
          </w:p>
        </w:tc>
      </w:tr>
    </w:tbl>
    <w:p w:rsidR="003F5784" w14:paraId="67728706" w14:textId="77777777">
      <w:pPr>
        <w:rPr>
          <w:sz w:val="21"/>
        </w:rPr>
        <w:sectPr>
          <w:type w:val="continuous"/>
          <w:pgSz w:w="15840" w:h="12240" w:orient="landscape"/>
          <w:pgMar w:top="1140" w:right="440" w:bottom="1180" w:left="460" w:header="305" w:footer="996" w:gutter="0"/>
          <w:cols w:space="720"/>
        </w:sectPr>
      </w:pPr>
    </w:p>
    <w:tbl>
      <w:tblPr>
        <w:tblW w:w="0" w:type="auto"/>
        <w:tblInd w:w="482" w:type="dxa"/>
        <w:tblLayout w:type="fixed"/>
        <w:tblCellMar>
          <w:left w:w="0" w:type="dxa"/>
          <w:right w:w="0" w:type="dxa"/>
        </w:tblCellMar>
        <w:tblLook w:val="01E0"/>
      </w:tblPr>
      <w:tblGrid>
        <w:gridCol w:w="5806"/>
        <w:gridCol w:w="2352"/>
        <w:gridCol w:w="2195"/>
        <w:gridCol w:w="2196"/>
        <w:gridCol w:w="1436"/>
      </w:tblGrid>
      <w:tr w14:paraId="178E6C9F" w14:textId="77777777">
        <w:tblPrEx>
          <w:tblW w:w="0" w:type="auto"/>
          <w:tblInd w:w="482" w:type="dxa"/>
          <w:tblLayout w:type="fixed"/>
          <w:tblCellMar>
            <w:left w:w="0" w:type="dxa"/>
            <w:right w:w="0" w:type="dxa"/>
          </w:tblCellMar>
          <w:tblLook w:val="01E0"/>
        </w:tblPrEx>
        <w:trPr>
          <w:trHeight w:val="278"/>
        </w:trPr>
        <w:tc>
          <w:tcPr>
            <w:tcW w:w="5806" w:type="dxa"/>
            <w:tcBorders>
              <w:top w:val="single" w:sz="18" w:space="0" w:color="800000"/>
            </w:tcBorders>
          </w:tcPr>
          <w:p w:rsidR="003F5784" w14:paraId="2FB2D7C2" w14:textId="77777777">
            <w:pPr>
              <w:pStyle w:val="TableParagraph"/>
              <w:spacing w:before="9"/>
              <w:ind w:left="328"/>
              <w:jc w:val="left"/>
              <w:rPr>
                <w:sz w:val="21"/>
              </w:rPr>
            </w:pPr>
            <w:r>
              <w:rPr>
                <w:sz w:val="21"/>
              </w:rPr>
              <w:t>Bureau</w:t>
            </w:r>
            <w:r>
              <w:rPr>
                <w:spacing w:val="-7"/>
                <w:sz w:val="21"/>
              </w:rPr>
              <w:t xml:space="preserve"> </w:t>
            </w:r>
            <w:r>
              <w:rPr>
                <w:sz w:val="21"/>
              </w:rPr>
              <w:t>of</w:t>
            </w:r>
            <w:r>
              <w:rPr>
                <w:spacing w:val="-6"/>
                <w:sz w:val="21"/>
              </w:rPr>
              <w:t xml:space="preserve"> </w:t>
            </w:r>
            <w:r>
              <w:rPr>
                <w:sz w:val="21"/>
              </w:rPr>
              <w:t>Indian</w:t>
            </w:r>
            <w:r>
              <w:rPr>
                <w:spacing w:val="-7"/>
                <w:sz w:val="21"/>
              </w:rPr>
              <w:t xml:space="preserve"> </w:t>
            </w:r>
            <w:r>
              <w:rPr>
                <w:sz w:val="21"/>
              </w:rPr>
              <w:t>Education</w:t>
            </w:r>
            <w:r>
              <w:rPr>
                <w:spacing w:val="-6"/>
                <w:sz w:val="21"/>
              </w:rPr>
              <w:t xml:space="preserve"> </w:t>
            </w:r>
            <w:r>
              <w:rPr>
                <w:spacing w:val="-2"/>
                <w:sz w:val="21"/>
              </w:rPr>
              <w:t>(BIE)</w:t>
            </w:r>
          </w:p>
        </w:tc>
        <w:tc>
          <w:tcPr>
            <w:tcW w:w="2352" w:type="dxa"/>
            <w:tcBorders>
              <w:top w:val="single" w:sz="18" w:space="0" w:color="800000"/>
            </w:tcBorders>
          </w:tcPr>
          <w:p w:rsidR="003F5784" w14:paraId="7B0BFA80" w14:textId="77777777">
            <w:pPr>
              <w:pStyle w:val="TableParagraph"/>
              <w:spacing w:before="9"/>
              <w:ind w:left="136"/>
              <w:jc w:val="center"/>
              <w:rPr>
                <w:sz w:val="21"/>
              </w:rPr>
            </w:pPr>
            <w:r>
              <w:rPr>
                <w:spacing w:val="-5"/>
                <w:sz w:val="21"/>
              </w:rPr>
              <w:t>10</w:t>
            </w:r>
          </w:p>
        </w:tc>
        <w:tc>
          <w:tcPr>
            <w:tcW w:w="2195" w:type="dxa"/>
            <w:tcBorders>
              <w:top w:val="single" w:sz="18" w:space="0" w:color="800000"/>
            </w:tcBorders>
          </w:tcPr>
          <w:p w:rsidR="003F5784" w14:paraId="1595F637" w14:textId="77777777">
            <w:pPr>
              <w:pStyle w:val="TableParagraph"/>
              <w:spacing w:before="9"/>
              <w:ind w:left="228"/>
              <w:jc w:val="center"/>
              <w:rPr>
                <w:sz w:val="21"/>
              </w:rPr>
            </w:pPr>
            <w:r>
              <w:rPr>
                <w:spacing w:val="-5"/>
                <w:sz w:val="21"/>
              </w:rPr>
              <w:t>10</w:t>
            </w:r>
          </w:p>
        </w:tc>
        <w:tc>
          <w:tcPr>
            <w:tcW w:w="2196" w:type="dxa"/>
            <w:tcBorders>
              <w:top w:val="single" w:sz="18" w:space="0" w:color="800000"/>
            </w:tcBorders>
          </w:tcPr>
          <w:p w:rsidR="003F5784" w14:paraId="35135D3E" w14:textId="77777777">
            <w:pPr>
              <w:pStyle w:val="TableParagraph"/>
              <w:spacing w:before="9"/>
              <w:ind w:right="1002"/>
              <w:rPr>
                <w:sz w:val="21"/>
              </w:rPr>
            </w:pPr>
            <w:r>
              <w:rPr>
                <w:spacing w:val="-5"/>
                <w:sz w:val="21"/>
              </w:rPr>
              <w:t>10</w:t>
            </w:r>
          </w:p>
        </w:tc>
        <w:tc>
          <w:tcPr>
            <w:tcW w:w="1436" w:type="dxa"/>
            <w:tcBorders>
              <w:top w:val="single" w:sz="18" w:space="0" w:color="800000"/>
            </w:tcBorders>
          </w:tcPr>
          <w:p w:rsidR="003F5784" w14:paraId="42ECF561" w14:textId="77777777">
            <w:pPr>
              <w:pStyle w:val="TableParagraph"/>
              <w:spacing w:before="9"/>
              <w:ind w:right="118"/>
              <w:rPr>
                <w:sz w:val="21"/>
              </w:rPr>
            </w:pPr>
            <w:r>
              <w:rPr>
                <w:spacing w:val="-5"/>
                <w:sz w:val="21"/>
              </w:rPr>
              <w:t>10</w:t>
            </w:r>
          </w:p>
        </w:tc>
      </w:tr>
      <w:tr w14:paraId="67AF7FAD" w14:textId="77777777">
        <w:tblPrEx>
          <w:tblW w:w="0" w:type="auto"/>
          <w:tblInd w:w="482" w:type="dxa"/>
          <w:tblLayout w:type="fixed"/>
          <w:tblCellMar>
            <w:left w:w="0" w:type="dxa"/>
            <w:right w:w="0" w:type="dxa"/>
          </w:tblCellMar>
          <w:tblLook w:val="01E0"/>
        </w:tblPrEx>
        <w:trPr>
          <w:trHeight w:val="286"/>
        </w:trPr>
        <w:tc>
          <w:tcPr>
            <w:tcW w:w="5806" w:type="dxa"/>
          </w:tcPr>
          <w:p w:rsidR="003F5784" w14:paraId="4DE9D632" w14:textId="77777777">
            <w:pPr>
              <w:pStyle w:val="TableParagraph"/>
              <w:ind w:left="328"/>
              <w:jc w:val="left"/>
              <w:rPr>
                <w:sz w:val="21"/>
              </w:rPr>
            </w:pPr>
            <w:r>
              <w:rPr>
                <w:sz w:val="21"/>
              </w:rPr>
              <w:t>Department</w:t>
            </w:r>
            <w:r>
              <w:rPr>
                <w:spacing w:val="-13"/>
                <w:sz w:val="21"/>
              </w:rPr>
              <w:t xml:space="preserve"> </w:t>
            </w:r>
            <w:r>
              <w:rPr>
                <w:sz w:val="21"/>
              </w:rPr>
              <w:t>of</w:t>
            </w:r>
            <w:r>
              <w:rPr>
                <w:spacing w:val="-8"/>
                <w:sz w:val="21"/>
              </w:rPr>
              <w:t xml:space="preserve"> </w:t>
            </w:r>
            <w:r>
              <w:rPr>
                <w:sz w:val="21"/>
              </w:rPr>
              <w:t>Defense</w:t>
            </w:r>
            <w:r>
              <w:rPr>
                <w:spacing w:val="-8"/>
                <w:sz w:val="21"/>
              </w:rPr>
              <w:t xml:space="preserve"> </w:t>
            </w:r>
            <w:r>
              <w:rPr>
                <w:sz w:val="21"/>
              </w:rPr>
              <w:t>Education</w:t>
            </w:r>
            <w:r>
              <w:rPr>
                <w:spacing w:val="-13"/>
                <w:sz w:val="21"/>
              </w:rPr>
              <w:t xml:space="preserve"> </w:t>
            </w:r>
            <w:r>
              <w:rPr>
                <w:sz w:val="21"/>
              </w:rPr>
              <w:t>Activity</w:t>
            </w:r>
            <w:r>
              <w:rPr>
                <w:spacing w:val="-8"/>
                <w:sz w:val="21"/>
              </w:rPr>
              <w:t xml:space="preserve"> </w:t>
            </w:r>
            <w:r>
              <w:rPr>
                <w:spacing w:val="-2"/>
                <w:sz w:val="21"/>
              </w:rPr>
              <w:t>(DoDEA)</w:t>
            </w:r>
          </w:p>
        </w:tc>
        <w:tc>
          <w:tcPr>
            <w:tcW w:w="2352" w:type="dxa"/>
          </w:tcPr>
          <w:p w:rsidR="003F5784" w14:paraId="1ECB0C1D" w14:textId="77777777">
            <w:pPr>
              <w:pStyle w:val="TableParagraph"/>
              <w:ind w:left="136" w:right="104"/>
              <w:jc w:val="center"/>
              <w:rPr>
                <w:sz w:val="21"/>
              </w:rPr>
            </w:pPr>
            <w:r>
              <w:rPr>
                <w:spacing w:val="-5"/>
                <w:sz w:val="21"/>
              </w:rPr>
              <w:t>100</w:t>
            </w:r>
          </w:p>
        </w:tc>
        <w:tc>
          <w:tcPr>
            <w:tcW w:w="2195" w:type="dxa"/>
          </w:tcPr>
          <w:p w:rsidR="003F5784" w14:paraId="6E9C871B" w14:textId="77777777">
            <w:pPr>
              <w:pStyle w:val="TableParagraph"/>
              <w:ind w:left="228"/>
              <w:jc w:val="center"/>
              <w:rPr>
                <w:sz w:val="21"/>
              </w:rPr>
            </w:pPr>
            <w:r>
              <w:rPr>
                <w:spacing w:val="-5"/>
                <w:sz w:val="21"/>
              </w:rPr>
              <w:t>90</w:t>
            </w:r>
          </w:p>
        </w:tc>
        <w:tc>
          <w:tcPr>
            <w:tcW w:w="2196" w:type="dxa"/>
          </w:tcPr>
          <w:p w:rsidR="003F5784" w14:paraId="05F7F718" w14:textId="77777777">
            <w:pPr>
              <w:pStyle w:val="TableParagraph"/>
              <w:ind w:right="1002"/>
              <w:rPr>
                <w:sz w:val="21"/>
              </w:rPr>
            </w:pPr>
            <w:r>
              <w:rPr>
                <w:spacing w:val="-5"/>
                <w:sz w:val="21"/>
              </w:rPr>
              <w:t>60</w:t>
            </w:r>
          </w:p>
        </w:tc>
        <w:tc>
          <w:tcPr>
            <w:tcW w:w="1436" w:type="dxa"/>
          </w:tcPr>
          <w:p w:rsidR="003F5784" w14:paraId="14CF16EF" w14:textId="77777777">
            <w:pPr>
              <w:pStyle w:val="TableParagraph"/>
              <w:ind w:right="118"/>
              <w:rPr>
                <w:sz w:val="21"/>
              </w:rPr>
            </w:pPr>
            <w:r>
              <w:rPr>
                <w:spacing w:val="-5"/>
                <w:sz w:val="21"/>
              </w:rPr>
              <w:t>50</w:t>
            </w:r>
          </w:p>
        </w:tc>
      </w:tr>
      <w:tr w14:paraId="0E467641" w14:textId="77777777">
        <w:tblPrEx>
          <w:tblW w:w="0" w:type="auto"/>
          <w:tblInd w:w="482" w:type="dxa"/>
          <w:tblLayout w:type="fixed"/>
          <w:tblCellMar>
            <w:left w:w="0" w:type="dxa"/>
            <w:right w:w="0" w:type="dxa"/>
          </w:tblCellMar>
          <w:tblLook w:val="01E0"/>
        </w:tblPrEx>
        <w:trPr>
          <w:trHeight w:val="286"/>
        </w:trPr>
        <w:tc>
          <w:tcPr>
            <w:tcW w:w="5806" w:type="dxa"/>
          </w:tcPr>
          <w:p w:rsidR="003F5784" w14:paraId="52C1FA2C" w14:textId="77777777">
            <w:pPr>
              <w:pStyle w:val="TableParagraph"/>
              <w:ind w:left="328"/>
              <w:jc w:val="left"/>
              <w:rPr>
                <w:sz w:val="21"/>
              </w:rPr>
            </w:pPr>
            <w:r>
              <w:rPr>
                <w:sz w:val="21"/>
              </w:rPr>
              <w:t>District</w:t>
            </w:r>
            <w:r>
              <w:rPr>
                <w:spacing w:val="-7"/>
                <w:sz w:val="21"/>
              </w:rPr>
              <w:t xml:space="preserve"> </w:t>
            </w:r>
            <w:r>
              <w:rPr>
                <w:sz w:val="21"/>
              </w:rPr>
              <w:t>of</w:t>
            </w:r>
            <w:r>
              <w:rPr>
                <w:spacing w:val="-6"/>
                <w:sz w:val="21"/>
              </w:rPr>
              <w:t xml:space="preserve"> </w:t>
            </w:r>
            <w:r>
              <w:rPr>
                <w:sz w:val="21"/>
              </w:rPr>
              <w:t>Columbia</w:t>
            </w:r>
            <w:r>
              <w:rPr>
                <w:spacing w:val="-7"/>
                <w:sz w:val="21"/>
              </w:rPr>
              <w:t xml:space="preserve"> </w:t>
            </w:r>
            <w:r>
              <w:rPr>
                <w:spacing w:val="-2"/>
                <w:sz w:val="21"/>
              </w:rPr>
              <w:t>(TUDA)</w:t>
            </w:r>
          </w:p>
        </w:tc>
        <w:tc>
          <w:tcPr>
            <w:tcW w:w="2352" w:type="dxa"/>
          </w:tcPr>
          <w:p w:rsidR="003F5784" w14:paraId="76A73A28" w14:textId="77777777">
            <w:pPr>
              <w:pStyle w:val="TableParagraph"/>
              <w:ind w:left="136"/>
              <w:jc w:val="center"/>
              <w:rPr>
                <w:sz w:val="21"/>
              </w:rPr>
            </w:pPr>
            <w:r>
              <w:rPr>
                <w:spacing w:val="-5"/>
                <w:sz w:val="21"/>
              </w:rPr>
              <w:t>50</w:t>
            </w:r>
          </w:p>
        </w:tc>
        <w:tc>
          <w:tcPr>
            <w:tcW w:w="2195" w:type="dxa"/>
          </w:tcPr>
          <w:p w:rsidR="003F5784" w14:paraId="086EF803" w14:textId="77777777">
            <w:pPr>
              <w:pStyle w:val="TableParagraph"/>
              <w:ind w:left="228"/>
              <w:jc w:val="center"/>
              <w:rPr>
                <w:sz w:val="21"/>
              </w:rPr>
            </w:pPr>
            <w:r>
              <w:rPr>
                <w:spacing w:val="-5"/>
                <w:sz w:val="21"/>
              </w:rPr>
              <w:t>50</w:t>
            </w:r>
          </w:p>
        </w:tc>
        <w:tc>
          <w:tcPr>
            <w:tcW w:w="2196" w:type="dxa"/>
          </w:tcPr>
          <w:p w:rsidR="003F5784" w14:paraId="242D38B9" w14:textId="77777777">
            <w:pPr>
              <w:pStyle w:val="TableParagraph"/>
              <w:ind w:right="1002"/>
              <w:rPr>
                <w:sz w:val="21"/>
              </w:rPr>
            </w:pPr>
            <w:r>
              <w:rPr>
                <w:spacing w:val="-5"/>
                <w:sz w:val="21"/>
              </w:rPr>
              <w:t>30</w:t>
            </w:r>
          </w:p>
        </w:tc>
        <w:tc>
          <w:tcPr>
            <w:tcW w:w="1436" w:type="dxa"/>
          </w:tcPr>
          <w:p w:rsidR="003F5784" w14:paraId="75E5DC6F" w14:textId="77777777">
            <w:pPr>
              <w:pStyle w:val="TableParagraph"/>
              <w:ind w:right="118"/>
              <w:rPr>
                <w:sz w:val="21"/>
              </w:rPr>
            </w:pPr>
            <w:r>
              <w:rPr>
                <w:spacing w:val="-5"/>
                <w:sz w:val="21"/>
              </w:rPr>
              <w:t>20</w:t>
            </w:r>
          </w:p>
        </w:tc>
      </w:tr>
      <w:tr w14:paraId="06CAB44C" w14:textId="77777777">
        <w:tblPrEx>
          <w:tblW w:w="0" w:type="auto"/>
          <w:tblInd w:w="482" w:type="dxa"/>
          <w:tblLayout w:type="fixed"/>
          <w:tblCellMar>
            <w:left w:w="0" w:type="dxa"/>
            <w:right w:w="0" w:type="dxa"/>
          </w:tblCellMar>
          <w:tblLook w:val="01E0"/>
        </w:tblPrEx>
        <w:trPr>
          <w:trHeight w:val="286"/>
        </w:trPr>
        <w:tc>
          <w:tcPr>
            <w:tcW w:w="5806" w:type="dxa"/>
          </w:tcPr>
          <w:p w:rsidR="003F5784" w14:paraId="40334CB1" w14:textId="77777777">
            <w:pPr>
              <w:pStyle w:val="TableParagraph"/>
              <w:ind w:left="328"/>
              <w:jc w:val="left"/>
              <w:rPr>
                <w:sz w:val="21"/>
              </w:rPr>
            </w:pPr>
            <w:r>
              <w:rPr>
                <w:sz w:val="21"/>
              </w:rPr>
              <w:t>District</w:t>
            </w:r>
            <w:r>
              <w:rPr>
                <w:spacing w:val="-6"/>
                <w:sz w:val="21"/>
              </w:rPr>
              <w:t xml:space="preserve"> </w:t>
            </w:r>
            <w:r>
              <w:rPr>
                <w:sz w:val="21"/>
              </w:rPr>
              <w:t>of</w:t>
            </w:r>
            <w:r>
              <w:rPr>
                <w:spacing w:val="-5"/>
                <w:sz w:val="21"/>
              </w:rPr>
              <w:t xml:space="preserve"> </w:t>
            </w:r>
            <w:r>
              <w:rPr>
                <w:spacing w:val="-2"/>
                <w:sz w:val="21"/>
              </w:rPr>
              <w:t>Columbia–Balance</w:t>
            </w:r>
          </w:p>
        </w:tc>
        <w:tc>
          <w:tcPr>
            <w:tcW w:w="2352" w:type="dxa"/>
          </w:tcPr>
          <w:p w:rsidR="003F5784" w14:paraId="0B11FB2B" w14:textId="77777777">
            <w:pPr>
              <w:pStyle w:val="TableParagraph"/>
              <w:ind w:left="136"/>
              <w:jc w:val="center"/>
              <w:rPr>
                <w:sz w:val="21"/>
              </w:rPr>
            </w:pPr>
            <w:r>
              <w:rPr>
                <w:spacing w:val="-5"/>
                <w:sz w:val="21"/>
              </w:rPr>
              <w:t>40</w:t>
            </w:r>
          </w:p>
        </w:tc>
        <w:tc>
          <w:tcPr>
            <w:tcW w:w="2195" w:type="dxa"/>
          </w:tcPr>
          <w:p w:rsidR="003F5784" w14:paraId="4BDD646E" w14:textId="77777777">
            <w:pPr>
              <w:pStyle w:val="TableParagraph"/>
              <w:ind w:left="228"/>
              <w:jc w:val="center"/>
              <w:rPr>
                <w:sz w:val="21"/>
              </w:rPr>
            </w:pPr>
            <w:r>
              <w:rPr>
                <w:spacing w:val="-5"/>
                <w:sz w:val="21"/>
              </w:rPr>
              <w:t>30</w:t>
            </w:r>
          </w:p>
        </w:tc>
        <w:tc>
          <w:tcPr>
            <w:tcW w:w="2196" w:type="dxa"/>
          </w:tcPr>
          <w:p w:rsidR="003F5784" w14:paraId="0762B891" w14:textId="77777777">
            <w:pPr>
              <w:pStyle w:val="TableParagraph"/>
              <w:ind w:right="1002"/>
              <w:rPr>
                <w:sz w:val="21"/>
              </w:rPr>
            </w:pPr>
            <w:r>
              <w:rPr>
                <w:spacing w:val="-5"/>
                <w:sz w:val="21"/>
              </w:rPr>
              <w:t>50</w:t>
            </w:r>
          </w:p>
        </w:tc>
        <w:tc>
          <w:tcPr>
            <w:tcW w:w="1436" w:type="dxa"/>
          </w:tcPr>
          <w:p w:rsidR="003F5784" w14:paraId="714F35AA" w14:textId="77777777">
            <w:pPr>
              <w:pStyle w:val="TableParagraph"/>
              <w:ind w:right="118"/>
              <w:rPr>
                <w:sz w:val="21"/>
              </w:rPr>
            </w:pPr>
            <w:r>
              <w:rPr>
                <w:spacing w:val="-5"/>
                <w:sz w:val="21"/>
              </w:rPr>
              <w:t>40</w:t>
            </w:r>
          </w:p>
        </w:tc>
      </w:tr>
      <w:tr w14:paraId="7DEAE255" w14:textId="77777777">
        <w:tblPrEx>
          <w:tblW w:w="0" w:type="auto"/>
          <w:tblInd w:w="482" w:type="dxa"/>
          <w:tblLayout w:type="fixed"/>
          <w:tblCellMar>
            <w:left w:w="0" w:type="dxa"/>
            <w:right w:w="0" w:type="dxa"/>
          </w:tblCellMar>
          <w:tblLook w:val="01E0"/>
        </w:tblPrEx>
        <w:trPr>
          <w:trHeight w:val="288"/>
        </w:trPr>
        <w:tc>
          <w:tcPr>
            <w:tcW w:w="5806" w:type="dxa"/>
            <w:tcBorders>
              <w:bottom w:val="single" w:sz="18" w:space="0" w:color="800000"/>
            </w:tcBorders>
          </w:tcPr>
          <w:p w:rsidR="003F5784" w14:paraId="29736CB3" w14:textId="77777777">
            <w:pPr>
              <w:pStyle w:val="TableParagraph"/>
              <w:ind w:left="328"/>
              <w:jc w:val="left"/>
              <w:rPr>
                <w:sz w:val="21"/>
              </w:rPr>
            </w:pPr>
            <w:r>
              <w:rPr>
                <w:sz w:val="21"/>
              </w:rPr>
              <w:t>Puerto</w:t>
            </w:r>
            <w:r>
              <w:rPr>
                <w:spacing w:val="-7"/>
                <w:sz w:val="21"/>
              </w:rPr>
              <w:t xml:space="preserve"> </w:t>
            </w:r>
            <w:r>
              <w:rPr>
                <w:spacing w:val="-4"/>
                <w:sz w:val="21"/>
              </w:rPr>
              <w:t>Rico</w:t>
            </w:r>
          </w:p>
        </w:tc>
        <w:tc>
          <w:tcPr>
            <w:tcW w:w="2352" w:type="dxa"/>
            <w:tcBorders>
              <w:bottom w:val="single" w:sz="18" w:space="0" w:color="800000"/>
            </w:tcBorders>
          </w:tcPr>
          <w:p w:rsidR="003F5784" w14:paraId="4C1DE57F" w14:textId="77777777">
            <w:pPr>
              <w:pStyle w:val="TableParagraph"/>
              <w:ind w:left="136" w:right="104"/>
              <w:jc w:val="center"/>
              <w:rPr>
                <w:sz w:val="21"/>
              </w:rPr>
            </w:pPr>
            <w:r>
              <w:rPr>
                <w:spacing w:val="-5"/>
                <w:sz w:val="21"/>
              </w:rPr>
              <w:t>150</w:t>
            </w:r>
          </w:p>
        </w:tc>
        <w:tc>
          <w:tcPr>
            <w:tcW w:w="2195" w:type="dxa"/>
            <w:tcBorders>
              <w:bottom w:val="single" w:sz="18" w:space="0" w:color="800000"/>
            </w:tcBorders>
          </w:tcPr>
          <w:p w:rsidR="003F5784" w14:paraId="31FA0424" w14:textId="77777777">
            <w:pPr>
              <w:pStyle w:val="TableParagraph"/>
              <w:ind w:left="228" w:right="105"/>
              <w:jc w:val="center"/>
              <w:rPr>
                <w:sz w:val="21"/>
              </w:rPr>
            </w:pPr>
            <w:r>
              <w:rPr>
                <w:spacing w:val="-5"/>
                <w:sz w:val="21"/>
              </w:rPr>
              <w:t>150</w:t>
            </w:r>
          </w:p>
        </w:tc>
        <w:tc>
          <w:tcPr>
            <w:tcW w:w="2196" w:type="dxa"/>
            <w:tcBorders>
              <w:bottom w:val="single" w:sz="18" w:space="0" w:color="800000"/>
            </w:tcBorders>
          </w:tcPr>
          <w:p w:rsidR="003F5784" w14:paraId="5F7DAC19" w14:textId="77777777">
            <w:pPr>
              <w:pStyle w:val="TableParagraph"/>
              <w:ind w:right="1002"/>
              <w:rPr>
                <w:sz w:val="21"/>
              </w:rPr>
            </w:pPr>
            <w:r>
              <w:rPr>
                <w:spacing w:val="-5"/>
                <w:sz w:val="21"/>
              </w:rPr>
              <w:t>150</w:t>
            </w:r>
          </w:p>
        </w:tc>
        <w:tc>
          <w:tcPr>
            <w:tcW w:w="1436" w:type="dxa"/>
            <w:tcBorders>
              <w:bottom w:val="single" w:sz="18" w:space="0" w:color="800000"/>
            </w:tcBorders>
          </w:tcPr>
          <w:p w:rsidR="003F5784" w14:paraId="73401ECF" w14:textId="77777777">
            <w:pPr>
              <w:pStyle w:val="TableParagraph"/>
              <w:ind w:right="118"/>
              <w:rPr>
                <w:sz w:val="21"/>
              </w:rPr>
            </w:pPr>
            <w:r>
              <w:rPr>
                <w:spacing w:val="-5"/>
                <w:sz w:val="21"/>
              </w:rPr>
              <w:t>150</w:t>
            </w:r>
          </w:p>
        </w:tc>
      </w:tr>
    </w:tbl>
    <w:p w:rsidR="003F5784" w14:paraId="36F9CFE4" w14:textId="77777777">
      <w:pPr>
        <w:spacing w:before="19"/>
        <w:ind w:left="595"/>
        <w:rPr>
          <w:sz w:val="18"/>
        </w:rPr>
      </w:pPr>
      <w:r>
        <w:rPr>
          <w:sz w:val="18"/>
        </w:rPr>
        <w:t>NOTE:</w:t>
      </w:r>
      <w:r>
        <w:rPr>
          <w:spacing w:val="3"/>
          <w:sz w:val="18"/>
        </w:rPr>
        <w:t xml:space="preserve"> </w:t>
      </w:r>
      <w:r>
        <w:rPr>
          <w:sz w:val="18"/>
        </w:rPr>
        <w:t>Numbers</w:t>
      </w:r>
      <w:r>
        <w:rPr>
          <w:spacing w:val="4"/>
          <w:sz w:val="18"/>
        </w:rPr>
        <w:t xml:space="preserve"> </w:t>
      </w:r>
      <w:r>
        <w:rPr>
          <w:sz w:val="18"/>
        </w:rPr>
        <w:t>of</w:t>
      </w:r>
      <w:r>
        <w:rPr>
          <w:spacing w:val="3"/>
          <w:sz w:val="18"/>
        </w:rPr>
        <w:t xml:space="preserve"> </w:t>
      </w:r>
      <w:r>
        <w:rPr>
          <w:sz w:val="18"/>
        </w:rPr>
        <w:t>schools</w:t>
      </w:r>
      <w:r>
        <w:rPr>
          <w:spacing w:val="3"/>
          <w:sz w:val="18"/>
        </w:rPr>
        <w:t xml:space="preserve"> </w:t>
      </w:r>
      <w:r>
        <w:rPr>
          <w:sz w:val="18"/>
        </w:rPr>
        <w:t>rounded</w:t>
      </w:r>
      <w:r>
        <w:rPr>
          <w:spacing w:val="4"/>
          <w:sz w:val="18"/>
        </w:rPr>
        <w:t xml:space="preserve"> </w:t>
      </w:r>
      <w:r>
        <w:rPr>
          <w:sz w:val="18"/>
        </w:rPr>
        <w:t>to</w:t>
      </w:r>
      <w:r>
        <w:rPr>
          <w:spacing w:val="3"/>
          <w:sz w:val="18"/>
        </w:rPr>
        <w:t xml:space="preserve"> </w:t>
      </w:r>
      <w:r>
        <w:rPr>
          <w:sz w:val="18"/>
        </w:rPr>
        <w:t>nearest</w:t>
      </w:r>
      <w:r>
        <w:rPr>
          <w:spacing w:val="4"/>
          <w:sz w:val="18"/>
        </w:rPr>
        <w:t xml:space="preserve"> </w:t>
      </w:r>
      <w:r>
        <w:rPr>
          <w:sz w:val="18"/>
        </w:rPr>
        <w:t>ten.</w:t>
      </w:r>
      <w:r>
        <w:rPr>
          <w:spacing w:val="3"/>
          <w:sz w:val="18"/>
        </w:rPr>
        <w:t xml:space="preserve"> </w:t>
      </w:r>
      <w:r>
        <w:rPr>
          <w:sz w:val="18"/>
        </w:rPr>
        <w:t>Detail</w:t>
      </w:r>
      <w:r>
        <w:rPr>
          <w:spacing w:val="4"/>
          <w:sz w:val="18"/>
        </w:rPr>
        <w:t xml:space="preserve"> </w:t>
      </w:r>
      <w:r>
        <w:rPr>
          <w:sz w:val="18"/>
        </w:rPr>
        <w:t>may</w:t>
      </w:r>
      <w:r>
        <w:rPr>
          <w:spacing w:val="3"/>
          <w:sz w:val="18"/>
        </w:rPr>
        <w:t xml:space="preserve"> </w:t>
      </w:r>
      <w:r>
        <w:rPr>
          <w:sz w:val="18"/>
        </w:rPr>
        <w:t>not</w:t>
      </w:r>
      <w:r>
        <w:rPr>
          <w:spacing w:val="4"/>
          <w:sz w:val="18"/>
        </w:rPr>
        <w:t xml:space="preserve"> </w:t>
      </w:r>
      <w:r>
        <w:rPr>
          <w:sz w:val="18"/>
        </w:rPr>
        <w:t>sum</w:t>
      </w:r>
      <w:r>
        <w:rPr>
          <w:spacing w:val="3"/>
          <w:sz w:val="18"/>
        </w:rPr>
        <w:t xml:space="preserve"> </w:t>
      </w:r>
      <w:r>
        <w:rPr>
          <w:sz w:val="18"/>
        </w:rPr>
        <w:t>to</w:t>
      </w:r>
      <w:r>
        <w:rPr>
          <w:spacing w:val="4"/>
          <w:sz w:val="18"/>
        </w:rPr>
        <w:t xml:space="preserve"> </w:t>
      </w:r>
      <w:r>
        <w:rPr>
          <w:sz w:val="18"/>
        </w:rPr>
        <w:t>totals</w:t>
      </w:r>
      <w:r>
        <w:rPr>
          <w:spacing w:val="3"/>
          <w:sz w:val="18"/>
        </w:rPr>
        <w:t xml:space="preserve"> </w:t>
      </w:r>
      <w:r>
        <w:rPr>
          <w:sz w:val="18"/>
        </w:rPr>
        <w:t>due</w:t>
      </w:r>
      <w:r>
        <w:rPr>
          <w:spacing w:val="4"/>
          <w:sz w:val="18"/>
        </w:rPr>
        <w:t xml:space="preserve"> </w:t>
      </w:r>
      <w:r>
        <w:rPr>
          <w:sz w:val="18"/>
        </w:rPr>
        <w:t>to</w:t>
      </w:r>
      <w:r>
        <w:rPr>
          <w:spacing w:val="3"/>
          <w:sz w:val="18"/>
        </w:rPr>
        <w:t xml:space="preserve"> </w:t>
      </w:r>
      <w:r>
        <w:rPr>
          <w:spacing w:val="-2"/>
          <w:sz w:val="18"/>
        </w:rPr>
        <w:t>rounding.</w:t>
      </w:r>
    </w:p>
    <w:p w:rsidR="003F5784" w14:paraId="28A91ECB" w14:textId="77777777">
      <w:pPr>
        <w:spacing w:before="1"/>
        <w:ind w:left="595" w:right="318"/>
        <w:rPr>
          <w:sz w:val="18"/>
        </w:rPr>
      </w:pPr>
      <w:r>
        <w:rPr>
          <w:sz w:val="18"/>
        </w:rPr>
        <w:t>SOURCE: U.S. Department of Education, Institute of Education Sciences, National Center for Education Statistics, National</w:t>
      </w:r>
      <w:r>
        <w:rPr>
          <w:spacing w:val="-5"/>
          <w:sz w:val="18"/>
        </w:rPr>
        <w:t xml:space="preserve"> </w:t>
      </w:r>
      <w:r>
        <w:rPr>
          <w:sz w:val="18"/>
        </w:rPr>
        <w:t>Assessment of Educational Progress (NAEP), 2022 State Mathematics and Reading Assessments.</w:t>
      </w:r>
    </w:p>
    <w:p w:rsidR="003F5784" w14:paraId="7B0F17BA" w14:textId="77777777">
      <w:pPr>
        <w:pStyle w:val="BodyText"/>
        <w:rPr>
          <w:sz w:val="18"/>
        </w:rPr>
      </w:pPr>
    </w:p>
    <w:p w:rsidR="003F5784" w14:paraId="0D0E2D70" w14:textId="77777777">
      <w:pPr>
        <w:pStyle w:val="BodyText"/>
        <w:rPr>
          <w:sz w:val="18"/>
        </w:rPr>
      </w:pPr>
    </w:p>
    <w:p w:rsidR="003F5784" w14:paraId="73F1E6B2" w14:textId="77777777">
      <w:pPr>
        <w:pStyle w:val="BodyText"/>
        <w:rPr>
          <w:sz w:val="18"/>
        </w:rPr>
      </w:pPr>
    </w:p>
    <w:p w:rsidR="003F5784" w14:paraId="222C1FAB" w14:textId="77777777">
      <w:pPr>
        <w:pStyle w:val="BodyText"/>
        <w:spacing w:before="101"/>
        <w:rPr>
          <w:sz w:val="18"/>
        </w:rPr>
      </w:pPr>
    </w:p>
    <w:p w:rsidR="003F5784" w14:paraId="11C7B745" w14:textId="77777777">
      <w:pPr>
        <w:ind w:left="4551"/>
        <w:rPr>
          <w:sz w:val="18"/>
        </w:rPr>
      </w:pPr>
      <w:hyperlink r:id="rId255">
        <w:r>
          <w:rPr>
            <w:spacing w:val="-2"/>
            <w:w w:val="105"/>
            <w:sz w:val="18"/>
          </w:rPr>
          <w:t>http://nces.ed.gov/nationsreportcard/tdw/sample_design/2022/total_and_eligible_sampled_schools_for_the_2022_state_assessment.aspx</w:t>
        </w:r>
      </w:hyperlink>
    </w:p>
    <w:p w:rsidR="003F5784" w14:paraId="35CE84DE" w14:textId="77777777">
      <w:pPr>
        <w:pStyle w:val="BodyText"/>
        <w:spacing w:before="1"/>
        <w:rPr>
          <w:sz w:val="16"/>
        </w:rPr>
      </w:pPr>
      <w:r>
        <w:rPr>
          <w:noProof/>
        </w:rPr>
        <mc:AlternateContent>
          <mc:Choice Requires="wps">
            <w:drawing>
              <wp:anchor distT="0" distB="0" distL="0" distR="0" simplePos="0" relativeHeight="251917312" behindDoc="1" locked="0" layoutInCell="1" allowOverlap="1">
                <wp:simplePos x="0" y="0"/>
                <wp:positionH relativeFrom="page">
                  <wp:posOffset>361937</wp:posOffset>
                </wp:positionH>
                <wp:positionV relativeFrom="paragraph">
                  <wp:posOffset>132672</wp:posOffset>
                </wp:positionV>
                <wp:extent cx="9339580" cy="8890"/>
                <wp:effectExtent l="0" t="0" r="0" b="0"/>
                <wp:wrapTopAndBottom/>
                <wp:docPr id="315" name="Graphic 315"/>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67"/>
                              </a:lnTo>
                              <a:lnTo>
                                <a:pt x="9335110" y="8305"/>
                              </a:lnTo>
                              <a:lnTo>
                                <a:pt x="9338970" y="8305"/>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315" o:spid="_x0000_s1130" style="width:735.4pt;height:0.7pt;margin-top:10.45pt;margin-left:28.5pt;mso-position-horizontal-relative:page;mso-wrap-distance-bottom:0;mso-wrap-distance-left:0;mso-wrap-distance-right:0;mso-wrap-distance-top:0;mso-wrap-style:square;position:absolute;visibility:visible;v-text-anchor:top;z-index:-251398144" coordsize="9339580,8890" path="m9338970,25l9335110,25l8280,25,,,,8267l9335110,8305l9338970,8305l9338970,25xe" fillcolor="gray" stroked="f">
                <v:path arrowok="t"/>
                <w10:wrap type="topAndBottom"/>
              </v:shape>
            </w:pict>
          </mc:Fallback>
        </mc:AlternateContent>
      </w:r>
    </w:p>
    <w:p w:rsidR="003F5784" w14:paraId="4ECC1855" w14:textId="77777777">
      <w:pPr>
        <w:pStyle w:val="BodyText"/>
        <w:rPr>
          <w:sz w:val="18"/>
        </w:rPr>
      </w:pPr>
    </w:p>
    <w:p w:rsidR="003F5784" w14:paraId="06CE4D00" w14:textId="77777777">
      <w:pPr>
        <w:pStyle w:val="BodyText"/>
        <w:spacing w:before="193"/>
        <w:rPr>
          <w:sz w:val="18"/>
        </w:rPr>
      </w:pPr>
    </w:p>
    <w:p w:rsidR="003F5784" w14:paraId="336C9D7E" w14:textId="5B8D3DD2">
      <w:pPr>
        <w:pStyle w:val="Heading1"/>
      </w:pPr>
      <w:r>
        <w:t>NAEP</w:t>
      </w:r>
      <w:r>
        <w:rPr>
          <w:spacing w:val="-23"/>
        </w:rPr>
        <w:t xml:space="preserve"> </w:t>
      </w:r>
      <w:r>
        <w:t>Technical</w:t>
      </w:r>
      <w:r>
        <w:rPr>
          <w:spacing w:val="11"/>
        </w:rPr>
        <w:t xml:space="preserve"> </w:t>
      </w:r>
      <w:r>
        <w:t>Documentation</w:t>
      </w:r>
      <w:r w:rsidR="004C039D">
        <w:t xml:space="preserve"> </w:t>
      </w:r>
      <w:r>
        <w:t>Sampling</w:t>
      </w:r>
      <w:r>
        <w:rPr>
          <w:spacing w:val="11"/>
        </w:rPr>
        <w:t xml:space="preserve"> </w:t>
      </w:r>
      <w:r>
        <w:t>Frame</w:t>
      </w:r>
      <w:r>
        <w:rPr>
          <w:spacing w:val="11"/>
        </w:rPr>
        <w:t xml:space="preserve"> </w:t>
      </w:r>
      <w:r>
        <w:t>for</w:t>
      </w:r>
      <w:r>
        <w:rPr>
          <w:spacing w:val="3"/>
        </w:rPr>
        <w:t xml:space="preserve"> </w:t>
      </w:r>
      <w:r>
        <w:t>the</w:t>
      </w:r>
      <w:r>
        <w:rPr>
          <w:spacing w:val="10"/>
        </w:rPr>
        <w:t xml:space="preserve"> </w:t>
      </w:r>
      <w:r>
        <w:t>2022</w:t>
      </w:r>
      <w:r>
        <w:rPr>
          <w:spacing w:val="11"/>
        </w:rPr>
        <w:t xml:space="preserve"> </w:t>
      </w:r>
      <w:r>
        <w:t>State</w:t>
      </w:r>
      <w:r>
        <w:rPr>
          <w:spacing w:val="-14"/>
        </w:rPr>
        <w:t xml:space="preserve"> </w:t>
      </w:r>
      <w:r>
        <w:rPr>
          <w:spacing w:val="-2"/>
        </w:rPr>
        <w:t>Assessment</w:t>
      </w:r>
    </w:p>
    <w:p w:rsidR="003F5784" w14:paraId="68E2AFDB" w14:textId="77777777">
      <w:pPr>
        <w:pStyle w:val="BodyText"/>
        <w:spacing w:before="4"/>
        <w:rPr>
          <w:b/>
          <w:sz w:val="17"/>
        </w:rPr>
      </w:pPr>
    </w:p>
    <w:p w:rsidR="003F5784" w14:paraId="5B815087" w14:textId="77777777">
      <w:pPr>
        <w:rPr>
          <w:sz w:val="17"/>
        </w:rPr>
        <w:sectPr>
          <w:headerReference w:type="default" r:id="rId256"/>
          <w:footerReference w:type="default" r:id="rId257"/>
          <w:pgSz w:w="15840" w:h="12240" w:orient="landscape"/>
          <w:pgMar w:top="1120" w:right="440" w:bottom="460" w:left="460" w:header="305" w:footer="275" w:gutter="0"/>
          <w:cols w:space="720"/>
        </w:sectPr>
      </w:pPr>
    </w:p>
    <w:p w:rsidR="003F5784" w14:paraId="0AFB416F" w14:textId="77777777">
      <w:pPr>
        <w:pStyle w:val="BodyText"/>
        <w:spacing w:before="95" w:line="232" w:lineRule="auto"/>
        <w:ind w:left="109" w:right="38"/>
      </w:pPr>
      <w:r>
        <w:t>The</w:t>
      </w:r>
      <w:r>
        <w:rPr>
          <w:spacing w:val="-6"/>
        </w:rPr>
        <w:t xml:space="preserve"> </w:t>
      </w:r>
      <w:r>
        <w:t>primary</w:t>
      </w:r>
      <w:r>
        <w:rPr>
          <w:spacing w:val="-6"/>
        </w:rPr>
        <w:t xml:space="preserve"> </w:t>
      </w:r>
      <w:r>
        <w:t>sampling</w:t>
      </w:r>
      <w:r>
        <w:rPr>
          <w:spacing w:val="-6"/>
        </w:rPr>
        <w:t xml:space="preserve"> </w:t>
      </w:r>
      <w:r>
        <w:t>frames</w:t>
      </w:r>
      <w:r>
        <w:rPr>
          <w:spacing w:val="-6"/>
        </w:rPr>
        <w:t xml:space="preserve"> </w:t>
      </w:r>
      <w:r>
        <w:t>for</w:t>
      </w:r>
      <w:r>
        <w:rPr>
          <w:spacing w:val="-6"/>
        </w:rPr>
        <w:t xml:space="preserve"> </w:t>
      </w:r>
      <w:r>
        <w:t>the</w:t>
      </w:r>
      <w:r>
        <w:rPr>
          <w:spacing w:val="-6"/>
        </w:rPr>
        <w:t xml:space="preserve"> </w:t>
      </w:r>
      <w:r>
        <w:t>2022</w:t>
      </w:r>
      <w:r>
        <w:rPr>
          <w:spacing w:val="-6"/>
        </w:rPr>
        <w:t xml:space="preserve"> </w:t>
      </w:r>
      <w:r>
        <w:t>fourth-</w:t>
      </w:r>
      <w:r>
        <w:rPr>
          <w:spacing w:val="-6"/>
        </w:rPr>
        <w:t xml:space="preserve"> </w:t>
      </w:r>
      <w:r>
        <w:t>and</w:t>
      </w:r>
      <w:r>
        <w:rPr>
          <w:spacing w:val="-6"/>
        </w:rPr>
        <w:t xml:space="preserve"> </w:t>
      </w:r>
      <w:r>
        <w:t>eighth-grade</w:t>
      </w:r>
      <w:r>
        <w:rPr>
          <w:spacing w:val="-6"/>
        </w:rPr>
        <w:t xml:space="preserve"> </w:t>
      </w:r>
      <w:r>
        <w:t>public</w:t>
      </w:r>
      <w:r>
        <w:rPr>
          <w:spacing w:val="-6"/>
        </w:rPr>
        <w:t xml:space="preserve"> </w:t>
      </w:r>
      <w:r>
        <w:t>school</w:t>
      </w:r>
      <w:r>
        <w:rPr>
          <w:spacing w:val="-6"/>
        </w:rPr>
        <w:t xml:space="preserve"> </w:t>
      </w:r>
      <w:r>
        <w:t>samples</w:t>
      </w:r>
      <w:r>
        <w:rPr>
          <w:spacing w:val="-6"/>
        </w:rPr>
        <w:t xml:space="preserve"> </w:t>
      </w:r>
      <w:r>
        <w:t>for</w:t>
      </w:r>
      <w:r>
        <w:rPr>
          <w:spacing w:val="-6"/>
        </w:rPr>
        <w:t xml:space="preserve"> </w:t>
      </w:r>
      <w:r>
        <w:t>the</w:t>
      </w:r>
      <w:r>
        <w:rPr>
          <w:spacing w:val="-6"/>
        </w:rPr>
        <w:t xml:space="preserve"> </w:t>
      </w:r>
      <w:r>
        <w:t>state</w:t>
      </w:r>
      <w:r>
        <w:rPr>
          <w:spacing w:val="-6"/>
        </w:rPr>
        <w:t xml:space="preserve"> </w:t>
      </w:r>
      <w:r>
        <w:t>assessments</w:t>
      </w:r>
      <w:r>
        <w:rPr>
          <w:spacing w:val="-6"/>
        </w:rPr>
        <w:t xml:space="preserve"> </w:t>
      </w:r>
      <w:r>
        <w:t>in</w:t>
      </w:r>
      <w:r>
        <w:rPr>
          <w:spacing w:val="-6"/>
        </w:rPr>
        <w:t xml:space="preserve"> </w:t>
      </w:r>
      <w:r>
        <w:t>mathematics</w:t>
      </w:r>
      <w:r>
        <w:rPr>
          <w:spacing w:val="-6"/>
        </w:rPr>
        <w:t xml:space="preserve"> </w:t>
      </w:r>
      <w:r>
        <w:t xml:space="preserve">and reading were developed from the </w:t>
      </w:r>
      <w:r>
        <w:rPr>
          <w:color w:val="0066CC"/>
        </w:rPr>
        <w:t xml:space="preserve">Common Core of Data (CCD) </w:t>
      </w:r>
      <w:r>
        <w:t>file corresponding to the 2019–2020 school year.</w:t>
      </w:r>
      <w:r>
        <w:rPr>
          <w:spacing w:val="-3"/>
        </w:rPr>
        <w:t xml:space="preserve"> </w:t>
      </w:r>
      <w:r>
        <w:t>The CCD file is the Department</w:t>
      </w:r>
      <w:r>
        <w:rPr>
          <w:spacing w:val="-8"/>
        </w:rPr>
        <w:t xml:space="preserve"> </w:t>
      </w:r>
      <w:r>
        <w:t>of</w:t>
      </w:r>
      <w:r>
        <w:rPr>
          <w:spacing w:val="-8"/>
        </w:rPr>
        <w:t xml:space="preserve"> </w:t>
      </w:r>
      <w:r>
        <w:t>Education’s</w:t>
      </w:r>
      <w:r>
        <w:rPr>
          <w:spacing w:val="-8"/>
        </w:rPr>
        <w:t xml:space="preserve"> </w:t>
      </w:r>
      <w:r>
        <w:t>primary</w:t>
      </w:r>
      <w:r>
        <w:rPr>
          <w:spacing w:val="-8"/>
        </w:rPr>
        <w:t xml:space="preserve"> </w:t>
      </w:r>
      <w:r>
        <w:t>database</w:t>
      </w:r>
      <w:r>
        <w:rPr>
          <w:spacing w:val="-8"/>
        </w:rPr>
        <w:t xml:space="preserve"> </w:t>
      </w:r>
      <w:r>
        <w:t>of</w:t>
      </w:r>
      <w:r>
        <w:rPr>
          <w:spacing w:val="-8"/>
        </w:rPr>
        <w:t xml:space="preserve"> </w:t>
      </w:r>
      <w:r>
        <w:t>public</w:t>
      </w:r>
      <w:r>
        <w:rPr>
          <w:spacing w:val="-8"/>
        </w:rPr>
        <w:t xml:space="preserve"> </w:t>
      </w:r>
      <w:r>
        <w:t>elementary</w:t>
      </w:r>
      <w:r>
        <w:rPr>
          <w:spacing w:val="-8"/>
        </w:rPr>
        <w:t xml:space="preserve"> </w:t>
      </w:r>
      <w:r>
        <w:t>and</w:t>
      </w:r>
      <w:r>
        <w:rPr>
          <w:spacing w:val="-8"/>
        </w:rPr>
        <w:t xml:space="preserve"> </w:t>
      </w:r>
      <w:r>
        <w:t>secondary</w:t>
      </w:r>
      <w:r>
        <w:rPr>
          <w:spacing w:val="-8"/>
        </w:rPr>
        <w:t xml:space="preserve"> </w:t>
      </w:r>
      <w:r>
        <w:t>schools</w:t>
      </w:r>
      <w:r>
        <w:rPr>
          <w:spacing w:val="-8"/>
        </w:rPr>
        <w:t xml:space="preserve"> </w:t>
      </w:r>
      <w:r>
        <w:t>in</w:t>
      </w:r>
      <w:r>
        <w:rPr>
          <w:spacing w:val="-8"/>
        </w:rPr>
        <w:t xml:space="preserve"> </w:t>
      </w:r>
      <w:r>
        <w:t>the</w:t>
      </w:r>
      <w:r>
        <w:rPr>
          <w:spacing w:val="-8"/>
        </w:rPr>
        <w:t xml:space="preserve"> </w:t>
      </w:r>
      <w:r>
        <w:t>United</w:t>
      </w:r>
      <w:r>
        <w:rPr>
          <w:spacing w:val="-8"/>
        </w:rPr>
        <w:t xml:space="preserve"> </w:t>
      </w:r>
      <w:r>
        <w:t>States</w:t>
      </w:r>
      <w:r>
        <w:rPr>
          <w:spacing w:val="-8"/>
        </w:rPr>
        <w:t xml:space="preserve"> </w:t>
      </w:r>
      <w:r>
        <w:t>including</w:t>
      </w:r>
      <w:r>
        <w:rPr>
          <w:spacing w:val="-8"/>
        </w:rPr>
        <w:t xml:space="preserve"> </w:t>
      </w:r>
      <w:r>
        <w:t>U.S.</w:t>
      </w:r>
      <w:r>
        <w:rPr>
          <w:spacing w:val="-8"/>
        </w:rPr>
        <w:t xml:space="preserve"> </w:t>
      </w:r>
      <w:r>
        <w:t>territories. It includes all regular public, state-operated public, Bureau of Indian Education (BIE), and Department of Defense Education</w:t>
      </w:r>
      <w:r>
        <w:rPr>
          <w:spacing w:val="-11"/>
        </w:rPr>
        <w:t xml:space="preserve"> </w:t>
      </w:r>
      <w:r>
        <w:t>Activity (DoDEA) schools open during the 2019–2020 school year.</w:t>
      </w:r>
      <w:r>
        <w:rPr>
          <w:spacing w:val="-4"/>
        </w:rPr>
        <w:t xml:space="preserve"> </w:t>
      </w:r>
      <w:r>
        <w:t>These sampling frames are referred to as the CCD-based sampling frames.</w:t>
      </w:r>
    </w:p>
    <w:p w:rsidR="003F5784" w14:paraId="6409F280" w14:textId="77777777">
      <w:pPr>
        <w:pStyle w:val="BodyText"/>
        <w:spacing w:before="95" w:line="232" w:lineRule="auto"/>
        <w:ind w:left="109" w:right="219"/>
      </w:pPr>
      <w:r>
        <w:br w:type="column"/>
        <w:t>Fourth-</w:t>
      </w:r>
      <w:r>
        <w:rPr>
          <w:spacing w:val="-14"/>
        </w:rPr>
        <w:t xml:space="preserve"> </w:t>
      </w:r>
      <w:r>
        <w:t>and</w:t>
      </w:r>
      <w:r>
        <w:rPr>
          <w:spacing w:val="-13"/>
        </w:rPr>
        <w:t xml:space="preserve"> </w:t>
      </w:r>
      <w:r>
        <w:t>Eighth-Grade</w:t>
      </w:r>
      <w:r>
        <w:rPr>
          <w:spacing w:val="-13"/>
        </w:rPr>
        <w:t xml:space="preserve"> </w:t>
      </w:r>
      <w:r>
        <w:t>Schools and Enrollment</w:t>
      </w:r>
    </w:p>
    <w:p w:rsidR="003F5784" w14:paraId="6CA8F4A9" w14:textId="77777777">
      <w:pPr>
        <w:pStyle w:val="BodyText"/>
        <w:spacing w:before="230"/>
        <w:ind w:left="109"/>
      </w:pPr>
      <w:r>
        <w:t>New-School</w:t>
      </w:r>
      <w:r>
        <w:rPr>
          <w:spacing w:val="-11"/>
        </w:rPr>
        <w:t xml:space="preserve"> </w:t>
      </w:r>
      <w:r>
        <w:t>Sampling</w:t>
      </w:r>
      <w:r>
        <w:rPr>
          <w:spacing w:val="-10"/>
        </w:rPr>
        <w:t xml:space="preserve"> </w:t>
      </w:r>
      <w:r>
        <w:rPr>
          <w:spacing w:val="-2"/>
        </w:rPr>
        <w:t>Frame</w:t>
      </w:r>
    </w:p>
    <w:p w:rsidR="003F5784" w14:paraId="28BEE145" w14:textId="77777777">
      <w:pPr>
        <w:sectPr>
          <w:type w:val="continuous"/>
          <w:pgSz w:w="15840" w:h="12240" w:orient="landscape"/>
          <w:pgMar w:top="480" w:right="440" w:bottom="460" w:left="460" w:header="305" w:footer="275" w:gutter="0"/>
          <w:cols w:num="2" w:space="720" w:equalWidth="0">
            <w:col w:w="11454" w:space="277"/>
            <w:col w:w="3209"/>
          </w:cols>
        </w:sectPr>
      </w:pPr>
    </w:p>
    <w:p w:rsidR="003F5784" w14:paraId="3DD4E0DE" w14:textId="77777777">
      <w:pPr>
        <w:pStyle w:val="BodyText"/>
        <w:spacing w:before="211" w:line="232" w:lineRule="auto"/>
        <w:ind w:left="109" w:right="318"/>
      </w:pPr>
      <w:r>
        <w:t>A</w:t>
      </w:r>
      <w:r>
        <w:rPr>
          <w:spacing w:val="-14"/>
        </w:rPr>
        <w:t xml:space="preserve"> </w:t>
      </w:r>
      <w:r>
        <w:t>secondary</w:t>
      </w:r>
      <w:r>
        <w:rPr>
          <w:spacing w:val="-7"/>
        </w:rPr>
        <w:t xml:space="preserve"> </w:t>
      </w:r>
      <w:r>
        <w:t>set</w:t>
      </w:r>
      <w:r>
        <w:rPr>
          <w:spacing w:val="-6"/>
        </w:rPr>
        <w:t xml:space="preserve"> </w:t>
      </w:r>
      <w:r>
        <w:t>of</w:t>
      </w:r>
      <w:r>
        <w:rPr>
          <w:spacing w:val="-6"/>
        </w:rPr>
        <w:t xml:space="preserve"> </w:t>
      </w:r>
      <w:r>
        <w:t>sampling</w:t>
      </w:r>
      <w:r>
        <w:rPr>
          <w:spacing w:val="-6"/>
        </w:rPr>
        <w:t xml:space="preserve"> </w:t>
      </w:r>
      <w:r>
        <w:t>frames</w:t>
      </w:r>
      <w:r>
        <w:rPr>
          <w:spacing w:val="-6"/>
        </w:rPr>
        <w:t xml:space="preserve"> </w:t>
      </w:r>
      <w:r>
        <w:t>were</w:t>
      </w:r>
      <w:r>
        <w:rPr>
          <w:spacing w:val="-6"/>
        </w:rPr>
        <w:t xml:space="preserve"> </w:t>
      </w:r>
      <w:r>
        <w:t>also</w:t>
      </w:r>
      <w:r>
        <w:rPr>
          <w:spacing w:val="-6"/>
        </w:rPr>
        <w:t xml:space="preserve"> </w:t>
      </w:r>
      <w:r>
        <w:t>created</w:t>
      </w:r>
      <w:r>
        <w:rPr>
          <w:spacing w:val="-6"/>
        </w:rPr>
        <w:t xml:space="preserve"> </w:t>
      </w:r>
      <w:r>
        <w:t>for</w:t>
      </w:r>
      <w:r>
        <w:rPr>
          <w:spacing w:val="-6"/>
        </w:rPr>
        <w:t xml:space="preserve"> </w:t>
      </w:r>
      <w:r>
        <w:t>these</w:t>
      </w:r>
      <w:r>
        <w:rPr>
          <w:spacing w:val="-6"/>
        </w:rPr>
        <w:t xml:space="preserve"> </w:t>
      </w:r>
      <w:r>
        <w:t>fourth-</w:t>
      </w:r>
      <w:r>
        <w:rPr>
          <w:spacing w:val="-6"/>
        </w:rPr>
        <w:t xml:space="preserve"> </w:t>
      </w:r>
      <w:r>
        <w:t>and</w:t>
      </w:r>
      <w:r>
        <w:rPr>
          <w:spacing w:val="-6"/>
        </w:rPr>
        <w:t xml:space="preserve"> </w:t>
      </w:r>
      <w:r>
        <w:t>eighth-grade</w:t>
      </w:r>
      <w:r>
        <w:rPr>
          <w:spacing w:val="-6"/>
        </w:rPr>
        <w:t xml:space="preserve"> </w:t>
      </w:r>
      <w:r>
        <w:t>samples</w:t>
      </w:r>
      <w:r>
        <w:rPr>
          <w:spacing w:val="-6"/>
        </w:rPr>
        <w:t xml:space="preserve"> </w:t>
      </w:r>
      <w:r>
        <w:t>to</w:t>
      </w:r>
      <w:r>
        <w:rPr>
          <w:spacing w:val="-6"/>
        </w:rPr>
        <w:t xml:space="preserve"> </w:t>
      </w:r>
      <w:r>
        <w:t>account</w:t>
      </w:r>
      <w:r>
        <w:rPr>
          <w:spacing w:val="-6"/>
        </w:rPr>
        <w:t xml:space="preserve"> </w:t>
      </w:r>
      <w:r>
        <w:t>for</w:t>
      </w:r>
      <w:r>
        <w:rPr>
          <w:spacing w:val="-6"/>
        </w:rPr>
        <w:t xml:space="preserve"> </w:t>
      </w:r>
      <w:r>
        <w:t>schools</w:t>
      </w:r>
      <w:r>
        <w:rPr>
          <w:spacing w:val="-6"/>
        </w:rPr>
        <w:t xml:space="preserve"> </w:t>
      </w:r>
      <w:r>
        <w:t>that</w:t>
      </w:r>
      <w:r>
        <w:rPr>
          <w:spacing w:val="-6"/>
        </w:rPr>
        <w:t xml:space="preserve"> </w:t>
      </w:r>
      <w:r>
        <w:t>newly</w:t>
      </w:r>
      <w:r>
        <w:rPr>
          <w:spacing w:val="-6"/>
        </w:rPr>
        <w:t xml:space="preserve"> </w:t>
      </w:r>
      <w:r>
        <w:t>opened</w:t>
      </w:r>
      <w:r>
        <w:rPr>
          <w:spacing w:val="-6"/>
        </w:rPr>
        <w:t xml:space="preserve"> </w:t>
      </w:r>
      <w:r>
        <w:t>or</w:t>
      </w:r>
      <w:r>
        <w:rPr>
          <w:spacing w:val="-6"/>
        </w:rPr>
        <w:t xml:space="preserve"> </w:t>
      </w:r>
      <w:r>
        <w:t>became</w:t>
      </w:r>
      <w:r>
        <w:rPr>
          <w:spacing w:val="-6"/>
        </w:rPr>
        <w:t xml:space="preserve"> </w:t>
      </w:r>
      <w:r>
        <w:t>newly</w:t>
      </w:r>
      <w:r>
        <w:rPr>
          <w:spacing w:val="-6"/>
        </w:rPr>
        <w:t xml:space="preserve"> </w:t>
      </w:r>
      <w:r>
        <w:t>eligible</w:t>
      </w:r>
      <w:r>
        <w:rPr>
          <w:spacing w:val="-6"/>
        </w:rPr>
        <w:t xml:space="preserve"> </w:t>
      </w:r>
      <w:r>
        <w:t>between the 2019–2020 and 2021–2022 school years.</w:t>
      </w:r>
      <w:r>
        <w:rPr>
          <w:spacing w:val="-3"/>
        </w:rPr>
        <w:t xml:space="preserve"> </w:t>
      </w:r>
      <w:r>
        <w:t>These frames contain brand-new and newly-eligible fourth- and eighth-grade schools and are referred to as the new-school sampling frames.</w:t>
      </w:r>
    </w:p>
    <w:p w:rsidR="003F5784" w14:paraId="2AC38575" w14:textId="77777777">
      <w:pPr>
        <w:pStyle w:val="BodyText"/>
        <w:spacing w:before="209" w:line="232" w:lineRule="auto"/>
        <w:ind w:left="109"/>
      </w:pPr>
      <w:r>
        <w:t>Both</w:t>
      </w:r>
      <w:r>
        <w:rPr>
          <w:spacing w:val="-2"/>
        </w:rPr>
        <w:t xml:space="preserve"> </w:t>
      </w:r>
      <w:r>
        <w:t>sets</w:t>
      </w:r>
      <w:r>
        <w:rPr>
          <w:spacing w:val="-2"/>
        </w:rPr>
        <w:t xml:space="preserve"> </w:t>
      </w:r>
      <w:r>
        <w:t>of</w:t>
      </w:r>
      <w:r>
        <w:rPr>
          <w:spacing w:val="-2"/>
        </w:rPr>
        <w:t xml:space="preserve"> </w:t>
      </w:r>
      <w:r>
        <w:t>sampling</w:t>
      </w:r>
      <w:r>
        <w:rPr>
          <w:spacing w:val="-2"/>
        </w:rPr>
        <w:t xml:space="preserve"> </w:t>
      </w:r>
      <w:r>
        <w:t>frames</w:t>
      </w:r>
      <w:r>
        <w:rPr>
          <w:spacing w:val="-2"/>
        </w:rPr>
        <w:t xml:space="preserve"> </w:t>
      </w:r>
      <w:r>
        <w:t>excluded</w:t>
      </w:r>
      <w:r>
        <w:rPr>
          <w:spacing w:val="-2"/>
        </w:rPr>
        <w:t xml:space="preserve"> </w:t>
      </w:r>
      <w:r>
        <w:t>ungraded</w:t>
      </w:r>
      <w:r>
        <w:rPr>
          <w:spacing w:val="-2"/>
        </w:rPr>
        <w:t xml:space="preserve"> </w:t>
      </w:r>
      <w:r>
        <w:t>schools,</w:t>
      </w:r>
      <w:r>
        <w:rPr>
          <w:spacing w:val="-2"/>
        </w:rPr>
        <w:t xml:space="preserve"> </w:t>
      </w:r>
      <w:r>
        <w:t>vocational</w:t>
      </w:r>
      <w:r>
        <w:rPr>
          <w:spacing w:val="-2"/>
        </w:rPr>
        <w:t xml:space="preserve"> </w:t>
      </w:r>
      <w:r>
        <w:t>schools</w:t>
      </w:r>
      <w:r>
        <w:rPr>
          <w:spacing w:val="-2"/>
        </w:rPr>
        <w:t xml:space="preserve"> </w:t>
      </w:r>
      <w:r>
        <w:t>with</w:t>
      </w:r>
      <w:r>
        <w:rPr>
          <w:spacing w:val="-2"/>
        </w:rPr>
        <w:t xml:space="preserve"> </w:t>
      </w:r>
      <w:r>
        <w:t>no</w:t>
      </w:r>
      <w:r>
        <w:rPr>
          <w:spacing w:val="-2"/>
        </w:rPr>
        <w:t xml:space="preserve"> </w:t>
      </w:r>
      <w:r>
        <w:t>enrollment,</w:t>
      </w:r>
      <w:r>
        <w:rPr>
          <w:spacing w:val="-2"/>
        </w:rPr>
        <w:t xml:space="preserve"> </w:t>
      </w:r>
      <w:r>
        <w:t>special-education-only</w:t>
      </w:r>
      <w:r>
        <w:rPr>
          <w:spacing w:val="-2"/>
        </w:rPr>
        <w:t xml:space="preserve"> </w:t>
      </w:r>
      <w:r>
        <w:t>schools,</w:t>
      </w:r>
      <w:r>
        <w:rPr>
          <w:spacing w:val="-2"/>
        </w:rPr>
        <w:t xml:space="preserve"> </w:t>
      </w:r>
      <w:r>
        <w:t>prison</w:t>
      </w:r>
      <w:r>
        <w:rPr>
          <w:spacing w:val="-2"/>
        </w:rPr>
        <w:t xml:space="preserve"> </w:t>
      </w:r>
      <w:r>
        <w:t>and</w:t>
      </w:r>
      <w:r>
        <w:rPr>
          <w:spacing w:val="-2"/>
        </w:rPr>
        <w:t xml:space="preserve"> </w:t>
      </w:r>
      <w:r>
        <w:t>hospital</w:t>
      </w:r>
      <w:r>
        <w:rPr>
          <w:spacing w:val="-2"/>
        </w:rPr>
        <w:t xml:space="preserve"> </w:t>
      </w:r>
      <w:r>
        <w:t>schools,</w:t>
      </w:r>
      <w:r>
        <w:rPr>
          <w:spacing w:val="-2"/>
        </w:rPr>
        <w:t xml:space="preserve"> </w:t>
      </w:r>
      <w:r>
        <w:t>home</w:t>
      </w:r>
      <w:r>
        <w:rPr>
          <w:spacing w:val="-2"/>
        </w:rPr>
        <w:t xml:space="preserve"> </w:t>
      </w:r>
      <w:r>
        <w:t>school entities,</w:t>
      </w:r>
      <w:r>
        <w:rPr>
          <w:spacing w:val="-8"/>
        </w:rPr>
        <w:t xml:space="preserve"> </w:t>
      </w:r>
      <w:r>
        <w:t>virtual</w:t>
      </w:r>
      <w:r>
        <w:rPr>
          <w:spacing w:val="-8"/>
        </w:rPr>
        <w:t xml:space="preserve"> </w:t>
      </w:r>
      <w:r>
        <w:t>or</w:t>
      </w:r>
      <w:r>
        <w:rPr>
          <w:spacing w:val="-8"/>
        </w:rPr>
        <w:t xml:space="preserve"> </w:t>
      </w:r>
      <w:r>
        <w:t>online</w:t>
      </w:r>
      <w:r>
        <w:rPr>
          <w:spacing w:val="-8"/>
        </w:rPr>
        <w:t xml:space="preserve"> </w:t>
      </w:r>
      <w:r>
        <w:t>schools,</w:t>
      </w:r>
      <w:r>
        <w:rPr>
          <w:spacing w:val="-8"/>
        </w:rPr>
        <w:t xml:space="preserve"> </w:t>
      </w:r>
      <w:r>
        <w:t>adult</w:t>
      </w:r>
      <w:r>
        <w:rPr>
          <w:spacing w:val="-8"/>
        </w:rPr>
        <w:t xml:space="preserve"> </w:t>
      </w:r>
      <w:r>
        <w:t>and</w:t>
      </w:r>
      <w:r>
        <w:rPr>
          <w:spacing w:val="-8"/>
        </w:rPr>
        <w:t xml:space="preserve"> </w:t>
      </w:r>
      <w:r>
        <w:t>evening</w:t>
      </w:r>
      <w:r>
        <w:rPr>
          <w:spacing w:val="-8"/>
        </w:rPr>
        <w:t xml:space="preserve"> </w:t>
      </w:r>
      <w:r>
        <w:t>schools,</w:t>
      </w:r>
      <w:r>
        <w:rPr>
          <w:spacing w:val="-8"/>
        </w:rPr>
        <w:t xml:space="preserve"> </w:t>
      </w:r>
      <w:r>
        <w:t>and</w:t>
      </w:r>
      <w:r>
        <w:rPr>
          <w:spacing w:val="-8"/>
        </w:rPr>
        <w:t xml:space="preserve"> </w:t>
      </w:r>
      <w:r>
        <w:t>juvenile</w:t>
      </w:r>
      <w:r>
        <w:rPr>
          <w:spacing w:val="-8"/>
        </w:rPr>
        <w:t xml:space="preserve"> </w:t>
      </w:r>
      <w:r>
        <w:t>correctional</w:t>
      </w:r>
      <w:r>
        <w:rPr>
          <w:spacing w:val="-8"/>
        </w:rPr>
        <w:t xml:space="preserve"> </w:t>
      </w:r>
      <w:r>
        <w:t>institutions.</w:t>
      </w:r>
      <w:r>
        <w:rPr>
          <w:spacing w:val="-11"/>
        </w:rPr>
        <w:t xml:space="preserve"> </w:t>
      </w:r>
      <w:r>
        <w:t>Vocational</w:t>
      </w:r>
      <w:r>
        <w:rPr>
          <w:spacing w:val="-8"/>
        </w:rPr>
        <w:t xml:space="preserve"> </w:t>
      </w:r>
      <w:r>
        <w:t>schools</w:t>
      </w:r>
      <w:r>
        <w:rPr>
          <w:spacing w:val="-8"/>
        </w:rPr>
        <w:t xml:space="preserve"> </w:t>
      </w:r>
      <w:r>
        <w:t>with</w:t>
      </w:r>
      <w:r>
        <w:rPr>
          <w:spacing w:val="-8"/>
        </w:rPr>
        <w:t xml:space="preserve"> </w:t>
      </w:r>
      <w:r>
        <w:t>no</w:t>
      </w:r>
      <w:r>
        <w:rPr>
          <w:spacing w:val="-8"/>
        </w:rPr>
        <w:t xml:space="preserve"> </w:t>
      </w:r>
      <w:r>
        <w:t>enrollment</w:t>
      </w:r>
      <w:r>
        <w:rPr>
          <w:spacing w:val="-8"/>
        </w:rPr>
        <w:t xml:space="preserve"> </w:t>
      </w:r>
      <w:r>
        <w:t>serve</w:t>
      </w:r>
      <w:r>
        <w:rPr>
          <w:spacing w:val="-8"/>
        </w:rPr>
        <w:t xml:space="preserve"> </w:t>
      </w:r>
      <w:r>
        <w:t>students</w:t>
      </w:r>
      <w:r>
        <w:rPr>
          <w:spacing w:val="-8"/>
        </w:rPr>
        <w:t xml:space="preserve"> </w:t>
      </w:r>
      <w:r>
        <w:t>who</w:t>
      </w:r>
      <w:r>
        <w:rPr>
          <w:spacing w:val="-8"/>
        </w:rPr>
        <w:t xml:space="preserve"> </w:t>
      </w:r>
      <w:r>
        <w:t>split</w:t>
      </w:r>
      <w:r>
        <w:rPr>
          <w:spacing w:val="-8"/>
        </w:rPr>
        <w:t xml:space="preserve"> </w:t>
      </w:r>
      <w:r>
        <w:t>their</w:t>
      </w:r>
      <w:r>
        <w:rPr>
          <w:spacing w:val="-8"/>
        </w:rPr>
        <w:t xml:space="preserve"> </w:t>
      </w:r>
      <w:r>
        <w:t>time between the vocational school and their home school.</w:t>
      </w:r>
    </w:p>
    <w:p w:rsidR="003F5784" w14:paraId="29E3A70E" w14:textId="77777777">
      <w:pPr>
        <w:pStyle w:val="BodyText"/>
      </w:pPr>
    </w:p>
    <w:p w:rsidR="003F5784" w14:paraId="1D8C9DDA" w14:textId="77777777">
      <w:pPr>
        <w:pStyle w:val="BodyText"/>
      </w:pPr>
    </w:p>
    <w:p w:rsidR="003F5784" w14:paraId="36907EE6" w14:textId="77777777">
      <w:pPr>
        <w:pStyle w:val="BodyText"/>
        <w:spacing w:before="146"/>
      </w:pPr>
    </w:p>
    <w:p w:rsidR="003F5784" w14:paraId="60611B10" w14:textId="77777777">
      <w:pPr>
        <w:ind w:left="6063"/>
        <w:rPr>
          <w:sz w:val="18"/>
        </w:rPr>
      </w:pPr>
      <w:hyperlink r:id="rId258">
        <w:r>
          <w:rPr>
            <w:spacing w:val="-2"/>
            <w:w w:val="105"/>
            <w:sz w:val="18"/>
          </w:rPr>
          <w:t>http://nces.ed.gov/nationsreportcard/tdw/sample_design/2022/sampling_frame_for_the_2022_state_assessment.aspx</w:t>
        </w:r>
      </w:hyperlink>
    </w:p>
    <w:p w:rsidR="003F5784" w14:paraId="08582908" w14:textId="77777777">
      <w:pPr>
        <w:pStyle w:val="BodyText"/>
        <w:spacing w:before="11"/>
        <w:rPr>
          <w:sz w:val="14"/>
        </w:rPr>
      </w:pPr>
      <w:r>
        <w:rPr>
          <w:noProof/>
        </w:rPr>
        <mc:AlternateContent>
          <mc:Choice Requires="wps">
            <w:drawing>
              <wp:anchor distT="0" distB="0" distL="0" distR="0" simplePos="0" relativeHeight="251919360" behindDoc="1" locked="0" layoutInCell="1" allowOverlap="1">
                <wp:simplePos x="0" y="0"/>
                <wp:positionH relativeFrom="page">
                  <wp:posOffset>361937</wp:posOffset>
                </wp:positionH>
                <wp:positionV relativeFrom="paragraph">
                  <wp:posOffset>124410</wp:posOffset>
                </wp:positionV>
                <wp:extent cx="9339580" cy="8890"/>
                <wp:effectExtent l="0" t="0" r="0" b="0"/>
                <wp:wrapTopAndBottom/>
                <wp:docPr id="316" name="Graphic 31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38"/>
                              </a:moveTo>
                              <a:lnTo>
                                <a:pt x="9335110" y="38"/>
                              </a:lnTo>
                              <a:lnTo>
                                <a:pt x="8280" y="38"/>
                              </a:lnTo>
                              <a:lnTo>
                                <a:pt x="0" y="0"/>
                              </a:lnTo>
                              <a:lnTo>
                                <a:pt x="0" y="8280"/>
                              </a:lnTo>
                              <a:lnTo>
                                <a:pt x="9335110" y="8318"/>
                              </a:lnTo>
                              <a:lnTo>
                                <a:pt x="9338970" y="8318"/>
                              </a:lnTo>
                              <a:lnTo>
                                <a:pt x="9338970" y="38"/>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316" o:spid="_x0000_s1131" style="width:735.4pt;height:0.7pt;margin-top:9.8pt;margin-left:28.5pt;mso-position-horizontal-relative:page;mso-wrap-distance-bottom:0;mso-wrap-distance-left:0;mso-wrap-distance-right:0;mso-wrap-distance-top:0;mso-wrap-style:square;position:absolute;visibility:visible;v-text-anchor:top;z-index:-251396096" coordsize="9339580,8890" path="m9338970,38l9335110,38l8280,38,,,,8280l9335110,8318l9338970,8318l9338970,38xe" fillcolor="gray" stroked="f">
                <v:path arrowok="t"/>
                <w10:wrap type="topAndBottom"/>
              </v:shape>
            </w:pict>
          </mc:Fallback>
        </mc:AlternateContent>
      </w:r>
    </w:p>
    <w:p w:rsidR="003F5784" w14:paraId="392AC0D1" w14:textId="77777777">
      <w:pPr>
        <w:rPr>
          <w:sz w:val="14"/>
        </w:rPr>
        <w:sectPr>
          <w:type w:val="continuous"/>
          <w:pgSz w:w="15840" w:h="12240" w:orient="landscape"/>
          <w:pgMar w:top="480" w:right="440" w:bottom="460" w:left="460" w:header="305" w:footer="275" w:gutter="0"/>
          <w:cols w:space="720"/>
        </w:sectPr>
      </w:pPr>
    </w:p>
    <w:p w:rsidR="003F5784" w14:paraId="3833F282" w14:textId="54897C7A">
      <w:pPr>
        <w:pStyle w:val="Heading1"/>
        <w:spacing w:before="81" w:line="244" w:lineRule="auto"/>
        <w:ind w:right="1264"/>
      </w:pPr>
      <w:r>
        <w:t>NAEP</w:t>
      </w:r>
      <w:r>
        <w:rPr>
          <w:spacing w:val="-13"/>
        </w:rPr>
        <w:t xml:space="preserve"> </w:t>
      </w:r>
      <w:r>
        <w:t>Technical Documentation</w:t>
      </w:r>
      <w:r w:rsidR="004C039D">
        <w:t xml:space="preserve"> </w:t>
      </w:r>
      <w:r>
        <w:t>Fourth- and Eighth-Grade Schools and Enrollment in the 2022 State Assessment Sampling Frame</w:t>
      </w:r>
    </w:p>
    <w:p w:rsidR="003F5784" w14:paraId="3BEB443C" w14:textId="77777777">
      <w:pPr>
        <w:pStyle w:val="BodyText"/>
        <w:spacing w:before="273" w:line="232" w:lineRule="auto"/>
        <w:ind w:left="109" w:right="507"/>
        <w:jc w:val="both"/>
      </w:pPr>
      <w:r>
        <w:t>The</w:t>
      </w:r>
      <w:r>
        <w:rPr>
          <w:spacing w:val="-6"/>
        </w:rPr>
        <w:t xml:space="preserve"> </w:t>
      </w:r>
      <w:r>
        <w:t>following</w:t>
      </w:r>
      <w:r>
        <w:rPr>
          <w:spacing w:val="-6"/>
        </w:rPr>
        <w:t xml:space="preserve"> </w:t>
      </w:r>
      <w:r>
        <w:t>table</w:t>
      </w:r>
      <w:r>
        <w:rPr>
          <w:spacing w:val="-6"/>
        </w:rPr>
        <w:t xml:space="preserve"> </w:t>
      </w:r>
      <w:r>
        <w:t>presents</w:t>
      </w:r>
      <w:r>
        <w:rPr>
          <w:spacing w:val="-6"/>
        </w:rPr>
        <w:t xml:space="preserve"> </w:t>
      </w:r>
      <w:r>
        <w:t>the</w:t>
      </w:r>
      <w:r>
        <w:rPr>
          <w:spacing w:val="-6"/>
        </w:rPr>
        <w:t xml:space="preserve"> </w:t>
      </w:r>
      <w:r>
        <w:t>number</w:t>
      </w:r>
      <w:r>
        <w:rPr>
          <w:spacing w:val="-6"/>
        </w:rPr>
        <w:t xml:space="preserve"> </w:t>
      </w:r>
      <w:r>
        <w:t>of</w:t>
      </w:r>
      <w:r>
        <w:rPr>
          <w:spacing w:val="-6"/>
        </w:rPr>
        <w:t xml:space="preserve"> </w:t>
      </w:r>
      <w:r>
        <w:t>fourth-</w:t>
      </w:r>
      <w:r>
        <w:rPr>
          <w:spacing w:val="-6"/>
        </w:rPr>
        <w:t xml:space="preserve"> </w:t>
      </w:r>
      <w:r>
        <w:t>and</w:t>
      </w:r>
      <w:r>
        <w:rPr>
          <w:spacing w:val="-6"/>
        </w:rPr>
        <w:t xml:space="preserve"> </w:t>
      </w:r>
      <w:r>
        <w:t>eighth-grade</w:t>
      </w:r>
      <w:r>
        <w:rPr>
          <w:spacing w:val="-6"/>
        </w:rPr>
        <w:t xml:space="preserve"> </w:t>
      </w:r>
      <w:r>
        <w:t>public</w:t>
      </w:r>
      <w:r>
        <w:rPr>
          <w:spacing w:val="-6"/>
        </w:rPr>
        <w:t xml:space="preserve"> </w:t>
      </w:r>
      <w:r>
        <w:t>schools</w:t>
      </w:r>
      <w:r>
        <w:rPr>
          <w:spacing w:val="-6"/>
        </w:rPr>
        <w:t xml:space="preserve"> </w:t>
      </w:r>
      <w:r>
        <w:t>and</w:t>
      </w:r>
      <w:r>
        <w:rPr>
          <w:spacing w:val="-6"/>
        </w:rPr>
        <w:t xml:space="preserve"> </w:t>
      </w:r>
      <w:r>
        <w:t>their</w:t>
      </w:r>
      <w:r>
        <w:rPr>
          <w:spacing w:val="-6"/>
        </w:rPr>
        <w:t xml:space="preserve"> </w:t>
      </w:r>
      <w:r>
        <w:t>estimated</w:t>
      </w:r>
      <w:r>
        <w:rPr>
          <w:spacing w:val="-6"/>
        </w:rPr>
        <w:t xml:space="preserve"> </w:t>
      </w:r>
      <w:r>
        <w:t>enrollment,</w:t>
      </w:r>
      <w:r>
        <w:rPr>
          <w:spacing w:val="-6"/>
        </w:rPr>
        <w:t xml:space="preserve"> </w:t>
      </w:r>
      <w:r>
        <w:t>as</w:t>
      </w:r>
      <w:r>
        <w:rPr>
          <w:spacing w:val="-6"/>
        </w:rPr>
        <w:t xml:space="preserve"> </w:t>
      </w:r>
      <w:r>
        <w:t>contained</w:t>
      </w:r>
      <w:r>
        <w:rPr>
          <w:spacing w:val="-6"/>
        </w:rPr>
        <w:t xml:space="preserve"> </w:t>
      </w:r>
      <w:r>
        <w:t>in</w:t>
      </w:r>
      <w:r>
        <w:rPr>
          <w:spacing w:val="-6"/>
        </w:rPr>
        <w:t xml:space="preserve"> </w:t>
      </w:r>
      <w:r>
        <w:t>the</w:t>
      </w:r>
      <w:r>
        <w:rPr>
          <w:spacing w:val="-6"/>
        </w:rPr>
        <w:t xml:space="preserve"> </w:t>
      </w:r>
      <w:r>
        <w:t>Common</w:t>
      </w:r>
      <w:r>
        <w:rPr>
          <w:spacing w:val="-6"/>
        </w:rPr>
        <w:t xml:space="preserve"> </w:t>
      </w:r>
      <w:r>
        <w:t>Core</w:t>
      </w:r>
      <w:r>
        <w:rPr>
          <w:spacing w:val="-6"/>
        </w:rPr>
        <w:t xml:space="preserve"> </w:t>
      </w:r>
      <w:r>
        <w:t>of</w:t>
      </w:r>
      <w:r>
        <w:rPr>
          <w:spacing w:val="-6"/>
        </w:rPr>
        <w:t xml:space="preserve"> </w:t>
      </w:r>
      <w:r>
        <w:t>Data</w:t>
      </w:r>
      <w:r>
        <w:rPr>
          <w:spacing w:val="-6"/>
        </w:rPr>
        <w:t xml:space="preserve"> </w:t>
      </w:r>
      <w:r>
        <w:t>(CCD)-based sampling</w:t>
      </w:r>
      <w:r>
        <w:rPr>
          <w:spacing w:val="-5"/>
        </w:rPr>
        <w:t xml:space="preserve"> </w:t>
      </w:r>
      <w:r>
        <w:t>frames,</w:t>
      </w:r>
      <w:r>
        <w:rPr>
          <w:spacing w:val="-5"/>
        </w:rPr>
        <w:t xml:space="preserve"> </w:t>
      </w:r>
      <w:r>
        <w:t>by</w:t>
      </w:r>
      <w:r>
        <w:rPr>
          <w:spacing w:val="-5"/>
        </w:rPr>
        <w:t xml:space="preserve"> </w:t>
      </w:r>
      <w:r>
        <w:t>jurisdiction,</w:t>
      </w:r>
      <w:r>
        <w:rPr>
          <w:spacing w:val="-5"/>
        </w:rPr>
        <w:t xml:space="preserve"> </w:t>
      </w:r>
      <w:r>
        <w:t>for</w:t>
      </w:r>
      <w:r>
        <w:rPr>
          <w:spacing w:val="-5"/>
        </w:rPr>
        <w:t xml:space="preserve"> </w:t>
      </w:r>
      <w:r>
        <w:t>the</w:t>
      </w:r>
      <w:r>
        <w:rPr>
          <w:spacing w:val="-5"/>
        </w:rPr>
        <w:t xml:space="preserve"> </w:t>
      </w:r>
      <w:r>
        <w:t>state</w:t>
      </w:r>
      <w:r>
        <w:rPr>
          <w:spacing w:val="-5"/>
        </w:rPr>
        <w:t xml:space="preserve"> </w:t>
      </w:r>
      <w:r>
        <w:t>mathematics</w:t>
      </w:r>
      <w:r>
        <w:rPr>
          <w:spacing w:val="-5"/>
        </w:rPr>
        <w:t xml:space="preserve"> </w:t>
      </w:r>
      <w:r>
        <w:t>and</w:t>
      </w:r>
      <w:r>
        <w:rPr>
          <w:spacing w:val="-5"/>
        </w:rPr>
        <w:t xml:space="preserve"> </w:t>
      </w:r>
      <w:r>
        <w:t>reading</w:t>
      </w:r>
      <w:r>
        <w:rPr>
          <w:spacing w:val="-5"/>
        </w:rPr>
        <w:t xml:space="preserve"> </w:t>
      </w:r>
      <w:r>
        <w:t>assessments.</w:t>
      </w:r>
      <w:r>
        <w:rPr>
          <w:spacing w:val="-5"/>
        </w:rPr>
        <w:t xml:space="preserve"> </w:t>
      </w:r>
      <w:r>
        <w:t>Grade</w:t>
      </w:r>
      <w:r>
        <w:rPr>
          <w:spacing w:val="-5"/>
        </w:rPr>
        <w:t xml:space="preserve"> </w:t>
      </w:r>
      <w:r>
        <w:t>4</w:t>
      </w:r>
      <w:r>
        <w:rPr>
          <w:spacing w:val="-5"/>
        </w:rPr>
        <w:t xml:space="preserve"> </w:t>
      </w:r>
      <w:r>
        <w:t>or</w:t>
      </w:r>
      <w:r>
        <w:rPr>
          <w:spacing w:val="-5"/>
        </w:rPr>
        <w:t xml:space="preserve"> </w:t>
      </w:r>
      <w:r>
        <w:t>grade</w:t>
      </w:r>
      <w:r>
        <w:rPr>
          <w:spacing w:val="-5"/>
        </w:rPr>
        <w:t xml:space="preserve"> </w:t>
      </w:r>
      <w:r>
        <w:t>8</w:t>
      </w:r>
      <w:r>
        <w:rPr>
          <w:spacing w:val="-5"/>
        </w:rPr>
        <w:t xml:space="preserve"> </w:t>
      </w:r>
      <w:r>
        <w:t>enrollment</w:t>
      </w:r>
      <w:r>
        <w:rPr>
          <w:spacing w:val="-5"/>
        </w:rPr>
        <w:t xml:space="preserve"> </w:t>
      </w:r>
      <w:r>
        <w:t>was</w:t>
      </w:r>
      <w:r>
        <w:rPr>
          <w:spacing w:val="-5"/>
        </w:rPr>
        <w:t xml:space="preserve"> </w:t>
      </w:r>
      <w:r>
        <w:t>estimated</w:t>
      </w:r>
      <w:r>
        <w:rPr>
          <w:spacing w:val="-5"/>
        </w:rPr>
        <w:t xml:space="preserve"> </w:t>
      </w:r>
      <w:r>
        <w:t>for</w:t>
      </w:r>
      <w:r>
        <w:rPr>
          <w:spacing w:val="-5"/>
        </w:rPr>
        <w:t xml:space="preserve"> </w:t>
      </w:r>
      <w:r>
        <w:t>each</w:t>
      </w:r>
      <w:r>
        <w:rPr>
          <w:spacing w:val="-5"/>
        </w:rPr>
        <w:t xml:space="preserve"> </w:t>
      </w:r>
      <w:r>
        <w:t>school</w:t>
      </w:r>
      <w:r>
        <w:rPr>
          <w:spacing w:val="-5"/>
        </w:rPr>
        <w:t xml:space="preserve"> </w:t>
      </w:r>
      <w:r>
        <w:t>as</w:t>
      </w:r>
      <w:r>
        <w:rPr>
          <w:spacing w:val="-5"/>
        </w:rPr>
        <w:t xml:space="preserve"> </w:t>
      </w:r>
      <w:r>
        <w:t>the</w:t>
      </w:r>
      <w:r>
        <w:rPr>
          <w:spacing w:val="-5"/>
        </w:rPr>
        <w:t xml:space="preserve"> </w:t>
      </w:r>
      <w:r>
        <w:t>average</w:t>
      </w:r>
      <w:r>
        <w:rPr>
          <w:spacing w:val="-5"/>
        </w:rPr>
        <w:t xml:space="preserve"> </w:t>
      </w:r>
      <w:r>
        <w:t>of</w:t>
      </w:r>
      <w:r>
        <w:rPr>
          <w:spacing w:val="-5"/>
        </w:rPr>
        <w:t xml:space="preserve"> </w:t>
      </w:r>
      <w:r>
        <w:t>the</w:t>
      </w:r>
      <w:r>
        <w:rPr>
          <w:spacing w:val="-5"/>
        </w:rPr>
        <w:t xml:space="preserve"> </w:t>
      </w:r>
      <w:r>
        <w:t>per- grade enrollments for grades 1 through 8, counting only the grades in that range that were offered by the school.</w:t>
      </w:r>
    </w:p>
    <w:p w:rsidR="003F5784" w14:paraId="4BA597EC" w14:textId="77777777">
      <w:pPr>
        <w:pStyle w:val="BodyText"/>
        <w:spacing w:before="93"/>
      </w:pPr>
    </w:p>
    <w:p w:rsidR="003F5784" w14:paraId="2AC228AE" w14:textId="77777777">
      <w:pPr>
        <w:pStyle w:val="Heading2"/>
      </w:pPr>
      <w:r>
        <w:t>Number</w:t>
      </w:r>
      <w:r>
        <w:rPr>
          <w:spacing w:val="-11"/>
        </w:rPr>
        <w:t xml:space="preserve"> </w:t>
      </w:r>
      <w:r>
        <w:t>of</w:t>
      </w:r>
      <w:r>
        <w:rPr>
          <w:spacing w:val="-7"/>
        </w:rPr>
        <w:t xml:space="preserve"> </w:t>
      </w:r>
      <w:r>
        <w:t>schools</w:t>
      </w:r>
      <w:r>
        <w:rPr>
          <w:spacing w:val="-7"/>
        </w:rPr>
        <w:t xml:space="preserve"> </w:t>
      </w:r>
      <w:r>
        <w:t>and</w:t>
      </w:r>
      <w:r>
        <w:rPr>
          <w:spacing w:val="-7"/>
        </w:rPr>
        <w:t xml:space="preserve"> </w:t>
      </w:r>
      <w:r>
        <w:t>enrollment</w:t>
      </w:r>
      <w:r>
        <w:rPr>
          <w:spacing w:val="-7"/>
        </w:rPr>
        <w:t xml:space="preserve"> </w:t>
      </w:r>
      <w:r>
        <w:t>in</w:t>
      </w:r>
      <w:r>
        <w:rPr>
          <w:spacing w:val="-7"/>
        </w:rPr>
        <w:t xml:space="preserve"> </w:t>
      </w:r>
      <w:r>
        <w:t>public</w:t>
      </w:r>
      <w:r>
        <w:rPr>
          <w:spacing w:val="-7"/>
        </w:rPr>
        <w:t xml:space="preserve"> </w:t>
      </w:r>
      <w:r>
        <w:t>school</w:t>
      </w:r>
      <w:r>
        <w:rPr>
          <w:spacing w:val="-7"/>
        </w:rPr>
        <w:t xml:space="preserve"> </w:t>
      </w:r>
      <w:r>
        <w:t>sampling</w:t>
      </w:r>
      <w:r>
        <w:rPr>
          <w:spacing w:val="-7"/>
        </w:rPr>
        <w:t xml:space="preserve"> </w:t>
      </w:r>
      <w:r>
        <w:t>frame,</w:t>
      </w:r>
      <w:r>
        <w:rPr>
          <w:spacing w:val="-7"/>
        </w:rPr>
        <w:t xml:space="preserve"> </w:t>
      </w:r>
      <w:r>
        <w:t>state</w:t>
      </w:r>
      <w:r>
        <w:rPr>
          <w:spacing w:val="-7"/>
        </w:rPr>
        <w:t xml:space="preserve"> </w:t>
      </w:r>
      <w:r>
        <w:t>assessment,</w:t>
      </w:r>
      <w:r>
        <w:rPr>
          <w:spacing w:val="-8"/>
        </w:rPr>
        <w:t xml:space="preserve"> </w:t>
      </w:r>
      <w:r>
        <w:t>by</w:t>
      </w:r>
      <w:r>
        <w:rPr>
          <w:spacing w:val="-7"/>
        </w:rPr>
        <w:t xml:space="preserve"> </w:t>
      </w:r>
      <w:r>
        <w:t>grade</w:t>
      </w:r>
      <w:r>
        <w:rPr>
          <w:spacing w:val="-7"/>
        </w:rPr>
        <w:t xml:space="preserve"> </w:t>
      </w:r>
      <w:r>
        <w:t>and</w:t>
      </w:r>
      <w:r>
        <w:rPr>
          <w:spacing w:val="-7"/>
        </w:rPr>
        <w:t xml:space="preserve"> </w:t>
      </w:r>
      <w:r>
        <w:t>jurisdiction:</w:t>
      </w:r>
      <w:r>
        <w:rPr>
          <w:spacing w:val="-7"/>
        </w:rPr>
        <w:t xml:space="preserve"> </w:t>
      </w:r>
      <w:r>
        <w:rPr>
          <w:spacing w:val="-4"/>
        </w:rPr>
        <w:t>2022</w:t>
      </w:r>
    </w:p>
    <w:p w:rsidR="003F5784" w14:paraId="759F5CEC" w14:textId="77777777">
      <w:pPr>
        <w:pStyle w:val="BodyText"/>
        <w:spacing w:before="10" w:after="1"/>
        <w:rPr>
          <w:b/>
          <w:sz w:val="11"/>
        </w:rPr>
      </w:pPr>
    </w:p>
    <w:tbl>
      <w:tblPr>
        <w:tblW w:w="0" w:type="auto"/>
        <w:tblInd w:w="482" w:type="dxa"/>
        <w:tblLayout w:type="fixed"/>
        <w:tblCellMar>
          <w:left w:w="0" w:type="dxa"/>
          <w:right w:w="0" w:type="dxa"/>
        </w:tblCellMar>
        <w:tblLook w:val="01E0"/>
      </w:tblPr>
      <w:tblGrid>
        <w:gridCol w:w="7520"/>
        <w:gridCol w:w="2059"/>
        <w:gridCol w:w="1422"/>
        <w:gridCol w:w="1478"/>
        <w:gridCol w:w="1506"/>
      </w:tblGrid>
      <w:tr w14:paraId="156D200F" w14:textId="77777777">
        <w:tblPrEx>
          <w:tblW w:w="0" w:type="auto"/>
          <w:tblInd w:w="482" w:type="dxa"/>
          <w:tblLayout w:type="fixed"/>
          <w:tblCellMar>
            <w:left w:w="0" w:type="dxa"/>
            <w:right w:w="0" w:type="dxa"/>
          </w:tblCellMar>
          <w:tblLook w:val="01E0"/>
        </w:tblPrEx>
        <w:trPr>
          <w:trHeight w:val="267"/>
        </w:trPr>
        <w:tc>
          <w:tcPr>
            <w:tcW w:w="7520" w:type="dxa"/>
            <w:tcBorders>
              <w:top w:val="single" w:sz="18" w:space="0" w:color="800000"/>
            </w:tcBorders>
          </w:tcPr>
          <w:p w:rsidR="003F5784" w14:paraId="7DBCAF09" w14:textId="77777777">
            <w:pPr>
              <w:pStyle w:val="TableParagraph"/>
              <w:spacing w:before="0"/>
              <w:jc w:val="left"/>
              <w:rPr>
                <w:sz w:val="18"/>
              </w:rPr>
            </w:pPr>
          </w:p>
        </w:tc>
        <w:tc>
          <w:tcPr>
            <w:tcW w:w="2059" w:type="dxa"/>
            <w:tcBorders>
              <w:top w:val="single" w:sz="18" w:space="0" w:color="800000"/>
              <w:bottom w:val="single" w:sz="18" w:space="0" w:color="800000"/>
            </w:tcBorders>
          </w:tcPr>
          <w:p w:rsidR="003F5784" w14:paraId="4A93DC49" w14:textId="77777777">
            <w:pPr>
              <w:pStyle w:val="TableParagraph"/>
              <w:spacing w:before="9" w:line="238" w:lineRule="exact"/>
              <w:ind w:left="1278"/>
              <w:jc w:val="left"/>
              <w:rPr>
                <w:sz w:val="21"/>
              </w:rPr>
            </w:pPr>
            <w:r>
              <w:rPr>
                <w:sz w:val="21"/>
              </w:rPr>
              <w:t>Grade</w:t>
            </w:r>
            <w:r>
              <w:rPr>
                <w:spacing w:val="-7"/>
                <w:sz w:val="21"/>
              </w:rPr>
              <w:t xml:space="preserve"> </w:t>
            </w:r>
            <w:r>
              <w:rPr>
                <w:spacing w:val="-10"/>
                <w:sz w:val="21"/>
              </w:rPr>
              <w:t>4</w:t>
            </w:r>
          </w:p>
        </w:tc>
        <w:tc>
          <w:tcPr>
            <w:tcW w:w="1422" w:type="dxa"/>
            <w:tcBorders>
              <w:top w:val="single" w:sz="18" w:space="0" w:color="800000"/>
              <w:bottom w:val="single" w:sz="18" w:space="0" w:color="800000"/>
            </w:tcBorders>
          </w:tcPr>
          <w:p w:rsidR="003F5784" w14:paraId="2576CBA4" w14:textId="77777777">
            <w:pPr>
              <w:pStyle w:val="TableParagraph"/>
              <w:spacing w:before="0"/>
              <w:jc w:val="left"/>
              <w:rPr>
                <w:sz w:val="18"/>
              </w:rPr>
            </w:pPr>
          </w:p>
        </w:tc>
        <w:tc>
          <w:tcPr>
            <w:tcW w:w="2984" w:type="dxa"/>
            <w:gridSpan w:val="2"/>
            <w:tcBorders>
              <w:top w:val="single" w:sz="18" w:space="0" w:color="800000"/>
              <w:bottom w:val="single" w:sz="18" w:space="0" w:color="800000"/>
            </w:tcBorders>
          </w:tcPr>
          <w:p w:rsidR="003F5784" w14:paraId="596F145D" w14:textId="77777777">
            <w:pPr>
              <w:pStyle w:val="TableParagraph"/>
              <w:spacing w:before="9" w:line="238" w:lineRule="exact"/>
              <w:ind w:right="254"/>
              <w:jc w:val="center"/>
              <w:rPr>
                <w:sz w:val="21"/>
              </w:rPr>
            </w:pPr>
            <w:r>
              <w:rPr>
                <w:sz w:val="21"/>
              </w:rPr>
              <w:t>Grade</w:t>
            </w:r>
            <w:r>
              <w:rPr>
                <w:spacing w:val="-7"/>
                <w:sz w:val="21"/>
              </w:rPr>
              <w:t xml:space="preserve"> </w:t>
            </w:r>
            <w:r>
              <w:rPr>
                <w:spacing w:val="-10"/>
                <w:sz w:val="21"/>
              </w:rPr>
              <w:t>8</w:t>
            </w:r>
          </w:p>
        </w:tc>
      </w:tr>
      <w:tr w14:paraId="1528D6A7" w14:textId="77777777">
        <w:tblPrEx>
          <w:tblW w:w="0" w:type="auto"/>
          <w:tblInd w:w="482" w:type="dxa"/>
          <w:tblLayout w:type="fixed"/>
          <w:tblCellMar>
            <w:left w:w="0" w:type="dxa"/>
            <w:right w:w="0" w:type="dxa"/>
          </w:tblCellMar>
          <w:tblLook w:val="01E0"/>
        </w:tblPrEx>
        <w:trPr>
          <w:trHeight w:val="267"/>
        </w:trPr>
        <w:tc>
          <w:tcPr>
            <w:tcW w:w="7520" w:type="dxa"/>
            <w:tcBorders>
              <w:bottom w:val="single" w:sz="18" w:space="0" w:color="800000"/>
            </w:tcBorders>
          </w:tcPr>
          <w:p w:rsidR="003F5784" w14:paraId="1673A4FC" w14:textId="77777777">
            <w:pPr>
              <w:pStyle w:val="TableParagraph"/>
              <w:spacing w:before="9" w:line="238" w:lineRule="exact"/>
              <w:ind w:left="120"/>
              <w:jc w:val="left"/>
              <w:rPr>
                <w:sz w:val="21"/>
              </w:rPr>
            </w:pPr>
            <w:r>
              <w:rPr>
                <w:spacing w:val="-2"/>
                <w:sz w:val="21"/>
              </w:rPr>
              <w:t>Jurisdiction</w:t>
            </w:r>
          </w:p>
        </w:tc>
        <w:tc>
          <w:tcPr>
            <w:tcW w:w="2059" w:type="dxa"/>
            <w:tcBorders>
              <w:top w:val="single" w:sz="18" w:space="0" w:color="800000"/>
              <w:bottom w:val="single" w:sz="18" w:space="0" w:color="800000"/>
            </w:tcBorders>
          </w:tcPr>
          <w:p w:rsidR="003F5784" w14:paraId="6D8D2099" w14:textId="77777777">
            <w:pPr>
              <w:pStyle w:val="TableParagraph"/>
              <w:spacing w:before="9" w:line="238" w:lineRule="exact"/>
              <w:ind w:left="616"/>
              <w:jc w:val="left"/>
              <w:rPr>
                <w:sz w:val="21"/>
              </w:rPr>
            </w:pPr>
            <w:r>
              <w:rPr>
                <w:spacing w:val="-2"/>
                <w:sz w:val="21"/>
              </w:rPr>
              <w:t>Schools</w:t>
            </w:r>
          </w:p>
        </w:tc>
        <w:tc>
          <w:tcPr>
            <w:tcW w:w="1422" w:type="dxa"/>
            <w:tcBorders>
              <w:top w:val="single" w:sz="18" w:space="0" w:color="800000"/>
              <w:bottom w:val="single" w:sz="18" w:space="0" w:color="800000"/>
            </w:tcBorders>
          </w:tcPr>
          <w:p w:rsidR="003F5784" w14:paraId="5A28919B" w14:textId="77777777">
            <w:pPr>
              <w:pStyle w:val="TableParagraph"/>
              <w:spacing w:before="9" w:line="238" w:lineRule="exact"/>
              <w:ind w:right="368"/>
              <w:rPr>
                <w:sz w:val="21"/>
              </w:rPr>
            </w:pPr>
            <w:r>
              <w:rPr>
                <w:spacing w:val="-2"/>
                <w:sz w:val="21"/>
              </w:rPr>
              <w:t>Enrollment</w:t>
            </w:r>
          </w:p>
        </w:tc>
        <w:tc>
          <w:tcPr>
            <w:tcW w:w="1478" w:type="dxa"/>
            <w:tcBorders>
              <w:top w:val="single" w:sz="18" w:space="0" w:color="800000"/>
              <w:bottom w:val="single" w:sz="18" w:space="0" w:color="800000"/>
            </w:tcBorders>
          </w:tcPr>
          <w:p w:rsidR="003F5784" w14:paraId="6166C33E" w14:textId="77777777">
            <w:pPr>
              <w:pStyle w:val="TableParagraph"/>
              <w:spacing w:before="9" w:line="238" w:lineRule="exact"/>
              <w:ind w:right="446"/>
              <w:rPr>
                <w:sz w:val="21"/>
              </w:rPr>
            </w:pPr>
            <w:r>
              <w:rPr>
                <w:spacing w:val="-2"/>
                <w:sz w:val="21"/>
              </w:rPr>
              <w:t>Schools</w:t>
            </w:r>
          </w:p>
        </w:tc>
        <w:tc>
          <w:tcPr>
            <w:tcW w:w="1506" w:type="dxa"/>
            <w:tcBorders>
              <w:top w:val="single" w:sz="18" w:space="0" w:color="800000"/>
              <w:bottom w:val="single" w:sz="18" w:space="0" w:color="800000"/>
            </w:tcBorders>
          </w:tcPr>
          <w:p w:rsidR="003F5784" w14:paraId="3E5D1CDB" w14:textId="77777777">
            <w:pPr>
              <w:pStyle w:val="TableParagraph"/>
              <w:spacing w:before="9" w:line="238" w:lineRule="exact"/>
              <w:ind w:right="118"/>
              <w:rPr>
                <w:sz w:val="21"/>
              </w:rPr>
            </w:pPr>
            <w:r>
              <w:rPr>
                <w:spacing w:val="-2"/>
                <w:sz w:val="21"/>
              </w:rPr>
              <w:t>Enrollment</w:t>
            </w:r>
          </w:p>
        </w:tc>
      </w:tr>
      <w:tr w14:paraId="298E4372" w14:textId="77777777">
        <w:tblPrEx>
          <w:tblW w:w="0" w:type="auto"/>
          <w:tblInd w:w="482" w:type="dxa"/>
          <w:tblLayout w:type="fixed"/>
          <w:tblCellMar>
            <w:left w:w="0" w:type="dxa"/>
            <w:right w:w="0" w:type="dxa"/>
          </w:tblCellMar>
          <w:tblLook w:val="01E0"/>
        </w:tblPrEx>
        <w:trPr>
          <w:trHeight w:val="278"/>
        </w:trPr>
        <w:tc>
          <w:tcPr>
            <w:tcW w:w="7520" w:type="dxa"/>
            <w:tcBorders>
              <w:top w:val="single" w:sz="18" w:space="0" w:color="800000"/>
            </w:tcBorders>
          </w:tcPr>
          <w:p w:rsidR="003F5784" w14:paraId="5ABF7705" w14:textId="77777777">
            <w:pPr>
              <w:pStyle w:val="TableParagraph"/>
              <w:spacing w:before="9"/>
              <w:ind w:left="575"/>
              <w:jc w:val="left"/>
              <w:rPr>
                <w:b/>
                <w:sz w:val="21"/>
              </w:rPr>
            </w:pPr>
            <w:r>
              <w:rPr>
                <w:b/>
                <w:spacing w:val="-2"/>
                <w:sz w:val="21"/>
              </w:rPr>
              <w:t>Total</w:t>
            </w:r>
          </w:p>
        </w:tc>
        <w:tc>
          <w:tcPr>
            <w:tcW w:w="2059" w:type="dxa"/>
            <w:tcBorders>
              <w:top w:val="single" w:sz="18" w:space="0" w:color="800000"/>
            </w:tcBorders>
          </w:tcPr>
          <w:p w:rsidR="003F5784" w14:paraId="7E45D70D" w14:textId="77777777">
            <w:pPr>
              <w:pStyle w:val="TableParagraph"/>
              <w:spacing w:before="9"/>
              <w:ind w:left="285" w:right="362"/>
              <w:jc w:val="center"/>
              <w:rPr>
                <w:sz w:val="21"/>
              </w:rPr>
            </w:pPr>
            <w:r>
              <w:rPr>
                <w:spacing w:val="-2"/>
                <w:sz w:val="21"/>
              </w:rPr>
              <w:t>52,248</w:t>
            </w:r>
          </w:p>
        </w:tc>
        <w:tc>
          <w:tcPr>
            <w:tcW w:w="1422" w:type="dxa"/>
            <w:tcBorders>
              <w:top w:val="single" w:sz="18" w:space="0" w:color="800000"/>
            </w:tcBorders>
          </w:tcPr>
          <w:p w:rsidR="003F5784" w14:paraId="5857FE90" w14:textId="77777777">
            <w:pPr>
              <w:pStyle w:val="TableParagraph"/>
              <w:spacing w:before="9"/>
              <w:ind w:right="368"/>
              <w:rPr>
                <w:sz w:val="21"/>
              </w:rPr>
            </w:pPr>
            <w:r>
              <w:rPr>
                <w:spacing w:val="-2"/>
                <w:sz w:val="21"/>
              </w:rPr>
              <w:t>3,750,123</w:t>
            </w:r>
          </w:p>
        </w:tc>
        <w:tc>
          <w:tcPr>
            <w:tcW w:w="1478" w:type="dxa"/>
            <w:tcBorders>
              <w:top w:val="single" w:sz="18" w:space="0" w:color="800000"/>
            </w:tcBorders>
          </w:tcPr>
          <w:p w:rsidR="003F5784" w14:paraId="42CDC96E" w14:textId="77777777">
            <w:pPr>
              <w:pStyle w:val="TableParagraph"/>
              <w:spacing w:before="9"/>
              <w:ind w:right="446"/>
              <w:rPr>
                <w:sz w:val="21"/>
              </w:rPr>
            </w:pPr>
            <w:r>
              <w:rPr>
                <w:spacing w:val="-2"/>
                <w:sz w:val="21"/>
              </w:rPr>
              <w:t>29,665</w:t>
            </w:r>
          </w:p>
        </w:tc>
        <w:tc>
          <w:tcPr>
            <w:tcW w:w="1506" w:type="dxa"/>
            <w:tcBorders>
              <w:top w:val="single" w:sz="18" w:space="0" w:color="800000"/>
            </w:tcBorders>
          </w:tcPr>
          <w:p w:rsidR="003F5784" w14:paraId="6BB5691C" w14:textId="77777777">
            <w:pPr>
              <w:pStyle w:val="TableParagraph"/>
              <w:spacing w:before="9"/>
              <w:ind w:right="118"/>
              <w:rPr>
                <w:sz w:val="21"/>
              </w:rPr>
            </w:pPr>
            <w:r>
              <w:rPr>
                <w:spacing w:val="-2"/>
                <w:sz w:val="21"/>
              </w:rPr>
              <w:t>3,870,570</w:t>
            </w:r>
          </w:p>
        </w:tc>
      </w:tr>
      <w:tr w14:paraId="2B6E2A71" w14:textId="77777777">
        <w:tblPrEx>
          <w:tblW w:w="0" w:type="auto"/>
          <w:tblInd w:w="482" w:type="dxa"/>
          <w:tblLayout w:type="fixed"/>
          <w:tblCellMar>
            <w:left w:w="0" w:type="dxa"/>
            <w:right w:w="0" w:type="dxa"/>
          </w:tblCellMar>
          <w:tblLook w:val="01E0"/>
        </w:tblPrEx>
        <w:trPr>
          <w:trHeight w:val="286"/>
        </w:trPr>
        <w:tc>
          <w:tcPr>
            <w:tcW w:w="7520" w:type="dxa"/>
          </w:tcPr>
          <w:p w:rsidR="003F5784" w14:paraId="51BE3206" w14:textId="77777777">
            <w:pPr>
              <w:pStyle w:val="TableParagraph"/>
              <w:ind w:left="120"/>
              <w:jc w:val="left"/>
              <w:rPr>
                <w:sz w:val="21"/>
              </w:rPr>
            </w:pPr>
            <w:r>
              <w:rPr>
                <w:spacing w:val="-2"/>
                <w:sz w:val="21"/>
              </w:rPr>
              <w:t>Alabama</w:t>
            </w:r>
          </w:p>
        </w:tc>
        <w:tc>
          <w:tcPr>
            <w:tcW w:w="2059" w:type="dxa"/>
          </w:tcPr>
          <w:p w:rsidR="003F5784" w14:paraId="0891E035" w14:textId="77777777">
            <w:pPr>
              <w:pStyle w:val="TableParagraph"/>
              <w:ind w:left="285" w:right="104"/>
              <w:jc w:val="center"/>
              <w:rPr>
                <w:sz w:val="21"/>
              </w:rPr>
            </w:pPr>
            <w:r>
              <w:rPr>
                <w:spacing w:val="-5"/>
                <w:sz w:val="21"/>
              </w:rPr>
              <w:t>689</w:t>
            </w:r>
          </w:p>
        </w:tc>
        <w:tc>
          <w:tcPr>
            <w:tcW w:w="1422" w:type="dxa"/>
          </w:tcPr>
          <w:p w:rsidR="003F5784" w14:paraId="5F53046E" w14:textId="77777777">
            <w:pPr>
              <w:pStyle w:val="TableParagraph"/>
              <w:ind w:right="368"/>
              <w:rPr>
                <w:sz w:val="21"/>
              </w:rPr>
            </w:pPr>
            <w:r>
              <w:rPr>
                <w:spacing w:val="-2"/>
                <w:sz w:val="21"/>
              </w:rPr>
              <w:t>56,232</w:t>
            </w:r>
          </w:p>
        </w:tc>
        <w:tc>
          <w:tcPr>
            <w:tcW w:w="1478" w:type="dxa"/>
          </w:tcPr>
          <w:p w:rsidR="003F5784" w14:paraId="0EDDCC20" w14:textId="77777777">
            <w:pPr>
              <w:pStyle w:val="TableParagraph"/>
              <w:ind w:right="446"/>
              <w:rPr>
                <w:sz w:val="21"/>
              </w:rPr>
            </w:pPr>
            <w:r>
              <w:rPr>
                <w:spacing w:val="-5"/>
                <w:sz w:val="21"/>
              </w:rPr>
              <w:t>436</w:t>
            </w:r>
          </w:p>
        </w:tc>
        <w:tc>
          <w:tcPr>
            <w:tcW w:w="1506" w:type="dxa"/>
          </w:tcPr>
          <w:p w:rsidR="003F5784" w14:paraId="6DECAB22" w14:textId="77777777">
            <w:pPr>
              <w:pStyle w:val="TableParagraph"/>
              <w:ind w:right="118"/>
              <w:rPr>
                <w:sz w:val="21"/>
              </w:rPr>
            </w:pPr>
            <w:r>
              <w:rPr>
                <w:spacing w:val="-2"/>
                <w:sz w:val="21"/>
              </w:rPr>
              <w:t>56,217</w:t>
            </w:r>
          </w:p>
        </w:tc>
      </w:tr>
      <w:tr w14:paraId="58507A28" w14:textId="77777777">
        <w:tblPrEx>
          <w:tblW w:w="0" w:type="auto"/>
          <w:tblInd w:w="482" w:type="dxa"/>
          <w:tblLayout w:type="fixed"/>
          <w:tblCellMar>
            <w:left w:w="0" w:type="dxa"/>
            <w:right w:w="0" w:type="dxa"/>
          </w:tblCellMar>
          <w:tblLook w:val="01E0"/>
        </w:tblPrEx>
        <w:trPr>
          <w:trHeight w:val="286"/>
        </w:trPr>
        <w:tc>
          <w:tcPr>
            <w:tcW w:w="7520" w:type="dxa"/>
          </w:tcPr>
          <w:p w:rsidR="003F5784" w14:paraId="3C5F0AE4" w14:textId="77777777">
            <w:pPr>
              <w:pStyle w:val="TableParagraph"/>
              <w:ind w:left="120"/>
              <w:jc w:val="left"/>
              <w:rPr>
                <w:sz w:val="21"/>
              </w:rPr>
            </w:pPr>
            <w:r>
              <w:rPr>
                <w:spacing w:val="-2"/>
                <w:sz w:val="21"/>
              </w:rPr>
              <w:t>Alaska</w:t>
            </w:r>
          </w:p>
        </w:tc>
        <w:tc>
          <w:tcPr>
            <w:tcW w:w="2059" w:type="dxa"/>
          </w:tcPr>
          <w:p w:rsidR="003F5784" w14:paraId="25319E80" w14:textId="77777777">
            <w:pPr>
              <w:pStyle w:val="TableParagraph"/>
              <w:ind w:left="285" w:right="104"/>
              <w:jc w:val="center"/>
              <w:rPr>
                <w:sz w:val="21"/>
              </w:rPr>
            </w:pPr>
            <w:r>
              <w:rPr>
                <w:spacing w:val="-5"/>
                <w:sz w:val="21"/>
              </w:rPr>
              <w:t>346</w:t>
            </w:r>
          </w:p>
        </w:tc>
        <w:tc>
          <w:tcPr>
            <w:tcW w:w="1422" w:type="dxa"/>
          </w:tcPr>
          <w:p w:rsidR="003F5784" w14:paraId="7B9A6DE3" w14:textId="77777777">
            <w:pPr>
              <w:pStyle w:val="TableParagraph"/>
              <w:ind w:right="368"/>
              <w:rPr>
                <w:sz w:val="21"/>
              </w:rPr>
            </w:pPr>
            <w:r>
              <w:rPr>
                <w:spacing w:val="-2"/>
                <w:sz w:val="21"/>
              </w:rPr>
              <w:t>9,155</w:t>
            </w:r>
          </w:p>
        </w:tc>
        <w:tc>
          <w:tcPr>
            <w:tcW w:w="1478" w:type="dxa"/>
          </w:tcPr>
          <w:p w:rsidR="003F5784" w14:paraId="6E76920D" w14:textId="77777777">
            <w:pPr>
              <w:pStyle w:val="TableParagraph"/>
              <w:ind w:right="446"/>
              <w:rPr>
                <w:sz w:val="21"/>
              </w:rPr>
            </w:pPr>
            <w:r>
              <w:rPr>
                <w:spacing w:val="-5"/>
                <w:sz w:val="21"/>
              </w:rPr>
              <w:t>266</w:t>
            </w:r>
          </w:p>
        </w:tc>
        <w:tc>
          <w:tcPr>
            <w:tcW w:w="1506" w:type="dxa"/>
          </w:tcPr>
          <w:p w:rsidR="003F5784" w14:paraId="55CDEED6" w14:textId="77777777">
            <w:pPr>
              <w:pStyle w:val="TableParagraph"/>
              <w:ind w:right="118"/>
              <w:rPr>
                <w:sz w:val="21"/>
              </w:rPr>
            </w:pPr>
            <w:r>
              <w:rPr>
                <w:spacing w:val="-2"/>
                <w:sz w:val="21"/>
              </w:rPr>
              <w:t>9,202</w:t>
            </w:r>
          </w:p>
        </w:tc>
      </w:tr>
      <w:tr w14:paraId="3BF7B254" w14:textId="77777777">
        <w:tblPrEx>
          <w:tblW w:w="0" w:type="auto"/>
          <w:tblInd w:w="482" w:type="dxa"/>
          <w:tblLayout w:type="fixed"/>
          <w:tblCellMar>
            <w:left w:w="0" w:type="dxa"/>
            <w:right w:w="0" w:type="dxa"/>
          </w:tblCellMar>
          <w:tblLook w:val="01E0"/>
        </w:tblPrEx>
        <w:trPr>
          <w:trHeight w:val="286"/>
        </w:trPr>
        <w:tc>
          <w:tcPr>
            <w:tcW w:w="7520" w:type="dxa"/>
          </w:tcPr>
          <w:p w:rsidR="003F5784" w14:paraId="226B3862" w14:textId="77777777">
            <w:pPr>
              <w:pStyle w:val="TableParagraph"/>
              <w:ind w:left="120"/>
              <w:jc w:val="left"/>
              <w:rPr>
                <w:sz w:val="21"/>
              </w:rPr>
            </w:pPr>
            <w:r>
              <w:rPr>
                <w:spacing w:val="-2"/>
                <w:sz w:val="21"/>
              </w:rPr>
              <w:t>Arizona</w:t>
            </w:r>
          </w:p>
        </w:tc>
        <w:tc>
          <w:tcPr>
            <w:tcW w:w="2059" w:type="dxa"/>
          </w:tcPr>
          <w:p w:rsidR="003F5784" w14:paraId="065ED801" w14:textId="77777777">
            <w:pPr>
              <w:pStyle w:val="TableParagraph"/>
              <w:ind w:left="285" w:right="260"/>
              <w:jc w:val="center"/>
              <w:rPr>
                <w:sz w:val="21"/>
              </w:rPr>
            </w:pPr>
            <w:r>
              <w:rPr>
                <w:spacing w:val="-2"/>
                <w:sz w:val="21"/>
              </w:rPr>
              <w:t>1,230</w:t>
            </w:r>
          </w:p>
        </w:tc>
        <w:tc>
          <w:tcPr>
            <w:tcW w:w="1422" w:type="dxa"/>
          </w:tcPr>
          <w:p w:rsidR="003F5784" w14:paraId="7F914E04" w14:textId="77777777">
            <w:pPr>
              <w:pStyle w:val="TableParagraph"/>
              <w:ind w:right="368"/>
              <w:rPr>
                <w:sz w:val="21"/>
              </w:rPr>
            </w:pPr>
            <w:r>
              <w:rPr>
                <w:spacing w:val="-2"/>
                <w:sz w:val="21"/>
              </w:rPr>
              <w:t>86,152</w:t>
            </w:r>
          </w:p>
        </w:tc>
        <w:tc>
          <w:tcPr>
            <w:tcW w:w="1478" w:type="dxa"/>
          </w:tcPr>
          <w:p w:rsidR="003F5784" w14:paraId="046ADD60" w14:textId="77777777">
            <w:pPr>
              <w:pStyle w:val="TableParagraph"/>
              <w:ind w:right="446"/>
              <w:rPr>
                <w:sz w:val="21"/>
              </w:rPr>
            </w:pPr>
            <w:r>
              <w:rPr>
                <w:spacing w:val="-5"/>
                <w:sz w:val="21"/>
              </w:rPr>
              <w:t>830</w:t>
            </w:r>
          </w:p>
        </w:tc>
        <w:tc>
          <w:tcPr>
            <w:tcW w:w="1506" w:type="dxa"/>
          </w:tcPr>
          <w:p w:rsidR="003F5784" w14:paraId="12BB7156" w14:textId="77777777">
            <w:pPr>
              <w:pStyle w:val="TableParagraph"/>
              <w:ind w:right="118"/>
              <w:rPr>
                <w:sz w:val="21"/>
              </w:rPr>
            </w:pPr>
            <w:r>
              <w:rPr>
                <w:spacing w:val="-2"/>
                <w:sz w:val="21"/>
              </w:rPr>
              <w:t>88,080</w:t>
            </w:r>
          </w:p>
        </w:tc>
      </w:tr>
      <w:tr w14:paraId="19B44D3A" w14:textId="77777777">
        <w:tblPrEx>
          <w:tblW w:w="0" w:type="auto"/>
          <w:tblInd w:w="482" w:type="dxa"/>
          <w:tblLayout w:type="fixed"/>
          <w:tblCellMar>
            <w:left w:w="0" w:type="dxa"/>
            <w:right w:w="0" w:type="dxa"/>
          </w:tblCellMar>
          <w:tblLook w:val="01E0"/>
        </w:tblPrEx>
        <w:trPr>
          <w:trHeight w:val="286"/>
        </w:trPr>
        <w:tc>
          <w:tcPr>
            <w:tcW w:w="7520" w:type="dxa"/>
          </w:tcPr>
          <w:p w:rsidR="003F5784" w14:paraId="2881224C" w14:textId="77777777">
            <w:pPr>
              <w:pStyle w:val="TableParagraph"/>
              <w:ind w:left="120"/>
              <w:jc w:val="left"/>
              <w:rPr>
                <w:sz w:val="21"/>
              </w:rPr>
            </w:pPr>
            <w:r>
              <w:rPr>
                <w:spacing w:val="-2"/>
                <w:sz w:val="21"/>
              </w:rPr>
              <w:t>Arkansas</w:t>
            </w:r>
          </w:p>
        </w:tc>
        <w:tc>
          <w:tcPr>
            <w:tcW w:w="2059" w:type="dxa"/>
          </w:tcPr>
          <w:p w:rsidR="003F5784" w14:paraId="7D0D9905" w14:textId="77777777">
            <w:pPr>
              <w:pStyle w:val="TableParagraph"/>
              <w:ind w:left="285" w:right="104"/>
              <w:jc w:val="center"/>
              <w:rPr>
                <w:sz w:val="21"/>
              </w:rPr>
            </w:pPr>
            <w:r>
              <w:rPr>
                <w:spacing w:val="-5"/>
                <w:sz w:val="21"/>
              </w:rPr>
              <w:t>474</w:t>
            </w:r>
          </w:p>
        </w:tc>
        <w:tc>
          <w:tcPr>
            <w:tcW w:w="1422" w:type="dxa"/>
          </w:tcPr>
          <w:p w:rsidR="003F5784" w14:paraId="0DB445BD" w14:textId="77777777">
            <w:pPr>
              <w:pStyle w:val="TableParagraph"/>
              <w:ind w:right="368"/>
              <w:rPr>
                <w:sz w:val="21"/>
              </w:rPr>
            </w:pPr>
            <w:r>
              <w:rPr>
                <w:spacing w:val="-2"/>
                <w:sz w:val="21"/>
              </w:rPr>
              <w:t>37,099</w:t>
            </w:r>
          </w:p>
        </w:tc>
        <w:tc>
          <w:tcPr>
            <w:tcW w:w="1478" w:type="dxa"/>
          </w:tcPr>
          <w:p w:rsidR="003F5784" w14:paraId="57E40CF2" w14:textId="77777777">
            <w:pPr>
              <w:pStyle w:val="TableParagraph"/>
              <w:ind w:right="446"/>
              <w:rPr>
                <w:sz w:val="21"/>
              </w:rPr>
            </w:pPr>
            <w:r>
              <w:rPr>
                <w:spacing w:val="-5"/>
                <w:sz w:val="21"/>
              </w:rPr>
              <w:t>304</w:t>
            </w:r>
          </w:p>
        </w:tc>
        <w:tc>
          <w:tcPr>
            <w:tcW w:w="1506" w:type="dxa"/>
          </w:tcPr>
          <w:p w:rsidR="003F5784" w14:paraId="62D17CF9" w14:textId="77777777">
            <w:pPr>
              <w:pStyle w:val="TableParagraph"/>
              <w:ind w:right="118"/>
              <w:rPr>
                <w:sz w:val="21"/>
              </w:rPr>
            </w:pPr>
            <w:r>
              <w:rPr>
                <w:spacing w:val="-2"/>
                <w:sz w:val="21"/>
              </w:rPr>
              <w:t>37,124</w:t>
            </w:r>
          </w:p>
        </w:tc>
      </w:tr>
      <w:tr w14:paraId="7ED3C4EE" w14:textId="77777777">
        <w:tblPrEx>
          <w:tblW w:w="0" w:type="auto"/>
          <w:tblInd w:w="482" w:type="dxa"/>
          <w:tblLayout w:type="fixed"/>
          <w:tblCellMar>
            <w:left w:w="0" w:type="dxa"/>
            <w:right w:w="0" w:type="dxa"/>
          </w:tblCellMar>
          <w:tblLook w:val="01E0"/>
        </w:tblPrEx>
        <w:trPr>
          <w:trHeight w:val="286"/>
        </w:trPr>
        <w:tc>
          <w:tcPr>
            <w:tcW w:w="7520" w:type="dxa"/>
          </w:tcPr>
          <w:p w:rsidR="003F5784" w14:paraId="35036BB5" w14:textId="77777777">
            <w:pPr>
              <w:pStyle w:val="TableParagraph"/>
              <w:ind w:left="120"/>
              <w:jc w:val="left"/>
              <w:rPr>
                <w:sz w:val="21"/>
              </w:rPr>
            </w:pPr>
            <w:r>
              <w:rPr>
                <w:spacing w:val="-2"/>
                <w:sz w:val="21"/>
              </w:rPr>
              <w:t>California–Los</w:t>
            </w:r>
            <w:r>
              <w:rPr>
                <w:spacing w:val="3"/>
                <w:sz w:val="21"/>
              </w:rPr>
              <w:t xml:space="preserve"> </w:t>
            </w:r>
            <w:r>
              <w:rPr>
                <w:spacing w:val="-2"/>
                <w:sz w:val="21"/>
              </w:rPr>
              <w:t>Angeles</w:t>
            </w:r>
          </w:p>
        </w:tc>
        <w:tc>
          <w:tcPr>
            <w:tcW w:w="2059" w:type="dxa"/>
          </w:tcPr>
          <w:p w:rsidR="003F5784" w14:paraId="5F47DD16" w14:textId="77777777">
            <w:pPr>
              <w:pStyle w:val="TableParagraph"/>
              <w:ind w:left="285" w:right="104"/>
              <w:jc w:val="center"/>
              <w:rPr>
                <w:sz w:val="21"/>
              </w:rPr>
            </w:pPr>
            <w:r>
              <w:rPr>
                <w:spacing w:val="-5"/>
                <w:sz w:val="21"/>
              </w:rPr>
              <w:t>497</w:t>
            </w:r>
          </w:p>
        </w:tc>
        <w:tc>
          <w:tcPr>
            <w:tcW w:w="1422" w:type="dxa"/>
          </w:tcPr>
          <w:p w:rsidR="003F5784" w14:paraId="62F98921" w14:textId="77777777">
            <w:pPr>
              <w:pStyle w:val="TableParagraph"/>
              <w:ind w:right="368"/>
              <w:rPr>
                <w:sz w:val="21"/>
              </w:rPr>
            </w:pPr>
            <w:r>
              <w:rPr>
                <w:spacing w:val="-2"/>
                <w:sz w:val="21"/>
              </w:rPr>
              <w:t>38,919</w:t>
            </w:r>
          </w:p>
        </w:tc>
        <w:tc>
          <w:tcPr>
            <w:tcW w:w="1478" w:type="dxa"/>
          </w:tcPr>
          <w:p w:rsidR="003F5784" w14:paraId="1A0EA5A9" w14:textId="77777777">
            <w:pPr>
              <w:pStyle w:val="TableParagraph"/>
              <w:ind w:right="446"/>
              <w:rPr>
                <w:sz w:val="21"/>
              </w:rPr>
            </w:pPr>
            <w:r>
              <w:rPr>
                <w:spacing w:val="-5"/>
                <w:sz w:val="21"/>
              </w:rPr>
              <w:t>126</w:t>
            </w:r>
          </w:p>
        </w:tc>
        <w:tc>
          <w:tcPr>
            <w:tcW w:w="1506" w:type="dxa"/>
          </w:tcPr>
          <w:p w:rsidR="003F5784" w14:paraId="3EF602BC" w14:textId="77777777">
            <w:pPr>
              <w:pStyle w:val="TableParagraph"/>
              <w:ind w:right="118"/>
              <w:rPr>
                <w:sz w:val="21"/>
              </w:rPr>
            </w:pPr>
            <w:r>
              <w:rPr>
                <w:spacing w:val="-2"/>
                <w:sz w:val="21"/>
              </w:rPr>
              <w:t>33,124</w:t>
            </w:r>
          </w:p>
        </w:tc>
      </w:tr>
      <w:tr w14:paraId="233DF44A" w14:textId="77777777">
        <w:tblPrEx>
          <w:tblW w:w="0" w:type="auto"/>
          <w:tblInd w:w="482" w:type="dxa"/>
          <w:tblLayout w:type="fixed"/>
          <w:tblCellMar>
            <w:left w:w="0" w:type="dxa"/>
            <w:right w:w="0" w:type="dxa"/>
          </w:tblCellMar>
          <w:tblLook w:val="01E0"/>
        </w:tblPrEx>
        <w:trPr>
          <w:trHeight w:val="286"/>
        </w:trPr>
        <w:tc>
          <w:tcPr>
            <w:tcW w:w="7520" w:type="dxa"/>
          </w:tcPr>
          <w:p w:rsidR="003F5784" w14:paraId="1D36C81D" w14:textId="77777777">
            <w:pPr>
              <w:pStyle w:val="TableParagraph"/>
              <w:ind w:left="120"/>
              <w:jc w:val="left"/>
              <w:rPr>
                <w:sz w:val="21"/>
              </w:rPr>
            </w:pPr>
            <w:r>
              <w:rPr>
                <w:spacing w:val="-2"/>
                <w:sz w:val="21"/>
              </w:rPr>
              <w:t>California–San</w:t>
            </w:r>
            <w:r>
              <w:rPr>
                <w:spacing w:val="14"/>
                <w:sz w:val="21"/>
              </w:rPr>
              <w:t xml:space="preserve"> </w:t>
            </w:r>
            <w:r>
              <w:rPr>
                <w:spacing w:val="-2"/>
                <w:sz w:val="21"/>
              </w:rPr>
              <w:t>Diego</w:t>
            </w:r>
          </w:p>
        </w:tc>
        <w:tc>
          <w:tcPr>
            <w:tcW w:w="2059" w:type="dxa"/>
          </w:tcPr>
          <w:p w:rsidR="003F5784" w14:paraId="59A7B881" w14:textId="77777777">
            <w:pPr>
              <w:pStyle w:val="TableParagraph"/>
              <w:ind w:left="285" w:right="104"/>
              <w:jc w:val="center"/>
              <w:rPr>
                <w:sz w:val="21"/>
              </w:rPr>
            </w:pPr>
            <w:r>
              <w:rPr>
                <w:spacing w:val="-5"/>
                <w:sz w:val="21"/>
              </w:rPr>
              <w:t>121</w:t>
            </w:r>
          </w:p>
        </w:tc>
        <w:tc>
          <w:tcPr>
            <w:tcW w:w="1422" w:type="dxa"/>
          </w:tcPr>
          <w:p w:rsidR="003F5784" w14:paraId="125E2101" w14:textId="77777777">
            <w:pPr>
              <w:pStyle w:val="TableParagraph"/>
              <w:ind w:right="368"/>
              <w:rPr>
                <w:sz w:val="21"/>
              </w:rPr>
            </w:pPr>
            <w:r>
              <w:rPr>
                <w:spacing w:val="-2"/>
                <w:sz w:val="21"/>
              </w:rPr>
              <w:t>8,247</w:t>
            </w:r>
          </w:p>
        </w:tc>
        <w:tc>
          <w:tcPr>
            <w:tcW w:w="1478" w:type="dxa"/>
          </w:tcPr>
          <w:p w:rsidR="003F5784" w14:paraId="4024EBAB" w14:textId="77777777">
            <w:pPr>
              <w:pStyle w:val="TableParagraph"/>
              <w:ind w:right="446"/>
              <w:rPr>
                <w:sz w:val="21"/>
              </w:rPr>
            </w:pPr>
            <w:r>
              <w:rPr>
                <w:spacing w:val="-5"/>
                <w:sz w:val="21"/>
              </w:rPr>
              <w:t>38</w:t>
            </w:r>
          </w:p>
        </w:tc>
        <w:tc>
          <w:tcPr>
            <w:tcW w:w="1506" w:type="dxa"/>
          </w:tcPr>
          <w:p w:rsidR="003F5784" w14:paraId="6371E3D3" w14:textId="77777777">
            <w:pPr>
              <w:pStyle w:val="TableParagraph"/>
              <w:ind w:right="118"/>
              <w:rPr>
                <w:sz w:val="21"/>
              </w:rPr>
            </w:pPr>
            <w:r>
              <w:rPr>
                <w:spacing w:val="-2"/>
                <w:sz w:val="21"/>
              </w:rPr>
              <w:t>7,036</w:t>
            </w:r>
          </w:p>
        </w:tc>
      </w:tr>
      <w:tr w14:paraId="091BD597" w14:textId="77777777">
        <w:tblPrEx>
          <w:tblW w:w="0" w:type="auto"/>
          <w:tblInd w:w="482" w:type="dxa"/>
          <w:tblLayout w:type="fixed"/>
          <w:tblCellMar>
            <w:left w:w="0" w:type="dxa"/>
            <w:right w:w="0" w:type="dxa"/>
          </w:tblCellMar>
          <w:tblLook w:val="01E0"/>
        </w:tblPrEx>
        <w:trPr>
          <w:trHeight w:val="286"/>
        </w:trPr>
        <w:tc>
          <w:tcPr>
            <w:tcW w:w="7520" w:type="dxa"/>
          </w:tcPr>
          <w:p w:rsidR="003F5784" w14:paraId="1AD17E2C" w14:textId="77777777">
            <w:pPr>
              <w:pStyle w:val="TableParagraph"/>
              <w:ind w:left="120"/>
              <w:jc w:val="left"/>
              <w:rPr>
                <w:sz w:val="21"/>
              </w:rPr>
            </w:pPr>
            <w:r>
              <w:rPr>
                <w:spacing w:val="-2"/>
                <w:sz w:val="21"/>
              </w:rPr>
              <w:t>California–Balance</w:t>
            </w:r>
          </w:p>
        </w:tc>
        <w:tc>
          <w:tcPr>
            <w:tcW w:w="2059" w:type="dxa"/>
          </w:tcPr>
          <w:p w:rsidR="003F5784" w14:paraId="71E215CE" w14:textId="77777777">
            <w:pPr>
              <w:pStyle w:val="TableParagraph"/>
              <w:ind w:left="285" w:right="260"/>
              <w:jc w:val="center"/>
              <w:rPr>
                <w:sz w:val="21"/>
              </w:rPr>
            </w:pPr>
            <w:r>
              <w:rPr>
                <w:spacing w:val="-2"/>
                <w:sz w:val="21"/>
              </w:rPr>
              <w:t>5,517</w:t>
            </w:r>
          </w:p>
        </w:tc>
        <w:tc>
          <w:tcPr>
            <w:tcW w:w="1422" w:type="dxa"/>
          </w:tcPr>
          <w:p w:rsidR="003F5784" w14:paraId="096B660B" w14:textId="77777777">
            <w:pPr>
              <w:pStyle w:val="TableParagraph"/>
              <w:ind w:right="368"/>
              <w:rPr>
                <w:sz w:val="21"/>
              </w:rPr>
            </w:pPr>
            <w:r>
              <w:rPr>
                <w:spacing w:val="-2"/>
                <w:sz w:val="21"/>
              </w:rPr>
              <w:t>407,176</w:t>
            </w:r>
          </w:p>
        </w:tc>
        <w:tc>
          <w:tcPr>
            <w:tcW w:w="1478" w:type="dxa"/>
          </w:tcPr>
          <w:p w:rsidR="003F5784" w14:paraId="78365E2D" w14:textId="77777777">
            <w:pPr>
              <w:pStyle w:val="TableParagraph"/>
              <w:ind w:right="446"/>
              <w:rPr>
                <w:sz w:val="21"/>
              </w:rPr>
            </w:pPr>
            <w:r>
              <w:rPr>
                <w:spacing w:val="-2"/>
                <w:sz w:val="21"/>
              </w:rPr>
              <w:t>2,932</w:t>
            </w:r>
          </w:p>
        </w:tc>
        <w:tc>
          <w:tcPr>
            <w:tcW w:w="1506" w:type="dxa"/>
          </w:tcPr>
          <w:p w:rsidR="003F5784" w14:paraId="58C7EEAA" w14:textId="77777777">
            <w:pPr>
              <w:pStyle w:val="TableParagraph"/>
              <w:ind w:right="118"/>
              <w:rPr>
                <w:sz w:val="21"/>
              </w:rPr>
            </w:pPr>
            <w:r>
              <w:rPr>
                <w:spacing w:val="-2"/>
                <w:sz w:val="21"/>
              </w:rPr>
              <w:t>425,888</w:t>
            </w:r>
          </w:p>
        </w:tc>
      </w:tr>
      <w:tr w14:paraId="38CB20E7" w14:textId="77777777">
        <w:tblPrEx>
          <w:tblW w:w="0" w:type="auto"/>
          <w:tblInd w:w="482" w:type="dxa"/>
          <w:tblLayout w:type="fixed"/>
          <w:tblCellMar>
            <w:left w:w="0" w:type="dxa"/>
            <w:right w:w="0" w:type="dxa"/>
          </w:tblCellMar>
          <w:tblLook w:val="01E0"/>
        </w:tblPrEx>
        <w:trPr>
          <w:trHeight w:val="286"/>
        </w:trPr>
        <w:tc>
          <w:tcPr>
            <w:tcW w:w="7520" w:type="dxa"/>
          </w:tcPr>
          <w:p w:rsidR="003F5784" w14:paraId="0BDDAF91" w14:textId="77777777">
            <w:pPr>
              <w:pStyle w:val="TableParagraph"/>
              <w:ind w:left="120"/>
              <w:jc w:val="left"/>
              <w:rPr>
                <w:sz w:val="21"/>
              </w:rPr>
            </w:pPr>
            <w:r>
              <w:rPr>
                <w:spacing w:val="-2"/>
                <w:sz w:val="21"/>
              </w:rPr>
              <w:t>Colorado–Denver</w:t>
            </w:r>
          </w:p>
        </w:tc>
        <w:tc>
          <w:tcPr>
            <w:tcW w:w="2059" w:type="dxa"/>
          </w:tcPr>
          <w:p w:rsidR="003F5784" w14:paraId="52A4F982" w14:textId="77777777">
            <w:pPr>
              <w:pStyle w:val="TableParagraph"/>
              <w:ind w:left="285" w:right="96"/>
              <w:jc w:val="center"/>
              <w:rPr>
                <w:sz w:val="21"/>
              </w:rPr>
            </w:pPr>
            <w:r>
              <w:rPr>
                <w:spacing w:val="-5"/>
                <w:sz w:val="21"/>
              </w:rPr>
              <w:t>110</w:t>
            </w:r>
          </w:p>
        </w:tc>
        <w:tc>
          <w:tcPr>
            <w:tcW w:w="1422" w:type="dxa"/>
          </w:tcPr>
          <w:p w:rsidR="003F5784" w14:paraId="1E04D409" w14:textId="77777777">
            <w:pPr>
              <w:pStyle w:val="TableParagraph"/>
              <w:ind w:right="368"/>
              <w:rPr>
                <w:sz w:val="21"/>
              </w:rPr>
            </w:pPr>
            <w:r>
              <w:rPr>
                <w:spacing w:val="-2"/>
                <w:sz w:val="21"/>
              </w:rPr>
              <w:t>6,823</w:t>
            </w:r>
          </w:p>
        </w:tc>
        <w:tc>
          <w:tcPr>
            <w:tcW w:w="1478" w:type="dxa"/>
          </w:tcPr>
          <w:p w:rsidR="003F5784" w14:paraId="3A470EA6" w14:textId="77777777">
            <w:pPr>
              <w:pStyle w:val="TableParagraph"/>
              <w:ind w:right="446"/>
              <w:rPr>
                <w:sz w:val="21"/>
              </w:rPr>
            </w:pPr>
            <w:r>
              <w:rPr>
                <w:spacing w:val="-5"/>
                <w:sz w:val="21"/>
              </w:rPr>
              <w:t>62</w:t>
            </w:r>
          </w:p>
        </w:tc>
        <w:tc>
          <w:tcPr>
            <w:tcW w:w="1506" w:type="dxa"/>
          </w:tcPr>
          <w:p w:rsidR="003F5784" w14:paraId="5309C4AE" w14:textId="77777777">
            <w:pPr>
              <w:pStyle w:val="TableParagraph"/>
              <w:ind w:right="118"/>
              <w:rPr>
                <w:sz w:val="21"/>
              </w:rPr>
            </w:pPr>
            <w:r>
              <w:rPr>
                <w:spacing w:val="-2"/>
                <w:sz w:val="21"/>
              </w:rPr>
              <w:t>6,571</w:t>
            </w:r>
          </w:p>
        </w:tc>
      </w:tr>
      <w:tr w14:paraId="30AB05DC" w14:textId="77777777">
        <w:tblPrEx>
          <w:tblW w:w="0" w:type="auto"/>
          <w:tblInd w:w="482" w:type="dxa"/>
          <w:tblLayout w:type="fixed"/>
          <w:tblCellMar>
            <w:left w:w="0" w:type="dxa"/>
            <w:right w:w="0" w:type="dxa"/>
          </w:tblCellMar>
          <w:tblLook w:val="01E0"/>
        </w:tblPrEx>
        <w:trPr>
          <w:trHeight w:val="286"/>
        </w:trPr>
        <w:tc>
          <w:tcPr>
            <w:tcW w:w="7520" w:type="dxa"/>
          </w:tcPr>
          <w:p w:rsidR="003F5784" w14:paraId="63BA01A7" w14:textId="77777777">
            <w:pPr>
              <w:pStyle w:val="TableParagraph"/>
              <w:ind w:left="120"/>
              <w:jc w:val="left"/>
              <w:rPr>
                <w:sz w:val="21"/>
              </w:rPr>
            </w:pPr>
            <w:r>
              <w:rPr>
                <w:spacing w:val="-2"/>
                <w:sz w:val="21"/>
              </w:rPr>
              <w:t>Colorado–Balance</w:t>
            </w:r>
          </w:p>
        </w:tc>
        <w:tc>
          <w:tcPr>
            <w:tcW w:w="2059" w:type="dxa"/>
          </w:tcPr>
          <w:p w:rsidR="003F5784" w14:paraId="71DE454C" w14:textId="77777777">
            <w:pPr>
              <w:pStyle w:val="TableParagraph"/>
              <w:ind w:left="285" w:right="104"/>
              <w:jc w:val="center"/>
              <w:rPr>
                <w:sz w:val="21"/>
              </w:rPr>
            </w:pPr>
            <w:r>
              <w:rPr>
                <w:spacing w:val="-5"/>
                <w:sz w:val="21"/>
              </w:rPr>
              <w:t>989</w:t>
            </w:r>
          </w:p>
        </w:tc>
        <w:tc>
          <w:tcPr>
            <w:tcW w:w="1422" w:type="dxa"/>
          </w:tcPr>
          <w:p w:rsidR="003F5784" w14:paraId="77156872" w14:textId="77777777">
            <w:pPr>
              <w:pStyle w:val="TableParagraph"/>
              <w:ind w:right="368"/>
              <w:rPr>
                <w:sz w:val="21"/>
              </w:rPr>
            </w:pPr>
            <w:r>
              <w:rPr>
                <w:spacing w:val="-2"/>
                <w:sz w:val="21"/>
              </w:rPr>
              <w:t>59,308</w:t>
            </w:r>
          </w:p>
        </w:tc>
        <w:tc>
          <w:tcPr>
            <w:tcW w:w="1478" w:type="dxa"/>
          </w:tcPr>
          <w:p w:rsidR="003F5784" w14:paraId="0B54D6BA" w14:textId="77777777">
            <w:pPr>
              <w:pStyle w:val="TableParagraph"/>
              <w:ind w:right="446"/>
              <w:rPr>
                <w:sz w:val="21"/>
              </w:rPr>
            </w:pPr>
            <w:r>
              <w:rPr>
                <w:spacing w:val="-5"/>
                <w:sz w:val="21"/>
              </w:rPr>
              <w:t>552</w:t>
            </w:r>
          </w:p>
        </w:tc>
        <w:tc>
          <w:tcPr>
            <w:tcW w:w="1506" w:type="dxa"/>
          </w:tcPr>
          <w:p w:rsidR="003F5784" w14:paraId="50BE540B" w14:textId="77777777">
            <w:pPr>
              <w:pStyle w:val="TableParagraph"/>
              <w:ind w:right="118"/>
              <w:rPr>
                <w:sz w:val="21"/>
              </w:rPr>
            </w:pPr>
            <w:r>
              <w:rPr>
                <w:spacing w:val="-2"/>
                <w:sz w:val="21"/>
              </w:rPr>
              <w:t>62,168</w:t>
            </w:r>
          </w:p>
        </w:tc>
      </w:tr>
      <w:tr w14:paraId="4F4BD613" w14:textId="77777777">
        <w:tblPrEx>
          <w:tblW w:w="0" w:type="auto"/>
          <w:tblInd w:w="482" w:type="dxa"/>
          <w:tblLayout w:type="fixed"/>
          <w:tblCellMar>
            <w:left w:w="0" w:type="dxa"/>
            <w:right w:w="0" w:type="dxa"/>
          </w:tblCellMar>
          <w:tblLook w:val="01E0"/>
        </w:tblPrEx>
        <w:trPr>
          <w:trHeight w:val="286"/>
        </w:trPr>
        <w:tc>
          <w:tcPr>
            <w:tcW w:w="7520" w:type="dxa"/>
          </w:tcPr>
          <w:p w:rsidR="003F5784" w14:paraId="2C0C96EC" w14:textId="77777777">
            <w:pPr>
              <w:pStyle w:val="TableParagraph"/>
              <w:ind w:left="120"/>
              <w:jc w:val="left"/>
              <w:rPr>
                <w:sz w:val="21"/>
              </w:rPr>
            </w:pPr>
            <w:r>
              <w:rPr>
                <w:spacing w:val="-2"/>
                <w:sz w:val="21"/>
              </w:rPr>
              <w:t>Connecticut</w:t>
            </w:r>
          </w:p>
        </w:tc>
        <w:tc>
          <w:tcPr>
            <w:tcW w:w="2059" w:type="dxa"/>
          </w:tcPr>
          <w:p w:rsidR="003F5784" w14:paraId="7A06B8F1" w14:textId="77777777">
            <w:pPr>
              <w:pStyle w:val="TableParagraph"/>
              <w:ind w:left="285" w:right="104"/>
              <w:jc w:val="center"/>
              <w:rPr>
                <w:sz w:val="21"/>
              </w:rPr>
            </w:pPr>
            <w:r>
              <w:rPr>
                <w:spacing w:val="-5"/>
                <w:sz w:val="21"/>
              </w:rPr>
              <w:t>559</w:t>
            </w:r>
          </w:p>
        </w:tc>
        <w:tc>
          <w:tcPr>
            <w:tcW w:w="1422" w:type="dxa"/>
          </w:tcPr>
          <w:p w:rsidR="003F5784" w14:paraId="6EF1F441" w14:textId="77777777">
            <w:pPr>
              <w:pStyle w:val="TableParagraph"/>
              <w:ind w:right="368"/>
              <w:rPr>
                <w:sz w:val="21"/>
              </w:rPr>
            </w:pPr>
            <w:r>
              <w:rPr>
                <w:spacing w:val="-2"/>
                <w:sz w:val="21"/>
              </w:rPr>
              <w:t>37,280</w:t>
            </w:r>
          </w:p>
        </w:tc>
        <w:tc>
          <w:tcPr>
            <w:tcW w:w="1478" w:type="dxa"/>
          </w:tcPr>
          <w:p w:rsidR="003F5784" w14:paraId="53344172" w14:textId="77777777">
            <w:pPr>
              <w:pStyle w:val="TableParagraph"/>
              <w:ind w:right="446"/>
              <w:rPr>
                <w:sz w:val="21"/>
              </w:rPr>
            </w:pPr>
            <w:r>
              <w:rPr>
                <w:spacing w:val="-5"/>
                <w:sz w:val="21"/>
              </w:rPr>
              <w:t>289</w:t>
            </w:r>
          </w:p>
        </w:tc>
        <w:tc>
          <w:tcPr>
            <w:tcW w:w="1506" w:type="dxa"/>
          </w:tcPr>
          <w:p w:rsidR="003F5784" w14:paraId="16BF988B" w14:textId="77777777">
            <w:pPr>
              <w:pStyle w:val="TableParagraph"/>
              <w:ind w:right="118"/>
              <w:rPr>
                <w:sz w:val="21"/>
              </w:rPr>
            </w:pPr>
            <w:r>
              <w:rPr>
                <w:spacing w:val="-2"/>
                <w:sz w:val="21"/>
              </w:rPr>
              <w:t>39,376</w:t>
            </w:r>
          </w:p>
        </w:tc>
      </w:tr>
      <w:tr w14:paraId="73798520" w14:textId="77777777">
        <w:tblPrEx>
          <w:tblW w:w="0" w:type="auto"/>
          <w:tblInd w:w="482" w:type="dxa"/>
          <w:tblLayout w:type="fixed"/>
          <w:tblCellMar>
            <w:left w:w="0" w:type="dxa"/>
            <w:right w:w="0" w:type="dxa"/>
          </w:tblCellMar>
          <w:tblLook w:val="01E0"/>
        </w:tblPrEx>
        <w:trPr>
          <w:trHeight w:val="286"/>
        </w:trPr>
        <w:tc>
          <w:tcPr>
            <w:tcW w:w="7520" w:type="dxa"/>
          </w:tcPr>
          <w:p w:rsidR="003F5784" w14:paraId="2B607EFB" w14:textId="77777777">
            <w:pPr>
              <w:pStyle w:val="TableParagraph"/>
              <w:ind w:left="120"/>
              <w:jc w:val="left"/>
              <w:rPr>
                <w:sz w:val="21"/>
              </w:rPr>
            </w:pPr>
            <w:r>
              <w:rPr>
                <w:spacing w:val="-2"/>
                <w:sz w:val="21"/>
              </w:rPr>
              <w:t>Delaware</w:t>
            </w:r>
          </w:p>
        </w:tc>
        <w:tc>
          <w:tcPr>
            <w:tcW w:w="2059" w:type="dxa"/>
          </w:tcPr>
          <w:p w:rsidR="003F5784" w14:paraId="2FF42220" w14:textId="77777777">
            <w:pPr>
              <w:pStyle w:val="TableParagraph"/>
              <w:ind w:left="285" w:right="96"/>
              <w:jc w:val="center"/>
              <w:rPr>
                <w:sz w:val="21"/>
              </w:rPr>
            </w:pPr>
            <w:r>
              <w:rPr>
                <w:spacing w:val="-5"/>
                <w:sz w:val="21"/>
              </w:rPr>
              <w:t>117</w:t>
            </w:r>
          </w:p>
        </w:tc>
        <w:tc>
          <w:tcPr>
            <w:tcW w:w="1422" w:type="dxa"/>
          </w:tcPr>
          <w:p w:rsidR="003F5784" w14:paraId="43CDEF48" w14:textId="77777777">
            <w:pPr>
              <w:pStyle w:val="TableParagraph"/>
              <w:ind w:right="368"/>
              <w:rPr>
                <w:sz w:val="21"/>
              </w:rPr>
            </w:pPr>
            <w:r>
              <w:rPr>
                <w:spacing w:val="-2"/>
                <w:sz w:val="21"/>
              </w:rPr>
              <w:t>10,511</w:t>
            </w:r>
          </w:p>
        </w:tc>
        <w:tc>
          <w:tcPr>
            <w:tcW w:w="1478" w:type="dxa"/>
          </w:tcPr>
          <w:p w:rsidR="003F5784" w14:paraId="4E6165D6" w14:textId="77777777">
            <w:pPr>
              <w:pStyle w:val="TableParagraph"/>
              <w:ind w:right="446"/>
              <w:rPr>
                <w:sz w:val="21"/>
              </w:rPr>
            </w:pPr>
            <w:r>
              <w:rPr>
                <w:spacing w:val="-5"/>
                <w:sz w:val="21"/>
              </w:rPr>
              <w:t>68</w:t>
            </w:r>
          </w:p>
        </w:tc>
        <w:tc>
          <w:tcPr>
            <w:tcW w:w="1506" w:type="dxa"/>
          </w:tcPr>
          <w:p w:rsidR="003F5784" w14:paraId="098CA3EE" w14:textId="77777777">
            <w:pPr>
              <w:pStyle w:val="TableParagraph"/>
              <w:ind w:right="118"/>
              <w:rPr>
                <w:sz w:val="21"/>
              </w:rPr>
            </w:pPr>
            <w:r>
              <w:rPr>
                <w:spacing w:val="-2"/>
                <w:sz w:val="21"/>
              </w:rPr>
              <w:t>11,041</w:t>
            </w:r>
          </w:p>
        </w:tc>
      </w:tr>
      <w:tr w14:paraId="70EC0A75" w14:textId="77777777">
        <w:tblPrEx>
          <w:tblW w:w="0" w:type="auto"/>
          <w:tblInd w:w="482" w:type="dxa"/>
          <w:tblLayout w:type="fixed"/>
          <w:tblCellMar>
            <w:left w:w="0" w:type="dxa"/>
            <w:right w:w="0" w:type="dxa"/>
          </w:tblCellMar>
          <w:tblLook w:val="01E0"/>
        </w:tblPrEx>
        <w:trPr>
          <w:trHeight w:val="286"/>
        </w:trPr>
        <w:tc>
          <w:tcPr>
            <w:tcW w:w="7520" w:type="dxa"/>
          </w:tcPr>
          <w:p w:rsidR="003F5784" w14:paraId="17F50826" w14:textId="77777777">
            <w:pPr>
              <w:pStyle w:val="TableParagraph"/>
              <w:ind w:left="120"/>
              <w:jc w:val="left"/>
              <w:rPr>
                <w:sz w:val="21"/>
              </w:rPr>
            </w:pPr>
            <w:r>
              <w:rPr>
                <w:spacing w:val="-2"/>
                <w:sz w:val="21"/>
              </w:rPr>
              <w:t>Florida–Duval</w:t>
            </w:r>
            <w:r>
              <w:rPr>
                <w:spacing w:val="12"/>
                <w:sz w:val="21"/>
              </w:rPr>
              <w:t xml:space="preserve"> </w:t>
            </w:r>
            <w:r>
              <w:rPr>
                <w:spacing w:val="-2"/>
                <w:sz w:val="21"/>
              </w:rPr>
              <w:t>County</w:t>
            </w:r>
          </w:p>
        </w:tc>
        <w:tc>
          <w:tcPr>
            <w:tcW w:w="2059" w:type="dxa"/>
          </w:tcPr>
          <w:p w:rsidR="003F5784" w14:paraId="2E466675" w14:textId="77777777">
            <w:pPr>
              <w:pStyle w:val="TableParagraph"/>
              <w:ind w:left="285" w:right="104"/>
              <w:jc w:val="center"/>
              <w:rPr>
                <w:sz w:val="21"/>
              </w:rPr>
            </w:pPr>
            <w:r>
              <w:rPr>
                <w:spacing w:val="-5"/>
                <w:sz w:val="21"/>
              </w:rPr>
              <w:t>124</w:t>
            </w:r>
          </w:p>
        </w:tc>
        <w:tc>
          <w:tcPr>
            <w:tcW w:w="1422" w:type="dxa"/>
          </w:tcPr>
          <w:p w:rsidR="003F5784" w14:paraId="5DD56960" w14:textId="77777777">
            <w:pPr>
              <w:pStyle w:val="TableParagraph"/>
              <w:ind w:right="368"/>
              <w:rPr>
                <w:sz w:val="21"/>
              </w:rPr>
            </w:pPr>
            <w:r>
              <w:rPr>
                <w:spacing w:val="-2"/>
                <w:sz w:val="21"/>
              </w:rPr>
              <w:t>10,577</w:t>
            </w:r>
          </w:p>
        </w:tc>
        <w:tc>
          <w:tcPr>
            <w:tcW w:w="1478" w:type="dxa"/>
          </w:tcPr>
          <w:p w:rsidR="003F5784" w14:paraId="5F385DAB" w14:textId="77777777">
            <w:pPr>
              <w:pStyle w:val="TableParagraph"/>
              <w:ind w:right="446"/>
              <w:rPr>
                <w:sz w:val="21"/>
              </w:rPr>
            </w:pPr>
            <w:r>
              <w:rPr>
                <w:spacing w:val="-5"/>
                <w:sz w:val="21"/>
              </w:rPr>
              <w:t>60</w:t>
            </w:r>
          </w:p>
        </w:tc>
        <w:tc>
          <w:tcPr>
            <w:tcW w:w="1506" w:type="dxa"/>
          </w:tcPr>
          <w:p w:rsidR="003F5784" w14:paraId="106E4224" w14:textId="77777777">
            <w:pPr>
              <w:pStyle w:val="TableParagraph"/>
              <w:ind w:right="118"/>
              <w:rPr>
                <w:sz w:val="21"/>
              </w:rPr>
            </w:pPr>
            <w:r>
              <w:rPr>
                <w:spacing w:val="-2"/>
                <w:sz w:val="21"/>
              </w:rPr>
              <w:t>9,784</w:t>
            </w:r>
          </w:p>
        </w:tc>
      </w:tr>
      <w:tr w14:paraId="6E3AD62B" w14:textId="77777777">
        <w:tblPrEx>
          <w:tblW w:w="0" w:type="auto"/>
          <w:tblInd w:w="482" w:type="dxa"/>
          <w:tblLayout w:type="fixed"/>
          <w:tblCellMar>
            <w:left w:w="0" w:type="dxa"/>
            <w:right w:w="0" w:type="dxa"/>
          </w:tblCellMar>
          <w:tblLook w:val="01E0"/>
        </w:tblPrEx>
        <w:trPr>
          <w:trHeight w:val="286"/>
        </w:trPr>
        <w:tc>
          <w:tcPr>
            <w:tcW w:w="7520" w:type="dxa"/>
          </w:tcPr>
          <w:p w:rsidR="003F5784" w14:paraId="2A5A313A" w14:textId="77777777">
            <w:pPr>
              <w:pStyle w:val="TableParagraph"/>
              <w:ind w:left="120"/>
              <w:jc w:val="left"/>
              <w:rPr>
                <w:sz w:val="21"/>
              </w:rPr>
            </w:pPr>
            <w:r>
              <w:rPr>
                <w:spacing w:val="-2"/>
                <w:sz w:val="21"/>
              </w:rPr>
              <w:t>Florida–Hillsborough</w:t>
            </w:r>
            <w:r>
              <w:rPr>
                <w:spacing w:val="20"/>
                <w:sz w:val="21"/>
              </w:rPr>
              <w:t xml:space="preserve"> </w:t>
            </w:r>
            <w:r>
              <w:rPr>
                <w:spacing w:val="-2"/>
                <w:sz w:val="21"/>
              </w:rPr>
              <w:t>County</w:t>
            </w:r>
          </w:p>
        </w:tc>
        <w:tc>
          <w:tcPr>
            <w:tcW w:w="2059" w:type="dxa"/>
          </w:tcPr>
          <w:p w:rsidR="003F5784" w14:paraId="611F4853" w14:textId="77777777">
            <w:pPr>
              <w:pStyle w:val="TableParagraph"/>
              <w:ind w:left="285" w:right="104"/>
              <w:jc w:val="center"/>
              <w:rPr>
                <w:sz w:val="21"/>
              </w:rPr>
            </w:pPr>
            <w:r>
              <w:rPr>
                <w:spacing w:val="-5"/>
                <w:sz w:val="21"/>
              </w:rPr>
              <w:t>189</w:t>
            </w:r>
          </w:p>
        </w:tc>
        <w:tc>
          <w:tcPr>
            <w:tcW w:w="1422" w:type="dxa"/>
          </w:tcPr>
          <w:p w:rsidR="003F5784" w14:paraId="08267238" w14:textId="77777777">
            <w:pPr>
              <w:pStyle w:val="TableParagraph"/>
              <w:ind w:right="368"/>
              <w:rPr>
                <w:sz w:val="21"/>
              </w:rPr>
            </w:pPr>
            <w:r>
              <w:rPr>
                <w:spacing w:val="-2"/>
                <w:sz w:val="21"/>
              </w:rPr>
              <w:t>17,620</w:t>
            </w:r>
          </w:p>
        </w:tc>
        <w:tc>
          <w:tcPr>
            <w:tcW w:w="1478" w:type="dxa"/>
          </w:tcPr>
          <w:p w:rsidR="003F5784" w14:paraId="45F88E8F" w14:textId="77777777">
            <w:pPr>
              <w:pStyle w:val="TableParagraph"/>
              <w:ind w:right="446"/>
              <w:rPr>
                <w:sz w:val="21"/>
              </w:rPr>
            </w:pPr>
            <w:r>
              <w:rPr>
                <w:spacing w:val="-5"/>
                <w:sz w:val="21"/>
              </w:rPr>
              <w:t>100</w:t>
            </w:r>
          </w:p>
        </w:tc>
        <w:tc>
          <w:tcPr>
            <w:tcW w:w="1506" w:type="dxa"/>
          </w:tcPr>
          <w:p w:rsidR="003F5784" w14:paraId="6B81D0F9" w14:textId="77777777">
            <w:pPr>
              <w:pStyle w:val="TableParagraph"/>
              <w:ind w:right="118"/>
              <w:rPr>
                <w:sz w:val="21"/>
              </w:rPr>
            </w:pPr>
            <w:r>
              <w:rPr>
                <w:spacing w:val="-2"/>
                <w:sz w:val="21"/>
              </w:rPr>
              <w:t>16,814</w:t>
            </w:r>
          </w:p>
        </w:tc>
      </w:tr>
      <w:tr w14:paraId="06242130" w14:textId="77777777">
        <w:tblPrEx>
          <w:tblW w:w="0" w:type="auto"/>
          <w:tblInd w:w="482" w:type="dxa"/>
          <w:tblLayout w:type="fixed"/>
          <w:tblCellMar>
            <w:left w:w="0" w:type="dxa"/>
            <w:right w:w="0" w:type="dxa"/>
          </w:tblCellMar>
          <w:tblLook w:val="01E0"/>
        </w:tblPrEx>
        <w:trPr>
          <w:trHeight w:val="286"/>
        </w:trPr>
        <w:tc>
          <w:tcPr>
            <w:tcW w:w="7520" w:type="dxa"/>
          </w:tcPr>
          <w:p w:rsidR="003F5784" w14:paraId="6237173F" w14:textId="77777777">
            <w:pPr>
              <w:pStyle w:val="TableParagraph"/>
              <w:ind w:left="120"/>
              <w:jc w:val="left"/>
              <w:rPr>
                <w:sz w:val="21"/>
              </w:rPr>
            </w:pPr>
            <w:r>
              <w:rPr>
                <w:spacing w:val="-2"/>
                <w:sz w:val="21"/>
              </w:rPr>
              <w:t>Florida–Miami</w:t>
            </w:r>
          </w:p>
        </w:tc>
        <w:tc>
          <w:tcPr>
            <w:tcW w:w="2059" w:type="dxa"/>
          </w:tcPr>
          <w:p w:rsidR="003F5784" w14:paraId="7683ADD1" w14:textId="77777777">
            <w:pPr>
              <w:pStyle w:val="TableParagraph"/>
              <w:ind w:left="285" w:right="104"/>
              <w:jc w:val="center"/>
              <w:rPr>
                <w:sz w:val="21"/>
              </w:rPr>
            </w:pPr>
            <w:r>
              <w:rPr>
                <w:spacing w:val="-5"/>
                <w:sz w:val="21"/>
              </w:rPr>
              <w:t>287</w:t>
            </w:r>
          </w:p>
        </w:tc>
        <w:tc>
          <w:tcPr>
            <w:tcW w:w="1422" w:type="dxa"/>
          </w:tcPr>
          <w:p w:rsidR="003F5784" w14:paraId="34B01447" w14:textId="77777777">
            <w:pPr>
              <w:pStyle w:val="TableParagraph"/>
              <w:ind w:right="368"/>
              <w:rPr>
                <w:sz w:val="21"/>
              </w:rPr>
            </w:pPr>
            <w:r>
              <w:rPr>
                <w:spacing w:val="-2"/>
                <w:sz w:val="21"/>
              </w:rPr>
              <w:t>25,525</w:t>
            </w:r>
          </w:p>
        </w:tc>
        <w:tc>
          <w:tcPr>
            <w:tcW w:w="1478" w:type="dxa"/>
          </w:tcPr>
          <w:p w:rsidR="003F5784" w14:paraId="6206AA41" w14:textId="77777777">
            <w:pPr>
              <w:pStyle w:val="TableParagraph"/>
              <w:ind w:right="446"/>
              <w:rPr>
                <w:sz w:val="21"/>
              </w:rPr>
            </w:pPr>
            <w:r>
              <w:rPr>
                <w:spacing w:val="-5"/>
                <w:sz w:val="21"/>
              </w:rPr>
              <w:t>190</w:t>
            </w:r>
          </w:p>
        </w:tc>
        <w:tc>
          <w:tcPr>
            <w:tcW w:w="1506" w:type="dxa"/>
          </w:tcPr>
          <w:p w:rsidR="003F5784" w14:paraId="34BE5DE0" w14:textId="77777777">
            <w:pPr>
              <w:pStyle w:val="TableParagraph"/>
              <w:ind w:right="118"/>
              <w:rPr>
                <w:sz w:val="21"/>
              </w:rPr>
            </w:pPr>
            <w:r>
              <w:rPr>
                <w:spacing w:val="-2"/>
                <w:sz w:val="21"/>
              </w:rPr>
              <w:t>26,991</w:t>
            </w:r>
          </w:p>
        </w:tc>
      </w:tr>
      <w:tr w14:paraId="077E6693" w14:textId="77777777">
        <w:tblPrEx>
          <w:tblW w:w="0" w:type="auto"/>
          <w:tblInd w:w="482" w:type="dxa"/>
          <w:tblLayout w:type="fixed"/>
          <w:tblCellMar>
            <w:left w:w="0" w:type="dxa"/>
            <w:right w:w="0" w:type="dxa"/>
          </w:tblCellMar>
          <w:tblLook w:val="01E0"/>
        </w:tblPrEx>
        <w:trPr>
          <w:trHeight w:val="286"/>
        </w:trPr>
        <w:tc>
          <w:tcPr>
            <w:tcW w:w="7520" w:type="dxa"/>
          </w:tcPr>
          <w:p w:rsidR="003F5784" w14:paraId="3319D481" w14:textId="77777777">
            <w:pPr>
              <w:pStyle w:val="TableParagraph"/>
              <w:ind w:left="120"/>
              <w:jc w:val="left"/>
              <w:rPr>
                <w:sz w:val="21"/>
              </w:rPr>
            </w:pPr>
            <w:r>
              <w:rPr>
                <w:spacing w:val="-2"/>
                <w:sz w:val="21"/>
              </w:rPr>
              <w:t>Florida–Balance</w:t>
            </w:r>
          </w:p>
        </w:tc>
        <w:tc>
          <w:tcPr>
            <w:tcW w:w="2059" w:type="dxa"/>
          </w:tcPr>
          <w:p w:rsidR="003F5784" w14:paraId="00FA16D5" w14:textId="77777777">
            <w:pPr>
              <w:pStyle w:val="TableParagraph"/>
              <w:ind w:left="285" w:right="260"/>
              <w:jc w:val="center"/>
              <w:rPr>
                <w:sz w:val="21"/>
              </w:rPr>
            </w:pPr>
            <w:r>
              <w:rPr>
                <w:spacing w:val="-2"/>
                <w:sz w:val="21"/>
              </w:rPr>
              <w:t>1,690</w:t>
            </w:r>
          </w:p>
        </w:tc>
        <w:tc>
          <w:tcPr>
            <w:tcW w:w="1422" w:type="dxa"/>
          </w:tcPr>
          <w:p w:rsidR="003F5784" w14:paraId="154AA52D" w14:textId="77777777">
            <w:pPr>
              <w:pStyle w:val="TableParagraph"/>
              <w:ind w:right="368"/>
              <w:rPr>
                <w:sz w:val="21"/>
              </w:rPr>
            </w:pPr>
            <w:r>
              <w:rPr>
                <w:spacing w:val="-2"/>
                <w:sz w:val="21"/>
              </w:rPr>
              <w:t>161,932</w:t>
            </w:r>
          </w:p>
        </w:tc>
        <w:tc>
          <w:tcPr>
            <w:tcW w:w="1478" w:type="dxa"/>
          </w:tcPr>
          <w:p w:rsidR="003F5784" w14:paraId="6BAF60E0" w14:textId="77777777">
            <w:pPr>
              <w:pStyle w:val="TableParagraph"/>
              <w:ind w:right="446"/>
              <w:rPr>
                <w:sz w:val="21"/>
              </w:rPr>
            </w:pPr>
            <w:r>
              <w:rPr>
                <w:spacing w:val="-5"/>
                <w:sz w:val="21"/>
              </w:rPr>
              <w:t>952</w:t>
            </w:r>
          </w:p>
        </w:tc>
        <w:tc>
          <w:tcPr>
            <w:tcW w:w="1506" w:type="dxa"/>
          </w:tcPr>
          <w:p w:rsidR="003F5784" w14:paraId="42245930" w14:textId="77777777">
            <w:pPr>
              <w:pStyle w:val="TableParagraph"/>
              <w:ind w:right="118"/>
              <w:rPr>
                <w:sz w:val="21"/>
              </w:rPr>
            </w:pPr>
            <w:r>
              <w:rPr>
                <w:spacing w:val="-2"/>
                <w:sz w:val="21"/>
              </w:rPr>
              <w:t>166,395</w:t>
            </w:r>
          </w:p>
        </w:tc>
      </w:tr>
      <w:tr w14:paraId="11190C07" w14:textId="77777777">
        <w:tblPrEx>
          <w:tblW w:w="0" w:type="auto"/>
          <w:tblInd w:w="482" w:type="dxa"/>
          <w:tblLayout w:type="fixed"/>
          <w:tblCellMar>
            <w:left w:w="0" w:type="dxa"/>
            <w:right w:w="0" w:type="dxa"/>
          </w:tblCellMar>
          <w:tblLook w:val="01E0"/>
        </w:tblPrEx>
        <w:trPr>
          <w:trHeight w:val="286"/>
        </w:trPr>
        <w:tc>
          <w:tcPr>
            <w:tcW w:w="7520" w:type="dxa"/>
          </w:tcPr>
          <w:p w:rsidR="003F5784" w14:paraId="1731CA9B" w14:textId="77777777">
            <w:pPr>
              <w:pStyle w:val="TableParagraph"/>
              <w:ind w:left="120"/>
              <w:jc w:val="left"/>
              <w:rPr>
                <w:sz w:val="21"/>
              </w:rPr>
            </w:pPr>
            <w:r>
              <w:rPr>
                <w:spacing w:val="-2"/>
                <w:sz w:val="21"/>
              </w:rPr>
              <w:t>Georgia–Atlanta</w:t>
            </w:r>
          </w:p>
        </w:tc>
        <w:tc>
          <w:tcPr>
            <w:tcW w:w="2059" w:type="dxa"/>
          </w:tcPr>
          <w:p w:rsidR="003F5784" w14:paraId="6C364E6F" w14:textId="77777777">
            <w:pPr>
              <w:pStyle w:val="TableParagraph"/>
              <w:ind w:left="362" w:right="77"/>
              <w:jc w:val="center"/>
              <w:rPr>
                <w:sz w:val="21"/>
              </w:rPr>
            </w:pPr>
            <w:r>
              <w:rPr>
                <w:spacing w:val="-5"/>
                <w:sz w:val="21"/>
              </w:rPr>
              <w:t>56</w:t>
            </w:r>
          </w:p>
        </w:tc>
        <w:tc>
          <w:tcPr>
            <w:tcW w:w="1422" w:type="dxa"/>
          </w:tcPr>
          <w:p w:rsidR="003F5784" w14:paraId="7A6BE604" w14:textId="77777777">
            <w:pPr>
              <w:pStyle w:val="TableParagraph"/>
              <w:ind w:right="368"/>
              <w:rPr>
                <w:sz w:val="21"/>
              </w:rPr>
            </w:pPr>
            <w:r>
              <w:rPr>
                <w:spacing w:val="-2"/>
                <w:sz w:val="21"/>
              </w:rPr>
              <w:t>4,443</w:t>
            </w:r>
          </w:p>
        </w:tc>
        <w:tc>
          <w:tcPr>
            <w:tcW w:w="1478" w:type="dxa"/>
          </w:tcPr>
          <w:p w:rsidR="003F5784" w14:paraId="186424A9" w14:textId="77777777">
            <w:pPr>
              <w:pStyle w:val="TableParagraph"/>
              <w:ind w:right="446"/>
              <w:rPr>
                <w:sz w:val="21"/>
              </w:rPr>
            </w:pPr>
            <w:r>
              <w:rPr>
                <w:spacing w:val="-5"/>
                <w:sz w:val="21"/>
              </w:rPr>
              <w:t>26</w:t>
            </w:r>
          </w:p>
        </w:tc>
        <w:tc>
          <w:tcPr>
            <w:tcW w:w="1506" w:type="dxa"/>
          </w:tcPr>
          <w:p w:rsidR="003F5784" w14:paraId="54DF2EF3" w14:textId="77777777">
            <w:pPr>
              <w:pStyle w:val="TableParagraph"/>
              <w:ind w:right="118"/>
              <w:rPr>
                <w:sz w:val="21"/>
              </w:rPr>
            </w:pPr>
            <w:r>
              <w:rPr>
                <w:spacing w:val="-2"/>
                <w:sz w:val="21"/>
              </w:rPr>
              <w:t>3,914</w:t>
            </w:r>
          </w:p>
        </w:tc>
      </w:tr>
      <w:tr w14:paraId="64713A2A" w14:textId="77777777">
        <w:tblPrEx>
          <w:tblW w:w="0" w:type="auto"/>
          <w:tblInd w:w="482" w:type="dxa"/>
          <w:tblLayout w:type="fixed"/>
          <w:tblCellMar>
            <w:left w:w="0" w:type="dxa"/>
            <w:right w:w="0" w:type="dxa"/>
          </w:tblCellMar>
          <w:tblLook w:val="01E0"/>
        </w:tblPrEx>
        <w:trPr>
          <w:trHeight w:val="286"/>
        </w:trPr>
        <w:tc>
          <w:tcPr>
            <w:tcW w:w="7520" w:type="dxa"/>
          </w:tcPr>
          <w:p w:rsidR="003F5784" w14:paraId="08EF23AA" w14:textId="77777777">
            <w:pPr>
              <w:pStyle w:val="TableParagraph"/>
              <w:ind w:left="120"/>
              <w:jc w:val="left"/>
              <w:rPr>
                <w:sz w:val="21"/>
              </w:rPr>
            </w:pPr>
            <w:r>
              <w:rPr>
                <w:spacing w:val="-2"/>
                <w:sz w:val="21"/>
              </w:rPr>
              <w:t>Georgia–Balance</w:t>
            </w:r>
          </w:p>
        </w:tc>
        <w:tc>
          <w:tcPr>
            <w:tcW w:w="2059" w:type="dxa"/>
          </w:tcPr>
          <w:p w:rsidR="003F5784" w14:paraId="5937F04C" w14:textId="77777777">
            <w:pPr>
              <w:pStyle w:val="TableParagraph"/>
              <w:ind w:left="285" w:right="260"/>
              <w:jc w:val="center"/>
              <w:rPr>
                <w:sz w:val="21"/>
              </w:rPr>
            </w:pPr>
            <w:r>
              <w:rPr>
                <w:spacing w:val="-2"/>
                <w:sz w:val="21"/>
              </w:rPr>
              <w:t>1,196</w:t>
            </w:r>
          </w:p>
        </w:tc>
        <w:tc>
          <w:tcPr>
            <w:tcW w:w="1422" w:type="dxa"/>
          </w:tcPr>
          <w:p w:rsidR="003F5784" w14:paraId="520A6EA5" w14:textId="77777777">
            <w:pPr>
              <w:pStyle w:val="TableParagraph"/>
              <w:ind w:right="368"/>
              <w:rPr>
                <w:sz w:val="21"/>
              </w:rPr>
            </w:pPr>
            <w:r>
              <w:rPr>
                <w:spacing w:val="-2"/>
                <w:sz w:val="21"/>
              </w:rPr>
              <w:t>126,156</w:t>
            </w:r>
          </w:p>
        </w:tc>
        <w:tc>
          <w:tcPr>
            <w:tcW w:w="1478" w:type="dxa"/>
          </w:tcPr>
          <w:p w:rsidR="003F5784" w14:paraId="7543A461" w14:textId="77777777">
            <w:pPr>
              <w:pStyle w:val="TableParagraph"/>
              <w:ind w:right="446"/>
              <w:rPr>
                <w:sz w:val="21"/>
              </w:rPr>
            </w:pPr>
            <w:r>
              <w:rPr>
                <w:spacing w:val="-5"/>
                <w:sz w:val="21"/>
              </w:rPr>
              <w:t>557</w:t>
            </w:r>
          </w:p>
        </w:tc>
        <w:tc>
          <w:tcPr>
            <w:tcW w:w="1506" w:type="dxa"/>
          </w:tcPr>
          <w:p w:rsidR="003F5784" w14:paraId="3F06016B" w14:textId="77777777">
            <w:pPr>
              <w:pStyle w:val="TableParagraph"/>
              <w:ind w:right="118"/>
              <w:rPr>
                <w:sz w:val="21"/>
              </w:rPr>
            </w:pPr>
            <w:r>
              <w:rPr>
                <w:spacing w:val="-2"/>
                <w:sz w:val="21"/>
              </w:rPr>
              <w:t>134,401</w:t>
            </w:r>
          </w:p>
        </w:tc>
      </w:tr>
      <w:tr w14:paraId="0C349598" w14:textId="77777777">
        <w:tblPrEx>
          <w:tblW w:w="0" w:type="auto"/>
          <w:tblInd w:w="482" w:type="dxa"/>
          <w:tblLayout w:type="fixed"/>
          <w:tblCellMar>
            <w:left w:w="0" w:type="dxa"/>
            <w:right w:w="0" w:type="dxa"/>
          </w:tblCellMar>
          <w:tblLook w:val="01E0"/>
        </w:tblPrEx>
        <w:trPr>
          <w:trHeight w:val="286"/>
        </w:trPr>
        <w:tc>
          <w:tcPr>
            <w:tcW w:w="7520" w:type="dxa"/>
          </w:tcPr>
          <w:p w:rsidR="003F5784" w14:paraId="66D1445B" w14:textId="77777777">
            <w:pPr>
              <w:pStyle w:val="TableParagraph"/>
              <w:ind w:left="120"/>
              <w:jc w:val="left"/>
              <w:rPr>
                <w:sz w:val="21"/>
              </w:rPr>
            </w:pPr>
            <w:r>
              <w:rPr>
                <w:spacing w:val="-2"/>
                <w:sz w:val="21"/>
              </w:rPr>
              <w:t>Hawaii</w:t>
            </w:r>
          </w:p>
        </w:tc>
        <w:tc>
          <w:tcPr>
            <w:tcW w:w="2059" w:type="dxa"/>
          </w:tcPr>
          <w:p w:rsidR="003F5784" w14:paraId="053854DE" w14:textId="77777777">
            <w:pPr>
              <w:pStyle w:val="TableParagraph"/>
              <w:ind w:left="285" w:right="104"/>
              <w:jc w:val="center"/>
              <w:rPr>
                <w:sz w:val="21"/>
              </w:rPr>
            </w:pPr>
            <w:r>
              <w:rPr>
                <w:spacing w:val="-5"/>
                <w:sz w:val="21"/>
              </w:rPr>
              <w:t>208</w:t>
            </w:r>
          </w:p>
        </w:tc>
        <w:tc>
          <w:tcPr>
            <w:tcW w:w="1422" w:type="dxa"/>
          </w:tcPr>
          <w:p w:rsidR="003F5784" w14:paraId="5D1C7B26" w14:textId="77777777">
            <w:pPr>
              <w:pStyle w:val="TableParagraph"/>
              <w:ind w:right="368"/>
              <w:rPr>
                <w:sz w:val="21"/>
              </w:rPr>
            </w:pPr>
            <w:r>
              <w:rPr>
                <w:spacing w:val="-2"/>
                <w:sz w:val="21"/>
              </w:rPr>
              <w:t>14,325</w:t>
            </w:r>
          </w:p>
        </w:tc>
        <w:tc>
          <w:tcPr>
            <w:tcW w:w="1478" w:type="dxa"/>
          </w:tcPr>
          <w:p w:rsidR="003F5784" w14:paraId="28AD4AFB" w14:textId="77777777">
            <w:pPr>
              <w:pStyle w:val="TableParagraph"/>
              <w:ind w:right="446"/>
              <w:rPr>
                <w:sz w:val="21"/>
              </w:rPr>
            </w:pPr>
            <w:r>
              <w:rPr>
                <w:spacing w:val="-5"/>
                <w:sz w:val="21"/>
              </w:rPr>
              <w:t>84</w:t>
            </w:r>
          </w:p>
        </w:tc>
        <w:tc>
          <w:tcPr>
            <w:tcW w:w="1506" w:type="dxa"/>
          </w:tcPr>
          <w:p w:rsidR="003F5784" w14:paraId="1B22416C" w14:textId="77777777">
            <w:pPr>
              <w:pStyle w:val="TableParagraph"/>
              <w:ind w:right="118"/>
              <w:rPr>
                <w:sz w:val="21"/>
              </w:rPr>
            </w:pPr>
            <w:r>
              <w:rPr>
                <w:spacing w:val="-2"/>
                <w:sz w:val="21"/>
              </w:rPr>
              <w:t>13,911</w:t>
            </w:r>
          </w:p>
        </w:tc>
      </w:tr>
      <w:tr w14:paraId="49F08E1F" w14:textId="77777777">
        <w:tblPrEx>
          <w:tblW w:w="0" w:type="auto"/>
          <w:tblInd w:w="482" w:type="dxa"/>
          <w:tblLayout w:type="fixed"/>
          <w:tblCellMar>
            <w:left w:w="0" w:type="dxa"/>
            <w:right w:w="0" w:type="dxa"/>
          </w:tblCellMar>
          <w:tblLook w:val="01E0"/>
        </w:tblPrEx>
        <w:trPr>
          <w:trHeight w:val="286"/>
        </w:trPr>
        <w:tc>
          <w:tcPr>
            <w:tcW w:w="7520" w:type="dxa"/>
          </w:tcPr>
          <w:p w:rsidR="003F5784" w14:paraId="585B9506" w14:textId="77777777">
            <w:pPr>
              <w:pStyle w:val="TableParagraph"/>
              <w:ind w:left="120"/>
              <w:jc w:val="left"/>
              <w:rPr>
                <w:sz w:val="21"/>
              </w:rPr>
            </w:pPr>
            <w:r>
              <w:rPr>
                <w:spacing w:val="-2"/>
                <w:sz w:val="21"/>
              </w:rPr>
              <w:t>Idaho</w:t>
            </w:r>
          </w:p>
        </w:tc>
        <w:tc>
          <w:tcPr>
            <w:tcW w:w="2059" w:type="dxa"/>
          </w:tcPr>
          <w:p w:rsidR="003F5784" w14:paraId="4C70F8D8" w14:textId="77777777">
            <w:pPr>
              <w:pStyle w:val="TableParagraph"/>
              <w:ind w:left="285" w:right="104"/>
              <w:jc w:val="center"/>
              <w:rPr>
                <w:sz w:val="21"/>
              </w:rPr>
            </w:pPr>
            <w:r>
              <w:rPr>
                <w:spacing w:val="-5"/>
                <w:sz w:val="21"/>
              </w:rPr>
              <w:t>393</w:t>
            </w:r>
          </w:p>
        </w:tc>
        <w:tc>
          <w:tcPr>
            <w:tcW w:w="1422" w:type="dxa"/>
          </w:tcPr>
          <w:p w:rsidR="003F5784" w14:paraId="2507655D" w14:textId="77777777">
            <w:pPr>
              <w:pStyle w:val="TableParagraph"/>
              <w:ind w:right="368"/>
              <w:rPr>
                <w:sz w:val="21"/>
              </w:rPr>
            </w:pPr>
            <w:r>
              <w:rPr>
                <w:spacing w:val="-2"/>
                <w:sz w:val="21"/>
              </w:rPr>
              <w:t>23,634</w:t>
            </w:r>
          </w:p>
        </w:tc>
        <w:tc>
          <w:tcPr>
            <w:tcW w:w="1478" w:type="dxa"/>
          </w:tcPr>
          <w:p w:rsidR="003F5784" w14:paraId="27C87408" w14:textId="77777777">
            <w:pPr>
              <w:pStyle w:val="TableParagraph"/>
              <w:ind w:right="446"/>
              <w:rPr>
                <w:sz w:val="21"/>
              </w:rPr>
            </w:pPr>
            <w:r>
              <w:rPr>
                <w:spacing w:val="-5"/>
                <w:sz w:val="21"/>
              </w:rPr>
              <w:t>219</w:t>
            </w:r>
          </w:p>
        </w:tc>
        <w:tc>
          <w:tcPr>
            <w:tcW w:w="1506" w:type="dxa"/>
          </w:tcPr>
          <w:p w:rsidR="003F5784" w14:paraId="5018292D" w14:textId="77777777">
            <w:pPr>
              <w:pStyle w:val="TableParagraph"/>
              <w:ind w:right="118"/>
              <w:rPr>
                <w:sz w:val="21"/>
              </w:rPr>
            </w:pPr>
            <w:r>
              <w:rPr>
                <w:spacing w:val="-2"/>
                <w:sz w:val="21"/>
              </w:rPr>
              <w:t>24,793</w:t>
            </w:r>
          </w:p>
        </w:tc>
      </w:tr>
      <w:tr w14:paraId="3C47F04E" w14:textId="77777777">
        <w:tblPrEx>
          <w:tblW w:w="0" w:type="auto"/>
          <w:tblInd w:w="482" w:type="dxa"/>
          <w:tblLayout w:type="fixed"/>
          <w:tblCellMar>
            <w:left w:w="0" w:type="dxa"/>
            <w:right w:w="0" w:type="dxa"/>
          </w:tblCellMar>
          <w:tblLook w:val="01E0"/>
        </w:tblPrEx>
        <w:trPr>
          <w:trHeight w:val="286"/>
        </w:trPr>
        <w:tc>
          <w:tcPr>
            <w:tcW w:w="7520" w:type="dxa"/>
          </w:tcPr>
          <w:p w:rsidR="003F5784" w14:paraId="2C890EE2" w14:textId="77777777">
            <w:pPr>
              <w:pStyle w:val="TableParagraph"/>
              <w:ind w:left="120"/>
              <w:jc w:val="left"/>
              <w:rPr>
                <w:sz w:val="21"/>
              </w:rPr>
            </w:pPr>
            <w:r>
              <w:rPr>
                <w:spacing w:val="-2"/>
                <w:sz w:val="21"/>
              </w:rPr>
              <w:t>Illinois–Chicago</w:t>
            </w:r>
          </w:p>
        </w:tc>
        <w:tc>
          <w:tcPr>
            <w:tcW w:w="2059" w:type="dxa"/>
          </w:tcPr>
          <w:p w:rsidR="003F5784" w14:paraId="210CC2DA" w14:textId="77777777">
            <w:pPr>
              <w:pStyle w:val="TableParagraph"/>
              <w:ind w:left="285" w:right="104"/>
              <w:jc w:val="center"/>
              <w:rPr>
                <w:sz w:val="21"/>
              </w:rPr>
            </w:pPr>
            <w:r>
              <w:rPr>
                <w:spacing w:val="-5"/>
                <w:sz w:val="21"/>
              </w:rPr>
              <w:t>459</w:t>
            </w:r>
          </w:p>
        </w:tc>
        <w:tc>
          <w:tcPr>
            <w:tcW w:w="1422" w:type="dxa"/>
          </w:tcPr>
          <w:p w:rsidR="003F5784" w14:paraId="019BFB5E" w14:textId="77777777">
            <w:pPr>
              <w:pStyle w:val="TableParagraph"/>
              <w:ind w:right="368"/>
              <w:rPr>
                <w:sz w:val="21"/>
              </w:rPr>
            </w:pPr>
            <w:r>
              <w:rPr>
                <w:spacing w:val="-2"/>
                <w:sz w:val="21"/>
              </w:rPr>
              <w:t>26,029</w:t>
            </w:r>
          </w:p>
        </w:tc>
        <w:tc>
          <w:tcPr>
            <w:tcW w:w="1478" w:type="dxa"/>
          </w:tcPr>
          <w:p w:rsidR="003F5784" w14:paraId="5806F447" w14:textId="77777777">
            <w:pPr>
              <w:pStyle w:val="TableParagraph"/>
              <w:ind w:right="446"/>
              <w:rPr>
                <w:sz w:val="21"/>
              </w:rPr>
            </w:pPr>
            <w:r>
              <w:rPr>
                <w:spacing w:val="-5"/>
                <w:sz w:val="21"/>
              </w:rPr>
              <w:t>454</w:t>
            </w:r>
          </w:p>
        </w:tc>
        <w:tc>
          <w:tcPr>
            <w:tcW w:w="1506" w:type="dxa"/>
          </w:tcPr>
          <w:p w:rsidR="003F5784" w14:paraId="1DD62B4D" w14:textId="77777777">
            <w:pPr>
              <w:pStyle w:val="TableParagraph"/>
              <w:ind w:right="118"/>
              <w:rPr>
                <w:sz w:val="21"/>
              </w:rPr>
            </w:pPr>
            <w:r>
              <w:rPr>
                <w:spacing w:val="-2"/>
                <w:sz w:val="21"/>
              </w:rPr>
              <w:t>26,680</w:t>
            </w:r>
          </w:p>
        </w:tc>
      </w:tr>
      <w:tr w14:paraId="062EE869" w14:textId="77777777">
        <w:tblPrEx>
          <w:tblW w:w="0" w:type="auto"/>
          <w:tblInd w:w="482" w:type="dxa"/>
          <w:tblLayout w:type="fixed"/>
          <w:tblCellMar>
            <w:left w:w="0" w:type="dxa"/>
            <w:right w:w="0" w:type="dxa"/>
          </w:tblCellMar>
          <w:tblLook w:val="01E0"/>
        </w:tblPrEx>
        <w:trPr>
          <w:trHeight w:val="286"/>
        </w:trPr>
        <w:tc>
          <w:tcPr>
            <w:tcW w:w="7520" w:type="dxa"/>
          </w:tcPr>
          <w:p w:rsidR="003F5784" w14:paraId="2EDAB72E" w14:textId="77777777">
            <w:pPr>
              <w:pStyle w:val="TableParagraph"/>
              <w:ind w:left="120"/>
              <w:jc w:val="left"/>
              <w:rPr>
                <w:sz w:val="21"/>
              </w:rPr>
            </w:pPr>
            <w:r>
              <w:rPr>
                <w:spacing w:val="-2"/>
                <w:sz w:val="21"/>
              </w:rPr>
              <w:t>Illinois–Balance</w:t>
            </w:r>
          </w:p>
        </w:tc>
        <w:tc>
          <w:tcPr>
            <w:tcW w:w="2059" w:type="dxa"/>
          </w:tcPr>
          <w:p w:rsidR="003F5784" w14:paraId="17B22732" w14:textId="77777777">
            <w:pPr>
              <w:pStyle w:val="TableParagraph"/>
              <w:ind w:left="285" w:right="260"/>
              <w:jc w:val="center"/>
              <w:rPr>
                <w:sz w:val="21"/>
              </w:rPr>
            </w:pPr>
            <w:r>
              <w:rPr>
                <w:spacing w:val="-2"/>
                <w:sz w:val="21"/>
              </w:rPr>
              <w:t>1,762</w:t>
            </w:r>
          </w:p>
        </w:tc>
        <w:tc>
          <w:tcPr>
            <w:tcW w:w="1422" w:type="dxa"/>
          </w:tcPr>
          <w:p w:rsidR="003F5784" w14:paraId="28966795" w14:textId="77777777">
            <w:pPr>
              <w:pStyle w:val="TableParagraph"/>
              <w:ind w:right="368"/>
              <w:rPr>
                <w:sz w:val="21"/>
              </w:rPr>
            </w:pPr>
            <w:r>
              <w:rPr>
                <w:spacing w:val="-2"/>
                <w:sz w:val="21"/>
              </w:rPr>
              <w:t>113,320</w:t>
            </w:r>
          </w:p>
        </w:tc>
        <w:tc>
          <w:tcPr>
            <w:tcW w:w="1478" w:type="dxa"/>
          </w:tcPr>
          <w:p w:rsidR="003F5784" w14:paraId="2D107E5F" w14:textId="77777777">
            <w:pPr>
              <w:pStyle w:val="TableParagraph"/>
              <w:ind w:right="446"/>
              <w:rPr>
                <w:sz w:val="21"/>
              </w:rPr>
            </w:pPr>
            <w:r>
              <w:rPr>
                <w:spacing w:val="-2"/>
                <w:sz w:val="21"/>
              </w:rPr>
              <w:t>1,144</w:t>
            </w:r>
          </w:p>
        </w:tc>
        <w:tc>
          <w:tcPr>
            <w:tcW w:w="1506" w:type="dxa"/>
          </w:tcPr>
          <w:p w:rsidR="003F5784" w14:paraId="6CCCC1AD" w14:textId="77777777">
            <w:pPr>
              <w:pStyle w:val="TableParagraph"/>
              <w:ind w:right="118"/>
              <w:rPr>
                <w:sz w:val="21"/>
              </w:rPr>
            </w:pPr>
            <w:r>
              <w:rPr>
                <w:spacing w:val="-2"/>
                <w:sz w:val="21"/>
              </w:rPr>
              <w:t>121,781</w:t>
            </w:r>
          </w:p>
        </w:tc>
      </w:tr>
      <w:tr w14:paraId="44BE13FA" w14:textId="77777777">
        <w:tblPrEx>
          <w:tblW w:w="0" w:type="auto"/>
          <w:tblInd w:w="482" w:type="dxa"/>
          <w:tblLayout w:type="fixed"/>
          <w:tblCellMar>
            <w:left w:w="0" w:type="dxa"/>
            <w:right w:w="0" w:type="dxa"/>
          </w:tblCellMar>
          <w:tblLook w:val="01E0"/>
        </w:tblPrEx>
        <w:trPr>
          <w:trHeight w:val="286"/>
        </w:trPr>
        <w:tc>
          <w:tcPr>
            <w:tcW w:w="7520" w:type="dxa"/>
          </w:tcPr>
          <w:p w:rsidR="003F5784" w14:paraId="5096C09C" w14:textId="77777777">
            <w:pPr>
              <w:pStyle w:val="TableParagraph"/>
              <w:ind w:left="120"/>
              <w:jc w:val="left"/>
              <w:rPr>
                <w:sz w:val="21"/>
              </w:rPr>
            </w:pPr>
            <w:r>
              <w:rPr>
                <w:spacing w:val="-2"/>
                <w:sz w:val="21"/>
              </w:rPr>
              <w:t>Indiana</w:t>
            </w:r>
          </w:p>
        </w:tc>
        <w:tc>
          <w:tcPr>
            <w:tcW w:w="2059" w:type="dxa"/>
          </w:tcPr>
          <w:p w:rsidR="003F5784" w14:paraId="426810EA" w14:textId="77777777">
            <w:pPr>
              <w:pStyle w:val="TableParagraph"/>
              <w:ind w:left="285" w:right="260"/>
              <w:jc w:val="center"/>
              <w:rPr>
                <w:sz w:val="21"/>
              </w:rPr>
            </w:pPr>
            <w:r>
              <w:rPr>
                <w:spacing w:val="-2"/>
                <w:sz w:val="21"/>
              </w:rPr>
              <w:t>1,033</w:t>
            </w:r>
          </w:p>
        </w:tc>
        <w:tc>
          <w:tcPr>
            <w:tcW w:w="1422" w:type="dxa"/>
          </w:tcPr>
          <w:p w:rsidR="003F5784" w14:paraId="2D5DBE98" w14:textId="77777777">
            <w:pPr>
              <w:pStyle w:val="TableParagraph"/>
              <w:ind w:right="368"/>
              <w:rPr>
                <w:sz w:val="21"/>
              </w:rPr>
            </w:pPr>
            <w:r>
              <w:rPr>
                <w:spacing w:val="-2"/>
                <w:sz w:val="21"/>
              </w:rPr>
              <w:t>77,755</w:t>
            </w:r>
          </w:p>
        </w:tc>
        <w:tc>
          <w:tcPr>
            <w:tcW w:w="1478" w:type="dxa"/>
          </w:tcPr>
          <w:p w:rsidR="003F5784" w14:paraId="0065A20B" w14:textId="77777777">
            <w:pPr>
              <w:pStyle w:val="TableParagraph"/>
              <w:ind w:right="446"/>
              <w:rPr>
                <w:sz w:val="21"/>
              </w:rPr>
            </w:pPr>
            <w:r>
              <w:rPr>
                <w:spacing w:val="-5"/>
                <w:sz w:val="21"/>
              </w:rPr>
              <w:t>490</w:t>
            </w:r>
          </w:p>
        </w:tc>
        <w:tc>
          <w:tcPr>
            <w:tcW w:w="1506" w:type="dxa"/>
          </w:tcPr>
          <w:p w:rsidR="003F5784" w14:paraId="560624C9" w14:textId="77777777">
            <w:pPr>
              <w:pStyle w:val="TableParagraph"/>
              <w:ind w:right="118"/>
              <w:rPr>
                <w:sz w:val="21"/>
              </w:rPr>
            </w:pPr>
            <w:r>
              <w:rPr>
                <w:spacing w:val="-2"/>
                <w:sz w:val="21"/>
              </w:rPr>
              <w:t>80,844</w:t>
            </w:r>
          </w:p>
        </w:tc>
      </w:tr>
      <w:tr w14:paraId="32CFD034" w14:textId="77777777">
        <w:tblPrEx>
          <w:tblW w:w="0" w:type="auto"/>
          <w:tblInd w:w="482" w:type="dxa"/>
          <w:tblLayout w:type="fixed"/>
          <w:tblCellMar>
            <w:left w:w="0" w:type="dxa"/>
            <w:right w:w="0" w:type="dxa"/>
          </w:tblCellMar>
          <w:tblLook w:val="01E0"/>
        </w:tblPrEx>
        <w:trPr>
          <w:trHeight w:val="286"/>
        </w:trPr>
        <w:tc>
          <w:tcPr>
            <w:tcW w:w="7520" w:type="dxa"/>
          </w:tcPr>
          <w:p w:rsidR="003F5784" w14:paraId="4B1147B2" w14:textId="77777777">
            <w:pPr>
              <w:pStyle w:val="TableParagraph"/>
              <w:ind w:left="120"/>
              <w:jc w:val="left"/>
              <w:rPr>
                <w:sz w:val="21"/>
              </w:rPr>
            </w:pPr>
            <w:r>
              <w:rPr>
                <w:spacing w:val="-4"/>
                <w:sz w:val="21"/>
              </w:rPr>
              <w:t>Iowa</w:t>
            </w:r>
          </w:p>
        </w:tc>
        <w:tc>
          <w:tcPr>
            <w:tcW w:w="2059" w:type="dxa"/>
          </w:tcPr>
          <w:p w:rsidR="003F5784" w14:paraId="70F84463" w14:textId="77777777">
            <w:pPr>
              <w:pStyle w:val="TableParagraph"/>
              <w:ind w:left="285" w:right="104"/>
              <w:jc w:val="center"/>
              <w:rPr>
                <w:sz w:val="21"/>
              </w:rPr>
            </w:pPr>
            <w:r>
              <w:rPr>
                <w:spacing w:val="-5"/>
                <w:sz w:val="21"/>
              </w:rPr>
              <w:t>614</w:t>
            </w:r>
          </w:p>
        </w:tc>
        <w:tc>
          <w:tcPr>
            <w:tcW w:w="1422" w:type="dxa"/>
          </w:tcPr>
          <w:p w:rsidR="003F5784" w14:paraId="7F648A2A" w14:textId="77777777">
            <w:pPr>
              <w:pStyle w:val="TableParagraph"/>
              <w:ind w:right="368"/>
              <w:rPr>
                <w:sz w:val="21"/>
              </w:rPr>
            </w:pPr>
            <w:r>
              <w:rPr>
                <w:spacing w:val="-2"/>
                <w:sz w:val="21"/>
              </w:rPr>
              <w:t>36,402</w:t>
            </w:r>
          </w:p>
        </w:tc>
        <w:tc>
          <w:tcPr>
            <w:tcW w:w="1478" w:type="dxa"/>
          </w:tcPr>
          <w:p w:rsidR="003F5784" w14:paraId="4F15655E" w14:textId="77777777">
            <w:pPr>
              <w:pStyle w:val="TableParagraph"/>
              <w:ind w:right="446"/>
              <w:rPr>
                <w:sz w:val="21"/>
              </w:rPr>
            </w:pPr>
            <w:r>
              <w:rPr>
                <w:spacing w:val="-5"/>
                <w:sz w:val="21"/>
              </w:rPr>
              <w:t>357</w:t>
            </w:r>
          </w:p>
        </w:tc>
        <w:tc>
          <w:tcPr>
            <w:tcW w:w="1506" w:type="dxa"/>
          </w:tcPr>
          <w:p w:rsidR="003F5784" w14:paraId="02DEA796" w14:textId="77777777">
            <w:pPr>
              <w:pStyle w:val="TableParagraph"/>
              <w:ind w:right="118"/>
              <w:rPr>
                <w:sz w:val="21"/>
              </w:rPr>
            </w:pPr>
            <w:r>
              <w:rPr>
                <w:spacing w:val="-2"/>
                <w:sz w:val="21"/>
              </w:rPr>
              <w:t>38,428</w:t>
            </w:r>
          </w:p>
        </w:tc>
      </w:tr>
      <w:tr w14:paraId="0F6068CA" w14:textId="77777777">
        <w:tblPrEx>
          <w:tblW w:w="0" w:type="auto"/>
          <w:tblInd w:w="482" w:type="dxa"/>
          <w:tblLayout w:type="fixed"/>
          <w:tblCellMar>
            <w:left w:w="0" w:type="dxa"/>
            <w:right w:w="0" w:type="dxa"/>
          </w:tblCellMar>
          <w:tblLook w:val="01E0"/>
        </w:tblPrEx>
        <w:trPr>
          <w:trHeight w:val="289"/>
        </w:trPr>
        <w:tc>
          <w:tcPr>
            <w:tcW w:w="7520" w:type="dxa"/>
            <w:tcBorders>
              <w:bottom w:val="single" w:sz="18" w:space="0" w:color="800000"/>
            </w:tcBorders>
          </w:tcPr>
          <w:p w:rsidR="003F5784" w14:paraId="697322E6" w14:textId="77777777">
            <w:pPr>
              <w:pStyle w:val="TableParagraph"/>
              <w:ind w:left="120"/>
              <w:jc w:val="left"/>
              <w:rPr>
                <w:sz w:val="21"/>
              </w:rPr>
            </w:pPr>
            <w:r>
              <w:rPr>
                <w:spacing w:val="-2"/>
                <w:sz w:val="21"/>
              </w:rPr>
              <w:t>Kansas</w:t>
            </w:r>
          </w:p>
        </w:tc>
        <w:tc>
          <w:tcPr>
            <w:tcW w:w="2059" w:type="dxa"/>
            <w:tcBorders>
              <w:bottom w:val="single" w:sz="18" w:space="0" w:color="800000"/>
            </w:tcBorders>
          </w:tcPr>
          <w:p w:rsidR="003F5784" w14:paraId="010EB164" w14:textId="77777777">
            <w:pPr>
              <w:pStyle w:val="TableParagraph"/>
              <w:ind w:left="285" w:right="104"/>
              <w:jc w:val="center"/>
              <w:rPr>
                <w:sz w:val="21"/>
              </w:rPr>
            </w:pPr>
            <w:r>
              <w:rPr>
                <w:spacing w:val="-5"/>
                <w:sz w:val="21"/>
              </w:rPr>
              <w:t>695</w:t>
            </w:r>
          </w:p>
        </w:tc>
        <w:tc>
          <w:tcPr>
            <w:tcW w:w="1422" w:type="dxa"/>
            <w:tcBorders>
              <w:bottom w:val="single" w:sz="18" w:space="0" w:color="800000"/>
            </w:tcBorders>
          </w:tcPr>
          <w:p w:rsidR="003F5784" w14:paraId="2BB80905" w14:textId="77777777">
            <w:pPr>
              <w:pStyle w:val="TableParagraph"/>
              <w:ind w:right="368"/>
              <w:rPr>
                <w:sz w:val="21"/>
              </w:rPr>
            </w:pPr>
            <w:r>
              <w:rPr>
                <w:spacing w:val="-2"/>
                <w:sz w:val="21"/>
              </w:rPr>
              <w:t>35,714</w:t>
            </w:r>
          </w:p>
        </w:tc>
        <w:tc>
          <w:tcPr>
            <w:tcW w:w="1478" w:type="dxa"/>
            <w:tcBorders>
              <w:bottom w:val="single" w:sz="18" w:space="0" w:color="800000"/>
            </w:tcBorders>
          </w:tcPr>
          <w:p w:rsidR="003F5784" w14:paraId="4E3EC76E" w14:textId="77777777">
            <w:pPr>
              <w:pStyle w:val="TableParagraph"/>
              <w:ind w:right="446"/>
              <w:rPr>
                <w:sz w:val="21"/>
              </w:rPr>
            </w:pPr>
            <w:r>
              <w:rPr>
                <w:spacing w:val="-5"/>
                <w:sz w:val="21"/>
              </w:rPr>
              <w:t>392</w:t>
            </w:r>
          </w:p>
        </w:tc>
        <w:tc>
          <w:tcPr>
            <w:tcW w:w="1506" w:type="dxa"/>
            <w:tcBorders>
              <w:bottom w:val="single" w:sz="18" w:space="0" w:color="800000"/>
            </w:tcBorders>
          </w:tcPr>
          <w:p w:rsidR="003F5784" w14:paraId="5975984B" w14:textId="77777777">
            <w:pPr>
              <w:pStyle w:val="TableParagraph"/>
              <w:ind w:right="118"/>
              <w:rPr>
                <w:sz w:val="21"/>
              </w:rPr>
            </w:pPr>
            <w:r>
              <w:rPr>
                <w:spacing w:val="-2"/>
                <w:sz w:val="21"/>
              </w:rPr>
              <w:t>37,025</w:t>
            </w:r>
          </w:p>
        </w:tc>
      </w:tr>
      <w:tr w14:paraId="03396C95" w14:textId="77777777">
        <w:tblPrEx>
          <w:tblW w:w="0" w:type="auto"/>
          <w:tblInd w:w="482" w:type="dxa"/>
          <w:tblLayout w:type="fixed"/>
          <w:tblCellMar>
            <w:left w:w="0" w:type="dxa"/>
            <w:right w:w="0" w:type="dxa"/>
          </w:tblCellMar>
          <w:tblLook w:val="01E0"/>
        </w:tblPrEx>
        <w:trPr>
          <w:trHeight w:val="414"/>
        </w:trPr>
        <w:tc>
          <w:tcPr>
            <w:tcW w:w="13985" w:type="dxa"/>
            <w:gridSpan w:val="5"/>
            <w:tcBorders>
              <w:top w:val="single" w:sz="18" w:space="0" w:color="800000"/>
            </w:tcBorders>
          </w:tcPr>
          <w:p w:rsidR="003F5784" w14:paraId="00A0C44F" w14:textId="77777777">
            <w:pPr>
              <w:pStyle w:val="TableParagraph"/>
              <w:spacing w:before="0" w:line="205" w:lineRule="exact"/>
              <w:ind w:left="120"/>
              <w:jc w:val="left"/>
              <w:rPr>
                <w:sz w:val="18"/>
              </w:rPr>
            </w:pPr>
            <w:r>
              <w:rPr>
                <w:sz w:val="18"/>
              </w:rPr>
              <w:t>SOURCE:</w:t>
            </w:r>
            <w:r>
              <w:rPr>
                <w:spacing w:val="5"/>
                <w:sz w:val="18"/>
              </w:rPr>
              <w:t xml:space="preserve"> </w:t>
            </w:r>
            <w:r>
              <w:rPr>
                <w:sz w:val="18"/>
              </w:rPr>
              <w:t>U.S.</w:t>
            </w:r>
            <w:r>
              <w:rPr>
                <w:spacing w:val="6"/>
                <w:sz w:val="18"/>
              </w:rPr>
              <w:t xml:space="preserve"> </w:t>
            </w:r>
            <w:r>
              <w:rPr>
                <w:sz w:val="18"/>
              </w:rPr>
              <w:t>Department</w:t>
            </w:r>
            <w:r>
              <w:rPr>
                <w:spacing w:val="6"/>
                <w:sz w:val="18"/>
              </w:rPr>
              <w:t xml:space="preserve"> </w:t>
            </w:r>
            <w:r>
              <w:rPr>
                <w:sz w:val="18"/>
              </w:rPr>
              <w:t>of</w:t>
            </w:r>
            <w:r>
              <w:rPr>
                <w:spacing w:val="5"/>
                <w:sz w:val="18"/>
              </w:rPr>
              <w:t xml:space="preserve"> </w:t>
            </w:r>
            <w:r>
              <w:rPr>
                <w:sz w:val="18"/>
              </w:rPr>
              <w:t>Education,</w:t>
            </w:r>
            <w:r>
              <w:rPr>
                <w:spacing w:val="6"/>
                <w:sz w:val="18"/>
              </w:rPr>
              <w:t xml:space="preserve"> </w:t>
            </w:r>
            <w:r>
              <w:rPr>
                <w:sz w:val="18"/>
              </w:rPr>
              <w:t>Institute</w:t>
            </w:r>
            <w:r>
              <w:rPr>
                <w:spacing w:val="6"/>
                <w:sz w:val="18"/>
              </w:rPr>
              <w:t xml:space="preserve"> </w:t>
            </w:r>
            <w:r>
              <w:rPr>
                <w:sz w:val="18"/>
              </w:rPr>
              <w:t>of</w:t>
            </w:r>
            <w:r>
              <w:rPr>
                <w:spacing w:val="5"/>
                <w:sz w:val="18"/>
              </w:rPr>
              <w:t xml:space="preserve"> </w:t>
            </w:r>
            <w:r>
              <w:rPr>
                <w:sz w:val="18"/>
              </w:rPr>
              <w:t>Education</w:t>
            </w:r>
            <w:r>
              <w:rPr>
                <w:spacing w:val="6"/>
                <w:sz w:val="18"/>
              </w:rPr>
              <w:t xml:space="preserve"> </w:t>
            </w:r>
            <w:r>
              <w:rPr>
                <w:sz w:val="18"/>
              </w:rPr>
              <w:t>Sciences,</w:t>
            </w:r>
            <w:r>
              <w:rPr>
                <w:spacing w:val="6"/>
                <w:sz w:val="18"/>
              </w:rPr>
              <w:t xml:space="preserve"> </w:t>
            </w:r>
            <w:r>
              <w:rPr>
                <w:sz w:val="18"/>
              </w:rPr>
              <w:t>National</w:t>
            </w:r>
            <w:r>
              <w:rPr>
                <w:spacing w:val="5"/>
                <w:sz w:val="18"/>
              </w:rPr>
              <w:t xml:space="preserve"> </w:t>
            </w:r>
            <w:r>
              <w:rPr>
                <w:sz w:val="18"/>
              </w:rPr>
              <w:t>Center</w:t>
            </w:r>
            <w:r>
              <w:rPr>
                <w:spacing w:val="6"/>
                <w:sz w:val="18"/>
              </w:rPr>
              <w:t xml:space="preserve"> </w:t>
            </w:r>
            <w:r>
              <w:rPr>
                <w:sz w:val="18"/>
              </w:rPr>
              <w:t>for</w:t>
            </w:r>
            <w:r>
              <w:rPr>
                <w:spacing w:val="6"/>
                <w:sz w:val="18"/>
              </w:rPr>
              <w:t xml:space="preserve"> </w:t>
            </w:r>
            <w:r>
              <w:rPr>
                <w:sz w:val="18"/>
              </w:rPr>
              <w:t>Education</w:t>
            </w:r>
            <w:r>
              <w:rPr>
                <w:spacing w:val="6"/>
                <w:sz w:val="18"/>
              </w:rPr>
              <w:t xml:space="preserve"> </w:t>
            </w:r>
            <w:r>
              <w:rPr>
                <w:sz w:val="18"/>
              </w:rPr>
              <w:t>Statistics,</w:t>
            </w:r>
            <w:r>
              <w:rPr>
                <w:spacing w:val="5"/>
                <w:sz w:val="18"/>
              </w:rPr>
              <w:t xml:space="preserve"> </w:t>
            </w:r>
            <w:r>
              <w:rPr>
                <w:sz w:val="18"/>
              </w:rPr>
              <w:t>National</w:t>
            </w:r>
            <w:r>
              <w:rPr>
                <w:spacing w:val="-5"/>
                <w:sz w:val="18"/>
              </w:rPr>
              <w:t xml:space="preserve"> </w:t>
            </w:r>
            <w:r>
              <w:rPr>
                <w:sz w:val="18"/>
              </w:rPr>
              <w:t>Assessment</w:t>
            </w:r>
            <w:r>
              <w:rPr>
                <w:spacing w:val="5"/>
                <w:sz w:val="18"/>
              </w:rPr>
              <w:t xml:space="preserve"> </w:t>
            </w:r>
            <w:r>
              <w:rPr>
                <w:sz w:val="18"/>
              </w:rPr>
              <w:t>of</w:t>
            </w:r>
            <w:r>
              <w:rPr>
                <w:spacing w:val="6"/>
                <w:sz w:val="18"/>
              </w:rPr>
              <w:t xml:space="preserve"> </w:t>
            </w:r>
            <w:r>
              <w:rPr>
                <w:sz w:val="18"/>
              </w:rPr>
              <w:t>Educational</w:t>
            </w:r>
            <w:r>
              <w:rPr>
                <w:spacing w:val="6"/>
                <w:sz w:val="18"/>
              </w:rPr>
              <w:t xml:space="preserve"> </w:t>
            </w:r>
            <w:r>
              <w:rPr>
                <w:sz w:val="18"/>
              </w:rPr>
              <w:t>Progress</w:t>
            </w:r>
            <w:r>
              <w:rPr>
                <w:spacing w:val="5"/>
                <w:sz w:val="18"/>
              </w:rPr>
              <w:t xml:space="preserve"> </w:t>
            </w:r>
            <w:r>
              <w:rPr>
                <w:sz w:val="18"/>
              </w:rPr>
              <w:t>(NAEP),</w:t>
            </w:r>
            <w:r>
              <w:rPr>
                <w:spacing w:val="6"/>
                <w:sz w:val="18"/>
              </w:rPr>
              <w:t xml:space="preserve"> </w:t>
            </w:r>
            <w:r>
              <w:rPr>
                <w:sz w:val="18"/>
              </w:rPr>
              <w:t>2022</w:t>
            </w:r>
            <w:r>
              <w:rPr>
                <w:spacing w:val="6"/>
                <w:sz w:val="18"/>
              </w:rPr>
              <w:t xml:space="preserve"> </w:t>
            </w:r>
            <w:r>
              <w:rPr>
                <w:spacing w:val="-2"/>
                <w:sz w:val="18"/>
              </w:rPr>
              <w:t>State</w:t>
            </w:r>
          </w:p>
          <w:p w:rsidR="003F5784" w14:paraId="3297C3A5" w14:textId="77777777">
            <w:pPr>
              <w:pStyle w:val="TableParagraph"/>
              <w:spacing w:before="1" w:line="188" w:lineRule="exact"/>
              <w:ind w:left="120"/>
              <w:jc w:val="left"/>
              <w:rPr>
                <w:sz w:val="18"/>
              </w:rPr>
            </w:pPr>
            <w:r>
              <w:rPr>
                <w:spacing w:val="-2"/>
                <w:sz w:val="18"/>
              </w:rPr>
              <w:t>Assessment.</w:t>
            </w:r>
          </w:p>
        </w:tc>
      </w:tr>
    </w:tbl>
    <w:p w:rsidR="003F5784" w14:paraId="4D0754BA" w14:textId="77777777">
      <w:pPr>
        <w:spacing w:line="188" w:lineRule="exact"/>
        <w:rPr>
          <w:sz w:val="18"/>
        </w:rPr>
        <w:sectPr>
          <w:headerReference w:type="default" r:id="rId259"/>
          <w:footerReference w:type="default" r:id="rId260"/>
          <w:pgSz w:w="15840" w:h="12240" w:orient="landscape"/>
          <w:pgMar w:top="480" w:right="440" w:bottom="460" w:left="460" w:header="284" w:footer="275" w:gutter="0"/>
          <w:cols w:space="720"/>
        </w:sectPr>
      </w:pPr>
    </w:p>
    <w:tbl>
      <w:tblPr>
        <w:tblW w:w="0" w:type="auto"/>
        <w:tblInd w:w="482" w:type="dxa"/>
        <w:tblLayout w:type="fixed"/>
        <w:tblCellMar>
          <w:left w:w="0" w:type="dxa"/>
          <w:right w:w="0" w:type="dxa"/>
        </w:tblCellMar>
        <w:tblLook w:val="01E0"/>
      </w:tblPr>
      <w:tblGrid>
        <w:gridCol w:w="5597"/>
        <w:gridCol w:w="3779"/>
        <w:gridCol w:w="1722"/>
        <w:gridCol w:w="1514"/>
        <w:gridCol w:w="1377"/>
      </w:tblGrid>
      <w:tr w14:paraId="0794F047" w14:textId="77777777">
        <w:tblPrEx>
          <w:tblW w:w="0" w:type="auto"/>
          <w:tblInd w:w="482" w:type="dxa"/>
          <w:tblLayout w:type="fixed"/>
          <w:tblCellMar>
            <w:left w:w="0" w:type="dxa"/>
            <w:right w:w="0" w:type="dxa"/>
          </w:tblCellMar>
          <w:tblLook w:val="01E0"/>
        </w:tblPrEx>
        <w:trPr>
          <w:trHeight w:val="278"/>
        </w:trPr>
        <w:tc>
          <w:tcPr>
            <w:tcW w:w="5597" w:type="dxa"/>
            <w:tcBorders>
              <w:top w:val="single" w:sz="18" w:space="0" w:color="800000"/>
            </w:tcBorders>
          </w:tcPr>
          <w:p w:rsidR="003F5784" w14:paraId="2D4A356F" w14:textId="77777777">
            <w:pPr>
              <w:pStyle w:val="TableParagraph"/>
              <w:spacing w:before="9"/>
              <w:ind w:left="120"/>
              <w:jc w:val="left"/>
              <w:rPr>
                <w:sz w:val="21"/>
              </w:rPr>
            </w:pPr>
            <w:r>
              <w:rPr>
                <w:spacing w:val="-2"/>
                <w:sz w:val="21"/>
              </w:rPr>
              <w:t>Kentucky–Jefferson</w:t>
            </w:r>
            <w:r>
              <w:rPr>
                <w:spacing w:val="14"/>
                <w:sz w:val="21"/>
              </w:rPr>
              <w:t xml:space="preserve"> </w:t>
            </w:r>
            <w:r>
              <w:rPr>
                <w:spacing w:val="-2"/>
                <w:sz w:val="21"/>
              </w:rPr>
              <w:t>County</w:t>
            </w:r>
          </w:p>
        </w:tc>
        <w:tc>
          <w:tcPr>
            <w:tcW w:w="3779" w:type="dxa"/>
            <w:tcBorders>
              <w:top w:val="single" w:sz="18" w:space="0" w:color="800000"/>
            </w:tcBorders>
          </w:tcPr>
          <w:p w:rsidR="003F5784" w14:paraId="12F0AB8F" w14:textId="77777777">
            <w:pPr>
              <w:pStyle w:val="TableParagraph"/>
              <w:spacing w:before="9"/>
              <w:ind w:right="577"/>
              <w:rPr>
                <w:sz w:val="21"/>
              </w:rPr>
            </w:pPr>
            <w:r>
              <w:rPr>
                <w:spacing w:val="-5"/>
                <w:sz w:val="21"/>
              </w:rPr>
              <w:t>99</w:t>
            </w:r>
          </w:p>
        </w:tc>
        <w:tc>
          <w:tcPr>
            <w:tcW w:w="1722" w:type="dxa"/>
            <w:tcBorders>
              <w:top w:val="single" w:sz="18" w:space="0" w:color="800000"/>
            </w:tcBorders>
          </w:tcPr>
          <w:p w:rsidR="003F5784" w14:paraId="35F24452" w14:textId="77777777">
            <w:pPr>
              <w:pStyle w:val="TableParagraph"/>
              <w:spacing w:before="9"/>
              <w:ind w:right="465"/>
              <w:rPr>
                <w:sz w:val="21"/>
              </w:rPr>
            </w:pPr>
            <w:r>
              <w:rPr>
                <w:spacing w:val="-2"/>
                <w:sz w:val="21"/>
              </w:rPr>
              <w:t>7,443</w:t>
            </w:r>
          </w:p>
        </w:tc>
        <w:tc>
          <w:tcPr>
            <w:tcW w:w="1514" w:type="dxa"/>
            <w:tcBorders>
              <w:top w:val="single" w:sz="18" w:space="0" w:color="800000"/>
            </w:tcBorders>
          </w:tcPr>
          <w:p w:rsidR="003F5784" w14:paraId="2A33E08C" w14:textId="77777777">
            <w:pPr>
              <w:pStyle w:val="TableParagraph"/>
              <w:spacing w:before="9"/>
              <w:ind w:right="579"/>
              <w:rPr>
                <w:sz w:val="21"/>
              </w:rPr>
            </w:pPr>
            <w:r>
              <w:rPr>
                <w:spacing w:val="-5"/>
                <w:sz w:val="21"/>
              </w:rPr>
              <w:t>41</w:t>
            </w:r>
          </w:p>
        </w:tc>
        <w:tc>
          <w:tcPr>
            <w:tcW w:w="1377" w:type="dxa"/>
            <w:tcBorders>
              <w:top w:val="single" w:sz="18" w:space="0" w:color="800000"/>
            </w:tcBorders>
          </w:tcPr>
          <w:p w:rsidR="003F5784" w14:paraId="233A1DC6" w14:textId="77777777">
            <w:pPr>
              <w:pStyle w:val="TableParagraph"/>
              <w:spacing w:before="9"/>
              <w:ind w:right="122"/>
              <w:rPr>
                <w:sz w:val="21"/>
              </w:rPr>
            </w:pPr>
            <w:r>
              <w:rPr>
                <w:spacing w:val="-2"/>
                <w:sz w:val="21"/>
              </w:rPr>
              <w:t>7,425</w:t>
            </w:r>
          </w:p>
        </w:tc>
      </w:tr>
      <w:tr w14:paraId="0655AB1B" w14:textId="77777777">
        <w:tblPrEx>
          <w:tblW w:w="0" w:type="auto"/>
          <w:tblInd w:w="482" w:type="dxa"/>
          <w:tblLayout w:type="fixed"/>
          <w:tblCellMar>
            <w:left w:w="0" w:type="dxa"/>
            <w:right w:w="0" w:type="dxa"/>
          </w:tblCellMar>
          <w:tblLook w:val="01E0"/>
        </w:tblPrEx>
        <w:trPr>
          <w:trHeight w:val="286"/>
        </w:trPr>
        <w:tc>
          <w:tcPr>
            <w:tcW w:w="5597" w:type="dxa"/>
          </w:tcPr>
          <w:p w:rsidR="003F5784" w14:paraId="77D281DF" w14:textId="77777777">
            <w:pPr>
              <w:pStyle w:val="TableParagraph"/>
              <w:ind w:left="120"/>
              <w:jc w:val="left"/>
              <w:rPr>
                <w:sz w:val="21"/>
              </w:rPr>
            </w:pPr>
            <w:r>
              <w:rPr>
                <w:spacing w:val="-2"/>
                <w:sz w:val="21"/>
              </w:rPr>
              <w:t>Kentucky–Balance</w:t>
            </w:r>
          </w:p>
        </w:tc>
        <w:tc>
          <w:tcPr>
            <w:tcW w:w="3779" w:type="dxa"/>
          </w:tcPr>
          <w:p w:rsidR="003F5784" w14:paraId="61CD3D0C" w14:textId="77777777">
            <w:pPr>
              <w:pStyle w:val="TableParagraph"/>
              <w:ind w:right="577"/>
              <w:rPr>
                <w:sz w:val="21"/>
              </w:rPr>
            </w:pPr>
            <w:r>
              <w:rPr>
                <w:spacing w:val="-5"/>
                <w:sz w:val="21"/>
              </w:rPr>
              <w:t>625</w:t>
            </w:r>
          </w:p>
        </w:tc>
        <w:tc>
          <w:tcPr>
            <w:tcW w:w="1722" w:type="dxa"/>
          </w:tcPr>
          <w:p w:rsidR="003F5784" w14:paraId="19ABEB13" w14:textId="77777777">
            <w:pPr>
              <w:pStyle w:val="TableParagraph"/>
              <w:ind w:right="465"/>
              <w:rPr>
                <w:sz w:val="21"/>
              </w:rPr>
            </w:pPr>
            <w:r>
              <w:rPr>
                <w:spacing w:val="-2"/>
                <w:sz w:val="21"/>
              </w:rPr>
              <w:t>42,954</w:t>
            </w:r>
          </w:p>
        </w:tc>
        <w:tc>
          <w:tcPr>
            <w:tcW w:w="1514" w:type="dxa"/>
          </w:tcPr>
          <w:p w:rsidR="003F5784" w14:paraId="7365F916" w14:textId="77777777">
            <w:pPr>
              <w:pStyle w:val="TableParagraph"/>
              <w:ind w:right="579"/>
              <w:rPr>
                <w:sz w:val="21"/>
              </w:rPr>
            </w:pPr>
            <w:r>
              <w:rPr>
                <w:spacing w:val="-5"/>
                <w:sz w:val="21"/>
              </w:rPr>
              <w:t>390</w:t>
            </w:r>
          </w:p>
        </w:tc>
        <w:tc>
          <w:tcPr>
            <w:tcW w:w="1377" w:type="dxa"/>
          </w:tcPr>
          <w:p w:rsidR="003F5784" w14:paraId="2A11C23F" w14:textId="77777777">
            <w:pPr>
              <w:pStyle w:val="TableParagraph"/>
              <w:ind w:right="122"/>
              <w:rPr>
                <w:sz w:val="21"/>
              </w:rPr>
            </w:pPr>
            <w:r>
              <w:rPr>
                <w:spacing w:val="-2"/>
                <w:sz w:val="21"/>
              </w:rPr>
              <w:t>45,001</w:t>
            </w:r>
          </w:p>
        </w:tc>
      </w:tr>
      <w:tr w14:paraId="78F68974" w14:textId="77777777">
        <w:tblPrEx>
          <w:tblW w:w="0" w:type="auto"/>
          <w:tblInd w:w="482" w:type="dxa"/>
          <w:tblLayout w:type="fixed"/>
          <w:tblCellMar>
            <w:left w:w="0" w:type="dxa"/>
            <w:right w:w="0" w:type="dxa"/>
          </w:tblCellMar>
          <w:tblLook w:val="01E0"/>
        </w:tblPrEx>
        <w:trPr>
          <w:trHeight w:val="286"/>
        </w:trPr>
        <w:tc>
          <w:tcPr>
            <w:tcW w:w="5597" w:type="dxa"/>
          </w:tcPr>
          <w:p w:rsidR="003F5784" w14:paraId="1F91D179" w14:textId="77777777">
            <w:pPr>
              <w:pStyle w:val="TableParagraph"/>
              <w:ind w:left="120"/>
              <w:jc w:val="left"/>
              <w:rPr>
                <w:sz w:val="21"/>
              </w:rPr>
            </w:pPr>
            <w:r>
              <w:rPr>
                <w:spacing w:val="-2"/>
                <w:sz w:val="21"/>
              </w:rPr>
              <w:t>Louisiana</w:t>
            </w:r>
          </w:p>
        </w:tc>
        <w:tc>
          <w:tcPr>
            <w:tcW w:w="3779" w:type="dxa"/>
          </w:tcPr>
          <w:p w:rsidR="003F5784" w14:paraId="381DDE4F" w14:textId="77777777">
            <w:pPr>
              <w:pStyle w:val="TableParagraph"/>
              <w:ind w:right="577"/>
              <w:rPr>
                <w:sz w:val="21"/>
              </w:rPr>
            </w:pPr>
            <w:r>
              <w:rPr>
                <w:spacing w:val="-5"/>
                <w:sz w:val="21"/>
              </w:rPr>
              <w:t>739</w:t>
            </w:r>
          </w:p>
        </w:tc>
        <w:tc>
          <w:tcPr>
            <w:tcW w:w="1722" w:type="dxa"/>
          </w:tcPr>
          <w:p w:rsidR="003F5784" w14:paraId="6CE63DE2" w14:textId="77777777">
            <w:pPr>
              <w:pStyle w:val="TableParagraph"/>
              <w:ind w:right="465"/>
              <w:rPr>
                <w:sz w:val="21"/>
              </w:rPr>
            </w:pPr>
            <w:r>
              <w:rPr>
                <w:spacing w:val="-2"/>
                <w:sz w:val="21"/>
              </w:rPr>
              <w:t>53,725</w:t>
            </w:r>
          </w:p>
        </w:tc>
        <w:tc>
          <w:tcPr>
            <w:tcW w:w="1514" w:type="dxa"/>
          </w:tcPr>
          <w:p w:rsidR="003F5784" w14:paraId="57E1085A" w14:textId="77777777">
            <w:pPr>
              <w:pStyle w:val="TableParagraph"/>
              <w:ind w:right="579"/>
              <w:rPr>
                <w:sz w:val="21"/>
              </w:rPr>
            </w:pPr>
            <w:r>
              <w:rPr>
                <w:spacing w:val="-5"/>
                <w:sz w:val="21"/>
              </w:rPr>
              <w:t>499</w:t>
            </w:r>
          </w:p>
        </w:tc>
        <w:tc>
          <w:tcPr>
            <w:tcW w:w="1377" w:type="dxa"/>
          </w:tcPr>
          <w:p w:rsidR="003F5784" w14:paraId="6F0A4B45" w14:textId="77777777">
            <w:pPr>
              <w:pStyle w:val="TableParagraph"/>
              <w:ind w:right="122"/>
              <w:rPr>
                <w:sz w:val="21"/>
              </w:rPr>
            </w:pPr>
            <w:r>
              <w:rPr>
                <w:spacing w:val="-2"/>
                <w:sz w:val="21"/>
              </w:rPr>
              <w:t>53,361</w:t>
            </w:r>
          </w:p>
        </w:tc>
      </w:tr>
      <w:tr w14:paraId="339D41F1" w14:textId="77777777">
        <w:tblPrEx>
          <w:tblW w:w="0" w:type="auto"/>
          <w:tblInd w:w="482" w:type="dxa"/>
          <w:tblLayout w:type="fixed"/>
          <w:tblCellMar>
            <w:left w:w="0" w:type="dxa"/>
            <w:right w:w="0" w:type="dxa"/>
          </w:tblCellMar>
          <w:tblLook w:val="01E0"/>
        </w:tblPrEx>
        <w:trPr>
          <w:trHeight w:val="286"/>
        </w:trPr>
        <w:tc>
          <w:tcPr>
            <w:tcW w:w="5597" w:type="dxa"/>
          </w:tcPr>
          <w:p w:rsidR="003F5784" w14:paraId="25041CDB" w14:textId="77777777">
            <w:pPr>
              <w:pStyle w:val="TableParagraph"/>
              <w:ind w:left="120"/>
              <w:jc w:val="left"/>
              <w:rPr>
                <w:sz w:val="21"/>
              </w:rPr>
            </w:pPr>
            <w:r>
              <w:rPr>
                <w:spacing w:val="-2"/>
                <w:sz w:val="21"/>
              </w:rPr>
              <w:t>Maine</w:t>
            </w:r>
          </w:p>
        </w:tc>
        <w:tc>
          <w:tcPr>
            <w:tcW w:w="3779" w:type="dxa"/>
          </w:tcPr>
          <w:p w:rsidR="003F5784" w14:paraId="29D3BED3" w14:textId="77777777">
            <w:pPr>
              <w:pStyle w:val="TableParagraph"/>
              <w:ind w:right="577"/>
              <w:rPr>
                <w:sz w:val="21"/>
              </w:rPr>
            </w:pPr>
            <w:r>
              <w:rPr>
                <w:spacing w:val="-5"/>
                <w:sz w:val="21"/>
              </w:rPr>
              <w:t>309</w:t>
            </w:r>
          </w:p>
        </w:tc>
        <w:tc>
          <w:tcPr>
            <w:tcW w:w="1722" w:type="dxa"/>
          </w:tcPr>
          <w:p w:rsidR="003F5784" w14:paraId="3B4C6025" w14:textId="77777777">
            <w:pPr>
              <w:pStyle w:val="TableParagraph"/>
              <w:ind w:right="465"/>
              <w:rPr>
                <w:sz w:val="21"/>
              </w:rPr>
            </w:pPr>
            <w:r>
              <w:rPr>
                <w:spacing w:val="-2"/>
                <w:sz w:val="21"/>
              </w:rPr>
              <w:t>13,041</w:t>
            </w:r>
          </w:p>
        </w:tc>
        <w:tc>
          <w:tcPr>
            <w:tcW w:w="1514" w:type="dxa"/>
          </w:tcPr>
          <w:p w:rsidR="003F5784" w14:paraId="7C114DD2" w14:textId="77777777">
            <w:pPr>
              <w:pStyle w:val="TableParagraph"/>
              <w:ind w:right="579"/>
              <w:rPr>
                <w:sz w:val="21"/>
              </w:rPr>
            </w:pPr>
            <w:r>
              <w:rPr>
                <w:spacing w:val="-5"/>
                <w:sz w:val="21"/>
              </w:rPr>
              <w:t>198</w:t>
            </w:r>
          </w:p>
        </w:tc>
        <w:tc>
          <w:tcPr>
            <w:tcW w:w="1377" w:type="dxa"/>
          </w:tcPr>
          <w:p w:rsidR="003F5784" w14:paraId="3EE35E16" w14:textId="77777777">
            <w:pPr>
              <w:pStyle w:val="TableParagraph"/>
              <w:ind w:right="122"/>
              <w:rPr>
                <w:sz w:val="21"/>
              </w:rPr>
            </w:pPr>
            <w:r>
              <w:rPr>
                <w:spacing w:val="-2"/>
                <w:sz w:val="21"/>
              </w:rPr>
              <w:t>13,472</w:t>
            </w:r>
          </w:p>
        </w:tc>
      </w:tr>
      <w:tr w14:paraId="2EC26BCF" w14:textId="77777777">
        <w:tblPrEx>
          <w:tblW w:w="0" w:type="auto"/>
          <w:tblInd w:w="482" w:type="dxa"/>
          <w:tblLayout w:type="fixed"/>
          <w:tblCellMar>
            <w:left w:w="0" w:type="dxa"/>
            <w:right w:w="0" w:type="dxa"/>
          </w:tblCellMar>
          <w:tblLook w:val="01E0"/>
        </w:tblPrEx>
        <w:trPr>
          <w:trHeight w:val="286"/>
        </w:trPr>
        <w:tc>
          <w:tcPr>
            <w:tcW w:w="5597" w:type="dxa"/>
          </w:tcPr>
          <w:p w:rsidR="003F5784" w14:paraId="32F78D1F" w14:textId="77777777">
            <w:pPr>
              <w:pStyle w:val="TableParagraph"/>
              <w:ind w:left="120"/>
              <w:jc w:val="left"/>
              <w:rPr>
                <w:sz w:val="21"/>
              </w:rPr>
            </w:pPr>
            <w:r>
              <w:rPr>
                <w:spacing w:val="-2"/>
                <w:sz w:val="21"/>
              </w:rPr>
              <w:t>Maryland–Baltimore</w:t>
            </w:r>
          </w:p>
        </w:tc>
        <w:tc>
          <w:tcPr>
            <w:tcW w:w="3779" w:type="dxa"/>
          </w:tcPr>
          <w:p w:rsidR="003F5784" w14:paraId="5DEDBE8B" w14:textId="77777777">
            <w:pPr>
              <w:pStyle w:val="TableParagraph"/>
              <w:ind w:right="577"/>
              <w:rPr>
                <w:sz w:val="21"/>
              </w:rPr>
            </w:pPr>
            <w:r>
              <w:rPr>
                <w:spacing w:val="-5"/>
                <w:sz w:val="21"/>
              </w:rPr>
              <w:t>116</w:t>
            </w:r>
          </w:p>
        </w:tc>
        <w:tc>
          <w:tcPr>
            <w:tcW w:w="1722" w:type="dxa"/>
          </w:tcPr>
          <w:p w:rsidR="003F5784" w14:paraId="04B3C400" w14:textId="77777777">
            <w:pPr>
              <w:pStyle w:val="TableParagraph"/>
              <w:ind w:right="465"/>
              <w:rPr>
                <w:sz w:val="21"/>
              </w:rPr>
            </w:pPr>
            <w:r>
              <w:rPr>
                <w:spacing w:val="-2"/>
                <w:sz w:val="21"/>
              </w:rPr>
              <w:t>6,420</w:t>
            </w:r>
          </w:p>
        </w:tc>
        <w:tc>
          <w:tcPr>
            <w:tcW w:w="1514" w:type="dxa"/>
          </w:tcPr>
          <w:p w:rsidR="003F5784" w14:paraId="7F72DDE2" w14:textId="77777777">
            <w:pPr>
              <w:pStyle w:val="TableParagraph"/>
              <w:ind w:right="579"/>
              <w:rPr>
                <w:sz w:val="21"/>
              </w:rPr>
            </w:pPr>
            <w:r>
              <w:rPr>
                <w:spacing w:val="-5"/>
                <w:sz w:val="21"/>
              </w:rPr>
              <w:t>88</w:t>
            </w:r>
          </w:p>
        </w:tc>
        <w:tc>
          <w:tcPr>
            <w:tcW w:w="1377" w:type="dxa"/>
          </w:tcPr>
          <w:p w:rsidR="003F5784" w14:paraId="74B7158B" w14:textId="77777777">
            <w:pPr>
              <w:pStyle w:val="TableParagraph"/>
              <w:ind w:right="122"/>
              <w:rPr>
                <w:sz w:val="21"/>
              </w:rPr>
            </w:pPr>
            <w:r>
              <w:rPr>
                <w:spacing w:val="-2"/>
                <w:sz w:val="21"/>
              </w:rPr>
              <w:t>5,373</w:t>
            </w:r>
          </w:p>
        </w:tc>
      </w:tr>
      <w:tr w14:paraId="5EBCC5B9" w14:textId="77777777">
        <w:tblPrEx>
          <w:tblW w:w="0" w:type="auto"/>
          <w:tblInd w:w="482" w:type="dxa"/>
          <w:tblLayout w:type="fixed"/>
          <w:tblCellMar>
            <w:left w:w="0" w:type="dxa"/>
            <w:right w:w="0" w:type="dxa"/>
          </w:tblCellMar>
          <w:tblLook w:val="01E0"/>
        </w:tblPrEx>
        <w:trPr>
          <w:trHeight w:val="286"/>
        </w:trPr>
        <w:tc>
          <w:tcPr>
            <w:tcW w:w="5597" w:type="dxa"/>
          </w:tcPr>
          <w:p w:rsidR="003F5784" w14:paraId="73AEB6D8" w14:textId="77777777">
            <w:pPr>
              <w:pStyle w:val="TableParagraph"/>
              <w:ind w:left="120"/>
              <w:jc w:val="left"/>
              <w:rPr>
                <w:sz w:val="21"/>
              </w:rPr>
            </w:pPr>
            <w:r>
              <w:rPr>
                <w:spacing w:val="-2"/>
                <w:sz w:val="21"/>
              </w:rPr>
              <w:t>Maryland–Balance</w:t>
            </w:r>
          </w:p>
        </w:tc>
        <w:tc>
          <w:tcPr>
            <w:tcW w:w="3779" w:type="dxa"/>
          </w:tcPr>
          <w:p w:rsidR="003F5784" w14:paraId="10A963B9" w14:textId="77777777">
            <w:pPr>
              <w:pStyle w:val="TableParagraph"/>
              <w:ind w:right="577"/>
              <w:rPr>
                <w:sz w:val="21"/>
              </w:rPr>
            </w:pPr>
            <w:r>
              <w:rPr>
                <w:spacing w:val="-5"/>
                <w:sz w:val="21"/>
              </w:rPr>
              <w:t>776</w:t>
            </w:r>
          </w:p>
        </w:tc>
        <w:tc>
          <w:tcPr>
            <w:tcW w:w="1722" w:type="dxa"/>
          </w:tcPr>
          <w:p w:rsidR="003F5784" w14:paraId="4D636F5F" w14:textId="77777777">
            <w:pPr>
              <w:pStyle w:val="TableParagraph"/>
              <w:ind w:right="465"/>
              <w:rPr>
                <w:sz w:val="21"/>
              </w:rPr>
            </w:pPr>
            <w:r>
              <w:rPr>
                <w:spacing w:val="-2"/>
                <w:sz w:val="21"/>
              </w:rPr>
              <w:t>62,293</w:t>
            </w:r>
          </w:p>
        </w:tc>
        <w:tc>
          <w:tcPr>
            <w:tcW w:w="1514" w:type="dxa"/>
          </w:tcPr>
          <w:p w:rsidR="003F5784" w14:paraId="7AB46E11" w14:textId="77777777">
            <w:pPr>
              <w:pStyle w:val="TableParagraph"/>
              <w:ind w:right="579"/>
              <w:rPr>
                <w:sz w:val="21"/>
              </w:rPr>
            </w:pPr>
            <w:r>
              <w:rPr>
                <w:spacing w:val="-5"/>
                <w:sz w:val="21"/>
              </w:rPr>
              <w:t>283</w:t>
            </w:r>
          </w:p>
        </w:tc>
        <w:tc>
          <w:tcPr>
            <w:tcW w:w="1377" w:type="dxa"/>
          </w:tcPr>
          <w:p w:rsidR="003F5784" w14:paraId="76EF8B37" w14:textId="77777777">
            <w:pPr>
              <w:pStyle w:val="TableParagraph"/>
              <w:ind w:right="122"/>
              <w:rPr>
                <w:sz w:val="21"/>
              </w:rPr>
            </w:pPr>
            <w:r>
              <w:rPr>
                <w:spacing w:val="-2"/>
                <w:sz w:val="21"/>
              </w:rPr>
              <w:t>62,434</w:t>
            </w:r>
          </w:p>
        </w:tc>
      </w:tr>
      <w:tr w14:paraId="1B06865A" w14:textId="77777777">
        <w:tblPrEx>
          <w:tblW w:w="0" w:type="auto"/>
          <w:tblInd w:w="482" w:type="dxa"/>
          <w:tblLayout w:type="fixed"/>
          <w:tblCellMar>
            <w:left w:w="0" w:type="dxa"/>
            <w:right w:w="0" w:type="dxa"/>
          </w:tblCellMar>
          <w:tblLook w:val="01E0"/>
        </w:tblPrEx>
        <w:trPr>
          <w:trHeight w:val="286"/>
        </w:trPr>
        <w:tc>
          <w:tcPr>
            <w:tcW w:w="5597" w:type="dxa"/>
          </w:tcPr>
          <w:p w:rsidR="003F5784" w14:paraId="0AFA3715" w14:textId="77777777">
            <w:pPr>
              <w:pStyle w:val="TableParagraph"/>
              <w:ind w:left="120"/>
              <w:jc w:val="left"/>
              <w:rPr>
                <w:sz w:val="21"/>
              </w:rPr>
            </w:pPr>
            <w:r>
              <w:rPr>
                <w:spacing w:val="-2"/>
                <w:sz w:val="21"/>
              </w:rPr>
              <w:t>Massachusetts–Boston</w:t>
            </w:r>
          </w:p>
        </w:tc>
        <w:tc>
          <w:tcPr>
            <w:tcW w:w="3779" w:type="dxa"/>
          </w:tcPr>
          <w:p w:rsidR="003F5784" w14:paraId="3C1FD12F" w14:textId="77777777">
            <w:pPr>
              <w:pStyle w:val="TableParagraph"/>
              <w:ind w:right="577"/>
              <w:rPr>
                <w:sz w:val="21"/>
              </w:rPr>
            </w:pPr>
            <w:r>
              <w:rPr>
                <w:spacing w:val="-5"/>
                <w:sz w:val="21"/>
              </w:rPr>
              <w:t>70</w:t>
            </w:r>
          </w:p>
        </w:tc>
        <w:tc>
          <w:tcPr>
            <w:tcW w:w="1722" w:type="dxa"/>
          </w:tcPr>
          <w:p w:rsidR="003F5784" w14:paraId="2BA8C687" w14:textId="77777777">
            <w:pPr>
              <w:pStyle w:val="TableParagraph"/>
              <w:ind w:right="465"/>
              <w:rPr>
                <w:sz w:val="21"/>
              </w:rPr>
            </w:pPr>
            <w:r>
              <w:rPr>
                <w:spacing w:val="-2"/>
                <w:sz w:val="21"/>
              </w:rPr>
              <w:t>3,621</w:t>
            </w:r>
          </w:p>
        </w:tc>
        <w:tc>
          <w:tcPr>
            <w:tcW w:w="1514" w:type="dxa"/>
          </w:tcPr>
          <w:p w:rsidR="003F5784" w14:paraId="04D4E357" w14:textId="77777777">
            <w:pPr>
              <w:pStyle w:val="TableParagraph"/>
              <w:ind w:right="579"/>
              <w:rPr>
                <w:sz w:val="21"/>
              </w:rPr>
            </w:pPr>
            <w:r>
              <w:rPr>
                <w:spacing w:val="-5"/>
                <w:sz w:val="21"/>
              </w:rPr>
              <w:t>46</w:t>
            </w:r>
          </w:p>
        </w:tc>
        <w:tc>
          <w:tcPr>
            <w:tcW w:w="1377" w:type="dxa"/>
          </w:tcPr>
          <w:p w:rsidR="003F5784" w14:paraId="76224037" w14:textId="77777777">
            <w:pPr>
              <w:pStyle w:val="TableParagraph"/>
              <w:ind w:right="122"/>
              <w:rPr>
                <w:sz w:val="21"/>
              </w:rPr>
            </w:pPr>
            <w:r>
              <w:rPr>
                <w:spacing w:val="-2"/>
                <w:sz w:val="21"/>
              </w:rPr>
              <w:t>3,676</w:t>
            </w:r>
          </w:p>
        </w:tc>
      </w:tr>
      <w:tr w14:paraId="003C5BAD" w14:textId="77777777">
        <w:tblPrEx>
          <w:tblW w:w="0" w:type="auto"/>
          <w:tblInd w:w="482" w:type="dxa"/>
          <w:tblLayout w:type="fixed"/>
          <w:tblCellMar>
            <w:left w:w="0" w:type="dxa"/>
            <w:right w:w="0" w:type="dxa"/>
          </w:tblCellMar>
          <w:tblLook w:val="01E0"/>
        </w:tblPrEx>
        <w:trPr>
          <w:trHeight w:val="286"/>
        </w:trPr>
        <w:tc>
          <w:tcPr>
            <w:tcW w:w="5597" w:type="dxa"/>
          </w:tcPr>
          <w:p w:rsidR="003F5784" w14:paraId="645CF4A6" w14:textId="77777777">
            <w:pPr>
              <w:pStyle w:val="TableParagraph"/>
              <w:ind w:left="120"/>
              <w:jc w:val="left"/>
              <w:rPr>
                <w:sz w:val="21"/>
              </w:rPr>
            </w:pPr>
            <w:r>
              <w:rPr>
                <w:spacing w:val="-2"/>
                <w:sz w:val="21"/>
              </w:rPr>
              <w:t>Massachusetts–Balance</w:t>
            </w:r>
          </w:p>
        </w:tc>
        <w:tc>
          <w:tcPr>
            <w:tcW w:w="3779" w:type="dxa"/>
          </w:tcPr>
          <w:p w:rsidR="003F5784" w14:paraId="5D2268DB" w14:textId="77777777">
            <w:pPr>
              <w:pStyle w:val="TableParagraph"/>
              <w:ind w:right="577"/>
              <w:rPr>
                <w:sz w:val="21"/>
              </w:rPr>
            </w:pPr>
            <w:r>
              <w:rPr>
                <w:spacing w:val="-5"/>
                <w:sz w:val="21"/>
              </w:rPr>
              <w:t>881</w:t>
            </w:r>
          </w:p>
        </w:tc>
        <w:tc>
          <w:tcPr>
            <w:tcW w:w="1722" w:type="dxa"/>
          </w:tcPr>
          <w:p w:rsidR="003F5784" w14:paraId="0C1D90A0" w14:textId="77777777">
            <w:pPr>
              <w:pStyle w:val="TableParagraph"/>
              <w:ind w:right="465"/>
              <w:rPr>
                <w:sz w:val="21"/>
              </w:rPr>
            </w:pPr>
            <w:r>
              <w:rPr>
                <w:spacing w:val="-2"/>
                <w:sz w:val="21"/>
              </w:rPr>
              <w:t>65,102</w:t>
            </w:r>
          </w:p>
        </w:tc>
        <w:tc>
          <w:tcPr>
            <w:tcW w:w="1514" w:type="dxa"/>
          </w:tcPr>
          <w:p w:rsidR="003F5784" w14:paraId="6541EF4A" w14:textId="77777777">
            <w:pPr>
              <w:pStyle w:val="TableParagraph"/>
              <w:ind w:right="579"/>
              <w:rPr>
                <w:sz w:val="21"/>
              </w:rPr>
            </w:pPr>
            <w:r>
              <w:rPr>
                <w:spacing w:val="-5"/>
                <w:sz w:val="21"/>
              </w:rPr>
              <w:t>446</w:t>
            </w:r>
          </w:p>
        </w:tc>
        <w:tc>
          <w:tcPr>
            <w:tcW w:w="1377" w:type="dxa"/>
          </w:tcPr>
          <w:p w:rsidR="003F5784" w14:paraId="2D85C752" w14:textId="77777777">
            <w:pPr>
              <w:pStyle w:val="TableParagraph"/>
              <w:ind w:right="122"/>
              <w:rPr>
                <w:sz w:val="21"/>
              </w:rPr>
            </w:pPr>
            <w:r>
              <w:rPr>
                <w:spacing w:val="-2"/>
                <w:sz w:val="21"/>
              </w:rPr>
              <w:t>68,558</w:t>
            </w:r>
          </w:p>
        </w:tc>
      </w:tr>
      <w:tr w14:paraId="66FBE5D2" w14:textId="77777777">
        <w:tblPrEx>
          <w:tblW w:w="0" w:type="auto"/>
          <w:tblInd w:w="482" w:type="dxa"/>
          <w:tblLayout w:type="fixed"/>
          <w:tblCellMar>
            <w:left w:w="0" w:type="dxa"/>
            <w:right w:w="0" w:type="dxa"/>
          </w:tblCellMar>
          <w:tblLook w:val="01E0"/>
        </w:tblPrEx>
        <w:trPr>
          <w:trHeight w:val="286"/>
        </w:trPr>
        <w:tc>
          <w:tcPr>
            <w:tcW w:w="5597" w:type="dxa"/>
          </w:tcPr>
          <w:p w:rsidR="003F5784" w14:paraId="2695A8E2" w14:textId="77777777">
            <w:pPr>
              <w:pStyle w:val="TableParagraph"/>
              <w:ind w:left="120"/>
              <w:jc w:val="left"/>
              <w:rPr>
                <w:sz w:val="21"/>
              </w:rPr>
            </w:pPr>
            <w:r>
              <w:rPr>
                <w:spacing w:val="-2"/>
                <w:sz w:val="21"/>
              </w:rPr>
              <w:t>Michigan–Detroit</w:t>
            </w:r>
          </w:p>
        </w:tc>
        <w:tc>
          <w:tcPr>
            <w:tcW w:w="3779" w:type="dxa"/>
          </w:tcPr>
          <w:p w:rsidR="003F5784" w14:paraId="567C9FF2" w14:textId="77777777">
            <w:pPr>
              <w:pStyle w:val="TableParagraph"/>
              <w:ind w:right="577"/>
              <w:rPr>
                <w:sz w:val="21"/>
              </w:rPr>
            </w:pPr>
            <w:r>
              <w:rPr>
                <w:spacing w:val="-5"/>
                <w:sz w:val="21"/>
              </w:rPr>
              <w:t>72</w:t>
            </w:r>
          </w:p>
        </w:tc>
        <w:tc>
          <w:tcPr>
            <w:tcW w:w="1722" w:type="dxa"/>
          </w:tcPr>
          <w:p w:rsidR="003F5784" w14:paraId="0610F7D6" w14:textId="77777777">
            <w:pPr>
              <w:pStyle w:val="TableParagraph"/>
              <w:ind w:right="465"/>
              <w:rPr>
                <w:sz w:val="21"/>
              </w:rPr>
            </w:pPr>
            <w:r>
              <w:rPr>
                <w:spacing w:val="-2"/>
                <w:sz w:val="21"/>
              </w:rPr>
              <w:t>4,164</w:t>
            </w:r>
          </w:p>
        </w:tc>
        <w:tc>
          <w:tcPr>
            <w:tcW w:w="1514" w:type="dxa"/>
          </w:tcPr>
          <w:p w:rsidR="003F5784" w14:paraId="540075F4" w14:textId="77777777">
            <w:pPr>
              <w:pStyle w:val="TableParagraph"/>
              <w:ind w:right="579"/>
              <w:rPr>
                <w:sz w:val="21"/>
              </w:rPr>
            </w:pPr>
            <w:r>
              <w:rPr>
                <w:spacing w:val="-5"/>
                <w:sz w:val="21"/>
              </w:rPr>
              <w:t>59</w:t>
            </w:r>
          </w:p>
        </w:tc>
        <w:tc>
          <w:tcPr>
            <w:tcW w:w="1377" w:type="dxa"/>
          </w:tcPr>
          <w:p w:rsidR="003F5784" w14:paraId="30B9E7BC" w14:textId="77777777">
            <w:pPr>
              <w:pStyle w:val="TableParagraph"/>
              <w:ind w:right="122"/>
              <w:rPr>
                <w:sz w:val="21"/>
              </w:rPr>
            </w:pPr>
            <w:r>
              <w:rPr>
                <w:spacing w:val="-2"/>
                <w:sz w:val="21"/>
              </w:rPr>
              <w:t>3,362</w:t>
            </w:r>
          </w:p>
        </w:tc>
      </w:tr>
      <w:tr w14:paraId="004BAD58" w14:textId="77777777">
        <w:tblPrEx>
          <w:tblW w:w="0" w:type="auto"/>
          <w:tblInd w:w="482" w:type="dxa"/>
          <w:tblLayout w:type="fixed"/>
          <w:tblCellMar>
            <w:left w:w="0" w:type="dxa"/>
            <w:right w:w="0" w:type="dxa"/>
          </w:tblCellMar>
          <w:tblLook w:val="01E0"/>
        </w:tblPrEx>
        <w:trPr>
          <w:trHeight w:val="286"/>
        </w:trPr>
        <w:tc>
          <w:tcPr>
            <w:tcW w:w="5597" w:type="dxa"/>
          </w:tcPr>
          <w:p w:rsidR="003F5784" w14:paraId="68AC90EA" w14:textId="77777777">
            <w:pPr>
              <w:pStyle w:val="TableParagraph"/>
              <w:ind w:left="120"/>
              <w:jc w:val="left"/>
              <w:rPr>
                <w:sz w:val="21"/>
              </w:rPr>
            </w:pPr>
            <w:r>
              <w:rPr>
                <w:spacing w:val="-2"/>
                <w:sz w:val="21"/>
              </w:rPr>
              <w:t>Michigan–Balance</w:t>
            </w:r>
          </w:p>
        </w:tc>
        <w:tc>
          <w:tcPr>
            <w:tcW w:w="3779" w:type="dxa"/>
          </w:tcPr>
          <w:p w:rsidR="003F5784" w14:paraId="3F4042DD" w14:textId="77777777">
            <w:pPr>
              <w:pStyle w:val="TableParagraph"/>
              <w:ind w:right="577"/>
              <w:rPr>
                <w:sz w:val="21"/>
              </w:rPr>
            </w:pPr>
            <w:r>
              <w:rPr>
                <w:spacing w:val="-2"/>
                <w:sz w:val="21"/>
              </w:rPr>
              <w:t>1,605</w:t>
            </w:r>
          </w:p>
        </w:tc>
        <w:tc>
          <w:tcPr>
            <w:tcW w:w="1722" w:type="dxa"/>
          </w:tcPr>
          <w:p w:rsidR="003F5784" w14:paraId="1F51FAAB" w14:textId="77777777">
            <w:pPr>
              <w:pStyle w:val="TableParagraph"/>
              <w:ind w:right="465"/>
              <w:rPr>
                <w:sz w:val="21"/>
              </w:rPr>
            </w:pPr>
            <w:r>
              <w:rPr>
                <w:spacing w:val="-2"/>
                <w:sz w:val="21"/>
              </w:rPr>
              <w:t>100,469</w:t>
            </w:r>
          </w:p>
        </w:tc>
        <w:tc>
          <w:tcPr>
            <w:tcW w:w="1514" w:type="dxa"/>
          </w:tcPr>
          <w:p w:rsidR="003F5784" w14:paraId="270A388E" w14:textId="77777777">
            <w:pPr>
              <w:pStyle w:val="TableParagraph"/>
              <w:ind w:right="579"/>
              <w:rPr>
                <w:sz w:val="21"/>
              </w:rPr>
            </w:pPr>
            <w:r>
              <w:rPr>
                <w:spacing w:val="-2"/>
                <w:sz w:val="21"/>
              </w:rPr>
              <w:t>1,043</w:t>
            </w:r>
          </w:p>
        </w:tc>
        <w:tc>
          <w:tcPr>
            <w:tcW w:w="1377" w:type="dxa"/>
          </w:tcPr>
          <w:p w:rsidR="003F5784" w14:paraId="4E286F89" w14:textId="77777777">
            <w:pPr>
              <w:pStyle w:val="TableParagraph"/>
              <w:ind w:right="122"/>
              <w:rPr>
                <w:sz w:val="21"/>
              </w:rPr>
            </w:pPr>
            <w:r>
              <w:rPr>
                <w:spacing w:val="-2"/>
                <w:sz w:val="21"/>
              </w:rPr>
              <w:t>107,587</w:t>
            </w:r>
          </w:p>
        </w:tc>
      </w:tr>
      <w:tr w14:paraId="1FA82D52" w14:textId="77777777">
        <w:tblPrEx>
          <w:tblW w:w="0" w:type="auto"/>
          <w:tblInd w:w="482" w:type="dxa"/>
          <w:tblLayout w:type="fixed"/>
          <w:tblCellMar>
            <w:left w:w="0" w:type="dxa"/>
            <w:right w:w="0" w:type="dxa"/>
          </w:tblCellMar>
          <w:tblLook w:val="01E0"/>
        </w:tblPrEx>
        <w:trPr>
          <w:trHeight w:val="286"/>
        </w:trPr>
        <w:tc>
          <w:tcPr>
            <w:tcW w:w="5597" w:type="dxa"/>
          </w:tcPr>
          <w:p w:rsidR="003F5784" w14:paraId="7245C2E3" w14:textId="77777777">
            <w:pPr>
              <w:pStyle w:val="TableParagraph"/>
              <w:ind w:left="120"/>
              <w:jc w:val="left"/>
              <w:rPr>
                <w:sz w:val="21"/>
              </w:rPr>
            </w:pPr>
            <w:r>
              <w:rPr>
                <w:spacing w:val="-2"/>
                <w:sz w:val="21"/>
              </w:rPr>
              <w:t>Minnesota</w:t>
            </w:r>
          </w:p>
        </w:tc>
        <w:tc>
          <w:tcPr>
            <w:tcW w:w="3779" w:type="dxa"/>
          </w:tcPr>
          <w:p w:rsidR="003F5784" w14:paraId="795267F6" w14:textId="77777777">
            <w:pPr>
              <w:pStyle w:val="TableParagraph"/>
              <w:ind w:right="577"/>
              <w:rPr>
                <w:sz w:val="21"/>
              </w:rPr>
            </w:pPr>
            <w:r>
              <w:rPr>
                <w:spacing w:val="-5"/>
                <w:sz w:val="21"/>
              </w:rPr>
              <w:t>990</w:t>
            </w:r>
          </w:p>
        </w:tc>
        <w:tc>
          <w:tcPr>
            <w:tcW w:w="1722" w:type="dxa"/>
          </w:tcPr>
          <w:p w:rsidR="003F5784" w14:paraId="696B4D5D" w14:textId="77777777">
            <w:pPr>
              <w:pStyle w:val="TableParagraph"/>
              <w:ind w:right="465"/>
              <w:rPr>
                <w:sz w:val="21"/>
              </w:rPr>
            </w:pPr>
            <w:r>
              <w:rPr>
                <w:spacing w:val="-2"/>
                <w:sz w:val="21"/>
              </w:rPr>
              <w:t>65,135</w:t>
            </w:r>
          </w:p>
        </w:tc>
        <w:tc>
          <w:tcPr>
            <w:tcW w:w="1514" w:type="dxa"/>
          </w:tcPr>
          <w:p w:rsidR="003F5784" w14:paraId="5483D282" w14:textId="77777777">
            <w:pPr>
              <w:pStyle w:val="TableParagraph"/>
              <w:ind w:right="579"/>
              <w:rPr>
                <w:sz w:val="21"/>
              </w:rPr>
            </w:pPr>
            <w:r>
              <w:rPr>
                <w:spacing w:val="-5"/>
                <w:sz w:val="21"/>
              </w:rPr>
              <w:t>730</w:t>
            </w:r>
          </w:p>
        </w:tc>
        <w:tc>
          <w:tcPr>
            <w:tcW w:w="1377" w:type="dxa"/>
          </w:tcPr>
          <w:p w:rsidR="003F5784" w14:paraId="602FAA61" w14:textId="77777777">
            <w:pPr>
              <w:pStyle w:val="TableParagraph"/>
              <w:ind w:right="122"/>
              <w:rPr>
                <w:sz w:val="21"/>
              </w:rPr>
            </w:pPr>
            <w:r>
              <w:rPr>
                <w:spacing w:val="-2"/>
                <w:sz w:val="21"/>
              </w:rPr>
              <w:t>67,317</w:t>
            </w:r>
          </w:p>
        </w:tc>
      </w:tr>
      <w:tr w14:paraId="77AD7830" w14:textId="77777777">
        <w:tblPrEx>
          <w:tblW w:w="0" w:type="auto"/>
          <w:tblInd w:w="482" w:type="dxa"/>
          <w:tblLayout w:type="fixed"/>
          <w:tblCellMar>
            <w:left w:w="0" w:type="dxa"/>
            <w:right w:w="0" w:type="dxa"/>
          </w:tblCellMar>
          <w:tblLook w:val="01E0"/>
        </w:tblPrEx>
        <w:trPr>
          <w:trHeight w:val="286"/>
        </w:trPr>
        <w:tc>
          <w:tcPr>
            <w:tcW w:w="5597" w:type="dxa"/>
          </w:tcPr>
          <w:p w:rsidR="003F5784" w14:paraId="11DF73B7" w14:textId="77777777">
            <w:pPr>
              <w:pStyle w:val="TableParagraph"/>
              <w:ind w:left="120"/>
              <w:jc w:val="left"/>
              <w:rPr>
                <w:sz w:val="21"/>
              </w:rPr>
            </w:pPr>
            <w:r>
              <w:rPr>
                <w:spacing w:val="-2"/>
                <w:sz w:val="21"/>
              </w:rPr>
              <w:t>Mississippi</w:t>
            </w:r>
          </w:p>
        </w:tc>
        <w:tc>
          <w:tcPr>
            <w:tcW w:w="3779" w:type="dxa"/>
          </w:tcPr>
          <w:p w:rsidR="003F5784" w14:paraId="4466ED8D" w14:textId="77777777">
            <w:pPr>
              <w:pStyle w:val="TableParagraph"/>
              <w:ind w:right="577"/>
              <w:rPr>
                <w:sz w:val="21"/>
              </w:rPr>
            </w:pPr>
            <w:r>
              <w:rPr>
                <w:spacing w:val="-5"/>
                <w:sz w:val="21"/>
              </w:rPr>
              <w:t>407</w:t>
            </w:r>
          </w:p>
        </w:tc>
        <w:tc>
          <w:tcPr>
            <w:tcW w:w="1722" w:type="dxa"/>
          </w:tcPr>
          <w:p w:rsidR="003F5784" w14:paraId="3BB40B4C" w14:textId="77777777">
            <w:pPr>
              <w:pStyle w:val="TableParagraph"/>
              <w:ind w:right="465"/>
              <w:rPr>
                <w:sz w:val="21"/>
              </w:rPr>
            </w:pPr>
            <w:r>
              <w:rPr>
                <w:spacing w:val="-2"/>
                <w:sz w:val="21"/>
              </w:rPr>
              <w:t>35,543</w:t>
            </w:r>
          </w:p>
        </w:tc>
        <w:tc>
          <w:tcPr>
            <w:tcW w:w="1514" w:type="dxa"/>
          </w:tcPr>
          <w:p w:rsidR="003F5784" w14:paraId="05222A9F" w14:textId="77777777">
            <w:pPr>
              <w:pStyle w:val="TableParagraph"/>
              <w:ind w:right="579"/>
              <w:rPr>
                <w:sz w:val="21"/>
              </w:rPr>
            </w:pPr>
            <w:r>
              <w:rPr>
                <w:spacing w:val="-5"/>
                <w:sz w:val="21"/>
              </w:rPr>
              <w:t>278</w:t>
            </w:r>
          </w:p>
        </w:tc>
        <w:tc>
          <w:tcPr>
            <w:tcW w:w="1377" w:type="dxa"/>
          </w:tcPr>
          <w:p w:rsidR="003F5784" w14:paraId="0AC9B83B" w14:textId="77777777">
            <w:pPr>
              <w:pStyle w:val="TableParagraph"/>
              <w:ind w:right="122"/>
              <w:rPr>
                <w:sz w:val="21"/>
              </w:rPr>
            </w:pPr>
            <w:r>
              <w:rPr>
                <w:spacing w:val="-2"/>
                <w:sz w:val="21"/>
              </w:rPr>
              <w:t>36,803</w:t>
            </w:r>
          </w:p>
        </w:tc>
      </w:tr>
      <w:tr w14:paraId="3FFFAF89" w14:textId="77777777">
        <w:tblPrEx>
          <w:tblW w:w="0" w:type="auto"/>
          <w:tblInd w:w="482" w:type="dxa"/>
          <w:tblLayout w:type="fixed"/>
          <w:tblCellMar>
            <w:left w:w="0" w:type="dxa"/>
            <w:right w:w="0" w:type="dxa"/>
          </w:tblCellMar>
          <w:tblLook w:val="01E0"/>
        </w:tblPrEx>
        <w:trPr>
          <w:trHeight w:val="286"/>
        </w:trPr>
        <w:tc>
          <w:tcPr>
            <w:tcW w:w="5597" w:type="dxa"/>
          </w:tcPr>
          <w:p w:rsidR="003F5784" w14:paraId="54E8B196" w14:textId="77777777">
            <w:pPr>
              <w:pStyle w:val="TableParagraph"/>
              <w:ind w:left="120"/>
              <w:jc w:val="left"/>
              <w:rPr>
                <w:sz w:val="21"/>
              </w:rPr>
            </w:pPr>
            <w:r>
              <w:rPr>
                <w:spacing w:val="-2"/>
                <w:sz w:val="21"/>
              </w:rPr>
              <w:t>Missouri</w:t>
            </w:r>
          </w:p>
        </w:tc>
        <w:tc>
          <w:tcPr>
            <w:tcW w:w="3779" w:type="dxa"/>
          </w:tcPr>
          <w:p w:rsidR="003F5784" w14:paraId="7DF1B3E9" w14:textId="77777777">
            <w:pPr>
              <w:pStyle w:val="TableParagraph"/>
              <w:ind w:right="577"/>
              <w:rPr>
                <w:sz w:val="21"/>
              </w:rPr>
            </w:pPr>
            <w:r>
              <w:rPr>
                <w:spacing w:val="-2"/>
                <w:sz w:val="21"/>
              </w:rPr>
              <w:t>1,163</w:t>
            </w:r>
          </w:p>
        </w:tc>
        <w:tc>
          <w:tcPr>
            <w:tcW w:w="1722" w:type="dxa"/>
          </w:tcPr>
          <w:p w:rsidR="003F5784" w14:paraId="3C8FEB7A" w14:textId="77777777">
            <w:pPr>
              <w:pStyle w:val="TableParagraph"/>
              <w:ind w:right="465"/>
              <w:rPr>
                <w:sz w:val="21"/>
              </w:rPr>
            </w:pPr>
            <w:r>
              <w:rPr>
                <w:spacing w:val="-2"/>
                <w:sz w:val="21"/>
              </w:rPr>
              <w:t>67,268</w:t>
            </w:r>
          </w:p>
        </w:tc>
        <w:tc>
          <w:tcPr>
            <w:tcW w:w="1514" w:type="dxa"/>
          </w:tcPr>
          <w:p w:rsidR="003F5784" w14:paraId="78498EA5" w14:textId="77777777">
            <w:pPr>
              <w:pStyle w:val="TableParagraph"/>
              <w:ind w:right="579"/>
              <w:rPr>
                <w:sz w:val="21"/>
              </w:rPr>
            </w:pPr>
            <w:r>
              <w:rPr>
                <w:spacing w:val="-5"/>
                <w:sz w:val="21"/>
              </w:rPr>
              <w:t>712</w:t>
            </w:r>
          </w:p>
        </w:tc>
        <w:tc>
          <w:tcPr>
            <w:tcW w:w="1377" w:type="dxa"/>
          </w:tcPr>
          <w:p w:rsidR="003F5784" w14:paraId="38F23C4A" w14:textId="77777777">
            <w:pPr>
              <w:pStyle w:val="TableParagraph"/>
              <w:ind w:right="122"/>
              <w:rPr>
                <w:sz w:val="21"/>
              </w:rPr>
            </w:pPr>
            <w:r>
              <w:rPr>
                <w:spacing w:val="-2"/>
                <w:sz w:val="21"/>
              </w:rPr>
              <w:t>70,194</w:t>
            </w:r>
          </w:p>
        </w:tc>
      </w:tr>
      <w:tr w14:paraId="0EFBAB22" w14:textId="77777777">
        <w:tblPrEx>
          <w:tblW w:w="0" w:type="auto"/>
          <w:tblInd w:w="482" w:type="dxa"/>
          <w:tblLayout w:type="fixed"/>
          <w:tblCellMar>
            <w:left w:w="0" w:type="dxa"/>
            <w:right w:w="0" w:type="dxa"/>
          </w:tblCellMar>
          <w:tblLook w:val="01E0"/>
        </w:tblPrEx>
        <w:trPr>
          <w:trHeight w:val="286"/>
        </w:trPr>
        <w:tc>
          <w:tcPr>
            <w:tcW w:w="5597" w:type="dxa"/>
          </w:tcPr>
          <w:p w:rsidR="003F5784" w14:paraId="4EFDEDA4" w14:textId="77777777">
            <w:pPr>
              <w:pStyle w:val="TableParagraph"/>
              <w:ind w:left="120"/>
              <w:jc w:val="left"/>
              <w:rPr>
                <w:sz w:val="21"/>
              </w:rPr>
            </w:pPr>
            <w:r>
              <w:rPr>
                <w:spacing w:val="-2"/>
                <w:sz w:val="21"/>
              </w:rPr>
              <w:t>Montana</w:t>
            </w:r>
          </w:p>
        </w:tc>
        <w:tc>
          <w:tcPr>
            <w:tcW w:w="3779" w:type="dxa"/>
          </w:tcPr>
          <w:p w:rsidR="003F5784" w14:paraId="7E92825E" w14:textId="77777777">
            <w:pPr>
              <w:pStyle w:val="TableParagraph"/>
              <w:ind w:right="577"/>
              <w:rPr>
                <w:sz w:val="21"/>
              </w:rPr>
            </w:pPr>
            <w:r>
              <w:rPr>
                <w:spacing w:val="-5"/>
                <w:sz w:val="21"/>
              </w:rPr>
              <w:t>394</w:t>
            </w:r>
          </w:p>
        </w:tc>
        <w:tc>
          <w:tcPr>
            <w:tcW w:w="1722" w:type="dxa"/>
          </w:tcPr>
          <w:p w:rsidR="003F5784" w14:paraId="55A04F87" w14:textId="77777777">
            <w:pPr>
              <w:pStyle w:val="TableParagraph"/>
              <w:ind w:right="465"/>
              <w:rPr>
                <w:sz w:val="21"/>
              </w:rPr>
            </w:pPr>
            <w:r>
              <w:rPr>
                <w:spacing w:val="-2"/>
                <w:sz w:val="21"/>
              </w:rPr>
              <w:t>11,721</w:t>
            </w:r>
          </w:p>
        </w:tc>
        <w:tc>
          <w:tcPr>
            <w:tcW w:w="1514" w:type="dxa"/>
          </w:tcPr>
          <w:p w:rsidR="003F5784" w14:paraId="0217BFCB" w14:textId="77777777">
            <w:pPr>
              <w:pStyle w:val="TableParagraph"/>
              <w:ind w:right="579"/>
              <w:rPr>
                <w:sz w:val="21"/>
              </w:rPr>
            </w:pPr>
            <w:r>
              <w:rPr>
                <w:spacing w:val="-5"/>
                <w:sz w:val="21"/>
              </w:rPr>
              <w:t>277</w:t>
            </w:r>
          </w:p>
        </w:tc>
        <w:tc>
          <w:tcPr>
            <w:tcW w:w="1377" w:type="dxa"/>
          </w:tcPr>
          <w:p w:rsidR="003F5784" w14:paraId="642588BD" w14:textId="77777777">
            <w:pPr>
              <w:pStyle w:val="TableParagraph"/>
              <w:ind w:right="122"/>
              <w:rPr>
                <w:sz w:val="21"/>
              </w:rPr>
            </w:pPr>
            <w:r>
              <w:rPr>
                <w:spacing w:val="-2"/>
                <w:sz w:val="21"/>
              </w:rPr>
              <w:t>11,939</w:t>
            </w:r>
          </w:p>
        </w:tc>
      </w:tr>
      <w:tr w14:paraId="36A973AB" w14:textId="77777777">
        <w:tblPrEx>
          <w:tblW w:w="0" w:type="auto"/>
          <w:tblInd w:w="482" w:type="dxa"/>
          <w:tblLayout w:type="fixed"/>
          <w:tblCellMar>
            <w:left w:w="0" w:type="dxa"/>
            <w:right w:w="0" w:type="dxa"/>
          </w:tblCellMar>
          <w:tblLook w:val="01E0"/>
        </w:tblPrEx>
        <w:trPr>
          <w:trHeight w:val="286"/>
        </w:trPr>
        <w:tc>
          <w:tcPr>
            <w:tcW w:w="5597" w:type="dxa"/>
          </w:tcPr>
          <w:p w:rsidR="003F5784" w14:paraId="67E0F41E" w14:textId="77777777">
            <w:pPr>
              <w:pStyle w:val="TableParagraph"/>
              <w:ind w:left="120"/>
              <w:jc w:val="left"/>
              <w:rPr>
                <w:sz w:val="21"/>
              </w:rPr>
            </w:pPr>
            <w:r>
              <w:rPr>
                <w:spacing w:val="-2"/>
                <w:sz w:val="21"/>
              </w:rPr>
              <w:t>Nebraska</w:t>
            </w:r>
          </w:p>
        </w:tc>
        <w:tc>
          <w:tcPr>
            <w:tcW w:w="3779" w:type="dxa"/>
          </w:tcPr>
          <w:p w:rsidR="003F5784" w14:paraId="3C0208A7" w14:textId="77777777">
            <w:pPr>
              <w:pStyle w:val="TableParagraph"/>
              <w:ind w:right="577"/>
              <w:rPr>
                <w:sz w:val="21"/>
              </w:rPr>
            </w:pPr>
            <w:r>
              <w:rPr>
                <w:spacing w:val="-5"/>
                <w:sz w:val="21"/>
              </w:rPr>
              <w:t>511</w:t>
            </w:r>
          </w:p>
        </w:tc>
        <w:tc>
          <w:tcPr>
            <w:tcW w:w="1722" w:type="dxa"/>
          </w:tcPr>
          <w:p w:rsidR="003F5784" w14:paraId="3512BBC5" w14:textId="77777777">
            <w:pPr>
              <w:pStyle w:val="TableParagraph"/>
              <w:ind w:right="465"/>
              <w:rPr>
                <w:sz w:val="21"/>
              </w:rPr>
            </w:pPr>
            <w:r>
              <w:rPr>
                <w:spacing w:val="-2"/>
                <w:sz w:val="21"/>
              </w:rPr>
              <w:t>23,867</w:t>
            </w:r>
          </w:p>
        </w:tc>
        <w:tc>
          <w:tcPr>
            <w:tcW w:w="1514" w:type="dxa"/>
          </w:tcPr>
          <w:p w:rsidR="003F5784" w14:paraId="2ABA4AE3" w14:textId="77777777">
            <w:pPr>
              <w:pStyle w:val="TableParagraph"/>
              <w:ind w:right="579"/>
              <w:rPr>
                <w:sz w:val="21"/>
              </w:rPr>
            </w:pPr>
            <w:r>
              <w:rPr>
                <w:spacing w:val="-5"/>
                <w:sz w:val="21"/>
              </w:rPr>
              <w:t>290</w:t>
            </w:r>
          </w:p>
        </w:tc>
        <w:tc>
          <w:tcPr>
            <w:tcW w:w="1377" w:type="dxa"/>
          </w:tcPr>
          <w:p w:rsidR="003F5784" w14:paraId="47D7A388" w14:textId="77777777">
            <w:pPr>
              <w:pStyle w:val="TableParagraph"/>
              <w:ind w:right="122"/>
              <w:rPr>
                <w:sz w:val="21"/>
              </w:rPr>
            </w:pPr>
            <w:r>
              <w:rPr>
                <w:spacing w:val="-2"/>
                <w:sz w:val="21"/>
              </w:rPr>
              <w:t>23,444</w:t>
            </w:r>
          </w:p>
        </w:tc>
      </w:tr>
      <w:tr w14:paraId="6230DF84" w14:textId="77777777">
        <w:tblPrEx>
          <w:tblW w:w="0" w:type="auto"/>
          <w:tblInd w:w="482" w:type="dxa"/>
          <w:tblLayout w:type="fixed"/>
          <w:tblCellMar>
            <w:left w:w="0" w:type="dxa"/>
            <w:right w:w="0" w:type="dxa"/>
          </w:tblCellMar>
          <w:tblLook w:val="01E0"/>
        </w:tblPrEx>
        <w:trPr>
          <w:trHeight w:val="286"/>
        </w:trPr>
        <w:tc>
          <w:tcPr>
            <w:tcW w:w="5597" w:type="dxa"/>
          </w:tcPr>
          <w:p w:rsidR="003F5784" w14:paraId="1DC74A1B" w14:textId="77777777">
            <w:pPr>
              <w:pStyle w:val="TableParagraph"/>
              <w:ind w:left="120"/>
              <w:jc w:val="left"/>
              <w:rPr>
                <w:sz w:val="21"/>
              </w:rPr>
            </w:pPr>
            <w:r>
              <w:rPr>
                <w:spacing w:val="-2"/>
                <w:sz w:val="21"/>
              </w:rPr>
              <w:t>Nevada–Clark</w:t>
            </w:r>
            <w:r>
              <w:rPr>
                <w:spacing w:val="10"/>
                <w:sz w:val="21"/>
              </w:rPr>
              <w:t xml:space="preserve"> </w:t>
            </w:r>
            <w:r>
              <w:rPr>
                <w:spacing w:val="-2"/>
                <w:sz w:val="21"/>
              </w:rPr>
              <w:t>County</w:t>
            </w:r>
          </w:p>
        </w:tc>
        <w:tc>
          <w:tcPr>
            <w:tcW w:w="3779" w:type="dxa"/>
          </w:tcPr>
          <w:p w:rsidR="003F5784" w14:paraId="01729F44" w14:textId="77777777">
            <w:pPr>
              <w:pStyle w:val="TableParagraph"/>
              <w:ind w:right="577"/>
              <w:rPr>
                <w:sz w:val="21"/>
              </w:rPr>
            </w:pPr>
            <w:r>
              <w:rPr>
                <w:spacing w:val="-5"/>
                <w:sz w:val="21"/>
              </w:rPr>
              <w:t>237</w:t>
            </w:r>
          </w:p>
        </w:tc>
        <w:tc>
          <w:tcPr>
            <w:tcW w:w="1722" w:type="dxa"/>
          </w:tcPr>
          <w:p w:rsidR="003F5784" w14:paraId="2554A2AF" w14:textId="77777777">
            <w:pPr>
              <w:pStyle w:val="TableParagraph"/>
              <w:ind w:right="465"/>
              <w:rPr>
                <w:sz w:val="21"/>
              </w:rPr>
            </w:pPr>
            <w:r>
              <w:rPr>
                <w:spacing w:val="-2"/>
                <w:sz w:val="21"/>
              </w:rPr>
              <w:t>23,890</w:t>
            </w:r>
          </w:p>
        </w:tc>
        <w:tc>
          <w:tcPr>
            <w:tcW w:w="1514" w:type="dxa"/>
          </w:tcPr>
          <w:p w:rsidR="003F5784" w14:paraId="3AF1E925" w14:textId="77777777">
            <w:pPr>
              <w:pStyle w:val="TableParagraph"/>
              <w:ind w:right="579"/>
              <w:rPr>
                <w:sz w:val="21"/>
              </w:rPr>
            </w:pPr>
            <w:r>
              <w:rPr>
                <w:spacing w:val="-5"/>
                <w:sz w:val="21"/>
              </w:rPr>
              <w:t>76</w:t>
            </w:r>
          </w:p>
        </w:tc>
        <w:tc>
          <w:tcPr>
            <w:tcW w:w="1377" w:type="dxa"/>
          </w:tcPr>
          <w:p w:rsidR="003F5784" w14:paraId="6D8A000D" w14:textId="77777777">
            <w:pPr>
              <w:pStyle w:val="TableParagraph"/>
              <w:ind w:right="122"/>
              <w:rPr>
                <w:sz w:val="21"/>
              </w:rPr>
            </w:pPr>
            <w:r>
              <w:rPr>
                <w:spacing w:val="-2"/>
                <w:sz w:val="21"/>
              </w:rPr>
              <w:t>25,352</w:t>
            </w:r>
          </w:p>
        </w:tc>
      </w:tr>
      <w:tr w14:paraId="131DE964" w14:textId="77777777">
        <w:tblPrEx>
          <w:tblW w:w="0" w:type="auto"/>
          <w:tblInd w:w="482" w:type="dxa"/>
          <w:tblLayout w:type="fixed"/>
          <w:tblCellMar>
            <w:left w:w="0" w:type="dxa"/>
            <w:right w:w="0" w:type="dxa"/>
          </w:tblCellMar>
          <w:tblLook w:val="01E0"/>
        </w:tblPrEx>
        <w:trPr>
          <w:trHeight w:val="286"/>
        </w:trPr>
        <w:tc>
          <w:tcPr>
            <w:tcW w:w="5597" w:type="dxa"/>
          </w:tcPr>
          <w:p w:rsidR="003F5784" w14:paraId="07FBC145" w14:textId="77777777">
            <w:pPr>
              <w:pStyle w:val="TableParagraph"/>
              <w:ind w:left="120"/>
              <w:jc w:val="left"/>
              <w:rPr>
                <w:sz w:val="21"/>
              </w:rPr>
            </w:pPr>
            <w:r>
              <w:rPr>
                <w:spacing w:val="-2"/>
                <w:sz w:val="21"/>
              </w:rPr>
              <w:t>Nevada–Balance</w:t>
            </w:r>
          </w:p>
        </w:tc>
        <w:tc>
          <w:tcPr>
            <w:tcW w:w="3779" w:type="dxa"/>
          </w:tcPr>
          <w:p w:rsidR="003F5784" w14:paraId="60322046" w14:textId="77777777">
            <w:pPr>
              <w:pStyle w:val="TableParagraph"/>
              <w:ind w:right="577"/>
              <w:rPr>
                <w:sz w:val="21"/>
              </w:rPr>
            </w:pPr>
            <w:r>
              <w:rPr>
                <w:spacing w:val="-5"/>
                <w:sz w:val="21"/>
              </w:rPr>
              <w:t>197</w:t>
            </w:r>
          </w:p>
        </w:tc>
        <w:tc>
          <w:tcPr>
            <w:tcW w:w="1722" w:type="dxa"/>
          </w:tcPr>
          <w:p w:rsidR="003F5784" w14:paraId="7E0CFDB6" w14:textId="77777777">
            <w:pPr>
              <w:pStyle w:val="TableParagraph"/>
              <w:ind w:right="465"/>
              <w:rPr>
                <w:sz w:val="21"/>
              </w:rPr>
            </w:pPr>
            <w:r>
              <w:rPr>
                <w:spacing w:val="-2"/>
                <w:sz w:val="21"/>
              </w:rPr>
              <w:t>13,277</w:t>
            </w:r>
          </w:p>
        </w:tc>
        <w:tc>
          <w:tcPr>
            <w:tcW w:w="1514" w:type="dxa"/>
          </w:tcPr>
          <w:p w:rsidR="003F5784" w14:paraId="536E189E" w14:textId="77777777">
            <w:pPr>
              <w:pStyle w:val="TableParagraph"/>
              <w:ind w:right="579"/>
              <w:rPr>
                <w:sz w:val="21"/>
              </w:rPr>
            </w:pPr>
            <w:r>
              <w:rPr>
                <w:spacing w:val="-5"/>
                <w:sz w:val="21"/>
              </w:rPr>
              <w:t>118</w:t>
            </w:r>
          </w:p>
        </w:tc>
        <w:tc>
          <w:tcPr>
            <w:tcW w:w="1377" w:type="dxa"/>
          </w:tcPr>
          <w:p w:rsidR="003F5784" w14:paraId="41B335A6" w14:textId="77777777">
            <w:pPr>
              <w:pStyle w:val="TableParagraph"/>
              <w:ind w:right="122"/>
              <w:rPr>
                <w:sz w:val="21"/>
              </w:rPr>
            </w:pPr>
            <w:r>
              <w:rPr>
                <w:spacing w:val="-2"/>
                <w:sz w:val="21"/>
              </w:rPr>
              <w:t>13,456</w:t>
            </w:r>
          </w:p>
        </w:tc>
      </w:tr>
      <w:tr w14:paraId="58182424" w14:textId="77777777">
        <w:tblPrEx>
          <w:tblW w:w="0" w:type="auto"/>
          <w:tblInd w:w="482" w:type="dxa"/>
          <w:tblLayout w:type="fixed"/>
          <w:tblCellMar>
            <w:left w:w="0" w:type="dxa"/>
            <w:right w:w="0" w:type="dxa"/>
          </w:tblCellMar>
          <w:tblLook w:val="01E0"/>
        </w:tblPrEx>
        <w:trPr>
          <w:trHeight w:val="286"/>
        </w:trPr>
        <w:tc>
          <w:tcPr>
            <w:tcW w:w="5597" w:type="dxa"/>
          </w:tcPr>
          <w:p w:rsidR="003F5784" w14:paraId="7D8F4AC3" w14:textId="77777777">
            <w:pPr>
              <w:pStyle w:val="TableParagraph"/>
              <w:ind w:left="120"/>
              <w:jc w:val="left"/>
              <w:rPr>
                <w:sz w:val="21"/>
              </w:rPr>
            </w:pPr>
            <w:r>
              <w:rPr>
                <w:sz w:val="21"/>
              </w:rPr>
              <w:t>New</w:t>
            </w:r>
            <w:r>
              <w:rPr>
                <w:spacing w:val="-5"/>
                <w:sz w:val="21"/>
              </w:rPr>
              <w:t xml:space="preserve"> </w:t>
            </w:r>
            <w:r>
              <w:rPr>
                <w:spacing w:val="-2"/>
                <w:sz w:val="21"/>
              </w:rPr>
              <w:t>Hampshire</w:t>
            </w:r>
          </w:p>
        </w:tc>
        <w:tc>
          <w:tcPr>
            <w:tcW w:w="3779" w:type="dxa"/>
          </w:tcPr>
          <w:p w:rsidR="003F5784" w14:paraId="7D3405D6" w14:textId="77777777">
            <w:pPr>
              <w:pStyle w:val="TableParagraph"/>
              <w:ind w:right="577"/>
              <w:rPr>
                <w:sz w:val="21"/>
              </w:rPr>
            </w:pPr>
            <w:r>
              <w:rPr>
                <w:spacing w:val="-5"/>
                <w:sz w:val="21"/>
              </w:rPr>
              <w:t>269</w:t>
            </w:r>
          </w:p>
        </w:tc>
        <w:tc>
          <w:tcPr>
            <w:tcW w:w="1722" w:type="dxa"/>
          </w:tcPr>
          <w:p w:rsidR="003F5784" w14:paraId="4FD0CB44" w14:textId="77777777">
            <w:pPr>
              <w:pStyle w:val="TableParagraph"/>
              <w:ind w:right="465"/>
              <w:rPr>
                <w:sz w:val="21"/>
              </w:rPr>
            </w:pPr>
            <w:r>
              <w:rPr>
                <w:spacing w:val="-2"/>
                <w:sz w:val="21"/>
              </w:rPr>
              <w:t>12,854</w:t>
            </w:r>
          </w:p>
        </w:tc>
        <w:tc>
          <w:tcPr>
            <w:tcW w:w="1514" w:type="dxa"/>
          </w:tcPr>
          <w:p w:rsidR="003F5784" w14:paraId="1812D888" w14:textId="77777777">
            <w:pPr>
              <w:pStyle w:val="TableParagraph"/>
              <w:ind w:right="579"/>
              <w:rPr>
                <w:sz w:val="21"/>
              </w:rPr>
            </w:pPr>
            <w:r>
              <w:rPr>
                <w:spacing w:val="-5"/>
                <w:sz w:val="21"/>
              </w:rPr>
              <w:t>151</w:t>
            </w:r>
          </w:p>
        </w:tc>
        <w:tc>
          <w:tcPr>
            <w:tcW w:w="1377" w:type="dxa"/>
          </w:tcPr>
          <w:p w:rsidR="003F5784" w14:paraId="2609914E" w14:textId="77777777">
            <w:pPr>
              <w:pStyle w:val="TableParagraph"/>
              <w:ind w:right="122"/>
              <w:rPr>
                <w:sz w:val="21"/>
              </w:rPr>
            </w:pPr>
            <w:r>
              <w:rPr>
                <w:spacing w:val="-2"/>
                <w:sz w:val="21"/>
              </w:rPr>
              <w:t>13,626</w:t>
            </w:r>
          </w:p>
        </w:tc>
      </w:tr>
      <w:tr w14:paraId="5E41CCC7" w14:textId="77777777">
        <w:tblPrEx>
          <w:tblW w:w="0" w:type="auto"/>
          <w:tblInd w:w="482" w:type="dxa"/>
          <w:tblLayout w:type="fixed"/>
          <w:tblCellMar>
            <w:left w:w="0" w:type="dxa"/>
            <w:right w:w="0" w:type="dxa"/>
          </w:tblCellMar>
          <w:tblLook w:val="01E0"/>
        </w:tblPrEx>
        <w:trPr>
          <w:trHeight w:val="286"/>
        </w:trPr>
        <w:tc>
          <w:tcPr>
            <w:tcW w:w="5597" w:type="dxa"/>
          </w:tcPr>
          <w:p w:rsidR="003F5784" w14:paraId="312F6BDF" w14:textId="77777777">
            <w:pPr>
              <w:pStyle w:val="TableParagraph"/>
              <w:ind w:left="120"/>
              <w:jc w:val="left"/>
              <w:rPr>
                <w:sz w:val="21"/>
              </w:rPr>
            </w:pPr>
            <w:r>
              <w:rPr>
                <w:sz w:val="21"/>
              </w:rPr>
              <w:t>New</w:t>
            </w:r>
            <w:r>
              <w:rPr>
                <w:spacing w:val="-5"/>
                <w:sz w:val="21"/>
              </w:rPr>
              <w:t xml:space="preserve"> </w:t>
            </w:r>
            <w:r>
              <w:rPr>
                <w:spacing w:val="-2"/>
                <w:sz w:val="21"/>
              </w:rPr>
              <w:t>Jersey</w:t>
            </w:r>
          </w:p>
        </w:tc>
        <w:tc>
          <w:tcPr>
            <w:tcW w:w="3779" w:type="dxa"/>
          </w:tcPr>
          <w:p w:rsidR="003F5784" w14:paraId="034A07FB" w14:textId="77777777">
            <w:pPr>
              <w:pStyle w:val="TableParagraph"/>
              <w:ind w:right="577"/>
              <w:rPr>
                <w:sz w:val="21"/>
              </w:rPr>
            </w:pPr>
            <w:r>
              <w:rPr>
                <w:spacing w:val="-2"/>
                <w:sz w:val="21"/>
              </w:rPr>
              <w:t>1,362</w:t>
            </w:r>
          </w:p>
        </w:tc>
        <w:tc>
          <w:tcPr>
            <w:tcW w:w="1722" w:type="dxa"/>
          </w:tcPr>
          <w:p w:rsidR="003F5784" w14:paraId="4A20E3FA" w14:textId="77777777">
            <w:pPr>
              <w:pStyle w:val="TableParagraph"/>
              <w:ind w:right="465"/>
              <w:rPr>
                <w:sz w:val="21"/>
              </w:rPr>
            </w:pPr>
            <w:r>
              <w:rPr>
                <w:spacing w:val="-2"/>
                <w:sz w:val="21"/>
              </w:rPr>
              <w:t>96,698</w:t>
            </w:r>
          </w:p>
        </w:tc>
        <w:tc>
          <w:tcPr>
            <w:tcW w:w="1514" w:type="dxa"/>
          </w:tcPr>
          <w:p w:rsidR="003F5784" w14:paraId="6AD6C5B6" w14:textId="77777777">
            <w:pPr>
              <w:pStyle w:val="TableParagraph"/>
              <w:ind w:right="579"/>
              <w:rPr>
                <w:sz w:val="21"/>
              </w:rPr>
            </w:pPr>
            <w:r>
              <w:rPr>
                <w:spacing w:val="-5"/>
                <w:sz w:val="21"/>
              </w:rPr>
              <w:t>789</w:t>
            </w:r>
          </w:p>
        </w:tc>
        <w:tc>
          <w:tcPr>
            <w:tcW w:w="1377" w:type="dxa"/>
          </w:tcPr>
          <w:p w:rsidR="003F5784" w14:paraId="4C6BCA6E" w14:textId="77777777">
            <w:pPr>
              <w:pStyle w:val="TableParagraph"/>
              <w:ind w:right="122"/>
              <w:rPr>
                <w:sz w:val="21"/>
              </w:rPr>
            </w:pPr>
            <w:r>
              <w:rPr>
                <w:spacing w:val="-2"/>
                <w:sz w:val="21"/>
              </w:rPr>
              <w:t>100,973</w:t>
            </w:r>
          </w:p>
        </w:tc>
      </w:tr>
      <w:tr w14:paraId="3DC7B683" w14:textId="77777777">
        <w:tblPrEx>
          <w:tblW w:w="0" w:type="auto"/>
          <w:tblInd w:w="482" w:type="dxa"/>
          <w:tblLayout w:type="fixed"/>
          <w:tblCellMar>
            <w:left w:w="0" w:type="dxa"/>
            <w:right w:w="0" w:type="dxa"/>
          </w:tblCellMar>
          <w:tblLook w:val="01E0"/>
        </w:tblPrEx>
        <w:trPr>
          <w:trHeight w:val="286"/>
        </w:trPr>
        <w:tc>
          <w:tcPr>
            <w:tcW w:w="5597" w:type="dxa"/>
          </w:tcPr>
          <w:p w:rsidR="003F5784" w14:paraId="1D59E0F0" w14:textId="77777777">
            <w:pPr>
              <w:pStyle w:val="TableParagraph"/>
              <w:ind w:left="120"/>
              <w:jc w:val="left"/>
              <w:rPr>
                <w:sz w:val="21"/>
              </w:rPr>
            </w:pPr>
            <w:r>
              <w:rPr>
                <w:sz w:val="21"/>
              </w:rPr>
              <w:t>New</w:t>
            </w:r>
            <w:r>
              <w:rPr>
                <w:spacing w:val="-5"/>
                <w:sz w:val="21"/>
              </w:rPr>
              <w:t xml:space="preserve"> </w:t>
            </w:r>
            <w:r>
              <w:rPr>
                <w:spacing w:val="-2"/>
                <w:sz w:val="21"/>
              </w:rPr>
              <w:t>Mexico–Albuquerque</w:t>
            </w:r>
          </w:p>
        </w:tc>
        <w:tc>
          <w:tcPr>
            <w:tcW w:w="3779" w:type="dxa"/>
          </w:tcPr>
          <w:p w:rsidR="003F5784" w14:paraId="1C170738" w14:textId="77777777">
            <w:pPr>
              <w:pStyle w:val="TableParagraph"/>
              <w:ind w:right="577"/>
              <w:rPr>
                <w:sz w:val="21"/>
              </w:rPr>
            </w:pPr>
            <w:r>
              <w:rPr>
                <w:spacing w:val="-5"/>
                <w:sz w:val="21"/>
              </w:rPr>
              <w:t>102</w:t>
            </w:r>
          </w:p>
        </w:tc>
        <w:tc>
          <w:tcPr>
            <w:tcW w:w="1722" w:type="dxa"/>
          </w:tcPr>
          <w:p w:rsidR="003F5784" w14:paraId="3A7CB361" w14:textId="77777777">
            <w:pPr>
              <w:pStyle w:val="TableParagraph"/>
              <w:ind w:right="465"/>
              <w:rPr>
                <w:sz w:val="21"/>
              </w:rPr>
            </w:pPr>
            <w:r>
              <w:rPr>
                <w:spacing w:val="-2"/>
                <w:sz w:val="21"/>
              </w:rPr>
              <w:t>6,704</w:t>
            </w:r>
          </w:p>
        </w:tc>
        <w:tc>
          <w:tcPr>
            <w:tcW w:w="1514" w:type="dxa"/>
          </w:tcPr>
          <w:p w:rsidR="003F5784" w14:paraId="5CFA6761" w14:textId="77777777">
            <w:pPr>
              <w:pStyle w:val="TableParagraph"/>
              <w:ind w:right="579"/>
              <w:rPr>
                <w:sz w:val="21"/>
              </w:rPr>
            </w:pPr>
            <w:r>
              <w:rPr>
                <w:spacing w:val="-5"/>
                <w:sz w:val="21"/>
              </w:rPr>
              <w:t>46</w:t>
            </w:r>
          </w:p>
        </w:tc>
        <w:tc>
          <w:tcPr>
            <w:tcW w:w="1377" w:type="dxa"/>
          </w:tcPr>
          <w:p w:rsidR="003F5784" w14:paraId="0D5CD799" w14:textId="77777777">
            <w:pPr>
              <w:pStyle w:val="TableParagraph"/>
              <w:ind w:right="122"/>
              <w:rPr>
                <w:sz w:val="21"/>
              </w:rPr>
            </w:pPr>
            <w:r>
              <w:rPr>
                <w:spacing w:val="-2"/>
                <w:sz w:val="21"/>
              </w:rPr>
              <w:t>6,493</w:t>
            </w:r>
          </w:p>
        </w:tc>
      </w:tr>
      <w:tr w14:paraId="10EC0A49" w14:textId="77777777">
        <w:tblPrEx>
          <w:tblW w:w="0" w:type="auto"/>
          <w:tblInd w:w="482" w:type="dxa"/>
          <w:tblLayout w:type="fixed"/>
          <w:tblCellMar>
            <w:left w:w="0" w:type="dxa"/>
            <w:right w:w="0" w:type="dxa"/>
          </w:tblCellMar>
          <w:tblLook w:val="01E0"/>
        </w:tblPrEx>
        <w:trPr>
          <w:trHeight w:val="286"/>
        </w:trPr>
        <w:tc>
          <w:tcPr>
            <w:tcW w:w="5597" w:type="dxa"/>
          </w:tcPr>
          <w:p w:rsidR="003F5784" w14:paraId="31B1A6B1" w14:textId="77777777">
            <w:pPr>
              <w:pStyle w:val="TableParagraph"/>
              <w:ind w:left="120"/>
              <w:jc w:val="left"/>
              <w:rPr>
                <w:sz w:val="21"/>
              </w:rPr>
            </w:pPr>
            <w:r>
              <w:rPr>
                <w:sz w:val="21"/>
              </w:rPr>
              <w:t>New</w:t>
            </w:r>
            <w:r>
              <w:rPr>
                <w:spacing w:val="-5"/>
                <w:sz w:val="21"/>
              </w:rPr>
              <w:t xml:space="preserve"> </w:t>
            </w:r>
            <w:r>
              <w:rPr>
                <w:spacing w:val="-2"/>
                <w:sz w:val="21"/>
              </w:rPr>
              <w:t>Mexico–Balance</w:t>
            </w:r>
          </w:p>
        </w:tc>
        <w:tc>
          <w:tcPr>
            <w:tcW w:w="3779" w:type="dxa"/>
          </w:tcPr>
          <w:p w:rsidR="003F5784" w14:paraId="0754ABBF" w14:textId="77777777">
            <w:pPr>
              <w:pStyle w:val="TableParagraph"/>
              <w:ind w:right="577"/>
              <w:rPr>
                <w:sz w:val="21"/>
              </w:rPr>
            </w:pPr>
            <w:r>
              <w:rPr>
                <w:spacing w:val="-5"/>
                <w:sz w:val="21"/>
              </w:rPr>
              <w:t>336</w:t>
            </w:r>
          </w:p>
        </w:tc>
        <w:tc>
          <w:tcPr>
            <w:tcW w:w="1722" w:type="dxa"/>
          </w:tcPr>
          <w:p w:rsidR="003F5784" w14:paraId="564D70E3" w14:textId="77777777">
            <w:pPr>
              <w:pStyle w:val="TableParagraph"/>
              <w:ind w:right="465"/>
              <w:rPr>
                <w:sz w:val="21"/>
              </w:rPr>
            </w:pPr>
            <w:r>
              <w:rPr>
                <w:spacing w:val="-2"/>
                <w:sz w:val="21"/>
              </w:rPr>
              <w:t>17,887</w:t>
            </w:r>
          </w:p>
        </w:tc>
        <w:tc>
          <w:tcPr>
            <w:tcW w:w="1514" w:type="dxa"/>
          </w:tcPr>
          <w:p w:rsidR="003F5784" w14:paraId="73F09EA3" w14:textId="77777777">
            <w:pPr>
              <w:pStyle w:val="TableParagraph"/>
              <w:ind w:right="579"/>
              <w:rPr>
                <w:sz w:val="21"/>
              </w:rPr>
            </w:pPr>
            <w:r>
              <w:rPr>
                <w:spacing w:val="-5"/>
                <w:sz w:val="21"/>
              </w:rPr>
              <w:t>190</w:t>
            </w:r>
          </w:p>
        </w:tc>
        <w:tc>
          <w:tcPr>
            <w:tcW w:w="1377" w:type="dxa"/>
          </w:tcPr>
          <w:p w:rsidR="003F5784" w14:paraId="7102BBD0" w14:textId="77777777">
            <w:pPr>
              <w:pStyle w:val="TableParagraph"/>
              <w:ind w:right="122"/>
              <w:rPr>
                <w:sz w:val="21"/>
              </w:rPr>
            </w:pPr>
            <w:r>
              <w:rPr>
                <w:spacing w:val="-2"/>
                <w:sz w:val="21"/>
              </w:rPr>
              <w:t>18,904</w:t>
            </w:r>
          </w:p>
        </w:tc>
      </w:tr>
      <w:tr w14:paraId="314F5013" w14:textId="77777777">
        <w:tblPrEx>
          <w:tblW w:w="0" w:type="auto"/>
          <w:tblInd w:w="482" w:type="dxa"/>
          <w:tblLayout w:type="fixed"/>
          <w:tblCellMar>
            <w:left w:w="0" w:type="dxa"/>
            <w:right w:w="0" w:type="dxa"/>
          </w:tblCellMar>
          <w:tblLook w:val="01E0"/>
        </w:tblPrEx>
        <w:trPr>
          <w:trHeight w:val="286"/>
        </w:trPr>
        <w:tc>
          <w:tcPr>
            <w:tcW w:w="5597" w:type="dxa"/>
          </w:tcPr>
          <w:p w:rsidR="003F5784" w14:paraId="4A533F67" w14:textId="77777777">
            <w:pPr>
              <w:pStyle w:val="TableParagraph"/>
              <w:ind w:left="120"/>
              <w:jc w:val="left"/>
              <w:rPr>
                <w:sz w:val="21"/>
              </w:rPr>
            </w:pPr>
            <w:r>
              <w:rPr>
                <w:spacing w:val="-4"/>
                <w:sz w:val="21"/>
              </w:rPr>
              <w:t>New</w:t>
            </w:r>
            <w:r>
              <w:rPr>
                <w:spacing w:val="-9"/>
                <w:sz w:val="21"/>
              </w:rPr>
              <w:t xml:space="preserve"> </w:t>
            </w:r>
            <w:r>
              <w:rPr>
                <w:spacing w:val="-4"/>
                <w:sz w:val="21"/>
              </w:rPr>
              <w:t>York–New</w:t>
            </w:r>
            <w:r>
              <w:rPr>
                <w:spacing w:val="-9"/>
                <w:sz w:val="21"/>
              </w:rPr>
              <w:t xml:space="preserve"> </w:t>
            </w:r>
            <w:r>
              <w:rPr>
                <w:spacing w:val="-4"/>
                <w:sz w:val="21"/>
              </w:rPr>
              <w:t>York</w:t>
            </w:r>
            <w:r>
              <w:rPr>
                <w:spacing w:val="-1"/>
                <w:sz w:val="21"/>
              </w:rPr>
              <w:t xml:space="preserve"> </w:t>
            </w:r>
            <w:r>
              <w:rPr>
                <w:spacing w:val="-4"/>
                <w:sz w:val="21"/>
              </w:rPr>
              <w:t>City</w:t>
            </w:r>
          </w:p>
        </w:tc>
        <w:tc>
          <w:tcPr>
            <w:tcW w:w="3779" w:type="dxa"/>
          </w:tcPr>
          <w:p w:rsidR="003F5784" w14:paraId="76B424B0" w14:textId="77777777">
            <w:pPr>
              <w:pStyle w:val="TableParagraph"/>
              <w:ind w:right="577"/>
              <w:rPr>
                <w:sz w:val="21"/>
              </w:rPr>
            </w:pPr>
            <w:r>
              <w:rPr>
                <w:spacing w:val="-5"/>
                <w:sz w:val="21"/>
              </w:rPr>
              <w:t>820</w:t>
            </w:r>
          </w:p>
        </w:tc>
        <w:tc>
          <w:tcPr>
            <w:tcW w:w="1722" w:type="dxa"/>
          </w:tcPr>
          <w:p w:rsidR="003F5784" w14:paraId="77F05EB5" w14:textId="77777777">
            <w:pPr>
              <w:pStyle w:val="TableParagraph"/>
              <w:ind w:right="465"/>
              <w:rPr>
                <w:sz w:val="21"/>
              </w:rPr>
            </w:pPr>
            <w:r>
              <w:rPr>
                <w:spacing w:val="-2"/>
                <w:sz w:val="21"/>
              </w:rPr>
              <w:t>67,351</w:t>
            </w:r>
          </w:p>
        </w:tc>
        <w:tc>
          <w:tcPr>
            <w:tcW w:w="1514" w:type="dxa"/>
          </w:tcPr>
          <w:p w:rsidR="003F5784" w14:paraId="5B6E3FD0" w14:textId="77777777">
            <w:pPr>
              <w:pStyle w:val="TableParagraph"/>
              <w:ind w:right="579"/>
              <w:rPr>
                <w:sz w:val="21"/>
              </w:rPr>
            </w:pPr>
            <w:r>
              <w:rPr>
                <w:spacing w:val="-5"/>
                <w:sz w:val="21"/>
              </w:rPr>
              <w:t>512</w:t>
            </w:r>
          </w:p>
        </w:tc>
        <w:tc>
          <w:tcPr>
            <w:tcW w:w="1377" w:type="dxa"/>
          </w:tcPr>
          <w:p w:rsidR="003F5784" w14:paraId="2F92E45B" w14:textId="77777777">
            <w:pPr>
              <w:pStyle w:val="TableParagraph"/>
              <w:ind w:right="122"/>
              <w:rPr>
                <w:sz w:val="21"/>
              </w:rPr>
            </w:pPr>
            <w:r>
              <w:rPr>
                <w:spacing w:val="-2"/>
                <w:sz w:val="21"/>
              </w:rPr>
              <w:t>66,309</w:t>
            </w:r>
          </w:p>
        </w:tc>
      </w:tr>
      <w:tr w14:paraId="73E68D01" w14:textId="77777777">
        <w:tblPrEx>
          <w:tblW w:w="0" w:type="auto"/>
          <w:tblInd w:w="482" w:type="dxa"/>
          <w:tblLayout w:type="fixed"/>
          <w:tblCellMar>
            <w:left w:w="0" w:type="dxa"/>
            <w:right w:w="0" w:type="dxa"/>
          </w:tblCellMar>
          <w:tblLook w:val="01E0"/>
        </w:tblPrEx>
        <w:trPr>
          <w:trHeight w:val="286"/>
        </w:trPr>
        <w:tc>
          <w:tcPr>
            <w:tcW w:w="5597" w:type="dxa"/>
          </w:tcPr>
          <w:p w:rsidR="003F5784" w14:paraId="4ABFBAA6" w14:textId="77777777">
            <w:pPr>
              <w:pStyle w:val="TableParagraph"/>
              <w:ind w:left="120"/>
              <w:jc w:val="left"/>
              <w:rPr>
                <w:sz w:val="21"/>
              </w:rPr>
            </w:pPr>
            <w:r>
              <w:rPr>
                <w:sz w:val="21"/>
              </w:rPr>
              <w:t>New</w:t>
            </w:r>
            <w:r>
              <w:rPr>
                <w:spacing w:val="-13"/>
                <w:sz w:val="21"/>
              </w:rPr>
              <w:t xml:space="preserve"> </w:t>
            </w:r>
            <w:r>
              <w:rPr>
                <w:spacing w:val="-2"/>
                <w:sz w:val="21"/>
              </w:rPr>
              <w:t>York–Balance</w:t>
            </w:r>
          </w:p>
        </w:tc>
        <w:tc>
          <w:tcPr>
            <w:tcW w:w="3779" w:type="dxa"/>
          </w:tcPr>
          <w:p w:rsidR="003F5784" w14:paraId="386852AA" w14:textId="77777777">
            <w:pPr>
              <w:pStyle w:val="TableParagraph"/>
              <w:ind w:right="577"/>
              <w:rPr>
                <w:sz w:val="21"/>
              </w:rPr>
            </w:pPr>
            <w:r>
              <w:rPr>
                <w:spacing w:val="-2"/>
                <w:sz w:val="21"/>
              </w:rPr>
              <w:t>1,700</w:t>
            </w:r>
          </w:p>
        </w:tc>
        <w:tc>
          <w:tcPr>
            <w:tcW w:w="1722" w:type="dxa"/>
          </w:tcPr>
          <w:p w:rsidR="003F5784" w14:paraId="15380DDD" w14:textId="77777777">
            <w:pPr>
              <w:pStyle w:val="TableParagraph"/>
              <w:ind w:right="465"/>
              <w:rPr>
                <w:sz w:val="21"/>
              </w:rPr>
            </w:pPr>
            <w:r>
              <w:rPr>
                <w:spacing w:val="-2"/>
                <w:sz w:val="21"/>
              </w:rPr>
              <w:t>127,280</w:t>
            </w:r>
          </w:p>
        </w:tc>
        <w:tc>
          <w:tcPr>
            <w:tcW w:w="1514" w:type="dxa"/>
          </w:tcPr>
          <w:p w:rsidR="003F5784" w14:paraId="2278A36A" w14:textId="77777777">
            <w:pPr>
              <w:pStyle w:val="TableParagraph"/>
              <w:ind w:right="579"/>
              <w:rPr>
                <w:sz w:val="21"/>
              </w:rPr>
            </w:pPr>
            <w:r>
              <w:rPr>
                <w:spacing w:val="-2"/>
                <w:sz w:val="21"/>
              </w:rPr>
              <w:t>1,035</w:t>
            </w:r>
          </w:p>
        </w:tc>
        <w:tc>
          <w:tcPr>
            <w:tcW w:w="1377" w:type="dxa"/>
          </w:tcPr>
          <w:p w:rsidR="003F5784" w14:paraId="0921E1F8" w14:textId="77777777">
            <w:pPr>
              <w:pStyle w:val="TableParagraph"/>
              <w:ind w:right="122"/>
              <w:rPr>
                <w:sz w:val="21"/>
              </w:rPr>
            </w:pPr>
            <w:r>
              <w:rPr>
                <w:spacing w:val="-2"/>
                <w:sz w:val="21"/>
              </w:rPr>
              <w:t>131,020</w:t>
            </w:r>
          </w:p>
        </w:tc>
      </w:tr>
      <w:tr w14:paraId="050A0C1F" w14:textId="77777777">
        <w:tblPrEx>
          <w:tblW w:w="0" w:type="auto"/>
          <w:tblInd w:w="482" w:type="dxa"/>
          <w:tblLayout w:type="fixed"/>
          <w:tblCellMar>
            <w:left w:w="0" w:type="dxa"/>
            <w:right w:w="0" w:type="dxa"/>
          </w:tblCellMar>
          <w:tblLook w:val="01E0"/>
        </w:tblPrEx>
        <w:trPr>
          <w:trHeight w:val="286"/>
        </w:trPr>
        <w:tc>
          <w:tcPr>
            <w:tcW w:w="5597" w:type="dxa"/>
          </w:tcPr>
          <w:p w:rsidR="003F5784" w14:paraId="6EBC5C1E" w14:textId="77777777">
            <w:pPr>
              <w:pStyle w:val="TableParagraph"/>
              <w:ind w:left="120"/>
              <w:jc w:val="left"/>
              <w:rPr>
                <w:sz w:val="21"/>
              </w:rPr>
            </w:pPr>
            <w:r>
              <w:rPr>
                <w:sz w:val="21"/>
              </w:rPr>
              <w:t>North</w:t>
            </w:r>
            <w:r>
              <w:rPr>
                <w:spacing w:val="-6"/>
                <w:sz w:val="21"/>
              </w:rPr>
              <w:t xml:space="preserve"> </w:t>
            </w:r>
            <w:r>
              <w:rPr>
                <w:spacing w:val="-2"/>
                <w:sz w:val="21"/>
              </w:rPr>
              <w:t>Carolina–Charlotte</w:t>
            </w:r>
          </w:p>
        </w:tc>
        <w:tc>
          <w:tcPr>
            <w:tcW w:w="3779" w:type="dxa"/>
          </w:tcPr>
          <w:p w:rsidR="003F5784" w14:paraId="4B26D55F" w14:textId="77777777">
            <w:pPr>
              <w:pStyle w:val="TableParagraph"/>
              <w:ind w:right="577"/>
              <w:rPr>
                <w:sz w:val="21"/>
              </w:rPr>
            </w:pPr>
            <w:r>
              <w:rPr>
                <w:spacing w:val="-5"/>
                <w:sz w:val="21"/>
              </w:rPr>
              <w:t>111</w:t>
            </w:r>
          </w:p>
        </w:tc>
        <w:tc>
          <w:tcPr>
            <w:tcW w:w="1722" w:type="dxa"/>
          </w:tcPr>
          <w:p w:rsidR="003F5784" w14:paraId="2BD47BB3" w14:textId="77777777">
            <w:pPr>
              <w:pStyle w:val="TableParagraph"/>
              <w:ind w:right="465"/>
              <w:rPr>
                <w:sz w:val="21"/>
              </w:rPr>
            </w:pPr>
            <w:r>
              <w:rPr>
                <w:spacing w:val="-2"/>
                <w:sz w:val="21"/>
              </w:rPr>
              <w:t>11,430</w:t>
            </w:r>
          </w:p>
        </w:tc>
        <w:tc>
          <w:tcPr>
            <w:tcW w:w="1514" w:type="dxa"/>
          </w:tcPr>
          <w:p w:rsidR="003F5784" w14:paraId="119A41DF" w14:textId="77777777">
            <w:pPr>
              <w:pStyle w:val="TableParagraph"/>
              <w:ind w:right="579"/>
              <w:rPr>
                <w:sz w:val="21"/>
              </w:rPr>
            </w:pPr>
            <w:r>
              <w:rPr>
                <w:spacing w:val="-5"/>
                <w:sz w:val="21"/>
              </w:rPr>
              <w:t>45</w:t>
            </w:r>
          </w:p>
        </w:tc>
        <w:tc>
          <w:tcPr>
            <w:tcW w:w="1377" w:type="dxa"/>
          </w:tcPr>
          <w:p w:rsidR="003F5784" w14:paraId="65DDB232" w14:textId="77777777">
            <w:pPr>
              <w:pStyle w:val="TableParagraph"/>
              <w:ind w:right="122"/>
              <w:rPr>
                <w:sz w:val="21"/>
              </w:rPr>
            </w:pPr>
            <w:r>
              <w:rPr>
                <w:spacing w:val="-2"/>
                <w:sz w:val="21"/>
              </w:rPr>
              <w:t>11,436</w:t>
            </w:r>
          </w:p>
        </w:tc>
      </w:tr>
      <w:tr w14:paraId="09E45F33" w14:textId="77777777">
        <w:tblPrEx>
          <w:tblW w:w="0" w:type="auto"/>
          <w:tblInd w:w="482" w:type="dxa"/>
          <w:tblLayout w:type="fixed"/>
          <w:tblCellMar>
            <w:left w:w="0" w:type="dxa"/>
            <w:right w:w="0" w:type="dxa"/>
          </w:tblCellMar>
          <w:tblLook w:val="01E0"/>
        </w:tblPrEx>
        <w:trPr>
          <w:trHeight w:val="286"/>
        </w:trPr>
        <w:tc>
          <w:tcPr>
            <w:tcW w:w="5597" w:type="dxa"/>
          </w:tcPr>
          <w:p w:rsidR="003F5784" w14:paraId="6D7FC093" w14:textId="77777777">
            <w:pPr>
              <w:pStyle w:val="TableParagraph"/>
              <w:ind w:left="120"/>
              <w:jc w:val="left"/>
              <w:rPr>
                <w:sz w:val="21"/>
              </w:rPr>
            </w:pPr>
            <w:r>
              <w:rPr>
                <w:sz w:val="21"/>
              </w:rPr>
              <w:t>North</w:t>
            </w:r>
            <w:r>
              <w:rPr>
                <w:spacing w:val="-12"/>
                <w:sz w:val="21"/>
              </w:rPr>
              <w:t xml:space="preserve"> </w:t>
            </w:r>
            <w:r>
              <w:rPr>
                <w:sz w:val="21"/>
              </w:rPr>
              <w:t>Carolina–Guilford</w:t>
            </w:r>
            <w:r>
              <w:rPr>
                <w:spacing w:val="-11"/>
                <w:sz w:val="21"/>
              </w:rPr>
              <w:t xml:space="preserve"> </w:t>
            </w:r>
            <w:r>
              <w:rPr>
                <w:spacing w:val="-2"/>
                <w:sz w:val="21"/>
              </w:rPr>
              <w:t>County</w:t>
            </w:r>
          </w:p>
        </w:tc>
        <w:tc>
          <w:tcPr>
            <w:tcW w:w="3779" w:type="dxa"/>
          </w:tcPr>
          <w:p w:rsidR="003F5784" w14:paraId="590BB3E6" w14:textId="77777777">
            <w:pPr>
              <w:pStyle w:val="TableParagraph"/>
              <w:ind w:right="577"/>
              <w:rPr>
                <w:sz w:val="21"/>
              </w:rPr>
            </w:pPr>
            <w:r>
              <w:rPr>
                <w:spacing w:val="-5"/>
                <w:sz w:val="21"/>
              </w:rPr>
              <w:t>73</w:t>
            </w:r>
          </w:p>
        </w:tc>
        <w:tc>
          <w:tcPr>
            <w:tcW w:w="1722" w:type="dxa"/>
          </w:tcPr>
          <w:p w:rsidR="003F5784" w14:paraId="310158FF" w14:textId="77777777">
            <w:pPr>
              <w:pStyle w:val="TableParagraph"/>
              <w:ind w:right="465"/>
              <w:rPr>
                <w:sz w:val="21"/>
              </w:rPr>
            </w:pPr>
            <w:r>
              <w:rPr>
                <w:spacing w:val="-2"/>
                <w:sz w:val="21"/>
              </w:rPr>
              <w:t>5,440</w:t>
            </w:r>
          </w:p>
        </w:tc>
        <w:tc>
          <w:tcPr>
            <w:tcW w:w="1514" w:type="dxa"/>
          </w:tcPr>
          <w:p w:rsidR="003F5784" w14:paraId="1BBFEB55" w14:textId="77777777">
            <w:pPr>
              <w:pStyle w:val="TableParagraph"/>
              <w:ind w:right="579"/>
              <w:rPr>
                <w:sz w:val="21"/>
              </w:rPr>
            </w:pPr>
            <w:r>
              <w:rPr>
                <w:spacing w:val="-5"/>
                <w:sz w:val="21"/>
              </w:rPr>
              <w:t>29</w:t>
            </w:r>
          </w:p>
        </w:tc>
        <w:tc>
          <w:tcPr>
            <w:tcW w:w="1377" w:type="dxa"/>
          </w:tcPr>
          <w:p w:rsidR="003F5784" w14:paraId="2CB3D44D" w14:textId="77777777">
            <w:pPr>
              <w:pStyle w:val="TableParagraph"/>
              <w:ind w:right="122"/>
              <w:rPr>
                <w:sz w:val="21"/>
              </w:rPr>
            </w:pPr>
            <w:r>
              <w:rPr>
                <w:spacing w:val="-2"/>
                <w:sz w:val="21"/>
              </w:rPr>
              <w:t>5,497</w:t>
            </w:r>
          </w:p>
        </w:tc>
      </w:tr>
      <w:tr w14:paraId="1C37D9CD" w14:textId="77777777">
        <w:tblPrEx>
          <w:tblW w:w="0" w:type="auto"/>
          <w:tblInd w:w="482" w:type="dxa"/>
          <w:tblLayout w:type="fixed"/>
          <w:tblCellMar>
            <w:left w:w="0" w:type="dxa"/>
            <w:right w:w="0" w:type="dxa"/>
          </w:tblCellMar>
          <w:tblLook w:val="01E0"/>
        </w:tblPrEx>
        <w:trPr>
          <w:trHeight w:val="286"/>
        </w:trPr>
        <w:tc>
          <w:tcPr>
            <w:tcW w:w="5597" w:type="dxa"/>
          </w:tcPr>
          <w:p w:rsidR="003F5784" w14:paraId="1924D71C" w14:textId="77777777">
            <w:pPr>
              <w:pStyle w:val="TableParagraph"/>
              <w:ind w:left="120"/>
              <w:jc w:val="left"/>
              <w:rPr>
                <w:sz w:val="21"/>
              </w:rPr>
            </w:pPr>
            <w:r>
              <w:rPr>
                <w:sz w:val="21"/>
              </w:rPr>
              <w:t>North</w:t>
            </w:r>
            <w:r>
              <w:rPr>
                <w:spacing w:val="-6"/>
                <w:sz w:val="21"/>
              </w:rPr>
              <w:t xml:space="preserve"> </w:t>
            </w:r>
            <w:r>
              <w:rPr>
                <w:spacing w:val="-2"/>
                <w:sz w:val="21"/>
              </w:rPr>
              <w:t>Carolina–Balance</w:t>
            </w:r>
          </w:p>
        </w:tc>
        <w:tc>
          <w:tcPr>
            <w:tcW w:w="3779" w:type="dxa"/>
          </w:tcPr>
          <w:p w:rsidR="003F5784" w14:paraId="355D0DC3" w14:textId="77777777">
            <w:pPr>
              <w:pStyle w:val="TableParagraph"/>
              <w:ind w:right="577"/>
              <w:rPr>
                <w:sz w:val="21"/>
              </w:rPr>
            </w:pPr>
            <w:r>
              <w:rPr>
                <w:spacing w:val="-2"/>
                <w:sz w:val="21"/>
              </w:rPr>
              <w:t>1,322</w:t>
            </w:r>
          </w:p>
        </w:tc>
        <w:tc>
          <w:tcPr>
            <w:tcW w:w="1722" w:type="dxa"/>
          </w:tcPr>
          <w:p w:rsidR="003F5784" w14:paraId="4DE5BB58" w14:textId="77777777">
            <w:pPr>
              <w:pStyle w:val="TableParagraph"/>
              <w:ind w:right="465"/>
              <w:rPr>
                <w:sz w:val="21"/>
              </w:rPr>
            </w:pPr>
            <w:r>
              <w:rPr>
                <w:spacing w:val="-2"/>
                <w:sz w:val="21"/>
              </w:rPr>
              <w:t>101,198</w:t>
            </w:r>
          </w:p>
        </w:tc>
        <w:tc>
          <w:tcPr>
            <w:tcW w:w="1514" w:type="dxa"/>
          </w:tcPr>
          <w:p w:rsidR="003F5784" w14:paraId="01510014" w14:textId="77777777">
            <w:pPr>
              <w:pStyle w:val="TableParagraph"/>
              <w:ind w:right="579"/>
              <w:rPr>
                <w:sz w:val="21"/>
              </w:rPr>
            </w:pPr>
            <w:r>
              <w:rPr>
                <w:spacing w:val="-5"/>
                <w:sz w:val="21"/>
              </w:rPr>
              <w:t>710</w:t>
            </w:r>
          </w:p>
        </w:tc>
        <w:tc>
          <w:tcPr>
            <w:tcW w:w="1377" w:type="dxa"/>
          </w:tcPr>
          <w:p w:rsidR="003F5784" w14:paraId="1B7CC254" w14:textId="77777777">
            <w:pPr>
              <w:pStyle w:val="TableParagraph"/>
              <w:ind w:right="122"/>
              <w:rPr>
                <w:sz w:val="21"/>
              </w:rPr>
            </w:pPr>
            <w:r>
              <w:rPr>
                <w:spacing w:val="-2"/>
                <w:sz w:val="21"/>
              </w:rPr>
              <w:t>105,409</w:t>
            </w:r>
          </w:p>
        </w:tc>
      </w:tr>
      <w:tr w14:paraId="00844C16" w14:textId="77777777">
        <w:tblPrEx>
          <w:tblW w:w="0" w:type="auto"/>
          <w:tblInd w:w="482" w:type="dxa"/>
          <w:tblLayout w:type="fixed"/>
          <w:tblCellMar>
            <w:left w:w="0" w:type="dxa"/>
            <w:right w:w="0" w:type="dxa"/>
          </w:tblCellMar>
          <w:tblLook w:val="01E0"/>
        </w:tblPrEx>
        <w:trPr>
          <w:trHeight w:val="286"/>
        </w:trPr>
        <w:tc>
          <w:tcPr>
            <w:tcW w:w="5597" w:type="dxa"/>
          </w:tcPr>
          <w:p w:rsidR="003F5784" w14:paraId="25AB3ED1" w14:textId="77777777">
            <w:pPr>
              <w:pStyle w:val="TableParagraph"/>
              <w:ind w:left="120"/>
              <w:jc w:val="left"/>
              <w:rPr>
                <w:sz w:val="21"/>
              </w:rPr>
            </w:pPr>
            <w:r>
              <w:rPr>
                <w:sz w:val="21"/>
              </w:rPr>
              <w:t>North</w:t>
            </w:r>
            <w:r>
              <w:rPr>
                <w:spacing w:val="-6"/>
                <w:sz w:val="21"/>
              </w:rPr>
              <w:t xml:space="preserve"> </w:t>
            </w:r>
            <w:r>
              <w:rPr>
                <w:spacing w:val="-2"/>
                <w:sz w:val="21"/>
              </w:rPr>
              <w:t>Dakota</w:t>
            </w:r>
          </w:p>
        </w:tc>
        <w:tc>
          <w:tcPr>
            <w:tcW w:w="3779" w:type="dxa"/>
          </w:tcPr>
          <w:p w:rsidR="003F5784" w14:paraId="35958FA3" w14:textId="77777777">
            <w:pPr>
              <w:pStyle w:val="TableParagraph"/>
              <w:ind w:right="577"/>
              <w:rPr>
                <w:sz w:val="21"/>
              </w:rPr>
            </w:pPr>
            <w:r>
              <w:rPr>
                <w:spacing w:val="-5"/>
                <w:sz w:val="21"/>
              </w:rPr>
              <w:t>264</w:t>
            </w:r>
          </w:p>
        </w:tc>
        <w:tc>
          <w:tcPr>
            <w:tcW w:w="1722" w:type="dxa"/>
          </w:tcPr>
          <w:p w:rsidR="003F5784" w14:paraId="45B428C8" w14:textId="77777777">
            <w:pPr>
              <w:pStyle w:val="TableParagraph"/>
              <w:ind w:right="465"/>
              <w:rPr>
                <w:sz w:val="21"/>
              </w:rPr>
            </w:pPr>
            <w:r>
              <w:rPr>
                <w:spacing w:val="-2"/>
                <w:sz w:val="21"/>
              </w:rPr>
              <w:t>9,116</w:t>
            </w:r>
          </w:p>
        </w:tc>
        <w:tc>
          <w:tcPr>
            <w:tcW w:w="1514" w:type="dxa"/>
          </w:tcPr>
          <w:p w:rsidR="003F5784" w14:paraId="2B8D6A9B" w14:textId="77777777">
            <w:pPr>
              <w:pStyle w:val="TableParagraph"/>
              <w:ind w:right="579"/>
              <w:rPr>
                <w:sz w:val="21"/>
              </w:rPr>
            </w:pPr>
            <w:r>
              <w:rPr>
                <w:spacing w:val="-5"/>
                <w:sz w:val="21"/>
              </w:rPr>
              <w:t>180</w:t>
            </w:r>
          </w:p>
        </w:tc>
        <w:tc>
          <w:tcPr>
            <w:tcW w:w="1377" w:type="dxa"/>
          </w:tcPr>
          <w:p w:rsidR="003F5784" w14:paraId="6B3F9000" w14:textId="77777777">
            <w:pPr>
              <w:pStyle w:val="TableParagraph"/>
              <w:ind w:right="122"/>
              <w:rPr>
                <w:sz w:val="21"/>
              </w:rPr>
            </w:pPr>
            <w:r>
              <w:rPr>
                <w:spacing w:val="-2"/>
                <w:sz w:val="21"/>
              </w:rPr>
              <w:t>8,823</w:t>
            </w:r>
          </w:p>
        </w:tc>
      </w:tr>
      <w:tr w14:paraId="5F60140E" w14:textId="77777777">
        <w:tblPrEx>
          <w:tblW w:w="0" w:type="auto"/>
          <w:tblInd w:w="482" w:type="dxa"/>
          <w:tblLayout w:type="fixed"/>
          <w:tblCellMar>
            <w:left w:w="0" w:type="dxa"/>
            <w:right w:w="0" w:type="dxa"/>
          </w:tblCellMar>
          <w:tblLook w:val="01E0"/>
        </w:tblPrEx>
        <w:trPr>
          <w:trHeight w:val="286"/>
        </w:trPr>
        <w:tc>
          <w:tcPr>
            <w:tcW w:w="5597" w:type="dxa"/>
          </w:tcPr>
          <w:p w:rsidR="003F5784" w14:paraId="6E6793AC" w14:textId="77777777">
            <w:pPr>
              <w:pStyle w:val="TableParagraph"/>
              <w:ind w:left="120"/>
              <w:jc w:val="left"/>
              <w:rPr>
                <w:sz w:val="21"/>
              </w:rPr>
            </w:pPr>
            <w:r>
              <w:rPr>
                <w:spacing w:val="-2"/>
                <w:sz w:val="21"/>
              </w:rPr>
              <w:t>Ohio–Cleveland</w:t>
            </w:r>
          </w:p>
        </w:tc>
        <w:tc>
          <w:tcPr>
            <w:tcW w:w="3779" w:type="dxa"/>
          </w:tcPr>
          <w:p w:rsidR="003F5784" w14:paraId="169929B8" w14:textId="77777777">
            <w:pPr>
              <w:pStyle w:val="TableParagraph"/>
              <w:ind w:right="577"/>
              <w:rPr>
                <w:sz w:val="21"/>
              </w:rPr>
            </w:pPr>
            <w:r>
              <w:rPr>
                <w:spacing w:val="-5"/>
                <w:sz w:val="21"/>
              </w:rPr>
              <w:t>80</w:t>
            </w:r>
          </w:p>
        </w:tc>
        <w:tc>
          <w:tcPr>
            <w:tcW w:w="1722" w:type="dxa"/>
          </w:tcPr>
          <w:p w:rsidR="003F5784" w14:paraId="0CE23D02" w14:textId="77777777">
            <w:pPr>
              <w:pStyle w:val="TableParagraph"/>
              <w:ind w:right="465"/>
              <w:rPr>
                <w:sz w:val="21"/>
              </w:rPr>
            </w:pPr>
            <w:r>
              <w:rPr>
                <w:spacing w:val="-2"/>
                <w:sz w:val="21"/>
              </w:rPr>
              <w:t>3,265</w:t>
            </w:r>
          </w:p>
        </w:tc>
        <w:tc>
          <w:tcPr>
            <w:tcW w:w="1514" w:type="dxa"/>
          </w:tcPr>
          <w:p w:rsidR="003F5784" w14:paraId="5E4B1BF0" w14:textId="77777777">
            <w:pPr>
              <w:pStyle w:val="TableParagraph"/>
              <w:ind w:right="579"/>
              <w:rPr>
                <w:sz w:val="21"/>
              </w:rPr>
            </w:pPr>
            <w:r>
              <w:rPr>
                <w:spacing w:val="-5"/>
                <w:sz w:val="21"/>
              </w:rPr>
              <w:t>78</w:t>
            </w:r>
          </w:p>
        </w:tc>
        <w:tc>
          <w:tcPr>
            <w:tcW w:w="1377" w:type="dxa"/>
          </w:tcPr>
          <w:p w:rsidR="003F5784" w14:paraId="027BB875" w14:textId="77777777">
            <w:pPr>
              <w:pStyle w:val="TableParagraph"/>
              <w:ind w:right="122"/>
              <w:rPr>
                <w:sz w:val="21"/>
              </w:rPr>
            </w:pPr>
            <w:r>
              <w:rPr>
                <w:spacing w:val="-2"/>
                <w:sz w:val="21"/>
              </w:rPr>
              <w:t>3,179</w:t>
            </w:r>
          </w:p>
        </w:tc>
      </w:tr>
      <w:tr w14:paraId="5FCEF257" w14:textId="77777777">
        <w:tblPrEx>
          <w:tblW w:w="0" w:type="auto"/>
          <w:tblInd w:w="482" w:type="dxa"/>
          <w:tblLayout w:type="fixed"/>
          <w:tblCellMar>
            <w:left w:w="0" w:type="dxa"/>
            <w:right w:w="0" w:type="dxa"/>
          </w:tblCellMar>
          <w:tblLook w:val="01E0"/>
        </w:tblPrEx>
        <w:trPr>
          <w:trHeight w:val="286"/>
        </w:trPr>
        <w:tc>
          <w:tcPr>
            <w:tcW w:w="5597" w:type="dxa"/>
          </w:tcPr>
          <w:p w:rsidR="003F5784" w14:paraId="03EE35BC" w14:textId="77777777">
            <w:pPr>
              <w:pStyle w:val="TableParagraph"/>
              <w:ind w:left="120"/>
              <w:jc w:val="left"/>
              <w:rPr>
                <w:sz w:val="21"/>
              </w:rPr>
            </w:pPr>
            <w:r>
              <w:rPr>
                <w:spacing w:val="-2"/>
                <w:sz w:val="21"/>
              </w:rPr>
              <w:t>Ohio–Balance</w:t>
            </w:r>
          </w:p>
        </w:tc>
        <w:tc>
          <w:tcPr>
            <w:tcW w:w="3779" w:type="dxa"/>
          </w:tcPr>
          <w:p w:rsidR="003F5784" w14:paraId="64900CD7" w14:textId="77777777">
            <w:pPr>
              <w:pStyle w:val="TableParagraph"/>
              <w:ind w:right="577"/>
              <w:rPr>
                <w:sz w:val="21"/>
              </w:rPr>
            </w:pPr>
            <w:r>
              <w:rPr>
                <w:spacing w:val="-2"/>
                <w:sz w:val="21"/>
              </w:rPr>
              <w:t>1,587</w:t>
            </w:r>
          </w:p>
        </w:tc>
        <w:tc>
          <w:tcPr>
            <w:tcW w:w="1722" w:type="dxa"/>
          </w:tcPr>
          <w:p w:rsidR="003F5784" w14:paraId="05498002" w14:textId="77777777">
            <w:pPr>
              <w:pStyle w:val="TableParagraph"/>
              <w:ind w:right="465"/>
              <w:rPr>
                <w:sz w:val="21"/>
              </w:rPr>
            </w:pPr>
            <w:r>
              <w:rPr>
                <w:spacing w:val="-2"/>
                <w:sz w:val="21"/>
              </w:rPr>
              <w:t>122,148</w:t>
            </w:r>
          </w:p>
        </w:tc>
        <w:tc>
          <w:tcPr>
            <w:tcW w:w="1514" w:type="dxa"/>
          </w:tcPr>
          <w:p w:rsidR="003F5784" w14:paraId="6FC06F6A" w14:textId="77777777">
            <w:pPr>
              <w:pStyle w:val="TableParagraph"/>
              <w:ind w:right="579"/>
              <w:rPr>
                <w:sz w:val="21"/>
              </w:rPr>
            </w:pPr>
            <w:r>
              <w:rPr>
                <w:spacing w:val="-5"/>
                <w:sz w:val="21"/>
              </w:rPr>
              <w:t>983</w:t>
            </w:r>
          </w:p>
        </w:tc>
        <w:tc>
          <w:tcPr>
            <w:tcW w:w="1377" w:type="dxa"/>
          </w:tcPr>
          <w:p w:rsidR="003F5784" w14:paraId="447F3988" w14:textId="77777777">
            <w:pPr>
              <w:pStyle w:val="TableParagraph"/>
              <w:ind w:right="122"/>
              <w:rPr>
                <w:sz w:val="21"/>
              </w:rPr>
            </w:pPr>
            <w:r>
              <w:rPr>
                <w:spacing w:val="-2"/>
                <w:sz w:val="21"/>
              </w:rPr>
              <w:t>127,080</w:t>
            </w:r>
          </w:p>
        </w:tc>
      </w:tr>
      <w:tr w14:paraId="253BB2BA" w14:textId="77777777">
        <w:tblPrEx>
          <w:tblW w:w="0" w:type="auto"/>
          <w:tblInd w:w="482" w:type="dxa"/>
          <w:tblLayout w:type="fixed"/>
          <w:tblCellMar>
            <w:left w:w="0" w:type="dxa"/>
            <w:right w:w="0" w:type="dxa"/>
          </w:tblCellMar>
          <w:tblLook w:val="01E0"/>
        </w:tblPrEx>
        <w:trPr>
          <w:trHeight w:val="286"/>
        </w:trPr>
        <w:tc>
          <w:tcPr>
            <w:tcW w:w="5597" w:type="dxa"/>
          </w:tcPr>
          <w:p w:rsidR="003F5784" w14:paraId="2133EEF1" w14:textId="77777777">
            <w:pPr>
              <w:pStyle w:val="TableParagraph"/>
              <w:ind w:left="120"/>
              <w:jc w:val="left"/>
              <w:rPr>
                <w:sz w:val="21"/>
              </w:rPr>
            </w:pPr>
            <w:r>
              <w:rPr>
                <w:spacing w:val="-2"/>
                <w:sz w:val="21"/>
              </w:rPr>
              <w:t>Oklahoma</w:t>
            </w:r>
          </w:p>
        </w:tc>
        <w:tc>
          <w:tcPr>
            <w:tcW w:w="3779" w:type="dxa"/>
          </w:tcPr>
          <w:p w:rsidR="003F5784" w14:paraId="60624647" w14:textId="77777777">
            <w:pPr>
              <w:pStyle w:val="TableParagraph"/>
              <w:ind w:right="577"/>
              <w:rPr>
                <w:sz w:val="21"/>
              </w:rPr>
            </w:pPr>
            <w:r>
              <w:rPr>
                <w:spacing w:val="-5"/>
                <w:sz w:val="21"/>
              </w:rPr>
              <w:t>840</w:t>
            </w:r>
          </w:p>
        </w:tc>
        <w:tc>
          <w:tcPr>
            <w:tcW w:w="1722" w:type="dxa"/>
          </w:tcPr>
          <w:p w:rsidR="003F5784" w14:paraId="352EEA82" w14:textId="77777777">
            <w:pPr>
              <w:pStyle w:val="TableParagraph"/>
              <w:ind w:right="465"/>
              <w:rPr>
                <w:sz w:val="21"/>
              </w:rPr>
            </w:pPr>
            <w:r>
              <w:rPr>
                <w:spacing w:val="-2"/>
                <w:sz w:val="21"/>
              </w:rPr>
              <w:t>51,807</w:t>
            </w:r>
          </w:p>
        </w:tc>
        <w:tc>
          <w:tcPr>
            <w:tcW w:w="1514" w:type="dxa"/>
          </w:tcPr>
          <w:p w:rsidR="003F5784" w14:paraId="63E75976" w14:textId="77777777">
            <w:pPr>
              <w:pStyle w:val="TableParagraph"/>
              <w:ind w:right="579"/>
              <w:rPr>
                <w:sz w:val="21"/>
              </w:rPr>
            </w:pPr>
            <w:r>
              <w:rPr>
                <w:spacing w:val="-5"/>
                <w:sz w:val="21"/>
              </w:rPr>
              <w:t>588</w:t>
            </w:r>
          </w:p>
        </w:tc>
        <w:tc>
          <w:tcPr>
            <w:tcW w:w="1377" w:type="dxa"/>
          </w:tcPr>
          <w:p w:rsidR="003F5784" w14:paraId="3D5FF4B6" w14:textId="77777777">
            <w:pPr>
              <w:pStyle w:val="TableParagraph"/>
              <w:ind w:right="122"/>
              <w:rPr>
                <w:sz w:val="21"/>
              </w:rPr>
            </w:pPr>
            <w:r>
              <w:rPr>
                <w:spacing w:val="-2"/>
                <w:sz w:val="21"/>
              </w:rPr>
              <w:t>52,202</w:t>
            </w:r>
          </w:p>
        </w:tc>
      </w:tr>
      <w:tr w14:paraId="56D0E7D9" w14:textId="77777777">
        <w:tblPrEx>
          <w:tblW w:w="0" w:type="auto"/>
          <w:tblInd w:w="482" w:type="dxa"/>
          <w:tblLayout w:type="fixed"/>
          <w:tblCellMar>
            <w:left w:w="0" w:type="dxa"/>
            <w:right w:w="0" w:type="dxa"/>
          </w:tblCellMar>
          <w:tblLook w:val="01E0"/>
        </w:tblPrEx>
        <w:trPr>
          <w:trHeight w:val="286"/>
        </w:trPr>
        <w:tc>
          <w:tcPr>
            <w:tcW w:w="5597" w:type="dxa"/>
          </w:tcPr>
          <w:p w:rsidR="003F5784" w14:paraId="7E443D6B" w14:textId="77777777">
            <w:pPr>
              <w:pStyle w:val="TableParagraph"/>
              <w:ind w:left="120"/>
              <w:jc w:val="left"/>
              <w:rPr>
                <w:sz w:val="21"/>
              </w:rPr>
            </w:pPr>
            <w:r>
              <w:rPr>
                <w:spacing w:val="-2"/>
                <w:sz w:val="21"/>
              </w:rPr>
              <w:t>Oregon</w:t>
            </w:r>
          </w:p>
        </w:tc>
        <w:tc>
          <w:tcPr>
            <w:tcW w:w="3779" w:type="dxa"/>
          </w:tcPr>
          <w:p w:rsidR="003F5784" w14:paraId="1AF52663" w14:textId="77777777">
            <w:pPr>
              <w:pStyle w:val="TableParagraph"/>
              <w:ind w:right="577"/>
              <w:rPr>
                <w:sz w:val="21"/>
              </w:rPr>
            </w:pPr>
            <w:r>
              <w:rPr>
                <w:spacing w:val="-5"/>
                <w:sz w:val="21"/>
              </w:rPr>
              <w:t>754</w:t>
            </w:r>
          </w:p>
        </w:tc>
        <w:tc>
          <w:tcPr>
            <w:tcW w:w="1722" w:type="dxa"/>
          </w:tcPr>
          <w:p w:rsidR="003F5784" w14:paraId="49CE68D3" w14:textId="77777777">
            <w:pPr>
              <w:pStyle w:val="TableParagraph"/>
              <w:ind w:right="465"/>
              <w:rPr>
                <w:sz w:val="21"/>
              </w:rPr>
            </w:pPr>
            <w:r>
              <w:rPr>
                <w:spacing w:val="-2"/>
                <w:sz w:val="21"/>
              </w:rPr>
              <w:t>43,807</w:t>
            </w:r>
          </w:p>
        </w:tc>
        <w:tc>
          <w:tcPr>
            <w:tcW w:w="1514" w:type="dxa"/>
          </w:tcPr>
          <w:p w:rsidR="003F5784" w14:paraId="0E983DB9" w14:textId="77777777">
            <w:pPr>
              <w:pStyle w:val="TableParagraph"/>
              <w:ind w:right="579"/>
              <w:rPr>
                <w:sz w:val="21"/>
              </w:rPr>
            </w:pPr>
            <w:r>
              <w:rPr>
                <w:spacing w:val="-5"/>
                <w:sz w:val="21"/>
              </w:rPr>
              <w:t>419</w:t>
            </w:r>
          </w:p>
        </w:tc>
        <w:tc>
          <w:tcPr>
            <w:tcW w:w="1377" w:type="dxa"/>
          </w:tcPr>
          <w:p w:rsidR="003F5784" w14:paraId="0184983C" w14:textId="77777777">
            <w:pPr>
              <w:pStyle w:val="TableParagraph"/>
              <w:ind w:right="122"/>
              <w:rPr>
                <w:sz w:val="21"/>
              </w:rPr>
            </w:pPr>
            <w:r>
              <w:rPr>
                <w:spacing w:val="-2"/>
                <w:sz w:val="21"/>
              </w:rPr>
              <w:t>45,433</w:t>
            </w:r>
          </w:p>
        </w:tc>
      </w:tr>
      <w:tr w14:paraId="0D43F863" w14:textId="77777777">
        <w:tblPrEx>
          <w:tblW w:w="0" w:type="auto"/>
          <w:tblInd w:w="482" w:type="dxa"/>
          <w:tblLayout w:type="fixed"/>
          <w:tblCellMar>
            <w:left w:w="0" w:type="dxa"/>
            <w:right w:w="0" w:type="dxa"/>
          </w:tblCellMar>
          <w:tblLook w:val="01E0"/>
        </w:tblPrEx>
        <w:trPr>
          <w:trHeight w:val="286"/>
        </w:trPr>
        <w:tc>
          <w:tcPr>
            <w:tcW w:w="5597" w:type="dxa"/>
          </w:tcPr>
          <w:p w:rsidR="003F5784" w14:paraId="275B5690" w14:textId="77777777">
            <w:pPr>
              <w:pStyle w:val="TableParagraph"/>
              <w:ind w:left="120"/>
              <w:jc w:val="left"/>
              <w:rPr>
                <w:sz w:val="21"/>
              </w:rPr>
            </w:pPr>
            <w:r>
              <w:rPr>
                <w:spacing w:val="-2"/>
                <w:sz w:val="21"/>
              </w:rPr>
              <w:t>Pennsylvania–Philadelphia</w:t>
            </w:r>
          </w:p>
        </w:tc>
        <w:tc>
          <w:tcPr>
            <w:tcW w:w="3779" w:type="dxa"/>
          </w:tcPr>
          <w:p w:rsidR="003F5784" w14:paraId="76149260" w14:textId="77777777">
            <w:pPr>
              <w:pStyle w:val="TableParagraph"/>
              <w:ind w:right="577"/>
              <w:rPr>
                <w:sz w:val="21"/>
              </w:rPr>
            </w:pPr>
            <w:r>
              <w:rPr>
                <w:spacing w:val="-5"/>
                <w:sz w:val="21"/>
              </w:rPr>
              <w:t>147</w:t>
            </w:r>
          </w:p>
        </w:tc>
        <w:tc>
          <w:tcPr>
            <w:tcW w:w="1722" w:type="dxa"/>
          </w:tcPr>
          <w:p w:rsidR="003F5784" w14:paraId="0E405255" w14:textId="77777777">
            <w:pPr>
              <w:pStyle w:val="TableParagraph"/>
              <w:ind w:right="465"/>
              <w:rPr>
                <w:sz w:val="21"/>
              </w:rPr>
            </w:pPr>
            <w:r>
              <w:rPr>
                <w:spacing w:val="-2"/>
                <w:sz w:val="21"/>
              </w:rPr>
              <w:t>10,490</w:t>
            </w:r>
          </w:p>
        </w:tc>
        <w:tc>
          <w:tcPr>
            <w:tcW w:w="1514" w:type="dxa"/>
          </w:tcPr>
          <w:p w:rsidR="003F5784" w14:paraId="54A33841" w14:textId="77777777">
            <w:pPr>
              <w:pStyle w:val="TableParagraph"/>
              <w:ind w:right="579"/>
              <w:rPr>
                <w:sz w:val="21"/>
              </w:rPr>
            </w:pPr>
            <w:r>
              <w:rPr>
                <w:spacing w:val="-5"/>
                <w:sz w:val="21"/>
              </w:rPr>
              <w:t>120</w:t>
            </w:r>
          </w:p>
        </w:tc>
        <w:tc>
          <w:tcPr>
            <w:tcW w:w="1377" w:type="dxa"/>
          </w:tcPr>
          <w:p w:rsidR="003F5784" w14:paraId="14B20A5B" w14:textId="77777777">
            <w:pPr>
              <w:pStyle w:val="TableParagraph"/>
              <w:ind w:right="122"/>
              <w:rPr>
                <w:sz w:val="21"/>
              </w:rPr>
            </w:pPr>
            <w:r>
              <w:rPr>
                <w:spacing w:val="-2"/>
                <w:sz w:val="21"/>
              </w:rPr>
              <w:t>9,339</w:t>
            </w:r>
          </w:p>
        </w:tc>
      </w:tr>
      <w:tr w14:paraId="066BFD44" w14:textId="77777777">
        <w:tblPrEx>
          <w:tblW w:w="0" w:type="auto"/>
          <w:tblInd w:w="482" w:type="dxa"/>
          <w:tblLayout w:type="fixed"/>
          <w:tblCellMar>
            <w:left w:w="0" w:type="dxa"/>
            <w:right w:w="0" w:type="dxa"/>
          </w:tblCellMar>
          <w:tblLook w:val="01E0"/>
        </w:tblPrEx>
        <w:trPr>
          <w:trHeight w:val="286"/>
        </w:trPr>
        <w:tc>
          <w:tcPr>
            <w:tcW w:w="5597" w:type="dxa"/>
          </w:tcPr>
          <w:p w:rsidR="003F5784" w14:paraId="039CB1B4" w14:textId="77777777">
            <w:pPr>
              <w:pStyle w:val="TableParagraph"/>
              <w:ind w:left="120"/>
              <w:jc w:val="left"/>
              <w:rPr>
                <w:sz w:val="21"/>
              </w:rPr>
            </w:pPr>
            <w:r>
              <w:rPr>
                <w:spacing w:val="-2"/>
                <w:sz w:val="21"/>
              </w:rPr>
              <w:t>Pennsylvania–Balance</w:t>
            </w:r>
          </w:p>
        </w:tc>
        <w:tc>
          <w:tcPr>
            <w:tcW w:w="3779" w:type="dxa"/>
          </w:tcPr>
          <w:p w:rsidR="003F5784" w14:paraId="2D5A01A9" w14:textId="77777777">
            <w:pPr>
              <w:pStyle w:val="TableParagraph"/>
              <w:ind w:right="577"/>
              <w:rPr>
                <w:sz w:val="21"/>
              </w:rPr>
            </w:pPr>
            <w:r>
              <w:rPr>
                <w:spacing w:val="-2"/>
                <w:sz w:val="21"/>
              </w:rPr>
              <w:t>1,396</w:t>
            </w:r>
          </w:p>
        </w:tc>
        <w:tc>
          <w:tcPr>
            <w:tcW w:w="1722" w:type="dxa"/>
          </w:tcPr>
          <w:p w:rsidR="003F5784" w14:paraId="70FE7DDE" w14:textId="77777777">
            <w:pPr>
              <w:pStyle w:val="TableParagraph"/>
              <w:ind w:right="465"/>
              <w:rPr>
                <w:sz w:val="21"/>
              </w:rPr>
            </w:pPr>
            <w:r>
              <w:rPr>
                <w:spacing w:val="-2"/>
                <w:sz w:val="21"/>
              </w:rPr>
              <w:t>117,460</w:t>
            </w:r>
          </w:p>
        </w:tc>
        <w:tc>
          <w:tcPr>
            <w:tcW w:w="1514" w:type="dxa"/>
          </w:tcPr>
          <w:p w:rsidR="003F5784" w14:paraId="6E2FA6CE" w14:textId="77777777">
            <w:pPr>
              <w:pStyle w:val="TableParagraph"/>
              <w:ind w:right="579"/>
              <w:rPr>
                <w:sz w:val="21"/>
              </w:rPr>
            </w:pPr>
            <w:r>
              <w:rPr>
                <w:spacing w:val="-5"/>
                <w:sz w:val="21"/>
              </w:rPr>
              <w:t>769</w:t>
            </w:r>
          </w:p>
        </w:tc>
        <w:tc>
          <w:tcPr>
            <w:tcW w:w="1377" w:type="dxa"/>
          </w:tcPr>
          <w:p w:rsidR="003F5784" w14:paraId="351F221A" w14:textId="77777777">
            <w:pPr>
              <w:pStyle w:val="TableParagraph"/>
              <w:ind w:right="122"/>
              <w:rPr>
                <w:sz w:val="21"/>
              </w:rPr>
            </w:pPr>
            <w:r>
              <w:rPr>
                <w:spacing w:val="-2"/>
                <w:sz w:val="21"/>
              </w:rPr>
              <w:t>124,275</w:t>
            </w:r>
          </w:p>
        </w:tc>
      </w:tr>
      <w:tr w14:paraId="22D566D0" w14:textId="77777777">
        <w:tblPrEx>
          <w:tblW w:w="0" w:type="auto"/>
          <w:tblInd w:w="482" w:type="dxa"/>
          <w:tblLayout w:type="fixed"/>
          <w:tblCellMar>
            <w:left w:w="0" w:type="dxa"/>
            <w:right w:w="0" w:type="dxa"/>
          </w:tblCellMar>
          <w:tblLook w:val="01E0"/>
        </w:tblPrEx>
        <w:trPr>
          <w:trHeight w:val="289"/>
        </w:trPr>
        <w:tc>
          <w:tcPr>
            <w:tcW w:w="5597" w:type="dxa"/>
            <w:tcBorders>
              <w:bottom w:val="single" w:sz="18" w:space="0" w:color="800000"/>
            </w:tcBorders>
          </w:tcPr>
          <w:p w:rsidR="003F5784" w14:paraId="77DFC78E" w14:textId="77777777">
            <w:pPr>
              <w:pStyle w:val="TableParagraph"/>
              <w:ind w:left="120"/>
              <w:jc w:val="left"/>
              <w:rPr>
                <w:sz w:val="21"/>
              </w:rPr>
            </w:pPr>
            <w:r>
              <w:rPr>
                <w:sz w:val="21"/>
              </w:rPr>
              <w:t>Rhode</w:t>
            </w:r>
            <w:r>
              <w:rPr>
                <w:spacing w:val="-7"/>
                <w:sz w:val="21"/>
              </w:rPr>
              <w:t xml:space="preserve"> </w:t>
            </w:r>
            <w:r>
              <w:rPr>
                <w:spacing w:val="-2"/>
                <w:sz w:val="21"/>
              </w:rPr>
              <w:t>Island</w:t>
            </w:r>
          </w:p>
        </w:tc>
        <w:tc>
          <w:tcPr>
            <w:tcW w:w="3779" w:type="dxa"/>
            <w:tcBorders>
              <w:bottom w:val="single" w:sz="18" w:space="0" w:color="800000"/>
            </w:tcBorders>
          </w:tcPr>
          <w:p w:rsidR="003F5784" w14:paraId="5EF79915" w14:textId="77777777">
            <w:pPr>
              <w:pStyle w:val="TableParagraph"/>
              <w:ind w:right="577"/>
              <w:rPr>
                <w:sz w:val="21"/>
              </w:rPr>
            </w:pPr>
            <w:r>
              <w:rPr>
                <w:spacing w:val="-5"/>
                <w:sz w:val="21"/>
              </w:rPr>
              <w:t>166</w:t>
            </w:r>
          </w:p>
        </w:tc>
        <w:tc>
          <w:tcPr>
            <w:tcW w:w="1722" w:type="dxa"/>
            <w:tcBorders>
              <w:bottom w:val="single" w:sz="18" w:space="0" w:color="800000"/>
            </w:tcBorders>
          </w:tcPr>
          <w:p w:rsidR="003F5784" w14:paraId="5BB89644" w14:textId="77777777">
            <w:pPr>
              <w:pStyle w:val="TableParagraph"/>
              <w:ind w:right="465"/>
              <w:rPr>
                <w:sz w:val="21"/>
              </w:rPr>
            </w:pPr>
            <w:r>
              <w:rPr>
                <w:spacing w:val="-2"/>
                <w:sz w:val="21"/>
              </w:rPr>
              <w:t>10,460</w:t>
            </w:r>
          </w:p>
        </w:tc>
        <w:tc>
          <w:tcPr>
            <w:tcW w:w="1514" w:type="dxa"/>
            <w:tcBorders>
              <w:bottom w:val="single" w:sz="18" w:space="0" w:color="800000"/>
            </w:tcBorders>
          </w:tcPr>
          <w:p w:rsidR="003F5784" w14:paraId="53698E29" w14:textId="77777777">
            <w:pPr>
              <w:pStyle w:val="TableParagraph"/>
              <w:ind w:right="579"/>
              <w:rPr>
                <w:sz w:val="21"/>
              </w:rPr>
            </w:pPr>
            <w:r>
              <w:rPr>
                <w:spacing w:val="-5"/>
                <w:sz w:val="21"/>
              </w:rPr>
              <w:t>63</w:t>
            </w:r>
          </w:p>
        </w:tc>
        <w:tc>
          <w:tcPr>
            <w:tcW w:w="1377" w:type="dxa"/>
            <w:tcBorders>
              <w:bottom w:val="single" w:sz="18" w:space="0" w:color="800000"/>
            </w:tcBorders>
          </w:tcPr>
          <w:p w:rsidR="003F5784" w14:paraId="137FA479" w14:textId="77777777">
            <w:pPr>
              <w:pStyle w:val="TableParagraph"/>
              <w:ind w:right="122"/>
              <w:rPr>
                <w:sz w:val="21"/>
              </w:rPr>
            </w:pPr>
            <w:r>
              <w:rPr>
                <w:spacing w:val="-2"/>
                <w:sz w:val="21"/>
              </w:rPr>
              <w:t>10,922</w:t>
            </w:r>
          </w:p>
        </w:tc>
      </w:tr>
    </w:tbl>
    <w:p w:rsidR="003F5784" w14:paraId="6FD5FD85" w14:textId="77777777">
      <w:pPr>
        <w:spacing w:before="19"/>
        <w:ind w:left="595" w:right="588"/>
        <w:rPr>
          <w:sz w:val="18"/>
        </w:rPr>
      </w:pPr>
      <w:r>
        <w:rPr>
          <w:sz w:val="18"/>
        </w:rPr>
        <w:t>SOURCE: U.S. Department of Education, Institute of Education Sciences, National Center for Education Statistics, National</w:t>
      </w:r>
      <w:r>
        <w:rPr>
          <w:spacing w:val="-5"/>
          <w:sz w:val="18"/>
        </w:rPr>
        <w:t xml:space="preserve"> </w:t>
      </w:r>
      <w:r>
        <w:rPr>
          <w:sz w:val="18"/>
        </w:rPr>
        <w:t xml:space="preserve">Assessment of Educational Progress (NAEP), 2022 State </w:t>
      </w:r>
      <w:r>
        <w:rPr>
          <w:spacing w:val="-2"/>
          <w:sz w:val="18"/>
        </w:rPr>
        <w:t>Assessment.</w:t>
      </w:r>
    </w:p>
    <w:p w:rsidR="003F5784" w14:paraId="7F6BCDD9" w14:textId="77777777">
      <w:pPr>
        <w:rPr>
          <w:sz w:val="18"/>
        </w:rPr>
        <w:sectPr>
          <w:headerReference w:type="default" r:id="rId261"/>
          <w:footerReference w:type="default" r:id="rId262"/>
          <w:pgSz w:w="15840" w:h="12240" w:orient="landscape"/>
          <w:pgMar w:top="1140" w:right="440" w:bottom="460" w:left="460" w:header="305" w:footer="275" w:gutter="0"/>
          <w:cols w:space="720"/>
        </w:sectPr>
      </w:pPr>
    </w:p>
    <w:tbl>
      <w:tblPr>
        <w:tblW w:w="0" w:type="auto"/>
        <w:tblInd w:w="482" w:type="dxa"/>
        <w:tblLayout w:type="fixed"/>
        <w:tblCellMar>
          <w:left w:w="0" w:type="dxa"/>
          <w:right w:w="0" w:type="dxa"/>
        </w:tblCellMar>
        <w:tblLook w:val="01E0"/>
      </w:tblPr>
      <w:tblGrid>
        <w:gridCol w:w="6570"/>
        <w:gridCol w:w="2806"/>
        <w:gridCol w:w="1722"/>
        <w:gridCol w:w="1514"/>
        <w:gridCol w:w="1377"/>
      </w:tblGrid>
      <w:tr w14:paraId="4288AD7E" w14:textId="77777777">
        <w:tblPrEx>
          <w:tblW w:w="0" w:type="auto"/>
          <w:tblInd w:w="482" w:type="dxa"/>
          <w:tblLayout w:type="fixed"/>
          <w:tblCellMar>
            <w:left w:w="0" w:type="dxa"/>
            <w:right w:w="0" w:type="dxa"/>
          </w:tblCellMar>
          <w:tblLook w:val="01E0"/>
        </w:tblPrEx>
        <w:trPr>
          <w:trHeight w:val="278"/>
        </w:trPr>
        <w:tc>
          <w:tcPr>
            <w:tcW w:w="6570" w:type="dxa"/>
            <w:tcBorders>
              <w:top w:val="single" w:sz="18" w:space="0" w:color="800000"/>
            </w:tcBorders>
          </w:tcPr>
          <w:p w:rsidR="003F5784" w14:paraId="65C50BD2" w14:textId="77777777">
            <w:pPr>
              <w:pStyle w:val="TableParagraph"/>
              <w:spacing w:before="9"/>
              <w:ind w:left="120"/>
              <w:jc w:val="left"/>
              <w:rPr>
                <w:sz w:val="21"/>
              </w:rPr>
            </w:pPr>
            <w:r>
              <w:rPr>
                <w:sz w:val="21"/>
              </w:rPr>
              <w:t>South</w:t>
            </w:r>
            <w:r>
              <w:rPr>
                <w:spacing w:val="-6"/>
                <w:sz w:val="21"/>
              </w:rPr>
              <w:t xml:space="preserve"> </w:t>
            </w:r>
            <w:r>
              <w:rPr>
                <w:spacing w:val="-2"/>
                <w:sz w:val="21"/>
              </w:rPr>
              <w:t>Carolina</w:t>
            </w:r>
          </w:p>
        </w:tc>
        <w:tc>
          <w:tcPr>
            <w:tcW w:w="2806" w:type="dxa"/>
            <w:tcBorders>
              <w:top w:val="single" w:sz="18" w:space="0" w:color="800000"/>
            </w:tcBorders>
          </w:tcPr>
          <w:p w:rsidR="003F5784" w14:paraId="53635938" w14:textId="77777777">
            <w:pPr>
              <w:pStyle w:val="TableParagraph"/>
              <w:spacing w:before="9"/>
              <w:ind w:right="577"/>
              <w:rPr>
                <w:sz w:val="21"/>
              </w:rPr>
            </w:pPr>
            <w:r>
              <w:rPr>
                <w:spacing w:val="-5"/>
                <w:sz w:val="21"/>
              </w:rPr>
              <w:t>656</w:t>
            </w:r>
          </w:p>
        </w:tc>
        <w:tc>
          <w:tcPr>
            <w:tcW w:w="1722" w:type="dxa"/>
            <w:tcBorders>
              <w:top w:val="single" w:sz="18" w:space="0" w:color="800000"/>
            </w:tcBorders>
          </w:tcPr>
          <w:p w:rsidR="003F5784" w14:paraId="2562A2B2" w14:textId="77777777">
            <w:pPr>
              <w:pStyle w:val="TableParagraph"/>
              <w:spacing w:before="9"/>
              <w:ind w:right="465"/>
              <w:rPr>
                <w:sz w:val="21"/>
              </w:rPr>
            </w:pPr>
            <w:r>
              <w:rPr>
                <w:spacing w:val="-2"/>
                <w:sz w:val="21"/>
              </w:rPr>
              <w:t>58,707</w:t>
            </w:r>
          </w:p>
        </w:tc>
        <w:tc>
          <w:tcPr>
            <w:tcW w:w="1514" w:type="dxa"/>
            <w:tcBorders>
              <w:top w:val="single" w:sz="18" w:space="0" w:color="800000"/>
            </w:tcBorders>
          </w:tcPr>
          <w:p w:rsidR="003F5784" w14:paraId="540848FA" w14:textId="77777777">
            <w:pPr>
              <w:pStyle w:val="TableParagraph"/>
              <w:spacing w:before="9"/>
              <w:ind w:right="579"/>
              <w:rPr>
                <w:sz w:val="21"/>
              </w:rPr>
            </w:pPr>
            <w:r>
              <w:rPr>
                <w:spacing w:val="-5"/>
                <w:sz w:val="21"/>
              </w:rPr>
              <w:t>318</w:t>
            </w:r>
          </w:p>
        </w:tc>
        <w:tc>
          <w:tcPr>
            <w:tcW w:w="1377" w:type="dxa"/>
            <w:tcBorders>
              <w:top w:val="single" w:sz="18" w:space="0" w:color="800000"/>
            </w:tcBorders>
          </w:tcPr>
          <w:p w:rsidR="003F5784" w14:paraId="5CE46F24" w14:textId="77777777">
            <w:pPr>
              <w:pStyle w:val="TableParagraph"/>
              <w:spacing w:before="9"/>
              <w:ind w:right="122"/>
              <w:rPr>
                <w:sz w:val="21"/>
              </w:rPr>
            </w:pPr>
            <w:r>
              <w:rPr>
                <w:spacing w:val="-2"/>
                <w:sz w:val="21"/>
              </w:rPr>
              <w:t>59,887</w:t>
            </w:r>
          </w:p>
        </w:tc>
      </w:tr>
      <w:tr w14:paraId="22A37109" w14:textId="77777777">
        <w:tblPrEx>
          <w:tblW w:w="0" w:type="auto"/>
          <w:tblInd w:w="482" w:type="dxa"/>
          <w:tblLayout w:type="fixed"/>
          <w:tblCellMar>
            <w:left w:w="0" w:type="dxa"/>
            <w:right w:w="0" w:type="dxa"/>
          </w:tblCellMar>
          <w:tblLook w:val="01E0"/>
        </w:tblPrEx>
        <w:trPr>
          <w:trHeight w:val="286"/>
        </w:trPr>
        <w:tc>
          <w:tcPr>
            <w:tcW w:w="6570" w:type="dxa"/>
          </w:tcPr>
          <w:p w:rsidR="003F5784" w14:paraId="10748674" w14:textId="77777777">
            <w:pPr>
              <w:pStyle w:val="TableParagraph"/>
              <w:ind w:left="120"/>
              <w:jc w:val="left"/>
              <w:rPr>
                <w:sz w:val="21"/>
              </w:rPr>
            </w:pPr>
            <w:r>
              <w:rPr>
                <w:sz w:val="21"/>
              </w:rPr>
              <w:t>South</w:t>
            </w:r>
            <w:r>
              <w:rPr>
                <w:spacing w:val="-6"/>
                <w:sz w:val="21"/>
              </w:rPr>
              <w:t xml:space="preserve"> </w:t>
            </w:r>
            <w:r>
              <w:rPr>
                <w:spacing w:val="-2"/>
                <w:sz w:val="21"/>
              </w:rPr>
              <w:t>Dakota</w:t>
            </w:r>
          </w:p>
        </w:tc>
        <w:tc>
          <w:tcPr>
            <w:tcW w:w="2806" w:type="dxa"/>
          </w:tcPr>
          <w:p w:rsidR="003F5784" w14:paraId="6156D526" w14:textId="77777777">
            <w:pPr>
              <w:pStyle w:val="TableParagraph"/>
              <w:ind w:right="577"/>
              <w:rPr>
                <w:sz w:val="21"/>
              </w:rPr>
            </w:pPr>
            <w:r>
              <w:rPr>
                <w:spacing w:val="-5"/>
                <w:sz w:val="21"/>
              </w:rPr>
              <w:t>314</w:t>
            </w:r>
          </w:p>
        </w:tc>
        <w:tc>
          <w:tcPr>
            <w:tcW w:w="1722" w:type="dxa"/>
          </w:tcPr>
          <w:p w:rsidR="003F5784" w14:paraId="5B3BF7CF" w14:textId="77777777">
            <w:pPr>
              <w:pStyle w:val="TableParagraph"/>
              <w:ind w:right="465"/>
              <w:rPr>
                <w:sz w:val="21"/>
              </w:rPr>
            </w:pPr>
            <w:r>
              <w:rPr>
                <w:spacing w:val="-2"/>
                <w:sz w:val="21"/>
              </w:rPr>
              <w:t>10,725</w:t>
            </w:r>
          </w:p>
        </w:tc>
        <w:tc>
          <w:tcPr>
            <w:tcW w:w="1514" w:type="dxa"/>
          </w:tcPr>
          <w:p w:rsidR="003F5784" w14:paraId="269E9458" w14:textId="77777777">
            <w:pPr>
              <w:pStyle w:val="TableParagraph"/>
              <w:ind w:right="579"/>
              <w:rPr>
                <w:sz w:val="21"/>
              </w:rPr>
            </w:pPr>
            <w:r>
              <w:rPr>
                <w:spacing w:val="-5"/>
                <w:sz w:val="21"/>
              </w:rPr>
              <w:t>252</w:t>
            </w:r>
          </w:p>
        </w:tc>
        <w:tc>
          <w:tcPr>
            <w:tcW w:w="1377" w:type="dxa"/>
          </w:tcPr>
          <w:p w:rsidR="003F5784" w14:paraId="2CADCD23" w14:textId="77777777">
            <w:pPr>
              <w:pStyle w:val="TableParagraph"/>
              <w:ind w:right="122"/>
              <w:rPr>
                <w:sz w:val="21"/>
              </w:rPr>
            </w:pPr>
            <w:r>
              <w:rPr>
                <w:spacing w:val="-2"/>
                <w:sz w:val="21"/>
              </w:rPr>
              <w:t>11,013</w:t>
            </w:r>
          </w:p>
        </w:tc>
      </w:tr>
      <w:tr w14:paraId="14F42C49" w14:textId="77777777">
        <w:tblPrEx>
          <w:tblW w:w="0" w:type="auto"/>
          <w:tblInd w:w="482" w:type="dxa"/>
          <w:tblLayout w:type="fixed"/>
          <w:tblCellMar>
            <w:left w:w="0" w:type="dxa"/>
            <w:right w:w="0" w:type="dxa"/>
          </w:tblCellMar>
          <w:tblLook w:val="01E0"/>
        </w:tblPrEx>
        <w:trPr>
          <w:trHeight w:val="286"/>
        </w:trPr>
        <w:tc>
          <w:tcPr>
            <w:tcW w:w="6570" w:type="dxa"/>
          </w:tcPr>
          <w:p w:rsidR="003F5784" w14:paraId="73343E62" w14:textId="77777777">
            <w:pPr>
              <w:pStyle w:val="TableParagraph"/>
              <w:ind w:left="120"/>
              <w:jc w:val="left"/>
              <w:rPr>
                <w:sz w:val="21"/>
              </w:rPr>
            </w:pPr>
            <w:r>
              <w:rPr>
                <w:spacing w:val="-2"/>
                <w:sz w:val="21"/>
              </w:rPr>
              <w:t>Tennessee–Shelby</w:t>
            </w:r>
            <w:r>
              <w:rPr>
                <w:sz w:val="21"/>
              </w:rPr>
              <w:t xml:space="preserve"> </w:t>
            </w:r>
            <w:r>
              <w:rPr>
                <w:spacing w:val="-2"/>
                <w:sz w:val="21"/>
              </w:rPr>
              <w:t>County</w:t>
            </w:r>
          </w:p>
        </w:tc>
        <w:tc>
          <w:tcPr>
            <w:tcW w:w="2806" w:type="dxa"/>
          </w:tcPr>
          <w:p w:rsidR="003F5784" w14:paraId="364A26D2" w14:textId="77777777">
            <w:pPr>
              <w:pStyle w:val="TableParagraph"/>
              <w:ind w:right="577"/>
              <w:rPr>
                <w:sz w:val="21"/>
              </w:rPr>
            </w:pPr>
            <w:r>
              <w:rPr>
                <w:spacing w:val="-5"/>
                <w:sz w:val="21"/>
              </w:rPr>
              <w:t>119</w:t>
            </w:r>
          </w:p>
        </w:tc>
        <w:tc>
          <w:tcPr>
            <w:tcW w:w="1722" w:type="dxa"/>
          </w:tcPr>
          <w:p w:rsidR="003F5784" w14:paraId="55C00B72" w14:textId="77777777">
            <w:pPr>
              <w:pStyle w:val="TableParagraph"/>
              <w:ind w:right="465"/>
              <w:rPr>
                <w:sz w:val="21"/>
              </w:rPr>
            </w:pPr>
            <w:r>
              <w:rPr>
                <w:spacing w:val="-2"/>
                <w:sz w:val="21"/>
              </w:rPr>
              <w:t>8,885</w:t>
            </w:r>
          </w:p>
        </w:tc>
        <w:tc>
          <w:tcPr>
            <w:tcW w:w="1514" w:type="dxa"/>
          </w:tcPr>
          <w:p w:rsidR="003F5784" w14:paraId="4384075B" w14:textId="77777777">
            <w:pPr>
              <w:pStyle w:val="TableParagraph"/>
              <w:ind w:right="579"/>
              <w:rPr>
                <w:sz w:val="21"/>
              </w:rPr>
            </w:pPr>
            <w:r>
              <w:rPr>
                <w:spacing w:val="-5"/>
                <w:sz w:val="21"/>
              </w:rPr>
              <w:t>62</w:t>
            </w:r>
          </w:p>
        </w:tc>
        <w:tc>
          <w:tcPr>
            <w:tcW w:w="1377" w:type="dxa"/>
          </w:tcPr>
          <w:p w:rsidR="003F5784" w14:paraId="3B1AF9F6" w14:textId="77777777">
            <w:pPr>
              <w:pStyle w:val="TableParagraph"/>
              <w:ind w:right="122"/>
              <w:rPr>
                <w:sz w:val="21"/>
              </w:rPr>
            </w:pPr>
            <w:r>
              <w:rPr>
                <w:spacing w:val="-2"/>
                <w:sz w:val="21"/>
              </w:rPr>
              <w:t>7,965</w:t>
            </w:r>
          </w:p>
        </w:tc>
      </w:tr>
      <w:tr w14:paraId="52877610" w14:textId="77777777">
        <w:tblPrEx>
          <w:tblW w:w="0" w:type="auto"/>
          <w:tblInd w:w="482" w:type="dxa"/>
          <w:tblLayout w:type="fixed"/>
          <w:tblCellMar>
            <w:left w:w="0" w:type="dxa"/>
            <w:right w:w="0" w:type="dxa"/>
          </w:tblCellMar>
          <w:tblLook w:val="01E0"/>
        </w:tblPrEx>
        <w:trPr>
          <w:trHeight w:val="286"/>
        </w:trPr>
        <w:tc>
          <w:tcPr>
            <w:tcW w:w="6570" w:type="dxa"/>
          </w:tcPr>
          <w:p w:rsidR="003F5784" w14:paraId="76539ECB" w14:textId="77777777">
            <w:pPr>
              <w:pStyle w:val="TableParagraph"/>
              <w:ind w:left="120"/>
              <w:jc w:val="left"/>
              <w:rPr>
                <w:sz w:val="21"/>
              </w:rPr>
            </w:pPr>
            <w:r>
              <w:rPr>
                <w:spacing w:val="-2"/>
                <w:sz w:val="21"/>
              </w:rPr>
              <w:t>Tennessee–Balance</w:t>
            </w:r>
          </w:p>
        </w:tc>
        <w:tc>
          <w:tcPr>
            <w:tcW w:w="2806" w:type="dxa"/>
          </w:tcPr>
          <w:p w:rsidR="003F5784" w14:paraId="00FFCD62" w14:textId="77777777">
            <w:pPr>
              <w:pStyle w:val="TableParagraph"/>
              <w:ind w:right="577"/>
              <w:rPr>
                <w:sz w:val="21"/>
              </w:rPr>
            </w:pPr>
            <w:r>
              <w:rPr>
                <w:spacing w:val="-5"/>
                <w:sz w:val="21"/>
              </w:rPr>
              <w:t>906</w:t>
            </w:r>
          </w:p>
        </w:tc>
        <w:tc>
          <w:tcPr>
            <w:tcW w:w="1722" w:type="dxa"/>
          </w:tcPr>
          <w:p w:rsidR="003F5784" w14:paraId="7076D0FC" w14:textId="77777777">
            <w:pPr>
              <w:pStyle w:val="TableParagraph"/>
              <w:ind w:right="465"/>
              <w:rPr>
                <w:sz w:val="21"/>
              </w:rPr>
            </w:pPr>
            <w:r>
              <w:rPr>
                <w:spacing w:val="-2"/>
                <w:sz w:val="21"/>
              </w:rPr>
              <w:t>67,289</w:t>
            </w:r>
          </w:p>
        </w:tc>
        <w:tc>
          <w:tcPr>
            <w:tcW w:w="1514" w:type="dxa"/>
          </w:tcPr>
          <w:p w:rsidR="003F5784" w14:paraId="193C5015" w14:textId="77777777">
            <w:pPr>
              <w:pStyle w:val="TableParagraph"/>
              <w:ind w:right="579"/>
              <w:rPr>
                <w:sz w:val="21"/>
              </w:rPr>
            </w:pPr>
            <w:r>
              <w:rPr>
                <w:spacing w:val="-5"/>
                <w:sz w:val="21"/>
              </w:rPr>
              <w:t>551</w:t>
            </w:r>
          </w:p>
        </w:tc>
        <w:tc>
          <w:tcPr>
            <w:tcW w:w="1377" w:type="dxa"/>
          </w:tcPr>
          <w:p w:rsidR="003F5784" w14:paraId="39D8F04C" w14:textId="77777777">
            <w:pPr>
              <w:pStyle w:val="TableParagraph"/>
              <w:ind w:right="122"/>
              <w:rPr>
                <w:sz w:val="21"/>
              </w:rPr>
            </w:pPr>
            <w:r>
              <w:rPr>
                <w:spacing w:val="-2"/>
                <w:sz w:val="21"/>
              </w:rPr>
              <w:t>68,972</w:t>
            </w:r>
          </w:p>
        </w:tc>
      </w:tr>
      <w:tr w14:paraId="0F0B7A3E" w14:textId="77777777">
        <w:tblPrEx>
          <w:tblW w:w="0" w:type="auto"/>
          <w:tblInd w:w="482" w:type="dxa"/>
          <w:tblLayout w:type="fixed"/>
          <w:tblCellMar>
            <w:left w:w="0" w:type="dxa"/>
            <w:right w:w="0" w:type="dxa"/>
          </w:tblCellMar>
          <w:tblLook w:val="01E0"/>
        </w:tblPrEx>
        <w:trPr>
          <w:trHeight w:val="286"/>
        </w:trPr>
        <w:tc>
          <w:tcPr>
            <w:tcW w:w="6570" w:type="dxa"/>
          </w:tcPr>
          <w:p w:rsidR="003F5784" w14:paraId="31C93794" w14:textId="77777777">
            <w:pPr>
              <w:pStyle w:val="TableParagraph"/>
              <w:ind w:left="120"/>
              <w:jc w:val="left"/>
              <w:rPr>
                <w:sz w:val="21"/>
              </w:rPr>
            </w:pPr>
            <w:r>
              <w:rPr>
                <w:spacing w:val="-2"/>
                <w:sz w:val="21"/>
              </w:rPr>
              <w:t>Texas–Austin</w:t>
            </w:r>
          </w:p>
        </w:tc>
        <w:tc>
          <w:tcPr>
            <w:tcW w:w="2806" w:type="dxa"/>
          </w:tcPr>
          <w:p w:rsidR="003F5784" w14:paraId="0F65F499" w14:textId="77777777">
            <w:pPr>
              <w:pStyle w:val="TableParagraph"/>
              <w:ind w:right="577"/>
              <w:rPr>
                <w:sz w:val="21"/>
              </w:rPr>
            </w:pPr>
            <w:r>
              <w:rPr>
                <w:spacing w:val="-5"/>
                <w:sz w:val="21"/>
              </w:rPr>
              <w:t>81</w:t>
            </w:r>
          </w:p>
        </w:tc>
        <w:tc>
          <w:tcPr>
            <w:tcW w:w="1722" w:type="dxa"/>
          </w:tcPr>
          <w:p w:rsidR="003F5784" w14:paraId="55653E2A" w14:textId="77777777">
            <w:pPr>
              <w:pStyle w:val="TableParagraph"/>
              <w:ind w:right="465"/>
              <w:rPr>
                <w:sz w:val="21"/>
              </w:rPr>
            </w:pPr>
            <w:r>
              <w:rPr>
                <w:spacing w:val="-2"/>
                <w:sz w:val="21"/>
              </w:rPr>
              <w:t>6,112</w:t>
            </w:r>
          </w:p>
        </w:tc>
        <w:tc>
          <w:tcPr>
            <w:tcW w:w="1514" w:type="dxa"/>
          </w:tcPr>
          <w:p w:rsidR="003F5784" w14:paraId="280EAE05" w14:textId="77777777">
            <w:pPr>
              <w:pStyle w:val="TableParagraph"/>
              <w:ind w:right="579"/>
              <w:rPr>
                <w:sz w:val="21"/>
              </w:rPr>
            </w:pPr>
            <w:r>
              <w:rPr>
                <w:spacing w:val="-5"/>
                <w:sz w:val="21"/>
              </w:rPr>
              <w:t>21</w:t>
            </w:r>
          </w:p>
        </w:tc>
        <w:tc>
          <w:tcPr>
            <w:tcW w:w="1377" w:type="dxa"/>
          </w:tcPr>
          <w:p w:rsidR="003F5784" w14:paraId="5636CAB6" w14:textId="77777777">
            <w:pPr>
              <w:pStyle w:val="TableParagraph"/>
              <w:ind w:right="122"/>
              <w:rPr>
                <w:sz w:val="21"/>
              </w:rPr>
            </w:pPr>
            <w:r>
              <w:rPr>
                <w:spacing w:val="-2"/>
                <w:sz w:val="21"/>
              </w:rPr>
              <w:t>5,558</w:t>
            </w:r>
          </w:p>
        </w:tc>
      </w:tr>
      <w:tr w14:paraId="38797943" w14:textId="77777777">
        <w:tblPrEx>
          <w:tblW w:w="0" w:type="auto"/>
          <w:tblInd w:w="482" w:type="dxa"/>
          <w:tblLayout w:type="fixed"/>
          <w:tblCellMar>
            <w:left w:w="0" w:type="dxa"/>
            <w:right w:w="0" w:type="dxa"/>
          </w:tblCellMar>
          <w:tblLook w:val="01E0"/>
        </w:tblPrEx>
        <w:trPr>
          <w:trHeight w:val="286"/>
        </w:trPr>
        <w:tc>
          <w:tcPr>
            <w:tcW w:w="6570" w:type="dxa"/>
          </w:tcPr>
          <w:p w:rsidR="003F5784" w14:paraId="465D52FF" w14:textId="77777777">
            <w:pPr>
              <w:pStyle w:val="TableParagraph"/>
              <w:ind w:left="120"/>
              <w:jc w:val="left"/>
              <w:rPr>
                <w:sz w:val="21"/>
              </w:rPr>
            </w:pPr>
            <w:r>
              <w:rPr>
                <w:spacing w:val="-2"/>
                <w:sz w:val="21"/>
              </w:rPr>
              <w:t>Texas–Dallas</w:t>
            </w:r>
          </w:p>
        </w:tc>
        <w:tc>
          <w:tcPr>
            <w:tcW w:w="2806" w:type="dxa"/>
          </w:tcPr>
          <w:p w:rsidR="003F5784" w14:paraId="0545DC81" w14:textId="77777777">
            <w:pPr>
              <w:pStyle w:val="TableParagraph"/>
              <w:ind w:right="577"/>
              <w:rPr>
                <w:sz w:val="21"/>
              </w:rPr>
            </w:pPr>
            <w:r>
              <w:rPr>
                <w:spacing w:val="-5"/>
                <w:sz w:val="21"/>
              </w:rPr>
              <w:t>148</w:t>
            </w:r>
          </w:p>
        </w:tc>
        <w:tc>
          <w:tcPr>
            <w:tcW w:w="1722" w:type="dxa"/>
          </w:tcPr>
          <w:p w:rsidR="003F5784" w14:paraId="6428E880" w14:textId="77777777">
            <w:pPr>
              <w:pStyle w:val="TableParagraph"/>
              <w:ind w:right="465"/>
              <w:rPr>
                <w:sz w:val="21"/>
              </w:rPr>
            </w:pPr>
            <w:r>
              <w:rPr>
                <w:spacing w:val="-2"/>
                <w:sz w:val="21"/>
              </w:rPr>
              <w:t>11,497</w:t>
            </w:r>
          </w:p>
        </w:tc>
        <w:tc>
          <w:tcPr>
            <w:tcW w:w="1514" w:type="dxa"/>
          </w:tcPr>
          <w:p w:rsidR="003F5784" w14:paraId="106C53B7" w14:textId="77777777">
            <w:pPr>
              <w:pStyle w:val="TableParagraph"/>
              <w:ind w:right="579"/>
              <w:rPr>
                <w:sz w:val="21"/>
              </w:rPr>
            </w:pPr>
            <w:r>
              <w:rPr>
                <w:spacing w:val="-5"/>
                <w:sz w:val="21"/>
              </w:rPr>
              <w:t>41</w:t>
            </w:r>
          </w:p>
        </w:tc>
        <w:tc>
          <w:tcPr>
            <w:tcW w:w="1377" w:type="dxa"/>
          </w:tcPr>
          <w:p w:rsidR="003F5784" w14:paraId="26D44576" w14:textId="77777777">
            <w:pPr>
              <w:pStyle w:val="TableParagraph"/>
              <w:ind w:right="122"/>
              <w:rPr>
                <w:sz w:val="21"/>
              </w:rPr>
            </w:pPr>
            <w:r>
              <w:rPr>
                <w:spacing w:val="-2"/>
                <w:sz w:val="21"/>
              </w:rPr>
              <w:t>10,336</w:t>
            </w:r>
          </w:p>
        </w:tc>
      </w:tr>
      <w:tr w14:paraId="6586181D" w14:textId="77777777">
        <w:tblPrEx>
          <w:tblW w:w="0" w:type="auto"/>
          <w:tblInd w:w="482" w:type="dxa"/>
          <w:tblLayout w:type="fixed"/>
          <w:tblCellMar>
            <w:left w:w="0" w:type="dxa"/>
            <w:right w:w="0" w:type="dxa"/>
          </w:tblCellMar>
          <w:tblLook w:val="01E0"/>
        </w:tblPrEx>
        <w:trPr>
          <w:trHeight w:val="286"/>
        </w:trPr>
        <w:tc>
          <w:tcPr>
            <w:tcW w:w="6570" w:type="dxa"/>
          </w:tcPr>
          <w:p w:rsidR="003F5784" w14:paraId="272DDE6D" w14:textId="77777777">
            <w:pPr>
              <w:pStyle w:val="TableParagraph"/>
              <w:ind w:left="120"/>
              <w:jc w:val="left"/>
              <w:rPr>
                <w:sz w:val="21"/>
              </w:rPr>
            </w:pPr>
            <w:r>
              <w:rPr>
                <w:spacing w:val="-2"/>
                <w:sz w:val="21"/>
              </w:rPr>
              <w:t>Texas–Fort</w:t>
            </w:r>
            <w:r>
              <w:rPr>
                <w:spacing w:val="-10"/>
                <w:sz w:val="21"/>
              </w:rPr>
              <w:t xml:space="preserve"> </w:t>
            </w:r>
            <w:r>
              <w:rPr>
                <w:spacing w:val="-2"/>
                <w:sz w:val="21"/>
              </w:rPr>
              <w:t>Worth</w:t>
            </w:r>
          </w:p>
        </w:tc>
        <w:tc>
          <w:tcPr>
            <w:tcW w:w="2806" w:type="dxa"/>
          </w:tcPr>
          <w:p w:rsidR="003F5784" w14:paraId="25BAC255" w14:textId="77777777">
            <w:pPr>
              <w:pStyle w:val="TableParagraph"/>
              <w:ind w:right="577"/>
              <w:rPr>
                <w:sz w:val="21"/>
              </w:rPr>
            </w:pPr>
            <w:r>
              <w:rPr>
                <w:spacing w:val="-5"/>
                <w:sz w:val="21"/>
              </w:rPr>
              <w:t>85</w:t>
            </w:r>
          </w:p>
        </w:tc>
        <w:tc>
          <w:tcPr>
            <w:tcW w:w="1722" w:type="dxa"/>
          </w:tcPr>
          <w:p w:rsidR="003F5784" w14:paraId="08BDFC57" w14:textId="77777777">
            <w:pPr>
              <w:pStyle w:val="TableParagraph"/>
              <w:ind w:right="465"/>
              <w:rPr>
                <w:sz w:val="21"/>
              </w:rPr>
            </w:pPr>
            <w:r>
              <w:rPr>
                <w:spacing w:val="-2"/>
                <w:sz w:val="21"/>
              </w:rPr>
              <w:t>6,196</w:t>
            </w:r>
          </w:p>
        </w:tc>
        <w:tc>
          <w:tcPr>
            <w:tcW w:w="1514" w:type="dxa"/>
          </w:tcPr>
          <w:p w:rsidR="003F5784" w14:paraId="7B8657B0" w14:textId="77777777">
            <w:pPr>
              <w:pStyle w:val="TableParagraph"/>
              <w:ind w:right="579"/>
              <w:rPr>
                <w:sz w:val="21"/>
              </w:rPr>
            </w:pPr>
            <w:r>
              <w:rPr>
                <w:spacing w:val="-5"/>
                <w:sz w:val="21"/>
              </w:rPr>
              <w:t>33</w:t>
            </w:r>
          </w:p>
        </w:tc>
        <w:tc>
          <w:tcPr>
            <w:tcW w:w="1377" w:type="dxa"/>
          </w:tcPr>
          <w:p w:rsidR="003F5784" w14:paraId="6BDF0314" w14:textId="77777777">
            <w:pPr>
              <w:pStyle w:val="TableParagraph"/>
              <w:ind w:right="122"/>
              <w:rPr>
                <w:sz w:val="21"/>
              </w:rPr>
            </w:pPr>
            <w:r>
              <w:rPr>
                <w:spacing w:val="-2"/>
                <w:sz w:val="21"/>
              </w:rPr>
              <w:t>6,049</w:t>
            </w:r>
          </w:p>
        </w:tc>
      </w:tr>
      <w:tr w14:paraId="30B94003" w14:textId="77777777">
        <w:tblPrEx>
          <w:tblW w:w="0" w:type="auto"/>
          <w:tblInd w:w="482" w:type="dxa"/>
          <w:tblLayout w:type="fixed"/>
          <w:tblCellMar>
            <w:left w:w="0" w:type="dxa"/>
            <w:right w:w="0" w:type="dxa"/>
          </w:tblCellMar>
          <w:tblLook w:val="01E0"/>
        </w:tblPrEx>
        <w:trPr>
          <w:trHeight w:val="286"/>
        </w:trPr>
        <w:tc>
          <w:tcPr>
            <w:tcW w:w="6570" w:type="dxa"/>
          </w:tcPr>
          <w:p w:rsidR="003F5784" w14:paraId="6458087E" w14:textId="77777777">
            <w:pPr>
              <w:pStyle w:val="TableParagraph"/>
              <w:ind w:left="120"/>
              <w:jc w:val="left"/>
              <w:rPr>
                <w:sz w:val="21"/>
              </w:rPr>
            </w:pPr>
            <w:r>
              <w:rPr>
                <w:spacing w:val="-2"/>
                <w:sz w:val="21"/>
              </w:rPr>
              <w:t>Texas–Houston</w:t>
            </w:r>
          </w:p>
        </w:tc>
        <w:tc>
          <w:tcPr>
            <w:tcW w:w="2806" w:type="dxa"/>
          </w:tcPr>
          <w:p w:rsidR="003F5784" w14:paraId="204AC28F" w14:textId="77777777">
            <w:pPr>
              <w:pStyle w:val="TableParagraph"/>
              <w:ind w:right="577"/>
              <w:rPr>
                <w:sz w:val="21"/>
              </w:rPr>
            </w:pPr>
            <w:r>
              <w:rPr>
                <w:spacing w:val="-5"/>
                <w:sz w:val="21"/>
              </w:rPr>
              <w:t>176</w:t>
            </w:r>
          </w:p>
        </w:tc>
        <w:tc>
          <w:tcPr>
            <w:tcW w:w="1722" w:type="dxa"/>
          </w:tcPr>
          <w:p w:rsidR="003F5784" w14:paraId="6F16BA4B" w14:textId="77777777">
            <w:pPr>
              <w:pStyle w:val="TableParagraph"/>
              <w:ind w:right="465"/>
              <w:rPr>
                <w:sz w:val="21"/>
              </w:rPr>
            </w:pPr>
            <w:r>
              <w:rPr>
                <w:spacing w:val="-2"/>
                <w:sz w:val="21"/>
              </w:rPr>
              <w:t>16,509</w:t>
            </w:r>
          </w:p>
        </w:tc>
        <w:tc>
          <w:tcPr>
            <w:tcW w:w="1514" w:type="dxa"/>
          </w:tcPr>
          <w:p w:rsidR="003F5784" w14:paraId="55F5C0FC" w14:textId="77777777">
            <w:pPr>
              <w:pStyle w:val="TableParagraph"/>
              <w:ind w:right="579"/>
              <w:rPr>
                <w:sz w:val="21"/>
              </w:rPr>
            </w:pPr>
            <w:r>
              <w:rPr>
                <w:spacing w:val="-5"/>
                <w:sz w:val="21"/>
              </w:rPr>
              <w:t>60</w:t>
            </w:r>
          </w:p>
        </w:tc>
        <w:tc>
          <w:tcPr>
            <w:tcW w:w="1377" w:type="dxa"/>
          </w:tcPr>
          <w:p w:rsidR="003F5784" w14:paraId="4FF9798F" w14:textId="77777777">
            <w:pPr>
              <w:pStyle w:val="TableParagraph"/>
              <w:ind w:right="122"/>
              <w:rPr>
                <w:sz w:val="21"/>
              </w:rPr>
            </w:pPr>
            <w:r>
              <w:rPr>
                <w:spacing w:val="-2"/>
                <w:sz w:val="21"/>
              </w:rPr>
              <w:t>13,143</w:t>
            </w:r>
          </w:p>
        </w:tc>
      </w:tr>
      <w:tr w14:paraId="28BC5EB1" w14:textId="77777777">
        <w:tblPrEx>
          <w:tblW w:w="0" w:type="auto"/>
          <w:tblInd w:w="482" w:type="dxa"/>
          <w:tblLayout w:type="fixed"/>
          <w:tblCellMar>
            <w:left w:w="0" w:type="dxa"/>
            <w:right w:w="0" w:type="dxa"/>
          </w:tblCellMar>
          <w:tblLook w:val="01E0"/>
        </w:tblPrEx>
        <w:trPr>
          <w:trHeight w:val="286"/>
        </w:trPr>
        <w:tc>
          <w:tcPr>
            <w:tcW w:w="6570" w:type="dxa"/>
          </w:tcPr>
          <w:p w:rsidR="003F5784" w14:paraId="4DD97D7E" w14:textId="77777777">
            <w:pPr>
              <w:pStyle w:val="TableParagraph"/>
              <w:ind w:left="120"/>
              <w:jc w:val="left"/>
              <w:rPr>
                <w:sz w:val="21"/>
              </w:rPr>
            </w:pPr>
            <w:r>
              <w:rPr>
                <w:spacing w:val="-2"/>
                <w:sz w:val="21"/>
              </w:rPr>
              <w:t>Texas–Balance</w:t>
            </w:r>
          </w:p>
        </w:tc>
        <w:tc>
          <w:tcPr>
            <w:tcW w:w="2806" w:type="dxa"/>
          </w:tcPr>
          <w:p w:rsidR="003F5784" w14:paraId="2BB032C7" w14:textId="77777777">
            <w:pPr>
              <w:pStyle w:val="TableParagraph"/>
              <w:ind w:right="577"/>
              <w:rPr>
                <w:sz w:val="21"/>
              </w:rPr>
            </w:pPr>
            <w:r>
              <w:rPr>
                <w:spacing w:val="-2"/>
                <w:sz w:val="21"/>
              </w:rPr>
              <w:t>4,124</w:t>
            </w:r>
          </w:p>
        </w:tc>
        <w:tc>
          <w:tcPr>
            <w:tcW w:w="1722" w:type="dxa"/>
          </w:tcPr>
          <w:p w:rsidR="003F5784" w14:paraId="2198B444" w14:textId="77777777">
            <w:pPr>
              <w:pStyle w:val="TableParagraph"/>
              <w:ind w:right="465"/>
              <w:rPr>
                <w:sz w:val="21"/>
              </w:rPr>
            </w:pPr>
            <w:r>
              <w:rPr>
                <w:spacing w:val="-2"/>
                <w:sz w:val="21"/>
              </w:rPr>
              <w:t>359,068</w:t>
            </w:r>
          </w:p>
        </w:tc>
        <w:tc>
          <w:tcPr>
            <w:tcW w:w="1514" w:type="dxa"/>
          </w:tcPr>
          <w:p w:rsidR="003F5784" w14:paraId="7A48627A" w14:textId="77777777">
            <w:pPr>
              <w:pStyle w:val="TableParagraph"/>
              <w:ind w:right="579"/>
              <w:rPr>
                <w:sz w:val="21"/>
              </w:rPr>
            </w:pPr>
            <w:r>
              <w:rPr>
                <w:spacing w:val="-2"/>
                <w:sz w:val="21"/>
              </w:rPr>
              <w:t>2,204</w:t>
            </w:r>
          </w:p>
        </w:tc>
        <w:tc>
          <w:tcPr>
            <w:tcW w:w="1377" w:type="dxa"/>
          </w:tcPr>
          <w:p w:rsidR="003F5784" w14:paraId="45F6D0FD" w14:textId="77777777">
            <w:pPr>
              <w:pStyle w:val="TableParagraph"/>
              <w:ind w:right="122"/>
              <w:rPr>
                <w:sz w:val="21"/>
              </w:rPr>
            </w:pPr>
            <w:r>
              <w:rPr>
                <w:spacing w:val="-2"/>
                <w:sz w:val="21"/>
              </w:rPr>
              <w:t>380,080</w:t>
            </w:r>
          </w:p>
        </w:tc>
      </w:tr>
      <w:tr w14:paraId="3B65A054" w14:textId="77777777">
        <w:tblPrEx>
          <w:tblW w:w="0" w:type="auto"/>
          <w:tblInd w:w="482" w:type="dxa"/>
          <w:tblLayout w:type="fixed"/>
          <w:tblCellMar>
            <w:left w:w="0" w:type="dxa"/>
            <w:right w:w="0" w:type="dxa"/>
          </w:tblCellMar>
          <w:tblLook w:val="01E0"/>
        </w:tblPrEx>
        <w:trPr>
          <w:trHeight w:val="286"/>
        </w:trPr>
        <w:tc>
          <w:tcPr>
            <w:tcW w:w="6570" w:type="dxa"/>
          </w:tcPr>
          <w:p w:rsidR="003F5784" w14:paraId="5D896B8A" w14:textId="77777777">
            <w:pPr>
              <w:pStyle w:val="TableParagraph"/>
              <w:ind w:left="120"/>
              <w:jc w:val="left"/>
              <w:rPr>
                <w:sz w:val="21"/>
              </w:rPr>
            </w:pPr>
            <w:r>
              <w:rPr>
                <w:spacing w:val="-4"/>
                <w:sz w:val="21"/>
              </w:rPr>
              <w:t>Utah</w:t>
            </w:r>
          </w:p>
        </w:tc>
        <w:tc>
          <w:tcPr>
            <w:tcW w:w="2806" w:type="dxa"/>
          </w:tcPr>
          <w:p w:rsidR="003F5784" w14:paraId="7BEF72A8" w14:textId="77777777">
            <w:pPr>
              <w:pStyle w:val="TableParagraph"/>
              <w:ind w:right="577"/>
              <w:rPr>
                <w:sz w:val="21"/>
              </w:rPr>
            </w:pPr>
            <w:r>
              <w:rPr>
                <w:spacing w:val="-5"/>
                <w:sz w:val="21"/>
              </w:rPr>
              <w:t>650</w:t>
            </w:r>
          </w:p>
        </w:tc>
        <w:tc>
          <w:tcPr>
            <w:tcW w:w="1722" w:type="dxa"/>
          </w:tcPr>
          <w:p w:rsidR="003F5784" w14:paraId="2C0E9BF5" w14:textId="77777777">
            <w:pPr>
              <w:pStyle w:val="TableParagraph"/>
              <w:ind w:right="465"/>
              <w:rPr>
                <w:sz w:val="21"/>
              </w:rPr>
            </w:pPr>
            <w:r>
              <w:rPr>
                <w:spacing w:val="-2"/>
                <w:sz w:val="21"/>
              </w:rPr>
              <w:t>51,190</w:t>
            </w:r>
          </w:p>
        </w:tc>
        <w:tc>
          <w:tcPr>
            <w:tcW w:w="1514" w:type="dxa"/>
          </w:tcPr>
          <w:p w:rsidR="003F5784" w14:paraId="4781C279" w14:textId="77777777">
            <w:pPr>
              <w:pStyle w:val="TableParagraph"/>
              <w:ind w:right="579"/>
              <w:rPr>
                <w:sz w:val="21"/>
              </w:rPr>
            </w:pPr>
            <w:r>
              <w:rPr>
                <w:spacing w:val="-5"/>
                <w:sz w:val="21"/>
              </w:rPr>
              <w:t>275</w:t>
            </w:r>
          </w:p>
        </w:tc>
        <w:tc>
          <w:tcPr>
            <w:tcW w:w="1377" w:type="dxa"/>
          </w:tcPr>
          <w:p w:rsidR="003F5784" w14:paraId="580E65D6" w14:textId="77777777">
            <w:pPr>
              <w:pStyle w:val="TableParagraph"/>
              <w:ind w:right="122"/>
              <w:rPr>
                <w:sz w:val="21"/>
              </w:rPr>
            </w:pPr>
            <w:r>
              <w:rPr>
                <w:spacing w:val="-2"/>
                <w:sz w:val="21"/>
              </w:rPr>
              <w:t>53,345</w:t>
            </w:r>
          </w:p>
        </w:tc>
      </w:tr>
      <w:tr w14:paraId="276EEA85" w14:textId="77777777">
        <w:tblPrEx>
          <w:tblW w:w="0" w:type="auto"/>
          <w:tblInd w:w="482" w:type="dxa"/>
          <w:tblLayout w:type="fixed"/>
          <w:tblCellMar>
            <w:left w:w="0" w:type="dxa"/>
            <w:right w:w="0" w:type="dxa"/>
          </w:tblCellMar>
          <w:tblLook w:val="01E0"/>
        </w:tblPrEx>
        <w:trPr>
          <w:trHeight w:val="286"/>
        </w:trPr>
        <w:tc>
          <w:tcPr>
            <w:tcW w:w="6570" w:type="dxa"/>
          </w:tcPr>
          <w:p w:rsidR="003F5784" w14:paraId="44C48B56" w14:textId="77777777">
            <w:pPr>
              <w:pStyle w:val="TableParagraph"/>
              <w:ind w:left="120"/>
              <w:jc w:val="left"/>
              <w:rPr>
                <w:sz w:val="21"/>
              </w:rPr>
            </w:pPr>
            <w:r>
              <w:rPr>
                <w:spacing w:val="-2"/>
                <w:sz w:val="21"/>
              </w:rPr>
              <w:t>Vermont</w:t>
            </w:r>
          </w:p>
        </w:tc>
        <w:tc>
          <w:tcPr>
            <w:tcW w:w="2806" w:type="dxa"/>
          </w:tcPr>
          <w:p w:rsidR="003F5784" w14:paraId="43222D65" w14:textId="77777777">
            <w:pPr>
              <w:pStyle w:val="TableParagraph"/>
              <w:ind w:right="577"/>
              <w:rPr>
                <w:sz w:val="21"/>
              </w:rPr>
            </w:pPr>
            <w:r>
              <w:rPr>
                <w:spacing w:val="-5"/>
                <w:sz w:val="21"/>
              </w:rPr>
              <w:t>208</w:t>
            </w:r>
          </w:p>
        </w:tc>
        <w:tc>
          <w:tcPr>
            <w:tcW w:w="1722" w:type="dxa"/>
          </w:tcPr>
          <w:p w:rsidR="003F5784" w14:paraId="11345CA7" w14:textId="77777777">
            <w:pPr>
              <w:pStyle w:val="TableParagraph"/>
              <w:ind w:right="465"/>
              <w:rPr>
                <w:sz w:val="21"/>
              </w:rPr>
            </w:pPr>
            <w:r>
              <w:rPr>
                <w:spacing w:val="-2"/>
                <w:sz w:val="21"/>
              </w:rPr>
              <w:t>5,916</w:t>
            </w:r>
          </w:p>
        </w:tc>
        <w:tc>
          <w:tcPr>
            <w:tcW w:w="1514" w:type="dxa"/>
          </w:tcPr>
          <w:p w:rsidR="003F5784" w14:paraId="20D327CB" w14:textId="77777777">
            <w:pPr>
              <w:pStyle w:val="TableParagraph"/>
              <w:ind w:right="579"/>
              <w:rPr>
                <w:sz w:val="21"/>
              </w:rPr>
            </w:pPr>
            <w:r>
              <w:rPr>
                <w:spacing w:val="-5"/>
                <w:sz w:val="21"/>
              </w:rPr>
              <w:t>116</w:t>
            </w:r>
          </w:p>
        </w:tc>
        <w:tc>
          <w:tcPr>
            <w:tcW w:w="1377" w:type="dxa"/>
          </w:tcPr>
          <w:p w:rsidR="003F5784" w14:paraId="5FAA6844" w14:textId="77777777">
            <w:pPr>
              <w:pStyle w:val="TableParagraph"/>
              <w:ind w:right="122"/>
              <w:rPr>
                <w:sz w:val="21"/>
              </w:rPr>
            </w:pPr>
            <w:r>
              <w:rPr>
                <w:spacing w:val="-2"/>
                <w:sz w:val="21"/>
              </w:rPr>
              <w:t>5,867</w:t>
            </w:r>
          </w:p>
        </w:tc>
      </w:tr>
      <w:tr w14:paraId="10DDB940" w14:textId="77777777">
        <w:tblPrEx>
          <w:tblW w:w="0" w:type="auto"/>
          <w:tblInd w:w="482" w:type="dxa"/>
          <w:tblLayout w:type="fixed"/>
          <w:tblCellMar>
            <w:left w:w="0" w:type="dxa"/>
            <w:right w:w="0" w:type="dxa"/>
          </w:tblCellMar>
          <w:tblLook w:val="01E0"/>
        </w:tblPrEx>
        <w:trPr>
          <w:trHeight w:val="286"/>
        </w:trPr>
        <w:tc>
          <w:tcPr>
            <w:tcW w:w="6570" w:type="dxa"/>
          </w:tcPr>
          <w:p w:rsidR="003F5784" w14:paraId="6527C6C8" w14:textId="77777777">
            <w:pPr>
              <w:pStyle w:val="TableParagraph"/>
              <w:ind w:left="120"/>
              <w:jc w:val="left"/>
              <w:rPr>
                <w:sz w:val="21"/>
              </w:rPr>
            </w:pPr>
            <w:r>
              <w:rPr>
                <w:spacing w:val="-2"/>
                <w:sz w:val="21"/>
              </w:rPr>
              <w:t>Virginia</w:t>
            </w:r>
          </w:p>
        </w:tc>
        <w:tc>
          <w:tcPr>
            <w:tcW w:w="2806" w:type="dxa"/>
          </w:tcPr>
          <w:p w:rsidR="003F5784" w14:paraId="4201D806" w14:textId="77777777">
            <w:pPr>
              <w:pStyle w:val="TableParagraph"/>
              <w:ind w:right="577"/>
              <w:rPr>
                <w:sz w:val="21"/>
              </w:rPr>
            </w:pPr>
            <w:r>
              <w:rPr>
                <w:spacing w:val="-2"/>
                <w:sz w:val="21"/>
              </w:rPr>
              <w:t>1,110</w:t>
            </w:r>
          </w:p>
        </w:tc>
        <w:tc>
          <w:tcPr>
            <w:tcW w:w="1722" w:type="dxa"/>
          </w:tcPr>
          <w:p w:rsidR="003F5784" w14:paraId="5BC93133" w14:textId="77777777">
            <w:pPr>
              <w:pStyle w:val="TableParagraph"/>
              <w:ind w:right="465"/>
              <w:rPr>
                <w:sz w:val="21"/>
              </w:rPr>
            </w:pPr>
            <w:r>
              <w:rPr>
                <w:spacing w:val="-2"/>
                <w:sz w:val="21"/>
              </w:rPr>
              <w:t>96,163</w:t>
            </w:r>
          </w:p>
        </w:tc>
        <w:tc>
          <w:tcPr>
            <w:tcW w:w="1514" w:type="dxa"/>
          </w:tcPr>
          <w:p w:rsidR="003F5784" w14:paraId="50715542" w14:textId="77777777">
            <w:pPr>
              <w:pStyle w:val="TableParagraph"/>
              <w:ind w:right="579"/>
              <w:rPr>
                <w:sz w:val="21"/>
              </w:rPr>
            </w:pPr>
            <w:r>
              <w:rPr>
                <w:spacing w:val="-5"/>
                <w:sz w:val="21"/>
              </w:rPr>
              <w:t>383</w:t>
            </w:r>
          </w:p>
        </w:tc>
        <w:tc>
          <w:tcPr>
            <w:tcW w:w="1377" w:type="dxa"/>
          </w:tcPr>
          <w:p w:rsidR="003F5784" w14:paraId="26E095C0" w14:textId="77777777">
            <w:pPr>
              <w:pStyle w:val="TableParagraph"/>
              <w:ind w:right="122"/>
              <w:rPr>
                <w:sz w:val="21"/>
              </w:rPr>
            </w:pPr>
            <w:r>
              <w:rPr>
                <w:spacing w:val="-2"/>
                <w:sz w:val="21"/>
              </w:rPr>
              <w:t>99,765</w:t>
            </w:r>
          </w:p>
        </w:tc>
      </w:tr>
      <w:tr w14:paraId="4279D7BA" w14:textId="77777777">
        <w:tblPrEx>
          <w:tblW w:w="0" w:type="auto"/>
          <w:tblInd w:w="482" w:type="dxa"/>
          <w:tblLayout w:type="fixed"/>
          <w:tblCellMar>
            <w:left w:w="0" w:type="dxa"/>
            <w:right w:w="0" w:type="dxa"/>
          </w:tblCellMar>
          <w:tblLook w:val="01E0"/>
        </w:tblPrEx>
        <w:trPr>
          <w:trHeight w:val="286"/>
        </w:trPr>
        <w:tc>
          <w:tcPr>
            <w:tcW w:w="6570" w:type="dxa"/>
          </w:tcPr>
          <w:p w:rsidR="003F5784" w14:paraId="25187F34" w14:textId="77777777">
            <w:pPr>
              <w:pStyle w:val="TableParagraph"/>
              <w:ind w:left="120"/>
              <w:jc w:val="left"/>
              <w:rPr>
                <w:sz w:val="21"/>
              </w:rPr>
            </w:pPr>
            <w:r>
              <w:rPr>
                <w:spacing w:val="-2"/>
                <w:sz w:val="21"/>
              </w:rPr>
              <w:t>Washington</w:t>
            </w:r>
          </w:p>
        </w:tc>
        <w:tc>
          <w:tcPr>
            <w:tcW w:w="2806" w:type="dxa"/>
          </w:tcPr>
          <w:p w:rsidR="003F5784" w14:paraId="37D4B526" w14:textId="77777777">
            <w:pPr>
              <w:pStyle w:val="TableParagraph"/>
              <w:ind w:right="577"/>
              <w:rPr>
                <w:sz w:val="21"/>
              </w:rPr>
            </w:pPr>
            <w:r>
              <w:rPr>
                <w:spacing w:val="-2"/>
                <w:sz w:val="21"/>
              </w:rPr>
              <w:t>1,256</w:t>
            </w:r>
          </w:p>
        </w:tc>
        <w:tc>
          <w:tcPr>
            <w:tcW w:w="1722" w:type="dxa"/>
          </w:tcPr>
          <w:p w:rsidR="003F5784" w14:paraId="763642AD" w14:textId="77777777">
            <w:pPr>
              <w:pStyle w:val="TableParagraph"/>
              <w:ind w:right="465"/>
              <w:rPr>
                <w:sz w:val="21"/>
              </w:rPr>
            </w:pPr>
            <w:r>
              <w:rPr>
                <w:spacing w:val="-2"/>
                <w:sz w:val="21"/>
              </w:rPr>
              <w:t>84,888</w:t>
            </w:r>
          </w:p>
        </w:tc>
        <w:tc>
          <w:tcPr>
            <w:tcW w:w="1514" w:type="dxa"/>
          </w:tcPr>
          <w:p w:rsidR="003F5784" w14:paraId="1AA8D8D1" w14:textId="77777777">
            <w:pPr>
              <w:pStyle w:val="TableParagraph"/>
              <w:ind w:right="579"/>
              <w:rPr>
                <w:sz w:val="21"/>
              </w:rPr>
            </w:pPr>
            <w:r>
              <w:rPr>
                <w:spacing w:val="-5"/>
                <w:sz w:val="21"/>
              </w:rPr>
              <w:t>631</w:t>
            </w:r>
          </w:p>
        </w:tc>
        <w:tc>
          <w:tcPr>
            <w:tcW w:w="1377" w:type="dxa"/>
          </w:tcPr>
          <w:p w:rsidR="003F5784" w14:paraId="5A92880A" w14:textId="77777777">
            <w:pPr>
              <w:pStyle w:val="TableParagraph"/>
              <w:ind w:right="122"/>
              <w:rPr>
                <w:sz w:val="21"/>
              </w:rPr>
            </w:pPr>
            <w:r>
              <w:rPr>
                <w:spacing w:val="-2"/>
                <w:sz w:val="21"/>
              </w:rPr>
              <w:t>86,202</w:t>
            </w:r>
          </w:p>
        </w:tc>
      </w:tr>
      <w:tr w14:paraId="51D92AEF" w14:textId="77777777">
        <w:tblPrEx>
          <w:tblW w:w="0" w:type="auto"/>
          <w:tblInd w:w="482" w:type="dxa"/>
          <w:tblLayout w:type="fixed"/>
          <w:tblCellMar>
            <w:left w:w="0" w:type="dxa"/>
            <w:right w:w="0" w:type="dxa"/>
          </w:tblCellMar>
          <w:tblLook w:val="01E0"/>
        </w:tblPrEx>
        <w:trPr>
          <w:trHeight w:val="286"/>
        </w:trPr>
        <w:tc>
          <w:tcPr>
            <w:tcW w:w="6570" w:type="dxa"/>
          </w:tcPr>
          <w:p w:rsidR="003F5784" w14:paraId="5755CA38" w14:textId="77777777">
            <w:pPr>
              <w:pStyle w:val="TableParagraph"/>
              <w:ind w:left="120"/>
              <w:jc w:val="left"/>
              <w:rPr>
                <w:sz w:val="21"/>
              </w:rPr>
            </w:pPr>
            <w:r>
              <w:rPr>
                <w:spacing w:val="-5"/>
                <w:sz w:val="21"/>
              </w:rPr>
              <w:t>West</w:t>
            </w:r>
            <w:r>
              <w:rPr>
                <w:spacing w:val="-7"/>
                <w:sz w:val="21"/>
              </w:rPr>
              <w:t xml:space="preserve"> </w:t>
            </w:r>
            <w:r>
              <w:rPr>
                <w:spacing w:val="-2"/>
                <w:sz w:val="21"/>
              </w:rPr>
              <w:t>Virginia</w:t>
            </w:r>
          </w:p>
        </w:tc>
        <w:tc>
          <w:tcPr>
            <w:tcW w:w="2806" w:type="dxa"/>
          </w:tcPr>
          <w:p w:rsidR="003F5784" w14:paraId="113BA368" w14:textId="77777777">
            <w:pPr>
              <w:pStyle w:val="TableParagraph"/>
              <w:ind w:right="577"/>
              <w:rPr>
                <w:sz w:val="21"/>
              </w:rPr>
            </w:pPr>
            <w:r>
              <w:rPr>
                <w:spacing w:val="-5"/>
                <w:sz w:val="21"/>
              </w:rPr>
              <w:t>387</w:t>
            </w:r>
          </w:p>
        </w:tc>
        <w:tc>
          <w:tcPr>
            <w:tcW w:w="1722" w:type="dxa"/>
          </w:tcPr>
          <w:p w:rsidR="003F5784" w14:paraId="37F89730" w14:textId="77777777">
            <w:pPr>
              <w:pStyle w:val="TableParagraph"/>
              <w:ind w:right="465"/>
              <w:rPr>
                <w:sz w:val="21"/>
              </w:rPr>
            </w:pPr>
            <w:r>
              <w:rPr>
                <w:spacing w:val="-2"/>
                <w:sz w:val="21"/>
              </w:rPr>
              <w:t>19,055</w:t>
            </w:r>
          </w:p>
        </w:tc>
        <w:tc>
          <w:tcPr>
            <w:tcW w:w="1514" w:type="dxa"/>
          </w:tcPr>
          <w:p w:rsidR="003F5784" w14:paraId="56CCCE13" w14:textId="77777777">
            <w:pPr>
              <w:pStyle w:val="TableParagraph"/>
              <w:ind w:right="579"/>
              <w:rPr>
                <w:sz w:val="21"/>
              </w:rPr>
            </w:pPr>
            <w:r>
              <w:rPr>
                <w:spacing w:val="-5"/>
                <w:sz w:val="21"/>
              </w:rPr>
              <w:t>180</w:t>
            </w:r>
          </w:p>
        </w:tc>
        <w:tc>
          <w:tcPr>
            <w:tcW w:w="1377" w:type="dxa"/>
          </w:tcPr>
          <w:p w:rsidR="003F5784" w14:paraId="0A0A8D3E" w14:textId="77777777">
            <w:pPr>
              <w:pStyle w:val="TableParagraph"/>
              <w:ind w:right="122"/>
              <w:rPr>
                <w:sz w:val="21"/>
              </w:rPr>
            </w:pPr>
            <w:r>
              <w:rPr>
                <w:spacing w:val="-2"/>
                <w:sz w:val="21"/>
              </w:rPr>
              <w:t>19,653</w:t>
            </w:r>
          </w:p>
        </w:tc>
      </w:tr>
      <w:tr w14:paraId="51AC8E61" w14:textId="77777777">
        <w:tblPrEx>
          <w:tblW w:w="0" w:type="auto"/>
          <w:tblInd w:w="482" w:type="dxa"/>
          <w:tblLayout w:type="fixed"/>
          <w:tblCellMar>
            <w:left w:w="0" w:type="dxa"/>
            <w:right w:w="0" w:type="dxa"/>
          </w:tblCellMar>
          <w:tblLook w:val="01E0"/>
        </w:tblPrEx>
        <w:trPr>
          <w:trHeight w:val="286"/>
        </w:trPr>
        <w:tc>
          <w:tcPr>
            <w:tcW w:w="6570" w:type="dxa"/>
          </w:tcPr>
          <w:p w:rsidR="003F5784" w14:paraId="1351017F" w14:textId="77777777">
            <w:pPr>
              <w:pStyle w:val="TableParagraph"/>
              <w:ind w:left="120"/>
              <w:jc w:val="left"/>
              <w:rPr>
                <w:sz w:val="21"/>
              </w:rPr>
            </w:pPr>
            <w:r>
              <w:rPr>
                <w:spacing w:val="-2"/>
                <w:sz w:val="21"/>
              </w:rPr>
              <w:t>Wisconsin–Milwaukee</w:t>
            </w:r>
          </w:p>
        </w:tc>
        <w:tc>
          <w:tcPr>
            <w:tcW w:w="2806" w:type="dxa"/>
          </w:tcPr>
          <w:p w:rsidR="003F5784" w14:paraId="25B3237B" w14:textId="77777777">
            <w:pPr>
              <w:pStyle w:val="TableParagraph"/>
              <w:ind w:right="577"/>
              <w:rPr>
                <w:sz w:val="21"/>
              </w:rPr>
            </w:pPr>
            <w:r>
              <w:rPr>
                <w:spacing w:val="-5"/>
                <w:sz w:val="21"/>
              </w:rPr>
              <w:t>112</w:t>
            </w:r>
          </w:p>
        </w:tc>
        <w:tc>
          <w:tcPr>
            <w:tcW w:w="1722" w:type="dxa"/>
          </w:tcPr>
          <w:p w:rsidR="003F5784" w14:paraId="6464DDF4" w14:textId="77777777">
            <w:pPr>
              <w:pStyle w:val="TableParagraph"/>
              <w:ind w:right="465"/>
              <w:rPr>
                <w:sz w:val="21"/>
              </w:rPr>
            </w:pPr>
            <w:r>
              <w:rPr>
                <w:spacing w:val="-2"/>
                <w:sz w:val="21"/>
              </w:rPr>
              <w:t>5,563</w:t>
            </w:r>
          </w:p>
        </w:tc>
        <w:tc>
          <w:tcPr>
            <w:tcW w:w="1514" w:type="dxa"/>
          </w:tcPr>
          <w:p w:rsidR="003F5784" w14:paraId="0CA3C34B" w14:textId="77777777">
            <w:pPr>
              <w:pStyle w:val="TableParagraph"/>
              <w:ind w:right="579"/>
              <w:rPr>
                <w:sz w:val="21"/>
              </w:rPr>
            </w:pPr>
            <w:r>
              <w:rPr>
                <w:spacing w:val="-5"/>
                <w:sz w:val="21"/>
              </w:rPr>
              <w:t>79</w:t>
            </w:r>
          </w:p>
        </w:tc>
        <w:tc>
          <w:tcPr>
            <w:tcW w:w="1377" w:type="dxa"/>
          </w:tcPr>
          <w:p w:rsidR="003F5784" w14:paraId="0187CC12" w14:textId="77777777">
            <w:pPr>
              <w:pStyle w:val="TableParagraph"/>
              <w:ind w:right="122"/>
              <w:rPr>
                <w:sz w:val="21"/>
              </w:rPr>
            </w:pPr>
            <w:r>
              <w:rPr>
                <w:spacing w:val="-2"/>
                <w:sz w:val="21"/>
              </w:rPr>
              <w:t>4,964</w:t>
            </w:r>
          </w:p>
        </w:tc>
      </w:tr>
      <w:tr w14:paraId="32705F5C" w14:textId="77777777">
        <w:tblPrEx>
          <w:tblW w:w="0" w:type="auto"/>
          <w:tblInd w:w="482" w:type="dxa"/>
          <w:tblLayout w:type="fixed"/>
          <w:tblCellMar>
            <w:left w:w="0" w:type="dxa"/>
            <w:right w:w="0" w:type="dxa"/>
          </w:tblCellMar>
          <w:tblLook w:val="01E0"/>
        </w:tblPrEx>
        <w:trPr>
          <w:trHeight w:val="286"/>
        </w:trPr>
        <w:tc>
          <w:tcPr>
            <w:tcW w:w="6570" w:type="dxa"/>
          </w:tcPr>
          <w:p w:rsidR="003F5784" w14:paraId="63DEEFC9" w14:textId="77777777">
            <w:pPr>
              <w:pStyle w:val="TableParagraph"/>
              <w:ind w:left="120"/>
              <w:jc w:val="left"/>
              <w:rPr>
                <w:sz w:val="21"/>
              </w:rPr>
            </w:pPr>
            <w:r>
              <w:rPr>
                <w:spacing w:val="-2"/>
                <w:sz w:val="21"/>
              </w:rPr>
              <w:t>Wisconsin–Balance</w:t>
            </w:r>
          </w:p>
        </w:tc>
        <w:tc>
          <w:tcPr>
            <w:tcW w:w="2806" w:type="dxa"/>
          </w:tcPr>
          <w:p w:rsidR="003F5784" w14:paraId="7AA1E16F" w14:textId="77777777">
            <w:pPr>
              <w:pStyle w:val="TableParagraph"/>
              <w:ind w:right="577"/>
              <w:rPr>
                <w:sz w:val="21"/>
              </w:rPr>
            </w:pPr>
            <w:r>
              <w:rPr>
                <w:spacing w:val="-5"/>
                <w:sz w:val="21"/>
              </w:rPr>
              <w:t>969</w:t>
            </w:r>
          </w:p>
        </w:tc>
        <w:tc>
          <w:tcPr>
            <w:tcW w:w="1722" w:type="dxa"/>
          </w:tcPr>
          <w:p w:rsidR="003F5784" w14:paraId="2F526359" w14:textId="77777777">
            <w:pPr>
              <w:pStyle w:val="TableParagraph"/>
              <w:ind w:right="465"/>
              <w:rPr>
                <w:sz w:val="21"/>
              </w:rPr>
            </w:pPr>
            <w:r>
              <w:rPr>
                <w:spacing w:val="-2"/>
                <w:sz w:val="21"/>
              </w:rPr>
              <w:t>53,828</w:t>
            </w:r>
          </w:p>
        </w:tc>
        <w:tc>
          <w:tcPr>
            <w:tcW w:w="1514" w:type="dxa"/>
          </w:tcPr>
          <w:p w:rsidR="003F5784" w14:paraId="06BA2946" w14:textId="77777777">
            <w:pPr>
              <w:pStyle w:val="TableParagraph"/>
              <w:ind w:right="579"/>
              <w:rPr>
                <w:sz w:val="21"/>
              </w:rPr>
            </w:pPr>
            <w:r>
              <w:rPr>
                <w:spacing w:val="-5"/>
                <w:sz w:val="21"/>
              </w:rPr>
              <w:t>568</w:t>
            </w:r>
          </w:p>
        </w:tc>
        <w:tc>
          <w:tcPr>
            <w:tcW w:w="1377" w:type="dxa"/>
          </w:tcPr>
          <w:p w:rsidR="003F5784" w14:paraId="2ECE1109" w14:textId="77777777">
            <w:pPr>
              <w:pStyle w:val="TableParagraph"/>
              <w:ind w:right="122"/>
              <w:rPr>
                <w:sz w:val="21"/>
              </w:rPr>
            </w:pPr>
            <w:r>
              <w:rPr>
                <w:spacing w:val="-2"/>
                <w:sz w:val="21"/>
              </w:rPr>
              <w:t>56,942</w:t>
            </w:r>
          </w:p>
        </w:tc>
      </w:tr>
      <w:tr w14:paraId="569FA96F" w14:textId="77777777">
        <w:tblPrEx>
          <w:tblW w:w="0" w:type="auto"/>
          <w:tblInd w:w="482" w:type="dxa"/>
          <w:tblLayout w:type="fixed"/>
          <w:tblCellMar>
            <w:left w:w="0" w:type="dxa"/>
            <w:right w:w="0" w:type="dxa"/>
          </w:tblCellMar>
          <w:tblLook w:val="01E0"/>
        </w:tblPrEx>
        <w:trPr>
          <w:trHeight w:val="286"/>
        </w:trPr>
        <w:tc>
          <w:tcPr>
            <w:tcW w:w="6570" w:type="dxa"/>
          </w:tcPr>
          <w:p w:rsidR="003F5784" w14:paraId="1C072524" w14:textId="77777777">
            <w:pPr>
              <w:pStyle w:val="TableParagraph"/>
              <w:ind w:left="120"/>
              <w:jc w:val="left"/>
              <w:rPr>
                <w:sz w:val="21"/>
              </w:rPr>
            </w:pPr>
            <w:r>
              <w:rPr>
                <w:spacing w:val="-2"/>
                <w:sz w:val="21"/>
              </w:rPr>
              <w:t>Wyoming</w:t>
            </w:r>
          </w:p>
        </w:tc>
        <w:tc>
          <w:tcPr>
            <w:tcW w:w="2806" w:type="dxa"/>
          </w:tcPr>
          <w:p w:rsidR="003F5784" w14:paraId="59288BF3" w14:textId="77777777">
            <w:pPr>
              <w:pStyle w:val="TableParagraph"/>
              <w:ind w:right="577"/>
              <w:rPr>
                <w:sz w:val="21"/>
              </w:rPr>
            </w:pPr>
            <w:r>
              <w:rPr>
                <w:spacing w:val="-5"/>
                <w:sz w:val="21"/>
              </w:rPr>
              <w:t>187</w:t>
            </w:r>
          </w:p>
        </w:tc>
        <w:tc>
          <w:tcPr>
            <w:tcW w:w="1722" w:type="dxa"/>
          </w:tcPr>
          <w:p w:rsidR="003F5784" w14:paraId="038DDA20" w14:textId="77777777">
            <w:pPr>
              <w:pStyle w:val="TableParagraph"/>
              <w:ind w:right="465"/>
              <w:rPr>
                <w:sz w:val="21"/>
              </w:rPr>
            </w:pPr>
            <w:r>
              <w:rPr>
                <w:spacing w:val="-2"/>
                <w:sz w:val="21"/>
              </w:rPr>
              <w:t>7,286</w:t>
            </w:r>
          </w:p>
        </w:tc>
        <w:tc>
          <w:tcPr>
            <w:tcW w:w="1514" w:type="dxa"/>
          </w:tcPr>
          <w:p w:rsidR="003F5784" w14:paraId="73F59FDD" w14:textId="77777777">
            <w:pPr>
              <w:pStyle w:val="TableParagraph"/>
              <w:ind w:right="579"/>
              <w:rPr>
                <w:sz w:val="21"/>
              </w:rPr>
            </w:pPr>
            <w:r>
              <w:rPr>
                <w:spacing w:val="-5"/>
                <w:sz w:val="21"/>
              </w:rPr>
              <w:t>91</w:t>
            </w:r>
          </w:p>
        </w:tc>
        <w:tc>
          <w:tcPr>
            <w:tcW w:w="1377" w:type="dxa"/>
          </w:tcPr>
          <w:p w:rsidR="003F5784" w14:paraId="3102E1DD" w14:textId="77777777">
            <w:pPr>
              <w:pStyle w:val="TableParagraph"/>
              <w:ind w:right="122"/>
              <w:rPr>
                <w:sz w:val="21"/>
              </w:rPr>
            </w:pPr>
            <w:r>
              <w:rPr>
                <w:spacing w:val="-2"/>
                <w:sz w:val="21"/>
              </w:rPr>
              <w:t>7,664</w:t>
            </w:r>
          </w:p>
        </w:tc>
      </w:tr>
      <w:tr w14:paraId="51E9DC0E" w14:textId="77777777">
        <w:tblPrEx>
          <w:tblW w:w="0" w:type="auto"/>
          <w:tblInd w:w="482" w:type="dxa"/>
          <w:tblLayout w:type="fixed"/>
          <w:tblCellMar>
            <w:left w:w="0" w:type="dxa"/>
            <w:right w:w="0" w:type="dxa"/>
          </w:tblCellMar>
          <w:tblLook w:val="01E0"/>
        </w:tblPrEx>
        <w:trPr>
          <w:trHeight w:val="286"/>
        </w:trPr>
        <w:tc>
          <w:tcPr>
            <w:tcW w:w="13989" w:type="dxa"/>
            <w:gridSpan w:val="5"/>
          </w:tcPr>
          <w:p w:rsidR="003F5784" w14:paraId="4633F279" w14:textId="77777777">
            <w:pPr>
              <w:pStyle w:val="TableParagraph"/>
              <w:ind w:left="120"/>
              <w:jc w:val="left"/>
              <w:rPr>
                <w:sz w:val="21"/>
              </w:rPr>
            </w:pPr>
            <w:r>
              <w:rPr>
                <w:sz w:val="21"/>
              </w:rPr>
              <w:t>Other</w:t>
            </w:r>
            <w:r>
              <w:rPr>
                <w:spacing w:val="-6"/>
                <w:sz w:val="21"/>
              </w:rPr>
              <w:t xml:space="preserve"> </w:t>
            </w:r>
            <w:r>
              <w:rPr>
                <w:spacing w:val="-2"/>
                <w:sz w:val="21"/>
              </w:rPr>
              <w:t>jurisdictions</w:t>
            </w:r>
          </w:p>
        </w:tc>
      </w:tr>
      <w:tr w14:paraId="28D58509" w14:textId="77777777">
        <w:tblPrEx>
          <w:tblW w:w="0" w:type="auto"/>
          <w:tblInd w:w="482" w:type="dxa"/>
          <w:tblLayout w:type="fixed"/>
          <w:tblCellMar>
            <w:left w:w="0" w:type="dxa"/>
            <w:right w:w="0" w:type="dxa"/>
          </w:tblCellMar>
          <w:tblLook w:val="01E0"/>
        </w:tblPrEx>
        <w:trPr>
          <w:trHeight w:val="286"/>
        </w:trPr>
        <w:tc>
          <w:tcPr>
            <w:tcW w:w="6570" w:type="dxa"/>
          </w:tcPr>
          <w:p w:rsidR="003F5784" w14:paraId="13ABE599" w14:textId="77777777">
            <w:pPr>
              <w:pStyle w:val="TableParagraph"/>
              <w:ind w:left="370"/>
              <w:jc w:val="left"/>
              <w:rPr>
                <w:sz w:val="21"/>
              </w:rPr>
            </w:pPr>
            <w:r>
              <w:rPr>
                <w:sz w:val="21"/>
              </w:rPr>
              <w:t>Bureau</w:t>
            </w:r>
            <w:r>
              <w:rPr>
                <w:spacing w:val="-7"/>
                <w:sz w:val="21"/>
              </w:rPr>
              <w:t xml:space="preserve"> </w:t>
            </w:r>
            <w:r>
              <w:rPr>
                <w:sz w:val="21"/>
              </w:rPr>
              <w:t>of</w:t>
            </w:r>
            <w:r>
              <w:rPr>
                <w:spacing w:val="-6"/>
                <w:sz w:val="21"/>
              </w:rPr>
              <w:t xml:space="preserve"> </w:t>
            </w:r>
            <w:r>
              <w:rPr>
                <w:sz w:val="21"/>
              </w:rPr>
              <w:t>Indian</w:t>
            </w:r>
            <w:r>
              <w:rPr>
                <w:spacing w:val="-7"/>
                <w:sz w:val="21"/>
              </w:rPr>
              <w:t xml:space="preserve"> </w:t>
            </w:r>
            <w:r>
              <w:rPr>
                <w:sz w:val="21"/>
              </w:rPr>
              <w:t>Education</w:t>
            </w:r>
            <w:r>
              <w:rPr>
                <w:spacing w:val="-6"/>
                <w:sz w:val="21"/>
              </w:rPr>
              <w:t xml:space="preserve"> </w:t>
            </w:r>
            <w:r>
              <w:rPr>
                <w:spacing w:val="-2"/>
                <w:sz w:val="21"/>
              </w:rPr>
              <w:t>(BIE)</w:t>
            </w:r>
          </w:p>
        </w:tc>
        <w:tc>
          <w:tcPr>
            <w:tcW w:w="2806" w:type="dxa"/>
          </w:tcPr>
          <w:p w:rsidR="003F5784" w14:paraId="4493D042" w14:textId="77777777">
            <w:pPr>
              <w:pStyle w:val="TableParagraph"/>
              <w:ind w:right="577"/>
              <w:rPr>
                <w:sz w:val="21"/>
              </w:rPr>
            </w:pPr>
            <w:r>
              <w:rPr>
                <w:spacing w:val="-5"/>
                <w:sz w:val="21"/>
              </w:rPr>
              <w:t>136</w:t>
            </w:r>
          </w:p>
        </w:tc>
        <w:tc>
          <w:tcPr>
            <w:tcW w:w="1722" w:type="dxa"/>
          </w:tcPr>
          <w:p w:rsidR="003F5784" w14:paraId="75A95E39" w14:textId="77777777">
            <w:pPr>
              <w:pStyle w:val="TableParagraph"/>
              <w:ind w:right="465"/>
              <w:rPr>
                <w:sz w:val="21"/>
              </w:rPr>
            </w:pPr>
            <w:r>
              <w:rPr>
                <w:spacing w:val="-2"/>
                <w:sz w:val="21"/>
              </w:rPr>
              <w:t>3,066</w:t>
            </w:r>
          </w:p>
        </w:tc>
        <w:tc>
          <w:tcPr>
            <w:tcW w:w="1514" w:type="dxa"/>
          </w:tcPr>
          <w:p w:rsidR="003F5784" w14:paraId="7D90A046" w14:textId="77777777">
            <w:pPr>
              <w:pStyle w:val="TableParagraph"/>
              <w:ind w:right="579"/>
              <w:rPr>
                <w:sz w:val="21"/>
              </w:rPr>
            </w:pPr>
            <w:r>
              <w:rPr>
                <w:spacing w:val="-5"/>
                <w:sz w:val="21"/>
              </w:rPr>
              <w:t>110</w:t>
            </w:r>
          </w:p>
        </w:tc>
        <w:tc>
          <w:tcPr>
            <w:tcW w:w="1377" w:type="dxa"/>
          </w:tcPr>
          <w:p w:rsidR="003F5784" w14:paraId="3061891A" w14:textId="77777777">
            <w:pPr>
              <w:pStyle w:val="TableParagraph"/>
              <w:ind w:right="122"/>
              <w:rPr>
                <w:sz w:val="21"/>
              </w:rPr>
            </w:pPr>
            <w:r>
              <w:rPr>
                <w:spacing w:val="-2"/>
                <w:sz w:val="21"/>
              </w:rPr>
              <w:t>2,742</w:t>
            </w:r>
          </w:p>
        </w:tc>
      </w:tr>
      <w:tr w14:paraId="357198B4" w14:textId="77777777">
        <w:tblPrEx>
          <w:tblW w:w="0" w:type="auto"/>
          <w:tblInd w:w="482" w:type="dxa"/>
          <w:tblLayout w:type="fixed"/>
          <w:tblCellMar>
            <w:left w:w="0" w:type="dxa"/>
            <w:right w:w="0" w:type="dxa"/>
          </w:tblCellMar>
          <w:tblLook w:val="01E0"/>
        </w:tblPrEx>
        <w:trPr>
          <w:trHeight w:val="286"/>
        </w:trPr>
        <w:tc>
          <w:tcPr>
            <w:tcW w:w="6570" w:type="dxa"/>
          </w:tcPr>
          <w:p w:rsidR="003F5784" w14:paraId="225D74E6" w14:textId="77777777">
            <w:pPr>
              <w:pStyle w:val="TableParagraph"/>
              <w:ind w:left="370"/>
              <w:jc w:val="left"/>
              <w:rPr>
                <w:sz w:val="21"/>
              </w:rPr>
            </w:pPr>
            <w:r>
              <w:rPr>
                <w:sz w:val="21"/>
              </w:rPr>
              <w:t>Department</w:t>
            </w:r>
            <w:r>
              <w:rPr>
                <w:spacing w:val="-13"/>
                <w:sz w:val="21"/>
              </w:rPr>
              <w:t xml:space="preserve"> </w:t>
            </w:r>
            <w:r>
              <w:rPr>
                <w:sz w:val="21"/>
              </w:rPr>
              <w:t>of</w:t>
            </w:r>
            <w:r>
              <w:rPr>
                <w:spacing w:val="-8"/>
                <w:sz w:val="21"/>
              </w:rPr>
              <w:t xml:space="preserve"> </w:t>
            </w:r>
            <w:r>
              <w:rPr>
                <w:sz w:val="21"/>
              </w:rPr>
              <w:t>Defense</w:t>
            </w:r>
            <w:r>
              <w:rPr>
                <w:spacing w:val="-8"/>
                <w:sz w:val="21"/>
              </w:rPr>
              <w:t xml:space="preserve"> </w:t>
            </w:r>
            <w:r>
              <w:rPr>
                <w:sz w:val="21"/>
              </w:rPr>
              <w:t>Education</w:t>
            </w:r>
            <w:r>
              <w:rPr>
                <w:spacing w:val="-13"/>
                <w:sz w:val="21"/>
              </w:rPr>
              <w:t xml:space="preserve"> </w:t>
            </w:r>
            <w:r>
              <w:rPr>
                <w:sz w:val="21"/>
              </w:rPr>
              <w:t>Activity</w:t>
            </w:r>
            <w:r>
              <w:rPr>
                <w:spacing w:val="-8"/>
                <w:sz w:val="21"/>
              </w:rPr>
              <w:t xml:space="preserve"> </w:t>
            </w:r>
            <w:r>
              <w:rPr>
                <w:spacing w:val="-2"/>
                <w:sz w:val="21"/>
              </w:rPr>
              <w:t>(DoDEA)</w:t>
            </w:r>
          </w:p>
        </w:tc>
        <w:tc>
          <w:tcPr>
            <w:tcW w:w="2806" w:type="dxa"/>
          </w:tcPr>
          <w:p w:rsidR="003F5784" w14:paraId="765A7218" w14:textId="77777777">
            <w:pPr>
              <w:pStyle w:val="TableParagraph"/>
              <w:ind w:right="577"/>
              <w:rPr>
                <w:sz w:val="21"/>
              </w:rPr>
            </w:pPr>
            <w:r>
              <w:rPr>
                <w:spacing w:val="-5"/>
                <w:sz w:val="21"/>
              </w:rPr>
              <w:t>89</w:t>
            </w:r>
          </w:p>
        </w:tc>
        <w:tc>
          <w:tcPr>
            <w:tcW w:w="1722" w:type="dxa"/>
          </w:tcPr>
          <w:p w:rsidR="003F5784" w14:paraId="06D7FB0F" w14:textId="77777777">
            <w:pPr>
              <w:pStyle w:val="TableParagraph"/>
              <w:ind w:right="465"/>
              <w:rPr>
                <w:sz w:val="21"/>
              </w:rPr>
            </w:pPr>
            <w:r>
              <w:rPr>
                <w:spacing w:val="-2"/>
                <w:sz w:val="21"/>
              </w:rPr>
              <w:t>5,708</w:t>
            </w:r>
          </w:p>
        </w:tc>
        <w:tc>
          <w:tcPr>
            <w:tcW w:w="1514" w:type="dxa"/>
          </w:tcPr>
          <w:p w:rsidR="003F5784" w14:paraId="26C71723" w14:textId="77777777">
            <w:pPr>
              <w:pStyle w:val="TableParagraph"/>
              <w:ind w:right="579"/>
              <w:rPr>
                <w:sz w:val="21"/>
              </w:rPr>
            </w:pPr>
            <w:r>
              <w:rPr>
                <w:spacing w:val="-5"/>
                <w:sz w:val="21"/>
              </w:rPr>
              <w:t>60</w:t>
            </w:r>
          </w:p>
        </w:tc>
        <w:tc>
          <w:tcPr>
            <w:tcW w:w="1377" w:type="dxa"/>
          </w:tcPr>
          <w:p w:rsidR="003F5784" w14:paraId="3ECF6565" w14:textId="77777777">
            <w:pPr>
              <w:pStyle w:val="TableParagraph"/>
              <w:ind w:right="122"/>
              <w:rPr>
                <w:sz w:val="21"/>
              </w:rPr>
            </w:pPr>
            <w:r>
              <w:rPr>
                <w:spacing w:val="-2"/>
                <w:sz w:val="21"/>
              </w:rPr>
              <w:t>4,671</w:t>
            </w:r>
          </w:p>
        </w:tc>
      </w:tr>
      <w:tr w14:paraId="200AE696" w14:textId="77777777">
        <w:tblPrEx>
          <w:tblW w:w="0" w:type="auto"/>
          <w:tblInd w:w="482" w:type="dxa"/>
          <w:tblLayout w:type="fixed"/>
          <w:tblCellMar>
            <w:left w:w="0" w:type="dxa"/>
            <w:right w:w="0" w:type="dxa"/>
          </w:tblCellMar>
          <w:tblLook w:val="01E0"/>
        </w:tblPrEx>
        <w:trPr>
          <w:trHeight w:val="286"/>
        </w:trPr>
        <w:tc>
          <w:tcPr>
            <w:tcW w:w="6570" w:type="dxa"/>
          </w:tcPr>
          <w:p w:rsidR="003F5784" w14:paraId="61FBF007" w14:textId="77777777">
            <w:pPr>
              <w:pStyle w:val="TableParagraph"/>
              <w:ind w:left="370"/>
              <w:jc w:val="left"/>
              <w:rPr>
                <w:sz w:val="21"/>
              </w:rPr>
            </w:pPr>
            <w:r>
              <w:rPr>
                <w:sz w:val="21"/>
              </w:rPr>
              <w:t>District</w:t>
            </w:r>
            <w:r>
              <w:rPr>
                <w:spacing w:val="-7"/>
                <w:sz w:val="21"/>
              </w:rPr>
              <w:t xml:space="preserve"> </w:t>
            </w:r>
            <w:r>
              <w:rPr>
                <w:sz w:val="21"/>
              </w:rPr>
              <w:t>of</w:t>
            </w:r>
            <w:r>
              <w:rPr>
                <w:spacing w:val="-6"/>
                <w:sz w:val="21"/>
              </w:rPr>
              <w:t xml:space="preserve"> </w:t>
            </w:r>
            <w:r>
              <w:rPr>
                <w:sz w:val="21"/>
              </w:rPr>
              <w:t>Columbia</w:t>
            </w:r>
            <w:r>
              <w:rPr>
                <w:spacing w:val="-7"/>
                <w:sz w:val="21"/>
              </w:rPr>
              <w:t xml:space="preserve"> </w:t>
            </w:r>
            <w:r>
              <w:rPr>
                <w:spacing w:val="-2"/>
                <w:sz w:val="21"/>
              </w:rPr>
              <w:t>(TUDA)</w:t>
            </w:r>
          </w:p>
        </w:tc>
        <w:tc>
          <w:tcPr>
            <w:tcW w:w="2806" w:type="dxa"/>
          </w:tcPr>
          <w:p w:rsidR="003F5784" w14:paraId="1934370E" w14:textId="77777777">
            <w:pPr>
              <w:pStyle w:val="TableParagraph"/>
              <w:ind w:right="577"/>
              <w:rPr>
                <w:sz w:val="21"/>
              </w:rPr>
            </w:pPr>
            <w:r>
              <w:rPr>
                <w:spacing w:val="-5"/>
                <w:sz w:val="21"/>
              </w:rPr>
              <w:t>79</w:t>
            </w:r>
          </w:p>
        </w:tc>
        <w:tc>
          <w:tcPr>
            <w:tcW w:w="1722" w:type="dxa"/>
          </w:tcPr>
          <w:p w:rsidR="003F5784" w14:paraId="0330C6E4" w14:textId="77777777">
            <w:pPr>
              <w:pStyle w:val="TableParagraph"/>
              <w:ind w:right="465"/>
              <w:rPr>
                <w:sz w:val="21"/>
              </w:rPr>
            </w:pPr>
            <w:r>
              <w:rPr>
                <w:spacing w:val="-2"/>
                <w:sz w:val="21"/>
              </w:rPr>
              <w:t>4,034</w:t>
            </w:r>
          </w:p>
        </w:tc>
        <w:tc>
          <w:tcPr>
            <w:tcW w:w="1514" w:type="dxa"/>
          </w:tcPr>
          <w:p w:rsidR="003F5784" w14:paraId="014AD227" w14:textId="77777777">
            <w:pPr>
              <w:pStyle w:val="TableParagraph"/>
              <w:ind w:right="579"/>
              <w:rPr>
                <w:sz w:val="21"/>
              </w:rPr>
            </w:pPr>
            <w:r>
              <w:rPr>
                <w:spacing w:val="-5"/>
                <w:sz w:val="21"/>
              </w:rPr>
              <w:t>32</w:t>
            </w:r>
          </w:p>
        </w:tc>
        <w:tc>
          <w:tcPr>
            <w:tcW w:w="1377" w:type="dxa"/>
          </w:tcPr>
          <w:p w:rsidR="003F5784" w14:paraId="2E6CD3ED" w14:textId="77777777">
            <w:pPr>
              <w:pStyle w:val="TableParagraph"/>
              <w:ind w:right="122"/>
              <w:rPr>
                <w:sz w:val="21"/>
              </w:rPr>
            </w:pPr>
            <w:r>
              <w:rPr>
                <w:spacing w:val="-2"/>
                <w:sz w:val="21"/>
              </w:rPr>
              <w:t>3,013</w:t>
            </w:r>
          </w:p>
        </w:tc>
      </w:tr>
      <w:tr w14:paraId="10488ED6" w14:textId="77777777">
        <w:tblPrEx>
          <w:tblW w:w="0" w:type="auto"/>
          <w:tblInd w:w="482" w:type="dxa"/>
          <w:tblLayout w:type="fixed"/>
          <w:tblCellMar>
            <w:left w:w="0" w:type="dxa"/>
            <w:right w:w="0" w:type="dxa"/>
          </w:tblCellMar>
          <w:tblLook w:val="01E0"/>
        </w:tblPrEx>
        <w:trPr>
          <w:trHeight w:val="286"/>
        </w:trPr>
        <w:tc>
          <w:tcPr>
            <w:tcW w:w="6570" w:type="dxa"/>
          </w:tcPr>
          <w:p w:rsidR="003F5784" w14:paraId="5D3CD7BA" w14:textId="77777777">
            <w:pPr>
              <w:pStyle w:val="TableParagraph"/>
              <w:ind w:left="370"/>
              <w:jc w:val="left"/>
              <w:rPr>
                <w:sz w:val="21"/>
              </w:rPr>
            </w:pPr>
            <w:r>
              <w:rPr>
                <w:sz w:val="21"/>
              </w:rPr>
              <w:t>District</w:t>
            </w:r>
            <w:r>
              <w:rPr>
                <w:spacing w:val="-6"/>
                <w:sz w:val="21"/>
              </w:rPr>
              <w:t xml:space="preserve"> </w:t>
            </w:r>
            <w:r>
              <w:rPr>
                <w:sz w:val="21"/>
              </w:rPr>
              <w:t>of</w:t>
            </w:r>
            <w:r>
              <w:rPr>
                <w:spacing w:val="-5"/>
                <w:sz w:val="21"/>
              </w:rPr>
              <w:t xml:space="preserve"> </w:t>
            </w:r>
            <w:r>
              <w:rPr>
                <w:spacing w:val="-2"/>
                <w:sz w:val="21"/>
              </w:rPr>
              <w:t>Columbia–Balance</w:t>
            </w:r>
          </w:p>
        </w:tc>
        <w:tc>
          <w:tcPr>
            <w:tcW w:w="2806" w:type="dxa"/>
          </w:tcPr>
          <w:p w:rsidR="003F5784" w14:paraId="022CEADB" w14:textId="77777777">
            <w:pPr>
              <w:pStyle w:val="TableParagraph"/>
              <w:ind w:right="577"/>
              <w:rPr>
                <w:sz w:val="21"/>
              </w:rPr>
            </w:pPr>
            <w:r>
              <w:rPr>
                <w:spacing w:val="-5"/>
                <w:sz w:val="21"/>
              </w:rPr>
              <w:t>50</w:t>
            </w:r>
          </w:p>
        </w:tc>
        <w:tc>
          <w:tcPr>
            <w:tcW w:w="1722" w:type="dxa"/>
          </w:tcPr>
          <w:p w:rsidR="003F5784" w14:paraId="103A7B20" w14:textId="77777777">
            <w:pPr>
              <w:pStyle w:val="TableParagraph"/>
              <w:ind w:right="465"/>
              <w:rPr>
                <w:sz w:val="21"/>
              </w:rPr>
            </w:pPr>
            <w:r>
              <w:rPr>
                <w:spacing w:val="-2"/>
                <w:sz w:val="21"/>
              </w:rPr>
              <w:t>2,573</w:t>
            </w:r>
          </w:p>
        </w:tc>
        <w:tc>
          <w:tcPr>
            <w:tcW w:w="1514" w:type="dxa"/>
          </w:tcPr>
          <w:p w:rsidR="003F5784" w14:paraId="2E922A82" w14:textId="77777777">
            <w:pPr>
              <w:pStyle w:val="TableParagraph"/>
              <w:ind w:right="579"/>
              <w:rPr>
                <w:sz w:val="21"/>
              </w:rPr>
            </w:pPr>
            <w:r>
              <w:rPr>
                <w:spacing w:val="-5"/>
                <w:sz w:val="21"/>
              </w:rPr>
              <w:t>44</w:t>
            </w:r>
          </w:p>
        </w:tc>
        <w:tc>
          <w:tcPr>
            <w:tcW w:w="1377" w:type="dxa"/>
          </w:tcPr>
          <w:p w:rsidR="003F5784" w14:paraId="38758A54" w14:textId="77777777">
            <w:pPr>
              <w:pStyle w:val="TableParagraph"/>
              <w:ind w:right="122"/>
              <w:rPr>
                <w:sz w:val="21"/>
              </w:rPr>
            </w:pPr>
            <w:r>
              <w:rPr>
                <w:spacing w:val="-2"/>
                <w:sz w:val="21"/>
              </w:rPr>
              <w:t>2,624</w:t>
            </w:r>
          </w:p>
        </w:tc>
      </w:tr>
      <w:tr w14:paraId="1C9165C4" w14:textId="77777777">
        <w:tblPrEx>
          <w:tblW w:w="0" w:type="auto"/>
          <w:tblInd w:w="482" w:type="dxa"/>
          <w:tblLayout w:type="fixed"/>
          <w:tblCellMar>
            <w:left w:w="0" w:type="dxa"/>
            <w:right w:w="0" w:type="dxa"/>
          </w:tblCellMar>
          <w:tblLook w:val="01E0"/>
        </w:tblPrEx>
        <w:trPr>
          <w:trHeight w:val="289"/>
        </w:trPr>
        <w:tc>
          <w:tcPr>
            <w:tcW w:w="6570" w:type="dxa"/>
            <w:tcBorders>
              <w:bottom w:val="single" w:sz="18" w:space="0" w:color="800000"/>
            </w:tcBorders>
          </w:tcPr>
          <w:p w:rsidR="003F5784" w14:paraId="4A9C64CF" w14:textId="77777777">
            <w:pPr>
              <w:pStyle w:val="TableParagraph"/>
              <w:ind w:left="370"/>
              <w:jc w:val="left"/>
              <w:rPr>
                <w:sz w:val="21"/>
              </w:rPr>
            </w:pPr>
            <w:r>
              <w:rPr>
                <w:sz w:val="21"/>
              </w:rPr>
              <w:t>Puerto</w:t>
            </w:r>
            <w:r>
              <w:rPr>
                <w:spacing w:val="-7"/>
                <w:sz w:val="21"/>
              </w:rPr>
              <w:t xml:space="preserve"> </w:t>
            </w:r>
            <w:r>
              <w:rPr>
                <w:spacing w:val="-4"/>
                <w:sz w:val="21"/>
              </w:rPr>
              <w:t>Rico</w:t>
            </w:r>
          </w:p>
        </w:tc>
        <w:tc>
          <w:tcPr>
            <w:tcW w:w="2806" w:type="dxa"/>
            <w:tcBorders>
              <w:bottom w:val="single" w:sz="18" w:space="0" w:color="800000"/>
            </w:tcBorders>
          </w:tcPr>
          <w:p w:rsidR="003F5784" w14:paraId="6CD43476" w14:textId="77777777">
            <w:pPr>
              <w:pStyle w:val="TableParagraph"/>
              <w:ind w:right="577"/>
              <w:rPr>
                <w:sz w:val="21"/>
              </w:rPr>
            </w:pPr>
            <w:r>
              <w:rPr>
                <w:spacing w:val="-5"/>
                <w:sz w:val="21"/>
              </w:rPr>
              <w:t>531</w:t>
            </w:r>
          </w:p>
        </w:tc>
        <w:tc>
          <w:tcPr>
            <w:tcW w:w="1722" w:type="dxa"/>
            <w:tcBorders>
              <w:bottom w:val="single" w:sz="18" w:space="0" w:color="800000"/>
            </w:tcBorders>
          </w:tcPr>
          <w:p w:rsidR="003F5784" w14:paraId="23ED75D9" w14:textId="77777777">
            <w:pPr>
              <w:pStyle w:val="TableParagraph"/>
              <w:ind w:right="465"/>
              <w:rPr>
                <w:sz w:val="21"/>
              </w:rPr>
            </w:pPr>
            <w:r>
              <w:rPr>
                <w:spacing w:val="-2"/>
                <w:sz w:val="21"/>
              </w:rPr>
              <w:t>20,203</w:t>
            </w:r>
          </w:p>
        </w:tc>
        <w:tc>
          <w:tcPr>
            <w:tcW w:w="1514" w:type="dxa"/>
            <w:tcBorders>
              <w:bottom w:val="single" w:sz="18" w:space="0" w:color="800000"/>
            </w:tcBorders>
          </w:tcPr>
          <w:p w:rsidR="003F5784" w14:paraId="67CEDDB9" w14:textId="77777777">
            <w:pPr>
              <w:pStyle w:val="TableParagraph"/>
              <w:ind w:right="579"/>
              <w:rPr>
                <w:sz w:val="21"/>
              </w:rPr>
            </w:pPr>
            <w:r>
              <w:rPr>
                <w:spacing w:val="-5"/>
                <w:sz w:val="21"/>
              </w:rPr>
              <w:t>345</w:t>
            </w:r>
          </w:p>
        </w:tc>
        <w:tc>
          <w:tcPr>
            <w:tcW w:w="1377" w:type="dxa"/>
            <w:tcBorders>
              <w:bottom w:val="single" w:sz="18" w:space="0" w:color="800000"/>
            </w:tcBorders>
          </w:tcPr>
          <w:p w:rsidR="003F5784" w14:paraId="061CDE86" w14:textId="77777777">
            <w:pPr>
              <w:pStyle w:val="TableParagraph"/>
              <w:ind w:right="122"/>
              <w:rPr>
                <w:sz w:val="21"/>
              </w:rPr>
            </w:pPr>
            <w:r>
              <w:rPr>
                <w:spacing w:val="-2"/>
                <w:sz w:val="21"/>
              </w:rPr>
              <w:t>22,853</w:t>
            </w:r>
          </w:p>
        </w:tc>
      </w:tr>
    </w:tbl>
    <w:p w:rsidR="003F5784" w14:paraId="10F9D4B1" w14:textId="77777777">
      <w:pPr>
        <w:spacing w:before="11"/>
        <w:ind w:left="595" w:right="588"/>
        <w:rPr>
          <w:sz w:val="18"/>
        </w:rPr>
      </w:pPr>
      <w:r>
        <w:rPr>
          <w:sz w:val="18"/>
        </w:rPr>
        <w:t>SOURCE: U.S. Department of Education, Institute of Education Sciences, National Center for Education Statistics, National</w:t>
      </w:r>
      <w:r>
        <w:rPr>
          <w:spacing w:val="-5"/>
          <w:sz w:val="18"/>
        </w:rPr>
        <w:t xml:space="preserve"> </w:t>
      </w:r>
      <w:r>
        <w:rPr>
          <w:sz w:val="18"/>
        </w:rPr>
        <w:t xml:space="preserve">Assessment of Educational Progress (NAEP), 2022 State </w:t>
      </w:r>
      <w:r>
        <w:rPr>
          <w:spacing w:val="-2"/>
          <w:sz w:val="18"/>
        </w:rPr>
        <w:t>Assessment.</w:t>
      </w:r>
    </w:p>
    <w:p w:rsidR="003F5784" w14:paraId="5B613E86" w14:textId="77777777">
      <w:pPr>
        <w:pStyle w:val="BodyText"/>
        <w:rPr>
          <w:sz w:val="18"/>
        </w:rPr>
      </w:pPr>
    </w:p>
    <w:p w:rsidR="003F5784" w14:paraId="3CA88BAC" w14:textId="77777777">
      <w:pPr>
        <w:pStyle w:val="BodyText"/>
        <w:rPr>
          <w:sz w:val="18"/>
        </w:rPr>
      </w:pPr>
    </w:p>
    <w:p w:rsidR="003F5784" w14:paraId="29031C07" w14:textId="77777777">
      <w:pPr>
        <w:pStyle w:val="BodyText"/>
        <w:rPr>
          <w:sz w:val="18"/>
        </w:rPr>
      </w:pPr>
    </w:p>
    <w:p w:rsidR="003F5784" w14:paraId="77570A83" w14:textId="77777777">
      <w:pPr>
        <w:pStyle w:val="BodyText"/>
        <w:spacing w:before="100"/>
        <w:rPr>
          <w:sz w:val="18"/>
        </w:rPr>
      </w:pPr>
    </w:p>
    <w:p w:rsidR="003F5784" w14:paraId="613B38DA" w14:textId="77777777">
      <w:pPr>
        <w:ind w:left="2592"/>
        <w:rPr>
          <w:sz w:val="18"/>
        </w:rPr>
      </w:pPr>
      <w:hyperlink r:id="rId263">
        <w:r>
          <w:rPr>
            <w:spacing w:val="-2"/>
            <w:w w:val="105"/>
            <w:sz w:val="18"/>
          </w:rPr>
          <w:t>http://nces.ed.gov/nationsreportcard/tdw/sample_design/2022/fourth_and_eighth_grade_schools_and_enrollment_in_the_2022_state_assess_sampling_frame.aspx</w:t>
        </w:r>
      </w:hyperlink>
    </w:p>
    <w:p w:rsidR="003F5784" w14:paraId="3800E760" w14:textId="77777777">
      <w:pPr>
        <w:pStyle w:val="BodyText"/>
        <w:spacing w:before="1"/>
        <w:rPr>
          <w:sz w:val="16"/>
        </w:rPr>
      </w:pPr>
      <w:r>
        <w:rPr>
          <w:noProof/>
        </w:rPr>
        <mc:AlternateContent>
          <mc:Choice Requires="wps">
            <w:drawing>
              <wp:anchor distT="0" distB="0" distL="0" distR="0" simplePos="0" relativeHeight="251921408" behindDoc="1" locked="0" layoutInCell="1" allowOverlap="1">
                <wp:simplePos x="0" y="0"/>
                <wp:positionH relativeFrom="page">
                  <wp:posOffset>361937</wp:posOffset>
                </wp:positionH>
                <wp:positionV relativeFrom="paragraph">
                  <wp:posOffset>132878</wp:posOffset>
                </wp:positionV>
                <wp:extent cx="9339580" cy="8890"/>
                <wp:effectExtent l="0" t="0" r="0" b="0"/>
                <wp:wrapTopAndBottom/>
                <wp:docPr id="333" name="Graphic 333"/>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8280" y="8280"/>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333" o:spid="_x0000_s1132" style="width:735.4pt;height:0.7pt;margin-top:10.45pt;margin-left:28.5pt;mso-position-horizontal-relative:page;mso-wrap-distance-bottom:0;mso-wrap-distance-left:0;mso-wrap-distance-right:0;mso-wrap-distance-top:0;mso-wrap-style:square;position:absolute;visibility:visible;v-text-anchor:top;z-index:-251394048" coordsize="9339580,8890" path="m9338970,l9335110,l8280,,,,,8267l8280,8280l9335110,8267l9338970,8267l9338970,xe" fillcolor="gray" stroked="f">
                <v:path arrowok="t"/>
                <w10:wrap type="topAndBottom"/>
              </v:shape>
            </w:pict>
          </mc:Fallback>
        </mc:AlternateContent>
      </w:r>
    </w:p>
    <w:p w:rsidR="003F5784" w14:paraId="15B92219" w14:textId="77777777">
      <w:pPr>
        <w:pStyle w:val="BodyText"/>
        <w:rPr>
          <w:sz w:val="18"/>
        </w:rPr>
      </w:pPr>
    </w:p>
    <w:p w:rsidR="003F5784" w14:paraId="7A5DD2D9" w14:textId="77777777">
      <w:pPr>
        <w:pStyle w:val="BodyText"/>
        <w:spacing w:before="193"/>
        <w:rPr>
          <w:sz w:val="18"/>
        </w:rPr>
      </w:pPr>
    </w:p>
    <w:p w:rsidR="003F5784" w14:paraId="7C6ED0C1" w14:textId="5EFF8F67">
      <w:pPr>
        <w:pStyle w:val="Heading1"/>
        <w:spacing w:line="244" w:lineRule="auto"/>
      </w:pPr>
      <w:r>
        <w:t>NAEP</w:t>
      </w:r>
      <w:r>
        <w:rPr>
          <w:spacing w:val="-15"/>
        </w:rPr>
        <w:t xml:space="preserve"> </w:t>
      </w:r>
      <w:r>
        <w:t xml:space="preserve">Technical Documentation New-School Sampling Frame for the 2022 State </w:t>
      </w:r>
      <w:r>
        <w:rPr>
          <w:spacing w:val="-2"/>
        </w:rPr>
        <w:t>Assessment</w:t>
      </w:r>
    </w:p>
    <w:p w:rsidR="003F5784" w14:paraId="424B7B1E" w14:textId="77777777">
      <w:pPr>
        <w:spacing w:line="244" w:lineRule="auto"/>
        <w:sectPr>
          <w:pgSz w:w="15840" w:h="12240" w:orient="landscape"/>
          <w:pgMar w:top="1140" w:right="440" w:bottom="460" w:left="460" w:header="305" w:footer="275" w:gutter="0"/>
          <w:cols w:space="720"/>
        </w:sectPr>
      </w:pPr>
    </w:p>
    <w:p w:rsidR="003F5784" w14:paraId="64BF033D" w14:textId="77777777">
      <w:pPr>
        <w:pStyle w:val="BodyText"/>
        <w:spacing w:before="78" w:line="232" w:lineRule="auto"/>
        <w:ind w:left="109" w:right="117"/>
      </w:pPr>
      <w:r>
        <w:t>The</w:t>
      </w:r>
      <w:r>
        <w:rPr>
          <w:spacing w:val="-4"/>
        </w:rPr>
        <w:t xml:space="preserve"> </w:t>
      </w:r>
      <w:r>
        <w:t>primary</w:t>
      </w:r>
      <w:r>
        <w:rPr>
          <w:spacing w:val="-4"/>
        </w:rPr>
        <w:t xml:space="preserve"> </w:t>
      </w:r>
      <w:r>
        <w:t>sampling</w:t>
      </w:r>
      <w:r>
        <w:rPr>
          <w:spacing w:val="-4"/>
        </w:rPr>
        <w:t xml:space="preserve"> </w:t>
      </w:r>
      <w:r>
        <w:t>frames</w:t>
      </w:r>
      <w:r>
        <w:rPr>
          <w:spacing w:val="-4"/>
        </w:rPr>
        <w:t xml:space="preserve"> </w:t>
      </w:r>
      <w:r>
        <w:t>for</w:t>
      </w:r>
      <w:r>
        <w:rPr>
          <w:spacing w:val="-4"/>
        </w:rPr>
        <w:t xml:space="preserve"> </w:t>
      </w:r>
      <w:r>
        <w:t>the</w:t>
      </w:r>
      <w:r>
        <w:rPr>
          <w:spacing w:val="-4"/>
        </w:rPr>
        <w:t xml:space="preserve"> </w:t>
      </w:r>
      <w:r>
        <w:t>2022</w:t>
      </w:r>
      <w:r>
        <w:rPr>
          <w:spacing w:val="-4"/>
        </w:rPr>
        <w:t xml:space="preserve"> </w:t>
      </w:r>
      <w:r>
        <w:t>fourth-</w:t>
      </w:r>
      <w:r>
        <w:rPr>
          <w:spacing w:val="-4"/>
        </w:rPr>
        <w:t xml:space="preserve"> </w:t>
      </w:r>
      <w:r>
        <w:t>and</w:t>
      </w:r>
      <w:r>
        <w:rPr>
          <w:spacing w:val="-4"/>
        </w:rPr>
        <w:t xml:space="preserve"> </w:t>
      </w:r>
      <w:r>
        <w:t>eighth-grade</w:t>
      </w:r>
      <w:r>
        <w:rPr>
          <w:spacing w:val="-4"/>
        </w:rPr>
        <w:t xml:space="preserve"> </w:t>
      </w:r>
      <w:r>
        <w:t>public</w:t>
      </w:r>
      <w:r>
        <w:rPr>
          <w:spacing w:val="-4"/>
        </w:rPr>
        <w:t xml:space="preserve"> </w:t>
      </w:r>
      <w:r>
        <w:t>school</w:t>
      </w:r>
      <w:r>
        <w:rPr>
          <w:spacing w:val="-4"/>
        </w:rPr>
        <w:t xml:space="preserve"> </w:t>
      </w:r>
      <w:r>
        <w:t>samples</w:t>
      </w:r>
      <w:r>
        <w:rPr>
          <w:spacing w:val="-4"/>
        </w:rPr>
        <w:t xml:space="preserve"> </w:t>
      </w:r>
      <w:r>
        <w:t>for</w:t>
      </w:r>
      <w:r>
        <w:rPr>
          <w:spacing w:val="-4"/>
        </w:rPr>
        <w:t xml:space="preserve"> </w:t>
      </w:r>
      <w:r>
        <w:t>the</w:t>
      </w:r>
      <w:r>
        <w:rPr>
          <w:spacing w:val="-4"/>
        </w:rPr>
        <w:t xml:space="preserve"> </w:t>
      </w:r>
      <w:r>
        <w:t>state</w:t>
      </w:r>
      <w:r>
        <w:rPr>
          <w:spacing w:val="-4"/>
        </w:rPr>
        <w:t xml:space="preserve"> </w:t>
      </w:r>
      <w:r>
        <w:t>assessment</w:t>
      </w:r>
      <w:r>
        <w:rPr>
          <w:spacing w:val="-4"/>
        </w:rPr>
        <w:t xml:space="preserve"> </w:t>
      </w:r>
      <w:r>
        <w:t>in</w:t>
      </w:r>
      <w:r>
        <w:rPr>
          <w:spacing w:val="-4"/>
        </w:rPr>
        <w:t xml:space="preserve"> </w:t>
      </w:r>
      <w:r>
        <w:t>mathematics</w:t>
      </w:r>
      <w:r>
        <w:rPr>
          <w:spacing w:val="-4"/>
        </w:rPr>
        <w:t xml:space="preserve"> </w:t>
      </w:r>
      <w:r>
        <w:t>and</w:t>
      </w:r>
      <w:r>
        <w:rPr>
          <w:spacing w:val="-4"/>
        </w:rPr>
        <w:t xml:space="preserve"> </w:t>
      </w:r>
      <w:r>
        <w:t>reading</w:t>
      </w:r>
      <w:r>
        <w:rPr>
          <w:spacing w:val="-4"/>
        </w:rPr>
        <w:t xml:space="preserve"> </w:t>
      </w:r>
      <w:r>
        <w:t>were</w:t>
      </w:r>
      <w:r>
        <w:rPr>
          <w:spacing w:val="-4"/>
        </w:rPr>
        <w:t xml:space="preserve"> </w:t>
      </w:r>
      <w:r>
        <w:t>constructed</w:t>
      </w:r>
      <w:r>
        <w:rPr>
          <w:spacing w:val="-4"/>
        </w:rPr>
        <w:t xml:space="preserve"> </w:t>
      </w:r>
      <w:r>
        <w:t>using</w:t>
      </w:r>
      <w:r>
        <w:rPr>
          <w:spacing w:val="-4"/>
        </w:rPr>
        <w:t xml:space="preserve"> </w:t>
      </w:r>
      <w:r>
        <w:t>the</w:t>
      </w:r>
      <w:r>
        <w:rPr>
          <w:spacing w:val="-4"/>
        </w:rPr>
        <w:t xml:space="preserve"> </w:t>
      </w:r>
      <w:r>
        <w:t>most current</w:t>
      </w:r>
      <w:r>
        <w:rPr>
          <w:spacing w:val="-1"/>
        </w:rPr>
        <w:t xml:space="preserve"> </w:t>
      </w:r>
      <w:r>
        <w:rPr>
          <w:color w:val="0066CC"/>
        </w:rPr>
        <w:t>Common</w:t>
      </w:r>
      <w:r>
        <w:rPr>
          <w:color w:val="0066CC"/>
          <w:spacing w:val="-1"/>
        </w:rPr>
        <w:t xml:space="preserve"> </w:t>
      </w:r>
      <w:r>
        <w:rPr>
          <w:color w:val="0066CC"/>
        </w:rPr>
        <w:t>Core</w:t>
      </w:r>
      <w:r>
        <w:rPr>
          <w:color w:val="0066CC"/>
          <w:spacing w:val="-1"/>
        </w:rPr>
        <w:t xml:space="preserve"> </w:t>
      </w:r>
      <w:r>
        <w:rPr>
          <w:color w:val="0066CC"/>
        </w:rPr>
        <w:t>of</w:t>
      </w:r>
      <w:r>
        <w:rPr>
          <w:color w:val="0066CC"/>
          <w:spacing w:val="-1"/>
        </w:rPr>
        <w:t xml:space="preserve"> </w:t>
      </w:r>
      <w:r>
        <w:rPr>
          <w:color w:val="0066CC"/>
        </w:rPr>
        <w:t>Data</w:t>
      </w:r>
      <w:r>
        <w:rPr>
          <w:color w:val="0066CC"/>
          <w:spacing w:val="-1"/>
        </w:rPr>
        <w:t xml:space="preserve"> </w:t>
      </w:r>
      <w:r>
        <w:rPr>
          <w:color w:val="0066CC"/>
        </w:rPr>
        <w:t>(CCD)</w:t>
      </w:r>
      <w:r>
        <w:rPr>
          <w:color w:val="0066CC"/>
          <w:spacing w:val="-1"/>
        </w:rPr>
        <w:t xml:space="preserve"> </w:t>
      </w:r>
      <w:r>
        <w:t>file</w:t>
      </w:r>
      <w:r>
        <w:rPr>
          <w:spacing w:val="-1"/>
        </w:rPr>
        <w:t xml:space="preserve"> </w:t>
      </w:r>
      <w:r>
        <w:t>available</w:t>
      </w:r>
      <w:r>
        <w:rPr>
          <w:spacing w:val="-1"/>
        </w:rPr>
        <w:t xml:space="preserve"> </w:t>
      </w:r>
      <w:r>
        <w:t>from</w:t>
      </w:r>
      <w:r>
        <w:rPr>
          <w:spacing w:val="-1"/>
        </w:rPr>
        <w:t xml:space="preserve"> </w:t>
      </w:r>
      <w:r>
        <w:t>NCES.</w:t>
      </w:r>
      <w:r>
        <w:rPr>
          <w:spacing w:val="-5"/>
        </w:rPr>
        <w:t xml:space="preserve"> </w:t>
      </w:r>
      <w:r>
        <w:t>This</w:t>
      </w:r>
      <w:r>
        <w:rPr>
          <w:spacing w:val="-1"/>
        </w:rPr>
        <w:t xml:space="preserve"> </w:t>
      </w:r>
      <w:r>
        <w:t>file</w:t>
      </w:r>
      <w:r>
        <w:rPr>
          <w:spacing w:val="-1"/>
        </w:rPr>
        <w:t xml:space="preserve"> </w:t>
      </w:r>
      <w:r>
        <w:t>contained</w:t>
      </w:r>
      <w:r>
        <w:rPr>
          <w:spacing w:val="-1"/>
        </w:rPr>
        <w:t xml:space="preserve"> </w:t>
      </w:r>
      <w:r>
        <w:t>schools</w:t>
      </w:r>
      <w:r>
        <w:rPr>
          <w:spacing w:val="-1"/>
        </w:rPr>
        <w:t xml:space="preserve"> </w:t>
      </w:r>
      <w:r>
        <w:t>that</w:t>
      </w:r>
      <w:r>
        <w:rPr>
          <w:spacing w:val="-1"/>
        </w:rPr>
        <w:t xml:space="preserve"> </w:t>
      </w:r>
      <w:r>
        <w:t>were</w:t>
      </w:r>
      <w:r>
        <w:rPr>
          <w:spacing w:val="-1"/>
        </w:rPr>
        <w:t xml:space="preserve"> </w:t>
      </w:r>
      <w:r>
        <w:t>in</w:t>
      </w:r>
      <w:r>
        <w:rPr>
          <w:spacing w:val="-1"/>
        </w:rPr>
        <w:t xml:space="preserve"> </w:t>
      </w:r>
      <w:r>
        <w:t>existence</w:t>
      </w:r>
      <w:r>
        <w:rPr>
          <w:spacing w:val="-1"/>
        </w:rPr>
        <w:t xml:space="preserve"> </w:t>
      </w:r>
      <w:r>
        <w:t>during</w:t>
      </w:r>
      <w:r>
        <w:rPr>
          <w:spacing w:val="-1"/>
        </w:rPr>
        <w:t xml:space="preserve"> </w:t>
      </w:r>
      <w:r>
        <w:t>the</w:t>
      </w:r>
      <w:r>
        <w:rPr>
          <w:spacing w:val="-1"/>
        </w:rPr>
        <w:t xml:space="preserve"> </w:t>
      </w:r>
      <w:r>
        <w:t>2019-2020</w:t>
      </w:r>
      <w:r>
        <w:rPr>
          <w:spacing w:val="-1"/>
        </w:rPr>
        <w:t xml:space="preserve"> </w:t>
      </w:r>
      <w:r>
        <w:t>school</w:t>
      </w:r>
      <w:r>
        <w:rPr>
          <w:spacing w:val="-1"/>
        </w:rPr>
        <w:t xml:space="preserve"> </w:t>
      </w:r>
      <w:r>
        <w:t>year</w:t>
      </w:r>
      <w:r>
        <w:rPr>
          <w:spacing w:val="-1"/>
        </w:rPr>
        <w:t xml:space="preserve"> </w:t>
      </w:r>
      <w:r>
        <w:t>(i.e.,</w:t>
      </w:r>
      <w:r>
        <w:rPr>
          <w:spacing w:val="-1"/>
        </w:rPr>
        <w:t xml:space="preserve"> </w:t>
      </w:r>
      <w:r>
        <w:t>it</w:t>
      </w:r>
      <w:r>
        <w:rPr>
          <w:spacing w:val="-1"/>
        </w:rPr>
        <w:t xml:space="preserve"> </w:t>
      </w:r>
      <w:r>
        <w:t>was</w:t>
      </w:r>
      <w:r>
        <w:rPr>
          <w:spacing w:val="-1"/>
        </w:rPr>
        <w:t xml:space="preserve"> </w:t>
      </w:r>
      <w:r>
        <w:t>two</w:t>
      </w:r>
      <w:r>
        <w:rPr>
          <w:spacing w:val="-1"/>
        </w:rPr>
        <w:t xml:space="preserve"> </w:t>
      </w:r>
      <w:r>
        <w:t>years</w:t>
      </w:r>
      <w:r>
        <w:rPr>
          <w:spacing w:val="-1"/>
        </w:rPr>
        <w:t xml:space="preserve"> </w:t>
      </w:r>
      <w:r>
        <w:t>out of</w:t>
      </w:r>
      <w:r>
        <w:rPr>
          <w:spacing w:val="-7"/>
        </w:rPr>
        <w:t xml:space="preserve"> </w:t>
      </w:r>
      <w:r>
        <w:t>date).</w:t>
      </w:r>
      <w:r>
        <w:rPr>
          <w:spacing w:val="-7"/>
        </w:rPr>
        <w:t xml:space="preserve"> </w:t>
      </w:r>
      <w:r>
        <w:t>During</w:t>
      </w:r>
      <w:r>
        <w:rPr>
          <w:spacing w:val="-7"/>
        </w:rPr>
        <w:t xml:space="preserve"> </w:t>
      </w:r>
      <w:r>
        <w:t>the</w:t>
      </w:r>
      <w:r>
        <w:rPr>
          <w:spacing w:val="-7"/>
        </w:rPr>
        <w:t xml:space="preserve"> </w:t>
      </w:r>
      <w:r>
        <w:t>subsequent</w:t>
      </w:r>
      <w:r>
        <w:rPr>
          <w:spacing w:val="-7"/>
        </w:rPr>
        <w:t xml:space="preserve"> </w:t>
      </w:r>
      <w:r>
        <w:t>2-year</w:t>
      </w:r>
      <w:r>
        <w:rPr>
          <w:spacing w:val="-7"/>
        </w:rPr>
        <w:t xml:space="preserve"> </w:t>
      </w:r>
      <w:r>
        <w:t>period,</w:t>
      </w:r>
      <w:r>
        <w:rPr>
          <w:spacing w:val="-7"/>
        </w:rPr>
        <w:t xml:space="preserve"> </w:t>
      </w:r>
      <w:r>
        <w:t>undoubtedly</w:t>
      </w:r>
      <w:r>
        <w:rPr>
          <w:spacing w:val="-7"/>
        </w:rPr>
        <w:t xml:space="preserve"> </w:t>
      </w:r>
      <w:r>
        <w:t>some</w:t>
      </w:r>
      <w:r>
        <w:rPr>
          <w:spacing w:val="-7"/>
        </w:rPr>
        <w:t xml:space="preserve"> </w:t>
      </w:r>
      <w:r>
        <w:t>schools</w:t>
      </w:r>
      <w:r>
        <w:rPr>
          <w:spacing w:val="-7"/>
        </w:rPr>
        <w:t xml:space="preserve"> </w:t>
      </w:r>
      <w:r>
        <w:t>closed,</w:t>
      </w:r>
      <w:r>
        <w:rPr>
          <w:spacing w:val="-7"/>
        </w:rPr>
        <w:t xml:space="preserve"> </w:t>
      </w:r>
      <w:r>
        <w:t>some</w:t>
      </w:r>
      <w:r>
        <w:rPr>
          <w:spacing w:val="-7"/>
        </w:rPr>
        <w:t xml:space="preserve"> </w:t>
      </w:r>
      <w:r>
        <w:t>changed</w:t>
      </w:r>
      <w:r>
        <w:rPr>
          <w:spacing w:val="-7"/>
        </w:rPr>
        <w:t xml:space="preserve"> </w:t>
      </w:r>
      <w:r>
        <w:t>structure</w:t>
      </w:r>
      <w:r>
        <w:rPr>
          <w:spacing w:val="-7"/>
        </w:rPr>
        <w:t xml:space="preserve"> </w:t>
      </w:r>
      <w:r>
        <w:t>(one</w:t>
      </w:r>
      <w:r>
        <w:rPr>
          <w:spacing w:val="-7"/>
        </w:rPr>
        <w:t xml:space="preserve"> </w:t>
      </w:r>
      <w:r>
        <w:t>school</w:t>
      </w:r>
      <w:r>
        <w:rPr>
          <w:spacing w:val="-7"/>
        </w:rPr>
        <w:t xml:space="preserve"> </w:t>
      </w:r>
      <w:r>
        <w:t>becoming</w:t>
      </w:r>
      <w:r>
        <w:rPr>
          <w:spacing w:val="-7"/>
        </w:rPr>
        <w:t xml:space="preserve"> </w:t>
      </w:r>
      <w:r>
        <w:t>two</w:t>
      </w:r>
      <w:r>
        <w:rPr>
          <w:spacing w:val="-7"/>
        </w:rPr>
        <w:t xml:space="preserve"> </w:t>
      </w:r>
      <w:r>
        <w:t>schools,</w:t>
      </w:r>
      <w:r>
        <w:rPr>
          <w:spacing w:val="-7"/>
        </w:rPr>
        <w:t xml:space="preserve"> </w:t>
      </w:r>
      <w:r>
        <w:t>for</w:t>
      </w:r>
      <w:r>
        <w:rPr>
          <w:spacing w:val="-7"/>
        </w:rPr>
        <w:t xml:space="preserve"> </w:t>
      </w:r>
      <w:r>
        <w:t>example),</w:t>
      </w:r>
      <w:r>
        <w:rPr>
          <w:spacing w:val="-7"/>
        </w:rPr>
        <w:t xml:space="preserve"> </w:t>
      </w:r>
      <w:r>
        <w:t>some</w:t>
      </w:r>
      <w:r>
        <w:rPr>
          <w:spacing w:val="-7"/>
        </w:rPr>
        <w:t xml:space="preserve"> </w:t>
      </w:r>
      <w:r>
        <w:t>newly</w:t>
      </w:r>
      <w:r>
        <w:rPr>
          <w:spacing w:val="-7"/>
        </w:rPr>
        <w:t xml:space="preserve"> </w:t>
      </w:r>
      <w:r>
        <w:t>opened, and still others changed their grade span.</w:t>
      </w:r>
    </w:p>
    <w:p w:rsidR="003F5784" w14:paraId="0EEC3718" w14:textId="77777777">
      <w:pPr>
        <w:pStyle w:val="BodyText"/>
        <w:spacing w:before="210" w:line="232" w:lineRule="auto"/>
        <w:ind w:left="109"/>
      </w:pPr>
      <w:r>
        <w:t>A</w:t>
      </w:r>
      <w:r>
        <w:rPr>
          <w:spacing w:val="-14"/>
        </w:rPr>
        <w:t xml:space="preserve"> </w:t>
      </w:r>
      <w:r>
        <w:t>supplemental</w:t>
      </w:r>
      <w:r>
        <w:rPr>
          <w:spacing w:val="-7"/>
        </w:rPr>
        <w:t xml:space="preserve"> </w:t>
      </w:r>
      <w:r>
        <w:t>sample</w:t>
      </w:r>
      <w:r>
        <w:rPr>
          <w:spacing w:val="-6"/>
        </w:rPr>
        <w:t xml:space="preserve"> </w:t>
      </w:r>
      <w:r>
        <w:t>was</w:t>
      </w:r>
      <w:r>
        <w:rPr>
          <w:spacing w:val="-6"/>
        </w:rPr>
        <w:t xml:space="preserve"> </w:t>
      </w:r>
      <w:r>
        <w:t>selected</w:t>
      </w:r>
      <w:r>
        <w:rPr>
          <w:spacing w:val="-6"/>
        </w:rPr>
        <w:t xml:space="preserve"> </w:t>
      </w:r>
      <w:r>
        <w:t>from</w:t>
      </w:r>
      <w:r>
        <w:rPr>
          <w:spacing w:val="-6"/>
        </w:rPr>
        <w:t xml:space="preserve"> </w:t>
      </w:r>
      <w:r>
        <w:t>a</w:t>
      </w:r>
      <w:r>
        <w:rPr>
          <w:spacing w:val="-6"/>
        </w:rPr>
        <w:t xml:space="preserve"> </w:t>
      </w:r>
      <w:r>
        <w:t>list</w:t>
      </w:r>
      <w:r>
        <w:rPr>
          <w:spacing w:val="-6"/>
        </w:rPr>
        <w:t xml:space="preserve"> </w:t>
      </w:r>
      <w:r>
        <w:t>of</w:t>
      </w:r>
      <w:r>
        <w:rPr>
          <w:spacing w:val="-6"/>
        </w:rPr>
        <w:t xml:space="preserve"> </w:t>
      </w:r>
      <w:r>
        <w:t>schools</w:t>
      </w:r>
      <w:r>
        <w:rPr>
          <w:spacing w:val="-6"/>
        </w:rPr>
        <w:t xml:space="preserve"> </w:t>
      </w:r>
      <w:r>
        <w:t>that</w:t>
      </w:r>
      <w:r>
        <w:rPr>
          <w:spacing w:val="-6"/>
        </w:rPr>
        <w:t xml:space="preserve"> </w:t>
      </w:r>
      <w:r>
        <w:t>were</w:t>
      </w:r>
      <w:r>
        <w:rPr>
          <w:spacing w:val="-6"/>
        </w:rPr>
        <w:t xml:space="preserve"> </w:t>
      </w:r>
      <w:r>
        <w:t>new</w:t>
      </w:r>
      <w:r>
        <w:rPr>
          <w:spacing w:val="-6"/>
        </w:rPr>
        <w:t xml:space="preserve"> </w:t>
      </w:r>
      <w:r>
        <w:t>or</w:t>
      </w:r>
      <w:r>
        <w:rPr>
          <w:spacing w:val="-6"/>
        </w:rPr>
        <w:t xml:space="preserve"> </w:t>
      </w:r>
      <w:r>
        <w:t>had</w:t>
      </w:r>
      <w:r>
        <w:rPr>
          <w:spacing w:val="-6"/>
        </w:rPr>
        <w:t xml:space="preserve"> </w:t>
      </w:r>
      <w:r>
        <w:t>become</w:t>
      </w:r>
      <w:r>
        <w:rPr>
          <w:spacing w:val="-6"/>
        </w:rPr>
        <w:t xml:space="preserve"> </w:t>
      </w:r>
      <w:r>
        <w:t>newly</w:t>
      </w:r>
      <w:r>
        <w:rPr>
          <w:spacing w:val="-6"/>
        </w:rPr>
        <w:t xml:space="preserve"> </w:t>
      </w:r>
      <w:r>
        <w:t>eligible</w:t>
      </w:r>
      <w:r>
        <w:rPr>
          <w:spacing w:val="-6"/>
        </w:rPr>
        <w:t xml:space="preserve"> </w:t>
      </w:r>
      <w:r>
        <w:t>sometime</w:t>
      </w:r>
      <w:r>
        <w:rPr>
          <w:spacing w:val="-6"/>
        </w:rPr>
        <w:t xml:space="preserve"> </w:t>
      </w:r>
      <w:r>
        <w:t>after</w:t>
      </w:r>
      <w:r>
        <w:rPr>
          <w:spacing w:val="-6"/>
        </w:rPr>
        <w:t xml:space="preserve"> </w:t>
      </w:r>
      <w:r>
        <w:t>the</w:t>
      </w:r>
      <w:r>
        <w:rPr>
          <w:spacing w:val="-6"/>
        </w:rPr>
        <w:t xml:space="preserve"> </w:t>
      </w:r>
      <w:r>
        <w:t>2019–2020</w:t>
      </w:r>
      <w:r>
        <w:rPr>
          <w:spacing w:val="-6"/>
        </w:rPr>
        <w:t xml:space="preserve"> </w:t>
      </w:r>
      <w:r>
        <w:t>school</w:t>
      </w:r>
      <w:r>
        <w:rPr>
          <w:spacing w:val="-6"/>
        </w:rPr>
        <w:t xml:space="preserve"> </w:t>
      </w:r>
      <w:r>
        <w:t>year.</w:t>
      </w:r>
      <w:r>
        <w:rPr>
          <w:spacing w:val="-9"/>
        </w:rPr>
        <w:t xml:space="preserve"> </w:t>
      </w:r>
      <w:r>
        <w:t>The</w:t>
      </w:r>
      <w:r>
        <w:rPr>
          <w:spacing w:val="-6"/>
        </w:rPr>
        <w:t xml:space="preserve"> </w:t>
      </w:r>
      <w:r>
        <w:t>goal</w:t>
      </w:r>
      <w:r>
        <w:rPr>
          <w:spacing w:val="-6"/>
        </w:rPr>
        <w:t xml:space="preserve"> </w:t>
      </w:r>
      <w:r>
        <w:t>was</w:t>
      </w:r>
      <w:r>
        <w:rPr>
          <w:spacing w:val="-6"/>
        </w:rPr>
        <w:t xml:space="preserve"> </w:t>
      </w:r>
      <w:r>
        <w:t>to</w:t>
      </w:r>
      <w:r>
        <w:rPr>
          <w:spacing w:val="-6"/>
        </w:rPr>
        <w:t xml:space="preserve"> </w:t>
      </w:r>
      <w:r>
        <w:t>allow</w:t>
      </w:r>
      <w:r>
        <w:rPr>
          <w:spacing w:val="-6"/>
        </w:rPr>
        <w:t xml:space="preserve"> </w:t>
      </w:r>
      <w:r>
        <w:t>every new school a chance of selection, thereby fully covering the target population of schools in operation during the 2021–2022 school year. It was infeasible to ask every school district</w:t>
      </w:r>
      <w:r>
        <w:rPr>
          <w:spacing w:val="-1"/>
        </w:rPr>
        <w:t xml:space="preserve"> </w:t>
      </w:r>
      <w:r>
        <w:t>in</w:t>
      </w:r>
      <w:r>
        <w:rPr>
          <w:spacing w:val="-1"/>
        </w:rPr>
        <w:t xml:space="preserve"> </w:t>
      </w:r>
      <w:r>
        <w:t>the</w:t>
      </w:r>
      <w:r>
        <w:rPr>
          <w:spacing w:val="-1"/>
        </w:rPr>
        <w:t xml:space="preserve"> </w:t>
      </w:r>
      <w:r>
        <w:t>United</w:t>
      </w:r>
      <w:r>
        <w:rPr>
          <w:spacing w:val="-1"/>
        </w:rPr>
        <w:t xml:space="preserve"> </w:t>
      </w:r>
      <w:r>
        <w:t>States</w:t>
      </w:r>
      <w:r>
        <w:rPr>
          <w:spacing w:val="-1"/>
        </w:rPr>
        <w:t xml:space="preserve"> </w:t>
      </w:r>
      <w:r>
        <w:t>to</w:t>
      </w:r>
      <w:r>
        <w:rPr>
          <w:spacing w:val="-1"/>
        </w:rPr>
        <w:t xml:space="preserve"> </w:t>
      </w:r>
      <w:r>
        <w:t>provide</w:t>
      </w:r>
      <w:r>
        <w:rPr>
          <w:spacing w:val="-1"/>
        </w:rPr>
        <w:t xml:space="preserve"> </w:t>
      </w:r>
      <w:r>
        <w:t>a</w:t>
      </w:r>
      <w:r>
        <w:rPr>
          <w:spacing w:val="-1"/>
        </w:rPr>
        <w:t xml:space="preserve"> </w:t>
      </w:r>
      <w:r>
        <w:t>supplemental</w:t>
      </w:r>
      <w:r>
        <w:rPr>
          <w:spacing w:val="-1"/>
        </w:rPr>
        <w:t xml:space="preserve"> </w:t>
      </w:r>
      <w:r>
        <w:t>school</w:t>
      </w:r>
      <w:r>
        <w:rPr>
          <w:spacing w:val="-1"/>
        </w:rPr>
        <w:t xml:space="preserve"> </w:t>
      </w:r>
      <w:r>
        <w:t>frame,</w:t>
      </w:r>
      <w:r>
        <w:rPr>
          <w:spacing w:val="-1"/>
        </w:rPr>
        <w:t xml:space="preserve"> </w:t>
      </w:r>
      <w:r>
        <w:t>so</w:t>
      </w:r>
      <w:r>
        <w:rPr>
          <w:spacing w:val="-1"/>
        </w:rPr>
        <w:t xml:space="preserve"> </w:t>
      </w:r>
      <w:r>
        <w:t>a</w:t>
      </w:r>
      <w:r>
        <w:rPr>
          <w:spacing w:val="-1"/>
        </w:rPr>
        <w:t xml:space="preserve"> </w:t>
      </w:r>
      <w:r>
        <w:t>two-stage</w:t>
      </w:r>
      <w:r>
        <w:rPr>
          <w:spacing w:val="-1"/>
        </w:rPr>
        <w:t xml:space="preserve"> </w:t>
      </w:r>
      <w:r>
        <w:t>procedure</w:t>
      </w:r>
      <w:r>
        <w:rPr>
          <w:spacing w:val="-1"/>
        </w:rPr>
        <w:t xml:space="preserve"> </w:t>
      </w:r>
      <w:r>
        <w:t>was</w:t>
      </w:r>
      <w:r>
        <w:rPr>
          <w:spacing w:val="-1"/>
        </w:rPr>
        <w:t xml:space="preserve"> </w:t>
      </w:r>
      <w:r>
        <w:t>employed.</w:t>
      </w:r>
      <w:r>
        <w:rPr>
          <w:spacing w:val="-1"/>
        </w:rPr>
        <w:t xml:space="preserve"> </w:t>
      </w:r>
      <w:r>
        <w:t>First,</w:t>
      </w:r>
      <w:r>
        <w:rPr>
          <w:spacing w:val="-1"/>
        </w:rPr>
        <w:t xml:space="preserve"> </w:t>
      </w:r>
      <w:r>
        <w:t>a</w:t>
      </w:r>
      <w:r>
        <w:rPr>
          <w:spacing w:val="-1"/>
        </w:rPr>
        <w:t xml:space="preserve"> </w:t>
      </w:r>
      <w:r>
        <w:t>sample</w:t>
      </w:r>
      <w:r>
        <w:rPr>
          <w:spacing w:val="-1"/>
        </w:rPr>
        <w:t xml:space="preserve"> </w:t>
      </w:r>
      <w:r>
        <w:t>of</w:t>
      </w:r>
      <w:r>
        <w:rPr>
          <w:spacing w:val="-1"/>
        </w:rPr>
        <w:t xml:space="preserve"> </w:t>
      </w:r>
      <w:r>
        <w:t>school</w:t>
      </w:r>
      <w:r>
        <w:rPr>
          <w:spacing w:val="-1"/>
        </w:rPr>
        <w:t xml:space="preserve"> </w:t>
      </w:r>
      <w:r>
        <w:t>districts</w:t>
      </w:r>
      <w:r>
        <w:rPr>
          <w:spacing w:val="-1"/>
        </w:rPr>
        <w:t xml:space="preserve"> </w:t>
      </w:r>
      <w:r>
        <w:t>was</w:t>
      </w:r>
      <w:r>
        <w:rPr>
          <w:spacing w:val="-1"/>
        </w:rPr>
        <w:t xml:space="preserve"> </w:t>
      </w:r>
      <w:r>
        <w:t>selected</w:t>
      </w:r>
      <w:r>
        <w:rPr>
          <w:spacing w:val="-1"/>
        </w:rPr>
        <w:t xml:space="preserve"> </w:t>
      </w:r>
      <w:r>
        <w:t>within</w:t>
      </w:r>
      <w:r>
        <w:rPr>
          <w:spacing w:val="-1"/>
        </w:rPr>
        <w:t xml:space="preserve"> </w:t>
      </w:r>
      <w:r>
        <w:t>each</w:t>
      </w:r>
      <w:r>
        <w:rPr>
          <w:spacing w:val="-1"/>
        </w:rPr>
        <w:t xml:space="preserve"> </w:t>
      </w:r>
      <w:r>
        <w:t>state. Then each State or</w:t>
      </w:r>
      <w:r>
        <w:rPr>
          <w:spacing w:val="-3"/>
        </w:rPr>
        <w:t xml:space="preserve"> </w:t>
      </w:r>
      <w:r>
        <w:t>Trial Urban District</w:t>
      </w:r>
      <w:r>
        <w:rPr>
          <w:spacing w:val="-11"/>
        </w:rPr>
        <w:t xml:space="preserve"> </w:t>
      </w:r>
      <w:r>
        <w:t>Assessment (TUDA) Coordinator was sent a list of the schools within their sampled districts that had been present on the 2019–</w:t>
      </w:r>
    </w:p>
    <w:p w:rsidR="003F5784" w14:paraId="170A57D5" w14:textId="77777777">
      <w:pPr>
        <w:pStyle w:val="BodyText"/>
        <w:spacing w:line="237" w:lineRule="exact"/>
        <w:ind w:left="109"/>
      </w:pPr>
      <w:r>
        <w:t>2020</w:t>
      </w:r>
      <w:r>
        <w:rPr>
          <w:spacing w:val="-5"/>
        </w:rPr>
        <w:t xml:space="preserve"> </w:t>
      </w:r>
      <w:r>
        <w:t>CCD</w:t>
      </w:r>
      <w:r>
        <w:rPr>
          <w:spacing w:val="-5"/>
        </w:rPr>
        <w:t xml:space="preserve"> </w:t>
      </w:r>
      <w:r>
        <w:t>file.</w:t>
      </w:r>
      <w:r>
        <w:rPr>
          <w:spacing w:val="-9"/>
        </w:rPr>
        <w:t xml:space="preserve"> </w:t>
      </w:r>
      <w:r>
        <w:t>The</w:t>
      </w:r>
      <w:r>
        <w:rPr>
          <w:spacing w:val="-5"/>
        </w:rPr>
        <w:t xml:space="preserve"> </w:t>
      </w:r>
      <w:r>
        <w:t>Coordinators</w:t>
      </w:r>
      <w:r>
        <w:rPr>
          <w:spacing w:val="-5"/>
        </w:rPr>
        <w:t xml:space="preserve"> </w:t>
      </w:r>
      <w:r>
        <w:t>were</w:t>
      </w:r>
      <w:r>
        <w:rPr>
          <w:spacing w:val="-5"/>
        </w:rPr>
        <w:t xml:space="preserve"> </w:t>
      </w:r>
      <w:r>
        <w:t>asked</w:t>
      </w:r>
      <w:r>
        <w:rPr>
          <w:spacing w:val="-5"/>
        </w:rPr>
        <w:t xml:space="preserve"> </w:t>
      </w:r>
      <w:r>
        <w:t>to</w:t>
      </w:r>
      <w:r>
        <w:rPr>
          <w:spacing w:val="-5"/>
        </w:rPr>
        <w:t xml:space="preserve"> </w:t>
      </w:r>
      <w:r>
        <w:t>add</w:t>
      </w:r>
      <w:r>
        <w:rPr>
          <w:spacing w:val="-5"/>
        </w:rPr>
        <w:t xml:space="preserve"> </w:t>
      </w:r>
      <w:r>
        <w:t>in</w:t>
      </w:r>
      <w:r>
        <w:rPr>
          <w:spacing w:val="-5"/>
        </w:rPr>
        <w:t xml:space="preserve"> </w:t>
      </w:r>
      <w:r>
        <w:t>any</w:t>
      </w:r>
      <w:r>
        <w:rPr>
          <w:spacing w:val="-5"/>
        </w:rPr>
        <w:t xml:space="preserve"> </w:t>
      </w:r>
      <w:r>
        <w:t>new</w:t>
      </w:r>
      <w:r>
        <w:rPr>
          <w:spacing w:val="-5"/>
        </w:rPr>
        <w:t xml:space="preserve"> </w:t>
      </w:r>
      <w:r>
        <w:t>schools</w:t>
      </w:r>
      <w:r>
        <w:rPr>
          <w:spacing w:val="-5"/>
        </w:rPr>
        <w:t xml:space="preserve"> </w:t>
      </w:r>
      <w:r>
        <w:t>and</w:t>
      </w:r>
      <w:r>
        <w:rPr>
          <w:spacing w:val="-5"/>
        </w:rPr>
        <w:t xml:space="preserve"> </w:t>
      </w:r>
      <w:r>
        <w:t>update</w:t>
      </w:r>
      <w:r>
        <w:rPr>
          <w:spacing w:val="-5"/>
        </w:rPr>
        <w:t xml:space="preserve"> </w:t>
      </w:r>
      <w:r>
        <w:t>grade</w:t>
      </w:r>
      <w:r>
        <w:rPr>
          <w:spacing w:val="-5"/>
        </w:rPr>
        <w:t xml:space="preserve"> </w:t>
      </w:r>
      <w:r>
        <w:t>span</w:t>
      </w:r>
      <w:r>
        <w:rPr>
          <w:spacing w:val="-5"/>
        </w:rPr>
        <w:t xml:space="preserve"> </w:t>
      </w:r>
      <w:r>
        <w:t>for</w:t>
      </w:r>
      <w:r>
        <w:rPr>
          <w:spacing w:val="-5"/>
        </w:rPr>
        <w:t xml:space="preserve"> </w:t>
      </w:r>
      <w:r>
        <w:t>the</w:t>
      </w:r>
      <w:r>
        <w:rPr>
          <w:spacing w:val="-5"/>
        </w:rPr>
        <w:t xml:space="preserve"> </w:t>
      </w:r>
      <w:r>
        <w:t>schools</w:t>
      </w:r>
      <w:r>
        <w:rPr>
          <w:spacing w:val="-5"/>
        </w:rPr>
        <w:t xml:space="preserve"> </w:t>
      </w:r>
      <w:r>
        <w:t>on</w:t>
      </w:r>
      <w:r>
        <w:rPr>
          <w:spacing w:val="-5"/>
        </w:rPr>
        <w:t xml:space="preserve"> </w:t>
      </w:r>
      <w:r>
        <w:t>this</w:t>
      </w:r>
      <w:r>
        <w:rPr>
          <w:spacing w:val="-5"/>
        </w:rPr>
        <w:t xml:space="preserve"> </w:t>
      </w:r>
      <w:r>
        <w:rPr>
          <w:spacing w:val="-2"/>
        </w:rPr>
        <w:t>list.</w:t>
      </w:r>
    </w:p>
    <w:p w:rsidR="003F5784" w14:paraId="02D83E21" w14:textId="77777777">
      <w:pPr>
        <w:pStyle w:val="BodyText"/>
        <w:spacing w:before="202" w:line="439" w:lineRule="auto"/>
        <w:ind w:left="109" w:right="588"/>
      </w:pPr>
      <w:r>
        <w:t>The</w:t>
      </w:r>
      <w:r>
        <w:rPr>
          <w:spacing w:val="-6"/>
        </w:rPr>
        <w:t xml:space="preserve"> </w:t>
      </w:r>
      <w:r>
        <w:t>new-school</w:t>
      </w:r>
      <w:r>
        <w:rPr>
          <w:spacing w:val="-6"/>
        </w:rPr>
        <w:t xml:space="preserve"> </w:t>
      </w:r>
      <w:r>
        <w:t>process</w:t>
      </w:r>
      <w:r>
        <w:rPr>
          <w:spacing w:val="-6"/>
        </w:rPr>
        <w:t xml:space="preserve"> </w:t>
      </w:r>
      <w:r>
        <w:t>began</w:t>
      </w:r>
      <w:r>
        <w:rPr>
          <w:spacing w:val="-6"/>
        </w:rPr>
        <w:t xml:space="preserve"> </w:t>
      </w:r>
      <w:r>
        <w:t>with</w:t>
      </w:r>
      <w:r>
        <w:rPr>
          <w:spacing w:val="-6"/>
        </w:rPr>
        <w:t xml:space="preserve"> </w:t>
      </w:r>
      <w:r>
        <w:t>the</w:t>
      </w:r>
      <w:r>
        <w:rPr>
          <w:spacing w:val="-6"/>
        </w:rPr>
        <w:t xml:space="preserve"> </w:t>
      </w:r>
      <w:r>
        <w:t>preparation</w:t>
      </w:r>
      <w:r>
        <w:rPr>
          <w:spacing w:val="-6"/>
        </w:rPr>
        <w:t xml:space="preserve"> </w:t>
      </w:r>
      <w:r>
        <w:t>of</w:t>
      </w:r>
      <w:r>
        <w:rPr>
          <w:spacing w:val="-6"/>
        </w:rPr>
        <w:t xml:space="preserve"> </w:t>
      </w:r>
      <w:r>
        <w:t>a</w:t>
      </w:r>
      <w:r>
        <w:rPr>
          <w:spacing w:val="-6"/>
        </w:rPr>
        <w:t xml:space="preserve"> </w:t>
      </w:r>
      <w:r>
        <w:t>district-level</w:t>
      </w:r>
      <w:r>
        <w:rPr>
          <w:spacing w:val="-6"/>
        </w:rPr>
        <w:t xml:space="preserve"> </w:t>
      </w:r>
      <w:r>
        <w:t>frame.</w:t>
      </w:r>
      <w:r>
        <w:rPr>
          <w:spacing w:val="-10"/>
        </w:rPr>
        <w:t xml:space="preserve"> </w:t>
      </w:r>
      <w:r>
        <w:t>The</w:t>
      </w:r>
      <w:r>
        <w:rPr>
          <w:spacing w:val="-6"/>
        </w:rPr>
        <w:t xml:space="preserve"> </w:t>
      </w:r>
      <w:r>
        <w:t>starting</w:t>
      </w:r>
      <w:r>
        <w:rPr>
          <w:spacing w:val="-6"/>
        </w:rPr>
        <w:t xml:space="preserve"> </w:t>
      </w:r>
      <w:r>
        <w:t>point</w:t>
      </w:r>
      <w:r>
        <w:rPr>
          <w:spacing w:val="-6"/>
        </w:rPr>
        <w:t xml:space="preserve"> </w:t>
      </w:r>
      <w:r>
        <w:t>was</w:t>
      </w:r>
      <w:r>
        <w:rPr>
          <w:spacing w:val="-6"/>
        </w:rPr>
        <w:t xml:space="preserve"> </w:t>
      </w:r>
      <w:r>
        <w:t>a</w:t>
      </w:r>
      <w:r>
        <w:rPr>
          <w:spacing w:val="-6"/>
        </w:rPr>
        <w:t xml:space="preserve"> </w:t>
      </w:r>
      <w:r>
        <w:t>file</w:t>
      </w:r>
      <w:r>
        <w:rPr>
          <w:spacing w:val="-6"/>
        </w:rPr>
        <w:t xml:space="preserve"> </w:t>
      </w:r>
      <w:r>
        <w:t>containing</w:t>
      </w:r>
      <w:r>
        <w:rPr>
          <w:spacing w:val="-6"/>
        </w:rPr>
        <w:t xml:space="preserve"> </w:t>
      </w:r>
      <w:r>
        <w:t>every</w:t>
      </w:r>
      <w:r>
        <w:rPr>
          <w:spacing w:val="-6"/>
        </w:rPr>
        <w:t xml:space="preserve"> </w:t>
      </w:r>
      <w:r>
        <w:t>public</w:t>
      </w:r>
      <w:r>
        <w:rPr>
          <w:spacing w:val="-6"/>
        </w:rPr>
        <w:t xml:space="preserve"> </w:t>
      </w:r>
      <w:r>
        <w:t>school</w:t>
      </w:r>
      <w:r>
        <w:rPr>
          <w:spacing w:val="-6"/>
        </w:rPr>
        <w:t xml:space="preserve"> </w:t>
      </w:r>
      <w:r>
        <w:t>district</w:t>
      </w:r>
      <w:r>
        <w:rPr>
          <w:spacing w:val="-6"/>
        </w:rPr>
        <w:t xml:space="preserve"> </w:t>
      </w:r>
      <w:r>
        <w:t>in</w:t>
      </w:r>
      <w:r>
        <w:rPr>
          <w:spacing w:val="-6"/>
        </w:rPr>
        <w:t xml:space="preserve"> </w:t>
      </w:r>
      <w:r>
        <w:t>the</w:t>
      </w:r>
      <w:r>
        <w:rPr>
          <w:spacing w:val="-6"/>
        </w:rPr>
        <w:t xml:space="preserve"> </w:t>
      </w:r>
      <w:r>
        <w:t>United</w:t>
      </w:r>
      <w:r>
        <w:rPr>
          <w:spacing w:val="-6"/>
        </w:rPr>
        <w:t xml:space="preserve"> </w:t>
      </w:r>
      <w:r>
        <w:t xml:space="preserve">States. Specific districts were designated as in sample with </w:t>
      </w:r>
      <w:r>
        <w:rPr>
          <w:color w:val="0066CC"/>
        </w:rPr>
        <w:t>certainty</w:t>
      </w:r>
      <w:r>
        <w:t>. They included the following districts:</w:t>
      </w:r>
    </w:p>
    <w:p w:rsidR="003F5784" w14:paraId="3CD430DC" w14:textId="77777777">
      <w:pPr>
        <w:pStyle w:val="BodyText"/>
        <w:spacing w:before="2" w:line="439" w:lineRule="auto"/>
        <w:ind w:left="422" w:right="6889"/>
      </w:pPr>
      <w:r>
        <w:rPr>
          <w:noProof/>
          <w:position w:val="3"/>
        </w:rPr>
        <w:drawing>
          <wp:inline distT="0" distB="0" distL="0" distR="0">
            <wp:extent cx="41379" cy="41378"/>
            <wp:effectExtent l="0" t="0" r="0" b="0"/>
            <wp:docPr id="338" name="Image 338"/>
            <wp:cNvGraphicFramePr/>
            <a:graphic xmlns:a="http://schemas.openxmlformats.org/drawingml/2006/main">
              <a:graphicData uri="http://schemas.openxmlformats.org/drawingml/2006/picture">
                <pic:pic xmlns:pic="http://schemas.openxmlformats.org/drawingml/2006/picture">
                  <pic:nvPicPr>
                    <pic:cNvPr id="338" name="Image 338"/>
                    <pic:cNvPicPr/>
                  </pic:nvPicPr>
                  <pic:blipFill>
                    <a:blip xmlns:r="http://schemas.openxmlformats.org/officeDocument/2006/relationships" r:embed="rId264" cstate="print"/>
                    <a:stretch>
                      <a:fillRect/>
                    </a:stretch>
                  </pic:blipFill>
                  <pic:spPr>
                    <a:xfrm>
                      <a:off x="0" y="0"/>
                      <a:ext cx="41379" cy="41378"/>
                    </a:xfrm>
                    <a:prstGeom prst="rect">
                      <a:avLst/>
                    </a:prstGeom>
                  </pic:spPr>
                </pic:pic>
              </a:graphicData>
            </a:graphic>
          </wp:inline>
        </w:drawing>
      </w:r>
      <w:r>
        <w:rPr>
          <w:spacing w:val="80"/>
          <w:sz w:val="20"/>
        </w:rPr>
        <w:t xml:space="preserve"> </w:t>
      </w:r>
      <w:r>
        <w:t>districts</w:t>
      </w:r>
      <w:r>
        <w:rPr>
          <w:spacing w:val="-6"/>
        </w:rPr>
        <w:t xml:space="preserve"> </w:t>
      </w:r>
      <w:r>
        <w:t>in</w:t>
      </w:r>
      <w:r>
        <w:rPr>
          <w:spacing w:val="-6"/>
        </w:rPr>
        <w:t xml:space="preserve"> </w:t>
      </w:r>
      <w:r>
        <w:t>jurisdictions</w:t>
      </w:r>
      <w:r>
        <w:rPr>
          <w:spacing w:val="-6"/>
        </w:rPr>
        <w:t xml:space="preserve"> </w:t>
      </w:r>
      <w:r>
        <w:t>where</w:t>
      </w:r>
      <w:r>
        <w:rPr>
          <w:spacing w:val="-6"/>
        </w:rPr>
        <w:t xml:space="preserve"> </w:t>
      </w:r>
      <w:r>
        <w:t>all</w:t>
      </w:r>
      <w:r>
        <w:rPr>
          <w:spacing w:val="-6"/>
        </w:rPr>
        <w:t xml:space="preserve"> </w:t>
      </w:r>
      <w:r>
        <w:t>schools</w:t>
      </w:r>
      <w:r>
        <w:rPr>
          <w:spacing w:val="-6"/>
        </w:rPr>
        <w:t xml:space="preserve"> </w:t>
      </w:r>
      <w:r>
        <w:t>were</w:t>
      </w:r>
      <w:r>
        <w:rPr>
          <w:spacing w:val="-6"/>
        </w:rPr>
        <w:t xml:space="preserve"> </w:t>
      </w:r>
      <w:r>
        <w:t>selected</w:t>
      </w:r>
      <w:r>
        <w:rPr>
          <w:spacing w:val="-6"/>
        </w:rPr>
        <w:t xml:space="preserve"> </w:t>
      </w:r>
      <w:r>
        <w:t>for</w:t>
      </w:r>
      <w:r>
        <w:rPr>
          <w:spacing w:val="-6"/>
        </w:rPr>
        <w:t xml:space="preserve"> </w:t>
      </w:r>
      <w:r>
        <w:t>sample</w:t>
      </w:r>
      <w:r>
        <w:rPr>
          <w:spacing w:val="-6"/>
        </w:rPr>
        <w:t xml:space="preserve"> </w:t>
      </w:r>
      <w:r>
        <w:t>at</w:t>
      </w:r>
      <w:r>
        <w:rPr>
          <w:spacing w:val="-6"/>
        </w:rPr>
        <w:t xml:space="preserve"> </w:t>
      </w:r>
      <w:r>
        <w:t>either</w:t>
      </w:r>
      <w:r>
        <w:rPr>
          <w:spacing w:val="-6"/>
        </w:rPr>
        <w:t xml:space="preserve"> </w:t>
      </w:r>
      <w:r>
        <w:t>grade</w:t>
      </w:r>
      <w:r>
        <w:rPr>
          <w:spacing w:val="-6"/>
        </w:rPr>
        <w:t xml:space="preserve"> </w:t>
      </w:r>
      <w:r>
        <w:t>4</w:t>
      </w:r>
      <w:r>
        <w:rPr>
          <w:spacing w:val="-6"/>
        </w:rPr>
        <w:t xml:space="preserve"> </w:t>
      </w:r>
      <w:r>
        <w:t>or</w:t>
      </w:r>
      <w:r>
        <w:rPr>
          <w:spacing w:val="-6"/>
        </w:rPr>
        <w:t xml:space="preserve"> </w:t>
      </w:r>
      <w:r>
        <w:t xml:space="preserve">8; </w:t>
      </w:r>
      <w:r>
        <w:rPr>
          <w:noProof/>
          <w:position w:val="3"/>
        </w:rPr>
        <w:drawing>
          <wp:inline distT="0" distB="0" distL="0" distR="0">
            <wp:extent cx="41379" cy="41378"/>
            <wp:effectExtent l="0" t="0" r="0" b="0"/>
            <wp:docPr id="339" name="Image 339"/>
            <wp:cNvGraphicFramePr/>
            <a:graphic xmlns:a="http://schemas.openxmlformats.org/drawingml/2006/main">
              <a:graphicData uri="http://schemas.openxmlformats.org/drawingml/2006/picture">
                <pic:pic xmlns:pic="http://schemas.openxmlformats.org/drawingml/2006/picture">
                  <pic:nvPicPr>
                    <pic:cNvPr id="339" name="Image 339"/>
                    <pic:cNvPicPr/>
                  </pic:nvPicPr>
                  <pic:blipFill>
                    <a:blip xmlns:r="http://schemas.openxmlformats.org/officeDocument/2006/relationships" r:embed="rId265" cstate="print"/>
                    <a:stretch>
                      <a:fillRect/>
                    </a:stretch>
                  </pic:blipFill>
                  <pic:spPr>
                    <a:xfrm>
                      <a:off x="0" y="0"/>
                      <a:ext cx="41379" cy="41378"/>
                    </a:xfrm>
                    <a:prstGeom prst="rect">
                      <a:avLst/>
                    </a:prstGeom>
                  </pic:spPr>
                </pic:pic>
              </a:graphicData>
            </a:graphic>
          </wp:inline>
        </w:drawing>
      </w:r>
      <w:r>
        <w:rPr>
          <w:spacing w:val="80"/>
        </w:rPr>
        <w:t xml:space="preserve"> </w:t>
      </w:r>
      <w:r>
        <w:t>state-operated districts;</w:t>
      </w:r>
    </w:p>
    <w:p w:rsidR="003F5784" w14:paraId="33633C98" w14:textId="77777777">
      <w:pPr>
        <w:pStyle w:val="BodyText"/>
        <w:spacing w:before="3"/>
        <w:ind w:left="422"/>
      </w:pPr>
      <w:r>
        <w:rPr>
          <w:noProof/>
          <w:position w:val="3"/>
        </w:rPr>
        <w:drawing>
          <wp:inline distT="0" distB="0" distL="0" distR="0">
            <wp:extent cx="41379" cy="41378"/>
            <wp:effectExtent l="0" t="0" r="0" b="0"/>
            <wp:docPr id="340" name="Image 340"/>
            <wp:cNvGraphicFramePr/>
            <a:graphic xmlns:a="http://schemas.openxmlformats.org/drawingml/2006/main">
              <a:graphicData uri="http://schemas.openxmlformats.org/drawingml/2006/picture">
                <pic:pic xmlns:pic="http://schemas.openxmlformats.org/drawingml/2006/picture">
                  <pic:nvPicPr>
                    <pic:cNvPr id="340" name="Image 340"/>
                    <pic:cNvPicPr/>
                  </pic:nvPicPr>
                  <pic:blipFill>
                    <a:blip xmlns:r="http://schemas.openxmlformats.org/officeDocument/2006/relationships" r:embed="rId266" cstate="print"/>
                    <a:stretch>
                      <a:fillRect/>
                    </a:stretch>
                  </pic:blipFill>
                  <pic:spPr>
                    <a:xfrm>
                      <a:off x="0" y="0"/>
                      <a:ext cx="41379" cy="41378"/>
                    </a:xfrm>
                    <a:prstGeom prst="rect">
                      <a:avLst/>
                    </a:prstGeom>
                  </pic:spPr>
                </pic:pic>
              </a:graphicData>
            </a:graphic>
          </wp:inline>
        </w:drawing>
      </w:r>
      <w:r>
        <w:rPr>
          <w:spacing w:val="80"/>
          <w:sz w:val="20"/>
        </w:rPr>
        <w:t xml:space="preserve"> </w:t>
      </w:r>
      <w:r>
        <w:t>districts in states with fewer than 10 districts;</w:t>
      </w:r>
    </w:p>
    <w:p w:rsidR="003F5784" w14:paraId="01186771" w14:textId="77777777">
      <w:pPr>
        <w:pStyle w:val="BodyText"/>
        <w:spacing w:before="201" w:line="439" w:lineRule="auto"/>
        <w:ind w:left="422" w:right="6637"/>
      </w:pPr>
      <w:r>
        <w:rPr>
          <w:noProof/>
          <w:position w:val="3"/>
        </w:rPr>
        <w:drawing>
          <wp:inline distT="0" distB="0" distL="0" distR="0">
            <wp:extent cx="41379" cy="41378"/>
            <wp:effectExtent l="0" t="0" r="0" b="0"/>
            <wp:docPr id="341" name="Image 341"/>
            <wp:cNvGraphicFramePr/>
            <a:graphic xmlns:a="http://schemas.openxmlformats.org/drawingml/2006/main">
              <a:graphicData uri="http://schemas.openxmlformats.org/drawingml/2006/picture">
                <pic:pic xmlns:pic="http://schemas.openxmlformats.org/drawingml/2006/picture">
                  <pic:nvPicPr>
                    <pic:cNvPr id="341" name="Image 341"/>
                    <pic:cNvPicPr/>
                  </pic:nvPicPr>
                  <pic:blipFill>
                    <a:blip xmlns:r="http://schemas.openxmlformats.org/officeDocument/2006/relationships" r:embed="rId267" cstate="print"/>
                    <a:stretch>
                      <a:fillRect/>
                    </a:stretch>
                  </pic:blipFill>
                  <pic:spPr>
                    <a:xfrm>
                      <a:off x="0" y="0"/>
                      <a:ext cx="41379" cy="41378"/>
                    </a:xfrm>
                    <a:prstGeom prst="rect">
                      <a:avLst/>
                    </a:prstGeom>
                  </pic:spPr>
                </pic:pic>
              </a:graphicData>
            </a:graphic>
          </wp:inline>
        </w:drawing>
      </w:r>
      <w:r>
        <w:rPr>
          <w:spacing w:val="77"/>
          <w:sz w:val="20"/>
        </w:rPr>
        <w:t xml:space="preserve"> </w:t>
      </w:r>
      <w:r>
        <w:t>charter-only</w:t>
      </w:r>
      <w:r>
        <w:rPr>
          <w:spacing w:val="-7"/>
        </w:rPr>
        <w:t xml:space="preserve"> </w:t>
      </w:r>
      <w:r>
        <w:t>districts</w:t>
      </w:r>
      <w:r>
        <w:rPr>
          <w:spacing w:val="-7"/>
        </w:rPr>
        <w:t xml:space="preserve"> </w:t>
      </w:r>
      <w:r>
        <w:t>(that</w:t>
      </w:r>
      <w:r>
        <w:rPr>
          <w:spacing w:val="-7"/>
        </w:rPr>
        <w:t xml:space="preserve"> </w:t>
      </w:r>
      <w:r>
        <w:t>is,</w:t>
      </w:r>
      <w:r>
        <w:rPr>
          <w:spacing w:val="-7"/>
        </w:rPr>
        <w:t xml:space="preserve"> </w:t>
      </w:r>
      <w:r>
        <w:t>districts</w:t>
      </w:r>
      <w:r>
        <w:rPr>
          <w:spacing w:val="-7"/>
        </w:rPr>
        <w:t xml:space="preserve"> </w:t>
      </w:r>
      <w:r>
        <w:t>containing</w:t>
      </w:r>
      <w:r>
        <w:rPr>
          <w:spacing w:val="-7"/>
        </w:rPr>
        <w:t xml:space="preserve"> </w:t>
      </w:r>
      <w:r>
        <w:t>no</w:t>
      </w:r>
      <w:r>
        <w:rPr>
          <w:spacing w:val="-7"/>
        </w:rPr>
        <w:t xml:space="preserve"> </w:t>
      </w:r>
      <w:r>
        <w:t>schools</w:t>
      </w:r>
      <w:r>
        <w:rPr>
          <w:spacing w:val="-7"/>
        </w:rPr>
        <w:t xml:space="preserve"> </w:t>
      </w:r>
      <w:r>
        <w:t>other</w:t>
      </w:r>
      <w:r>
        <w:rPr>
          <w:spacing w:val="-7"/>
        </w:rPr>
        <w:t xml:space="preserve"> </w:t>
      </w:r>
      <w:r>
        <w:t>than</w:t>
      </w:r>
      <w:r>
        <w:rPr>
          <w:spacing w:val="-7"/>
        </w:rPr>
        <w:t xml:space="preserve"> </w:t>
      </w:r>
      <w:r>
        <w:t>charter</w:t>
      </w:r>
      <w:r>
        <w:rPr>
          <w:spacing w:val="-7"/>
        </w:rPr>
        <w:t xml:space="preserve"> </w:t>
      </w:r>
      <w:r>
        <w:t>schools);</w:t>
      </w:r>
      <w:r>
        <w:rPr>
          <w:spacing w:val="-7"/>
        </w:rPr>
        <w:t xml:space="preserve"> </w:t>
      </w:r>
      <w:r>
        <w:t xml:space="preserve">and </w:t>
      </w:r>
      <w:r>
        <w:rPr>
          <w:noProof/>
          <w:position w:val="3"/>
        </w:rPr>
        <w:drawing>
          <wp:inline distT="0" distB="0" distL="0" distR="0">
            <wp:extent cx="41379" cy="41378"/>
            <wp:effectExtent l="0" t="0" r="0" b="0"/>
            <wp:docPr id="342" name="Image 342"/>
            <wp:cNvGraphicFramePr/>
            <a:graphic xmlns:a="http://schemas.openxmlformats.org/drawingml/2006/main">
              <a:graphicData uri="http://schemas.openxmlformats.org/drawingml/2006/picture">
                <pic:pic xmlns:pic="http://schemas.openxmlformats.org/drawingml/2006/picture">
                  <pic:nvPicPr>
                    <pic:cNvPr id="342" name="Image 342"/>
                    <pic:cNvPicPr/>
                  </pic:nvPicPr>
                  <pic:blipFill>
                    <a:blip xmlns:r="http://schemas.openxmlformats.org/officeDocument/2006/relationships" r:embed="rId268" cstate="print"/>
                    <a:stretch>
                      <a:fillRect/>
                    </a:stretch>
                  </pic:blipFill>
                  <pic:spPr>
                    <a:xfrm>
                      <a:off x="0" y="0"/>
                      <a:ext cx="41379" cy="41378"/>
                    </a:xfrm>
                    <a:prstGeom prst="rect">
                      <a:avLst/>
                    </a:prstGeom>
                  </pic:spPr>
                </pic:pic>
              </a:graphicData>
            </a:graphic>
          </wp:inline>
        </w:drawing>
      </w:r>
      <w:r>
        <w:rPr>
          <w:spacing w:val="80"/>
        </w:rPr>
        <w:t xml:space="preserve"> </w:t>
      </w:r>
      <w:r>
        <w:t>TUDA districts.</w:t>
      </w:r>
    </w:p>
    <w:p w:rsidR="003F5784" w14:paraId="204513D3" w14:textId="77777777">
      <w:pPr>
        <w:pStyle w:val="BodyText"/>
        <w:spacing w:before="8" w:line="232" w:lineRule="auto"/>
        <w:ind w:left="109" w:right="179"/>
      </w:pPr>
      <w:r>
        <w:t>Then</w:t>
      </w:r>
      <w:r>
        <w:rPr>
          <w:spacing w:val="-6"/>
        </w:rPr>
        <w:t xml:space="preserve"> </w:t>
      </w:r>
      <w:r>
        <w:t>noncertainty</w:t>
      </w:r>
      <w:r>
        <w:rPr>
          <w:spacing w:val="-6"/>
        </w:rPr>
        <w:t xml:space="preserve"> </w:t>
      </w:r>
      <w:r>
        <w:t>districts</w:t>
      </w:r>
      <w:r>
        <w:rPr>
          <w:spacing w:val="-6"/>
        </w:rPr>
        <w:t xml:space="preserve"> </w:t>
      </w:r>
      <w:r>
        <w:t>were</w:t>
      </w:r>
      <w:r>
        <w:rPr>
          <w:spacing w:val="-6"/>
        </w:rPr>
        <w:t xml:space="preserve"> </w:t>
      </w:r>
      <w:r>
        <w:t>classified</w:t>
      </w:r>
      <w:r>
        <w:rPr>
          <w:spacing w:val="-6"/>
        </w:rPr>
        <w:t xml:space="preserve"> </w:t>
      </w:r>
      <w:r>
        <w:t>as</w:t>
      </w:r>
      <w:r>
        <w:rPr>
          <w:spacing w:val="-6"/>
        </w:rPr>
        <w:t xml:space="preserve"> </w:t>
      </w:r>
      <w:r>
        <w:t>small,</w:t>
      </w:r>
      <w:r>
        <w:rPr>
          <w:spacing w:val="-6"/>
        </w:rPr>
        <w:t xml:space="preserve"> </w:t>
      </w:r>
      <w:r>
        <w:t>medium,</w:t>
      </w:r>
      <w:r>
        <w:rPr>
          <w:spacing w:val="-6"/>
        </w:rPr>
        <w:t xml:space="preserve"> </w:t>
      </w:r>
      <w:r>
        <w:t>or</w:t>
      </w:r>
      <w:r>
        <w:rPr>
          <w:spacing w:val="-6"/>
        </w:rPr>
        <w:t xml:space="preserve"> </w:t>
      </w:r>
      <w:r>
        <w:t>large</w:t>
      </w:r>
      <w:r>
        <w:rPr>
          <w:spacing w:val="-6"/>
        </w:rPr>
        <w:t xml:space="preserve"> </w:t>
      </w:r>
      <w:r>
        <w:t>based</w:t>
      </w:r>
      <w:r>
        <w:rPr>
          <w:spacing w:val="-6"/>
        </w:rPr>
        <w:t xml:space="preserve"> </w:t>
      </w:r>
      <w:r>
        <w:t>on</w:t>
      </w:r>
      <w:r>
        <w:rPr>
          <w:spacing w:val="-6"/>
        </w:rPr>
        <w:t xml:space="preserve"> </w:t>
      </w:r>
      <w:r>
        <w:t>the</w:t>
      </w:r>
      <w:r>
        <w:rPr>
          <w:spacing w:val="-6"/>
        </w:rPr>
        <w:t xml:space="preserve"> </w:t>
      </w:r>
      <w:r>
        <w:t>number</w:t>
      </w:r>
      <w:r>
        <w:rPr>
          <w:spacing w:val="-6"/>
        </w:rPr>
        <w:t xml:space="preserve"> </w:t>
      </w:r>
      <w:r>
        <w:t>of</w:t>
      </w:r>
      <w:r>
        <w:rPr>
          <w:spacing w:val="-6"/>
        </w:rPr>
        <w:t xml:space="preserve"> </w:t>
      </w:r>
      <w:r>
        <w:t>schools</w:t>
      </w:r>
      <w:r>
        <w:rPr>
          <w:spacing w:val="-6"/>
        </w:rPr>
        <w:t xml:space="preserve"> </w:t>
      </w:r>
      <w:r>
        <w:t>and</w:t>
      </w:r>
      <w:r>
        <w:rPr>
          <w:spacing w:val="-6"/>
        </w:rPr>
        <w:t xml:space="preserve"> </w:t>
      </w:r>
      <w:r>
        <w:t>student</w:t>
      </w:r>
      <w:r>
        <w:rPr>
          <w:spacing w:val="-6"/>
        </w:rPr>
        <w:t xml:space="preserve"> </w:t>
      </w:r>
      <w:r>
        <w:t>enrollment</w:t>
      </w:r>
      <w:r>
        <w:rPr>
          <w:spacing w:val="-6"/>
        </w:rPr>
        <w:t xml:space="preserve"> </w:t>
      </w:r>
      <w:r>
        <w:t>of</w:t>
      </w:r>
      <w:r>
        <w:rPr>
          <w:spacing w:val="-6"/>
        </w:rPr>
        <w:t xml:space="preserve"> </w:t>
      </w:r>
      <w:r>
        <w:t>schools</w:t>
      </w:r>
      <w:r>
        <w:rPr>
          <w:spacing w:val="-6"/>
        </w:rPr>
        <w:t xml:space="preserve"> </w:t>
      </w:r>
      <w:r>
        <w:t>from</w:t>
      </w:r>
      <w:r>
        <w:rPr>
          <w:spacing w:val="-6"/>
        </w:rPr>
        <w:t xml:space="preserve"> </w:t>
      </w:r>
      <w:r>
        <w:t>the</w:t>
      </w:r>
      <w:r>
        <w:rPr>
          <w:spacing w:val="-6"/>
        </w:rPr>
        <w:t xml:space="preserve"> </w:t>
      </w:r>
      <w:r>
        <w:t>CCD-based</w:t>
      </w:r>
      <w:r>
        <w:rPr>
          <w:spacing w:val="-6"/>
        </w:rPr>
        <w:t xml:space="preserve"> </w:t>
      </w:r>
      <w:r>
        <w:t>public</w:t>
      </w:r>
      <w:r>
        <w:rPr>
          <w:spacing w:val="-6"/>
        </w:rPr>
        <w:t xml:space="preserve"> </w:t>
      </w:r>
      <w:r>
        <w:t xml:space="preserve">school </w:t>
      </w:r>
      <w:r>
        <w:rPr>
          <w:spacing w:val="-2"/>
        </w:rPr>
        <w:t>frame.</w:t>
      </w:r>
    </w:p>
    <w:p w:rsidR="003F5784" w14:paraId="15163ADB" w14:textId="77777777">
      <w:pPr>
        <w:pStyle w:val="BodyText"/>
        <w:spacing w:before="210" w:line="232" w:lineRule="auto"/>
        <w:ind w:left="109" w:right="179"/>
      </w:pPr>
      <w:r>
        <w:t>A</w:t>
      </w:r>
      <w:r>
        <w:rPr>
          <w:spacing w:val="-11"/>
        </w:rPr>
        <w:t xml:space="preserve"> </w:t>
      </w:r>
      <w:r>
        <w:t>district was considered to be small if it contained no more than one school at each targeted grade (4 and 8). During school recruitment, the Coordinators were asked to identify</w:t>
      </w:r>
      <w:r>
        <w:rPr>
          <w:spacing w:val="-6"/>
        </w:rPr>
        <w:t xml:space="preserve"> </w:t>
      </w:r>
      <w:r>
        <w:t>schools</w:t>
      </w:r>
      <w:r>
        <w:rPr>
          <w:spacing w:val="-6"/>
        </w:rPr>
        <w:t xml:space="preserve"> </w:t>
      </w:r>
      <w:r>
        <w:t>within</w:t>
      </w:r>
      <w:r>
        <w:rPr>
          <w:spacing w:val="-6"/>
        </w:rPr>
        <w:t xml:space="preserve"> </w:t>
      </w:r>
      <w:r>
        <w:t>their</w:t>
      </w:r>
      <w:r>
        <w:rPr>
          <w:spacing w:val="-6"/>
        </w:rPr>
        <w:t xml:space="preserve"> </w:t>
      </w:r>
      <w:r>
        <w:t>district</w:t>
      </w:r>
      <w:r>
        <w:rPr>
          <w:spacing w:val="-6"/>
        </w:rPr>
        <w:t xml:space="preserve"> </w:t>
      </w:r>
      <w:r>
        <w:t>that</w:t>
      </w:r>
      <w:r>
        <w:rPr>
          <w:spacing w:val="-6"/>
        </w:rPr>
        <w:t xml:space="preserve"> </w:t>
      </w:r>
      <w:r>
        <w:t>newly</w:t>
      </w:r>
      <w:r>
        <w:rPr>
          <w:spacing w:val="-6"/>
        </w:rPr>
        <w:t xml:space="preserve"> </w:t>
      </w:r>
      <w:r>
        <w:t>offered</w:t>
      </w:r>
      <w:r>
        <w:rPr>
          <w:spacing w:val="-6"/>
        </w:rPr>
        <w:t xml:space="preserve"> </w:t>
      </w:r>
      <w:r>
        <w:t>the</w:t>
      </w:r>
      <w:r>
        <w:rPr>
          <w:spacing w:val="-6"/>
        </w:rPr>
        <w:t xml:space="preserve"> </w:t>
      </w:r>
      <w:r>
        <w:t>targeted</w:t>
      </w:r>
      <w:r>
        <w:rPr>
          <w:spacing w:val="-6"/>
        </w:rPr>
        <w:t xml:space="preserve"> </w:t>
      </w:r>
      <w:r>
        <w:t>grade.</w:t>
      </w:r>
      <w:r>
        <w:rPr>
          <w:spacing w:val="-6"/>
        </w:rPr>
        <w:t xml:space="preserve"> </w:t>
      </w:r>
      <w:r>
        <w:t>Every</w:t>
      </w:r>
      <w:r>
        <w:rPr>
          <w:spacing w:val="-6"/>
        </w:rPr>
        <w:t xml:space="preserve"> </w:t>
      </w:r>
      <w:r>
        <w:t>identified</w:t>
      </w:r>
      <w:r>
        <w:rPr>
          <w:spacing w:val="-6"/>
        </w:rPr>
        <w:t xml:space="preserve"> </w:t>
      </w:r>
      <w:r>
        <w:t>new</w:t>
      </w:r>
      <w:r>
        <w:rPr>
          <w:spacing w:val="-6"/>
        </w:rPr>
        <w:t xml:space="preserve"> </w:t>
      </w:r>
      <w:r>
        <w:t>school</w:t>
      </w:r>
      <w:r>
        <w:rPr>
          <w:spacing w:val="-6"/>
        </w:rPr>
        <w:t xml:space="preserve"> </w:t>
      </w:r>
      <w:r>
        <w:t>was</w:t>
      </w:r>
      <w:r>
        <w:rPr>
          <w:spacing w:val="-6"/>
        </w:rPr>
        <w:t xml:space="preserve"> </w:t>
      </w:r>
      <w:r>
        <w:t>added</w:t>
      </w:r>
      <w:r>
        <w:rPr>
          <w:spacing w:val="-6"/>
        </w:rPr>
        <w:t xml:space="preserve"> </w:t>
      </w:r>
      <w:r>
        <w:t>to</w:t>
      </w:r>
      <w:r>
        <w:rPr>
          <w:spacing w:val="-6"/>
        </w:rPr>
        <w:t xml:space="preserve"> </w:t>
      </w:r>
      <w:r>
        <w:t>the</w:t>
      </w:r>
      <w:r>
        <w:rPr>
          <w:spacing w:val="-6"/>
        </w:rPr>
        <w:t xml:space="preserve"> </w:t>
      </w:r>
      <w:r>
        <w:t>sample.</w:t>
      </w:r>
      <w:r>
        <w:rPr>
          <w:spacing w:val="-6"/>
        </w:rPr>
        <w:t xml:space="preserve"> </w:t>
      </w:r>
      <w:r>
        <w:t>From</w:t>
      </w:r>
      <w:r>
        <w:rPr>
          <w:spacing w:val="-6"/>
        </w:rPr>
        <w:t xml:space="preserve"> </w:t>
      </w:r>
      <w:r>
        <w:t>a</w:t>
      </w:r>
      <w:r>
        <w:rPr>
          <w:spacing w:val="-6"/>
        </w:rPr>
        <w:t xml:space="preserve"> </w:t>
      </w:r>
      <w:r>
        <w:t>sampling</w:t>
      </w:r>
      <w:r>
        <w:rPr>
          <w:spacing w:val="-6"/>
        </w:rPr>
        <w:t xml:space="preserve"> </w:t>
      </w:r>
      <w:r>
        <w:t>perspective,</w:t>
      </w:r>
      <w:r>
        <w:rPr>
          <w:spacing w:val="-6"/>
        </w:rPr>
        <w:t xml:space="preserve"> </w:t>
      </w:r>
      <w:r>
        <w:t>the</w:t>
      </w:r>
      <w:r>
        <w:rPr>
          <w:spacing w:val="-6"/>
        </w:rPr>
        <w:t xml:space="preserve"> </w:t>
      </w:r>
      <w:r>
        <w:t>new</w:t>
      </w:r>
      <w:r>
        <w:rPr>
          <w:spacing w:val="-6"/>
        </w:rPr>
        <w:t xml:space="preserve"> </w:t>
      </w:r>
      <w:r>
        <w:t>school was</w:t>
      </w:r>
      <w:r>
        <w:rPr>
          <w:spacing w:val="-3"/>
        </w:rPr>
        <w:t xml:space="preserve"> </w:t>
      </w:r>
      <w:r>
        <w:t>viewed</w:t>
      </w:r>
      <w:r>
        <w:rPr>
          <w:spacing w:val="-3"/>
        </w:rPr>
        <w:t xml:space="preserve"> </w:t>
      </w:r>
      <w:r>
        <w:t>as</w:t>
      </w:r>
      <w:r>
        <w:rPr>
          <w:spacing w:val="-3"/>
        </w:rPr>
        <w:t xml:space="preserve"> </w:t>
      </w:r>
      <w:r>
        <w:t>an</w:t>
      </w:r>
      <w:r>
        <w:rPr>
          <w:spacing w:val="-3"/>
        </w:rPr>
        <w:t xml:space="preserve"> </w:t>
      </w:r>
      <w:r>
        <w:t>“annex”</w:t>
      </w:r>
      <w:r>
        <w:rPr>
          <w:spacing w:val="-3"/>
        </w:rPr>
        <w:t xml:space="preserve"> </w:t>
      </w:r>
      <w:r>
        <w:t>to</w:t>
      </w:r>
      <w:r>
        <w:rPr>
          <w:spacing w:val="-3"/>
        </w:rPr>
        <w:t xml:space="preserve"> </w:t>
      </w:r>
      <w:r>
        <w:t>the</w:t>
      </w:r>
      <w:r>
        <w:rPr>
          <w:spacing w:val="-3"/>
        </w:rPr>
        <w:t xml:space="preserve"> </w:t>
      </w:r>
      <w:r>
        <w:t>sampled</w:t>
      </w:r>
      <w:r>
        <w:rPr>
          <w:spacing w:val="-3"/>
        </w:rPr>
        <w:t xml:space="preserve"> </w:t>
      </w:r>
      <w:r>
        <w:t>school</w:t>
      </w:r>
      <w:r>
        <w:rPr>
          <w:spacing w:val="-3"/>
        </w:rPr>
        <w:t xml:space="preserve"> </w:t>
      </w:r>
      <w:r>
        <w:t>which</w:t>
      </w:r>
      <w:r>
        <w:rPr>
          <w:spacing w:val="-3"/>
        </w:rPr>
        <w:t xml:space="preserve"> </w:t>
      </w:r>
      <w:r>
        <w:t>meant</w:t>
      </w:r>
      <w:r>
        <w:rPr>
          <w:spacing w:val="-3"/>
        </w:rPr>
        <w:t xml:space="preserve"> </w:t>
      </w:r>
      <w:r>
        <w:t>that</w:t>
      </w:r>
      <w:r>
        <w:rPr>
          <w:spacing w:val="-3"/>
        </w:rPr>
        <w:t xml:space="preserve"> </w:t>
      </w:r>
      <w:r>
        <w:t>it</w:t>
      </w:r>
      <w:r>
        <w:rPr>
          <w:spacing w:val="-3"/>
        </w:rPr>
        <w:t xml:space="preserve"> </w:t>
      </w:r>
      <w:r>
        <w:t>had</w:t>
      </w:r>
      <w:r>
        <w:rPr>
          <w:spacing w:val="-3"/>
        </w:rPr>
        <w:t xml:space="preserve"> </w:t>
      </w:r>
      <w:r>
        <w:t>a</w:t>
      </w:r>
      <w:r>
        <w:rPr>
          <w:spacing w:val="-3"/>
        </w:rPr>
        <w:t xml:space="preserve"> </w:t>
      </w:r>
      <w:r>
        <w:t>well-defined</w:t>
      </w:r>
      <w:r>
        <w:rPr>
          <w:spacing w:val="-3"/>
        </w:rPr>
        <w:t xml:space="preserve"> </w:t>
      </w:r>
      <w:r>
        <w:t>probability</w:t>
      </w:r>
      <w:r>
        <w:rPr>
          <w:spacing w:val="-3"/>
        </w:rPr>
        <w:t xml:space="preserve"> </w:t>
      </w:r>
      <w:r>
        <w:t>of</w:t>
      </w:r>
      <w:r>
        <w:rPr>
          <w:spacing w:val="-3"/>
        </w:rPr>
        <w:t xml:space="preserve"> </w:t>
      </w:r>
      <w:r>
        <w:t>selection</w:t>
      </w:r>
      <w:r>
        <w:rPr>
          <w:spacing w:val="-3"/>
        </w:rPr>
        <w:t xml:space="preserve"> </w:t>
      </w:r>
      <w:r>
        <w:t>equal</w:t>
      </w:r>
      <w:r>
        <w:rPr>
          <w:spacing w:val="-3"/>
        </w:rPr>
        <w:t xml:space="preserve"> </w:t>
      </w:r>
      <w:r>
        <w:t>to</w:t>
      </w:r>
      <w:r>
        <w:rPr>
          <w:spacing w:val="-3"/>
        </w:rPr>
        <w:t xml:space="preserve"> </w:t>
      </w:r>
      <w:r>
        <w:t>that</w:t>
      </w:r>
      <w:r>
        <w:rPr>
          <w:spacing w:val="-3"/>
        </w:rPr>
        <w:t xml:space="preserve"> </w:t>
      </w:r>
      <w:r>
        <w:t>of</w:t>
      </w:r>
      <w:r>
        <w:rPr>
          <w:spacing w:val="-3"/>
        </w:rPr>
        <w:t xml:space="preserve"> </w:t>
      </w:r>
      <w:r>
        <w:t>the</w:t>
      </w:r>
      <w:r>
        <w:rPr>
          <w:spacing w:val="-3"/>
        </w:rPr>
        <w:t xml:space="preserve"> </w:t>
      </w:r>
      <w:r>
        <w:t>sampled</w:t>
      </w:r>
      <w:r>
        <w:rPr>
          <w:spacing w:val="-3"/>
        </w:rPr>
        <w:t xml:space="preserve"> </w:t>
      </w:r>
      <w:r>
        <w:t>school.</w:t>
      </w:r>
      <w:r>
        <w:rPr>
          <w:spacing w:val="-7"/>
        </w:rPr>
        <w:t xml:space="preserve"> </w:t>
      </w:r>
      <w:r>
        <w:t>When</w:t>
      </w:r>
      <w:r>
        <w:rPr>
          <w:spacing w:val="-3"/>
        </w:rPr>
        <w:t xml:space="preserve"> </w:t>
      </w:r>
      <w:r>
        <w:t>a</w:t>
      </w:r>
      <w:r>
        <w:rPr>
          <w:spacing w:val="-3"/>
        </w:rPr>
        <w:t xml:space="preserve"> </w:t>
      </w:r>
      <w:r>
        <w:t>school</w:t>
      </w:r>
      <w:r>
        <w:rPr>
          <w:spacing w:val="-3"/>
        </w:rPr>
        <w:t xml:space="preserve"> </w:t>
      </w:r>
      <w:r>
        <w:t>in</w:t>
      </w:r>
      <w:r>
        <w:rPr>
          <w:spacing w:val="-3"/>
        </w:rPr>
        <w:t xml:space="preserve"> </w:t>
      </w:r>
      <w:r>
        <w:t>a</w:t>
      </w:r>
      <w:r>
        <w:rPr>
          <w:spacing w:val="-3"/>
        </w:rPr>
        <w:t xml:space="preserve"> </w:t>
      </w:r>
      <w:r>
        <w:t>small district was sampled from the CCD-based frame, its associated new school was automatically sampled as well.</w:t>
      </w:r>
    </w:p>
    <w:p w:rsidR="003F5784" w14:paraId="10DCA131" w14:textId="77777777">
      <w:pPr>
        <w:pStyle w:val="BodyText"/>
        <w:spacing w:before="210" w:line="232" w:lineRule="auto"/>
        <w:ind w:left="109" w:right="207"/>
      </w:pPr>
      <w:r>
        <w:t xml:space="preserve">Within each jurisdiction, districts that were neither certainty selections nor small were divided into two </w:t>
      </w:r>
      <w:r>
        <w:rPr>
          <w:color w:val="0066CC"/>
        </w:rPr>
        <w:t>strata</w:t>
      </w:r>
      <w:r>
        <w:t>, one containing large-size districts and a second containing medium-size</w:t>
      </w:r>
      <w:r>
        <w:rPr>
          <w:spacing w:val="-7"/>
        </w:rPr>
        <w:t xml:space="preserve"> </w:t>
      </w:r>
      <w:r>
        <w:t>districts.</w:t>
      </w:r>
      <w:r>
        <w:rPr>
          <w:spacing w:val="-10"/>
        </w:rPr>
        <w:t xml:space="preserve"> </w:t>
      </w:r>
      <w:r>
        <w:t>These</w:t>
      </w:r>
      <w:r>
        <w:rPr>
          <w:spacing w:val="-7"/>
        </w:rPr>
        <w:t xml:space="preserve"> </w:t>
      </w:r>
      <w:r>
        <w:t>strata</w:t>
      </w:r>
      <w:r>
        <w:rPr>
          <w:spacing w:val="-7"/>
        </w:rPr>
        <w:t xml:space="preserve"> </w:t>
      </w:r>
      <w:r>
        <w:t>were</w:t>
      </w:r>
      <w:r>
        <w:rPr>
          <w:spacing w:val="-7"/>
        </w:rPr>
        <w:t xml:space="preserve"> </w:t>
      </w:r>
      <w:r>
        <w:t>defined</w:t>
      </w:r>
      <w:r>
        <w:rPr>
          <w:spacing w:val="-7"/>
        </w:rPr>
        <w:t xml:space="preserve"> </w:t>
      </w:r>
      <w:r>
        <w:t>by</w:t>
      </w:r>
      <w:r>
        <w:rPr>
          <w:spacing w:val="-7"/>
        </w:rPr>
        <w:t xml:space="preserve"> </w:t>
      </w:r>
      <w:r>
        <w:t>computing</w:t>
      </w:r>
      <w:r>
        <w:rPr>
          <w:spacing w:val="-7"/>
        </w:rPr>
        <w:t xml:space="preserve"> </w:t>
      </w:r>
      <w:r>
        <w:t>the</w:t>
      </w:r>
      <w:r>
        <w:rPr>
          <w:spacing w:val="-7"/>
        </w:rPr>
        <w:t xml:space="preserve"> </w:t>
      </w:r>
      <w:r>
        <w:t>percentage</w:t>
      </w:r>
      <w:r>
        <w:rPr>
          <w:spacing w:val="-7"/>
        </w:rPr>
        <w:t xml:space="preserve"> </w:t>
      </w:r>
      <w:r>
        <w:t>of</w:t>
      </w:r>
      <w:r>
        <w:rPr>
          <w:spacing w:val="-7"/>
        </w:rPr>
        <w:t xml:space="preserve"> </w:t>
      </w:r>
      <w:r>
        <w:t>jurisdiction</w:t>
      </w:r>
      <w:r>
        <w:rPr>
          <w:spacing w:val="-7"/>
        </w:rPr>
        <w:t xml:space="preserve"> </w:t>
      </w:r>
      <w:r>
        <w:t>grade</w:t>
      </w:r>
      <w:r>
        <w:rPr>
          <w:spacing w:val="-7"/>
        </w:rPr>
        <w:t xml:space="preserve"> </w:t>
      </w:r>
      <w:r>
        <w:t>4</w:t>
      </w:r>
      <w:r>
        <w:rPr>
          <w:spacing w:val="-7"/>
        </w:rPr>
        <w:t xml:space="preserve"> </w:t>
      </w:r>
      <w:r>
        <w:t>and</w:t>
      </w:r>
      <w:r>
        <w:rPr>
          <w:spacing w:val="-7"/>
        </w:rPr>
        <w:t xml:space="preserve"> </w:t>
      </w:r>
      <w:r>
        <w:t>8</w:t>
      </w:r>
      <w:r>
        <w:rPr>
          <w:spacing w:val="-7"/>
        </w:rPr>
        <w:t xml:space="preserve"> </w:t>
      </w:r>
      <w:r>
        <w:t>enrollment</w:t>
      </w:r>
      <w:r>
        <w:rPr>
          <w:spacing w:val="-7"/>
        </w:rPr>
        <w:t xml:space="preserve"> </w:t>
      </w:r>
      <w:r>
        <w:t>represented</w:t>
      </w:r>
      <w:r>
        <w:rPr>
          <w:spacing w:val="-7"/>
        </w:rPr>
        <w:t xml:space="preserve"> </w:t>
      </w:r>
      <w:r>
        <w:t>by</w:t>
      </w:r>
      <w:r>
        <w:rPr>
          <w:spacing w:val="-7"/>
        </w:rPr>
        <w:t xml:space="preserve"> </w:t>
      </w:r>
      <w:r>
        <w:t>each</w:t>
      </w:r>
      <w:r>
        <w:rPr>
          <w:spacing w:val="-7"/>
        </w:rPr>
        <w:t xml:space="preserve"> </w:t>
      </w:r>
      <w:r>
        <w:t>district,</w:t>
      </w:r>
      <w:r>
        <w:rPr>
          <w:spacing w:val="-7"/>
        </w:rPr>
        <w:t xml:space="preserve"> </w:t>
      </w:r>
      <w:r>
        <w:t>sorting</w:t>
      </w:r>
      <w:r>
        <w:rPr>
          <w:spacing w:val="-7"/>
        </w:rPr>
        <w:t xml:space="preserve"> </w:t>
      </w:r>
      <w:r>
        <w:t>in</w:t>
      </w:r>
      <w:r>
        <w:rPr>
          <w:spacing w:val="-7"/>
        </w:rPr>
        <w:t xml:space="preserve"> </w:t>
      </w:r>
      <w:r>
        <w:t>descending</w:t>
      </w:r>
      <w:r>
        <w:rPr>
          <w:spacing w:val="-7"/>
        </w:rPr>
        <w:t xml:space="preserve"> </w:t>
      </w:r>
      <w:r>
        <w:t>order, and cumulating the percentages.</w:t>
      </w:r>
      <w:r>
        <w:rPr>
          <w:spacing w:val="-11"/>
        </w:rPr>
        <w:t xml:space="preserve"> </w:t>
      </w:r>
      <w:r>
        <w:t>All districts up to and including the first district at or above the 80th cumulative percentage were defined as large districts.</w:t>
      </w:r>
      <w:r>
        <w:rPr>
          <w:spacing w:val="-3"/>
        </w:rPr>
        <w:t xml:space="preserve"> </w:t>
      </w:r>
      <w:r>
        <w:t>The remaining districts were defined as medium districts.</w:t>
      </w:r>
    </w:p>
    <w:p w:rsidR="003F5784" w14:paraId="7B20846A" w14:textId="77777777">
      <w:pPr>
        <w:pStyle w:val="BodyText"/>
        <w:spacing w:before="210" w:line="232" w:lineRule="auto"/>
        <w:ind w:left="109"/>
      </w:pPr>
      <w:r>
        <w:t>A</w:t>
      </w:r>
      <w:r>
        <w:rPr>
          <w:spacing w:val="-14"/>
        </w:rPr>
        <w:t xml:space="preserve"> </w:t>
      </w:r>
      <w:r>
        <w:t>simplified</w:t>
      </w:r>
      <w:r>
        <w:rPr>
          <w:spacing w:val="-9"/>
        </w:rPr>
        <w:t xml:space="preserve"> </w:t>
      </w:r>
      <w:r>
        <w:t>example</w:t>
      </w:r>
      <w:r>
        <w:rPr>
          <w:spacing w:val="-7"/>
        </w:rPr>
        <w:t xml:space="preserve"> </w:t>
      </w:r>
      <w:r>
        <w:t>is</w:t>
      </w:r>
      <w:r>
        <w:rPr>
          <w:spacing w:val="-7"/>
        </w:rPr>
        <w:t xml:space="preserve"> </w:t>
      </w:r>
      <w:r>
        <w:t>given</w:t>
      </w:r>
      <w:r>
        <w:rPr>
          <w:spacing w:val="-7"/>
        </w:rPr>
        <w:t xml:space="preserve"> </w:t>
      </w:r>
      <w:r>
        <w:t>below.</w:t>
      </w:r>
      <w:r>
        <w:rPr>
          <w:spacing w:val="-10"/>
        </w:rPr>
        <w:t xml:space="preserve"> </w:t>
      </w:r>
      <w:r>
        <w:t>The</w:t>
      </w:r>
      <w:r>
        <w:rPr>
          <w:spacing w:val="-7"/>
        </w:rPr>
        <w:t xml:space="preserve"> </w:t>
      </w:r>
      <w:r>
        <w:t>state's</w:t>
      </w:r>
      <w:r>
        <w:rPr>
          <w:spacing w:val="-7"/>
        </w:rPr>
        <w:t xml:space="preserve"> </w:t>
      </w:r>
      <w:r>
        <w:t>districts</w:t>
      </w:r>
      <w:r>
        <w:rPr>
          <w:spacing w:val="-7"/>
        </w:rPr>
        <w:t xml:space="preserve"> </w:t>
      </w:r>
      <w:r>
        <w:t>are</w:t>
      </w:r>
      <w:r>
        <w:rPr>
          <w:spacing w:val="-7"/>
        </w:rPr>
        <w:t xml:space="preserve"> </w:t>
      </w:r>
      <w:r>
        <w:t>ordered</w:t>
      </w:r>
      <w:r>
        <w:rPr>
          <w:spacing w:val="-7"/>
        </w:rPr>
        <w:t xml:space="preserve"> </w:t>
      </w:r>
      <w:r>
        <w:t>by</w:t>
      </w:r>
      <w:r>
        <w:rPr>
          <w:spacing w:val="-7"/>
        </w:rPr>
        <w:t xml:space="preserve"> </w:t>
      </w:r>
      <w:r>
        <w:t>descending</w:t>
      </w:r>
      <w:r>
        <w:rPr>
          <w:spacing w:val="-7"/>
        </w:rPr>
        <w:t xml:space="preserve"> </w:t>
      </w:r>
      <w:r>
        <w:t>percentage</w:t>
      </w:r>
      <w:r>
        <w:rPr>
          <w:spacing w:val="-7"/>
        </w:rPr>
        <w:t xml:space="preserve"> </w:t>
      </w:r>
      <w:r>
        <w:t>enrollment.</w:t>
      </w:r>
      <w:r>
        <w:rPr>
          <w:spacing w:val="-10"/>
        </w:rPr>
        <w:t xml:space="preserve"> </w:t>
      </w:r>
      <w:r>
        <w:t>The</w:t>
      </w:r>
      <w:r>
        <w:rPr>
          <w:spacing w:val="-7"/>
        </w:rPr>
        <w:t xml:space="preserve"> </w:t>
      </w:r>
      <w:r>
        <w:t>first</w:t>
      </w:r>
      <w:r>
        <w:rPr>
          <w:spacing w:val="-7"/>
        </w:rPr>
        <w:t xml:space="preserve"> </w:t>
      </w:r>
      <w:r>
        <w:t>six</w:t>
      </w:r>
      <w:r>
        <w:rPr>
          <w:spacing w:val="-7"/>
        </w:rPr>
        <w:t xml:space="preserve"> </w:t>
      </w:r>
      <w:r>
        <w:t>become</w:t>
      </w:r>
      <w:r>
        <w:rPr>
          <w:spacing w:val="-7"/>
        </w:rPr>
        <w:t xml:space="preserve"> </w:t>
      </w:r>
      <w:r>
        <w:t>large</w:t>
      </w:r>
      <w:r>
        <w:rPr>
          <w:spacing w:val="-7"/>
        </w:rPr>
        <w:t xml:space="preserve"> </w:t>
      </w:r>
      <w:r>
        <w:t>districts</w:t>
      </w:r>
      <w:r>
        <w:rPr>
          <w:spacing w:val="-7"/>
        </w:rPr>
        <w:t xml:space="preserve"> </w:t>
      </w:r>
      <w:r>
        <w:t>and</w:t>
      </w:r>
      <w:r>
        <w:rPr>
          <w:spacing w:val="-7"/>
        </w:rPr>
        <w:t xml:space="preserve"> </w:t>
      </w:r>
      <w:r>
        <w:t>the</w:t>
      </w:r>
      <w:r>
        <w:rPr>
          <w:spacing w:val="-7"/>
        </w:rPr>
        <w:t xml:space="preserve"> </w:t>
      </w:r>
      <w:r>
        <w:t>last</w:t>
      </w:r>
      <w:r>
        <w:rPr>
          <w:spacing w:val="-7"/>
        </w:rPr>
        <w:t xml:space="preserve"> </w:t>
      </w:r>
      <w:r>
        <w:t>six</w:t>
      </w:r>
      <w:r>
        <w:rPr>
          <w:spacing w:val="-7"/>
        </w:rPr>
        <w:t xml:space="preserve"> </w:t>
      </w:r>
      <w:r>
        <w:t>become</w:t>
      </w:r>
      <w:r>
        <w:rPr>
          <w:spacing w:val="-7"/>
        </w:rPr>
        <w:t xml:space="preserve"> </w:t>
      </w:r>
      <w:r>
        <w:t xml:space="preserve">medium </w:t>
      </w:r>
      <w:r>
        <w:rPr>
          <w:spacing w:val="-2"/>
        </w:rPr>
        <w:t>districts.</w:t>
      </w:r>
    </w:p>
    <w:p w:rsidR="003F5784" w14:paraId="2984D420" w14:textId="77777777">
      <w:pPr>
        <w:pStyle w:val="BodyText"/>
        <w:spacing w:before="92"/>
      </w:pPr>
    </w:p>
    <w:p w:rsidR="003F5784" w14:paraId="67CAAA5C" w14:textId="77777777">
      <w:pPr>
        <w:ind w:left="477"/>
        <w:rPr>
          <w:b/>
          <w:sz w:val="21"/>
        </w:rPr>
      </w:pPr>
      <w:r>
        <w:rPr>
          <w:b/>
          <w:sz w:val="20"/>
        </w:rPr>
        <w:t>Large-size</w:t>
      </w:r>
      <w:r>
        <w:rPr>
          <w:b/>
          <w:spacing w:val="-1"/>
          <w:sz w:val="20"/>
        </w:rPr>
        <w:t xml:space="preserve"> </w:t>
      </w:r>
      <w:r>
        <w:rPr>
          <w:b/>
          <w:sz w:val="20"/>
        </w:rPr>
        <w:t>and medium-size</w:t>
      </w:r>
      <w:r>
        <w:rPr>
          <w:b/>
          <w:spacing w:val="-1"/>
          <w:sz w:val="20"/>
        </w:rPr>
        <w:t xml:space="preserve"> </w:t>
      </w:r>
      <w:r>
        <w:rPr>
          <w:b/>
          <w:sz w:val="20"/>
        </w:rPr>
        <w:t>district strata</w:t>
      </w:r>
      <w:r>
        <w:rPr>
          <w:b/>
          <w:spacing w:val="-1"/>
          <w:sz w:val="20"/>
        </w:rPr>
        <w:t xml:space="preserve"> </w:t>
      </w:r>
      <w:r>
        <w:rPr>
          <w:b/>
          <w:sz w:val="20"/>
        </w:rPr>
        <w:t>example, by enrollment,</w:t>
      </w:r>
      <w:r>
        <w:rPr>
          <w:b/>
          <w:spacing w:val="-1"/>
          <w:sz w:val="20"/>
        </w:rPr>
        <w:t xml:space="preserve"> </w:t>
      </w:r>
      <w:r>
        <w:rPr>
          <w:b/>
          <w:sz w:val="20"/>
        </w:rPr>
        <w:t>stratum, and</w:t>
      </w:r>
      <w:r>
        <w:rPr>
          <w:b/>
          <w:spacing w:val="-1"/>
          <w:sz w:val="20"/>
        </w:rPr>
        <w:t xml:space="preserve"> </w:t>
      </w:r>
      <w:r>
        <w:rPr>
          <w:b/>
          <w:sz w:val="20"/>
        </w:rPr>
        <w:t>district</w:t>
      </w:r>
      <w:r>
        <w:rPr>
          <w:b/>
          <w:sz w:val="21"/>
        </w:rPr>
        <w:t>,</w:t>
      </w:r>
      <w:r>
        <w:rPr>
          <w:b/>
          <w:spacing w:val="-1"/>
          <w:sz w:val="21"/>
        </w:rPr>
        <w:t xml:space="preserve"> </w:t>
      </w:r>
      <w:r>
        <w:rPr>
          <w:b/>
          <w:spacing w:val="-4"/>
          <w:sz w:val="21"/>
        </w:rPr>
        <w:t>2022</w:t>
      </w:r>
    </w:p>
    <w:p w:rsidR="003F5784" w14:paraId="64F68A59"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2391"/>
        <w:gridCol w:w="5100"/>
        <w:gridCol w:w="5091"/>
        <w:gridCol w:w="1403"/>
      </w:tblGrid>
      <w:tr w14:paraId="1C1A46B9" w14:textId="77777777">
        <w:tblPrEx>
          <w:tblW w:w="0" w:type="auto"/>
          <w:tblInd w:w="482" w:type="dxa"/>
          <w:tblLayout w:type="fixed"/>
          <w:tblCellMar>
            <w:left w:w="0" w:type="dxa"/>
            <w:right w:w="0" w:type="dxa"/>
          </w:tblCellMar>
          <w:tblLook w:val="01E0"/>
        </w:tblPrEx>
        <w:trPr>
          <w:trHeight w:val="267"/>
        </w:trPr>
        <w:tc>
          <w:tcPr>
            <w:tcW w:w="2391" w:type="dxa"/>
            <w:tcBorders>
              <w:top w:val="single" w:sz="18" w:space="0" w:color="800000"/>
              <w:bottom w:val="single" w:sz="18" w:space="0" w:color="800000"/>
            </w:tcBorders>
          </w:tcPr>
          <w:p w:rsidR="003F5784" w14:paraId="61266CFE" w14:textId="77777777">
            <w:pPr>
              <w:pStyle w:val="TableParagraph"/>
              <w:spacing w:before="9" w:line="238" w:lineRule="exact"/>
              <w:ind w:left="120"/>
              <w:jc w:val="left"/>
              <w:rPr>
                <w:sz w:val="21"/>
              </w:rPr>
            </w:pPr>
            <w:r>
              <w:rPr>
                <w:spacing w:val="-2"/>
                <w:sz w:val="21"/>
              </w:rPr>
              <w:t>District</w:t>
            </w:r>
          </w:p>
        </w:tc>
        <w:tc>
          <w:tcPr>
            <w:tcW w:w="5100" w:type="dxa"/>
            <w:tcBorders>
              <w:top w:val="single" w:sz="18" w:space="0" w:color="800000"/>
              <w:bottom w:val="single" w:sz="18" w:space="0" w:color="800000"/>
            </w:tcBorders>
          </w:tcPr>
          <w:p w:rsidR="003F5784" w14:paraId="1A30455C" w14:textId="77777777">
            <w:pPr>
              <w:pStyle w:val="TableParagraph"/>
              <w:spacing w:before="9" w:line="238" w:lineRule="exact"/>
              <w:ind w:right="1583"/>
              <w:rPr>
                <w:sz w:val="21"/>
              </w:rPr>
            </w:pPr>
            <w:r>
              <w:rPr>
                <w:sz w:val="21"/>
              </w:rPr>
              <w:t>Percentage</w:t>
            </w:r>
            <w:r>
              <w:rPr>
                <w:spacing w:val="-11"/>
                <w:sz w:val="21"/>
              </w:rPr>
              <w:t xml:space="preserve"> </w:t>
            </w:r>
            <w:r>
              <w:rPr>
                <w:spacing w:val="-2"/>
                <w:sz w:val="21"/>
              </w:rPr>
              <w:t>enrollment</w:t>
            </w:r>
          </w:p>
        </w:tc>
        <w:tc>
          <w:tcPr>
            <w:tcW w:w="5091" w:type="dxa"/>
            <w:tcBorders>
              <w:top w:val="single" w:sz="18" w:space="0" w:color="800000"/>
              <w:bottom w:val="single" w:sz="18" w:space="0" w:color="800000"/>
            </w:tcBorders>
          </w:tcPr>
          <w:p w:rsidR="003F5784" w14:paraId="48E1A247" w14:textId="77777777">
            <w:pPr>
              <w:pStyle w:val="TableParagraph"/>
              <w:spacing w:before="9" w:line="238" w:lineRule="exact"/>
              <w:ind w:right="621"/>
              <w:rPr>
                <w:sz w:val="21"/>
              </w:rPr>
            </w:pPr>
            <w:r>
              <w:rPr>
                <w:sz w:val="21"/>
              </w:rPr>
              <w:t>Cumulative</w:t>
            </w:r>
            <w:r>
              <w:rPr>
                <w:spacing w:val="-11"/>
                <w:sz w:val="21"/>
              </w:rPr>
              <w:t xml:space="preserve"> </w:t>
            </w:r>
            <w:r>
              <w:rPr>
                <w:sz w:val="21"/>
              </w:rPr>
              <w:t>percentage</w:t>
            </w:r>
            <w:r>
              <w:rPr>
                <w:spacing w:val="-10"/>
                <w:sz w:val="21"/>
              </w:rPr>
              <w:t xml:space="preserve"> </w:t>
            </w:r>
            <w:r>
              <w:rPr>
                <w:spacing w:val="-2"/>
                <w:sz w:val="21"/>
              </w:rPr>
              <w:t>enrollment</w:t>
            </w:r>
          </w:p>
        </w:tc>
        <w:tc>
          <w:tcPr>
            <w:tcW w:w="1403" w:type="dxa"/>
            <w:tcBorders>
              <w:top w:val="single" w:sz="18" w:space="0" w:color="800000"/>
              <w:bottom w:val="single" w:sz="18" w:space="0" w:color="800000"/>
            </w:tcBorders>
          </w:tcPr>
          <w:p w:rsidR="003F5784" w14:paraId="131B5F0E" w14:textId="77777777">
            <w:pPr>
              <w:pStyle w:val="TableParagraph"/>
              <w:spacing w:before="9" w:line="238" w:lineRule="exact"/>
              <w:ind w:right="118"/>
              <w:rPr>
                <w:sz w:val="21"/>
              </w:rPr>
            </w:pPr>
            <w:r>
              <w:rPr>
                <w:spacing w:val="-2"/>
                <w:sz w:val="21"/>
              </w:rPr>
              <w:t>Stratum</w:t>
            </w:r>
          </w:p>
        </w:tc>
      </w:tr>
      <w:tr w14:paraId="78E2865B" w14:textId="77777777">
        <w:tblPrEx>
          <w:tblW w:w="0" w:type="auto"/>
          <w:tblInd w:w="482" w:type="dxa"/>
          <w:tblLayout w:type="fixed"/>
          <w:tblCellMar>
            <w:left w:w="0" w:type="dxa"/>
            <w:right w:w="0" w:type="dxa"/>
          </w:tblCellMar>
          <w:tblLook w:val="01E0"/>
        </w:tblPrEx>
        <w:trPr>
          <w:trHeight w:val="278"/>
        </w:trPr>
        <w:tc>
          <w:tcPr>
            <w:tcW w:w="2391" w:type="dxa"/>
            <w:tcBorders>
              <w:top w:val="single" w:sz="18" w:space="0" w:color="800000"/>
            </w:tcBorders>
          </w:tcPr>
          <w:p w:rsidR="003F5784" w14:paraId="3717E83F" w14:textId="77777777">
            <w:pPr>
              <w:pStyle w:val="TableParagraph"/>
              <w:spacing w:before="9"/>
              <w:ind w:left="120"/>
              <w:jc w:val="left"/>
              <w:rPr>
                <w:sz w:val="21"/>
              </w:rPr>
            </w:pPr>
            <w:r>
              <w:rPr>
                <w:spacing w:val="-10"/>
                <w:sz w:val="21"/>
              </w:rPr>
              <w:t>1</w:t>
            </w:r>
          </w:p>
        </w:tc>
        <w:tc>
          <w:tcPr>
            <w:tcW w:w="5100" w:type="dxa"/>
            <w:tcBorders>
              <w:top w:val="single" w:sz="18" w:space="0" w:color="800000"/>
            </w:tcBorders>
          </w:tcPr>
          <w:p w:rsidR="003F5784" w14:paraId="2B3585D7" w14:textId="77777777">
            <w:pPr>
              <w:pStyle w:val="TableParagraph"/>
              <w:spacing w:before="9"/>
              <w:ind w:right="1583"/>
              <w:rPr>
                <w:sz w:val="21"/>
              </w:rPr>
            </w:pPr>
            <w:r>
              <w:rPr>
                <w:spacing w:val="-5"/>
                <w:sz w:val="21"/>
              </w:rPr>
              <w:t>20</w:t>
            </w:r>
          </w:p>
        </w:tc>
        <w:tc>
          <w:tcPr>
            <w:tcW w:w="5091" w:type="dxa"/>
            <w:tcBorders>
              <w:top w:val="single" w:sz="18" w:space="0" w:color="800000"/>
            </w:tcBorders>
          </w:tcPr>
          <w:p w:rsidR="003F5784" w14:paraId="3F5C517D" w14:textId="77777777">
            <w:pPr>
              <w:pStyle w:val="TableParagraph"/>
              <w:spacing w:before="9"/>
              <w:ind w:right="621"/>
              <w:rPr>
                <w:sz w:val="21"/>
              </w:rPr>
            </w:pPr>
            <w:r>
              <w:rPr>
                <w:spacing w:val="-5"/>
                <w:sz w:val="21"/>
              </w:rPr>
              <w:t>20</w:t>
            </w:r>
          </w:p>
        </w:tc>
        <w:tc>
          <w:tcPr>
            <w:tcW w:w="1403" w:type="dxa"/>
            <w:tcBorders>
              <w:top w:val="single" w:sz="18" w:space="0" w:color="800000"/>
            </w:tcBorders>
          </w:tcPr>
          <w:p w:rsidR="003F5784" w14:paraId="53AEEDB8" w14:textId="77777777">
            <w:pPr>
              <w:pStyle w:val="TableParagraph"/>
              <w:spacing w:before="9"/>
              <w:ind w:right="118"/>
              <w:rPr>
                <w:sz w:val="21"/>
              </w:rPr>
            </w:pPr>
            <w:r>
              <w:rPr>
                <w:spacing w:val="-10"/>
                <w:sz w:val="21"/>
              </w:rPr>
              <w:t>L</w:t>
            </w:r>
          </w:p>
        </w:tc>
      </w:tr>
      <w:tr w14:paraId="7C14E660" w14:textId="77777777">
        <w:tblPrEx>
          <w:tblW w:w="0" w:type="auto"/>
          <w:tblInd w:w="482" w:type="dxa"/>
          <w:tblLayout w:type="fixed"/>
          <w:tblCellMar>
            <w:left w:w="0" w:type="dxa"/>
            <w:right w:w="0" w:type="dxa"/>
          </w:tblCellMar>
          <w:tblLook w:val="01E0"/>
        </w:tblPrEx>
        <w:trPr>
          <w:trHeight w:val="286"/>
        </w:trPr>
        <w:tc>
          <w:tcPr>
            <w:tcW w:w="2391" w:type="dxa"/>
          </w:tcPr>
          <w:p w:rsidR="003F5784" w14:paraId="25493B16" w14:textId="77777777">
            <w:pPr>
              <w:pStyle w:val="TableParagraph"/>
              <w:ind w:left="120"/>
              <w:jc w:val="left"/>
              <w:rPr>
                <w:sz w:val="21"/>
              </w:rPr>
            </w:pPr>
            <w:r>
              <w:rPr>
                <w:spacing w:val="-10"/>
                <w:sz w:val="21"/>
              </w:rPr>
              <w:t>2</w:t>
            </w:r>
          </w:p>
        </w:tc>
        <w:tc>
          <w:tcPr>
            <w:tcW w:w="5100" w:type="dxa"/>
          </w:tcPr>
          <w:p w:rsidR="003F5784" w14:paraId="056C6F5F" w14:textId="77777777">
            <w:pPr>
              <w:pStyle w:val="TableParagraph"/>
              <w:ind w:right="1583"/>
              <w:rPr>
                <w:sz w:val="21"/>
              </w:rPr>
            </w:pPr>
            <w:r>
              <w:rPr>
                <w:spacing w:val="-5"/>
                <w:sz w:val="21"/>
              </w:rPr>
              <w:t>20</w:t>
            </w:r>
          </w:p>
        </w:tc>
        <w:tc>
          <w:tcPr>
            <w:tcW w:w="5091" w:type="dxa"/>
          </w:tcPr>
          <w:p w:rsidR="003F5784" w14:paraId="2BF941B7" w14:textId="77777777">
            <w:pPr>
              <w:pStyle w:val="TableParagraph"/>
              <w:ind w:right="621"/>
              <w:rPr>
                <w:sz w:val="21"/>
              </w:rPr>
            </w:pPr>
            <w:r>
              <w:rPr>
                <w:spacing w:val="-5"/>
                <w:sz w:val="21"/>
              </w:rPr>
              <w:t>40</w:t>
            </w:r>
          </w:p>
        </w:tc>
        <w:tc>
          <w:tcPr>
            <w:tcW w:w="1403" w:type="dxa"/>
          </w:tcPr>
          <w:p w:rsidR="003F5784" w14:paraId="145AD7C9" w14:textId="77777777">
            <w:pPr>
              <w:pStyle w:val="TableParagraph"/>
              <w:ind w:right="118"/>
              <w:rPr>
                <w:sz w:val="21"/>
              </w:rPr>
            </w:pPr>
            <w:r>
              <w:rPr>
                <w:spacing w:val="-10"/>
                <w:sz w:val="21"/>
              </w:rPr>
              <w:t>L</w:t>
            </w:r>
          </w:p>
        </w:tc>
      </w:tr>
      <w:tr w14:paraId="6BD65369" w14:textId="77777777">
        <w:tblPrEx>
          <w:tblW w:w="0" w:type="auto"/>
          <w:tblInd w:w="482" w:type="dxa"/>
          <w:tblLayout w:type="fixed"/>
          <w:tblCellMar>
            <w:left w:w="0" w:type="dxa"/>
            <w:right w:w="0" w:type="dxa"/>
          </w:tblCellMar>
          <w:tblLook w:val="01E0"/>
        </w:tblPrEx>
        <w:trPr>
          <w:trHeight w:val="258"/>
        </w:trPr>
        <w:tc>
          <w:tcPr>
            <w:tcW w:w="2391" w:type="dxa"/>
          </w:tcPr>
          <w:p w:rsidR="003F5784" w14:paraId="48D6DF18" w14:textId="77777777">
            <w:pPr>
              <w:pStyle w:val="TableParagraph"/>
              <w:spacing w:line="221" w:lineRule="exact"/>
              <w:ind w:left="120"/>
              <w:jc w:val="left"/>
              <w:rPr>
                <w:sz w:val="21"/>
              </w:rPr>
            </w:pPr>
            <w:r>
              <w:rPr>
                <w:spacing w:val="-10"/>
                <w:sz w:val="21"/>
              </w:rPr>
              <w:t>3</w:t>
            </w:r>
          </w:p>
        </w:tc>
        <w:tc>
          <w:tcPr>
            <w:tcW w:w="5100" w:type="dxa"/>
          </w:tcPr>
          <w:p w:rsidR="003F5784" w14:paraId="76397D0C" w14:textId="77777777">
            <w:pPr>
              <w:pStyle w:val="TableParagraph"/>
              <w:spacing w:line="221" w:lineRule="exact"/>
              <w:ind w:right="1583"/>
              <w:rPr>
                <w:sz w:val="21"/>
              </w:rPr>
            </w:pPr>
            <w:r>
              <w:rPr>
                <w:spacing w:val="-5"/>
                <w:sz w:val="21"/>
              </w:rPr>
              <w:t>15</w:t>
            </w:r>
          </w:p>
        </w:tc>
        <w:tc>
          <w:tcPr>
            <w:tcW w:w="5091" w:type="dxa"/>
          </w:tcPr>
          <w:p w:rsidR="003F5784" w14:paraId="167F33B1" w14:textId="77777777">
            <w:pPr>
              <w:pStyle w:val="TableParagraph"/>
              <w:spacing w:line="221" w:lineRule="exact"/>
              <w:ind w:right="621"/>
              <w:rPr>
                <w:sz w:val="21"/>
              </w:rPr>
            </w:pPr>
            <w:r>
              <w:rPr>
                <w:spacing w:val="-5"/>
                <w:sz w:val="21"/>
              </w:rPr>
              <w:t>55</w:t>
            </w:r>
          </w:p>
        </w:tc>
        <w:tc>
          <w:tcPr>
            <w:tcW w:w="1403" w:type="dxa"/>
          </w:tcPr>
          <w:p w:rsidR="003F5784" w14:paraId="28EECA5E" w14:textId="77777777">
            <w:pPr>
              <w:pStyle w:val="TableParagraph"/>
              <w:spacing w:line="221" w:lineRule="exact"/>
              <w:ind w:right="118"/>
              <w:rPr>
                <w:sz w:val="21"/>
              </w:rPr>
            </w:pPr>
            <w:r>
              <w:rPr>
                <w:spacing w:val="-10"/>
                <w:sz w:val="21"/>
              </w:rPr>
              <w:t>L</w:t>
            </w:r>
          </w:p>
        </w:tc>
      </w:tr>
    </w:tbl>
    <w:p w:rsidR="003F5784" w14:paraId="184AC621" w14:textId="77777777">
      <w:pPr>
        <w:spacing w:line="221" w:lineRule="exact"/>
        <w:rPr>
          <w:sz w:val="21"/>
        </w:rPr>
        <w:sectPr>
          <w:headerReference w:type="default" r:id="rId269"/>
          <w:footerReference w:type="default" r:id="rId270"/>
          <w:pgSz w:w="15840" w:h="12240" w:orient="landscape"/>
          <w:pgMar w:top="480" w:right="440" w:bottom="460" w:left="460" w:header="284" w:footer="275" w:gutter="0"/>
          <w:cols w:space="720"/>
        </w:sectPr>
      </w:pPr>
    </w:p>
    <w:p w:rsidR="003F5784" w14:paraId="079F9185" w14:textId="77777777">
      <w:pPr>
        <w:pStyle w:val="BodyText"/>
        <w:tabs>
          <w:tab w:val="left" w:pos="4510"/>
          <w:tab w:val="left" w:pos="9549"/>
          <w:tab w:val="left" w:pos="13679"/>
        </w:tabs>
        <w:spacing w:before="98" w:after="20"/>
        <w:ind w:left="595"/>
      </w:pPr>
      <w:r>
        <w:rPr>
          <w:spacing w:val="-2"/>
        </w:rPr>
        <w:t>District</w:t>
      </w:r>
      <w:r>
        <w:tab/>
        <w:t>Percentage</w:t>
      </w:r>
      <w:r>
        <w:rPr>
          <w:spacing w:val="-11"/>
        </w:rPr>
        <w:t xml:space="preserve"> </w:t>
      </w:r>
      <w:r>
        <w:rPr>
          <w:spacing w:val="-2"/>
        </w:rPr>
        <w:t>enrollment</w:t>
      </w:r>
      <w:r>
        <w:tab/>
        <w:t>Cumulative</w:t>
      </w:r>
      <w:r>
        <w:rPr>
          <w:spacing w:val="-11"/>
        </w:rPr>
        <w:t xml:space="preserve"> </w:t>
      </w:r>
      <w:r>
        <w:t>percentage</w:t>
      </w:r>
      <w:r>
        <w:rPr>
          <w:spacing w:val="-10"/>
        </w:rPr>
        <w:t xml:space="preserve"> </w:t>
      </w:r>
      <w:r>
        <w:rPr>
          <w:spacing w:val="-2"/>
        </w:rPr>
        <w:t>enrollment</w:t>
      </w:r>
      <w:r>
        <w:tab/>
      </w:r>
      <w:r>
        <w:rPr>
          <w:spacing w:val="-2"/>
        </w:rPr>
        <w:t>Stratum</w:t>
      </w:r>
    </w:p>
    <w:tbl>
      <w:tblPr>
        <w:tblW w:w="0" w:type="auto"/>
        <w:tblInd w:w="482" w:type="dxa"/>
        <w:tblLayout w:type="fixed"/>
        <w:tblCellMar>
          <w:left w:w="0" w:type="dxa"/>
          <w:right w:w="0" w:type="dxa"/>
        </w:tblCellMar>
        <w:tblLook w:val="01E0"/>
      </w:tblPr>
      <w:tblGrid>
        <w:gridCol w:w="3013"/>
        <w:gridCol w:w="5763"/>
        <w:gridCol w:w="4043"/>
        <w:gridCol w:w="1165"/>
      </w:tblGrid>
      <w:tr w14:paraId="33E212AE" w14:textId="77777777">
        <w:tblPrEx>
          <w:tblW w:w="0" w:type="auto"/>
          <w:tblInd w:w="482" w:type="dxa"/>
          <w:tblLayout w:type="fixed"/>
          <w:tblCellMar>
            <w:left w:w="0" w:type="dxa"/>
            <w:right w:w="0" w:type="dxa"/>
          </w:tblCellMar>
          <w:tblLook w:val="01E0"/>
        </w:tblPrEx>
        <w:trPr>
          <w:trHeight w:val="278"/>
        </w:trPr>
        <w:tc>
          <w:tcPr>
            <w:tcW w:w="3013" w:type="dxa"/>
            <w:tcBorders>
              <w:top w:val="single" w:sz="18" w:space="0" w:color="800000"/>
            </w:tcBorders>
          </w:tcPr>
          <w:p w:rsidR="003F5784" w14:paraId="0F9E5145" w14:textId="77777777">
            <w:pPr>
              <w:pStyle w:val="TableParagraph"/>
              <w:spacing w:before="9"/>
              <w:ind w:left="120"/>
              <w:jc w:val="left"/>
              <w:rPr>
                <w:sz w:val="21"/>
              </w:rPr>
            </w:pPr>
            <w:r>
              <w:rPr>
                <w:spacing w:val="-10"/>
                <w:sz w:val="21"/>
              </w:rPr>
              <w:t>4</w:t>
            </w:r>
          </w:p>
        </w:tc>
        <w:tc>
          <w:tcPr>
            <w:tcW w:w="5763" w:type="dxa"/>
            <w:tcBorders>
              <w:top w:val="single" w:sz="18" w:space="0" w:color="800000"/>
            </w:tcBorders>
          </w:tcPr>
          <w:p w:rsidR="003F5784" w14:paraId="47A06F26" w14:textId="77777777">
            <w:pPr>
              <w:pStyle w:val="TableParagraph"/>
              <w:spacing w:before="9"/>
              <w:ind w:right="184"/>
              <w:jc w:val="center"/>
              <w:rPr>
                <w:sz w:val="21"/>
              </w:rPr>
            </w:pPr>
            <w:r>
              <w:rPr>
                <w:spacing w:val="-5"/>
                <w:sz w:val="21"/>
              </w:rPr>
              <w:t>10</w:t>
            </w:r>
          </w:p>
        </w:tc>
        <w:tc>
          <w:tcPr>
            <w:tcW w:w="4043" w:type="dxa"/>
            <w:tcBorders>
              <w:top w:val="single" w:sz="18" w:space="0" w:color="800000"/>
            </w:tcBorders>
          </w:tcPr>
          <w:p w:rsidR="003F5784" w14:paraId="70D4EFA6" w14:textId="77777777">
            <w:pPr>
              <w:pStyle w:val="TableParagraph"/>
              <w:spacing w:before="9"/>
              <w:ind w:right="858"/>
              <w:rPr>
                <w:sz w:val="21"/>
              </w:rPr>
            </w:pPr>
            <w:r>
              <w:rPr>
                <w:spacing w:val="-5"/>
                <w:sz w:val="21"/>
              </w:rPr>
              <w:t>65</w:t>
            </w:r>
          </w:p>
        </w:tc>
        <w:tc>
          <w:tcPr>
            <w:tcW w:w="1165" w:type="dxa"/>
            <w:tcBorders>
              <w:top w:val="single" w:sz="18" w:space="0" w:color="800000"/>
            </w:tcBorders>
          </w:tcPr>
          <w:p w:rsidR="003F5784" w14:paraId="33FAB442" w14:textId="77777777">
            <w:pPr>
              <w:pStyle w:val="TableParagraph"/>
              <w:spacing w:before="9"/>
              <w:ind w:right="117"/>
              <w:rPr>
                <w:sz w:val="21"/>
              </w:rPr>
            </w:pPr>
            <w:r>
              <w:rPr>
                <w:spacing w:val="-10"/>
                <w:sz w:val="21"/>
              </w:rPr>
              <w:t>L</w:t>
            </w:r>
          </w:p>
        </w:tc>
      </w:tr>
      <w:tr w14:paraId="665A6CB0" w14:textId="77777777">
        <w:tblPrEx>
          <w:tblW w:w="0" w:type="auto"/>
          <w:tblInd w:w="482" w:type="dxa"/>
          <w:tblLayout w:type="fixed"/>
          <w:tblCellMar>
            <w:left w:w="0" w:type="dxa"/>
            <w:right w:w="0" w:type="dxa"/>
          </w:tblCellMar>
          <w:tblLook w:val="01E0"/>
        </w:tblPrEx>
        <w:trPr>
          <w:trHeight w:val="286"/>
        </w:trPr>
        <w:tc>
          <w:tcPr>
            <w:tcW w:w="3013" w:type="dxa"/>
          </w:tcPr>
          <w:p w:rsidR="003F5784" w14:paraId="02F37ABA" w14:textId="77777777">
            <w:pPr>
              <w:pStyle w:val="TableParagraph"/>
              <w:ind w:left="120"/>
              <w:jc w:val="left"/>
              <w:rPr>
                <w:sz w:val="21"/>
              </w:rPr>
            </w:pPr>
            <w:r>
              <w:rPr>
                <w:spacing w:val="-10"/>
                <w:sz w:val="21"/>
              </w:rPr>
              <w:t>5</w:t>
            </w:r>
          </w:p>
        </w:tc>
        <w:tc>
          <w:tcPr>
            <w:tcW w:w="5763" w:type="dxa"/>
          </w:tcPr>
          <w:p w:rsidR="003F5784" w14:paraId="51B7D90F" w14:textId="77777777">
            <w:pPr>
              <w:pStyle w:val="TableParagraph"/>
              <w:ind w:right="184"/>
              <w:jc w:val="center"/>
              <w:rPr>
                <w:sz w:val="21"/>
              </w:rPr>
            </w:pPr>
            <w:r>
              <w:rPr>
                <w:spacing w:val="-5"/>
                <w:sz w:val="21"/>
              </w:rPr>
              <w:t>10</w:t>
            </w:r>
          </w:p>
        </w:tc>
        <w:tc>
          <w:tcPr>
            <w:tcW w:w="4043" w:type="dxa"/>
          </w:tcPr>
          <w:p w:rsidR="003F5784" w14:paraId="150EE3BB" w14:textId="77777777">
            <w:pPr>
              <w:pStyle w:val="TableParagraph"/>
              <w:ind w:right="858"/>
              <w:rPr>
                <w:sz w:val="21"/>
              </w:rPr>
            </w:pPr>
            <w:r>
              <w:rPr>
                <w:spacing w:val="-5"/>
                <w:sz w:val="21"/>
              </w:rPr>
              <w:t>75</w:t>
            </w:r>
          </w:p>
        </w:tc>
        <w:tc>
          <w:tcPr>
            <w:tcW w:w="1165" w:type="dxa"/>
          </w:tcPr>
          <w:p w:rsidR="003F5784" w14:paraId="774327CA" w14:textId="77777777">
            <w:pPr>
              <w:pStyle w:val="TableParagraph"/>
              <w:ind w:right="117"/>
              <w:rPr>
                <w:sz w:val="21"/>
              </w:rPr>
            </w:pPr>
            <w:r>
              <w:rPr>
                <w:spacing w:val="-10"/>
                <w:sz w:val="21"/>
              </w:rPr>
              <w:t>L</w:t>
            </w:r>
          </w:p>
        </w:tc>
      </w:tr>
      <w:tr w14:paraId="779677F9" w14:textId="77777777">
        <w:tblPrEx>
          <w:tblW w:w="0" w:type="auto"/>
          <w:tblInd w:w="482" w:type="dxa"/>
          <w:tblLayout w:type="fixed"/>
          <w:tblCellMar>
            <w:left w:w="0" w:type="dxa"/>
            <w:right w:w="0" w:type="dxa"/>
          </w:tblCellMar>
          <w:tblLook w:val="01E0"/>
        </w:tblPrEx>
        <w:trPr>
          <w:trHeight w:val="286"/>
        </w:trPr>
        <w:tc>
          <w:tcPr>
            <w:tcW w:w="3013" w:type="dxa"/>
          </w:tcPr>
          <w:p w:rsidR="003F5784" w14:paraId="360882F7" w14:textId="77777777">
            <w:pPr>
              <w:pStyle w:val="TableParagraph"/>
              <w:ind w:left="120"/>
              <w:jc w:val="left"/>
              <w:rPr>
                <w:sz w:val="21"/>
              </w:rPr>
            </w:pPr>
            <w:r>
              <w:rPr>
                <w:spacing w:val="-10"/>
                <w:sz w:val="21"/>
              </w:rPr>
              <w:t>6</w:t>
            </w:r>
          </w:p>
        </w:tc>
        <w:tc>
          <w:tcPr>
            <w:tcW w:w="5763" w:type="dxa"/>
          </w:tcPr>
          <w:p w:rsidR="003F5784" w14:paraId="7F950E33" w14:textId="77777777">
            <w:pPr>
              <w:pStyle w:val="TableParagraph"/>
              <w:ind w:right="184"/>
              <w:jc w:val="center"/>
              <w:rPr>
                <w:sz w:val="21"/>
              </w:rPr>
            </w:pPr>
            <w:r>
              <w:rPr>
                <w:spacing w:val="-5"/>
                <w:sz w:val="21"/>
              </w:rPr>
              <w:t>10</w:t>
            </w:r>
          </w:p>
        </w:tc>
        <w:tc>
          <w:tcPr>
            <w:tcW w:w="4043" w:type="dxa"/>
          </w:tcPr>
          <w:p w:rsidR="003F5784" w14:paraId="144EBDE1" w14:textId="77777777">
            <w:pPr>
              <w:pStyle w:val="TableParagraph"/>
              <w:ind w:right="858"/>
              <w:rPr>
                <w:sz w:val="21"/>
              </w:rPr>
            </w:pPr>
            <w:r>
              <w:rPr>
                <w:spacing w:val="-5"/>
                <w:sz w:val="21"/>
              </w:rPr>
              <w:t>85</w:t>
            </w:r>
          </w:p>
        </w:tc>
        <w:tc>
          <w:tcPr>
            <w:tcW w:w="1165" w:type="dxa"/>
          </w:tcPr>
          <w:p w:rsidR="003F5784" w14:paraId="2BD72440" w14:textId="77777777">
            <w:pPr>
              <w:pStyle w:val="TableParagraph"/>
              <w:ind w:right="117"/>
              <w:rPr>
                <w:sz w:val="21"/>
              </w:rPr>
            </w:pPr>
            <w:r>
              <w:rPr>
                <w:spacing w:val="-10"/>
                <w:sz w:val="21"/>
              </w:rPr>
              <w:t>L</w:t>
            </w:r>
          </w:p>
        </w:tc>
      </w:tr>
      <w:tr w14:paraId="6F78A2DF" w14:textId="77777777">
        <w:tblPrEx>
          <w:tblW w:w="0" w:type="auto"/>
          <w:tblInd w:w="482" w:type="dxa"/>
          <w:tblLayout w:type="fixed"/>
          <w:tblCellMar>
            <w:left w:w="0" w:type="dxa"/>
            <w:right w:w="0" w:type="dxa"/>
          </w:tblCellMar>
          <w:tblLook w:val="01E0"/>
        </w:tblPrEx>
        <w:trPr>
          <w:trHeight w:val="286"/>
        </w:trPr>
        <w:tc>
          <w:tcPr>
            <w:tcW w:w="3013" w:type="dxa"/>
          </w:tcPr>
          <w:p w:rsidR="003F5784" w14:paraId="62858BA8" w14:textId="77777777">
            <w:pPr>
              <w:pStyle w:val="TableParagraph"/>
              <w:ind w:left="120"/>
              <w:jc w:val="left"/>
              <w:rPr>
                <w:sz w:val="21"/>
              </w:rPr>
            </w:pPr>
            <w:r>
              <w:rPr>
                <w:spacing w:val="-10"/>
                <w:sz w:val="21"/>
              </w:rPr>
              <w:t>7</w:t>
            </w:r>
          </w:p>
        </w:tc>
        <w:tc>
          <w:tcPr>
            <w:tcW w:w="5763" w:type="dxa"/>
          </w:tcPr>
          <w:p w:rsidR="003F5784" w14:paraId="384BA424" w14:textId="77777777">
            <w:pPr>
              <w:pStyle w:val="TableParagraph"/>
              <w:ind w:left="105" w:right="184"/>
              <w:jc w:val="center"/>
              <w:rPr>
                <w:sz w:val="21"/>
              </w:rPr>
            </w:pPr>
            <w:r>
              <w:rPr>
                <w:spacing w:val="-10"/>
                <w:sz w:val="21"/>
              </w:rPr>
              <w:t>5</w:t>
            </w:r>
          </w:p>
        </w:tc>
        <w:tc>
          <w:tcPr>
            <w:tcW w:w="4043" w:type="dxa"/>
          </w:tcPr>
          <w:p w:rsidR="003F5784" w14:paraId="48E4D970" w14:textId="77777777">
            <w:pPr>
              <w:pStyle w:val="TableParagraph"/>
              <w:ind w:right="858"/>
              <w:rPr>
                <w:sz w:val="21"/>
              </w:rPr>
            </w:pPr>
            <w:r>
              <w:rPr>
                <w:spacing w:val="-5"/>
                <w:sz w:val="21"/>
              </w:rPr>
              <w:t>90</w:t>
            </w:r>
          </w:p>
        </w:tc>
        <w:tc>
          <w:tcPr>
            <w:tcW w:w="1165" w:type="dxa"/>
          </w:tcPr>
          <w:p w:rsidR="003F5784" w14:paraId="0E7667CC" w14:textId="77777777">
            <w:pPr>
              <w:pStyle w:val="TableParagraph"/>
              <w:ind w:right="117"/>
              <w:rPr>
                <w:sz w:val="21"/>
              </w:rPr>
            </w:pPr>
            <w:r>
              <w:rPr>
                <w:spacing w:val="-10"/>
                <w:sz w:val="21"/>
              </w:rPr>
              <w:t>M</w:t>
            </w:r>
          </w:p>
        </w:tc>
      </w:tr>
      <w:tr w14:paraId="135E8C7F" w14:textId="77777777">
        <w:tblPrEx>
          <w:tblW w:w="0" w:type="auto"/>
          <w:tblInd w:w="482" w:type="dxa"/>
          <w:tblLayout w:type="fixed"/>
          <w:tblCellMar>
            <w:left w:w="0" w:type="dxa"/>
            <w:right w:w="0" w:type="dxa"/>
          </w:tblCellMar>
          <w:tblLook w:val="01E0"/>
        </w:tblPrEx>
        <w:trPr>
          <w:trHeight w:val="286"/>
        </w:trPr>
        <w:tc>
          <w:tcPr>
            <w:tcW w:w="3013" w:type="dxa"/>
          </w:tcPr>
          <w:p w:rsidR="003F5784" w14:paraId="020D33D6" w14:textId="77777777">
            <w:pPr>
              <w:pStyle w:val="TableParagraph"/>
              <w:ind w:left="120"/>
              <w:jc w:val="left"/>
              <w:rPr>
                <w:sz w:val="21"/>
              </w:rPr>
            </w:pPr>
            <w:r>
              <w:rPr>
                <w:spacing w:val="-10"/>
                <w:sz w:val="21"/>
              </w:rPr>
              <w:t>8</w:t>
            </w:r>
          </w:p>
        </w:tc>
        <w:tc>
          <w:tcPr>
            <w:tcW w:w="5763" w:type="dxa"/>
          </w:tcPr>
          <w:p w:rsidR="003F5784" w14:paraId="4F8A3EBB" w14:textId="77777777">
            <w:pPr>
              <w:pStyle w:val="TableParagraph"/>
              <w:ind w:left="105" w:right="184"/>
              <w:jc w:val="center"/>
              <w:rPr>
                <w:sz w:val="21"/>
              </w:rPr>
            </w:pPr>
            <w:r>
              <w:rPr>
                <w:spacing w:val="-10"/>
                <w:sz w:val="21"/>
              </w:rPr>
              <w:t>2</w:t>
            </w:r>
          </w:p>
        </w:tc>
        <w:tc>
          <w:tcPr>
            <w:tcW w:w="4043" w:type="dxa"/>
          </w:tcPr>
          <w:p w:rsidR="003F5784" w14:paraId="0595694D" w14:textId="77777777">
            <w:pPr>
              <w:pStyle w:val="TableParagraph"/>
              <w:ind w:right="858"/>
              <w:rPr>
                <w:sz w:val="21"/>
              </w:rPr>
            </w:pPr>
            <w:r>
              <w:rPr>
                <w:spacing w:val="-5"/>
                <w:sz w:val="21"/>
              </w:rPr>
              <w:t>92</w:t>
            </w:r>
          </w:p>
        </w:tc>
        <w:tc>
          <w:tcPr>
            <w:tcW w:w="1165" w:type="dxa"/>
          </w:tcPr>
          <w:p w:rsidR="003F5784" w14:paraId="4FF55F87" w14:textId="77777777">
            <w:pPr>
              <w:pStyle w:val="TableParagraph"/>
              <w:ind w:right="117"/>
              <w:rPr>
                <w:sz w:val="21"/>
              </w:rPr>
            </w:pPr>
            <w:r>
              <w:rPr>
                <w:spacing w:val="-10"/>
                <w:sz w:val="21"/>
              </w:rPr>
              <w:t>M</w:t>
            </w:r>
          </w:p>
        </w:tc>
      </w:tr>
      <w:tr w14:paraId="645CCF86" w14:textId="77777777">
        <w:tblPrEx>
          <w:tblW w:w="0" w:type="auto"/>
          <w:tblInd w:w="482" w:type="dxa"/>
          <w:tblLayout w:type="fixed"/>
          <w:tblCellMar>
            <w:left w:w="0" w:type="dxa"/>
            <w:right w:w="0" w:type="dxa"/>
          </w:tblCellMar>
          <w:tblLook w:val="01E0"/>
        </w:tblPrEx>
        <w:trPr>
          <w:trHeight w:val="286"/>
        </w:trPr>
        <w:tc>
          <w:tcPr>
            <w:tcW w:w="3013" w:type="dxa"/>
          </w:tcPr>
          <w:p w:rsidR="003F5784" w14:paraId="2D409E6F" w14:textId="77777777">
            <w:pPr>
              <w:pStyle w:val="TableParagraph"/>
              <w:ind w:left="120"/>
              <w:jc w:val="left"/>
              <w:rPr>
                <w:sz w:val="21"/>
              </w:rPr>
            </w:pPr>
            <w:r>
              <w:rPr>
                <w:spacing w:val="-10"/>
                <w:sz w:val="21"/>
              </w:rPr>
              <w:t>9</w:t>
            </w:r>
          </w:p>
        </w:tc>
        <w:tc>
          <w:tcPr>
            <w:tcW w:w="5763" w:type="dxa"/>
          </w:tcPr>
          <w:p w:rsidR="003F5784" w14:paraId="230AC7F1" w14:textId="77777777">
            <w:pPr>
              <w:pStyle w:val="TableParagraph"/>
              <w:ind w:left="105" w:right="184"/>
              <w:jc w:val="center"/>
              <w:rPr>
                <w:sz w:val="21"/>
              </w:rPr>
            </w:pPr>
            <w:r>
              <w:rPr>
                <w:spacing w:val="-10"/>
                <w:sz w:val="21"/>
              </w:rPr>
              <w:t>2</w:t>
            </w:r>
          </w:p>
        </w:tc>
        <w:tc>
          <w:tcPr>
            <w:tcW w:w="4043" w:type="dxa"/>
          </w:tcPr>
          <w:p w:rsidR="003F5784" w14:paraId="6FA52431" w14:textId="77777777">
            <w:pPr>
              <w:pStyle w:val="TableParagraph"/>
              <w:ind w:right="858"/>
              <w:rPr>
                <w:sz w:val="21"/>
              </w:rPr>
            </w:pPr>
            <w:r>
              <w:rPr>
                <w:spacing w:val="-5"/>
                <w:sz w:val="21"/>
              </w:rPr>
              <w:t>94</w:t>
            </w:r>
          </w:p>
        </w:tc>
        <w:tc>
          <w:tcPr>
            <w:tcW w:w="1165" w:type="dxa"/>
          </w:tcPr>
          <w:p w:rsidR="003F5784" w14:paraId="2D6A5C1F" w14:textId="77777777">
            <w:pPr>
              <w:pStyle w:val="TableParagraph"/>
              <w:ind w:right="117"/>
              <w:rPr>
                <w:sz w:val="21"/>
              </w:rPr>
            </w:pPr>
            <w:r>
              <w:rPr>
                <w:spacing w:val="-10"/>
                <w:sz w:val="21"/>
              </w:rPr>
              <w:t>M</w:t>
            </w:r>
          </w:p>
        </w:tc>
      </w:tr>
      <w:tr w14:paraId="56B48681" w14:textId="77777777">
        <w:tblPrEx>
          <w:tblW w:w="0" w:type="auto"/>
          <w:tblInd w:w="482" w:type="dxa"/>
          <w:tblLayout w:type="fixed"/>
          <w:tblCellMar>
            <w:left w:w="0" w:type="dxa"/>
            <w:right w:w="0" w:type="dxa"/>
          </w:tblCellMar>
          <w:tblLook w:val="01E0"/>
        </w:tblPrEx>
        <w:trPr>
          <w:trHeight w:val="286"/>
        </w:trPr>
        <w:tc>
          <w:tcPr>
            <w:tcW w:w="3013" w:type="dxa"/>
          </w:tcPr>
          <w:p w:rsidR="003F5784" w14:paraId="579245B5" w14:textId="77777777">
            <w:pPr>
              <w:pStyle w:val="TableParagraph"/>
              <w:ind w:left="120"/>
              <w:jc w:val="left"/>
              <w:rPr>
                <w:sz w:val="21"/>
              </w:rPr>
            </w:pPr>
            <w:r>
              <w:rPr>
                <w:spacing w:val="-5"/>
                <w:sz w:val="21"/>
              </w:rPr>
              <w:t>10</w:t>
            </w:r>
          </w:p>
        </w:tc>
        <w:tc>
          <w:tcPr>
            <w:tcW w:w="5763" w:type="dxa"/>
          </w:tcPr>
          <w:p w:rsidR="003F5784" w14:paraId="21891E87" w14:textId="77777777">
            <w:pPr>
              <w:pStyle w:val="TableParagraph"/>
              <w:ind w:left="105" w:right="184"/>
              <w:jc w:val="center"/>
              <w:rPr>
                <w:sz w:val="21"/>
              </w:rPr>
            </w:pPr>
            <w:r>
              <w:rPr>
                <w:spacing w:val="-10"/>
                <w:sz w:val="21"/>
              </w:rPr>
              <w:t>2</w:t>
            </w:r>
          </w:p>
        </w:tc>
        <w:tc>
          <w:tcPr>
            <w:tcW w:w="4043" w:type="dxa"/>
          </w:tcPr>
          <w:p w:rsidR="003F5784" w14:paraId="2464D87E" w14:textId="77777777">
            <w:pPr>
              <w:pStyle w:val="TableParagraph"/>
              <w:ind w:right="858"/>
              <w:rPr>
                <w:sz w:val="21"/>
              </w:rPr>
            </w:pPr>
            <w:r>
              <w:rPr>
                <w:spacing w:val="-5"/>
                <w:sz w:val="21"/>
              </w:rPr>
              <w:t>96</w:t>
            </w:r>
          </w:p>
        </w:tc>
        <w:tc>
          <w:tcPr>
            <w:tcW w:w="1165" w:type="dxa"/>
          </w:tcPr>
          <w:p w:rsidR="003F5784" w14:paraId="4BD21D22" w14:textId="77777777">
            <w:pPr>
              <w:pStyle w:val="TableParagraph"/>
              <w:ind w:right="117"/>
              <w:rPr>
                <w:sz w:val="21"/>
              </w:rPr>
            </w:pPr>
            <w:r>
              <w:rPr>
                <w:spacing w:val="-10"/>
                <w:sz w:val="21"/>
              </w:rPr>
              <w:t>M</w:t>
            </w:r>
          </w:p>
        </w:tc>
      </w:tr>
      <w:tr w14:paraId="0D89743E" w14:textId="77777777">
        <w:tblPrEx>
          <w:tblW w:w="0" w:type="auto"/>
          <w:tblInd w:w="482" w:type="dxa"/>
          <w:tblLayout w:type="fixed"/>
          <w:tblCellMar>
            <w:left w:w="0" w:type="dxa"/>
            <w:right w:w="0" w:type="dxa"/>
          </w:tblCellMar>
          <w:tblLook w:val="01E0"/>
        </w:tblPrEx>
        <w:trPr>
          <w:trHeight w:val="286"/>
        </w:trPr>
        <w:tc>
          <w:tcPr>
            <w:tcW w:w="3013" w:type="dxa"/>
          </w:tcPr>
          <w:p w:rsidR="003F5784" w14:paraId="6698E4F1" w14:textId="77777777">
            <w:pPr>
              <w:pStyle w:val="TableParagraph"/>
              <w:ind w:left="120"/>
              <w:jc w:val="left"/>
              <w:rPr>
                <w:sz w:val="21"/>
              </w:rPr>
            </w:pPr>
            <w:r>
              <w:rPr>
                <w:spacing w:val="-5"/>
                <w:sz w:val="21"/>
              </w:rPr>
              <w:t>11</w:t>
            </w:r>
          </w:p>
        </w:tc>
        <w:tc>
          <w:tcPr>
            <w:tcW w:w="5763" w:type="dxa"/>
          </w:tcPr>
          <w:p w:rsidR="003F5784" w14:paraId="1293E8D7" w14:textId="77777777">
            <w:pPr>
              <w:pStyle w:val="TableParagraph"/>
              <w:ind w:left="105" w:right="184"/>
              <w:jc w:val="center"/>
              <w:rPr>
                <w:sz w:val="21"/>
              </w:rPr>
            </w:pPr>
            <w:r>
              <w:rPr>
                <w:spacing w:val="-10"/>
                <w:sz w:val="21"/>
              </w:rPr>
              <w:t>2</w:t>
            </w:r>
          </w:p>
        </w:tc>
        <w:tc>
          <w:tcPr>
            <w:tcW w:w="4043" w:type="dxa"/>
          </w:tcPr>
          <w:p w:rsidR="003F5784" w14:paraId="4F583A2D" w14:textId="77777777">
            <w:pPr>
              <w:pStyle w:val="TableParagraph"/>
              <w:ind w:right="858"/>
              <w:rPr>
                <w:sz w:val="21"/>
              </w:rPr>
            </w:pPr>
            <w:r>
              <w:rPr>
                <w:spacing w:val="-5"/>
                <w:sz w:val="21"/>
              </w:rPr>
              <w:t>98</w:t>
            </w:r>
          </w:p>
        </w:tc>
        <w:tc>
          <w:tcPr>
            <w:tcW w:w="1165" w:type="dxa"/>
          </w:tcPr>
          <w:p w:rsidR="003F5784" w14:paraId="06BCA16D" w14:textId="77777777">
            <w:pPr>
              <w:pStyle w:val="TableParagraph"/>
              <w:ind w:right="117"/>
              <w:rPr>
                <w:sz w:val="21"/>
              </w:rPr>
            </w:pPr>
            <w:r>
              <w:rPr>
                <w:spacing w:val="-10"/>
                <w:sz w:val="21"/>
              </w:rPr>
              <w:t>M</w:t>
            </w:r>
          </w:p>
        </w:tc>
      </w:tr>
      <w:tr w14:paraId="77413EC0" w14:textId="77777777">
        <w:tblPrEx>
          <w:tblW w:w="0" w:type="auto"/>
          <w:tblInd w:w="482" w:type="dxa"/>
          <w:tblLayout w:type="fixed"/>
          <w:tblCellMar>
            <w:left w:w="0" w:type="dxa"/>
            <w:right w:w="0" w:type="dxa"/>
          </w:tblCellMar>
          <w:tblLook w:val="01E0"/>
        </w:tblPrEx>
        <w:trPr>
          <w:trHeight w:val="289"/>
        </w:trPr>
        <w:tc>
          <w:tcPr>
            <w:tcW w:w="3013" w:type="dxa"/>
            <w:tcBorders>
              <w:bottom w:val="single" w:sz="18" w:space="0" w:color="800000"/>
            </w:tcBorders>
          </w:tcPr>
          <w:p w:rsidR="003F5784" w14:paraId="6D3D375A" w14:textId="77777777">
            <w:pPr>
              <w:pStyle w:val="TableParagraph"/>
              <w:ind w:left="120"/>
              <w:jc w:val="left"/>
              <w:rPr>
                <w:sz w:val="21"/>
              </w:rPr>
            </w:pPr>
            <w:r>
              <w:rPr>
                <w:spacing w:val="-5"/>
                <w:sz w:val="21"/>
              </w:rPr>
              <w:t>12</w:t>
            </w:r>
          </w:p>
        </w:tc>
        <w:tc>
          <w:tcPr>
            <w:tcW w:w="5763" w:type="dxa"/>
            <w:tcBorders>
              <w:bottom w:val="single" w:sz="18" w:space="0" w:color="800000"/>
            </w:tcBorders>
          </w:tcPr>
          <w:p w:rsidR="003F5784" w14:paraId="608166D0" w14:textId="77777777">
            <w:pPr>
              <w:pStyle w:val="TableParagraph"/>
              <w:ind w:left="105" w:right="184"/>
              <w:jc w:val="center"/>
              <w:rPr>
                <w:sz w:val="21"/>
              </w:rPr>
            </w:pPr>
            <w:r>
              <w:rPr>
                <w:spacing w:val="-10"/>
                <w:sz w:val="21"/>
              </w:rPr>
              <w:t>2</w:t>
            </w:r>
          </w:p>
        </w:tc>
        <w:tc>
          <w:tcPr>
            <w:tcW w:w="4043" w:type="dxa"/>
            <w:tcBorders>
              <w:bottom w:val="single" w:sz="18" w:space="0" w:color="800000"/>
            </w:tcBorders>
          </w:tcPr>
          <w:p w:rsidR="003F5784" w14:paraId="5F5221C9" w14:textId="77777777">
            <w:pPr>
              <w:pStyle w:val="TableParagraph"/>
              <w:ind w:right="858"/>
              <w:rPr>
                <w:sz w:val="21"/>
              </w:rPr>
            </w:pPr>
            <w:r>
              <w:rPr>
                <w:spacing w:val="-5"/>
                <w:sz w:val="21"/>
              </w:rPr>
              <w:t>100</w:t>
            </w:r>
          </w:p>
        </w:tc>
        <w:tc>
          <w:tcPr>
            <w:tcW w:w="1165" w:type="dxa"/>
            <w:tcBorders>
              <w:bottom w:val="single" w:sz="18" w:space="0" w:color="800000"/>
            </w:tcBorders>
          </w:tcPr>
          <w:p w:rsidR="003F5784" w14:paraId="6CE70F42" w14:textId="77777777">
            <w:pPr>
              <w:pStyle w:val="TableParagraph"/>
              <w:ind w:right="117"/>
              <w:rPr>
                <w:sz w:val="21"/>
              </w:rPr>
            </w:pPr>
            <w:r>
              <w:rPr>
                <w:spacing w:val="-10"/>
                <w:sz w:val="21"/>
              </w:rPr>
              <w:t>M</w:t>
            </w:r>
          </w:p>
        </w:tc>
      </w:tr>
      <w:tr w14:paraId="3928FD95" w14:textId="77777777">
        <w:tblPrEx>
          <w:tblW w:w="0" w:type="auto"/>
          <w:tblInd w:w="482" w:type="dxa"/>
          <w:tblLayout w:type="fixed"/>
          <w:tblCellMar>
            <w:left w:w="0" w:type="dxa"/>
            <w:right w:w="0" w:type="dxa"/>
          </w:tblCellMar>
          <w:tblLook w:val="01E0"/>
        </w:tblPrEx>
        <w:trPr>
          <w:trHeight w:val="472"/>
        </w:trPr>
        <w:tc>
          <w:tcPr>
            <w:tcW w:w="13984" w:type="dxa"/>
            <w:gridSpan w:val="4"/>
            <w:tcBorders>
              <w:top w:val="single" w:sz="18" w:space="0" w:color="800000"/>
            </w:tcBorders>
          </w:tcPr>
          <w:p w:rsidR="003F5784" w14:paraId="1D113B9F" w14:textId="77777777">
            <w:pPr>
              <w:pStyle w:val="TableParagraph"/>
              <w:spacing w:before="0" w:line="234" w:lineRule="exact"/>
              <w:ind w:left="120"/>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 xml:space="preserve">Progress (NAEP), 2022 </w:t>
            </w:r>
            <w:r>
              <w:rPr>
                <w:sz w:val="18"/>
              </w:rPr>
              <w:t>State Mathematics and Reading Assessments</w:t>
            </w:r>
            <w:r>
              <w:rPr>
                <w:sz w:val="21"/>
              </w:rPr>
              <w:t>.</w:t>
            </w:r>
          </w:p>
        </w:tc>
      </w:tr>
    </w:tbl>
    <w:p w:rsidR="003F5784" w14:paraId="74950728" w14:textId="77777777">
      <w:pPr>
        <w:pStyle w:val="BodyText"/>
        <w:spacing w:before="229"/>
      </w:pPr>
    </w:p>
    <w:p w:rsidR="003F5784" w14:paraId="1440750E" w14:textId="77777777">
      <w:pPr>
        <w:pStyle w:val="BodyText"/>
        <w:spacing w:before="1" w:line="232" w:lineRule="auto"/>
        <w:ind w:left="109" w:right="361"/>
      </w:pPr>
      <w:r>
        <w:t>The target sample size for each jurisdiction was 10 districts total across the medium-size and large-size district strata.</w:t>
      </w:r>
      <w:r>
        <w:rPr>
          <w:spacing w:val="-4"/>
        </w:rPr>
        <w:t xml:space="preserve"> </w:t>
      </w:r>
      <w:r>
        <w:t>Where possible, eight districts were selected from the large-size</w:t>
      </w:r>
      <w:r>
        <w:rPr>
          <w:spacing w:val="-6"/>
        </w:rPr>
        <w:t xml:space="preserve"> </w:t>
      </w:r>
      <w:r>
        <w:t>district</w:t>
      </w:r>
      <w:r>
        <w:rPr>
          <w:spacing w:val="-6"/>
        </w:rPr>
        <w:t xml:space="preserve"> </w:t>
      </w:r>
      <w:r>
        <w:t>stratum</w:t>
      </w:r>
      <w:r>
        <w:rPr>
          <w:spacing w:val="-6"/>
        </w:rPr>
        <w:t xml:space="preserve"> </w:t>
      </w:r>
      <w:r>
        <w:t>and</w:t>
      </w:r>
      <w:r>
        <w:rPr>
          <w:spacing w:val="-6"/>
        </w:rPr>
        <w:t xml:space="preserve"> </w:t>
      </w:r>
      <w:r>
        <w:t>two</w:t>
      </w:r>
      <w:r>
        <w:rPr>
          <w:spacing w:val="-6"/>
        </w:rPr>
        <w:t xml:space="preserve"> </w:t>
      </w:r>
      <w:r>
        <w:t>districts</w:t>
      </w:r>
      <w:r>
        <w:rPr>
          <w:spacing w:val="-6"/>
        </w:rPr>
        <w:t xml:space="preserve"> </w:t>
      </w:r>
      <w:r>
        <w:t>from</w:t>
      </w:r>
      <w:r>
        <w:rPr>
          <w:spacing w:val="-6"/>
        </w:rPr>
        <w:t xml:space="preserve"> </w:t>
      </w:r>
      <w:r>
        <w:t>the</w:t>
      </w:r>
      <w:r>
        <w:rPr>
          <w:spacing w:val="-6"/>
        </w:rPr>
        <w:t xml:space="preserve"> </w:t>
      </w:r>
      <w:r>
        <w:t>medium-size</w:t>
      </w:r>
      <w:r>
        <w:rPr>
          <w:spacing w:val="-6"/>
        </w:rPr>
        <w:t xml:space="preserve"> </w:t>
      </w:r>
      <w:r>
        <w:t>district</w:t>
      </w:r>
      <w:r>
        <w:rPr>
          <w:spacing w:val="-6"/>
        </w:rPr>
        <w:t xml:space="preserve"> </w:t>
      </w:r>
      <w:r>
        <w:t>stratum.</w:t>
      </w:r>
      <w:r>
        <w:rPr>
          <w:spacing w:val="-6"/>
        </w:rPr>
        <w:t xml:space="preserve"> </w:t>
      </w:r>
      <w:r>
        <w:t>However,</w:t>
      </w:r>
      <w:r>
        <w:rPr>
          <w:spacing w:val="-6"/>
        </w:rPr>
        <w:t xml:space="preserve"> </w:t>
      </w:r>
      <w:r>
        <w:t>in</w:t>
      </w:r>
      <w:r>
        <w:rPr>
          <w:spacing w:val="-6"/>
        </w:rPr>
        <w:t xml:space="preserve"> </w:t>
      </w:r>
      <w:r>
        <w:t>the</w:t>
      </w:r>
      <w:r>
        <w:rPr>
          <w:spacing w:val="-6"/>
        </w:rPr>
        <w:t xml:space="preserve"> </w:t>
      </w:r>
      <w:r>
        <w:t>example</w:t>
      </w:r>
      <w:r>
        <w:rPr>
          <w:spacing w:val="-6"/>
        </w:rPr>
        <w:t xml:space="preserve"> </w:t>
      </w:r>
      <w:r>
        <w:t>above,</w:t>
      </w:r>
      <w:r>
        <w:rPr>
          <w:spacing w:val="-6"/>
        </w:rPr>
        <w:t xml:space="preserve"> </w:t>
      </w:r>
      <w:r>
        <w:t>since</w:t>
      </w:r>
      <w:r>
        <w:rPr>
          <w:spacing w:val="-6"/>
        </w:rPr>
        <w:t xml:space="preserve"> </w:t>
      </w:r>
      <w:r>
        <w:t>there</w:t>
      </w:r>
      <w:r>
        <w:rPr>
          <w:spacing w:val="-6"/>
        </w:rPr>
        <w:t xml:space="preserve"> </w:t>
      </w:r>
      <w:r>
        <w:t>are</w:t>
      </w:r>
      <w:r>
        <w:rPr>
          <w:spacing w:val="-6"/>
        </w:rPr>
        <w:t xml:space="preserve"> </w:t>
      </w:r>
      <w:r>
        <w:t>only</w:t>
      </w:r>
      <w:r>
        <w:rPr>
          <w:spacing w:val="-6"/>
        </w:rPr>
        <w:t xml:space="preserve"> </w:t>
      </w:r>
      <w:r>
        <w:t>six</w:t>
      </w:r>
      <w:r>
        <w:rPr>
          <w:spacing w:val="-6"/>
        </w:rPr>
        <w:t xml:space="preserve"> </w:t>
      </w:r>
      <w:r>
        <w:t>large</w:t>
      </w:r>
      <w:r>
        <w:rPr>
          <w:spacing w:val="-6"/>
        </w:rPr>
        <w:t xml:space="preserve"> </w:t>
      </w:r>
      <w:r>
        <w:t>districts,</w:t>
      </w:r>
      <w:r>
        <w:rPr>
          <w:spacing w:val="-6"/>
        </w:rPr>
        <w:t xml:space="preserve"> </w:t>
      </w:r>
      <w:r>
        <w:t>all</w:t>
      </w:r>
      <w:r>
        <w:rPr>
          <w:spacing w:val="-6"/>
        </w:rPr>
        <w:t xml:space="preserve"> </w:t>
      </w:r>
      <w:r>
        <w:t>of</w:t>
      </w:r>
      <w:r>
        <w:rPr>
          <w:spacing w:val="-6"/>
        </w:rPr>
        <w:t xml:space="preserve"> </w:t>
      </w:r>
      <w:r>
        <w:t>the</w:t>
      </w:r>
      <w:r>
        <w:rPr>
          <w:spacing w:val="-6"/>
        </w:rPr>
        <w:t xml:space="preserve"> </w:t>
      </w:r>
      <w:r>
        <w:t>districts</w:t>
      </w:r>
      <w:r>
        <w:rPr>
          <w:spacing w:val="-6"/>
        </w:rPr>
        <w:t xml:space="preserve"> </w:t>
      </w:r>
      <w:r>
        <w:t>in the large district stratum and four districts from the medium district stratum would have been selected for the new-school inquiry.</w:t>
      </w:r>
    </w:p>
    <w:p w:rsidR="003F5784" w14:paraId="07D766BE" w14:textId="77777777">
      <w:pPr>
        <w:pStyle w:val="BodyText"/>
        <w:spacing w:before="209" w:line="232" w:lineRule="auto"/>
        <w:ind w:left="109" w:right="733"/>
        <w:jc w:val="both"/>
      </w:pPr>
      <w:r>
        <w:t>If</w:t>
      </w:r>
      <w:r>
        <w:rPr>
          <w:spacing w:val="-7"/>
        </w:rPr>
        <w:t xml:space="preserve"> </w:t>
      </w:r>
      <w:r>
        <w:t>sampling</w:t>
      </w:r>
      <w:r>
        <w:rPr>
          <w:spacing w:val="-7"/>
        </w:rPr>
        <w:t xml:space="preserve"> </w:t>
      </w:r>
      <w:r>
        <w:t>was</w:t>
      </w:r>
      <w:r>
        <w:rPr>
          <w:spacing w:val="-7"/>
        </w:rPr>
        <w:t xml:space="preserve"> </w:t>
      </w:r>
      <w:r>
        <w:t>needed</w:t>
      </w:r>
      <w:r>
        <w:rPr>
          <w:spacing w:val="-7"/>
        </w:rPr>
        <w:t xml:space="preserve"> </w:t>
      </w:r>
      <w:r>
        <w:t>in</w:t>
      </w:r>
      <w:r>
        <w:rPr>
          <w:spacing w:val="-7"/>
        </w:rPr>
        <w:t xml:space="preserve"> </w:t>
      </w:r>
      <w:r>
        <w:t>the</w:t>
      </w:r>
      <w:r>
        <w:rPr>
          <w:spacing w:val="-7"/>
        </w:rPr>
        <w:t xml:space="preserve"> </w:t>
      </w:r>
      <w:r>
        <w:t>medium-size</w:t>
      </w:r>
      <w:r>
        <w:rPr>
          <w:spacing w:val="-7"/>
        </w:rPr>
        <w:t xml:space="preserve"> </w:t>
      </w:r>
      <w:r>
        <w:t>district</w:t>
      </w:r>
      <w:r>
        <w:rPr>
          <w:spacing w:val="-7"/>
        </w:rPr>
        <w:t xml:space="preserve"> </w:t>
      </w:r>
      <w:r>
        <w:t>stratum,</w:t>
      </w:r>
      <w:r>
        <w:rPr>
          <w:spacing w:val="-7"/>
        </w:rPr>
        <w:t xml:space="preserve"> </w:t>
      </w:r>
      <w:r>
        <w:t>districts</w:t>
      </w:r>
      <w:r>
        <w:rPr>
          <w:spacing w:val="-7"/>
        </w:rPr>
        <w:t xml:space="preserve"> </w:t>
      </w:r>
      <w:r>
        <w:t>in</w:t>
      </w:r>
      <w:r>
        <w:rPr>
          <w:spacing w:val="-7"/>
        </w:rPr>
        <w:t xml:space="preserve"> </w:t>
      </w:r>
      <w:r>
        <w:t>this</w:t>
      </w:r>
      <w:r>
        <w:rPr>
          <w:spacing w:val="-7"/>
        </w:rPr>
        <w:t xml:space="preserve"> </w:t>
      </w:r>
      <w:r>
        <w:t>stratum</w:t>
      </w:r>
      <w:r>
        <w:rPr>
          <w:spacing w:val="-7"/>
        </w:rPr>
        <w:t xml:space="preserve"> </w:t>
      </w:r>
      <w:r>
        <w:t>were</w:t>
      </w:r>
      <w:r>
        <w:rPr>
          <w:spacing w:val="-7"/>
        </w:rPr>
        <w:t xml:space="preserve"> </w:t>
      </w:r>
      <w:r>
        <w:t>selected</w:t>
      </w:r>
      <w:r>
        <w:rPr>
          <w:spacing w:val="-7"/>
        </w:rPr>
        <w:t xml:space="preserve"> </w:t>
      </w:r>
      <w:r>
        <w:t>with</w:t>
      </w:r>
      <w:r>
        <w:rPr>
          <w:spacing w:val="-7"/>
        </w:rPr>
        <w:t xml:space="preserve"> </w:t>
      </w:r>
      <w:r>
        <w:t>equal</w:t>
      </w:r>
      <w:r>
        <w:rPr>
          <w:spacing w:val="-7"/>
        </w:rPr>
        <w:t xml:space="preserve"> </w:t>
      </w:r>
      <w:r>
        <w:t>probability.</w:t>
      </w:r>
      <w:r>
        <w:rPr>
          <w:spacing w:val="-7"/>
        </w:rPr>
        <w:t xml:space="preserve"> </w:t>
      </w:r>
      <w:r>
        <w:t>If</w:t>
      </w:r>
      <w:r>
        <w:rPr>
          <w:spacing w:val="-7"/>
        </w:rPr>
        <w:t xml:space="preserve"> </w:t>
      </w:r>
      <w:r>
        <w:t>sampling</w:t>
      </w:r>
      <w:r>
        <w:rPr>
          <w:spacing w:val="-7"/>
        </w:rPr>
        <w:t xml:space="preserve"> </w:t>
      </w:r>
      <w:r>
        <w:t>was</w:t>
      </w:r>
      <w:r>
        <w:rPr>
          <w:spacing w:val="-7"/>
        </w:rPr>
        <w:t xml:space="preserve"> </w:t>
      </w:r>
      <w:r>
        <w:t>needed</w:t>
      </w:r>
      <w:r>
        <w:rPr>
          <w:spacing w:val="-7"/>
        </w:rPr>
        <w:t xml:space="preserve"> </w:t>
      </w:r>
      <w:r>
        <w:t>in</w:t>
      </w:r>
      <w:r>
        <w:rPr>
          <w:spacing w:val="-7"/>
        </w:rPr>
        <w:t xml:space="preserve"> </w:t>
      </w:r>
      <w:r>
        <w:t>the</w:t>
      </w:r>
      <w:r>
        <w:rPr>
          <w:spacing w:val="-7"/>
        </w:rPr>
        <w:t xml:space="preserve"> </w:t>
      </w:r>
      <w:r>
        <w:t>large-size</w:t>
      </w:r>
      <w:r>
        <w:rPr>
          <w:spacing w:val="-7"/>
        </w:rPr>
        <w:t xml:space="preserve"> </w:t>
      </w:r>
      <w:r>
        <w:t>district stratum,</w:t>
      </w:r>
      <w:r>
        <w:rPr>
          <w:spacing w:val="-4"/>
        </w:rPr>
        <w:t xml:space="preserve"> </w:t>
      </w:r>
      <w:r>
        <w:t>the</w:t>
      </w:r>
      <w:r>
        <w:rPr>
          <w:spacing w:val="-4"/>
        </w:rPr>
        <w:t xml:space="preserve"> </w:t>
      </w:r>
      <w:r>
        <w:t>districts</w:t>
      </w:r>
      <w:r>
        <w:rPr>
          <w:spacing w:val="-4"/>
        </w:rPr>
        <w:t xml:space="preserve"> </w:t>
      </w:r>
      <w:r>
        <w:t>in</w:t>
      </w:r>
      <w:r>
        <w:rPr>
          <w:spacing w:val="-4"/>
        </w:rPr>
        <w:t xml:space="preserve"> </w:t>
      </w:r>
      <w:r>
        <w:t>this</w:t>
      </w:r>
      <w:r>
        <w:rPr>
          <w:spacing w:val="-4"/>
        </w:rPr>
        <w:t xml:space="preserve"> </w:t>
      </w:r>
      <w:r>
        <w:t>stratum</w:t>
      </w:r>
      <w:r>
        <w:rPr>
          <w:spacing w:val="-4"/>
        </w:rPr>
        <w:t xml:space="preserve"> </w:t>
      </w:r>
      <w:r>
        <w:t>were</w:t>
      </w:r>
      <w:r>
        <w:rPr>
          <w:spacing w:val="-4"/>
        </w:rPr>
        <w:t xml:space="preserve"> </w:t>
      </w:r>
      <w:r>
        <w:t>sampled</w:t>
      </w:r>
      <w:r>
        <w:rPr>
          <w:spacing w:val="-4"/>
        </w:rPr>
        <w:t xml:space="preserve"> </w:t>
      </w:r>
      <w:r>
        <w:t>with</w:t>
      </w:r>
      <w:r>
        <w:rPr>
          <w:spacing w:val="-4"/>
        </w:rPr>
        <w:t xml:space="preserve"> </w:t>
      </w:r>
      <w:r>
        <w:t>probability</w:t>
      </w:r>
      <w:r>
        <w:rPr>
          <w:spacing w:val="-4"/>
        </w:rPr>
        <w:t xml:space="preserve"> </w:t>
      </w:r>
      <w:r>
        <w:t>proportional</w:t>
      </w:r>
      <w:r>
        <w:rPr>
          <w:spacing w:val="-4"/>
        </w:rPr>
        <w:t xml:space="preserve"> </w:t>
      </w:r>
      <w:r>
        <w:t>to</w:t>
      </w:r>
      <w:r>
        <w:rPr>
          <w:spacing w:val="-4"/>
        </w:rPr>
        <w:t xml:space="preserve"> </w:t>
      </w:r>
      <w:r>
        <w:t>enrollment.</w:t>
      </w:r>
      <w:r>
        <w:rPr>
          <w:spacing w:val="-8"/>
        </w:rPr>
        <w:t xml:space="preserve"> </w:t>
      </w:r>
      <w:r>
        <w:t>These</w:t>
      </w:r>
      <w:r>
        <w:rPr>
          <w:spacing w:val="-4"/>
        </w:rPr>
        <w:t xml:space="preserve"> </w:t>
      </w:r>
      <w:r>
        <w:t>probabilities</w:t>
      </w:r>
      <w:r>
        <w:rPr>
          <w:spacing w:val="-4"/>
        </w:rPr>
        <w:t xml:space="preserve"> </w:t>
      </w:r>
      <w:r>
        <w:t>were</w:t>
      </w:r>
      <w:r>
        <w:rPr>
          <w:spacing w:val="-4"/>
        </w:rPr>
        <w:t xml:space="preserve"> </w:t>
      </w:r>
      <w:r>
        <w:t>retained</w:t>
      </w:r>
      <w:r>
        <w:rPr>
          <w:spacing w:val="-4"/>
        </w:rPr>
        <w:t xml:space="preserve"> </w:t>
      </w:r>
      <w:r>
        <w:t>and</w:t>
      </w:r>
      <w:r>
        <w:rPr>
          <w:spacing w:val="-4"/>
        </w:rPr>
        <w:t xml:space="preserve"> </w:t>
      </w:r>
      <w:r>
        <w:t>used</w:t>
      </w:r>
      <w:r>
        <w:rPr>
          <w:spacing w:val="-4"/>
        </w:rPr>
        <w:t xml:space="preserve"> </w:t>
      </w:r>
      <w:r>
        <w:t>in</w:t>
      </w:r>
      <w:r>
        <w:rPr>
          <w:spacing w:val="-4"/>
        </w:rPr>
        <w:t xml:space="preserve"> </w:t>
      </w:r>
      <w:r>
        <w:t>later</w:t>
      </w:r>
      <w:r>
        <w:rPr>
          <w:spacing w:val="-4"/>
        </w:rPr>
        <w:t xml:space="preserve"> </w:t>
      </w:r>
      <w:r>
        <w:t>stages</w:t>
      </w:r>
      <w:r>
        <w:rPr>
          <w:spacing w:val="-4"/>
        </w:rPr>
        <w:t xml:space="preserve"> </w:t>
      </w:r>
      <w:r>
        <w:t>of</w:t>
      </w:r>
      <w:r>
        <w:rPr>
          <w:spacing w:val="-4"/>
        </w:rPr>
        <w:t xml:space="preserve"> </w:t>
      </w:r>
      <w:r>
        <w:t>sampling</w:t>
      </w:r>
      <w:r>
        <w:rPr>
          <w:spacing w:val="-4"/>
        </w:rPr>
        <w:t xml:space="preserve"> </w:t>
      </w:r>
      <w:r>
        <w:t>and weighting of new schools.</w:t>
      </w:r>
    </w:p>
    <w:p w:rsidR="003F5784" w14:paraId="6D8D3387" w14:textId="77777777">
      <w:pPr>
        <w:pStyle w:val="BodyText"/>
        <w:spacing w:before="210" w:line="232" w:lineRule="auto"/>
        <w:ind w:left="109" w:right="179"/>
      </w:pPr>
      <w:r>
        <w:t>The</w:t>
      </w:r>
      <w:r>
        <w:rPr>
          <w:spacing w:val="-5"/>
        </w:rPr>
        <w:t xml:space="preserve"> </w:t>
      </w:r>
      <w:r>
        <w:t>selected</w:t>
      </w:r>
      <w:r>
        <w:rPr>
          <w:spacing w:val="-5"/>
        </w:rPr>
        <w:t xml:space="preserve"> </w:t>
      </w:r>
      <w:r>
        <w:t>districts</w:t>
      </w:r>
      <w:r>
        <w:rPr>
          <w:spacing w:val="-5"/>
        </w:rPr>
        <w:t xml:space="preserve"> </w:t>
      </w:r>
      <w:r>
        <w:t>in</w:t>
      </w:r>
      <w:r>
        <w:rPr>
          <w:spacing w:val="-5"/>
        </w:rPr>
        <w:t xml:space="preserve"> </w:t>
      </w:r>
      <w:r>
        <w:t>each</w:t>
      </w:r>
      <w:r>
        <w:rPr>
          <w:spacing w:val="-5"/>
        </w:rPr>
        <w:t xml:space="preserve"> </w:t>
      </w:r>
      <w:r>
        <w:t>jurisdiction</w:t>
      </w:r>
      <w:r>
        <w:rPr>
          <w:spacing w:val="-5"/>
        </w:rPr>
        <w:t xml:space="preserve"> </w:t>
      </w:r>
      <w:r>
        <w:t>were</w:t>
      </w:r>
      <w:r>
        <w:rPr>
          <w:spacing w:val="-5"/>
        </w:rPr>
        <w:t xml:space="preserve"> </w:t>
      </w:r>
      <w:r>
        <w:t>then</w:t>
      </w:r>
      <w:r>
        <w:rPr>
          <w:spacing w:val="-5"/>
        </w:rPr>
        <w:t xml:space="preserve"> </w:t>
      </w:r>
      <w:r>
        <w:t>sent</w:t>
      </w:r>
      <w:r>
        <w:rPr>
          <w:spacing w:val="-5"/>
        </w:rPr>
        <w:t xml:space="preserve"> </w:t>
      </w:r>
      <w:r>
        <w:t>a</w:t>
      </w:r>
      <w:r>
        <w:rPr>
          <w:spacing w:val="-5"/>
        </w:rPr>
        <w:t xml:space="preserve"> </w:t>
      </w:r>
      <w:r>
        <w:t>listing</w:t>
      </w:r>
      <w:r>
        <w:rPr>
          <w:spacing w:val="-5"/>
        </w:rPr>
        <w:t xml:space="preserve"> </w:t>
      </w:r>
      <w:r>
        <w:t>of</w:t>
      </w:r>
      <w:r>
        <w:rPr>
          <w:spacing w:val="-5"/>
        </w:rPr>
        <w:t xml:space="preserve"> </w:t>
      </w:r>
      <w:r>
        <w:t>all</w:t>
      </w:r>
      <w:r>
        <w:rPr>
          <w:spacing w:val="-5"/>
        </w:rPr>
        <w:t xml:space="preserve"> </w:t>
      </w:r>
      <w:r>
        <w:t>their</w:t>
      </w:r>
      <w:r>
        <w:rPr>
          <w:spacing w:val="-5"/>
        </w:rPr>
        <w:t xml:space="preserve"> </w:t>
      </w:r>
      <w:r>
        <w:t>schools</w:t>
      </w:r>
      <w:r>
        <w:rPr>
          <w:spacing w:val="-5"/>
        </w:rPr>
        <w:t xml:space="preserve"> </w:t>
      </w:r>
      <w:r>
        <w:t>that</w:t>
      </w:r>
      <w:r>
        <w:rPr>
          <w:spacing w:val="-5"/>
        </w:rPr>
        <w:t xml:space="preserve"> </w:t>
      </w:r>
      <w:r>
        <w:t>appeared</w:t>
      </w:r>
      <w:r>
        <w:rPr>
          <w:spacing w:val="-5"/>
        </w:rPr>
        <w:t xml:space="preserve"> </w:t>
      </w:r>
      <w:r>
        <w:t>on</w:t>
      </w:r>
      <w:r>
        <w:rPr>
          <w:spacing w:val="-5"/>
        </w:rPr>
        <w:t xml:space="preserve"> </w:t>
      </w:r>
      <w:r>
        <w:t>the</w:t>
      </w:r>
      <w:r>
        <w:rPr>
          <w:spacing w:val="-5"/>
        </w:rPr>
        <w:t xml:space="preserve"> </w:t>
      </w:r>
      <w:r>
        <w:t>2019–2020</w:t>
      </w:r>
      <w:r>
        <w:rPr>
          <w:spacing w:val="-5"/>
        </w:rPr>
        <w:t xml:space="preserve"> </w:t>
      </w:r>
      <w:r>
        <w:t>CCD</w:t>
      </w:r>
      <w:r>
        <w:rPr>
          <w:spacing w:val="-5"/>
        </w:rPr>
        <w:t xml:space="preserve"> </w:t>
      </w:r>
      <w:r>
        <w:t>file</w:t>
      </w:r>
      <w:r>
        <w:rPr>
          <w:spacing w:val="-5"/>
        </w:rPr>
        <w:t xml:space="preserve"> </w:t>
      </w:r>
      <w:r>
        <w:t>and</w:t>
      </w:r>
      <w:r>
        <w:rPr>
          <w:spacing w:val="-5"/>
        </w:rPr>
        <w:t xml:space="preserve"> </w:t>
      </w:r>
      <w:r>
        <w:t>were</w:t>
      </w:r>
      <w:r>
        <w:rPr>
          <w:spacing w:val="-5"/>
        </w:rPr>
        <w:t xml:space="preserve"> </w:t>
      </w:r>
      <w:r>
        <w:t>asked</w:t>
      </w:r>
      <w:r>
        <w:rPr>
          <w:spacing w:val="-5"/>
        </w:rPr>
        <w:t xml:space="preserve"> </w:t>
      </w:r>
      <w:r>
        <w:t>to</w:t>
      </w:r>
      <w:r>
        <w:rPr>
          <w:spacing w:val="-5"/>
        </w:rPr>
        <w:t xml:space="preserve"> </w:t>
      </w:r>
      <w:r>
        <w:t>provide</w:t>
      </w:r>
      <w:r>
        <w:rPr>
          <w:spacing w:val="-5"/>
        </w:rPr>
        <w:t xml:space="preserve"> </w:t>
      </w:r>
      <w:r>
        <w:t>information</w:t>
      </w:r>
      <w:r>
        <w:rPr>
          <w:spacing w:val="-5"/>
        </w:rPr>
        <w:t xml:space="preserve"> </w:t>
      </w:r>
      <w:r>
        <w:t>about</w:t>
      </w:r>
      <w:r>
        <w:rPr>
          <w:spacing w:val="-5"/>
        </w:rPr>
        <w:t xml:space="preserve"> </w:t>
      </w:r>
      <w:r>
        <w:t>the new</w:t>
      </w:r>
      <w:r>
        <w:rPr>
          <w:spacing w:val="-2"/>
        </w:rPr>
        <w:t xml:space="preserve"> </w:t>
      </w:r>
      <w:r>
        <w:t>schools</w:t>
      </w:r>
      <w:r>
        <w:rPr>
          <w:spacing w:val="-2"/>
        </w:rPr>
        <w:t xml:space="preserve"> </w:t>
      </w:r>
      <w:r>
        <w:t>not</w:t>
      </w:r>
      <w:r>
        <w:rPr>
          <w:spacing w:val="-2"/>
        </w:rPr>
        <w:t xml:space="preserve"> </w:t>
      </w:r>
      <w:r>
        <w:t>included</w:t>
      </w:r>
      <w:r>
        <w:rPr>
          <w:spacing w:val="-2"/>
        </w:rPr>
        <w:t xml:space="preserve"> </w:t>
      </w:r>
      <w:r>
        <w:t>in</w:t>
      </w:r>
      <w:r>
        <w:rPr>
          <w:spacing w:val="-2"/>
        </w:rPr>
        <w:t xml:space="preserve"> </w:t>
      </w:r>
      <w:r>
        <w:t>the</w:t>
      </w:r>
      <w:r>
        <w:rPr>
          <w:spacing w:val="-2"/>
        </w:rPr>
        <w:t xml:space="preserve"> </w:t>
      </w:r>
      <w:r>
        <w:t>file</w:t>
      </w:r>
      <w:r>
        <w:rPr>
          <w:spacing w:val="-2"/>
        </w:rPr>
        <w:t xml:space="preserve"> </w:t>
      </w:r>
      <w:r>
        <w:t>and</w:t>
      </w:r>
      <w:r>
        <w:rPr>
          <w:spacing w:val="-2"/>
        </w:rPr>
        <w:t xml:space="preserve"> </w:t>
      </w:r>
      <w:r>
        <w:t>grade</w:t>
      </w:r>
      <w:r>
        <w:rPr>
          <w:spacing w:val="-2"/>
        </w:rPr>
        <w:t xml:space="preserve"> </w:t>
      </w:r>
      <w:r>
        <w:t>span</w:t>
      </w:r>
      <w:r>
        <w:rPr>
          <w:spacing w:val="-2"/>
        </w:rPr>
        <w:t xml:space="preserve"> </w:t>
      </w:r>
      <w:r>
        <w:t>changes</w:t>
      </w:r>
      <w:r>
        <w:rPr>
          <w:spacing w:val="-2"/>
        </w:rPr>
        <w:t xml:space="preserve"> </w:t>
      </w:r>
      <w:r>
        <w:t>of</w:t>
      </w:r>
      <w:r>
        <w:rPr>
          <w:spacing w:val="-2"/>
        </w:rPr>
        <w:t xml:space="preserve"> </w:t>
      </w:r>
      <w:r>
        <w:t>existing</w:t>
      </w:r>
      <w:r>
        <w:rPr>
          <w:spacing w:val="-2"/>
        </w:rPr>
        <w:t xml:space="preserve"> </w:t>
      </w:r>
      <w:r>
        <w:t>schools.</w:t>
      </w:r>
      <w:r>
        <w:rPr>
          <w:spacing w:val="-6"/>
        </w:rPr>
        <w:t xml:space="preserve"> </w:t>
      </w:r>
      <w:r>
        <w:t>These</w:t>
      </w:r>
      <w:r>
        <w:rPr>
          <w:spacing w:val="-2"/>
        </w:rPr>
        <w:t xml:space="preserve"> </w:t>
      </w:r>
      <w:r>
        <w:t>listings</w:t>
      </w:r>
      <w:r>
        <w:rPr>
          <w:spacing w:val="-2"/>
        </w:rPr>
        <w:t xml:space="preserve"> </w:t>
      </w:r>
      <w:r>
        <w:t>provided</w:t>
      </w:r>
      <w:r>
        <w:rPr>
          <w:spacing w:val="-2"/>
        </w:rPr>
        <w:t xml:space="preserve"> </w:t>
      </w:r>
      <w:r>
        <w:t>by</w:t>
      </w:r>
      <w:r>
        <w:rPr>
          <w:spacing w:val="-2"/>
        </w:rPr>
        <w:t xml:space="preserve"> </w:t>
      </w:r>
      <w:r>
        <w:t>the</w:t>
      </w:r>
      <w:r>
        <w:rPr>
          <w:spacing w:val="-2"/>
        </w:rPr>
        <w:t xml:space="preserve"> </w:t>
      </w:r>
      <w:r>
        <w:t>selected</w:t>
      </w:r>
      <w:r>
        <w:rPr>
          <w:spacing w:val="-2"/>
        </w:rPr>
        <w:t xml:space="preserve"> </w:t>
      </w:r>
      <w:r>
        <w:t>districts</w:t>
      </w:r>
      <w:r>
        <w:rPr>
          <w:spacing w:val="-2"/>
        </w:rPr>
        <w:t xml:space="preserve"> </w:t>
      </w:r>
      <w:r>
        <w:t>were</w:t>
      </w:r>
      <w:r>
        <w:rPr>
          <w:spacing w:val="-2"/>
        </w:rPr>
        <w:t xml:space="preserve"> </w:t>
      </w:r>
      <w:r>
        <w:t>used</w:t>
      </w:r>
      <w:r>
        <w:rPr>
          <w:spacing w:val="-2"/>
        </w:rPr>
        <w:t xml:space="preserve"> </w:t>
      </w:r>
      <w:r>
        <w:t>as</w:t>
      </w:r>
      <w:r>
        <w:rPr>
          <w:spacing w:val="-2"/>
        </w:rPr>
        <w:t xml:space="preserve"> </w:t>
      </w:r>
      <w:r>
        <w:t>sampling</w:t>
      </w:r>
      <w:r>
        <w:rPr>
          <w:spacing w:val="-2"/>
        </w:rPr>
        <w:t xml:space="preserve"> </w:t>
      </w:r>
      <w:r>
        <w:t>frames</w:t>
      </w:r>
      <w:r>
        <w:rPr>
          <w:spacing w:val="-2"/>
        </w:rPr>
        <w:t xml:space="preserve"> </w:t>
      </w:r>
      <w:r>
        <w:t>for</w:t>
      </w:r>
      <w:r>
        <w:rPr>
          <w:spacing w:val="-2"/>
        </w:rPr>
        <w:t xml:space="preserve"> </w:t>
      </w:r>
      <w:r>
        <w:t>selection</w:t>
      </w:r>
      <w:r>
        <w:rPr>
          <w:spacing w:val="-2"/>
        </w:rPr>
        <w:t xml:space="preserve"> </w:t>
      </w:r>
      <w:r>
        <w:t>of new public schools and updates of existing schools.</w:t>
      </w:r>
      <w:r>
        <w:rPr>
          <w:spacing w:val="-3"/>
        </w:rPr>
        <w:t xml:space="preserve"> </w:t>
      </w:r>
      <w:r>
        <w:t>This process was conducted through the NAEP</w:t>
      </w:r>
      <w:r>
        <w:rPr>
          <w:spacing w:val="-7"/>
        </w:rPr>
        <w:t xml:space="preserve"> </w:t>
      </w:r>
      <w:r>
        <w:t>State or</w:t>
      </w:r>
      <w:r>
        <w:rPr>
          <w:spacing w:val="-3"/>
        </w:rPr>
        <w:t xml:space="preserve"> </w:t>
      </w:r>
      <w:r>
        <w:t>TUDA</w:t>
      </w:r>
      <w:r>
        <w:rPr>
          <w:spacing w:val="-10"/>
        </w:rPr>
        <w:t xml:space="preserve"> </w:t>
      </w:r>
      <w:r>
        <w:t>Coordinator in each jurisdiction.</w:t>
      </w:r>
      <w:r>
        <w:rPr>
          <w:spacing w:val="-3"/>
        </w:rPr>
        <w:t xml:space="preserve"> </w:t>
      </w:r>
      <w:r>
        <w:t>The Coordinators were sent the information for all sampled districts in their respective jurisdictions and were responsible for returning the completed updates.</w:t>
      </w:r>
    </w:p>
    <w:p w:rsidR="003F5784" w14:paraId="5CFEBE33" w14:textId="77777777">
      <w:pPr>
        <w:pStyle w:val="BodyText"/>
        <w:spacing w:before="210" w:line="232" w:lineRule="auto"/>
        <w:ind w:left="109" w:right="751"/>
        <w:jc w:val="both"/>
      </w:pPr>
      <w:r>
        <w:t>The</w:t>
      </w:r>
      <w:r>
        <w:rPr>
          <w:spacing w:val="-6"/>
        </w:rPr>
        <w:t xml:space="preserve"> </w:t>
      </w:r>
      <w:r>
        <w:t>following</w:t>
      </w:r>
      <w:r>
        <w:rPr>
          <w:spacing w:val="-6"/>
        </w:rPr>
        <w:t xml:space="preserve"> </w:t>
      </w:r>
      <w:r>
        <w:t>table</w:t>
      </w:r>
      <w:r>
        <w:rPr>
          <w:spacing w:val="-6"/>
        </w:rPr>
        <w:t xml:space="preserve"> </w:t>
      </w:r>
      <w:r>
        <w:t>presents</w:t>
      </w:r>
      <w:r>
        <w:rPr>
          <w:spacing w:val="-6"/>
        </w:rPr>
        <w:t xml:space="preserve"> </w:t>
      </w:r>
      <w:r>
        <w:t>the</w:t>
      </w:r>
      <w:r>
        <w:rPr>
          <w:spacing w:val="-6"/>
        </w:rPr>
        <w:t xml:space="preserve"> </w:t>
      </w:r>
      <w:r>
        <w:t>number</w:t>
      </w:r>
      <w:r>
        <w:rPr>
          <w:spacing w:val="-6"/>
        </w:rPr>
        <w:t xml:space="preserve"> </w:t>
      </w:r>
      <w:r>
        <w:t>and</w:t>
      </w:r>
      <w:r>
        <w:rPr>
          <w:spacing w:val="-6"/>
        </w:rPr>
        <w:t xml:space="preserve"> </w:t>
      </w:r>
      <w:r>
        <w:t>percentage</w:t>
      </w:r>
      <w:r>
        <w:rPr>
          <w:spacing w:val="-6"/>
        </w:rPr>
        <w:t xml:space="preserve"> </w:t>
      </w:r>
      <w:r>
        <w:t>of</w:t>
      </w:r>
      <w:r>
        <w:rPr>
          <w:spacing w:val="-6"/>
        </w:rPr>
        <w:t xml:space="preserve"> </w:t>
      </w:r>
      <w:r>
        <w:t>schools</w:t>
      </w:r>
      <w:r>
        <w:rPr>
          <w:spacing w:val="-6"/>
        </w:rPr>
        <w:t xml:space="preserve"> </w:t>
      </w:r>
      <w:r>
        <w:t>and</w:t>
      </w:r>
      <w:r>
        <w:rPr>
          <w:spacing w:val="-6"/>
        </w:rPr>
        <w:t xml:space="preserve"> </w:t>
      </w:r>
      <w:r>
        <w:t>average</w:t>
      </w:r>
      <w:r>
        <w:rPr>
          <w:spacing w:val="-6"/>
        </w:rPr>
        <w:t xml:space="preserve"> </w:t>
      </w:r>
      <w:r>
        <w:t>estimated</w:t>
      </w:r>
      <w:r>
        <w:rPr>
          <w:spacing w:val="-6"/>
        </w:rPr>
        <w:t xml:space="preserve"> </w:t>
      </w:r>
      <w:r>
        <w:t>grade</w:t>
      </w:r>
      <w:r>
        <w:rPr>
          <w:spacing w:val="-6"/>
        </w:rPr>
        <w:t xml:space="preserve"> </w:t>
      </w:r>
      <w:r>
        <w:t>enrollment</w:t>
      </w:r>
      <w:r>
        <w:rPr>
          <w:spacing w:val="-6"/>
        </w:rPr>
        <w:t xml:space="preserve"> </w:t>
      </w:r>
      <w:r>
        <w:t>for</w:t>
      </w:r>
      <w:r>
        <w:rPr>
          <w:spacing w:val="-6"/>
        </w:rPr>
        <w:t xml:space="preserve"> </w:t>
      </w:r>
      <w:r>
        <w:t>the</w:t>
      </w:r>
      <w:r>
        <w:rPr>
          <w:spacing w:val="-6"/>
        </w:rPr>
        <w:t xml:space="preserve"> </w:t>
      </w:r>
      <w:r>
        <w:t>fourth-</w:t>
      </w:r>
      <w:r>
        <w:rPr>
          <w:spacing w:val="-6"/>
        </w:rPr>
        <w:t xml:space="preserve"> </w:t>
      </w:r>
      <w:r>
        <w:t>and</w:t>
      </w:r>
      <w:r>
        <w:rPr>
          <w:spacing w:val="-6"/>
        </w:rPr>
        <w:t xml:space="preserve"> </w:t>
      </w:r>
      <w:r>
        <w:t>eighth-grade</w:t>
      </w:r>
      <w:r>
        <w:rPr>
          <w:spacing w:val="-6"/>
        </w:rPr>
        <w:t xml:space="preserve"> </w:t>
      </w:r>
      <w:r>
        <w:t>new-school</w:t>
      </w:r>
      <w:r>
        <w:rPr>
          <w:spacing w:val="-6"/>
        </w:rPr>
        <w:t xml:space="preserve"> </w:t>
      </w:r>
      <w:r>
        <w:t>frame</w:t>
      </w:r>
      <w:r>
        <w:rPr>
          <w:spacing w:val="-6"/>
        </w:rPr>
        <w:t xml:space="preserve"> </w:t>
      </w:r>
      <w:r>
        <w:t>by</w:t>
      </w:r>
      <w:r>
        <w:rPr>
          <w:spacing w:val="-6"/>
        </w:rPr>
        <w:t xml:space="preserve"> </w:t>
      </w:r>
      <w:r>
        <w:t xml:space="preserve">census </w:t>
      </w:r>
      <w:r>
        <w:rPr>
          <w:spacing w:val="-2"/>
        </w:rPr>
        <w:t>region.</w:t>
      </w:r>
    </w:p>
    <w:p w:rsidR="003F5784" w14:paraId="33D3839E" w14:textId="77777777">
      <w:pPr>
        <w:pStyle w:val="BodyText"/>
        <w:spacing w:before="98"/>
      </w:pPr>
    </w:p>
    <w:p w:rsidR="003F5784" w14:paraId="546D1D1D" w14:textId="77777777">
      <w:pPr>
        <w:pStyle w:val="Heading2"/>
        <w:spacing w:line="232" w:lineRule="auto"/>
        <w:ind w:left="1785" w:right="1862"/>
      </w:pPr>
      <w:r>
        <w:t>Number</w:t>
      </w:r>
      <w:r>
        <w:rPr>
          <w:spacing w:val="-11"/>
        </w:rPr>
        <w:t xml:space="preserve"> </w:t>
      </w:r>
      <w:r>
        <w:t>and</w:t>
      </w:r>
      <w:r>
        <w:rPr>
          <w:spacing w:val="-7"/>
        </w:rPr>
        <w:t xml:space="preserve"> </w:t>
      </w:r>
      <w:r>
        <w:t>percentage</w:t>
      </w:r>
      <w:r>
        <w:rPr>
          <w:spacing w:val="-7"/>
        </w:rPr>
        <w:t xml:space="preserve"> </w:t>
      </w:r>
      <w:r>
        <w:t>of</w:t>
      </w:r>
      <w:r>
        <w:rPr>
          <w:spacing w:val="-7"/>
        </w:rPr>
        <w:t xml:space="preserve"> </w:t>
      </w:r>
      <w:r>
        <w:t>schools</w:t>
      </w:r>
      <w:r>
        <w:rPr>
          <w:spacing w:val="-7"/>
        </w:rPr>
        <w:t xml:space="preserve"> </w:t>
      </w:r>
      <w:r>
        <w:t>and</w:t>
      </w:r>
      <w:r>
        <w:rPr>
          <w:spacing w:val="-7"/>
        </w:rPr>
        <w:t xml:space="preserve"> </w:t>
      </w:r>
      <w:r>
        <w:t>mean</w:t>
      </w:r>
      <w:r>
        <w:rPr>
          <w:spacing w:val="-7"/>
        </w:rPr>
        <w:t xml:space="preserve"> </w:t>
      </w:r>
      <w:r>
        <w:t>school</w:t>
      </w:r>
      <w:r>
        <w:rPr>
          <w:spacing w:val="-7"/>
        </w:rPr>
        <w:t xml:space="preserve"> </w:t>
      </w:r>
      <w:r>
        <w:t>size</w:t>
      </w:r>
      <w:r>
        <w:rPr>
          <w:spacing w:val="-7"/>
        </w:rPr>
        <w:t xml:space="preserve"> </w:t>
      </w:r>
      <w:r>
        <w:t>in</w:t>
      </w:r>
      <w:r>
        <w:rPr>
          <w:spacing w:val="-7"/>
        </w:rPr>
        <w:t xml:space="preserve"> </w:t>
      </w:r>
      <w:r>
        <w:t>the</w:t>
      </w:r>
      <w:r>
        <w:rPr>
          <w:spacing w:val="-7"/>
        </w:rPr>
        <w:t xml:space="preserve"> </w:t>
      </w:r>
      <w:r>
        <w:t>new-school</w:t>
      </w:r>
      <w:r>
        <w:rPr>
          <w:spacing w:val="-7"/>
        </w:rPr>
        <w:t xml:space="preserve"> </w:t>
      </w:r>
      <w:r>
        <w:t>frame,</w:t>
      </w:r>
      <w:r>
        <w:rPr>
          <w:spacing w:val="-7"/>
        </w:rPr>
        <w:t xml:space="preserve"> </w:t>
      </w:r>
      <w:r>
        <w:t>state</w:t>
      </w:r>
      <w:r>
        <w:rPr>
          <w:spacing w:val="-7"/>
        </w:rPr>
        <w:t xml:space="preserve"> </w:t>
      </w:r>
      <w:r>
        <w:t>assessment,</w:t>
      </w:r>
      <w:r>
        <w:rPr>
          <w:spacing w:val="-7"/>
        </w:rPr>
        <w:t xml:space="preserve"> </w:t>
      </w:r>
      <w:r>
        <w:t>by</w:t>
      </w:r>
      <w:r>
        <w:rPr>
          <w:spacing w:val="-7"/>
        </w:rPr>
        <w:t xml:space="preserve"> </w:t>
      </w:r>
      <w:r>
        <w:t>grade</w:t>
      </w:r>
      <w:r>
        <w:rPr>
          <w:spacing w:val="-7"/>
        </w:rPr>
        <w:t xml:space="preserve"> </w:t>
      </w:r>
      <w:r>
        <w:t>and</w:t>
      </w:r>
      <w:r>
        <w:rPr>
          <w:spacing w:val="-7"/>
        </w:rPr>
        <w:t xml:space="preserve"> </w:t>
      </w:r>
      <w:r>
        <w:t>census</w:t>
      </w:r>
      <w:r>
        <w:rPr>
          <w:spacing w:val="-7"/>
        </w:rPr>
        <w:t xml:space="preserve"> </w:t>
      </w:r>
      <w:r>
        <w:t xml:space="preserve">region: </w:t>
      </w:r>
      <w:r>
        <w:rPr>
          <w:spacing w:val="-4"/>
        </w:rPr>
        <w:t>2022</w:t>
      </w:r>
    </w:p>
    <w:p w:rsidR="003F5784" w14:paraId="7902BDC5" w14:textId="77777777">
      <w:pPr>
        <w:pStyle w:val="BodyText"/>
        <w:spacing w:after="1"/>
        <w:rPr>
          <w:b/>
          <w:sz w:val="12"/>
        </w:rPr>
      </w:pPr>
    </w:p>
    <w:tbl>
      <w:tblPr>
        <w:tblW w:w="0" w:type="auto"/>
        <w:tblInd w:w="1798" w:type="dxa"/>
        <w:tblLayout w:type="fixed"/>
        <w:tblCellMar>
          <w:left w:w="0" w:type="dxa"/>
          <w:right w:w="0" w:type="dxa"/>
        </w:tblCellMar>
        <w:tblLook w:val="01E0"/>
      </w:tblPr>
      <w:tblGrid>
        <w:gridCol w:w="3832"/>
        <w:gridCol w:w="897"/>
        <w:gridCol w:w="1165"/>
        <w:gridCol w:w="1698"/>
        <w:gridCol w:w="895"/>
        <w:gridCol w:w="1170"/>
        <w:gridCol w:w="1709"/>
      </w:tblGrid>
      <w:tr w14:paraId="2365542F" w14:textId="77777777">
        <w:tblPrEx>
          <w:tblW w:w="0" w:type="auto"/>
          <w:tblInd w:w="1798" w:type="dxa"/>
          <w:tblLayout w:type="fixed"/>
          <w:tblCellMar>
            <w:left w:w="0" w:type="dxa"/>
            <w:right w:w="0" w:type="dxa"/>
          </w:tblCellMar>
          <w:tblLook w:val="01E0"/>
        </w:tblPrEx>
        <w:trPr>
          <w:trHeight w:val="261"/>
        </w:trPr>
        <w:tc>
          <w:tcPr>
            <w:tcW w:w="3832" w:type="dxa"/>
            <w:vMerge w:val="restart"/>
            <w:tcBorders>
              <w:top w:val="single" w:sz="18" w:space="0" w:color="800000"/>
              <w:bottom w:val="single" w:sz="18" w:space="0" w:color="800000"/>
            </w:tcBorders>
          </w:tcPr>
          <w:p w:rsidR="003F5784" w14:paraId="79371F68" w14:textId="77777777">
            <w:pPr>
              <w:pStyle w:val="TableParagraph"/>
              <w:spacing w:before="67"/>
              <w:jc w:val="left"/>
              <w:rPr>
                <w:b/>
                <w:sz w:val="21"/>
              </w:rPr>
            </w:pPr>
          </w:p>
          <w:p w:rsidR="003F5784" w14:paraId="52BCC7E6" w14:textId="77777777">
            <w:pPr>
              <w:pStyle w:val="TableParagraph"/>
              <w:spacing w:before="0" w:line="238" w:lineRule="exact"/>
              <w:ind w:left="111"/>
              <w:jc w:val="left"/>
              <w:rPr>
                <w:sz w:val="21"/>
              </w:rPr>
            </w:pPr>
            <w:r>
              <w:rPr>
                <w:sz w:val="21"/>
              </w:rPr>
              <w:t>Census</w:t>
            </w:r>
            <w:r>
              <w:rPr>
                <w:spacing w:val="-8"/>
                <w:sz w:val="21"/>
              </w:rPr>
              <w:t xml:space="preserve"> </w:t>
            </w:r>
            <w:r>
              <w:rPr>
                <w:spacing w:val="-2"/>
                <w:sz w:val="21"/>
              </w:rPr>
              <w:t>region</w:t>
            </w:r>
          </w:p>
        </w:tc>
        <w:tc>
          <w:tcPr>
            <w:tcW w:w="3760" w:type="dxa"/>
            <w:gridSpan w:val="3"/>
            <w:tcBorders>
              <w:top w:val="single" w:sz="18" w:space="0" w:color="800000"/>
              <w:bottom w:val="single" w:sz="12" w:space="0" w:color="800000"/>
            </w:tcBorders>
          </w:tcPr>
          <w:p w:rsidR="003F5784" w14:paraId="2F4DAAC8" w14:textId="77777777">
            <w:pPr>
              <w:pStyle w:val="TableParagraph"/>
              <w:spacing w:before="9" w:line="232" w:lineRule="exact"/>
              <w:jc w:val="center"/>
              <w:rPr>
                <w:sz w:val="21"/>
              </w:rPr>
            </w:pPr>
            <w:r>
              <w:rPr>
                <w:sz w:val="21"/>
              </w:rPr>
              <w:t>Grade</w:t>
            </w:r>
            <w:r>
              <w:rPr>
                <w:spacing w:val="-7"/>
                <w:sz w:val="21"/>
              </w:rPr>
              <w:t xml:space="preserve"> </w:t>
            </w:r>
            <w:r>
              <w:rPr>
                <w:spacing w:val="-10"/>
                <w:sz w:val="21"/>
              </w:rPr>
              <w:t>4</w:t>
            </w:r>
          </w:p>
        </w:tc>
        <w:tc>
          <w:tcPr>
            <w:tcW w:w="3774" w:type="dxa"/>
            <w:gridSpan w:val="3"/>
            <w:tcBorders>
              <w:top w:val="single" w:sz="18" w:space="0" w:color="800000"/>
              <w:bottom w:val="single" w:sz="12" w:space="0" w:color="800000"/>
            </w:tcBorders>
          </w:tcPr>
          <w:p w:rsidR="003F5784" w14:paraId="519D8788" w14:textId="77777777">
            <w:pPr>
              <w:pStyle w:val="TableParagraph"/>
              <w:spacing w:before="9" w:line="232" w:lineRule="exact"/>
              <w:ind w:right="7"/>
              <w:jc w:val="center"/>
              <w:rPr>
                <w:sz w:val="21"/>
              </w:rPr>
            </w:pPr>
            <w:r>
              <w:rPr>
                <w:sz w:val="21"/>
              </w:rPr>
              <w:t>Grade</w:t>
            </w:r>
            <w:r>
              <w:rPr>
                <w:spacing w:val="-7"/>
                <w:sz w:val="21"/>
              </w:rPr>
              <w:t xml:space="preserve"> </w:t>
            </w:r>
            <w:r>
              <w:rPr>
                <w:spacing w:val="-10"/>
                <w:sz w:val="21"/>
              </w:rPr>
              <w:t>8</w:t>
            </w:r>
          </w:p>
        </w:tc>
      </w:tr>
      <w:tr w14:paraId="1F7E5BB0" w14:textId="77777777">
        <w:tblPrEx>
          <w:tblW w:w="0" w:type="auto"/>
          <w:tblInd w:w="1798" w:type="dxa"/>
          <w:tblLayout w:type="fixed"/>
          <w:tblCellMar>
            <w:left w:w="0" w:type="dxa"/>
            <w:right w:w="0" w:type="dxa"/>
          </w:tblCellMar>
          <w:tblLook w:val="01E0"/>
        </w:tblPrEx>
        <w:trPr>
          <w:trHeight w:val="261"/>
        </w:trPr>
        <w:tc>
          <w:tcPr>
            <w:tcW w:w="3832" w:type="dxa"/>
            <w:vMerge/>
            <w:tcBorders>
              <w:top w:val="nil"/>
              <w:bottom w:val="single" w:sz="18" w:space="0" w:color="800000"/>
            </w:tcBorders>
          </w:tcPr>
          <w:p w:rsidR="003F5784" w14:paraId="015B5882" w14:textId="77777777">
            <w:pPr>
              <w:rPr>
                <w:sz w:val="2"/>
                <w:szCs w:val="2"/>
              </w:rPr>
            </w:pPr>
          </w:p>
        </w:tc>
        <w:tc>
          <w:tcPr>
            <w:tcW w:w="897" w:type="dxa"/>
            <w:tcBorders>
              <w:top w:val="single" w:sz="12" w:space="0" w:color="800000"/>
              <w:bottom w:val="single" w:sz="18" w:space="0" w:color="800000"/>
            </w:tcBorders>
          </w:tcPr>
          <w:p w:rsidR="003F5784" w14:paraId="285F2701" w14:textId="77777777">
            <w:pPr>
              <w:pStyle w:val="TableParagraph"/>
              <w:spacing w:before="3" w:line="238" w:lineRule="exact"/>
              <w:ind w:right="116"/>
              <w:rPr>
                <w:sz w:val="21"/>
              </w:rPr>
            </w:pPr>
            <w:r>
              <w:rPr>
                <w:spacing w:val="-2"/>
                <w:sz w:val="21"/>
              </w:rPr>
              <w:t>Schools</w:t>
            </w:r>
          </w:p>
        </w:tc>
        <w:tc>
          <w:tcPr>
            <w:tcW w:w="1165" w:type="dxa"/>
            <w:tcBorders>
              <w:top w:val="single" w:sz="12" w:space="0" w:color="800000"/>
              <w:bottom w:val="single" w:sz="18" w:space="0" w:color="800000"/>
            </w:tcBorders>
          </w:tcPr>
          <w:p w:rsidR="003F5784" w14:paraId="6568188B" w14:textId="77777777">
            <w:pPr>
              <w:pStyle w:val="TableParagraph"/>
              <w:spacing w:before="3" w:line="238" w:lineRule="exact"/>
              <w:ind w:right="132"/>
              <w:rPr>
                <w:sz w:val="21"/>
              </w:rPr>
            </w:pPr>
            <w:r>
              <w:rPr>
                <w:spacing w:val="-2"/>
                <w:sz w:val="21"/>
              </w:rPr>
              <w:t>Percentage</w:t>
            </w:r>
          </w:p>
        </w:tc>
        <w:tc>
          <w:tcPr>
            <w:tcW w:w="1698" w:type="dxa"/>
            <w:tcBorders>
              <w:top w:val="single" w:sz="12" w:space="0" w:color="800000"/>
              <w:bottom w:val="single" w:sz="18" w:space="0" w:color="800000"/>
            </w:tcBorders>
          </w:tcPr>
          <w:p w:rsidR="003F5784" w14:paraId="65828744" w14:textId="77777777">
            <w:pPr>
              <w:pStyle w:val="TableParagraph"/>
              <w:spacing w:before="3" w:line="238" w:lineRule="exact"/>
              <w:ind w:right="117"/>
              <w:rPr>
                <w:sz w:val="21"/>
              </w:rPr>
            </w:pPr>
            <w:r>
              <w:rPr>
                <w:sz w:val="21"/>
              </w:rPr>
              <w:t>Mean</w:t>
            </w:r>
            <w:r>
              <w:rPr>
                <w:spacing w:val="-7"/>
                <w:sz w:val="21"/>
              </w:rPr>
              <w:t xml:space="preserve"> </w:t>
            </w:r>
            <w:r>
              <w:rPr>
                <w:sz w:val="21"/>
              </w:rPr>
              <w:t>school</w:t>
            </w:r>
            <w:r>
              <w:rPr>
                <w:spacing w:val="-6"/>
                <w:sz w:val="21"/>
              </w:rPr>
              <w:t xml:space="preserve"> </w:t>
            </w:r>
            <w:r>
              <w:rPr>
                <w:spacing w:val="-4"/>
                <w:sz w:val="21"/>
              </w:rPr>
              <w:t>size</w:t>
            </w:r>
          </w:p>
        </w:tc>
        <w:tc>
          <w:tcPr>
            <w:tcW w:w="895" w:type="dxa"/>
            <w:tcBorders>
              <w:top w:val="single" w:sz="12" w:space="0" w:color="800000"/>
              <w:bottom w:val="single" w:sz="18" w:space="0" w:color="800000"/>
            </w:tcBorders>
          </w:tcPr>
          <w:p w:rsidR="003F5784" w14:paraId="5B8C1A1D" w14:textId="77777777">
            <w:pPr>
              <w:pStyle w:val="TableParagraph"/>
              <w:spacing w:before="3" w:line="238" w:lineRule="exact"/>
              <w:ind w:right="117"/>
              <w:rPr>
                <w:sz w:val="21"/>
              </w:rPr>
            </w:pPr>
            <w:r>
              <w:rPr>
                <w:spacing w:val="-2"/>
                <w:sz w:val="21"/>
              </w:rPr>
              <w:t>Schools</w:t>
            </w:r>
          </w:p>
        </w:tc>
        <w:tc>
          <w:tcPr>
            <w:tcW w:w="1170" w:type="dxa"/>
            <w:tcBorders>
              <w:top w:val="single" w:sz="12" w:space="0" w:color="800000"/>
              <w:bottom w:val="single" w:sz="18" w:space="0" w:color="800000"/>
            </w:tcBorders>
          </w:tcPr>
          <w:p w:rsidR="003F5784" w14:paraId="28D29F48" w14:textId="77777777">
            <w:pPr>
              <w:pStyle w:val="TableParagraph"/>
              <w:spacing w:before="3" w:line="238" w:lineRule="exact"/>
              <w:ind w:right="137"/>
              <w:rPr>
                <w:sz w:val="21"/>
              </w:rPr>
            </w:pPr>
            <w:r>
              <w:rPr>
                <w:spacing w:val="-2"/>
                <w:sz w:val="21"/>
              </w:rPr>
              <w:t>Percentage</w:t>
            </w:r>
          </w:p>
        </w:tc>
        <w:tc>
          <w:tcPr>
            <w:tcW w:w="1709" w:type="dxa"/>
            <w:tcBorders>
              <w:top w:val="single" w:sz="12" w:space="0" w:color="800000"/>
              <w:bottom w:val="single" w:sz="18" w:space="0" w:color="800000"/>
            </w:tcBorders>
          </w:tcPr>
          <w:p w:rsidR="003F5784" w14:paraId="33355158" w14:textId="77777777">
            <w:pPr>
              <w:pStyle w:val="TableParagraph"/>
              <w:spacing w:before="3" w:line="238" w:lineRule="exact"/>
              <w:ind w:right="122"/>
              <w:rPr>
                <w:sz w:val="21"/>
              </w:rPr>
            </w:pPr>
            <w:r>
              <w:rPr>
                <w:sz w:val="21"/>
              </w:rPr>
              <w:t>Mean</w:t>
            </w:r>
            <w:r>
              <w:rPr>
                <w:spacing w:val="-7"/>
                <w:sz w:val="21"/>
              </w:rPr>
              <w:t xml:space="preserve"> </w:t>
            </w:r>
            <w:r>
              <w:rPr>
                <w:sz w:val="21"/>
              </w:rPr>
              <w:t>school</w:t>
            </w:r>
            <w:r>
              <w:rPr>
                <w:spacing w:val="-6"/>
                <w:sz w:val="21"/>
              </w:rPr>
              <w:t xml:space="preserve"> </w:t>
            </w:r>
            <w:r>
              <w:rPr>
                <w:spacing w:val="-4"/>
                <w:sz w:val="21"/>
              </w:rPr>
              <w:t>size</w:t>
            </w:r>
          </w:p>
        </w:tc>
      </w:tr>
      <w:tr w14:paraId="5FDEAA17" w14:textId="77777777">
        <w:tblPrEx>
          <w:tblW w:w="0" w:type="auto"/>
          <w:tblInd w:w="1798" w:type="dxa"/>
          <w:tblLayout w:type="fixed"/>
          <w:tblCellMar>
            <w:left w:w="0" w:type="dxa"/>
            <w:right w:w="0" w:type="dxa"/>
          </w:tblCellMar>
          <w:tblLook w:val="01E0"/>
        </w:tblPrEx>
        <w:trPr>
          <w:trHeight w:val="278"/>
        </w:trPr>
        <w:tc>
          <w:tcPr>
            <w:tcW w:w="3832" w:type="dxa"/>
            <w:tcBorders>
              <w:top w:val="single" w:sz="18" w:space="0" w:color="800000"/>
            </w:tcBorders>
          </w:tcPr>
          <w:p w:rsidR="003F5784" w14:paraId="4D9023B0" w14:textId="77777777">
            <w:pPr>
              <w:pStyle w:val="TableParagraph"/>
              <w:spacing w:before="9"/>
              <w:ind w:left="361"/>
              <w:jc w:val="left"/>
              <w:rPr>
                <w:b/>
                <w:sz w:val="21"/>
              </w:rPr>
            </w:pPr>
            <w:r>
              <w:rPr>
                <w:b/>
                <w:spacing w:val="-2"/>
                <w:sz w:val="21"/>
              </w:rPr>
              <w:t>Total</w:t>
            </w:r>
          </w:p>
        </w:tc>
        <w:tc>
          <w:tcPr>
            <w:tcW w:w="897" w:type="dxa"/>
            <w:tcBorders>
              <w:top w:val="single" w:sz="18" w:space="0" w:color="800000"/>
            </w:tcBorders>
          </w:tcPr>
          <w:p w:rsidR="003F5784" w14:paraId="2DB5EBFC" w14:textId="77777777">
            <w:pPr>
              <w:pStyle w:val="TableParagraph"/>
              <w:spacing w:before="9"/>
              <w:ind w:right="116"/>
              <w:rPr>
                <w:b/>
                <w:sz w:val="21"/>
              </w:rPr>
            </w:pPr>
            <w:r>
              <w:rPr>
                <w:b/>
                <w:spacing w:val="-5"/>
                <w:sz w:val="21"/>
              </w:rPr>
              <w:t>259</w:t>
            </w:r>
          </w:p>
        </w:tc>
        <w:tc>
          <w:tcPr>
            <w:tcW w:w="1165" w:type="dxa"/>
            <w:tcBorders>
              <w:top w:val="single" w:sz="18" w:space="0" w:color="800000"/>
            </w:tcBorders>
          </w:tcPr>
          <w:p w:rsidR="003F5784" w14:paraId="372ADC3E" w14:textId="77777777">
            <w:pPr>
              <w:pStyle w:val="TableParagraph"/>
              <w:spacing w:before="9"/>
              <w:ind w:right="131"/>
              <w:rPr>
                <w:b/>
                <w:sz w:val="21"/>
              </w:rPr>
            </w:pPr>
            <w:r>
              <w:rPr>
                <w:b/>
                <w:spacing w:val="-2"/>
                <w:sz w:val="21"/>
              </w:rPr>
              <w:t>100.00</w:t>
            </w:r>
          </w:p>
        </w:tc>
        <w:tc>
          <w:tcPr>
            <w:tcW w:w="1698" w:type="dxa"/>
            <w:tcBorders>
              <w:top w:val="single" w:sz="18" w:space="0" w:color="800000"/>
            </w:tcBorders>
          </w:tcPr>
          <w:p w:rsidR="003F5784" w14:paraId="02500B1F" w14:textId="77777777">
            <w:pPr>
              <w:pStyle w:val="TableParagraph"/>
              <w:spacing w:before="9"/>
              <w:ind w:right="117"/>
              <w:rPr>
                <w:b/>
                <w:sz w:val="21"/>
              </w:rPr>
            </w:pPr>
            <w:r>
              <w:rPr>
                <w:b/>
                <w:spacing w:val="-5"/>
                <w:sz w:val="21"/>
              </w:rPr>
              <w:t>57</w:t>
            </w:r>
          </w:p>
        </w:tc>
        <w:tc>
          <w:tcPr>
            <w:tcW w:w="895" w:type="dxa"/>
            <w:tcBorders>
              <w:top w:val="single" w:sz="18" w:space="0" w:color="800000"/>
            </w:tcBorders>
          </w:tcPr>
          <w:p w:rsidR="003F5784" w14:paraId="53C75A82" w14:textId="77777777">
            <w:pPr>
              <w:pStyle w:val="TableParagraph"/>
              <w:spacing w:before="9"/>
              <w:ind w:right="117"/>
              <w:rPr>
                <w:b/>
                <w:sz w:val="21"/>
              </w:rPr>
            </w:pPr>
            <w:r>
              <w:rPr>
                <w:b/>
                <w:spacing w:val="-5"/>
                <w:sz w:val="21"/>
              </w:rPr>
              <w:t>343</w:t>
            </w:r>
          </w:p>
        </w:tc>
        <w:tc>
          <w:tcPr>
            <w:tcW w:w="1170" w:type="dxa"/>
            <w:tcBorders>
              <w:top w:val="single" w:sz="18" w:space="0" w:color="800000"/>
            </w:tcBorders>
          </w:tcPr>
          <w:p w:rsidR="003F5784" w14:paraId="21E81A8D" w14:textId="77777777">
            <w:pPr>
              <w:pStyle w:val="TableParagraph"/>
              <w:spacing w:before="9"/>
              <w:ind w:right="137"/>
              <w:rPr>
                <w:b/>
                <w:sz w:val="21"/>
              </w:rPr>
            </w:pPr>
            <w:r>
              <w:rPr>
                <w:b/>
                <w:spacing w:val="-2"/>
                <w:sz w:val="21"/>
              </w:rPr>
              <w:t>100.00</w:t>
            </w:r>
          </w:p>
        </w:tc>
        <w:tc>
          <w:tcPr>
            <w:tcW w:w="1709" w:type="dxa"/>
            <w:tcBorders>
              <w:top w:val="single" w:sz="18" w:space="0" w:color="800000"/>
            </w:tcBorders>
          </w:tcPr>
          <w:p w:rsidR="003F5784" w14:paraId="604F5E39" w14:textId="77777777">
            <w:pPr>
              <w:pStyle w:val="TableParagraph"/>
              <w:spacing w:before="9"/>
              <w:ind w:right="122"/>
              <w:rPr>
                <w:b/>
                <w:sz w:val="21"/>
              </w:rPr>
            </w:pPr>
            <w:r>
              <w:rPr>
                <w:b/>
                <w:spacing w:val="-5"/>
                <w:sz w:val="21"/>
              </w:rPr>
              <w:t>57</w:t>
            </w:r>
          </w:p>
        </w:tc>
      </w:tr>
      <w:tr w14:paraId="3E24752C" w14:textId="77777777">
        <w:tblPrEx>
          <w:tblW w:w="0" w:type="auto"/>
          <w:tblInd w:w="1798" w:type="dxa"/>
          <w:tblLayout w:type="fixed"/>
          <w:tblCellMar>
            <w:left w:w="0" w:type="dxa"/>
            <w:right w:w="0" w:type="dxa"/>
          </w:tblCellMar>
          <w:tblLook w:val="01E0"/>
        </w:tblPrEx>
        <w:trPr>
          <w:trHeight w:val="289"/>
        </w:trPr>
        <w:tc>
          <w:tcPr>
            <w:tcW w:w="3832" w:type="dxa"/>
            <w:tcBorders>
              <w:bottom w:val="single" w:sz="18" w:space="0" w:color="800000"/>
            </w:tcBorders>
          </w:tcPr>
          <w:p w:rsidR="003F5784" w14:paraId="7C301815" w14:textId="77777777">
            <w:pPr>
              <w:pStyle w:val="TableParagraph"/>
              <w:ind w:left="111"/>
              <w:jc w:val="left"/>
              <w:rPr>
                <w:sz w:val="21"/>
              </w:rPr>
            </w:pPr>
            <w:r>
              <w:rPr>
                <w:spacing w:val="-2"/>
                <w:sz w:val="21"/>
              </w:rPr>
              <w:t>Northeast</w:t>
            </w:r>
          </w:p>
        </w:tc>
        <w:tc>
          <w:tcPr>
            <w:tcW w:w="897" w:type="dxa"/>
            <w:tcBorders>
              <w:bottom w:val="single" w:sz="18" w:space="0" w:color="800000"/>
            </w:tcBorders>
          </w:tcPr>
          <w:p w:rsidR="003F5784" w14:paraId="5C18D4C3" w14:textId="77777777">
            <w:pPr>
              <w:pStyle w:val="TableParagraph"/>
              <w:ind w:right="116"/>
              <w:rPr>
                <w:sz w:val="21"/>
              </w:rPr>
            </w:pPr>
            <w:r>
              <w:rPr>
                <w:spacing w:val="-5"/>
                <w:sz w:val="21"/>
              </w:rPr>
              <w:t>21</w:t>
            </w:r>
          </w:p>
        </w:tc>
        <w:tc>
          <w:tcPr>
            <w:tcW w:w="1165" w:type="dxa"/>
            <w:tcBorders>
              <w:bottom w:val="single" w:sz="18" w:space="0" w:color="800000"/>
            </w:tcBorders>
          </w:tcPr>
          <w:p w:rsidR="003F5784" w14:paraId="3FA735D9" w14:textId="77777777">
            <w:pPr>
              <w:pStyle w:val="TableParagraph"/>
              <w:ind w:right="131"/>
              <w:rPr>
                <w:sz w:val="21"/>
              </w:rPr>
            </w:pPr>
            <w:r>
              <w:rPr>
                <w:spacing w:val="-4"/>
                <w:sz w:val="21"/>
              </w:rPr>
              <w:t>8.11</w:t>
            </w:r>
          </w:p>
        </w:tc>
        <w:tc>
          <w:tcPr>
            <w:tcW w:w="1698" w:type="dxa"/>
            <w:tcBorders>
              <w:bottom w:val="single" w:sz="18" w:space="0" w:color="800000"/>
            </w:tcBorders>
          </w:tcPr>
          <w:p w:rsidR="003F5784" w14:paraId="0CC9AD16" w14:textId="77777777">
            <w:pPr>
              <w:pStyle w:val="TableParagraph"/>
              <w:ind w:right="117"/>
              <w:rPr>
                <w:sz w:val="21"/>
              </w:rPr>
            </w:pPr>
            <w:r>
              <w:rPr>
                <w:spacing w:val="-5"/>
                <w:sz w:val="21"/>
              </w:rPr>
              <w:t>66</w:t>
            </w:r>
          </w:p>
        </w:tc>
        <w:tc>
          <w:tcPr>
            <w:tcW w:w="895" w:type="dxa"/>
            <w:tcBorders>
              <w:bottom w:val="single" w:sz="18" w:space="0" w:color="800000"/>
            </w:tcBorders>
          </w:tcPr>
          <w:p w:rsidR="003F5784" w14:paraId="3001E402" w14:textId="77777777">
            <w:pPr>
              <w:pStyle w:val="TableParagraph"/>
              <w:ind w:right="117"/>
              <w:rPr>
                <w:sz w:val="21"/>
              </w:rPr>
            </w:pPr>
            <w:r>
              <w:rPr>
                <w:spacing w:val="-5"/>
                <w:sz w:val="21"/>
              </w:rPr>
              <w:t>51</w:t>
            </w:r>
          </w:p>
        </w:tc>
        <w:tc>
          <w:tcPr>
            <w:tcW w:w="1170" w:type="dxa"/>
            <w:tcBorders>
              <w:bottom w:val="single" w:sz="18" w:space="0" w:color="800000"/>
            </w:tcBorders>
          </w:tcPr>
          <w:p w:rsidR="003F5784" w14:paraId="5394F159" w14:textId="77777777">
            <w:pPr>
              <w:pStyle w:val="TableParagraph"/>
              <w:ind w:right="137"/>
              <w:rPr>
                <w:sz w:val="21"/>
              </w:rPr>
            </w:pPr>
            <w:r>
              <w:rPr>
                <w:spacing w:val="-2"/>
                <w:sz w:val="21"/>
              </w:rPr>
              <w:t>14.87</w:t>
            </w:r>
          </w:p>
        </w:tc>
        <w:tc>
          <w:tcPr>
            <w:tcW w:w="1709" w:type="dxa"/>
            <w:tcBorders>
              <w:bottom w:val="single" w:sz="18" w:space="0" w:color="800000"/>
            </w:tcBorders>
          </w:tcPr>
          <w:p w:rsidR="003F5784" w14:paraId="13FBCE42" w14:textId="77777777">
            <w:pPr>
              <w:pStyle w:val="TableParagraph"/>
              <w:ind w:right="122"/>
              <w:rPr>
                <w:sz w:val="21"/>
              </w:rPr>
            </w:pPr>
            <w:r>
              <w:rPr>
                <w:spacing w:val="-5"/>
                <w:sz w:val="21"/>
              </w:rPr>
              <w:t>104</w:t>
            </w:r>
          </w:p>
        </w:tc>
      </w:tr>
      <w:tr w14:paraId="511DBBB1" w14:textId="77777777">
        <w:tblPrEx>
          <w:tblW w:w="0" w:type="auto"/>
          <w:tblInd w:w="1798" w:type="dxa"/>
          <w:tblLayout w:type="fixed"/>
          <w:tblCellMar>
            <w:left w:w="0" w:type="dxa"/>
            <w:right w:w="0" w:type="dxa"/>
          </w:tblCellMar>
          <w:tblLook w:val="01E0"/>
        </w:tblPrEx>
        <w:trPr>
          <w:trHeight w:val="204"/>
        </w:trPr>
        <w:tc>
          <w:tcPr>
            <w:tcW w:w="11366" w:type="dxa"/>
            <w:gridSpan w:val="7"/>
            <w:tcBorders>
              <w:top w:val="single" w:sz="18" w:space="0" w:color="800000"/>
            </w:tcBorders>
          </w:tcPr>
          <w:p w:rsidR="003F5784" w14:paraId="17AFDF7F" w14:textId="77777777">
            <w:pPr>
              <w:pStyle w:val="TableParagraph"/>
              <w:spacing w:before="10" w:line="174" w:lineRule="exact"/>
              <w:ind w:left="111"/>
              <w:jc w:val="left"/>
              <w:rPr>
                <w:sz w:val="21"/>
              </w:rPr>
            </w:pPr>
            <w:r>
              <w:rPr>
                <w:position w:val="8"/>
                <w:sz w:val="17"/>
              </w:rPr>
              <w:t>1</w:t>
            </w:r>
            <w:r>
              <w:rPr>
                <w:sz w:val="21"/>
              </w:rPr>
              <w:t>Outlying</w:t>
            </w:r>
            <w:r>
              <w:rPr>
                <w:spacing w:val="-6"/>
                <w:sz w:val="21"/>
              </w:rPr>
              <w:t xml:space="preserve"> </w:t>
            </w:r>
            <w:r>
              <w:rPr>
                <w:sz w:val="21"/>
              </w:rPr>
              <w:t>areas</w:t>
            </w:r>
            <w:r>
              <w:rPr>
                <w:spacing w:val="-6"/>
                <w:sz w:val="21"/>
              </w:rPr>
              <w:t xml:space="preserve"> </w:t>
            </w:r>
            <w:r>
              <w:rPr>
                <w:sz w:val="21"/>
              </w:rPr>
              <w:t>are</w:t>
            </w:r>
            <w:r>
              <w:rPr>
                <w:spacing w:val="-6"/>
                <w:sz w:val="21"/>
              </w:rPr>
              <w:t xml:space="preserve"> </w:t>
            </w:r>
            <w:r>
              <w:rPr>
                <w:sz w:val="21"/>
              </w:rPr>
              <w:t>not</w:t>
            </w:r>
            <w:r>
              <w:rPr>
                <w:spacing w:val="-6"/>
                <w:sz w:val="21"/>
              </w:rPr>
              <w:t xml:space="preserve"> </w:t>
            </w:r>
            <w:r>
              <w:rPr>
                <w:sz w:val="21"/>
              </w:rPr>
              <w:t>classified</w:t>
            </w:r>
            <w:r>
              <w:rPr>
                <w:spacing w:val="-6"/>
                <w:sz w:val="21"/>
              </w:rPr>
              <w:t xml:space="preserve"> </w:t>
            </w:r>
            <w:r>
              <w:rPr>
                <w:sz w:val="21"/>
              </w:rPr>
              <w:t>by</w:t>
            </w:r>
            <w:r>
              <w:rPr>
                <w:spacing w:val="-5"/>
                <w:sz w:val="21"/>
              </w:rPr>
              <w:t xml:space="preserve"> </w:t>
            </w:r>
            <w:r>
              <w:rPr>
                <w:sz w:val="21"/>
              </w:rPr>
              <w:t>census</w:t>
            </w:r>
            <w:r>
              <w:rPr>
                <w:spacing w:val="-6"/>
                <w:sz w:val="21"/>
              </w:rPr>
              <w:t xml:space="preserve"> </w:t>
            </w:r>
            <w:r>
              <w:rPr>
                <w:sz w:val="21"/>
              </w:rPr>
              <w:t>region.</w:t>
            </w:r>
            <w:r>
              <w:rPr>
                <w:spacing w:val="-10"/>
                <w:sz w:val="21"/>
              </w:rPr>
              <w:t xml:space="preserve"> </w:t>
            </w:r>
            <w:r>
              <w:rPr>
                <w:sz w:val="21"/>
              </w:rPr>
              <w:t>They</w:t>
            </w:r>
            <w:r>
              <w:rPr>
                <w:spacing w:val="-5"/>
                <w:sz w:val="21"/>
              </w:rPr>
              <w:t xml:space="preserve"> </w:t>
            </w:r>
            <w:r>
              <w:rPr>
                <w:sz w:val="21"/>
              </w:rPr>
              <w:t>include</w:t>
            </w:r>
            <w:r>
              <w:rPr>
                <w:spacing w:val="-6"/>
                <w:sz w:val="21"/>
              </w:rPr>
              <w:t xml:space="preserve"> </w:t>
            </w:r>
            <w:r>
              <w:rPr>
                <w:sz w:val="21"/>
              </w:rPr>
              <w:t>schools</w:t>
            </w:r>
            <w:r>
              <w:rPr>
                <w:spacing w:val="-6"/>
                <w:sz w:val="21"/>
              </w:rPr>
              <w:t xml:space="preserve"> </w:t>
            </w:r>
            <w:r>
              <w:rPr>
                <w:sz w:val="21"/>
              </w:rPr>
              <w:t>in</w:t>
            </w:r>
            <w:r>
              <w:rPr>
                <w:spacing w:val="-6"/>
                <w:sz w:val="21"/>
              </w:rPr>
              <w:t xml:space="preserve"> </w:t>
            </w:r>
            <w:r>
              <w:rPr>
                <w:sz w:val="21"/>
              </w:rPr>
              <w:t>Puerto</w:t>
            </w:r>
            <w:r>
              <w:rPr>
                <w:spacing w:val="-6"/>
                <w:sz w:val="21"/>
              </w:rPr>
              <w:t xml:space="preserve"> </w:t>
            </w:r>
            <w:r>
              <w:rPr>
                <w:sz w:val="21"/>
              </w:rPr>
              <w:t>Rico</w:t>
            </w:r>
            <w:r>
              <w:rPr>
                <w:spacing w:val="-6"/>
                <w:sz w:val="21"/>
              </w:rPr>
              <w:t xml:space="preserve"> </w:t>
            </w:r>
            <w:r>
              <w:rPr>
                <w:sz w:val="21"/>
              </w:rPr>
              <w:t>and</w:t>
            </w:r>
            <w:r>
              <w:rPr>
                <w:spacing w:val="-5"/>
                <w:sz w:val="21"/>
              </w:rPr>
              <w:t xml:space="preserve"> </w:t>
            </w:r>
            <w:r>
              <w:rPr>
                <w:sz w:val="21"/>
              </w:rPr>
              <w:t>Department</w:t>
            </w:r>
            <w:r>
              <w:rPr>
                <w:spacing w:val="-6"/>
                <w:sz w:val="21"/>
              </w:rPr>
              <w:t xml:space="preserve"> </w:t>
            </w:r>
            <w:r>
              <w:rPr>
                <w:sz w:val="21"/>
              </w:rPr>
              <w:t>of</w:t>
            </w:r>
            <w:r>
              <w:rPr>
                <w:spacing w:val="-6"/>
                <w:sz w:val="21"/>
              </w:rPr>
              <w:t xml:space="preserve"> </w:t>
            </w:r>
            <w:r>
              <w:rPr>
                <w:sz w:val="21"/>
              </w:rPr>
              <w:t>Defense</w:t>
            </w:r>
            <w:r>
              <w:rPr>
                <w:spacing w:val="-6"/>
                <w:sz w:val="21"/>
              </w:rPr>
              <w:t xml:space="preserve"> </w:t>
            </w:r>
            <w:r>
              <w:rPr>
                <w:spacing w:val="-2"/>
                <w:sz w:val="21"/>
              </w:rPr>
              <w:t>Education</w:t>
            </w:r>
          </w:p>
        </w:tc>
      </w:tr>
    </w:tbl>
    <w:p w:rsidR="003F5784" w14:paraId="7CB643BF" w14:textId="77777777">
      <w:pPr>
        <w:pStyle w:val="BodyText"/>
        <w:spacing w:before="83" w:line="232" w:lineRule="auto"/>
        <w:ind w:left="1902" w:right="5979"/>
      </w:pPr>
      <w:r>
        <w:t>Activity</w:t>
      </w:r>
      <w:r>
        <w:rPr>
          <w:spacing w:val="-7"/>
        </w:rPr>
        <w:t xml:space="preserve"> </w:t>
      </w:r>
      <w:r>
        <w:t>(DoDEA)</w:t>
      </w:r>
      <w:r>
        <w:rPr>
          <w:spacing w:val="-7"/>
        </w:rPr>
        <w:t xml:space="preserve"> </w:t>
      </w:r>
      <w:r>
        <w:t>schools</w:t>
      </w:r>
      <w:r>
        <w:rPr>
          <w:spacing w:val="-7"/>
        </w:rPr>
        <w:t xml:space="preserve"> </w:t>
      </w:r>
      <w:r>
        <w:t>not</w:t>
      </w:r>
      <w:r>
        <w:rPr>
          <w:spacing w:val="-7"/>
        </w:rPr>
        <w:t xml:space="preserve"> </w:t>
      </w:r>
      <w:r>
        <w:t>located</w:t>
      </w:r>
      <w:r>
        <w:rPr>
          <w:spacing w:val="-7"/>
        </w:rPr>
        <w:t xml:space="preserve"> </w:t>
      </w:r>
      <w:r>
        <w:t>in</w:t>
      </w:r>
      <w:r>
        <w:rPr>
          <w:spacing w:val="-7"/>
        </w:rPr>
        <w:t xml:space="preserve"> </w:t>
      </w:r>
      <w:r>
        <w:t>the</w:t>
      </w:r>
      <w:r>
        <w:rPr>
          <w:spacing w:val="-7"/>
        </w:rPr>
        <w:t xml:space="preserve"> </w:t>
      </w:r>
      <w:r>
        <w:t>50</w:t>
      </w:r>
      <w:r>
        <w:rPr>
          <w:spacing w:val="-7"/>
        </w:rPr>
        <w:t xml:space="preserve"> </w:t>
      </w:r>
      <w:r>
        <w:t>states</w:t>
      </w:r>
      <w:r>
        <w:rPr>
          <w:spacing w:val="-7"/>
        </w:rPr>
        <w:t xml:space="preserve"> </w:t>
      </w:r>
      <w:r>
        <w:t>or</w:t>
      </w:r>
      <w:r>
        <w:rPr>
          <w:spacing w:val="-7"/>
        </w:rPr>
        <w:t xml:space="preserve"> </w:t>
      </w:r>
      <w:r>
        <w:t>the</w:t>
      </w:r>
      <w:r>
        <w:rPr>
          <w:spacing w:val="-7"/>
        </w:rPr>
        <w:t xml:space="preserve"> </w:t>
      </w:r>
      <w:r>
        <w:t>District</w:t>
      </w:r>
      <w:r>
        <w:rPr>
          <w:spacing w:val="-7"/>
        </w:rPr>
        <w:t xml:space="preserve"> </w:t>
      </w:r>
      <w:r>
        <w:t>of</w:t>
      </w:r>
      <w:r>
        <w:rPr>
          <w:spacing w:val="-7"/>
        </w:rPr>
        <w:t xml:space="preserve"> </w:t>
      </w:r>
      <w:r>
        <w:t>Columbia. NOTE: Detail may not sum to totals because of rounding.</w:t>
      </w:r>
    </w:p>
    <w:p w:rsidR="003F5784" w14:paraId="7751FD68" w14:textId="77777777">
      <w:pPr>
        <w:pStyle w:val="BodyText"/>
        <w:spacing w:before="1" w:line="232" w:lineRule="auto"/>
        <w:ind w:left="1902" w:right="2245"/>
      </w:pPr>
      <w:r>
        <w:t>SOURCE:</w:t>
      </w:r>
      <w:r>
        <w:rPr>
          <w:spacing w:val="-8"/>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 Assessment of Educational Progress (NAEP), 2022 State Mathematics and Reading</w:t>
      </w:r>
      <w:r>
        <w:rPr>
          <w:spacing w:val="-4"/>
        </w:rPr>
        <w:t xml:space="preserve"> </w:t>
      </w:r>
      <w:r>
        <w:t>Assessments.</w:t>
      </w:r>
    </w:p>
    <w:p w:rsidR="003F5784" w14:paraId="1F7364E9" w14:textId="77777777">
      <w:pPr>
        <w:spacing w:line="232" w:lineRule="auto"/>
        <w:sectPr>
          <w:pgSz w:w="15840" w:h="12240" w:orient="landscape"/>
          <w:pgMar w:top="480" w:right="440" w:bottom="460" w:left="460" w:header="284" w:footer="275" w:gutter="0"/>
          <w:cols w:space="720"/>
        </w:sectPr>
      </w:pPr>
    </w:p>
    <w:p w:rsidR="003F5784" w14:paraId="28F3084D" w14:textId="77777777">
      <w:pPr>
        <w:pStyle w:val="BodyText"/>
        <w:spacing w:before="156"/>
      </w:pPr>
    </w:p>
    <w:p w:rsidR="003F5784" w14:paraId="0E923AA8" w14:textId="77777777">
      <w:pPr>
        <w:pStyle w:val="BodyText"/>
        <w:spacing w:before="1"/>
        <w:ind w:left="1902"/>
      </w:pPr>
      <w:r>
        <w:t>Census</w:t>
      </w:r>
      <w:r>
        <w:rPr>
          <w:spacing w:val="-8"/>
        </w:rPr>
        <w:t xml:space="preserve"> </w:t>
      </w:r>
      <w:r>
        <w:rPr>
          <w:spacing w:val="-2"/>
        </w:rPr>
        <w:t>region</w:t>
      </w:r>
    </w:p>
    <w:p w:rsidR="003F5784" w14:paraId="1AE0F9DA" w14:textId="77777777">
      <w:pPr>
        <w:pStyle w:val="BodyText"/>
        <w:tabs>
          <w:tab w:val="left" w:pos="3762"/>
        </w:tabs>
        <w:spacing w:before="98"/>
        <w:ind w:right="9"/>
        <w:jc w:val="center"/>
      </w:pPr>
      <w:r>
        <w:br w:type="column"/>
        <w:t>Grade</w:t>
      </w:r>
      <w:r>
        <w:rPr>
          <w:spacing w:val="-7"/>
        </w:rPr>
        <w:t xml:space="preserve"> </w:t>
      </w:r>
      <w:r>
        <w:rPr>
          <w:spacing w:val="-10"/>
        </w:rPr>
        <w:t>4</w:t>
      </w:r>
      <w:r>
        <w:tab/>
        <w:t>Grade</w:t>
      </w:r>
      <w:r>
        <w:rPr>
          <w:spacing w:val="-7"/>
        </w:rPr>
        <w:t xml:space="preserve"> </w:t>
      </w:r>
      <w:r>
        <w:rPr>
          <w:spacing w:val="-10"/>
        </w:rPr>
        <w:t>8</w:t>
      </w:r>
    </w:p>
    <w:p w:rsidR="003F5784" w14:paraId="43DDEA39" w14:textId="77777777">
      <w:pPr>
        <w:pStyle w:val="BodyText"/>
        <w:spacing w:line="26" w:lineRule="exact"/>
        <w:ind w:left="1783"/>
        <w:rPr>
          <w:sz w:val="2"/>
        </w:rPr>
      </w:pPr>
      <w:r>
        <w:rPr>
          <w:noProof/>
          <w:sz w:val="2"/>
        </w:rPr>
        <mc:AlternateContent>
          <mc:Choice Requires="wpg">
            <w:drawing>
              <wp:inline distT="0" distB="0" distL="0" distR="0">
                <wp:extent cx="4783455" cy="17145"/>
                <wp:effectExtent l="0" t="0" r="0" b="0"/>
                <wp:docPr id="343" name="Group 343"/>
                <wp:cNvGraphicFramePr/>
                <a:graphic xmlns:a="http://schemas.openxmlformats.org/drawingml/2006/main">
                  <a:graphicData uri="http://schemas.microsoft.com/office/word/2010/wordprocessingGroup">
                    <wpg:wgp xmlns:wpg="http://schemas.microsoft.com/office/word/2010/wordprocessingGroup">
                      <wpg:cNvGrpSpPr/>
                      <wpg:grpSpPr>
                        <a:xfrm>
                          <a:off x="0" y="0"/>
                          <a:ext cx="4783455" cy="17145"/>
                          <a:chOff x="0" y="0"/>
                          <a:chExt cx="4783455" cy="17145"/>
                        </a:xfrm>
                      </wpg:grpSpPr>
                      <wps:wsp xmlns:wps="http://schemas.microsoft.com/office/word/2010/wordprocessingShape">
                        <wps:cNvPr id="344" name="Graphic 344"/>
                        <wps:cNvSpPr/>
                        <wps:spPr>
                          <a:xfrm>
                            <a:off x="-9" y="-38"/>
                            <a:ext cx="4783455" cy="17145"/>
                          </a:xfrm>
                          <a:custGeom>
                            <a:avLst/>
                            <a:gdLst/>
                            <a:rect l="l" t="t" r="r" b="b"/>
                            <a:pathLst>
                              <a:path fill="norm" h="17145" w="4783455" stroke="1">
                                <a:moveTo>
                                  <a:pt x="4783417" y="0"/>
                                </a:moveTo>
                                <a:lnTo>
                                  <a:pt x="2383434" y="0"/>
                                </a:lnTo>
                                <a:lnTo>
                                  <a:pt x="0" y="0"/>
                                </a:lnTo>
                                <a:lnTo>
                                  <a:pt x="0" y="16548"/>
                                </a:lnTo>
                                <a:lnTo>
                                  <a:pt x="2383434" y="16548"/>
                                </a:lnTo>
                                <a:lnTo>
                                  <a:pt x="4783417" y="16548"/>
                                </a:lnTo>
                                <a:lnTo>
                                  <a:pt x="4783417" y="0"/>
                                </a:lnTo>
                                <a:close/>
                              </a:path>
                            </a:pathLst>
                          </a:custGeom>
                          <a:solidFill>
                            <a:srgbClr val="800000"/>
                          </a:solidFill>
                        </wps:spPr>
                        <wps:bodyPr wrap="square" lIns="0" tIns="0" rIns="0" bIns="0" rtlCol="0">
                          <a:prstTxWarp prst="textNoShape">
                            <a:avLst/>
                          </a:prstTxWarp>
                        </wps:bodyPr>
                      </wps:wsp>
                    </wpg:wgp>
                  </a:graphicData>
                </a:graphic>
              </wp:inline>
            </w:drawing>
          </mc:Choice>
          <mc:Fallback>
            <w:pict>
              <v:group id="Group 343" o:spid="_x0000_i1133" style="width:376.65pt;height:1.35pt;mso-position-horizontal-relative:char;mso-position-vertical-relative:line" coordsize="47834,171">
                <v:shape id="Graphic 344" o:spid="_x0000_s1134" style="width:47834;height:171;mso-wrap-style:square;position:absolute;visibility:visible;v-text-anchor:top" coordsize="4783455,17145" path="m4783417,l2383434,,,,,16548l2383434,16548l4783417,16548l4783417,xe" fillcolor="maroon" stroked="f">
                  <v:path arrowok="t"/>
                </v:shape>
                <w10:wrap type="none"/>
                <w10:anchorlock/>
              </v:group>
            </w:pict>
          </mc:Fallback>
        </mc:AlternateContent>
      </w:r>
    </w:p>
    <w:p w:rsidR="003F5784" w14:paraId="336F783B" w14:textId="77777777">
      <w:pPr>
        <w:pStyle w:val="BodyText"/>
        <w:tabs>
          <w:tab w:val="left" w:pos="894"/>
          <w:tab w:val="left" w:pos="2074"/>
          <w:tab w:val="left" w:pos="3757"/>
          <w:tab w:val="left" w:pos="4651"/>
          <w:tab w:val="left" w:pos="5843"/>
        </w:tabs>
        <w:spacing w:before="33"/>
        <w:ind w:right="3"/>
        <w:jc w:val="center"/>
      </w:pPr>
      <w:r>
        <w:rPr>
          <w:spacing w:val="-2"/>
        </w:rPr>
        <w:t>Schools</w:t>
      </w:r>
      <w:r>
        <w:tab/>
      </w:r>
      <w:r>
        <w:rPr>
          <w:spacing w:val="-2"/>
        </w:rPr>
        <w:t>Percentage</w:t>
      </w:r>
      <w:r>
        <w:tab/>
        <w:t>Mean</w:t>
      </w:r>
      <w:r>
        <w:rPr>
          <w:spacing w:val="-7"/>
        </w:rPr>
        <w:t xml:space="preserve"> </w:t>
      </w:r>
      <w:r>
        <w:t>school</w:t>
      </w:r>
      <w:r>
        <w:rPr>
          <w:spacing w:val="-6"/>
        </w:rPr>
        <w:t xml:space="preserve"> </w:t>
      </w:r>
      <w:r>
        <w:rPr>
          <w:spacing w:val="-4"/>
        </w:rPr>
        <w:t>size</w:t>
      </w:r>
      <w:r>
        <w:tab/>
      </w:r>
      <w:r>
        <w:rPr>
          <w:spacing w:val="-2"/>
        </w:rPr>
        <w:t>Schools</w:t>
      </w:r>
      <w:r>
        <w:tab/>
      </w:r>
      <w:r>
        <w:rPr>
          <w:spacing w:val="-2"/>
        </w:rPr>
        <w:t>Percentage</w:t>
      </w:r>
      <w:r>
        <w:tab/>
        <w:t>Mean</w:t>
      </w:r>
      <w:r>
        <w:rPr>
          <w:spacing w:val="-7"/>
        </w:rPr>
        <w:t xml:space="preserve"> </w:t>
      </w:r>
      <w:r>
        <w:t>school</w:t>
      </w:r>
      <w:r>
        <w:rPr>
          <w:spacing w:val="-6"/>
        </w:rPr>
        <w:t xml:space="preserve"> </w:t>
      </w:r>
      <w:r>
        <w:rPr>
          <w:spacing w:val="-4"/>
        </w:rPr>
        <w:t>size</w:t>
      </w:r>
    </w:p>
    <w:p w:rsidR="003F5784" w14:paraId="56643C02" w14:textId="77777777">
      <w:pPr>
        <w:jc w:val="center"/>
        <w:sectPr>
          <w:pgSz w:w="15840" w:h="12240" w:orient="landscape"/>
          <w:pgMar w:top="480" w:right="440" w:bottom="460" w:left="460" w:header="284" w:footer="275" w:gutter="0"/>
          <w:cols w:num="2" w:space="720" w:equalWidth="0">
            <w:col w:w="3130" w:space="709"/>
            <w:col w:w="11101"/>
          </w:cols>
        </w:sectPr>
      </w:pPr>
    </w:p>
    <w:tbl>
      <w:tblPr>
        <w:tblW w:w="0" w:type="auto"/>
        <w:tblInd w:w="1798" w:type="dxa"/>
        <w:tblLayout w:type="fixed"/>
        <w:tblCellMar>
          <w:left w:w="0" w:type="dxa"/>
          <w:right w:w="0" w:type="dxa"/>
        </w:tblCellMar>
        <w:tblLook w:val="01E0"/>
      </w:tblPr>
      <w:tblGrid>
        <w:gridCol w:w="2859"/>
        <w:gridCol w:w="2092"/>
        <w:gridCol w:w="1561"/>
        <w:gridCol w:w="1251"/>
        <w:gridCol w:w="943"/>
        <w:gridCol w:w="1514"/>
        <w:gridCol w:w="1141"/>
      </w:tblGrid>
      <w:tr w14:paraId="02ABF59C" w14:textId="77777777">
        <w:tblPrEx>
          <w:tblW w:w="0" w:type="auto"/>
          <w:tblInd w:w="1798" w:type="dxa"/>
          <w:tblLayout w:type="fixed"/>
          <w:tblCellMar>
            <w:left w:w="0" w:type="dxa"/>
            <w:right w:w="0" w:type="dxa"/>
          </w:tblCellMar>
          <w:tblLook w:val="01E0"/>
        </w:tblPrEx>
        <w:trPr>
          <w:trHeight w:val="278"/>
        </w:trPr>
        <w:tc>
          <w:tcPr>
            <w:tcW w:w="2859" w:type="dxa"/>
            <w:tcBorders>
              <w:top w:val="single" w:sz="18" w:space="0" w:color="800000"/>
            </w:tcBorders>
          </w:tcPr>
          <w:p w:rsidR="003F5784" w14:paraId="5E5F0AFE" w14:textId="77777777">
            <w:pPr>
              <w:pStyle w:val="TableParagraph"/>
              <w:spacing w:before="9"/>
              <w:ind w:left="111"/>
              <w:jc w:val="left"/>
              <w:rPr>
                <w:sz w:val="21"/>
              </w:rPr>
            </w:pPr>
            <w:r>
              <w:rPr>
                <w:spacing w:val="-2"/>
                <w:sz w:val="21"/>
              </w:rPr>
              <w:t>Midwest</w:t>
            </w:r>
          </w:p>
        </w:tc>
        <w:tc>
          <w:tcPr>
            <w:tcW w:w="2092" w:type="dxa"/>
            <w:tcBorders>
              <w:top w:val="single" w:sz="18" w:space="0" w:color="800000"/>
            </w:tcBorders>
          </w:tcPr>
          <w:p w:rsidR="003F5784" w14:paraId="7F358C2F" w14:textId="77777777">
            <w:pPr>
              <w:pStyle w:val="TableParagraph"/>
              <w:spacing w:before="9"/>
              <w:ind w:right="338"/>
              <w:rPr>
                <w:sz w:val="21"/>
              </w:rPr>
            </w:pPr>
            <w:r>
              <w:rPr>
                <w:spacing w:val="-5"/>
                <w:sz w:val="21"/>
              </w:rPr>
              <w:t>53</w:t>
            </w:r>
          </w:p>
        </w:tc>
        <w:tc>
          <w:tcPr>
            <w:tcW w:w="1561" w:type="dxa"/>
            <w:tcBorders>
              <w:top w:val="single" w:sz="18" w:space="0" w:color="800000"/>
            </w:tcBorders>
          </w:tcPr>
          <w:p w:rsidR="003F5784" w14:paraId="444FE614" w14:textId="77777777">
            <w:pPr>
              <w:pStyle w:val="TableParagraph"/>
              <w:spacing w:before="9"/>
              <w:ind w:right="749"/>
              <w:rPr>
                <w:sz w:val="21"/>
              </w:rPr>
            </w:pPr>
            <w:r>
              <w:rPr>
                <w:spacing w:val="-2"/>
                <w:sz w:val="21"/>
              </w:rPr>
              <w:t>20.46</w:t>
            </w:r>
          </w:p>
        </w:tc>
        <w:tc>
          <w:tcPr>
            <w:tcW w:w="1251" w:type="dxa"/>
            <w:tcBorders>
              <w:top w:val="single" w:sz="18" w:space="0" w:color="800000"/>
            </w:tcBorders>
          </w:tcPr>
          <w:p w:rsidR="003F5784" w14:paraId="483A629C" w14:textId="77777777">
            <w:pPr>
              <w:pStyle w:val="TableParagraph"/>
              <w:spacing w:before="9"/>
              <w:ind w:right="288"/>
              <w:rPr>
                <w:sz w:val="21"/>
              </w:rPr>
            </w:pPr>
            <w:r>
              <w:rPr>
                <w:spacing w:val="-5"/>
                <w:sz w:val="21"/>
              </w:rPr>
              <w:t>36</w:t>
            </w:r>
          </w:p>
        </w:tc>
        <w:tc>
          <w:tcPr>
            <w:tcW w:w="943" w:type="dxa"/>
            <w:tcBorders>
              <w:top w:val="single" w:sz="18" w:space="0" w:color="800000"/>
            </w:tcBorders>
          </w:tcPr>
          <w:p w:rsidR="003F5784" w14:paraId="02E5D03E" w14:textId="77777777">
            <w:pPr>
              <w:pStyle w:val="TableParagraph"/>
              <w:spacing w:before="9"/>
              <w:ind w:right="336"/>
              <w:rPr>
                <w:sz w:val="21"/>
              </w:rPr>
            </w:pPr>
            <w:r>
              <w:rPr>
                <w:spacing w:val="-5"/>
                <w:sz w:val="21"/>
              </w:rPr>
              <w:t>68</w:t>
            </w:r>
          </w:p>
        </w:tc>
        <w:tc>
          <w:tcPr>
            <w:tcW w:w="1514" w:type="dxa"/>
            <w:tcBorders>
              <w:top w:val="single" w:sz="18" w:space="0" w:color="800000"/>
            </w:tcBorders>
          </w:tcPr>
          <w:p w:rsidR="003F5784" w14:paraId="45729EA2" w14:textId="77777777">
            <w:pPr>
              <w:pStyle w:val="TableParagraph"/>
              <w:spacing w:before="9"/>
              <w:ind w:right="700"/>
              <w:rPr>
                <w:sz w:val="21"/>
              </w:rPr>
            </w:pPr>
            <w:r>
              <w:rPr>
                <w:spacing w:val="-2"/>
                <w:sz w:val="21"/>
              </w:rPr>
              <w:t>19.83</w:t>
            </w:r>
          </w:p>
        </w:tc>
        <w:tc>
          <w:tcPr>
            <w:tcW w:w="1141" w:type="dxa"/>
            <w:tcBorders>
              <w:top w:val="single" w:sz="18" w:space="0" w:color="800000"/>
            </w:tcBorders>
          </w:tcPr>
          <w:p w:rsidR="003F5784" w14:paraId="593C8AF6" w14:textId="77777777">
            <w:pPr>
              <w:pStyle w:val="TableParagraph"/>
              <w:spacing w:before="9"/>
              <w:ind w:right="117"/>
              <w:rPr>
                <w:sz w:val="21"/>
              </w:rPr>
            </w:pPr>
            <w:r>
              <w:rPr>
                <w:spacing w:val="-5"/>
                <w:sz w:val="21"/>
              </w:rPr>
              <w:t>36</w:t>
            </w:r>
          </w:p>
        </w:tc>
      </w:tr>
      <w:tr w14:paraId="6DFA8869" w14:textId="77777777">
        <w:tblPrEx>
          <w:tblW w:w="0" w:type="auto"/>
          <w:tblInd w:w="1798" w:type="dxa"/>
          <w:tblLayout w:type="fixed"/>
          <w:tblCellMar>
            <w:left w:w="0" w:type="dxa"/>
            <w:right w:w="0" w:type="dxa"/>
          </w:tblCellMar>
          <w:tblLook w:val="01E0"/>
        </w:tblPrEx>
        <w:trPr>
          <w:trHeight w:val="286"/>
        </w:trPr>
        <w:tc>
          <w:tcPr>
            <w:tcW w:w="2859" w:type="dxa"/>
          </w:tcPr>
          <w:p w:rsidR="003F5784" w14:paraId="19FA06EA" w14:textId="77777777">
            <w:pPr>
              <w:pStyle w:val="TableParagraph"/>
              <w:ind w:left="111"/>
              <w:jc w:val="left"/>
              <w:rPr>
                <w:sz w:val="21"/>
              </w:rPr>
            </w:pPr>
            <w:r>
              <w:rPr>
                <w:spacing w:val="-2"/>
                <w:sz w:val="21"/>
              </w:rPr>
              <w:t>South</w:t>
            </w:r>
          </w:p>
        </w:tc>
        <w:tc>
          <w:tcPr>
            <w:tcW w:w="2092" w:type="dxa"/>
          </w:tcPr>
          <w:p w:rsidR="003F5784" w14:paraId="27E7FD0D" w14:textId="77777777">
            <w:pPr>
              <w:pStyle w:val="TableParagraph"/>
              <w:ind w:right="338"/>
              <w:rPr>
                <w:sz w:val="21"/>
              </w:rPr>
            </w:pPr>
            <w:r>
              <w:rPr>
                <w:spacing w:val="-5"/>
                <w:sz w:val="21"/>
              </w:rPr>
              <w:t>129</w:t>
            </w:r>
          </w:p>
        </w:tc>
        <w:tc>
          <w:tcPr>
            <w:tcW w:w="1561" w:type="dxa"/>
          </w:tcPr>
          <w:p w:rsidR="003F5784" w14:paraId="09E3B57E" w14:textId="77777777">
            <w:pPr>
              <w:pStyle w:val="TableParagraph"/>
              <w:ind w:right="749"/>
              <w:rPr>
                <w:sz w:val="21"/>
              </w:rPr>
            </w:pPr>
            <w:r>
              <w:rPr>
                <w:spacing w:val="-2"/>
                <w:sz w:val="21"/>
              </w:rPr>
              <w:t>49.81</w:t>
            </w:r>
          </w:p>
        </w:tc>
        <w:tc>
          <w:tcPr>
            <w:tcW w:w="1251" w:type="dxa"/>
          </w:tcPr>
          <w:p w:rsidR="003F5784" w14:paraId="7FB6471C" w14:textId="77777777">
            <w:pPr>
              <w:pStyle w:val="TableParagraph"/>
              <w:ind w:right="288"/>
              <w:rPr>
                <w:sz w:val="21"/>
              </w:rPr>
            </w:pPr>
            <w:r>
              <w:rPr>
                <w:spacing w:val="-5"/>
                <w:sz w:val="21"/>
              </w:rPr>
              <w:t>61</w:t>
            </w:r>
          </w:p>
        </w:tc>
        <w:tc>
          <w:tcPr>
            <w:tcW w:w="943" w:type="dxa"/>
          </w:tcPr>
          <w:p w:rsidR="003F5784" w14:paraId="0ED3010D" w14:textId="77777777">
            <w:pPr>
              <w:pStyle w:val="TableParagraph"/>
              <w:ind w:right="336"/>
              <w:rPr>
                <w:sz w:val="21"/>
              </w:rPr>
            </w:pPr>
            <w:r>
              <w:rPr>
                <w:spacing w:val="-5"/>
                <w:sz w:val="21"/>
              </w:rPr>
              <w:t>159</w:t>
            </w:r>
          </w:p>
        </w:tc>
        <w:tc>
          <w:tcPr>
            <w:tcW w:w="1514" w:type="dxa"/>
          </w:tcPr>
          <w:p w:rsidR="003F5784" w14:paraId="4FDBF736" w14:textId="77777777">
            <w:pPr>
              <w:pStyle w:val="TableParagraph"/>
              <w:ind w:right="700"/>
              <w:rPr>
                <w:sz w:val="21"/>
              </w:rPr>
            </w:pPr>
            <w:r>
              <w:rPr>
                <w:spacing w:val="-2"/>
                <w:sz w:val="21"/>
              </w:rPr>
              <w:t>46.36</w:t>
            </w:r>
          </w:p>
        </w:tc>
        <w:tc>
          <w:tcPr>
            <w:tcW w:w="1141" w:type="dxa"/>
          </w:tcPr>
          <w:p w:rsidR="003F5784" w14:paraId="44A7A1E4" w14:textId="77777777">
            <w:pPr>
              <w:pStyle w:val="TableParagraph"/>
              <w:ind w:right="117"/>
              <w:rPr>
                <w:sz w:val="21"/>
              </w:rPr>
            </w:pPr>
            <w:r>
              <w:rPr>
                <w:spacing w:val="-5"/>
                <w:sz w:val="21"/>
              </w:rPr>
              <w:t>51</w:t>
            </w:r>
          </w:p>
        </w:tc>
      </w:tr>
      <w:tr w14:paraId="5D5C1182" w14:textId="77777777">
        <w:tblPrEx>
          <w:tblW w:w="0" w:type="auto"/>
          <w:tblInd w:w="1798" w:type="dxa"/>
          <w:tblLayout w:type="fixed"/>
          <w:tblCellMar>
            <w:left w:w="0" w:type="dxa"/>
            <w:right w:w="0" w:type="dxa"/>
          </w:tblCellMar>
          <w:tblLook w:val="01E0"/>
        </w:tblPrEx>
        <w:trPr>
          <w:trHeight w:val="286"/>
        </w:trPr>
        <w:tc>
          <w:tcPr>
            <w:tcW w:w="2859" w:type="dxa"/>
          </w:tcPr>
          <w:p w:rsidR="003F5784" w14:paraId="3F500327" w14:textId="77777777">
            <w:pPr>
              <w:pStyle w:val="TableParagraph"/>
              <w:ind w:left="111"/>
              <w:jc w:val="left"/>
              <w:rPr>
                <w:sz w:val="21"/>
              </w:rPr>
            </w:pPr>
            <w:r>
              <w:rPr>
                <w:spacing w:val="-4"/>
                <w:sz w:val="21"/>
              </w:rPr>
              <w:t>West</w:t>
            </w:r>
          </w:p>
        </w:tc>
        <w:tc>
          <w:tcPr>
            <w:tcW w:w="2092" w:type="dxa"/>
          </w:tcPr>
          <w:p w:rsidR="003F5784" w14:paraId="7B95D54B" w14:textId="77777777">
            <w:pPr>
              <w:pStyle w:val="TableParagraph"/>
              <w:ind w:right="338"/>
              <w:rPr>
                <w:sz w:val="21"/>
              </w:rPr>
            </w:pPr>
            <w:r>
              <w:rPr>
                <w:spacing w:val="-5"/>
                <w:sz w:val="21"/>
              </w:rPr>
              <w:t>50</w:t>
            </w:r>
          </w:p>
        </w:tc>
        <w:tc>
          <w:tcPr>
            <w:tcW w:w="1561" w:type="dxa"/>
          </w:tcPr>
          <w:p w:rsidR="003F5784" w14:paraId="3E248E30" w14:textId="77777777">
            <w:pPr>
              <w:pStyle w:val="TableParagraph"/>
              <w:ind w:right="749"/>
              <w:rPr>
                <w:sz w:val="21"/>
              </w:rPr>
            </w:pPr>
            <w:r>
              <w:rPr>
                <w:spacing w:val="-2"/>
                <w:sz w:val="21"/>
              </w:rPr>
              <w:t>19.31</w:t>
            </w:r>
          </w:p>
        </w:tc>
        <w:tc>
          <w:tcPr>
            <w:tcW w:w="1251" w:type="dxa"/>
          </w:tcPr>
          <w:p w:rsidR="003F5784" w14:paraId="1B6FAFAA" w14:textId="77777777">
            <w:pPr>
              <w:pStyle w:val="TableParagraph"/>
              <w:ind w:right="288"/>
              <w:rPr>
                <w:sz w:val="21"/>
              </w:rPr>
            </w:pPr>
            <w:r>
              <w:rPr>
                <w:spacing w:val="-5"/>
                <w:sz w:val="21"/>
              </w:rPr>
              <w:t>58</w:t>
            </w:r>
          </w:p>
        </w:tc>
        <w:tc>
          <w:tcPr>
            <w:tcW w:w="943" w:type="dxa"/>
          </w:tcPr>
          <w:p w:rsidR="003F5784" w14:paraId="26B2D9A3" w14:textId="77777777">
            <w:pPr>
              <w:pStyle w:val="TableParagraph"/>
              <w:ind w:right="336"/>
              <w:rPr>
                <w:sz w:val="21"/>
              </w:rPr>
            </w:pPr>
            <w:r>
              <w:rPr>
                <w:spacing w:val="-5"/>
                <w:sz w:val="21"/>
              </w:rPr>
              <w:t>62</w:t>
            </w:r>
          </w:p>
        </w:tc>
        <w:tc>
          <w:tcPr>
            <w:tcW w:w="1514" w:type="dxa"/>
          </w:tcPr>
          <w:p w:rsidR="003F5784" w14:paraId="365403A1" w14:textId="77777777">
            <w:pPr>
              <w:pStyle w:val="TableParagraph"/>
              <w:ind w:right="700"/>
              <w:rPr>
                <w:sz w:val="21"/>
              </w:rPr>
            </w:pPr>
            <w:r>
              <w:rPr>
                <w:spacing w:val="-2"/>
                <w:sz w:val="21"/>
              </w:rPr>
              <w:t>18.08</w:t>
            </w:r>
          </w:p>
        </w:tc>
        <w:tc>
          <w:tcPr>
            <w:tcW w:w="1141" w:type="dxa"/>
          </w:tcPr>
          <w:p w:rsidR="003F5784" w14:paraId="501C00EB" w14:textId="77777777">
            <w:pPr>
              <w:pStyle w:val="TableParagraph"/>
              <w:ind w:right="117"/>
              <w:rPr>
                <w:sz w:val="21"/>
              </w:rPr>
            </w:pPr>
            <w:r>
              <w:rPr>
                <w:spacing w:val="-5"/>
                <w:sz w:val="21"/>
              </w:rPr>
              <w:t>54</w:t>
            </w:r>
          </w:p>
        </w:tc>
      </w:tr>
      <w:tr w14:paraId="3AB39E86" w14:textId="77777777">
        <w:tblPrEx>
          <w:tblW w:w="0" w:type="auto"/>
          <w:tblInd w:w="1798" w:type="dxa"/>
          <w:tblLayout w:type="fixed"/>
          <w:tblCellMar>
            <w:left w:w="0" w:type="dxa"/>
            <w:right w:w="0" w:type="dxa"/>
          </w:tblCellMar>
          <w:tblLook w:val="01E0"/>
        </w:tblPrEx>
        <w:trPr>
          <w:trHeight w:val="341"/>
        </w:trPr>
        <w:tc>
          <w:tcPr>
            <w:tcW w:w="2859" w:type="dxa"/>
            <w:tcBorders>
              <w:bottom w:val="single" w:sz="18" w:space="0" w:color="800000"/>
            </w:tcBorders>
          </w:tcPr>
          <w:p w:rsidR="003F5784" w14:paraId="301895C6" w14:textId="77777777">
            <w:pPr>
              <w:pStyle w:val="TableParagraph"/>
              <w:spacing w:before="31"/>
              <w:ind w:left="111"/>
              <w:jc w:val="left"/>
              <w:rPr>
                <w:sz w:val="17"/>
              </w:rPr>
            </w:pPr>
            <w:r>
              <w:rPr>
                <w:sz w:val="21"/>
              </w:rPr>
              <w:t>Outlying</w:t>
            </w:r>
            <w:r>
              <w:rPr>
                <w:spacing w:val="-9"/>
                <w:sz w:val="21"/>
              </w:rPr>
              <w:t xml:space="preserve"> </w:t>
            </w:r>
            <w:r>
              <w:rPr>
                <w:spacing w:val="-2"/>
                <w:sz w:val="21"/>
              </w:rPr>
              <w:t>areas</w:t>
            </w:r>
            <w:r>
              <w:rPr>
                <w:spacing w:val="-2"/>
                <w:position w:val="8"/>
                <w:sz w:val="17"/>
              </w:rPr>
              <w:t>1</w:t>
            </w:r>
          </w:p>
        </w:tc>
        <w:tc>
          <w:tcPr>
            <w:tcW w:w="2092" w:type="dxa"/>
            <w:tcBorders>
              <w:bottom w:val="single" w:sz="18" w:space="0" w:color="800000"/>
            </w:tcBorders>
          </w:tcPr>
          <w:p w:rsidR="003F5784" w14:paraId="3A3695D6" w14:textId="77777777">
            <w:pPr>
              <w:pStyle w:val="TableParagraph"/>
              <w:ind w:right="338"/>
              <w:rPr>
                <w:sz w:val="21"/>
              </w:rPr>
            </w:pPr>
            <w:r>
              <w:rPr>
                <w:spacing w:val="-10"/>
                <w:sz w:val="21"/>
              </w:rPr>
              <w:t>6</w:t>
            </w:r>
          </w:p>
        </w:tc>
        <w:tc>
          <w:tcPr>
            <w:tcW w:w="1561" w:type="dxa"/>
            <w:tcBorders>
              <w:bottom w:val="single" w:sz="18" w:space="0" w:color="800000"/>
            </w:tcBorders>
          </w:tcPr>
          <w:p w:rsidR="003F5784" w14:paraId="5B1F0277" w14:textId="77777777">
            <w:pPr>
              <w:pStyle w:val="TableParagraph"/>
              <w:ind w:right="749"/>
              <w:rPr>
                <w:sz w:val="21"/>
              </w:rPr>
            </w:pPr>
            <w:r>
              <w:rPr>
                <w:spacing w:val="-4"/>
                <w:sz w:val="21"/>
              </w:rPr>
              <w:t>2.32</w:t>
            </w:r>
          </w:p>
        </w:tc>
        <w:tc>
          <w:tcPr>
            <w:tcW w:w="1251" w:type="dxa"/>
            <w:tcBorders>
              <w:bottom w:val="single" w:sz="18" w:space="0" w:color="800000"/>
            </w:tcBorders>
          </w:tcPr>
          <w:p w:rsidR="003F5784" w14:paraId="4FAE7342" w14:textId="77777777">
            <w:pPr>
              <w:pStyle w:val="TableParagraph"/>
              <w:ind w:right="288"/>
              <w:rPr>
                <w:sz w:val="21"/>
              </w:rPr>
            </w:pPr>
            <w:r>
              <w:rPr>
                <w:spacing w:val="-5"/>
                <w:sz w:val="21"/>
              </w:rPr>
              <w:t>94</w:t>
            </w:r>
          </w:p>
        </w:tc>
        <w:tc>
          <w:tcPr>
            <w:tcW w:w="943" w:type="dxa"/>
            <w:tcBorders>
              <w:bottom w:val="single" w:sz="18" w:space="0" w:color="800000"/>
            </w:tcBorders>
          </w:tcPr>
          <w:p w:rsidR="003F5784" w14:paraId="7288979F" w14:textId="77777777">
            <w:pPr>
              <w:pStyle w:val="TableParagraph"/>
              <w:ind w:right="336"/>
              <w:rPr>
                <w:sz w:val="21"/>
              </w:rPr>
            </w:pPr>
            <w:r>
              <w:rPr>
                <w:spacing w:val="-10"/>
                <w:sz w:val="21"/>
              </w:rPr>
              <w:t>3</w:t>
            </w:r>
          </w:p>
        </w:tc>
        <w:tc>
          <w:tcPr>
            <w:tcW w:w="1514" w:type="dxa"/>
            <w:tcBorders>
              <w:bottom w:val="single" w:sz="18" w:space="0" w:color="800000"/>
            </w:tcBorders>
          </w:tcPr>
          <w:p w:rsidR="003F5784" w14:paraId="7D2D9722" w14:textId="77777777">
            <w:pPr>
              <w:pStyle w:val="TableParagraph"/>
              <w:ind w:right="700"/>
              <w:rPr>
                <w:sz w:val="21"/>
              </w:rPr>
            </w:pPr>
            <w:r>
              <w:rPr>
                <w:spacing w:val="-4"/>
                <w:sz w:val="21"/>
              </w:rPr>
              <w:t>0.87</w:t>
            </w:r>
          </w:p>
        </w:tc>
        <w:tc>
          <w:tcPr>
            <w:tcW w:w="1141" w:type="dxa"/>
            <w:tcBorders>
              <w:bottom w:val="single" w:sz="18" w:space="0" w:color="800000"/>
            </w:tcBorders>
          </w:tcPr>
          <w:p w:rsidR="003F5784" w14:paraId="590BF49A" w14:textId="77777777">
            <w:pPr>
              <w:pStyle w:val="TableParagraph"/>
              <w:ind w:right="117"/>
              <w:rPr>
                <w:sz w:val="21"/>
              </w:rPr>
            </w:pPr>
            <w:r>
              <w:rPr>
                <w:spacing w:val="-5"/>
                <w:sz w:val="21"/>
              </w:rPr>
              <w:t>109</w:t>
            </w:r>
          </w:p>
        </w:tc>
      </w:tr>
    </w:tbl>
    <w:p w:rsidR="003F5784" w14:paraId="17D547B5" w14:textId="77777777">
      <w:pPr>
        <w:pStyle w:val="BodyText"/>
        <w:spacing w:before="29"/>
        <w:ind w:left="1902" w:right="2245"/>
      </w:pPr>
      <w:r>
        <w:rPr>
          <w:position w:val="8"/>
          <w:sz w:val="17"/>
        </w:rPr>
        <w:t>1</w:t>
      </w:r>
      <w:r>
        <w:t>Outlying</w:t>
      </w:r>
      <w:r>
        <w:rPr>
          <w:spacing w:val="-7"/>
        </w:rPr>
        <w:t xml:space="preserve"> </w:t>
      </w:r>
      <w:r>
        <w:t>areas</w:t>
      </w:r>
      <w:r>
        <w:rPr>
          <w:spacing w:val="-7"/>
        </w:rPr>
        <w:t xml:space="preserve"> </w:t>
      </w:r>
      <w:r>
        <w:t>are</w:t>
      </w:r>
      <w:r>
        <w:rPr>
          <w:spacing w:val="-7"/>
        </w:rPr>
        <w:t xml:space="preserve"> </w:t>
      </w:r>
      <w:r>
        <w:t>not</w:t>
      </w:r>
      <w:r>
        <w:rPr>
          <w:spacing w:val="-7"/>
        </w:rPr>
        <w:t xml:space="preserve"> </w:t>
      </w:r>
      <w:r>
        <w:t>classified</w:t>
      </w:r>
      <w:r>
        <w:rPr>
          <w:spacing w:val="-7"/>
        </w:rPr>
        <w:t xml:space="preserve"> </w:t>
      </w:r>
      <w:r>
        <w:t>by</w:t>
      </w:r>
      <w:r>
        <w:rPr>
          <w:spacing w:val="-7"/>
        </w:rPr>
        <w:t xml:space="preserve"> </w:t>
      </w:r>
      <w:r>
        <w:t>census</w:t>
      </w:r>
      <w:r>
        <w:rPr>
          <w:spacing w:val="-7"/>
        </w:rPr>
        <w:t xml:space="preserve"> </w:t>
      </w:r>
      <w:r>
        <w:t>region.</w:t>
      </w:r>
      <w:r>
        <w:rPr>
          <w:spacing w:val="-10"/>
        </w:rPr>
        <w:t xml:space="preserve"> </w:t>
      </w:r>
      <w:r>
        <w:t>They</w:t>
      </w:r>
      <w:r>
        <w:rPr>
          <w:spacing w:val="-7"/>
        </w:rPr>
        <w:t xml:space="preserve"> </w:t>
      </w:r>
      <w:r>
        <w:t>include</w:t>
      </w:r>
      <w:r>
        <w:rPr>
          <w:spacing w:val="-7"/>
        </w:rPr>
        <w:t xml:space="preserve"> </w:t>
      </w:r>
      <w:r>
        <w:t>schools</w:t>
      </w:r>
      <w:r>
        <w:rPr>
          <w:spacing w:val="-7"/>
        </w:rPr>
        <w:t xml:space="preserve"> </w:t>
      </w:r>
      <w:r>
        <w:t>in</w:t>
      </w:r>
      <w:r>
        <w:rPr>
          <w:spacing w:val="-7"/>
        </w:rPr>
        <w:t xml:space="preserve"> </w:t>
      </w:r>
      <w:r>
        <w:t>Puerto</w:t>
      </w:r>
      <w:r>
        <w:rPr>
          <w:spacing w:val="-7"/>
        </w:rPr>
        <w:t xml:space="preserve"> </w:t>
      </w:r>
      <w:r>
        <w:t>Rico</w:t>
      </w:r>
      <w:r>
        <w:rPr>
          <w:spacing w:val="-7"/>
        </w:rPr>
        <w:t xml:space="preserve"> </w:t>
      </w:r>
      <w:r>
        <w:t>and</w:t>
      </w:r>
      <w:r>
        <w:rPr>
          <w:spacing w:val="-7"/>
        </w:rPr>
        <w:t xml:space="preserve"> </w:t>
      </w:r>
      <w:r>
        <w:t>Department</w:t>
      </w:r>
      <w:r>
        <w:rPr>
          <w:spacing w:val="-7"/>
        </w:rPr>
        <w:t xml:space="preserve"> </w:t>
      </w:r>
      <w:r>
        <w:t>of</w:t>
      </w:r>
      <w:r>
        <w:rPr>
          <w:spacing w:val="-7"/>
        </w:rPr>
        <w:t xml:space="preserve"> </w:t>
      </w:r>
      <w:r>
        <w:t>Defense</w:t>
      </w:r>
      <w:r>
        <w:rPr>
          <w:spacing w:val="-7"/>
        </w:rPr>
        <w:t xml:space="preserve"> </w:t>
      </w:r>
      <w:r>
        <w:t>Education Activity (DoDEA) schools not located in the 50 states or the District of Columbia.</w:t>
      </w:r>
    </w:p>
    <w:p w:rsidR="003F5784" w14:paraId="6C2CBA1A" w14:textId="77777777">
      <w:pPr>
        <w:pStyle w:val="BodyText"/>
        <w:spacing w:line="233" w:lineRule="exact"/>
        <w:ind w:left="1902"/>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0AEC5F00" w14:textId="77777777">
      <w:pPr>
        <w:pStyle w:val="BodyText"/>
        <w:spacing w:before="2" w:line="232" w:lineRule="auto"/>
        <w:ind w:left="1902" w:right="2245"/>
      </w:pPr>
      <w:r>
        <w:t>SOURCE:</w:t>
      </w:r>
      <w:r>
        <w:rPr>
          <w:spacing w:val="-8"/>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 Assessment of Educational Progress (NAEP), 2022 State Mathematics and Reading</w:t>
      </w:r>
      <w:r>
        <w:rPr>
          <w:spacing w:val="-4"/>
        </w:rPr>
        <w:t xml:space="preserve"> </w:t>
      </w:r>
      <w:r>
        <w:t>Assessments.</w:t>
      </w:r>
    </w:p>
    <w:p w:rsidR="003F5784" w14:paraId="290537AD" w14:textId="77777777">
      <w:pPr>
        <w:pStyle w:val="BodyText"/>
      </w:pPr>
    </w:p>
    <w:p w:rsidR="003F5784" w14:paraId="4835B5EC" w14:textId="77777777">
      <w:pPr>
        <w:pStyle w:val="BodyText"/>
      </w:pPr>
    </w:p>
    <w:p w:rsidR="003F5784" w14:paraId="4F9102EA" w14:textId="77777777">
      <w:pPr>
        <w:pStyle w:val="BodyText"/>
      </w:pPr>
    </w:p>
    <w:p w:rsidR="003F5784" w14:paraId="09299F3B" w14:textId="77777777">
      <w:pPr>
        <w:pStyle w:val="BodyText"/>
        <w:spacing w:before="191"/>
      </w:pPr>
    </w:p>
    <w:p w:rsidR="003F5784" w14:paraId="1CCE5435" w14:textId="77777777">
      <w:pPr>
        <w:ind w:left="5073"/>
        <w:rPr>
          <w:sz w:val="18"/>
        </w:rPr>
      </w:pPr>
      <w:hyperlink r:id="rId271">
        <w:r>
          <w:rPr>
            <w:spacing w:val="-2"/>
            <w:w w:val="105"/>
            <w:sz w:val="18"/>
          </w:rPr>
          <w:t>http://nces.ed.gov/nationsreportcard/tdw/sample_design/2022/new_school_sampling_frame_for_the_2022_state_assessment.aspx</w:t>
        </w:r>
      </w:hyperlink>
    </w:p>
    <w:p w:rsidR="003F5784" w14:paraId="32812A74" w14:textId="77777777">
      <w:pPr>
        <w:pStyle w:val="BodyText"/>
        <w:spacing w:before="10"/>
        <w:rPr>
          <w:sz w:val="14"/>
        </w:rPr>
      </w:pPr>
      <w:r>
        <w:rPr>
          <w:noProof/>
        </w:rPr>
        <mc:AlternateContent>
          <mc:Choice Requires="wps">
            <w:drawing>
              <wp:anchor distT="0" distB="0" distL="0" distR="0" simplePos="0" relativeHeight="251923456" behindDoc="1" locked="0" layoutInCell="1" allowOverlap="1">
                <wp:simplePos x="0" y="0"/>
                <wp:positionH relativeFrom="page">
                  <wp:posOffset>361937</wp:posOffset>
                </wp:positionH>
                <wp:positionV relativeFrom="paragraph">
                  <wp:posOffset>124330</wp:posOffset>
                </wp:positionV>
                <wp:extent cx="9339580" cy="8890"/>
                <wp:effectExtent l="0" t="0" r="0" b="0"/>
                <wp:wrapTopAndBottom/>
                <wp:docPr id="345" name="Graphic 345"/>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80"/>
                              </a:lnTo>
                              <a:lnTo>
                                <a:pt x="9335110" y="8305"/>
                              </a:lnTo>
                              <a:lnTo>
                                <a:pt x="9338970" y="8305"/>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345" o:spid="_x0000_s1135" style="width:735.4pt;height:0.7pt;margin-top:9.8pt;margin-left:28.5pt;mso-position-horizontal-relative:page;mso-wrap-distance-bottom:0;mso-wrap-distance-left:0;mso-wrap-distance-right:0;mso-wrap-distance-top:0;mso-wrap-style:square;position:absolute;visibility:visible;v-text-anchor:top;z-index:-251392000" coordsize="9339580,8890" path="m9338970,25l9335110,25l8280,25,,,,8280l9335110,8305l9338970,8305l9338970,25xe" fillcolor="gray" stroked="f">
                <v:path arrowok="t"/>
                <w10:wrap type="topAndBottom"/>
              </v:shape>
            </w:pict>
          </mc:Fallback>
        </mc:AlternateContent>
      </w:r>
    </w:p>
    <w:p w:rsidR="003F5784" w14:paraId="20467CA2" w14:textId="77777777">
      <w:pPr>
        <w:pStyle w:val="BodyText"/>
        <w:rPr>
          <w:sz w:val="18"/>
        </w:rPr>
      </w:pPr>
    </w:p>
    <w:p w:rsidR="003F5784" w14:paraId="4B281A2F" w14:textId="77777777">
      <w:pPr>
        <w:pStyle w:val="BodyText"/>
        <w:spacing w:before="206"/>
        <w:rPr>
          <w:sz w:val="18"/>
        </w:rPr>
      </w:pPr>
    </w:p>
    <w:p w:rsidR="003F5784" w14:paraId="5C8153EA" w14:textId="0D2D5BE1">
      <w:pPr>
        <w:pStyle w:val="Heading1"/>
        <w:spacing w:line="244" w:lineRule="auto"/>
      </w:pPr>
      <w:r>
        <w:t>NAEP</w:t>
      </w:r>
      <w:r>
        <w:rPr>
          <w:spacing w:val="-16"/>
        </w:rPr>
        <w:t xml:space="preserve"> </w:t>
      </w:r>
      <w:r>
        <w:t xml:space="preserve">Technical Documentation School and Student Participation in the 2022 State </w:t>
      </w:r>
      <w:r>
        <w:rPr>
          <w:spacing w:val="-2"/>
        </w:rPr>
        <w:t>Assessment</w:t>
      </w:r>
    </w:p>
    <w:p w:rsidR="003F5784" w14:paraId="687D25DA" w14:textId="77777777">
      <w:pPr>
        <w:pStyle w:val="BodyText"/>
        <w:spacing w:before="6"/>
        <w:rPr>
          <w:b/>
          <w:sz w:val="15"/>
        </w:rPr>
      </w:pPr>
    </w:p>
    <w:p w:rsidR="003F5784" w14:paraId="242200FA" w14:textId="77777777">
      <w:pPr>
        <w:rPr>
          <w:sz w:val="15"/>
        </w:rPr>
        <w:sectPr>
          <w:type w:val="continuous"/>
          <w:pgSz w:w="15840" w:h="12240" w:orient="landscape"/>
          <w:pgMar w:top="480" w:right="440" w:bottom="460" w:left="460" w:header="284" w:footer="275" w:gutter="0"/>
          <w:cols w:space="720"/>
        </w:sectPr>
      </w:pPr>
    </w:p>
    <w:p w:rsidR="003F5784" w14:paraId="478C360F" w14:textId="77777777">
      <w:pPr>
        <w:pStyle w:val="BodyText"/>
        <w:spacing w:before="95" w:line="232" w:lineRule="auto"/>
        <w:ind w:left="109" w:right="322"/>
      </w:pPr>
      <w:r>
        <w:t>The</w:t>
      </w:r>
      <w:r>
        <w:rPr>
          <w:spacing w:val="-7"/>
        </w:rPr>
        <w:t xml:space="preserve"> </w:t>
      </w:r>
      <w:r>
        <w:t>tables</w:t>
      </w:r>
      <w:r>
        <w:rPr>
          <w:spacing w:val="-7"/>
        </w:rPr>
        <w:t xml:space="preserve"> </w:t>
      </w:r>
      <w:r>
        <w:t>linked</w:t>
      </w:r>
      <w:r>
        <w:rPr>
          <w:spacing w:val="-7"/>
        </w:rPr>
        <w:t xml:space="preserve"> </w:t>
      </w:r>
      <w:r>
        <w:t>to</w:t>
      </w:r>
      <w:r>
        <w:rPr>
          <w:spacing w:val="-7"/>
        </w:rPr>
        <w:t xml:space="preserve"> </w:t>
      </w:r>
      <w:r>
        <w:t>the</w:t>
      </w:r>
      <w:r>
        <w:rPr>
          <w:spacing w:val="-7"/>
        </w:rPr>
        <w:t xml:space="preserve"> </w:t>
      </w:r>
      <w:r>
        <w:t>right</w:t>
      </w:r>
      <w:r>
        <w:rPr>
          <w:spacing w:val="-7"/>
        </w:rPr>
        <w:t xml:space="preserve"> </w:t>
      </w:r>
      <w:r>
        <w:t>present</w:t>
      </w:r>
      <w:r>
        <w:rPr>
          <w:spacing w:val="-7"/>
        </w:rPr>
        <w:t xml:space="preserve"> </w:t>
      </w:r>
      <w:r>
        <w:t>weighted</w:t>
      </w:r>
      <w:r>
        <w:rPr>
          <w:spacing w:val="-7"/>
        </w:rPr>
        <w:t xml:space="preserve"> </w:t>
      </w:r>
      <w:r>
        <w:t>school</w:t>
      </w:r>
      <w:r>
        <w:rPr>
          <w:spacing w:val="-7"/>
        </w:rPr>
        <w:t xml:space="preserve"> </w:t>
      </w:r>
      <w:r>
        <w:t>and</w:t>
      </w:r>
      <w:r>
        <w:rPr>
          <w:spacing w:val="-7"/>
        </w:rPr>
        <w:t xml:space="preserve"> </w:t>
      </w:r>
      <w:r>
        <w:t>student</w:t>
      </w:r>
      <w:r>
        <w:rPr>
          <w:spacing w:val="-7"/>
        </w:rPr>
        <w:t xml:space="preserve"> </w:t>
      </w:r>
      <w:r>
        <w:t>participation</w:t>
      </w:r>
      <w:r>
        <w:rPr>
          <w:spacing w:val="-7"/>
        </w:rPr>
        <w:t xml:space="preserve"> </w:t>
      </w:r>
      <w:r>
        <w:t>rates</w:t>
      </w:r>
      <w:r>
        <w:rPr>
          <w:spacing w:val="-7"/>
        </w:rPr>
        <w:t xml:space="preserve"> </w:t>
      </w:r>
      <w:r>
        <w:t>and</w:t>
      </w:r>
      <w:r>
        <w:rPr>
          <w:spacing w:val="-7"/>
        </w:rPr>
        <w:t xml:space="preserve"> </w:t>
      </w:r>
      <w:r>
        <w:t>weighted</w:t>
      </w:r>
      <w:r>
        <w:rPr>
          <w:spacing w:val="-7"/>
        </w:rPr>
        <w:t xml:space="preserve"> </w:t>
      </w:r>
      <w:r>
        <w:t>student</w:t>
      </w:r>
      <w:r>
        <w:rPr>
          <w:spacing w:val="-7"/>
        </w:rPr>
        <w:t xml:space="preserve"> </w:t>
      </w:r>
      <w:r>
        <w:t>exclusion</w:t>
      </w:r>
      <w:r>
        <w:rPr>
          <w:spacing w:val="-7"/>
        </w:rPr>
        <w:t xml:space="preserve"> </w:t>
      </w:r>
      <w:r>
        <w:t>and</w:t>
      </w:r>
      <w:r>
        <w:rPr>
          <w:spacing w:val="-7"/>
        </w:rPr>
        <w:t xml:space="preserve"> </w:t>
      </w:r>
      <w:r>
        <w:t>full-time remote rates for the fourth- and eighth-grade public school state assessment samples.</w:t>
      </w:r>
    </w:p>
    <w:p w:rsidR="003F5784" w14:paraId="6902C2FA" w14:textId="77777777">
      <w:pPr>
        <w:pStyle w:val="BodyText"/>
        <w:spacing w:before="210" w:line="232" w:lineRule="auto"/>
        <w:ind w:left="109" w:right="322"/>
      </w:pPr>
      <w:r>
        <w:t>A</w:t>
      </w:r>
      <w:r>
        <w:rPr>
          <w:spacing w:val="-14"/>
        </w:rPr>
        <w:t xml:space="preserve"> </w:t>
      </w:r>
      <w:r>
        <w:t>weighted</w:t>
      </w:r>
      <w:r>
        <w:rPr>
          <w:spacing w:val="-9"/>
        </w:rPr>
        <w:t xml:space="preserve"> </w:t>
      </w:r>
      <w:r>
        <w:t>school</w:t>
      </w:r>
      <w:r>
        <w:rPr>
          <w:spacing w:val="-7"/>
        </w:rPr>
        <w:t xml:space="preserve"> </w:t>
      </w:r>
      <w:r>
        <w:t>participation</w:t>
      </w:r>
      <w:r>
        <w:rPr>
          <w:spacing w:val="-7"/>
        </w:rPr>
        <w:t xml:space="preserve"> </w:t>
      </w:r>
      <w:r>
        <w:t>rate</w:t>
      </w:r>
      <w:r>
        <w:rPr>
          <w:spacing w:val="-7"/>
        </w:rPr>
        <w:t xml:space="preserve"> </w:t>
      </w:r>
      <w:r>
        <w:t>indicates</w:t>
      </w:r>
      <w:r>
        <w:rPr>
          <w:spacing w:val="-7"/>
        </w:rPr>
        <w:t xml:space="preserve"> </w:t>
      </w:r>
      <w:r>
        <w:t>the</w:t>
      </w:r>
      <w:r>
        <w:rPr>
          <w:spacing w:val="-7"/>
        </w:rPr>
        <w:t xml:space="preserve"> </w:t>
      </w:r>
      <w:r>
        <w:t>percentage</w:t>
      </w:r>
      <w:r>
        <w:rPr>
          <w:spacing w:val="-7"/>
        </w:rPr>
        <w:t xml:space="preserve"> </w:t>
      </w:r>
      <w:r>
        <w:t>of</w:t>
      </w:r>
      <w:r>
        <w:rPr>
          <w:spacing w:val="-7"/>
        </w:rPr>
        <w:t xml:space="preserve"> </w:t>
      </w:r>
      <w:r>
        <w:t>the</w:t>
      </w:r>
      <w:r>
        <w:rPr>
          <w:spacing w:val="-7"/>
        </w:rPr>
        <w:t xml:space="preserve"> </w:t>
      </w:r>
      <w:r>
        <w:t>student</w:t>
      </w:r>
      <w:r>
        <w:rPr>
          <w:spacing w:val="-7"/>
        </w:rPr>
        <w:t xml:space="preserve"> </w:t>
      </w:r>
      <w:r>
        <w:t>population</w:t>
      </w:r>
      <w:r>
        <w:rPr>
          <w:spacing w:val="-7"/>
        </w:rPr>
        <w:t xml:space="preserve"> </w:t>
      </w:r>
      <w:r>
        <w:t>that</w:t>
      </w:r>
      <w:r>
        <w:rPr>
          <w:spacing w:val="-7"/>
        </w:rPr>
        <w:t xml:space="preserve"> </w:t>
      </w:r>
      <w:r>
        <w:t>is</w:t>
      </w:r>
      <w:r>
        <w:rPr>
          <w:spacing w:val="-7"/>
        </w:rPr>
        <w:t xml:space="preserve"> </w:t>
      </w:r>
      <w:r>
        <w:t>directly</w:t>
      </w:r>
      <w:r>
        <w:rPr>
          <w:spacing w:val="-7"/>
        </w:rPr>
        <w:t xml:space="preserve"> </w:t>
      </w:r>
      <w:r>
        <w:t>represented</w:t>
      </w:r>
      <w:r>
        <w:rPr>
          <w:spacing w:val="-7"/>
        </w:rPr>
        <w:t xml:space="preserve"> </w:t>
      </w:r>
      <w:r>
        <w:t>by</w:t>
      </w:r>
      <w:r>
        <w:rPr>
          <w:spacing w:val="-7"/>
        </w:rPr>
        <w:t xml:space="preserve"> </w:t>
      </w:r>
      <w:r>
        <w:t>the</w:t>
      </w:r>
      <w:r>
        <w:rPr>
          <w:spacing w:val="-7"/>
        </w:rPr>
        <w:t xml:space="preserve"> </w:t>
      </w:r>
      <w:r>
        <w:t>participating school sample.</w:t>
      </w:r>
    </w:p>
    <w:p w:rsidR="003F5784" w14:paraId="29FECF62" w14:textId="77777777">
      <w:pPr>
        <w:pStyle w:val="BodyText"/>
        <w:spacing w:before="209" w:line="232" w:lineRule="auto"/>
        <w:ind w:left="109"/>
      </w:pPr>
      <w:r>
        <w:t>A</w:t>
      </w:r>
      <w:r>
        <w:rPr>
          <w:spacing w:val="-14"/>
        </w:rPr>
        <w:t xml:space="preserve"> </w:t>
      </w:r>
      <w:r>
        <w:t>weighted</w:t>
      </w:r>
      <w:r>
        <w:rPr>
          <w:spacing w:val="-9"/>
        </w:rPr>
        <w:t xml:space="preserve"> </w:t>
      </w:r>
      <w:r>
        <w:t>student</w:t>
      </w:r>
      <w:r>
        <w:rPr>
          <w:spacing w:val="-7"/>
        </w:rPr>
        <w:t xml:space="preserve"> </w:t>
      </w:r>
      <w:r>
        <w:t>participation</w:t>
      </w:r>
      <w:r>
        <w:rPr>
          <w:spacing w:val="-7"/>
        </w:rPr>
        <w:t xml:space="preserve"> </w:t>
      </w:r>
      <w:r>
        <w:t>rate</w:t>
      </w:r>
      <w:r>
        <w:rPr>
          <w:spacing w:val="-7"/>
        </w:rPr>
        <w:t xml:space="preserve"> </w:t>
      </w:r>
      <w:r>
        <w:t>indicates</w:t>
      </w:r>
      <w:r>
        <w:rPr>
          <w:spacing w:val="-7"/>
        </w:rPr>
        <w:t xml:space="preserve"> </w:t>
      </w:r>
      <w:r>
        <w:t>the</w:t>
      </w:r>
      <w:r>
        <w:rPr>
          <w:spacing w:val="-7"/>
        </w:rPr>
        <w:t xml:space="preserve"> </w:t>
      </w:r>
      <w:r>
        <w:t>percentage</w:t>
      </w:r>
      <w:r>
        <w:rPr>
          <w:spacing w:val="-7"/>
        </w:rPr>
        <w:t xml:space="preserve"> </w:t>
      </w:r>
      <w:r>
        <w:t>of</w:t>
      </w:r>
      <w:r>
        <w:rPr>
          <w:spacing w:val="-7"/>
        </w:rPr>
        <w:t xml:space="preserve"> </w:t>
      </w:r>
      <w:r>
        <w:t>the</w:t>
      </w:r>
      <w:r>
        <w:rPr>
          <w:spacing w:val="-7"/>
        </w:rPr>
        <w:t xml:space="preserve"> </w:t>
      </w:r>
      <w:r>
        <w:t>student</w:t>
      </w:r>
      <w:r>
        <w:rPr>
          <w:spacing w:val="-7"/>
        </w:rPr>
        <w:t xml:space="preserve"> </w:t>
      </w:r>
      <w:r>
        <w:t>population</w:t>
      </w:r>
      <w:r>
        <w:rPr>
          <w:spacing w:val="-7"/>
        </w:rPr>
        <w:t xml:space="preserve"> </w:t>
      </w:r>
      <w:r>
        <w:t>that</w:t>
      </w:r>
      <w:r>
        <w:rPr>
          <w:spacing w:val="-7"/>
        </w:rPr>
        <w:t xml:space="preserve"> </w:t>
      </w:r>
      <w:r>
        <w:t>is</w:t>
      </w:r>
      <w:r>
        <w:rPr>
          <w:spacing w:val="-7"/>
        </w:rPr>
        <w:t xml:space="preserve"> </w:t>
      </w:r>
      <w:r>
        <w:t>directly</w:t>
      </w:r>
      <w:r>
        <w:rPr>
          <w:spacing w:val="-7"/>
        </w:rPr>
        <w:t xml:space="preserve"> </w:t>
      </w:r>
      <w:r>
        <w:t>represented</w:t>
      </w:r>
      <w:r>
        <w:rPr>
          <w:spacing w:val="-7"/>
        </w:rPr>
        <w:t xml:space="preserve"> </w:t>
      </w:r>
      <w:r>
        <w:t>by</w:t>
      </w:r>
      <w:r>
        <w:rPr>
          <w:spacing w:val="-7"/>
        </w:rPr>
        <w:t xml:space="preserve"> </w:t>
      </w:r>
      <w:r>
        <w:t>the</w:t>
      </w:r>
      <w:r>
        <w:rPr>
          <w:spacing w:val="-7"/>
        </w:rPr>
        <w:t xml:space="preserve"> </w:t>
      </w:r>
      <w:r>
        <w:t>assessed</w:t>
      </w:r>
      <w:r>
        <w:rPr>
          <w:spacing w:val="-7"/>
        </w:rPr>
        <w:t xml:space="preserve"> </w:t>
      </w:r>
      <w:r>
        <w:t>students from within participating schools.</w:t>
      </w:r>
    </w:p>
    <w:p w:rsidR="003F5784" w14:paraId="2F669EEC" w14:textId="77777777">
      <w:pPr>
        <w:pStyle w:val="BodyText"/>
        <w:spacing w:before="209" w:line="232" w:lineRule="auto"/>
        <w:ind w:left="109"/>
      </w:pPr>
      <w:r>
        <w:t>A</w:t>
      </w:r>
      <w:r>
        <w:rPr>
          <w:spacing w:val="-14"/>
        </w:rPr>
        <w:t xml:space="preserve"> </w:t>
      </w:r>
      <w:r>
        <w:t>weighted</w:t>
      </w:r>
      <w:r>
        <w:rPr>
          <w:spacing w:val="-8"/>
        </w:rPr>
        <w:t xml:space="preserve"> </w:t>
      </w:r>
      <w:r>
        <w:t>exclusion</w:t>
      </w:r>
      <w:r>
        <w:rPr>
          <w:spacing w:val="-6"/>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population</w:t>
      </w:r>
      <w:r>
        <w:rPr>
          <w:spacing w:val="-6"/>
        </w:rPr>
        <w:t xml:space="preserve"> </w:t>
      </w:r>
      <w:r>
        <w:t>that</w:t>
      </w:r>
      <w:r>
        <w:rPr>
          <w:spacing w:val="-6"/>
        </w:rPr>
        <w:t xml:space="preserve"> </w:t>
      </w:r>
      <w:r>
        <w:t>would</w:t>
      </w:r>
      <w:r>
        <w:rPr>
          <w:spacing w:val="-6"/>
        </w:rPr>
        <w:t xml:space="preserve"> </w:t>
      </w:r>
      <w:r>
        <w:t>be</w:t>
      </w:r>
      <w:r>
        <w:rPr>
          <w:spacing w:val="-6"/>
        </w:rPr>
        <w:t xml:space="preserve"> </w:t>
      </w:r>
      <w:r>
        <w:t>excluded</w:t>
      </w:r>
      <w:r>
        <w:rPr>
          <w:spacing w:val="-6"/>
        </w:rPr>
        <w:t xml:space="preserve"> </w:t>
      </w:r>
      <w:r>
        <w:t>from</w:t>
      </w:r>
      <w:r>
        <w:rPr>
          <w:spacing w:val="-6"/>
        </w:rPr>
        <w:t xml:space="preserve"> </w:t>
      </w:r>
      <w:r>
        <w:t>the</w:t>
      </w:r>
      <w:r>
        <w:rPr>
          <w:spacing w:val="-6"/>
        </w:rPr>
        <w:t xml:space="preserve"> </w:t>
      </w:r>
      <w:r>
        <w:t>assessment.</w:t>
      </w:r>
      <w:r>
        <w:rPr>
          <w:spacing w:val="-6"/>
        </w:rPr>
        <w:t xml:space="preserve"> </w:t>
      </w:r>
      <w:r>
        <w:t>Students</w:t>
      </w:r>
      <w:r>
        <w:rPr>
          <w:spacing w:val="-6"/>
        </w:rPr>
        <w:t xml:space="preserve"> </w:t>
      </w:r>
      <w:r>
        <w:t>are generally excluded from a NAEP</w:t>
      </w:r>
      <w:r>
        <w:rPr>
          <w:spacing w:val="-6"/>
        </w:rPr>
        <w:t xml:space="preserve"> </w:t>
      </w:r>
      <w:r>
        <w:t>assessment if they have a disability or limited English language proficiency that prevents them from taking the assessment altogether or the accommodations they require to take the assessment were unavailable.</w:t>
      </w:r>
    </w:p>
    <w:p w:rsidR="003F5784" w14:paraId="0EEB7FAE" w14:textId="77777777">
      <w:pPr>
        <w:pStyle w:val="BodyText"/>
        <w:spacing w:before="204"/>
        <w:ind w:left="109"/>
      </w:pPr>
      <w:r>
        <w:t>A</w:t>
      </w:r>
      <w:r>
        <w:rPr>
          <w:spacing w:val="-14"/>
        </w:rPr>
        <w:t xml:space="preserve"> </w:t>
      </w:r>
      <w:r>
        <w:t>weighted</w:t>
      </w:r>
      <w:r>
        <w:rPr>
          <w:spacing w:val="-9"/>
        </w:rPr>
        <w:t xml:space="preserve"> </w:t>
      </w:r>
      <w:r>
        <w:t>full-time</w:t>
      </w:r>
      <w:r>
        <w:rPr>
          <w:spacing w:val="-6"/>
        </w:rPr>
        <w:t xml:space="preserve"> </w:t>
      </w:r>
      <w:r>
        <w:t>remote</w:t>
      </w:r>
      <w:r>
        <w:rPr>
          <w:spacing w:val="-6"/>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6"/>
        </w:rPr>
        <w:t xml:space="preserve"> </w:t>
      </w:r>
      <w:r>
        <w:t>of</w:t>
      </w:r>
      <w:r>
        <w:rPr>
          <w:spacing w:val="-7"/>
        </w:rPr>
        <w:t xml:space="preserve"> </w:t>
      </w:r>
      <w:r>
        <w:t>the</w:t>
      </w:r>
      <w:r>
        <w:rPr>
          <w:spacing w:val="-6"/>
        </w:rPr>
        <w:t xml:space="preserve"> </w:t>
      </w:r>
      <w:r>
        <w:t>student</w:t>
      </w:r>
      <w:r>
        <w:rPr>
          <w:spacing w:val="-6"/>
        </w:rPr>
        <w:t xml:space="preserve"> </w:t>
      </w:r>
      <w:r>
        <w:t>population</w:t>
      </w:r>
      <w:r>
        <w:rPr>
          <w:spacing w:val="-6"/>
        </w:rPr>
        <w:t xml:space="preserve"> </w:t>
      </w:r>
      <w:r>
        <w:t>that</w:t>
      </w:r>
      <w:r>
        <w:rPr>
          <w:spacing w:val="-6"/>
        </w:rPr>
        <w:t xml:space="preserve"> </w:t>
      </w:r>
      <w:r>
        <w:t>is</w:t>
      </w:r>
      <w:r>
        <w:rPr>
          <w:spacing w:val="-6"/>
        </w:rPr>
        <w:t xml:space="preserve"> </w:t>
      </w:r>
      <w:r>
        <w:t>full-time</w:t>
      </w:r>
      <w:r>
        <w:rPr>
          <w:spacing w:val="-6"/>
        </w:rPr>
        <w:t xml:space="preserve"> </w:t>
      </w:r>
      <w:r>
        <w:rPr>
          <w:spacing w:val="-2"/>
        </w:rPr>
        <w:t>remote.</w:t>
      </w:r>
    </w:p>
    <w:p w:rsidR="003F5784" w14:paraId="7B8DF5AC" w14:textId="77777777">
      <w:pPr>
        <w:pStyle w:val="BodyText"/>
        <w:spacing w:before="207" w:line="232" w:lineRule="auto"/>
        <w:ind w:left="109"/>
      </w:pPr>
      <w:r>
        <w:t>Weighted school participation rates are calculated by dividing the sum of school base weights, weighted by student enrollment of the targeted grade, for all participating schools by the sum of the base weights, weighted by student enrollment of the target grade, for all eligible</w:t>
      </w:r>
      <w:r>
        <w:rPr>
          <w:spacing w:val="-2"/>
        </w:rPr>
        <w:t xml:space="preserve"> </w:t>
      </w:r>
      <w:r>
        <w:t>schools.</w:t>
      </w:r>
      <w:r>
        <w:rPr>
          <w:spacing w:val="-2"/>
        </w:rPr>
        <w:t xml:space="preserve"> </w:t>
      </w:r>
      <w:r>
        <w:t>Eligible</w:t>
      </w:r>
      <w:r>
        <w:rPr>
          <w:spacing w:val="-2"/>
        </w:rPr>
        <w:t xml:space="preserve"> </w:t>
      </w:r>
      <w:r>
        <w:t>schools</w:t>
      </w:r>
      <w:r>
        <w:rPr>
          <w:spacing w:val="-2"/>
        </w:rPr>
        <w:t xml:space="preserve"> </w:t>
      </w:r>
      <w:r>
        <w:t>are</w:t>
      </w:r>
      <w:r>
        <w:rPr>
          <w:spacing w:val="-2"/>
        </w:rPr>
        <w:t xml:space="preserve"> </w:t>
      </w:r>
      <w:r>
        <w:t>all</w:t>
      </w:r>
      <w:r>
        <w:rPr>
          <w:spacing w:val="-2"/>
        </w:rPr>
        <w:t xml:space="preserve"> </w:t>
      </w:r>
      <w:r>
        <w:t>sampled</w:t>
      </w:r>
      <w:r>
        <w:rPr>
          <w:spacing w:val="-2"/>
        </w:rPr>
        <w:t xml:space="preserve"> </w:t>
      </w:r>
      <w:r>
        <w:t>schools</w:t>
      </w:r>
      <w:r>
        <w:rPr>
          <w:spacing w:val="-2"/>
        </w:rPr>
        <w:t xml:space="preserve"> </w:t>
      </w:r>
      <w:r>
        <w:t>except</w:t>
      </w:r>
      <w:r>
        <w:rPr>
          <w:spacing w:val="-2"/>
        </w:rPr>
        <w:t xml:space="preserve"> </w:t>
      </w:r>
      <w:r>
        <w:t>those</w:t>
      </w:r>
      <w:r>
        <w:rPr>
          <w:spacing w:val="-2"/>
        </w:rPr>
        <w:t xml:space="preserve"> </w:t>
      </w:r>
      <w:r>
        <w:t>considered</w:t>
      </w:r>
      <w:r>
        <w:rPr>
          <w:spacing w:val="-2"/>
        </w:rPr>
        <w:t xml:space="preserve"> </w:t>
      </w:r>
      <w:r>
        <w:t>out-of-scope.</w:t>
      </w:r>
      <w:r>
        <w:rPr>
          <w:spacing w:val="-6"/>
        </w:rPr>
        <w:t xml:space="preserve"> </w:t>
      </w:r>
      <w:r>
        <w:t>The</w:t>
      </w:r>
      <w:r>
        <w:rPr>
          <w:spacing w:val="-2"/>
        </w:rPr>
        <w:t xml:space="preserve"> </w:t>
      </w:r>
      <w:r>
        <w:t>base</w:t>
      </w:r>
      <w:r>
        <w:rPr>
          <w:spacing w:val="-2"/>
        </w:rPr>
        <w:t xml:space="preserve"> </w:t>
      </w:r>
      <w:r>
        <w:t>weight</w:t>
      </w:r>
      <w:r>
        <w:rPr>
          <w:spacing w:val="-2"/>
        </w:rPr>
        <w:t xml:space="preserve"> </w:t>
      </w:r>
      <w:r>
        <w:t>is</w:t>
      </w:r>
      <w:r>
        <w:rPr>
          <w:spacing w:val="-2"/>
        </w:rPr>
        <w:t xml:space="preserve"> </w:t>
      </w:r>
      <w:r>
        <w:t>assigned</w:t>
      </w:r>
      <w:r>
        <w:rPr>
          <w:spacing w:val="-2"/>
        </w:rPr>
        <w:t xml:space="preserve"> </w:t>
      </w:r>
      <w:r>
        <w:t>to</w:t>
      </w:r>
      <w:r>
        <w:rPr>
          <w:spacing w:val="-2"/>
        </w:rPr>
        <w:t xml:space="preserve"> </w:t>
      </w:r>
      <w:r>
        <w:t>all</w:t>
      </w:r>
      <w:r>
        <w:rPr>
          <w:spacing w:val="-2"/>
        </w:rPr>
        <w:t xml:space="preserve"> </w:t>
      </w:r>
      <w:r>
        <w:t>sampled schools</w:t>
      </w:r>
      <w:r>
        <w:rPr>
          <w:spacing w:val="-6"/>
        </w:rPr>
        <w:t xml:space="preserve"> </w:t>
      </w:r>
      <w:r>
        <w:t>and</w:t>
      </w:r>
      <w:r>
        <w:rPr>
          <w:spacing w:val="-6"/>
        </w:rPr>
        <w:t xml:space="preserve"> </w:t>
      </w:r>
      <w:r>
        <w:t>is</w:t>
      </w:r>
      <w:r>
        <w:rPr>
          <w:spacing w:val="-6"/>
        </w:rPr>
        <w:t xml:space="preserve"> </w:t>
      </w:r>
      <w:r>
        <w:t>the</w:t>
      </w:r>
      <w:r>
        <w:rPr>
          <w:spacing w:val="-6"/>
        </w:rPr>
        <w:t xml:space="preserve"> </w:t>
      </w:r>
      <w:r>
        <w:t>inverse</w:t>
      </w:r>
      <w:r>
        <w:rPr>
          <w:spacing w:val="-6"/>
        </w:rPr>
        <w:t xml:space="preserve"> </w:t>
      </w:r>
      <w:r>
        <w:t>of</w:t>
      </w:r>
      <w:r>
        <w:rPr>
          <w:spacing w:val="-6"/>
        </w:rPr>
        <w:t xml:space="preserve"> </w:t>
      </w:r>
      <w:r>
        <w:t>the</w:t>
      </w:r>
      <w:r>
        <w:rPr>
          <w:spacing w:val="-6"/>
        </w:rPr>
        <w:t xml:space="preserve"> </w:t>
      </w:r>
      <w:r>
        <w:t>probability</w:t>
      </w:r>
      <w:r>
        <w:rPr>
          <w:spacing w:val="-6"/>
        </w:rPr>
        <w:t xml:space="preserve"> </w:t>
      </w:r>
      <w:r>
        <w:t>of</w:t>
      </w:r>
      <w:r>
        <w:rPr>
          <w:spacing w:val="-6"/>
        </w:rPr>
        <w:t xml:space="preserve"> </w:t>
      </w:r>
      <w:r>
        <w:t>selection.</w:t>
      </w:r>
      <w:r>
        <w:rPr>
          <w:spacing w:val="-10"/>
        </w:rPr>
        <w:t xml:space="preserve"> </w:t>
      </w:r>
      <w:r>
        <w:t>The</w:t>
      </w:r>
      <w:r>
        <w:rPr>
          <w:spacing w:val="-6"/>
        </w:rPr>
        <w:t xml:space="preserve"> </w:t>
      </w:r>
      <w:r>
        <w:t>weighted</w:t>
      </w:r>
      <w:r>
        <w:rPr>
          <w:spacing w:val="-6"/>
        </w:rPr>
        <w:t xml:space="preserve"> </w:t>
      </w:r>
      <w:r>
        <w:t>school</w:t>
      </w:r>
      <w:r>
        <w:rPr>
          <w:spacing w:val="-6"/>
        </w:rPr>
        <w:t xml:space="preserve"> </w:t>
      </w:r>
      <w:r>
        <w:t>participation</w:t>
      </w:r>
      <w:r>
        <w:rPr>
          <w:spacing w:val="-6"/>
        </w:rPr>
        <w:t xml:space="preserve"> </w:t>
      </w:r>
      <w:r>
        <w:t>rates</w:t>
      </w:r>
      <w:r>
        <w:rPr>
          <w:spacing w:val="-6"/>
        </w:rPr>
        <w:t xml:space="preserve"> </w:t>
      </w:r>
      <w:r>
        <w:t>in</w:t>
      </w:r>
      <w:r>
        <w:rPr>
          <w:spacing w:val="-6"/>
        </w:rPr>
        <w:t xml:space="preserve"> </w:t>
      </w:r>
      <w:r>
        <w:t>these</w:t>
      </w:r>
      <w:r>
        <w:rPr>
          <w:spacing w:val="-6"/>
        </w:rPr>
        <w:t xml:space="preserve"> </w:t>
      </w:r>
      <w:r>
        <w:t>tables</w:t>
      </w:r>
      <w:r>
        <w:rPr>
          <w:spacing w:val="-6"/>
        </w:rPr>
        <w:t xml:space="preserve"> </w:t>
      </w:r>
      <w:r>
        <w:t>reflect</w:t>
      </w:r>
      <w:r>
        <w:rPr>
          <w:spacing w:val="-6"/>
        </w:rPr>
        <w:t xml:space="preserve"> </w:t>
      </w:r>
      <w:r>
        <w:t>participation</w:t>
      </w:r>
      <w:r>
        <w:rPr>
          <w:spacing w:val="-6"/>
        </w:rPr>
        <w:t xml:space="preserve"> </w:t>
      </w:r>
      <w:r>
        <w:t>prior</w:t>
      </w:r>
      <w:r>
        <w:rPr>
          <w:spacing w:val="-6"/>
        </w:rPr>
        <w:t xml:space="preserve"> </w:t>
      </w:r>
      <w:r>
        <w:t>to</w:t>
      </w:r>
    </w:p>
    <w:p w:rsidR="003F5784" w14:paraId="1016C1EC" w14:textId="77777777">
      <w:pPr>
        <w:pStyle w:val="BodyText"/>
        <w:spacing w:before="95" w:line="232" w:lineRule="auto"/>
        <w:ind w:left="109" w:right="301"/>
        <w:jc w:val="both"/>
      </w:pPr>
      <w:r>
        <w:br w:type="column"/>
        <w:t>Weighted</w:t>
      </w:r>
      <w:r>
        <w:rPr>
          <w:spacing w:val="-5"/>
        </w:rPr>
        <w:t xml:space="preserve"> </w:t>
      </w:r>
      <w:r>
        <w:t>Response</w:t>
      </w:r>
      <w:r>
        <w:rPr>
          <w:spacing w:val="-5"/>
        </w:rPr>
        <w:t xml:space="preserve"> </w:t>
      </w:r>
      <w:r>
        <w:t>Rates</w:t>
      </w:r>
      <w:r>
        <w:rPr>
          <w:spacing w:val="-5"/>
        </w:rPr>
        <w:t xml:space="preserve"> </w:t>
      </w:r>
      <w:r>
        <w:t>of Fourth-Grade</w:t>
      </w:r>
      <w:r>
        <w:rPr>
          <w:spacing w:val="-14"/>
        </w:rPr>
        <w:t xml:space="preserve"> </w:t>
      </w:r>
      <w:r>
        <w:t>School</w:t>
      </w:r>
      <w:r>
        <w:rPr>
          <w:spacing w:val="-13"/>
        </w:rPr>
        <w:t xml:space="preserve"> </w:t>
      </w:r>
      <w:r>
        <w:t>Sample by Participating Jurisdiction</w:t>
      </w:r>
    </w:p>
    <w:p w:rsidR="003F5784" w14:paraId="541A26B7" w14:textId="77777777">
      <w:pPr>
        <w:pStyle w:val="BodyText"/>
        <w:spacing w:before="236" w:line="232" w:lineRule="auto"/>
        <w:ind w:left="109" w:right="301"/>
        <w:jc w:val="both"/>
      </w:pPr>
      <w:r>
        <w:t>Weighted</w:t>
      </w:r>
      <w:r>
        <w:rPr>
          <w:spacing w:val="-5"/>
        </w:rPr>
        <w:t xml:space="preserve"> </w:t>
      </w:r>
      <w:r>
        <w:t>Response</w:t>
      </w:r>
      <w:r>
        <w:rPr>
          <w:spacing w:val="-5"/>
        </w:rPr>
        <w:t xml:space="preserve"> </w:t>
      </w:r>
      <w:r>
        <w:t>Rates</w:t>
      </w:r>
      <w:r>
        <w:rPr>
          <w:spacing w:val="-5"/>
        </w:rPr>
        <w:t xml:space="preserve"> </w:t>
      </w:r>
      <w:r>
        <w:t>of Eighth-Grade</w:t>
      </w:r>
      <w:r>
        <w:rPr>
          <w:spacing w:val="-14"/>
        </w:rPr>
        <w:t xml:space="preserve"> </w:t>
      </w:r>
      <w:r>
        <w:t>School</w:t>
      </w:r>
      <w:r>
        <w:rPr>
          <w:spacing w:val="-13"/>
        </w:rPr>
        <w:t xml:space="preserve"> </w:t>
      </w:r>
      <w:r>
        <w:t>Sample by Participating Jurisdiction</w:t>
      </w:r>
    </w:p>
    <w:p w:rsidR="003F5784" w14:paraId="0A4C2C3A" w14:textId="77777777">
      <w:pPr>
        <w:pStyle w:val="BodyText"/>
        <w:spacing w:before="236" w:line="232" w:lineRule="auto"/>
        <w:ind w:left="109" w:right="165"/>
      </w:pPr>
      <w:r>
        <w:rPr>
          <w:spacing w:val="-2"/>
        </w:rPr>
        <w:t>Weighted</w:t>
      </w:r>
      <w:r>
        <w:rPr>
          <w:spacing w:val="-12"/>
        </w:rPr>
        <w:t xml:space="preserve"> </w:t>
      </w:r>
      <w:r>
        <w:rPr>
          <w:spacing w:val="-2"/>
        </w:rPr>
        <w:t>Student</w:t>
      </w:r>
      <w:r>
        <w:rPr>
          <w:spacing w:val="-11"/>
        </w:rPr>
        <w:t xml:space="preserve"> </w:t>
      </w:r>
      <w:r>
        <w:rPr>
          <w:spacing w:val="-2"/>
        </w:rPr>
        <w:t xml:space="preserve">Response </w:t>
      </w:r>
      <w:r>
        <w:t xml:space="preserve">and Exclusion Rates for </w:t>
      </w:r>
      <w:r>
        <w:rPr>
          <w:spacing w:val="-2"/>
        </w:rPr>
        <w:t>Mathematics</w:t>
      </w:r>
    </w:p>
    <w:p w:rsidR="003F5784" w14:paraId="27495635" w14:textId="77777777">
      <w:pPr>
        <w:pStyle w:val="BodyText"/>
        <w:spacing w:before="235" w:line="232" w:lineRule="auto"/>
        <w:ind w:left="109" w:right="165"/>
      </w:pPr>
      <w:r>
        <w:rPr>
          <w:spacing w:val="-2"/>
        </w:rPr>
        <w:t>Weighted</w:t>
      </w:r>
      <w:r>
        <w:rPr>
          <w:spacing w:val="-12"/>
        </w:rPr>
        <w:t xml:space="preserve"> </w:t>
      </w:r>
      <w:r>
        <w:rPr>
          <w:spacing w:val="-2"/>
        </w:rPr>
        <w:t>Student</w:t>
      </w:r>
      <w:r>
        <w:rPr>
          <w:spacing w:val="-11"/>
        </w:rPr>
        <w:t xml:space="preserve"> </w:t>
      </w:r>
      <w:r>
        <w:rPr>
          <w:spacing w:val="-2"/>
        </w:rPr>
        <w:t xml:space="preserve">Response </w:t>
      </w:r>
      <w:r>
        <w:t xml:space="preserve">and Exclusion Rates for </w:t>
      </w:r>
      <w:r>
        <w:rPr>
          <w:spacing w:val="-2"/>
        </w:rPr>
        <w:t>Reading</w:t>
      </w:r>
    </w:p>
    <w:p w:rsidR="003F5784" w14:paraId="437CFE61" w14:textId="77777777">
      <w:pPr>
        <w:pStyle w:val="BodyText"/>
        <w:spacing w:before="236" w:line="232" w:lineRule="auto"/>
        <w:ind w:left="109" w:right="165"/>
      </w:pPr>
      <w:r>
        <w:rPr>
          <w:spacing w:val="-2"/>
        </w:rPr>
        <w:t>Weighted</w:t>
      </w:r>
      <w:r>
        <w:rPr>
          <w:spacing w:val="-12"/>
        </w:rPr>
        <w:t xml:space="preserve"> </w:t>
      </w:r>
      <w:r>
        <w:rPr>
          <w:spacing w:val="-2"/>
        </w:rPr>
        <w:t>Student</w:t>
      </w:r>
      <w:r>
        <w:rPr>
          <w:spacing w:val="-11"/>
        </w:rPr>
        <w:t xml:space="preserve"> </w:t>
      </w:r>
      <w:r>
        <w:rPr>
          <w:spacing w:val="-2"/>
        </w:rPr>
        <w:t xml:space="preserve">Remote </w:t>
      </w:r>
      <w:r>
        <w:t xml:space="preserve">Rates by Participating </w:t>
      </w:r>
      <w:r>
        <w:rPr>
          <w:spacing w:val="-2"/>
        </w:rPr>
        <w:t>Jurisdiction</w:t>
      </w:r>
    </w:p>
    <w:p w:rsidR="003F5784" w14:paraId="2D37A1E3" w14:textId="77777777">
      <w:pPr>
        <w:spacing w:line="232" w:lineRule="auto"/>
        <w:sectPr>
          <w:type w:val="continuous"/>
          <w:pgSz w:w="15840" w:h="12240" w:orient="landscape"/>
          <w:pgMar w:top="480" w:right="440" w:bottom="460" w:left="460" w:header="284" w:footer="275" w:gutter="0"/>
          <w:cols w:num="2" w:space="720" w:equalWidth="0">
            <w:col w:w="11786" w:space="297"/>
            <w:col w:w="2857"/>
          </w:cols>
        </w:sectPr>
      </w:pPr>
    </w:p>
    <w:p w:rsidR="003F5784" w14:paraId="4A4A425A" w14:textId="77777777">
      <w:pPr>
        <w:pStyle w:val="BodyText"/>
        <w:spacing w:before="78" w:line="232" w:lineRule="auto"/>
        <w:ind w:left="109" w:right="2975"/>
      </w:pPr>
      <w:r>
        <w:t>substitution.</w:t>
      </w:r>
      <w:r>
        <w:rPr>
          <w:spacing w:val="-10"/>
        </w:rPr>
        <w:t xml:space="preserve"> </w:t>
      </w:r>
      <w:r>
        <w:t>That</w:t>
      </w:r>
      <w:r>
        <w:rPr>
          <w:spacing w:val="-7"/>
        </w:rPr>
        <w:t xml:space="preserve"> </w:t>
      </w:r>
      <w:r>
        <w:t>is,</w:t>
      </w:r>
      <w:r>
        <w:rPr>
          <w:spacing w:val="-7"/>
        </w:rPr>
        <w:t xml:space="preserve"> </w:t>
      </w:r>
      <w:r>
        <w:t>participating</w:t>
      </w:r>
      <w:r>
        <w:rPr>
          <w:spacing w:val="-7"/>
        </w:rPr>
        <w:t xml:space="preserve"> </w:t>
      </w:r>
      <w:r>
        <w:t>substitute</w:t>
      </w:r>
      <w:r>
        <w:rPr>
          <w:spacing w:val="-7"/>
        </w:rPr>
        <w:t xml:space="preserve"> </w:t>
      </w:r>
      <w:r>
        <w:t>schools</w:t>
      </w:r>
      <w:r>
        <w:rPr>
          <w:spacing w:val="-7"/>
        </w:rPr>
        <w:t xml:space="preserve"> </w:t>
      </w:r>
      <w:r>
        <w:t>that</w:t>
      </w:r>
      <w:r>
        <w:rPr>
          <w:spacing w:val="-7"/>
        </w:rPr>
        <w:t xml:space="preserve"> </w:t>
      </w:r>
      <w:r>
        <w:t>took</w:t>
      </w:r>
      <w:r>
        <w:rPr>
          <w:spacing w:val="-7"/>
        </w:rPr>
        <w:t xml:space="preserve"> </w:t>
      </w:r>
      <w:r>
        <w:t>the</w:t>
      </w:r>
      <w:r>
        <w:rPr>
          <w:spacing w:val="-7"/>
        </w:rPr>
        <w:t xml:space="preserve"> </w:t>
      </w:r>
      <w:r>
        <w:t>place</w:t>
      </w:r>
      <w:r>
        <w:rPr>
          <w:spacing w:val="-7"/>
        </w:rPr>
        <w:t xml:space="preserve"> </w:t>
      </w:r>
      <w:r>
        <w:t>of</w:t>
      </w:r>
      <w:r>
        <w:rPr>
          <w:spacing w:val="-7"/>
        </w:rPr>
        <w:t xml:space="preserve"> </w:t>
      </w:r>
      <w:r>
        <w:t>refusing</w:t>
      </w:r>
      <w:r>
        <w:rPr>
          <w:spacing w:val="-7"/>
        </w:rPr>
        <w:t xml:space="preserve"> </w:t>
      </w:r>
      <w:r>
        <w:t>originally</w:t>
      </w:r>
      <w:r>
        <w:rPr>
          <w:spacing w:val="-7"/>
        </w:rPr>
        <w:t xml:space="preserve"> </w:t>
      </w:r>
      <w:r>
        <w:t>sampled</w:t>
      </w:r>
      <w:r>
        <w:rPr>
          <w:spacing w:val="-7"/>
        </w:rPr>
        <w:t xml:space="preserve"> </w:t>
      </w:r>
      <w:r>
        <w:t>schools</w:t>
      </w:r>
      <w:r>
        <w:rPr>
          <w:spacing w:val="-7"/>
        </w:rPr>
        <w:t xml:space="preserve"> </w:t>
      </w:r>
      <w:r>
        <w:t>are</w:t>
      </w:r>
      <w:r>
        <w:rPr>
          <w:spacing w:val="-7"/>
        </w:rPr>
        <w:t xml:space="preserve"> </w:t>
      </w:r>
      <w:r>
        <w:t>not</w:t>
      </w:r>
      <w:r>
        <w:rPr>
          <w:spacing w:val="-7"/>
        </w:rPr>
        <w:t xml:space="preserve"> </w:t>
      </w:r>
      <w:r>
        <w:t>included</w:t>
      </w:r>
      <w:r>
        <w:rPr>
          <w:spacing w:val="-7"/>
        </w:rPr>
        <w:t xml:space="preserve"> </w:t>
      </w:r>
      <w:r>
        <w:t>in</w:t>
      </w:r>
      <w:r>
        <w:rPr>
          <w:spacing w:val="-7"/>
        </w:rPr>
        <w:t xml:space="preserve"> </w:t>
      </w:r>
      <w:r>
        <w:t xml:space="preserve">the </w:t>
      </w:r>
      <w:r>
        <w:rPr>
          <w:spacing w:val="-2"/>
        </w:rPr>
        <w:t>numerator.</w:t>
      </w:r>
    </w:p>
    <w:p w:rsidR="003F5784" w14:paraId="1DE05C13" w14:textId="77777777">
      <w:pPr>
        <w:pStyle w:val="BodyText"/>
        <w:spacing w:before="209" w:line="232" w:lineRule="auto"/>
        <w:ind w:left="109" w:right="179"/>
      </w:pPr>
      <w:r>
        <w:t>Weighted student participation rates are calculated by dividing the sum of the student base weights for all assessed students by the sum of the student base weights for all assessable students. (See below for the response dispositions of NAEP</w:t>
      </w:r>
      <w:r>
        <w:rPr>
          <w:spacing w:val="-7"/>
        </w:rPr>
        <w:t xml:space="preserve"> </w:t>
      </w:r>
      <w:r>
        <w:t>sampled students.) Students deemed assessable are those who were assessed or absent.</w:t>
      </w:r>
      <w:r>
        <w:rPr>
          <w:spacing w:val="-3"/>
        </w:rPr>
        <w:t xml:space="preserve"> </w:t>
      </w:r>
      <w:r>
        <w:t>They do not include</w:t>
      </w:r>
      <w:r>
        <w:rPr>
          <w:spacing w:val="-6"/>
        </w:rPr>
        <w:t xml:space="preserve"> </w:t>
      </w:r>
      <w:r>
        <w:t>students</w:t>
      </w:r>
      <w:r>
        <w:rPr>
          <w:spacing w:val="-6"/>
        </w:rPr>
        <w:t xml:space="preserve"> </w:t>
      </w:r>
      <w:r>
        <w:t>that</w:t>
      </w:r>
      <w:r>
        <w:rPr>
          <w:spacing w:val="-6"/>
        </w:rPr>
        <w:t xml:space="preserve"> </w:t>
      </w:r>
      <w:r>
        <w:t>were</w:t>
      </w:r>
      <w:r>
        <w:rPr>
          <w:spacing w:val="-6"/>
        </w:rPr>
        <w:t xml:space="preserve"> </w:t>
      </w:r>
      <w:r>
        <w:t>not</w:t>
      </w:r>
      <w:r>
        <w:rPr>
          <w:spacing w:val="-6"/>
        </w:rPr>
        <w:t xml:space="preserve"> </w:t>
      </w:r>
      <w:r>
        <w:t>eligible</w:t>
      </w:r>
      <w:r>
        <w:rPr>
          <w:spacing w:val="-6"/>
        </w:rPr>
        <w:t xml:space="preserve"> </w:t>
      </w:r>
      <w:r>
        <w:t>(primarily</w:t>
      </w:r>
      <w:r>
        <w:rPr>
          <w:spacing w:val="-6"/>
        </w:rPr>
        <w:t xml:space="preserve"> </w:t>
      </w:r>
      <w:r>
        <w:t>made</w:t>
      </w:r>
      <w:r>
        <w:rPr>
          <w:spacing w:val="-6"/>
        </w:rPr>
        <w:t xml:space="preserve"> </w:t>
      </w:r>
      <w:r>
        <w:t>up</w:t>
      </w:r>
      <w:r>
        <w:rPr>
          <w:spacing w:val="-6"/>
        </w:rPr>
        <w:t xml:space="preserve"> </w:t>
      </w:r>
      <w:r>
        <w:t>of</w:t>
      </w:r>
      <w:r>
        <w:rPr>
          <w:spacing w:val="-6"/>
        </w:rPr>
        <w:t xml:space="preserve"> </w:t>
      </w:r>
      <w:r>
        <w:t>withdrawn</w:t>
      </w:r>
      <w:r>
        <w:rPr>
          <w:spacing w:val="-6"/>
        </w:rPr>
        <w:t xml:space="preserve"> </w:t>
      </w:r>
      <w:r>
        <w:t>or</w:t>
      </w:r>
      <w:r>
        <w:rPr>
          <w:spacing w:val="-6"/>
        </w:rPr>
        <w:t xml:space="preserve"> </w:t>
      </w:r>
      <w:r>
        <w:t>graduated</w:t>
      </w:r>
      <w:r>
        <w:rPr>
          <w:spacing w:val="-6"/>
        </w:rPr>
        <w:t xml:space="preserve"> </w:t>
      </w:r>
      <w:r>
        <w:t>students)</w:t>
      </w:r>
      <w:r>
        <w:rPr>
          <w:spacing w:val="-6"/>
        </w:rPr>
        <w:t xml:space="preserve"> </w:t>
      </w:r>
      <w:r>
        <w:t>or</w:t>
      </w:r>
      <w:r>
        <w:rPr>
          <w:spacing w:val="-6"/>
        </w:rPr>
        <w:t xml:space="preserve"> </w:t>
      </w:r>
      <w:r>
        <w:t>students</w:t>
      </w:r>
      <w:r>
        <w:rPr>
          <w:spacing w:val="-6"/>
        </w:rPr>
        <w:t xml:space="preserve"> </w:t>
      </w:r>
      <w:r>
        <w:t>with</w:t>
      </w:r>
      <w:r>
        <w:rPr>
          <w:spacing w:val="-6"/>
        </w:rPr>
        <w:t xml:space="preserve"> </w:t>
      </w:r>
      <w:r>
        <w:t>disabilities</w:t>
      </w:r>
      <w:r>
        <w:rPr>
          <w:spacing w:val="-6"/>
        </w:rPr>
        <w:t xml:space="preserve"> </w:t>
      </w:r>
      <w:r>
        <w:t>(SD)</w:t>
      </w:r>
      <w:r>
        <w:rPr>
          <w:spacing w:val="-6"/>
        </w:rPr>
        <w:t xml:space="preserve"> </w:t>
      </w:r>
      <w:r>
        <w:t>or</w:t>
      </w:r>
      <w:r>
        <w:rPr>
          <w:spacing w:val="-6"/>
        </w:rPr>
        <w:t xml:space="preserve"> </w:t>
      </w:r>
      <w:r>
        <w:t>English</w:t>
      </w:r>
      <w:r>
        <w:rPr>
          <w:spacing w:val="-6"/>
        </w:rPr>
        <w:t xml:space="preserve"> </w:t>
      </w:r>
      <w:r>
        <w:t>learners</w:t>
      </w:r>
      <w:r>
        <w:rPr>
          <w:spacing w:val="-6"/>
        </w:rPr>
        <w:t xml:space="preserve"> </w:t>
      </w:r>
      <w:r>
        <w:t>(EL)</w:t>
      </w:r>
      <w:r>
        <w:rPr>
          <w:spacing w:val="-6"/>
        </w:rPr>
        <w:t xml:space="preserve"> </w:t>
      </w:r>
      <w:r>
        <w:t>who</w:t>
      </w:r>
      <w:r>
        <w:rPr>
          <w:spacing w:val="-6"/>
        </w:rPr>
        <w:t xml:space="preserve"> </w:t>
      </w:r>
      <w:r>
        <w:t>were</w:t>
      </w:r>
      <w:r>
        <w:rPr>
          <w:spacing w:val="-6"/>
        </w:rPr>
        <w:t xml:space="preserve"> </w:t>
      </w:r>
      <w:r>
        <w:t>excluded from the assessment.</w:t>
      </w:r>
    </w:p>
    <w:p w:rsidR="003F5784" w14:paraId="43391586" w14:textId="77777777">
      <w:pPr>
        <w:pStyle w:val="BodyText"/>
        <w:spacing w:before="210" w:line="232" w:lineRule="auto"/>
        <w:ind w:left="109"/>
      </w:pPr>
      <w:r>
        <w:t>Weighted</w:t>
      </w:r>
      <w:r>
        <w:rPr>
          <w:spacing w:val="-7"/>
        </w:rPr>
        <w:t xml:space="preserve"> </w:t>
      </w:r>
      <w:r>
        <w:t>student</w:t>
      </w:r>
      <w:r>
        <w:rPr>
          <w:spacing w:val="-7"/>
        </w:rPr>
        <w:t xml:space="preserve"> </w:t>
      </w:r>
      <w:r>
        <w:t>exclusion</w:t>
      </w:r>
      <w:r>
        <w:rPr>
          <w:spacing w:val="-7"/>
        </w:rPr>
        <w:t xml:space="preserve"> </w:t>
      </w:r>
      <w:r>
        <w:t>rates</w:t>
      </w:r>
      <w:r>
        <w:rPr>
          <w:spacing w:val="-7"/>
        </w:rPr>
        <w:t xml:space="preserve"> </w:t>
      </w:r>
      <w:r>
        <w:t>are</w:t>
      </w:r>
      <w:r>
        <w:rPr>
          <w:spacing w:val="-7"/>
        </w:rPr>
        <w:t xml:space="preserve"> </w:t>
      </w:r>
      <w:r>
        <w:t>calculated</w:t>
      </w:r>
      <w:r>
        <w:rPr>
          <w:spacing w:val="-7"/>
        </w:rPr>
        <w:t xml:space="preserve"> </w:t>
      </w:r>
      <w:r>
        <w:t>by</w:t>
      </w:r>
      <w:r>
        <w:rPr>
          <w:spacing w:val="-7"/>
        </w:rPr>
        <w:t xml:space="preserve"> </w:t>
      </w:r>
      <w:r>
        <w:t>dividing</w:t>
      </w:r>
      <w:r>
        <w:rPr>
          <w:spacing w:val="-7"/>
        </w:rPr>
        <w:t xml:space="preserve"> </w:t>
      </w:r>
      <w:r>
        <w:t>the</w:t>
      </w:r>
      <w:r>
        <w:rPr>
          <w:spacing w:val="-7"/>
        </w:rPr>
        <w:t xml:space="preserve"> </w:t>
      </w:r>
      <w:r>
        <w:t>sum</w:t>
      </w:r>
      <w:r>
        <w:rPr>
          <w:spacing w:val="-7"/>
        </w:rPr>
        <w:t xml:space="preserve"> </w:t>
      </w:r>
      <w:r>
        <w:t>of</w:t>
      </w:r>
      <w:r>
        <w:rPr>
          <w:spacing w:val="-7"/>
        </w:rPr>
        <w:t xml:space="preserve"> </w:t>
      </w:r>
      <w:r>
        <w:t>the</w:t>
      </w:r>
      <w:r>
        <w:rPr>
          <w:spacing w:val="-7"/>
        </w:rPr>
        <w:t xml:space="preserve"> </w:t>
      </w:r>
      <w:r>
        <w:t>school</w:t>
      </w:r>
      <w:r>
        <w:rPr>
          <w:spacing w:val="-7"/>
        </w:rPr>
        <w:t xml:space="preserve"> </w:t>
      </w:r>
      <w:r>
        <w:t>nonresponse-adjusted</w:t>
      </w:r>
      <w:r>
        <w:rPr>
          <w:spacing w:val="-7"/>
        </w:rPr>
        <w:t xml:space="preserve"> </w:t>
      </w:r>
      <w:r>
        <w:t>student</w:t>
      </w:r>
      <w:r>
        <w:rPr>
          <w:spacing w:val="-7"/>
        </w:rPr>
        <w:t xml:space="preserve"> </w:t>
      </w:r>
      <w:r>
        <w:t>base</w:t>
      </w:r>
      <w:r>
        <w:rPr>
          <w:spacing w:val="-7"/>
        </w:rPr>
        <w:t xml:space="preserve"> </w:t>
      </w:r>
      <w:r>
        <w:t>weights</w:t>
      </w:r>
      <w:r>
        <w:rPr>
          <w:spacing w:val="-7"/>
        </w:rPr>
        <w:t xml:space="preserve"> </w:t>
      </w:r>
      <w:r>
        <w:t>for</w:t>
      </w:r>
      <w:r>
        <w:rPr>
          <w:spacing w:val="-7"/>
        </w:rPr>
        <w:t xml:space="preserve"> </w:t>
      </w:r>
      <w:r>
        <w:t>all</w:t>
      </w:r>
      <w:r>
        <w:rPr>
          <w:spacing w:val="-7"/>
        </w:rPr>
        <w:t xml:space="preserve"> </w:t>
      </w:r>
      <w:r>
        <w:t>excluded</w:t>
      </w:r>
      <w:r>
        <w:rPr>
          <w:spacing w:val="-7"/>
        </w:rPr>
        <w:t xml:space="preserve"> </w:t>
      </w:r>
      <w:r>
        <w:t>students</w:t>
      </w:r>
      <w:r>
        <w:rPr>
          <w:spacing w:val="-7"/>
        </w:rPr>
        <w:t xml:space="preserve"> </w:t>
      </w:r>
      <w:r>
        <w:t>by</w:t>
      </w:r>
      <w:r>
        <w:rPr>
          <w:spacing w:val="-7"/>
        </w:rPr>
        <w:t xml:space="preserve"> </w:t>
      </w:r>
      <w:r>
        <w:t>the</w:t>
      </w:r>
      <w:r>
        <w:rPr>
          <w:spacing w:val="-7"/>
        </w:rPr>
        <w:t xml:space="preserve"> </w:t>
      </w:r>
      <w:r>
        <w:t>sum</w:t>
      </w:r>
      <w:r>
        <w:rPr>
          <w:spacing w:val="-7"/>
        </w:rPr>
        <w:t xml:space="preserve"> </w:t>
      </w:r>
      <w:r>
        <w:t>for</w:t>
      </w:r>
      <w:r>
        <w:rPr>
          <w:spacing w:val="-7"/>
        </w:rPr>
        <w:t xml:space="preserve"> </w:t>
      </w:r>
      <w:r>
        <w:t>all assessable and excluded students.</w:t>
      </w:r>
    </w:p>
    <w:p w:rsidR="003F5784" w14:paraId="7FFBA099" w14:textId="77777777">
      <w:pPr>
        <w:pStyle w:val="BodyText"/>
        <w:spacing w:before="209" w:line="232" w:lineRule="auto"/>
        <w:ind w:left="109"/>
      </w:pPr>
      <w:r>
        <w:t>Weighted</w:t>
      </w:r>
      <w:r>
        <w:rPr>
          <w:spacing w:val="-7"/>
        </w:rPr>
        <w:t xml:space="preserve"> </w:t>
      </w:r>
      <w:r>
        <w:t>student</w:t>
      </w:r>
      <w:r>
        <w:rPr>
          <w:spacing w:val="-7"/>
        </w:rPr>
        <w:t xml:space="preserve"> </w:t>
      </w:r>
      <w:r>
        <w:t>full-time</w:t>
      </w:r>
      <w:r>
        <w:rPr>
          <w:spacing w:val="-7"/>
        </w:rPr>
        <w:t xml:space="preserve"> </w:t>
      </w:r>
      <w:r>
        <w:t>remote</w:t>
      </w:r>
      <w:r>
        <w:rPr>
          <w:spacing w:val="-7"/>
        </w:rPr>
        <w:t xml:space="preserve"> </w:t>
      </w:r>
      <w:r>
        <w:t>rates</w:t>
      </w:r>
      <w:r>
        <w:rPr>
          <w:spacing w:val="-7"/>
        </w:rPr>
        <w:t xml:space="preserve"> </w:t>
      </w:r>
      <w:r>
        <w:t>are</w:t>
      </w:r>
      <w:r>
        <w:rPr>
          <w:spacing w:val="-7"/>
        </w:rPr>
        <w:t xml:space="preserve"> </w:t>
      </w:r>
      <w:r>
        <w:t>calculated</w:t>
      </w:r>
      <w:r>
        <w:rPr>
          <w:spacing w:val="-7"/>
        </w:rPr>
        <w:t xml:space="preserve"> </w:t>
      </w:r>
      <w:r>
        <w:t>by</w:t>
      </w:r>
      <w:r>
        <w:rPr>
          <w:spacing w:val="-7"/>
        </w:rPr>
        <w:t xml:space="preserve"> </w:t>
      </w:r>
      <w:r>
        <w:t>dividing</w:t>
      </w:r>
      <w:r>
        <w:rPr>
          <w:spacing w:val="-7"/>
        </w:rPr>
        <w:t xml:space="preserve"> </w:t>
      </w:r>
      <w:r>
        <w:t>the</w:t>
      </w:r>
      <w:r>
        <w:rPr>
          <w:spacing w:val="-7"/>
        </w:rPr>
        <w:t xml:space="preserve"> </w:t>
      </w:r>
      <w:r>
        <w:t>sum</w:t>
      </w:r>
      <w:r>
        <w:rPr>
          <w:spacing w:val="-7"/>
        </w:rPr>
        <w:t xml:space="preserve"> </w:t>
      </w:r>
      <w:r>
        <w:t>of</w:t>
      </w:r>
      <w:r>
        <w:rPr>
          <w:spacing w:val="-7"/>
        </w:rPr>
        <w:t xml:space="preserve"> </w:t>
      </w:r>
      <w:r>
        <w:t>the</w:t>
      </w:r>
      <w:r>
        <w:rPr>
          <w:spacing w:val="-7"/>
        </w:rPr>
        <w:t xml:space="preserve"> </w:t>
      </w:r>
      <w:r>
        <w:t>school</w:t>
      </w:r>
      <w:r>
        <w:rPr>
          <w:spacing w:val="-7"/>
        </w:rPr>
        <w:t xml:space="preserve"> </w:t>
      </w:r>
      <w:r>
        <w:t>nonresponse-adjusted</w:t>
      </w:r>
      <w:r>
        <w:rPr>
          <w:spacing w:val="-7"/>
        </w:rPr>
        <w:t xml:space="preserve"> </w:t>
      </w:r>
      <w:r>
        <w:t>student</w:t>
      </w:r>
      <w:r>
        <w:rPr>
          <w:spacing w:val="-7"/>
        </w:rPr>
        <w:t xml:space="preserve"> </w:t>
      </w:r>
      <w:r>
        <w:t>base</w:t>
      </w:r>
      <w:r>
        <w:rPr>
          <w:spacing w:val="-7"/>
        </w:rPr>
        <w:t xml:space="preserve"> </w:t>
      </w:r>
      <w:r>
        <w:t>weights</w:t>
      </w:r>
      <w:r>
        <w:rPr>
          <w:spacing w:val="-7"/>
        </w:rPr>
        <w:t xml:space="preserve"> </w:t>
      </w:r>
      <w:r>
        <w:t>for</w:t>
      </w:r>
      <w:r>
        <w:rPr>
          <w:spacing w:val="-7"/>
        </w:rPr>
        <w:t xml:space="preserve"> </w:t>
      </w:r>
      <w:r>
        <w:t>all</w:t>
      </w:r>
      <w:r>
        <w:rPr>
          <w:spacing w:val="-7"/>
        </w:rPr>
        <w:t xml:space="preserve"> </w:t>
      </w:r>
      <w:r>
        <w:t>full-time</w:t>
      </w:r>
      <w:r>
        <w:rPr>
          <w:spacing w:val="-7"/>
        </w:rPr>
        <w:t xml:space="preserve"> </w:t>
      </w:r>
      <w:r>
        <w:t>remote</w:t>
      </w:r>
      <w:r>
        <w:rPr>
          <w:spacing w:val="-7"/>
        </w:rPr>
        <w:t xml:space="preserve"> </w:t>
      </w:r>
      <w:r>
        <w:t>students</w:t>
      </w:r>
      <w:r>
        <w:rPr>
          <w:spacing w:val="-7"/>
        </w:rPr>
        <w:t xml:space="preserve"> </w:t>
      </w:r>
      <w:r>
        <w:t>by</w:t>
      </w:r>
      <w:r>
        <w:rPr>
          <w:spacing w:val="-7"/>
        </w:rPr>
        <w:t xml:space="preserve"> </w:t>
      </w:r>
      <w:r>
        <w:t>the</w:t>
      </w:r>
      <w:r>
        <w:rPr>
          <w:spacing w:val="-7"/>
        </w:rPr>
        <w:t xml:space="preserve"> </w:t>
      </w:r>
      <w:r>
        <w:t>sum for all assessable and excluded and full-time remote students.</w:t>
      </w:r>
    </w:p>
    <w:p w:rsidR="003F5784" w14:paraId="734D1580" w14:textId="77777777">
      <w:pPr>
        <w:pStyle w:val="BodyText"/>
        <w:spacing w:before="5" w:line="440" w:lineRule="atLeast"/>
        <w:ind w:left="422" w:right="6183" w:hanging="313"/>
      </w:pPr>
      <w:r>
        <w:t>Every</w:t>
      </w:r>
      <w:r>
        <w:rPr>
          <w:spacing w:val="-8"/>
        </w:rPr>
        <w:t xml:space="preserve"> </w:t>
      </w:r>
      <w:r>
        <w:t>student</w:t>
      </w:r>
      <w:r>
        <w:rPr>
          <w:spacing w:val="-8"/>
        </w:rPr>
        <w:t xml:space="preserve"> </w:t>
      </w:r>
      <w:r>
        <w:t>sampled</w:t>
      </w:r>
      <w:r>
        <w:rPr>
          <w:spacing w:val="-8"/>
        </w:rPr>
        <w:t xml:space="preserve"> </w:t>
      </w:r>
      <w:r>
        <w:t>for</w:t>
      </w:r>
      <w:r>
        <w:rPr>
          <w:spacing w:val="-8"/>
        </w:rPr>
        <w:t xml:space="preserve"> </w:t>
      </w:r>
      <w:r>
        <w:t>NAEP</w:t>
      </w:r>
      <w:r>
        <w:rPr>
          <w:spacing w:val="-14"/>
        </w:rPr>
        <w:t xml:space="preserve"> </w:t>
      </w:r>
      <w:r>
        <w:t>is</w:t>
      </w:r>
      <w:r>
        <w:rPr>
          <w:spacing w:val="-7"/>
        </w:rPr>
        <w:t xml:space="preserve"> </w:t>
      </w:r>
      <w:r>
        <w:t>classified</w:t>
      </w:r>
      <w:r>
        <w:rPr>
          <w:spacing w:val="-8"/>
        </w:rPr>
        <w:t xml:space="preserve"> </w:t>
      </w:r>
      <w:r>
        <w:t>into</w:t>
      </w:r>
      <w:r>
        <w:rPr>
          <w:spacing w:val="-8"/>
        </w:rPr>
        <w:t xml:space="preserve"> </w:t>
      </w:r>
      <w:r>
        <w:t>one</w:t>
      </w:r>
      <w:r>
        <w:rPr>
          <w:spacing w:val="-8"/>
        </w:rPr>
        <w:t xml:space="preserve"> </w:t>
      </w:r>
      <w:r>
        <w:t>of</w:t>
      </w:r>
      <w:r>
        <w:rPr>
          <w:spacing w:val="-8"/>
        </w:rPr>
        <w:t xml:space="preserve"> </w:t>
      </w:r>
      <w:r>
        <w:t>the</w:t>
      </w:r>
      <w:r>
        <w:rPr>
          <w:spacing w:val="-8"/>
        </w:rPr>
        <w:t xml:space="preserve"> </w:t>
      </w:r>
      <w:r>
        <w:t>following</w:t>
      </w:r>
      <w:r>
        <w:rPr>
          <w:spacing w:val="-8"/>
        </w:rPr>
        <w:t xml:space="preserve"> </w:t>
      </w:r>
      <w:r>
        <w:t>response</w:t>
      </w:r>
      <w:r>
        <w:rPr>
          <w:spacing w:val="-8"/>
        </w:rPr>
        <w:t xml:space="preserve"> </w:t>
      </w:r>
      <w:r>
        <w:t>disposition</w:t>
      </w:r>
      <w:r>
        <w:rPr>
          <w:spacing w:val="-8"/>
        </w:rPr>
        <w:t xml:space="preserve"> </w:t>
      </w:r>
      <w:r>
        <w:t xml:space="preserve">categories: </w:t>
      </w:r>
      <w:r>
        <w:rPr>
          <w:noProof/>
          <w:position w:val="3"/>
        </w:rPr>
        <w:drawing>
          <wp:inline distT="0" distB="0" distL="0" distR="0">
            <wp:extent cx="41379" cy="41378"/>
            <wp:effectExtent l="0" t="0" r="0" b="0"/>
            <wp:docPr id="346" name="Image 346"/>
            <wp:cNvGraphicFramePr/>
            <a:graphic xmlns:a="http://schemas.openxmlformats.org/drawingml/2006/main">
              <a:graphicData uri="http://schemas.openxmlformats.org/drawingml/2006/picture">
                <pic:pic xmlns:pic="http://schemas.openxmlformats.org/drawingml/2006/picture">
                  <pic:nvPicPr>
                    <pic:cNvPr id="346" name="Image 346"/>
                    <pic:cNvPicPr/>
                  </pic:nvPicPr>
                  <pic:blipFill>
                    <a:blip xmlns:r="http://schemas.openxmlformats.org/officeDocument/2006/relationships" r:embed="rId272" cstate="print"/>
                    <a:stretch>
                      <a:fillRect/>
                    </a:stretch>
                  </pic:blipFill>
                  <pic:spPr>
                    <a:xfrm>
                      <a:off x="0" y="0"/>
                      <a:ext cx="41379" cy="41378"/>
                    </a:xfrm>
                    <a:prstGeom prst="rect">
                      <a:avLst/>
                    </a:prstGeom>
                  </pic:spPr>
                </pic:pic>
              </a:graphicData>
            </a:graphic>
          </wp:inline>
        </w:drawing>
      </w:r>
      <w:r>
        <w:rPr>
          <w:spacing w:val="40"/>
        </w:rPr>
        <w:t xml:space="preserve"> </w:t>
      </w:r>
      <w:r>
        <w:t>Assessed</w:t>
      </w:r>
    </w:p>
    <w:p w:rsidR="003F5784" w14:paraId="6F3EBC85" w14:textId="77777777">
      <w:pPr>
        <w:pStyle w:val="BodyText"/>
        <w:spacing w:line="234" w:lineRule="exact"/>
        <w:ind w:left="422"/>
      </w:pPr>
      <w:r>
        <w:rPr>
          <w:noProof/>
          <w:position w:val="3"/>
        </w:rPr>
        <w:drawing>
          <wp:inline distT="0" distB="0" distL="0" distR="0">
            <wp:extent cx="41379" cy="41378"/>
            <wp:effectExtent l="0" t="0" r="0" b="0"/>
            <wp:docPr id="347" name="Image 347"/>
            <wp:cNvGraphicFramePr/>
            <a:graphic xmlns:a="http://schemas.openxmlformats.org/drawingml/2006/main">
              <a:graphicData uri="http://schemas.openxmlformats.org/drawingml/2006/picture">
                <pic:pic xmlns:pic="http://schemas.openxmlformats.org/drawingml/2006/picture">
                  <pic:nvPicPr>
                    <pic:cNvPr id="347" name="Image 347"/>
                    <pic:cNvPicPr/>
                  </pic:nvPicPr>
                  <pic:blipFill>
                    <a:blip xmlns:r="http://schemas.openxmlformats.org/officeDocument/2006/relationships" r:embed="rId273" cstate="print"/>
                    <a:stretch>
                      <a:fillRect/>
                    </a:stretch>
                  </pic:blipFill>
                  <pic:spPr>
                    <a:xfrm>
                      <a:off x="0" y="0"/>
                      <a:ext cx="41379" cy="41378"/>
                    </a:xfrm>
                    <a:prstGeom prst="rect">
                      <a:avLst/>
                    </a:prstGeom>
                  </pic:spPr>
                </pic:pic>
              </a:graphicData>
            </a:graphic>
          </wp:inline>
        </w:drawing>
      </w:r>
      <w:r>
        <w:rPr>
          <w:spacing w:val="80"/>
          <w:sz w:val="20"/>
        </w:rPr>
        <w:t xml:space="preserve"> </w:t>
      </w:r>
      <w:r>
        <w:t>Absent</w:t>
      </w:r>
    </w:p>
    <w:p w:rsidR="003F5784" w14:paraId="54D31F3E" w14:textId="77777777">
      <w:pPr>
        <w:pStyle w:val="BodyText"/>
        <w:spacing w:before="3" w:line="232" w:lineRule="auto"/>
        <w:ind w:left="422" w:right="10739"/>
      </w:pPr>
      <w:r>
        <w:rPr>
          <w:noProof/>
          <w:position w:val="3"/>
        </w:rPr>
        <w:drawing>
          <wp:inline distT="0" distB="0" distL="0" distR="0">
            <wp:extent cx="41379" cy="41378"/>
            <wp:effectExtent l="0" t="0" r="0" b="0"/>
            <wp:docPr id="348" name="Image 348"/>
            <wp:cNvGraphicFramePr/>
            <a:graphic xmlns:a="http://schemas.openxmlformats.org/drawingml/2006/main">
              <a:graphicData uri="http://schemas.openxmlformats.org/drawingml/2006/picture">
                <pic:pic xmlns:pic="http://schemas.openxmlformats.org/drawingml/2006/picture">
                  <pic:nvPicPr>
                    <pic:cNvPr id="348" name="Image 348"/>
                    <pic:cNvPicPr/>
                  </pic:nvPicPr>
                  <pic:blipFill>
                    <a:blip xmlns:r="http://schemas.openxmlformats.org/officeDocument/2006/relationships" r:embed="rId274" cstate="print"/>
                    <a:stretch>
                      <a:fillRect/>
                    </a:stretch>
                  </pic:blipFill>
                  <pic:spPr>
                    <a:xfrm>
                      <a:off x="0" y="0"/>
                      <a:ext cx="41379" cy="41378"/>
                    </a:xfrm>
                    <a:prstGeom prst="rect">
                      <a:avLst/>
                    </a:prstGeom>
                  </pic:spPr>
                </pic:pic>
              </a:graphicData>
            </a:graphic>
          </wp:inline>
        </w:drawing>
      </w:r>
      <w:r>
        <w:rPr>
          <w:spacing w:val="79"/>
          <w:sz w:val="20"/>
        </w:rPr>
        <w:t xml:space="preserve"> </w:t>
      </w:r>
      <w:r>
        <w:t>Excluded</w:t>
      </w:r>
      <w:r>
        <w:rPr>
          <w:spacing w:val="-7"/>
        </w:rPr>
        <w:t xml:space="preserve"> </w:t>
      </w:r>
      <w:r>
        <w:t>(must</w:t>
      </w:r>
      <w:r>
        <w:rPr>
          <w:spacing w:val="-7"/>
        </w:rPr>
        <w:t xml:space="preserve"> </w:t>
      </w:r>
      <w:r>
        <w:t>be</w:t>
      </w:r>
      <w:r>
        <w:rPr>
          <w:spacing w:val="-7"/>
        </w:rPr>
        <w:t xml:space="preserve"> </w:t>
      </w:r>
      <w:r>
        <w:t>SD,</w:t>
      </w:r>
      <w:r>
        <w:rPr>
          <w:spacing w:val="-7"/>
        </w:rPr>
        <w:t xml:space="preserve"> </w:t>
      </w:r>
      <w:r>
        <w:t>EL,</w:t>
      </w:r>
      <w:r>
        <w:rPr>
          <w:spacing w:val="-7"/>
        </w:rPr>
        <w:t xml:space="preserve"> </w:t>
      </w:r>
      <w:r>
        <w:t>or</w:t>
      </w:r>
      <w:r>
        <w:rPr>
          <w:spacing w:val="-7"/>
        </w:rPr>
        <w:t xml:space="preserve"> </w:t>
      </w:r>
      <w:r>
        <w:t>SD</w:t>
      </w:r>
      <w:r>
        <w:rPr>
          <w:spacing w:val="-7"/>
        </w:rPr>
        <w:t xml:space="preserve"> </w:t>
      </w:r>
      <w:r>
        <w:t>and</w:t>
      </w:r>
      <w:r>
        <w:rPr>
          <w:spacing w:val="-7"/>
        </w:rPr>
        <w:t xml:space="preserve"> </w:t>
      </w:r>
      <w:r>
        <w:t xml:space="preserve">EL) </w:t>
      </w:r>
      <w:r>
        <w:rPr>
          <w:noProof/>
          <w:position w:val="3"/>
        </w:rPr>
        <w:drawing>
          <wp:inline distT="0" distB="0" distL="0" distR="0">
            <wp:extent cx="41379" cy="41378"/>
            <wp:effectExtent l="0" t="0" r="0" b="0"/>
            <wp:docPr id="349" name="Image 349"/>
            <wp:cNvGraphicFramePr/>
            <a:graphic xmlns:a="http://schemas.openxmlformats.org/drawingml/2006/main">
              <a:graphicData uri="http://schemas.openxmlformats.org/drawingml/2006/picture">
                <pic:pic xmlns:pic="http://schemas.openxmlformats.org/drawingml/2006/picture">
                  <pic:nvPicPr>
                    <pic:cNvPr id="349" name="Image 349"/>
                    <pic:cNvPicPr/>
                  </pic:nvPicPr>
                  <pic:blipFill>
                    <a:blip xmlns:r="http://schemas.openxmlformats.org/officeDocument/2006/relationships" r:embed="rId275" cstate="print"/>
                    <a:stretch>
                      <a:fillRect/>
                    </a:stretch>
                  </pic:blipFill>
                  <pic:spPr>
                    <a:xfrm>
                      <a:off x="0" y="0"/>
                      <a:ext cx="41379" cy="41378"/>
                    </a:xfrm>
                    <a:prstGeom prst="rect">
                      <a:avLst/>
                    </a:prstGeom>
                  </pic:spPr>
                </pic:pic>
              </a:graphicData>
            </a:graphic>
          </wp:inline>
        </w:drawing>
      </w:r>
      <w:r>
        <w:rPr>
          <w:spacing w:val="80"/>
        </w:rPr>
        <w:t xml:space="preserve"> </w:t>
      </w:r>
      <w:r>
        <w:t>Withdrawn or Graduated (ineligible)</w:t>
      </w:r>
    </w:p>
    <w:p w:rsidR="003F5784" w14:paraId="42628123" w14:textId="77777777">
      <w:pPr>
        <w:pStyle w:val="BodyText"/>
        <w:spacing w:line="236" w:lineRule="exact"/>
        <w:ind w:left="422"/>
      </w:pPr>
      <w:r>
        <w:rPr>
          <w:noProof/>
          <w:position w:val="3"/>
        </w:rPr>
        <w:drawing>
          <wp:inline distT="0" distB="0" distL="0" distR="0">
            <wp:extent cx="41379" cy="41378"/>
            <wp:effectExtent l="0" t="0" r="0" b="0"/>
            <wp:docPr id="350" name="Image 350"/>
            <wp:cNvGraphicFramePr/>
            <a:graphic xmlns:a="http://schemas.openxmlformats.org/drawingml/2006/main">
              <a:graphicData uri="http://schemas.openxmlformats.org/drawingml/2006/picture">
                <pic:pic xmlns:pic="http://schemas.openxmlformats.org/drawingml/2006/picture">
                  <pic:nvPicPr>
                    <pic:cNvPr id="350" name="Image 350"/>
                    <pic:cNvPicPr/>
                  </pic:nvPicPr>
                  <pic:blipFill>
                    <a:blip xmlns:r="http://schemas.openxmlformats.org/officeDocument/2006/relationships" r:embed="rId276" cstate="print"/>
                    <a:stretch>
                      <a:fillRect/>
                    </a:stretch>
                  </pic:blipFill>
                  <pic:spPr>
                    <a:xfrm>
                      <a:off x="0" y="0"/>
                      <a:ext cx="41379" cy="41378"/>
                    </a:xfrm>
                    <a:prstGeom prst="rect">
                      <a:avLst/>
                    </a:prstGeom>
                  </pic:spPr>
                </pic:pic>
              </a:graphicData>
            </a:graphic>
          </wp:inline>
        </w:drawing>
      </w:r>
      <w:r>
        <w:rPr>
          <w:spacing w:val="80"/>
          <w:sz w:val="20"/>
        </w:rPr>
        <w:t xml:space="preserve"> </w:t>
      </w:r>
      <w:r>
        <w:t>Full-time remote</w:t>
      </w:r>
    </w:p>
    <w:p w:rsidR="003F5784" w14:paraId="5800FFF8" w14:textId="77777777">
      <w:pPr>
        <w:pStyle w:val="BodyText"/>
      </w:pPr>
    </w:p>
    <w:p w:rsidR="003F5784" w14:paraId="3968A848" w14:textId="77777777">
      <w:pPr>
        <w:pStyle w:val="BodyText"/>
        <w:spacing w:before="161"/>
      </w:pPr>
    </w:p>
    <w:p w:rsidR="003F5784" w14:paraId="7F0CAE2A" w14:textId="77777777">
      <w:pPr>
        <w:pStyle w:val="BodyText"/>
        <w:spacing w:before="1"/>
        <w:ind w:left="109"/>
      </w:pPr>
      <w:r>
        <w:t>Assessed</w:t>
      </w:r>
      <w:r>
        <w:rPr>
          <w:spacing w:val="-7"/>
        </w:rPr>
        <w:t xml:space="preserve"> </w:t>
      </w:r>
      <w:r>
        <w:t>students</w:t>
      </w:r>
      <w:r>
        <w:rPr>
          <w:spacing w:val="-7"/>
        </w:rPr>
        <w:t xml:space="preserve"> </w:t>
      </w:r>
      <w:r>
        <w:t>were</w:t>
      </w:r>
      <w:r>
        <w:rPr>
          <w:spacing w:val="-6"/>
        </w:rPr>
        <w:t xml:space="preserve"> </w:t>
      </w:r>
      <w:r>
        <w:t>students</w:t>
      </w:r>
      <w:r>
        <w:rPr>
          <w:spacing w:val="-7"/>
        </w:rPr>
        <w:t xml:space="preserve"> </w:t>
      </w:r>
      <w:r>
        <w:t>that</w:t>
      </w:r>
      <w:r>
        <w:rPr>
          <w:spacing w:val="-7"/>
        </w:rPr>
        <w:t xml:space="preserve"> </w:t>
      </w:r>
      <w:r>
        <w:t>completed</w:t>
      </w:r>
      <w:r>
        <w:rPr>
          <w:spacing w:val="-6"/>
        </w:rPr>
        <w:t xml:space="preserve"> </w:t>
      </w:r>
      <w:r>
        <w:t>an</w:t>
      </w:r>
      <w:r>
        <w:rPr>
          <w:spacing w:val="-7"/>
        </w:rPr>
        <w:t xml:space="preserve"> </w:t>
      </w:r>
      <w:r>
        <w:rPr>
          <w:spacing w:val="-2"/>
        </w:rPr>
        <w:t>assessment.</w:t>
      </w:r>
    </w:p>
    <w:p w:rsidR="003F5784" w14:paraId="2482838F" w14:textId="77777777">
      <w:pPr>
        <w:pStyle w:val="BodyText"/>
        <w:spacing w:before="207" w:line="232" w:lineRule="auto"/>
        <w:ind w:left="109"/>
      </w:pPr>
      <w:r>
        <w:t>Absent</w:t>
      </w:r>
      <w:r>
        <w:rPr>
          <w:spacing w:val="-6"/>
        </w:rPr>
        <w:t xml:space="preserve"> </w:t>
      </w:r>
      <w:r>
        <w:t>students</w:t>
      </w:r>
      <w:r>
        <w:rPr>
          <w:spacing w:val="-6"/>
        </w:rPr>
        <w:t xml:space="preserve"> </w:t>
      </w:r>
      <w:r>
        <w:t>were</w:t>
      </w:r>
      <w:r>
        <w:rPr>
          <w:spacing w:val="-6"/>
        </w:rPr>
        <w:t xml:space="preserve"> </w:t>
      </w:r>
      <w:r>
        <w:t>students</w:t>
      </w:r>
      <w:r>
        <w:rPr>
          <w:spacing w:val="-6"/>
        </w:rPr>
        <w:t xml:space="preserve"> </w:t>
      </w:r>
      <w:r>
        <w:t>who</w:t>
      </w:r>
      <w:r>
        <w:rPr>
          <w:spacing w:val="-6"/>
        </w:rPr>
        <w:t xml:space="preserve"> </w:t>
      </w:r>
      <w:r>
        <w:t>were</w:t>
      </w:r>
      <w:r>
        <w:rPr>
          <w:spacing w:val="-6"/>
        </w:rPr>
        <w:t xml:space="preserve"> </w:t>
      </w:r>
      <w:r>
        <w:t>eligible</w:t>
      </w:r>
      <w:r>
        <w:rPr>
          <w:spacing w:val="-6"/>
        </w:rPr>
        <w:t xml:space="preserve"> </w:t>
      </w:r>
      <w:r>
        <w:t>to</w:t>
      </w:r>
      <w:r>
        <w:rPr>
          <w:spacing w:val="-6"/>
        </w:rPr>
        <w:t xml:space="preserve"> </w:t>
      </w:r>
      <w:r>
        <w:t>take</w:t>
      </w:r>
      <w:r>
        <w:rPr>
          <w:spacing w:val="-6"/>
        </w:rPr>
        <w:t xml:space="preserve"> </w:t>
      </w:r>
      <w:r>
        <w:t>an</w:t>
      </w:r>
      <w:r>
        <w:rPr>
          <w:spacing w:val="-6"/>
        </w:rPr>
        <w:t xml:space="preserve"> </w:t>
      </w:r>
      <w:r>
        <w:t>assessment</w:t>
      </w:r>
      <w:r>
        <w:rPr>
          <w:spacing w:val="-6"/>
        </w:rPr>
        <w:t xml:space="preserve"> </w:t>
      </w:r>
      <w:r>
        <w:t>but</w:t>
      </w:r>
      <w:r>
        <w:rPr>
          <w:spacing w:val="-6"/>
        </w:rPr>
        <w:t xml:space="preserve"> </w:t>
      </w:r>
      <w:r>
        <w:t>were</w:t>
      </w:r>
      <w:r>
        <w:rPr>
          <w:spacing w:val="-6"/>
        </w:rPr>
        <w:t xml:space="preserve"> </w:t>
      </w:r>
      <w:r>
        <w:t>absent</w:t>
      </w:r>
      <w:r>
        <w:rPr>
          <w:spacing w:val="-6"/>
        </w:rPr>
        <w:t xml:space="preserve"> </w:t>
      </w:r>
      <w:r>
        <w:t>from</w:t>
      </w:r>
      <w:r>
        <w:rPr>
          <w:spacing w:val="-6"/>
        </w:rPr>
        <w:t xml:space="preserve"> </w:t>
      </w:r>
      <w:r>
        <w:t>the</w:t>
      </w:r>
      <w:r>
        <w:rPr>
          <w:spacing w:val="-6"/>
        </w:rPr>
        <w:t xml:space="preserve"> </w:t>
      </w:r>
      <w:r>
        <w:t>initial</w:t>
      </w:r>
      <w:r>
        <w:rPr>
          <w:spacing w:val="-6"/>
        </w:rPr>
        <w:t xml:space="preserve"> </w:t>
      </w:r>
      <w:r>
        <w:t>session</w:t>
      </w:r>
      <w:r>
        <w:rPr>
          <w:spacing w:val="-6"/>
        </w:rPr>
        <w:t xml:space="preserve"> </w:t>
      </w:r>
      <w:r>
        <w:t>and</w:t>
      </w:r>
      <w:r>
        <w:rPr>
          <w:spacing w:val="-6"/>
        </w:rPr>
        <w:t xml:space="preserve"> </w:t>
      </w:r>
      <w:r>
        <w:t>the</w:t>
      </w:r>
      <w:r>
        <w:rPr>
          <w:spacing w:val="-6"/>
        </w:rPr>
        <w:t xml:space="preserve"> </w:t>
      </w:r>
      <w:r>
        <w:t>makeup</w:t>
      </w:r>
      <w:r>
        <w:rPr>
          <w:spacing w:val="-6"/>
        </w:rPr>
        <w:t xml:space="preserve"> </w:t>
      </w:r>
      <w:r>
        <w:t>session</w:t>
      </w:r>
      <w:r>
        <w:rPr>
          <w:spacing w:val="-6"/>
        </w:rPr>
        <w:t xml:space="preserve"> </w:t>
      </w:r>
      <w:r>
        <w:t>if</w:t>
      </w:r>
      <w:r>
        <w:rPr>
          <w:spacing w:val="-6"/>
        </w:rPr>
        <w:t xml:space="preserve"> </w:t>
      </w:r>
      <w:r>
        <w:t>one</w:t>
      </w:r>
      <w:r>
        <w:rPr>
          <w:spacing w:val="-6"/>
        </w:rPr>
        <w:t xml:space="preserve"> </w:t>
      </w:r>
      <w:r>
        <w:t>was</w:t>
      </w:r>
      <w:r>
        <w:rPr>
          <w:spacing w:val="-6"/>
        </w:rPr>
        <w:t xml:space="preserve"> </w:t>
      </w:r>
      <w:r>
        <w:t>offered.</w:t>
      </w:r>
      <w:r>
        <w:rPr>
          <w:spacing w:val="-6"/>
        </w:rPr>
        <w:t xml:space="preserve"> </w:t>
      </w:r>
      <w:r>
        <w:t>(Note,</w:t>
      </w:r>
      <w:r>
        <w:rPr>
          <w:spacing w:val="-6"/>
        </w:rPr>
        <w:t xml:space="preserve"> </w:t>
      </w:r>
      <w:r>
        <w:t>some</w:t>
      </w:r>
      <w:r>
        <w:rPr>
          <w:spacing w:val="-6"/>
        </w:rPr>
        <w:t xml:space="preserve"> </w:t>
      </w:r>
      <w:r>
        <w:t>schools, not all, had make-up sessions for students who were absent from the initial session.)</w:t>
      </w:r>
    </w:p>
    <w:p w:rsidR="003F5784" w14:paraId="3DFDD9FE" w14:textId="77777777">
      <w:pPr>
        <w:pStyle w:val="BodyText"/>
        <w:spacing w:before="209" w:line="232" w:lineRule="auto"/>
        <w:ind w:left="109"/>
      </w:pPr>
      <w:r>
        <w:t>Excluded</w:t>
      </w:r>
      <w:r>
        <w:rPr>
          <w:spacing w:val="-6"/>
        </w:rPr>
        <w:t xml:space="preserve"> </w:t>
      </w:r>
      <w:r>
        <w:t>students</w:t>
      </w:r>
      <w:r>
        <w:rPr>
          <w:spacing w:val="-6"/>
        </w:rPr>
        <w:t xml:space="preserve"> </w:t>
      </w:r>
      <w:r>
        <w:t>were</w:t>
      </w:r>
      <w:r>
        <w:rPr>
          <w:spacing w:val="-6"/>
        </w:rPr>
        <w:t xml:space="preserve"> </w:t>
      </w:r>
      <w:r>
        <w:t>determined</w:t>
      </w:r>
      <w:r>
        <w:rPr>
          <w:spacing w:val="-6"/>
        </w:rPr>
        <w:t xml:space="preserve"> </w:t>
      </w:r>
      <w:r>
        <w:t>by</w:t>
      </w:r>
      <w:r>
        <w:rPr>
          <w:spacing w:val="-6"/>
        </w:rPr>
        <w:t xml:space="preserve"> </w:t>
      </w:r>
      <w:r>
        <w:t>their</w:t>
      </w:r>
      <w:r>
        <w:rPr>
          <w:spacing w:val="-6"/>
        </w:rPr>
        <w:t xml:space="preserve"> </w:t>
      </w:r>
      <w:r>
        <w:t>school</w:t>
      </w:r>
      <w:r>
        <w:rPr>
          <w:spacing w:val="-6"/>
        </w:rPr>
        <w:t xml:space="preserve"> </w:t>
      </w:r>
      <w:r>
        <w:t>to</w:t>
      </w:r>
      <w:r>
        <w:rPr>
          <w:spacing w:val="-6"/>
        </w:rPr>
        <w:t xml:space="preserve"> </w:t>
      </w:r>
      <w:r>
        <w:t>be</w:t>
      </w:r>
      <w:r>
        <w:rPr>
          <w:spacing w:val="-6"/>
        </w:rPr>
        <w:t xml:space="preserve"> </w:t>
      </w:r>
      <w:r>
        <w:t>unable</w:t>
      </w:r>
      <w:r>
        <w:rPr>
          <w:spacing w:val="-6"/>
        </w:rPr>
        <w:t xml:space="preserve"> </w:t>
      </w:r>
      <w:r>
        <w:t>to</w:t>
      </w:r>
      <w:r>
        <w:rPr>
          <w:spacing w:val="-6"/>
        </w:rPr>
        <w:t xml:space="preserve"> </w:t>
      </w:r>
      <w:r>
        <w:t>meaningfully</w:t>
      </w:r>
      <w:r>
        <w:rPr>
          <w:spacing w:val="-6"/>
        </w:rPr>
        <w:t xml:space="preserve"> </w:t>
      </w:r>
      <w:r>
        <w:t>take</w:t>
      </w:r>
      <w:r>
        <w:rPr>
          <w:spacing w:val="-6"/>
        </w:rPr>
        <w:t xml:space="preserve"> </w:t>
      </w:r>
      <w:r>
        <w:t>the</w:t>
      </w:r>
      <w:r>
        <w:rPr>
          <w:spacing w:val="-6"/>
        </w:rPr>
        <w:t xml:space="preserve"> </w:t>
      </w:r>
      <w:r>
        <w:t>NAEP</w:t>
      </w:r>
      <w:r>
        <w:rPr>
          <w:spacing w:val="-14"/>
        </w:rPr>
        <w:t xml:space="preserve"> </w:t>
      </w:r>
      <w:r>
        <w:t>assessment</w:t>
      </w:r>
      <w:r>
        <w:rPr>
          <w:spacing w:val="-5"/>
        </w:rPr>
        <w:t xml:space="preserve"> </w:t>
      </w:r>
      <w:r>
        <w:t>in</w:t>
      </w:r>
      <w:r>
        <w:rPr>
          <w:spacing w:val="-6"/>
        </w:rPr>
        <w:t xml:space="preserve"> </w:t>
      </w:r>
      <w:r>
        <w:t>their</w:t>
      </w:r>
      <w:r>
        <w:rPr>
          <w:spacing w:val="-6"/>
        </w:rPr>
        <w:t xml:space="preserve"> </w:t>
      </w:r>
      <w:r>
        <w:t>assigned</w:t>
      </w:r>
      <w:r>
        <w:rPr>
          <w:spacing w:val="-6"/>
        </w:rPr>
        <w:t xml:space="preserve"> </w:t>
      </w:r>
      <w:r>
        <w:t>subject,</w:t>
      </w:r>
      <w:r>
        <w:rPr>
          <w:spacing w:val="-6"/>
        </w:rPr>
        <w:t xml:space="preserve"> </w:t>
      </w:r>
      <w:r>
        <w:t>even</w:t>
      </w:r>
      <w:r>
        <w:rPr>
          <w:spacing w:val="-6"/>
        </w:rPr>
        <w:t xml:space="preserve"> </w:t>
      </w:r>
      <w:r>
        <w:t>with</w:t>
      </w:r>
      <w:r>
        <w:rPr>
          <w:spacing w:val="-6"/>
        </w:rPr>
        <w:t xml:space="preserve"> </w:t>
      </w:r>
      <w:r>
        <w:t>an</w:t>
      </w:r>
      <w:r>
        <w:rPr>
          <w:spacing w:val="-6"/>
        </w:rPr>
        <w:t xml:space="preserve"> </w:t>
      </w:r>
      <w:r>
        <w:t>accommodation.</w:t>
      </w:r>
      <w:r>
        <w:rPr>
          <w:spacing w:val="-6"/>
        </w:rPr>
        <w:t xml:space="preserve"> </w:t>
      </w:r>
      <w:r>
        <w:t>Excluded students must also be classified as SD and/or EL.</w:t>
      </w:r>
    </w:p>
    <w:p w:rsidR="003F5784" w14:paraId="4EA0C555" w14:textId="77777777">
      <w:pPr>
        <w:pStyle w:val="BodyText"/>
        <w:spacing w:before="204" w:line="439" w:lineRule="auto"/>
        <w:ind w:left="109" w:right="2245"/>
      </w:pPr>
      <w:r>
        <w:t>Withdrawn</w:t>
      </w:r>
      <w:r>
        <w:rPr>
          <w:spacing w:val="-8"/>
        </w:rPr>
        <w:t xml:space="preserve"> </w:t>
      </w:r>
      <w:r>
        <w:t>or</w:t>
      </w:r>
      <w:r>
        <w:rPr>
          <w:spacing w:val="-8"/>
        </w:rPr>
        <w:t xml:space="preserve"> </w:t>
      </w:r>
      <w:r>
        <w:t>graduated</w:t>
      </w:r>
      <w:r>
        <w:rPr>
          <w:spacing w:val="-8"/>
        </w:rPr>
        <w:t xml:space="preserve"> </w:t>
      </w:r>
      <w:r>
        <w:t>students</w:t>
      </w:r>
      <w:r>
        <w:rPr>
          <w:spacing w:val="-8"/>
        </w:rPr>
        <w:t xml:space="preserve"> </w:t>
      </w:r>
      <w:r>
        <w:t>are</w:t>
      </w:r>
      <w:r>
        <w:rPr>
          <w:spacing w:val="-8"/>
        </w:rPr>
        <w:t xml:space="preserve"> </w:t>
      </w:r>
      <w:r>
        <w:t>those</w:t>
      </w:r>
      <w:r>
        <w:rPr>
          <w:spacing w:val="-8"/>
        </w:rPr>
        <w:t xml:space="preserve"> </w:t>
      </w:r>
      <w:r>
        <w:t>who</w:t>
      </w:r>
      <w:r>
        <w:rPr>
          <w:spacing w:val="-8"/>
        </w:rPr>
        <w:t xml:space="preserve"> </w:t>
      </w:r>
      <w:r>
        <w:t>have</w:t>
      </w:r>
      <w:r>
        <w:rPr>
          <w:spacing w:val="-8"/>
        </w:rPr>
        <w:t xml:space="preserve"> </w:t>
      </w:r>
      <w:r>
        <w:t>left</w:t>
      </w:r>
      <w:r>
        <w:rPr>
          <w:spacing w:val="-8"/>
        </w:rPr>
        <w:t xml:space="preserve"> </w:t>
      </w:r>
      <w:r>
        <w:t>the</w:t>
      </w:r>
      <w:r>
        <w:rPr>
          <w:spacing w:val="-8"/>
        </w:rPr>
        <w:t xml:space="preserve"> </w:t>
      </w:r>
      <w:r>
        <w:t>school</w:t>
      </w:r>
      <w:r>
        <w:rPr>
          <w:spacing w:val="-8"/>
        </w:rPr>
        <w:t xml:space="preserve"> </w:t>
      </w:r>
      <w:r>
        <w:t>before</w:t>
      </w:r>
      <w:r>
        <w:rPr>
          <w:spacing w:val="-8"/>
        </w:rPr>
        <w:t xml:space="preserve"> </w:t>
      </w:r>
      <w:r>
        <w:t>the</w:t>
      </w:r>
      <w:r>
        <w:rPr>
          <w:spacing w:val="-8"/>
        </w:rPr>
        <w:t xml:space="preserve"> </w:t>
      </w:r>
      <w:r>
        <w:t>original</w:t>
      </w:r>
      <w:r>
        <w:rPr>
          <w:spacing w:val="-8"/>
        </w:rPr>
        <w:t xml:space="preserve"> </w:t>
      </w:r>
      <w:r>
        <w:t>assessment.</w:t>
      </w:r>
      <w:r>
        <w:rPr>
          <w:spacing w:val="-11"/>
        </w:rPr>
        <w:t xml:space="preserve"> </w:t>
      </w:r>
      <w:r>
        <w:t>These</w:t>
      </w:r>
      <w:r>
        <w:rPr>
          <w:spacing w:val="-8"/>
        </w:rPr>
        <w:t xml:space="preserve"> </w:t>
      </w:r>
      <w:r>
        <w:t>students</w:t>
      </w:r>
      <w:r>
        <w:rPr>
          <w:spacing w:val="-8"/>
        </w:rPr>
        <w:t xml:space="preserve"> </w:t>
      </w:r>
      <w:r>
        <w:t>are</w:t>
      </w:r>
      <w:r>
        <w:rPr>
          <w:spacing w:val="-8"/>
        </w:rPr>
        <w:t xml:space="preserve"> </w:t>
      </w:r>
      <w:r>
        <w:t>considered</w:t>
      </w:r>
      <w:r>
        <w:rPr>
          <w:spacing w:val="-8"/>
        </w:rPr>
        <w:t xml:space="preserve"> </w:t>
      </w:r>
      <w:r>
        <w:t>ineligible</w:t>
      </w:r>
      <w:r>
        <w:rPr>
          <w:spacing w:val="-8"/>
        </w:rPr>
        <w:t xml:space="preserve"> </w:t>
      </w:r>
      <w:r>
        <w:t>for</w:t>
      </w:r>
      <w:r>
        <w:rPr>
          <w:spacing w:val="-8"/>
        </w:rPr>
        <w:t xml:space="preserve"> </w:t>
      </w:r>
      <w:r>
        <w:t>NAEP. Full-time remote students are enrolled in brick-and-mortar schools but do not attend school in person.</w:t>
      </w:r>
      <w:r>
        <w:rPr>
          <w:spacing w:val="-3"/>
        </w:rPr>
        <w:t xml:space="preserve"> </w:t>
      </w:r>
      <w:r>
        <w:t>They are considered not assessable for NAEP.</w:t>
      </w:r>
    </w:p>
    <w:p w:rsidR="003F5784" w14:paraId="08BF227A" w14:textId="77777777">
      <w:pPr>
        <w:pStyle w:val="BodyText"/>
      </w:pPr>
    </w:p>
    <w:p w:rsidR="003F5784" w14:paraId="279A5892" w14:textId="77777777">
      <w:pPr>
        <w:pStyle w:val="BodyText"/>
        <w:spacing w:before="186"/>
      </w:pPr>
    </w:p>
    <w:p w:rsidR="003F5784" w14:paraId="67449FFE" w14:textId="77777777">
      <w:pPr>
        <w:ind w:left="4822"/>
        <w:rPr>
          <w:sz w:val="18"/>
        </w:rPr>
      </w:pPr>
      <w:hyperlink r:id="rId277">
        <w:r>
          <w:rPr>
            <w:spacing w:val="-2"/>
            <w:w w:val="105"/>
            <w:sz w:val="18"/>
          </w:rPr>
          <w:t>http://nces.ed.gov/nationsreportcard/tdw/sample_design/2022/school_and_student_participation_in_the_2022_state_assessment.aspx</w:t>
        </w:r>
      </w:hyperlink>
    </w:p>
    <w:p w:rsidR="003F5784" w14:paraId="4EBAD400" w14:textId="77777777">
      <w:pPr>
        <w:pStyle w:val="BodyText"/>
        <w:rPr>
          <w:sz w:val="16"/>
        </w:rPr>
      </w:pPr>
      <w:r>
        <w:rPr>
          <w:noProof/>
        </w:rPr>
        <mc:AlternateContent>
          <mc:Choice Requires="wps">
            <w:drawing>
              <wp:anchor distT="0" distB="0" distL="0" distR="0" simplePos="0" relativeHeight="251925504" behindDoc="1" locked="0" layoutInCell="1" allowOverlap="1">
                <wp:simplePos x="0" y="0"/>
                <wp:positionH relativeFrom="page">
                  <wp:posOffset>361937</wp:posOffset>
                </wp:positionH>
                <wp:positionV relativeFrom="paragraph">
                  <wp:posOffset>132507</wp:posOffset>
                </wp:positionV>
                <wp:extent cx="9339580" cy="8890"/>
                <wp:effectExtent l="0" t="0" r="0" b="0"/>
                <wp:wrapTopAndBottom/>
                <wp:docPr id="351" name="Graphic 351"/>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67"/>
                              </a:lnTo>
                              <a:lnTo>
                                <a:pt x="9335110" y="8293"/>
                              </a:lnTo>
                              <a:lnTo>
                                <a:pt x="9338970" y="8293"/>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351" o:spid="_x0000_s1136" style="width:735.4pt;height:0.7pt;margin-top:10.45pt;margin-left:28.5pt;mso-position-horizontal-relative:page;mso-wrap-distance-bottom:0;mso-wrap-distance-left:0;mso-wrap-distance-right:0;mso-wrap-distance-top:0;mso-wrap-style:square;position:absolute;visibility:visible;v-text-anchor:top;z-index:-251389952" coordsize="9339580,8890" path="m9338970,12l9335110,12l8280,12,,,,8267l9335110,8293l9338970,8293l9338970,12xe" fillcolor="gray" stroked="f">
                <v:path arrowok="t"/>
                <w10:wrap type="topAndBottom"/>
              </v:shape>
            </w:pict>
          </mc:Fallback>
        </mc:AlternateContent>
      </w:r>
    </w:p>
    <w:p w:rsidR="003F5784" w14:paraId="7063E016" w14:textId="77777777">
      <w:pPr>
        <w:pStyle w:val="BodyText"/>
        <w:rPr>
          <w:sz w:val="18"/>
        </w:rPr>
      </w:pPr>
    </w:p>
    <w:p w:rsidR="003F5784" w14:paraId="42988EE6" w14:textId="77777777">
      <w:pPr>
        <w:pStyle w:val="BodyText"/>
        <w:spacing w:before="193"/>
        <w:rPr>
          <w:sz w:val="18"/>
        </w:rPr>
      </w:pPr>
    </w:p>
    <w:p w:rsidR="003F5784" w14:paraId="71AEDE66" w14:textId="77777777">
      <w:pPr>
        <w:pStyle w:val="Heading1"/>
        <w:spacing w:line="244" w:lineRule="auto"/>
        <w:ind w:right="1264"/>
      </w:pPr>
      <w:r>
        <w:t>NAEP</w:t>
      </w:r>
      <w:r>
        <w:rPr>
          <w:spacing w:val="-16"/>
        </w:rPr>
        <w:t xml:space="preserve"> </w:t>
      </w:r>
      <w:r>
        <w:t>Technical Documentation Weighted Response Rates of Eighth-Grade School</w:t>
      </w:r>
      <w:r>
        <w:rPr>
          <w:spacing w:val="40"/>
        </w:rPr>
        <w:t xml:space="preserve"> </w:t>
      </w:r>
      <w:r>
        <w:t>Sample</w:t>
      </w:r>
      <w:r>
        <w:rPr>
          <w:spacing w:val="40"/>
        </w:rPr>
        <w:t xml:space="preserve"> </w:t>
      </w:r>
      <w:r>
        <w:t>by</w:t>
      </w:r>
      <w:r>
        <w:rPr>
          <w:spacing w:val="40"/>
        </w:rPr>
        <w:t xml:space="preserve"> </w:t>
      </w:r>
      <w:r>
        <w:t>Participating</w:t>
      </w:r>
      <w:r>
        <w:rPr>
          <w:spacing w:val="40"/>
        </w:rPr>
        <w:t xml:space="preserve"> </w:t>
      </w:r>
      <w:r>
        <w:t>Jurisdiction</w:t>
      </w:r>
      <w:r>
        <w:rPr>
          <w:spacing w:val="40"/>
        </w:rPr>
        <w:t xml:space="preserve"> </w:t>
      </w:r>
      <w:r>
        <w:t>for the</w:t>
      </w:r>
      <w:r>
        <w:rPr>
          <w:spacing w:val="40"/>
        </w:rPr>
        <w:t xml:space="preserve"> </w:t>
      </w:r>
      <w:r>
        <w:t>2022</w:t>
      </w:r>
      <w:r>
        <w:rPr>
          <w:spacing w:val="40"/>
        </w:rPr>
        <w:t xml:space="preserve"> </w:t>
      </w:r>
      <w:r>
        <w:t>State Assessment</w:t>
      </w:r>
    </w:p>
    <w:p w:rsidR="003F5784" w14:paraId="5C96EEE2" w14:textId="77777777">
      <w:pPr>
        <w:spacing w:line="244" w:lineRule="auto"/>
        <w:sectPr>
          <w:pgSz w:w="15840" w:h="12240" w:orient="landscape"/>
          <w:pgMar w:top="480" w:right="440" w:bottom="460" w:left="460" w:header="284" w:footer="275" w:gutter="0"/>
          <w:cols w:space="720"/>
        </w:sectPr>
      </w:pPr>
    </w:p>
    <w:p w:rsidR="003F5784" w14:paraId="25572972" w14:textId="77777777">
      <w:pPr>
        <w:pStyle w:val="BodyText"/>
        <w:spacing w:before="78" w:line="232" w:lineRule="auto"/>
        <w:ind w:left="109" w:right="179"/>
      </w:pPr>
      <w:r>
        <w:t>The</w:t>
      </w:r>
      <w:r>
        <w:rPr>
          <w:spacing w:val="-7"/>
        </w:rPr>
        <w:t xml:space="preserve"> </w:t>
      </w:r>
      <w:r>
        <w:t>following</w:t>
      </w:r>
      <w:r>
        <w:rPr>
          <w:spacing w:val="-7"/>
        </w:rPr>
        <w:t xml:space="preserve"> </w:t>
      </w:r>
      <w:r>
        <w:t>table</w:t>
      </w:r>
      <w:r>
        <w:rPr>
          <w:spacing w:val="-7"/>
        </w:rPr>
        <w:t xml:space="preserve"> </w:t>
      </w:r>
      <w:r>
        <w:t>presents</w:t>
      </w:r>
      <w:r>
        <w:rPr>
          <w:spacing w:val="-7"/>
        </w:rPr>
        <w:t xml:space="preserve"> </w:t>
      </w:r>
      <w:r>
        <w:t>unweighted</w:t>
      </w:r>
      <w:r>
        <w:rPr>
          <w:spacing w:val="-7"/>
        </w:rPr>
        <w:t xml:space="preserve"> </w:t>
      </w:r>
      <w:r>
        <w:t>counts</w:t>
      </w:r>
      <w:r>
        <w:rPr>
          <w:spacing w:val="-7"/>
        </w:rPr>
        <w:t xml:space="preserve"> </w:t>
      </w:r>
      <w:r>
        <w:t>of</w:t>
      </w:r>
      <w:r>
        <w:rPr>
          <w:spacing w:val="-7"/>
        </w:rPr>
        <w:t xml:space="preserve"> </w:t>
      </w:r>
      <w:r>
        <w:t>eligible</w:t>
      </w:r>
      <w:r>
        <w:rPr>
          <w:spacing w:val="-7"/>
        </w:rPr>
        <w:t xml:space="preserve"> </w:t>
      </w:r>
      <w:r>
        <w:t>sampled</w:t>
      </w:r>
      <w:r>
        <w:rPr>
          <w:spacing w:val="-7"/>
        </w:rPr>
        <w:t xml:space="preserve"> </w:t>
      </w:r>
      <w:r>
        <w:t>and</w:t>
      </w:r>
      <w:r>
        <w:rPr>
          <w:spacing w:val="-7"/>
        </w:rPr>
        <w:t xml:space="preserve"> </w:t>
      </w:r>
      <w:r>
        <w:t>participating</w:t>
      </w:r>
      <w:r>
        <w:rPr>
          <w:spacing w:val="-7"/>
        </w:rPr>
        <w:t xml:space="preserve"> </w:t>
      </w:r>
      <w:r>
        <w:t>schools</w:t>
      </w:r>
      <w:r>
        <w:rPr>
          <w:spacing w:val="-7"/>
        </w:rPr>
        <w:t xml:space="preserve"> </w:t>
      </w:r>
      <w:r>
        <w:t>and</w:t>
      </w:r>
      <w:r>
        <w:rPr>
          <w:spacing w:val="-7"/>
        </w:rPr>
        <w:t xml:space="preserve"> </w:t>
      </w:r>
      <w:r>
        <w:t>weighted</w:t>
      </w:r>
      <w:r>
        <w:rPr>
          <w:spacing w:val="-7"/>
        </w:rPr>
        <w:t xml:space="preserve"> </w:t>
      </w:r>
      <w:r>
        <w:t>school</w:t>
      </w:r>
      <w:r>
        <w:rPr>
          <w:spacing w:val="-7"/>
        </w:rPr>
        <w:t xml:space="preserve"> </w:t>
      </w:r>
      <w:r>
        <w:t>response</w:t>
      </w:r>
      <w:r>
        <w:rPr>
          <w:spacing w:val="-7"/>
        </w:rPr>
        <w:t xml:space="preserve"> </w:t>
      </w:r>
      <w:r>
        <w:t>rates,</w:t>
      </w:r>
      <w:r>
        <w:rPr>
          <w:spacing w:val="-7"/>
        </w:rPr>
        <w:t xml:space="preserve"> </w:t>
      </w:r>
      <w:r>
        <w:t>by</w:t>
      </w:r>
      <w:r>
        <w:rPr>
          <w:spacing w:val="-7"/>
        </w:rPr>
        <w:t xml:space="preserve"> </w:t>
      </w:r>
      <w:r>
        <w:t>participating</w:t>
      </w:r>
      <w:r>
        <w:rPr>
          <w:spacing w:val="-7"/>
        </w:rPr>
        <w:t xml:space="preserve"> </w:t>
      </w:r>
      <w:r>
        <w:t>jurisdiction,</w:t>
      </w:r>
      <w:r>
        <w:rPr>
          <w:spacing w:val="-7"/>
        </w:rPr>
        <w:t xml:space="preserve"> </w:t>
      </w:r>
      <w:r>
        <w:t>for</w:t>
      </w:r>
      <w:r>
        <w:rPr>
          <w:spacing w:val="-7"/>
        </w:rPr>
        <w:t xml:space="preserve"> </w:t>
      </w:r>
      <w:r>
        <w:t>the</w:t>
      </w:r>
      <w:r>
        <w:rPr>
          <w:spacing w:val="-7"/>
        </w:rPr>
        <w:t xml:space="preserve"> </w:t>
      </w:r>
      <w:r>
        <w:t>eighth- grade public school state assessment sample. States with</w:t>
      </w:r>
      <w:r>
        <w:rPr>
          <w:spacing w:val="-3"/>
        </w:rPr>
        <w:t xml:space="preserve"> </w:t>
      </w:r>
      <w:r>
        <w:rPr>
          <w:color w:val="0066CC"/>
        </w:rPr>
        <w:t>Trial Urban District</w:t>
      </w:r>
      <w:r>
        <w:rPr>
          <w:color w:val="0066CC"/>
          <w:spacing w:val="-11"/>
        </w:rPr>
        <w:t xml:space="preserve"> </w:t>
      </w:r>
      <w:r>
        <w:rPr>
          <w:color w:val="0066CC"/>
        </w:rPr>
        <w:t xml:space="preserve">Assessment (TUDA) </w:t>
      </w:r>
      <w:r>
        <w:t>districts are shown in multiple rows: for the</w:t>
      </w:r>
      <w:r>
        <w:rPr>
          <w:spacing w:val="-3"/>
        </w:rPr>
        <w:t xml:space="preserve"> </w:t>
      </w:r>
      <w:r>
        <w:t>TUDA</w:t>
      </w:r>
      <w:r>
        <w:rPr>
          <w:spacing w:val="-11"/>
        </w:rPr>
        <w:t xml:space="preserve"> </w:t>
      </w:r>
      <w:r>
        <w:t>district(s) and for the state as a whole (the TUDA</w:t>
      </w:r>
      <w:r>
        <w:rPr>
          <w:spacing w:val="-4"/>
        </w:rPr>
        <w:t xml:space="preserve"> </w:t>
      </w:r>
      <w:r>
        <w:t>district[s] plus the rest of the state).</w:t>
      </w:r>
    </w:p>
    <w:p w:rsidR="003F5784" w14:paraId="1BDDCFFC" w14:textId="77777777">
      <w:pPr>
        <w:pStyle w:val="BodyText"/>
        <w:spacing w:before="210" w:line="232" w:lineRule="auto"/>
        <w:ind w:left="109" w:right="318"/>
      </w:pPr>
      <w:r>
        <w:t>A</w:t>
      </w:r>
      <w:r>
        <w:rPr>
          <w:spacing w:val="-14"/>
        </w:rPr>
        <w:t xml:space="preserve"> </w:t>
      </w:r>
      <w:r>
        <w:t>weighted</w:t>
      </w:r>
      <w:r>
        <w:rPr>
          <w:spacing w:val="-8"/>
        </w:rPr>
        <w:t xml:space="preserve"> </w:t>
      </w:r>
      <w:r>
        <w:t>school</w:t>
      </w:r>
      <w:r>
        <w:rPr>
          <w:spacing w:val="-6"/>
        </w:rPr>
        <w:t xml:space="preserve"> </w:t>
      </w:r>
      <w:r>
        <w:t>response</w:t>
      </w:r>
      <w:r>
        <w:rPr>
          <w:spacing w:val="-6"/>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6"/>
        </w:rPr>
        <w:t xml:space="preserve"> </w:t>
      </w:r>
      <w:r>
        <w:t>of</w:t>
      </w:r>
      <w:r>
        <w:rPr>
          <w:spacing w:val="-6"/>
        </w:rPr>
        <w:t xml:space="preserve"> </w:t>
      </w:r>
      <w:r>
        <w:t>the</w:t>
      </w:r>
      <w:r>
        <w:rPr>
          <w:spacing w:val="-6"/>
        </w:rPr>
        <w:t xml:space="preserve"> </w:t>
      </w:r>
      <w:r>
        <w:t>student</w:t>
      </w:r>
      <w:r>
        <w:rPr>
          <w:spacing w:val="-6"/>
        </w:rPr>
        <w:t xml:space="preserve"> </w:t>
      </w:r>
      <w:r>
        <w:t>population</w:t>
      </w:r>
      <w:r>
        <w:rPr>
          <w:spacing w:val="-6"/>
        </w:rPr>
        <w:t xml:space="preserve"> </w:t>
      </w:r>
      <w:r>
        <w:t>that</w:t>
      </w:r>
      <w:r>
        <w:rPr>
          <w:spacing w:val="-6"/>
        </w:rPr>
        <w:t xml:space="preserve"> </w:t>
      </w:r>
      <w:r>
        <w:t>is</w:t>
      </w:r>
      <w:r>
        <w:rPr>
          <w:spacing w:val="-6"/>
        </w:rPr>
        <w:t xml:space="preserve"> </w:t>
      </w:r>
      <w:r>
        <w:t>directly</w:t>
      </w:r>
      <w:r>
        <w:rPr>
          <w:spacing w:val="-6"/>
        </w:rPr>
        <w:t xml:space="preserve"> </w:t>
      </w:r>
      <w:r>
        <w:t>represented</w:t>
      </w:r>
      <w:r>
        <w:rPr>
          <w:spacing w:val="-6"/>
        </w:rPr>
        <w:t xml:space="preserve"> </w:t>
      </w:r>
      <w:r>
        <w:t>by</w:t>
      </w:r>
      <w:r>
        <w:rPr>
          <w:spacing w:val="-6"/>
        </w:rPr>
        <w:t xml:space="preserve"> </w:t>
      </w:r>
      <w:r>
        <w:t>the</w:t>
      </w:r>
      <w:r>
        <w:rPr>
          <w:spacing w:val="-6"/>
        </w:rPr>
        <w:t xml:space="preserve"> </w:t>
      </w:r>
      <w:r>
        <w:t>participating</w:t>
      </w:r>
      <w:r>
        <w:rPr>
          <w:spacing w:val="-6"/>
        </w:rPr>
        <w:t xml:space="preserve"> </w:t>
      </w:r>
      <w:r>
        <w:t>school</w:t>
      </w:r>
      <w:r>
        <w:rPr>
          <w:spacing w:val="-6"/>
        </w:rPr>
        <w:t xml:space="preserve"> </w:t>
      </w:r>
      <w:r>
        <w:t>sample.</w:t>
      </w:r>
      <w:r>
        <w:rPr>
          <w:spacing w:val="-10"/>
        </w:rPr>
        <w:t xml:space="preserve"> </w:t>
      </w:r>
      <w:r>
        <w:t>These</w:t>
      </w:r>
      <w:r>
        <w:rPr>
          <w:spacing w:val="-6"/>
        </w:rPr>
        <w:t xml:space="preserve"> </w:t>
      </w:r>
      <w:r>
        <w:t>response</w:t>
      </w:r>
      <w:r>
        <w:rPr>
          <w:spacing w:val="-6"/>
        </w:rPr>
        <w:t xml:space="preserve"> </w:t>
      </w:r>
      <w:r>
        <w:t>rates</w:t>
      </w:r>
      <w:r>
        <w:rPr>
          <w:spacing w:val="-6"/>
        </w:rPr>
        <w:t xml:space="preserve"> </w:t>
      </w:r>
      <w:r>
        <w:t>are based on the original sample of schools (excluding substitutes).</w:t>
      </w:r>
    </w:p>
    <w:p w:rsidR="003F5784" w14:paraId="2780BAA9" w14:textId="77777777">
      <w:pPr>
        <w:pStyle w:val="BodyText"/>
        <w:spacing w:before="92"/>
      </w:pPr>
    </w:p>
    <w:p w:rsidR="003F5784" w14:paraId="10859D25" w14:textId="77777777">
      <w:pPr>
        <w:pStyle w:val="Heading2"/>
        <w:ind w:left="109"/>
      </w:pPr>
      <w:r>
        <w:t>Eligible</w:t>
      </w:r>
      <w:r>
        <w:rPr>
          <w:spacing w:val="-9"/>
        </w:rPr>
        <w:t xml:space="preserve"> </w:t>
      </w:r>
      <w:r>
        <w:t>and</w:t>
      </w:r>
      <w:r>
        <w:rPr>
          <w:spacing w:val="-8"/>
        </w:rPr>
        <w:t xml:space="preserve"> </w:t>
      </w:r>
      <w:r>
        <w:t>participating</w:t>
      </w:r>
      <w:r>
        <w:rPr>
          <w:spacing w:val="-8"/>
        </w:rPr>
        <w:t xml:space="preserve"> </w:t>
      </w:r>
      <w:r>
        <w:t>school</w:t>
      </w:r>
      <w:r>
        <w:rPr>
          <w:spacing w:val="-8"/>
        </w:rPr>
        <w:t xml:space="preserve"> </w:t>
      </w:r>
      <w:r>
        <w:t>counts</w:t>
      </w:r>
      <w:r>
        <w:rPr>
          <w:spacing w:val="-8"/>
        </w:rPr>
        <w:t xml:space="preserve"> </w:t>
      </w:r>
      <w:r>
        <w:t>and</w:t>
      </w:r>
      <w:r>
        <w:rPr>
          <w:spacing w:val="-8"/>
        </w:rPr>
        <w:t xml:space="preserve"> </w:t>
      </w:r>
      <w:r>
        <w:t>weighted</w:t>
      </w:r>
      <w:r>
        <w:rPr>
          <w:spacing w:val="-8"/>
        </w:rPr>
        <w:t xml:space="preserve"> </w:t>
      </w:r>
      <w:r>
        <w:t>school</w:t>
      </w:r>
      <w:r>
        <w:rPr>
          <w:spacing w:val="-9"/>
        </w:rPr>
        <w:t xml:space="preserve"> </w:t>
      </w:r>
      <w:r>
        <w:t>response</w:t>
      </w:r>
      <w:r>
        <w:rPr>
          <w:spacing w:val="-8"/>
        </w:rPr>
        <w:t xml:space="preserve"> </w:t>
      </w:r>
      <w:r>
        <w:t>rates</w:t>
      </w:r>
      <w:r>
        <w:rPr>
          <w:spacing w:val="-8"/>
        </w:rPr>
        <w:t xml:space="preserve"> </w:t>
      </w:r>
      <w:r>
        <w:t>for</w:t>
      </w:r>
      <w:r>
        <w:rPr>
          <w:spacing w:val="-11"/>
        </w:rPr>
        <w:t xml:space="preserve"> </w:t>
      </w:r>
      <w:r>
        <w:t>eighth-grade</w:t>
      </w:r>
      <w:r>
        <w:rPr>
          <w:spacing w:val="-9"/>
        </w:rPr>
        <w:t xml:space="preserve"> </w:t>
      </w:r>
      <w:r>
        <w:t>mathematics</w:t>
      </w:r>
      <w:r>
        <w:rPr>
          <w:spacing w:val="-8"/>
        </w:rPr>
        <w:t xml:space="preserve"> </w:t>
      </w:r>
      <w:r>
        <w:t>and</w:t>
      </w:r>
      <w:r>
        <w:rPr>
          <w:spacing w:val="-8"/>
        </w:rPr>
        <w:t xml:space="preserve"> </w:t>
      </w:r>
      <w:r>
        <w:t>reading</w:t>
      </w:r>
      <w:r>
        <w:rPr>
          <w:spacing w:val="-8"/>
        </w:rPr>
        <w:t xml:space="preserve"> </w:t>
      </w:r>
      <w:r>
        <w:t>state</w:t>
      </w:r>
      <w:r>
        <w:rPr>
          <w:spacing w:val="-8"/>
        </w:rPr>
        <w:t xml:space="preserve"> </w:t>
      </w:r>
      <w:r>
        <w:t>assessments,</w:t>
      </w:r>
      <w:r>
        <w:rPr>
          <w:spacing w:val="-8"/>
        </w:rPr>
        <w:t xml:space="preserve"> </w:t>
      </w:r>
      <w:r>
        <w:t>by</w:t>
      </w:r>
      <w:r>
        <w:rPr>
          <w:spacing w:val="-8"/>
        </w:rPr>
        <w:t xml:space="preserve"> </w:t>
      </w:r>
      <w:r>
        <w:t>jurisdiction:</w:t>
      </w:r>
      <w:r>
        <w:rPr>
          <w:spacing w:val="-9"/>
        </w:rPr>
        <w:t xml:space="preserve"> </w:t>
      </w:r>
      <w:r>
        <w:rPr>
          <w:spacing w:val="-4"/>
        </w:rPr>
        <w:t>2022</w:t>
      </w:r>
    </w:p>
    <w:p w:rsidR="003F5784" w14:paraId="70EA4D4F" w14:textId="77777777">
      <w:pPr>
        <w:pStyle w:val="BodyText"/>
        <w:spacing w:before="10"/>
        <w:rPr>
          <w:b/>
          <w:sz w:val="11"/>
        </w:rPr>
      </w:pPr>
    </w:p>
    <w:tbl>
      <w:tblPr>
        <w:tblW w:w="0" w:type="auto"/>
        <w:tblInd w:w="117" w:type="dxa"/>
        <w:tblLayout w:type="fixed"/>
        <w:tblCellMar>
          <w:left w:w="0" w:type="dxa"/>
          <w:right w:w="0" w:type="dxa"/>
        </w:tblCellMar>
        <w:tblLook w:val="01E0"/>
      </w:tblPr>
      <w:tblGrid>
        <w:gridCol w:w="3796"/>
        <w:gridCol w:w="4334"/>
        <w:gridCol w:w="2927"/>
        <w:gridCol w:w="3649"/>
      </w:tblGrid>
      <w:tr w14:paraId="63268F3B" w14:textId="77777777">
        <w:tblPrEx>
          <w:tblW w:w="0" w:type="auto"/>
          <w:tblInd w:w="117" w:type="dxa"/>
          <w:tblLayout w:type="fixed"/>
          <w:tblCellMar>
            <w:left w:w="0" w:type="dxa"/>
            <w:right w:w="0" w:type="dxa"/>
          </w:tblCellMar>
          <w:tblLook w:val="01E0"/>
        </w:tblPrEx>
        <w:trPr>
          <w:trHeight w:val="267"/>
        </w:trPr>
        <w:tc>
          <w:tcPr>
            <w:tcW w:w="3796" w:type="dxa"/>
            <w:tcBorders>
              <w:top w:val="single" w:sz="18" w:space="0" w:color="800000"/>
              <w:bottom w:val="single" w:sz="18" w:space="0" w:color="800000"/>
            </w:tcBorders>
          </w:tcPr>
          <w:p w:rsidR="003F5784" w14:paraId="67A4CABB" w14:textId="77777777">
            <w:pPr>
              <w:pStyle w:val="TableParagraph"/>
              <w:spacing w:before="9" w:line="238" w:lineRule="exact"/>
              <w:ind w:left="117"/>
              <w:jc w:val="left"/>
              <w:rPr>
                <w:sz w:val="21"/>
              </w:rPr>
            </w:pPr>
            <w:r>
              <w:rPr>
                <w:spacing w:val="-2"/>
                <w:sz w:val="21"/>
              </w:rPr>
              <w:t>Jurisdiction</w:t>
            </w:r>
          </w:p>
        </w:tc>
        <w:tc>
          <w:tcPr>
            <w:tcW w:w="4334" w:type="dxa"/>
            <w:tcBorders>
              <w:top w:val="single" w:sz="18" w:space="0" w:color="800000"/>
              <w:bottom w:val="single" w:sz="18" w:space="0" w:color="800000"/>
            </w:tcBorders>
          </w:tcPr>
          <w:p w:rsidR="003F5784" w14:paraId="38024BAA" w14:textId="77777777">
            <w:pPr>
              <w:pStyle w:val="TableParagraph"/>
              <w:spacing w:before="9" w:line="238" w:lineRule="exact"/>
              <w:ind w:right="114"/>
              <w:rPr>
                <w:sz w:val="21"/>
              </w:rPr>
            </w:pPr>
            <w:r>
              <w:rPr>
                <w:sz w:val="21"/>
              </w:rPr>
              <w:t>Number</w:t>
            </w:r>
            <w:r>
              <w:rPr>
                <w:spacing w:val="-7"/>
                <w:sz w:val="21"/>
              </w:rPr>
              <w:t xml:space="preserve"> </w:t>
            </w:r>
            <w:r>
              <w:rPr>
                <w:sz w:val="21"/>
              </w:rPr>
              <w:t>of</w:t>
            </w:r>
            <w:r>
              <w:rPr>
                <w:spacing w:val="-6"/>
                <w:sz w:val="21"/>
              </w:rPr>
              <w:t xml:space="preserve"> </w:t>
            </w:r>
            <w:r>
              <w:rPr>
                <w:sz w:val="21"/>
              </w:rPr>
              <w:t>sampled</w:t>
            </w:r>
            <w:r>
              <w:rPr>
                <w:spacing w:val="-7"/>
                <w:sz w:val="21"/>
              </w:rPr>
              <w:t xml:space="preserve"> </w:t>
            </w:r>
            <w:r>
              <w:rPr>
                <w:sz w:val="21"/>
              </w:rPr>
              <w:t>eligible</w:t>
            </w:r>
            <w:r>
              <w:rPr>
                <w:spacing w:val="-6"/>
                <w:sz w:val="21"/>
              </w:rPr>
              <w:t xml:space="preserve"> </w:t>
            </w:r>
            <w:r>
              <w:rPr>
                <w:spacing w:val="-2"/>
                <w:sz w:val="21"/>
              </w:rPr>
              <w:t>schools</w:t>
            </w:r>
          </w:p>
        </w:tc>
        <w:tc>
          <w:tcPr>
            <w:tcW w:w="2927" w:type="dxa"/>
            <w:tcBorders>
              <w:top w:val="single" w:sz="18" w:space="0" w:color="800000"/>
              <w:bottom w:val="single" w:sz="18" w:space="0" w:color="800000"/>
            </w:tcBorders>
          </w:tcPr>
          <w:p w:rsidR="003F5784" w14:paraId="4B1D8988" w14:textId="77777777">
            <w:pPr>
              <w:pStyle w:val="TableParagraph"/>
              <w:spacing w:before="9" w:line="238" w:lineRule="exact"/>
              <w:ind w:right="114"/>
              <w:rPr>
                <w:sz w:val="21"/>
              </w:rPr>
            </w:pPr>
            <w:r>
              <w:rPr>
                <w:sz w:val="21"/>
              </w:rPr>
              <w:t>Number</w:t>
            </w:r>
            <w:r>
              <w:rPr>
                <w:spacing w:val="-8"/>
                <w:sz w:val="21"/>
              </w:rPr>
              <w:t xml:space="preserve"> </w:t>
            </w:r>
            <w:r>
              <w:rPr>
                <w:sz w:val="21"/>
              </w:rPr>
              <w:t>of</w:t>
            </w:r>
            <w:r>
              <w:rPr>
                <w:spacing w:val="-7"/>
                <w:sz w:val="21"/>
              </w:rPr>
              <w:t xml:space="preserve"> </w:t>
            </w:r>
            <w:r>
              <w:rPr>
                <w:sz w:val="21"/>
              </w:rPr>
              <w:t>participating</w:t>
            </w:r>
            <w:r>
              <w:rPr>
                <w:spacing w:val="-8"/>
                <w:sz w:val="21"/>
              </w:rPr>
              <w:t xml:space="preserve"> </w:t>
            </w:r>
            <w:r>
              <w:rPr>
                <w:spacing w:val="-2"/>
                <w:sz w:val="21"/>
              </w:rPr>
              <w:t>schools</w:t>
            </w:r>
          </w:p>
        </w:tc>
        <w:tc>
          <w:tcPr>
            <w:tcW w:w="3649" w:type="dxa"/>
            <w:tcBorders>
              <w:top w:val="single" w:sz="18" w:space="0" w:color="800000"/>
              <w:bottom w:val="single" w:sz="18" w:space="0" w:color="800000"/>
            </w:tcBorders>
          </w:tcPr>
          <w:p w:rsidR="003F5784" w14:paraId="4731F8E7" w14:textId="77777777">
            <w:pPr>
              <w:pStyle w:val="TableParagraph"/>
              <w:spacing w:before="9" w:line="238" w:lineRule="exact"/>
              <w:ind w:right="106"/>
              <w:rPr>
                <w:sz w:val="21"/>
              </w:rPr>
            </w:pPr>
            <w:r>
              <w:rPr>
                <w:sz w:val="21"/>
              </w:rPr>
              <w:t>Weighted</w:t>
            </w:r>
            <w:r>
              <w:rPr>
                <w:spacing w:val="-12"/>
                <w:sz w:val="21"/>
              </w:rPr>
              <w:t xml:space="preserve"> </w:t>
            </w:r>
            <w:r>
              <w:rPr>
                <w:sz w:val="21"/>
              </w:rPr>
              <w:t>school</w:t>
            </w:r>
            <w:r>
              <w:rPr>
                <w:spacing w:val="-11"/>
                <w:sz w:val="21"/>
              </w:rPr>
              <w:t xml:space="preserve"> </w:t>
            </w:r>
            <w:r>
              <w:rPr>
                <w:sz w:val="21"/>
              </w:rPr>
              <w:t>response</w:t>
            </w:r>
            <w:r>
              <w:rPr>
                <w:spacing w:val="-12"/>
                <w:sz w:val="21"/>
              </w:rPr>
              <w:t xml:space="preserve"> </w:t>
            </w:r>
            <w:r>
              <w:rPr>
                <w:sz w:val="21"/>
              </w:rPr>
              <w:t>rates</w:t>
            </w:r>
            <w:r>
              <w:rPr>
                <w:spacing w:val="-11"/>
                <w:sz w:val="21"/>
              </w:rPr>
              <w:t xml:space="preserve"> </w:t>
            </w:r>
            <w:r>
              <w:rPr>
                <w:spacing w:val="-2"/>
                <w:sz w:val="21"/>
              </w:rPr>
              <w:t>(percent)</w:t>
            </w:r>
          </w:p>
        </w:tc>
      </w:tr>
      <w:tr w14:paraId="76B1AF42" w14:textId="77777777">
        <w:tblPrEx>
          <w:tblW w:w="0" w:type="auto"/>
          <w:tblInd w:w="117" w:type="dxa"/>
          <w:tblLayout w:type="fixed"/>
          <w:tblCellMar>
            <w:left w:w="0" w:type="dxa"/>
            <w:right w:w="0" w:type="dxa"/>
          </w:tblCellMar>
          <w:tblLook w:val="01E0"/>
        </w:tblPrEx>
        <w:trPr>
          <w:trHeight w:val="278"/>
        </w:trPr>
        <w:tc>
          <w:tcPr>
            <w:tcW w:w="3796" w:type="dxa"/>
            <w:tcBorders>
              <w:top w:val="single" w:sz="18" w:space="0" w:color="800000"/>
            </w:tcBorders>
          </w:tcPr>
          <w:p w:rsidR="003F5784" w14:paraId="5951B80D" w14:textId="77777777">
            <w:pPr>
              <w:pStyle w:val="TableParagraph"/>
              <w:spacing w:before="9"/>
              <w:ind w:left="572"/>
              <w:jc w:val="left"/>
              <w:rPr>
                <w:b/>
                <w:sz w:val="21"/>
              </w:rPr>
            </w:pPr>
            <w:r>
              <w:rPr>
                <w:b/>
                <w:spacing w:val="-2"/>
                <w:sz w:val="21"/>
              </w:rPr>
              <w:t>Total</w:t>
            </w:r>
          </w:p>
        </w:tc>
        <w:tc>
          <w:tcPr>
            <w:tcW w:w="4334" w:type="dxa"/>
            <w:tcBorders>
              <w:top w:val="single" w:sz="18" w:space="0" w:color="800000"/>
            </w:tcBorders>
          </w:tcPr>
          <w:p w:rsidR="003F5784" w14:paraId="2F0EC0F6" w14:textId="77777777">
            <w:pPr>
              <w:pStyle w:val="TableParagraph"/>
              <w:spacing w:before="9"/>
              <w:ind w:right="114"/>
              <w:rPr>
                <w:b/>
                <w:sz w:val="21"/>
              </w:rPr>
            </w:pPr>
            <w:r>
              <w:rPr>
                <w:b/>
                <w:spacing w:val="-2"/>
                <w:sz w:val="21"/>
              </w:rPr>
              <w:t>5,250</w:t>
            </w:r>
          </w:p>
        </w:tc>
        <w:tc>
          <w:tcPr>
            <w:tcW w:w="2927" w:type="dxa"/>
            <w:tcBorders>
              <w:top w:val="single" w:sz="18" w:space="0" w:color="800000"/>
            </w:tcBorders>
          </w:tcPr>
          <w:p w:rsidR="003F5784" w14:paraId="640D68F8" w14:textId="77777777">
            <w:pPr>
              <w:pStyle w:val="TableParagraph"/>
              <w:spacing w:before="9"/>
              <w:ind w:right="114"/>
              <w:rPr>
                <w:b/>
                <w:sz w:val="21"/>
              </w:rPr>
            </w:pPr>
            <w:r>
              <w:rPr>
                <w:b/>
                <w:spacing w:val="-2"/>
                <w:sz w:val="21"/>
              </w:rPr>
              <w:t>5,220</w:t>
            </w:r>
          </w:p>
        </w:tc>
        <w:tc>
          <w:tcPr>
            <w:tcW w:w="3649" w:type="dxa"/>
            <w:tcBorders>
              <w:top w:val="single" w:sz="18" w:space="0" w:color="800000"/>
            </w:tcBorders>
          </w:tcPr>
          <w:p w:rsidR="003F5784" w14:paraId="7180D67F" w14:textId="77777777">
            <w:pPr>
              <w:pStyle w:val="TableParagraph"/>
              <w:spacing w:before="9"/>
              <w:ind w:right="106"/>
              <w:rPr>
                <w:b/>
                <w:sz w:val="21"/>
              </w:rPr>
            </w:pPr>
            <w:r>
              <w:rPr>
                <w:b/>
                <w:spacing w:val="-2"/>
                <w:sz w:val="21"/>
              </w:rPr>
              <w:t>99.60</w:t>
            </w:r>
          </w:p>
        </w:tc>
      </w:tr>
      <w:tr w14:paraId="229F1FF0" w14:textId="77777777">
        <w:tblPrEx>
          <w:tblW w:w="0" w:type="auto"/>
          <w:tblInd w:w="117" w:type="dxa"/>
          <w:tblLayout w:type="fixed"/>
          <w:tblCellMar>
            <w:left w:w="0" w:type="dxa"/>
            <w:right w:w="0" w:type="dxa"/>
          </w:tblCellMar>
          <w:tblLook w:val="01E0"/>
        </w:tblPrEx>
        <w:trPr>
          <w:trHeight w:val="286"/>
        </w:trPr>
        <w:tc>
          <w:tcPr>
            <w:tcW w:w="3796" w:type="dxa"/>
          </w:tcPr>
          <w:p w:rsidR="003F5784" w14:paraId="199D7130" w14:textId="77777777">
            <w:pPr>
              <w:pStyle w:val="TableParagraph"/>
              <w:ind w:left="117"/>
              <w:jc w:val="left"/>
              <w:rPr>
                <w:sz w:val="21"/>
              </w:rPr>
            </w:pPr>
            <w:r>
              <w:rPr>
                <w:spacing w:val="-2"/>
                <w:sz w:val="21"/>
              </w:rPr>
              <w:t>Alabama</w:t>
            </w:r>
          </w:p>
        </w:tc>
        <w:tc>
          <w:tcPr>
            <w:tcW w:w="4334" w:type="dxa"/>
          </w:tcPr>
          <w:p w:rsidR="003F5784" w14:paraId="480BFBCE" w14:textId="77777777">
            <w:pPr>
              <w:pStyle w:val="TableParagraph"/>
              <w:ind w:right="114"/>
              <w:rPr>
                <w:sz w:val="21"/>
              </w:rPr>
            </w:pPr>
            <w:r>
              <w:rPr>
                <w:spacing w:val="-5"/>
                <w:sz w:val="21"/>
              </w:rPr>
              <w:t>90</w:t>
            </w:r>
          </w:p>
        </w:tc>
        <w:tc>
          <w:tcPr>
            <w:tcW w:w="2927" w:type="dxa"/>
          </w:tcPr>
          <w:p w:rsidR="003F5784" w14:paraId="0EC7DE9D" w14:textId="77777777">
            <w:pPr>
              <w:pStyle w:val="TableParagraph"/>
              <w:ind w:right="114"/>
              <w:rPr>
                <w:sz w:val="21"/>
              </w:rPr>
            </w:pPr>
            <w:r>
              <w:rPr>
                <w:spacing w:val="-5"/>
                <w:sz w:val="21"/>
              </w:rPr>
              <w:t>90</w:t>
            </w:r>
          </w:p>
        </w:tc>
        <w:tc>
          <w:tcPr>
            <w:tcW w:w="3649" w:type="dxa"/>
          </w:tcPr>
          <w:p w:rsidR="003F5784" w14:paraId="24B3D92B" w14:textId="77777777">
            <w:pPr>
              <w:pStyle w:val="TableParagraph"/>
              <w:ind w:right="106"/>
              <w:rPr>
                <w:sz w:val="21"/>
              </w:rPr>
            </w:pPr>
            <w:r>
              <w:rPr>
                <w:spacing w:val="-2"/>
                <w:sz w:val="21"/>
              </w:rPr>
              <w:t>100.00</w:t>
            </w:r>
          </w:p>
        </w:tc>
      </w:tr>
      <w:tr w14:paraId="51EBECE5" w14:textId="77777777">
        <w:tblPrEx>
          <w:tblW w:w="0" w:type="auto"/>
          <w:tblInd w:w="117" w:type="dxa"/>
          <w:tblLayout w:type="fixed"/>
          <w:tblCellMar>
            <w:left w:w="0" w:type="dxa"/>
            <w:right w:w="0" w:type="dxa"/>
          </w:tblCellMar>
          <w:tblLook w:val="01E0"/>
        </w:tblPrEx>
        <w:trPr>
          <w:trHeight w:val="286"/>
        </w:trPr>
        <w:tc>
          <w:tcPr>
            <w:tcW w:w="3796" w:type="dxa"/>
          </w:tcPr>
          <w:p w:rsidR="003F5784" w14:paraId="4D990172" w14:textId="77777777">
            <w:pPr>
              <w:pStyle w:val="TableParagraph"/>
              <w:ind w:left="117"/>
              <w:jc w:val="left"/>
              <w:rPr>
                <w:sz w:val="21"/>
              </w:rPr>
            </w:pPr>
            <w:r>
              <w:rPr>
                <w:spacing w:val="-2"/>
                <w:sz w:val="21"/>
              </w:rPr>
              <w:t>Alaska</w:t>
            </w:r>
          </w:p>
        </w:tc>
        <w:tc>
          <w:tcPr>
            <w:tcW w:w="4334" w:type="dxa"/>
          </w:tcPr>
          <w:p w:rsidR="003F5784" w14:paraId="01D9424B" w14:textId="77777777">
            <w:pPr>
              <w:pStyle w:val="TableParagraph"/>
              <w:ind w:right="114"/>
              <w:rPr>
                <w:sz w:val="21"/>
              </w:rPr>
            </w:pPr>
            <w:r>
              <w:rPr>
                <w:spacing w:val="-5"/>
                <w:sz w:val="21"/>
              </w:rPr>
              <w:t>100</w:t>
            </w:r>
          </w:p>
        </w:tc>
        <w:tc>
          <w:tcPr>
            <w:tcW w:w="2927" w:type="dxa"/>
          </w:tcPr>
          <w:p w:rsidR="003F5784" w14:paraId="06D0DC7D" w14:textId="77777777">
            <w:pPr>
              <w:pStyle w:val="TableParagraph"/>
              <w:ind w:right="114"/>
              <w:rPr>
                <w:sz w:val="21"/>
              </w:rPr>
            </w:pPr>
            <w:r>
              <w:rPr>
                <w:spacing w:val="-5"/>
                <w:sz w:val="21"/>
              </w:rPr>
              <w:t>100</w:t>
            </w:r>
          </w:p>
        </w:tc>
        <w:tc>
          <w:tcPr>
            <w:tcW w:w="3649" w:type="dxa"/>
          </w:tcPr>
          <w:p w:rsidR="003F5784" w14:paraId="15A76575" w14:textId="77777777">
            <w:pPr>
              <w:pStyle w:val="TableParagraph"/>
              <w:ind w:right="106"/>
              <w:rPr>
                <w:sz w:val="21"/>
              </w:rPr>
            </w:pPr>
            <w:r>
              <w:rPr>
                <w:spacing w:val="-2"/>
                <w:sz w:val="21"/>
              </w:rPr>
              <w:t>98.71</w:t>
            </w:r>
          </w:p>
        </w:tc>
      </w:tr>
      <w:tr w14:paraId="722394EC" w14:textId="77777777">
        <w:tblPrEx>
          <w:tblW w:w="0" w:type="auto"/>
          <w:tblInd w:w="117" w:type="dxa"/>
          <w:tblLayout w:type="fixed"/>
          <w:tblCellMar>
            <w:left w:w="0" w:type="dxa"/>
            <w:right w:w="0" w:type="dxa"/>
          </w:tblCellMar>
          <w:tblLook w:val="01E0"/>
        </w:tblPrEx>
        <w:trPr>
          <w:trHeight w:val="286"/>
        </w:trPr>
        <w:tc>
          <w:tcPr>
            <w:tcW w:w="3796" w:type="dxa"/>
          </w:tcPr>
          <w:p w:rsidR="003F5784" w14:paraId="62EBEF02" w14:textId="77777777">
            <w:pPr>
              <w:pStyle w:val="TableParagraph"/>
              <w:ind w:left="117"/>
              <w:jc w:val="left"/>
              <w:rPr>
                <w:sz w:val="21"/>
              </w:rPr>
            </w:pPr>
            <w:r>
              <w:rPr>
                <w:spacing w:val="-2"/>
                <w:sz w:val="21"/>
              </w:rPr>
              <w:t>Arizona</w:t>
            </w:r>
          </w:p>
        </w:tc>
        <w:tc>
          <w:tcPr>
            <w:tcW w:w="4334" w:type="dxa"/>
          </w:tcPr>
          <w:p w:rsidR="003F5784" w14:paraId="103D11C5" w14:textId="77777777">
            <w:pPr>
              <w:pStyle w:val="TableParagraph"/>
              <w:ind w:right="114"/>
              <w:rPr>
                <w:sz w:val="21"/>
              </w:rPr>
            </w:pPr>
            <w:r>
              <w:rPr>
                <w:spacing w:val="-5"/>
                <w:sz w:val="21"/>
              </w:rPr>
              <w:t>90</w:t>
            </w:r>
          </w:p>
        </w:tc>
        <w:tc>
          <w:tcPr>
            <w:tcW w:w="2927" w:type="dxa"/>
          </w:tcPr>
          <w:p w:rsidR="003F5784" w14:paraId="11DF7794" w14:textId="77777777">
            <w:pPr>
              <w:pStyle w:val="TableParagraph"/>
              <w:ind w:right="114"/>
              <w:rPr>
                <w:sz w:val="21"/>
              </w:rPr>
            </w:pPr>
            <w:r>
              <w:rPr>
                <w:spacing w:val="-5"/>
                <w:sz w:val="21"/>
              </w:rPr>
              <w:t>90</w:t>
            </w:r>
          </w:p>
        </w:tc>
        <w:tc>
          <w:tcPr>
            <w:tcW w:w="3649" w:type="dxa"/>
          </w:tcPr>
          <w:p w:rsidR="003F5784" w14:paraId="44FB2768" w14:textId="77777777">
            <w:pPr>
              <w:pStyle w:val="TableParagraph"/>
              <w:ind w:right="106"/>
              <w:rPr>
                <w:sz w:val="21"/>
              </w:rPr>
            </w:pPr>
            <w:r>
              <w:rPr>
                <w:spacing w:val="-2"/>
                <w:sz w:val="21"/>
              </w:rPr>
              <w:t>100.00</w:t>
            </w:r>
          </w:p>
        </w:tc>
      </w:tr>
      <w:tr w14:paraId="2D336176" w14:textId="77777777">
        <w:tblPrEx>
          <w:tblW w:w="0" w:type="auto"/>
          <w:tblInd w:w="117" w:type="dxa"/>
          <w:tblLayout w:type="fixed"/>
          <w:tblCellMar>
            <w:left w:w="0" w:type="dxa"/>
            <w:right w:w="0" w:type="dxa"/>
          </w:tblCellMar>
          <w:tblLook w:val="01E0"/>
        </w:tblPrEx>
        <w:trPr>
          <w:trHeight w:val="286"/>
        </w:trPr>
        <w:tc>
          <w:tcPr>
            <w:tcW w:w="3796" w:type="dxa"/>
          </w:tcPr>
          <w:p w:rsidR="003F5784" w14:paraId="5A152143" w14:textId="77777777">
            <w:pPr>
              <w:pStyle w:val="TableParagraph"/>
              <w:ind w:left="117"/>
              <w:jc w:val="left"/>
              <w:rPr>
                <w:sz w:val="21"/>
              </w:rPr>
            </w:pPr>
            <w:r>
              <w:rPr>
                <w:spacing w:val="-2"/>
                <w:sz w:val="21"/>
              </w:rPr>
              <w:t>Arkansas</w:t>
            </w:r>
          </w:p>
        </w:tc>
        <w:tc>
          <w:tcPr>
            <w:tcW w:w="4334" w:type="dxa"/>
          </w:tcPr>
          <w:p w:rsidR="003F5784" w14:paraId="77A9E72C" w14:textId="77777777">
            <w:pPr>
              <w:pStyle w:val="TableParagraph"/>
              <w:ind w:right="114"/>
              <w:rPr>
                <w:sz w:val="21"/>
              </w:rPr>
            </w:pPr>
            <w:r>
              <w:rPr>
                <w:spacing w:val="-5"/>
                <w:sz w:val="21"/>
              </w:rPr>
              <w:t>90</w:t>
            </w:r>
          </w:p>
        </w:tc>
        <w:tc>
          <w:tcPr>
            <w:tcW w:w="2927" w:type="dxa"/>
          </w:tcPr>
          <w:p w:rsidR="003F5784" w14:paraId="4C166909" w14:textId="77777777">
            <w:pPr>
              <w:pStyle w:val="TableParagraph"/>
              <w:ind w:right="114"/>
              <w:rPr>
                <w:sz w:val="21"/>
              </w:rPr>
            </w:pPr>
            <w:r>
              <w:rPr>
                <w:spacing w:val="-5"/>
                <w:sz w:val="21"/>
              </w:rPr>
              <w:t>90</w:t>
            </w:r>
          </w:p>
        </w:tc>
        <w:tc>
          <w:tcPr>
            <w:tcW w:w="3649" w:type="dxa"/>
          </w:tcPr>
          <w:p w:rsidR="003F5784" w14:paraId="12C86766" w14:textId="77777777">
            <w:pPr>
              <w:pStyle w:val="TableParagraph"/>
              <w:ind w:right="106"/>
              <w:rPr>
                <w:sz w:val="21"/>
              </w:rPr>
            </w:pPr>
            <w:r>
              <w:rPr>
                <w:spacing w:val="-2"/>
                <w:sz w:val="21"/>
              </w:rPr>
              <w:t>100.00</w:t>
            </w:r>
          </w:p>
        </w:tc>
      </w:tr>
      <w:tr w14:paraId="740F827D" w14:textId="77777777">
        <w:tblPrEx>
          <w:tblW w:w="0" w:type="auto"/>
          <w:tblInd w:w="117" w:type="dxa"/>
          <w:tblLayout w:type="fixed"/>
          <w:tblCellMar>
            <w:left w:w="0" w:type="dxa"/>
            <w:right w:w="0" w:type="dxa"/>
          </w:tblCellMar>
          <w:tblLook w:val="01E0"/>
        </w:tblPrEx>
        <w:trPr>
          <w:trHeight w:val="286"/>
        </w:trPr>
        <w:tc>
          <w:tcPr>
            <w:tcW w:w="3796" w:type="dxa"/>
          </w:tcPr>
          <w:p w:rsidR="003F5784" w14:paraId="272EC88E" w14:textId="77777777">
            <w:pPr>
              <w:pStyle w:val="TableParagraph"/>
              <w:ind w:left="117"/>
              <w:jc w:val="left"/>
              <w:rPr>
                <w:sz w:val="21"/>
              </w:rPr>
            </w:pPr>
            <w:r>
              <w:rPr>
                <w:spacing w:val="-2"/>
                <w:sz w:val="21"/>
              </w:rPr>
              <w:t>California–Los</w:t>
            </w:r>
            <w:r>
              <w:rPr>
                <w:spacing w:val="3"/>
                <w:sz w:val="21"/>
              </w:rPr>
              <w:t xml:space="preserve"> </w:t>
            </w:r>
            <w:r>
              <w:rPr>
                <w:spacing w:val="-2"/>
                <w:sz w:val="21"/>
              </w:rPr>
              <w:t>Angeles</w:t>
            </w:r>
          </w:p>
        </w:tc>
        <w:tc>
          <w:tcPr>
            <w:tcW w:w="4334" w:type="dxa"/>
          </w:tcPr>
          <w:p w:rsidR="003F5784" w14:paraId="48D0BD83" w14:textId="77777777">
            <w:pPr>
              <w:pStyle w:val="TableParagraph"/>
              <w:ind w:right="114"/>
              <w:rPr>
                <w:sz w:val="21"/>
              </w:rPr>
            </w:pPr>
            <w:r>
              <w:rPr>
                <w:spacing w:val="-5"/>
                <w:sz w:val="21"/>
              </w:rPr>
              <w:t>60</w:t>
            </w:r>
          </w:p>
        </w:tc>
        <w:tc>
          <w:tcPr>
            <w:tcW w:w="2927" w:type="dxa"/>
          </w:tcPr>
          <w:p w:rsidR="003F5784" w14:paraId="0B0320D6" w14:textId="77777777">
            <w:pPr>
              <w:pStyle w:val="TableParagraph"/>
              <w:ind w:right="114"/>
              <w:rPr>
                <w:sz w:val="21"/>
              </w:rPr>
            </w:pPr>
            <w:r>
              <w:rPr>
                <w:spacing w:val="-5"/>
                <w:sz w:val="21"/>
              </w:rPr>
              <w:t>60</w:t>
            </w:r>
          </w:p>
        </w:tc>
        <w:tc>
          <w:tcPr>
            <w:tcW w:w="3649" w:type="dxa"/>
          </w:tcPr>
          <w:p w:rsidR="003F5784" w14:paraId="120F67D8" w14:textId="77777777">
            <w:pPr>
              <w:pStyle w:val="TableParagraph"/>
              <w:ind w:right="106"/>
              <w:rPr>
                <w:sz w:val="21"/>
              </w:rPr>
            </w:pPr>
            <w:r>
              <w:rPr>
                <w:spacing w:val="-2"/>
                <w:sz w:val="21"/>
              </w:rPr>
              <w:t>100.00</w:t>
            </w:r>
          </w:p>
        </w:tc>
      </w:tr>
      <w:tr w14:paraId="7B7FB031" w14:textId="77777777">
        <w:tblPrEx>
          <w:tblW w:w="0" w:type="auto"/>
          <w:tblInd w:w="117" w:type="dxa"/>
          <w:tblLayout w:type="fixed"/>
          <w:tblCellMar>
            <w:left w:w="0" w:type="dxa"/>
            <w:right w:w="0" w:type="dxa"/>
          </w:tblCellMar>
          <w:tblLook w:val="01E0"/>
        </w:tblPrEx>
        <w:trPr>
          <w:trHeight w:val="286"/>
        </w:trPr>
        <w:tc>
          <w:tcPr>
            <w:tcW w:w="3796" w:type="dxa"/>
          </w:tcPr>
          <w:p w:rsidR="003F5784" w14:paraId="120DD805" w14:textId="77777777">
            <w:pPr>
              <w:pStyle w:val="TableParagraph"/>
              <w:ind w:left="117"/>
              <w:jc w:val="left"/>
              <w:rPr>
                <w:sz w:val="21"/>
              </w:rPr>
            </w:pPr>
            <w:r>
              <w:rPr>
                <w:spacing w:val="-2"/>
                <w:sz w:val="21"/>
              </w:rPr>
              <w:t>California–San</w:t>
            </w:r>
            <w:r>
              <w:rPr>
                <w:spacing w:val="14"/>
                <w:sz w:val="21"/>
              </w:rPr>
              <w:t xml:space="preserve"> </w:t>
            </w:r>
            <w:r>
              <w:rPr>
                <w:spacing w:val="-2"/>
                <w:sz w:val="21"/>
              </w:rPr>
              <w:t>Diego</w:t>
            </w:r>
          </w:p>
        </w:tc>
        <w:tc>
          <w:tcPr>
            <w:tcW w:w="4334" w:type="dxa"/>
          </w:tcPr>
          <w:p w:rsidR="003F5784" w14:paraId="3824ECCB" w14:textId="77777777">
            <w:pPr>
              <w:pStyle w:val="TableParagraph"/>
              <w:ind w:right="114"/>
              <w:rPr>
                <w:sz w:val="21"/>
              </w:rPr>
            </w:pPr>
            <w:r>
              <w:rPr>
                <w:spacing w:val="-5"/>
                <w:sz w:val="21"/>
              </w:rPr>
              <w:t>30</w:t>
            </w:r>
          </w:p>
        </w:tc>
        <w:tc>
          <w:tcPr>
            <w:tcW w:w="2927" w:type="dxa"/>
          </w:tcPr>
          <w:p w:rsidR="003F5784" w14:paraId="7B9CEB54" w14:textId="77777777">
            <w:pPr>
              <w:pStyle w:val="TableParagraph"/>
              <w:ind w:right="114"/>
              <w:rPr>
                <w:sz w:val="21"/>
              </w:rPr>
            </w:pPr>
            <w:r>
              <w:rPr>
                <w:spacing w:val="-5"/>
                <w:sz w:val="21"/>
              </w:rPr>
              <w:t>30</w:t>
            </w:r>
          </w:p>
        </w:tc>
        <w:tc>
          <w:tcPr>
            <w:tcW w:w="3649" w:type="dxa"/>
          </w:tcPr>
          <w:p w:rsidR="003F5784" w14:paraId="4DFCEF93" w14:textId="77777777">
            <w:pPr>
              <w:pStyle w:val="TableParagraph"/>
              <w:ind w:right="106"/>
              <w:rPr>
                <w:sz w:val="21"/>
              </w:rPr>
            </w:pPr>
            <w:r>
              <w:rPr>
                <w:spacing w:val="-2"/>
                <w:sz w:val="21"/>
              </w:rPr>
              <w:t>100.00</w:t>
            </w:r>
          </w:p>
        </w:tc>
      </w:tr>
      <w:tr w14:paraId="63CBBE59" w14:textId="77777777">
        <w:tblPrEx>
          <w:tblW w:w="0" w:type="auto"/>
          <w:tblInd w:w="117" w:type="dxa"/>
          <w:tblLayout w:type="fixed"/>
          <w:tblCellMar>
            <w:left w:w="0" w:type="dxa"/>
            <w:right w:w="0" w:type="dxa"/>
          </w:tblCellMar>
          <w:tblLook w:val="01E0"/>
        </w:tblPrEx>
        <w:trPr>
          <w:trHeight w:val="286"/>
        </w:trPr>
        <w:tc>
          <w:tcPr>
            <w:tcW w:w="3796" w:type="dxa"/>
          </w:tcPr>
          <w:p w:rsidR="003F5784" w14:paraId="6C97472D" w14:textId="77777777">
            <w:pPr>
              <w:pStyle w:val="TableParagraph"/>
              <w:ind w:left="117"/>
              <w:jc w:val="left"/>
              <w:rPr>
                <w:sz w:val="21"/>
              </w:rPr>
            </w:pPr>
            <w:r>
              <w:rPr>
                <w:spacing w:val="-2"/>
                <w:sz w:val="21"/>
              </w:rPr>
              <w:t>California</w:t>
            </w:r>
          </w:p>
        </w:tc>
        <w:tc>
          <w:tcPr>
            <w:tcW w:w="4334" w:type="dxa"/>
          </w:tcPr>
          <w:p w:rsidR="003F5784" w14:paraId="02928176" w14:textId="77777777">
            <w:pPr>
              <w:pStyle w:val="TableParagraph"/>
              <w:ind w:right="114"/>
              <w:rPr>
                <w:sz w:val="21"/>
              </w:rPr>
            </w:pPr>
            <w:r>
              <w:rPr>
                <w:spacing w:val="-5"/>
                <w:sz w:val="21"/>
              </w:rPr>
              <w:t>170</w:t>
            </w:r>
          </w:p>
        </w:tc>
        <w:tc>
          <w:tcPr>
            <w:tcW w:w="2927" w:type="dxa"/>
          </w:tcPr>
          <w:p w:rsidR="003F5784" w14:paraId="497D45F0" w14:textId="77777777">
            <w:pPr>
              <w:pStyle w:val="TableParagraph"/>
              <w:ind w:right="114"/>
              <w:rPr>
                <w:sz w:val="21"/>
              </w:rPr>
            </w:pPr>
            <w:r>
              <w:rPr>
                <w:spacing w:val="-5"/>
                <w:sz w:val="21"/>
              </w:rPr>
              <w:t>170</w:t>
            </w:r>
          </w:p>
        </w:tc>
        <w:tc>
          <w:tcPr>
            <w:tcW w:w="3649" w:type="dxa"/>
          </w:tcPr>
          <w:p w:rsidR="003F5784" w14:paraId="65F0D943" w14:textId="77777777">
            <w:pPr>
              <w:pStyle w:val="TableParagraph"/>
              <w:ind w:right="106"/>
              <w:rPr>
                <w:sz w:val="21"/>
              </w:rPr>
            </w:pPr>
            <w:r>
              <w:rPr>
                <w:spacing w:val="-2"/>
                <w:sz w:val="21"/>
              </w:rPr>
              <w:t>100.00</w:t>
            </w:r>
          </w:p>
        </w:tc>
      </w:tr>
      <w:tr w14:paraId="6BC83522" w14:textId="77777777">
        <w:tblPrEx>
          <w:tblW w:w="0" w:type="auto"/>
          <w:tblInd w:w="117" w:type="dxa"/>
          <w:tblLayout w:type="fixed"/>
          <w:tblCellMar>
            <w:left w:w="0" w:type="dxa"/>
            <w:right w:w="0" w:type="dxa"/>
          </w:tblCellMar>
          <w:tblLook w:val="01E0"/>
        </w:tblPrEx>
        <w:trPr>
          <w:trHeight w:val="286"/>
        </w:trPr>
        <w:tc>
          <w:tcPr>
            <w:tcW w:w="3796" w:type="dxa"/>
          </w:tcPr>
          <w:p w:rsidR="003F5784" w14:paraId="1A524276" w14:textId="77777777">
            <w:pPr>
              <w:pStyle w:val="TableParagraph"/>
              <w:ind w:left="117"/>
              <w:jc w:val="left"/>
              <w:rPr>
                <w:sz w:val="21"/>
              </w:rPr>
            </w:pPr>
            <w:r>
              <w:rPr>
                <w:spacing w:val="-2"/>
                <w:sz w:val="21"/>
              </w:rPr>
              <w:t>Colorado–Denver</w:t>
            </w:r>
          </w:p>
        </w:tc>
        <w:tc>
          <w:tcPr>
            <w:tcW w:w="4334" w:type="dxa"/>
          </w:tcPr>
          <w:p w:rsidR="003F5784" w14:paraId="60CC7272" w14:textId="77777777">
            <w:pPr>
              <w:pStyle w:val="TableParagraph"/>
              <w:ind w:right="114"/>
              <w:rPr>
                <w:sz w:val="21"/>
              </w:rPr>
            </w:pPr>
            <w:r>
              <w:rPr>
                <w:spacing w:val="-5"/>
                <w:sz w:val="21"/>
              </w:rPr>
              <w:t>40</w:t>
            </w:r>
          </w:p>
        </w:tc>
        <w:tc>
          <w:tcPr>
            <w:tcW w:w="2927" w:type="dxa"/>
          </w:tcPr>
          <w:p w:rsidR="003F5784" w14:paraId="1E4F677E" w14:textId="77777777">
            <w:pPr>
              <w:pStyle w:val="TableParagraph"/>
              <w:ind w:right="114"/>
              <w:rPr>
                <w:sz w:val="21"/>
              </w:rPr>
            </w:pPr>
            <w:r>
              <w:rPr>
                <w:spacing w:val="-5"/>
                <w:sz w:val="21"/>
              </w:rPr>
              <w:t>40</w:t>
            </w:r>
          </w:p>
        </w:tc>
        <w:tc>
          <w:tcPr>
            <w:tcW w:w="3649" w:type="dxa"/>
          </w:tcPr>
          <w:p w:rsidR="003F5784" w14:paraId="67420BB6" w14:textId="77777777">
            <w:pPr>
              <w:pStyle w:val="TableParagraph"/>
              <w:ind w:right="106"/>
              <w:rPr>
                <w:sz w:val="21"/>
              </w:rPr>
            </w:pPr>
            <w:r>
              <w:rPr>
                <w:spacing w:val="-2"/>
                <w:sz w:val="21"/>
              </w:rPr>
              <w:t>92.34</w:t>
            </w:r>
          </w:p>
        </w:tc>
      </w:tr>
      <w:tr w14:paraId="06FEF06D" w14:textId="77777777">
        <w:tblPrEx>
          <w:tblW w:w="0" w:type="auto"/>
          <w:tblInd w:w="117" w:type="dxa"/>
          <w:tblLayout w:type="fixed"/>
          <w:tblCellMar>
            <w:left w:w="0" w:type="dxa"/>
            <w:right w:w="0" w:type="dxa"/>
          </w:tblCellMar>
          <w:tblLook w:val="01E0"/>
        </w:tblPrEx>
        <w:trPr>
          <w:trHeight w:val="286"/>
        </w:trPr>
        <w:tc>
          <w:tcPr>
            <w:tcW w:w="3796" w:type="dxa"/>
          </w:tcPr>
          <w:p w:rsidR="003F5784" w14:paraId="7AAB4864" w14:textId="77777777">
            <w:pPr>
              <w:pStyle w:val="TableParagraph"/>
              <w:ind w:left="117"/>
              <w:jc w:val="left"/>
              <w:rPr>
                <w:sz w:val="21"/>
              </w:rPr>
            </w:pPr>
            <w:r>
              <w:rPr>
                <w:spacing w:val="-2"/>
                <w:sz w:val="21"/>
              </w:rPr>
              <w:t>Colorado</w:t>
            </w:r>
          </w:p>
        </w:tc>
        <w:tc>
          <w:tcPr>
            <w:tcW w:w="4334" w:type="dxa"/>
          </w:tcPr>
          <w:p w:rsidR="003F5784" w14:paraId="18052C07" w14:textId="77777777">
            <w:pPr>
              <w:pStyle w:val="TableParagraph"/>
              <w:ind w:right="114"/>
              <w:rPr>
                <w:sz w:val="21"/>
              </w:rPr>
            </w:pPr>
            <w:r>
              <w:rPr>
                <w:spacing w:val="-5"/>
                <w:sz w:val="21"/>
              </w:rPr>
              <w:t>120</w:t>
            </w:r>
          </w:p>
        </w:tc>
        <w:tc>
          <w:tcPr>
            <w:tcW w:w="2927" w:type="dxa"/>
          </w:tcPr>
          <w:p w:rsidR="003F5784" w14:paraId="1976BA39" w14:textId="77777777">
            <w:pPr>
              <w:pStyle w:val="TableParagraph"/>
              <w:ind w:right="114"/>
              <w:rPr>
                <w:sz w:val="21"/>
              </w:rPr>
            </w:pPr>
            <w:r>
              <w:rPr>
                <w:spacing w:val="-5"/>
                <w:sz w:val="21"/>
              </w:rPr>
              <w:t>110</w:t>
            </w:r>
          </w:p>
        </w:tc>
        <w:tc>
          <w:tcPr>
            <w:tcW w:w="3649" w:type="dxa"/>
          </w:tcPr>
          <w:p w:rsidR="003F5784" w14:paraId="7AD2E097" w14:textId="77777777">
            <w:pPr>
              <w:pStyle w:val="TableParagraph"/>
              <w:ind w:right="106"/>
              <w:rPr>
                <w:sz w:val="21"/>
              </w:rPr>
            </w:pPr>
            <w:r>
              <w:rPr>
                <w:spacing w:val="-2"/>
                <w:sz w:val="21"/>
              </w:rPr>
              <w:t>96.76</w:t>
            </w:r>
          </w:p>
        </w:tc>
      </w:tr>
      <w:tr w14:paraId="615BC607" w14:textId="77777777">
        <w:tblPrEx>
          <w:tblW w:w="0" w:type="auto"/>
          <w:tblInd w:w="117" w:type="dxa"/>
          <w:tblLayout w:type="fixed"/>
          <w:tblCellMar>
            <w:left w:w="0" w:type="dxa"/>
            <w:right w:w="0" w:type="dxa"/>
          </w:tblCellMar>
          <w:tblLook w:val="01E0"/>
        </w:tblPrEx>
        <w:trPr>
          <w:trHeight w:val="286"/>
        </w:trPr>
        <w:tc>
          <w:tcPr>
            <w:tcW w:w="3796" w:type="dxa"/>
          </w:tcPr>
          <w:p w:rsidR="003F5784" w14:paraId="7D5A4AE7" w14:textId="77777777">
            <w:pPr>
              <w:pStyle w:val="TableParagraph"/>
              <w:ind w:left="117"/>
              <w:jc w:val="left"/>
              <w:rPr>
                <w:sz w:val="21"/>
              </w:rPr>
            </w:pPr>
            <w:r>
              <w:rPr>
                <w:spacing w:val="-2"/>
                <w:sz w:val="21"/>
              </w:rPr>
              <w:t>Connecticut</w:t>
            </w:r>
          </w:p>
        </w:tc>
        <w:tc>
          <w:tcPr>
            <w:tcW w:w="4334" w:type="dxa"/>
          </w:tcPr>
          <w:p w:rsidR="003F5784" w14:paraId="0BF880CC" w14:textId="77777777">
            <w:pPr>
              <w:pStyle w:val="TableParagraph"/>
              <w:ind w:right="114"/>
              <w:rPr>
                <w:sz w:val="21"/>
              </w:rPr>
            </w:pPr>
            <w:r>
              <w:rPr>
                <w:spacing w:val="-5"/>
                <w:sz w:val="21"/>
              </w:rPr>
              <w:t>80</w:t>
            </w:r>
          </w:p>
        </w:tc>
        <w:tc>
          <w:tcPr>
            <w:tcW w:w="2927" w:type="dxa"/>
          </w:tcPr>
          <w:p w:rsidR="003F5784" w14:paraId="5771D5C5" w14:textId="77777777">
            <w:pPr>
              <w:pStyle w:val="TableParagraph"/>
              <w:ind w:right="114"/>
              <w:rPr>
                <w:sz w:val="21"/>
              </w:rPr>
            </w:pPr>
            <w:r>
              <w:rPr>
                <w:spacing w:val="-5"/>
                <w:sz w:val="21"/>
              </w:rPr>
              <w:t>80</w:t>
            </w:r>
          </w:p>
        </w:tc>
        <w:tc>
          <w:tcPr>
            <w:tcW w:w="3649" w:type="dxa"/>
          </w:tcPr>
          <w:p w:rsidR="003F5784" w14:paraId="4522C13B" w14:textId="77777777">
            <w:pPr>
              <w:pStyle w:val="TableParagraph"/>
              <w:ind w:right="106"/>
              <w:rPr>
                <w:sz w:val="21"/>
              </w:rPr>
            </w:pPr>
            <w:r>
              <w:rPr>
                <w:spacing w:val="-2"/>
                <w:sz w:val="21"/>
              </w:rPr>
              <w:t>98.77</w:t>
            </w:r>
          </w:p>
        </w:tc>
      </w:tr>
      <w:tr w14:paraId="487E53D8" w14:textId="77777777">
        <w:tblPrEx>
          <w:tblW w:w="0" w:type="auto"/>
          <w:tblInd w:w="117" w:type="dxa"/>
          <w:tblLayout w:type="fixed"/>
          <w:tblCellMar>
            <w:left w:w="0" w:type="dxa"/>
            <w:right w:w="0" w:type="dxa"/>
          </w:tblCellMar>
          <w:tblLook w:val="01E0"/>
        </w:tblPrEx>
        <w:trPr>
          <w:trHeight w:val="286"/>
        </w:trPr>
        <w:tc>
          <w:tcPr>
            <w:tcW w:w="3796" w:type="dxa"/>
          </w:tcPr>
          <w:p w:rsidR="003F5784" w14:paraId="18C8F355" w14:textId="77777777">
            <w:pPr>
              <w:pStyle w:val="TableParagraph"/>
              <w:ind w:left="117"/>
              <w:jc w:val="left"/>
              <w:rPr>
                <w:sz w:val="21"/>
              </w:rPr>
            </w:pPr>
            <w:r>
              <w:rPr>
                <w:spacing w:val="-2"/>
                <w:sz w:val="21"/>
              </w:rPr>
              <w:t>Delaware</w:t>
            </w:r>
          </w:p>
        </w:tc>
        <w:tc>
          <w:tcPr>
            <w:tcW w:w="4334" w:type="dxa"/>
          </w:tcPr>
          <w:p w:rsidR="003F5784" w14:paraId="702BAFDC" w14:textId="77777777">
            <w:pPr>
              <w:pStyle w:val="TableParagraph"/>
              <w:ind w:right="114"/>
              <w:rPr>
                <w:sz w:val="21"/>
              </w:rPr>
            </w:pPr>
            <w:r>
              <w:rPr>
                <w:spacing w:val="-5"/>
                <w:sz w:val="21"/>
              </w:rPr>
              <w:t>50</w:t>
            </w:r>
          </w:p>
        </w:tc>
        <w:tc>
          <w:tcPr>
            <w:tcW w:w="2927" w:type="dxa"/>
          </w:tcPr>
          <w:p w:rsidR="003F5784" w14:paraId="57067CA9" w14:textId="77777777">
            <w:pPr>
              <w:pStyle w:val="TableParagraph"/>
              <w:ind w:right="114"/>
              <w:rPr>
                <w:sz w:val="21"/>
              </w:rPr>
            </w:pPr>
            <w:r>
              <w:rPr>
                <w:spacing w:val="-5"/>
                <w:sz w:val="21"/>
              </w:rPr>
              <w:t>50</w:t>
            </w:r>
          </w:p>
        </w:tc>
        <w:tc>
          <w:tcPr>
            <w:tcW w:w="3649" w:type="dxa"/>
          </w:tcPr>
          <w:p w:rsidR="003F5784" w14:paraId="2EE95568" w14:textId="77777777">
            <w:pPr>
              <w:pStyle w:val="TableParagraph"/>
              <w:ind w:right="106"/>
              <w:rPr>
                <w:sz w:val="21"/>
              </w:rPr>
            </w:pPr>
            <w:r>
              <w:rPr>
                <w:spacing w:val="-2"/>
                <w:sz w:val="21"/>
              </w:rPr>
              <w:t>100.00</w:t>
            </w:r>
          </w:p>
        </w:tc>
      </w:tr>
      <w:tr w14:paraId="11C0992F" w14:textId="77777777">
        <w:tblPrEx>
          <w:tblW w:w="0" w:type="auto"/>
          <w:tblInd w:w="117" w:type="dxa"/>
          <w:tblLayout w:type="fixed"/>
          <w:tblCellMar>
            <w:left w:w="0" w:type="dxa"/>
            <w:right w:w="0" w:type="dxa"/>
          </w:tblCellMar>
          <w:tblLook w:val="01E0"/>
        </w:tblPrEx>
        <w:trPr>
          <w:trHeight w:val="286"/>
        </w:trPr>
        <w:tc>
          <w:tcPr>
            <w:tcW w:w="3796" w:type="dxa"/>
          </w:tcPr>
          <w:p w:rsidR="003F5784" w14:paraId="31634FE0" w14:textId="77777777">
            <w:pPr>
              <w:pStyle w:val="TableParagraph"/>
              <w:ind w:left="117"/>
              <w:jc w:val="left"/>
              <w:rPr>
                <w:sz w:val="21"/>
              </w:rPr>
            </w:pPr>
            <w:r>
              <w:rPr>
                <w:spacing w:val="-2"/>
                <w:sz w:val="21"/>
              </w:rPr>
              <w:t>Florida–Duval</w:t>
            </w:r>
            <w:r>
              <w:rPr>
                <w:spacing w:val="12"/>
                <w:sz w:val="21"/>
              </w:rPr>
              <w:t xml:space="preserve"> </w:t>
            </w:r>
            <w:r>
              <w:rPr>
                <w:spacing w:val="-2"/>
                <w:sz w:val="21"/>
              </w:rPr>
              <w:t>County</w:t>
            </w:r>
          </w:p>
        </w:tc>
        <w:tc>
          <w:tcPr>
            <w:tcW w:w="4334" w:type="dxa"/>
          </w:tcPr>
          <w:p w:rsidR="003F5784" w14:paraId="49FC0603" w14:textId="77777777">
            <w:pPr>
              <w:pStyle w:val="TableParagraph"/>
              <w:ind w:right="114"/>
              <w:rPr>
                <w:sz w:val="21"/>
              </w:rPr>
            </w:pPr>
            <w:r>
              <w:rPr>
                <w:spacing w:val="-5"/>
                <w:sz w:val="21"/>
              </w:rPr>
              <w:t>40</w:t>
            </w:r>
          </w:p>
        </w:tc>
        <w:tc>
          <w:tcPr>
            <w:tcW w:w="2927" w:type="dxa"/>
          </w:tcPr>
          <w:p w:rsidR="003F5784" w14:paraId="647F7F6C" w14:textId="77777777">
            <w:pPr>
              <w:pStyle w:val="TableParagraph"/>
              <w:ind w:right="114"/>
              <w:rPr>
                <w:sz w:val="21"/>
              </w:rPr>
            </w:pPr>
            <w:r>
              <w:rPr>
                <w:spacing w:val="-5"/>
                <w:sz w:val="21"/>
              </w:rPr>
              <w:t>40</w:t>
            </w:r>
          </w:p>
        </w:tc>
        <w:tc>
          <w:tcPr>
            <w:tcW w:w="3649" w:type="dxa"/>
          </w:tcPr>
          <w:p w:rsidR="003F5784" w14:paraId="0A484660" w14:textId="77777777">
            <w:pPr>
              <w:pStyle w:val="TableParagraph"/>
              <w:ind w:right="106"/>
              <w:rPr>
                <w:sz w:val="21"/>
              </w:rPr>
            </w:pPr>
            <w:r>
              <w:rPr>
                <w:spacing w:val="-2"/>
                <w:sz w:val="21"/>
              </w:rPr>
              <w:t>100.00</w:t>
            </w:r>
          </w:p>
        </w:tc>
      </w:tr>
      <w:tr w14:paraId="1C013C65" w14:textId="77777777">
        <w:tblPrEx>
          <w:tblW w:w="0" w:type="auto"/>
          <w:tblInd w:w="117" w:type="dxa"/>
          <w:tblLayout w:type="fixed"/>
          <w:tblCellMar>
            <w:left w:w="0" w:type="dxa"/>
            <w:right w:w="0" w:type="dxa"/>
          </w:tblCellMar>
          <w:tblLook w:val="01E0"/>
        </w:tblPrEx>
        <w:trPr>
          <w:trHeight w:val="286"/>
        </w:trPr>
        <w:tc>
          <w:tcPr>
            <w:tcW w:w="3796" w:type="dxa"/>
          </w:tcPr>
          <w:p w:rsidR="003F5784" w14:paraId="24C15E6B" w14:textId="77777777">
            <w:pPr>
              <w:pStyle w:val="TableParagraph"/>
              <w:ind w:left="117"/>
              <w:jc w:val="left"/>
              <w:rPr>
                <w:sz w:val="21"/>
              </w:rPr>
            </w:pPr>
            <w:r>
              <w:rPr>
                <w:spacing w:val="-2"/>
                <w:sz w:val="21"/>
              </w:rPr>
              <w:t>Florida–Hillsborough</w:t>
            </w:r>
            <w:r>
              <w:rPr>
                <w:spacing w:val="20"/>
                <w:sz w:val="21"/>
              </w:rPr>
              <w:t xml:space="preserve"> </w:t>
            </w:r>
            <w:r>
              <w:rPr>
                <w:spacing w:val="-2"/>
                <w:sz w:val="21"/>
              </w:rPr>
              <w:t>County</w:t>
            </w:r>
          </w:p>
        </w:tc>
        <w:tc>
          <w:tcPr>
            <w:tcW w:w="4334" w:type="dxa"/>
          </w:tcPr>
          <w:p w:rsidR="003F5784" w14:paraId="294FE725" w14:textId="77777777">
            <w:pPr>
              <w:pStyle w:val="TableParagraph"/>
              <w:ind w:right="114"/>
              <w:rPr>
                <w:sz w:val="21"/>
              </w:rPr>
            </w:pPr>
            <w:r>
              <w:rPr>
                <w:spacing w:val="-5"/>
                <w:sz w:val="21"/>
              </w:rPr>
              <w:t>40</w:t>
            </w:r>
          </w:p>
        </w:tc>
        <w:tc>
          <w:tcPr>
            <w:tcW w:w="2927" w:type="dxa"/>
          </w:tcPr>
          <w:p w:rsidR="003F5784" w14:paraId="796339B9" w14:textId="77777777">
            <w:pPr>
              <w:pStyle w:val="TableParagraph"/>
              <w:ind w:right="114"/>
              <w:rPr>
                <w:sz w:val="21"/>
              </w:rPr>
            </w:pPr>
            <w:r>
              <w:rPr>
                <w:spacing w:val="-5"/>
                <w:sz w:val="21"/>
              </w:rPr>
              <w:t>40</w:t>
            </w:r>
          </w:p>
        </w:tc>
        <w:tc>
          <w:tcPr>
            <w:tcW w:w="3649" w:type="dxa"/>
          </w:tcPr>
          <w:p w:rsidR="003F5784" w14:paraId="6EAA72C1" w14:textId="77777777">
            <w:pPr>
              <w:pStyle w:val="TableParagraph"/>
              <w:ind w:right="106"/>
              <w:rPr>
                <w:sz w:val="21"/>
              </w:rPr>
            </w:pPr>
            <w:r>
              <w:rPr>
                <w:spacing w:val="-2"/>
                <w:sz w:val="21"/>
              </w:rPr>
              <w:t>100.00</w:t>
            </w:r>
          </w:p>
        </w:tc>
      </w:tr>
      <w:tr w14:paraId="2E74C3BC" w14:textId="77777777">
        <w:tblPrEx>
          <w:tblW w:w="0" w:type="auto"/>
          <w:tblInd w:w="117" w:type="dxa"/>
          <w:tblLayout w:type="fixed"/>
          <w:tblCellMar>
            <w:left w:w="0" w:type="dxa"/>
            <w:right w:w="0" w:type="dxa"/>
          </w:tblCellMar>
          <w:tblLook w:val="01E0"/>
        </w:tblPrEx>
        <w:trPr>
          <w:trHeight w:val="286"/>
        </w:trPr>
        <w:tc>
          <w:tcPr>
            <w:tcW w:w="3796" w:type="dxa"/>
          </w:tcPr>
          <w:p w:rsidR="003F5784" w14:paraId="76769FEB" w14:textId="77777777">
            <w:pPr>
              <w:pStyle w:val="TableParagraph"/>
              <w:ind w:left="117"/>
              <w:jc w:val="left"/>
              <w:rPr>
                <w:sz w:val="21"/>
              </w:rPr>
            </w:pPr>
            <w:r>
              <w:rPr>
                <w:spacing w:val="-2"/>
                <w:sz w:val="21"/>
              </w:rPr>
              <w:t>Florida–Miami-Dade</w:t>
            </w:r>
            <w:r>
              <w:rPr>
                <w:spacing w:val="17"/>
                <w:sz w:val="21"/>
              </w:rPr>
              <w:t xml:space="preserve"> </w:t>
            </w:r>
            <w:r>
              <w:rPr>
                <w:spacing w:val="-2"/>
                <w:sz w:val="21"/>
              </w:rPr>
              <w:t>County</w:t>
            </w:r>
          </w:p>
        </w:tc>
        <w:tc>
          <w:tcPr>
            <w:tcW w:w="4334" w:type="dxa"/>
          </w:tcPr>
          <w:p w:rsidR="003F5784" w14:paraId="3FE1E12C" w14:textId="77777777">
            <w:pPr>
              <w:pStyle w:val="TableParagraph"/>
              <w:ind w:right="114"/>
              <w:rPr>
                <w:sz w:val="21"/>
              </w:rPr>
            </w:pPr>
            <w:r>
              <w:rPr>
                <w:spacing w:val="-5"/>
                <w:sz w:val="21"/>
              </w:rPr>
              <w:t>60</w:t>
            </w:r>
          </w:p>
        </w:tc>
        <w:tc>
          <w:tcPr>
            <w:tcW w:w="2927" w:type="dxa"/>
          </w:tcPr>
          <w:p w:rsidR="003F5784" w14:paraId="578836EA" w14:textId="77777777">
            <w:pPr>
              <w:pStyle w:val="TableParagraph"/>
              <w:ind w:right="114"/>
              <w:rPr>
                <w:sz w:val="21"/>
              </w:rPr>
            </w:pPr>
            <w:r>
              <w:rPr>
                <w:spacing w:val="-5"/>
                <w:sz w:val="21"/>
              </w:rPr>
              <w:t>60</w:t>
            </w:r>
          </w:p>
        </w:tc>
        <w:tc>
          <w:tcPr>
            <w:tcW w:w="3649" w:type="dxa"/>
          </w:tcPr>
          <w:p w:rsidR="003F5784" w14:paraId="1FAF985C" w14:textId="77777777">
            <w:pPr>
              <w:pStyle w:val="TableParagraph"/>
              <w:ind w:right="106"/>
              <w:rPr>
                <w:sz w:val="21"/>
              </w:rPr>
            </w:pPr>
            <w:r>
              <w:rPr>
                <w:spacing w:val="-2"/>
                <w:sz w:val="21"/>
              </w:rPr>
              <w:t>100.00</w:t>
            </w:r>
          </w:p>
        </w:tc>
      </w:tr>
      <w:tr w14:paraId="6DAC1568" w14:textId="77777777">
        <w:tblPrEx>
          <w:tblW w:w="0" w:type="auto"/>
          <w:tblInd w:w="117" w:type="dxa"/>
          <w:tblLayout w:type="fixed"/>
          <w:tblCellMar>
            <w:left w:w="0" w:type="dxa"/>
            <w:right w:w="0" w:type="dxa"/>
          </w:tblCellMar>
          <w:tblLook w:val="01E0"/>
        </w:tblPrEx>
        <w:trPr>
          <w:trHeight w:val="286"/>
        </w:trPr>
        <w:tc>
          <w:tcPr>
            <w:tcW w:w="3796" w:type="dxa"/>
          </w:tcPr>
          <w:p w:rsidR="003F5784" w14:paraId="5085D39F" w14:textId="77777777">
            <w:pPr>
              <w:pStyle w:val="TableParagraph"/>
              <w:ind w:left="117"/>
              <w:jc w:val="left"/>
              <w:rPr>
                <w:sz w:val="21"/>
              </w:rPr>
            </w:pPr>
            <w:r>
              <w:rPr>
                <w:spacing w:val="-2"/>
                <w:sz w:val="21"/>
              </w:rPr>
              <w:t>Florida</w:t>
            </w:r>
          </w:p>
        </w:tc>
        <w:tc>
          <w:tcPr>
            <w:tcW w:w="4334" w:type="dxa"/>
          </w:tcPr>
          <w:p w:rsidR="003F5784" w14:paraId="391449D0" w14:textId="77777777">
            <w:pPr>
              <w:pStyle w:val="TableParagraph"/>
              <w:ind w:right="114"/>
              <w:rPr>
                <w:sz w:val="21"/>
              </w:rPr>
            </w:pPr>
            <w:r>
              <w:rPr>
                <w:spacing w:val="-5"/>
                <w:sz w:val="21"/>
              </w:rPr>
              <w:t>200</w:t>
            </w:r>
          </w:p>
        </w:tc>
        <w:tc>
          <w:tcPr>
            <w:tcW w:w="2927" w:type="dxa"/>
          </w:tcPr>
          <w:p w:rsidR="003F5784" w14:paraId="5A607C3D" w14:textId="77777777">
            <w:pPr>
              <w:pStyle w:val="TableParagraph"/>
              <w:ind w:right="114"/>
              <w:rPr>
                <w:sz w:val="21"/>
              </w:rPr>
            </w:pPr>
            <w:r>
              <w:rPr>
                <w:spacing w:val="-5"/>
                <w:sz w:val="21"/>
              </w:rPr>
              <w:t>200</w:t>
            </w:r>
          </w:p>
        </w:tc>
        <w:tc>
          <w:tcPr>
            <w:tcW w:w="3649" w:type="dxa"/>
          </w:tcPr>
          <w:p w:rsidR="003F5784" w14:paraId="428B1B88" w14:textId="77777777">
            <w:pPr>
              <w:pStyle w:val="TableParagraph"/>
              <w:ind w:right="106"/>
              <w:rPr>
                <w:sz w:val="21"/>
              </w:rPr>
            </w:pPr>
            <w:r>
              <w:rPr>
                <w:spacing w:val="-2"/>
                <w:sz w:val="21"/>
              </w:rPr>
              <w:t>100.00</w:t>
            </w:r>
          </w:p>
        </w:tc>
      </w:tr>
      <w:tr w14:paraId="4811607B" w14:textId="77777777">
        <w:tblPrEx>
          <w:tblW w:w="0" w:type="auto"/>
          <w:tblInd w:w="117" w:type="dxa"/>
          <w:tblLayout w:type="fixed"/>
          <w:tblCellMar>
            <w:left w:w="0" w:type="dxa"/>
            <w:right w:w="0" w:type="dxa"/>
          </w:tblCellMar>
          <w:tblLook w:val="01E0"/>
        </w:tblPrEx>
        <w:trPr>
          <w:trHeight w:val="286"/>
        </w:trPr>
        <w:tc>
          <w:tcPr>
            <w:tcW w:w="3796" w:type="dxa"/>
          </w:tcPr>
          <w:p w:rsidR="003F5784" w14:paraId="7DBE3149" w14:textId="77777777">
            <w:pPr>
              <w:pStyle w:val="TableParagraph"/>
              <w:ind w:left="117"/>
              <w:jc w:val="left"/>
              <w:rPr>
                <w:sz w:val="21"/>
              </w:rPr>
            </w:pPr>
            <w:r>
              <w:rPr>
                <w:spacing w:val="-2"/>
                <w:sz w:val="21"/>
              </w:rPr>
              <w:t>Georgia–Atlanta</w:t>
            </w:r>
          </w:p>
        </w:tc>
        <w:tc>
          <w:tcPr>
            <w:tcW w:w="4334" w:type="dxa"/>
          </w:tcPr>
          <w:p w:rsidR="003F5784" w14:paraId="0475BD20" w14:textId="77777777">
            <w:pPr>
              <w:pStyle w:val="TableParagraph"/>
              <w:ind w:right="114"/>
              <w:rPr>
                <w:sz w:val="21"/>
              </w:rPr>
            </w:pPr>
            <w:r>
              <w:rPr>
                <w:spacing w:val="-5"/>
                <w:sz w:val="21"/>
              </w:rPr>
              <w:t>30</w:t>
            </w:r>
          </w:p>
        </w:tc>
        <w:tc>
          <w:tcPr>
            <w:tcW w:w="2927" w:type="dxa"/>
          </w:tcPr>
          <w:p w:rsidR="003F5784" w14:paraId="33E534FD" w14:textId="77777777">
            <w:pPr>
              <w:pStyle w:val="TableParagraph"/>
              <w:ind w:right="114"/>
              <w:rPr>
                <w:sz w:val="21"/>
              </w:rPr>
            </w:pPr>
            <w:r>
              <w:rPr>
                <w:spacing w:val="-5"/>
                <w:sz w:val="21"/>
              </w:rPr>
              <w:t>30</w:t>
            </w:r>
          </w:p>
        </w:tc>
        <w:tc>
          <w:tcPr>
            <w:tcW w:w="3649" w:type="dxa"/>
          </w:tcPr>
          <w:p w:rsidR="003F5784" w14:paraId="7B2EA8DF" w14:textId="77777777">
            <w:pPr>
              <w:pStyle w:val="TableParagraph"/>
              <w:ind w:right="106"/>
              <w:rPr>
                <w:sz w:val="21"/>
              </w:rPr>
            </w:pPr>
            <w:r>
              <w:rPr>
                <w:spacing w:val="-2"/>
                <w:sz w:val="21"/>
              </w:rPr>
              <w:t>100.00</w:t>
            </w:r>
          </w:p>
        </w:tc>
      </w:tr>
      <w:tr w14:paraId="7F4583AE" w14:textId="77777777">
        <w:tblPrEx>
          <w:tblW w:w="0" w:type="auto"/>
          <w:tblInd w:w="117" w:type="dxa"/>
          <w:tblLayout w:type="fixed"/>
          <w:tblCellMar>
            <w:left w:w="0" w:type="dxa"/>
            <w:right w:w="0" w:type="dxa"/>
          </w:tblCellMar>
          <w:tblLook w:val="01E0"/>
        </w:tblPrEx>
        <w:trPr>
          <w:trHeight w:val="286"/>
        </w:trPr>
        <w:tc>
          <w:tcPr>
            <w:tcW w:w="3796" w:type="dxa"/>
          </w:tcPr>
          <w:p w:rsidR="003F5784" w14:paraId="5DAF370F" w14:textId="77777777">
            <w:pPr>
              <w:pStyle w:val="TableParagraph"/>
              <w:ind w:left="117"/>
              <w:jc w:val="left"/>
              <w:rPr>
                <w:sz w:val="21"/>
              </w:rPr>
            </w:pPr>
            <w:r>
              <w:rPr>
                <w:spacing w:val="-2"/>
                <w:sz w:val="21"/>
              </w:rPr>
              <w:t>Georgia</w:t>
            </w:r>
          </w:p>
        </w:tc>
        <w:tc>
          <w:tcPr>
            <w:tcW w:w="4334" w:type="dxa"/>
          </w:tcPr>
          <w:p w:rsidR="003F5784" w14:paraId="25E01544" w14:textId="77777777">
            <w:pPr>
              <w:pStyle w:val="TableParagraph"/>
              <w:ind w:right="114"/>
              <w:rPr>
                <w:sz w:val="21"/>
              </w:rPr>
            </w:pPr>
            <w:r>
              <w:rPr>
                <w:spacing w:val="-5"/>
                <w:sz w:val="21"/>
              </w:rPr>
              <w:t>110</w:t>
            </w:r>
          </w:p>
        </w:tc>
        <w:tc>
          <w:tcPr>
            <w:tcW w:w="2927" w:type="dxa"/>
          </w:tcPr>
          <w:p w:rsidR="003F5784" w14:paraId="209C8AE0" w14:textId="77777777">
            <w:pPr>
              <w:pStyle w:val="TableParagraph"/>
              <w:ind w:right="114"/>
              <w:rPr>
                <w:sz w:val="21"/>
              </w:rPr>
            </w:pPr>
            <w:r>
              <w:rPr>
                <w:spacing w:val="-5"/>
                <w:sz w:val="21"/>
              </w:rPr>
              <w:t>110</w:t>
            </w:r>
          </w:p>
        </w:tc>
        <w:tc>
          <w:tcPr>
            <w:tcW w:w="3649" w:type="dxa"/>
          </w:tcPr>
          <w:p w:rsidR="003F5784" w14:paraId="30887D8E" w14:textId="77777777">
            <w:pPr>
              <w:pStyle w:val="TableParagraph"/>
              <w:ind w:right="106"/>
              <w:rPr>
                <w:sz w:val="21"/>
              </w:rPr>
            </w:pPr>
            <w:r>
              <w:rPr>
                <w:spacing w:val="-2"/>
                <w:sz w:val="21"/>
              </w:rPr>
              <w:t>100.00</w:t>
            </w:r>
          </w:p>
        </w:tc>
      </w:tr>
      <w:tr w14:paraId="1187A257" w14:textId="77777777">
        <w:tblPrEx>
          <w:tblW w:w="0" w:type="auto"/>
          <w:tblInd w:w="117" w:type="dxa"/>
          <w:tblLayout w:type="fixed"/>
          <w:tblCellMar>
            <w:left w:w="0" w:type="dxa"/>
            <w:right w:w="0" w:type="dxa"/>
          </w:tblCellMar>
          <w:tblLook w:val="01E0"/>
        </w:tblPrEx>
        <w:trPr>
          <w:trHeight w:val="286"/>
        </w:trPr>
        <w:tc>
          <w:tcPr>
            <w:tcW w:w="3796" w:type="dxa"/>
          </w:tcPr>
          <w:p w:rsidR="003F5784" w14:paraId="28D994E9" w14:textId="77777777">
            <w:pPr>
              <w:pStyle w:val="TableParagraph"/>
              <w:ind w:left="117"/>
              <w:jc w:val="left"/>
              <w:rPr>
                <w:sz w:val="21"/>
              </w:rPr>
            </w:pPr>
            <w:r>
              <w:rPr>
                <w:spacing w:val="-2"/>
                <w:sz w:val="21"/>
              </w:rPr>
              <w:t>Hawaii</w:t>
            </w:r>
          </w:p>
        </w:tc>
        <w:tc>
          <w:tcPr>
            <w:tcW w:w="4334" w:type="dxa"/>
          </w:tcPr>
          <w:p w:rsidR="003F5784" w14:paraId="3E327B4C" w14:textId="77777777">
            <w:pPr>
              <w:pStyle w:val="TableParagraph"/>
              <w:ind w:right="114"/>
              <w:rPr>
                <w:sz w:val="21"/>
              </w:rPr>
            </w:pPr>
            <w:r>
              <w:rPr>
                <w:spacing w:val="-5"/>
                <w:sz w:val="21"/>
              </w:rPr>
              <w:t>50</w:t>
            </w:r>
          </w:p>
        </w:tc>
        <w:tc>
          <w:tcPr>
            <w:tcW w:w="2927" w:type="dxa"/>
          </w:tcPr>
          <w:p w:rsidR="003F5784" w14:paraId="31B0E57B" w14:textId="77777777">
            <w:pPr>
              <w:pStyle w:val="TableParagraph"/>
              <w:ind w:right="114"/>
              <w:rPr>
                <w:sz w:val="21"/>
              </w:rPr>
            </w:pPr>
            <w:r>
              <w:rPr>
                <w:spacing w:val="-5"/>
                <w:sz w:val="21"/>
              </w:rPr>
              <w:t>50</w:t>
            </w:r>
          </w:p>
        </w:tc>
        <w:tc>
          <w:tcPr>
            <w:tcW w:w="3649" w:type="dxa"/>
          </w:tcPr>
          <w:p w:rsidR="003F5784" w14:paraId="6A607579" w14:textId="77777777">
            <w:pPr>
              <w:pStyle w:val="TableParagraph"/>
              <w:ind w:right="106"/>
              <w:rPr>
                <w:sz w:val="21"/>
              </w:rPr>
            </w:pPr>
            <w:r>
              <w:rPr>
                <w:spacing w:val="-2"/>
                <w:sz w:val="21"/>
              </w:rPr>
              <w:t>100.00</w:t>
            </w:r>
          </w:p>
        </w:tc>
      </w:tr>
      <w:tr w14:paraId="66393DFD" w14:textId="77777777">
        <w:tblPrEx>
          <w:tblW w:w="0" w:type="auto"/>
          <w:tblInd w:w="117" w:type="dxa"/>
          <w:tblLayout w:type="fixed"/>
          <w:tblCellMar>
            <w:left w:w="0" w:type="dxa"/>
            <w:right w:w="0" w:type="dxa"/>
          </w:tblCellMar>
          <w:tblLook w:val="01E0"/>
        </w:tblPrEx>
        <w:trPr>
          <w:trHeight w:val="286"/>
        </w:trPr>
        <w:tc>
          <w:tcPr>
            <w:tcW w:w="3796" w:type="dxa"/>
          </w:tcPr>
          <w:p w:rsidR="003F5784" w14:paraId="1B6B8EFE" w14:textId="77777777">
            <w:pPr>
              <w:pStyle w:val="TableParagraph"/>
              <w:ind w:left="117"/>
              <w:jc w:val="left"/>
              <w:rPr>
                <w:sz w:val="21"/>
              </w:rPr>
            </w:pPr>
            <w:r>
              <w:rPr>
                <w:spacing w:val="-2"/>
                <w:sz w:val="21"/>
              </w:rPr>
              <w:t>Idaho</w:t>
            </w:r>
          </w:p>
        </w:tc>
        <w:tc>
          <w:tcPr>
            <w:tcW w:w="4334" w:type="dxa"/>
          </w:tcPr>
          <w:p w:rsidR="003F5784" w14:paraId="08596046" w14:textId="77777777">
            <w:pPr>
              <w:pStyle w:val="TableParagraph"/>
              <w:ind w:right="114"/>
              <w:rPr>
                <w:sz w:val="21"/>
              </w:rPr>
            </w:pPr>
            <w:r>
              <w:rPr>
                <w:spacing w:val="-5"/>
                <w:sz w:val="21"/>
              </w:rPr>
              <w:t>80</w:t>
            </w:r>
          </w:p>
        </w:tc>
        <w:tc>
          <w:tcPr>
            <w:tcW w:w="2927" w:type="dxa"/>
          </w:tcPr>
          <w:p w:rsidR="003F5784" w14:paraId="67CF012B" w14:textId="77777777">
            <w:pPr>
              <w:pStyle w:val="TableParagraph"/>
              <w:ind w:right="114"/>
              <w:rPr>
                <w:sz w:val="21"/>
              </w:rPr>
            </w:pPr>
            <w:r>
              <w:rPr>
                <w:spacing w:val="-5"/>
                <w:sz w:val="21"/>
              </w:rPr>
              <w:t>80</w:t>
            </w:r>
          </w:p>
        </w:tc>
        <w:tc>
          <w:tcPr>
            <w:tcW w:w="3649" w:type="dxa"/>
          </w:tcPr>
          <w:p w:rsidR="003F5784" w14:paraId="0B6CC11D" w14:textId="77777777">
            <w:pPr>
              <w:pStyle w:val="TableParagraph"/>
              <w:ind w:right="106"/>
              <w:rPr>
                <w:sz w:val="21"/>
              </w:rPr>
            </w:pPr>
            <w:r>
              <w:rPr>
                <w:spacing w:val="-2"/>
                <w:sz w:val="21"/>
              </w:rPr>
              <w:t>100.00</w:t>
            </w:r>
          </w:p>
        </w:tc>
      </w:tr>
      <w:tr w14:paraId="4D484E96" w14:textId="77777777">
        <w:tblPrEx>
          <w:tblW w:w="0" w:type="auto"/>
          <w:tblInd w:w="117" w:type="dxa"/>
          <w:tblLayout w:type="fixed"/>
          <w:tblCellMar>
            <w:left w:w="0" w:type="dxa"/>
            <w:right w:w="0" w:type="dxa"/>
          </w:tblCellMar>
          <w:tblLook w:val="01E0"/>
        </w:tblPrEx>
        <w:trPr>
          <w:trHeight w:val="286"/>
        </w:trPr>
        <w:tc>
          <w:tcPr>
            <w:tcW w:w="3796" w:type="dxa"/>
          </w:tcPr>
          <w:p w:rsidR="003F5784" w14:paraId="3D0C058D" w14:textId="77777777">
            <w:pPr>
              <w:pStyle w:val="TableParagraph"/>
              <w:ind w:left="117"/>
              <w:jc w:val="left"/>
              <w:rPr>
                <w:sz w:val="21"/>
              </w:rPr>
            </w:pPr>
            <w:r>
              <w:rPr>
                <w:spacing w:val="-2"/>
                <w:sz w:val="21"/>
              </w:rPr>
              <w:t>Illinois–Chicago</w:t>
            </w:r>
          </w:p>
        </w:tc>
        <w:tc>
          <w:tcPr>
            <w:tcW w:w="4334" w:type="dxa"/>
          </w:tcPr>
          <w:p w:rsidR="003F5784" w14:paraId="113DC89E" w14:textId="77777777">
            <w:pPr>
              <w:pStyle w:val="TableParagraph"/>
              <w:ind w:right="114"/>
              <w:rPr>
                <w:sz w:val="21"/>
              </w:rPr>
            </w:pPr>
            <w:r>
              <w:rPr>
                <w:spacing w:val="-5"/>
                <w:sz w:val="21"/>
              </w:rPr>
              <w:t>70</w:t>
            </w:r>
          </w:p>
        </w:tc>
        <w:tc>
          <w:tcPr>
            <w:tcW w:w="2927" w:type="dxa"/>
          </w:tcPr>
          <w:p w:rsidR="003F5784" w14:paraId="0A461970" w14:textId="77777777">
            <w:pPr>
              <w:pStyle w:val="TableParagraph"/>
              <w:ind w:right="114"/>
              <w:rPr>
                <w:sz w:val="21"/>
              </w:rPr>
            </w:pPr>
            <w:r>
              <w:rPr>
                <w:spacing w:val="-5"/>
                <w:sz w:val="21"/>
              </w:rPr>
              <w:t>70</w:t>
            </w:r>
          </w:p>
        </w:tc>
        <w:tc>
          <w:tcPr>
            <w:tcW w:w="3649" w:type="dxa"/>
          </w:tcPr>
          <w:p w:rsidR="003F5784" w14:paraId="3E4A8E77" w14:textId="77777777">
            <w:pPr>
              <w:pStyle w:val="TableParagraph"/>
              <w:ind w:right="106"/>
              <w:rPr>
                <w:sz w:val="21"/>
              </w:rPr>
            </w:pPr>
            <w:r>
              <w:rPr>
                <w:spacing w:val="-2"/>
                <w:sz w:val="21"/>
              </w:rPr>
              <w:t>100.00</w:t>
            </w:r>
          </w:p>
        </w:tc>
      </w:tr>
      <w:tr w14:paraId="6AF72FA8" w14:textId="77777777">
        <w:tblPrEx>
          <w:tblW w:w="0" w:type="auto"/>
          <w:tblInd w:w="117" w:type="dxa"/>
          <w:tblLayout w:type="fixed"/>
          <w:tblCellMar>
            <w:left w:w="0" w:type="dxa"/>
            <w:right w:w="0" w:type="dxa"/>
          </w:tblCellMar>
          <w:tblLook w:val="01E0"/>
        </w:tblPrEx>
        <w:trPr>
          <w:trHeight w:val="286"/>
        </w:trPr>
        <w:tc>
          <w:tcPr>
            <w:tcW w:w="3796" w:type="dxa"/>
          </w:tcPr>
          <w:p w:rsidR="003F5784" w14:paraId="69FBA4C9" w14:textId="77777777">
            <w:pPr>
              <w:pStyle w:val="TableParagraph"/>
              <w:ind w:left="117"/>
              <w:jc w:val="left"/>
              <w:rPr>
                <w:sz w:val="21"/>
              </w:rPr>
            </w:pPr>
            <w:r>
              <w:rPr>
                <w:spacing w:val="-2"/>
                <w:sz w:val="21"/>
              </w:rPr>
              <w:t>Illinois</w:t>
            </w:r>
          </w:p>
        </w:tc>
        <w:tc>
          <w:tcPr>
            <w:tcW w:w="4334" w:type="dxa"/>
          </w:tcPr>
          <w:p w:rsidR="003F5784" w14:paraId="75ED9A1E" w14:textId="77777777">
            <w:pPr>
              <w:pStyle w:val="TableParagraph"/>
              <w:ind w:right="114"/>
              <w:rPr>
                <w:sz w:val="21"/>
              </w:rPr>
            </w:pPr>
            <w:r>
              <w:rPr>
                <w:spacing w:val="-5"/>
                <w:sz w:val="21"/>
              </w:rPr>
              <w:t>140</w:t>
            </w:r>
          </w:p>
        </w:tc>
        <w:tc>
          <w:tcPr>
            <w:tcW w:w="2927" w:type="dxa"/>
          </w:tcPr>
          <w:p w:rsidR="003F5784" w14:paraId="373E6EB4" w14:textId="77777777">
            <w:pPr>
              <w:pStyle w:val="TableParagraph"/>
              <w:ind w:right="114"/>
              <w:rPr>
                <w:sz w:val="21"/>
              </w:rPr>
            </w:pPr>
            <w:r>
              <w:rPr>
                <w:spacing w:val="-5"/>
                <w:sz w:val="21"/>
              </w:rPr>
              <w:t>140</w:t>
            </w:r>
          </w:p>
        </w:tc>
        <w:tc>
          <w:tcPr>
            <w:tcW w:w="3649" w:type="dxa"/>
          </w:tcPr>
          <w:p w:rsidR="003F5784" w14:paraId="7129C854" w14:textId="77777777">
            <w:pPr>
              <w:pStyle w:val="TableParagraph"/>
              <w:ind w:right="106"/>
              <w:rPr>
                <w:sz w:val="21"/>
              </w:rPr>
            </w:pPr>
            <w:r>
              <w:rPr>
                <w:spacing w:val="-2"/>
                <w:sz w:val="21"/>
              </w:rPr>
              <w:t>100.00</w:t>
            </w:r>
          </w:p>
        </w:tc>
      </w:tr>
      <w:tr w14:paraId="07A39C19" w14:textId="77777777">
        <w:tblPrEx>
          <w:tblW w:w="0" w:type="auto"/>
          <w:tblInd w:w="117" w:type="dxa"/>
          <w:tblLayout w:type="fixed"/>
          <w:tblCellMar>
            <w:left w:w="0" w:type="dxa"/>
            <w:right w:w="0" w:type="dxa"/>
          </w:tblCellMar>
          <w:tblLook w:val="01E0"/>
        </w:tblPrEx>
        <w:trPr>
          <w:trHeight w:val="286"/>
        </w:trPr>
        <w:tc>
          <w:tcPr>
            <w:tcW w:w="3796" w:type="dxa"/>
          </w:tcPr>
          <w:p w:rsidR="003F5784" w14:paraId="27EC24A9" w14:textId="77777777">
            <w:pPr>
              <w:pStyle w:val="TableParagraph"/>
              <w:ind w:left="117"/>
              <w:jc w:val="left"/>
              <w:rPr>
                <w:sz w:val="21"/>
              </w:rPr>
            </w:pPr>
            <w:r>
              <w:rPr>
                <w:spacing w:val="-2"/>
                <w:sz w:val="21"/>
              </w:rPr>
              <w:t>Indiana</w:t>
            </w:r>
          </w:p>
        </w:tc>
        <w:tc>
          <w:tcPr>
            <w:tcW w:w="4334" w:type="dxa"/>
          </w:tcPr>
          <w:p w:rsidR="003F5784" w14:paraId="29473F23" w14:textId="77777777">
            <w:pPr>
              <w:pStyle w:val="TableParagraph"/>
              <w:ind w:right="114"/>
              <w:rPr>
                <w:sz w:val="21"/>
              </w:rPr>
            </w:pPr>
            <w:r>
              <w:rPr>
                <w:spacing w:val="-5"/>
                <w:sz w:val="21"/>
              </w:rPr>
              <w:t>80</w:t>
            </w:r>
          </w:p>
        </w:tc>
        <w:tc>
          <w:tcPr>
            <w:tcW w:w="2927" w:type="dxa"/>
          </w:tcPr>
          <w:p w:rsidR="003F5784" w14:paraId="2D4DF017" w14:textId="77777777">
            <w:pPr>
              <w:pStyle w:val="TableParagraph"/>
              <w:ind w:right="114"/>
              <w:rPr>
                <w:sz w:val="21"/>
              </w:rPr>
            </w:pPr>
            <w:r>
              <w:rPr>
                <w:spacing w:val="-5"/>
                <w:sz w:val="21"/>
              </w:rPr>
              <w:t>80</w:t>
            </w:r>
          </w:p>
        </w:tc>
        <w:tc>
          <w:tcPr>
            <w:tcW w:w="3649" w:type="dxa"/>
          </w:tcPr>
          <w:p w:rsidR="003F5784" w14:paraId="22007C0C" w14:textId="77777777">
            <w:pPr>
              <w:pStyle w:val="TableParagraph"/>
              <w:ind w:right="106"/>
              <w:rPr>
                <w:sz w:val="21"/>
              </w:rPr>
            </w:pPr>
            <w:r>
              <w:rPr>
                <w:spacing w:val="-2"/>
                <w:sz w:val="21"/>
              </w:rPr>
              <w:t>98.83</w:t>
            </w:r>
          </w:p>
        </w:tc>
      </w:tr>
      <w:tr w14:paraId="4A9848D2" w14:textId="77777777">
        <w:tblPrEx>
          <w:tblW w:w="0" w:type="auto"/>
          <w:tblInd w:w="117" w:type="dxa"/>
          <w:tblLayout w:type="fixed"/>
          <w:tblCellMar>
            <w:left w:w="0" w:type="dxa"/>
            <w:right w:w="0" w:type="dxa"/>
          </w:tblCellMar>
          <w:tblLook w:val="01E0"/>
        </w:tblPrEx>
        <w:trPr>
          <w:trHeight w:val="286"/>
        </w:trPr>
        <w:tc>
          <w:tcPr>
            <w:tcW w:w="3796" w:type="dxa"/>
          </w:tcPr>
          <w:p w:rsidR="003F5784" w14:paraId="2AA8265A" w14:textId="77777777">
            <w:pPr>
              <w:pStyle w:val="TableParagraph"/>
              <w:ind w:left="117"/>
              <w:jc w:val="left"/>
              <w:rPr>
                <w:sz w:val="21"/>
              </w:rPr>
            </w:pPr>
            <w:r>
              <w:rPr>
                <w:spacing w:val="-4"/>
                <w:sz w:val="21"/>
              </w:rPr>
              <w:t>Iowa</w:t>
            </w:r>
          </w:p>
        </w:tc>
        <w:tc>
          <w:tcPr>
            <w:tcW w:w="4334" w:type="dxa"/>
          </w:tcPr>
          <w:p w:rsidR="003F5784" w14:paraId="0FD4182D" w14:textId="77777777">
            <w:pPr>
              <w:pStyle w:val="TableParagraph"/>
              <w:ind w:right="114"/>
              <w:rPr>
                <w:sz w:val="21"/>
              </w:rPr>
            </w:pPr>
            <w:r>
              <w:rPr>
                <w:spacing w:val="-5"/>
                <w:sz w:val="21"/>
              </w:rPr>
              <w:t>80</w:t>
            </w:r>
          </w:p>
        </w:tc>
        <w:tc>
          <w:tcPr>
            <w:tcW w:w="2927" w:type="dxa"/>
          </w:tcPr>
          <w:p w:rsidR="003F5784" w14:paraId="56B022C7" w14:textId="77777777">
            <w:pPr>
              <w:pStyle w:val="TableParagraph"/>
              <w:ind w:right="114"/>
              <w:rPr>
                <w:sz w:val="21"/>
              </w:rPr>
            </w:pPr>
            <w:r>
              <w:rPr>
                <w:spacing w:val="-5"/>
                <w:sz w:val="21"/>
              </w:rPr>
              <w:t>80</w:t>
            </w:r>
          </w:p>
        </w:tc>
        <w:tc>
          <w:tcPr>
            <w:tcW w:w="3649" w:type="dxa"/>
          </w:tcPr>
          <w:p w:rsidR="003F5784" w14:paraId="3E33217B" w14:textId="77777777">
            <w:pPr>
              <w:pStyle w:val="TableParagraph"/>
              <w:ind w:right="106"/>
              <w:rPr>
                <w:sz w:val="21"/>
              </w:rPr>
            </w:pPr>
            <w:r>
              <w:rPr>
                <w:spacing w:val="-2"/>
                <w:sz w:val="21"/>
              </w:rPr>
              <w:t>100.00</w:t>
            </w:r>
          </w:p>
        </w:tc>
      </w:tr>
      <w:tr w14:paraId="780A39F1" w14:textId="77777777">
        <w:tblPrEx>
          <w:tblW w:w="0" w:type="auto"/>
          <w:tblInd w:w="117" w:type="dxa"/>
          <w:tblLayout w:type="fixed"/>
          <w:tblCellMar>
            <w:left w:w="0" w:type="dxa"/>
            <w:right w:w="0" w:type="dxa"/>
          </w:tblCellMar>
          <w:tblLook w:val="01E0"/>
        </w:tblPrEx>
        <w:trPr>
          <w:trHeight w:val="286"/>
        </w:trPr>
        <w:tc>
          <w:tcPr>
            <w:tcW w:w="3796" w:type="dxa"/>
          </w:tcPr>
          <w:p w:rsidR="003F5784" w14:paraId="4F2E71A9" w14:textId="77777777">
            <w:pPr>
              <w:pStyle w:val="TableParagraph"/>
              <w:ind w:left="117"/>
              <w:jc w:val="left"/>
              <w:rPr>
                <w:sz w:val="21"/>
              </w:rPr>
            </w:pPr>
            <w:r>
              <w:rPr>
                <w:spacing w:val="-2"/>
                <w:sz w:val="21"/>
              </w:rPr>
              <w:t>Kansas</w:t>
            </w:r>
          </w:p>
        </w:tc>
        <w:tc>
          <w:tcPr>
            <w:tcW w:w="4334" w:type="dxa"/>
          </w:tcPr>
          <w:p w:rsidR="003F5784" w14:paraId="43CB4446" w14:textId="77777777">
            <w:pPr>
              <w:pStyle w:val="TableParagraph"/>
              <w:ind w:right="114"/>
              <w:rPr>
                <w:sz w:val="21"/>
              </w:rPr>
            </w:pPr>
            <w:r>
              <w:rPr>
                <w:spacing w:val="-5"/>
                <w:sz w:val="21"/>
              </w:rPr>
              <w:t>90</w:t>
            </w:r>
          </w:p>
        </w:tc>
        <w:tc>
          <w:tcPr>
            <w:tcW w:w="2927" w:type="dxa"/>
          </w:tcPr>
          <w:p w:rsidR="003F5784" w14:paraId="68071023" w14:textId="77777777">
            <w:pPr>
              <w:pStyle w:val="TableParagraph"/>
              <w:ind w:right="114"/>
              <w:rPr>
                <w:sz w:val="21"/>
              </w:rPr>
            </w:pPr>
            <w:r>
              <w:rPr>
                <w:spacing w:val="-5"/>
                <w:sz w:val="21"/>
              </w:rPr>
              <w:t>90</w:t>
            </w:r>
          </w:p>
        </w:tc>
        <w:tc>
          <w:tcPr>
            <w:tcW w:w="3649" w:type="dxa"/>
          </w:tcPr>
          <w:p w:rsidR="003F5784" w14:paraId="7202FF54" w14:textId="77777777">
            <w:pPr>
              <w:pStyle w:val="TableParagraph"/>
              <w:ind w:right="106"/>
              <w:rPr>
                <w:sz w:val="21"/>
              </w:rPr>
            </w:pPr>
            <w:r>
              <w:rPr>
                <w:spacing w:val="-2"/>
                <w:sz w:val="21"/>
              </w:rPr>
              <w:t>100.00</w:t>
            </w:r>
          </w:p>
        </w:tc>
      </w:tr>
      <w:tr w14:paraId="5E074C02" w14:textId="77777777">
        <w:tblPrEx>
          <w:tblW w:w="0" w:type="auto"/>
          <w:tblInd w:w="117" w:type="dxa"/>
          <w:tblLayout w:type="fixed"/>
          <w:tblCellMar>
            <w:left w:w="0" w:type="dxa"/>
            <w:right w:w="0" w:type="dxa"/>
          </w:tblCellMar>
          <w:tblLook w:val="01E0"/>
        </w:tblPrEx>
        <w:trPr>
          <w:trHeight w:val="286"/>
        </w:trPr>
        <w:tc>
          <w:tcPr>
            <w:tcW w:w="3796" w:type="dxa"/>
          </w:tcPr>
          <w:p w:rsidR="003F5784" w14:paraId="3B5DB947" w14:textId="77777777">
            <w:pPr>
              <w:pStyle w:val="TableParagraph"/>
              <w:ind w:left="117"/>
              <w:jc w:val="left"/>
              <w:rPr>
                <w:sz w:val="21"/>
              </w:rPr>
            </w:pPr>
            <w:r>
              <w:rPr>
                <w:spacing w:val="-2"/>
                <w:sz w:val="21"/>
              </w:rPr>
              <w:t>Kentucky–Jefferson</w:t>
            </w:r>
            <w:r>
              <w:rPr>
                <w:spacing w:val="14"/>
                <w:sz w:val="21"/>
              </w:rPr>
              <w:t xml:space="preserve"> </w:t>
            </w:r>
            <w:r>
              <w:rPr>
                <w:spacing w:val="-2"/>
                <w:sz w:val="21"/>
              </w:rPr>
              <w:t>County</w:t>
            </w:r>
          </w:p>
        </w:tc>
        <w:tc>
          <w:tcPr>
            <w:tcW w:w="4334" w:type="dxa"/>
          </w:tcPr>
          <w:p w:rsidR="003F5784" w14:paraId="1599B3D5" w14:textId="77777777">
            <w:pPr>
              <w:pStyle w:val="TableParagraph"/>
              <w:ind w:right="114"/>
              <w:rPr>
                <w:sz w:val="21"/>
              </w:rPr>
            </w:pPr>
            <w:r>
              <w:rPr>
                <w:spacing w:val="-5"/>
                <w:sz w:val="21"/>
              </w:rPr>
              <w:t>20</w:t>
            </w:r>
          </w:p>
        </w:tc>
        <w:tc>
          <w:tcPr>
            <w:tcW w:w="2927" w:type="dxa"/>
          </w:tcPr>
          <w:p w:rsidR="003F5784" w14:paraId="4494C074" w14:textId="77777777">
            <w:pPr>
              <w:pStyle w:val="TableParagraph"/>
              <w:ind w:right="114"/>
              <w:rPr>
                <w:sz w:val="21"/>
              </w:rPr>
            </w:pPr>
            <w:r>
              <w:rPr>
                <w:spacing w:val="-5"/>
                <w:sz w:val="21"/>
              </w:rPr>
              <w:t>20</w:t>
            </w:r>
          </w:p>
        </w:tc>
        <w:tc>
          <w:tcPr>
            <w:tcW w:w="3649" w:type="dxa"/>
          </w:tcPr>
          <w:p w:rsidR="003F5784" w14:paraId="19A80653" w14:textId="77777777">
            <w:pPr>
              <w:pStyle w:val="TableParagraph"/>
              <w:ind w:right="106"/>
              <w:rPr>
                <w:sz w:val="21"/>
              </w:rPr>
            </w:pPr>
            <w:r>
              <w:rPr>
                <w:spacing w:val="-2"/>
                <w:sz w:val="21"/>
              </w:rPr>
              <w:t>100.00</w:t>
            </w:r>
          </w:p>
        </w:tc>
      </w:tr>
      <w:tr w14:paraId="708D2912" w14:textId="77777777">
        <w:tblPrEx>
          <w:tblW w:w="0" w:type="auto"/>
          <w:tblInd w:w="117" w:type="dxa"/>
          <w:tblLayout w:type="fixed"/>
          <w:tblCellMar>
            <w:left w:w="0" w:type="dxa"/>
            <w:right w:w="0" w:type="dxa"/>
          </w:tblCellMar>
          <w:tblLook w:val="01E0"/>
        </w:tblPrEx>
        <w:trPr>
          <w:trHeight w:val="289"/>
        </w:trPr>
        <w:tc>
          <w:tcPr>
            <w:tcW w:w="3796" w:type="dxa"/>
            <w:tcBorders>
              <w:bottom w:val="single" w:sz="18" w:space="0" w:color="800000"/>
            </w:tcBorders>
          </w:tcPr>
          <w:p w:rsidR="003F5784" w14:paraId="58FBC8DC" w14:textId="77777777">
            <w:pPr>
              <w:pStyle w:val="TableParagraph"/>
              <w:ind w:left="117"/>
              <w:jc w:val="left"/>
              <w:rPr>
                <w:sz w:val="21"/>
              </w:rPr>
            </w:pPr>
            <w:r>
              <w:rPr>
                <w:spacing w:val="-2"/>
                <w:sz w:val="21"/>
              </w:rPr>
              <w:t>Kentucky</w:t>
            </w:r>
          </w:p>
        </w:tc>
        <w:tc>
          <w:tcPr>
            <w:tcW w:w="4334" w:type="dxa"/>
            <w:tcBorders>
              <w:bottom w:val="single" w:sz="18" w:space="0" w:color="800000"/>
            </w:tcBorders>
          </w:tcPr>
          <w:p w:rsidR="003F5784" w14:paraId="4E557B7C" w14:textId="77777777">
            <w:pPr>
              <w:pStyle w:val="TableParagraph"/>
              <w:ind w:right="114"/>
              <w:rPr>
                <w:sz w:val="21"/>
              </w:rPr>
            </w:pPr>
            <w:r>
              <w:rPr>
                <w:spacing w:val="-5"/>
                <w:sz w:val="21"/>
              </w:rPr>
              <w:t>100</w:t>
            </w:r>
          </w:p>
        </w:tc>
        <w:tc>
          <w:tcPr>
            <w:tcW w:w="2927" w:type="dxa"/>
            <w:tcBorders>
              <w:bottom w:val="single" w:sz="18" w:space="0" w:color="800000"/>
            </w:tcBorders>
          </w:tcPr>
          <w:p w:rsidR="003F5784" w14:paraId="406F1C8A" w14:textId="77777777">
            <w:pPr>
              <w:pStyle w:val="TableParagraph"/>
              <w:ind w:right="114"/>
              <w:rPr>
                <w:sz w:val="21"/>
              </w:rPr>
            </w:pPr>
            <w:r>
              <w:rPr>
                <w:spacing w:val="-5"/>
                <w:sz w:val="21"/>
              </w:rPr>
              <w:t>100</w:t>
            </w:r>
          </w:p>
        </w:tc>
        <w:tc>
          <w:tcPr>
            <w:tcW w:w="3649" w:type="dxa"/>
            <w:tcBorders>
              <w:bottom w:val="single" w:sz="18" w:space="0" w:color="800000"/>
            </w:tcBorders>
          </w:tcPr>
          <w:p w:rsidR="003F5784" w14:paraId="01A6A178" w14:textId="77777777">
            <w:pPr>
              <w:pStyle w:val="TableParagraph"/>
              <w:ind w:right="106"/>
              <w:rPr>
                <w:sz w:val="21"/>
              </w:rPr>
            </w:pPr>
            <w:r>
              <w:rPr>
                <w:spacing w:val="-2"/>
                <w:sz w:val="21"/>
              </w:rPr>
              <w:t>100.00</w:t>
            </w:r>
          </w:p>
        </w:tc>
      </w:tr>
      <w:tr w14:paraId="7C014BFF" w14:textId="77777777">
        <w:tblPrEx>
          <w:tblW w:w="0" w:type="auto"/>
          <w:tblInd w:w="117" w:type="dxa"/>
          <w:tblLayout w:type="fixed"/>
          <w:tblCellMar>
            <w:left w:w="0" w:type="dxa"/>
            <w:right w:w="0" w:type="dxa"/>
          </w:tblCellMar>
          <w:tblLook w:val="01E0"/>
        </w:tblPrEx>
        <w:trPr>
          <w:trHeight w:val="237"/>
        </w:trPr>
        <w:tc>
          <w:tcPr>
            <w:tcW w:w="11057" w:type="dxa"/>
            <w:gridSpan w:val="3"/>
            <w:tcBorders>
              <w:top w:val="single" w:sz="18" w:space="0" w:color="800000"/>
            </w:tcBorders>
          </w:tcPr>
          <w:p w:rsidR="003F5784" w14:paraId="726D8562" w14:textId="77777777">
            <w:pPr>
              <w:pStyle w:val="TableParagraph"/>
              <w:spacing w:before="0" w:line="218" w:lineRule="exact"/>
              <w:ind w:left="117"/>
              <w:jc w:val="left"/>
              <w:rPr>
                <w:sz w:val="21"/>
              </w:rPr>
            </w:pPr>
            <w:r>
              <w:rPr>
                <w:sz w:val="21"/>
              </w:rPr>
              <w:t>NOTE:</w:t>
            </w:r>
            <w:r>
              <w:rPr>
                <w:spacing w:val="-5"/>
                <w:sz w:val="21"/>
              </w:rPr>
              <w:t xml:space="preserve"> </w:t>
            </w:r>
            <w:r>
              <w:rPr>
                <w:sz w:val="21"/>
              </w:rPr>
              <w:t>Numbers</w:t>
            </w:r>
            <w:r>
              <w:rPr>
                <w:spacing w:val="-5"/>
                <w:sz w:val="21"/>
              </w:rPr>
              <w:t xml:space="preserve"> </w:t>
            </w:r>
            <w:r>
              <w:rPr>
                <w:sz w:val="21"/>
              </w:rPr>
              <w:t>of</w:t>
            </w:r>
            <w:r>
              <w:rPr>
                <w:spacing w:val="-5"/>
                <w:sz w:val="21"/>
              </w:rPr>
              <w:t xml:space="preserve"> </w:t>
            </w:r>
            <w:r>
              <w:rPr>
                <w:sz w:val="21"/>
              </w:rPr>
              <w:t>schools</w:t>
            </w:r>
            <w:r>
              <w:rPr>
                <w:spacing w:val="-5"/>
                <w:sz w:val="21"/>
              </w:rPr>
              <w:t xml:space="preserve"> </w:t>
            </w:r>
            <w:r>
              <w:rPr>
                <w:sz w:val="21"/>
              </w:rPr>
              <w:t>are</w:t>
            </w:r>
            <w:r>
              <w:rPr>
                <w:spacing w:val="-5"/>
                <w:sz w:val="21"/>
              </w:rPr>
              <w:t xml:space="preserve"> </w:t>
            </w:r>
            <w:r>
              <w:rPr>
                <w:sz w:val="21"/>
              </w:rPr>
              <w:t>rounded</w:t>
            </w:r>
            <w:r>
              <w:rPr>
                <w:spacing w:val="-5"/>
                <w:sz w:val="21"/>
              </w:rPr>
              <w:t xml:space="preserve"> </w:t>
            </w:r>
            <w:r>
              <w:rPr>
                <w:sz w:val="21"/>
              </w:rPr>
              <w:t>to</w:t>
            </w:r>
            <w:r>
              <w:rPr>
                <w:spacing w:val="-5"/>
                <w:sz w:val="21"/>
              </w:rPr>
              <w:t xml:space="preserve"> </w:t>
            </w:r>
            <w:r>
              <w:rPr>
                <w:sz w:val="21"/>
              </w:rPr>
              <w:t>nearest</w:t>
            </w:r>
            <w:r>
              <w:rPr>
                <w:spacing w:val="-5"/>
                <w:sz w:val="21"/>
              </w:rPr>
              <w:t xml:space="preserve"> </w:t>
            </w:r>
            <w:r>
              <w:rPr>
                <w:sz w:val="21"/>
              </w:rPr>
              <w:t>ten.</w:t>
            </w:r>
            <w:r>
              <w:rPr>
                <w:spacing w:val="-5"/>
                <w:sz w:val="21"/>
              </w:rPr>
              <w:t xml:space="preserve"> </w:t>
            </w:r>
            <w:r>
              <w:rPr>
                <w:sz w:val="21"/>
              </w:rPr>
              <w:t>Detail</w:t>
            </w:r>
            <w:r>
              <w:rPr>
                <w:spacing w:val="-5"/>
                <w:sz w:val="21"/>
              </w:rPr>
              <w:t xml:space="preserve"> </w:t>
            </w:r>
            <w:r>
              <w:rPr>
                <w:sz w:val="21"/>
              </w:rPr>
              <w:t>may</w:t>
            </w:r>
            <w:r>
              <w:rPr>
                <w:spacing w:val="-5"/>
                <w:sz w:val="21"/>
              </w:rPr>
              <w:t xml:space="preserve"> </w:t>
            </w:r>
            <w:r>
              <w:rPr>
                <w:sz w:val="21"/>
              </w:rPr>
              <w:t>not</w:t>
            </w:r>
            <w:r>
              <w:rPr>
                <w:spacing w:val="-5"/>
                <w:sz w:val="21"/>
              </w:rPr>
              <w:t xml:space="preserve"> </w:t>
            </w:r>
            <w:r>
              <w:rPr>
                <w:sz w:val="21"/>
              </w:rPr>
              <w:t>sum</w:t>
            </w:r>
            <w:r>
              <w:rPr>
                <w:spacing w:val="-5"/>
                <w:sz w:val="21"/>
              </w:rPr>
              <w:t xml:space="preserve"> </w:t>
            </w:r>
            <w:r>
              <w:rPr>
                <w:sz w:val="21"/>
              </w:rPr>
              <w:t>to</w:t>
            </w:r>
            <w:r>
              <w:rPr>
                <w:spacing w:val="-5"/>
                <w:sz w:val="21"/>
              </w:rPr>
              <w:t xml:space="preserve"> </w:t>
            </w:r>
            <w:r>
              <w:rPr>
                <w:sz w:val="21"/>
              </w:rPr>
              <w:t>totals</w:t>
            </w:r>
            <w:r>
              <w:rPr>
                <w:spacing w:val="-5"/>
                <w:sz w:val="21"/>
              </w:rPr>
              <w:t xml:space="preserve"> </w:t>
            </w:r>
            <w:r>
              <w:rPr>
                <w:sz w:val="21"/>
              </w:rPr>
              <w:t>due</w:t>
            </w:r>
            <w:r>
              <w:rPr>
                <w:spacing w:val="-5"/>
                <w:sz w:val="21"/>
              </w:rPr>
              <w:t xml:space="preserve"> </w:t>
            </w:r>
            <w:r>
              <w:rPr>
                <w:sz w:val="21"/>
              </w:rPr>
              <w:t>to</w:t>
            </w:r>
            <w:r>
              <w:rPr>
                <w:spacing w:val="-5"/>
                <w:sz w:val="21"/>
              </w:rPr>
              <w:t xml:space="preserve"> </w:t>
            </w:r>
            <w:r>
              <w:rPr>
                <w:spacing w:val="-2"/>
                <w:sz w:val="21"/>
              </w:rPr>
              <w:t>rounding.</w:t>
            </w:r>
          </w:p>
        </w:tc>
        <w:tc>
          <w:tcPr>
            <w:tcW w:w="3649" w:type="dxa"/>
            <w:tcBorders>
              <w:top w:val="single" w:sz="18" w:space="0" w:color="800000"/>
            </w:tcBorders>
          </w:tcPr>
          <w:p w:rsidR="003F5784" w14:paraId="6EA2F0EB" w14:textId="77777777">
            <w:pPr>
              <w:pStyle w:val="TableParagraph"/>
              <w:spacing w:before="0"/>
              <w:jc w:val="left"/>
              <w:rPr>
                <w:sz w:val="16"/>
              </w:rPr>
            </w:pPr>
          </w:p>
        </w:tc>
      </w:tr>
    </w:tbl>
    <w:p w:rsidR="003F5784" w14:paraId="58CD73BD" w14:textId="77777777">
      <w:pPr>
        <w:pStyle w:val="BodyText"/>
        <w:spacing w:before="16" w:line="232" w:lineRule="auto"/>
        <w:ind w:left="227" w:right="179"/>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w:t>
      </w:r>
      <w:r>
        <w:rPr>
          <w:spacing w:val="-8"/>
        </w:rPr>
        <w:t xml:space="preserve"> </w:t>
      </w:r>
      <w:r>
        <w:t>(NAEP), 2022 State Mathematics and Reading Assessments.</w:t>
      </w:r>
    </w:p>
    <w:p w:rsidR="003F5784" w14:paraId="5CDE0E79" w14:textId="77777777">
      <w:pPr>
        <w:spacing w:line="232" w:lineRule="auto"/>
        <w:sectPr>
          <w:pgSz w:w="15840" w:h="12240" w:orient="landscape"/>
          <w:pgMar w:top="480" w:right="440" w:bottom="460" w:left="460" w:header="284" w:footer="275" w:gutter="0"/>
          <w:cols w:space="720"/>
        </w:sectPr>
      </w:pPr>
    </w:p>
    <w:tbl>
      <w:tblPr>
        <w:tblW w:w="0" w:type="auto"/>
        <w:tblInd w:w="117" w:type="dxa"/>
        <w:tblLayout w:type="fixed"/>
        <w:tblCellMar>
          <w:left w:w="0" w:type="dxa"/>
          <w:right w:w="0" w:type="dxa"/>
        </w:tblCellMar>
        <w:tblLook w:val="01E0"/>
      </w:tblPr>
      <w:tblGrid>
        <w:gridCol w:w="5281"/>
        <w:gridCol w:w="4039"/>
        <w:gridCol w:w="3162"/>
        <w:gridCol w:w="2225"/>
      </w:tblGrid>
      <w:tr w14:paraId="267678D3" w14:textId="77777777">
        <w:tblPrEx>
          <w:tblW w:w="0" w:type="auto"/>
          <w:tblInd w:w="117" w:type="dxa"/>
          <w:tblLayout w:type="fixed"/>
          <w:tblCellMar>
            <w:left w:w="0" w:type="dxa"/>
            <w:right w:w="0" w:type="dxa"/>
          </w:tblCellMar>
          <w:tblLook w:val="01E0"/>
        </w:tblPrEx>
        <w:trPr>
          <w:trHeight w:val="278"/>
        </w:trPr>
        <w:tc>
          <w:tcPr>
            <w:tcW w:w="5281" w:type="dxa"/>
            <w:tcBorders>
              <w:top w:val="single" w:sz="18" w:space="0" w:color="800000"/>
            </w:tcBorders>
          </w:tcPr>
          <w:p w:rsidR="003F5784" w14:paraId="4DDE189D" w14:textId="77777777">
            <w:pPr>
              <w:pStyle w:val="TableParagraph"/>
              <w:spacing w:before="9"/>
              <w:ind w:left="117"/>
              <w:jc w:val="left"/>
              <w:rPr>
                <w:sz w:val="21"/>
              </w:rPr>
            </w:pPr>
            <w:r>
              <w:rPr>
                <w:spacing w:val="-2"/>
                <w:sz w:val="21"/>
              </w:rPr>
              <w:t>Louisiana</w:t>
            </w:r>
          </w:p>
        </w:tc>
        <w:tc>
          <w:tcPr>
            <w:tcW w:w="4039" w:type="dxa"/>
            <w:tcBorders>
              <w:top w:val="single" w:sz="18" w:space="0" w:color="800000"/>
            </w:tcBorders>
          </w:tcPr>
          <w:p w:rsidR="003F5784" w14:paraId="5C632503" w14:textId="77777777">
            <w:pPr>
              <w:pStyle w:val="TableParagraph"/>
              <w:spacing w:before="9"/>
              <w:ind w:right="1304"/>
              <w:rPr>
                <w:sz w:val="21"/>
              </w:rPr>
            </w:pPr>
            <w:r>
              <w:rPr>
                <w:spacing w:val="-5"/>
                <w:sz w:val="21"/>
              </w:rPr>
              <w:t>90</w:t>
            </w:r>
          </w:p>
        </w:tc>
        <w:tc>
          <w:tcPr>
            <w:tcW w:w="3162" w:type="dxa"/>
            <w:tcBorders>
              <w:top w:val="single" w:sz="18" w:space="0" w:color="800000"/>
            </w:tcBorders>
          </w:tcPr>
          <w:p w:rsidR="003F5784" w14:paraId="628FC618" w14:textId="77777777">
            <w:pPr>
              <w:pStyle w:val="TableParagraph"/>
              <w:spacing w:before="9"/>
              <w:ind w:right="1539"/>
              <w:rPr>
                <w:sz w:val="21"/>
              </w:rPr>
            </w:pPr>
            <w:r>
              <w:rPr>
                <w:spacing w:val="-5"/>
                <w:sz w:val="21"/>
              </w:rPr>
              <w:t>90</w:t>
            </w:r>
          </w:p>
        </w:tc>
        <w:tc>
          <w:tcPr>
            <w:tcW w:w="2225" w:type="dxa"/>
            <w:tcBorders>
              <w:top w:val="single" w:sz="18" w:space="0" w:color="800000"/>
            </w:tcBorders>
          </w:tcPr>
          <w:p w:rsidR="003F5784" w14:paraId="40AF7709" w14:textId="77777777">
            <w:pPr>
              <w:pStyle w:val="TableParagraph"/>
              <w:spacing w:before="9"/>
              <w:ind w:right="107"/>
              <w:rPr>
                <w:sz w:val="21"/>
              </w:rPr>
            </w:pPr>
            <w:r>
              <w:rPr>
                <w:spacing w:val="-2"/>
                <w:sz w:val="21"/>
              </w:rPr>
              <w:t>100.00</w:t>
            </w:r>
          </w:p>
        </w:tc>
      </w:tr>
      <w:tr w14:paraId="5603D48C" w14:textId="77777777">
        <w:tblPrEx>
          <w:tblW w:w="0" w:type="auto"/>
          <w:tblInd w:w="117" w:type="dxa"/>
          <w:tblLayout w:type="fixed"/>
          <w:tblCellMar>
            <w:left w:w="0" w:type="dxa"/>
            <w:right w:w="0" w:type="dxa"/>
          </w:tblCellMar>
          <w:tblLook w:val="01E0"/>
        </w:tblPrEx>
        <w:trPr>
          <w:trHeight w:val="286"/>
        </w:trPr>
        <w:tc>
          <w:tcPr>
            <w:tcW w:w="5281" w:type="dxa"/>
          </w:tcPr>
          <w:p w:rsidR="003F5784" w14:paraId="2A06075A" w14:textId="77777777">
            <w:pPr>
              <w:pStyle w:val="TableParagraph"/>
              <w:ind w:left="117"/>
              <w:jc w:val="left"/>
              <w:rPr>
                <w:sz w:val="21"/>
              </w:rPr>
            </w:pPr>
            <w:r>
              <w:rPr>
                <w:spacing w:val="-2"/>
                <w:sz w:val="21"/>
              </w:rPr>
              <w:t>Maine</w:t>
            </w:r>
          </w:p>
        </w:tc>
        <w:tc>
          <w:tcPr>
            <w:tcW w:w="4039" w:type="dxa"/>
          </w:tcPr>
          <w:p w:rsidR="003F5784" w14:paraId="4454D339" w14:textId="77777777">
            <w:pPr>
              <w:pStyle w:val="TableParagraph"/>
              <w:ind w:right="1304"/>
              <w:rPr>
                <w:sz w:val="21"/>
              </w:rPr>
            </w:pPr>
            <w:r>
              <w:rPr>
                <w:spacing w:val="-5"/>
                <w:sz w:val="21"/>
              </w:rPr>
              <w:t>90</w:t>
            </w:r>
          </w:p>
        </w:tc>
        <w:tc>
          <w:tcPr>
            <w:tcW w:w="3162" w:type="dxa"/>
          </w:tcPr>
          <w:p w:rsidR="003F5784" w14:paraId="05380F26" w14:textId="77777777">
            <w:pPr>
              <w:pStyle w:val="TableParagraph"/>
              <w:ind w:right="1539"/>
              <w:rPr>
                <w:sz w:val="21"/>
              </w:rPr>
            </w:pPr>
            <w:r>
              <w:rPr>
                <w:spacing w:val="-5"/>
                <w:sz w:val="21"/>
              </w:rPr>
              <w:t>90</w:t>
            </w:r>
          </w:p>
        </w:tc>
        <w:tc>
          <w:tcPr>
            <w:tcW w:w="2225" w:type="dxa"/>
          </w:tcPr>
          <w:p w:rsidR="003F5784" w14:paraId="52A9C553" w14:textId="77777777">
            <w:pPr>
              <w:pStyle w:val="TableParagraph"/>
              <w:ind w:right="107"/>
              <w:rPr>
                <w:sz w:val="21"/>
              </w:rPr>
            </w:pPr>
            <w:r>
              <w:rPr>
                <w:spacing w:val="-2"/>
                <w:sz w:val="21"/>
              </w:rPr>
              <w:t>97.56</w:t>
            </w:r>
          </w:p>
        </w:tc>
      </w:tr>
      <w:tr w14:paraId="46502A17" w14:textId="77777777">
        <w:tblPrEx>
          <w:tblW w:w="0" w:type="auto"/>
          <w:tblInd w:w="117" w:type="dxa"/>
          <w:tblLayout w:type="fixed"/>
          <w:tblCellMar>
            <w:left w:w="0" w:type="dxa"/>
            <w:right w:w="0" w:type="dxa"/>
          </w:tblCellMar>
          <w:tblLook w:val="01E0"/>
        </w:tblPrEx>
        <w:trPr>
          <w:trHeight w:val="286"/>
        </w:trPr>
        <w:tc>
          <w:tcPr>
            <w:tcW w:w="5281" w:type="dxa"/>
          </w:tcPr>
          <w:p w:rsidR="003F5784" w14:paraId="6BFDDF11" w14:textId="77777777">
            <w:pPr>
              <w:pStyle w:val="TableParagraph"/>
              <w:ind w:left="117"/>
              <w:jc w:val="left"/>
              <w:rPr>
                <w:sz w:val="21"/>
              </w:rPr>
            </w:pPr>
            <w:r>
              <w:rPr>
                <w:spacing w:val="-2"/>
                <w:sz w:val="21"/>
              </w:rPr>
              <w:t>Maryland–Baltimore</w:t>
            </w:r>
          </w:p>
        </w:tc>
        <w:tc>
          <w:tcPr>
            <w:tcW w:w="4039" w:type="dxa"/>
          </w:tcPr>
          <w:p w:rsidR="003F5784" w14:paraId="056371B6" w14:textId="77777777">
            <w:pPr>
              <w:pStyle w:val="TableParagraph"/>
              <w:ind w:right="1304"/>
              <w:rPr>
                <w:sz w:val="21"/>
              </w:rPr>
            </w:pPr>
            <w:r>
              <w:rPr>
                <w:spacing w:val="-5"/>
                <w:sz w:val="21"/>
              </w:rPr>
              <w:t>40</w:t>
            </w:r>
          </w:p>
        </w:tc>
        <w:tc>
          <w:tcPr>
            <w:tcW w:w="3162" w:type="dxa"/>
          </w:tcPr>
          <w:p w:rsidR="003F5784" w14:paraId="530E0132" w14:textId="77777777">
            <w:pPr>
              <w:pStyle w:val="TableParagraph"/>
              <w:ind w:right="1539"/>
              <w:rPr>
                <w:sz w:val="21"/>
              </w:rPr>
            </w:pPr>
            <w:r>
              <w:rPr>
                <w:spacing w:val="-5"/>
                <w:sz w:val="21"/>
              </w:rPr>
              <w:t>40</w:t>
            </w:r>
          </w:p>
        </w:tc>
        <w:tc>
          <w:tcPr>
            <w:tcW w:w="2225" w:type="dxa"/>
          </w:tcPr>
          <w:p w:rsidR="003F5784" w14:paraId="5B50D033" w14:textId="77777777">
            <w:pPr>
              <w:pStyle w:val="TableParagraph"/>
              <w:ind w:right="107"/>
              <w:rPr>
                <w:sz w:val="21"/>
              </w:rPr>
            </w:pPr>
            <w:r>
              <w:rPr>
                <w:spacing w:val="-2"/>
                <w:sz w:val="21"/>
              </w:rPr>
              <w:t>100.00</w:t>
            </w:r>
          </w:p>
        </w:tc>
      </w:tr>
      <w:tr w14:paraId="05B6FD6A" w14:textId="77777777">
        <w:tblPrEx>
          <w:tblW w:w="0" w:type="auto"/>
          <w:tblInd w:w="117" w:type="dxa"/>
          <w:tblLayout w:type="fixed"/>
          <w:tblCellMar>
            <w:left w:w="0" w:type="dxa"/>
            <w:right w:w="0" w:type="dxa"/>
          </w:tblCellMar>
          <w:tblLook w:val="01E0"/>
        </w:tblPrEx>
        <w:trPr>
          <w:trHeight w:val="286"/>
        </w:trPr>
        <w:tc>
          <w:tcPr>
            <w:tcW w:w="5281" w:type="dxa"/>
          </w:tcPr>
          <w:p w:rsidR="003F5784" w14:paraId="0C6B8DF9" w14:textId="77777777">
            <w:pPr>
              <w:pStyle w:val="TableParagraph"/>
              <w:ind w:left="117"/>
              <w:jc w:val="left"/>
              <w:rPr>
                <w:sz w:val="21"/>
              </w:rPr>
            </w:pPr>
            <w:r>
              <w:rPr>
                <w:spacing w:val="-2"/>
                <w:sz w:val="21"/>
              </w:rPr>
              <w:t>Maryland</w:t>
            </w:r>
          </w:p>
        </w:tc>
        <w:tc>
          <w:tcPr>
            <w:tcW w:w="4039" w:type="dxa"/>
          </w:tcPr>
          <w:p w:rsidR="003F5784" w14:paraId="1532463A" w14:textId="77777777">
            <w:pPr>
              <w:pStyle w:val="TableParagraph"/>
              <w:ind w:right="1304"/>
              <w:rPr>
                <w:sz w:val="21"/>
              </w:rPr>
            </w:pPr>
            <w:r>
              <w:rPr>
                <w:spacing w:val="-5"/>
                <w:sz w:val="21"/>
              </w:rPr>
              <w:t>120</w:t>
            </w:r>
          </w:p>
        </w:tc>
        <w:tc>
          <w:tcPr>
            <w:tcW w:w="3162" w:type="dxa"/>
          </w:tcPr>
          <w:p w:rsidR="003F5784" w14:paraId="44BCDE76" w14:textId="77777777">
            <w:pPr>
              <w:pStyle w:val="TableParagraph"/>
              <w:ind w:right="1539"/>
              <w:rPr>
                <w:sz w:val="21"/>
              </w:rPr>
            </w:pPr>
            <w:r>
              <w:rPr>
                <w:spacing w:val="-5"/>
                <w:sz w:val="21"/>
              </w:rPr>
              <w:t>120</w:t>
            </w:r>
          </w:p>
        </w:tc>
        <w:tc>
          <w:tcPr>
            <w:tcW w:w="2225" w:type="dxa"/>
          </w:tcPr>
          <w:p w:rsidR="003F5784" w14:paraId="1CAF21F9" w14:textId="77777777">
            <w:pPr>
              <w:pStyle w:val="TableParagraph"/>
              <w:ind w:right="107"/>
              <w:rPr>
                <w:sz w:val="21"/>
              </w:rPr>
            </w:pPr>
            <w:r>
              <w:rPr>
                <w:spacing w:val="-2"/>
                <w:sz w:val="21"/>
              </w:rPr>
              <w:t>100.00</w:t>
            </w:r>
          </w:p>
        </w:tc>
      </w:tr>
      <w:tr w14:paraId="13230DAB" w14:textId="77777777">
        <w:tblPrEx>
          <w:tblW w:w="0" w:type="auto"/>
          <w:tblInd w:w="117" w:type="dxa"/>
          <w:tblLayout w:type="fixed"/>
          <w:tblCellMar>
            <w:left w:w="0" w:type="dxa"/>
            <w:right w:w="0" w:type="dxa"/>
          </w:tblCellMar>
          <w:tblLook w:val="01E0"/>
        </w:tblPrEx>
        <w:trPr>
          <w:trHeight w:val="286"/>
        </w:trPr>
        <w:tc>
          <w:tcPr>
            <w:tcW w:w="5281" w:type="dxa"/>
          </w:tcPr>
          <w:p w:rsidR="003F5784" w14:paraId="58248893" w14:textId="77777777">
            <w:pPr>
              <w:pStyle w:val="TableParagraph"/>
              <w:ind w:left="117"/>
              <w:jc w:val="left"/>
              <w:rPr>
                <w:sz w:val="21"/>
              </w:rPr>
            </w:pPr>
            <w:r>
              <w:rPr>
                <w:spacing w:val="-2"/>
                <w:sz w:val="21"/>
              </w:rPr>
              <w:t>Massachusetts–Boston</w:t>
            </w:r>
          </w:p>
        </w:tc>
        <w:tc>
          <w:tcPr>
            <w:tcW w:w="4039" w:type="dxa"/>
          </w:tcPr>
          <w:p w:rsidR="003F5784" w14:paraId="0C984AAB" w14:textId="77777777">
            <w:pPr>
              <w:pStyle w:val="TableParagraph"/>
              <w:ind w:right="1304"/>
              <w:rPr>
                <w:sz w:val="21"/>
              </w:rPr>
            </w:pPr>
            <w:r>
              <w:rPr>
                <w:spacing w:val="-5"/>
                <w:sz w:val="21"/>
              </w:rPr>
              <w:t>40</w:t>
            </w:r>
          </w:p>
        </w:tc>
        <w:tc>
          <w:tcPr>
            <w:tcW w:w="3162" w:type="dxa"/>
          </w:tcPr>
          <w:p w:rsidR="003F5784" w14:paraId="49753EBD" w14:textId="77777777">
            <w:pPr>
              <w:pStyle w:val="TableParagraph"/>
              <w:ind w:right="1539"/>
              <w:rPr>
                <w:sz w:val="21"/>
              </w:rPr>
            </w:pPr>
            <w:r>
              <w:rPr>
                <w:spacing w:val="-5"/>
                <w:sz w:val="21"/>
              </w:rPr>
              <w:t>40</w:t>
            </w:r>
          </w:p>
        </w:tc>
        <w:tc>
          <w:tcPr>
            <w:tcW w:w="2225" w:type="dxa"/>
          </w:tcPr>
          <w:p w:rsidR="003F5784" w14:paraId="31F4B07A" w14:textId="77777777">
            <w:pPr>
              <w:pStyle w:val="TableParagraph"/>
              <w:ind w:right="107"/>
              <w:rPr>
                <w:sz w:val="21"/>
              </w:rPr>
            </w:pPr>
            <w:r>
              <w:rPr>
                <w:spacing w:val="-2"/>
                <w:sz w:val="21"/>
              </w:rPr>
              <w:t>100.00</w:t>
            </w:r>
          </w:p>
        </w:tc>
      </w:tr>
      <w:tr w14:paraId="1F103294" w14:textId="77777777">
        <w:tblPrEx>
          <w:tblW w:w="0" w:type="auto"/>
          <w:tblInd w:w="117" w:type="dxa"/>
          <w:tblLayout w:type="fixed"/>
          <w:tblCellMar>
            <w:left w:w="0" w:type="dxa"/>
            <w:right w:w="0" w:type="dxa"/>
          </w:tblCellMar>
          <w:tblLook w:val="01E0"/>
        </w:tblPrEx>
        <w:trPr>
          <w:trHeight w:val="286"/>
        </w:trPr>
        <w:tc>
          <w:tcPr>
            <w:tcW w:w="5281" w:type="dxa"/>
          </w:tcPr>
          <w:p w:rsidR="003F5784" w14:paraId="42D00853" w14:textId="77777777">
            <w:pPr>
              <w:pStyle w:val="TableParagraph"/>
              <w:ind w:left="117"/>
              <w:jc w:val="left"/>
              <w:rPr>
                <w:sz w:val="21"/>
              </w:rPr>
            </w:pPr>
            <w:r>
              <w:rPr>
                <w:spacing w:val="-2"/>
                <w:sz w:val="21"/>
              </w:rPr>
              <w:t>Massachusetts</w:t>
            </w:r>
          </w:p>
        </w:tc>
        <w:tc>
          <w:tcPr>
            <w:tcW w:w="4039" w:type="dxa"/>
          </w:tcPr>
          <w:p w:rsidR="003F5784" w14:paraId="41DC42A0" w14:textId="77777777">
            <w:pPr>
              <w:pStyle w:val="TableParagraph"/>
              <w:ind w:right="1304"/>
              <w:rPr>
                <w:sz w:val="21"/>
              </w:rPr>
            </w:pPr>
            <w:r>
              <w:rPr>
                <w:spacing w:val="-5"/>
                <w:sz w:val="21"/>
              </w:rPr>
              <w:t>120</w:t>
            </w:r>
          </w:p>
        </w:tc>
        <w:tc>
          <w:tcPr>
            <w:tcW w:w="3162" w:type="dxa"/>
          </w:tcPr>
          <w:p w:rsidR="003F5784" w14:paraId="39F4D23C" w14:textId="77777777">
            <w:pPr>
              <w:pStyle w:val="TableParagraph"/>
              <w:ind w:right="1539"/>
              <w:rPr>
                <w:sz w:val="21"/>
              </w:rPr>
            </w:pPr>
            <w:r>
              <w:rPr>
                <w:spacing w:val="-5"/>
                <w:sz w:val="21"/>
              </w:rPr>
              <w:t>120</w:t>
            </w:r>
          </w:p>
        </w:tc>
        <w:tc>
          <w:tcPr>
            <w:tcW w:w="2225" w:type="dxa"/>
          </w:tcPr>
          <w:p w:rsidR="003F5784" w14:paraId="00322709" w14:textId="77777777">
            <w:pPr>
              <w:pStyle w:val="TableParagraph"/>
              <w:ind w:right="107"/>
              <w:rPr>
                <w:sz w:val="21"/>
              </w:rPr>
            </w:pPr>
            <w:r>
              <w:rPr>
                <w:spacing w:val="-2"/>
                <w:sz w:val="21"/>
              </w:rPr>
              <w:t>100.00</w:t>
            </w:r>
          </w:p>
        </w:tc>
      </w:tr>
      <w:tr w14:paraId="60CDF337" w14:textId="77777777">
        <w:tblPrEx>
          <w:tblW w:w="0" w:type="auto"/>
          <w:tblInd w:w="117" w:type="dxa"/>
          <w:tblLayout w:type="fixed"/>
          <w:tblCellMar>
            <w:left w:w="0" w:type="dxa"/>
            <w:right w:w="0" w:type="dxa"/>
          </w:tblCellMar>
          <w:tblLook w:val="01E0"/>
        </w:tblPrEx>
        <w:trPr>
          <w:trHeight w:val="286"/>
        </w:trPr>
        <w:tc>
          <w:tcPr>
            <w:tcW w:w="5281" w:type="dxa"/>
          </w:tcPr>
          <w:p w:rsidR="003F5784" w14:paraId="4B7114FC" w14:textId="77777777">
            <w:pPr>
              <w:pStyle w:val="TableParagraph"/>
              <w:ind w:left="117"/>
              <w:jc w:val="left"/>
              <w:rPr>
                <w:sz w:val="21"/>
              </w:rPr>
            </w:pPr>
            <w:r>
              <w:rPr>
                <w:spacing w:val="-2"/>
                <w:sz w:val="21"/>
              </w:rPr>
              <w:t>Michigan–Detroit</w:t>
            </w:r>
          </w:p>
        </w:tc>
        <w:tc>
          <w:tcPr>
            <w:tcW w:w="4039" w:type="dxa"/>
          </w:tcPr>
          <w:p w:rsidR="003F5784" w14:paraId="4C3ED8C5" w14:textId="77777777">
            <w:pPr>
              <w:pStyle w:val="TableParagraph"/>
              <w:ind w:right="1304"/>
              <w:rPr>
                <w:sz w:val="21"/>
              </w:rPr>
            </w:pPr>
            <w:r>
              <w:rPr>
                <w:spacing w:val="-5"/>
                <w:sz w:val="21"/>
              </w:rPr>
              <w:t>40</w:t>
            </w:r>
          </w:p>
        </w:tc>
        <w:tc>
          <w:tcPr>
            <w:tcW w:w="3162" w:type="dxa"/>
          </w:tcPr>
          <w:p w:rsidR="003F5784" w14:paraId="220ED383" w14:textId="77777777">
            <w:pPr>
              <w:pStyle w:val="TableParagraph"/>
              <w:ind w:right="1539"/>
              <w:rPr>
                <w:sz w:val="21"/>
              </w:rPr>
            </w:pPr>
            <w:r>
              <w:rPr>
                <w:spacing w:val="-5"/>
                <w:sz w:val="21"/>
              </w:rPr>
              <w:t>40</w:t>
            </w:r>
          </w:p>
        </w:tc>
        <w:tc>
          <w:tcPr>
            <w:tcW w:w="2225" w:type="dxa"/>
          </w:tcPr>
          <w:p w:rsidR="003F5784" w14:paraId="2DD5092E" w14:textId="77777777">
            <w:pPr>
              <w:pStyle w:val="TableParagraph"/>
              <w:ind w:right="107"/>
              <w:rPr>
                <w:sz w:val="21"/>
              </w:rPr>
            </w:pPr>
            <w:r>
              <w:rPr>
                <w:spacing w:val="-2"/>
                <w:sz w:val="21"/>
              </w:rPr>
              <w:t>100.00</w:t>
            </w:r>
          </w:p>
        </w:tc>
      </w:tr>
      <w:tr w14:paraId="567790AD" w14:textId="77777777">
        <w:tblPrEx>
          <w:tblW w:w="0" w:type="auto"/>
          <w:tblInd w:w="117" w:type="dxa"/>
          <w:tblLayout w:type="fixed"/>
          <w:tblCellMar>
            <w:left w:w="0" w:type="dxa"/>
            <w:right w:w="0" w:type="dxa"/>
          </w:tblCellMar>
          <w:tblLook w:val="01E0"/>
        </w:tblPrEx>
        <w:trPr>
          <w:trHeight w:val="286"/>
        </w:trPr>
        <w:tc>
          <w:tcPr>
            <w:tcW w:w="5281" w:type="dxa"/>
          </w:tcPr>
          <w:p w:rsidR="003F5784" w14:paraId="57F86616" w14:textId="77777777">
            <w:pPr>
              <w:pStyle w:val="TableParagraph"/>
              <w:ind w:left="117"/>
              <w:jc w:val="left"/>
              <w:rPr>
                <w:sz w:val="21"/>
              </w:rPr>
            </w:pPr>
            <w:r>
              <w:rPr>
                <w:spacing w:val="-2"/>
                <w:sz w:val="21"/>
              </w:rPr>
              <w:t>Michigan</w:t>
            </w:r>
          </w:p>
        </w:tc>
        <w:tc>
          <w:tcPr>
            <w:tcW w:w="4039" w:type="dxa"/>
          </w:tcPr>
          <w:p w:rsidR="003F5784" w14:paraId="6F71436A" w14:textId="77777777">
            <w:pPr>
              <w:pStyle w:val="TableParagraph"/>
              <w:ind w:right="1304"/>
              <w:rPr>
                <w:sz w:val="21"/>
              </w:rPr>
            </w:pPr>
            <w:r>
              <w:rPr>
                <w:spacing w:val="-5"/>
                <w:sz w:val="21"/>
              </w:rPr>
              <w:t>130</w:t>
            </w:r>
          </w:p>
        </w:tc>
        <w:tc>
          <w:tcPr>
            <w:tcW w:w="3162" w:type="dxa"/>
          </w:tcPr>
          <w:p w:rsidR="003F5784" w14:paraId="67342926" w14:textId="77777777">
            <w:pPr>
              <w:pStyle w:val="TableParagraph"/>
              <w:ind w:right="1539"/>
              <w:rPr>
                <w:sz w:val="21"/>
              </w:rPr>
            </w:pPr>
            <w:r>
              <w:rPr>
                <w:spacing w:val="-5"/>
                <w:sz w:val="21"/>
              </w:rPr>
              <w:t>130</w:t>
            </w:r>
          </w:p>
        </w:tc>
        <w:tc>
          <w:tcPr>
            <w:tcW w:w="2225" w:type="dxa"/>
          </w:tcPr>
          <w:p w:rsidR="003F5784" w14:paraId="571B8985" w14:textId="77777777">
            <w:pPr>
              <w:pStyle w:val="TableParagraph"/>
              <w:ind w:right="107"/>
              <w:rPr>
                <w:sz w:val="21"/>
              </w:rPr>
            </w:pPr>
            <w:r>
              <w:rPr>
                <w:spacing w:val="-2"/>
                <w:sz w:val="21"/>
              </w:rPr>
              <w:t>100.00</w:t>
            </w:r>
          </w:p>
        </w:tc>
      </w:tr>
      <w:tr w14:paraId="19A94BA4" w14:textId="77777777">
        <w:tblPrEx>
          <w:tblW w:w="0" w:type="auto"/>
          <w:tblInd w:w="117" w:type="dxa"/>
          <w:tblLayout w:type="fixed"/>
          <w:tblCellMar>
            <w:left w:w="0" w:type="dxa"/>
            <w:right w:w="0" w:type="dxa"/>
          </w:tblCellMar>
          <w:tblLook w:val="01E0"/>
        </w:tblPrEx>
        <w:trPr>
          <w:trHeight w:val="286"/>
        </w:trPr>
        <w:tc>
          <w:tcPr>
            <w:tcW w:w="5281" w:type="dxa"/>
          </w:tcPr>
          <w:p w:rsidR="003F5784" w14:paraId="43F62320" w14:textId="77777777">
            <w:pPr>
              <w:pStyle w:val="TableParagraph"/>
              <w:ind w:left="117"/>
              <w:jc w:val="left"/>
              <w:rPr>
                <w:sz w:val="21"/>
              </w:rPr>
            </w:pPr>
            <w:r>
              <w:rPr>
                <w:spacing w:val="-2"/>
                <w:sz w:val="21"/>
              </w:rPr>
              <w:t>Minnesota</w:t>
            </w:r>
          </w:p>
        </w:tc>
        <w:tc>
          <w:tcPr>
            <w:tcW w:w="4039" w:type="dxa"/>
          </w:tcPr>
          <w:p w:rsidR="003F5784" w14:paraId="54AE5A24" w14:textId="77777777">
            <w:pPr>
              <w:pStyle w:val="TableParagraph"/>
              <w:ind w:right="1304"/>
              <w:rPr>
                <w:sz w:val="21"/>
              </w:rPr>
            </w:pPr>
            <w:r>
              <w:rPr>
                <w:spacing w:val="-5"/>
                <w:sz w:val="21"/>
              </w:rPr>
              <w:t>80</w:t>
            </w:r>
          </w:p>
        </w:tc>
        <w:tc>
          <w:tcPr>
            <w:tcW w:w="3162" w:type="dxa"/>
          </w:tcPr>
          <w:p w:rsidR="003F5784" w14:paraId="3FC4F6E9" w14:textId="77777777">
            <w:pPr>
              <w:pStyle w:val="TableParagraph"/>
              <w:ind w:right="1539"/>
              <w:rPr>
                <w:sz w:val="21"/>
              </w:rPr>
            </w:pPr>
            <w:r>
              <w:rPr>
                <w:spacing w:val="-5"/>
                <w:sz w:val="21"/>
              </w:rPr>
              <w:t>80</w:t>
            </w:r>
          </w:p>
        </w:tc>
        <w:tc>
          <w:tcPr>
            <w:tcW w:w="2225" w:type="dxa"/>
          </w:tcPr>
          <w:p w:rsidR="003F5784" w14:paraId="02412EB3" w14:textId="77777777">
            <w:pPr>
              <w:pStyle w:val="TableParagraph"/>
              <w:ind w:right="107"/>
              <w:rPr>
                <w:sz w:val="21"/>
              </w:rPr>
            </w:pPr>
            <w:r>
              <w:rPr>
                <w:spacing w:val="-2"/>
                <w:sz w:val="21"/>
              </w:rPr>
              <w:t>98.62</w:t>
            </w:r>
          </w:p>
        </w:tc>
      </w:tr>
      <w:tr w14:paraId="5D5AADC7" w14:textId="77777777">
        <w:tblPrEx>
          <w:tblW w:w="0" w:type="auto"/>
          <w:tblInd w:w="117" w:type="dxa"/>
          <w:tblLayout w:type="fixed"/>
          <w:tblCellMar>
            <w:left w:w="0" w:type="dxa"/>
            <w:right w:w="0" w:type="dxa"/>
          </w:tblCellMar>
          <w:tblLook w:val="01E0"/>
        </w:tblPrEx>
        <w:trPr>
          <w:trHeight w:val="286"/>
        </w:trPr>
        <w:tc>
          <w:tcPr>
            <w:tcW w:w="5281" w:type="dxa"/>
          </w:tcPr>
          <w:p w:rsidR="003F5784" w14:paraId="0EC7986B" w14:textId="77777777">
            <w:pPr>
              <w:pStyle w:val="TableParagraph"/>
              <w:ind w:left="117"/>
              <w:jc w:val="left"/>
              <w:rPr>
                <w:sz w:val="21"/>
              </w:rPr>
            </w:pPr>
            <w:r>
              <w:rPr>
                <w:spacing w:val="-2"/>
                <w:sz w:val="21"/>
              </w:rPr>
              <w:t>Mississippi</w:t>
            </w:r>
          </w:p>
        </w:tc>
        <w:tc>
          <w:tcPr>
            <w:tcW w:w="4039" w:type="dxa"/>
          </w:tcPr>
          <w:p w:rsidR="003F5784" w14:paraId="1A2EF014" w14:textId="77777777">
            <w:pPr>
              <w:pStyle w:val="TableParagraph"/>
              <w:ind w:right="1304"/>
              <w:rPr>
                <w:sz w:val="21"/>
              </w:rPr>
            </w:pPr>
            <w:r>
              <w:rPr>
                <w:spacing w:val="-5"/>
                <w:sz w:val="21"/>
              </w:rPr>
              <w:t>80</w:t>
            </w:r>
          </w:p>
        </w:tc>
        <w:tc>
          <w:tcPr>
            <w:tcW w:w="3162" w:type="dxa"/>
          </w:tcPr>
          <w:p w:rsidR="003F5784" w14:paraId="15BCF361" w14:textId="77777777">
            <w:pPr>
              <w:pStyle w:val="TableParagraph"/>
              <w:ind w:right="1539"/>
              <w:rPr>
                <w:sz w:val="21"/>
              </w:rPr>
            </w:pPr>
            <w:r>
              <w:rPr>
                <w:spacing w:val="-5"/>
                <w:sz w:val="21"/>
              </w:rPr>
              <w:t>80</w:t>
            </w:r>
          </w:p>
        </w:tc>
        <w:tc>
          <w:tcPr>
            <w:tcW w:w="2225" w:type="dxa"/>
          </w:tcPr>
          <w:p w:rsidR="003F5784" w14:paraId="0CD187FD" w14:textId="77777777">
            <w:pPr>
              <w:pStyle w:val="TableParagraph"/>
              <w:ind w:right="107"/>
              <w:rPr>
                <w:sz w:val="21"/>
              </w:rPr>
            </w:pPr>
            <w:r>
              <w:rPr>
                <w:spacing w:val="-2"/>
                <w:sz w:val="21"/>
              </w:rPr>
              <w:t>100.00</w:t>
            </w:r>
          </w:p>
        </w:tc>
      </w:tr>
      <w:tr w14:paraId="3F45C7D0" w14:textId="77777777">
        <w:tblPrEx>
          <w:tblW w:w="0" w:type="auto"/>
          <w:tblInd w:w="117" w:type="dxa"/>
          <w:tblLayout w:type="fixed"/>
          <w:tblCellMar>
            <w:left w:w="0" w:type="dxa"/>
            <w:right w:w="0" w:type="dxa"/>
          </w:tblCellMar>
          <w:tblLook w:val="01E0"/>
        </w:tblPrEx>
        <w:trPr>
          <w:trHeight w:val="286"/>
        </w:trPr>
        <w:tc>
          <w:tcPr>
            <w:tcW w:w="5281" w:type="dxa"/>
          </w:tcPr>
          <w:p w:rsidR="003F5784" w14:paraId="7AC9A652" w14:textId="77777777">
            <w:pPr>
              <w:pStyle w:val="TableParagraph"/>
              <w:ind w:left="117"/>
              <w:jc w:val="left"/>
              <w:rPr>
                <w:sz w:val="21"/>
              </w:rPr>
            </w:pPr>
            <w:r>
              <w:rPr>
                <w:spacing w:val="-2"/>
                <w:sz w:val="21"/>
              </w:rPr>
              <w:t>Missouri</w:t>
            </w:r>
          </w:p>
        </w:tc>
        <w:tc>
          <w:tcPr>
            <w:tcW w:w="4039" w:type="dxa"/>
          </w:tcPr>
          <w:p w:rsidR="003F5784" w14:paraId="24FEA1BC" w14:textId="77777777">
            <w:pPr>
              <w:pStyle w:val="TableParagraph"/>
              <w:ind w:right="1304"/>
              <w:rPr>
                <w:sz w:val="21"/>
              </w:rPr>
            </w:pPr>
            <w:r>
              <w:rPr>
                <w:spacing w:val="-5"/>
                <w:sz w:val="21"/>
              </w:rPr>
              <w:t>90</w:t>
            </w:r>
          </w:p>
        </w:tc>
        <w:tc>
          <w:tcPr>
            <w:tcW w:w="3162" w:type="dxa"/>
          </w:tcPr>
          <w:p w:rsidR="003F5784" w14:paraId="578F6C35" w14:textId="77777777">
            <w:pPr>
              <w:pStyle w:val="TableParagraph"/>
              <w:ind w:right="1539"/>
              <w:rPr>
                <w:sz w:val="21"/>
              </w:rPr>
            </w:pPr>
            <w:r>
              <w:rPr>
                <w:spacing w:val="-5"/>
                <w:sz w:val="21"/>
              </w:rPr>
              <w:t>90</w:t>
            </w:r>
          </w:p>
        </w:tc>
        <w:tc>
          <w:tcPr>
            <w:tcW w:w="2225" w:type="dxa"/>
          </w:tcPr>
          <w:p w:rsidR="003F5784" w14:paraId="34370EF6" w14:textId="77777777">
            <w:pPr>
              <w:pStyle w:val="TableParagraph"/>
              <w:ind w:right="107"/>
              <w:rPr>
                <w:sz w:val="21"/>
              </w:rPr>
            </w:pPr>
            <w:r>
              <w:rPr>
                <w:spacing w:val="-2"/>
                <w:sz w:val="21"/>
              </w:rPr>
              <w:t>100.00</w:t>
            </w:r>
          </w:p>
        </w:tc>
      </w:tr>
      <w:tr w14:paraId="343773B3" w14:textId="77777777">
        <w:tblPrEx>
          <w:tblW w:w="0" w:type="auto"/>
          <w:tblInd w:w="117" w:type="dxa"/>
          <w:tblLayout w:type="fixed"/>
          <w:tblCellMar>
            <w:left w:w="0" w:type="dxa"/>
            <w:right w:w="0" w:type="dxa"/>
          </w:tblCellMar>
          <w:tblLook w:val="01E0"/>
        </w:tblPrEx>
        <w:trPr>
          <w:trHeight w:val="286"/>
        </w:trPr>
        <w:tc>
          <w:tcPr>
            <w:tcW w:w="5281" w:type="dxa"/>
          </w:tcPr>
          <w:p w:rsidR="003F5784" w14:paraId="730F453C" w14:textId="77777777">
            <w:pPr>
              <w:pStyle w:val="TableParagraph"/>
              <w:ind w:left="117"/>
              <w:jc w:val="left"/>
              <w:rPr>
                <w:sz w:val="21"/>
              </w:rPr>
            </w:pPr>
            <w:r>
              <w:rPr>
                <w:spacing w:val="-2"/>
                <w:sz w:val="21"/>
              </w:rPr>
              <w:t>Montana</w:t>
            </w:r>
          </w:p>
        </w:tc>
        <w:tc>
          <w:tcPr>
            <w:tcW w:w="4039" w:type="dxa"/>
          </w:tcPr>
          <w:p w:rsidR="003F5784" w14:paraId="2BE0045C" w14:textId="77777777">
            <w:pPr>
              <w:pStyle w:val="TableParagraph"/>
              <w:ind w:right="1304"/>
              <w:rPr>
                <w:sz w:val="21"/>
              </w:rPr>
            </w:pPr>
            <w:r>
              <w:rPr>
                <w:spacing w:val="-5"/>
                <w:sz w:val="21"/>
              </w:rPr>
              <w:t>100</w:t>
            </w:r>
          </w:p>
        </w:tc>
        <w:tc>
          <w:tcPr>
            <w:tcW w:w="3162" w:type="dxa"/>
          </w:tcPr>
          <w:p w:rsidR="003F5784" w14:paraId="4C14171C" w14:textId="77777777">
            <w:pPr>
              <w:pStyle w:val="TableParagraph"/>
              <w:ind w:right="1539"/>
              <w:rPr>
                <w:sz w:val="21"/>
              </w:rPr>
            </w:pPr>
            <w:r>
              <w:rPr>
                <w:spacing w:val="-5"/>
                <w:sz w:val="21"/>
              </w:rPr>
              <w:t>100</w:t>
            </w:r>
          </w:p>
        </w:tc>
        <w:tc>
          <w:tcPr>
            <w:tcW w:w="2225" w:type="dxa"/>
          </w:tcPr>
          <w:p w:rsidR="003F5784" w14:paraId="39C77745" w14:textId="77777777">
            <w:pPr>
              <w:pStyle w:val="TableParagraph"/>
              <w:ind w:right="107"/>
              <w:rPr>
                <w:sz w:val="21"/>
              </w:rPr>
            </w:pPr>
            <w:r>
              <w:rPr>
                <w:spacing w:val="-2"/>
                <w:sz w:val="21"/>
              </w:rPr>
              <w:t>99.95</w:t>
            </w:r>
          </w:p>
        </w:tc>
      </w:tr>
      <w:tr w14:paraId="1124690F" w14:textId="77777777">
        <w:tblPrEx>
          <w:tblW w:w="0" w:type="auto"/>
          <w:tblInd w:w="117" w:type="dxa"/>
          <w:tblLayout w:type="fixed"/>
          <w:tblCellMar>
            <w:left w:w="0" w:type="dxa"/>
            <w:right w:w="0" w:type="dxa"/>
          </w:tblCellMar>
          <w:tblLook w:val="01E0"/>
        </w:tblPrEx>
        <w:trPr>
          <w:trHeight w:val="286"/>
        </w:trPr>
        <w:tc>
          <w:tcPr>
            <w:tcW w:w="5281" w:type="dxa"/>
          </w:tcPr>
          <w:p w:rsidR="003F5784" w14:paraId="4E5E6781" w14:textId="77777777">
            <w:pPr>
              <w:pStyle w:val="TableParagraph"/>
              <w:ind w:left="117"/>
              <w:jc w:val="left"/>
              <w:rPr>
                <w:sz w:val="21"/>
              </w:rPr>
            </w:pPr>
            <w:r>
              <w:rPr>
                <w:spacing w:val="-2"/>
                <w:sz w:val="21"/>
              </w:rPr>
              <w:t>Nebraska</w:t>
            </w:r>
          </w:p>
        </w:tc>
        <w:tc>
          <w:tcPr>
            <w:tcW w:w="4039" w:type="dxa"/>
          </w:tcPr>
          <w:p w:rsidR="003F5784" w14:paraId="16B592A9" w14:textId="77777777">
            <w:pPr>
              <w:pStyle w:val="TableParagraph"/>
              <w:ind w:right="1304"/>
              <w:rPr>
                <w:sz w:val="21"/>
              </w:rPr>
            </w:pPr>
            <w:r>
              <w:rPr>
                <w:spacing w:val="-5"/>
                <w:sz w:val="21"/>
              </w:rPr>
              <w:t>100</w:t>
            </w:r>
          </w:p>
        </w:tc>
        <w:tc>
          <w:tcPr>
            <w:tcW w:w="3162" w:type="dxa"/>
          </w:tcPr>
          <w:p w:rsidR="003F5784" w14:paraId="4EC82C38" w14:textId="77777777">
            <w:pPr>
              <w:pStyle w:val="TableParagraph"/>
              <w:ind w:right="1539"/>
              <w:rPr>
                <w:sz w:val="21"/>
              </w:rPr>
            </w:pPr>
            <w:r>
              <w:rPr>
                <w:spacing w:val="-5"/>
                <w:sz w:val="21"/>
              </w:rPr>
              <w:t>100</w:t>
            </w:r>
          </w:p>
        </w:tc>
        <w:tc>
          <w:tcPr>
            <w:tcW w:w="2225" w:type="dxa"/>
          </w:tcPr>
          <w:p w:rsidR="003F5784" w14:paraId="70553D7A" w14:textId="77777777">
            <w:pPr>
              <w:pStyle w:val="TableParagraph"/>
              <w:ind w:right="107"/>
              <w:rPr>
                <w:sz w:val="21"/>
              </w:rPr>
            </w:pPr>
            <w:r>
              <w:rPr>
                <w:spacing w:val="-2"/>
                <w:sz w:val="21"/>
              </w:rPr>
              <w:t>100.00</w:t>
            </w:r>
          </w:p>
        </w:tc>
      </w:tr>
      <w:tr w14:paraId="46A99C5F" w14:textId="77777777">
        <w:tblPrEx>
          <w:tblW w:w="0" w:type="auto"/>
          <w:tblInd w:w="117" w:type="dxa"/>
          <w:tblLayout w:type="fixed"/>
          <w:tblCellMar>
            <w:left w:w="0" w:type="dxa"/>
            <w:right w:w="0" w:type="dxa"/>
          </w:tblCellMar>
          <w:tblLook w:val="01E0"/>
        </w:tblPrEx>
        <w:trPr>
          <w:trHeight w:val="286"/>
        </w:trPr>
        <w:tc>
          <w:tcPr>
            <w:tcW w:w="5281" w:type="dxa"/>
          </w:tcPr>
          <w:p w:rsidR="003F5784" w14:paraId="3CDF221E" w14:textId="77777777">
            <w:pPr>
              <w:pStyle w:val="TableParagraph"/>
              <w:ind w:left="117"/>
              <w:jc w:val="left"/>
              <w:rPr>
                <w:sz w:val="21"/>
              </w:rPr>
            </w:pPr>
            <w:r>
              <w:rPr>
                <w:spacing w:val="-2"/>
                <w:sz w:val="21"/>
              </w:rPr>
              <w:t>Nevada–Clark</w:t>
            </w:r>
            <w:r>
              <w:rPr>
                <w:spacing w:val="10"/>
                <w:sz w:val="21"/>
              </w:rPr>
              <w:t xml:space="preserve"> </w:t>
            </w:r>
            <w:r>
              <w:rPr>
                <w:spacing w:val="-2"/>
                <w:sz w:val="21"/>
              </w:rPr>
              <w:t>County</w:t>
            </w:r>
          </w:p>
        </w:tc>
        <w:tc>
          <w:tcPr>
            <w:tcW w:w="4039" w:type="dxa"/>
          </w:tcPr>
          <w:p w:rsidR="003F5784" w14:paraId="572C9F2E" w14:textId="77777777">
            <w:pPr>
              <w:pStyle w:val="TableParagraph"/>
              <w:ind w:right="1304"/>
              <w:rPr>
                <w:sz w:val="21"/>
              </w:rPr>
            </w:pPr>
            <w:r>
              <w:rPr>
                <w:spacing w:val="-5"/>
                <w:sz w:val="21"/>
              </w:rPr>
              <w:t>50</w:t>
            </w:r>
          </w:p>
        </w:tc>
        <w:tc>
          <w:tcPr>
            <w:tcW w:w="3162" w:type="dxa"/>
          </w:tcPr>
          <w:p w:rsidR="003F5784" w14:paraId="65E39016" w14:textId="77777777">
            <w:pPr>
              <w:pStyle w:val="TableParagraph"/>
              <w:ind w:right="1539"/>
              <w:rPr>
                <w:sz w:val="21"/>
              </w:rPr>
            </w:pPr>
            <w:r>
              <w:rPr>
                <w:spacing w:val="-5"/>
                <w:sz w:val="21"/>
              </w:rPr>
              <w:t>50</w:t>
            </w:r>
          </w:p>
        </w:tc>
        <w:tc>
          <w:tcPr>
            <w:tcW w:w="2225" w:type="dxa"/>
          </w:tcPr>
          <w:p w:rsidR="003F5784" w14:paraId="661B76CE" w14:textId="77777777">
            <w:pPr>
              <w:pStyle w:val="TableParagraph"/>
              <w:ind w:right="107"/>
              <w:rPr>
                <w:sz w:val="21"/>
              </w:rPr>
            </w:pPr>
            <w:r>
              <w:rPr>
                <w:spacing w:val="-2"/>
                <w:sz w:val="21"/>
              </w:rPr>
              <w:t>100.00</w:t>
            </w:r>
          </w:p>
        </w:tc>
      </w:tr>
      <w:tr w14:paraId="163BC5F3" w14:textId="77777777">
        <w:tblPrEx>
          <w:tblW w:w="0" w:type="auto"/>
          <w:tblInd w:w="117" w:type="dxa"/>
          <w:tblLayout w:type="fixed"/>
          <w:tblCellMar>
            <w:left w:w="0" w:type="dxa"/>
            <w:right w:w="0" w:type="dxa"/>
          </w:tblCellMar>
          <w:tblLook w:val="01E0"/>
        </w:tblPrEx>
        <w:trPr>
          <w:trHeight w:val="286"/>
        </w:trPr>
        <w:tc>
          <w:tcPr>
            <w:tcW w:w="5281" w:type="dxa"/>
          </w:tcPr>
          <w:p w:rsidR="003F5784" w14:paraId="73E0B2B0" w14:textId="77777777">
            <w:pPr>
              <w:pStyle w:val="TableParagraph"/>
              <w:ind w:left="117"/>
              <w:jc w:val="left"/>
              <w:rPr>
                <w:sz w:val="21"/>
              </w:rPr>
            </w:pPr>
            <w:r>
              <w:rPr>
                <w:spacing w:val="-2"/>
                <w:sz w:val="21"/>
              </w:rPr>
              <w:t>Nevada</w:t>
            </w:r>
          </w:p>
        </w:tc>
        <w:tc>
          <w:tcPr>
            <w:tcW w:w="4039" w:type="dxa"/>
          </w:tcPr>
          <w:p w:rsidR="003F5784" w14:paraId="0E340366" w14:textId="77777777">
            <w:pPr>
              <w:pStyle w:val="TableParagraph"/>
              <w:ind w:right="1304"/>
              <w:rPr>
                <w:sz w:val="21"/>
              </w:rPr>
            </w:pPr>
            <w:r>
              <w:rPr>
                <w:spacing w:val="-5"/>
                <w:sz w:val="21"/>
              </w:rPr>
              <w:t>90</w:t>
            </w:r>
          </w:p>
        </w:tc>
        <w:tc>
          <w:tcPr>
            <w:tcW w:w="3162" w:type="dxa"/>
          </w:tcPr>
          <w:p w:rsidR="003F5784" w14:paraId="7C732476" w14:textId="77777777">
            <w:pPr>
              <w:pStyle w:val="TableParagraph"/>
              <w:ind w:right="1539"/>
              <w:rPr>
                <w:sz w:val="21"/>
              </w:rPr>
            </w:pPr>
            <w:r>
              <w:rPr>
                <w:spacing w:val="-5"/>
                <w:sz w:val="21"/>
              </w:rPr>
              <w:t>90</w:t>
            </w:r>
          </w:p>
        </w:tc>
        <w:tc>
          <w:tcPr>
            <w:tcW w:w="2225" w:type="dxa"/>
          </w:tcPr>
          <w:p w:rsidR="003F5784" w14:paraId="684ABCD9" w14:textId="77777777">
            <w:pPr>
              <w:pStyle w:val="TableParagraph"/>
              <w:ind w:right="107"/>
              <w:rPr>
                <w:sz w:val="21"/>
              </w:rPr>
            </w:pPr>
            <w:r>
              <w:rPr>
                <w:spacing w:val="-2"/>
                <w:sz w:val="21"/>
              </w:rPr>
              <w:t>100.00</w:t>
            </w:r>
          </w:p>
        </w:tc>
      </w:tr>
      <w:tr w14:paraId="623E682F" w14:textId="77777777">
        <w:tblPrEx>
          <w:tblW w:w="0" w:type="auto"/>
          <w:tblInd w:w="117" w:type="dxa"/>
          <w:tblLayout w:type="fixed"/>
          <w:tblCellMar>
            <w:left w:w="0" w:type="dxa"/>
            <w:right w:w="0" w:type="dxa"/>
          </w:tblCellMar>
          <w:tblLook w:val="01E0"/>
        </w:tblPrEx>
        <w:trPr>
          <w:trHeight w:val="286"/>
        </w:trPr>
        <w:tc>
          <w:tcPr>
            <w:tcW w:w="5281" w:type="dxa"/>
          </w:tcPr>
          <w:p w:rsidR="003F5784" w14:paraId="0E25AB16" w14:textId="77777777">
            <w:pPr>
              <w:pStyle w:val="TableParagraph"/>
              <w:ind w:left="117"/>
              <w:jc w:val="left"/>
              <w:rPr>
                <w:sz w:val="21"/>
              </w:rPr>
            </w:pPr>
            <w:r>
              <w:rPr>
                <w:sz w:val="21"/>
              </w:rPr>
              <w:t>New</w:t>
            </w:r>
            <w:r>
              <w:rPr>
                <w:spacing w:val="-5"/>
                <w:sz w:val="21"/>
              </w:rPr>
              <w:t xml:space="preserve"> </w:t>
            </w:r>
            <w:r>
              <w:rPr>
                <w:spacing w:val="-2"/>
                <w:sz w:val="21"/>
              </w:rPr>
              <w:t>Hampshire</w:t>
            </w:r>
          </w:p>
        </w:tc>
        <w:tc>
          <w:tcPr>
            <w:tcW w:w="4039" w:type="dxa"/>
          </w:tcPr>
          <w:p w:rsidR="003F5784" w14:paraId="56211A1F" w14:textId="77777777">
            <w:pPr>
              <w:pStyle w:val="TableParagraph"/>
              <w:ind w:right="1304"/>
              <w:rPr>
                <w:sz w:val="21"/>
              </w:rPr>
            </w:pPr>
            <w:r>
              <w:rPr>
                <w:spacing w:val="-5"/>
                <w:sz w:val="21"/>
              </w:rPr>
              <w:t>80</w:t>
            </w:r>
          </w:p>
        </w:tc>
        <w:tc>
          <w:tcPr>
            <w:tcW w:w="3162" w:type="dxa"/>
          </w:tcPr>
          <w:p w:rsidR="003F5784" w14:paraId="4EF3FAC4" w14:textId="77777777">
            <w:pPr>
              <w:pStyle w:val="TableParagraph"/>
              <w:ind w:right="1539"/>
              <w:rPr>
                <w:sz w:val="21"/>
              </w:rPr>
            </w:pPr>
            <w:r>
              <w:rPr>
                <w:spacing w:val="-5"/>
                <w:sz w:val="21"/>
              </w:rPr>
              <w:t>80</w:t>
            </w:r>
          </w:p>
        </w:tc>
        <w:tc>
          <w:tcPr>
            <w:tcW w:w="2225" w:type="dxa"/>
          </w:tcPr>
          <w:p w:rsidR="003F5784" w14:paraId="00E81370" w14:textId="77777777">
            <w:pPr>
              <w:pStyle w:val="TableParagraph"/>
              <w:ind w:right="107"/>
              <w:rPr>
                <w:sz w:val="21"/>
              </w:rPr>
            </w:pPr>
            <w:r>
              <w:rPr>
                <w:spacing w:val="-2"/>
                <w:sz w:val="21"/>
              </w:rPr>
              <w:t>98.97</w:t>
            </w:r>
          </w:p>
        </w:tc>
      </w:tr>
      <w:tr w14:paraId="1DDC0CA5" w14:textId="77777777">
        <w:tblPrEx>
          <w:tblW w:w="0" w:type="auto"/>
          <w:tblInd w:w="117" w:type="dxa"/>
          <w:tblLayout w:type="fixed"/>
          <w:tblCellMar>
            <w:left w:w="0" w:type="dxa"/>
            <w:right w:w="0" w:type="dxa"/>
          </w:tblCellMar>
          <w:tblLook w:val="01E0"/>
        </w:tblPrEx>
        <w:trPr>
          <w:trHeight w:val="286"/>
        </w:trPr>
        <w:tc>
          <w:tcPr>
            <w:tcW w:w="5281" w:type="dxa"/>
          </w:tcPr>
          <w:p w:rsidR="003F5784" w14:paraId="0F2FAB45" w14:textId="77777777">
            <w:pPr>
              <w:pStyle w:val="TableParagraph"/>
              <w:ind w:left="117"/>
              <w:jc w:val="left"/>
              <w:rPr>
                <w:sz w:val="21"/>
              </w:rPr>
            </w:pPr>
            <w:r>
              <w:rPr>
                <w:sz w:val="21"/>
              </w:rPr>
              <w:t>New</w:t>
            </w:r>
            <w:r>
              <w:rPr>
                <w:spacing w:val="-5"/>
                <w:sz w:val="21"/>
              </w:rPr>
              <w:t xml:space="preserve"> </w:t>
            </w:r>
            <w:r>
              <w:rPr>
                <w:spacing w:val="-2"/>
                <w:sz w:val="21"/>
              </w:rPr>
              <w:t>Jersey</w:t>
            </w:r>
          </w:p>
        </w:tc>
        <w:tc>
          <w:tcPr>
            <w:tcW w:w="4039" w:type="dxa"/>
          </w:tcPr>
          <w:p w:rsidR="003F5784" w14:paraId="32CA2CFD" w14:textId="77777777">
            <w:pPr>
              <w:pStyle w:val="TableParagraph"/>
              <w:ind w:right="1304"/>
              <w:rPr>
                <w:sz w:val="21"/>
              </w:rPr>
            </w:pPr>
            <w:r>
              <w:rPr>
                <w:spacing w:val="-5"/>
                <w:sz w:val="21"/>
              </w:rPr>
              <w:t>90</w:t>
            </w:r>
          </w:p>
        </w:tc>
        <w:tc>
          <w:tcPr>
            <w:tcW w:w="3162" w:type="dxa"/>
          </w:tcPr>
          <w:p w:rsidR="003F5784" w14:paraId="112CC539" w14:textId="77777777">
            <w:pPr>
              <w:pStyle w:val="TableParagraph"/>
              <w:ind w:right="1539"/>
              <w:rPr>
                <w:sz w:val="21"/>
              </w:rPr>
            </w:pPr>
            <w:r>
              <w:rPr>
                <w:spacing w:val="-5"/>
                <w:sz w:val="21"/>
              </w:rPr>
              <w:t>80</w:t>
            </w:r>
          </w:p>
        </w:tc>
        <w:tc>
          <w:tcPr>
            <w:tcW w:w="2225" w:type="dxa"/>
          </w:tcPr>
          <w:p w:rsidR="003F5784" w14:paraId="7D96D0FA" w14:textId="77777777">
            <w:pPr>
              <w:pStyle w:val="TableParagraph"/>
              <w:ind w:right="107"/>
              <w:rPr>
                <w:sz w:val="21"/>
              </w:rPr>
            </w:pPr>
            <w:r>
              <w:rPr>
                <w:spacing w:val="-2"/>
                <w:sz w:val="21"/>
              </w:rPr>
              <w:t>98.85</w:t>
            </w:r>
          </w:p>
        </w:tc>
      </w:tr>
      <w:tr w14:paraId="26822648" w14:textId="77777777">
        <w:tblPrEx>
          <w:tblW w:w="0" w:type="auto"/>
          <w:tblInd w:w="117" w:type="dxa"/>
          <w:tblLayout w:type="fixed"/>
          <w:tblCellMar>
            <w:left w:w="0" w:type="dxa"/>
            <w:right w:w="0" w:type="dxa"/>
          </w:tblCellMar>
          <w:tblLook w:val="01E0"/>
        </w:tblPrEx>
        <w:trPr>
          <w:trHeight w:val="286"/>
        </w:trPr>
        <w:tc>
          <w:tcPr>
            <w:tcW w:w="5281" w:type="dxa"/>
          </w:tcPr>
          <w:p w:rsidR="003F5784" w14:paraId="1DDDD94E" w14:textId="77777777">
            <w:pPr>
              <w:pStyle w:val="TableParagraph"/>
              <w:ind w:left="117"/>
              <w:jc w:val="left"/>
              <w:rPr>
                <w:sz w:val="21"/>
              </w:rPr>
            </w:pPr>
            <w:r>
              <w:rPr>
                <w:sz w:val="21"/>
              </w:rPr>
              <w:t>New</w:t>
            </w:r>
            <w:r>
              <w:rPr>
                <w:spacing w:val="-5"/>
                <w:sz w:val="21"/>
              </w:rPr>
              <w:t xml:space="preserve"> </w:t>
            </w:r>
            <w:r>
              <w:rPr>
                <w:spacing w:val="-2"/>
                <w:sz w:val="21"/>
              </w:rPr>
              <w:t>Mexico–Albuquerque</w:t>
            </w:r>
          </w:p>
        </w:tc>
        <w:tc>
          <w:tcPr>
            <w:tcW w:w="4039" w:type="dxa"/>
          </w:tcPr>
          <w:p w:rsidR="003F5784" w14:paraId="62E64420" w14:textId="77777777">
            <w:pPr>
              <w:pStyle w:val="TableParagraph"/>
              <w:ind w:right="1304"/>
              <w:rPr>
                <w:sz w:val="21"/>
              </w:rPr>
            </w:pPr>
            <w:r>
              <w:rPr>
                <w:spacing w:val="-5"/>
                <w:sz w:val="21"/>
              </w:rPr>
              <w:t>30</w:t>
            </w:r>
          </w:p>
        </w:tc>
        <w:tc>
          <w:tcPr>
            <w:tcW w:w="3162" w:type="dxa"/>
          </w:tcPr>
          <w:p w:rsidR="003F5784" w14:paraId="36D061B5" w14:textId="77777777">
            <w:pPr>
              <w:pStyle w:val="TableParagraph"/>
              <w:ind w:right="1539"/>
              <w:rPr>
                <w:sz w:val="21"/>
              </w:rPr>
            </w:pPr>
            <w:r>
              <w:rPr>
                <w:spacing w:val="-5"/>
                <w:sz w:val="21"/>
              </w:rPr>
              <w:t>30</w:t>
            </w:r>
          </w:p>
        </w:tc>
        <w:tc>
          <w:tcPr>
            <w:tcW w:w="2225" w:type="dxa"/>
          </w:tcPr>
          <w:p w:rsidR="003F5784" w14:paraId="73412DAC" w14:textId="77777777">
            <w:pPr>
              <w:pStyle w:val="TableParagraph"/>
              <w:ind w:right="107"/>
              <w:rPr>
                <w:sz w:val="21"/>
              </w:rPr>
            </w:pPr>
            <w:r>
              <w:rPr>
                <w:spacing w:val="-2"/>
                <w:sz w:val="21"/>
              </w:rPr>
              <w:t>100.00</w:t>
            </w:r>
          </w:p>
        </w:tc>
      </w:tr>
      <w:tr w14:paraId="36806214" w14:textId="77777777">
        <w:tblPrEx>
          <w:tblW w:w="0" w:type="auto"/>
          <w:tblInd w:w="117" w:type="dxa"/>
          <w:tblLayout w:type="fixed"/>
          <w:tblCellMar>
            <w:left w:w="0" w:type="dxa"/>
            <w:right w:w="0" w:type="dxa"/>
          </w:tblCellMar>
          <w:tblLook w:val="01E0"/>
        </w:tblPrEx>
        <w:trPr>
          <w:trHeight w:val="286"/>
        </w:trPr>
        <w:tc>
          <w:tcPr>
            <w:tcW w:w="5281" w:type="dxa"/>
          </w:tcPr>
          <w:p w:rsidR="003F5784" w14:paraId="6A03694D" w14:textId="77777777">
            <w:pPr>
              <w:pStyle w:val="TableParagraph"/>
              <w:ind w:left="117"/>
              <w:jc w:val="left"/>
              <w:rPr>
                <w:sz w:val="21"/>
              </w:rPr>
            </w:pPr>
            <w:r>
              <w:rPr>
                <w:sz w:val="21"/>
              </w:rPr>
              <w:t>New</w:t>
            </w:r>
            <w:r>
              <w:rPr>
                <w:spacing w:val="-5"/>
                <w:sz w:val="21"/>
              </w:rPr>
              <w:t xml:space="preserve"> </w:t>
            </w:r>
            <w:r>
              <w:rPr>
                <w:spacing w:val="-2"/>
                <w:sz w:val="21"/>
              </w:rPr>
              <w:t>Mexico</w:t>
            </w:r>
          </w:p>
        </w:tc>
        <w:tc>
          <w:tcPr>
            <w:tcW w:w="4039" w:type="dxa"/>
          </w:tcPr>
          <w:p w:rsidR="003F5784" w14:paraId="1FEBA450" w14:textId="77777777">
            <w:pPr>
              <w:pStyle w:val="TableParagraph"/>
              <w:ind w:right="1304"/>
              <w:rPr>
                <w:sz w:val="21"/>
              </w:rPr>
            </w:pPr>
            <w:r>
              <w:rPr>
                <w:spacing w:val="-5"/>
                <w:sz w:val="21"/>
              </w:rPr>
              <w:t>100</w:t>
            </w:r>
          </w:p>
        </w:tc>
        <w:tc>
          <w:tcPr>
            <w:tcW w:w="3162" w:type="dxa"/>
          </w:tcPr>
          <w:p w:rsidR="003F5784" w14:paraId="2E0B55C6" w14:textId="77777777">
            <w:pPr>
              <w:pStyle w:val="TableParagraph"/>
              <w:ind w:right="1539"/>
              <w:rPr>
                <w:sz w:val="21"/>
              </w:rPr>
            </w:pPr>
            <w:r>
              <w:rPr>
                <w:spacing w:val="-5"/>
                <w:sz w:val="21"/>
              </w:rPr>
              <w:t>100</w:t>
            </w:r>
          </w:p>
        </w:tc>
        <w:tc>
          <w:tcPr>
            <w:tcW w:w="2225" w:type="dxa"/>
          </w:tcPr>
          <w:p w:rsidR="003F5784" w14:paraId="03E65610" w14:textId="77777777">
            <w:pPr>
              <w:pStyle w:val="TableParagraph"/>
              <w:ind w:right="107"/>
              <w:rPr>
                <w:sz w:val="21"/>
              </w:rPr>
            </w:pPr>
            <w:r>
              <w:rPr>
                <w:spacing w:val="-2"/>
                <w:sz w:val="21"/>
              </w:rPr>
              <w:t>100.00</w:t>
            </w:r>
          </w:p>
        </w:tc>
      </w:tr>
      <w:tr w14:paraId="586208E0" w14:textId="77777777">
        <w:tblPrEx>
          <w:tblW w:w="0" w:type="auto"/>
          <w:tblInd w:w="117" w:type="dxa"/>
          <w:tblLayout w:type="fixed"/>
          <w:tblCellMar>
            <w:left w:w="0" w:type="dxa"/>
            <w:right w:w="0" w:type="dxa"/>
          </w:tblCellMar>
          <w:tblLook w:val="01E0"/>
        </w:tblPrEx>
        <w:trPr>
          <w:trHeight w:val="286"/>
        </w:trPr>
        <w:tc>
          <w:tcPr>
            <w:tcW w:w="5281" w:type="dxa"/>
          </w:tcPr>
          <w:p w:rsidR="003F5784" w14:paraId="763F70EE" w14:textId="77777777">
            <w:pPr>
              <w:pStyle w:val="TableParagraph"/>
              <w:ind w:left="117"/>
              <w:jc w:val="left"/>
              <w:rPr>
                <w:sz w:val="21"/>
              </w:rPr>
            </w:pPr>
            <w:r>
              <w:rPr>
                <w:spacing w:val="-4"/>
                <w:sz w:val="21"/>
              </w:rPr>
              <w:t>New</w:t>
            </w:r>
            <w:r>
              <w:rPr>
                <w:spacing w:val="-9"/>
                <w:sz w:val="21"/>
              </w:rPr>
              <w:t xml:space="preserve"> </w:t>
            </w:r>
            <w:r>
              <w:rPr>
                <w:spacing w:val="-4"/>
                <w:sz w:val="21"/>
              </w:rPr>
              <w:t>York–New</w:t>
            </w:r>
            <w:r>
              <w:rPr>
                <w:spacing w:val="-9"/>
                <w:sz w:val="21"/>
              </w:rPr>
              <w:t xml:space="preserve"> </w:t>
            </w:r>
            <w:r>
              <w:rPr>
                <w:spacing w:val="-4"/>
                <w:sz w:val="21"/>
              </w:rPr>
              <w:t>York</w:t>
            </w:r>
            <w:r>
              <w:rPr>
                <w:spacing w:val="-1"/>
                <w:sz w:val="21"/>
              </w:rPr>
              <w:t xml:space="preserve"> </w:t>
            </w:r>
            <w:r>
              <w:rPr>
                <w:spacing w:val="-4"/>
                <w:sz w:val="21"/>
              </w:rPr>
              <w:t>City</w:t>
            </w:r>
          </w:p>
        </w:tc>
        <w:tc>
          <w:tcPr>
            <w:tcW w:w="4039" w:type="dxa"/>
          </w:tcPr>
          <w:p w:rsidR="003F5784" w14:paraId="7ADC483A" w14:textId="77777777">
            <w:pPr>
              <w:pStyle w:val="TableParagraph"/>
              <w:ind w:right="1304"/>
              <w:rPr>
                <w:sz w:val="21"/>
              </w:rPr>
            </w:pPr>
            <w:r>
              <w:rPr>
                <w:spacing w:val="-5"/>
                <w:sz w:val="21"/>
              </w:rPr>
              <w:t>70</w:t>
            </w:r>
          </w:p>
        </w:tc>
        <w:tc>
          <w:tcPr>
            <w:tcW w:w="3162" w:type="dxa"/>
          </w:tcPr>
          <w:p w:rsidR="003F5784" w14:paraId="6FCBDD51" w14:textId="77777777">
            <w:pPr>
              <w:pStyle w:val="TableParagraph"/>
              <w:ind w:right="1539"/>
              <w:rPr>
                <w:sz w:val="21"/>
              </w:rPr>
            </w:pPr>
            <w:r>
              <w:rPr>
                <w:spacing w:val="-5"/>
                <w:sz w:val="21"/>
              </w:rPr>
              <w:t>60</w:t>
            </w:r>
          </w:p>
        </w:tc>
        <w:tc>
          <w:tcPr>
            <w:tcW w:w="2225" w:type="dxa"/>
          </w:tcPr>
          <w:p w:rsidR="003F5784" w14:paraId="7AF65D31" w14:textId="77777777">
            <w:pPr>
              <w:pStyle w:val="TableParagraph"/>
              <w:ind w:right="107"/>
              <w:rPr>
                <w:sz w:val="21"/>
              </w:rPr>
            </w:pPr>
            <w:r>
              <w:rPr>
                <w:spacing w:val="-2"/>
                <w:sz w:val="21"/>
              </w:rPr>
              <w:t>96.75</w:t>
            </w:r>
          </w:p>
        </w:tc>
      </w:tr>
      <w:tr w14:paraId="661FEE6C" w14:textId="77777777">
        <w:tblPrEx>
          <w:tblW w:w="0" w:type="auto"/>
          <w:tblInd w:w="117" w:type="dxa"/>
          <w:tblLayout w:type="fixed"/>
          <w:tblCellMar>
            <w:left w:w="0" w:type="dxa"/>
            <w:right w:w="0" w:type="dxa"/>
          </w:tblCellMar>
          <w:tblLook w:val="01E0"/>
        </w:tblPrEx>
        <w:trPr>
          <w:trHeight w:val="286"/>
        </w:trPr>
        <w:tc>
          <w:tcPr>
            <w:tcW w:w="5281" w:type="dxa"/>
          </w:tcPr>
          <w:p w:rsidR="003F5784" w14:paraId="43FB5EC1" w14:textId="77777777">
            <w:pPr>
              <w:pStyle w:val="TableParagraph"/>
              <w:ind w:left="117"/>
              <w:jc w:val="left"/>
              <w:rPr>
                <w:sz w:val="21"/>
              </w:rPr>
            </w:pPr>
            <w:r>
              <w:rPr>
                <w:sz w:val="21"/>
              </w:rPr>
              <w:t>New</w:t>
            </w:r>
            <w:r>
              <w:rPr>
                <w:spacing w:val="-13"/>
                <w:sz w:val="21"/>
              </w:rPr>
              <w:t xml:space="preserve"> </w:t>
            </w:r>
            <w:r>
              <w:rPr>
                <w:spacing w:val="-4"/>
                <w:sz w:val="21"/>
              </w:rPr>
              <w:t>York</w:t>
            </w:r>
          </w:p>
        </w:tc>
        <w:tc>
          <w:tcPr>
            <w:tcW w:w="4039" w:type="dxa"/>
          </w:tcPr>
          <w:p w:rsidR="003F5784" w14:paraId="1D6EE2BD" w14:textId="77777777">
            <w:pPr>
              <w:pStyle w:val="TableParagraph"/>
              <w:ind w:right="1304"/>
              <w:rPr>
                <w:sz w:val="21"/>
              </w:rPr>
            </w:pPr>
            <w:r>
              <w:rPr>
                <w:spacing w:val="-5"/>
                <w:sz w:val="21"/>
              </w:rPr>
              <w:t>120</w:t>
            </w:r>
          </w:p>
        </w:tc>
        <w:tc>
          <w:tcPr>
            <w:tcW w:w="3162" w:type="dxa"/>
          </w:tcPr>
          <w:p w:rsidR="003F5784" w14:paraId="41FD3138" w14:textId="77777777">
            <w:pPr>
              <w:pStyle w:val="TableParagraph"/>
              <w:ind w:right="1539"/>
              <w:rPr>
                <w:sz w:val="21"/>
              </w:rPr>
            </w:pPr>
            <w:r>
              <w:rPr>
                <w:spacing w:val="-5"/>
                <w:sz w:val="21"/>
              </w:rPr>
              <w:t>120</w:t>
            </w:r>
          </w:p>
        </w:tc>
        <w:tc>
          <w:tcPr>
            <w:tcW w:w="2225" w:type="dxa"/>
          </w:tcPr>
          <w:p w:rsidR="003F5784" w14:paraId="295612E7" w14:textId="77777777">
            <w:pPr>
              <w:pStyle w:val="TableParagraph"/>
              <w:ind w:right="107"/>
              <w:rPr>
                <w:sz w:val="21"/>
              </w:rPr>
            </w:pPr>
            <w:r>
              <w:rPr>
                <w:spacing w:val="-2"/>
                <w:sz w:val="21"/>
              </w:rPr>
              <w:t>97.65</w:t>
            </w:r>
          </w:p>
        </w:tc>
      </w:tr>
      <w:tr w14:paraId="555B09A2" w14:textId="77777777">
        <w:tblPrEx>
          <w:tblW w:w="0" w:type="auto"/>
          <w:tblInd w:w="117" w:type="dxa"/>
          <w:tblLayout w:type="fixed"/>
          <w:tblCellMar>
            <w:left w:w="0" w:type="dxa"/>
            <w:right w:w="0" w:type="dxa"/>
          </w:tblCellMar>
          <w:tblLook w:val="01E0"/>
        </w:tblPrEx>
        <w:trPr>
          <w:trHeight w:val="286"/>
        </w:trPr>
        <w:tc>
          <w:tcPr>
            <w:tcW w:w="5281" w:type="dxa"/>
          </w:tcPr>
          <w:p w:rsidR="003F5784" w14:paraId="720AA283" w14:textId="77777777">
            <w:pPr>
              <w:pStyle w:val="TableParagraph"/>
              <w:ind w:left="117"/>
              <w:jc w:val="left"/>
              <w:rPr>
                <w:sz w:val="21"/>
              </w:rPr>
            </w:pPr>
            <w:r>
              <w:rPr>
                <w:sz w:val="21"/>
              </w:rPr>
              <w:t>North</w:t>
            </w:r>
            <w:r>
              <w:rPr>
                <w:spacing w:val="-6"/>
                <w:sz w:val="21"/>
              </w:rPr>
              <w:t xml:space="preserve"> </w:t>
            </w:r>
            <w:r>
              <w:rPr>
                <w:spacing w:val="-2"/>
                <w:sz w:val="21"/>
              </w:rPr>
              <w:t>Carolina–Charlotte</w:t>
            </w:r>
          </w:p>
        </w:tc>
        <w:tc>
          <w:tcPr>
            <w:tcW w:w="4039" w:type="dxa"/>
          </w:tcPr>
          <w:p w:rsidR="003F5784" w14:paraId="1D097068" w14:textId="77777777">
            <w:pPr>
              <w:pStyle w:val="TableParagraph"/>
              <w:ind w:right="1304"/>
              <w:rPr>
                <w:sz w:val="21"/>
              </w:rPr>
            </w:pPr>
            <w:r>
              <w:rPr>
                <w:spacing w:val="-5"/>
                <w:sz w:val="21"/>
              </w:rPr>
              <w:t>30</w:t>
            </w:r>
          </w:p>
        </w:tc>
        <w:tc>
          <w:tcPr>
            <w:tcW w:w="3162" w:type="dxa"/>
          </w:tcPr>
          <w:p w:rsidR="003F5784" w14:paraId="0E2A0027" w14:textId="77777777">
            <w:pPr>
              <w:pStyle w:val="TableParagraph"/>
              <w:ind w:right="1539"/>
              <w:rPr>
                <w:sz w:val="21"/>
              </w:rPr>
            </w:pPr>
            <w:r>
              <w:rPr>
                <w:spacing w:val="-5"/>
                <w:sz w:val="21"/>
              </w:rPr>
              <w:t>30</w:t>
            </w:r>
          </w:p>
        </w:tc>
        <w:tc>
          <w:tcPr>
            <w:tcW w:w="2225" w:type="dxa"/>
          </w:tcPr>
          <w:p w:rsidR="003F5784" w14:paraId="7C549EBF" w14:textId="77777777">
            <w:pPr>
              <w:pStyle w:val="TableParagraph"/>
              <w:ind w:right="107"/>
              <w:rPr>
                <w:sz w:val="21"/>
              </w:rPr>
            </w:pPr>
            <w:r>
              <w:rPr>
                <w:spacing w:val="-2"/>
                <w:sz w:val="21"/>
              </w:rPr>
              <w:t>100.00</w:t>
            </w:r>
          </w:p>
        </w:tc>
      </w:tr>
      <w:tr w14:paraId="2A92DA10" w14:textId="77777777">
        <w:tblPrEx>
          <w:tblW w:w="0" w:type="auto"/>
          <w:tblInd w:w="117" w:type="dxa"/>
          <w:tblLayout w:type="fixed"/>
          <w:tblCellMar>
            <w:left w:w="0" w:type="dxa"/>
            <w:right w:w="0" w:type="dxa"/>
          </w:tblCellMar>
          <w:tblLook w:val="01E0"/>
        </w:tblPrEx>
        <w:trPr>
          <w:trHeight w:val="286"/>
        </w:trPr>
        <w:tc>
          <w:tcPr>
            <w:tcW w:w="5281" w:type="dxa"/>
          </w:tcPr>
          <w:p w:rsidR="003F5784" w14:paraId="208D7C9F" w14:textId="77777777">
            <w:pPr>
              <w:pStyle w:val="TableParagraph"/>
              <w:ind w:left="117"/>
              <w:jc w:val="left"/>
              <w:rPr>
                <w:sz w:val="21"/>
              </w:rPr>
            </w:pPr>
            <w:r>
              <w:rPr>
                <w:sz w:val="21"/>
              </w:rPr>
              <w:t>North</w:t>
            </w:r>
            <w:r>
              <w:rPr>
                <w:spacing w:val="-12"/>
                <w:sz w:val="21"/>
              </w:rPr>
              <w:t xml:space="preserve"> </w:t>
            </w:r>
            <w:r>
              <w:rPr>
                <w:sz w:val="21"/>
              </w:rPr>
              <w:t>Carolina–Guilford</w:t>
            </w:r>
            <w:r>
              <w:rPr>
                <w:spacing w:val="-11"/>
                <w:sz w:val="21"/>
              </w:rPr>
              <w:t xml:space="preserve"> </w:t>
            </w:r>
            <w:r>
              <w:rPr>
                <w:spacing w:val="-2"/>
                <w:sz w:val="21"/>
              </w:rPr>
              <w:t>County</w:t>
            </w:r>
          </w:p>
        </w:tc>
        <w:tc>
          <w:tcPr>
            <w:tcW w:w="4039" w:type="dxa"/>
          </w:tcPr>
          <w:p w:rsidR="003F5784" w14:paraId="6EF2A165" w14:textId="77777777">
            <w:pPr>
              <w:pStyle w:val="TableParagraph"/>
              <w:ind w:right="1304"/>
              <w:rPr>
                <w:sz w:val="21"/>
              </w:rPr>
            </w:pPr>
            <w:r>
              <w:rPr>
                <w:spacing w:val="-5"/>
                <w:sz w:val="21"/>
              </w:rPr>
              <w:t>20</w:t>
            </w:r>
          </w:p>
        </w:tc>
        <w:tc>
          <w:tcPr>
            <w:tcW w:w="3162" w:type="dxa"/>
          </w:tcPr>
          <w:p w:rsidR="003F5784" w14:paraId="6D26A463" w14:textId="77777777">
            <w:pPr>
              <w:pStyle w:val="TableParagraph"/>
              <w:ind w:right="1539"/>
              <w:rPr>
                <w:sz w:val="21"/>
              </w:rPr>
            </w:pPr>
            <w:r>
              <w:rPr>
                <w:spacing w:val="-5"/>
                <w:sz w:val="21"/>
              </w:rPr>
              <w:t>20</w:t>
            </w:r>
          </w:p>
        </w:tc>
        <w:tc>
          <w:tcPr>
            <w:tcW w:w="2225" w:type="dxa"/>
          </w:tcPr>
          <w:p w:rsidR="003F5784" w14:paraId="7E7D5E2D" w14:textId="77777777">
            <w:pPr>
              <w:pStyle w:val="TableParagraph"/>
              <w:ind w:right="107"/>
              <w:rPr>
                <w:sz w:val="21"/>
              </w:rPr>
            </w:pPr>
            <w:r>
              <w:rPr>
                <w:spacing w:val="-2"/>
                <w:sz w:val="21"/>
              </w:rPr>
              <w:t>100.00</w:t>
            </w:r>
          </w:p>
        </w:tc>
      </w:tr>
      <w:tr w14:paraId="3ABB5802" w14:textId="77777777">
        <w:tblPrEx>
          <w:tblW w:w="0" w:type="auto"/>
          <w:tblInd w:w="117" w:type="dxa"/>
          <w:tblLayout w:type="fixed"/>
          <w:tblCellMar>
            <w:left w:w="0" w:type="dxa"/>
            <w:right w:w="0" w:type="dxa"/>
          </w:tblCellMar>
          <w:tblLook w:val="01E0"/>
        </w:tblPrEx>
        <w:trPr>
          <w:trHeight w:val="286"/>
        </w:trPr>
        <w:tc>
          <w:tcPr>
            <w:tcW w:w="5281" w:type="dxa"/>
          </w:tcPr>
          <w:p w:rsidR="003F5784" w14:paraId="5EC45913" w14:textId="77777777">
            <w:pPr>
              <w:pStyle w:val="TableParagraph"/>
              <w:ind w:left="117"/>
              <w:jc w:val="left"/>
              <w:rPr>
                <w:sz w:val="21"/>
              </w:rPr>
            </w:pPr>
            <w:r>
              <w:rPr>
                <w:sz w:val="21"/>
              </w:rPr>
              <w:t>North</w:t>
            </w:r>
            <w:r>
              <w:rPr>
                <w:spacing w:val="-6"/>
                <w:sz w:val="21"/>
              </w:rPr>
              <w:t xml:space="preserve"> </w:t>
            </w:r>
            <w:r>
              <w:rPr>
                <w:spacing w:val="-2"/>
                <w:sz w:val="21"/>
              </w:rPr>
              <w:t>Carolina</w:t>
            </w:r>
          </w:p>
        </w:tc>
        <w:tc>
          <w:tcPr>
            <w:tcW w:w="4039" w:type="dxa"/>
          </w:tcPr>
          <w:p w:rsidR="003F5784" w14:paraId="2D9A0FC3" w14:textId="77777777">
            <w:pPr>
              <w:pStyle w:val="TableParagraph"/>
              <w:ind w:right="1304"/>
              <w:rPr>
                <w:sz w:val="21"/>
              </w:rPr>
            </w:pPr>
            <w:r>
              <w:rPr>
                <w:spacing w:val="-5"/>
                <w:sz w:val="21"/>
              </w:rPr>
              <w:t>130</w:t>
            </w:r>
          </w:p>
        </w:tc>
        <w:tc>
          <w:tcPr>
            <w:tcW w:w="3162" w:type="dxa"/>
          </w:tcPr>
          <w:p w:rsidR="003F5784" w14:paraId="0A5B67DC" w14:textId="77777777">
            <w:pPr>
              <w:pStyle w:val="TableParagraph"/>
              <w:ind w:right="1539"/>
              <w:rPr>
                <w:sz w:val="21"/>
              </w:rPr>
            </w:pPr>
            <w:r>
              <w:rPr>
                <w:spacing w:val="-5"/>
                <w:sz w:val="21"/>
              </w:rPr>
              <w:t>130</w:t>
            </w:r>
          </w:p>
        </w:tc>
        <w:tc>
          <w:tcPr>
            <w:tcW w:w="2225" w:type="dxa"/>
          </w:tcPr>
          <w:p w:rsidR="003F5784" w14:paraId="6FAC295A" w14:textId="77777777">
            <w:pPr>
              <w:pStyle w:val="TableParagraph"/>
              <w:ind w:right="107"/>
              <w:rPr>
                <w:sz w:val="21"/>
              </w:rPr>
            </w:pPr>
            <w:r>
              <w:rPr>
                <w:spacing w:val="-2"/>
                <w:sz w:val="21"/>
              </w:rPr>
              <w:t>100.00</w:t>
            </w:r>
          </w:p>
        </w:tc>
      </w:tr>
      <w:tr w14:paraId="7AF7B685" w14:textId="77777777">
        <w:tblPrEx>
          <w:tblW w:w="0" w:type="auto"/>
          <w:tblInd w:w="117" w:type="dxa"/>
          <w:tblLayout w:type="fixed"/>
          <w:tblCellMar>
            <w:left w:w="0" w:type="dxa"/>
            <w:right w:w="0" w:type="dxa"/>
          </w:tblCellMar>
          <w:tblLook w:val="01E0"/>
        </w:tblPrEx>
        <w:trPr>
          <w:trHeight w:val="286"/>
        </w:trPr>
        <w:tc>
          <w:tcPr>
            <w:tcW w:w="5281" w:type="dxa"/>
          </w:tcPr>
          <w:p w:rsidR="003F5784" w14:paraId="402C175F" w14:textId="77777777">
            <w:pPr>
              <w:pStyle w:val="TableParagraph"/>
              <w:ind w:left="117"/>
              <w:jc w:val="left"/>
              <w:rPr>
                <w:sz w:val="21"/>
              </w:rPr>
            </w:pPr>
            <w:r>
              <w:rPr>
                <w:sz w:val="21"/>
              </w:rPr>
              <w:t>North</w:t>
            </w:r>
            <w:r>
              <w:rPr>
                <w:spacing w:val="-6"/>
                <w:sz w:val="21"/>
              </w:rPr>
              <w:t xml:space="preserve"> </w:t>
            </w:r>
            <w:r>
              <w:rPr>
                <w:spacing w:val="-2"/>
                <w:sz w:val="21"/>
              </w:rPr>
              <w:t>Dakota</w:t>
            </w:r>
          </w:p>
        </w:tc>
        <w:tc>
          <w:tcPr>
            <w:tcW w:w="4039" w:type="dxa"/>
          </w:tcPr>
          <w:p w:rsidR="003F5784" w14:paraId="76897EC3" w14:textId="77777777">
            <w:pPr>
              <w:pStyle w:val="TableParagraph"/>
              <w:ind w:right="1304"/>
              <w:rPr>
                <w:sz w:val="21"/>
              </w:rPr>
            </w:pPr>
            <w:r>
              <w:rPr>
                <w:spacing w:val="-5"/>
                <w:sz w:val="21"/>
              </w:rPr>
              <w:t>80</w:t>
            </w:r>
          </w:p>
        </w:tc>
        <w:tc>
          <w:tcPr>
            <w:tcW w:w="3162" w:type="dxa"/>
          </w:tcPr>
          <w:p w:rsidR="003F5784" w14:paraId="13D0E439" w14:textId="77777777">
            <w:pPr>
              <w:pStyle w:val="TableParagraph"/>
              <w:ind w:right="1539"/>
              <w:rPr>
                <w:sz w:val="21"/>
              </w:rPr>
            </w:pPr>
            <w:r>
              <w:rPr>
                <w:spacing w:val="-5"/>
                <w:sz w:val="21"/>
              </w:rPr>
              <w:t>80</w:t>
            </w:r>
          </w:p>
        </w:tc>
        <w:tc>
          <w:tcPr>
            <w:tcW w:w="2225" w:type="dxa"/>
          </w:tcPr>
          <w:p w:rsidR="003F5784" w14:paraId="4FD0090A" w14:textId="77777777">
            <w:pPr>
              <w:pStyle w:val="TableParagraph"/>
              <w:ind w:right="107"/>
              <w:rPr>
                <w:sz w:val="21"/>
              </w:rPr>
            </w:pPr>
            <w:r>
              <w:rPr>
                <w:spacing w:val="-2"/>
                <w:sz w:val="21"/>
              </w:rPr>
              <w:t>100.00</w:t>
            </w:r>
          </w:p>
        </w:tc>
      </w:tr>
      <w:tr w14:paraId="47BEBC32" w14:textId="77777777">
        <w:tblPrEx>
          <w:tblW w:w="0" w:type="auto"/>
          <w:tblInd w:w="117" w:type="dxa"/>
          <w:tblLayout w:type="fixed"/>
          <w:tblCellMar>
            <w:left w:w="0" w:type="dxa"/>
            <w:right w:w="0" w:type="dxa"/>
          </w:tblCellMar>
          <w:tblLook w:val="01E0"/>
        </w:tblPrEx>
        <w:trPr>
          <w:trHeight w:val="286"/>
        </w:trPr>
        <w:tc>
          <w:tcPr>
            <w:tcW w:w="5281" w:type="dxa"/>
          </w:tcPr>
          <w:p w:rsidR="003F5784" w14:paraId="0C22101E" w14:textId="77777777">
            <w:pPr>
              <w:pStyle w:val="TableParagraph"/>
              <w:ind w:left="117"/>
              <w:jc w:val="left"/>
              <w:rPr>
                <w:sz w:val="21"/>
              </w:rPr>
            </w:pPr>
            <w:r>
              <w:rPr>
                <w:spacing w:val="-2"/>
                <w:sz w:val="21"/>
              </w:rPr>
              <w:t>Ohio–Cleveland</w:t>
            </w:r>
          </w:p>
        </w:tc>
        <w:tc>
          <w:tcPr>
            <w:tcW w:w="4039" w:type="dxa"/>
          </w:tcPr>
          <w:p w:rsidR="003F5784" w14:paraId="11D115DC" w14:textId="77777777">
            <w:pPr>
              <w:pStyle w:val="TableParagraph"/>
              <w:ind w:right="1304"/>
              <w:rPr>
                <w:sz w:val="21"/>
              </w:rPr>
            </w:pPr>
            <w:r>
              <w:rPr>
                <w:spacing w:val="-5"/>
                <w:sz w:val="21"/>
              </w:rPr>
              <w:t>50</w:t>
            </w:r>
          </w:p>
        </w:tc>
        <w:tc>
          <w:tcPr>
            <w:tcW w:w="3162" w:type="dxa"/>
          </w:tcPr>
          <w:p w:rsidR="003F5784" w14:paraId="1D404CED" w14:textId="77777777">
            <w:pPr>
              <w:pStyle w:val="TableParagraph"/>
              <w:ind w:right="1539"/>
              <w:rPr>
                <w:sz w:val="21"/>
              </w:rPr>
            </w:pPr>
            <w:r>
              <w:rPr>
                <w:spacing w:val="-5"/>
                <w:sz w:val="21"/>
              </w:rPr>
              <w:t>50</w:t>
            </w:r>
          </w:p>
        </w:tc>
        <w:tc>
          <w:tcPr>
            <w:tcW w:w="2225" w:type="dxa"/>
          </w:tcPr>
          <w:p w:rsidR="003F5784" w14:paraId="46D3D5D2" w14:textId="77777777">
            <w:pPr>
              <w:pStyle w:val="TableParagraph"/>
              <w:ind w:right="107"/>
              <w:rPr>
                <w:sz w:val="21"/>
              </w:rPr>
            </w:pPr>
            <w:r>
              <w:rPr>
                <w:spacing w:val="-2"/>
                <w:sz w:val="21"/>
              </w:rPr>
              <w:t>100.00</w:t>
            </w:r>
          </w:p>
        </w:tc>
      </w:tr>
      <w:tr w14:paraId="0AC47A2B" w14:textId="77777777">
        <w:tblPrEx>
          <w:tblW w:w="0" w:type="auto"/>
          <w:tblInd w:w="117" w:type="dxa"/>
          <w:tblLayout w:type="fixed"/>
          <w:tblCellMar>
            <w:left w:w="0" w:type="dxa"/>
            <w:right w:w="0" w:type="dxa"/>
          </w:tblCellMar>
          <w:tblLook w:val="01E0"/>
        </w:tblPrEx>
        <w:trPr>
          <w:trHeight w:val="286"/>
        </w:trPr>
        <w:tc>
          <w:tcPr>
            <w:tcW w:w="5281" w:type="dxa"/>
          </w:tcPr>
          <w:p w:rsidR="003F5784" w14:paraId="7B469B02" w14:textId="77777777">
            <w:pPr>
              <w:pStyle w:val="TableParagraph"/>
              <w:ind w:left="117"/>
              <w:jc w:val="left"/>
              <w:rPr>
                <w:sz w:val="21"/>
              </w:rPr>
            </w:pPr>
            <w:r>
              <w:rPr>
                <w:spacing w:val="-4"/>
                <w:sz w:val="21"/>
              </w:rPr>
              <w:t>Ohio</w:t>
            </w:r>
          </w:p>
        </w:tc>
        <w:tc>
          <w:tcPr>
            <w:tcW w:w="4039" w:type="dxa"/>
          </w:tcPr>
          <w:p w:rsidR="003F5784" w14:paraId="5EB59B8D" w14:textId="77777777">
            <w:pPr>
              <w:pStyle w:val="TableParagraph"/>
              <w:ind w:right="1304"/>
              <w:rPr>
                <w:sz w:val="21"/>
              </w:rPr>
            </w:pPr>
            <w:r>
              <w:rPr>
                <w:spacing w:val="-5"/>
                <w:sz w:val="21"/>
              </w:rPr>
              <w:t>130</w:t>
            </w:r>
          </w:p>
        </w:tc>
        <w:tc>
          <w:tcPr>
            <w:tcW w:w="3162" w:type="dxa"/>
          </w:tcPr>
          <w:p w:rsidR="003F5784" w14:paraId="781D6BED" w14:textId="77777777">
            <w:pPr>
              <w:pStyle w:val="TableParagraph"/>
              <w:ind w:right="1539"/>
              <w:rPr>
                <w:sz w:val="21"/>
              </w:rPr>
            </w:pPr>
            <w:r>
              <w:rPr>
                <w:spacing w:val="-5"/>
                <w:sz w:val="21"/>
              </w:rPr>
              <w:t>130</w:t>
            </w:r>
          </w:p>
        </w:tc>
        <w:tc>
          <w:tcPr>
            <w:tcW w:w="2225" w:type="dxa"/>
          </w:tcPr>
          <w:p w:rsidR="003F5784" w14:paraId="1BC25F08" w14:textId="77777777">
            <w:pPr>
              <w:pStyle w:val="TableParagraph"/>
              <w:ind w:right="107"/>
              <w:rPr>
                <w:sz w:val="21"/>
              </w:rPr>
            </w:pPr>
            <w:r>
              <w:rPr>
                <w:spacing w:val="-2"/>
                <w:sz w:val="21"/>
              </w:rPr>
              <w:t>100.00</w:t>
            </w:r>
          </w:p>
        </w:tc>
      </w:tr>
      <w:tr w14:paraId="6EAC07C5" w14:textId="77777777">
        <w:tblPrEx>
          <w:tblW w:w="0" w:type="auto"/>
          <w:tblInd w:w="117" w:type="dxa"/>
          <w:tblLayout w:type="fixed"/>
          <w:tblCellMar>
            <w:left w:w="0" w:type="dxa"/>
            <w:right w:w="0" w:type="dxa"/>
          </w:tblCellMar>
          <w:tblLook w:val="01E0"/>
        </w:tblPrEx>
        <w:trPr>
          <w:trHeight w:val="286"/>
        </w:trPr>
        <w:tc>
          <w:tcPr>
            <w:tcW w:w="5281" w:type="dxa"/>
          </w:tcPr>
          <w:p w:rsidR="003F5784" w14:paraId="2E8F894E" w14:textId="77777777">
            <w:pPr>
              <w:pStyle w:val="TableParagraph"/>
              <w:ind w:left="117"/>
              <w:jc w:val="left"/>
              <w:rPr>
                <w:sz w:val="21"/>
              </w:rPr>
            </w:pPr>
            <w:r>
              <w:rPr>
                <w:spacing w:val="-2"/>
                <w:sz w:val="21"/>
              </w:rPr>
              <w:t>Oklahoma</w:t>
            </w:r>
          </w:p>
        </w:tc>
        <w:tc>
          <w:tcPr>
            <w:tcW w:w="4039" w:type="dxa"/>
          </w:tcPr>
          <w:p w:rsidR="003F5784" w14:paraId="53934C54" w14:textId="77777777">
            <w:pPr>
              <w:pStyle w:val="TableParagraph"/>
              <w:ind w:right="1304"/>
              <w:rPr>
                <w:sz w:val="21"/>
              </w:rPr>
            </w:pPr>
            <w:r>
              <w:rPr>
                <w:spacing w:val="-5"/>
                <w:sz w:val="21"/>
              </w:rPr>
              <w:t>90</w:t>
            </w:r>
          </w:p>
        </w:tc>
        <w:tc>
          <w:tcPr>
            <w:tcW w:w="3162" w:type="dxa"/>
          </w:tcPr>
          <w:p w:rsidR="003F5784" w14:paraId="54E407EF" w14:textId="77777777">
            <w:pPr>
              <w:pStyle w:val="TableParagraph"/>
              <w:ind w:right="1539"/>
              <w:rPr>
                <w:sz w:val="21"/>
              </w:rPr>
            </w:pPr>
            <w:r>
              <w:rPr>
                <w:spacing w:val="-5"/>
                <w:sz w:val="21"/>
              </w:rPr>
              <w:t>90</w:t>
            </w:r>
          </w:p>
        </w:tc>
        <w:tc>
          <w:tcPr>
            <w:tcW w:w="2225" w:type="dxa"/>
          </w:tcPr>
          <w:p w:rsidR="003F5784" w14:paraId="4B11385C" w14:textId="77777777">
            <w:pPr>
              <w:pStyle w:val="TableParagraph"/>
              <w:ind w:right="107"/>
              <w:rPr>
                <w:sz w:val="21"/>
              </w:rPr>
            </w:pPr>
            <w:r>
              <w:rPr>
                <w:spacing w:val="-2"/>
                <w:sz w:val="21"/>
              </w:rPr>
              <w:t>100.00</w:t>
            </w:r>
          </w:p>
        </w:tc>
      </w:tr>
      <w:tr w14:paraId="27A4BB9D" w14:textId="77777777">
        <w:tblPrEx>
          <w:tblW w:w="0" w:type="auto"/>
          <w:tblInd w:w="117" w:type="dxa"/>
          <w:tblLayout w:type="fixed"/>
          <w:tblCellMar>
            <w:left w:w="0" w:type="dxa"/>
            <w:right w:w="0" w:type="dxa"/>
          </w:tblCellMar>
          <w:tblLook w:val="01E0"/>
        </w:tblPrEx>
        <w:trPr>
          <w:trHeight w:val="286"/>
        </w:trPr>
        <w:tc>
          <w:tcPr>
            <w:tcW w:w="5281" w:type="dxa"/>
          </w:tcPr>
          <w:p w:rsidR="003F5784" w14:paraId="58B3156A" w14:textId="77777777">
            <w:pPr>
              <w:pStyle w:val="TableParagraph"/>
              <w:ind w:left="117"/>
              <w:jc w:val="left"/>
              <w:rPr>
                <w:sz w:val="21"/>
              </w:rPr>
            </w:pPr>
            <w:r>
              <w:rPr>
                <w:spacing w:val="-2"/>
                <w:sz w:val="21"/>
              </w:rPr>
              <w:t>Oregon</w:t>
            </w:r>
          </w:p>
        </w:tc>
        <w:tc>
          <w:tcPr>
            <w:tcW w:w="4039" w:type="dxa"/>
          </w:tcPr>
          <w:p w:rsidR="003F5784" w14:paraId="69495F4B" w14:textId="77777777">
            <w:pPr>
              <w:pStyle w:val="TableParagraph"/>
              <w:ind w:right="1304"/>
              <w:rPr>
                <w:sz w:val="21"/>
              </w:rPr>
            </w:pPr>
            <w:r>
              <w:rPr>
                <w:spacing w:val="-5"/>
                <w:sz w:val="21"/>
              </w:rPr>
              <w:t>90</w:t>
            </w:r>
          </w:p>
        </w:tc>
        <w:tc>
          <w:tcPr>
            <w:tcW w:w="3162" w:type="dxa"/>
          </w:tcPr>
          <w:p w:rsidR="003F5784" w14:paraId="3ED9ADA4" w14:textId="77777777">
            <w:pPr>
              <w:pStyle w:val="TableParagraph"/>
              <w:ind w:right="1539"/>
              <w:rPr>
                <w:sz w:val="21"/>
              </w:rPr>
            </w:pPr>
            <w:r>
              <w:rPr>
                <w:spacing w:val="-5"/>
                <w:sz w:val="21"/>
              </w:rPr>
              <w:t>90</w:t>
            </w:r>
          </w:p>
        </w:tc>
        <w:tc>
          <w:tcPr>
            <w:tcW w:w="2225" w:type="dxa"/>
          </w:tcPr>
          <w:p w:rsidR="003F5784" w14:paraId="3FE74DE9" w14:textId="77777777">
            <w:pPr>
              <w:pStyle w:val="TableParagraph"/>
              <w:ind w:right="107"/>
              <w:rPr>
                <w:sz w:val="21"/>
              </w:rPr>
            </w:pPr>
            <w:r>
              <w:rPr>
                <w:spacing w:val="-2"/>
                <w:sz w:val="21"/>
              </w:rPr>
              <w:t>100.00</w:t>
            </w:r>
          </w:p>
        </w:tc>
      </w:tr>
      <w:tr w14:paraId="4051E84A" w14:textId="77777777">
        <w:tblPrEx>
          <w:tblW w:w="0" w:type="auto"/>
          <w:tblInd w:w="117" w:type="dxa"/>
          <w:tblLayout w:type="fixed"/>
          <w:tblCellMar>
            <w:left w:w="0" w:type="dxa"/>
            <w:right w:w="0" w:type="dxa"/>
          </w:tblCellMar>
          <w:tblLook w:val="01E0"/>
        </w:tblPrEx>
        <w:trPr>
          <w:trHeight w:val="286"/>
        </w:trPr>
        <w:tc>
          <w:tcPr>
            <w:tcW w:w="5281" w:type="dxa"/>
          </w:tcPr>
          <w:p w:rsidR="003F5784" w14:paraId="75BE32F3" w14:textId="77777777">
            <w:pPr>
              <w:pStyle w:val="TableParagraph"/>
              <w:ind w:left="117"/>
              <w:jc w:val="left"/>
              <w:rPr>
                <w:sz w:val="21"/>
              </w:rPr>
            </w:pPr>
            <w:r>
              <w:rPr>
                <w:spacing w:val="-2"/>
                <w:sz w:val="21"/>
              </w:rPr>
              <w:t>Pennsylvania–Philadelphia</w:t>
            </w:r>
          </w:p>
        </w:tc>
        <w:tc>
          <w:tcPr>
            <w:tcW w:w="4039" w:type="dxa"/>
          </w:tcPr>
          <w:p w:rsidR="003F5784" w14:paraId="1CB587F8" w14:textId="77777777">
            <w:pPr>
              <w:pStyle w:val="TableParagraph"/>
              <w:ind w:right="1304"/>
              <w:rPr>
                <w:sz w:val="21"/>
              </w:rPr>
            </w:pPr>
            <w:r>
              <w:rPr>
                <w:spacing w:val="-5"/>
                <w:sz w:val="21"/>
              </w:rPr>
              <w:t>40</w:t>
            </w:r>
          </w:p>
        </w:tc>
        <w:tc>
          <w:tcPr>
            <w:tcW w:w="3162" w:type="dxa"/>
          </w:tcPr>
          <w:p w:rsidR="003F5784" w14:paraId="7B2DF9F3" w14:textId="77777777">
            <w:pPr>
              <w:pStyle w:val="TableParagraph"/>
              <w:ind w:right="1539"/>
              <w:rPr>
                <w:sz w:val="21"/>
              </w:rPr>
            </w:pPr>
            <w:r>
              <w:rPr>
                <w:spacing w:val="-5"/>
                <w:sz w:val="21"/>
              </w:rPr>
              <w:t>40</w:t>
            </w:r>
          </w:p>
        </w:tc>
        <w:tc>
          <w:tcPr>
            <w:tcW w:w="2225" w:type="dxa"/>
          </w:tcPr>
          <w:p w:rsidR="003F5784" w14:paraId="2DDADCB5" w14:textId="77777777">
            <w:pPr>
              <w:pStyle w:val="TableParagraph"/>
              <w:ind w:right="107"/>
              <w:rPr>
                <w:sz w:val="21"/>
              </w:rPr>
            </w:pPr>
            <w:r>
              <w:rPr>
                <w:spacing w:val="-2"/>
                <w:sz w:val="21"/>
              </w:rPr>
              <w:t>91.14</w:t>
            </w:r>
          </w:p>
        </w:tc>
      </w:tr>
      <w:tr w14:paraId="617A8B5B" w14:textId="77777777">
        <w:tblPrEx>
          <w:tblW w:w="0" w:type="auto"/>
          <w:tblInd w:w="117" w:type="dxa"/>
          <w:tblLayout w:type="fixed"/>
          <w:tblCellMar>
            <w:left w:w="0" w:type="dxa"/>
            <w:right w:w="0" w:type="dxa"/>
          </w:tblCellMar>
          <w:tblLook w:val="01E0"/>
        </w:tblPrEx>
        <w:trPr>
          <w:trHeight w:val="286"/>
        </w:trPr>
        <w:tc>
          <w:tcPr>
            <w:tcW w:w="5281" w:type="dxa"/>
          </w:tcPr>
          <w:p w:rsidR="003F5784" w14:paraId="2149453D" w14:textId="77777777">
            <w:pPr>
              <w:pStyle w:val="TableParagraph"/>
              <w:ind w:left="117"/>
              <w:jc w:val="left"/>
              <w:rPr>
                <w:sz w:val="21"/>
              </w:rPr>
            </w:pPr>
            <w:r>
              <w:rPr>
                <w:spacing w:val="-2"/>
                <w:sz w:val="21"/>
              </w:rPr>
              <w:t>Pennsylvania</w:t>
            </w:r>
          </w:p>
        </w:tc>
        <w:tc>
          <w:tcPr>
            <w:tcW w:w="4039" w:type="dxa"/>
          </w:tcPr>
          <w:p w:rsidR="003F5784" w14:paraId="12F1ED49" w14:textId="77777777">
            <w:pPr>
              <w:pStyle w:val="TableParagraph"/>
              <w:ind w:right="1304"/>
              <w:rPr>
                <w:sz w:val="21"/>
              </w:rPr>
            </w:pPr>
            <w:r>
              <w:rPr>
                <w:spacing w:val="-5"/>
                <w:sz w:val="21"/>
              </w:rPr>
              <w:t>120</w:t>
            </w:r>
          </w:p>
        </w:tc>
        <w:tc>
          <w:tcPr>
            <w:tcW w:w="3162" w:type="dxa"/>
          </w:tcPr>
          <w:p w:rsidR="003F5784" w14:paraId="6628BEDE" w14:textId="77777777">
            <w:pPr>
              <w:pStyle w:val="TableParagraph"/>
              <w:ind w:right="1539"/>
              <w:rPr>
                <w:sz w:val="21"/>
              </w:rPr>
            </w:pPr>
            <w:r>
              <w:rPr>
                <w:spacing w:val="-5"/>
                <w:sz w:val="21"/>
              </w:rPr>
              <w:t>120</w:t>
            </w:r>
          </w:p>
        </w:tc>
        <w:tc>
          <w:tcPr>
            <w:tcW w:w="2225" w:type="dxa"/>
          </w:tcPr>
          <w:p w:rsidR="003F5784" w14:paraId="442F3113" w14:textId="77777777">
            <w:pPr>
              <w:pStyle w:val="TableParagraph"/>
              <w:ind w:right="107"/>
              <w:rPr>
                <w:sz w:val="21"/>
              </w:rPr>
            </w:pPr>
            <w:r>
              <w:rPr>
                <w:spacing w:val="-2"/>
                <w:sz w:val="21"/>
              </w:rPr>
              <w:t>99.42</w:t>
            </w:r>
          </w:p>
        </w:tc>
      </w:tr>
      <w:tr w14:paraId="78A24266" w14:textId="77777777">
        <w:tblPrEx>
          <w:tblW w:w="0" w:type="auto"/>
          <w:tblInd w:w="117" w:type="dxa"/>
          <w:tblLayout w:type="fixed"/>
          <w:tblCellMar>
            <w:left w:w="0" w:type="dxa"/>
            <w:right w:w="0" w:type="dxa"/>
          </w:tblCellMar>
          <w:tblLook w:val="01E0"/>
        </w:tblPrEx>
        <w:trPr>
          <w:trHeight w:val="286"/>
        </w:trPr>
        <w:tc>
          <w:tcPr>
            <w:tcW w:w="5281" w:type="dxa"/>
          </w:tcPr>
          <w:p w:rsidR="003F5784" w14:paraId="3540F9A7" w14:textId="77777777">
            <w:pPr>
              <w:pStyle w:val="TableParagraph"/>
              <w:ind w:left="117"/>
              <w:jc w:val="left"/>
              <w:rPr>
                <w:sz w:val="21"/>
              </w:rPr>
            </w:pPr>
            <w:r>
              <w:rPr>
                <w:sz w:val="21"/>
              </w:rPr>
              <w:t>Rhode</w:t>
            </w:r>
            <w:r>
              <w:rPr>
                <w:spacing w:val="-7"/>
                <w:sz w:val="21"/>
              </w:rPr>
              <w:t xml:space="preserve"> </w:t>
            </w:r>
            <w:r>
              <w:rPr>
                <w:spacing w:val="-2"/>
                <w:sz w:val="21"/>
              </w:rPr>
              <w:t>Island</w:t>
            </w:r>
          </w:p>
        </w:tc>
        <w:tc>
          <w:tcPr>
            <w:tcW w:w="4039" w:type="dxa"/>
          </w:tcPr>
          <w:p w:rsidR="003F5784" w14:paraId="18B63C1C" w14:textId="77777777">
            <w:pPr>
              <w:pStyle w:val="TableParagraph"/>
              <w:ind w:right="1304"/>
              <w:rPr>
                <w:sz w:val="21"/>
              </w:rPr>
            </w:pPr>
            <w:r>
              <w:rPr>
                <w:spacing w:val="-5"/>
                <w:sz w:val="21"/>
              </w:rPr>
              <w:t>60</w:t>
            </w:r>
          </w:p>
        </w:tc>
        <w:tc>
          <w:tcPr>
            <w:tcW w:w="3162" w:type="dxa"/>
          </w:tcPr>
          <w:p w:rsidR="003F5784" w14:paraId="222CB9BE" w14:textId="77777777">
            <w:pPr>
              <w:pStyle w:val="TableParagraph"/>
              <w:ind w:right="1539"/>
              <w:rPr>
                <w:sz w:val="21"/>
              </w:rPr>
            </w:pPr>
            <w:r>
              <w:rPr>
                <w:spacing w:val="-5"/>
                <w:sz w:val="21"/>
              </w:rPr>
              <w:t>60</w:t>
            </w:r>
          </w:p>
        </w:tc>
        <w:tc>
          <w:tcPr>
            <w:tcW w:w="2225" w:type="dxa"/>
          </w:tcPr>
          <w:p w:rsidR="003F5784" w14:paraId="28DE7103" w14:textId="77777777">
            <w:pPr>
              <w:pStyle w:val="TableParagraph"/>
              <w:ind w:right="107"/>
              <w:rPr>
                <w:sz w:val="21"/>
              </w:rPr>
            </w:pPr>
            <w:r>
              <w:rPr>
                <w:spacing w:val="-2"/>
                <w:sz w:val="21"/>
              </w:rPr>
              <w:t>100.00</w:t>
            </w:r>
          </w:p>
        </w:tc>
      </w:tr>
      <w:tr w14:paraId="0609EDB9" w14:textId="77777777">
        <w:tblPrEx>
          <w:tblW w:w="0" w:type="auto"/>
          <w:tblInd w:w="117" w:type="dxa"/>
          <w:tblLayout w:type="fixed"/>
          <w:tblCellMar>
            <w:left w:w="0" w:type="dxa"/>
            <w:right w:w="0" w:type="dxa"/>
          </w:tblCellMar>
          <w:tblLook w:val="01E0"/>
        </w:tblPrEx>
        <w:trPr>
          <w:trHeight w:val="286"/>
        </w:trPr>
        <w:tc>
          <w:tcPr>
            <w:tcW w:w="5281" w:type="dxa"/>
          </w:tcPr>
          <w:p w:rsidR="003F5784" w14:paraId="03DA39BF" w14:textId="77777777">
            <w:pPr>
              <w:pStyle w:val="TableParagraph"/>
              <w:ind w:left="117"/>
              <w:jc w:val="left"/>
              <w:rPr>
                <w:sz w:val="21"/>
              </w:rPr>
            </w:pPr>
            <w:r>
              <w:rPr>
                <w:sz w:val="21"/>
              </w:rPr>
              <w:t>South</w:t>
            </w:r>
            <w:r>
              <w:rPr>
                <w:spacing w:val="-6"/>
                <w:sz w:val="21"/>
              </w:rPr>
              <w:t xml:space="preserve"> </w:t>
            </w:r>
            <w:r>
              <w:rPr>
                <w:spacing w:val="-2"/>
                <w:sz w:val="21"/>
              </w:rPr>
              <w:t>Carolina</w:t>
            </w:r>
          </w:p>
        </w:tc>
        <w:tc>
          <w:tcPr>
            <w:tcW w:w="4039" w:type="dxa"/>
          </w:tcPr>
          <w:p w:rsidR="003F5784" w14:paraId="65E5FD12" w14:textId="77777777">
            <w:pPr>
              <w:pStyle w:val="TableParagraph"/>
              <w:ind w:right="1304"/>
              <w:rPr>
                <w:sz w:val="21"/>
              </w:rPr>
            </w:pPr>
            <w:r>
              <w:rPr>
                <w:spacing w:val="-5"/>
                <w:sz w:val="21"/>
              </w:rPr>
              <w:t>90</w:t>
            </w:r>
          </w:p>
        </w:tc>
        <w:tc>
          <w:tcPr>
            <w:tcW w:w="3162" w:type="dxa"/>
          </w:tcPr>
          <w:p w:rsidR="003F5784" w14:paraId="432A8D94" w14:textId="77777777">
            <w:pPr>
              <w:pStyle w:val="TableParagraph"/>
              <w:ind w:right="1539"/>
              <w:rPr>
                <w:sz w:val="21"/>
              </w:rPr>
            </w:pPr>
            <w:r>
              <w:rPr>
                <w:spacing w:val="-5"/>
                <w:sz w:val="21"/>
              </w:rPr>
              <w:t>90</w:t>
            </w:r>
          </w:p>
        </w:tc>
        <w:tc>
          <w:tcPr>
            <w:tcW w:w="2225" w:type="dxa"/>
          </w:tcPr>
          <w:p w:rsidR="003F5784" w14:paraId="52865223" w14:textId="77777777">
            <w:pPr>
              <w:pStyle w:val="TableParagraph"/>
              <w:ind w:right="107"/>
              <w:rPr>
                <w:sz w:val="21"/>
              </w:rPr>
            </w:pPr>
            <w:r>
              <w:rPr>
                <w:spacing w:val="-2"/>
                <w:sz w:val="21"/>
              </w:rPr>
              <w:t>100.00</w:t>
            </w:r>
          </w:p>
        </w:tc>
      </w:tr>
      <w:tr w14:paraId="64EBEB86" w14:textId="77777777">
        <w:tblPrEx>
          <w:tblW w:w="0" w:type="auto"/>
          <w:tblInd w:w="117" w:type="dxa"/>
          <w:tblLayout w:type="fixed"/>
          <w:tblCellMar>
            <w:left w:w="0" w:type="dxa"/>
            <w:right w:w="0" w:type="dxa"/>
          </w:tblCellMar>
          <w:tblLook w:val="01E0"/>
        </w:tblPrEx>
        <w:trPr>
          <w:trHeight w:val="289"/>
        </w:trPr>
        <w:tc>
          <w:tcPr>
            <w:tcW w:w="5281" w:type="dxa"/>
            <w:tcBorders>
              <w:bottom w:val="single" w:sz="18" w:space="0" w:color="800000"/>
            </w:tcBorders>
          </w:tcPr>
          <w:p w:rsidR="003F5784" w14:paraId="45F17FFD" w14:textId="77777777">
            <w:pPr>
              <w:pStyle w:val="TableParagraph"/>
              <w:ind w:left="117"/>
              <w:jc w:val="left"/>
              <w:rPr>
                <w:sz w:val="21"/>
              </w:rPr>
            </w:pPr>
            <w:r>
              <w:rPr>
                <w:sz w:val="21"/>
              </w:rPr>
              <w:t>South</w:t>
            </w:r>
            <w:r>
              <w:rPr>
                <w:spacing w:val="-6"/>
                <w:sz w:val="21"/>
              </w:rPr>
              <w:t xml:space="preserve"> </w:t>
            </w:r>
            <w:r>
              <w:rPr>
                <w:spacing w:val="-2"/>
                <w:sz w:val="21"/>
              </w:rPr>
              <w:t>Dakota</w:t>
            </w:r>
          </w:p>
        </w:tc>
        <w:tc>
          <w:tcPr>
            <w:tcW w:w="4039" w:type="dxa"/>
            <w:tcBorders>
              <w:bottom w:val="single" w:sz="18" w:space="0" w:color="800000"/>
            </w:tcBorders>
          </w:tcPr>
          <w:p w:rsidR="003F5784" w14:paraId="5CC7E613" w14:textId="77777777">
            <w:pPr>
              <w:pStyle w:val="TableParagraph"/>
              <w:ind w:right="1304"/>
              <w:rPr>
                <w:sz w:val="21"/>
              </w:rPr>
            </w:pPr>
            <w:r>
              <w:rPr>
                <w:spacing w:val="-5"/>
                <w:sz w:val="21"/>
              </w:rPr>
              <w:t>90</w:t>
            </w:r>
          </w:p>
        </w:tc>
        <w:tc>
          <w:tcPr>
            <w:tcW w:w="3162" w:type="dxa"/>
            <w:tcBorders>
              <w:bottom w:val="single" w:sz="18" w:space="0" w:color="800000"/>
            </w:tcBorders>
          </w:tcPr>
          <w:p w:rsidR="003F5784" w14:paraId="7BD24695" w14:textId="77777777">
            <w:pPr>
              <w:pStyle w:val="TableParagraph"/>
              <w:ind w:right="1539"/>
              <w:rPr>
                <w:sz w:val="21"/>
              </w:rPr>
            </w:pPr>
            <w:r>
              <w:rPr>
                <w:spacing w:val="-5"/>
                <w:sz w:val="21"/>
              </w:rPr>
              <w:t>90</w:t>
            </w:r>
          </w:p>
        </w:tc>
        <w:tc>
          <w:tcPr>
            <w:tcW w:w="2225" w:type="dxa"/>
            <w:tcBorders>
              <w:bottom w:val="single" w:sz="18" w:space="0" w:color="800000"/>
            </w:tcBorders>
          </w:tcPr>
          <w:p w:rsidR="003F5784" w14:paraId="4CEAC09B" w14:textId="77777777">
            <w:pPr>
              <w:pStyle w:val="TableParagraph"/>
              <w:ind w:right="107"/>
              <w:rPr>
                <w:sz w:val="21"/>
              </w:rPr>
            </w:pPr>
            <w:r>
              <w:rPr>
                <w:spacing w:val="-2"/>
                <w:sz w:val="21"/>
              </w:rPr>
              <w:t>98.95</w:t>
            </w:r>
          </w:p>
        </w:tc>
      </w:tr>
    </w:tbl>
    <w:p w:rsidR="003F5784" w14:paraId="49B75F20" w14:textId="77777777">
      <w:pPr>
        <w:pStyle w:val="BodyText"/>
        <w:spacing w:before="37" w:line="238" w:lineRule="exact"/>
        <w:ind w:left="227"/>
      </w:pPr>
      <w:r>
        <w:t>NOTE:</w:t>
      </w:r>
      <w:r>
        <w:rPr>
          <w:spacing w:val="-5"/>
        </w:rPr>
        <w:t xml:space="preserve"> </w:t>
      </w:r>
      <w:r>
        <w:t>Numbers</w:t>
      </w:r>
      <w:r>
        <w:rPr>
          <w:spacing w:val="-5"/>
        </w:rPr>
        <w:t xml:space="preserve"> </w:t>
      </w:r>
      <w:r>
        <w:t>of</w:t>
      </w:r>
      <w:r>
        <w:rPr>
          <w:spacing w:val="-5"/>
        </w:rPr>
        <w:t xml:space="preserve"> </w:t>
      </w:r>
      <w:r>
        <w:t>schools</w:t>
      </w:r>
      <w:r>
        <w:rPr>
          <w:spacing w:val="-5"/>
        </w:rPr>
        <w:t xml:space="preserve"> </w:t>
      </w:r>
      <w:r>
        <w:t>are</w:t>
      </w:r>
      <w:r>
        <w:rPr>
          <w:spacing w:val="-5"/>
        </w:rPr>
        <w:t xml:space="preserve"> </w:t>
      </w:r>
      <w:r>
        <w:t>rounded</w:t>
      </w:r>
      <w:r>
        <w:rPr>
          <w:spacing w:val="-5"/>
        </w:rPr>
        <w:t xml:space="preserve"> </w:t>
      </w:r>
      <w:r>
        <w:t>to</w:t>
      </w:r>
      <w:r>
        <w:rPr>
          <w:spacing w:val="-5"/>
        </w:rPr>
        <w:t xml:space="preserve"> </w:t>
      </w:r>
      <w:r>
        <w:t>nearest</w:t>
      </w:r>
      <w:r>
        <w:rPr>
          <w:spacing w:val="-5"/>
        </w:rPr>
        <w:t xml:space="preserve"> </w:t>
      </w:r>
      <w:r>
        <w:t>ten.</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due</w:t>
      </w:r>
      <w:r>
        <w:rPr>
          <w:spacing w:val="-5"/>
        </w:rPr>
        <w:t xml:space="preserve"> </w:t>
      </w:r>
      <w:r>
        <w:t>to</w:t>
      </w:r>
      <w:r>
        <w:rPr>
          <w:spacing w:val="-5"/>
        </w:rPr>
        <w:t xml:space="preserve"> </w:t>
      </w:r>
      <w:r>
        <w:rPr>
          <w:spacing w:val="-2"/>
        </w:rPr>
        <w:t>rounding.</w:t>
      </w:r>
    </w:p>
    <w:p w:rsidR="003F5784" w14:paraId="1AC93A99" w14:textId="77777777">
      <w:pPr>
        <w:pStyle w:val="BodyText"/>
        <w:spacing w:before="2" w:line="232" w:lineRule="auto"/>
        <w:ind w:left="227" w:right="179"/>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w:t>
      </w:r>
      <w:r>
        <w:rPr>
          <w:spacing w:val="-8"/>
        </w:rPr>
        <w:t xml:space="preserve"> </w:t>
      </w:r>
      <w:r>
        <w:t>(NAEP), 2022 State Mathematics and Reading Assessments.</w:t>
      </w:r>
    </w:p>
    <w:p w:rsidR="003F5784" w14:paraId="34D9CF9B" w14:textId="77777777">
      <w:pPr>
        <w:spacing w:line="232" w:lineRule="auto"/>
        <w:sectPr>
          <w:headerReference w:type="default" r:id="rId278"/>
          <w:footerReference w:type="default" r:id="rId279"/>
          <w:pgSz w:w="15840" w:h="12240" w:orient="landscape"/>
          <w:pgMar w:top="820" w:right="440" w:bottom="460" w:left="460" w:header="305" w:footer="275" w:gutter="0"/>
          <w:cols w:space="720"/>
        </w:sectPr>
      </w:pPr>
    </w:p>
    <w:tbl>
      <w:tblPr>
        <w:tblW w:w="0" w:type="auto"/>
        <w:tblInd w:w="117" w:type="dxa"/>
        <w:tblLayout w:type="fixed"/>
        <w:tblCellMar>
          <w:left w:w="0" w:type="dxa"/>
          <w:right w:w="0" w:type="dxa"/>
        </w:tblCellMar>
        <w:tblLook w:val="01E0"/>
      </w:tblPr>
      <w:tblGrid>
        <w:gridCol w:w="6234"/>
        <w:gridCol w:w="3087"/>
        <w:gridCol w:w="3162"/>
        <w:gridCol w:w="2225"/>
      </w:tblGrid>
      <w:tr w14:paraId="6DC9513E" w14:textId="77777777">
        <w:tblPrEx>
          <w:tblW w:w="0" w:type="auto"/>
          <w:tblInd w:w="117" w:type="dxa"/>
          <w:tblLayout w:type="fixed"/>
          <w:tblCellMar>
            <w:left w:w="0" w:type="dxa"/>
            <w:right w:w="0" w:type="dxa"/>
          </w:tblCellMar>
          <w:tblLook w:val="01E0"/>
        </w:tblPrEx>
        <w:trPr>
          <w:trHeight w:val="278"/>
        </w:trPr>
        <w:tc>
          <w:tcPr>
            <w:tcW w:w="6234" w:type="dxa"/>
            <w:tcBorders>
              <w:top w:val="single" w:sz="18" w:space="0" w:color="800000"/>
            </w:tcBorders>
          </w:tcPr>
          <w:p w:rsidR="003F5784" w14:paraId="22FE46DA" w14:textId="77777777">
            <w:pPr>
              <w:pStyle w:val="TableParagraph"/>
              <w:spacing w:before="9"/>
              <w:ind w:left="117"/>
              <w:jc w:val="left"/>
              <w:rPr>
                <w:sz w:val="21"/>
              </w:rPr>
            </w:pPr>
            <w:r>
              <w:rPr>
                <w:spacing w:val="-2"/>
                <w:sz w:val="21"/>
              </w:rPr>
              <w:t>Tennessee–Shelby</w:t>
            </w:r>
            <w:r>
              <w:rPr>
                <w:sz w:val="21"/>
              </w:rPr>
              <w:t xml:space="preserve"> </w:t>
            </w:r>
            <w:r>
              <w:rPr>
                <w:spacing w:val="-2"/>
                <w:sz w:val="21"/>
              </w:rPr>
              <w:t>County</w:t>
            </w:r>
          </w:p>
        </w:tc>
        <w:tc>
          <w:tcPr>
            <w:tcW w:w="3087" w:type="dxa"/>
            <w:tcBorders>
              <w:top w:val="single" w:sz="18" w:space="0" w:color="800000"/>
            </w:tcBorders>
          </w:tcPr>
          <w:p w:rsidR="003F5784" w14:paraId="0FF0CEFF" w14:textId="77777777">
            <w:pPr>
              <w:pStyle w:val="TableParagraph"/>
              <w:spacing w:before="9"/>
              <w:ind w:left="262"/>
              <w:jc w:val="center"/>
              <w:rPr>
                <w:sz w:val="21"/>
              </w:rPr>
            </w:pPr>
            <w:r>
              <w:rPr>
                <w:spacing w:val="-5"/>
                <w:sz w:val="21"/>
              </w:rPr>
              <w:t>40</w:t>
            </w:r>
          </w:p>
        </w:tc>
        <w:tc>
          <w:tcPr>
            <w:tcW w:w="3162" w:type="dxa"/>
            <w:tcBorders>
              <w:top w:val="single" w:sz="18" w:space="0" w:color="800000"/>
            </w:tcBorders>
          </w:tcPr>
          <w:p w:rsidR="003F5784" w14:paraId="2441D026" w14:textId="77777777">
            <w:pPr>
              <w:pStyle w:val="TableParagraph"/>
              <w:spacing w:before="9"/>
              <w:ind w:right="1540"/>
              <w:rPr>
                <w:sz w:val="21"/>
              </w:rPr>
            </w:pPr>
            <w:r>
              <w:rPr>
                <w:spacing w:val="-5"/>
                <w:sz w:val="21"/>
              </w:rPr>
              <w:t>40</w:t>
            </w:r>
          </w:p>
        </w:tc>
        <w:tc>
          <w:tcPr>
            <w:tcW w:w="2225" w:type="dxa"/>
            <w:tcBorders>
              <w:top w:val="single" w:sz="18" w:space="0" w:color="800000"/>
            </w:tcBorders>
          </w:tcPr>
          <w:p w:rsidR="003F5784" w14:paraId="0BDB0E89" w14:textId="77777777">
            <w:pPr>
              <w:pStyle w:val="TableParagraph"/>
              <w:spacing w:before="9"/>
              <w:ind w:right="108"/>
              <w:rPr>
                <w:sz w:val="21"/>
              </w:rPr>
            </w:pPr>
            <w:r>
              <w:rPr>
                <w:spacing w:val="-2"/>
                <w:sz w:val="21"/>
              </w:rPr>
              <w:t>100.00</w:t>
            </w:r>
          </w:p>
        </w:tc>
      </w:tr>
      <w:tr w14:paraId="16D127BD" w14:textId="77777777">
        <w:tblPrEx>
          <w:tblW w:w="0" w:type="auto"/>
          <w:tblInd w:w="117" w:type="dxa"/>
          <w:tblLayout w:type="fixed"/>
          <w:tblCellMar>
            <w:left w:w="0" w:type="dxa"/>
            <w:right w:w="0" w:type="dxa"/>
          </w:tblCellMar>
          <w:tblLook w:val="01E0"/>
        </w:tblPrEx>
        <w:trPr>
          <w:trHeight w:val="286"/>
        </w:trPr>
        <w:tc>
          <w:tcPr>
            <w:tcW w:w="6234" w:type="dxa"/>
          </w:tcPr>
          <w:p w:rsidR="003F5784" w14:paraId="5F3EAF8F" w14:textId="77777777">
            <w:pPr>
              <w:pStyle w:val="TableParagraph"/>
              <w:ind w:left="117"/>
              <w:jc w:val="left"/>
              <w:rPr>
                <w:sz w:val="21"/>
              </w:rPr>
            </w:pPr>
            <w:r>
              <w:rPr>
                <w:spacing w:val="-2"/>
                <w:sz w:val="21"/>
              </w:rPr>
              <w:t>Tennessee</w:t>
            </w:r>
          </w:p>
        </w:tc>
        <w:tc>
          <w:tcPr>
            <w:tcW w:w="3087" w:type="dxa"/>
          </w:tcPr>
          <w:p w:rsidR="003F5784" w14:paraId="02E1DA7E" w14:textId="77777777">
            <w:pPr>
              <w:pStyle w:val="TableParagraph"/>
              <w:ind w:left="262" w:right="96"/>
              <w:jc w:val="center"/>
              <w:rPr>
                <w:sz w:val="21"/>
              </w:rPr>
            </w:pPr>
            <w:r>
              <w:rPr>
                <w:spacing w:val="-5"/>
                <w:sz w:val="21"/>
              </w:rPr>
              <w:t>110</w:t>
            </w:r>
          </w:p>
        </w:tc>
        <w:tc>
          <w:tcPr>
            <w:tcW w:w="3162" w:type="dxa"/>
          </w:tcPr>
          <w:p w:rsidR="003F5784" w14:paraId="2D87C993" w14:textId="77777777">
            <w:pPr>
              <w:pStyle w:val="TableParagraph"/>
              <w:ind w:right="1540"/>
              <w:rPr>
                <w:sz w:val="21"/>
              </w:rPr>
            </w:pPr>
            <w:r>
              <w:rPr>
                <w:spacing w:val="-5"/>
                <w:sz w:val="21"/>
              </w:rPr>
              <w:t>110</w:t>
            </w:r>
          </w:p>
        </w:tc>
        <w:tc>
          <w:tcPr>
            <w:tcW w:w="2225" w:type="dxa"/>
          </w:tcPr>
          <w:p w:rsidR="003F5784" w14:paraId="4D4CCFEA" w14:textId="77777777">
            <w:pPr>
              <w:pStyle w:val="TableParagraph"/>
              <w:ind w:right="108"/>
              <w:rPr>
                <w:sz w:val="21"/>
              </w:rPr>
            </w:pPr>
            <w:r>
              <w:rPr>
                <w:spacing w:val="-2"/>
                <w:sz w:val="21"/>
              </w:rPr>
              <w:t>97.51</w:t>
            </w:r>
          </w:p>
        </w:tc>
      </w:tr>
      <w:tr w14:paraId="345EE7F1" w14:textId="77777777">
        <w:tblPrEx>
          <w:tblW w:w="0" w:type="auto"/>
          <w:tblInd w:w="117" w:type="dxa"/>
          <w:tblLayout w:type="fixed"/>
          <w:tblCellMar>
            <w:left w:w="0" w:type="dxa"/>
            <w:right w:w="0" w:type="dxa"/>
          </w:tblCellMar>
          <w:tblLook w:val="01E0"/>
        </w:tblPrEx>
        <w:trPr>
          <w:trHeight w:val="286"/>
        </w:trPr>
        <w:tc>
          <w:tcPr>
            <w:tcW w:w="6234" w:type="dxa"/>
          </w:tcPr>
          <w:p w:rsidR="003F5784" w14:paraId="70EE4E6E" w14:textId="77777777">
            <w:pPr>
              <w:pStyle w:val="TableParagraph"/>
              <w:ind w:left="117"/>
              <w:jc w:val="left"/>
              <w:rPr>
                <w:sz w:val="21"/>
              </w:rPr>
            </w:pPr>
            <w:r>
              <w:rPr>
                <w:spacing w:val="-2"/>
                <w:sz w:val="21"/>
              </w:rPr>
              <w:t>Texas–Austin</w:t>
            </w:r>
          </w:p>
        </w:tc>
        <w:tc>
          <w:tcPr>
            <w:tcW w:w="3087" w:type="dxa"/>
          </w:tcPr>
          <w:p w:rsidR="003F5784" w14:paraId="0143CAD3" w14:textId="77777777">
            <w:pPr>
              <w:pStyle w:val="TableParagraph"/>
              <w:ind w:left="262"/>
              <w:jc w:val="center"/>
              <w:rPr>
                <w:sz w:val="21"/>
              </w:rPr>
            </w:pPr>
            <w:r>
              <w:rPr>
                <w:spacing w:val="-5"/>
                <w:sz w:val="21"/>
              </w:rPr>
              <w:t>20</w:t>
            </w:r>
          </w:p>
        </w:tc>
        <w:tc>
          <w:tcPr>
            <w:tcW w:w="3162" w:type="dxa"/>
          </w:tcPr>
          <w:p w:rsidR="003F5784" w14:paraId="20C8B3AE" w14:textId="77777777">
            <w:pPr>
              <w:pStyle w:val="TableParagraph"/>
              <w:ind w:right="1540"/>
              <w:rPr>
                <w:sz w:val="21"/>
              </w:rPr>
            </w:pPr>
            <w:r>
              <w:rPr>
                <w:spacing w:val="-5"/>
                <w:sz w:val="21"/>
              </w:rPr>
              <w:t>20</w:t>
            </w:r>
          </w:p>
        </w:tc>
        <w:tc>
          <w:tcPr>
            <w:tcW w:w="2225" w:type="dxa"/>
          </w:tcPr>
          <w:p w:rsidR="003F5784" w14:paraId="4EA1E870" w14:textId="77777777">
            <w:pPr>
              <w:pStyle w:val="TableParagraph"/>
              <w:ind w:right="108"/>
              <w:rPr>
                <w:sz w:val="21"/>
              </w:rPr>
            </w:pPr>
            <w:r>
              <w:rPr>
                <w:spacing w:val="-2"/>
                <w:sz w:val="21"/>
              </w:rPr>
              <w:t>100.00</w:t>
            </w:r>
          </w:p>
        </w:tc>
      </w:tr>
      <w:tr w14:paraId="7DC09F65" w14:textId="77777777">
        <w:tblPrEx>
          <w:tblW w:w="0" w:type="auto"/>
          <w:tblInd w:w="117" w:type="dxa"/>
          <w:tblLayout w:type="fixed"/>
          <w:tblCellMar>
            <w:left w:w="0" w:type="dxa"/>
            <w:right w:w="0" w:type="dxa"/>
          </w:tblCellMar>
          <w:tblLook w:val="01E0"/>
        </w:tblPrEx>
        <w:trPr>
          <w:trHeight w:val="286"/>
        </w:trPr>
        <w:tc>
          <w:tcPr>
            <w:tcW w:w="6234" w:type="dxa"/>
          </w:tcPr>
          <w:p w:rsidR="003F5784" w14:paraId="37F4E337" w14:textId="77777777">
            <w:pPr>
              <w:pStyle w:val="TableParagraph"/>
              <w:ind w:left="117"/>
              <w:jc w:val="left"/>
              <w:rPr>
                <w:sz w:val="21"/>
              </w:rPr>
            </w:pPr>
            <w:r>
              <w:rPr>
                <w:spacing w:val="-2"/>
                <w:sz w:val="21"/>
              </w:rPr>
              <w:t>Texas–Dallas</w:t>
            </w:r>
          </w:p>
        </w:tc>
        <w:tc>
          <w:tcPr>
            <w:tcW w:w="3087" w:type="dxa"/>
          </w:tcPr>
          <w:p w:rsidR="003F5784" w14:paraId="48BD8694" w14:textId="77777777">
            <w:pPr>
              <w:pStyle w:val="TableParagraph"/>
              <w:ind w:left="262"/>
              <w:jc w:val="center"/>
              <w:rPr>
                <w:sz w:val="21"/>
              </w:rPr>
            </w:pPr>
            <w:r>
              <w:rPr>
                <w:spacing w:val="-5"/>
                <w:sz w:val="21"/>
              </w:rPr>
              <w:t>40</w:t>
            </w:r>
          </w:p>
        </w:tc>
        <w:tc>
          <w:tcPr>
            <w:tcW w:w="3162" w:type="dxa"/>
          </w:tcPr>
          <w:p w:rsidR="003F5784" w14:paraId="29E0AE30" w14:textId="77777777">
            <w:pPr>
              <w:pStyle w:val="TableParagraph"/>
              <w:ind w:right="1540"/>
              <w:rPr>
                <w:sz w:val="21"/>
              </w:rPr>
            </w:pPr>
            <w:r>
              <w:rPr>
                <w:spacing w:val="-5"/>
                <w:sz w:val="21"/>
              </w:rPr>
              <w:t>40</w:t>
            </w:r>
          </w:p>
        </w:tc>
        <w:tc>
          <w:tcPr>
            <w:tcW w:w="2225" w:type="dxa"/>
          </w:tcPr>
          <w:p w:rsidR="003F5784" w14:paraId="2B8739C9" w14:textId="77777777">
            <w:pPr>
              <w:pStyle w:val="TableParagraph"/>
              <w:ind w:right="108"/>
              <w:rPr>
                <w:sz w:val="21"/>
              </w:rPr>
            </w:pPr>
            <w:r>
              <w:rPr>
                <w:spacing w:val="-2"/>
                <w:sz w:val="21"/>
              </w:rPr>
              <w:t>100.00</w:t>
            </w:r>
          </w:p>
        </w:tc>
      </w:tr>
      <w:tr w14:paraId="3E265903" w14:textId="77777777">
        <w:tblPrEx>
          <w:tblW w:w="0" w:type="auto"/>
          <w:tblInd w:w="117" w:type="dxa"/>
          <w:tblLayout w:type="fixed"/>
          <w:tblCellMar>
            <w:left w:w="0" w:type="dxa"/>
            <w:right w:w="0" w:type="dxa"/>
          </w:tblCellMar>
          <w:tblLook w:val="01E0"/>
        </w:tblPrEx>
        <w:trPr>
          <w:trHeight w:val="286"/>
        </w:trPr>
        <w:tc>
          <w:tcPr>
            <w:tcW w:w="6234" w:type="dxa"/>
          </w:tcPr>
          <w:p w:rsidR="003F5784" w14:paraId="61AFDB8D" w14:textId="77777777">
            <w:pPr>
              <w:pStyle w:val="TableParagraph"/>
              <w:ind w:left="117"/>
              <w:jc w:val="left"/>
              <w:rPr>
                <w:sz w:val="21"/>
              </w:rPr>
            </w:pPr>
            <w:r>
              <w:rPr>
                <w:spacing w:val="-2"/>
                <w:sz w:val="21"/>
              </w:rPr>
              <w:t>Texas–Fort</w:t>
            </w:r>
            <w:r>
              <w:rPr>
                <w:spacing w:val="-10"/>
                <w:sz w:val="21"/>
              </w:rPr>
              <w:t xml:space="preserve"> </w:t>
            </w:r>
            <w:r>
              <w:rPr>
                <w:spacing w:val="-2"/>
                <w:sz w:val="21"/>
              </w:rPr>
              <w:t>Worth</w:t>
            </w:r>
          </w:p>
        </w:tc>
        <w:tc>
          <w:tcPr>
            <w:tcW w:w="3087" w:type="dxa"/>
          </w:tcPr>
          <w:p w:rsidR="003F5784" w14:paraId="3286A5C9" w14:textId="77777777">
            <w:pPr>
              <w:pStyle w:val="TableParagraph"/>
              <w:ind w:left="262"/>
              <w:jc w:val="center"/>
              <w:rPr>
                <w:sz w:val="21"/>
              </w:rPr>
            </w:pPr>
            <w:r>
              <w:rPr>
                <w:spacing w:val="-5"/>
                <w:sz w:val="21"/>
              </w:rPr>
              <w:t>20</w:t>
            </w:r>
          </w:p>
        </w:tc>
        <w:tc>
          <w:tcPr>
            <w:tcW w:w="3162" w:type="dxa"/>
          </w:tcPr>
          <w:p w:rsidR="003F5784" w14:paraId="7292E9A2" w14:textId="77777777">
            <w:pPr>
              <w:pStyle w:val="TableParagraph"/>
              <w:ind w:right="1540"/>
              <w:rPr>
                <w:sz w:val="21"/>
              </w:rPr>
            </w:pPr>
            <w:r>
              <w:rPr>
                <w:spacing w:val="-5"/>
                <w:sz w:val="21"/>
              </w:rPr>
              <w:t>20</w:t>
            </w:r>
          </w:p>
        </w:tc>
        <w:tc>
          <w:tcPr>
            <w:tcW w:w="2225" w:type="dxa"/>
          </w:tcPr>
          <w:p w:rsidR="003F5784" w14:paraId="0919CEFC" w14:textId="77777777">
            <w:pPr>
              <w:pStyle w:val="TableParagraph"/>
              <w:ind w:right="108"/>
              <w:rPr>
                <w:sz w:val="21"/>
              </w:rPr>
            </w:pPr>
            <w:r>
              <w:rPr>
                <w:spacing w:val="-2"/>
                <w:sz w:val="21"/>
              </w:rPr>
              <w:t>100.00</w:t>
            </w:r>
          </w:p>
        </w:tc>
      </w:tr>
      <w:tr w14:paraId="275F7C97" w14:textId="77777777">
        <w:tblPrEx>
          <w:tblW w:w="0" w:type="auto"/>
          <w:tblInd w:w="117" w:type="dxa"/>
          <w:tblLayout w:type="fixed"/>
          <w:tblCellMar>
            <w:left w:w="0" w:type="dxa"/>
            <w:right w:w="0" w:type="dxa"/>
          </w:tblCellMar>
          <w:tblLook w:val="01E0"/>
        </w:tblPrEx>
        <w:trPr>
          <w:trHeight w:val="286"/>
        </w:trPr>
        <w:tc>
          <w:tcPr>
            <w:tcW w:w="6234" w:type="dxa"/>
          </w:tcPr>
          <w:p w:rsidR="003F5784" w14:paraId="60319C28" w14:textId="77777777">
            <w:pPr>
              <w:pStyle w:val="TableParagraph"/>
              <w:ind w:left="117"/>
              <w:jc w:val="left"/>
              <w:rPr>
                <w:sz w:val="21"/>
              </w:rPr>
            </w:pPr>
            <w:r>
              <w:rPr>
                <w:spacing w:val="-2"/>
                <w:sz w:val="21"/>
              </w:rPr>
              <w:t>Texas–Houston</w:t>
            </w:r>
          </w:p>
        </w:tc>
        <w:tc>
          <w:tcPr>
            <w:tcW w:w="3087" w:type="dxa"/>
          </w:tcPr>
          <w:p w:rsidR="003F5784" w14:paraId="6A40A317" w14:textId="77777777">
            <w:pPr>
              <w:pStyle w:val="TableParagraph"/>
              <w:ind w:left="262"/>
              <w:jc w:val="center"/>
              <w:rPr>
                <w:sz w:val="21"/>
              </w:rPr>
            </w:pPr>
            <w:r>
              <w:rPr>
                <w:spacing w:val="-5"/>
                <w:sz w:val="21"/>
              </w:rPr>
              <w:t>40</w:t>
            </w:r>
          </w:p>
        </w:tc>
        <w:tc>
          <w:tcPr>
            <w:tcW w:w="3162" w:type="dxa"/>
          </w:tcPr>
          <w:p w:rsidR="003F5784" w14:paraId="4CBD8D29" w14:textId="77777777">
            <w:pPr>
              <w:pStyle w:val="TableParagraph"/>
              <w:ind w:right="1540"/>
              <w:rPr>
                <w:sz w:val="21"/>
              </w:rPr>
            </w:pPr>
            <w:r>
              <w:rPr>
                <w:spacing w:val="-5"/>
                <w:sz w:val="21"/>
              </w:rPr>
              <w:t>40</w:t>
            </w:r>
          </w:p>
        </w:tc>
        <w:tc>
          <w:tcPr>
            <w:tcW w:w="2225" w:type="dxa"/>
          </w:tcPr>
          <w:p w:rsidR="003F5784" w14:paraId="1EDD35A3" w14:textId="77777777">
            <w:pPr>
              <w:pStyle w:val="TableParagraph"/>
              <w:ind w:right="108"/>
              <w:rPr>
                <w:sz w:val="21"/>
              </w:rPr>
            </w:pPr>
            <w:r>
              <w:rPr>
                <w:spacing w:val="-2"/>
                <w:sz w:val="21"/>
              </w:rPr>
              <w:t>100.00</w:t>
            </w:r>
          </w:p>
        </w:tc>
      </w:tr>
      <w:tr w14:paraId="3B1D3548" w14:textId="77777777">
        <w:tblPrEx>
          <w:tblW w:w="0" w:type="auto"/>
          <w:tblInd w:w="117" w:type="dxa"/>
          <w:tblLayout w:type="fixed"/>
          <w:tblCellMar>
            <w:left w:w="0" w:type="dxa"/>
            <w:right w:w="0" w:type="dxa"/>
          </w:tblCellMar>
          <w:tblLook w:val="01E0"/>
        </w:tblPrEx>
        <w:trPr>
          <w:trHeight w:val="286"/>
        </w:trPr>
        <w:tc>
          <w:tcPr>
            <w:tcW w:w="6234" w:type="dxa"/>
          </w:tcPr>
          <w:p w:rsidR="003F5784" w14:paraId="153B868C" w14:textId="77777777">
            <w:pPr>
              <w:pStyle w:val="TableParagraph"/>
              <w:ind w:left="117"/>
              <w:jc w:val="left"/>
              <w:rPr>
                <w:sz w:val="21"/>
              </w:rPr>
            </w:pPr>
            <w:r>
              <w:rPr>
                <w:spacing w:val="-2"/>
                <w:sz w:val="21"/>
              </w:rPr>
              <w:t>Texas</w:t>
            </w:r>
          </w:p>
        </w:tc>
        <w:tc>
          <w:tcPr>
            <w:tcW w:w="3087" w:type="dxa"/>
          </w:tcPr>
          <w:p w:rsidR="003F5784" w14:paraId="27A56C99" w14:textId="77777777">
            <w:pPr>
              <w:pStyle w:val="TableParagraph"/>
              <w:ind w:left="262" w:right="104"/>
              <w:jc w:val="center"/>
              <w:rPr>
                <w:sz w:val="21"/>
              </w:rPr>
            </w:pPr>
            <w:r>
              <w:rPr>
                <w:spacing w:val="-5"/>
                <w:sz w:val="21"/>
              </w:rPr>
              <w:t>200</w:t>
            </w:r>
          </w:p>
        </w:tc>
        <w:tc>
          <w:tcPr>
            <w:tcW w:w="3162" w:type="dxa"/>
          </w:tcPr>
          <w:p w:rsidR="003F5784" w14:paraId="1043E4DB" w14:textId="77777777">
            <w:pPr>
              <w:pStyle w:val="TableParagraph"/>
              <w:ind w:right="1540"/>
              <w:rPr>
                <w:sz w:val="21"/>
              </w:rPr>
            </w:pPr>
            <w:r>
              <w:rPr>
                <w:spacing w:val="-5"/>
                <w:sz w:val="21"/>
              </w:rPr>
              <w:t>200</w:t>
            </w:r>
          </w:p>
        </w:tc>
        <w:tc>
          <w:tcPr>
            <w:tcW w:w="2225" w:type="dxa"/>
          </w:tcPr>
          <w:p w:rsidR="003F5784" w14:paraId="17AF4CAD" w14:textId="77777777">
            <w:pPr>
              <w:pStyle w:val="TableParagraph"/>
              <w:ind w:right="108"/>
              <w:rPr>
                <w:sz w:val="21"/>
              </w:rPr>
            </w:pPr>
            <w:r>
              <w:rPr>
                <w:spacing w:val="-2"/>
                <w:sz w:val="21"/>
              </w:rPr>
              <w:t>100.00</w:t>
            </w:r>
          </w:p>
        </w:tc>
      </w:tr>
      <w:tr w14:paraId="0D9CF062" w14:textId="77777777">
        <w:tblPrEx>
          <w:tblW w:w="0" w:type="auto"/>
          <w:tblInd w:w="117" w:type="dxa"/>
          <w:tblLayout w:type="fixed"/>
          <w:tblCellMar>
            <w:left w:w="0" w:type="dxa"/>
            <w:right w:w="0" w:type="dxa"/>
          </w:tblCellMar>
          <w:tblLook w:val="01E0"/>
        </w:tblPrEx>
        <w:trPr>
          <w:trHeight w:val="286"/>
        </w:trPr>
        <w:tc>
          <w:tcPr>
            <w:tcW w:w="6234" w:type="dxa"/>
          </w:tcPr>
          <w:p w:rsidR="003F5784" w14:paraId="6A91D9FB" w14:textId="77777777">
            <w:pPr>
              <w:pStyle w:val="TableParagraph"/>
              <w:ind w:left="117"/>
              <w:jc w:val="left"/>
              <w:rPr>
                <w:sz w:val="21"/>
              </w:rPr>
            </w:pPr>
            <w:r>
              <w:rPr>
                <w:spacing w:val="-4"/>
                <w:sz w:val="21"/>
              </w:rPr>
              <w:t>Utah</w:t>
            </w:r>
          </w:p>
        </w:tc>
        <w:tc>
          <w:tcPr>
            <w:tcW w:w="3087" w:type="dxa"/>
          </w:tcPr>
          <w:p w:rsidR="003F5784" w14:paraId="78644F51" w14:textId="77777777">
            <w:pPr>
              <w:pStyle w:val="TableParagraph"/>
              <w:ind w:left="262"/>
              <w:jc w:val="center"/>
              <w:rPr>
                <w:sz w:val="21"/>
              </w:rPr>
            </w:pPr>
            <w:r>
              <w:rPr>
                <w:spacing w:val="-5"/>
                <w:sz w:val="21"/>
              </w:rPr>
              <w:t>90</w:t>
            </w:r>
          </w:p>
        </w:tc>
        <w:tc>
          <w:tcPr>
            <w:tcW w:w="3162" w:type="dxa"/>
          </w:tcPr>
          <w:p w:rsidR="003F5784" w14:paraId="3B43CE29" w14:textId="77777777">
            <w:pPr>
              <w:pStyle w:val="TableParagraph"/>
              <w:ind w:right="1540"/>
              <w:rPr>
                <w:sz w:val="21"/>
              </w:rPr>
            </w:pPr>
            <w:r>
              <w:rPr>
                <w:spacing w:val="-5"/>
                <w:sz w:val="21"/>
              </w:rPr>
              <w:t>90</w:t>
            </w:r>
          </w:p>
        </w:tc>
        <w:tc>
          <w:tcPr>
            <w:tcW w:w="2225" w:type="dxa"/>
          </w:tcPr>
          <w:p w:rsidR="003F5784" w14:paraId="3348DEED" w14:textId="77777777">
            <w:pPr>
              <w:pStyle w:val="TableParagraph"/>
              <w:ind w:right="108"/>
              <w:rPr>
                <w:sz w:val="21"/>
              </w:rPr>
            </w:pPr>
            <w:r>
              <w:rPr>
                <w:spacing w:val="-2"/>
                <w:sz w:val="21"/>
              </w:rPr>
              <w:t>100.00</w:t>
            </w:r>
          </w:p>
        </w:tc>
      </w:tr>
      <w:tr w14:paraId="137AA39D" w14:textId="77777777">
        <w:tblPrEx>
          <w:tblW w:w="0" w:type="auto"/>
          <w:tblInd w:w="117" w:type="dxa"/>
          <w:tblLayout w:type="fixed"/>
          <w:tblCellMar>
            <w:left w:w="0" w:type="dxa"/>
            <w:right w:w="0" w:type="dxa"/>
          </w:tblCellMar>
          <w:tblLook w:val="01E0"/>
        </w:tblPrEx>
        <w:trPr>
          <w:trHeight w:val="286"/>
        </w:trPr>
        <w:tc>
          <w:tcPr>
            <w:tcW w:w="6234" w:type="dxa"/>
          </w:tcPr>
          <w:p w:rsidR="003F5784" w14:paraId="58BEA19D" w14:textId="77777777">
            <w:pPr>
              <w:pStyle w:val="TableParagraph"/>
              <w:ind w:left="117"/>
              <w:jc w:val="left"/>
              <w:rPr>
                <w:sz w:val="21"/>
              </w:rPr>
            </w:pPr>
            <w:r>
              <w:rPr>
                <w:spacing w:val="-2"/>
                <w:sz w:val="21"/>
              </w:rPr>
              <w:t>Vermont</w:t>
            </w:r>
          </w:p>
        </w:tc>
        <w:tc>
          <w:tcPr>
            <w:tcW w:w="3087" w:type="dxa"/>
          </w:tcPr>
          <w:p w:rsidR="003F5784" w14:paraId="244ADEDA" w14:textId="77777777">
            <w:pPr>
              <w:pStyle w:val="TableParagraph"/>
              <w:ind w:left="262"/>
              <w:jc w:val="center"/>
              <w:rPr>
                <w:sz w:val="21"/>
              </w:rPr>
            </w:pPr>
            <w:r>
              <w:rPr>
                <w:spacing w:val="-5"/>
                <w:sz w:val="21"/>
              </w:rPr>
              <w:t>90</w:t>
            </w:r>
          </w:p>
        </w:tc>
        <w:tc>
          <w:tcPr>
            <w:tcW w:w="3162" w:type="dxa"/>
          </w:tcPr>
          <w:p w:rsidR="003F5784" w14:paraId="67540A5D" w14:textId="77777777">
            <w:pPr>
              <w:pStyle w:val="TableParagraph"/>
              <w:ind w:right="1540"/>
              <w:rPr>
                <w:sz w:val="21"/>
              </w:rPr>
            </w:pPr>
            <w:r>
              <w:rPr>
                <w:spacing w:val="-5"/>
                <w:sz w:val="21"/>
              </w:rPr>
              <w:t>90</w:t>
            </w:r>
          </w:p>
        </w:tc>
        <w:tc>
          <w:tcPr>
            <w:tcW w:w="2225" w:type="dxa"/>
          </w:tcPr>
          <w:p w:rsidR="003F5784" w14:paraId="1E1E8254" w14:textId="77777777">
            <w:pPr>
              <w:pStyle w:val="TableParagraph"/>
              <w:ind w:right="108"/>
              <w:rPr>
                <w:sz w:val="21"/>
              </w:rPr>
            </w:pPr>
            <w:r>
              <w:rPr>
                <w:spacing w:val="-2"/>
                <w:sz w:val="21"/>
              </w:rPr>
              <w:t>100.00</w:t>
            </w:r>
          </w:p>
        </w:tc>
      </w:tr>
      <w:tr w14:paraId="6BECF9AB" w14:textId="77777777">
        <w:tblPrEx>
          <w:tblW w:w="0" w:type="auto"/>
          <w:tblInd w:w="117" w:type="dxa"/>
          <w:tblLayout w:type="fixed"/>
          <w:tblCellMar>
            <w:left w:w="0" w:type="dxa"/>
            <w:right w:w="0" w:type="dxa"/>
          </w:tblCellMar>
          <w:tblLook w:val="01E0"/>
        </w:tblPrEx>
        <w:trPr>
          <w:trHeight w:val="286"/>
        </w:trPr>
        <w:tc>
          <w:tcPr>
            <w:tcW w:w="6234" w:type="dxa"/>
          </w:tcPr>
          <w:p w:rsidR="003F5784" w14:paraId="62E3825E" w14:textId="77777777">
            <w:pPr>
              <w:pStyle w:val="TableParagraph"/>
              <w:ind w:left="117"/>
              <w:jc w:val="left"/>
              <w:rPr>
                <w:sz w:val="21"/>
              </w:rPr>
            </w:pPr>
            <w:r>
              <w:rPr>
                <w:spacing w:val="-2"/>
                <w:sz w:val="21"/>
              </w:rPr>
              <w:t>Virginia</w:t>
            </w:r>
          </w:p>
        </w:tc>
        <w:tc>
          <w:tcPr>
            <w:tcW w:w="3087" w:type="dxa"/>
          </w:tcPr>
          <w:p w:rsidR="003F5784" w14:paraId="4D0D432A" w14:textId="77777777">
            <w:pPr>
              <w:pStyle w:val="TableParagraph"/>
              <w:ind w:left="262"/>
              <w:jc w:val="center"/>
              <w:rPr>
                <w:sz w:val="21"/>
              </w:rPr>
            </w:pPr>
            <w:r>
              <w:rPr>
                <w:spacing w:val="-5"/>
                <w:sz w:val="21"/>
              </w:rPr>
              <w:t>80</w:t>
            </w:r>
          </w:p>
        </w:tc>
        <w:tc>
          <w:tcPr>
            <w:tcW w:w="3162" w:type="dxa"/>
          </w:tcPr>
          <w:p w:rsidR="003F5784" w14:paraId="10D67522" w14:textId="77777777">
            <w:pPr>
              <w:pStyle w:val="TableParagraph"/>
              <w:ind w:right="1540"/>
              <w:rPr>
                <w:sz w:val="21"/>
              </w:rPr>
            </w:pPr>
            <w:r>
              <w:rPr>
                <w:spacing w:val="-5"/>
                <w:sz w:val="21"/>
              </w:rPr>
              <w:t>80</w:t>
            </w:r>
          </w:p>
        </w:tc>
        <w:tc>
          <w:tcPr>
            <w:tcW w:w="2225" w:type="dxa"/>
          </w:tcPr>
          <w:p w:rsidR="003F5784" w14:paraId="0E5848C9" w14:textId="77777777">
            <w:pPr>
              <w:pStyle w:val="TableParagraph"/>
              <w:ind w:right="108"/>
              <w:rPr>
                <w:sz w:val="21"/>
              </w:rPr>
            </w:pPr>
            <w:r>
              <w:rPr>
                <w:spacing w:val="-2"/>
                <w:sz w:val="21"/>
              </w:rPr>
              <w:t>98.75</w:t>
            </w:r>
          </w:p>
        </w:tc>
      </w:tr>
      <w:tr w14:paraId="2634FAB4" w14:textId="77777777">
        <w:tblPrEx>
          <w:tblW w:w="0" w:type="auto"/>
          <w:tblInd w:w="117" w:type="dxa"/>
          <w:tblLayout w:type="fixed"/>
          <w:tblCellMar>
            <w:left w:w="0" w:type="dxa"/>
            <w:right w:w="0" w:type="dxa"/>
          </w:tblCellMar>
          <w:tblLook w:val="01E0"/>
        </w:tblPrEx>
        <w:trPr>
          <w:trHeight w:val="286"/>
        </w:trPr>
        <w:tc>
          <w:tcPr>
            <w:tcW w:w="6234" w:type="dxa"/>
          </w:tcPr>
          <w:p w:rsidR="003F5784" w14:paraId="7D330D3A" w14:textId="77777777">
            <w:pPr>
              <w:pStyle w:val="TableParagraph"/>
              <w:ind w:left="117"/>
              <w:jc w:val="left"/>
              <w:rPr>
                <w:sz w:val="21"/>
              </w:rPr>
            </w:pPr>
            <w:r>
              <w:rPr>
                <w:spacing w:val="-2"/>
                <w:sz w:val="21"/>
              </w:rPr>
              <w:t>Washington</w:t>
            </w:r>
          </w:p>
        </w:tc>
        <w:tc>
          <w:tcPr>
            <w:tcW w:w="3087" w:type="dxa"/>
          </w:tcPr>
          <w:p w:rsidR="003F5784" w14:paraId="2A8F70DE" w14:textId="77777777">
            <w:pPr>
              <w:pStyle w:val="TableParagraph"/>
              <w:ind w:left="262"/>
              <w:jc w:val="center"/>
              <w:rPr>
                <w:sz w:val="21"/>
              </w:rPr>
            </w:pPr>
            <w:r>
              <w:rPr>
                <w:spacing w:val="-5"/>
                <w:sz w:val="21"/>
              </w:rPr>
              <w:t>90</w:t>
            </w:r>
          </w:p>
        </w:tc>
        <w:tc>
          <w:tcPr>
            <w:tcW w:w="3162" w:type="dxa"/>
          </w:tcPr>
          <w:p w:rsidR="003F5784" w14:paraId="5BE9C5CB" w14:textId="77777777">
            <w:pPr>
              <w:pStyle w:val="TableParagraph"/>
              <w:ind w:right="1540"/>
              <w:rPr>
                <w:sz w:val="21"/>
              </w:rPr>
            </w:pPr>
            <w:r>
              <w:rPr>
                <w:spacing w:val="-5"/>
                <w:sz w:val="21"/>
              </w:rPr>
              <w:t>90</w:t>
            </w:r>
          </w:p>
        </w:tc>
        <w:tc>
          <w:tcPr>
            <w:tcW w:w="2225" w:type="dxa"/>
          </w:tcPr>
          <w:p w:rsidR="003F5784" w14:paraId="3255F216" w14:textId="77777777">
            <w:pPr>
              <w:pStyle w:val="TableParagraph"/>
              <w:ind w:right="108"/>
              <w:rPr>
                <w:sz w:val="21"/>
              </w:rPr>
            </w:pPr>
            <w:r>
              <w:rPr>
                <w:spacing w:val="-2"/>
                <w:sz w:val="21"/>
              </w:rPr>
              <w:t>100.00</w:t>
            </w:r>
          </w:p>
        </w:tc>
      </w:tr>
      <w:tr w14:paraId="4B3C6131" w14:textId="77777777">
        <w:tblPrEx>
          <w:tblW w:w="0" w:type="auto"/>
          <w:tblInd w:w="117" w:type="dxa"/>
          <w:tblLayout w:type="fixed"/>
          <w:tblCellMar>
            <w:left w:w="0" w:type="dxa"/>
            <w:right w:w="0" w:type="dxa"/>
          </w:tblCellMar>
          <w:tblLook w:val="01E0"/>
        </w:tblPrEx>
        <w:trPr>
          <w:trHeight w:val="286"/>
        </w:trPr>
        <w:tc>
          <w:tcPr>
            <w:tcW w:w="6234" w:type="dxa"/>
          </w:tcPr>
          <w:p w:rsidR="003F5784" w14:paraId="59829485" w14:textId="77777777">
            <w:pPr>
              <w:pStyle w:val="TableParagraph"/>
              <w:ind w:left="117"/>
              <w:jc w:val="left"/>
              <w:rPr>
                <w:sz w:val="21"/>
              </w:rPr>
            </w:pPr>
            <w:r>
              <w:rPr>
                <w:spacing w:val="-5"/>
                <w:sz w:val="21"/>
              </w:rPr>
              <w:t>West</w:t>
            </w:r>
            <w:r>
              <w:rPr>
                <w:spacing w:val="-7"/>
                <w:sz w:val="21"/>
              </w:rPr>
              <w:t xml:space="preserve"> </w:t>
            </w:r>
            <w:r>
              <w:rPr>
                <w:spacing w:val="-2"/>
                <w:sz w:val="21"/>
              </w:rPr>
              <w:t>Virginia</w:t>
            </w:r>
          </w:p>
        </w:tc>
        <w:tc>
          <w:tcPr>
            <w:tcW w:w="3087" w:type="dxa"/>
          </w:tcPr>
          <w:p w:rsidR="003F5784" w14:paraId="018896F3" w14:textId="77777777">
            <w:pPr>
              <w:pStyle w:val="TableParagraph"/>
              <w:ind w:left="262"/>
              <w:jc w:val="center"/>
              <w:rPr>
                <w:sz w:val="21"/>
              </w:rPr>
            </w:pPr>
            <w:r>
              <w:rPr>
                <w:spacing w:val="-5"/>
                <w:sz w:val="21"/>
              </w:rPr>
              <w:t>90</w:t>
            </w:r>
          </w:p>
        </w:tc>
        <w:tc>
          <w:tcPr>
            <w:tcW w:w="3162" w:type="dxa"/>
          </w:tcPr>
          <w:p w:rsidR="003F5784" w14:paraId="70139994" w14:textId="77777777">
            <w:pPr>
              <w:pStyle w:val="TableParagraph"/>
              <w:ind w:right="1540"/>
              <w:rPr>
                <w:sz w:val="21"/>
              </w:rPr>
            </w:pPr>
            <w:r>
              <w:rPr>
                <w:spacing w:val="-5"/>
                <w:sz w:val="21"/>
              </w:rPr>
              <w:t>90</w:t>
            </w:r>
          </w:p>
        </w:tc>
        <w:tc>
          <w:tcPr>
            <w:tcW w:w="2225" w:type="dxa"/>
          </w:tcPr>
          <w:p w:rsidR="003F5784" w14:paraId="3AF7B08A" w14:textId="77777777">
            <w:pPr>
              <w:pStyle w:val="TableParagraph"/>
              <w:ind w:right="108"/>
              <w:rPr>
                <w:sz w:val="21"/>
              </w:rPr>
            </w:pPr>
            <w:r>
              <w:rPr>
                <w:spacing w:val="-2"/>
                <w:sz w:val="21"/>
              </w:rPr>
              <w:t>100.00</w:t>
            </w:r>
          </w:p>
        </w:tc>
      </w:tr>
      <w:tr w14:paraId="37406EF8" w14:textId="77777777">
        <w:tblPrEx>
          <w:tblW w:w="0" w:type="auto"/>
          <w:tblInd w:w="117" w:type="dxa"/>
          <w:tblLayout w:type="fixed"/>
          <w:tblCellMar>
            <w:left w:w="0" w:type="dxa"/>
            <w:right w:w="0" w:type="dxa"/>
          </w:tblCellMar>
          <w:tblLook w:val="01E0"/>
        </w:tblPrEx>
        <w:trPr>
          <w:trHeight w:val="286"/>
        </w:trPr>
        <w:tc>
          <w:tcPr>
            <w:tcW w:w="6234" w:type="dxa"/>
          </w:tcPr>
          <w:p w:rsidR="003F5784" w14:paraId="66698471" w14:textId="77777777">
            <w:pPr>
              <w:pStyle w:val="TableParagraph"/>
              <w:ind w:left="117"/>
              <w:jc w:val="left"/>
              <w:rPr>
                <w:sz w:val="21"/>
              </w:rPr>
            </w:pPr>
            <w:r>
              <w:rPr>
                <w:spacing w:val="-2"/>
                <w:sz w:val="21"/>
              </w:rPr>
              <w:t>Wisconsin–Milwaukee</w:t>
            </w:r>
          </w:p>
        </w:tc>
        <w:tc>
          <w:tcPr>
            <w:tcW w:w="3087" w:type="dxa"/>
          </w:tcPr>
          <w:p w:rsidR="003F5784" w14:paraId="790AD59D" w14:textId="77777777">
            <w:pPr>
              <w:pStyle w:val="TableParagraph"/>
              <w:ind w:left="262"/>
              <w:jc w:val="center"/>
              <w:rPr>
                <w:sz w:val="21"/>
              </w:rPr>
            </w:pPr>
            <w:r>
              <w:rPr>
                <w:spacing w:val="-5"/>
                <w:sz w:val="21"/>
              </w:rPr>
              <w:t>40</w:t>
            </w:r>
          </w:p>
        </w:tc>
        <w:tc>
          <w:tcPr>
            <w:tcW w:w="3162" w:type="dxa"/>
          </w:tcPr>
          <w:p w:rsidR="003F5784" w14:paraId="2FB1DDD3" w14:textId="77777777">
            <w:pPr>
              <w:pStyle w:val="TableParagraph"/>
              <w:ind w:right="1540"/>
              <w:rPr>
                <w:sz w:val="21"/>
              </w:rPr>
            </w:pPr>
            <w:r>
              <w:rPr>
                <w:spacing w:val="-5"/>
                <w:sz w:val="21"/>
              </w:rPr>
              <w:t>40</w:t>
            </w:r>
          </w:p>
        </w:tc>
        <w:tc>
          <w:tcPr>
            <w:tcW w:w="2225" w:type="dxa"/>
          </w:tcPr>
          <w:p w:rsidR="003F5784" w14:paraId="5597AFCF" w14:textId="77777777">
            <w:pPr>
              <w:pStyle w:val="TableParagraph"/>
              <w:ind w:right="108"/>
              <w:rPr>
                <w:sz w:val="21"/>
              </w:rPr>
            </w:pPr>
            <w:r>
              <w:rPr>
                <w:spacing w:val="-2"/>
                <w:sz w:val="21"/>
              </w:rPr>
              <w:t>100.00</w:t>
            </w:r>
          </w:p>
        </w:tc>
      </w:tr>
      <w:tr w14:paraId="4C302919" w14:textId="77777777">
        <w:tblPrEx>
          <w:tblW w:w="0" w:type="auto"/>
          <w:tblInd w:w="117" w:type="dxa"/>
          <w:tblLayout w:type="fixed"/>
          <w:tblCellMar>
            <w:left w:w="0" w:type="dxa"/>
            <w:right w:w="0" w:type="dxa"/>
          </w:tblCellMar>
          <w:tblLook w:val="01E0"/>
        </w:tblPrEx>
        <w:trPr>
          <w:trHeight w:val="286"/>
        </w:trPr>
        <w:tc>
          <w:tcPr>
            <w:tcW w:w="6234" w:type="dxa"/>
          </w:tcPr>
          <w:p w:rsidR="003F5784" w14:paraId="3DEDE09C" w14:textId="77777777">
            <w:pPr>
              <w:pStyle w:val="TableParagraph"/>
              <w:ind w:left="117"/>
              <w:jc w:val="left"/>
              <w:rPr>
                <w:sz w:val="21"/>
              </w:rPr>
            </w:pPr>
            <w:r>
              <w:rPr>
                <w:spacing w:val="-2"/>
                <w:sz w:val="21"/>
              </w:rPr>
              <w:t>Wisconsin</w:t>
            </w:r>
          </w:p>
        </w:tc>
        <w:tc>
          <w:tcPr>
            <w:tcW w:w="3087" w:type="dxa"/>
          </w:tcPr>
          <w:p w:rsidR="003F5784" w14:paraId="69CE8335" w14:textId="77777777">
            <w:pPr>
              <w:pStyle w:val="TableParagraph"/>
              <w:ind w:left="262" w:right="104"/>
              <w:jc w:val="center"/>
              <w:rPr>
                <w:sz w:val="21"/>
              </w:rPr>
            </w:pPr>
            <w:r>
              <w:rPr>
                <w:spacing w:val="-5"/>
                <w:sz w:val="21"/>
              </w:rPr>
              <w:t>130</w:t>
            </w:r>
          </w:p>
        </w:tc>
        <w:tc>
          <w:tcPr>
            <w:tcW w:w="3162" w:type="dxa"/>
          </w:tcPr>
          <w:p w:rsidR="003F5784" w14:paraId="328C6D7C" w14:textId="77777777">
            <w:pPr>
              <w:pStyle w:val="TableParagraph"/>
              <w:ind w:right="1540"/>
              <w:rPr>
                <w:sz w:val="21"/>
              </w:rPr>
            </w:pPr>
            <w:r>
              <w:rPr>
                <w:spacing w:val="-5"/>
                <w:sz w:val="21"/>
              </w:rPr>
              <w:t>130</w:t>
            </w:r>
          </w:p>
        </w:tc>
        <w:tc>
          <w:tcPr>
            <w:tcW w:w="2225" w:type="dxa"/>
          </w:tcPr>
          <w:p w:rsidR="003F5784" w14:paraId="5050F0BB" w14:textId="77777777">
            <w:pPr>
              <w:pStyle w:val="TableParagraph"/>
              <w:ind w:right="108"/>
              <w:rPr>
                <w:sz w:val="21"/>
              </w:rPr>
            </w:pPr>
            <w:r>
              <w:rPr>
                <w:spacing w:val="-2"/>
                <w:sz w:val="21"/>
              </w:rPr>
              <w:t>100.00</w:t>
            </w:r>
          </w:p>
        </w:tc>
      </w:tr>
      <w:tr w14:paraId="354EB795" w14:textId="77777777">
        <w:tblPrEx>
          <w:tblW w:w="0" w:type="auto"/>
          <w:tblInd w:w="117" w:type="dxa"/>
          <w:tblLayout w:type="fixed"/>
          <w:tblCellMar>
            <w:left w:w="0" w:type="dxa"/>
            <w:right w:w="0" w:type="dxa"/>
          </w:tblCellMar>
          <w:tblLook w:val="01E0"/>
        </w:tblPrEx>
        <w:trPr>
          <w:trHeight w:val="286"/>
        </w:trPr>
        <w:tc>
          <w:tcPr>
            <w:tcW w:w="6234" w:type="dxa"/>
          </w:tcPr>
          <w:p w:rsidR="003F5784" w14:paraId="6EA584E3" w14:textId="77777777">
            <w:pPr>
              <w:pStyle w:val="TableParagraph"/>
              <w:ind w:left="117"/>
              <w:jc w:val="left"/>
              <w:rPr>
                <w:sz w:val="21"/>
              </w:rPr>
            </w:pPr>
            <w:r>
              <w:rPr>
                <w:spacing w:val="-2"/>
                <w:sz w:val="21"/>
              </w:rPr>
              <w:t>Wyoming</w:t>
            </w:r>
          </w:p>
        </w:tc>
        <w:tc>
          <w:tcPr>
            <w:tcW w:w="3087" w:type="dxa"/>
          </w:tcPr>
          <w:p w:rsidR="003F5784" w14:paraId="5EE7EC61" w14:textId="77777777">
            <w:pPr>
              <w:pStyle w:val="TableParagraph"/>
              <w:ind w:left="262"/>
              <w:jc w:val="center"/>
              <w:rPr>
                <w:sz w:val="21"/>
              </w:rPr>
            </w:pPr>
            <w:r>
              <w:rPr>
                <w:spacing w:val="-5"/>
                <w:sz w:val="21"/>
              </w:rPr>
              <w:t>60</w:t>
            </w:r>
          </w:p>
        </w:tc>
        <w:tc>
          <w:tcPr>
            <w:tcW w:w="3162" w:type="dxa"/>
          </w:tcPr>
          <w:p w:rsidR="003F5784" w14:paraId="02641F15" w14:textId="77777777">
            <w:pPr>
              <w:pStyle w:val="TableParagraph"/>
              <w:ind w:right="1540"/>
              <w:rPr>
                <w:sz w:val="21"/>
              </w:rPr>
            </w:pPr>
            <w:r>
              <w:rPr>
                <w:spacing w:val="-5"/>
                <w:sz w:val="21"/>
              </w:rPr>
              <w:t>60</w:t>
            </w:r>
          </w:p>
        </w:tc>
        <w:tc>
          <w:tcPr>
            <w:tcW w:w="2225" w:type="dxa"/>
          </w:tcPr>
          <w:p w:rsidR="003F5784" w14:paraId="560913F0" w14:textId="77777777">
            <w:pPr>
              <w:pStyle w:val="TableParagraph"/>
              <w:ind w:right="108"/>
              <w:rPr>
                <w:sz w:val="21"/>
              </w:rPr>
            </w:pPr>
            <w:r>
              <w:rPr>
                <w:spacing w:val="-2"/>
                <w:sz w:val="21"/>
              </w:rPr>
              <w:t>100.00</w:t>
            </w:r>
          </w:p>
        </w:tc>
      </w:tr>
      <w:tr w14:paraId="2C853253" w14:textId="77777777">
        <w:tblPrEx>
          <w:tblW w:w="0" w:type="auto"/>
          <w:tblInd w:w="117" w:type="dxa"/>
          <w:tblLayout w:type="fixed"/>
          <w:tblCellMar>
            <w:left w:w="0" w:type="dxa"/>
            <w:right w:w="0" w:type="dxa"/>
          </w:tblCellMar>
          <w:tblLook w:val="01E0"/>
        </w:tblPrEx>
        <w:trPr>
          <w:trHeight w:val="286"/>
        </w:trPr>
        <w:tc>
          <w:tcPr>
            <w:tcW w:w="14708" w:type="dxa"/>
            <w:gridSpan w:val="4"/>
          </w:tcPr>
          <w:p w:rsidR="003F5784" w14:paraId="27E58DFF" w14:textId="77777777">
            <w:pPr>
              <w:pStyle w:val="TableParagraph"/>
              <w:ind w:left="117"/>
              <w:jc w:val="left"/>
              <w:rPr>
                <w:sz w:val="21"/>
              </w:rPr>
            </w:pPr>
            <w:r>
              <w:rPr>
                <w:sz w:val="21"/>
              </w:rPr>
              <w:t>Other</w:t>
            </w:r>
            <w:r>
              <w:rPr>
                <w:spacing w:val="-6"/>
                <w:sz w:val="21"/>
              </w:rPr>
              <w:t xml:space="preserve"> </w:t>
            </w:r>
            <w:r>
              <w:rPr>
                <w:spacing w:val="-2"/>
                <w:sz w:val="21"/>
              </w:rPr>
              <w:t>jurisdictions</w:t>
            </w:r>
          </w:p>
        </w:tc>
      </w:tr>
      <w:tr w14:paraId="7E33D0DB" w14:textId="77777777">
        <w:tblPrEx>
          <w:tblW w:w="0" w:type="auto"/>
          <w:tblInd w:w="117" w:type="dxa"/>
          <w:tblLayout w:type="fixed"/>
          <w:tblCellMar>
            <w:left w:w="0" w:type="dxa"/>
            <w:right w:w="0" w:type="dxa"/>
          </w:tblCellMar>
          <w:tblLook w:val="01E0"/>
        </w:tblPrEx>
        <w:trPr>
          <w:trHeight w:val="286"/>
        </w:trPr>
        <w:tc>
          <w:tcPr>
            <w:tcW w:w="6234" w:type="dxa"/>
          </w:tcPr>
          <w:p w:rsidR="003F5784" w14:paraId="0CE866F5" w14:textId="77777777">
            <w:pPr>
              <w:pStyle w:val="TableParagraph"/>
              <w:ind w:left="325"/>
              <w:jc w:val="left"/>
              <w:rPr>
                <w:sz w:val="21"/>
              </w:rPr>
            </w:pPr>
            <w:r>
              <w:rPr>
                <w:sz w:val="21"/>
              </w:rPr>
              <w:t>Department</w:t>
            </w:r>
            <w:r>
              <w:rPr>
                <w:spacing w:val="-13"/>
                <w:sz w:val="21"/>
              </w:rPr>
              <w:t xml:space="preserve"> </w:t>
            </w:r>
            <w:r>
              <w:rPr>
                <w:sz w:val="21"/>
              </w:rPr>
              <w:t>of</w:t>
            </w:r>
            <w:r>
              <w:rPr>
                <w:spacing w:val="-8"/>
                <w:sz w:val="21"/>
              </w:rPr>
              <w:t xml:space="preserve"> </w:t>
            </w:r>
            <w:r>
              <w:rPr>
                <w:sz w:val="21"/>
              </w:rPr>
              <w:t>Defense</w:t>
            </w:r>
            <w:r>
              <w:rPr>
                <w:spacing w:val="-8"/>
                <w:sz w:val="21"/>
              </w:rPr>
              <w:t xml:space="preserve"> </w:t>
            </w:r>
            <w:r>
              <w:rPr>
                <w:sz w:val="21"/>
              </w:rPr>
              <w:t>Education</w:t>
            </w:r>
            <w:r>
              <w:rPr>
                <w:spacing w:val="-13"/>
                <w:sz w:val="21"/>
              </w:rPr>
              <w:t xml:space="preserve"> </w:t>
            </w:r>
            <w:r>
              <w:rPr>
                <w:sz w:val="21"/>
              </w:rPr>
              <w:t>Activity</w:t>
            </w:r>
            <w:r>
              <w:rPr>
                <w:spacing w:val="-8"/>
                <w:sz w:val="21"/>
              </w:rPr>
              <w:t xml:space="preserve"> </w:t>
            </w:r>
            <w:r>
              <w:rPr>
                <w:spacing w:val="-2"/>
                <w:sz w:val="21"/>
              </w:rPr>
              <w:t>(DoDEA)</w:t>
            </w:r>
          </w:p>
        </w:tc>
        <w:tc>
          <w:tcPr>
            <w:tcW w:w="3087" w:type="dxa"/>
          </w:tcPr>
          <w:p w:rsidR="003F5784" w14:paraId="4AC27F73" w14:textId="77777777">
            <w:pPr>
              <w:pStyle w:val="TableParagraph"/>
              <w:ind w:left="262"/>
              <w:jc w:val="center"/>
              <w:rPr>
                <w:sz w:val="21"/>
              </w:rPr>
            </w:pPr>
            <w:r>
              <w:rPr>
                <w:spacing w:val="-5"/>
                <w:sz w:val="21"/>
              </w:rPr>
              <w:t>50</w:t>
            </w:r>
          </w:p>
        </w:tc>
        <w:tc>
          <w:tcPr>
            <w:tcW w:w="3162" w:type="dxa"/>
          </w:tcPr>
          <w:p w:rsidR="003F5784" w14:paraId="22A02C55" w14:textId="77777777">
            <w:pPr>
              <w:pStyle w:val="TableParagraph"/>
              <w:ind w:right="1540"/>
              <w:rPr>
                <w:sz w:val="21"/>
              </w:rPr>
            </w:pPr>
            <w:r>
              <w:rPr>
                <w:spacing w:val="-5"/>
                <w:sz w:val="21"/>
              </w:rPr>
              <w:t>40</w:t>
            </w:r>
          </w:p>
        </w:tc>
        <w:tc>
          <w:tcPr>
            <w:tcW w:w="2225" w:type="dxa"/>
          </w:tcPr>
          <w:p w:rsidR="003F5784" w14:paraId="75D16C47" w14:textId="77777777">
            <w:pPr>
              <w:pStyle w:val="TableParagraph"/>
              <w:ind w:right="108"/>
              <w:rPr>
                <w:sz w:val="21"/>
              </w:rPr>
            </w:pPr>
            <w:r>
              <w:rPr>
                <w:spacing w:val="-2"/>
                <w:sz w:val="21"/>
              </w:rPr>
              <w:t>94.14</w:t>
            </w:r>
          </w:p>
        </w:tc>
      </w:tr>
      <w:tr w14:paraId="336FF48D" w14:textId="77777777">
        <w:tblPrEx>
          <w:tblW w:w="0" w:type="auto"/>
          <w:tblInd w:w="117" w:type="dxa"/>
          <w:tblLayout w:type="fixed"/>
          <w:tblCellMar>
            <w:left w:w="0" w:type="dxa"/>
            <w:right w:w="0" w:type="dxa"/>
          </w:tblCellMar>
          <w:tblLook w:val="01E0"/>
        </w:tblPrEx>
        <w:trPr>
          <w:trHeight w:val="286"/>
        </w:trPr>
        <w:tc>
          <w:tcPr>
            <w:tcW w:w="6234" w:type="dxa"/>
          </w:tcPr>
          <w:p w:rsidR="003F5784" w14:paraId="24E06582" w14:textId="77777777">
            <w:pPr>
              <w:pStyle w:val="TableParagraph"/>
              <w:ind w:left="325"/>
              <w:jc w:val="left"/>
              <w:rPr>
                <w:sz w:val="21"/>
              </w:rPr>
            </w:pPr>
            <w:r>
              <w:rPr>
                <w:sz w:val="21"/>
              </w:rPr>
              <w:t>District</w:t>
            </w:r>
            <w:r>
              <w:rPr>
                <w:spacing w:val="-7"/>
                <w:sz w:val="21"/>
              </w:rPr>
              <w:t xml:space="preserve"> </w:t>
            </w:r>
            <w:r>
              <w:rPr>
                <w:sz w:val="21"/>
              </w:rPr>
              <w:t>of</w:t>
            </w:r>
            <w:r>
              <w:rPr>
                <w:spacing w:val="-6"/>
                <w:sz w:val="21"/>
              </w:rPr>
              <w:t xml:space="preserve"> </w:t>
            </w:r>
            <w:r>
              <w:rPr>
                <w:sz w:val="21"/>
              </w:rPr>
              <w:t>Columbia</w:t>
            </w:r>
            <w:r>
              <w:rPr>
                <w:spacing w:val="-7"/>
                <w:sz w:val="21"/>
              </w:rPr>
              <w:t xml:space="preserve"> </w:t>
            </w:r>
            <w:r>
              <w:rPr>
                <w:spacing w:val="-2"/>
                <w:sz w:val="21"/>
              </w:rPr>
              <w:t>(TUDA)</w:t>
            </w:r>
          </w:p>
        </w:tc>
        <w:tc>
          <w:tcPr>
            <w:tcW w:w="3087" w:type="dxa"/>
          </w:tcPr>
          <w:p w:rsidR="003F5784" w14:paraId="4FA3011F" w14:textId="77777777">
            <w:pPr>
              <w:pStyle w:val="TableParagraph"/>
              <w:ind w:left="262"/>
              <w:jc w:val="center"/>
              <w:rPr>
                <w:sz w:val="21"/>
              </w:rPr>
            </w:pPr>
            <w:r>
              <w:rPr>
                <w:spacing w:val="-5"/>
                <w:sz w:val="21"/>
              </w:rPr>
              <w:t>20</w:t>
            </w:r>
          </w:p>
        </w:tc>
        <w:tc>
          <w:tcPr>
            <w:tcW w:w="3162" w:type="dxa"/>
          </w:tcPr>
          <w:p w:rsidR="003F5784" w14:paraId="3B6ED462" w14:textId="77777777">
            <w:pPr>
              <w:pStyle w:val="TableParagraph"/>
              <w:ind w:right="1540"/>
              <w:rPr>
                <w:sz w:val="21"/>
              </w:rPr>
            </w:pPr>
            <w:r>
              <w:rPr>
                <w:spacing w:val="-5"/>
                <w:sz w:val="21"/>
              </w:rPr>
              <w:t>20</w:t>
            </w:r>
          </w:p>
        </w:tc>
        <w:tc>
          <w:tcPr>
            <w:tcW w:w="2225" w:type="dxa"/>
          </w:tcPr>
          <w:p w:rsidR="003F5784" w14:paraId="25D69071" w14:textId="77777777">
            <w:pPr>
              <w:pStyle w:val="TableParagraph"/>
              <w:ind w:right="108"/>
              <w:rPr>
                <w:sz w:val="21"/>
              </w:rPr>
            </w:pPr>
            <w:r>
              <w:rPr>
                <w:spacing w:val="-2"/>
                <w:sz w:val="21"/>
              </w:rPr>
              <w:t>100.00</w:t>
            </w:r>
          </w:p>
        </w:tc>
      </w:tr>
      <w:tr w14:paraId="73A5AE75" w14:textId="77777777">
        <w:tblPrEx>
          <w:tblW w:w="0" w:type="auto"/>
          <w:tblInd w:w="117" w:type="dxa"/>
          <w:tblLayout w:type="fixed"/>
          <w:tblCellMar>
            <w:left w:w="0" w:type="dxa"/>
            <w:right w:w="0" w:type="dxa"/>
          </w:tblCellMar>
          <w:tblLook w:val="01E0"/>
        </w:tblPrEx>
        <w:trPr>
          <w:trHeight w:val="286"/>
        </w:trPr>
        <w:tc>
          <w:tcPr>
            <w:tcW w:w="6234" w:type="dxa"/>
          </w:tcPr>
          <w:p w:rsidR="003F5784" w14:paraId="69059339" w14:textId="77777777">
            <w:pPr>
              <w:pStyle w:val="TableParagraph"/>
              <w:ind w:left="325"/>
              <w:jc w:val="left"/>
              <w:rPr>
                <w:sz w:val="21"/>
              </w:rPr>
            </w:pPr>
            <w:r>
              <w:rPr>
                <w:sz w:val="21"/>
              </w:rPr>
              <w:t>District</w:t>
            </w:r>
            <w:r>
              <w:rPr>
                <w:spacing w:val="-6"/>
                <w:sz w:val="21"/>
              </w:rPr>
              <w:t xml:space="preserve"> </w:t>
            </w:r>
            <w:r>
              <w:rPr>
                <w:sz w:val="21"/>
              </w:rPr>
              <w:t>of</w:t>
            </w:r>
            <w:r>
              <w:rPr>
                <w:spacing w:val="-5"/>
                <w:sz w:val="21"/>
              </w:rPr>
              <w:t xml:space="preserve"> </w:t>
            </w:r>
            <w:r>
              <w:rPr>
                <w:spacing w:val="-2"/>
                <w:sz w:val="21"/>
              </w:rPr>
              <w:t>Columbia</w:t>
            </w:r>
          </w:p>
        </w:tc>
        <w:tc>
          <w:tcPr>
            <w:tcW w:w="3087" w:type="dxa"/>
          </w:tcPr>
          <w:p w:rsidR="003F5784" w14:paraId="15EDCEEC" w14:textId="77777777">
            <w:pPr>
              <w:pStyle w:val="TableParagraph"/>
              <w:ind w:left="262"/>
              <w:jc w:val="center"/>
              <w:rPr>
                <w:sz w:val="21"/>
              </w:rPr>
            </w:pPr>
            <w:r>
              <w:rPr>
                <w:spacing w:val="-5"/>
                <w:sz w:val="21"/>
              </w:rPr>
              <w:t>70</w:t>
            </w:r>
          </w:p>
        </w:tc>
        <w:tc>
          <w:tcPr>
            <w:tcW w:w="3162" w:type="dxa"/>
          </w:tcPr>
          <w:p w:rsidR="003F5784" w14:paraId="5F27E5B6" w14:textId="77777777">
            <w:pPr>
              <w:pStyle w:val="TableParagraph"/>
              <w:ind w:right="1540"/>
              <w:rPr>
                <w:sz w:val="21"/>
              </w:rPr>
            </w:pPr>
            <w:r>
              <w:rPr>
                <w:spacing w:val="-5"/>
                <w:sz w:val="21"/>
              </w:rPr>
              <w:t>70</w:t>
            </w:r>
          </w:p>
        </w:tc>
        <w:tc>
          <w:tcPr>
            <w:tcW w:w="2225" w:type="dxa"/>
          </w:tcPr>
          <w:p w:rsidR="003F5784" w14:paraId="18A456E1" w14:textId="77777777">
            <w:pPr>
              <w:pStyle w:val="TableParagraph"/>
              <w:ind w:right="108"/>
              <w:rPr>
                <w:sz w:val="21"/>
              </w:rPr>
            </w:pPr>
            <w:r>
              <w:rPr>
                <w:spacing w:val="-2"/>
                <w:sz w:val="21"/>
              </w:rPr>
              <w:t>100.00</w:t>
            </w:r>
          </w:p>
        </w:tc>
      </w:tr>
      <w:tr w14:paraId="5C5C0C30" w14:textId="77777777">
        <w:tblPrEx>
          <w:tblW w:w="0" w:type="auto"/>
          <w:tblInd w:w="117" w:type="dxa"/>
          <w:tblLayout w:type="fixed"/>
          <w:tblCellMar>
            <w:left w:w="0" w:type="dxa"/>
            <w:right w:w="0" w:type="dxa"/>
          </w:tblCellMar>
          <w:tblLook w:val="01E0"/>
        </w:tblPrEx>
        <w:trPr>
          <w:trHeight w:val="288"/>
        </w:trPr>
        <w:tc>
          <w:tcPr>
            <w:tcW w:w="6234" w:type="dxa"/>
            <w:tcBorders>
              <w:bottom w:val="single" w:sz="18" w:space="0" w:color="800000"/>
            </w:tcBorders>
          </w:tcPr>
          <w:p w:rsidR="003F5784" w14:paraId="3622AB9A" w14:textId="77777777">
            <w:pPr>
              <w:pStyle w:val="TableParagraph"/>
              <w:ind w:left="325"/>
              <w:jc w:val="left"/>
              <w:rPr>
                <w:sz w:val="21"/>
              </w:rPr>
            </w:pPr>
            <w:r>
              <w:rPr>
                <w:sz w:val="21"/>
              </w:rPr>
              <w:t>Puerto</w:t>
            </w:r>
            <w:r>
              <w:rPr>
                <w:spacing w:val="-7"/>
                <w:sz w:val="21"/>
              </w:rPr>
              <w:t xml:space="preserve"> </w:t>
            </w:r>
            <w:r>
              <w:rPr>
                <w:spacing w:val="-4"/>
                <w:sz w:val="21"/>
              </w:rPr>
              <w:t>Rico</w:t>
            </w:r>
          </w:p>
        </w:tc>
        <w:tc>
          <w:tcPr>
            <w:tcW w:w="3087" w:type="dxa"/>
            <w:tcBorders>
              <w:bottom w:val="single" w:sz="18" w:space="0" w:color="800000"/>
            </w:tcBorders>
          </w:tcPr>
          <w:p w:rsidR="003F5784" w14:paraId="6B1DF867" w14:textId="77777777">
            <w:pPr>
              <w:pStyle w:val="TableParagraph"/>
              <w:ind w:left="262" w:right="104"/>
              <w:jc w:val="center"/>
              <w:rPr>
                <w:sz w:val="21"/>
              </w:rPr>
            </w:pPr>
            <w:r>
              <w:rPr>
                <w:spacing w:val="-5"/>
                <w:sz w:val="21"/>
              </w:rPr>
              <w:t>150</w:t>
            </w:r>
          </w:p>
        </w:tc>
        <w:tc>
          <w:tcPr>
            <w:tcW w:w="3162" w:type="dxa"/>
            <w:tcBorders>
              <w:bottom w:val="single" w:sz="18" w:space="0" w:color="800000"/>
            </w:tcBorders>
          </w:tcPr>
          <w:p w:rsidR="003F5784" w14:paraId="77CF6FDD" w14:textId="77777777">
            <w:pPr>
              <w:pStyle w:val="TableParagraph"/>
              <w:ind w:right="1540"/>
              <w:rPr>
                <w:sz w:val="21"/>
              </w:rPr>
            </w:pPr>
            <w:r>
              <w:rPr>
                <w:spacing w:val="-5"/>
                <w:sz w:val="21"/>
              </w:rPr>
              <w:t>150</w:t>
            </w:r>
          </w:p>
        </w:tc>
        <w:tc>
          <w:tcPr>
            <w:tcW w:w="2225" w:type="dxa"/>
            <w:tcBorders>
              <w:bottom w:val="single" w:sz="18" w:space="0" w:color="800000"/>
            </w:tcBorders>
          </w:tcPr>
          <w:p w:rsidR="003F5784" w14:paraId="6C037994" w14:textId="77777777">
            <w:pPr>
              <w:pStyle w:val="TableParagraph"/>
              <w:ind w:right="108"/>
              <w:rPr>
                <w:sz w:val="21"/>
              </w:rPr>
            </w:pPr>
            <w:r>
              <w:rPr>
                <w:spacing w:val="-2"/>
                <w:sz w:val="21"/>
              </w:rPr>
              <w:t>100.00</w:t>
            </w:r>
          </w:p>
        </w:tc>
      </w:tr>
    </w:tbl>
    <w:p w:rsidR="003F5784" w14:paraId="524C7D28" w14:textId="77777777">
      <w:pPr>
        <w:pStyle w:val="BodyText"/>
        <w:spacing w:before="28" w:line="238" w:lineRule="exact"/>
        <w:ind w:left="227"/>
      </w:pPr>
      <w:r>
        <w:t>NOTE:</w:t>
      </w:r>
      <w:r>
        <w:rPr>
          <w:spacing w:val="-5"/>
        </w:rPr>
        <w:t xml:space="preserve"> </w:t>
      </w:r>
      <w:r>
        <w:t>Numbers</w:t>
      </w:r>
      <w:r>
        <w:rPr>
          <w:spacing w:val="-5"/>
        </w:rPr>
        <w:t xml:space="preserve"> </w:t>
      </w:r>
      <w:r>
        <w:t>of</w:t>
      </w:r>
      <w:r>
        <w:rPr>
          <w:spacing w:val="-5"/>
        </w:rPr>
        <w:t xml:space="preserve"> </w:t>
      </w:r>
      <w:r>
        <w:t>schools</w:t>
      </w:r>
      <w:r>
        <w:rPr>
          <w:spacing w:val="-5"/>
        </w:rPr>
        <w:t xml:space="preserve"> </w:t>
      </w:r>
      <w:r>
        <w:t>are</w:t>
      </w:r>
      <w:r>
        <w:rPr>
          <w:spacing w:val="-5"/>
        </w:rPr>
        <w:t xml:space="preserve"> </w:t>
      </w:r>
      <w:r>
        <w:t>rounded</w:t>
      </w:r>
      <w:r>
        <w:rPr>
          <w:spacing w:val="-5"/>
        </w:rPr>
        <w:t xml:space="preserve"> </w:t>
      </w:r>
      <w:r>
        <w:t>to</w:t>
      </w:r>
      <w:r>
        <w:rPr>
          <w:spacing w:val="-5"/>
        </w:rPr>
        <w:t xml:space="preserve"> </w:t>
      </w:r>
      <w:r>
        <w:t>nearest</w:t>
      </w:r>
      <w:r>
        <w:rPr>
          <w:spacing w:val="-5"/>
        </w:rPr>
        <w:t xml:space="preserve"> </w:t>
      </w:r>
      <w:r>
        <w:t>ten.</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due</w:t>
      </w:r>
      <w:r>
        <w:rPr>
          <w:spacing w:val="-5"/>
        </w:rPr>
        <w:t xml:space="preserve"> </w:t>
      </w:r>
      <w:r>
        <w:t>to</w:t>
      </w:r>
      <w:r>
        <w:rPr>
          <w:spacing w:val="-5"/>
        </w:rPr>
        <w:t xml:space="preserve"> </w:t>
      </w:r>
      <w:r>
        <w:rPr>
          <w:spacing w:val="-2"/>
        </w:rPr>
        <w:t>rounding.</w:t>
      </w:r>
    </w:p>
    <w:p w:rsidR="003F5784" w14:paraId="5B6A3AB3" w14:textId="77777777">
      <w:pPr>
        <w:pStyle w:val="BodyText"/>
        <w:spacing w:before="2" w:line="232" w:lineRule="auto"/>
        <w:ind w:left="227" w:right="179"/>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w:t>
      </w:r>
      <w:r>
        <w:rPr>
          <w:spacing w:val="-8"/>
        </w:rPr>
        <w:t xml:space="preserve"> </w:t>
      </w:r>
      <w:r>
        <w:t>(NAEP), 2022 State Mathematics and Reading Assessments.</w:t>
      </w:r>
    </w:p>
    <w:p w:rsidR="003F5784" w14:paraId="155AD6B2" w14:textId="77777777">
      <w:pPr>
        <w:pStyle w:val="BodyText"/>
      </w:pPr>
    </w:p>
    <w:p w:rsidR="003F5784" w14:paraId="58EB3332" w14:textId="77777777">
      <w:pPr>
        <w:pStyle w:val="BodyText"/>
      </w:pPr>
    </w:p>
    <w:p w:rsidR="003F5784" w14:paraId="5217D869" w14:textId="77777777">
      <w:pPr>
        <w:pStyle w:val="BodyText"/>
      </w:pPr>
    </w:p>
    <w:p w:rsidR="003F5784" w14:paraId="77D6066A" w14:textId="77777777">
      <w:pPr>
        <w:pStyle w:val="BodyText"/>
        <w:spacing w:before="191"/>
      </w:pPr>
    </w:p>
    <w:p w:rsidR="003F5784" w14:paraId="68C0FB47" w14:textId="77777777">
      <w:pPr>
        <w:ind w:left="966"/>
        <w:rPr>
          <w:sz w:val="18"/>
        </w:rPr>
      </w:pPr>
      <w:hyperlink r:id="rId280">
        <w:r>
          <w:rPr>
            <w:spacing w:val="-2"/>
            <w:w w:val="105"/>
            <w:sz w:val="18"/>
          </w:rPr>
          <w:t>http://nces.ed.gov/nationsreportcard/tdw/sample_design/2022/weighted_response_rates_of_eighth_grade_school_sample_by_participating_jurisdiction_for_the_2022_state_assess.aspx</w:t>
        </w:r>
      </w:hyperlink>
    </w:p>
    <w:p w:rsidR="003F5784" w14:paraId="4E74CCDA" w14:textId="77777777">
      <w:pPr>
        <w:pStyle w:val="BodyText"/>
        <w:rPr>
          <w:sz w:val="16"/>
        </w:rPr>
      </w:pPr>
      <w:r>
        <w:rPr>
          <w:noProof/>
        </w:rPr>
        <mc:AlternateContent>
          <mc:Choice Requires="wps">
            <w:drawing>
              <wp:anchor distT="0" distB="0" distL="0" distR="0" simplePos="0" relativeHeight="251927552" behindDoc="1" locked="0" layoutInCell="1" allowOverlap="1">
                <wp:simplePos x="0" y="0"/>
                <wp:positionH relativeFrom="page">
                  <wp:posOffset>361937</wp:posOffset>
                </wp:positionH>
                <wp:positionV relativeFrom="paragraph">
                  <wp:posOffset>132641</wp:posOffset>
                </wp:positionV>
                <wp:extent cx="9339580" cy="8890"/>
                <wp:effectExtent l="0" t="0" r="0" b="0"/>
                <wp:wrapTopAndBottom/>
                <wp:docPr id="356" name="Graphic 35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67"/>
                              </a:lnTo>
                              <a:lnTo>
                                <a:pt x="8280" y="8331"/>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356" o:spid="_x0000_s1137" style="width:735.4pt;height:0.7pt;margin-top:10.45pt;margin-left:28.5pt;mso-position-horizontal-relative:page;mso-wrap-distance-bottom:0;mso-wrap-distance-left:0;mso-wrap-distance-right:0;mso-wrap-distance-top:0;mso-wrap-style:square;position:absolute;visibility:visible;v-text-anchor:top;z-index:-251387904" coordsize="9339580,8890" path="m9338970,l9335110,l,,,8267l8280,8331l9335110,8267l9338970,8267l9338970,xe" fillcolor="gray" stroked="f">
                <v:path arrowok="t"/>
                <w10:wrap type="topAndBottom"/>
              </v:shape>
            </w:pict>
          </mc:Fallback>
        </mc:AlternateContent>
      </w:r>
    </w:p>
    <w:p w:rsidR="003F5784" w14:paraId="71E39CE9" w14:textId="77777777">
      <w:pPr>
        <w:pStyle w:val="BodyText"/>
        <w:rPr>
          <w:sz w:val="18"/>
        </w:rPr>
      </w:pPr>
    </w:p>
    <w:p w:rsidR="003F5784" w14:paraId="44078F0E" w14:textId="77777777">
      <w:pPr>
        <w:pStyle w:val="BodyText"/>
        <w:spacing w:before="193"/>
        <w:rPr>
          <w:sz w:val="18"/>
        </w:rPr>
      </w:pPr>
    </w:p>
    <w:p w:rsidR="003F5784" w14:paraId="7107E207" w14:textId="77777777">
      <w:pPr>
        <w:pStyle w:val="Heading1"/>
        <w:spacing w:line="244" w:lineRule="auto"/>
        <w:ind w:right="1264"/>
      </w:pPr>
      <w:r>
        <w:t>NAEP</w:t>
      </w:r>
      <w:r>
        <w:rPr>
          <w:spacing w:val="-16"/>
        </w:rPr>
        <w:t xml:space="preserve"> </w:t>
      </w:r>
      <w:r>
        <w:t>Technical Documentation Weighted Response Rates of Fourth-Grade School</w:t>
      </w:r>
      <w:r>
        <w:rPr>
          <w:spacing w:val="40"/>
        </w:rPr>
        <w:t xml:space="preserve"> </w:t>
      </w:r>
      <w:r>
        <w:t>Sample</w:t>
      </w:r>
      <w:r>
        <w:rPr>
          <w:spacing w:val="40"/>
        </w:rPr>
        <w:t xml:space="preserve"> </w:t>
      </w:r>
      <w:r>
        <w:t>by</w:t>
      </w:r>
      <w:r>
        <w:rPr>
          <w:spacing w:val="40"/>
        </w:rPr>
        <w:t xml:space="preserve"> </w:t>
      </w:r>
      <w:r>
        <w:t>Participating</w:t>
      </w:r>
      <w:r>
        <w:rPr>
          <w:spacing w:val="40"/>
        </w:rPr>
        <w:t xml:space="preserve"> </w:t>
      </w:r>
      <w:r>
        <w:t>Jurisdiction</w:t>
      </w:r>
      <w:r>
        <w:rPr>
          <w:spacing w:val="40"/>
        </w:rPr>
        <w:t xml:space="preserve"> </w:t>
      </w:r>
      <w:r>
        <w:t>for the</w:t>
      </w:r>
      <w:r>
        <w:rPr>
          <w:spacing w:val="40"/>
        </w:rPr>
        <w:t xml:space="preserve"> </w:t>
      </w:r>
      <w:r>
        <w:t>2022</w:t>
      </w:r>
      <w:r>
        <w:rPr>
          <w:spacing w:val="40"/>
        </w:rPr>
        <w:t xml:space="preserve"> </w:t>
      </w:r>
      <w:r>
        <w:t>State Assessment</w:t>
      </w:r>
    </w:p>
    <w:p w:rsidR="003F5784" w14:paraId="56770D7E" w14:textId="77777777">
      <w:pPr>
        <w:pStyle w:val="BodyText"/>
        <w:spacing w:before="287" w:line="232" w:lineRule="auto"/>
        <w:ind w:left="109" w:right="179"/>
      </w:pPr>
      <w:r>
        <w:t>The</w:t>
      </w:r>
      <w:r>
        <w:rPr>
          <w:spacing w:val="-7"/>
        </w:rPr>
        <w:t xml:space="preserve"> </w:t>
      </w:r>
      <w:r>
        <w:t>following</w:t>
      </w:r>
      <w:r>
        <w:rPr>
          <w:spacing w:val="-7"/>
        </w:rPr>
        <w:t xml:space="preserve"> </w:t>
      </w:r>
      <w:r>
        <w:t>table</w:t>
      </w:r>
      <w:r>
        <w:rPr>
          <w:spacing w:val="-7"/>
        </w:rPr>
        <w:t xml:space="preserve"> </w:t>
      </w:r>
      <w:r>
        <w:t>presents</w:t>
      </w:r>
      <w:r>
        <w:rPr>
          <w:spacing w:val="-7"/>
        </w:rPr>
        <w:t xml:space="preserve"> </w:t>
      </w:r>
      <w:r>
        <w:t>unweighted</w:t>
      </w:r>
      <w:r>
        <w:rPr>
          <w:spacing w:val="-7"/>
        </w:rPr>
        <w:t xml:space="preserve"> </w:t>
      </w:r>
      <w:r>
        <w:t>counts</w:t>
      </w:r>
      <w:r>
        <w:rPr>
          <w:spacing w:val="-7"/>
        </w:rPr>
        <w:t xml:space="preserve"> </w:t>
      </w:r>
      <w:r>
        <w:t>of</w:t>
      </w:r>
      <w:r>
        <w:rPr>
          <w:spacing w:val="-7"/>
        </w:rPr>
        <w:t xml:space="preserve"> </w:t>
      </w:r>
      <w:r>
        <w:t>eligible</w:t>
      </w:r>
      <w:r>
        <w:rPr>
          <w:spacing w:val="-7"/>
        </w:rPr>
        <w:t xml:space="preserve"> </w:t>
      </w:r>
      <w:r>
        <w:t>sampled</w:t>
      </w:r>
      <w:r>
        <w:rPr>
          <w:spacing w:val="-7"/>
        </w:rPr>
        <w:t xml:space="preserve"> </w:t>
      </w:r>
      <w:r>
        <w:t>and</w:t>
      </w:r>
      <w:r>
        <w:rPr>
          <w:spacing w:val="-7"/>
        </w:rPr>
        <w:t xml:space="preserve"> </w:t>
      </w:r>
      <w:r>
        <w:t>participating</w:t>
      </w:r>
      <w:r>
        <w:rPr>
          <w:spacing w:val="-7"/>
        </w:rPr>
        <w:t xml:space="preserve"> </w:t>
      </w:r>
      <w:r>
        <w:t>schools</w:t>
      </w:r>
      <w:r>
        <w:rPr>
          <w:spacing w:val="-7"/>
        </w:rPr>
        <w:t xml:space="preserve"> </w:t>
      </w:r>
      <w:r>
        <w:t>and</w:t>
      </w:r>
      <w:r>
        <w:rPr>
          <w:spacing w:val="-7"/>
        </w:rPr>
        <w:t xml:space="preserve"> </w:t>
      </w:r>
      <w:r>
        <w:t>weighted</w:t>
      </w:r>
      <w:r>
        <w:rPr>
          <w:spacing w:val="-7"/>
        </w:rPr>
        <w:t xml:space="preserve"> </w:t>
      </w:r>
      <w:r>
        <w:t>school</w:t>
      </w:r>
      <w:r>
        <w:rPr>
          <w:spacing w:val="-7"/>
        </w:rPr>
        <w:t xml:space="preserve"> </w:t>
      </w:r>
      <w:r>
        <w:t>response</w:t>
      </w:r>
      <w:r>
        <w:rPr>
          <w:spacing w:val="-7"/>
        </w:rPr>
        <w:t xml:space="preserve"> </w:t>
      </w:r>
      <w:r>
        <w:t>rates,</w:t>
      </w:r>
      <w:r>
        <w:rPr>
          <w:spacing w:val="-7"/>
        </w:rPr>
        <w:t xml:space="preserve"> </w:t>
      </w:r>
      <w:r>
        <w:t>by</w:t>
      </w:r>
      <w:r>
        <w:rPr>
          <w:spacing w:val="-7"/>
        </w:rPr>
        <w:t xml:space="preserve"> </w:t>
      </w:r>
      <w:r>
        <w:t>participating</w:t>
      </w:r>
      <w:r>
        <w:rPr>
          <w:spacing w:val="-7"/>
        </w:rPr>
        <w:t xml:space="preserve"> </w:t>
      </w:r>
      <w:r>
        <w:t>jurisdiction,</w:t>
      </w:r>
      <w:r>
        <w:rPr>
          <w:spacing w:val="-7"/>
        </w:rPr>
        <w:t xml:space="preserve"> </w:t>
      </w:r>
      <w:r>
        <w:t>for</w:t>
      </w:r>
      <w:r>
        <w:rPr>
          <w:spacing w:val="-7"/>
        </w:rPr>
        <w:t xml:space="preserve"> </w:t>
      </w:r>
      <w:r>
        <w:t>the</w:t>
      </w:r>
      <w:r>
        <w:rPr>
          <w:spacing w:val="-7"/>
        </w:rPr>
        <w:t xml:space="preserve"> </w:t>
      </w:r>
      <w:r>
        <w:t>fourth- grade public school state assessment sample. States with</w:t>
      </w:r>
      <w:r>
        <w:rPr>
          <w:spacing w:val="-4"/>
        </w:rPr>
        <w:t xml:space="preserve"> </w:t>
      </w:r>
      <w:r>
        <w:rPr>
          <w:color w:val="0066CC"/>
        </w:rPr>
        <w:t>Trial Urban District</w:t>
      </w:r>
      <w:r>
        <w:rPr>
          <w:color w:val="0066CC"/>
          <w:spacing w:val="-11"/>
        </w:rPr>
        <w:t xml:space="preserve"> </w:t>
      </w:r>
      <w:r>
        <w:rPr>
          <w:color w:val="0066CC"/>
        </w:rPr>
        <w:t xml:space="preserve">Assessment (TUDA) </w:t>
      </w:r>
      <w:r>
        <w:t>districts are shown in multiple rows: for the</w:t>
      </w:r>
      <w:r>
        <w:rPr>
          <w:spacing w:val="-4"/>
        </w:rPr>
        <w:t xml:space="preserve"> </w:t>
      </w:r>
      <w:r>
        <w:t>TUDA</w:t>
      </w:r>
      <w:r>
        <w:rPr>
          <w:spacing w:val="-11"/>
        </w:rPr>
        <w:t xml:space="preserve"> </w:t>
      </w:r>
      <w:r>
        <w:t>district(s) and for the state as a whole (the TUDA</w:t>
      </w:r>
      <w:r>
        <w:rPr>
          <w:spacing w:val="-4"/>
        </w:rPr>
        <w:t xml:space="preserve"> </w:t>
      </w:r>
      <w:r>
        <w:t>district[s] plus the rest of the state).</w:t>
      </w:r>
    </w:p>
    <w:p w:rsidR="003F5784" w14:paraId="304D8ACB" w14:textId="77777777">
      <w:pPr>
        <w:spacing w:line="232" w:lineRule="auto"/>
        <w:sectPr>
          <w:pgSz w:w="15840" w:h="12240" w:orient="landscape"/>
          <w:pgMar w:top="820" w:right="440" w:bottom="460" w:left="460" w:header="305" w:footer="275" w:gutter="0"/>
          <w:cols w:space="720"/>
        </w:sectPr>
      </w:pPr>
    </w:p>
    <w:p w:rsidR="003F5784" w14:paraId="29D2566E" w14:textId="77777777">
      <w:pPr>
        <w:pStyle w:val="BodyText"/>
        <w:spacing w:before="78" w:line="232" w:lineRule="auto"/>
        <w:ind w:left="109" w:right="318"/>
      </w:pPr>
      <w:r>
        <w:t>A</w:t>
      </w:r>
      <w:r>
        <w:rPr>
          <w:spacing w:val="-14"/>
        </w:rPr>
        <w:t xml:space="preserve"> </w:t>
      </w:r>
      <w:r>
        <w:t>weighted</w:t>
      </w:r>
      <w:r>
        <w:rPr>
          <w:spacing w:val="-8"/>
        </w:rPr>
        <w:t xml:space="preserve"> </w:t>
      </w:r>
      <w:r>
        <w:t>school</w:t>
      </w:r>
      <w:r>
        <w:rPr>
          <w:spacing w:val="-6"/>
        </w:rPr>
        <w:t xml:space="preserve"> </w:t>
      </w:r>
      <w:r>
        <w:t>response</w:t>
      </w:r>
      <w:r>
        <w:rPr>
          <w:spacing w:val="-6"/>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6"/>
        </w:rPr>
        <w:t xml:space="preserve"> </w:t>
      </w:r>
      <w:r>
        <w:t>of</w:t>
      </w:r>
      <w:r>
        <w:rPr>
          <w:spacing w:val="-6"/>
        </w:rPr>
        <w:t xml:space="preserve"> </w:t>
      </w:r>
      <w:r>
        <w:t>the</w:t>
      </w:r>
      <w:r>
        <w:rPr>
          <w:spacing w:val="-6"/>
        </w:rPr>
        <w:t xml:space="preserve"> </w:t>
      </w:r>
      <w:r>
        <w:t>student</w:t>
      </w:r>
      <w:r>
        <w:rPr>
          <w:spacing w:val="-6"/>
        </w:rPr>
        <w:t xml:space="preserve"> </w:t>
      </w:r>
      <w:r>
        <w:t>population</w:t>
      </w:r>
      <w:r>
        <w:rPr>
          <w:spacing w:val="-6"/>
        </w:rPr>
        <w:t xml:space="preserve"> </w:t>
      </w:r>
      <w:r>
        <w:t>that</w:t>
      </w:r>
      <w:r>
        <w:rPr>
          <w:spacing w:val="-6"/>
        </w:rPr>
        <w:t xml:space="preserve"> </w:t>
      </w:r>
      <w:r>
        <w:t>is</w:t>
      </w:r>
      <w:r>
        <w:rPr>
          <w:spacing w:val="-6"/>
        </w:rPr>
        <w:t xml:space="preserve"> </w:t>
      </w:r>
      <w:r>
        <w:t>directly</w:t>
      </w:r>
      <w:r>
        <w:rPr>
          <w:spacing w:val="-6"/>
        </w:rPr>
        <w:t xml:space="preserve"> </w:t>
      </w:r>
      <w:r>
        <w:t>represented</w:t>
      </w:r>
      <w:r>
        <w:rPr>
          <w:spacing w:val="-6"/>
        </w:rPr>
        <w:t xml:space="preserve"> </w:t>
      </w:r>
      <w:r>
        <w:t>by</w:t>
      </w:r>
      <w:r>
        <w:rPr>
          <w:spacing w:val="-6"/>
        </w:rPr>
        <w:t xml:space="preserve"> </w:t>
      </w:r>
      <w:r>
        <w:t>the</w:t>
      </w:r>
      <w:r>
        <w:rPr>
          <w:spacing w:val="-6"/>
        </w:rPr>
        <w:t xml:space="preserve"> </w:t>
      </w:r>
      <w:r>
        <w:t>participating</w:t>
      </w:r>
      <w:r>
        <w:rPr>
          <w:spacing w:val="-6"/>
        </w:rPr>
        <w:t xml:space="preserve"> </w:t>
      </w:r>
      <w:r>
        <w:t>school</w:t>
      </w:r>
      <w:r>
        <w:rPr>
          <w:spacing w:val="-6"/>
        </w:rPr>
        <w:t xml:space="preserve"> </w:t>
      </w:r>
      <w:r>
        <w:t>sample.</w:t>
      </w:r>
      <w:r>
        <w:rPr>
          <w:spacing w:val="-10"/>
        </w:rPr>
        <w:t xml:space="preserve"> </w:t>
      </w:r>
      <w:r>
        <w:t>These</w:t>
      </w:r>
      <w:r>
        <w:rPr>
          <w:spacing w:val="-6"/>
        </w:rPr>
        <w:t xml:space="preserve"> </w:t>
      </w:r>
      <w:r>
        <w:t>response</w:t>
      </w:r>
      <w:r>
        <w:rPr>
          <w:spacing w:val="-6"/>
        </w:rPr>
        <w:t xml:space="preserve"> </w:t>
      </w:r>
      <w:r>
        <w:t>rates</w:t>
      </w:r>
      <w:r>
        <w:rPr>
          <w:spacing w:val="-6"/>
        </w:rPr>
        <w:t xml:space="preserve"> </w:t>
      </w:r>
      <w:r>
        <w:t>are based on the original sample of schools (excluding substitutes).</w:t>
      </w:r>
    </w:p>
    <w:p w:rsidR="003F5784" w14:paraId="054A74C9" w14:textId="77777777">
      <w:pPr>
        <w:pStyle w:val="BodyText"/>
        <w:spacing w:before="92"/>
      </w:pPr>
    </w:p>
    <w:p w:rsidR="003F5784" w14:paraId="146EE6B0" w14:textId="77777777">
      <w:pPr>
        <w:pStyle w:val="Heading2"/>
        <w:ind w:left="109"/>
      </w:pPr>
      <w:r>
        <w:t>Eligible</w:t>
      </w:r>
      <w:r>
        <w:rPr>
          <w:spacing w:val="-9"/>
        </w:rPr>
        <w:t xml:space="preserve"> </w:t>
      </w:r>
      <w:r>
        <w:t>and</w:t>
      </w:r>
      <w:r>
        <w:rPr>
          <w:spacing w:val="-8"/>
        </w:rPr>
        <w:t xml:space="preserve"> </w:t>
      </w:r>
      <w:r>
        <w:t>participating</w:t>
      </w:r>
      <w:r>
        <w:rPr>
          <w:spacing w:val="-8"/>
        </w:rPr>
        <w:t xml:space="preserve"> </w:t>
      </w:r>
      <w:r>
        <w:t>school</w:t>
      </w:r>
      <w:r>
        <w:rPr>
          <w:spacing w:val="-8"/>
        </w:rPr>
        <w:t xml:space="preserve"> </w:t>
      </w:r>
      <w:r>
        <w:t>counts</w:t>
      </w:r>
      <w:r>
        <w:rPr>
          <w:spacing w:val="-8"/>
        </w:rPr>
        <w:t xml:space="preserve"> </w:t>
      </w:r>
      <w:r>
        <w:t>and</w:t>
      </w:r>
      <w:r>
        <w:rPr>
          <w:spacing w:val="-8"/>
        </w:rPr>
        <w:t xml:space="preserve"> </w:t>
      </w:r>
      <w:r>
        <w:t>weighted</w:t>
      </w:r>
      <w:r>
        <w:rPr>
          <w:spacing w:val="-9"/>
        </w:rPr>
        <w:t xml:space="preserve"> </w:t>
      </w:r>
      <w:r>
        <w:t>school</w:t>
      </w:r>
      <w:r>
        <w:rPr>
          <w:spacing w:val="-8"/>
        </w:rPr>
        <w:t xml:space="preserve"> </w:t>
      </w:r>
      <w:r>
        <w:t>response</w:t>
      </w:r>
      <w:r>
        <w:rPr>
          <w:spacing w:val="-8"/>
        </w:rPr>
        <w:t xml:space="preserve"> </w:t>
      </w:r>
      <w:r>
        <w:t>rates</w:t>
      </w:r>
      <w:r>
        <w:rPr>
          <w:spacing w:val="-8"/>
        </w:rPr>
        <w:t xml:space="preserve"> </w:t>
      </w:r>
      <w:r>
        <w:t>for</w:t>
      </w:r>
      <w:r>
        <w:rPr>
          <w:spacing w:val="-12"/>
        </w:rPr>
        <w:t xml:space="preserve"> </w:t>
      </w:r>
      <w:r>
        <w:t>fourth-grade</w:t>
      </w:r>
      <w:r>
        <w:rPr>
          <w:spacing w:val="-8"/>
        </w:rPr>
        <w:t xml:space="preserve"> </w:t>
      </w:r>
      <w:r>
        <w:t>mathematics</w:t>
      </w:r>
      <w:r>
        <w:rPr>
          <w:spacing w:val="-8"/>
        </w:rPr>
        <w:t xml:space="preserve"> </w:t>
      </w:r>
      <w:r>
        <w:t>and</w:t>
      </w:r>
      <w:r>
        <w:rPr>
          <w:spacing w:val="-8"/>
        </w:rPr>
        <w:t xml:space="preserve"> </w:t>
      </w:r>
      <w:r>
        <w:t>reading</w:t>
      </w:r>
      <w:r>
        <w:rPr>
          <w:spacing w:val="-8"/>
        </w:rPr>
        <w:t xml:space="preserve"> </w:t>
      </w:r>
      <w:r>
        <w:t>state</w:t>
      </w:r>
      <w:r>
        <w:rPr>
          <w:spacing w:val="-8"/>
        </w:rPr>
        <w:t xml:space="preserve"> </w:t>
      </w:r>
      <w:r>
        <w:t>assessments,</w:t>
      </w:r>
      <w:r>
        <w:rPr>
          <w:spacing w:val="-8"/>
        </w:rPr>
        <w:t xml:space="preserve"> </w:t>
      </w:r>
      <w:r>
        <w:t>by</w:t>
      </w:r>
      <w:r>
        <w:rPr>
          <w:spacing w:val="-9"/>
        </w:rPr>
        <w:t xml:space="preserve"> </w:t>
      </w:r>
      <w:r>
        <w:t>jurisdiction:</w:t>
      </w:r>
      <w:r>
        <w:rPr>
          <w:spacing w:val="-8"/>
        </w:rPr>
        <w:t xml:space="preserve"> </w:t>
      </w:r>
      <w:r>
        <w:rPr>
          <w:spacing w:val="-4"/>
        </w:rPr>
        <w:t>2022</w:t>
      </w:r>
    </w:p>
    <w:p w:rsidR="003F5784" w14:paraId="7D94B318" w14:textId="77777777">
      <w:pPr>
        <w:pStyle w:val="BodyText"/>
        <w:spacing w:before="11"/>
        <w:rPr>
          <w:b/>
          <w:sz w:val="11"/>
        </w:rPr>
      </w:pPr>
    </w:p>
    <w:tbl>
      <w:tblPr>
        <w:tblW w:w="0" w:type="auto"/>
        <w:tblInd w:w="117" w:type="dxa"/>
        <w:tblLayout w:type="fixed"/>
        <w:tblCellMar>
          <w:left w:w="0" w:type="dxa"/>
          <w:right w:w="0" w:type="dxa"/>
        </w:tblCellMar>
        <w:tblLook w:val="01E0"/>
      </w:tblPr>
      <w:tblGrid>
        <w:gridCol w:w="3796"/>
        <w:gridCol w:w="4334"/>
        <w:gridCol w:w="2927"/>
        <w:gridCol w:w="3649"/>
      </w:tblGrid>
      <w:tr w14:paraId="2B698A8A" w14:textId="77777777">
        <w:tblPrEx>
          <w:tblW w:w="0" w:type="auto"/>
          <w:tblInd w:w="117" w:type="dxa"/>
          <w:tblLayout w:type="fixed"/>
          <w:tblCellMar>
            <w:left w:w="0" w:type="dxa"/>
            <w:right w:w="0" w:type="dxa"/>
          </w:tblCellMar>
          <w:tblLook w:val="01E0"/>
        </w:tblPrEx>
        <w:trPr>
          <w:trHeight w:val="267"/>
        </w:trPr>
        <w:tc>
          <w:tcPr>
            <w:tcW w:w="3796" w:type="dxa"/>
            <w:tcBorders>
              <w:top w:val="single" w:sz="18" w:space="0" w:color="800000"/>
              <w:bottom w:val="single" w:sz="18" w:space="0" w:color="800000"/>
            </w:tcBorders>
          </w:tcPr>
          <w:p w:rsidR="003F5784" w14:paraId="4CA792A9" w14:textId="77777777">
            <w:pPr>
              <w:pStyle w:val="TableParagraph"/>
              <w:spacing w:before="9" w:line="238" w:lineRule="exact"/>
              <w:ind w:left="117"/>
              <w:jc w:val="left"/>
              <w:rPr>
                <w:sz w:val="21"/>
              </w:rPr>
            </w:pPr>
            <w:r>
              <w:rPr>
                <w:spacing w:val="-2"/>
                <w:sz w:val="21"/>
              </w:rPr>
              <w:t>Jurisdiction</w:t>
            </w:r>
          </w:p>
        </w:tc>
        <w:tc>
          <w:tcPr>
            <w:tcW w:w="4334" w:type="dxa"/>
            <w:tcBorders>
              <w:top w:val="single" w:sz="18" w:space="0" w:color="800000"/>
              <w:bottom w:val="single" w:sz="18" w:space="0" w:color="800000"/>
            </w:tcBorders>
          </w:tcPr>
          <w:p w:rsidR="003F5784" w14:paraId="53B22972" w14:textId="77777777">
            <w:pPr>
              <w:pStyle w:val="TableParagraph"/>
              <w:spacing w:before="9" w:line="238" w:lineRule="exact"/>
              <w:ind w:right="114"/>
              <w:rPr>
                <w:sz w:val="21"/>
              </w:rPr>
            </w:pPr>
            <w:r>
              <w:rPr>
                <w:sz w:val="21"/>
              </w:rPr>
              <w:t>Number</w:t>
            </w:r>
            <w:r>
              <w:rPr>
                <w:spacing w:val="-7"/>
                <w:sz w:val="21"/>
              </w:rPr>
              <w:t xml:space="preserve"> </w:t>
            </w:r>
            <w:r>
              <w:rPr>
                <w:sz w:val="21"/>
              </w:rPr>
              <w:t>of</w:t>
            </w:r>
            <w:r>
              <w:rPr>
                <w:spacing w:val="-6"/>
                <w:sz w:val="21"/>
              </w:rPr>
              <w:t xml:space="preserve"> </w:t>
            </w:r>
            <w:r>
              <w:rPr>
                <w:sz w:val="21"/>
              </w:rPr>
              <w:t>sampled</w:t>
            </w:r>
            <w:r>
              <w:rPr>
                <w:spacing w:val="-7"/>
                <w:sz w:val="21"/>
              </w:rPr>
              <w:t xml:space="preserve"> </w:t>
            </w:r>
            <w:r>
              <w:rPr>
                <w:sz w:val="21"/>
              </w:rPr>
              <w:t>eligible</w:t>
            </w:r>
            <w:r>
              <w:rPr>
                <w:spacing w:val="-6"/>
                <w:sz w:val="21"/>
              </w:rPr>
              <w:t xml:space="preserve"> </w:t>
            </w:r>
            <w:r>
              <w:rPr>
                <w:spacing w:val="-2"/>
                <w:sz w:val="21"/>
              </w:rPr>
              <w:t>schools</w:t>
            </w:r>
          </w:p>
        </w:tc>
        <w:tc>
          <w:tcPr>
            <w:tcW w:w="2927" w:type="dxa"/>
            <w:tcBorders>
              <w:top w:val="single" w:sz="18" w:space="0" w:color="800000"/>
              <w:bottom w:val="single" w:sz="18" w:space="0" w:color="800000"/>
            </w:tcBorders>
          </w:tcPr>
          <w:p w:rsidR="003F5784" w14:paraId="74ECE243" w14:textId="77777777">
            <w:pPr>
              <w:pStyle w:val="TableParagraph"/>
              <w:spacing w:before="9" w:line="238" w:lineRule="exact"/>
              <w:ind w:right="114"/>
              <w:rPr>
                <w:sz w:val="21"/>
              </w:rPr>
            </w:pPr>
            <w:r>
              <w:rPr>
                <w:sz w:val="21"/>
              </w:rPr>
              <w:t>Number</w:t>
            </w:r>
            <w:r>
              <w:rPr>
                <w:spacing w:val="-8"/>
                <w:sz w:val="21"/>
              </w:rPr>
              <w:t xml:space="preserve"> </w:t>
            </w:r>
            <w:r>
              <w:rPr>
                <w:sz w:val="21"/>
              </w:rPr>
              <w:t>of</w:t>
            </w:r>
            <w:r>
              <w:rPr>
                <w:spacing w:val="-7"/>
                <w:sz w:val="21"/>
              </w:rPr>
              <w:t xml:space="preserve"> </w:t>
            </w:r>
            <w:r>
              <w:rPr>
                <w:sz w:val="21"/>
              </w:rPr>
              <w:t>participating</w:t>
            </w:r>
            <w:r>
              <w:rPr>
                <w:spacing w:val="-8"/>
                <w:sz w:val="21"/>
              </w:rPr>
              <w:t xml:space="preserve"> </w:t>
            </w:r>
            <w:r>
              <w:rPr>
                <w:spacing w:val="-2"/>
                <w:sz w:val="21"/>
              </w:rPr>
              <w:t>schools</w:t>
            </w:r>
          </w:p>
        </w:tc>
        <w:tc>
          <w:tcPr>
            <w:tcW w:w="3649" w:type="dxa"/>
            <w:tcBorders>
              <w:top w:val="single" w:sz="18" w:space="0" w:color="800000"/>
              <w:bottom w:val="single" w:sz="18" w:space="0" w:color="800000"/>
            </w:tcBorders>
          </w:tcPr>
          <w:p w:rsidR="003F5784" w14:paraId="3EB11B1A" w14:textId="77777777">
            <w:pPr>
              <w:pStyle w:val="TableParagraph"/>
              <w:spacing w:before="9" w:line="238" w:lineRule="exact"/>
              <w:ind w:right="106"/>
              <w:rPr>
                <w:sz w:val="21"/>
              </w:rPr>
            </w:pPr>
            <w:r>
              <w:rPr>
                <w:sz w:val="21"/>
              </w:rPr>
              <w:t>Weighted</w:t>
            </w:r>
            <w:r>
              <w:rPr>
                <w:spacing w:val="-12"/>
                <w:sz w:val="21"/>
              </w:rPr>
              <w:t xml:space="preserve"> </w:t>
            </w:r>
            <w:r>
              <w:rPr>
                <w:sz w:val="21"/>
              </w:rPr>
              <w:t>school</w:t>
            </w:r>
            <w:r>
              <w:rPr>
                <w:spacing w:val="-11"/>
                <w:sz w:val="21"/>
              </w:rPr>
              <w:t xml:space="preserve"> </w:t>
            </w:r>
            <w:r>
              <w:rPr>
                <w:sz w:val="21"/>
              </w:rPr>
              <w:t>response</w:t>
            </w:r>
            <w:r>
              <w:rPr>
                <w:spacing w:val="-12"/>
                <w:sz w:val="21"/>
              </w:rPr>
              <w:t xml:space="preserve"> </w:t>
            </w:r>
            <w:r>
              <w:rPr>
                <w:sz w:val="21"/>
              </w:rPr>
              <w:t>rates</w:t>
            </w:r>
            <w:r>
              <w:rPr>
                <w:spacing w:val="-11"/>
                <w:sz w:val="21"/>
              </w:rPr>
              <w:t xml:space="preserve"> </w:t>
            </w:r>
            <w:r>
              <w:rPr>
                <w:spacing w:val="-2"/>
                <w:sz w:val="21"/>
              </w:rPr>
              <w:t>(percent)</w:t>
            </w:r>
          </w:p>
        </w:tc>
      </w:tr>
      <w:tr w14:paraId="2D373944" w14:textId="77777777">
        <w:tblPrEx>
          <w:tblW w:w="0" w:type="auto"/>
          <w:tblInd w:w="117" w:type="dxa"/>
          <w:tblLayout w:type="fixed"/>
          <w:tblCellMar>
            <w:left w:w="0" w:type="dxa"/>
            <w:right w:w="0" w:type="dxa"/>
          </w:tblCellMar>
          <w:tblLook w:val="01E0"/>
        </w:tblPrEx>
        <w:trPr>
          <w:trHeight w:val="278"/>
        </w:trPr>
        <w:tc>
          <w:tcPr>
            <w:tcW w:w="3796" w:type="dxa"/>
            <w:tcBorders>
              <w:top w:val="single" w:sz="18" w:space="0" w:color="800000"/>
            </w:tcBorders>
          </w:tcPr>
          <w:p w:rsidR="003F5784" w14:paraId="0AF49EA9" w14:textId="77777777">
            <w:pPr>
              <w:pStyle w:val="TableParagraph"/>
              <w:spacing w:before="9"/>
              <w:ind w:left="519"/>
              <w:jc w:val="left"/>
              <w:rPr>
                <w:b/>
                <w:sz w:val="21"/>
              </w:rPr>
            </w:pPr>
            <w:r>
              <w:rPr>
                <w:b/>
                <w:spacing w:val="-2"/>
                <w:sz w:val="21"/>
              </w:rPr>
              <w:t>Total</w:t>
            </w:r>
          </w:p>
        </w:tc>
        <w:tc>
          <w:tcPr>
            <w:tcW w:w="4334" w:type="dxa"/>
            <w:tcBorders>
              <w:top w:val="single" w:sz="18" w:space="0" w:color="800000"/>
            </w:tcBorders>
          </w:tcPr>
          <w:p w:rsidR="003F5784" w14:paraId="65777AA8" w14:textId="77777777">
            <w:pPr>
              <w:pStyle w:val="TableParagraph"/>
              <w:spacing w:before="9"/>
              <w:ind w:right="114"/>
              <w:rPr>
                <w:b/>
                <w:sz w:val="21"/>
              </w:rPr>
            </w:pPr>
            <w:r>
              <w:rPr>
                <w:b/>
                <w:spacing w:val="-2"/>
                <w:sz w:val="21"/>
              </w:rPr>
              <w:t>5,830</w:t>
            </w:r>
          </w:p>
        </w:tc>
        <w:tc>
          <w:tcPr>
            <w:tcW w:w="2927" w:type="dxa"/>
            <w:tcBorders>
              <w:top w:val="single" w:sz="18" w:space="0" w:color="800000"/>
            </w:tcBorders>
          </w:tcPr>
          <w:p w:rsidR="003F5784" w14:paraId="33A960E4" w14:textId="77777777">
            <w:pPr>
              <w:pStyle w:val="TableParagraph"/>
              <w:spacing w:before="9"/>
              <w:ind w:right="114"/>
              <w:rPr>
                <w:b/>
                <w:sz w:val="21"/>
              </w:rPr>
            </w:pPr>
            <w:r>
              <w:rPr>
                <w:b/>
                <w:spacing w:val="-2"/>
                <w:sz w:val="21"/>
              </w:rPr>
              <w:t>5,800</w:t>
            </w:r>
          </w:p>
        </w:tc>
        <w:tc>
          <w:tcPr>
            <w:tcW w:w="3649" w:type="dxa"/>
            <w:tcBorders>
              <w:top w:val="single" w:sz="18" w:space="0" w:color="800000"/>
            </w:tcBorders>
          </w:tcPr>
          <w:p w:rsidR="003F5784" w14:paraId="03F6C6DA" w14:textId="77777777">
            <w:pPr>
              <w:pStyle w:val="TableParagraph"/>
              <w:spacing w:before="9"/>
              <w:ind w:right="106"/>
              <w:rPr>
                <w:b/>
                <w:sz w:val="21"/>
              </w:rPr>
            </w:pPr>
            <w:r>
              <w:rPr>
                <w:b/>
                <w:spacing w:val="-2"/>
                <w:sz w:val="21"/>
              </w:rPr>
              <w:t>99.51</w:t>
            </w:r>
          </w:p>
        </w:tc>
      </w:tr>
      <w:tr w14:paraId="5F4E8F78" w14:textId="77777777">
        <w:tblPrEx>
          <w:tblW w:w="0" w:type="auto"/>
          <w:tblInd w:w="117" w:type="dxa"/>
          <w:tblLayout w:type="fixed"/>
          <w:tblCellMar>
            <w:left w:w="0" w:type="dxa"/>
            <w:right w:w="0" w:type="dxa"/>
          </w:tblCellMar>
          <w:tblLook w:val="01E0"/>
        </w:tblPrEx>
        <w:trPr>
          <w:trHeight w:val="286"/>
        </w:trPr>
        <w:tc>
          <w:tcPr>
            <w:tcW w:w="3796" w:type="dxa"/>
          </w:tcPr>
          <w:p w:rsidR="003F5784" w14:paraId="3A9CB5A7" w14:textId="77777777">
            <w:pPr>
              <w:pStyle w:val="TableParagraph"/>
              <w:ind w:left="117"/>
              <w:jc w:val="left"/>
              <w:rPr>
                <w:sz w:val="21"/>
              </w:rPr>
            </w:pPr>
            <w:r>
              <w:rPr>
                <w:spacing w:val="-2"/>
                <w:sz w:val="21"/>
              </w:rPr>
              <w:t>Alabama</w:t>
            </w:r>
          </w:p>
        </w:tc>
        <w:tc>
          <w:tcPr>
            <w:tcW w:w="4334" w:type="dxa"/>
          </w:tcPr>
          <w:p w:rsidR="003F5784" w14:paraId="28F19A3E" w14:textId="77777777">
            <w:pPr>
              <w:pStyle w:val="TableParagraph"/>
              <w:ind w:right="114"/>
              <w:rPr>
                <w:sz w:val="21"/>
              </w:rPr>
            </w:pPr>
            <w:r>
              <w:rPr>
                <w:spacing w:val="-5"/>
                <w:sz w:val="21"/>
              </w:rPr>
              <w:t>90</w:t>
            </w:r>
          </w:p>
        </w:tc>
        <w:tc>
          <w:tcPr>
            <w:tcW w:w="2927" w:type="dxa"/>
          </w:tcPr>
          <w:p w:rsidR="003F5784" w14:paraId="57B6F671" w14:textId="77777777">
            <w:pPr>
              <w:pStyle w:val="TableParagraph"/>
              <w:ind w:right="114"/>
              <w:rPr>
                <w:sz w:val="21"/>
              </w:rPr>
            </w:pPr>
            <w:r>
              <w:rPr>
                <w:spacing w:val="-5"/>
                <w:sz w:val="21"/>
              </w:rPr>
              <w:t>90</w:t>
            </w:r>
          </w:p>
        </w:tc>
        <w:tc>
          <w:tcPr>
            <w:tcW w:w="3649" w:type="dxa"/>
          </w:tcPr>
          <w:p w:rsidR="003F5784" w14:paraId="2119368D" w14:textId="77777777">
            <w:pPr>
              <w:pStyle w:val="TableParagraph"/>
              <w:ind w:right="106"/>
              <w:rPr>
                <w:sz w:val="21"/>
              </w:rPr>
            </w:pPr>
            <w:r>
              <w:rPr>
                <w:spacing w:val="-2"/>
                <w:sz w:val="21"/>
              </w:rPr>
              <w:t>100.00</w:t>
            </w:r>
          </w:p>
        </w:tc>
      </w:tr>
      <w:tr w14:paraId="3745F4CB" w14:textId="77777777">
        <w:tblPrEx>
          <w:tblW w:w="0" w:type="auto"/>
          <w:tblInd w:w="117" w:type="dxa"/>
          <w:tblLayout w:type="fixed"/>
          <w:tblCellMar>
            <w:left w:w="0" w:type="dxa"/>
            <w:right w:w="0" w:type="dxa"/>
          </w:tblCellMar>
          <w:tblLook w:val="01E0"/>
        </w:tblPrEx>
        <w:trPr>
          <w:trHeight w:val="286"/>
        </w:trPr>
        <w:tc>
          <w:tcPr>
            <w:tcW w:w="3796" w:type="dxa"/>
          </w:tcPr>
          <w:p w:rsidR="003F5784" w14:paraId="63E2DD09" w14:textId="77777777">
            <w:pPr>
              <w:pStyle w:val="TableParagraph"/>
              <w:ind w:left="117"/>
              <w:jc w:val="left"/>
              <w:rPr>
                <w:sz w:val="21"/>
              </w:rPr>
            </w:pPr>
            <w:r>
              <w:rPr>
                <w:spacing w:val="-2"/>
                <w:sz w:val="21"/>
              </w:rPr>
              <w:t>Alaska</w:t>
            </w:r>
          </w:p>
        </w:tc>
        <w:tc>
          <w:tcPr>
            <w:tcW w:w="4334" w:type="dxa"/>
          </w:tcPr>
          <w:p w:rsidR="003F5784" w14:paraId="1146986F" w14:textId="77777777">
            <w:pPr>
              <w:pStyle w:val="TableParagraph"/>
              <w:ind w:right="114"/>
              <w:rPr>
                <w:sz w:val="21"/>
              </w:rPr>
            </w:pPr>
            <w:r>
              <w:rPr>
                <w:spacing w:val="-5"/>
                <w:sz w:val="21"/>
              </w:rPr>
              <w:t>130</w:t>
            </w:r>
          </w:p>
        </w:tc>
        <w:tc>
          <w:tcPr>
            <w:tcW w:w="2927" w:type="dxa"/>
          </w:tcPr>
          <w:p w:rsidR="003F5784" w14:paraId="5C529EF5" w14:textId="77777777">
            <w:pPr>
              <w:pStyle w:val="TableParagraph"/>
              <w:ind w:right="114"/>
              <w:rPr>
                <w:sz w:val="21"/>
              </w:rPr>
            </w:pPr>
            <w:r>
              <w:rPr>
                <w:spacing w:val="-5"/>
                <w:sz w:val="21"/>
              </w:rPr>
              <w:t>120</w:t>
            </w:r>
          </w:p>
        </w:tc>
        <w:tc>
          <w:tcPr>
            <w:tcW w:w="3649" w:type="dxa"/>
          </w:tcPr>
          <w:p w:rsidR="003F5784" w14:paraId="68A90587" w14:textId="77777777">
            <w:pPr>
              <w:pStyle w:val="TableParagraph"/>
              <w:ind w:right="106"/>
              <w:rPr>
                <w:sz w:val="21"/>
              </w:rPr>
            </w:pPr>
            <w:r>
              <w:rPr>
                <w:spacing w:val="-2"/>
                <w:sz w:val="21"/>
              </w:rPr>
              <w:t>99.20</w:t>
            </w:r>
          </w:p>
        </w:tc>
      </w:tr>
      <w:tr w14:paraId="4700A17C" w14:textId="77777777">
        <w:tblPrEx>
          <w:tblW w:w="0" w:type="auto"/>
          <w:tblInd w:w="117" w:type="dxa"/>
          <w:tblLayout w:type="fixed"/>
          <w:tblCellMar>
            <w:left w:w="0" w:type="dxa"/>
            <w:right w:w="0" w:type="dxa"/>
          </w:tblCellMar>
          <w:tblLook w:val="01E0"/>
        </w:tblPrEx>
        <w:trPr>
          <w:trHeight w:val="286"/>
        </w:trPr>
        <w:tc>
          <w:tcPr>
            <w:tcW w:w="3796" w:type="dxa"/>
          </w:tcPr>
          <w:p w:rsidR="003F5784" w14:paraId="11CCE70A" w14:textId="77777777">
            <w:pPr>
              <w:pStyle w:val="TableParagraph"/>
              <w:ind w:left="117"/>
              <w:jc w:val="left"/>
              <w:rPr>
                <w:sz w:val="21"/>
              </w:rPr>
            </w:pPr>
            <w:r>
              <w:rPr>
                <w:spacing w:val="-2"/>
                <w:sz w:val="21"/>
              </w:rPr>
              <w:t>Arizona</w:t>
            </w:r>
          </w:p>
        </w:tc>
        <w:tc>
          <w:tcPr>
            <w:tcW w:w="4334" w:type="dxa"/>
          </w:tcPr>
          <w:p w:rsidR="003F5784" w14:paraId="7CC8358F" w14:textId="77777777">
            <w:pPr>
              <w:pStyle w:val="TableParagraph"/>
              <w:ind w:right="114"/>
              <w:rPr>
                <w:sz w:val="21"/>
              </w:rPr>
            </w:pPr>
            <w:r>
              <w:rPr>
                <w:spacing w:val="-5"/>
                <w:sz w:val="21"/>
              </w:rPr>
              <w:t>90</w:t>
            </w:r>
          </w:p>
        </w:tc>
        <w:tc>
          <w:tcPr>
            <w:tcW w:w="2927" w:type="dxa"/>
          </w:tcPr>
          <w:p w:rsidR="003F5784" w14:paraId="27BBA15E" w14:textId="77777777">
            <w:pPr>
              <w:pStyle w:val="TableParagraph"/>
              <w:ind w:right="114"/>
              <w:rPr>
                <w:sz w:val="21"/>
              </w:rPr>
            </w:pPr>
            <w:r>
              <w:rPr>
                <w:spacing w:val="-5"/>
                <w:sz w:val="21"/>
              </w:rPr>
              <w:t>90</w:t>
            </w:r>
          </w:p>
        </w:tc>
        <w:tc>
          <w:tcPr>
            <w:tcW w:w="3649" w:type="dxa"/>
          </w:tcPr>
          <w:p w:rsidR="003F5784" w14:paraId="642A54B5" w14:textId="77777777">
            <w:pPr>
              <w:pStyle w:val="TableParagraph"/>
              <w:ind w:right="106"/>
              <w:rPr>
                <w:sz w:val="21"/>
              </w:rPr>
            </w:pPr>
            <w:r>
              <w:rPr>
                <w:spacing w:val="-2"/>
                <w:sz w:val="21"/>
              </w:rPr>
              <w:t>100.00</w:t>
            </w:r>
          </w:p>
        </w:tc>
      </w:tr>
      <w:tr w14:paraId="61B5EADA" w14:textId="77777777">
        <w:tblPrEx>
          <w:tblW w:w="0" w:type="auto"/>
          <w:tblInd w:w="117" w:type="dxa"/>
          <w:tblLayout w:type="fixed"/>
          <w:tblCellMar>
            <w:left w:w="0" w:type="dxa"/>
            <w:right w:w="0" w:type="dxa"/>
          </w:tblCellMar>
          <w:tblLook w:val="01E0"/>
        </w:tblPrEx>
        <w:trPr>
          <w:trHeight w:val="286"/>
        </w:trPr>
        <w:tc>
          <w:tcPr>
            <w:tcW w:w="3796" w:type="dxa"/>
          </w:tcPr>
          <w:p w:rsidR="003F5784" w14:paraId="7E3FE3F1" w14:textId="77777777">
            <w:pPr>
              <w:pStyle w:val="TableParagraph"/>
              <w:ind w:left="117"/>
              <w:jc w:val="left"/>
              <w:rPr>
                <w:sz w:val="21"/>
              </w:rPr>
            </w:pPr>
            <w:r>
              <w:rPr>
                <w:spacing w:val="-2"/>
                <w:sz w:val="21"/>
              </w:rPr>
              <w:t>Arkansas</w:t>
            </w:r>
          </w:p>
        </w:tc>
        <w:tc>
          <w:tcPr>
            <w:tcW w:w="4334" w:type="dxa"/>
          </w:tcPr>
          <w:p w:rsidR="003F5784" w14:paraId="741882D8" w14:textId="77777777">
            <w:pPr>
              <w:pStyle w:val="TableParagraph"/>
              <w:ind w:right="114"/>
              <w:rPr>
                <w:sz w:val="21"/>
              </w:rPr>
            </w:pPr>
            <w:r>
              <w:rPr>
                <w:spacing w:val="-5"/>
                <w:sz w:val="21"/>
              </w:rPr>
              <w:t>80</w:t>
            </w:r>
          </w:p>
        </w:tc>
        <w:tc>
          <w:tcPr>
            <w:tcW w:w="2927" w:type="dxa"/>
          </w:tcPr>
          <w:p w:rsidR="003F5784" w14:paraId="6B6080B1" w14:textId="77777777">
            <w:pPr>
              <w:pStyle w:val="TableParagraph"/>
              <w:ind w:right="114"/>
              <w:rPr>
                <w:sz w:val="21"/>
              </w:rPr>
            </w:pPr>
            <w:r>
              <w:rPr>
                <w:spacing w:val="-5"/>
                <w:sz w:val="21"/>
              </w:rPr>
              <w:t>80</w:t>
            </w:r>
          </w:p>
        </w:tc>
        <w:tc>
          <w:tcPr>
            <w:tcW w:w="3649" w:type="dxa"/>
          </w:tcPr>
          <w:p w:rsidR="003F5784" w14:paraId="7035F99D" w14:textId="77777777">
            <w:pPr>
              <w:pStyle w:val="TableParagraph"/>
              <w:ind w:right="106"/>
              <w:rPr>
                <w:sz w:val="21"/>
              </w:rPr>
            </w:pPr>
            <w:r>
              <w:rPr>
                <w:spacing w:val="-2"/>
                <w:sz w:val="21"/>
              </w:rPr>
              <w:t>100.00</w:t>
            </w:r>
          </w:p>
        </w:tc>
      </w:tr>
      <w:tr w14:paraId="507D7A8D" w14:textId="77777777">
        <w:tblPrEx>
          <w:tblW w:w="0" w:type="auto"/>
          <w:tblInd w:w="117" w:type="dxa"/>
          <w:tblLayout w:type="fixed"/>
          <w:tblCellMar>
            <w:left w:w="0" w:type="dxa"/>
            <w:right w:w="0" w:type="dxa"/>
          </w:tblCellMar>
          <w:tblLook w:val="01E0"/>
        </w:tblPrEx>
        <w:trPr>
          <w:trHeight w:val="286"/>
        </w:trPr>
        <w:tc>
          <w:tcPr>
            <w:tcW w:w="3796" w:type="dxa"/>
          </w:tcPr>
          <w:p w:rsidR="003F5784" w14:paraId="1AFF9FEA" w14:textId="77777777">
            <w:pPr>
              <w:pStyle w:val="TableParagraph"/>
              <w:ind w:left="117"/>
              <w:jc w:val="left"/>
              <w:rPr>
                <w:sz w:val="21"/>
              </w:rPr>
            </w:pPr>
            <w:r>
              <w:rPr>
                <w:spacing w:val="-2"/>
                <w:sz w:val="21"/>
              </w:rPr>
              <w:t>California–Los</w:t>
            </w:r>
            <w:r>
              <w:rPr>
                <w:spacing w:val="3"/>
                <w:sz w:val="21"/>
              </w:rPr>
              <w:t xml:space="preserve"> </w:t>
            </w:r>
            <w:r>
              <w:rPr>
                <w:spacing w:val="-2"/>
                <w:sz w:val="21"/>
              </w:rPr>
              <w:t>Angeles</w:t>
            </w:r>
          </w:p>
        </w:tc>
        <w:tc>
          <w:tcPr>
            <w:tcW w:w="4334" w:type="dxa"/>
          </w:tcPr>
          <w:p w:rsidR="003F5784" w14:paraId="5BA68B01" w14:textId="77777777">
            <w:pPr>
              <w:pStyle w:val="TableParagraph"/>
              <w:ind w:right="114"/>
              <w:rPr>
                <w:sz w:val="21"/>
              </w:rPr>
            </w:pPr>
            <w:r>
              <w:rPr>
                <w:spacing w:val="-5"/>
                <w:sz w:val="21"/>
              </w:rPr>
              <w:t>60</w:t>
            </w:r>
          </w:p>
        </w:tc>
        <w:tc>
          <w:tcPr>
            <w:tcW w:w="2927" w:type="dxa"/>
          </w:tcPr>
          <w:p w:rsidR="003F5784" w14:paraId="1F2F8BA5" w14:textId="77777777">
            <w:pPr>
              <w:pStyle w:val="TableParagraph"/>
              <w:ind w:right="114"/>
              <w:rPr>
                <w:sz w:val="21"/>
              </w:rPr>
            </w:pPr>
            <w:r>
              <w:rPr>
                <w:spacing w:val="-5"/>
                <w:sz w:val="21"/>
              </w:rPr>
              <w:t>60</w:t>
            </w:r>
          </w:p>
        </w:tc>
        <w:tc>
          <w:tcPr>
            <w:tcW w:w="3649" w:type="dxa"/>
          </w:tcPr>
          <w:p w:rsidR="003F5784" w14:paraId="7E0CEA17" w14:textId="77777777">
            <w:pPr>
              <w:pStyle w:val="TableParagraph"/>
              <w:ind w:right="106"/>
              <w:rPr>
                <w:sz w:val="21"/>
              </w:rPr>
            </w:pPr>
            <w:r>
              <w:rPr>
                <w:spacing w:val="-2"/>
                <w:sz w:val="21"/>
              </w:rPr>
              <w:t>100.00</w:t>
            </w:r>
          </w:p>
        </w:tc>
      </w:tr>
      <w:tr w14:paraId="0E6E750F" w14:textId="77777777">
        <w:tblPrEx>
          <w:tblW w:w="0" w:type="auto"/>
          <w:tblInd w:w="117" w:type="dxa"/>
          <w:tblLayout w:type="fixed"/>
          <w:tblCellMar>
            <w:left w:w="0" w:type="dxa"/>
            <w:right w:w="0" w:type="dxa"/>
          </w:tblCellMar>
          <w:tblLook w:val="01E0"/>
        </w:tblPrEx>
        <w:trPr>
          <w:trHeight w:val="286"/>
        </w:trPr>
        <w:tc>
          <w:tcPr>
            <w:tcW w:w="3796" w:type="dxa"/>
          </w:tcPr>
          <w:p w:rsidR="003F5784" w14:paraId="78D35959" w14:textId="77777777">
            <w:pPr>
              <w:pStyle w:val="TableParagraph"/>
              <w:ind w:left="117"/>
              <w:jc w:val="left"/>
              <w:rPr>
                <w:sz w:val="21"/>
              </w:rPr>
            </w:pPr>
            <w:r>
              <w:rPr>
                <w:spacing w:val="-2"/>
                <w:sz w:val="21"/>
              </w:rPr>
              <w:t>California–San</w:t>
            </w:r>
            <w:r>
              <w:rPr>
                <w:spacing w:val="14"/>
                <w:sz w:val="21"/>
              </w:rPr>
              <w:t xml:space="preserve"> </w:t>
            </w:r>
            <w:r>
              <w:rPr>
                <w:spacing w:val="-2"/>
                <w:sz w:val="21"/>
              </w:rPr>
              <w:t>Diego</w:t>
            </w:r>
          </w:p>
        </w:tc>
        <w:tc>
          <w:tcPr>
            <w:tcW w:w="4334" w:type="dxa"/>
          </w:tcPr>
          <w:p w:rsidR="003F5784" w14:paraId="5F179B46" w14:textId="77777777">
            <w:pPr>
              <w:pStyle w:val="TableParagraph"/>
              <w:ind w:right="114"/>
              <w:rPr>
                <w:sz w:val="21"/>
              </w:rPr>
            </w:pPr>
            <w:r>
              <w:rPr>
                <w:spacing w:val="-5"/>
                <w:sz w:val="21"/>
              </w:rPr>
              <w:t>40</w:t>
            </w:r>
          </w:p>
        </w:tc>
        <w:tc>
          <w:tcPr>
            <w:tcW w:w="2927" w:type="dxa"/>
          </w:tcPr>
          <w:p w:rsidR="003F5784" w14:paraId="27ACB4A8" w14:textId="77777777">
            <w:pPr>
              <w:pStyle w:val="TableParagraph"/>
              <w:ind w:right="114"/>
              <w:rPr>
                <w:sz w:val="21"/>
              </w:rPr>
            </w:pPr>
            <w:r>
              <w:rPr>
                <w:spacing w:val="-5"/>
                <w:sz w:val="21"/>
              </w:rPr>
              <w:t>40</w:t>
            </w:r>
          </w:p>
        </w:tc>
        <w:tc>
          <w:tcPr>
            <w:tcW w:w="3649" w:type="dxa"/>
          </w:tcPr>
          <w:p w:rsidR="003F5784" w14:paraId="279B5DE9" w14:textId="77777777">
            <w:pPr>
              <w:pStyle w:val="TableParagraph"/>
              <w:ind w:right="106"/>
              <w:rPr>
                <w:sz w:val="21"/>
              </w:rPr>
            </w:pPr>
            <w:r>
              <w:rPr>
                <w:spacing w:val="-2"/>
                <w:sz w:val="21"/>
              </w:rPr>
              <w:t>100.00</w:t>
            </w:r>
          </w:p>
        </w:tc>
      </w:tr>
      <w:tr w14:paraId="5DAACD4D" w14:textId="77777777">
        <w:tblPrEx>
          <w:tblW w:w="0" w:type="auto"/>
          <w:tblInd w:w="117" w:type="dxa"/>
          <w:tblLayout w:type="fixed"/>
          <w:tblCellMar>
            <w:left w:w="0" w:type="dxa"/>
            <w:right w:w="0" w:type="dxa"/>
          </w:tblCellMar>
          <w:tblLook w:val="01E0"/>
        </w:tblPrEx>
        <w:trPr>
          <w:trHeight w:val="286"/>
        </w:trPr>
        <w:tc>
          <w:tcPr>
            <w:tcW w:w="3796" w:type="dxa"/>
          </w:tcPr>
          <w:p w:rsidR="003F5784" w14:paraId="3E8D89E1" w14:textId="77777777">
            <w:pPr>
              <w:pStyle w:val="TableParagraph"/>
              <w:ind w:left="117"/>
              <w:jc w:val="left"/>
              <w:rPr>
                <w:sz w:val="21"/>
              </w:rPr>
            </w:pPr>
            <w:r>
              <w:rPr>
                <w:spacing w:val="-2"/>
                <w:sz w:val="21"/>
              </w:rPr>
              <w:t>California</w:t>
            </w:r>
          </w:p>
        </w:tc>
        <w:tc>
          <w:tcPr>
            <w:tcW w:w="4334" w:type="dxa"/>
          </w:tcPr>
          <w:p w:rsidR="003F5784" w14:paraId="56EF56E0" w14:textId="77777777">
            <w:pPr>
              <w:pStyle w:val="TableParagraph"/>
              <w:ind w:right="114"/>
              <w:rPr>
                <w:sz w:val="21"/>
              </w:rPr>
            </w:pPr>
            <w:r>
              <w:rPr>
                <w:spacing w:val="-5"/>
                <w:sz w:val="21"/>
              </w:rPr>
              <w:t>180</w:t>
            </w:r>
          </w:p>
        </w:tc>
        <w:tc>
          <w:tcPr>
            <w:tcW w:w="2927" w:type="dxa"/>
          </w:tcPr>
          <w:p w:rsidR="003F5784" w14:paraId="36E4BCEC" w14:textId="77777777">
            <w:pPr>
              <w:pStyle w:val="TableParagraph"/>
              <w:ind w:right="114"/>
              <w:rPr>
                <w:sz w:val="21"/>
              </w:rPr>
            </w:pPr>
            <w:r>
              <w:rPr>
                <w:spacing w:val="-5"/>
                <w:sz w:val="21"/>
              </w:rPr>
              <w:t>180</w:t>
            </w:r>
          </w:p>
        </w:tc>
        <w:tc>
          <w:tcPr>
            <w:tcW w:w="3649" w:type="dxa"/>
          </w:tcPr>
          <w:p w:rsidR="003F5784" w14:paraId="003072A5" w14:textId="77777777">
            <w:pPr>
              <w:pStyle w:val="TableParagraph"/>
              <w:ind w:right="106"/>
              <w:rPr>
                <w:sz w:val="21"/>
              </w:rPr>
            </w:pPr>
            <w:r>
              <w:rPr>
                <w:spacing w:val="-2"/>
                <w:sz w:val="21"/>
              </w:rPr>
              <w:t>100.00</w:t>
            </w:r>
          </w:p>
        </w:tc>
      </w:tr>
      <w:tr w14:paraId="484DA98E" w14:textId="77777777">
        <w:tblPrEx>
          <w:tblW w:w="0" w:type="auto"/>
          <w:tblInd w:w="117" w:type="dxa"/>
          <w:tblLayout w:type="fixed"/>
          <w:tblCellMar>
            <w:left w:w="0" w:type="dxa"/>
            <w:right w:w="0" w:type="dxa"/>
          </w:tblCellMar>
          <w:tblLook w:val="01E0"/>
        </w:tblPrEx>
        <w:trPr>
          <w:trHeight w:val="286"/>
        </w:trPr>
        <w:tc>
          <w:tcPr>
            <w:tcW w:w="3796" w:type="dxa"/>
          </w:tcPr>
          <w:p w:rsidR="003F5784" w14:paraId="7C92E700" w14:textId="77777777">
            <w:pPr>
              <w:pStyle w:val="TableParagraph"/>
              <w:ind w:left="117"/>
              <w:jc w:val="left"/>
              <w:rPr>
                <w:sz w:val="21"/>
              </w:rPr>
            </w:pPr>
            <w:r>
              <w:rPr>
                <w:spacing w:val="-2"/>
                <w:sz w:val="21"/>
              </w:rPr>
              <w:t>Colorado–Denver</w:t>
            </w:r>
          </w:p>
        </w:tc>
        <w:tc>
          <w:tcPr>
            <w:tcW w:w="4334" w:type="dxa"/>
          </w:tcPr>
          <w:p w:rsidR="003F5784" w14:paraId="2AB4E609" w14:textId="77777777">
            <w:pPr>
              <w:pStyle w:val="TableParagraph"/>
              <w:ind w:right="114"/>
              <w:rPr>
                <w:sz w:val="21"/>
              </w:rPr>
            </w:pPr>
            <w:r>
              <w:rPr>
                <w:spacing w:val="-5"/>
                <w:sz w:val="21"/>
              </w:rPr>
              <w:t>40</w:t>
            </w:r>
          </w:p>
        </w:tc>
        <w:tc>
          <w:tcPr>
            <w:tcW w:w="2927" w:type="dxa"/>
          </w:tcPr>
          <w:p w:rsidR="003F5784" w14:paraId="78E9A4A2" w14:textId="77777777">
            <w:pPr>
              <w:pStyle w:val="TableParagraph"/>
              <w:ind w:right="114"/>
              <w:rPr>
                <w:sz w:val="21"/>
              </w:rPr>
            </w:pPr>
            <w:r>
              <w:rPr>
                <w:spacing w:val="-5"/>
                <w:sz w:val="21"/>
              </w:rPr>
              <w:t>40</w:t>
            </w:r>
          </w:p>
        </w:tc>
        <w:tc>
          <w:tcPr>
            <w:tcW w:w="3649" w:type="dxa"/>
          </w:tcPr>
          <w:p w:rsidR="003F5784" w14:paraId="365DD1FD" w14:textId="77777777">
            <w:pPr>
              <w:pStyle w:val="TableParagraph"/>
              <w:ind w:right="106"/>
              <w:rPr>
                <w:sz w:val="21"/>
              </w:rPr>
            </w:pPr>
            <w:r>
              <w:rPr>
                <w:spacing w:val="-2"/>
                <w:sz w:val="21"/>
              </w:rPr>
              <w:t>100.00</w:t>
            </w:r>
          </w:p>
        </w:tc>
      </w:tr>
      <w:tr w14:paraId="173C7FBD" w14:textId="77777777">
        <w:tblPrEx>
          <w:tblW w:w="0" w:type="auto"/>
          <w:tblInd w:w="117" w:type="dxa"/>
          <w:tblLayout w:type="fixed"/>
          <w:tblCellMar>
            <w:left w:w="0" w:type="dxa"/>
            <w:right w:w="0" w:type="dxa"/>
          </w:tblCellMar>
          <w:tblLook w:val="01E0"/>
        </w:tblPrEx>
        <w:trPr>
          <w:trHeight w:val="286"/>
        </w:trPr>
        <w:tc>
          <w:tcPr>
            <w:tcW w:w="3796" w:type="dxa"/>
          </w:tcPr>
          <w:p w:rsidR="003F5784" w14:paraId="666E93D6" w14:textId="77777777">
            <w:pPr>
              <w:pStyle w:val="TableParagraph"/>
              <w:ind w:left="117"/>
              <w:jc w:val="left"/>
              <w:rPr>
                <w:sz w:val="21"/>
              </w:rPr>
            </w:pPr>
            <w:r>
              <w:rPr>
                <w:spacing w:val="-2"/>
                <w:sz w:val="21"/>
              </w:rPr>
              <w:t>Colorado</w:t>
            </w:r>
          </w:p>
        </w:tc>
        <w:tc>
          <w:tcPr>
            <w:tcW w:w="4334" w:type="dxa"/>
          </w:tcPr>
          <w:p w:rsidR="003F5784" w14:paraId="3B2A5E1F" w14:textId="77777777">
            <w:pPr>
              <w:pStyle w:val="TableParagraph"/>
              <w:ind w:right="114"/>
              <w:rPr>
                <w:sz w:val="21"/>
              </w:rPr>
            </w:pPr>
            <w:r>
              <w:rPr>
                <w:spacing w:val="-5"/>
                <w:sz w:val="21"/>
              </w:rPr>
              <w:t>120</w:t>
            </w:r>
          </w:p>
        </w:tc>
        <w:tc>
          <w:tcPr>
            <w:tcW w:w="2927" w:type="dxa"/>
          </w:tcPr>
          <w:p w:rsidR="003F5784" w14:paraId="63699BE2" w14:textId="77777777">
            <w:pPr>
              <w:pStyle w:val="TableParagraph"/>
              <w:ind w:right="114"/>
              <w:rPr>
                <w:sz w:val="21"/>
              </w:rPr>
            </w:pPr>
            <w:r>
              <w:rPr>
                <w:spacing w:val="-5"/>
                <w:sz w:val="21"/>
              </w:rPr>
              <w:t>120</w:t>
            </w:r>
          </w:p>
        </w:tc>
        <w:tc>
          <w:tcPr>
            <w:tcW w:w="3649" w:type="dxa"/>
          </w:tcPr>
          <w:p w:rsidR="003F5784" w14:paraId="658E1806" w14:textId="77777777">
            <w:pPr>
              <w:pStyle w:val="TableParagraph"/>
              <w:ind w:right="106"/>
              <w:rPr>
                <w:sz w:val="21"/>
              </w:rPr>
            </w:pPr>
            <w:r>
              <w:rPr>
                <w:spacing w:val="-2"/>
                <w:sz w:val="21"/>
              </w:rPr>
              <w:t>99.04</w:t>
            </w:r>
          </w:p>
        </w:tc>
      </w:tr>
      <w:tr w14:paraId="4205A8FF" w14:textId="77777777">
        <w:tblPrEx>
          <w:tblW w:w="0" w:type="auto"/>
          <w:tblInd w:w="117" w:type="dxa"/>
          <w:tblLayout w:type="fixed"/>
          <w:tblCellMar>
            <w:left w:w="0" w:type="dxa"/>
            <w:right w:w="0" w:type="dxa"/>
          </w:tblCellMar>
          <w:tblLook w:val="01E0"/>
        </w:tblPrEx>
        <w:trPr>
          <w:trHeight w:val="286"/>
        </w:trPr>
        <w:tc>
          <w:tcPr>
            <w:tcW w:w="3796" w:type="dxa"/>
          </w:tcPr>
          <w:p w:rsidR="003F5784" w14:paraId="06FD3C2C" w14:textId="77777777">
            <w:pPr>
              <w:pStyle w:val="TableParagraph"/>
              <w:ind w:left="117"/>
              <w:jc w:val="left"/>
              <w:rPr>
                <w:sz w:val="21"/>
              </w:rPr>
            </w:pPr>
            <w:r>
              <w:rPr>
                <w:spacing w:val="-2"/>
                <w:sz w:val="21"/>
              </w:rPr>
              <w:t>Connecticut</w:t>
            </w:r>
          </w:p>
        </w:tc>
        <w:tc>
          <w:tcPr>
            <w:tcW w:w="4334" w:type="dxa"/>
          </w:tcPr>
          <w:p w:rsidR="003F5784" w14:paraId="3BFA148A" w14:textId="77777777">
            <w:pPr>
              <w:pStyle w:val="TableParagraph"/>
              <w:ind w:right="114"/>
              <w:rPr>
                <w:sz w:val="21"/>
              </w:rPr>
            </w:pPr>
            <w:r>
              <w:rPr>
                <w:spacing w:val="-5"/>
                <w:sz w:val="21"/>
              </w:rPr>
              <w:t>80</w:t>
            </w:r>
          </w:p>
        </w:tc>
        <w:tc>
          <w:tcPr>
            <w:tcW w:w="2927" w:type="dxa"/>
          </w:tcPr>
          <w:p w:rsidR="003F5784" w14:paraId="03F2C096" w14:textId="77777777">
            <w:pPr>
              <w:pStyle w:val="TableParagraph"/>
              <w:ind w:right="114"/>
              <w:rPr>
                <w:sz w:val="21"/>
              </w:rPr>
            </w:pPr>
            <w:r>
              <w:rPr>
                <w:spacing w:val="-5"/>
                <w:sz w:val="21"/>
              </w:rPr>
              <w:t>80</w:t>
            </w:r>
          </w:p>
        </w:tc>
        <w:tc>
          <w:tcPr>
            <w:tcW w:w="3649" w:type="dxa"/>
          </w:tcPr>
          <w:p w:rsidR="003F5784" w14:paraId="12D2F4CA" w14:textId="77777777">
            <w:pPr>
              <w:pStyle w:val="TableParagraph"/>
              <w:ind w:right="106"/>
              <w:rPr>
                <w:sz w:val="21"/>
              </w:rPr>
            </w:pPr>
            <w:r>
              <w:rPr>
                <w:spacing w:val="-2"/>
                <w:sz w:val="21"/>
              </w:rPr>
              <w:t>100.00</w:t>
            </w:r>
          </w:p>
        </w:tc>
      </w:tr>
      <w:tr w14:paraId="54475D48" w14:textId="77777777">
        <w:tblPrEx>
          <w:tblW w:w="0" w:type="auto"/>
          <w:tblInd w:w="117" w:type="dxa"/>
          <w:tblLayout w:type="fixed"/>
          <w:tblCellMar>
            <w:left w:w="0" w:type="dxa"/>
            <w:right w:w="0" w:type="dxa"/>
          </w:tblCellMar>
          <w:tblLook w:val="01E0"/>
        </w:tblPrEx>
        <w:trPr>
          <w:trHeight w:val="286"/>
        </w:trPr>
        <w:tc>
          <w:tcPr>
            <w:tcW w:w="3796" w:type="dxa"/>
          </w:tcPr>
          <w:p w:rsidR="003F5784" w14:paraId="6E3120A4" w14:textId="77777777">
            <w:pPr>
              <w:pStyle w:val="TableParagraph"/>
              <w:ind w:left="117"/>
              <w:jc w:val="left"/>
              <w:rPr>
                <w:sz w:val="21"/>
              </w:rPr>
            </w:pPr>
            <w:r>
              <w:rPr>
                <w:spacing w:val="-2"/>
                <w:sz w:val="21"/>
              </w:rPr>
              <w:t>Delaware</w:t>
            </w:r>
          </w:p>
        </w:tc>
        <w:tc>
          <w:tcPr>
            <w:tcW w:w="4334" w:type="dxa"/>
          </w:tcPr>
          <w:p w:rsidR="003F5784" w14:paraId="6DBE23E5" w14:textId="77777777">
            <w:pPr>
              <w:pStyle w:val="TableParagraph"/>
              <w:ind w:right="114"/>
              <w:rPr>
                <w:sz w:val="21"/>
              </w:rPr>
            </w:pPr>
            <w:r>
              <w:rPr>
                <w:spacing w:val="-5"/>
                <w:sz w:val="21"/>
              </w:rPr>
              <w:t>70</w:t>
            </w:r>
          </w:p>
        </w:tc>
        <w:tc>
          <w:tcPr>
            <w:tcW w:w="2927" w:type="dxa"/>
          </w:tcPr>
          <w:p w:rsidR="003F5784" w14:paraId="3273ECD2" w14:textId="77777777">
            <w:pPr>
              <w:pStyle w:val="TableParagraph"/>
              <w:ind w:right="114"/>
              <w:rPr>
                <w:sz w:val="21"/>
              </w:rPr>
            </w:pPr>
            <w:r>
              <w:rPr>
                <w:spacing w:val="-5"/>
                <w:sz w:val="21"/>
              </w:rPr>
              <w:t>70</w:t>
            </w:r>
          </w:p>
        </w:tc>
        <w:tc>
          <w:tcPr>
            <w:tcW w:w="3649" w:type="dxa"/>
          </w:tcPr>
          <w:p w:rsidR="003F5784" w14:paraId="24510C08" w14:textId="77777777">
            <w:pPr>
              <w:pStyle w:val="TableParagraph"/>
              <w:ind w:right="106"/>
              <w:rPr>
                <w:sz w:val="21"/>
              </w:rPr>
            </w:pPr>
            <w:r>
              <w:rPr>
                <w:spacing w:val="-2"/>
                <w:sz w:val="21"/>
              </w:rPr>
              <w:t>100.00</w:t>
            </w:r>
          </w:p>
        </w:tc>
      </w:tr>
      <w:tr w14:paraId="40183525" w14:textId="77777777">
        <w:tblPrEx>
          <w:tblW w:w="0" w:type="auto"/>
          <w:tblInd w:w="117" w:type="dxa"/>
          <w:tblLayout w:type="fixed"/>
          <w:tblCellMar>
            <w:left w:w="0" w:type="dxa"/>
            <w:right w:w="0" w:type="dxa"/>
          </w:tblCellMar>
          <w:tblLook w:val="01E0"/>
        </w:tblPrEx>
        <w:trPr>
          <w:trHeight w:val="286"/>
        </w:trPr>
        <w:tc>
          <w:tcPr>
            <w:tcW w:w="3796" w:type="dxa"/>
          </w:tcPr>
          <w:p w:rsidR="003F5784" w14:paraId="50D26CD8" w14:textId="77777777">
            <w:pPr>
              <w:pStyle w:val="TableParagraph"/>
              <w:ind w:left="117"/>
              <w:jc w:val="left"/>
              <w:rPr>
                <w:sz w:val="21"/>
              </w:rPr>
            </w:pPr>
            <w:r>
              <w:rPr>
                <w:spacing w:val="-2"/>
                <w:sz w:val="21"/>
              </w:rPr>
              <w:t>Florida–Duval</w:t>
            </w:r>
            <w:r>
              <w:rPr>
                <w:spacing w:val="12"/>
                <w:sz w:val="21"/>
              </w:rPr>
              <w:t xml:space="preserve"> </w:t>
            </w:r>
            <w:r>
              <w:rPr>
                <w:spacing w:val="-2"/>
                <w:sz w:val="21"/>
              </w:rPr>
              <w:t>County</w:t>
            </w:r>
          </w:p>
        </w:tc>
        <w:tc>
          <w:tcPr>
            <w:tcW w:w="4334" w:type="dxa"/>
          </w:tcPr>
          <w:p w:rsidR="003F5784" w14:paraId="33A68491" w14:textId="77777777">
            <w:pPr>
              <w:pStyle w:val="TableParagraph"/>
              <w:ind w:right="114"/>
              <w:rPr>
                <w:sz w:val="21"/>
              </w:rPr>
            </w:pPr>
            <w:r>
              <w:rPr>
                <w:spacing w:val="-5"/>
                <w:sz w:val="21"/>
              </w:rPr>
              <w:t>40</w:t>
            </w:r>
          </w:p>
        </w:tc>
        <w:tc>
          <w:tcPr>
            <w:tcW w:w="2927" w:type="dxa"/>
          </w:tcPr>
          <w:p w:rsidR="003F5784" w14:paraId="1638904F" w14:textId="77777777">
            <w:pPr>
              <w:pStyle w:val="TableParagraph"/>
              <w:ind w:right="114"/>
              <w:rPr>
                <w:sz w:val="21"/>
              </w:rPr>
            </w:pPr>
            <w:r>
              <w:rPr>
                <w:spacing w:val="-5"/>
                <w:sz w:val="21"/>
              </w:rPr>
              <w:t>40</w:t>
            </w:r>
          </w:p>
        </w:tc>
        <w:tc>
          <w:tcPr>
            <w:tcW w:w="3649" w:type="dxa"/>
          </w:tcPr>
          <w:p w:rsidR="003F5784" w14:paraId="1304F42E" w14:textId="77777777">
            <w:pPr>
              <w:pStyle w:val="TableParagraph"/>
              <w:ind w:right="106"/>
              <w:rPr>
                <w:sz w:val="21"/>
              </w:rPr>
            </w:pPr>
            <w:r>
              <w:rPr>
                <w:spacing w:val="-2"/>
                <w:sz w:val="21"/>
              </w:rPr>
              <w:t>100.00</w:t>
            </w:r>
          </w:p>
        </w:tc>
      </w:tr>
      <w:tr w14:paraId="7158C620" w14:textId="77777777">
        <w:tblPrEx>
          <w:tblW w:w="0" w:type="auto"/>
          <w:tblInd w:w="117" w:type="dxa"/>
          <w:tblLayout w:type="fixed"/>
          <w:tblCellMar>
            <w:left w:w="0" w:type="dxa"/>
            <w:right w:w="0" w:type="dxa"/>
          </w:tblCellMar>
          <w:tblLook w:val="01E0"/>
        </w:tblPrEx>
        <w:trPr>
          <w:trHeight w:val="286"/>
        </w:trPr>
        <w:tc>
          <w:tcPr>
            <w:tcW w:w="3796" w:type="dxa"/>
          </w:tcPr>
          <w:p w:rsidR="003F5784" w14:paraId="7BBB9B43" w14:textId="77777777">
            <w:pPr>
              <w:pStyle w:val="TableParagraph"/>
              <w:ind w:left="117"/>
              <w:jc w:val="left"/>
              <w:rPr>
                <w:sz w:val="21"/>
              </w:rPr>
            </w:pPr>
            <w:r>
              <w:rPr>
                <w:spacing w:val="-2"/>
                <w:sz w:val="21"/>
              </w:rPr>
              <w:t>Florida–Hillsborough</w:t>
            </w:r>
            <w:r>
              <w:rPr>
                <w:spacing w:val="20"/>
                <w:sz w:val="21"/>
              </w:rPr>
              <w:t xml:space="preserve"> </w:t>
            </w:r>
            <w:r>
              <w:rPr>
                <w:spacing w:val="-2"/>
                <w:sz w:val="21"/>
              </w:rPr>
              <w:t>County</w:t>
            </w:r>
          </w:p>
        </w:tc>
        <w:tc>
          <w:tcPr>
            <w:tcW w:w="4334" w:type="dxa"/>
          </w:tcPr>
          <w:p w:rsidR="003F5784" w14:paraId="67405CD6" w14:textId="77777777">
            <w:pPr>
              <w:pStyle w:val="TableParagraph"/>
              <w:ind w:right="114"/>
              <w:rPr>
                <w:sz w:val="21"/>
              </w:rPr>
            </w:pPr>
            <w:r>
              <w:rPr>
                <w:spacing w:val="-5"/>
                <w:sz w:val="21"/>
              </w:rPr>
              <w:t>40</w:t>
            </w:r>
          </w:p>
        </w:tc>
        <w:tc>
          <w:tcPr>
            <w:tcW w:w="2927" w:type="dxa"/>
          </w:tcPr>
          <w:p w:rsidR="003F5784" w14:paraId="2B36758E" w14:textId="77777777">
            <w:pPr>
              <w:pStyle w:val="TableParagraph"/>
              <w:ind w:right="114"/>
              <w:rPr>
                <w:sz w:val="21"/>
              </w:rPr>
            </w:pPr>
            <w:r>
              <w:rPr>
                <w:spacing w:val="-5"/>
                <w:sz w:val="21"/>
              </w:rPr>
              <w:t>40</w:t>
            </w:r>
          </w:p>
        </w:tc>
        <w:tc>
          <w:tcPr>
            <w:tcW w:w="3649" w:type="dxa"/>
          </w:tcPr>
          <w:p w:rsidR="003F5784" w14:paraId="63488D12" w14:textId="77777777">
            <w:pPr>
              <w:pStyle w:val="TableParagraph"/>
              <w:ind w:right="106"/>
              <w:rPr>
                <w:sz w:val="21"/>
              </w:rPr>
            </w:pPr>
            <w:r>
              <w:rPr>
                <w:spacing w:val="-2"/>
                <w:sz w:val="21"/>
              </w:rPr>
              <w:t>100.00</w:t>
            </w:r>
          </w:p>
        </w:tc>
      </w:tr>
      <w:tr w14:paraId="08B0F2C4" w14:textId="77777777">
        <w:tblPrEx>
          <w:tblW w:w="0" w:type="auto"/>
          <w:tblInd w:w="117" w:type="dxa"/>
          <w:tblLayout w:type="fixed"/>
          <w:tblCellMar>
            <w:left w:w="0" w:type="dxa"/>
            <w:right w:w="0" w:type="dxa"/>
          </w:tblCellMar>
          <w:tblLook w:val="01E0"/>
        </w:tblPrEx>
        <w:trPr>
          <w:trHeight w:val="286"/>
        </w:trPr>
        <w:tc>
          <w:tcPr>
            <w:tcW w:w="3796" w:type="dxa"/>
          </w:tcPr>
          <w:p w:rsidR="003F5784" w14:paraId="75B5AA9D" w14:textId="77777777">
            <w:pPr>
              <w:pStyle w:val="TableParagraph"/>
              <w:ind w:left="117"/>
              <w:jc w:val="left"/>
              <w:rPr>
                <w:sz w:val="21"/>
              </w:rPr>
            </w:pPr>
            <w:r>
              <w:rPr>
                <w:spacing w:val="-2"/>
                <w:sz w:val="21"/>
              </w:rPr>
              <w:t>Florida–Miami-Dade</w:t>
            </w:r>
            <w:r>
              <w:rPr>
                <w:spacing w:val="17"/>
                <w:sz w:val="21"/>
              </w:rPr>
              <w:t xml:space="preserve"> </w:t>
            </w:r>
            <w:r>
              <w:rPr>
                <w:spacing w:val="-2"/>
                <w:sz w:val="21"/>
              </w:rPr>
              <w:t>County</w:t>
            </w:r>
          </w:p>
        </w:tc>
        <w:tc>
          <w:tcPr>
            <w:tcW w:w="4334" w:type="dxa"/>
          </w:tcPr>
          <w:p w:rsidR="003F5784" w14:paraId="555F45F1" w14:textId="77777777">
            <w:pPr>
              <w:pStyle w:val="TableParagraph"/>
              <w:ind w:right="114"/>
              <w:rPr>
                <w:sz w:val="21"/>
              </w:rPr>
            </w:pPr>
            <w:r>
              <w:rPr>
                <w:spacing w:val="-5"/>
                <w:sz w:val="21"/>
              </w:rPr>
              <w:t>60</w:t>
            </w:r>
          </w:p>
        </w:tc>
        <w:tc>
          <w:tcPr>
            <w:tcW w:w="2927" w:type="dxa"/>
          </w:tcPr>
          <w:p w:rsidR="003F5784" w14:paraId="430B0099" w14:textId="77777777">
            <w:pPr>
              <w:pStyle w:val="TableParagraph"/>
              <w:ind w:right="114"/>
              <w:rPr>
                <w:sz w:val="21"/>
              </w:rPr>
            </w:pPr>
            <w:r>
              <w:rPr>
                <w:spacing w:val="-5"/>
                <w:sz w:val="21"/>
              </w:rPr>
              <w:t>60</w:t>
            </w:r>
          </w:p>
        </w:tc>
        <w:tc>
          <w:tcPr>
            <w:tcW w:w="3649" w:type="dxa"/>
          </w:tcPr>
          <w:p w:rsidR="003F5784" w14:paraId="1822C374" w14:textId="77777777">
            <w:pPr>
              <w:pStyle w:val="TableParagraph"/>
              <w:ind w:right="106"/>
              <w:rPr>
                <w:sz w:val="21"/>
              </w:rPr>
            </w:pPr>
            <w:r>
              <w:rPr>
                <w:spacing w:val="-2"/>
                <w:sz w:val="21"/>
              </w:rPr>
              <w:t>100.00</w:t>
            </w:r>
          </w:p>
        </w:tc>
      </w:tr>
      <w:tr w14:paraId="7910799A" w14:textId="77777777">
        <w:tblPrEx>
          <w:tblW w:w="0" w:type="auto"/>
          <w:tblInd w:w="117" w:type="dxa"/>
          <w:tblLayout w:type="fixed"/>
          <w:tblCellMar>
            <w:left w:w="0" w:type="dxa"/>
            <w:right w:w="0" w:type="dxa"/>
          </w:tblCellMar>
          <w:tblLook w:val="01E0"/>
        </w:tblPrEx>
        <w:trPr>
          <w:trHeight w:val="286"/>
        </w:trPr>
        <w:tc>
          <w:tcPr>
            <w:tcW w:w="3796" w:type="dxa"/>
          </w:tcPr>
          <w:p w:rsidR="003F5784" w14:paraId="075DF078" w14:textId="77777777">
            <w:pPr>
              <w:pStyle w:val="TableParagraph"/>
              <w:ind w:left="117"/>
              <w:jc w:val="left"/>
              <w:rPr>
                <w:sz w:val="21"/>
              </w:rPr>
            </w:pPr>
            <w:r>
              <w:rPr>
                <w:spacing w:val="-2"/>
                <w:sz w:val="21"/>
              </w:rPr>
              <w:t>Florida</w:t>
            </w:r>
          </w:p>
        </w:tc>
        <w:tc>
          <w:tcPr>
            <w:tcW w:w="4334" w:type="dxa"/>
          </w:tcPr>
          <w:p w:rsidR="003F5784" w14:paraId="39DEE5F7" w14:textId="77777777">
            <w:pPr>
              <w:pStyle w:val="TableParagraph"/>
              <w:ind w:right="114"/>
              <w:rPr>
                <w:sz w:val="21"/>
              </w:rPr>
            </w:pPr>
            <w:r>
              <w:rPr>
                <w:spacing w:val="-5"/>
                <w:sz w:val="21"/>
              </w:rPr>
              <w:t>210</w:t>
            </w:r>
          </w:p>
        </w:tc>
        <w:tc>
          <w:tcPr>
            <w:tcW w:w="2927" w:type="dxa"/>
          </w:tcPr>
          <w:p w:rsidR="003F5784" w14:paraId="3728FB50" w14:textId="77777777">
            <w:pPr>
              <w:pStyle w:val="TableParagraph"/>
              <w:ind w:right="114"/>
              <w:rPr>
                <w:sz w:val="21"/>
              </w:rPr>
            </w:pPr>
            <w:r>
              <w:rPr>
                <w:spacing w:val="-5"/>
                <w:sz w:val="21"/>
              </w:rPr>
              <w:t>210</w:t>
            </w:r>
          </w:p>
        </w:tc>
        <w:tc>
          <w:tcPr>
            <w:tcW w:w="3649" w:type="dxa"/>
          </w:tcPr>
          <w:p w:rsidR="003F5784" w14:paraId="3A3E09F3" w14:textId="77777777">
            <w:pPr>
              <w:pStyle w:val="TableParagraph"/>
              <w:ind w:right="106"/>
              <w:rPr>
                <w:sz w:val="21"/>
              </w:rPr>
            </w:pPr>
            <w:r>
              <w:rPr>
                <w:spacing w:val="-2"/>
                <w:sz w:val="21"/>
              </w:rPr>
              <w:t>100.00</w:t>
            </w:r>
          </w:p>
        </w:tc>
      </w:tr>
      <w:tr w14:paraId="5F5D2459" w14:textId="77777777">
        <w:tblPrEx>
          <w:tblW w:w="0" w:type="auto"/>
          <w:tblInd w:w="117" w:type="dxa"/>
          <w:tblLayout w:type="fixed"/>
          <w:tblCellMar>
            <w:left w:w="0" w:type="dxa"/>
            <w:right w:w="0" w:type="dxa"/>
          </w:tblCellMar>
          <w:tblLook w:val="01E0"/>
        </w:tblPrEx>
        <w:trPr>
          <w:trHeight w:val="286"/>
        </w:trPr>
        <w:tc>
          <w:tcPr>
            <w:tcW w:w="3796" w:type="dxa"/>
          </w:tcPr>
          <w:p w:rsidR="003F5784" w14:paraId="08161058" w14:textId="77777777">
            <w:pPr>
              <w:pStyle w:val="TableParagraph"/>
              <w:ind w:left="117"/>
              <w:jc w:val="left"/>
              <w:rPr>
                <w:sz w:val="21"/>
              </w:rPr>
            </w:pPr>
            <w:r>
              <w:rPr>
                <w:spacing w:val="-2"/>
                <w:sz w:val="21"/>
              </w:rPr>
              <w:t>Georgia–Atlanta</w:t>
            </w:r>
          </w:p>
        </w:tc>
        <w:tc>
          <w:tcPr>
            <w:tcW w:w="4334" w:type="dxa"/>
          </w:tcPr>
          <w:p w:rsidR="003F5784" w14:paraId="517DBC23" w14:textId="77777777">
            <w:pPr>
              <w:pStyle w:val="TableParagraph"/>
              <w:ind w:right="114"/>
              <w:rPr>
                <w:sz w:val="21"/>
              </w:rPr>
            </w:pPr>
            <w:r>
              <w:rPr>
                <w:spacing w:val="-5"/>
                <w:sz w:val="21"/>
              </w:rPr>
              <w:t>40</w:t>
            </w:r>
          </w:p>
        </w:tc>
        <w:tc>
          <w:tcPr>
            <w:tcW w:w="2927" w:type="dxa"/>
          </w:tcPr>
          <w:p w:rsidR="003F5784" w14:paraId="5FA75F15" w14:textId="77777777">
            <w:pPr>
              <w:pStyle w:val="TableParagraph"/>
              <w:ind w:right="114"/>
              <w:rPr>
                <w:sz w:val="21"/>
              </w:rPr>
            </w:pPr>
            <w:r>
              <w:rPr>
                <w:spacing w:val="-5"/>
                <w:sz w:val="21"/>
              </w:rPr>
              <w:t>40</w:t>
            </w:r>
          </w:p>
        </w:tc>
        <w:tc>
          <w:tcPr>
            <w:tcW w:w="3649" w:type="dxa"/>
          </w:tcPr>
          <w:p w:rsidR="003F5784" w14:paraId="32F796B3" w14:textId="77777777">
            <w:pPr>
              <w:pStyle w:val="TableParagraph"/>
              <w:ind w:right="106"/>
              <w:rPr>
                <w:sz w:val="21"/>
              </w:rPr>
            </w:pPr>
            <w:r>
              <w:rPr>
                <w:spacing w:val="-2"/>
                <w:sz w:val="21"/>
              </w:rPr>
              <w:t>100.00</w:t>
            </w:r>
          </w:p>
        </w:tc>
      </w:tr>
      <w:tr w14:paraId="783AEFAA" w14:textId="77777777">
        <w:tblPrEx>
          <w:tblW w:w="0" w:type="auto"/>
          <w:tblInd w:w="117" w:type="dxa"/>
          <w:tblLayout w:type="fixed"/>
          <w:tblCellMar>
            <w:left w:w="0" w:type="dxa"/>
            <w:right w:w="0" w:type="dxa"/>
          </w:tblCellMar>
          <w:tblLook w:val="01E0"/>
        </w:tblPrEx>
        <w:trPr>
          <w:trHeight w:val="286"/>
        </w:trPr>
        <w:tc>
          <w:tcPr>
            <w:tcW w:w="3796" w:type="dxa"/>
          </w:tcPr>
          <w:p w:rsidR="003F5784" w14:paraId="13484393" w14:textId="77777777">
            <w:pPr>
              <w:pStyle w:val="TableParagraph"/>
              <w:ind w:left="117"/>
              <w:jc w:val="left"/>
              <w:rPr>
                <w:sz w:val="21"/>
              </w:rPr>
            </w:pPr>
            <w:r>
              <w:rPr>
                <w:spacing w:val="-2"/>
                <w:sz w:val="21"/>
              </w:rPr>
              <w:t>Georgia</w:t>
            </w:r>
          </w:p>
        </w:tc>
        <w:tc>
          <w:tcPr>
            <w:tcW w:w="4334" w:type="dxa"/>
          </w:tcPr>
          <w:p w:rsidR="003F5784" w14:paraId="56551EB1" w14:textId="77777777">
            <w:pPr>
              <w:pStyle w:val="TableParagraph"/>
              <w:ind w:right="114"/>
              <w:rPr>
                <w:sz w:val="21"/>
              </w:rPr>
            </w:pPr>
            <w:r>
              <w:rPr>
                <w:spacing w:val="-5"/>
                <w:sz w:val="21"/>
              </w:rPr>
              <w:t>120</w:t>
            </w:r>
          </w:p>
        </w:tc>
        <w:tc>
          <w:tcPr>
            <w:tcW w:w="2927" w:type="dxa"/>
          </w:tcPr>
          <w:p w:rsidR="003F5784" w14:paraId="1A87404C" w14:textId="77777777">
            <w:pPr>
              <w:pStyle w:val="TableParagraph"/>
              <w:ind w:right="114"/>
              <w:rPr>
                <w:sz w:val="21"/>
              </w:rPr>
            </w:pPr>
            <w:r>
              <w:rPr>
                <w:spacing w:val="-5"/>
                <w:sz w:val="21"/>
              </w:rPr>
              <w:t>120</w:t>
            </w:r>
          </w:p>
        </w:tc>
        <w:tc>
          <w:tcPr>
            <w:tcW w:w="3649" w:type="dxa"/>
          </w:tcPr>
          <w:p w:rsidR="003F5784" w14:paraId="51BA6ED6" w14:textId="77777777">
            <w:pPr>
              <w:pStyle w:val="TableParagraph"/>
              <w:ind w:right="106"/>
              <w:rPr>
                <w:sz w:val="21"/>
              </w:rPr>
            </w:pPr>
            <w:r>
              <w:rPr>
                <w:spacing w:val="-2"/>
                <w:sz w:val="21"/>
              </w:rPr>
              <w:t>96.17</w:t>
            </w:r>
          </w:p>
        </w:tc>
      </w:tr>
      <w:tr w14:paraId="437FFAC3" w14:textId="77777777">
        <w:tblPrEx>
          <w:tblW w:w="0" w:type="auto"/>
          <w:tblInd w:w="117" w:type="dxa"/>
          <w:tblLayout w:type="fixed"/>
          <w:tblCellMar>
            <w:left w:w="0" w:type="dxa"/>
            <w:right w:w="0" w:type="dxa"/>
          </w:tblCellMar>
          <w:tblLook w:val="01E0"/>
        </w:tblPrEx>
        <w:trPr>
          <w:trHeight w:val="286"/>
        </w:trPr>
        <w:tc>
          <w:tcPr>
            <w:tcW w:w="3796" w:type="dxa"/>
          </w:tcPr>
          <w:p w:rsidR="003F5784" w14:paraId="08094A7E" w14:textId="77777777">
            <w:pPr>
              <w:pStyle w:val="TableParagraph"/>
              <w:ind w:left="117"/>
              <w:jc w:val="left"/>
              <w:rPr>
                <w:sz w:val="21"/>
              </w:rPr>
            </w:pPr>
            <w:r>
              <w:rPr>
                <w:spacing w:val="-2"/>
                <w:sz w:val="21"/>
              </w:rPr>
              <w:t>Hawaii</w:t>
            </w:r>
          </w:p>
        </w:tc>
        <w:tc>
          <w:tcPr>
            <w:tcW w:w="4334" w:type="dxa"/>
          </w:tcPr>
          <w:p w:rsidR="003F5784" w14:paraId="677B6F74" w14:textId="77777777">
            <w:pPr>
              <w:pStyle w:val="TableParagraph"/>
              <w:ind w:right="114"/>
              <w:rPr>
                <w:sz w:val="21"/>
              </w:rPr>
            </w:pPr>
            <w:r>
              <w:rPr>
                <w:spacing w:val="-5"/>
                <w:sz w:val="21"/>
              </w:rPr>
              <w:t>90</w:t>
            </w:r>
          </w:p>
        </w:tc>
        <w:tc>
          <w:tcPr>
            <w:tcW w:w="2927" w:type="dxa"/>
          </w:tcPr>
          <w:p w:rsidR="003F5784" w14:paraId="056FB160" w14:textId="77777777">
            <w:pPr>
              <w:pStyle w:val="TableParagraph"/>
              <w:ind w:right="114"/>
              <w:rPr>
                <w:sz w:val="21"/>
              </w:rPr>
            </w:pPr>
            <w:r>
              <w:rPr>
                <w:spacing w:val="-5"/>
                <w:sz w:val="21"/>
              </w:rPr>
              <w:t>90</w:t>
            </w:r>
          </w:p>
        </w:tc>
        <w:tc>
          <w:tcPr>
            <w:tcW w:w="3649" w:type="dxa"/>
          </w:tcPr>
          <w:p w:rsidR="003F5784" w14:paraId="28F4697F" w14:textId="77777777">
            <w:pPr>
              <w:pStyle w:val="TableParagraph"/>
              <w:ind w:right="106"/>
              <w:rPr>
                <w:sz w:val="21"/>
              </w:rPr>
            </w:pPr>
            <w:r>
              <w:rPr>
                <w:spacing w:val="-2"/>
                <w:sz w:val="21"/>
              </w:rPr>
              <w:t>100.00</w:t>
            </w:r>
          </w:p>
        </w:tc>
      </w:tr>
      <w:tr w14:paraId="7ED168B2" w14:textId="77777777">
        <w:tblPrEx>
          <w:tblW w:w="0" w:type="auto"/>
          <w:tblInd w:w="117" w:type="dxa"/>
          <w:tblLayout w:type="fixed"/>
          <w:tblCellMar>
            <w:left w:w="0" w:type="dxa"/>
            <w:right w:w="0" w:type="dxa"/>
          </w:tblCellMar>
          <w:tblLook w:val="01E0"/>
        </w:tblPrEx>
        <w:trPr>
          <w:trHeight w:val="286"/>
        </w:trPr>
        <w:tc>
          <w:tcPr>
            <w:tcW w:w="3796" w:type="dxa"/>
          </w:tcPr>
          <w:p w:rsidR="003F5784" w14:paraId="1FC3EB93" w14:textId="77777777">
            <w:pPr>
              <w:pStyle w:val="TableParagraph"/>
              <w:ind w:left="117"/>
              <w:jc w:val="left"/>
              <w:rPr>
                <w:sz w:val="21"/>
              </w:rPr>
            </w:pPr>
            <w:r>
              <w:rPr>
                <w:spacing w:val="-2"/>
                <w:sz w:val="21"/>
              </w:rPr>
              <w:t>Idaho</w:t>
            </w:r>
          </w:p>
        </w:tc>
        <w:tc>
          <w:tcPr>
            <w:tcW w:w="4334" w:type="dxa"/>
          </w:tcPr>
          <w:p w:rsidR="003F5784" w14:paraId="3A312CFC" w14:textId="77777777">
            <w:pPr>
              <w:pStyle w:val="TableParagraph"/>
              <w:ind w:right="114"/>
              <w:rPr>
                <w:sz w:val="21"/>
              </w:rPr>
            </w:pPr>
            <w:r>
              <w:rPr>
                <w:spacing w:val="-5"/>
                <w:sz w:val="21"/>
              </w:rPr>
              <w:t>90</w:t>
            </w:r>
          </w:p>
        </w:tc>
        <w:tc>
          <w:tcPr>
            <w:tcW w:w="2927" w:type="dxa"/>
          </w:tcPr>
          <w:p w:rsidR="003F5784" w14:paraId="0B979D70" w14:textId="77777777">
            <w:pPr>
              <w:pStyle w:val="TableParagraph"/>
              <w:ind w:right="114"/>
              <w:rPr>
                <w:sz w:val="21"/>
              </w:rPr>
            </w:pPr>
            <w:r>
              <w:rPr>
                <w:spacing w:val="-5"/>
                <w:sz w:val="21"/>
              </w:rPr>
              <w:t>90</w:t>
            </w:r>
          </w:p>
        </w:tc>
        <w:tc>
          <w:tcPr>
            <w:tcW w:w="3649" w:type="dxa"/>
          </w:tcPr>
          <w:p w:rsidR="003F5784" w14:paraId="527F75A7" w14:textId="77777777">
            <w:pPr>
              <w:pStyle w:val="TableParagraph"/>
              <w:ind w:right="106"/>
              <w:rPr>
                <w:sz w:val="21"/>
              </w:rPr>
            </w:pPr>
            <w:r>
              <w:rPr>
                <w:spacing w:val="-2"/>
                <w:sz w:val="21"/>
              </w:rPr>
              <w:t>100.00</w:t>
            </w:r>
          </w:p>
        </w:tc>
      </w:tr>
      <w:tr w14:paraId="7E1C69C7" w14:textId="77777777">
        <w:tblPrEx>
          <w:tblW w:w="0" w:type="auto"/>
          <w:tblInd w:w="117" w:type="dxa"/>
          <w:tblLayout w:type="fixed"/>
          <w:tblCellMar>
            <w:left w:w="0" w:type="dxa"/>
            <w:right w:w="0" w:type="dxa"/>
          </w:tblCellMar>
          <w:tblLook w:val="01E0"/>
        </w:tblPrEx>
        <w:trPr>
          <w:trHeight w:val="286"/>
        </w:trPr>
        <w:tc>
          <w:tcPr>
            <w:tcW w:w="3796" w:type="dxa"/>
          </w:tcPr>
          <w:p w:rsidR="003F5784" w14:paraId="42AA7D7C" w14:textId="77777777">
            <w:pPr>
              <w:pStyle w:val="TableParagraph"/>
              <w:ind w:left="117"/>
              <w:jc w:val="left"/>
              <w:rPr>
                <w:sz w:val="21"/>
              </w:rPr>
            </w:pPr>
            <w:r>
              <w:rPr>
                <w:spacing w:val="-2"/>
                <w:sz w:val="21"/>
              </w:rPr>
              <w:t>Illinois–Chicago</w:t>
            </w:r>
          </w:p>
        </w:tc>
        <w:tc>
          <w:tcPr>
            <w:tcW w:w="4334" w:type="dxa"/>
          </w:tcPr>
          <w:p w:rsidR="003F5784" w14:paraId="219CCB9A" w14:textId="77777777">
            <w:pPr>
              <w:pStyle w:val="TableParagraph"/>
              <w:ind w:right="114"/>
              <w:rPr>
                <w:sz w:val="21"/>
              </w:rPr>
            </w:pPr>
            <w:r>
              <w:rPr>
                <w:spacing w:val="-5"/>
                <w:sz w:val="21"/>
              </w:rPr>
              <w:t>70</w:t>
            </w:r>
          </w:p>
        </w:tc>
        <w:tc>
          <w:tcPr>
            <w:tcW w:w="2927" w:type="dxa"/>
          </w:tcPr>
          <w:p w:rsidR="003F5784" w14:paraId="173B8659" w14:textId="77777777">
            <w:pPr>
              <w:pStyle w:val="TableParagraph"/>
              <w:ind w:right="114"/>
              <w:rPr>
                <w:sz w:val="21"/>
              </w:rPr>
            </w:pPr>
            <w:r>
              <w:rPr>
                <w:spacing w:val="-5"/>
                <w:sz w:val="21"/>
              </w:rPr>
              <w:t>70</w:t>
            </w:r>
          </w:p>
        </w:tc>
        <w:tc>
          <w:tcPr>
            <w:tcW w:w="3649" w:type="dxa"/>
          </w:tcPr>
          <w:p w:rsidR="003F5784" w14:paraId="619DCF09" w14:textId="77777777">
            <w:pPr>
              <w:pStyle w:val="TableParagraph"/>
              <w:ind w:right="106"/>
              <w:rPr>
                <w:sz w:val="21"/>
              </w:rPr>
            </w:pPr>
            <w:r>
              <w:rPr>
                <w:spacing w:val="-2"/>
                <w:sz w:val="21"/>
              </w:rPr>
              <w:t>100.00</w:t>
            </w:r>
          </w:p>
        </w:tc>
      </w:tr>
      <w:tr w14:paraId="5A8A2B8B" w14:textId="77777777">
        <w:tblPrEx>
          <w:tblW w:w="0" w:type="auto"/>
          <w:tblInd w:w="117" w:type="dxa"/>
          <w:tblLayout w:type="fixed"/>
          <w:tblCellMar>
            <w:left w:w="0" w:type="dxa"/>
            <w:right w:w="0" w:type="dxa"/>
          </w:tblCellMar>
          <w:tblLook w:val="01E0"/>
        </w:tblPrEx>
        <w:trPr>
          <w:trHeight w:val="286"/>
        </w:trPr>
        <w:tc>
          <w:tcPr>
            <w:tcW w:w="3796" w:type="dxa"/>
          </w:tcPr>
          <w:p w:rsidR="003F5784" w14:paraId="2312EB82" w14:textId="77777777">
            <w:pPr>
              <w:pStyle w:val="TableParagraph"/>
              <w:ind w:left="117"/>
              <w:jc w:val="left"/>
              <w:rPr>
                <w:sz w:val="21"/>
              </w:rPr>
            </w:pPr>
            <w:r>
              <w:rPr>
                <w:spacing w:val="-2"/>
                <w:sz w:val="21"/>
              </w:rPr>
              <w:t>Illinois</w:t>
            </w:r>
          </w:p>
        </w:tc>
        <w:tc>
          <w:tcPr>
            <w:tcW w:w="4334" w:type="dxa"/>
          </w:tcPr>
          <w:p w:rsidR="003F5784" w14:paraId="27E1A994" w14:textId="77777777">
            <w:pPr>
              <w:pStyle w:val="TableParagraph"/>
              <w:ind w:right="114"/>
              <w:rPr>
                <w:sz w:val="21"/>
              </w:rPr>
            </w:pPr>
            <w:r>
              <w:rPr>
                <w:spacing w:val="-5"/>
                <w:sz w:val="21"/>
              </w:rPr>
              <w:t>140</w:t>
            </w:r>
          </w:p>
        </w:tc>
        <w:tc>
          <w:tcPr>
            <w:tcW w:w="2927" w:type="dxa"/>
          </w:tcPr>
          <w:p w:rsidR="003F5784" w14:paraId="173353F5" w14:textId="77777777">
            <w:pPr>
              <w:pStyle w:val="TableParagraph"/>
              <w:ind w:right="114"/>
              <w:rPr>
                <w:sz w:val="21"/>
              </w:rPr>
            </w:pPr>
            <w:r>
              <w:rPr>
                <w:spacing w:val="-5"/>
                <w:sz w:val="21"/>
              </w:rPr>
              <w:t>140</w:t>
            </w:r>
          </w:p>
        </w:tc>
        <w:tc>
          <w:tcPr>
            <w:tcW w:w="3649" w:type="dxa"/>
          </w:tcPr>
          <w:p w:rsidR="003F5784" w14:paraId="27289288" w14:textId="77777777">
            <w:pPr>
              <w:pStyle w:val="TableParagraph"/>
              <w:ind w:right="106"/>
              <w:rPr>
                <w:sz w:val="21"/>
              </w:rPr>
            </w:pPr>
            <w:r>
              <w:rPr>
                <w:spacing w:val="-2"/>
                <w:sz w:val="21"/>
              </w:rPr>
              <w:t>100.00</w:t>
            </w:r>
          </w:p>
        </w:tc>
      </w:tr>
      <w:tr w14:paraId="4C7927B7" w14:textId="77777777">
        <w:tblPrEx>
          <w:tblW w:w="0" w:type="auto"/>
          <w:tblInd w:w="117" w:type="dxa"/>
          <w:tblLayout w:type="fixed"/>
          <w:tblCellMar>
            <w:left w:w="0" w:type="dxa"/>
            <w:right w:w="0" w:type="dxa"/>
          </w:tblCellMar>
          <w:tblLook w:val="01E0"/>
        </w:tblPrEx>
        <w:trPr>
          <w:trHeight w:val="286"/>
        </w:trPr>
        <w:tc>
          <w:tcPr>
            <w:tcW w:w="3796" w:type="dxa"/>
          </w:tcPr>
          <w:p w:rsidR="003F5784" w14:paraId="01B55FEC" w14:textId="77777777">
            <w:pPr>
              <w:pStyle w:val="TableParagraph"/>
              <w:ind w:left="117"/>
              <w:jc w:val="left"/>
              <w:rPr>
                <w:sz w:val="21"/>
              </w:rPr>
            </w:pPr>
            <w:r>
              <w:rPr>
                <w:spacing w:val="-2"/>
                <w:sz w:val="21"/>
              </w:rPr>
              <w:t>Indiana</w:t>
            </w:r>
          </w:p>
        </w:tc>
        <w:tc>
          <w:tcPr>
            <w:tcW w:w="4334" w:type="dxa"/>
          </w:tcPr>
          <w:p w:rsidR="003F5784" w14:paraId="262D8DD8" w14:textId="77777777">
            <w:pPr>
              <w:pStyle w:val="TableParagraph"/>
              <w:ind w:right="114"/>
              <w:rPr>
                <w:sz w:val="21"/>
              </w:rPr>
            </w:pPr>
            <w:r>
              <w:rPr>
                <w:spacing w:val="-5"/>
                <w:sz w:val="21"/>
              </w:rPr>
              <w:t>90</w:t>
            </w:r>
          </w:p>
        </w:tc>
        <w:tc>
          <w:tcPr>
            <w:tcW w:w="2927" w:type="dxa"/>
          </w:tcPr>
          <w:p w:rsidR="003F5784" w14:paraId="3CA75849" w14:textId="77777777">
            <w:pPr>
              <w:pStyle w:val="TableParagraph"/>
              <w:ind w:right="114"/>
              <w:rPr>
                <w:sz w:val="21"/>
              </w:rPr>
            </w:pPr>
            <w:r>
              <w:rPr>
                <w:spacing w:val="-5"/>
                <w:sz w:val="21"/>
              </w:rPr>
              <w:t>80</w:t>
            </w:r>
          </w:p>
        </w:tc>
        <w:tc>
          <w:tcPr>
            <w:tcW w:w="3649" w:type="dxa"/>
          </w:tcPr>
          <w:p w:rsidR="003F5784" w14:paraId="7AF2B791" w14:textId="77777777">
            <w:pPr>
              <w:pStyle w:val="TableParagraph"/>
              <w:ind w:right="106"/>
              <w:rPr>
                <w:sz w:val="21"/>
              </w:rPr>
            </w:pPr>
            <w:r>
              <w:rPr>
                <w:spacing w:val="-2"/>
                <w:sz w:val="21"/>
              </w:rPr>
              <w:t>98.63</w:t>
            </w:r>
          </w:p>
        </w:tc>
      </w:tr>
      <w:tr w14:paraId="06D45BBB" w14:textId="77777777">
        <w:tblPrEx>
          <w:tblW w:w="0" w:type="auto"/>
          <w:tblInd w:w="117" w:type="dxa"/>
          <w:tblLayout w:type="fixed"/>
          <w:tblCellMar>
            <w:left w:w="0" w:type="dxa"/>
            <w:right w:w="0" w:type="dxa"/>
          </w:tblCellMar>
          <w:tblLook w:val="01E0"/>
        </w:tblPrEx>
        <w:trPr>
          <w:trHeight w:val="286"/>
        </w:trPr>
        <w:tc>
          <w:tcPr>
            <w:tcW w:w="3796" w:type="dxa"/>
          </w:tcPr>
          <w:p w:rsidR="003F5784" w14:paraId="5EF58300" w14:textId="77777777">
            <w:pPr>
              <w:pStyle w:val="TableParagraph"/>
              <w:ind w:left="117"/>
              <w:jc w:val="left"/>
              <w:rPr>
                <w:sz w:val="21"/>
              </w:rPr>
            </w:pPr>
            <w:r>
              <w:rPr>
                <w:spacing w:val="-4"/>
                <w:sz w:val="21"/>
              </w:rPr>
              <w:t>Iowa</w:t>
            </w:r>
          </w:p>
        </w:tc>
        <w:tc>
          <w:tcPr>
            <w:tcW w:w="4334" w:type="dxa"/>
          </w:tcPr>
          <w:p w:rsidR="003F5784" w14:paraId="0BAF89F2" w14:textId="77777777">
            <w:pPr>
              <w:pStyle w:val="TableParagraph"/>
              <w:ind w:right="114"/>
              <w:rPr>
                <w:sz w:val="21"/>
              </w:rPr>
            </w:pPr>
            <w:r>
              <w:rPr>
                <w:spacing w:val="-5"/>
                <w:sz w:val="21"/>
              </w:rPr>
              <w:t>90</w:t>
            </w:r>
          </w:p>
        </w:tc>
        <w:tc>
          <w:tcPr>
            <w:tcW w:w="2927" w:type="dxa"/>
          </w:tcPr>
          <w:p w:rsidR="003F5784" w14:paraId="684BAE73" w14:textId="77777777">
            <w:pPr>
              <w:pStyle w:val="TableParagraph"/>
              <w:ind w:right="114"/>
              <w:rPr>
                <w:sz w:val="21"/>
              </w:rPr>
            </w:pPr>
            <w:r>
              <w:rPr>
                <w:spacing w:val="-5"/>
                <w:sz w:val="21"/>
              </w:rPr>
              <w:t>90</w:t>
            </w:r>
          </w:p>
        </w:tc>
        <w:tc>
          <w:tcPr>
            <w:tcW w:w="3649" w:type="dxa"/>
          </w:tcPr>
          <w:p w:rsidR="003F5784" w14:paraId="3A70720E" w14:textId="77777777">
            <w:pPr>
              <w:pStyle w:val="TableParagraph"/>
              <w:ind w:right="106"/>
              <w:rPr>
                <w:sz w:val="21"/>
              </w:rPr>
            </w:pPr>
            <w:r>
              <w:rPr>
                <w:spacing w:val="-2"/>
                <w:sz w:val="21"/>
              </w:rPr>
              <w:t>98.67</w:t>
            </w:r>
          </w:p>
        </w:tc>
      </w:tr>
      <w:tr w14:paraId="73E5D9E9" w14:textId="77777777">
        <w:tblPrEx>
          <w:tblW w:w="0" w:type="auto"/>
          <w:tblInd w:w="117" w:type="dxa"/>
          <w:tblLayout w:type="fixed"/>
          <w:tblCellMar>
            <w:left w:w="0" w:type="dxa"/>
            <w:right w:w="0" w:type="dxa"/>
          </w:tblCellMar>
          <w:tblLook w:val="01E0"/>
        </w:tblPrEx>
        <w:trPr>
          <w:trHeight w:val="286"/>
        </w:trPr>
        <w:tc>
          <w:tcPr>
            <w:tcW w:w="3796" w:type="dxa"/>
          </w:tcPr>
          <w:p w:rsidR="003F5784" w14:paraId="1BCFC3D7" w14:textId="77777777">
            <w:pPr>
              <w:pStyle w:val="TableParagraph"/>
              <w:ind w:left="117"/>
              <w:jc w:val="left"/>
              <w:rPr>
                <w:sz w:val="21"/>
              </w:rPr>
            </w:pPr>
            <w:r>
              <w:rPr>
                <w:spacing w:val="-2"/>
                <w:sz w:val="21"/>
              </w:rPr>
              <w:t>Kansas</w:t>
            </w:r>
          </w:p>
        </w:tc>
        <w:tc>
          <w:tcPr>
            <w:tcW w:w="4334" w:type="dxa"/>
          </w:tcPr>
          <w:p w:rsidR="003F5784" w14:paraId="0C98DDB5" w14:textId="77777777">
            <w:pPr>
              <w:pStyle w:val="TableParagraph"/>
              <w:ind w:right="114"/>
              <w:rPr>
                <w:sz w:val="21"/>
              </w:rPr>
            </w:pPr>
            <w:r>
              <w:rPr>
                <w:spacing w:val="-5"/>
                <w:sz w:val="21"/>
              </w:rPr>
              <w:t>100</w:t>
            </w:r>
          </w:p>
        </w:tc>
        <w:tc>
          <w:tcPr>
            <w:tcW w:w="2927" w:type="dxa"/>
          </w:tcPr>
          <w:p w:rsidR="003F5784" w14:paraId="5F7E30FC" w14:textId="77777777">
            <w:pPr>
              <w:pStyle w:val="TableParagraph"/>
              <w:ind w:right="114"/>
              <w:rPr>
                <w:sz w:val="21"/>
              </w:rPr>
            </w:pPr>
            <w:r>
              <w:rPr>
                <w:spacing w:val="-5"/>
                <w:sz w:val="21"/>
              </w:rPr>
              <w:t>100</w:t>
            </w:r>
          </w:p>
        </w:tc>
        <w:tc>
          <w:tcPr>
            <w:tcW w:w="3649" w:type="dxa"/>
          </w:tcPr>
          <w:p w:rsidR="003F5784" w14:paraId="072A1149" w14:textId="77777777">
            <w:pPr>
              <w:pStyle w:val="TableParagraph"/>
              <w:ind w:right="106"/>
              <w:rPr>
                <w:sz w:val="21"/>
              </w:rPr>
            </w:pPr>
            <w:r>
              <w:rPr>
                <w:spacing w:val="-2"/>
                <w:sz w:val="21"/>
              </w:rPr>
              <w:t>100.00</w:t>
            </w:r>
          </w:p>
        </w:tc>
      </w:tr>
      <w:tr w14:paraId="65C11F25" w14:textId="77777777">
        <w:tblPrEx>
          <w:tblW w:w="0" w:type="auto"/>
          <w:tblInd w:w="117" w:type="dxa"/>
          <w:tblLayout w:type="fixed"/>
          <w:tblCellMar>
            <w:left w:w="0" w:type="dxa"/>
            <w:right w:w="0" w:type="dxa"/>
          </w:tblCellMar>
          <w:tblLook w:val="01E0"/>
        </w:tblPrEx>
        <w:trPr>
          <w:trHeight w:val="286"/>
        </w:trPr>
        <w:tc>
          <w:tcPr>
            <w:tcW w:w="3796" w:type="dxa"/>
          </w:tcPr>
          <w:p w:rsidR="003F5784" w14:paraId="53E5A8EB" w14:textId="77777777">
            <w:pPr>
              <w:pStyle w:val="TableParagraph"/>
              <w:ind w:left="117"/>
              <w:jc w:val="left"/>
              <w:rPr>
                <w:sz w:val="21"/>
              </w:rPr>
            </w:pPr>
            <w:r>
              <w:rPr>
                <w:spacing w:val="-2"/>
                <w:sz w:val="21"/>
              </w:rPr>
              <w:t>Kentucky–Jefferson</w:t>
            </w:r>
            <w:r>
              <w:rPr>
                <w:spacing w:val="14"/>
                <w:sz w:val="21"/>
              </w:rPr>
              <w:t xml:space="preserve"> </w:t>
            </w:r>
            <w:r>
              <w:rPr>
                <w:spacing w:val="-2"/>
                <w:sz w:val="21"/>
              </w:rPr>
              <w:t>County</w:t>
            </w:r>
          </w:p>
        </w:tc>
        <w:tc>
          <w:tcPr>
            <w:tcW w:w="4334" w:type="dxa"/>
          </w:tcPr>
          <w:p w:rsidR="003F5784" w14:paraId="2C8E2127" w14:textId="77777777">
            <w:pPr>
              <w:pStyle w:val="TableParagraph"/>
              <w:ind w:right="114"/>
              <w:rPr>
                <w:sz w:val="21"/>
              </w:rPr>
            </w:pPr>
            <w:r>
              <w:rPr>
                <w:spacing w:val="-5"/>
                <w:sz w:val="21"/>
              </w:rPr>
              <w:t>40</w:t>
            </w:r>
          </w:p>
        </w:tc>
        <w:tc>
          <w:tcPr>
            <w:tcW w:w="2927" w:type="dxa"/>
          </w:tcPr>
          <w:p w:rsidR="003F5784" w14:paraId="639AB094" w14:textId="77777777">
            <w:pPr>
              <w:pStyle w:val="TableParagraph"/>
              <w:ind w:right="114"/>
              <w:rPr>
                <w:sz w:val="21"/>
              </w:rPr>
            </w:pPr>
            <w:r>
              <w:rPr>
                <w:spacing w:val="-5"/>
                <w:sz w:val="21"/>
              </w:rPr>
              <w:t>40</w:t>
            </w:r>
          </w:p>
        </w:tc>
        <w:tc>
          <w:tcPr>
            <w:tcW w:w="3649" w:type="dxa"/>
          </w:tcPr>
          <w:p w:rsidR="003F5784" w14:paraId="40750EAF" w14:textId="77777777">
            <w:pPr>
              <w:pStyle w:val="TableParagraph"/>
              <w:ind w:right="106"/>
              <w:rPr>
                <w:sz w:val="21"/>
              </w:rPr>
            </w:pPr>
            <w:r>
              <w:rPr>
                <w:spacing w:val="-2"/>
                <w:sz w:val="21"/>
              </w:rPr>
              <w:t>100.00</w:t>
            </w:r>
          </w:p>
        </w:tc>
      </w:tr>
      <w:tr w14:paraId="3CEB55F5" w14:textId="77777777">
        <w:tblPrEx>
          <w:tblW w:w="0" w:type="auto"/>
          <w:tblInd w:w="117" w:type="dxa"/>
          <w:tblLayout w:type="fixed"/>
          <w:tblCellMar>
            <w:left w:w="0" w:type="dxa"/>
            <w:right w:w="0" w:type="dxa"/>
          </w:tblCellMar>
          <w:tblLook w:val="01E0"/>
        </w:tblPrEx>
        <w:trPr>
          <w:trHeight w:val="286"/>
        </w:trPr>
        <w:tc>
          <w:tcPr>
            <w:tcW w:w="3796" w:type="dxa"/>
          </w:tcPr>
          <w:p w:rsidR="003F5784" w14:paraId="3CD4CAE6" w14:textId="77777777">
            <w:pPr>
              <w:pStyle w:val="TableParagraph"/>
              <w:ind w:left="117"/>
              <w:jc w:val="left"/>
              <w:rPr>
                <w:sz w:val="21"/>
              </w:rPr>
            </w:pPr>
            <w:r>
              <w:rPr>
                <w:spacing w:val="-2"/>
                <w:sz w:val="21"/>
              </w:rPr>
              <w:t>Kentucky</w:t>
            </w:r>
          </w:p>
        </w:tc>
        <w:tc>
          <w:tcPr>
            <w:tcW w:w="4334" w:type="dxa"/>
          </w:tcPr>
          <w:p w:rsidR="003F5784" w14:paraId="4A78A814" w14:textId="77777777">
            <w:pPr>
              <w:pStyle w:val="TableParagraph"/>
              <w:ind w:right="114"/>
              <w:rPr>
                <w:sz w:val="21"/>
              </w:rPr>
            </w:pPr>
            <w:r>
              <w:rPr>
                <w:spacing w:val="-5"/>
                <w:sz w:val="21"/>
              </w:rPr>
              <w:t>110</w:t>
            </w:r>
          </w:p>
        </w:tc>
        <w:tc>
          <w:tcPr>
            <w:tcW w:w="2927" w:type="dxa"/>
          </w:tcPr>
          <w:p w:rsidR="003F5784" w14:paraId="11D4EEE5" w14:textId="77777777">
            <w:pPr>
              <w:pStyle w:val="TableParagraph"/>
              <w:ind w:right="114"/>
              <w:rPr>
                <w:sz w:val="21"/>
              </w:rPr>
            </w:pPr>
            <w:r>
              <w:rPr>
                <w:spacing w:val="-5"/>
                <w:sz w:val="21"/>
              </w:rPr>
              <w:t>110</w:t>
            </w:r>
          </w:p>
        </w:tc>
        <w:tc>
          <w:tcPr>
            <w:tcW w:w="3649" w:type="dxa"/>
          </w:tcPr>
          <w:p w:rsidR="003F5784" w14:paraId="30DD82B0" w14:textId="77777777">
            <w:pPr>
              <w:pStyle w:val="TableParagraph"/>
              <w:ind w:right="106"/>
              <w:rPr>
                <w:sz w:val="21"/>
              </w:rPr>
            </w:pPr>
            <w:r>
              <w:rPr>
                <w:spacing w:val="-2"/>
                <w:sz w:val="21"/>
              </w:rPr>
              <w:t>100.00</w:t>
            </w:r>
          </w:p>
        </w:tc>
      </w:tr>
      <w:tr w14:paraId="55A24378" w14:textId="77777777">
        <w:tblPrEx>
          <w:tblW w:w="0" w:type="auto"/>
          <w:tblInd w:w="117" w:type="dxa"/>
          <w:tblLayout w:type="fixed"/>
          <w:tblCellMar>
            <w:left w:w="0" w:type="dxa"/>
            <w:right w:w="0" w:type="dxa"/>
          </w:tblCellMar>
          <w:tblLook w:val="01E0"/>
        </w:tblPrEx>
        <w:trPr>
          <w:trHeight w:val="286"/>
        </w:trPr>
        <w:tc>
          <w:tcPr>
            <w:tcW w:w="3796" w:type="dxa"/>
          </w:tcPr>
          <w:p w:rsidR="003F5784" w14:paraId="2B4D5E70" w14:textId="77777777">
            <w:pPr>
              <w:pStyle w:val="TableParagraph"/>
              <w:ind w:left="117"/>
              <w:jc w:val="left"/>
              <w:rPr>
                <w:sz w:val="21"/>
              </w:rPr>
            </w:pPr>
            <w:r>
              <w:rPr>
                <w:spacing w:val="-2"/>
                <w:sz w:val="21"/>
              </w:rPr>
              <w:t>Louisiana</w:t>
            </w:r>
          </w:p>
        </w:tc>
        <w:tc>
          <w:tcPr>
            <w:tcW w:w="4334" w:type="dxa"/>
          </w:tcPr>
          <w:p w:rsidR="003F5784" w14:paraId="522CBEA3" w14:textId="77777777">
            <w:pPr>
              <w:pStyle w:val="TableParagraph"/>
              <w:ind w:right="114"/>
              <w:rPr>
                <w:sz w:val="21"/>
              </w:rPr>
            </w:pPr>
            <w:r>
              <w:rPr>
                <w:spacing w:val="-5"/>
                <w:sz w:val="21"/>
              </w:rPr>
              <w:t>80</w:t>
            </w:r>
          </w:p>
        </w:tc>
        <w:tc>
          <w:tcPr>
            <w:tcW w:w="2927" w:type="dxa"/>
          </w:tcPr>
          <w:p w:rsidR="003F5784" w14:paraId="199A45CA" w14:textId="77777777">
            <w:pPr>
              <w:pStyle w:val="TableParagraph"/>
              <w:ind w:right="114"/>
              <w:rPr>
                <w:sz w:val="21"/>
              </w:rPr>
            </w:pPr>
            <w:r>
              <w:rPr>
                <w:spacing w:val="-5"/>
                <w:sz w:val="21"/>
              </w:rPr>
              <w:t>80</w:t>
            </w:r>
          </w:p>
        </w:tc>
        <w:tc>
          <w:tcPr>
            <w:tcW w:w="3649" w:type="dxa"/>
          </w:tcPr>
          <w:p w:rsidR="003F5784" w14:paraId="4E74104D" w14:textId="77777777">
            <w:pPr>
              <w:pStyle w:val="TableParagraph"/>
              <w:ind w:right="106"/>
              <w:rPr>
                <w:sz w:val="21"/>
              </w:rPr>
            </w:pPr>
            <w:r>
              <w:rPr>
                <w:spacing w:val="-2"/>
                <w:sz w:val="21"/>
              </w:rPr>
              <w:t>100.00</w:t>
            </w:r>
          </w:p>
        </w:tc>
      </w:tr>
      <w:tr w14:paraId="656F4C03" w14:textId="77777777">
        <w:tblPrEx>
          <w:tblW w:w="0" w:type="auto"/>
          <w:tblInd w:w="117" w:type="dxa"/>
          <w:tblLayout w:type="fixed"/>
          <w:tblCellMar>
            <w:left w:w="0" w:type="dxa"/>
            <w:right w:w="0" w:type="dxa"/>
          </w:tblCellMar>
          <w:tblLook w:val="01E0"/>
        </w:tblPrEx>
        <w:trPr>
          <w:trHeight w:val="286"/>
        </w:trPr>
        <w:tc>
          <w:tcPr>
            <w:tcW w:w="3796" w:type="dxa"/>
          </w:tcPr>
          <w:p w:rsidR="003F5784" w14:paraId="4D034934" w14:textId="77777777">
            <w:pPr>
              <w:pStyle w:val="TableParagraph"/>
              <w:ind w:left="117"/>
              <w:jc w:val="left"/>
              <w:rPr>
                <w:sz w:val="21"/>
              </w:rPr>
            </w:pPr>
            <w:r>
              <w:rPr>
                <w:spacing w:val="-2"/>
                <w:sz w:val="21"/>
              </w:rPr>
              <w:t>Maine</w:t>
            </w:r>
          </w:p>
        </w:tc>
        <w:tc>
          <w:tcPr>
            <w:tcW w:w="4334" w:type="dxa"/>
          </w:tcPr>
          <w:p w:rsidR="003F5784" w14:paraId="121C3E57" w14:textId="77777777">
            <w:pPr>
              <w:pStyle w:val="TableParagraph"/>
              <w:ind w:right="114"/>
              <w:rPr>
                <w:sz w:val="21"/>
              </w:rPr>
            </w:pPr>
            <w:r>
              <w:rPr>
                <w:spacing w:val="-5"/>
                <w:sz w:val="21"/>
              </w:rPr>
              <w:t>110</w:t>
            </w:r>
          </w:p>
        </w:tc>
        <w:tc>
          <w:tcPr>
            <w:tcW w:w="2927" w:type="dxa"/>
          </w:tcPr>
          <w:p w:rsidR="003F5784" w14:paraId="6090390A" w14:textId="77777777">
            <w:pPr>
              <w:pStyle w:val="TableParagraph"/>
              <w:ind w:right="114"/>
              <w:rPr>
                <w:sz w:val="21"/>
              </w:rPr>
            </w:pPr>
            <w:r>
              <w:rPr>
                <w:spacing w:val="-5"/>
                <w:sz w:val="21"/>
              </w:rPr>
              <w:t>110</w:t>
            </w:r>
          </w:p>
        </w:tc>
        <w:tc>
          <w:tcPr>
            <w:tcW w:w="3649" w:type="dxa"/>
          </w:tcPr>
          <w:p w:rsidR="003F5784" w14:paraId="17E91FA2" w14:textId="77777777">
            <w:pPr>
              <w:pStyle w:val="TableParagraph"/>
              <w:ind w:right="106"/>
              <w:rPr>
                <w:sz w:val="21"/>
              </w:rPr>
            </w:pPr>
            <w:r>
              <w:rPr>
                <w:spacing w:val="-2"/>
                <w:sz w:val="21"/>
              </w:rPr>
              <w:t>100.00</w:t>
            </w:r>
          </w:p>
        </w:tc>
      </w:tr>
      <w:tr w14:paraId="560DEF31" w14:textId="77777777">
        <w:tblPrEx>
          <w:tblW w:w="0" w:type="auto"/>
          <w:tblInd w:w="117" w:type="dxa"/>
          <w:tblLayout w:type="fixed"/>
          <w:tblCellMar>
            <w:left w:w="0" w:type="dxa"/>
            <w:right w:w="0" w:type="dxa"/>
          </w:tblCellMar>
          <w:tblLook w:val="01E0"/>
        </w:tblPrEx>
        <w:trPr>
          <w:trHeight w:val="289"/>
        </w:trPr>
        <w:tc>
          <w:tcPr>
            <w:tcW w:w="3796" w:type="dxa"/>
            <w:tcBorders>
              <w:bottom w:val="single" w:sz="18" w:space="0" w:color="800000"/>
            </w:tcBorders>
          </w:tcPr>
          <w:p w:rsidR="003F5784" w14:paraId="79C3F7D6" w14:textId="77777777">
            <w:pPr>
              <w:pStyle w:val="TableParagraph"/>
              <w:ind w:left="117"/>
              <w:jc w:val="left"/>
              <w:rPr>
                <w:sz w:val="21"/>
              </w:rPr>
            </w:pPr>
            <w:r>
              <w:rPr>
                <w:spacing w:val="-2"/>
                <w:sz w:val="21"/>
              </w:rPr>
              <w:t>Maryland–Baltimore</w:t>
            </w:r>
          </w:p>
        </w:tc>
        <w:tc>
          <w:tcPr>
            <w:tcW w:w="4334" w:type="dxa"/>
            <w:tcBorders>
              <w:bottom w:val="single" w:sz="18" w:space="0" w:color="800000"/>
            </w:tcBorders>
          </w:tcPr>
          <w:p w:rsidR="003F5784" w14:paraId="6E07CA65" w14:textId="77777777">
            <w:pPr>
              <w:pStyle w:val="TableParagraph"/>
              <w:ind w:right="114"/>
              <w:rPr>
                <w:sz w:val="21"/>
              </w:rPr>
            </w:pPr>
            <w:r>
              <w:rPr>
                <w:spacing w:val="-5"/>
                <w:sz w:val="21"/>
              </w:rPr>
              <w:t>40</w:t>
            </w:r>
          </w:p>
        </w:tc>
        <w:tc>
          <w:tcPr>
            <w:tcW w:w="2927" w:type="dxa"/>
            <w:tcBorders>
              <w:bottom w:val="single" w:sz="18" w:space="0" w:color="800000"/>
            </w:tcBorders>
          </w:tcPr>
          <w:p w:rsidR="003F5784" w14:paraId="3BEC760F" w14:textId="77777777">
            <w:pPr>
              <w:pStyle w:val="TableParagraph"/>
              <w:ind w:right="114"/>
              <w:rPr>
                <w:sz w:val="21"/>
              </w:rPr>
            </w:pPr>
            <w:r>
              <w:rPr>
                <w:spacing w:val="-5"/>
                <w:sz w:val="21"/>
              </w:rPr>
              <w:t>40</w:t>
            </w:r>
          </w:p>
        </w:tc>
        <w:tc>
          <w:tcPr>
            <w:tcW w:w="3649" w:type="dxa"/>
            <w:tcBorders>
              <w:bottom w:val="single" w:sz="18" w:space="0" w:color="800000"/>
            </w:tcBorders>
          </w:tcPr>
          <w:p w:rsidR="003F5784" w14:paraId="7979F08B" w14:textId="77777777">
            <w:pPr>
              <w:pStyle w:val="TableParagraph"/>
              <w:ind w:right="106"/>
              <w:rPr>
                <w:sz w:val="21"/>
              </w:rPr>
            </w:pPr>
            <w:r>
              <w:rPr>
                <w:spacing w:val="-2"/>
                <w:sz w:val="21"/>
              </w:rPr>
              <w:t>100.00</w:t>
            </w:r>
          </w:p>
        </w:tc>
      </w:tr>
      <w:tr w14:paraId="091A410E" w14:textId="77777777">
        <w:tblPrEx>
          <w:tblW w:w="0" w:type="auto"/>
          <w:tblInd w:w="117" w:type="dxa"/>
          <w:tblLayout w:type="fixed"/>
          <w:tblCellMar>
            <w:left w:w="0" w:type="dxa"/>
            <w:right w:w="0" w:type="dxa"/>
          </w:tblCellMar>
          <w:tblLook w:val="01E0"/>
        </w:tblPrEx>
        <w:trPr>
          <w:trHeight w:val="237"/>
        </w:trPr>
        <w:tc>
          <w:tcPr>
            <w:tcW w:w="11057" w:type="dxa"/>
            <w:gridSpan w:val="3"/>
            <w:tcBorders>
              <w:top w:val="single" w:sz="18" w:space="0" w:color="800000"/>
            </w:tcBorders>
          </w:tcPr>
          <w:p w:rsidR="003F5784" w14:paraId="6F9E1DD0" w14:textId="77777777">
            <w:pPr>
              <w:pStyle w:val="TableParagraph"/>
              <w:spacing w:before="0" w:line="218" w:lineRule="exact"/>
              <w:ind w:left="117"/>
              <w:jc w:val="left"/>
              <w:rPr>
                <w:sz w:val="21"/>
              </w:rPr>
            </w:pPr>
            <w:r>
              <w:rPr>
                <w:sz w:val="21"/>
              </w:rPr>
              <w:t>NOTE:</w:t>
            </w:r>
            <w:r>
              <w:rPr>
                <w:spacing w:val="-5"/>
                <w:sz w:val="21"/>
              </w:rPr>
              <w:t xml:space="preserve"> </w:t>
            </w:r>
            <w:r>
              <w:rPr>
                <w:sz w:val="21"/>
              </w:rPr>
              <w:t>Numbers</w:t>
            </w:r>
            <w:r>
              <w:rPr>
                <w:spacing w:val="-5"/>
                <w:sz w:val="21"/>
              </w:rPr>
              <w:t xml:space="preserve"> </w:t>
            </w:r>
            <w:r>
              <w:rPr>
                <w:sz w:val="21"/>
              </w:rPr>
              <w:t>of</w:t>
            </w:r>
            <w:r>
              <w:rPr>
                <w:spacing w:val="-5"/>
                <w:sz w:val="21"/>
              </w:rPr>
              <w:t xml:space="preserve"> </w:t>
            </w:r>
            <w:r>
              <w:rPr>
                <w:sz w:val="21"/>
              </w:rPr>
              <w:t>schools</w:t>
            </w:r>
            <w:r>
              <w:rPr>
                <w:spacing w:val="-5"/>
                <w:sz w:val="21"/>
              </w:rPr>
              <w:t xml:space="preserve"> </w:t>
            </w:r>
            <w:r>
              <w:rPr>
                <w:sz w:val="21"/>
              </w:rPr>
              <w:t>are</w:t>
            </w:r>
            <w:r>
              <w:rPr>
                <w:spacing w:val="-5"/>
                <w:sz w:val="21"/>
              </w:rPr>
              <w:t xml:space="preserve"> </w:t>
            </w:r>
            <w:r>
              <w:rPr>
                <w:sz w:val="21"/>
              </w:rPr>
              <w:t>rounded</w:t>
            </w:r>
            <w:r>
              <w:rPr>
                <w:spacing w:val="-5"/>
                <w:sz w:val="21"/>
              </w:rPr>
              <w:t xml:space="preserve"> </w:t>
            </w:r>
            <w:r>
              <w:rPr>
                <w:sz w:val="21"/>
              </w:rPr>
              <w:t>to</w:t>
            </w:r>
            <w:r>
              <w:rPr>
                <w:spacing w:val="-5"/>
                <w:sz w:val="21"/>
              </w:rPr>
              <w:t xml:space="preserve"> </w:t>
            </w:r>
            <w:r>
              <w:rPr>
                <w:sz w:val="21"/>
              </w:rPr>
              <w:t>nearest</w:t>
            </w:r>
            <w:r>
              <w:rPr>
                <w:spacing w:val="-5"/>
                <w:sz w:val="21"/>
              </w:rPr>
              <w:t xml:space="preserve"> </w:t>
            </w:r>
            <w:r>
              <w:rPr>
                <w:sz w:val="21"/>
              </w:rPr>
              <w:t>ten.</w:t>
            </w:r>
            <w:r>
              <w:rPr>
                <w:spacing w:val="-5"/>
                <w:sz w:val="21"/>
              </w:rPr>
              <w:t xml:space="preserve"> </w:t>
            </w:r>
            <w:r>
              <w:rPr>
                <w:sz w:val="21"/>
              </w:rPr>
              <w:t>Detail</w:t>
            </w:r>
            <w:r>
              <w:rPr>
                <w:spacing w:val="-5"/>
                <w:sz w:val="21"/>
              </w:rPr>
              <w:t xml:space="preserve"> </w:t>
            </w:r>
            <w:r>
              <w:rPr>
                <w:sz w:val="21"/>
              </w:rPr>
              <w:t>may</w:t>
            </w:r>
            <w:r>
              <w:rPr>
                <w:spacing w:val="-5"/>
                <w:sz w:val="21"/>
              </w:rPr>
              <w:t xml:space="preserve"> </w:t>
            </w:r>
            <w:r>
              <w:rPr>
                <w:sz w:val="21"/>
              </w:rPr>
              <w:t>not</w:t>
            </w:r>
            <w:r>
              <w:rPr>
                <w:spacing w:val="-5"/>
                <w:sz w:val="21"/>
              </w:rPr>
              <w:t xml:space="preserve"> </w:t>
            </w:r>
            <w:r>
              <w:rPr>
                <w:sz w:val="21"/>
              </w:rPr>
              <w:t>sum</w:t>
            </w:r>
            <w:r>
              <w:rPr>
                <w:spacing w:val="-5"/>
                <w:sz w:val="21"/>
              </w:rPr>
              <w:t xml:space="preserve"> </w:t>
            </w:r>
            <w:r>
              <w:rPr>
                <w:sz w:val="21"/>
              </w:rPr>
              <w:t>to</w:t>
            </w:r>
            <w:r>
              <w:rPr>
                <w:spacing w:val="-5"/>
                <w:sz w:val="21"/>
              </w:rPr>
              <w:t xml:space="preserve"> </w:t>
            </w:r>
            <w:r>
              <w:rPr>
                <w:sz w:val="21"/>
              </w:rPr>
              <w:t>totals</w:t>
            </w:r>
            <w:r>
              <w:rPr>
                <w:spacing w:val="-5"/>
                <w:sz w:val="21"/>
              </w:rPr>
              <w:t xml:space="preserve"> </w:t>
            </w:r>
            <w:r>
              <w:rPr>
                <w:sz w:val="21"/>
              </w:rPr>
              <w:t>due</w:t>
            </w:r>
            <w:r>
              <w:rPr>
                <w:spacing w:val="-5"/>
                <w:sz w:val="21"/>
              </w:rPr>
              <w:t xml:space="preserve"> </w:t>
            </w:r>
            <w:r>
              <w:rPr>
                <w:sz w:val="21"/>
              </w:rPr>
              <w:t>to</w:t>
            </w:r>
            <w:r>
              <w:rPr>
                <w:spacing w:val="-5"/>
                <w:sz w:val="21"/>
              </w:rPr>
              <w:t xml:space="preserve"> </w:t>
            </w:r>
            <w:r>
              <w:rPr>
                <w:spacing w:val="-2"/>
                <w:sz w:val="21"/>
              </w:rPr>
              <w:t>rounding.</w:t>
            </w:r>
          </w:p>
        </w:tc>
        <w:tc>
          <w:tcPr>
            <w:tcW w:w="3649" w:type="dxa"/>
            <w:tcBorders>
              <w:top w:val="single" w:sz="18" w:space="0" w:color="800000"/>
            </w:tcBorders>
          </w:tcPr>
          <w:p w:rsidR="003F5784" w14:paraId="1FEAADCC" w14:textId="77777777">
            <w:pPr>
              <w:pStyle w:val="TableParagraph"/>
              <w:spacing w:before="0"/>
              <w:jc w:val="left"/>
              <w:rPr>
                <w:sz w:val="16"/>
              </w:rPr>
            </w:pPr>
          </w:p>
        </w:tc>
      </w:tr>
    </w:tbl>
    <w:p w:rsidR="003F5784" w14:paraId="4F3E76AC" w14:textId="77777777">
      <w:pPr>
        <w:pStyle w:val="BodyText"/>
        <w:spacing w:before="18" w:line="232" w:lineRule="auto"/>
        <w:ind w:left="227" w:right="179"/>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w:t>
      </w:r>
      <w:r>
        <w:rPr>
          <w:spacing w:val="-8"/>
        </w:rPr>
        <w:t xml:space="preserve"> </w:t>
      </w:r>
      <w:r>
        <w:t>(NAEP), 2022 State Mathematics and Reading Assessments.</w:t>
      </w:r>
    </w:p>
    <w:p w:rsidR="003F5784" w14:paraId="2A5B945B" w14:textId="77777777">
      <w:pPr>
        <w:spacing w:line="232" w:lineRule="auto"/>
        <w:sectPr>
          <w:headerReference w:type="default" r:id="rId281"/>
          <w:footerReference w:type="default" r:id="rId282"/>
          <w:pgSz w:w="15840" w:h="12240" w:orient="landscape"/>
          <w:pgMar w:top="480" w:right="440" w:bottom="460" w:left="460" w:header="284" w:footer="275" w:gutter="0"/>
          <w:cols w:space="720"/>
        </w:sectPr>
      </w:pPr>
    </w:p>
    <w:tbl>
      <w:tblPr>
        <w:tblW w:w="0" w:type="auto"/>
        <w:tblInd w:w="117" w:type="dxa"/>
        <w:tblLayout w:type="fixed"/>
        <w:tblCellMar>
          <w:left w:w="0" w:type="dxa"/>
          <w:right w:w="0" w:type="dxa"/>
        </w:tblCellMar>
        <w:tblLook w:val="01E0"/>
      </w:tblPr>
      <w:tblGrid>
        <w:gridCol w:w="5281"/>
        <w:gridCol w:w="4039"/>
        <w:gridCol w:w="3162"/>
        <w:gridCol w:w="2225"/>
      </w:tblGrid>
      <w:tr w14:paraId="59AFB269" w14:textId="77777777">
        <w:tblPrEx>
          <w:tblW w:w="0" w:type="auto"/>
          <w:tblInd w:w="117" w:type="dxa"/>
          <w:tblLayout w:type="fixed"/>
          <w:tblCellMar>
            <w:left w:w="0" w:type="dxa"/>
            <w:right w:w="0" w:type="dxa"/>
          </w:tblCellMar>
          <w:tblLook w:val="01E0"/>
        </w:tblPrEx>
        <w:trPr>
          <w:trHeight w:val="278"/>
        </w:trPr>
        <w:tc>
          <w:tcPr>
            <w:tcW w:w="5281" w:type="dxa"/>
            <w:tcBorders>
              <w:top w:val="single" w:sz="18" w:space="0" w:color="800000"/>
            </w:tcBorders>
          </w:tcPr>
          <w:p w:rsidR="003F5784" w14:paraId="165721CE" w14:textId="77777777">
            <w:pPr>
              <w:pStyle w:val="TableParagraph"/>
              <w:spacing w:before="9"/>
              <w:ind w:left="117"/>
              <w:jc w:val="left"/>
              <w:rPr>
                <w:sz w:val="21"/>
              </w:rPr>
            </w:pPr>
            <w:r>
              <w:rPr>
                <w:spacing w:val="-2"/>
                <w:sz w:val="21"/>
              </w:rPr>
              <w:t>Maryland</w:t>
            </w:r>
          </w:p>
        </w:tc>
        <w:tc>
          <w:tcPr>
            <w:tcW w:w="4039" w:type="dxa"/>
            <w:tcBorders>
              <w:top w:val="single" w:sz="18" w:space="0" w:color="800000"/>
            </w:tcBorders>
          </w:tcPr>
          <w:p w:rsidR="003F5784" w14:paraId="27B89EE6" w14:textId="77777777">
            <w:pPr>
              <w:pStyle w:val="TableParagraph"/>
              <w:spacing w:before="9"/>
              <w:ind w:right="1304"/>
              <w:rPr>
                <w:sz w:val="21"/>
              </w:rPr>
            </w:pPr>
            <w:r>
              <w:rPr>
                <w:spacing w:val="-5"/>
                <w:sz w:val="21"/>
              </w:rPr>
              <w:t>120</w:t>
            </w:r>
          </w:p>
        </w:tc>
        <w:tc>
          <w:tcPr>
            <w:tcW w:w="3162" w:type="dxa"/>
            <w:tcBorders>
              <w:top w:val="single" w:sz="18" w:space="0" w:color="800000"/>
            </w:tcBorders>
          </w:tcPr>
          <w:p w:rsidR="003F5784" w14:paraId="70B4A6D5" w14:textId="77777777">
            <w:pPr>
              <w:pStyle w:val="TableParagraph"/>
              <w:spacing w:before="9"/>
              <w:ind w:right="1539"/>
              <w:rPr>
                <w:sz w:val="21"/>
              </w:rPr>
            </w:pPr>
            <w:r>
              <w:rPr>
                <w:spacing w:val="-5"/>
                <w:sz w:val="21"/>
              </w:rPr>
              <w:t>120</w:t>
            </w:r>
          </w:p>
        </w:tc>
        <w:tc>
          <w:tcPr>
            <w:tcW w:w="2225" w:type="dxa"/>
            <w:tcBorders>
              <w:top w:val="single" w:sz="18" w:space="0" w:color="800000"/>
            </w:tcBorders>
          </w:tcPr>
          <w:p w:rsidR="003F5784" w14:paraId="5D712BF1" w14:textId="77777777">
            <w:pPr>
              <w:pStyle w:val="TableParagraph"/>
              <w:spacing w:before="9"/>
              <w:ind w:right="107"/>
              <w:rPr>
                <w:sz w:val="21"/>
              </w:rPr>
            </w:pPr>
            <w:r>
              <w:rPr>
                <w:spacing w:val="-2"/>
                <w:sz w:val="21"/>
              </w:rPr>
              <w:t>100.00</w:t>
            </w:r>
          </w:p>
        </w:tc>
      </w:tr>
      <w:tr w14:paraId="38B95E98" w14:textId="77777777">
        <w:tblPrEx>
          <w:tblW w:w="0" w:type="auto"/>
          <w:tblInd w:w="117" w:type="dxa"/>
          <w:tblLayout w:type="fixed"/>
          <w:tblCellMar>
            <w:left w:w="0" w:type="dxa"/>
            <w:right w:w="0" w:type="dxa"/>
          </w:tblCellMar>
          <w:tblLook w:val="01E0"/>
        </w:tblPrEx>
        <w:trPr>
          <w:trHeight w:val="286"/>
        </w:trPr>
        <w:tc>
          <w:tcPr>
            <w:tcW w:w="5281" w:type="dxa"/>
          </w:tcPr>
          <w:p w:rsidR="003F5784" w14:paraId="445C5BA2" w14:textId="77777777">
            <w:pPr>
              <w:pStyle w:val="TableParagraph"/>
              <w:ind w:left="117"/>
              <w:jc w:val="left"/>
              <w:rPr>
                <w:sz w:val="21"/>
              </w:rPr>
            </w:pPr>
            <w:r>
              <w:rPr>
                <w:spacing w:val="-2"/>
                <w:sz w:val="21"/>
              </w:rPr>
              <w:t>Massachusetts–Boston</w:t>
            </w:r>
          </w:p>
        </w:tc>
        <w:tc>
          <w:tcPr>
            <w:tcW w:w="4039" w:type="dxa"/>
          </w:tcPr>
          <w:p w:rsidR="003F5784" w14:paraId="26342880" w14:textId="77777777">
            <w:pPr>
              <w:pStyle w:val="TableParagraph"/>
              <w:ind w:right="1304"/>
              <w:rPr>
                <w:sz w:val="21"/>
              </w:rPr>
            </w:pPr>
            <w:r>
              <w:rPr>
                <w:spacing w:val="-5"/>
                <w:sz w:val="21"/>
              </w:rPr>
              <w:t>50</w:t>
            </w:r>
          </w:p>
        </w:tc>
        <w:tc>
          <w:tcPr>
            <w:tcW w:w="3162" w:type="dxa"/>
          </w:tcPr>
          <w:p w:rsidR="003F5784" w14:paraId="3A027763" w14:textId="77777777">
            <w:pPr>
              <w:pStyle w:val="TableParagraph"/>
              <w:ind w:right="1539"/>
              <w:rPr>
                <w:sz w:val="21"/>
              </w:rPr>
            </w:pPr>
            <w:r>
              <w:rPr>
                <w:spacing w:val="-5"/>
                <w:sz w:val="21"/>
              </w:rPr>
              <w:t>50</w:t>
            </w:r>
          </w:p>
        </w:tc>
        <w:tc>
          <w:tcPr>
            <w:tcW w:w="2225" w:type="dxa"/>
          </w:tcPr>
          <w:p w:rsidR="003F5784" w14:paraId="0BAAF659" w14:textId="77777777">
            <w:pPr>
              <w:pStyle w:val="TableParagraph"/>
              <w:ind w:right="107"/>
              <w:rPr>
                <w:sz w:val="21"/>
              </w:rPr>
            </w:pPr>
            <w:r>
              <w:rPr>
                <w:spacing w:val="-2"/>
                <w:sz w:val="21"/>
              </w:rPr>
              <w:t>100.00</w:t>
            </w:r>
          </w:p>
        </w:tc>
      </w:tr>
      <w:tr w14:paraId="5DCCEE26" w14:textId="77777777">
        <w:tblPrEx>
          <w:tblW w:w="0" w:type="auto"/>
          <w:tblInd w:w="117" w:type="dxa"/>
          <w:tblLayout w:type="fixed"/>
          <w:tblCellMar>
            <w:left w:w="0" w:type="dxa"/>
            <w:right w:w="0" w:type="dxa"/>
          </w:tblCellMar>
          <w:tblLook w:val="01E0"/>
        </w:tblPrEx>
        <w:trPr>
          <w:trHeight w:val="286"/>
        </w:trPr>
        <w:tc>
          <w:tcPr>
            <w:tcW w:w="5281" w:type="dxa"/>
          </w:tcPr>
          <w:p w:rsidR="003F5784" w14:paraId="3A6EB1C7" w14:textId="77777777">
            <w:pPr>
              <w:pStyle w:val="TableParagraph"/>
              <w:ind w:left="117"/>
              <w:jc w:val="left"/>
              <w:rPr>
                <w:sz w:val="21"/>
              </w:rPr>
            </w:pPr>
            <w:r>
              <w:rPr>
                <w:spacing w:val="-2"/>
                <w:sz w:val="21"/>
              </w:rPr>
              <w:t>Massachusetts</w:t>
            </w:r>
          </w:p>
        </w:tc>
        <w:tc>
          <w:tcPr>
            <w:tcW w:w="4039" w:type="dxa"/>
          </w:tcPr>
          <w:p w:rsidR="003F5784" w14:paraId="43A700DA" w14:textId="77777777">
            <w:pPr>
              <w:pStyle w:val="TableParagraph"/>
              <w:ind w:right="1304"/>
              <w:rPr>
                <w:sz w:val="21"/>
              </w:rPr>
            </w:pPr>
            <w:r>
              <w:rPr>
                <w:spacing w:val="-5"/>
                <w:sz w:val="21"/>
              </w:rPr>
              <w:t>130</w:t>
            </w:r>
          </w:p>
        </w:tc>
        <w:tc>
          <w:tcPr>
            <w:tcW w:w="3162" w:type="dxa"/>
          </w:tcPr>
          <w:p w:rsidR="003F5784" w14:paraId="78D871B3" w14:textId="77777777">
            <w:pPr>
              <w:pStyle w:val="TableParagraph"/>
              <w:ind w:right="1539"/>
              <w:rPr>
                <w:sz w:val="21"/>
              </w:rPr>
            </w:pPr>
            <w:r>
              <w:rPr>
                <w:spacing w:val="-5"/>
                <w:sz w:val="21"/>
              </w:rPr>
              <w:t>130</w:t>
            </w:r>
          </w:p>
        </w:tc>
        <w:tc>
          <w:tcPr>
            <w:tcW w:w="2225" w:type="dxa"/>
          </w:tcPr>
          <w:p w:rsidR="003F5784" w14:paraId="228EDD4F" w14:textId="77777777">
            <w:pPr>
              <w:pStyle w:val="TableParagraph"/>
              <w:ind w:right="107"/>
              <w:rPr>
                <w:sz w:val="21"/>
              </w:rPr>
            </w:pPr>
            <w:r>
              <w:rPr>
                <w:spacing w:val="-2"/>
                <w:sz w:val="21"/>
              </w:rPr>
              <w:t>100.00</w:t>
            </w:r>
          </w:p>
        </w:tc>
      </w:tr>
      <w:tr w14:paraId="6474980E" w14:textId="77777777">
        <w:tblPrEx>
          <w:tblW w:w="0" w:type="auto"/>
          <w:tblInd w:w="117" w:type="dxa"/>
          <w:tblLayout w:type="fixed"/>
          <w:tblCellMar>
            <w:left w:w="0" w:type="dxa"/>
            <w:right w:w="0" w:type="dxa"/>
          </w:tblCellMar>
          <w:tblLook w:val="01E0"/>
        </w:tblPrEx>
        <w:trPr>
          <w:trHeight w:val="286"/>
        </w:trPr>
        <w:tc>
          <w:tcPr>
            <w:tcW w:w="5281" w:type="dxa"/>
          </w:tcPr>
          <w:p w:rsidR="003F5784" w14:paraId="19D90877" w14:textId="77777777">
            <w:pPr>
              <w:pStyle w:val="TableParagraph"/>
              <w:ind w:left="117"/>
              <w:jc w:val="left"/>
              <w:rPr>
                <w:sz w:val="21"/>
              </w:rPr>
            </w:pPr>
            <w:r>
              <w:rPr>
                <w:spacing w:val="-2"/>
                <w:sz w:val="21"/>
              </w:rPr>
              <w:t>Michigan–Detroit</w:t>
            </w:r>
          </w:p>
        </w:tc>
        <w:tc>
          <w:tcPr>
            <w:tcW w:w="4039" w:type="dxa"/>
          </w:tcPr>
          <w:p w:rsidR="003F5784" w14:paraId="36267CD8" w14:textId="77777777">
            <w:pPr>
              <w:pStyle w:val="TableParagraph"/>
              <w:ind w:right="1304"/>
              <w:rPr>
                <w:sz w:val="21"/>
              </w:rPr>
            </w:pPr>
            <w:r>
              <w:rPr>
                <w:spacing w:val="-5"/>
                <w:sz w:val="21"/>
              </w:rPr>
              <w:t>40</w:t>
            </w:r>
          </w:p>
        </w:tc>
        <w:tc>
          <w:tcPr>
            <w:tcW w:w="3162" w:type="dxa"/>
          </w:tcPr>
          <w:p w:rsidR="003F5784" w14:paraId="7D904C79" w14:textId="77777777">
            <w:pPr>
              <w:pStyle w:val="TableParagraph"/>
              <w:ind w:right="1539"/>
              <w:rPr>
                <w:sz w:val="21"/>
              </w:rPr>
            </w:pPr>
            <w:r>
              <w:rPr>
                <w:spacing w:val="-5"/>
                <w:sz w:val="21"/>
              </w:rPr>
              <w:t>40</w:t>
            </w:r>
          </w:p>
        </w:tc>
        <w:tc>
          <w:tcPr>
            <w:tcW w:w="2225" w:type="dxa"/>
          </w:tcPr>
          <w:p w:rsidR="003F5784" w14:paraId="23D2AE47" w14:textId="77777777">
            <w:pPr>
              <w:pStyle w:val="TableParagraph"/>
              <w:ind w:right="107"/>
              <w:rPr>
                <w:sz w:val="21"/>
              </w:rPr>
            </w:pPr>
            <w:r>
              <w:rPr>
                <w:spacing w:val="-2"/>
                <w:sz w:val="21"/>
              </w:rPr>
              <w:t>100.00</w:t>
            </w:r>
          </w:p>
        </w:tc>
      </w:tr>
      <w:tr w14:paraId="386D0C69" w14:textId="77777777">
        <w:tblPrEx>
          <w:tblW w:w="0" w:type="auto"/>
          <w:tblInd w:w="117" w:type="dxa"/>
          <w:tblLayout w:type="fixed"/>
          <w:tblCellMar>
            <w:left w:w="0" w:type="dxa"/>
            <w:right w:w="0" w:type="dxa"/>
          </w:tblCellMar>
          <w:tblLook w:val="01E0"/>
        </w:tblPrEx>
        <w:trPr>
          <w:trHeight w:val="286"/>
        </w:trPr>
        <w:tc>
          <w:tcPr>
            <w:tcW w:w="5281" w:type="dxa"/>
          </w:tcPr>
          <w:p w:rsidR="003F5784" w14:paraId="67FA4F1D" w14:textId="77777777">
            <w:pPr>
              <w:pStyle w:val="TableParagraph"/>
              <w:ind w:left="117"/>
              <w:jc w:val="left"/>
              <w:rPr>
                <w:sz w:val="21"/>
              </w:rPr>
            </w:pPr>
            <w:r>
              <w:rPr>
                <w:spacing w:val="-2"/>
                <w:sz w:val="21"/>
              </w:rPr>
              <w:t>Michigan</w:t>
            </w:r>
          </w:p>
        </w:tc>
        <w:tc>
          <w:tcPr>
            <w:tcW w:w="4039" w:type="dxa"/>
          </w:tcPr>
          <w:p w:rsidR="003F5784" w14:paraId="08B9F94F" w14:textId="77777777">
            <w:pPr>
              <w:pStyle w:val="TableParagraph"/>
              <w:ind w:right="1304"/>
              <w:rPr>
                <w:sz w:val="21"/>
              </w:rPr>
            </w:pPr>
            <w:r>
              <w:rPr>
                <w:spacing w:val="-5"/>
                <w:sz w:val="21"/>
              </w:rPr>
              <w:t>130</w:t>
            </w:r>
          </w:p>
        </w:tc>
        <w:tc>
          <w:tcPr>
            <w:tcW w:w="3162" w:type="dxa"/>
          </w:tcPr>
          <w:p w:rsidR="003F5784" w14:paraId="619E0325" w14:textId="77777777">
            <w:pPr>
              <w:pStyle w:val="TableParagraph"/>
              <w:ind w:right="1539"/>
              <w:rPr>
                <w:sz w:val="21"/>
              </w:rPr>
            </w:pPr>
            <w:r>
              <w:rPr>
                <w:spacing w:val="-5"/>
                <w:sz w:val="21"/>
              </w:rPr>
              <w:t>130</w:t>
            </w:r>
          </w:p>
        </w:tc>
        <w:tc>
          <w:tcPr>
            <w:tcW w:w="2225" w:type="dxa"/>
          </w:tcPr>
          <w:p w:rsidR="003F5784" w14:paraId="05EB8C2B" w14:textId="77777777">
            <w:pPr>
              <w:pStyle w:val="TableParagraph"/>
              <w:ind w:right="107"/>
              <w:rPr>
                <w:sz w:val="21"/>
              </w:rPr>
            </w:pPr>
            <w:r>
              <w:rPr>
                <w:spacing w:val="-2"/>
                <w:sz w:val="21"/>
              </w:rPr>
              <w:t>100.00</w:t>
            </w:r>
          </w:p>
        </w:tc>
      </w:tr>
      <w:tr w14:paraId="7366ABE4" w14:textId="77777777">
        <w:tblPrEx>
          <w:tblW w:w="0" w:type="auto"/>
          <w:tblInd w:w="117" w:type="dxa"/>
          <w:tblLayout w:type="fixed"/>
          <w:tblCellMar>
            <w:left w:w="0" w:type="dxa"/>
            <w:right w:w="0" w:type="dxa"/>
          </w:tblCellMar>
          <w:tblLook w:val="01E0"/>
        </w:tblPrEx>
        <w:trPr>
          <w:trHeight w:val="286"/>
        </w:trPr>
        <w:tc>
          <w:tcPr>
            <w:tcW w:w="5281" w:type="dxa"/>
          </w:tcPr>
          <w:p w:rsidR="003F5784" w14:paraId="4A81FA3A" w14:textId="77777777">
            <w:pPr>
              <w:pStyle w:val="TableParagraph"/>
              <w:ind w:left="117"/>
              <w:jc w:val="left"/>
              <w:rPr>
                <w:sz w:val="21"/>
              </w:rPr>
            </w:pPr>
            <w:r>
              <w:rPr>
                <w:spacing w:val="-2"/>
                <w:sz w:val="21"/>
              </w:rPr>
              <w:t>Minnesota</w:t>
            </w:r>
          </w:p>
        </w:tc>
        <w:tc>
          <w:tcPr>
            <w:tcW w:w="4039" w:type="dxa"/>
          </w:tcPr>
          <w:p w:rsidR="003F5784" w14:paraId="776953FD" w14:textId="77777777">
            <w:pPr>
              <w:pStyle w:val="TableParagraph"/>
              <w:ind w:right="1304"/>
              <w:rPr>
                <w:sz w:val="21"/>
              </w:rPr>
            </w:pPr>
            <w:r>
              <w:rPr>
                <w:spacing w:val="-5"/>
                <w:sz w:val="21"/>
              </w:rPr>
              <w:t>90</w:t>
            </w:r>
          </w:p>
        </w:tc>
        <w:tc>
          <w:tcPr>
            <w:tcW w:w="3162" w:type="dxa"/>
          </w:tcPr>
          <w:p w:rsidR="003F5784" w14:paraId="1EC817B5" w14:textId="77777777">
            <w:pPr>
              <w:pStyle w:val="TableParagraph"/>
              <w:ind w:right="1539"/>
              <w:rPr>
                <w:sz w:val="21"/>
              </w:rPr>
            </w:pPr>
            <w:r>
              <w:rPr>
                <w:spacing w:val="-5"/>
                <w:sz w:val="21"/>
              </w:rPr>
              <w:t>90</w:t>
            </w:r>
          </w:p>
        </w:tc>
        <w:tc>
          <w:tcPr>
            <w:tcW w:w="2225" w:type="dxa"/>
          </w:tcPr>
          <w:p w:rsidR="003F5784" w14:paraId="7D424BE6" w14:textId="77777777">
            <w:pPr>
              <w:pStyle w:val="TableParagraph"/>
              <w:ind w:right="107"/>
              <w:rPr>
                <w:sz w:val="21"/>
              </w:rPr>
            </w:pPr>
            <w:r>
              <w:rPr>
                <w:spacing w:val="-2"/>
                <w:sz w:val="21"/>
              </w:rPr>
              <w:t>100.00</w:t>
            </w:r>
          </w:p>
        </w:tc>
      </w:tr>
      <w:tr w14:paraId="2A2D77DB" w14:textId="77777777">
        <w:tblPrEx>
          <w:tblW w:w="0" w:type="auto"/>
          <w:tblInd w:w="117" w:type="dxa"/>
          <w:tblLayout w:type="fixed"/>
          <w:tblCellMar>
            <w:left w:w="0" w:type="dxa"/>
            <w:right w:w="0" w:type="dxa"/>
          </w:tblCellMar>
          <w:tblLook w:val="01E0"/>
        </w:tblPrEx>
        <w:trPr>
          <w:trHeight w:val="286"/>
        </w:trPr>
        <w:tc>
          <w:tcPr>
            <w:tcW w:w="5281" w:type="dxa"/>
          </w:tcPr>
          <w:p w:rsidR="003F5784" w14:paraId="44DD350D" w14:textId="77777777">
            <w:pPr>
              <w:pStyle w:val="TableParagraph"/>
              <w:ind w:left="117"/>
              <w:jc w:val="left"/>
              <w:rPr>
                <w:sz w:val="21"/>
              </w:rPr>
            </w:pPr>
            <w:r>
              <w:rPr>
                <w:spacing w:val="-2"/>
                <w:sz w:val="21"/>
              </w:rPr>
              <w:t>Mississippi</w:t>
            </w:r>
          </w:p>
        </w:tc>
        <w:tc>
          <w:tcPr>
            <w:tcW w:w="4039" w:type="dxa"/>
          </w:tcPr>
          <w:p w:rsidR="003F5784" w14:paraId="75490ADD" w14:textId="77777777">
            <w:pPr>
              <w:pStyle w:val="TableParagraph"/>
              <w:ind w:right="1304"/>
              <w:rPr>
                <w:sz w:val="21"/>
              </w:rPr>
            </w:pPr>
            <w:r>
              <w:rPr>
                <w:spacing w:val="-5"/>
                <w:sz w:val="21"/>
              </w:rPr>
              <w:t>90</w:t>
            </w:r>
          </w:p>
        </w:tc>
        <w:tc>
          <w:tcPr>
            <w:tcW w:w="3162" w:type="dxa"/>
          </w:tcPr>
          <w:p w:rsidR="003F5784" w14:paraId="0E32A3A5" w14:textId="77777777">
            <w:pPr>
              <w:pStyle w:val="TableParagraph"/>
              <w:ind w:right="1539"/>
              <w:rPr>
                <w:sz w:val="21"/>
              </w:rPr>
            </w:pPr>
            <w:r>
              <w:rPr>
                <w:spacing w:val="-5"/>
                <w:sz w:val="21"/>
              </w:rPr>
              <w:t>90</w:t>
            </w:r>
          </w:p>
        </w:tc>
        <w:tc>
          <w:tcPr>
            <w:tcW w:w="2225" w:type="dxa"/>
          </w:tcPr>
          <w:p w:rsidR="003F5784" w14:paraId="47BC9F06" w14:textId="77777777">
            <w:pPr>
              <w:pStyle w:val="TableParagraph"/>
              <w:ind w:right="107"/>
              <w:rPr>
                <w:sz w:val="21"/>
              </w:rPr>
            </w:pPr>
            <w:r>
              <w:rPr>
                <w:spacing w:val="-2"/>
                <w:sz w:val="21"/>
              </w:rPr>
              <w:t>100.00</w:t>
            </w:r>
          </w:p>
        </w:tc>
      </w:tr>
      <w:tr w14:paraId="0496FB94" w14:textId="77777777">
        <w:tblPrEx>
          <w:tblW w:w="0" w:type="auto"/>
          <w:tblInd w:w="117" w:type="dxa"/>
          <w:tblLayout w:type="fixed"/>
          <w:tblCellMar>
            <w:left w:w="0" w:type="dxa"/>
            <w:right w:w="0" w:type="dxa"/>
          </w:tblCellMar>
          <w:tblLook w:val="01E0"/>
        </w:tblPrEx>
        <w:trPr>
          <w:trHeight w:val="286"/>
        </w:trPr>
        <w:tc>
          <w:tcPr>
            <w:tcW w:w="5281" w:type="dxa"/>
          </w:tcPr>
          <w:p w:rsidR="003F5784" w14:paraId="2D5BDBC2" w14:textId="77777777">
            <w:pPr>
              <w:pStyle w:val="TableParagraph"/>
              <w:ind w:left="117"/>
              <w:jc w:val="left"/>
              <w:rPr>
                <w:sz w:val="21"/>
              </w:rPr>
            </w:pPr>
            <w:r>
              <w:rPr>
                <w:spacing w:val="-2"/>
                <w:sz w:val="21"/>
              </w:rPr>
              <w:t>Missouri</w:t>
            </w:r>
          </w:p>
        </w:tc>
        <w:tc>
          <w:tcPr>
            <w:tcW w:w="4039" w:type="dxa"/>
          </w:tcPr>
          <w:p w:rsidR="003F5784" w14:paraId="380A7B17" w14:textId="77777777">
            <w:pPr>
              <w:pStyle w:val="TableParagraph"/>
              <w:ind w:right="1304"/>
              <w:rPr>
                <w:sz w:val="21"/>
              </w:rPr>
            </w:pPr>
            <w:r>
              <w:rPr>
                <w:spacing w:val="-5"/>
                <w:sz w:val="21"/>
              </w:rPr>
              <w:t>90</w:t>
            </w:r>
          </w:p>
        </w:tc>
        <w:tc>
          <w:tcPr>
            <w:tcW w:w="3162" w:type="dxa"/>
          </w:tcPr>
          <w:p w:rsidR="003F5784" w14:paraId="0521047D" w14:textId="77777777">
            <w:pPr>
              <w:pStyle w:val="TableParagraph"/>
              <w:ind w:right="1539"/>
              <w:rPr>
                <w:sz w:val="21"/>
              </w:rPr>
            </w:pPr>
            <w:r>
              <w:rPr>
                <w:spacing w:val="-5"/>
                <w:sz w:val="21"/>
              </w:rPr>
              <w:t>90</w:t>
            </w:r>
          </w:p>
        </w:tc>
        <w:tc>
          <w:tcPr>
            <w:tcW w:w="2225" w:type="dxa"/>
          </w:tcPr>
          <w:p w:rsidR="003F5784" w14:paraId="5EB5EECC" w14:textId="77777777">
            <w:pPr>
              <w:pStyle w:val="TableParagraph"/>
              <w:ind w:right="107"/>
              <w:rPr>
                <w:sz w:val="21"/>
              </w:rPr>
            </w:pPr>
            <w:r>
              <w:rPr>
                <w:spacing w:val="-2"/>
                <w:sz w:val="21"/>
              </w:rPr>
              <w:t>100.00</w:t>
            </w:r>
          </w:p>
        </w:tc>
      </w:tr>
      <w:tr w14:paraId="69C6B8B6" w14:textId="77777777">
        <w:tblPrEx>
          <w:tblW w:w="0" w:type="auto"/>
          <w:tblInd w:w="117" w:type="dxa"/>
          <w:tblLayout w:type="fixed"/>
          <w:tblCellMar>
            <w:left w:w="0" w:type="dxa"/>
            <w:right w:w="0" w:type="dxa"/>
          </w:tblCellMar>
          <w:tblLook w:val="01E0"/>
        </w:tblPrEx>
        <w:trPr>
          <w:trHeight w:val="286"/>
        </w:trPr>
        <w:tc>
          <w:tcPr>
            <w:tcW w:w="5281" w:type="dxa"/>
          </w:tcPr>
          <w:p w:rsidR="003F5784" w14:paraId="2F3E0CB9" w14:textId="77777777">
            <w:pPr>
              <w:pStyle w:val="TableParagraph"/>
              <w:ind w:left="117"/>
              <w:jc w:val="left"/>
              <w:rPr>
                <w:sz w:val="21"/>
              </w:rPr>
            </w:pPr>
            <w:r>
              <w:rPr>
                <w:spacing w:val="-2"/>
                <w:sz w:val="21"/>
              </w:rPr>
              <w:t>Montana</w:t>
            </w:r>
          </w:p>
        </w:tc>
        <w:tc>
          <w:tcPr>
            <w:tcW w:w="4039" w:type="dxa"/>
          </w:tcPr>
          <w:p w:rsidR="003F5784" w14:paraId="7A7AD245" w14:textId="77777777">
            <w:pPr>
              <w:pStyle w:val="TableParagraph"/>
              <w:ind w:right="1304"/>
              <w:rPr>
                <w:sz w:val="21"/>
              </w:rPr>
            </w:pPr>
            <w:r>
              <w:rPr>
                <w:spacing w:val="-5"/>
                <w:sz w:val="21"/>
              </w:rPr>
              <w:t>120</w:t>
            </w:r>
          </w:p>
        </w:tc>
        <w:tc>
          <w:tcPr>
            <w:tcW w:w="3162" w:type="dxa"/>
          </w:tcPr>
          <w:p w:rsidR="003F5784" w14:paraId="54E1A2B1" w14:textId="77777777">
            <w:pPr>
              <w:pStyle w:val="TableParagraph"/>
              <w:ind w:right="1539"/>
              <w:rPr>
                <w:sz w:val="21"/>
              </w:rPr>
            </w:pPr>
            <w:r>
              <w:rPr>
                <w:spacing w:val="-5"/>
                <w:sz w:val="21"/>
              </w:rPr>
              <w:t>120</w:t>
            </w:r>
          </w:p>
        </w:tc>
        <w:tc>
          <w:tcPr>
            <w:tcW w:w="2225" w:type="dxa"/>
          </w:tcPr>
          <w:p w:rsidR="003F5784" w14:paraId="6F2B436E" w14:textId="77777777">
            <w:pPr>
              <w:pStyle w:val="TableParagraph"/>
              <w:ind w:right="107"/>
              <w:rPr>
                <w:sz w:val="21"/>
              </w:rPr>
            </w:pPr>
            <w:r>
              <w:rPr>
                <w:spacing w:val="-2"/>
                <w:sz w:val="21"/>
              </w:rPr>
              <w:t>99.95</w:t>
            </w:r>
          </w:p>
        </w:tc>
      </w:tr>
      <w:tr w14:paraId="364E9786" w14:textId="77777777">
        <w:tblPrEx>
          <w:tblW w:w="0" w:type="auto"/>
          <w:tblInd w:w="117" w:type="dxa"/>
          <w:tblLayout w:type="fixed"/>
          <w:tblCellMar>
            <w:left w:w="0" w:type="dxa"/>
            <w:right w:w="0" w:type="dxa"/>
          </w:tblCellMar>
          <w:tblLook w:val="01E0"/>
        </w:tblPrEx>
        <w:trPr>
          <w:trHeight w:val="286"/>
        </w:trPr>
        <w:tc>
          <w:tcPr>
            <w:tcW w:w="5281" w:type="dxa"/>
          </w:tcPr>
          <w:p w:rsidR="003F5784" w14:paraId="07A911BC" w14:textId="77777777">
            <w:pPr>
              <w:pStyle w:val="TableParagraph"/>
              <w:ind w:left="117"/>
              <w:jc w:val="left"/>
              <w:rPr>
                <w:sz w:val="21"/>
              </w:rPr>
            </w:pPr>
            <w:r>
              <w:rPr>
                <w:spacing w:val="-2"/>
                <w:sz w:val="21"/>
              </w:rPr>
              <w:t>Nebraska</w:t>
            </w:r>
          </w:p>
        </w:tc>
        <w:tc>
          <w:tcPr>
            <w:tcW w:w="4039" w:type="dxa"/>
          </w:tcPr>
          <w:p w:rsidR="003F5784" w14:paraId="7C1A172F" w14:textId="77777777">
            <w:pPr>
              <w:pStyle w:val="TableParagraph"/>
              <w:ind w:right="1304"/>
              <w:rPr>
                <w:sz w:val="21"/>
              </w:rPr>
            </w:pPr>
            <w:r>
              <w:rPr>
                <w:spacing w:val="-5"/>
                <w:sz w:val="21"/>
              </w:rPr>
              <w:t>100</w:t>
            </w:r>
          </w:p>
        </w:tc>
        <w:tc>
          <w:tcPr>
            <w:tcW w:w="3162" w:type="dxa"/>
          </w:tcPr>
          <w:p w:rsidR="003F5784" w14:paraId="0FF867A1" w14:textId="77777777">
            <w:pPr>
              <w:pStyle w:val="TableParagraph"/>
              <w:ind w:right="1539"/>
              <w:rPr>
                <w:sz w:val="21"/>
              </w:rPr>
            </w:pPr>
            <w:r>
              <w:rPr>
                <w:spacing w:val="-5"/>
                <w:sz w:val="21"/>
              </w:rPr>
              <w:t>100</w:t>
            </w:r>
          </w:p>
        </w:tc>
        <w:tc>
          <w:tcPr>
            <w:tcW w:w="2225" w:type="dxa"/>
          </w:tcPr>
          <w:p w:rsidR="003F5784" w14:paraId="47AC4136" w14:textId="77777777">
            <w:pPr>
              <w:pStyle w:val="TableParagraph"/>
              <w:ind w:right="107"/>
              <w:rPr>
                <w:sz w:val="21"/>
              </w:rPr>
            </w:pPr>
            <w:r>
              <w:rPr>
                <w:spacing w:val="-2"/>
                <w:sz w:val="21"/>
              </w:rPr>
              <w:t>100.00</w:t>
            </w:r>
          </w:p>
        </w:tc>
      </w:tr>
      <w:tr w14:paraId="179A8B77" w14:textId="77777777">
        <w:tblPrEx>
          <w:tblW w:w="0" w:type="auto"/>
          <w:tblInd w:w="117" w:type="dxa"/>
          <w:tblLayout w:type="fixed"/>
          <w:tblCellMar>
            <w:left w:w="0" w:type="dxa"/>
            <w:right w:w="0" w:type="dxa"/>
          </w:tblCellMar>
          <w:tblLook w:val="01E0"/>
        </w:tblPrEx>
        <w:trPr>
          <w:trHeight w:val="286"/>
        </w:trPr>
        <w:tc>
          <w:tcPr>
            <w:tcW w:w="5281" w:type="dxa"/>
          </w:tcPr>
          <w:p w:rsidR="003F5784" w14:paraId="0017C088" w14:textId="77777777">
            <w:pPr>
              <w:pStyle w:val="TableParagraph"/>
              <w:ind w:left="117"/>
              <w:jc w:val="left"/>
              <w:rPr>
                <w:sz w:val="21"/>
              </w:rPr>
            </w:pPr>
            <w:r>
              <w:rPr>
                <w:spacing w:val="-2"/>
                <w:sz w:val="21"/>
              </w:rPr>
              <w:t>Nevada–Clark</w:t>
            </w:r>
            <w:r>
              <w:rPr>
                <w:spacing w:val="10"/>
                <w:sz w:val="21"/>
              </w:rPr>
              <w:t xml:space="preserve"> </w:t>
            </w:r>
            <w:r>
              <w:rPr>
                <w:spacing w:val="-2"/>
                <w:sz w:val="21"/>
              </w:rPr>
              <w:t>County</w:t>
            </w:r>
          </w:p>
        </w:tc>
        <w:tc>
          <w:tcPr>
            <w:tcW w:w="4039" w:type="dxa"/>
          </w:tcPr>
          <w:p w:rsidR="003F5784" w14:paraId="2A41D482" w14:textId="77777777">
            <w:pPr>
              <w:pStyle w:val="TableParagraph"/>
              <w:ind w:right="1304"/>
              <w:rPr>
                <w:sz w:val="21"/>
              </w:rPr>
            </w:pPr>
            <w:r>
              <w:rPr>
                <w:spacing w:val="-5"/>
                <w:sz w:val="21"/>
              </w:rPr>
              <w:t>60</w:t>
            </w:r>
          </w:p>
        </w:tc>
        <w:tc>
          <w:tcPr>
            <w:tcW w:w="3162" w:type="dxa"/>
          </w:tcPr>
          <w:p w:rsidR="003F5784" w14:paraId="3A82546C" w14:textId="77777777">
            <w:pPr>
              <w:pStyle w:val="TableParagraph"/>
              <w:ind w:right="1539"/>
              <w:rPr>
                <w:sz w:val="21"/>
              </w:rPr>
            </w:pPr>
            <w:r>
              <w:rPr>
                <w:spacing w:val="-5"/>
                <w:sz w:val="21"/>
              </w:rPr>
              <w:t>60</w:t>
            </w:r>
          </w:p>
        </w:tc>
        <w:tc>
          <w:tcPr>
            <w:tcW w:w="2225" w:type="dxa"/>
          </w:tcPr>
          <w:p w:rsidR="003F5784" w14:paraId="34ED8881" w14:textId="77777777">
            <w:pPr>
              <w:pStyle w:val="TableParagraph"/>
              <w:ind w:right="107"/>
              <w:rPr>
                <w:sz w:val="21"/>
              </w:rPr>
            </w:pPr>
            <w:r>
              <w:rPr>
                <w:spacing w:val="-2"/>
                <w:sz w:val="21"/>
              </w:rPr>
              <w:t>100.00</w:t>
            </w:r>
          </w:p>
        </w:tc>
      </w:tr>
      <w:tr w14:paraId="749275AD" w14:textId="77777777">
        <w:tblPrEx>
          <w:tblW w:w="0" w:type="auto"/>
          <w:tblInd w:w="117" w:type="dxa"/>
          <w:tblLayout w:type="fixed"/>
          <w:tblCellMar>
            <w:left w:w="0" w:type="dxa"/>
            <w:right w:w="0" w:type="dxa"/>
          </w:tblCellMar>
          <w:tblLook w:val="01E0"/>
        </w:tblPrEx>
        <w:trPr>
          <w:trHeight w:val="286"/>
        </w:trPr>
        <w:tc>
          <w:tcPr>
            <w:tcW w:w="5281" w:type="dxa"/>
          </w:tcPr>
          <w:p w:rsidR="003F5784" w14:paraId="1EE51C77" w14:textId="77777777">
            <w:pPr>
              <w:pStyle w:val="TableParagraph"/>
              <w:ind w:left="117"/>
              <w:jc w:val="left"/>
              <w:rPr>
                <w:sz w:val="21"/>
              </w:rPr>
            </w:pPr>
            <w:r>
              <w:rPr>
                <w:spacing w:val="-2"/>
                <w:sz w:val="21"/>
              </w:rPr>
              <w:t>Nevada</w:t>
            </w:r>
          </w:p>
        </w:tc>
        <w:tc>
          <w:tcPr>
            <w:tcW w:w="4039" w:type="dxa"/>
          </w:tcPr>
          <w:p w:rsidR="003F5784" w14:paraId="5681B89A" w14:textId="77777777">
            <w:pPr>
              <w:pStyle w:val="TableParagraph"/>
              <w:ind w:right="1304"/>
              <w:rPr>
                <w:sz w:val="21"/>
              </w:rPr>
            </w:pPr>
            <w:r>
              <w:rPr>
                <w:spacing w:val="-5"/>
                <w:sz w:val="21"/>
              </w:rPr>
              <w:t>90</w:t>
            </w:r>
          </w:p>
        </w:tc>
        <w:tc>
          <w:tcPr>
            <w:tcW w:w="3162" w:type="dxa"/>
          </w:tcPr>
          <w:p w:rsidR="003F5784" w14:paraId="4993CEB3" w14:textId="77777777">
            <w:pPr>
              <w:pStyle w:val="TableParagraph"/>
              <w:ind w:right="1539"/>
              <w:rPr>
                <w:sz w:val="21"/>
              </w:rPr>
            </w:pPr>
            <w:r>
              <w:rPr>
                <w:spacing w:val="-5"/>
                <w:sz w:val="21"/>
              </w:rPr>
              <w:t>90</w:t>
            </w:r>
          </w:p>
        </w:tc>
        <w:tc>
          <w:tcPr>
            <w:tcW w:w="2225" w:type="dxa"/>
          </w:tcPr>
          <w:p w:rsidR="003F5784" w14:paraId="466D924D" w14:textId="77777777">
            <w:pPr>
              <w:pStyle w:val="TableParagraph"/>
              <w:ind w:right="107"/>
              <w:rPr>
                <w:sz w:val="21"/>
              </w:rPr>
            </w:pPr>
            <w:r>
              <w:rPr>
                <w:spacing w:val="-2"/>
                <w:sz w:val="21"/>
              </w:rPr>
              <w:t>100.00</w:t>
            </w:r>
          </w:p>
        </w:tc>
      </w:tr>
      <w:tr w14:paraId="7A2E1FF1" w14:textId="77777777">
        <w:tblPrEx>
          <w:tblW w:w="0" w:type="auto"/>
          <w:tblInd w:w="117" w:type="dxa"/>
          <w:tblLayout w:type="fixed"/>
          <w:tblCellMar>
            <w:left w:w="0" w:type="dxa"/>
            <w:right w:w="0" w:type="dxa"/>
          </w:tblCellMar>
          <w:tblLook w:val="01E0"/>
        </w:tblPrEx>
        <w:trPr>
          <w:trHeight w:val="286"/>
        </w:trPr>
        <w:tc>
          <w:tcPr>
            <w:tcW w:w="5281" w:type="dxa"/>
          </w:tcPr>
          <w:p w:rsidR="003F5784" w14:paraId="31B968A8" w14:textId="77777777">
            <w:pPr>
              <w:pStyle w:val="TableParagraph"/>
              <w:ind w:left="117"/>
              <w:jc w:val="left"/>
              <w:rPr>
                <w:sz w:val="21"/>
              </w:rPr>
            </w:pPr>
            <w:r>
              <w:rPr>
                <w:sz w:val="21"/>
              </w:rPr>
              <w:t>New</w:t>
            </w:r>
            <w:r>
              <w:rPr>
                <w:spacing w:val="-5"/>
                <w:sz w:val="21"/>
              </w:rPr>
              <w:t xml:space="preserve"> </w:t>
            </w:r>
            <w:r>
              <w:rPr>
                <w:spacing w:val="-2"/>
                <w:sz w:val="21"/>
              </w:rPr>
              <w:t>Hampshire</w:t>
            </w:r>
          </w:p>
        </w:tc>
        <w:tc>
          <w:tcPr>
            <w:tcW w:w="4039" w:type="dxa"/>
          </w:tcPr>
          <w:p w:rsidR="003F5784" w14:paraId="30F0C3C8" w14:textId="77777777">
            <w:pPr>
              <w:pStyle w:val="TableParagraph"/>
              <w:ind w:right="1304"/>
              <w:rPr>
                <w:sz w:val="21"/>
              </w:rPr>
            </w:pPr>
            <w:r>
              <w:rPr>
                <w:spacing w:val="-5"/>
                <w:sz w:val="21"/>
              </w:rPr>
              <w:t>100</w:t>
            </w:r>
          </w:p>
        </w:tc>
        <w:tc>
          <w:tcPr>
            <w:tcW w:w="3162" w:type="dxa"/>
          </w:tcPr>
          <w:p w:rsidR="003F5784" w14:paraId="1F93A5D3" w14:textId="77777777">
            <w:pPr>
              <w:pStyle w:val="TableParagraph"/>
              <w:ind w:right="1539"/>
              <w:rPr>
                <w:sz w:val="21"/>
              </w:rPr>
            </w:pPr>
            <w:r>
              <w:rPr>
                <w:spacing w:val="-5"/>
                <w:sz w:val="21"/>
              </w:rPr>
              <w:t>100</w:t>
            </w:r>
          </w:p>
        </w:tc>
        <w:tc>
          <w:tcPr>
            <w:tcW w:w="2225" w:type="dxa"/>
          </w:tcPr>
          <w:p w:rsidR="003F5784" w14:paraId="7E4D6524" w14:textId="77777777">
            <w:pPr>
              <w:pStyle w:val="TableParagraph"/>
              <w:ind w:right="107"/>
              <w:rPr>
                <w:sz w:val="21"/>
              </w:rPr>
            </w:pPr>
            <w:r>
              <w:rPr>
                <w:spacing w:val="-2"/>
                <w:sz w:val="21"/>
              </w:rPr>
              <w:t>99.15</w:t>
            </w:r>
          </w:p>
        </w:tc>
      </w:tr>
      <w:tr w14:paraId="3E277CCC" w14:textId="77777777">
        <w:tblPrEx>
          <w:tblW w:w="0" w:type="auto"/>
          <w:tblInd w:w="117" w:type="dxa"/>
          <w:tblLayout w:type="fixed"/>
          <w:tblCellMar>
            <w:left w:w="0" w:type="dxa"/>
            <w:right w:w="0" w:type="dxa"/>
          </w:tblCellMar>
          <w:tblLook w:val="01E0"/>
        </w:tblPrEx>
        <w:trPr>
          <w:trHeight w:val="286"/>
        </w:trPr>
        <w:tc>
          <w:tcPr>
            <w:tcW w:w="5281" w:type="dxa"/>
          </w:tcPr>
          <w:p w:rsidR="003F5784" w14:paraId="568C6925" w14:textId="77777777">
            <w:pPr>
              <w:pStyle w:val="TableParagraph"/>
              <w:ind w:left="117"/>
              <w:jc w:val="left"/>
              <w:rPr>
                <w:sz w:val="21"/>
              </w:rPr>
            </w:pPr>
            <w:r>
              <w:rPr>
                <w:sz w:val="21"/>
              </w:rPr>
              <w:t>New</w:t>
            </w:r>
            <w:r>
              <w:rPr>
                <w:spacing w:val="-5"/>
                <w:sz w:val="21"/>
              </w:rPr>
              <w:t xml:space="preserve"> </w:t>
            </w:r>
            <w:r>
              <w:rPr>
                <w:spacing w:val="-2"/>
                <w:sz w:val="21"/>
              </w:rPr>
              <w:t>Jersey</w:t>
            </w:r>
          </w:p>
        </w:tc>
        <w:tc>
          <w:tcPr>
            <w:tcW w:w="4039" w:type="dxa"/>
          </w:tcPr>
          <w:p w:rsidR="003F5784" w14:paraId="63AA8F60" w14:textId="77777777">
            <w:pPr>
              <w:pStyle w:val="TableParagraph"/>
              <w:ind w:right="1304"/>
              <w:rPr>
                <w:sz w:val="21"/>
              </w:rPr>
            </w:pPr>
            <w:r>
              <w:rPr>
                <w:spacing w:val="-5"/>
                <w:sz w:val="21"/>
              </w:rPr>
              <w:t>90</w:t>
            </w:r>
          </w:p>
        </w:tc>
        <w:tc>
          <w:tcPr>
            <w:tcW w:w="3162" w:type="dxa"/>
          </w:tcPr>
          <w:p w:rsidR="003F5784" w14:paraId="214B3509" w14:textId="77777777">
            <w:pPr>
              <w:pStyle w:val="TableParagraph"/>
              <w:ind w:right="1539"/>
              <w:rPr>
                <w:sz w:val="21"/>
              </w:rPr>
            </w:pPr>
            <w:r>
              <w:rPr>
                <w:spacing w:val="-5"/>
                <w:sz w:val="21"/>
              </w:rPr>
              <w:t>80</w:t>
            </w:r>
          </w:p>
        </w:tc>
        <w:tc>
          <w:tcPr>
            <w:tcW w:w="2225" w:type="dxa"/>
          </w:tcPr>
          <w:p w:rsidR="003F5784" w14:paraId="5D3E67F8" w14:textId="77777777">
            <w:pPr>
              <w:pStyle w:val="TableParagraph"/>
              <w:ind w:right="107"/>
              <w:rPr>
                <w:sz w:val="21"/>
              </w:rPr>
            </w:pPr>
            <w:r>
              <w:rPr>
                <w:spacing w:val="-2"/>
                <w:sz w:val="21"/>
              </w:rPr>
              <w:t>98.72</w:t>
            </w:r>
          </w:p>
        </w:tc>
      </w:tr>
      <w:tr w14:paraId="44AD85F5" w14:textId="77777777">
        <w:tblPrEx>
          <w:tblW w:w="0" w:type="auto"/>
          <w:tblInd w:w="117" w:type="dxa"/>
          <w:tblLayout w:type="fixed"/>
          <w:tblCellMar>
            <w:left w:w="0" w:type="dxa"/>
            <w:right w:w="0" w:type="dxa"/>
          </w:tblCellMar>
          <w:tblLook w:val="01E0"/>
        </w:tblPrEx>
        <w:trPr>
          <w:trHeight w:val="286"/>
        </w:trPr>
        <w:tc>
          <w:tcPr>
            <w:tcW w:w="5281" w:type="dxa"/>
          </w:tcPr>
          <w:p w:rsidR="003F5784" w14:paraId="0BEB6093" w14:textId="77777777">
            <w:pPr>
              <w:pStyle w:val="TableParagraph"/>
              <w:ind w:left="117"/>
              <w:jc w:val="left"/>
              <w:rPr>
                <w:sz w:val="21"/>
              </w:rPr>
            </w:pPr>
            <w:r>
              <w:rPr>
                <w:sz w:val="21"/>
              </w:rPr>
              <w:t>New</w:t>
            </w:r>
            <w:r>
              <w:rPr>
                <w:spacing w:val="-5"/>
                <w:sz w:val="21"/>
              </w:rPr>
              <w:t xml:space="preserve"> </w:t>
            </w:r>
            <w:r>
              <w:rPr>
                <w:spacing w:val="-2"/>
                <w:sz w:val="21"/>
              </w:rPr>
              <w:t>Mexico–Albuquerque</w:t>
            </w:r>
          </w:p>
        </w:tc>
        <w:tc>
          <w:tcPr>
            <w:tcW w:w="4039" w:type="dxa"/>
          </w:tcPr>
          <w:p w:rsidR="003F5784" w14:paraId="5FE49F4C" w14:textId="77777777">
            <w:pPr>
              <w:pStyle w:val="TableParagraph"/>
              <w:ind w:right="1304"/>
              <w:rPr>
                <w:sz w:val="21"/>
              </w:rPr>
            </w:pPr>
            <w:r>
              <w:rPr>
                <w:spacing w:val="-5"/>
                <w:sz w:val="21"/>
              </w:rPr>
              <w:t>40</w:t>
            </w:r>
          </w:p>
        </w:tc>
        <w:tc>
          <w:tcPr>
            <w:tcW w:w="3162" w:type="dxa"/>
          </w:tcPr>
          <w:p w:rsidR="003F5784" w14:paraId="60C013C7" w14:textId="77777777">
            <w:pPr>
              <w:pStyle w:val="TableParagraph"/>
              <w:ind w:right="1539"/>
              <w:rPr>
                <w:sz w:val="21"/>
              </w:rPr>
            </w:pPr>
            <w:r>
              <w:rPr>
                <w:spacing w:val="-5"/>
                <w:sz w:val="21"/>
              </w:rPr>
              <w:t>40</w:t>
            </w:r>
          </w:p>
        </w:tc>
        <w:tc>
          <w:tcPr>
            <w:tcW w:w="2225" w:type="dxa"/>
          </w:tcPr>
          <w:p w:rsidR="003F5784" w14:paraId="43C3AC15" w14:textId="77777777">
            <w:pPr>
              <w:pStyle w:val="TableParagraph"/>
              <w:ind w:right="107"/>
              <w:rPr>
                <w:sz w:val="21"/>
              </w:rPr>
            </w:pPr>
            <w:r>
              <w:rPr>
                <w:spacing w:val="-2"/>
                <w:sz w:val="21"/>
              </w:rPr>
              <w:t>100.00</w:t>
            </w:r>
          </w:p>
        </w:tc>
      </w:tr>
      <w:tr w14:paraId="541FFA00" w14:textId="77777777">
        <w:tblPrEx>
          <w:tblW w:w="0" w:type="auto"/>
          <w:tblInd w:w="117" w:type="dxa"/>
          <w:tblLayout w:type="fixed"/>
          <w:tblCellMar>
            <w:left w:w="0" w:type="dxa"/>
            <w:right w:w="0" w:type="dxa"/>
          </w:tblCellMar>
          <w:tblLook w:val="01E0"/>
        </w:tblPrEx>
        <w:trPr>
          <w:trHeight w:val="286"/>
        </w:trPr>
        <w:tc>
          <w:tcPr>
            <w:tcW w:w="5281" w:type="dxa"/>
          </w:tcPr>
          <w:p w:rsidR="003F5784" w14:paraId="4FF8EA29" w14:textId="77777777">
            <w:pPr>
              <w:pStyle w:val="TableParagraph"/>
              <w:ind w:left="117"/>
              <w:jc w:val="left"/>
              <w:rPr>
                <w:sz w:val="21"/>
              </w:rPr>
            </w:pPr>
            <w:r>
              <w:rPr>
                <w:sz w:val="21"/>
              </w:rPr>
              <w:t>New</w:t>
            </w:r>
            <w:r>
              <w:rPr>
                <w:spacing w:val="-5"/>
                <w:sz w:val="21"/>
              </w:rPr>
              <w:t xml:space="preserve"> </w:t>
            </w:r>
            <w:r>
              <w:rPr>
                <w:spacing w:val="-2"/>
                <w:sz w:val="21"/>
              </w:rPr>
              <w:t>Mexico</w:t>
            </w:r>
          </w:p>
        </w:tc>
        <w:tc>
          <w:tcPr>
            <w:tcW w:w="4039" w:type="dxa"/>
          </w:tcPr>
          <w:p w:rsidR="003F5784" w14:paraId="1B3BFECA" w14:textId="77777777">
            <w:pPr>
              <w:pStyle w:val="TableParagraph"/>
              <w:ind w:right="1304"/>
              <w:rPr>
                <w:sz w:val="21"/>
              </w:rPr>
            </w:pPr>
            <w:r>
              <w:rPr>
                <w:spacing w:val="-5"/>
                <w:sz w:val="21"/>
              </w:rPr>
              <w:t>110</w:t>
            </w:r>
          </w:p>
        </w:tc>
        <w:tc>
          <w:tcPr>
            <w:tcW w:w="3162" w:type="dxa"/>
          </w:tcPr>
          <w:p w:rsidR="003F5784" w14:paraId="67AA4154" w14:textId="77777777">
            <w:pPr>
              <w:pStyle w:val="TableParagraph"/>
              <w:ind w:right="1539"/>
              <w:rPr>
                <w:sz w:val="21"/>
              </w:rPr>
            </w:pPr>
            <w:r>
              <w:rPr>
                <w:spacing w:val="-5"/>
                <w:sz w:val="21"/>
              </w:rPr>
              <w:t>110</w:t>
            </w:r>
          </w:p>
        </w:tc>
        <w:tc>
          <w:tcPr>
            <w:tcW w:w="2225" w:type="dxa"/>
          </w:tcPr>
          <w:p w:rsidR="003F5784" w14:paraId="09992B54" w14:textId="77777777">
            <w:pPr>
              <w:pStyle w:val="TableParagraph"/>
              <w:ind w:right="107"/>
              <w:rPr>
                <w:sz w:val="21"/>
              </w:rPr>
            </w:pPr>
            <w:r>
              <w:rPr>
                <w:spacing w:val="-2"/>
                <w:sz w:val="21"/>
              </w:rPr>
              <w:t>100.00</w:t>
            </w:r>
          </w:p>
        </w:tc>
      </w:tr>
      <w:tr w14:paraId="3B5283EA" w14:textId="77777777">
        <w:tblPrEx>
          <w:tblW w:w="0" w:type="auto"/>
          <w:tblInd w:w="117" w:type="dxa"/>
          <w:tblLayout w:type="fixed"/>
          <w:tblCellMar>
            <w:left w:w="0" w:type="dxa"/>
            <w:right w:w="0" w:type="dxa"/>
          </w:tblCellMar>
          <w:tblLook w:val="01E0"/>
        </w:tblPrEx>
        <w:trPr>
          <w:trHeight w:val="286"/>
        </w:trPr>
        <w:tc>
          <w:tcPr>
            <w:tcW w:w="5281" w:type="dxa"/>
          </w:tcPr>
          <w:p w:rsidR="003F5784" w14:paraId="69C6AC96" w14:textId="77777777">
            <w:pPr>
              <w:pStyle w:val="TableParagraph"/>
              <w:ind w:left="117"/>
              <w:jc w:val="left"/>
              <w:rPr>
                <w:sz w:val="21"/>
              </w:rPr>
            </w:pPr>
            <w:r>
              <w:rPr>
                <w:spacing w:val="-4"/>
                <w:sz w:val="21"/>
              </w:rPr>
              <w:t>New</w:t>
            </w:r>
            <w:r>
              <w:rPr>
                <w:spacing w:val="-9"/>
                <w:sz w:val="21"/>
              </w:rPr>
              <w:t xml:space="preserve"> </w:t>
            </w:r>
            <w:r>
              <w:rPr>
                <w:spacing w:val="-4"/>
                <w:sz w:val="21"/>
              </w:rPr>
              <w:t>York–New</w:t>
            </w:r>
            <w:r>
              <w:rPr>
                <w:spacing w:val="-9"/>
                <w:sz w:val="21"/>
              </w:rPr>
              <w:t xml:space="preserve"> </w:t>
            </w:r>
            <w:r>
              <w:rPr>
                <w:spacing w:val="-4"/>
                <w:sz w:val="21"/>
              </w:rPr>
              <w:t>York</w:t>
            </w:r>
            <w:r>
              <w:rPr>
                <w:spacing w:val="-1"/>
                <w:sz w:val="21"/>
              </w:rPr>
              <w:t xml:space="preserve"> </w:t>
            </w:r>
            <w:r>
              <w:rPr>
                <w:spacing w:val="-4"/>
                <w:sz w:val="21"/>
              </w:rPr>
              <w:t>City</w:t>
            </w:r>
          </w:p>
        </w:tc>
        <w:tc>
          <w:tcPr>
            <w:tcW w:w="4039" w:type="dxa"/>
          </w:tcPr>
          <w:p w:rsidR="003F5784" w14:paraId="05D7E77D" w14:textId="77777777">
            <w:pPr>
              <w:pStyle w:val="TableParagraph"/>
              <w:ind w:right="1304"/>
              <w:rPr>
                <w:sz w:val="21"/>
              </w:rPr>
            </w:pPr>
            <w:r>
              <w:rPr>
                <w:spacing w:val="-5"/>
                <w:sz w:val="21"/>
              </w:rPr>
              <w:t>70</w:t>
            </w:r>
          </w:p>
        </w:tc>
        <w:tc>
          <w:tcPr>
            <w:tcW w:w="3162" w:type="dxa"/>
          </w:tcPr>
          <w:p w:rsidR="003F5784" w14:paraId="46D85697" w14:textId="77777777">
            <w:pPr>
              <w:pStyle w:val="TableParagraph"/>
              <w:ind w:right="1539"/>
              <w:rPr>
                <w:sz w:val="21"/>
              </w:rPr>
            </w:pPr>
            <w:r>
              <w:rPr>
                <w:spacing w:val="-5"/>
                <w:sz w:val="21"/>
              </w:rPr>
              <w:t>60</w:t>
            </w:r>
          </w:p>
        </w:tc>
        <w:tc>
          <w:tcPr>
            <w:tcW w:w="2225" w:type="dxa"/>
          </w:tcPr>
          <w:p w:rsidR="003F5784" w14:paraId="747EB0D3" w14:textId="77777777">
            <w:pPr>
              <w:pStyle w:val="TableParagraph"/>
              <w:ind w:right="107"/>
              <w:rPr>
                <w:sz w:val="21"/>
              </w:rPr>
            </w:pPr>
            <w:r>
              <w:rPr>
                <w:spacing w:val="-2"/>
                <w:sz w:val="21"/>
              </w:rPr>
              <w:t>98.73</w:t>
            </w:r>
          </w:p>
        </w:tc>
      </w:tr>
      <w:tr w14:paraId="59DBB8C7" w14:textId="77777777">
        <w:tblPrEx>
          <w:tblW w:w="0" w:type="auto"/>
          <w:tblInd w:w="117" w:type="dxa"/>
          <w:tblLayout w:type="fixed"/>
          <w:tblCellMar>
            <w:left w:w="0" w:type="dxa"/>
            <w:right w:w="0" w:type="dxa"/>
          </w:tblCellMar>
          <w:tblLook w:val="01E0"/>
        </w:tblPrEx>
        <w:trPr>
          <w:trHeight w:val="286"/>
        </w:trPr>
        <w:tc>
          <w:tcPr>
            <w:tcW w:w="5281" w:type="dxa"/>
          </w:tcPr>
          <w:p w:rsidR="003F5784" w14:paraId="679B8C2F" w14:textId="77777777">
            <w:pPr>
              <w:pStyle w:val="TableParagraph"/>
              <w:ind w:left="117"/>
              <w:jc w:val="left"/>
              <w:rPr>
                <w:sz w:val="21"/>
              </w:rPr>
            </w:pPr>
            <w:r>
              <w:rPr>
                <w:sz w:val="21"/>
              </w:rPr>
              <w:t>New</w:t>
            </w:r>
            <w:r>
              <w:rPr>
                <w:spacing w:val="-13"/>
                <w:sz w:val="21"/>
              </w:rPr>
              <w:t xml:space="preserve"> </w:t>
            </w:r>
            <w:r>
              <w:rPr>
                <w:spacing w:val="-4"/>
                <w:sz w:val="21"/>
              </w:rPr>
              <w:t>York</w:t>
            </w:r>
          </w:p>
        </w:tc>
        <w:tc>
          <w:tcPr>
            <w:tcW w:w="4039" w:type="dxa"/>
          </w:tcPr>
          <w:p w:rsidR="003F5784" w14:paraId="555DE1A8" w14:textId="77777777">
            <w:pPr>
              <w:pStyle w:val="TableParagraph"/>
              <w:ind w:right="1304"/>
              <w:rPr>
                <w:sz w:val="21"/>
              </w:rPr>
            </w:pPr>
            <w:r>
              <w:rPr>
                <w:spacing w:val="-5"/>
                <w:sz w:val="21"/>
              </w:rPr>
              <w:t>120</w:t>
            </w:r>
          </w:p>
        </w:tc>
        <w:tc>
          <w:tcPr>
            <w:tcW w:w="3162" w:type="dxa"/>
          </w:tcPr>
          <w:p w:rsidR="003F5784" w14:paraId="0DA6CA2B" w14:textId="77777777">
            <w:pPr>
              <w:pStyle w:val="TableParagraph"/>
              <w:ind w:right="1539"/>
              <w:rPr>
                <w:sz w:val="21"/>
              </w:rPr>
            </w:pPr>
            <w:r>
              <w:rPr>
                <w:spacing w:val="-5"/>
                <w:sz w:val="21"/>
              </w:rPr>
              <w:t>120</w:t>
            </w:r>
          </w:p>
        </w:tc>
        <w:tc>
          <w:tcPr>
            <w:tcW w:w="2225" w:type="dxa"/>
          </w:tcPr>
          <w:p w:rsidR="003F5784" w14:paraId="52A688D2" w14:textId="77777777">
            <w:pPr>
              <w:pStyle w:val="TableParagraph"/>
              <w:ind w:right="107"/>
              <w:rPr>
                <w:sz w:val="21"/>
              </w:rPr>
            </w:pPr>
            <w:r>
              <w:rPr>
                <w:spacing w:val="-2"/>
                <w:sz w:val="21"/>
              </w:rPr>
              <w:t>95.76</w:t>
            </w:r>
          </w:p>
        </w:tc>
      </w:tr>
      <w:tr w14:paraId="36B4CD51" w14:textId="77777777">
        <w:tblPrEx>
          <w:tblW w:w="0" w:type="auto"/>
          <w:tblInd w:w="117" w:type="dxa"/>
          <w:tblLayout w:type="fixed"/>
          <w:tblCellMar>
            <w:left w:w="0" w:type="dxa"/>
            <w:right w:w="0" w:type="dxa"/>
          </w:tblCellMar>
          <w:tblLook w:val="01E0"/>
        </w:tblPrEx>
        <w:trPr>
          <w:trHeight w:val="286"/>
        </w:trPr>
        <w:tc>
          <w:tcPr>
            <w:tcW w:w="5281" w:type="dxa"/>
          </w:tcPr>
          <w:p w:rsidR="003F5784" w14:paraId="5D4C97FD" w14:textId="77777777">
            <w:pPr>
              <w:pStyle w:val="TableParagraph"/>
              <w:ind w:left="117"/>
              <w:jc w:val="left"/>
              <w:rPr>
                <w:sz w:val="21"/>
              </w:rPr>
            </w:pPr>
            <w:r>
              <w:rPr>
                <w:sz w:val="21"/>
              </w:rPr>
              <w:t>North</w:t>
            </w:r>
            <w:r>
              <w:rPr>
                <w:spacing w:val="-6"/>
                <w:sz w:val="21"/>
              </w:rPr>
              <w:t xml:space="preserve"> </w:t>
            </w:r>
            <w:r>
              <w:rPr>
                <w:spacing w:val="-2"/>
                <w:sz w:val="21"/>
              </w:rPr>
              <w:t>Carolina–Charlotte</w:t>
            </w:r>
          </w:p>
        </w:tc>
        <w:tc>
          <w:tcPr>
            <w:tcW w:w="4039" w:type="dxa"/>
          </w:tcPr>
          <w:p w:rsidR="003F5784" w14:paraId="5E6F9BC0" w14:textId="77777777">
            <w:pPr>
              <w:pStyle w:val="TableParagraph"/>
              <w:ind w:right="1304"/>
              <w:rPr>
                <w:sz w:val="21"/>
              </w:rPr>
            </w:pPr>
            <w:r>
              <w:rPr>
                <w:spacing w:val="-5"/>
                <w:sz w:val="21"/>
              </w:rPr>
              <w:t>40</w:t>
            </w:r>
          </w:p>
        </w:tc>
        <w:tc>
          <w:tcPr>
            <w:tcW w:w="3162" w:type="dxa"/>
          </w:tcPr>
          <w:p w:rsidR="003F5784" w14:paraId="7AB70297" w14:textId="77777777">
            <w:pPr>
              <w:pStyle w:val="TableParagraph"/>
              <w:ind w:right="1539"/>
              <w:rPr>
                <w:sz w:val="21"/>
              </w:rPr>
            </w:pPr>
            <w:r>
              <w:rPr>
                <w:spacing w:val="-5"/>
                <w:sz w:val="21"/>
              </w:rPr>
              <w:t>40</w:t>
            </w:r>
          </w:p>
        </w:tc>
        <w:tc>
          <w:tcPr>
            <w:tcW w:w="2225" w:type="dxa"/>
          </w:tcPr>
          <w:p w:rsidR="003F5784" w14:paraId="59EB65FF" w14:textId="77777777">
            <w:pPr>
              <w:pStyle w:val="TableParagraph"/>
              <w:ind w:right="107"/>
              <w:rPr>
                <w:sz w:val="21"/>
              </w:rPr>
            </w:pPr>
            <w:r>
              <w:rPr>
                <w:spacing w:val="-2"/>
                <w:sz w:val="21"/>
              </w:rPr>
              <w:t>100.00</w:t>
            </w:r>
          </w:p>
        </w:tc>
      </w:tr>
      <w:tr w14:paraId="6AD1F62A" w14:textId="77777777">
        <w:tblPrEx>
          <w:tblW w:w="0" w:type="auto"/>
          <w:tblInd w:w="117" w:type="dxa"/>
          <w:tblLayout w:type="fixed"/>
          <w:tblCellMar>
            <w:left w:w="0" w:type="dxa"/>
            <w:right w:w="0" w:type="dxa"/>
          </w:tblCellMar>
          <w:tblLook w:val="01E0"/>
        </w:tblPrEx>
        <w:trPr>
          <w:trHeight w:val="286"/>
        </w:trPr>
        <w:tc>
          <w:tcPr>
            <w:tcW w:w="5281" w:type="dxa"/>
          </w:tcPr>
          <w:p w:rsidR="003F5784" w14:paraId="5135628F" w14:textId="77777777">
            <w:pPr>
              <w:pStyle w:val="TableParagraph"/>
              <w:ind w:left="117"/>
              <w:jc w:val="left"/>
              <w:rPr>
                <w:sz w:val="21"/>
              </w:rPr>
            </w:pPr>
            <w:r>
              <w:rPr>
                <w:sz w:val="21"/>
              </w:rPr>
              <w:t>North</w:t>
            </w:r>
            <w:r>
              <w:rPr>
                <w:spacing w:val="-12"/>
                <w:sz w:val="21"/>
              </w:rPr>
              <w:t xml:space="preserve"> </w:t>
            </w:r>
            <w:r>
              <w:rPr>
                <w:sz w:val="21"/>
              </w:rPr>
              <w:t>Carolina–Guilford</w:t>
            </w:r>
            <w:r>
              <w:rPr>
                <w:spacing w:val="-11"/>
                <w:sz w:val="21"/>
              </w:rPr>
              <w:t xml:space="preserve"> </w:t>
            </w:r>
            <w:r>
              <w:rPr>
                <w:spacing w:val="-2"/>
                <w:sz w:val="21"/>
              </w:rPr>
              <w:t>County</w:t>
            </w:r>
          </w:p>
        </w:tc>
        <w:tc>
          <w:tcPr>
            <w:tcW w:w="4039" w:type="dxa"/>
          </w:tcPr>
          <w:p w:rsidR="003F5784" w14:paraId="0812E264" w14:textId="77777777">
            <w:pPr>
              <w:pStyle w:val="TableParagraph"/>
              <w:ind w:right="1304"/>
              <w:rPr>
                <w:sz w:val="21"/>
              </w:rPr>
            </w:pPr>
            <w:r>
              <w:rPr>
                <w:spacing w:val="-5"/>
                <w:sz w:val="21"/>
              </w:rPr>
              <w:t>40</w:t>
            </w:r>
          </w:p>
        </w:tc>
        <w:tc>
          <w:tcPr>
            <w:tcW w:w="3162" w:type="dxa"/>
          </w:tcPr>
          <w:p w:rsidR="003F5784" w14:paraId="5783D305" w14:textId="77777777">
            <w:pPr>
              <w:pStyle w:val="TableParagraph"/>
              <w:ind w:right="1539"/>
              <w:rPr>
                <w:sz w:val="21"/>
              </w:rPr>
            </w:pPr>
            <w:r>
              <w:rPr>
                <w:spacing w:val="-5"/>
                <w:sz w:val="21"/>
              </w:rPr>
              <w:t>40</w:t>
            </w:r>
          </w:p>
        </w:tc>
        <w:tc>
          <w:tcPr>
            <w:tcW w:w="2225" w:type="dxa"/>
          </w:tcPr>
          <w:p w:rsidR="003F5784" w14:paraId="77434599" w14:textId="77777777">
            <w:pPr>
              <w:pStyle w:val="TableParagraph"/>
              <w:ind w:right="107"/>
              <w:rPr>
                <w:sz w:val="21"/>
              </w:rPr>
            </w:pPr>
            <w:r>
              <w:rPr>
                <w:spacing w:val="-2"/>
                <w:sz w:val="21"/>
              </w:rPr>
              <w:t>100.00</w:t>
            </w:r>
          </w:p>
        </w:tc>
      </w:tr>
      <w:tr w14:paraId="2BDAB320" w14:textId="77777777">
        <w:tblPrEx>
          <w:tblW w:w="0" w:type="auto"/>
          <w:tblInd w:w="117" w:type="dxa"/>
          <w:tblLayout w:type="fixed"/>
          <w:tblCellMar>
            <w:left w:w="0" w:type="dxa"/>
            <w:right w:w="0" w:type="dxa"/>
          </w:tblCellMar>
          <w:tblLook w:val="01E0"/>
        </w:tblPrEx>
        <w:trPr>
          <w:trHeight w:val="286"/>
        </w:trPr>
        <w:tc>
          <w:tcPr>
            <w:tcW w:w="5281" w:type="dxa"/>
          </w:tcPr>
          <w:p w:rsidR="003F5784" w14:paraId="13DDA591" w14:textId="77777777">
            <w:pPr>
              <w:pStyle w:val="TableParagraph"/>
              <w:ind w:left="117"/>
              <w:jc w:val="left"/>
              <w:rPr>
                <w:sz w:val="21"/>
              </w:rPr>
            </w:pPr>
            <w:r>
              <w:rPr>
                <w:sz w:val="21"/>
              </w:rPr>
              <w:t>North</w:t>
            </w:r>
            <w:r>
              <w:rPr>
                <w:spacing w:val="-6"/>
                <w:sz w:val="21"/>
              </w:rPr>
              <w:t xml:space="preserve"> </w:t>
            </w:r>
            <w:r>
              <w:rPr>
                <w:spacing w:val="-2"/>
                <w:sz w:val="21"/>
              </w:rPr>
              <w:t>Carolina</w:t>
            </w:r>
          </w:p>
        </w:tc>
        <w:tc>
          <w:tcPr>
            <w:tcW w:w="4039" w:type="dxa"/>
          </w:tcPr>
          <w:p w:rsidR="003F5784" w14:paraId="39256C57" w14:textId="77777777">
            <w:pPr>
              <w:pStyle w:val="TableParagraph"/>
              <w:ind w:right="1304"/>
              <w:rPr>
                <w:sz w:val="21"/>
              </w:rPr>
            </w:pPr>
            <w:r>
              <w:rPr>
                <w:spacing w:val="-5"/>
                <w:sz w:val="21"/>
              </w:rPr>
              <w:t>160</w:t>
            </w:r>
          </w:p>
        </w:tc>
        <w:tc>
          <w:tcPr>
            <w:tcW w:w="3162" w:type="dxa"/>
          </w:tcPr>
          <w:p w:rsidR="003F5784" w14:paraId="6BBA1613" w14:textId="77777777">
            <w:pPr>
              <w:pStyle w:val="TableParagraph"/>
              <w:ind w:right="1539"/>
              <w:rPr>
                <w:sz w:val="21"/>
              </w:rPr>
            </w:pPr>
            <w:r>
              <w:rPr>
                <w:spacing w:val="-5"/>
                <w:sz w:val="21"/>
              </w:rPr>
              <w:t>160</w:t>
            </w:r>
          </w:p>
        </w:tc>
        <w:tc>
          <w:tcPr>
            <w:tcW w:w="2225" w:type="dxa"/>
          </w:tcPr>
          <w:p w:rsidR="003F5784" w14:paraId="5CEDDA40" w14:textId="77777777">
            <w:pPr>
              <w:pStyle w:val="TableParagraph"/>
              <w:ind w:right="107"/>
              <w:rPr>
                <w:sz w:val="21"/>
              </w:rPr>
            </w:pPr>
            <w:r>
              <w:rPr>
                <w:spacing w:val="-2"/>
                <w:sz w:val="21"/>
              </w:rPr>
              <w:t>100.00</w:t>
            </w:r>
          </w:p>
        </w:tc>
      </w:tr>
      <w:tr w14:paraId="3EB8AB7B" w14:textId="77777777">
        <w:tblPrEx>
          <w:tblW w:w="0" w:type="auto"/>
          <w:tblInd w:w="117" w:type="dxa"/>
          <w:tblLayout w:type="fixed"/>
          <w:tblCellMar>
            <w:left w:w="0" w:type="dxa"/>
            <w:right w:w="0" w:type="dxa"/>
          </w:tblCellMar>
          <w:tblLook w:val="01E0"/>
        </w:tblPrEx>
        <w:trPr>
          <w:trHeight w:val="286"/>
        </w:trPr>
        <w:tc>
          <w:tcPr>
            <w:tcW w:w="5281" w:type="dxa"/>
          </w:tcPr>
          <w:p w:rsidR="003F5784" w14:paraId="00169F5B" w14:textId="77777777">
            <w:pPr>
              <w:pStyle w:val="TableParagraph"/>
              <w:ind w:left="117"/>
              <w:jc w:val="left"/>
              <w:rPr>
                <w:sz w:val="21"/>
              </w:rPr>
            </w:pPr>
            <w:r>
              <w:rPr>
                <w:sz w:val="21"/>
              </w:rPr>
              <w:t>North</w:t>
            </w:r>
            <w:r>
              <w:rPr>
                <w:spacing w:val="-6"/>
                <w:sz w:val="21"/>
              </w:rPr>
              <w:t xml:space="preserve"> </w:t>
            </w:r>
            <w:r>
              <w:rPr>
                <w:spacing w:val="-2"/>
                <w:sz w:val="21"/>
              </w:rPr>
              <w:t>Dakota</w:t>
            </w:r>
          </w:p>
        </w:tc>
        <w:tc>
          <w:tcPr>
            <w:tcW w:w="4039" w:type="dxa"/>
          </w:tcPr>
          <w:p w:rsidR="003F5784" w14:paraId="7EEC1988" w14:textId="77777777">
            <w:pPr>
              <w:pStyle w:val="TableParagraph"/>
              <w:ind w:right="1304"/>
              <w:rPr>
                <w:sz w:val="21"/>
              </w:rPr>
            </w:pPr>
            <w:r>
              <w:rPr>
                <w:spacing w:val="-5"/>
                <w:sz w:val="21"/>
              </w:rPr>
              <w:t>120</w:t>
            </w:r>
          </w:p>
        </w:tc>
        <w:tc>
          <w:tcPr>
            <w:tcW w:w="3162" w:type="dxa"/>
          </w:tcPr>
          <w:p w:rsidR="003F5784" w14:paraId="429C6E71" w14:textId="77777777">
            <w:pPr>
              <w:pStyle w:val="TableParagraph"/>
              <w:ind w:right="1539"/>
              <w:rPr>
                <w:sz w:val="21"/>
              </w:rPr>
            </w:pPr>
            <w:r>
              <w:rPr>
                <w:spacing w:val="-5"/>
                <w:sz w:val="21"/>
              </w:rPr>
              <w:t>110</w:t>
            </w:r>
          </w:p>
        </w:tc>
        <w:tc>
          <w:tcPr>
            <w:tcW w:w="2225" w:type="dxa"/>
          </w:tcPr>
          <w:p w:rsidR="003F5784" w14:paraId="0645CC3B" w14:textId="77777777">
            <w:pPr>
              <w:pStyle w:val="TableParagraph"/>
              <w:ind w:right="107"/>
              <w:rPr>
                <w:sz w:val="21"/>
              </w:rPr>
            </w:pPr>
            <w:r>
              <w:rPr>
                <w:spacing w:val="-2"/>
                <w:sz w:val="21"/>
              </w:rPr>
              <w:t>99.28</w:t>
            </w:r>
          </w:p>
        </w:tc>
      </w:tr>
      <w:tr w14:paraId="649D8801" w14:textId="77777777">
        <w:tblPrEx>
          <w:tblW w:w="0" w:type="auto"/>
          <w:tblInd w:w="117" w:type="dxa"/>
          <w:tblLayout w:type="fixed"/>
          <w:tblCellMar>
            <w:left w:w="0" w:type="dxa"/>
            <w:right w:w="0" w:type="dxa"/>
          </w:tblCellMar>
          <w:tblLook w:val="01E0"/>
        </w:tblPrEx>
        <w:trPr>
          <w:trHeight w:val="286"/>
        </w:trPr>
        <w:tc>
          <w:tcPr>
            <w:tcW w:w="5281" w:type="dxa"/>
          </w:tcPr>
          <w:p w:rsidR="003F5784" w14:paraId="4D97626D" w14:textId="77777777">
            <w:pPr>
              <w:pStyle w:val="TableParagraph"/>
              <w:ind w:left="117"/>
              <w:jc w:val="left"/>
              <w:rPr>
                <w:sz w:val="21"/>
              </w:rPr>
            </w:pPr>
            <w:r>
              <w:rPr>
                <w:spacing w:val="-2"/>
                <w:sz w:val="21"/>
              </w:rPr>
              <w:t>Ohio–Cleveland</w:t>
            </w:r>
          </w:p>
        </w:tc>
        <w:tc>
          <w:tcPr>
            <w:tcW w:w="4039" w:type="dxa"/>
          </w:tcPr>
          <w:p w:rsidR="003F5784" w14:paraId="43A7DA25" w14:textId="77777777">
            <w:pPr>
              <w:pStyle w:val="TableParagraph"/>
              <w:ind w:right="1304"/>
              <w:rPr>
                <w:sz w:val="21"/>
              </w:rPr>
            </w:pPr>
            <w:r>
              <w:rPr>
                <w:spacing w:val="-5"/>
                <w:sz w:val="21"/>
              </w:rPr>
              <w:t>50</w:t>
            </w:r>
          </w:p>
        </w:tc>
        <w:tc>
          <w:tcPr>
            <w:tcW w:w="3162" w:type="dxa"/>
          </w:tcPr>
          <w:p w:rsidR="003F5784" w14:paraId="1968A286" w14:textId="77777777">
            <w:pPr>
              <w:pStyle w:val="TableParagraph"/>
              <w:ind w:right="1539"/>
              <w:rPr>
                <w:sz w:val="21"/>
              </w:rPr>
            </w:pPr>
            <w:r>
              <w:rPr>
                <w:spacing w:val="-5"/>
                <w:sz w:val="21"/>
              </w:rPr>
              <w:t>50</w:t>
            </w:r>
          </w:p>
        </w:tc>
        <w:tc>
          <w:tcPr>
            <w:tcW w:w="2225" w:type="dxa"/>
          </w:tcPr>
          <w:p w:rsidR="003F5784" w14:paraId="5E2FA36D" w14:textId="77777777">
            <w:pPr>
              <w:pStyle w:val="TableParagraph"/>
              <w:ind w:right="107"/>
              <w:rPr>
                <w:sz w:val="21"/>
              </w:rPr>
            </w:pPr>
            <w:r>
              <w:rPr>
                <w:spacing w:val="-2"/>
                <w:sz w:val="21"/>
              </w:rPr>
              <w:t>100.00</w:t>
            </w:r>
          </w:p>
        </w:tc>
      </w:tr>
      <w:tr w14:paraId="5D6320C7" w14:textId="77777777">
        <w:tblPrEx>
          <w:tblW w:w="0" w:type="auto"/>
          <w:tblInd w:w="117" w:type="dxa"/>
          <w:tblLayout w:type="fixed"/>
          <w:tblCellMar>
            <w:left w:w="0" w:type="dxa"/>
            <w:right w:w="0" w:type="dxa"/>
          </w:tblCellMar>
          <w:tblLook w:val="01E0"/>
        </w:tblPrEx>
        <w:trPr>
          <w:trHeight w:val="286"/>
        </w:trPr>
        <w:tc>
          <w:tcPr>
            <w:tcW w:w="5281" w:type="dxa"/>
          </w:tcPr>
          <w:p w:rsidR="003F5784" w14:paraId="0A776E6D" w14:textId="77777777">
            <w:pPr>
              <w:pStyle w:val="TableParagraph"/>
              <w:ind w:left="117"/>
              <w:jc w:val="left"/>
              <w:rPr>
                <w:sz w:val="21"/>
              </w:rPr>
            </w:pPr>
            <w:r>
              <w:rPr>
                <w:spacing w:val="-4"/>
                <w:sz w:val="21"/>
              </w:rPr>
              <w:t>Ohio</w:t>
            </w:r>
          </w:p>
        </w:tc>
        <w:tc>
          <w:tcPr>
            <w:tcW w:w="4039" w:type="dxa"/>
          </w:tcPr>
          <w:p w:rsidR="003F5784" w14:paraId="22D3F9D5" w14:textId="77777777">
            <w:pPr>
              <w:pStyle w:val="TableParagraph"/>
              <w:ind w:right="1304"/>
              <w:rPr>
                <w:sz w:val="21"/>
              </w:rPr>
            </w:pPr>
            <w:r>
              <w:rPr>
                <w:spacing w:val="-5"/>
                <w:sz w:val="21"/>
              </w:rPr>
              <w:t>130</w:t>
            </w:r>
          </w:p>
        </w:tc>
        <w:tc>
          <w:tcPr>
            <w:tcW w:w="3162" w:type="dxa"/>
          </w:tcPr>
          <w:p w:rsidR="003F5784" w14:paraId="392416A1" w14:textId="77777777">
            <w:pPr>
              <w:pStyle w:val="TableParagraph"/>
              <w:ind w:right="1539"/>
              <w:rPr>
                <w:sz w:val="21"/>
              </w:rPr>
            </w:pPr>
            <w:r>
              <w:rPr>
                <w:spacing w:val="-5"/>
                <w:sz w:val="21"/>
              </w:rPr>
              <w:t>130</w:t>
            </w:r>
          </w:p>
        </w:tc>
        <w:tc>
          <w:tcPr>
            <w:tcW w:w="2225" w:type="dxa"/>
          </w:tcPr>
          <w:p w:rsidR="003F5784" w14:paraId="3884E572" w14:textId="77777777">
            <w:pPr>
              <w:pStyle w:val="TableParagraph"/>
              <w:ind w:right="107"/>
              <w:rPr>
                <w:sz w:val="21"/>
              </w:rPr>
            </w:pPr>
            <w:r>
              <w:rPr>
                <w:spacing w:val="-2"/>
                <w:sz w:val="21"/>
              </w:rPr>
              <w:t>100.00</w:t>
            </w:r>
          </w:p>
        </w:tc>
      </w:tr>
      <w:tr w14:paraId="05CA6188" w14:textId="77777777">
        <w:tblPrEx>
          <w:tblW w:w="0" w:type="auto"/>
          <w:tblInd w:w="117" w:type="dxa"/>
          <w:tblLayout w:type="fixed"/>
          <w:tblCellMar>
            <w:left w:w="0" w:type="dxa"/>
            <w:right w:w="0" w:type="dxa"/>
          </w:tblCellMar>
          <w:tblLook w:val="01E0"/>
        </w:tblPrEx>
        <w:trPr>
          <w:trHeight w:val="286"/>
        </w:trPr>
        <w:tc>
          <w:tcPr>
            <w:tcW w:w="5281" w:type="dxa"/>
          </w:tcPr>
          <w:p w:rsidR="003F5784" w14:paraId="3EED4E61" w14:textId="77777777">
            <w:pPr>
              <w:pStyle w:val="TableParagraph"/>
              <w:ind w:left="117"/>
              <w:jc w:val="left"/>
              <w:rPr>
                <w:sz w:val="21"/>
              </w:rPr>
            </w:pPr>
            <w:r>
              <w:rPr>
                <w:spacing w:val="-2"/>
                <w:sz w:val="21"/>
              </w:rPr>
              <w:t>Oklahoma</w:t>
            </w:r>
          </w:p>
        </w:tc>
        <w:tc>
          <w:tcPr>
            <w:tcW w:w="4039" w:type="dxa"/>
          </w:tcPr>
          <w:p w:rsidR="003F5784" w14:paraId="30E4C225" w14:textId="77777777">
            <w:pPr>
              <w:pStyle w:val="TableParagraph"/>
              <w:ind w:right="1304"/>
              <w:rPr>
                <w:sz w:val="21"/>
              </w:rPr>
            </w:pPr>
            <w:r>
              <w:rPr>
                <w:spacing w:val="-5"/>
                <w:sz w:val="21"/>
              </w:rPr>
              <w:t>90</w:t>
            </w:r>
          </w:p>
        </w:tc>
        <w:tc>
          <w:tcPr>
            <w:tcW w:w="3162" w:type="dxa"/>
          </w:tcPr>
          <w:p w:rsidR="003F5784" w14:paraId="52F8D64A" w14:textId="77777777">
            <w:pPr>
              <w:pStyle w:val="TableParagraph"/>
              <w:ind w:right="1539"/>
              <w:rPr>
                <w:sz w:val="21"/>
              </w:rPr>
            </w:pPr>
            <w:r>
              <w:rPr>
                <w:spacing w:val="-5"/>
                <w:sz w:val="21"/>
              </w:rPr>
              <w:t>90</w:t>
            </w:r>
          </w:p>
        </w:tc>
        <w:tc>
          <w:tcPr>
            <w:tcW w:w="2225" w:type="dxa"/>
          </w:tcPr>
          <w:p w:rsidR="003F5784" w14:paraId="2F41AE59" w14:textId="77777777">
            <w:pPr>
              <w:pStyle w:val="TableParagraph"/>
              <w:ind w:right="107"/>
              <w:rPr>
                <w:sz w:val="21"/>
              </w:rPr>
            </w:pPr>
            <w:r>
              <w:rPr>
                <w:spacing w:val="-2"/>
                <w:sz w:val="21"/>
              </w:rPr>
              <w:t>100.00</w:t>
            </w:r>
          </w:p>
        </w:tc>
      </w:tr>
      <w:tr w14:paraId="71E8A789" w14:textId="77777777">
        <w:tblPrEx>
          <w:tblW w:w="0" w:type="auto"/>
          <w:tblInd w:w="117" w:type="dxa"/>
          <w:tblLayout w:type="fixed"/>
          <w:tblCellMar>
            <w:left w:w="0" w:type="dxa"/>
            <w:right w:w="0" w:type="dxa"/>
          </w:tblCellMar>
          <w:tblLook w:val="01E0"/>
        </w:tblPrEx>
        <w:trPr>
          <w:trHeight w:val="286"/>
        </w:trPr>
        <w:tc>
          <w:tcPr>
            <w:tcW w:w="5281" w:type="dxa"/>
          </w:tcPr>
          <w:p w:rsidR="003F5784" w14:paraId="400C3FAD" w14:textId="77777777">
            <w:pPr>
              <w:pStyle w:val="TableParagraph"/>
              <w:ind w:left="117"/>
              <w:jc w:val="left"/>
              <w:rPr>
                <w:sz w:val="21"/>
              </w:rPr>
            </w:pPr>
            <w:r>
              <w:rPr>
                <w:spacing w:val="-2"/>
                <w:sz w:val="21"/>
              </w:rPr>
              <w:t>Oregon</w:t>
            </w:r>
          </w:p>
        </w:tc>
        <w:tc>
          <w:tcPr>
            <w:tcW w:w="4039" w:type="dxa"/>
          </w:tcPr>
          <w:p w:rsidR="003F5784" w14:paraId="30F39C33" w14:textId="77777777">
            <w:pPr>
              <w:pStyle w:val="TableParagraph"/>
              <w:ind w:right="1304"/>
              <w:rPr>
                <w:sz w:val="21"/>
              </w:rPr>
            </w:pPr>
            <w:r>
              <w:rPr>
                <w:spacing w:val="-5"/>
                <w:sz w:val="21"/>
              </w:rPr>
              <w:t>90</w:t>
            </w:r>
          </w:p>
        </w:tc>
        <w:tc>
          <w:tcPr>
            <w:tcW w:w="3162" w:type="dxa"/>
          </w:tcPr>
          <w:p w:rsidR="003F5784" w14:paraId="0CBC2DE4" w14:textId="77777777">
            <w:pPr>
              <w:pStyle w:val="TableParagraph"/>
              <w:ind w:right="1539"/>
              <w:rPr>
                <w:sz w:val="21"/>
              </w:rPr>
            </w:pPr>
            <w:r>
              <w:rPr>
                <w:spacing w:val="-5"/>
                <w:sz w:val="21"/>
              </w:rPr>
              <w:t>90</w:t>
            </w:r>
          </w:p>
        </w:tc>
        <w:tc>
          <w:tcPr>
            <w:tcW w:w="2225" w:type="dxa"/>
          </w:tcPr>
          <w:p w:rsidR="003F5784" w14:paraId="2A3943BE" w14:textId="77777777">
            <w:pPr>
              <w:pStyle w:val="TableParagraph"/>
              <w:ind w:right="107"/>
              <w:rPr>
                <w:sz w:val="21"/>
              </w:rPr>
            </w:pPr>
            <w:r>
              <w:rPr>
                <w:spacing w:val="-2"/>
                <w:sz w:val="21"/>
              </w:rPr>
              <w:t>100.00</w:t>
            </w:r>
          </w:p>
        </w:tc>
      </w:tr>
      <w:tr w14:paraId="7E9FB8B4" w14:textId="77777777">
        <w:tblPrEx>
          <w:tblW w:w="0" w:type="auto"/>
          <w:tblInd w:w="117" w:type="dxa"/>
          <w:tblLayout w:type="fixed"/>
          <w:tblCellMar>
            <w:left w:w="0" w:type="dxa"/>
            <w:right w:w="0" w:type="dxa"/>
          </w:tblCellMar>
          <w:tblLook w:val="01E0"/>
        </w:tblPrEx>
        <w:trPr>
          <w:trHeight w:val="286"/>
        </w:trPr>
        <w:tc>
          <w:tcPr>
            <w:tcW w:w="5281" w:type="dxa"/>
          </w:tcPr>
          <w:p w:rsidR="003F5784" w14:paraId="057038F8" w14:textId="77777777">
            <w:pPr>
              <w:pStyle w:val="TableParagraph"/>
              <w:ind w:left="117"/>
              <w:jc w:val="left"/>
              <w:rPr>
                <w:sz w:val="21"/>
              </w:rPr>
            </w:pPr>
            <w:r>
              <w:rPr>
                <w:spacing w:val="-2"/>
                <w:sz w:val="21"/>
              </w:rPr>
              <w:t>Pennsylvania–Philadelphia</w:t>
            </w:r>
          </w:p>
        </w:tc>
        <w:tc>
          <w:tcPr>
            <w:tcW w:w="4039" w:type="dxa"/>
          </w:tcPr>
          <w:p w:rsidR="003F5784" w14:paraId="3D4641DC" w14:textId="77777777">
            <w:pPr>
              <w:pStyle w:val="TableParagraph"/>
              <w:ind w:right="1304"/>
              <w:rPr>
                <w:sz w:val="21"/>
              </w:rPr>
            </w:pPr>
            <w:r>
              <w:rPr>
                <w:spacing w:val="-5"/>
                <w:sz w:val="21"/>
              </w:rPr>
              <w:t>40</w:t>
            </w:r>
          </w:p>
        </w:tc>
        <w:tc>
          <w:tcPr>
            <w:tcW w:w="3162" w:type="dxa"/>
          </w:tcPr>
          <w:p w:rsidR="003F5784" w14:paraId="4B595E80" w14:textId="77777777">
            <w:pPr>
              <w:pStyle w:val="TableParagraph"/>
              <w:ind w:right="1539"/>
              <w:rPr>
                <w:sz w:val="21"/>
              </w:rPr>
            </w:pPr>
            <w:r>
              <w:rPr>
                <w:spacing w:val="-5"/>
                <w:sz w:val="21"/>
              </w:rPr>
              <w:t>40</w:t>
            </w:r>
          </w:p>
        </w:tc>
        <w:tc>
          <w:tcPr>
            <w:tcW w:w="2225" w:type="dxa"/>
          </w:tcPr>
          <w:p w:rsidR="003F5784" w14:paraId="3E8B3C93" w14:textId="77777777">
            <w:pPr>
              <w:pStyle w:val="TableParagraph"/>
              <w:ind w:right="107"/>
              <w:rPr>
                <w:sz w:val="21"/>
              </w:rPr>
            </w:pPr>
            <w:r>
              <w:rPr>
                <w:spacing w:val="-2"/>
                <w:sz w:val="21"/>
              </w:rPr>
              <w:t>98.11</w:t>
            </w:r>
          </w:p>
        </w:tc>
      </w:tr>
      <w:tr w14:paraId="20F72C4B" w14:textId="77777777">
        <w:tblPrEx>
          <w:tblW w:w="0" w:type="auto"/>
          <w:tblInd w:w="117" w:type="dxa"/>
          <w:tblLayout w:type="fixed"/>
          <w:tblCellMar>
            <w:left w:w="0" w:type="dxa"/>
            <w:right w:w="0" w:type="dxa"/>
          </w:tblCellMar>
          <w:tblLook w:val="01E0"/>
        </w:tblPrEx>
        <w:trPr>
          <w:trHeight w:val="286"/>
        </w:trPr>
        <w:tc>
          <w:tcPr>
            <w:tcW w:w="5281" w:type="dxa"/>
          </w:tcPr>
          <w:p w:rsidR="003F5784" w14:paraId="507DC168" w14:textId="77777777">
            <w:pPr>
              <w:pStyle w:val="TableParagraph"/>
              <w:ind w:left="117"/>
              <w:jc w:val="left"/>
              <w:rPr>
                <w:sz w:val="21"/>
              </w:rPr>
            </w:pPr>
            <w:r>
              <w:rPr>
                <w:spacing w:val="-2"/>
                <w:sz w:val="21"/>
              </w:rPr>
              <w:t>Pennsylvania</w:t>
            </w:r>
          </w:p>
        </w:tc>
        <w:tc>
          <w:tcPr>
            <w:tcW w:w="4039" w:type="dxa"/>
          </w:tcPr>
          <w:p w:rsidR="003F5784" w14:paraId="0371A1E7" w14:textId="77777777">
            <w:pPr>
              <w:pStyle w:val="TableParagraph"/>
              <w:ind w:right="1304"/>
              <w:rPr>
                <w:sz w:val="21"/>
              </w:rPr>
            </w:pPr>
            <w:r>
              <w:rPr>
                <w:spacing w:val="-5"/>
                <w:sz w:val="21"/>
              </w:rPr>
              <w:t>120</w:t>
            </w:r>
          </w:p>
        </w:tc>
        <w:tc>
          <w:tcPr>
            <w:tcW w:w="3162" w:type="dxa"/>
          </w:tcPr>
          <w:p w:rsidR="003F5784" w14:paraId="395CDCB5" w14:textId="77777777">
            <w:pPr>
              <w:pStyle w:val="TableParagraph"/>
              <w:ind w:right="1539"/>
              <w:rPr>
                <w:sz w:val="21"/>
              </w:rPr>
            </w:pPr>
            <w:r>
              <w:rPr>
                <w:spacing w:val="-5"/>
                <w:sz w:val="21"/>
              </w:rPr>
              <w:t>120</w:t>
            </w:r>
          </w:p>
        </w:tc>
        <w:tc>
          <w:tcPr>
            <w:tcW w:w="2225" w:type="dxa"/>
          </w:tcPr>
          <w:p w:rsidR="003F5784" w14:paraId="3A8BD1AA" w14:textId="77777777">
            <w:pPr>
              <w:pStyle w:val="TableParagraph"/>
              <w:ind w:right="107"/>
              <w:rPr>
                <w:sz w:val="21"/>
              </w:rPr>
            </w:pPr>
            <w:r>
              <w:rPr>
                <w:spacing w:val="-2"/>
                <w:sz w:val="21"/>
              </w:rPr>
              <w:t>99.86</w:t>
            </w:r>
          </w:p>
        </w:tc>
      </w:tr>
      <w:tr w14:paraId="12704B02" w14:textId="77777777">
        <w:tblPrEx>
          <w:tblW w:w="0" w:type="auto"/>
          <w:tblInd w:w="117" w:type="dxa"/>
          <w:tblLayout w:type="fixed"/>
          <w:tblCellMar>
            <w:left w:w="0" w:type="dxa"/>
            <w:right w:w="0" w:type="dxa"/>
          </w:tblCellMar>
          <w:tblLook w:val="01E0"/>
        </w:tblPrEx>
        <w:trPr>
          <w:trHeight w:val="286"/>
        </w:trPr>
        <w:tc>
          <w:tcPr>
            <w:tcW w:w="5281" w:type="dxa"/>
          </w:tcPr>
          <w:p w:rsidR="003F5784" w14:paraId="456B024D" w14:textId="77777777">
            <w:pPr>
              <w:pStyle w:val="TableParagraph"/>
              <w:ind w:left="117"/>
              <w:jc w:val="left"/>
              <w:rPr>
                <w:sz w:val="21"/>
              </w:rPr>
            </w:pPr>
            <w:r>
              <w:rPr>
                <w:sz w:val="21"/>
              </w:rPr>
              <w:t>Rhode</w:t>
            </w:r>
            <w:r>
              <w:rPr>
                <w:spacing w:val="-7"/>
                <w:sz w:val="21"/>
              </w:rPr>
              <w:t xml:space="preserve"> </w:t>
            </w:r>
            <w:r>
              <w:rPr>
                <w:spacing w:val="-2"/>
                <w:sz w:val="21"/>
              </w:rPr>
              <w:t>Island</w:t>
            </w:r>
          </w:p>
        </w:tc>
        <w:tc>
          <w:tcPr>
            <w:tcW w:w="4039" w:type="dxa"/>
          </w:tcPr>
          <w:p w:rsidR="003F5784" w14:paraId="354421A2" w14:textId="77777777">
            <w:pPr>
              <w:pStyle w:val="TableParagraph"/>
              <w:ind w:right="1304"/>
              <w:rPr>
                <w:sz w:val="21"/>
              </w:rPr>
            </w:pPr>
            <w:r>
              <w:rPr>
                <w:spacing w:val="-5"/>
                <w:sz w:val="21"/>
              </w:rPr>
              <w:t>90</w:t>
            </w:r>
          </w:p>
        </w:tc>
        <w:tc>
          <w:tcPr>
            <w:tcW w:w="3162" w:type="dxa"/>
          </w:tcPr>
          <w:p w:rsidR="003F5784" w14:paraId="11CB1FA4" w14:textId="77777777">
            <w:pPr>
              <w:pStyle w:val="TableParagraph"/>
              <w:ind w:right="1539"/>
              <w:rPr>
                <w:sz w:val="21"/>
              </w:rPr>
            </w:pPr>
            <w:r>
              <w:rPr>
                <w:spacing w:val="-5"/>
                <w:sz w:val="21"/>
              </w:rPr>
              <w:t>90</w:t>
            </w:r>
          </w:p>
        </w:tc>
        <w:tc>
          <w:tcPr>
            <w:tcW w:w="2225" w:type="dxa"/>
          </w:tcPr>
          <w:p w:rsidR="003F5784" w14:paraId="38899D9C" w14:textId="77777777">
            <w:pPr>
              <w:pStyle w:val="TableParagraph"/>
              <w:ind w:right="107"/>
              <w:rPr>
                <w:sz w:val="21"/>
              </w:rPr>
            </w:pPr>
            <w:r>
              <w:rPr>
                <w:spacing w:val="-2"/>
                <w:sz w:val="21"/>
              </w:rPr>
              <w:t>100.00</w:t>
            </w:r>
          </w:p>
        </w:tc>
      </w:tr>
      <w:tr w14:paraId="3D2135D1" w14:textId="77777777">
        <w:tblPrEx>
          <w:tblW w:w="0" w:type="auto"/>
          <w:tblInd w:w="117" w:type="dxa"/>
          <w:tblLayout w:type="fixed"/>
          <w:tblCellMar>
            <w:left w:w="0" w:type="dxa"/>
            <w:right w:w="0" w:type="dxa"/>
          </w:tblCellMar>
          <w:tblLook w:val="01E0"/>
        </w:tblPrEx>
        <w:trPr>
          <w:trHeight w:val="286"/>
        </w:trPr>
        <w:tc>
          <w:tcPr>
            <w:tcW w:w="5281" w:type="dxa"/>
          </w:tcPr>
          <w:p w:rsidR="003F5784" w14:paraId="78FA3D53" w14:textId="77777777">
            <w:pPr>
              <w:pStyle w:val="TableParagraph"/>
              <w:ind w:left="117"/>
              <w:jc w:val="left"/>
              <w:rPr>
                <w:sz w:val="21"/>
              </w:rPr>
            </w:pPr>
            <w:r>
              <w:rPr>
                <w:sz w:val="21"/>
              </w:rPr>
              <w:t>South</w:t>
            </w:r>
            <w:r>
              <w:rPr>
                <w:spacing w:val="-6"/>
                <w:sz w:val="21"/>
              </w:rPr>
              <w:t xml:space="preserve"> </w:t>
            </w:r>
            <w:r>
              <w:rPr>
                <w:spacing w:val="-2"/>
                <w:sz w:val="21"/>
              </w:rPr>
              <w:t>Carolina</w:t>
            </w:r>
          </w:p>
        </w:tc>
        <w:tc>
          <w:tcPr>
            <w:tcW w:w="4039" w:type="dxa"/>
          </w:tcPr>
          <w:p w:rsidR="003F5784" w14:paraId="330FA2CC" w14:textId="77777777">
            <w:pPr>
              <w:pStyle w:val="TableParagraph"/>
              <w:ind w:right="1304"/>
              <w:rPr>
                <w:sz w:val="21"/>
              </w:rPr>
            </w:pPr>
            <w:r>
              <w:rPr>
                <w:spacing w:val="-5"/>
                <w:sz w:val="21"/>
              </w:rPr>
              <w:t>90</w:t>
            </w:r>
          </w:p>
        </w:tc>
        <w:tc>
          <w:tcPr>
            <w:tcW w:w="3162" w:type="dxa"/>
          </w:tcPr>
          <w:p w:rsidR="003F5784" w14:paraId="79E53982" w14:textId="77777777">
            <w:pPr>
              <w:pStyle w:val="TableParagraph"/>
              <w:ind w:right="1539"/>
              <w:rPr>
                <w:sz w:val="21"/>
              </w:rPr>
            </w:pPr>
            <w:r>
              <w:rPr>
                <w:spacing w:val="-5"/>
                <w:sz w:val="21"/>
              </w:rPr>
              <w:t>90</w:t>
            </w:r>
          </w:p>
        </w:tc>
        <w:tc>
          <w:tcPr>
            <w:tcW w:w="2225" w:type="dxa"/>
          </w:tcPr>
          <w:p w:rsidR="003F5784" w14:paraId="69DC226A" w14:textId="77777777">
            <w:pPr>
              <w:pStyle w:val="TableParagraph"/>
              <w:ind w:right="107"/>
              <w:rPr>
                <w:sz w:val="21"/>
              </w:rPr>
            </w:pPr>
            <w:r>
              <w:rPr>
                <w:spacing w:val="-2"/>
                <w:sz w:val="21"/>
              </w:rPr>
              <w:t>100.00</w:t>
            </w:r>
          </w:p>
        </w:tc>
      </w:tr>
      <w:tr w14:paraId="52AAC61A" w14:textId="77777777">
        <w:tblPrEx>
          <w:tblW w:w="0" w:type="auto"/>
          <w:tblInd w:w="117" w:type="dxa"/>
          <w:tblLayout w:type="fixed"/>
          <w:tblCellMar>
            <w:left w:w="0" w:type="dxa"/>
            <w:right w:w="0" w:type="dxa"/>
          </w:tblCellMar>
          <w:tblLook w:val="01E0"/>
        </w:tblPrEx>
        <w:trPr>
          <w:trHeight w:val="286"/>
        </w:trPr>
        <w:tc>
          <w:tcPr>
            <w:tcW w:w="5281" w:type="dxa"/>
          </w:tcPr>
          <w:p w:rsidR="003F5784" w14:paraId="3E1A6FB0" w14:textId="77777777">
            <w:pPr>
              <w:pStyle w:val="TableParagraph"/>
              <w:ind w:left="117"/>
              <w:jc w:val="left"/>
              <w:rPr>
                <w:sz w:val="21"/>
              </w:rPr>
            </w:pPr>
            <w:r>
              <w:rPr>
                <w:sz w:val="21"/>
              </w:rPr>
              <w:t>South</w:t>
            </w:r>
            <w:r>
              <w:rPr>
                <w:spacing w:val="-6"/>
                <w:sz w:val="21"/>
              </w:rPr>
              <w:t xml:space="preserve"> </w:t>
            </w:r>
            <w:r>
              <w:rPr>
                <w:spacing w:val="-2"/>
                <w:sz w:val="21"/>
              </w:rPr>
              <w:t>Dakota</w:t>
            </w:r>
          </w:p>
        </w:tc>
        <w:tc>
          <w:tcPr>
            <w:tcW w:w="4039" w:type="dxa"/>
          </w:tcPr>
          <w:p w:rsidR="003F5784" w14:paraId="173B87D6" w14:textId="77777777">
            <w:pPr>
              <w:pStyle w:val="TableParagraph"/>
              <w:ind w:right="1304"/>
              <w:rPr>
                <w:sz w:val="21"/>
              </w:rPr>
            </w:pPr>
            <w:r>
              <w:rPr>
                <w:spacing w:val="-5"/>
                <w:sz w:val="21"/>
              </w:rPr>
              <w:t>120</w:t>
            </w:r>
          </w:p>
        </w:tc>
        <w:tc>
          <w:tcPr>
            <w:tcW w:w="3162" w:type="dxa"/>
          </w:tcPr>
          <w:p w:rsidR="003F5784" w14:paraId="61D6C880" w14:textId="77777777">
            <w:pPr>
              <w:pStyle w:val="TableParagraph"/>
              <w:ind w:right="1539"/>
              <w:rPr>
                <w:sz w:val="21"/>
              </w:rPr>
            </w:pPr>
            <w:r>
              <w:rPr>
                <w:spacing w:val="-5"/>
                <w:sz w:val="21"/>
              </w:rPr>
              <w:t>120</w:t>
            </w:r>
          </w:p>
        </w:tc>
        <w:tc>
          <w:tcPr>
            <w:tcW w:w="2225" w:type="dxa"/>
          </w:tcPr>
          <w:p w:rsidR="003F5784" w14:paraId="07D6B357" w14:textId="77777777">
            <w:pPr>
              <w:pStyle w:val="TableParagraph"/>
              <w:ind w:right="107"/>
              <w:rPr>
                <w:sz w:val="21"/>
              </w:rPr>
            </w:pPr>
            <w:r>
              <w:rPr>
                <w:spacing w:val="-2"/>
                <w:sz w:val="21"/>
              </w:rPr>
              <w:t>100.00</w:t>
            </w:r>
          </w:p>
        </w:tc>
      </w:tr>
      <w:tr w14:paraId="0B81F6EC" w14:textId="77777777">
        <w:tblPrEx>
          <w:tblW w:w="0" w:type="auto"/>
          <w:tblInd w:w="117" w:type="dxa"/>
          <w:tblLayout w:type="fixed"/>
          <w:tblCellMar>
            <w:left w:w="0" w:type="dxa"/>
            <w:right w:w="0" w:type="dxa"/>
          </w:tblCellMar>
          <w:tblLook w:val="01E0"/>
        </w:tblPrEx>
        <w:trPr>
          <w:trHeight w:val="286"/>
        </w:trPr>
        <w:tc>
          <w:tcPr>
            <w:tcW w:w="5281" w:type="dxa"/>
          </w:tcPr>
          <w:p w:rsidR="003F5784" w14:paraId="7C7EC7CE" w14:textId="77777777">
            <w:pPr>
              <w:pStyle w:val="TableParagraph"/>
              <w:ind w:left="117"/>
              <w:jc w:val="left"/>
              <w:rPr>
                <w:sz w:val="21"/>
              </w:rPr>
            </w:pPr>
            <w:r>
              <w:rPr>
                <w:spacing w:val="-2"/>
                <w:sz w:val="21"/>
              </w:rPr>
              <w:t>Tennessee–Shelby</w:t>
            </w:r>
            <w:r>
              <w:rPr>
                <w:sz w:val="21"/>
              </w:rPr>
              <w:t xml:space="preserve"> </w:t>
            </w:r>
            <w:r>
              <w:rPr>
                <w:spacing w:val="-2"/>
                <w:sz w:val="21"/>
              </w:rPr>
              <w:t>County</w:t>
            </w:r>
          </w:p>
        </w:tc>
        <w:tc>
          <w:tcPr>
            <w:tcW w:w="4039" w:type="dxa"/>
          </w:tcPr>
          <w:p w:rsidR="003F5784" w14:paraId="26C42D69" w14:textId="77777777">
            <w:pPr>
              <w:pStyle w:val="TableParagraph"/>
              <w:ind w:right="1304"/>
              <w:rPr>
                <w:sz w:val="21"/>
              </w:rPr>
            </w:pPr>
            <w:r>
              <w:rPr>
                <w:spacing w:val="-5"/>
                <w:sz w:val="21"/>
              </w:rPr>
              <w:t>40</w:t>
            </w:r>
          </w:p>
        </w:tc>
        <w:tc>
          <w:tcPr>
            <w:tcW w:w="3162" w:type="dxa"/>
          </w:tcPr>
          <w:p w:rsidR="003F5784" w14:paraId="4F0EED7C" w14:textId="77777777">
            <w:pPr>
              <w:pStyle w:val="TableParagraph"/>
              <w:ind w:right="1539"/>
              <w:rPr>
                <w:sz w:val="21"/>
              </w:rPr>
            </w:pPr>
            <w:r>
              <w:rPr>
                <w:spacing w:val="-5"/>
                <w:sz w:val="21"/>
              </w:rPr>
              <w:t>40</w:t>
            </w:r>
          </w:p>
        </w:tc>
        <w:tc>
          <w:tcPr>
            <w:tcW w:w="2225" w:type="dxa"/>
          </w:tcPr>
          <w:p w:rsidR="003F5784" w14:paraId="0AB98DCF" w14:textId="77777777">
            <w:pPr>
              <w:pStyle w:val="TableParagraph"/>
              <w:ind w:right="107"/>
              <w:rPr>
                <w:sz w:val="21"/>
              </w:rPr>
            </w:pPr>
            <w:r>
              <w:rPr>
                <w:spacing w:val="-2"/>
                <w:sz w:val="21"/>
              </w:rPr>
              <w:t>100.00</w:t>
            </w:r>
          </w:p>
        </w:tc>
      </w:tr>
      <w:tr w14:paraId="6EB0099D" w14:textId="77777777">
        <w:tblPrEx>
          <w:tblW w:w="0" w:type="auto"/>
          <w:tblInd w:w="117" w:type="dxa"/>
          <w:tblLayout w:type="fixed"/>
          <w:tblCellMar>
            <w:left w:w="0" w:type="dxa"/>
            <w:right w:w="0" w:type="dxa"/>
          </w:tblCellMar>
          <w:tblLook w:val="01E0"/>
        </w:tblPrEx>
        <w:trPr>
          <w:trHeight w:val="286"/>
        </w:trPr>
        <w:tc>
          <w:tcPr>
            <w:tcW w:w="5281" w:type="dxa"/>
          </w:tcPr>
          <w:p w:rsidR="003F5784" w14:paraId="13EA8278" w14:textId="77777777">
            <w:pPr>
              <w:pStyle w:val="TableParagraph"/>
              <w:ind w:left="117"/>
              <w:jc w:val="left"/>
              <w:rPr>
                <w:sz w:val="21"/>
              </w:rPr>
            </w:pPr>
            <w:r>
              <w:rPr>
                <w:spacing w:val="-2"/>
                <w:sz w:val="21"/>
              </w:rPr>
              <w:t>Tennessee</w:t>
            </w:r>
          </w:p>
        </w:tc>
        <w:tc>
          <w:tcPr>
            <w:tcW w:w="4039" w:type="dxa"/>
          </w:tcPr>
          <w:p w:rsidR="003F5784" w14:paraId="269BFB0E" w14:textId="77777777">
            <w:pPr>
              <w:pStyle w:val="TableParagraph"/>
              <w:ind w:right="1304"/>
              <w:rPr>
                <w:sz w:val="21"/>
              </w:rPr>
            </w:pPr>
            <w:r>
              <w:rPr>
                <w:spacing w:val="-5"/>
                <w:sz w:val="21"/>
              </w:rPr>
              <w:t>120</w:t>
            </w:r>
          </w:p>
        </w:tc>
        <w:tc>
          <w:tcPr>
            <w:tcW w:w="3162" w:type="dxa"/>
          </w:tcPr>
          <w:p w:rsidR="003F5784" w14:paraId="48FB0A2C" w14:textId="77777777">
            <w:pPr>
              <w:pStyle w:val="TableParagraph"/>
              <w:ind w:right="1539"/>
              <w:rPr>
                <w:sz w:val="21"/>
              </w:rPr>
            </w:pPr>
            <w:r>
              <w:rPr>
                <w:spacing w:val="-5"/>
                <w:sz w:val="21"/>
              </w:rPr>
              <w:t>120</w:t>
            </w:r>
          </w:p>
        </w:tc>
        <w:tc>
          <w:tcPr>
            <w:tcW w:w="2225" w:type="dxa"/>
          </w:tcPr>
          <w:p w:rsidR="003F5784" w14:paraId="61C21BC4" w14:textId="77777777">
            <w:pPr>
              <w:pStyle w:val="TableParagraph"/>
              <w:ind w:right="107"/>
              <w:rPr>
                <w:sz w:val="21"/>
              </w:rPr>
            </w:pPr>
            <w:r>
              <w:rPr>
                <w:spacing w:val="-2"/>
                <w:sz w:val="21"/>
              </w:rPr>
              <w:t>100.00</w:t>
            </w:r>
          </w:p>
        </w:tc>
      </w:tr>
      <w:tr w14:paraId="40AE9243" w14:textId="77777777">
        <w:tblPrEx>
          <w:tblW w:w="0" w:type="auto"/>
          <w:tblInd w:w="117" w:type="dxa"/>
          <w:tblLayout w:type="fixed"/>
          <w:tblCellMar>
            <w:left w:w="0" w:type="dxa"/>
            <w:right w:w="0" w:type="dxa"/>
          </w:tblCellMar>
          <w:tblLook w:val="01E0"/>
        </w:tblPrEx>
        <w:trPr>
          <w:trHeight w:val="289"/>
        </w:trPr>
        <w:tc>
          <w:tcPr>
            <w:tcW w:w="5281" w:type="dxa"/>
            <w:tcBorders>
              <w:bottom w:val="single" w:sz="18" w:space="0" w:color="800000"/>
            </w:tcBorders>
          </w:tcPr>
          <w:p w:rsidR="003F5784" w14:paraId="726DBCF3" w14:textId="77777777">
            <w:pPr>
              <w:pStyle w:val="TableParagraph"/>
              <w:ind w:left="117"/>
              <w:jc w:val="left"/>
              <w:rPr>
                <w:sz w:val="21"/>
              </w:rPr>
            </w:pPr>
            <w:r>
              <w:rPr>
                <w:spacing w:val="-2"/>
                <w:sz w:val="21"/>
              </w:rPr>
              <w:t>Texas–Austin</w:t>
            </w:r>
          </w:p>
        </w:tc>
        <w:tc>
          <w:tcPr>
            <w:tcW w:w="4039" w:type="dxa"/>
            <w:tcBorders>
              <w:bottom w:val="single" w:sz="18" w:space="0" w:color="800000"/>
            </w:tcBorders>
          </w:tcPr>
          <w:p w:rsidR="003F5784" w14:paraId="76F6AC49" w14:textId="77777777">
            <w:pPr>
              <w:pStyle w:val="TableParagraph"/>
              <w:ind w:right="1304"/>
              <w:rPr>
                <w:sz w:val="21"/>
              </w:rPr>
            </w:pPr>
            <w:r>
              <w:rPr>
                <w:spacing w:val="-5"/>
                <w:sz w:val="21"/>
              </w:rPr>
              <w:t>40</w:t>
            </w:r>
          </w:p>
        </w:tc>
        <w:tc>
          <w:tcPr>
            <w:tcW w:w="3162" w:type="dxa"/>
            <w:tcBorders>
              <w:bottom w:val="single" w:sz="18" w:space="0" w:color="800000"/>
            </w:tcBorders>
          </w:tcPr>
          <w:p w:rsidR="003F5784" w14:paraId="703C7004" w14:textId="77777777">
            <w:pPr>
              <w:pStyle w:val="TableParagraph"/>
              <w:ind w:right="1539"/>
              <w:rPr>
                <w:sz w:val="21"/>
              </w:rPr>
            </w:pPr>
            <w:r>
              <w:rPr>
                <w:spacing w:val="-5"/>
                <w:sz w:val="21"/>
              </w:rPr>
              <w:t>40</w:t>
            </w:r>
          </w:p>
        </w:tc>
        <w:tc>
          <w:tcPr>
            <w:tcW w:w="2225" w:type="dxa"/>
            <w:tcBorders>
              <w:bottom w:val="single" w:sz="18" w:space="0" w:color="800000"/>
            </w:tcBorders>
          </w:tcPr>
          <w:p w:rsidR="003F5784" w14:paraId="59A24143" w14:textId="77777777">
            <w:pPr>
              <w:pStyle w:val="TableParagraph"/>
              <w:ind w:right="107"/>
              <w:rPr>
                <w:sz w:val="21"/>
              </w:rPr>
            </w:pPr>
            <w:r>
              <w:rPr>
                <w:spacing w:val="-2"/>
                <w:sz w:val="21"/>
              </w:rPr>
              <w:t>100.00</w:t>
            </w:r>
          </w:p>
        </w:tc>
      </w:tr>
    </w:tbl>
    <w:p w:rsidR="003F5784" w14:paraId="042DF5E7" w14:textId="77777777">
      <w:pPr>
        <w:pStyle w:val="BodyText"/>
        <w:spacing w:before="37" w:line="238" w:lineRule="exact"/>
        <w:ind w:left="227"/>
      </w:pPr>
      <w:r>
        <w:t>NOTE:</w:t>
      </w:r>
      <w:r>
        <w:rPr>
          <w:spacing w:val="-5"/>
        </w:rPr>
        <w:t xml:space="preserve"> </w:t>
      </w:r>
      <w:r>
        <w:t>Numbers</w:t>
      </w:r>
      <w:r>
        <w:rPr>
          <w:spacing w:val="-5"/>
        </w:rPr>
        <w:t xml:space="preserve"> </w:t>
      </w:r>
      <w:r>
        <w:t>of</w:t>
      </w:r>
      <w:r>
        <w:rPr>
          <w:spacing w:val="-5"/>
        </w:rPr>
        <w:t xml:space="preserve"> </w:t>
      </w:r>
      <w:r>
        <w:t>schools</w:t>
      </w:r>
      <w:r>
        <w:rPr>
          <w:spacing w:val="-5"/>
        </w:rPr>
        <w:t xml:space="preserve"> </w:t>
      </w:r>
      <w:r>
        <w:t>are</w:t>
      </w:r>
      <w:r>
        <w:rPr>
          <w:spacing w:val="-5"/>
        </w:rPr>
        <w:t xml:space="preserve"> </w:t>
      </w:r>
      <w:r>
        <w:t>rounded</w:t>
      </w:r>
      <w:r>
        <w:rPr>
          <w:spacing w:val="-5"/>
        </w:rPr>
        <w:t xml:space="preserve"> </w:t>
      </w:r>
      <w:r>
        <w:t>to</w:t>
      </w:r>
      <w:r>
        <w:rPr>
          <w:spacing w:val="-5"/>
        </w:rPr>
        <w:t xml:space="preserve"> </w:t>
      </w:r>
      <w:r>
        <w:t>nearest</w:t>
      </w:r>
      <w:r>
        <w:rPr>
          <w:spacing w:val="-5"/>
        </w:rPr>
        <w:t xml:space="preserve"> </w:t>
      </w:r>
      <w:r>
        <w:t>ten.</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due</w:t>
      </w:r>
      <w:r>
        <w:rPr>
          <w:spacing w:val="-5"/>
        </w:rPr>
        <w:t xml:space="preserve"> </w:t>
      </w:r>
      <w:r>
        <w:t>to</w:t>
      </w:r>
      <w:r>
        <w:rPr>
          <w:spacing w:val="-5"/>
        </w:rPr>
        <w:t xml:space="preserve"> </w:t>
      </w:r>
      <w:r>
        <w:rPr>
          <w:spacing w:val="-2"/>
        </w:rPr>
        <w:t>rounding.</w:t>
      </w:r>
    </w:p>
    <w:p w:rsidR="003F5784" w14:paraId="723F3F0F" w14:textId="77777777">
      <w:pPr>
        <w:pStyle w:val="BodyText"/>
        <w:spacing w:before="2" w:line="232" w:lineRule="auto"/>
        <w:ind w:left="227" w:right="179"/>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w:t>
      </w:r>
      <w:r>
        <w:rPr>
          <w:spacing w:val="-8"/>
        </w:rPr>
        <w:t xml:space="preserve"> </w:t>
      </w:r>
      <w:r>
        <w:t>(NAEP), 2022 State Mathematics and Reading Assessments.</w:t>
      </w:r>
    </w:p>
    <w:p w:rsidR="003F5784" w14:paraId="7F631FBA" w14:textId="77777777">
      <w:pPr>
        <w:spacing w:line="232" w:lineRule="auto"/>
        <w:sectPr>
          <w:headerReference w:type="default" r:id="rId283"/>
          <w:footerReference w:type="default" r:id="rId284"/>
          <w:pgSz w:w="15840" w:h="12240" w:orient="landscape"/>
          <w:pgMar w:top="820" w:right="440" w:bottom="460" w:left="460" w:header="305" w:footer="275" w:gutter="0"/>
          <w:cols w:space="720"/>
        </w:sectPr>
      </w:pPr>
    </w:p>
    <w:tbl>
      <w:tblPr>
        <w:tblW w:w="0" w:type="auto"/>
        <w:tblInd w:w="117" w:type="dxa"/>
        <w:tblLayout w:type="fixed"/>
        <w:tblCellMar>
          <w:left w:w="0" w:type="dxa"/>
          <w:right w:w="0" w:type="dxa"/>
        </w:tblCellMar>
        <w:tblLook w:val="01E0"/>
      </w:tblPr>
      <w:tblGrid>
        <w:gridCol w:w="6234"/>
        <w:gridCol w:w="3087"/>
        <w:gridCol w:w="3162"/>
        <w:gridCol w:w="2225"/>
      </w:tblGrid>
      <w:tr w14:paraId="09CFCC77" w14:textId="77777777">
        <w:tblPrEx>
          <w:tblW w:w="0" w:type="auto"/>
          <w:tblInd w:w="117" w:type="dxa"/>
          <w:tblLayout w:type="fixed"/>
          <w:tblCellMar>
            <w:left w:w="0" w:type="dxa"/>
            <w:right w:w="0" w:type="dxa"/>
          </w:tblCellMar>
          <w:tblLook w:val="01E0"/>
        </w:tblPrEx>
        <w:trPr>
          <w:trHeight w:val="278"/>
        </w:trPr>
        <w:tc>
          <w:tcPr>
            <w:tcW w:w="6234" w:type="dxa"/>
            <w:tcBorders>
              <w:top w:val="single" w:sz="18" w:space="0" w:color="800000"/>
            </w:tcBorders>
          </w:tcPr>
          <w:p w:rsidR="003F5784" w14:paraId="18C51763" w14:textId="77777777">
            <w:pPr>
              <w:pStyle w:val="TableParagraph"/>
              <w:spacing w:before="9"/>
              <w:ind w:left="117"/>
              <w:jc w:val="left"/>
              <w:rPr>
                <w:sz w:val="21"/>
              </w:rPr>
            </w:pPr>
            <w:r>
              <w:rPr>
                <w:spacing w:val="-2"/>
                <w:sz w:val="21"/>
              </w:rPr>
              <w:t>Texas–Dallas</w:t>
            </w:r>
          </w:p>
        </w:tc>
        <w:tc>
          <w:tcPr>
            <w:tcW w:w="3087" w:type="dxa"/>
            <w:tcBorders>
              <w:top w:val="single" w:sz="18" w:space="0" w:color="800000"/>
            </w:tcBorders>
          </w:tcPr>
          <w:p w:rsidR="003F5784" w14:paraId="5C1EEB55" w14:textId="77777777">
            <w:pPr>
              <w:pStyle w:val="TableParagraph"/>
              <w:spacing w:before="9"/>
              <w:ind w:left="262"/>
              <w:jc w:val="center"/>
              <w:rPr>
                <w:sz w:val="21"/>
              </w:rPr>
            </w:pPr>
            <w:r>
              <w:rPr>
                <w:spacing w:val="-5"/>
                <w:sz w:val="21"/>
              </w:rPr>
              <w:t>40</w:t>
            </w:r>
          </w:p>
        </w:tc>
        <w:tc>
          <w:tcPr>
            <w:tcW w:w="3162" w:type="dxa"/>
            <w:tcBorders>
              <w:top w:val="single" w:sz="18" w:space="0" w:color="800000"/>
            </w:tcBorders>
          </w:tcPr>
          <w:p w:rsidR="003F5784" w14:paraId="293708D4" w14:textId="77777777">
            <w:pPr>
              <w:pStyle w:val="TableParagraph"/>
              <w:spacing w:before="9"/>
              <w:ind w:right="1540"/>
              <w:rPr>
                <w:sz w:val="21"/>
              </w:rPr>
            </w:pPr>
            <w:r>
              <w:rPr>
                <w:spacing w:val="-5"/>
                <w:sz w:val="21"/>
              </w:rPr>
              <w:t>40</w:t>
            </w:r>
          </w:p>
        </w:tc>
        <w:tc>
          <w:tcPr>
            <w:tcW w:w="2225" w:type="dxa"/>
            <w:tcBorders>
              <w:top w:val="single" w:sz="18" w:space="0" w:color="800000"/>
            </w:tcBorders>
          </w:tcPr>
          <w:p w:rsidR="003F5784" w14:paraId="3F5A648A" w14:textId="77777777">
            <w:pPr>
              <w:pStyle w:val="TableParagraph"/>
              <w:spacing w:before="9"/>
              <w:ind w:right="108"/>
              <w:rPr>
                <w:sz w:val="21"/>
              </w:rPr>
            </w:pPr>
            <w:r>
              <w:rPr>
                <w:spacing w:val="-2"/>
                <w:sz w:val="21"/>
              </w:rPr>
              <w:t>100.00</w:t>
            </w:r>
          </w:p>
        </w:tc>
      </w:tr>
      <w:tr w14:paraId="49E35CE4" w14:textId="77777777">
        <w:tblPrEx>
          <w:tblW w:w="0" w:type="auto"/>
          <w:tblInd w:w="117" w:type="dxa"/>
          <w:tblLayout w:type="fixed"/>
          <w:tblCellMar>
            <w:left w:w="0" w:type="dxa"/>
            <w:right w:w="0" w:type="dxa"/>
          </w:tblCellMar>
          <w:tblLook w:val="01E0"/>
        </w:tblPrEx>
        <w:trPr>
          <w:trHeight w:val="286"/>
        </w:trPr>
        <w:tc>
          <w:tcPr>
            <w:tcW w:w="6234" w:type="dxa"/>
          </w:tcPr>
          <w:p w:rsidR="003F5784" w14:paraId="03E3ABE7" w14:textId="77777777">
            <w:pPr>
              <w:pStyle w:val="TableParagraph"/>
              <w:ind w:left="117"/>
              <w:jc w:val="left"/>
              <w:rPr>
                <w:sz w:val="21"/>
              </w:rPr>
            </w:pPr>
            <w:r>
              <w:rPr>
                <w:spacing w:val="-2"/>
                <w:sz w:val="21"/>
              </w:rPr>
              <w:t>Texas–Fort</w:t>
            </w:r>
            <w:r>
              <w:rPr>
                <w:spacing w:val="-10"/>
                <w:sz w:val="21"/>
              </w:rPr>
              <w:t xml:space="preserve"> </w:t>
            </w:r>
            <w:r>
              <w:rPr>
                <w:spacing w:val="-2"/>
                <w:sz w:val="21"/>
              </w:rPr>
              <w:t>Worth</w:t>
            </w:r>
          </w:p>
        </w:tc>
        <w:tc>
          <w:tcPr>
            <w:tcW w:w="3087" w:type="dxa"/>
          </w:tcPr>
          <w:p w:rsidR="003F5784" w14:paraId="50467903" w14:textId="77777777">
            <w:pPr>
              <w:pStyle w:val="TableParagraph"/>
              <w:ind w:left="262"/>
              <w:jc w:val="center"/>
              <w:rPr>
                <w:sz w:val="21"/>
              </w:rPr>
            </w:pPr>
            <w:r>
              <w:rPr>
                <w:spacing w:val="-5"/>
                <w:sz w:val="21"/>
              </w:rPr>
              <w:t>40</w:t>
            </w:r>
          </w:p>
        </w:tc>
        <w:tc>
          <w:tcPr>
            <w:tcW w:w="3162" w:type="dxa"/>
          </w:tcPr>
          <w:p w:rsidR="003F5784" w14:paraId="3A9D357E" w14:textId="77777777">
            <w:pPr>
              <w:pStyle w:val="TableParagraph"/>
              <w:ind w:right="1540"/>
              <w:rPr>
                <w:sz w:val="21"/>
              </w:rPr>
            </w:pPr>
            <w:r>
              <w:rPr>
                <w:spacing w:val="-5"/>
                <w:sz w:val="21"/>
              </w:rPr>
              <w:t>40</w:t>
            </w:r>
          </w:p>
        </w:tc>
        <w:tc>
          <w:tcPr>
            <w:tcW w:w="2225" w:type="dxa"/>
          </w:tcPr>
          <w:p w:rsidR="003F5784" w14:paraId="3C19EE9A" w14:textId="77777777">
            <w:pPr>
              <w:pStyle w:val="TableParagraph"/>
              <w:ind w:right="108"/>
              <w:rPr>
                <w:sz w:val="21"/>
              </w:rPr>
            </w:pPr>
            <w:r>
              <w:rPr>
                <w:spacing w:val="-2"/>
                <w:sz w:val="21"/>
              </w:rPr>
              <w:t>100.00</w:t>
            </w:r>
          </w:p>
        </w:tc>
      </w:tr>
      <w:tr w14:paraId="1904E6B2" w14:textId="77777777">
        <w:tblPrEx>
          <w:tblW w:w="0" w:type="auto"/>
          <w:tblInd w:w="117" w:type="dxa"/>
          <w:tblLayout w:type="fixed"/>
          <w:tblCellMar>
            <w:left w:w="0" w:type="dxa"/>
            <w:right w:w="0" w:type="dxa"/>
          </w:tblCellMar>
          <w:tblLook w:val="01E0"/>
        </w:tblPrEx>
        <w:trPr>
          <w:trHeight w:val="286"/>
        </w:trPr>
        <w:tc>
          <w:tcPr>
            <w:tcW w:w="6234" w:type="dxa"/>
          </w:tcPr>
          <w:p w:rsidR="003F5784" w14:paraId="326F7397" w14:textId="77777777">
            <w:pPr>
              <w:pStyle w:val="TableParagraph"/>
              <w:ind w:left="117"/>
              <w:jc w:val="left"/>
              <w:rPr>
                <w:sz w:val="21"/>
              </w:rPr>
            </w:pPr>
            <w:r>
              <w:rPr>
                <w:spacing w:val="-2"/>
                <w:sz w:val="21"/>
              </w:rPr>
              <w:t>Texas–Houston</w:t>
            </w:r>
          </w:p>
        </w:tc>
        <w:tc>
          <w:tcPr>
            <w:tcW w:w="3087" w:type="dxa"/>
          </w:tcPr>
          <w:p w:rsidR="003F5784" w14:paraId="78B23CBF" w14:textId="77777777">
            <w:pPr>
              <w:pStyle w:val="TableParagraph"/>
              <w:ind w:left="262"/>
              <w:jc w:val="center"/>
              <w:rPr>
                <w:sz w:val="21"/>
              </w:rPr>
            </w:pPr>
            <w:r>
              <w:rPr>
                <w:spacing w:val="-5"/>
                <w:sz w:val="21"/>
              </w:rPr>
              <w:t>60</w:t>
            </w:r>
          </w:p>
        </w:tc>
        <w:tc>
          <w:tcPr>
            <w:tcW w:w="3162" w:type="dxa"/>
          </w:tcPr>
          <w:p w:rsidR="003F5784" w14:paraId="68D163DF" w14:textId="77777777">
            <w:pPr>
              <w:pStyle w:val="TableParagraph"/>
              <w:ind w:right="1540"/>
              <w:rPr>
                <w:sz w:val="21"/>
              </w:rPr>
            </w:pPr>
            <w:r>
              <w:rPr>
                <w:spacing w:val="-5"/>
                <w:sz w:val="21"/>
              </w:rPr>
              <w:t>60</w:t>
            </w:r>
          </w:p>
        </w:tc>
        <w:tc>
          <w:tcPr>
            <w:tcW w:w="2225" w:type="dxa"/>
          </w:tcPr>
          <w:p w:rsidR="003F5784" w14:paraId="43F13ED9" w14:textId="77777777">
            <w:pPr>
              <w:pStyle w:val="TableParagraph"/>
              <w:ind w:right="108"/>
              <w:rPr>
                <w:sz w:val="21"/>
              </w:rPr>
            </w:pPr>
            <w:r>
              <w:rPr>
                <w:spacing w:val="-2"/>
                <w:sz w:val="21"/>
              </w:rPr>
              <w:t>100.00</w:t>
            </w:r>
          </w:p>
        </w:tc>
      </w:tr>
      <w:tr w14:paraId="5A8306B6" w14:textId="77777777">
        <w:tblPrEx>
          <w:tblW w:w="0" w:type="auto"/>
          <w:tblInd w:w="117" w:type="dxa"/>
          <w:tblLayout w:type="fixed"/>
          <w:tblCellMar>
            <w:left w:w="0" w:type="dxa"/>
            <w:right w:w="0" w:type="dxa"/>
          </w:tblCellMar>
          <w:tblLook w:val="01E0"/>
        </w:tblPrEx>
        <w:trPr>
          <w:trHeight w:val="286"/>
        </w:trPr>
        <w:tc>
          <w:tcPr>
            <w:tcW w:w="6234" w:type="dxa"/>
          </w:tcPr>
          <w:p w:rsidR="003F5784" w14:paraId="6C1308A9" w14:textId="77777777">
            <w:pPr>
              <w:pStyle w:val="TableParagraph"/>
              <w:ind w:left="117"/>
              <w:jc w:val="left"/>
              <w:rPr>
                <w:sz w:val="21"/>
              </w:rPr>
            </w:pPr>
            <w:r>
              <w:rPr>
                <w:spacing w:val="-2"/>
                <w:sz w:val="21"/>
              </w:rPr>
              <w:t>Texas</w:t>
            </w:r>
          </w:p>
        </w:tc>
        <w:tc>
          <w:tcPr>
            <w:tcW w:w="3087" w:type="dxa"/>
          </w:tcPr>
          <w:p w:rsidR="003F5784" w14:paraId="31403EF8" w14:textId="77777777">
            <w:pPr>
              <w:pStyle w:val="TableParagraph"/>
              <w:ind w:left="262" w:right="104"/>
              <w:jc w:val="center"/>
              <w:rPr>
                <w:sz w:val="21"/>
              </w:rPr>
            </w:pPr>
            <w:r>
              <w:rPr>
                <w:spacing w:val="-5"/>
                <w:sz w:val="21"/>
              </w:rPr>
              <w:t>260</w:t>
            </w:r>
          </w:p>
        </w:tc>
        <w:tc>
          <w:tcPr>
            <w:tcW w:w="3162" w:type="dxa"/>
          </w:tcPr>
          <w:p w:rsidR="003F5784" w14:paraId="08BC8870" w14:textId="77777777">
            <w:pPr>
              <w:pStyle w:val="TableParagraph"/>
              <w:ind w:right="1540"/>
              <w:rPr>
                <w:sz w:val="21"/>
              </w:rPr>
            </w:pPr>
            <w:r>
              <w:rPr>
                <w:spacing w:val="-5"/>
                <w:sz w:val="21"/>
              </w:rPr>
              <w:t>260</w:t>
            </w:r>
          </w:p>
        </w:tc>
        <w:tc>
          <w:tcPr>
            <w:tcW w:w="2225" w:type="dxa"/>
          </w:tcPr>
          <w:p w:rsidR="003F5784" w14:paraId="43CAEA15" w14:textId="77777777">
            <w:pPr>
              <w:pStyle w:val="TableParagraph"/>
              <w:ind w:right="108"/>
              <w:rPr>
                <w:sz w:val="21"/>
              </w:rPr>
            </w:pPr>
            <w:r>
              <w:rPr>
                <w:spacing w:val="-2"/>
                <w:sz w:val="21"/>
              </w:rPr>
              <w:t>100.00</w:t>
            </w:r>
          </w:p>
        </w:tc>
      </w:tr>
      <w:tr w14:paraId="0F852671" w14:textId="77777777">
        <w:tblPrEx>
          <w:tblW w:w="0" w:type="auto"/>
          <w:tblInd w:w="117" w:type="dxa"/>
          <w:tblLayout w:type="fixed"/>
          <w:tblCellMar>
            <w:left w:w="0" w:type="dxa"/>
            <w:right w:w="0" w:type="dxa"/>
          </w:tblCellMar>
          <w:tblLook w:val="01E0"/>
        </w:tblPrEx>
        <w:trPr>
          <w:trHeight w:val="286"/>
        </w:trPr>
        <w:tc>
          <w:tcPr>
            <w:tcW w:w="6234" w:type="dxa"/>
          </w:tcPr>
          <w:p w:rsidR="003F5784" w14:paraId="6FA56136" w14:textId="77777777">
            <w:pPr>
              <w:pStyle w:val="TableParagraph"/>
              <w:ind w:left="117"/>
              <w:jc w:val="left"/>
              <w:rPr>
                <w:sz w:val="21"/>
              </w:rPr>
            </w:pPr>
            <w:r>
              <w:rPr>
                <w:spacing w:val="-4"/>
                <w:sz w:val="21"/>
              </w:rPr>
              <w:t>Utah</w:t>
            </w:r>
          </w:p>
        </w:tc>
        <w:tc>
          <w:tcPr>
            <w:tcW w:w="3087" w:type="dxa"/>
          </w:tcPr>
          <w:p w:rsidR="003F5784" w14:paraId="368F4071" w14:textId="77777777">
            <w:pPr>
              <w:pStyle w:val="TableParagraph"/>
              <w:ind w:left="262"/>
              <w:jc w:val="center"/>
              <w:rPr>
                <w:sz w:val="21"/>
              </w:rPr>
            </w:pPr>
            <w:r>
              <w:rPr>
                <w:spacing w:val="-5"/>
                <w:sz w:val="21"/>
              </w:rPr>
              <w:t>80</w:t>
            </w:r>
          </w:p>
        </w:tc>
        <w:tc>
          <w:tcPr>
            <w:tcW w:w="3162" w:type="dxa"/>
          </w:tcPr>
          <w:p w:rsidR="003F5784" w14:paraId="30A7F137" w14:textId="77777777">
            <w:pPr>
              <w:pStyle w:val="TableParagraph"/>
              <w:ind w:right="1540"/>
              <w:rPr>
                <w:sz w:val="21"/>
              </w:rPr>
            </w:pPr>
            <w:r>
              <w:rPr>
                <w:spacing w:val="-5"/>
                <w:sz w:val="21"/>
              </w:rPr>
              <w:t>80</w:t>
            </w:r>
          </w:p>
        </w:tc>
        <w:tc>
          <w:tcPr>
            <w:tcW w:w="2225" w:type="dxa"/>
          </w:tcPr>
          <w:p w:rsidR="003F5784" w14:paraId="35DD8D5E" w14:textId="77777777">
            <w:pPr>
              <w:pStyle w:val="TableParagraph"/>
              <w:ind w:right="108"/>
              <w:rPr>
                <w:sz w:val="21"/>
              </w:rPr>
            </w:pPr>
            <w:r>
              <w:rPr>
                <w:spacing w:val="-2"/>
                <w:sz w:val="21"/>
              </w:rPr>
              <w:t>100.00</w:t>
            </w:r>
          </w:p>
        </w:tc>
      </w:tr>
      <w:tr w14:paraId="049048B6" w14:textId="77777777">
        <w:tblPrEx>
          <w:tblW w:w="0" w:type="auto"/>
          <w:tblInd w:w="117" w:type="dxa"/>
          <w:tblLayout w:type="fixed"/>
          <w:tblCellMar>
            <w:left w:w="0" w:type="dxa"/>
            <w:right w:w="0" w:type="dxa"/>
          </w:tblCellMar>
          <w:tblLook w:val="01E0"/>
        </w:tblPrEx>
        <w:trPr>
          <w:trHeight w:val="286"/>
        </w:trPr>
        <w:tc>
          <w:tcPr>
            <w:tcW w:w="6234" w:type="dxa"/>
          </w:tcPr>
          <w:p w:rsidR="003F5784" w14:paraId="022087FC" w14:textId="77777777">
            <w:pPr>
              <w:pStyle w:val="TableParagraph"/>
              <w:ind w:left="117"/>
              <w:jc w:val="left"/>
              <w:rPr>
                <w:sz w:val="21"/>
              </w:rPr>
            </w:pPr>
            <w:r>
              <w:rPr>
                <w:spacing w:val="-2"/>
                <w:sz w:val="21"/>
              </w:rPr>
              <w:t>Vermont</w:t>
            </w:r>
          </w:p>
        </w:tc>
        <w:tc>
          <w:tcPr>
            <w:tcW w:w="3087" w:type="dxa"/>
          </w:tcPr>
          <w:p w:rsidR="003F5784" w14:paraId="350D743D" w14:textId="77777777">
            <w:pPr>
              <w:pStyle w:val="TableParagraph"/>
              <w:ind w:left="262" w:right="104"/>
              <w:jc w:val="center"/>
              <w:rPr>
                <w:sz w:val="21"/>
              </w:rPr>
            </w:pPr>
            <w:r>
              <w:rPr>
                <w:spacing w:val="-5"/>
                <w:sz w:val="21"/>
              </w:rPr>
              <w:t>130</w:t>
            </w:r>
          </w:p>
        </w:tc>
        <w:tc>
          <w:tcPr>
            <w:tcW w:w="3162" w:type="dxa"/>
          </w:tcPr>
          <w:p w:rsidR="003F5784" w14:paraId="603109A6" w14:textId="77777777">
            <w:pPr>
              <w:pStyle w:val="TableParagraph"/>
              <w:ind w:right="1540"/>
              <w:rPr>
                <w:sz w:val="21"/>
              </w:rPr>
            </w:pPr>
            <w:r>
              <w:rPr>
                <w:spacing w:val="-5"/>
                <w:sz w:val="21"/>
              </w:rPr>
              <w:t>130</w:t>
            </w:r>
          </w:p>
        </w:tc>
        <w:tc>
          <w:tcPr>
            <w:tcW w:w="2225" w:type="dxa"/>
          </w:tcPr>
          <w:p w:rsidR="003F5784" w14:paraId="544C0CB4" w14:textId="77777777">
            <w:pPr>
              <w:pStyle w:val="TableParagraph"/>
              <w:ind w:right="108"/>
              <w:rPr>
                <w:sz w:val="21"/>
              </w:rPr>
            </w:pPr>
            <w:r>
              <w:rPr>
                <w:spacing w:val="-2"/>
                <w:sz w:val="21"/>
              </w:rPr>
              <w:t>100.00</w:t>
            </w:r>
          </w:p>
        </w:tc>
      </w:tr>
      <w:tr w14:paraId="3671DED1" w14:textId="77777777">
        <w:tblPrEx>
          <w:tblW w:w="0" w:type="auto"/>
          <w:tblInd w:w="117" w:type="dxa"/>
          <w:tblLayout w:type="fixed"/>
          <w:tblCellMar>
            <w:left w:w="0" w:type="dxa"/>
            <w:right w:w="0" w:type="dxa"/>
          </w:tblCellMar>
          <w:tblLook w:val="01E0"/>
        </w:tblPrEx>
        <w:trPr>
          <w:trHeight w:val="286"/>
        </w:trPr>
        <w:tc>
          <w:tcPr>
            <w:tcW w:w="6234" w:type="dxa"/>
          </w:tcPr>
          <w:p w:rsidR="003F5784" w14:paraId="2E421023" w14:textId="77777777">
            <w:pPr>
              <w:pStyle w:val="TableParagraph"/>
              <w:ind w:left="117"/>
              <w:jc w:val="left"/>
              <w:rPr>
                <w:sz w:val="21"/>
              </w:rPr>
            </w:pPr>
            <w:r>
              <w:rPr>
                <w:spacing w:val="-2"/>
                <w:sz w:val="21"/>
              </w:rPr>
              <w:t>Virginia</w:t>
            </w:r>
          </w:p>
        </w:tc>
        <w:tc>
          <w:tcPr>
            <w:tcW w:w="3087" w:type="dxa"/>
          </w:tcPr>
          <w:p w:rsidR="003F5784" w14:paraId="3771D406" w14:textId="77777777">
            <w:pPr>
              <w:pStyle w:val="TableParagraph"/>
              <w:ind w:left="262"/>
              <w:jc w:val="center"/>
              <w:rPr>
                <w:sz w:val="21"/>
              </w:rPr>
            </w:pPr>
            <w:r>
              <w:rPr>
                <w:spacing w:val="-5"/>
                <w:sz w:val="21"/>
              </w:rPr>
              <w:t>80</w:t>
            </w:r>
          </w:p>
        </w:tc>
        <w:tc>
          <w:tcPr>
            <w:tcW w:w="3162" w:type="dxa"/>
          </w:tcPr>
          <w:p w:rsidR="003F5784" w14:paraId="24DFC4B2" w14:textId="77777777">
            <w:pPr>
              <w:pStyle w:val="TableParagraph"/>
              <w:ind w:right="1540"/>
              <w:rPr>
                <w:sz w:val="21"/>
              </w:rPr>
            </w:pPr>
            <w:r>
              <w:rPr>
                <w:spacing w:val="-5"/>
                <w:sz w:val="21"/>
              </w:rPr>
              <w:t>80</w:t>
            </w:r>
          </w:p>
        </w:tc>
        <w:tc>
          <w:tcPr>
            <w:tcW w:w="2225" w:type="dxa"/>
          </w:tcPr>
          <w:p w:rsidR="003F5784" w14:paraId="3789A453" w14:textId="77777777">
            <w:pPr>
              <w:pStyle w:val="TableParagraph"/>
              <w:ind w:right="108"/>
              <w:rPr>
                <w:sz w:val="21"/>
              </w:rPr>
            </w:pPr>
            <w:r>
              <w:rPr>
                <w:spacing w:val="-2"/>
                <w:sz w:val="21"/>
              </w:rPr>
              <w:t>100.00</w:t>
            </w:r>
          </w:p>
        </w:tc>
      </w:tr>
      <w:tr w14:paraId="60D8C0FE" w14:textId="77777777">
        <w:tblPrEx>
          <w:tblW w:w="0" w:type="auto"/>
          <w:tblInd w:w="117" w:type="dxa"/>
          <w:tblLayout w:type="fixed"/>
          <w:tblCellMar>
            <w:left w:w="0" w:type="dxa"/>
            <w:right w:w="0" w:type="dxa"/>
          </w:tblCellMar>
          <w:tblLook w:val="01E0"/>
        </w:tblPrEx>
        <w:trPr>
          <w:trHeight w:val="286"/>
        </w:trPr>
        <w:tc>
          <w:tcPr>
            <w:tcW w:w="6234" w:type="dxa"/>
          </w:tcPr>
          <w:p w:rsidR="003F5784" w14:paraId="497DC986" w14:textId="77777777">
            <w:pPr>
              <w:pStyle w:val="TableParagraph"/>
              <w:ind w:left="117"/>
              <w:jc w:val="left"/>
              <w:rPr>
                <w:sz w:val="21"/>
              </w:rPr>
            </w:pPr>
            <w:r>
              <w:rPr>
                <w:spacing w:val="-2"/>
                <w:sz w:val="21"/>
              </w:rPr>
              <w:t>Washington</w:t>
            </w:r>
          </w:p>
        </w:tc>
        <w:tc>
          <w:tcPr>
            <w:tcW w:w="3087" w:type="dxa"/>
          </w:tcPr>
          <w:p w:rsidR="003F5784" w14:paraId="79A8EC19" w14:textId="77777777">
            <w:pPr>
              <w:pStyle w:val="TableParagraph"/>
              <w:ind w:left="262"/>
              <w:jc w:val="center"/>
              <w:rPr>
                <w:sz w:val="21"/>
              </w:rPr>
            </w:pPr>
            <w:r>
              <w:rPr>
                <w:spacing w:val="-5"/>
                <w:sz w:val="21"/>
              </w:rPr>
              <w:t>90</w:t>
            </w:r>
          </w:p>
        </w:tc>
        <w:tc>
          <w:tcPr>
            <w:tcW w:w="3162" w:type="dxa"/>
          </w:tcPr>
          <w:p w:rsidR="003F5784" w14:paraId="607673CA" w14:textId="77777777">
            <w:pPr>
              <w:pStyle w:val="TableParagraph"/>
              <w:ind w:right="1540"/>
              <w:rPr>
                <w:sz w:val="21"/>
              </w:rPr>
            </w:pPr>
            <w:r>
              <w:rPr>
                <w:spacing w:val="-5"/>
                <w:sz w:val="21"/>
              </w:rPr>
              <w:t>90</w:t>
            </w:r>
          </w:p>
        </w:tc>
        <w:tc>
          <w:tcPr>
            <w:tcW w:w="2225" w:type="dxa"/>
          </w:tcPr>
          <w:p w:rsidR="003F5784" w14:paraId="3B44FE33" w14:textId="77777777">
            <w:pPr>
              <w:pStyle w:val="TableParagraph"/>
              <w:ind w:right="108"/>
              <w:rPr>
                <w:sz w:val="21"/>
              </w:rPr>
            </w:pPr>
            <w:r>
              <w:rPr>
                <w:spacing w:val="-2"/>
                <w:sz w:val="21"/>
              </w:rPr>
              <w:t>100.00</w:t>
            </w:r>
          </w:p>
        </w:tc>
      </w:tr>
      <w:tr w14:paraId="5229053D" w14:textId="77777777">
        <w:tblPrEx>
          <w:tblW w:w="0" w:type="auto"/>
          <w:tblInd w:w="117" w:type="dxa"/>
          <w:tblLayout w:type="fixed"/>
          <w:tblCellMar>
            <w:left w:w="0" w:type="dxa"/>
            <w:right w:w="0" w:type="dxa"/>
          </w:tblCellMar>
          <w:tblLook w:val="01E0"/>
        </w:tblPrEx>
        <w:trPr>
          <w:trHeight w:val="286"/>
        </w:trPr>
        <w:tc>
          <w:tcPr>
            <w:tcW w:w="6234" w:type="dxa"/>
          </w:tcPr>
          <w:p w:rsidR="003F5784" w14:paraId="7670C1A3" w14:textId="77777777">
            <w:pPr>
              <w:pStyle w:val="TableParagraph"/>
              <w:ind w:left="117"/>
              <w:jc w:val="left"/>
              <w:rPr>
                <w:sz w:val="21"/>
              </w:rPr>
            </w:pPr>
            <w:r>
              <w:rPr>
                <w:spacing w:val="-5"/>
                <w:sz w:val="21"/>
              </w:rPr>
              <w:t>West</w:t>
            </w:r>
            <w:r>
              <w:rPr>
                <w:spacing w:val="-7"/>
                <w:sz w:val="21"/>
              </w:rPr>
              <w:t xml:space="preserve"> </w:t>
            </w:r>
            <w:r>
              <w:rPr>
                <w:spacing w:val="-2"/>
                <w:sz w:val="21"/>
              </w:rPr>
              <w:t>Virginia</w:t>
            </w:r>
          </w:p>
        </w:tc>
        <w:tc>
          <w:tcPr>
            <w:tcW w:w="3087" w:type="dxa"/>
          </w:tcPr>
          <w:p w:rsidR="003F5784" w14:paraId="5EC18399" w14:textId="77777777">
            <w:pPr>
              <w:pStyle w:val="TableParagraph"/>
              <w:ind w:left="262" w:right="104"/>
              <w:jc w:val="center"/>
              <w:rPr>
                <w:sz w:val="21"/>
              </w:rPr>
            </w:pPr>
            <w:r>
              <w:rPr>
                <w:spacing w:val="-5"/>
                <w:sz w:val="21"/>
              </w:rPr>
              <w:t>100</w:t>
            </w:r>
          </w:p>
        </w:tc>
        <w:tc>
          <w:tcPr>
            <w:tcW w:w="3162" w:type="dxa"/>
          </w:tcPr>
          <w:p w:rsidR="003F5784" w14:paraId="40E26850" w14:textId="77777777">
            <w:pPr>
              <w:pStyle w:val="TableParagraph"/>
              <w:ind w:right="1540"/>
              <w:rPr>
                <w:sz w:val="21"/>
              </w:rPr>
            </w:pPr>
            <w:r>
              <w:rPr>
                <w:spacing w:val="-5"/>
                <w:sz w:val="21"/>
              </w:rPr>
              <w:t>100</w:t>
            </w:r>
          </w:p>
        </w:tc>
        <w:tc>
          <w:tcPr>
            <w:tcW w:w="2225" w:type="dxa"/>
          </w:tcPr>
          <w:p w:rsidR="003F5784" w14:paraId="48C895D6" w14:textId="77777777">
            <w:pPr>
              <w:pStyle w:val="TableParagraph"/>
              <w:ind w:right="108"/>
              <w:rPr>
                <w:sz w:val="21"/>
              </w:rPr>
            </w:pPr>
            <w:r>
              <w:rPr>
                <w:spacing w:val="-2"/>
                <w:sz w:val="21"/>
              </w:rPr>
              <w:t>100.00</w:t>
            </w:r>
          </w:p>
        </w:tc>
      </w:tr>
      <w:tr w14:paraId="3DBA6A1E" w14:textId="77777777">
        <w:tblPrEx>
          <w:tblW w:w="0" w:type="auto"/>
          <w:tblInd w:w="117" w:type="dxa"/>
          <w:tblLayout w:type="fixed"/>
          <w:tblCellMar>
            <w:left w:w="0" w:type="dxa"/>
            <w:right w:w="0" w:type="dxa"/>
          </w:tblCellMar>
          <w:tblLook w:val="01E0"/>
        </w:tblPrEx>
        <w:trPr>
          <w:trHeight w:val="286"/>
        </w:trPr>
        <w:tc>
          <w:tcPr>
            <w:tcW w:w="6234" w:type="dxa"/>
          </w:tcPr>
          <w:p w:rsidR="003F5784" w14:paraId="0ABACE7A" w14:textId="77777777">
            <w:pPr>
              <w:pStyle w:val="TableParagraph"/>
              <w:ind w:left="117"/>
              <w:jc w:val="left"/>
              <w:rPr>
                <w:sz w:val="21"/>
              </w:rPr>
            </w:pPr>
            <w:r>
              <w:rPr>
                <w:spacing w:val="-2"/>
                <w:sz w:val="21"/>
              </w:rPr>
              <w:t>Wisconsin–Milwaukee</w:t>
            </w:r>
          </w:p>
        </w:tc>
        <w:tc>
          <w:tcPr>
            <w:tcW w:w="3087" w:type="dxa"/>
          </w:tcPr>
          <w:p w:rsidR="003F5784" w14:paraId="3B8FE594" w14:textId="77777777">
            <w:pPr>
              <w:pStyle w:val="TableParagraph"/>
              <w:ind w:left="262"/>
              <w:jc w:val="center"/>
              <w:rPr>
                <w:sz w:val="21"/>
              </w:rPr>
            </w:pPr>
            <w:r>
              <w:rPr>
                <w:spacing w:val="-5"/>
                <w:sz w:val="21"/>
              </w:rPr>
              <w:t>50</w:t>
            </w:r>
          </w:p>
        </w:tc>
        <w:tc>
          <w:tcPr>
            <w:tcW w:w="3162" w:type="dxa"/>
          </w:tcPr>
          <w:p w:rsidR="003F5784" w14:paraId="1A672EA4" w14:textId="77777777">
            <w:pPr>
              <w:pStyle w:val="TableParagraph"/>
              <w:ind w:right="1540"/>
              <w:rPr>
                <w:sz w:val="21"/>
              </w:rPr>
            </w:pPr>
            <w:r>
              <w:rPr>
                <w:spacing w:val="-5"/>
                <w:sz w:val="21"/>
              </w:rPr>
              <w:t>50</w:t>
            </w:r>
          </w:p>
        </w:tc>
        <w:tc>
          <w:tcPr>
            <w:tcW w:w="2225" w:type="dxa"/>
          </w:tcPr>
          <w:p w:rsidR="003F5784" w14:paraId="0375152F" w14:textId="77777777">
            <w:pPr>
              <w:pStyle w:val="TableParagraph"/>
              <w:ind w:right="108"/>
              <w:rPr>
                <w:sz w:val="21"/>
              </w:rPr>
            </w:pPr>
            <w:r>
              <w:rPr>
                <w:spacing w:val="-2"/>
                <w:sz w:val="21"/>
              </w:rPr>
              <w:t>100.00</w:t>
            </w:r>
          </w:p>
        </w:tc>
      </w:tr>
      <w:tr w14:paraId="003AD05A" w14:textId="77777777">
        <w:tblPrEx>
          <w:tblW w:w="0" w:type="auto"/>
          <w:tblInd w:w="117" w:type="dxa"/>
          <w:tblLayout w:type="fixed"/>
          <w:tblCellMar>
            <w:left w:w="0" w:type="dxa"/>
            <w:right w:w="0" w:type="dxa"/>
          </w:tblCellMar>
          <w:tblLook w:val="01E0"/>
        </w:tblPrEx>
        <w:trPr>
          <w:trHeight w:val="286"/>
        </w:trPr>
        <w:tc>
          <w:tcPr>
            <w:tcW w:w="6234" w:type="dxa"/>
          </w:tcPr>
          <w:p w:rsidR="003F5784" w14:paraId="3385C3A9" w14:textId="77777777">
            <w:pPr>
              <w:pStyle w:val="TableParagraph"/>
              <w:ind w:left="117"/>
              <w:jc w:val="left"/>
              <w:rPr>
                <w:sz w:val="21"/>
              </w:rPr>
            </w:pPr>
            <w:r>
              <w:rPr>
                <w:spacing w:val="-2"/>
                <w:sz w:val="21"/>
              </w:rPr>
              <w:t>Wisconsin</w:t>
            </w:r>
          </w:p>
        </w:tc>
        <w:tc>
          <w:tcPr>
            <w:tcW w:w="3087" w:type="dxa"/>
          </w:tcPr>
          <w:p w:rsidR="003F5784" w14:paraId="2DAFFE2A" w14:textId="77777777">
            <w:pPr>
              <w:pStyle w:val="TableParagraph"/>
              <w:ind w:left="262" w:right="104"/>
              <w:jc w:val="center"/>
              <w:rPr>
                <w:sz w:val="21"/>
              </w:rPr>
            </w:pPr>
            <w:r>
              <w:rPr>
                <w:spacing w:val="-5"/>
                <w:sz w:val="21"/>
              </w:rPr>
              <w:t>130</w:t>
            </w:r>
          </w:p>
        </w:tc>
        <w:tc>
          <w:tcPr>
            <w:tcW w:w="3162" w:type="dxa"/>
          </w:tcPr>
          <w:p w:rsidR="003F5784" w14:paraId="53B66DF1" w14:textId="77777777">
            <w:pPr>
              <w:pStyle w:val="TableParagraph"/>
              <w:ind w:right="1540"/>
              <w:rPr>
                <w:sz w:val="21"/>
              </w:rPr>
            </w:pPr>
            <w:r>
              <w:rPr>
                <w:spacing w:val="-5"/>
                <w:sz w:val="21"/>
              </w:rPr>
              <w:t>130</w:t>
            </w:r>
          </w:p>
        </w:tc>
        <w:tc>
          <w:tcPr>
            <w:tcW w:w="2225" w:type="dxa"/>
          </w:tcPr>
          <w:p w:rsidR="003F5784" w14:paraId="18A4AAD8" w14:textId="77777777">
            <w:pPr>
              <w:pStyle w:val="TableParagraph"/>
              <w:ind w:right="108"/>
              <w:rPr>
                <w:sz w:val="21"/>
              </w:rPr>
            </w:pPr>
            <w:r>
              <w:rPr>
                <w:spacing w:val="-2"/>
                <w:sz w:val="21"/>
              </w:rPr>
              <w:t>100.00</w:t>
            </w:r>
          </w:p>
        </w:tc>
      </w:tr>
      <w:tr w14:paraId="57DD2D6E" w14:textId="77777777">
        <w:tblPrEx>
          <w:tblW w:w="0" w:type="auto"/>
          <w:tblInd w:w="117" w:type="dxa"/>
          <w:tblLayout w:type="fixed"/>
          <w:tblCellMar>
            <w:left w:w="0" w:type="dxa"/>
            <w:right w:w="0" w:type="dxa"/>
          </w:tblCellMar>
          <w:tblLook w:val="01E0"/>
        </w:tblPrEx>
        <w:trPr>
          <w:trHeight w:val="286"/>
        </w:trPr>
        <w:tc>
          <w:tcPr>
            <w:tcW w:w="6234" w:type="dxa"/>
          </w:tcPr>
          <w:p w:rsidR="003F5784" w14:paraId="6B57C2CB" w14:textId="77777777">
            <w:pPr>
              <w:pStyle w:val="TableParagraph"/>
              <w:ind w:left="117"/>
              <w:jc w:val="left"/>
              <w:rPr>
                <w:sz w:val="21"/>
              </w:rPr>
            </w:pPr>
            <w:r>
              <w:rPr>
                <w:spacing w:val="-2"/>
                <w:sz w:val="21"/>
              </w:rPr>
              <w:t>Wyoming</w:t>
            </w:r>
          </w:p>
        </w:tc>
        <w:tc>
          <w:tcPr>
            <w:tcW w:w="3087" w:type="dxa"/>
          </w:tcPr>
          <w:p w:rsidR="003F5784" w14:paraId="20D8C522" w14:textId="77777777">
            <w:pPr>
              <w:pStyle w:val="TableParagraph"/>
              <w:ind w:left="262" w:right="104"/>
              <w:jc w:val="center"/>
              <w:rPr>
                <w:sz w:val="21"/>
              </w:rPr>
            </w:pPr>
            <w:r>
              <w:rPr>
                <w:spacing w:val="-5"/>
                <w:sz w:val="21"/>
              </w:rPr>
              <w:t>100</w:t>
            </w:r>
          </w:p>
        </w:tc>
        <w:tc>
          <w:tcPr>
            <w:tcW w:w="3162" w:type="dxa"/>
          </w:tcPr>
          <w:p w:rsidR="003F5784" w14:paraId="370F740E" w14:textId="77777777">
            <w:pPr>
              <w:pStyle w:val="TableParagraph"/>
              <w:ind w:right="1540"/>
              <w:rPr>
                <w:sz w:val="21"/>
              </w:rPr>
            </w:pPr>
            <w:r>
              <w:rPr>
                <w:spacing w:val="-5"/>
                <w:sz w:val="21"/>
              </w:rPr>
              <w:t>90</w:t>
            </w:r>
          </w:p>
        </w:tc>
        <w:tc>
          <w:tcPr>
            <w:tcW w:w="2225" w:type="dxa"/>
          </w:tcPr>
          <w:p w:rsidR="003F5784" w14:paraId="66E41A98" w14:textId="77777777">
            <w:pPr>
              <w:pStyle w:val="TableParagraph"/>
              <w:ind w:right="108"/>
              <w:rPr>
                <w:sz w:val="21"/>
              </w:rPr>
            </w:pPr>
            <w:r>
              <w:rPr>
                <w:spacing w:val="-2"/>
                <w:sz w:val="21"/>
              </w:rPr>
              <w:t>98.78</w:t>
            </w:r>
          </w:p>
        </w:tc>
      </w:tr>
      <w:tr w14:paraId="2D7D302B" w14:textId="77777777">
        <w:tblPrEx>
          <w:tblW w:w="0" w:type="auto"/>
          <w:tblInd w:w="117" w:type="dxa"/>
          <w:tblLayout w:type="fixed"/>
          <w:tblCellMar>
            <w:left w:w="0" w:type="dxa"/>
            <w:right w:w="0" w:type="dxa"/>
          </w:tblCellMar>
          <w:tblLook w:val="01E0"/>
        </w:tblPrEx>
        <w:trPr>
          <w:trHeight w:val="286"/>
        </w:trPr>
        <w:tc>
          <w:tcPr>
            <w:tcW w:w="14708" w:type="dxa"/>
            <w:gridSpan w:val="4"/>
          </w:tcPr>
          <w:p w:rsidR="003F5784" w14:paraId="5B24CA99" w14:textId="77777777">
            <w:pPr>
              <w:pStyle w:val="TableParagraph"/>
              <w:ind w:left="117"/>
              <w:jc w:val="left"/>
              <w:rPr>
                <w:sz w:val="21"/>
              </w:rPr>
            </w:pPr>
            <w:r>
              <w:rPr>
                <w:sz w:val="21"/>
              </w:rPr>
              <w:t>Other</w:t>
            </w:r>
            <w:r>
              <w:rPr>
                <w:spacing w:val="-6"/>
                <w:sz w:val="21"/>
              </w:rPr>
              <w:t xml:space="preserve"> </w:t>
            </w:r>
            <w:r>
              <w:rPr>
                <w:spacing w:val="-2"/>
                <w:sz w:val="21"/>
              </w:rPr>
              <w:t>jurisdictions</w:t>
            </w:r>
          </w:p>
        </w:tc>
      </w:tr>
      <w:tr w14:paraId="6C022391" w14:textId="77777777">
        <w:tblPrEx>
          <w:tblW w:w="0" w:type="auto"/>
          <w:tblInd w:w="117" w:type="dxa"/>
          <w:tblLayout w:type="fixed"/>
          <w:tblCellMar>
            <w:left w:w="0" w:type="dxa"/>
            <w:right w:w="0" w:type="dxa"/>
          </w:tblCellMar>
          <w:tblLook w:val="01E0"/>
        </w:tblPrEx>
        <w:trPr>
          <w:trHeight w:val="286"/>
        </w:trPr>
        <w:tc>
          <w:tcPr>
            <w:tcW w:w="6234" w:type="dxa"/>
          </w:tcPr>
          <w:p w:rsidR="003F5784" w14:paraId="36AD9A45" w14:textId="77777777">
            <w:pPr>
              <w:pStyle w:val="TableParagraph"/>
              <w:ind w:left="325"/>
              <w:jc w:val="left"/>
              <w:rPr>
                <w:sz w:val="21"/>
              </w:rPr>
            </w:pPr>
            <w:r>
              <w:rPr>
                <w:sz w:val="21"/>
              </w:rPr>
              <w:t>Department</w:t>
            </w:r>
            <w:r>
              <w:rPr>
                <w:spacing w:val="-13"/>
                <w:sz w:val="21"/>
              </w:rPr>
              <w:t xml:space="preserve"> </w:t>
            </w:r>
            <w:r>
              <w:rPr>
                <w:sz w:val="21"/>
              </w:rPr>
              <w:t>of</w:t>
            </w:r>
            <w:r>
              <w:rPr>
                <w:spacing w:val="-8"/>
                <w:sz w:val="21"/>
              </w:rPr>
              <w:t xml:space="preserve"> </w:t>
            </w:r>
            <w:r>
              <w:rPr>
                <w:sz w:val="21"/>
              </w:rPr>
              <w:t>Defense</w:t>
            </w:r>
            <w:r>
              <w:rPr>
                <w:spacing w:val="-8"/>
                <w:sz w:val="21"/>
              </w:rPr>
              <w:t xml:space="preserve"> </w:t>
            </w:r>
            <w:r>
              <w:rPr>
                <w:sz w:val="21"/>
              </w:rPr>
              <w:t>Education</w:t>
            </w:r>
            <w:r>
              <w:rPr>
                <w:spacing w:val="-13"/>
                <w:sz w:val="21"/>
              </w:rPr>
              <w:t xml:space="preserve"> </w:t>
            </w:r>
            <w:r>
              <w:rPr>
                <w:sz w:val="21"/>
              </w:rPr>
              <w:t>Activity</w:t>
            </w:r>
            <w:r>
              <w:rPr>
                <w:spacing w:val="-8"/>
                <w:sz w:val="21"/>
              </w:rPr>
              <w:t xml:space="preserve"> </w:t>
            </w:r>
            <w:r>
              <w:rPr>
                <w:spacing w:val="-2"/>
                <w:sz w:val="21"/>
              </w:rPr>
              <w:t>(DoDEA)</w:t>
            </w:r>
          </w:p>
        </w:tc>
        <w:tc>
          <w:tcPr>
            <w:tcW w:w="3087" w:type="dxa"/>
          </w:tcPr>
          <w:p w:rsidR="003F5784" w14:paraId="3D0408D5" w14:textId="77777777">
            <w:pPr>
              <w:pStyle w:val="TableParagraph"/>
              <w:ind w:left="262"/>
              <w:jc w:val="center"/>
              <w:rPr>
                <w:sz w:val="21"/>
              </w:rPr>
            </w:pPr>
            <w:r>
              <w:rPr>
                <w:spacing w:val="-5"/>
                <w:sz w:val="21"/>
              </w:rPr>
              <w:t>90</w:t>
            </w:r>
          </w:p>
        </w:tc>
        <w:tc>
          <w:tcPr>
            <w:tcW w:w="3162" w:type="dxa"/>
          </w:tcPr>
          <w:p w:rsidR="003F5784" w14:paraId="5ED39CF5" w14:textId="77777777">
            <w:pPr>
              <w:pStyle w:val="TableParagraph"/>
              <w:ind w:right="1540"/>
              <w:rPr>
                <w:sz w:val="21"/>
              </w:rPr>
            </w:pPr>
            <w:r>
              <w:rPr>
                <w:spacing w:val="-5"/>
                <w:sz w:val="21"/>
              </w:rPr>
              <w:t>80</w:t>
            </w:r>
          </w:p>
        </w:tc>
        <w:tc>
          <w:tcPr>
            <w:tcW w:w="2225" w:type="dxa"/>
          </w:tcPr>
          <w:p w:rsidR="003F5784" w14:paraId="77394B14" w14:textId="77777777">
            <w:pPr>
              <w:pStyle w:val="TableParagraph"/>
              <w:ind w:right="108"/>
              <w:rPr>
                <w:sz w:val="21"/>
              </w:rPr>
            </w:pPr>
            <w:r>
              <w:rPr>
                <w:spacing w:val="-2"/>
                <w:sz w:val="21"/>
              </w:rPr>
              <w:t>94.55</w:t>
            </w:r>
          </w:p>
        </w:tc>
      </w:tr>
      <w:tr w14:paraId="6AC466E3" w14:textId="77777777">
        <w:tblPrEx>
          <w:tblW w:w="0" w:type="auto"/>
          <w:tblInd w:w="117" w:type="dxa"/>
          <w:tblLayout w:type="fixed"/>
          <w:tblCellMar>
            <w:left w:w="0" w:type="dxa"/>
            <w:right w:w="0" w:type="dxa"/>
          </w:tblCellMar>
          <w:tblLook w:val="01E0"/>
        </w:tblPrEx>
        <w:trPr>
          <w:trHeight w:val="286"/>
        </w:trPr>
        <w:tc>
          <w:tcPr>
            <w:tcW w:w="6234" w:type="dxa"/>
          </w:tcPr>
          <w:p w:rsidR="003F5784" w14:paraId="291B61B2" w14:textId="77777777">
            <w:pPr>
              <w:pStyle w:val="TableParagraph"/>
              <w:ind w:left="325"/>
              <w:jc w:val="left"/>
              <w:rPr>
                <w:sz w:val="21"/>
              </w:rPr>
            </w:pPr>
            <w:r>
              <w:rPr>
                <w:sz w:val="21"/>
              </w:rPr>
              <w:t>District</w:t>
            </w:r>
            <w:r>
              <w:rPr>
                <w:spacing w:val="-7"/>
                <w:sz w:val="21"/>
              </w:rPr>
              <w:t xml:space="preserve"> </w:t>
            </w:r>
            <w:r>
              <w:rPr>
                <w:sz w:val="21"/>
              </w:rPr>
              <w:t>of</w:t>
            </w:r>
            <w:r>
              <w:rPr>
                <w:spacing w:val="-6"/>
                <w:sz w:val="21"/>
              </w:rPr>
              <w:t xml:space="preserve"> </w:t>
            </w:r>
            <w:r>
              <w:rPr>
                <w:sz w:val="21"/>
              </w:rPr>
              <w:t>Columbia</w:t>
            </w:r>
            <w:r>
              <w:rPr>
                <w:spacing w:val="-7"/>
                <w:sz w:val="21"/>
              </w:rPr>
              <w:t xml:space="preserve"> </w:t>
            </w:r>
            <w:r>
              <w:rPr>
                <w:spacing w:val="-2"/>
                <w:sz w:val="21"/>
              </w:rPr>
              <w:t>(TUDA)</w:t>
            </w:r>
          </w:p>
        </w:tc>
        <w:tc>
          <w:tcPr>
            <w:tcW w:w="3087" w:type="dxa"/>
          </w:tcPr>
          <w:p w:rsidR="003F5784" w14:paraId="1A7FB26C" w14:textId="77777777">
            <w:pPr>
              <w:pStyle w:val="TableParagraph"/>
              <w:ind w:left="262"/>
              <w:jc w:val="center"/>
              <w:rPr>
                <w:sz w:val="21"/>
              </w:rPr>
            </w:pPr>
            <w:r>
              <w:rPr>
                <w:spacing w:val="-5"/>
                <w:sz w:val="21"/>
              </w:rPr>
              <w:t>50</w:t>
            </w:r>
          </w:p>
        </w:tc>
        <w:tc>
          <w:tcPr>
            <w:tcW w:w="3162" w:type="dxa"/>
          </w:tcPr>
          <w:p w:rsidR="003F5784" w14:paraId="2FEC9B06" w14:textId="77777777">
            <w:pPr>
              <w:pStyle w:val="TableParagraph"/>
              <w:ind w:right="1540"/>
              <w:rPr>
                <w:sz w:val="21"/>
              </w:rPr>
            </w:pPr>
            <w:r>
              <w:rPr>
                <w:spacing w:val="-5"/>
                <w:sz w:val="21"/>
              </w:rPr>
              <w:t>50</w:t>
            </w:r>
          </w:p>
        </w:tc>
        <w:tc>
          <w:tcPr>
            <w:tcW w:w="2225" w:type="dxa"/>
          </w:tcPr>
          <w:p w:rsidR="003F5784" w14:paraId="2303FB17" w14:textId="77777777">
            <w:pPr>
              <w:pStyle w:val="TableParagraph"/>
              <w:ind w:right="108"/>
              <w:rPr>
                <w:sz w:val="21"/>
              </w:rPr>
            </w:pPr>
            <w:r>
              <w:rPr>
                <w:spacing w:val="-2"/>
                <w:sz w:val="21"/>
              </w:rPr>
              <w:t>100.00</w:t>
            </w:r>
          </w:p>
        </w:tc>
      </w:tr>
      <w:tr w14:paraId="4CC236DA" w14:textId="77777777">
        <w:tblPrEx>
          <w:tblW w:w="0" w:type="auto"/>
          <w:tblInd w:w="117" w:type="dxa"/>
          <w:tblLayout w:type="fixed"/>
          <w:tblCellMar>
            <w:left w:w="0" w:type="dxa"/>
            <w:right w:w="0" w:type="dxa"/>
          </w:tblCellMar>
          <w:tblLook w:val="01E0"/>
        </w:tblPrEx>
        <w:trPr>
          <w:trHeight w:val="286"/>
        </w:trPr>
        <w:tc>
          <w:tcPr>
            <w:tcW w:w="6234" w:type="dxa"/>
          </w:tcPr>
          <w:p w:rsidR="003F5784" w14:paraId="0BAC01E3" w14:textId="77777777">
            <w:pPr>
              <w:pStyle w:val="TableParagraph"/>
              <w:ind w:left="325"/>
              <w:jc w:val="left"/>
              <w:rPr>
                <w:sz w:val="21"/>
              </w:rPr>
            </w:pPr>
            <w:r>
              <w:rPr>
                <w:sz w:val="21"/>
              </w:rPr>
              <w:t>District</w:t>
            </w:r>
            <w:r>
              <w:rPr>
                <w:spacing w:val="-6"/>
                <w:sz w:val="21"/>
              </w:rPr>
              <w:t xml:space="preserve"> </w:t>
            </w:r>
            <w:r>
              <w:rPr>
                <w:sz w:val="21"/>
              </w:rPr>
              <w:t>of</w:t>
            </w:r>
            <w:r>
              <w:rPr>
                <w:spacing w:val="-5"/>
                <w:sz w:val="21"/>
              </w:rPr>
              <w:t xml:space="preserve"> </w:t>
            </w:r>
            <w:r>
              <w:rPr>
                <w:spacing w:val="-2"/>
                <w:sz w:val="21"/>
              </w:rPr>
              <w:t>Columbia</w:t>
            </w:r>
          </w:p>
        </w:tc>
        <w:tc>
          <w:tcPr>
            <w:tcW w:w="3087" w:type="dxa"/>
          </w:tcPr>
          <w:p w:rsidR="003F5784" w14:paraId="60D118D6" w14:textId="77777777">
            <w:pPr>
              <w:pStyle w:val="TableParagraph"/>
              <w:ind w:left="262"/>
              <w:jc w:val="center"/>
              <w:rPr>
                <w:sz w:val="21"/>
              </w:rPr>
            </w:pPr>
            <w:r>
              <w:rPr>
                <w:spacing w:val="-5"/>
                <w:sz w:val="21"/>
              </w:rPr>
              <w:t>90</w:t>
            </w:r>
          </w:p>
        </w:tc>
        <w:tc>
          <w:tcPr>
            <w:tcW w:w="3162" w:type="dxa"/>
          </w:tcPr>
          <w:p w:rsidR="003F5784" w14:paraId="50B2AC7F" w14:textId="77777777">
            <w:pPr>
              <w:pStyle w:val="TableParagraph"/>
              <w:ind w:right="1540"/>
              <w:rPr>
                <w:sz w:val="21"/>
              </w:rPr>
            </w:pPr>
            <w:r>
              <w:rPr>
                <w:spacing w:val="-5"/>
                <w:sz w:val="21"/>
              </w:rPr>
              <w:t>90</w:t>
            </w:r>
          </w:p>
        </w:tc>
        <w:tc>
          <w:tcPr>
            <w:tcW w:w="2225" w:type="dxa"/>
          </w:tcPr>
          <w:p w:rsidR="003F5784" w14:paraId="71906D69" w14:textId="77777777">
            <w:pPr>
              <w:pStyle w:val="TableParagraph"/>
              <w:ind w:right="108"/>
              <w:rPr>
                <w:sz w:val="21"/>
              </w:rPr>
            </w:pPr>
            <w:r>
              <w:rPr>
                <w:spacing w:val="-2"/>
                <w:sz w:val="21"/>
              </w:rPr>
              <w:t>100.00</w:t>
            </w:r>
          </w:p>
        </w:tc>
      </w:tr>
      <w:tr w14:paraId="24DBF57B" w14:textId="77777777">
        <w:tblPrEx>
          <w:tblW w:w="0" w:type="auto"/>
          <w:tblInd w:w="117" w:type="dxa"/>
          <w:tblLayout w:type="fixed"/>
          <w:tblCellMar>
            <w:left w:w="0" w:type="dxa"/>
            <w:right w:w="0" w:type="dxa"/>
          </w:tblCellMar>
          <w:tblLook w:val="01E0"/>
        </w:tblPrEx>
        <w:trPr>
          <w:trHeight w:val="289"/>
        </w:trPr>
        <w:tc>
          <w:tcPr>
            <w:tcW w:w="6234" w:type="dxa"/>
            <w:tcBorders>
              <w:bottom w:val="single" w:sz="18" w:space="0" w:color="800000"/>
            </w:tcBorders>
          </w:tcPr>
          <w:p w:rsidR="003F5784" w14:paraId="51BF1DA4" w14:textId="77777777">
            <w:pPr>
              <w:pStyle w:val="TableParagraph"/>
              <w:ind w:left="325"/>
              <w:jc w:val="left"/>
              <w:rPr>
                <w:sz w:val="21"/>
              </w:rPr>
            </w:pPr>
            <w:r>
              <w:rPr>
                <w:sz w:val="21"/>
              </w:rPr>
              <w:t>Puerto</w:t>
            </w:r>
            <w:r>
              <w:rPr>
                <w:spacing w:val="-7"/>
                <w:sz w:val="21"/>
              </w:rPr>
              <w:t xml:space="preserve"> </w:t>
            </w:r>
            <w:r>
              <w:rPr>
                <w:spacing w:val="-4"/>
                <w:sz w:val="21"/>
              </w:rPr>
              <w:t>Rico</w:t>
            </w:r>
          </w:p>
        </w:tc>
        <w:tc>
          <w:tcPr>
            <w:tcW w:w="3087" w:type="dxa"/>
            <w:tcBorders>
              <w:bottom w:val="single" w:sz="18" w:space="0" w:color="800000"/>
            </w:tcBorders>
          </w:tcPr>
          <w:p w:rsidR="003F5784" w14:paraId="2BE0EB41" w14:textId="77777777">
            <w:pPr>
              <w:pStyle w:val="TableParagraph"/>
              <w:ind w:left="262" w:right="104"/>
              <w:jc w:val="center"/>
              <w:rPr>
                <w:sz w:val="21"/>
              </w:rPr>
            </w:pPr>
            <w:r>
              <w:rPr>
                <w:spacing w:val="-5"/>
                <w:sz w:val="21"/>
              </w:rPr>
              <w:t>150</w:t>
            </w:r>
          </w:p>
        </w:tc>
        <w:tc>
          <w:tcPr>
            <w:tcW w:w="3162" w:type="dxa"/>
            <w:tcBorders>
              <w:bottom w:val="single" w:sz="18" w:space="0" w:color="800000"/>
            </w:tcBorders>
          </w:tcPr>
          <w:p w:rsidR="003F5784" w14:paraId="6EADEBCF" w14:textId="77777777">
            <w:pPr>
              <w:pStyle w:val="TableParagraph"/>
              <w:ind w:right="1540"/>
              <w:rPr>
                <w:sz w:val="21"/>
              </w:rPr>
            </w:pPr>
            <w:r>
              <w:rPr>
                <w:spacing w:val="-5"/>
                <w:sz w:val="21"/>
              </w:rPr>
              <w:t>150</w:t>
            </w:r>
          </w:p>
        </w:tc>
        <w:tc>
          <w:tcPr>
            <w:tcW w:w="2225" w:type="dxa"/>
            <w:tcBorders>
              <w:bottom w:val="single" w:sz="18" w:space="0" w:color="800000"/>
            </w:tcBorders>
          </w:tcPr>
          <w:p w:rsidR="003F5784" w14:paraId="213C642E" w14:textId="77777777">
            <w:pPr>
              <w:pStyle w:val="TableParagraph"/>
              <w:ind w:right="108"/>
              <w:rPr>
                <w:sz w:val="21"/>
              </w:rPr>
            </w:pPr>
            <w:r>
              <w:rPr>
                <w:spacing w:val="-2"/>
                <w:sz w:val="21"/>
              </w:rPr>
              <w:t>100.00</w:t>
            </w:r>
          </w:p>
        </w:tc>
      </w:tr>
    </w:tbl>
    <w:p w:rsidR="003F5784" w14:paraId="25652F13" w14:textId="77777777">
      <w:pPr>
        <w:pStyle w:val="BodyText"/>
        <w:spacing w:before="25" w:line="238" w:lineRule="exact"/>
        <w:ind w:left="227"/>
      </w:pPr>
      <w:r>
        <w:t>NOTE:</w:t>
      </w:r>
      <w:r>
        <w:rPr>
          <w:spacing w:val="-5"/>
        </w:rPr>
        <w:t xml:space="preserve"> </w:t>
      </w:r>
      <w:r>
        <w:t>Numbers</w:t>
      </w:r>
      <w:r>
        <w:rPr>
          <w:spacing w:val="-5"/>
        </w:rPr>
        <w:t xml:space="preserve"> </w:t>
      </w:r>
      <w:r>
        <w:t>of</w:t>
      </w:r>
      <w:r>
        <w:rPr>
          <w:spacing w:val="-5"/>
        </w:rPr>
        <w:t xml:space="preserve"> </w:t>
      </w:r>
      <w:r>
        <w:t>schools</w:t>
      </w:r>
      <w:r>
        <w:rPr>
          <w:spacing w:val="-5"/>
        </w:rPr>
        <w:t xml:space="preserve"> </w:t>
      </w:r>
      <w:r>
        <w:t>are</w:t>
      </w:r>
      <w:r>
        <w:rPr>
          <w:spacing w:val="-5"/>
        </w:rPr>
        <w:t xml:space="preserve"> </w:t>
      </w:r>
      <w:r>
        <w:t>rounded</w:t>
      </w:r>
      <w:r>
        <w:rPr>
          <w:spacing w:val="-5"/>
        </w:rPr>
        <w:t xml:space="preserve"> </w:t>
      </w:r>
      <w:r>
        <w:t>to</w:t>
      </w:r>
      <w:r>
        <w:rPr>
          <w:spacing w:val="-5"/>
        </w:rPr>
        <w:t xml:space="preserve"> </w:t>
      </w:r>
      <w:r>
        <w:t>nearest</w:t>
      </w:r>
      <w:r>
        <w:rPr>
          <w:spacing w:val="-5"/>
        </w:rPr>
        <w:t xml:space="preserve"> </w:t>
      </w:r>
      <w:r>
        <w:t>ten.</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due</w:t>
      </w:r>
      <w:r>
        <w:rPr>
          <w:spacing w:val="-5"/>
        </w:rPr>
        <w:t xml:space="preserve"> </w:t>
      </w:r>
      <w:r>
        <w:t>to</w:t>
      </w:r>
      <w:r>
        <w:rPr>
          <w:spacing w:val="-5"/>
        </w:rPr>
        <w:t xml:space="preserve"> </w:t>
      </w:r>
      <w:r>
        <w:rPr>
          <w:spacing w:val="-2"/>
        </w:rPr>
        <w:t>rounding.</w:t>
      </w:r>
    </w:p>
    <w:p w:rsidR="003F5784" w14:paraId="35CBB901" w14:textId="77777777">
      <w:pPr>
        <w:pStyle w:val="BodyText"/>
        <w:spacing w:before="2" w:line="232" w:lineRule="auto"/>
        <w:ind w:left="227" w:right="179"/>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w:t>
      </w:r>
      <w:r>
        <w:rPr>
          <w:spacing w:val="-8"/>
        </w:rPr>
        <w:t xml:space="preserve"> </w:t>
      </w:r>
      <w:r>
        <w:t>(NAEP), 2022 State Mathematics and Reading Assessments.</w:t>
      </w:r>
    </w:p>
    <w:p w:rsidR="003F5784" w14:paraId="638531AE" w14:textId="77777777">
      <w:pPr>
        <w:pStyle w:val="BodyText"/>
      </w:pPr>
    </w:p>
    <w:p w:rsidR="003F5784" w14:paraId="07CFC3A5" w14:textId="77777777">
      <w:pPr>
        <w:pStyle w:val="BodyText"/>
        <w:spacing w:before="204"/>
      </w:pPr>
    </w:p>
    <w:p w:rsidR="003F5784" w14:paraId="489145D7" w14:textId="77777777">
      <w:pPr>
        <w:spacing w:before="1"/>
        <w:ind w:left="976"/>
        <w:rPr>
          <w:sz w:val="18"/>
        </w:rPr>
      </w:pPr>
      <w:hyperlink r:id="rId285">
        <w:r>
          <w:rPr>
            <w:spacing w:val="-2"/>
            <w:w w:val="105"/>
            <w:sz w:val="18"/>
          </w:rPr>
          <w:t>http://nces.ed.gov/nationsreportcard/tdw/sample_design/2022/weighted_response_rates_of_fourth_grade_school_sample_by_participating_jurisdiction_for_the_2022_state_assess.aspx</w:t>
        </w:r>
      </w:hyperlink>
    </w:p>
    <w:p w:rsidR="003F5784" w14:paraId="08312C17" w14:textId="77777777">
      <w:pPr>
        <w:pStyle w:val="BodyText"/>
        <w:rPr>
          <w:sz w:val="16"/>
        </w:rPr>
      </w:pPr>
      <w:r>
        <w:rPr>
          <w:noProof/>
        </w:rPr>
        <mc:AlternateContent>
          <mc:Choice Requires="wps">
            <w:drawing>
              <wp:anchor distT="0" distB="0" distL="0" distR="0" simplePos="0" relativeHeight="251929600" behindDoc="1" locked="0" layoutInCell="1" allowOverlap="1">
                <wp:simplePos x="0" y="0"/>
                <wp:positionH relativeFrom="page">
                  <wp:posOffset>361937</wp:posOffset>
                </wp:positionH>
                <wp:positionV relativeFrom="paragraph">
                  <wp:posOffset>132454</wp:posOffset>
                </wp:positionV>
                <wp:extent cx="9339580" cy="8890"/>
                <wp:effectExtent l="0" t="0" r="0" b="0"/>
                <wp:wrapTopAndBottom/>
                <wp:docPr id="365" name="Graphic 365"/>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80"/>
                              </a:lnTo>
                              <a:lnTo>
                                <a:pt x="9335110" y="8305"/>
                              </a:lnTo>
                              <a:lnTo>
                                <a:pt x="9338970" y="8305"/>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365" o:spid="_x0000_s1138" style="width:735.4pt;height:0.7pt;margin-top:10.45pt;margin-left:28.5pt;mso-position-horizontal-relative:page;mso-wrap-distance-bottom:0;mso-wrap-distance-left:0;mso-wrap-distance-right:0;mso-wrap-distance-top:0;mso-wrap-style:square;position:absolute;visibility:visible;v-text-anchor:top;z-index:-251385856" coordsize="9339580,8890" path="m9338970,25l9335110,25l8280,25,,,,8280l9335110,8305l9338970,8305l9338970,25xe" fillcolor="gray" stroked="f">
                <v:path arrowok="t"/>
                <w10:wrap type="topAndBottom"/>
              </v:shape>
            </w:pict>
          </mc:Fallback>
        </mc:AlternateContent>
      </w:r>
    </w:p>
    <w:p w:rsidR="003F5784" w14:paraId="61751FCE" w14:textId="77777777">
      <w:pPr>
        <w:pStyle w:val="BodyText"/>
        <w:rPr>
          <w:sz w:val="18"/>
        </w:rPr>
      </w:pPr>
    </w:p>
    <w:p w:rsidR="003F5784" w14:paraId="65521D8A" w14:textId="77777777">
      <w:pPr>
        <w:pStyle w:val="BodyText"/>
        <w:spacing w:before="193"/>
        <w:rPr>
          <w:sz w:val="18"/>
        </w:rPr>
      </w:pPr>
    </w:p>
    <w:p w:rsidR="003F5784" w14:paraId="1A443311" w14:textId="1B26248E">
      <w:pPr>
        <w:pStyle w:val="Heading1"/>
        <w:spacing w:line="244" w:lineRule="auto"/>
      </w:pPr>
      <w:r>
        <w:t>NAEP</w:t>
      </w:r>
      <w:r>
        <w:rPr>
          <w:spacing w:val="-15"/>
        </w:rPr>
        <w:t xml:space="preserve"> </w:t>
      </w:r>
      <w:r>
        <w:t>Technical Documentation Weighted Student Remote Rates by Participating Jurisdiction for the 2022 State Assessment</w:t>
      </w:r>
    </w:p>
    <w:p w:rsidR="003F5784" w14:paraId="4567D749" w14:textId="77777777">
      <w:pPr>
        <w:pStyle w:val="BodyText"/>
        <w:spacing w:before="287" w:line="232" w:lineRule="auto"/>
        <w:ind w:left="109" w:right="212"/>
      </w:pPr>
      <w:r>
        <w:t>In</w:t>
      </w:r>
      <w:r>
        <w:rPr>
          <w:spacing w:val="-6"/>
        </w:rPr>
        <w:t xml:space="preserve"> </w:t>
      </w:r>
      <w:r>
        <w:t>2022</w:t>
      </w:r>
      <w:r>
        <w:rPr>
          <w:spacing w:val="-6"/>
        </w:rPr>
        <w:t xml:space="preserve"> </w:t>
      </w:r>
      <w:r>
        <w:t>as</w:t>
      </w:r>
      <w:r>
        <w:rPr>
          <w:spacing w:val="-6"/>
        </w:rPr>
        <w:t xml:space="preserve"> </w:t>
      </w:r>
      <w:r>
        <w:t>a</w:t>
      </w:r>
      <w:r>
        <w:rPr>
          <w:spacing w:val="-6"/>
        </w:rPr>
        <w:t xml:space="preserve"> </w:t>
      </w:r>
      <w:r>
        <w:t>result</w:t>
      </w:r>
      <w:r>
        <w:rPr>
          <w:spacing w:val="-6"/>
        </w:rPr>
        <w:t xml:space="preserve"> </w:t>
      </w:r>
      <w:r>
        <w:t>of</w:t>
      </w:r>
      <w:r>
        <w:rPr>
          <w:spacing w:val="-6"/>
        </w:rPr>
        <w:t xml:space="preserve"> </w:t>
      </w:r>
      <w:r>
        <w:t>the</w:t>
      </w:r>
      <w:r>
        <w:rPr>
          <w:spacing w:val="-6"/>
        </w:rPr>
        <w:t xml:space="preserve"> </w:t>
      </w:r>
      <w:r>
        <w:t>COVID-19</w:t>
      </w:r>
      <w:r>
        <w:rPr>
          <w:spacing w:val="-6"/>
        </w:rPr>
        <w:t xml:space="preserve"> </w:t>
      </w:r>
      <w:r>
        <w:t>pandemic,</w:t>
      </w:r>
      <w:r>
        <w:rPr>
          <w:spacing w:val="-6"/>
        </w:rPr>
        <w:t xml:space="preserve"> </w:t>
      </w:r>
      <w:r>
        <w:t>there</w:t>
      </w:r>
      <w:r>
        <w:rPr>
          <w:spacing w:val="-6"/>
        </w:rPr>
        <w:t xml:space="preserve"> </w:t>
      </w:r>
      <w:r>
        <w:t>was</w:t>
      </w:r>
      <w:r>
        <w:rPr>
          <w:spacing w:val="-6"/>
        </w:rPr>
        <w:t xml:space="preserve"> </w:t>
      </w:r>
      <w:r>
        <w:t>interest</w:t>
      </w:r>
      <w:r>
        <w:rPr>
          <w:spacing w:val="-6"/>
        </w:rPr>
        <w:t xml:space="preserve"> </w:t>
      </w:r>
      <w:r>
        <w:t>in</w:t>
      </w:r>
      <w:r>
        <w:rPr>
          <w:spacing w:val="-6"/>
        </w:rPr>
        <w:t xml:space="preserve"> </w:t>
      </w:r>
      <w:r>
        <w:t>determining</w:t>
      </w:r>
      <w:r>
        <w:rPr>
          <w:spacing w:val="-6"/>
        </w:rPr>
        <w:t xml:space="preserve"> </w:t>
      </w:r>
      <w:r>
        <w:t>the</w:t>
      </w:r>
      <w:r>
        <w:rPr>
          <w:spacing w:val="-6"/>
        </w:rPr>
        <w:t xml:space="preserve"> </w:t>
      </w:r>
      <w:r>
        <w:t>extent</w:t>
      </w:r>
      <w:r>
        <w:rPr>
          <w:spacing w:val="-6"/>
        </w:rPr>
        <w:t xml:space="preserve"> </w:t>
      </w:r>
      <w:r>
        <w:t>to</w:t>
      </w:r>
      <w:r>
        <w:rPr>
          <w:spacing w:val="-6"/>
        </w:rPr>
        <w:t xml:space="preserve"> </w:t>
      </w:r>
      <w:r>
        <w:t>which</w:t>
      </w:r>
      <w:r>
        <w:rPr>
          <w:spacing w:val="-6"/>
        </w:rPr>
        <w:t xml:space="preserve"> </w:t>
      </w:r>
      <w:r>
        <w:t>students</w:t>
      </w:r>
      <w:r>
        <w:rPr>
          <w:spacing w:val="-6"/>
        </w:rPr>
        <w:t xml:space="preserve"> </w:t>
      </w:r>
      <w:r>
        <w:t>were</w:t>
      </w:r>
      <w:r>
        <w:rPr>
          <w:spacing w:val="-6"/>
        </w:rPr>
        <w:t xml:space="preserve"> </w:t>
      </w:r>
      <w:r>
        <w:t>receiving</w:t>
      </w:r>
      <w:r>
        <w:rPr>
          <w:spacing w:val="-6"/>
        </w:rPr>
        <w:t xml:space="preserve"> </w:t>
      </w:r>
      <w:r>
        <w:t>their</w:t>
      </w:r>
      <w:r>
        <w:rPr>
          <w:spacing w:val="-6"/>
        </w:rPr>
        <w:t xml:space="preserve"> </w:t>
      </w:r>
      <w:r>
        <w:t>education</w:t>
      </w:r>
      <w:r>
        <w:rPr>
          <w:spacing w:val="-6"/>
        </w:rPr>
        <w:t xml:space="preserve"> </w:t>
      </w:r>
      <w:r>
        <w:t>through</w:t>
      </w:r>
      <w:r>
        <w:rPr>
          <w:spacing w:val="-6"/>
        </w:rPr>
        <w:t xml:space="preserve"> </w:t>
      </w:r>
      <w:r>
        <w:t>full-time</w:t>
      </w:r>
      <w:r>
        <w:rPr>
          <w:spacing w:val="-6"/>
        </w:rPr>
        <w:t xml:space="preserve"> </w:t>
      </w:r>
      <w:r>
        <w:t>remote</w:t>
      </w:r>
      <w:r>
        <w:rPr>
          <w:spacing w:val="-6"/>
        </w:rPr>
        <w:t xml:space="preserve"> </w:t>
      </w:r>
      <w:r>
        <w:t>learning. Full-time remote students are enrolled in brick-and-mortar schools but do not attend school in person.</w:t>
      </w:r>
      <w:r>
        <w:rPr>
          <w:spacing w:val="-3"/>
        </w:rPr>
        <w:t xml:space="preserve"> </w:t>
      </w:r>
      <w:r>
        <w:t>They are considered not assessable for NAEP.</w:t>
      </w:r>
    </w:p>
    <w:p w:rsidR="003F5784" w14:paraId="3BBAE9A1" w14:textId="77777777">
      <w:pPr>
        <w:pStyle w:val="BodyText"/>
        <w:spacing w:before="209" w:line="232" w:lineRule="auto"/>
        <w:ind w:left="109" w:right="179"/>
      </w:pPr>
      <w:r>
        <w:t>The following table presents weighted student full-time remote rates by grade, subject, and participating jurisdiction, for the public school state assessment samples. States with</w:t>
      </w:r>
      <w:r>
        <w:rPr>
          <w:spacing w:val="-14"/>
        </w:rPr>
        <w:t xml:space="preserve"> </w:t>
      </w:r>
      <w:r>
        <w:rPr>
          <w:color w:val="0066CC"/>
        </w:rPr>
        <w:t>Trial</w:t>
      </w:r>
      <w:r>
        <w:rPr>
          <w:color w:val="0066CC"/>
          <w:spacing w:val="-7"/>
        </w:rPr>
        <w:t xml:space="preserve"> </w:t>
      </w:r>
      <w:r>
        <w:rPr>
          <w:color w:val="0066CC"/>
        </w:rPr>
        <w:t>Urban</w:t>
      </w:r>
      <w:r>
        <w:rPr>
          <w:color w:val="0066CC"/>
          <w:spacing w:val="-6"/>
        </w:rPr>
        <w:t xml:space="preserve"> </w:t>
      </w:r>
      <w:r>
        <w:rPr>
          <w:color w:val="0066CC"/>
        </w:rPr>
        <w:t>District</w:t>
      </w:r>
      <w:r>
        <w:rPr>
          <w:color w:val="0066CC"/>
          <w:spacing w:val="-14"/>
        </w:rPr>
        <w:t xml:space="preserve"> </w:t>
      </w:r>
      <w:r>
        <w:rPr>
          <w:color w:val="0066CC"/>
        </w:rPr>
        <w:t>Assessment</w:t>
      </w:r>
      <w:r>
        <w:rPr>
          <w:color w:val="0066CC"/>
          <w:spacing w:val="-5"/>
        </w:rPr>
        <w:t xml:space="preserve"> </w:t>
      </w:r>
      <w:r>
        <w:rPr>
          <w:color w:val="0066CC"/>
        </w:rPr>
        <w:t>(TUDA)</w:t>
      </w:r>
      <w:r>
        <w:rPr>
          <w:color w:val="0066CC"/>
          <w:spacing w:val="-6"/>
        </w:rPr>
        <w:t xml:space="preserve"> </w:t>
      </w:r>
      <w:r>
        <w:t>districts</w:t>
      </w:r>
      <w:r>
        <w:rPr>
          <w:spacing w:val="-6"/>
        </w:rPr>
        <w:t xml:space="preserve"> </w:t>
      </w:r>
      <w:r>
        <w:t>are</w:t>
      </w:r>
      <w:r>
        <w:rPr>
          <w:spacing w:val="-6"/>
        </w:rPr>
        <w:t xml:space="preserve"> </w:t>
      </w:r>
      <w:r>
        <w:t>shown</w:t>
      </w:r>
      <w:r>
        <w:rPr>
          <w:spacing w:val="-6"/>
        </w:rPr>
        <w:t xml:space="preserve"> </w:t>
      </w:r>
      <w:r>
        <w:t>in</w:t>
      </w:r>
      <w:r>
        <w:rPr>
          <w:spacing w:val="-6"/>
        </w:rPr>
        <w:t xml:space="preserve"> </w:t>
      </w:r>
      <w:r>
        <w:t>multiple</w:t>
      </w:r>
      <w:r>
        <w:rPr>
          <w:spacing w:val="-6"/>
        </w:rPr>
        <w:t xml:space="preserve"> </w:t>
      </w:r>
      <w:r>
        <w:t>rows:</w:t>
      </w:r>
      <w:r>
        <w:rPr>
          <w:spacing w:val="-6"/>
        </w:rPr>
        <w:t xml:space="preserve"> </w:t>
      </w:r>
      <w:r>
        <w:t>for</w:t>
      </w:r>
      <w:r>
        <w:rPr>
          <w:spacing w:val="-6"/>
        </w:rPr>
        <w:t xml:space="preserve"> </w:t>
      </w:r>
      <w:r>
        <w:t>the</w:t>
      </w:r>
      <w:r>
        <w:rPr>
          <w:spacing w:val="-9"/>
        </w:rPr>
        <w:t xml:space="preserve"> </w:t>
      </w:r>
      <w:r>
        <w:t>TUDA</w:t>
      </w:r>
      <w:r>
        <w:rPr>
          <w:spacing w:val="-14"/>
        </w:rPr>
        <w:t xml:space="preserve"> </w:t>
      </w:r>
      <w:r>
        <w:t>district(s)</w:t>
      </w:r>
      <w:r>
        <w:rPr>
          <w:spacing w:val="-5"/>
        </w:rPr>
        <w:t xml:space="preserve"> </w:t>
      </w:r>
      <w:r>
        <w:t>and</w:t>
      </w:r>
      <w:r>
        <w:rPr>
          <w:spacing w:val="-6"/>
        </w:rPr>
        <w:t xml:space="preserve"> </w:t>
      </w:r>
      <w:r>
        <w:t>for</w:t>
      </w:r>
      <w:r>
        <w:rPr>
          <w:spacing w:val="-6"/>
        </w:rPr>
        <w:t xml:space="preserve"> </w:t>
      </w:r>
      <w:r>
        <w:t>the</w:t>
      </w:r>
      <w:r>
        <w:rPr>
          <w:spacing w:val="-6"/>
        </w:rPr>
        <w:t xml:space="preserve"> </w:t>
      </w:r>
      <w:r>
        <w:t>state</w:t>
      </w:r>
      <w:r>
        <w:rPr>
          <w:spacing w:val="-6"/>
        </w:rPr>
        <w:t xml:space="preserve"> </w:t>
      </w:r>
      <w:r>
        <w:t>as</w:t>
      </w:r>
      <w:r>
        <w:rPr>
          <w:spacing w:val="-6"/>
        </w:rPr>
        <w:t xml:space="preserve"> </w:t>
      </w:r>
      <w:r>
        <w:t>a</w:t>
      </w:r>
      <w:r>
        <w:rPr>
          <w:spacing w:val="-6"/>
        </w:rPr>
        <w:t xml:space="preserve"> </w:t>
      </w:r>
      <w:r>
        <w:t>whole</w:t>
      </w:r>
      <w:r>
        <w:rPr>
          <w:spacing w:val="-6"/>
        </w:rPr>
        <w:t xml:space="preserve"> </w:t>
      </w:r>
      <w:r>
        <w:t>(the</w:t>
      </w:r>
      <w:r>
        <w:rPr>
          <w:spacing w:val="-9"/>
        </w:rPr>
        <w:t xml:space="preserve"> </w:t>
      </w:r>
      <w:r>
        <w:t>TUDA</w:t>
      </w:r>
      <w:r>
        <w:rPr>
          <w:spacing w:val="-14"/>
        </w:rPr>
        <w:t xml:space="preserve"> </w:t>
      </w:r>
      <w:r>
        <w:t>district[s]</w:t>
      </w:r>
      <w:r>
        <w:rPr>
          <w:spacing w:val="-5"/>
        </w:rPr>
        <w:t xml:space="preserve"> </w:t>
      </w:r>
      <w:r>
        <w:t>plus</w:t>
      </w:r>
      <w:r>
        <w:rPr>
          <w:spacing w:val="-6"/>
        </w:rPr>
        <w:t xml:space="preserve"> </w:t>
      </w:r>
      <w:r>
        <w:t>the</w:t>
      </w:r>
      <w:r>
        <w:rPr>
          <w:spacing w:val="-6"/>
        </w:rPr>
        <w:t xml:space="preserve"> </w:t>
      </w:r>
      <w:r>
        <w:t>rest</w:t>
      </w:r>
      <w:r>
        <w:rPr>
          <w:spacing w:val="-6"/>
        </w:rPr>
        <w:t xml:space="preserve"> </w:t>
      </w:r>
      <w:r>
        <w:t>of the state).</w:t>
      </w:r>
    </w:p>
    <w:p w:rsidR="003F5784" w14:paraId="0CA1A4BA" w14:textId="77777777">
      <w:pPr>
        <w:pStyle w:val="BodyText"/>
        <w:spacing w:before="204"/>
        <w:ind w:left="109"/>
      </w:pPr>
      <w:r>
        <w:t>The</w:t>
      </w:r>
      <w:r>
        <w:rPr>
          <w:spacing w:val="-7"/>
        </w:rPr>
        <w:t xml:space="preserve"> </w:t>
      </w:r>
      <w:r>
        <w:t>weighted</w:t>
      </w:r>
      <w:r>
        <w:rPr>
          <w:spacing w:val="-6"/>
        </w:rPr>
        <w:t xml:space="preserve"> </w:t>
      </w:r>
      <w:r>
        <w:t>student</w:t>
      </w:r>
      <w:r>
        <w:rPr>
          <w:spacing w:val="-6"/>
        </w:rPr>
        <w:t xml:space="preserve"> </w:t>
      </w:r>
      <w:r>
        <w:t>full-time</w:t>
      </w:r>
      <w:r>
        <w:rPr>
          <w:spacing w:val="-6"/>
        </w:rPr>
        <w:t xml:space="preserve"> </w:t>
      </w:r>
      <w:r>
        <w:t>remote</w:t>
      </w:r>
      <w:r>
        <w:rPr>
          <w:spacing w:val="-7"/>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7"/>
        </w:rPr>
        <w:t xml:space="preserve"> </w:t>
      </w:r>
      <w:r>
        <w:t>of</w:t>
      </w:r>
      <w:r>
        <w:rPr>
          <w:spacing w:val="-6"/>
        </w:rPr>
        <w:t xml:space="preserve"> </w:t>
      </w:r>
      <w:r>
        <w:t>the</w:t>
      </w:r>
      <w:r>
        <w:rPr>
          <w:spacing w:val="-6"/>
        </w:rPr>
        <w:t xml:space="preserve"> </w:t>
      </w:r>
      <w:r>
        <w:t>student</w:t>
      </w:r>
      <w:r>
        <w:rPr>
          <w:spacing w:val="-6"/>
        </w:rPr>
        <w:t xml:space="preserve"> </w:t>
      </w:r>
      <w:r>
        <w:t>population</w:t>
      </w:r>
      <w:r>
        <w:rPr>
          <w:spacing w:val="-7"/>
        </w:rPr>
        <w:t xml:space="preserve"> </w:t>
      </w:r>
      <w:r>
        <w:t>that</w:t>
      </w:r>
      <w:r>
        <w:rPr>
          <w:spacing w:val="-6"/>
        </w:rPr>
        <w:t xml:space="preserve"> </w:t>
      </w:r>
      <w:r>
        <w:t>is</w:t>
      </w:r>
      <w:r>
        <w:rPr>
          <w:spacing w:val="-6"/>
        </w:rPr>
        <w:t xml:space="preserve"> </w:t>
      </w:r>
      <w:r>
        <w:t>full-time</w:t>
      </w:r>
      <w:r>
        <w:rPr>
          <w:spacing w:val="-6"/>
        </w:rPr>
        <w:t xml:space="preserve"> </w:t>
      </w:r>
      <w:r>
        <w:rPr>
          <w:spacing w:val="-2"/>
        </w:rPr>
        <w:t>remote.</w:t>
      </w:r>
    </w:p>
    <w:p w:rsidR="003F5784" w14:paraId="303921E1" w14:textId="77777777">
      <w:pPr>
        <w:sectPr>
          <w:pgSz w:w="15840" w:h="12240" w:orient="landscape"/>
          <w:pgMar w:top="820" w:right="440" w:bottom="460" w:left="460" w:header="305" w:footer="275" w:gutter="0"/>
          <w:cols w:space="720"/>
        </w:sectPr>
      </w:pPr>
    </w:p>
    <w:p w:rsidR="003F5784" w14:paraId="1AD571F5" w14:textId="77777777">
      <w:pPr>
        <w:pStyle w:val="Heading2"/>
        <w:spacing w:before="202"/>
      </w:pPr>
      <w:r>
        <w:t>Weighted</w:t>
      </w:r>
      <w:r>
        <w:rPr>
          <w:spacing w:val="-9"/>
        </w:rPr>
        <w:t xml:space="preserve"> </w:t>
      </w:r>
      <w:r>
        <w:t>student</w:t>
      </w:r>
      <w:r>
        <w:rPr>
          <w:spacing w:val="-9"/>
        </w:rPr>
        <w:t xml:space="preserve"> </w:t>
      </w:r>
      <w:r>
        <w:t>full-time</w:t>
      </w:r>
      <w:r>
        <w:rPr>
          <w:spacing w:val="-9"/>
        </w:rPr>
        <w:t xml:space="preserve"> </w:t>
      </w:r>
      <w:r>
        <w:t>remote</w:t>
      </w:r>
      <w:r>
        <w:rPr>
          <w:spacing w:val="-9"/>
        </w:rPr>
        <w:t xml:space="preserve"> </w:t>
      </w:r>
      <w:r>
        <w:t>rates,</w:t>
      </w:r>
      <w:r>
        <w:rPr>
          <w:spacing w:val="-9"/>
        </w:rPr>
        <w:t xml:space="preserve"> </w:t>
      </w:r>
      <w:r>
        <w:t>state</w:t>
      </w:r>
      <w:r>
        <w:rPr>
          <w:spacing w:val="-9"/>
        </w:rPr>
        <w:t xml:space="preserve"> </w:t>
      </w:r>
      <w:r>
        <w:t>assessment,</w:t>
      </w:r>
      <w:r>
        <w:rPr>
          <w:spacing w:val="-8"/>
        </w:rPr>
        <w:t xml:space="preserve"> </w:t>
      </w:r>
      <w:r>
        <w:t>by</w:t>
      </w:r>
      <w:r>
        <w:rPr>
          <w:spacing w:val="-9"/>
        </w:rPr>
        <w:t xml:space="preserve"> </w:t>
      </w:r>
      <w:r>
        <w:t>grade,</w:t>
      </w:r>
      <w:r>
        <w:rPr>
          <w:spacing w:val="-9"/>
        </w:rPr>
        <w:t xml:space="preserve"> </w:t>
      </w:r>
      <w:r>
        <w:t>subject,</w:t>
      </w:r>
      <w:r>
        <w:rPr>
          <w:spacing w:val="-9"/>
        </w:rPr>
        <w:t xml:space="preserve"> </w:t>
      </w:r>
      <w:r>
        <w:t>and</w:t>
      </w:r>
      <w:r>
        <w:rPr>
          <w:spacing w:val="-9"/>
        </w:rPr>
        <w:t xml:space="preserve"> </w:t>
      </w:r>
      <w:r>
        <w:t>jurisdiction:</w:t>
      </w:r>
      <w:r>
        <w:rPr>
          <w:spacing w:val="-9"/>
        </w:rPr>
        <w:t xml:space="preserve"> </w:t>
      </w:r>
      <w:r>
        <w:rPr>
          <w:spacing w:val="-4"/>
        </w:rPr>
        <w:t>2022</w:t>
      </w:r>
    </w:p>
    <w:p w:rsidR="003F5784" w14:paraId="098186D8"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4130"/>
        <w:gridCol w:w="3640"/>
        <w:gridCol w:w="1996"/>
        <w:gridCol w:w="2425"/>
        <w:gridCol w:w="1795"/>
      </w:tblGrid>
      <w:tr w14:paraId="2589CA7B" w14:textId="77777777">
        <w:tblPrEx>
          <w:tblW w:w="0" w:type="auto"/>
          <w:tblInd w:w="482" w:type="dxa"/>
          <w:tblLayout w:type="fixed"/>
          <w:tblCellMar>
            <w:left w:w="0" w:type="dxa"/>
            <w:right w:w="0" w:type="dxa"/>
          </w:tblCellMar>
          <w:tblLook w:val="01E0"/>
        </w:tblPrEx>
        <w:trPr>
          <w:trHeight w:val="502"/>
        </w:trPr>
        <w:tc>
          <w:tcPr>
            <w:tcW w:w="4130" w:type="dxa"/>
            <w:tcBorders>
              <w:top w:val="single" w:sz="18" w:space="0" w:color="800000"/>
              <w:bottom w:val="single" w:sz="18" w:space="0" w:color="800000"/>
            </w:tcBorders>
          </w:tcPr>
          <w:p w:rsidR="003F5784" w14:paraId="491EC0D8" w14:textId="77777777">
            <w:pPr>
              <w:pStyle w:val="TableParagraph"/>
              <w:spacing w:before="2"/>
              <w:jc w:val="left"/>
              <w:rPr>
                <w:b/>
                <w:sz w:val="21"/>
              </w:rPr>
            </w:pPr>
          </w:p>
          <w:p w:rsidR="003F5784" w14:paraId="3BD8F709" w14:textId="77777777">
            <w:pPr>
              <w:pStyle w:val="TableParagraph"/>
              <w:spacing w:before="0" w:line="238" w:lineRule="exact"/>
              <w:ind w:left="120"/>
              <w:jc w:val="left"/>
              <w:rPr>
                <w:sz w:val="21"/>
              </w:rPr>
            </w:pPr>
            <w:r>
              <w:rPr>
                <w:spacing w:val="-2"/>
                <w:sz w:val="21"/>
              </w:rPr>
              <w:t>Jurisdiction</w:t>
            </w:r>
          </w:p>
        </w:tc>
        <w:tc>
          <w:tcPr>
            <w:tcW w:w="3640" w:type="dxa"/>
            <w:tcBorders>
              <w:top w:val="single" w:sz="18" w:space="0" w:color="800000"/>
              <w:bottom w:val="single" w:sz="18" w:space="0" w:color="800000"/>
            </w:tcBorders>
          </w:tcPr>
          <w:p w:rsidR="003F5784" w14:paraId="0D89E293" w14:textId="77777777">
            <w:pPr>
              <w:pStyle w:val="TableParagraph"/>
              <w:spacing w:before="9" w:line="238" w:lineRule="exact"/>
              <w:ind w:right="330"/>
              <w:rPr>
                <w:sz w:val="21"/>
              </w:rPr>
            </w:pPr>
            <w:r>
              <w:rPr>
                <w:sz w:val="21"/>
              </w:rPr>
              <w:t>Grade</w:t>
            </w:r>
            <w:r>
              <w:rPr>
                <w:spacing w:val="-5"/>
                <w:sz w:val="21"/>
              </w:rPr>
              <w:t xml:space="preserve"> </w:t>
            </w:r>
            <w:r>
              <w:rPr>
                <w:sz w:val="21"/>
              </w:rPr>
              <w:t>4</w:t>
            </w:r>
            <w:r>
              <w:rPr>
                <w:spacing w:val="-4"/>
                <w:sz w:val="21"/>
              </w:rPr>
              <w:t xml:space="preserve"> </w:t>
            </w:r>
            <w:r>
              <w:rPr>
                <w:spacing w:val="-2"/>
                <w:sz w:val="21"/>
              </w:rPr>
              <w:t>mathematics</w:t>
            </w:r>
          </w:p>
          <w:p w:rsidR="003F5784" w14:paraId="7DC5CDC2" w14:textId="77777777">
            <w:pPr>
              <w:pStyle w:val="TableParagraph"/>
              <w:spacing w:before="0" w:line="235" w:lineRule="exact"/>
              <w:ind w:right="330"/>
              <w:rPr>
                <w:sz w:val="21"/>
              </w:rPr>
            </w:pPr>
            <w:r>
              <w:rPr>
                <w:spacing w:val="-2"/>
                <w:sz w:val="21"/>
              </w:rPr>
              <w:t>(percent)</w:t>
            </w:r>
          </w:p>
        </w:tc>
        <w:tc>
          <w:tcPr>
            <w:tcW w:w="1996" w:type="dxa"/>
            <w:tcBorders>
              <w:top w:val="single" w:sz="18" w:space="0" w:color="800000"/>
              <w:bottom w:val="single" w:sz="18" w:space="0" w:color="800000"/>
            </w:tcBorders>
          </w:tcPr>
          <w:p w:rsidR="003F5784" w14:paraId="287379B3" w14:textId="77777777">
            <w:pPr>
              <w:pStyle w:val="TableParagraph"/>
              <w:spacing w:before="9" w:line="238" w:lineRule="exact"/>
              <w:ind w:right="319"/>
              <w:rPr>
                <w:sz w:val="21"/>
              </w:rPr>
            </w:pPr>
            <w:r>
              <w:rPr>
                <w:sz w:val="21"/>
              </w:rPr>
              <w:t>Grade</w:t>
            </w:r>
            <w:r>
              <w:rPr>
                <w:spacing w:val="-5"/>
                <w:sz w:val="21"/>
              </w:rPr>
              <w:t xml:space="preserve"> </w:t>
            </w:r>
            <w:r>
              <w:rPr>
                <w:sz w:val="21"/>
              </w:rPr>
              <w:t>4</w:t>
            </w:r>
            <w:r>
              <w:rPr>
                <w:spacing w:val="-4"/>
                <w:sz w:val="21"/>
              </w:rPr>
              <w:t xml:space="preserve"> </w:t>
            </w:r>
            <w:r>
              <w:rPr>
                <w:spacing w:val="-2"/>
                <w:sz w:val="21"/>
              </w:rPr>
              <w:t>reading</w:t>
            </w:r>
          </w:p>
          <w:p w:rsidR="003F5784" w14:paraId="711082FE" w14:textId="77777777">
            <w:pPr>
              <w:pStyle w:val="TableParagraph"/>
              <w:spacing w:before="0" w:line="235" w:lineRule="exact"/>
              <w:ind w:right="319"/>
              <w:rPr>
                <w:sz w:val="21"/>
              </w:rPr>
            </w:pPr>
            <w:r>
              <w:rPr>
                <w:spacing w:val="-2"/>
                <w:sz w:val="21"/>
              </w:rPr>
              <w:t>(percent)</w:t>
            </w:r>
          </w:p>
        </w:tc>
        <w:tc>
          <w:tcPr>
            <w:tcW w:w="2425" w:type="dxa"/>
            <w:tcBorders>
              <w:top w:val="single" w:sz="18" w:space="0" w:color="800000"/>
              <w:bottom w:val="single" w:sz="18" w:space="0" w:color="800000"/>
            </w:tcBorders>
          </w:tcPr>
          <w:p w:rsidR="003F5784" w14:paraId="217E489B" w14:textId="77777777">
            <w:pPr>
              <w:pStyle w:val="TableParagraph"/>
              <w:spacing w:before="9" w:line="238" w:lineRule="exact"/>
              <w:ind w:right="331"/>
              <w:rPr>
                <w:sz w:val="21"/>
              </w:rPr>
            </w:pPr>
            <w:r>
              <w:rPr>
                <w:sz w:val="21"/>
              </w:rPr>
              <w:t>Grade</w:t>
            </w:r>
            <w:r>
              <w:rPr>
                <w:spacing w:val="-5"/>
                <w:sz w:val="21"/>
              </w:rPr>
              <w:t xml:space="preserve"> </w:t>
            </w:r>
            <w:r>
              <w:rPr>
                <w:sz w:val="21"/>
              </w:rPr>
              <w:t>8</w:t>
            </w:r>
            <w:r>
              <w:rPr>
                <w:spacing w:val="-4"/>
                <w:sz w:val="21"/>
              </w:rPr>
              <w:t xml:space="preserve"> </w:t>
            </w:r>
            <w:r>
              <w:rPr>
                <w:spacing w:val="-2"/>
                <w:sz w:val="21"/>
              </w:rPr>
              <w:t>mathematics</w:t>
            </w:r>
          </w:p>
          <w:p w:rsidR="003F5784" w14:paraId="04B41F61" w14:textId="77777777">
            <w:pPr>
              <w:pStyle w:val="TableParagraph"/>
              <w:spacing w:before="0" w:line="235" w:lineRule="exact"/>
              <w:ind w:right="331"/>
              <w:rPr>
                <w:sz w:val="21"/>
              </w:rPr>
            </w:pPr>
            <w:r>
              <w:rPr>
                <w:spacing w:val="-2"/>
                <w:sz w:val="21"/>
              </w:rPr>
              <w:t>(percent)</w:t>
            </w:r>
          </w:p>
        </w:tc>
        <w:tc>
          <w:tcPr>
            <w:tcW w:w="1795" w:type="dxa"/>
            <w:tcBorders>
              <w:top w:val="single" w:sz="18" w:space="0" w:color="800000"/>
              <w:bottom w:val="single" w:sz="18" w:space="0" w:color="800000"/>
            </w:tcBorders>
          </w:tcPr>
          <w:p w:rsidR="003F5784" w14:paraId="0D248124" w14:textId="77777777">
            <w:pPr>
              <w:pStyle w:val="TableParagraph"/>
              <w:spacing w:before="9" w:line="238" w:lineRule="exact"/>
              <w:ind w:right="119"/>
              <w:rPr>
                <w:sz w:val="21"/>
              </w:rPr>
            </w:pPr>
            <w:r>
              <w:rPr>
                <w:sz w:val="21"/>
              </w:rPr>
              <w:t>Grade</w:t>
            </w:r>
            <w:r>
              <w:rPr>
                <w:spacing w:val="-5"/>
                <w:sz w:val="21"/>
              </w:rPr>
              <w:t xml:space="preserve"> </w:t>
            </w:r>
            <w:r>
              <w:rPr>
                <w:sz w:val="21"/>
              </w:rPr>
              <w:t>8</w:t>
            </w:r>
            <w:r>
              <w:rPr>
                <w:spacing w:val="-4"/>
                <w:sz w:val="21"/>
              </w:rPr>
              <w:t xml:space="preserve"> </w:t>
            </w:r>
            <w:r>
              <w:rPr>
                <w:spacing w:val="-2"/>
                <w:sz w:val="21"/>
              </w:rPr>
              <w:t>reading</w:t>
            </w:r>
          </w:p>
          <w:p w:rsidR="003F5784" w14:paraId="4C7AFEB2" w14:textId="77777777">
            <w:pPr>
              <w:pStyle w:val="TableParagraph"/>
              <w:spacing w:before="0" w:line="235" w:lineRule="exact"/>
              <w:ind w:right="119"/>
              <w:rPr>
                <w:sz w:val="21"/>
              </w:rPr>
            </w:pPr>
            <w:r>
              <w:rPr>
                <w:spacing w:val="-2"/>
                <w:sz w:val="21"/>
              </w:rPr>
              <w:t>(percent)</w:t>
            </w:r>
          </w:p>
        </w:tc>
      </w:tr>
      <w:tr w14:paraId="5FBAE4EA" w14:textId="77777777">
        <w:tblPrEx>
          <w:tblW w:w="0" w:type="auto"/>
          <w:tblInd w:w="482" w:type="dxa"/>
          <w:tblLayout w:type="fixed"/>
          <w:tblCellMar>
            <w:left w:w="0" w:type="dxa"/>
            <w:right w:w="0" w:type="dxa"/>
          </w:tblCellMar>
          <w:tblLook w:val="01E0"/>
        </w:tblPrEx>
        <w:trPr>
          <w:trHeight w:val="278"/>
        </w:trPr>
        <w:tc>
          <w:tcPr>
            <w:tcW w:w="4130" w:type="dxa"/>
            <w:tcBorders>
              <w:top w:val="single" w:sz="18" w:space="0" w:color="800000"/>
            </w:tcBorders>
          </w:tcPr>
          <w:p w:rsidR="003F5784" w14:paraId="3229A607" w14:textId="77777777">
            <w:pPr>
              <w:pStyle w:val="TableParagraph"/>
              <w:spacing w:before="9"/>
              <w:ind w:left="578"/>
              <w:jc w:val="left"/>
              <w:rPr>
                <w:b/>
                <w:sz w:val="21"/>
              </w:rPr>
            </w:pPr>
            <w:r>
              <w:rPr>
                <w:b/>
                <w:sz w:val="21"/>
              </w:rPr>
              <w:t>National</w:t>
            </w:r>
            <w:r>
              <w:rPr>
                <w:b/>
                <w:spacing w:val="-9"/>
                <w:sz w:val="21"/>
              </w:rPr>
              <w:t xml:space="preserve"> </w:t>
            </w:r>
            <w:r>
              <w:rPr>
                <w:b/>
                <w:spacing w:val="-2"/>
                <w:sz w:val="21"/>
              </w:rPr>
              <w:t>public</w:t>
            </w:r>
          </w:p>
        </w:tc>
        <w:tc>
          <w:tcPr>
            <w:tcW w:w="3640" w:type="dxa"/>
            <w:tcBorders>
              <w:top w:val="single" w:sz="18" w:space="0" w:color="800000"/>
            </w:tcBorders>
          </w:tcPr>
          <w:p w:rsidR="003F5784" w14:paraId="02D3301D" w14:textId="77777777">
            <w:pPr>
              <w:pStyle w:val="TableParagraph"/>
              <w:spacing w:before="9"/>
              <w:ind w:right="330"/>
              <w:rPr>
                <w:b/>
                <w:sz w:val="21"/>
              </w:rPr>
            </w:pPr>
            <w:r>
              <w:rPr>
                <w:b/>
                <w:spacing w:val="-4"/>
                <w:sz w:val="21"/>
              </w:rPr>
              <w:t>0.78</w:t>
            </w:r>
          </w:p>
        </w:tc>
        <w:tc>
          <w:tcPr>
            <w:tcW w:w="1996" w:type="dxa"/>
            <w:tcBorders>
              <w:top w:val="single" w:sz="18" w:space="0" w:color="800000"/>
            </w:tcBorders>
          </w:tcPr>
          <w:p w:rsidR="003F5784" w14:paraId="7AE98CA4" w14:textId="77777777">
            <w:pPr>
              <w:pStyle w:val="TableParagraph"/>
              <w:spacing w:before="9"/>
              <w:ind w:right="319"/>
              <w:rPr>
                <w:b/>
                <w:sz w:val="21"/>
              </w:rPr>
            </w:pPr>
            <w:r>
              <w:rPr>
                <w:b/>
                <w:spacing w:val="-4"/>
                <w:sz w:val="21"/>
              </w:rPr>
              <w:t>0.73</w:t>
            </w:r>
          </w:p>
        </w:tc>
        <w:tc>
          <w:tcPr>
            <w:tcW w:w="2425" w:type="dxa"/>
            <w:tcBorders>
              <w:top w:val="single" w:sz="18" w:space="0" w:color="800000"/>
            </w:tcBorders>
          </w:tcPr>
          <w:p w:rsidR="003F5784" w14:paraId="6CC5740D" w14:textId="77777777">
            <w:pPr>
              <w:pStyle w:val="TableParagraph"/>
              <w:spacing w:before="9"/>
              <w:ind w:right="331"/>
              <w:rPr>
                <w:b/>
                <w:sz w:val="21"/>
              </w:rPr>
            </w:pPr>
            <w:r>
              <w:rPr>
                <w:b/>
                <w:spacing w:val="-4"/>
                <w:sz w:val="21"/>
              </w:rPr>
              <w:t>1.29</w:t>
            </w:r>
          </w:p>
        </w:tc>
        <w:tc>
          <w:tcPr>
            <w:tcW w:w="1795" w:type="dxa"/>
            <w:tcBorders>
              <w:top w:val="single" w:sz="18" w:space="0" w:color="800000"/>
            </w:tcBorders>
          </w:tcPr>
          <w:p w:rsidR="003F5784" w14:paraId="6E020D08" w14:textId="77777777">
            <w:pPr>
              <w:pStyle w:val="TableParagraph"/>
              <w:spacing w:before="9"/>
              <w:ind w:right="119"/>
              <w:rPr>
                <w:b/>
                <w:sz w:val="21"/>
              </w:rPr>
            </w:pPr>
            <w:r>
              <w:rPr>
                <w:b/>
                <w:spacing w:val="-4"/>
                <w:sz w:val="21"/>
              </w:rPr>
              <w:t>1.32</w:t>
            </w:r>
          </w:p>
        </w:tc>
      </w:tr>
      <w:tr w14:paraId="00150B10" w14:textId="77777777">
        <w:tblPrEx>
          <w:tblW w:w="0" w:type="auto"/>
          <w:tblInd w:w="482" w:type="dxa"/>
          <w:tblLayout w:type="fixed"/>
          <w:tblCellMar>
            <w:left w:w="0" w:type="dxa"/>
            <w:right w:w="0" w:type="dxa"/>
          </w:tblCellMar>
          <w:tblLook w:val="01E0"/>
        </w:tblPrEx>
        <w:trPr>
          <w:trHeight w:val="286"/>
        </w:trPr>
        <w:tc>
          <w:tcPr>
            <w:tcW w:w="4130" w:type="dxa"/>
          </w:tcPr>
          <w:p w:rsidR="003F5784" w14:paraId="1FECCC56" w14:textId="77777777">
            <w:pPr>
              <w:pStyle w:val="TableParagraph"/>
              <w:ind w:left="120"/>
              <w:jc w:val="left"/>
              <w:rPr>
                <w:sz w:val="21"/>
              </w:rPr>
            </w:pPr>
            <w:r>
              <w:rPr>
                <w:spacing w:val="-2"/>
                <w:sz w:val="21"/>
              </w:rPr>
              <w:t>Alabama</w:t>
            </w:r>
          </w:p>
        </w:tc>
        <w:tc>
          <w:tcPr>
            <w:tcW w:w="3640" w:type="dxa"/>
          </w:tcPr>
          <w:p w:rsidR="003F5784" w14:paraId="5A67C539" w14:textId="77777777">
            <w:pPr>
              <w:pStyle w:val="TableParagraph"/>
              <w:ind w:right="330"/>
              <w:rPr>
                <w:sz w:val="21"/>
              </w:rPr>
            </w:pPr>
            <w:r>
              <w:rPr>
                <w:spacing w:val="-4"/>
                <w:sz w:val="21"/>
              </w:rPr>
              <w:t>0.39</w:t>
            </w:r>
          </w:p>
        </w:tc>
        <w:tc>
          <w:tcPr>
            <w:tcW w:w="1996" w:type="dxa"/>
          </w:tcPr>
          <w:p w:rsidR="003F5784" w14:paraId="5A060E92" w14:textId="77777777">
            <w:pPr>
              <w:pStyle w:val="TableParagraph"/>
              <w:ind w:right="319"/>
              <w:rPr>
                <w:sz w:val="21"/>
              </w:rPr>
            </w:pPr>
            <w:r>
              <w:rPr>
                <w:spacing w:val="-4"/>
                <w:sz w:val="21"/>
              </w:rPr>
              <w:t>0.41</w:t>
            </w:r>
          </w:p>
        </w:tc>
        <w:tc>
          <w:tcPr>
            <w:tcW w:w="2425" w:type="dxa"/>
          </w:tcPr>
          <w:p w:rsidR="003F5784" w14:paraId="3569E256" w14:textId="77777777">
            <w:pPr>
              <w:pStyle w:val="TableParagraph"/>
              <w:ind w:right="331"/>
              <w:rPr>
                <w:sz w:val="21"/>
              </w:rPr>
            </w:pPr>
            <w:r>
              <w:rPr>
                <w:spacing w:val="-4"/>
                <w:sz w:val="21"/>
              </w:rPr>
              <w:t>0.79</w:t>
            </w:r>
          </w:p>
        </w:tc>
        <w:tc>
          <w:tcPr>
            <w:tcW w:w="1795" w:type="dxa"/>
          </w:tcPr>
          <w:p w:rsidR="003F5784" w14:paraId="3A1CDB47" w14:textId="77777777">
            <w:pPr>
              <w:pStyle w:val="TableParagraph"/>
              <w:ind w:right="119"/>
              <w:rPr>
                <w:sz w:val="21"/>
              </w:rPr>
            </w:pPr>
            <w:r>
              <w:rPr>
                <w:spacing w:val="-4"/>
                <w:sz w:val="21"/>
              </w:rPr>
              <w:t>0.70</w:t>
            </w:r>
          </w:p>
        </w:tc>
      </w:tr>
      <w:tr w14:paraId="1E228F9E" w14:textId="77777777">
        <w:tblPrEx>
          <w:tblW w:w="0" w:type="auto"/>
          <w:tblInd w:w="482" w:type="dxa"/>
          <w:tblLayout w:type="fixed"/>
          <w:tblCellMar>
            <w:left w:w="0" w:type="dxa"/>
            <w:right w:w="0" w:type="dxa"/>
          </w:tblCellMar>
          <w:tblLook w:val="01E0"/>
        </w:tblPrEx>
        <w:trPr>
          <w:trHeight w:val="286"/>
        </w:trPr>
        <w:tc>
          <w:tcPr>
            <w:tcW w:w="4130" w:type="dxa"/>
          </w:tcPr>
          <w:p w:rsidR="003F5784" w14:paraId="4256173D" w14:textId="77777777">
            <w:pPr>
              <w:pStyle w:val="TableParagraph"/>
              <w:ind w:left="120"/>
              <w:jc w:val="left"/>
              <w:rPr>
                <w:sz w:val="21"/>
              </w:rPr>
            </w:pPr>
            <w:r>
              <w:rPr>
                <w:spacing w:val="-2"/>
                <w:sz w:val="21"/>
              </w:rPr>
              <w:t>Alaska</w:t>
            </w:r>
          </w:p>
        </w:tc>
        <w:tc>
          <w:tcPr>
            <w:tcW w:w="3640" w:type="dxa"/>
          </w:tcPr>
          <w:p w:rsidR="003F5784" w14:paraId="7BC6625D" w14:textId="77777777">
            <w:pPr>
              <w:pStyle w:val="TableParagraph"/>
              <w:ind w:right="330"/>
              <w:rPr>
                <w:sz w:val="21"/>
              </w:rPr>
            </w:pPr>
            <w:r>
              <w:rPr>
                <w:spacing w:val="-4"/>
                <w:sz w:val="21"/>
              </w:rPr>
              <w:t>0.96</w:t>
            </w:r>
          </w:p>
        </w:tc>
        <w:tc>
          <w:tcPr>
            <w:tcW w:w="1996" w:type="dxa"/>
          </w:tcPr>
          <w:p w:rsidR="003F5784" w14:paraId="04B88426" w14:textId="77777777">
            <w:pPr>
              <w:pStyle w:val="TableParagraph"/>
              <w:ind w:right="319"/>
              <w:rPr>
                <w:sz w:val="21"/>
              </w:rPr>
            </w:pPr>
            <w:r>
              <w:rPr>
                <w:spacing w:val="-4"/>
                <w:sz w:val="21"/>
              </w:rPr>
              <w:t>1.41</w:t>
            </w:r>
          </w:p>
        </w:tc>
        <w:tc>
          <w:tcPr>
            <w:tcW w:w="2425" w:type="dxa"/>
          </w:tcPr>
          <w:p w:rsidR="003F5784" w14:paraId="35B24ABF" w14:textId="77777777">
            <w:pPr>
              <w:pStyle w:val="TableParagraph"/>
              <w:ind w:right="331"/>
              <w:rPr>
                <w:sz w:val="21"/>
              </w:rPr>
            </w:pPr>
            <w:r>
              <w:rPr>
                <w:spacing w:val="-4"/>
                <w:sz w:val="21"/>
              </w:rPr>
              <w:t>1.94</w:t>
            </w:r>
          </w:p>
        </w:tc>
        <w:tc>
          <w:tcPr>
            <w:tcW w:w="1795" w:type="dxa"/>
          </w:tcPr>
          <w:p w:rsidR="003F5784" w14:paraId="13EA49EC" w14:textId="77777777">
            <w:pPr>
              <w:pStyle w:val="TableParagraph"/>
              <w:ind w:right="119"/>
              <w:rPr>
                <w:sz w:val="21"/>
              </w:rPr>
            </w:pPr>
            <w:r>
              <w:rPr>
                <w:spacing w:val="-4"/>
                <w:sz w:val="21"/>
              </w:rPr>
              <w:t>1.75</w:t>
            </w:r>
          </w:p>
        </w:tc>
      </w:tr>
      <w:tr w14:paraId="7A2B85EC" w14:textId="77777777">
        <w:tblPrEx>
          <w:tblW w:w="0" w:type="auto"/>
          <w:tblInd w:w="482" w:type="dxa"/>
          <w:tblLayout w:type="fixed"/>
          <w:tblCellMar>
            <w:left w:w="0" w:type="dxa"/>
            <w:right w:w="0" w:type="dxa"/>
          </w:tblCellMar>
          <w:tblLook w:val="01E0"/>
        </w:tblPrEx>
        <w:trPr>
          <w:trHeight w:val="286"/>
        </w:trPr>
        <w:tc>
          <w:tcPr>
            <w:tcW w:w="4130" w:type="dxa"/>
          </w:tcPr>
          <w:p w:rsidR="003F5784" w14:paraId="2EEC72AC" w14:textId="77777777">
            <w:pPr>
              <w:pStyle w:val="TableParagraph"/>
              <w:ind w:left="120"/>
              <w:jc w:val="left"/>
              <w:rPr>
                <w:sz w:val="21"/>
              </w:rPr>
            </w:pPr>
            <w:r>
              <w:rPr>
                <w:spacing w:val="-2"/>
                <w:sz w:val="21"/>
              </w:rPr>
              <w:t>Arizona</w:t>
            </w:r>
          </w:p>
        </w:tc>
        <w:tc>
          <w:tcPr>
            <w:tcW w:w="3640" w:type="dxa"/>
          </w:tcPr>
          <w:p w:rsidR="003F5784" w14:paraId="3FF7F4E5" w14:textId="77777777">
            <w:pPr>
              <w:pStyle w:val="TableParagraph"/>
              <w:ind w:right="330"/>
              <w:rPr>
                <w:sz w:val="21"/>
              </w:rPr>
            </w:pPr>
            <w:r>
              <w:rPr>
                <w:spacing w:val="-4"/>
                <w:sz w:val="21"/>
              </w:rPr>
              <w:t>0.42</w:t>
            </w:r>
          </w:p>
        </w:tc>
        <w:tc>
          <w:tcPr>
            <w:tcW w:w="1996" w:type="dxa"/>
          </w:tcPr>
          <w:p w:rsidR="003F5784" w14:paraId="267AC8D0" w14:textId="77777777">
            <w:pPr>
              <w:pStyle w:val="TableParagraph"/>
              <w:ind w:right="319"/>
              <w:rPr>
                <w:sz w:val="21"/>
              </w:rPr>
            </w:pPr>
            <w:r>
              <w:rPr>
                <w:spacing w:val="-4"/>
                <w:sz w:val="21"/>
              </w:rPr>
              <w:t>0.37</w:t>
            </w:r>
          </w:p>
        </w:tc>
        <w:tc>
          <w:tcPr>
            <w:tcW w:w="2425" w:type="dxa"/>
          </w:tcPr>
          <w:p w:rsidR="003F5784" w14:paraId="4F76A250" w14:textId="77777777">
            <w:pPr>
              <w:pStyle w:val="TableParagraph"/>
              <w:ind w:right="331"/>
              <w:rPr>
                <w:sz w:val="21"/>
              </w:rPr>
            </w:pPr>
            <w:r>
              <w:rPr>
                <w:spacing w:val="-4"/>
                <w:sz w:val="21"/>
              </w:rPr>
              <w:t>1.25</w:t>
            </w:r>
          </w:p>
        </w:tc>
        <w:tc>
          <w:tcPr>
            <w:tcW w:w="1795" w:type="dxa"/>
          </w:tcPr>
          <w:p w:rsidR="003F5784" w14:paraId="153DAD3C" w14:textId="77777777">
            <w:pPr>
              <w:pStyle w:val="TableParagraph"/>
              <w:ind w:right="119"/>
              <w:rPr>
                <w:sz w:val="21"/>
              </w:rPr>
            </w:pPr>
            <w:r>
              <w:rPr>
                <w:spacing w:val="-4"/>
                <w:sz w:val="21"/>
              </w:rPr>
              <w:t>0.80</w:t>
            </w:r>
          </w:p>
        </w:tc>
      </w:tr>
      <w:tr w14:paraId="27A99A38" w14:textId="77777777">
        <w:tblPrEx>
          <w:tblW w:w="0" w:type="auto"/>
          <w:tblInd w:w="482" w:type="dxa"/>
          <w:tblLayout w:type="fixed"/>
          <w:tblCellMar>
            <w:left w:w="0" w:type="dxa"/>
            <w:right w:w="0" w:type="dxa"/>
          </w:tblCellMar>
          <w:tblLook w:val="01E0"/>
        </w:tblPrEx>
        <w:trPr>
          <w:trHeight w:val="286"/>
        </w:trPr>
        <w:tc>
          <w:tcPr>
            <w:tcW w:w="4130" w:type="dxa"/>
          </w:tcPr>
          <w:p w:rsidR="003F5784" w14:paraId="72BDB89A" w14:textId="77777777">
            <w:pPr>
              <w:pStyle w:val="TableParagraph"/>
              <w:ind w:left="120"/>
              <w:jc w:val="left"/>
              <w:rPr>
                <w:sz w:val="21"/>
              </w:rPr>
            </w:pPr>
            <w:r>
              <w:rPr>
                <w:spacing w:val="-2"/>
                <w:sz w:val="21"/>
              </w:rPr>
              <w:t>Arkansas</w:t>
            </w:r>
          </w:p>
        </w:tc>
        <w:tc>
          <w:tcPr>
            <w:tcW w:w="3640" w:type="dxa"/>
          </w:tcPr>
          <w:p w:rsidR="003F5784" w14:paraId="735FCE2C" w14:textId="77777777">
            <w:pPr>
              <w:pStyle w:val="TableParagraph"/>
              <w:ind w:right="330"/>
              <w:rPr>
                <w:sz w:val="21"/>
              </w:rPr>
            </w:pPr>
            <w:r>
              <w:rPr>
                <w:spacing w:val="-4"/>
                <w:sz w:val="21"/>
              </w:rPr>
              <w:t>1.27</w:t>
            </w:r>
          </w:p>
        </w:tc>
        <w:tc>
          <w:tcPr>
            <w:tcW w:w="1996" w:type="dxa"/>
          </w:tcPr>
          <w:p w:rsidR="003F5784" w14:paraId="3D757348" w14:textId="77777777">
            <w:pPr>
              <w:pStyle w:val="TableParagraph"/>
              <w:ind w:right="319"/>
              <w:rPr>
                <w:sz w:val="21"/>
              </w:rPr>
            </w:pPr>
            <w:r>
              <w:rPr>
                <w:spacing w:val="-4"/>
                <w:sz w:val="21"/>
              </w:rPr>
              <w:t>1.52</w:t>
            </w:r>
          </w:p>
        </w:tc>
        <w:tc>
          <w:tcPr>
            <w:tcW w:w="2425" w:type="dxa"/>
          </w:tcPr>
          <w:p w:rsidR="003F5784" w14:paraId="5DD47063" w14:textId="77777777">
            <w:pPr>
              <w:pStyle w:val="TableParagraph"/>
              <w:ind w:right="331"/>
              <w:rPr>
                <w:sz w:val="21"/>
              </w:rPr>
            </w:pPr>
            <w:r>
              <w:rPr>
                <w:spacing w:val="-4"/>
                <w:sz w:val="21"/>
              </w:rPr>
              <w:t>2.33</w:t>
            </w:r>
          </w:p>
        </w:tc>
        <w:tc>
          <w:tcPr>
            <w:tcW w:w="1795" w:type="dxa"/>
          </w:tcPr>
          <w:p w:rsidR="003F5784" w14:paraId="39E880FF" w14:textId="77777777">
            <w:pPr>
              <w:pStyle w:val="TableParagraph"/>
              <w:ind w:right="119"/>
              <w:rPr>
                <w:sz w:val="21"/>
              </w:rPr>
            </w:pPr>
            <w:r>
              <w:rPr>
                <w:spacing w:val="-4"/>
                <w:sz w:val="21"/>
              </w:rPr>
              <w:t>2.26</w:t>
            </w:r>
          </w:p>
        </w:tc>
      </w:tr>
      <w:tr w14:paraId="18B0D83E" w14:textId="77777777">
        <w:tblPrEx>
          <w:tblW w:w="0" w:type="auto"/>
          <w:tblInd w:w="482" w:type="dxa"/>
          <w:tblLayout w:type="fixed"/>
          <w:tblCellMar>
            <w:left w:w="0" w:type="dxa"/>
            <w:right w:w="0" w:type="dxa"/>
          </w:tblCellMar>
          <w:tblLook w:val="01E0"/>
        </w:tblPrEx>
        <w:trPr>
          <w:trHeight w:val="286"/>
        </w:trPr>
        <w:tc>
          <w:tcPr>
            <w:tcW w:w="4130" w:type="dxa"/>
          </w:tcPr>
          <w:p w:rsidR="003F5784" w14:paraId="308E192E" w14:textId="77777777">
            <w:pPr>
              <w:pStyle w:val="TableParagraph"/>
              <w:ind w:left="120"/>
              <w:jc w:val="left"/>
              <w:rPr>
                <w:sz w:val="21"/>
              </w:rPr>
            </w:pPr>
            <w:r>
              <w:rPr>
                <w:spacing w:val="-2"/>
                <w:sz w:val="21"/>
              </w:rPr>
              <w:t>California–Los</w:t>
            </w:r>
            <w:r>
              <w:rPr>
                <w:spacing w:val="3"/>
                <w:sz w:val="21"/>
              </w:rPr>
              <w:t xml:space="preserve"> </w:t>
            </w:r>
            <w:r>
              <w:rPr>
                <w:spacing w:val="-2"/>
                <w:sz w:val="21"/>
              </w:rPr>
              <w:t>Angeles</w:t>
            </w:r>
          </w:p>
        </w:tc>
        <w:tc>
          <w:tcPr>
            <w:tcW w:w="3640" w:type="dxa"/>
          </w:tcPr>
          <w:p w:rsidR="003F5784" w14:paraId="5668D473" w14:textId="77777777">
            <w:pPr>
              <w:pStyle w:val="TableParagraph"/>
              <w:ind w:right="330"/>
              <w:rPr>
                <w:sz w:val="21"/>
              </w:rPr>
            </w:pPr>
            <w:r>
              <w:rPr>
                <w:spacing w:val="-4"/>
                <w:sz w:val="21"/>
              </w:rPr>
              <w:t>0.11</w:t>
            </w:r>
          </w:p>
        </w:tc>
        <w:tc>
          <w:tcPr>
            <w:tcW w:w="1996" w:type="dxa"/>
          </w:tcPr>
          <w:p w:rsidR="003F5784" w14:paraId="0EAB1859" w14:textId="77777777">
            <w:pPr>
              <w:pStyle w:val="TableParagraph"/>
              <w:ind w:right="319"/>
              <w:rPr>
                <w:sz w:val="21"/>
              </w:rPr>
            </w:pPr>
            <w:r>
              <w:rPr>
                <w:spacing w:val="-4"/>
                <w:sz w:val="21"/>
              </w:rPr>
              <w:t>0.36</w:t>
            </w:r>
          </w:p>
        </w:tc>
        <w:tc>
          <w:tcPr>
            <w:tcW w:w="2425" w:type="dxa"/>
          </w:tcPr>
          <w:p w:rsidR="003F5784" w14:paraId="54D1B645" w14:textId="77777777">
            <w:pPr>
              <w:pStyle w:val="TableParagraph"/>
              <w:ind w:right="331"/>
              <w:rPr>
                <w:sz w:val="21"/>
              </w:rPr>
            </w:pPr>
            <w:r>
              <w:rPr>
                <w:spacing w:val="-4"/>
                <w:sz w:val="21"/>
              </w:rPr>
              <w:t>0.83</w:t>
            </w:r>
          </w:p>
        </w:tc>
        <w:tc>
          <w:tcPr>
            <w:tcW w:w="1795" w:type="dxa"/>
          </w:tcPr>
          <w:p w:rsidR="003F5784" w14:paraId="0C4A47CA" w14:textId="77777777">
            <w:pPr>
              <w:pStyle w:val="TableParagraph"/>
              <w:ind w:right="119"/>
              <w:rPr>
                <w:sz w:val="21"/>
              </w:rPr>
            </w:pPr>
            <w:r>
              <w:rPr>
                <w:spacing w:val="-4"/>
                <w:sz w:val="21"/>
              </w:rPr>
              <w:t>0.62</w:t>
            </w:r>
          </w:p>
        </w:tc>
      </w:tr>
      <w:tr w14:paraId="0B9112E5" w14:textId="77777777">
        <w:tblPrEx>
          <w:tblW w:w="0" w:type="auto"/>
          <w:tblInd w:w="482" w:type="dxa"/>
          <w:tblLayout w:type="fixed"/>
          <w:tblCellMar>
            <w:left w:w="0" w:type="dxa"/>
            <w:right w:w="0" w:type="dxa"/>
          </w:tblCellMar>
          <w:tblLook w:val="01E0"/>
        </w:tblPrEx>
        <w:trPr>
          <w:trHeight w:val="286"/>
        </w:trPr>
        <w:tc>
          <w:tcPr>
            <w:tcW w:w="4130" w:type="dxa"/>
          </w:tcPr>
          <w:p w:rsidR="003F5784" w14:paraId="53647D6B" w14:textId="77777777">
            <w:pPr>
              <w:pStyle w:val="TableParagraph"/>
              <w:ind w:left="120"/>
              <w:jc w:val="left"/>
              <w:rPr>
                <w:sz w:val="21"/>
              </w:rPr>
            </w:pPr>
            <w:r>
              <w:rPr>
                <w:spacing w:val="-2"/>
                <w:sz w:val="21"/>
              </w:rPr>
              <w:t>California–San</w:t>
            </w:r>
            <w:r>
              <w:rPr>
                <w:spacing w:val="14"/>
                <w:sz w:val="21"/>
              </w:rPr>
              <w:t xml:space="preserve"> </w:t>
            </w:r>
            <w:r>
              <w:rPr>
                <w:spacing w:val="-2"/>
                <w:sz w:val="21"/>
              </w:rPr>
              <w:t>Diego</w:t>
            </w:r>
          </w:p>
        </w:tc>
        <w:tc>
          <w:tcPr>
            <w:tcW w:w="3640" w:type="dxa"/>
          </w:tcPr>
          <w:p w:rsidR="003F5784" w14:paraId="512C42DE" w14:textId="77777777">
            <w:pPr>
              <w:pStyle w:val="TableParagraph"/>
              <w:ind w:right="330"/>
              <w:rPr>
                <w:sz w:val="21"/>
              </w:rPr>
            </w:pPr>
            <w:r>
              <w:rPr>
                <w:spacing w:val="-4"/>
                <w:sz w:val="21"/>
              </w:rPr>
              <w:t>0.32</w:t>
            </w:r>
          </w:p>
        </w:tc>
        <w:tc>
          <w:tcPr>
            <w:tcW w:w="1996" w:type="dxa"/>
          </w:tcPr>
          <w:p w:rsidR="003F5784" w14:paraId="2A0E260D" w14:textId="77777777">
            <w:pPr>
              <w:pStyle w:val="TableParagraph"/>
              <w:ind w:right="319"/>
              <w:rPr>
                <w:sz w:val="21"/>
              </w:rPr>
            </w:pPr>
            <w:r>
              <w:rPr>
                <w:spacing w:val="-4"/>
                <w:sz w:val="21"/>
              </w:rPr>
              <w:t>0.10</w:t>
            </w:r>
          </w:p>
        </w:tc>
        <w:tc>
          <w:tcPr>
            <w:tcW w:w="2425" w:type="dxa"/>
          </w:tcPr>
          <w:p w:rsidR="003F5784" w14:paraId="7BD68DAC" w14:textId="77777777">
            <w:pPr>
              <w:pStyle w:val="TableParagraph"/>
              <w:ind w:right="331"/>
              <w:rPr>
                <w:sz w:val="21"/>
              </w:rPr>
            </w:pPr>
            <w:r>
              <w:rPr>
                <w:spacing w:val="-4"/>
                <w:sz w:val="21"/>
              </w:rPr>
              <w:t>0.00</w:t>
            </w:r>
          </w:p>
        </w:tc>
        <w:tc>
          <w:tcPr>
            <w:tcW w:w="1795" w:type="dxa"/>
          </w:tcPr>
          <w:p w:rsidR="003F5784" w14:paraId="7105EE3A" w14:textId="77777777">
            <w:pPr>
              <w:pStyle w:val="TableParagraph"/>
              <w:ind w:right="119"/>
              <w:rPr>
                <w:sz w:val="21"/>
              </w:rPr>
            </w:pPr>
            <w:r>
              <w:rPr>
                <w:spacing w:val="-4"/>
                <w:sz w:val="21"/>
              </w:rPr>
              <w:t>0.00</w:t>
            </w:r>
          </w:p>
        </w:tc>
      </w:tr>
      <w:tr w14:paraId="6EA0D6F9" w14:textId="77777777">
        <w:tblPrEx>
          <w:tblW w:w="0" w:type="auto"/>
          <w:tblInd w:w="482" w:type="dxa"/>
          <w:tblLayout w:type="fixed"/>
          <w:tblCellMar>
            <w:left w:w="0" w:type="dxa"/>
            <w:right w:w="0" w:type="dxa"/>
          </w:tblCellMar>
          <w:tblLook w:val="01E0"/>
        </w:tblPrEx>
        <w:trPr>
          <w:trHeight w:val="286"/>
        </w:trPr>
        <w:tc>
          <w:tcPr>
            <w:tcW w:w="4130" w:type="dxa"/>
          </w:tcPr>
          <w:p w:rsidR="003F5784" w14:paraId="578E9D5A" w14:textId="77777777">
            <w:pPr>
              <w:pStyle w:val="TableParagraph"/>
              <w:ind w:left="120"/>
              <w:jc w:val="left"/>
              <w:rPr>
                <w:sz w:val="21"/>
              </w:rPr>
            </w:pPr>
            <w:r>
              <w:rPr>
                <w:spacing w:val="-2"/>
                <w:sz w:val="21"/>
              </w:rPr>
              <w:t>California</w:t>
            </w:r>
          </w:p>
        </w:tc>
        <w:tc>
          <w:tcPr>
            <w:tcW w:w="3640" w:type="dxa"/>
          </w:tcPr>
          <w:p w:rsidR="003F5784" w14:paraId="15376E73" w14:textId="77777777">
            <w:pPr>
              <w:pStyle w:val="TableParagraph"/>
              <w:ind w:right="330"/>
              <w:rPr>
                <w:sz w:val="21"/>
              </w:rPr>
            </w:pPr>
            <w:r>
              <w:rPr>
                <w:spacing w:val="-4"/>
                <w:sz w:val="21"/>
              </w:rPr>
              <w:t>0.71</w:t>
            </w:r>
          </w:p>
        </w:tc>
        <w:tc>
          <w:tcPr>
            <w:tcW w:w="1996" w:type="dxa"/>
          </w:tcPr>
          <w:p w:rsidR="003F5784" w14:paraId="0A94E2B6" w14:textId="77777777">
            <w:pPr>
              <w:pStyle w:val="TableParagraph"/>
              <w:ind w:right="319"/>
              <w:rPr>
                <w:sz w:val="21"/>
              </w:rPr>
            </w:pPr>
            <w:r>
              <w:rPr>
                <w:spacing w:val="-4"/>
                <w:sz w:val="21"/>
              </w:rPr>
              <w:t>0.30</w:t>
            </w:r>
          </w:p>
        </w:tc>
        <w:tc>
          <w:tcPr>
            <w:tcW w:w="2425" w:type="dxa"/>
          </w:tcPr>
          <w:p w:rsidR="003F5784" w14:paraId="0CCA04B0" w14:textId="77777777">
            <w:pPr>
              <w:pStyle w:val="TableParagraph"/>
              <w:ind w:right="331"/>
              <w:rPr>
                <w:sz w:val="21"/>
              </w:rPr>
            </w:pPr>
            <w:r>
              <w:rPr>
                <w:spacing w:val="-4"/>
                <w:sz w:val="21"/>
              </w:rPr>
              <w:t>1.12</w:t>
            </w:r>
          </w:p>
        </w:tc>
        <w:tc>
          <w:tcPr>
            <w:tcW w:w="1795" w:type="dxa"/>
          </w:tcPr>
          <w:p w:rsidR="003F5784" w14:paraId="3D2279A0" w14:textId="77777777">
            <w:pPr>
              <w:pStyle w:val="TableParagraph"/>
              <w:ind w:right="119"/>
              <w:rPr>
                <w:sz w:val="21"/>
              </w:rPr>
            </w:pPr>
            <w:r>
              <w:rPr>
                <w:spacing w:val="-4"/>
                <w:sz w:val="21"/>
              </w:rPr>
              <w:t>0.86</w:t>
            </w:r>
          </w:p>
        </w:tc>
      </w:tr>
      <w:tr w14:paraId="47EB8C9E" w14:textId="77777777">
        <w:tblPrEx>
          <w:tblW w:w="0" w:type="auto"/>
          <w:tblInd w:w="482" w:type="dxa"/>
          <w:tblLayout w:type="fixed"/>
          <w:tblCellMar>
            <w:left w:w="0" w:type="dxa"/>
            <w:right w:w="0" w:type="dxa"/>
          </w:tblCellMar>
          <w:tblLook w:val="01E0"/>
        </w:tblPrEx>
        <w:trPr>
          <w:trHeight w:val="286"/>
        </w:trPr>
        <w:tc>
          <w:tcPr>
            <w:tcW w:w="4130" w:type="dxa"/>
          </w:tcPr>
          <w:p w:rsidR="003F5784" w14:paraId="2B640538" w14:textId="77777777">
            <w:pPr>
              <w:pStyle w:val="TableParagraph"/>
              <w:ind w:left="120"/>
              <w:jc w:val="left"/>
              <w:rPr>
                <w:sz w:val="21"/>
              </w:rPr>
            </w:pPr>
            <w:r>
              <w:rPr>
                <w:spacing w:val="-2"/>
                <w:sz w:val="21"/>
              </w:rPr>
              <w:t>Colorado–Denver</w:t>
            </w:r>
          </w:p>
        </w:tc>
        <w:tc>
          <w:tcPr>
            <w:tcW w:w="3640" w:type="dxa"/>
          </w:tcPr>
          <w:p w:rsidR="003F5784" w14:paraId="37290B70" w14:textId="77777777">
            <w:pPr>
              <w:pStyle w:val="TableParagraph"/>
              <w:ind w:right="330"/>
              <w:rPr>
                <w:sz w:val="21"/>
              </w:rPr>
            </w:pPr>
            <w:r>
              <w:rPr>
                <w:spacing w:val="-4"/>
                <w:sz w:val="21"/>
              </w:rPr>
              <w:t>0.00</w:t>
            </w:r>
          </w:p>
        </w:tc>
        <w:tc>
          <w:tcPr>
            <w:tcW w:w="1996" w:type="dxa"/>
          </w:tcPr>
          <w:p w:rsidR="003F5784" w14:paraId="3CA89636" w14:textId="77777777">
            <w:pPr>
              <w:pStyle w:val="TableParagraph"/>
              <w:ind w:right="319"/>
              <w:rPr>
                <w:sz w:val="21"/>
              </w:rPr>
            </w:pPr>
            <w:r>
              <w:rPr>
                <w:spacing w:val="-4"/>
                <w:sz w:val="21"/>
              </w:rPr>
              <w:t>0.00</w:t>
            </w:r>
          </w:p>
        </w:tc>
        <w:tc>
          <w:tcPr>
            <w:tcW w:w="2425" w:type="dxa"/>
          </w:tcPr>
          <w:p w:rsidR="003F5784" w14:paraId="2A977D3F" w14:textId="77777777">
            <w:pPr>
              <w:pStyle w:val="TableParagraph"/>
              <w:ind w:right="331"/>
              <w:rPr>
                <w:sz w:val="21"/>
              </w:rPr>
            </w:pPr>
            <w:r>
              <w:rPr>
                <w:spacing w:val="-4"/>
                <w:sz w:val="21"/>
              </w:rPr>
              <w:t>0.44</w:t>
            </w:r>
          </w:p>
        </w:tc>
        <w:tc>
          <w:tcPr>
            <w:tcW w:w="1795" w:type="dxa"/>
          </w:tcPr>
          <w:p w:rsidR="003F5784" w14:paraId="10AC9562" w14:textId="77777777">
            <w:pPr>
              <w:pStyle w:val="TableParagraph"/>
              <w:ind w:right="119"/>
              <w:rPr>
                <w:sz w:val="21"/>
              </w:rPr>
            </w:pPr>
            <w:r>
              <w:rPr>
                <w:spacing w:val="-4"/>
                <w:sz w:val="21"/>
              </w:rPr>
              <w:t>0.52</w:t>
            </w:r>
          </w:p>
        </w:tc>
      </w:tr>
      <w:tr w14:paraId="6AC4CB58" w14:textId="77777777">
        <w:tblPrEx>
          <w:tblW w:w="0" w:type="auto"/>
          <w:tblInd w:w="482" w:type="dxa"/>
          <w:tblLayout w:type="fixed"/>
          <w:tblCellMar>
            <w:left w:w="0" w:type="dxa"/>
            <w:right w:w="0" w:type="dxa"/>
          </w:tblCellMar>
          <w:tblLook w:val="01E0"/>
        </w:tblPrEx>
        <w:trPr>
          <w:trHeight w:val="286"/>
        </w:trPr>
        <w:tc>
          <w:tcPr>
            <w:tcW w:w="4130" w:type="dxa"/>
          </w:tcPr>
          <w:p w:rsidR="003F5784" w14:paraId="327E7632" w14:textId="77777777">
            <w:pPr>
              <w:pStyle w:val="TableParagraph"/>
              <w:ind w:left="120"/>
              <w:jc w:val="left"/>
              <w:rPr>
                <w:sz w:val="21"/>
              </w:rPr>
            </w:pPr>
            <w:r>
              <w:rPr>
                <w:spacing w:val="-2"/>
                <w:sz w:val="21"/>
              </w:rPr>
              <w:t>Colorado</w:t>
            </w:r>
          </w:p>
        </w:tc>
        <w:tc>
          <w:tcPr>
            <w:tcW w:w="3640" w:type="dxa"/>
          </w:tcPr>
          <w:p w:rsidR="003F5784" w14:paraId="38892C1D" w14:textId="77777777">
            <w:pPr>
              <w:pStyle w:val="TableParagraph"/>
              <w:ind w:right="330"/>
              <w:rPr>
                <w:sz w:val="21"/>
              </w:rPr>
            </w:pPr>
            <w:r>
              <w:rPr>
                <w:spacing w:val="-4"/>
                <w:sz w:val="21"/>
              </w:rPr>
              <w:t>0.34</w:t>
            </w:r>
          </w:p>
        </w:tc>
        <w:tc>
          <w:tcPr>
            <w:tcW w:w="1996" w:type="dxa"/>
          </w:tcPr>
          <w:p w:rsidR="003F5784" w14:paraId="016E271C" w14:textId="77777777">
            <w:pPr>
              <w:pStyle w:val="TableParagraph"/>
              <w:ind w:right="319"/>
              <w:rPr>
                <w:sz w:val="21"/>
              </w:rPr>
            </w:pPr>
            <w:r>
              <w:rPr>
                <w:spacing w:val="-4"/>
                <w:sz w:val="21"/>
              </w:rPr>
              <w:t>0.32</w:t>
            </w:r>
          </w:p>
        </w:tc>
        <w:tc>
          <w:tcPr>
            <w:tcW w:w="2425" w:type="dxa"/>
          </w:tcPr>
          <w:p w:rsidR="003F5784" w14:paraId="79DF1717" w14:textId="77777777">
            <w:pPr>
              <w:pStyle w:val="TableParagraph"/>
              <w:ind w:right="331"/>
              <w:rPr>
                <w:sz w:val="21"/>
              </w:rPr>
            </w:pPr>
            <w:r>
              <w:rPr>
                <w:spacing w:val="-4"/>
                <w:sz w:val="21"/>
              </w:rPr>
              <w:t>0.22</w:t>
            </w:r>
          </w:p>
        </w:tc>
        <w:tc>
          <w:tcPr>
            <w:tcW w:w="1795" w:type="dxa"/>
          </w:tcPr>
          <w:p w:rsidR="003F5784" w14:paraId="7E85B6DA" w14:textId="77777777">
            <w:pPr>
              <w:pStyle w:val="TableParagraph"/>
              <w:ind w:right="119"/>
              <w:rPr>
                <w:sz w:val="21"/>
              </w:rPr>
            </w:pPr>
            <w:r>
              <w:rPr>
                <w:spacing w:val="-4"/>
                <w:sz w:val="21"/>
              </w:rPr>
              <w:t>0.46</w:t>
            </w:r>
          </w:p>
        </w:tc>
      </w:tr>
      <w:tr w14:paraId="35CE3180" w14:textId="77777777">
        <w:tblPrEx>
          <w:tblW w:w="0" w:type="auto"/>
          <w:tblInd w:w="482" w:type="dxa"/>
          <w:tblLayout w:type="fixed"/>
          <w:tblCellMar>
            <w:left w:w="0" w:type="dxa"/>
            <w:right w:w="0" w:type="dxa"/>
          </w:tblCellMar>
          <w:tblLook w:val="01E0"/>
        </w:tblPrEx>
        <w:trPr>
          <w:trHeight w:val="286"/>
        </w:trPr>
        <w:tc>
          <w:tcPr>
            <w:tcW w:w="4130" w:type="dxa"/>
          </w:tcPr>
          <w:p w:rsidR="003F5784" w14:paraId="1AB9DC71" w14:textId="77777777">
            <w:pPr>
              <w:pStyle w:val="TableParagraph"/>
              <w:ind w:left="120"/>
              <w:jc w:val="left"/>
              <w:rPr>
                <w:sz w:val="21"/>
              </w:rPr>
            </w:pPr>
            <w:r>
              <w:rPr>
                <w:spacing w:val="-2"/>
                <w:sz w:val="21"/>
              </w:rPr>
              <w:t>Connecticut</w:t>
            </w:r>
          </w:p>
        </w:tc>
        <w:tc>
          <w:tcPr>
            <w:tcW w:w="3640" w:type="dxa"/>
          </w:tcPr>
          <w:p w:rsidR="003F5784" w14:paraId="674A9D0F" w14:textId="77777777">
            <w:pPr>
              <w:pStyle w:val="TableParagraph"/>
              <w:ind w:right="330"/>
              <w:rPr>
                <w:sz w:val="21"/>
              </w:rPr>
            </w:pPr>
            <w:r>
              <w:rPr>
                <w:spacing w:val="-4"/>
                <w:sz w:val="21"/>
              </w:rPr>
              <w:t>0.00</w:t>
            </w:r>
          </w:p>
        </w:tc>
        <w:tc>
          <w:tcPr>
            <w:tcW w:w="1996" w:type="dxa"/>
          </w:tcPr>
          <w:p w:rsidR="003F5784" w14:paraId="347849A0" w14:textId="77777777">
            <w:pPr>
              <w:pStyle w:val="TableParagraph"/>
              <w:ind w:right="319"/>
              <w:rPr>
                <w:sz w:val="21"/>
              </w:rPr>
            </w:pPr>
            <w:r>
              <w:rPr>
                <w:spacing w:val="-4"/>
                <w:sz w:val="21"/>
              </w:rPr>
              <w:t>0.06</w:t>
            </w:r>
          </w:p>
        </w:tc>
        <w:tc>
          <w:tcPr>
            <w:tcW w:w="2425" w:type="dxa"/>
          </w:tcPr>
          <w:p w:rsidR="003F5784" w14:paraId="05AD5EAA" w14:textId="77777777">
            <w:pPr>
              <w:pStyle w:val="TableParagraph"/>
              <w:ind w:right="331"/>
              <w:rPr>
                <w:sz w:val="21"/>
              </w:rPr>
            </w:pPr>
            <w:r>
              <w:rPr>
                <w:spacing w:val="-4"/>
                <w:sz w:val="21"/>
              </w:rPr>
              <w:t>0.05</w:t>
            </w:r>
          </w:p>
        </w:tc>
        <w:tc>
          <w:tcPr>
            <w:tcW w:w="1795" w:type="dxa"/>
          </w:tcPr>
          <w:p w:rsidR="003F5784" w14:paraId="67154392" w14:textId="77777777">
            <w:pPr>
              <w:pStyle w:val="TableParagraph"/>
              <w:ind w:right="119"/>
              <w:rPr>
                <w:sz w:val="21"/>
              </w:rPr>
            </w:pPr>
            <w:r>
              <w:rPr>
                <w:spacing w:val="-4"/>
                <w:sz w:val="21"/>
              </w:rPr>
              <w:t>0.06</w:t>
            </w:r>
          </w:p>
        </w:tc>
      </w:tr>
      <w:tr w14:paraId="55935866" w14:textId="77777777">
        <w:tblPrEx>
          <w:tblW w:w="0" w:type="auto"/>
          <w:tblInd w:w="482" w:type="dxa"/>
          <w:tblLayout w:type="fixed"/>
          <w:tblCellMar>
            <w:left w:w="0" w:type="dxa"/>
            <w:right w:w="0" w:type="dxa"/>
          </w:tblCellMar>
          <w:tblLook w:val="01E0"/>
        </w:tblPrEx>
        <w:trPr>
          <w:trHeight w:val="286"/>
        </w:trPr>
        <w:tc>
          <w:tcPr>
            <w:tcW w:w="4130" w:type="dxa"/>
          </w:tcPr>
          <w:p w:rsidR="003F5784" w14:paraId="424DBFD6" w14:textId="77777777">
            <w:pPr>
              <w:pStyle w:val="TableParagraph"/>
              <w:ind w:left="120"/>
              <w:jc w:val="left"/>
              <w:rPr>
                <w:sz w:val="21"/>
              </w:rPr>
            </w:pPr>
            <w:r>
              <w:rPr>
                <w:spacing w:val="-2"/>
                <w:sz w:val="21"/>
              </w:rPr>
              <w:t>Delaware</w:t>
            </w:r>
          </w:p>
        </w:tc>
        <w:tc>
          <w:tcPr>
            <w:tcW w:w="3640" w:type="dxa"/>
          </w:tcPr>
          <w:p w:rsidR="003F5784" w14:paraId="3BC54165" w14:textId="77777777">
            <w:pPr>
              <w:pStyle w:val="TableParagraph"/>
              <w:ind w:right="330"/>
              <w:rPr>
                <w:sz w:val="21"/>
              </w:rPr>
            </w:pPr>
            <w:r>
              <w:rPr>
                <w:spacing w:val="-4"/>
                <w:sz w:val="21"/>
              </w:rPr>
              <w:t>2.05</w:t>
            </w:r>
          </w:p>
        </w:tc>
        <w:tc>
          <w:tcPr>
            <w:tcW w:w="1996" w:type="dxa"/>
          </w:tcPr>
          <w:p w:rsidR="003F5784" w14:paraId="196A9291" w14:textId="77777777">
            <w:pPr>
              <w:pStyle w:val="TableParagraph"/>
              <w:ind w:right="319"/>
              <w:rPr>
                <w:sz w:val="21"/>
              </w:rPr>
            </w:pPr>
            <w:r>
              <w:rPr>
                <w:spacing w:val="-4"/>
                <w:sz w:val="21"/>
              </w:rPr>
              <w:t>1.68</w:t>
            </w:r>
          </w:p>
        </w:tc>
        <w:tc>
          <w:tcPr>
            <w:tcW w:w="2425" w:type="dxa"/>
          </w:tcPr>
          <w:p w:rsidR="003F5784" w14:paraId="2885741B" w14:textId="77777777">
            <w:pPr>
              <w:pStyle w:val="TableParagraph"/>
              <w:ind w:right="331"/>
              <w:rPr>
                <w:sz w:val="21"/>
              </w:rPr>
            </w:pPr>
            <w:r>
              <w:rPr>
                <w:spacing w:val="-4"/>
                <w:sz w:val="21"/>
              </w:rPr>
              <w:t>1.64</w:t>
            </w:r>
          </w:p>
        </w:tc>
        <w:tc>
          <w:tcPr>
            <w:tcW w:w="1795" w:type="dxa"/>
          </w:tcPr>
          <w:p w:rsidR="003F5784" w14:paraId="22C408D3" w14:textId="77777777">
            <w:pPr>
              <w:pStyle w:val="TableParagraph"/>
              <w:ind w:right="119"/>
              <w:rPr>
                <w:sz w:val="21"/>
              </w:rPr>
            </w:pPr>
            <w:r>
              <w:rPr>
                <w:spacing w:val="-4"/>
                <w:sz w:val="21"/>
              </w:rPr>
              <w:t>1.56</w:t>
            </w:r>
          </w:p>
        </w:tc>
      </w:tr>
      <w:tr w14:paraId="6252C3DE" w14:textId="77777777">
        <w:tblPrEx>
          <w:tblW w:w="0" w:type="auto"/>
          <w:tblInd w:w="482" w:type="dxa"/>
          <w:tblLayout w:type="fixed"/>
          <w:tblCellMar>
            <w:left w:w="0" w:type="dxa"/>
            <w:right w:w="0" w:type="dxa"/>
          </w:tblCellMar>
          <w:tblLook w:val="01E0"/>
        </w:tblPrEx>
        <w:trPr>
          <w:trHeight w:val="286"/>
        </w:trPr>
        <w:tc>
          <w:tcPr>
            <w:tcW w:w="4130" w:type="dxa"/>
          </w:tcPr>
          <w:p w:rsidR="003F5784" w14:paraId="10B3216A" w14:textId="77777777">
            <w:pPr>
              <w:pStyle w:val="TableParagraph"/>
              <w:ind w:left="120"/>
              <w:jc w:val="left"/>
              <w:rPr>
                <w:sz w:val="21"/>
              </w:rPr>
            </w:pPr>
            <w:r>
              <w:rPr>
                <w:spacing w:val="-2"/>
                <w:sz w:val="21"/>
              </w:rPr>
              <w:t>Florida–Duval</w:t>
            </w:r>
            <w:r>
              <w:rPr>
                <w:spacing w:val="12"/>
                <w:sz w:val="21"/>
              </w:rPr>
              <w:t xml:space="preserve"> </w:t>
            </w:r>
            <w:r>
              <w:rPr>
                <w:spacing w:val="-2"/>
                <w:sz w:val="21"/>
              </w:rPr>
              <w:t>County</w:t>
            </w:r>
          </w:p>
        </w:tc>
        <w:tc>
          <w:tcPr>
            <w:tcW w:w="3640" w:type="dxa"/>
          </w:tcPr>
          <w:p w:rsidR="003F5784" w14:paraId="4315A99D" w14:textId="77777777">
            <w:pPr>
              <w:pStyle w:val="TableParagraph"/>
              <w:ind w:right="330"/>
              <w:rPr>
                <w:sz w:val="21"/>
              </w:rPr>
            </w:pPr>
            <w:r>
              <w:rPr>
                <w:spacing w:val="-4"/>
                <w:sz w:val="21"/>
              </w:rPr>
              <w:t>0.00</w:t>
            </w:r>
          </w:p>
        </w:tc>
        <w:tc>
          <w:tcPr>
            <w:tcW w:w="1996" w:type="dxa"/>
          </w:tcPr>
          <w:p w:rsidR="003F5784" w14:paraId="3118B82A" w14:textId="77777777">
            <w:pPr>
              <w:pStyle w:val="TableParagraph"/>
              <w:ind w:right="319"/>
              <w:rPr>
                <w:sz w:val="21"/>
              </w:rPr>
            </w:pPr>
            <w:r>
              <w:rPr>
                <w:spacing w:val="-4"/>
                <w:sz w:val="21"/>
              </w:rPr>
              <w:t>0.00</w:t>
            </w:r>
          </w:p>
        </w:tc>
        <w:tc>
          <w:tcPr>
            <w:tcW w:w="2425" w:type="dxa"/>
          </w:tcPr>
          <w:p w:rsidR="003F5784" w14:paraId="1C5DEBB7" w14:textId="77777777">
            <w:pPr>
              <w:pStyle w:val="TableParagraph"/>
              <w:ind w:right="331"/>
              <w:rPr>
                <w:sz w:val="21"/>
              </w:rPr>
            </w:pPr>
            <w:r>
              <w:rPr>
                <w:spacing w:val="-4"/>
                <w:sz w:val="21"/>
              </w:rPr>
              <w:t>0.08</w:t>
            </w:r>
          </w:p>
        </w:tc>
        <w:tc>
          <w:tcPr>
            <w:tcW w:w="1795" w:type="dxa"/>
          </w:tcPr>
          <w:p w:rsidR="003F5784" w14:paraId="5A2897C2" w14:textId="77777777">
            <w:pPr>
              <w:pStyle w:val="TableParagraph"/>
              <w:ind w:right="119"/>
              <w:rPr>
                <w:sz w:val="21"/>
              </w:rPr>
            </w:pPr>
            <w:r>
              <w:rPr>
                <w:spacing w:val="-4"/>
                <w:sz w:val="21"/>
              </w:rPr>
              <w:t>0.00</w:t>
            </w:r>
          </w:p>
        </w:tc>
      </w:tr>
      <w:tr w14:paraId="0334C80E" w14:textId="77777777">
        <w:tblPrEx>
          <w:tblW w:w="0" w:type="auto"/>
          <w:tblInd w:w="482" w:type="dxa"/>
          <w:tblLayout w:type="fixed"/>
          <w:tblCellMar>
            <w:left w:w="0" w:type="dxa"/>
            <w:right w:w="0" w:type="dxa"/>
          </w:tblCellMar>
          <w:tblLook w:val="01E0"/>
        </w:tblPrEx>
        <w:trPr>
          <w:trHeight w:val="286"/>
        </w:trPr>
        <w:tc>
          <w:tcPr>
            <w:tcW w:w="4130" w:type="dxa"/>
          </w:tcPr>
          <w:p w:rsidR="003F5784" w14:paraId="1C31060D" w14:textId="77777777">
            <w:pPr>
              <w:pStyle w:val="TableParagraph"/>
              <w:ind w:left="120"/>
              <w:jc w:val="left"/>
              <w:rPr>
                <w:sz w:val="21"/>
              </w:rPr>
            </w:pPr>
            <w:r>
              <w:rPr>
                <w:spacing w:val="-2"/>
                <w:sz w:val="21"/>
              </w:rPr>
              <w:t>Florida–Hillsborough</w:t>
            </w:r>
            <w:r>
              <w:rPr>
                <w:spacing w:val="20"/>
                <w:sz w:val="21"/>
              </w:rPr>
              <w:t xml:space="preserve"> </w:t>
            </w:r>
            <w:r>
              <w:rPr>
                <w:spacing w:val="-2"/>
                <w:sz w:val="21"/>
              </w:rPr>
              <w:t>County</w:t>
            </w:r>
          </w:p>
        </w:tc>
        <w:tc>
          <w:tcPr>
            <w:tcW w:w="3640" w:type="dxa"/>
          </w:tcPr>
          <w:p w:rsidR="003F5784" w14:paraId="1FC1D181" w14:textId="77777777">
            <w:pPr>
              <w:pStyle w:val="TableParagraph"/>
              <w:ind w:right="330"/>
              <w:rPr>
                <w:sz w:val="21"/>
              </w:rPr>
            </w:pPr>
            <w:r>
              <w:rPr>
                <w:spacing w:val="-4"/>
                <w:sz w:val="21"/>
              </w:rPr>
              <w:t>0.00</w:t>
            </w:r>
          </w:p>
        </w:tc>
        <w:tc>
          <w:tcPr>
            <w:tcW w:w="1996" w:type="dxa"/>
          </w:tcPr>
          <w:p w:rsidR="003F5784" w14:paraId="698EFEDA" w14:textId="77777777">
            <w:pPr>
              <w:pStyle w:val="TableParagraph"/>
              <w:ind w:right="319"/>
              <w:rPr>
                <w:sz w:val="21"/>
              </w:rPr>
            </w:pPr>
            <w:r>
              <w:rPr>
                <w:spacing w:val="-4"/>
                <w:sz w:val="21"/>
              </w:rPr>
              <w:t>0.00</w:t>
            </w:r>
          </w:p>
        </w:tc>
        <w:tc>
          <w:tcPr>
            <w:tcW w:w="2425" w:type="dxa"/>
          </w:tcPr>
          <w:p w:rsidR="003F5784" w14:paraId="2DD3EBDB" w14:textId="77777777">
            <w:pPr>
              <w:pStyle w:val="TableParagraph"/>
              <w:ind w:right="331"/>
              <w:rPr>
                <w:sz w:val="21"/>
              </w:rPr>
            </w:pPr>
            <w:r>
              <w:rPr>
                <w:spacing w:val="-4"/>
                <w:sz w:val="21"/>
              </w:rPr>
              <w:t>0.00</w:t>
            </w:r>
          </w:p>
        </w:tc>
        <w:tc>
          <w:tcPr>
            <w:tcW w:w="1795" w:type="dxa"/>
          </w:tcPr>
          <w:p w:rsidR="003F5784" w14:paraId="360BF14C" w14:textId="77777777">
            <w:pPr>
              <w:pStyle w:val="TableParagraph"/>
              <w:ind w:right="119"/>
              <w:rPr>
                <w:sz w:val="21"/>
              </w:rPr>
            </w:pPr>
            <w:r>
              <w:rPr>
                <w:spacing w:val="-4"/>
                <w:sz w:val="21"/>
              </w:rPr>
              <w:t>0.00</w:t>
            </w:r>
          </w:p>
        </w:tc>
      </w:tr>
      <w:tr w14:paraId="44292699" w14:textId="77777777">
        <w:tblPrEx>
          <w:tblW w:w="0" w:type="auto"/>
          <w:tblInd w:w="482" w:type="dxa"/>
          <w:tblLayout w:type="fixed"/>
          <w:tblCellMar>
            <w:left w:w="0" w:type="dxa"/>
            <w:right w:w="0" w:type="dxa"/>
          </w:tblCellMar>
          <w:tblLook w:val="01E0"/>
        </w:tblPrEx>
        <w:trPr>
          <w:trHeight w:val="286"/>
        </w:trPr>
        <w:tc>
          <w:tcPr>
            <w:tcW w:w="4130" w:type="dxa"/>
          </w:tcPr>
          <w:p w:rsidR="003F5784" w14:paraId="1AEB7397" w14:textId="77777777">
            <w:pPr>
              <w:pStyle w:val="TableParagraph"/>
              <w:ind w:left="120"/>
              <w:jc w:val="left"/>
              <w:rPr>
                <w:sz w:val="21"/>
              </w:rPr>
            </w:pPr>
            <w:r>
              <w:rPr>
                <w:spacing w:val="-2"/>
                <w:sz w:val="21"/>
              </w:rPr>
              <w:t>Florida–Miami-Dade</w:t>
            </w:r>
            <w:r>
              <w:rPr>
                <w:spacing w:val="17"/>
                <w:sz w:val="21"/>
              </w:rPr>
              <w:t xml:space="preserve"> </w:t>
            </w:r>
            <w:r>
              <w:rPr>
                <w:spacing w:val="-2"/>
                <w:sz w:val="21"/>
              </w:rPr>
              <w:t>County</w:t>
            </w:r>
          </w:p>
        </w:tc>
        <w:tc>
          <w:tcPr>
            <w:tcW w:w="3640" w:type="dxa"/>
          </w:tcPr>
          <w:p w:rsidR="003F5784" w14:paraId="55BE2BAB" w14:textId="77777777">
            <w:pPr>
              <w:pStyle w:val="TableParagraph"/>
              <w:ind w:right="330"/>
              <w:rPr>
                <w:sz w:val="21"/>
              </w:rPr>
            </w:pPr>
            <w:r>
              <w:rPr>
                <w:spacing w:val="-4"/>
                <w:sz w:val="21"/>
              </w:rPr>
              <w:t>0.00</w:t>
            </w:r>
          </w:p>
        </w:tc>
        <w:tc>
          <w:tcPr>
            <w:tcW w:w="1996" w:type="dxa"/>
          </w:tcPr>
          <w:p w:rsidR="003F5784" w14:paraId="7B9E185B" w14:textId="77777777">
            <w:pPr>
              <w:pStyle w:val="TableParagraph"/>
              <w:ind w:right="319"/>
              <w:rPr>
                <w:sz w:val="21"/>
              </w:rPr>
            </w:pPr>
            <w:r>
              <w:rPr>
                <w:spacing w:val="-4"/>
                <w:sz w:val="21"/>
              </w:rPr>
              <w:t>0.00</w:t>
            </w:r>
          </w:p>
        </w:tc>
        <w:tc>
          <w:tcPr>
            <w:tcW w:w="2425" w:type="dxa"/>
          </w:tcPr>
          <w:p w:rsidR="003F5784" w14:paraId="7B196812" w14:textId="77777777">
            <w:pPr>
              <w:pStyle w:val="TableParagraph"/>
              <w:ind w:right="331"/>
              <w:rPr>
                <w:sz w:val="21"/>
              </w:rPr>
            </w:pPr>
            <w:r>
              <w:rPr>
                <w:spacing w:val="-4"/>
                <w:sz w:val="21"/>
              </w:rPr>
              <w:t>0.00</w:t>
            </w:r>
          </w:p>
        </w:tc>
        <w:tc>
          <w:tcPr>
            <w:tcW w:w="1795" w:type="dxa"/>
          </w:tcPr>
          <w:p w:rsidR="003F5784" w14:paraId="18BA750D" w14:textId="77777777">
            <w:pPr>
              <w:pStyle w:val="TableParagraph"/>
              <w:ind w:right="119"/>
              <w:rPr>
                <w:sz w:val="21"/>
              </w:rPr>
            </w:pPr>
            <w:r>
              <w:rPr>
                <w:spacing w:val="-4"/>
                <w:sz w:val="21"/>
              </w:rPr>
              <w:t>0.00</w:t>
            </w:r>
          </w:p>
        </w:tc>
      </w:tr>
      <w:tr w14:paraId="6FD69B31" w14:textId="77777777">
        <w:tblPrEx>
          <w:tblW w:w="0" w:type="auto"/>
          <w:tblInd w:w="482" w:type="dxa"/>
          <w:tblLayout w:type="fixed"/>
          <w:tblCellMar>
            <w:left w:w="0" w:type="dxa"/>
            <w:right w:w="0" w:type="dxa"/>
          </w:tblCellMar>
          <w:tblLook w:val="01E0"/>
        </w:tblPrEx>
        <w:trPr>
          <w:trHeight w:val="286"/>
        </w:trPr>
        <w:tc>
          <w:tcPr>
            <w:tcW w:w="4130" w:type="dxa"/>
          </w:tcPr>
          <w:p w:rsidR="003F5784" w14:paraId="79BAA23B" w14:textId="77777777">
            <w:pPr>
              <w:pStyle w:val="TableParagraph"/>
              <w:ind w:left="120"/>
              <w:jc w:val="left"/>
              <w:rPr>
                <w:sz w:val="21"/>
              </w:rPr>
            </w:pPr>
            <w:r>
              <w:rPr>
                <w:spacing w:val="-2"/>
                <w:sz w:val="21"/>
              </w:rPr>
              <w:t>Florida</w:t>
            </w:r>
          </w:p>
        </w:tc>
        <w:tc>
          <w:tcPr>
            <w:tcW w:w="3640" w:type="dxa"/>
          </w:tcPr>
          <w:p w:rsidR="003F5784" w14:paraId="07EEABCC" w14:textId="77777777">
            <w:pPr>
              <w:pStyle w:val="TableParagraph"/>
              <w:ind w:right="330"/>
              <w:rPr>
                <w:sz w:val="21"/>
              </w:rPr>
            </w:pPr>
            <w:r>
              <w:rPr>
                <w:spacing w:val="-4"/>
                <w:sz w:val="21"/>
              </w:rPr>
              <w:t>0.00</w:t>
            </w:r>
          </w:p>
        </w:tc>
        <w:tc>
          <w:tcPr>
            <w:tcW w:w="1996" w:type="dxa"/>
          </w:tcPr>
          <w:p w:rsidR="003F5784" w14:paraId="6A41560C" w14:textId="77777777">
            <w:pPr>
              <w:pStyle w:val="TableParagraph"/>
              <w:ind w:right="319"/>
              <w:rPr>
                <w:sz w:val="21"/>
              </w:rPr>
            </w:pPr>
            <w:r>
              <w:rPr>
                <w:spacing w:val="-4"/>
                <w:sz w:val="21"/>
              </w:rPr>
              <w:t>0.06</w:t>
            </w:r>
          </w:p>
        </w:tc>
        <w:tc>
          <w:tcPr>
            <w:tcW w:w="2425" w:type="dxa"/>
          </w:tcPr>
          <w:p w:rsidR="003F5784" w14:paraId="678EF940" w14:textId="77777777">
            <w:pPr>
              <w:pStyle w:val="TableParagraph"/>
              <w:ind w:right="331"/>
              <w:rPr>
                <w:sz w:val="21"/>
              </w:rPr>
            </w:pPr>
            <w:r>
              <w:rPr>
                <w:spacing w:val="-4"/>
                <w:sz w:val="21"/>
              </w:rPr>
              <w:t>1.02</w:t>
            </w:r>
          </w:p>
        </w:tc>
        <w:tc>
          <w:tcPr>
            <w:tcW w:w="1795" w:type="dxa"/>
          </w:tcPr>
          <w:p w:rsidR="003F5784" w14:paraId="72FD05DB" w14:textId="77777777">
            <w:pPr>
              <w:pStyle w:val="TableParagraph"/>
              <w:ind w:right="119"/>
              <w:rPr>
                <w:sz w:val="21"/>
              </w:rPr>
            </w:pPr>
            <w:r>
              <w:rPr>
                <w:spacing w:val="-4"/>
                <w:sz w:val="21"/>
              </w:rPr>
              <w:t>0.97</w:t>
            </w:r>
          </w:p>
        </w:tc>
      </w:tr>
      <w:tr w14:paraId="7793EADE" w14:textId="77777777">
        <w:tblPrEx>
          <w:tblW w:w="0" w:type="auto"/>
          <w:tblInd w:w="482" w:type="dxa"/>
          <w:tblLayout w:type="fixed"/>
          <w:tblCellMar>
            <w:left w:w="0" w:type="dxa"/>
            <w:right w:w="0" w:type="dxa"/>
          </w:tblCellMar>
          <w:tblLook w:val="01E0"/>
        </w:tblPrEx>
        <w:trPr>
          <w:trHeight w:val="286"/>
        </w:trPr>
        <w:tc>
          <w:tcPr>
            <w:tcW w:w="4130" w:type="dxa"/>
          </w:tcPr>
          <w:p w:rsidR="003F5784" w14:paraId="170C91BA" w14:textId="77777777">
            <w:pPr>
              <w:pStyle w:val="TableParagraph"/>
              <w:ind w:left="120"/>
              <w:jc w:val="left"/>
              <w:rPr>
                <w:sz w:val="21"/>
              </w:rPr>
            </w:pPr>
            <w:r>
              <w:rPr>
                <w:spacing w:val="-2"/>
                <w:sz w:val="21"/>
              </w:rPr>
              <w:t>Georgia–Atlanta</w:t>
            </w:r>
          </w:p>
        </w:tc>
        <w:tc>
          <w:tcPr>
            <w:tcW w:w="3640" w:type="dxa"/>
          </w:tcPr>
          <w:p w:rsidR="003F5784" w14:paraId="583F47D6" w14:textId="77777777">
            <w:pPr>
              <w:pStyle w:val="TableParagraph"/>
              <w:ind w:right="330"/>
              <w:rPr>
                <w:sz w:val="21"/>
              </w:rPr>
            </w:pPr>
            <w:r>
              <w:rPr>
                <w:spacing w:val="-4"/>
                <w:sz w:val="21"/>
              </w:rPr>
              <w:t>2.09</w:t>
            </w:r>
          </w:p>
        </w:tc>
        <w:tc>
          <w:tcPr>
            <w:tcW w:w="1996" w:type="dxa"/>
          </w:tcPr>
          <w:p w:rsidR="003F5784" w14:paraId="0EB3D096" w14:textId="77777777">
            <w:pPr>
              <w:pStyle w:val="TableParagraph"/>
              <w:ind w:right="319"/>
              <w:rPr>
                <w:sz w:val="21"/>
              </w:rPr>
            </w:pPr>
            <w:r>
              <w:rPr>
                <w:spacing w:val="-4"/>
                <w:sz w:val="21"/>
              </w:rPr>
              <w:t>2.05</w:t>
            </w:r>
          </w:p>
        </w:tc>
        <w:tc>
          <w:tcPr>
            <w:tcW w:w="2425" w:type="dxa"/>
          </w:tcPr>
          <w:p w:rsidR="003F5784" w14:paraId="2355B6ED" w14:textId="77777777">
            <w:pPr>
              <w:pStyle w:val="TableParagraph"/>
              <w:ind w:right="331"/>
              <w:rPr>
                <w:sz w:val="21"/>
              </w:rPr>
            </w:pPr>
            <w:r>
              <w:rPr>
                <w:spacing w:val="-4"/>
                <w:sz w:val="21"/>
              </w:rPr>
              <w:t>4.46</w:t>
            </w:r>
          </w:p>
        </w:tc>
        <w:tc>
          <w:tcPr>
            <w:tcW w:w="1795" w:type="dxa"/>
          </w:tcPr>
          <w:p w:rsidR="003F5784" w14:paraId="2A5770ED" w14:textId="77777777">
            <w:pPr>
              <w:pStyle w:val="TableParagraph"/>
              <w:ind w:right="119"/>
              <w:rPr>
                <w:sz w:val="21"/>
              </w:rPr>
            </w:pPr>
            <w:r>
              <w:rPr>
                <w:spacing w:val="-4"/>
                <w:sz w:val="21"/>
              </w:rPr>
              <w:t>3.49</w:t>
            </w:r>
          </w:p>
        </w:tc>
      </w:tr>
      <w:tr w14:paraId="45F210BF" w14:textId="77777777">
        <w:tblPrEx>
          <w:tblW w:w="0" w:type="auto"/>
          <w:tblInd w:w="482" w:type="dxa"/>
          <w:tblLayout w:type="fixed"/>
          <w:tblCellMar>
            <w:left w:w="0" w:type="dxa"/>
            <w:right w:w="0" w:type="dxa"/>
          </w:tblCellMar>
          <w:tblLook w:val="01E0"/>
        </w:tblPrEx>
        <w:trPr>
          <w:trHeight w:val="286"/>
        </w:trPr>
        <w:tc>
          <w:tcPr>
            <w:tcW w:w="4130" w:type="dxa"/>
          </w:tcPr>
          <w:p w:rsidR="003F5784" w14:paraId="00A63E63" w14:textId="77777777">
            <w:pPr>
              <w:pStyle w:val="TableParagraph"/>
              <w:ind w:left="120"/>
              <w:jc w:val="left"/>
              <w:rPr>
                <w:sz w:val="21"/>
              </w:rPr>
            </w:pPr>
            <w:r>
              <w:rPr>
                <w:spacing w:val="-2"/>
                <w:sz w:val="21"/>
              </w:rPr>
              <w:t>Georgia</w:t>
            </w:r>
          </w:p>
        </w:tc>
        <w:tc>
          <w:tcPr>
            <w:tcW w:w="3640" w:type="dxa"/>
          </w:tcPr>
          <w:p w:rsidR="003F5784" w14:paraId="04B419A3" w14:textId="77777777">
            <w:pPr>
              <w:pStyle w:val="TableParagraph"/>
              <w:ind w:right="330"/>
              <w:rPr>
                <w:sz w:val="21"/>
              </w:rPr>
            </w:pPr>
            <w:r>
              <w:rPr>
                <w:spacing w:val="-4"/>
                <w:sz w:val="21"/>
              </w:rPr>
              <w:t>2.00</w:t>
            </w:r>
          </w:p>
        </w:tc>
        <w:tc>
          <w:tcPr>
            <w:tcW w:w="1996" w:type="dxa"/>
          </w:tcPr>
          <w:p w:rsidR="003F5784" w14:paraId="0C482224" w14:textId="77777777">
            <w:pPr>
              <w:pStyle w:val="TableParagraph"/>
              <w:ind w:right="319"/>
              <w:rPr>
                <w:sz w:val="21"/>
              </w:rPr>
            </w:pPr>
            <w:r>
              <w:rPr>
                <w:spacing w:val="-4"/>
                <w:sz w:val="21"/>
              </w:rPr>
              <w:t>1.97</w:t>
            </w:r>
          </w:p>
        </w:tc>
        <w:tc>
          <w:tcPr>
            <w:tcW w:w="2425" w:type="dxa"/>
          </w:tcPr>
          <w:p w:rsidR="003F5784" w14:paraId="46526639" w14:textId="77777777">
            <w:pPr>
              <w:pStyle w:val="TableParagraph"/>
              <w:ind w:right="331"/>
              <w:rPr>
                <w:sz w:val="21"/>
              </w:rPr>
            </w:pPr>
            <w:r>
              <w:rPr>
                <w:spacing w:val="-4"/>
                <w:sz w:val="21"/>
              </w:rPr>
              <w:t>2.39</w:t>
            </w:r>
          </w:p>
        </w:tc>
        <w:tc>
          <w:tcPr>
            <w:tcW w:w="1795" w:type="dxa"/>
          </w:tcPr>
          <w:p w:rsidR="003F5784" w14:paraId="62287A8B" w14:textId="77777777">
            <w:pPr>
              <w:pStyle w:val="TableParagraph"/>
              <w:ind w:right="119"/>
              <w:rPr>
                <w:sz w:val="21"/>
              </w:rPr>
            </w:pPr>
            <w:r>
              <w:rPr>
                <w:spacing w:val="-4"/>
                <w:sz w:val="21"/>
              </w:rPr>
              <w:t>2.97</w:t>
            </w:r>
          </w:p>
        </w:tc>
      </w:tr>
      <w:tr w14:paraId="20295279" w14:textId="77777777">
        <w:tblPrEx>
          <w:tblW w:w="0" w:type="auto"/>
          <w:tblInd w:w="482" w:type="dxa"/>
          <w:tblLayout w:type="fixed"/>
          <w:tblCellMar>
            <w:left w:w="0" w:type="dxa"/>
            <w:right w:w="0" w:type="dxa"/>
          </w:tblCellMar>
          <w:tblLook w:val="01E0"/>
        </w:tblPrEx>
        <w:trPr>
          <w:trHeight w:val="286"/>
        </w:trPr>
        <w:tc>
          <w:tcPr>
            <w:tcW w:w="4130" w:type="dxa"/>
          </w:tcPr>
          <w:p w:rsidR="003F5784" w14:paraId="72793897" w14:textId="77777777">
            <w:pPr>
              <w:pStyle w:val="TableParagraph"/>
              <w:ind w:left="120"/>
              <w:jc w:val="left"/>
              <w:rPr>
                <w:sz w:val="21"/>
              </w:rPr>
            </w:pPr>
            <w:r>
              <w:rPr>
                <w:spacing w:val="-2"/>
                <w:sz w:val="21"/>
              </w:rPr>
              <w:t>Hawaii</w:t>
            </w:r>
          </w:p>
        </w:tc>
        <w:tc>
          <w:tcPr>
            <w:tcW w:w="3640" w:type="dxa"/>
          </w:tcPr>
          <w:p w:rsidR="003F5784" w14:paraId="2F7CE474" w14:textId="77777777">
            <w:pPr>
              <w:pStyle w:val="TableParagraph"/>
              <w:ind w:right="330"/>
              <w:rPr>
                <w:sz w:val="21"/>
              </w:rPr>
            </w:pPr>
            <w:r>
              <w:rPr>
                <w:spacing w:val="-4"/>
                <w:sz w:val="21"/>
              </w:rPr>
              <w:t>4.80</w:t>
            </w:r>
          </w:p>
        </w:tc>
        <w:tc>
          <w:tcPr>
            <w:tcW w:w="1996" w:type="dxa"/>
          </w:tcPr>
          <w:p w:rsidR="003F5784" w14:paraId="655509AF" w14:textId="77777777">
            <w:pPr>
              <w:pStyle w:val="TableParagraph"/>
              <w:ind w:right="319"/>
              <w:rPr>
                <w:sz w:val="21"/>
              </w:rPr>
            </w:pPr>
            <w:r>
              <w:rPr>
                <w:spacing w:val="-4"/>
                <w:sz w:val="21"/>
              </w:rPr>
              <w:t>4.39</w:t>
            </w:r>
          </w:p>
        </w:tc>
        <w:tc>
          <w:tcPr>
            <w:tcW w:w="2425" w:type="dxa"/>
          </w:tcPr>
          <w:p w:rsidR="003F5784" w14:paraId="0A616CB9" w14:textId="77777777">
            <w:pPr>
              <w:pStyle w:val="TableParagraph"/>
              <w:ind w:right="331"/>
              <w:rPr>
                <w:sz w:val="21"/>
              </w:rPr>
            </w:pPr>
            <w:r>
              <w:rPr>
                <w:spacing w:val="-4"/>
                <w:sz w:val="21"/>
              </w:rPr>
              <w:t>6.22</w:t>
            </w:r>
          </w:p>
        </w:tc>
        <w:tc>
          <w:tcPr>
            <w:tcW w:w="1795" w:type="dxa"/>
          </w:tcPr>
          <w:p w:rsidR="003F5784" w14:paraId="5694A922" w14:textId="77777777">
            <w:pPr>
              <w:pStyle w:val="TableParagraph"/>
              <w:ind w:right="119"/>
              <w:rPr>
                <w:sz w:val="21"/>
              </w:rPr>
            </w:pPr>
            <w:r>
              <w:rPr>
                <w:spacing w:val="-4"/>
                <w:sz w:val="21"/>
              </w:rPr>
              <w:t>6.01</w:t>
            </w:r>
          </w:p>
        </w:tc>
      </w:tr>
      <w:tr w14:paraId="69ED1CBE" w14:textId="77777777">
        <w:tblPrEx>
          <w:tblW w:w="0" w:type="auto"/>
          <w:tblInd w:w="482" w:type="dxa"/>
          <w:tblLayout w:type="fixed"/>
          <w:tblCellMar>
            <w:left w:w="0" w:type="dxa"/>
            <w:right w:w="0" w:type="dxa"/>
          </w:tblCellMar>
          <w:tblLook w:val="01E0"/>
        </w:tblPrEx>
        <w:trPr>
          <w:trHeight w:val="286"/>
        </w:trPr>
        <w:tc>
          <w:tcPr>
            <w:tcW w:w="4130" w:type="dxa"/>
          </w:tcPr>
          <w:p w:rsidR="003F5784" w14:paraId="6C4DAC9E" w14:textId="77777777">
            <w:pPr>
              <w:pStyle w:val="TableParagraph"/>
              <w:ind w:left="120"/>
              <w:jc w:val="left"/>
              <w:rPr>
                <w:sz w:val="21"/>
              </w:rPr>
            </w:pPr>
            <w:r>
              <w:rPr>
                <w:spacing w:val="-2"/>
                <w:sz w:val="21"/>
              </w:rPr>
              <w:t>Idaho</w:t>
            </w:r>
          </w:p>
        </w:tc>
        <w:tc>
          <w:tcPr>
            <w:tcW w:w="3640" w:type="dxa"/>
          </w:tcPr>
          <w:p w:rsidR="003F5784" w14:paraId="7AE4203B" w14:textId="77777777">
            <w:pPr>
              <w:pStyle w:val="TableParagraph"/>
              <w:ind w:right="330"/>
              <w:rPr>
                <w:sz w:val="21"/>
              </w:rPr>
            </w:pPr>
            <w:r>
              <w:rPr>
                <w:spacing w:val="-4"/>
                <w:sz w:val="21"/>
              </w:rPr>
              <w:t>0.32</w:t>
            </w:r>
          </w:p>
        </w:tc>
        <w:tc>
          <w:tcPr>
            <w:tcW w:w="1996" w:type="dxa"/>
          </w:tcPr>
          <w:p w:rsidR="003F5784" w14:paraId="1CB57AEF" w14:textId="77777777">
            <w:pPr>
              <w:pStyle w:val="TableParagraph"/>
              <w:ind w:right="319"/>
              <w:rPr>
                <w:sz w:val="21"/>
              </w:rPr>
            </w:pPr>
            <w:r>
              <w:rPr>
                <w:spacing w:val="-4"/>
                <w:sz w:val="21"/>
              </w:rPr>
              <w:t>0.24</w:t>
            </w:r>
          </w:p>
        </w:tc>
        <w:tc>
          <w:tcPr>
            <w:tcW w:w="2425" w:type="dxa"/>
          </w:tcPr>
          <w:p w:rsidR="003F5784" w14:paraId="7939F445" w14:textId="77777777">
            <w:pPr>
              <w:pStyle w:val="TableParagraph"/>
              <w:ind w:right="331"/>
              <w:rPr>
                <w:sz w:val="21"/>
              </w:rPr>
            </w:pPr>
            <w:r>
              <w:rPr>
                <w:spacing w:val="-4"/>
                <w:sz w:val="21"/>
              </w:rPr>
              <w:t>0.97</w:t>
            </w:r>
          </w:p>
        </w:tc>
        <w:tc>
          <w:tcPr>
            <w:tcW w:w="1795" w:type="dxa"/>
          </w:tcPr>
          <w:p w:rsidR="003F5784" w14:paraId="3F5CE5EA" w14:textId="77777777">
            <w:pPr>
              <w:pStyle w:val="TableParagraph"/>
              <w:ind w:right="119"/>
              <w:rPr>
                <w:sz w:val="21"/>
              </w:rPr>
            </w:pPr>
            <w:r>
              <w:rPr>
                <w:spacing w:val="-4"/>
                <w:sz w:val="21"/>
              </w:rPr>
              <w:t>0.74</w:t>
            </w:r>
          </w:p>
        </w:tc>
      </w:tr>
      <w:tr w14:paraId="5353F229" w14:textId="77777777">
        <w:tblPrEx>
          <w:tblW w:w="0" w:type="auto"/>
          <w:tblInd w:w="482" w:type="dxa"/>
          <w:tblLayout w:type="fixed"/>
          <w:tblCellMar>
            <w:left w:w="0" w:type="dxa"/>
            <w:right w:w="0" w:type="dxa"/>
          </w:tblCellMar>
          <w:tblLook w:val="01E0"/>
        </w:tblPrEx>
        <w:trPr>
          <w:trHeight w:val="286"/>
        </w:trPr>
        <w:tc>
          <w:tcPr>
            <w:tcW w:w="4130" w:type="dxa"/>
          </w:tcPr>
          <w:p w:rsidR="003F5784" w14:paraId="4874A3F4" w14:textId="77777777">
            <w:pPr>
              <w:pStyle w:val="TableParagraph"/>
              <w:ind w:left="120"/>
              <w:jc w:val="left"/>
              <w:rPr>
                <w:sz w:val="21"/>
              </w:rPr>
            </w:pPr>
            <w:r>
              <w:rPr>
                <w:spacing w:val="-2"/>
                <w:sz w:val="21"/>
              </w:rPr>
              <w:t>Illinois–Chicago</w:t>
            </w:r>
          </w:p>
        </w:tc>
        <w:tc>
          <w:tcPr>
            <w:tcW w:w="3640" w:type="dxa"/>
          </w:tcPr>
          <w:p w:rsidR="003F5784" w14:paraId="3DC295F1" w14:textId="77777777">
            <w:pPr>
              <w:pStyle w:val="TableParagraph"/>
              <w:ind w:right="330"/>
              <w:rPr>
                <w:sz w:val="21"/>
              </w:rPr>
            </w:pPr>
            <w:r>
              <w:rPr>
                <w:spacing w:val="-4"/>
                <w:sz w:val="21"/>
              </w:rPr>
              <w:t>0.00</w:t>
            </w:r>
          </w:p>
        </w:tc>
        <w:tc>
          <w:tcPr>
            <w:tcW w:w="1996" w:type="dxa"/>
          </w:tcPr>
          <w:p w:rsidR="003F5784" w14:paraId="6CFF1145" w14:textId="77777777">
            <w:pPr>
              <w:pStyle w:val="TableParagraph"/>
              <w:ind w:right="319"/>
              <w:rPr>
                <w:sz w:val="21"/>
              </w:rPr>
            </w:pPr>
            <w:r>
              <w:rPr>
                <w:spacing w:val="-4"/>
                <w:sz w:val="21"/>
              </w:rPr>
              <w:t>0.00</w:t>
            </w:r>
          </w:p>
        </w:tc>
        <w:tc>
          <w:tcPr>
            <w:tcW w:w="2425" w:type="dxa"/>
          </w:tcPr>
          <w:p w:rsidR="003F5784" w14:paraId="1046724A" w14:textId="77777777">
            <w:pPr>
              <w:pStyle w:val="TableParagraph"/>
              <w:ind w:right="331"/>
              <w:rPr>
                <w:sz w:val="21"/>
              </w:rPr>
            </w:pPr>
            <w:r>
              <w:rPr>
                <w:spacing w:val="-4"/>
                <w:sz w:val="21"/>
              </w:rPr>
              <w:t>0.00</w:t>
            </w:r>
          </w:p>
        </w:tc>
        <w:tc>
          <w:tcPr>
            <w:tcW w:w="1795" w:type="dxa"/>
          </w:tcPr>
          <w:p w:rsidR="003F5784" w14:paraId="799B3BD9" w14:textId="77777777">
            <w:pPr>
              <w:pStyle w:val="TableParagraph"/>
              <w:ind w:right="119"/>
              <w:rPr>
                <w:sz w:val="21"/>
              </w:rPr>
            </w:pPr>
            <w:r>
              <w:rPr>
                <w:spacing w:val="-4"/>
                <w:sz w:val="21"/>
              </w:rPr>
              <w:t>0.13</w:t>
            </w:r>
          </w:p>
        </w:tc>
      </w:tr>
      <w:tr w14:paraId="05BFEF14" w14:textId="77777777">
        <w:tblPrEx>
          <w:tblW w:w="0" w:type="auto"/>
          <w:tblInd w:w="482" w:type="dxa"/>
          <w:tblLayout w:type="fixed"/>
          <w:tblCellMar>
            <w:left w:w="0" w:type="dxa"/>
            <w:right w:w="0" w:type="dxa"/>
          </w:tblCellMar>
          <w:tblLook w:val="01E0"/>
        </w:tblPrEx>
        <w:trPr>
          <w:trHeight w:val="286"/>
        </w:trPr>
        <w:tc>
          <w:tcPr>
            <w:tcW w:w="4130" w:type="dxa"/>
          </w:tcPr>
          <w:p w:rsidR="003F5784" w14:paraId="567DF253" w14:textId="77777777">
            <w:pPr>
              <w:pStyle w:val="TableParagraph"/>
              <w:ind w:left="120"/>
              <w:jc w:val="left"/>
              <w:rPr>
                <w:sz w:val="21"/>
              </w:rPr>
            </w:pPr>
            <w:r>
              <w:rPr>
                <w:spacing w:val="-2"/>
                <w:sz w:val="21"/>
              </w:rPr>
              <w:t>Illinois</w:t>
            </w:r>
          </w:p>
        </w:tc>
        <w:tc>
          <w:tcPr>
            <w:tcW w:w="3640" w:type="dxa"/>
          </w:tcPr>
          <w:p w:rsidR="003F5784" w14:paraId="38C6356A" w14:textId="77777777">
            <w:pPr>
              <w:pStyle w:val="TableParagraph"/>
              <w:ind w:right="330"/>
              <w:rPr>
                <w:sz w:val="21"/>
              </w:rPr>
            </w:pPr>
            <w:r>
              <w:rPr>
                <w:spacing w:val="-4"/>
                <w:sz w:val="21"/>
              </w:rPr>
              <w:t>0.00</w:t>
            </w:r>
          </w:p>
        </w:tc>
        <w:tc>
          <w:tcPr>
            <w:tcW w:w="1996" w:type="dxa"/>
          </w:tcPr>
          <w:p w:rsidR="003F5784" w14:paraId="26FC067D" w14:textId="77777777">
            <w:pPr>
              <w:pStyle w:val="TableParagraph"/>
              <w:ind w:right="319"/>
              <w:rPr>
                <w:sz w:val="21"/>
              </w:rPr>
            </w:pPr>
            <w:r>
              <w:rPr>
                <w:spacing w:val="-4"/>
                <w:sz w:val="21"/>
              </w:rPr>
              <w:t>0.18</w:t>
            </w:r>
          </w:p>
        </w:tc>
        <w:tc>
          <w:tcPr>
            <w:tcW w:w="2425" w:type="dxa"/>
          </w:tcPr>
          <w:p w:rsidR="003F5784" w14:paraId="2D91C13A" w14:textId="77777777">
            <w:pPr>
              <w:pStyle w:val="TableParagraph"/>
              <w:ind w:right="331"/>
              <w:rPr>
                <w:sz w:val="21"/>
              </w:rPr>
            </w:pPr>
            <w:r>
              <w:rPr>
                <w:spacing w:val="-4"/>
                <w:sz w:val="21"/>
              </w:rPr>
              <w:t>0.67</w:t>
            </w:r>
          </w:p>
        </w:tc>
        <w:tc>
          <w:tcPr>
            <w:tcW w:w="1795" w:type="dxa"/>
          </w:tcPr>
          <w:p w:rsidR="003F5784" w14:paraId="4BAEA36A" w14:textId="77777777">
            <w:pPr>
              <w:pStyle w:val="TableParagraph"/>
              <w:ind w:right="119"/>
              <w:rPr>
                <w:sz w:val="21"/>
              </w:rPr>
            </w:pPr>
            <w:r>
              <w:rPr>
                <w:spacing w:val="-4"/>
                <w:sz w:val="21"/>
              </w:rPr>
              <w:t>0.60</w:t>
            </w:r>
          </w:p>
        </w:tc>
      </w:tr>
      <w:tr w14:paraId="22EE12E1" w14:textId="77777777">
        <w:tblPrEx>
          <w:tblW w:w="0" w:type="auto"/>
          <w:tblInd w:w="482" w:type="dxa"/>
          <w:tblLayout w:type="fixed"/>
          <w:tblCellMar>
            <w:left w:w="0" w:type="dxa"/>
            <w:right w:w="0" w:type="dxa"/>
          </w:tblCellMar>
          <w:tblLook w:val="01E0"/>
        </w:tblPrEx>
        <w:trPr>
          <w:trHeight w:val="286"/>
        </w:trPr>
        <w:tc>
          <w:tcPr>
            <w:tcW w:w="4130" w:type="dxa"/>
          </w:tcPr>
          <w:p w:rsidR="003F5784" w14:paraId="2F439660" w14:textId="77777777">
            <w:pPr>
              <w:pStyle w:val="TableParagraph"/>
              <w:ind w:left="120"/>
              <w:jc w:val="left"/>
              <w:rPr>
                <w:sz w:val="21"/>
              </w:rPr>
            </w:pPr>
            <w:r>
              <w:rPr>
                <w:spacing w:val="-2"/>
                <w:sz w:val="21"/>
              </w:rPr>
              <w:t>Indiana</w:t>
            </w:r>
          </w:p>
        </w:tc>
        <w:tc>
          <w:tcPr>
            <w:tcW w:w="3640" w:type="dxa"/>
          </w:tcPr>
          <w:p w:rsidR="003F5784" w14:paraId="4EECBEFC" w14:textId="77777777">
            <w:pPr>
              <w:pStyle w:val="TableParagraph"/>
              <w:ind w:right="330"/>
              <w:rPr>
                <w:sz w:val="21"/>
              </w:rPr>
            </w:pPr>
            <w:r>
              <w:rPr>
                <w:spacing w:val="-4"/>
                <w:sz w:val="21"/>
              </w:rPr>
              <w:t>0.79</w:t>
            </w:r>
          </w:p>
        </w:tc>
        <w:tc>
          <w:tcPr>
            <w:tcW w:w="1996" w:type="dxa"/>
          </w:tcPr>
          <w:p w:rsidR="003F5784" w14:paraId="6B67A8C7" w14:textId="77777777">
            <w:pPr>
              <w:pStyle w:val="TableParagraph"/>
              <w:ind w:right="319"/>
              <w:rPr>
                <w:sz w:val="21"/>
              </w:rPr>
            </w:pPr>
            <w:r>
              <w:rPr>
                <w:spacing w:val="-4"/>
                <w:sz w:val="21"/>
              </w:rPr>
              <w:t>0.94</w:t>
            </w:r>
          </w:p>
        </w:tc>
        <w:tc>
          <w:tcPr>
            <w:tcW w:w="2425" w:type="dxa"/>
          </w:tcPr>
          <w:p w:rsidR="003F5784" w14:paraId="02C2D554" w14:textId="77777777">
            <w:pPr>
              <w:pStyle w:val="TableParagraph"/>
              <w:ind w:right="331"/>
              <w:rPr>
                <w:sz w:val="21"/>
              </w:rPr>
            </w:pPr>
            <w:r>
              <w:rPr>
                <w:spacing w:val="-4"/>
                <w:sz w:val="21"/>
              </w:rPr>
              <w:t>1.99</w:t>
            </w:r>
          </w:p>
        </w:tc>
        <w:tc>
          <w:tcPr>
            <w:tcW w:w="1795" w:type="dxa"/>
          </w:tcPr>
          <w:p w:rsidR="003F5784" w14:paraId="077EB4E3" w14:textId="77777777">
            <w:pPr>
              <w:pStyle w:val="TableParagraph"/>
              <w:ind w:right="119"/>
              <w:rPr>
                <w:sz w:val="21"/>
              </w:rPr>
            </w:pPr>
            <w:r>
              <w:rPr>
                <w:spacing w:val="-4"/>
                <w:sz w:val="21"/>
              </w:rPr>
              <w:t>2.69</w:t>
            </w:r>
          </w:p>
        </w:tc>
      </w:tr>
      <w:tr w14:paraId="1F03CDA3" w14:textId="77777777">
        <w:tblPrEx>
          <w:tblW w:w="0" w:type="auto"/>
          <w:tblInd w:w="482" w:type="dxa"/>
          <w:tblLayout w:type="fixed"/>
          <w:tblCellMar>
            <w:left w:w="0" w:type="dxa"/>
            <w:right w:w="0" w:type="dxa"/>
          </w:tblCellMar>
          <w:tblLook w:val="01E0"/>
        </w:tblPrEx>
        <w:trPr>
          <w:trHeight w:val="286"/>
        </w:trPr>
        <w:tc>
          <w:tcPr>
            <w:tcW w:w="4130" w:type="dxa"/>
          </w:tcPr>
          <w:p w:rsidR="003F5784" w14:paraId="225704DE" w14:textId="77777777">
            <w:pPr>
              <w:pStyle w:val="TableParagraph"/>
              <w:ind w:left="120"/>
              <w:jc w:val="left"/>
              <w:rPr>
                <w:sz w:val="21"/>
              </w:rPr>
            </w:pPr>
            <w:r>
              <w:rPr>
                <w:spacing w:val="-4"/>
                <w:sz w:val="21"/>
              </w:rPr>
              <w:t>Iowa</w:t>
            </w:r>
          </w:p>
        </w:tc>
        <w:tc>
          <w:tcPr>
            <w:tcW w:w="3640" w:type="dxa"/>
          </w:tcPr>
          <w:p w:rsidR="003F5784" w14:paraId="7F6279A5" w14:textId="77777777">
            <w:pPr>
              <w:pStyle w:val="TableParagraph"/>
              <w:ind w:right="330"/>
              <w:rPr>
                <w:sz w:val="21"/>
              </w:rPr>
            </w:pPr>
            <w:r>
              <w:rPr>
                <w:spacing w:val="-4"/>
                <w:sz w:val="21"/>
              </w:rPr>
              <w:t>0.47</w:t>
            </w:r>
          </w:p>
        </w:tc>
        <w:tc>
          <w:tcPr>
            <w:tcW w:w="1996" w:type="dxa"/>
          </w:tcPr>
          <w:p w:rsidR="003F5784" w14:paraId="7FE1B1F3" w14:textId="77777777">
            <w:pPr>
              <w:pStyle w:val="TableParagraph"/>
              <w:ind w:right="319"/>
              <w:rPr>
                <w:sz w:val="21"/>
              </w:rPr>
            </w:pPr>
            <w:r>
              <w:rPr>
                <w:spacing w:val="-4"/>
                <w:sz w:val="21"/>
              </w:rPr>
              <w:t>0.24</w:t>
            </w:r>
          </w:p>
        </w:tc>
        <w:tc>
          <w:tcPr>
            <w:tcW w:w="2425" w:type="dxa"/>
          </w:tcPr>
          <w:p w:rsidR="003F5784" w14:paraId="1074BB61" w14:textId="77777777">
            <w:pPr>
              <w:pStyle w:val="TableParagraph"/>
              <w:ind w:right="331"/>
              <w:rPr>
                <w:sz w:val="21"/>
              </w:rPr>
            </w:pPr>
            <w:r>
              <w:rPr>
                <w:spacing w:val="-4"/>
                <w:sz w:val="21"/>
              </w:rPr>
              <w:t>0.93</w:t>
            </w:r>
          </w:p>
        </w:tc>
        <w:tc>
          <w:tcPr>
            <w:tcW w:w="1795" w:type="dxa"/>
          </w:tcPr>
          <w:p w:rsidR="003F5784" w14:paraId="694534B4" w14:textId="77777777">
            <w:pPr>
              <w:pStyle w:val="TableParagraph"/>
              <w:ind w:right="119"/>
              <w:rPr>
                <w:sz w:val="21"/>
              </w:rPr>
            </w:pPr>
            <w:r>
              <w:rPr>
                <w:spacing w:val="-4"/>
                <w:sz w:val="21"/>
              </w:rPr>
              <w:t>0.95</w:t>
            </w:r>
          </w:p>
        </w:tc>
      </w:tr>
      <w:tr w14:paraId="2EF90AEF" w14:textId="77777777">
        <w:tblPrEx>
          <w:tblW w:w="0" w:type="auto"/>
          <w:tblInd w:w="482" w:type="dxa"/>
          <w:tblLayout w:type="fixed"/>
          <w:tblCellMar>
            <w:left w:w="0" w:type="dxa"/>
            <w:right w:w="0" w:type="dxa"/>
          </w:tblCellMar>
          <w:tblLook w:val="01E0"/>
        </w:tblPrEx>
        <w:trPr>
          <w:trHeight w:val="286"/>
        </w:trPr>
        <w:tc>
          <w:tcPr>
            <w:tcW w:w="4130" w:type="dxa"/>
          </w:tcPr>
          <w:p w:rsidR="003F5784" w14:paraId="6FF49D6F" w14:textId="77777777">
            <w:pPr>
              <w:pStyle w:val="TableParagraph"/>
              <w:ind w:left="120"/>
              <w:jc w:val="left"/>
              <w:rPr>
                <w:sz w:val="21"/>
              </w:rPr>
            </w:pPr>
            <w:r>
              <w:rPr>
                <w:spacing w:val="-2"/>
                <w:sz w:val="21"/>
              </w:rPr>
              <w:t>Kansas</w:t>
            </w:r>
          </w:p>
        </w:tc>
        <w:tc>
          <w:tcPr>
            <w:tcW w:w="3640" w:type="dxa"/>
          </w:tcPr>
          <w:p w:rsidR="003F5784" w14:paraId="1648A682" w14:textId="77777777">
            <w:pPr>
              <w:pStyle w:val="TableParagraph"/>
              <w:ind w:right="330"/>
              <w:rPr>
                <w:sz w:val="21"/>
              </w:rPr>
            </w:pPr>
            <w:r>
              <w:rPr>
                <w:spacing w:val="-4"/>
                <w:sz w:val="21"/>
              </w:rPr>
              <w:t>0.14</w:t>
            </w:r>
          </w:p>
        </w:tc>
        <w:tc>
          <w:tcPr>
            <w:tcW w:w="1996" w:type="dxa"/>
          </w:tcPr>
          <w:p w:rsidR="003F5784" w14:paraId="7C289460" w14:textId="77777777">
            <w:pPr>
              <w:pStyle w:val="TableParagraph"/>
              <w:ind w:right="319"/>
              <w:rPr>
                <w:sz w:val="21"/>
              </w:rPr>
            </w:pPr>
            <w:r>
              <w:rPr>
                <w:spacing w:val="-4"/>
                <w:sz w:val="21"/>
              </w:rPr>
              <w:t>0.10</w:t>
            </w:r>
          </w:p>
        </w:tc>
        <w:tc>
          <w:tcPr>
            <w:tcW w:w="2425" w:type="dxa"/>
          </w:tcPr>
          <w:p w:rsidR="003F5784" w14:paraId="3BD12E32" w14:textId="77777777">
            <w:pPr>
              <w:pStyle w:val="TableParagraph"/>
              <w:ind w:right="331"/>
              <w:rPr>
                <w:sz w:val="21"/>
              </w:rPr>
            </w:pPr>
            <w:r>
              <w:rPr>
                <w:spacing w:val="-4"/>
                <w:sz w:val="21"/>
              </w:rPr>
              <w:t>0.53</w:t>
            </w:r>
          </w:p>
        </w:tc>
        <w:tc>
          <w:tcPr>
            <w:tcW w:w="1795" w:type="dxa"/>
          </w:tcPr>
          <w:p w:rsidR="003F5784" w14:paraId="62E60FCD" w14:textId="77777777">
            <w:pPr>
              <w:pStyle w:val="TableParagraph"/>
              <w:ind w:right="119"/>
              <w:rPr>
                <w:sz w:val="21"/>
              </w:rPr>
            </w:pPr>
            <w:r>
              <w:rPr>
                <w:spacing w:val="-4"/>
                <w:sz w:val="21"/>
              </w:rPr>
              <w:t>0.33</w:t>
            </w:r>
          </w:p>
        </w:tc>
      </w:tr>
      <w:tr w14:paraId="2819D8B8" w14:textId="77777777">
        <w:tblPrEx>
          <w:tblW w:w="0" w:type="auto"/>
          <w:tblInd w:w="482" w:type="dxa"/>
          <w:tblLayout w:type="fixed"/>
          <w:tblCellMar>
            <w:left w:w="0" w:type="dxa"/>
            <w:right w:w="0" w:type="dxa"/>
          </w:tblCellMar>
          <w:tblLook w:val="01E0"/>
        </w:tblPrEx>
        <w:trPr>
          <w:trHeight w:val="286"/>
        </w:trPr>
        <w:tc>
          <w:tcPr>
            <w:tcW w:w="4130" w:type="dxa"/>
          </w:tcPr>
          <w:p w:rsidR="003F5784" w14:paraId="23253609" w14:textId="77777777">
            <w:pPr>
              <w:pStyle w:val="TableParagraph"/>
              <w:ind w:left="120"/>
              <w:jc w:val="left"/>
              <w:rPr>
                <w:sz w:val="21"/>
              </w:rPr>
            </w:pPr>
            <w:r>
              <w:rPr>
                <w:spacing w:val="-2"/>
                <w:sz w:val="21"/>
              </w:rPr>
              <w:t>Kentucky–Jefferson</w:t>
            </w:r>
            <w:r>
              <w:rPr>
                <w:spacing w:val="14"/>
                <w:sz w:val="21"/>
              </w:rPr>
              <w:t xml:space="preserve"> </w:t>
            </w:r>
            <w:r>
              <w:rPr>
                <w:spacing w:val="-2"/>
                <w:sz w:val="21"/>
              </w:rPr>
              <w:t>County</w:t>
            </w:r>
          </w:p>
        </w:tc>
        <w:tc>
          <w:tcPr>
            <w:tcW w:w="3640" w:type="dxa"/>
          </w:tcPr>
          <w:p w:rsidR="003F5784" w14:paraId="6596CE7C" w14:textId="77777777">
            <w:pPr>
              <w:pStyle w:val="TableParagraph"/>
              <w:ind w:right="330"/>
              <w:rPr>
                <w:sz w:val="21"/>
              </w:rPr>
            </w:pPr>
            <w:r>
              <w:rPr>
                <w:spacing w:val="-4"/>
                <w:sz w:val="21"/>
              </w:rPr>
              <w:t>0.29</w:t>
            </w:r>
          </w:p>
        </w:tc>
        <w:tc>
          <w:tcPr>
            <w:tcW w:w="1996" w:type="dxa"/>
          </w:tcPr>
          <w:p w:rsidR="003F5784" w14:paraId="657C555E" w14:textId="77777777">
            <w:pPr>
              <w:pStyle w:val="TableParagraph"/>
              <w:ind w:right="319"/>
              <w:rPr>
                <w:sz w:val="21"/>
              </w:rPr>
            </w:pPr>
            <w:r>
              <w:rPr>
                <w:spacing w:val="-4"/>
                <w:sz w:val="21"/>
              </w:rPr>
              <w:t>0.10</w:t>
            </w:r>
          </w:p>
        </w:tc>
        <w:tc>
          <w:tcPr>
            <w:tcW w:w="2425" w:type="dxa"/>
          </w:tcPr>
          <w:p w:rsidR="003F5784" w14:paraId="6DE3EDAF" w14:textId="77777777">
            <w:pPr>
              <w:pStyle w:val="TableParagraph"/>
              <w:ind w:right="331"/>
              <w:rPr>
                <w:sz w:val="21"/>
              </w:rPr>
            </w:pPr>
            <w:r>
              <w:rPr>
                <w:spacing w:val="-4"/>
                <w:sz w:val="21"/>
              </w:rPr>
              <w:t>0.00</w:t>
            </w:r>
          </w:p>
        </w:tc>
        <w:tc>
          <w:tcPr>
            <w:tcW w:w="1795" w:type="dxa"/>
          </w:tcPr>
          <w:p w:rsidR="003F5784" w14:paraId="5C223A0C" w14:textId="77777777">
            <w:pPr>
              <w:pStyle w:val="TableParagraph"/>
              <w:ind w:right="119"/>
              <w:rPr>
                <w:sz w:val="21"/>
              </w:rPr>
            </w:pPr>
            <w:r>
              <w:rPr>
                <w:spacing w:val="-4"/>
                <w:sz w:val="21"/>
              </w:rPr>
              <w:t>0.08</w:t>
            </w:r>
          </w:p>
        </w:tc>
      </w:tr>
      <w:tr w14:paraId="3A1D34B2" w14:textId="77777777">
        <w:tblPrEx>
          <w:tblW w:w="0" w:type="auto"/>
          <w:tblInd w:w="482" w:type="dxa"/>
          <w:tblLayout w:type="fixed"/>
          <w:tblCellMar>
            <w:left w:w="0" w:type="dxa"/>
            <w:right w:w="0" w:type="dxa"/>
          </w:tblCellMar>
          <w:tblLook w:val="01E0"/>
        </w:tblPrEx>
        <w:trPr>
          <w:trHeight w:val="286"/>
        </w:trPr>
        <w:tc>
          <w:tcPr>
            <w:tcW w:w="4130" w:type="dxa"/>
          </w:tcPr>
          <w:p w:rsidR="003F5784" w14:paraId="029BD613" w14:textId="77777777">
            <w:pPr>
              <w:pStyle w:val="TableParagraph"/>
              <w:ind w:left="120"/>
              <w:jc w:val="left"/>
              <w:rPr>
                <w:sz w:val="21"/>
              </w:rPr>
            </w:pPr>
            <w:r>
              <w:rPr>
                <w:spacing w:val="-2"/>
                <w:sz w:val="21"/>
              </w:rPr>
              <w:t>Kentucky</w:t>
            </w:r>
          </w:p>
        </w:tc>
        <w:tc>
          <w:tcPr>
            <w:tcW w:w="3640" w:type="dxa"/>
          </w:tcPr>
          <w:p w:rsidR="003F5784" w14:paraId="2F705877" w14:textId="77777777">
            <w:pPr>
              <w:pStyle w:val="TableParagraph"/>
              <w:ind w:right="330"/>
              <w:rPr>
                <w:sz w:val="21"/>
              </w:rPr>
            </w:pPr>
            <w:r>
              <w:rPr>
                <w:spacing w:val="-4"/>
                <w:sz w:val="21"/>
              </w:rPr>
              <w:t>1.11</w:t>
            </w:r>
          </w:p>
        </w:tc>
        <w:tc>
          <w:tcPr>
            <w:tcW w:w="1996" w:type="dxa"/>
          </w:tcPr>
          <w:p w:rsidR="003F5784" w14:paraId="03FEA49A" w14:textId="77777777">
            <w:pPr>
              <w:pStyle w:val="TableParagraph"/>
              <w:ind w:right="319"/>
              <w:rPr>
                <w:sz w:val="21"/>
              </w:rPr>
            </w:pPr>
            <w:r>
              <w:rPr>
                <w:spacing w:val="-4"/>
                <w:sz w:val="21"/>
              </w:rPr>
              <w:t>0.65</w:t>
            </w:r>
          </w:p>
        </w:tc>
        <w:tc>
          <w:tcPr>
            <w:tcW w:w="2425" w:type="dxa"/>
          </w:tcPr>
          <w:p w:rsidR="003F5784" w14:paraId="5AFD6A7B" w14:textId="77777777">
            <w:pPr>
              <w:pStyle w:val="TableParagraph"/>
              <w:ind w:right="331"/>
              <w:rPr>
                <w:sz w:val="21"/>
              </w:rPr>
            </w:pPr>
            <w:r>
              <w:rPr>
                <w:spacing w:val="-4"/>
                <w:sz w:val="21"/>
              </w:rPr>
              <w:t>2.08</w:t>
            </w:r>
          </w:p>
        </w:tc>
        <w:tc>
          <w:tcPr>
            <w:tcW w:w="1795" w:type="dxa"/>
          </w:tcPr>
          <w:p w:rsidR="003F5784" w14:paraId="46EAD5E9" w14:textId="77777777">
            <w:pPr>
              <w:pStyle w:val="TableParagraph"/>
              <w:ind w:right="119"/>
              <w:rPr>
                <w:sz w:val="21"/>
              </w:rPr>
            </w:pPr>
            <w:r>
              <w:rPr>
                <w:spacing w:val="-4"/>
                <w:sz w:val="21"/>
              </w:rPr>
              <w:t>2.66</w:t>
            </w:r>
          </w:p>
        </w:tc>
      </w:tr>
      <w:tr w14:paraId="6A00D0B5" w14:textId="77777777">
        <w:tblPrEx>
          <w:tblW w:w="0" w:type="auto"/>
          <w:tblInd w:w="482" w:type="dxa"/>
          <w:tblLayout w:type="fixed"/>
          <w:tblCellMar>
            <w:left w:w="0" w:type="dxa"/>
            <w:right w:w="0" w:type="dxa"/>
          </w:tblCellMar>
          <w:tblLook w:val="01E0"/>
        </w:tblPrEx>
        <w:trPr>
          <w:trHeight w:val="286"/>
        </w:trPr>
        <w:tc>
          <w:tcPr>
            <w:tcW w:w="4130" w:type="dxa"/>
          </w:tcPr>
          <w:p w:rsidR="003F5784" w14:paraId="0D7B5D78" w14:textId="77777777">
            <w:pPr>
              <w:pStyle w:val="TableParagraph"/>
              <w:ind w:left="120"/>
              <w:jc w:val="left"/>
              <w:rPr>
                <w:sz w:val="21"/>
              </w:rPr>
            </w:pPr>
            <w:r>
              <w:rPr>
                <w:spacing w:val="-2"/>
                <w:sz w:val="21"/>
              </w:rPr>
              <w:t>Louisiana</w:t>
            </w:r>
          </w:p>
        </w:tc>
        <w:tc>
          <w:tcPr>
            <w:tcW w:w="3640" w:type="dxa"/>
          </w:tcPr>
          <w:p w:rsidR="003F5784" w14:paraId="50BD7F0A" w14:textId="77777777">
            <w:pPr>
              <w:pStyle w:val="TableParagraph"/>
              <w:ind w:right="330"/>
              <w:rPr>
                <w:sz w:val="21"/>
              </w:rPr>
            </w:pPr>
            <w:r>
              <w:rPr>
                <w:spacing w:val="-4"/>
                <w:sz w:val="21"/>
              </w:rPr>
              <w:t>0.77</w:t>
            </w:r>
          </w:p>
        </w:tc>
        <w:tc>
          <w:tcPr>
            <w:tcW w:w="1996" w:type="dxa"/>
          </w:tcPr>
          <w:p w:rsidR="003F5784" w14:paraId="10BF7030" w14:textId="77777777">
            <w:pPr>
              <w:pStyle w:val="TableParagraph"/>
              <w:ind w:right="319"/>
              <w:rPr>
                <w:sz w:val="21"/>
              </w:rPr>
            </w:pPr>
            <w:r>
              <w:rPr>
                <w:spacing w:val="-4"/>
                <w:sz w:val="21"/>
              </w:rPr>
              <w:t>0.90</w:t>
            </w:r>
          </w:p>
        </w:tc>
        <w:tc>
          <w:tcPr>
            <w:tcW w:w="2425" w:type="dxa"/>
          </w:tcPr>
          <w:p w:rsidR="003F5784" w14:paraId="1B3F94D7" w14:textId="77777777">
            <w:pPr>
              <w:pStyle w:val="TableParagraph"/>
              <w:ind w:right="331"/>
              <w:rPr>
                <w:sz w:val="21"/>
              </w:rPr>
            </w:pPr>
            <w:r>
              <w:rPr>
                <w:spacing w:val="-4"/>
                <w:sz w:val="21"/>
              </w:rPr>
              <w:t>2.42</w:t>
            </w:r>
          </w:p>
        </w:tc>
        <w:tc>
          <w:tcPr>
            <w:tcW w:w="1795" w:type="dxa"/>
          </w:tcPr>
          <w:p w:rsidR="003F5784" w14:paraId="713DC6CE" w14:textId="77777777">
            <w:pPr>
              <w:pStyle w:val="TableParagraph"/>
              <w:ind w:right="119"/>
              <w:rPr>
                <w:sz w:val="21"/>
              </w:rPr>
            </w:pPr>
            <w:r>
              <w:rPr>
                <w:spacing w:val="-4"/>
                <w:sz w:val="21"/>
              </w:rPr>
              <w:t>2.06</w:t>
            </w:r>
          </w:p>
        </w:tc>
      </w:tr>
      <w:tr w14:paraId="27F05FAF" w14:textId="77777777">
        <w:tblPrEx>
          <w:tblW w:w="0" w:type="auto"/>
          <w:tblInd w:w="482" w:type="dxa"/>
          <w:tblLayout w:type="fixed"/>
          <w:tblCellMar>
            <w:left w:w="0" w:type="dxa"/>
            <w:right w:w="0" w:type="dxa"/>
          </w:tblCellMar>
          <w:tblLook w:val="01E0"/>
        </w:tblPrEx>
        <w:trPr>
          <w:trHeight w:val="286"/>
        </w:trPr>
        <w:tc>
          <w:tcPr>
            <w:tcW w:w="4130" w:type="dxa"/>
          </w:tcPr>
          <w:p w:rsidR="003F5784" w14:paraId="3C53A3F8" w14:textId="77777777">
            <w:pPr>
              <w:pStyle w:val="TableParagraph"/>
              <w:ind w:left="120"/>
              <w:jc w:val="left"/>
              <w:rPr>
                <w:sz w:val="21"/>
              </w:rPr>
            </w:pPr>
            <w:r>
              <w:rPr>
                <w:spacing w:val="-2"/>
                <w:sz w:val="21"/>
              </w:rPr>
              <w:t>Maine</w:t>
            </w:r>
          </w:p>
        </w:tc>
        <w:tc>
          <w:tcPr>
            <w:tcW w:w="3640" w:type="dxa"/>
          </w:tcPr>
          <w:p w:rsidR="003F5784" w14:paraId="6FC6305E" w14:textId="77777777">
            <w:pPr>
              <w:pStyle w:val="TableParagraph"/>
              <w:ind w:right="330"/>
              <w:rPr>
                <w:sz w:val="21"/>
              </w:rPr>
            </w:pPr>
            <w:r>
              <w:rPr>
                <w:spacing w:val="-4"/>
                <w:sz w:val="21"/>
              </w:rPr>
              <w:t>0.37</w:t>
            </w:r>
          </w:p>
        </w:tc>
        <w:tc>
          <w:tcPr>
            <w:tcW w:w="1996" w:type="dxa"/>
          </w:tcPr>
          <w:p w:rsidR="003F5784" w14:paraId="213A66BC" w14:textId="77777777">
            <w:pPr>
              <w:pStyle w:val="TableParagraph"/>
              <w:ind w:right="319"/>
              <w:rPr>
                <w:sz w:val="21"/>
              </w:rPr>
            </w:pPr>
            <w:r>
              <w:rPr>
                <w:spacing w:val="-4"/>
                <w:sz w:val="21"/>
              </w:rPr>
              <w:t>0.20</w:t>
            </w:r>
          </w:p>
        </w:tc>
        <w:tc>
          <w:tcPr>
            <w:tcW w:w="2425" w:type="dxa"/>
          </w:tcPr>
          <w:p w:rsidR="003F5784" w14:paraId="5883F304" w14:textId="77777777">
            <w:pPr>
              <w:pStyle w:val="TableParagraph"/>
              <w:ind w:right="331"/>
              <w:rPr>
                <w:sz w:val="21"/>
              </w:rPr>
            </w:pPr>
            <w:r>
              <w:rPr>
                <w:spacing w:val="-4"/>
                <w:sz w:val="21"/>
              </w:rPr>
              <w:t>0.75</w:t>
            </w:r>
          </w:p>
        </w:tc>
        <w:tc>
          <w:tcPr>
            <w:tcW w:w="1795" w:type="dxa"/>
          </w:tcPr>
          <w:p w:rsidR="003F5784" w14:paraId="590ECD8C" w14:textId="77777777">
            <w:pPr>
              <w:pStyle w:val="TableParagraph"/>
              <w:ind w:right="119"/>
              <w:rPr>
                <w:sz w:val="21"/>
              </w:rPr>
            </w:pPr>
            <w:r>
              <w:rPr>
                <w:spacing w:val="-4"/>
                <w:sz w:val="21"/>
              </w:rPr>
              <w:t>0.53</w:t>
            </w:r>
          </w:p>
        </w:tc>
      </w:tr>
      <w:tr w14:paraId="36DF33F2" w14:textId="77777777">
        <w:tblPrEx>
          <w:tblW w:w="0" w:type="auto"/>
          <w:tblInd w:w="482" w:type="dxa"/>
          <w:tblLayout w:type="fixed"/>
          <w:tblCellMar>
            <w:left w:w="0" w:type="dxa"/>
            <w:right w:w="0" w:type="dxa"/>
          </w:tblCellMar>
          <w:tblLook w:val="01E0"/>
        </w:tblPrEx>
        <w:trPr>
          <w:trHeight w:val="286"/>
        </w:trPr>
        <w:tc>
          <w:tcPr>
            <w:tcW w:w="4130" w:type="dxa"/>
          </w:tcPr>
          <w:p w:rsidR="003F5784" w14:paraId="4B937EA9" w14:textId="77777777">
            <w:pPr>
              <w:pStyle w:val="TableParagraph"/>
              <w:ind w:left="120"/>
              <w:jc w:val="left"/>
              <w:rPr>
                <w:sz w:val="21"/>
              </w:rPr>
            </w:pPr>
            <w:r>
              <w:rPr>
                <w:spacing w:val="-2"/>
                <w:sz w:val="21"/>
              </w:rPr>
              <w:t>Maryland–Baltimore</w:t>
            </w:r>
          </w:p>
        </w:tc>
        <w:tc>
          <w:tcPr>
            <w:tcW w:w="3640" w:type="dxa"/>
          </w:tcPr>
          <w:p w:rsidR="003F5784" w14:paraId="746EFB2C" w14:textId="77777777">
            <w:pPr>
              <w:pStyle w:val="TableParagraph"/>
              <w:ind w:right="330"/>
              <w:rPr>
                <w:sz w:val="21"/>
              </w:rPr>
            </w:pPr>
            <w:r>
              <w:rPr>
                <w:spacing w:val="-4"/>
                <w:sz w:val="21"/>
              </w:rPr>
              <w:t>1.19</w:t>
            </w:r>
          </w:p>
        </w:tc>
        <w:tc>
          <w:tcPr>
            <w:tcW w:w="1996" w:type="dxa"/>
          </w:tcPr>
          <w:p w:rsidR="003F5784" w14:paraId="60A6C8C2" w14:textId="77777777">
            <w:pPr>
              <w:pStyle w:val="TableParagraph"/>
              <w:ind w:right="319"/>
              <w:rPr>
                <w:sz w:val="21"/>
              </w:rPr>
            </w:pPr>
            <w:r>
              <w:rPr>
                <w:spacing w:val="-4"/>
                <w:sz w:val="21"/>
              </w:rPr>
              <w:t>1.11</w:t>
            </w:r>
          </w:p>
        </w:tc>
        <w:tc>
          <w:tcPr>
            <w:tcW w:w="2425" w:type="dxa"/>
          </w:tcPr>
          <w:p w:rsidR="003F5784" w14:paraId="7970AB64" w14:textId="77777777">
            <w:pPr>
              <w:pStyle w:val="TableParagraph"/>
              <w:ind w:right="331"/>
              <w:rPr>
                <w:sz w:val="21"/>
              </w:rPr>
            </w:pPr>
            <w:r>
              <w:rPr>
                <w:spacing w:val="-4"/>
                <w:sz w:val="21"/>
              </w:rPr>
              <w:t>0.70</w:t>
            </w:r>
          </w:p>
        </w:tc>
        <w:tc>
          <w:tcPr>
            <w:tcW w:w="1795" w:type="dxa"/>
          </w:tcPr>
          <w:p w:rsidR="003F5784" w14:paraId="726C1143" w14:textId="77777777">
            <w:pPr>
              <w:pStyle w:val="TableParagraph"/>
              <w:ind w:right="119"/>
              <w:rPr>
                <w:sz w:val="21"/>
              </w:rPr>
            </w:pPr>
            <w:r>
              <w:rPr>
                <w:spacing w:val="-4"/>
                <w:sz w:val="21"/>
              </w:rPr>
              <w:t>0.82</w:t>
            </w:r>
          </w:p>
        </w:tc>
      </w:tr>
      <w:tr w14:paraId="3879A050" w14:textId="77777777">
        <w:tblPrEx>
          <w:tblW w:w="0" w:type="auto"/>
          <w:tblInd w:w="482" w:type="dxa"/>
          <w:tblLayout w:type="fixed"/>
          <w:tblCellMar>
            <w:left w:w="0" w:type="dxa"/>
            <w:right w:w="0" w:type="dxa"/>
          </w:tblCellMar>
          <w:tblLook w:val="01E0"/>
        </w:tblPrEx>
        <w:trPr>
          <w:trHeight w:val="289"/>
        </w:trPr>
        <w:tc>
          <w:tcPr>
            <w:tcW w:w="4130" w:type="dxa"/>
            <w:tcBorders>
              <w:bottom w:val="single" w:sz="18" w:space="0" w:color="800000"/>
            </w:tcBorders>
          </w:tcPr>
          <w:p w:rsidR="003F5784" w14:paraId="2BD8A774" w14:textId="77777777">
            <w:pPr>
              <w:pStyle w:val="TableParagraph"/>
              <w:ind w:left="120"/>
              <w:jc w:val="left"/>
              <w:rPr>
                <w:sz w:val="21"/>
              </w:rPr>
            </w:pPr>
            <w:r>
              <w:rPr>
                <w:spacing w:val="-2"/>
                <w:sz w:val="21"/>
              </w:rPr>
              <w:t>Maryland</w:t>
            </w:r>
          </w:p>
        </w:tc>
        <w:tc>
          <w:tcPr>
            <w:tcW w:w="3640" w:type="dxa"/>
            <w:tcBorders>
              <w:bottom w:val="single" w:sz="18" w:space="0" w:color="800000"/>
            </w:tcBorders>
          </w:tcPr>
          <w:p w:rsidR="003F5784" w14:paraId="319CCD21" w14:textId="77777777">
            <w:pPr>
              <w:pStyle w:val="TableParagraph"/>
              <w:ind w:right="330"/>
              <w:rPr>
                <w:sz w:val="21"/>
              </w:rPr>
            </w:pPr>
            <w:r>
              <w:rPr>
                <w:spacing w:val="-4"/>
                <w:sz w:val="21"/>
              </w:rPr>
              <w:t>3.04</w:t>
            </w:r>
          </w:p>
        </w:tc>
        <w:tc>
          <w:tcPr>
            <w:tcW w:w="1996" w:type="dxa"/>
            <w:tcBorders>
              <w:bottom w:val="single" w:sz="18" w:space="0" w:color="800000"/>
            </w:tcBorders>
          </w:tcPr>
          <w:p w:rsidR="003F5784" w14:paraId="67764979" w14:textId="77777777">
            <w:pPr>
              <w:pStyle w:val="TableParagraph"/>
              <w:ind w:right="319"/>
              <w:rPr>
                <w:sz w:val="21"/>
              </w:rPr>
            </w:pPr>
            <w:r>
              <w:rPr>
                <w:spacing w:val="-4"/>
                <w:sz w:val="21"/>
              </w:rPr>
              <w:t>2.60</w:t>
            </w:r>
          </w:p>
        </w:tc>
        <w:tc>
          <w:tcPr>
            <w:tcW w:w="2425" w:type="dxa"/>
            <w:tcBorders>
              <w:bottom w:val="single" w:sz="18" w:space="0" w:color="800000"/>
            </w:tcBorders>
          </w:tcPr>
          <w:p w:rsidR="003F5784" w14:paraId="3FED82AB" w14:textId="77777777">
            <w:pPr>
              <w:pStyle w:val="TableParagraph"/>
              <w:ind w:right="331"/>
              <w:rPr>
                <w:sz w:val="21"/>
              </w:rPr>
            </w:pPr>
            <w:r>
              <w:rPr>
                <w:spacing w:val="-4"/>
                <w:sz w:val="21"/>
              </w:rPr>
              <w:t>1.36</w:t>
            </w:r>
          </w:p>
        </w:tc>
        <w:tc>
          <w:tcPr>
            <w:tcW w:w="1795" w:type="dxa"/>
            <w:tcBorders>
              <w:bottom w:val="single" w:sz="18" w:space="0" w:color="800000"/>
            </w:tcBorders>
          </w:tcPr>
          <w:p w:rsidR="003F5784" w14:paraId="15BAC08D" w14:textId="77777777">
            <w:pPr>
              <w:pStyle w:val="TableParagraph"/>
              <w:ind w:right="119"/>
              <w:rPr>
                <w:sz w:val="21"/>
              </w:rPr>
            </w:pPr>
            <w:r>
              <w:rPr>
                <w:spacing w:val="-4"/>
                <w:sz w:val="21"/>
              </w:rPr>
              <w:t>1.05</w:t>
            </w:r>
          </w:p>
        </w:tc>
      </w:tr>
      <w:tr w14:paraId="25419179" w14:textId="77777777">
        <w:tblPrEx>
          <w:tblW w:w="0" w:type="auto"/>
          <w:tblInd w:w="482" w:type="dxa"/>
          <w:tblLayout w:type="fixed"/>
          <w:tblCellMar>
            <w:left w:w="0" w:type="dxa"/>
            <w:right w:w="0" w:type="dxa"/>
          </w:tblCellMar>
          <w:tblLook w:val="01E0"/>
        </w:tblPrEx>
        <w:trPr>
          <w:trHeight w:val="237"/>
        </w:trPr>
        <w:tc>
          <w:tcPr>
            <w:tcW w:w="13986" w:type="dxa"/>
            <w:gridSpan w:val="5"/>
            <w:tcBorders>
              <w:top w:val="single" w:sz="18" w:space="0" w:color="800000"/>
            </w:tcBorders>
          </w:tcPr>
          <w:p w:rsidR="003F5784" w14:paraId="2D07F4A8" w14:textId="77777777">
            <w:pPr>
              <w:pStyle w:val="TableParagraph"/>
              <w:spacing w:before="0" w:line="218" w:lineRule="exact"/>
              <w:ind w:left="120"/>
              <w:jc w:val="left"/>
              <w:rPr>
                <w:sz w:val="21"/>
              </w:rPr>
            </w:pPr>
            <w:r>
              <w:rPr>
                <w:sz w:val="21"/>
              </w:rPr>
              <w:t>†</w:t>
            </w:r>
            <w:r>
              <w:rPr>
                <w:spacing w:val="-4"/>
                <w:sz w:val="21"/>
              </w:rPr>
              <w:t xml:space="preserve"> </w:t>
            </w:r>
            <w:r>
              <w:rPr>
                <w:sz w:val="21"/>
              </w:rPr>
              <w:t>Not</w:t>
            </w:r>
            <w:r>
              <w:rPr>
                <w:spacing w:val="-3"/>
                <w:sz w:val="21"/>
              </w:rPr>
              <w:t xml:space="preserve"> </w:t>
            </w:r>
            <w:r>
              <w:rPr>
                <w:spacing w:val="-2"/>
                <w:sz w:val="21"/>
              </w:rPr>
              <w:t>applicable.</w:t>
            </w:r>
          </w:p>
        </w:tc>
      </w:tr>
    </w:tbl>
    <w:p w:rsidR="003F5784" w14:paraId="5F768A86" w14:textId="77777777">
      <w:pPr>
        <w:spacing w:line="218" w:lineRule="exact"/>
        <w:rPr>
          <w:sz w:val="21"/>
        </w:rPr>
        <w:sectPr>
          <w:headerReference w:type="default" r:id="rId286"/>
          <w:footerReference w:type="default" r:id="rId287"/>
          <w:pgSz w:w="15840" w:h="12240" w:orient="landscape"/>
          <w:pgMar w:top="480" w:right="440" w:bottom="1300" w:left="460" w:header="284" w:footer="1101" w:gutter="0"/>
          <w:cols w:space="720"/>
        </w:sectPr>
      </w:pPr>
    </w:p>
    <w:p w:rsidR="003F5784" w14:paraId="61AD2007" w14:textId="77777777">
      <w:pPr>
        <w:pStyle w:val="BodyText"/>
        <w:spacing w:before="91"/>
        <w:rPr>
          <w:b/>
        </w:rPr>
      </w:pPr>
    </w:p>
    <w:p w:rsidR="003F5784" w14:paraId="49B29538" w14:textId="77777777">
      <w:pPr>
        <w:pStyle w:val="BodyText"/>
        <w:ind w:left="595"/>
      </w:pPr>
      <w:r>
        <w:rPr>
          <w:spacing w:val="-2"/>
        </w:rPr>
        <w:t>Jurisdiction</w:t>
      </w:r>
    </w:p>
    <w:p w:rsidR="003F5784" w14:paraId="631355AA" w14:textId="77777777">
      <w:pPr>
        <w:pStyle w:val="BodyText"/>
        <w:spacing w:before="98" w:line="238" w:lineRule="exact"/>
        <w:jc w:val="right"/>
      </w:pPr>
      <w:r>
        <w:br w:type="column"/>
        <w:t>Grade</w:t>
      </w:r>
      <w:r>
        <w:rPr>
          <w:spacing w:val="-5"/>
        </w:rPr>
        <w:t xml:space="preserve"> </w:t>
      </w:r>
      <w:r>
        <w:t>4</w:t>
      </w:r>
      <w:r>
        <w:rPr>
          <w:spacing w:val="-4"/>
        </w:rPr>
        <w:t xml:space="preserve"> </w:t>
      </w:r>
      <w:r>
        <w:rPr>
          <w:spacing w:val="-2"/>
        </w:rPr>
        <w:t>mathematics</w:t>
      </w:r>
    </w:p>
    <w:p w:rsidR="003F5784" w14:paraId="77CA502B" w14:textId="77777777">
      <w:pPr>
        <w:pStyle w:val="BodyText"/>
        <w:spacing w:line="238" w:lineRule="exact"/>
        <w:jc w:val="right"/>
      </w:pPr>
      <w:r>
        <w:rPr>
          <w:spacing w:val="-2"/>
        </w:rPr>
        <w:t>(percent)</w:t>
      </w:r>
    </w:p>
    <w:p w:rsidR="003F5784" w14:paraId="277273AA" w14:textId="77777777">
      <w:pPr>
        <w:pStyle w:val="BodyText"/>
        <w:spacing w:before="98" w:line="238" w:lineRule="exact"/>
        <w:jc w:val="right"/>
      </w:pPr>
      <w:r>
        <w:br w:type="column"/>
        <w:t>Grade</w:t>
      </w:r>
      <w:r>
        <w:rPr>
          <w:spacing w:val="-5"/>
        </w:rPr>
        <w:t xml:space="preserve"> </w:t>
      </w:r>
      <w:r>
        <w:t>4</w:t>
      </w:r>
      <w:r>
        <w:rPr>
          <w:spacing w:val="-4"/>
        </w:rPr>
        <w:t xml:space="preserve"> </w:t>
      </w:r>
      <w:r>
        <w:rPr>
          <w:spacing w:val="-2"/>
        </w:rPr>
        <w:t>reading</w:t>
      </w:r>
    </w:p>
    <w:p w:rsidR="003F5784" w14:paraId="6CCC05EA" w14:textId="77777777">
      <w:pPr>
        <w:pStyle w:val="BodyText"/>
        <w:spacing w:line="238" w:lineRule="exact"/>
        <w:jc w:val="right"/>
      </w:pPr>
      <w:r>
        <w:rPr>
          <w:spacing w:val="-2"/>
        </w:rPr>
        <w:t>(percent)</w:t>
      </w:r>
    </w:p>
    <w:p w:rsidR="003F5784" w14:paraId="6A0BD4F2" w14:textId="77777777">
      <w:pPr>
        <w:pStyle w:val="BodyText"/>
        <w:spacing w:before="98" w:line="238" w:lineRule="exact"/>
        <w:jc w:val="right"/>
      </w:pPr>
      <w:r>
        <w:br w:type="column"/>
        <w:t>Grade</w:t>
      </w:r>
      <w:r>
        <w:rPr>
          <w:spacing w:val="-5"/>
        </w:rPr>
        <w:t xml:space="preserve"> </w:t>
      </w:r>
      <w:r>
        <w:t>8</w:t>
      </w:r>
      <w:r>
        <w:rPr>
          <w:spacing w:val="-4"/>
        </w:rPr>
        <w:t xml:space="preserve"> </w:t>
      </w:r>
      <w:r>
        <w:rPr>
          <w:spacing w:val="-2"/>
        </w:rPr>
        <w:t>mathematics</w:t>
      </w:r>
    </w:p>
    <w:p w:rsidR="003F5784" w14:paraId="62F53A54" w14:textId="77777777">
      <w:pPr>
        <w:pStyle w:val="BodyText"/>
        <w:spacing w:line="238" w:lineRule="exact"/>
        <w:jc w:val="right"/>
      </w:pPr>
      <w:r>
        <w:rPr>
          <w:spacing w:val="-2"/>
        </w:rPr>
        <w:t>(percent)</w:t>
      </w:r>
    </w:p>
    <w:p w:rsidR="003F5784" w14:paraId="74CB905D" w14:textId="77777777">
      <w:pPr>
        <w:pStyle w:val="BodyText"/>
        <w:spacing w:before="98" w:line="238" w:lineRule="exact"/>
        <w:ind w:right="598"/>
        <w:jc w:val="right"/>
      </w:pPr>
      <w:r>
        <w:br w:type="column"/>
        <w:t>Grade</w:t>
      </w:r>
      <w:r>
        <w:rPr>
          <w:spacing w:val="-5"/>
        </w:rPr>
        <w:t xml:space="preserve"> </w:t>
      </w:r>
      <w:r>
        <w:t>8</w:t>
      </w:r>
      <w:r>
        <w:rPr>
          <w:spacing w:val="-4"/>
        </w:rPr>
        <w:t xml:space="preserve"> </w:t>
      </w:r>
      <w:r>
        <w:rPr>
          <w:spacing w:val="-2"/>
        </w:rPr>
        <w:t>reading</w:t>
      </w:r>
    </w:p>
    <w:p w:rsidR="003F5784" w14:paraId="406E368C" w14:textId="77777777">
      <w:pPr>
        <w:pStyle w:val="BodyText"/>
        <w:spacing w:line="238" w:lineRule="exact"/>
        <w:ind w:right="598"/>
        <w:jc w:val="right"/>
      </w:pPr>
      <w:r>
        <w:rPr>
          <w:spacing w:val="-2"/>
        </w:rPr>
        <w:t>(percent)</w:t>
      </w:r>
    </w:p>
    <w:p w:rsidR="003F5784" w14:paraId="5F2F6EF3" w14:textId="77777777">
      <w:pPr>
        <w:spacing w:line="238" w:lineRule="exact"/>
        <w:jc w:val="right"/>
        <w:sectPr>
          <w:pgSz w:w="15840" w:h="12240" w:orient="landscape"/>
          <w:pgMar w:top="480" w:right="440" w:bottom="1300" w:left="460" w:header="284" w:footer="1101" w:gutter="0"/>
          <w:cols w:num="5" w:space="720" w:equalWidth="0">
            <w:col w:w="1609" w:space="3937"/>
            <w:col w:w="2368" w:space="68"/>
            <w:col w:w="1939" w:space="44"/>
            <w:col w:w="2368" w:space="69"/>
            <w:col w:w="2538"/>
          </w:cols>
        </w:sectPr>
      </w:pPr>
    </w:p>
    <w:tbl>
      <w:tblPr>
        <w:tblW w:w="0" w:type="auto"/>
        <w:tblInd w:w="482" w:type="dxa"/>
        <w:tblLayout w:type="fixed"/>
        <w:tblCellMar>
          <w:left w:w="0" w:type="dxa"/>
          <w:right w:w="0" w:type="dxa"/>
        </w:tblCellMar>
        <w:tblLook w:val="01E0"/>
      </w:tblPr>
      <w:tblGrid>
        <w:gridCol w:w="4969"/>
        <w:gridCol w:w="3289"/>
        <w:gridCol w:w="2209"/>
        <w:gridCol w:w="2209"/>
        <w:gridCol w:w="1305"/>
      </w:tblGrid>
      <w:tr w14:paraId="35982401" w14:textId="77777777">
        <w:tblPrEx>
          <w:tblW w:w="0" w:type="auto"/>
          <w:tblInd w:w="482" w:type="dxa"/>
          <w:tblLayout w:type="fixed"/>
          <w:tblCellMar>
            <w:left w:w="0" w:type="dxa"/>
            <w:right w:w="0" w:type="dxa"/>
          </w:tblCellMar>
          <w:tblLook w:val="01E0"/>
        </w:tblPrEx>
        <w:trPr>
          <w:trHeight w:val="278"/>
        </w:trPr>
        <w:tc>
          <w:tcPr>
            <w:tcW w:w="4969" w:type="dxa"/>
            <w:tcBorders>
              <w:top w:val="single" w:sz="18" w:space="0" w:color="800000"/>
            </w:tcBorders>
          </w:tcPr>
          <w:p w:rsidR="003F5784" w14:paraId="39C0552B" w14:textId="77777777">
            <w:pPr>
              <w:pStyle w:val="TableParagraph"/>
              <w:spacing w:before="9"/>
              <w:ind w:left="120"/>
              <w:jc w:val="left"/>
              <w:rPr>
                <w:sz w:val="21"/>
              </w:rPr>
            </w:pPr>
            <w:r>
              <w:rPr>
                <w:spacing w:val="-2"/>
                <w:sz w:val="21"/>
              </w:rPr>
              <w:t>Massachusetts–Boston</w:t>
            </w:r>
          </w:p>
        </w:tc>
        <w:tc>
          <w:tcPr>
            <w:tcW w:w="3289" w:type="dxa"/>
            <w:tcBorders>
              <w:top w:val="single" w:sz="18" w:space="0" w:color="800000"/>
            </w:tcBorders>
          </w:tcPr>
          <w:p w:rsidR="003F5784" w14:paraId="229013E3" w14:textId="77777777">
            <w:pPr>
              <w:pStyle w:val="TableParagraph"/>
              <w:spacing w:before="9"/>
              <w:ind w:right="818"/>
              <w:rPr>
                <w:sz w:val="21"/>
              </w:rPr>
            </w:pPr>
            <w:r>
              <w:rPr>
                <w:spacing w:val="-4"/>
                <w:sz w:val="21"/>
              </w:rPr>
              <w:t>0.46</w:t>
            </w:r>
          </w:p>
        </w:tc>
        <w:tc>
          <w:tcPr>
            <w:tcW w:w="2209" w:type="dxa"/>
            <w:tcBorders>
              <w:top w:val="single" w:sz="18" w:space="0" w:color="800000"/>
            </w:tcBorders>
          </w:tcPr>
          <w:p w:rsidR="003F5784" w14:paraId="0C57A6F6" w14:textId="77777777">
            <w:pPr>
              <w:pStyle w:val="TableParagraph"/>
              <w:spacing w:before="9"/>
              <w:ind w:left="821"/>
              <w:jc w:val="left"/>
              <w:rPr>
                <w:sz w:val="21"/>
              </w:rPr>
            </w:pPr>
            <w:r>
              <w:rPr>
                <w:spacing w:val="-4"/>
                <w:sz w:val="21"/>
              </w:rPr>
              <w:t>0.13</w:t>
            </w:r>
          </w:p>
        </w:tc>
        <w:tc>
          <w:tcPr>
            <w:tcW w:w="2209" w:type="dxa"/>
            <w:tcBorders>
              <w:top w:val="single" w:sz="18" w:space="0" w:color="800000"/>
            </w:tcBorders>
          </w:tcPr>
          <w:p w:rsidR="003F5784" w14:paraId="19ACE763" w14:textId="77777777">
            <w:pPr>
              <w:pStyle w:val="TableParagraph"/>
              <w:spacing w:before="9"/>
              <w:ind w:right="816"/>
              <w:rPr>
                <w:sz w:val="21"/>
              </w:rPr>
            </w:pPr>
            <w:r>
              <w:rPr>
                <w:spacing w:val="-4"/>
                <w:sz w:val="21"/>
              </w:rPr>
              <w:t>0.00</w:t>
            </w:r>
          </w:p>
        </w:tc>
        <w:tc>
          <w:tcPr>
            <w:tcW w:w="1305" w:type="dxa"/>
            <w:tcBorders>
              <w:top w:val="single" w:sz="18" w:space="0" w:color="800000"/>
            </w:tcBorders>
          </w:tcPr>
          <w:p w:rsidR="003F5784" w14:paraId="19358766" w14:textId="77777777">
            <w:pPr>
              <w:pStyle w:val="TableParagraph"/>
              <w:spacing w:before="9"/>
              <w:ind w:right="114"/>
              <w:rPr>
                <w:sz w:val="21"/>
              </w:rPr>
            </w:pPr>
            <w:r>
              <w:rPr>
                <w:spacing w:val="-4"/>
                <w:sz w:val="21"/>
              </w:rPr>
              <w:t>0.00</w:t>
            </w:r>
          </w:p>
        </w:tc>
      </w:tr>
      <w:tr w14:paraId="6A3F7F38" w14:textId="77777777">
        <w:tblPrEx>
          <w:tblW w:w="0" w:type="auto"/>
          <w:tblInd w:w="482" w:type="dxa"/>
          <w:tblLayout w:type="fixed"/>
          <w:tblCellMar>
            <w:left w:w="0" w:type="dxa"/>
            <w:right w:w="0" w:type="dxa"/>
          </w:tblCellMar>
          <w:tblLook w:val="01E0"/>
        </w:tblPrEx>
        <w:trPr>
          <w:trHeight w:val="286"/>
        </w:trPr>
        <w:tc>
          <w:tcPr>
            <w:tcW w:w="4969" w:type="dxa"/>
          </w:tcPr>
          <w:p w:rsidR="003F5784" w14:paraId="28AA0CF0" w14:textId="77777777">
            <w:pPr>
              <w:pStyle w:val="TableParagraph"/>
              <w:ind w:left="120"/>
              <w:jc w:val="left"/>
              <w:rPr>
                <w:sz w:val="21"/>
              </w:rPr>
            </w:pPr>
            <w:r>
              <w:rPr>
                <w:spacing w:val="-2"/>
                <w:sz w:val="21"/>
              </w:rPr>
              <w:t>Massachusetts</w:t>
            </w:r>
          </w:p>
        </w:tc>
        <w:tc>
          <w:tcPr>
            <w:tcW w:w="3289" w:type="dxa"/>
          </w:tcPr>
          <w:p w:rsidR="003F5784" w14:paraId="1EBF0D1C" w14:textId="77777777">
            <w:pPr>
              <w:pStyle w:val="TableParagraph"/>
              <w:ind w:right="818"/>
              <w:rPr>
                <w:sz w:val="21"/>
              </w:rPr>
            </w:pPr>
            <w:r>
              <w:rPr>
                <w:spacing w:val="-4"/>
                <w:sz w:val="21"/>
              </w:rPr>
              <w:t>0.02</w:t>
            </w:r>
          </w:p>
        </w:tc>
        <w:tc>
          <w:tcPr>
            <w:tcW w:w="2209" w:type="dxa"/>
          </w:tcPr>
          <w:p w:rsidR="003F5784" w14:paraId="2266AE4F" w14:textId="77777777">
            <w:pPr>
              <w:pStyle w:val="TableParagraph"/>
              <w:ind w:left="821"/>
              <w:jc w:val="left"/>
              <w:rPr>
                <w:sz w:val="21"/>
              </w:rPr>
            </w:pPr>
            <w:r>
              <w:rPr>
                <w:spacing w:val="-4"/>
                <w:sz w:val="21"/>
              </w:rPr>
              <w:t>0.01</w:t>
            </w:r>
          </w:p>
        </w:tc>
        <w:tc>
          <w:tcPr>
            <w:tcW w:w="2209" w:type="dxa"/>
          </w:tcPr>
          <w:p w:rsidR="003F5784" w14:paraId="5839DCF2" w14:textId="77777777">
            <w:pPr>
              <w:pStyle w:val="TableParagraph"/>
              <w:ind w:right="816"/>
              <w:rPr>
                <w:sz w:val="21"/>
              </w:rPr>
            </w:pPr>
            <w:r>
              <w:rPr>
                <w:spacing w:val="-4"/>
                <w:sz w:val="21"/>
              </w:rPr>
              <w:t>0.09</w:t>
            </w:r>
          </w:p>
        </w:tc>
        <w:tc>
          <w:tcPr>
            <w:tcW w:w="1305" w:type="dxa"/>
          </w:tcPr>
          <w:p w:rsidR="003F5784" w14:paraId="3EDE1E5C" w14:textId="77777777">
            <w:pPr>
              <w:pStyle w:val="TableParagraph"/>
              <w:ind w:right="114"/>
              <w:rPr>
                <w:sz w:val="21"/>
              </w:rPr>
            </w:pPr>
            <w:r>
              <w:rPr>
                <w:spacing w:val="-4"/>
                <w:sz w:val="21"/>
              </w:rPr>
              <w:t>0.00</w:t>
            </w:r>
          </w:p>
        </w:tc>
      </w:tr>
      <w:tr w14:paraId="72804B17" w14:textId="77777777">
        <w:tblPrEx>
          <w:tblW w:w="0" w:type="auto"/>
          <w:tblInd w:w="482" w:type="dxa"/>
          <w:tblLayout w:type="fixed"/>
          <w:tblCellMar>
            <w:left w:w="0" w:type="dxa"/>
            <w:right w:w="0" w:type="dxa"/>
          </w:tblCellMar>
          <w:tblLook w:val="01E0"/>
        </w:tblPrEx>
        <w:trPr>
          <w:trHeight w:val="286"/>
        </w:trPr>
        <w:tc>
          <w:tcPr>
            <w:tcW w:w="4969" w:type="dxa"/>
          </w:tcPr>
          <w:p w:rsidR="003F5784" w14:paraId="21007258" w14:textId="77777777">
            <w:pPr>
              <w:pStyle w:val="TableParagraph"/>
              <w:ind w:left="120"/>
              <w:jc w:val="left"/>
              <w:rPr>
                <w:sz w:val="21"/>
              </w:rPr>
            </w:pPr>
            <w:r>
              <w:rPr>
                <w:spacing w:val="-2"/>
                <w:sz w:val="21"/>
              </w:rPr>
              <w:t>Michigan–Detroit</w:t>
            </w:r>
          </w:p>
        </w:tc>
        <w:tc>
          <w:tcPr>
            <w:tcW w:w="3289" w:type="dxa"/>
          </w:tcPr>
          <w:p w:rsidR="003F5784" w14:paraId="292F5C22" w14:textId="77777777">
            <w:pPr>
              <w:pStyle w:val="TableParagraph"/>
              <w:ind w:right="818"/>
              <w:rPr>
                <w:sz w:val="21"/>
              </w:rPr>
            </w:pPr>
            <w:r>
              <w:rPr>
                <w:spacing w:val="-4"/>
                <w:sz w:val="21"/>
              </w:rPr>
              <w:t>0.80</w:t>
            </w:r>
          </w:p>
        </w:tc>
        <w:tc>
          <w:tcPr>
            <w:tcW w:w="2209" w:type="dxa"/>
          </w:tcPr>
          <w:p w:rsidR="003F5784" w14:paraId="18EE46BE" w14:textId="77777777">
            <w:pPr>
              <w:pStyle w:val="TableParagraph"/>
              <w:ind w:left="821"/>
              <w:jc w:val="left"/>
              <w:rPr>
                <w:sz w:val="21"/>
              </w:rPr>
            </w:pPr>
            <w:r>
              <w:rPr>
                <w:spacing w:val="-4"/>
                <w:sz w:val="21"/>
              </w:rPr>
              <w:t>0.63</w:t>
            </w:r>
          </w:p>
        </w:tc>
        <w:tc>
          <w:tcPr>
            <w:tcW w:w="2209" w:type="dxa"/>
          </w:tcPr>
          <w:p w:rsidR="003F5784" w14:paraId="081C97F5" w14:textId="77777777">
            <w:pPr>
              <w:pStyle w:val="TableParagraph"/>
              <w:ind w:right="816"/>
              <w:rPr>
                <w:sz w:val="21"/>
              </w:rPr>
            </w:pPr>
            <w:r>
              <w:rPr>
                <w:spacing w:val="-4"/>
                <w:sz w:val="21"/>
              </w:rPr>
              <w:t>0.59</w:t>
            </w:r>
          </w:p>
        </w:tc>
        <w:tc>
          <w:tcPr>
            <w:tcW w:w="1305" w:type="dxa"/>
          </w:tcPr>
          <w:p w:rsidR="003F5784" w14:paraId="4BFE3692" w14:textId="77777777">
            <w:pPr>
              <w:pStyle w:val="TableParagraph"/>
              <w:ind w:right="114"/>
              <w:rPr>
                <w:sz w:val="21"/>
              </w:rPr>
            </w:pPr>
            <w:r>
              <w:rPr>
                <w:spacing w:val="-4"/>
                <w:sz w:val="21"/>
              </w:rPr>
              <w:t>0.40</w:t>
            </w:r>
          </w:p>
        </w:tc>
      </w:tr>
      <w:tr w14:paraId="0E5BEC78" w14:textId="77777777">
        <w:tblPrEx>
          <w:tblW w:w="0" w:type="auto"/>
          <w:tblInd w:w="482" w:type="dxa"/>
          <w:tblLayout w:type="fixed"/>
          <w:tblCellMar>
            <w:left w:w="0" w:type="dxa"/>
            <w:right w:w="0" w:type="dxa"/>
          </w:tblCellMar>
          <w:tblLook w:val="01E0"/>
        </w:tblPrEx>
        <w:trPr>
          <w:trHeight w:val="286"/>
        </w:trPr>
        <w:tc>
          <w:tcPr>
            <w:tcW w:w="4969" w:type="dxa"/>
          </w:tcPr>
          <w:p w:rsidR="003F5784" w14:paraId="3ECD9935" w14:textId="77777777">
            <w:pPr>
              <w:pStyle w:val="TableParagraph"/>
              <w:ind w:left="120"/>
              <w:jc w:val="left"/>
              <w:rPr>
                <w:sz w:val="21"/>
              </w:rPr>
            </w:pPr>
            <w:r>
              <w:rPr>
                <w:spacing w:val="-2"/>
                <w:sz w:val="21"/>
              </w:rPr>
              <w:t>Michigan</w:t>
            </w:r>
          </w:p>
        </w:tc>
        <w:tc>
          <w:tcPr>
            <w:tcW w:w="3289" w:type="dxa"/>
          </w:tcPr>
          <w:p w:rsidR="003F5784" w14:paraId="707B56CD" w14:textId="77777777">
            <w:pPr>
              <w:pStyle w:val="TableParagraph"/>
              <w:ind w:right="818"/>
              <w:rPr>
                <w:sz w:val="21"/>
              </w:rPr>
            </w:pPr>
            <w:r>
              <w:rPr>
                <w:spacing w:val="-4"/>
                <w:sz w:val="21"/>
              </w:rPr>
              <w:t>1.76</w:t>
            </w:r>
          </w:p>
        </w:tc>
        <w:tc>
          <w:tcPr>
            <w:tcW w:w="2209" w:type="dxa"/>
          </w:tcPr>
          <w:p w:rsidR="003F5784" w14:paraId="46BDDA6D" w14:textId="77777777">
            <w:pPr>
              <w:pStyle w:val="TableParagraph"/>
              <w:ind w:left="821"/>
              <w:jc w:val="left"/>
              <w:rPr>
                <w:sz w:val="21"/>
              </w:rPr>
            </w:pPr>
            <w:r>
              <w:rPr>
                <w:spacing w:val="-4"/>
                <w:sz w:val="21"/>
              </w:rPr>
              <w:t>1.89</w:t>
            </w:r>
          </w:p>
        </w:tc>
        <w:tc>
          <w:tcPr>
            <w:tcW w:w="2209" w:type="dxa"/>
          </w:tcPr>
          <w:p w:rsidR="003F5784" w14:paraId="7C716D6C" w14:textId="77777777">
            <w:pPr>
              <w:pStyle w:val="TableParagraph"/>
              <w:ind w:right="816"/>
              <w:rPr>
                <w:sz w:val="21"/>
              </w:rPr>
            </w:pPr>
            <w:r>
              <w:rPr>
                <w:spacing w:val="-4"/>
                <w:sz w:val="21"/>
              </w:rPr>
              <w:t>2.19</w:t>
            </w:r>
          </w:p>
        </w:tc>
        <w:tc>
          <w:tcPr>
            <w:tcW w:w="1305" w:type="dxa"/>
          </w:tcPr>
          <w:p w:rsidR="003F5784" w14:paraId="267FC2AB" w14:textId="77777777">
            <w:pPr>
              <w:pStyle w:val="TableParagraph"/>
              <w:ind w:right="114"/>
              <w:rPr>
                <w:sz w:val="21"/>
              </w:rPr>
            </w:pPr>
            <w:r>
              <w:rPr>
                <w:spacing w:val="-4"/>
                <w:sz w:val="21"/>
              </w:rPr>
              <w:t>2.96</w:t>
            </w:r>
          </w:p>
        </w:tc>
      </w:tr>
      <w:tr w14:paraId="7F04FC06" w14:textId="77777777">
        <w:tblPrEx>
          <w:tblW w:w="0" w:type="auto"/>
          <w:tblInd w:w="482" w:type="dxa"/>
          <w:tblLayout w:type="fixed"/>
          <w:tblCellMar>
            <w:left w:w="0" w:type="dxa"/>
            <w:right w:w="0" w:type="dxa"/>
          </w:tblCellMar>
          <w:tblLook w:val="01E0"/>
        </w:tblPrEx>
        <w:trPr>
          <w:trHeight w:val="286"/>
        </w:trPr>
        <w:tc>
          <w:tcPr>
            <w:tcW w:w="4969" w:type="dxa"/>
          </w:tcPr>
          <w:p w:rsidR="003F5784" w14:paraId="778B82F8" w14:textId="77777777">
            <w:pPr>
              <w:pStyle w:val="TableParagraph"/>
              <w:ind w:left="120"/>
              <w:jc w:val="left"/>
              <w:rPr>
                <w:sz w:val="21"/>
              </w:rPr>
            </w:pPr>
            <w:r>
              <w:rPr>
                <w:spacing w:val="-2"/>
                <w:sz w:val="21"/>
              </w:rPr>
              <w:t>Minnesota</w:t>
            </w:r>
          </w:p>
        </w:tc>
        <w:tc>
          <w:tcPr>
            <w:tcW w:w="3289" w:type="dxa"/>
          </w:tcPr>
          <w:p w:rsidR="003F5784" w14:paraId="3E2C59F5" w14:textId="77777777">
            <w:pPr>
              <w:pStyle w:val="TableParagraph"/>
              <w:ind w:right="818"/>
              <w:rPr>
                <w:sz w:val="21"/>
              </w:rPr>
            </w:pPr>
            <w:r>
              <w:rPr>
                <w:spacing w:val="-4"/>
                <w:sz w:val="21"/>
              </w:rPr>
              <w:t>0.91</w:t>
            </w:r>
          </w:p>
        </w:tc>
        <w:tc>
          <w:tcPr>
            <w:tcW w:w="2209" w:type="dxa"/>
          </w:tcPr>
          <w:p w:rsidR="003F5784" w14:paraId="4683DB34" w14:textId="77777777">
            <w:pPr>
              <w:pStyle w:val="TableParagraph"/>
              <w:ind w:left="821"/>
              <w:jc w:val="left"/>
              <w:rPr>
                <w:sz w:val="21"/>
              </w:rPr>
            </w:pPr>
            <w:r>
              <w:rPr>
                <w:spacing w:val="-4"/>
                <w:sz w:val="21"/>
              </w:rPr>
              <w:t>0.78</w:t>
            </w:r>
          </w:p>
        </w:tc>
        <w:tc>
          <w:tcPr>
            <w:tcW w:w="2209" w:type="dxa"/>
          </w:tcPr>
          <w:p w:rsidR="003F5784" w14:paraId="4B7D3381" w14:textId="77777777">
            <w:pPr>
              <w:pStyle w:val="TableParagraph"/>
              <w:ind w:right="816"/>
              <w:rPr>
                <w:sz w:val="21"/>
              </w:rPr>
            </w:pPr>
            <w:r>
              <w:rPr>
                <w:spacing w:val="-4"/>
                <w:sz w:val="21"/>
              </w:rPr>
              <w:t>0.15</w:t>
            </w:r>
          </w:p>
        </w:tc>
        <w:tc>
          <w:tcPr>
            <w:tcW w:w="1305" w:type="dxa"/>
          </w:tcPr>
          <w:p w:rsidR="003F5784" w14:paraId="1D2DBEFF" w14:textId="77777777">
            <w:pPr>
              <w:pStyle w:val="TableParagraph"/>
              <w:ind w:right="114"/>
              <w:rPr>
                <w:sz w:val="21"/>
              </w:rPr>
            </w:pPr>
            <w:r>
              <w:rPr>
                <w:spacing w:val="-4"/>
                <w:sz w:val="21"/>
              </w:rPr>
              <w:t>0.15</w:t>
            </w:r>
          </w:p>
        </w:tc>
      </w:tr>
      <w:tr w14:paraId="6D478B35" w14:textId="77777777">
        <w:tblPrEx>
          <w:tblW w:w="0" w:type="auto"/>
          <w:tblInd w:w="482" w:type="dxa"/>
          <w:tblLayout w:type="fixed"/>
          <w:tblCellMar>
            <w:left w:w="0" w:type="dxa"/>
            <w:right w:w="0" w:type="dxa"/>
          </w:tblCellMar>
          <w:tblLook w:val="01E0"/>
        </w:tblPrEx>
        <w:trPr>
          <w:trHeight w:val="286"/>
        </w:trPr>
        <w:tc>
          <w:tcPr>
            <w:tcW w:w="4969" w:type="dxa"/>
          </w:tcPr>
          <w:p w:rsidR="003F5784" w14:paraId="7D4565A4" w14:textId="77777777">
            <w:pPr>
              <w:pStyle w:val="TableParagraph"/>
              <w:ind w:left="120"/>
              <w:jc w:val="left"/>
              <w:rPr>
                <w:sz w:val="21"/>
              </w:rPr>
            </w:pPr>
            <w:r>
              <w:rPr>
                <w:spacing w:val="-2"/>
                <w:sz w:val="21"/>
              </w:rPr>
              <w:t>Mississippi</w:t>
            </w:r>
          </w:p>
        </w:tc>
        <w:tc>
          <w:tcPr>
            <w:tcW w:w="3289" w:type="dxa"/>
          </w:tcPr>
          <w:p w:rsidR="003F5784" w14:paraId="6A594155" w14:textId="77777777">
            <w:pPr>
              <w:pStyle w:val="TableParagraph"/>
              <w:ind w:right="818"/>
              <w:rPr>
                <w:sz w:val="21"/>
              </w:rPr>
            </w:pPr>
            <w:r>
              <w:rPr>
                <w:spacing w:val="-4"/>
                <w:sz w:val="21"/>
              </w:rPr>
              <w:t>0.37</w:t>
            </w:r>
          </w:p>
        </w:tc>
        <w:tc>
          <w:tcPr>
            <w:tcW w:w="2209" w:type="dxa"/>
          </w:tcPr>
          <w:p w:rsidR="003F5784" w14:paraId="7D2C4459" w14:textId="77777777">
            <w:pPr>
              <w:pStyle w:val="TableParagraph"/>
              <w:ind w:left="821"/>
              <w:jc w:val="left"/>
              <w:rPr>
                <w:sz w:val="21"/>
              </w:rPr>
            </w:pPr>
            <w:r>
              <w:rPr>
                <w:spacing w:val="-4"/>
                <w:sz w:val="21"/>
              </w:rPr>
              <w:t>0.51</w:t>
            </w:r>
          </w:p>
        </w:tc>
        <w:tc>
          <w:tcPr>
            <w:tcW w:w="2209" w:type="dxa"/>
          </w:tcPr>
          <w:p w:rsidR="003F5784" w14:paraId="26470ECF" w14:textId="77777777">
            <w:pPr>
              <w:pStyle w:val="TableParagraph"/>
              <w:ind w:right="816"/>
              <w:rPr>
                <w:sz w:val="21"/>
              </w:rPr>
            </w:pPr>
            <w:r>
              <w:rPr>
                <w:spacing w:val="-4"/>
                <w:sz w:val="21"/>
              </w:rPr>
              <w:t>0.46</w:t>
            </w:r>
          </w:p>
        </w:tc>
        <w:tc>
          <w:tcPr>
            <w:tcW w:w="1305" w:type="dxa"/>
          </w:tcPr>
          <w:p w:rsidR="003F5784" w14:paraId="0F0FD413" w14:textId="77777777">
            <w:pPr>
              <w:pStyle w:val="TableParagraph"/>
              <w:ind w:right="114"/>
              <w:rPr>
                <w:sz w:val="21"/>
              </w:rPr>
            </w:pPr>
            <w:r>
              <w:rPr>
                <w:spacing w:val="-4"/>
                <w:sz w:val="21"/>
              </w:rPr>
              <w:t>0.44</w:t>
            </w:r>
          </w:p>
        </w:tc>
      </w:tr>
      <w:tr w14:paraId="28D94EA2" w14:textId="77777777">
        <w:tblPrEx>
          <w:tblW w:w="0" w:type="auto"/>
          <w:tblInd w:w="482" w:type="dxa"/>
          <w:tblLayout w:type="fixed"/>
          <w:tblCellMar>
            <w:left w:w="0" w:type="dxa"/>
            <w:right w:w="0" w:type="dxa"/>
          </w:tblCellMar>
          <w:tblLook w:val="01E0"/>
        </w:tblPrEx>
        <w:trPr>
          <w:trHeight w:val="286"/>
        </w:trPr>
        <w:tc>
          <w:tcPr>
            <w:tcW w:w="4969" w:type="dxa"/>
          </w:tcPr>
          <w:p w:rsidR="003F5784" w14:paraId="6CB453D5" w14:textId="77777777">
            <w:pPr>
              <w:pStyle w:val="TableParagraph"/>
              <w:ind w:left="120"/>
              <w:jc w:val="left"/>
              <w:rPr>
                <w:sz w:val="21"/>
              </w:rPr>
            </w:pPr>
            <w:r>
              <w:rPr>
                <w:spacing w:val="-2"/>
                <w:sz w:val="21"/>
              </w:rPr>
              <w:t>Missouri</w:t>
            </w:r>
          </w:p>
        </w:tc>
        <w:tc>
          <w:tcPr>
            <w:tcW w:w="3289" w:type="dxa"/>
          </w:tcPr>
          <w:p w:rsidR="003F5784" w14:paraId="5D00FBA7" w14:textId="77777777">
            <w:pPr>
              <w:pStyle w:val="TableParagraph"/>
              <w:ind w:right="818"/>
              <w:rPr>
                <w:sz w:val="21"/>
              </w:rPr>
            </w:pPr>
            <w:r>
              <w:rPr>
                <w:spacing w:val="-4"/>
                <w:sz w:val="21"/>
              </w:rPr>
              <w:t>1.95</w:t>
            </w:r>
          </w:p>
        </w:tc>
        <w:tc>
          <w:tcPr>
            <w:tcW w:w="2209" w:type="dxa"/>
          </w:tcPr>
          <w:p w:rsidR="003F5784" w14:paraId="09C31774" w14:textId="77777777">
            <w:pPr>
              <w:pStyle w:val="TableParagraph"/>
              <w:ind w:left="821"/>
              <w:jc w:val="left"/>
              <w:rPr>
                <w:sz w:val="21"/>
              </w:rPr>
            </w:pPr>
            <w:r>
              <w:rPr>
                <w:spacing w:val="-4"/>
                <w:sz w:val="21"/>
              </w:rPr>
              <w:t>0.86</w:t>
            </w:r>
          </w:p>
        </w:tc>
        <w:tc>
          <w:tcPr>
            <w:tcW w:w="2209" w:type="dxa"/>
          </w:tcPr>
          <w:p w:rsidR="003F5784" w14:paraId="1C677231" w14:textId="77777777">
            <w:pPr>
              <w:pStyle w:val="TableParagraph"/>
              <w:ind w:right="816"/>
              <w:rPr>
                <w:sz w:val="21"/>
              </w:rPr>
            </w:pPr>
            <w:r>
              <w:rPr>
                <w:spacing w:val="-4"/>
                <w:sz w:val="21"/>
              </w:rPr>
              <w:t>2.91</w:t>
            </w:r>
          </w:p>
        </w:tc>
        <w:tc>
          <w:tcPr>
            <w:tcW w:w="1305" w:type="dxa"/>
          </w:tcPr>
          <w:p w:rsidR="003F5784" w14:paraId="47948C5B" w14:textId="77777777">
            <w:pPr>
              <w:pStyle w:val="TableParagraph"/>
              <w:ind w:right="114"/>
              <w:rPr>
                <w:sz w:val="21"/>
              </w:rPr>
            </w:pPr>
            <w:r>
              <w:rPr>
                <w:spacing w:val="-4"/>
                <w:sz w:val="21"/>
              </w:rPr>
              <w:t>3.69</w:t>
            </w:r>
          </w:p>
        </w:tc>
      </w:tr>
      <w:tr w14:paraId="5AAAC18C" w14:textId="77777777">
        <w:tblPrEx>
          <w:tblW w:w="0" w:type="auto"/>
          <w:tblInd w:w="482" w:type="dxa"/>
          <w:tblLayout w:type="fixed"/>
          <w:tblCellMar>
            <w:left w:w="0" w:type="dxa"/>
            <w:right w:w="0" w:type="dxa"/>
          </w:tblCellMar>
          <w:tblLook w:val="01E0"/>
        </w:tblPrEx>
        <w:trPr>
          <w:trHeight w:val="286"/>
        </w:trPr>
        <w:tc>
          <w:tcPr>
            <w:tcW w:w="4969" w:type="dxa"/>
          </w:tcPr>
          <w:p w:rsidR="003F5784" w14:paraId="33AA72F2" w14:textId="77777777">
            <w:pPr>
              <w:pStyle w:val="TableParagraph"/>
              <w:ind w:left="120"/>
              <w:jc w:val="left"/>
              <w:rPr>
                <w:sz w:val="21"/>
              </w:rPr>
            </w:pPr>
            <w:r>
              <w:rPr>
                <w:spacing w:val="-2"/>
                <w:sz w:val="21"/>
              </w:rPr>
              <w:t>Montana</w:t>
            </w:r>
          </w:p>
        </w:tc>
        <w:tc>
          <w:tcPr>
            <w:tcW w:w="3289" w:type="dxa"/>
          </w:tcPr>
          <w:p w:rsidR="003F5784" w14:paraId="2D087C71" w14:textId="77777777">
            <w:pPr>
              <w:pStyle w:val="TableParagraph"/>
              <w:ind w:right="818"/>
              <w:rPr>
                <w:sz w:val="21"/>
              </w:rPr>
            </w:pPr>
            <w:r>
              <w:rPr>
                <w:spacing w:val="-4"/>
                <w:sz w:val="21"/>
              </w:rPr>
              <w:t>0.72</w:t>
            </w:r>
          </w:p>
        </w:tc>
        <w:tc>
          <w:tcPr>
            <w:tcW w:w="2209" w:type="dxa"/>
          </w:tcPr>
          <w:p w:rsidR="003F5784" w14:paraId="399ABC50" w14:textId="77777777">
            <w:pPr>
              <w:pStyle w:val="TableParagraph"/>
              <w:ind w:left="821"/>
              <w:jc w:val="left"/>
              <w:rPr>
                <w:sz w:val="21"/>
              </w:rPr>
            </w:pPr>
            <w:r>
              <w:rPr>
                <w:spacing w:val="-4"/>
                <w:sz w:val="21"/>
              </w:rPr>
              <w:t>0.43</w:t>
            </w:r>
          </w:p>
        </w:tc>
        <w:tc>
          <w:tcPr>
            <w:tcW w:w="2209" w:type="dxa"/>
          </w:tcPr>
          <w:p w:rsidR="003F5784" w14:paraId="00372AEC" w14:textId="77777777">
            <w:pPr>
              <w:pStyle w:val="TableParagraph"/>
              <w:ind w:right="816"/>
              <w:rPr>
                <w:sz w:val="21"/>
              </w:rPr>
            </w:pPr>
            <w:r>
              <w:rPr>
                <w:spacing w:val="-4"/>
                <w:sz w:val="21"/>
              </w:rPr>
              <w:t>1.42</w:t>
            </w:r>
          </w:p>
        </w:tc>
        <w:tc>
          <w:tcPr>
            <w:tcW w:w="1305" w:type="dxa"/>
          </w:tcPr>
          <w:p w:rsidR="003F5784" w14:paraId="5F765BC0" w14:textId="77777777">
            <w:pPr>
              <w:pStyle w:val="TableParagraph"/>
              <w:ind w:right="114"/>
              <w:rPr>
                <w:sz w:val="21"/>
              </w:rPr>
            </w:pPr>
            <w:r>
              <w:rPr>
                <w:spacing w:val="-4"/>
                <w:sz w:val="21"/>
              </w:rPr>
              <w:t>1.43</w:t>
            </w:r>
          </w:p>
        </w:tc>
      </w:tr>
      <w:tr w14:paraId="2CFFDA1B" w14:textId="77777777">
        <w:tblPrEx>
          <w:tblW w:w="0" w:type="auto"/>
          <w:tblInd w:w="482" w:type="dxa"/>
          <w:tblLayout w:type="fixed"/>
          <w:tblCellMar>
            <w:left w:w="0" w:type="dxa"/>
            <w:right w:w="0" w:type="dxa"/>
          </w:tblCellMar>
          <w:tblLook w:val="01E0"/>
        </w:tblPrEx>
        <w:trPr>
          <w:trHeight w:val="286"/>
        </w:trPr>
        <w:tc>
          <w:tcPr>
            <w:tcW w:w="4969" w:type="dxa"/>
          </w:tcPr>
          <w:p w:rsidR="003F5784" w14:paraId="63CFF631" w14:textId="77777777">
            <w:pPr>
              <w:pStyle w:val="TableParagraph"/>
              <w:ind w:left="120"/>
              <w:jc w:val="left"/>
              <w:rPr>
                <w:sz w:val="21"/>
              </w:rPr>
            </w:pPr>
            <w:r>
              <w:rPr>
                <w:spacing w:val="-2"/>
                <w:sz w:val="21"/>
              </w:rPr>
              <w:t>Nebraska</w:t>
            </w:r>
          </w:p>
        </w:tc>
        <w:tc>
          <w:tcPr>
            <w:tcW w:w="3289" w:type="dxa"/>
          </w:tcPr>
          <w:p w:rsidR="003F5784" w14:paraId="3C24A9F1" w14:textId="77777777">
            <w:pPr>
              <w:pStyle w:val="TableParagraph"/>
              <w:ind w:right="818"/>
              <w:rPr>
                <w:sz w:val="21"/>
              </w:rPr>
            </w:pPr>
            <w:r>
              <w:rPr>
                <w:spacing w:val="-4"/>
                <w:sz w:val="21"/>
              </w:rPr>
              <w:t>0.08</w:t>
            </w:r>
          </w:p>
        </w:tc>
        <w:tc>
          <w:tcPr>
            <w:tcW w:w="2209" w:type="dxa"/>
          </w:tcPr>
          <w:p w:rsidR="003F5784" w14:paraId="65984ADB" w14:textId="77777777">
            <w:pPr>
              <w:pStyle w:val="TableParagraph"/>
              <w:ind w:left="821"/>
              <w:jc w:val="left"/>
              <w:rPr>
                <w:sz w:val="21"/>
              </w:rPr>
            </w:pPr>
            <w:r>
              <w:rPr>
                <w:spacing w:val="-4"/>
                <w:sz w:val="21"/>
              </w:rPr>
              <w:t>0.10</w:t>
            </w:r>
          </w:p>
        </w:tc>
        <w:tc>
          <w:tcPr>
            <w:tcW w:w="2209" w:type="dxa"/>
          </w:tcPr>
          <w:p w:rsidR="003F5784" w14:paraId="1E7C9844" w14:textId="77777777">
            <w:pPr>
              <w:pStyle w:val="TableParagraph"/>
              <w:ind w:right="816"/>
              <w:rPr>
                <w:sz w:val="21"/>
              </w:rPr>
            </w:pPr>
            <w:r>
              <w:rPr>
                <w:spacing w:val="-4"/>
                <w:sz w:val="21"/>
              </w:rPr>
              <w:t>0.20</w:t>
            </w:r>
          </w:p>
        </w:tc>
        <w:tc>
          <w:tcPr>
            <w:tcW w:w="1305" w:type="dxa"/>
          </w:tcPr>
          <w:p w:rsidR="003F5784" w14:paraId="2CEA20FA" w14:textId="77777777">
            <w:pPr>
              <w:pStyle w:val="TableParagraph"/>
              <w:ind w:right="114"/>
              <w:rPr>
                <w:sz w:val="21"/>
              </w:rPr>
            </w:pPr>
            <w:r>
              <w:rPr>
                <w:spacing w:val="-4"/>
                <w:sz w:val="21"/>
              </w:rPr>
              <w:t>0.23</w:t>
            </w:r>
          </w:p>
        </w:tc>
      </w:tr>
      <w:tr w14:paraId="00C1EA43" w14:textId="77777777">
        <w:tblPrEx>
          <w:tblW w:w="0" w:type="auto"/>
          <w:tblInd w:w="482" w:type="dxa"/>
          <w:tblLayout w:type="fixed"/>
          <w:tblCellMar>
            <w:left w:w="0" w:type="dxa"/>
            <w:right w:w="0" w:type="dxa"/>
          </w:tblCellMar>
          <w:tblLook w:val="01E0"/>
        </w:tblPrEx>
        <w:trPr>
          <w:trHeight w:val="286"/>
        </w:trPr>
        <w:tc>
          <w:tcPr>
            <w:tcW w:w="4969" w:type="dxa"/>
          </w:tcPr>
          <w:p w:rsidR="003F5784" w14:paraId="6E5F1BFE" w14:textId="77777777">
            <w:pPr>
              <w:pStyle w:val="TableParagraph"/>
              <w:ind w:left="120"/>
              <w:jc w:val="left"/>
              <w:rPr>
                <w:sz w:val="21"/>
              </w:rPr>
            </w:pPr>
            <w:r>
              <w:rPr>
                <w:spacing w:val="-2"/>
                <w:sz w:val="21"/>
              </w:rPr>
              <w:t>Nevada–Clark</w:t>
            </w:r>
            <w:r>
              <w:rPr>
                <w:spacing w:val="10"/>
                <w:sz w:val="21"/>
              </w:rPr>
              <w:t xml:space="preserve"> </w:t>
            </w:r>
            <w:r>
              <w:rPr>
                <w:spacing w:val="-2"/>
                <w:sz w:val="21"/>
              </w:rPr>
              <w:t>County</w:t>
            </w:r>
          </w:p>
        </w:tc>
        <w:tc>
          <w:tcPr>
            <w:tcW w:w="3289" w:type="dxa"/>
          </w:tcPr>
          <w:p w:rsidR="003F5784" w14:paraId="51C1C57A" w14:textId="77777777">
            <w:pPr>
              <w:pStyle w:val="TableParagraph"/>
              <w:ind w:right="818"/>
              <w:rPr>
                <w:sz w:val="21"/>
              </w:rPr>
            </w:pPr>
            <w:r>
              <w:rPr>
                <w:spacing w:val="-4"/>
                <w:sz w:val="21"/>
              </w:rPr>
              <w:t>0.06</w:t>
            </w:r>
          </w:p>
        </w:tc>
        <w:tc>
          <w:tcPr>
            <w:tcW w:w="2209" w:type="dxa"/>
          </w:tcPr>
          <w:p w:rsidR="003F5784" w14:paraId="11C1A9DF" w14:textId="77777777">
            <w:pPr>
              <w:pStyle w:val="TableParagraph"/>
              <w:ind w:left="821"/>
              <w:jc w:val="left"/>
              <w:rPr>
                <w:sz w:val="21"/>
              </w:rPr>
            </w:pPr>
            <w:r>
              <w:rPr>
                <w:spacing w:val="-4"/>
                <w:sz w:val="21"/>
              </w:rPr>
              <w:t>0.00</w:t>
            </w:r>
          </w:p>
        </w:tc>
        <w:tc>
          <w:tcPr>
            <w:tcW w:w="2209" w:type="dxa"/>
          </w:tcPr>
          <w:p w:rsidR="003F5784" w14:paraId="4D9E8D9A" w14:textId="77777777">
            <w:pPr>
              <w:pStyle w:val="TableParagraph"/>
              <w:ind w:right="816"/>
              <w:rPr>
                <w:sz w:val="21"/>
              </w:rPr>
            </w:pPr>
            <w:r>
              <w:rPr>
                <w:spacing w:val="-4"/>
                <w:sz w:val="21"/>
              </w:rPr>
              <w:t>0.91</w:t>
            </w:r>
          </w:p>
        </w:tc>
        <w:tc>
          <w:tcPr>
            <w:tcW w:w="1305" w:type="dxa"/>
          </w:tcPr>
          <w:p w:rsidR="003F5784" w14:paraId="56AB329F" w14:textId="77777777">
            <w:pPr>
              <w:pStyle w:val="TableParagraph"/>
              <w:ind w:right="114"/>
              <w:rPr>
                <w:sz w:val="21"/>
              </w:rPr>
            </w:pPr>
            <w:r>
              <w:rPr>
                <w:spacing w:val="-4"/>
                <w:sz w:val="21"/>
              </w:rPr>
              <w:t>1.09</w:t>
            </w:r>
          </w:p>
        </w:tc>
      </w:tr>
      <w:tr w14:paraId="6A62A3CD" w14:textId="77777777">
        <w:tblPrEx>
          <w:tblW w:w="0" w:type="auto"/>
          <w:tblInd w:w="482" w:type="dxa"/>
          <w:tblLayout w:type="fixed"/>
          <w:tblCellMar>
            <w:left w:w="0" w:type="dxa"/>
            <w:right w:w="0" w:type="dxa"/>
          </w:tblCellMar>
          <w:tblLook w:val="01E0"/>
        </w:tblPrEx>
        <w:trPr>
          <w:trHeight w:val="286"/>
        </w:trPr>
        <w:tc>
          <w:tcPr>
            <w:tcW w:w="4969" w:type="dxa"/>
          </w:tcPr>
          <w:p w:rsidR="003F5784" w14:paraId="2A44C06B" w14:textId="77777777">
            <w:pPr>
              <w:pStyle w:val="TableParagraph"/>
              <w:ind w:left="120"/>
              <w:jc w:val="left"/>
              <w:rPr>
                <w:sz w:val="21"/>
              </w:rPr>
            </w:pPr>
            <w:r>
              <w:rPr>
                <w:spacing w:val="-2"/>
                <w:sz w:val="21"/>
              </w:rPr>
              <w:t>Nevada</w:t>
            </w:r>
          </w:p>
        </w:tc>
        <w:tc>
          <w:tcPr>
            <w:tcW w:w="3289" w:type="dxa"/>
          </w:tcPr>
          <w:p w:rsidR="003F5784" w14:paraId="2A968591" w14:textId="77777777">
            <w:pPr>
              <w:pStyle w:val="TableParagraph"/>
              <w:ind w:right="818"/>
              <w:rPr>
                <w:sz w:val="21"/>
              </w:rPr>
            </w:pPr>
            <w:r>
              <w:rPr>
                <w:spacing w:val="-4"/>
                <w:sz w:val="21"/>
              </w:rPr>
              <w:t>0.19</w:t>
            </w:r>
          </w:p>
        </w:tc>
        <w:tc>
          <w:tcPr>
            <w:tcW w:w="2209" w:type="dxa"/>
          </w:tcPr>
          <w:p w:rsidR="003F5784" w14:paraId="6B8ECF99" w14:textId="77777777">
            <w:pPr>
              <w:pStyle w:val="TableParagraph"/>
              <w:ind w:left="821"/>
              <w:jc w:val="left"/>
              <w:rPr>
                <w:sz w:val="21"/>
              </w:rPr>
            </w:pPr>
            <w:r>
              <w:rPr>
                <w:spacing w:val="-4"/>
                <w:sz w:val="21"/>
              </w:rPr>
              <w:t>0.21</w:t>
            </w:r>
          </w:p>
        </w:tc>
        <w:tc>
          <w:tcPr>
            <w:tcW w:w="2209" w:type="dxa"/>
          </w:tcPr>
          <w:p w:rsidR="003F5784" w14:paraId="60BF0073" w14:textId="77777777">
            <w:pPr>
              <w:pStyle w:val="TableParagraph"/>
              <w:ind w:right="816"/>
              <w:rPr>
                <w:sz w:val="21"/>
              </w:rPr>
            </w:pPr>
            <w:r>
              <w:rPr>
                <w:spacing w:val="-4"/>
                <w:sz w:val="21"/>
              </w:rPr>
              <w:t>0.60</w:t>
            </w:r>
          </w:p>
        </w:tc>
        <w:tc>
          <w:tcPr>
            <w:tcW w:w="1305" w:type="dxa"/>
          </w:tcPr>
          <w:p w:rsidR="003F5784" w14:paraId="1A813889" w14:textId="77777777">
            <w:pPr>
              <w:pStyle w:val="TableParagraph"/>
              <w:ind w:right="114"/>
              <w:rPr>
                <w:sz w:val="21"/>
              </w:rPr>
            </w:pPr>
            <w:r>
              <w:rPr>
                <w:spacing w:val="-4"/>
                <w:sz w:val="21"/>
              </w:rPr>
              <w:t>0.95</w:t>
            </w:r>
          </w:p>
        </w:tc>
      </w:tr>
      <w:tr w14:paraId="0A01E56D" w14:textId="77777777">
        <w:tblPrEx>
          <w:tblW w:w="0" w:type="auto"/>
          <w:tblInd w:w="482" w:type="dxa"/>
          <w:tblLayout w:type="fixed"/>
          <w:tblCellMar>
            <w:left w:w="0" w:type="dxa"/>
            <w:right w:w="0" w:type="dxa"/>
          </w:tblCellMar>
          <w:tblLook w:val="01E0"/>
        </w:tblPrEx>
        <w:trPr>
          <w:trHeight w:val="286"/>
        </w:trPr>
        <w:tc>
          <w:tcPr>
            <w:tcW w:w="4969" w:type="dxa"/>
          </w:tcPr>
          <w:p w:rsidR="003F5784" w14:paraId="6532ECFA" w14:textId="77777777">
            <w:pPr>
              <w:pStyle w:val="TableParagraph"/>
              <w:ind w:left="120"/>
              <w:jc w:val="left"/>
              <w:rPr>
                <w:sz w:val="21"/>
              </w:rPr>
            </w:pPr>
            <w:r>
              <w:rPr>
                <w:sz w:val="21"/>
              </w:rPr>
              <w:t>New</w:t>
            </w:r>
            <w:r>
              <w:rPr>
                <w:spacing w:val="-5"/>
                <w:sz w:val="21"/>
              </w:rPr>
              <w:t xml:space="preserve"> </w:t>
            </w:r>
            <w:r>
              <w:rPr>
                <w:spacing w:val="-2"/>
                <w:sz w:val="21"/>
              </w:rPr>
              <w:t>Hampshire</w:t>
            </w:r>
          </w:p>
        </w:tc>
        <w:tc>
          <w:tcPr>
            <w:tcW w:w="3289" w:type="dxa"/>
          </w:tcPr>
          <w:p w:rsidR="003F5784" w14:paraId="6DBA162C" w14:textId="77777777">
            <w:pPr>
              <w:pStyle w:val="TableParagraph"/>
              <w:ind w:right="818"/>
              <w:rPr>
                <w:sz w:val="21"/>
              </w:rPr>
            </w:pPr>
            <w:r>
              <w:rPr>
                <w:spacing w:val="-4"/>
                <w:sz w:val="21"/>
              </w:rPr>
              <w:t>0.04</w:t>
            </w:r>
          </w:p>
        </w:tc>
        <w:tc>
          <w:tcPr>
            <w:tcW w:w="2209" w:type="dxa"/>
          </w:tcPr>
          <w:p w:rsidR="003F5784" w14:paraId="16F190A5" w14:textId="77777777">
            <w:pPr>
              <w:pStyle w:val="TableParagraph"/>
              <w:ind w:left="821"/>
              <w:jc w:val="left"/>
              <w:rPr>
                <w:sz w:val="21"/>
              </w:rPr>
            </w:pPr>
            <w:r>
              <w:rPr>
                <w:spacing w:val="-4"/>
                <w:sz w:val="21"/>
              </w:rPr>
              <w:t>0.08</w:t>
            </w:r>
          </w:p>
        </w:tc>
        <w:tc>
          <w:tcPr>
            <w:tcW w:w="2209" w:type="dxa"/>
          </w:tcPr>
          <w:p w:rsidR="003F5784" w14:paraId="4C46CAC1" w14:textId="77777777">
            <w:pPr>
              <w:pStyle w:val="TableParagraph"/>
              <w:ind w:right="816"/>
              <w:rPr>
                <w:sz w:val="21"/>
              </w:rPr>
            </w:pPr>
            <w:r>
              <w:rPr>
                <w:spacing w:val="-4"/>
                <w:sz w:val="21"/>
              </w:rPr>
              <w:t>0.09</w:t>
            </w:r>
          </w:p>
        </w:tc>
        <w:tc>
          <w:tcPr>
            <w:tcW w:w="1305" w:type="dxa"/>
          </w:tcPr>
          <w:p w:rsidR="003F5784" w14:paraId="52DD2C86" w14:textId="77777777">
            <w:pPr>
              <w:pStyle w:val="TableParagraph"/>
              <w:ind w:right="114"/>
              <w:rPr>
                <w:sz w:val="21"/>
              </w:rPr>
            </w:pPr>
            <w:r>
              <w:rPr>
                <w:spacing w:val="-4"/>
                <w:sz w:val="21"/>
              </w:rPr>
              <w:t>0.05</w:t>
            </w:r>
          </w:p>
        </w:tc>
      </w:tr>
      <w:tr w14:paraId="5624F4BB" w14:textId="77777777">
        <w:tblPrEx>
          <w:tblW w:w="0" w:type="auto"/>
          <w:tblInd w:w="482" w:type="dxa"/>
          <w:tblLayout w:type="fixed"/>
          <w:tblCellMar>
            <w:left w:w="0" w:type="dxa"/>
            <w:right w:w="0" w:type="dxa"/>
          </w:tblCellMar>
          <w:tblLook w:val="01E0"/>
        </w:tblPrEx>
        <w:trPr>
          <w:trHeight w:val="286"/>
        </w:trPr>
        <w:tc>
          <w:tcPr>
            <w:tcW w:w="4969" w:type="dxa"/>
          </w:tcPr>
          <w:p w:rsidR="003F5784" w14:paraId="05CB4AC9" w14:textId="77777777">
            <w:pPr>
              <w:pStyle w:val="TableParagraph"/>
              <w:ind w:left="120"/>
              <w:jc w:val="left"/>
              <w:rPr>
                <w:sz w:val="21"/>
              </w:rPr>
            </w:pPr>
            <w:r>
              <w:rPr>
                <w:sz w:val="21"/>
              </w:rPr>
              <w:t>New</w:t>
            </w:r>
            <w:r>
              <w:rPr>
                <w:spacing w:val="-5"/>
                <w:sz w:val="21"/>
              </w:rPr>
              <w:t xml:space="preserve"> </w:t>
            </w:r>
            <w:r>
              <w:rPr>
                <w:spacing w:val="-2"/>
                <w:sz w:val="21"/>
              </w:rPr>
              <w:t>Jersey</w:t>
            </w:r>
          </w:p>
        </w:tc>
        <w:tc>
          <w:tcPr>
            <w:tcW w:w="3289" w:type="dxa"/>
          </w:tcPr>
          <w:p w:rsidR="003F5784" w14:paraId="6300BFBC" w14:textId="77777777">
            <w:pPr>
              <w:pStyle w:val="TableParagraph"/>
              <w:ind w:right="818"/>
              <w:rPr>
                <w:sz w:val="21"/>
              </w:rPr>
            </w:pPr>
            <w:r>
              <w:rPr>
                <w:spacing w:val="-4"/>
                <w:sz w:val="21"/>
              </w:rPr>
              <w:t>0.25</w:t>
            </w:r>
          </w:p>
        </w:tc>
        <w:tc>
          <w:tcPr>
            <w:tcW w:w="2209" w:type="dxa"/>
          </w:tcPr>
          <w:p w:rsidR="003F5784" w14:paraId="2EC86A69" w14:textId="77777777">
            <w:pPr>
              <w:pStyle w:val="TableParagraph"/>
              <w:ind w:left="821"/>
              <w:jc w:val="left"/>
              <w:rPr>
                <w:sz w:val="21"/>
              </w:rPr>
            </w:pPr>
            <w:r>
              <w:rPr>
                <w:spacing w:val="-4"/>
                <w:sz w:val="21"/>
              </w:rPr>
              <w:t>0.04</w:t>
            </w:r>
          </w:p>
        </w:tc>
        <w:tc>
          <w:tcPr>
            <w:tcW w:w="2209" w:type="dxa"/>
          </w:tcPr>
          <w:p w:rsidR="003F5784" w14:paraId="59A71330" w14:textId="77777777">
            <w:pPr>
              <w:pStyle w:val="TableParagraph"/>
              <w:ind w:right="816"/>
              <w:rPr>
                <w:sz w:val="21"/>
              </w:rPr>
            </w:pPr>
            <w:r>
              <w:rPr>
                <w:spacing w:val="-4"/>
                <w:sz w:val="21"/>
              </w:rPr>
              <w:t>0.15</w:t>
            </w:r>
          </w:p>
        </w:tc>
        <w:tc>
          <w:tcPr>
            <w:tcW w:w="1305" w:type="dxa"/>
          </w:tcPr>
          <w:p w:rsidR="003F5784" w14:paraId="7997F87E" w14:textId="77777777">
            <w:pPr>
              <w:pStyle w:val="TableParagraph"/>
              <w:ind w:right="114"/>
              <w:rPr>
                <w:sz w:val="21"/>
              </w:rPr>
            </w:pPr>
            <w:r>
              <w:rPr>
                <w:spacing w:val="-4"/>
                <w:sz w:val="21"/>
              </w:rPr>
              <w:t>0.21</w:t>
            </w:r>
          </w:p>
        </w:tc>
      </w:tr>
      <w:tr w14:paraId="5B98C20D" w14:textId="77777777">
        <w:tblPrEx>
          <w:tblW w:w="0" w:type="auto"/>
          <w:tblInd w:w="482" w:type="dxa"/>
          <w:tblLayout w:type="fixed"/>
          <w:tblCellMar>
            <w:left w:w="0" w:type="dxa"/>
            <w:right w:w="0" w:type="dxa"/>
          </w:tblCellMar>
          <w:tblLook w:val="01E0"/>
        </w:tblPrEx>
        <w:trPr>
          <w:trHeight w:val="286"/>
        </w:trPr>
        <w:tc>
          <w:tcPr>
            <w:tcW w:w="4969" w:type="dxa"/>
          </w:tcPr>
          <w:p w:rsidR="003F5784" w14:paraId="62CD869E" w14:textId="77777777">
            <w:pPr>
              <w:pStyle w:val="TableParagraph"/>
              <w:ind w:left="120"/>
              <w:jc w:val="left"/>
              <w:rPr>
                <w:sz w:val="21"/>
              </w:rPr>
            </w:pPr>
            <w:r>
              <w:rPr>
                <w:sz w:val="21"/>
              </w:rPr>
              <w:t>New</w:t>
            </w:r>
            <w:r>
              <w:rPr>
                <w:spacing w:val="-5"/>
                <w:sz w:val="21"/>
              </w:rPr>
              <w:t xml:space="preserve"> </w:t>
            </w:r>
            <w:r>
              <w:rPr>
                <w:spacing w:val="-2"/>
                <w:sz w:val="21"/>
              </w:rPr>
              <w:t>Mexico–Albuquerque</w:t>
            </w:r>
          </w:p>
        </w:tc>
        <w:tc>
          <w:tcPr>
            <w:tcW w:w="3289" w:type="dxa"/>
          </w:tcPr>
          <w:p w:rsidR="003F5784" w14:paraId="01B24FB1" w14:textId="77777777">
            <w:pPr>
              <w:pStyle w:val="TableParagraph"/>
              <w:ind w:right="818"/>
              <w:rPr>
                <w:sz w:val="21"/>
              </w:rPr>
            </w:pPr>
            <w:r>
              <w:rPr>
                <w:spacing w:val="-4"/>
                <w:sz w:val="21"/>
              </w:rPr>
              <w:t>0.45</w:t>
            </w:r>
          </w:p>
        </w:tc>
        <w:tc>
          <w:tcPr>
            <w:tcW w:w="2209" w:type="dxa"/>
          </w:tcPr>
          <w:p w:rsidR="003F5784" w14:paraId="30A7E92E" w14:textId="77777777">
            <w:pPr>
              <w:pStyle w:val="TableParagraph"/>
              <w:ind w:left="821"/>
              <w:jc w:val="left"/>
              <w:rPr>
                <w:sz w:val="21"/>
              </w:rPr>
            </w:pPr>
            <w:r>
              <w:rPr>
                <w:spacing w:val="-4"/>
                <w:sz w:val="21"/>
              </w:rPr>
              <w:t>0.38</w:t>
            </w:r>
          </w:p>
        </w:tc>
        <w:tc>
          <w:tcPr>
            <w:tcW w:w="2209" w:type="dxa"/>
          </w:tcPr>
          <w:p w:rsidR="003F5784" w14:paraId="34A9662D" w14:textId="77777777">
            <w:pPr>
              <w:pStyle w:val="TableParagraph"/>
              <w:ind w:right="816"/>
              <w:rPr>
                <w:sz w:val="21"/>
              </w:rPr>
            </w:pPr>
            <w:r>
              <w:rPr>
                <w:spacing w:val="-4"/>
                <w:sz w:val="21"/>
              </w:rPr>
              <w:t>0.00</w:t>
            </w:r>
          </w:p>
        </w:tc>
        <w:tc>
          <w:tcPr>
            <w:tcW w:w="1305" w:type="dxa"/>
          </w:tcPr>
          <w:p w:rsidR="003F5784" w14:paraId="61C19C5F" w14:textId="77777777">
            <w:pPr>
              <w:pStyle w:val="TableParagraph"/>
              <w:ind w:right="114"/>
              <w:rPr>
                <w:sz w:val="21"/>
              </w:rPr>
            </w:pPr>
            <w:r>
              <w:rPr>
                <w:spacing w:val="-4"/>
                <w:sz w:val="21"/>
              </w:rPr>
              <w:t>0.00</w:t>
            </w:r>
          </w:p>
        </w:tc>
      </w:tr>
      <w:tr w14:paraId="0016226C" w14:textId="77777777">
        <w:tblPrEx>
          <w:tblW w:w="0" w:type="auto"/>
          <w:tblInd w:w="482" w:type="dxa"/>
          <w:tblLayout w:type="fixed"/>
          <w:tblCellMar>
            <w:left w:w="0" w:type="dxa"/>
            <w:right w:w="0" w:type="dxa"/>
          </w:tblCellMar>
          <w:tblLook w:val="01E0"/>
        </w:tblPrEx>
        <w:trPr>
          <w:trHeight w:val="286"/>
        </w:trPr>
        <w:tc>
          <w:tcPr>
            <w:tcW w:w="4969" w:type="dxa"/>
          </w:tcPr>
          <w:p w:rsidR="003F5784" w14:paraId="0E5948E3" w14:textId="77777777">
            <w:pPr>
              <w:pStyle w:val="TableParagraph"/>
              <w:ind w:left="120"/>
              <w:jc w:val="left"/>
              <w:rPr>
                <w:sz w:val="21"/>
              </w:rPr>
            </w:pPr>
            <w:r>
              <w:rPr>
                <w:sz w:val="21"/>
              </w:rPr>
              <w:t>New</w:t>
            </w:r>
            <w:r>
              <w:rPr>
                <w:spacing w:val="-5"/>
                <w:sz w:val="21"/>
              </w:rPr>
              <w:t xml:space="preserve"> </w:t>
            </w:r>
            <w:r>
              <w:rPr>
                <w:spacing w:val="-2"/>
                <w:sz w:val="21"/>
              </w:rPr>
              <w:t>Mexico</w:t>
            </w:r>
          </w:p>
        </w:tc>
        <w:tc>
          <w:tcPr>
            <w:tcW w:w="3289" w:type="dxa"/>
          </w:tcPr>
          <w:p w:rsidR="003F5784" w14:paraId="124DEFFA" w14:textId="77777777">
            <w:pPr>
              <w:pStyle w:val="TableParagraph"/>
              <w:ind w:right="818"/>
              <w:rPr>
                <w:sz w:val="21"/>
              </w:rPr>
            </w:pPr>
            <w:r>
              <w:rPr>
                <w:spacing w:val="-4"/>
                <w:sz w:val="21"/>
              </w:rPr>
              <w:t>1.71</w:t>
            </w:r>
          </w:p>
        </w:tc>
        <w:tc>
          <w:tcPr>
            <w:tcW w:w="2209" w:type="dxa"/>
          </w:tcPr>
          <w:p w:rsidR="003F5784" w14:paraId="52FC168C" w14:textId="77777777">
            <w:pPr>
              <w:pStyle w:val="TableParagraph"/>
              <w:ind w:left="821"/>
              <w:jc w:val="left"/>
              <w:rPr>
                <w:sz w:val="21"/>
              </w:rPr>
            </w:pPr>
            <w:r>
              <w:rPr>
                <w:spacing w:val="-4"/>
                <w:sz w:val="21"/>
              </w:rPr>
              <w:t>1.60</w:t>
            </w:r>
          </w:p>
        </w:tc>
        <w:tc>
          <w:tcPr>
            <w:tcW w:w="2209" w:type="dxa"/>
          </w:tcPr>
          <w:p w:rsidR="003F5784" w14:paraId="2BF9D2B3" w14:textId="77777777">
            <w:pPr>
              <w:pStyle w:val="TableParagraph"/>
              <w:ind w:right="816"/>
              <w:rPr>
                <w:sz w:val="21"/>
              </w:rPr>
            </w:pPr>
            <w:r>
              <w:rPr>
                <w:spacing w:val="-4"/>
                <w:sz w:val="21"/>
              </w:rPr>
              <w:t>2.24</w:t>
            </w:r>
          </w:p>
        </w:tc>
        <w:tc>
          <w:tcPr>
            <w:tcW w:w="1305" w:type="dxa"/>
          </w:tcPr>
          <w:p w:rsidR="003F5784" w14:paraId="2A14EEB3" w14:textId="77777777">
            <w:pPr>
              <w:pStyle w:val="TableParagraph"/>
              <w:ind w:right="114"/>
              <w:rPr>
                <w:sz w:val="21"/>
              </w:rPr>
            </w:pPr>
            <w:r>
              <w:rPr>
                <w:spacing w:val="-4"/>
                <w:sz w:val="21"/>
              </w:rPr>
              <w:t>2.65</w:t>
            </w:r>
          </w:p>
        </w:tc>
      </w:tr>
      <w:tr w14:paraId="2C2A1C67" w14:textId="77777777">
        <w:tblPrEx>
          <w:tblW w:w="0" w:type="auto"/>
          <w:tblInd w:w="482" w:type="dxa"/>
          <w:tblLayout w:type="fixed"/>
          <w:tblCellMar>
            <w:left w:w="0" w:type="dxa"/>
            <w:right w:w="0" w:type="dxa"/>
          </w:tblCellMar>
          <w:tblLook w:val="01E0"/>
        </w:tblPrEx>
        <w:trPr>
          <w:trHeight w:val="286"/>
        </w:trPr>
        <w:tc>
          <w:tcPr>
            <w:tcW w:w="4969" w:type="dxa"/>
          </w:tcPr>
          <w:p w:rsidR="003F5784" w14:paraId="6C333118" w14:textId="77777777">
            <w:pPr>
              <w:pStyle w:val="TableParagraph"/>
              <w:ind w:left="120"/>
              <w:jc w:val="left"/>
              <w:rPr>
                <w:sz w:val="21"/>
              </w:rPr>
            </w:pPr>
            <w:r>
              <w:rPr>
                <w:spacing w:val="-4"/>
                <w:sz w:val="21"/>
              </w:rPr>
              <w:t>New</w:t>
            </w:r>
            <w:r>
              <w:rPr>
                <w:spacing w:val="-9"/>
                <w:sz w:val="21"/>
              </w:rPr>
              <w:t xml:space="preserve"> </w:t>
            </w:r>
            <w:r>
              <w:rPr>
                <w:spacing w:val="-4"/>
                <w:sz w:val="21"/>
              </w:rPr>
              <w:t>York–New</w:t>
            </w:r>
            <w:r>
              <w:rPr>
                <w:spacing w:val="-9"/>
                <w:sz w:val="21"/>
              </w:rPr>
              <w:t xml:space="preserve"> </w:t>
            </w:r>
            <w:r>
              <w:rPr>
                <w:spacing w:val="-4"/>
                <w:sz w:val="21"/>
              </w:rPr>
              <w:t>York</w:t>
            </w:r>
            <w:r>
              <w:rPr>
                <w:spacing w:val="-1"/>
                <w:sz w:val="21"/>
              </w:rPr>
              <w:t xml:space="preserve"> </w:t>
            </w:r>
            <w:r>
              <w:rPr>
                <w:spacing w:val="-4"/>
                <w:sz w:val="21"/>
              </w:rPr>
              <w:t>City</w:t>
            </w:r>
          </w:p>
        </w:tc>
        <w:tc>
          <w:tcPr>
            <w:tcW w:w="3289" w:type="dxa"/>
          </w:tcPr>
          <w:p w:rsidR="003F5784" w14:paraId="02EF57D7" w14:textId="77777777">
            <w:pPr>
              <w:pStyle w:val="TableParagraph"/>
              <w:ind w:right="818"/>
              <w:rPr>
                <w:sz w:val="21"/>
              </w:rPr>
            </w:pPr>
            <w:r>
              <w:rPr>
                <w:spacing w:val="-4"/>
                <w:sz w:val="21"/>
              </w:rPr>
              <w:t>0.07</w:t>
            </w:r>
          </w:p>
        </w:tc>
        <w:tc>
          <w:tcPr>
            <w:tcW w:w="2209" w:type="dxa"/>
          </w:tcPr>
          <w:p w:rsidR="003F5784" w14:paraId="3309866F" w14:textId="77777777">
            <w:pPr>
              <w:pStyle w:val="TableParagraph"/>
              <w:ind w:left="821"/>
              <w:jc w:val="left"/>
              <w:rPr>
                <w:sz w:val="21"/>
              </w:rPr>
            </w:pPr>
            <w:r>
              <w:rPr>
                <w:spacing w:val="-4"/>
                <w:sz w:val="21"/>
              </w:rPr>
              <w:t>0.07</w:t>
            </w:r>
          </w:p>
        </w:tc>
        <w:tc>
          <w:tcPr>
            <w:tcW w:w="2209" w:type="dxa"/>
          </w:tcPr>
          <w:p w:rsidR="003F5784" w14:paraId="0F771411" w14:textId="77777777">
            <w:pPr>
              <w:pStyle w:val="TableParagraph"/>
              <w:ind w:right="816"/>
              <w:rPr>
                <w:sz w:val="21"/>
              </w:rPr>
            </w:pPr>
            <w:r>
              <w:rPr>
                <w:spacing w:val="-4"/>
                <w:sz w:val="21"/>
              </w:rPr>
              <w:t>0.13</w:t>
            </w:r>
          </w:p>
        </w:tc>
        <w:tc>
          <w:tcPr>
            <w:tcW w:w="1305" w:type="dxa"/>
          </w:tcPr>
          <w:p w:rsidR="003F5784" w14:paraId="66497C15" w14:textId="77777777">
            <w:pPr>
              <w:pStyle w:val="TableParagraph"/>
              <w:ind w:right="114"/>
              <w:rPr>
                <w:sz w:val="21"/>
              </w:rPr>
            </w:pPr>
            <w:r>
              <w:rPr>
                <w:spacing w:val="-4"/>
                <w:sz w:val="21"/>
              </w:rPr>
              <w:t>0.00</w:t>
            </w:r>
          </w:p>
        </w:tc>
      </w:tr>
      <w:tr w14:paraId="62E949DF" w14:textId="77777777">
        <w:tblPrEx>
          <w:tblW w:w="0" w:type="auto"/>
          <w:tblInd w:w="482" w:type="dxa"/>
          <w:tblLayout w:type="fixed"/>
          <w:tblCellMar>
            <w:left w:w="0" w:type="dxa"/>
            <w:right w:w="0" w:type="dxa"/>
          </w:tblCellMar>
          <w:tblLook w:val="01E0"/>
        </w:tblPrEx>
        <w:trPr>
          <w:trHeight w:val="286"/>
        </w:trPr>
        <w:tc>
          <w:tcPr>
            <w:tcW w:w="4969" w:type="dxa"/>
          </w:tcPr>
          <w:p w:rsidR="003F5784" w14:paraId="66906F09" w14:textId="77777777">
            <w:pPr>
              <w:pStyle w:val="TableParagraph"/>
              <w:ind w:left="120"/>
              <w:jc w:val="left"/>
              <w:rPr>
                <w:sz w:val="21"/>
              </w:rPr>
            </w:pPr>
            <w:r>
              <w:rPr>
                <w:sz w:val="21"/>
              </w:rPr>
              <w:t>New</w:t>
            </w:r>
            <w:r>
              <w:rPr>
                <w:spacing w:val="-13"/>
                <w:sz w:val="21"/>
              </w:rPr>
              <w:t xml:space="preserve"> </w:t>
            </w:r>
            <w:r>
              <w:rPr>
                <w:spacing w:val="-4"/>
                <w:sz w:val="21"/>
              </w:rPr>
              <w:t>York</w:t>
            </w:r>
          </w:p>
        </w:tc>
        <w:tc>
          <w:tcPr>
            <w:tcW w:w="3289" w:type="dxa"/>
          </w:tcPr>
          <w:p w:rsidR="003F5784" w14:paraId="4E00A162" w14:textId="77777777">
            <w:pPr>
              <w:pStyle w:val="TableParagraph"/>
              <w:ind w:right="818"/>
              <w:rPr>
                <w:sz w:val="21"/>
              </w:rPr>
            </w:pPr>
            <w:r>
              <w:rPr>
                <w:spacing w:val="-4"/>
                <w:sz w:val="21"/>
              </w:rPr>
              <w:t>0.09</w:t>
            </w:r>
          </w:p>
        </w:tc>
        <w:tc>
          <w:tcPr>
            <w:tcW w:w="2209" w:type="dxa"/>
          </w:tcPr>
          <w:p w:rsidR="003F5784" w14:paraId="093C02C6" w14:textId="77777777">
            <w:pPr>
              <w:pStyle w:val="TableParagraph"/>
              <w:ind w:left="821"/>
              <w:jc w:val="left"/>
              <w:rPr>
                <w:sz w:val="21"/>
              </w:rPr>
            </w:pPr>
            <w:r>
              <w:rPr>
                <w:spacing w:val="-4"/>
                <w:sz w:val="21"/>
              </w:rPr>
              <w:t>0.02</w:t>
            </w:r>
          </w:p>
        </w:tc>
        <w:tc>
          <w:tcPr>
            <w:tcW w:w="2209" w:type="dxa"/>
          </w:tcPr>
          <w:p w:rsidR="003F5784" w14:paraId="5E43150F" w14:textId="77777777">
            <w:pPr>
              <w:pStyle w:val="TableParagraph"/>
              <w:ind w:right="816"/>
              <w:rPr>
                <w:sz w:val="21"/>
              </w:rPr>
            </w:pPr>
            <w:r>
              <w:rPr>
                <w:spacing w:val="-4"/>
                <w:sz w:val="21"/>
              </w:rPr>
              <w:t>0.20</w:t>
            </w:r>
          </w:p>
        </w:tc>
        <w:tc>
          <w:tcPr>
            <w:tcW w:w="1305" w:type="dxa"/>
          </w:tcPr>
          <w:p w:rsidR="003F5784" w14:paraId="4E8BC3F4" w14:textId="77777777">
            <w:pPr>
              <w:pStyle w:val="TableParagraph"/>
              <w:ind w:right="114"/>
              <w:rPr>
                <w:sz w:val="21"/>
              </w:rPr>
            </w:pPr>
            <w:r>
              <w:rPr>
                <w:spacing w:val="-4"/>
                <w:sz w:val="21"/>
              </w:rPr>
              <w:t>0.13</w:t>
            </w:r>
          </w:p>
        </w:tc>
      </w:tr>
      <w:tr w14:paraId="3BC96E8F" w14:textId="77777777">
        <w:tblPrEx>
          <w:tblW w:w="0" w:type="auto"/>
          <w:tblInd w:w="482" w:type="dxa"/>
          <w:tblLayout w:type="fixed"/>
          <w:tblCellMar>
            <w:left w:w="0" w:type="dxa"/>
            <w:right w:w="0" w:type="dxa"/>
          </w:tblCellMar>
          <w:tblLook w:val="01E0"/>
        </w:tblPrEx>
        <w:trPr>
          <w:trHeight w:val="286"/>
        </w:trPr>
        <w:tc>
          <w:tcPr>
            <w:tcW w:w="4969" w:type="dxa"/>
          </w:tcPr>
          <w:p w:rsidR="003F5784" w14:paraId="2AC3CEDF" w14:textId="77777777">
            <w:pPr>
              <w:pStyle w:val="TableParagraph"/>
              <w:ind w:left="120"/>
              <w:jc w:val="left"/>
              <w:rPr>
                <w:sz w:val="21"/>
              </w:rPr>
            </w:pPr>
            <w:r>
              <w:rPr>
                <w:sz w:val="21"/>
              </w:rPr>
              <w:t>North</w:t>
            </w:r>
            <w:r>
              <w:rPr>
                <w:spacing w:val="-6"/>
                <w:sz w:val="21"/>
              </w:rPr>
              <w:t xml:space="preserve"> </w:t>
            </w:r>
            <w:r>
              <w:rPr>
                <w:spacing w:val="-2"/>
                <w:sz w:val="21"/>
              </w:rPr>
              <w:t>Carolina–Charlotte</w:t>
            </w:r>
          </w:p>
        </w:tc>
        <w:tc>
          <w:tcPr>
            <w:tcW w:w="3289" w:type="dxa"/>
          </w:tcPr>
          <w:p w:rsidR="003F5784" w14:paraId="34E41934" w14:textId="77777777">
            <w:pPr>
              <w:pStyle w:val="TableParagraph"/>
              <w:ind w:right="818"/>
              <w:rPr>
                <w:sz w:val="21"/>
              </w:rPr>
            </w:pPr>
            <w:r>
              <w:rPr>
                <w:spacing w:val="-4"/>
                <w:sz w:val="21"/>
              </w:rPr>
              <w:t>0.00</w:t>
            </w:r>
          </w:p>
        </w:tc>
        <w:tc>
          <w:tcPr>
            <w:tcW w:w="2209" w:type="dxa"/>
          </w:tcPr>
          <w:p w:rsidR="003F5784" w14:paraId="2DA7B1B7" w14:textId="77777777">
            <w:pPr>
              <w:pStyle w:val="TableParagraph"/>
              <w:ind w:left="829"/>
              <w:jc w:val="left"/>
              <w:rPr>
                <w:sz w:val="21"/>
              </w:rPr>
            </w:pPr>
            <w:r>
              <w:rPr>
                <w:spacing w:val="-4"/>
                <w:sz w:val="21"/>
              </w:rPr>
              <w:t>0.11</w:t>
            </w:r>
          </w:p>
        </w:tc>
        <w:tc>
          <w:tcPr>
            <w:tcW w:w="2209" w:type="dxa"/>
          </w:tcPr>
          <w:p w:rsidR="003F5784" w14:paraId="15597A72" w14:textId="77777777">
            <w:pPr>
              <w:pStyle w:val="TableParagraph"/>
              <w:ind w:right="816"/>
              <w:rPr>
                <w:sz w:val="21"/>
              </w:rPr>
            </w:pPr>
            <w:r>
              <w:rPr>
                <w:spacing w:val="-4"/>
                <w:sz w:val="21"/>
              </w:rPr>
              <w:t>0.00</w:t>
            </w:r>
          </w:p>
        </w:tc>
        <w:tc>
          <w:tcPr>
            <w:tcW w:w="1305" w:type="dxa"/>
          </w:tcPr>
          <w:p w:rsidR="003F5784" w14:paraId="24BB2D66" w14:textId="77777777">
            <w:pPr>
              <w:pStyle w:val="TableParagraph"/>
              <w:ind w:right="114"/>
              <w:rPr>
                <w:sz w:val="21"/>
              </w:rPr>
            </w:pPr>
            <w:r>
              <w:rPr>
                <w:spacing w:val="-4"/>
                <w:sz w:val="21"/>
              </w:rPr>
              <w:t>0.00</w:t>
            </w:r>
          </w:p>
        </w:tc>
      </w:tr>
      <w:tr w14:paraId="7CB875FC" w14:textId="77777777">
        <w:tblPrEx>
          <w:tblW w:w="0" w:type="auto"/>
          <w:tblInd w:w="482" w:type="dxa"/>
          <w:tblLayout w:type="fixed"/>
          <w:tblCellMar>
            <w:left w:w="0" w:type="dxa"/>
            <w:right w:w="0" w:type="dxa"/>
          </w:tblCellMar>
          <w:tblLook w:val="01E0"/>
        </w:tblPrEx>
        <w:trPr>
          <w:trHeight w:val="286"/>
        </w:trPr>
        <w:tc>
          <w:tcPr>
            <w:tcW w:w="4969" w:type="dxa"/>
          </w:tcPr>
          <w:p w:rsidR="003F5784" w14:paraId="39A328E2" w14:textId="77777777">
            <w:pPr>
              <w:pStyle w:val="TableParagraph"/>
              <w:ind w:left="120"/>
              <w:jc w:val="left"/>
              <w:rPr>
                <w:sz w:val="21"/>
              </w:rPr>
            </w:pPr>
            <w:r>
              <w:rPr>
                <w:sz w:val="21"/>
              </w:rPr>
              <w:t>North</w:t>
            </w:r>
            <w:r>
              <w:rPr>
                <w:spacing w:val="-12"/>
                <w:sz w:val="21"/>
              </w:rPr>
              <w:t xml:space="preserve"> </w:t>
            </w:r>
            <w:r>
              <w:rPr>
                <w:sz w:val="21"/>
              </w:rPr>
              <w:t>Carolina–Guilford</w:t>
            </w:r>
            <w:r>
              <w:rPr>
                <w:spacing w:val="-11"/>
                <w:sz w:val="21"/>
              </w:rPr>
              <w:t xml:space="preserve"> </w:t>
            </w:r>
            <w:r>
              <w:rPr>
                <w:spacing w:val="-2"/>
                <w:sz w:val="21"/>
              </w:rPr>
              <w:t>County</w:t>
            </w:r>
          </w:p>
        </w:tc>
        <w:tc>
          <w:tcPr>
            <w:tcW w:w="3289" w:type="dxa"/>
          </w:tcPr>
          <w:p w:rsidR="003F5784" w14:paraId="43644423" w14:textId="77777777">
            <w:pPr>
              <w:pStyle w:val="TableParagraph"/>
              <w:ind w:right="818"/>
              <w:rPr>
                <w:sz w:val="21"/>
              </w:rPr>
            </w:pPr>
            <w:r>
              <w:rPr>
                <w:spacing w:val="-4"/>
                <w:sz w:val="21"/>
              </w:rPr>
              <w:t>0.00</w:t>
            </w:r>
          </w:p>
        </w:tc>
        <w:tc>
          <w:tcPr>
            <w:tcW w:w="2209" w:type="dxa"/>
          </w:tcPr>
          <w:p w:rsidR="003F5784" w14:paraId="7896CAFA" w14:textId="77777777">
            <w:pPr>
              <w:pStyle w:val="TableParagraph"/>
              <w:ind w:left="821"/>
              <w:jc w:val="left"/>
              <w:rPr>
                <w:sz w:val="21"/>
              </w:rPr>
            </w:pPr>
            <w:r>
              <w:rPr>
                <w:spacing w:val="-4"/>
                <w:sz w:val="21"/>
              </w:rPr>
              <w:t>0.00</w:t>
            </w:r>
          </w:p>
        </w:tc>
        <w:tc>
          <w:tcPr>
            <w:tcW w:w="2209" w:type="dxa"/>
          </w:tcPr>
          <w:p w:rsidR="003F5784" w14:paraId="4BF5D7F9" w14:textId="77777777">
            <w:pPr>
              <w:pStyle w:val="TableParagraph"/>
              <w:ind w:right="816"/>
              <w:rPr>
                <w:sz w:val="21"/>
              </w:rPr>
            </w:pPr>
            <w:r>
              <w:rPr>
                <w:spacing w:val="-4"/>
                <w:sz w:val="21"/>
              </w:rPr>
              <w:t>0.00</w:t>
            </w:r>
          </w:p>
        </w:tc>
        <w:tc>
          <w:tcPr>
            <w:tcW w:w="1305" w:type="dxa"/>
          </w:tcPr>
          <w:p w:rsidR="003F5784" w14:paraId="316B4EBD" w14:textId="77777777">
            <w:pPr>
              <w:pStyle w:val="TableParagraph"/>
              <w:ind w:right="114"/>
              <w:rPr>
                <w:sz w:val="21"/>
              </w:rPr>
            </w:pPr>
            <w:r>
              <w:rPr>
                <w:spacing w:val="-4"/>
                <w:sz w:val="21"/>
              </w:rPr>
              <w:t>0.00</w:t>
            </w:r>
          </w:p>
        </w:tc>
      </w:tr>
      <w:tr w14:paraId="4C774452" w14:textId="77777777">
        <w:tblPrEx>
          <w:tblW w:w="0" w:type="auto"/>
          <w:tblInd w:w="482" w:type="dxa"/>
          <w:tblLayout w:type="fixed"/>
          <w:tblCellMar>
            <w:left w:w="0" w:type="dxa"/>
            <w:right w:w="0" w:type="dxa"/>
          </w:tblCellMar>
          <w:tblLook w:val="01E0"/>
        </w:tblPrEx>
        <w:trPr>
          <w:trHeight w:val="286"/>
        </w:trPr>
        <w:tc>
          <w:tcPr>
            <w:tcW w:w="4969" w:type="dxa"/>
          </w:tcPr>
          <w:p w:rsidR="003F5784" w14:paraId="4B932FC5" w14:textId="77777777">
            <w:pPr>
              <w:pStyle w:val="TableParagraph"/>
              <w:ind w:left="120"/>
              <w:jc w:val="left"/>
              <w:rPr>
                <w:sz w:val="21"/>
              </w:rPr>
            </w:pPr>
            <w:r>
              <w:rPr>
                <w:sz w:val="21"/>
              </w:rPr>
              <w:t>North</w:t>
            </w:r>
            <w:r>
              <w:rPr>
                <w:spacing w:val="-6"/>
                <w:sz w:val="21"/>
              </w:rPr>
              <w:t xml:space="preserve"> </w:t>
            </w:r>
            <w:r>
              <w:rPr>
                <w:spacing w:val="-2"/>
                <w:sz w:val="21"/>
              </w:rPr>
              <w:t>Carolina</w:t>
            </w:r>
          </w:p>
        </w:tc>
        <w:tc>
          <w:tcPr>
            <w:tcW w:w="3289" w:type="dxa"/>
          </w:tcPr>
          <w:p w:rsidR="003F5784" w14:paraId="689C6FB5" w14:textId="77777777">
            <w:pPr>
              <w:pStyle w:val="TableParagraph"/>
              <w:ind w:right="818"/>
              <w:rPr>
                <w:sz w:val="21"/>
              </w:rPr>
            </w:pPr>
            <w:r>
              <w:rPr>
                <w:spacing w:val="-4"/>
                <w:sz w:val="21"/>
              </w:rPr>
              <w:t>0.58</w:t>
            </w:r>
          </w:p>
        </w:tc>
        <w:tc>
          <w:tcPr>
            <w:tcW w:w="2209" w:type="dxa"/>
          </w:tcPr>
          <w:p w:rsidR="003F5784" w14:paraId="5476561C" w14:textId="77777777">
            <w:pPr>
              <w:pStyle w:val="TableParagraph"/>
              <w:ind w:left="821"/>
              <w:jc w:val="left"/>
              <w:rPr>
                <w:sz w:val="21"/>
              </w:rPr>
            </w:pPr>
            <w:r>
              <w:rPr>
                <w:spacing w:val="-4"/>
                <w:sz w:val="21"/>
              </w:rPr>
              <w:t>1.05</w:t>
            </w:r>
          </w:p>
        </w:tc>
        <w:tc>
          <w:tcPr>
            <w:tcW w:w="2209" w:type="dxa"/>
          </w:tcPr>
          <w:p w:rsidR="003F5784" w14:paraId="5AD24477" w14:textId="77777777">
            <w:pPr>
              <w:pStyle w:val="TableParagraph"/>
              <w:ind w:right="816"/>
              <w:rPr>
                <w:sz w:val="21"/>
              </w:rPr>
            </w:pPr>
            <w:r>
              <w:rPr>
                <w:spacing w:val="-4"/>
                <w:sz w:val="21"/>
              </w:rPr>
              <w:t>1.92</w:t>
            </w:r>
          </w:p>
        </w:tc>
        <w:tc>
          <w:tcPr>
            <w:tcW w:w="1305" w:type="dxa"/>
          </w:tcPr>
          <w:p w:rsidR="003F5784" w14:paraId="4F997055" w14:textId="77777777">
            <w:pPr>
              <w:pStyle w:val="TableParagraph"/>
              <w:ind w:right="114"/>
              <w:rPr>
                <w:sz w:val="21"/>
              </w:rPr>
            </w:pPr>
            <w:r>
              <w:rPr>
                <w:spacing w:val="-4"/>
                <w:sz w:val="21"/>
              </w:rPr>
              <w:t>1.45</w:t>
            </w:r>
          </w:p>
        </w:tc>
      </w:tr>
      <w:tr w14:paraId="09A7796B" w14:textId="77777777">
        <w:tblPrEx>
          <w:tblW w:w="0" w:type="auto"/>
          <w:tblInd w:w="482" w:type="dxa"/>
          <w:tblLayout w:type="fixed"/>
          <w:tblCellMar>
            <w:left w:w="0" w:type="dxa"/>
            <w:right w:w="0" w:type="dxa"/>
          </w:tblCellMar>
          <w:tblLook w:val="01E0"/>
        </w:tblPrEx>
        <w:trPr>
          <w:trHeight w:val="286"/>
        </w:trPr>
        <w:tc>
          <w:tcPr>
            <w:tcW w:w="4969" w:type="dxa"/>
          </w:tcPr>
          <w:p w:rsidR="003F5784" w14:paraId="1684D6A8" w14:textId="77777777">
            <w:pPr>
              <w:pStyle w:val="TableParagraph"/>
              <w:ind w:left="120"/>
              <w:jc w:val="left"/>
              <w:rPr>
                <w:sz w:val="21"/>
              </w:rPr>
            </w:pPr>
            <w:r>
              <w:rPr>
                <w:sz w:val="21"/>
              </w:rPr>
              <w:t>North</w:t>
            </w:r>
            <w:r>
              <w:rPr>
                <w:spacing w:val="-6"/>
                <w:sz w:val="21"/>
              </w:rPr>
              <w:t xml:space="preserve"> </w:t>
            </w:r>
            <w:r>
              <w:rPr>
                <w:spacing w:val="-2"/>
                <w:sz w:val="21"/>
              </w:rPr>
              <w:t>Dakota</w:t>
            </w:r>
          </w:p>
        </w:tc>
        <w:tc>
          <w:tcPr>
            <w:tcW w:w="3289" w:type="dxa"/>
          </w:tcPr>
          <w:p w:rsidR="003F5784" w14:paraId="012BAED8" w14:textId="77777777">
            <w:pPr>
              <w:pStyle w:val="TableParagraph"/>
              <w:ind w:right="818"/>
              <w:rPr>
                <w:sz w:val="21"/>
              </w:rPr>
            </w:pPr>
            <w:r>
              <w:rPr>
                <w:spacing w:val="-4"/>
                <w:sz w:val="21"/>
              </w:rPr>
              <w:t>0.04</w:t>
            </w:r>
          </w:p>
        </w:tc>
        <w:tc>
          <w:tcPr>
            <w:tcW w:w="2209" w:type="dxa"/>
          </w:tcPr>
          <w:p w:rsidR="003F5784" w14:paraId="03DF56B6" w14:textId="77777777">
            <w:pPr>
              <w:pStyle w:val="TableParagraph"/>
              <w:ind w:left="821"/>
              <w:jc w:val="left"/>
              <w:rPr>
                <w:sz w:val="21"/>
              </w:rPr>
            </w:pPr>
            <w:r>
              <w:rPr>
                <w:spacing w:val="-4"/>
                <w:sz w:val="21"/>
              </w:rPr>
              <w:t>0.05</w:t>
            </w:r>
          </w:p>
        </w:tc>
        <w:tc>
          <w:tcPr>
            <w:tcW w:w="2209" w:type="dxa"/>
          </w:tcPr>
          <w:p w:rsidR="003F5784" w14:paraId="2A0E271D" w14:textId="77777777">
            <w:pPr>
              <w:pStyle w:val="TableParagraph"/>
              <w:ind w:right="816"/>
              <w:rPr>
                <w:sz w:val="21"/>
              </w:rPr>
            </w:pPr>
            <w:r>
              <w:rPr>
                <w:spacing w:val="-4"/>
                <w:sz w:val="21"/>
              </w:rPr>
              <w:t>0.29</w:t>
            </w:r>
          </w:p>
        </w:tc>
        <w:tc>
          <w:tcPr>
            <w:tcW w:w="1305" w:type="dxa"/>
          </w:tcPr>
          <w:p w:rsidR="003F5784" w14:paraId="7BFF3BD6" w14:textId="77777777">
            <w:pPr>
              <w:pStyle w:val="TableParagraph"/>
              <w:ind w:right="114"/>
              <w:rPr>
                <w:sz w:val="21"/>
              </w:rPr>
            </w:pPr>
            <w:r>
              <w:rPr>
                <w:spacing w:val="-4"/>
                <w:sz w:val="21"/>
              </w:rPr>
              <w:t>0.42</w:t>
            </w:r>
          </w:p>
        </w:tc>
      </w:tr>
      <w:tr w14:paraId="26A134B8" w14:textId="77777777">
        <w:tblPrEx>
          <w:tblW w:w="0" w:type="auto"/>
          <w:tblInd w:w="482" w:type="dxa"/>
          <w:tblLayout w:type="fixed"/>
          <w:tblCellMar>
            <w:left w:w="0" w:type="dxa"/>
            <w:right w:w="0" w:type="dxa"/>
          </w:tblCellMar>
          <w:tblLook w:val="01E0"/>
        </w:tblPrEx>
        <w:trPr>
          <w:trHeight w:val="286"/>
        </w:trPr>
        <w:tc>
          <w:tcPr>
            <w:tcW w:w="4969" w:type="dxa"/>
          </w:tcPr>
          <w:p w:rsidR="003F5784" w14:paraId="78E9B2B1" w14:textId="77777777">
            <w:pPr>
              <w:pStyle w:val="TableParagraph"/>
              <w:ind w:left="120"/>
              <w:jc w:val="left"/>
              <w:rPr>
                <w:sz w:val="21"/>
              </w:rPr>
            </w:pPr>
            <w:r>
              <w:rPr>
                <w:spacing w:val="-2"/>
                <w:sz w:val="21"/>
              </w:rPr>
              <w:t>Ohio–Cleveland</w:t>
            </w:r>
          </w:p>
        </w:tc>
        <w:tc>
          <w:tcPr>
            <w:tcW w:w="3289" w:type="dxa"/>
          </w:tcPr>
          <w:p w:rsidR="003F5784" w14:paraId="387932AD" w14:textId="77777777">
            <w:pPr>
              <w:pStyle w:val="TableParagraph"/>
              <w:ind w:right="818"/>
              <w:rPr>
                <w:sz w:val="21"/>
              </w:rPr>
            </w:pPr>
            <w:r>
              <w:rPr>
                <w:spacing w:val="-4"/>
                <w:sz w:val="21"/>
              </w:rPr>
              <w:t>0.12</w:t>
            </w:r>
          </w:p>
        </w:tc>
        <w:tc>
          <w:tcPr>
            <w:tcW w:w="2209" w:type="dxa"/>
          </w:tcPr>
          <w:p w:rsidR="003F5784" w14:paraId="1C99F2CA" w14:textId="77777777">
            <w:pPr>
              <w:pStyle w:val="TableParagraph"/>
              <w:ind w:left="821"/>
              <w:jc w:val="left"/>
              <w:rPr>
                <w:sz w:val="21"/>
              </w:rPr>
            </w:pPr>
            <w:r>
              <w:rPr>
                <w:spacing w:val="-4"/>
                <w:sz w:val="21"/>
              </w:rPr>
              <w:t>0.23</w:t>
            </w:r>
          </w:p>
        </w:tc>
        <w:tc>
          <w:tcPr>
            <w:tcW w:w="2209" w:type="dxa"/>
          </w:tcPr>
          <w:p w:rsidR="003F5784" w14:paraId="5903DDFD" w14:textId="77777777">
            <w:pPr>
              <w:pStyle w:val="TableParagraph"/>
              <w:ind w:right="816"/>
              <w:rPr>
                <w:sz w:val="21"/>
              </w:rPr>
            </w:pPr>
            <w:r>
              <w:rPr>
                <w:spacing w:val="-4"/>
                <w:sz w:val="21"/>
              </w:rPr>
              <w:t>0.34</w:t>
            </w:r>
          </w:p>
        </w:tc>
        <w:tc>
          <w:tcPr>
            <w:tcW w:w="1305" w:type="dxa"/>
          </w:tcPr>
          <w:p w:rsidR="003F5784" w14:paraId="04680C01" w14:textId="77777777">
            <w:pPr>
              <w:pStyle w:val="TableParagraph"/>
              <w:ind w:right="114"/>
              <w:rPr>
                <w:sz w:val="21"/>
              </w:rPr>
            </w:pPr>
            <w:r>
              <w:rPr>
                <w:spacing w:val="-4"/>
                <w:sz w:val="21"/>
              </w:rPr>
              <w:t>0.22</w:t>
            </w:r>
          </w:p>
        </w:tc>
      </w:tr>
      <w:tr w14:paraId="03CBB801" w14:textId="77777777">
        <w:tblPrEx>
          <w:tblW w:w="0" w:type="auto"/>
          <w:tblInd w:w="482" w:type="dxa"/>
          <w:tblLayout w:type="fixed"/>
          <w:tblCellMar>
            <w:left w:w="0" w:type="dxa"/>
            <w:right w:w="0" w:type="dxa"/>
          </w:tblCellMar>
          <w:tblLook w:val="01E0"/>
        </w:tblPrEx>
        <w:trPr>
          <w:trHeight w:val="286"/>
        </w:trPr>
        <w:tc>
          <w:tcPr>
            <w:tcW w:w="4969" w:type="dxa"/>
          </w:tcPr>
          <w:p w:rsidR="003F5784" w14:paraId="11702CB8" w14:textId="77777777">
            <w:pPr>
              <w:pStyle w:val="TableParagraph"/>
              <w:ind w:left="120"/>
              <w:jc w:val="left"/>
              <w:rPr>
                <w:sz w:val="21"/>
              </w:rPr>
            </w:pPr>
            <w:r>
              <w:rPr>
                <w:spacing w:val="-4"/>
                <w:sz w:val="21"/>
              </w:rPr>
              <w:t>Ohio</w:t>
            </w:r>
          </w:p>
        </w:tc>
        <w:tc>
          <w:tcPr>
            <w:tcW w:w="3289" w:type="dxa"/>
          </w:tcPr>
          <w:p w:rsidR="003F5784" w14:paraId="17705953" w14:textId="77777777">
            <w:pPr>
              <w:pStyle w:val="TableParagraph"/>
              <w:ind w:right="818"/>
              <w:rPr>
                <w:sz w:val="21"/>
              </w:rPr>
            </w:pPr>
            <w:r>
              <w:rPr>
                <w:spacing w:val="-4"/>
                <w:sz w:val="21"/>
              </w:rPr>
              <w:t>0.22</w:t>
            </w:r>
          </w:p>
        </w:tc>
        <w:tc>
          <w:tcPr>
            <w:tcW w:w="2209" w:type="dxa"/>
          </w:tcPr>
          <w:p w:rsidR="003F5784" w14:paraId="4C1F8DC2" w14:textId="77777777">
            <w:pPr>
              <w:pStyle w:val="TableParagraph"/>
              <w:ind w:left="821"/>
              <w:jc w:val="left"/>
              <w:rPr>
                <w:sz w:val="21"/>
              </w:rPr>
            </w:pPr>
            <w:r>
              <w:rPr>
                <w:spacing w:val="-4"/>
                <w:sz w:val="21"/>
              </w:rPr>
              <w:t>0.06</w:t>
            </w:r>
          </w:p>
        </w:tc>
        <w:tc>
          <w:tcPr>
            <w:tcW w:w="2209" w:type="dxa"/>
          </w:tcPr>
          <w:p w:rsidR="003F5784" w14:paraId="718E25B0" w14:textId="77777777">
            <w:pPr>
              <w:pStyle w:val="TableParagraph"/>
              <w:ind w:right="816"/>
              <w:rPr>
                <w:sz w:val="21"/>
              </w:rPr>
            </w:pPr>
            <w:r>
              <w:rPr>
                <w:spacing w:val="-4"/>
                <w:sz w:val="21"/>
              </w:rPr>
              <w:t>0.87</w:t>
            </w:r>
          </w:p>
        </w:tc>
        <w:tc>
          <w:tcPr>
            <w:tcW w:w="1305" w:type="dxa"/>
          </w:tcPr>
          <w:p w:rsidR="003F5784" w14:paraId="7548C573" w14:textId="77777777">
            <w:pPr>
              <w:pStyle w:val="TableParagraph"/>
              <w:ind w:right="114"/>
              <w:rPr>
                <w:sz w:val="21"/>
              </w:rPr>
            </w:pPr>
            <w:r>
              <w:rPr>
                <w:spacing w:val="-4"/>
                <w:sz w:val="21"/>
              </w:rPr>
              <w:t>0.96</w:t>
            </w:r>
          </w:p>
        </w:tc>
      </w:tr>
      <w:tr w14:paraId="4F1A5090" w14:textId="77777777">
        <w:tblPrEx>
          <w:tblW w:w="0" w:type="auto"/>
          <w:tblInd w:w="482" w:type="dxa"/>
          <w:tblLayout w:type="fixed"/>
          <w:tblCellMar>
            <w:left w:w="0" w:type="dxa"/>
            <w:right w:w="0" w:type="dxa"/>
          </w:tblCellMar>
          <w:tblLook w:val="01E0"/>
        </w:tblPrEx>
        <w:trPr>
          <w:trHeight w:val="286"/>
        </w:trPr>
        <w:tc>
          <w:tcPr>
            <w:tcW w:w="4969" w:type="dxa"/>
          </w:tcPr>
          <w:p w:rsidR="003F5784" w14:paraId="395EAF24" w14:textId="77777777">
            <w:pPr>
              <w:pStyle w:val="TableParagraph"/>
              <w:ind w:left="120"/>
              <w:jc w:val="left"/>
              <w:rPr>
                <w:sz w:val="21"/>
              </w:rPr>
            </w:pPr>
            <w:r>
              <w:rPr>
                <w:spacing w:val="-2"/>
                <w:sz w:val="21"/>
              </w:rPr>
              <w:t>Oklahoma</w:t>
            </w:r>
          </w:p>
        </w:tc>
        <w:tc>
          <w:tcPr>
            <w:tcW w:w="3289" w:type="dxa"/>
          </w:tcPr>
          <w:p w:rsidR="003F5784" w14:paraId="0071DB70" w14:textId="77777777">
            <w:pPr>
              <w:pStyle w:val="TableParagraph"/>
              <w:ind w:right="818"/>
              <w:rPr>
                <w:sz w:val="21"/>
              </w:rPr>
            </w:pPr>
            <w:r>
              <w:rPr>
                <w:spacing w:val="-4"/>
                <w:sz w:val="21"/>
              </w:rPr>
              <w:t>1.05</w:t>
            </w:r>
          </w:p>
        </w:tc>
        <w:tc>
          <w:tcPr>
            <w:tcW w:w="2209" w:type="dxa"/>
          </w:tcPr>
          <w:p w:rsidR="003F5784" w14:paraId="2AFC059F" w14:textId="77777777">
            <w:pPr>
              <w:pStyle w:val="TableParagraph"/>
              <w:ind w:left="821"/>
              <w:jc w:val="left"/>
              <w:rPr>
                <w:sz w:val="21"/>
              </w:rPr>
            </w:pPr>
            <w:r>
              <w:rPr>
                <w:spacing w:val="-4"/>
                <w:sz w:val="21"/>
              </w:rPr>
              <w:t>1.20</w:t>
            </w:r>
          </w:p>
        </w:tc>
        <w:tc>
          <w:tcPr>
            <w:tcW w:w="2209" w:type="dxa"/>
          </w:tcPr>
          <w:p w:rsidR="003F5784" w14:paraId="21706581" w14:textId="77777777">
            <w:pPr>
              <w:pStyle w:val="TableParagraph"/>
              <w:ind w:right="816"/>
              <w:rPr>
                <w:sz w:val="21"/>
              </w:rPr>
            </w:pPr>
            <w:r>
              <w:rPr>
                <w:spacing w:val="-4"/>
                <w:sz w:val="21"/>
              </w:rPr>
              <w:t>2.92</w:t>
            </w:r>
          </w:p>
        </w:tc>
        <w:tc>
          <w:tcPr>
            <w:tcW w:w="1305" w:type="dxa"/>
          </w:tcPr>
          <w:p w:rsidR="003F5784" w14:paraId="6FF2C271" w14:textId="77777777">
            <w:pPr>
              <w:pStyle w:val="TableParagraph"/>
              <w:ind w:right="114"/>
              <w:rPr>
                <w:sz w:val="21"/>
              </w:rPr>
            </w:pPr>
            <w:r>
              <w:rPr>
                <w:spacing w:val="-4"/>
                <w:sz w:val="21"/>
              </w:rPr>
              <w:t>2.81</w:t>
            </w:r>
          </w:p>
        </w:tc>
      </w:tr>
      <w:tr w14:paraId="0EAEEE3B" w14:textId="77777777">
        <w:tblPrEx>
          <w:tblW w:w="0" w:type="auto"/>
          <w:tblInd w:w="482" w:type="dxa"/>
          <w:tblLayout w:type="fixed"/>
          <w:tblCellMar>
            <w:left w:w="0" w:type="dxa"/>
            <w:right w:w="0" w:type="dxa"/>
          </w:tblCellMar>
          <w:tblLook w:val="01E0"/>
        </w:tblPrEx>
        <w:trPr>
          <w:trHeight w:val="286"/>
        </w:trPr>
        <w:tc>
          <w:tcPr>
            <w:tcW w:w="4969" w:type="dxa"/>
          </w:tcPr>
          <w:p w:rsidR="003F5784" w14:paraId="3F918EF0" w14:textId="77777777">
            <w:pPr>
              <w:pStyle w:val="TableParagraph"/>
              <w:ind w:left="120"/>
              <w:jc w:val="left"/>
              <w:rPr>
                <w:sz w:val="21"/>
              </w:rPr>
            </w:pPr>
            <w:r>
              <w:rPr>
                <w:spacing w:val="-2"/>
                <w:sz w:val="21"/>
              </w:rPr>
              <w:t>Oregon</w:t>
            </w:r>
          </w:p>
        </w:tc>
        <w:tc>
          <w:tcPr>
            <w:tcW w:w="3289" w:type="dxa"/>
          </w:tcPr>
          <w:p w:rsidR="003F5784" w14:paraId="4E2552DF" w14:textId="77777777">
            <w:pPr>
              <w:pStyle w:val="TableParagraph"/>
              <w:ind w:right="818"/>
              <w:rPr>
                <w:sz w:val="21"/>
              </w:rPr>
            </w:pPr>
            <w:r>
              <w:rPr>
                <w:spacing w:val="-4"/>
                <w:sz w:val="21"/>
              </w:rPr>
              <w:t>1.51</w:t>
            </w:r>
          </w:p>
        </w:tc>
        <w:tc>
          <w:tcPr>
            <w:tcW w:w="2209" w:type="dxa"/>
          </w:tcPr>
          <w:p w:rsidR="003F5784" w14:paraId="08E90C02" w14:textId="77777777">
            <w:pPr>
              <w:pStyle w:val="TableParagraph"/>
              <w:ind w:left="821"/>
              <w:jc w:val="left"/>
              <w:rPr>
                <w:sz w:val="21"/>
              </w:rPr>
            </w:pPr>
            <w:r>
              <w:rPr>
                <w:spacing w:val="-4"/>
                <w:sz w:val="21"/>
              </w:rPr>
              <w:t>1.89</w:t>
            </w:r>
          </w:p>
        </w:tc>
        <w:tc>
          <w:tcPr>
            <w:tcW w:w="2209" w:type="dxa"/>
          </w:tcPr>
          <w:p w:rsidR="003F5784" w14:paraId="6F7E57C7" w14:textId="77777777">
            <w:pPr>
              <w:pStyle w:val="TableParagraph"/>
              <w:ind w:right="816"/>
              <w:rPr>
                <w:sz w:val="21"/>
              </w:rPr>
            </w:pPr>
            <w:r>
              <w:rPr>
                <w:spacing w:val="-4"/>
                <w:sz w:val="21"/>
              </w:rPr>
              <w:t>3.22</w:t>
            </w:r>
          </w:p>
        </w:tc>
        <w:tc>
          <w:tcPr>
            <w:tcW w:w="1305" w:type="dxa"/>
          </w:tcPr>
          <w:p w:rsidR="003F5784" w14:paraId="5CFA7031" w14:textId="77777777">
            <w:pPr>
              <w:pStyle w:val="TableParagraph"/>
              <w:ind w:right="114"/>
              <w:rPr>
                <w:sz w:val="21"/>
              </w:rPr>
            </w:pPr>
            <w:r>
              <w:rPr>
                <w:spacing w:val="-4"/>
                <w:sz w:val="21"/>
              </w:rPr>
              <w:t>3.67</w:t>
            </w:r>
          </w:p>
        </w:tc>
      </w:tr>
      <w:tr w14:paraId="620E6B35" w14:textId="77777777">
        <w:tblPrEx>
          <w:tblW w:w="0" w:type="auto"/>
          <w:tblInd w:w="482" w:type="dxa"/>
          <w:tblLayout w:type="fixed"/>
          <w:tblCellMar>
            <w:left w:w="0" w:type="dxa"/>
            <w:right w:w="0" w:type="dxa"/>
          </w:tblCellMar>
          <w:tblLook w:val="01E0"/>
        </w:tblPrEx>
        <w:trPr>
          <w:trHeight w:val="286"/>
        </w:trPr>
        <w:tc>
          <w:tcPr>
            <w:tcW w:w="4969" w:type="dxa"/>
          </w:tcPr>
          <w:p w:rsidR="003F5784" w14:paraId="67F60C85" w14:textId="77777777">
            <w:pPr>
              <w:pStyle w:val="TableParagraph"/>
              <w:ind w:left="120"/>
              <w:jc w:val="left"/>
              <w:rPr>
                <w:sz w:val="21"/>
              </w:rPr>
            </w:pPr>
            <w:r>
              <w:rPr>
                <w:spacing w:val="-2"/>
                <w:sz w:val="21"/>
              </w:rPr>
              <w:t>Pennsylvania–Philadelphia</w:t>
            </w:r>
          </w:p>
        </w:tc>
        <w:tc>
          <w:tcPr>
            <w:tcW w:w="3289" w:type="dxa"/>
          </w:tcPr>
          <w:p w:rsidR="003F5784" w14:paraId="654B4845" w14:textId="77777777">
            <w:pPr>
              <w:pStyle w:val="TableParagraph"/>
              <w:ind w:right="818"/>
              <w:rPr>
                <w:sz w:val="21"/>
              </w:rPr>
            </w:pPr>
            <w:r>
              <w:rPr>
                <w:spacing w:val="-4"/>
                <w:sz w:val="21"/>
              </w:rPr>
              <w:t>0.11</w:t>
            </w:r>
          </w:p>
        </w:tc>
        <w:tc>
          <w:tcPr>
            <w:tcW w:w="2209" w:type="dxa"/>
          </w:tcPr>
          <w:p w:rsidR="003F5784" w14:paraId="142065DF" w14:textId="77777777">
            <w:pPr>
              <w:pStyle w:val="TableParagraph"/>
              <w:ind w:left="821"/>
              <w:jc w:val="left"/>
              <w:rPr>
                <w:sz w:val="21"/>
              </w:rPr>
            </w:pPr>
            <w:r>
              <w:rPr>
                <w:spacing w:val="-4"/>
                <w:sz w:val="21"/>
              </w:rPr>
              <w:t>0.00</w:t>
            </w:r>
          </w:p>
        </w:tc>
        <w:tc>
          <w:tcPr>
            <w:tcW w:w="2209" w:type="dxa"/>
          </w:tcPr>
          <w:p w:rsidR="003F5784" w14:paraId="39F0D795" w14:textId="77777777">
            <w:pPr>
              <w:pStyle w:val="TableParagraph"/>
              <w:ind w:right="816"/>
              <w:rPr>
                <w:sz w:val="21"/>
              </w:rPr>
            </w:pPr>
            <w:r>
              <w:rPr>
                <w:spacing w:val="-4"/>
                <w:sz w:val="21"/>
              </w:rPr>
              <w:t>0.00</w:t>
            </w:r>
          </w:p>
        </w:tc>
        <w:tc>
          <w:tcPr>
            <w:tcW w:w="1305" w:type="dxa"/>
          </w:tcPr>
          <w:p w:rsidR="003F5784" w14:paraId="678B321D" w14:textId="77777777">
            <w:pPr>
              <w:pStyle w:val="TableParagraph"/>
              <w:ind w:right="114"/>
              <w:rPr>
                <w:sz w:val="21"/>
              </w:rPr>
            </w:pPr>
            <w:r>
              <w:rPr>
                <w:spacing w:val="-4"/>
                <w:sz w:val="21"/>
              </w:rPr>
              <w:t>0.00</w:t>
            </w:r>
          </w:p>
        </w:tc>
      </w:tr>
      <w:tr w14:paraId="1A34AC35" w14:textId="77777777">
        <w:tblPrEx>
          <w:tblW w:w="0" w:type="auto"/>
          <w:tblInd w:w="482" w:type="dxa"/>
          <w:tblLayout w:type="fixed"/>
          <w:tblCellMar>
            <w:left w:w="0" w:type="dxa"/>
            <w:right w:w="0" w:type="dxa"/>
          </w:tblCellMar>
          <w:tblLook w:val="01E0"/>
        </w:tblPrEx>
        <w:trPr>
          <w:trHeight w:val="286"/>
        </w:trPr>
        <w:tc>
          <w:tcPr>
            <w:tcW w:w="4969" w:type="dxa"/>
          </w:tcPr>
          <w:p w:rsidR="003F5784" w14:paraId="5E33C6F0" w14:textId="77777777">
            <w:pPr>
              <w:pStyle w:val="TableParagraph"/>
              <w:ind w:left="120"/>
              <w:jc w:val="left"/>
              <w:rPr>
                <w:sz w:val="21"/>
              </w:rPr>
            </w:pPr>
            <w:r>
              <w:rPr>
                <w:spacing w:val="-2"/>
                <w:sz w:val="21"/>
              </w:rPr>
              <w:t>Pennsylvania</w:t>
            </w:r>
          </w:p>
        </w:tc>
        <w:tc>
          <w:tcPr>
            <w:tcW w:w="3289" w:type="dxa"/>
          </w:tcPr>
          <w:p w:rsidR="003F5784" w14:paraId="0363DA9B" w14:textId="77777777">
            <w:pPr>
              <w:pStyle w:val="TableParagraph"/>
              <w:ind w:right="818"/>
              <w:rPr>
                <w:sz w:val="21"/>
              </w:rPr>
            </w:pPr>
            <w:r>
              <w:rPr>
                <w:spacing w:val="-4"/>
                <w:sz w:val="21"/>
              </w:rPr>
              <w:t>2.12</w:t>
            </w:r>
          </w:p>
        </w:tc>
        <w:tc>
          <w:tcPr>
            <w:tcW w:w="2209" w:type="dxa"/>
          </w:tcPr>
          <w:p w:rsidR="003F5784" w14:paraId="28C611A0" w14:textId="77777777">
            <w:pPr>
              <w:pStyle w:val="TableParagraph"/>
              <w:ind w:left="821"/>
              <w:jc w:val="left"/>
              <w:rPr>
                <w:sz w:val="21"/>
              </w:rPr>
            </w:pPr>
            <w:r>
              <w:rPr>
                <w:spacing w:val="-4"/>
                <w:sz w:val="21"/>
              </w:rPr>
              <w:t>2.16</w:t>
            </w:r>
          </w:p>
        </w:tc>
        <w:tc>
          <w:tcPr>
            <w:tcW w:w="2209" w:type="dxa"/>
          </w:tcPr>
          <w:p w:rsidR="003F5784" w14:paraId="519EEC22" w14:textId="77777777">
            <w:pPr>
              <w:pStyle w:val="TableParagraph"/>
              <w:ind w:right="816"/>
              <w:rPr>
                <w:sz w:val="21"/>
              </w:rPr>
            </w:pPr>
            <w:r>
              <w:rPr>
                <w:spacing w:val="-4"/>
                <w:sz w:val="21"/>
              </w:rPr>
              <w:t>3.71</w:t>
            </w:r>
          </w:p>
        </w:tc>
        <w:tc>
          <w:tcPr>
            <w:tcW w:w="1305" w:type="dxa"/>
          </w:tcPr>
          <w:p w:rsidR="003F5784" w14:paraId="58D5B95B" w14:textId="77777777">
            <w:pPr>
              <w:pStyle w:val="TableParagraph"/>
              <w:ind w:right="114"/>
              <w:rPr>
                <w:sz w:val="21"/>
              </w:rPr>
            </w:pPr>
            <w:r>
              <w:rPr>
                <w:spacing w:val="-4"/>
                <w:sz w:val="21"/>
              </w:rPr>
              <w:t>4.68</w:t>
            </w:r>
          </w:p>
        </w:tc>
      </w:tr>
      <w:tr w14:paraId="39248C2C" w14:textId="77777777">
        <w:tblPrEx>
          <w:tblW w:w="0" w:type="auto"/>
          <w:tblInd w:w="482" w:type="dxa"/>
          <w:tblLayout w:type="fixed"/>
          <w:tblCellMar>
            <w:left w:w="0" w:type="dxa"/>
            <w:right w:w="0" w:type="dxa"/>
          </w:tblCellMar>
          <w:tblLook w:val="01E0"/>
        </w:tblPrEx>
        <w:trPr>
          <w:trHeight w:val="286"/>
        </w:trPr>
        <w:tc>
          <w:tcPr>
            <w:tcW w:w="4969" w:type="dxa"/>
          </w:tcPr>
          <w:p w:rsidR="003F5784" w14:paraId="71BF200D" w14:textId="77777777">
            <w:pPr>
              <w:pStyle w:val="TableParagraph"/>
              <w:ind w:left="120"/>
              <w:jc w:val="left"/>
              <w:rPr>
                <w:sz w:val="21"/>
              </w:rPr>
            </w:pPr>
            <w:r>
              <w:rPr>
                <w:sz w:val="21"/>
              </w:rPr>
              <w:t>Rhode</w:t>
            </w:r>
            <w:r>
              <w:rPr>
                <w:spacing w:val="-7"/>
                <w:sz w:val="21"/>
              </w:rPr>
              <w:t xml:space="preserve"> </w:t>
            </w:r>
            <w:r>
              <w:rPr>
                <w:spacing w:val="-2"/>
                <w:sz w:val="21"/>
              </w:rPr>
              <w:t>Island</w:t>
            </w:r>
          </w:p>
        </w:tc>
        <w:tc>
          <w:tcPr>
            <w:tcW w:w="3289" w:type="dxa"/>
          </w:tcPr>
          <w:p w:rsidR="003F5784" w14:paraId="4C3D98C5" w14:textId="77777777">
            <w:pPr>
              <w:pStyle w:val="TableParagraph"/>
              <w:ind w:right="818"/>
              <w:rPr>
                <w:sz w:val="21"/>
              </w:rPr>
            </w:pPr>
            <w:r>
              <w:rPr>
                <w:spacing w:val="-4"/>
                <w:sz w:val="21"/>
              </w:rPr>
              <w:t>0.05</w:t>
            </w:r>
          </w:p>
        </w:tc>
        <w:tc>
          <w:tcPr>
            <w:tcW w:w="2209" w:type="dxa"/>
          </w:tcPr>
          <w:p w:rsidR="003F5784" w14:paraId="721A95C1" w14:textId="77777777">
            <w:pPr>
              <w:pStyle w:val="TableParagraph"/>
              <w:ind w:left="821"/>
              <w:jc w:val="left"/>
              <w:rPr>
                <w:sz w:val="21"/>
              </w:rPr>
            </w:pPr>
            <w:r>
              <w:rPr>
                <w:spacing w:val="-4"/>
                <w:sz w:val="21"/>
              </w:rPr>
              <w:t>0.00</w:t>
            </w:r>
          </w:p>
        </w:tc>
        <w:tc>
          <w:tcPr>
            <w:tcW w:w="2209" w:type="dxa"/>
          </w:tcPr>
          <w:p w:rsidR="003F5784" w14:paraId="00F0054D" w14:textId="77777777">
            <w:pPr>
              <w:pStyle w:val="TableParagraph"/>
              <w:ind w:right="816"/>
              <w:rPr>
                <w:sz w:val="21"/>
              </w:rPr>
            </w:pPr>
            <w:r>
              <w:rPr>
                <w:spacing w:val="-4"/>
                <w:sz w:val="21"/>
              </w:rPr>
              <w:t>0.12</w:t>
            </w:r>
          </w:p>
        </w:tc>
        <w:tc>
          <w:tcPr>
            <w:tcW w:w="1305" w:type="dxa"/>
          </w:tcPr>
          <w:p w:rsidR="003F5784" w14:paraId="13081BF0" w14:textId="77777777">
            <w:pPr>
              <w:pStyle w:val="TableParagraph"/>
              <w:ind w:right="114"/>
              <w:rPr>
                <w:sz w:val="21"/>
              </w:rPr>
            </w:pPr>
            <w:r>
              <w:rPr>
                <w:spacing w:val="-4"/>
                <w:sz w:val="21"/>
              </w:rPr>
              <w:t>0.17</w:t>
            </w:r>
          </w:p>
        </w:tc>
      </w:tr>
      <w:tr w14:paraId="3E3BB990" w14:textId="77777777">
        <w:tblPrEx>
          <w:tblW w:w="0" w:type="auto"/>
          <w:tblInd w:w="482" w:type="dxa"/>
          <w:tblLayout w:type="fixed"/>
          <w:tblCellMar>
            <w:left w:w="0" w:type="dxa"/>
            <w:right w:w="0" w:type="dxa"/>
          </w:tblCellMar>
          <w:tblLook w:val="01E0"/>
        </w:tblPrEx>
        <w:trPr>
          <w:trHeight w:val="286"/>
        </w:trPr>
        <w:tc>
          <w:tcPr>
            <w:tcW w:w="4969" w:type="dxa"/>
          </w:tcPr>
          <w:p w:rsidR="003F5784" w14:paraId="4A224BFD" w14:textId="77777777">
            <w:pPr>
              <w:pStyle w:val="TableParagraph"/>
              <w:ind w:left="120"/>
              <w:jc w:val="left"/>
              <w:rPr>
                <w:sz w:val="21"/>
              </w:rPr>
            </w:pPr>
            <w:r>
              <w:rPr>
                <w:sz w:val="21"/>
              </w:rPr>
              <w:t>South</w:t>
            </w:r>
            <w:r>
              <w:rPr>
                <w:spacing w:val="-6"/>
                <w:sz w:val="21"/>
              </w:rPr>
              <w:t xml:space="preserve"> </w:t>
            </w:r>
            <w:r>
              <w:rPr>
                <w:spacing w:val="-2"/>
                <w:sz w:val="21"/>
              </w:rPr>
              <w:t>Carolina</w:t>
            </w:r>
          </w:p>
        </w:tc>
        <w:tc>
          <w:tcPr>
            <w:tcW w:w="3289" w:type="dxa"/>
          </w:tcPr>
          <w:p w:rsidR="003F5784" w14:paraId="20C9FC88" w14:textId="77777777">
            <w:pPr>
              <w:pStyle w:val="TableParagraph"/>
              <w:ind w:right="818"/>
              <w:rPr>
                <w:sz w:val="21"/>
              </w:rPr>
            </w:pPr>
            <w:r>
              <w:rPr>
                <w:spacing w:val="-4"/>
                <w:sz w:val="21"/>
              </w:rPr>
              <w:t>1.92</w:t>
            </w:r>
          </w:p>
        </w:tc>
        <w:tc>
          <w:tcPr>
            <w:tcW w:w="2209" w:type="dxa"/>
          </w:tcPr>
          <w:p w:rsidR="003F5784" w14:paraId="7FE9BC27" w14:textId="77777777">
            <w:pPr>
              <w:pStyle w:val="TableParagraph"/>
              <w:ind w:left="821"/>
              <w:jc w:val="left"/>
              <w:rPr>
                <w:sz w:val="21"/>
              </w:rPr>
            </w:pPr>
            <w:r>
              <w:rPr>
                <w:spacing w:val="-4"/>
                <w:sz w:val="21"/>
              </w:rPr>
              <w:t>3.14</w:t>
            </w:r>
          </w:p>
        </w:tc>
        <w:tc>
          <w:tcPr>
            <w:tcW w:w="2209" w:type="dxa"/>
          </w:tcPr>
          <w:p w:rsidR="003F5784" w14:paraId="44E420B3" w14:textId="77777777">
            <w:pPr>
              <w:pStyle w:val="TableParagraph"/>
              <w:ind w:right="816"/>
              <w:rPr>
                <w:sz w:val="21"/>
              </w:rPr>
            </w:pPr>
            <w:r>
              <w:rPr>
                <w:spacing w:val="-4"/>
                <w:sz w:val="21"/>
              </w:rPr>
              <w:t>3.48</w:t>
            </w:r>
          </w:p>
        </w:tc>
        <w:tc>
          <w:tcPr>
            <w:tcW w:w="1305" w:type="dxa"/>
          </w:tcPr>
          <w:p w:rsidR="003F5784" w14:paraId="7EC748AB" w14:textId="77777777">
            <w:pPr>
              <w:pStyle w:val="TableParagraph"/>
              <w:ind w:right="114"/>
              <w:rPr>
                <w:sz w:val="21"/>
              </w:rPr>
            </w:pPr>
            <w:r>
              <w:rPr>
                <w:spacing w:val="-4"/>
                <w:sz w:val="21"/>
              </w:rPr>
              <w:t>2.41</w:t>
            </w:r>
          </w:p>
        </w:tc>
      </w:tr>
      <w:tr w14:paraId="6360AFBC" w14:textId="77777777">
        <w:tblPrEx>
          <w:tblW w:w="0" w:type="auto"/>
          <w:tblInd w:w="482" w:type="dxa"/>
          <w:tblLayout w:type="fixed"/>
          <w:tblCellMar>
            <w:left w:w="0" w:type="dxa"/>
            <w:right w:w="0" w:type="dxa"/>
          </w:tblCellMar>
          <w:tblLook w:val="01E0"/>
        </w:tblPrEx>
        <w:trPr>
          <w:trHeight w:val="286"/>
        </w:trPr>
        <w:tc>
          <w:tcPr>
            <w:tcW w:w="4969" w:type="dxa"/>
          </w:tcPr>
          <w:p w:rsidR="003F5784" w14:paraId="144AA374" w14:textId="77777777">
            <w:pPr>
              <w:pStyle w:val="TableParagraph"/>
              <w:ind w:left="120"/>
              <w:jc w:val="left"/>
              <w:rPr>
                <w:sz w:val="21"/>
              </w:rPr>
            </w:pPr>
            <w:r>
              <w:rPr>
                <w:sz w:val="21"/>
              </w:rPr>
              <w:t>South</w:t>
            </w:r>
            <w:r>
              <w:rPr>
                <w:spacing w:val="-6"/>
                <w:sz w:val="21"/>
              </w:rPr>
              <w:t xml:space="preserve"> </w:t>
            </w:r>
            <w:r>
              <w:rPr>
                <w:spacing w:val="-2"/>
                <w:sz w:val="21"/>
              </w:rPr>
              <w:t>Dakota</w:t>
            </w:r>
          </w:p>
        </w:tc>
        <w:tc>
          <w:tcPr>
            <w:tcW w:w="3289" w:type="dxa"/>
          </w:tcPr>
          <w:p w:rsidR="003F5784" w14:paraId="0E6D6053" w14:textId="77777777">
            <w:pPr>
              <w:pStyle w:val="TableParagraph"/>
              <w:ind w:right="818"/>
              <w:rPr>
                <w:sz w:val="21"/>
              </w:rPr>
            </w:pPr>
            <w:r>
              <w:rPr>
                <w:spacing w:val="-4"/>
                <w:sz w:val="21"/>
              </w:rPr>
              <w:t>0.30</w:t>
            </w:r>
          </w:p>
        </w:tc>
        <w:tc>
          <w:tcPr>
            <w:tcW w:w="2209" w:type="dxa"/>
          </w:tcPr>
          <w:p w:rsidR="003F5784" w14:paraId="1515190F" w14:textId="77777777">
            <w:pPr>
              <w:pStyle w:val="TableParagraph"/>
              <w:ind w:left="821"/>
              <w:jc w:val="left"/>
              <w:rPr>
                <w:sz w:val="21"/>
              </w:rPr>
            </w:pPr>
            <w:r>
              <w:rPr>
                <w:spacing w:val="-4"/>
                <w:sz w:val="21"/>
              </w:rPr>
              <w:t>0.05</w:t>
            </w:r>
          </w:p>
        </w:tc>
        <w:tc>
          <w:tcPr>
            <w:tcW w:w="2209" w:type="dxa"/>
          </w:tcPr>
          <w:p w:rsidR="003F5784" w14:paraId="656F242C" w14:textId="77777777">
            <w:pPr>
              <w:pStyle w:val="TableParagraph"/>
              <w:ind w:right="816"/>
              <w:rPr>
                <w:sz w:val="21"/>
              </w:rPr>
            </w:pPr>
            <w:r>
              <w:rPr>
                <w:spacing w:val="-4"/>
                <w:sz w:val="21"/>
              </w:rPr>
              <w:t>0.64</w:t>
            </w:r>
          </w:p>
        </w:tc>
        <w:tc>
          <w:tcPr>
            <w:tcW w:w="1305" w:type="dxa"/>
          </w:tcPr>
          <w:p w:rsidR="003F5784" w14:paraId="73CB9003" w14:textId="77777777">
            <w:pPr>
              <w:pStyle w:val="TableParagraph"/>
              <w:ind w:right="114"/>
              <w:rPr>
                <w:sz w:val="21"/>
              </w:rPr>
            </w:pPr>
            <w:r>
              <w:rPr>
                <w:spacing w:val="-4"/>
                <w:sz w:val="21"/>
              </w:rPr>
              <w:t>0.59</w:t>
            </w:r>
          </w:p>
        </w:tc>
      </w:tr>
      <w:tr w14:paraId="4D8EA812" w14:textId="77777777">
        <w:tblPrEx>
          <w:tblW w:w="0" w:type="auto"/>
          <w:tblInd w:w="482" w:type="dxa"/>
          <w:tblLayout w:type="fixed"/>
          <w:tblCellMar>
            <w:left w:w="0" w:type="dxa"/>
            <w:right w:w="0" w:type="dxa"/>
          </w:tblCellMar>
          <w:tblLook w:val="01E0"/>
        </w:tblPrEx>
        <w:trPr>
          <w:trHeight w:val="286"/>
        </w:trPr>
        <w:tc>
          <w:tcPr>
            <w:tcW w:w="4969" w:type="dxa"/>
          </w:tcPr>
          <w:p w:rsidR="003F5784" w14:paraId="0F42A7D3" w14:textId="77777777">
            <w:pPr>
              <w:pStyle w:val="TableParagraph"/>
              <w:ind w:left="120"/>
              <w:jc w:val="left"/>
              <w:rPr>
                <w:sz w:val="21"/>
              </w:rPr>
            </w:pPr>
            <w:r>
              <w:rPr>
                <w:spacing w:val="-2"/>
                <w:sz w:val="21"/>
              </w:rPr>
              <w:t>Tennessee–Shelby</w:t>
            </w:r>
            <w:r>
              <w:rPr>
                <w:sz w:val="21"/>
              </w:rPr>
              <w:t xml:space="preserve"> </w:t>
            </w:r>
            <w:r>
              <w:rPr>
                <w:spacing w:val="-2"/>
                <w:sz w:val="21"/>
              </w:rPr>
              <w:t>County</w:t>
            </w:r>
          </w:p>
        </w:tc>
        <w:tc>
          <w:tcPr>
            <w:tcW w:w="3289" w:type="dxa"/>
          </w:tcPr>
          <w:p w:rsidR="003F5784" w14:paraId="0B2D0C0B" w14:textId="77777777">
            <w:pPr>
              <w:pStyle w:val="TableParagraph"/>
              <w:ind w:right="818"/>
              <w:rPr>
                <w:sz w:val="21"/>
              </w:rPr>
            </w:pPr>
            <w:r>
              <w:rPr>
                <w:spacing w:val="-4"/>
                <w:sz w:val="21"/>
              </w:rPr>
              <w:t>0.00</w:t>
            </w:r>
          </w:p>
        </w:tc>
        <w:tc>
          <w:tcPr>
            <w:tcW w:w="2209" w:type="dxa"/>
          </w:tcPr>
          <w:p w:rsidR="003F5784" w14:paraId="5A33B2EC" w14:textId="77777777">
            <w:pPr>
              <w:pStyle w:val="TableParagraph"/>
              <w:ind w:left="821"/>
              <w:jc w:val="left"/>
              <w:rPr>
                <w:sz w:val="21"/>
              </w:rPr>
            </w:pPr>
            <w:r>
              <w:rPr>
                <w:spacing w:val="-4"/>
                <w:sz w:val="21"/>
              </w:rPr>
              <w:t>0.00</w:t>
            </w:r>
          </w:p>
        </w:tc>
        <w:tc>
          <w:tcPr>
            <w:tcW w:w="2209" w:type="dxa"/>
          </w:tcPr>
          <w:p w:rsidR="003F5784" w14:paraId="0C63F908" w14:textId="77777777">
            <w:pPr>
              <w:pStyle w:val="TableParagraph"/>
              <w:ind w:right="816"/>
              <w:rPr>
                <w:sz w:val="21"/>
              </w:rPr>
            </w:pPr>
            <w:r>
              <w:rPr>
                <w:spacing w:val="-4"/>
                <w:sz w:val="21"/>
              </w:rPr>
              <w:t>0.00</w:t>
            </w:r>
          </w:p>
        </w:tc>
        <w:tc>
          <w:tcPr>
            <w:tcW w:w="1305" w:type="dxa"/>
          </w:tcPr>
          <w:p w:rsidR="003F5784" w14:paraId="72554D98" w14:textId="77777777">
            <w:pPr>
              <w:pStyle w:val="TableParagraph"/>
              <w:ind w:right="114"/>
              <w:rPr>
                <w:sz w:val="21"/>
              </w:rPr>
            </w:pPr>
            <w:r>
              <w:rPr>
                <w:spacing w:val="-4"/>
                <w:sz w:val="21"/>
              </w:rPr>
              <w:t>0.00</w:t>
            </w:r>
          </w:p>
        </w:tc>
      </w:tr>
      <w:tr w14:paraId="1944C6D1" w14:textId="77777777">
        <w:tblPrEx>
          <w:tblW w:w="0" w:type="auto"/>
          <w:tblInd w:w="482" w:type="dxa"/>
          <w:tblLayout w:type="fixed"/>
          <w:tblCellMar>
            <w:left w:w="0" w:type="dxa"/>
            <w:right w:w="0" w:type="dxa"/>
          </w:tblCellMar>
          <w:tblLook w:val="01E0"/>
        </w:tblPrEx>
        <w:trPr>
          <w:trHeight w:val="286"/>
        </w:trPr>
        <w:tc>
          <w:tcPr>
            <w:tcW w:w="4969" w:type="dxa"/>
          </w:tcPr>
          <w:p w:rsidR="003F5784" w14:paraId="74D28B16" w14:textId="77777777">
            <w:pPr>
              <w:pStyle w:val="TableParagraph"/>
              <w:ind w:left="120"/>
              <w:jc w:val="left"/>
              <w:rPr>
                <w:sz w:val="21"/>
              </w:rPr>
            </w:pPr>
            <w:r>
              <w:rPr>
                <w:spacing w:val="-2"/>
                <w:sz w:val="21"/>
              </w:rPr>
              <w:t>Tennessee</w:t>
            </w:r>
          </w:p>
        </w:tc>
        <w:tc>
          <w:tcPr>
            <w:tcW w:w="3289" w:type="dxa"/>
          </w:tcPr>
          <w:p w:rsidR="003F5784" w14:paraId="4C2EAEF2" w14:textId="77777777">
            <w:pPr>
              <w:pStyle w:val="TableParagraph"/>
              <w:ind w:right="818"/>
              <w:rPr>
                <w:sz w:val="21"/>
              </w:rPr>
            </w:pPr>
            <w:r>
              <w:rPr>
                <w:spacing w:val="-4"/>
                <w:sz w:val="21"/>
              </w:rPr>
              <w:t>0.00</w:t>
            </w:r>
          </w:p>
        </w:tc>
        <w:tc>
          <w:tcPr>
            <w:tcW w:w="2209" w:type="dxa"/>
          </w:tcPr>
          <w:p w:rsidR="003F5784" w14:paraId="35FA5FBE" w14:textId="77777777">
            <w:pPr>
              <w:pStyle w:val="TableParagraph"/>
              <w:ind w:left="821"/>
              <w:jc w:val="left"/>
              <w:rPr>
                <w:sz w:val="21"/>
              </w:rPr>
            </w:pPr>
            <w:r>
              <w:rPr>
                <w:spacing w:val="-4"/>
                <w:sz w:val="21"/>
              </w:rPr>
              <w:t>0.05</w:t>
            </w:r>
          </w:p>
        </w:tc>
        <w:tc>
          <w:tcPr>
            <w:tcW w:w="2209" w:type="dxa"/>
          </w:tcPr>
          <w:p w:rsidR="003F5784" w14:paraId="6137D017" w14:textId="77777777">
            <w:pPr>
              <w:pStyle w:val="TableParagraph"/>
              <w:ind w:right="816"/>
              <w:rPr>
                <w:sz w:val="21"/>
              </w:rPr>
            </w:pPr>
            <w:r>
              <w:rPr>
                <w:spacing w:val="-4"/>
                <w:sz w:val="21"/>
              </w:rPr>
              <w:t>0.04</w:t>
            </w:r>
          </w:p>
        </w:tc>
        <w:tc>
          <w:tcPr>
            <w:tcW w:w="1305" w:type="dxa"/>
          </w:tcPr>
          <w:p w:rsidR="003F5784" w14:paraId="3536FAEB" w14:textId="77777777">
            <w:pPr>
              <w:pStyle w:val="TableParagraph"/>
              <w:ind w:right="114"/>
              <w:rPr>
                <w:sz w:val="21"/>
              </w:rPr>
            </w:pPr>
            <w:r>
              <w:rPr>
                <w:spacing w:val="-4"/>
                <w:sz w:val="21"/>
              </w:rPr>
              <w:t>0.26</w:t>
            </w:r>
          </w:p>
        </w:tc>
      </w:tr>
      <w:tr w14:paraId="7E173E62" w14:textId="77777777">
        <w:tblPrEx>
          <w:tblW w:w="0" w:type="auto"/>
          <w:tblInd w:w="482" w:type="dxa"/>
          <w:tblLayout w:type="fixed"/>
          <w:tblCellMar>
            <w:left w:w="0" w:type="dxa"/>
            <w:right w:w="0" w:type="dxa"/>
          </w:tblCellMar>
          <w:tblLook w:val="01E0"/>
        </w:tblPrEx>
        <w:trPr>
          <w:trHeight w:val="289"/>
        </w:trPr>
        <w:tc>
          <w:tcPr>
            <w:tcW w:w="4969" w:type="dxa"/>
            <w:tcBorders>
              <w:bottom w:val="single" w:sz="18" w:space="0" w:color="800000"/>
            </w:tcBorders>
          </w:tcPr>
          <w:p w:rsidR="003F5784" w14:paraId="7E8BF14D" w14:textId="77777777">
            <w:pPr>
              <w:pStyle w:val="TableParagraph"/>
              <w:ind w:left="120"/>
              <w:jc w:val="left"/>
              <w:rPr>
                <w:sz w:val="21"/>
              </w:rPr>
            </w:pPr>
            <w:r>
              <w:rPr>
                <w:spacing w:val="-2"/>
                <w:sz w:val="21"/>
              </w:rPr>
              <w:t>Texas–Austin</w:t>
            </w:r>
          </w:p>
        </w:tc>
        <w:tc>
          <w:tcPr>
            <w:tcW w:w="3289" w:type="dxa"/>
            <w:tcBorders>
              <w:bottom w:val="single" w:sz="18" w:space="0" w:color="800000"/>
            </w:tcBorders>
          </w:tcPr>
          <w:p w:rsidR="003F5784" w14:paraId="59B50BB6" w14:textId="77777777">
            <w:pPr>
              <w:pStyle w:val="TableParagraph"/>
              <w:ind w:right="818"/>
              <w:rPr>
                <w:sz w:val="21"/>
              </w:rPr>
            </w:pPr>
            <w:r>
              <w:rPr>
                <w:spacing w:val="-4"/>
                <w:sz w:val="21"/>
              </w:rPr>
              <w:t>0.11</w:t>
            </w:r>
          </w:p>
        </w:tc>
        <w:tc>
          <w:tcPr>
            <w:tcW w:w="2209" w:type="dxa"/>
            <w:tcBorders>
              <w:bottom w:val="single" w:sz="18" w:space="0" w:color="800000"/>
            </w:tcBorders>
          </w:tcPr>
          <w:p w:rsidR="003F5784" w14:paraId="118F1EF6" w14:textId="77777777">
            <w:pPr>
              <w:pStyle w:val="TableParagraph"/>
              <w:ind w:left="821"/>
              <w:jc w:val="left"/>
              <w:rPr>
                <w:sz w:val="21"/>
              </w:rPr>
            </w:pPr>
            <w:r>
              <w:rPr>
                <w:spacing w:val="-4"/>
                <w:sz w:val="21"/>
              </w:rPr>
              <w:t>0.00</w:t>
            </w:r>
          </w:p>
        </w:tc>
        <w:tc>
          <w:tcPr>
            <w:tcW w:w="2209" w:type="dxa"/>
            <w:tcBorders>
              <w:bottom w:val="single" w:sz="18" w:space="0" w:color="800000"/>
            </w:tcBorders>
          </w:tcPr>
          <w:p w:rsidR="003F5784" w14:paraId="3AA36EAD" w14:textId="77777777">
            <w:pPr>
              <w:pStyle w:val="TableParagraph"/>
              <w:ind w:right="816"/>
              <w:rPr>
                <w:sz w:val="21"/>
              </w:rPr>
            </w:pPr>
            <w:r>
              <w:rPr>
                <w:spacing w:val="-4"/>
                <w:sz w:val="21"/>
              </w:rPr>
              <w:t>0.00</w:t>
            </w:r>
          </w:p>
        </w:tc>
        <w:tc>
          <w:tcPr>
            <w:tcW w:w="1305" w:type="dxa"/>
            <w:tcBorders>
              <w:bottom w:val="single" w:sz="18" w:space="0" w:color="800000"/>
            </w:tcBorders>
          </w:tcPr>
          <w:p w:rsidR="003F5784" w14:paraId="2AD9BC3D" w14:textId="77777777">
            <w:pPr>
              <w:pStyle w:val="TableParagraph"/>
              <w:ind w:right="114"/>
              <w:rPr>
                <w:sz w:val="21"/>
              </w:rPr>
            </w:pPr>
            <w:r>
              <w:rPr>
                <w:spacing w:val="-4"/>
                <w:sz w:val="21"/>
              </w:rPr>
              <w:t>0.00</w:t>
            </w:r>
          </w:p>
        </w:tc>
      </w:tr>
    </w:tbl>
    <w:p w:rsidR="003F5784" w14:paraId="5CC127B7" w14:textId="77777777">
      <w:pPr>
        <w:pStyle w:val="BodyText"/>
        <w:spacing w:before="36"/>
        <w:ind w:left="595"/>
      </w:pPr>
      <w:r>
        <w:t>†</w:t>
      </w:r>
      <w:r>
        <w:rPr>
          <w:spacing w:val="-4"/>
        </w:rPr>
        <w:t xml:space="preserve"> </w:t>
      </w:r>
      <w:r>
        <w:t>Not</w:t>
      </w:r>
      <w:r>
        <w:rPr>
          <w:spacing w:val="-3"/>
        </w:rPr>
        <w:t xml:space="preserve"> </w:t>
      </w:r>
      <w:r>
        <w:rPr>
          <w:spacing w:val="-2"/>
        </w:rPr>
        <w:t>applicable.</w:t>
      </w:r>
    </w:p>
    <w:p w:rsidR="003F5784" w14:paraId="791D89E5" w14:textId="77777777">
      <w:pPr>
        <w:sectPr>
          <w:type w:val="continuous"/>
          <w:pgSz w:w="15840" w:h="12240" w:orient="landscape"/>
          <w:pgMar w:top="480" w:right="440" w:bottom="460" w:left="460" w:header="284" w:footer="1101" w:gutter="0"/>
          <w:cols w:space="720"/>
        </w:sectPr>
      </w:pPr>
    </w:p>
    <w:p w:rsidR="003F5784" w14:paraId="7D3FFE0A" w14:textId="77777777">
      <w:pPr>
        <w:pStyle w:val="BodyText"/>
        <w:spacing w:before="91"/>
      </w:pPr>
    </w:p>
    <w:p w:rsidR="003F5784" w14:paraId="1B01BC8C" w14:textId="77777777">
      <w:pPr>
        <w:pStyle w:val="BodyText"/>
        <w:ind w:left="595"/>
      </w:pPr>
      <w:r>
        <w:rPr>
          <w:spacing w:val="-2"/>
        </w:rPr>
        <w:t>Jurisdiction</w:t>
      </w:r>
    </w:p>
    <w:p w:rsidR="003F5784" w14:paraId="2CAB0487" w14:textId="77777777">
      <w:pPr>
        <w:pStyle w:val="BodyText"/>
        <w:spacing w:before="98" w:line="238" w:lineRule="exact"/>
        <w:jc w:val="right"/>
      </w:pPr>
      <w:r>
        <w:br w:type="column"/>
        <w:t>Grade</w:t>
      </w:r>
      <w:r>
        <w:rPr>
          <w:spacing w:val="-5"/>
        </w:rPr>
        <w:t xml:space="preserve"> </w:t>
      </w:r>
      <w:r>
        <w:t>4</w:t>
      </w:r>
      <w:r>
        <w:rPr>
          <w:spacing w:val="-4"/>
        </w:rPr>
        <w:t xml:space="preserve"> </w:t>
      </w:r>
      <w:r>
        <w:rPr>
          <w:spacing w:val="-2"/>
        </w:rPr>
        <w:t>mathematics</w:t>
      </w:r>
    </w:p>
    <w:p w:rsidR="003F5784" w14:paraId="37D97554" w14:textId="77777777">
      <w:pPr>
        <w:pStyle w:val="BodyText"/>
        <w:spacing w:line="238" w:lineRule="exact"/>
        <w:jc w:val="right"/>
      </w:pPr>
      <w:r>
        <w:rPr>
          <w:spacing w:val="-2"/>
        </w:rPr>
        <w:t>(percent)</w:t>
      </w:r>
    </w:p>
    <w:p w:rsidR="003F5784" w14:paraId="2C76D987" w14:textId="77777777">
      <w:pPr>
        <w:pStyle w:val="BodyText"/>
        <w:spacing w:before="98" w:line="238" w:lineRule="exact"/>
        <w:jc w:val="right"/>
      </w:pPr>
      <w:r>
        <w:br w:type="column"/>
        <w:t>Grade</w:t>
      </w:r>
      <w:r>
        <w:rPr>
          <w:spacing w:val="-5"/>
        </w:rPr>
        <w:t xml:space="preserve"> </w:t>
      </w:r>
      <w:r>
        <w:t>4</w:t>
      </w:r>
      <w:r>
        <w:rPr>
          <w:spacing w:val="-4"/>
        </w:rPr>
        <w:t xml:space="preserve"> </w:t>
      </w:r>
      <w:r>
        <w:rPr>
          <w:spacing w:val="-2"/>
        </w:rPr>
        <w:t>reading</w:t>
      </w:r>
    </w:p>
    <w:p w:rsidR="003F5784" w14:paraId="6683EADB" w14:textId="77777777">
      <w:pPr>
        <w:pStyle w:val="BodyText"/>
        <w:spacing w:line="238" w:lineRule="exact"/>
        <w:jc w:val="right"/>
      </w:pPr>
      <w:r>
        <w:rPr>
          <w:spacing w:val="-2"/>
        </w:rPr>
        <w:t>(percent)</w:t>
      </w:r>
    </w:p>
    <w:p w:rsidR="003F5784" w14:paraId="6DD5B317" w14:textId="77777777">
      <w:pPr>
        <w:pStyle w:val="BodyText"/>
        <w:spacing w:before="98" w:line="238" w:lineRule="exact"/>
        <w:jc w:val="right"/>
      </w:pPr>
      <w:r>
        <w:br w:type="column"/>
        <w:t>Grade</w:t>
      </w:r>
      <w:r>
        <w:rPr>
          <w:spacing w:val="-5"/>
        </w:rPr>
        <w:t xml:space="preserve"> </w:t>
      </w:r>
      <w:r>
        <w:t>8</w:t>
      </w:r>
      <w:r>
        <w:rPr>
          <w:spacing w:val="-4"/>
        </w:rPr>
        <w:t xml:space="preserve"> </w:t>
      </w:r>
      <w:r>
        <w:rPr>
          <w:spacing w:val="-2"/>
        </w:rPr>
        <w:t>mathematics</w:t>
      </w:r>
    </w:p>
    <w:p w:rsidR="003F5784" w14:paraId="3A4469E6" w14:textId="77777777">
      <w:pPr>
        <w:pStyle w:val="BodyText"/>
        <w:spacing w:line="238" w:lineRule="exact"/>
        <w:jc w:val="right"/>
      </w:pPr>
      <w:r>
        <w:rPr>
          <w:spacing w:val="-2"/>
        </w:rPr>
        <w:t>(percent)</w:t>
      </w:r>
    </w:p>
    <w:p w:rsidR="003F5784" w14:paraId="6D9F6FCC" w14:textId="77777777">
      <w:pPr>
        <w:pStyle w:val="BodyText"/>
        <w:spacing w:before="98" w:line="238" w:lineRule="exact"/>
        <w:ind w:right="598"/>
        <w:jc w:val="right"/>
      </w:pPr>
      <w:r>
        <w:br w:type="column"/>
        <w:t>Grade</w:t>
      </w:r>
      <w:r>
        <w:rPr>
          <w:spacing w:val="-5"/>
        </w:rPr>
        <w:t xml:space="preserve"> </w:t>
      </w:r>
      <w:r>
        <w:t>8</w:t>
      </w:r>
      <w:r>
        <w:rPr>
          <w:spacing w:val="-4"/>
        </w:rPr>
        <w:t xml:space="preserve"> </w:t>
      </w:r>
      <w:r>
        <w:rPr>
          <w:spacing w:val="-2"/>
        </w:rPr>
        <w:t>reading</w:t>
      </w:r>
    </w:p>
    <w:p w:rsidR="003F5784" w14:paraId="1890DDBF" w14:textId="77777777">
      <w:pPr>
        <w:pStyle w:val="BodyText"/>
        <w:spacing w:line="238" w:lineRule="exact"/>
        <w:ind w:right="598"/>
        <w:jc w:val="right"/>
      </w:pPr>
      <w:r>
        <w:rPr>
          <w:spacing w:val="-2"/>
        </w:rPr>
        <w:t>(percent)</w:t>
      </w:r>
    </w:p>
    <w:p w:rsidR="003F5784" w14:paraId="0897ACF3" w14:textId="77777777">
      <w:pPr>
        <w:spacing w:line="238" w:lineRule="exact"/>
        <w:jc w:val="right"/>
        <w:sectPr>
          <w:headerReference w:type="default" r:id="rId288"/>
          <w:footerReference w:type="default" r:id="rId289"/>
          <w:pgSz w:w="15840" w:h="12240" w:orient="landscape"/>
          <w:pgMar w:top="480" w:right="440" w:bottom="460" w:left="460" w:header="284" w:footer="275" w:gutter="0"/>
          <w:cols w:num="5" w:space="720" w:equalWidth="0">
            <w:col w:w="1609" w:space="3937"/>
            <w:col w:w="2368" w:space="68"/>
            <w:col w:w="1939" w:space="44"/>
            <w:col w:w="2368" w:space="69"/>
            <w:col w:w="2538"/>
          </w:cols>
        </w:sectPr>
      </w:pPr>
    </w:p>
    <w:tbl>
      <w:tblPr>
        <w:tblW w:w="0" w:type="auto"/>
        <w:tblInd w:w="482" w:type="dxa"/>
        <w:tblLayout w:type="fixed"/>
        <w:tblCellMar>
          <w:left w:w="0" w:type="dxa"/>
          <w:right w:w="0" w:type="dxa"/>
        </w:tblCellMar>
        <w:tblLook w:val="01E0"/>
      </w:tblPr>
      <w:tblGrid>
        <w:gridCol w:w="5921"/>
        <w:gridCol w:w="2337"/>
        <w:gridCol w:w="2210"/>
        <w:gridCol w:w="2210"/>
        <w:gridCol w:w="1306"/>
      </w:tblGrid>
      <w:tr w14:paraId="6590F40B" w14:textId="77777777">
        <w:tblPrEx>
          <w:tblW w:w="0" w:type="auto"/>
          <w:tblInd w:w="482" w:type="dxa"/>
          <w:tblLayout w:type="fixed"/>
          <w:tblCellMar>
            <w:left w:w="0" w:type="dxa"/>
            <w:right w:w="0" w:type="dxa"/>
          </w:tblCellMar>
          <w:tblLook w:val="01E0"/>
        </w:tblPrEx>
        <w:trPr>
          <w:trHeight w:val="278"/>
        </w:trPr>
        <w:tc>
          <w:tcPr>
            <w:tcW w:w="5921" w:type="dxa"/>
            <w:tcBorders>
              <w:top w:val="single" w:sz="18" w:space="0" w:color="800000"/>
            </w:tcBorders>
          </w:tcPr>
          <w:p w:rsidR="003F5784" w14:paraId="3DD2A179" w14:textId="77777777">
            <w:pPr>
              <w:pStyle w:val="TableParagraph"/>
              <w:spacing w:before="9"/>
              <w:ind w:left="120"/>
              <w:jc w:val="left"/>
              <w:rPr>
                <w:sz w:val="21"/>
              </w:rPr>
            </w:pPr>
            <w:r>
              <w:rPr>
                <w:spacing w:val="-2"/>
                <w:sz w:val="21"/>
              </w:rPr>
              <w:t>Texas–Dallas</w:t>
            </w:r>
          </w:p>
        </w:tc>
        <w:tc>
          <w:tcPr>
            <w:tcW w:w="2337" w:type="dxa"/>
            <w:tcBorders>
              <w:top w:val="single" w:sz="18" w:space="0" w:color="800000"/>
            </w:tcBorders>
          </w:tcPr>
          <w:p w:rsidR="003F5784" w14:paraId="54896577" w14:textId="77777777">
            <w:pPr>
              <w:pStyle w:val="TableParagraph"/>
              <w:spacing w:before="9"/>
              <w:ind w:right="818"/>
              <w:rPr>
                <w:sz w:val="21"/>
              </w:rPr>
            </w:pPr>
            <w:r>
              <w:rPr>
                <w:spacing w:val="-4"/>
                <w:sz w:val="21"/>
              </w:rPr>
              <w:t>0.40</w:t>
            </w:r>
          </w:p>
        </w:tc>
        <w:tc>
          <w:tcPr>
            <w:tcW w:w="2210" w:type="dxa"/>
            <w:tcBorders>
              <w:top w:val="single" w:sz="18" w:space="0" w:color="800000"/>
            </w:tcBorders>
          </w:tcPr>
          <w:p w:rsidR="003F5784" w14:paraId="36065D26" w14:textId="77777777">
            <w:pPr>
              <w:pStyle w:val="TableParagraph"/>
              <w:spacing w:before="9"/>
              <w:ind w:right="1021"/>
              <w:rPr>
                <w:sz w:val="21"/>
              </w:rPr>
            </w:pPr>
            <w:r>
              <w:rPr>
                <w:spacing w:val="-4"/>
                <w:sz w:val="21"/>
              </w:rPr>
              <w:t>0.60</w:t>
            </w:r>
          </w:p>
        </w:tc>
        <w:tc>
          <w:tcPr>
            <w:tcW w:w="2210" w:type="dxa"/>
            <w:tcBorders>
              <w:top w:val="single" w:sz="18" w:space="0" w:color="800000"/>
            </w:tcBorders>
          </w:tcPr>
          <w:p w:rsidR="003F5784" w14:paraId="2D304942" w14:textId="77777777">
            <w:pPr>
              <w:pStyle w:val="TableParagraph"/>
              <w:spacing w:before="9"/>
              <w:ind w:right="818"/>
              <w:rPr>
                <w:sz w:val="21"/>
              </w:rPr>
            </w:pPr>
            <w:r>
              <w:rPr>
                <w:spacing w:val="-4"/>
                <w:sz w:val="21"/>
              </w:rPr>
              <w:t>0.18</w:t>
            </w:r>
          </w:p>
        </w:tc>
        <w:tc>
          <w:tcPr>
            <w:tcW w:w="1306" w:type="dxa"/>
            <w:tcBorders>
              <w:top w:val="single" w:sz="18" w:space="0" w:color="800000"/>
            </w:tcBorders>
          </w:tcPr>
          <w:p w:rsidR="003F5784" w14:paraId="30772346" w14:textId="77777777">
            <w:pPr>
              <w:pStyle w:val="TableParagraph"/>
              <w:spacing w:before="9"/>
              <w:ind w:right="117"/>
              <w:rPr>
                <w:sz w:val="21"/>
              </w:rPr>
            </w:pPr>
            <w:r>
              <w:rPr>
                <w:spacing w:val="-4"/>
                <w:sz w:val="21"/>
              </w:rPr>
              <w:t>0.00</w:t>
            </w:r>
          </w:p>
        </w:tc>
      </w:tr>
      <w:tr w14:paraId="120FC6ED" w14:textId="77777777">
        <w:tblPrEx>
          <w:tblW w:w="0" w:type="auto"/>
          <w:tblInd w:w="482" w:type="dxa"/>
          <w:tblLayout w:type="fixed"/>
          <w:tblCellMar>
            <w:left w:w="0" w:type="dxa"/>
            <w:right w:w="0" w:type="dxa"/>
          </w:tblCellMar>
          <w:tblLook w:val="01E0"/>
        </w:tblPrEx>
        <w:trPr>
          <w:trHeight w:val="286"/>
        </w:trPr>
        <w:tc>
          <w:tcPr>
            <w:tcW w:w="5921" w:type="dxa"/>
          </w:tcPr>
          <w:p w:rsidR="003F5784" w14:paraId="04EF2C02" w14:textId="77777777">
            <w:pPr>
              <w:pStyle w:val="TableParagraph"/>
              <w:ind w:left="120"/>
              <w:jc w:val="left"/>
              <w:rPr>
                <w:sz w:val="21"/>
              </w:rPr>
            </w:pPr>
            <w:r>
              <w:rPr>
                <w:spacing w:val="-2"/>
                <w:sz w:val="21"/>
              </w:rPr>
              <w:t>Texas–Fort</w:t>
            </w:r>
            <w:r>
              <w:rPr>
                <w:spacing w:val="-10"/>
                <w:sz w:val="21"/>
              </w:rPr>
              <w:t xml:space="preserve"> </w:t>
            </w:r>
            <w:r>
              <w:rPr>
                <w:spacing w:val="-2"/>
                <w:sz w:val="21"/>
              </w:rPr>
              <w:t>Worth</w:t>
            </w:r>
          </w:p>
        </w:tc>
        <w:tc>
          <w:tcPr>
            <w:tcW w:w="2337" w:type="dxa"/>
          </w:tcPr>
          <w:p w:rsidR="003F5784" w14:paraId="6677EC51" w14:textId="77777777">
            <w:pPr>
              <w:pStyle w:val="TableParagraph"/>
              <w:ind w:right="818"/>
              <w:rPr>
                <w:sz w:val="21"/>
              </w:rPr>
            </w:pPr>
            <w:r>
              <w:rPr>
                <w:spacing w:val="-4"/>
                <w:sz w:val="21"/>
              </w:rPr>
              <w:t>0.09</w:t>
            </w:r>
          </w:p>
        </w:tc>
        <w:tc>
          <w:tcPr>
            <w:tcW w:w="2210" w:type="dxa"/>
          </w:tcPr>
          <w:p w:rsidR="003F5784" w14:paraId="21B1C3FB" w14:textId="77777777">
            <w:pPr>
              <w:pStyle w:val="TableParagraph"/>
              <w:ind w:right="1021"/>
              <w:rPr>
                <w:sz w:val="21"/>
              </w:rPr>
            </w:pPr>
            <w:r>
              <w:rPr>
                <w:spacing w:val="-4"/>
                <w:sz w:val="21"/>
              </w:rPr>
              <w:t>0.00</w:t>
            </w:r>
          </w:p>
        </w:tc>
        <w:tc>
          <w:tcPr>
            <w:tcW w:w="2210" w:type="dxa"/>
          </w:tcPr>
          <w:p w:rsidR="003F5784" w14:paraId="3BB844E2" w14:textId="77777777">
            <w:pPr>
              <w:pStyle w:val="TableParagraph"/>
              <w:ind w:right="818"/>
              <w:rPr>
                <w:sz w:val="21"/>
              </w:rPr>
            </w:pPr>
            <w:r>
              <w:rPr>
                <w:spacing w:val="-4"/>
                <w:sz w:val="21"/>
              </w:rPr>
              <w:t>0.00</w:t>
            </w:r>
          </w:p>
        </w:tc>
        <w:tc>
          <w:tcPr>
            <w:tcW w:w="1306" w:type="dxa"/>
          </w:tcPr>
          <w:p w:rsidR="003F5784" w14:paraId="27375DA2" w14:textId="77777777">
            <w:pPr>
              <w:pStyle w:val="TableParagraph"/>
              <w:ind w:right="117"/>
              <w:rPr>
                <w:sz w:val="21"/>
              </w:rPr>
            </w:pPr>
            <w:r>
              <w:rPr>
                <w:spacing w:val="-4"/>
                <w:sz w:val="21"/>
              </w:rPr>
              <w:t>0.00</w:t>
            </w:r>
          </w:p>
        </w:tc>
      </w:tr>
      <w:tr w14:paraId="7B0A5F4B" w14:textId="77777777">
        <w:tblPrEx>
          <w:tblW w:w="0" w:type="auto"/>
          <w:tblInd w:w="482" w:type="dxa"/>
          <w:tblLayout w:type="fixed"/>
          <w:tblCellMar>
            <w:left w:w="0" w:type="dxa"/>
            <w:right w:w="0" w:type="dxa"/>
          </w:tblCellMar>
          <w:tblLook w:val="01E0"/>
        </w:tblPrEx>
        <w:trPr>
          <w:trHeight w:val="286"/>
        </w:trPr>
        <w:tc>
          <w:tcPr>
            <w:tcW w:w="5921" w:type="dxa"/>
          </w:tcPr>
          <w:p w:rsidR="003F5784" w14:paraId="024F38FC" w14:textId="77777777">
            <w:pPr>
              <w:pStyle w:val="TableParagraph"/>
              <w:ind w:left="120"/>
              <w:jc w:val="left"/>
              <w:rPr>
                <w:sz w:val="21"/>
              </w:rPr>
            </w:pPr>
            <w:r>
              <w:rPr>
                <w:spacing w:val="-2"/>
                <w:sz w:val="21"/>
              </w:rPr>
              <w:t>Texas–Houston</w:t>
            </w:r>
          </w:p>
        </w:tc>
        <w:tc>
          <w:tcPr>
            <w:tcW w:w="2337" w:type="dxa"/>
          </w:tcPr>
          <w:p w:rsidR="003F5784" w14:paraId="3449C894" w14:textId="77777777">
            <w:pPr>
              <w:pStyle w:val="TableParagraph"/>
              <w:ind w:right="818"/>
              <w:rPr>
                <w:sz w:val="21"/>
              </w:rPr>
            </w:pPr>
            <w:r>
              <w:rPr>
                <w:spacing w:val="-4"/>
                <w:sz w:val="21"/>
              </w:rPr>
              <w:t>0.32</w:t>
            </w:r>
          </w:p>
        </w:tc>
        <w:tc>
          <w:tcPr>
            <w:tcW w:w="2210" w:type="dxa"/>
          </w:tcPr>
          <w:p w:rsidR="003F5784" w14:paraId="0DA0B5FB" w14:textId="77777777">
            <w:pPr>
              <w:pStyle w:val="TableParagraph"/>
              <w:ind w:right="1021"/>
              <w:rPr>
                <w:sz w:val="21"/>
              </w:rPr>
            </w:pPr>
            <w:r>
              <w:rPr>
                <w:spacing w:val="-4"/>
                <w:sz w:val="21"/>
              </w:rPr>
              <w:t>0.16</w:t>
            </w:r>
          </w:p>
        </w:tc>
        <w:tc>
          <w:tcPr>
            <w:tcW w:w="2210" w:type="dxa"/>
          </w:tcPr>
          <w:p w:rsidR="003F5784" w14:paraId="69720AFD" w14:textId="77777777">
            <w:pPr>
              <w:pStyle w:val="TableParagraph"/>
              <w:ind w:right="818"/>
              <w:rPr>
                <w:sz w:val="21"/>
              </w:rPr>
            </w:pPr>
            <w:r>
              <w:rPr>
                <w:spacing w:val="-4"/>
                <w:sz w:val="21"/>
              </w:rPr>
              <w:t>0.00</w:t>
            </w:r>
          </w:p>
        </w:tc>
        <w:tc>
          <w:tcPr>
            <w:tcW w:w="1306" w:type="dxa"/>
          </w:tcPr>
          <w:p w:rsidR="003F5784" w14:paraId="571C7D93" w14:textId="77777777">
            <w:pPr>
              <w:pStyle w:val="TableParagraph"/>
              <w:ind w:right="117"/>
              <w:rPr>
                <w:sz w:val="21"/>
              </w:rPr>
            </w:pPr>
            <w:r>
              <w:rPr>
                <w:spacing w:val="-4"/>
                <w:sz w:val="21"/>
              </w:rPr>
              <w:t>0.00</w:t>
            </w:r>
          </w:p>
        </w:tc>
      </w:tr>
      <w:tr w14:paraId="26C74AF2" w14:textId="77777777">
        <w:tblPrEx>
          <w:tblW w:w="0" w:type="auto"/>
          <w:tblInd w:w="482" w:type="dxa"/>
          <w:tblLayout w:type="fixed"/>
          <w:tblCellMar>
            <w:left w:w="0" w:type="dxa"/>
            <w:right w:w="0" w:type="dxa"/>
          </w:tblCellMar>
          <w:tblLook w:val="01E0"/>
        </w:tblPrEx>
        <w:trPr>
          <w:trHeight w:val="286"/>
        </w:trPr>
        <w:tc>
          <w:tcPr>
            <w:tcW w:w="5921" w:type="dxa"/>
          </w:tcPr>
          <w:p w:rsidR="003F5784" w14:paraId="57F6B9DB" w14:textId="77777777">
            <w:pPr>
              <w:pStyle w:val="TableParagraph"/>
              <w:ind w:left="120"/>
              <w:jc w:val="left"/>
              <w:rPr>
                <w:sz w:val="21"/>
              </w:rPr>
            </w:pPr>
            <w:r>
              <w:rPr>
                <w:spacing w:val="-2"/>
                <w:sz w:val="21"/>
              </w:rPr>
              <w:t>Texas</w:t>
            </w:r>
          </w:p>
        </w:tc>
        <w:tc>
          <w:tcPr>
            <w:tcW w:w="2337" w:type="dxa"/>
          </w:tcPr>
          <w:p w:rsidR="003F5784" w14:paraId="2F44D8E8" w14:textId="77777777">
            <w:pPr>
              <w:pStyle w:val="TableParagraph"/>
              <w:ind w:right="818"/>
              <w:rPr>
                <w:sz w:val="21"/>
              </w:rPr>
            </w:pPr>
            <w:r>
              <w:rPr>
                <w:spacing w:val="-4"/>
                <w:sz w:val="21"/>
              </w:rPr>
              <w:t>0.57</w:t>
            </w:r>
          </w:p>
        </w:tc>
        <w:tc>
          <w:tcPr>
            <w:tcW w:w="2210" w:type="dxa"/>
          </w:tcPr>
          <w:p w:rsidR="003F5784" w14:paraId="7F4207A8" w14:textId="77777777">
            <w:pPr>
              <w:pStyle w:val="TableParagraph"/>
              <w:ind w:right="1021"/>
              <w:rPr>
                <w:sz w:val="21"/>
              </w:rPr>
            </w:pPr>
            <w:r>
              <w:rPr>
                <w:spacing w:val="-4"/>
                <w:sz w:val="21"/>
              </w:rPr>
              <w:t>0.56</w:t>
            </w:r>
          </w:p>
        </w:tc>
        <w:tc>
          <w:tcPr>
            <w:tcW w:w="2210" w:type="dxa"/>
          </w:tcPr>
          <w:p w:rsidR="003F5784" w14:paraId="232CADE5" w14:textId="77777777">
            <w:pPr>
              <w:pStyle w:val="TableParagraph"/>
              <w:ind w:right="818"/>
              <w:rPr>
                <w:sz w:val="21"/>
              </w:rPr>
            </w:pPr>
            <w:r>
              <w:rPr>
                <w:spacing w:val="-4"/>
                <w:sz w:val="21"/>
              </w:rPr>
              <w:t>0.20</w:t>
            </w:r>
          </w:p>
        </w:tc>
        <w:tc>
          <w:tcPr>
            <w:tcW w:w="1306" w:type="dxa"/>
          </w:tcPr>
          <w:p w:rsidR="003F5784" w14:paraId="0417F965" w14:textId="77777777">
            <w:pPr>
              <w:pStyle w:val="TableParagraph"/>
              <w:ind w:right="117"/>
              <w:rPr>
                <w:sz w:val="21"/>
              </w:rPr>
            </w:pPr>
            <w:r>
              <w:rPr>
                <w:spacing w:val="-4"/>
                <w:sz w:val="21"/>
              </w:rPr>
              <w:t>0.29</w:t>
            </w:r>
          </w:p>
        </w:tc>
      </w:tr>
      <w:tr w14:paraId="42750EFB" w14:textId="77777777">
        <w:tblPrEx>
          <w:tblW w:w="0" w:type="auto"/>
          <w:tblInd w:w="482" w:type="dxa"/>
          <w:tblLayout w:type="fixed"/>
          <w:tblCellMar>
            <w:left w:w="0" w:type="dxa"/>
            <w:right w:w="0" w:type="dxa"/>
          </w:tblCellMar>
          <w:tblLook w:val="01E0"/>
        </w:tblPrEx>
        <w:trPr>
          <w:trHeight w:val="286"/>
        </w:trPr>
        <w:tc>
          <w:tcPr>
            <w:tcW w:w="5921" w:type="dxa"/>
          </w:tcPr>
          <w:p w:rsidR="003F5784" w14:paraId="4692E2AE" w14:textId="77777777">
            <w:pPr>
              <w:pStyle w:val="TableParagraph"/>
              <w:ind w:left="120"/>
              <w:jc w:val="left"/>
              <w:rPr>
                <w:sz w:val="21"/>
              </w:rPr>
            </w:pPr>
            <w:r>
              <w:rPr>
                <w:spacing w:val="-4"/>
                <w:sz w:val="21"/>
              </w:rPr>
              <w:t>Utah</w:t>
            </w:r>
          </w:p>
        </w:tc>
        <w:tc>
          <w:tcPr>
            <w:tcW w:w="2337" w:type="dxa"/>
          </w:tcPr>
          <w:p w:rsidR="003F5784" w14:paraId="0C0F12F8" w14:textId="77777777">
            <w:pPr>
              <w:pStyle w:val="TableParagraph"/>
              <w:ind w:right="818"/>
              <w:rPr>
                <w:sz w:val="21"/>
              </w:rPr>
            </w:pPr>
            <w:r>
              <w:rPr>
                <w:spacing w:val="-4"/>
                <w:sz w:val="21"/>
              </w:rPr>
              <w:t>1.41</w:t>
            </w:r>
          </w:p>
        </w:tc>
        <w:tc>
          <w:tcPr>
            <w:tcW w:w="2210" w:type="dxa"/>
          </w:tcPr>
          <w:p w:rsidR="003F5784" w14:paraId="39575AD5" w14:textId="77777777">
            <w:pPr>
              <w:pStyle w:val="TableParagraph"/>
              <w:ind w:right="1021"/>
              <w:rPr>
                <w:sz w:val="21"/>
              </w:rPr>
            </w:pPr>
            <w:r>
              <w:rPr>
                <w:spacing w:val="-4"/>
                <w:sz w:val="21"/>
              </w:rPr>
              <w:t>1.38</w:t>
            </w:r>
          </w:p>
        </w:tc>
        <w:tc>
          <w:tcPr>
            <w:tcW w:w="2210" w:type="dxa"/>
          </w:tcPr>
          <w:p w:rsidR="003F5784" w14:paraId="674473B2" w14:textId="77777777">
            <w:pPr>
              <w:pStyle w:val="TableParagraph"/>
              <w:ind w:right="818"/>
              <w:rPr>
                <w:sz w:val="21"/>
              </w:rPr>
            </w:pPr>
            <w:r>
              <w:rPr>
                <w:spacing w:val="-4"/>
                <w:sz w:val="21"/>
              </w:rPr>
              <w:t>1.42</w:t>
            </w:r>
          </w:p>
        </w:tc>
        <w:tc>
          <w:tcPr>
            <w:tcW w:w="1306" w:type="dxa"/>
          </w:tcPr>
          <w:p w:rsidR="003F5784" w14:paraId="48175718" w14:textId="77777777">
            <w:pPr>
              <w:pStyle w:val="TableParagraph"/>
              <w:ind w:right="117"/>
              <w:rPr>
                <w:sz w:val="21"/>
              </w:rPr>
            </w:pPr>
            <w:r>
              <w:rPr>
                <w:spacing w:val="-4"/>
                <w:sz w:val="21"/>
              </w:rPr>
              <w:t>1.35</w:t>
            </w:r>
          </w:p>
        </w:tc>
      </w:tr>
      <w:tr w14:paraId="661ACE25" w14:textId="77777777">
        <w:tblPrEx>
          <w:tblW w:w="0" w:type="auto"/>
          <w:tblInd w:w="482" w:type="dxa"/>
          <w:tblLayout w:type="fixed"/>
          <w:tblCellMar>
            <w:left w:w="0" w:type="dxa"/>
            <w:right w:w="0" w:type="dxa"/>
          </w:tblCellMar>
          <w:tblLook w:val="01E0"/>
        </w:tblPrEx>
        <w:trPr>
          <w:trHeight w:val="286"/>
        </w:trPr>
        <w:tc>
          <w:tcPr>
            <w:tcW w:w="5921" w:type="dxa"/>
          </w:tcPr>
          <w:p w:rsidR="003F5784" w14:paraId="1FCC962B" w14:textId="77777777">
            <w:pPr>
              <w:pStyle w:val="TableParagraph"/>
              <w:ind w:left="120"/>
              <w:jc w:val="left"/>
              <w:rPr>
                <w:sz w:val="21"/>
              </w:rPr>
            </w:pPr>
            <w:r>
              <w:rPr>
                <w:spacing w:val="-2"/>
                <w:sz w:val="21"/>
              </w:rPr>
              <w:t>Vermont</w:t>
            </w:r>
          </w:p>
        </w:tc>
        <w:tc>
          <w:tcPr>
            <w:tcW w:w="2337" w:type="dxa"/>
          </w:tcPr>
          <w:p w:rsidR="003F5784" w14:paraId="06A9A114" w14:textId="77777777">
            <w:pPr>
              <w:pStyle w:val="TableParagraph"/>
              <w:ind w:right="818"/>
              <w:rPr>
                <w:sz w:val="21"/>
              </w:rPr>
            </w:pPr>
            <w:r>
              <w:rPr>
                <w:spacing w:val="-4"/>
                <w:sz w:val="21"/>
              </w:rPr>
              <w:t>0.15</w:t>
            </w:r>
          </w:p>
        </w:tc>
        <w:tc>
          <w:tcPr>
            <w:tcW w:w="2210" w:type="dxa"/>
          </w:tcPr>
          <w:p w:rsidR="003F5784" w14:paraId="34952B3F" w14:textId="77777777">
            <w:pPr>
              <w:pStyle w:val="TableParagraph"/>
              <w:ind w:right="1021"/>
              <w:rPr>
                <w:sz w:val="21"/>
              </w:rPr>
            </w:pPr>
            <w:r>
              <w:rPr>
                <w:spacing w:val="-4"/>
                <w:sz w:val="21"/>
              </w:rPr>
              <w:t>0.10</w:t>
            </w:r>
          </w:p>
        </w:tc>
        <w:tc>
          <w:tcPr>
            <w:tcW w:w="2210" w:type="dxa"/>
          </w:tcPr>
          <w:p w:rsidR="003F5784" w14:paraId="59A8E574" w14:textId="77777777">
            <w:pPr>
              <w:pStyle w:val="TableParagraph"/>
              <w:ind w:right="818"/>
              <w:rPr>
                <w:sz w:val="21"/>
              </w:rPr>
            </w:pPr>
            <w:r>
              <w:rPr>
                <w:spacing w:val="-4"/>
                <w:sz w:val="21"/>
              </w:rPr>
              <w:t>0.16</w:t>
            </w:r>
          </w:p>
        </w:tc>
        <w:tc>
          <w:tcPr>
            <w:tcW w:w="1306" w:type="dxa"/>
          </w:tcPr>
          <w:p w:rsidR="003F5784" w14:paraId="3F777D9D" w14:textId="77777777">
            <w:pPr>
              <w:pStyle w:val="TableParagraph"/>
              <w:ind w:right="117"/>
              <w:rPr>
                <w:sz w:val="21"/>
              </w:rPr>
            </w:pPr>
            <w:r>
              <w:rPr>
                <w:spacing w:val="-4"/>
                <w:sz w:val="21"/>
              </w:rPr>
              <w:t>0.38</w:t>
            </w:r>
          </w:p>
        </w:tc>
      </w:tr>
      <w:tr w14:paraId="317587ED" w14:textId="77777777">
        <w:tblPrEx>
          <w:tblW w:w="0" w:type="auto"/>
          <w:tblInd w:w="482" w:type="dxa"/>
          <w:tblLayout w:type="fixed"/>
          <w:tblCellMar>
            <w:left w:w="0" w:type="dxa"/>
            <w:right w:w="0" w:type="dxa"/>
          </w:tblCellMar>
          <w:tblLook w:val="01E0"/>
        </w:tblPrEx>
        <w:trPr>
          <w:trHeight w:val="286"/>
        </w:trPr>
        <w:tc>
          <w:tcPr>
            <w:tcW w:w="5921" w:type="dxa"/>
          </w:tcPr>
          <w:p w:rsidR="003F5784" w14:paraId="2D6340AD" w14:textId="77777777">
            <w:pPr>
              <w:pStyle w:val="TableParagraph"/>
              <w:ind w:left="120"/>
              <w:jc w:val="left"/>
              <w:rPr>
                <w:sz w:val="21"/>
              </w:rPr>
            </w:pPr>
            <w:r>
              <w:rPr>
                <w:spacing w:val="-2"/>
                <w:sz w:val="21"/>
              </w:rPr>
              <w:t>Virginia</w:t>
            </w:r>
          </w:p>
        </w:tc>
        <w:tc>
          <w:tcPr>
            <w:tcW w:w="2337" w:type="dxa"/>
          </w:tcPr>
          <w:p w:rsidR="003F5784" w14:paraId="53B50184" w14:textId="77777777">
            <w:pPr>
              <w:pStyle w:val="TableParagraph"/>
              <w:ind w:right="818"/>
              <w:rPr>
                <w:sz w:val="21"/>
              </w:rPr>
            </w:pPr>
            <w:r>
              <w:rPr>
                <w:spacing w:val="-4"/>
                <w:sz w:val="21"/>
              </w:rPr>
              <w:t>1.54</w:t>
            </w:r>
          </w:p>
        </w:tc>
        <w:tc>
          <w:tcPr>
            <w:tcW w:w="2210" w:type="dxa"/>
          </w:tcPr>
          <w:p w:rsidR="003F5784" w14:paraId="62080888" w14:textId="77777777">
            <w:pPr>
              <w:pStyle w:val="TableParagraph"/>
              <w:ind w:right="1021"/>
              <w:rPr>
                <w:sz w:val="21"/>
              </w:rPr>
            </w:pPr>
            <w:r>
              <w:rPr>
                <w:spacing w:val="-4"/>
                <w:sz w:val="21"/>
              </w:rPr>
              <w:t>1.46</w:t>
            </w:r>
          </w:p>
        </w:tc>
        <w:tc>
          <w:tcPr>
            <w:tcW w:w="2210" w:type="dxa"/>
          </w:tcPr>
          <w:p w:rsidR="003F5784" w14:paraId="693C329A" w14:textId="77777777">
            <w:pPr>
              <w:pStyle w:val="TableParagraph"/>
              <w:ind w:right="818"/>
              <w:rPr>
                <w:sz w:val="21"/>
              </w:rPr>
            </w:pPr>
            <w:r>
              <w:rPr>
                <w:spacing w:val="-4"/>
                <w:sz w:val="21"/>
              </w:rPr>
              <w:t>4.03</w:t>
            </w:r>
          </w:p>
        </w:tc>
        <w:tc>
          <w:tcPr>
            <w:tcW w:w="1306" w:type="dxa"/>
          </w:tcPr>
          <w:p w:rsidR="003F5784" w14:paraId="456E3F0C" w14:textId="77777777">
            <w:pPr>
              <w:pStyle w:val="TableParagraph"/>
              <w:ind w:right="117"/>
              <w:rPr>
                <w:sz w:val="21"/>
              </w:rPr>
            </w:pPr>
            <w:r>
              <w:rPr>
                <w:spacing w:val="-4"/>
                <w:sz w:val="21"/>
              </w:rPr>
              <w:t>3.93</w:t>
            </w:r>
          </w:p>
        </w:tc>
      </w:tr>
      <w:tr w14:paraId="2D2B857E" w14:textId="77777777">
        <w:tblPrEx>
          <w:tblW w:w="0" w:type="auto"/>
          <w:tblInd w:w="482" w:type="dxa"/>
          <w:tblLayout w:type="fixed"/>
          <w:tblCellMar>
            <w:left w:w="0" w:type="dxa"/>
            <w:right w:w="0" w:type="dxa"/>
          </w:tblCellMar>
          <w:tblLook w:val="01E0"/>
        </w:tblPrEx>
        <w:trPr>
          <w:trHeight w:val="286"/>
        </w:trPr>
        <w:tc>
          <w:tcPr>
            <w:tcW w:w="5921" w:type="dxa"/>
          </w:tcPr>
          <w:p w:rsidR="003F5784" w14:paraId="04EC5D67" w14:textId="77777777">
            <w:pPr>
              <w:pStyle w:val="TableParagraph"/>
              <w:ind w:left="120"/>
              <w:jc w:val="left"/>
              <w:rPr>
                <w:sz w:val="21"/>
              </w:rPr>
            </w:pPr>
            <w:r>
              <w:rPr>
                <w:spacing w:val="-2"/>
                <w:sz w:val="21"/>
              </w:rPr>
              <w:t>Washington</w:t>
            </w:r>
          </w:p>
        </w:tc>
        <w:tc>
          <w:tcPr>
            <w:tcW w:w="2337" w:type="dxa"/>
          </w:tcPr>
          <w:p w:rsidR="003F5784" w14:paraId="7AC7E4C6" w14:textId="77777777">
            <w:pPr>
              <w:pStyle w:val="TableParagraph"/>
              <w:ind w:right="818"/>
              <w:rPr>
                <w:sz w:val="21"/>
              </w:rPr>
            </w:pPr>
            <w:r>
              <w:rPr>
                <w:spacing w:val="-4"/>
                <w:sz w:val="21"/>
              </w:rPr>
              <w:t>0.23</w:t>
            </w:r>
          </w:p>
        </w:tc>
        <w:tc>
          <w:tcPr>
            <w:tcW w:w="2210" w:type="dxa"/>
          </w:tcPr>
          <w:p w:rsidR="003F5784" w14:paraId="61A06E26" w14:textId="77777777">
            <w:pPr>
              <w:pStyle w:val="TableParagraph"/>
              <w:ind w:right="1021"/>
              <w:rPr>
                <w:sz w:val="21"/>
              </w:rPr>
            </w:pPr>
            <w:r>
              <w:rPr>
                <w:spacing w:val="-4"/>
                <w:sz w:val="21"/>
              </w:rPr>
              <w:t>0.31</w:t>
            </w:r>
          </w:p>
        </w:tc>
        <w:tc>
          <w:tcPr>
            <w:tcW w:w="2210" w:type="dxa"/>
          </w:tcPr>
          <w:p w:rsidR="003F5784" w14:paraId="62AE8922" w14:textId="77777777">
            <w:pPr>
              <w:pStyle w:val="TableParagraph"/>
              <w:ind w:right="818"/>
              <w:rPr>
                <w:sz w:val="21"/>
              </w:rPr>
            </w:pPr>
            <w:r>
              <w:rPr>
                <w:spacing w:val="-4"/>
                <w:sz w:val="21"/>
              </w:rPr>
              <w:t>1.08</w:t>
            </w:r>
          </w:p>
        </w:tc>
        <w:tc>
          <w:tcPr>
            <w:tcW w:w="1306" w:type="dxa"/>
          </w:tcPr>
          <w:p w:rsidR="003F5784" w14:paraId="5CCFDBAE" w14:textId="77777777">
            <w:pPr>
              <w:pStyle w:val="TableParagraph"/>
              <w:ind w:right="117"/>
              <w:rPr>
                <w:sz w:val="21"/>
              </w:rPr>
            </w:pPr>
            <w:r>
              <w:rPr>
                <w:spacing w:val="-4"/>
                <w:sz w:val="21"/>
              </w:rPr>
              <w:t>0.85</w:t>
            </w:r>
          </w:p>
        </w:tc>
      </w:tr>
      <w:tr w14:paraId="3E670313" w14:textId="77777777">
        <w:tblPrEx>
          <w:tblW w:w="0" w:type="auto"/>
          <w:tblInd w:w="482" w:type="dxa"/>
          <w:tblLayout w:type="fixed"/>
          <w:tblCellMar>
            <w:left w:w="0" w:type="dxa"/>
            <w:right w:w="0" w:type="dxa"/>
          </w:tblCellMar>
          <w:tblLook w:val="01E0"/>
        </w:tblPrEx>
        <w:trPr>
          <w:trHeight w:val="286"/>
        </w:trPr>
        <w:tc>
          <w:tcPr>
            <w:tcW w:w="5921" w:type="dxa"/>
          </w:tcPr>
          <w:p w:rsidR="003F5784" w14:paraId="79AD0019" w14:textId="77777777">
            <w:pPr>
              <w:pStyle w:val="TableParagraph"/>
              <w:ind w:left="120"/>
              <w:jc w:val="left"/>
              <w:rPr>
                <w:sz w:val="21"/>
              </w:rPr>
            </w:pPr>
            <w:r>
              <w:rPr>
                <w:spacing w:val="-5"/>
                <w:sz w:val="21"/>
              </w:rPr>
              <w:t>West</w:t>
            </w:r>
            <w:r>
              <w:rPr>
                <w:spacing w:val="-7"/>
                <w:sz w:val="21"/>
              </w:rPr>
              <w:t xml:space="preserve"> </w:t>
            </w:r>
            <w:r>
              <w:rPr>
                <w:spacing w:val="-2"/>
                <w:sz w:val="21"/>
              </w:rPr>
              <w:t>Virginia</w:t>
            </w:r>
          </w:p>
        </w:tc>
        <w:tc>
          <w:tcPr>
            <w:tcW w:w="2337" w:type="dxa"/>
          </w:tcPr>
          <w:p w:rsidR="003F5784" w14:paraId="7CE9AA4D" w14:textId="77777777">
            <w:pPr>
              <w:pStyle w:val="TableParagraph"/>
              <w:ind w:right="818"/>
              <w:rPr>
                <w:sz w:val="21"/>
              </w:rPr>
            </w:pPr>
            <w:r>
              <w:rPr>
                <w:spacing w:val="-4"/>
                <w:sz w:val="21"/>
              </w:rPr>
              <w:t>2.26</w:t>
            </w:r>
          </w:p>
        </w:tc>
        <w:tc>
          <w:tcPr>
            <w:tcW w:w="2210" w:type="dxa"/>
          </w:tcPr>
          <w:p w:rsidR="003F5784" w14:paraId="2B37497B" w14:textId="77777777">
            <w:pPr>
              <w:pStyle w:val="TableParagraph"/>
              <w:ind w:right="1021"/>
              <w:rPr>
                <w:sz w:val="21"/>
              </w:rPr>
            </w:pPr>
            <w:r>
              <w:rPr>
                <w:spacing w:val="-4"/>
                <w:sz w:val="21"/>
              </w:rPr>
              <w:t>1.45</w:t>
            </w:r>
          </w:p>
        </w:tc>
        <w:tc>
          <w:tcPr>
            <w:tcW w:w="2210" w:type="dxa"/>
          </w:tcPr>
          <w:p w:rsidR="003F5784" w14:paraId="030AB0C1" w14:textId="77777777">
            <w:pPr>
              <w:pStyle w:val="TableParagraph"/>
              <w:ind w:right="818"/>
              <w:rPr>
                <w:sz w:val="21"/>
              </w:rPr>
            </w:pPr>
            <w:r>
              <w:rPr>
                <w:spacing w:val="-4"/>
                <w:sz w:val="21"/>
              </w:rPr>
              <w:t>2.77</w:t>
            </w:r>
          </w:p>
        </w:tc>
        <w:tc>
          <w:tcPr>
            <w:tcW w:w="1306" w:type="dxa"/>
          </w:tcPr>
          <w:p w:rsidR="003F5784" w14:paraId="4C2B9103" w14:textId="77777777">
            <w:pPr>
              <w:pStyle w:val="TableParagraph"/>
              <w:ind w:right="117"/>
              <w:rPr>
                <w:sz w:val="21"/>
              </w:rPr>
            </w:pPr>
            <w:r>
              <w:rPr>
                <w:spacing w:val="-4"/>
                <w:sz w:val="21"/>
              </w:rPr>
              <w:t>2.56</w:t>
            </w:r>
          </w:p>
        </w:tc>
      </w:tr>
      <w:tr w14:paraId="6A1E9F9B" w14:textId="77777777">
        <w:tblPrEx>
          <w:tblW w:w="0" w:type="auto"/>
          <w:tblInd w:w="482" w:type="dxa"/>
          <w:tblLayout w:type="fixed"/>
          <w:tblCellMar>
            <w:left w:w="0" w:type="dxa"/>
            <w:right w:w="0" w:type="dxa"/>
          </w:tblCellMar>
          <w:tblLook w:val="01E0"/>
        </w:tblPrEx>
        <w:trPr>
          <w:trHeight w:val="286"/>
        </w:trPr>
        <w:tc>
          <w:tcPr>
            <w:tcW w:w="5921" w:type="dxa"/>
          </w:tcPr>
          <w:p w:rsidR="003F5784" w14:paraId="10EDB85C" w14:textId="77777777">
            <w:pPr>
              <w:pStyle w:val="TableParagraph"/>
              <w:ind w:left="120"/>
              <w:jc w:val="left"/>
              <w:rPr>
                <w:sz w:val="21"/>
              </w:rPr>
            </w:pPr>
            <w:r>
              <w:rPr>
                <w:spacing w:val="-2"/>
                <w:sz w:val="21"/>
              </w:rPr>
              <w:t>Wisconsin–Milwaukee</w:t>
            </w:r>
          </w:p>
        </w:tc>
        <w:tc>
          <w:tcPr>
            <w:tcW w:w="2337" w:type="dxa"/>
          </w:tcPr>
          <w:p w:rsidR="003F5784" w14:paraId="0AC66DB4" w14:textId="77777777">
            <w:pPr>
              <w:pStyle w:val="TableParagraph"/>
              <w:ind w:right="818"/>
              <w:rPr>
                <w:sz w:val="21"/>
              </w:rPr>
            </w:pPr>
            <w:r>
              <w:rPr>
                <w:spacing w:val="-4"/>
                <w:sz w:val="21"/>
              </w:rPr>
              <w:t>0.58</w:t>
            </w:r>
          </w:p>
        </w:tc>
        <w:tc>
          <w:tcPr>
            <w:tcW w:w="2210" w:type="dxa"/>
          </w:tcPr>
          <w:p w:rsidR="003F5784" w14:paraId="796B426B" w14:textId="77777777">
            <w:pPr>
              <w:pStyle w:val="TableParagraph"/>
              <w:ind w:right="1021"/>
              <w:rPr>
                <w:sz w:val="21"/>
              </w:rPr>
            </w:pPr>
            <w:r>
              <w:rPr>
                <w:spacing w:val="-4"/>
                <w:sz w:val="21"/>
              </w:rPr>
              <w:t>0.12</w:t>
            </w:r>
          </w:p>
        </w:tc>
        <w:tc>
          <w:tcPr>
            <w:tcW w:w="2210" w:type="dxa"/>
          </w:tcPr>
          <w:p w:rsidR="003F5784" w14:paraId="22DFED45" w14:textId="77777777">
            <w:pPr>
              <w:pStyle w:val="TableParagraph"/>
              <w:ind w:right="818"/>
              <w:rPr>
                <w:sz w:val="21"/>
              </w:rPr>
            </w:pPr>
            <w:r>
              <w:rPr>
                <w:spacing w:val="-4"/>
                <w:sz w:val="21"/>
              </w:rPr>
              <w:t>0.70</w:t>
            </w:r>
          </w:p>
        </w:tc>
        <w:tc>
          <w:tcPr>
            <w:tcW w:w="1306" w:type="dxa"/>
          </w:tcPr>
          <w:p w:rsidR="003F5784" w14:paraId="039E4736" w14:textId="77777777">
            <w:pPr>
              <w:pStyle w:val="TableParagraph"/>
              <w:ind w:right="117"/>
              <w:rPr>
                <w:sz w:val="21"/>
              </w:rPr>
            </w:pPr>
            <w:r>
              <w:rPr>
                <w:spacing w:val="-4"/>
                <w:sz w:val="21"/>
              </w:rPr>
              <w:t>0.99</w:t>
            </w:r>
          </w:p>
        </w:tc>
      </w:tr>
      <w:tr w14:paraId="0C868435" w14:textId="77777777">
        <w:tblPrEx>
          <w:tblW w:w="0" w:type="auto"/>
          <w:tblInd w:w="482" w:type="dxa"/>
          <w:tblLayout w:type="fixed"/>
          <w:tblCellMar>
            <w:left w:w="0" w:type="dxa"/>
            <w:right w:w="0" w:type="dxa"/>
          </w:tblCellMar>
          <w:tblLook w:val="01E0"/>
        </w:tblPrEx>
        <w:trPr>
          <w:trHeight w:val="286"/>
        </w:trPr>
        <w:tc>
          <w:tcPr>
            <w:tcW w:w="5921" w:type="dxa"/>
          </w:tcPr>
          <w:p w:rsidR="003F5784" w14:paraId="33DDF7F8" w14:textId="77777777">
            <w:pPr>
              <w:pStyle w:val="TableParagraph"/>
              <w:ind w:left="120"/>
              <w:jc w:val="left"/>
              <w:rPr>
                <w:sz w:val="21"/>
              </w:rPr>
            </w:pPr>
            <w:r>
              <w:rPr>
                <w:spacing w:val="-2"/>
                <w:sz w:val="21"/>
              </w:rPr>
              <w:t>Wisconsin</w:t>
            </w:r>
          </w:p>
        </w:tc>
        <w:tc>
          <w:tcPr>
            <w:tcW w:w="2337" w:type="dxa"/>
          </w:tcPr>
          <w:p w:rsidR="003F5784" w14:paraId="657EA5D4" w14:textId="77777777">
            <w:pPr>
              <w:pStyle w:val="TableParagraph"/>
              <w:ind w:right="818"/>
              <w:rPr>
                <w:sz w:val="21"/>
              </w:rPr>
            </w:pPr>
            <w:r>
              <w:rPr>
                <w:spacing w:val="-4"/>
                <w:sz w:val="21"/>
              </w:rPr>
              <w:t>0.43</w:t>
            </w:r>
          </w:p>
        </w:tc>
        <w:tc>
          <w:tcPr>
            <w:tcW w:w="2210" w:type="dxa"/>
          </w:tcPr>
          <w:p w:rsidR="003F5784" w14:paraId="46ACB3D2" w14:textId="77777777">
            <w:pPr>
              <w:pStyle w:val="TableParagraph"/>
              <w:ind w:right="1021"/>
              <w:rPr>
                <w:sz w:val="21"/>
              </w:rPr>
            </w:pPr>
            <w:r>
              <w:rPr>
                <w:spacing w:val="-4"/>
                <w:sz w:val="21"/>
              </w:rPr>
              <w:t>0.46</w:t>
            </w:r>
          </w:p>
        </w:tc>
        <w:tc>
          <w:tcPr>
            <w:tcW w:w="2210" w:type="dxa"/>
          </w:tcPr>
          <w:p w:rsidR="003F5784" w14:paraId="6A7B5827" w14:textId="77777777">
            <w:pPr>
              <w:pStyle w:val="TableParagraph"/>
              <w:ind w:right="818"/>
              <w:rPr>
                <w:sz w:val="21"/>
              </w:rPr>
            </w:pPr>
            <w:r>
              <w:rPr>
                <w:spacing w:val="-4"/>
                <w:sz w:val="21"/>
              </w:rPr>
              <w:t>1.05</w:t>
            </w:r>
          </w:p>
        </w:tc>
        <w:tc>
          <w:tcPr>
            <w:tcW w:w="1306" w:type="dxa"/>
          </w:tcPr>
          <w:p w:rsidR="003F5784" w14:paraId="18F1BA58" w14:textId="77777777">
            <w:pPr>
              <w:pStyle w:val="TableParagraph"/>
              <w:ind w:right="117"/>
              <w:rPr>
                <w:sz w:val="21"/>
              </w:rPr>
            </w:pPr>
            <w:r>
              <w:rPr>
                <w:spacing w:val="-4"/>
                <w:sz w:val="21"/>
              </w:rPr>
              <w:t>0.73</w:t>
            </w:r>
          </w:p>
        </w:tc>
      </w:tr>
      <w:tr w14:paraId="3792FECF" w14:textId="77777777">
        <w:tblPrEx>
          <w:tblW w:w="0" w:type="auto"/>
          <w:tblInd w:w="482" w:type="dxa"/>
          <w:tblLayout w:type="fixed"/>
          <w:tblCellMar>
            <w:left w:w="0" w:type="dxa"/>
            <w:right w:w="0" w:type="dxa"/>
          </w:tblCellMar>
          <w:tblLook w:val="01E0"/>
        </w:tblPrEx>
        <w:trPr>
          <w:trHeight w:val="286"/>
        </w:trPr>
        <w:tc>
          <w:tcPr>
            <w:tcW w:w="5921" w:type="dxa"/>
          </w:tcPr>
          <w:p w:rsidR="003F5784" w14:paraId="1F8AAE9C" w14:textId="77777777">
            <w:pPr>
              <w:pStyle w:val="TableParagraph"/>
              <w:ind w:left="120"/>
              <w:jc w:val="left"/>
              <w:rPr>
                <w:sz w:val="21"/>
              </w:rPr>
            </w:pPr>
            <w:r>
              <w:rPr>
                <w:spacing w:val="-2"/>
                <w:sz w:val="21"/>
              </w:rPr>
              <w:t>Wyoming</w:t>
            </w:r>
          </w:p>
        </w:tc>
        <w:tc>
          <w:tcPr>
            <w:tcW w:w="2337" w:type="dxa"/>
          </w:tcPr>
          <w:p w:rsidR="003F5784" w14:paraId="265969D8" w14:textId="77777777">
            <w:pPr>
              <w:pStyle w:val="TableParagraph"/>
              <w:ind w:right="818"/>
              <w:rPr>
                <w:sz w:val="21"/>
              </w:rPr>
            </w:pPr>
            <w:r>
              <w:rPr>
                <w:spacing w:val="-4"/>
                <w:sz w:val="21"/>
              </w:rPr>
              <w:t>2.82</w:t>
            </w:r>
          </w:p>
        </w:tc>
        <w:tc>
          <w:tcPr>
            <w:tcW w:w="2210" w:type="dxa"/>
          </w:tcPr>
          <w:p w:rsidR="003F5784" w14:paraId="4F3E4EC5" w14:textId="77777777">
            <w:pPr>
              <w:pStyle w:val="TableParagraph"/>
              <w:ind w:right="1021"/>
              <w:rPr>
                <w:sz w:val="21"/>
              </w:rPr>
            </w:pPr>
            <w:r>
              <w:rPr>
                <w:spacing w:val="-4"/>
                <w:sz w:val="21"/>
              </w:rPr>
              <w:t>2.43</w:t>
            </w:r>
          </w:p>
        </w:tc>
        <w:tc>
          <w:tcPr>
            <w:tcW w:w="2210" w:type="dxa"/>
          </w:tcPr>
          <w:p w:rsidR="003F5784" w14:paraId="2460CA76" w14:textId="77777777">
            <w:pPr>
              <w:pStyle w:val="TableParagraph"/>
              <w:ind w:right="818"/>
              <w:rPr>
                <w:sz w:val="21"/>
              </w:rPr>
            </w:pPr>
            <w:r>
              <w:rPr>
                <w:spacing w:val="-4"/>
                <w:sz w:val="21"/>
              </w:rPr>
              <w:t>4.50</w:t>
            </w:r>
          </w:p>
        </w:tc>
        <w:tc>
          <w:tcPr>
            <w:tcW w:w="1306" w:type="dxa"/>
          </w:tcPr>
          <w:p w:rsidR="003F5784" w14:paraId="3043E41D" w14:textId="77777777">
            <w:pPr>
              <w:pStyle w:val="TableParagraph"/>
              <w:ind w:right="117"/>
              <w:rPr>
                <w:sz w:val="21"/>
              </w:rPr>
            </w:pPr>
            <w:r>
              <w:rPr>
                <w:spacing w:val="-4"/>
                <w:sz w:val="21"/>
              </w:rPr>
              <w:t>3.73</w:t>
            </w:r>
          </w:p>
        </w:tc>
      </w:tr>
      <w:tr w14:paraId="23D1A74B" w14:textId="77777777">
        <w:tblPrEx>
          <w:tblW w:w="0" w:type="auto"/>
          <w:tblInd w:w="482" w:type="dxa"/>
          <w:tblLayout w:type="fixed"/>
          <w:tblCellMar>
            <w:left w:w="0" w:type="dxa"/>
            <w:right w:w="0" w:type="dxa"/>
          </w:tblCellMar>
          <w:tblLook w:val="01E0"/>
        </w:tblPrEx>
        <w:trPr>
          <w:trHeight w:val="286"/>
        </w:trPr>
        <w:tc>
          <w:tcPr>
            <w:tcW w:w="13984" w:type="dxa"/>
            <w:gridSpan w:val="5"/>
          </w:tcPr>
          <w:p w:rsidR="003F5784" w14:paraId="1D460F9C" w14:textId="77777777">
            <w:pPr>
              <w:pStyle w:val="TableParagraph"/>
              <w:ind w:left="120"/>
              <w:jc w:val="left"/>
              <w:rPr>
                <w:sz w:val="21"/>
              </w:rPr>
            </w:pPr>
            <w:r>
              <w:rPr>
                <w:sz w:val="21"/>
              </w:rPr>
              <w:t>Other</w:t>
            </w:r>
            <w:r>
              <w:rPr>
                <w:spacing w:val="-6"/>
                <w:sz w:val="21"/>
              </w:rPr>
              <w:t xml:space="preserve"> </w:t>
            </w:r>
            <w:r>
              <w:rPr>
                <w:spacing w:val="-2"/>
                <w:sz w:val="21"/>
              </w:rPr>
              <w:t>jurisdictions</w:t>
            </w:r>
          </w:p>
        </w:tc>
      </w:tr>
      <w:tr w14:paraId="299C1D38" w14:textId="77777777">
        <w:tblPrEx>
          <w:tblW w:w="0" w:type="auto"/>
          <w:tblInd w:w="482" w:type="dxa"/>
          <w:tblLayout w:type="fixed"/>
          <w:tblCellMar>
            <w:left w:w="0" w:type="dxa"/>
            <w:right w:w="0" w:type="dxa"/>
          </w:tblCellMar>
          <w:tblLook w:val="01E0"/>
        </w:tblPrEx>
        <w:trPr>
          <w:trHeight w:val="286"/>
        </w:trPr>
        <w:tc>
          <w:tcPr>
            <w:tcW w:w="5921" w:type="dxa"/>
          </w:tcPr>
          <w:p w:rsidR="003F5784" w14:paraId="3D0BB6FF" w14:textId="77777777">
            <w:pPr>
              <w:pStyle w:val="TableParagraph"/>
              <w:ind w:left="328"/>
              <w:jc w:val="left"/>
              <w:rPr>
                <w:sz w:val="21"/>
              </w:rPr>
            </w:pPr>
            <w:r>
              <w:rPr>
                <w:sz w:val="21"/>
              </w:rPr>
              <w:t>Department</w:t>
            </w:r>
            <w:r>
              <w:rPr>
                <w:spacing w:val="-13"/>
                <w:sz w:val="21"/>
              </w:rPr>
              <w:t xml:space="preserve"> </w:t>
            </w:r>
            <w:r>
              <w:rPr>
                <w:sz w:val="21"/>
              </w:rPr>
              <w:t>of</w:t>
            </w:r>
            <w:r>
              <w:rPr>
                <w:spacing w:val="-8"/>
                <w:sz w:val="21"/>
              </w:rPr>
              <w:t xml:space="preserve"> </w:t>
            </w:r>
            <w:r>
              <w:rPr>
                <w:sz w:val="21"/>
              </w:rPr>
              <w:t>Defense</w:t>
            </w:r>
            <w:r>
              <w:rPr>
                <w:spacing w:val="-8"/>
                <w:sz w:val="21"/>
              </w:rPr>
              <w:t xml:space="preserve"> </w:t>
            </w:r>
            <w:r>
              <w:rPr>
                <w:sz w:val="21"/>
              </w:rPr>
              <w:t>Education</w:t>
            </w:r>
            <w:r>
              <w:rPr>
                <w:spacing w:val="-13"/>
                <w:sz w:val="21"/>
              </w:rPr>
              <w:t xml:space="preserve"> </w:t>
            </w:r>
            <w:r>
              <w:rPr>
                <w:sz w:val="21"/>
              </w:rPr>
              <w:t>Activity</w:t>
            </w:r>
            <w:r>
              <w:rPr>
                <w:spacing w:val="-8"/>
                <w:sz w:val="21"/>
              </w:rPr>
              <w:t xml:space="preserve"> </w:t>
            </w:r>
            <w:r>
              <w:rPr>
                <w:spacing w:val="-2"/>
                <w:sz w:val="21"/>
              </w:rPr>
              <w:t>(DoDEA)</w:t>
            </w:r>
          </w:p>
        </w:tc>
        <w:tc>
          <w:tcPr>
            <w:tcW w:w="2337" w:type="dxa"/>
          </w:tcPr>
          <w:p w:rsidR="003F5784" w14:paraId="05782ACF" w14:textId="77777777">
            <w:pPr>
              <w:pStyle w:val="TableParagraph"/>
              <w:ind w:right="818"/>
              <w:rPr>
                <w:sz w:val="21"/>
              </w:rPr>
            </w:pPr>
            <w:r>
              <w:rPr>
                <w:spacing w:val="-4"/>
                <w:sz w:val="21"/>
              </w:rPr>
              <w:t>0.79</w:t>
            </w:r>
          </w:p>
        </w:tc>
        <w:tc>
          <w:tcPr>
            <w:tcW w:w="2210" w:type="dxa"/>
          </w:tcPr>
          <w:p w:rsidR="003F5784" w14:paraId="6E0EF654" w14:textId="77777777">
            <w:pPr>
              <w:pStyle w:val="TableParagraph"/>
              <w:ind w:right="1021"/>
              <w:rPr>
                <w:sz w:val="21"/>
              </w:rPr>
            </w:pPr>
            <w:r>
              <w:rPr>
                <w:spacing w:val="-4"/>
                <w:sz w:val="21"/>
              </w:rPr>
              <w:t>1.10</w:t>
            </w:r>
          </w:p>
        </w:tc>
        <w:tc>
          <w:tcPr>
            <w:tcW w:w="2210" w:type="dxa"/>
          </w:tcPr>
          <w:p w:rsidR="003F5784" w14:paraId="4F0CD805" w14:textId="77777777">
            <w:pPr>
              <w:pStyle w:val="TableParagraph"/>
              <w:ind w:right="818"/>
              <w:rPr>
                <w:sz w:val="21"/>
              </w:rPr>
            </w:pPr>
            <w:r>
              <w:rPr>
                <w:spacing w:val="-4"/>
                <w:sz w:val="21"/>
              </w:rPr>
              <w:t>1.06</w:t>
            </w:r>
          </w:p>
        </w:tc>
        <w:tc>
          <w:tcPr>
            <w:tcW w:w="1306" w:type="dxa"/>
          </w:tcPr>
          <w:p w:rsidR="003F5784" w14:paraId="3AC81A0C" w14:textId="77777777">
            <w:pPr>
              <w:pStyle w:val="TableParagraph"/>
              <w:ind w:right="117"/>
              <w:rPr>
                <w:sz w:val="21"/>
              </w:rPr>
            </w:pPr>
            <w:r>
              <w:rPr>
                <w:spacing w:val="-4"/>
                <w:sz w:val="21"/>
              </w:rPr>
              <w:t>1.35</w:t>
            </w:r>
          </w:p>
        </w:tc>
      </w:tr>
      <w:tr w14:paraId="7CA81F92" w14:textId="77777777">
        <w:tblPrEx>
          <w:tblW w:w="0" w:type="auto"/>
          <w:tblInd w:w="482" w:type="dxa"/>
          <w:tblLayout w:type="fixed"/>
          <w:tblCellMar>
            <w:left w:w="0" w:type="dxa"/>
            <w:right w:w="0" w:type="dxa"/>
          </w:tblCellMar>
          <w:tblLook w:val="01E0"/>
        </w:tblPrEx>
        <w:trPr>
          <w:trHeight w:val="286"/>
        </w:trPr>
        <w:tc>
          <w:tcPr>
            <w:tcW w:w="5921" w:type="dxa"/>
          </w:tcPr>
          <w:p w:rsidR="003F5784" w14:paraId="6519C588" w14:textId="77777777">
            <w:pPr>
              <w:pStyle w:val="TableParagraph"/>
              <w:ind w:left="328"/>
              <w:jc w:val="left"/>
              <w:rPr>
                <w:sz w:val="21"/>
              </w:rPr>
            </w:pPr>
            <w:r>
              <w:rPr>
                <w:sz w:val="21"/>
              </w:rPr>
              <w:t>District</w:t>
            </w:r>
            <w:r>
              <w:rPr>
                <w:spacing w:val="-7"/>
                <w:sz w:val="21"/>
              </w:rPr>
              <w:t xml:space="preserve"> </w:t>
            </w:r>
            <w:r>
              <w:rPr>
                <w:sz w:val="21"/>
              </w:rPr>
              <w:t>of</w:t>
            </w:r>
            <w:r>
              <w:rPr>
                <w:spacing w:val="-6"/>
                <w:sz w:val="21"/>
              </w:rPr>
              <w:t xml:space="preserve"> </w:t>
            </w:r>
            <w:r>
              <w:rPr>
                <w:sz w:val="21"/>
              </w:rPr>
              <w:t>Columbia</w:t>
            </w:r>
            <w:r>
              <w:rPr>
                <w:spacing w:val="-7"/>
                <w:sz w:val="21"/>
              </w:rPr>
              <w:t xml:space="preserve"> </w:t>
            </w:r>
            <w:r>
              <w:rPr>
                <w:spacing w:val="-2"/>
                <w:sz w:val="21"/>
              </w:rPr>
              <w:t>(TUDA)</w:t>
            </w:r>
          </w:p>
        </w:tc>
        <w:tc>
          <w:tcPr>
            <w:tcW w:w="2337" w:type="dxa"/>
          </w:tcPr>
          <w:p w:rsidR="003F5784" w14:paraId="28BBEA98" w14:textId="77777777">
            <w:pPr>
              <w:pStyle w:val="TableParagraph"/>
              <w:ind w:right="818"/>
              <w:rPr>
                <w:sz w:val="21"/>
              </w:rPr>
            </w:pPr>
            <w:r>
              <w:rPr>
                <w:spacing w:val="-4"/>
                <w:sz w:val="21"/>
              </w:rPr>
              <w:t>0.48</w:t>
            </w:r>
          </w:p>
        </w:tc>
        <w:tc>
          <w:tcPr>
            <w:tcW w:w="2210" w:type="dxa"/>
          </w:tcPr>
          <w:p w:rsidR="003F5784" w14:paraId="4C238A2E" w14:textId="77777777">
            <w:pPr>
              <w:pStyle w:val="TableParagraph"/>
              <w:ind w:right="1021"/>
              <w:rPr>
                <w:sz w:val="21"/>
              </w:rPr>
            </w:pPr>
            <w:r>
              <w:rPr>
                <w:spacing w:val="-4"/>
                <w:sz w:val="21"/>
              </w:rPr>
              <w:t>0.44</w:t>
            </w:r>
          </w:p>
        </w:tc>
        <w:tc>
          <w:tcPr>
            <w:tcW w:w="2210" w:type="dxa"/>
          </w:tcPr>
          <w:p w:rsidR="003F5784" w14:paraId="0A78F310" w14:textId="77777777">
            <w:pPr>
              <w:pStyle w:val="TableParagraph"/>
              <w:ind w:right="818"/>
              <w:rPr>
                <w:sz w:val="21"/>
              </w:rPr>
            </w:pPr>
            <w:r>
              <w:rPr>
                <w:spacing w:val="-4"/>
                <w:sz w:val="21"/>
              </w:rPr>
              <w:t>0.89</w:t>
            </w:r>
          </w:p>
        </w:tc>
        <w:tc>
          <w:tcPr>
            <w:tcW w:w="1306" w:type="dxa"/>
          </w:tcPr>
          <w:p w:rsidR="003F5784" w14:paraId="5D1152F3" w14:textId="77777777">
            <w:pPr>
              <w:pStyle w:val="TableParagraph"/>
              <w:ind w:right="117"/>
              <w:rPr>
                <w:sz w:val="21"/>
              </w:rPr>
            </w:pPr>
            <w:r>
              <w:rPr>
                <w:spacing w:val="-4"/>
                <w:sz w:val="21"/>
              </w:rPr>
              <w:t>0.44</w:t>
            </w:r>
          </w:p>
        </w:tc>
      </w:tr>
      <w:tr w14:paraId="2DCE8489" w14:textId="77777777">
        <w:tblPrEx>
          <w:tblW w:w="0" w:type="auto"/>
          <w:tblInd w:w="482" w:type="dxa"/>
          <w:tblLayout w:type="fixed"/>
          <w:tblCellMar>
            <w:left w:w="0" w:type="dxa"/>
            <w:right w:w="0" w:type="dxa"/>
          </w:tblCellMar>
          <w:tblLook w:val="01E0"/>
        </w:tblPrEx>
        <w:trPr>
          <w:trHeight w:val="286"/>
        </w:trPr>
        <w:tc>
          <w:tcPr>
            <w:tcW w:w="5921" w:type="dxa"/>
          </w:tcPr>
          <w:p w:rsidR="003F5784" w14:paraId="58D02870" w14:textId="77777777">
            <w:pPr>
              <w:pStyle w:val="TableParagraph"/>
              <w:ind w:left="328"/>
              <w:jc w:val="left"/>
              <w:rPr>
                <w:sz w:val="21"/>
              </w:rPr>
            </w:pPr>
            <w:r>
              <w:rPr>
                <w:sz w:val="21"/>
              </w:rPr>
              <w:t>District</w:t>
            </w:r>
            <w:r>
              <w:rPr>
                <w:spacing w:val="-6"/>
                <w:sz w:val="21"/>
              </w:rPr>
              <w:t xml:space="preserve"> </w:t>
            </w:r>
            <w:r>
              <w:rPr>
                <w:sz w:val="21"/>
              </w:rPr>
              <w:t>of</w:t>
            </w:r>
            <w:r>
              <w:rPr>
                <w:spacing w:val="-5"/>
                <w:sz w:val="21"/>
              </w:rPr>
              <w:t xml:space="preserve"> </w:t>
            </w:r>
            <w:r>
              <w:rPr>
                <w:spacing w:val="-2"/>
                <w:sz w:val="21"/>
              </w:rPr>
              <w:t>Columbia</w:t>
            </w:r>
          </w:p>
        </w:tc>
        <w:tc>
          <w:tcPr>
            <w:tcW w:w="2337" w:type="dxa"/>
          </w:tcPr>
          <w:p w:rsidR="003F5784" w14:paraId="44AC2907" w14:textId="77777777">
            <w:pPr>
              <w:pStyle w:val="TableParagraph"/>
              <w:ind w:right="818"/>
              <w:rPr>
                <w:sz w:val="21"/>
              </w:rPr>
            </w:pPr>
            <w:r>
              <w:rPr>
                <w:spacing w:val="-4"/>
                <w:sz w:val="21"/>
              </w:rPr>
              <w:t>0.99</w:t>
            </w:r>
          </w:p>
        </w:tc>
        <w:tc>
          <w:tcPr>
            <w:tcW w:w="2210" w:type="dxa"/>
          </w:tcPr>
          <w:p w:rsidR="003F5784" w14:paraId="1BAED14E" w14:textId="77777777">
            <w:pPr>
              <w:pStyle w:val="TableParagraph"/>
              <w:ind w:right="1021"/>
              <w:rPr>
                <w:sz w:val="21"/>
              </w:rPr>
            </w:pPr>
            <w:r>
              <w:rPr>
                <w:spacing w:val="-4"/>
                <w:sz w:val="21"/>
              </w:rPr>
              <w:t>0.79</w:t>
            </w:r>
          </w:p>
        </w:tc>
        <w:tc>
          <w:tcPr>
            <w:tcW w:w="2210" w:type="dxa"/>
          </w:tcPr>
          <w:p w:rsidR="003F5784" w14:paraId="1CA0560F" w14:textId="77777777">
            <w:pPr>
              <w:pStyle w:val="TableParagraph"/>
              <w:ind w:right="818"/>
              <w:rPr>
                <w:sz w:val="21"/>
              </w:rPr>
            </w:pPr>
            <w:r>
              <w:rPr>
                <w:spacing w:val="-4"/>
                <w:sz w:val="21"/>
              </w:rPr>
              <w:t>1.07</w:t>
            </w:r>
          </w:p>
        </w:tc>
        <w:tc>
          <w:tcPr>
            <w:tcW w:w="1306" w:type="dxa"/>
          </w:tcPr>
          <w:p w:rsidR="003F5784" w14:paraId="4E12442E" w14:textId="77777777">
            <w:pPr>
              <w:pStyle w:val="TableParagraph"/>
              <w:ind w:right="117"/>
              <w:rPr>
                <w:sz w:val="21"/>
              </w:rPr>
            </w:pPr>
            <w:r>
              <w:rPr>
                <w:spacing w:val="-4"/>
                <w:sz w:val="21"/>
              </w:rPr>
              <w:t>0.95</w:t>
            </w:r>
          </w:p>
        </w:tc>
      </w:tr>
      <w:tr w14:paraId="24C3ED16" w14:textId="77777777">
        <w:tblPrEx>
          <w:tblW w:w="0" w:type="auto"/>
          <w:tblInd w:w="482" w:type="dxa"/>
          <w:tblLayout w:type="fixed"/>
          <w:tblCellMar>
            <w:left w:w="0" w:type="dxa"/>
            <w:right w:w="0" w:type="dxa"/>
          </w:tblCellMar>
          <w:tblLook w:val="01E0"/>
        </w:tblPrEx>
        <w:trPr>
          <w:trHeight w:val="289"/>
        </w:trPr>
        <w:tc>
          <w:tcPr>
            <w:tcW w:w="5921" w:type="dxa"/>
            <w:tcBorders>
              <w:bottom w:val="single" w:sz="18" w:space="0" w:color="800000"/>
            </w:tcBorders>
          </w:tcPr>
          <w:p w:rsidR="003F5784" w14:paraId="66BF3DDB" w14:textId="77777777">
            <w:pPr>
              <w:pStyle w:val="TableParagraph"/>
              <w:ind w:left="328"/>
              <w:jc w:val="left"/>
              <w:rPr>
                <w:sz w:val="21"/>
              </w:rPr>
            </w:pPr>
            <w:r>
              <w:rPr>
                <w:sz w:val="21"/>
              </w:rPr>
              <w:t>Puerto</w:t>
            </w:r>
            <w:r>
              <w:rPr>
                <w:spacing w:val="-7"/>
                <w:sz w:val="21"/>
              </w:rPr>
              <w:t xml:space="preserve"> </w:t>
            </w:r>
            <w:r>
              <w:rPr>
                <w:spacing w:val="-4"/>
                <w:sz w:val="21"/>
              </w:rPr>
              <w:t>Rico</w:t>
            </w:r>
          </w:p>
        </w:tc>
        <w:tc>
          <w:tcPr>
            <w:tcW w:w="2337" w:type="dxa"/>
            <w:tcBorders>
              <w:bottom w:val="single" w:sz="18" w:space="0" w:color="800000"/>
            </w:tcBorders>
          </w:tcPr>
          <w:p w:rsidR="003F5784" w14:paraId="51B4DC57" w14:textId="77777777">
            <w:pPr>
              <w:pStyle w:val="TableParagraph"/>
              <w:ind w:right="818"/>
              <w:rPr>
                <w:sz w:val="21"/>
              </w:rPr>
            </w:pPr>
            <w:r>
              <w:rPr>
                <w:spacing w:val="-4"/>
                <w:sz w:val="21"/>
              </w:rPr>
              <w:t>1.09</w:t>
            </w:r>
          </w:p>
        </w:tc>
        <w:tc>
          <w:tcPr>
            <w:tcW w:w="2210" w:type="dxa"/>
            <w:tcBorders>
              <w:bottom w:val="single" w:sz="18" w:space="0" w:color="800000"/>
            </w:tcBorders>
          </w:tcPr>
          <w:p w:rsidR="003F5784" w14:paraId="2275D105" w14:textId="77777777">
            <w:pPr>
              <w:pStyle w:val="TableParagraph"/>
              <w:ind w:right="1021"/>
              <w:rPr>
                <w:sz w:val="21"/>
              </w:rPr>
            </w:pPr>
            <w:r>
              <w:rPr>
                <w:spacing w:val="-10"/>
                <w:sz w:val="21"/>
              </w:rPr>
              <w:t>†</w:t>
            </w:r>
          </w:p>
        </w:tc>
        <w:tc>
          <w:tcPr>
            <w:tcW w:w="2210" w:type="dxa"/>
            <w:tcBorders>
              <w:bottom w:val="single" w:sz="18" w:space="0" w:color="800000"/>
            </w:tcBorders>
          </w:tcPr>
          <w:p w:rsidR="003F5784" w14:paraId="1CE0775F" w14:textId="77777777">
            <w:pPr>
              <w:pStyle w:val="TableParagraph"/>
              <w:ind w:right="818"/>
              <w:rPr>
                <w:sz w:val="21"/>
              </w:rPr>
            </w:pPr>
            <w:r>
              <w:rPr>
                <w:spacing w:val="-4"/>
                <w:sz w:val="21"/>
              </w:rPr>
              <w:t>1.44</w:t>
            </w:r>
          </w:p>
        </w:tc>
        <w:tc>
          <w:tcPr>
            <w:tcW w:w="1306" w:type="dxa"/>
            <w:tcBorders>
              <w:bottom w:val="single" w:sz="18" w:space="0" w:color="800000"/>
            </w:tcBorders>
          </w:tcPr>
          <w:p w:rsidR="003F5784" w14:paraId="6A504715" w14:textId="77777777">
            <w:pPr>
              <w:pStyle w:val="TableParagraph"/>
              <w:ind w:right="117"/>
              <w:rPr>
                <w:sz w:val="21"/>
              </w:rPr>
            </w:pPr>
            <w:r>
              <w:rPr>
                <w:spacing w:val="-10"/>
                <w:sz w:val="21"/>
              </w:rPr>
              <w:t>†</w:t>
            </w:r>
          </w:p>
        </w:tc>
      </w:tr>
    </w:tbl>
    <w:p w:rsidR="003F5784" w14:paraId="0B6B3385" w14:textId="77777777">
      <w:pPr>
        <w:pStyle w:val="BodyText"/>
        <w:spacing w:before="25" w:line="238" w:lineRule="exact"/>
        <w:ind w:left="595"/>
      </w:pPr>
      <w:r>
        <w:t>†</w:t>
      </w:r>
      <w:r>
        <w:rPr>
          <w:spacing w:val="-4"/>
        </w:rPr>
        <w:t xml:space="preserve"> </w:t>
      </w:r>
      <w:r>
        <w:t>Not</w:t>
      </w:r>
      <w:r>
        <w:rPr>
          <w:spacing w:val="-3"/>
        </w:rPr>
        <w:t xml:space="preserve"> </w:t>
      </w:r>
      <w:r>
        <w:rPr>
          <w:spacing w:val="-2"/>
        </w:rPr>
        <w:t>applicable.</w:t>
      </w:r>
    </w:p>
    <w:p w:rsidR="003F5784" w14:paraId="2AA43695" w14:textId="77777777">
      <w:pPr>
        <w:pStyle w:val="BodyText"/>
        <w:spacing w:line="235"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78CEAD9E"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State Assessment.</w:t>
      </w:r>
    </w:p>
    <w:p w:rsidR="003F5784" w14:paraId="2BE78F25" w14:textId="77777777">
      <w:pPr>
        <w:pStyle w:val="BodyText"/>
      </w:pPr>
    </w:p>
    <w:p w:rsidR="003F5784" w14:paraId="6D6B44F2" w14:textId="77777777">
      <w:pPr>
        <w:pStyle w:val="BodyText"/>
        <w:spacing w:before="205"/>
      </w:pPr>
    </w:p>
    <w:p w:rsidR="003F5784" w14:paraId="4740F532" w14:textId="77777777">
      <w:pPr>
        <w:ind w:left="2623"/>
        <w:rPr>
          <w:sz w:val="18"/>
        </w:rPr>
      </w:pPr>
      <w:hyperlink r:id="rId290">
        <w:r>
          <w:rPr>
            <w:spacing w:val="-2"/>
            <w:w w:val="105"/>
            <w:sz w:val="18"/>
          </w:rPr>
          <w:t>http://nces.ed.gov/nationsreportcard/tdw/sample_design/2022/weighted_student_remote_rates_by_participating_jurisdiction_for_the_2022_state_assessment.aspx</w:t>
        </w:r>
      </w:hyperlink>
    </w:p>
    <w:p w:rsidR="003F5784" w14:paraId="220B4D9E" w14:textId="77777777">
      <w:pPr>
        <w:pStyle w:val="BodyText"/>
        <w:rPr>
          <w:sz w:val="16"/>
        </w:rPr>
      </w:pPr>
      <w:r>
        <w:rPr>
          <w:noProof/>
        </w:rPr>
        <mc:AlternateContent>
          <mc:Choice Requires="wps">
            <w:drawing>
              <wp:anchor distT="0" distB="0" distL="0" distR="0" simplePos="0" relativeHeight="251931648" behindDoc="1" locked="0" layoutInCell="1" allowOverlap="1">
                <wp:simplePos x="0" y="0"/>
                <wp:positionH relativeFrom="page">
                  <wp:posOffset>361937</wp:posOffset>
                </wp:positionH>
                <wp:positionV relativeFrom="paragraph">
                  <wp:posOffset>132645</wp:posOffset>
                </wp:positionV>
                <wp:extent cx="9339580" cy="8890"/>
                <wp:effectExtent l="0" t="0" r="0" b="0"/>
                <wp:wrapTopAndBottom/>
                <wp:docPr id="374" name="Graphic 374"/>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63"/>
                              </a:moveTo>
                              <a:lnTo>
                                <a:pt x="9335110" y="63"/>
                              </a:lnTo>
                              <a:lnTo>
                                <a:pt x="8280" y="63"/>
                              </a:lnTo>
                              <a:lnTo>
                                <a:pt x="0" y="0"/>
                              </a:lnTo>
                              <a:lnTo>
                                <a:pt x="0" y="8280"/>
                              </a:lnTo>
                              <a:lnTo>
                                <a:pt x="9335110" y="8343"/>
                              </a:lnTo>
                              <a:lnTo>
                                <a:pt x="9338970" y="8343"/>
                              </a:lnTo>
                              <a:lnTo>
                                <a:pt x="9338970" y="63"/>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374" o:spid="_x0000_s1139" style="width:735.4pt;height:0.7pt;margin-top:10.45pt;margin-left:28.5pt;mso-position-horizontal-relative:page;mso-wrap-distance-bottom:0;mso-wrap-distance-left:0;mso-wrap-distance-right:0;mso-wrap-distance-top:0;mso-wrap-style:square;position:absolute;visibility:visible;v-text-anchor:top;z-index:-251383808" coordsize="9339580,8890" path="m9338970,63l9335110,63l8280,63,,,,8280l9335110,8343l9338970,8343l9338970,63xe" fillcolor="gray" stroked="f">
                <v:path arrowok="t"/>
                <w10:wrap type="topAndBottom"/>
              </v:shape>
            </w:pict>
          </mc:Fallback>
        </mc:AlternateContent>
      </w:r>
    </w:p>
    <w:p w:rsidR="003F5784" w14:paraId="26AD60B2" w14:textId="77777777">
      <w:pPr>
        <w:pStyle w:val="BodyText"/>
        <w:rPr>
          <w:sz w:val="18"/>
        </w:rPr>
      </w:pPr>
    </w:p>
    <w:p w:rsidR="003F5784" w14:paraId="64634C47" w14:textId="77777777">
      <w:pPr>
        <w:pStyle w:val="BodyText"/>
        <w:spacing w:before="193"/>
        <w:rPr>
          <w:sz w:val="18"/>
        </w:rPr>
      </w:pPr>
    </w:p>
    <w:p w:rsidR="003F5784" w14:paraId="507221CC" w14:textId="4D0AE80E">
      <w:pPr>
        <w:pStyle w:val="Heading1"/>
        <w:spacing w:line="244" w:lineRule="auto"/>
        <w:ind w:right="179"/>
      </w:pPr>
      <w:r>
        <w:t>NAEP</w:t>
      </w:r>
      <w:r>
        <w:rPr>
          <w:spacing w:val="-15"/>
        </w:rPr>
        <w:t xml:space="preserve"> </w:t>
      </w:r>
      <w:r>
        <w:t>Technical Documentation</w:t>
      </w:r>
      <w:r w:rsidR="00E3225D">
        <w:t xml:space="preserve"> </w:t>
      </w:r>
      <w:r>
        <w:t>Weighted Student Response and Exclusion Rates for the 2022 State Mathematics Assessment</w:t>
      </w:r>
    </w:p>
    <w:p w:rsidR="003F5784" w14:paraId="45877F6D" w14:textId="77777777">
      <w:pPr>
        <w:pStyle w:val="BodyText"/>
        <w:spacing w:before="287" w:line="232" w:lineRule="auto"/>
        <w:ind w:left="109" w:right="179"/>
      </w:pPr>
      <w:r>
        <w:t>The following table presents weighted student response and exclusion rates, by participating jurisdiction, for the fourth- and eighth-grade public school state assessment samples.</w:t>
      </w:r>
      <w:r>
        <w:rPr>
          <w:spacing w:val="-14"/>
        </w:rPr>
        <w:t xml:space="preserve"> </w:t>
      </w:r>
      <w:r>
        <w:t>States</w:t>
      </w:r>
      <w:r>
        <w:rPr>
          <w:spacing w:val="-5"/>
        </w:rPr>
        <w:t xml:space="preserve"> </w:t>
      </w:r>
      <w:r>
        <w:t>with</w:t>
      </w:r>
      <w:r>
        <w:rPr>
          <w:spacing w:val="-10"/>
        </w:rPr>
        <w:t xml:space="preserve"> </w:t>
      </w:r>
      <w:r>
        <w:rPr>
          <w:color w:val="0066CC"/>
        </w:rPr>
        <w:t>Trial</w:t>
      </w:r>
      <w:r>
        <w:rPr>
          <w:color w:val="0066CC"/>
          <w:spacing w:val="-6"/>
        </w:rPr>
        <w:t xml:space="preserve"> </w:t>
      </w:r>
      <w:r>
        <w:rPr>
          <w:color w:val="0066CC"/>
        </w:rPr>
        <w:t>Urban</w:t>
      </w:r>
      <w:r>
        <w:rPr>
          <w:color w:val="0066CC"/>
          <w:spacing w:val="-6"/>
        </w:rPr>
        <w:t xml:space="preserve"> </w:t>
      </w:r>
      <w:r>
        <w:rPr>
          <w:color w:val="0066CC"/>
        </w:rPr>
        <w:t>District</w:t>
      </w:r>
      <w:r>
        <w:rPr>
          <w:color w:val="0066CC"/>
          <w:spacing w:val="-14"/>
        </w:rPr>
        <w:t xml:space="preserve"> </w:t>
      </w:r>
      <w:r>
        <w:rPr>
          <w:color w:val="0066CC"/>
        </w:rPr>
        <w:t>Assessment</w:t>
      </w:r>
      <w:r>
        <w:rPr>
          <w:color w:val="0066CC"/>
          <w:spacing w:val="-5"/>
        </w:rPr>
        <w:t xml:space="preserve"> </w:t>
      </w:r>
      <w:r>
        <w:rPr>
          <w:color w:val="0066CC"/>
        </w:rPr>
        <w:t>(TUDA)</w:t>
      </w:r>
      <w:r>
        <w:rPr>
          <w:color w:val="0066CC"/>
          <w:spacing w:val="-6"/>
        </w:rPr>
        <w:t xml:space="preserve"> </w:t>
      </w:r>
      <w:r>
        <w:t>districts</w:t>
      </w:r>
      <w:r>
        <w:rPr>
          <w:spacing w:val="-6"/>
        </w:rPr>
        <w:t xml:space="preserve"> </w:t>
      </w:r>
      <w:r>
        <w:t>are</w:t>
      </w:r>
      <w:r>
        <w:rPr>
          <w:spacing w:val="-6"/>
        </w:rPr>
        <w:t xml:space="preserve"> </w:t>
      </w:r>
      <w:r>
        <w:t>shown</w:t>
      </w:r>
      <w:r>
        <w:rPr>
          <w:spacing w:val="-6"/>
        </w:rPr>
        <w:t xml:space="preserve"> </w:t>
      </w:r>
      <w:r>
        <w:t>in</w:t>
      </w:r>
      <w:r>
        <w:rPr>
          <w:spacing w:val="-6"/>
        </w:rPr>
        <w:t xml:space="preserve"> </w:t>
      </w:r>
      <w:r>
        <w:t>multiple</w:t>
      </w:r>
      <w:r>
        <w:rPr>
          <w:spacing w:val="-6"/>
        </w:rPr>
        <w:t xml:space="preserve"> </w:t>
      </w:r>
      <w:r>
        <w:t>rows:</w:t>
      </w:r>
      <w:r>
        <w:rPr>
          <w:spacing w:val="-6"/>
        </w:rPr>
        <w:t xml:space="preserve"> </w:t>
      </w:r>
      <w:r>
        <w:t>for</w:t>
      </w:r>
      <w:r>
        <w:rPr>
          <w:spacing w:val="-6"/>
        </w:rPr>
        <w:t xml:space="preserve"> </w:t>
      </w:r>
      <w:r>
        <w:t>the</w:t>
      </w:r>
      <w:r>
        <w:rPr>
          <w:spacing w:val="-10"/>
        </w:rPr>
        <w:t xml:space="preserve"> </w:t>
      </w:r>
      <w:r>
        <w:t>TUDA</w:t>
      </w:r>
      <w:r>
        <w:rPr>
          <w:spacing w:val="-14"/>
        </w:rPr>
        <w:t xml:space="preserve"> </w:t>
      </w:r>
      <w:r>
        <w:t>district(s)</w:t>
      </w:r>
      <w:r>
        <w:rPr>
          <w:spacing w:val="-5"/>
        </w:rPr>
        <w:t xml:space="preserve"> </w:t>
      </w:r>
      <w:r>
        <w:t>and</w:t>
      </w:r>
      <w:r>
        <w:rPr>
          <w:spacing w:val="-6"/>
        </w:rPr>
        <w:t xml:space="preserve"> </w:t>
      </w:r>
      <w:r>
        <w:t>for</w:t>
      </w:r>
      <w:r>
        <w:rPr>
          <w:spacing w:val="-6"/>
        </w:rPr>
        <w:t xml:space="preserve"> </w:t>
      </w:r>
      <w:r>
        <w:t>the</w:t>
      </w:r>
      <w:r>
        <w:rPr>
          <w:spacing w:val="-6"/>
        </w:rPr>
        <w:t xml:space="preserve"> </w:t>
      </w:r>
      <w:r>
        <w:t>state</w:t>
      </w:r>
      <w:r>
        <w:rPr>
          <w:spacing w:val="-6"/>
        </w:rPr>
        <w:t xml:space="preserve"> </w:t>
      </w:r>
      <w:r>
        <w:t>as</w:t>
      </w:r>
      <w:r>
        <w:rPr>
          <w:spacing w:val="-6"/>
        </w:rPr>
        <w:t xml:space="preserve"> </w:t>
      </w:r>
      <w:r>
        <w:t>a</w:t>
      </w:r>
      <w:r>
        <w:rPr>
          <w:spacing w:val="-6"/>
        </w:rPr>
        <w:t xml:space="preserve"> </w:t>
      </w:r>
      <w:r>
        <w:t>whole</w:t>
      </w:r>
      <w:r>
        <w:rPr>
          <w:spacing w:val="-6"/>
        </w:rPr>
        <w:t xml:space="preserve"> </w:t>
      </w:r>
      <w:r>
        <w:t>(the</w:t>
      </w:r>
      <w:r>
        <w:rPr>
          <w:spacing w:val="-10"/>
        </w:rPr>
        <w:t xml:space="preserve"> </w:t>
      </w:r>
      <w:r>
        <w:t>TUDA</w:t>
      </w:r>
      <w:r>
        <w:rPr>
          <w:spacing w:val="-14"/>
        </w:rPr>
        <w:t xml:space="preserve"> </w:t>
      </w:r>
      <w:r>
        <w:t>district[s] plus the rest of the state).</w:t>
      </w:r>
    </w:p>
    <w:p w:rsidR="003F5784" w14:paraId="7A305D26" w14:textId="77777777">
      <w:pPr>
        <w:pStyle w:val="BodyText"/>
        <w:spacing w:before="203"/>
        <w:ind w:left="109"/>
      </w:pPr>
      <w:r>
        <w:t>Separate</w:t>
      </w:r>
      <w:r>
        <w:rPr>
          <w:spacing w:val="-7"/>
        </w:rPr>
        <w:t xml:space="preserve"> </w:t>
      </w:r>
      <w:r>
        <w:t>exclusion</w:t>
      </w:r>
      <w:r>
        <w:rPr>
          <w:spacing w:val="-7"/>
        </w:rPr>
        <w:t xml:space="preserve"> </w:t>
      </w:r>
      <w:r>
        <w:t>rates</w:t>
      </w:r>
      <w:r>
        <w:rPr>
          <w:spacing w:val="-6"/>
        </w:rPr>
        <w:t xml:space="preserve"> </w:t>
      </w:r>
      <w:r>
        <w:t>are</w:t>
      </w:r>
      <w:r>
        <w:rPr>
          <w:spacing w:val="-7"/>
        </w:rPr>
        <w:t xml:space="preserve"> </w:t>
      </w:r>
      <w:r>
        <w:t>provided</w:t>
      </w:r>
      <w:r>
        <w:rPr>
          <w:spacing w:val="-6"/>
        </w:rPr>
        <w:t xml:space="preserve"> </w:t>
      </w:r>
      <w:r>
        <w:t>for</w:t>
      </w:r>
      <w:r>
        <w:rPr>
          <w:spacing w:val="-7"/>
        </w:rPr>
        <w:t xml:space="preserve"> </w:t>
      </w:r>
      <w:r>
        <w:rPr>
          <w:color w:val="0066CC"/>
        </w:rPr>
        <w:t>students</w:t>
      </w:r>
      <w:r>
        <w:rPr>
          <w:color w:val="0066CC"/>
          <w:spacing w:val="-6"/>
        </w:rPr>
        <w:t xml:space="preserve"> </w:t>
      </w:r>
      <w:r>
        <w:rPr>
          <w:color w:val="0066CC"/>
        </w:rPr>
        <w:t>with</w:t>
      </w:r>
      <w:r>
        <w:rPr>
          <w:color w:val="0066CC"/>
          <w:spacing w:val="-7"/>
        </w:rPr>
        <w:t xml:space="preserve"> </w:t>
      </w:r>
      <w:r>
        <w:rPr>
          <w:color w:val="0066CC"/>
        </w:rPr>
        <w:t>disabilities</w:t>
      </w:r>
      <w:r>
        <w:rPr>
          <w:color w:val="0066CC"/>
          <w:spacing w:val="-6"/>
        </w:rPr>
        <w:t xml:space="preserve"> </w:t>
      </w:r>
      <w:r>
        <w:rPr>
          <w:color w:val="0066CC"/>
        </w:rPr>
        <w:t>(SD)</w:t>
      </w:r>
      <w:r>
        <w:rPr>
          <w:color w:val="0066CC"/>
          <w:spacing w:val="-7"/>
        </w:rPr>
        <w:t xml:space="preserve"> </w:t>
      </w:r>
      <w:r>
        <w:t>and</w:t>
      </w:r>
      <w:r>
        <w:rPr>
          <w:spacing w:val="-6"/>
        </w:rPr>
        <w:t xml:space="preserve"> </w:t>
      </w:r>
      <w:r>
        <w:rPr>
          <w:color w:val="0066CC"/>
        </w:rPr>
        <w:t>English</w:t>
      </w:r>
      <w:r>
        <w:rPr>
          <w:color w:val="0066CC"/>
          <w:spacing w:val="-7"/>
        </w:rPr>
        <w:t xml:space="preserve"> </w:t>
      </w:r>
      <w:r>
        <w:rPr>
          <w:color w:val="0066CC"/>
        </w:rPr>
        <w:t>learners</w:t>
      </w:r>
      <w:r>
        <w:rPr>
          <w:color w:val="0066CC"/>
          <w:spacing w:val="-6"/>
        </w:rPr>
        <w:t xml:space="preserve"> </w:t>
      </w:r>
      <w:r>
        <w:rPr>
          <w:color w:val="0066CC"/>
          <w:spacing w:val="-2"/>
        </w:rPr>
        <w:t>(EL)</w:t>
      </w:r>
      <w:r>
        <w:rPr>
          <w:spacing w:val="-2"/>
        </w:rPr>
        <w:t>.</w:t>
      </w:r>
    </w:p>
    <w:p w:rsidR="003F5784" w14:paraId="2C7271DE" w14:textId="77777777">
      <w:pPr>
        <w:sectPr>
          <w:type w:val="continuous"/>
          <w:pgSz w:w="15840" w:h="12240" w:orient="landscape"/>
          <w:pgMar w:top="480" w:right="440" w:bottom="460" w:left="460" w:header="284" w:footer="275" w:gutter="0"/>
          <w:cols w:space="720"/>
        </w:sectPr>
      </w:pPr>
    </w:p>
    <w:p w:rsidR="003F5784" w14:paraId="3D871D40" w14:textId="77777777">
      <w:pPr>
        <w:pStyle w:val="BodyText"/>
        <w:spacing w:before="78" w:line="232" w:lineRule="auto"/>
        <w:ind w:left="109"/>
      </w:pPr>
      <w:r>
        <w:t>A</w:t>
      </w:r>
      <w:r>
        <w:rPr>
          <w:spacing w:val="-14"/>
        </w:rPr>
        <w:t xml:space="preserve"> </w:t>
      </w:r>
      <w:r>
        <w:t>weighted</w:t>
      </w:r>
      <w:r>
        <w:rPr>
          <w:spacing w:val="-11"/>
        </w:rPr>
        <w:t xml:space="preserve"> </w:t>
      </w:r>
      <w:r>
        <w:t>student</w:t>
      </w:r>
      <w:r>
        <w:rPr>
          <w:spacing w:val="-6"/>
        </w:rPr>
        <w:t xml:space="preserve"> </w:t>
      </w:r>
      <w:r>
        <w:t>response</w:t>
      </w:r>
      <w:r>
        <w:rPr>
          <w:spacing w:val="-6"/>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6"/>
        </w:rPr>
        <w:t xml:space="preserve"> </w:t>
      </w:r>
      <w:r>
        <w:t>of</w:t>
      </w:r>
      <w:r>
        <w:rPr>
          <w:spacing w:val="-6"/>
        </w:rPr>
        <w:t xml:space="preserve"> </w:t>
      </w:r>
      <w:r>
        <w:t>the</w:t>
      </w:r>
      <w:r>
        <w:rPr>
          <w:spacing w:val="-6"/>
        </w:rPr>
        <w:t xml:space="preserve"> </w:t>
      </w:r>
      <w:r>
        <w:t>student</w:t>
      </w:r>
      <w:r>
        <w:rPr>
          <w:spacing w:val="-6"/>
        </w:rPr>
        <w:t xml:space="preserve"> </w:t>
      </w:r>
      <w:r>
        <w:t>population</w:t>
      </w:r>
      <w:r>
        <w:rPr>
          <w:spacing w:val="-6"/>
        </w:rPr>
        <w:t xml:space="preserve"> </w:t>
      </w:r>
      <w:r>
        <w:t>that</w:t>
      </w:r>
      <w:r>
        <w:rPr>
          <w:spacing w:val="-6"/>
        </w:rPr>
        <w:t xml:space="preserve"> </w:t>
      </w:r>
      <w:r>
        <w:t>is</w:t>
      </w:r>
      <w:r>
        <w:rPr>
          <w:spacing w:val="-6"/>
        </w:rPr>
        <w:t xml:space="preserve"> </w:t>
      </w:r>
      <w:r>
        <w:t>directly</w:t>
      </w:r>
      <w:r>
        <w:rPr>
          <w:spacing w:val="-6"/>
        </w:rPr>
        <w:t xml:space="preserve"> </w:t>
      </w:r>
      <w:r>
        <w:t>represented</w:t>
      </w:r>
      <w:r>
        <w:rPr>
          <w:spacing w:val="-6"/>
        </w:rPr>
        <w:t xml:space="preserve"> </w:t>
      </w:r>
      <w:r>
        <w:t>by</w:t>
      </w:r>
      <w:r>
        <w:rPr>
          <w:spacing w:val="-6"/>
        </w:rPr>
        <w:t xml:space="preserve"> </w:t>
      </w:r>
      <w:r>
        <w:t>the</w:t>
      </w:r>
      <w:r>
        <w:rPr>
          <w:spacing w:val="-6"/>
        </w:rPr>
        <w:t xml:space="preserve"> </w:t>
      </w:r>
      <w:r>
        <w:t>assessed</w:t>
      </w:r>
      <w:r>
        <w:rPr>
          <w:spacing w:val="-6"/>
        </w:rPr>
        <w:t xml:space="preserve"> </w:t>
      </w:r>
      <w:r>
        <w:t>students</w:t>
      </w:r>
      <w:r>
        <w:rPr>
          <w:spacing w:val="-6"/>
        </w:rPr>
        <w:t xml:space="preserve"> </w:t>
      </w:r>
      <w:r>
        <w:t>from</w:t>
      </w:r>
      <w:r>
        <w:rPr>
          <w:spacing w:val="-6"/>
        </w:rPr>
        <w:t xml:space="preserve"> </w:t>
      </w:r>
      <w:r>
        <w:t>within</w:t>
      </w:r>
      <w:r>
        <w:rPr>
          <w:spacing w:val="-6"/>
        </w:rPr>
        <w:t xml:space="preserve"> </w:t>
      </w:r>
      <w:r>
        <w:t>participating</w:t>
      </w:r>
      <w:r>
        <w:rPr>
          <w:spacing w:val="-6"/>
        </w:rPr>
        <w:t xml:space="preserve"> </w:t>
      </w:r>
      <w:r>
        <w:t>schools.</w:t>
      </w:r>
      <w:r>
        <w:rPr>
          <w:spacing w:val="-14"/>
        </w:rPr>
        <w:t xml:space="preserve"> </w:t>
      </w:r>
      <w:r>
        <w:t>A weighted exclusion rate indicates the percentage of students in the population that would be excluded from the assessment.</w:t>
      </w:r>
    </w:p>
    <w:p w:rsidR="003F5784" w14:paraId="037A04A8" w14:textId="77777777">
      <w:pPr>
        <w:pStyle w:val="BodyText"/>
        <w:spacing w:before="92"/>
      </w:pPr>
    </w:p>
    <w:p w:rsidR="003F5784" w14:paraId="7B1163CA" w14:textId="77777777">
      <w:pPr>
        <w:pStyle w:val="Heading2"/>
      </w:pPr>
      <w:r>
        <w:t>Weighted</w:t>
      </w:r>
      <w:r>
        <w:rPr>
          <w:spacing w:val="-9"/>
        </w:rPr>
        <w:t xml:space="preserve"> </w:t>
      </w:r>
      <w:r>
        <w:t>student</w:t>
      </w:r>
      <w:r>
        <w:rPr>
          <w:spacing w:val="-8"/>
        </w:rPr>
        <w:t xml:space="preserve"> </w:t>
      </w:r>
      <w:r>
        <w:t>response</w:t>
      </w:r>
      <w:r>
        <w:rPr>
          <w:spacing w:val="-9"/>
        </w:rPr>
        <w:t xml:space="preserve"> </w:t>
      </w:r>
      <w:r>
        <w:t>and</w:t>
      </w:r>
      <w:r>
        <w:rPr>
          <w:spacing w:val="-8"/>
        </w:rPr>
        <w:t xml:space="preserve"> </w:t>
      </w:r>
      <w:r>
        <w:t>exclusion</w:t>
      </w:r>
      <w:r>
        <w:rPr>
          <w:spacing w:val="-9"/>
        </w:rPr>
        <w:t xml:space="preserve"> </w:t>
      </w:r>
      <w:r>
        <w:t>rates</w:t>
      </w:r>
      <w:r>
        <w:rPr>
          <w:spacing w:val="-8"/>
        </w:rPr>
        <w:t xml:space="preserve"> </w:t>
      </w:r>
      <w:r>
        <w:t>for</w:t>
      </w:r>
      <w:r>
        <w:rPr>
          <w:spacing w:val="-12"/>
        </w:rPr>
        <w:t xml:space="preserve"> </w:t>
      </w:r>
      <w:r>
        <w:t>public</w:t>
      </w:r>
      <w:r>
        <w:rPr>
          <w:spacing w:val="-8"/>
        </w:rPr>
        <w:t xml:space="preserve"> </w:t>
      </w:r>
      <w:r>
        <w:t>schools,</w:t>
      </w:r>
      <w:r>
        <w:rPr>
          <w:spacing w:val="-9"/>
        </w:rPr>
        <w:t xml:space="preserve"> </w:t>
      </w:r>
      <w:r>
        <w:t>state</w:t>
      </w:r>
      <w:r>
        <w:rPr>
          <w:spacing w:val="-8"/>
        </w:rPr>
        <w:t xml:space="preserve"> </w:t>
      </w:r>
      <w:r>
        <w:t>mathematics</w:t>
      </w:r>
      <w:r>
        <w:rPr>
          <w:spacing w:val="-9"/>
        </w:rPr>
        <w:t xml:space="preserve"> </w:t>
      </w:r>
      <w:r>
        <w:t>assessment,</w:t>
      </w:r>
      <w:r>
        <w:rPr>
          <w:spacing w:val="-8"/>
        </w:rPr>
        <w:t xml:space="preserve"> </w:t>
      </w:r>
      <w:r>
        <w:t>by</w:t>
      </w:r>
      <w:r>
        <w:rPr>
          <w:spacing w:val="-8"/>
        </w:rPr>
        <w:t xml:space="preserve"> </w:t>
      </w:r>
      <w:r>
        <w:t>grade</w:t>
      </w:r>
      <w:r>
        <w:rPr>
          <w:spacing w:val="-9"/>
        </w:rPr>
        <w:t xml:space="preserve"> </w:t>
      </w:r>
      <w:r>
        <w:t>and</w:t>
      </w:r>
      <w:r>
        <w:rPr>
          <w:spacing w:val="-8"/>
        </w:rPr>
        <w:t xml:space="preserve"> </w:t>
      </w:r>
      <w:r>
        <w:t>jurisdiction:</w:t>
      </w:r>
      <w:r>
        <w:rPr>
          <w:spacing w:val="-9"/>
        </w:rPr>
        <w:t xml:space="preserve"> </w:t>
      </w:r>
      <w:r>
        <w:rPr>
          <w:spacing w:val="-4"/>
        </w:rPr>
        <w:t>2022</w:t>
      </w:r>
    </w:p>
    <w:p w:rsidR="003F5784" w14:paraId="652E3684"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4887"/>
        <w:gridCol w:w="1332"/>
        <w:gridCol w:w="1614"/>
        <w:gridCol w:w="1747"/>
        <w:gridCol w:w="1187"/>
        <w:gridCol w:w="1615"/>
        <w:gridCol w:w="1605"/>
      </w:tblGrid>
      <w:tr w14:paraId="2E1E12FC" w14:textId="77777777">
        <w:tblPrEx>
          <w:tblW w:w="0" w:type="auto"/>
          <w:tblInd w:w="482" w:type="dxa"/>
          <w:tblLayout w:type="fixed"/>
          <w:tblCellMar>
            <w:left w:w="0" w:type="dxa"/>
            <w:right w:w="0" w:type="dxa"/>
          </w:tblCellMar>
          <w:tblLook w:val="01E0"/>
        </w:tblPrEx>
        <w:trPr>
          <w:trHeight w:val="267"/>
        </w:trPr>
        <w:tc>
          <w:tcPr>
            <w:tcW w:w="4887" w:type="dxa"/>
            <w:tcBorders>
              <w:top w:val="single" w:sz="18" w:space="0" w:color="800000"/>
            </w:tcBorders>
          </w:tcPr>
          <w:p w:rsidR="003F5784" w14:paraId="38EE42CA" w14:textId="77777777">
            <w:pPr>
              <w:pStyle w:val="TableParagraph"/>
              <w:spacing w:before="0"/>
              <w:jc w:val="left"/>
              <w:rPr>
                <w:sz w:val="18"/>
              </w:rPr>
            </w:pPr>
          </w:p>
        </w:tc>
        <w:tc>
          <w:tcPr>
            <w:tcW w:w="1332" w:type="dxa"/>
            <w:tcBorders>
              <w:top w:val="single" w:sz="18" w:space="0" w:color="800000"/>
              <w:bottom w:val="single" w:sz="18" w:space="0" w:color="800000"/>
            </w:tcBorders>
          </w:tcPr>
          <w:p w:rsidR="003F5784" w14:paraId="27851B3F" w14:textId="77777777">
            <w:pPr>
              <w:pStyle w:val="TableParagraph"/>
              <w:spacing w:before="0"/>
              <w:jc w:val="left"/>
              <w:rPr>
                <w:sz w:val="18"/>
              </w:rPr>
            </w:pPr>
          </w:p>
        </w:tc>
        <w:tc>
          <w:tcPr>
            <w:tcW w:w="1614" w:type="dxa"/>
            <w:tcBorders>
              <w:top w:val="single" w:sz="18" w:space="0" w:color="800000"/>
              <w:bottom w:val="single" w:sz="18" w:space="0" w:color="800000"/>
            </w:tcBorders>
          </w:tcPr>
          <w:p w:rsidR="003F5784" w14:paraId="38730DE3" w14:textId="77777777">
            <w:pPr>
              <w:pStyle w:val="TableParagraph"/>
              <w:spacing w:before="9" w:line="238" w:lineRule="exact"/>
              <w:ind w:left="608"/>
              <w:jc w:val="left"/>
              <w:rPr>
                <w:sz w:val="21"/>
              </w:rPr>
            </w:pPr>
            <w:r>
              <w:rPr>
                <w:sz w:val="21"/>
              </w:rPr>
              <w:t>Grade</w:t>
            </w:r>
            <w:r>
              <w:rPr>
                <w:spacing w:val="-7"/>
                <w:sz w:val="21"/>
              </w:rPr>
              <w:t xml:space="preserve"> </w:t>
            </w:r>
            <w:r>
              <w:rPr>
                <w:spacing w:val="-10"/>
                <w:sz w:val="21"/>
              </w:rPr>
              <w:t>4</w:t>
            </w:r>
          </w:p>
        </w:tc>
        <w:tc>
          <w:tcPr>
            <w:tcW w:w="1747" w:type="dxa"/>
            <w:tcBorders>
              <w:top w:val="single" w:sz="18" w:space="0" w:color="800000"/>
              <w:bottom w:val="single" w:sz="18" w:space="0" w:color="800000"/>
            </w:tcBorders>
          </w:tcPr>
          <w:p w:rsidR="003F5784" w14:paraId="30E89AAD" w14:textId="77777777">
            <w:pPr>
              <w:pStyle w:val="TableParagraph"/>
              <w:spacing w:before="0"/>
              <w:jc w:val="left"/>
              <w:rPr>
                <w:sz w:val="18"/>
              </w:rPr>
            </w:pPr>
          </w:p>
        </w:tc>
        <w:tc>
          <w:tcPr>
            <w:tcW w:w="1187" w:type="dxa"/>
            <w:tcBorders>
              <w:top w:val="single" w:sz="18" w:space="0" w:color="800000"/>
              <w:bottom w:val="single" w:sz="18" w:space="0" w:color="800000"/>
            </w:tcBorders>
          </w:tcPr>
          <w:p w:rsidR="003F5784" w14:paraId="6682B730" w14:textId="77777777">
            <w:pPr>
              <w:pStyle w:val="TableParagraph"/>
              <w:spacing w:before="0"/>
              <w:jc w:val="left"/>
              <w:rPr>
                <w:sz w:val="18"/>
              </w:rPr>
            </w:pPr>
          </w:p>
        </w:tc>
        <w:tc>
          <w:tcPr>
            <w:tcW w:w="1615" w:type="dxa"/>
            <w:tcBorders>
              <w:top w:val="single" w:sz="18" w:space="0" w:color="800000"/>
              <w:bottom w:val="single" w:sz="18" w:space="0" w:color="800000"/>
            </w:tcBorders>
          </w:tcPr>
          <w:p w:rsidR="003F5784" w14:paraId="3FBA8C32" w14:textId="77777777">
            <w:pPr>
              <w:pStyle w:val="TableParagraph"/>
              <w:spacing w:before="9" w:line="238" w:lineRule="exact"/>
              <w:ind w:left="608"/>
              <w:jc w:val="left"/>
              <w:rPr>
                <w:sz w:val="21"/>
              </w:rPr>
            </w:pPr>
            <w:r>
              <w:rPr>
                <w:sz w:val="21"/>
              </w:rPr>
              <w:t>Grade</w:t>
            </w:r>
            <w:r>
              <w:rPr>
                <w:spacing w:val="-7"/>
                <w:sz w:val="21"/>
              </w:rPr>
              <w:t xml:space="preserve"> </w:t>
            </w:r>
            <w:r>
              <w:rPr>
                <w:spacing w:val="-10"/>
                <w:sz w:val="21"/>
              </w:rPr>
              <w:t>8</w:t>
            </w:r>
          </w:p>
        </w:tc>
        <w:tc>
          <w:tcPr>
            <w:tcW w:w="1605" w:type="dxa"/>
            <w:tcBorders>
              <w:top w:val="single" w:sz="18" w:space="0" w:color="800000"/>
              <w:bottom w:val="single" w:sz="18" w:space="0" w:color="800000"/>
            </w:tcBorders>
          </w:tcPr>
          <w:p w:rsidR="003F5784" w14:paraId="72A1393F" w14:textId="77777777">
            <w:pPr>
              <w:pStyle w:val="TableParagraph"/>
              <w:spacing w:before="0"/>
              <w:jc w:val="left"/>
              <w:rPr>
                <w:sz w:val="18"/>
              </w:rPr>
            </w:pPr>
          </w:p>
        </w:tc>
      </w:tr>
      <w:tr w14:paraId="63DFDBEF" w14:textId="77777777">
        <w:tblPrEx>
          <w:tblW w:w="0" w:type="auto"/>
          <w:tblInd w:w="482" w:type="dxa"/>
          <w:tblLayout w:type="fixed"/>
          <w:tblCellMar>
            <w:left w:w="0" w:type="dxa"/>
            <w:right w:w="0" w:type="dxa"/>
          </w:tblCellMar>
          <w:tblLook w:val="01E0"/>
        </w:tblPrEx>
        <w:trPr>
          <w:trHeight w:val="1206"/>
        </w:trPr>
        <w:tc>
          <w:tcPr>
            <w:tcW w:w="4887" w:type="dxa"/>
            <w:tcBorders>
              <w:bottom w:val="single" w:sz="18" w:space="0" w:color="800000"/>
            </w:tcBorders>
          </w:tcPr>
          <w:p w:rsidR="003F5784" w14:paraId="52CB1301" w14:textId="77777777">
            <w:pPr>
              <w:pStyle w:val="TableParagraph"/>
              <w:spacing w:before="0"/>
              <w:jc w:val="left"/>
              <w:rPr>
                <w:b/>
                <w:sz w:val="21"/>
              </w:rPr>
            </w:pPr>
          </w:p>
          <w:p w:rsidR="003F5784" w14:paraId="53A4F5D0" w14:textId="77777777">
            <w:pPr>
              <w:pStyle w:val="TableParagraph"/>
              <w:spacing w:before="0"/>
              <w:jc w:val="left"/>
              <w:rPr>
                <w:b/>
                <w:sz w:val="21"/>
              </w:rPr>
            </w:pPr>
          </w:p>
          <w:p w:rsidR="003F5784" w14:paraId="7A770E57" w14:textId="77777777">
            <w:pPr>
              <w:pStyle w:val="TableParagraph"/>
              <w:spacing w:before="223"/>
              <w:jc w:val="left"/>
              <w:rPr>
                <w:b/>
                <w:sz w:val="21"/>
              </w:rPr>
            </w:pPr>
          </w:p>
          <w:p w:rsidR="003F5784" w14:paraId="446E2162" w14:textId="77777777">
            <w:pPr>
              <w:pStyle w:val="TableParagraph"/>
              <w:spacing w:before="0" w:line="238" w:lineRule="exact"/>
              <w:ind w:left="120"/>
              <w:jc w:val="left"/>
              <w:rPr>
                <w:sz w:val="21"/>
              </w:rPr>
            </w:pPr>
            <w:r>
              <w:rPr>
                <w:spacing w:val="-2"/>
                <w:sz w:val="21"/>
              </w:rPr>
              <w:t>Jurisdiction</w:t>
            </w:r>
          </w:p>
        </w:tc>
        <w:tc>
          <w:tcPr>
            <w:tcW w:w="1332" w:type="dxa"/>
            <w:tcBorders>
              <w:top w:val="single" w:sz="18" w:space="0" w:color="800000"/>
              <w:bottom w:val="single" w:sz="18" w:space="0" w:color="800000"/>
            </w:tcBorders>
          </w:tcPr>
          <w:p w:rsidR="003F5784" w14:paraId="50037728" w14:textId="77777777">
            <w:pPr>
              <w:pStyle w:val="TableParagraph"/>
              <w:spacing w:before="15" w:line="232" w:lineRule="auto"/>
              <w:ind w:left="472" w:right="127" w:hanging="65"/>
              <w:rPr>
                <w:sz w:val="21"/>
              </w:rPr>
            </w:pPr>
            <w:r>
              <w:rPr>
                <w:spacing w:val="-4"/>
                <w:sz w:val="21"/>
              </w:rPr>
              <w:t xml:space="preserve">Weighted </w:t>
            </w:r>
            <w:r>
              <w:rPr>
                <w:spacing w:val="-2"/>
                <w:sz w:val="21"/>
              </w:rPr>
              <w:t>student response</w:t>
            </w:r>
          </w:p>
          <w:p w:rsidR="003F5784" w14:paraId="2FFF091B" w14:textId="77777777">
            <w:pPr>
              <w:pStyle w:val="TableParagraph"/>
              <w:spacing w:before="0" w:line="234" w:lineRule="exact"/>
              <w:ind w:left="449" w:right="127" w:firstLine="358"/>
              <w:rPr>
                <w:sz w:val="21"/>
              </w:rPr>
            </w:pPr>
            <w:r>
              <w:rPr>
                <w:spacing w:val="-2"/>
                <w:sz w:val="21"/>
              </w:rPr>
              <w:t>rates (percent)</w:t>
            </w:r>
          </w:p>
        </w:tc>
        <w:tc>
          <w:tcPr>
            <w:tcW w:w="1614" w:type="dxa"/>
            <w:tcBorders>
              <w:top w:val="single" w:sz="18" w:space="0" w:color="800000"/>
              <w:bottom w:val="single" w:sz="18" w:space="0" w:color="800000"/>
            </w:tcBorders>
          </w:tcPr>
          <w:p w:rsidR="003F5784" w14:paraId="660D26E6" w14:textId="77777777">
            <w:pPr>
              <w:pStyle w:val="TableParagraph"/>
              <w:spacing w:before="15" w:line="232" w:lineRule="auto"/>
              <w:ind w:left="129" w:right="126" w:firstLine="561"/>
              <w:rPr>
                <w:sz w:val="21"/>
              </w:rPr>
            </w:pPr>
            <w:r>
              <w:rPr>
                <w:spacing w:val="-4"/>
                <w:sz w:val="21"/>
              </w:rPr>
              <w:t xml:space="preserve">Weighted </w:t>
            </w:r>
            <w:r>
              <w:rPr>
                <w:sz w:val="21"/>
              </w:rPr>
              <w:t>percentage of</w:t>
            </w:r>
            <w:r>
              <w:rPr>
                <w:spacing w:val="40"/>
                <w:sz w:val="21"/>
              </w:rPr>
              <w:t xml:space="preserve"> </w:t>
            </w:r>
            <w:r>
              <w:rPr>
                <w:sz w:val="21"/>
              </w:rPr>
              <w:t>all</w:t>
            </w:r>
            <w:r>
              <w:rPr>
                <w:spacing w:val="-14"/>
                <w:sz w:val="21"/>
              </w:rPr>
              <w:t xml:space="preserve"> </w:t>
            </w:r>
            <w:r>
              <w:rPr>
                <w:sz w:val="21"/>
              </w:rPr>
              <w:t>students</w:t>
            </w:r>
            <w:r>
              <w:rPr>
                <w:spacing w:val="-13"/>
                <w:sz w:val="21"/>
              </w:rPr>
              <w:t xml:space="preserve"> </w:t>
            </w:r>
            <w:r>
              <w:rPr>
                <w:sz w:val="21"/>
              </w:rPr>
              <w:t>who were SD and</w:t>
            </w:r>
          </w:p>
          <w:p w:rsidR="003F5784" w14:paraId="219A3A72" w14:textId="77777777">
            <w:pPr>
              <w:pStyle w:val="TableParagraph"/>
              <w:spacing w:before="0" w:line="234" w:lineRule="exact"/>
              <w:ind w:right="126"/>
              <w:rPr>
                <w:sz w:val="21"/>
              </w:rPr>
            </w:pPr>
            <w:r>
              <w:rPr>
                <w:spacing w:val="-2"/>
                <w:sz w:val="21"/>
              </w:rPr>
              <w:t>excluded</w:t>
            </w:r>
          </w:p>
        </w:tc>
        <w:tc>
          <w:tcPr>
            <w:tcW w:w="1747" w:type="dxa"/>
            <w:tcBorders>
              <w:top w:val="single" w:sz="18" w:space="0" w:color="800000"/>
              <w:bottom w:val="single" w:sz="18" w:space="0" w:color="800000"/>
            </w:tcBorders>
          </w:tcPr>
          <w:p w:rsidR="003F5784" w14:paraId="34C0E8AD" w14:textId="77777777">
            <w:pPr>
              <w:pStyle w:val="TableParagraph"/>
              <w:spacing w:before="16" w:line="234" w:lineRule="exact"/>
              <w:ind w:left="128" w:right="260" w:firstLine="561"/>
              <w:rPr>
                <w:sz w:val="21"/>
              </w:rPr>
            </w:pPr>
            <w:r>
              <w:rPr>
                <w:spacing w:val="-4"/>
                <w:sz w:val="21"/>
              </w:rPr>
              <w:t xml:space="preserve">Weighted </w:t>
            </w:r>
            <w:r>
              <w:rPr>
                <w:sz w:val="21"/>
              </w:rPr>
              <w:t>percentage of</w:t>
            </w:r>
            <w:r>
              <w:rPr>
                <w:spacing w:val="40"/>
                <w:sz w:val="21"/>
              </w:rPr>
              <w:t xml:space="preserve"> </w:t>
            </w:r>
            <w:r>
              <w:rPr>
                <w:sz w:val="21"/>
              </w:rPr>
              <w:t>all</w:t>
            </w:r>
            <w:r>
              <w:rPr>
                <w:spacing w:val="-14"/>
                <w:sz w:val="21"/>
              </w:rPr>
              <w:t xml:space="preserve"> </w:t>
            </w:r>
            <w:r>
              <w:rPr>
                <w:sz w:val="21"/>
              </w:rPr>
              <w:t>students</w:t>
            </w:r>
            <w:r>
              <w:rPr>
                <w:spacing w:val="-13"/>
                <w:sz w:val="21"/>
              </w:rPr>
              <w:t xml:space="preserve"> </w:t>
            </w:r>
            <w:r>
              <w:rPr>
                <w:sz w:val="21"/>
              </w:rPr>
              <w:t xml:space="preserve">who were EL and </w:t>
            </w:r>
            <w:r>
              <w:rPr>
                <w:spacing w:val="-2"/>
                <w:sz w:val="21"/>
              </w:rPr>
              <w:t>excluded</w:t>
            </w:r>
          </w:p>
        </w:tc>
        <w:tc>
          <w:tcPr>
            <w:tcW w:w="1187" w:type="dxa"/>
            <w:tcBorders>
              <w:top w:val="single" w:sz="18" w:space="0" w:color="800000"/>
              <w:bottom w:val="single" w:sz="18" w:space="0" w:color="800000"/>
            </w:tcBorders>
          </w:tcPr>
          <w:p w:rsidR="003F5784" w14:paraId="67AB16B4" w14:textId="77777777">
            <w:pPr>
              <w:pStyle w:val="TableParagraph"/>
              <w:spacing w:before="15" w:line="232" w:lineRule="auto"/>
              <w:ind w:left="326" w:right="128" w:hanging="65"/>
              <w:rPr>
                <w:sz w:val="21"/>
              </w:rPr>
            </w:pPr>
            <w:r>
              <w:rPr>
                <w:spacing w:val="-4"/>
                <w:sz w:val="21"/>
              </w:rPr>
              <w:t xml:space="preserve">Weighted </w:t>
            </w:r>
            <w:r>
              <w:rPr>
                <w:spacing w:val="-2"/>
                <w:sz w:val="21"/>
              </w:rPr>
              <w:t>student response</w:t>
            </w:r>
          </w:p>
          <w:p w:rsidR="003F5784" w14:paraId="2992D9C6" w14:textId="77777777">
            <w:pPr>
              <w:pStyle w:val="TableParagraph"/>
              <w:spacing w:before="0" w:line="234" w:lineRule="exact"/>
              <w:ind w:left="303" w:right="128" w:firstLine="358"/>
              <w:rPr>
                <w:sz w:val="21"/>
              </w:rPr>
            </w:pPr>
            <w:r>
              <w:rPr>
                <w:spacing w:val="-2"/>
                <w:sz w:val="21"/>
              </w:rPr>
              <w:t>rates (percent)</w:t>
            </w:r>
          </w:p>
        </w:tc>
        <w:tc>
          <w:tcPr>
            <w:tcW w:w="1615" w:type="dxa"/>
            <w:tcBorders>
              <w:top w:val="single" w:sz="18" w:space="0" w:color="800000"/>
              <w:bottom w:val="single" w:sz="18" w:space="0" w:color="800000"/>
            </w:tcBorders>
          </w:tcPr>
          <w:p w:rsidR="003F5784" w14:paraId="01B9475E" w14:textId="77777777">
            <w:pPr>
              <w:pStyle w:val="TableParagraph"/>
              <w:spacing w:before="15" w:line="232" w:lineRule="auto"/>
              <w:ind w:left="128" w:right="128" w:firstLine="561"/>
              <w:rPr>
                <w:sz w:val="21"/>
              </w:rPr>
            </w:pPr>
            <w:r>
              <w:rPr>
                <w:spacing w:val="-4"/>
                <w:sz w:val="21"/>
              </w:rPr>
              <w:t xml:space="preserve">Weighted </w:t>
            </w:r>
            <w:r>
              <w:rPr>
                <w:sz w:val="21"/>
              </w:rPr>
              <w:t>percentage of</w:t>
            </w:r>
            <w:r>
              <w:rPr>
                <w:spacing w:val="40"/>
                <w:sz w:val="21"/>
              </w:rPr>
              <w:t xml:space="preserve"> </w:t>
            </w:r>
            <w:r>
              <w:rPr>
                <w:sz w:val="21"/>
              </w:rPr>
              <w:t>all</w:t>
            </w:r>
            <w:r>
              <w:rPr>
                <w:spacing w:val="-14"/>
                <w:sz w:val="21"/>
              </w:rPr>
              <w:t xml:space="preserve"> </w:t>
            </w:r>
            <w:r>
              <w:rPr>
                <w:sz w:val="21"/>
              </w:rPr>
              <w:t>students</w:t>
            </w:r>
            <w:r>
              <w:rPr>
                <w:spacing w:val="-13"/>
                <w:sz w:val="21"/>
              </w:rPr>
              <w:t xml:space="preserve"> </w:t>
            </w:r>
            <w:r>
              <w:rPr>
                <w:sz w:val="21"/>
              </w:rPr>
              <w:t>who were SD and</w:t>
            </w:r>
          </w:p>
          <w:p w:rsidR="003F5784" w14:paraId="3BF38ABC" w14:textId="77777777">
            <w:pPr>
              <w:pStyle w:val="TableParagraph"/>
              <w:spacing w:before="0" w:line="234" w:lineRule="exact"/>
              <w:ind w:right="128"/>
              <w:rPr>
                <w:sz w:val="21"/>
              </w:rPr>
            </w:pPr>
            <w:r>
              <w:rPr>
                <w:spacing w:val="-2"/>
                <w:sz w:val="21"/>
              </w:rPr>
              <w:t>excluded</w:t>
            </w:r>
          </w:p>
        </w:tc>
        <w:tc>
          <w:tcPr>
            <w:tcW w:w="1605" w:type="dxa"/>
            <w:tcBorders>
              <w:top w:val="single" w:sz="18" w:space="0" w:color="800000"/>
              <w:bottom w:val="single" w:sz="18" w:space="0" w:color="800000"/>
            </w:tcBorders>
          </w:tcPr>
          <w:p w:rsidR="003F5784" w14:paraId="091E20E0" w14:textId="77777777">
            <w:pPr>
              <w:pStyle w:val="TableParagraph"/>
              <w:spacing w:before="16" w:line="234" w:lineRule="exact"/>
              <w:ind w:left="127" w:right="120" w:firstLine="561"/>
              <w:rPr>
                <w:sz w:val="21"/>
              </w:rPr>
            </w:pPr>
            <w:r>
              <w:rPr>
                <w:spacing w:val="-4"/>
                <w:sz w:val="21"/>
              </w:rPr>
              <w:t xml:space="preserve">Weighted </w:t>
            </w:r>
            <w:r>
              <w:rPr>
                <w:sz w:val="21"/>
              </w:rPr>
              <w:t>percentage of all</w:t>
            </w:r>
            <w:r>
              <w:rPr>
                <w:spacing w:val="-14"/>
                <w:sz w:val="21"/>
              </w:rPr>
              <w:t xml:space="preserve"> </w:t>
            </w:r>
            <w:r>
              <w:rPr>
                <w:sz w:val="21"/>
              </w:rPr>
              <w:t>students</w:t>
            </w:r>
            <w:r>
              <w:rPr>
                <w:spacing w:val="-13"/>
                <w:sz w:val="21"/>
              </w:rPr>
              <w:t xml:space="preserve"> </w:t>
            </w:r>
            <w:r>
              <w:rPr>
                <w:sz w:val="21"/>
              </w:rPr>
              <w:t xml:space="preserve">who were EL and </w:t>
            </w:r>
            <w:r>
              <w:rPr>
                <w:spacing w:val="-2"/>
                <w:sz w:val="21"/>
              </w:rPr>
              <w:t>excluded</w:t>
            </w:r>
          </w:p>
        </w:tc>
      </w:tr>
      <w:tr w14:paraId="49928F53" w14:textId="77777777">
        <w:tblPrEx>
          <w:tblW w:w="0" w:type="auto"/>
          <w:tblInd w:w="482" w:type="dxa"/>
          <w:tblLayout w:type="fixed"/>
          <w:tblCellMar>
            <w:left w:w="0" w:type="dxa"/>
            <w:right w:w="0" w:type="dxa"/>
          </w:tblCellMar>
          <w:tblLook w:val="01E0"/>
        </w:tblPrEx>
        <w:trPr>
          <w:trHeight w:val="278"/>
        </w:trPr>
        <w:tc>
          <w:tcPr>
            <w:tcW w:w="4887" w:type="dxa"/>
            <w:tcBorders>
              <w:top w:val="single" w:sz="18" w:space="0" w:color="800000"/>
            </w:tcBorders>
          </w:tcPr>
          <w:p w:rsidR="003F5784" w14:paraId="1E054042" w14:textId="77777777">
            <w:pPr>
              <w:pStyle w:val="TableParagraph"/>
              <w:spacing w:before="9"/>
              <w:ind w:left="575"/>
              <w:jc w:val="left"/>
              <w:rPr>
                <w:b/>
                <w:sz w:val="21"/>
              </w:rPr>
            </w:pPr>
            <w:r>
              <w:rPr>
                <w:b/>
                <w:spacing w:val="-2"/>
                <w:sz w:val="21"/>
              </w:rPr>
              <w:t>Total</w:t>
            </w:r>
          </w:p>
        </w:tc>
        <w:tc>
          <w:tcPr>
            <w:tcW w:w="1332" w:type="dxa"/>
            <w:tcBorders>
              <w:top w:val="single" w:sz="18" w:space="0" w:color="800000"/>
            </w:tcBorders>
          </w:tcPr>
          <w:p w:rsidR="003F5784" w14:paraId="4A7EF50C" w14:textId="77777777">
            <w:pPr>
              <w:pStyle w:val="TableParagraph"/>
              <w:spacing w:before="9"/>
              <w:ind w:right="127"/>
              <w:rPr>
                <w:b/>
                <w:sz w:val="21"/>
              </w:rPr>
            </w:pPr>
            <w:r>
              <w:rPr>
                <w:b/>
                <w:spacing w:val="-2"/>
                <w:sz w:val="21"/>
              </w:rPr>
              <w:t>91.78</w:t>
            </w:r>
          </w:p>
        </w:tc>
        <w:tc>
          <w:tcPr>
            <w:tcW w:w="1614" w:type="dxa"/>
            <w:tcBorders>
              <w:top w:val="single" w:sz="18" w:space="0" w:color="800000"/>
            </w:tcBorders>
          </w:tcPr>
          <w:p w:rsidR="003F5784" w14:paraId="038BBBBC" w14:textId="77777777">
            <w:pPr>
              <w:pStyle w:val="TableParagraph"/>
              <w:spacing w:before="9"/>
              <w:ind w:right="126"/>
              <w:rPr>
                <w:b/>
                <w:sz w:val="21"/>
              </w:rPr>
            </w:pPr>
            <w:r>
              <w:rPr>
                <w:b/>
                <w:spacing w:val="-4"/>
                <w:sz w:val="21"/>
              </w:rPr>
              <w:t>1.47</w:t>
            </w:r>
          </w:p>
        </w:tc>
        <w:tc>
          <w:tcPr>
            <w:tcW w:w="1747" w:type="dxa"/>
            <w:tcBorders>
              <w:top w:val="single" w:sz="18" w:space="0" w:color="800000"/>
            </w:tcBorders>
          </w:tcPr>
          <w:p w:rsidR="003F5784" w14:paraId="22ADBDC4" w14:textId="77777777">
            <w:pPr>
              <w:pStyle w:val="TableParagraph"/>
              <w:spacing w:before="9"/>
              <w:ind w:right="260"/>
              <w:rPr>
                <w:b/>
                <w:sz w:val="21"/>
              </w:rPr>
            </w:pPr>
            <w:r>
              <w:rPr>
                <w:b/>
                <w:spacing w:val="-4"/>
                <w:sz w:val="21"/>
              </w:rPr>
              <w:t>0.71</w:t>
            </w:r>
          </w:p>
        </w:tc>
        <w:tc>
          <w:tcPr>
            <w:tcW w:w="1187" w:type="dxa"/>
            <w:tcBorders>
              <w:top w:val="single" w:sz="18" w:space="0" w:color="800000"/>
            </w:tcBorders>
          </w:tcPr>
          <w:p w:rsidR="003F5784" w14:paraId="7E55D0F4" w14:textId="77777777">
            <w:pPr>
              <w:pStyle w:val="TableParagraph"/>
              <w:spacing w:before="9"/>
              <w:ind w:right="128"/>
              <w:rPr>
                <w:b/>
                <w:sz w:val="21"/>
              </w:rPr>
            </w:pPr>
            <w:r>
              <w:rPr>
                <w:b/>
                <w:spacing w:val="-2"/>
                <w:sz w:val="21"/>
              </w:rPr>
              <w:t>88.69</w:t>
            </w:r>
          </w:p>
        </w:tc>
        <w:tc>
          <w:tcPr>
            <w:tcW w:w="1615" w:type="dxa"/>
            <w:tcBorders>
              <w:top w:val="single" w:sz="18" w:space="0" w:color="800000"/>
            </w:tcBorders>
          </w:tcPr>
          <w:p w:rsidR="003F5784" w14:paraId="3D3E2F28" w14:textId="77777777">
            <w:pPr>
              <w:pStyle w:val="TableParagraph"/>
              <w:spacing w:before="9"/>
              <w:ind w:right="128"/>
              <w:rPr>
                <w:b/>
                <w:sz w:val="21"/>
              </w:rPr>
            </w:pPr>
            <w:r>
              <w:rPr>
                <w:b/>
                <w:spacing w:val="-4"/>
                <w:sz w:val="21"/>
              </w:rPr>
              <w:t>1.20</w:t>
            </w:r>
          </w:p>
        </w:tc>
        <w:tc>
          <w:tcPr>
            <w:tcW w:w="1605" w:type="dxa"/>
            <w:tcBorders>
              <w:top w:val="single" w:sz="18" w:space="0" w:color="800000"/>
            </w:tcBorders>
          </w:tcPr>
          <w:p w:rsidR="003F5784" w14:paraId="15A3D798" w14:textId="77777777">
            <w:pPr>
              <w:pStyle w:val="TableParagraph"/>
              <w:spacing w:before="9"/>
              <w:ind w:right="120"/>
              <w:rPr>
                <w:b/>
                <w:sz w:val="21"/>
              </w:rPr>
            </w:pPr>
            <w:r>
              <w:rPr>
                <w:b/>
                <w:spacing w:val="-4"/>
                <w:sz w:val="21"/>
              </w:rPr>
              <w:t>0.60</w:t>
            </w:r>
          </w:p>
        </w:tc>
      </w:tr>
      <w:tr w14:paraId="6A2B6CF5" w14:textId="77777777">
        <w:tblPrEx>
          <w:tblW w:w="0" w:type="auto"/>
          <w:tblInd w:w="482" w:type="dxa"/>
          <w:tblLayout w:type="fixed"/>
          <w:tblCellMar>
            <w:left w:w="0" w:type="dxa"/>
            <w:right w:w="0" w:type="dxa"/>
          </w:tblCellMar>
          <w:tblLook w:val="01E0"/>
        </w:tblPrEx>
        <w:trPr>
          <w:trHeight w:val="286"/>
        </w:trPr>
        <w:tc>
          <w:tcPr>
            <w:tcW w:w="4887" w:type="dxa"/>
          </w:tcPr>
          <w:p w:rsidR="003F5784" w14:paraId="16914A55" w14:textId="77777777">
            <w:pPr>
              <w:pStyle w:val="TableParagraph"/>
              <w:ind w:left="120"/>
              <w:jc w:val="left"/>
              <w:rPr>
                <w:sz w:val="21"/>
              </w:rPr>
            </w:pPr>
            <w:r>
              <w:rPr>
                <w:spacing w:val="-2"/>
                <w:sz w:val="21"/>
              </w:rPr>
              <w:t>Alabama</w:t>
            </w:r>
          </w:p>
        </w:tc>
        <w:tc>
          <w:tcPr>
            <w:tcW w:w="1332" w:type="dxa"/>
          </w:tcPr>
          <w:p w:rsidR="003F5784" w14:paraId="5EDD56EC" w14:textId="77777777">
            <w:pPr>
              <w:pStyle w:val="TableParagraph"/>
              <w:ind w:right="127"/>
              <w:rPr>
                <w:sz w:val="21"/>
              </w:rPr>
            </w:pPr>
            <w:r>
              <w:rPr>
                <w:spacing w:val="-2"/>
                <w:sz w:val="21"/>
              </w:rPr>
              <w:t>94.68</w:t>
            </w:r>
          </w:p>
        </w:tc>
        <w:tc>
          <w:tcPr>
            <w:tcW w:w="1614" w:type="dxa"/>
          </w:tcPr>
          <w:p w:rsidR="003F5784" w14:paraId="6C5C96D7" w14:textId="77777777">
            <w:pPr>
              <w:pStyle w:val="TableParagraph"/>
              <w:ind w:right="126"/>
              <w:rPr>
                <w:sz w:val="21"/>
              </w:rPr>
            </w:pPr>
            <w:r>
              <w:rPr>
                <w:spacing w:val="-4"/>
                <w:sz w:val="21"/>
              </w:rPr>
              <w:t>1.08</w:t>
            </w:r>
          </w:p>
        </w:tc>
        <w:tc>
          <w:tcPr>
            <w:tcW w:w="1747" w:type="dxa"/>
          </w:tcPr>
          <w:p w:rsidR="003F5784" w14:paraId="3713A0A8" w14:textId="77777777">
            <w:pPr>
              <w:pStyle w:val="TableParagraph"/>
              <w:ind w:right="260"/>
              <w:rPr>
                <w:sz w:val="21"/>
              </w:rPr>
            </w:pPr>
            <w:r>
              <w:rPr>
                <w:spacing w:val="-4"/>
                <w:sz w:val="21"/>
              </w:rPr>
              <w:t>0.24</w:t>
            </w:r>
          </w:p>
        </w:tc>
        <w:tc>
          <w:tcPr>
            <w:tcW w:w="1187" w:type="dxa"/>
          </w:tcPr>
          <w:p w:rsidR="003F5784" w14:paraId="07070BE6" w14:textId="77777777">
            <w:pPr>
              <w:pStyle w:val="TableParagraph"/>
              <w:ind w:right="128"/>
              <w:rPr>
                <w:sz w:val="21"/>
              </w:rPr>
            </w:pPr>
            <w:r>
              <w:rPr>
                <w:spacing w:val="-2"/>
                <w:sz w:val="21"/>
              </w:rPr>
              <w:t>91.21</w:t>
            </w:r>
          </w:p>
        </w:tc>
        <w:tc>
          <w:tcPr>
            <w:tcW w:w="1615" w:type="dxa"/>
          </w:tcPr>
          <w:p w:rsidR="003F5784" w14:paraId="3460393E" w14:textId="77777777">
            <w:pPr>
              <w:pStyle w:val="TableParagraph"/>
              <w:ind w:right="128"/>
              <w:rPr>
                <w:sz w:val="21"/>
              </w:rPr>
            </w:pPr>
            <w:r>
              <w:rPr>
                <w:spacing w:val="-4"/>
                <w:sz w:val="21"/>
              </w:rPr>
              <w:t>1.34</w:t>
            </w:r>
          </w:p>
        </w:tc>
        <w:tc>
          <w:tcPr>
            <w:tcW w:w="1605" w:type="dxa"/>
          </w:tcPr>
          <w:p w:rsidR="003F5784" w14:paraId="6A80CC53" w14:textId="77777777">
            <w:pPr>
              <w:pStyle w:val="TableParagraph"/>
              <w:ind w:right="120"/>
              <w:rPr>
                <w:sz w:val="21"/>
              </w:rPr>
            </w:pPr>
            <w:r>
              <w:rPr>
                <w:spacing w:val="-4"/>
                <w:sz w:val="21"/>
              </w:rPr>
              <w:t>0.30</w:t>
            </w:r>
          </w:p>
        </w:tc>
      </w:tr>
      <w:tr w14:paraId="6271B45D" w14:textId="77777777">
        <w:tblPrEx>
          <w:tblW w:w="0" w:type="auto"/>
          <w:tblInd w:w="482" w:type="dxa"/>
          <w:tblLayout w:type="fixed"/>
          <w:tblCellMar>
            <w:left w:w="0" w:type="dxa"/>
            <w:right w:w="0" w:type="dxa"/>
          </w:tblCellMar>
          <w:tblLook w:val="01E0"/>
        </w:tblPrEx>
        <w:trPr>
          <w:trHeight w:val="286"/>
        </w:trPr>
        <w:tc>
          <w:tcPr>
            <w:tcW w:w="4887" w:type="dxa"/>
          </w:tcPr>
          <w:p w:rsidR="003F5784" w14:paraId="1EFFE6EC" w14:textId="77777777">
            <w:pPr>
              <w:pStyle w:val="TableParagraph"/>
              <w:ind w:left="120"/>
              <w:jc w:val="left"/>
              <w:rPr>
                <w:sz w:val="21"/>
              </w:rPr>
            </w:pPr>
            <w:r>
              <w:rPr>
                <w:spacing w:val="-2"/>
                <w:sz w:val="21"/>
              </w:rPr>
              <w:t>Alaska</w:t>
            </w:r>
          </w:p>
        </w:tc>
        <w:tc>
          <w:tcPr>
            <w:tcW w:w="1332" w:type="dxa"/>
          </w:tcPr>
          <w:p w:rsidR="003F5784" w14:paraId="5A4A9F22" w14:textId="77777777">
            <w:pPr>
              <w:pStyle w:val="TableParagraph"/>
              <w:ind w:right="127"/>
              <w:rPr>
                <w:sz w:val="21"/>
              </w:rPr>
            </w:pPr>
            <w:r>
              <w:rPr>
                <w:spacing w:val="-2"/>
                <w:sz w:val="21"/>
              </w:rPr>
              <w:t>88.61</w:t>
            </w:r>
          </w:p>
        </w:tc>
        <w:tc>
          <w:tcPr>
            <w:tcW w:w="1614" w:type="dxa"/>
          </w:tcPr>
          <w:p w:rsidR="003F5784" w14:paraId="7BC7CC6A" w14:textId="77777777">
            <w:pPr>
              <w:pStyle w:val="TableParagraph"/>
              <w:ind w:right="126"/>
              <w:rPr>
                <w:sz w:val="21"/>
              </w:rPr>
            </w:pPr>
            <w:r>
              <w:rPr>
                <w:spacing w:val="-4"/>
                <w:sz w:val="21"/>
              </w:rPr>
              <w:t>0.83</w:t>
            </w:r>
          </w:p>
        </w:tc>
        <w:tc>
          <w:tcPr>
            <w:tcW w:w="1747" w:type="dxa"/>
          </w:tcPr>
          <w:p w:rsidR="003F5784" w14:paraId="3AFA0262" w14:textId="77777777">
            <w:pPr>
              <w:pStyle w:val="TableParagraph"/>
              <w:ind w:right="260"/>
              <w:rPr>
                <w:sz w:val="21"/>
              </w:rPr>
            </w:pPr>
            <w:r>
              <w:rPr>
                <w:spacing w:val="-4"/>
                <w:sz w:val="21"/>
              </w:rPr>
              <w:t>0.41</w:t>
            </w:r>
          </w:p>
        </w:tc>
        <w:tc>
          <w:tcPr>
            <w:tcW w:w="1187" w:type="dxa"/>
          </w:tcPr>
          <w:p w:rsidR="003F5784" w14:paraId="243A3774" w14:textId="77777777">
            <w:pPr>
              <w:pStyle w:val="TableParagraph"/>
              <w:ind w:right="128"/>
              <w:rPr>
                <w:sz w:val="21"/>
              </w:rPr>
            </w:pPr>
            <w:r>
              <w:rPr>
                <w:spacing w:val="-2"/>
                <w:sz w:val="21"/>
              </w:rPr>
              <w:t>83.79</w:t>
            </w:r>
          </w:p>
        </w:tc>
        <w:tc>
          <w:tcPr>
            <w:tcW w:w="1615" w:type="dxa"/>
          </w:tcPr>
          <w:p w:rsidR="003F5784" w14:paraId="686E2C6A" w14:textId="77777777">
            <w:pPr>
              <w:pStyle w:val="TableParagraph"/>
              <w:ind w:right="128"/>
              <w:rPr>
                <w:sz w:val="21"/>
              </w:rPr>
            </w:pPr>
            <w:r>
              <w:rPr>
                <w:spacing w:val="-4"/>
                <w:sz w:val="21"/>
              </w:rPr>
              <w:t>0.99</w:t>
            </w:r>
          </w:p>
        </w:tc>
        <w:tc>
          <w:tcPr>
            <w:tcW w:w="1605" w:type="dxa"/>
          </w:tcPr>
          <w:p w:rsidR="003F5784" w14:paraId="65AABF17" w14:textId="77777777">
            <w:pPr>
              <w:pStyle w:val="TableParagraph"/>
              <w:ind w:right="120"/>
              <w:rPr>
                <w:sz w:val="21"/>
              </w:rPr>
            </w:pPr>
            <w:r>
              <w:rPr>
                <w:spacing w:val="-4"/>
                <w:sz w:val="21"/>
              </w:rPr>
              <w:t>0.46</w:t>
            </w:r>
          </w:p>
        </w:tc>
      </w:tr>
      <w:tr w14:paraId="5168EA4A" w14:textId="77777777">
        <w:tblPrEx>
          <w:tblW w:w="0" w:type="auto"/>
          <w:tblInd w:w="482" w:type="dxa"/>
          <w:tblLayout w:type="fixed"/>
          <w:tblCellMar>
            <w:left w:w="0" w:type="dxa"/>
            <w:right w:w="0" w:type="dxa"/>
          </w:tblCellMar>
          <w:tblLook w:val="01E0"/>
        </w:tblPrEx>
        <w:trPr>
          <w:trHeight w:val="286"/>
        </w:trPr>
        <w:tc>
          <w:tcPr>
            <w:tcW w:w="4887" w:type="dxa"/>
          </w:tcPr>
          <w:p w:rsidR="003F5784" w14:paraId="3F2139EA" w14:textId="77777777">
            <w:pPr>
              <w:pStyle w:val="TableParagraph"/>
              <w:ind w:left="120"/>
              <w:jc w:val="left"/>
              <w:rPr>
                <w:sz w:val="21"/>
              </w:rPr>
            </w:pPr>
            <w:r>
              <w:rPr>
                <w:spacing w:val="-2"/>
                <w:sz w:val="21"/>
              </w:rPr>
              <w:t>Arizona</w:t>
            </w:r>
          </w:p>
        </w:tc>
        <w:tc>
          <w:tcPr>
            <w:tcW w:w="1332" w:type="dxa"/>
          </w:tcPr>
          <w:p w:rsidR="003F5784" w14:paraId="78B78F96" w14:textId="77777777">
            <w:pPr>
              <w:pStyle w:val="TableParagraph"/>
              <w:ind w:right="127"/>
              <w:rPr>
                <w:sz w:val="21"/>
              </w:rPr>
            </w:pPr>
            <w:r>
              <w:rPr>
                <w:spacing w:val="-2"/>
                <w:sz w:val="21"/>
              </w:rPr>
              <w:t>92.83</w:t>
            </w:r>
          </w:p>
        </w:tc>
        <w:tc>
          <w:tcPr>
            <w:tcW w:w="1614" w:type="dxa"/>
          </w:tcPr>
          <w:p w:rsidR="003F5784" w14:paraId="350C5592" w14:textId="77777777">
            <w:pPr>
              <w:pStyle w:val="TableParagraph"/>
              <w:ind w:right="126"/>
              <w:rPr>
                <w:sz w:val="21"/>
              </w:rPr>
            </w:pPr>
            <w:r>
              <w:rPr>
                <w:spacing w:val="-4"/>
                <w:sz w:val="21"/>
              </w:rPr>
              <w:t>0.91</w:t>
            </w:r>
          </w:p>
        </w:tc>
        <w:tc>
          <w:tcPr>
            <w:tcW w:w="1747" w:type="dxa"/>
          </w:tcPr>
          <w:p w:rsidR="003F5784" w14:paraId="353B810E" w14:textId="77777777">
            <w:pPr>
              <w:pStyle w:val="TableParagraph"/>
              <w:ind w:right="260"/>
              <w:rPr>
                <w:sz w:val="21"/>
              </w:rPr>
            </w:pPr>
            <w:r>
              <w:rPr>
                <w:spacing w:val="-4"/>
                <w:sz w:val="21"/>
              </w:rPr>
              <w:t>0.55</w:t>
            </w:r>
          </w:p>
        </w:tc>
        <w:tc>
          <w:tcPr>
            <w:tcW w:w="1187" w:type="dxa"/>
          </w:tcPr>
          <w:p w:rsidR="003F5784" w14:paraId="46D2C6B5" w14:textId="77777777">
            <w:pPr>
              <w:pStyle w:val="TableParagraph"/>
              <w:ind w:right="128"/>
              <w:rPr>
                <w:sz w:val="21"/>
              </w:rPr>
            </w:pPr>
            <w:r>
              <w:rPr>
                <w:spacing w:val="-2"/>
                <w:sz w:val="21"/>
              </w:rPr>
              <w:t>90.30</w:t>
            </w:r>
          </w:p>
        </w:tc>
        <w:tc>
          <w:tcPr>
            <w:tcW w:w="1615" w:type="dxa"/>
          </w:tcPr>
          <w:p w:rsidR="003F5784" w14:paraId="1F1DF8AE" w14:textId="77777777">
            <w:pPr>
              <w:pStyle w:val="TableParagraph"/>
              <w:ind w:right="128"/>
              <w:rPr>
                <w:sz w:val="21"/>
              </w:rPr>
            </w:pPr>
            <w:r>
              <w:rPr>
                <w:spacing w:val="-4"/>
                <w:sz w:val="21"/>
              </w:rPr>
              <w:t>1.44</w:t>
            </w:r>
          </w:p>
        </w:tc>
        <w:tc>
          <w:tcPr>
            <w:tcW w:w="1605" w:type="dxa"/>
          </w:tcPr>
          <w:p w:rsidR="003F5784" w14:paraId="5BD9E667" w14:textId="77777777">
            <w:pPr>
              <w:pStyle w:val="TableParagraph"/>
              <w:ind w:right="120"/>
              <w:rPr>
                <w:sz w:val="21"/>
              </w:rPr>
            </w:pPr>
            <w:r>
              <w:rPr>
                <w:spacing w:val="-4"/>
                <w:sz w:val="21"/>
              </w:rPr>
              <w:t>0.31</w:t>
            </w:r>
          </w:p>
        </w:tc>
      </w:tr>
      <w:tr w14:paraId="23F98452" w14:textId="77777777">
        <w:tblPrEx>
          <w:tblW w:w="0" w:type="auto"/>
          <w:tblInd w:w="482" w:type="dxa"/>
          <w:tblLayout w:type="fixed"/>
          <w:tblCellMar>
            <w:left w:w="0" w:type="dxa"/>
            <w:right w:w="0" w:type="dxa"/>
          </w:tblCellMar>
          <w:tblLook w:val="01E0"/>
        </w:tblPrEx>
        <w:trPr>
          <w:trHeight w:val="286"/>
        </w:trPr>
        <w:tc>
          <w:tcPr>
            <w:tcW w:w="4887" w:type="dxa"/>
          </w:tcPr>
          <w:p w:rsidR="003F5784" w14:paraId="40F0EFCD" w14:textId="77777777">
            <w:pPr>
              <w:pStyle w:val="TableParagraph"/>
              <w:ind w:left="120"/>
              <w:jc w:val="left"/>
              <w:rPr>
                <w:sz w:val="21"/>
              </w:rPr>
            </w:pPr>
            <w:r>
              <w:rPr>
                <w:spacing w:val="-2"/>
                <w:sz w:val="21"/>
              </w:rPr>
              <w:t>Arkansas</w:t>
            </w:r>
          </w:p>
        </w:tc>
        <w:tc>
          <w:tcPr>
            <w:tcW w:w="1332" w:type="dxa"/>
          </w:tcPr>
          <w:p w:rsidR="003F5784" w14:paraId="762C59EB" w14:textId="77777777">
            <w:pPr>
              <w:pStyle w:val="TableParagraph"/>
              <w:ind w:right="127"/>
              <w:rPr>
                <w:sz w:val="21"/>
              </w:rPr>
            </w:pPr>
            <w:r>
              <w:rPr>
                <w:spacing w:val="-2"/>
                <w:sz w:val="21"/>
              </w:rPr>
              <w:t>92.58</w:t>
            </w:r>
          </w:p>
        </w:tc>
        <w:tc>
          <w:tcPr>
            <w:tcW w:w="1614" w:type="dxa"/>
          </w:tcPr>
          <w:p w:rsidR="003F5784" w14:paraId="1E829365" w14:textId="77777777">
            <w:pPr>
              <w:pStyle w:val="TableParagraph"/>
              <w:ind w:right="126"/>
              <w:rPr>
                <w:sz w:val="21"/>
              </w:rPr>
            </w:pPr>
            <w:r>
              <w:rPr>
                <w:spacing w:val="-4"/>
                <w:sz w:val="21"/>
              </w:rPr>
              <w:t>0.68</w:t>
            </w:r>
          </w:p>
        </w:tc>
        <w:tc>
          <w:tcPr>
            <w:tcW w:w="1747" w:type="dxa"/>
          </w:tcPr>
          <w:p w:rsidR="003F5784" w14:paraId="125D4975" w14:textId="77777777">
            <w:pPr>
              <w:pStyle w:val="TableParagraph"/>
              <w:ind w:right="260"/>
              <w:rPr>
                <w:sz w:val="21"/>
              </w:rPr>
            </w:pPr>
            <w:r>
              <w:rPr>
                <w:spacing w:val="-4"/>
                <w:sz w:val="21"/>
              </w:rPr>
              <w:t>0.37</w:t>
            </w:r>
          </w:p>
        </w:tc>
        <w:tc>
          <w:tcPr>
            <w:tcW w:w="1187" w:type="dxa"/>
          </w:tcPr>
          <w:p w:rsidR="003F5784" w14:paraId="1FD7D716" w14:textId="77777777">
            <w:pPr>
              <w:pStyle w:val="TableParagraph"/>
              <w:ind w:right="128"/>
              <w:rPr>
                <w:sz w:val="21"/>
              </w:rPr>
            </w:pPr>
            <w:r>
              <w:rPr>
                <w:spacing w:val="-2"/>
                <w:sz w:val="21"/>
              </w:rPr>
              <w:t>91.18</w:t>
            </w:r>
          </w:p>
        </w:tc>
        <w:tc>
          <w:tcPr>
            <w:tcW w:w="1615" w:type="dxa"/>
          </w:tcPr>
          <w:p w:rsidR="003F5784" w14:paraId="366328B5" w14:textId="77777777">
            <w:pPr>
              <w:pStyle w:val="TableParagraph"/>
              <w:ind w:right="128"/>
              <w:rPr>
                <w:sz w:val="21"/>
              </w:rPr>
            </w:pPr>
            <w:r>
              <w:rPr>
                <w:spacing w:val="-4"/>
                <w:sz w:val="21"/>
              </w:rPr>
              <w:t>0.81</w:t>
            </w:r>
          </w:p>
        </w:tc>
        <w:tc>
          <w:tcPr>
            <w:tcW w:w="1605" w:type="dxa"/>
          </w:tcPr>
          <w:p w:rsidR="003F5784" w14:paraId="151D66B2" w14:textId="77777777">
            <w:pPr>
              <w:pStyle w:val="TableParagraph"/>
              <w:ind w:right="120"/>
              <w:rPr>
                <w:sz w:val="21"/>
              </w:rPr>
            </w:pPr>
            <w:r>
              <w:rPr>
                <w:spacing w:val="-4"/>
                <w:sz w:val="21"/>
              </w:rPr>
              <w:t>0.26</w:t>
            </w:r>
          </w:p>
        </w:tc>
      </w:tr>
      <w:tr w14:paraId="54C51D39" w14:textId="77777777">
        <w:tblPrEx>
          <w:tblW w:w="0" w:type="auto"/>
          <w:tblInd w:w="482" w:type="dxa"/>
          <w:tblLayout w:type="fixed"/>
          <w:tblCellMar>
            <w:left w:w="0" w:type="dxa"/>
            <w:right w:w="0" w:type="dxa"/>
          </w:tblCellMar>
          <w:tblLook w:val="01E0"/>
        </w:tblPrEx>
        <w:trPr>
          <w:trHeight w:val="286"/>
        </w:trPr>
        <w:tc>
          <w:tcPr>
            <w:tcW w:w="4887" w:type="dxa"/>
          </w:tcPr>
          <w:p w:rsidR="003F5784" w14:paraId="36560678" w14:textId="77777777">
            <w:pPr>
              <w:pStyle w:val="TableParagraph"/>
              <w:ind w:left="120"/>
              <w:jc w:val="left"/>
              <w:rPr>
                <w:sz w:val="21"/>
              </w:rPr>
            </w:pPr>
            <w:r>
              <w:rPr>
                <w:spacing w:val="-2"/>
                <w:sz w:val="21"/>
              </w:rPr>
              <w:t>California–Los</w:t>
            </w:r>
            <w:r>
              <w:rPr>
                <w:spacing w:val="3"/>
                <w:sz w:val="21"/>
              </w:rPr>
              <w:t xml:space="preserve"> </w:t>
            </w:r>
            <w:r>
              <w:rPr>
                <w:spacing w:val="-2"/>
                <w:sz w:val="21"/>
              </w:rPr>
              <w:t>Angeles</w:t>
            </w:r>
          </w:p>
        </w:tc>
        <w:tc>
          <w:tcPr>
            <w:tcW w:w="1332" w:type="dxa"/>
          </w:tcPr>
          <w:p w:rsidR="003F5784" w14:paraId="1D430AC7" w14:textId="77777777">
            <w:pPr>
              <w:pStyle w:val="TableParagraph"/>
              <w:ind w:right="127"/>
              <w:rPr>
                <w:sz w:val="21"/>
              </w:rPr>
            </w:pPr>
            <w:r>
              <w:rPr>
                <w:spacing w:val="-2"/>
                <w:sz w:val="21"/>
              </w:rPr>
              <w:t>91.97</w:t>
            </w:r>
          </w:p>
        </w:tc>
        <w:tc>
          <w:tcPr>
            <w:tcW w:w="1614" w:type="dxa"/>
          </w:tcPr>
          <w:p w:rsidR="003F5784" w14:paraId="30013E53" w14:textId="77777777">
            <w:pPr>
              <w:pStyle w:val="TableParagraph"/>
              <w:ind w:right="126"/>
              <w:rPr>
                <w:sz w:val="21"/>
              </w:rPr>
            </w:pPr>
            <w:r>
              <w:rPr>
                <w:spacing w:val="-4"/>
                <w:sz w:val="21"/>
              </w:rPr>
              <w:t>1.40</w:t>
            </w:r>
          </w:p>
        </w:tc>
        <w:tc>
          <w:tcPr>
            <w:tcW w:w="1747" w:type="dxa"/>
          </w:tcPr>
          <w:p w:rsidR="003F5784" w14:paraId="3AC0BB50" w14:textId="77777777">
            <w:pPr>
              <w:pStyle w:val="TableParagraph"/>
              <w:ind w:right="260"/>
              <w:rPr>
                <w:sz w:val="21"/>
              </w:rPr>
            </w:pPr>
            <w:r>
              <w:rPr>
                <w:spacing w:val="-4"/>
                <w:sz w:val="21"/>
              </w:rPr>
              <w:t>1.21</w:t>
            </w:r>
          </w:p>
        </w:tc>
        <w:tc>
          <w:tcPr>
            <w:tcW w:w="1187" w:type="dxa"/>
          </w:tcPr>
          <w:p w:rsidR="003F5784" w14:paraId="0EDEB8A4" w14:textId="77777777">
            <w:pPr>
              <w:pStyle w:val="TableParagraph"/>
              <w:ind w:right="128"/>
              <w:rPr>
                <w:sz w:val="21"/>
              </w:rPr>
            </w:pPr>
            <w:r>
              <w:rPr>
                <w:spacing w:val="-2"/>
                <w:sz w:val="21"/>
              </w:rPr>
              <w:t>88.71</w:t>
            </w:r>
          </w:p>
        </w:tc>
        <w:tc>
          <w:tcPr>
            <w:tcW w:w="1615" w:type="dxa"/>
          </w:tcPr>
          <w:p w:rsidR="003F5784" w14:paraId="115E377C" w14:textId="77777777">
            <w:pPr>
              <w:pStyle w:val="TableParagraph"/>
              <w:ind w:right="128"/>
              <w:rPr>
                <w:sz w:val="21"/>
              </w:rPr>
            </w:pPr>
            <w:r>
              <w:rPr>
                <w:spacing w:val="-4"/>
                <w:sz w:val="21"/>
              </w:rPr>
              <w:t>1.53</w:t>
            </w:r>
          </w:p>
        </w:tc>
        <w:tc>
          <w:tcPr>
            <w:tcW w:w="1605" w:type="dxa"/>
          </w:tcPr>
          <w:p w:rsidR="003F5784" w14:paraId="66834398" w14:textId="77777777">
            <w:pPr>
              <w:pStyle w:val="TableParagraph"/>
              <w:ind w:right="120"/>
              <w:rPr>
                <w:sz w:val="21"/>
              </w:rPr>
            </w:pPr>
            <w:r>
              <w:rPr>
                <w:spacing w:val="-4"/>
                <w:sz w:val="21"/>
              </w:rPr>
              <w:t>1.00</w:t>
            </w:r>
          </w:p>
        </w:tc>
      </w:tr>
      <w:tr w14:paraId="34B7F9C9" w14:textId="77777777">
        <w:tblPrEx>
          <w:tblW w:w="0" w:type="auto"/>
          <w:tblInd w:w="482" w:type="dxa"/>
          <w:tblLayout w:type="fixed"/>
          <w:tblCellMar>
            <w:left w:w="0" w:type="dxa"/>
            <w:right w:w="0" w:type="dxa"/>
          </w:tblCellMar>
          <w:tblLook w:val="01E0"/>
        </w:tblPrEx>
        <w:trPr>
          <w:trHeight w:val="286"/>
        </w:trPr>
        <w:tc>
          <w:tcPr>
            <w:tcW w:w="4887" w:type="dxa"/>
          </w:tcPr>
          <w:p w:rsidR="003F5784" w14:paraId="28FEE8FA" w14:textId="77777777">
            <w:pPr>
              <w:pStyle w:val="TableParagraph"/>
              <w:ind w:left="120"/>
              <w:jc w:val="left"/>
              <w:rPr>
                <w:sz w:val="21"/>
              </w:rPr>
            </w:pPr>
            <w:r>
              <w:rPr>
                <w:spacing w:val="-2"/>
                <w:sz w:val="21"/>
              </w:rPr>
              <w:t>California–San</w:t>
            </w:r>
            <w:r>
              <w:rPr>
                <w:spacing w:val="14"/>
                <w:sz w:val="21"/>
              </w:rPr>
              <w:t xml:space="preserve"> </w:t>
            </w:r>
            <w:r>
              <w:rPr>
                <w:spacing w:val="-2"/>
                <w:sz w:val="21"/>
              </w:rPr>
              <w:t>Diego</w:t>
            </w:r>
          </w:p>
        </w:tc>
        <w:tc>
          <w:tcPr>
            <w:tcW w:w="1332" w:type="dxa"/>
          </w:tcPr>
          <w:p w:rsidR="003F5784" w14:paraId="563C8D6B" w14:textId="77777777">
            <w:pPr>
              <w:pStyle w:val="TableParagraph"/>
              <w:ind w:right="127"/>
              <w:rPr>
                <w:sz w:val="21"/>
              </w:rPr>
            </w:pPr>
            <w:r>
              <w:rPr>
                <w:spacing w:val="-2"/>
                <w:sz w:val="21"/>
              </w:rPr>
              <w:t>88.61</w:t>
            </w:r>
          </w:p>
        </w:tc>
        <w:tc>
          <w:tcPr>
            <w:tcW w:w="1614" w:type="dxa"/>
          </w:tcPr>
          <w:p w:rsidR="003F5784" w14:paraId="6C0A3076" w14:textId="77777777">
            <w:pPr>
              <w:pStyle w:val="TableParagraph"/>
              <w:ind w:right="126"/>
              <w:rPr>
                <w:sz w:val="21"/>
              </w:rPr>
            </w:pPr>
            <w:r>
              <w:rPr>
                <w:spacing w:val="-4"/>
                <w:sz w:val="21"/>
              </w:rPr>
              <w:t>1.35</w:t>
            </w:r>
          </w:p>
        </w:tc>
        <w:tc>
          <w:tcPr>
            <w:tcW w:w="1747" w:type="dxa"/>
          </w:tcPr>
          <w:p w:rsidR="003F5784" w14:paraId="5DF222F7" w14:textId="77777777">
            <w:pPr>
              <w:pStyle w:val="TableParagraph"/>
              <w:ind w:right="260"/>
              <w:rPr>
                <w:sz w:val="21"/>
              </w:rPr>
            </w:pPr>
            <w:r>
              <w:rPr>
                <w:spacing w:val="-4"/>
                <w:sz w:val="21"/>
              </w:rPr>
              <w:t>1.92</w:t>
            </w:r>
          </w:p>
        </w:tc>
        <w:tc>
          <w:tcPr>
            <w:tcW w:w="1187" w:type="dxa"/>
          </w:tcPr>
          <w:p w:rsidR="003F5784" w14:paraId="2D344090" w14:textId="77777777">
            <w:pPr>
              <w:pStyle w:val="TableParagraph"/>
              <w:ind w:right="128"/>
              <w:rPr>
                <w:sz w:val="21"/>
              </w:rPr>
            </w:pPr>
            <w:r>
              <w:rPr>
                <w:spacing w:val="-2"/>
                <w:sz w:val="21"/>
              </w:rPr>
              <w:t>85.52</w:t>
            </w:r>
          </w:p>
        </w:tc>
        <w:tc>
          <w:tcPr>
            <w:tcW w:w="1615" w:type="dxa"/>
          </w:tcPr>
          <w:p w:rsidR="003F5784" w14:paraId="489D9E31" w14:textId="77777777">
            <w:pPr>
              <w:pStyle w:val="TableParagraph"/>
              <w:ind w:right="128"/>
              <w:rPr>
                <w:sz w:val="21"/>
              </w:rPr>
            </w:pPr>
            <w:r>
              <w:rPr>
                <w:spacing w:val="-4"/>
                <w:sz w:val="21"/>
              </w:rPr>
              <w:t>1.05</w:t>
            </w:r>
          </w:p>
        </w:tc>
        <w:tc>
          <w:tcPr>
            <w:tcW w:w="1605" w:type="dxa"/>
          </w:tcPr>
          <w:p w:rsidR="003F5784" w14:paraId="61CA9B62" w14:textId="77777777">
            <w:pPr>
              <w:pStyle w:val="TableParagraph"/>
              <w:ind w:right="120"/>
              <w:rPr>
                <w:sz w:val="21"/>
              </w:rPr>
            </w:pPr>
            <w:r>
              <w:rPr>
                <w:spacing w:val="-4"/>
                <w:sz w:val="21"/>
              </w:rPr>
              <w:t>1.18</w:t>
            </w:r>
          </w:p>
        </w:tc>
      </w:tr>
      <w:tr w14:paraId="7C0DAF85" w14:textId="77777777">
        <w:tblPrEx>
          <w:tblW w:w="0" w:type="auto"/>
          <w:tblInd w:w="482" w:type="dxa"/>
          <w:tblLayout w:type="fixed"/>
          <w:tblCellMar>
            <w:left w:w="0" w:type="dxa"/>
            <w:right w:w="0" w:type="dxa"/>
          </w:tblCellMar>
          <w:tblLook w:val="01E0"/>
        </w:tblPrEx>
        <w:trPr>
          <w:trHeight w:val="286"/>
        </w:trPr>
        <w:tc>
          <w:tcPr>
            <w:tcW w:w="4887" w:type="dxa"/>
          </w:tcPr>
          <w:p w:rsidR="003F5784" w14:paraId="10F65F2D" w14:textId="77777777">
            <w:pPr>
              <w:pStyle w:val="TableParagraph"/>
              <w:ind w:left="120"/>
              <w:jc w:val="left"/>
              <w:rPr>
                <w:sz w:val="21"/>
              </w:rPr>
            </w:pPr>
            <w:r>
              <w:rPr>
                <w:spacing w:val="-2"/>
                <w:sz w:val="21"/>
              </w:rPr>
              <w:t>California</w:t>
            </w:r>
          </w:p>
        </w:tc>
        <w:tc>
          <w:tcPr>
            <w:tcW w:w="1332" w:type="dxa"/>
          </w:tcPr>
          <w:p w:rsidR="003F5784" w14:paraId="56ADFBF1" w14:textId="77777777">
            <w:pPr>
              <w:pStyle w:val="TableParagraph"/>
              <w:ind w:right="127"/>
              <w:rPr>
                <w:sz w:val="21"/>
              </w:rPr>
            </w:pPr>
            <w:r>
              <w:rPr>
                <w:spacing w:val="-2"/>
                <w:sz w:val="21"/>
              </w:rPr>
              <w:t>91.91</w:t>
            </w:r>
          </w:p>
        </w:tc>
        <w:tc>
          <w:tcPr>
            <w:tcW w:w="1614" w:type="dxa"/>
          </w:tcPr>
          <w:p w:rsidR="003F5784" w14:paraId="6BA72809" w14:textId="77777777">
            <w:pPr>
              <w:pStyle w:val="TableParagraph"/>
              <w:ind w:right="126"/>
              <w:rPr>
                <w:sz w:val="21"/>
              </w:rPr>
            </w:pPr>
            <w:r>
              <w:rPr>
                <w:spacing w:val="-4"/>
                <w:sz w:val="21"/>
              </w:rPr>
              <w:t>1.66</w:t>
            </w:r>
          </w:p>
        </w:tc>
        <w:tc>
          <w:tcPr>
            <w:tcW w:w="1747" w:type="dxa"/>
          </w:tcPr>
          <w:p w:rsidR="003F5784" w14:paraId="06B7D929" w14:textId="77777777">
            <w:pPr>
              <w:pStyle w:val="TableParagraph"/>
              <w:ind w:right="260"/>
              <w:rPr>
                <w:sz w:val="21"/>
              </w:rPr>
            </w:pPr>
            <w:r>
              <w:rPr>
                <w:spacing w:val="-4"/>
                <w:sz w:val="21"/>
              </w:rPr>
              <w:t>1.18</w:t>
            </w:r>
          </w:p>
        </w:tc>
        <w:tc>
          <w:tcPr>
            <w:tcW w:w="1187" w:type="dxa"/>
          </w:tcPr>
          <w:p w:rsidR="003F5784" w14:paraId="56129EFC" w14:textId="77777777">
            <w:pPr>
              <w:pStyle w:val="TableParagraph"/>
              <w:ind w:right="128"/>
              <w:rPr>
                <w:sz w:val="21"/>
              </w:rPr>
            </w:pPr>
            <w:r>
              <w:rPr>
                <w:spacing w:val="-2"/>
                <w:sz w:val="21"/>
              </w:rPr>
              <w:t>88.05</w:t>
            </w:r>
          </w:p>
        </w:tc>
        <w:tc>
          <w:tcPr>
            <w:tcW w:w="1615" w:type="dxa"/>
          </w:tcPr>
          <w:p w:rsidR="003F5784" w14:paraId="236A0004" w14:textId="77777777">
            <w:pPr>
              <w:pStyle w:val="TableParagraph"/>
              <w:ind w:right="128"/>
              <w:rPr>
                <w:sz w:val="21"/>
              </w:rPr>
            </w:pPr>
            <w:r>
              <w:rPr>
                <w:spacing w:val="-4"/>
                <w:sz w:val="21"/>
              </w:rPr>
              <w:t>1.27</w:t>
            </w:r>
          </w:p>
        </w:tc>
        <w:tc>
          <w:tcPr>
            <w:tcW w:w="1605" w:type="dxa"/>
          </w:tcPr>
          <w:p w:rsidR="003F5784" w14:paraId="348F6475" w14:textId="77777777">
            <w:pPr>
              <w:pStyle w:val="TableParagraph"/>
              <w:ind w:right="120"/>
              <w:rPr>
                <w:sz w:val="21"/>
              </w:rPr>
            </w:pPr>
            <w:r>
              <w:rPr>
                <w:spacing w:val="-4"/>
                <w:sz w:val="21"/>
              </w:rPr>
              <w:t>1.16</w:t>
            </w:r>
          </w:p>
        </w:tc>
      </w:tr>
      <w:tr w14:paraId="706D710E" w14:textId="77777777">
        <w:tblPrEx>
          <w:tblW w:w="0" w:type="auto"/>
          <w:tblInd w:w="482" w:type="dxa"/>
          <w:tblLayout w:type="fixed"/>
          <w:tblCellMar>
            <w:left w:w="0" w:type="dxa"/>
            <w:right w:w="0" w:type="dxa"/>
          </w:tblCellMar>
          <w:tblLook w:val="01E0"/>
        </w:tblPrEx>
        <w:trPr>
          <w:trHeight w:val="286"/>
        </w:trPr>
        <w:tc>
          <w:tcPr>
            <w:tcW w:w="4887" w:type="dxa"/>
          </w:tcPr>
          <w:p w:rsidR="003F5784" w14:paraId="34138B69" w14:textId="77777777">
            <w:pPr>
              <w:pStyle w:val="TableParagraph"/>
              <w:ind w:left="120"/>
              <w:jc w:val="left"/>
              <w:rPr>
                <w:sz w:val="21"/>
              </w:rPr>
            </w:pPr>
            <w:r>
              <w:rPr>
                <w:spacing w:val="-2"/>
                <w:sz w:val="21"/>
              </w:rPr>
              <w:t>Colorado–Denver</w:t>
            </w:r>
          </w:p>
        </w:tc>
        <w:tc>
          <w:tcPr>
            <w:tcW w:w="1332" w:type="dxa"/>
          </w:tcPr>
          <w:p w:rsidR="003F5784" w14:paraId="6CD80BFD" w14:textId="77777777">
            <w:pPr>
              <w:pStyle w:val="TableParagraph"/>
              <w:ind w:right="127"/>
              <w:rPr>
                <w:sz w:val="21"/>
              </w:rPr>
            </w:pPr>
            <w:r>
              <w:rPr>
                <w:spacing w:val="-2"/>
                <w:sz w:val="21"/>
              </w:rPr>
              <w:t>88.86</w:t>
            </w:r>
          </w:p>
        </w:tc>
        <w:tc>
          <w:tcPr>
            <w:tcW w:w="1614" w:type="dxa"/>
          </w:tcPr>
          <w:p w:rsidR="003F5784" w14:paraId="3750E8BD" w14:textId="77777777">
            <w:pPr>
              <w:pStyle w:val="TableParagraph"/>
              <w:ind w:right="126"/>
              <w:rPr>
                <w:sz w:val="21"/>
              </w:rPr>
            </w:pPr>
            <w:r>
              <w:rPr>
                <w:spacing w:val="-4"/>
                <w:sz w:val="21"/>
              </w:rPr>
              <w:t>0.64</w:t>
            </w:r>
          </w:p>
        </w:tc>
        <w:tc>
          <w:tcPr>
            <w:tcW w:w="1747" w:type="dxa"/>
          </w:tcPr>
          <w:p w:rsidR="003F5784" w14:paraId="35FD7001" w14:textId="77777777">
            <w:pPr>
              <w:pStyle w:val="TableParagraph"/>
              <w:ind w:right="260"/>
              <w:rPr>
                <w:sz w:val="21"/>
              </w:rPr>
            </w:pPr>
            <w:r>
              <w:rPr>
                <w:spacing w:val="-4"/>
                <w:sz w:val="21"/>
              </w:rPr>
              <w:t>1.80</w:t>
            </w:r>
          </w:p>
        </w:tc>
        <w:tc>
          <w:tcPr>
            <w:tcW w:w="1187" w:type="dxa"/>
          </w:tcPr>
          <w:p w:rsidR="003F5784" w14:paraId="56BEABEE" w14:textId="77777777">
            <w:pPr>
              <w:pStyle w:val="TableParagraph"/>
              <w:ind w:right="128"/>
              <w:rPr>
                <w:sz w:val="21"/>
              </w:rPr>
            </w:pPr>
            <w:r>
              <w:rPr>
                <w:spacing w:val="-2"/>
                <w:sz w:val="21"/>
              </w:rPr>
              <w:t>87.68</w:t>
            </w:r>
          </w:p>
        </w:tc>
        <w:tc>
          <w:tcPr>
            <w:tcW w:w="1615" w:type="dxa"/>
          </w:tcPr>
          <w:p w:rsidR="003F5784" w14:paraId="6BD6B3EF" w14:textId="77777777">
            <w:pPr>
              <w:pStyle w:val="TableParagraph"/>
              <w:ind w:right="128"/>
              <w:rPr>
                <w:sz w:val="21"/>
              </w:rPr>
            </w:pPr>
            <w:r>
              <w:rPr>
                <w:spacing w:val="-4"/>
                <w:sz w:val="21"/>
              </w:rPr>
              <w:t>2.14</w:t>
            </w:r>
          </w:p>
        </w:tc>
        <w:tc>
          <w:tcPr>
            <w:tcW w:w="1605" w:type="dxa"/>
          </w:tcPr>
          <w:p w:rsidR="003F5784" w14:paraId="26C1B5F0" w14:textId="77777777">
            <w:pPr>
              <w:pStyle w:val="TableParagraph"/>
              <w:ind w:right="120"/>
              <w:rPr>
                <w:sz w:val="21"/>
              </w:rPr>
            </w:pPr>
            <w:r>
              <w:rPr>
                <w:spacing w:val="-4"/>
                <w:sz w:val="21"/>
              </w:rPr>
              <w:t>1.15</w:t>
            </w:r>
          </w:p>
        </w:tc>
      </w:tr>
      <w:tr w14:paraId="4A170C17" w14:textId="77777777">
        <w:tblPrEx>
          <w:tblW w:w="0" w:type="auto"/>
          <w:tblInd w:w="482" w:type="dxa"/>
          <w:tblLayout w:type="fixed"/>
          <w:tblCellMar>
            <w:left w:w="0" w:type="dxa"/>
            <w:right w:w="0" w:type="dxa"/>
          </w:tblCellMar>
          <w:tblLook w:val="01E0"/>
        </w:tblPrEx>
        <w:trPr>
          <w:trHeight w:val="286"/>
        </w:trPr>
        <w:tc>
          <w:tcPr>
            <w:tcW w:w="4887" w:type="dxa"/>
          </w:tcPr>
          <w:p w:rsidR="003F5784" w14:paraId="3197211F" w14:textId="77777777">
            <w:pPr>
              <w:pStyle w:val="TableParagraph"/>
              <w:ind w:left="120"/>
              <w:jc w:val="left"/>
              <w:rPr>
                <w:sz w:val="21"/>
              </w:rPr>
            </w:pPr>
            <w:r>
              <w:rPr>
                <w:spacing w:val="-2"/>
                <w:sz w:val="21"/>
              </w:rPr>
              <w:t>Colorado</w:t>
            </w:r>
          </w:p>
        </w:tc>
        <w:tc>
          <w:tcPr>
            <w:tcW w:w="1332" w:type="dxa"/>
          </w:tcPr>
          <w:p w:rsidR="003F5784" w14:paraId="0DDE5FA2" w14:textId="77777777">
            <w:pPr>
              <w:pStyle w:val="TableParagraph"/>
              <w:ind w:right="127"/>
              <w:rPr>
                <w:sz w:val="21"/>
              </w:rPr>
            </w:pPr>
            <w:r>
              <w:rPr>
                <w:spacing w:val="-2"/>
                <w:sz w:val="21"/>
              </w:rPr>
              <w:t>91.10</w:t>
            </w:r>
          </w:p>
        </w:tc>
        <w:tc>
          <w:tcPr>
            <w:tcW w:w="1614" w:type="dxa"/>
          </w:tcPr>
          <w:p w:rsidR="003F5784" w14:paraId="27077443" w14:textId="77777777">
            <w:pPr>
              <w:pStyle w:val="TableParagraph"/>
              <w:ind w:right="126"/>
              <w:rPr>
                <w:sz w:val="21"/>
              </w:rPr>
            </w:pPr>
            <w:r>
              <w:rPr>
                <w:spacing w:val="-4"/>
                <w:sz w:val="21"/>
              </w:rPr>
              <w:t>1.28</w:t>
            </w:r>
          </w:p>
        </w:tc>
        <w:tc>
          <w:tcPr>
            <w:tcW w:w="1747" w:type="dxa"/>
          </w:tcPr>
          <w:p w:rsidR="003F5784" w14:paraId="640400D6" w14:textId="77777777">
            <w:pPr>
              <w:pStyle w:val="TableParagraph"/>
              <w:ind w:right="260"/>
              <w:rPr>
                <w:sz w:val="21"/>
              </w:rPr>
            </w:pPr>
            <w:r>
              <w:rPr>
                <w:spacing w:val="-4"/>
                <w:sz w:val="21"/>
              </w:rPr>
              <w:t>0.64</w:t>
            </w:r>
          </w:p>
        </w:tc>
        <w:tc>
          <w:tcPr>
            <w:tcW w:w="1187" w:type="dxa"/>
          </w:tcPr>
          <w:p w:rsidR="003F5784" w14:paraId="08A0EB0F" w14:textId="77777777">
            <w:pPr>
              <w:pStyle w:val="TableParagraph"/>
              <w:ind w:right="128"/>
              <w:rPr>
                <w:sz w:val="21"/>
              </w:rPr>
            </w:pPr>
            <w:r>
              <w:rPr>
                <w:spacing w:val="-2"/>
                <w:sz w:val="21"/>
              </w:rPr>
              <w:t>86.46</w:t>
            </w:r>
          </w:p>
        </w:tc>
        <w:tc>
          <w:tcPr>
            <w:tcW w:w="1615" w:type="dxa"/>
          </w:tcPr>
          <w:p w:rsidR="003F5784" w14:paraId="206665B5" w14:textId="77777777">
            <w:pPr>
              <w:pStyle w:val="TableParagraph"/>
              <w:ind w:right="128"/>
              <w:rPr>
                <w:sz w:val="21"/>
              </w:rPr>
            </w:pPr>
            <w:r>
              <w:rPr>
                <w:spacing w:val="-4"/>
                <w:sz w:val="21"/>
              </w:rPr>
              <w:t>1.10</w:t>
            </w:r>
          </w:p>
        </w:tc>
        <w:tc>
          <w:tcPr>
            <w:tcW w:w="1605" w:type="dxa"/>
          </w:tcPr>
          <w:p w:rsidR="003F5784" w14:paraId="1358A0A1" w14:textId="77777777">
            <w:pPr>
              <w:pStyle w:val="TableParagraph"/>
              <w:ind w:right="120"/>
              <w:rPr>
                <w:sz w:val="21"/>
              </w:rPr>
            </w:pPr>
            <w:r>
              <w:rPr>
                <w:spacing w:val="-4"/>
                <w:sz w:val="21"/>
              </w:rPr>
              <w:t>0.33</w:t>
            </w:r>
          </w:p>
        </w:tc>
      </w:tr>
      <w:tr w14:paraId="7FF43BD8" w14:textId="77777777">
        <w:tblPrEx>
          <w:tblW w:w="0" w:type="auto"/>
          <w:tblInd w:w="482" w:type="dxa"/>
          <w:tblLayout w:type="fixed"/>
          <w:tblCellMar>
            <w:left w:w="0" w:type="dxa"/>
            <w:right w:w="0" w:type="dxa"/>
          </w:tblCellMar>
          <w:tblLook w:val="01E0"/>
        </w:tblPrEx>
        <w:trPr>
          <w:trHeight w:val="286"/>
        </w:trPr>
        <w:tc>
          <w:tcPr>
            <w:tcW w:w="4887" w:type="dxa"/>
          </w:tcPr>
          <w:p w:rsidR="003F5784" w14:paraId="7137B2C2" w14:textId="77777777">
            <w:pPr>
              <w:pStyle w:val="TableParagraph"/>
              <w:ind w:left="120"/>
              <w:jc w:val="left"/>
              <w:rPr>
                <w:sz w:val="21"/>
              </w:rPr>
            </w:pPr>
            <w:r>
              <w:rPr>
                <w:spacing w:val="-2"/>
                <w:sz w:val="21"/>
              </w:rPr>
              <w:t>Connecticut</w:t>
            </w:r>
          </w:p>
        </w:tc>
        <w:tc>
          <w:tcPr>
            <w:tcW w:w="1332" w:type="dxa"/>
          </w:tcPr>
          <w:p w:rsidR="003F5784" w14:paraId="00D1A59B" w14:textId="77777777">
            <w:pPr>
              <w:pStyle w:val="TableParagraph"/>
              <w:ind w:right="127"/>
              <w:rPr>
                <w:sz w:val="21"/>
              </w:rPr>
            </w:pPr>
            <w:r>
              <w:rPr>
                <w:spacing w:val="-2"/>
                <w:sz w:val="21"/>
              </w:rPr>
              <w:t>91.79</w:t>
            </w:r>
          </w:p>
        </w:tc>
        <w:tc>
          <w:tcPr>
            <w:tcW w:w="1614" w:type="dxa"/>
          </w:tcPr>
          <w:p w:rsidR="003F5784" w14:paraId="05CAD8CB" w14:textId="77777777">
            <w:pPr>
              <w:pStyle w:val="TableParagraph"/>
              <w:ind w:right="126"/>
              <w:rPr>
                <w:sz w:val="21"/>
              </w:rPr>
            </w:pPr>
            <w:r>
              <w:rPr>
                <w:spacing w:val="-4"/>
                <w:sz w:val="21"/>
              </w:rPr>
              <w:t>1.49</w:t>
            </w:r>
          </w:p>
        </w:tc>
        <w:tc>
          <w:tcPr>
            <w:tcW w:w="1747" w:type="dxa"/>
          </w:tcPr>
          <w:p w:rsidR="003F5784" w14:paraId="51EBA10A" w14:textId="77777777">
            <w:pPr>
              <w:pStyle w:val="TableParagraph"/>
              <w:ind w:right="260"/>
              <w:rPr>
                <w:sz w:val="21"/>
              </w:rPr>
            </w:pPr>
            <w:r>
              <w:rPr>
                <w:spacing w:val="-4"/>
                <w:sz w:val="21"/>
              </w:rPr>
              <w:t>1.02</w:t>
            </w:r>
          </w:p>
        </w:tc>
        <w:tc>
          <w:tcPr>
            <w:tcW w:w="1187" w:type="dxa"/>
          </w:tcPr>
          <w:p w:rsidR="003F5784" w14:paraId="578DD1EF" w14:textId="77777777">
            <w:pPr>
              <w:pStyle w:val="TableParagraph"/>
              <w:ind w:right="128"/>
              <w:rPr>
                <w:sz w:val="21"/>
              </w:rPr>
            </w:pPr>
            <w:r>
              <w:rPr>
                <w:spacing w:val="-2"/>
                <w:sz w:val="21"/>
              </w:rPr>
              <w:t>87.84</w:t>
            </w:r>
          </w:p>
        </w:tc>
        <w:tc>
          <w:tcPr>
            <w:tcW w:w="1615" w:type="dxa"/>
          </w:tcPr>
          <w:p w:rsidR="003F5784" w14:paraId="76BB9B7B" w14:textId="77777777">
            <w:pPr>
              <w:pStyle w:val="TableParagraph"/>
              <w:ind w:right="128"/>
              <w:rPr>
                <w:sz w:val="21"/>
              </w:rPr>
            </w:pPr>
            <w:r>
              <w:rPr>
                <w:spacing w:val="-4"/>
                <w:sz w:val="21"/>
              </w:rPr>
              <w:t>1.27</w:t>
            </w:r>
          </w:p>
        </w:tc>
        <w:tc>
          <w:tcPr>
            <w:tcW w:w="1605" w:type="dxa"/>
          </w:tcPr>
          <w:p w:rsidR="003F5784" w14:paraId="1648BFD6" w14:textId="77777777">
            <w:pPr>
              <w:pStyle w:val="TableParagraph"/>
              <w:ind w:right="120"/>
              <w:rPr>
                <w:sz w:val="21"/>
              </w:rPr>
            </w:pPr>
            <w:r>
              <w:rPr>
                <w:spacing w:val="-4"/>
                <w:sz w:val="21"/>
              </w:rPr>
              <w:t>0.62</w:t>
            </w:r>
          </w:p>
        </w:tc>
      </w:tr>
      <w:tr w14:paraId="1B127EAD" w14:textId="77777777">
        <w:tblPrEx>
          <w:tblW w:w="0" w:type="auto"/>
          <w:tblInd w:w="482" w:type="dxa"/>
          <w:tblLayout w:type="fixed"/>
          <w:tblCellMar>
            <w:left w:w="0" w:type="dxa"/>
            <w:right w:w="0" w:type="dxa"/>
          </w:tblCellMar>
          <w:tblLook w:val="01E0"/>
        </w:tblPrEx>
        <w:trPr>
          <w:trHeight w:val="286"/>
        </w:trPr>
        <w:tc>
          <w:tcPr>
            <w:tcW w:w="4887" w:type="dxa"/>
          </w:tcPr>
          <w:p w:rsidR="003F5784" w14:paraId="57A8DC22" w14:textId="77777777">
            <w:pPr>
              <w:pStyle w:val="TableParagraph"/>
              <w:ind w:left="120"/>
              <w:jc w:val="left"/>
              <w:rPr>
                <w:sz w:val="21"/>
              </w:rPr>
            </w:pPr>
            <w:r>
              <w:rPr>
                <w:spacing w:val="-2"/>
                <w:sz w:val="21"/>
              </w:rPr>
              <w:t>Delaware</w:t>
            </w:r>
          </w:p>
        </w:tc>
        <w:tc>
          <w:tcPr>
            <w:tcW w:w="1332" w:type="dxa"/>
          </w:tcPr>
          <w:p w:rsidR="003F5784" w14:paraId="0411D833" w14:textId="77777777">
            <w:pPr>
              <w:pStyle w:val="TableParagraph"/>
              <w:ind w:right="127"/>
              <w:rPr>
                <w:sz w:val="21"/>
              </w:rPr>
            </w:pPr>
            <w:r>
              <w:rPr>
                <w:spacing w:val="-2"/>
                <w:sz w:val="21"/>
              </w:rPr>
              <w:t>91.03</w:t>
            </w:r>
          </w:p>
        </w:tc>
        <w:tc>
          <w:tcPr>
            <w:tcW w:w="1614" w:type="dxa"/>
          </w:tcPr>
          <w:p w:rsidR="003F5784" w14:paraId="3B9FD9D2" w14:textId="77777777">
            <w:pPr>
              <w:pStyle w:val="TableParagraph"/>
              <w:ind w:right="126"/>
              <w:rPr>
                <w:sz w:val="21"/>
              </w:rPr>
            </w:pPr>
            <w:r>
              <w:rPr>
                <w:spacing w:val="-4"/>
                <w:sz w:val="21"/>
              </w:rPr>
              <w:t>1.18</w:t>
            </w:r>
          </w:p>
        </w:tc>
        <w:tc>
          <w:tcPr>
            <w:tcW w:w="1747" w:type="dxa"/>
          </w:tcPr>
          <w:p w:rsidR="003F5784" w14:paraId="7E741717" w14:textId="77777777">
            <w:pPr>
              <w:pStyle w:val="TableParagraph"/>
              <w:ind w:right="260"/>
              <w:rPr>
                <w:sz w:val="21"/>
              </w:rPr>
            </w:pPr>
            <w:r>
              <w:rPr>
                <w:spacing w:val="-4"/>
                <w:sz w:val="21"/>
              </w:rPr>
              <w:t>0.77</w:t>
            </w:r>
          </w:p>
        </w:tc>
        <w:tc>
          <w:tcPr>
            <w:tcW w:w="1187" w:type="dxa"/>
          </w:tcPr>
          <w:p w:rsidR="003F5784" w14:paraId="46A6CA56" w14:textId="77777777">
            <w:pPr>
              <w:pStyle w:val="TableParagraph"/>
              <w:ind w:right="128"/>
              <w:rPr>
                <w:sz w:val="21"/>
              </w:rPr>
            </w:pPr>
            <w:r>
              <w:rPr>
                <w:spacing w:val="-2"/>
                <w:sz w:val="21"/>
              </w:rPr>
              <w:t>87.27</w:t>
            </w:r>
          </w:p>
        </w:tc>
        <w:tc>
          <w:tcPr>
            <w:tcW w:w="1615" w:type="dxa"/>
          </w:tcPr>
          <w:p w:rsidR="003F5784" w14:paraId="07AD1E30" w14:textId="77777777">
            <w:pPr>
              <w:pStyle w:val="TableParagraph"/>
              <w:ind w:right="128"/>
              <w:rPr>
                <w:sz w:val="21"/>
              </w:rPr>
            </w:pPr>
            <w:r>
              <w:rPr>
                <w:spacing w:val="-4"/>
                <w:sz w:val="21"/>
              </w:rPr>
              <w:t>1.44</w:t>
            </w:r>
          </w:p>
        </w:tc>
        <w:tc>
          <w:tcPr>
            <w:tcW w:w="1605" w:type="dxa"/>
          </w:tcPr>
          <w:p w:rsidR="003F5784" w14:paraId="176BBBDB" w14:textId="77777777">
            <w:pPr>
              <w:pStyle w:val="TableParagraph"/>
              <w:ind w:right="120"/>
              <w:rPr>
                <w:sz w:val="21"/>
              </w:rPr>
            </w:pPr>
            <w:r>
              <w:rPr>
                <w:spacing w:val="-4"/>
                <w:sz w:val="21"/>
              </w:rPr>
              <w:t>0.51</w:t>
            </w:r>
          </w:p>
        </w:tc>
      </w:tr>
      <w:tr w14:paraId="7835CD5F" w14:textId="77777777">
        <w:tblPrEx>
          <w:tblW w:w="0" w:type="auto"/>
          <w:tblInd w:w="482" w:type="dxa"/>
          <w:tblLayout w:type="fixed"/>
          <w:tblCellMar>
            <w:left w:w="0" w:type="dxa"/>
            <w:right w:w="0" w:type="dxa"/>
          </w:tblCellMar>
          <w:tblLook w:val="01E0"/>
        </w:tblPrEx>
        <w:trPr>
          <w:trHeight w:val="286"/>
        </w:trPr>
        <w:tc>
          <w:tcPr>
            <w:tcW w:w="4887" w:type="dxa"/>
          </w:tcPr>
          <w:p w:rsidR="003F5784" w14:paraId="2F927C94" w14:textId="77777777">
            <w:pPr>
              <w:pStyle w:val="TableParagraph"/>
              <w:ind w:left="120"/>
              <w:jc w:val="left"/>
              <w:rPr>
                <w:sz w:val="21"/>
              </w:rPr>
            </w:pPr>
            <w:r>
              <w:rPr>
                <w:spacing w:val="-2"/>
                <w:sz w:val="21"/>
              </w:rPr>
              <w:t>Florida–Duval</w:t>
            </w:r>
            <w:r>
              <w:rPr>
                <w:spacing w:val="12"/>
                <w:sz w:val="21"/>
              </w:rPr>
              <w:t xml:space="preserve"> </w:t>
            </w:r>
            <w:r>
              <w:rPr>
                <w:spacing w:val="-2"/>
                <w:sz w:val="21"/>
              </w:rPr>
              <w:t>County</w:t>
            </w:r>
          </w:p>
        </w:tc>
        <w:tc>
          <w:tcPr>
            <w:tcW w:w="1332" w:type="dxa"/>
          </w:tcPr>
          <w:p w:rsidR="003F5784" w14:paraId="21C2096B" w14:textId="77777777">
            <w:pPr>
              <w:pStyle w:val="TableParagraph"/>
              <w:ind w:right="127"/>
              <w:rPr>
                <w:sz w:val="21"/>
              </w:rPr>
            </w:pPr>
            <w:r>
              <w:rPr>
                <w:spacing w:val="-2"/>
                <w:sz w:val="21"/>
              </w:rPr>
              <w:t>91.75</w:t>
            </w:r>
          </w:p>
        </w:tc>
        <w:tc>
          <w:tcPr>
            <w:tcW w:w="1614" w:type="dxa"/>
          </w:tcPr>
          <w:p w:rsidR="003F5784" w14:paraId="2BF00492" w14:textId="77777777">
            <w:pPr>
              <w:pStyle w:val="TableParagraph"/>
              <w:ind w:right="126"/>
              <w:rPr>
                <w:sz w:val="21"/>
              </w:rPr>
            </w:pPr>
            <w:r>
              <w:rPr>
                <w:spacing w:val="-4"/>
                <w:sz w:val="21"/>
              </w:rPr>
              <w:t>2.07</w:t>
            </w:r>
          </w:p>
        </w:tc>
        <w:tc>
          <w:tcPr>
            <w:tcW w:w="1747" w:type="dxa"/>
          </w:tcPr>
          <w:p w:rsidR="003F5784" w14:paraId="31EC1F72" w14:textId="77777777">
            <w:pPr>
              <w:pStyle w:val="TableParagraph"/>
              <w:ind w:right="260"/>
              <w:rPr>
                <w:sz w:val="21"/>
              </w:rPr>
            </w:pPr>
            <w:r>
              <w:rPr>
                <w:spacing w:val="-4"/>
                <w:sz w:val="21"/>
              </w:rPr>
              <w:t>0.00</w:t>
            </w:r>
          </w:p>
        </w:tc>
        <w:tc>
          <w:tcPr>
            <w:tcW w:w="1187" w:type="dxa"/>
          </w:tcPr>
          <w:p w:rsidR="003F5784" w14:paraId="4A7F1A0D" w14:textId="77777777">
            <w:pPr>
              <w:pStyle w:val="TableParagraph"/>
              <w:ind w:right="128"/>
              <w:rPr>
                <w:sz w:val="21"/>
              </w:rPr>
            </w:pPr>
            <w:r>
              <w:rPr>
                <w:spacing w:val="-2"/>
                <w:sz w:val="21"/>
              </w:rPr>
              <w:t>91.37</w:t>
            </w:r>
          </w:p>
        </w:tc>
        <w:tc>
          <w:tcPr>
            <w:tcW w:w="1615" w:type="dxa"/>
          </w:tcPr>
          <w:p w:rsidR="003F5784" w14:paraId="09174310" w14:textId="77777777">
            <w:pPr>
              <w:pStyle w:val="TableParagraph"/>
              <w:ind w:right="128"/>
              <w:rPr>
                <w:sz w:val="21"/>
              </w:rPr>
            </w:pPr>
            <w:r>
              <w:rPr>
                <w:spacing w:val="-4"/>
                <w:sz w:val="21"/>
              </w:rPr>
              <w:t>1.53</w:t>
            </w:r>
          </w:p>
        </w:tc>
        <w:tc>
          <w:tcPr>
            <w:tcW w:w="1605" w:type="dxa"/>
          </w:tcPr>
          <w:p w:rsidR="003F5784" w14:paraId="5C746439" w14:textId="77777777">
            <w:pPr>
              <w:pStyle w:val="TableParagraph"/>
              <w:ind w:right="120"/>
              <w:rPr>
                <w:sz w:val="21"/>
              </w:rPr>
            </w:pPr>
            <w:r>
              <w:rPr>
                <w:spacing w:val="-4"/>
                <w:sz w:val="21"/>
              </w:rPr>
              <w:t>0.00</w:t>
            </w:r>
          </w:p>
        </w:tc>
      </w:tr>
      <w:tr w14:paraId="6D178044" w14:textId="77777777">
        <w:tblPrEx>
          <w:tblW w:w="0" w:type="auto"/>
          <w:tblInd w:w="482" w:type="dxa"/>
          <w:tblLayout w:type="fixed"/>
          <w:tblCellMar>
            <w:left w:w="0" w:type="dxa"/>
            <w:right w:w="0" w:type="dxa"/>
          </w:tblCellMar>
          <w:tblLook w:val="01E0"/>
        </w:tblPrEx>
        <w:trPr>
          <w:trHeight w:val="286"/>
        </w:trPr>
        <w:tc>
          <w:tcPr>
            <w:tcW w:w="4887" w:type="dxa"/>
          </w:tcPr>
          <w:p w:rsidR="003F5784" w14:paraId="4314C094" w14:textId="77777777">
            <w:pPr>
              <w:pStyle w:val="TableParagraph"/>
              <w:ind w:left="120"/>
              <w:jc w:val="left"/>
              <w:rPr>
                <w:sz w:val="21"/>
              </w:rPr>
            </w:pPr>
            <w:r>
              <w:rPr>
                <w:spacing w:val="-2"/>
                <w:sz w:val="21"/>
              </w:rPr>
              <w:t>Florida–Hillsborough</w:t>
            </w:r>
            <w:r>
              <w:rPr>
                <w:spacing w:val="20"/>
                <w:sz w:val="21"/>
              </w:rPr>
              <w:t xml:space="preserve"> </w:t>
            </w:r>
            <w:r>
              <w:rPr>
                <w:spacing w:val="-2"/>
                <w:sz w:val="21"/>
              </w:rPr>
              <w:t>County</w:t>
            </w:r>
          </w:p>
        </w:tc>
        <w:tc>
          <w:tcPr>
            <w:tcW w:w="1332" w:type="dxa"/>
          </w:tcPr>
          <w:p w:rsidR="003F5784" w14:paraId="0E2CCC67" w14:textId="77777777">
            <w:pPr>
              <w:pStyle w:val="TableParagraph"/>
              <w:ind w:right="127"/>
              <w:rPr>
                <w:sz w:val="21"/>
              </w:rPr>
            </w:pPr>
            <w:r>
              <w:rPr>
                <w:spacing w:val="-2"/>
                <w:sz w:val="21"/>
              </w:rPr>
              <w:t>92.13</w:t>
            </w:r>
          </w:p>
        </w:tc>
        <w:tc>
          <w:tcPr>
            <w:tcW w:w="1614" w:type="dxa"/>
          </w:tcPr>
          <w:p w:rsidR="003F5784" w14:paraId="67AA4EB4" w14:textId="77777777">
            <w:pPr>
              <w:pStyle w:val="TableParagraph"/>
              <w:ind w:right="126"/>
              <w:rPr>
                <w:sz w:val="21"/>
              </w:rPr>
            </w:pPr>
            <w:r>
              <w:rPr>
                <w:spacing w:val="-4"/>
                <w:sz w:val="21"/>
              </w:rPr>
              <w:t>2.16</w:t>
            </w:r>
          </w:p>
        </w:tc>
        <w:tc>
          <w:tcPr>
            <w:tcW w:w="1747" w:type="dxa"/>
          </w:tcPr>
          <w:p w:rsidR="003F5784" w14:paraId="0B9A2D94" w14:textId="77777777">
            <w:pPr>
              <w:pStyle w:val="TableParagraph"/>
              <w:ind w:right="260"/>
              <w:rPr>
                <w:sz w:val="21"/>
              </w:rPr>
            </w:pPr>
            <w:r>
              <w:rPr>
                <w:spacing w:val="-4"/>
                <w:sz w:val="21"/>
              </w:rPr>
              <w:t>0.98</w:t>
            </w:r>
          </w:p>
        </w:tc>
        <w:tc>
          <w:tcPr>
            <w:tcW w:w="1187" w:type="dxa"/>
          </w:tcPr>
          <w:p w:rsidR="003F5784" w14:paraId="34D3469B" w14:textId="77777777">
            <w:pPr>
              <w:pStyle w:val="TableParagraph"/>
              <w:ind w:right="128"/>
              <w:rPr>
                <w:sz w:val="21"/>
              </w:rPr>
            </w:pPr>
            <w:r>
              <w:rPr>
                <w:spacing w:val="-2"/>
                <w:sz w:val="21"/>
              </w:rPr>
              <w:t>90.53</w:t>
            </w:r>
          </w:p>
        </w:tc>
        <w:tc>
          <w:tcPr>
            <w:tcW w:w="1615" w:type="dxa"/>
          </w:tcPr>
          <w:p w:rsidR="003F5784" w14:paraId="284878DC" w14:textId="77777777">
            <w:pPr>
              <w:pStyle w:val="TableParagraph"/>
              <w:ind w:right="128"/>
              <w:rPr>
                <w:sz w:val="21"/>
              </w:rPr>
            </w:pPr>
            <w:r>
              <w:rPr>
                <w:spacing w:val="-4"/>
                <w:sz w:val="21"/>
              </w:rPr>
              <w:t>1.03</w:t>
            </w:r>
          </w:p>
        </w:tc>
        <w:tc>
          <w:tcPr>
            <w:tcW w:w="1605" w:type="dxa"/>
          </w:tcPr>
          <w:p w:rsidR="003F5784" w14:paraId="7F514D82" w14:textId="77777777">
            <w:pPr>
              <w:pStyle w:val="TableParagraph"/>
              <w:ind w:right="120"/>
              <w:rPr>
                <w:sz w:val="21"/>
              </w:rPr>
            </w:pPr>
            <w:r>
              <w:rPr>
                <w:spacing w:val="-4"/>
                <w:sz w:val="21"/>
              </w:rPr>
              <w:t>1.22</w:t>
            </w:r>
          </w:p>
        </w:tc>
      </w:tr>
      <w:tr w14:paraId="6FC00EBC" w14:textId="77777777">
        <w:tblPrEx>
          <w:tblW w:w="0" w:type="auto"/>
          <w:tblInd w:w="482" w:type="dxa"/>
          <w:tblLayout w:type="fixed"/>
          <w:tblCellMar>
            <w:left w:w="0" w:type="dxa"/>
            <w:right w:w="0" w:type="dxa"/>
          </w:tblCellMar>
          <w:tblLook w:val="01E0"/>
        </w:tblPrEx>
        <w:trPr>
          <w:trHeight w:val="286"/>
        </w:trPr>
        <w:tc>
          <w:tcPr>
            <w:tcW w:w="4887" w:type="dxa"/>
          </w:tcPr>
          <w:p w:rsidR="003F5784" w14:paraId="39A09D46" w14:textId="77777777">
            <w:pPr>
              <w:pStyle w:val="TableParagraph"/>
              <w:ind w:left="120"/>
              <w:jc w:val="left"/>
              <w:rPr>
                <w:sz w:val="21"/>
              </w:rPr>
            </w:pPr>
            <w:r>
              <w:rPr>
                <w:spacing w:val="-2"/>
                <w:sz w:val="21"/>
              </w:rPr>
              <w:t>Florida–Miami-Dade</w:t>
            </w:r>
            <w:r>
              <w:rPr>
                <w:spacing w:val="17"/>
                <w:sz w:val="21"/>
              </w:rPr>
              <w:t xml:space="preserve"> </w:t>
            </w:r>
            <w:r>
              <w:rPr>
                <w:spacing w:val="-2"/>
                <w:sz w:val="21"/>
              </w:rPr>
              <w:t>County</w:t>
            </w:r>
          </w:p>
        </w:tc>
        <w:tc>
          <w:tcPr>
            <w:tcW w:w="1332" w:type="dxa"/>
          </w:tcPr>
          <w:p w:rsidR="003F5784" w14:paraId="61BE67E9" w14:textId="77777777">
            <w:pPr>
              <w:pStyle w:val="TableParagraph"/>
              <w:ind w:right="127"/>
              <w:rPr>
                <w:sz w:val="21"/>
              </w:rPr>
            </w:pPr>
            <w:r>
              <w:rPr>
                <w:spacing w:val="-2"/>
                <w:sz w:val="21"/>
              </w:rPr>
              <w:t>94.64</w:t>
            </w:r>
          </w:p>
        </w:tc>
        <w:tc>
          <w:tcPr>
            <w:tcW w:w="1614" w:type="dxa"/>
          </w:tcPr>
          <w:p w:rsidR="003F5784" w14:paraId="60A53B8C" w14:textId="77777777">
            <w:pPr>
              <w:pStyle w:val="TableParagraph"/>
              <w:ind w:right="126"/>
              <w:rPr>
                <w:sz w:val="21"/>
              </w:rPr>
            </w:pPr>
            <w:r>
              <w:rPr>
                <w:spacing w:val="-4"/>
                <w:sz w:val="21"/>
              </w:rPr>
              <w:t>1.27</w:t>
            </w:r>
          </w:p>
        </w:tc>
        <w:tc>
          <w:tcPr>
            <w:tcW w:w="1747" w:type="dxa"/>
          </w:tcPr>
          <w:p w:rsidR="003F5784" w14:paraId="3DEA44E6" w14:textId="77777777">
            <w:pPr>
              <w:pStyle w:val="TableParagraph"/>
              <w:ind w:right="260"/>
              <w:rPr>
                <w:sz w:val="21"/>
              </w:rPr>
            </w:pPr>
            <w:r>
              <w:rPr>
                <w:spacing w:val="-4"/>
                <w:sz w:val="21"/>
              </w:rPr>
              <w:t>2.00</w:t>
            </w:r>
          </w:p>
        </w:tc>
        <w:tc>
          <w:tcPr>
            <w:tcW w:w="1187" w:type="dxa"/>
          </w:tcPr>
          <w:p w:rsidR="003F5784" w14:paraId="5F61F9A1" w14:textId="77777777">
            <w:pPr>
              <w:pStyle w:val="TableParagraph"/>
              <w:ind w:right="128"/>
              <w:rPr>
                <w:sz w:val="21"/>
              </w:rPr>
            </w:pPr>
            <w:r>
              <w:rPr>
                <w:spacing w:val="-2"/>
                <w:sz w:val="21"/>
              </w:rPr>
              <w:t>91.25</w:t>
            </w:r>
          </w:p>
        </w:tc>
        <w:tc>
          <w:tcPr>
            <w:tcW w:w="1615" w:type="dxa"/>
          </w:tcPr>
          <w:p w:rsidR="003F5784" w14:paraId="4CB279AB" w14:textId="77777777">
            <w:pPr>
              <w:pStyle w:val="TableParagraph"/>
              <w:ind w:right="128"/>
              <w:rPr>
                <w:sz w:val="21"/>
              </w:rPr>
            </w:pPr>
            <w:r>
              <w:rPr>
                <w:spacing w:val="-4"/>
                <w:sz w:val="21"/>
              </w:rPr>
              <w:t>1.96</w:t>
            </w:r>
          </w:p>
        </w:tc>
        <w:tc>
          <w:tcPr>
            <w:tcW w:w="1605" w:type="dxa"/>
          </w:tcPr>
          <w:p w:rsidR="003F5784" w14:paraId="75F26956" w14:textId="77777777">
            <w:pPr>
              <w:pStyle w:val="TableParagraph"/>
              <w:ind w:right="120"/>
              <w:rPr>
                <w:sz w:val="21"/>
              </w:rPr>
            </w:pPr>
            <w:r>
              <w:rPr>
                <w:spacing w:val="-4"/>
                <w:sz w:val="21"/>
              </w:rPr>
              <w:t>1.62</w:t>
            </w:r>
          </w:p>
        </w:tc>
      </w:tr>
      <w:tr w14:paraId="3F321837" w14:textId="77777777">
        <w:tblPrEx>
          <w:tblW w:w="0" w:type="auto"/>
          <w:tblInd w:w="482" w:type="dxa"/>
          <w:tblLayout w:type="fixed"/>
          <w:tblCellMar>
            <w:left w:w="0" w:type="dxa"/>
            <w:right w:w="0" w:type="dxa"/>
          </w:tblCellMar>
          <w:tblLook w:val="01E0"/>
        </w:tblPrEx>
        <w:trPr>
          <w:trHeight w:val="286"/>
        </w:trPr>
        <w:tc>
          <w:tcPr>
            <w:tcW w:w="4887" w:type="dxa"/>
          </w:tcPr>
          <w:p w:rsidR="003F5784" w14:paraId="3602444C" w14:textId="77777777">
            <w:pPr>
              <w:pStyle w:val="TableParagraph"/>
              <w:ind w:left="120"/>
              <w:jc w:val="left"/>
              <w:rPr>
                <w:sz w:val="21"/>
              </w:rPr>
            </w:pPr>
            <w:r>
              <w:rPr>
                <w:spacing w:val="-2"/>
                <w:sz w:val="21"/>
              </w:rPr>
              <w:t>Florida</w:t>
            </w:r>
          </w:p>
        </w:tc>
        <w:tc>
          <w:tcPr>
            <w:tcW w:w="1332" w:type="dxa"/>
          </w:tcPr>
          <w:p w:rsidR="003F5784" w14:paraId="1002F725" w14:textId="77777777">
            <w:pPr>
              <w:pStyle w:val="TableParagraph"/>
              <w:ind w:right="127"/>
              <w:rPr>
                <w:sz w:val="21"/>
              </w:rPr>
            </w:pPr>
            <w:r>
              <w:rPr>
                <w:spacing w:val="-2"/>
                <w:sz w:val="21"/>
              </w:rPr>
              <w:t>91.80</w:t>
            </w:r>
          </w:p>
        </w:tc>
        <w:tc>
          <w:tcPr>
            <w:tcW w:w="1614" w:type="dxa"/>
          </w:tcPr>
          <w:p w:rsidR="003F5784" w14:paraId="5CD0109E" w14:textId="77777777">
            <w:pPr>
              <w:pStyle w:val="TableParagraph"/>
              <w:ind w:right="126"/>
              <w:rPr>
                <w:sz w:val="21"/>
              </w:rPr>
            </w:pPr>
            <w:r>
              <w:rPr>
                <w:spacing w:val="-4"/>
                <w:sz w:val="21"/>
              </w:rPr>
              <w:t>1.89</w:t>
            </w:r>
          </w:p>
        </w:tc>
        <w:tc>
          <w:tcPr>
            <w:tcW w:w="1747" w:type="dxa"/>
          </w:tcPr>
          <w:p w:rsidR="003F5784" w14:paraId="351A76DC" w14:textId="77777777">
            <w:pPr>
              <w:pStyle w:val="TableParagraph"/>
              <w:ind w:right="260"/>
              <w:rPr>
                <w:sz w:val="21"/>
              </w:rPr>
            </w:pPr>
            <w:r>
              <w:rPr>
                <w:spacing w:val="-4"/>
                <w:sz w:val="21"/>
              </w:rPr>
              <w:t>0.94</w:t>
            </w:r>
          </w:p>
        </w:tc>
        <w:tc>
          <w:tcPr>
            <w:tcW w:w="1187" w:type="dxa"/>
          </w:tcPr>
          <w:p w:rsidR="003F5784" w14:paraId="534E9A41" w14:textId="77777777">
            <w:pPr>
              <w:pStyle w:val="TableParagraph"/>
              <w:ind w:right="128"/>
              <w:rPr>
                <w:sz w:val="21"/>
              </w:rPr>
            </w:pPr>
            <w:r>
              <w:rPr>
                <w:spacing w:val="-2"/>
                <w:sz w:val="21"/>
              </w:rPr>
              <w:t>89.47</w:t>
            </w:r>
          </w:p>
        </w:tc>
        <w:tc>
          <w:tcPr>
            <w:tcW w:w="1615" w:type="dxa"/>
          </w:tcPr>
          <w:p w:rsidR="003F5784" w14:paraId="0980A2A2" w14:textId="77777777">
            <w:pPr>
              <w:pStyle w:val="TableParagraph"/>
              <w:ind w:right="128"/>
              <w:rPr>
                <w:sz w:val="21"/>
              </w:rPr>
            </w:pPr>
            <w:r>
              <w:rPr>
                <w:spacing w:val="-4"/>
                <w:sz w:val="21"/>
              </w:rPr>
              <w:t>1.96</w:t>
            </w:r>
          </w:p>
        </w:tc>
        <w:tc>
          <w:tcPr>
            <w:tcW w:w="1605" w:type="dxa"/>
          </w:tcPr>
          <w:p w:rsidR="003F5784" w14:paraId="26EBCD5C" w14:textId="77777777">
            <w:pPr>
              <w:pStyle w:val="TableParagraph"/>
              <w:ind w:right="120"/>
              <w:rPr>
                <w:sz w:val="21"/>
              </w:rPr>
            </w:pPr>
            <w:r>
              <w:rPr>
                <w:spacing w:val="-4"/>
                <w:sz w:val="21"/>
              </w:rPr>
              <w:t>0.59</w:t>
            </w:r>
          </w:p>
        </w:tc>
      </w:tr>
      <w:tr w14:paraId="7E5EE6AD" w14:textId="77777777">
        <w:tblPrEx>
          <w:tblW w:w="0" w:type="auto"/>
          <w:tblInd w:w="482" w:type="dxa"/>
          <w:tblLayout w:type="fixed"/>
          <w:tblCellMar>
            <w:left w:w="0" w:type="dxa"/>
            <w:right w:w="0" w:type="dxa"/>
          </w:tblCellMar>
          <w:tblLook w:val="01E0"/>
        </w:tblPrEx>
        <w:trPr>
          <w:trHeight w:val="286"/>
        </w:trPr>
        <w:tc>
          <w:tcPr>
            <w:tcW w:w="4887" w:type="dxa"/>
          </w:tcPr>
          <w:p w:rsidR="003F5784" w14:paraId="7FD7CEFE" w14:textId="77777777">
            <w:pPr>
              <w:pStyle w:val="TableParagraph"/>
              <w:ind w:left="120"/>
              <w:jc w:val="left"/>
              <w:rPr>
                <w:sz w:val="21"/>
              </w:rPr>
            </w:pPr>
            <w:r>
              <w:rPr>
                <w:spacing w:val="-2"/>
                <w:sz w:val="21"/>
              </w:rPr>
              <w:t>Georgia–Atlanta</w:t>
            </w:r>
          </w:p>
        </w:tc>
        <w:tc>
          <w:tcPr>
            <w:tcW w:w="1332" w:type="dxa"/>
          </w:tcPr>
          <w:p w:rsidR="003F5784" w14:paraId="152CDE63" w14:textId="77777777">
            <w:pPr>
              <w:pStyle w:val="TableParagraph"/>
              <w:ind w:right="127"/>
              <w:rPr>
                <w:sz w:val="21"/>
              </w:rPr>
            </w:pPr>
            <w:r>
              <w:rPr>
                <w:spacing w:val="-2"/>
                <w:sz w:val="21"/>
              </w:rPr>
              <w:t>93.69</w:t>
            </w:r>
          </w:p>
        </w:tc>
        <w:tc>
          <w:tcPr>
            <w:tcW w:w="1614" w:type="dxa"/>
          </w:tcPr>
          <w:p w:rsidR="003F5784" w14:paraId="755C3608" w14:textId="77777777">
            <w:pPr>
              <w:pStyle w:val="TableParagraph"/>
              <w:ind w:right="126"/>
              <w:rPr>
                <w:sz w:val="21"/>
              </w:rPr>
            </w:pPr>
            <w:r>
              <w:rPr>
                <w:spacing w:val="-4"/>
                <w:sz w:val="21"/>
              </w:rPr>
              <w:t>0.78</w:t>
            </w:r>
          </w:p>
        </w:tc>
        <w:tc>
          <w:tcPr>
            <w:tcW w:w="1747" w:type="dxa"/>
          </w:tcPr>
          <w:p w:rsidR="003F5784" w14:paraId="6D91C857" w14:textId="77777777">
            <w:pPr>
              <w:pStyle w:val="TableParagraph"/>
              <w:ind w:right="260"/>
              <w:rPr>
                <w:sz w:val="21"/>
              </w:rPr>
            </w:pPr>
            <w:r>
              <w:rPr>
                <w:spacing w:val="-4"/>
                <w:sz w:val="21"/>
              </w:rPr>
              <w:t>0.22</w:t>
            </w:r>
          </w:p>
        </w:tc>
        <w:tc>
          <w:tcPr>
            <w:tcW w:w="1187" w:type="dxa"/>
          </w:tcPr>
          <w:p w:rsidR="003F5784" w14:paraId="0CBFA021" w14:textId="77777777">
            <w:pPr>
              <w:pStyle w:val="TableParagraph"/>
              <w:ind w:right="128"/>
              <w:rPr>
                <w:sz w:val="21"/>
              </w:rPr>
            </w:pPr>
            <w:r>
              <w:rPr>
                <w:spacing w:val="-2"/>
                <w:sz w:val="21"/>
              </w:rPr>
              <w:t>90.39</w:t>
            </w:r>
          </w:p>
        </w:tc>
        <w:tc>
          <w:tcPr>
            <w:tcW w:w="1615" w:type="dxa"/>
          </w:tcPr>
          <w:p w:rsidR="003F5784" w14:paraId="2E6EC278" w14:textId="77777777">
            <w:pPr>
              <w:pStyle w:val="TableParagraph"/>
              <w:ind w:right="128"/>
              <w:rPr>
                <w:sz w:val="21"/>
              </w:rPr>
            </w:pPr>
            <w:r>
              <w:rPr>
                <w:spacing w:val="-4"/>
                <w:sz w:val="21"/>
              </w:rPr>
              <w:t>0.69</w:t>
            </w:r>
          </w:p>
        </w:tc>
        <w:tc>
          <w:tcPr>
            <w:tcW w:w="1605" w:type="dxa"/>
          </w:tcPr>
          <w:p w:rsidR="003F5784" w14:paraId="6A273D13" w14:textId="77777777">
            <w:pPr>
              <w:pStyle w:val="TableParagraph"/>
              <w:ind w:right="120"/>
              <w:rPr>
                <w:sz w:val="21"/>
              </w:rPr>
            </w:pPr>
            <w:r>
              <w:rPr>
                <w:spacing w:val="-4"/>
                <w:sz w:val="21"/>
              </w:rPr>
              <w:t>0.21</w:t>
            </w:r>
          </w:p>
        </w:tc>
      </w:tr>
      <w:tr w14:paraId="3D245566" w14:textId="77777777">
        <w:tblPrEx>
          <w:tblW w:w="0" w:type="auto"/>
          <w:tblInd w:w="482" w:type="dxa"/>
          <w:tblLayout w:type="fixed"/>
          <w:tblCellMar>
            <w:left w:w="0" w:type="dxa"/>
            <w:right w:w="0" w:type="dxa"/>
          </w:tblCellMar>
          <w:tblLook w:val="01E0"/>
        </w:tblPrEx>
        <w:trPr>
          <w:trHeight w:val="286"/>
        </w:trPr>
        <w:tc>
          <w:tcPr>
            <w:tcW w:w="4887" w:type="dxa"/>
          </w:tcPr>
          <w:p w:rsidR="003F5784" w14:paraId="19C486D1" w14:textId="77777777">
            <w:pPr>
              <w:pStyle w:val="TableParagraph"/>
              <w:ind w:left="120"/>
              <w:jc w:val="left"/>
              <w:rPr>
                <w:sz w:val="21"/>
              </w:rPr>
            </w:pPr>
            <w:r>
              <w:rPr>
                <w:spacing w:val="-2"/>
                <w:sz w:val="21"/>
              </w:rPr>
              <w:t>Georgia</w:t>
            </w:r>
          </w:p>
        </w:tc>
        <w:tc>
          <w:tcPr>
            <w:tcW w:w="1332" w:type="dxa"/>
          </w:tcPr>
          <w:p w:rsidR="003F5784" w14:paraId="2374BF18" w14:textId="77777777">
            <w:pPr>
              <w:pStyle w:val="TableParagraph"/>
              <w:ind w:right="127"/>
              <w:rPr>
                <w:sz w:val="21"/>
              </w:rPr>
            </w:pPr>
            <w:r>
              <w:rPr>
                <w:spacing w:val="-2"/>
                <w:sz w:val="21"/>
              </w:rPr>
              <w:t>92.84</w:t>
            </w:r>
          </w:p>
        </w:tc>
        <w:tc>
          <w:tcPr>
            <w:tcW w:w="1614" w:type="dxa"/>
          </w:tcPr>
          <w:p w:rsidR="003F5784" w14:paraId="50D3B3EA" w14:textId="77777777">
            <w:pPr>
              <w:pStyle w:val="TableParagraph"/>
              <w:ind w:right="126"/>
              <w:rPr>
                <w:sz w:val="21"/>
              </w:rPr>
            </w:pPr>
            <w:r>
              <w:rPr>
                <w:spacing w:val="-4"/>
                <w:sz w:val="21"/>
              </w:rPr>
              <w:t>1.12</w:t>
            </w:r>
          </w:p>
        </w:tc>
        <w:tc>
          <w:tcPr>
            <w:tcW w:w="1747" w:type="dxa"/>
          </w:tcPr>
          <w:p w:rsidR="003F5784" w14:paraId="64A9FAB0" w14:textId="77777777">
            <w:pPr>
              <w:pStyle w:val="TableParagraph"/>
              <w:ind w:right="260"/>
              <w:rPr>
                <w:sz w:val="21"/>
              </w:rPr>
            </w:pPr>
            <w:r>
              <w:rPr>
                <w:spacing w:val="-4"/>
                <w:sz w:val="21"/>
              </w:rPr>
              <w:t>0.37</w:t>
            </w:r>
          </w:p>
        </w:tc>
        <w:tc>
          <w:tcPr>
            <w:tcW w:w="1187" w:type="dxa"/>
          </w:tcPr>
          <w:p w:rsidR="003F5784" w14:paraId="6803143E" w14:textId="77777777">
            <w:pPr>
              <w:pStyle w:val="TableParagraph"/>
              <w:ind w:right="128"/>
              <w:rPr>
                <w:sz w:val="21"/>
              </w:rPr>
            </w:pPr>
            <w:r>
              <w:rPr>
                <w:spacing w:val="-2"/>
                <w:sz w:val="21"/>
              </w:rPr>
              <w:t>90.25</w:t>
            </w:r>
          </w:p>
        </w:tc>
        <w:tc>
          <w:tcPr>
            <w:tcW w:w="1615" w:type="dxa"/>
          </w:tcPr>
          <w:p w:rsidR="003F5784" w14:paraId="592C745A" w14:textId="77777777">
            <w:pPr>
              <w:pStyle w:val="TableParagraph"/>
              <w:ind w:right="128"/>
              <w:rPr>
                <w:sz w:val="21"/>
              </w:rPr>
            </w:pPr>
            <w:r>
              <w:rPr>
                <w:spacing w:val="-4"/>
                <w:sz w:val="21"/>
              </w:rPr>
              <w:t>1.48</w:t>
            </w:r>
          </w:p>
        </w:tc>
        <w:tc>
          <w:tcPr>
            <w:tcW w:w="1605" w:type="dxa"/>
          </w:tcPr>
          <w:p w:rsidR="003F5784" w14:paraId="197874C4" w14:textId="77777777">
            <w:pPr>
              <w:pStyle w:val="TableParagraph"/>
              <w:ind w:right="120"/>
              <w:rPr>
                <w:sz w:val="21"/>
              </w:rPr>
            </w:pPr>
            <w:r>
              <w:rPr>
                <w:spacing w:val="-4"/>
                <w:sz w:val="21"/>
              </w:rPr>
              <w:t>0.41</w:t>
            </w:r>
          </w:p>
        </w:tc>
      </w:tr>
      <w:tr w14:paraId="093A00F8" w14:textId="77777777">
        <w:tblPrEx>
          <w:tblW w:w="0" w:type="auto"/>
          <w:tblInd w:w="482" w:type="dxa"/>
          <w:tblLayout w:type="fixed"/>
          <w:tblCellMar>
            <w:left w:w="0" w:type="dxa"/>
            <w:right w:w="0" w:type="dxa"/>
          </w:tblCellMar>
          <w:tblLook w:val="01E0"/>
        </w:tblPrEx>
        <w:trPr>
          <w:trHeight w:val="286"/>
        </w:trPr>
        <w:tc>
          <w:tcPr>
            <w:tcW w:w="4887" w:type="dxa"/>
          </w:tcPr>
          <w:p w:rsidR="003F5784" w14:paraId="35ED0DDC" w14:textId="77777777">
            <w:pPr>
              <w:pStyle w:val="TableParagraph"/>
              <w:ind w:left="120"/>
              <w:jc w:val="left"/>
              <w:rPr>
                <w:sz w:val="21"/>
              </w:rPr>
            </w:pPr>
            <w:r>
              <w:rPr>
                <w:spacing w:val="-2"/>
                <w:sz w:val="21"/>
              </w:rPr>
              <w:t>Hawaii</w:t>
            </w:r>
          </w:p>
        </w:tc>
        <w:tc>
          <w:tcPr>
            <w:tcW w:w="1332" w:type="dxa"/>
          </w:tcPr>
          <w:p w:rsidR="003F5784" w14:paraId="623988A9" w14:textId="77777777">
            <w:pPr>
              <w:pStyle w:val="TableParagraph"/>
              <w:ind w:right="127"/>
              <w:rPr>
                <w:sz w:val="21"/>
              </w:rPr>
            </w:pPr>
            <w:r>
              <w:rPr>
                <w:spacing w:val="-2"/>
                <w:sz w:val="21"/>
              </w:rPr>
              <w:t>88.53</w:t>
            </w:r>
          </w:p>
        </w:tc>
        <w:tc>
          <w:tcPr>
            <w:tcW w:w="1614" w:type="dxa"/>
          </w:tcPr>
          <w:p w:rsidR="003F5784" w14:paraId="543CB022" w14:textId="77777777">
            <w:pPr>
              <w:pStyle w:val="TableParagraph"/>
              <w:ind w:right="126"/>
              <w:rPr>
                <w:sz w:val="21"/>
              </w:rPr>
            </w:pPr>
            <w:r>
              <w:rPr>
                <w:spacing w:val="-4"/>
                <w:sz w:val="21"/>
              </w:rPr>
              <w:t>1.24</w:t>
            </w:r>
          </w:p>
        </w:tc>
        <w:tc>
          <w:tcPr>
            <w:tcW w:w="1747" w:type="dxa"/>
          </w:tcPr>
          <w:p w:rsidR="003F5784" w14:paraId="373DE20B" w14:textId="77777777">
            <w:pPr>
              <w:pStyle w:val="TableParagraph"/>
              <w:ind w:right="260"/>
              <w:rPr>
                <w:sz w:val="21"/>
              </w:rPr>
            </w:pPr>
            <w:r>
              <w:rPr>
                <w:spacing w:val="-4"/>
                <w:sz w:val="21"/>
              </w:rPr>
              <w:t>0.74</w:t>
            </w:r>
          </w:p>
        </w:tc>
        <w:tc>
          <w:tcPr>
            <w:tcW w:w="1187" w:type="dxa"/>
          </w:tcPr>
          <w:p w:rsidR="003F5784" w14:paraId="5C1583BB" w14:textId="77777777">
            <w:pPr>
              <w:pStyle w:val="TableParagraph"/>
              <w:ind w:right="128"/>
              <w:rPr>
                <w:sz w:val="21"/>
              </w:rPr>
            </w:pPr>
            <w:r>
              <w:rPr>
                <w:spacing w:val="-2"/>
                <w:sz w:val="21"/>
              </w:rPr>
              <w:t>85.29</w:t>
            </w:r>
          </w:p>
        </w:tc>
        <w:tc>
          <w:tcPr>
            <w:tcW w:w="1615" w:type="dxa"/>
          </w:tcPr>
          <w:p w:rsidR="003F5784" w14:paraId="406B7E91" w14:textId="77777777">
            <w:pPr>
              <w:pStyle w:val="TableParagraph"/>
              <w:ind w:right="128"/>
              <w:rPr>
                <w:sz w:val="21"/>
              </w:rPr>
            </w:pPr>
            <w:r>
              <w:rPr>
                <w:spacing w:val="-4"/>
                <w:sz w:val="21"/>
              </w:rPr>
              <w:t>1.47</w:t>
            </w:r>
          </w:p>
        </w:tc>
        <w:tc>
          <w:tcPr>
            <w:tcW w:w="1605" w:type="dxa"/>
          </w:tcPr>
          <w:p w:rsidR="003F5784" w14:paraId="76E34E26" w14:textId="77777777">
            <w:pPr>
              <w:pStyle w:val="TableParagraph"/>
              <w:ind w:right="120"/>
              <w:rPr>
                <w:sz w:val="21"/>
              </w:rPr>
            </w:pPr>
            <w:r>
              <w:rPr>
                <w:spacing w:val="-4"/>
                <w:sz w:val="21"/>
              </w:rPr>
              <w:t>0.81</w:t>
            </w:r>
          </w:p>
        </w:tc>
      </w:tr>
      <w:tr w14:paraId="1891A0FB" w14:textId="77777777">
        <w:tblPrEx>
          <w:tblW w:w="0" w:type="auto"/>
          <w:tblInd w:w="482" w:type="dxa"/>
          <w:tblLayout w:type="fixed"/>
          <w:tblCellMar>
            <w:left w:w="0" w:type="dxa"/>
            <w:right w:w="0" w:type="dxa"/>
          </w:tblCellMar>
          <w:tblLook w:val="01E0"/>
        </w:tblPrEx>
        <w:trPr>
          <w:trHeight w:val="286"/>
        </w:trPr>
        <w:tc>
          <w:tcPr>
            <w:tcW w:w="4887" w:type="dxa"/>
          </w:tcPr>
          <w:p w:rsidR="003F5784" w14:paraId="1143D2A2" w14:textId="77777777">
            <w:pPr>
              <w:pStyle w:val="TableParagraph"/>
              <w:ind w:left="120"/>
              <w:jc w:val="left"/>
              <w:rPr>
                <w:sz w:val="21"/>
              </w:rPr>
            </w:pPr>
            <w:r>
              <w:rPr>
                <w:spacing w:val="-2"/>
                <w:sz w:val="21"/>
              </w:rPr>
              <w:t>Idaho</w:t>
            </w:r>
          </w:p>
        </w:tc>
        <w:tc>
          <w:tcPr>
            <w:tcW w:w="1332" w:type="dxa"/>
          </w:tcPr>
          <w:p w:rsidR="003F5784" w14:paraId="71F44E97" w14:textId="77777777">
            <w:pPr>
              <w:pStyle w:val="TableParagraph"/>
              <w:ind w:right="127"/>
              <w:rPr>
                <w:sz w:val="21"/>
              </w:rPr>
            </w:pPr>
            <w:r>
              <w:rPr>
                <w:spacing w:val="-2"/>
                <w:sz w:val="21"/>
              </w:rPr>
              <w:t>93.22</w:t>
            </w:r>
          </w:p>
        </w:tc>
        <w:tc>
          <w:tcPr>
            <w:tcW w:w="1614" w:type="dxa"/>
          </w:tcPr>
          <w:p w:rsidR="003F5784" w14:paraId="4477EA78" w14:textId="77777777">
            <w:pPr>
              <w:pStyle w:val="TableParagraph"/>
              <w:ind w:right="126"/>
              <w:rPr>
                <w:sz w:val="21"/>
              </w:rPr>
            </w:pPr>
            <w:r>
              <w:rPr>
                <w:spacing w:val="-4"/>
                <w:sz w:val="21"/>
              </w:rPr>
              <w:t>0.80</w:t>
            </w:r>
          </w:p>
        </w:tc>
        <w:tc>
          <w:tcPr>
            <w:tcW w:w="1747" w:type="dxa"/>
          </w:tcPr>
          <w:p w:rsidR="003F5784" w14:paraId="476AE1EC" w14:textId="77777777">
            <w:pPr>
              <w:pStyle w:val="TableParagraph"/>
              <w:ind w:right="260"/>
              <w:rPr>
                <w:sz w:val="21"/>
              </w:rPr>
            </w:pPr>
            <w:r>
              <w:rPr>
                <w:spacing w:val="-4"/>
                <w:sz w:val="21"/>
              </w:rPr>
              <w:t>0.12</w:t>
            </w:r>
          </w:p>
        </w:tc>
        <w:tc>
          <w:tcPr>
            <w:tcW w:w="1187" w:type="dxa"/>
          </w:tcPr>
          <w:p w:rsidR="003F5784" w14:paraId="6A69FCE3" w14:textId="77777777">
            <w:pPr>
              <w:pStyle w:val="TableParagraph"/>
              <w:ind w:right="128"/>
              <w:rPr>
                <w:sz w:val="21"/>
              </w:rPr>
            </w:pPr>
            <w:r>
              <w:rPr>
                <w:spacing w:val="-2"/>
                <w:sz w:val="21"/>
              </w:rPr>
              <w:t>90.48</w:t>
            </w:r>
          </w:p>
        </w:tc>
        <w:tc>
          <w:tcPr>
            <w:tcW w:w="1615" w:type="dxa"/>
          </w:tcPr>
          <w:p w:rsidR="003F5784" w14:paraId="7F178EB7" w14:textId="77777777">
            <w:pPr>
              <w:pStyle w:val="TableParagraph"/>
              <w:ind w:right="128"/>
              <w:rPr>
                <w:sz w:val="21"/>
              </w:rPr>
            </w:pPr>
            <w:r>
              <w:rPr>
                <w:spacing w:val="-4"/>
                <w:sz w:val="21"/>
              </w:rPr>
              <w:t>1.18</w:t>
            </w:r>
          </w:p>
        </w:tc>
        <w:tc>
          <w:tcPr>
            <w:tcW w:w="1605" w:type="dxa"/>
          </w:tcPr>
          <w:p w:rsidR="003F5784" w14:paraId="45CB0528" w14:textId="77777777">
            <w:pPr>
              <w:pStyle w:val="TableParagraph"/>
              <w:ind w:right="120"/>
              <w:rPr>
                <w:sz w:val="21"/>
              </w:rPr>
            </w:pPr>
            <w:r>
              <w:rPr>
                <w:spacing w:val="-4"/>
                <w:sz w:val="21"/>
              </w:rPr>
              <w:t>0.15</w:t>
            </w:r>
          </w:p>
        </w:tc>
      </w:tr>
      <w:tr w14:paraId="02F0E7D1" w14:textId="77777777">
        <w:tblPrEx>
          <w:tblW w:w="0" w:type="auto"/>
          <w:tblInd w:w="482" w:type="dxa"/>
          <w:tblLayout w:type="fixed"/>
          <w:tblCellMar>
            <w:left w:w="0" w:type="dxa"/>
            <w:right w:w="0" w:type="dxa"/>
          </w:tblCellMar>
          <w:tblLook w:val="01E0"/>
        </w:tblPrEx>
        <w:trPr>
          <w:trHeight w:val="286"/>
        </w:trPr>
        <w:tc>
          <w:tcPr>
            <w:tcW w:w="4887" w:type="dxa"/>
          </w:tcPr>
          <w:p w:rsidR="003F5784" w14:paraId="25D981AC" w14:textId="77777777">
            <w:pPr>
              <w:pStyle w:val="TableParagraph"/>
              <w:ind w:left="120"/>
              <w:jc w:val="left"/>
              <w:rPr>
                <w:sz w:val="21"/>
              </w:rPr>
            </w:pPr>
            <w:r>
              <w:rPr>
                <w:spacing w:val="-2"/>
                <w:sz w:val="21"/>
              </w:rPr>
              <w:t>Illinois–Chicago</w:t>
            </w:r>
          </w:p>
        </w:tc>
        <w:tc>
          <w:tcPr>
            <w:tcW w:w="1332" w:type="dxa"/>
          </w:tcPr>
          <w:p w:rsidR="003F5784" w14:paraId="245057B6" w14:textId="77777777">
            <w:pPr>
              <w:pStyle w:val="TableParagraph"/>
              <w:ind w:right="127"/>
              <w:rPr>
                <w:sz w:val="21"/>
              </w:rPr>
            </w:pPr>
            <w:r>
              <w:rPr>
                <w:spacing w:val="-2"/>
                <w:sz w:val="21"/>
              </w:rPr>
              <w:t>90.39</w:t>
            </w:r>
          </w:p>
        </w:tc>
        <w:tc>
          <w:tcPr>
            <w:tcW w:w="1614" w:type="dxa"/>
          </w:tcPr>
          <w:p w:rsidR="003F5784" w14:paraId="3941ABBF" w14:textId="77777777">
            <w:pPr>
              <w:pStyle w:val="TableParagraph"/>
              <w:ind w:right="126"/>
              <w:rPr>
                <w:sz w:val="21"/>
              </w:rPr>
            </w:pPr>
            <w:r>
              <w:rPr>
                <w:spacing w:val="-4"/>
                <w:sz w:val="21"/>
              </w:rPr>
              <w:t>1.96</w:t>
            </w:r>
          </w:p>
        </w:tc>
        <w:tc>
          <w:tcPr>
            <w:tcW w:w="1747" w:type="dxa"/>
          </w:tcPr>
          <w:p w:rsidR="003F5784" w14:paraId="276694EE" w14:textId="77777777">
            <w:pPr>
              <w:pStyle w:val="TableParagraph"/>
              <w:ind w:right="260"/>
              <w:rPr>
                <w:sz w:val="21"/>
              </w:rPr>
            </w:pPr>
            <w:r>
              <w:rPr>
                <w:spacing w:val="-4"/>
                <w:sz w:val="21"/>
              </w:rPr>
              <w:t>1.42</w:t>
            </w:r>
          </w:p>
        </w:tc>
        <w:tc>
          <w:tcPr>
            <w:tcW w:w="1187" w:type="dxa"/>
          </w:tcPr>
          <w:p w:rsidR="003F5784" w14:paraId="256C406F" w14:textId="77777777">
            <w:pPr>
              <w:pStyle w:val="TableParagraph"/>
              <w:ind w:right="128"/>
              <w:rPr>
                <w:sz w:val="21"/>
              </w:rPr>
            </w:pPr>
            <w:r>
              <w:rPr>
                <w:spacing w:val="-2"/>
                <w:sz w:val="21"/>
              </w:rPr>
              <w:t>88.15</w:t>
            </w:r>
          </w:p>
        </w:tc>
        <w:tc>
          <w:tcPr>
            <w:tcW w:w="1615" w:type="dxa"/>
          </w:tcPr>
          <w:p w:rsidR="003F5784" w14:paraId="44F0B139" w14:textId="77777777">
            <w:pPr>
              <w:pStyle w:val="TableParagraph"/>
              <w:ind w:right="128"/>
              <w:rPr>
                <w:sz w:val="21"/>
              </w:rPr>
            </w:pPr>
            <w:r>
              <w:rPr>
                <w:spacing w:val="-4"/>
                <w:sz w:val="21"/>
              </w:rPr>
              <w:t>0.70</w:t>
            </w:r>
          </w:p>
        </w:tc>
        <w:tc>
          <w:tcPr>
            <w:tcW w:w="1605" w:type="dxa"/>
          </w:tcPr>
          <w:p w:rsidR="003F5784" w14:paraId="60CBBBCF" w14:textId="77777777">
            <w:pPr>
              <w:pStyle w:val="TableParagraph"/>
              <w:ind w:right="120"/>
              <w:rPr>
                <w:sz w:val="21"/>
              </w:rPr>
            </w:pPr>
            <w:r>
              <w:rPr>
                <w:spacing w:val="-4"/>
                <w:sz w:val="21"/>
              </w:rPr>
              <w:t>0.48</w:t>
            </w:r>
          </w:p>
        </w:tc>
      </w:tr>
      <w:tr w14:paraId="5C45CF84" w14:textId="77777777">
        <w:tblPrEx>
          <w:tblW w:w="0" w:type="auto"/>
          <w:tblInd w:w="482" w:type="dxa"/>
          <w:tblLayout w:type="fixed"/>
          <w:tblCellMar>
            <w:left w:w="0" w:type="dxa"/>
            <w:right w:w="0" w:type="dxa"/>
          </w:tblCellMar>
          <w:tblLook w:val="01E0"/>
        </w:tblPrEx>
        <w:trPr>
          <w:trHeight w:val="286"/>
        </w:trPr>
        <w:tc>
          <w:tcPr>
            <w:tcW w:w="4887" w:type="dxa"/>
          </w:tcPr>
          <w:p w:rsidR="003F5784" w14:paraId="6EF9FAD0" w14:textId="77777777">
            <w:pPr>
              <w:pStyle w:val="TableParagraph"/>
              <w:ind w:left="120"/>
              <w:jc w:val="left"/>
              <w:rPr>
                <w:sz w:val="21"/>
              </w:rPr>
            </w:pPr>
            <w:r>
              <w:rPr>
                <w:spacing w:val="-2"/>
                <w:sz w:val="21"/>
              </w:rPr>
              <w:t>Illinois</w:t>
            </w:r>
          </w:p>
        </w:tc>
        <w:tc>
          <w:tcPr>
            <w:tcW w:w="1332" w:type="dxa"/>
          </w:tcPr>
          <w:p w:rsidR="003F5784" w14:paraId="0717FF1F" w14:textId="77777777">
            <w:pPr>
              <w:pStyle w:val="TableParagraph"/>
              <w:ind w:right="127"/>
              <w:rPr>
                <w:sz w:val="21"/>
              </w:rPr>
            </w:pPr>
            <w:r>
              <w:rPr>
                <w:spacing w:val="-2"/>
                <w:sz w:val="21"/>
              </w:rPr>
              <w:t>91.19</w:t>
            </w:r>
          </w:p>
        </w:tc>
        <w:tc>
          <w:tcPr>
            <w:tcW w:w="1614" w:type="dxa"/>
          </w:tcPr>
          <w:p w:rsidR="003F5784" w14:paraId="3EA2EE8D" w14:textId="77777777">
            <w:pPr>
              <w:pStyle w:val="TableParagraph"/>
              <w:ind w:right="126"/>
              <w:rPr>
                <w:sz w:val="21"/>
              </w:rPr>
            </w:pPr>
            <w:r>
              <w:rPr>
                <w:spacing w:val="-4"/>
                <w:sz w:val="21"/>
              </w:rPr>
              <w:t>1.06</w:t>
            </w:r>
          </w:p>
        </w:tc>
        <w:tc>
          <w:tcPr>
            <w:tcW w:w="1747" w:type="dxa"/>
          </w:tcPr>
          <w:p w:rsidR="003F5784" w14:paraId="0BA66A19" w14:textId="77777777">
            <w:pPr>
              <w:pStyle w:val="TableParagraph"/>
              <w:ind w:right="260"/>
              <w:rPr>
                <w:sz w:val="21"/>
              </w:rPr>
            </w:pPr>
            <w:r>
              <w:rPr>
                <w:spacing w:val="-4"/>
                <w:sz w:val="21"/>
              </w:rPr>
              <w:t>0.51</w:t>
            </w:r>
          </w:p>
        </w:tc>
        <w:tc>
          <w:tcPr>
            <w:tcW w:w="1187" w:type="dxa"/>
          </w:tcPr>
          <w:p w:rsidR="003F5784" w14:paraId="0A40F084" w14:textId="77777777">
            <w:pPr>
              <w:pStyle w:val="TableParagraph"/>
              <w:ind w:right="128"/>
              <w:rPr>
                <w:sz w:val="21"/>
              </w:rPr>
            </w:pPr>
            <w:r>
              <w:rPr>
                <w:spacing w:val="-2"/>
                <w:sz w:val="21"/>
              </w:rPr>
              <w:t>87.95</w:t>
            </w:r>
          </w:p>
        </w:tc>
        <w:tc>
          <w:tcPr>
            <w:tcW w:w="1615" w:type="dxa"/>
          </w:tcPr>
          <w:p w:rsidR="003F5784" w14:paraId="7857AA9A" w14:textId="77777777">
            <w:pPr>
              <w:pStyle w:val="TableParagraph"/>
              <w:ind w:right="128"/>
              <w:rPr>
                <w:sz w:val="21"/>
              </w:rPr>
            </w:pPr>
            <w:r>
              <w:rPr>
                <w:spacing w:val="-4"/>
                <w:sz w:val="21"/>
              </w:rPr>
              <w:t>0.84</w:t>
            </w:r>
          </w:p>
        </w:tc>
        <w:tc>
          <w:tcPr>
            <w:tcW w:w="1605" w:type="dxa"/>
          </w:tcPr>
          <w:p w:rsidR="003F5784" w14:paraId="5638CE0E" w14:textId="77777777">
            <w:pPr>
              <w:pStyle w:val="TableParagraph"/>
              <w:ind w:right="120"/>
              <w:rPr>
                <w:sz w:val="21"/>
              </w:rPr>
            </w:pPr>
            <w:r>
              <w:rPr>
                <w:spacing w:val="-4"/>
                <w:sz w:val="21"/>
              </w:rPr>
              <w:t>0.47</w:t>
            </w:r>
          </w:p>
        </w:tc>
      </w:tr>
      <w:tr w14:paraId="4BA15706" w14:textId="77777777">
        <w:tblPrEx>
          <w:tblW w:w="0" w:type="auto"/>
          <w:tblInd w:w="482" w:type="dxa"/>
          <w:tblLayout w:type="fixed"/>
          <w:tblCellMar>
            <w:left w:w="0" w:type="dxa"/>
            <w:right w:w="0" w:type="dxa"/>
          </w:tblCellMar>
          <w:tblLook w:val="01E0"/>
        </w:tblPrEx>
        <w:trPr>
          <w:trHeight w:val="286"/>
        </w:trPr>
        <w:tc>
          <w:tcPr>
            <w:tcW w:w="4887" w:type="dxa"/>
          </w:tcPr>
          <w:p w:rsidR="003F5784" w14:paraId="7D36F263" w14:textId="77777777">
            <w:pPr>
              <w:pStyle w:val="TableParagraph"/>
              <w:ind w:left="120"/>
              <w:jc w:val="left"/>
              <w:rPr>
                <w:sz w:val="21"/>
              </w:rPr>
            </w:pPr>
            <w:r>
              <w:rPr>
                <w:spacing w:val="-2"/>
                <w:sz w:val="21"/>
              </w:rPr>
              <w:t>Indiana</w:t>
            </w:r>
          </w:p>
        </w:tc>
        <w:tc>
          <w:tcPr>
            <w:tcW w:w="1332" w:type="dxa"/>
          </w:tcPr>
          <w:p w:rsidR="003F5784" w14:paraId="3FFDAE56" w14:textId="77777777">
            <w:pPr>
              <w:pStyle w:val="TableParagraph"/>
              <w:ind w:right="127"/>
              <w:rPr>
                <w:sz w:val="21"/>
              </w:rPr>
            </w:pPr>
            <w:r>
              <w:rPr>
                <w:spacing w:val="-2"/>
                <w:sz w:val="21"/>
              </w:rPr>
              <w:t>92.77</w:t>
            </w:r>
          </w:p>
        </w:tc>
        <w:tc>
          <w:tcPr>
            <w:tcW w:w="1614" w:type="dxa"/>
          </w:tcPr>
          <w:p w:rsidR="003F5784" w14:paraId="0215E227" w14:textId="77777777">
            <w:pPr>
              <w:pStyle w:val="TableParagraph"/>
              <w:ind w:right="126"/>
              <w:rPr>
                <w:sz w:val="21"/>
              </w:rPr>
            </w:pPr>
            <w:r>
              <w:rPr>
                <w:spacing w:val="-4"/>
                <w:sz w:val="21"/>
              </w:rPr>
              <w:t>0.45</w:t>
            </w:r>
          </w:p>
        </w:tc>
        <w:tc>
          <w:tcPr>
            <w:tcW w:w="1747" w:type="dxa"/>
          </w:tcPr>
          <w:p w:rsidR="003F5784" w14:paraId="1C919B88" w14:textId="77777777">
            <w:pPr>
              <w:pStyle w:val="TableParagraph"/>
              <w:ind w:right="260"/>
              <w:rPr>
                <w:sz w:val="21"/>
              </w:rPr>
            </w:pPr>
            <w:r>
              <w:rPr>
                <w:spacing w:val="-4"/>
                <w:sz w:val="21"/>
              </w:rPr>
              <w:t>0.17</w:t>
            </w:r>
          </w:p>
        </w:tc>
        <w:tc>
          <w:tcPr>
            <w:tcW w:w="1187" w:type="dxa"/>
          </w:tcPr>
          <w:p w:rsidR="003F5784" w14:paraId="19086E14" w14:textId="77777777">
            <w:pPr>
              <w:pStyle w:val="TableParagraph"/>
              <w:ind w:right="128"/>
              <w:rPr>
                <w:sz w:val="21"/>
              </w:rPr>
            </w:pPr>
            <w:r>
              <w:rPr>
                <w:spacing w:val="-2"/>
                <w:sz w:val="21"/>
              </w:rPr>
              <w:t>90.54</w:t>
            </w:r>
          </w:p>
        </w:tc>
        <w:tc>
          <w:tcPr>
            <w:tcW w:w="1615" w:type="dxa"/>
          </w:tcPr>
          <w:p w:rsidR="003F5784" w14:paraId="7373AC2F" w14:textId="77777777">
            <w:pPr>
              <w:pStyle w:val="TableParagraph"/>
              <w:ind w:right="128"/>
              <w:rPr>
                <w:sz w:val="21"/>
              </w:rPr>
            </w:pPr>
            <w:r>
              <w:rPr>
                <w:spacing w:val="-4"/>
                <w:sz w:val="21"/>
              </w:rPr>
              <w:t>0.46</w:t>
            </w:r>
          </w:p>
        </w:tc>
        <w:tc>
          <w:tcPr>
            <w:tcW w:w="1605" w:type="dxa"/>
          </w:tcPr>
          <w:p w:rsidR="003F5784" w14:paraId="37A18CBF" w14:textId="77777777">
            <w:pPr>
              <w:pStyle w:val="TableParagraph"/>
              <w:ind w:right="120"/>
              <w:rPr>
                <w:sz w:val="21"/>
              </w:rPr>
            </w:pPr>
            <w:r>
              <w:rPr>
                <w:spacing w:val="-4"/>
                <w:sz w:val="21"/>
              </w:rPr>
              <w:t>0.31</w:t>
            </w:r>
          </w:p>
        </w:tc>
      </w:tr>
      <w:tr w14:paraId="0E49D90D" w14:textId="77777777">
        <w:tblPrEx>
          <w:tblW w:w="0" w:type="auto"/>
          <w:tblInd w:w="482" w:type="dxa"/>
          <w:tblLayout w:type="fixed"/>
          <w:tblCellMar>
            <w:left w:w="0" w:type="dxa"/>
            <w:right w:w="0" w:type="dxa"/>
          </w:tblCellMar>
          <w:tblLook w:val="01E0"/>
        </w:tblPrEx>
        <w:trPr>
          <w:trHeight w:val="286"/>
        </w:trPr>
        <w:tc>
          <w:tcPr>
            <w:tcW w:w="4887" w:type="dxa"/>
          </w:tcPr>
          <w:p w:rsidR="003F5784" w14:paraId="079460A4" w14:textId="77777777">
            <w:pPr>
              <w:pStyle w:val="TableParagraph"/>
              <w:ind w:left="120"/>
              <w:jc w:val="left"/>
              <w:rPr>
                <w:sz w:val="21"/>
              </w:rPr>
            </w:pPr>
            <w:r>
              <w:rPr>
                <w:spacing w:val="-4"/>
                <w:sz w:val="21"/>
              </w:rPr>
              <w:t>Iowa</w:t>
            </w:r>
          </w:p>
        </w:tc>
        <w:tc>
          <w:tcPr>
            <w:tcW w:w="1332" w:type="dxa"/>
          </w:tcPr>
          <w:p w:rsidR="003F5784" w14:paraId="624C36C9" w14:textId="77777777">
            <w:pPr>
              <w:pStyle w:val="TableParagraph"/>
              <w:ind w:right="127"/>
              <w:rPr>
                <w:sz w:val="21"/>
              </w:rPr>
            </w:pPr>
            <w:r>
              <w:rPr>
                <w:spacing w:val="-2"/>
                <w:sz w:val="21"/>
              </w:rPr>
              <w:t>93.08</w:t>
            </w:r>
          </w:p>
        </w:tc>
        <w:tc>
          <w:tcPr>
            <w:tcW w:w="1614" w:type="dxa"/>
          </w:tcPr>
          <w:p w:rsidR="003F5784" w14:paraId="20DEBA9A" w14:textId="77777777">
            <w:pPr>
              <w:pStyle w:val="TableParagraph"/>
              <w:ind w:right="126"/>
              <w:rPr>
                <w:sz w:val="21"/>
              </w:rPr>
            </w:pPr>
            <w:r>
              <w:rPr>
                <w:spacing w:val="-4"/>
                <w:sz w:val="21"/>
              </w:rPr>
              <w:t>1.21</w:t>
            </w:r>
          </w:p>
        </w:tc>
        <w:tc>
          <w:tcPr>
            <w:tcW w:w="1747" w:type="dxa"/>
          </w:tcPr>
          <w:p w:rsidR="003F5784" w14:paraId="1BA969E8" w14:textId="77777777">
            <w:pPr>
              <w:pStyle w:val="TableParagraph"/>
              <w:ind w:right="260"/>
              <w:rPr>
                <w:sz w:val="21"/>
              </w:rPr>
            </w:pPr>
            <w:r>
              <w:rPr>
                <w:spacing w:val="-4"/>
                <w:sz w:val="21"/>
              </w:rPr>
              <w:t>0.40</w:t>
            </w:r>
          </w:p>
        </w:tc>
        <w:tc>
          <w:tcPr>
            <w:tcW w:w="1187" w:type="dxa"/>
          </w:tcPr>
          <w:p w:rsidR="003F5784" w14:paraId="4D50B974" w14:textId="77777777">
            <w:pPr>
              <w:pStyle w:val="TableParagraph"/>
              <w:ind w:right="128"/>
              <w:rPr>
                <w:sz w:val="21"/>
              </w:rPr>
            </w:pPr>
            <w:r>
              <w:rPr>
                <w:spacing w:val="-2"/>
                <w:sz w:val="21"/>
              </w:rPr>
              <w:t>90.13</w:t>
            </w:r>
          </w:p>
        </w:tc>
        <w:tc>
          <w:tcPr>
            <w:tcW w:w="1615" w:type="dxa"/>
          </w:tcPr>
          <w:p w:rsidR="003F5784" w14:paraId="2CE77E9E" w14:textId="77777777">
            <w:pPr>
              <w:pStyle w:val="TableParagraph"/>
              <w:ind w:right="128"/>
              <w:rPr>
                <w:sz w:val="21"/>
              </w:rPr>
            </w:pPr>
            <w:r>
              <w:rPr>
                <w:spacing w:val="-4"/>
                <w:sz w:val="21"/>
              </w:rPr>
              <w:t>1.15</w:t>
            </w:r>
          </w:p>
        </w:tc>
        <w:tc>
          <w:tcPr>
            <w:tcW w:w="1605" w:type="dxa"/>
          </w:tcPr>
          <w:p w:rsidR="003F5784" w14:paraId="47F14751" w14:textId="77777777">
            <w:pPr>
              <w:pStyle w:val="TableParagraph"/>
              <w:ind w:right="120"/>
              <w:rPr>
                <w:sz w:val="21"/>
              </w:rPr>
            </w:pPr>
            <w:r>
              <w:rPr>
                <w:spacing w:val="-4"/>
                <w:sz w:val="21"/>
              </w:rPr>
              <w:t>0.38</w:t>
            </w:r>
          </w:p>
        </w:tc>
      </w:tr>
      <w:tr w14:paraId="585840FB" w14:textId="77777777">
        <w:tblPrEx>
          <w:tblW w:w="0" w:type="auto"/>
          <w:tblInd w:w="482" w:type="dxa"/>
          <w:tblLayout w:type="fixed"/>
          <w:tblCellMar>
            <w:left w:w="0" w:type="dxa"/>
            <w:right w:w="0" w:type="dxa"/>
          </w:tblCellMar>
          <w:tblLook w:val="01E0"/>
        </w:tblPrEx>
        <w:trPr>
          <w:trHeight w:val="286"/>
        </w:trPr>
        <w:tc>
          <w:tcPr>
            <w:tcW w:w="4887" w:type="dxa"/>
          </w:tcPr>
          <w:p w:rsidR="003F5784" w14:paraId="42188D68" w14:textId="77777777">
            <w:pPr>
              <w:pStyle w:val="TableParagraph"/>
              <w:ind w:left="120"/>
              <w:jc w:val="left"/>
              <w:rPr>
                <w:sz w:val="21"/>
              </w:rPr>
            </w:pPr>
            <w:r>
              <w:rPr>
                <w:spacing w:val="-2"/>
                <w:sz w:val="21"/>
              </w:rPr>
              <w:t>Kansas</w:t>
            </w:r>
          </w:p>
        </w:tc>
        <w:tc>
          <w:tcPr>
            <w:tcW w:w="1332" w:type="dxa"/>
          </w:tcPr>
          <w:p w:rsidR="003F5784" w14:paraId="42F5A5C6" w14:textId="77777777">
            <w:pPr>
              <w:pStyle w:val="TableParagraph"/>
              <w:ind w:right="127"/>
              <w:rPr>
                <w:sz w:val="21"/>
              </w:rPr>
            </w:pPr>
            <w:r>
              <w:rPr>
                <w:spacing w:val="-2"/>
                <w:sz w:val="21"/>
              </w:rPr>
              <w:t>92.88</w:t>
            </w:r>
          </w:p>
        </w:tc>
        <w:tc>
          <w:tcPr>
            <w:tcW w:w="1614" w:type="dxa"/>
          </w:tcPr>
          <w:p w:rsidR="003F5784" w14:paraId="64E57259" w14:textId="77777777">
            <w:pPr>
              <w:pStyle w:val="TableParagraph"/>
              <w:ind w:right="126"/>
              <w:rPr>
                <w:sz w:val="21"/>
              </w:rPr>
            </w:pPr>
            <w:r>
              <w:rPr>
                <w:spacing w:val="-4"/>
                <w:sz w:val="21"/>
              </w:rPr>
              <w:t>1.06</w:t>
            </w:r>
          </w:p>
        </w:tc>
        <w:tc>
          <w:tcPr>
            <w:tcW w:w="1747" w:type="dxa"/>
          </w:tcPr>
          <w:p w:rsidR="003F5784" w14:paraId="51609CDE" w14:textId="77777777">
            <w:pPr>
              <w:pStyle w:val="TableParagraph"/>
              <w:ind w:right="260"/>
              <w:rPr>
                <w:sz w:val="21"/>
              </w:rPr>
            </w:pPr>
            <w:r>
              <w:rPr>
                <w:spacing w:val="-4"/>
                <w:sz w:val="21"/>
              </w:rPr>
              <w:t>0.41</w:t>
            </w:r>
          </w:p>
        </w:tc>
        <w:tc>
          <w:tcPr>
            <w:tcW w:w="1187" w:type="dxa"/>
          </w:tcPr>
          <w:p w:rsidR="003F5784" w14:paraId="026ED701" w14:textId="77777777">
            <w:pPr>
              <w:pStyle w:val="TableParagraph"/>
              <w:ind w:right="128"/>
              <w:rPr>
                <w:sz w:val="21"/>
              </w:rPr>
            </w:pPr>
            <w:r>
              <w:rPr>
                <w:spacing w:val="-2"/>
                <w:sz w:val="21"/>
              </w:rPr>
              <w:t>91.03</w:t>
            </w:r>
          </w:p>
        </w:tc>
        <w:tc>
          <w:tcPr>
            <w:tcW w:w="1615" w:type="dxa"/>
          </w:tcPr>
          <w:p w:rsidR="003F5784" w14:paraId="713AF97B" w14:textId="77777777">
            <w:pPr>
              <w:pStyle w:val="TableParagraph"/>
              <w:ind w:right="128"/>
              <w:rPr>
                <w:sz w:val="21"/>
              </w:rPr>
            </w:pPr>
            <w:r>
              <w:rPr>
                <w:spacing w:val="-4"/>
                <w:sz w:val="21"/>
              </w:rPr>
              <w:t>0.95</w:t>
            </w:r>
          </w:p>
        </w:tc>
        <w:tc>
          <w:tcPr>
            <w:tcW w:w="1605" w:type="dxa"/>
          </w:tcPr>
          <w:p w:rsidR="003F5784" w14:paraId="7E81E5C2" w14:textId="77777777">
            <w:pPr>
              <w:pStyle w:val="TableParagraph"/>
              <w:ind w:right="120"/>
              <w:rPr>
                <w:sz w:val="21"/>
              </w:rPr>
            </w:pPr>
            <w:r>
              <w:rPr>
                <w:spacing w:val="-4"/>
                <w:sz w:val="21"/>
              </w:rPr>
              <w:t>0.47</w:t>
            </w:r>
          </w:p>
        </w:tc>
      </w:tr>
      <w:tr w14:paraId="5C6ECAD1" w14:textId="77777777">
        <w:tblPrEx>
          <w:tblW w:w="0" w:type="auto"/>
          <w:tblInd w:w="482" w:type="dxa"/>
          <w:tblLayout w:type="fixed"/>
          <w:tblCellMar>
            <w:left w:w="0" w:type="dxa"/>
            <w:right w:w="0" w:type="dxa"/>
          </w:tblCellMar>
          <w:tblLook w:val="01E0"/>
        </w:tblPrEx>
        <w:trPr>
          <w:trHeight w:val="286"/>
        </w:trPr>
        <w:tc>
          <w:tcPr>
            <w:tcW w:w="4887" w:type="dxa"/>
          </w:tcPr>
          <w:p w:rsidR="003F5784" w14:paraId="4CC1C09D" w14:textId="77777777">
            <w:pPr>
              <w:pStyle w:val="TableParagraph"/>
              <w:ind w:left="120"/>
              <w:jc w:val="left"/>
              <w:rPr>
                <w:sz w:val="21"/>
              </w:rPr>
            </w:pPr>
            <w:r>
              <w:rPr>
                <w:spacing w:val="-2"/>
                <w:sz w:val="21"/>
              </w:rPr>
              <w:t>Kentucky–Jefferson</w:t>
            </w:r>
            <w:r>
              <w:rPr>
                <w:spacing w:val="14"/>
                <w:sz w:val="21"/>
              </w:rPr>
              <w:t xml:space="preserve"> </w:t>
            </w:r>
            <w:r>
              <w:rPr>
                <w:spacing w:val="-2"/>
                <w:sz w:val="21"/>
              </w:rPr>
              <w:t>County</w:t>
            </w:r>
          </w:p>
        </w:tc>
        <w:tc>
          <w:tcPr>
            <w:tcW w:w="1332" w:type="dxa"/>
          </w:tcPr>
          <w:p w:rsidR="003F5784" w14:paraId="4007224C" w14:textId="77777777">
            <w:pPr>
              <w:pStyle w:val="TableParagraph"/>
              <w:ind w:right="127"/>
              <w:rPr>
                <w:sz w:val="21"/>
              </w:rPr>
            </w:pPr>
            <w:r>
              <w:rPr>
                <w:spacing w:val="-2"/>
                <w:sz w:val="21"/>
              </w:rPr>
              <w:t>93.68</w:t>
            </w:r>
          </w:p>
        </w:tc>
        <w:tc>
          <w:tcPr>
            <w:tcW w:w="1614" w:type="dxa"/>
          </w:tcPr>
          <w:p w:rsidR="003F5784" w14:paraId="6CBBA096" w14:textId="77777777">
            <w:pPr>
              <w:pStyle w:val="TableParagraph"/>
              <w:ind w:right="126"/>
              <w:rPr>
                <w:sz w:val="21"/>
              </w:rPr>
            </w:pPr>
            <w:r>
              <w:rPr>
                <w:spacing w:val="-4"/>
                <w:sz w:val="21"/>
              </w:rPr>
              <w:t>2.46</w:t>
            </w:r>
          </w:p>
        </w:tc>
        <w:tc>
          <w:tcPr>
            <w:tcW w:w="1747" w:type="dxa"/>
          </w:tcPr>
          <w:p w:rsidR="003F5784" w14:paraId="750C98AB" w14:textId="77777777">
            <w:pPr>
              <w:pStyle w:val="TableParagraph"/>
              <w:ind w:right="260"/>
              <w:rPr>
                <w:sz w:val="21"/>
              </w:rPr>
            </w:pPr>
            <w:r>
              <w:rPr>
                <w:spacing w:val="-4"/>
                <w:sz w:val="21"/>
              </w:rPr>
              <w:t>1.33</w:t>
            </w:r>
          </w:p>
        </w:tc>
        <w:tc>
          <w:tcPr>
            <w:tcW w:w="1187" w:type="dxa"/>
          </w:tcPr>
          <w:p w:rsidR="003F5784" w14:paraId="7F49D3D3" w14:textId="77777777">
            <w:pPr>
              <w:pStyle w:val="TableParagraph"/>
              <w:ind w:right="128"/>
              <w:rPr>
                <w:sz w:val="21"/>
              </w:rPr>
            </w:pPr>
            <w:r>
              <w:rPr>
                <w:spacing w:val="-2"/>
                <w:sz w:val="21"/>
              </w:rPr>
              <w:t>91.05</w:t>
            </w:r>
          </w:p>
        </w:tc>
        <w:tc>
          <w:tcPr>
            <w:tcW w:w="1615" w:type="dxa"/>
          </w:tcPr>
          <w:p w:rsidR="003F5784" w14:paraId="4E5041A8" w14:textId="77777777">
            <w:pPr>
              <w:pStyle w:val="TableParagraph"/>
              <w:ind w:right="128"/>
              <w:rPr>
                <w:sz w:val="21"/>
              </w:rPr>
            </w:pPr>
            <w:r>
              <w:rPr>
                <w:spacing w:val="-4"/>
                <w:sz w:val="21"/>
              </w:rPr>
              <w:t>1.29</w:t>
            </w:r>
          </w:p>
        </w:tc>
        <w:tc>
          <w:tcPr>
            <w:tcW w:w="1605" w:type="dxa"/>
          </w:tcPr>
          <w:p w:rsidR="003F5784" w14:paraId="77F3BB8B" w14:textId="77777777">
            <w:pPr>
              <w:pStyle w:val="TableParagraph"/>
              <w:ind w:right="120"/>
              <w:rPr>
                <w:sz w:val="21"/>
              </w:rPr>
            </w:pPr>
            <w:r>
              <w:rPr>
                <w:spacing w:val="-4"/>
                <w:sz w:val="21"/>
              </w:rPr>
              <w:t>0.26</w:t>
            </w:r>
          </w:p>
        </w:tc>
      </w:tr>
      <w:tr w14:paraId="5BA680A3" w14:textId="77777777">
        <w:tblPrEx>
          <w:tblW w:w="0" w:type="auto"/>
          <w:tblInd w:w="482" w:type="dxa"/>
          <w:tblLayout w:type="fixed"/>
          <w:tblCellMar>
            <w:left w:w="0" w:type="dxa"/>
            <w:right w:w="0" w:type="dxa"/>
          </w:tblCellMar>
          <w:tblLook w:val="01E0"/>
        </w:tblPrEx>
        <w:trPr>
          <w:trHeight w:val="289"/>
        </w:trPr>
        <w:tc>
          <w:tcPr>
            <w:tcW w:w="4887" w:type="dxa"/>
            <w:tcBorders>
              <w:bottom w:val="single" w:sz="18" w:space="0" w:color="800000"/>
            </w:tcBorders>
          </w:tcPr>
          <w:p w:rsidR="003F5784" w14:paraId="21678F91" w14:textId="77777777">
            <w:pPr>
              <w:pStyle w:val="TableParagraph"/>
              <w:ind w:left="120"/>
              <w:jc w:val="left"/>
              <w:rPr>
                <w:sz w:val="21"/>
              </w:rPr>
            </w:pPr>
            <w:r>
              <w:rPr>
                <w:spacing w:val="-2"/>
                <w:sz w:val="21"/>
              </w:rPr>
              <w:t>Kentucky</w:t>
            </w:r>
          </w:p>
        </w:tc>
        <w:tc>
          <w:tcPr>
            <w:tcW w:w="1332" w:type="dxa"/>
            <w:tcBorders>
              <w:bottom w:val="single" w:sz="18" w:space="0" w:color="800000"/>
            </w:tcBorders>
          </w:tcPr>
          <w:p w:rsidR="003F5784" w14:paraId="1CFB66C6" w14:textId="77777777">
            <w:pPr>
              <w:pStyle w:val="TableParagraph"/>
              <w:ind w:right="127"/>
              <w:rPr>
                <w:sz w:val="21"/>
              </w:rPr>
            </w:pPr>
            <w:r>
              <w:rPr>
                <w:spacing w:val="-2"/>
                <w:sz w:val="21"/>
              </w:rPr>
              <w:t>94.50</w:t>
            </w:r>
          </w:p>
        </w:tc>
        <w:tc>
          <w:tcPr>
            <w:tcW w:w="1614" w:type="dxa"/>
            <w:tcBorders>
              <w:bottom w:val="single" w:sz="18" w:space="0" w:color="800000"/>
            </w:tcBorders>
          </w:tcPr>
          <w:p w:rsidR="003F5784" w14:paraId="73A27D23" w14:textId="77777777">
            <w:pPr>
              <w:pStyle w:val="TableParagraph"/>
              <w:ind w:right="126"/>
              <w:rPr>
                <w:sz w:val="21"/>
              </w:rPr>
            </w:pPr>
            <w:r>
              <w:rPr>
                <w:spacing w:val="-4"/>
                <w:sz w:val="21"/>
              </w:rPr>
              <w:t>1.56</w:t>
            </w:r>
          </w:p>
        </w:tc>
        <w:tc>
          <w:tcPr>
            <w:tcW w:w="1747" w:type="dxa"/>
            <w:tcBorders>
              <w:bottom w:val="single" w:sz="18" w:space="0" w:color="800000"/>
            </w:tcBorders>
          </w:tcPr>
          <w:p w:rsidR="003F5784" w14:paraId="3BA7A54C" w14:textId="77777777">
            <w:pPr>
              <w:pStyle w:val="TableParagraph"/>
              <w:ind w:right="260"/>
              <w:rPr>
                <w:sz w:val="21"/>
              </w:rPr>
            </w:pPr>
            <w:r>
              <w:rPr>
                <w:spacing w:val="-4"/>
                <w:sz w:val="21"/>
              </w:rPr>
              <w:t>0.44</w:t>
            </w:r>
          </w:p>
        </w:tc>
        <w:tc>
          <w:tcPr>
            <w:tcW w:w="1187" w:type="dxa"/>
            <w:tcBorders>
              <w:bottom w:val="single" w:sz="18" w:space="0" w:color="800000"/>
            </w:tcBorders>
          </w:tcPr>
          <w:p w:rsidR="003F5784" w14:paraId="297D1892" w14:textId="77777777">
            <w:pPr>
              <w:pStyle w:val="TableParagraph"/>
              <w:ind w:right="128"/>
              <w:rPr>
                <w:sz w:val="21"/>
              </w:rPr>
            </w:pPr>
            <w:r>
              <w:rPr>
                <w:spacing w:val="-2"/>
                <w:sz w:val="21"/>
              </w:rPr>
              <w:t>89.43</w:t>
            </w:r>
          </w:p>
        </w:tc>
        <w:tc>
          <w:tcPr>
            <w:tcW w:w="1615" w:type="dxa"/>
            <w:tcBorders>
              <w:bottom w:val="single" w:sz="18" w:space="0" w:color="800000"/>
            </w:tcBorders>
          </w:tcPr>
          <w:p w:rsidR="003F5784" w14:paraId="3F246936" w14:textId="77777777">
            <w:pPr>
              <w:pStyle w:val="TableParagraph"/>
              <w:ind w:right="128"/>
              <w:rPr>
                <w:sz w:val="21"/>
              </w:rPr>
            </w:pPr>
            <w:r>
              <w:rPr>
                <w:spacing w:val="-4"/>
                <w:sz w:val="21"/>
              </w:rPr>
              <w:t>1.95</w:t>
            </w:r>
          </w:p>
        </w:tc>
        <w:tc>
          <w:tcPr>
            <w:tcW w:w="1605" w:type="dxa"/>
            <w:tcBorders>
              <w:bottom w:val="single" w:sz="18" w:space="0" w:color="800000"/>
            </w:tcBorders>
          </w:tcPr>
          <w:p w:rsidR="003F5784" w14:paraId="72E52417" w14:textId="77777777">
            <w:pPr>
              <w:pStyle w:val="TableParagraph"/>
              <w:ind w:right="120"/>
              <w:rPr>
                <w:sz w:val="21"/>
              </w:rPr>
            </w:pPr>
            <w:r>
              <w:rPr>
                <w:spacing w:val="-4"/>
                <w:sz w:val="21"/>
              </w:rPr>
              <w:t>0.38</w:t>
            </w:r>
          </w:p>
        </w:tc>
      </w:tr>
      <w:tr w14:paraId="64E218C9" w14:textId="77777777">
        <w:tblPrEx>
          <w:tblW w:w="0" w:type="auto"/>
          <w:tblInd w:w="482" w:type="dxa"/>
          <w:tblLayout w:type="fixed"/>
          <w:tblCellMar>
            <w:left w:w="0" w:type="dxa"/>
            <w:right w:w="0" w:type="dxa"/>
          </w:tblCellMar>
          <w:tblLook w:val="01E0"/>
        </w:tblPrEx>
        <w:trPr>
          <w:trHeight w:val="472"/>
        </w:trPr>
        <w:tc>
          <w:tcPr>
            <w:tcW w:w="13987" w:type="dxa"/>
            <w:gridSpan w:val="7"/>
            <w:tcBorders>
              <w:top w:val="single" w:sz="18" w:space="0" w:color="800000"/>
            </w:tcBorders>
          </w:tcPr>
          <w:p w:rsidR="003F5784" w14:paraId="1DA1D7D7" w14:textId="77777777">
            <w:pPr>
              <w:pStyle w:val="TableParagraph"/>
              <w:spacing w:before="0" w:line="234" w:lineRule="exact"/>
              <w:ind w:left="120"/>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Progress (NAEP), 2022 State Mathematics Assessment.</w:t>
            </w:r>
          </w:p>
        </w:tc>
      </w:tr>
    </w:tbl>
    <w:p w:rsidR="003F5784" w14:paraId="50DDD460" w14:textId="77777777">
      <w:pPr>
        <w:spacing w:line="234" w:lineRule="exact"/>
        <w:rPr>
          <w:sz w:val="21"/>
        </w:rPr>
        <w:sectPr>
          <w:pgSz w:w="15840" w:h="12240" w:orient="landscape"/>
          <w:pgMar w:top="480" w:right="440" w:bottom="460" w:left="460" w:header="284" w:footer="275" w:gutter="0"/>
          <w:cols w:space="720"/>
        </w:sectPr>
      </w:pPr>
    </w:p>
    <w:p w:rsidR="003F5784" w14:paraId="69293C4B" w14:textId="77777777">
      <w:pPr>
        <w:pStyle w:val="BodyText"/>
        <w:rPr>
          <w:b/>
        </w:rPr>
      </w:pPr>
    </w:p>
    <w:p w:rsidR="003F5784" w14:paraId="6DFAE5C8" w14:textId="77777777">
      <w:pPr>
        <w:pStyle w:val="BodyText"/>
        <w:rPr>
          <w:b/>
        </w:rPr>
      </w:pPr>
    </w:p>
    <w:p w:rsidR="003F5784" w14:paraId="4D4E1002" w14:textId="77777777">
      <w:pPr>
        <w:pStyle w:val="BodyText"/>
        <w:rPr>
          <w:b/>
        </w:rPr>
      </w:pPr>
    </w:p>
    <w:p w:rsidR="003F5784" w14:paraId="46C8FB5C" w14:textId="77777777">
      <w:pPr>
        <w:pStyle w:val="BodyText"/>
        <w:rPr>
          <w:b/>
        </w:rPr>
      </w:pPr>
    </w:p>
    <w:p w:rsidR="003F5784" w14:paraId="275FE213" w14:textId="77777777">
      <w:pPr>
        <w:pStyle w:val="BodyText"/>
        <w:spacing w:before="142"/>
        <w:rPr>
          <w:b/>
        </w:rPr>
      </w:pPr>
    </w:p>
    <w:p w:rsidR="003F5784" w14:paraId="2470AABA" w14:textId="77777777">
      <w:pPr>
        <w:pStyle w:val="BodyText"/>
        <w:spacing w:after="20"/>
        <w:ind w:left="595"/>
      </w:pPr>
      <w:r>
        <w:rPr>
          <w:noProof/>
        </w:rPr>
        <mc:AlternateContent>
          <mc:Choice Requires="wps">
            <w:drawing>
              <wp:anchor distT="0" distB="0" distL="0" distR="0" simplePos="0" relativeHeight="251662336" behindDoc="0" locked="0" layoutInCell="1" allowOverlap="1">
                <wp:simplePos x="0" y="0"/>
                <wp:positionH relativeFrom="page">
                  <wp:posOffset>3658997</wp:posOffset>
                </wp:positionH>
                <wp:positionV relativeFrom="paragraph">
                  <wp:posOffset>-787746</wp:posOffset>
                </wp:positionV>
                <wp:extent cx="5852795" cy="939165"/>
                <wp:effectExtent l="0" t="0" r="0" b="0"/>
                <wp:wrapNone/>
                <wp:docPr id="375" name="Textbox 375"/>
                <wp:cNvGraphicFramePr/>
                <a:graphic xmlns:a="http://schemas.openxmlformats.org/drawingml/2006/main">
                  <a:graphicData uri="http://schemas.microsoft.com/office/word/2010/wordprocessingShape">
                    <wps:wsp xmlns:wps="http://schemas.microsoft.com/office/word/2010/wordprocessingShape">
                      <wps:cNvSpPr txBox="1"/>
                      <wps:spPr>
                        <a:xfrm>
                          <a:off x="0" y="0"/>
                          <a:ext cx="5852795" cy="939165"/>
                        </a:xfrm>
                        <a:prstGeom prst="rect">
                          <a:avLst/>
                        </a:prstGeom>
                      </wps:spPr>
                      <wps:txbx>
                        <w:txbxContent>
                          <w:tbl>
                            <w:tblPr>
                              <w:tblW w:w="0" w:type="auto"/>
                              <w:tblInd w:w="67" w:type="dxa"/>
                              <w:tblLayout w:type="fixed"/>
                              <w:tblCellMar>
                                <w:left w:w="0" w:type="dxa"/>
                                <w:right w:w="0" w:type="dxa"/>
                              </w:tblCellMar>
                              <w:tblLook w:val="01E0"/>
                            </w:tblPr>
                            <w:tblGrid>
                              <w:gridCol w:w="1332"/>
                              <w:gridCol w:w="1614"/>
                              <w:gridCol w:w="1747"/>
                              <w:gridCol w:w="1187"/>
                              <w:gridCol w:w="1615"/>
                              <w:gridCol w:w="1605"/>
                            </w:tblGrid>
                            <w:tr w14:paraId="33D7A699" w14:textId="77777777">
                              <w:tblPrEx>
                                <w:tblW w:w="0" w:type="auto"/>
                                <w:tblInd w:w="67" w:type="dxa"/>
                                <w:tblLayout w:type="fixed"/>
                                <w:tblCellMar>
                                  <w:left w:w="0" w:type="dxa"/>
                                  <w:right w:w="0" w:type="dxa"/>
                                </w:tblCellMar>
                                <w:tblLook w:val="01E0"/>
                              </w:tblPrEx>
                              <w:trPr>
                                <w:trHeight w:val="248"/>
                              </w:trPr>
                              <w:tc>
                                <w:tcPr>
                                  <w:tcW w:w="1332" w:type="dxa"/>
                                  <w:tcBorders>
                                    <w:bottom w:val="single" w:sz="18" w:space="0" w:color="800000"/>
                                  </w:tcBorders>
                                </w:tcPr>
                                <w:p w:rsidR="003F5784" w14:textId="77777777">
                                  <w:pPr>
                                    <w:pStyle w:val="TableParagraph"/>
                                    <w:spacing w:before="0"/>
                                    <w:jc w:val="left"/>
                                    <w:rPr>
                                      <w:sz w:val="18"/>
                                    </w:rPr>
                                  </w:pPr>
                                </w:p>
                              </w:tc>
                              <w:tc>
                                <w:tcPr>
                                  <w:tcW w:w="1614" w:type="dxa"/>
                                  <w:tcBorders>
                                    <w:bottom w:val="single" w:sz="18" w:space="0" w:color="800000"/>
                                  </w:tcBorders>
                                </w:tcPr>
                                <w:p w:rsidR="003F5784" w14:textId="77777777">
                                  <w:pPr>
                                    <w:pStyle w:val="TableParagraph"/>
                                    <w:spacing w:before="0" w:line="228" w:lineRule="exact"/>
                                    <w:ind w:left="608"/>
                                    <w:jc w:val="left"/>
                                    <w:rPr>
                                      <w:sz w:val="21"/>
                                    </w:rPr>
                                  </w:pPr>
                                  <w:r>
                                    <w:rPr>
                                      <w:sz w:val="21"/>
                                    </w:rPr>
                                    <w:t>Grade</w:t>
                                  </w:r>
                                  <w:r>
                                    <w:rPr>
                                      <w:spacing w:val="-7"/>
                                      <w:sz w:val="21"/>
                                    </w:rPr>
                                    <w:t xml:space="preserve"> </w:t>
                                  </w:r>
                                  <w:r>
                                    <w:rPr>
                                      <w:spacing w:val="-10"/>
                                      <w:sz w:val="21"/>
                                    </w:rPr>
                                    <w:t>4</w:t>
                                  </w:r>
                                </w:p>
                              </w:tc>
                              <w:tc>
                                <w:tcPr>
                                  <w:tcW w:w="1747" w:type="dxa"/>
                                  <w:tcBorders>
                                    <w:bottom w:val="single" w:sz="18" w:space="0" w:color="800000"/>
                                  </w:tcBorders>
                                </w:tcPr>
                                <w:p w:rsidR="003F5784" w14:textId="77777777">
                                  <w:pPr>
                                    <w:pStyle w:val="TableParagraph"/>
                                    <w:spacing w:before="0"/>
                                    <w:jc w:val="left"/>
                                    <w:rPr>
                                      <w:sz w:val="18"/>
                                    </w:rPr>
                                  </w:pPr>
                                </w:p>
                              </w:tc>
                              <w:tc>
                                <w:tcPr>
                                  <w:tcW w:w="1187" w:type="dxa"/>
                                  <w:tcBorders>
                                    <w:bottom w:val="single" w:sz="18" w:space="0" w:color="800000"/>
                                  </w:tcBorders>
                                </w:tcPr>
                                <w:p w:rsidR="003F5784" w14:textId="77777777">
                                  <w:pPr>
                                    <w:pStyle w:val="TableParagraph"/>
                                    <w:spacing w:before="0"/>
                                    <w:jc w:val="left"/>
                                    <w:rPr>
                                      <w:sz w:val="18"/>
                                    </w:rPr>
                                  </w:pPr>
                                </w:p>
                              </w:tc>
                              <w:tc>
                                <w:tcPr>
                                  <w:tcW w:w="1615" w:type="dxa"/>
                                  <w:tcBorders>
                                    <w:bottom w:val="single" w:sz="18" w:space="0" w:color="800000"/>
                                  </w:tcBorders>
                                </w:tcPr>
                                <w:p w:rsidR="003F5784" w14:textId="77777777">
                                  <w:pPr>
                                    <w:pStyle w:val="TableParagraph"/>
                                    <w:spacing w:before="0" w:line="228" w:lineRule="exact"/>
                                    <w:ind w:left="608"/>
                                    <w:jc w:val="left"/>
                                    <w:rPr>
                                      <w:sz w:val="21"/>
                                    </w:rPr>
                                  </w:pPr>
                                  <w:r>
                                    <w:rPr>
                                      <w:sz w:val="21"/>
                                    </w:rPr>
                                    <w:t>Grade</w:t>
                                  </w:r>
                                  <w:r>
                                    <w:rPr>
                                      <w:spacing w:val="-7"/>
                                      <w:sz w:val="21"/>
                                    </w:rPr>
                                    <w:t xml:space="preserve"> </w:t>
                                  </w:r>
                                  <w:r>
                                    <w:rPr>
                                      <w:spacing w:val="-10"/>
                                      <w:sz w:val="21"/>
                                    </w:rPr>
                                    <w:t>8</w:t>
                                  </w:r>
                                </w:p>
                              </w:tc>
                              <w:tc>
                                <w:tcPr>
                                  <w:tcW w:w="1605" w:type="dxa"/>
                                  <w:tcBorders>
                                    <w:bottom w:val="single" w:sz="18" w:space="0" w:color="800000"/>
                                  </w:tcBorders>
                                </w:tcPr>
                                <w:p w:rsidR="003F5784" w14:textId="77777777">
                                  <w:pPr>
                                    <w:pStyle w:val="TableParagraph"/>
                                    <w:spacing w:before="0"/>
                                    <w:jc w:val="left"/>
                                    <w:rPr>
                                      <w:sz w:val="18"/>
                                    </w:rPr>
                                  </w:pPr>
                                </w:p>
                              </w:tc>
                            </w:tr>
                            <w:tr w14:paraId="4E4F4AA1" w14:textId="77777777">
                              <w:tblPrEx>
                                <w:tblW w:w="0" w:type="auto"/>
                                <w:tblInd w:w="67" w:type="dxa"/>
                                <w:tblLayout w:type="fixed"/>
                                <w:tblCellMar>
                                  <w:left w:w="0" w:type="dxa"/>
                                  <w:right w:w="0" w:type="dxa"/>
                                </w:tblCellMar>
                                <w:tblLook w:val="01E0"/>
                              </w:tblPrEx>
                              <w:trPr>
                                <w:trHeight w:val="252"/>
                              </w:trPr>
                              <w:tc>
                                <w:tcPr>
                                  <w:tcW w:w="1332" w:type="dxa"/>
                                  <w:tcBorders>
                                    <w:top w:val="single" w:sz="18" w:space="0" w:color="800000"/>
                                  </w:tcBorders>
                                </w:tcPr>
                                <w:p w:rsidR="003F5784" w14:textId="77777777">
                                  <w:pPr>
                                    <w:pStyle w:val="TableParagraph"/>
                                    <w:spacing w:before="9" w:line="223" w:lineRule="exact"/>
                                    <w:ind w:right="128"/>
                                    <w:rPr>
                                      <w:sz w:val="21"/>
                                    </w:rPr>
                                  </w:pPr>
                                  <w:r>
                                    <w:rPr>
                                      <w:spacing w:val="-2"/>
                                      <w:sz w:val="21"/>
                                    </w:rPr>
                                    <w:t>Weighted</w:t>
                                  </w:r>
                                </w:p>
                              </w:tc>
                              <w:tc>
                                <w:tcPr>
                                  <w:tcW w:w="1614" w:type="dxa"/>
                                  <w:tcBorders>
                                    <w:top w:val="single" w:sz="18" w:space="0" w:color="800000"/>
                                  </w:tcBorders>
                                </w:tcPr>
                                <w:p w:rsidR="003F5784" w14:textId="77777777">
                                  <w:pPr>
                                    <w:pStyle w:val="TableParagraph"/>
                                    <w:spacing w:before="9" w:line="223" w:lineRule="exact"/>
                                    <w:ind w:right="128"/>
                                    <w:rPr>
                                      <w:sz w:val="21"/>
                                    </w:rPr>
                                  </w:pPr>
                                  <w:r>
                                    <w:rPr>
                                      <w:spacing w:val="-2"/>
                                      <w:sz w:val="21"/>
                                    </w:rPr>
                                    <w:t>Weighted</w:t>
                                  </w:r>
                                </w:p>
                              </w:tc>
                              <w:tc>
                                <w:tcPr>
                                  <w:tcW w:w="1747" w:type="dxa"/>
                                  <w:tcBorders>
                                    <w:top w:val="single" w:sz="18" w:space="0" w:color="800000"/>
                                  </w:tcBorders>
                                </w:tcPr>
                                <w:p w:rsidR="003F5784" w14:textId="77777777">
                                  <w:pPr>
                                    <w:pStyle w:val="TableParagraph"/>
                                    <w:spacing w:before="9" w:line="223" w:lineRule="exact"/>
                                    <w:ind w:right="261"/>
                                    <w:rPr>
                                      <w:sz w:val="21"/>
                                    </w:rPr>
                                  </w:pPr>
                                  <w:r>
                                    <w:rPr>
                                      <w:spacing w:val="-2"/>
                                      <w:sz w:val="21"/>
                                    </w:rPr>
                                    <w:t>Weighted</w:t>
                                  </w:r>
                                </w:p>
                              </w:tc>
                              <w:tc>
                                <w:tcPr>
                                  <w:tcW w:w="1187" w:type="dxa"/>
                                  <w:tcBorders>
                                    <w:top w:val="single" w:sz="18" w:space="0" w:color="800000"/>
                                  </w:tcBorders>
                                </w:tcPr>
                                <w:p w:rsidR="003F5784" w14:textId="77777777">
                                  <w:pPr>
                                    <w:pStyle w:val="TableParagraph"/>
                                    <w:spacing w:before="9" w:line="223" w:lineRule="exact"/>
                                    <w:ind w:right="129"/>
                                    <w:rPr>
                                      <w:sz w:val="21"/>
                                    </w:rPr>
                                  </w:pPr>
                                  <w:r>
                                    <w:rPr>
                                      <w:spacing w:val="-2"/>
                                      <w:sz w:val="21"/>
                                    </w:rPr>
                                    <w:t>Weighted</w:t>
                                  </w:r>
                                </w:p>
                              </w:tc>
                              <w:tc>
                                <w:tcPr>
                                  <w:tcW w:w="1615" w:type="dxa"/>
                                  <w:tcBorders>
                                    <w:top w:val="single" w:sz="18" w:space="0" w:color="800000"/>
                                  </w:tcBorders>
                                </w:tcPr>
                                <w:p w:rsidR="003F5784" w14:textId="77777777">
                                  <w:pPr>
                                    <w:pStyle w:val="TableParagraph"/>
                                    <w:spacing w:before="9" w:line="223" w:lineRule="exact"/>
                                    <w:ind w:right="128"/>
                                    <w:rPr>
                                      <w:sz w:val="21"/>
                                    </w:rPr>
                                  </w:pPr>
                                  <w:r>
                                    <w:rPr>
                                      <w:spacing w:val="-2"/>
                                      <w:sz w:val="21"/>
                                    </w:rPr>
                                    <w:t>Weighted</w:t>
                                  </w:r>
                                </w:p>
                              </w:tc>
                              <w:tc>
                                <w:tcPr>
                                  <w:tcW w:w="1605" w:type="dxa"/>
                                  <w:tcBorders>
                                    <w:top w:val="single" w:sz="18" w:space="0" w:color="800000"/>
                                  </w:tcBorders>
                                </w:tcPr>
                                <w:p w:rsidR="003F5784" w14:textId="77777777">
                                  <w:pPr>
                                    <w:pStyle w:val="TableParagraph"/>
                                    <w:spacing w:before="9" w:line="223" w:lineRule="exact"/>
                                    <w:ind w:right="120"/>
                                    <w:rPr>
                                      <w:sz w:val="21"/>
                                    </w:rPr>
                                  </w:pPr>
                                  <w:r>
                                    <w:rPr>
                                      <w:spacing w:val="-2"/>
                                      <w:sz w:val="21"/>
                                    </w:rPr>
                                    <w:t>Weighted</w:t>
                                  </w:r>
                                </w:p>
                              </w:tc>
                            </w:tr>
                            <w:tr w14:paraId="6C4B1317" w14:textId="77777777">
                              <w:tblPrEx>
                                <w:tblW w:w="0" w:type="auto"/>
                                <w:tblInd w:w="67" w:type="dxa"/>
                                <w:tblLayout w:type="fixed"/>
                                <w:tblCellMar>
                                  <w:left w:w="0" w:type="dxa"/>
                                  <w:right w:w="0" w:type="dxa"/>
                                </w:tblCellMar>
                                <w:tblLook w:val="01E0"/>
                              </w:tblPrEx>
                              <w:trPr>
                                <w:trHeight w:val="234"/>
                              </w:trPr>
                              <w:tc>
                                <w:tcPr>
                                  <w:tcW w:w="1332" w:type="dxa"/>
                                </w:tcPr>
                                <w:p w:rsidR="003F5784" w14:textId="77777777">
                                  <w:pPr>
                                    <w:pStyle w:val="TableParagraph"/>
                                    <w:spacing w:before="0" w:line="215" w:lineRule="exact"/>
                                    <w:ind w:right="127"/>
                                    <w:rPr>
                                      <w:sz w:val="21"/>
                                    </w:rPr>
                                  </w:pPr>
                                  <w:r>
                                    <w:rPr>
                                      <w:spacing w:val="-2"/>
                                      <w:sz w:val="21"/>
                                    </w:rPr>
                                    <w:t>student</w:t>
                                  </w:r>
                                </w:p>
                              </w:tc>
                              <w:tc>
                                <w:tcPr>
                                  <w:tcW w:w="1614" w:type="dxa"/>
                                </w:tcPr>
                                <w:p w:rsidR="003F5784" w14:textId="77777777">
                                  <w:pPr>
                                    <w:pStyle w:val="TableParagraph"/>
                                    <w:spacing w:before="0" w:line="215" w:lineRule="exact"/>
                                    <w:ind w:right="126"/>
                                    <w:rPr>
                                      <w:sz w:val="21"/>
                                    </w:rPr>
                                  </w:pPr>
                                  <w:r>
                                    <w:rPr>
                                      <w:sz w:val="21"/>
                                    </w:rPr>
                                    <w:t>percentage</w:t>
                                  </w:r>
                                  <w:r>
                                    <w:rPr>
                                      <w:spacing w:val="-11"/>
                                      <w:sz w:val="21"/>
                                    </w:rPr>
                                    <w:t xml:space="preserve"> </w:t>
                                  </w:r>
                                  <w:r>
                                    <w:rPr>
                                      <w:spacing w:val="-5"/>
                                      <w:sz w:val="21"/>
                                    </w:rPr>
                                    <w:t>of</w:t>
                                  </w:r>
                                </w:p>
                              </w:tc>
                              <w:tc>
                                <w:tcPr>
                                  <w:tcW w:w="1747" w:type="dxa"/>
                                </w:tcPr>
                                <w:p w:rsidR="003F5784" w14:textId="77777777">
                                  <w:pPr>
                                    <w:pStyle w:val="TableParagraph"/>
                                    <w:spacing w:before="0" w:line="215" w:lineRule="exact"/>
                                    <w:ind w:right="261"/>
                                    <w:rPr>
                                      <w:sz w:val="21"/>
                                    </w:rPr>
                                  </w:pPr>
                                  <w:r>
                                    <w:rPr>
                                      <w:sz w:val="21"/>
                                    </w:rPr>
                                    <w:t>percentage</w:t>
                                  </w:r>
                                  <w:r>
                                    <w:rPr>
                                      <w:spacing w:val="-11"/>
                                      <w:sz w:val="21"/>
                                    </w:rPr>
                                    <w:t xml:space="preserve"> </w:t>
                                  </w:r>
                                  <w:r>
                                    <w:rPr>
                                      <w:spacing w:val="-5"/>
                                      <w:sz w:val="21"/>
                                    </w:rPr>
                                    <w:t>of</w:t>
                                  </w:r>
                                </w:p>
                              </w:tc>
                              <w:tc>
                                <w:tcPr>
                                  <w:tcW w:w="1187" w:type="dxa"/>
                                </w:tcPr>
                                <w:p w:rsidR="003F5784" w14:textId="77777777">
                                  <w:pPr>
                                    <w:pStyle w:val="TableParagraph"/>
                                    <w:spacing w:before="0" w:line="215" w:lineRule="exact"/>
                                    <w:ind w:right="128"/>
                                    <w:rPr>
                                      <w:sz w:val="21"/>
                                    </w:rPr>
                                  </w:pPr>
                                  <w:r>
                                    <w:rPr>
                                      <w:spacing w:val="-2"/>
                                      <w:sz w:val="21"/>
                                    </w:rPr>
                                    <w:t>student</w:t>
                                  </w:r>
                                </w:p>
                              </w:tc>
                              <w:tc>
                                <w:tcPr>
                                  <w:tcW w:w="1615" w:type="dxa"/>
                                </w:tcPr>
                                <w:p w:rsidR="003F5784" w14:textId="77777777">
                                  <w:pPr>
                                    <w:pStyle w:val="TableParagraph"/>
                                    <w:spacing w:before="0" w:line="215" w:lineRule="exact"/>
                                    <w:ind w:right="128"/>
                                    <w:rPr>
                                      <w:sz w:val="21"/>
                                    </w:rPr>
                                  </w:pPr>
                                  <w:r>
                                    <w:rPr>
                                      <w:sz w:val="21"/>
                                    </w:rPr>
                                    <w:t>percentage</w:t>
                                  </w:r>
                                  <w:r>
                                    <w:rPr>
                                      <w:spacing w:val="-11"/>
                                      <w:sz w:val="21"/>
                                    </w:rPr>
                                    <w:t xml:space="preserve"> </w:t>
                                  </w:r>
                                  <w:r>
                                    <w:rPr>
                                      <w:spacing w:val="-5"/>
                                      <w:sz w:val="21"/>
                                    </w:rPr>
                                    <w:t>of</w:t>
                                  </w:r>
                                </w:p>
                              </w:tc>
                              <w:tc>
                                <w:tcPr>
                                  <w:tcW w:w="1605" w:type="dxa"/>
                                </w:tcPr>
                                <w:p w:rsidR="003F5784" w14:textId="77777777">
                                  <w:pPr>
                                    <w:pStyle w:val="TableParagraph"/>
                                    <w:spacing w:before="0" w:line="215" w:lineRule="exact"/>
                                    <w:ind w:right="120"/>
                                    <w:rPr>
                                      <w:sz w:val="21"/>
                                    </w:rPr>
                                  </w:pPr>
                                  <w:r>
                                    <w:rPr>
                                      <w:sz w:val="21"/>
                                    </w:rPr>
                                    <w:t>percentage</w:t>
                                  </w:r>
                                  <w:r>
                                    <w:rPr>
                                      <w:spacing w:val="-11"/>
                                      <w:sz w:val="21"/>
                                    </w:rPr>
                                    <w:t xml:space="preserve"> </w:t>
                                  </w:r>
                                  <w:r>
                                    <w:rPr>
                                      <w:spacing w:val="-5"/>
                                      <w:sz w:val="21"/>
                                    </w:rPr>
                                    <w:t>of</w:t>
                                  </w:r>
                                </w:p>
                              </w:tc>
                            </w:tr>
                            <w:tr w14:paraId="0BCADF17" w14:textId="77777777">
                              <w:tblPrEx>
                                <w:tblW w:w="0" w:type="auto"/>
                                <w:tblInd w:w="67" w:type="dxa"/>
                                <w:tblLayout w:type="fixed"/>
                                <w:tblCellMar>
                                  <w:left w:w="0" w:type="dxa"/>
                                  <w:right w:w="0" w:type="dxa"/>
                                </w:tblCellMar>
                                <w:tblLook w:val="01E0"/>
                              </w:tblPrEx>
                              <w:trPr>
                                <w:trHeight w:val="234"/>
                              </w:trPr>
                              <w:tc>
                                <w:tcPr>
                                  <w:tcW w:w="1332" w:type="dxa"/>
                                </w:tcPr>
                                <w:p w:rsidR="003F5784" w14:textId="77777777">
                                  <w:pPr>
                                    <w:pStyle w:val="TableParagraph"/>
                                    <w:spacing w:before="0" w:line="215" w:lineRule="exact"/>
                                    <w:ind w:right="127"/>
                                    <w:rPr>
                                      <w:sz w:val="21"/>
                                    </w:rPr>
                                  </w:pPr>
                                  <w:r>
                                    <w:rPr>
                                      <w:spacing w:val="-2"/>
                                      <w:sz w:val="21"/>
                                    </w:rPr>
                                    <w:t>response</w:t>
                                  </w:r>
                                </w:p>
                              </w:tc>
                              <w:tc>
                                <w:tcPr>
                                  <w:tcW w:w="1614" w:type="dxa"/>
                                </w:tcPr>
                                <w:p w:rsidR="003F5784" w14:textId="77777777">
                                  <w:pPr>
                                    <w:pStyle w:val="TableParagraph"/>
                                    <w:spacing w:before="0" w:line="215" w:lineRule="exact"/>
                                    <w:ind w:right="128"/>
                                    <w:rPr>
                                      <w:sz w:val="21"/>
                                    </w:rPr>
                                  </w:pPr>
                                  <w:r>
                                    <w:rPr>
                                      <w:sz w:val="21"/>
                                    </w:rPr>
                                    <w:t>all</w:t>
                                  </w:r>
                                  <w:r>
                                    <w:rPr>
                                      <w:spacing w:val="-6"/>
                                      <w:sz w:val="21"/>
                                    </w:rPr>
                                    <w:t xml:space="preserve"> </w:t>
                                  </w:r>
                                  <w:r>
                                    <w:rPr>
                                      <w:sz w:val="21"/>
                                    </w:rPr>
                                    <w:t>students</w:t>
                                  </w:r>
                                  <w:r>
                                    <w:rPr>
                                      <w:spacing w:val="-5"/>
                                      <w:sz w:val="21"/>
                                    </w:rPr>
                                    <w:t xml:space="preserve"> who</w:t>
                                  </w:r>
                                </w:p>
                              </w:tc>
                              <w:tc>
                                <w:tcPr>
                                  <w:tcW w:w="1747" w:type="dxa"/>
                                </w:tcPr>
                                <w:p w:rsidR="003F5784" w14:textId="77777777">
                                  <w:pPr>
                                    <w:pStyle w:val="TableParagraph"/>
                                    <w:spacing w:before="0" w:line="215" w:lineRule="exact"/>
                                    <w:ind w:right="261"/>
                                    <w:rPr>
                                      <w:sz w:val="21"/>
                                    </w:rPr>
                                  </w:pPr>
                                  <w:r>
                                    <w:rPr>
                                      <w:sz w:val="21"/>
                                    </w:rPr>
                                    <w:t>all</w:t>
                                  </w:r>
                                  <w:r>
                                    <w:rPr>
                                      <w:spacing w:val="-6"/>
                                      <w:sz w:val="21"/>
                                    </w:rPr>
                                    <w:t xml:space="preserve"> </w:t>
                                  </w:r>
                                  <w:r>
                                    <w:rPr>
                                      <w:sz w:val="21"/>
                                    </w:rPr>
                                    <w:t>students</w:t>
                                  </w:r>
                                  <w:r>
                                    <w:rPr>
                                      <w:spacing w:val="-5"/>
                                      <w:sz w:val="21"/>
                                    </w:rPr>
                                    <w:t xml:space="preserve"> who</w:t>
                                  </w:r>
                                </w:p>
                              </w:tc>
                              <w:tc>
                                <w:tcPr>
                                  <w:tcW w:w="1187" w:type="dxa"/>
                                </w:tcPr>
                                <w:p w:rsidR="003F5784" w14:textId="77777777">
                                  <w:pPr>
                                    <w:pStyle w:val="TableParagraph"/>
                                    <w:spacing w:before="0" w:line="215" w:lineRule="exact"/>
                                    <w:ind w:right="128"/>
                                    <w:rPr>
                                      <w:sz w:val="21"/>
                                    </w:rPr>
                                  </w:pPr>
                                  <w:r>
                                    <w:rPr>
                                      <w:spacing w:val="-2"/>
                                      <w:sz w:val="21"/>
                                    </w:rPr>
                                    <w:t>response</w:t>
                                  </w:r>
                                </w:p>
                              </w:tc>
                              <w:tc>
                                <w:tcPr>
                                  <w:tcW w:w="1615" w:type="dxa"/>
                                </w:tcPr>
                                <w:p w:rsidR="003F5784" w14:textId="77777777">
                                  <w:pPr>
                                    <w:pStyle w:val="TableParagraph"/>
                                    <w:spacing w:before="0" w:line="215" w:lineRule="exact"/>
                                    <w:ind w:right="128"/>
                                    <w:rPr>
                                      <w:sz w:val="21"/>
                                    </w:rPr>
                                  </w:pPr>
                                  <w:r>
                                    <w:rPr>
                                      <w:sz w:val="21"/>
                                    </w:rPr>
                                    <w:t>all</w:t>
                                  </w:r>
                                  <w:r>
                                    <w:rPr>
                                      <w:spacing w:val="-6"/>
                                      <w:sz w:val="21"/>
                                    </w:rPr>
                                    <w:t xml:space="preserve"> </w:t>
                                  </w:r>
                                  <w:r>
                                    <w:rPr>
                                      <w:sz w:val="21"/>
                                    </w:rPr>
                                    <w:t>students</w:t>
                                  </w:r>
                                  <w:r>
                                    <w:rPr>
                                      <w:spacing w:val="-5"/>
                                      <w:sz w:val="21"/>
                                    </w:rPr>
                                    <w:t xml:space="preserve"> who</w:t>
                                  </w:r>
                                </w:p>
                              </w:tc>
                              <w:tc>
                                <w:tcPr>
                                  <w:tcW w:w="1605" w:type="dxa"/>
                                </w:tcPr>
                                <w:p w:rsidR="003F5784" w14:textId="77777777">
                                  <w:pPr>
                                    <w:pStyle w:val="TableParagraph"/>
                                    <w:spacing w:before="0" w:line="215" w:lineRule="exact"/>
                                    <w:ind w:right="120"/>
                                    <w:rPr>
                                      <w:sz w:val="21"/>
                                    </w:rPr>
                                  </w:pPr>
                                  <w:r>
                                    <w:rPr>
                                      <w:sz w:val="21"/>
                                    </w:rPr>
                                    <w:t>all</w:t>
                                  </w:r>
                                  <w:r>
                                    <w:rPr>
                                      <w:spacing w:val="-6"/>
                                      <w:sz w:val="21"/>
                                    </w:rPr>
                                    <w:t xml:space="preserve"> </w:t>
                                  </w:r>
                                  <w:r>
                                    <w:rPr>
                                      <w:sz w:val="21"/>
                                    </w:rPr>
                                    <w:t>students</w:t>
                                  </w:r>
                                  <w:r>
                                    <w:rPr>
                                      <w:spacing w:val="-5"/>
                                      <w:sz w:val="21"/>
                                    </w:rPr>
                                    <w:t xml:space="preserve"> who</w:t>
                                  </w:r>
                                </w:p>
                              </w:tc>
                            </w:tr>
                            <w:tr w14:paraId="5E6D57E4" w14:textId="77777777">
                              <w:tblPrEx>
                                <w:tblW w:w="0" w:type="auto"/>
                                <w:tblInd w:w="67" w:type="dxa"/>
                                <w:tblLayout w:type="fixed"/>
                                <w:tblCellMar>
                                  <w:left w:w="0" w:type="dxa"/>
                                  <w:right w:w="0" w:type="dxa"/>
                                </w:tblCellMar>
                                <w:tblLook w:val="01E0"/>
                              </w:tblPrEx>
                              <w:trPr>
                                <w:trHeight w:val="234"/>
                              </w:trPr>
                              <w:tc>
                                <w:tcPr>
                                  <w:tcW w:w="1332" w:type="dxa"/>
                                </w:tcPr>
                                <w:p w:rsidR="003F5784" w14:textId="77777777">
                                  <w:pPr>
                                    <w:pStyle w:val="TableParagraph"/>
                                    <w:spacing w:before="0" w:line="215" w:lineRule="exact"/>
                                    <w:ind w:right="127"/>
                                    <w:rPr>
                                      <w:sz w:val="21"/>
                                    </w:rPr>
                                  </w:pPr>
                                  <w:r>
                                    <w:rPr>
                                      <w:spacing w:val="-2"/>
                                      <w:sz w:val="21"/>
                                    </w:rPr>
                                    <w:t>rates</w:t>
                                  </w:r>
                                </w:p>
                              </w:tc>
                              <w:tc>
                                <w:tcPr>
                                  <w:tcW w:w="1614" w:type="dxa"/>
                                </w:tcPr>
                                <w:p w:rsidR="003F5784" w14:textId="77777777">
                                  <w:pPr>
                                    <w:pStyle w:val="TableParagraph"/>
                                    <w:spacing w:before="0" w:line="215" w:lineRule="exact"/>
                                    <w:ind w:right="126"/>
                                    <w:rPr>
                                      <w:sz w:val="21"/>
                                    </w:rPr>
                                  </w:pPr>
                                  <w:r>
                                    <w:rPr>
                                      <w:sz w:val="21"/>
                                    </w:rPr>
                                    <w:t>were</w:t>
                                  </w:r>
                                  <w:r>
                                    <w:rPr>
                                      <w:spacing w:val="-5"/>
                                      <w:sz w:val="21"/>
                                    </w:rPr>
                                    <w:t xml:space="preserve"> </w:t>
                                  </w:r>
                                  <w:r>
                                    <w:rPr>
                                      <w:sz w:val="21"/>
                                    </w:rPr>
                                    <w:t>SD</w:t>
                                  </w:r>
                                  <w:r>
                                    <w:rPr>
                                      <w:spacing w:val="-4"/>
                                      <w:sz w:val="21"/>
                                    </w:rPr>
                                    <w:t xml:space="preserve"> </w:t>
                                  </w:r>
                                  <w:r>
                                    <w:rPr>
                                      <w:spacing w:val="-5"/>
                                      <w:sz w:val="21"/>
                                    </w:rPr>
                                    <w:t>and</w:t>
                                  </w:r>
                                </w:p>
                              </w:tc>
                              <w:tc>
                                <w:tcPr>
                                  <w:tcW w:w="1747" w:type="dxa"/>
                                </w:tcPr>
                                <w:p w:rsidR="003F5784" w14:textId="77777777">
                                  <w:pPr>
                                    <w:pStyle w:val="TableParagraph"/>
                                    <w:spacing w:before="0" w:line="215" w:lineRule="exact"/>
                                    <w:ind w:right="261"/>
                                    <w:rPr>
                                      <w:sz w:val="21"/>
                                    </w:rPr>
                                  </w:pPr>
                                  <w:r>
                                    <w:rPr>
                                      <w:sz w:val="21"/>
                                    </w:rPr>
                                    <w:t>were</w:t>
                                  </w:r>
                                  <w:r>
                                    <w:rPr>
                                      <w:spacing w:val="-5"/>
                                      <w:sz w:val="21"/>
                                    </w:rPr>
                                    <w:t xml:space="preserve"> </w:t>
                                  </w:r>
                                  <w:r>
                                    <w:rPr>
                                      <w:sz w:val="21"/>
                                    </w:rPr>
                                    <w:t>EL</w:t>
                                  </w:r>
                                  <w:r>
                                    <w:rPr>
                                      <w:spacing w:val="-12"/>
                                      <w:sz w:val="21"/>
                                    </w:rPr>
                                    <w:t xml:space="preserve"> </w:t>
                                  </w:r>
                                  <w:r>
                                    <w:rPr>
                                      <w:spacing w:val="-5"/>
                                      <w:sz w:val="21"/>
                                    </w:rPr>
                                    <w:t>and</w:t>
                                  </w:r>
                                </w:p>
                              </w:tc>
                              <w:tc>
                                <w:tcPr>
                                  <w:tcW w:w="1187" w:type="dxa"/>
                                </w:tcPr>
                                <w:p w:rsidR="003F5784" w14:textId="77777777">
                                  <w:pPr>
                                    <w:pStyle w:val="TableParagraph"/>
                                    <w:spacing w:before="0" w:line="215" w:lineRule="exact"/>
                                    <w:ind w:right="128"/>
                                    <w:rPr>
                                      <w:sz w:val="21"/>
                                    </w:rPr>
                                  </w:pPr>
                                  <w:r>
                                    <w:rPr>
                                      <w:spacing w:val="-2"/>
                                      <w:sz w:val="21"/>
                                    </w:rPr>
                                    <w:t>rates</w:t>
                                  </w:r>
                                </w:p>
                              </w:tc>
                              <w:tc>
                                <w:tcPr>
                                  <w:tcW w:w="1615" w:type="dxa"/>
                                </w:tcPr>
                                <w:p w:rsidR="003F5784" w14:textId="77777777">
                                  <w:pPr>
                                    <w:pStyle w:val="TableParagraph"/>
                                    <w:spacing w:before="0" w:line="215" w:lineRule="exact"/>
                                    <w:ind w:right="128"/>
                                    <w:rPr>
                                      <w:sz w:val="21"/>
                                    </w:rPr>
                                  </w:pPr>
                                  <w:r>
                                    <w:rPr>
                                      <w:sz w:val="21"/>
                                    </w:rPr>
                                    <w:t>were</w:t>
                                  </w:r>
                                  <w:r>
                                    <w:rPr>
                                      <w:spacing w:val="-5"/>
                                      <w:sz w:val="21"/>
                                    </w:rPr>
                                    <w:t xml:space="preserve"> </w:t>
                                  </w:r>
                                  <w:r>
                                    <w:rPr>
                                      <w:sz w:val="21"/>
                                    </w:rPr>
                                    <w:t>SD</w:t>
                                  </w:r>
                                  <w:r>
                                    <w:rPr>
                                      <w:spacing w:val="-4"/>
                                      <w:sz w:val="21"/>
                                    </w:rPr>
                                    <w:t xml:space="preserve"> </w:t>
                                  </w:r>
                                  <w:r>
                                    <w:rPr>
                                      <w:spacing w:val="-5"/>
                                      <w:sz w:val="21"/>
                                    </w:rPr>
                                    <w:t>and</w:t>
                                  </w:r>
                                </w:p>
                              </w:tc>
                              <w:tc>
                                <w:tcPr>
                                  <w:tcW w:w="1605" w:type="dxa"/>
                                </w:tcPr>
                                <w:p w:rsidR="003F5784" w14:textId="77777777">
                                  <w:pPr>
                                    <w:pStyle w:val="TableParagraph"/>
                                    <w:spacing w:before="0" w:line="215" w:lineRule="exact"/>
                                    <w:ind w:right="120"/>
                                    <w:rPr>
                                      <w:sz w:val="21"/>
                                    </w:rPr>
                                  </w:pPr>
                                  <w:r>
                                    <w:rPr>
                                      <w:sz w:val="21"/>
                                    </w:rPr>
                                    <w:t>were</w:t>
                                  </w:r>
                                  <w:r>
                                    <w:rPr>
                                      <w:spacing w:val="-5"/>
                                      <w:sz w:val="21"/>
                                    </w:rPr>
                                    <w:t xml:space="preserve"> </w:t>
                                  </w:r>
                                  <w:r>
                                    <w:rPr>
                                      <w:sz w:val="21"/>
                                    </w:rPr>
                                    <w:t>EL</w:t>
                                  </w:r>
                                  <w:r>
                                    <w:rPr>
                                      <w:spacing w:val="-12"/>
                                      <w:sz w:val="21"/>
                                    </w:rPr>
                                    <w:t xml:space="preserve"> </w:t>
                                  </w:r>
                                  <w:r>
                                    <w:rPr>
                                      <w:spacing w:val="-5"/>
                                      <w:sz w:val="21"/>
                                    </w:rPr>
                                    <w:t>and</w:t>
                                  </w:r>
                                </w:p>
                              </w:tc>
                            </w:tr>
                            <w:tr w14:paraId="5C1EEA90" w14:textId="77777777">
                              <w:tblPrEx>
                                <w:tblW w:w="0" w:type="auto"/>
                                <w:tblInd w:w="67" w:type="dxa"/>
                                <w:tblLayout w:type="fixed"/>
                                <w:tblCellMar>
                                  <w:left w:w="0" w:type="dxa"/>
                                  <w:right w:w="0" w:type="dxa"/>
                                </w:tblCellMar>
                                <w:tblLook w:val="01E0"/>
                              </w:tblPrEx>
                              <w:trPr>
                                <w:trHeight w:val="232"/>
                              </w:trPr>
                              <w:tc>
                                <w:tcPr>
                                  <w:tcW w:w="1332" w:type="dxa"/>
                                </w:tcPr>
                                <w:p w:rsidR="003F5784" w14:textId="77777777">
                                  <w:pPr>
                                    <w:pStyle w:val="TableParagraph"/>
                                    <w:spacing w:before="0" w:line="213" w:lineRule="exact"/>
                                    <w:ind w:right="127"/>
                                    <w:rPr>
                                      <w:sz w:val="21"/>
                                    </w:rPr>
                                  </w:pPr>
                                  <w:r>
                                    <w:rPr>
                                      <w:spacing w:val="-2"/>
                                      <w:sz w:val="21"/>
                                    </w:rPr>
                                    <w:t>(percent)</w:t>
                                  </w:r>
                                </w:p>
                              </w:tc>
                              <w:tc>
                                <w:tcPr>
                                  <w:tcW w:w="1614" w:type="dxa"/>
                                </w:tcPr>
                                <w:p w:rsidR="003F5784" w14:textId="77777777">
                                  <w:pPr>
                                    <w:pStyle w:val="TableParagraph"/>
                                    <w:spacing w:before="0" w:line="213" w:lineRule="exact"/>
                                    <w:ind w:right="126"/>
                                    <w:rPr>
                                      <w:sz w:val="21"/>
                                    </w:rPr>
                                  </w:pPr>
                                  <w:r>
                                    <w:rPr>
                                      <w:spacing w:val="-2"/>
                                      <w:sz w:val="21"/>
                                    </w:rPr>
                                    <w:t>excluded</w:t>
                                  </w:r>
                                </w:p>
                              </w:tc>
                              <w:tc>
                                <w:tcPr>
                                  <w:tcW w:w="1747" w:type="dxa"/>
                                </w:tcPr>
                                <w:p w:rsidR="003F5784" w14:textId="77777777">
                                  <w:pPr>
                                    <w:pStyle w:val="TableParagraph"/>
                                    <w:spacing w:before="0" w:line="213" w:lineRule="exact"/>
                                    <w:ind w:right="261"/>
                                    <w:rPr>
                                      <w:sz w:val="21"/>
                                    </w:rPr>
                                  </w:pPr>
                                  <w:r>
                                    <w:rPr>
                                      <w:spacing w:val="-2"/>
                                      <w:sz w:val="21"/>
                                    </w:rPr>
                                    <w:t>excluded</w:t>
                                  </w:r>
                                </w:p>
                              </w:tc>
                              <w:tc>
                                <w:tcPr>
                                  <w:tcW w:w="1187" w:type="dxa"/>
                                </w:tcPr>
                                <w:p w:rsidR="003F5784" w14:textId="77777777">
                                  <w:pPr>
                                    <w:pStyle w:val="TableParagraph"/>
                                    <w:spacing w:before="0" w:line="213" w:lineRule="exact"/>
                                    <w:ind w:right="128"/>
                                    <w:rPr>
                                      <w:sz w:val="21"/>
                                    </w:rPr>
                                  </w:pPr>
                                  <w:r>
                                    <w:rPr>
                                      <w:spacing w:val="-2"/>
                                      <w:sz w:val="21"/>
                                    </w:rPr>
                                    <w:t>(percent)</w:t>
                                  </w:r>
                                </w:p>
                              </w:tc>
                              <w:tc>
                                <w:tcPr>
                                  <w:tcW w:w="1615" w:type="dxa"/>
                                </w:tcPr>
                                <w:p w:rsidR="003F5784" w14:textId="77777777">
                                  <w:pPr>
                                    <w:pStyle w:val="TableParagraph"/>
                                    <w:spacing w:before="0" w:line="213" w:lineRule="exact"/>
                                    <w:ind w:right="128"/>
                                    <w:rPr>
                                      <w:sz w:val="21"/>
                                    </w:rPr>
                                  </w:pPr>
                                  <w:r>
                                    <w:rPr>
                                      <w:spacing w:val="-2"/>
                                      <w:sz w:val="21"/>
                                    </w:rPr>
                                    <w:t>excluded</w:t>
                                  </w:r>
                                </w:p>
                              </w:tc>
                              <w:tc>
                                <w:tcPr>
                                  <w:tcW w:w="1605" w:type="dxa"/>
                                </w:tcPr>
                                <w:p w:rsidR="003F5784" w14:textId="77777777">
                                  <w:pPr>
                                    <w:pStyle w:val="TableParagraph"/>
                                    <w:spacing w:before="0" w:line="213" w:lineRule="exact"/>
                                    <w:ind w:right="120"/>
                                    <w:rPr>
                                      <w:sz w:val="21"/>
                                    </w:rPr>
                                  </w:pPr>
                                  <w:r>
                                    <w:rPr>
                                      <w:spacing w:val="-2"/>
                                      <w:sz w:val="21"/>
                                    </w:rPr>
                                    <w:t>excluded</w:t>
                                  </w:r>
                                </w:p>
                              </w:tc>
                            </w:tr>
                          </w:tbl>
                          <w:p w:rsidR="003F5784" w14:textId="77777777">
                            <w:pPr>
                              <w:pStyle w:val="BodyText"/>
                            </w:pPr>
                          </w:p>
                        </w:txbxContent>
                      </wps:txbx>
                      <wps:bodyPr wrap="square" lIns="0" tIns="0" rIns="0" bIns="0" rtlCol="0"/>
                    </wps:wsp>
                  </a:graphicData>
                </a:graphic>
              </wp:anchor>
            </w:drawing>
          </mc:Choice>
          <mc:Fallback>
            <w:pict>
              <v:shape id="Textbox 375" o:spid="_x0000_s1140" type="#_x0000_t202" style="width:460.85pt;height:73.95pt;margin-top:-62.05pt;margin-left:288.1pt;mso-position-horizontal-relative:page;mso-wrap-distance-bottom:0;mso-wrap-distance-left:0;mso-wrap-distance-right:0;mso-wrap-distance-top:0;mso-wrap-style:square;position:absolute;visibility:visible;v-text-anchor:top;z-index:251663360" filled="f" stroked="f">
                <v:textbox inset="0,0,0,0">
                  <w:txbxContent>
                    <w:tbl>
                      <w:tblPr>
                        <w:tblW w:w="0" w:type="auto"/>
                        <w:tblInd w:w="67" w:type="dxa"/>
                        <w:tblLayout w:type="fixed"/>
                        <w:tblCellMar>
                          <w:left w:w="0" w:type="dxa"/>
                          <w:right w:w="0" w:type="dxa"/>
                        </w:tblCellMar>
                        <w:tblLook w:val="01E0"/>
                      </w:tblPr>
                      <w:tblGrid>
                        <w:gridCol w:w="1332"/>
                        <w:gridCol w:w="1614"/>
                        <w:gridCol w:w="1747"/>
                        <w:gridCol w:w="1187"/>
                        <w:gridCol w:w="1615"/>
                        <w:gridCol w:w="1605"/>
                      </w:tblGrid>
                      <w:tr w14:paraId="33D7A699" w14:textId="77777777">
                        <w:tblPrEx>
                          <w:tblW w:w="0" w:type="auto"/>
                          <w:tblInd w:w="67" w:type="dxa"/>
                          <w:tblLayout w:type="fixed"/>
                          <w:tblCellMar>
                            <w:left w:w="0" w:type="dxa"/>
                            <w:right w:w="0" w:type="dxa"/>
                          </w:tblCellMar>
                          <w:tblLook w:val="01E0"/>
                        </w:tblPrEx>
                        <w:trPr>
                          <w:trHeight w:val="248"/>
                        </w:trPr>
                        <w:tc>
                          <w:tcPr>
                            <w:tcW w:w="1332" w:type="dxa"/>
                            <w:tcBorders>
                              <w:bottom w:val="single" w:sz="18" w:space="0" w:color="800000"/>
                            </w:tcBorders>
                          </w:tcPr>
                          <w:p w:rsidR="003F5784" w14:paraId="5429EF07" w14:textId="77777777">
                            <w:pPr>
                              <w:pStyle w:val="TableParagraph"/>
                              <w:spacing w:before="0"/>
                              <w:jc w:val="left"/>
                              <w:rPr>
                                <w:sz w:val="18"/>
                              </w:rPr>
                            </w:pPr>
                          </w:p>
                        </w:tc>
                        <w:tc>
                          <w:tcPr>
                            <w:tcW w:w="1614" w:type="dxa"/>
                            <w:tcBorders>
                              <w:bottom w:val="single" w:sz="18" w:space="0" w:color="800000"/>
                            </w:tcBorders>
                          </w:tcPr>
                          <w:p w:rsidR="003F5784" w14:paraId="67C3C24C" w14:textId="77777777">
                            <w:pPr>
                              <w:pStyle w:val="TableParagraph"/>
                              <w:spacing w:before="0" w:line="228" w:lineRule="exact"/>
                              <w:ind w:left="608"/>
                              <w:jc w:val="left"/>
                              <w:rPr>
                                <w:sz w:val="21"/>
                              </w:rPr>
                            </w:pPr>
                            <w:r>
                              <w:rPr>
                                <w:sz w:val="21"/>
                              </w:rPr>
                              <w:t>Grade</w:t>
                            </w:r>
                            <w:r>
                              <w:rPr>
                                <w:spacing w:val="-7"/>
                                <w:sz w:val="21"/>
                              </w:rPr>
                              <w:t xml:space="preserve"> </w:t>
                            </w:r>
                            <w:r>
                              <w:rPr>
                                <w:spacing w:val="-10"/>
                                <w:sz w:val="21"/>
                              </w:rPr>
                              <w:t>4</w:t>
                            </w:r>
                          </w:p>
                        </w:tc>
                        <w:tc>
                          <w:tcPr>
                            <w:tcW w:w="1747" w:type="dxa"/>
                            <w:tcBorders>
                              <w:bottom w:val="single" w:sz="18" w:space="0" w:color="800000"/>
                            </w:tcBorders>
                          </w:tcPr>
                          <w:p w:rsidR="003F5784" w14:paraId="5C01C6E2" w14:textId="77777777">
                            <w:pPr>
                              <w:pStyle w:val="TableParagraph"/>
                              <w:spacing w:before="0"/>
                              <w:jc w:val="left"/>
                              <w:rPr>
                                <w:sz w:val="18"/>
                              </w:rPr>
                            </w:pPr>
                          </w:p>
                        </w:tc>
                        <w:tc>
                          <w:tcPr>
                            <w:tcW w:w="1187" w:type="dxa"/>
                            <w:tcBorders>
                              <w:bottom w:val="single" w:sz="18" w:space="0" w:color="800000"/>
                            </w:tcBorders>
                          </w:tcPr>
                          <w:p w:rsidR="003F5784" w14:paraId="4B37ADCF" w14:textId="77777777">
                            <w:pPr>
                              <w:pStyle w:val="TableParagraph"/>
                              <w:spacing w:before="0"/>
                              <w:jc w:val="left"/>
                              <w:rPr>
                                <w:sz w:val="18"/>
                              </w:rPr>
                            </w:pPr>
                          </w:p>
                        </w:tc>
                        <w:tc>
                          <w:tcPr>
                            <w:tcW w:w="1615" w:type="dxa"/>
                            <w:tcBorders>
                              <w:bottom w:val="single" w:sz="18" w:space="0" w:color="800000"/>
                            </w:tcBorders>
                          </w:tcPr>
                          <w:p w:rsidR="003F5784" w14:paraId="3213B2A5" w14:textId="77777777">
                            <w:pPr>
                              <w:pStyle w:val="TableParagraph"/>
                              <w:spacing w:before="0" w:line="228" w:lineRule="exact"/>
                              <w:ind w:left="608"/>
                              <w:jc w:val="left"/>
                              <w:rPr>
                                <w:sz w:val="21"/>
                              </w:rPr>
                            </w:pPr>
                            <w:r>
                              <w:rPr>
                                <w:sz w:val="21"/>
                              </w:rPr>
                              <w:t>Grade</w:t>
                            </w:r>
                            <w:r>
                              <w:rPr>
                                <w:spacing w:val="-7"/>
                                <w:sz w:val="21"/>
                              </w:rPr>
                              <w:t xml:space="preserve"> </w:t>
                            </w:r>
                            <w:r>
                              <w:rPr>
                                <w:spacing w:val="-10"/>
                                <w:sz w:val="21"/>
                              </w:rPr>
                              <w:t>8</w:t>
                            </w:r>
                          </w:p>
                        </w:tc>
                        <w:tc>
                          <w:tcPr>
                            <w:tcW w:w="1605" w:type="dxa"/>
                            <w:tcBorders>
                              <w:bottom w:val="single" w:sz="18" w:space="0" w:color="800000"/>
                            </w:tcBorders>
                          </w:tcPr>
                          <w:p w:rsidR="003F5784" w14:paraId="38B9329E" w14:textId="77777777">
                            <w:pPr>
                              <w:pStyle w:val="TableParagraph"/>
                              <w:spacing w:before="0"/>
                              <w:jc w:val="left"/>
                              <w:rPr>
                                <w:sz w:val="18"/>
                              </w:rPr>
                            </w:pPr>
                          </w:p>
                        </w:tc>
                      </w:tr>
                      <w:tr w14:paraId="4E4F4AA1" w14:textId="77777777">
                        <w:tblPrEx>
                          <w:tblW w:w="0" w:type="auto"/>
                          <w:tblInd w:w="67" w:type="dxa"/>
                          <w:tblLayout w:type="fixed"/>
                          <w:tblCellMar>
                            <w:left w:w="0" w:type="dxa"/>
                            <w:right w:w="0" w:type="dxa"/>
                          </w:tblCellMar>
                          <w:tblLook w:val="01E0"/>
                        </w:tblPrEx>
                        <w:trPr>
                          <w:trHeight w:val="252"/>
                        </w:trPr>
                        <w:tc>
                          <w:tcPr>
                            <w:tcW w:w="1332" w:type="dxa"/>
                            <w:tcBorders>
                              <w:top w:val="single" w:sz="18" w:space="0" w:color="800000"/>
                            </w:tcBorders>
                          </w:tcPr>
                          <w:p w:rsidR="003F5784" w14:paraId="731F1532" w14:textId="77777777">
                            <w:pPr>
                              <w:pStyle w:val="TableParagraph"/>
                              <w:spacing w:before="9" w:line="223" w:lineRule="exact"/>
                              <w:ind w:right="128"/>
                              <w:rPr>
                                <w:sz w:val="21"/>
                              </w:rPr>
                            </w:pPr>
                            <w:r>
                              <w:rPr>
                                <w:spacing w:val="-2"/>
                                <w:sz w:val="21"/>
                              </w:rPr>
                              <w:t>Weighted</w:t>
                            </w:r>
                          </w:p>
                        </w:tc>
                        <w:tc>
                          <w:tcPr>
                            <w:tcW w:w="1614" w:type="dxa"/>
                            <w:tcBorders>
                              <w:top w:val="single" w:sz="18" w:space="0" w:color="800000"/>
                            </w:tcBorders>
                          </w:tcPr>
                          <w:p w:rsidR="003F5784" w14:paraId="0A7D024C" w14:textId="77777777">
                            <w:pPr>
                              <w:pStyle w:val="TableParagraph"/>
                              <w:spacing w:before="9" w:line="223" w:lineRule="exact"/>
                              <w:ind w:right="128"/>
                              <w:rPr>
                                <w:sz w:val="21"/>
                              </w:rPr>
                            </w:pPr>
                            <w:r>
                              <w:rPr>
                                <w:spacing w:val="-2"/>
                                <w:sz w:val="21"/>
                              </w:rPr>
                              <w:t>Weighted</w:t>
                            </w:r>
                          </w:p>
                        </w:tc>
                        <w:tc>
                          <w:tcPr>
                            <w:tcW w:w="1747" w:type="dxa"/>
                            <w:tcBorders>
                              <w:top w:val="single" w:sz="18" w:space="0" w:color="800000"/>
                            </w:tcBorders>
                          </w:tcPr>
                          <w:p w:rsidR="003F5784" w14:paraId="78CDDD12" w14:textId="77777777">
                            <w:pPr>
                              <w:pStyle w:val="TableParagraph"/>
                              <w:spacing w:before="9" w:line="223" w:lineRule="exact"/>
                              <w:ind w:right="261"/>
                              <w:rPr>
                                <w:sz w:val="21"/>
                              </w:rPr>
                            </w:pPr>
                            <w:r>
                              <w:rPr>
                                <w:spacing w:val="-2"/>
                                <w:sz w:val="21"/>
                              </w:rPr>
                              <w:t>Weighted</w:t>
                            </w:r>
                          </w:p>
                        </w:tc>
                        <w:tc>
                          <w:tcPr>
                            <w:tcW w:w="1187" w:type="dxa"/>
                            <w:tcBorders>
                              <w:top w:val="single" w:sz="18" w:space="0" w:color="800000"/>
                            </w:tcBorders>
                          </w:tcPr>
                          <w:p w:rsidR="003F5784" w14:paraId="0CA6F5FA" w14:textId="77777777">
                            <w:pPr>
                              <w:pStyle w:val="TableParagraph"/>
                              <w:spacing w:before="9" w:line="223" w:lineRule="exact"/>
                              <w:ind w:right="129"/>
                              <w:rPr>
                                <w:sz w:val="21"/>
                              </w:rPr>
                            </w:pPr>
                            <w:r>
                              <w:rPr>
                                <w:spacing w:val="-2"/>
                                <w:sz w:val="21"/>
                              </w:rPr>
                              <w:t>Weighted</w:t>
                            </w:r>
                          </w:p>
                        </w:tc>
                        <w:tc>
                          <w:tcPr>
                            <w:tcW w:w="1615" w:type="dxa"/>
                            <w:tcBorders>
                              <w:top w:val="single" w:sz="18" w:space="0" w:color="800000"/>
                            </w:tcBorders>
                          </w:tcPr>
                          <w:p w:rsidR="003F5784" w14:paraId="7C3723CD" w14:textId="77777777">
                            <w:pPr>
                              <w:pStyle w:val="TableParagraph"/>
                              <w:spacing w:before="9" w:line="223" w:lineRule="exact"/>
                              <w:ind w:right="128"/>
                              <w:rPr>
                                <w:sz w:val="21"/>
                              </w:rPr>
                            </w:pPr>
                            <w:r>
                              <w:rPr>
                                <w:spacing w:val="-2"/>
                                <w:sz w:val="21"/>
                              </w:rPr>
                              <w:t>Weighted</w:t>
                            </w:r>
                          </w:p>
                        </w:tc>
                        <w:tc>
                          <w:tcPr>
                            <w:tcW w:w="1605" w:type="dxa"/>
                            <w:tcBorders>
                              <w:top w:val="single" w:sz="18" w:space="0" w:color="800000"/>
                            </w:tcBorders>
                          </w:tcPr>
                          <w:p w:rsidR="003F5784" w14:paraId="6A656136" w14:textId="77777777">
                            <w:pPr>
                              <w:pStyle w:val="TableParagraph"/>
                              <w:spacing w:before="9" w:line="223" w:lineRule="exact"/>
                              <w:ind w:right="120"/>
                              <w:rPr>
                                <w:sz w:val="21"/>
                              </w:rPr>
                            </w:pPr>
                            <w:r>
                              <w:rPr>
                                <w:spacing w:val="-2"/>
                                <w:sz w:val="21"/>
                              </w:rPr>
                              <w:t>Weighted</w:t>
                            </w:r>
                          </w:p>
                        </w:tc>
                      </w:tr>
                      <w:tr w14:paraId="6C4B1317" w14:textId="77777777">
                        <w:tblPrEx>
                          <w:tblW w:w="0" w:type="auto"/>
                          <w:tblInd w:w="67" w:type="dxa"/>
                          <w:tblLayout w:type="fixed"/>
                          <w:tblCellMar>
                            <w:left w:w="0" w:type="dxa"/>
                            <w:right w:w="0" w:type="dxa"/>
                          </w:tblCellMar>
                          <w:tblLook w:val="01E0"/>
                        </w:tblPrEx>
                        <w:trPr>
                          <w:trHeight w:val="234"/>
                        </w:trPr>
                        <w:tc>
                          <w:tcPr>
                            <w:tcW w:w="1332" w:type="dxa"/>
                          </w:tcPr>
                          <w:p w:rsidR="003F5784" w14:paraId="52EEDF8C" w14:textId="77777777">
                            <w:pPr>
                              <w:pStyle w:val="TableParagraph"/>
                              <w:spacing w:before="0" w:line="215" w:lineRule="exact"/>
                              <w:ind w:right="127"/>
                              <w:rPr>
                                <w:sz w:val="21"/>
                              </w:rPr>
                            </w:pPr>
                            <w:r>
                              <w:rPr>
                                <w:spacing w:val="-2"/>
                                <w:sz w:val="21"/>
                              </w:rPr>
                              <w:t>student</w:t>
                            </w:r>
                          </w:p>
                        </w:tc>
                        <w:tc>
                          <w:tcPr>
                            <w:tcW w:w="1614" w:type="dxa"/>
                          </w:tcPr>
                          <w:p w:rsidR="003F5784" w14:paraId="3102EEA1" w14:textId="77777777">
                            <w:pPr>
                              <w:pStyle w:val="TableParagraph"/>
                              <w:spacing w:before="0" w:line="215" w:lineRule="exact"/>
                              <w:ind w:right="126"/>
                              <w:rPr>
                                <w:sz w:val="21"/>
                              </w:rPr>
                            </w:pPr>
                            <w:r>
                              <w:rPr>
                                <w:sz w:val="21"/>
                              </w:rPr>
                              <w:t>percentage</w:t>
                            </w:r>
                            <w:r>
                              <w:rPr>
                                <w:spacing w:val="-11"/>
                                <w:sz w:val="21"/>
                              </w:rPr>
                              <w:t xml:space="preserve"> </w:t>
                            </w:r>
                            <w:r>
                              <w:rPr>
                                <w:spacing w:val="-5"/>
                                <w:sz w:val="21"/>
                              </w:rPr>
                              <w:t>of</w:t>
                            </w:r>
                          </w:p>
                        </w:tc>
                        <w:tc>
                          <w:tcPr>
                            <w:tcW w:w="1747" w:type="dxa"/>
                          </w:tcPr>
                          <w:p w:rsidR="003F5784" w14:paraId="58895820" w14:textId="77777777">
                            <w:pPr>
                              <w:pStyle w:val="TableParagraph"/>
                              <w:spacing w:before="0" w:line="215" w:lineRule="exact"/>
                              <w:ind w:right="261"/>
                              <w:rPr>
                                <w:sz w:val="21"/>
                              </w:rPr>
                            </w:pPr>
                            <w:r>
                              <w:rPr>
                                <w:sz w:val="21"/>
                              </w:rPr>
                              <w:t>percentage</w:t>
                            </w:r>
                            <w:r>
                              <w:rPr>
                                <w:spacing w:val="-11"/>
                                <w:sz w:val="21"/>
                              </w:rPr>
                              <w:t xml:space="preserve"> </w:t>
                            </w:r>
                            <w:r>
                              <w:rPr>
                                <w:spacing w:val="-5"/>
                                <w:sz w:val="21"/>
                              </w:rPr>
                              <w:t>of</w:t>
                            </w:r>
                          </w:p>
                        </w:tc>
                        <w:tc>
                          <w:tcPr>
                            <w:tcW w:w="1187" w:type="dxa"/>
                          </w:tcPr>
                          <w:p w:rsidR="003F5784" w14:paraId="2806A1F6" w14:textId="77777777">
                            <w:pPr>
                              <w:pStyle w:val="TableParagraph"/>
                              <w:spacing w:before="0" w:line="215" w:lineRule="exact"/>
                              <w:ind w:right="128"/>
                              <w:rPr>
                                <w:sz w:val="21"/>
                              </w:rPr>
                            </w:pPr>
                            <w:r>
                              <w:rPr>
                                <w:spacing w:val="-2"/>
                                <w:sz w:val="21"/>
                              </w:rPr>
                              <w:t>student</w:t>
                            </w:r>
                          </w:p>
                        </w:tc>
                        <w:tc>
                          <w:tcPr>
                            <w:tcW w:w="1615" w:type="dxa"/>
                          </w:tcPr>
                          <w:p w:rsidR="003F5784" w14:paraId="21802825" w14:textId="77777777">
                            <w:pPr>
                              <w:pStyle w:val="TableParagraph"/>
                              <w:spacing w:before="0" w:line="215" w:lineRule="exact"/>
                              <w:ind w:right="128"/>
                              <w:rPr>
                                <w:sz w:val="21"/>
                              </w:rPr>
                            </w:pPr>
                            <w:r>
                              <w:rPr>
                                <w:sz w:val="21"/>
                              </w:rPr>
                              <w:t>percentage</w:t>
                            </w:r>
                            <w:r>
                              <w:rPr>
                                <w:spacing w:val="-11"/>
                                <w:sz w:val="21"/>
                              </w:rPr>
                              <w:t xml:space="preserve"> </w:t>
                            </w:r>
                            <w:r>
                              <w:rPr>
                                <w:spacing w:val="-5"/>
                                <w:sz w:val="21"/>
                              </w:rPr>
                              <w:t>of</w:t>
                            </w:r>
                          </w:p>
                        </w:tc>
                        <w:tc>
                          <w:tcPr>
                            <w:tcW w:w="1605" w:type="dxa"/>
                          </w:tcPr>
                          <w:p w:rsidR="003F5784" w14:paraId="4C90DBBF" w14:textId="77777777">
                            <w:pPr>
                              <w:pStyle w:val="TableParagraph"/>
                              <w:spacing w:before="0" w:line="215" w:lineRule="exact"/>
                              <w:ind w:right="120"/>
                              <w:rPr>
                                <w:sz w:val="21"/>
                              </w:rPr>
                            </w:pPr>
                            <w:r>
                              <w:rPr>
                                <w:sz w:val="21"/>
                              </w:rPr>
                              <w:t>percentage</w:t>
                            </w:r>
                            <w:r>
                              <w:rPr>
                                <w:spacing w:val="-11"/>
                                <w:sz w:val="21"/>
                              </w:rPr>
                              <w:t xml:space="preserve"> </w:t>
                            </w:r>
                            <w:r>
                              <w:rPr>
                                <w:spacing w:val="-5"/>
                                <w:sz w:val="21"/>
                              </w:rPr>
                              <w:t>of</w:t>
                            </w:r>
                          </w:p>
                        </w:tc>
                      </w:tr>
                      <w:tr w14:paraId="0BCADF17" w14:textId="77777777">
                        <w:tblPrEx>
                          <w:tblW w:w="0" w:type="auto"/>
                          <w:tblInd w:w="67" w:type="dxa"/>
                          <w:tblLayout w:type="fixed"/>
                          <w:tblCellMar>
                            <w:left w:w="0" w:type="dxa"/>
                            <w:right w:w="0" w:type="dxa"/>
                          </w:tblCellMar>
                          <w:tblLook w:val="01E0"/>
                        </w:tblPrEx>
                        <w:trPr>
                          <w:trHeight w:val="234"/>
                        </w:trPr>
                        <w:tc>
                          <w:tcPr>
                            <w:tcW w:w="1332" w:type="dxa"/>
                          </w:tcPr>
                          <w:p w:rsidR="003F5784" w14:paraId="172837FE" w14:textId="77777777">
                            <w:pPr>
                              <w:pStyle w:val="TableParagraph"/>
                              <w:spacing w:before="0" w:line="215" w:lineRule="exact"/>
                              <w:ind w:right="127"/>
                              <w:rPr>
                                <w:sz w:val="21"/>
                              </w:rPr>
                            </w:pPr>
                            <w:r>
                              <w:rPr>
                                <w:spacing w:val="-2"/>
                                <w:sz w:val="21"/>
                              </w:rPr>
                              <w:t>response</w:t>
                            </w:r>
                          </w:p>
                        </w:tc>
                        <w:tc>
                          <w:tcPr>
                            <w:tcW w:w="1614" w:type="dxa"/>
                          </w:tcPr>
                          <w:p w:rsidR="003F5784" w14:paraId="7CF8CEA1" w14:textId="77777777">
                            <w:pPr>
                              <w:pStyle w:val="TableParagraph"/>
                              <w:spacing w:before="0" w:line="215" w:lineRule="exact"/>
                              <w:ind w:right="128"/>
                              <w:rPr>
                                <w:sz w:val="21"/>
                              </w:rPr>
                            </w:pPr>
                            <w:r>
                              <w:rPr>
                                <w:sz w:val="21"/>
                              </w:rPr>
                              <w:t>all</w:t>
                            </w:r>
                            <w:r>
                              <w:rPr>
                                <w:spacing w:val="-6"/>
                                <w:sz w:val="21"/>
                              </w:rPr>
                              <w:t xml:space="preserve"> </w:t>
                            </w:r>
                            <w:r>
                              <w:rPr>
                                <w:sz w:val="21"/>
                              </w:rPr>
                              <w:t>students</w:t>
                            </w:r>
                            <w:r>
                              <w:rPr>
                                <w:spacing w:val="-5"/>
                                <w:sz w:val="21"/>
                              </w:rPr>
                              <w:t xml:space="preserve"> who</w:t>
                            </w:r>
                          </w:p>
                        </w:tc>
                        <w:tc>
                          <w:tcPr>
                            <w:tcW w:w="1747" w:type="dxa"/>
                          </w:tcPr>
                          <w:p w:rsidR="003F5784" w14:paraId="701C0201" w14:textId="77777777">
                            <w:pPr>
                              <w:pStyle w:val="TableParagraph"/>
                              <w:spacing w:before="0" w:line="215" w:lineRule="exact"/>
                              <w:ind w:right="261"/>
                              <w:rPr>
                                <w:sz w:val="21"/>
                              </w:rPr>
                            </w:pPr>
                            <w:r>
                              <w:rPr>
                                <w:sz w:val="21"/>
                              </w:rPr>
                              <w:t>all</w:t>
                            </w:r>
                            <w:r>
                              <w:rPr>
                                <w:spacing w:val="-6"/>
                                <w:sz w:val="21"/>
                              </w:rPr>
                              <w:t xml:space="preserve"> </w:t>
                            </w:r>
                            <w:r>
                              <w:rPr>
                                <w:sz w:val="21"/>
                              </w:rPr>
                              <w:t>students</w:t>
                            </w:r>
                            <w:r>
                              <w:rPr>
                                <w:spacing w:val="-5"/>
                                <w:sz w:val="21"/>
                              </w:rPr>
                              <w:t xml:space="preserve"> who</w:t>
                            </w:r>
                          </w:p>
                        </w:tc>
                        <w:tc>
                          <w:tcPr>
                            <w:tcW w:w="1187" w:type="dxa"/>
                          </w:tcPr>
                          <w:p w:rsidR="003F5784" w14:paraId="7D85C297" w14:textId="77777777">
                            <w:pPr>
                              <w:pStyle w:val="TableParagraph"/>
                              <w:spacing w:before="0" w:line="215" w:lineRule="exact"/>
                              <w:ind w:right="128"/>
                              <w:rPr>
                                <w:sz w:val="21"/>
                              </w:rPr>
                            </w:pPr>
                            <w:r>
                              <w:rPr>
                                <w:spacing w:val="-2"/>
                                <w:sz w:val="21"/>
                              </w:rPr>
                              <w:t>response</w:t>
                            </w:r>
                          </w:p>
                        </w:tc>
                        <w:tc>
                          <w:tcPr>
                            <w:tcW w:w="1615" w:type="dxa"/>
                          </w:tcPr>
                          <w:p w:rsidR="003F5784" w14:paraId="0F872028" w14:textId="77777777">
                            <w:pPr>
                              <w:pStyle w:val="TableParagraph"/>
                              <w:spacing w:before="0" w:line="215" w:lineRule="exact"/>
                              <w:ind w:right="128"/>
                              <w:rPr>
                                <w:sz w:val="21"/>
                              </w:rPr>
                            </w:pPr>
                            <w:r>
                              <w:rPr>
                                <w:sz w:val="21"/>
                              </w:rPr>
                              <w:t>all</w:t>
                            </w:r>
                            <w:r>
                              <w:rPr>
                                <w:spacing w:val="-6"/>
                                <w:sz w:val="21"/>
                              </w:rPr>
                              <w:t xml:space="preserve"> </w:t>
                            </w:r>
                            <w:r>
                              <w:rPr>
                                <w:sz w:val="21"/>
                              </w:rPr>
                              <w:t>students</w:t>
                            </w:r>
                            <w:r>
                              <w:rPr>
                                <w:spacing w:val="-5"/>
                                <w:sz w:val="21"/>
                              </w:rPr>
                              <w:t xml:space="preserve"> who</w:t>
                            </w:r>
                          </w:p>
                        </w:tc>
                        <w:tc>
                          <w:tcPr>
                            <w:tcW w:w="1605" w:type="dxa"/>
                          </w:tcPr>
                          <w:p w:rsidR="003F5784" w14:paraId="4DE95767" w14:textId="77777777">
                            <w:pPr>
                              <w:pStyle w:val="TableParagraph"/>
                              <w:spacing w:before="0" w:line="215" w:lineRule="exact"/>
                              <w:ind w:right="120"/>
                              <w:rPr>
                                <w:sz w:val="21"/>
                              </w:rPr>
                            </w:pPr>
                            <w:r>
                              <w:rPr>
                                <w:sz w:val="21"/>
                              </w:rPr>
                              <w:t>all</w:t>
                            </w:r>
                            <w:r>
                              <w:rPr>
                                <w:spacing w:val="-6"/>
                                <w:sz w:val="21"/>
                              </w:rPr>
                              <w:t xml:space="preserve"> </w:t>
                            </w:r>
                            <w:r>
                              <w:rPr>
                                <w:sz w:val="21"/>
                              </w:rPr>
                              <w:t>students</w:t>
                            </w:r>
                            <w:r>
                              <w:rPr>
                                <w:spacing w:val="-5"/>
                                <w:sz w:val="21"/>
                              </w:rPr>
                              <w:t xml:space="preserve"> who</w:t>
                            </w:r>
                          </w:p>
                        </w:tc>
                      </w:tr>
                      <w:tr w14:paraId="5E6D57E4" w14:textId="77777777">
                        <w:tblPrEx>
                          <w:tblW w:w="0" w:type="auto"/>
                          <w:tblInd w:w="67" w:type="dxa"/>
                          <w:tblLayout w:type="fixed"/>
                          <w:tblCellMar>
                            <w:left w:w="0" w:type="dxa"/>
                            <w:right w:w="0" w:type="dxa"/>
                          </w:tblCellMar>
                          <w:tblLook w:val="01E0"/>
                        </w:tblPrEx>
                        <w:trPr>
                          <w:trHeight w:val="234"/>
                        </w:trPr>
                        <w:tc>
                          <w:tcPr>
                            <w:tcW w:w="1332" w:type="dxa"/>
                          </w:tcPr>
                          <w:p w:rsidR="003F5784" w14:paraId="00DD3293" w14:textId="77777777">
                            <w:pPr>
                              <w:pStyle w:val="TableParagraph"/>
                              <w:spacing w:before="0" w:line="215" w:lineRule="exact"/>
                              <w:ind w:right="127"/>
                              <w:rPr>
                                <w:sz w:val="21"/>
                              </w:rPr>
                            </w:pPr>
                            <w:r>
                              <w:rPr>
                                <w:spacing w:val="-2"/>
                                <w:sz w:val="21"/>
                              </w:rPr>
                              <w:t>rates</w:t>
                            </w:r>
                          </w:p>
                        </w:tc>
                        <w:tc>
                          <w:tcPr>
                            <w:tcW w:w="1614" w:type="dxa"/>
                          </w:tcPr>
                          <w:p w:rsidR="003F5784" w14:paraId="40E9F43D" w14:textId="77777777">
                            <w:pPr>
                              <w:pStyle w:val="TableParagraph"/>
                              <w:spacing w:before="0" w:line="215" w:lineRule="exact"/>
                              <w:ind w:right="126"/>
                              <w:rPr>
                                <w:sz w:val="21"/>
                              </w:rPr>
                            </w:pPr>
                            <w:r>
                              <w:rPr>
                                <w:sz w:val="21"/>
                              </w:rPr>
                              <w:t>were</w:t>
                            </w:r>
                            <w:r>
                              <w:rPr>
                                <w:spacing w:val="-5"/>
                                <w:sz w:val="21"/>
                              </w:rPr>
                              <w:t xml:space="preserve"> </w:t>
                            </w:r>
                            <w:r>
                              <w:rPr>
                                <w:sz w:val="21"/>
                              </w:rPr>
                              <w:t>SD</w:t>
                            </w:r>
                            <w:r>
                              <w:rPr>
                                <w:spacing w:val="-4"/>
                                <w:sz w:val="21"/>
                              </w:rPr>
                              <w:t xml:space="preserve"> </w:t>
                            </w:r>
                            <w:r>
                              <w:rPr>
                                <w:spacing w:val="-5"/>
                                <w:sz w:val="21"/>
                              </w:rPr>
                              <w:t>and</w:t>
                            </w:r>
                          </w:p>
                        </w:tc>
                        <w:tc>
                          <w:tcPr>
                            <w:tcW w:w="1747" w:type="dxa"/>
                          </w:tcPr>
                          <w:p w:rsidR="003F5784" w14:paraId="6A4BA2E6" w14:textId="77777777">
                            <w:pPr>
                              <w:pStyle w:val="TableParagraph"/>
                              <w:spacing w:before="0" w:line="215" w:lineRule="exact"/>
                              <w:ind w:right="261"/>
                              <w:rPr>
                                <w:sz w:val="21"/>
                              </w:rPr>
                            </w:pPr>
                            <w:r>
                              <w:rPr>
                                <w:sz w:val="21"/>
                              </w:rPr>
                              <w:t>were</w:t>
                            </w:r>
                            <w:r>
                              <w:rPr>
                                <w:spacing w:val="-5"/>
                                <w:sz w:val="21"/>
                              </w:rPr>
                              <w:t xml:space="preserve"> </w:t>
                            </w:r>
                            <w:r>
                              <w:rPr>
                                <w:sz w:val="21"/>
                              </w:rPr>
                              <w:t>EL</w:t>
                            </w:r>
                            <w:r>
                              <w:rPr>
                                <w:spacing w:val="-12"/>
                                <w:sz w:val="21"/>
                              </w:rPr>
                              <w:t xml:space="preserve"> </w:t>
                            </w:r>
                            <w:r>
                              <w:rPr>
                                <w:spacing w:val="-5"/>
                                <w:sz w:val="21"/>
                              </w:rPr>
                              <w:t>and</w:t>
                            </w:r>
                          </w:p>
                        </w:tc>
                        <w:tc>
                          <w:tcPr>
                            <w:tcW w:w="1187" w:type="dxa"/>
                          </w:tcPr>
                          <w:p w:rsidR="003F5784" w14:paraId="72B53595" w14:textId="77777777">
                            <w:pPr>
                              <w:pStyle w:val="TableParagraph"/>
                              <w:spacing w:before="0" w:line="215" w:lineRule="exact"/>
                              <w:ind w:right="128"/>
                              <w:rPr>
                                <w:sz w:val="21"/>
                              </w:rPr>
                            </w:pPr>
                            <w:r>
                              <w:rPr>
                                <w:spacing w:val="-2"/>
                                <w:sz w:val="21"/>
                              </w:rPr>
                              <w:t>rates</w:t>
                            </w:r>
                          </w:p>
                        </w:tc>
                        <w:tc>
                          <w:tcPr>
                            <w:tcW w:w="1615" w:type="dxa"/>
                          </w:tcPr>
                          <w:p w:rsidR="003F5784" w14:paraId="2CD581C7" w14:textId="77777777">
                            <w:pPr>
                              <w:pStyle w:val="TableParagraph"/>
                              <w:spacing w:before="0" w:line="215" w:lineRule="exact"/>
                              <w:ind w:right="128"/>
                              <w:rPr>
                                <w:sz w:val="21"/>
                              </w:rPr>
                            </w:pPr>
                            <w:r>
                              <w:rPr>
                                <w:sz w:val="21"/>
                              </w:rPr>
                              <w:t>were</w:t>
                            </w:r>
                            <w:r>
                              <w:rPr>
                                <w:spacing w:val="-5"/>
                                <w:sz w:val="21"/>
                              </w:rPr>
                              <w:t xml:space="preserve"> </w:t>
                            </w:r>
                            <w:r>
                              <w:rPr>
                                <w:sz w:val="21"/>
                              </w:rPr>
                              <w:t>SD</w:t>
                            </w:r>
                            <w:r>
                              <w:rPr>
                                <w:spacing w:val="-4"/>
                                <w:sz w:val="21"/>
                              </w:rPr>
                              <w:t xml:space="preserve"> </w:t>
                            </w:r>
                            <w:r>
                              <w:rPr>
                                <w:spacing w:val="-5"/>
                                <w:sz w:val="21"/>
                              </w:rPr>
                              <w:t>and</w:t>
                            </w:r>
                          </w:p>
                        </w:tc>
                        <w:tc>
                          <w:tcPr>
                            <w:tcW w:w="1605" w:type="dxa"/>
                          </w:tcPr>
                          <w:p w:rsidR="003F5784" w14:paraId="15E07175" w14:textId="77777777">
                            <w:pPr>
                              <w:pStyle w:val="TableParagraph"/>
                              <w:spacing w:before="0" w:line="215" w:lineRule="exact"/>
                              <w:ind w:right="120"/>
                              <w:rPr>
                                <w:sz w:val="21"/>
                              </w:rPr>
                            </w:pPr>
                            <w:r>
                              <w:rPr>
                                <w:sz w:val="21"/>
                              </w:rPr>
                              <w:t>were</w:t>
                            </w:r>
                            <w:r>
                              <w:rPr>
                                <w:spacing w:val="-5"/>
                                <w:sz w:val="21"/>
                              </w:rPr>
                              <w:t xml:space="preserve"> </w:t>
                            </w:r>
                            <w:r>
                              <w:rPr>
                                <w:sz w:val="21"/>
                              </w:rPr>
                              <w:t>EL</w:t>
                            </w:r>
                            <w:r>
                              <w:rPr>
                                <w:spacing w:val="-12"/>
                                <w:sz w:val="21"/>
                              </w:rPr>
                              <w:t xml:space="preserve"> </w:t>
                            </w:r>
                            <w:r>
                              <w:rPr>
                                <w:spacing w:val="-5"/>
                                <w:sz w:val="21"/>
                              </w:rPr>
                              <w:t>and</w:t>
                            </w:r>
                          </w:p>
                        </w:tc>
                      </w:tr>
                      <w:tr w14:paraId="5C1EEA90" w14:textId="77777777">
                        <w:tblPrEx>
                          <w:tblW w:w="0" w:type="auto"/>
                          <w:tblInd w:w="67" w:type="dxa"/>
                          <w:tblLayout w:type="fixed"/>
                          <w:tblCellMar>
                            <w:left w:w="0" w:type="dxa"/>
                            <w:right w:w="0" w:type="dxa"/>
                          </w:tblCellMar>
                          <w:tblLook w:val="01E0"/>
                        </w:tblPrEx>
                        <w:trPr>
                          <w:trHeight w:val="232"/>
                        </w:trPr>
                        <w:tc>
                          <w:tcPr>
                            <w:tcW w:w="1332" w:type="dxa"/>
                          </w:tcPr>
                          <w:p w:rsidR="003F5784" w14:paraId="23D19D1F" w14:textId="77777777">
                            <w:pPr>
                              <w:pStyle w:val="TableParagraph"/>
                              <w:spacing w:before="0" w:line="213" w:lineRule="exact"/>
                              <w:ind w:right="127"/>
                              <w:rPr>
                                <w:sz w:val="21"/>
                              </w:rPr>
                            </w:pPr>
                            <w:r>
                              <w:rPr>
                                <w:spacing w:val="-2"/>
                                <w:sz w:val="21"/>
                              </w:rPr>
                              <w:t>(percent)</w:t>
                            </w:r>
                          </w:p>
                        </w:tc>
                        <w:tc>
                          <w:tcPr>
                            <w:tcW w:w="1614" w:type="dxa"/>
                          </w:tcPr>
                          <w:p w:rsidR="003F5784" w14:paraId="3B857931" w14:textId="77777777">
                            <w:pPr>
                              <w:pStyle w:val="TableParagraph"/>
                              <w:spacing w:before="0" w:line="213" w:lineRule="exact"/>
                              <w:ind w:right="126"/>
                              <w:rPr>
                                <w:sz w:val="21"/>
                              </w:rPr>
                            </w:pPr>
                            <w:r>
                              <w:rPr>
                                <w:spacing w:val="-2"/>
                                <w:sz w:val="21"/>
                              </w:rPr>
                              <w:t>excluded</w:t>
                            </w:r>
                          </w:p>
                        </w:tc>
                        <w:tc>
                          <w:tcPr>
                            <w:tcW w:w="1747" w:type="dxa"/>
                          </w:tcPr>
                          <w:p w:rsidR="003F5784" w14:paraId="0A8718DB" w14:textId="77777777">
                            <w:pPr>
                              <w:pStyle w:val="TableParagraph"/>
                              <w:spacing w:before="0" w:line="213" w:lineRule="exact"/>
                              <w:ind w:right="261"/>
                              <w:rPr>
                                <w:sz w:val="21"/>
                              </w:rPr>
                            </w:pPr>
                            <w:r>
                              <w:rPr>
                                <w:spacing w:val="-2"/>
                                <w:sz w:val="21"/>
                              </w:rPr>
                              <w:t>excluded</w:t>
                            </w:r>
                          </w:p>
                        </w:tc>
                        <w:tc>
                          <w:tcPr>
                            <w:tcW w:w="1187" w:type="dxa"/>
                          </w:tcPr>
                          <w:p w:rsidR="003F5784" w14:paraId="7BD14B0B" w14:textId="77777777">
                            <w:pPr>
                              <w:pStyle w:val="TableParagraph"/>
                              <w:spacing w:before="0" w:line="213" w:lineRule="exact"/>
                              <w:ind w:right="128"/>
                              <w:rPr>
                                <w:sz w:val="21"/>
                              </w:rPr>
                            </w:pPr>
                            <w:r>
                              <w:rPr>
                                <w:spacing w:val="-2"/>
                                <w:sz w:val="21"/>
                              </w:rPr>
                              <w:t>(percent)</w:t>
                            </w:r>
                          </w:p>
                        </w:tc>
                        <w:tc>
                          <w:tcPr>
                            <w:tcW w:w="1615" w:type="dxa"/>
                          </w:tcPr>
                          <w:p w:rsidR="003F5784" w14:paraId="2738DBC2" w14:textId="77777777">
                            <w:pPr>
                              <w:pStyle w:val="TableParagraph"/>
                              <w:spacing w:before="0" w:line="213" w:lineRule="exact"/>
                              <w:ind w:right="128"/>
                              <w:rPr>
                                <w:sz w:val="21"/>
                              </w:rPr>
                            </w:pPr>
                            <w:r>
                              <w:rPr>
                                <w:spacing w:val="-2"/>
                                <w:sz w:val="21"/>
                              </w:rPr>
                              <w:t>excluded</w:t>
                            </w:r>
                          </w:p>
                        </w:tc>
                        <w:tc>
                          <w:tcPr>
                            <w:tcW w:w="1605" w:type="dxa"/>
                          </w:tcPr>
                          <w:p w:rsidR="003F5784" w14:paraId="4B537792" w14:textId="77777777">
                            <w:pPr>
                              <w:pStyle w:val="TableParagraph"/>
                              <w:spacing w:before="0" w:line="213" w:lineRule="exact"/>
                              <w:ind w:right="120"/>
                              <w:rPr>
                                <w:sz w:val="21"/>
                              </w:rPr>
                            </w:pPr>
                            <w:r>
                              <w:rPr>
                                <w:spacing w:val="-2"/>
                                <w:sz w:val="21"/>
                              </w:rPr>
                              <w:t>excluded</w:t>
                            </w:r>
                          </w:p>
                        </w:tc>
                      </w:tr>
                    </w:tbl>
                    <w:p w:rsidR="003F5784" w14:paraId="29197DF1" w14:textId="77777777">
                      <w:pPr>
                        <w:pStyle w:val="BodyText"/>
                      </w:pPr>
                    </w:p>
                  </w:txbxContent>
                </v:textbox>
              </v:shape>
            </w:pict>
          </mc:Fallback>
        </mc:AlternateContent>
      </w:r>
      <w:r>
        <w:rPr>
          <w:spacing w:val="-2"/>
        </w:rPr>
        <w:t>Jurisdiction</w:t>
      </w:r>
    </w:p>
    <w:tbl>
      <w:tblPr>
        <w:tblW w:w="0" w:type="auto"/>
        <w:tblInd w:w="482" w:type="dxa"/>
        <w:tblLayout w:type="fixed"/>
        <w:tblCellMar>
          <w:left w:w="0" w:type="dxa"/>
          <w:right w:w="0" w:type="dxa"/>
        </w:tblCellMar>
        <w:tblLook w:val="01E0"/>
      </w:tblPr>
      <w:tblGrid>
        <w:gridCol w:w="4243"/>
        <w:gridCol w:w="1935"/>
        <w:gridCol w:w="1614"/>
        <w:gridCol w:w="1806"/>
        <w:gridCol w:w="1170"/>
        <w:gridCol w:w="1614"/>
        <w:gridCol w:w="1536"/>
      </w:tblGrid>
      <w:tr w14:paraId="04569FE9" w14:textId="77777777" w:rsidTr="00E3225D">
        <w:tblPrEx>
          <w:tblW w:w="0" w:type="auto"/>
          <w:tblInd w:w="482" w:type="dxa"/>
          <w:tblLayout w:type="fixed"/>
          <w:tblCellMar>
            <w:left w:w="0" w:type="dxa"/>
            <w:right w:w="0" w:type="dxa"/>
          </w:tblCellMar>
          <w:tblLook w:val="01E0"/>
        </w:tblPrEx>
        <w:trPr>
          <w:trHeight w:val="278"/>
        </w:trPr>
        <w:tc>
          <w:tcPr>
            <w:tcW w:w="4243" w:type="dxa"/>
            <w:tcBorders>
              <w:top w:val="single" w:sz="18" w:space="0" w:color="800000"/>
            </w:tcBorders>
          </w:tcPr>
          <w:p w:rsidR="003F5784" w14:paraId="1152616A" w14:textId="77777777">
            <w:pPr>
              <w:pStyle w:val="TableParagraph"/>
              <w:spacing w:before="9"/>
              <w:ind w:left="120"/>
              <w:jc w:val="left"/>
              <w:rPr>
                <w:sz w:val="21"/>
              </w:rPr>
            </w:pPr>
            <w:r>
              <w:rPr>
                <w:spacing w:val="-2"/>
                <w:sz w:val="21"/>
              </w:rPr>
              <w:t>Louisiana</w:t>
            </w:r>
          </w:p>
        </w:tc>
        <w:tc>
          <w:tcPr>
            <w:tcW w:w="1935" w:type="dxa"/>
            <w:tcBorders>
              <w:top w:val="single" w:sz="18" w:space="0" w:color="800000"/>
            </w:tcBorders>
          </w:tcPr>
          <w:p w:rsidR="003F5784" w14:paraId="206FC9B2" w14:textId="77777777">
            <w:pPr>
              <w:pStyle w:val="TableParagraph"/>
              <w:spacing w:before="9"/>
              <w:ind w:right="623"/>
              <w:rPr>
                <w:sz w:val="21"/>
              </w:rPr>
            </w:pPr>
            <w:r>
              <w:rPr>
                <w:spacing w:val="-2"/>
                <w:sz w:val="21"/>
              </w:rPr>
              <w:t>92.36</w:t>
            </w:r>
          </w:p>
        </w:tc>
        <w:tc>
          <w:tcPr>
            <w:tcW w:w="1614" w:type="dxa"/>
            <w:tcBorders>
              <w:top w:val="single" w:sz="18" w:space="0" w:color="800000"/>
            </w:tcBorders>
          </w:tcPr>
          <w:p w:rsidR="003F5784" w14:paraId="7B996F40" w14:textId="77777777">
            <w:pPr>
              <w:pStyle w:val="TableParagraph"/>
              <w:spacing w:before="9"/>
              <w:ind w:left="9" w:right="9"/>
              <w:jc w:val="center"/>
              <w:rPr>
                <w:sz w:val="21"/>
              </w:rPr>
            </w:pPr>
            <w:r>
              <w:rPr>
                <w:spacing w:val="-4"/>
                <w:sz w:val="21"/>
              </w:rPr>
              <w:t>1.55</w:t>
            </w:r>
          </w:p>
        </w:tc>
        <w:tc>
          <w:tcPr>
            <w:tcW w:w="1806" w:type="dxa"/>
            <w:tcBorders>
              <w:top w:val="single" w:sz="18" w:space="0" w:color="800000"/>
            </w:tcBorders>
          </w:tcPr>
          <w:p w:rsidR="003F5784" w14:paraId="484DF64A" w14:textId="77777777">
            <w:pPr>
              <w:pStyle w:val="TableParagraph"/>
              <w:spacing w:before="9"/>
              <w:ind w:right="423"/>
              <w:rPr>
                <w:sz w:val="21"/>
              </w:rPr>
            </w:pPr>
            <w:r>
              <w:rPr>
                <w:spacing w:val="-4"/>
                <w:sz w:val="21"/>
              </w:rPr>
              <w:t>0.06</w:t>
            </w:r>
          </w:p>
        </w:tc>
        <w:tc>
          <w:tcPr>
            <w:tcW w:w="1170" w:type="dxa"/>
            <w:tcBorders>
              <w:top w:val="single" w:sz="18" w:space="0" w:color="800000"/>
            </w:tcBorders>
          </w:tcPr>
          <w:p w:rsidR="003F5784" w14:paraId="71EE6174" w14:textId="77777777">
            <w:pPr>
              <w:pStyle w:val="TableParagraph"/>
              <w:spacing w:before="9"/>
              <w:ind w:right="199"/>
              <w:jc w:val="center"/>
              <w:rPr>
                <w:sz w:val="21"/>
              </w:rPr>
            </w:pPr>
            <w:r>
              <w:rPr>
                <w:spacing w:val="-2"/>
                <w:sz w:val="21"/>
              </w:rPr>
              <w:t>89.70</w:t>
            </w:r>
          </w:p>
        </w:tc>
        <w:tc>
          <w:tcPr>
            <w:tcW w:w="1614" w:type="dxa"/>
            <w:tcBorders>
              <w:top w:val="single" w:sz="18" w:space="0" w:color="800000"/>
            </w:tcBorders>
          </w:tcPr>
          <w:p w:rsidR="003F5784" w14:paraId="611D808C" w14:textId="77777777">
            <w:pPr>
              <w:pStyle w:val="TableParagraph"/>
              <w:spacing w:before="9"/>
              <w:ind w:left="9" w:right="9"/>
              <w:jc w:val="center"/>
              <w:rPr>
                <w:sz w:val="21"/>
              </w:rPr>
            </w:pPr>
            <w:r>
              <w:rPr>
                <w:spacing w:val="-4"/>
                <w:sz w:val="21"/>
              </w:rPr>
              <w:t>1.91</w:t>
            </w:r>
          </w:p>
        </w:tc>
        <w:tc>
          <w:tcPr>
            <w:tcW w:w="1536" w:type="dxa"/>
            <w:tcBorders>
              <w:top w:val="single" w:sz="18" w:space="0" w:color="800000"/>
            </w:tcBorders>
          </w:tcPr>
          <w:p w:rsidR="003F5784" w14:paraId="43D959CB" w14:textId="77777777">
            <w:pPr>
              <w:pStyle w:val="TableParagraph"/>
              <w:spacing w:before="9"/>
              <w:ind w:right="117"/>
              <w:rPr>
                <w:sz w:val="21"/>
              </w:rPr>
            </w:pPr>
            <w:r>
              <w:rPr>
                <w:spacing w:val="-4"/>
                <w:sz w:val="21"/>
              </w:rPr>
              <w:t>0.36</w:t>
            </w:r>
          </w:p>
        </w:tc>
      </w:tr>
      <w:tr w14:paraId="6B72E8E2"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0A4154FC" w14:textId="77777777">
            <w:pPr>
              <w:pStyle w:val="TableParagraph"/>
              <w:ind w:left="120"/>
              <w:jc w:val="left"/>
              <w:rPr>
                <w:sz w:val="21"/>
              </w:rPr>
            </w:pPr>
            <w:r>
              <w:rPr>
                <w:spacing w:val="-2"/>
                <w:sz w:val="21"/>
              </w:rPr>
              <w:t>Maine</w:t>
            </w:r>
          </w:p>
        </w:tc>
        <w:tc>
          <w:tcPr>
            <w:tcW w:w="1935" w:type="dxa"/>
          </w:tcPr>
          <w:p w:rsidR="003F5784" w14:paraId="076608E3" w14:textId="77777777">
            <w:pPr>
              <w:pStyle w:val="TableParagraph"/>
              <w:ind w:right="623"/>
              <w:rPr>
                <w:sz w:val="21"/>
              </w:rPr>
            </w:pPr>
            <w:r>
              <w:rPr>
                <w:spacing w:val="-2"/>
                <w:sz w:val="21"/>
              </w:rPr>
              <w:t>90.46</w:t>
            </w:r>
          </w:p>
        </w:tc>
        <w:tc>
          <w:tcPr>
            <w:tcW w:w="1614" w:type="dxa"/>
          </w:tcPr>
          <w:p w:rsidR="003F5784" w14:paraId="706FAEEC" w14:textId="77777777">
            <w:pPr>
              <w:pStyle w:val="TableParagraph"/>
              <w:ind w:left="9" w:right="9"/>
              <w:jc w:val="center"/>
              <w:rPr>
                <w:sz w:val="21"/>
              </w:rPr>
            </w:pPr>
            <w:r>
              <w:rPr>
                <w:spacing w:val="-4"/>
                <w:sz w:val="21"/>
              </w:rPr>
              <w:t>1.37</w:t>
            </w:r>
          </w:p>
        </w:tc>
        <w:tc>
          <w:tcPr>
            <w:tcW w:w="1806" w:type="dxa"/>
          </w:tcPr>
          <w:p w:rsidR="003F5784" w14:paraId="0796985C" w14:textId="77777777">
            <w:pPr>
              <w:pStyle w:val="TableParagraph"/>
              <w:ind w:right="423"/>
              <w:rPr>
                <w:sz w:val="21"/>
              </w:rPr>
            </w:pPr>
            <w:r>
              <w:rPr>
                <w:spacing w:val="-4"/>
                <w:sz w:val="21"/>
              </w:rPr>
              <w:t>0.29</w:t>
            </w:r>
          </w:p>
        </w:tc>
        <w:tc>
          <w:tcPr>
            <w:tcW w:w="1170" w:type="dxa"/>
          </w:tcPr>
          <w:p w:rsidR="003F5784" w14:paraId="375FC861" w14:textId="77777777">
            <w:pPr>
              <w:pStyle w:val="TableParagraph"/>
              <w:ind w:right="199"/>
              <w:jc w:val="center"/>
              <w:rPr>
                <w:sz w:val="21"/>
              </w:rPr>
            </w:pPr>
            <w:r>
              <w:rPr>
                <w:spacing w:val="-2"/>
                <w:sz w:val="21"/>
              </w:rPr>
              <w:t>86.84</w:t>
            </w:r>
          </w:p>
        </w:tc>
        <w:tc>
          <w:tcPr>
            <w:tcW w:w="1614" w:type="dxa"/>
          </w:tcPr>
          <w:p w:rsidR="003F5784" w14:paraId="70970B99" w14:textId="77777777">
            <w:pPr>
              <w:pStyle w:val="TableParagraph"/>
              <w:ind w:left="9" w:right="9"/>
              <w:jc w:val="center"/>
              <w:rPr>
                <w:sz w:val="21"/>
              </w:rPr>
            </w:pPr>
            <w:r>
              <w:rPr>
                <w:spacing w:val="-4"/>
                <w:sz w:val="21"/>
              </w:rPr>
              <w:t>0.77</w:t>
            </w:r>
          </w:p>
        </w:tc>
        <w:tc>
          <w:tcPr>
            <w:tcW w:w="1536" w:type="dxa"/>
          </w:tcPr>
          <w:p w:rsidR="003F5784" w14:paraId="6DA4EF08" w14:textId="77777777">
            <w:pPr>
              <w:pStyle w:val="TableParagraph"/>
              <w:ind w:right="117"/>
              <w:rPr>
                <w:sz w:val="21"/>
              </w:rPr>
            </w:pPr>
            <w:r>
              <w:rPr>
                <w:spacing w:val="-4"/>
                <w:sz w:val="21"/>
              </w:rPr>
              <w:t>0.27</w:t>
            </w:r>
          </w:p>
        </w:tc>
      </w:tr>
      <w:tr w14:paraId="3AE393F5"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325D245B" w14:textId="77777777">
            <w:pPr>
              <w:pStyle w:val="TableParagraph"/>
              <w:ind w:left="120"/>
              <w:jc w:val="left"/>
              <w:rPr>
                <w:sz w:val="21"/>
              </w:rPr>
            </w:pPr>
            <w:r>
              <w:rPr>
                <w:spacing w:val="-2"/>
                <w:sz w:val="21"/>
              </w:rPr>
              <w:t>Maryland–Baltimore</w:t>
            </w:r>
          </w:p>
        </w:tc>
        <w:tc>
          <w:tcPr>
            <w:tcW w:w="1935" w:type="dxa"/>
          </w:tcPr>
          <w:p w:rsidR="003F5784" w14:paraId="3A489372" w14:textId="77777777">
            <w:pPr>
              <w:pStyle w:val="TableParagraph"/>
              <w:ind w:right="623"/>
              <w:rPr>
                <w:sz w:val="21"/>
              </w:rPr>
            </w:pPr>
            <w:r>
              <w:rPr>
                <w:spacing w:val="-2"/>
                <w:sz w:val="21"/>
              </w:rPr>
              <w:t>89.82</w:t>
            </w:r>
          </w:p>
        </w:tc>
        <w:tc>
          <w:tcPr>
            <w:tcW w:w="1614" w:type="dxa"/>
          </w:tcPr>
          <w:p w:rsidR="003F5784" w14:paraId="0D4D54D5" w14:textId="77777777">
            <w:pPr>
              <w:pStyle w:val="TableParagraph"/>
              <w:ind w:left="9" w:right="9"/>
              <w:jc w:val="center"/>
              <w:rPr>
                <w:sz w:val="21"/>
              </w:rPr>
            </w:pPr>
            <w:r>
              <w:rPr>
                <w:spacing w:val="-4"/>
                <w:sz w:val="21"/>
              </w:rPr>
              <w:t>0.84</w:t>
            </w:r>
          </w:p>
        </w:tc>
        <w:tc>
          <w:tcPr>
            <w:tcW w:w="1806" w:type="dxa"/>
          </w:tcPr>
          <w:p w:rsidR="003F5784" w14:paraId="6ABC2FBD" w14:textId="77777777">
            <w:pPr>
              <w:pStyle w:val="TableParagraph"/>
              <w:ind w:right="423"/>
              <w:rPr>
                <w:sz w:val="21"/>
              </w:rPr>
            </w:pPr>
            <w:r>
              <w:rPr>
                <w:spacing w:val="-4"/>
                <w:sz w:val="21"/>
              </w:rPr>
              <w:t>0.55</w:t>
            </w:r>
          </w:p>
        </w:tc>
        <w:tc>
          <w:tcPr>
            <w:tcW w:w="1170" w:type="dxa"/>
          </w:tcPr>
          <w:p w:rsidR="003F5784" w14:paraId="508066FC" w14:textId="77777777">
            <w:pPr>
              <w:pStyle w:val="TableParagraph"/>
              <w:ind w:right="199"/>
              <w:jc w:val="center"/>
              <w:rPr>
                <w:sz w:val="21"/>
              </w:rPr>
            </w:pPr>
            <w:r>
              <w:rPr>
                <w:spacing w:val="-2"/>
                <w:sz w:val="21"/>
              </w:rPr>
              <w:t>90.04</w:t>
            </w:r>
          </w:p>
        </w:tc>
        <w:tc>
          <w:tcPr>
            <w:tcW w:w="1614" w:type="dxa"/>
          </w:tcPr>
          <w:p w:rsidR="003F5784" w14:paraId="68FBBF04" w14:textId="77777777">
            <w:pPr>
              <w:pStyle w:val="TableParagraph"/>
              <w:ind w:left="9" w:right="9"/>
              <w:jc w:val="center"/>
              <w:rPr>
                <w:sz w:val="21"/>
              </w:rPr>
            </w:pPr>
            <w:r>
              <w:rPr>
                <w:spacing w:val="-4"/>
                <w:sz w:val="21"/>
              </w:rPr>
              <w:t>2.06</w:t>
            </w:r>
          </w:p>
        </w:tc>
        <w:tc>
          <w:tcPr>
            <w:tcW w:w="1536" w:type="dxa"/>
          </w:tcPr>
          <w:p w:rsidR="003F5784" w14:paraId="1CDBE4C1" w14:textId="77777777">
            <w:pPr>
              <w:pStyle w:val="TableParagraph"/>
              <w:ind w:right="117"/>
              <w:rPr>
                <w:sz w:val="21"/>
              </w:rPr>
            </w:pPr>
            <w:r>
              <w:rPr>
                <w:spacing w:val="-4"/>
                <w:sz w:val="21"/>
              </w:rPr>
              <w:t>0.90</w:t>
            </w:r>
          </w:p>
        </w:tc>
      </w:tr>
      <w:tr w14:paraId="75E386EB"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47B001A9" w14:textId="77777777">
            <w:pPr>
              <w:pStyle w:val="TableParagraph"/>
              <w:ind w:left="120"/>
              <w:jc w:val="left"/>
              <w:rPr>
                <w:sz w:val="21"/>
              </w:rPr>
            </w:pPr>
            <w:r>
              <w:rPr>
                <w:spacing w:val="-2"/>
                <w:sz w:val="21"/>
              </w:rPr>
              <w:t>Maryland</w:t>
            </w:r>
          </w:p>
        </w:tc>
        <w:tc>
          <w:tcPr>
            <w:tcW w:w="1935" w:type="dxa"/>
          </w:tcPr>
          <w:p w:rsidR="003F5784" w14:paraId="463C7A33" w14:textId="77777777">
            <w:pPr>
              <w:pStyle w:val="TableParagraph"/>
              <w:ind w:right="623"/>
              <w:rPr>
                <w:sz w:val="21"/>
              </w:rPr>
            </w:pPr>
            <w:r>
              <w:rPr>
                <w:spacing w:val="-2"/>
                <w:sz w:val="21"/>
              </w:rPr>
              <w:t>92.09</w:t>
            </w:r>
          </w:p>
        </w:tc>
        <w:tc>
          <w:tcPr>
            <w:tcW w:w="1614" w:type="dxa"/>
          </w:tcPr>
          <w:p w:rsidR="003F5784" w14:paraId="1928CD26" w14:textId="77777777">
            <w:pPr>
              <w:pStyle w:val="TableParagraph"/>
              <w:ind w:left="9" w:right="9"/>
              <w:jc w:val="center"/>
              <w:rPr>
                <w:sz w:val="21"/>
              </w:rPr>
            </w:pPr>
            <w:r>
              <w:rPr>
                <w:spacing w:val="-4"/>
                <w:sz w:val="21"/>
              </w:rPr>
              <w:t>0.73</w:t>
            </w:r>
          </w:p>
        </w:tc>
        <w:tc>
          <w:tcPr>
            <w:tcW w:w="1806" w:type="dxa"/>
          </w:tcPr>
          <w:p w:rsidR="003F5784" w14:paraId="4D52DD61" w14:textId="77777777">
            <w:pPr>
              <w:pStyle w:val="TableParagraph"/>
              <w:ind w:right="423"/>
              <w:rPr>
                <w:sz w:val="21"/>
              </w:rPr>
            </w:pPr>
            <w:r>
              <w:rPr>
                <w:spacing w:val="-4"/>
                <w:sz w:val="21"/>
              </w:rPr>
              <w:t>0.74</w:t>
            </w:r>
          </w:p>
        </w:tc>
        <w:tc>
          <w:tcPr>
            <w:tcW w:w="1170" w:type="dxa"/>
          </w:tcPr>
          <w:p w:rsidR="003F5784" w14:paraId="7F03C360" w14:textId="77777777">
            <w:pPr>
              <w:pStyle w:val="TableParagraph"/>
              <w:ind w:right="199"/>
              <w:jc w:val="center"/>
              <w:rPr>
                <w:sz w:val="21"/>
              </w:rPr>
            </w:pPr>
            <w:r>
              <w:rPr>
                <w:spacing w:val="-2"/>
                <w:sz w:val="21"/>
              </w:rPr>
              <w:t>89.06</w:t>
            </w:r>
          </w:p>
        </w:tc>
        <w:tc>
          <w:tcPr>
            <w:tcW w:w="1614" w:type="dxa"/>
          </w:tcPr>
          <w:p w:rsidR="003F5784" w14:paraId="4E6B44B7" w14:textId="77777777">
            <w:pPr>
              <w:pStyle w:val="TableParagraph"/>
              <w:ind w:left="9" w:right="9"/>
              <w:jc w:val="center"/>
              <w:rPr>
                <w:sz w:val="21"/>
              </w:rPr>
            </w:pPr>
            <w:r>
              <w:rPr>
                <w:spacing w:val="-4"/>
                <w:sz w:val="21"/>
              </w:rPr>
              <w:t>1.14</w:t>
            </w:r>
          </w:p>
        </w:tc>
        <w:tc>
          <w:tcPr>
            <w:tcW w:w="1536" w:type="dxa"/>
          </w:tcPr>
          <w:p w:rsidR="003F5784" w14:paraId="043810A7" w14:textId="77777777">
            <w:pPr>
              <w:pStyle w:val="TableParagraph"/>
              <w:ind w:right="117"/>
              <w:rPr>
                <w:sz w:val="21"/>
              </w:rPr>
            </w:pPr>
            <w:r>
              <w:rPr>
                <w:spacing w:val="-4"/>
                <w:sz w:val="21"/>
              </w:rPr>
              <w:t>0.93</w:t>
            </w:r>
          </w:p>
        </w:tc>
      </w:tr>
      <w:tr w14:paraId="775754BE"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34BBE4AD" w14:textId="77777777">
            <w:pPr>
              <w:pStyle w:val="TableParagraph"/>
              <w:ind w:left="120"/>
              <w:jc w:val="left"/>
              <w:rPr>
                <w:sz w:val="21"/>
              </w:rPr>
            </w:pPr>
            <w:r>
              <w:rPr>
                <w:spacing w:val="-2"/>
                <w:sz w:val="21"/>
              </w:rPr>
              <w:t>Massachusetts–Boston</w:t>
            </w:r>
          </w:p>
        </w:tc>
        <w:tc>
          <w:tcPr>
            <w:tcW w:w="1935" w:type="dxa"/>
          </w:tcPr>
          <w:p w:rsidR="003F5784" w14:paraId="27408BB4" w14:textId="77777777">
            <w:pPr>
              <w:pStyle w:val="TableParagraph"/>
              <w:ind w:right="623"/>
              <w:rPr>
                <w:sz w:val="21"/>
              </w:rPr>
            </w:pPr>
            <w:r>
              <w:rPr>
                <w:spacing w:val="-2"/>
                <w:sz w:val="21"/>
              </w:rPr>
              <w:t>90.83</w:t>
            </w:r>
          </w:p>
        </w:tc>
        <w:tc>
          <w:tcPr>
            <w:tcW w:w="1614" w:type="dxa"/>
          </w:tcPr>
          <w:p w:rsidR="003F5784" w14:paraId="723C3D79" w14:textId="77777777">
            <w:pPr>
              <w:pStyle w:val="TableParagraph"/>
              <w:ind w:left="9" w:right="9"/>
              <w:jc w:val="center"/>
              <w:rPr>
                <w:sz w:val="21"/>
              </w:rPr>
            </w:pPr>
            <w:r>
              <w:rPr>
                <w:spacing w:val="-4"/>
                <w:sz w:val="21"/>
              </w:rPr>
              <w:t>3.52</w:t>
            </w:r>
          </w:p>
        </w:tc>
        <w:tc>
          <w:tcPr>
            <w:tcW w:w="1806" w:type="dxa"/>
          </w:tcPr>
          <w:p w:rsidR="003F5784" w14:paraId="0C0F36EF" w14:textId="77777777">
            <w:pPr>
              <w:pStyle w:val="TableParagraph"/>
              <w:ind w:right="423"/>
              <w:rPr>
                <w:sz w:val="21"/>
              </w:rPr>
            </w:pPr>
            <w:r>
              <w:rPr>
                <w:spacing w:val="-4"/>
                <w:sz w:val="21"/>
              </w:rPr>
              <w:t>3.86</w:t>
            </w:r>
          </w:p>
        </w:tc>
        <w:tc>
          <w:tcPr>
            <w:tcW w:w="1170" w:type="dxa"/>
          </w:tcPr>
          <w:p w:rsidR="003F5784" w14:paraId="3EBB188F" w14:textId="77777777">
            <w:pPr>
              <w:pStyle w:val="TableParagraph"/>
              <w:ind w:right="199"/>
              <w:jc w:val="center"/>
              <w:rPr>
                <w:sz w:val="21"/>
              </w:rPr>
            </w:pPr>
            <w:r>
              <w:rPr>
                <w:spacing w:val="-2"/>
                <w:sz w:val="21"/>
              </w:rPr>
              <w:t>88.86</w:t>
            </w:r>
          </w:p>
        </w:tc>
        <w:tc>
          <w:tcPr>
            <w:tcW w:w="1614" w:type="dxa"/>
          </w:tcPr>
          <w:p w:rsidR="003F5784" w14:paraId="2AAA0675" w14:textId="77777777">
            <w:pPr>
              <w:pStyle w:val="TableParagraph"/>
              <w:ind w:left="9" w:right="9"/>
              <w:jc w:val="center"/>
              <w:rPr>
                <w:sz w:val="21"/>
              </w:rPr>
            </w:pPr>
            <w:r>
              <w:rPr>
                <w:spacing w:val="-4"/>
                <w:sz w:val="21"/>
              </w:rPr>
              <w:t>4.22</w:t>
            </w:r>
          </w:p>
        </w:tc>
        <w:tc>
          <w:tcPr>
            <w:tcW w:w="1536" w:type="dxa"/>
          </w:tcPr>
          <w:p w:rsidR="003F5784" w14:paraId="57C68E8B" w14:textId="77777777">
            <w:pPr>
              <w:pStyle w:val="TableParagraph"/>
              <w:ind w:right="117"/>
              <w:rPr>
                <w:sz w:val="21"/>
              </w:rPr>
            </w:pPr>
            <w:r>
              <w:rPr>
                <w:spacing w:val="-4"/>
                <w:sz w:val="21"/>
              </w:rPr>
              <w:t>3.96</w:t>
            </w:r>
          </w:p>
        </w:tc>
      </w:tr>
      <w:tr w14:paraId="6B0FBEAA"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6C5AEC97" w14:textId="77777777">
            <w:pPr>
              <w:pStyle w:val="TableParagraph"/>
              <w:ind w:left="120"/>
              <w:jc w:val="left"/>
              <w:rPr>
                <w:sz w:val="21"/>
              </w:rPr>
            </w:pPr>
            <w:r>
              <w:rPr>
                <w:spacing w:val="-2"/>
                <w:sz w:val="21"/>
              </w:rPr>
              <w:t>Massachusetts</w:t>
            </w:r>
          </w:p>
        </w:tc>
        <w:tc>
          <w:tcPr>
            <w:tcW w:w="1935" w:type="dxa"/>
          </w:tcPr>
          <w:p w:rsidR="003F5784" w14:paraId="77334886" w14:textId="77777777">
            <w:pPr>
              <w:pStyle w:val="TableParagraph"/>
              <w:ind w:right="623"/>
              <w:rPr>
                <w:sz w:val="21"/>
              </w:rPr>
            </w:pPr>
            <w:r>
              <w:rPr>
                <w:spacing w:val="-2"/>
                <w:sz w:val="21"/>
              </w:rPr>
              <w:t>92.84</w:t>
            </w:r>
          </w:p>
        </w:tc>
        <w:tc>
          <w:tcPr>
            <w:tcW w:w="1614" w:type="dxa"/>
          </w:tcPr>
          <w:p w:rsidR="003F5784" w14:paraId="05723DA3" w14:textId="77777777">
            <w:pPr>
              <w:pStyle w:val="TableParagraph"/>
              <w:ind w:left="9" w:right="9"/>
              <w:jc w:val="center"/>
              <w:rPr>
                <w:sz w:val="21"/>
              </w:rPr>
            </w:pPr>
            <w:r>
              <w:rPr>
                <w:spacing w:val="-4"/>
                <w:sz w:val="21"/>
              </w:rPr>
              <w:t>1.31</w:t>
            </w:r>
          </w:p>
        </w:tc>
        <w:tc>
          <w:tcPr>
            <w:tcW w:w="1806" w:type="dxa"/>
          </w:tcPr>
          <w:p w:rsidR="003F5784" w14:paraId="0AB33A8F" w14:textId="77777777">
            <w:pPr>
              <w:pStyle w:val="TableParagraph"/>
              <w:ind w:right="423"/>
              <w:rPr>
                <w:sz w:val="21"/>
              </w:rPr>
            </w:pPr>
            <w:r>
              <w:rPr>
                <w:spacing w:val="-4"/>
                <w:sz w:val="21"/>
              </w:rPr>
              <w:t>0.77</w:t>
            </w:r>
          </w:p>
        </w:tc>
        <w:tc>
          <w:tcPr>
            <w:tcW w:w="1170" w:type="dxa"/>
          </w:tcPr>
          <w:p w:rsidR="003F5784" w14:paraId="18DA3719" w14:textId="77777777">
            <w:pPr>
              <w:pStyle w:val="TableParagraph"/>
              <w:ind w:right="199"/>
              <w:jc w:val="center"/>
              <w:rPr>
                <w:sz w:val="21"/>
              </w:rPr>
            </w:pPr>
            <w:r>
              <w:rPr>
                <w:spacing w:val="-2"/>
                <w:sz w:val="21"/>
              </w:rPr>
              <w:t>87.89</w:t>
            </w:r>
          </w:p>
        </w:tc>
        <w:tc>
          <w:tcPr>
            <w:tcW w:w="1614" w:type="dxa"/>
          </w:tcPr>
          <w:p w:rsidR="003F5784" w14:paraId="068087F0" w14:textId="77777777">
            <w:pPr>
              <w:pStyle w:val="TableParagraph"/>
              <w:ind w:left="9" w:right="9"/>
              <w:jc w:val="center"/>
              <w:rPr>
                <w:sz w:val="21"/>
              </w:rPr>
            </w:pPr>
            <w:r>
              <w:rPr>
                <w:spacing w:val="-4"/>
                <w:sz w:val="21"/>
              </w:rPr>
              <w:t>1.04</w:t>
            </w:r>
          </w:p>
        </w:tc>
        <w:tc>
          <w:tcPr>
            <w:tcW w:w="1536" w:type="dxa"/>
          </w:tcPr>
          <w:p w:rsidR="003F5784" w14:paraId="0BEBAB1A" w14:textId="77777777">
            <w:pPr>
              <w:pStyle w:val="TableParagraph"/>
              <w:ind w:right="117"/>
              <w:rPr>
                <w:sz w:val="21"/>
              </w:rPr>
            </w:pPr>
            <w:r>
              <w:rPr>
                <w:spacing w:val="-4"/>
                <w:sz w:val="21"/>
              </w:rPr>
              <w:t>1.81</w:t>
            </w:r>
          </w:p>
        </w:tc>
      </w:tr>
      <w:tr w14:paraId="1BD159A7"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56125EC4" w14:textId="77777777">
            <w:pPr>
              <w:pStyle w:val="TableParagraph"/>
              <w:ind w:left="120"/>
              <w:jc w:val="left"/>
              <w:rPr>
                <w:sz w:val="21"/>
              </w:rPr>
            </w:pPr>
            <w:r>
              <w:rPr>
                <w:spacing w:val="-2"/>
                <w:sz w:val="21"/>
              </w:rPr>
              <w:t>Michigan–Detroit</w:t>
            </w:r>
          </w:p>
        </w:tc>
        <w:tc>
          <w:tcPr>
            <w:tcW w:w="1935" w:type="dxa"/>
          </w:tcPr>
          <w:p w:rsidR="003F5784" w14:paraId="19CA6B55" w14:textId="77777777">
            <w:pPr>
              <w:pStyle w:val="TableParagraph"/>
              <w:ind w:right="623"/>
              <w:rPr>
                <w:sz w:val="21"/>
              </w:rPr>
            </w:pPr>
            <w:r>
              <w:rPr>
                <w:spacing w:val="-2"/>
                <w:sz w:val="21"/>
              </w:rPr>
              <w:t>89.97</w:t>
            </w:r>
          </w:p>
        </w:tc>
        <w:tc>
          <w:tcPr>
            <w:tcW w:w="1614" w:type="dxa"/>
          </w:tcPr>
          <w:p w:rsidR="003F5784" w14:paraId="05846576" w14:textId="77777777">
            <w:pPr>
              <w:pStyle w:val="TableParagraph"/>
              <w:ind w:left="9" w:right="9"/>
              <w:jc w:val="center"/>
              <w:rPr>
                <w:sz w:val="21"/>
              </w:rPr>
            </w:pPr>
            <w:r>
              <w:rPr>
                <w:spacing w:val="-4"/>
                <w:sz w:val="21"/>
              </w:rPr>
              <w:t>3.96</w:t>
            </w:r>
          </w:p>
        </w:tc>
        <w:tc>
          <w:tcPr>
            <w:tcW w:w="1806" w:type="dxa"/>
          </w:tcPr>
          <w:p w:rsidR="003F5784" w14:paraId="43352194" w14:textId="77777777">
            <w:pPr>
              <w:pStyle w:val="TableParagraph"/>
              <w:ind w:right="423"/>
              <w:rPr>
                <w:sz w:val="21"/>
              </w:rPr>
            </w:pPr>
            <w:r>
              <w:rPr>
                <w:spacing w:val="-4"/>
                <w:sz w:val="21"/>
              </w:rPr>
              <w:t>0.15</w:t>
            </w:r>
          </w:p>
        </w:tc>
        <w:tc>
          <w:tcPr>
            <w:tcW w:w="1170" w:type="dxa"/>
          </w:tcPr>
          <w:p w:rsidR="003F5784" w14:paraId="68561011" w14:textId="77777777">
            <w:pPr>
              <w:pStyle w:val="TableParagraph"/>
              <w:ind w:right="199"/>
              <w:jc w:val="center"/>
              <w:rPr>
                <w:sz w:val="21"/>
              </w:rPr>
            </w:pPr>
            <w:r>
              <w:rPr>
                <w:spacing w:val="-2"/>
                <w:sz w:val="21"/>
              </w:rPr>
              <w:t>88.79</w:t>
            </w:r>
          </w:p>
        </w:tc>
        <w:tc>
          <w:tcPr>
            <w:tcW w:w="1614" w:type="dxa"/>
          </w:tcPr>
          <w:p w:rsidR="003F5784" w14:paraId="48B34C32" w14:textId="77777777">
            <w:pPr>
              <w:pStyle w:val="TableParagraph"/>
              <w:ind w:left="9" w:right="9"/>
              <w:jc w:val="center"/>
              <w:rPr>
                <w:sz w:val="21"/>
              </w:rPr>
            </w:pPr>
            <w:r>
              <w:rPr>
                <w:spacing w:val="-4"/>
                <w:sz w:val="21"/>
              </w:rPr>
              <w:t>4.47</w:t>
            </w:r>
          </w:p>
        </w:tc>
        <w:tc>
          <w:tcPr>
            <w:tcW w:w="1536" w:type="dxa"/>
          </w:tcPr>
          <w:p w:rsidR="003F5784" w14:paraId="217EE2D9" w14:textId="77777777">
            <w:pPr>
              <w:pStyle w:val="TableParagraph"/>
              <w:ind w:right="117"/>
              <w:rPr>
                <w:sz w:val="21"/>
              </w:rPr>
            </w:pPr>
            <w:r>
              <w:rPr>
                <w:spacing w:val="-4"/>
                <w:sz w:val="21"/>
              </w:rPr>
              <w:t>0.74</w:t>
            </w:r>
          </w:p>
        </w:tc>
      </w:tr>
      <w:tr w14:paraId="0C29284C"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496925B2" w14:textId="77777777">
            <w:pPr>
              <w:pStyle w:val="TableParagraph"/>
              <w:ind w:left="120"/>
              <w:jc w:val="left"/>
              <w:rPr>
                <w:sz w:val="21"/>
              </w:rPr>
            </w:pPr>
            <w:r>
              <w:rPr>
                <w:spacing w:val="-2"/>
                <w:sz w:val="21"/>
              </w:rPr>
              <w:t>Michigan</w:t>
            </w:r>
          </w:p>
        </w:tc>
        <w:tc>
          <w:tcPr>
            <w:tcW w:w="1935" w:type="dxa"/>
          </w:tcPr>
          <w:p w:rsidR="003F5784" w14:paraId="61D8092F" w14:textId="77777777">
            <w:pPr>
              <w:pStyle w:val="TableParagraph"/>
              <w:ind w:right="623"/>
              <w:rPr>
                <w:sz w:val="21"/>
              </w:rPr>
            </w:pPr>
            <w:r>
              <w:rPr>
                <w:spacing w:val="-2"/>
                <w:sz w:val="21"/>
              </w:rPr>
              <w:t>91.18</w:t>
            </w:r>
          </w:p>
        </w:tc>
        <w:tc>
          <w:tcPr>
            <w:tcW w:w="1614" w:type="dxa"/>
          </w:tcPr>
          <w:p w:rsidR="003F5784" w14:paraId="37E54304" w14:textId="77777777">
            <w:pPr>
              <w:pStyle w:val="TableParagraph"/>
              <w:ind w:left="9" w:right="9"/>
              <w:jc w:val="center"/>
              <w:rPr>
                <w:sz w:val="21"/>
              </w:rPr>
            </w:pPr>
            <w:r>
              <w:rPr>
                <w:spacing w:val="-4"/>
                <w:sz w:val="21"/>
              </w:rPr>
              <w:t>2.59</w:t>
            </w:r>
          </w:p>
        </w:tc>
        <w:tc>
          <w:tcPr>
            <w:tcW w:w="1806" w:type="dxa"/>
          </w:tcPr>
          <w:p w:rsidR="003F5784" w14:paraId="7148BC5A" w14:textId="77777777">
            <w:pPr>
              <w:pStyle w:val="TableParagraph"/>
              <w:ind w:right="423"/>
              <w:rPr>
                <w:sz w:val="21"/>
              </w:rPr>
            </w:pPr>
            <w:r>
              <w:rPr>
                <w:spacing w:val="-4"/>
                <w:sz w:val="21"/>
              </w:rPr>
              <w:t>0.48</w:t>
            </w:r>
          </w:p>
        </w:tc>
        <w:tc>
          <w:tcPr>
            <w:tcW w:w="1170" w:type="dxa"/>
          </w:tcPr>
          <w:p w:rsidR="003F5784" w14:paraId="0E6EC8FA" w14:textId="77777777">
            <w:pPr>
              <w:pStyle w:val="TableParagraph"/>
              <w:ind w:right="199"/>
              <w:jc w:val="center"/>
              <w:rPr>
                <w:sz w:val="21"/>
              </w:rPr>
            </w:pPr>
            <w:r>
              <w:rPr>
                <w:spacing w:val="-2"/>
                <w:sz w:val="21"/>
              </w:rPr>
              <w:t>86.82</w:t>
            </w:r>
          </w:p>
        </w:tc>
        <w:tc>
          <w:tcPr>
            <w:tcW w:w="1614" w:type="dxa"/>
          </w:tcPr>
          <w:p w:rsidR="003F5784" w14:paraId="4B20D119" w14:textId="77777777">
            <w:pPr>
              <w:pStyle w:val="TableParagraph"/>
              <w:ind w:left="9" w:right="9"/>
              <w:jc w:val="center"/>
              <w:rPr>
                <w:sz w:val="21"/>
              </w:rPr>
            </w:pPr>
            <w:r>
              <w:rPr>
                <w:spacing w:val="-4"/>
                <w:sz w:val="21"/>
              </w:rPr>
              <w:t>1.58</w:t>
            </w:r>
          </w:p>
        </w:tc>
        <w:tc>
          <w:tcPr>
            <w:tcW w:w="1536" w:type="dxa"/>
          </w:tcPr>
          <w:p w:rsidR="003F5784" w14:paraId="4502815A" w14:textId="77777777">
            <w:pPr>
              <w:pStyle w:val="TableParagraph"/>
              <w:ind w:right="117"/>
              <w:rPr>
                <w:sz w:val="21"/>
              </w:rPr>
            </w:pPr>
            <w:r>
              <w:rPr>
                <w:spacing w:val="-4"/>
                <w:sz w:val="21"/>
              </w:rPr>
              <w:t>0.29</w:t>
            </w:r>
          </w:p>
        </w:tc>
      </w:tr>
      <w:tr w14:paraId="12A21FEA"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21FBB3D8" w14:textId="77777777">
            <w:pPr>
              <w:pStyle w:val="TableParagraph"/>
              <w:ind w:left="120"/>
              <w:jc w:val="left"/>
              <w:rPr>
                <w:sz w:val="21"/>
              </w:rPr>
            </w:pPr>
            <w:r>
              <w:rPr>
                <w:spacing w:val="-2"/>
                <w:sz w:val="21"/>
              </w:rPr>
              <w:t>Minnesota</w:t>
            </w:r>
          </w:p>
        </w:tc>
        <w:tc>
          <w:tcPr>
            <w:tcW w:w="1935" w:type="dxa"/>
          </w:tcPr>
          <w:p w:rsidR="003F5784" w14:paraId="502F1CD7" w14:textId="77777777">
            <w:pPr>
              <w:pStyle w:val="TableParagraph"/>
              <w:ind w:right="623"/>
              <w:rPr>
                <w:sz w:val="21"/>
              </w:rPr>
            </w:pPr>
            <w:r>
              <w:rPr>
                <w:spacing w:val="-2"/>
                <w:sz w:val="21"/>
              </w:rPr>
              <w:t>90.79</w:t>
            </w:r>
          </w:p>
        </w:tc>
        <w:tc>
          <w:tcPr>
            <w:tcW w:w="1614" w:type="dxa"/>
          </w:tcPr>
          <w:p w:rsidR="003F5784" w14:paraId="3A7246DD" w14:textId="77777777">
            <w:pPr>
              <w:pStyle w:val="TableParagraph"/>
              <w:ind w:left="9" w:right="2"/>
              <w:jc w:val="center"/>
              <w:rPr>
                <w:sz w:val="21"/>
              </w:rPr>
            </w:pPr>
            <w:r>
              <w:rPr>
                <w:spacing w:val="-4"/>
                <w:sz w:val="21"/>
              </w:rPr>
              <w:t>2.11</w:t>
            </w:r>
          </w:p>
        </w:tc>
        <w:tc>
          <w:tcPr>
            <w:tcW w:w="1806" w:type="dxa"/>
          </w:tcPr>
          <w:p w:rsidR="003F5784" w14:paraId="4D154F32" w14:textId="77777777">
            <w:pPr>
              <w:pStyle w:val="TableParagraph"/>
              <w:ind w:right="423"/>
              <w:rPr>
                <w:sz w:val="21"/>
              </w:rPr>
            </w:pPr>
            <w:r>
              <w:rPr>
                <w:spacing w:val="-4"/>
                <w:sz w:val="21"/>
              </w:rPr>
              <w:t>0.77</w:t>
            </w:r>
          </w:p>
        </w:tc>
        <w:tc>
          <w:tcPr>
            <w:tcW w:w="1170" w:type="dxa"/>
          </w:tcPr>
          <w:p w:rsidR="003F5784" w14:paraId="458C12DF" w14:textId="77777777">
            <w:pPr>
              <w:pStyle w:val="TableParagraph"/>
              <w:ind w:right="199"/>
              <w:jc w:val="center"/>
              <w:rPr>
                <w:sz w:val="21"/>
              </w:rPr>
            </w:pPr>
            <w:r>
              <w:rPr>
                <w:spacing w:val="-2"/>
                <w:sz w:val="21"/>
              </w:rPr>
              <w:t>85.74</w:t>
            </w:r>
          </w:p>
        </w:tc>
        <w:tc>
          <w:tcPr>
            <w:tcW w:w="1614" w:type="dxa"/>
          </w:tcPr>
          <w:p w:rsidR="003F5784" w14:paraId="29BCC975" w14:textId="77777777">
            <w:pPr>
              <w:pStyle w:val="TableParagraph"/>
              <w:ind w:left="9" w:right="9"/>
              <w:jc w:val="center"/>
              <w:rPr>
                <w:sz w:val="21"/>
              </w:rPr>
            </w:pPr>
            <w:r>
              <w:rPr>
                <w:spacing w:val="-4"/>
                <w:sz w:val="21"/>
              </w:rPr>
              <w:t>1.55</w:t>
            </w:r>
          </w:p>
        </w:tc>
        <w:tc>
          <w:tcPr>
            <w:tcW w:w="1536" w:type="dxa"/>
          </w:tcPr>
          <w:p w:rsidR="003F5784" w14:paraId="4A895C2E" w14:textId="77777777">
            <w:pPr>
              <w:pStyle w:val="TableParagraph"/>
              <w:ind w:right="117"/>
              <w:rPr>
                <w:sz w:val="21"/>
              </w:rPr>
            </w:pPr>
            <w:r>
              <w:rPr>
                <w:spacing w:val="-4"/>
                <w:sz w:val="21"/>
              </w:rPr>
              <w:t>0.65</w:t>
            </w:r>
          </w:p>
        </w:tc>
      </w:tr>
      <w:tr w14:paraId="1CD24ACB"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70AF0742" w14:textId="77777777">
            <w:pPr>
              <w:pStyle w:val="TableParagraph"/>
              <w:ind w:left="120"/>
              <w:jc w:val="left"/>
              <w:rPr>
                <w:sz w:val="21"/>
              </w:rPr>
            </w:pPr>
            <w:r>
              <w:rPr>
                <w:spacing w:val="-2"/>
                <w:sz w:val="21"/>
              </w:rPr>
              <w:t>Mississippi</w:t>
            </w:r>
          </w:p>
        </w:tc>
        <w:tc>
          <w:tcPr>
            <w:tcW w:w="1935" w:type="dxa"/>
          </w:tcPr>
          <w:p w:rsidR="003F5784" w14:paraId="05B6521C" w14:textId="77777777">
            <w:pPr>
              <w:pStyle w:val="TableParagraph"/>
              <w:ind w:right="623"/>
              <w:rPr>
                <w:sz w:val="21"/>
              </w:rPr>
            </w:pPr>
            <w:r>
              <w:rPr>
                <w:spacing w:val="-2"/>
                <w:sz w:val="21"/>
              </w:rPr>
              <w:t>92.78</w:t>
            </w:r>
          </w:p>
        </w:tc>
        <w:tc>
          <w:tcPr>
            <w:tcW w:w="1614" w:type="dxa"/>
          </w:tcPr>
          <w:p w:rsidR="003F5784" w14:paraId="3E78BBA3" w14:textId="77777777">
            <w:pPr>
              <w:pStyle w:val="TableParagraph"/>
              <w:ind w:left="9" w:right="9"/>
              <w:jc w:val="center"/>
              <w:rPr>
                <w:sz w:val="21"/>
              </w:rPr>
            </w:pPr>
            <w:r>
              <w:rPr>
                <w:spacing w:val="-4"/>
                <w:sz w:val="21"/>
              </w:rPr>
              <w:t>0.71</w:t>
            </w:r>
          </w:p>
        </w:tc>
        <w:tc>
          <w:tcPr>
            <w:tcW w:w="1806" w:type="dxa"/>
          </w:tcPr>
          <w:p w:rsidR="003F5784" w14:paraId="38C33049" w14:textId="77777777">
            <w:pPr>
              <w:pStyle w:val="TableParagraph"/>
              <w:ind w:right="423"/>
              <w:rPr>
                <w:sz w:val="21"/>
              </w:rPr>
            </w:pPr>
            <w:r>
              <w:rPr>
                <w:spacing w:val="-4"/>
                <w:sz w:val="21"/>
              </w:rPr>
              <w:t>0.10</w:t>
            </w:r>
          </w:p>
        </w:tc>
        <w:tc>
          <w:tcPr>
            <w:tcW w:w="1170" w:type="dxa"/>
          </w:tcPr>
          <w:p w:rsidR="003F5784" w14:paraId="332032B8" w14:textId="77777777">
            <w:pPr>
              <w:pStyle w:val="TableParagraph"/>
              <w:ind w:right="199"/>
              <w:jc w:val="center"/>
              <w:rPr>
                <w:sz w:val="21"/>
              </w:rPr>
            </w:pPr>
            <w:r>
              <w:rPr>
                <w:spacing w:val="-2"/>
                <w:sz w:val="21"/>
              </w:rPr>
              <w:t>90.09</w:t>
            </w:r>
          </w:p>
        </w:tc>
        <w:tc>
          <w:tcPr>
            <w:tcW w:w="1614" w:type="dxa"/>
          </w:tcPr>
          <w:p w:rsidR="003F5784" w14:paraId="75467A48" w14:textId="77777777">
            <w:pPr>
              <w:pStyle w:val="TableParagraph"/>
              <w:ind w:left="9" w:right="9"/>
              <w:jc w:val="center"/>
              <w:rPr>
                <w:sz w:val="21"/>
              </w:rPr>
            </w:pPr>
            <w:r>
              <w:rPr>
                <w:spacing w:val="-4"/>
                <w:sz w:val="21"/>
              </w:rPr>
              <w:t>0.72</w:t>
            </w:r>
          </w:p>
        </w:tc>
        <w:tc>
          <w:tcPr>
            <w:tcW w:w="1536" w:type="dxa"/>
          </w:tcPr>
          <w:p w:rsidR="003F5784" w14:paraId="2BCE1A43" w14:textId="77777777">
            <w:pPr>
              <w:pStyle w:val="TableParagraph"/>
              <w:ind w:right="117"/>
              <w:rPr>
                <w:sz w:val="21"/>
              </w:rPr>
            </w:pPr>
            <w:r>
              <w:rPr>
                <w:spacing w:val="-4"/>
                <w:sz w:val="21"/>
              </w:rPr>
              <w:t>0.22</w:t>
            </w:r>
          </w:p>
        </w:tc>
      </w:tr>
      <w:tr w14:paraId="1B2BA64A"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4A8C080A" w14:textId="77777777">
            <w:pPr>
              <w:pStyle w:val="TableParagraph"/>
              <w:ind w:left="120"/>
              <w:jc w:val="left"/>
              <w:rPr>
                <w:sz w:val="21"/>
              </w:rPr>
            </w:pPr>
            <w:r>
              <w:rPr>
                <w:spacing w:val="-2"/>
                <w:sz w:val="21"/>
              </w:rPr>
              <w:t>Missouri</w:t>
            </w:r>
          </w:p>
        </w:tc>
        <w:tc>
          <w:tcPr>
            <w:tcW w:w="1935" w:type="dxa"/>
          </w:tcPr>
          <w:p w:rsidR="003F5784" w14:paraId="791D4D9B" w14:textId="77777777">
            <w:pPr>
              <w:pStyle w:val="TableParagraph"/>
              <w:ind w:right="623"/>
              <w:rPr>
                <w:sz w:val="21"/>
              </w:rPr>
            </w:pPr>
            <w:r>
              <w:rPr>
                <w:spacing w:val="-2"/>
                <w:sz w:val="21"/>
              </w:rPr>
              <w:t>94.35</w:t>
            </w:r>
          </w:p>
        </w:tc>
        <w:tc>
          <w:tcPr>
            <w:tcW w:w="1614" w:type="dxa"/>
          </w:tcPr>
          <w:p w:rsidR="003F5784" w14:paraId="74373BAD" w14:textId="77777777">
            <w:pPr>
              <w:pStyle w:val="TableParagraph"/>
              <w:ind w:left="9" w:right="9"/>
              <w:jc w:val="center"/>
              <w:rPr>
                <w:sz w:val="21"/>
              </w:rPr>
            </w:pPr>
            <w:r>
              <w:rPr>
                <w:spacing w:val="-4"/>
                <w:sz w:val="21"/>
              </w:rPr>
              <w:t>0.78</w:t>
            </w:r>
          </w:p>
        </w:tc>
        <w:tc>
          <w:tcPr>
            <w:tcW w:w="1806" w:type="dxa"/>
          </w:tcPr>
          <w:p w:rsidR="003F5784" w14:paraId="05F94C2B" w14:textId="77777777">
            <w:pPr>
              <w:pStyle w:val="TableParagraph"/>
              <w:ind w:right="423"/>
              <w:rPr>
                <w:sz w:val="21"/>
              </w:rPr>
            </w:pPr>
            <w:r>
              <w:rPr>
                <w:spacing w:val="-4"/>
                <w:sz w:val="21"/>
              </w:rPr>
              <w:t>0.14</w:t>
            </w:r>
          </w:p>
        </w:tc>
        <w:tc>
          <w:tcPr>
            <w:tcW w:w="1170" w:type="dxa"/>
          </w:tcPr>
          <w:p w:rsidR="003F5784" w14:paraId="47EBCBE3" w14:textId="77777777">
            <w:pPr>
              <w:pStyle w:val="TableParagraph"/>
              <w:ind w:right="199"/>
              <w:jc w:val="center"/>
              <w:rPr>
                <w:sz w:val="21"/>
              </w:rPr>
            </w:pPr>
            <w:r>
              <w:rPr>
                <w:spacing w:val="-2"/>
                <w:sz w:val="21"/>
              </w:rPr>
              <w:t>91.73</w:t>
            </w:r>
          </w:p>
        </w:tc>
        <w:tc>
          <w:tcPr>
            <w:tcW w:w="1614" w:type="dxa"/>
          </w:tcPr>
          <w:p w:rsidR="003F5784" w14:paraId="3BF99B22" w14:textId="77777777">
            <w:pPr>
              <w:pStyle w:val="TableParagraph"/>
              <w:ind w:left="9" w:right="9"/>
              <w:jc w:val="center"/>
              <w:rPr>
                <w:sz w:val="21"/>
              </w:rPr>
            </w:pPr>
            <w:r>
              <w:rPr>
                <w:spacing w:val="-4"/>
                <w:sz w:val="21"/>
              </w:rPr>
              <w:t>0.65</w:t>
            </w:r>
          </w:p>
        </w:tc>
        <w:tc>
          <w:tcPr>
            <w:tcW w:w="1536" w:type="dxa"/>
          </w:tcPr>
          <w:p w:rsidR="003F5784" w14:paraId="71C12EC1" w14:textId="77777777">
            <w:pPr>
              <w:pStyle w:val="TableParagraph"/>
              <w:ind w:right="117"/>
              <w:rPr>
                <w:sz w:val="21"/>
              </w:rPr>
            </w:pPr>
            <w:r>
              <w:rPr>
                <w:spacing w:val="-4"/>
                <w:sz w:val="21"/>
              </w:rPr>
              <w:t>0.33</w:t>
            </w:r>
          </w:p>
        </w:tc>
      </w:tr>
      <w:tr w14:paraId="2EA14A77"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7497283E" w14:textId="77777777">
            <w:pPr>
              <w:pStyle w:val="TableParagraph"/>
              <w:ind w:left="120"/>
              <w:jc w:val="left"/>
              <w:rPr>
                <w:sz w:val="21"/>
              </w:rPr>
            </w:pPr>
            <w:r>
              <w:rPr>
                <w:spacing w:val="-2"/>
                <w:sz w:val="21"/>
              </w:rPr>
              <w:t>Montana</w:t>
            </w:r>
          </w:p>
        </w:tc>
        <w:tc>
          <w:tcPr>
            <w:tcW w:w="1935" w:type="dxa"/>
          </w:tcPr>
          <w:p w:rsidR="003F5784" w14:paraId="65EFB7AD" w14:textId="77777777">
            <w:pPr>
              <w:pStyle w:val="TableParagraph"/>
              <w:ind w:right="623"/>
              <w:rPr>
                <w:sz w:val="21"/>
              </w:rPr>
            </w:pPr>
            <w:r>
              <w:rPr>
                <w:spacing w:val="-2"/>
                <w:sz w:val="21"/>
              </w:rPr>
              <w:t>89.77</w:t>
            </w:r>
          </w:p>
        </w:tc>
        <w:tc>
          <w:tcPr>
            <w:tcW w:w="1614" w:type="dxa"/>
          </w:tcPr>
          <w:p w:rsidR="003F5784" w14:paraId="38664A14" w14:textId="77777777">
            <w:pPr>
              <w:pStyle w:val="TableParagraph"/>
              <w:ind w:left="9" w:right="9"/>
              <w:jc w:val="center"/>
              <w:rPr>
                <w:sz w:val="21"/>
              </w:rPr>
            </w:pPr>
            <w:r>
              <w:rPr>
                <w:spacing w:val="-4"/>
                <w:sz w:val="21"/>
              </w:rPr>
              <w:t>0.95</w:t>
            </w:r>
          </w:p>
        </w:tc>
        <w:tc>
          <w:tcPr>
            <w:tcW w:w="1806" w:type="dxa"/>
          </w:tcPr>
          <w:p w:rsidR="003F5784" w14:paraId="4734C020" w14:textId="77777777">
            <w:pPr>
              <w:pStyle w:val="TableParagraph"/>
              <w:ind w:right="423"/>
              <w:rPr>
                <w:sz w:val="21"/>
              </w:rPr>
            </w:pPr>
            <w:r>
              <w:rPr>
                <w:spacing w:val="-4"/>
                <w:sz w:val="21"/>
              </w:rPr>
              <w:t>0.05</w:t>
            </w:r>
          </w:p>
        </w:tc>
        <w:tc>
          <w:tcPr>
            <w:tcW w:w="1170" w:type="dxa"/>
          </w:tcPr>
          <w:p w:rsidR="003F5784" w14:paraId="4DBB63D1" w14:textId="77777777">
            <w:pPr>
              <w:pStyle w:val="TableParagraph"/>
              <w:ind w:right="199"/>
              <w:jc w:val="center"/>
              <w:rPr>
                <w:sz w:val="21"/>
              </w:rPr>
            </w:pPr>
            <w:r>
              <w:rPr>
                <w:spacing w:val="-2"/>
                <w:sz w:val="21"/>
              </w:rPr>
              <w:t>85.81</w:t>
            </w:r>
          </w:p>
        </w:tc>
        <w:tc>
          <w:tcPr>
            <w:tcW w:w="1614" w:type="dxa"/>
          </w:tcPr>
          <w:p w:rsidR="003F5784" w14:paraId="28F11AC0" w14:textId="77777777">
            <w:pPr>
              <w:pStyle w:val="TableParagraph"/>
              <w:ind w:left="9" w:right="9"/>
              <w:jc w:val="center"/>
              <w:rPr>
                <w:sz w:val="21"/>
              </w:rPr>
            </w:pPr>
            <w:r>
              <w:rPr>
                <w:spacing w:val="-4"/>
                <w:sz w:val="21"/>
              </w:rPr>
              <w:t>1.17</w:t>
            </w:r>
          </w:p>
        </w:tc>
        <w:tc>
          <w:tcPr>
            <w:tcW w:w="1536" w:type="dxa"/>
          </w:tcPr>
          <w:p w:rsidR="003F5784" w14:paraId="449BF8B6" w14:textId="77777777">
            <w:pPr>
              <w:pStyle w:val="TableParagraph"/>
              <w:ind w:right="117"/>
              <w:rPr>
                <w:sz w:val="21"/>
              </w:rPr>
            </w:pPr>
            <w:r>
              <w:rPr>
                <w:spacing w:val="-4"/>
                <w:sz w:val="21"/>
              </w:rPr>
              <w:t>0.10</w:t>
            </w:r>
          </w:p>
        </w:tc>
      </w:tr>
      <w:tr w14:paraId="700D05F9"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7CB283BB" w14:textId="77777777">
            <w:pPr>
              <w:pStyle w:val="TableParagraph"/>
              <w:ind w:left="120"/>
              <w:jc w:val="left"/>
              <w:rPr>
                <w:sz w:val="21"/>
              </w:rPr>
            </w:pPr>
            <w:r>
              <w:rPr>
                <w:spacing w:val="-2"/>
                <w:sz w:val="21"/>
              </w:rPr>
              <w:t>Nebraska</w:t>
            </w:r>
          </w:p>
        </w:tc>
        <w:tc>
          <w:tcPr>
            <w:tcW w:w="1935" w:type="dxa"/>
          </w:tcPr>
          <w:p w:rsidR="003F5784" w14:paraId="6774883B" w14:textId="77777777">
            <w:pPr>
              <w:pStyle w:val="TableParagraph"/>
              <w:ind w:right="623"/>
              <w:rPr>
                <w:sz w:val="21"/>
              </w:rPr>
            </w:pPr>
            <w:r>
              <w:rPr>
                <w:spacing w:val="-2"/>
                <w:sz w:val="21"/>
              </w:rPr>
              <w:t>94.76</w:t>
            </w:r>
          </w:p>
        </w:tc>
        <w:tc>
          <w:tcPr>
            <w:tcW w:w="1614" w:type="dxa"/>
          </w:tcPr>
          <w:p w:rsidR="003F5784" w14:paraId="7C9B1D77" w14:textId="77777777">
            <w:pPr>
              <w:pStyle w:val="TableParagraph"/>
              <w:ind w:left="9" w:right="9"/>
              <w:jc w:val="center"/>
              <w:rPr>
                <w:sz w:val="21"/>
              </w:rPr>
            </w:pPr>
            <w:r>
              <w:rPr>
                <w:spacing w:val="-4"/>
                <w:sz w:val="21"/>
              </w:rPr>
              <w:t>1.19</w:t>
            </w:r>
          </w:p>
        </w:tc>
        <w:tc>
          <w:tcPr>
            <w:tcW w:w="1806" w:type="dxa"/>
          </w:tcPr>
          <w:p w:rsidR="003F5784" w14:paraId="65C65CDB" w14:textId="77777777">
            <w:pPr>
              <w:pStyle w:val="TableParagraph"/>
              <w:ind w:right="423"/>
              <w:rPr>
                <w:sz w:val="21"/>
              </w:rPr>
            </w:pPr>
            <w:r>
              <w:rPr>
                <w:spacing w:val="-4"/>
                <w:sz w:val="21"/>
              </w:rPr>
              <w:t>0.04</w:t>
            </w:r>
          </w:p>
        </w:tc>
        <w:tc>
          <w:tcPr>
            <w:tcW w:w="1170" w:type="dxa"/>
          </w:tcPr>
          <w:p w:rsidR="003F5784" w14:paraId="05E53CDE" w14:textId="77777777">
            <w:pPr>
              <w:pStyle w:val="TableParagraph"/>
              <w:ind w:right="199"/>
              <w:jc w:val="center"/>
              <w:rPr>
                <w:sz w:val="21"/>
              </w:rPr>
            </w:pPr>
            <w:r>
              <w:rPr>
                <w:spacing w:val="-2"/>
                <w:sz w:val="21"/>
              </w:rPr>
              <w:t>92.46</w:t>
            </w:r>
          </w:p>
        </w:tc>
        <w:tc>
          <w:tcPr>
            <w:tcW w:w="1614" w:type="dxa"/>
          </w:tcPr>
          <w:p w:rsidR="003F5784" w14:paraId="465CB510" w14:textId="77777777">
            <w:pPr>
              <w:pStyle w:val="TableParagraph"/>
              <w:ind w:left="9" w:right="9"/>
              <w:jc w:val="center"/>
              <w:rPr>
                <w:sz w:val="21"/>
              </w:rPr>
            </w:pPr>
            <w:r>
              <w:rPr>
                <w:spacing w:val="-4"/>
                <w:sz w:val="21"/>
              </w:rPr>
              <w:t>1.40</w:t>
            </w:r>
          </w:p>
        </w:tc>
        <w:tc>
          <w:tcPr>
            <w:tcW w:w="1536" w:type="dxa"/>
          </w:tcPr>
          <w:p w:rsidR="003F5784" w14:paraId="6D9B0B4A" w14:textId="77777777">
            <w:pPr>
              <w:pStyle w:val="TableParagraph"/>
              <w:ind w:right="117"/>
              <w:rPr>
                <w:sz w:val="21"/>
              </w:rPr>
            </w:pPr>
            <w:r>
              <w:rPr>
                <w:spacing w:val="-4"/>
                <w:sz w:val="21"/>
              </w:rPr>
              <w:t>0.36</w:t>
            </w:r>
          </w:p>
        </w:tc>
      </w:tr>
      <w:tr w14:paraId="4D9DF9E2"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3EAB1778" w14:textId="77777777">
            <w:pPr>
              <w:pStyle w:val="TableParagraph"/>
              <w:ind w:left="120"/>
              <w:jc w:val="left"/>
              <w:rPr>
                <w:sz w:val="21"/>
              </w:rPr>
            </w:pPr>
            <w:r>
              <w:rPr>
                <w:spacing w:val="-2"/>
                <w:sz w:val="21"/>
              </w:rPr>
              <w:t>Nevada–Clark</w:t>
            </w:r>
            <w:r>
              <w:rPr>
                <w:spacing w:val="10"/>
                <w:sz w:val="21"/>
              </w:rPr>
              <w:t xml:space="preserve"> </w:t>
            </w:r>
            <w:r>
              <w:rPr>
                <w:spacing w:val="-2"/>
                <w:sz w:val="21"/>
              </w:rPr>
              <w:t>County</w:t>
            </w:r>
          </w:p>
        </w:tc>
        <w:tc>
          <w:tcPr>
            <w:tcW w:w="1935" w:type="dxa"/>
          </w:tcPr>
          <w:p w:rsidR="003F5784" w14:paraId="44B033BB" w14:textId="77777777">
            <w:pPr>
              <w:pStyle w:val="TableParagraph"/>
              <w:ind w:right="623"/>
              <w:rPr>
                <w:sz w:val="21"/>
              </w:rPr>
            </w:pPr>
            <w:r>
              <w:rPr>
                <w:spacing w:val="-2"/>
                <w:sz w:val="21"/>
              </w:rPr>
              <w:t>92.17</w:t>
            </w:r>
          </w:p>
        </w:tc>
        <w:tc>
          <w:tcPr>
            <w:tcW w:w="1614" w:type="dxa"/>
          </w:tcPr>
          <w:p w:rsidR="003F5784" w14:paraId="36BD5E4E" w14:textId="77777777">
            <w:pPr>
              <w:pStyle w:val="TableParagraph"/>
              <w:ind w:left="9" w:right="9"/>
              <w:jc w:val="center"/>
              <w:rPr>
                <w:sz w:val="21"/>
              </w:rPr>
            </w:pPr>
            <w:r>
              <w:rPr>
                <w:spacing w:val="-4"/>
                <w:sz w:val="21"/>
              </w:rPr>
              <w:t>0.97</w:t>
            </w:r>
          </w:p>
        </w:tc>
        <w:tc>
          <w:tcPr>
            <w:tcW w:w="1806" w:type="dxa"/>
          </w:tcPr>
          <w:p w:rsidR="003F5784" w14:paraId="19D7BA38" w14:textId="77777777">
            <w:pPr>
              <w:pStyle w:val="TableParagraph"/>
              <w:ind w:right="423"/>
              <w:rPr>
                <w:sz w:val="21"/>
              </w:rPr>
            </w:pPr>
            <w:r>
              <w:rPr>
                <w:spacing w:val="-4"/>
                <w:sz w:val="21"/>
              </w:rPr>
              <w:t>0.69</w:t>
            </w:r>
          </w:p>
        </w:tc>
        <w:tc>
          <w:tcPr>
            <w:tcW w:w="1170" w:type="dxa"/>
          </w:tcPr>
          <w:p w:rsidR="003F5784" w14:paraId="040FAEB2" w14:textId="77777777">
            <w:pPr>
              <w:pStyle w:val="TableParagraph"/>
              <w:ind w:right="199"/>
              <w:jc w:val="center"/>
              <w:rPr>
                <w:sz w:val="21"/>
              </w:rPr>
            </w:pPr>
            <w:r>
              <w:rPr>
                <w:spacing w:val="-2"/>
                <w:sz w:val="21"/>
              </w:rPr>
              <w:t>85.93</w:t>
            </w:r>
          </w:p>
        </w:tc>
        <w:tc>
          <w:tcPr>
            <w:tcW w:w="1614" w:type="dxa"/>
          </w:tcPr>
          <w:p w:rsidR="003F5784" w14:paraId="68AD868D" w14:textId="77777777">
            <w:pPr>
              <w:pStyle w:val="TableParagraph"/>
              <w:ind w:left="9" w:right="9"/>
              <w:jc w:val="center"/>
              <w:rPr>
                <w:sz w:val="21"/>
              </w:rPr>
            </w:pPr>
            <w:r>
              <w:rPr>
                <w:spacing w:val="-4"/>
                <w:sz w:val="21"/>
              </w:rPr>
              <w:t>0.99</w:t>
            </w:r>
          </w:p>
        </w:tc>
        <w:tc>
          <w:tcPr>
            <w:tcW w:w="1536" w:type="dxa"/>
          </w:tcPr>
          <w:p w:rsidR="003F5784" w14:paraId="640FCFA6" w14:textId="77777777">
            <w:pPr>
              <w:pStyle w:val="TableParagraph"/>
              <w:ind w:right="117"/>
              <w:rPr>
                <w:sz w:val="21"/>
              </w:rPr>
            </w:pPr>
            <w:r>
              <w:rPr>
                <w:spacing w:val="-4"/>
                <w:sz w:val="21"/>
              </w:rPr>
              <w:t>0.85</w:t>
            </w:r>
          </w:p>
        </w:tc>
      </w:tr>
      <w:tr w14:paraId="1901BA7A"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40882021" w14:textId="77777777">
            <w:pPr>
              <w:pStyle w:val="TableParagraph"/>
              <w:ind w:left="120"/>
              <w:jc w:val="left"/>
              <w:rPr>
                <w:sz w:val="21"/>
              </w:rPr>
            </w:pPr>
            <w:r>
              <w:rPr>
                <w:spacing w:val="-2"/>
                <w:sz w:val="21"/>
              </w:rPr>
              <w:t>Nevada</w:t>
            </w:r>
          </w:p>
        </w:tc>
        <w:tc>
          <w:tcPr>
            <w:tcW w:w="1935" w:type="dxa"/>
          </w:tcPr>
          <w:p w:rsidR="003F5784" w14:paraId="41456156" w14:textId="77777777">
            <w:pPr>
              <w:pStyle w:val="TableParagraph"/>
              <w:ind w:right="623"/>
              <w:rPr>
                <w:sz w:val="21"/>
              </w:rPr>
            </w:pPr>
            <w:r>
              <w:rPr>
                <w:spacing w:val="-2"/>
                <w:sz w:val="21"/>
              </w:rPr>
              <w:t>92.26</w:t>
            </w:r>
          </w:p>
        </w:tc>
        <w:tc>
          <w:tcPr>
            <w:tcW w:w="1614" w:type="dxa"/>
          </w:tcPr>
          <w:p w:rsidR="003F5784" w14:paraId="1DB407CC" w14:textId="77777777">
            <w:pPr>
              <w:pStyle w:val="TableParagraph"/>
              <w:ind w:left="9" w:right="9"/>
              <w:jc w:val="center"/>
              <w:rPr>
                <w:sz w:val="21"/>
              </w:rPr>
            </w:pPr>
            <w:r>
              <w:rPr>
                <w:spacing w:val="-4"/>
                <w:sz w:val="21"/>
              </w:rPr>
              <w:t>1.58</w:t>
            </w:r>
          </w:p>
        </w:tc>
        <w:tc>
          <w:tcPr>
            <w:tcW w:w="1806" w:type="dxa"/>
          </w:tcPr>
          <w:p w:rsidR="003F5784" w14:paraId="1E9BD1A3" w14:textId="77777777">
            <w:pPr>
              <w:pStyle w:val="TableParagraph"/>
              <w:ind w:right="423"/>
              <w:rPr>
                <w:sz w:val="21"/>
              </w:rPr>
            </w:pPr>
            <w:r>
              <w:rPr>
                <w:spacing w:val="-4"/>
                <w:sz w:val="21"/>
              </w:rPr>
              <w:t>0.56</w:t>
            </w:r>
          </w:p>
        </w:tc>
        <w:tc>
          <w:tcPr>
            <w:tcW w:w="1170" w:type="dxa"/>
          </w:tcPr>
          <w:p w:rsidR="003F5784" w14:paraId="5AC61A5A" w14:textId="77777777">
            <w:pPr>
              <w:pStyle w:val="TableParagraph"/>
              <w:ind w:right="199"/>
              <w:jc w:val="center"/>
              <w:rPr>
                <w:sz w:val="21"/>
              </w:rPr>
            </w:pPr>
            <w:r>
              <w:rPr>
                <w:spacing w:val="-2"/>
                <w:sz w:val="21"/>
              </w:rPr>
              <w:t>87.92</w:t>
            </w:r>
          </w:p>
        </w:tc>
        <w:tc>
          <w:tcPr>
            <w:tcW w:w="1614" w:type="dxa"/>
          </w:tcPr>
          <w:p w:rsidR="003F5784" w14:paraId="7CEDDB1D" w14:textId="77777777">
            <w:pPr>
              <w:pStyle w:val="TableParagraph"/>
              <w:ind w:left="9" w:right="9"/>
              <w:jc w:val="center"/>
              <w:rPr>
                <w:sz w:val="21"/>
              </w:rPr>
            </w:pPr>
            <w:r>
              <w:rPr>
                <w:spacing w:val="-4"/>
                <w:sz w:val="21"/>
              </w:rPr>
              <w:t>0.92</w:t>
            </w:r>
          </w:p>
        </w:tc>
        <w:tc>
          <w:tcPr>
            <w:tcW w:w="1536" w:type="dxa"/>
          </w:tcPr>
          <w:p w:rsidR="003F5784" w14:paraId="4BFBE15E" w14:textId="77777777">
            <w:pPr>
              <w:pStyle w:val="TableParagraph"/>
              <w:ind w:right="117"/>
              <w:rPr>
                <w:sz w:val="21"/>
              </w:rPr>
            </w:pPr>
            <w:r>
              <w:rPr>
                <w:spacing w:val="-4"/>
                <w:sz w:val="21"/>
              </w:rPr>
              <w:t>0.65</w:t>
            </w:r>
          </w:p>
        </w:tc>
      </w:tr>
      <w:tr w14:paraId="42BADE0E"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725BA04D" w14:textId="77777777">
            <w:pPr>
              <w:pStyle w:val="TableParagraph"/>
              <w:ind w:left="120"/>
              <w:jc w:val="left"/>
              <w:rPr>
                <w:sz w:val="21"/>
              </w:rPr>
            </w:pPr>
            <w:r>
              <w:rPr>
                <w:sz w:val="21"/>
              </w:rPr>
              <w:t>New</w:t>
            </w:r>
            <w:r>
              <w:rPr>
                <w:spacing w:val="-5"/>
                <w:sz w:val="21"/>
              </w:rPr>
              <w:t xml:space="preserve"> </w:t>
            </w:r>
            <w:r>
              <w:rPr>
                <w:spacing w:val="-2"/>
                <w:sz w:val="21"/>
              </w:rPr>
              <w:t>Hampshire</w:t>
            </w:r>
          </w:p>
        </w:tc>
        <w:tc>
          <w:tcPr>
            <w:tcW w:w="1935" w:type="dxa"/>
          </w:tcPr>
          <w:p w:rsidR="003F5784" w14:paraId="40219CD7" w14:textId="77777777">
            <w:pPr>
              <w:pStyle w:val="TableParagraph"/>
              <w:ind w:right="623"/>
              <w:rPr>
                <w:sz w:val="21"/>
              </w:rPr>
            </w:pPr>
            <w:r>
              <w:rPr>
                <w:spacing w:val="-2"/>
                <w:sz w:val="21"/>
              </w:rPr>
              <w:t>86.89</w:t>
            </w:r>
          </w:p>
        </w:tc>
        <w:tc>
          <w:tcPr>
            <w:tcW w:w="1614" w:type="dxa"/>
          </w:tcPr>
          <w:p w:rsidR="003F5784" w14:paraId="648AA91D" w14:textId="77777777">
            <w:pPr>
              <w:pStyle w:val="TableParagraph"/>
              <w:ind w:left="9" w:right="9"/>
              <w:jc w:val="center"/>
              <w:rPr>
                <w:sz w:val="21"/>
              </w:rPr>
            </w:pPr>
            <w:r>
              <w:rPr>
                <w:spacing w:val="-4"/>
                <w:sz w:val="21"/>
              </w:rPr>
              <w:t>1.03</w:t>
            </w:r>
          </w:p>
        </w:tc>
        <w:tc>
          <w:tcPr>
            <w:tcW w:w="1806" w:type="dxa"/>
          </w:tcPr>
          <w:p w:rsidR="003F5784" w14:paraId="3686A28A" w14:textId="77777777">
            <w:pPr>
              <w:pStyle w:val="TableParagraph"/>
              <w:ind w:right="423"/>
              <w:rPr>
                <w:sz w:val="21"/>
              </w:rPr>
            </w:pPr>
            <w:r>
              <w:rPr>
                <w:spacing w:val="-4"/>
                <w:sz w:val="21"/>
              </w:rPr>
              <w:t>0.25</w:t>
            </w:r>
          </w:p>
        </w:tc>
        <w:tc>
          <w:tcPr>
            <w:tcW w:w="1170" w:type="dxa"/>
          </w:tcPr>
          <w:p w:rsidR="003F5784" w14:paraId="66165C46" w14:textId="77777777">
            <w:pPr>
              <w:pStyle w:val="TableParagraph"/>
              <w:ind w:right="199"/>
              <w:jc w:val="center"/>
              <w:rPr>
                <w:sz w:val="21"/>
              </w:rPr>
            </w:pPr>
            <w:r>
              <w:rPr>
                <w:spacing w:val="-2"/>
                <w:sz w:val="21"/>
              </w:rPr>
              <w:t>82.00</w:t>
            </w:r>
          </w:p>
        </w:tc>
        <w:tc>
          <w:tcPr>
            <w:tcW w:w="1614" w:type="dxa"/>
          </w:tcPr>
          <w:p w:rsidR="003F5784" w14:paraId="02DEE8F6" w14:textId="77777777">
            <w:pPr>
              <w:pStyle w:val="TableParagraph"/>
              <w:ind w:left="9" w:right="9"/>
              <w:jc w:val="center"/>
              <w:rPr>
                <w:sz w:val="21"/>
              </w:rPr>
            </w:pPr>
            <w:r>
              <w:rPr>
                <w:spacing w:val="-4"/>
                <w:sz w:val="21"/>
              </w:rPr>
              <w:t>1.29</w:t>
            </w:r>
          </w:p>
        </w:tc>
        <w:tc>
          <w:tcPr>
            <w:tcW w:w="1536" w:type="dxa"/>
          </w:tcPr>
          <w:p w:rsidR="003F5784" w14:paraId="3C9BDEB0" w14:textId="77777777">
            <w:pPr>
              <w:pStyle w:val="TableParagraph"/>
              <w:ind w:right="117"/>
              <w:rPr>
                <w:sz w:val="21"/>
              </w:rPr>
            </w:pPr>
            <w:r>
              <w:rPr>
                <w:spacing w:val="-4"/>
                <w:sz w:val="21"/>
              </w:rPr>
              <w:t>0.19</w:t>
            </w:r>
          </w:p>
        </w:tc>
      </w:tr>
      <w:tr w14:paraId="4B07027D"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15E5A0F2" w14:textId="77777777">
            <w:pPr>
              <w:pStyle w:val="TableParagraph"/>
              <w:ind w:left="120"/>
              <w:jc w:val="left"/>
              <w:rPr>
                <w:sz w:val="21"/>
              </w:rPr>
            </w:pPr>
            <w:r>
              <w:rPr>
                <w:sz w:val="21"/>
              </w:rPr>
              <w:t>New</w:t>
            </w:r>
            <w:r>
              <w:rPr>
                <w:spacing w:val="-5"/>
                <w:sz w:val="21"/>
              </w:rPr>
              <w:t xml:space="preserve"> </w:t>
            </w:r>
            <w:r>
              <w:rPr>
                <w:spacing w:val="-2"/>
                <w:sz w:val="21"/>
              </w:rPr>
              <w:t>Jersey</w:t>
            </w:r>
          </w:p>
        </w:tc>
        <w:tc>
          <w:tcPr>
            <w:tcW w:w="1935" w:type="dxa"/>
          </w:tcPr>
          <w:p w:rsidR="003F5784" w14:paraId="255C1FEF" w14:textId="77777777">
            <w:pPr>
              <w:pStyle w:val="TableParagraph"/>
              <w:ind w:right="623"/>
              <w:rPr>
                <w:sz w:val="21"/>
              </w:rPr>
            </w:pPr>
            <w:r>
              <w:rPr>
                <w:spacing w:val="-2"/>
                <w:sz w:val="21"/>
              </w:rPr>
              <w:t>92.15</w:t>
            </w:r>
          </w:p>
        </w:tc>
        <w:tc>
          <w:tcPr>
            <w:tcW w:w="1614" w:type="dxa"/>
          </w:tcPr>
          <w:p w:rsidR="003F5784" w14:paraId="5A41DA41" w14:textId="77777777">
            <w:pPr>
              <w:pStyle w:val="TableParagraph"/>
              <w:ind w:left="9" w:right="9"/>
              <w:jc w:val="center"/>
              <w:rPr>
                <w:sz w:val="21"/>
              </w:rPr>
            </w:pPr>
            <w:r>
              <w:rPr>
                <w:spacing w:val="-4"/>
                <w:sz w:val="21"/>
              </w:rPr>
              <w:t>1.23</w:t>
            </w:r>
          </w:p>
        </w:tc>
        <w:tc>
          <w:tcPr>
            <w:tcW w:w="1806" w:type="dxa"/>
          </w:tcPr>
          <w:p w:rsidR="003F5784" w14:paraId="2B5EE5ED" w14:textId="77777777">
            <w:pPr>
              <w:pStyle w:val="TableParagraph"/>
              <w:ind w:right="423"/>
              <w:rPr>
                <w:sz w:val="21"/>
              </w:rPr>
            </w:pPr>
            <w:r>
              <w:rPr>
                <w:spacing w:val="-4"/>
                <w:sz w:val="21"/>
              </w:rPr>
              <w:t>0.93</w:t>
            </w:r>
          </w:p>
        </w:tc>
        <w:tc>
          <w:tcPr>
            <w:tcW w:w="1170" w:type="dxa"/>
          </w:tcPr>
          <w:p w:rsidR="003F5784" w14:paraId="72A787AA" w14:textId="77777777">
            <w:pPr>
              <w:pStyle w:val="TableParagraph"/>
              <w:ind w:right="199"/>
              <w:jc w:val="center"/>
              <w:rPr>
                <w:sz w:val="21"/>
              </w:rPr>
            </w:pPr>
            <w:r>
              <w:rPr>
                <w:spacing w:val="-2"/>
                <w:sz w:val="21"/>
              </w:rPr>
              <w:t>91.20</w:t>
            </w:r>
          </w:p>
        </w:tc>
        <w:tc>
          <w:tcPr>
            <w:tcW w:w="1614" w:type="dxa"/>
          </w:tcPr>
          <w:p w:rsidR="003F5784" w14:paraId="200C8B68" w14:textId="77777777">
            <w:pPr>
              <w:pStyle w:val="TableParagraph"/>
              <w:ind w:left="9" w:right="9"/>
              <w:jc w:val="center"/>
              <w:rPr>
                <w:sz w:val="21"/>
              </w:rPr>
            </w:pPr>
            <w:r>
              <w:rPr>
                <w:spacing w:val="-4"/>
                <w:sz w:val="21"/>
              </w:rPr>
              <w:t>0.77</w:t>
            </w:r>
          </w:p>
        </w:tc>
        <w:tc>
          <w:tcPr>
            <w:tcW w:w="1536" w:type="dxa"/>
          </w:tcPr>
          <w:p w:rsidR="003F5784" w14:paraId="1C4CD7FF" w14:textId="77777777">
            <w:pPr>
              <w:pStyle w:val="TableParagraph"/>
              <w:ind w:right="117"/>
              <w:rPr>
                <w:sz w:val="21"/>
              </w:rPr>
            </w:pPr>
            <w:r>
              <w:rPr>
                <w:spacing w:val="-4"/>
                <w:sz w:val="21"/>
              </w:rPr>
              <w:t>0.83</w:t>
            </w:r>
          </w:p>
        </w:tc>
      </w:tr>
      <w:tr w14:paraId="7F2CC87A"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66F75FBB" w14:textId="77777777">
            <w:pPr>
              <w:pStyle w:val="TableParagraph"/>
              <w:ind w:left="120"/>
              <w:jc w:val="left"/>
              <w:rPr>
                <w:sz w:val="21"/>
              </w:rPr>
            </w:pPr>
            <w:r>
              <w:rPr>
                <w:sz w:val="21"/>
              </w:rPr>
              <w:t>New</w:t>
            </w:r>
            <w:r>
              <w:rPr>
                <w:spacing w:val="-5"/>
                <w:sz w:val="21"/>
              </w:rPr>
              <w:t xml:space="preserve"> </w:t>
            </w:r>
            <w:r>
              <w:rPr>
                <w:spacing w:val="-2"/>
                <w:sz w:val="21"/>
              </w:rPr>
              <w:t>Mexico–Albuquerque</w:t>
            </w:r>
          </w:p>
        </w:tc>
        <w:tc>
          <w:tcPr>
            <w:tcW w:w="1935" w:type="dxa"/>
          </w:tcPr>
          <w:p w:rsidR="003F5784" w14:paraId="3B207F79" w14:textId="77777777">
            <w:pPr>
              <w:pStyle w:val="TableParagraph"/>
              <w:ind w:right="623"/>
              <w:rPr>
                <w:sz w:val="21"/>
              </w:rPr>
            </w:pPr>
            <w:r>
              <w:rPr>
                <w:spacing w:val="-2"/>
                <w:sz w:val="21"/>
              </w:rPr>
              <w:t>91.29</w:t>
            </w:r>
          </w:p>
        </w:tc>
        <w:tc>
          <w:tcPr>
            <w:tcW w:w="1614" w:type="dxa"/>
          </w:tcPr>
          <w:p w:rsidR="003F5784" w14:paraId="68C70611" w14:textId="77777777">
            <w:pPr>
              <w:pStyle w:val="TableParagraph"/>
              <w:ind w:left="9" w:right="9"/>
              <w:jc w:val="center"/>
              <w:rPr>
                <w:sz w:val="21"/>
              </w:rPr>
            </w:pPr>
            <w:r>
              <w:rPr>
                <w:spacing w:val="-4"/>
                <w:sz w:val="21"/>
              </w:rPr>
              <w:t>0.46</w:t>
            </w:r>
          </w:p>
        </w:tc>
        <w:tc>
          <w:tcPr>
            <w:tcW w:w="1806" w:type="dxa"/>
          </w:tcPr>
          <w:p w:rsidR="003F5784" w14:paraId="3640B476" w14:textId="77777777">
            <w:pPr>
              <w:pStyle w:val="TableParagraph"/>
              <w:ind w:right="423"/>
              <w:rPr>
                <w:sz w:val="21"/>
              </w:rPr>
            </w:pPr>
            <w:r>
              <w:rPr>
                <w:spacing w:val="-4"/>
                <w:sz w:val="21"/>
              </w:rPr>
              <w:t>0.17</w:t>
            </w:r>
          </w:p>
        </w:tc>
        <w:tc>
          <w:tcPr>
            <w:tcW w:w="1170" w:type="dxa"/>
          </w:tcPr>
          <w:p w:rsidR="003F5784" w14:paraId="6B57D720" w14:textId="77777777">
            <w:pPr>
              <w:pStyle w:val="TableParagraph"/>
              <w:ind w:right="199"/>
              <w:jc w:val="center"/>
              <w:rPr>
                <w:sz w:val="21"/>
              </w:rPr>
            </w:pPr>
            <w:r>
              <w:rPr>
                <w:spacing w:val="-2"/>
                <w:sz w:val="21"/>
              </w:rPr>
              <w:t>85.50</w:t>
            </w:r>
          </w:p>
        </w:tc>
        <w:tc>
          <w:tcPr>
            <w:tcW w:w="1614" w:type="dxa"/>
          </w:tcPr>
          <w:p w:rsidR="003F5784" w14:paraId="23E4D2AC" w14:textId="77777777">
            <w:pPr>
              <w:pStyle w:val="TableParagraph"/>
              <w:ind w:left="9" w:right="9"/>
              <w:jc w:val="center"/>
              <w:rPr>
                <w:sz w:val="21"/>
              </w:rPr>
            </w:pPr>
            <w:r>
              <w:rPr>
                <w:spacing w:val="-4"/>
                <w:sz w:val="21"/>
              </w:rPr>
              <w:t>1.37</w:t>
            </w:r>
          </w:p>
        </w:tc>
        <w:tc>
          <w:tcPr>
            <w:tcW w:w="1536" w:type="dxa"/>
          </w:tcPr>
          <w:p w:rsidR="003F5784" w14:paraId="1C72E7A1" w14:textId="77777777">
            <w:pPr>
              <w:pStyle w:val="TableParagraph"/>
              <w:ind w:right="117"/>
              <w:rPr>
                <w:sz w:val="21"/>
              </w:rPr>
            </w:pPr>
            <w:r>
              <w:rPr>
                <w:spacing w:val="-4"/>
                <w:sz w:val="21"/>
              </w:rPr>
              <w:t>1.01</w:t>
            </w:r>
          </w:p>
        </w:tc>
      </w:tr>
      <w:tr w14:paraId="50BF4926"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7413EAFA" w14:textId="77777777">
            <w:pPr>
              <w:pStyle w:val="TableParagraph"/>
              <w:ind w:left="120"/>
              <w:jc w:val="left"/>
              <w:rPr>
                <w:sz w:val="21"/>
              </w:rPr>
            </w:pPr>
            <w:r>
              <w:rPr>
                <w:sz w:val="21"/>
              </w:rPr>
              <w:t>New</w:t>
            </w:r>
            <w:r>
              <w:rPr>
                <w:spacing w:val="-5"/>
                <w:sz w:val="21"/>
              </w:rPr>
              <w:t xml:space="preserve"> </w:t>
            </w:r>
            <w:r>
              <w:rPr>
                <w:spacing w:val="-2"/>
                <w:sz w:val="21"/>
              </w:rPr>
              <w:t>Mexico</w:t>
            </w:r>
          </w:p>
        </w:tc>
        <w:tc>
          <w:tcPr>
            <w:tcW w:w="1935" w:type="dxa"/>
          </w:tcPr>
          <w:p w:rsidR="003F5784" w14:paraId="3B2A5FFF" w14:textId="77777777">
            <w:pPr>
              <w:pStyle w:val="TableParagraph"/>
              <w:ind w:right="623"/>
              <w:rPr>
                <w:sz w:val="21"/>
              </w:rPr>
            </w:pPr>
            <w:r>
              <w:rPr>
                <w:spacing w:val="-2"/>
                <w:sz w:val="21"/>
              </w:rPr>
              <w:t>90.58</w:t>
            </w:r>
          </w:p>
        </w:tc>
        <w:tc>
          <w:tcPr>
            <w:tcW w:w="1614" w:type="dxa"/>
          </w:tcPr>
          <w:p w:rsidR="003F5784" w14:paraId="63B1981F" w14:textId="77777777">
            <w:pPr>
              <w:pStyle w:val="TableParagraph"/>
              <w:ind w:left="9" w:right="9"/>
              <w:jc w:val="center"/>
              <w:rPr>
                <w:sz w:val="21"/>
              </w:rPr>
            </w:pPr>
            <w:r>
              <w:rPr>
                <w:spacing w:val="-4"/>
                <w:sz w:val="21"/>
              </w:rPr>
              <w:t>1.40</w:t>
            </w:r>
          </w:p>
        </w:tc>
        <w:tc>
          <w:tcPr>
            <w:tcW w:w="1806" w:type="dxa"/>
          </w:tcPr>
          <w:p w:rsidR="003F5784" w14:paraId="2F25B8FA" w14:textId="77777777">
            <w:pPr>
              <w:pStyle w:val="TableParagraph"/>
              <w:ind w:right="423"/>
              <w:rPr>
                <w:sz w:val="21"/>
              </w:rPr>
            </w:pPr>
            <w:r>
              <w:rPr>
                <w:spacing w:val="-4"/>
                <w:sz w:val="21"/>
              </w:rPr>
              <w:t>0.48</w:t>
            </w:r>
          </w:p>
        </w:tc>
        <w:tc>
          <w:tcPr>
            <w:tcW w:w="1170" w:type="dxa"/>
          </w:tcPr>
          <w:p w:rsidR="003F5784" w14:paraId="55360EE2" w14:textId="77777777">
            <w:pPr>
              <w:pStyle w:val="TableParagraph"/>
              <w:ind w:right="199"/>
              <w:jc w:val="center"/>
              <w:rPr>
                <w:sz w:val="21"/>
              </w:rPr>
            </w:pPr>
            <w:r>
              <w:rPr>
                <w:spacing w:val="-2"/>
                <w:sz w:val="21"/>
              </w:rPr>
              <w:t>88.36</w:t>
            </w:r>
          </w:p>
        </w:tc>
        <w:tc>
          <w:tcPr>
            <w:tcW w:w="1614" w:type="dxa"/>
          </w:tcPr>
          <w:p w:rsidR="003F5784" w14:paraId="15E5D98F" w14:textId="77777777">
            <w:pPr>
              <w:pStyle w:val="TableParagraph"/>
              <w:ind w:left="9" w:right="9"/>
              <w:jc w:val="center"/>
              <w:rPr>
                <w:sz w:val="21"/>
              </w:rPr>
            </w:pPr>
            <w:r>
              <w:rPr>
                <w:spacing w:val="-4"/>
                <w:sz w:val="21"/>
              </w:rPr>
              <w:t>1.43</w:t>
            </w:r>
          </w:p>
        </w:tc>
        <w:tc>
          <w:tcPr>
            <w:tcW w:w="1536" w:type="dxa"/>
          </w:tcPr>
          <w:p w:rsidR="003F5784" w14:paraId="2DD7F42E" w14:textId="77777777">
            <w:pPr>
              <w:pStyle w:val="TableParagraph"/>
              <w:ind w:right="117"/>
              <w:rPr>
                <w:sz w:val="21"/>
              </w:rPr>
            </w:pPr>
            <w:r>
              <w:rPr>
                <w:spacing w:val="-4"/>
                <w:sz w:val="21"/>
              </w:rPr>
              <w:t>0.52</w:t>
            </w:r>
          </w:p>
        </w:tc>
      </w:tr>
      <w:tr w14:paraId="448F69A3"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556618BC" w14:textId="77777777">
            <w:pPr>
              <w:pStyle w:val="TableParagraph"/>
              <w:ind w:left="120"/>
              <w:jc w:val="left"/>
              <w:rPr>
                <w:sz w:val="21"/>
              </w:rPr>
            </w:pPr>
            <w:r>
              <w:rPr>
                <w:spacing w:val="-4"/>
                <w:sz w:val="21"/>
              </w:rPr>
              <w:t>New</w:t>
            </w:r>
            <w:r>
              <w:rPr>
                <w:spacing w:val="-9"/>
                <w:sz w:val="21"/>
              </w:rPr>
              <w:t xml:space="preserve"> </w:t>
            </w:r>
            <w:r>
              <w:rPr>
                <w:spacing w:val="-4"/>
                <w:sz w:val="21"/>
              </w:rPr>
              <w:t>York–New</w:t>
            </w:r>
            <w:r>
              <w:rPr>
                <w:spacing w:val="-9"/>
                <w:sz w:val="21"/>
              </w:rPr>
              <w:t xml:space="preserve"> </w:t>
            </w:r>
            <w:r>
              <w:rPr>
                <w:spacing w:val="-4"/>
                <w:sz w:val="21"/>
              </w:rPr>
              <w:t>York</w:t>
            </w:r>
            <w:r>
              <w:rPr>
                <w:spacing w:val="-1"/>
                <w:sz w:val="21"/>
              </w:rPr>
              <w:t xml:space="preserve"> </w:t>
            </w:r>
            <w:r>
              <w:rPr>
                <w:spacing w:val="-4"/>
                <w:sz w:val="21"/>
              </w:rPr>
              <w:t>City</w:t>
            </w:r>
          </w:p>
        </w:tc>
        <w:tc>
          <w:tcPr>
            <w:tcW w:w="1935" w:type="dxa"/>
          </w:tcPr>
          <w:p w:rsidR="003F5784" w14:paraId="48CFCDA5" w14:textId="77777777">
            <w:pPr>
              <w:pStyle w:val="TableParagraph"/>
              <w:ind w:right="623"/>
              <w:rPr>
                <w:sz w:val="21"/>
              </w:rPr>
            </w:pPr>
            <w:r>
              <w:rPr>
                <w:spacing w:val="-2"/>
                <w:sz w:val="21"/>
              </w:rPr>
              <w:t>87.37</w:t>
            </w:r>
          </w:p>
        </w:tc>
        <w:tc>
          <w:tcPr>
            <w:tcW w:w="1614" w:type="dxa"/>
          </w:tcPr>
          <w:p w:rsidR="003F5784" w14:paraId="67111B9D" w14:textId="77777777">
            <w:pPr>
              <w:pStyle w:val="TableParagraph"/>
              <w:ind w:left="9" w:right="9"/>
              <w:jc w:val="center"/>
              <w:rPr>
                <w:sz w:val="21"/>
              </w:rPr>
            </w:pPr>
            <w:r>
              <w:rPr>
                <w:spacing w:val="-4"/>
                <w:sz w:val="21"/>
              </w:rPr>
              <w:t>0.25</w:t>
            </w:r>
          </w:p>
        </w:tc>
        <w:tc>
          <w:tcPr>
            <w:tcW w:w="1806" w:type="dxa"/>
          </w:tcPr>
          <w:p w:rsidR="003F5784" w14:paraId="165D4CB9" w14:textId="77777777">
            <w:pPr>
              <w:pStyle w:val="TableParagraph"/>
              <w:ind w:right="423"/>
              <w:rPr>
                <w:sz w:val="21"/>
              </w:rPr>
            </w:pPr>
            <w:r>
              <w:rPr>
                <w:spacing w:val="-4"/>
                <w:sz w:val="21"/>
              </w:rPr>
              <w:t>1.01</w:t>
            </w:r>
          </w:p>
        </w:tc>
        <w:tc>
          <w:tcPr>
            <w:tcW w:w="1170" w:type="dxa"/>
          </w:tcPr>
          <w:p w:rsidR="003F5784" w14:paraId="14552442" w14:textId="77777777">
            <w:pPr>
              <w:pStyle w:val="TableParagraph"/>
              <w:ind w:right="199"/>
              <w:jc w:val="center"/>
              <w:rPr>
                <w:sz w:val="21"/>
              </w:rPr>
            </w:pPr>
            <w:r>
              <w:rPr>
                <w:spacing w:val="-2"/>
                <w:sz w:val="21"/>
              </w:rPr>
              <w:t>83.59</w:t>
            </w:r>
          </w:p>
        </w:tc>
        <w:tc>
          <w:tcPr>
            <w:tcW w:w="1614" w:type="dxa"/>
          </w:tcPr>
          <w:p w:rsidR="003F5784" w14:paraId="215CC3A8" w14:textId="77777777">
            <w:pPr>
              <w:pStyle w:val="TableParagraph"/>
              <w:ind w:left="9" w:right="9"/>
              <w:jc w:val="center"/>
              <w:rPr>
                <w:sz w:val="21"/>
              </w:rPr>
            </w:pPr>
            <w:r>
              <w:rPr>
                <w:spacing w:val="-4"/>
                <w:sz w:val="21"/>
              </w:rPr>
              <w:t>0.45</w:t>
            </w:r>
          </w:p>
        </w:tc>
        <w:tc>
          <w:tcPr>
            <w:tcW w:w="1536" w:type="dxa"/>
          </w:tcPr>
          <w:p w:rsidR="003F5784" w14:paraId="7ECAC909" w14:textId="77777777">
            <w:pPr>
              <w:pStyle w:val="TableParagraph"/>
              <w:ind w:right="117"/>
              <w:rPr>
                <w:sz w:val="21"/>
              </w:rPr>
            </w:pPr>
            <w:r>
              <w:rPr>
                <w:spacing w:val="-4"/>
                <w:sz w:val="21"/>
              </w:rPr>
              <w:t>0.49</w:t>
            </w:r>
          </w:p>
        </w:tc>
      </w:tr>
      <w:tr w14:paraId="310E0679"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4CD4665C" w14:textId="77777777">
            <w:pPr>
              <w:pStyle w:val="TableParagraph"/>
              <w:ind w:left="120"/>
              <w:jc w:val="left"/>
              <w:rPr>
                <w:sz w:val="21"/>
              </w:rPr>
            </w:pPr>
            <w:r>
              <w:rPr>
                <w:sz w:val="21"/>
              </w:rPr>
              <w:t>New</w:t>
            </w:r>
            <w:r>
              <w:rPr>
                <w:spacing w:val="-13"/>
                <w:sz w:val="21"/>
              </w:rPr>
              <w:t xml:space="preserve"> </w:t>
            </w:r>
            <w:r>
              <w:rPr>
                <w:spacing w:val="-4"/>
                <w:sz w:val="21"/>
              </w:rPr>
              <w:t>York</w:t>
            </w:r>
          </w:p>
        </w:tc>
        <w:tc>
          <w:tcPr>
            <w:tcW w:w="1935" w:type="dxa"/>
          </w:tcPr>
          <w:p w:rsidR="003F5784" w14:paraId="0B67B097" w14:textId="77777777">
            <w:pPr>
              <w:pStyle w:val="TableParagraph"/>
              <w:ind w:right="623"/>
              <w:rPr>
                <w:sz w:val="21"/>
              </w:rPr>
            </w:pPr>
            <w:r>
              <w:rPr>
                <w:spacing w:val="-2"/>
                <w:sz w:val="21"/>
              </w:rPr>
              <w:t>86.46</w:t>
            </w:r>
          </w:p>
        </w:tc>
        <w:tc>
          <w:tcPr>
            <w:tcW w:w="1614" w:type="dxa"/>
          </w:tcPr>
          <w:p w:rsidR="003F5784" w14:paraId="23EE4A2D" w14:textId="77777777">
            <w:pPr>
              <w:pStyle w:val="TableParagraph"/>
              <w:ind w:left="9" w:right="9"/>
              <w:jc w:val="center"/>
              <w:rPr>
                <w:sz w:val="21"/>
              </w:rPr>
            </w:pPr>
            <w:r>
              <w:rPr>
                <w:spacing w:val="-4"/>
                <w:sz w:val="21"/>
              </w:rPr>
              <w:t>0.69</w:t>
            </w:r>
          </w:p>
        </w:tc>
        <w:tc>
          <w:tcPr>
            <w:tcW w:w="1806" w:type="dxa"/>
          </w:tcPr>
          <w:p w:rsidR="003F5784" w14:paraId="07A07878" w14:textId="77777777">
            <w:pPr>
              <w:pStyle w:val="TableParagraph"/>
              <w:ind w:right="423"/>
              <w:rPr>
                <w:sz w:val="21"/>
              </w:rPr>
            </w:pPr>
            <w:r>
              <w:rPr>
                <w:spacing w:val="-4"/>
                <w:sz w:val="21"/>
              </w:rPr>
              <w:t>0.59</w:t>
            </w:r>
          </w:p>
        </w:tc>
        <w:tc>
          <w:tcPr>
            <w:tcW w:w="1170" w:type="dxa"/>
          </w:tcPr>
          <w:p w:rsidR="003F5784" w14:paraId="323A3816" w14:textId="77777777">
            <w:pPr>
              <w:pStyle w:val="TableParagraph"/>
              <w:ind w:right="199"/>
              <w:jc w:val="center"/>
              <w:rPr>
                <w:sz w:val="21"/>
              </w:rPr>
            </w:pPr>
            <w:r>
              <w:rPr>
                <w:spacing w:val="-2"/>
                <w:sz w:val="21"/>
              </w:rPr>
              <w:t>81.09</w:t>
            </w:r>
          </w:p>
        </w:tc>
        <w:tc>
          <w:tcPr>
            <w:tcW w:w="1614" w:type="dxa"/>
          </w:tcPr>
          <w:p w:rsidR="003F5784" w14:paraId="7E866913" w14:textId="77777777">
            <w:pPr>
              <w:pStyle w:val="TableParagraph"/>
              <w:ind w:left="9" w:right="9"/>
              <w:jc w:val="center"/>
              <w:rPr>
                <w:sz w:val="21"/>
              </w:rPr>
            </w:pPr>
            <w:r>
              <w:rPr>
                <w:spacing w:val="-4"/>
                <w:sz w:val="21"/>
              </w:rPr>
              <w:t>1.22</w:t>
            </w:r>
          </w:p>
        </w:tc>
        <w:tc>
          <w:tcPr>
            <w:tcW w:w="1536" w:type="dxa"/>
          </w:tcPr>
          <w:p w:rsidR="003F5784" w14:paraId="0579E9E1" w14:textId="77777777">
            <w:pPr>
              <w:pStyle w:val="TableParagraph"/>
              <w:ind w:right="117"/>
              <w:rPr>
                <w:sz w:val="21"/>
              </w:rPr>
            </w:pPr>
            <w:r>
              <w:rPr>
                <w:spacing w:val="-4"/>
                <w:sz w:val="21"/>
              </w:rPr>
              <w:t>0.51</w:t>
            </w:r>
          </w:p>
        </w:tc>
      </w:tr>
      <w:tr w14:paraId="0565F395"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021B3078" w14:textId="77777777">
            <w:pPr>
              <w:pStyle w:val="TableParagraph"/>
              <w:ind w:left="120"/>
              <w:jc w:val="left"/>
              <w:rPr>
                <w:sz w:val="21"/>
              </w:rPr>
            </w:pPr>
            <w:r>
              <w:rPr>
                <w:sz w:val="21"/>
              </w:rPr>
              <w:t>North</w:t>
            </w:r>
            <w:r>
              <w:rPr>
                <w:spacing w:val="-6"/>
                <w:sz w:val="21"/>
              </w:rPr>
              <w:t xml:space="preserve"> </w:t>
            </w:r>
            <w:r>
              <w:rPr>
                <w:spacing w:val="-2"/>
                <w:sz w:val="21"/>
              </w:rPr>
              <w:t>Carolina–Charlotte</w:t>
            </w:r>
          </w:p>
        </w:tc>
        <w:tc>
          <w:tcPr>
            <w:tcW w:w="1935" w:type="dxa"/>
          </w:tcPr>
          <w:p w:rsidR="003F5784" w14:paraId="681F1D45" w14:textId="77777777">
            <w:pPr>
              <w:pStyle w:val="TableParagraph"/>
              <w:ind w:right="623"/>
              <w:rPr>
                <w:sz w:val="21"/>
              </w:rPr>
            </w:pPr>
            <w:r>
              <w:rPr>
                <w:spacing w:val="-2"/>
                <w:sz w:val="21"/>
              </w:rPr>
              <w:t>92.44</w:t>
            </w:r>
          </w:p>
        </w:tc>
        <w:tc>
          <w:tcPr>
            <w:tcW w:w="1614" w:type="dxa"/>
          </w:tcPr>
          <w:p w:rsidR="003F5784" w14:paraId="0CB2CA52" w14:textId="77777777">
            <w:pPr>
              <w:pStyle w:val="TableParagraph"/>
              <w:ind w:left="9" w:right="9"/>
              <w:jc w:val="center"/>
              <w:rPr>
                <w:sz w:val="21"/>
              </w:rPr>
            </w:pPr>
            <w:r>
              <w:rPr>
                <w:spacing w:val="-4"/>
                <w:sz w:val="21"/>
              </w:rPr>
              <w:t>1.13</w:t>
            </w:r>
          </w:p>
        </w:tc>
        <w:tc>
          <w:tcPr>
            <w:tcW w:w="1806" w:type="dxa"/>
          </w:tcPr>
          <w:p w:rsidR="003F5784" w14:paraId="420865A2" w14:textId="77777777">
            <w:pPr>
              <w:pStyle w:val="TableParagraph"/>
              <w:ind w:right="423"/>
              <w:rPr>
                <w:sz w:val="21"/>
              </w:rPr>
            </w:pPr>
            <w:r>
              <w:rPr>
                <w:spacing w:val="-4"/>
                <w:sz w:val="21"/>
              </w:rPr>
              <w:t>1.68</w:t>
            </w:r>
          </w:p>
        </w:tc>
        <w:tc>
          <w:tcPr>
            <w:tcW w:w="1170" w:type="dxa"/>
          </w:tcPr>
          <w:p w:rsidR="003F5784" w14:paraId="572FDA62" w14:textId="77777777">
            <w:pPr>
              <w:pStyle w:val="TableParagraph"/>
              <w:ind w:right="199"/>
              <w:jc w:val="center"/>
              <w:rPr>
                <w:sz w:val="21"/>
              </w:rPr>
            </w:pPr>
            <w:r>
              <w:rPr>
                <w:spacing w:val="-2"/>
                <w:sz w:val="21"/>
              </w:rPr>
              <w:t>89.89</w:t>
            </w:r>
          </w:p>
        </w:tc>
        <w:tc>
          <w:tcPr>
            <w:tcW w:w="1614" w:type="dxa"/>
          </w:tcPr>
          <w:p w:rsidR="003F5784" w14:paraId="61D9B5F8" w14:textId="77777777">
            <w:pPr>
              <w:pStyle w:val="TableParagraph"/>
              <w:ind w:left="9" w:right="9"/>
              <w:jc w:val="center"/>
              <w:rPr>
                <w:sz w:val="21"/>
              </w:rPr>
            </w:pPr>
            <w:r>
              <w:rPr>
                <w:spacing w:val="-4"/>
                <w:sz w:val="21"/>
              </w:rPr>
              <w:t>1.63</w:t>
            </w:r>
          </w:p>
        </w:tc>
        <w:tc>
          <w:tcPr>
            <w:tcW w:w="1536" w:type="dxa"/>
          </w:tcPr>
          <w:p w:rsidR="003F5784" w14:paraId="7826D929" w14:textId="77777777">
            <w:pPr>
              <w:pStyle w:val="TableParagraph"/>
              <w:ind w:right="117"/>
              <w:rPr>
                <w:sz w:val="21"/>
              </w:rPr>
            </w:pPr>
            <w:r>
              <w:rPr>
                <w:spacing w:val="-4"/>
                <w:sz w:val="21"/>
              </w:rPr>
              <w:t>1.81</w:t>
            </w:r>
          </w:p>
        </w:tc>
      </w:tr>
      <w:tr w14:paraId="16F4C4FB"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333E4E02" w14:textId="77777777">
            <w:pPr>
              <w:pStyle w:val="TableParagraph"/>
              <w:ind w:left="120"/>
              <w:jc w:val="left"/>
              <w:rPr>
                <w:sz w:val="21"/>
              </w:rPr>
            </w:pPr>
            <w:r>
              <w:rPr>
                <w:sz w:val="21"/>
              </w:rPr>
              <w:t>North</w:t>
            </w:r>
            <w:r>
              <w:rPr>
                <w:spacing w:val="-12"/>
                <w:sz w:val="21"/>
              </w:rPr>
              <w:t xml:space="preserve"> </w:t>
            </w:r>
            <w:r>
              <w:rPr>
                <w:sz w:val="21"/>
              </w:rPr>
              <w:t>Carolina–Guilford</w:t>
            </w:r>
            <w:r>
              <w:rPr>
                <w:spacing w:val="-11"/>
                <w:sz w:val="21"/>
              </w:rPr>
              <w:t xml:space="preserve"> </w:t>
            </w:r>
            <w:r>
              <w:rPr>
                <w:spacing w:val="-2"/>
                <w:sz w:val="21"/>
              </w:rPr>
              <w:t>County</w:t>
            </w:r>
          </w:p>
        </w:tc>
        <w:tc>
          <w:tcPr>
            <w:tcW w:w="1935" w:type="dxa"/>
          </w:tcPr>
          <w:p w:rsidR="003F5784" w14:paraId="78436303" w14:textId="77777777">
            <w:pPr>
              <w:pStyle w:val="TableParagraph"/>
              <w:ind w:right="623"/>
              <w:rPr>
                <w:sz w:val="21"/>
              </w:rPr>
            </w:pPr>
            <w:r>
              <w:rPr>
                <w:spacing w:val="-2"/>
                <w:sz w:val="21"/>
              </w:rPr>
              <w:t>92.62</w:t>
            </w:r>
          </w:p>
        </w:tc>
        <w:tc>
          <w:tcPr>
            <w:tcW w:w="1614" w:type="dxa"/>
          </w:tcPr>
          <w:p w:rsidR="003F5784" w14:paraId="4C3A6473" w14:textId="77777777">
            <w:pPr>
              <w:pStyle w:val="TableParagraph"/>
              <w:ind w:left="9" w:right="9"/>
              <w:jc w:val="center"/>
              <w:rPr>
                <w:sz w:val="21"/>
              </w:rPr>
            </w:pPr>
            <w:r>
              <w:rPr>
                <w:spacing w:val="-4"/>
                <w:sz w:val="21"/>
              </w:rPr>
              <w:t>1.35</w:t>
            </w:r>
          </w:p>
        </w:tc>
        <w:tc>
          <w:tcPr>
            <w:tcW w:w="1806" w:type="dxa"/>
          </w:tcPr>
          <w:p w:rsidR="003F5784" w14:paraId="772C5B14" w14:textId="77777777">
            <w:pPr>
              <w:pStyle w:val="TableParagraph"/>
              <w:ind w:right="423"/>
              <w:rPr>
                <w:sz w:val="21"/>
              </w:rPr>
            </w:pPr>
            <w:r>
              <w:rPr>
                <w:spacing w:val="-4"/>
                <w:sz w:val="21"/>
              </w:rPr>
              <w:t>0.11</w:t>
            </w:r>
          </w:p>
        </w:tc>
        <w:tc>
          <w:tcPr>
            <w:tcW w:w="1170" w:type="dxa"/>
          </w:tcPr>
          <w:p w:rsidR="003F5784" w14:paraId="7BAEFD28" w14:textId="77777777">
            <w:pPr>
              <w:pStyle w:val="TableParagraph"/>
              <w:ind w:right="199"/>
              <w:jc w:val="center"/>
              <w:rPr>
                <w:sz w:val="21"/>
              </w:rPr>
            </w:pPr>
            <w:r>
              <w:rPr>
                <w:spacing w:val="-2"/>
                <w:sz w:val="21"/>
              </w:rPr>
              <w:t>89.25</w:t>
            </w:r>
          </w:p>
        </w:tc>
        <w:tc>
          <w:tcPr>
            <w:tcW w:w="1614" w:type="dxa"/>
          </w:tcPr>
          <w:p w:rsidR="003F5784" w14:paraId="0332E125" w14:textId="77777777">
            <w:pPr>
              <w:pStyle w:val="TableParagraph"/>
              <w:ind w:left="9" w:right="9"/>
              <w:jc w:val="center"/>
              <w:rPr>
                <w:sz w:val="21"/>
              </w:rPr>
            </w:pPr>
            <w:r>
              <w:rPr>
                <w:spacing w:val="-4"/>
                <w:sz w:val="21"/>
              </w:rPr>
              <w:t>1.58</w:t>
            </w:r>
          </w:p>
        </w:tc>
        <w:tc>
          <w:tcPr>
            <w:tcW w:w="1536" w:type="dxa"/>
          </w:tcPr>
          <w:p w:rsidR="003F5784" w14:paraId="51F3F46C" w14:textId="77777777">
            <w:pPr>
              <w:pStyle w:val="TableParagraph"/>
              <w:ind w:right="117"/>
              <w:rPr>
                <w:sz w:val="21"/>
              </w:rPr>
            </w:pPr>
            <w:r>
              <w:rPr>
                <w:spacing w:val="-4"/>
                <w:sz w:val="21"/>
              </w:rPr>
              <w:t>0.44</w:t>
            </w:r>
          </w:p>
        </w:tc>
      </w:tr>
      <w:tr w14:paraId="11EEC0AB"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47359152" w14:textId="77777777">
            <w:pPr>
              <w:pStyle w:val="TableParagraph"/>
              <w:ind w:left="120"/>
              <w:jc w:val="left"/>
              <w:rPr>
                <w:sz w:val="21"/>
              </w:rPr>
            </w:pPr>
            <w:r>
              <w:rPr>
                <w:sz w:val="21"/>
              </w:rPr>
              <w:t>North</w:t>
            </w:r>
            <w:r>
              <w:rPr>
                <w:spacing w:val="-6"/>
                <w:sz w:val="21"/>
              </w:rPr>
              <w:t xml:space="preserve"> </w:t>
            </w:r>
            <w:r>
              <w:rPr>
                <w:spacing w:val="-2"/>
                <w:sz w:val="21"/>
              </w:rPr>
              <w:t>Carolina</w:t>
            </w:r>
          </w:p>
        </w:tc>
        <w:tc>
          <w:tcPr>
            <w:tcW w:w="1935" w:type="dxa"/>
          </w:tcPr>
          <w:p w:rsidR="003F5784" w14:paraId="6D14E335" w14:textId="77777777">
            <w:pPr>
              <w:pStyle w:val="TableParagraph"/>
              <w:ind w:right="623"/>
              <w:rPr>
                <w:sz w:val="21"/>
              </w:rPr>
            </w:pPr>
            <w:r>
              <w:rPr>
                <w:spacing w:val="-2"/>
                <w:sz w:val="21"/>
              </w:rPr>
              <w:t>90.96</w:t>
            </w:r>
          </w:p>
        </w:tc>
        <w:tc>
          <w:tcPr>
            <w:tcW w:w="1614" w:type="dxa"/>
          </w:tcPr>
          <w:p w:rsidR="003F5784" w14:paraId="555D6216" w14:textId="77777777">
            <w:pPr>
              <w:pStyle w:val="TableParagraph"/>
              <w:ind w:left="9" w:right="9"/>
              <w:jc w:val="center"/>
              <w:rPr>
                <w:sz w:val="21"/>
              </w:rPr>
            </w:pPr>
            <w:r>
              <w:rPr>
                <w:spacing w:val="-4"/>
                <w:sz w:val="21"/>
              </w:rPr>
              <w:t>1.19</w:t>
            </w:r>
          </w:p>
        </w:tc>
        <w:tc>
          <w:tcPr>
            <w:tcW w:w="1806" w:type="dxa"/>
          </w:tcPr>
          <w:p w:rsidR="003F5784" w14:paraId="7A88CD51" w14:textId="77777777">
            <w:pPr>
              <w:pStyle w:val="TableParagraph"/>
              <w:ind w:right="423"/>
              <w:rPr>
                <w:sz w:val="21"/>
              </w:rPr>
            </w:pPr>
            <w:r>
              <w:rPr>
                <w:spacing w:val="-4"/>
                <w:sz w:val="21"/>
              </w:rPr>
              <w:t>1.08</w:t>
            </w:r>
          </w:p>
        </w:tc>
        <w:tc>
          <w:tcPr>
            <w:tcW w:w="1170" w:type="dxa"/>
          </w:tcPr>
          <w:p w:rsidR="003F5784" w14:paraId="6D3988C5" w14:textId="77777777">
            <w:pPr>
              <w:pStyle w:val="TableParagraph"/>
              <w:ind w:right="199"/>
              <w:jc w:val="center"/>
              <w:rPr>
                <w:sz w:val="21"/>
              </w:rPr>
            </w:pPr>
            <w:r>
              <w:rPr>
                <w:spacing w:val="-2"/>
                <w:sz w:val="21"/>
              </w:rPr>
              <w:t>90.32</w:t>
            </w:r>
          </w:p>
        </w:tc>
        <w:tc>
          <w:tcPr>
            <w:tcW w:w="1614" w:type="dxa"/>
          </w:tcPr>
          <w:p w:rsidR="003F5784" w14:paraId="5340E095" w14:textId="77777777">
            <w:pPr>
              <w:pStyle w:val="TableParagraph"/>
              <w:ind w:left="9" w:right="9"/>
              <w:jc w:val="center"/>
              <w:rPr>
                <w:sz w:val="21"/>
              </w:rPr>
            </w:pPr>
            <w:r>
              <w:rPr>
                <w:spacing w:val="-4"/>
                <w:sz w:val="21"/>
              </w:rPr>
              <w:t>0.79</w:t>
            </w:r>
          </w:p>
        </w:tc>
        <w:tc>
          <w:tcPr>
            <w:tcW w:w="1536" w:type="dxa"/>
          </w:tcPr>
          <w:p w:rsidR="003F5784" w14:paraId="7AF48712" w14:textId="77777777">
            <w:pPr>
              <w:pStyle w:val="TableParagraph"/>
              <w:ind w:right="117"/>
              <w:rPr>
                <w:sz w:val="21"/>
              </w:rPr>
            </w:pPr>
            <w:r>
              <w:rPr>
                <w:spacing w:val="-4"/>
                <w:sz w:val="21"/>
              </w:rPr>
              <w:t>0.46</w:t>
            </w:r>
          </w:p>
        </w:tc>
      </w:tr>
      <w:tr w14:paraId="6A9CC4E0"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0F620ECE" w14:textId="77777777">
            <w:pPr>
              <w:pStyle w:val="TableParagraph"/>
              <w:ind w:left="120"/>
              <w:jc w:val="left"/>
              <w:rPr>
                <w:sz w:val="21"/>
              </w:rPr>
            </w:pPr>
            <w:r>
              <w:rPr>
                <w:sz w:val="21"/>
              </w:rPr>
              <w:t>North</w:t>
            </w:r>
            <w:r>
              <w:rPr>
                <w:spacing w:val="-6"/>
                <w:sz w:val="21"/>
              </w:rPr>
              <w:t xml:space="preserve"> </w:t>
            </w:r>
            <w:r>
              <w:rPr>
                <w:spacing w:val="-2"/>
                <w:sz w:val="21"/>
              </w:rPr>
              <w:t>Dakota</w:t>
            </w:r>
          </w:p>
        </w:tc>
        <w:tc>
          <w:tcPr>
            <w:tcW w:w="1935" w:type="dxa"/>
          </w:tcPr>
          <w:p w:rsidR="003F5784" w14:paraId="3FDEAE88" w14:textId="77777777">
            <w:pPr>
              <w:pStyle w:val="TableParagraph"/>
              <w:ind w:right="623"/>
              <w:rPr>
                <w:sz w:val="21"/>
              </w:rPr>
            </w:pPr>
            <w:r>
              <w:rPr>
                <w:spacing w:val="-2"/>
                <w:sz w:val="21"/>
              </w:rPr>
              <w:t>90.24</w:t>
            </w:r>
          </w:p>
        </w:tc>
        <w:tc>
          <w:tcPr>
            <w:tcW w:w="1614" w:type="dxa"/>
          </w:tcPr>
          <w:p w:rsidR="003F5784" w14:paraId="5CDA6C00" w14:textId="77777777">
            <w:pPr>
              <w:pStyle w:val="TableParagraph"/>
              <w:ind w:left="9" w:right="2"/>
              <w:jc w:val="center"/>
              <w:rPr>
                <w:sz w:val="21"/>
              </w:rPr>
            </w:pPr>
            <w:r>
              <w:rPr>
                <w:spacing w:val="-4"/>
                <w:sz w:val="21"/>
              </w:rPr>
              <w:t>1.11</w:t>
            </w:r>
          </w:p>
        </w:tc>
        <w:tc>
          <w:tcPr>
            <w:tcW w:w="1806" w:type="dxa"/>
          </w:tcPr>
          <w:p w:rsidR="003F5784" w14:paraId="426E189D" w14:textId="77777777">
            <w:pPr>
              <w:pStyle w:val="TableParagraph"/>
              <w:ind w:right="423"/>
              <w:rPr>
                <w:sz w:val="21"/>
              </w:rPr>
            </w:pPr>
            <w:r>
              <w:rPr>
                <w:spacing w:val="-4"/>
                <w:sz w:val="21"/>
              </w:rPr>
              <w:t>0.23</w:t>
            </w:r>
          </w:p>
        </w:tc>
        <w:tc>
          <w:tcPr>
            <w:tcW w:w="1170" w:type="dxa"/>
          </w:tcPr>
          <w:p w:rsidR="003F5784" w14:paraId="14B305FF" w14:textId="77777777">
            <w:pPr>
              <w:pStyle w:val="TableParagraph"/>
              <w:ind w:right="199"/>
              <w:jc w:val="center"/>
              <w:rPr>
                <w:sz w:val="21"/>
              </w:rPr>
            </w:pPr>
            <w:r>
              <w:rPr>
                <w:spacing w:val="-2"/>
                <w:sz w:val="21"/>
              </w:rPr>
              <w:t>88.51</w:t>
            </w:r>
          </w:p>
        </w:tc>
        <w:tc>
          <w:tcPr>
            <w:tcW w:w="1614" w:type="dxa"/>
          </w:tcPr>
          <w:p w:rsidR="003F5784" w14:paraId="32F9BBA3" w14:textId="77777777">
            <w:pPr>
              <w:pStyle w:val="TableParagraph"/>
              <w:ind w:left="9" w:right="9"/>
              <w:jc w:val="center"/>
              <w:rPr>
                <w:sz w:val="21"/>
              </w:rPr>
            </w:pPr>
            <w:r>
              <w:rPr>
                <w:spacing w:val="-4"/>
                <w:sz w:val="21"/>
              </w:rPr>
              <w:t>1.25</w:t>
            </w:r>
          </w:p>
        </w:tc>
        <w:tc>
          <w:tcPr>
            <w:tcW w:w="1536" w:type="dxa"/>
          </w:tcPr>
          <w:p w:rsidR="003F5784" w14:paraId="31A0384E" w14:textId="77777777">
            <w:pPr>
              <w:pStyle w:val="TableParagraph"/>
              <w:ind w:right="117"/>
              <w:rPr>
                <w:sz w:val="21"/>
              </w:rPr>
            </w:pPr>
            <w:r>
              <w:rPr>
                <w:spacing w:val="-4"/>
                <w:sz w:val="21"/>
              </w:rPr>
              <w:t>0.17</w:t>
            </w:r>
          </w:p>
        </w:tc>
      </w:tr>
      <w:tr w14:paraId="384CFFDA"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1B39BC97" w14:textId="77777777">
            <w:pPr>
              <w:pStyle w:val="TableParagraph"/>
              <w:ind w:left="120"/>
              <w:jc w:val="left"/>
              <w:rPr>
                <w:sz w:val="21"/>
              </w:rPr>
            </w:pPr>
            <w:r>
              <w:rPr>
                <w:spacing w:val="-2"/>
                <w:sz w:val="21"/>
              </w:rPr>
              <w:t>Ohio–Cleveland</w:t>
            </w:r>
          </w:p>
        </w:tc>
        <w:tc>
          <w:tcPr>
            <w:tcW w:w="1935" w:type="dxa"/>
          </w:tcPr>
          <w:p w:rsidR="003F5784" w14:paraId="11049FF6" w14:textId="77777777">
            <w:pPr>
              <w:pStyle w:val="TableParagraph"/>
              <w:ind w:right="623"/>
              <w:rPr>
                <w:sz w:val="21"/>
              </w:rPr>
            </w:pPr>
            <w:r>
              <w:rPr>
                <w:spacing w:val="-2"/>
                <w:sz w:val="21"/>
              </w:rPr>
              <w:t>88.77</w:t>
            </w:r>
          </w:p>
        </w:tc>
        <w:tc>
          <w:tcPr>
            <w:tcW w:w="1614" w:type="dxa"/>
          </w:tcPr>
          <w:p w:rsidR="003F5784" w14:paraId="79794F32" w14:textId="77777777">
            <w:pPr>
              <w:pStyle w:val="TableParagraph"/>
              <w:ind w:left="9" w:right="9"/>
              <w:jc w:val="center"/>
              <w:rPr>
                <w:sz w:val="21"/>
              </w:rPr>
            </w:pPr>
            <w:r>
              <w:rPr>
                <w:spacing w:val="-4"/>
                <w:sz w:val="21"/>
              </w:rPr>
              <w:t>2.44</w:t>
            </w:r>
          </w:p>
        </w:tc>
        <w:tc>
          <w:tcPr>
            <w:tcW w:w="1806" w:type="dxa"/>
          </w:tcPr>
          <w:p w:rsidR="003F5784" w14:paraId="3DE01F29" w14:textId="77777777">
            <w:pPr>
              <w:pStyle w:val="TableParagraph"/>
              <w:ind w:right="423"/>
              <w:rPr>
                <w:sz w:val="21"/>
              </w:rPr>
            </w:pPr>
            <w:r>
              <w:rPr>
                <w:spacing w:val="-4"/>
                <w:sz w:val="21"/>
              </w:rPr>
              <w:t>0.41</w:t>
            </w:r>
          </w:p>
        </w:tc>
        <w:tc>
          <w:tcPr>
            <w:tcW w:w="1170" w:type="dxa"/>
          </w:tcPr>
          <w:p w:rsidR="003F5784" w14:paraId="5A18343F" w14:textId="77777777">
            <w:pPr>
              <w:pStyle w:val="TableParagraph"/>
              <w:ind w:right="199"/>
              <w:jc w:val="center"/>
              <w:rPr>
                <w:sz w:val="21"/>
              </w:rPr>
            </w:pPr>
            <w:r>
              <w:rPr>
                <w:spacing w:val="-2"/>
                <w:sz w:val="21"/>
              </w:rPr>
              <w:t>87.12</w:t>
            </w:r>
          </w:p>
        </w:tc>
        <w:tc>
          <w:tcPr>
            <w:tcW w:w="1614" w:type="dxa"/>
          </w:tcPr>
          <w:p w:rsidR="003F5784" w14:paraId="6D99323F" w14:textId="77777777">
            <w:pPr>
              <w:pStyle w:val="TableParagraph"/>
              <w:ind w:left="9" w:right="9"/>
              <w:jc w:val="center"/>
              <w:rPr>
                <w:sz w:val="21"/>
              </w:rPr>
            </w:pPr>
            <w:r>
              <w:rPr>
                <w:spacing w:val="-4"/>
                <w:sz w:val="21"/>
              </w:rPr>
              <w:t>2.85</w:t>
            </w:r>
          </w:p>
        </w:tc>
        <w:tc>
          <w:tcPr>
            <w:tcW w:w="1536" w:type="dxa"/>
          </w:tcPr>
          <w:p w:rsidR="003F5784" w14:paraId="2929812A" w14:textId="77777777">
            <w:pPr>
              <w:pStyle w:val="TableParagraph"/>
              <w:ind w:right="117"/>
              <w:rPr>
                <w:sz w:val="21"/>
              </w:rPr>
            </w:pPr>
            <w:r>
              <w:rPr>
                <w:spacing w:val="-4"/>
                <w:sz w:val="21"/>
              </w:rPr>
              <w:t>1.20</w:t>
            </w:r>
          </w:p>
        </w:tc>
      </w:tr>
      <w:tr w14:paraId="6DB8ED02"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7D000EA1" w14:textId="77777777">
            <w:pPr>
              <w:pStyle w:val="TableParagraph"/>
              <w:ind w:left="120"/>
              <w:jc w:val="left"/>
              <w:rPr>
                <w:sz w:val="21"/>
              </w:rPr>
            </w:pPr>
            <w:r>
              <w:rPr>
                <w:spacing w:val="-4"/>
                <w:sz w:val="21"/>
              </w:rPr>
              <w:t>Ohio</w:t>
            </w:r>
          </w:p>
        </w:tc>
        <w:tc>
          <w:tcPr>
            <w:tcW w:w="1935" w:type="dxa"/>
          </w:tcPr>
          <w:p w:rsidR="003F5784" w14:paraId="063E3EC9" w14:textId="77777777">
            <w:pPr>
              <w:pStyle w:val="TableParagraph"/>
              <w:ind w:right="623"/>
              <w:rPr>
                <w:sz w:val="21"/>
              </w:rPr>
            </w:pPr>
            <w:r>
              <w:rPr>
                <w:spacing w:val="-2"/>
                <w:sz w:val="21"/>
              </w:rPr>
              <w:t>92.78</w:t>
            </w:r>
          </w:p>
        </w:tc>
        <w:tc>
          <w:tcPr>
            <w:tcW w:w="1614" w:type="dxa"/>
          </w:tcPr>
          <w:p w:rsidR="003F5784" w14:paraId="1CFB6815" w14:textId="77777777">
            <w:pPr>
              <w:pStyle w:val="TableParagraph"/>
              <w:ind w:left="9" w:right="9"/>
              <w:jc w:val="center"/>
              <w:rPr>
                <w:sz w:val="21"/>
              </w:rPr>
            </w:pPr>
            <w:r>
              <w:rPr>
                <w:spacing w:val="-4"/>
                <w:sz w:val="21"/>
              </w:rPr>
              <w:t>0.94</w:t>
            </w:r>
          </w:p>
        </w:tc>
        <w:tc>
          <w:tcPr>
            <w:tcW w:w="1806" w:type="dxa"/>
          </w:tcPr>
          <w:p w:rsidR="003F5784" w14:paraId="73D4B6E8" w14:textId="77777777">
            <w:pPr>
              <w:pStyle w:val="TableParagraph"/>
              <w:ind w:right="423"/>
              <w:rPr>
                <w:sz w:val="21"/>
              </w:rPr>
            </w:pPr>
            <w:r>
              <w:rPr>
                <w:spacing w:val="-4"/>
                <w:sz w:val="21"/>
              </w:rPr>
              <w:t>0.33</w:t>
            </w:r>
          </w:p>
        </w:tc>
        <w:tc>
          <w:tcPr>
            <w:tcW w:w="1170" w:type="dxa"/>
          </w:tcPr>
          <w:p w:rsidR="003F5784" w14:paraId="4279D4D9" w14:textId="77777777">
            <w:pPr>
              <w:pStyle w:val="TableParagraph"/>
              <w:ind w:right="199"/>
              <w:jc w:val="center"/>
              <w:rPr>
                <w:sz w:val="21"/>
              </w:rPr>
            </w:pPr>
            <w:r>
              <w:rPr>
                <w:spacing w:val="-2"/>
                <w:sz w:val="21"/>
              </w:rPr>
              <w:t>89.59</w:t>
            </w:r>
          </w:p>
        </w:tc>
        <w:tc>
          <w:tcPr>
            <w:tcW w:w="1614" w:type="dxa"/>
          </w:tcPr>
          <w:p w:rsidR="003F5784" w14:paraId="56E75854" w14:textId="77777777">
            <w:pPr>
              <w:pStyle w:val="TableParagraph"/>
              <w:ind w:left="9" w:right="9"/>
              <w:jc w:val="center"/>
              <w:rPr>
                <w:sz w:val="21"/>
              </w:rPr>
            </w:pPr>
            <w:r>
              <w:rPr>
                <w:spacing w:val="-4"/>
                <w:sz w:val="21"/>
              </w:rPr>
              <w:t>0.78</w:t>
            </w:r>
          </w:p>
        </w:tc>
        <w:tc>
          <w:tcPr>
            <w:tcW w:w="1536" w:type="dxa"/>
          </w:tcPr>
          <w:p w:rsidR="003F5784" w14:paraId="04348402" w14:textId="77777777">
            <w:pPr>
              <w:pStyle w:val="TableParagraph"/>
              <w:ind w:right="117"/>
              <w:rPr>
                <w:sz w:val="21"/>
              </w:rPr>
            </w:pPr>
            <w:r>
              <w:rPr>
                <w:spacing w:val="-4"/>
                <w:sz w:val="21"/>
              </w:rPr>
              <w:t>0.39</w:t>
            </w:r>
          </w:p>
        </w:tc>
      </w:tr>
      <w:tr w14:paraId="746246EF"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6A694CFA" w14:textId="77777777">
            <w:pPr>
              <w:pStyle w:val="TableParagraph"/>
              <w:ind w:left="120"/>
              <w:jc w:val="left"/>
              <w:rPr>
                <w:sz w:val="21"/>
              </w:rPr>
            </w:pPr>
            <w:r>
              <w:rPr>
                <w:spacing w:val="-2"/>
                <w:sz w:val="21"/>
              </w:rPr>
              <w:t>Oklahoma</w:t>
            </w:r>
          </w:p>
        </w:tc>
        <w:tc>
          <w:tcPr>
            <w:tcW w:w="1935" w:type="dxa"/>
          </w:tcPr>
          <w:p w:rsidR="003F5784" w14:paraId="64BAF859" w14:textId="77777777">
            <w:pPr>
              <w:pStyle w:val="TableParagraph"/>
              <w:ind w:right="623"/>
              <w:rPr>
                <w:sz w:val="21"/>
              </w:rPr>
            </w:pPr>
            <w:r>
              <w:rPr>
                <w:spacing w:val="-2"/>
                <w:sz w:val="21"/>
              </w:rPr>
              <w:t>93.65</w:t>
            </w:r>
          </w:p>
        </w:tc>
        <w:tc>
          <w:tcPr>
            <w:tcW w:w="1614" w:type="dxa"/>
          </w:tcPr>
          <w:p w:rsidR="003F5784" w14:paraId="73D64CE4" w14:textId="77777777">
            <w:pPr>
              <w:pStyle w:val="TableParagraph"/>
              <w:ind w:left="9" w:right="9"/>
              <w:jc w:val="center"/>
              <w:rPr>
                <w:sz w:val="21"/>
              </w:rPr>
            </w:pPr>
            <w:r>
              <w:rPr>
                <w:spacing w:val="-4"/>
                <w:sz w:val="21"/>
              </w:rPr>
              <w:t>2.17</w:t>
            </w:r>
          </w:p>
        </w:tc>
        <w:tc>
          <w:tcPr>
            <w:tcW w:w="1806" w:type="dxa"/>
          </w:tcPr>
          <w:p w:rsidR="003F5784" w14:paraId="7F50A981" w14:textId="77777777">
            <w:pPr>
              <w:pStyle w:val="TableParagraph"/>
              <w:ind w:right="423"/>
              <w:rPr>
                <w:sz w:val="21"/>
              </w:rPr>
            </w:pPr>
            <w:r>
              <w:rPr>
                <w:spacing w:val="-4"/>
                <w:sz w:val="21"/>
              </w:rPr>
              <w:t>0.36</w:t>
            </w:r>
          </w:p>
        </w:tc>
        <w:tc>
          <w:tcPr>
            <w:tcW w:w="1170" w:type="dxa"/>
          </w:tcPr>
          <w:p w:rsidR="003F5784" w14:paraId="5483C29B" w14:textId="77777777">
            <w:pPr>
              <w:pStyle w:val="TableParagraph"/>
              <w:ind w:left="8" w:right="199"/>
              <w:jc w:val="center"/>
              <w:rPr>
                <w:sz w:val="21"/>
              </w:rPr>
            </w:pPr>
            <w:r>
              <w:rPr>
                <w:spacing w:val="-2"/>
                <w:sz w:val="21"/>
              </w:rPr>
              <w:t>92.11</w:t>
            </w:r>
          </w:p>
        </w:tc>
        <w:tc>
          <w:tcPr>
            <w:tcW w:w="1614" w:type="dxa"/>
          </w:tcPr>
          <w:p w:rsidR="003F5784" w14:paraId="5DCDA12E" w14:textId="77777777">
            <w:pPr>
              <w:pStyle w:val="TableParagraph"/>
              <w:ind w:left="9" w:right="9"/>
              <w:jc w:val="center"/>
              <w:rPr>
                <w:sz w:val="21"/>
              </w:rPr>
            </w:pPr>
            <w:r>
              <w:rPr>
                <w:spacing w:val="-4"/>
                <w:sz w:val="21"/>
              </w:rPr>
              <w:t>1.30</w:t>
            </w:r>
          </w:p>
        </w:tc>
        <w:tc>
          <w:tcPr>
            <w:tcW w:w="1536" w:type="dxa"/>
          </w:tcPr>
          <w:p w:rsidR="003F5784" w14:paraId="34AD38A1" w14:textId="77777777">
            <w:pPr>
              <w:pStyle w:val="TableParagraph"/>
              <w:ind w:right="117"/>
              <w:rPr>
                <w:sz w:val="21"/>
              </w:rPr>
            </w:pPr>
            <w:r>
              <w:rPr>
                <w:spacing w:val="-4"/>
                <w:sz w:val="21"/>
              </w:rPr>
              <w:t>0.44</w:t>
            </w:r>
          </w:p>
        </w:tc>
      </w:tr>
      <w:tr w14:paraId="16392717"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794845D8" w14:textId="77777777">
            <w:pPr>
              <w:pStyle w:val="TableParagraph"/>
              <w:ind w:left="120"/>
              <w:jc w:val="left"/>
              <w:rPr>
                <w:sz w:val="21"/>
              </w:rPr>
            </w:pPr>
            <w:r>
              <w:rPr>
                <w:spacing w:val="-2"/>
                <w:sz w:val="21"/>
              </w:rPr>
              <w:t>Oregon</w:t>
            </w:r>
          </w:p>
        </w:tc>
        <w:tc>
          <w:tcPr>
            <w:tcW w:w="1935" w:type="dxa"/>
          </w:tcPr>
          <w:p w:rsidR="003F5784" w14:paraId="64AC5598" w14:textId="77777777">
            <w:pPr>
              <w:pStyle w:val="TableParagraph"/>
              <w:ind w:right="623"/>
              <w:rPr>
                <w:sz w:val="21"/>
              </w:rPr>
            </w:pPr>
            <w:r>
              <w:rPr>
                <w:spacing w:val="-2"/>
                <w:sz w:val="21"/>
              </w:rPr>
              <w:t>87.89</w:t>
            </w:r>
          </w:p>
        </w:tc>
        <w:tc>
          <w:tcPr>
            <w:tcW w:w="1614" w:type="dxa"/>
          </w:tcPr>
          <w:p w:rsidR="003F5784" w14:paraId="425C983D" w14:textId="77777777">
            <w:pPr>
              <w:pStyle w:val="TableParagraph"/>
              <w:ind w:left="9" w:right="2"/>
              <w:jc w:val="center"/>
              <w:rPr>
                <w:sz w:val="21"/>
              </w:rPr>
            </w:pPr>
            <w:r>
              <w:rPr>
                <w:spacing w:val="-4"/>
                <w:sz w:val="21"/>
              </w:rPr>
              <w:t>1.11</w:t>
            </w:r>
          </w:p>
        </w:tc>
        <w:tc>
          <w:tcPr>
            <w:tcW w:w="1806" w:type="dxa"/>
          </w:tcPr>
          <w:p w:rsidR="003F5784" w14:paraId="754924D6" w14:textId="77777777">
            <w:pPr>
              <w:pStyle w:val="TableParagraph"/>
              <w:ind w:right="423"/>
              <w:rPr>
                <w:sz w:val="21"/>
              </w:rPr>
            </w:pPr>
            <w:r>
              <w:rPr>
                <w:spacing w:val="-4"/>
                <w:sz w:val="21"/>
              </w:rPr>
              <w:t>0.67</w:t>
            </w:r>
          </w:p>
        </w:tc>
        <w:tc>
          <w:tcPr>
            <w:tcW w:w="1170" w:type="dxa"/>
          </w:tcPr>
          <w:p w:rsidR="003F5784" w14:paraId="12172D4A" w14:textId="77777777">
            <w:pPr>
              <w:pStyle w:val="TableParagraph"/>
              <w:ind w:right="199"/>
              <w:jc w:val="center"/>
              <w:rPr>
                <w:sz w:val="21"/>
              </w:rPr>
            </w:pPr>
            <w:r>
              <w:rPr>
                <w:spacing w:val="-2"/>
                <w:sz w:val="21"/>
              </w:rPr>
              <w:t>84.92</w:t>
            </w:r>
          </w:p>
        </w:tc>
        <w:tc>
          <w:tcPr>
            <w:tcW w:w="1614" w:type="dxa"/>
          </w:tcPr>
          <w:p w:rsidR="003F5784" w14:paraId="1E3139FD" w14:textId="77777777">
            <w:pPr>
              <w:pStyle w:val="TableParagraph"/>
              <w:ind w:left="9" w:right="9"/>
              <w:jc w:val="center"/>
              <w:rPr>
                <w:sz w:val="21"/>
              </w:rPr>
            </w:pPr>
            <w:r>
              <w:rPr>
                <w:spacing w:val="-4"/>
                <w:sz w:val="21"/>
              </w:rPr>
              <w:t>0.98</w:t>
            </w:r>
          </w:p>
        </w:tc>
        <w:tc>
          <w:tcPr>
            <w:tcW w:w="1536" w:type="dxa"/>
          </w:tcPr>
          <w:p w:rsidR="003F5784" w14:paraId="618A6B09" w14:textId="77777777">
            <w:pPr>
              <w:pStyle w:val="TableParagraph"/>
              <w:ind w:right="117"/>
              <w:rPr>
                <w:sz w:val="21"/>
              </w:rPr>
            </w:pPr>
            <w:r>
              <w:rPr>
                <w:spacing w:val="-4"/>
                <w:sz w:val="21"/>
              </w:rPr>
              <w:t>0.76</w:t>
            </w:r>
          </w:p>
        </w:tc>
      </w:tr>
      <w:tr w14:paraId="411DD314"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299D69A2" w14:textId="77777777">
            <w:pPr>
              <w:pStyle w:val="TableParagraph"/>
              <w:ind w:left="120"/>
              <w:jc w:val="left"/>
              <w:rPr>
                <w:sz w:val="21"/>
              </w:rPr>
            </w:pPr>
            <w:r>
              <w:rPr>
                <w:spacing w:val="-2"/>
                <w:sz w:val="21"/>
              </w:rPr>
              <w:t>Pennsylvania–Philadelphia</w:t>
            </w:r>
          </w:p>
        </w:tc>
        <w:tc>
          <w:tcPr>
            <w:tcW w:w="1935" w:type="dxa"/>
          </w:tcPr>
          <w:p w:rsidR="003F5784" w14:paraId="16EA423F" w14:textId="77777777">
            <w:pPr>
              <w:pStyle w:val="TableParagraph"/>
              <w:ind w:right="623"/>
              <w:rPr>
                <w:sz w:val="21"/>
              </w:rPr>
            </w:pPr>
            <w:r>
              <w:rPr>
                <w:spacing w:val="-2"/>
                <w:sz w:val="21"/>
              </w:rPr>
              <w:t>93.65</w:t>
            </w:r>
          </w:p>
        </w:tc>
        <w:tc>
          <w:tcPr>
            <w:tcW w:w="1614" w:type="dxa"/>
          </w:tcPr>
          <w:p w:rsidR="003F5784" w14:paraId="33FC2EEC" w14:textId="77777777">
            <w:pPr>
              <w:pStyle w:val="TableParagraph"/>
              <w:ind w:left="9" w:right="9"/>
              <w:jc w:val="center"/>
              <w:rPr>
                <w:sz w:val="21"/>
              </w:rPr>
            </w:pPr>
            <w:r>
              <w:rPr>
                <w:spacing w:val="-4"/>
                <w:sz w:val="21"/>
              </w:rPr>
              <w:t>3.18</w:t>
            </w:r>
          </w:p>
        </w:tc>
        <w:tc>
          <w:tcPr>
            <w:tcW w:w="1806" w:type="dxa"/>
          </w:tcPr>
          <w:p w:rsidR="003F5784" w14:paraId="6CA0EAE0" w14:textId="77777777">
            <w:pPr>
              <w:pStyle w:val="TableParagraph"/>
              <w:ind w:right="423"/>
              <w:rPr>
                <w:sz w:val="21"/>
              </w:rPr>
            </w:pPr>
            <w:r>
              <w:rPr>
                <w:spacing w:val="-4"/>
                <w:sz w:val="21"/>
              </w:rPr>
              <w:t>1.47</w:t>
            </w:r>
          </w:p>
        </w:tc>
        <w:tc>
          <w:tcPr>
            <w:tcW w:w="1170" w:type="dxa"/>
          </w:tcPr>
          <w:p w:rsidR="003F5784" w14:paraId="745F76BA" w14:textId="77777777">
            <w:pPr>
              <w:pStyle w:val="TableParagraph"/>
              <w:ind w:right="199"/>
              <w:jc w:val="center"/>
              <w:rPr>
                <w:sz w:val="21"/>
              </w:rPr>
            </w:pPr>
            <w:r>
              <w:rPr>
                <w:spacing w:val="-2"/>
                <w:sz w:val="21"/>
              </w:rPr>
              <w:t>86.81</w:t>
            </w:r>
          </w:p>
        </w:tc>
        <w:tc>
          <w:tcPr>
            <w:tcW w:w="1614" w:type="dxa"/>
          </w:tcPr>
          <w:p w:rsidR="003F5784" w14:paraId="0D5AB862" w14:textId="77777777">
            <w:pPr>
              <w:pStyle w:val="TableParagraph"/>
              <w:ind w:left="9" w:right="9"/>
              <w:jc w:val="center"/>
              <w:rPr>
                <w:sz w:val="21"/>
              </w:rPr>
            </w:pPr>
            <w:r>
              <w:rPr>
                <w:spacing w:val="-4"/>
                <w:sz w:val="21"/>
              </w:rPr>
              <w:t>2.86</w:t>
            </w:r>
          </w:p>
        </w:tc>
        <w:tc>
          <w:tcPr>
            <w:tcW w:w="1536" w:type="dxa"/>
          </w:tcPr>
          <w:p w:rsidR="003F5784" w14:paraId="6C602FFC" w14:textId="77777777">
            <w:pPr>
              <w:pStyle w:val="TableParagraph"/>
              <w:ind w:right="117"/>
              <w:rPr>
                <w:sz w:val="21"/>
              </w:rPr>
            </w:pPr>
            <w:r>
              <w:rPr>
                <w:spacing w:val="-4"/>
                <w:sz w:val="21"/>
              </w:rPr>
              <w:t>2.16</w:t>
            </w:r>
          </w:p>
        </w:tc>
      </w:tr>
      <w:tr w14:paraId="641DF0AB" w14:textId="77777777" w:rsidTr="00E3225D">
        <w:tblPrEx>
          <w:tblW w:w="0" w:type="auto"/>
          <w:tblInd w:w="482" w:type="dxa"/>
          <w:tblLayout w:type="fixed"/>
          <w:tblCellMar>
            <w:left w:w="0" w:type="dxa"/>
            <w:right w:w="0" w:type="dxa"/>
          </w:tblCellMar>
          <w:tblLook w:val="01E0"/>
        </w:tblPrEx>
        <w:trPr>
          <w:trHeight w:val="289"/>
        </w:trPr>
        <w:tc>
          <w:tcPr>
            <w:tcW w:w="4243" w:type="dxa"/>
            <w:tcBorders>
              <w:bottom w:val="single" w:sz="18" w:space="0" w:color="800000"/>
            </w:tcBorders>
          </w:tcPr>
          <w:p w:rsidR="003F5784" w14:paraId="30377BE9" w14:textId="77777777">
            <w:pPr>
              <w:pStyle w:val="TableParagraph"/>
              <w:ind w:left="120"/>
              <w:jc w:val="left"/>
              <w:rPr>
                <w:sz w:val="21"/>
              </w:rPr>
            </w:pPr>
            <w:r>
              <w:rPr>
                <w:spacing w:val="-2"/>
                <w:sz w:val="21"/>
              </w:rPr>
              <w:t>Pennsylvania</w:t>
            </w:r>
          </w:p>
        </w:tc>
        <w:tc>
          <w:tcPr>
            <w:tcW w:w="1935" w:type="dxa"/>
            <w:tcBorders>
              <w:bottom w:val="single" w:sz="18" w:space="0" w:color="800000"/>
            </w:tcBorders>
          </w:tcPr>
          <w:p w:rsidR="003F5784" w14:paraId="5B9964B9" w14:textId="77777777">
            <w:pPr>
              <w:pStyle w:val="TableParagraph"/>
              <w:ind w:right="623"/>
              <w:rPr>
                <w:sz w:val="21"/>
              </w:rPr>
            </w:pPr>
            <w:r>
              <w:rPr>
                <w:spacing w:val="-2"/>
                <w:sz w:val="21"/>
              </w:rPr>
              <w:t>92.53</w:t>
            </w:r>
          </w:p>
        </w:tc>
        <w:tc>
          <w:tcPr>
            <w:tcW w:w="1614" w:type="dxa"/>
            <w:tcBorders>
              <w:bottom w:val="single" w:sz="18" w:space="0" w:color="800000"/>
            </w:tcBorders>
          </w:tcPr>
          <w:p w:rsidR="003F5784" w14:paraId="26B9E733" w14:textId="77777777">
            <w:pPr>
              <w:pStyle w:val="TableParagraph"/>
              <w:ind w:left="9" w:right="9"/>
              <w:jc w:val="center"/>
              <w:rPr>
                <w:sz w:val="21"/>
              </w:rPr>
            </w:pPr>
            <w:r>
              <w:rPr>
                <w:spacing w:val="-4"/>
                <w:sz w:val="21"/>
              </w:rPr>
              <w:t>1.54</w:t>
            </w:r>
          </w:p>
        </w:tc>
        <w:tc>
          <w:tcPr>
            <w:tcW w:w="1806" w:type="dxa"/>
            <w:tcBorders>
              <w:bottom w:val="single" w:sz="18" w:space="0" w:color="800000"/>
            </w:tcBorders>
          </w:tcPr>
          <w:p w:rsidR="003F5784" w14:paraId="44E748C6" w14:textId="77777777">
            <w:pPr>
              <w:pStyle w:val="TableParagraph"/>
              <w:ind w:right="423"/>
              <w:rPr>
                <w:sz w:val="21"/>
              </w:rPr>
            </w:pPr>
            <w:r>
              <w:rPr>
                <w:spacing w:val="-4"/>
                <w:sz w:val="21"/>
              </w:rPr>
              <w:t>0.51</w:t>
            </w:r>
          </w:p>
        </w:tc>
        <w:tc>
          <w:tcPr>
            <w:tcW w:w="1170" w:type="dxa"/>
            <w:tcBorders>
              <w:bottom w:val="single" w:sz="18" w:space="0" w:color="800000"/>
            </w:tcBorders>
          </w:tcPr>
          <w:p w:rsidR="003F5784" w14:paraId="77DFA513" w14:textId="77777777">
            <w:pPr>
              <w:pStyle w:val="TableParagraph"/>
              <w:ind w:right="199"/>
              <w:jc w:val="center"/>
              <w:rPr>
                <w:sz w:val="21"/>
              </w:rPr>
            </w:pPr>
            <w:r>
              <w:rPr>
                <w:spacing w:val="-2"/>
                <w:sz w:val="21"/>
              </w:rPr>
              <w:t>89.04</w:t>
            </w:r>
          </w:p>
        </w:tc>
        <w:tc>
          <w:tcPr>
            <w:tcW w:w="1614" w:type="dxa"/>
            <w:tcBorders>
              <w:bottom w:val="single" w:sz="18" w:space="0" w:color="800000"/>
            </w:tcBorders>
          </w:tcPr>
          <w:p w:rsidR="003F5784" w14:paraId="59CCBF3D" w14:textId="77777777">
            <w:pPr>
              <w:pStyle w:val="TableParagraph"/>
              <w:ind w:left="9" w:right="9"/>
              <w:jc w:val="center"/>
              <w:rPr>
                <w:sz w:val="21"/>
              </w:rPr>
            </w:pPr>
            <w:r>
              <w:rPr>
                <w:spacing w:val="-4"/>
                <w:sz w:val="21"/>
              </w:rPr>
              <w:t>1.04</w:t>
            </w:r>
          </w:p>
        </w:tc>
        <w:tc>
          <w:tcPr>
            <w:tcW w:w="1536" w:type="dxa"/>
            <w:tcBorders>
              <w:bottom w:val="single" w:sz="18" w:space="0" w:color="800000"/>
            </w:tcBorders>
          </w:tcPr>
          <w:p w:rsidR="003F5784" w14:paraId="1ED17263" w14:textId="77777777">
            <w:pPr>
              <w:pStyle w:val="TableParagraph"/>
              <w:ind w:right="117"/>
              <w:rPr>
                <w:sz w:val="21"/>
              </w:rPr>
            </w:pPr>
            <w:r>
              <w:rPr>
                <w:spacing w:val="-4"/>
                <w:sz w:val="21"/>
              </w:rPr>
              <w:t>0.35</w:t>
            </w:r>
          </w:p>
        </w:tc>
      </w:tr>
    </w:tbl>
    <w:p w:rsidR="003F5784" w14:paraId="6BA6AC81" w14:textId="77777777">
      <w:pPr>
        <w:pStyle w:val="BodyText"/>
        <w:spacing w:before="21"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State Mathematics Assessment.</w:t>
      </w:r>
    </w:p>
    <w:p w:rsidR="003F5784" w14:paraId="7434CFA4" w14:textId="77777777">
      <w:pPr>
        <w:spacing w:line="232" w:lineRule="auto"/>
        <w:sectPr>
          <w:pgSz w:w="15840" w:h="12240" w:orient="landscape"/>
          <w:pgMar w:top="480" w:right="440" w:bottom="460" w:left="460" w:header="284" w:footer="275" w:gutter="0"/>
          <w:cols w:space="720"/>
        </w:sectPr>
      </w:pPr>
    </w:p>
    <w:p w:rsidR="003F5784" w14:paraId="290EAD4E" w14:textId="77777777">
      <w:pPr>
        <w:pStyle w:val="BodyText"/>
      </w:pPr>
    </w:p>
    <w:p w:rsidR="003F5784" w14:paraId="331B6460" w14:textId="77777777">
      <w:pPr>
        <w:pStyle w:val="BodyText"/>
      </w:pPr>
    </w:p>
    <w:p w:rsidR="003F5784" w14:paraId="3CE684F3" w14:textId="77777777">
      <w:pPr>
        <w:pStyle w:val="BodyText"/>
      </w:pPr>
    </w:p>
    <w:p w:rsidR="003F5784" w14:paraId="72874274" w14:textId="77777777">
      <w:pPr>
        <w:pStyle w:val="BodyText"/>
      </w:pPr>
    </w:p>
    <w:p w:rsidR="003F5784" w14:paraId="4A0D56B9" w14:textId="77777777">
      <w:pPr>
        <w:pStyle w:val="BodyText"/>
        <w:spacing w:before="142"/>
      </w:pPr>
    </w:p>
    <w:p w:rsidR="003F5784" w14:paraId="7CC4D756" w14:textId="77777777">
      <w:pPr>
        <w:pStyle w:val="BodyText"/>
        <w:spacing w:after="20"/>
        <w:ind w:left="595"/>
      </w:pPr>
      <w:r>
        <w:rPr>
          <w:noProof/>
        </w:rPr>
        <mc:AlternateContent>
          <mc:Choice Requires="wps">
            <w:drawing>
              <wp:anchor distT="0" distB="0" distL="0" distR="0" simplePos="0" relativeHeight="251664384" behindDoc="0" locked="0" layoutInCell="1" allowOverlap="1">
                <wp:simplePos x="0" y="0"/>
                <wp:positionH relativeFrom="page">
                  <wp:posOffset>3658997</wp:posOffset>
                </wp:positionH>
                <wp:positionV relativeFrom="paragraph">
                  <wp:posOffset>-787840</wp:posOffset>
                </wp:positionV>
                <wp:extent cx="5852795" cy="939165"/>
                <wp:effectExtent l="0" t="0" r="0" b="0"/>
                <wp:wrapNone/>
                <wp:docPr id="376" name="Textbox 376"/>
                <wp:cNvGraphicFramePr/>
                <a:graphic xmlns:a="http://schemas.openxmlformats.org/drawingml/2006/main">
                  <a:graphicData uri="http://schemas.microsoft.com/office/word/2010/wordprocessingShape">
                    <wps:wsp xmlns:wps="http://schemas.microsoft.com/office/word/2010/wordprocessingShape">
                      <wps:cNvSpPr txBox="1"/>
                      <wps:spPr>
                        <a:xfrm>
                          <a:off x="0" y="0"/>
                          <a:ext cx="5852795" cy="939165"/>
                        </a:xfrm>
                        <a:prstGeom prst="rect">
                          <a:avLst/>
                        </a:prstGeom>
                      </wps:spPr>
                      <wps:txbx>
                        <w:txbxContent>
                          <w:tbl>
                            <w:tblPr>
                              <w:tblW w:w="0" w:type="auto"/>
                              <w:tblInd w:w="67" w:type="dxa"/>
                              <w:tblLayout w:type="fixed"/>
                              <w:tblCellMar>
                                <w:left w:w="0" w:type="dxa"/>
                                <w:right w:w="0" w:type="dxa"/>
                              </w:tblCellMar>
                              <w:tblLook w:val="01E0"/>
                            </w:tblPr>
                            <w:tblGrid>
                              <w:gridCol w:w="1332"/>
                              <w:gridCol w:w="1614"/>
                              <w:gridCol w:w="1747"/>
                              <w:gridCol w:w="1187"/>
                              <w:gridCol w:w="1615"/>
                              <w:gridCol w:w="1605"/>
                            </w:tblGrid>
                            <w:tr w14:paraId="538C3388" w14:textId="77777777">
                              <w:tblPrEx>
                                <w:tblW w:w="0" w:type="auto"/>
                                <w:tblInd w:w="67" w:type="dxa"/>
                                <w:tblLayout w:type="fixed"/>
                                <w:tblCellMar>
                                  <w:left w:w="0" w:type="dxa"/>
                                  <w:right w:w="0" w:type="dxa"/>
                                </w:tblCellMar>
                                <w:tblLook w:val="01E0"/>
                              </w:tblPrEx>
                              <w:trPr>
                                <w:trHeight w:val="248"/>
                              </w:trPr>
                              <w:tc>
                                <w:tcPr>
                                  <w:tcW w:w="1332" w:type="dxa"/>
                                  <w:tcBorders>
                                    <w:bottom w:val="single" w:sz="18" w:space="0" w:color="800000"/>
                                  </w:tcBorders>
                                </w:tcPr>
                                <w:p w:rsidR="003F5784" w14:textId="77777777">
                                  <w:pPr>
                                    <w:pStyle w:val="TableParagraph"/>
                                    <w:spacing w:before="0"/>
                                    <w:jc w:val="left"/>
                                    <w:rPr>
                                      <w:sz w:val="18"/>
                                    </w:rPr>
                                  </w:pPr>
                                </w:p>
                              </w:tc>
                              <w:tc>
                                <w:tcPr>
                                  <w:tcW w:w="1614" w:type="dxa"/>
                                  <w:tcBorders>
                                    <w:bottom w:val="single" w:sz="18" w:space="0" w:color="800000"/>
                                  </w:tcBorders>
                                </w:tcPr>
                                <w:p w:rsidR="003F5784" w14:textId="77777777">
                                  <w:pPr>
                                    <w:pStyle w:val="TableParagraph"/>
                                    <w:spacing w:before="0" w:line="228" w:lineRule="exact"/>
                                    <w:ind w:left="608"/>
                                    <w:jc w:val="left"/>
                                    <w:rPr>
                                      <w:sz w:val="21"/>
                                    </w:rPr>
                                  </w:pPr>
                                  <w:r>
                                    <w:rPr>
                                      <w:sz w:val="21"/>
                                    </w:rPr>
                                    <w:t>Grade</w:t>
                                  </w:r>
                                  <w:r>
                                    <w:rPr>
                                      <w:spacing w:val="-7"/>
                                      <w:sz w:val="21"/>
                                    </w:rPr>
                                    <w:t xml:space="preserve"> </w:t>
                                  </w:r>
                                  <w:r>
                                    <w:rPr>
                                      <w:spacing w:val="-10"/>
                                      <w:sz w:val="21"/>
                                    </w:rPr>
                                    <w:t>4</w:t>
                                  </w:r>
                                </w:p>
                              </w:tc>
                              <w:tc>
                                <w:tcPr>
                                  <w:tcW w:w="1747" w:type="dxa"/>
                                  <w:tcBorders>
                                    <w:bottom w:val="single" w:sz="18" w:space="0" w:color="800000"/>
                                  </w:tcBorders>
                                </w:tcPr>
                                <w:p w:rsidR="003F5784" w14:textId="77777777">
                                  <w:pPr>
                                    <w:pStyle w:val="TableParagraph"/>
                                    <w:spacing w:before="0"/>
                                    <w:jc w:val="left"/>
                                    <w:rPr>
                                      <w:sz w:val="18"/>
                                    </w:rPr>
                                  </w:pPr>
                                </w:p>
                              </w:tc>
                              <w:tc>
                                <w:tcPr>
                                  <w:tcW w:w="1187" w:type="dxa"/>
                                  <w:tcBorders>
                                    <w:bottom w:val="single" w:sz="18" w:space="0" w:color="800000"/>
                                  </w:tcBorders>
                                </w:tcPr>
                                <w:p w:rsidR="003F5784" w14:textId="77777777">
                                  <w:pPr>
                                    <w:pStyle w:val="TableParagraph"/>
                                    <w:spacing w:before="0"/>
                                    <w:jc w:val="left"/>
                                    <w:rPr>
                                      <w:sz w:val="18"/>
                                    </w:rPr>
                                  </w:pPr>
                                </w:p>
                              </w:tc>
                              <w:tc>
                                <w:tcPr>
                                  <w:tcW w:w="1615" w:type="dxa"/>
                                  <w:tcBorders>
                                    <w:bottom w:val="single" w:sz="18" w:space="0" w:color="800000"/>
                                  </w:tcBorders>
                                </w:tcPr>
                                <w:p w:rsidR="003F5784" w14:textId="77777777">
                                  <w:pPr>
                                    <w:pStyle w:val="TableParagraph"/>
                                    <w:spacing w:before="0" w:line="228" w:lineRule="exact"/>
                                    <w:ind w:left="608"/>
                                    <w:jc w:val="left"/>
                                    <w:rPr>
                                      <w:sz w:val="21"/>
                                    </w:rPr>
                                  </w:pPr>
                                  <w:r>
                                    <w:rPr>
                                      <w:sz w:val="21"/>
                                    </w:rPr>
                                    <w:t>Grade</w:t>
                                  </w:r>
                                  <w:r>
                                    <w:rPr>
                                      <w:spacing w:val="-7"/>
                                      <w:sz w:val="21"/>
                                    </w:rPr>
                                    <w:t xml:space="preserve"> </w:t>
                                  </w:r>
                                  <w:r>
                                    <w:rPr>
                                      <w:spacing w:val="-10"/>
                                      <w:sz w:val="21"/>
                                    </w:rPr>
                                    <w:t>8</w:t>
                                  </w:r>
                                </w:p>
                              </w:tc>
                              <w:tc>
                                <w:tcPr>
                                  <w:tcW w:w="1605" w:type="dxa"/>
                                  <w:tcBorders>
                                    <w:bottom w:val="single" w:sz="18" w:space="0" w:color="800000"/>
                                  </w:tcBorders>
                                </w:tcPr>
                                <w:p w:rsidR="003F5784" w14:textId="77777777">
                                  <w:pPr>
                                    <w:pStyle w:val="TableParagraph"/>
                                    <w:spacing w:before="0"/>
                                    <w:jc w:val="left"/>
                                    <w:rPr>
                                      <w:sz w:val="18"/>
                                    </w:rPr>
                                  </w:pPr>
                                </w:p>
                              </w:tc>
                            </w:tr>
                            <w:tr w14:paraId="72471C7E" w14:textId="77777777">
                              <w:tblPrEx>
                                <w:tblW w:w="0" w:type="auto"/>
                                <w:tblInd w:w="67" w:type="dxa"/>
                                <w:tblLayout w:type="fixed"/>
                                <w:tblCellMar>
                                  <w:left w:w="0" w:type="dxa"/>
                                  <w:right w:w="0" w:type="dxa"/>
                                </w:tblCellMar>
                                <w:tblLook w:val="01E0"/>
                              </w:tblPrEx>
                              <w:trPr>
                                <w:trHeight w:val="252"/>
                              </w:trPr>
                              <w:tc>
                                <w:tcPr>
                                  <w:tcW w:w="1332" w:type="dxa"/>
                                  <w:tcBorders>
                                    <w:top w:val="single" w:sz="18" w:space="0" w:color="800000"/>
                                  </w:tcBorders>
                                </w:tcPr>
                                <w:p w:rsidR="003F5784" w14:textId="77777777">
                                  <w:pPr>
                                    <w:pStyle w:val="TableParagraph"/>
                                    <w:spacing w:before="9" w:line="223" w:lineRule="exact"/>
                                    <w:ind w:right="128"/>
                                    <w:rPr>
                                      <w:sz w:val="21"/>
                                    </w:rPr>
                                  </w:pPr>
                                  <w:r>
                                    <w:rPr>
                                      <w:spacing w:val="-2"/>
                                      <w:sz w:val="21"/>
                                    </w:rPr>
                                    <w:t>Weighted</w:t>
                                  </w:r>
                                </w:p>
                              </w:tc>
                              <w:tc>
                                <w:tcPr>
                                  <w:tcW w:w="1614" w:type="dxa"/>
                                  <w:tcBorders>
                                    <w:top w:val="single" w:sz="18" w:space="0" w:color="800000"/>
                                  </w:tcBorders>
                                </w:tcPr>
                                <w:p w:rsidR="003F5784" w14:textId="77777777">
                                  <w:pPr>
                                    <w:pStyle w:val="TableParagraph"/>
                                    <w:spacing w:before="9" w:line="223" w:lineRule="exact"/>
                                    <w:ind w:right="128"/>
                                    <w:rPr>
                                      <w:sz w:val="21"/>
                                    </w:rPr>
                                  </w:pPr>
                                  <w:r>
                                    <w:rPr>
                                      <w:spacing w:val="-2"/>
                                      <w:sz w:val="21"/>
                                    </w:rPr>
                                    <w:t>Weighted</w:t>
                                  </w:r>
                                </w:p>
                              </w:tc>
                              <w:tc>
                                <w:tcPr>
                                  <w:tcW w:w="1747" w:type="dxa"/>
                                  <w:tcBorders>
                                    <w:top w:val="single" w:sz="18" w:space="0" w:color="800000"/>
                                  </w:tcBorders>
                                </w:tcPr>
                                <w:p w:rsidR="003F5784" w14:textId="77777777">
                                  <w:pPr>
                                    <w:pStyle w:val="TableParagraph"/>
                                    <w:spacing w:before="9" w:line="223" w:lineRule="exact"/>
                                    <w:ind w:right="261"/>
                                    <w:rPr>
                                      <w:sz w:val="21"/>
                                    </w:rPr>
                                  </w:pPr>
                                  <w:r>
                                    <w:rPr>
                                      <w:spacing w:val="-2"/>
                                      <w:sz w:val="21"/>
                                    </w:rPr>
                                    <w:t>Weighted</w:t>
                                  </w:r>
                                </w:p>
                              </w:tc>
                              <w:tc>
                                <w:tcPr>
                                  <w:tcW w:w="1187" w:type="dxa"/>
                                  <w:tcBorders>
                                    <w:top w:val="single" w:sz="18" w:space="0" w:color="800000"/>
                                  </w:tcBorders>
                                </w:tcPr>
                                <w:p w:rsidR="003F5784" w14:textId="77777777">
                                  <w:pPr>
                                    <w:pStyle w:val="TableParagraph"/>
                                    <w:spacing w:before="9" w:line="223" w:lineRule="exact"/>
                                    <w:ind w:right="129"/>
                                    <w:rPr>
                                      <w:sz w:val="21"/>
                                    </w:rPr>
                                  </w:pPr>
                                  <w:r>
                                    <w:rPr>
                                      <w:spacing w:val="-2"/>
                                      <w:sz w:val="21"/>
                                    </w:rPr>
                                    <w:t>Weighted</w:t>
                                  </w:r>
                                </w:p>
                              </w:tc>
                              <w:tc>
                                <w:tcPr>
                                  <w:tcW w:w="1615" w:type="dxa"/>
                                  <w:tcBorders>
                                    <w:top w:val="single" w:sz="18" w:space="0" w:color="800000"/>
                                  </w:tcBorders>
                                </w:tcPr>
                                <w:p w:rsidR="003F5784" w14:textId="77777777">
                                  <w:pPr>
                                    <w:pStyle w:val="TableParagraph"/>
                                    <w:spacing w:before="9" w:line="223" w:lineRule="exact"/>
                                    <w:ind w:right="128"/>
                                    <w:rPr>
                                      <w:sz w:val="21"/>
                                    </w:rPr>
                                  </w:pPr>
                                  <w:r>
                                    <w:rPr>
                                      <w:spacing w:val="-2"/>
                                      <w:sz w:val="21"/>
                                    </w:rPr>
                                    <w:t>Weighted</w:t>
                                  </w:r>
                                </w:p>
                              </w:tc>
                              <w:tc>
                                <w:tcPr>
                                  <w:tcW w:w="1605" w:type="dxa"/>
                                  <w:tcBorders>
                                    <w:top w:val="single" w:sz="18" w:space="0" w:color="800000"/>
                                  </w:tcBorders>
                                </w:tcPr>
                                <w:p w:rsidR="003F5784" w14:textId="77777777">
                                  <w:pPr>
                                    <w:pStyle w:val="TableParagraph"/>
                                    <w:spacing w:before="9" w:line="223" w:lineRule="exact"/>
                                    <w:ind w:right="120"/>
                                    <w:rPr>
                                      <w:sz w:val="21"/>
                                    </w:rPr>
                                  </w:pPr>
                                  <w:r>
                                    <w:rPr>
                                      <w:spacing w:val="-2"/>
                                      <w:sz w:val="21"/>
                                    </w:rPr>
                                    <w:t>Weighted</w:t>
                                  </w:r>
                                </w:p>
                              </w:tc>
                            </w:tr>
                            <w:tr w14:paraId="47D80EC5" w14:textId="77777777">
                              <w:tblPrEx>
                                <w:tblW w:w="0" w:type="auto"/>
                                <w:tblInd w:w="67" w:type="dxa"/>
                                <w:tblLayout w:type="fixed"/>
                                <w:tblCellMar>
                                  <w:left w:w="0" w:type="dxa"/>
                                  <w:right w:w="0" w:type="dxa"/>
                                </w:tblCellMar>
                                <w:tblLook w:val="01E0"/>
                              </w:tblPrEx>
                              <w:trPr>
                                <w:trHeight w:val="234"/>
                              </w:trPr>
                              <w:tc>
                                <w:tcPr>
                                  <w:tcW w:w="1332" w:type="dxa"/>
                                </w:tcPr>
                                <w:p w:rsidR="003F5784" w14:textId="77777777">
                                  <w:pPr>
                                    <w:pStyle w:val="TableParagraph"/>
                                    <w:spacing w:before="0" w:line="215" w:lineRule="exact"/>
                                    <w:ind w:right="127"/>
                                    <w:rPr>
                                      <w:sz w:val="21"/>
                                    </w:rPr>
                                  </w:pPr>
                                  <w:r>
                                    <w:rPr>
                                      <w:spacing w:val="-2"/>
                                      <w:sz w:val="21"/>
                                    </w:rPr>
                                    <w:t>student</w:t>
                                  </w:r>
                                </w:p>
                              </w:tc>
                              <w:tc>
                                <w:tcPr>
                                  <w:tcW w:w="1614" w:type="dxa"/>
                                </w:tcPr>
                                <w:p w:rsidR="003F5784" w14:textId="77777777">
                                  <w:pPr>
                                    <w:pStyle w:val="TableParagraph"/>
                                    <w:spacing w:before="0" w:line="215" w:lineRule="exact"/>
                                    <w:ind w:right="126"/>
                                    <w:rPr>
                                      <w:sz w:val="21"/>
                                    </w:rPr>
                                  </w:pPr>
                                  <w:r>
                                    <w:rPr>
                                      <w:sz w:val="21"/>
                                    </w:rPr>
                                    <w:t>percentage</w:t>
                                  </w:r>
                                  <w:r>
                                    <w:rPr>
                                      <w:spacing w:val="-11"/>
                                      <w:sz w:val="21"/>
                                    </w:rPr>
                                    <w:t xml:space="preserve"> </w:t>
                                  </w:r>
                                  <w:r>
                                    <w:rPr>
                                      <w:spacing w:val="-5"/>
                                      <w:sz w:val="21"/>
                                    </w:rPr>
                                    <w:t>of</w:t>
                                  </w:r>
                                </w:p>
                              </w:tc>
                              <w:tc>
                                <w:tcPr>
                                  <w:tcW w:w="1747" w:type="dxa"/>
                                </w:tcPr>
                                <w:p w:rsidR="003F5784" w14:textId="77777777">
                                  <w:pPr>
                                    <w:pStyle w:val="TableParagraph"/>
                                    <w:spacing w:before="0" w:line="215" w:lineRule="exact"/>
                                    <w:ind w:right="261"/>
                                    <w:rPr>
                                      <w:sz w:val="21"/>
                                    </w:rPr>
                                  </w:pPr>
                                  <w:r>
                                    <w:rPr>
                                      <w:sz w:val="21"/>
                                    </w:rPr>
                                    <w:t>percentage</w:t>
                                  </w:r>
                                  <w:r>
                                    <w:rPr>
                                      <w:spacing w:val="-11"/>
                                      <w:sz w:val="21"/>
                                    </w:rPr>
                                    <w:t xml:space="preserve"> </w:t>
                                  </w:r>
                                  <w:r>
                                    <w:rPr>
                                      <w:spacing w:val="-5"/>
                                      <w:sz w:val="21"/>
                                    </w:rPr>
                                    <w:t>of</w:t>
                                  </w:r>
                                </w:p>
                              </w:tc>
                              <w:tc>
                                <w:tcPr>
                                  <w:tcW w:w="1187" w:type="dxa"/>
                                </w:tcPr>
                                <w:p w:rsidR="003F5784" w14:textId="77777777">
                                  <w:pPr>
                                    <w:pStyle w:val="TableParagraph"/>
                                    <w:spacing w:before="0" w:line="215" w:lineRule="exact"/>
                                    <w:ind w:right="128"/>
                                    <w:rPr>
                                      <w:sz w:val="21"/>
                                    </w:rPr>
                                  </w:pPr>
                                  <w:r>
                                    <w:rPr>
                                      <w:spacing w:val="-2"/>
                                      <w:sz w:val="21"/>
                                    </w:rPr>
                                    <w:t>student</w:t>
                                  </w:r>
                                </w:p>
                              </w:tc>
                              <w:tc>
                                <w:tcPr>
                                  <w:tcW w:w="1615" w:type="dxa"/>
                                </w:tcPr>
                                <w:p w:rsidR="003F5784" w14:textId="77777777">
                                  <w:pPr>
                                    <w:pStyle w:val="TableParagraph"/>
                                    <w:spacing w:before="0" w:line="215" w:lineRule="exact"/>
                                    <w:ind w:right="128"/>
                                    <w:rPr>
                                      <w:sz w:val="21"/>
                                    </w:rPr>
                                  </w:pPr>
                                  <w:r>
                                    <w:rPr>
                                      <w:sz w:val="21"/>
                                    </w:rPr>
                                    <w:t>percentage</w:t>
                                  </w:r>
                                  <w:r>
                                    <w:rPr>
                                      <w:spacing w:val="-11"/>
                                      <w:sz w:val="21"/>
                                    </w:rPr>
                                    <w:t xml:space="preserve"> </w:t>
                                  </w:r>
                                  <w:r>
                                    <w:rPr>
                                      <w:spacing w:val="-5"/>
                                      <w:sz w:val="21"/>
                                    </w:rPr>
                                    <w:t>of</w:t>
                                  </w:r>
                                </w:p>
                              </w:tc>
                              <w:tc>
                                <w:tcPr>
                                  <w:tcW w:w="1605" w:type="dxa"/>
                                </w:tcPr>
                                <w:p w:rsidR="003F5784" w14:textId="77777777">
                                  <w:pPr>
                                    <w:pStyle w:val="TableParagraph"/>
                                    <w:spacing w:before="0" w:line="215" w:lineRule="exact"/>
                                    <w:ind w:right="120"/>
                                    <w:rPr>
                                      <w:sz w:val="21"/>
                                    </w:rPr>
                                  </w:pPr>
                                  <w:r>
                                    <w:rPr>
                                      <w:sz w:val="21"/>
                                    </w:rPr>
                                    <w:t>percentage</w:t>
                                  </w:r>
                                  <w:r>
                                    <w:rPr>
                                      <w:spacing w:val="-11"/>
                                      <w:sz w:val="21"/>
                                    </w:rPr>
                                    <w:t xml:space="preserve"> </w:t>
                                  </w:r>
                                  <w:r>
                                    <w:rPr>
                                      <w:spacing w:val="-5"/>
                                      <w:sz w:val="21"/>
                                    </w:rPr>
                                    <w:t>of</w:t>
                                  </w:r>
                                </w:p>
                              </w:tc>
                            </w:tr>
                            <w:tr w14:paraId="6AA89A46" w14:textId="77777777">
                              <w:tblPrEx>
                                <w:tblW w:w="0" w:type="auto"/>
                                <w:tblInd w:w="67" w:type="dxa"/>
                                <w:tblLayout w:type="fixed"/>
                                <w:tblCellMar>
                                  <w:left w:w="0" w:type="dxa"/>
                                  <w:right w:w="0" w:type="dxa"/>
                                </w:tblCellMar>
                                <w:tblLook w:val="01E0"/>
                              </w:tblPrEx>
                              <w:trPr>
                                <w:trHeight w:val="234"/>
                              </w:trPr>
                              <w:tc>
                                <w:tcPr>
                                  <w:tcW w:w="1332" w:type="dxa"/>
                                </w:tcPr>
                                <w:p w:rsidR="003F5784" w14:textId="77777777">
                                  <w:pPr>
                                    <w:pStyle w:val="TableParagraph"/>
                                    <w:spacing w:before="0" w:line="215" w:lineRule="exact"/>
                                    <w:ind w:right="127"/>
                                    <w:rPr>
                                      <w:sz w:val="21"/>
                                    </w:rPr>
                                  </w:pPr>
                                  <w:r>
                                    <w:rPr>
                                      <w:spacing w:val="-2"/>
                                      <w:sz w:val="21"/>
                                    </w:rPr>
                                    <w:t>response</w:t>
                                  </w:r>
                                </w:p>
                              </w:tc>
                              <w:tc>
                                <w:tcPr>
                                  <w:tcW w:w="1614" w:type="dxa"/>
                                </w:tcPr>
                                <w:p w:rsidR="003F5784" w14:textId="77777777">
                                  <w:pPr>
                                    <w:pStyle w:val="TableParagraph"/>
                                    <w:spacing w:before="0" w:line="215" w:lineRule="exact"/>
                                    <w:ind w:right="128"/>
                                    <w:rPr>
                                      <w:sz w:val="21"/>
                                    </w:rPr>
                                  </w:pPr>
                                  <w:r>
                                    <w:rPr>
                                      <w:sz w:val="21"/>
                                    </w:rPr>
                                    <w:t>all</w:t>
                                  </w:r>
                                  <w:r>
                                    <w:rPr>
                                      <w:spacing w:val="-6"/>
                                      <w:sz w:val="21"/>
                                    </w:rPr>
                                    <w:t xml:space="preserve"> </w:t>
                                  </w:r>
                                  <w:r>
                                    <w:rPr>
                                      <w:sz w:val="21"/>
                                    </w:rPr>
                                    <w:t>students</w:t>
                                  </w:r>
                                  <w:r>
                                    <w:rPr>
                                      <w:spacing w:val="-5"/>
                                      <w:sz w:val="21"/>
                                    </w:rPr>
                                    <w:t xml:space="preserve"> who</w:t>
                                  </w:r>
                                </w:p>
                              </w:tc>
                              <w:tc>
                                <w:tcPr>
                                  <w:tcW w:w="1747" w:type="dxa"/>
                                </w:tcPr>
                                <w:p w:rsidR="003F5784" w14:textId="77777777">
                                  <w:pPr>
                                    <w:pStyle w:val="TableParagraph"/>
                                    <w:spacing w:before="0" w:line="215" w:lineRule="exact"/>
                                    <w:ind w:right="261"/>
                                    <w:rPr>
                                      <w:sz w:val="21"/>
                                    </w:rPr>
                                  </w:pPr>
                                  <w:r>
                                    <w:rPr>
                                      <w:sz w:val="21"/>
                                    </w:rPr>
                                    <w:t>all</w:t>
                                  </w:r>
                                  <w:r>
                                    <w:rPr>
                                      <w:spacing w:val="-6"/>
                                      <w:sz w:val="21"/>
                                    </w:rPr>
                                    <w:t xml:space="preserve"> </w:t>
                                  </w:r>
                                  <w:r>
                                    <w:rPr>
                                      <w:sz w:val="21"/>
                                    </w:rPr>
                                    <w:t>students</w:t>
                                  </w:r>
                                  <w:r>
                                    <w:rPr>
                                      <w:spacing w:val="-5"/>
                                      <w:sz w:val="21"/>
                                    </w:rPr>
                                    <w:t xml:space="preserve"> who</w:t>
                                  </w:r>
                                </w:p>
                              </w:tc>
                              <w:tc>
                                <w:tcPr>
                                  <w:tcW w:w="1187" w:type="dxa"/>
                                </w:tcPr>
                                <w:p w:rsidR="003F5784" w14:textId="77777777">
                                  <w:pPr>
                                    <w:pStyle w:val="TableParagraph"/>
                                    <w:spacing w:before="0" w:line="215" w:lineRule="exact"/>
                                    <w:ind w:right="128"/>
                                    <w:rPr>
                                      <w:sz w:val="21"/>
                                    </w:rPr>
                                  </w:pPr>
                                  <w:r>
                                    <w:rPr>
                                      <w:spacing w:val="-2"/>
                                      <w:sz w:val="21"/>
                                    </w:rPr>
                                    <w:t>response</w:t>
                                  </w:r>
                                </w:p>
                              </w:tc>
                              <w:tc>
                                <w:tcPr>
                                  <w:tcW w:w="1615" w:type="dxa"/>
                                </w:tcPr>
                                <w:p w:rsidR="003F5784" w14:textId="77777777">
                                  <w:pPr>
                                    <w:pStyle w:val="TableParagraph"/>
                                    <w:spacing w:before="0" w:line="215" w:lineRule="exact"/>
                                    <w:ind w:right="128"/>
                                    <w:rPr>
                                      <w:sz w:val="21"/>
                                    </w:rPr>
                                  </w:pPr>
                                  <w:r>
                                    <w:rPr>
                                      <w:sz w:val="21"/>
                                    </w:rPr>
                                    <w:t>all</w:t>
                                  </w:r>
                                  <w:r>
                                    <w:rPr>
                                      <w:spacing w:val="-6"/>
                                      <w:sz w:val="21"/>
                                    </w:rPr>
                                    <w:t xml:space="preserve"> </w:t>
                                  </w:r>
                                  <w:r>
                                    <w:rPr>
                                      <w:sz w:val="21"/>
                                    </w:rPr>
                                    <w:t>students</w:t>
                                  </w:r>
                                  <w:r>
                                    <w:rPr>
                                      <w:spacing w:val="-5"/>
                                      <w:sz w:val="21"/>
                                    </w:rPr>
                                    <w:t xml:space="preserve"> who</w:t>
                                  </w:r>
                                </w:p>
                              </w:tc>
                              <w:tc>
                                <w:tcPr>
                                  <w:tcW w:w="1605" w:type="dxa"/>
                                </w:tcPr>
                                <w:p w:rsidR="003F5784" w14:textId="77777777">
                                  <w:pPr>
                                    <w:pStyle w:val="TableParagraph"/>
                                    <w:spacing w:before="0" w:line="215" w:lineRule="exact"/>
                                    <w:ind w:right="120"/>
                                    <w:rPr>
                                      <w:sz w:val="21"/>
                                    </w:rPr>
                                  </w:pPr>
                                  <w:r>
                                    <w:rPr>
                                      <w:sz w:val="21"/>
                                    </w:rPr>
                                    <w:t>all</w:t>
                                  </w:r>
                                  <w:r>
                                    <w:rPr>
                                      <w:spacing w:val="-6"/>
                                      <w:sz w:val="21"/>
                                    </w:rPr>
                                    <w:t xml:space="preserve"> </w:t>
                                  </w:r>
                                  <w:r>
                                    <w:rPr>
                                      <w:sz w:val="21"/>
                                    </w:rPr>
                                    <w:t>students</w:t>
                                  </w:r>
                                  <w:r>
                                    <w:rPr>
                                      <w:spacing w:val="-5"/>
                                      <w:sz w:val="21"/>
                                    </w:rPr>
                                    <w:t xml:space="preserve"> who</w:t>
                                  </w:r>
                                </w:p>
                              </w:tc>
                            </w:tr>
                            <w:tr w14:paraId="0BB68F12" w14:textId="77777777">
                              <w:tblPrEx>
                                <w:tblW w:w="0" w:type="auto"/>
                                <w:tblInd w:w="67" w:type="dxa"/>
                                <w:tblLayout w:type="fixed"/>
                                <w:tblCellMar>
                                  <w:left w:w="0" w:type="dxa"/>
                                  <w:right w:w="0" w:type="dxa"/>
                                </w:tblCellMar>
                                <w:tblLook w:val="01E0"/>
                              </w:tblPrEx>
                              <w:trPr>
                                <w:trHeight w:val="234"/>
                              </w:trPr>
                              <w:tc>
                                <w:tcPr>
                                  <w:tcW w:w="1332" w:type="dxa"/>
                                </w:tcPr>
                                <w:p w:rsidR="003F5784" w14:textId="77777777">
                                  <w:pPr>
                                    <w:pStyle w:val="TableParagraph"/>
                                    <w:spacing w:before="0" w:line="215" w:lineRule="exact"/>
                                    <w:ind w:right="127"/>
                                    <w:rPr>
                                      <w:sz w:val="21"/>
                                    </w:rPr>
                                  </w:pPr>
                                  <w:r>
                                    <w:rPr>
                                      <w:spacing w:val="-2"/>
                                      <w:sz w:val="21"/>
                                    </w:rPr>
                                    <w:t>rates</w:t>
                                  </w:r>
                                </w:p>
                              </w:tc>
                              <w:tc>
                                <w:tcPr>
                                  <w:tcW w:w="1614" w:type="dxa"/>
                                </w:tcPr>
                                <w:p w:rsidR="003F5784" w14:textId="77777777">
                                  <w:pPr>
                                    <w:pStyle w:val="TableParagraph"/>
                                    <w:spacing w:before="0" w:line="215" w:lineRule="exact"/>
                                    <w:ind w:right="126"/>
                                    <w:rPr>
                                      <w:sz w:val="21"/>
                                    </w:rPr>
                                  </w:pPr>
                                  <w:r>
                                    <w:rPr>
                                      <w:sz w:val="21"/>
                                    </w:rPr>
                                    <w:t>were</w:t>
                                  </w:r>
                                  <w:r>
                                    <w:rPr>
                                      <w:spacing w:val="-5"/>
                                      <w:sz w:val="21"/>
                                    </w:rPr>
                                    <w:t xml:space="preserve"> </w:t>
                                  </w:r>
                                  <w:r>
                                    <w:rPr>
                                      <w:sz w:val="21"/>
                                    </w:rPr>
                                    <w:t>SD</w:t>
                                  </w:r>
                                  <w:r>
                                    <w:rPr>
                                      <w:spacing w:val="-4"/>
                                      <w:sz w:val="21"/>
                                    </w:rPr>
                                    <w:t xml:space="preserve"> </w:t>
                                  </w:r>
                                  <w:r>
                                    <w:rPr>
                                      <w:spacing w:val="-5"/>
                                      <w:sz w:val="21"/>
                                    </w:rPr>
                                    <w:t>and</w:t>
                                  </w:r>
                                </w:p>
                              </w:tc>
                              <w:tc>
                                <w:tcPr>
                                  <w:tcW w:w="1747" w:type="dxa"/>
                                </w:tcPr>
                                <w:p w:rsidR="003F5784" w14:textId="77777777">
                                  <w:pPr>
                                    <w:pStyle w:val="TableParagraph"/>
                                    <w:spacing w:before="0" w:line="215" w:lineRule="exact"/>
                                    <w:ind w:right="261"/>
                                    <w:rPr>
                                      <w:sz w:val="21"/>
                                    </w:rPr>
                                  </w:pPr>
                                  <w:r>
                                    <w:rPr>
                                      <w:sz w:val="21"/>
                                    </w:rPr>
                                    <w:t>were</w:t>
                                  </w:r>
                                  <w:r>
                                    <w:rPr>
                                      <w:spacing w:val="-5"/>
                                      <w:sz w:val="21"/>
                                    </w:rPr>
                                    <w:t xml:space="preserve"> </w:t>
                                  </w:r>
                                  <w:r>
                                    <w:rPr>
                                      <w:sz w:val="21"/>
                                    </w:rPr>
                                    <w:t>EL</w:t>
                                  </w:r>
                                  <w:r>
                                    <w:rPr>
                                      <w:spacing w:val="-12"/>
                                      <w:sz w:val="21"/>
                                    </w:rPr>
                                    <w:t xml:space="preserve"> </w:t>
                                  </w:r>
                                  <w:r>
                                    <w:rPr>
                                      <w:spacing w:val="-5"/>
                                      <w:sz w:val="21"/>
                                    </w:rPr>
                                    <w:t>and</w:t>
                                  </w:r>
                                </w:p>
                              </w:tc>
                              <w:tc>
                                <w:tcPr>
                                  <w:tcW w:w="1187" w:type="dxa"/>
                                </w:tcPr>
                                <w:p w:rsidR="003F5784" w14:textId="77777777">
                                  <w:pPr>
                                    <w:pStyle w:val="TableParagraph"/>
                                    <w:spacing w:before="0" w:line="215" w:lineRule="exact"/>
                                    <w:ind w:right="128"/>
                                    <w:rPr>
                                      <w:sz w:val="21"/>
                                    </w:rPr>
                                  </w:pPr>
                                  <w:r>
                                    <w:rPr>
                                      <w:spacing w:val="-2"/>
                                      <w:sz w:val="21"/>
                                    </w:rPr>
                                    <w:t>rates</w:t>
                                  </w:r>
                                </w:p>
                              </w:tc>
                              <w:tc>
                                <w:tcPr>
                                  <w:tcW w:w="1615" w:type="dxa"/>
                                </w:tcPr>
                                <w:p w:rsidR="003F5784" w14:textId="77777777">
                                  <w:pPr>
                                    <w:pStyle w:val="TableParagraph"/>
                                    <w:spacing w:before="0" w:line="215" w:lineRule="exact"/>
                                    <w:ind w:right="128"/>
                                    <w:rPr>
                                      <w:sz w:val="21"/>
                                    </w:rPr>
                                  </w:pPr>
                                  <w:r>
                                    <w:rPr>
                                      <w:sz w:val="21"/>
                                    </w:rPr>
                                    <w:t>were</w:t>
                                  </w:r>
                                  <w:r>
                                    <w:rPr>
                                      <w:spacing w:val="-5"/>
                                      <w:sz w:val="21"/>
                                    </w:rPr>
                                    <w:t xml:space="preserve"> </w:t>
                                  </w:r>
                                  <w:r>
                                    <w:rPr>
                                      <w:sz w:val="21"/>
                                    </w:rPr>
                                    <w:t>SD</w:t>
                                  </w:r>
                                  <w:r>
                                    <w:rPr>
                                      <w:spacing w:val="-4"/>
                                      <w:sz w:val="21"/>
                                    </w:rPr>
                                    <w:t xml:space="preserve"> </w:t>
                                  </w:r>
                                  <w:r>
                                    <w:rPr>
                                      <w:spacing w:val="-5"/>
                                      <w:sz w:val="21"/>
                                    </w:rPr>
                                    <w:t>and</w:t>
                                  </w:r>
                                </w:p>
                              </w:tc>
                              <w:tc>
                                <w:tcPr>
                                  <w:tcW w:w="1605" w:type="dxa"/>
                                </w:tcPr>
                                <w:p w:rsidR="003F5784" w14:textId="77777777">
                                  <w:pPr>
                                    <w:pStyle w:val="TableParagraph"/>
                                    <w:spacing w:before="0" w:line="215" w:lineRule="exact"/>
                                    <w:ind w:right="120"/>
                                    <w:rPr>
                                      <w:sz w:val="21"/>
                                    </w:rPr>
                                  </w:pPr>
                                  <w:r>
                                    <w:rPr>
                                      <w:sz w:val="21"/>
                                    </w:rPr>
                                    <w:t>were</w:t>
                                  </w:r>
                                  <w:r>
                                    <w:rPr>
                                      <w:spacing w:val="-5"/>
                                      <w:sz w:val="21"/>
                                    </w:rPr>
                                    <w:t xml:space="preserve"> </w:t>
                                  </w:r>
                                  <w:r>
                                    <w:rPr>
                                      <w:sz w:val="21"/>
                                    </w:rPr>
                                    <w:t>EL</w:t>
                                  </w:r>
                                  <w:r>
                                    <w:rPr>
                                      <w:spacing w:val="-12"/>
                                      <w:sz w:val="21"/>
                                    </w:rPr>
                                    <w:t xml:space="preserve"> </w:t>
                                  </w:r>
                                  <w:r>
                                    <w:rPr>
                                      <w:spacing w:val="-5"/>
                                      <w:sz w:val="21"/>
                                    </w:rPr>
                                    <w:t>and</w:t>
                                  </w:r>
                                </w:p>
                              </w:tc>
                            </w:tr>
                            <w:tr w14:paraId="3345860A" w14:textId="77777777">
                              <w:tblPrEx>
                                <w:tblW w:w="0" w:type="auto"/>
                                <w:tblInd w:w="67" w:type="dxa"/>
                                <w:tblLayout w:type="fixed"/>
                                <w:tblCellMar>
                                  <w:left w:w="0" w:type="dxa"/>
                                  <w:right w:w="0" w:type="dxa"/>
                                </w:tblCellMar>
                                <w:tblLook w:val="01E0"/>
                              </w:tblPrEx>
                              <w:trPr>
                                <w:trHeight w:val="232"/>
                              </w:trPr>
                              <w:tc>
                                <w:tcPr>
                                  <w:tcW w:w="1332" w:type="dxa"/>
                                </w:tcPr>
                                <w:p w:rsidR="003F5784" w14:textId="77777777">
                                  <w:pPr>
                                    <w:pStyle w:val="TableParagraph"/>
                                    <w:spacing w:before="0" w:line="213" w:lineRule="exact"/>
                                    <w:ind w:right="127"/>
                                    <w:rPr>
                                      <w:sz w:val="21"/>
                                    </w:rPr>
                                  </w:pPr>
                                  <w:r>
                                    <w:rPr>
                                      <w:spacing w:val="-2"/>
                                      <w:sz w:val="21"/>
                                    </w:rPr>
                                    <w:t>(percent)</w:t>
                                  </w:r>
                                </w:p>
                              </w:tc>
                              <w:tc>
                                <w:tcPr>
                                  <w:tcW w:w="1614" w:type="dxa"/>
                                </w:tcPr>
                                <w:p w:rsidR="003F5784" w14:textId="77777777">
                                  <w:pPr>
                                    <w:pStyle w:val="TableParagraph"/>
                                    <w:spacing w:before="0" w:line="213" w:lineRule="exact"/>
                                    <w:ind w:right="126"/>
                                    <w:rPr>
                                      <w:sz w:val="21"/>
                                    </w:rPr>
                                  </w:pPr>
                                  <w:r>
                                    <w:rPr>
                                      <w:spacing w:val="-2"/>
                                      <w:sz w:val="21"/>
                                    </w:rPr>
                                    <w:t>excluded</w:t>
                                  </w:r>
                                </w:p>
                              </w:tc>
                              <w:tc>
                                <w:tcPr>
                                  <w:tcW w:w="1747" w:type="dxa"/>
                                </w:tcPr>
                                <w:p w:rsidR="003F5784" w14:textId="77777777">
                                  <w:pPr>
                                    <w:pStyle w:val="TableParagraph"/>
                                    <w:spacing w:before="0" w:line="213" w:lineRule="exact"/>
                                    <w:ind w:right="261"/>
                                    <w:rPr>
                                      <w:sz w:val="21"/>
                                    </w:rPr>
                                  </w:pPr>
                                  <w:r>
                                    <w:rPr>
                                      <w:spacing w:val="-2"/>
                                      <w:sz w:val="21"/>
                                    </w:rPr>
                                    <w:t>excluded</w:t>
                                  </w:r>
                                </w:p>
                              </w:tc>
                              <w:tc>
                                <w:tcPr>
                                  <w:tcW w:w="1187" w:type="dxa"/>
                                </w:tcPr>
                                <w:p w:rsidR="003F5784" w14:textId="77777777">
                                  <w:pPr>
                                    <w:pStyle w:val="TableParagraph"/>
                                    <w:spacing w:before="0" w:line="213" w:lineRule="exact"/>
                                    <w:ind w:right="128"/>
                                    <w:rPr>
                                      <w:sz w:val="21"/>
                                    </w:rPr>
                                  </w:pPr>
                                  <w:r>
                                    <w:rPr>
                                      <w:spacing w:val="-2"/>
                                      <w:sz w:val="21"/>
                                    </w:rPr>
                                    <w:t>(percent)</w:t>
                                  </w:r>
                                </w:p>
                              </w:tc>
                              <w:tc>
                                <w:tcPr>
                                  <w:tcW w:w="1615" w:type="dxa"/>
                                </w:tcPr>
                                <w:p w:rsidR="003F5784" w14:textId="77777777">
                                  <w:pPr>
                                    <w:pStyle w:val="TableParagraph"/>
                                    <w:spacing w:before="0" w:line="213" w:lineRule="exact"/>
                                    <w:ind w:right="128"/>
                                    <w:rPr>
                                      <w:sz w:val="21"/>
                                    </w:rPr>
                                  </w:pPr>
                                  <w:r>
                                    <w:rPr>
                                      <w:spacing w:val="-2"/>
                                      <w:sz w:val="21"/>
                                    </w:rPr>
                                    <w:t>excluded</w:t>
                                  </w:r>
                                </w:p>
                              </w:tc>
                              <w:tc>
                                <w:tcPr>
                                  <w:tcW w:w="1605" w:type="dxa"/>
                                </w:tcPr>
                                <w:p w:rsidR="003F5784" w14:textId="77777777">
                                  <w:pPr>
                                    <w:pStyle w:val="TableParagraph"/>
                                    <w:spacing w:before="0" w:line="213" w:lineRule="exact"/>
                                    <w:ind w:right="120"/>
                                    <w:rPr>
                                      <w:sz w:val="21"/>
                                    </w:rPr>
                                  </w:pPr>
                                  <w:r>
                                    <w:rPr>
                                      <w:spacing w:val="-2"/>
                                      <w:sz w:val="21"/>
                                    </w:rPr>
                                    <w:t>excluded</w:t>
                                  </w:r>
                                </w:p>
                              </w:tc>
                            </w:tr>
                          </w:tbl>
                          <w:p w:rsidR="003F5784" w14:textId="77777777">
                            <w:pPr>
                              <w:pStyle w:val="BodyText"/>
                            </w:pPr>
                          </w:p>
                        </w:txbxContent>
                      </wps:txbx>
                      <wps:bodyPr wrap="square" lIns="0" tIns="0" rIns="0" bIns="0" rtlCol="0"/>
                    </wps:wsp>
                  </a:graphicData>
                </a:graphic>
              </wp:anchor>
            </w:drawing>
          </mc:Choice>
          <mc:Fallback>
            <w:pict>
              <v:shape id="Textbox 376" o:spid="_x0000_s1141" type="#_x0000_t202" style="width:460.85pt;height:73.95pt;margin-top:-62.05pt;margin-left:288.1pt;mso-position-horizontal-relative:page;mso-wrap-distance-bottom:0;mso-wrap-distance-left:0;mso-wrap-distance-right:0;mso-wrap-distance-top:0;mso-wrap-style:square;position:absolute;visibility:visible;v-text-anchor:top;z-index:251665408" filled="f" stroked="f">
                <v:textbox inset="0,0,0,0">
                  <w:txbxContent>
                    <w:tbl>
                      <w:tblPr>
                        <w:tblW w:w="0" w:type="auto"/>
                        <w:tblInd w:w="67" w:type="dxa"/>
                        <w:tblLayout w:type="fixed"/>
                        <w:tblCellMar>
                          <w:left w:w="0" w:type="dxa"/>
                          <w:right w:w="0" w:type="dxa"/>
                        </w:tblCellMar>
                        <w:tblLook w:val="01E0"/>
                      </w:tblPr>
                      <w:tblGrid>
                        <w:gridCol w:w="1332"/>
                        <w:gridCol w:w="1614"/>
                        <w:gridCol w:w="1747"/>
                        <w:gridCol w:w="1187"/>
                        <w:gridCol w:w="1615"/>
                        <w:gridCol w:w="1605"/>
                      </w:tblGrid>
                      <w:tr w14:paraId="538C3388" w14:textId="77777777">
                        <w:tblPrEx>
                          <w:tblW w:w="0" w:type="auto"/>
                          <w:tblInd w:w="67" w:type="dxa"/>
                          <w:tblLayout w:type="fixed"/>
                          <w:tblCellMar>
                            <w:left w:w="0" w:type="dxa"/>
                            <w:right w:w="0" w:type="dxa"/>
                          </w:tblCellMar>
                          <w:tblLook w:val="01E0"/>
                        </w:tblPrEx>
                        <w:trPr>
                          <w:trHeight w:val="248"/>
                        </w:trPr>
                        <w:tc>
                          <w:tcPr>
                            <w:tcW w:w="1332" w:type="dxa"/>
                            <w:tcBorders>
                              <w:bottom w:val="single" w:sz="18" w:space="0" w:color="800000"/>
                            </w:tcBorders>
                          </w:tcPr>
                          <w:p w:rsidR="003F5784" w14:paraId="154F8261" w14:textId="77777777">
                            <w:pPr>
                              <w:pStyle w:val="TableParagraph"/>
                              <w:spacing w:before="0"/>
                              <w:jc w:val="left"/>
                              <w:rPr>
                                <w:sz w:val="18"/>
                              </w:rPr>
                            </w:pPr>
                          </w:p>
                        </w:tc>
                        <w:tc>
                          <w:tcPr>
                            <w:tcW w:w="1614" w:type="dxa"/>
                            <w:tcBorders>
                              <w:bottom w:val="single" w:sz="18" w:space="0" w:color="800000"/>
                            </w:tcBorders>
                          </w:tcPr>
                          <w:p w:rsidR="003F5784" w14:paraId="264989AC" w14:textId="77777777">
                            <w:pPr>
                              <w:pStyle w:val="TableParagraph"/>
                              <w:spacing w:before="0" w:line="228" w:lineRule="exact"/>
                              <w:ind w:left="608"/>
                              <w:jc w:val="left"/>
                              <w:rPr>
                                <w:sz w:val="21"/>
                              </w:rPr>
                            </w:pPr>
                            <w:r>
                              <w:rPr>
                                <w:sz w:val="21"/>
                              </w:rPr>
                              <w:t>Grade</w:t>
                            </w:r>
                            <w:r>
                              <w:rPr>
                                <w:spacing w:val="-7"/>
                                <w:sz w:val="21"/>
                              </w:rPr>
                              <w:t xml:space="preserve"> </w:t>
                            </w:r>
                            <w:r>
                              <w:rPr>
                                <w:spacing w:val="-10"/>
                                <w:sz w:val="21"/>
                              </w:rPr>
                              <w:t>4</w:t>
                            </w:r>
                          </w:p>
                        </w:tc>
                        <w:tc>
                          <w:tcPr>
                            <w:tcW w:w="1747" w:type="dxa"/>
                            <w:tcBorders>
                              <w:bottom w:val="single" w:sz="18" w:space="0" w:color="800000"/>
                            </w:tcBorders>
                          </w:tcPr>
                          <w:p w:rsidR="003F5784" w14:paraId="6E335B6E" w14:textId="77777777">
                            <w:pPr>
                              <w:pStyle w:val="TableParagraph"/>
                              <w:spacing w:before="0"/>
                              <w:jc w:val="left"/>
                              <w:rPr>
                                <w:sz w:val="18"/>
                              </w:rPr>
                            </w:pPr>
                          </w:p>
                        </w:tc>
                        <w:tc>
                          <w:tcPr>
                            <w:tcW w:w="1187" w:type="dxa"/>
                            <w:tcBorders>
                              <w:bottom w:val="single" w:sz="18" w:space="0" w:color="800000"/>
                            </w:tcBorders>
                          </w:tcPr>
                          <w:p w:rsidR="003F5784" w14:paraId="434783E5" w14:textId="77777777">
                            <w:pPr>
                              <w:pStyle w:val="TableParagraph"/>
                              <w:spacing w:before="0"/>
                              <w:jc w:val="left"/>
                              <w:rPr>
                                <w:sz w:val="18"/>
                              </w:rPr>
                            </w:pPr>
                          </w:p>
                        </w:tc>
                        <w:tc>
                          <w:tcPr>
                            <w:tcW w:w="1615" w:type="dxa"/>
                            <w:tcBorders>
                              <w:bottom w:val="single" w:sz="18" w:space="0" w:color="800000"/>
                            </w:tcBorders>
                          </w:tcPr>
                          <w:p w:rsidR="003F5784" w14:paraId="299BC8A0" w14:textId="77777777">
                            <w:pPr>
                              <w:pStyle w:val="TableParagraph"/>
                              <w:spacing w:before="0" w:line="228" w:lineRule="exact"/>
                              <w:ind w:left="608"/>
                              <w:jc w:val="left"/>
                              <w:rPr>
                                <w:sz w:val="21"/>
                              </w:rPr>
                            </w:pPr>
                            <w:r>
                              <w:rPr>
                                <w:sz w:val="21"/>
                              </w:rPr>
                              <w:t>Grade</w:t>
                            </w:r>
                            <w:r>
                              <w:rPr>
                                <w:spacing w:val="-7"/>
                                <w:sz w:val="21"/>
                              </w:rPr>
                              <w:t xml:space="preserve"> </w:t>
                            </w:r>
                            <w:r>
                              <w:rPr>
                                <w:spacing w:val="-10"/>
                                <w:sz w:val="21"/>
                              </w:rPr>
                              <w:t>8</w:t>
                            </w:r>
                          </w:p>
                        </w:tc>
                        <w:tc>
                          <w:tcPr>
                            <w:tcW w:w="1605" w:type="dxa"/>
                            <w:tcBorders>
                              <w:bottom w:val="single" w:sz="18" w:space="0" w:color="800000"/>
                            </w:tcBorders>
                          </w:tcPr>
                          <w:p w:rsidR="003F5784" w14:paraId="586C7332" w14:textId="77777777">
                            <w:pPr>
                              <w:pStyle w:val="TableParagraph"/>
                              <w:spacing w:before="0"/>
                              <w:jc w:val="left"/>
                              <w:rPr>
                                <w:sz w:val="18"/>
                              </w:rPr>
                            </w:pPr>
                          </w:p>
                        </w:tc>
                      </w:tr>
                      <w:tr w14:paraId="72471C7E" w14:textId="77777777">
                        <w:tblPrEx>
                          <w:tblW w:w="0" w:type="auto"/>
                          <w:tblInd w:w="67" w:type="dxa"/>
                          <w:tblLayout w:type="fixed"/>
                          <w:tblCellMar>
                            <w:left w:w="0" w:type="dxa"/>
                            <w:right w:w="0" w:type="dxa"/>
                          </w:tblCellMar>
                          <w:tblLook w:val="01E0"/>
                        </w:tblPrEx>
                        <w:trPr>
                          <w:trHeight w:val="252"/>
                        </w:trPr>
                        <w:tc>
                          <w:tcPr>
                            <w:tcW w:w="1332" w:type="dxa"/>
                            <w:tcBorders>
                              <w:top w:val="single" w:sz="18" w:space="0" w:color="800000"/>
                            </w:tcBorders>
                          </w:tcPr>
                          <w:p w:rsidR="003F5784" w14:paraId="44A1D79A" w14:textId="77777777">
                            <w:pPr>
                              <w:pStyle w:val="TableParagraph"/>
                              <w:spacing w:before="9" w:line="223" w:lineRule="exact"/>
                              <w:ind w:right="128"/>
                              <w:rPr>
                                <w:sz w:val="21"/>
                              </w:rPr>
                            </w:pPr>
                            <w:r>
                              <w:rPr>
                                <w:spacing w:val="-2"/>
                                <w:sz w:val="21"/>
                              </w:rPr>
                              <w:t>Weighted</w:t>
                            </w:r>
                          </w:p>
                        </w:tc>
                        <w:tc>
                          <w:tcPr>
                            <w:tcW w:w="1614" w:type="dxa"/>
                            <w:tcBorders>
                              <w:top w:val="single" w:sz="18" w:space="0" w:color="800000"/>
                            </w:tcBorders>
                          </w:tcPr>
                          <w:p w:rsidR="003F5784" w14:paraId="0FD8F7B4" w14:textId="77777777">
                            <w:pPr>
                              <w:pStyle w:val="TableParagraph"/>
                              <w:spacing w:before="9" w:line="223" w:lineRule="exact"/>
                              <w:ind w:right="128"/>
                              <w:rPr>
                                <w:sz w:val="21"/>
                              </w:rPr>
                            </w:pPr>
                            <w:r>
                              <w:rPr>
                                <w:spacing w:val="-2"/>
                                <w:sz w:val="21"/>
                              </w:rPr>
                              <w:t>Weighted</w:t>
                            </w:r>
                          </w:p>
                        </w:tc>
                        <w:tc>
                          <w:tcPr>
                            <w:tcW w:w="1747" w:type="dxa"/>
                            <w:tcBorders>
                              <w:top w:val="single" w:sz="18" w:space="0" w:color="800000"/>
                            </w:tcBorders>
                          </w:tcPr>
                          <w:p w:rsidR="003F5784" w14:paraId="11A3762E" w14:textId="77777777">
                            <w:pPr>
                              <w:pStyle w:val="TableParagraph"/>
                              <w:spacing w:before="9" w:line="223" w:lineRule="exact"/>
                              <w:ind w:right="261"/>
                              <w:rPr>
                                <w:sz w:val="21"/>
                              </w:rPr>
                            </w:pPr>
                            <w:r>
                              <w:rPr>
                                <w:spacing w:val="-2"/>
                                <w:sz w:val="21"/>
                              </w:rPr>
                              <w:t>Weighted</w:t>
                            </w:r>
                          </w:p>
                        </w:tc>
                        <w:tc>
                          <w:tcPr>
                            <w:tcW w:w="1187" w:type="dxa"/>
                            <w:tcBorders>
                              <w:top w:val="single" w:sz="18" w:space="0" w:color="800000"/>
                            </w:tcBorders>
                          </w:tcPr>
                          <w:p w:rsidR="003F5784" w14:paraId="46F9889E" w14:textId="77777777">
                            <w:pPr>
                              <w:pStyle w:val="TableParagraph"/>
                              <w:spacing w:before="9" w:line="223" w:lineRule="exact"/>
                              <w:ind w:right="129"/>
                              <w:rPr>
                                <w:sz w:val="21"/>
                              </w:rPr>
                            </w:pPr>
                            <w:r>
                              <w:rPr>
                                <w:spacing w:val="-2"/>
                                <w:sz w:val="21"/>
                              </w:rPr>
                              <w:t>Weighted</w:t>
                            </w:r>
                          </w:p>
                        </w:tc>
                        <w:tc>
                          <w:tcPr>
                            <w:tcW w:w="1615" w:type="dxa"/>
                            <w:tcBorders>
                              <w:top w:val="single" w:sz="18" w:space="0" w:color="800000"/>
                            </w:tcBorders>
                          </w:tcPr>
                          <w:p w:rsidR="003F5784" w14:paraId="6DFB014B" w14:textId="77777777">
                            <w:pPr>
                              <w:pStyle w:val="TableParagraph"/>
                              <w:spacing w:before="9" w:line="223" w:lineRule="exact"/>
                              <w:ind w:right="128"/>
                              <w:rPr>
                                <w:sz w:val="21"/>
                              </w:rPr>
                            </w:pPr>
                            <w:r>
                              <w:rPr>
                                <w:spacing w:val="-2"/>
                                <w:sz w:val="21"/>
                              </w:rPr>
                              <w:t>Weighted</w:t>
                            </w:r>
                          </w:p>
                        </w:tc>
                        <w:tc>
                          <w:tcPr>
                            <w:tcW w:w="1605" w:type="dxa"/>
                            <w:tcBorders>
                              <w:top w:val="single" w:sz="18" w:space="0" w:color="800000"/>
                            </w:tcBorders>
                          </w:tcPr>
                          <w:p w:rsidR="003F5784" w14:paraId="516D89AA" w14:textId="77777777">
                            <w:pPr>
                              <w:pStyle w:val="TableParagraph"/>
                              <w:spacing w:before="9" w:line="223" w:lineRule="exact"/>
                              <w:ind w:right="120"/>
                              <w:rPr>
                                <w:sz w:val="21"/>
                              </w:rPr>
                            </w:pPr>
                            <w:r>
                              <w:rPr>
                                <w:spacing w:val="-2"/>
                                <w:sz w:val="21"/>
                              </w:rPr>
                              <w:t>Weighted</w:t>
                            </w:r>
                          </w:p>
                        </w:tc>
                      </w:tr>
                      <w:tr w14:paraId="47D80EC5" w14:textId="77777777">
                        <w:tblPrEx>
                          <w:tblW w:w="0" w:type="auto"/>
                          <w:tblInd w:w="67" w:type="dxa"/>
                          <w:tblLayout w:type="fixed"/>
                          <w:tblCellMar>
                            <w:left w:w="0" w:type="dxa"/>
                            <w:right w:w="0" w:type="dxa"/>
                          </w:tblCellMar>
                          <w:tblLook w:val="01E0"/>
                        </w:tblPrEx>
                        <w:trPr>
                          <w:trHeight w:val="234"/>
                        </w:trPr>
                        <w:tc>
                          <w:tcPr>
                            <w:tcW w:w="1332" w:type="dxa"/>
                          </w:tcPr>
                          <w:p w:rsidR="003F5784" w14:paraId="2D1CF088" w14:textId="77777777">
                            <w:pPr>
                              <w:pStyle w:val="TableParagraph"/>
                              <w:spacing w:before="0" w:line="215" w:lineRule="exact"/>
                              <w:ind w:right="127"/>
                              <w:rPr>
                                <w:sz w:val="21"/>
                              </w:rPr>
                            </w:pPr>
                            <w:r>
                              <w:rPr>
                                <w:spacing w:val="-2"/>
                                <w:sz w:val="21"/>
                              </w:rPr>
                              <w:t>student</w:t>
                            </w:r>
                          </w:p>
                        </w:tc>
                        <w:tc>
                          <w:tcPr>
                            <w:tcW w:w="1614" w:type="dxa"/>
                          </w:tcPr>
                          <w:p w:rsidR="003F5784" w14:paraId="4A445477" w14:textId="77777777">
                            <w:pPr>
                              <w:pStyle w:val="TableParagraph"/>
                              <w:spacing w:before="0" w:line="215" w:lineRule="exact"/>
                              <w:ind w:right="126"/>
                              <w:rPr>
                                <w:sz w:val="21"/>
                              </w:rPr>
                            </w:pPr>
                            <w:r>
                              <w:rPr>
                                <w:sz w:val="21"/>
                              </w:rPr>
                              <w:t>percentage</w:t>
                            </w:r>
                            <w:r>
                              <w:rPr>
                                <w:spacing w:val="-11"/>
                                <w:sz w:val="21"/>
                              </w:rPr>
                              <w:t xml:space="preserve"> </w:t>
                            </w:r>
                            <w:r>
                              <w:rPr>
                                <w:spacing w:val="-5"/>
                                <w:sz w:val="21"/>
                              </w:rPr>
                              <w:t>of</w:t>
                            </w:r>
                          </w:p>
                        </w:tc>
                        <w:tc>
                          <w:tcPr>
                            <w:tcW w:w="1747" w:type="dxa"/>
                          </w:tcPr>
                          <w:p w:rsidR="003F5784" w14:paraId="3A6948E0" w14:textId="77777777">
                            <w:pPr>
                              <w:pStyle w:val="TableParagraph"/>
                              <w:spacing w:before="0" w:line="215" w:lineRule="exact"/>
                              <w:ind w:right="261"/>
                              <w:rPr>
                                <w:sz w:val="21"/>
                              </w:rPr>
                            </w:pPr>
                            <w:r>
                              <w:rPr>
                                <w:sz w:val="21"/>
                              </w:rPr>
                              <w:t>percentage</w:t>
                            </w:r>
                            <w:r>
                              <w:rPr>
                                <w:spacing w:val="-11"/>
                                <w:sz w:val="21"/>
                              </w:rPr>
                              <w:t xml:space="preserve"> </w:t>
                            </w:r>
                            <w:r>
                              <w:rPr>
                                <w:spacing w:val="-5"/>
                                <w:sz w:val="21"/>
                              </w:rPr>
                              <w:t>of</w:t>
                            </w:r>
                          </w:p>
                        </w:tc>
                        <w:tc>
                          <w:tcPr>
                            <w:tcW w:w="1187" w:type="dxa"/>
                          </w:tcPr>
                          <w:p w:rsidR="003F5784" w14:paraId="741D8593" w14:textId="77777777">
                            <w:pPr>
                              <w:pStyle w:val="TableParagraph"/>
                              <w:spacing w:before="0" w:line="215" w:lineRule="exact"/>
                              <w:ind w:right="128"/>
                              <w:rPr>
                                <w:sz w:val="21"/>
                              </w:rPr>
                            </w:pPr>
                            <w:r>
                              <w:rPr>
                                <w:spacing w:val="-2"/>
                                <w:sz w:val="21"/>
                              </w:rPr>
                              <w:t>student</w:t>
                            </w:r>
                          </w:p>
                        </w:tc>
                        <w:tc>
                          <w:tcPr>
                            <w:tcW w:w="1615" w:type="dxa"/>
                          </w:tcPr>
                          <w:p w:rsidR="003F5784" w14:paraId="2B9A4E31" w14:textId="77777777">
                            <w:pPr>
                              <w:pStyle w:val="TableParagraph"/>
                              <w:spacing w:before="0" w:line="215" w:lineRule="exact"/>
                              <w:ind w:right="128"/>
                              <w:rPr>
                                <w:sz w:val="21"/>
                              </w:rPr>
                            </w:pPr>
                            <w:r>
                              <w:rPr>
                                <w:sz w:val="21"/>
                              </w:rPr>
                              <w:t>percentage</w:t>
                            </w:r>
                            <w:r>
                              <w:rPr>
                                <w:spacing w:val="-11"/>
                                <w:sz w:val="21"/>
                              </w:rPr>
                              <w:t xml:space="preserve"> </w:t>
                            </w:r>
                            <w:r>
                              <w:rPr>
                                <w:spacing w:val="-5"/>
                                <w:sz w:val="21"/>
                              </w:rPr>
                              <w:t>of</w:t>
                            </w:r>
                          </w:p>
                        </w:tc>
                        <w:tc>
                          <w:tcPr>
                            <w:tcW w:w="1605" w:type="dxa"/>
                          </w:tcPr>
                          <w:p w:rsidR="003F5784" w14:paraId="59B675F5" w14:textId="77777777">
                            <w:pPr>
                              <w:pStyle w:val="TableParagraph"/>
                              <w:spacing w:before="0" w:line="215" w:lineRule="exact"/>
                              <w:ind w:right="120"/>
                              <w:rPr>
                                <w:sz w:val="21"/>
                              </w:rPr>
                            </w:pPr>
                            <w:r>
                              <w:rPr>
                                <w:sz w:val="21"/>
                              </w:rPr>
                              <w:t>percentage</w:t>
                            </w:r>
                            <w:r>
                              <w:rPr>
                                <w:spacing w:val="-11"/>
                                <w:sz w:val="21"/>
                              </w:rPr>
                              <w:t xml:space="preserve"> </w:t>
                            </w:r>
                            <w:r>
                              <w:rPr>
                                <w:spacing w:val="-5"/>
                                <w:sz w:val="21"/>
                              </w:rPr>
                              <w:t>of</w:t>
                            </w:r>
                          </w:p>
                        </w:tc>
                      </w:tr>
                      <w:tr w14:paraId="6AA89A46" w14:textId="77777777">
                        <w:tblPrEx>
                          <w:tblW w:w="0" w:type="auto"/>
                          <w:tblInd w:w="67" w:type="dxa"/>
                          <w:tblLayout w:type="fixed"/>
                          <w:tblCellMar>
                            <w:left w:w="0" w:type="dxa"/>
                            <w:right w:w="0" w:type="dxa"/>
                          </w:tblCellMar>
                          <w:tblLook w:val="01E0"/>
                        </w:tblPrEx>
                        <w:trPr>
                          <w:trHeight w:val="234"/>
                        </w:trPr>
                        <w:tc>
                          <w:tcPr>
                            <w:tcW w:w="1332" w:type="dxa"/>
                          </w:tcPr>
                          <w:p w:rsidR="003F5784" w14:paraId="46BB8271" w14:textId="77777777">
                            <w:pPr>
                              <w:pStyle w:val="TableParagraph"/>
                              <w:spacing w:before="0" w:line="215" w:lineRule="exact"/>
                              <w:ind w:right="127"/>
                              <w:rPr>
                                <w:sz w:val="21"/>
                              </w:rPr>
                            </w:pPr>
                            <w:r>
                              <w:rPr>
                                <w:spacing w:val="-2"/>
                                <w:sz w:val="21"/>
                              </w:rPr>
                              <w:t>response</w:t>
                            </w:r>
                          </w:p>
                        </w:tc>
                        <w:tc>
                          <w:tcPr>
                            <w:tcW w:w="1614" w:type="dxa"/>
                          </w:tcPr>
                          <w:p w:rsidR="003F5784" w14:paraId="228811F4" w14:textId="77777777">
                            <w:pPr>
                              <w:pStyle w:val="TableParagraph"/>
                              <w:spacing w:before="0" w:line="215" w:lineRule="exact"/>
                              <w:ind w:right="128"/>
                              <w:rPr>
                                <w:sz w:val="21"/>
                              </w:rPr>
                            </w:pPr>
                            <w:r>
                              <w:rPr>
                                <w:sz w:val="21"/>
                              </w:rPr>
                              <w:t>all</w:t>
                            </w:r>
                            <w:r>
                              <w:rPr>
                                <w:spacing w:val="-6"/>
                                <w:sz w:val="21"/>
                              </w:rPr>
                              <w:t xml:space="preserve"> </w:t>
                            </w:r>
                            <w:r>
                              <w:rPr>
                                <w:sz w:val="21"/>
                              </w:rPr>
                              <w:t>students</w:t>
                            </w:r>
                            <w:r>
                              <w:rPr>
                                <w:spacing w:val="-5"/>
                                <w:sz w:val="21"/>
                              </w:rPr>
                              <w:t xml:space="preserve"> who</w:t>
                            </w:r>
                          </w:p>
                        </w:tc>
                        <w:tc>
                          <w:tcPr>
                            <w:tcW w:w="1747" w:type="dxa"/>
                          </w:tcPr>
                          <w:p w:rsidR="003F5784" w14:paraId="59257C81" w14:textId="77777777">
                            <w:pPr>
                              <w:pStyle w:val="TableParagraph"/>
                              <w:spacing w:before="0" w:line="215" w:lineRule="exact"/>
                              <w:ind w:right="261"/>
                              <w:rPr>
                                <w:sz w:val="21"/>
                              </w:rPr>
                            </w:pPr>
                            <w:r>
                              <w:rPr>
                                <w:sz w:val="21"/>
                              </w:rPr>
                              <w:t>all</w:t>
                            </w:r>
                            <w:r>
                              <w:rPr>
                                <w:spacing w:val="-6"/>
                                <w:sz w:val="21"/>
                              </w:rPr>
                              <w:t xml:space="preserve"> </w:t>
                            </w:r>
                            <w:r>
                              <w:rPr>
                                <w:sz w:val="21"/>
                              </w:rPr>
                              <w:t>students</w:t>
                            </w:r>
                            <w:r>
                              <w:rPr>
                                <w:spacing w:val="-5"/>
                                <w:sz w:val="21"/>
                              </w:rPr>
                              <w:t xml:space="preserve"> who</w:t>
                            </w:r>
                          </w:p>
                        </w:tc>
                        <w:tc>
                          <w:tcPr>
                            <w:tcW w:w="1187" w:type="dxa"/>
                          </w:tcPr>
                          <w:p w:rsidR="003F5784" w14:paraId="0E2649EB" w14:textId="77777777">
                            <w:pPr>
                              <w:pStyle w:val="TableParagraph"/>
                              <w:spacing w:before="0" w:line="215" w:lineRule="exact"/>
                              <w:ind w:right="128"/>
                              <w:rPr>
                                <w:sz w:val="21"/>
                              </w:rPr>
                            </w:pPr>
                            <w:r>
                              <w:rPr>
                                <w:spacing w:val="-2"/>
                                <w:sz w:val="21"/>
                              </w:rPr>
                              <w:t>response</w:t>
                            </w:r>
                          </w:p>
                        </w:tc>
                        <w:tc>
                          <w:tcPr>
                            <w:tcW w:w="1615" w:type="dxa"/>
                          </w:tcPr>
                          <w:p w:rsidR="003F5784" w14:paraId="6DEE62CF" w14:textId="77777777">
                            <w:pPr>
                              <w:pStyle w:val="TableParagraph"/>
                              <w:spacing w:before="0" w:line="215" w:lineRule="exact"/>
                              <w:ind w:right="128"/>
                              <w:rPr>
                                <w:sz w:val="21"/>
                              </w:rPr>
                            </w:pPr>
                            <w:r>
                              <w:rPr>
                                <w:sz w:val="21"/>
                              </w:rPr>
                              <w:t>all</w:t>
                            </w:r>
                            <w:r>
                              <w:rPr>
                                <w:spacing w:val="-6"/>
                                <w:sz w:val="21"/>
                              </w:rPr>
                              <w:t xml:space="preserve"> </w:t>
                            </w:r>
                            <w:r>
                              <w:rPr>
                                <w:sz w:val="21"/>
                              </w:rPr>
                              <w:t>students</w:t>
                            </w:r>
                            <w:r>
                              <w:rPr>
                                <w:spacing w:val="-5"/>
                                <w:sz w:val="21"/>
                              </w:rPr>
                              <w:t xml:space="preserve"> who</w:t>
                            </w:r>
                          </w:p>
                        </w:tc>
                        <w:tc>
                          <w:tcPr>
                            <w:tcW w:w="1605" w:type="dxa"/>
                          </w:tcPr>
                          <w:p w:rsidR="003F5784" w14:paraId="6D518001" w14:textId="77777777">
                            <w:pPr>
                              <w:pStyle w:val="TableParagraph"/>
                              <w:spacing w:before="0" w:line="215" w:lineRule="exact"/>
                              <w:ind w:right="120"/>
                              <w:rPr>
                                <w:sz w:val="21"/>
                              </w:rPr>
                            </w:pPr>
                            <w:r>
                              <w:rPr>
                                <w:sz w:val="21"/>
                              </w:rPr>
                              <w:t>all</w:t>
                            </w:r>
                            <w:r>
                              <w:rPr>
                                <w:spacing w:val="-6"/>
                                <w:sz w:val="21"/>
                              </w:rPr>
                              <w:t xml:space="preserve"> </w:t>
                            </w:r>
                            <w:r>
                              <w:rPr>
                                <w:sz w:val="21"/>
                              </w:rPr>
                              <w:t>students</w:t>
                            </w:r>
                            <w:r>
                              <w:rPr>
                                <w:spacing w:val="-5"/>
                                <w:sz w:val="21"/>
                              </w:rPr>
                              <w:t xml:space="preserve"> who</w:t>
                            </w:r>
                          </w:p>
                        </w:tc>
                      </w:tr>
                      <w:tr w14:paraId="0BB68F12" w14:textId="77777777">
                        <w:tblPrEx>
                          <w:tblW w:w="0" w:type="auto"/>
                          <w:tblInd w:w="67" w:type="dxa"/>
                          <w:tblLayout w:type="fixed"/>
                          <w:tblCellMar>
                            <w:left w:w="0" w:type="dxa"/>
                            <w:right w:w="0" w:type="dxa"/>
                          </w:tblCellMar>
                          <w:tblLook w:val="01E0"/>
                        </w:tblPrEx>
                        <w:trPr>
                          <w:trHeight w:val="234"/>
                        </w:trPr>
                        <w:tc>
                          <w:tcPr>
                            <w:tcW w:w="1332" w:type="dxa"/>
                          </w:tcPr>
                          <w:p w:rsidR="003F5784" w14:paraId="61336FA1" w14:textId="77777777">
                            <w:pPr>
                              <w:pStyle w:val="TableParagraph"/>
                              <w:spacing w:before="0" w:line="215" w:lineRule="exact"/>
                              <w:ind w:right="127"/>
                              <w:rPr>
                                <w:sz w:val="21"/>
                              </w:rPr>
                            </w:pPr>
                            <w:r>
                              <w:rPr>
                                <w:spacing w:val="-2"/>
                                <w:sz w:val="21"/>
                              </w:rPr>
                              <w:t>rates</w:t>
                            </w:r>
                          </w:p>
                        </w:tc>
                        <w:tc>
                          <w:tcPr>
                            <w:tcW w:w="1614" w:type="dxa"/>
                          </w:tcPr>
                          <w:p w:rsidR="003F5784" w14:paraId="0D4E6B87" w14:textId="77777777">
                            <w:pPr>
                              <w:pStyle w:val="TableParagraph"/>
                              <w:spacing w:before="0" w:line="215" w:lineRule="exact"/>
                              <w:ind w:right="126"/>
                              <w:rPr>
                                <w:sz w:val="21"/>
                              </w:rPr>
                            </w:pPr>
                            <w:r>
                              <w:rPr>
                                <w:sz w:val="21"/>
                              </w:rPr>
                              <w:t>were</w:t>
                            </w:r>
                            <w:r>
                              <w:rPr>
                                <w:spacing w:val="-5"/>
                                <w:sz w:val="21"/>
                              </w:rPr>
                              <w:t xml:space="preserve"> </w:t>
                            </w:r>
                            <w:r>
                              <w:rPr>
                                <w:sz w:val="21"/>
                              </w:rPr>
                              <w:t>SD</w:t>
                            </w:r>
                            <w:r>
                              <w:rPr>
                                <w:spacing w:val="-4"/>
                                <w:sz w:val="21"/>
                              </w:rPr>
                              <w:t xml:space="preserve"> </w:t>
                            </w:r>
                            <w:r>
                              <w:rPr>
                                <w:spacing w:val="-5"/>
                                <w:sz w:val="21"/>
                              </w:rPr>
                              <w:t>and</w:t>
                            </w:r>
                          </w:p>
                        </w:tc>
                        <w:tc>
                          <w:tcPr>
                            <w:tcW w:w="1747" w:type="dxa"/>
                          </w:tcPr>
                          <w:p w:rsidR="003F5784" w14:paraId="147FCD12" w14:textId="77777777">
                            <w:pPr>
                              <w:pStyle w:val="TableParagraph"/>
                              <w:spacing w:before="0" w:line="215" w:lineRule="exact"/>
                              <w:ind w:right="261"/>
                              <w:rPr>
                                <w:sz w:val="21"/>
                              </w:rPr>
                            </w:pPr>
                            <w:r>
                              <w:rPr>
                                <w:sz w:val="21"/>
                              </w:rPr>
                              <w:t>were</w:t>
                            </w:r>
                            <w:r>
                              <w:rPr>
                                <w:spacing w:val="-5"/>
                                <w:sz w:val="21"/>
                              </w:rPr>
                              <w:t xml:space="preserve"> </w:t>
                            </w:r>
                            <w:r>
                              <w:rPr>
                                <w:sz w:val="21"/>
                              </w:rPr>
                              <w:t>EL</w:t>
                            </w:r>
                            <w:r>
                              <w:rPr>
                                <w:spacing w:val="-12"/>
                                <w:sz w:val="21"/>
                              </w:rPr>
                              <w:t xml:space="preserve"> </w:t>
                            </w:r>
                            <w:r>
                              <w:rPr>
                                <w:spacing w:val="-5"/>
                                <w:sz w:val="21"/>
                              </w:rPr>
                              <w:t>and</w:t>
                            </w:r>
                          </w:p>
                        </w:tc>
                        <w:tc>
                          <w:tcPr>
                            <w:tcW w:w="1187" w:type="dxa"/>
                          </w:tcPr>
                          <w:p w:rsidR="003F5784" w14:paraId="05EAF9C5" w14:textId="77777777">
                            <w:pPr>
                              <w:pStyle w:val="TableParagraph"/>
                              <w:spacing w:before="0" w:line="215" w:lineRule="exact"/>
                              <w:ind w:right="128"/>
                              <w:rPr>
                                <w:sz w:val="21"/>
                              </w:rPr>
                            </w:pPr>
                            <w:r>
                              <w:rPr>
                                <w:spacing w:val="-2"/>
                                <w:sz w:val="21"/>
                              </w:rPr>
                              <w:t>rates</w:t>
                            </w:r>
                          </w:p>
                        </w:tc>
                        <w:tc>
                          <w:tcPr>
                            <w:tcW w:w="1615" w:type="dxa"/>
                          </w:tcPr>
                          <w:p w:rsidR="003F5784" w14:paraId="227C9FF5" w14:textId="77777777">
                            <w:pPr>
                              <w:pStyle w:val="TableParagraph"/>
                              <w:spacing w:before="0" w:line="215" w:lineRule="exact"/>
                              <w:ind w:right="128"/>
                              <w:rPr>
                                <w:sz w:val="21"/>
                              </w:rPr>
                            </w:pPr>
                            <w:r>
                              <w:rPr>
                                <w:sz w:val="21"/>
                              </w:rPr>
                              <w:t>were</w:t>
                            </w:r>
                            <w:r>
                              <w:rPr>
                                <w:spacing w:val="-5"/>
                                <w:sz w:val="21"/>
                              </w:rPr>
                              <w:t xml:space="preserve"> </w:t>
                            </w:r>
                            <w:r>
                              <w:rPr>
                                <w:sz w:val="21"/>
                              </w:rPr>
                              <w:t>SD</w:t>
                            </w:r>
                            <w:r>
                              <w:rPr>
                                <w:spacing w:val="-4"/>
                                <w:sz w:val="21"/>
                              </w:rPr>
                              <w:t xml:space="preserve"> </w:t>
                            </w:r>
                            <w:r>
                              <w:rPr>
                                <w:spacing w:val="-5"/>
                                <w:sz w:val="21"/>
                              </w:rPr>
                              <w:t>and</w:t>
                            </w:r>
                          </w:p>
                        </w:tc>
                        <w:tc>
                          <w:tcPr>
                            <w:tcW w:w="1605" w:type="dxa"/>
                          </w:tcPr>
                          <w:p w:rsidR="003F5784" w14:paraId="221145FC" w14:textId="77777777">
                            <w:pPr>
                              <w:pStyle w:val="TableParagraph"/>
                              <w:spacing w:before="0" w:line="215" w:lineRule="exact"/>
                              <w:ind w:right="120"/>
                              <w:rPr>
                                <w:sz w:val="21"/>
                              </w:rPr>
                            </w:pPr>
                            <w:r>
                              <w:rPr>
                                <w:sz w:val="21"/>
                              </w:rPr>
                              <w:t>were</w:t>
                            </w:r>
                            <w:r>
                              <w:rPr>
                                <w:spacing w:val="-5"/>
                                <w:sz w:val="21"/>
                              </w:rPr>
                              <w:t xml:space="preserve"> </w:t>
                            </w:r>
                            <w:r>
                              <w:rPr>
                                <w:sz w:val="21"/>
                              </w:rPr>
                              <w:t>EL</w:t>
                            </w:r>
                            <w:r>
                              <w:rPr>
                                <w:spacing w:val="-12"/>
                                <w:sz w:val="21"/>
                              </w:rPr>
                              <w:t xml:space="preserve"> </w:t>
                            </w:r>
                            <w:r>
                              <w:rPr>
                                <w:spacing w:val="-5"/>
                                <w:sz w:val="21"/>
                              </w:rPr>
                              <w:t>and</w:t>
                            </w:r>
                          </w:p>
                        </w:tc>
                      </w:tr>
                      <w:tr w14:paraId="3345860A" w14:textId="77777777">
                        <w:tblPrEx>
                          <w:tblW w:w="0" w:type="auto"/>
                          <w:tblInd w:w="67" w:type="dxa"/>
                          <w:tblLayout w:type="fixed"/>
                          <w:tblCellMar>
                            <w:left w:w="0" w:type="dxa"/>
                            <w:right w:w="0" w:type="dxa"/>
                          </w:tblCellMar>
                          <w:tblLook w:val="01E0"/>
                        </w:tblPrEx>
                        <w:trPr>
                          <w:trHeight w:val="232"/>
                        </w:trPr>
                        <w:tc>
                          <w:tcPr>
                            <w:tcW w:w="1332" w:type="dxa"/>
                          </w:tcPr>
                          <w:p w:rsidR="003F5784" w14:paraId="759B53B1" w14:textId="77777777">
                            <w:pPr>
                              <w:pStyle w:val="TableParagraph"/>
                              <w:spacing w:before="0" w:line="213" w:lineRule="exact"/>
                              <w:ind w:right="127"/>
                              <w:rPr>
                                <w:sz w:val="21"/>
                              </w:rPr>
                            </w:pPr>
                            <w:r>
                              <w:rPr>
                                <w:spacing w:val="-2"/>
                                <w:sz w:val="21"/>
                              </w:rPr>
                              <w:t>(percent)</w:t>
                            </w:r>
                          </w:p>
                        </w:tc>
                        <w:tc>
                          <w:tcPr>
                            <w:tcW w:w="1614" w:type="dxa"/>
                          </w:tcPr>
                          <w:p w:rsidR="003F5784" w14:paraId="62E6A94E" w14:textId="77777777">
                            <w:pPr>
                              <w:pStyle w:val="TableParagraph"/>
                              <w:spacing w:before="0" w:line="213" w:lineRule="exact"/>
                              <w:ind w:right="126"/>
                              <w:rPr>
                                <w:sz w:val="21"/>
                              </w:rPr>
                            </w:pPr>
                            <w:r>
                              <w:rPr>
                                <w:spacing w:val="-2"/>
                                <w:sz w:val="21"/>
                              </w:rPr>
                              <w:t>excluded</w:t>
                            </w:r>
                          </w:p>
                        </w:tc>
                        <w:tc>
                          <w:tcPr>
                            <w:tcW w:w="1747" w:type="dxa"/>
                          </w:tcPr>
                          <w:p w:rsidR="003F5784" w14:paraId="45FA06DA" w14:textId="77777777">
                            <w:pPr>
                              <w:pStyle w:val="TableParagraph"/>
                              <w:spacing w:before="0" w:line="213" w:lineRule="exact"/>
                              <w:ind w:right="261"/>
                              <w:rPr>
                                <w:sz w:val="21"/>
                              </w:rPr>
                            </w:pPr>
                            <w:r>
                              <w:rPr>
                                <w:spacing w:val="-2"/>
                                <w:sz w:val="21"/>
                              </w:rPr>
                              <w:t>excluded</w:t>
                            </w:r>
                          </w:p>
                        </w:tc>
                        <w:tc>
                          <w:tcPr>
                            <w:tcW w:w="1187" w:type="dxa"/>
                          </w:tcPr>
                          <w:p w:rsidR="003F5784" w14:paraId="23E5BA28" w14:textId="77777777">
                            <w:pPr>
                              <w:pStyle w:val="TableParagraph"/>
                              <w:spacing w:before="0" w:line="213" w:lineRule="exact"/>
                              <w:ind w:right="128"/>
                              <w:rPr>
                                <w:sz w:val="21"/>
                              </w:rPr>
                            </w:pPr>
                            <w:r>
                              <w:rPr>
                                <w:spacing w:val="-2"/>
                                <w:sz w:val="21"/>
                              </w:rPr>
                              <w:t>(percent)</w:t>
                            </w:r>
                          </w:p>
                        </w:tc>
                        <w:tc>
                          <w:tcPr>
                            <w:tcW w:w="1615" w:type="dxa"/>
                          </w:tcPr>
                          <w:p w:rsidR="003F5784" w14:paraId="3F2345A8" w14:textId="77777777">
                            <w:pPr>
                              <w:pStyle w:val="TableParagraph"/>
                              <w:spacing w:before="0" w:line="213" w:lineRule="exact"/>
                              <w:ind w:right="128"/>
                              <w:rPr>
                                <w:sz w:val="21"/>
                              </w:rPr>
                            </w:pPr>
                            <w:r>
                              <w:rPr>
                                <w:spacing w:val="-2"/>
                                <w:sz w:val="21"/>
                              </w:rPr>
                              <w:t>excluded</w:t>
                            </w:r>
                          </w:p>
                        </w:tc>
                        <w:tc>
                          <w:tcPr>
                            <w:tcW w:w="1605" w:type="dxa"/>
                          </w:tcPr>
                          <w:p w:rsidR="003F5784" w14:paraId="47340F8E" w14:textId="77777777">
                            <w:pPr>
                              <w:pStyle w:val="TableParagraph"/>
                              <w:spacing w:before="0" w:line="213" w:lineRule="exact"/>
                              <w:ind w:right="120"/>
                              <w:rPr>
                                <w:sz w:val="21"/>
                              </w:rPr>
                            </w:pPr>
                            <w:r>
                              <w:rPr>
                                <w:spacing w:val="-2"/>
                                <w:sz w:val="21"/>
                              </w:rPr>
                              <w:t>excluded</w:t>
                            </w:r>
                          </w:p>
                        </w:tc>
                      </w:tr>
                    </w:tbl>
                    <w:p w:rsidR="003F5784" w14:paraId="0D34041A" w14:textId="77777777">
                      <w:pPr>
                        <w:pStyle w:val="BodyText"/>
                      </w:pPr>
                    </w:p>
                  </w:txbxContent>
                </v:textbox>
              </v:shape>
            </w:pict>
          </mc:Fallback>
        </mc:AlternateContent>
      </w:r>
      <w:r>
        <w:rPr>
          <w:spacing w:val="-2"/>
        </w:rPr>
        <w:t>Jurisdiction</w:t>
      </w:r>
    </w:p>
    <w:tbl>
      <w:tblPr>
        <w:tblW w:w="0" w:type="auto"/>
        <w:tblInd w:w="482" w:type="dxa"/>
        <w:tblLayout w:type="fixed"/>
        <w:tblCellMar>
          <w:left w:w="0" w:type="dxa"/>
          <w:right w:w="0" w:type="dxa"/>
        </w:tblCellMar>
        <w:tblLook w:val="01E0"/>
      </w:tblPr>
      <w:tblGrid>
        <w:gridCol w:w="4918"/>
        <w:gridCol w:w="1260"/>
        <w:gridCol w:w="1620"/>
        <w:gridCol w:w="1800"/>
        <w:gridCol w:w="1170"/>
        <w:gridCol w:w="1614"/>
        <w:gridCol w:w="1626"/>
      </w:tblGrid>
      <w:tr w14:paraId="0AD9AD22" w14:textId="77777777" w:rsidTr="00040E74">
        <w:tblPrEx>
          <w:tblW w:w="0" w:type="auto"/>
          <w:tblInd w:w="482" w:type="dxa"/>
          <w:tblLayout w:type="fixed"/>
          <w:tblCellMar>
            <w:left w:w="0" w:type="dxa"/>
            <w:right w:w="0" w:type="dxa"/>
          </w:tblCellMar>
          <w:tblLook w:val="01E0"/>
        </w:tblPrEx>
        <w:trPr>
          <w:trHeight w:val="278"/>
        </w:trPr>
        <w:tc>
          <w:tcPr>
            <w:tcW w:w="4918" w:type="dxa"/>
            <w:tcBorders>
              <w:top w:val="single" w:sz="18" w:space="0" w:color="800000"/>
            </w:tcBorders>
          </w:tcPr>
          <w:p w:rsidR="003F5784" w14:paraId="2686002B" w14:textId="77777777">
            <w:pPr>
              <w:pStyle w:val="TableParagraph"/>
              <w:spacing w:before="9"/>
              <w:ind w:left="120"/>
              <w:jc w:val="left"/>
              <w:rPr>
                <w:sz w:val="21"/>
              </w:rPr>
            </w:pPr>
            <w:r>
              <w:rPr>
                <w:sz w:val="21"/>
              </w:rPr>
              <w:t>Rhode</w:t>
            </w:r>
            <w:r>
              <w:rPr>
                <w:spacing w:val="-7"/>
                <w:sz w:val="21"/>
              </w:rPr>
              <w:t xml:space="preserve"> </w:t>
            </w:r>
            <w:r>
              <w:rPr>
                <w:spacing w:val="-2"/>
                <w:sz w:val="21"/>
              </w:rPr>
              <w:t>Island</w:t>
            </w:r>
          </w:p>
        </w:tc>
        <w:tc>
          <w:tcPr>
            <w:tcW w:w="1260" w:type="dxa"/>
            <w:tcBorders>
              <w:top w:val="single" w:sz="18" w:space="0" w:color="800000"/>
            </w:tcBorders>
          </w:tcPr>
          <w:p w:rsidR="003F5784" w14:paraId="7DC14A42" w14:textId="77777777">
            <w:pPr>
              <w:pStyle w:val="TableParagraph"/>
              <w:spacing w:before="9"/>
              <w:ind w:left="425"/>
              <w:jc w:val="left"/>
              <w:rPr>
                <w:sz w:val="21"/>
              </w:rPr>
            </w:pPr>
            <w:r>
              <w:rPr>
                <w:spacing w:val="-2"/>
                <w:sz w:val="21"/>
              </w:rPr>
              <w:t>94.25</w:t>
            </w:r>
          </w:p>
        </w:tc>
        <w:tc>
          <w:tcPr>
            <w:tcW w:w="1620" w:type="dxa"/>
            <w:tcBorders>
              <w:top w:val="single" w:sz="18" w:space="0" w:color="800000"/>
            </w:tcBorders>
          </w:tcPr>
          <w:p w:rsidR="003F5784" w14:paraId="7B4AC19B" w14:textId="77777777">
            <w:pPr>
              <w:pStyle w:val="TableParagraph"/>
              <w:spacing w:before="9"/>
              <w:ind w:left="9" w:right="8"/>
              <w:jc w:val="center"/>
              <w:rPr>
                <w:sz w:val="21"/>
              </w:rPr>
            </w:pPr>
            <w:r>
              <w:rPr>
                <w:spacing w:val="-4"/>
                <w:sz w:val="21"/>
              </w:rPr>
              <w:t>1.01</w:t>
            </w:r>
          </w:p>
        </w:tc>
        <w:tc>
          <w:tcPr>
            <w:tcW w:w="1800" w:type="dxa"/>
            <w:tcBorders>
              <w:top w:val="single" w:sz="18" w:space="0" w:color="800000"/>
            </w:tcBorders>
          </w:tcPr>
          <w:p w:rsidR="003F5784" w14:paraId="7DF24C6B" w14:textId="77777777">
            <w:pPr>
              <w:pStyle w:val="TableParagraph"/>
              <w:spacing w:before="9"/>
              <w:ind w:right="422"/>
              <w:rPr>
                <w:sz w:val="21"/>
              </w:rPr>
            </w:pPr>
            <w:r>
              <w:rPr>
                <w:spacing w:val="-4"/>
                <w:sz w:val="21"/>
              </w:rPr>
              <w:t>0.73</w:t>
            </w:r>
          </w:p>
        </w:tc>
        <w:tc>
          <w:tcPr>
            <w:tcW w:w="1170" w:type="dxa"/>
            <w:tcBorders>
              <w:top w:val="single" w:sz="18" w:space="0" w:color="800000"/>
            </w:tcBorders>
          </w:tcPr>
          <w:p w:rsidR="003F5784" w14:paraId="536AA17A" w14:textId="77777777">
            <w:pPr>
              <w:pStyle w:val="TableParagraph"/>
              <w:spacing w:before="9"/>
              <w:ind w:left="2" w:right="199"/>
              <w:jc w:val="center"/>
              <w:rPr>
                <w:sz w:val="21"/>
              </w:rPr>
            </w:pPr>
            <w:r>
              <w:rPr>
                <w:spacing w:val="-2"/>
                <w:sz w:val="21"/>
              </w:rPr>
              <w:t>90.48</w:t>
            </w:r>
          </w:p>
        </w:tc>
        <w:tc>
          <w:tcPr>
            <w:tcW w:w="1614" w:type="dxa"/>
            <w:tcBorders>
              <w:top w:val="single" w:sz="18" w:space="0" w:color="800000"/>
            </w:tcBorders>
          </w:tcPr>
          <w:p w:rsidR="003F5784" w14:paraId="3CC1A1DB" w14:textId="77777777">
            <w:pPr>
              <w:pStyle w:val="TableParagraph"/>
              <w:spacing w:before="9"/>
              <w:ind w:left="9" w:right="8"/>
              <w:jc w:val="center"/>
              <w:rPr>
                <w:sz w:val="21"/>
              </w:rPr>
            </w:pPr>
            <w:r>
              <w:rPr>
                <w:spacing w:val="-4"/>
                <w:sz w:val="21"/>
              </w:rPr>
              <w:t>1.39</w:t>
            </w:r>
          </w:p>
        </w:tc>
        <w:tc>
          <w:tcPr>
            <w:tcW w:w="1626" w:type="dxa"/>
            <w:tcBorders>
              <w:top w:val="single" w:sz="18" w:space="0" w:color="800000"/>
            </w:tcBorders>
          </w:tcPr>
          <w:p w:rsidR="003F5784" w14:paraId="6B6B34E9" w14:textId="77777777">
            <w:pPr>
              <w:pStyle w:val="TableParagraph"/>
              <w:spacing w:before="9"/>
              <w:ind w:right="116"/>
              <w:rPr>
                <w:sz w:val="21"/>
              </w:rPr>
            </w:pPr>
            <w:r>
              <w:rPr>
                <w:spacing w:val="-4"/>
                <w:sz w:val="21"/>
              </w:rPr>
              <w:t>1.09</w:t>
            </w:r>
          </w:p>
        </w:tc>
      </w:tr>
      <w:tr w14:paraId="4EF8BD14" w14:textId="77777777" w:rsidTr="00040E74">
        <w:tblPrEx>
          <w:tblW w:w="0" w:type="auto"/>
          <w:tblInd w:w="482" w:type="dxa"/>
          <w:tblLayout w:type="fixed"/>
          <w:tblCellMar>
            <w:left w:w="0" w:type="dxa"/>
            <w:right w:w="0" w:type="dxa"/>
          </w:tblCellMar>
          <w:tblLook w:val="01E0"/>
        </w:tblPrEx>
        <w:trPr>
          <w:trHeight w:val="286"/>
        </w:trPr>
        <w:tc>
          <w:tcPr>
            <w:tcW w:w="4918" w:type="dxa"/>
          </w:tcPr>
          <w:p w:rsidR="003F5784" w14:paraId="5BD3A6C6" w14:textId="77777777">
            <w:pPr>
              <w:pStyle w:val="TableParagraph"/>
              <w:ind w:left="120"/>
              <w:jc w:val="left"/>
              <w:rPr>
                <w:sz w:val="21"/>
              </w:rPr>
            </w:pPr>
            <w:r>
              <w:rPr>
                <w:sz w:val="21"/>
              </w:rPr>
              <w:t>South</w:t>
            </w:r>
            <w:r>
              <w:rPr>
                <w:spacing w:val="-6"/>
                <w:sz w:val="21"/>
              </w:rPr>
              <w:t xml:space="preserve"> </w:t>
            </w:r>
            <w:r>
              <w:rPr>
                <w:spacing w:val="-2"/>
                <w:sz w:val="21"/>
              </w:rPr>
              <w:t>Carolina</w:t>
            </w:r>
          </w:p>
        </w:tc>
        <w:tc>
          <w:tcPr>
            <w:tcW w:w="1260" w:type="dxa"/>
          </w:tcPr>
          <w:p w:rsidR="003F5784" w14:paraId="61B1E753" w14:textId="77777777">
            <w:pPr>
              <w:pStyle w:val="TableParagraph"/>
              <w:ind w:left="425"/>
              <w:jc w:val="left"/>
              <w:rPr>
                <w:sz w:val="21"/>
              </w:rPr>
            </w:pPr>
            <w:r>
              <w:rPr>
                <w:spacing w:val="-2"/>
                <w:sz w:val="21"/>
              </w:rPr>
              <w:t>93.01</w:t>
            </w:r>
          </w:p>
        </w:tc>
        <w:tc>
          <w:tcPr>
            <w:tcW w:w="1620" w:type="dxa"/>
          </w:tcPr>
          <w:p w:rsidR="003F5784" w14:paraId="01043C7D" w14:textId="77777777">
            <w:pPr>
              <w:pStyle w:val="TableParagraph"/>
              <w:ind w:left="9" w:right="8"/>
              <w:jc w:val="center"/>
              <w:rPr>
                <w:sz w:val="21"/>
              </w:rPr>
            </w:pPr>
            <w:r>
              <w:rPr>
                <w:spacing w:val="-4"/>
                <w:sz w:val="21"/>
              </w:rPr>
              <w:t>0.75</w:t>
            </w:r>
          </w:p>
        </w:tc>
        <w:tc>
          <w:tcPr>
            <w:tcW w:w="1800" w:type="dxa"/>
          </w:tcPr>
          <w:p w:rsidR="003F5784" w14:paraId="1A913904" w14:textId="77777777">
            <w:pPr>
              <w:pStyle w:val="TableParagraph"/>
              <w:ind w:right="422"/>
              <w:rPr>
                <w:sz w:val="21"/>
              </w:rPr>
            </w:pPr>
            <w:r>
              <w:rPr>
                <w:spacing w:val="-4"/>
                <w:sz w:val="21"/>
              </w:rPr>
              <w:t>0.36</w:t>
            </w:r>
          </w:p>
        </w:tc>
        <w:tc>
          <w:tcPr>
            <w:tcW w:w="1170" w:type="dxa"/>
          </w:tcPr>
          <w:p w:rsidR="003F5784" w14:paraId="50450B5F" w14:textId="77777777">
            <w:pPr>
              <w:pStyle w:val="TableParagraph"/>
              <w:ind w:left="2" w:right="199"/>
              <w:jc w:val="center"/>
              <w:rPr>
                <w:sz w:val="21"/>
              </w:rPr>
            </w:pPr>
            <w:r>
              <w:rPr>
                <w:spacing w:val="-2"/>
                <w:sz w:val="21"/>
              </w:rPr>
              <w:t>91.36</w:t>
            </w:r>
          </w:p>
        </w:tc>
        <w:tc>
          <w:tcPr>
            <w:tcW w:w="1614" w:type="dxa"/>
          </w:tcPr>
          <w:p w:rsidR="003F5784" w14:paraId="03D21458" w14:textId="77777777">
            <w:pPr>
              <w:pStyle w:val="TableParagraph"/>
              <w:ind w:left="9" w:right="8"/>
              <w:jc w:val="center"/>
              <w:rPr>
                <w:sz w:val="21"/>
              </w:rPr>
            </w:pPr>
            <w:r>
              <w:rPr>
                <w:spacing w:val="-4"/>
                <w:sz w:val="21"/>
              </w:rPr>
              <w:t>1.03</w:t>
            </w:r>
          </w:p>
        </w:tc>
        <w:tc>
          <w:tcPr>
            <w:tcW w:w="1626" w:type="dxa"/>
          </w:tcPr>
          <w:p w:rsidR="003F5784" w14:paraId="2D632114" w14:textId="77777777">
            <w:pPr>
              <w:pStyle w:val="TableParagraph"/>
              <w:ind w:right="116"/>
              <w:rPr>
                <w:sz w:val="21"/>
              </w:rPr>
            </w:pPr>
            <w:r>
              <w:rPr>
                <w:spacing w:val="-4"/>
                <w:sz w:val="21"/>
              </w:rPr>
              <w:t>0.54</w:t>
            </w:r>
          </w:p>
        </w:tc>
      </w:tr>
      <w:tr w14:paraId="05A111AC" w14:textId="77777777" w:rsidTr="00040E74">
        <w:tblPrEx>
          <w:tblW w:w="0" w:type="auto"/>
          <w:tblInd w:w="482" w:type="dxa"/>
          <w:tblLayout w:type="fixed"/>
          <w:tblCellMar>
            <w:left w:w="0" w:type="dxa"/>
            <w:right w:w="0" w:type="dxa"/>
          </w:tblCellMar>
          <w:tblLook w:val="01E0"/>
        </w:tblPrEx>
        <w:trPr>
          <w:trHeight w:val="286"/>
        </w:trPr>
        <w:tc>
          <w:tcPr>
            <w:tcW w:w="4918" w:type="dxa"/>
          </w:tcPr>
          <w:p w:rsidR="003F5784" w14:paraId="377A86AD" w14:textId="77777777">
            <w:pPr>
              <w:pStyle w:val="TableParagraph"/>
              <w:ind w:left="120"/>
              <w:jc w:val="left"/>
              <w:rPr>
                <w:sz w:val="21"/>
              </w:rPr>
            </w:pPr>
            <w:r>
              <w:rPr>
                <w:sz w:val="21"/>
              </w:rPr>
              <w:t>South</w:t>
            </w:r>
            <w:r>
              <w:rPr>
                <w:spacing w:val="-6"/>
                <w:sz w:val="21"/>
              </w:rPr>
              <w:t xml:space="preserve"> </w:t>
            </w:r>
            <w:r>
              <w:rPr>
                <w:spacing w:val="-2"/>
                <w:sz w:val="21"/>
              </w:rPr>
              <w:t>Dakota</w:t>
            </w:r>
          </w:p>
        </w:tc>
        <w:tc>
          <w:tcPr>
            <w:tcW w:w="1260" w:type="dxa"/>
          </w:tcPr>
          <w:p w:rsidR="003F5784" w14:paraId="728D6F97" w14:textId="77777777">
            <w:pPr>
              <w:pStyle w:val="TableParagraph"/>
              <w:ind w:left="425"/>
              <w:jc w:val="left"/>
              <w:rPr>
                <w:sz w:val="21"/>
              </w:rPr>
            </w:pPr>
            <w:r>
              <w:rPr>
                <w:spacing w:val="-2"/>
                <w:sz w:val="21"/>
              </w:rPr>
              <w:t>93.78</w:t>
            </w:r>
          </w:p>
        </w:tc>
        <w:tc>
          <w:tcPr>
            <w:tcW w:w="1620" w:type="dxa"/>
          </w:tcPr>
          <w:p w:rsidR="003F5784" w14:paraId="36FEDE68" w14:textId="77777777">
            <w:pPr>
              <w:pStyle w:val="TableParagraph"/>
              <w:ind w:left="9" w:right="8"/>
              <w:jc w:val="center"/>
              <w:rPr>
                <w:sz w:val="21"/>
              </w:rPr>
            </w:pPr>
            <w:r>
              <w:rPr>
                <w:spacing w:val="-4"/>
                <w:sz w:val="21"/>
              </w:rPr>
              <w:t>1.04</w:t>
            </w:r>
          </w:p>
        </w:tc>
        <w:tc>
          <w:tcPr>
            <w:tcW w:w="1800" w:type="dxa"/>
          </w:tcPr>
          <w:p w:rsidR="003F5784" w14:paraId="6AA6FAA5" w14:textId="77777777">
            <w:pPr>
              <w:pStyle w:val="TableParagraph"/>
              <w:ind w:right="422"/>
              <w:rPr>
                <w:sz w:val="21"/>
              </w:rPr>
            </w:pPr>
            <w:r>
              <w:rPr>
                <w:spacing w:val="-4"/>
                <w:sz w:val="21"/>
              </w:rPr>
              <w:t>0.24</w:t>
            </w:r>
          </w:p>
        </w:tc>
        <w:tc>
          <w:tcPr>
            <w:tcW w:w="1170" w:type="dxa"/>
          </w:tcPr>
          <w:p w:rsidR="003F5784" w14:paraId="22EA74FE" w14:textId="77777777">
            <w:pPr>
              <w:pStyle w:val="TableParagraph"/>
              <w:ind w:left="2" w:right="199"/>
              <w:jc w:val="center"/>
              <w:rPr>
                <w:sz w:val="21"/>
              </w:rPr>
            </w:pPr>
            <w:r>
              <w:rPr>
                <w:spacing w:val="-2"/>
                <w:sz w:val="21"/>
              </w:rPr>
              <w:t>91.16</w:t>
            </w:r>
          </w:p>
        </w:tc>
        <w:tc>
          <w:tcPr>
            <w:tcW w:w="1614" w:type="dxa"/>
          </w:tcPr>
          <w:p w:rsidR="003F5784" w14:paraId="17970114" w14:textId="77777777">
            <w:pPr>
              <w:pStyle w:val="TableParagraph"/>
              <w:ind w:left="9" w:right="8"/>
              <w:jc w:val="center"/>
              <w:rPr>
                <w:sz w:val="21"/>
              </w:rPr>
            </w:pPr>
            <w:r>
              <w:rPr>
                <w:spacing w:val="-4"/>
                <w:sz w:val="21"/>
              </w:rPr>
              <w:t>1.41</w:t>
            </w:r>
          </w:p>
        </w:tc>
        <w:tc>
          <w:tcPr>
            <w:tcW w:w="1626" w:type="dxa"/>
          </w:tcPr>
          <w:p w:rsidR="003F5784" w14:paraId="171116B6" w14:textId="77777777">
            <w:pPr>
              <w:pStyle w:val="TableParagraph"/>
              <w:ind w:right="116"/>
              <w:rPr>
                <w:sz w:val="21"/>
              </w:rPr>
            </w:pPr>
            <w:r>
              <w:rPr>
                <w:spacing w:val="-4"/>
                <w:sz w:val="21"/>
              </w:rPr>
              <w:t>0.21</w:t>
            </w:r>
          </w:p>
        </w:tc>
      </w:tr>
      <w:tr w14:paraId="3FDBF072" w14:textId="77777777" w:rsidTr="00040E74">
        <w:tblPrEx>
          <w:tblW w:w="0" w:type="auto"/>
          <w:tblInd w:w="482" w:type="dxa"/>
          <w:tblLayout w:type="fixed"/>
          <w:tblCellMar>
            <w:left w:w="0" w:type="dxa"/>
            <w:right w:w="0" w:type="dxa"/>
          </w:tblCellMar>
          <w:tblLook w:val="01E0"/>
        </w:tblPrEx>
        <w:trPr>
          <w:trHeight w:val="286"/>
        </w:trPr>
        <w:tc>
          <w:tcPr>
            <w:tcW w:w="4918" w:type="dxa"/>
          </w:tcPr>
          <w:p w:rsidR="003F5784" w14:paraId="0F2FA6E3" w14:textId="77777777">
            <w:pPr>
              <w:pStyle w:val="TableParagraph"/>
              <w:ind w:left="120"/>
              <w:jc w:val="left"/>
              <w:rPr>
                <w:sz w:val="21"/>
              </w:rPr>
            </w:pPr>
            <w:r>
              <w:rPr>
                <w:spacing w:val="-2"/>
                <w:sz w:val="21"/>
              </w:rPr>
              <w:t>Tennessee–Shelby</w:t>
            </w:r>
            <w:r>
              <w:rPr>
                <w:sz w:val="21"/>
              </w:rPr>
              <w:t xml:space="preserve"> </w:t>
            </w:r>
            <w:r>
              <w:rPr>
                <w:spacing w:val="-2"/>
                <w:sz w:val="21"/>
              </w:rPr>
              <w:t>County</w:t>
            </w:r>
          </w:p>
        </w:tc>
        <w:tc>
          <w:tcPr>
            <w:tcW w:w="1260" w:type="dxa"/>
          </w:tcPr>
          <w:p w:rsidR="003F5784" w14:paraId="32221D2B" w14:textId="77777777">
            <w:pPr>
              <w:pStyle w:val="TableParagraph"/>
              <w:ind w:left="425"/>
              <w:jc w:val="left"/>
              <w:rPr>
                <w:sz w:val="21"/>
              </w:rPr>
            </w:pPr>
            <w:r>
              <w:rPr>
                <w:spacing w:val="-2"/>
                <w:sz w:val="21"/>
              </w:rPr>
              <w:t>94.05</w:t>
            </w:r>
          </w:p>
        </w:tc>
        <w:tc>
          <w:tcPr>
            <w:tcW w:w="1620" w:type="dxa"/>
          </w:tcPr>
          <w:p w:rsidR="003F5784" w14:paraId="61C5D821" w14:textId="77777777">
            <w:pPr>
              <w:pStyle w:val="TableParagraph"/>
              <w:ind w:left="9" w:right="8"/>
              <w:jc w:val="center"/>
              <w:rPr>
                <w:sz w:val="21"/>
              </w:rPr>
            </w:pPr>
            <w:r>
              <w:rPr>
                <w:spacing w:val="-4"/>
                <w:sz w:val="21"/>
              </w:rPr>
              <w:t>2.33</w:t>
            </w:r>
          </w:p>
        </w:tc>
        <w:tc>
          <w:tcPr>
            <w:tcW w:w="1800" w:type="dxa"/>
          </w:tcPr>
          <w:p w:rsidR="003F5784" w14:paraId="7E015E33" w14:textId="77777777">
            <w:pPr>
              <w:pStyle w:val="TableParagraph"/>
              <w:ind w:right="422"/>
              <w:rPr>
                <w:sz w:val="21"/>
              </w:rPr>
            </w:pPr>
            <w:r>
              <w:rPr>
                <w:spacing w:val="-4"/>
                <w:sz w:val="21"/>
              </w:rPr>
              <w:t>1.41</w:t>
            </w:r>
          </w:p>
        </w:tc>
        <w:tc>
          <w:tcPr>
            <w:tcW w:w="1170" w:type="dxa"/>
          </w:tcPr>
          <w:p w:rsidR="003F5784" w14:paraId="1587C02B" w14:textId="77777777">
            <w:pPr>
              <w:pStyle w:val="TableParagraph"/>
              <w:ind w:left="2" w:right="199"/>
              <w:jc w:val="center"/>
              <w:rPr>
                <w:sz w:val="21"/>
              </w:rPr>
            </w:pPr>
            <w:r>
              <w:rPr>
                <w:spacing w:val="-2"/>
                <w:sz w:val="21"/>
              </w:rPr>
              <w:t>90.34</w:t>
            </w:r>
          </w:p>
        </w:tc>
        <w:tc>
          <w:tcPr>
            <w:tcW w:w="1614" w:type="dxa"/>
          </w:tcPr>
          <w:p w:rsidR="003F5784" w14:paraId="13E3EBFE" w14:textId="77777777">
            <w:pPr>
              <w:pStyle w:val="TableParagraph"/>
              <w:ind w:left="9" w:right="8"/>
              <w:jc w:val="center"/>
              <w:rPr>
                <w:sz w:val="21"/>
              </w:rPr>
            </w:pPr>
            <w:r>
              <w:rPr>
                <w:spacing w:val="-4"/>
                <w:sz w:val="21"/>
              </w:rPr>
              <w:t>2.53</w:t>
            </w:r>
          </w:p>
        </w:tc>
        <w:tc>
          <w:tcPr>
            <w:tcW w:w="1626" w:type="dxa"/>
          </w:tcPr>
          <w:p w:rsidR="003F5784" w14:paraId="29E135DC" w14:textId="77777777">
            <w:pPr>
              <w:pStyle w:val="TableParagraph"/>
              <w:ind w:right="116"/>
              <w:rPr>
                <w:sz w:val="21"/>
              </w:rPr>
            </w:pPr>
            <w:r>
              <w:rPr>
                <w:spacing w:val="-4"/>
                <w:sz w:val="21"/>
              </w:rPr>
              <w:t>0.23</w:t>
            </w:r>
          </w:p>
        </w:tc>
      </w:tr>
      <w:tr w14:paraId="7F72E7B5" w14:textId="77777777" w:rsidTr="00040E74">
        <w:tblPrEx>
          <w:tblW w:w="0" w:type="auto"/>
          <w:tblInd w:w="482" w:type="dxa"/>
          <w:tblLayout w:type="fixed"/>
          <w:tblCellMar>
            <w:left w:w="0" w:type="dxa"/>
            <w:right w:w="0" w:type="dxa"/>
          </w:tblCellMar>
          <w:tblLook w:val="01E0"/>
        </w:tblPrEx>
        <w:trPr>
          <w:trHeight w:val="286"/>
        </w:trPr>
        <w:tc>
          <w:tcPr>
            <w:tcW w:w="4918" w:type="dxa"/>
          </w:tcPr>
          <w:p w:rsidR="003F5784" w14:paraId="73A40FBD" w14:textId="77777777">
            <w:pPr>
              <w:pStyle w:val="TableParagraph"/>
              <w:ind w:left="120"/>
              <w:jc w:val="left"/>
              <w:rPr>
                <w:sz w:val="21"/>
              </w:rPr>
            </w:pPr>
            <w:r>
              <w:rPr>
                <w:spacing w:val="-2"/>
                <w:sz w:val="21"/>
              </w:rPr>
              <w:t>Tennessee</w:t>
            </w:r>
          </w:p>
        </w:tc>
        <w:tc>
          <w:tcPr>
            <w:tcW w:w="1260" w:type="dxa"/>
          </w:tcPr>
          <w:p w:rsidR="003F5784" w14:paraId="77FCCD0D" w14:textId="77777777">
            <w:pPr>
              <w:pStyle w:val="TableParagraph"/>
              <w:ind w:left="425"/>
              <w:jc w:val="left"/>
              <w:rPr>
                <w:sz w:val="21"/>
              </w:rPr>
            </w:pPr>
            <w:r>
              <w:rPr>
                <w:spacing w:val="-2"/>
                <w:sz w:val="21"/>
              </w:rPr>
              <w:t>92.04</w:t>
            </w:r>
          </w:p>
        </w:tc>
        <w:tc>
          <w:tcPr>
            <w:tcW w:w="1620" w:type="dxa"/>
          </w:tcPr>
          <w:p w:rsidR="003F5784" w:rsidP="00E3225D" w14:paraId="3853749E" w14:textId="77777777">
            <w:pPr>
              <w:pStyle w:val="TableParagraph"/>
              <w:ind w:left="360" w:right="8" w:hanging="369"/>
              <w:jc w:val="center"/>
              <w:rPr>
                <w:sz w:val="21"/>
              </w:rPr>
            </w:pPr>
            <w:r>
              <w:rPr>
                <w:spacing w:val="-4"/>
                <w:sz w:val="21"/>
              </w:rPr>
              <w:t>1.89</w:t>
            </w:r>
          </w:p>
        </w:tc>
        <w:tc>
          <w:tcPr>
            <w:tcW w:w="1800" w:type="dxa"/>
          </w:tcPr>
          <w:p w:rsidR="003F5784" w14:paraId="74ADA5D7" w14:textId="77777777">
            <w:pPr>
              <w:pStyle w:val="TableParagraph"/>
              <w:ind w:right="422"/>
              <w:rPr>
                <w:sz w:val="21"/>
              </w:rPr>
            </w:pPr>
            <w:r>
              <w:rPr>
                <w:spacing w:val="-4"/>
                <w:sz w:val="21"/>
              </w:rPr>
              <w:t>0.64</w:t>
            </w:r>
          </w:p>
        </w:tc>
        <w:tc>
          <w:tcPr>
            <w:tcW w:w="1170" w:type="dxa"/>
          </w:tcPr>
          <w:p w:rsidR="003F5784" w14:paraId="44C01E25" w14:textId="77777777">
            <w:pPr>
              <w:pStyle w:val="TableParagraph"/>
              <w:ind w:left="2" w:right="199"/>
              <w:jc w:val="center"/>
              <w:rPr>
                <w:sz w:val="21"/>
              </w:rPr>
            </w:pPr>
            <w:r>
              <w:rPr>
                <w:spacing w:val="-2"/>
                <w:sz w:val="21"/>
              </w:rPr>
              <w:t>90.98</w:t>
            </w:r>
          </w:p>
        </w:tc>
        <w:tc>
          <w:tcPr>
            <w:tcW w:w="1614" w:type="dxa"/>
          </w:tcPr>
          <w:p w:rsidR="003F5784" w14:paraId="195140CB" w14:textId="77777777">
            <w:pPr>
              <w:pStyle w:val="TableParagraph"/>
              <w:ind w:left="9" w:right="8"/>
              <w:jc w:val="center"/>
              <w:rPr>
                <w:sz w:val="21"/>
              </w:rPr>
            </w:pPr>
            <w:r>
              <w:rPr>
                <w:spacing w:val="-4"/>
                <w:sz w:val="21"/>
              </w:rPr>
              <w:t>1.77</w:t>
            </w:r>
          </w:p>
        </w:tc>
        <w:tc>
          <w:tcPr>
            <w:tcW w:w="1626" w:type="dxa"/>
          </w:tcPr>
          <w:p w:rsidR="003F5784" w14:paraId="5D2F6CEF" w14:textId="77777777">
            <w:pPr>
              <w:pStyle w:val="TableParagraph"/>
              <w:ind w:right="116"/>
              <w:rPr>
                <w:sz w:val="21"/>
              </w:rPr>
            </w:pPr>
            <w:r>
              <w:rPr>
                <w:spacing w:val="-4"/>
                <w:sz w:val="21"/>
              </w:rPr>
              <w:t>0.64</w:t>
            </w:r>
          </w:p>
        </w:tc>
      </w:tr>
      <w:tr w14:paraId="6C821969" w14:textId="77777777" w:rsidTr="00040E74">
        <w:tblPrEx>
          <w:tblW w:w="0" w:type="auto"/>
          <w:tblInd w:w="482" w:type="dxa"/>
          <w:tblLayout w:type="fixed"/>
          <w:tblCellMar>
            <w:left w:w="0" w:type="dxa"/>
            <w:right w:w="0" w:type="dxa"/>
          </w:tblCellMar>
          <w:tblLook w:val="01E0"/>
        </w:tblPrEx>
        <w:trPr>
          <w:trHeight w:val="286"/>
        </w:trPr>
        <w:tc>
          <w:tcPr>
            <w:tcW w:w="4918" w:type="dxa"/>
          </w:tcPr>
          <w:p w:rsidR="003F5784" w14:paraId="7630179E" w14:textId="77777777">
            <w:pPr>
              <w:pStyle w:val="TableParagraph"/>
              <w:ind w:left="120"/>
              <w:jc w:val="left"/>
              <w:rPr>
                <w:sz w:val="21"/>
              </w:rPr>
            </w:pPr>
            <w:r>
              <w:rPr>
                <w:spacing w:val="-2"/>
                <w:sz w:val="21"/>
              </w:rPr>
              <w:t>Texas–Austin</w:t>
            </w:r>
          </w:p>
        </w:tc>
        <w:tc>
          <w:tcPr>
            <w:tcW w:w="1260" w:type="dxa"/>
          </w:tcPr>
          <w:p w:rsidR="003F5784" w14:paraId="2E06F4D2" w14:textId="77777777">
            <w:pPr>
              <w:pStyle w:val="TableParagraph"/>
              <w:ind w:left="425"/>
              <w:jc w:val="left"/>
              <w:rPr>
                <w:sz w:val="21"/>
              </w:rPr>
            </w:pPr>
            <w:r>
              <w:rPr>
                <w:spacing w:val="-2"/>
                <w:sz w:val="21"/>
              </w:rPr>
              <w:t>87.96</w:t>
            </w:r>
          </w:p>
        </w:tc>
        <w:tc>
          <w:tcPr>
            <w:tcW w:w="1620" w:type="dxa"/>
          </w:tcPr>
          <w:p w:rsidR="003F5784" w14:paraId="5BEAEFD5" w14:textId="77777777">
            <w:pPr>
              <w:pStyle w:val="TableParagraph"/>
              <w:ind w:left="9" w:right="8"/>
              <w:jc w:val="center"/>
              <w:rPr>
                <w:sz w:val="21"/>
              </w:rPr>
            </w:pPr>
            <w:r>
              <w:rPr>
                <w:spacing w:val="-4"/>
                <w:sz w:val="21"/>
              </w:rPr>
              <w:t>2.18</w:t>
            </w:r>
          </w:p>
        </w:tc>
        <w:tc>
          <w:tcPr>
            <w:tcW w:w="1800" w:type="dxa"/>
          </w:tcPr>
          <w:p w:rsidR="003F5784" w14:paraId="5EFFAC86" w14:textId="77777777">
            <w:pPr>
              <w:pStyle w:val="TableParagraph"/>
              <w:ind w:right="422"/>
              <w:rPr>
                <w:sz w:val="21"/>
              </w:rPr>
            </w:pPr>
            <w:r>
              <w:rPr>
                <w:spacing w:val="-4"/>
                <w:sz w:val="21"/>
              </w:rPr>
              <w:t>1.94</w:t>
            </w:r>
          </w:p>
        </w:tc>
        <w:tc>
          <w:tcPr>
            <w:tcW w:w="1170" w:type="dxa"/>
          </w:tcPr>
          <w:p w:rsidR="003F5784" w14:paraId="118A6AF9" w14:textId="77777777">
            <w:pPr>
              <w:pStyle w:val="TableParagraph"/>
              <w:ind w:left="2" w:right="199"/>
              <w:jc w:val="center"/>
              <w:rPr>
                <w:sz w:val="21"/>
              </w:rPr>
            </w:pPr>
            <w:r>
              <w:rPr>
                <w:spacing w:val="-2"/>
                <w:sz w:val="21"/>
              </w:rPr>
              <w:t>84.80</w:t>
            </w:r>
          </w:p>
        </w:tc>
        <w:tc>
          <w:tcPr>
            <w:tcW w:w="1614" w:type="dxa"/>
          </w:tcPr>
          <w:p w:rsidR="003F5784" w14:paraId="06368137" w14:textId="77777777">
            <w:pPr>
              <w:pStyle w:val="TableParagraph"/>
              <w:ind w:left="9" w:right="8"/>
              <w:jc w:val="center"/>
              <w:rPr>
                <w:sz w:val="21"/>
              </w:rPr>
            </w:pPr>
            <w:r>
              <w:rPr>
                <w:spacing w:val="-4"/>
                <w:sz w:val="21"/>
              </w:rPr>
              <w:t>1.45</w:t>
            </w:r>
          </w:p>
        </w:tc>
        <w:tc>
          <w:tcPr>
            <w:tcW w:w="1626" w:type="dxa"/>
          </w:tcPr>
          <w:p w:rsidR="003F5784" w14:paraId="7407DBA4" w14:textId="77777777">
            <w:pPr>
              <w:pStyle w:val="TableParagraph"/>
              <w:ind w:right="116"/>
              <w:rPr>
                <w:sz w:val="21"/>
              </w:rPr>
            </w:pPr>
            <w:r>
              <w:rPr>
                <w:spacing w:val="-4"/>
                <w:sz w:val="21"/>
              </w:rPr>
              <w:t>1.31</w:t>
            </w:r>
          </w:p>
        </w:tc>
      </w:tr>
      <w:tr w14:paraId="77E799C1" w14:textId="77777777" w:rsidTr="00040E74">
        <w:tblPrEx>
          <w:tblW w:w="0" w:type="auto"/>
          <w:tblInd w:w="482" w:type="dxa"/>
          <w:tblLayout w:type="fixed"/>
          <w:tblCellMar>
            <w:left w:w="0" w:type="dxa"/>
            <w:right w:w="0" w:type="dxa"/>
          </w:tblCellMar>
          <w:tblLook w:val="01E0"/>
        </w:tblPrEx>
        <w:trPr>
          <w:trHeight w:val="286"/>
        </w:trPr>
        <w:tc>
          <w:tcPr>
            <w:tcW w:w="4918" w:type="dxa"/>
          </w:tcPr>
          <w:p w:rsidR="003F5784" w14:paraId="5615D4A5" w14:textId="77777777">
            <w:pPr>
              <w:pStyle w:val="TableParagraph"/>
              <w:ind w:left="120"/>
              <w:jc w:val="left"/>
              <w:rPr>
                <w:sz w:val="21"/>
              </w:rPr>
            </w:pPr>
            <w:r>
              <w:rPr>
                <w:spacing w:val="-2"/>
                <w:sz w:val="21"/>
              </w:rPr>
              <w:t>Texas–Dallas</w:t>
            </w:r>
          </w:p>
        </w:tc>
        <w:tc>
          <w:tcPr>
            <w:tcW w:w="1260" w:type="dxa"/>
          </w:tcPr>
          <w:p w:rsidR="003F5784" w14:paraId="1E8B8F64" w14:textId="77777777">
            <w:pPr>
              <w:pStyle w:val="TableParagraph"/>
              <w:ind w:left="425"/>
              <w:jc w:val="left"/>
              <w:rPr>
                <w:sz w:val="21"/>
              </w:rPr>
            </w:pPr>
            <w:r>
              <w:rPr>
                <w:spacing w:val="-2"/>
                <w:sz w:val="21"/>
              </w:rPr>
              <w:t>91.71</w:t>
            </w:r>
          </w:p>
        </w:tc>
        <w:tc>
          <w:tcPr>
            <w:tcW w:w="1620" w:type="dxa"/>
          </w:tcPr>
          <w:p w:rsidR="003F5784" w14:paraId="6B08B3CF" w14:textId="77777777">
            <w:pPr>
              <w:pStyle w:val="TableParagraph"/>
              <w:ind w:left="9" w:right="8"/>
              <w:jc w:val="center"/>
              <w:rPr>
                <w:sz w:val="21"/>
              </w:rPr>
            </w:pPr>
            <w:r>
              <w:rPr>
                <w:spacing w:val="-4"/>
                <w:sz w:val="21"/>
              </w:rPr>
              <w:t>3.08</w:t>
            </w:r>
          </w:p>
        </w:tc>
        <w:tc>
          <w:tcPr>
            <w:tcW w:w="1800" w:type="dxa"/>
          </w:tcPr>
          <w:p w:rsidR="003F5784" w14:paraId="47E70D27" w14:textId="77777777">
            <w:pPr>
              <w:pStyle w:val="TableParagraph"/>
              <w:ind w:right="422"/>
              <w:rPr>
                <w:sz w:val="21"/>
              </w:rPr>
            </w:pPr>
            <w:r>
              <w:rPr>
                <w:spacing w:val="-4"/>
                <w:sz w:val="21"/>
              </w:rPr>
              <w:t>2.06</w:t>
            </w:r>
          </w:p>
        </w:tc>
        <w:tc>
          <w:tcPr>
            <w:tcW w:w="1170" w:type="dxa"/>
          </w:tcPr>
          <w:p w:rsidR="003F5784" w14:paraId="05F05BE0" w14:textId="77777777">
            <w:pPr>
              <w:pStyle w:val="TableParagraph"/>
              <w:ind w:left="2" w:right="199"/>
              <w:jc w:val="center"/>
              <w:rPr>
                <w:sz w:val="21"/>
              </w:rPr>
            </w:pPr>
            <w:r>
              <w:rPr>
                <w:spacing w:val="-2"/>
                <w:sz w:val="21"/>
              </w:rPr>
              <w:t>91.02</w:t>
            </w:r>
          </w:p>
        </w:tc>
        <w:tc>
          <w:tcPr>
            <w:tcW w:w="1614" w:type="dxa"/>
          </w:tcPr>
          <w:p w:rsidR="003F5784" w14:paraId="71015785" w14:textId="77777777">
            <w:pPr>
              <w:pStyle w:val="TableParagraph"/>
              <w:ind w:left="9" w:right="8"/>
              <w:jc w:val="center"/>
              <w:rPr>
                <w:sz w:val="21"/>
              </w:rPr>
            </w:pPr>
            <w:r>
              <w:rPr>
                <w:spacing w:val="-4"/>
                <w:sz w:val="21"/>
              </w:rPr>
              <w:t>1.68</w:t>
            </w:r>
          </w:p>
        </w:tc>
        <w:tc>
          <w:tcPr>
            <w:tcW w:w="1626" w:type="dxa"/>
          </w:tcPr>
          <w:p w:rsidR="003F5784" w14:paraId="5B877D87" w14:textId="77777777">
            <w:pPr>
              <w:pStyle w:val="TableParagraph"/>
              <w:ind w:right="116"/>
              <w:rPr>
                <w:sz w:val="21"/>
              </w:rPr>
            </w:pPr>
            <w:r>
              <w:rPr>
                <w:spacing w:val="-4"/>
                <w:sz w:val="21"/>
              </w:rPr>
              <w:t>1.20</w:t>
            </w:r>
          </w:p>
        </w:tc>
      </w:tr>
      <w:tr w14:paraId="34D2BB66" w14:textId="77777777" w:rsidTr="00040E74">
        <w:tblPrEx>
          <w:tblW w:w="0" w:type="auto"/>
          <w:tblInd w:w="482" w:type="dxa"/>
          <w:tblLayout w:type="fixed"/>
          <w:tblCellMar>
            <w:left w:w="0" w:type="dxa"/>
            <w:right w:w="0" w:type="dxa"/>
          </w:tblCellMar>
          <w:tblLook w:val="01E0"/>
        </w:tblPrEx>
        <w:trPr>
          <w:trHeight w:val="286"/>
        </w:trPr>
        <w:tc>
          <w:tcPr>
            <w:tcW w:w="4918" w:type="dxa"/>
          </w:tcPr>
          <w:p w:rsidR="003F5784" w14:paraId="0B0268AB" w14:textId="77777777">
            <w:pPr>
              <w:pStyle w:val="TableParagraph"/>
              <w:ind w:left="120"/>
              <w:jc w:val="left"/>
              <w:rPr>
                <w:sz w:val="21"/>
              </w:rPr>
            </w:pPr>
            <w:r>
              <w:rPr>
                <w:spacing w:val="-2"/>
                <w:sz w:val="21"/>
              </w:rPr>
              <w:t>Texas–Fort</w:t>
            </w:r>
            <w:r>
              <w:rPr>
                <w:spacing w:val="-10"/>
                <w:sz w:val="21"/>
              </w:rPr>
              <w:t xml:space="preserve"> </w:t>
            </w:r>
            <w:r>
              <w:rPr>
                <w:spacing w:val="-2"/>
                <w:sz w:val="21"/>
              </w:rPr>
              <w:t>Worth</w:t>
            </w:r>
          </w:p>
        </w:tc>
        <w:tc>
          <w:tcPr>
            <w:tcW w:w="1260" w:type="dxa"/>
          </w:tcPr>
          <w:p w:rsidR="003F5784" w14:paraId="76761CCB" w14:textId="77777777">
            <w:pPr>
              <w:pStyle w:val="TableParagraph"/>
              <w:ind w:left="432"/>
              <w:jc w:val="left"/>
              <w:rPr>
                <w:sz w:val="21"/>
              </w:rPr>
            </w:pPr>
            <w:r>
              <w:rPr>
                <w:spacing w:val="-2"/>
                <w:sz w:val="21"/>
              </w:rPr>
              <w:t>93.11</w:t>
            </w:r>
          </w:p>
        </w:tc>
        <w:tc>
          <w:tcPr>
            <w:tcW w:w="1620" w:type="dxa"/>
          </w:tcPr>
          <w:p w:rsidR="003F5784" w14:paraId="2C3B8C30" w14:textId="77777777">
            <w:pPr>
              <w:pStyle w:val="TableParagraph"/>
              <w:ind w:left="9" w:right="8"/>
              <w:jc w:val="center"/>
              <w:rPr>
                <w:sz w:val="21"/>
              </w:rPr>
            </w:pPr>
            <w:r>
              <w:rPr>
                <w:spacing w:val="-4"/>
                <w:sz w:val="21"/>
              </w:rPr>
              <w:t>1.89</w:t>
            </w:r>
          </w:p>
        </w:tc>
        <w:tc>
          <w:tcPr>
            <w:tcW w:w="1800" w:type="dxa"/>
          </w:tcPr>
          <w:p w:rsidR="003F5784" w14:paraId="037DCB68" w14:textId="77777777">
            <w:pPr>
              <w:pStyle w:val="TableParagraph"/>
              <w:ind w:right="422"/>
              <w:rPr>
                <w:sz w:val="21"/>
              </w:rPr>
            </w:pPr>
            <w:r>
              <w:rPr>
                <w:spacing w:val="-4"/>
                <w:sz w:val="21"/>
              </w:rPr>
              <w:t>0.59</w:t>
            </w:r>
          </w:p>
        </w:tc>
        <w:tc>
          <w:tcPr>
            <w:tcW w:w="1170" w:type="dxa"/>
          </w:tcPr>
          <w:p w:rsidR="003F5784" w14:paraId="0BF11094" w14:textId="77777777">
            <w:pPr>
              <w:pStyle w:val="TableParagraph"/>
              <w:ind w:left="2" w:right="199"/>
              <w:jc w:val="center"/>
              <w:rPr>
                <w:sz w:val="21"/>
              </w:rPr>
            </w:pPr>
            <w:r>
              <w:rPr>
                <w:spacing w:val="-2"/>
                <w:sz w:val="21"/>
              </w:rPr>
              <w:t>91.81</w:t>
            </w:r>
          </w:p>
        </w:tc>
        <w:tc>
          <w:tcPr>
            <w:tcW w:w="1614" w:type="dxa"/>
          </w:tcPr>
          <w:p w:rsidR="003F5784" w14:paraId="3A15AF4B" w14:textId="77777777">
            <w:pPr>
              <w:pStyle w:val="TableParagraph"/>
              <w:ind w:left="9" w:right="8"/>
              <w:jc w:val="center"/>
              <w:rPr>
                <w:sz w:val="21"/>
              </w:rPr>
            </w:pPr>
            <w:r>
              <w:rPr>
                <w:spacing w:val="-4"/>
                <w:sz w:val="21"/>
              </w:rPr>
              <w:t>2.03</w:t>
            </w:r>
          </w:p>
        </w:tc>
        <w:tc>
          <w:tcPr>
            <w:tcW w:w="1626" w:type="dxa"/>
          </w:tcPr>
          <w:p w:rsidR="003F5784" w14:paraId="6CF2AC8E" w14:textId="77777777">
            <w:pPr>
              <w:pStyle w:val="TableParagraph"/>
              <w:ind w:right="116"/>
              <w:rPr>
                <w:sz w:val="21"/>
              </w:rPr>
            </w:pPr>
            <w:r>
              <w:rPr>
                <w:spacing w:val="-4"/>
                <w:sz w:val="21"/>
              </w:rPr>
              <w:t>0.74</w:t>
            </w:r>
          </w:p>
        </w:tc>
      </w:tr>
      <w:tr w14:paraId="13B5E3EC" w14:textId="77777777" w:rsidTr="00040E74">
        <w:tblPrEx>
          <w:tblW w:w="0" w:type="auto"/>
          <w:tblInd w:w="482" w:type="dxa"/>
          <w:tblLayout w:type="fixed"/>
          <w:tblCellMar>
            <w:left w:w="0" w:type="dxa"/>
            <w:right w:w="0" w:type="dxa"/>
          </w:tblCellMar>
          <w:tblLook w:val="01E0"/>
        </w:tblPrEx>
        <w:trPr>
          <w:trHeight w:val="286"/>
        </w:trPr>
        <w:tc>
          <w:tcPr>
            <w:tcW w:w="4918" w:type="dxa"/>
          </w:tcPr>
          <w:p w:rsidR="003F5784" w14:paraId="136BFC9E" w14:textId="77777777">
            <w:pPr>
              <w:pStyle w:val="TableParagraph"/>
              <w:ind w:left="120"/>
              <w:jc w:val="left"/>
              <w:rPr>
                <w:sz w:val="21"/>
              </w:rPr>
            </w:pPr>
            <w:r>
              <w:rPr>
                <w:spacing w:val="-2"/>
                <w:sz w:val="21"/>
              </w:rPr>
              <w:t>Texas–Houston</w:t>
            </w:r>
          </w:p>
        </w:tc>
        <w:tc>
          <w:tcPr>
            <w:tcW w:w="1260" w:type="dxa"/>
          </w:tcPr>
          <w:p w:rsidR="003F5784" w14:paraId="30C6F498" w14:textId="77777777">
            <w:pPr>
              <w:pStyle w:val="TableParagraph"/>
              <w:ind w:left="425"/>
              <w:jc w:val="left"/>
              <w:rPr>
                <w:sz w:val="21"/>
              </w:rPr>
            </w:pPr>
            <w:r>
              <w:rPr>
                <w:spacing w:val="-2"/>
                <w:sz w:val="21"/>
              </w:rPr>
              <w:t>93.43</w:t>
            </w:r>
          </w:p>
        </w:tc>
        <w:tc>
          <w:tcPr>
            <w:tcW w:w="1620" w:type="dxa"/>
          </w:tcPr>
          <w:p w:rsidR="003F5784" w14:paraId="5BA231BA" w14:textId="77777777">
            <w:pPr>
              <w:pStyle w:val="TableParagraph"/>
              <w:ind w:left="9" w:right="8"/>
              <w:jc w:val="center"/>
              <w:rPr>
                <w:sz w:val="21"/>
              </w:rPr>
            </w:pPr>
            <w:r>
              <w:rPr>
                <w:spacing w:val="-4"/>
                <w:sz w:val="21"/>
              </w:rPr>
              <w:t>2.52</w:t>
            </w:r>
          </w:p>
        </w:tc>
        <w:tc>
          <w:tcPr>
            <w:tcW w:w="1800" w:type="dxa"/>
          </w:tcPr>
          <w:p w:rsidR="003F5784" w14:paraId="785A837C" w14:textId="77777777">
            <w:pPr>
              <w:pStyle w:val="TableParagraph"/>
              <w:ind w:right="422"/>
              <w:rPr>
                <w:sz w:val="21"/>
              </w:rPr>
            </w:pPr>
            <w:r>
              <w:rPr>
                <w:spacing w:val="-4"/>
                <w:sz w:val="21"/>
              </w:rPr>
              <w:t>1.15</w:t>
            </w:r>
          </w:p>
        </w:tc>
        <w:tc>
          <w:tcPr>
            <w:tcW w:w="1170" w:type="dxa"/>
          </w:tcPr>
          <w:p w:rsidR="003F5784" w14:paraId="437320DC" w14:textId="77777777">
            <w:pPr>
              <w:pStyle w:val="TableParagraph"/>
              <w:ind w:left="2" w:right="199"/>
              <w:jc w:val="center"/>
              <w:rPr>
                <w:sz w:val="21"/>
              </w:rPr>
            </w:pPr>
            <w:r>
              <w:rPr>
                <w:spacing w:val="-2"/>
                <w:sz w:val="21"/>
              </w:rPr>
              <w:t>88.66</w:t>
            </w:r>
          </w:p>
        </w:tc>
        <w:tc>
          <w:tcPr>
            <w:tcW w:w="1614" w:type="dxa"/>
          </w:tcPr>
          <w:p w:rsidR="003F5784" w14:paraId="32C078A8" w14:textId="77777777">
            <w:pPr>
              <w:pStyle w:val="TableParagraph"/>
              <w:ind w:left="9" w:right="8"/>
              <w:jc w:val="center"/>
              <w:rPr>
                <w:sz w:val="21"/>
              </w:rPr>
            </w:pPr>
            <w:r>
              <w:rPr>
                <w:spacing w:val="-4"/>
                <w:sz w:val="21"/>
              </w:rPr>
              <w:t>1.45</w:t>
            </w:r>
          </w:p>
        </w:tc>
        <w:tc>
          <w:tcPr>
            <w:tcW w:w="1626" w:type="dxa"/>
          </w:tcPr>
          <w:p w:rsidR="003F5784" w14:paraId="1CE18B9E" w14:textId="77777777">
            <w:pPr>
              <w:pStyle w:val="TableParagraph"/>
              <w:ind w:right="116"/>
              <w:rPr>
                <w:sz w:val="21"/>
              </w:rPr>
            </w:pPr>
            <w:r>
              <w:rPr>
                <w:spacing w:val="-4"/>
                <w:sz w:val="21"/>
              </w:rPr>
              <w:t>1.72</w:t>
            </w:r>
          </w:p>
        </w:tc>
      </w:tr>
      <w:tr w14:paraId="60CCE940" w14:textId="77777777" w:rsidTr="00040E74">
        <w:tblPrEx>
          <w:tblW w:w="0" w:type="auto"/>
          <w:tblInd w:w="482" w:type="dxa"/>
          <w:tblLayout w:type="fixed"/>
          <w:tblCellMar>
            <w:left w:w="0" w:type="dxa"/>
            <w:right w:w="0" w:type="dxa"/>
          </w:tblCellMar>
          <w:tblLook w:val="01E0"/>
        </w:tblPrEx>
        <w:trPr>
          <w:trHeight w:val="286"/>
        </w:trPr>
        <w:tc>
          <w:tcPr>
            <w:tcW w:w="4918" w:type="dxa"/>
          </w:tcPr>
          <w:p w:rsidR="003F5784" w14:paraId="43F59F10" w14:textId="77777777">
            <w:pPr>
              <w:pStyle w:val="TableParagraph"/>
              <w:ind w:left="120"/>
              <w:jc w:val="left"/>
              <w:rPr>
                <w:sz w:val="21"/>
              </w:rPr>
            </w:pPr>
            <w:r>
              <w:rPr>
                <w:spacing w:val="-2"/>
                <w:sz w:val="21"/>
              </w:rPr>
              <w:t>Texas</w:t>
            </w:r>
          </w:p>
        </w:tc>
        <w:tc>
          <w:tcPr>
            <w:tcW w:w="1260" w:type="dxa"/>
          </w:tcPr>
          <w:p w:rsidR="003F5784" w14:paraId="40E409D8" w14:textId="77777777">
            <w:pPr>
              <w:pStyle w:val="TableParagraph"/>
              <w:ind w:left="425"/>
              <w:jc w:val="left"/>
              <w:rPr>
                <w:sz w:val="21"/>
              </w:rPr>
            </w:pPr>
            <w:r>
              <w:rPr>
                <w:spacing w:val="-2"/>
                <w:sz w:val="21"/>
              </w:rPr>
              <w:t>92.75</w:t>
            </w:r>
          </w:p>
        </w:tc>
        <w:tc>
          <w:tcPr>
            <w:tcW w:w="1620" w:type="dxa"/>
          </w:tcPr>
          <w:p w:rsidR="003F5784" w14:paraId="075A85EE" w14:textId="77777777">
            <w:pPr>
              <w:pStyle w:val="TableParagraph"/>
              <w:ind w:left="9" w:right="8"/>
              <w:jc w:val="center"/>
              <w:rPr>
                <w:sz w:val="21"/>
              </w:rPr>
            </w:pPr>
            <w:r>
              <w:rPr>
                <w:spacing w:val="-4"/>
                <w:sz w:val="21"/>
              </w:rPr>
              <w:t>2.35</w:t>
            </w:r>
          </w:p>
        </w:tc>
        <w:tc>
          <w:tcPr>
            <w:tcW w:w="1800" w:type="dxa"/>
          </w:tcPr>
          <w:p w:rsidR="003F5784" w14:paraId="36D0A280" w14:textId="77777777">
            <w:pPr>
              <w:pStyle w:val="TableParagraph"/>
              <w:ind w:right="422"/>
              <w:rPr>
                <w:sz w:val="21"/>
              </w:rPr>
            </w:pPr>
            <w:r>
              <w:rPr>
                <w:spacing w:val="-4"/>
                <w:sz w:val="21"/>
              </w:rPr>
              <w:t>1.18</w:t>
            </w:r>
          </w:p>
        </w:tc>
        <w:tc>
          <w:tcPr>
            <w:tcW w:w="1170" w:type="dxa"/>
          </w:tcPr>
          <w:p w:rsidR="003F5784" w14:paraId="7CF6D453" w14:textId="77777777">
            <w:pPr>
              <w:pStyle w:val="TableParagraph"/>
              <w:ind w:left="2" w:right="199"/>
              <w:jc w:val="center"/>
              <w:rPr>
                <w:sz w:val="21"/>
              </w:rPr>
            </w:pPr>
            <w:r>
              <w:rPr>
                <w:spacing w:val="-2"/>
                <w:sz w:val="21"/>
              </w:rPr>
              <w:t>89.72</w:t>
            </w:r>
          </w:p>
        </w:tc>
        <w:tc>
          <w:tcPr>
            <w:tcW w:w="1614" w:type="dxa"/>
          </w:tcPr>
          <w:p w:rsidR="003F5784" w14:paraId="243C6D77" w14:textId="77777777">
            <w:pPr>
              <w:pStyle w:val="TableParagraph"/>
              <w:ind w:left="9"/>
              <w:jc w:val="center"/>
              <w:rPr>
                <w:sz w:val="21"/>
              </w:rPr>
            </w:pPr>
            <w:r>
              <w:rPr>
                <w:spacing w:val="-4"/>
                <w:sz w:val="21"/>
              </w:rPr>
              <w:t>1.11</w:t>
            </w:r>
          </w:p>
        </w:tc>
        <w:tc>
          <w:tcPr>
            <w:tcW w:w="1626" w:type="dxa"/>
          </w:tcPr>
          <w:p w:rsidR="003F5784" w14:paraId="3D4024B4" w14:textId="77777777">
            <w:pPr>
              <w:pStyle w:val="TableParagraph"/>
              <w:ind w:right="116"/>
              <w:rPr>
                <w:sz w:val="21"/>
              </w:rPr>
            </w:pPr>
            <w:r>
              <w:rPr>
                <w:spacing w:val="-4"/>
                <w:sz w:val="21"/>
              </w:rPr>
              <w:t>0.67</w:t>
            </w:r>
          </w:p>
        </w:tc>
      </w:tr>
      <w:tr w14:paraId="3B0755B6" w14:textId="77777777" w:rsidTr="00040E74">
        <w:tblPrEx>
          <w:tblW w:w="0" w:type="auto"/>
          <w:tblInd w:w="482" w:type="dxa"/>
          <w:tblLayout w:type="fixed"/>
          <w:tblCellMar>
            <w:left w:w="0" w:type="dxa"/>
            <w:right w:w="0" w:type="dxa"/>
          </w:tblCellMar>
          <w:tblLook w:val="01E0"/>
        </w:tblPrEx>
        <w:trPr>
          <w:trHeight w:val="286"/>
        </w:trPr>
        <w:tc>
          <w:tcPr>
            <w:tcW w:w="4918" w:type="dxa"/>
          </w:tcPr>
          <w:p w:rsidR="003F5784" w14:paraId="301D309D" w14:textId="77777777">
            <w:pPr>
              <w:pStyle w:val="TableParagraph"/>
              <w:ind w:left="120"/>
              <w:jc w:val="left"/>
              <w:rPr>
                <w:sz w:val="21"/>
              </w:rPr>
            </w:pPr>
            <w:r>
              <w:rPr>
                <w:spacing w:val="-4"/>
                <w:sz w:val="21"/>
              </w:rPr>
              <w:t>Utah</w:t>
            </w:r>
          </w:p>
        </w:tc>
        <w:tc>
          <w:tcPr>
            <w:tcW w:w="1260" w:type="dxa"/>
          </w:tcPr>
          <w:p w:rsidR="003F5784" w14:paraId="6ADED43E" w14:textId="77777777">
            <w:pPr>
              <w:pStyle w:val="TableParagraph"/>
              <w:ind w:left="425"/>
              <w:jc w:val="left"/>
              <w:rPr>
                <w:sz w:val="21"/>
              </w:rPr>
            </w:pPr>
            <w:r>
              <w:rPr>
                <w:spacing w:val="-2"/>
                <w:sz w:val="21"/>
              </w:rPr>
              <w:t>92.24</w:t>
            </w:r>
          </w:p>
        </w:tc>
        <w:tc>
          <w:tcPr>
            <w:tcW w:w="1620" w:type="dxa"/>
          </w:tcPr>
          <w:p w:rsidR="003F5784" w14:paraId="01814D3B" w14:textId="77777777">
            <w:pPr>
              <w:pStyle w:val="TableParagraph"/>
              <w:ind w:left="9" w:right="8"/>
              <w:jc w:val="center"/>
              <w:rPr>
                <w:sz w:val="21"/>
              </w:rPr>
            </w:pPr>
            <w:r>
              <w:rPr>
                <w:spacing w:val="-4"/>
                <w:sz w:val="21"/>
              </w:rPr>
              <w:t>0.90</w:t>
            </w:r>
          </w:p>
        </w:tc>
        <w:tc>
          <w:tcPr>
            <w:tcW w:w="1800" w:type="dxa"/>
          </w:tcPr>
          <w:p w:rsidR="003F5784" w14:paraId="587C89E7" w14:textId="77777777">
            <w:pPr>
              <w:pStyle w:val="TableParagraph"/>
              <w:ind w:right="422"/>
              <w:rPr>
                <w:sz w:val="21"/>
              </w:rPr>
            </w:pPr>
            <w:r>
              <w:rPr>
                <w:spacing w:val="-4"/>
                <w:sz w:val="21"/>
              </w:rPr>
              <w:t>0.29</w:t>
            </w:r>
          </w:p>
        </w:tc>
        <w:tc>
          <w:tcPr>
            <w:tcW w:w="1170" w:type="dxa"/>
          </w:tcPr>
          <w:p w:rsidR="003F5784" w14:paraId="3CC348F9" w14:textId="77777777">
            <w:pPr>
              <w:pStyle w:val="TableParagraph"/>
              <w:ind w:left="2" w:right="199"/>
              <w:jc w:val="center"/>
              <w:rPr>
                <w:sz w:val="21"/>
              </w:rPr>
            </w:pPr>
            <w:r>
              <w:rPr>
                <w:spacing w:val="-2"/>
                <w:sz w:val="21"/>
              </w:rPr>
              <w:t>87.70</w:t>
            </w:r>
          </w:p>
        </w:tc>
        <w:tc>
          <w:tcPr>
            <w:tcW w:w="1614" w:type="dxa"/>
          </w:tcPr>
          <w:p w:rsidR="003F5784" w14:paraId="2AD34689" w14:textId="77777777">
            <w:pPr>
              <w:pStyle w:val="TableParagraph"/>
              <w:ind w:left="9" w:right="8"/>
              <w:jc w:val="center"/>
              <w:rPr>
                <w:sz w:val="21"/>
              </w:rPr>
            </w:pPr>
            <w:r>
              <w:rPr>
                <w:spacing w:val="-4"/>
                <w:sz w:val="21"/>
              </w:rPr>
              <w:t>1.27</w:t>
            </w:r>
          </w:p>
        </w:tc>
        <w:tc>
          <w:tcPr>
            <w:tcW w:w="1626" w:type="dxa"/>
          </w:tcPr>
          <w:p w:rsidR="003F5784" w14:paraId="0645B397" w14:textId="77777777">
            <w:pPr>
              <w:pStyle w:val="TableParagraph"/>
              <w:ind w:right="116"/>
              <w:rPr>
                <w:sz w:val="21"/>
              </w:rPr>
            </w:pPr>
            <w:r>
              <w:rPr>
                <w:spacing w:val="-4"/>
                <w:sz w:val="21"/>
              </w:rPr>
              <w:t>0.54</w:t>
            </w:r>
          </w:p>
        </w:tc>
      </w:tr>
      <w:tr w14:paraId="2B109A0C" w14:textId="77777777" w:rsidTr="00040E74">
        <w:tblPrEx>
          <w:tblW w:w="0" w:type="auto"/>
          <w:tblInd w:w="482" w:type="dxa"/>
          <w:tblLayout w:type="fixed"/>
          <w:tblCellMar>
            <w:left w:w="0" w:type="dxa"/>
            <w:right w:w="0" w:type="dxa"/>
          </w:tblCellMar>
          <w:tblLook w:val="01E0"/>
        </w:tblPrEx>
        <w:trPr>
          <w:trHeight w:val="286"/>
        </w:trPr>
        <w:tc>
          <w:tcPr>
            <w:tcW w:w="4918" w:type="dxa"/>
          </w:tcPr>
          <w:p w:rsidR="003F5784" w14:paraId="23700741" w14:textId="77777777">
            <w:pPr>
              <w:pStyle w:val="TableParagraph"/>
              <w:ind w:left="120"/>
              <w:jc w:val="left"/>
              <w:rPr>
                <w:sz w:val="21"/>
              </w:rPr>
            </w:pPr>
            <w:r>
              <w:rPr>
                <w:spacing w:val="-2"/>
                <w:sz w:val="21"/>
              </w:rPr>
              <w:t>Vermont</w:t>
            </w:r>
          </w:p>
        </w:tc>
        <w:tc>
          <w:tcPr>
            <w:tcW w:w="1260" w:type="dxa"/>
          </w:tcPr>
          <w:p w:rsidR="003F5784" w14:paraId="1BD2FDD1" w14:textId="77777777">
            <w:pPr>
              <w:pStyle w:val="TableParagraph"/>
              <w:ind w:left="425"/>
              <w:jc w:val="left"/>
              <w:rPr>
                <w:sz w:val="21"/>
              </w:rPr>
            </w:pPr>
            <w:r>
              <w:rPr>
                <w:spacing w:val="-2"/>
                <w:sz w:val="21"/>
              </w:rPr>
              <w:t>88.80</w:t>
            </w:r>
          </w:p>
        </w:tc>
        <w:tc>
          <w:tcPr>
            <w:tcW w:w="1620" w:type="dxa"/>
          </w:tcPr>
          <w:p w:rsidR="003F5784" w14:paraId="085FED0E" w14:textId="77777777">
            <w:pPr>
              <w:pStyle w:val="TableParagraph"/>
              <w:ind w:left="9" w:right="8"/>
              <w:jc w:val="center"/>
              <w:rPr>
                <w:sz w:val="21"/>
              </w:rPr>
            </w:pPr>
            <w:r>
              <w:rPr>
                <w:spacing w:val="-4"/>
                <w:sz w:val="21"/>
              </w:rPr>
              <w:t>1.32</w:t>
            </w:r>
          </w:p>
        </w:tc>
        <w:tc>
          <w:tcPr>
            <w:tcW w:w="1800" w:type="dxa"/>
          </w:tcPr>
          <w:p w:rsidR="003F5784" w14:paraId="6315F96A" w14:textId="77777777">
            <w:pPr>
              <w:pStyle w:val="TableParagraph"/>
              <w:ind w:right="422"/>
              <w:rPr>
                <w:sz w:val="21"/>
              </w:rPr>
            </w:pPr>
            <w:r>
              <w:rPr>
                <w:spacing w:val="-4"/>
                <w:sz w:val="21"/>
              </w:rPr>
              <w:t>0.09</w:t>
            </w:r>
          </w:p>
        </w:tc>
        <w:tc>
          <w:tcPr>
            <w:tcW w:w="1170" w:type="dxa"/>
          </w:tcPr>
          <w:p w:rsidR="003F5784" w14:paraId="5D0E54B6" w14:textId="77777777">
            <w:pPr>
              <w:pStyle w:val="TableParagraph"/>
              <w:ind w:left="2" w:right="199"/>
              <w:jc w:val="center"/>
              <w:rPr>
                <w:sz w:val="21"/>
              </w:rPr>
            </w:pPr>
            <w:r>
              <w:rPr>
                <w:spacing w:val="-2"/>
                <w:sz w:val="21"/>
              </w:rPr>
              <w:t>87.05</w:t>
            </w:r>
          </w:p>
        </w:tc>
        <w:tc>
          <w:tcPr>
            <w:tcW w:w="1614" w:type="dxa"/>
          </w:tcPr>
          <w:p w:rsidR="003F5784" w14:paraId="09D4B7F7" w14:textId="77777777">
            <w:pPr>
              <w:pStyle w:val="TableParagraph"/>
              <w:ind w:left="9" w:right="8"/>
              <w:jc w:val="center"/>
              <w:rPr>
                <w:sz w:val="21"/>
              </w:rPr>
            </w:pPr>
            <w:r>
              <w:rPr>
                <w:spacing w:val="-4"/>
                <w:sz w:val="21"/>
              </w:rPr>
              <w:t>1.50</w:t>
            </w:r>
          </w:p>
        </w:tc>
        <w:tc>
          <w:tcPr>
            <w:tcW w:w="1626" w:type="dxa"/>
          </w:tcPr>
          <w:p w:rsidR="003F5784" w14:paraId="40A23D25" w14:textId="77777777">
            <w:pPr>
              <w:pStyle w:val="TableParagraph"/>
              <w:ind w:right="116"/>
              <w:rPr>
                <w:sz w:val="21"/>
              </w:rPr>
            </w:pPr>
            <w:r>
              <w:rPr>
                <w:spacing w:val="-4"/>
                <w:sz w:val="21"/>
              </w:rPr>
              <w:t>0.22</w:t>
            </w:r>
          </w:p>
        </w:tc>
      </w:tr>
      <w:tr w14:paraId="1B81EDF8" w14:textId="77777777" w:rsidTr="00040E74">
        <w:tblPrEx>
          <w:tblW w:w="0" w:type="auto"/>
          <w:tblInd w:w="482" w:type="dxa"/>
          <w:tblLayout w:type="fixed"/>
          <w:tblCellMar>
            <w:left w:w="0" w:type="dxa"/>
            <w:right w:w="0" w:type="dxa"/>
          </w:tblCellMar>
          <w:tblLook w:val="01E0"/>
        </w:tblPrEx>
        <w:trPr>
          <w:trHeight w:val="286"/>
        </w:trPr>
        <w:tc>
          <w:tcPr>
            <w:tcW w:w="4918" w:type="dxa"/>
          </w:tcPr>
          <w:p w:rsidR="003F5784" w14:paraId="36F27D86" w14:textId="77777777">
            <w:pPr>
              <w:pStyle w:val="TableParagraph"/>
              <w:ind w:left="120"/>
              <w:jc w:val="left"/>
              <w:rPr>
                <w:sz w:val="21"/>
              </w:rPr>
            </w:pPr>
            <w:r>
              <w:rPr>
                <w:spacing w:val="-2"/>
                <w:sz w:val="21"/>
              </w:rPr>
              <w:t>Virginia</w:t>
            </w:r>
          </w:p>
        </w:tc>
        <w:tc>
          <w:tcPr>
            <w:tcW w:w="1260" w:type="dxa"/>
          </w:tcPr>
          <w:p w:rsidR="003F5784" w14:paraId="0FC65C3E" w14:textId="77777777">
            <w:pPr>
              <w:pStyle w:val="TableParagraph"/>
              <w:ind w:left="425"/>
              <w:jc w:val="left"/>
              <w:rPr>
                <w:sz w:val="21"/>
              </w:rPr>
            </w:pPr>
            <w:r>
              <w:rPr>
                <w:spacing w:val="-2"/>
                <w:sz w:val="21"/>
              </w:rPr>
              <w:t>91.98</w:t>
            </w:r>
          </w:p>
        </w:tc>
        <w:tc>
          <w:tcPr>
            <w:tcW w:w="1620" w:type="dxa"/>
          </w:tcPr>
          <w:p w:rsidR="003F5784" w14:paraId="47CD72D7" w14:textId="77777777">
            <w:pPr>
              <w:pStyle w:val="TableParagraph"/>
              <w:ind w:left="9" w:right="8"/>
              <w:jc w:val="center"/>
              <w:rPr>
                <w:sz w:val="21"/>
              </w:rPr>
            </w:pPr>
            <w:r>
              <w:rPr>
                <w:spacing w:val="-4"/>
                <w:sz w:val="21"/>
              </w:rPr>
              <w:t>2.25</w:t>
            </w:r>
          </w:p>
        </w:tc>
        <w:tc>
          <w:tcPr>
            <w:tcW w:w="1800" w:type="dxa"/>
          </w:tcPr>
          <w:p w:rsidR="003F5784" w14:paraId="2FBB846A" w14:textId="77777777">
            <w:pPr>
              <w:pStyle w:val="TableParagraph"/>
              <w:ind w:right="422"/>
              <w:rPr>
                <w:sz w:val="21"/>
              </w:rPr>
            </w:pPr>
            <w:r>
              <w:rPr>
                <w:spacing w:val="-4"/>
                <w:sz w:val="21"/>
              </w:rPr>
              <w:t>1.05</w:t>
            </w:r>
          </w:p>
        </w:tc>
        <w:tc>
          <w:tcPr>
            <w:tcW w:w="1170" w:type="dxa"/>
          </w:tcPr>
          <w:p w:rsidR="003F5784" w14:paraId="47D395F9" w14:textId="77777777">
            <w:pPr>
              <w:pStyle w:val="TableParagraph"/>
              <w:ind w:left="2" w:right="199"/>
              <w:jc w:val="center"/>
              <w:rPr>
                <w:sz w:val="21"/>
              </w:rPr>
            </w:pPr>
            <w:r>
              <w:rPr>
                <w:spacing w:val="-2"/>
                <w:sz w:val="21"/>
              </w:rPr>
              <w:t>88.42</w:t>
            </w:r>
          </w:p>
        </w:tc>
        <w:tc>
          <w:tcPr>
            <w:tcW w:w="1614" w:type="dxa"/>
          </w:tcPr>
          <w:p w:rsidR="003F5784" w14:paraId="1B2D4587" w14:textId="77777777">
            <w:pPr>
              <w:pStyle w:val="TableParagraph"/>
              <w:ind w:left="9" w:right="8"/>
              <w:jc w:val="center"/>
              <w:rPr>
                <w:sz w:val="21"/>
              </w:rPr>
            </w:pPr>
            <w:r>
              <w:rPr>
                <w:spacing w:val="-4"/>
                <w:sz w:val="21"/>
              </w:rPr>
              <w:t>1.18</w:t>
            </w:r>
          </w:p>
        </w:tc>
        <w:tc>
          <w:tcPr>
            <w:tcW w:w="1626" w:type="dxa"/>
          </w:tcPr>
          <w:p w:rsidR="003F5784" w14:paraId="32D11E3E" w14:textId="77777777">
            <w:pPr>
              <w:pStyle w:val="TableParagraph"/>
              <w:ind w:right="116"/>
              <w:rPr>
                <w:sz w:val="21"/>
              </w:rPr>
            </w:pPr>
            <w:r>
              <w:rPr>
                <w:spacing w:val="-4"/>
                <w:sz w:val="21"/>
              </w:rPr>
              <w:t>0.87</w:t>
            </w:r>
          </w:p>
        </w:tc>
      </w:tr>
      <w:tr w14:paraId="3F5E8B89" w14:textId="77777777" w:rsidTr="00040E74">
        <w:tblPrEx>
          <w:tblW w:w="0" w:type="auto"/>
          <w:tblInd w:w="482" w:type="dxa"/>
          <w:tblLayout w:type="fixed"/>
          <w:tblCellMar>
            <w:left w:w="0" w:type="dxa"/>
            <w:right w:w="0" w:type="dxa"/>
          </w:tblCellMar>
          <w:tblLook w:val="01E0"/>
        </w:tblPrEx>
        <w:trPr>
          <w:trHeight w:val="286"/>
        </w:trPr>
        <w:tc>
          <w:tcPr>
            <w:tcW w:w="4918" w:type="dxa"/>
          </w:tcPr>
          <w:p w:rsidR="003F5784" w14:paraId="6292F478" w14:textId="77777777">
            <w:pPr>
              <w:pStyle w:val="TableParagraph"/>
              <w:ind w:left="120"/>
              <w:jc w:val="left"/>
              <w:rPr>
                <w:sz w:val="21"/>
              </w:rPr>
            </w:pPr>
            <w:r>
              <w:rPr>
                <w:spacing w:val="-2"/>
                <w:sz w:val="21"/>
              </w:rPr>
              <w:t>Washington</w:t>
            </w:r>
          </w:p>
        </w:tc>
        <w:tc>
          <w:tcPr>
            <w:tcW w:w="1260" w:type="dxa"/>
          </w:tcPr>
          <w:p w:rsidR="003F5784" w14:paraId="3AB99455" w14:textId="77777777">
            <w:pPr>
              <w:pStyle w:val="TableParagraph"/>
              <w:ind w:left="425"/>
              <w:jc w:val="left"/>
              <w:rPr>
                <w:sz w:val="21"/>
              </w:rPr>
            </w:pPr>
            <w:r>
              <w:rPr>
                <w:spacing w:val="-2"/>
                <w:sz w:val="21"/>
              </w:rPr>
              <w:t>89.21</w:t>
            </w:r>
          </w:p>
        </w:tc>
        <w:tc>
          <w:tcPr>
            <w:tcW w:w="1620" w:type="dxa"/>
          </w:tcPr>
          <w:p w:rsidR="003F5784" w14:paraId="7C7C5A91" w14:textId="77777777">
            <w:pPr>
              <w:pStyle w:val="TableParagraph"/>
              <w:ind w:left="9" w:right="8"/>
              <w:jc w:val="center"/>
              <w:rPr>
                <w:sz w:val="21"/>
              </w:rPr>
            </w:pPr>
            <w:r>
              <w:rPr>
                <w:spacing w:val="-4"/>
                <w:sz w:val="21"/>
              </w:rPr>
              <w:t>1.74</w:t>
            </w:r>
          </w:p>
        </w:tc>
        <w:tc>
          <w:tcPr>
            <w:tcW w:w="1800" w:type="dxa"/>
          </w:tcPr>
          <w:p w:rsidR="003F5784" w14:paraId="49AB56C6" w14:textId="77777777">
            <w:pPr>
              <w:pStyle w:val="TableParagraph"/>
              <w:ind w:right="422"/>
              <w:rPr>
                <w:sz w:val="21"/>
              </w:rPr>
            </w:pPr>
            <w:r>
              <w:rPr>
                <w:spacing w:val="-4"/>
                <w:sz w:val="21"/>
              </w:rPr>
              <w:t>0.88</w:t>
            </w:r>
          </w:p>
        </w:tc>
        <w:tc>
          <w:tcPr>
            <w:tcW w:w="1170" w:type="dxa"/>
          </w:tcPr>
          <w:p w:rsidR="003F5784" w14:paraId="4D2CCB90" w14:textId="77777777">
            <w:pPr>
              <w:pStyle w:val="TableParagraph"/>
              <w:ind w:left="2" w:right="199"/>
              <w:jc w:val="center"/>
              <w:rPr>
                <w:sz w:val="21"/>
              </w:rPr>
            </w:pPr>
            <w:r>
              <w:rPr>
                <w:spacing w:val="-2"/>
                <w:sz w:val="21"/>
              </w:rPr>
              <w:t>86.92</w:t>
            </w:r>
          </w:p>
        </w:tc>
        <w:tc>
          <w:tcPr>
            <w:tcW w:w="1614" w:type="dxa"/>
          </w:tcPr>
          <w:p w:rsidR="003F5784" w14:paraId="4A8A20CA" w14:textId="77777777">
            <w:pPr>
              <w:pStyle w:val="TableParagraph"/>
              <w:ind w:left="9" w:right="8"/>
              <w:jc w:val="center"/>
              <w:rPr>
                <w:sz w:val="21"/>
              </w:rPr>
            </w:pPr>
            <w:r>
              <w:rPr>
                <w:spacing w:val="-4"/>
                <w:sz w:val="21"/>
              </w:rPr>
              <w:t>1.17</w:t>
            </w:r>
          </w:p>
        </w:tc>
        <w:tc>
          <w:tcPr>
            <w:tcW w:w="1626" w:type="dxa"/>
          </w:tcPr>
          <w:p w:rsidR="003F5784" w14:paraId="3018B82E" w14:textId="77777777">
            <w:pPr>
              <w:pStyle w:val="TableParagraph"/>
              <w:ind w:right="116"/>
              <w:rPr>
                <w:sz w:val="21"/>
              </w:rPr>
            </w:pPr>
            <w:r>
              <w:rPr>
                <w:spacing w:val="-4"/>
                <w:sz w:val="21"/>
              </w:rPr>
              <w:t>0.34</w:t>
            </w:r>
          </w:p>
        </w:tc>
      </w:tr>
      <w:tr w14:paraId="7281E0B5" w14:textId="77777777" w:rsidTr="00040E74">
        <w:tblPrEx>
          <w:tblW w:w="0" w:type="auto"/>
          <w:tblInd w:w="482" w:type="dxa"/>
          <w:tblLayout w:type="fixed"/>
          <w:tblCellMar>
            <w:left w:w="0" w:type="dxa"/>
            <w:right w:w="0" w:type="dxa"/>
          </w:tblCellMar>
          <w:tblLook w:val="01E0"/>
        </w:tblPrEx>
        <w:trPr>
          <w:trHeight w:val="286"/>
        </w:trPr>
        <w:tc>
          <w:tcPr>
            <w:tcW w:w="4918" w:type="dxa"/>
          </w:tcPr>
          <w:p w:rsidR="003F5784" w14:paraId="291BE3E8" w14:textId="77777777">
            <w:pPr>
              <w:pStyle w:val="TableParagraph"/>
              <w:ind w:left="120"/>
              <w:jc w:val="left"/>
              <w:rPr>
                <w:sz w:val="21"/>
              </w:rPr>
            </w:pPr>
            <w:r>
              <w:rPr>
                <w:spacing w:val="-5"/>
                <w:sz w:val="21"/>
              </w:rPr>
              <w:t>West</w:t>
            </w:r>
            <w:r>
              <w:rPr>
                <w:spacing w:val="-7"/>
                <w:sz w:val="21"/>
              </w:rPr>
              <w:t xml:space="preserve"> </w:t>
            </w:r>
            <w:r>
              <w:rPr>
                <w:spacing w:val="-2"/>
                <w:sz w:val="21"/>
              </w:rPr>
              <w:t>Virginia</w:t>
            </w:r>
          </w:p>
        </w:tc>
        <w:tc>
          <w:tcPr>
            <w:tcW w:w="1260" w:type="dxa"/>
          </w:tcPr>
          <w:p w:rsidR="003F5784" w14:paraId="2E030CA8" w14:textId="77777777">
            <w:pPr>
              <w:pStyle w:val="TableParagraph"/>
              <w:ind w:left="425"/>
              <w:jc w:val="left"/>
              <w:rPr>
                <w:sz w:val="21"/>
              </w:rPr>
            </w:pPr>
            <w:r>
              <w:rPr>
                <w:spacing w:val="-2"/>
                <w:sz w:val="21"/>
              </w:rPr>
              <w:t>92.64</w:t>
            </w:r>
          </w:p>
        </w:tc>
        <w:tc>
          <w:tcPr>
            <w:tcW w:w="1620" w:type="dxa"/>
          </w:tcPr>
          <w:p w:rsidR="003F5784" w14:paraId="4609468C" w14:textId="77777777">
            <w:pPr>
              <w:pStyle w:val="TableParagraph"/>
              <w:ind w:left="9" w:right="8"/>
              <w:jc w:val="center"/>
              <w:rPr>
                <w:sz w:val="21"/>
              </w:rPr>
            </w:pPr>
            <w:r>
              <w:rPr>
                <w:spacing w:val="-4"/>
                <w:sz w:val="21"/>
              </w:rPr>
              <w:t>1.59</w:t>
            </w:r>
          </w:p>
        </w:tc>
        <w:tc>
          <w:tcPr>
            <w:tcW w:w="1800" w:type="dxa"/>
          </w:tcPr>
          <w:p w:rsidR="003F5784" w14:paraId="6CE44791" w14:textId="77777777">
            <w:pPr>
              <w:pStyle w:val="TableParagraph"/>
              <w:ind w:right="422"/>
              <w:rPr>
                <w:sz w:val="21"/>
              </w:rPr>
            </w:pPr>
            <w:r>
              <w:rPr>
                <w:spacing w:val="-4"/>
                <w:sz w:val="21"/>
              </w:rPr>
              <w:t>0.05</w:t>
            </w:r>
          </w:p>
        </w:tc>
        <w:tc>
          <w:tcPr>
            <w:tcW w:w="1170" w:type="dxa"/>
          </w:tcPr>
          <w:p w:rsidR="003F5784" w14:paraId="0C9A764C" w14:textId="77777777">
            <w:pPr>
              <w:pStyle w:val="TableParagraph"/>
              <w:ind w:left="2" w:right="199"/>
              <w:jc w:val="center"/>
              <w:rPr>
                <w:sz w:val="21"/>
              </w:rPr>
            </w:pPr>
            <w:r>
              <w:rPr>
                <w:spacing w:val="-2"/>
                <w:sz w:val="21"/>
              </w:rPr>
              <w:t>90.99</w:t>
            </w:r>
          </w:p>
        </w:tc>
        <w:tc>
          <w:tcPr>
            <w:tcW w:w="1614" w:type="dxa"/>
          </w:tcPr>
          <w:p w:rsidR="003F5784" w14:paraId="1CB8F563" w14:textId="77777777">
            <w:pPr>
              <w:pStyle w:val="TableParagraph"/>
              <w:ind w:left="9" w:right="8"/>
              <w:jc w:val="center"/>
              <w:rPr>
                <w:sz w:val="21"/>
              </w:rPr>
            </w:pPr>
            <w:r>
              <w:rPr>
                <w:spacing w:val="-4"/>
                <w:sz w:val="21"/>
              </w:rPr>
              <w:t>1.32</w:t>
            </w:r>
          </w:p>
        </w:tc>
        <w:tc>
          <w:tcPr>
            <w:tcW w:w="1626" w:type="dxa"/>
          </w:tcPr>
          <w:p w:rsidR="003F5784" w14:paraId="7EAA9E25" w14:textId="77777777">
            <w:pPr>
              <w:pStyle w:val="TableParagraph"/>
              <w:ind w:right="116"/>
              <w:rPr>
                <w:sz w:val="21"/>
              </w:rPr>
            </w:pPr>
            <w:r>
              <w:rPr>
                <w:spacing w:val="-4"/>
                <w:sz w:val="21"/>
              </w:rPr>
              <w:t>0.26</w:t>
            </w:r>
          </w:p>
        </w:tc>
      </w:tr>
      <w:tr w14:paraId="0DD510A2" w14:textId="77777777" w:rsidTr="00040E74">
        <w:tblPrEx>
          <w:tblW w:w="0" w:type="auto"/>
          <w:tblInd w:w="482" w:type="dxa"/>
          <w:tblLayout w:type="fixed"/>
          <w:tblCellMar>
            <w:left w:w="0" w:type="dxa"/>
            <w:right w:w="0" w:type="dxa"/>
          </w:tblCellMar>
          <w:tblLook w:val="01E0"/>
        </w:tblPrEx>
        <w:trPr>
          <w:trHeight w:val="286"/>
        </w:trPr>
        <w:tc>
          <w:tcPr>
            <w:tcW w:w="4918" w:type="dxa"/>
          </w:tcPr>
          <w:p w:rsidR="003F5784" w14:paraId="7B9675EA" w14:textId="77777777">
            <w:pPr>
              <w:pStyle w:val="TableParagraph"/>
              <w:ind w:left="120"/>
              <w:jc w:val="left"/>
              <w:rPr>
                <w:sz w:val="21"/>
              </w:rPr>
            </w:pPr>
            <w:r>
              <w:rPr>
                <w:spacing w:val="-2"/>
                <w:sz w:val="21"/>
              </w:rPr>
              <w:t>Wisconsin–Milwaukee</w:t>
            </w:r>
          </w:p>
        </w:tc>
        <w:tc>
          <w:tcPr>
            <w:tcW w:w="1260" w:type="dxa"/>
          </w:tcPr>
          <w:p w:rsidR="003F5784" w14:paraId="56367D14" w14:textId="77777777">
            <w:pPr>
              <w:pStyle w:val="TableParagraph"/>
              <w:ind w:left="425"/>
              <w:jc w:val="left"/>
              <w:rPr>
                <w:sz w:val="21"/>
              </w:rPr>
            </w:pPr>
            <w:r>
              <w:rPr>
                <w:spacing w:val="-2"/>
                <w:sz w:val="21"/>
              </w:rPr>
              <w:t>86.42</w:t>
            </w:r>
          </w:p>
        </w:tc>
        <w:tc>
          <w:tcPr>
            <w:tcW w:w="1620" w:type="dxa"/>
          </w:tcPr>
          <w:p w:rsidR="003F5784" w14:paraId="036957D6" w14:textId="77777777">
            <w:pPr>
              <w:pStyle w:val="TableParagraph"/>
              <w:ind w:left="9" w:right="8"/>
              <w:jc w:val="center"/>
              <w:rPr>
                <w:sz w:val="21"/>
              </w:rPr>
            </w:pPr>
            <w:r>
              <w:rPr>
                <w:spacing w:val="-4"/>
                <w:sz w:val="21"/>
              </w:rPr>
              <w:t>1.00</w:t>
            </w:r>
          </w:p>
        </w:tc>
        <w:tc>
          <w:tcPr>
            <w:tcW w:w="1800" w:type="dxa"/>
          </w:tcPr>
          <w:p w:rsidR="003F5784" w14:paraId="7B5B71F9" w14:textId="77777777">
            <w:pPr>
              <w:pStyle w:val="TableParagraph"/>
              <w:ind w:right="422"/>
              <w:rPr>
                <w:sz w:val="21"/>
              </w:rPr>
            </w:pPr>
            <w:r>
              <w:rPr>
                <w:spacing w:val="-4"/>
                <w:sz w:val="21"/>
              </w:rPr>
              <w:t>0.56</w:t>
            </w:r>
          </w:p>
        </w:tc>
        <w:tc>
          <w:tcPr>
            <w:tcW w:w="1170" w:type="dxa"/>
          </w:tcPr>
          <w:p w:rsidR="003F5784" w14:paraId="7E30575D" w14:textId="77777777">
            <w:pPr>
              <w:pStyle w:val="TableParagraph"/>
              <w:ind w:left="2" w:right="199"/>
              <w:jc w:val="center"/>
              <w:rPr>
                <w:sz w:val="21"/>
              </w:rPr>
            </w:pPr>
            <w:r>
              <w:rPr>
                <w:spacing w:val="-2"/>
                <w:sz w:val="21"/>
              </w:rPr>
              <w:t>80.38</w:t>
            </w:r>
          </w:p>
        </w:tc>
        <w:tc>
          <w:tcPr>
            <w:tcW w:w="1614" w:type="dxa"/>
          </w:tcPr>
          <w:p w:rsidR="003F5784" w14:paraId="1F947902" w14:textId="77777777">
            <w:pPr>
              <w:pStyle w:val="TableParagraph"/>
              <w:ind w:left="9" w:right="8"/>
              <w:jc w:val="center"/>
              <w:rPr>
                <w:sz w:val="21"/>
              </w:rPr>
            </w:pPr>
            <w:r>
              <w:rPr>
                <w:spacing w:val="-4"/>
                <w:sz w:val="21"/>
              </w:rPr>
              <w:t>1.91</w:t>
            </w:r>
          </w:p>
        </w:tc>
        <w:tc>
          <w:tcPr>
            <w:tcW w:w="1626" w:type="dxa"/>
          </w:tcPr>
          <w:p w:rsidR="003F5784" w14:paraId="1DF2FCB3" w14:textId="77777777">
            <w:pPr>
              <w:pStyle w:val="TableParagraph"/>
              <w:ind w:right="116"/>
              <w:rPr>
                <w:sz w:val="21"/>
              </w:rPr>
            </w:pPr>
            <w:r>
              <w:rPr>
                <w:spacing w:val="-4"/>
                <w:sz w:val="21"/>
              </w:rPr>
              <w:t>0.67</w:t>
            </w:r>
          </w:p>
        </w:tc>
      </w:tr>
      <w:tr w14:paraId="156ECE9C" w14:textId="77777777" w:rsidTr="00040E74">
        <w:tblPrEx>
          <w:tblW w:w="0" w:type="auto"/>
          <w:tblInd w:w="482" w:type="dxa"/>
          <w:tblLayout w:type="fixed"/>
          <w:tblCellMar>
            <w:left w:w="0" w:type="dxa"/>
            <w:right w:w="0" w:type="dxa"/>
          </w:tblCellMar>
          <w:tblLook w:val="01E0"/>
        </w:tblPrEx>
        <w:trPr>
          <w:trHeight w:val="286"/>
        </w:trPr>
        <w:tc>
          <w:tcPr>
            <w:tcW w:w="4918" w:type="dxa"/>
          </w:tcPr>
          <w:p w:rsidR="003F5784" w14:paraId="41EBD3C5" w14:textId="77777777">
            <w:pPr>
              <w:pStyle w:val="TableParagraph"/>
              <w:ind w:left="120"/>
              <w:jc w:val="left"/>
              <w:rPr>
                <w:sz w:val="21"/>
              </w:rPr>
            </w:pPr>
            <w:r>
              <w:rPr>
                <w:spacing w:val="-2"/>
                <w:sz w:val="21"/>
              </w:rPr>
              <w:t>Wisconsin</w:t>
            </w:r>
          </w:p>
        </w:tc>
        <w:tc>
          <w:tcPr>
            <w:tcW w:w="1260" w:type="dxa"/>
          </w:tcPr>
          <w:p w:rsidR="003F5784" w14:paraId="0F27F9E5" w14:textId="77777777">
            <w:pPr>
              <w:pStyle w:val="TableParagraph"/>
              <w:ind w:left="425"/>
              <w:jc w:val="left"/>
              <w:rPr>
                <w:sz w:val="21"/>
              </w:rPr>
            </w:pPr>
            <w:r>
              <w:rPr>
                <w:spacing w:val="-2"/>
                <w:sz w:val="21"/>
              </w:rPr>
              <w:t>90.27</w:t>
            </w:r>
          </w:p>
        </w:tc>
        <w:tc>
          <w:tcPr>
            <w:tcW w:w="1620" w:type="dxa"/>
          </w:tcPr>
          <w:p w:rsidR="003F5784" w14:paraId="0BAA8B0E" w14:textId="77777777">
            <w:pPr>
              <w:pStyle w:val="TableParagraph"/>
              <w:ind w:left="9" w:right="8"/>
              <w:jc w:val="center"/>
              <w:rPr>
                <w:sz w:val="21"/>
              </w:rPr>
            </w:pPr>
            <w:r>
              <w:rPr>
                <w:spacing w:val="-4"/>
                <w:sz w:val="21"/>
              </w:rPr>
              <w:t>1.15</w:t>
            </w:r>
          </w:p>
        </w:tc>
        <w:tc>
          <w:tcPr>
            <w:tcW w:w="1800" w:type="dxa"/>
          </w:tcPr>
          <w:p w:rsidR="003F5784" w14:paraId="28A548CB" w14:textId="77777777">
            <w:pPr>
              <w:pStyle w:val="TableParagraph"/>
              <w:ind w:right="422"/>
              <w:rPr>
                <w:sz w:val="21"/>
              </w:rPr>
            </w:pPr>
            <w:r>
              <w:rPr>
                <w:spacing w:val="-4"/>
                <w:sz w:val="21"/>
              </w:rPr>
              <w:t>0.45</w:t>
            </w:r>
          </w:p>
        </w:tc>
        <w:tc>
          <w:tcPr>
            <w:tcW w:w="1170" w:type="dxa"/>
          </w:tcPr>
          <w:p w:rsidR="003F5784" w14:paraId="67E649C4" w14:textId="77777777">
            <w:pPr>
              <w:pStyle w:val="TableParagraph"/>
              <w:ind w:left="2" w:right="199"/>
              <w:jc w:val="center"/>
              <w:rPr>
                <w:sz w:val="21"/>
              </w:rPr>
            </w:pPr>
            <w:r>
              <w:rPr>
                <w:spacing w:val="-2"/>
                <w:sz w:val="21"/>
              </w:rPr>
              <w:t>87.83</w:t>
            </w:r>
          </w:p>
        </w:tc>
        <w:tc>
          <w:tcPr>
            <w:tcW w:w="1614" w:type="dxa"/>
          </w:tcPr>
          <w:p w:rsidR="003F5784" w14:paraId="08A8E2FC" w14:textId="77777777">
            <w:pPr>
              <w:pStyle w:val="TableParagraph"/>
              <w:ind w:left="9" w:right="8"/>
              <w:jc w:val="center"/>
              <w:rPr>
                <w:sz w:val="21"/>
              </w:rPr>
            </w:pPr>
            <w:r>
              <w:rPr>
                <w:spacing w:val="-4"/>
                <w:sz w:val="21"/>
              </w:rPr>
              <w:t>1.06</w:t>
            </w:r>
          </w:p>
        </w:tc>
        <w:tc>
          <w:tcPr>
            <w:tcW w:w="1626" w:type="dxa"/>
          </w:tcPr>
          <w:p w:rsidR="003F5784" w14:paraId="52189DE9" w14:textId="77777777">
            <w:pPr>
              <w:pStyle w:val="TableParagraph"/>
              <w:ind w:right="116"/>
              <w:rPr>
                <w:sz w:val="21"/>
              </w:rPr>
            </w:pPr>
            <w:r>
              <w:rPr>
                <w:spacing w:val="-4"/>
                <w:sz w:val="21"/>
              </w:rPr>
              <w:t>0.24</w:t>
            </w:r>
          </w:p>
        </w:tc>
      </w:tr>
      <w:tr w14:paraId="47A81660" w14:textId="77777777" w:rsidTr="00040E74">
        <w:tblPrEx>
          <w:tblW w:w="0" w:type="auto"/>
          <w:tblInd w:w="482" w:type="dxa"/>
          <w:tblLayout w:type="fixed"/>
          <w:tblCellMar>
            <w:left w:w="0" w:type="dxa"/>
            <w:right w:w="0" w:type="dxa"/>
          </w:tblCellMar>
          <w:tblLook w:val="01E0"/>
        </w:tblPrEx>
        <w:trPr>
          <w:trHeight w:val="286"/>
        </w:trPr>
        <w:tc>
          <w:tcPr>
            <w:tcW w:w="4918" w:type="dxa"/>
          </w:tcPr>
          <w:p w:rsidR="003F5784" w14:paraId="56F8FDC7" w14:textId="77777777">
            <w:pPr>
              <w:pStyle w:val="TableParagraph"/>
              <w:ind w:left="120"/>
              <w:jc w:val="left"/>
              <w:rPr>
                <w:sz w:val="21"/>
              </w:rPr>
            </w:pPr>
            <w:r>
              <w:rPr>
                <w:spacing w:val="-2"/>
                <w:sz w:val="21"/>
              </w:rPr>
              <w:t>Wyoming</w:t>
            </w:r>
          </w:p>
        </w:tc>
        <w:tc>
          <w:tcPr>
            <w:tcW w:w="1260" w:type="dxa"/>
          </w:tcPr>
          <w:p w:rsidR="003F5784" w14:paraId="292CA398" w14:textId="77777777">
            <w:pPr>
              <w:pStyle w:val="TableParagraph"/>
              <w:ind w:left="432"/>
              <w:jc w:val="left"/>
              <w:rPr>
                <w:sz w:val="21"/>
              </w:rPr>
            </w:pPr>
            <w:r>
              <w:rPr>
                <w:spacing w:val="-2"/>
                <w:sz w:val="21"/>
              </w:rPr>
              <w:t>90.11</w:t>
            </w:r>
          </w:p>
        </w:tc>
        <w:tc>
          <w:tcPr>
            <w:tcW w:w="1620" w:type="dxa"/>
          </w:tcPr>
          <w:p w:rsidR="003F5784" w14:paraId="308CD211" w14:textId="77777777">
            <w:pPr>
              <w:pStyle w:val="TableParagraph"/>
              <w:ind w:left="9" w:right="8"/>
              <w:jc w:val="center"/>
              <w:rPr>
                <w:sz w:val="21"/>
              </w:rPr>
            </w:pPr>
            <w:r>
              <w:rPr>
                <w:spacing w:val="-4"/>
                <w:sz w:val="21"/>
              </w:rPr>
              <w:t>1.17</w:t>
            </w:r>
          </w:p>
        </w:tc>
        <w:tc>
          <w:tcPr>
            <w:tcW w:w="1800" w:type="dxa"/>
          </w:tcPr>
          <w:p w:rsidR="003F5784" w14:paraId="25639378" w14:textId="77777777">
            <w:pPr>
              <w:pStyle w:val="TableParagraph"/>
              <w:ind w:right="422"/>
              <w:rPr>
                <w:sz w:val="21"/>
              </w:rPr>
            </w:pPr>
            <w:r>
              <w:rPr>
                <w:spacing w:val="-4"/>
                <w:sz w:val="21"/>
              </w:rPr>
              <w:t>0.10</w:t>
            </w:r>
          </w:p>
        </w:tc>
        <w:tc>
          <w:tcPr>
            <w:tcW w:w="1170" w:type="dxa"/>
          </w:tcPr>
          <w:p w:rsidR="003F5784" w14:paraId="781D2C65" w14:textId="77777777">
            <w:pPr>
              <w:pStyle w:val="TableParagraph"/>
              <w:ind w:left="2" w:right="199"/>
              <w:jc w:val="center"/>
              <w:rPr>
                <w:sz w:val="21"/>
              </w:rPr>
            </w:pPr>
            <w:r>
              <w:rPr>
                <w:spacing w:val="-2"/>
                <w:sz w:val="21"/>
              </w:rPr>
              <w:t>87.33</w:t>
            </w:r>
          </w:p>
        </w:tc>
        <w:tc>
          <w:tcPr>
            <w:tcW w:w="1614" w:type="dxa"/>
          </w:tcPr>
          <w:p w:rsidR="003F5784" w14:paraId="123D1BAD" w14:textId="77777777">
            <w:pPr>
              <w:pStyle w:val="TableParagraph"/>
              <w:ind w:left="9" w:right="8"/>
              <w:jc w:val="center"/>
              <w:rPr>
                <w:sz w:val="21"/>
              </w:rPr>
            </w:pPr>
            <w:r>
              <w:rPr>
                <w:spacing w:val="-4"/>
                <w:sz w:val="21"/>
              </w:rPr>
              <w:t>1.24</w:t>
            </w:r>
          </w:p>
        </w:tc>
        <w:tc>
          <w:tcPr>
            <w:tcW w:w="1626" w:type="dxa"/>
          </w:tcPr>
          <w:p w:rsidR="003F5784" w14:paraId="4D5B6E6C" w14:textId="77777777">
            <w:pPr>
              <w:pStyle w:val="TableParagraph"/>
              <w:ind w:right="116"/>
              <w:rPr>
                <w:sz w:val="21"/>
              </w:rPr>
            </w:pPr>
            <w:r>
              <w:rPr>
                <w:spacing w:val="-4"/>
                <w:sz w:val="21"/>
              </w:rPr>
              <w:t>0.25</w:t>
            </w:r>
          </w:p>
        </w:tc>
      </w:tr>
      <w:tr w14:paraId="45C47DCA" w14:textId="77777777" w:rsidTr="00E3225D">
        <w:tblPrEx>
          <w:tblW w:w="0" w:type="auto"/>
          <w:tblInd w:w="482" w:type="dxa"/>
          <w:tblLayout w:type="fixed"/>
          <w:tblCellMar>
            <w:left w:w="0" w:type="dxa"/>
            <w:right w:w="0" w:type="dxa"/>
          </w:tblCellMar>
          <w:tblLook w:val="01E0"/>
        </w:tblPrEx>
        <w:trPr>
          <w:trHeight w:val="286"/>
        </w:trPr>
        <w:tc>
          <w:tcPr>
            <w:tcW w:w="14008" w:type="dxa"/>
            <w:gridSpan w:val="7"/>
          </w:tcPr>
          <w:p w:rsidR="003F5784" w14:paraId="166F455B" w14:textId="77777777">
            <w:pPr>
              <w:pStyle w:val="TableParagraph"/>
              <w:ind w:left="120"/>
              <w:jc w:val="left"/>
              <w:rPr>
                <w:sz w:val="21"/>
              </w:rPr>
            </w:pPr>
            <w:r>
              <w:rPr>
                <w:sz w:val="21"/>
              </w:rPr>
              <w:t>Other</w:t>
            </w:r>
            <w:r>
              <w:rPr>
                <w:spacing w:val="-6"/>
                <w:sz w:val="21"/>
              </w:rPr>
              <w:t xml:space="preserve"> </w:t>
            </w:r>
            <w:r>
              <w:rPr>
                <w:spacing w:val="-2"/>
                <w:sz w:val="21"/>
              </w:rPr>
              <w:t>jurisdictions</w:t>
            </w:r>
          </w:p>
        </w:tc>
      </w:tr>
      <w:tr w14:paraId="65F3EAE8" w14:textId="77777777" w:rsidTr="00040E74">
        <w:tblPrEx>
          <w:tblW w:w="0" w:type="auto"/>
          <w:tblInd w:w="482" w:type="dxa"/>
          <w:tblLayout w:type="fixed"/>
          <w:tblCellMar>
            <w:left w:w="0" w:type="dxa"/>
            <w:right w:w="0" w:type="dxa"/>
          </w:tblCellMar>
          <w:tblLook w:val="01E0"/>
        </w:tblPrEx>
        <w:trPr>
          <w:trHeight w:val="286"/>
        </w:trPr>
        <w:tc>
          <w:tcPr>
            <w:tcW w:w="4918" w:type="dxa"/>
          </w:tcPr>
          <w:p w:rsidR="003F5784" w14:paraId="1E1A7E09" w14:textId="77777777">
            <w:pPr>
              <w:pStyle w:val="TableParagraph"/>
              <w:ind w:left="328"/>
              <w:jc w:val="left"/>
              <w:rPr>
                <w:sz w:val="21"/>
              </w:rPr>
            </w:pPr>
            <w:r>
              <w:rPr>
                <w:sz w:val="21"/>
              </w:rPr>
              <w:t>Department</w:t>
            </w:r>
            <w:r>
              <w:rPr>
                <w:spacing w:val="-13"/>
                <w:sz w:val="21"/>
              </w:rPr>
              <w:t xml:space="preserve"> </w:t>
            </w:r>
            <w:r>
              <w:rPr>
                <w:sz w:val="21"/>
              </w:rPr>
              <w:t>of</w:t>
            </w:r>
            <w:r>
              <w:rPr>
                <w:spacing w:val="-8"/>
                <w:sz w:val="21"/>
              </w:rPr>
              <w:t xml:space="preserve"> </w:t>
            </w:r>
            <w:r>
              <w:rPr>
                <w:sz w:val="21"/>
              </w:rPr>
              <w:t>Defense</w:t>
            </w:r>
            <w:r>
              <w:rPr>
                <w:spacing w:val="-8"/>
                <w:sz w:val="21"/>
              </w:rPr>
              <w:t xml:space="preserve"> </w:t>
            </w:r>
            <w:r>
              <w:rPr>
                <w:sz w:val="21"/>
              </w:rPr>
              <w:t>Education</w:t>
            </w:r>
            <w:r>
              <w:rPr>
                <w:spacing w:val="-13"/>
                <w:sz w:val="21"/>
              </w:rPr>
              <w:t xml:space="preserve"> </w:t>
            </w:r>
            <w:r>
              <w:rPr>
                <w:sz w:val="21"/>
              </w:rPr>
              <w:t>Activity</w:t>
            </w:r>
            <w:r>
              <w:rPr>
                <w:spacing w:val="-8"/>
                <w:sz w:val="21"/>
              </w:rPr>
              <w:t xml:space="preserve"> </w:t>
            </w:r>
            <w:r>
              <w:rPr>
                <w:spacing w:val="-2"/>
                <w:sz w:val="21"/>
              </w:rPr>
              <w:t>(DoDEA)</w:t>
            </w:r>
          </w:p>
        </w:tc>
        <w:tc>
          <w:tcPr>
            <w:tcW w:w="1260" w:type="dxa"/>
          </w:tcPr>
          <w:p w:rsidR="003F5784" w14:paraId="7961D5F7" w14:textId="77777777">
            <w:pPr>
              <w:pStyle w:val="TableParagraph"/>
              <w:ind w:left="425"/>
              <w:jc w:val="left"/>
              <w:rPr>
                <w:sz w:val="21"/>
              </w:rPr>
            </w:pPr>
            <w:r>
              <w:rPr>
                <w:spacing w:val="-2"/>
                <w:sz w:val="21"/>
              </w:rPr>
              <w:t>88.71</w:t>
            </w:r>
          </w:p>
        </w:tc>
        <w:tc>
          <w:tcPr>
            <w:tcW w:w="1620" w:type="dxa"/>
          </w:tcPr>
          <w:p w:rsidR="003F5784" w14:paraId="395A5580" w14:textId="77777777">
            <w:pPr>
              <w:pStyle w:val="TableParagraph"/>
              <w:ind w:left="9" w:right="8"/>
              <w:jc w:val="center"/>
              <w:rPr>
                <w:sz w:val="21"/>
              </w:rPr>
            </w:pPr>
            <w:r>
              <w:rPr>
                <w:spacing w:val="-4"/>
                <w:sz w:val="21"/>
              </w:rPr>
              <w:t>1.43</w:t>
            </w:r>
          </w:p>
        </w:tc>
        <w:tc>
          <w:tcPr>
            <w:tcW w:w="1800" w:type="dxa"/>
          </w:tcPr>
          <w:p w:rsidR="003F5784" w14:paraId="598ED136" w14:textId="77777777">
            <w:pPr>
              <w:pStyle w:val="TableParagraph"/>
              <w:ind w:right="422"/>
              <w:rPr>
                <w:sz w:val="21"/>
              </w:rPr>
            </w:pPr>
            <w:r>
              <w:rPr>
                <w:spacing w:val="-4"/>
                <w:sz w:val="21"/>
              </w:rPr>
              <w:t>0.29</w:t>
            </w:r>
          </w:p>
        </w:tc>
        <w:tc>
          <w:tcPr>
            <w:tcW w:w="1170" w:type="dxa"/>
          </w:tcPr>
          <w:p w:rsidR="003F5784" w14:paraId="56FCE9EB" w14:textId="77777777">
            <w:pPr>
              <w:pStyle w:val="TableParagraph"/>
              <w:ind w:left="2" w:right="199"/>
              <w:jc w:val="center"/>
              <w:rPr>
                <w:sz w:val="21"/>
              </w:rPr>
            </w:pPr>
            <w:r>
              <w:rPr>
                <w:spacing w:val="-2"/>
                <w:sz w:val="21"/>
              </w:rPr>
              <w:t>89.55</w:t>
            </w:r>
          </w:p>
        </w:tc>
        <w:tc>
          <w:tcPr>
            <w:tcW w:w="1614" w:type="dxa"/>
          </w:tcPr>
          <w:p w:rsidR="003F5784" w14:paraId="3FA6CC64" w14:textId="77777777">
            <w:pPr>
              <w:pStyle w:val="TableParagraph"/>
              <w:ind w:left="9" w:right="8"/>
              <w:jc w:val="center"/>
              <w:rPr>
                <w:sz w:val="21"/>
              </w:rPr>
            </w:pPr>
            <w:r>
              <w:rPr>
                <w:spacing w:val="-4"/>
                <w:sz w:val="21"/>
              </w:rPr>
              <w:t>0.89</w:t>
            </w:r>
          </w:p>
        </w:tc>
        <w:tc>
          <w:tcPr>
            <w:tcW w:w="1626" w:type="dxa"/>
          </w:tcPr>
          <w:p w:rsidR="003F5784" w14:paraId="7CFBE101" w14:textId="77777777">
            <w:pPr>
              <w:pStyle w:val="TableParagraph"/>
              <w:ind w:right="116"/>
              <w:rPr>
                <w:sz w:val="21"/>
              </w:rPr>
            </w:pPr>
            <w:r>
              <w:rPr>
                <w:spacing w:val="-4"/>
                <w:sz w:val="21"/>
              </w:rPr>
              <w:t>0.23</w:t>
            </w:r>
          </w:p>
        </w:tc>
      </w:tr>
      <w:tr w14:paraId="26108035" w14:textId="77777777" w:rsidTr="00040E74">
        <w:tblPrEx>
          <w:tblW w:w="0" w:type="auto"/>
          <w:tblInd w:w="482" w:type="dxa"/>
          <w:tblLayout w:type="fixed"/>
          <w:tblCellMar>
            <w:left w:w="0" w:type="dxa"/>
            <w:right w:w="0" w:type="dxa"/>
          </w:tblCellMar>
          <w:tblLook w:val="01E0"/>
        </w:tblPrEx>
        <w:trPr>
          <w:trHeight w:val="286"/>
        </w:trPr>
        <w:tc>
          <w:tcPr>
            <w:tcW w:w="4918" w:type="dxa"/>
          </w:tcPr>
          <w:p w:rsidR="003F5784" w14:paraId="5987B6BF" w14:textId="77777777">
            <w:pPr>
              <w:pStyle w:val="TableParagraph"/>
              <w:ind w:left="328"/>
              <w:jc w:val="left"/>
              <w:rPr>
                <w:sz w:val="21"/>
              </w:rPr>
            </w:pPr>
            <w:r>
              <w:rPr>
                <w:sz w:val="21"/>
              </w:rPr>
              <w:t>District</w:t>
            </w:r>
            <w:r>
              <w:rPr>
                <w:spacing w:val="-7"/>
                <w:sz w:val="21"/>
              </w:rPr>
              <w:t xml:space="preserve"> </w:t>
            </w:r>
            <w:r>
              <w:rPr>
                <w:sz w:val="21"/>
              </w:rPr>
              <w:t>of</w:t>
            </w:r>
            <w:r>
              <w:rPr>
                <w:spacing w:val="-6"/>
                <w:sz w:val="21"/>
              </w:rPr>
              <w:t xml:space="preserve"> </w:t>
            </w:r>
            <w:r>
              <w:rPr>
                <w:sz w:val="21"/>
              </w:rPr>
              <w:t>Columbia</w:t>
            </w:r>
            <w:r>
              <w:rPr>
                <w:spacing w:val="-7"/>
                <w:sz w:val="21"/>
              </w:rPr>
              <w:t xml:space="preserve"> </w:t>
            </w:r>
            <w:r>
              <w:rPr>
                <w:spacing w:val="-2"/>
                <w:sz w:val="21"/>
              </w:rPr>
              <w:t>(TUDA)</w:t>
            </w:r>
          </w:p>
        </w:tc>
        <w:tc>
          <w:tcPr>
            <w:tcW w:w="1260" w:type="dxa"/>
          </w:tcPr>
          <w:p w:rsidR="003F5784" w14:paraId="467AAFE1" w14:textId="77777777">
            <w:pPr>
              <w:pStyle w:val="TableParagraph"/>
              <w:ind w:left="425"/>
              <w:jc w:val="left"/>
              <w:rPr>
                <w:sz w:val="21"/>
              </w:rPr>
            </w:pPr>
            <w:r>
              <w:rPr>
                <w:spacing w:val="-2"/>
                <w:sz w:val="21"/>
              </w:rPr>
              <w:t>89.57</w:t>
            </w:r>
          </w:p>
        </w:tc>
        <w:tc>
          <w:tcPr>
            <w:tcW w:w="1620" w:type="dxa"/>
          </w:tcPr>
          <w:p w:rsidR="003F5784" w14:paraId="6BBA1331" w14:textId="77777777">
            <w:pPr>
              <w:pStyle w:val="TableParagraph"/>
              <w:ind w:left="9" w:right="8"/>
              <w:jc w:val="center"/>
              <w:rPr>
                <w:sz w:val="21"/>
              </w:rPr>
            </w:pPr>
            <w:r>
              <w:rPr>
                <w:spacing w:val="-4"/>
                <w:sz w:val="21"/>
              </w:rPr>
              <w:t>1.93</w:t>
            </w:r>
          </w:p>
        </w:tc>
        <w:tc>
          <w:tcPr>
            <w:tcW w:w="1800" w:type="dxa"/>
          </w:tcPr>
          <w:p w:rsidR="003F5784" w14:paraId="5C7F3171" w14:textId="77777777">
            <w:pPr>
              <w:pStyle w:val="TableParagraph"/>
              <w:ind w:right="422"/>
              <w:rPr>
                <w:sz w:val="21"/>
              </w:rPr>
            </w:pPr>
            <w:r>
              <w:rPr>
                <w:spacing w:val="-4"/>
                <w:sz w:val="21"/>
              </w:rPr>
              <w:t>1.64</w:t>
            </w:r>
          </w:p>
        </w:tc>
        <w:tc>
          <w:tcPr>
            <w:tcW w:w="1170" w:type="dxa"/>
          </w:tcPr>
          <w:p w:rsidR="003F5784" w14:paraId="16989299" w14:textId="77777777">
            <w:pPr>
              <w:pStyle w:val="TableParagraph"/>
              <w:ind w:left="2" w:right="199"/>
              <w:jc w:val="center"/>
              <w:rPr>
                <w:sz w:val="21"/>
              </w:rPr>
            </w:pPr>
            <w:r>
              <w:rPr>
                <w:spacing w:val="-2"/>
                <w:sz w:val="21"/>
              </w:rPr>
              <w:t>81.92</w:t>
            </w:r>
          </w:p>
        </w:tc>
        <w:tc>
          <w:tcPr>
            <w:tcW w:w="1614" w:type="dxa"/>
          </w:tcPr>
          <w:p w:rsidR="003F5784" w14:paraId="763CA330" w14:textId="77777777">
            <w:pPr>
              <w:pStyle w:val="TableParagraph"/>
              <w:ind w:left="9" w:right="8"/>
              <w:jc w:val="center"/>
              <w:rPr>
                <w:sz w:val="21"/>
              </w:rPr>
            </w:pPr>
            <w:r>
              <w:rPr>
                <w:spacing w:val="-4"/>
                <w:sz w:val="21"/>
              </w:rPr>
              <w:t>2.27</w:t>
            </w:r>
          </w:p>
        </w:tc>
        <w:tc>
          <w:tcPr>
            <w:tcW w:w="1626" w:type="dxa"/>
          </w:tcPr>
          <w:p w:rsidR="003F5784" w14:paraId="0F4D5DB4" w14:textId="77777777">
            <w:pPr>
              <w:pStyle w:val="TableParagraph"/>
              <w:ind w:right="116"/>
              <w:rPr>
                <w:sz w:val="21"/>
              </w:rPr>
            </w:pPr>
            <w:r>
              <w:rPr>
                <w:spacing w:val="-4"/>
                <w:sz w:val="21"/>
              </w:rPr>
              <w:t>1.77</w:t>
            </w:r>
          </w:p>
        </w:tc>
      </w:tr>
      <w:tr w14:paraId="401A1524" w14:textId="77777777" w:rsidTr="00040E74">
        <w:tblPrEx>
          <w:tblW w:w="0" w:type="auto"/>
          <w:tblInd w:w="482" w:type="dxa"/>
          <w:tblLayout w:type="fixed"/>
          <w:tblCellMar>
            <w:left w:w="0" w:type="dxa"/>
            <w:right w:w="0" w:type="dxa"/>
          </w:tblCellMar>
          <w:tblLook w:val="01E0"/>
        </w:tblPrEx>
        <w:trPr>
          <w:trHeight w:val="286"/>
        </w:trPr>
        <w:tc>
          <w:tcPr>
            <w:tcW w:w="4918" w:type="dxa"/>
          </w:tcPr>
          <w:p w:rsidR="003F5784" w14:paraId="62134579" w14:textId="77777777">
            <w:pPr>
              <w:pStyle w:val="TableParagraph"/>
              <w:ind w:left="328"/>
              <w:jc w:val="left"/>
              <w:rPr>
                <w:sz w:val="21"/>
              </w:rPr>
            </w:pPr>
            <w:r>
              <w:rPr>
                <w:sz w:val="21"/>
              </w:rPr>
              <w:t>District</w:t>
            </w:r>
            <w:r>
              <w:rPr>
                <w:spacing w:val="-6"/>
                <w:sz w:val="21"/>
              </w:rPr>
              <w:t xml:space="preserve"> </w:t>
            </w:r>
            <w:r>
              <w:rPr>
                <w:sz w:val="21"/>
              </w:rPr>
              <w:t>of</w:t>
            </w:r>
            <w:r>
              <w:rPr>
                <w:spacing w:val="-5"/>
                <w:sz w:val="21"/>
              </w:rPr>
              <w:t xml:space="preserve"> </w:t>
            </w:r>
            <w:r>
              <w:rPr>
                <w:spacing w:val="-2"/>
                <w:sz w:val="21"/>
              </w:rPr>
              <w:t>Columbia</w:t>
            </w:r>
          </w:p>
        </w:tc>
        <w:tc>
          <w:tcPr>
            <w:tcW w:w="1260" w:type="dxa"/>
          </w:tcPr>
          <w:p w:rsidR="003F5784" w14:paraId="185D1318" w14:textId="77777777">
            <w:pPr>
              <w:pStyle w:val="TableParagraph"/>
              <w:ind w:left="425"/>
              <w:jc w:val="left"/>
              <w:rPr>
                <w:sz w:val="21"/>
              </w:rPr>
            </w:pPr>
            <w:r>
              <w:rPr>
                <w:spacing w:val="-2"/>
                <w:sz w:val="21"/>
              </w:rPr>
              <w:t>88.24</w:t>
            </w:r>
          </w:p>
        </w:tc>
        <w:tc>
          <w:tcPr>
            <w:tcW w:w="1620" w:type="dxa"/>
          </w:tcPr>
          <w:p w:rsidR="003F5784" w14:paraId="45B234EB" w14:textId="77777777">
            <w:pPr>
              <w:pStyle w:val="TableParagraph"/>
              <w:ind w:left="9" w:right="8"/>
              <w:jc w:val="center"/>
              <w:rPr>
                <w:sz w:val="21"/>
              </w:rPr>
            </w:pPr>
            <w:r>
              <w:rPr>
                <w:spacing w:val="-4"/>
                <w:sz w:val="21"/>
              </w:rPr>
              <w:t>1.37</w:t>
            </w:r>
          </w:p>
        </w:tc>
        <w:tc>
          <w:tcPr>
            <w:tcW w:w="1800" w:type="dxa"/>
          </w:tcPr>
          <w:p w:rsidR="003F5784" w14:paraId="60A4F3DC" w14:textId="77777777">
            <w:pPr>
              <w:pStyle w:val="TableParagraph"/>
              <w:ind w:right="422"/>
              <w:rPr>
                <w:sz w:val="21"/>
              </w:rPr>
            </w:pPr>
            <w:r>
              <w:rPr>
                <w:spacing w:val="-4"/>
                <w:sz w:val="21"/>
              </w:rPr>
              <w:t>1.05</w:t>
            </w:r>
          </w:p>
        </w:tc>
        <w:tc>
          <w:tcPr>
            <w:tcW w:w="1170" w:type="dxa"/>
          </w:tcPr>
          <w:p w:rsidR="003F5784" w14:paraId="332C2C9E" w14:textId="77777777">
            <w:pPr>
              <w:pStyle w:val="TableParagraph"/>
              <w:ind w:left="2" w:right="199"/>
              <w:jc w:val="center"/>
              <w:rPr>
                <w:sz w:val="21"/>
              </w:rPr>
            </w:pPr>
            <w:r>
              <w:rPr>
                <w:spacing w:val="-2"/>
                <w:sz w:val="21"/>
              </w:rPr>
              <w:t>82.67</w:t>
            </w:r>
          </w:p>
        </w:tc>
        <w:tc>
          <w:tcPr>
            <w:tcW w:w="1614" w:type="dxa"/>
          </w:tcPr>
          <w:p w:rsidR="003F5784" w14:paraId="40B8803E" w14:textId="77777777">
            <w:pPr>
              <w:pStyle w:val="TableParagraph"/>
              <w:ind w:left="9" w:right="8"/>
              <w:jc w:val="center"/>
              <w:rPr>
                <w:sz w:val="21"/>
              </w:rPr>
            </w:pPr>
            <w:r>
              <w:rPr>
                <w:spacing w:val="-4"/>
                <w:sz w:val="21"/>
              </w:rPr>
              <w:t>1.80</w:t>
            </w:r>
          </w:p>
        </w:tc>
        <w:tc>
          <w:tcPr>
            <w:tcW w:w="1626" w:type="dxa"/>
          </w:tcPr>
          <w:p w:rsidR="003F5784" w14:paraId="011C9202" w14:textId="77777777">
            <w:pPr>
              <w:pStyle w:val="TableParagraph"/>
              <w:ind w:right="116"/>
              <w:rPr>
                <w:sz w:val="21"/>
              </w:rPr>
            </w:pPr>
            <w:r>
              <w:rPr>
                <w:spacing w:val="-4"/>
                <w:sz w:val="21"/>
              </w:rPr>
              <w:t>1.04</w:t>
            </w:r>
          </w:p>
        </w:tc>
      </w:tr>
      <w:tr w14:paraId="037CF552" w14:textId="77777777" w:rsidTr="00040E74">
        <w:tblPrEx>
          <w:tblW w:w="0" w:type="auto"/>
          <w:tblInd w:w="482" w:type="dxa"/>
          <w:tblLayout w:type="fixed"/>
          <w:tblCellMar>
            <w:left w:w="0" w:type="dxa"/>
            <w:right w:w="0" w:type="dxa"/>
          </w:tblCellMar>
          <w:tblLook w:val="01E0"/>
        </w:tblPrEx>
        <w:trPr>
          <w:trHeight w:val="289"/>
        </w:trPr>
        <w:tc>
          <w:tcPr>
            <w:tcW w:w="4918" w:type="dxa"/>
            <w:tcBorders>
              <w:bottom w:val="single" w:sz="18" w:space="0" w:color="800000"/>
            </w:tcBorders>
          </w:tcPr>
          <w:p w:rsidR="003F5784" w14:paraId="43A9EBAF" w14:textId="77777777">
            <w:pPr>
              <w:pStyle w:val="TableParagraph"/>
              <w:ind w:left="328"/>
              <w:jc w:val="left"/>
              <w:rPr>
                <w:sz w:val="21"/>
              </w:rPr>
            </w:pPr>
            <w:r>
              <w:rPr>
                <w:sz w:val="21"/>
              </w:rPr>
              <w:t>Puerto</w:t>
            </w:r>
            <w:r>
              <w:rPr>
                <w:spacing w:val="-7"/>
                <w:sz w:val="21"/>
              </w:rPr>
              <w:t xml:space="preserve"> </w:t>
            </w:r>
            <w:r>
              <w:rPr>
                <w:spacing w:val="-4"/>
                <w:sz w:val="21"/>
              </w:rPr>
              <w:t>Rico</w:t>
            </w:r>
          </w:p>
        </w:tc>
        <w:tc>
          <w:tcPr>
            <w:tcW w:w="1260" w:type="dxa"/>
            <w:tcBorders>
              <w:bottom w:val="single" w:sz="18" w:space="0" w:color="800000"/>
            </w:tcBorders>
          </w:tcPr>
          <w:p w:rsidR="003F5784" w14:paraId="68C36333" w14:textId="77777777">
            <w:pPr>
              <w:pStyle w:val="TableParagraph"/>
              <w:ind w:left="425"/>
              <w:jc w:val="left"/>
              <w:rPr>
                <w:sz w:val="21"/>
              </w:rPr>
            </w:pPr>
            <w:r>
              <w:rPr>
                <w:spacing w:val="-2"/>
                <w:sz w:val="21"/>
              </w:rPr>
              <w:t>92.19</w:t>
            </w:r>
          </w:p>
        </w:tc>
        <w:tc>
          <w:tcPr>
            <w:tcW w:w="1620" w:type="dxa"/>
            <w:tcBorders>
              <w:bottom w:val="single" w:sz="18" w:space="0" w:color="800000"/>
            </w:tcBorders>
          </w:tcPr>
          <w:p w:rsidR="003F5784" w14:paraId="2AC1986F" w14:textId="77777777">
            <w:pPr>
              <w:pStyle w:val="TableParagraph"/>
              <w:ind w:left="9" w:right="8"/>
              <w:jc w:val="center"/>
              <w:rPr>
                <w:sz w:val="21"/>
              </w:rPr>
            </w:pPr>
            <w:r>
              <w:rPr>
                <w:spacing w:val="-4"/>
                <w:sz w:val="21"/>
              </w:rPr>
              <w:t>0.10</w:t>
            </w:r>
          </w:p>
        </w:tc>
        <w:tc>
          <w:tcPr>
            <w:tcW w:w="1800" w:type="dxa"/>
            <w:tcBorders>
              <w:bottom w:val="single" w:sz="18" w:space="0" w:color="800000"/>
            </w:tcBorders>
          </w:tcPr>
          <w:p w:rsidR="003F5784" w14:paraId="6001AC4B" w14:textId="77777777">
            <w:pPr>
              <w:pStyle w:val="TableParagraph"/>
              <w:ind w:right="422"/>
              <w:rPr>
                <w:sz w:val="21"/>
              </w:rPr>
            </w:pPr>
            <w:r>
              <w:rPr>
                <w:spacing w:val="-4"/>
                <w:sz w:val="21"/>
              </w:rPr>
              <w:t>0.06</w:t>
            </w:r>
          </w:p>
        </w:tc>
        <w:tc>
          <w:tcPr>
            <w:tcW w:w="1170" w:type="dxa"/>
            <w:tcBorders>
              <w:bottom w:val="single" w:sz="18" w:space="0" w:color="800000"/>
            </w:tcBorders>
          </w:tcPr>
          <w:p w:rsidR="003F5784" w14:paraId="3B3BAE82" w14:textId="77777777">
            <w:pPr>
              <w:pStyle w:val="TableParagraph"/>
              <w:ind w:left="2" w:right="199"/>
              <w:jc w:val="center"/>
              <w:rPr>
                <w:sz w:val="21"/>
              </w:rPr>
            </w:pPr>
            <w:r>
              <w:rPr>
                <w:spacing w:val="-2"/>
                <w:sz w:val="21"/>
              </w:rPr>
              <w:t>91.07</w:t>
            </w:r>
          </w:p>
        </w:tc>
        <w:tc>
          <w:tcPr>
            <w:tcW w:w="1614" w:type="dxa"/>
            <w:tcBorders>
              <w:bottom w:val="single" w:sz="18" w:space="0" w:color="800000"/>
            </w:tcBorders>
          </w:tcPr>
          <w:p w:rsidR="003F5784" w14:paraId="7BA29554" w14:textId="77777777">
            <w:pPr>
              <w:pStyle w:val="TableParagraph"/>
              <w:ind w:left="9" w:right="8"/>
              <w:jc w:val="center"/>
              <w:rPr>
                <w:sz w:val="21"/>
              </w:rPr>
            </w:pPr>
            <w:r>
              <w:rPr>
                <w:spacing w:val="-4"/>
                <w:sz w:val="21"/>
              </w:rPr>
              <w:t>0.02</w:t>
            </w:r>
          </w:p>
        </w:tc>
        <w:tc>
          <w:tcPr>
            <w:tcW w:w="1626" w:type="dxa"/>
            <w:tcBorders>
              <w:bottom w:val="single" w:sz="18" w:space="0" w:color="800000"/>
            </w:tcBorders>
          </w:tcPr>
          <w:p w:rsidR="003F5784" w14:paraId="2747AB22" w14:textId="77777777">
            <w:pPr>
              <w:pStyle w:val="TableParagraph"/>
              <w:ind w:right="116"/>
              <w:rPr>
                <w:sz w:val="21"/>
              </w:rPr>
            </w:pPr>
            <w:r>
              <w:rPr>
                <w:spacing w:val="-4"/>
                <w:sz w:val="21"/>
              </w:rPr>
              <w:t>0.04</w:t>
            </w:r>
          </w:p>
        </w:tc>
      </w:tr>
    </w:tbl>
    <w:p w:rsidR="003F5784" w14:paraId="6BDC0694" w14:textId="77777777">
      <w:pPr>
        <w:pStyle w:val="BodyText"/>
        <w:spacing w:before="15"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State Mathematics Assessment.</w:t>
      </w:r>
    </w:p>
    <w:p w:rsidR="003F5784" w14:paraId="72F55A04" w14:textId="77777777">
      <w:pPr>
        <w:pStyle w:val="BodyText"/>
      </w:pPr>
    </w:p>
    <w:p w:rsidR="003F5784" w14:paraId="498B4E34" w14:textId="77777777">
      <w:pPr>
        <w:pStyle w:val="BodyText"/>
      </w:pPr>
    </w:p>
    <w:p w:rsidR="003F5784" w14:paraId="0043F963" w14:textId="77777777">
      <w:pPr>
        <w:pStyle w:val="BodyText"/>
      </w:pPr>
    </w:p>
    <w:p w:rsidR="003F5784" w14:paraId="4AC2EBEF" w14:textId="77777777">
      <w:pPr>
        <w:pStyle w:val="BodyText"/>
      </w:pPr>
    </w:p>
    <w:p w:rsidR="003F5784" w14:paraId="32E206AB" w14:textId="77777777">
      <w:pPr>
        <w:pStyle w:val="BodyText"/>
        <w:spacing w:before="183"/>
      </w:pPr>
    </w:p>
    <w:p w:rsidR="003F5784" w14:paraId="2426A3FE" w14:textId="77777777">
      <w:pPr>
        <w:spacing w:before="1"/>
        <w:ind w:left="2540"/>
        <w:rPr>
          <w:sz w:val="18"/>
        </w:rPr>
      </w:pPr>
      <w:hyperlink r:id="rId291">
        <w:r>
          <w:rPr>
            <w:spacing w:val="-2"/>
            <w:w w:val="105"/>
            <w:sz w:val="18"/>
          </w:rPr>
          <w:t>http://nces.ed.gov/nationsreportcard/tdw/sample_design/2022/weighted_student_response_and_exclusion_rates_for_the_2022_state_mathematics_assessment.aspx</w:t>
        </w:r>
      </w:hyperlink>
    </w:p>
    <w:p w:rsidR="003F5784" w14:paraId="796E00E4" w14:textId="77777777">
      <w:pPr>
        <w:pStyle w:val="BodyText"/>
        <w:rPr>
          <w:sz w:val="16"/>
        </w:rPr>
      </w:pPr>
      <w:r>
        <w:rPr>
          <w:noProof/>
        </w:rPr>
        <mc:AlternateContent>
          <mc:Choice Requires="wps">
            <w:drawing>
              <wp:anchor distT="0" distB="0" distL="0" distR="0" simplePos="0" relativeHeight="251933696" behindDoc="1" locked="0" layoutInCell="1" allowOverlap="1">
                <wp:simplePos x="0" y="0"/>
                <wp:positionH relativeFrom="page">
                  <wp:posOffset>361937</wp:posOffset>
                </wp:positionH>
                <wp:positionV relativeFrom="paragraph">
                  <wp:posOffset>132029</wp:posOffset>
                </wp:positionV>
                <wp:extent cx="9339580" cy="8890"/>
                <wp:effectExtent l="0" t="0" r="0" b="0"/>
                <wp:wrapTopAndBottom/>
                <wp:docPr id="377" name="Graphic 377"/>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38"/>
                              </a:moveTo>
                              <a:lnTo>
                                <a:pt x="9335110" y="38"/>
                              </a:lnTo>
                              <a:lnTo>
                                <a:pt x="8280" y="38"/>
                              </a:lnTo>
                              <a:lnTo>
                                <a:pt x="0" y="0"/>
                              </a:lnTo>
                              <a:lnTo>
                                <a:pt x="0" y="8267"/>
                              </a:lnTo>
                              <a:lnTo>
                                <a:pt x="9335110" y="8318"/>
                              </a:lnTo>
                              <a:lnTo>
                                <a:pt x="9338970" y="8318"/>
                              </a:lnTo>
                              <a:lnTo>
                                <a:pt x="9338970" y="38"/>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377" o:spid="_x0000_s1142" style="width:735.4pt;height:0.7pt;margin-top:10.4pt;margin-left:28.5pt;mso-position-horizontal-relative:page;mso-wrap-distance-bottom:0;mso-wrap-distance-left:0;mso-wrap-distance-right:0;mso-wrap-distance-top:0;mso-wrap-style:square;position:absolute;visibility:visible;v-text-anchor:top;z-index:-251381760" coordsize="9339580,8890" path="m9338970,38l9335110,38l8280,38,,,,8267l9335110,8318l9338970,8318l9338970,38xe" fillcolor="gray" stroked="f">
                <v:path arrowok="t"/>
                <w10:wrap type="topAndBottom"/>
              </v:shape>
            </w:pict>
          </mc:Fallback>
        </mc:AlternateContent>
      </w:r>
    </w:p>
    <w:p w:rsidR="003F5784" w14:paraId="0C251ED2" w14:textId="77777777">
      <w:pPr>
        <w:rPr>
          <w:sz w:val="16"/>
        </w:rPr>
        <w:sectPr>
          <w:pgSz w:w="15840" w:h="12240" w:orient="landscape"/>
          <w:pgMar w:top="480" w:right="440" w:bottom="460" w:left="460" w:header="284" w:footer="275" w:gutter="0"/>
          <w:cols w:space="720"/>
        </w:sectPr>
      </w:pPr>
    </w:p>
    <w:p w:rsidR="003F5784" w14:paraId="071C18A9" w14:textId="36753ED2">
      <w:pPr>
        <w:pStyle w:val="Heading1"/>
        <w:spacing w:before="81" w:line="244" w:lineRule="auto"/>
        <w:ind w:right="179"/>
      </w:pPr>
      <w:r>
        <w:t>NAEP</w:t>
      </w:r>
      <w:r>
        <w:rPr>
          <w:spacing w:val="-15"/>
        </w:rPr>
        <w:t xml:space="preserve"> </w:t>
      </w:r>
      <w:r>
        <w:t>Technical Documentation</w:t>
      </w:r>
      <w:r w:rsidR="00E3225D">
        <w:t xml:space="preserve"> </w:t>
      </w:r>
      <w:r>
        <w:t>Weighted Student Response and Exclusion Rates for the 2022 State Reading Assessment</w:t>
      </w:r>
    </w:p>
    <w:p w:rsidR="003F5784" w14:paraId="5BEAD1FA" w14:textId="77777777">
      <w:pPr>
        <w:pStyle w:val="BodyText"/>
        <w:spacing w:before="273" w:line="232" w:lineRule="auto"/>
        <w:ind w:left="109" w:right="179"/>
      </w:pPr>
      <w:r>
        <w:t>The following table presents weighted student response and exclusion rates, by participating jurisdiction, for the fourth- and eighth-grade public school state assessment samples.</w:t>
      </w:r>
      <w:r>
        <w:rPr>
          <w:spacing w:val="-14"/>
        </w:rPr>
        <w:t xml:space="preserve"> </w:t>
      </w:r>
      <w:r>
        <w:t>States</w:t>
      </w:r>
      <w:r>
        <w:rPr>
          <w:spacing w:val="-5"/>
        </w:rPr>
        <w:t xml:space="preserve"> </w:t>
      </w:r>
      <w:r>
        <w:t>with</w:t>
      </w:r>
      <w:r>
        <w:rPr>
          <w:spacing w:val="-10"/>
        </w:rPr>
        <w:t xml:space="preserve"> </w:t>
      </w:r>
      <w:r>
        <w:rPr>
          <w:color w:val="0066CC"/>
        </w:rPr>
        <w:t>Trial</w:t>
      </w:r>
      <w:r>
        <w:rPr>
          <w:color w:val="0066CC"/>
          <w:spacing w:val="-6"/>
        </w:rPr>
        <w:t xml:space="preserve"> </w:t>
      </w:r>
      <w:r>
        <w:rPr>
          <w:color w:val="0066CC"/>
        </w:rPr>
        <w:t>Urban</w:t>
      </w:r>
      <w:r>
        <w:rPr>
          <w:color w:val="0066CC"/>
          <w:spacing w:val="-6"/>
        </w:rPr>
        <w:t xml:space="preserve"> </w:t>
      </w:r>
      <w:r>
        <w:rPr>
          <w:color w:val="0066CC"/>
        </w:rPr>
        <w:t>District</w:t>
      </w:r>
      <w:r>
        <w:rPr>
          <w:color w:val="0066CC"/>
          <w:spacing w:val="-14"/>
        </w:rPr>
        <w:t xml:space="preserve"> </w:t>
      </w:r>
      <w:r>
        <w:rPr>
          <w:color w:val="0066CC"/>
        </w:rPr>
        <w:t>Assessment</w:t>
      </w:r>
      <w:r>
        <w:rPr>
          <w:color w:val="0066CC"/>
          <w:spacing w:val="-5"/>
        </w:rPr>
        <w:t xml:space="preserve"> </w:t>
      </w:r>
      <w:r>
        <w:rPr>
          <w:color w:val="0066CC"/>
        </w:rPr>
        <w:t>(TUDA)</w:t>
      </w:r>
      <w:r>
        <w:rPr>
          <w:color w:val="0066CC"/>
          <w:spacing w:val="-6"/>
        </w:rPr>
        <w:t xml:space="preserve"> </w:t>
      </w:r>
      <w:r>
        <w:t>districts</w:t>
      </w:r>
      <w:r>
        <w:rPr>
          <w:spacing w:val="-6"/>
        </w:rPr>
        <w:t xml:space="preserve"> </w:t>
      </w:r>
      <w:r>
        <w:t>are</w:t>
      </w:r>
      <w:r>
        <w:rPr>
          <w:spacing w:val="-6"/>
        </w:rPr>
        <w:t xml:space="preserve"> </w:t>
      </w:r>
      <w:r>
        <w:t>shown</w:t>
      </w:r>
      <w:r>
        <w:rPr>
          <w:spacing w:val="-6"/>
        </w:rPr>
        <w:t xml:space="preserve"> </w:t>
      </w:r>
      <w:r>
        <w:t>in</w:t>
      </w:r>
      <w:r>
        <w:rPr>
          <w:spacing w:val="-6"/>
        </w:rPr>
        <w:t xml:space="preserve"> </w:t>
      </w:r>
      <w:r>
        <w:t>multiple</w:t>
      </w:r>
      <w:r>
        <w:rPr>
          <w:spacing w:val="-6"/>
        </w:rPr>
        <w:t xml:space="preserve"> </w:t>
      </w:r>
      <w:r>
        <w:t>rows:</w:t>
      </w:r>
      <w:r>
        <w:rPr>
          <w:spacing w:val="-6"/>
        </w:rPr>
        <w:t xml:space="preserve"> </w:t>
      </w:r>
      <w:r>
        <w:t>for</w:t>
      </w:r>
      <w:r>
        <w:rPr>
          <w:spacing w:val="-6"/>
        </w:rPr>
        <w:t xml:space="preserve"> </w:t>
      </w:r>
      <w:r>
        <w:t>the</w:t>
      </w:r>
      <w:r>
        <w:rPr>
          <w:spacing w:val="-10"/>
        </w:rPr>
        <w:t xml:space="preserve"> </w:t>
      </w:r>
      <w:r>
        <w:t>TUDA</w:t>
      </w:r>
      <w:r>
        <w:rPr>
          <w:spacing w:val="-14"/>
        </w:rPr>
        <w:t xml:space="preserve"> </w:t>
      </w:r>
      <w:r>
        <w:t>district(s)</w:t>
      </w:r>
      <w:r>
        <w:rPr>
          <w:spacing w:val="-5"/>
        </w:rPr>
        <w:t xml:space="preserve"> </w:t>
      </w:r>
      <w:r>
        <w:t>and</w:t>
      </w:r>
      <w:r>
        <w:rPr>
          <w:spacing w:val="-6"/>
        </w:rPr>
        <w:t xml:space="preserve"> </w:t>
      </w:r>
      <w:r>
        <w:t>for</w:t>
      </w:r>
      <w:r>
        <w:rPr>
          <w:spacing w:val="-6"/>
        </w:rPr>
        <w:t xml:space="preserve"> </w:t>
      </w:r>
      <w:r>
        <w:t>the</w:t>
      </w:r>
      <w:r>
        <w:rPr>
          <w:spacing w:val="-6"/>
        </w:rPr>
        <w:t xml:space="preserve"> </w:t>
      </w:r>
      <w:r>
        <w:t>state</w:t>
      </w:r>
      <w:r>
        <w:rPr>
          <w:spacing w:val="-6"/>
        </w:rPr>
        <w:t xml:space="preserve"> </w:t>
      </w:r>
      <w:r>
        <w:t>as</w:t>
      </w:r>
      <w:r>
        <w:rPr>
          <w:spacing w:val="-6"/>
        </w:rPr>
        <w:t xml:space="preserve"> </w:t>
      </w:r>
      <w:r>
        <w:t>a</w:t>
      </w:r>
      <w:r>
        <w:rPr>
          <w:spacing w:val="-6"/>
        </w:rPr>
        <w:t xml:space="preserve"> </w:t>
      </w:r>
      <w:r>
        <w:t>whole</w:t>
      </w:r>
      <w:r>
        <w:rPr>
          <w:spacing w:val="-6"/>
        </w:rPr>
        <w:t xml:space="preserve"> </w:t>
      </w:r>
      <w:r>
        <w:t>(the</w:t>
      </w:r>
      <w:r>
        <w:rPr>
          <w:spacing w:val="-10"/>
        </w:rPr>
        <w:t xml:space="preserve"> </w:t>
      </w:r>
      <w:r>
        <w:t>TUDA</w:t>
      </w:r>
      <w:r>
        <w:rPr>
          <w:spacing w:val="-14"/>
        </w:rPr>
        <w:t xml:space="preserve"> </w:t>
      </w:r>
      <w:r>
        <w:t>district[s] plus the rest of the state).</w:t>
      </w:r>
    </w:p>
    <w:p w:rsidR="003F5784" w14:paraId="5A8641B4" w14:textId="77777777">
      <w:pPr>
        <w:pStyle w:val="BodyText"/>
        <w:spacing w:before="204"/>
        <w:ind w:left="109"/>
      </w:pPr>
      <w:r>
        <w:t>Separate</w:t>
      </w:r>
      <w:r>
        <w:rPr>
          <w:spacing w:val="-7"/>
        </w:rPr>
        <w:t xml:space="preserve"> </w:t>
      </w:r>
      <w:r>
        <w:t>exclusion</w:t>
      </w:r>
      <w:r>
        <w:rPr>
          <w:spacing w:val="-7"/>
        </w:rPr>
        <w:t xml:space="preserve"> </w:t>
      </w:r>
      <w:r>
        <w:t>rates</w:t>
      </w:r>
      <w:r>
        <w:rPr>
          <w:spacing w:val="-6"/>
        </w:rPr>
        <w:t xml:space="preserve"> </w:t>
      </w:r>
      <w:r>
        <w:t>are</w:t>
      </w:r>
      <w:r>
        <w:rPr>
          <w:spacing w:val="-7"/>
        </w:rPr>
        <w:t xml:space="preserve"> </w:t>
      </w:r>
      <w:r>
        <w:t>provided</w:t>
      </w:r>
      <w:r>
        <w:rPr>
          <w:spacing w:val="-6"/>
        </w:rPr>
        <w:t xml:space="preserve"> </w:t>
      </w:r>
      <w:r>
        <w:t>for</w:t>
      </w:r>
      <w:r>
        <w:rPr>
          <w:spacing w:val="-7"/>
        </w:rPr>
        <w:t xml:space="preserve"> </w:t>
      </w:r>
      <w:r>
        <w:rPr>
          <w:color w:val="0066CC"/>
        </w:rPr>
        <w:t>students</w:t>
      </w:r>
      <w:r>
        <w:rPr>
          <w:color w:val="0066CC"/>
          <w:spacing w:val="-6"/>
        </w:rPr>
        <w:t xml:space="preserve"> </w:t>
      </w:r>
      <w:r>
        <w:rPr>
          <w:color w:val="0066CC"/>
        </w:rPr>
        <w:t>with</w:t>
      </w:r>
      <w:r>
        <w:rPr>
          <w:color w:val="0066CC"/>
          <w:spacing w:val="-7"/>
        </w:rPr>
        <w:t xml:space="preserve"> </w:t>
      </w:r>
      <w:r>
        <w:rPr>
          <w:color w:val="0066CC"/>
        </w:rPr>
        <w:t>disabilities</w:t>
      </w:r>
      <w:r>
        <w:rPr>
          <w:color w:val="0066CC"/>
          <w:spacing w:val="-6"/>
        </w:rPr>
        <w:t xml:space="preserve"> </w:t>
      </w:r>
      <w:r>
        <w:rPr>
          <w:color w:val="0066CC"/>
        </w:rPr>
        <w:t>(SD)</w:t>
      </w:r>
      <w:r>
        <w:rPr>
          <w:color w:val="0066CC"/>
          <w:spacing w:val="-7"/>
        </w:rPr>
        <w:t xml:space="preserve"> </w:t>
      </w:r>
      <w:r>
        <w:t>and</w:t>
      </w:r>
      <w:r>
        <w:rPr>
          <w:spacing w:val="-6"/>
        </w:rPr>
        <w:t xml:space="preserve"> </w:t>
      </w:r>
      <w:r>
        <w:rPr>
          <w:color w:val="0066CC"/>
        </w:rPr>
        <w:t>English</w:t>
      </w:r>
      <w:r>
        <w:rPr>
          <w:color w:val="0066CC"/>
          <w:spacing w:val="-7"/>
        </w:rPr>
        <w:t xml:space="preserve"> </w:t>
      </w:r>
      <w:r>
        <w:rPr>
          <w:color w:val="0066CC"/>
        </w:rPr>
        <w:t>learners</w:t>
      </w:r>
      <w:r>
        <w:rPr>
          <w:color w:val="0066CC"/>
          <w:spacing w:val="-6"/>
        </w:rPr>
        <w:t xml:space="preserve"> </w:t>
      </w:r>
      <w:r>
        <w:rPr>
          <w:color w:val="0066CC"/>
          <w:spacing w:val="-2"/>
        </w:rPr>
        <w:t>(EL)</w:t>
      </w:r>
      <w:r>
        <w:rPr>
          <w:spacing w:val="-2"/>
        </w:rPr>
        <w:t>.</w:t>
      </w:r>
    </w:p>
    <w:p w:rsidR="003F5784" w14:paraId="6B938715" w14:textId="77777777">
      <w:pPr>
        <w:pStyle w:val="BodyText"/>
        <w:spacing w:before="208" w:line="232" w:lineRule="auto"/>
        <w:ind w:left="109"/>
      </w:pPr>
      <w:r>
        <w:t>A</w:t>
      </w:r>
      <w:r>
        <w:rPr>
          <w:spacing w:val="-14"/>
        </w:rPr>
        <w:t xml:space="preserve"> </w:t>
      </w:r>
      <w:r>
        <w:t>weighted</w:t>
      </w:r>
      <w:r>
        <w:rPr>
          <w:spacing w:val="-11"/>
        </w:rPr>
        <w:t xml:space="preserve"> </w:t>
      </w:r>
      <w:r>
        <w:t>student</w:t>
      </w:r>
      <w:r>
        <w:rPr>
          <w:spacing w:val="-6"/>
        </w:rPr>
        <w:t xml:space="preserve"> </w:t>
      </w:r>
      <w:r>
        <w:t>response</w:t>
      </w:r>
      <w:r>
        <w:rPr>
          <w:spacing w:val="-6"/>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6"/>
        </w:rPr>
        <w:t xml:space="preserve"> </w:t>
      </w:r>
      <w:r>
        <w:t>of</w:t>
      </w:r>
      <w:r>
        <w:rPr>
          <w:spacing w:val="-6"/>
        </w:rPr>
        <w:t xml:space="preserve"> </w:t>
      </w:r>
      <w:r>
        <w:t>the</w:t>
      </w:r>
      <w:r>
        <w:rPr>
          <w:spacing w:val="-6"/>
        </w:rPr>
        <w:t xml:space="preserve"> </w:t>
      </w:r>
      <w:r>
        <w:t>student</w:t>
      </w:r>
      <w:r>
        <w:rPr>
          <w:spacing w:val="-6"/>
        </w:rPr>
        <w:t xml:space="preserve"> </w:t>
      </w:r>
      <w:r>
        <w:t>population</w:t>
      </w:r>
      <w:r>
        <w:rPr>
          <w:spacing w:val="-6"/>
        </w:rPr>
        <w:t xml:space="preserve"> </w:t>
      </w:r>
      <w:r>
        <w:t>that</w:t>
      </w:r>
      <w:r>
        <w:rPr>
          <w:spacing w:val="-6"/>
        </w:rPr>
        <w:t xml:space="preserve"> </w:t>
      </w:r>
      <w:r>
        <w:t>is</w:t>
      </w:r>
      <w:r>
        <w:rPr>
          <w:spacing w:val="-6"/>
        </w:rPr>
        <w:t xml:space="preserve"> </w:t>
      </w:r>
      <w:r>
        <w:t>directly</w:t>
      </w:r>
      <w:r>
        <w:rPr>
          <w:spacing w:val="-6"/>
        </w:rPr>
        <w:t xml:space="preserve"> </w:t>
      </w:r>
      <w:r>
        <w:t>represented</w:t>
      </w:r>
      <w:r>
        <w:rPr>
          <w:spacing w:val="-6"/>
        </w:rPr>
        <w:t xml:space="preserve"> </w:t>
      </w:r>
      <w:r>
        <w:t>by</w:t>
      </w:r>
      <w:r>
        <w:rPr>
          <w:spacing w:val="-6"/>
        </w:rPr>
        <w:t xml:space="preserve"> </w:t>
      </w:r>
      <w:r>
        <w:t>the</w:t>
      </w:r>
      <w:r>
        <w:rPr>
          <w:spacing w:val="-6"/>
        </w:rPr>
        <w:t xml:space="preserve"> </w:t>
      </w:r>
      <w:r>
        <w:t>assessed</w:t>
      </w:r>
      <w:r>
        <w:rPr>
          <w:spacing w:val="-6"/>
        </w:rPr>
        <w:t xml:space="preserve"> </w:t>
      </w:r>
      <w:r>
        <w:t>students</w:t>
      </w:r>
      <w:r>
        <w:rPr>
          <w:spacing w:val="-6"/>
        </w:rPr>
        <w:t xml:space="preserve"> </w:t>
      </w:r>
      <w:r>
        <w:t>from</w:t>
      </w:r>
      <w:r>
        <w:rPr>
          <w:spacing w:val="-6"/>
        </w:rPr>
        <w:t xml:space="preserve"> </w:t>
      </w:r>
      <w:r>
        <w:t>within</w:t>
      </w:r>
      <w:r>
        <w:rPr>
          <w:spacing w:val="-6"/>
        </w:rPr>
        <w:t xml:space="preserve"> </w:t>
      </w:r>
      <w:r>
        <w:t>participating</w:t>
      </w:r>
      <w:r>
        <w:rPr>
          <w:spacing w:val="-6"/>
        </w:rPr>
        <w:t xml:space="preserve"> </w:t>
      </w:r>
      <w:r>
        <w:t>schools.</w:t>
      </w:r>
      <w:r>
        <w:rPr>
          <w:spacing w:val="-14"/>
        </w:rPr>
        <w:t xml:space="preserve"> </w:t>
      </w:r>
      <w:r>
        <w:t>A weighted exclusion rate indicates the percentage of students in the population that would be excluded from the assessment.</w:t>
      </w:r>
    </w:p>
    <w:p w:rsidR="003F5784" w14:paraId="15B211AA" w14:textId="77777777">
      <w:pPr>
        <w:pStyle w:val="BodyText"/>
        <w:spacing w:before="92"/>
      </w:pPr>
    </w:p>
    <w:p w:rsidR="003F5784" w14:paraId="6B5C62EC" w14:textId="77777777">
      <w:pPr>
        <w:pStyle w:val="Heading2"/>
      </w:pPr>
      <w:r>
        <w:t>Weighted</w:t>
      </w:r>
      <w:r>
        <w:rPr>
          <w:spacing w:val="-9"/>
        </w:rPr>
        <w:t xml:space="preserve"> </w:t>
      </w:r>
      <w:r>
        <w:t>student</w:t>
      </w:r>
      <w:r>
        <w:rPr>
          <w:spacing w:val="-8"/>
        </w:rPr>
        <w:t xml:space="preserve"> </w:t>
      </w:r>
      <w:r>
        <w:t>response</w:t>
      </w:r>
      <w:r>
        <w:rPr>
          <w:spacing w:val="-9"/>
        </w:rPr>
        <w:t xml:space="preserve"> </w:t>
      </w:r>
      <w:r>
        <w:t>and</w:t>
      </w:r>
      <w:r>
        <w:rPr>
          <w:spacing w:val="-8"/>
        </w:rPr>
        <w:t xml:space="preserve"> </w:t>
      </w:r>
      <w:r>
        <w:t>exclusion</w:t>
      </w:r>
      <w:r>
        <w:rPr>
          <w:spacing w:val="-8"/>
        </w:rPr>
        <w:t xml:space="preserve"> </w:t>
      </w:r>
      <w:r>
        <w:t>rates</w:t>
      </w:r>
      <w:r>
        <w:rPr>
          <w:spacing w:val="-9"/>
        </w:rPr>
        <w:t xml:space="preserve"> </w:t>
      </w:r>
      <w:r>
        <w:t>for</w:t>
      </w:r>
      <w:r>
        <w:rPr>
          <w:spacing w:val="-12"/>
        </w:rPr>
        <w:t xml:space="preserve"> </w:t>
      </w:r>
      <w:r>
        <w:t>public</w:t>
      </w:r>
      <w:r>
        <w:rPr>
          <w:spacing w:val="-8"/>
        </w:rPr>
        <w:t xml:space="preserve"> </w:t>
      </w:r>
      <w:r>
        <w:t>schools,</w:t>
      </w:r>
      <w:r>
        <w:rPr>
          <w:spacing w:val="-8"/>
        </w:rPr>
        <w:t xml:space="preserve"> </w:t>
      </w:r>
      <w:r>
        <w:t>state</w:t>
      </w:r>
      <w:r>
        <w:rPr>
          <w:spacing w:val="-9"/>
        </w:rPr>
        <w:t xml:space="preserve"> </w:t>
      </w:r>
      <w:r>
        <w:t>reading</w:t>
      </w:r>
      <w:r>
        <w:rPr>
          <w:spacing w:val="-8"/>
        </w:rPr>
        <w:t xml:space="preserve"> </w:t>
      </w:r>
      <w:r>
        <w:t>assessment,</w:t>
      </w:r>
      <w:r>
        <w:rPr>
          <w:spacing w:val="-9"/>
        </w:rPr>
        <w:t xml:space="preserve"> </w:t>
      </w:r>
      <w:r>
        <w:t>by</w:t>
      </w:r>
      <w:r>
        <w:rPr>
          <w:spacing w:val="-8"/>
        </w:rPr>
        <w:t xml:space="preserve"> </w:t>
      </w:r>
      <w:r>
        <w:t>grade</w:t>
      </w:r>
      <w:r>
        <w:rPr>
          <w:spacing w:val="-8"/>
        </w:rPr>
        <w:t xml:space="preserve"> </w:t>
      </w:r>
      <w:r>
        <w:t>and</w:t>
      </w:r>
      <w:r>
        <w:rPr>
          <w:spacing w:val="-9"/>
        </w:rPr>
        <w:t xml:space="preserve"> </w:t>
      </w:r>
      <w:r>
        <w:t>jurisdiction:</w:t>
      </w:r>
      <w:r>
        <w:rPr>
          <w:spacing w:val="-8"/>
        </w:rPr>
        <w:t xml:space="preserve"> </w:t>
      </w:r>
      <w:r>
        <w:rPr>
          <w:spacing w:val="-4"/>
        </w:rPr>
        <w:t>2022</w:t>
      </w:r>
    </w:p>
    <w:p w:rsidR="003F5784" w14:paraId="524BF277"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4887"/>
        <w:gridCol w:w="1332"/>
        <w:gridCol w:w="1614"/>
        <w:gridCol w:w="1747"/>
        <w:gridCol w:w="1187"/>
        <w:gridCol w:w="1615"/>
        <w:gridCol w:w="1605"/>
      </w:tblGrid>
      <w:tr w14:paraId="1D5C6F02" w14:textId="77777777">
        <w:tblPrEx>
          <w:tblW w:w="0" w:type="auto"/>
          <w:tblInd w:w="482" w:type="dxa"/>
          <w:tblLayout w:type="fixed"/>
          <w:tblCellMar>
            <w:left w:w="0" w:type="dxa"/>
            <w:right w:w="0" w:type="dxa"/>
          </w:tblCellMar>
          <w:tblLook w:val="01E0"/>
        </w:tblPrEx>
        <w:trPr>
          <w:trHeight w:val="267"/>
        </w:trPr>
        <w:tc>
          <w:tcPr>
            <w:tcW w:w="4887" w:type="dxa"/>
            <w:tcBorders>
              <w:top w:val="single" w:sz="18" w:space="0" w:color="800000"/>
            </w:tcBorders>
          </w:tcPr>
          <w:p w:rsidR="003F5784" w14:paraId="46A1AD73" w14:textId="77777777">
            <w:pPr>
              <w:pStyle w:val="TableParagraph"/>
              <w:spacing w:before="0"/>
              <w:jc w:val="left"/>
              <w:rPr>
                <w:sz w:val="18"/>
              </w:rPr>
            </w:pPr>
          </w:p>
        </w:tc>
        <w:tc>
          <w:tcPr>
            <w:tcW w:w="1332" w:type="dxa"/>
            <w:tcBorders>
              <w:top w:val="single" w:sz="18" w:space="0" w:color="800000"/>
              <w:bottom w:val="single" w:sz="18" w:space="0" w:color="800000"/>
            </w:tcBorders>
          </w:tcPr>
          <w:p w:rsidR="003F5784" w14:paraId="4387F609" w14:textId="77777777">
            <w:pPr>
              <w:pStyle w:val="TableParagraph"/>
              <w:spacing w:before="0"/>
              <w:jc w:val="left"/>
              <w:rPr>
                <w:sz w:val="18"/>
              </w:rPr>
            </w:pPr>
          </w:p>
        </w:tc>
        <w:tc>
          <w:tcPr>
            <w:tcW w:w="1614" w:type="dxa"/>
            <w:tcBorders>
              <w:top w:val="single" w:sz="18" w:space="0" w:color="800000"/>
              <w:bottom w:val="single" w:sz="18" w:space="0" w:color="800000"/>
            </w:tcBorders>
          </w:tcPr>
          <w:p w:rsidR="003F5784" w14:paraId="51F68844" w14:textId="77777777">
            <w:pPr>
              <w:pStyle w:val="TableParagraph"/>
              <w:spacing w:before="9" w:line="238" w:lineRule="exact"/>
              <w:ind w:left="608"/>
              <w:jc w:val="left"/>
              <w:rPr>
                <w:sz w:val="21"/>
              </w:rPr>
            </w:pPr>
            <w:r>
              <w:rPr>
                <w:sz w:val="21"/>
              </w:rPr>
              <w:t>Grade</w:t>
            </w:r>
            <w:r>
              <w:rPr>
                <w:spacing w:val="-7"/>
                <w:sz w:val="21"/>
              </w:rPr>
              <w:t xml:space="preserve"> </w:t>
            </w:r>
            <w:r>
              <w:rPr>
                <w:spacing w:val="-10"/>
                <w:sz w:val="21"/>
              </w:rPr>
              <w:t>4</w:t>
            </w:r>
          </w:p>
        </w:tc>
        <w:tc>
          <w:tcPr>
            <w:tcW w:w="1747" w:type="dxa"/>
            <w:tcBorders>
              <w:top w:val="single" w:sz="18" w:space="0" w:color="800000"/>
              <w:bottom w:val="single" w:sz="18" w:space="0" w:color="800000"/>
            </w:tcBorders>
          </w:tcPr>
          <w:p w:rsidR="003F5784" w14:paraId="79D6801A" w14:textId="77777777">
            <w:pPr>
              <w:pStyle w:val="TableParagraph"/>
              <w:spacing w:before="0"/>
              <w:jc w:val="left"/>
              <w:rPr>
                <w:sz w:val="18"/>
              </w:rPr>
            </w:pPr>
          </w:p>
        </w:tc>
        <w:tc>
          <w:tcPr>
            <w:tcW w:w="1187" w:type="dxa"/>
            <w:tcBorders>
              <w:top w:val="single" w:sz="18" w:space="0" w:color="800000"/>
              <w:bottom w:val="single" w:sz="18" w:space="0" w:color="800000"/>
            </w:tcBorders>
          </w:tcPr>
          <w:p w:rsidR="003F5784" w14:paraId="34FD58C3" w14:textId="77777777">
            <w:pPr>
              <w:pStyle w:val="TableParagraph"/>
              <w:spacing w:before="0"/>
              <w:jc w:val="left"/>
              <w:rPr>
                <w:sz w:val="18"/>
              </w:rPr>
            </w:pPr>
          </w:p>
        </w:tc>
        <w:tc>
          <w:tcPr>
            <w:tcW w:w="1615" w:type="dxa"/>
            <w:tcBorders>
              <w:top w:val="single" w:sz="18" w:space="0" w:color="800000"/>
              <w:bottom w:val="single" w:sz="18" w:space="0" w:color="800000"/>
            </w:tcBorders>
          </w:tcPr>
          <w:p w:rsidR="003F5784" w14:paraId="7642F94B" w14:textId="77777777">
            <w:pPr>
              <w:pStyle w:val="TableParagraph"/>
              <w:spacing w:before="9" w:line="238" w:lineRule="exact"/>
              <w:ind w:left="608"/>
              <w:jc w:val="left"/>
              <w:rPr>
                <w:sz w:val="21"/>
              </w:rPr>
            </w:pPr>
            <w:r>
              <w:rPr>
                <w:sz w:val="21"/>
              </w:rPr>
              <w:t>Grade</w:t>
            </w:r>
            <w:r>
              <w:rPr>
                <w:spacing w:val="-7"/>
                <w:sz w:val="21"/>
              </w:rPr>
              <w:t xml:space="preserve"> </w:t>
            </w:r>
            <w:r>
              <w:rPr>
                <w:spacing w:val="-10"/>
                <w:sz w:val="21"/>
              </w:rPr>
              <w:t>8</w:t>
            </w:r>
          </w:p>
        </w:tc>
        <w:tc>
          <w:tcPr>
            <w:tcW w:w="1605" w:type="dxa"/>
            <w:tcBorders>
              <w:top w:val="single" w:sz="18" w:space="0" w:color="800000"/>
              <w:bottom w:val="single" w:sz="18" w:space="0" w:color="800000"/>
            </w:tcBorders>
          </w:tcPr>
          <w:p w:rsidR="003F5784" w14:paraId="0262A4E4" w14:textId="77777777">
            <w:pPr>
              <w:pStyle w:val="TableParagraph"/>
              <w:spacing w:before="0"/>
              <w:jc w:val="left"/>
              <w:rPr>
                <w:sz w:val="18"/>
              </w:rPr>
            </w:pPr>
          </w:p>
        </w:tc>
      </w:tr>
      <w:tr w14:paraId="37852E87" w14:textId="77777777">
        <w:tblPrEx>
          <w:tblW w:w="0" w:type="auto"/>
          <w:tblInd w:w="482" w:type="dxa"/>
          <w:tblLayout w:type="fixed"/>
          <w:tblCellMar>
            <w:left w:w="0" w:type="dxa"/>
            <w:right w:w="0" w:type="dxa"/>
          </w:tblCellMar>
          <w:tblLook w:val="01E0"/>
        </w:tblPrEx>
        <w:trPr>
          <w:trHeight w:val="1206"/>
        </w:trPr>
        <w:tc>
          <w:tcPr>
            <w:tcW w:w="4887" w:type="dxa"/>
            <w:tcBorders>
              <w:bottom w:val="single" w:sz="18" w:space="0" w:color="800000"/>
            </w:tcBorders>
          </w:tcPr>
          <w:p w:rsidR="003F5784" w14:paraId="7E1B71B2" w14:textId="77777777">
            <w:pPr>
              <w:pStyle w:val="TableParagraph"/>
              <w:spacing w:before="0"/>
              <w:jc w:val="left"/>
              <w:rPr>
                <w:b/>
                <w:sz w:val="21"/>
              </w:rPr>
            </w:pPr>
          </w:p>
          <w:p w:rsidR="003F5784" w14:paraId="7DE5C5ED" w14:textId="77777777">
            <w:pPr>
              <w:pStyle w:val="TableParagraph"/>
              <w:spacing w:before="0"/>
              <w:jc w:val="left"/>
              <w:rPr>
                <w:b/>
                <w:sz w:val="21"/>
              </w:rPr>
            </w:pPr>
          </w:p>
          <w:p w:rsidR="003F5784" w14:paraId="72E7167F" w14:textId="77777777">
            <w:pPr>
              <w:pStyle w:val="TableParagraph"/>
              <w:spacing w:before="223"/>
              <w:jc w:val="left"/>
              <w:rPr>
                <w:b/>
                <w:sz w:val="21"/>
              </w:rPr>
            </w:pPr>
          </w:p>
          <w:p w:rsidR="003F5784" w14:paraId="2656FAA7" w14:textId="77777777">
            <w:pPr>
              <w:pStyle w:val="TableParagraph"/>
              <w:spacing w:before="0" w:line="238" w:lineRule="exact"/>
              <w:ind w:left="120"/>
              <w:jc w:val="left"/>
              <w:rPr>
                <w:sz w:val="21"/>
              </w:rPr>
            </w:pPr>
            <w:r>
              <w:rPr>
                <w:spacing w:val="-2"/>
                <w:sz w:val="21"/>
              </w:rPr>
              <w:t>Jurisdiction</w:t>
            </w:r>
          </w:p>
        </w:tc>
        <w:tc>
          <w:tcPr>
            <w:tcW w:w="1332" w:type="dxa"/>
            <w:tcBorders>
              <w:top w:val="single" w:sz="18" w:space="0" w:color="800000"/>
              <w:bottom w:val="single" w:sz="18" w:space="0" w:color="800000"/>
            </w:tcBorders>
          </w:tcPr>
          <w:p w:rsidR="003F5784" w14:paraId="71DA9D86" w14:textId="77777777">
            <w:pPr>
              <w:pStyle w:val="TableParagraph"/>
              <w:spacing w:before="15" w:line="232" w:lineRule="auto"/>
              <w:ind w:left="472" w:right="127" w:hanging="65"/>
              <w:rPr>
                <w:sz w:val="21"/>
              </w:rPr>
            </w:pPr>
            <w:r>
              <w:rPr>
                <w:spacing w:val="-4"/>
                <w:sz w:val="21"/>
              </w:rPr>
              <w:t xml:space="preserve">Weighted </w:t>
            </w:r>
            <w:r>
              <w:rPr>
                <w:spacing w:val="-2"/>
                <w:sz w:val="21"/>
              </w:rPr>
              <w:t>student response</w:t>
            </w:r>
          </w:p>
          <w:p w:rsidR="003F5784" w14:paraId="6ADA1B1B" w14:textId="77777777">
            <w:pPr>
              <w:pStyle w:val="TableParagraph"/>
              <w:spacing w:before="0" w:line="234" w:lineRule="exact"/>
              <w:ind w:left="449" w:right="127" w:firstLine="358"/>
              <w:rPr>
                <w:sz w:val="21"/>
              </w:rPr>
            </w:pPr>
            <w:r>
              <w:rPr>
                <w:spacing w:val="-2"/>
                <w:sz w:val="21"/>
              </w:rPr>
              <w:t>rates (percent)</w:t>
            </w:r>
          </w:p>
        </w:tc>
        <w:tc>
          <w:tcPr>
            <w:tcW w:w="1614" w:type="dxa"/>
            <w:tcBorders>
              <w:top w:val="single" w:sz="18" w:space="0" w:color="800000"/>
              <w:bottom w:val="single" w:sz="18" w:space="0" w:color="800000"/>
            </w:tcBorders>
          </w:tcPr>
          <w:p w:rsidR="003F5784" w14:paraId="4C4EDDB5" w14:textId="77777777">
            <w:pPr>
              <w:pStyle w:val="TableParagraph"/>
              <w:spacing w:before="15" w:line="232" w:lineRule="auto"/>
              <w:ind w:left="129" w:right="126" w:firstLine="561"/>
              <w:rPr>
                <w:sz w:val="21"/>
              </w:rPr>
            </w:pPr>
            <w:r>
              <w:rPr>
                <w:spacing w:val="-4"/>
                <w:sz w:val="21"/>
              </w:rPr>
              <w:t xml:space="preserve">Weighted </w:t>
            </w:r>
            <w:r>
              <w:rPr>
                <w:sz w:val="21"/>
              </w:rPr>
              <w:t>percentage of</w:t>
            </w:r>
            <w:r>
              <w:rPr>
                <w:spacing w:val="40"/>
                <w:sz w:val="21"/>
              </w:rPr>
              <w:t xml:space="preserve"> </w:t>
            </w:r>
            <w:r>
              <w:rPr>
                <w:sz w:val="21"/>
              </w:rPr>
              <w:t>all</w:t>
            </w:r>
            <w:r>
              <w:rPr>
                <w:spacing w:val="-14"/>
                <w:sz w:val="21"/>
              </w:rPr>
              <w:t xml:space="preserve"> </w:t>
            </w:r>
            <w:r>
              <w:rPr>
                <w:sz w:val="21"/>
              </w:rPr>
              <w:t>students</w:t>
            </w:r>
            <w:r>
              <w:rPr>
                <w:spacing w:val="-13"/>
                <w:sz w:val="21"/>
              </w:rPr>
              <w:t xml:space="preserve"> </w:t>
            </w:r>
            <w:r>
              <w:rPr>
                <w:sz w:val="21"/>
              </w:rPr>
              <w:t>who were SD and</w:t>
            </w:r>
          </w:p>
          <w:p w:rsidR="003F5784" w14:paraId="089C4F2F" w14:textId="77777777">
            <w:pPr>
              <w:pStyle w:val="TableParagraph"/>
              <w:spacing w:before="0" w:line="234" w:lineRule="exact"/>
              <w:ind w:right="126"/>
              <w:rPr>
                <w:sz w:val="21"/>
              </w:rPr>
            </w:pPr>
            <w:r>
              <w:rPr>
                <w:spacing w:val="-2"/>
                <w:sz w:val="21"/>
              </w:rPr>
              <w:t>excluded</w:t>
            </w:r>
          </w:p>
        </w:tc>
        <w:tc>
          <w:tcPr>
            <w:tcW w:w="1747" w:type="dxa"/>
            <w:tcBorders>
              <w:top w:val="single" w:sz="18" w:space="0" w:color="800000"/>
              <w:bottom w:val="single" w:sz="18" w:space="0" w:color="800000"/>
            </w:tcBorders>
          </w:tcPr>
          <w:p w:rsidR="003F5784" w14:paraId="6F967D29" w14:textId="77777777">
            <w:pPr>
              <w:pStyle w:val="TableParagraph"/>
              <w:spacing w:before="16" w:line="234" w:lineRule="exact"/>
              <w:ind w:left="128" w:right="260" w:firstLine="561"/>
              <w:rPr>
                <w:sz w:val="21"/>
              </w:rPr>
            </w:pPr>
            <w:r>
              <w:rPr>
                <w:spacing w:val="-4"/>
                <w:sz w:val="21"/>
              </w:rPr>
              <w:t xml:space="preserve">Weighted </w:t>
            </w:r>
            <w:r>
              <w:rPr>
                <w:sz w:val="21"/>
              </w:rPr>
              <w:t>percentage of</w:t>
            </w:r>
            <w:r>
              <w:rPr>
                <w:spacing w:val="40"/>
                <w:sz w:val="21"/>
              </w:rPr>
              <w:t xml:space="preserve"> </w:t>
            </w:r>
            <w:r>
              <w:rPr>
                <w:sz w:val="21"/>
              </w:rPr>
              <w:t>all</w:t>
            </w:r>
            <w:r>
              <w:rPr>
                <w:spacing w:val="-14"/>
                <w:sz w:val="21"/>
              </w:rPr>
              <w:t xml:space="preserve"> </w:t>
            </w:r>
            <w:r>
              <w:rPr>
                <w:sz w:val="21"/>
              </w:rPr>
              <w:t>students</w:t>
            </w:r>
            <w:r>
              <w:rPr>
                <w:spacing w:val="-13"/>
                <w:sz w:val="21"/>
              </w:rPr>
              <w:t xml:space="preserve"> </w:t>
            </w:r>
            <w:r>
              <w:rPr>
                <w:sz w:val="21"/>
              </w:rPr>
              <w:t xml:space="preserve">who were EL and </w:t>
            </w:r>
            <w:r>
              <w:rPr>
                <w:spacing w:val="-2"/>
                <w:sz w:val="21"/>
              </w:rPr>
              <w:t>excluded</w:t>
            </w:r>
          </w:p>
        </w:tc>
        <w:tc>
          <w:tcPr>
            <w:tcW w:w="1187" w:type="dxa"/>
            <w:tcBorders>
              <w:top w:val="single" w:sz="18" w:space="0" w:color="800000"/>
              <w:bottom w:val="single" w:sz="18" w:space="0" w:color="800000"/>
            </w:tcBorders>
          </w:tcPr>
          <w:p w:rsidR="003F5784" w14:paraId="7B4C8BD8" w14:textId="77777777">
            <w:pPr>
              <w:pStyle w:val="TableParagraph"/>
              <w:spacing w:before="15" w:line="232" w:lineRule="auto"/>
              <w:ind w:left="326" w:right="128" w:hanging="65"/>
              <w:rPr>
                <w:sz w:val="21"/>
              </w:rPr>
            </w:pPr>
            <w:r>
              <w:rPr>
                <w:spacing w:val="-4"/>
                <w:sz w:val="21"/>
              </w:rPr>
              <w:t xml:space="preserve">Weighted </w:t>
            </w:r>
            <w:r>
              <w:rPr>
                <w:spacing w:val="-2"/>
                <w:sz w:val="21"/>
              </w:rPr>
              <w:t>student response</w:t>
            </w:r>
          </w:p>
          <w:p w:rsidR="003F5784" w14:paraId="429DEAB5" w14:textId="77777777">
            <w:pPr>
              <w:pStyle w:val="TableParagraph"/>
              <w:spacing w:before="0" w:line="234" w:lineRule="exact"/>
              <w:ind w:left="303" w:right="128" w:firstLine="358"/>
              <w:rPr>
                <w:sz w:val="21"/>
              </w:rPr>
            </w:pPr>
            <w:r>
              <w:rPr>
                <w:spacing w:val="-2"/>
                <w:sz w:val="21"/>
              </w:rPr>
              <w:t>rates (percent)</w:t>
            </w:r>
          </w:p>
        </w:tc>
        <w:tc>
          <w:tcPr>
            <w:tcW w:w="1615" w:type="dxa"/>
            <w:tcBorders>
              <w:top w:val="single" w:sz="18" w:space="0" w:color="800000"/>
              <w:bottom w:val="single" w:sz="18" w:space="0" w:color="800000"/>
            </w:tcBorders>
          </w:tcPr>
          <w:p w:rsidR="003F5784" w14:paraId="3F420ABB" w14:textId="77777777">
            <w:pPr>
              <w:pStyle w:val="TableParagraph"/>
              <w:spacing w:before="15" w:line="232" w:lineRule="auto"/>
              <w:ind w:left="128" w:right="128" w:firstLine="561"/>
              <w:rPr>
                <w:sz w:val="21"/>
              </w:rPr>
            </w:pPr>
            <w:r>
              <w:rPr>
                <w:spacing w:val="-4"/>
                <w:sz w:val="21"/>
              </w:rPr>
              <w:t xml:space="preserve">Weighted </w:t>
            </w:r>
            <w:r>
              <w:rPr>
                <w:sz w:val="21"/>
              </w:rPr>
              <w:t>percentage of</w:t>
            </w:r>
            <w:r>
              <w:rPr>
                <w:spacing w:val="40"/>
                <w:sz w:val="21"/>
              </w:rPr>
              <w:t xml:space="preserve"> </w:t>
            </w:r>
            <w:r>
              <w:rPr>
                <w:sz w:val="21"/>
              </w:rPr>
              <w:t>all</w:t>
            </w:r>
            <w:r>
              <w:rPr>
                <w:spacing w:val="-14"/>
                <w:sz w:val="21"/>
              </w:rPr>
              <w:t xml:space="preserve"> </w:t>
            </w:r>
            <w:r>
              <w:rPr>
                <w:sz w:val="21"/>
              </w:rPr>
              <w:t>students</w:t>
            </w:r>
            <w:r>
              <w:rPr>
                <w:spacing w:val="-13"/>
                <w:sz w:val="21"/>
              </w:rPr>
              <w:t xml:space="preserve"> </w:t>
            </w:r>
            <w:r>
              <w:rPr>
                <w:sz w:val="21"/>
              </w:rPr>
              <w:t>who were SD and</w:t>
            </w:r>
          </w:p>
          <w:p w:rsidR="003F5784" w14:paraId="63A26DC4" w14:textId="77777777">
            <w:pPr>
              <w:pStyle w:val="TableParagraph"/>
              <w:spacing w:before="0" w:line="234" w:lineRule="exact"/>
              <w:ind w:right="128"/>
              <w:rPr>
                <w:sz w:val="21"/>
              </w:rPr>
            </w:pPr>
            <w:r>
              <w:rPr>
                <w:spacing w:val="-2"/>
                <w:sz w:val="21"/>
              </w:rPr>
              <w:t>excluded</w:t>
            </w:r>
          </w:p>
        </w:tc>
        <w:tc>
          <w:tcPr>
            <w:tcW w:w="1605" w:type="dxa"/>
            <w:tcBorders>
              <w:top w:val="single" w:sz="18" w:space="0" w:color="800000"/>
              <w:bottom w:val="single" w:sz="18" w:space="0" w:color="800000"/>
            </w:tcBorders>
          </w:tcPr>
          <w:p w:rsidR="003F5784" w14:paraId="6959DD21" w14:textId="77777777">
            <w:pPr>
              <w:pStyle w:val="TableParagraph"/>
              <w:spacing w:before="16" w:line="234" w:lineRule="exact"/>
              <w:ind w:left="127" w:right="120" w:firstLine="561"/>
              <w:rPr>
                <w:sz w:val="21"/>
              </w:rPr>
            </w:pPr>
            <w:r>
              <w:rPr>
                <w:spacing w:val="-4"/>
                <w:sz w:val="21"/>
              </w:rPr>
              <w:t xml:space="preserve">Weighted </w:t>
            </w:r>
            <w:r>
              <w:rPr>
                <w:sz w:val="21"/>
              </w:rPr>
              <w:t>percentage of all</w:t>
            </w:r>
            <w:r>
              <w:rPr>
                <w:spacing w:val="-14"/>
                <w:sz w:val="21"/>
              </w:rPr>
              <w:t xml:space="preserve"> </w:t>
            </w:r>
            <w:r>
              <w:rPr>
                <w:sz w:val="21"/>
              </w:rPr>
              <w:t>students</w:t>
            </w:r>
            <w:r>
              <w:rPr>
                <w:spacing w:val="-13"/>
                <w:sz w:val="21"/>
              </w:rPr>
              <w:t xml:space="preserve"> </w:t>
            </w:r>
            <w:r>
              <w:rPr>
                <w:sz w:val="21"/>
              </w:rPr>
              <w:t xml:space="preserve">who were EL and </w:t>
            </w:r>
            <w:r>
              <w:rPr>
                <w:spacing w:val="-2"/>
                <w:sz w:val="21"/>
              </w:rPr>
              <w:t>excluded</w:t>
            </w:r>
          </w:p>
        </w:tc>
      </w:tr>
      <w:tr w14:paraId="307BA269" w14:textId="77777777">
        <w:tblPrEx>
          <w:tblW w:w="0" w:type="auto"/>
          <w:tblInd w:w="482" w:type="dxa"/>
          <w:tblLayout w:type="fixed"/>
          <w:tblCellMar>
            <w:left w:w="0" w:type="dxa"/>
            <w:right w:w="0" w:type="dxa"/>
          </w:tblCellMar>
          <w:tblLook w:val="01E0"/>
        </w:tblPrEx>
        <w:trPr>
          <w:trHeight w:val="278"/>
        </w:trPr>
        <w:tc>
          <w:tcPr>
            <w:tcW w:w="4887" w:type="dxa"/>
            <w:tcBorders>
              <w:top w:val="single" w:sz="18" w:space="0" w:color="800000"/>
            </w:tcBorders>
          </w:tcPr>
          <w:p w:rsidR="003F5784" w14:paraId="0B56CE55" w14:textId="77777777">
            <w:pPr>
              <w:pStyle w:val="TableParagraph"/>
              <w:spacing w:before="9"/>
              <w:ind w:left="575"/>
              <w:jc w:val="left"/>
              <w:rPr>
                <w:b/>
                <w:sz w:val="21"/>
              </w:rPr>
            </w:pPr>
            <w:r>
              <w:rPr>
                <w:b/>
                <w:spacing w:val="-2"/>
                <w:sz w:val="21"/>
              </w:rPr>
              <w:t>Total</w:t>
            </w:r>
          </w:p>
        </w:tc>
        <w:tc>
          <w:tcPr>
            <w:tcW w:w="1332" w:type="dxa"/>
            <w:tcBorders>
              <w:top w:val="single" w:sz="18" w:space="0" w:color="800000"/>
            </w:tcBorders>
          </w:tcPr>
          <w:p w:rsidR="003F5784" w14:paraId="1C364BD4" w14:textId="77777777">
            <w:pPr>
              <w:pStyle w:val="TableParagraph"/>
              <w:spacing w:before="9"/>
              <w:ind w:right="127"/>
              <w:rPr>
                <w:b/>
                <w:sz w:val="21"/>
              </w:rPr>
            </w:pPr>
            <w:r>
              <w:rPr>
                <w:b/>
                <w:spacing w:val="-2"/>
                <w:sz w:val="21"/>
              </w:rPr>
              <w:t>91.60</w:t>
            </w:r>
          </w:p>
        </w:tc>
        <w:tc>
          <w:tcPr>
            <w:tcW w:w="1614" w:type="dxa"/>
            <w:tcBorders>
              <w:top w:val="single" w:sz="18" w:space="0" w:color="800000"/>
            </w:tcBorders>
          </w:tcPr>
          <w:p w:rsidR="003F5784" w14:paraId="6A07B94A" w14:textId="77777777">
            <w:pPr>
              <w:pStyle w:val="TableParagraph"/>
              <w:spacing w:before="9"/>
              <w:ind w:right="126"/>
              <w:rPr>
                <w:b/>
                <w:sz w:val="21"/>
              </w:rPr>
            </w:pPr>
            <w:r>
              <w:rPr>
                <w:b/>
                <w:spacing w:val="-4"/>
                <w:sz w:val="21"/>
              </w:rPr>
              <w:t>1.55</w:t>
            </w:r>
          </w:p>
        </w:tc>
        <w:tc>
          <w:tcPr>
            <w:tcW w:w="1747" w:type="dxa"/>
            <w:tcBorders>
              <w:top w:val="single" w:sz="18" w:space="0" w:color="800000"/>
            </w:tcBorders>
          </w:tcPr>
          <w:p w:rsidR="003F5784" w14:paraId="455C2B57" w14:textId="77777777">
            <w:pPr>
              <w:pStyle w:val="TableParagraph"/>
              <w:spacing w:before="9"/>
              <w:ind w:right="260"/>
              <w:rPr>
                <w:b/>
                <w:sz w:val="21"/>
              </w:rPr>
            </w:pPr>
            <w:r>
              <w:rPr>
                <w:b/>
                <w:spacing w:val="-4"/>
                <w:sz w:val="21"/>
              </w:rPr>
              <w:t>0.78</w:t>
            </w:r>
          </w:p>
        </w:tc>
        <w:tc>
          <w:tcPr>
            <w:tcW w:w="1187" w:type="dxa"/>
            <w:tcBorders>
              <w:top w:val="single" w:sz="18" w:space="0" w:color="800000"/>
            </w:tcBorders>
          </w:tcPr>
          <w:p w:rsidR="003F5784" w14:paraId="7BF7922D" w14:textId="77777777">
            <w:pPr>
              <w:pStyle w:val="TableParagraph"/>
              <w:spacing w:before="9"/>
              <w:ind w:right="128"/>
              <w:rPr>
                <w:b/>
                <w:sz w:val="21"/>
              </w:rPr>
            </w:pPr>
            <w:r>
              <w:rPr>
                <w:b/>
                <w:spacing w:val="-2"/>
                <w:sz w:val="21"/>
              </w:rPr>
              <w:t>88.82</w:t>
            </w:r>
          </w:p>
        </w:tc>
        <w:tc>
          <w:tcPr>
            <w:tcW w:w="1615" w:type="dxa"/>
            <w:tcBorders>
              <w:top w:val="single" w:sz="18" w:space="0" w:color="800000"/>
            </w:tcBorders>
          </w:tcPr>
          <w:p w:rsidR="003F5784" w14:paraId="63AFC5ED" w14:textId="77777777">
            <w:pPr>
              <w:pStyle w:val="TableParagraph"/>
              <w:spacing w:before="9"/>
              <w:ind w:right="128"/>
              <w:rPr>
                <w:b/>
                <w:sz w:val="21"/>
              </w:rPr>
            </w:pPr>
            <w:r>
              <w:rPr>
                <w:b/>
                <w:spacing w:val="-4"/>
                <w:sz w:val="21"/>
              </w:rPr>
              <w:t>1.41</w:t>
            </w:r>
          </w:p>
        </w:tc>
        <w:tc>
          <w:tcPr>
            <w:tcW w:w="1605" w:type="dxa"/>
            <w:tcBorders>
              <w:top w:val="single" w:sz="18" w:space="0" w:color="800000"/>
            </w:tcBorders>
          </w:tcPr>
          <w:p w:rsidR="003F5784" w14:paraId="6948FF6B" w14:textId="77777777">
            <w:pPr>
              <w:pStyle w:val="TableParagraph"/>
              <w:spacing w:before="9"/>
              <w:ind w:right="120"/>
              <w:rPr>
                <w:b/>
                <w:sz w:val="21"/>
              </w:rPr>
            </w:pPr>
            <w:r>
              <w:rPr>
                <w:b/>
                <w:spacing w:val="-4"/>
                <w:sz w:val="21"/>
              </w:rPr>
              <w:t>0.71</w:t>
            </w:r>
          </w:p>
        </w:tc>
      </w:tr>
      <w:tr w14:paraId="12AC42C1" w14:textId="77777777">
        <w:tblPrEx>
          <w:tblW w:w="0" w:type="auto"/>
          <w:tblInd w:w="482" w:type="dxa"/>
          <w:tblLayout w:type="fixed"/>
          <w:tblCellMar>
            <w:left w:w="0" w:type="dxa"/>
            <w:right w:w="0" w:type="dxa"/>
          </w:tblCellMar>
          <w:tblLook w:val="01E0"/>
        </w:tblPrEx>
        <w:trPr>
          <w:trHeight w:val="286"/>
        </w:trPr>
        <w:tc>
          <w:tcPr>
            <w:tcW w:w="4887" w:type="dxa"/>
          </w:tcPr>
          <w:p w:rsidR="003F5784" w14:paraId="12125743" w14:textId="77777777">
            <w:pPr>
              <w:pStyle w:val="TableParagraph"/>
              <w:ind w:left="120"/>
              <w:jc w:val="left"/>
              <w:rPr>
                <w:sz w:val="21"/>
              </w:rPr>
            </w:pPr>
            <w:r>
              <w:rPr>
                <w:spacing w:val="-2"/>
                <w:sz w:val="21"/>
              </w:rPr>
              <w:t>Alabama</w:t>
            </w:r>
          </w:p>
        </w:tc>
        <w:tc>
          <w:tcPr>
            <w:tcW w:w="1332" w:type="dxa"/>
          </w:tcPr>
          <w:p w:rsidR="003F5784" w14:paraId="64AA52E5" w14:textId="77777777">
            <w:pPr>
              <w:pStyle w:val="TableParagraph"/>
              <w:ind w:right="127"/>
              <w:rPr>
                <w:sz w:val="21"/>
              </w:rPr>
            </w:pPr>
            <w:r>
              <w:rPr>
                <w:spacing w:val="-2"/>
                <w:sz w:val="21"/>
              </w:rPr>
              <w:t>93.53</w:t>
            </w:r>
          </w:p>
        </w:tc>
        <w:tc>
          <w:tcPr>
            <w:tcW w:w="1614" w:type="dxa"/>
          </w:tcPr>
          <w:p w:rsidR="003F5784" w14:paraId="753B05D0" w14:textId="77777777">
            <w:pPr>
              <w:pStyle w:val="TableParagraph"/>
              <w:ind w:right="126"/>
              <w:rPr>
                <w:sz w:val="21"/>
              </w:rPr>
            </w:pPr>
            <w:r>
              <w:rPr>
                <w:spacing w:val="-4"/>
                <w:sz w:val="21"/>
              </w:rPr>
              <w:t>0.76</w:t>
            </w:r>
          </w:p>
        </w:tc>
        <w:tc>
          <w:tcPr>
            <w:tcW w:w="1747" w:type="dxa"/>
          </w:tcPr>
          <w:p w:rsidR="003F5784" w14:paraId="745AE89B" w14:textId="77777777">
            <w:pPr>
              <w:pStyle w:val="TableParagraph"/>
              <w:ind w:right="260"/>
              <w:rPr>
                <w:sz w:val="21"/>
              </w:rPr>
            </w:pPr>
            <w:r>
              <w:rPr>
                <w:spacing w:val="-4"/>
                <w:sz w:val="21"/>
              </w:rPr>
              <w:t>0.47</w:t>
            </w:r>
          </w:p>
        </w:tc>
        <w:tc>
          <w:tcPr>
            <w:tcW w:w="1187" w:type="dxa"/>
          </w:tcPr>
          <w:p w:rsidR="003F5784" w14:paraId="5E9A7FD0" w14:textId="77777777">
            <w:pPr>
              <w:pStyle w:val="TableParagraph"/>
              <w:ind w:right="128"/>
              <w:rPr>
                <w:sz w:val="21"/>
              </w:rPr>
            </w:pPr>
            <w:r>
              <w:rPr>
                <w:spacing w:val="-2"/>
                <w:sz w:val="21"/>
              </w:rPr>
              <w:t>92.41</w:t>
            </w:r>
          </w:p>
        </w:tc>
        <w:tc>
          <w:tcPr>
            <w:tcW w:w="1615" w:type="dxa"/>
          </w:tcPr>
          <w:p w:rsidR="003F5784" w14:paraId="682631FD" w14:textId="77777777">
            <w:pPr>
              <w:pStyle w:val="TableParagraph"/>
              <w:ind w:right="128"/>
              <w:rPr>
                <w:sz w:val="21"/>
              </w:rPr>
            </w:pPr>
            <w:r>
              <w:rPr>
                <w:spacing w:val="-4"/>
                <w:sz w:val="21"/>
              </w:rPr>
              <w:t>0.74</w:t>
            </w:r>
          </w:p>
        </w:tc>
        <w:tc>
          <w:tcPr>
            <w:tcW w:w="1605" w:type="dxa"/>
          </w:tcPr>
          <w:p w:rsidR="003F5784" w14:paraId="1C58B88A" w14:textId="77777777">
            <w:pPr>
              <w:pStyle w:val="TableParagraph"/>
              <w:ind w:right="120"/>
              <w:rPr>
                <w:sz w:val="21"/>
              </w:rPr>
            </w:pPr>
            <w:r>
              <w:rPr>
                <w:spacing w:val="-4"/>
                <w:sz w:val="21"/>
              </w:rPr>
              <w:t>0.24</w:t>
            </w:r>
          </w:p>
        </w:tc>
      </w:tr>
      <w:tr w14:paraId="3B24CFAB" w14:textId="77777777">
        <w:tblPrEx>
          <w:tblW w:w="0" w:type="auto"/>
          <w:tblInd w:w="482" w:type="dxa"/>
          <w:tblLayout w:type="fixed"/>
          <w:tblCellMar>
            <w:left w:w="0" w:type="dxa"/>
            <w:right w:w="0" w:type="dxa"/>
          </w:tblCellMar>
          <w:tblLook w:val="01E0"/>
        </w:tblPrEx>
        <w:trPr>
          <w:trHeight w:val="286"/>
        </w:trPr>
        <w:tc>
          <w:tcPr>
            <w:tcW w:w="4887" w:type="dxa"/>
          </w:tcPr>
          <w:p w:rsidR="003F5784" w14:paraId="75899790" w14:textId="77777777">
            <w:pPr>
              <w:pStyle w:val="TableParagraph"/>
              <w:ind w:left="120"/>
              <w:jc w:val="left"/>
              <w:rPr>
                <w:sz w:val="21"/>
              </w:rPr>
            </w:pPr>
            <w:r>
              <w:rPr>
                <w:spacing w:val="-2"/>
                <w:sz w:val="21"/>
              </w:rPr>
              <w:t>Alaska</w:t>
            </w:r>
          </w:p>
        </w:tc>
        <w:tc>
          <w:tcPr>
            <w:tcW w:w="1332" w:type="dxa"/>
          </w:tcPr>
          <w:p w:rsidR="003F5784" w14:paraId="3A886B05" w14:textId="77777777">
            <w:pPr>
              <w:pStyle w:val="TableParagraph"/>
              <w:ind w:right="127"/>
              <w:rPr>
                <w:sz w:val="21"/>
              </w:rPr>
            </w:pPr>
            <w:r>
              <w:rPr>
                <w:spacing w:val="-2"/>
                <w:sz w:val="21"/>
              </w:rPr>
              <w:t>88.73</w:t>
            </w:r>
          </w:p>
        </w:tc>
        <w:tc>
          <w:tcPr>
            <w:tcW w:w="1614" w:type="dxa"/>
          </w:tcPr>
          <w:p w:rsidR="003F5784" w14:paraId="1E7E7476" w14:textId="77777777">
            <w:pPr>
              <w:pStyle w:val="TableParagraph"/>
              <w:ind w:right="126"/>
              <w:rPr>
                <w:sz w:val="21"/>
              </w:rPr>
            </w:pPr>
            <w:r>
              <w:rPr>
                <w:spacing w:val="-4"/>
                <w:sz w:val="21"/>
              </w:rPr>
              <w:t>0.57</w:t>
            </w:r>
          </w:p>
        </w:tc>
        <w:tc>
          <w:tcPr>
            <w:tcW w:w="1747" w:type="dxa"/>
          </w:tcPr>
          <w:p w:rsidR="003F5784" w14:paraId="74469DF1" w14:textId="77777777">
            <w:pPr>
              <w:pStyle w:val="TableParagraph"/>
              <w:ind w:right="260"/>
              <w:rPr>
                <w:sz w:val="21"/>
              </w:rPr>
            </w:pPr>
            <w:r>
              <w:rPr>
                <w:spacing w:val="-4"/>
                <w:sz w:val="21"/>
              </w:rPr>
              <w:t>0.09</w:t>
            </w:r>
          </w:p>
        </w:tc>
        <w:tc>
          <w:tcPr>
            <w:tcW w:w="1187" w:type="dxa"/>
          </w:tcPr>
          <w:p w:rsidR="003F5784" w14:paraId="542626E7" w14:textId="77777777">
            <w:pPr>
              <w:pStyle w:val="TableParagraph"/>
              <w:ind w:right="128"/>
              <w:rPr>
                <w:sz w:val="21"/>
              </w:rPr>
            </w:pPr>
            <w:r>
              <w:rPr>
                <w:spacing w:val="-2"/>
                <w:sz w:val="21"/>
              </w:rPr>
              <w:t>82.03</w:t>
            </w:r>
          </w:p>
        </w:tc>
        <w:tc>
          <w:tcPr>
            <w:tcW w:w="1615" w:type="dxa"/>
          </w:tcPr>
          <w:p w:rsidR="003F5784" w14:paraId="56AF4B9A" w14:textId="77777777">
            <w:pPr>
              <w:pStyle w:val="TableParagraph"/>
              <w:ind w:right="128"/>
              <w:rPr>
                <w:sz w:val="21"/>
              </w:rPr>
            </w:pPr>
            <w:r>
              <w:rPr>
                <w:spacing w:val="-4"/>
                <w:sz w:val="21"/>
              </w:rPr>
              <w:t>0.38</w:t>
            </w:r>
          </w:p>
        </w:tc>
        <w:tc>
          <w:tcPr>
            <w:tcW w:w="1605" w:type="dxa"/>
          </w:tcPr>
          <w:p w:rsidR="003F5784" w14:paraId="1DF42B10" w14:textId="77777777">
            <w:pPr>
              <w:pStyle w:val="TableParagraph"/>
              <w:ind w:right="120"/>
              <w:rPr>
                <w:sz w:val="21"/>
              </w:rPr>
            </w:pPr>
            <w:r>
              <w:rPr>
                <w:spacing w:val="-4"/>
                <w:sz w:val="21"/>
              </w:rPr>
              <w:t>0.17</w:t>
            </w:r>
          </w:p>
        </w:tc>
      </w:tr>
      <w:tr w14:paraId="54932BE3" w14:textId="77777777">
        <w:tblPrEx>
          <w:tblW w:w="0" w:type="auto"/>
          <w:tblInd w:w="482" w:type="dxa"/>
          <w:tblLayout w:type="fixed"/>
          <w:tblCellMar>
            <w:left w:w="0" w:type="dxa"/>
            <w:right w:w="0" w:type="dxa"/>
          </w:tblCellMar>
          <w:tblLook w:val="01E0"/>
        </w:tblPrEx>
        <w:trPr>
          <w:trHeight w:val="286"/>
        </w:trPr>
        <w:tc>
          <w:tcPr>
            <w:tcW w:w="4887" w:type="dxa"/>
          </w:tcPr>
          <w:p w:rsidR="003F5784" w14:paraId="0E3F9835" w14:textId="77777777">
            <w:pPr>
              <w:pStyle w:val="TableParagraph"/>
              <w:ind w:left="120"/>
              <w:jc w:val="left"/>
              <w:rPr>
                <w:sz w:val="21"/>
              </w:rPr>
            </w:pPr>
            <w:r>
              <w:rPr>
                <w:spacing w:val="-2"/>
                <w:sz w:val="21"/>
              </w:rPr>
              <w:t>Arizona</w:t>
            </w:r>
          </w:p>
        </w:tc>
        <w:tc>
          <w:tcPr>
            <w:tcW w:w="1332" w:type="dxa"/>
          </w:tcPr>
          <w:p w:rsidR="003F5784" w14:paraId="38BEEEDD" w14:textId="77777777">
            <w:pPr>
              <w:pStyle w:val="TableParagraph"/>
              <w:ind w:right="127"/>
              <w:rPr>
                <w:sz w:val="21"/>
              </w:rPr>
            </w:pPr>
            <w:r>
              <w:rPr>
                <w:spacing w:val="-2"/>
                <w:sz w:val="21"/>
              </w:rPr>
              <w:t>92.25</w:t>
            </w:r>
          </w:p>
        </w:tc>
        <w:tc>
          <w:tcPr>
            <w:tcW w:w="1614" w:type="dxa"/>
          </w:tcPr>
          <w:p w:rsidR="003F5784" w14:paraId="0FDE6450" w14:textId="77777777">
            <w:pPr>
              <w:pStyle w:val="TableParagraph"/>
              <w:ind w:right="126"/>
              <w:rPr>
                <w:sz w:val="21"/>
              </w:rPr>
            </w:pPr>
            <w:r>
              <w:rPr>
                <w:spacing w:val="-4"/>
                <w:sz w:val="21"/>
              </w:rPr>
              <w:t>0.90</w:t>
            </w:r>
          </w:p>
        </w:tc>
        <w:tc>
          <w:tcPr>
            <w:tcW w:w="1747" w:type="dxa"/>
          </w:tcPr>
          <w:p w:rsidR="003F5784" w14:paraId="61BB043D" w14:textId="77777777">
            <w:pPr>
              <w:pStyle w:val="TableParagraph"/>
              <w:ind w:right="260"/>
              <w:rPr>
                <w:sz w:val="21"/>
              </w:rPr>
            </w:pPr>
            <w:r>
              <w:rPr>
                <w:spacing w:val="-4"/>
                <w:sz w:val="21"/>
              </w:rPr>
              <w:t>0.41</w:t>
            </w:r>
          </w:p>
        </w:tc>
        <w:tc>
          <w:tcPr>
            <w:tcW w:w="1187" w:type="dxa"/>
          </w:tcPr>
          <w:p w:rsidR="003F5784" w14:paraId="5E9E7452" w14:textId="77777777">
            <w:pPr>
              <w:pStyle w:val="TableParagraph"/>
              <w:ind w:right="128"/>
              <w:rPr>
                <w:sz w:val="21"/>
              </w:rPr>
            </w:pPr>
            <w:r>
              <w:rPr>
                <w:spacing w:val="-2"/>
                <w:sz w:val="21"/>
              </w:rPr>
              <w:t>89.78</w:t>
            </w:r>
          </w:p>
        </w:tc>
        <w:tc>
          <w:tcPr>
            <w:tcW w:w="1615" w:type="dxa"/>
          </w:tcPr>
          <w:p w:rsidR="003F5784" w14:paraId="7FE157A9" w14:textId="77777777">
            <w:pPr>
              <w:pStyle w:val="TableParagraph"/>
              <w:ind w:right="128"/>
              <w:rPr>
                <w:sz w:val="21"/>
              </w:rPr>
            </w:pPr>
            <w:r>
              <w:rPr>
                <w:spacing w:val="-4"/>
                <w:sz w:val="21"/>
              </w:rPr>
              <w:t>1.56</w:t>
            </w:r>
          </w:p>
        </w:tc>
        <w:tc>
          <w:tcPr>
            <w:tcW w:w="1605" w:type="dxa"/>
          </w:tcPr>
          <w:p w:rsidR="003F5784" w14:paraId="02ECE17D" w14:textId="77777777">
            <w:pPr>
              <w:pStyle w:val="TableParagraph"/>
              <w:ind w:right="120"/>
              <w:rPr>
                <w:sz w:val="21"/>
              </w:rPr>
            </w:pPr>
            <w:r>
              <w:rPr>
                <w:spacing w:val="-4"/>
                <w:sz w:val="21"/>
              </w:rPr>
              <w:t>0.26</w:t>
            </w:r>
          </w:p>
        </w:tc>
      </w:tr>
      <w:tr w14:paraId="246E559B" w14:textId="77777777">
        <w:tblPrEx>
          <w:tblW w:w="0" w:type="auto"/>
          <w:tblInd w:w="482" w:type="dxa"/>
          <w:tblLayout w:type="fixed"/>
          <w:tblCellMar>
            <w:left w:w="0" w:type="dxa"/>
            <w:right w:w="0" w:type="dxa"/>
          </w:tblCellMar>
          <w:tblLook w:val="01E0"/>
        </w:tblPrEx>
        <w:trPr>
          <w:trHeight w:val="286"/>
        </w:trPr>
        <w:tc>
          <w:tcPr>
            <w:tcW w:w="4887" w:type="dxa"/>
          </w:tcPr>
          <w:p w:rsidR="003F5784" w14:paraId="2D077524" w14:textId="77777777">
            <w:pPr>
              <w:pStyle w:val="TableParagraph"/>
              <w:ind w:left="120"/>
              <w:jc w:val="left"/>
              <w:rPr>
                <w:sz w:val="21"/>
              </w:rPr>
            </w:pPr>
            <w:r>
              <w:rPr>
                <w:spacing w:val="-2"/>
                <w:sz w:val="21"/>
              </w:rPr>
              <w:t>Arkansas</w:t>
            </w:r>
          </w:p>
        </w:tc>
        <w:tc>
          <w:tcPr>
            <w:tcW w:w="1332" w:type="dxa"/>
          </w:tcPr>
          <w:p w:rsidR="003F5784" w14:paraId="1225B01C" w14:textId="77777777">
            <w:pPr>
              <w:pStyle w:val="TableParagraph"/>
              <w:ind w:right="127"/>
              <w:rPr>
                <w:sz w:val="21"/>
              </w:rPr>
            </w:pPr>
            <w:r>
              <w:rPr>
                <w:spacing w:val="-2"/>
                <w:sz w:val="21"/>
              </w:rPr>
              <w:t>93.87</w:t>
            </w:r>
          </w:p>
        </w:tc>
        <w:tc>
          <w:tcPr>
            <w:tcW w:w="1614" w:type="dxa"/>
          </w:tcPr>
          <w:p w:rsidR="003F5784" w14:paraId="4AE1E755" w14:textId="77777777">
            <w:pPr>
              <w:pStyle w:val="TableParagraph"/>
              <w:ind w:right="126"/>
              <w:rPr>
                <w:sz w:val="21"/>
              </w:rPr>
            </w:pPr>
            <w:r>
              <w:rPr>
                <w:spacing w:val="-4"/>
                <w:sz w:val="21"/>
              </w:rPr>
              <w:t>1.35</w:t>
            </w:r>
          </w:p>
        </w:tc>
        <w:tc>
          <w:tcPr>
            <w:tcW w:w="1747" w:type="dxa"/>
          </w:tcPr>
          <w:p w:rsidR="003F5784" w14:paraId="57747474" w14:textId="77777777">
            <w:pPr>
              <w:pStyle w:val="TableParagraph"/>
              <w:ind w:right="260"/>
              <w:rPr>
                <w:sz w:val="21"/>
              </w:rPr>
            </w:pPr>
            <w:r>
              <w:rPr>
                <w:spacing w:val="-4"/>
                <w:sz w:val="21"/>
              </w:rPr>
              <w:t>0.38</w:t>
            </w:r>
          </w:p>
        </w:tc>
        <w:tc>
          <w:tcPr>
            <w:tcW w:w="1187" w:type="dxa"/>
          </w:tcPr>
          <w:p w:rsidR="003F5784" w14:paraId="29A47868" w14:textId="77777777">
            <w:pPr>
              <w:pStyle w:val="TableParagraph"/>
              <w:ind w:right="128"/>
              <w:rPr>
                <w:sz w:val="21"/>
              </w:rPr>
            </w:pPr>
            <w:r>
              <w:rPr>
                <w:spacing w:val="-2"/>
                <w:sz w:val="21"/>
              </w:rPr>
              <w:t>91.43</w:t>
            </w:r>
          </w:p>
        </w:tc>
        <w:tc>
          <w:tcPr>
            <w:tcW w:w="1615" w:type="dxa"/>
          </w:tcPr>
          <w:p w:rsidR="003F5784" w14:paraId="25AC07B2" w14:textId="77777777">
            <w:pPr>
              <w:pStyle w:val="TableParagraph"/>
              <w:ind w:right="128"/>
              <w:rPr>
                <w:sz w:val="21"/>
              </w:rPr>
            </w:pPr>
            <w:r>
              <w:rPr>
                <w:spacing w:val="-4"/>
                <w:sz w:val="21"/>
              </w:rPr>
              <w:t>1.19</w:t>
            </w:r>
          </w:p>
        </w:tc>
        <w:tc>
          <w:tcPr>
            <w:tcW w:w="1605" w:type="dxa"/>
          </w:tcPr>
          <w:p w:rsidR="003F5784" w14:paraId="53B0104E" w14:textId="77777777">
            <w:pPr>
              <w:pStyle w:val="TableParagraph"/>
              <w:ind w:right="120"/>
              <w:rPr>
                <w:sz w:val="21"/>
              </w:rPr>
            </w:pPr>
            <w:r>
              <w:rPr>
                <w:spacing w:val="-4"/>
                <w:sz w:val="21"/>
              </w:rPr>
              <w:t>0.55</w:t>
            </w:r>
          </w:p>
        </w:tc>
      </w:tr>
      <w:tr w14:paraId="7209B10E" w14:textId="77777777">
        <w:tblPrEx>
          <w:tblW w:w="0" w:type="auto"/>
          <w:tblInd w:w="482" w:type="dxa"/>
          <w:tblLayout w:type="fixed"/>
          <w:tblCellMar>
            <w:left w:w="0" w:type="dxa"/>
            <w:right w:w="0" w:type="dxa"/>
          </w:tblCellMar>
          <w:tblLook w:val="01E0"/>
        </w:tblPrEx>
        <w:trPr>
          <w:trHeight w:val="286"/>
        </w:trPr>
        <w:tc>
          <w:tcPr>
            <w:tcW w:w="4887" w:type="dxa"/>
          </w:tcPr>
          <w:p w:rsidR="003F5784" w14:paraId="37D6E9E9" w14:textId="77777777">
            <w:pPr>
              <w:pStyle w:val="TableParagraph"/>
              <w:ind w:left="120"/>
              <w:jc w:val="left"/>
              <w:rPr>
                <w:sz w:val="21"/>
              </w:rPr>
            </w:pPr>
            <w:r>
              <w:rPr>
                <w:spacing w:val="-2"/>
                <w:sz w:val="21"/>
              </w:rPr>
              <w:t>California–Los</w:t>
            </w:r>
            <w:r>
              <w:rPr>
                <w:spacing w:val="3"/>
                <w:sz w:val="21"/>
              </w:rPr>
              <w:t xml:space="preserve"> </w:t>
            </w:r>
            <w:r>
              <w:rPr>
                <w:spacing w:val="-2"/>
                <w:sz w:val="21"/>
              </w:rPr>
              <w:t>Angeles</w:t>
            </w:r>
          </w:p>
        </w:tc>
        <w:tc>
          <w:tcPr>
            <w:tcW w:w="1332" w:type="dxa"/>
          </w:tcPr>
          <w:p w:rsidR="003F5784" w14:paraId="4AD857E0" w14:textId="77777777">
            <w:pPr>
              <w:pStyle w:val="TableParagraph"/>
              <w:ind w:right="127"/>
              <w:rPr>
                <w:sz w:val="21"/>
              </w:rPr>
            </w:pPr>
            <w:r>
              <w:rPr>
                <w:spacing w:val="-2"/>
                <w:sz w:val="21"/>
              </w:rPr>
              <w:t>92.38</w:t>
            </w:r>
          </w:p>
        </w:tc>
        <w:tc>
          <w:tcPr>
            <w:tcW w:w="1614" w:type="dxa"/>
          </w:tcPr>
          <w:p w:rsidR="003F5784" w14:paraId="68B00A1C" w14:textId="77777777">
            <w:pPr>
              <w:pStyle w:val="TableParagraph"/>
              <w:ind w:right="126"/>
              <w:rPr>
                <w:sz w:val="21"/>
              </w:rPr>
            </w:pPr>
            <w:r>
              <w:rPr>
                <w:spacing w:val="-4"/>
                <w:sz w:val="21"/>
              </w:rPr>
              <w:t>1.20</w:t>
            </w:r>
          </w:p>
        </w:tc>
        <w:tc>
          <w:tcPr>
            <w:tcW w:w="1747" w:type="dxa"/>
          </w:tcPr>
          <w:p w:rsidR="003F5784" w14:paraId="4480B6ED" w14:textId="77777777">
            <w:pPr>
              <w:pStyle w:val="TableParagraph"/>
              <w:ind w:right="260"/>
              <w:rPr>
                <w:sz w:val="21"/>
              </w:rPr>
            </w:pPr>
            <w:r>
              <w:rPr>
                <w:spacing w:val="-4"/>
                <w:sz w:val="21"/>
              </w:rPr>
              <w:t>1.59</w:t>
            </w:r>
          </w:p>
        </w:tc>
        <w:tc>
          <w:tcPr>
            <w:tcW w:w="1187" w:type="dxa"/>
          </w:tcPr>
          <w:p w:rsidR="003F5784" w14:paraId="18F68B60" w14:textId="77777777">
            <w:pPr>
              <w:pStyle w:val="TableParagraph"/>
              <w:ind w:right="128"/>
              <w:rPr>
                <w:sz w:val="21"/>
              </w:rPr>
            </w:pPr>
            <w:r>
              <w:rPr>
                <w:spacing w:val="-2"/>
                <w:sz w:val="21"/>
              </w:rPr>
              <w:t>89.78</w:t>
            </w:r>
          </w:p>
        </w:tc>
        <w:tc>
          <w:tcPr>
            <w:tcW w:w="1615" w:type="dxa"/>
          </w:tcPr>
          <w:p w:rsidR="003F5784" w14:paraId="454D9D38" w14:textId="77777777">
            <w:pPr>
              <w:pStyle w:val="TableParagraph"/>
              <w:ind w:right="128"/>
              <w:rPr>
                <w:sz w:val="21"/>
              </w:rPr>
            </w:pPr>
            <w:r>
              <w:rPr>
                <w:spacing w:val="-4"/>
                <w:sz w:val="21"/>
              </w:rPr>
              <w:t>1.47</w:t>
            </w:r>
          </w:p>
        </w:tc>
        <w:tc>
          <w:tcPr>
            <w:tcW w:w="1605" w:type="dxa"/>
          </w:tcPr>
          <w:p w:rsidR="003F5784" w14:paraId="4D9541CA" w14:textId="77777777">
            <w:pPr>
              <w:pStyle w:val="TableParagraph"/>
              <w:ind w:right="120"/>
              <w:rPr>
                <w:sz w:val="21"/>
              </w:rPr>
            </w:pPr>
            <w:r>
              <w:rPr>
                <w:spacing w:val="-4"/>
                <w:sz w:val="21"/>
              </w:rPr>
              <w:t>1.33</w:t>
            </w:r>
          </w:p>
        </w:tc>
      </w:tr>
      <w:tr w14:paraId="4FD556D3" w14:textId="77777777">
        <w:tblPrEx>
          <w:tblW w:w="0" w:type="auto"/>
          <w:tblInd w:w="482" w:type="dxa"/>
          <w:tblLayout w:type="fixed"/>
          <w:tblCellMar>
            <w:left w:w="0" w:type="dxa"/>
            <w:right w:w="0" w:type="dxa"/>
          </w:tblCellMar>
          <w:tblLook w:val="01E0"/>
        </w:tblPrEx>
        <w:trPr>
          <w:trHeight w:val="286"/>
        </w:trPr>
        <w:tc>
          <w:tcPr>
            <w:tcW w:w="4887" w:type="dxa"/>
          </w:tcPr>
          <w:p w:rsidR="003F5784" w14:paraId="78DA5BA5" w14:textId="77777777">
            <w:pPr>
              <w:pStyle w:val="TableParagraph"/>
              <w:ind w:left="120"/>
              <w:jc w:val="left"/>
              <w:rPr>
                <w:sz w:val="21"/>
              </w:rPr>
            </w:pPr>
            <w:r>
              <w:rPr>
                <w:spacing w:val="-2"/>
                <w:sz w:val="21"/>
              </w:rPr>
              <w:t>California–San</w:t>
            </w:r>
            <w:r>
              <w:rPr>
                <w:spacing w:val="14"/>
                <w:sz w:val="21"/>
              </w:rPr>
              <w:t xml:space="preserve"> </w:t>
            </w:r>
            <w:r>
              <w:rPr>
                <w:spacing w:val="-2"/>
                <w:sz w:val="21"/>
              </w:rPr>
              <w:t>Diego</w:t>
            </w:r>
          </w:p>
        </w:tc>
        <w:tc>
          <w:tcPr>
            <w:tcW w:w="1332" w:type="dxa"/>
          </w:tcPr>
          <w:p w:rsidR="003F5784" w14:paraId="6BFAC8FE" w14:textId="77777777">
            <w:pPr>
              <w:pStyle w:val="TableParagraph"/>
              <w:ind w:right="127"/>
              <w:rPr>
                <w:sz w:val="21"/>
              </w:rPr>
            </w:pPr>
            <w:r>
              <w:rPr>
                <w:spacing w:val="-2"/>
                <w:sz w:val="21"/>
              </w:rPr>
              <w:t>88.59</w:t>
            </w:r>
          </w:p>
        </w:tc>
        <w:tc>
          <w:tcPr>
            <w:tcW w:w="1614" w:type="dxa"/>
          </w:tcPr>
          <w:p w:rsidR="003F5784" w14:paraId="0EFDA273" w14:textId="77777777">
            <w:pPr>
              <w:pStyle w:val="TableParagraph"/>
              <w:ind w:right="126"/>
              <w:rPr>
                <w:sz w:val="21"/>
              </w:rPr>
            </w:pPr>
            <w:r>
              <w:rPr>
                <w:spacing w:val="-4"/>
                <w:sz w:val="21"/>
              </w:rPr>
              <w:t>1.77</w:t>
            </w:r>
          </w:p>
        </w:tc>
        <w:tc>
          <w:tcPr>
            <w:tcW w:w="1747" w:type="dxa"/>
          </w:tcPr>
          <w:p w:rsidR="003F5784" w14:paraId="334DD817" w14:textId="77777777">
            <w:pPr>
              <w:pStyle w:val="TableParagraph"/>
              <w:ind w:right="260"/>
              <w:rPr>
                <w:sz w:val="21"/>
              </w:rPr>
            </w:pPr>
            <w:r>
              <w:rPr>
                <w:spacing w:val="-4"/>
                <w:sz w:val="21"/>
              </w:rPr>
              <w:t>1.88</w:t>
            </w:r>
          </w:p>
        </w:tc>
        <w:tc>
          <w:tcPr>
            <w:tcW w:w="1187" w:type="dxa"/>
          </w:tcPr>
          <w:p w:rsidR="003F5784" w14:paraId="4C67BAAE" w14:textId="77777777">
            <w:pPr>
              <w:pStyle w:val="TableParagraph"/>
              <w:ind w:right="128"/>
              <w:rPr>
                <w:sz w:val="21"/>
              </w:rPr>
            </w:pPr>
            <w:r>
              <w:rPr>
                <w:spacing w:val="-2"/>
                <w:sz w:val="21"/>
              </w:rPr>
              <w:t>88.48</w:t>
            </w:r>
          </w:p>
        </w:tc>
        <w:tc>
          <w:tcPr>
            <w:tcW w:w="1615" w:type="dxa"/>
          </w:tcPr>
          <w:p w:rsidR="003F5784" w14:paraId="42717443" w14:textId="77777777">
            <w:pPr>
              <w:pStyle w:val="TableParagraph"/>
              <w:ind w:right="128"/>
              <w:rPr>
                <w:sz w:val="21"/>
              </w:rPr>
            </w:pPr>
            <w:r>
              <w:rPr>
                <w:spacing w:val="-4"/>
                <w:sz w:val="21"/>
              </w:rPr>
              <w:t>1.83</w:t>
            </w:r>
          </w:p>
        </w:tc>
        <w:tc>
          <w:tcPr>
            <w:tcW w:w="1605" w:type="dxa"/>
          </w:tcPr>
          <w:p w:rsidR="003F5784" w14:paraId="1585FA05" w14:textId="77777777">
            <w:pPr>
              <w:pStyle w:val="TableParagraph"/>
              <w:ind w:right="120"/>
              <w:rPr>
                <w:sz w:val="21"/>
              </w:rPr>
            </w:pPr>
            <w:r>
              <w:rPr>
                <w:spacing w:val="-4"/>
                <w:sz w:val="21"/>
              </w:rPr>
              <w:t>0.51</w:t>
            </w:r>
          </w:p>
        </w:tc>
      </w:tr>
      <w:tr w14:paraId="1753D452" w14:textId="77777777">
        <w:tblPrEx>
          <w:tblW w:w="0" w:type="auto"/>
          <w:tblInd w:w="482" w:type="dxa"/>
          <w:tblLayout w:type="fixed"/>
          <w:tblCellMar>
            <w:left w:w="0" w:type="dxa"/>
            <w:right w:w="0" w:type="dxa"/>
          </w:tblCellMar>
          <w:tblLook w:val="01E0"/>
        </w:tblPrEx>
        <w:trPr>
          <w:trHeight w:val="286"/>
        </w:trPr>
        <w:tc>
          <w:tcPr>
            <w:tcW w:w="4887" w:type="dxa"/>
          </w:tcPr>
          <w:p w:rsidR="003F5784" w14:paraId="4670C1A8" w14:textId="77777777">
            <w:pPr>
              <w:pStyle w:val="TableParagraph"/>
              <w:ind w:left="120"/>
              <w:jc w:val="left"/>
              <w:rPr>
                <w:sz w:val="21"/>
              </w:rPr>
            </w:pPr>
            <w:r>
              <w:rPr>
                <w:spacing w:val="-2"/>
                <w:sz w:val="21"/>
              </w:rPr>
              <w:t>California</w:t>
            </w:r>
          </w:p>
        </w:tc>
        <w:tc>
          <w:tcPr>
            <w:tcW w:w="1332" w:type="dxa"/>
          </w:tcPr>
          <w:p w:rsidR="003F5784" w14:paraId="6EC21E2C" w14:textId="77777777">
            <w:pPr>
              <w:pStyle w:val="TableParagraph"/>
              <w:ind w:right="127"/>
              <w:rPr>
                <w:sz w:val="21"/>
              </w:rPr>
            </w:pPr>
            <w:r>
              <w:rPr>
                <w:spacing w:val="-2"/>
                <w:sz w:val="21"/>
              </w:rPr>
              <w:t>91.45</w:t>
            </w:r>
          </w:p>
        </w:tc>
        <w:tc>
          <w:tcPr>
            <w:tcW w:w="1614" w:type="dxa"/>
          </w:tcPr>
          <w:p w:rsidR="003F5784" w14:paraId="280C7D84" w14:textId="77777777">
            <w:pPr>
              <w:pStyle w:val="TableParagraph"/>
              <w:ind w:right="126"/>
              <w:rPr>
                <w:sz w:val="21"/>
              </w:rPr>
            </w:pPr>
            <w:r>
              <w:rPr>
                <w:spacing w:val="-4"/>
                <w:sz w:val="21"/>
              </w:rPr>
              <w:t>1.93</w:t>
            </w:r>
          </w:p>
        </w:tc>
        <w:tc>
          <w:tcPr>
            <w:tcW w:w="1747" w:type="dxa"/>
          </w:tcPr>
          <w:p w:rsidR="003F5784" w14:paraId="0237EA6D" w14:textId="77777777">
            <w:pPr>
              <w:pStyle w:val="TableParagraph"/>
              <w:ind w:right="260"/>
              <w:rPr>
                <w:sz w:val="21"/>
              </w:rPr>
            </w:pPr>
            <w:r>
              <w:rPr>
                <w:spacing w:val="-4"/>
                <w:sz w:val="21"/>
              </w:rPr>
              <w:t>1.09</w:t>
            </w:r>
          </w:p>
        </w:tc>
        <w:tc>
          <w:tcPr>
            <w:tcW w:w="1187" w:type="dxa"/>
          </w:tcPr>
          <w:p w:rsidR="003F5784" w14:paraId="3629174A" w14:textId="77777777">
            <w:pPr>
              <w:pStyle w:val="TableParagraph"/>
              <w:ind w:right="128"/>
              <w:rPr>
                <w:sz w:val="21"/>
              </w:rPr>
            </w:pPr>
            <w:r>
              <w:rPr>
                <w:spacing w:val="-2"/>
                <w:sz w:val="21"/>
              </w:rPr>
              <w:t>88.09</w:t>
            </w:r>
          </w:p>
        </w:tc>
        <w:tc>
          <w:tcPr>
            <w:tcW w:w="1615" w:type="dxa"/>
          </w:tcPr>
          <w:p w:rsidR="003F5784" w14:paraId="616F347F" w14:textId="77777777">
            <w:pPr>
              <w:pStyle w:val="TableParagraph"/>
              <w:ind w:right="128"/>
              <w:rPr>
                <w:sz w:val="21"/>
              </w:rPr>
            </w:pPr>
            <w:r>
              <w:rPr>
                <w:spacing w:val="-4"/>
                <w:sz w:val="21"/>
              </w:rPr>
              <w:t>1.70</w:t>
            </w:r>
          </w:p>
        </w:tc>
        <w:tc>
          <w:tcPr>
            <w:tcW w:w="1605" w:type="dxa"/>
          </w:tcPr>
          <w:p w:rsidR="003F5784" w14:paraId="023DC8FA" w14:textId="77777777">
            <w:pPr>
              <w:pStyle w:val="TableParagraph"/>
              <w:ind w:right="120"/>
              <w:rPr>
                <w:sz w:val="21"/>
              </w:rPr>
            </w:pPr>
            <w:r>
              <w:rPr>
                <w:spacing w:val="-4"/>
                <w:sz w:val="21"/>
              </w:rPr>
              <w:t>1.59</w:t>
            </w:r>
          </w:p>
        </w:tc>
      </w:tr>
      <w:tr w14:paraId="4F4CD22E" w14:textId="77777777">
        <w:tblPrEx>
          <w:tblW w:w="0" w:type="auto"/>
          <w:tblInd w:w="482" w:type="dxa"/>
          <w:tblLayout w:type="fixed"/>
          <w:tblCellMar>
            <w:left w:w="0" w:type="dxa"/>
            <w:right w:w="0" w:type="dxa"/>
          </w:tblCellMar>
          <w:tblLook w:val="01E0"/>
        </w:tblPrEx>
        <w:trPr>
          <w:trHeight w:val="286"/>
        </w:trPr>
        <w:tc>
          <w:tcPr>
            <w:tcW w:w="4887" w:type="dxa"/>
          </w:tcPr>
          <w:p w:rsidR="003F5784" w14:paraId="06051BCC" w14:textId="77777777">
            <w:pPr>
              <w:pStyle w:val="TableParagraph"/>
              <w:ind w:left="120"/>
              <w:jc w:val="left"/>
              <w:rPr>
                <w:sz w:val="21"/>
              </w:rPr>
            </w:pPr>
            <w:r>
              <w:rPr>
                <w:spacing w:val="-2"/>
                <w:sz w:val="21"/>
              </w:rPr>
              <w:t>Colorado–Denver</w:t>
            </w:r>
          </w:p>
        </w:tc>
        <w:tc>
          <w:tcPr>
            <w:tcW w:w="1332" w:type="dxa"/>
          </w:tcPr>
          <w:p w:rsidR="003F5784" w14:paraId="0D08089A" w14:textId="77777777">
            <w:pPr>
              <w:pStyle w:val="TableParagraph"/>
              <w:ind w:right="127"/>
              <w:rPr>
                <w:sz w:val="21"/>
              </w:rPr>
            </w:pPr>
            <w:r>
              <w:rPr>
                <w:spacing w:val="-2"/>
                <w:sz w:val="21"/>
              </w:rPr>
              <w:t>90.68</w:t>
            </w:r>
          </w:p>
        </w:tc>
        <w:tc>
          <w:tcPr>
            <w:tcW w:w="1614" w:type="dxa"/>
          </w:tcPr>
          <w:p w:rsidR="003F5784" w14:paraId="083EA4DC" w14:textId="77777777">
            <w:pPr>
              <w:pStyle w:val="TableParagraph"/>
              <w:ind w:right="126"/>
              <w:rPr>
                <w:sz w:val="21"/>
              </w:rPr>
            </w:pPr>
            <w:r>
              <w:rPr>
                <w:spacing w:val="-4"/>
                <w:sz w:val="21"/>
              </w:rPr>
              <w:t>1.52</w:t>
            </w:r>
          </w:p>
        </w:tc>
        <w:tc>
          <w:tcPr>
            <w:tcW w:w="1747" w:type="dxa"/>
          </w:tcPr>
          <w:p w:rsidR="003F5784" w14:paraId="66474624" w14:textId="77777777">
            <w:pPr>
              <w:pStyle w:val="TableParagraph"/>
              <w:ind w:right="260"/>
              <w:rPr>
                <w:sz w:val="21"/>
              </w:rPr>
            </w:pPr>
            <w:r>
              <w:rPr>
                <w:spacing w:val="-4"/>
                <w:sz w:val="21"/>
              </w:rPr>
              <w:t>2.43</w:t>
            </w:r>
          </w:p>
        </w:tc>
        <w:tc>
          <w:tcPr>
            <w:tcW w:w="1187" w:type="dxa"/>
          </w:tcPr>
          <w:p w:rsidR="003F5784" w14:paraId="575AB216" w14:textId="77777777">
            <w:pPr>
              <w:pStyle w:val="TableParagraph"/>
              <w:ind w:right="128"/>
              <w:rPr>
                <w:sz w:val="21"/>
              </w:rPr>
            </w:pPr>
            <w:r>
              <w:rPr>
                <w:spacing w:val="-2"/>
                <w:sz w:val="21"/>
              </w:rPr>
              <w:t>88.48</w:t>
            </w:r>
          </w:p>
        </w:tc>
        <w:tc>
          <w:tcPr>
            <w:tcW w:w="1615" w:type="dxa"/>
          </w:tcPr>
          <w:p w:rsidR="003F5784" w14:paraId="4D6EDC1E" w14:textId="77777777">
            <w:pPr>
              <w:pStyle w:val="TableParagraph"/>
              <w:ind w:right="128"/>
              <w:rPr>
                <w:sz w:val="21"/>
              </w:rPr>
            </w:pPr>
            <w:r>
              <w:rPr>
                <w:spacing w:val="-4"/>
                <w:sz w:val="21"/>
              </w:rPr>
              <w:t>1.77</w:t>
            </w:r>
          </w:p>
        </w:tc>
        <w:tc>
          <w:tcPr>
            <w:tcW w:w="1605" w:type="dxa"/>
          </w:tcPr>
          <w:p w:rsidR="003F5784" w14:paraId="30FF5AD8" w14:textId="77777777">
            <w:pPr>
              <w:pStyle w:val="TableParagraph"/>
              <w:ind w:right="120"/>
              <w:rPr>
                <w:sz w:val="21"/>
              </w:rPr>
            </w:pPr>
            <w:r>
              <w:rPr>
                <w:spacing w:val="-4"/>
                <w:sz w:val="21"/>
              </w:rPr>
              <w:t>1.52</w:t>
            </w:r>
          </w:p>
        </w:tc>
      </w:tr>
      <w:tr w14:paraId="14BABD36" w14:textId="77777777">
        <w:tblPrEx>
          <w:tblW w:w="0" w:type="auto"/>
          <w:tblInd w:w="482" w:type="dxa"/>
          <w:tblLayout w:type="fixed"/>
          <w:tblCellMar>
            <w:left w:w="0" w:type="dxa"/>
            <w:right w:w="0" w:type="dxa"/>
          </w:tblCellMar>
          <w:tblLook w:val="01E0"/>
        </w:tblPrEx>
        <w:trPr>
          <w:trHeight w:val="286"/>
        </w:trPr>
        <w:tc>
          <w:tcPr>
            <w:tcW w:w="4887" w:type="dxa"/>
          </w:tcPr>
          <w:p w:rsidR="003F5784" w14:paraId="51281403" w14:textId="77777777">
            <w:pPr>
              <w:pStyle w:val="TableParagraph"/>
              <w:ind w:left="120"/>
              <w:jc w:val="left"/>
              <w:rPr>
                <w:sz w:val="21"/>
              </w:rPr>
            </w:pPr>
            <w:r>
              <w:rPr>
                <w:spacing w:val="-2"/>
                <w:sz w:val="21"/>
              </w:rPr>
              <w:t>Colorado</w:t>
            </w:r>
          </w:p>
        </w:tc>
        <w:tc>
          <w:tcPr>
            <w:tcW w:w="1332" w:type="dxa"/>
          </w:tcPr>
          <w:p w:rsidR="003F5784" w14:paraId="0994A71C" w14:textId="77777777">
            <w:pPr>
              <w:pStyle w:val="TableParagraph"/>
              <w:ind w:right="127"/>
              <w:rPr>
                <w:sz w:val="21"/>
              </w:rPr>
            </w:pPr>
            <w:r>
              <w:rPr>
                <w:spacing w:val="-2"/>
                <w:sz w:val="21"/>
              </w:rPr>
              <w:t>91.37</w:t>
            </w:r>
          </w:p>
        </w:tc>
        <w:tc>
          <w:tcPr>
            <w:tcW w:w="1614" w:type="dxa"/>
          </w:tcPr>
          <w:p w:rsidR="003F5784" w14:paraId="26DBA5DB" w14:textId="77777777">
            <w:pPr>
              <w:pStyle w:val="TableParagraph"/>
              <w:ind w:right="126"/>
              <w:rPr>
                <w:sz w:val="21"/>
              </w:rPr>
            </w:pPr>
            <w:r>
              <w:rPr>
                <w:spacing w:val="-4"/>
                <w:sz w:val="21"/>
              </w:rPr>
              <w:t>1.94</w:t>
            </w:r>
          </w:p>
        </w:tc>
        <w:tc>
          <w:tcPr>
            <w:tcW w:w="1747" w:type="dxa"/>
          </w:tcPr>
          <w:p w:rsidR="003F5784" w14:paraId="53767D60" w14:textId="77777777">
            <w:pPr>
              <w:pStyle w:val="TableParagraph"/>
              <w:ind w:right="260"/>
              <w:rPr>
                <w:sz w:val="21"/>
              </w:rPr>
            </w:pPr>
            <w:r>
              <w:rPr>
                <w:spacing w:val="-4"/>
                <w:sz w:val="21"/>
              </w:rPr>
              <w:t>1.17</w:t>
            </w:r>
          </w:p>
        </w:tc>
        <w:tc>
          <w:tcPr>
            <w:tcW w:w="1187" w:type="dxa"/>
          </w:tcPr>
          <w:p w:rsidR="003F5784" w14:paraId="03B4BC45" w14:textId="77777777">
            <w:pPr>
              <w:pStyle w:val="TableParagraph"/>
              <w:ind w:right="128"/>
              <w:rPr>
                <w:sz w:val="21"/>
              </w:rPr>
            </w:pPr>
            <w:r>
              <w:rPr>
                <w:spacing w:val="-2"/>
                <w:sz w:val="21"/>
              </w:rPr>
              <w:t>86.94</w:t>
            </w:r>
          </w:p>
        </w:tc>
        <w:tc>
          <w:tcPr>
            <w:tcW w:w="1615" w:type="dxa"/>
          </w:tcPr>
          <w:p w:rsidR="003F5784" w14:paraId="47A7683A" w14:textId="77777777">
            <w:pPr>
              <w:pStyle w:val="TableParagraph"/>
              <w:ind w:right="128"/>
              <w:rPr>
                <w:sz w:val="21"/>
              </w:rPr>
            </w:pPr>
            <w:r>
              <w:rPr>
                <w:spacing w:val="-4"/>
                <w:sz w:val="21"/>
              </w:rPr>
              <w:t>1.29</w:t>
            </w:r>
          </w:p>
        </w:tc>
        <w:tc>
          <w:tcPr>
            <w:tcW w:w="1605" w:type="dxa"/>
          </w:tcPr>
          <w:p w:rsidR="003F5784" w14:paraId="7C5645A5" w14:textId="77777777">
            <w:pPr>
              <w:pStyle w:val="TableParagraph"/>
              <w:ind w:right="120"/>
              <w:rPr>
                <w:sz w:val="21"/>
              </w:rPr>
            </w:pPr>
            <w:r>
              <w:rPr>
                <w:spacing w:val="-4"/>
                <w:sz w:val="21"/>
              </w:rPr>
              <w:t>0.96</w:t>
            </w:r>
          </w:p>
        </w:tc>
      </w:tr>
      <w:tr w14:paraId="45597539" w14:textId="77777777">
        <w:tblPrEx>
          <w:tblW w:w="0" w:type="auto"/>
          <w:tblInd w:w="482" w:type="dxa"/>
          <w:tblLayout w:type="fixed"/>
          <w:tblCellMar>
            <w:left w:w="0" w:type="dxa"/>
            <w:right w:w="0" w:type="dxa"/>
          </w:tblCellMar>
          <w:tblLook w:val="01E0"/>
        </w:tblPrEx>
        <w:trPr>
          <w:trHeight w:val="286"/>
        </w:trPr>
        <w:tc>
          <w:tcPr>
            <w:tcW w:w="4887" w:type="dxa"/>
          </w:tcPr>
          <w:p w:rsidR="003F5784" w14:paraId="5AF9743E" w14:textId="77777777">
            <w:pPr>
              <w:pStyle w:val="TableParagraph"/>
              <w:ind w:left="120"/>
              <w:jc w:val="left"/>
              <w:rPr>
                <w:sz w:val="21"/>
              </w:rPr>
            </w:pPr>
            <w:r>
              <w:rPr>
                <w:spacing w:val="-2"/>
                <w:sz w:val="21"/>
              </w:rPr>
              <w:t>Connecticut</w:t>
            </w:r>
          </w:p>
        </w:tc>
        <w:tc>
          <w:tcPr>
            <w:tcW w:w="1332" w:type="dxa"/>
          </w:tcPr>
          <w:p w:rsidR="003F5784" w14:paraId="2EED4E22" w14:textId="77777777">
            <w:pPr>
              <w:pStyle w:val="TableParagraph"/>
              <w:ind w:right="127"/>
              <w:rPr>
                <w:sz w:val="21"/>
              </w:rPr>
            </w:pPr>
            <w:r>
              <w:rPr>
                <w:spacing w:val="-2"/>
                <w:sz w:val="21"/>
              </w:rPr>
              <w:t>88.93</w:t>
            </w:r>
          </w:p>
        </w:tc>
        <w:tc>
          <w:tcPr>
            <w:tcW w:w="1614" w:type="dxa"/>
          </w:tcPr>
          <w:p w:rsidR="003F5784" w14:paraId="60DB3F7F" w14:textId="77777777">
            <w:pPr>
              <w:pStyle w:val="TableParagraph"/>
              <w:ind w:right="126"/>
              <w:rPr>
                <w:sz w:val="21"/>
              </w:rPr>
            </w:pPr>
            <w:r>
              <w:rPr>
                <w:spacing w:val="-4"/>
                <w:sz w:val="21"/>
              </w:rPr>
              <w:t>1.23</w:t>
            </w:r>
          </w:p>
        </w:tc>
        <w:tc>
          <w:tcPr>
            <w:tcW w:w="1747" w:type="dxa"/>
          </w:tcPr>
          <w:p w:rsidR="003F5784" w14:paraId="561FE079" w14:textId="77777777">
            <w:pPr>
              <w:pStyle w:val="TableParagraph"/>
              <w:ind w:right="260"/>
              <w:rPr>
                <w:sz w:val="21"/>
              </w:rPr>
            </w:pPr>
            <w:r>
              <w:rPr>
                <w:spacing w:val="-4"/>
                <w:sz w:val="21"/>
              </w:rPr>
              <w:t>1.45</w:t>
            </w:r>
          </w:p>
        </w:tc>
        <w:tc>
          <w:tcPr>
            <w:tcW w:w="1187" w:type="dxa"/>
          </w:tcPr>
          <w:p w:rsidR="003F5784" w14:paraId="1FF36D08" w14:textId="77777777">
            <w:pPr>
              <w:pStyle w:val="TableParagraph"/>
              <w:ind w:right="128"/>
              <w:rPr>
                <w:sz w:val="21"/>
              </w:rPr>
            </w:pPr>
            <w:r>
              <w:rPr>
                <w:spacing w:val="-2"/>
                <w:sz w:val="21"/>
              </w:rPr>
              <w:t>88.43</w:t>
            </w:r>
          </w:p>
        </w:tc>
        <w:tc>
          <w:tcPr>
            <w:tcW w:w="1615" w:type="dxa"/>
          </w:tcPr>
          <w:p w:rsidR="003F5784" w14:paraId="58AA9509" w14:textId="77777777">
            <w:pPr>
              <w:pStyle w:val="TableParagraph"/>
              <w:ind w:right="128"/>
              <w:rPr>
                <w:sz w:val="21"/>
              </w:rPr>
            </w:pPr>
            <w:r>
              <w:rPr>
                <w:spacing w:val="-4"/>
                <w:sz w:val="21"/>
              </w:rPr>
              <w:t>1.32</w:t>
            </w:r>
          </w:p>
        </w:tc>
        <w:tc>
          <w:tcPr>
            <w:tcW w:w="1605" w:type="dxa"/>
          </w:tcPr>
          <w:p w:rsidR="003F5784" w14:paraId="23245EE6" w14:textId="77777777">
            <w:pPr>
              <w:pStyle w:val="TableParagraph"/>
              <w:ind w:right="120"/>
              <w:rPr>
                <w:sz w:val="21"/>
              </w:rPr>
            </w:pPr>
            <w:r>
              <w:rPr>
                <w:spacing w:val="-4"/>
                <w:sz w:val="21"/>
              </w:rPr>
              <w:t>0.63</w:t>
            </w:r>
          </w:p>
        </w:tc>
      </w:tr>
      <w:tr w14:paraId="02A30AD0" w14:textId="77777777">
        <w:tblPrEx>
          <w:tblW w:w="0" w:type="auto"/>
          <w:tblInd w:w="482" w:type="dxa"/>
          <w:tblLayout w:type="fixed"/>
          <w:tblCellMar>
            <w:left w:w="0" w:type="dxa"/>
            <w:right w:w="0" w:type="dxa"/>
          </w:tblCellMar>
          <w:tblLook w:val="01E0"/>
        </w:tblPrEx>
        <w:trPr>
          <w:trHeight w:val="286"/>
        </w:trPr>
        <w:tc>
          <w:tcPr>
            <w:tcW w:w="4887" w:type="dxa"/>
          </w:tcPr>
          <w:p w:rsidR="003F5784" w14:paraId="13F2D31E" w14:textId="77777777">
            <w:pPr>
              <w:pStyle w:val="TableParagraph"/>
              <w:ind w:left="120"/>
              <w:jc w:val="left"/>
              <w:rPr>
                <w:sz w:val="21"/>
              </w:rPr>
            </w:pPr>
            <w:r>
              <w:rPr>
                <w:spacing w:val="-2"/>
                <w:sz w:val="21"/>
              </w:rPr>
              <w:t>Delaware</w:t>
            </w:r>
          </w:p>
        </w:tc>
        <w:tc>
          <w:tcPr>
            <w:tcW w:w="1332" w:type="dxa"/>
          </w:tcPr>
          <w:p w:rsidR="003F5784" w14:paraId="6599DD58" w14:textId="77777777">
            <w:pPr>
              <w:pStyle w:val="TableParagraph"/>
              <w:ind w:right="127"/>
              <w:rPr>
                <w:sz w:val="21"/>
              </w:rPr>
            </w:pPr>
            <w:r>
              <w:rPr>
                <w:spacing w:val="-2"/>
                <w:sz w:val="21"/>
              </w:rPr>
              <w:t>89.69</w:t>
            </w:r>
          </w:p>
        </w:tc>
        <w:tc>
          <w:tcPr>
            <w:tcW w:w="1614" w:type="dxa"/>
          </w:tcPr>
          <w:p w:rsidR="003F5784" w14:paraId="5ACD62B1" w14:textId="77777777">
            <w:pPr>
              <w:pStyle w:val="TableParagraph"/>
              <w:ind w:right="126"/>
              <w:rPr>
                <w:sz w:val="21"/>
              </w:rPr>
            </w:pPr>
            <w:r>
              <w:rPr>
                <w:spacing w:val="-4"/>
                <w:sz w:val="21"/>
              </w:rPr>
              <w:t>1.05</w:t>
            </w:r>
          </w:p>
        </w:tc>
        <w:tc>
          <w:tcPr>
            <w:tcW w:w="1747" w:type="dxa"/>
          </w:tcPr>
          <w:p w:rsidR="003F5784" w14:paraId="14500575" w14:textId="77777777">
            <w:pPr>
              <w:pStyle w:val="TableParagraph"/>
              <w:ind w:right="260"/>
              <w:rPr>
                <w:sz w:val="21"/>
              </w:rPr>
            </w:pPr>
            <w:r>
              <w:rPr>
                <w:spacing w:val="-4"/>
                <w:sz w:val="21"/>
              </w:rPr>
              <w:t>0.39</w:t>
            </w:r>
          </w:p>
        </w:tc>
        <w:tc>
          <w:tcPr>
            <w:tcW w:w="1187" w:type="dxa"/>
          </w:tcPr>
          <w:p w:rsidR="003F5784" w14:paraId="5CEE1538" w14:textId="77777777">
            <w:pPr>
              <w:pStyle w:val="TableParagraph"/>
              <w:ind w:right="128"/>
              <w:rPr>
                <w:sz w:val="21"/>
              </w:rPr>
            </w:pPr>
            <w:r>
              <w:rPr>
                <w:spacing w:val="-2"/>
                <w:sz w:val="21"/>
              </w:rPr>
              <w:t>87.58</w:t>
            </w:r>
          </w:p>
        </w:tc>
        <w:tc>
          <w:tcPr>
            <w:tcW w:w="1615" w:type="dxa"/>
          </w:tcPr>
          <w:p w:rsidR="003F5784" w14:paraId="34B0FCA1" w14:textId="77777777">
            <w:pPr>
              <w:pStyle w:val="TableParagraph"/>
              <w:ind w:right="128"/>
              <w:rPr>
                <w:sz w:val="21"/>
              </w:rPr>
            </w:pPr>
            <w:r>
              <w:rPr>
                <w:spacing w:val="-4"/>
                <w:sz w:val="21"/>
              </w:rPr>
              <w:t>1.05</w:t>
            </w:r>
          </w:p>
        </w:tc>
        <w:tc>
          <w:tcPr>
            <w:tcW w:w="1605" w:type="dxa"/>
          </w:tcPr>
          <w:p w:rsidR="003F5784" w14:paraId="04D88CED" w14:textId="77777777">
            <w:pPr>
              <w:pStyle w:val="TableParagraph"/>
              <w:ind w:right="120"/>
              <w:rPr>
                <w:sz w:val="21"/>
              </w:rPr>
            </w:pPr>
            <w:r>
              <w:rPr>
                <w:spacing w:val="-4"/>
                <w:sz w:val="21"/>
              </w:rPr>
              <w:t>0.52</w:t>
            </w:r>
          </w:p>
        </w:tc>
      </w:tr>
      <w:tr w14:paraId="7A6651F4" w14:textId="77777777">
        <w:tblPrEx>
          <w:tblW w:w="0" w:type="auto"/>
          <w:tblInd w:w="482" w:type="dxa"/>
          <w:tblLayout w:type="fixed"/>
          <w:tblCellMar>
            <w:left w:w="0" w:type="dxa"/>
            <w:right w:w="0" w:type="dxa"/>
          </w:tblCellMar>
          <w:tblLook w:val="01E0"/>
        </w:tblPrEx>
        <w:trPr>
          <w:trHeight w:val="286"/>
        </w:trPr>
        <w:tc>
          <w:tcPr>
            <w:tcW w:w="4887" w:type="dxa"/>
          </w:tcPr>
          <w:p w:rsidR="003F5784" w14:paraId="43E26F35" w14:textId="77777777">
            <w:pPr>
              <w:pStyle w:val="TableParagraph"/>
              <w:ind w:left="120"/>
              <w:jc w:val="left"/>
              <w:rPr>
                <w:sz w:val="21"/>
              </w:rPr>
            </w:pPr>
            <w:r>
              <w:rPr>
                <w:spacing w:val="-2"/>
                <w:sz w:val="21"/>
              </w:rPr>
              <w:t>Florida–Duval</w:t>
            </w:r>
            <w:r>
              <w:rPr>
                <w:spacing w:val="12"/>
                <w:sz w:val="21"/>
              </w:rPr>
              <w:t xml:space="preserve"> </w:t>
            </w:r>
            <w:r>
              <w:rPr>
                <w:spacing w:val="-2"/>
                <w:sz w:val="21"/>
              </w:rPr>
              <w:t>County</w:t>
            </w:r>
          </w:p>
        </w:tc>
        <w:tc>
          <w:tcPr>
            <w:tcW w:w="1332" w:type="dxa"/>
          </w:tcPr>
          <w:p w:rsidR="003F5784" w14:paraId="60D10D16" w14:textId="77777777">
            <w:pPr>
              <w:pStyle w:val="TableParagraph"/>
              <w:ind w:right="127"/>
              <w:rPr>
                <w:sz w:val="21"/>
              </w:rPr>
            </w:pPr>
            <w:r>
              <w:rPr>
                <w:spacing w:val="-2"/>
                <w:sz w:val="21"/>
              </w:rPr>
              <w:t>93.11</w:t>
            </w:r>
          </w:p>
        </w:tc>
        <w:tc>
          <w:tcPr>
            <w:tcW w:w="1614" w:type="dxa"/>
          </w:tcPr>
          <w:p w:rsidR="003F5784" w14:paraId="4EEFE4C0" w14:textId="77777777">
            <w:pPr>
              <w:pStyle w:val="TableParagraph"/>
              <w:ind w:right="126"/>
              <w:rPr>
                <w:sz w:val="21"/>
              </w:rPr>
            </w:pPr>
            <w:r>
              <w:rPr>
                <w:spacing w:val="-4"/>
                <w:sz w:val="21"/>
              </w:rPr>
              <w:t>2.08</w:t>
            </w:r>
          </w:p>
        </w:tc>
        <w:tc>
          <w:tcPr>
            <w:tcW w:w="1747" w:type="dxa"/>
          </w:tcPr>
          <w:p w:rsidR="003F5784" w14:paraId="642778D5" w14:textId="77777777">
            <w:pPr>
              <w:pStyle w:val="TableParagraph"/>
              <w:ind w:right="260"/>
              <w:rPr>
                <w:sz w:val="21"/>
              </w:rPr>
            </w:pPr>
            <w:r>
              <w:rPr>
                <w:spacing w:val="-4"/>
                <w:sz w:val="21"/>
              </w:rPr>
              <w:t>0.00</w:t>
            </w:r>
          </w:p>
        </w:tc>
        <w:tc>
          <w:tcPr>
            <w:tcW w:w="1187" w:type="dxa"/>
          </w:tcPr>
          <w:p w:rsidR="003F5784" w14:paraId="59537079" w14:textId="77777777">
            <w:pPr>
              <w:pStyle w:val="TableParagraph"/>
              <w:ind w:right="128"/>
              <w:rPr>
                <w:sz w:val="21"/>
              </w:rPr>
            </w:pPr>
            <w:r>
              <w:rPr>
                <w:spacing w:val="-2"/>
                <w:sz w:val="21"/>
              </w:rPr>
              <w:t>92.24</w:t>
            </w:r>
          </w:p>
        </w:tc>
        <w:tc>
          <w:tcPr>
            <w:tcW w:w="1615" w:type="dxa"/>
          </w:tcPr>
          <w:p w:rsidR="003F5784" w14:paraId="710EBDC7" w14:textId="77777777">
            <w:pPr>
              <w:pStyle w:val="TableParagraph"/>
              <w:ind w:right="128"/>
              <w:rPr>
                <w:sz w:val="21"/>
              </w:rPr>
            </w:pPr>
            <w:r>
              <w:rPr>
                <w:spacing w:val="-4"/>
                <w:sz w:val="21"/>
              </w:rPr>
              <w:t>1.77</w:t>
            </w:r>
          </w:p>
        </w:tc>
        <w:tc>
          <w:tcPr>
            <w:tcW w:w="1605" w:type="dxa"/>
          </w:tcPr>
          <w:p w:rsidR="003F5784" w14:paraId="5D9363BE" w14:textId="77777777">
            <w:pPr>
              <w:pStyle w:val="TableParagraph"/>
              <w:ind w:right="120"/>
              <w:rPr>
                <w:sz w:val="21"/>
              </w:rPr>
            </w:pPr>
            <w:r>
              <w:rPr>
                <w:spacing w:val="-4"/>
                <w:sz w:val="21"/>
              </w:rPr>
              <w:t>0.08</w:t>
            </w:r>
          </w:p>
        </w:tc>
      </w:tr>
      <w:tr w14:paraId="64E122E3" w14:textId="77777777">
        <w:tblPrEx>
          <w:tblW w:w="0" w:type="auto"/>
          <w:tblInd w:w="482" w:type="dxa"/>
          <w:tblLayout w:type="fixed"/>
          <w:tblCellMar>
            <w:left w:w="0" w:type="dxa"/>
            <w:right w:w="0" w:type="dxa"/>
          </w:tblCellMar>
          <w:tblLook w:val="01E0"/>
        </w:tblPrEx>
        <w:trPr>
          <w:trHeight w:val="286"/>
        </w:trPr>
        <w:tc>
          <w:tcPr>
            <w:tcW w:w="4887" w:type="dxa"/>
          </w:tcPr>
          <w:p w:rsidR="003F5784" w14:paraId="4262E6FD" w14:textId="77777777">
            <w:pPr>
              <w:pStyle w:val="TableParagraph"/>
              <w:ind w:left="120"/>
              <w:jc w:val="left"/>
              <w:rPr>
                <w:sz w:val="21"/>
              </w:rPr>
            </w:pPr>
            <w:r>
              <w:rPr>
                <w:spacing w:val="-2"/>
                <w:sz w:val="21"/>
              </w:rPr>
              <w:t>Florida–Hillsborough</w:t>
            </w:r>
            <w:r>
              <w:rPr>
                <w:spacing w:val="20"/>
                <w:sz w:val="21"/>
              </w:rPr>
              <w:t xml:space="preserve"> </w:t>
            </w:r>
            <w:r>
              <w:rPr>
                <w:spacing w:val="-2"/>
                <w:sz w:val="21"/>
              </w:rPr>
              <w:t>County</w:t>
            </w:r>
          </w:p>
        </w:tc>
        <w:tc>
          <w:tcPr>
            <w:tcW w:w="1332" w:type="dxa"/>
          </w:tcPr>
          <w:p w:rsidR="003F5784" w14:paraId="674460BC" w14:textId="77777777">
            <w:pPr>
              <w:pStyle w:val="TableParagraph"/>
              <w:ind w:right="127"/>
              <w:rPr>
                <w:sz w:val="21"/>
              </w:rPr>
            </w:pPr>
            <w:r>
              <w:rPr>
                <w:spacing w:val="-2"/>
                <w:sz w:val="21"/>
              </w:rPr>
              <w:t>93.93</w:t>
            </w:r>
          </w:p>
        </w:tc>
        <w:tc>
          <w:tcPr>
            <w:tcW w:w="1614" w:type="dxa"/>
          </w:tcPr>
          <w:p w:rsidR="003F5784" w14:paraId="453FEA8F" w14:textId="77777777">
            <w:pPr>
              <w:pStyle w:val="TableParagraph"/>
              <w:ind w:right="126"/>
              <w:rPr>
                <w:sz w:val="21"/>
              </w:rPr>
            </w:pPr>
            <w:r>
              <w:rPr>
                <w:spacing w:val="-4"/>
                <w:sz w:val="21"/>
              </w:rPr>
              <w:t>1.52</w:t>
            </w:r>
          </w:p>
        </w:tc>
        <w:tc>
          <w:tcPr>
            <w:tcW w:w="1747" w:type="dxa"/>
          </w:tcPr>
          <w:p w:rsidR="003F5784" w14:paraId="401636C2" w14:textId="77777777">
            <w:pPr>
              <w:pStyle w:val="TableParagraph"/>
              <w:ind w:right="260"/>
              <w:rPr>
                <w:sz w:val="21"/>
              </w:rPr>
            </w:pPr>
            <w:r>
              <w:rPr>
                <w:spacing w:val="-4"/>
                <w:sz w:val="21"/>
              </w:rPr>
              <w:t>1.50</w:t>
            </w:r>
          </w:p>
        </w:tc>
        <w:tc>
          <w:tcPr>
            <w:tcW w:w="1187" w:type="dxa"/>
          </w:tcPr>
          <w:p w:rsidR="003F5784" w14:paraId="2F3F7CE8" w14:textId="77777777">
            <w:pPr>
              <w:pStyle w:val="TableParagraph"/>
              <w:ind w:right="128"/>
              <w:rPr>
                <w:sz w:val="21"/>
              </w:rPr>
            </w:pPr>
            <w:r>
              <w:rPr>
                <w:spacing w:val="-2"/>
                <w:sz w:val="21"/>
              </w:rPr>
              <w:t>88.96</w:t>
            </w:r>
          </w:p>
        </w:tc>
        <w:tc>
          <w:tcPr>
            <w:tcW w:w="1615" w:type="dxa"/>
          </w:tcPr>
          <w:p w:rsidR="003F5784" w14:paraId="31A78E40" w14:textId="77777777">
            <w:pPr>
              <w:pStyle w:val="TableParagraph"/>
              <w:ind w:right="128"/>
              <w:rPr>
                <w:sz w:val="21"/>
              </w:rPr>
            </w:pPr>
            <w:r>
              <w:rPr>
                <w:spacing w:val="-4"/>
                <w:sz w:val="21"/>
              </w:rPr>
              <w:t>1.66</w:t>
            </w:r>
          </w:p>
        </w:tc>
        <w:tc>
          <w:tcPr>
            <w:tcW w:w="1605" w:type="dxa"/>
          </w:tcPr>
          <w:p w:rsidR="003F5784" w14:paraId="0408E90C" w14:textId="77777777">
            <w:pPr>
              <w:pStyle w:val="TableParagraph"/>
              <w:ind w:right="120"/>
              <w:rPr>
                <w:sz w:val="21"/>
              </w:rPr>
            </w:pPr>
            <w:r>
              <w:rPr>
                <w:spacing w:val="-4"/>
                <w:sz w:val="21"/>
              </w:rPr>
              <w:t>1.62</w:t>
            </w:r>
          </w:p>
        </w:tc>
      </w:tr>
      <w:tr w14:paraId="15AE2845" w14:textId="77777777">
        <w:tblPrEx>
          <w:tblW w:w="0" w:type="auto"/>
          <w:tblInd w:w="482" w:type="dxa"/>
          <w:tblLayout w:type="fixed"/>
          <w:tblCellMar>
            <w:left w:w="0" w:type="dxa"/>
            <w:right w:w="0" w:type="dxa"/>
          </w:tblCellMar>
          <w:tblLook w:val="01E0"/>
        </w:tblPrEx>
        <w:trPr>
          <w:trHeight w:val="286"/>
        </w:trPr>
        <w:tc>
          <w:tcPr>
            <w:tcW w:w="4887" w:type="dxa"/>
          </w:tcPr>
          <w:p w:rsidR="003F5784" w14:paraId="2C043AC7" w14:textId="77777777">
            <w:pPr>
              <w:pStyle w:val="TableParagraph"/>
              <w:ind w:left="120"/>
              <w:jc w:val="left"/>
              <w:rPr>
                <w:sz w:val="21"/>
              </w:rPr>
            </w:pPr>
            <w:r>
              <w:rPr>
                <w:spacing w:val="-2"/>
                <w:sz w:val="21"/>
              </w:rPr>
              <w:t>Florida–Miami-Dade</w:t>
            </w:r>
            <w:r>
              <w:rPr>
                <w:spacing w:val="17"/>
                <w:sz w:val="21"/>
              </w:rPr>
              <w:t xml:space="preserve"> </w:t>
            </w:r>
            <w:r>
              <w:rPr>
                <w:spacing w:val="-2"/>
                <w:sz w:val="21"/>
              </w:rPr>
              <w:t>County</w:t>
            </w:r>
          </w:p>
        </w:tc>
        <w:tc>
          <w:tcPr>
            <w:tcW w:w="1332" w:type="dxa"/>
          </w:tcPr>
          <w:p w:rsidR="003F5784" w14:paraId="394FB5BE" w14:textId="77777777">
            <w:pPr>
              <w:pStyle w:val="TableParagraph"/>
              <w:ind w:right="127"/>
              <w:rPr>
                <w:sz w:val="21"/>
              </w:rPr>
            </w:pPr>
            <w:r>
              <w:rPr>
                <w:spacing w:val="-2"/>
                <w:sz w:val="21"/>
              </w:rPr>
              <w:t>92.83</w:t>
            </w:r>
          </w:p>
        </w:tc>
        <w:tc>
          <w:tcPr>
            <w:tcW w:w="1614" w:type="dxa"/>
          </w:tcPr>
          <w:p w:rsidR="003F5784" w14:paraId="41FBFE82" w14:textId="77777777">
            <w:pPr>
              <w:pStyle w:val="TableParagraph"/>
              <w:ind w:right="126"/>
              <w:rPr>
                <w:sz w:val="21"/>
              </w:rPr>
            </w:pPr>
            <w:r>
              <w:rPr>
                <w:spacing w:val="-4"/>
                <w:sz w:val="21"/>
              </w:rPr>
              <w:t>1.26</w:t>
            </w:r>
          </w:p>
        </w:tc>
        <w:tc>
          <w:tcPr>
            <w:tcW w:w="1747" w:type="dxa"/>
          </w:tcPr>
          <w:p w:rsidR="003F5784" w14:paraId="7B5F9BD0" w14:textId="77777777">
            <w:pPr>
              <w:pStyle w:val="TableParagraph"/>
              <w:ind w:right="260"/>
              <w:rPr>
                <w:sz w:val="21"/>
              </w:rPr>
            </w:pPr>
            <w:r>
              <w:rPr>
                <w:spacing w:val="-4"/>
                <w:sz w:val="21"/>
              </w:rPr>
              <w:t>1.88</w:t>
            </w:r>
          </w:p>
        </w:tc>
        <w:tc>
          <w:tcPr>
            <w:tcW w:w="1187" w:type="dxa"/>
          </w:tcPr>
          <w:p w:rsidR="003F5784" w14:paraId="1DE96B8F" w14:textId="77777777">
            <w:pPr>
              <w:pStyle w:val="TableParagraph"/>
              <w:ind w:right="128"/>
              <w:rPr>
                <w:sz w:val="21"/>
              </w:rPr>
            </w:pPr>
            <w:r>
              <w:rPr>
                <w:spacing w:val="-2"/>
                <w:sz w:val="21"/>
              </w:rPr>
              <w:t>90.11</w:t>
            </w:r>
          </w:p>
        </w:tc>
        <w:tc>
          <w:tcPr>
            <w:tcW w:w="1615" w:type="dxa"/>
          </w:tcPr>
          <w:p w:rsidR="003F5784" w14:paraId="1ECFFD21" w14:textId="77777777">
            <w:pPr>
              <w:pStyle w:val="TableParagraph"/>
              <w:ind w:right="128"/>
              <w:rPr>
                <w:sz w:val="21"/>
              </w:rPr>
            </w:pPr>
            <w:r>
              <w:rPr>
                <w:spacing w:val="-4"/>
                <w:sz w:val="21"/>
              </w:rPr>
              <w:t>1.67</w:t>
            </w:r>
          </w:p>
        </w:tc>
        <w:tc>
          <w:tcPr>
            <w:tcW w:w="1605" w:type="dxa"/>
          </w:tcPr>
          <w:p w:rsidR="003F5784" w14:paraId="2C2EACF6" w14:textId="77777777">
            <w:pPr>
              <w:pStyle w:val="TableParagraph"/>
              <w:ind w:right="120"/>
              <w:rPr>
                <w:sz w:val="21"/>
              </w:rPr>
            </w:pPr>
            <w:r>
              <w:rPr>
                <w:spacing w:val="-4"/>
                <w:sz w:val="21"/>
              </w:rPr>
              <w:t>1.79</w:t>
            </w:r>
          </w:p>
        </w:tc>
      </w:tr>
      <w:tr w14:paraId="5F3FA26C" w14:textId="77777777">
        <w:tblPrEx>
          <w:tblW w:w="0" w:type="auto"/>
          <w:tblInd w:w="482" w:type="dxa"/>
          <w:tblLayout w:type="fixed"/>
          <w:tblCellMar>
            <w:left w:w="0" w:type="dxa"/>
            <w:right w:w="0" w:type="dxa"/>
          </w:tblCellMar>
          <w:tblLook w:val="01E0"/>
        </w:tblPrEx>
        <w:trPr>
          <w:trHeight w:val="286"/>
        </w:trPr>
        <w:tc>
          <w:tcPr>
            <w:tcW w:w="4887" w:type="dxa"/>
          </w:tcPr>
          <w:p w:rsidR="003F5784" w14:paraId="554B9CCE" w14:textId="77777777">
            <w:pPr>
              <w:pStyle w:val="TableParagraph"/>
              <w:ind w:left="120"/>
              <w:jc w:val="left"/>
              <w:rPr>
                <w:sz w:val="21"/>
              </w:rPr>
            </w:pPr>
            <w:r>
              <w:rPr>
                <w:spacing w:val="-2"/>
                <w:sz w:val="21"/>
              </w:rPr>
              <w:t>Florida</w:t>
            </w:r>
          </w:p>
        </w:tc>
        <w:tc>
          <w:tcPr>
            <w:tcW w:w="1332" w:type="dxa"/>
          </w:tcPr>
          <w:p w:rsidR="003F5784" w14:paraId="50CB7E73" w14:textId="77777777">
            <w:pPr>
              <w:pStyle w:val="TableParagraph"/>
              <w:ind w:right="127"/>
              <w:rPr>
                <w:sz w:val="21"/>
              </w:rPr>
            </w:pPr>
            <w:r>
              <w:rPr>
                <w:spacing w:val="-2"/>
                <w:sz w:val="21"/>
              </w:rPr>
              <w:t>93.05</w:t>
            </w:r>
          </w:p>
        </w:tc>
        <w:tc>
          <w:tcPr>
            <w:tcW w:w="1614" w:type="dxa"/>
          </w:tcPr>
          <w:p w:rsidR="003F5784" w14:paraId="29BEE608" w14:textId="77777777">
            <w:pPr>
              <w:pStyle w:val="TableParagraph"/>
              <w:ind w:right="126"/>
              <w:rPr>
                <w:sz w:val="21"/>
              </w:rPr>
            </w:pPr>
            <w:r>
              <w:rPr>
                <w:spacing w:val="-4"/>
                <w:sz w:val="21"/>
              </w:rPr>
              <w:t>1.08</w:t>
            </w:r>
          </w:p>
        </w:tc>
        <w:tc>
          <w:tcPr>
            <w:tcW w:w="1747" w:type="dxa"/>
          </w:tcPr>
          <w:p w:rsidR="003F5784" w14:paraId="1B8B9C19" w14:textId="77777777">
            <w:pPr>
              <w:pStyle w:val="TableParagraph"/>
              <w:ind w:right="260"/>
              <w:rPr>
                <w:sz w:val="21"/>
              </w:rPr>
            </w:pPr>
            <w:r>
              <w:rPr>
                <w:spacing w:val="-4"/>
                <w:sz w:val="21"/>
              </w:rPr>
              <w:t>1.32</w:t>
            </w:r>
          </w:p>
        </w:tc>
        <w:tc>
          <w:tcPr>
            <w:tcW w:w="1187" w:type="dxa"/>
          </w:tcPr>
          <w:p w:rsidR="003F5784" w14:paraId="55F020BB" w14:textId="77777777">
            <w:pPr>
              <w:pStyle w:val="TableParagraph"/>
              <w:ind w:right="128"/>
              <w:rPr>
                <w:sz w:val="21"/>
              </w:rPr>
            </w:pPr>
            <w:r>
              <w:rPr>
                <w:spacing w:val="-2"/>
                <w:sz w:val="21"/>
              </w:rPr>
              <w:t>87.36</w:t>
            </w:r>
          </w:p>
        </w:tc>
        <w:tc>
          <w:tcPr>
            <w:tcW w:w="1615" w:type="dxa"/>
          </w:tcPr>
          <w:p w:rsidR="003F5784" w14:paraId="782481DE" w14:textId="77777777">
            <w:pPr>
              <w:pStyle w:val="TableParagraph"/>
              <w:ind w:right="128"/>
              <w:rPr>
                <w:sz w:val="21"/>
              </w:rPr>
            </w:pPr>
            <w:r>
              <w:rPr>
                <w:spacing w:val="-4"/>
                <w:sz w:val="21"/>
              </w:rPr>
              <w:t>1.76</w:t>
            </w:r>
          </w:p>
        </w:tc>
        <w:tc>
          <w:tcPr>
            <w:tcW w:w="1605" w:type="dxa"/>
          </w:tcPr>
          <w:p w:rsidR="003F5784" w14:paraId="2B971CFB" w14:textId="77777777">
            <w:pPr>
              <w:pStyle w:val="TableParagraph"/>
              <w:ind w:right="120"/>
              <w:rPr>
                <w:sz w:val="21"/>
              </w:rPr>
            </w:pPr>
            <w:r>
              <w:rPr>
                <w:spacing w:val="-4"/>
                <w:sz w:val="21"/>
              </w:rPr>
              <w:t>0.66</w:t>
            </w:r>
          </w:p>
        </w:tc>
      </w:tr>
      <w:tr w14:paraId="2E187D05" w14:textId="77777777">
        <w:tblPrEx>
          <w:tblW w:w="0" w:type="auto"/>
          <w:tblInd w:w="482" w:type="dxa"/>
          <w:tblLayout w:type="fixed"/>
          <w:tblCellMar>
            <w:left w:w="0" w:type="dxa"/>
            <w:right w:w="0" w:type="dxa"/>
          </w:tblCellMar>
          <w:tblLook w:val="01E0"/>
        </w:tblPrEx>
        <w:trPr>
          <w:trHeight w:val="286"/>
        </w:trPr>
        <w:tc>
          <w:tcPr>
            <w:tcW w:w="4887" w:type="dxa"/>
          </w:tcPr>
          <w:p w:rsidR="003F5784" w14:paraId="2746EFE3" w14:textId="77777777">
            <w:pPr>
              <w:pStyle w:val="TableParagraph"/>
              <w:ind w:left="120"/>
              <w:jc w:val="left"/>
              <w:rPr>
                <w:sz w:val="21"/>
              </w:rPr>
            </w:pPr>
            <w:r>
              <w:rPr>
                <w:spacing w:val="-2"/>
                <w:sz w:val="21"/>
              </w:rPr>
              <w:t>Georgia–Atlanta</w:t>
            </w:r>
          </w:p>
        </w:tc>
        <w:tc>
          <w:tcPr>
            <w:tcW w:w="1332" w:type="dxa"/>
          </w:tcPr>
          <w:p w:rsidR="003F5784" w14:paraId="676DAB75" w14:textId="77777777">
            <w:pPr>
              <w:pStyle w:val="TableParagraph"/>
              <w:ind w:right="127"/>
              <w:rPr>
                <w:sz w:val="21"/>
              </w:rPr>
            </w:pPr>
            <w:r>
              <w:rPr>
                <w:spacing w:val="-2"/>
                <w:sz w:val="21"/>
              </w:rPr>
              <w:t>92.78</w:t>
            </w:r>
          </w:p>
        </w:tc>
        <w:tc>
          <w:tcPr>
            <w:tcW w:w="1614" w:type="dxa"/>
          </w:tcPr>
          <w:p w:rsidR="003F5784" w14:paraId="75579918" w14:textId="77777777">
            <w:pPr>
              <w:pStyle w:val="TableParagraph"/>
              <w:ind w:right="126"/>
              <w:rPr>
                <w:sz w:val="21"/>
              </w:rPr>
            </w:pPr>
            <w:r>
              <w:rPr>
                <w:spacing w:val="-4"/>
                <w:sz w:val="21"/>
              </w:rPr>
              <w:t>2.56</w:t>
            </w:r>
          </w:p>
        </w:tc>
        <w:tc>
          <w:tcPr>
            <w:tcW w:w="1747" w:type="dxa"/>
          </w:tcPr>
          <w:p w:rsidR="003F5784" w14:paraId="3C9915A5" w14:textId="77777777">
            <w:pPr>
              <w:pStyle w:val="TableParagraph"/>
              <w:ind w:right="260"/>
              <w:rPr>
                <w:sz w:val="21"/>
              </w:rPr>
            </w:pPr>
            <w:r>
              <w:rPr>
                <w:spacing w:val="-4"/>
                <w:sz w:val="21"/>
              </w:rPr>
              <w:t>0.62</w:t>
            </w:r>
          </w:p>
        </w:tc>
        <w:tc>
          <w:tcPr>
            <w:tcW w:w="1187" w:type="dxa"/>
          </w:tcPr>
          <w:p w:rsidR="003F5784" w14:paraId="57E03262" w14:textId="77777777">
            <w:pPr>
              <w:pStyle w:val="TableParagraph"/>
              <w:ind w:right="128"/>
              <w:rPr>
                <w:sz w:val="21"/>
              </w:rPr>
            </w:pPr>
            <w:r>
              <w:rPr>
                <w:spacing w:val="-2"/>
                <w:sz w:val="21"/>
              </w:rPr>
              <w:t>90.57</w:t>
            </w:r>
          </w:p>
        </w:tc>
        <w:tc>
          <w:tcPr>
            <w:tcW w:w="1615" w:type="dxa"/>
          </w:tcPr>
          <w:p w:rsidR="003F5784" w14:paraId="4EF9B277" w14:textId="77777777">
            <w:pPr>
              <w:pStyle w:val="TableParagraph"/>
              <w:ind w:right="128"/>
              <w:rPr>
                <w:sz w:val="21"/>
              </w:rPr>
            </w:pPr>
            <w:r>
              <w:rPr>
                <w:spacing w:val="-4"/>
                <w:sz w:val="21"/>
              </w:rPr>
              <w:t>2.62</w:t>
            </w:r>
          </w:p>
        </w:tc>
        <w:tc>
          <w:tcPr>
            <w:tcW w:w="1605" w:type="dxa"/>
          </w:tcPr>
          <w:p w:rsidR="003F5784" w14:paraId="5C406967" w14:textId="77777777">
            <w:pPr>
              <w:pStyle w:val="TableParagraph"/>
              <w:ind w:right="120"/>
              <w:rPr>
                <w:sz w:val="21"/>
              </w:rPr>
            </w:pPr>
            <w:r>
              <w:rPr>
                <w:spacing w:val="-4"/>
                <w:sz w:val="21"/>
              </w:rPr>
              <w:t>0.32</w:t>
            </w:r>
          </w:p>
        </w:tc>
      </w:tr>
      <w:tr w14:paraId="324BFF4A" w14:textId="77777777">
        <w:tblPrEx>
          <w:tblW w:w="0" w:type="auto"/>
          <w:tblInd w:w="482" w:type="dxa"/>
          <w:tblLayout w:type="fixed"/>
          <w:tblCellMar>
            <w:left w:w="0" w:type="dxa"/>
            <w:right w:w="0" w:type="dxa"/>
          </w:tblCellMar>
          <w:tblLook w:val="01E0"/>
        </w:tblPrEx>
        <w:trPr>
          <w:trHeight w:val="289"/>
        </w:trPr>
        <w:tc>
          <w:tcPr>
            <w:tcW w:w="4887" w:type="dxa"/>
            <w:tcBorders>
              <w:bottom w:val="single" w:sz="18" w:space="0" w:color="800000"/>
            </w:tcBorders>
          </w:tcPr>
          <w:p w:rsidR="003F5784" w14:paraId="7C80F22B" w14:textId="77777777">
            <w:pPr>
              <w:pStyle w:val="TableParagraph"/>
              <w:ind w:left="120"/>
              <w:jc w:val="left"/>
              <w:rPr>
                <w:sz w:val="21"/>
              </w:rPr>
            </w:pPr>
            <w:r>
              <w:rPr>
                <w:spacing w:val="-2"/>
                <w:sz w:val="21"/>
              </w:rPr>
              <w:t>Georgia</w:t>
            </w:r>
          </w:p>
        </w:tc>
        <w:tc>
          <w:tcPr>
            <w:tcW w:w="1332" w:type="dxa"/>
            <w:tcBorders>
              <w:bottom w:val="single" w:sz="18" w:space="0" w:color="800000"/>
            </w:tcBorders>
          </w:tcPr>
          <w:p w:rsidR="003F5784" w14:paraId="79D75527" w14:textId="77777777">
            <w:pPr>
              <w:pStyle w:val="TableParagraph"/>
              <w:ind w:right="127"/>
              <w:rPr>
                <w:sz w:val="21"/>
              </w:rPr>
            </w:pPr>
            <w:r>
              <w:rPr>
                <w:spacing w:val="-2"/>
                <w:sz w:val="21"/>
              </w:rPr>
              <w:t>92.18</w:t>
            </w:r>
          </w:p>
        </w:tc>
        <w:tc>
          <w:tcPr>
            <w:tcW w:w="1614" w:type="dxa"/>
            <w:tcBorders>
              <w:bottom w:val="single" w:sz="18" w:space="0" w:color="800000"/>
            </w:tcBorders>
          </w:tcPr>
          <w:p w:rsidR="003F5784" w14:paraId="54EAAAFC" w14:textId="77777777">
            <w:pPr>
              <w:pStyle w:val="TableParagraph"/>
              <w:ind w:right="126"/>
              <w:rPr>
                <w:sz w:val="21"/>
              </w:rPr>
            </w:pPr>
            <w:r>
              <w:rPr>
                <w:spacing w:val="-4"/>
                <w:sz w:val="21"/>
              </w:rPr>
              <w:t>1.26</w:t>
            </w:r>
          </w:p>
        </w:tc>
        <w:tc>
          <w:tcPr>
            <w:tcW w:w="1747" w:type="dxa"/>
            <w:tcBorders>
              <w:bottom w:val="single" w:sz="18" w:space="0" w:color="800000"/>
            </w:tcBorders>
          </w:tcPr>
          <w:p w:rsidR="003F5784" w14:paraId="49AE5C17" w14:textId="77777777">
            <w:pPr>
              <w:pStyle w:val="TableParagraph"/>
              <w:ind w:right="260"/>
              <w:rPr>
                <w:sz w:val="21"/>
              </w:rPr>
            </w:pPr>
            <w:r>
              <w:rPr>
                <w:spacing w:val="-4"/>
                <w:sz w:val="21"/>
              </w:rPr>
              <w:t>0.70</w:t>
            </w:r>
          </w:p>
        </w:tc>
        <w:tc>
          <w:tcPr>
            <w:tcW w:w="1187" w:type="dxa"/>
            <w:tcBorders>
              <w:bottom w:val="single" w:sz="18" w:space="0" w:color="800000"/>
            </w:tcBorders>
          </w:tcPr>
          <w:p w:rsidR="003F5784" w14:paraId="410FB054" w14:textId="77777777">
            <w:pPr>
              <w:pStyle w:val="TableParagraph"/>
              <w:ind w:right="128"/>
              <w:rPr>
                <w:sz w:val="21"/>
              </w:rPr>
            </w:pPr>
            <w:r>
              <w:rPr>
                <w:spacing w:val="-2"/>
                <w:sz w:val="21"/>
              </w:rPr>
              <w:t>92.79</w:t>
            </w:r>
          </w:p>
        </w:tc>
        <w:tc>
          <w:tcPr>
            <w:tcW w:w="1615" w:type="dxa"/>
            <w:tcBorders>
              <w:bottom w:val="single" w:sz="18" w:space="0" w:color="800000"/>
            </w:tcBorders>
          </w:tcPr>
          <w:p w:rsidR="003F5784" w14:paraId="11EC556B" w14:textId="77777777">
            <w:pPr>
              <w:pStyle w:val="TableParagraph"/>
              <w:ind w:right="128"/>
              <w:rPr>
                <w:sz w:val="21"/>
              </w:rPr>
            </w:pPr>
            <w:r>
              <w:rPr>
                <w:spacing w:val="-4"/>
                <w:sz w:val="21"/>
              </w:rPr>
              <w:t>1.66</w:t>
            </w:r>
          </w:p>
        </w:tc>
        <w:tc>
          <w:tcPr>
            <w:tcW w:w="1605" w:type="dxa"/>
            <w:tcBorders>
              <w:bottom w:val="single" w:sz="18" w:space="0" w:color="800000"/>
            </w:tcBorders>
          </w:tcPr>
          <w:p w:rsidR="003F5784" w14:paraId="3295A79D" w14:textId="77777777">
            <w:pPr>
              <w:pStyle w:val="TableParagraph"/>
              <w:ind w:right="120"/>
              <w:rPr>
                <w:sz w:val="21"/>
              </w:rPr>
            </w:pPr>
            <w:r>
              <w:rPr>
                <w:spacing w:val="-4"/>
                <w:sz w:val="21"/>
              </w:rPr>
              <w:t>0.37</w:t>
            </w:r>
          </w:p>
        </w:tc>
      </w:tr>
      <w:tr w14:paraId="5638C21E" w14:textId="77777777">
        <w:tblPrEx>
          <w:tblW w:w="0" w:type="auto"/>
          <w:tblInd w:w="482" w:type="dxa"/>
          <w:tblLayout w:type="fixed"/>
          <w:tblCellMar>
            <w:left w:w="0" w:type="dxa"/>
            <w:right w:w="0" w:type="dxa"/>
          </w:tblCellMar>
          <w:tblLook w:val="01E0"/>
        </w:tblPrEx>
        <w:trPr>
          <w:trHeight w:val="472"/>
        </w:trPr>
        <w:tc>
          <w:tcPr>
            <w:tcW w:w="13987" w:type="dxa"/>
            <w:gridSpan w:val="7"/>
            <w:tcBorders>
              <w:top w:val="single" w:sz="18" w:space="0" w:color="800000"/>
            </w:tcBorders>
          </w:tcPr>
          <w:p w:rsidR="003F5784" w14:paraId="288D77C6" w14:textId="77777777">
            <w:pPr>
              <w:pStyle w:val="TableParagraph"/>
              <w:spacing w:before="0" w:line="234" w:lineRule="exact"/>
              <w:ind w:left="120"/>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Progress (NAEP), 2022 State Reading Assessment.</w:t>
            </w:r>
          </w:p>
        </w:tc>
      </w:tr>
    </w:tbl>
    <w:p w:rsidR="003F5784" w14:paraId="5A7BD4E9" w14:textId="77777777">
      <w:pPr>
        <w:spacing w:line="234" w:lineRule="exact"/>
        <w:rPr>
          <w:sz w:val="21"/>
        </w:rPr>
        <w:sectPr>
          <w:pgSz w:w="15840" w:h="12240" w:orient="landscape"/>
          <w:pgMar w:top="480" w:right="440" w:bottom="460" w:left="460" w:header="284" w:footer="275" w:gutter="0"/>
          <w:cols w:space="720"/>
        </w:sectPr>
      </w:pPr>
    </w:p>
    <w:p w:rsidR="003F5784" w14:paraId="5BA3CA95" w14:textId="77777777">
      <w:pPr>
        <w:pStyle w:val="BodyText"/>
        <w:rPr>
          <w:b/>
        </w:rPr>
      </w:pPr>
    </w:p>
    <w:p w:rsidR="003F5784" w14:paraId="359F8B19" w14:textId="77777777">
      <w:pPr>
        <w:pStyle w:val="BodyText"/>
        <w:rPr>
          <w:b/>
        </w:rPr>
      </w:pPr>
    </w:p>
    <w:p w:rsidR="003F5784" w14:paraId="44A8172C" w14:textId="77777777">
      <w:pPr>
        <w:pStyle w:val="BodyText"/>
        <w:rPr>
          <w:b/>
        </w:rPr>
      </w:pPr>
    </w:p>
    <w:p w:rsidR="003F5784" w14:paraId="7F8DCBB2" w14:textId="77777777">
      <w:pPr>
        <w:pStyle w:val="BodyText"/>
        <w:rPr>
          <w:b/>
        </w:rPr>
      </w:pPr>
    </w:p>
    <w:p w:rsidR="003F5784" w14:paraId="7DCC6E43" w14:textId="77777777">
      <w:pPr>
        <w:pStyle w:val="BodyText"/>
        <w:spacing w:before="142"/>
        <w:rPr>
          <w:b/>
        </w:rPr>
      </w:pPr>
    </w:p>
    <w:p w:rsidR="003F5784" w14:paraId="26AEF142" w14:textId="77777777">
      <w:pPr>
        <w:pStyle w:val="BodyText"/>
        <w:spacing w:after="20"/>
        <w:ind w:left="595"/>
      </w:pPr>
      <w:r>
        <w:rPr>
          <w:noProof/>
        </w:rPr>
        <mc:AlternateContent>
          <mc:Choice Requires="wps">
            <w:drawing>
              <wp:anchor distT="0" distB="0" distL="0" distR="0" simplePos="0" relativeHeight="251666432" behindDoc="0" locked="0" layoutInCell="1" allowOverlap="1">
                <wp:simplePos x="0" y="0"/>
                <wp:positionH relativeFrom="page">
                  <wp:posOffset>3658997</wp:posOffset>
                </wp:positionH>
                <wp:positionV relativeFrom="paragraph">
                  <wp:posOffset>-787752</wp:posOffset>
                </wp:positionV>
                <wp:extent cx="5852795" cy="939165"/>
                <wp:effectExtent l="0" t="0" r="0" b="0"/>
                <wp:wrapNone/>
                <wp:docPr id="383" name="Textbox 383"/>
                <wp:cNvGraphicFramePr/>
                <a:graphic xmlns:a="http://schemas.openxmlformats.org/drawingml/2006/main">
                  <a:graphicData uri="http://schemas.microsoft.com/office/word/2010/wordprocessingShape">
                    <wps:wsp xmlns:wps="http://schemas.microsoft.com/office/word/2010/wordprocessingShape">
                      <wps:cNvSpPr txBox="1"/>
                      <wps:spPr>
                        <a:xfrm>
                          <a:off x="0" y="0"/>
                          <a:ext cx="5852795" cy="939165"/>
                        </a:xfrm>
                        <a:prstGeom prst="rect">
                          <a:avLst/>
                        </a:prstGeom>
                      </wps:spPr>
                      <wps:txbx>
                        <w:txbxContent>
                          <w:tbl>
                            <w:tblPr>
                              <w:tblW w:w="0" w:type="auto"/>
                              <w:tblInd w:w="67" w:type="dxa"/>
                              <w:tblLayout w:type="fixed"/>
                              <w:tblCellMar>
                                <w:left w:w="0" w:type="dxa"/>
                                <w:right w:w="0" w:type="dxa"/>
                              </w:tblCellMar>
                              <w:tblLook w:val="01E0"/>
                            </w:tblPr>
                            <w:tblGrid>
                              <w:gridCol w:w="1332"/>
                              <w:gridCol w:w="1614"/>
                              <w:gridCol w:w="1747"/>
                              <w:gridCol w:w="1187"/>
                              <w:gridCol w:w="1615"/>
                              <w:gridCol w:w="1605"/>
                            </w:tblGrid>
                            <w:tr w14:paraId="2066CB07" w14:textId="77777777">
                              <w:tblPrEx>
                                <w:tblW w:w="0" w:type="auto"/>
                                <w:tblInd w:w="67" w:type="dxa"/>
                                <w:tblLayout w:type="fixed"/>
                                <w:tblCellMar>
                                  <w:left w:w="0" w:type="dxa"/>
                                  <w:right w:w="0" w:type="dxa"/>
                                </w:tblCellMar>
                                <w:tblLook w:val="01E0"/>
                              </w:tblPrEx>
                              <w:trPr>
                                <w:trHeight w:val="248"/>
                              </w:trPr>
                              <w:tc>
                                <w:tcPr>
                                  <w:tcW w:w="1332" w:type="dxa"/>
                                  <w:tcBorders>
                                    <w:bottom w:val="single" w:sz="18" w:space="0" w:color="800000"/>
                                  </w:tcBorders>
                                </w:tcPr>
                                <w:p w:rsidR="003F5784" w14:textId="77777777">
                                  <w:pPr>
                                    <w:pStyle w:val="TableParagraph"/>
                                    <w:spacing w:before="0"/>
                                    <w:jc w:val="left"/>
                                    <w:rPr>
                                      <w:sz w:val="18"/>
                                    </w:rPr>
                                  </w:pPr>
                                </w:p>
                              </w:tc>
                              <w:tc>
                                <w:tcPr>
                                  <w:tcW w:w="1614" w:type="dxa"/>
                                  <w:tcBorders>
                                    <w:bottom w:val="single" w:sz="18" w:space="0" w:color="800000"/>
                                  </w:tcBorders>
                                </w:tcPr>
                                <w:p w:rsidR="003F5784" w14:textId="77777777">
                                  <w:pPr>
                                    <w:pStyle w:val="TableParagraph"/>
                                    <w:spacing w:before="0" w:line="228" w:lineRule="exact"/>
                                    <w:ind w:left="608"/>
                                    <w:jc w:val="left"/>
                                    <w:rPr>
                                      <w:sz w:val="21"/>
                                    </w:rPr>
                                  </w:pPr>
                                  <w:r>
                                    <w:rPr>
                                      <w:sz w:val="21"/>
                                    </w:rPr>
                                    <w:t>Grade</w:t>
                                  </w:r>
                                  <w:r>
                                    <w:rPr>
                                      <w:spacing w:val="-7"/>
                                      <w:sz w:val="21"/>
                                    </w:rPr>
                                    <w:t xml:space="preserve"> </w:t>
                                  </w:r>
                                  <w:r>
                                    <w:rPr>
                                      <w:spacing w:val="-10"/>
                                      <w:sz w:val="21"/>
                                    </w:rPr>
                                    <w:t>4</w:t>
                                  </w:r>
                                </w:p>
                              </w:tc>
                              <w:tc>
                                <w:tcPr>
                                  <w:tcW w:w="1747" w:type="dxa"/>
                                  <w:tcBorders>
                                    <w:bottom w:val="single" w:sz="18" w:space="0" w:color="800000"/>
                                  </w:tcBorders>
                                </w:tcPr>
                                <w:p w:rsidR="003F5784" w14:textId="77777777">
                                  <w:pPr>
                                    <w:pStyle w:val="TableParagraph"/>
                                    <w:spacing w:before="0"/>
                                    <w:jc w:val="left"/>
                                    <w:rPr>
                                      <w:sz w:val="18"/>
                                    </w:rPr>
                                  </w:pPr>
                                </w:p>
                              </w:tc>
                              <w:tc>
                                <w:tcPr>
                                  <w:tcW w:w="1187" w:type="dxa"/>
                                  <w:tcBorders>
                                    <w:bottom w:val="single" w:sz="18" w:space="0" w:color="800000"/>
                                  </w:tcBorders>
                                </w:tcPr>
                                <w:p w:rsidR="003F5784" w14:textId="77777777">
                                  <w:pPr>
                                    <w:pStyle w:val="TableParagraph"/>
                                    <w:spacing w:before="0"/>
                                    <w:jc w:val="left"/>
                                    <w:rPr>
                                      <w:sz w:val="18"/>
                                    </w:rPr>
                                  </w:pPr>
                                </w:p>
                              </w:tc>
                              <w:tc>
                                <w:tcPr>
                                  <w:tcW w:w="1615" w:type="dxa"/>
                                  <w:tcBorders>
                                    <w:bottom w:val="single" w:sz="18" w:space="0" w:color="800000"/>
                                  </w:tcBorders>
                                </w:tcPr>
                                <w:p w:rsidR="003F5784" w14:textId="77777777">
                                  <w:pPr>
                                    <w:pStyle w:val="TableParagraph"/>
                                    <w:spacing w:before="0" w:line="228" w:lineRule="exact"/>
                                    <w:ind w:left="608"/>
                                    <w:jc w:val="left"/>
                                    <w:rPr>
                                      <w:sz w:val="21"/>
                                    </w:rPr>
                                  </w:pPr>
                                  <w:r>
                                    <w:rPr>
                                      <w:sz w:val="21"/>
                                    </w:rPr>
                                    <w:t>Grade</w:t>
                                  </w:r>
                                  <w:r>
                                    <w:rPr>
                                      <w:spacing w:val="-7"/>
                                      <w:sz w:val="21"/>
                                    </w:rPr>
                                    <w:t xml:space="preserve"> </w:t>
                                  </w:r>
                                  <w:r>
                                    <w:rPr>
                                      <w:spacing w:val="-10"/>
                                      <w:sz w:val="21"/>
                                    </w:rPr>
                                    <w:t>8</w:t>
                                  </w:r>
                                </w:p>
                              </w:tc>
                              <w:tc>
                                <w:tcPr>
                                  <w:tcW w:w="1605" w:type="dxa"/>
                                  <w:tcBorders>
                                    <w:bottom w:val="single" w:sz="18" w:space="0" w:color="800000"/>
                                  </w:tcBorders>
                                </w:tcPr>
                                <w:p w:rsidR="003F5784" w14:textId="77777777">
                                  <w:pPr>
                                    <w:pStyle w:val="TableParagraph"/>
                                    <w:spacing w:before="0"/>
                                    <w:jc w:val="left"/>
                                    <w:rPr>
                                      <w:sz w:val="18"/>
                                    </w:rPr>
                                  </w:pPr>
                                </w:p>
                              </w:tc>
                            </w:tr>
                            <w:tr w14:paraId="3A56A2F3" w14:textId="77777777">
                              <w:tblPrEx>
                                <w:tblW w:w="0" w:type="auto"/>
                                <w:tblInd w:w="67" w:type="dxa"/>
                                <w:tblLayout w:type="fixed"/>
                                <w:tblCellMar>
                                  <w:left w:w="0" w:type="dxa"/>
                                  <w:right w:w="0" w:type="dxa"/>
                                </w:tblCellMar>
                                <w:tblLook w:val="01E0"/>
                              </w:tblPrEx>
                              <w:trPr>
                                <w:trHeight w:val="252"/>
                              </w:trPr>
                              <w:tc>
                                <w:tcPr>
                                  <w:tcW w:w="1332" w:type="dxa"/>
                                  <w:tcBorders>
                                    <w:top w:val="single" w:sz="18" w:space="0" w:color="800000"/>
                                  </w:tcBorders>
                                </w:tcPr>
                                <w:p w:rsidR="003F5784" w14:textId="77777777">
                                  <w:pPr>
                                    <w:pStyle w:val="TableParagraph"/>
                                    <w:spacing w:before="9" w:line="223" w:lineRule="exact"/>
                                    <w:ind w:right="128"/>
                                    <w:rPr>
                                      <w:sz w:val="21"/>
                                    </w:rPr>
                                  </w:pPr>
                                  <w:r>
                                    <w:rPr>
                                      <w:spacing w:val="-2"/>
                                      <w:sz w:val="21"/>
                                    </w:rPr>
                                    <w:t>Weighted</w:t>
                                  </w:r>
                                </w:p>
                              </w:tc>
                              <w:tc>
                                <w:tcPr>
                                  <w:tcW w:w="1614" w:type="dxa"/>
                                  <w:tcBorders>
                                    <w:top w:val="single" w:sz="18" w:space="0" w:color="800000"/>
                                  </w:tcBorders>
                                </w:tcPr>
                                <w:p w:rsidR="003F5784" w14:textId="77777777">
                                  <w:pPr>
                                    <w:pStyle w:val="TableParagraph"/>
                                    <w:spacing w:before="9" w:line="223" w:lineRule="exact"/>
                                    <w:ind w:right="128"/>
                                    <w:rPr>
                                      <w:sz w:val="21"/>
                                    </w:rPr>
                                  </w:pPr>
                                  <w:r>
                                    <w:rPr>
                                      <w:spacing w:val="-2"/>
                                      <w:sz w:val="21"/>
                                    </w:rPr>
                                    <w:t>Weighted</w:t>
                                  </w:r>
                                </w:p>
                              </w:tc>
                              <w:tc>
                                <w:tcPr>
                                  <w:tcW w:w="1747" w:type="dxa"/>
                                  <w:tcBorders>
                                    <w:top w:val="single" w:sz="18" w:space="0" w:color="800000"/>
                                  </w:tcBorders>
                                </w:tcPr>
                                <w:p w:rsidR="003F5784" w14:textId="77777777">
                                  <w:pPr>
                                    <w:pStyle w:val="TableParagraph"/>
                                    <w:spacing w:before="9" w:line="223" w:lineRule="exact"/>
                                    <w:ind w:right="261"/>
                                    <w:rPr>
                                      <w:sz w:val="21"/>
                                    </w:rPr>
                                  </w:pPr>
                                  <w:r>
                                    <w:rPr>
                                      <w:spacing w:val="-2"/>
                                      <w:sz w:val="21"/>
                                    </w:rPr>
                                    <w:t>Weighted</w:t>
                                  </w:r>
                                </w:p>
                              </w:tc>
                              <w:tc>
                                <w:tcPr>
                                  <w:tcW w:w="1187" w:type="dxa"/>
                                  <w:tcBorders>
                                    <w:top w:val="single" w:sz="18" w:space="0" w:color="800000"/>
                                  </w:tcBorders>
                                </w:tcPr>
                                <w:p w:rsidR="003F5784" w14:textId="77777777">
                                  <w:pPr>
                                    <w:pStyle w:val="TableParagraph"/>
                                    <w:spacing w:before="9" w:line="223" w:lineRule="exact"/>
                                    <w:ind w:right="129"/>
                                    <w:rPr>
                                      <w:sz w:val="21"/>
                                    </w:rPr>
                                  </w:pPr>
                                  <w:r>
                                    <w:rPr>
                                      <w:spacing w:val="-2"/>
                                      <w:sz w:val="21"/>
                                    </w:rPr>
                                    <w:t>Weighted</w:t>
                                  </w:r>
                                </w:p>
                              </w:tc>
                              <w:tc>
                                <w:tcPr>
                                  <w:tcW w:w="1615" w:type="dxa"/>
                                  <w:tcBorders>
                                    <w:top w:val="single" w:sz="18" w:space="0" w:color="800000"/>
                                  </w:tcBorders>
                                </w:tcPr>
                                <w:p w:rsidR="003F5784" w14:textId="77777777">
                                  <w:pPr>
                                    <w:pStyle w:val="TableParagraph"/>
                                    <w:spacing w:before="9" w:line="223" w:lineRule="exact"/>
                                    <w:ind w:right="128"/>
                                    <w:rPr>
                                      <w:sz w:val="21"/>
                                    </w:rPr>
                                  </w:pPr>
                                  <w:r>
                                    <w:rPr>
                                      <w:spacing w:val="-2"/>
                                      <w:sz w:val="21"/>
                                    </w:rPr>
                                    <w:t>Weighted</w:t>
                                  </w:r>
                                </w:p>
                              </w:tc>
                              <w:tc>
                                <w:tcPr>
                                  <w:tcW w:w="1605" w:type="dxa"/>
                                  <w:tcBorders>
                                    <w:top w:val="single" w:sz="18" w:space="0" w:color="800000"/>
                                  </w:tcBorders>
                                </w:tcPr>
                                <w:p w:rsidR="003F5784" w14:textId="77777777">
                                  <w:pPr>
                                    <w:pStyle w:val="TableParagraph"/>
                                    <w:spacing w:before="9" w:line="223" w:lineRule="exact"/>
                                    <w:ind w:right="120"/>
                                    <w:rPr>
                                      <w:sz w:val="21"/>
                                    </w:rPr>
                                  </w:pPr>
                                  <w:r>
                                    <w:rPr>
                                      <w:spacing w:val="-2"/>
                                      <w:sz w:val="21"/>
                                    </w:rPr>
                                    <w:t>Weighted</w:t>
                                  </w:r>
                                </w:p>
                              </w:tc>
                            </w:tr>
                            <w:tr w14:paraId="11E13A5F" w14:textId="77777777">
                              <w:tblPrEx>
                                <w:tblW w:w="0" w:type="auto"/>
                                <w:tblInd w:w="67" w:type="dxa"/>
                                <w:tblLayout w:type="fixed"/>
                                <w:tblCellMar>
                                  <w:left w:w="0" w:type="dxa"/>
                                  <w:right w:w="0" w:type="dxa"/>
                                </w:tblCellMar>
                                <w:tblLook w:val="01E0"/>
                              </w:tblPrEx>
                              <w:trPr>
                                <w:trHeight w:val="234"/>
                              </w:trPr>
                              <w:tc>
                                <w:tcPr>
                                  <w:tcW w:w="1332" w:type="dxa"/>
                                </w:tcPr>
                                <w:p w:rsidR="003F5784" w14:textId="77777777">
                                  <w:pPr>
                                    <w:pStyle w:val="TableParagraph"/>
                                    <w:spacing w:before="0" w:line="215" w:lineRule="exact"/>
                                    <w:ind w:right="127"/>
                                    <w:rPr>
                                      <w:sz w:val="21"/>
                                    </w:rPr>
                                  </w:pPr>
                                  <w:r>
                                    <w:rPr>
                                      <w:spacing w:val="-2"/>
                                      <w:sz w:val="21"/>
                                    </w:rPr>
                                    <w:t>student</w:t>
                                  </w:r>
                                </w:p>
                              </w:tc>
                              <w:tc>
                                <w:tcPr>
                                  <w:tcW w:w="1614" w:type="dxa"/>
                                </w:tcPr>
                                <w:p w:rsidR="003F5784" w14:textId="77777777">
                                  <w:pPr>
                                    <w:pStyle w:val="TableParagraph"/>
                                    <w:spacing w:before="0" w:line="215" w:lineRule="exact"/>
                                    <w:ind w:right="126"/>
                                    <w:rPr>
                                      <w:sz w:val="21"/>
                                    </w:rPr>
                                  </w:pPr>
                                  <w:r>
                                    <w:rPr>
                                      <w:sz w:val="21"/>
                                    </w:rPr>
                                    <w:t>percentage</w:t>
                                  </w:r>
                                  <w:r>
                                    <w:rPr>
                                      <w:spacing w:val="-11"/>
                                      <w:sz w:val="21"/>
                                    </w:rPr>
                                    <w:t xml:space="preserve"> </w:t>
                                  </w:r>
                                  <w:r>
                                    <w:rPr>
                                      <w:spacing w:val="-5"/>
                                      <w:sz w:val="21"/>
                                    </w:rPr>
                                    <w:t>of</w:t>
                                  </w:r>
                                </w:p>
                              </w:tc>
                              <w:tc>
                                <w:tcPr>
                                  <w:tcW w:w="1747" w:type="dxa"/>
                                </w:tcPr>
                                <w:p w:rsidR="003F5784" w14:textId="77777777">
                                  <w:pPr>
                                    <w:pStyle w:val="TableParagraph"/>
                                    <w:spacing w:before="0" w:line="215" w:lineRule="exact"/>
                                    <w:ind w:right="261"/>
                                    <w:rPr>
                                      <w:sz w:val="21"/>
                                    </w:rPr>
                                  </w:pPr>
                                  <w:r>
                                    <w:rPr>
                                      <w:sz w:val="21"/>
                                    </w:rPr>
                                    <w:t>percentage</w:t>
                                  </w:r>
                                  <w:r>
                                    <w:rPr>
                                      <w:spacing w:val="-11"/>
                                      <w:sz w:val="21"/>
                                    </w:rPr>
                                    <w:t xml:space="preserve"> </w:t>
                                  </w:r>
                                  <w:r>
                                    <w:rPr>
                                      <w:spacing w:val="-5"/>
                                      <w:sz w:val="21"/>
                                    </w:rPr>
                                    <w:t>of</w:t>
                                  </w:r>
                                </w:p>
                              </w:tc>
                              <w:tc>
                                <w:tcPr>
                                  <w:tcW w:w="1187" w:type="dxa"/>
                                </w:tcPr>
                                <w:p w:rsidR="003F5784" w14:textId="77777777">
                                  <w:pPr>
                                    <w:pStyle w:val="TableParagraph"/>
                                    <w:spacing w:before="0" w:line="215" w:lineRule="exact"/>
                                    <w:ind w:right="128"/>
                                    <w:rPr>
                                      <w:sz w:val="21"/>
                                    </w:rPr>
                                  </w:pPr>
                                  <w:r>
                                    <w:rPr>
                                      <w:spacing w:val="-2"/>
                                      <w:sz w:val="21"/>
                                    </w:rPr>
                                    <w:t>student</w:t>
                                  </w:r>
                                </w:p>
                              </w:tc>
                              <w:tc>
                                <w:tcPr>
                                  <w:tcW w:w="1615" w:type="dxa"/>
                                </w:tcPr>
                                <w:p w:rsidR="003F5784" w14:textId="77777777">
                                  <w:pPr>
                                    <w:pStyle w:val="TableParagraph"/>
                                    <w:spacing w:before="0" w:line="215" w:lineRule="exact"/>
                                    <w:ind w:right="128"/>
                                    <w:rPr>
                                      <w:sz w:val="21"/>
                                    </w:rPr>
                                  </w:pPr>
                                  <w:r>
                                    <w:rPr>
                                      <w:sz w:val="21"/>
                                    </w:rPr>
                                    <w:t>percentage</w:t>
                                  </w:r>
                                  <w:r>
                                    <w:rPr>
                                      <w:spacing w:val="-11"/>
                                      <w:sz w:val="21"/>
                                    </w:rPr>
                                    <w:t xml:space="preserve"> </w:t>
                                  </w:r>
                                  <w:r>
                                    <w:rPr>
                                      <w:spacing w:val="-5"/>
                                      <w:sz w:val="21"/>
                                    </w:rPr>
                                    <w:t>of</w:t>
                                  </w:r>
                                </w:p>
                              </w:tc>
                              <w:tc>
                                <w:tcPr>
                                  <w:tcW w:w="1605" w:type="dxa"/>
                                </w:tcPr>
                                <w:p w:rsidR="003F5784" w14:textId="77777777">
                                  <w:pPr>
                                    <w:pStyle w:val="TableParagraph"/>
                                    <w:spacing w:before="0" w:line="215" w:lineRule="exact"/>
                                    <w:ind w:right="120"/>
                                    <w:rPr>
                                      <w:sz w:val="21"/>
                                    </w:rPr>
                                  </w:pPr>
                                  <w:r>
                                    <w:rPr>
                                      <w:sz w:val="21"/>
                                    </w:rPr>
                                    <w:t>percentage</w:t>
                                  </w:r>
                                  <w:r>
                                    <w:rPr>
                                      <w:spacing w:val="-11"/>
                                      <w:sz w:val="21"/>
                                    </w:rPr>
                                    <w:t xml:space="preserve"> </w:t>
                                  </w:r>
                                  <w:r>
                                    <w:rPr>
                                      <w:spacing w:val="-5"/>
                                      <w:sz w:val="21"/>
                                    </w:rPr>
                                    <w:t>of</w:t>
                                  </w:r>
                                </w:p>
                              </w:tc>
                            </w:tr>
                            <w:tr w14:paraId="32EEE032" w14:textId="77777777">
                              <w:tblPrEx>
                                <w:tblW w:w="0" w:type="auto"/>
                                <w:tblInd w:w="67" w:type="dxa"/>
                                <w:tblLayout w:type="fixed"/>
                                <w:tblCellMar>
                                  <w:left w:w="0" w:type="dxa"/>
                                  <w:right w:w="0" w:type="dxa"/>
                                </w:tblCellMar>
                                <w:tblLook w:val="01E0"/>
                              </w:tblPrEx>
                              <w:trPr>
                                <w:trHeight w:val="234"/>
                              </w:trPr>
                              <w:tc>
                                <w:tcPr>
                                  <w:tcW w:w="1332" w:type="dxa"/>
                                </w:tcPr>
                                <w:p w:rsidR="003F5784" w14:textId="77777777">
                                  <w:pPr>
                                    <w:pStyle w:val="TableParagraph"/>
                                    <w:spacing w:before="0" w:line="215" w:lineRule="exact"/>
                                    <w:ind w:right="127"/>
                                    <w:rPr>
                                      <w:sz w:val="21"/>
                                    </w:rPr>
                                  </w:pPr>
                                  <w:r>
                                    <w:rPr>
                                      <w:spacing w:val="-2"/>
                                      <w:sz w:val="21"/>
                                    </w:rPr>
                                    <w:t>response</w:t>
                                  </w:r>
                                </w:p>
                              </w:tc>
                              <w:tc>
                                <w:tcPr>
                                  <w:tcW w:w="1614" w:type="dxa"/>
                                </w:tcPr>
                                <w:p w:rsidR="003F5784" w14:textId="77777777">
                                  <w:pPr>
                                    <w:pStyle w:val="TableParagraph"/>
                                    <w:spacing w:before="0" w:line="215" w:lineRule="exact"/>
                                    <w:ind w:right="128"/>
                                    <w:rPr>
                                      <w:sz w:val="21"/>
                                    </w:rPr>
                                  </w:pPr>
                                  <w:r>
                                    <w:rPr>
                                      <w:sz w:val="21"/>
                                    </w:rPr>
                                    <w:t>all</w:t>
                                  </w:r>
                                  <w:r>
                                    <w:rPr>
                                      <w:spacing w:val="-6"/>
                                      <w:sz w:val="21"/>
                                    </w:rPr>
                                    <w:t xml:space="preserve"> </w:t>
                                  </w:r>
                                  <w:r>
                                    <w:rPr>
                                      <w:sz w:val="21"/>
                                    </w:rPr>
                                    <w:t>students</w:t>
                                  </w:r>
                                  <w:r>
                                    <w:rPr>
                                      <w:spacing w:val="-5"/>
                                      <w:sz w:val="21"/>
                                    </w:rPr>
                                    <w:t xml:space="preserve"> who</w:t>
                                  </w:r>
                                </w:p>
                              </w:tc>
                              <w:tc>
                                <w:tcPr>
                                  <w:tcW w:w="1747" w:type="dxa"/>
                                </w:tcPr>
                                <w:p w:rsidR="003F5784" w14:textId="77777777">
                                  <w:pPr>
                                    <w:pStyle w:val="TableParagraph"/>
                                    <w:spacing w:before="0" w:line="215" w:lineRule="exact"/>
                                    <w:ind w:right="261"/>
                                    <w:rPr>
                                      <w:sz w:val="21"/>
                                    </w:rPr>
                                  </w:pPr>
                                  <w:r>
                                    <w:rPr>
                                      <w:sz w:val="21"/>
                                    </w:rPr>
                                    <w:t>all</w:t>
                                  </w:r>
                                  <w:r>
                                    <w:rPr>
                                      <w:spacing w:val="-6"/>
                                      <w:sz w:val="21"/>
                                    </w:rPr>
                                    <w:t xml:space="preserve"> </w:t>
                                  </w:r>
                                  <w:r>
                                    <w:rPr>
                                      <w:sz w:val="21"/>
                                    </w:rPr>
                                    <w:t>students</w:t>
                                  </w:r>
                                  <w:r>
                                    <w:rPr>
                                      <w:spacing w:val="-5"/>
                                      <w:sz w:val="21"/>
                                    </w:rPr>
                                    <w:t xml:space="preserve"> who</w:t>
                                  </w:r>
                                </w:p>
                              </w:tc>
                              <w:tc>
                                <w:tcPr>
                                  <w:tcW w:w="1187" w:type="dxa"/>
                                </w:tcPr>
                                <w:p w:rsidR="003F5784" w14:textId="77777777">
                                  <w:pPr>
                                    <w:pStyle w:val="TableParagraph"/>
                                    <w:spacing w:before="0" w:line="215" w:lineRule="exact"/>
                                    <w:ind w:right="128"/>
                                    <w:rPr>
                                      <w:sz w:val="21"/>
                                    </w:rPr>
                                  </w:pPr>
                                  <w:r>
                                    <w:rPr>
                                      <w:spacing w:val="-2"/>
                                      <w:sz w:val="21"/>
                                    </w:rPr>
                                    <w:t>response</w:t>
                                  </w:r>
                                </w:p>
                              </w:tc>
                              <w:tc>
                                <w:tcPr>
                                  <w:tcW w:w="1615" w:type="dxa"/>
                                </w:tcPr>
                                <w:p w:rsidR="003F5784" w14:textId="77777777">
                                  <w:pPr>
                                    <w:pStyle w:val="TableParagraph"/>
                                    <w:spacing w:before="0" w:line="215" w:lineRule="exact"/>
                                    <w:ind w:right="128"/>
                                    <w:rPr>
                                      <w:sz w:val="21"/>
                                    </w:rPr>
                                  </w:pPr>
                                  <w:r>
                                    <w:rPr>
                                      <w:sz w:val="21"/>
                                    </w:rPr>
                                    <w:t>all</w:t>
                                  </w:r>
                                  <w:r>
                                    <w:rPr>
                                      <w:spacing w:val="-6"/>
                                      <w:sz w:val="21"/>
                                    </w:rPr>
                                    <w:t xml:space="preserve"> </w:t>
                                  </w:r>
                                  <w:r>
                                    <w:rPr>
                                      <w:sz w:val="21"/>
                                    </w:rPr>
                                    <w:t>students</w:t>
                                  </w:r>
                                  <w:r>
                                    <w:rPr>
                                      <w:spacing w:val="-5"/>
                                      <w:sz w:val="21"/>
                                    </w:rPr>
                                    <w:t xml:space="preserve"> who</w:t>
                                  </w:r>
                                </w:p>
                              </w:tc>
                              <w:tc>
                                <w:tcPr>
                                  <w:tcW w:w="1605" w:type="dxa"/>
                                </w:tcPr>
                                <w:p w:rsidR="003F5784" w14:textId="77777777">
                                  <w:pPr>
                                    <w:pStyle w:val="TableParagraph"/>
                                    <w:spacing w:before="0" w:line="215" w:lineRule="exact"/>
                                    <w:ind w:right="120"/>
                                    <w:rPr>
                                      <w:sz w:val="21"/>
                                    </w:rPr>
                                  </w:pPr>
                                  <w:r>
                                    <w:rPr>
                                      <w:sz w:val="21"/>
                                    </w:rPr>
                                    <w:t>all</w:t>
                                  </w:r>
                                  <w:r>
                                    <w:rPr>
                                      <w:spacing w:val="-6"/>
                                      <w:sz w:val="21"/>
                                    </w:rPr>
                                    <w:t xml:space="preserve"> </w:t>
                                  </w:r>
                                  <w:r>
                                    <w:rPr>
                                      <w:sz w:val="21"/>
                                    </w:rPr>
                                    <w:t>students</w:t>
                                  </w:r>
                                  <w:r>
                                    <w:rPr>
                                      <w:spacing w:val="-5"/>
                                      <w:sz w:val="21"/>
                                    </w:rPr>
                                    <w:t xml:space="preserve"> who</w:t>
                                  </w:r>
                                </w:p>
                              </w:tc>
                            </w:tr>
                            <w:tr w14:paraId="1186DE1D" w14:textId="77777777">
                              <w:tblPrEx>
                                <w:tblW w:w="0" w:type="auto"/>
                                <w:tblInd w:w="67" w:type="dxa"/>
                                <w:tblLayout w:type="fixed"/>
                                <w:tblCellMar>
                                  <w:left w:w="0" w:type="dxa"/>
                                  <w:right w:w="0" w:type="dxa"/>
                                </w:tblCellMar>
                                <w:tblLook w:val="01E0"/>
                              </w:tblPrEx>
                              <w:trPr>
                                <w:trHeight w:val="234"/>
                              </w:trPr>
                              <w:tc>
                                <w:tcPr>
                                  <w:tcW w:w="1332" w:type="dxa"/>
                                </w:tcPr>
                                <w:p w:rsidR="003F5784" w14:textId="77777777">
                                  <w:pPr>
                                    <w:pStyle w:val="TableParagraph"/>
                                    <w:spacing w:before="0" w:line="215" w:lineRule="exact"/>
                                    <w:ind w:right="127"/>
                                    <w:rPr>
                                      <w:sz w:val="21"/>
                                    </w:rPr>
                                  </w:pPr>
                                  <w:r>
                                    <w:rPr>
                                      <w:spacing w:val="-2"/>
                                      <w:sz w:val="21"/>
                                    </w:rPr>
                                    <w:t>rates</w:t>
                                  </w:r>
                                </w:p>
                              </w:tc>
                              <w:tc>
                                <w:tcPr>
                                  <w:tcW w:w="1614" w:type="dxa"/>
                                </w:tcPr>
                                <w:p w:rsidR="003F5784" w14:textId="77777777">
                                  <w:pPr>
                                    <w:pStyle w:val="TableParagraph"/>
                                    <w:spacing w:before="0" w:line="215" w:lineRule="exact"/>
                                    <w:ind w:right="126"/>
                                    <w:rPr>
                                      <w:sz w:val="21"/>
                                    </w:rPr>
                                  </w:pPr>
                                  <w:r>
                                    <w:rPr>
                                      <w:sz w:val="21"/>
                                    </w:rPr>
                                    <w:t>were</w:t>
                                  </w:r>
                                  <w:r>
                                    <w:rPr>
                                      <w:spacing w:val="-5"/>
                                      <w:sz w:val="21"/>
                                    </w:rPr>
                                    <w:t xml:space="preserve"> </w:t>
                                  </w:r>
                                  <w:r>
                                    <w:rPr>
                                      <w:sz w:val="21"/>
                                    </w:rPr>
                                    <w:t>SD</w:t>
                                  </w:r>
                                  <w:r>
                                    <w:rPr>
                                      <w:spacing w:val="-4"/>
                                      <w:sz w:val="21"/>
                                    </w:rPr>
                                    <w:t xml:space="preserve"> </w:t>
                                  </w:r>
                                  <w:r>
                                    <w:rPr>
                                      <w:spacing w:val="-5"/>
                                      <w:sz w:val="21"/>
                                    </w:rPr>
                                    <w:t>and</w:t>
                                  </w:r>
                                </w:p>
                              </w:tc>
                              <w:tc>
                                <w:tcPr>
                                  <w:tcW w:w="1747" w:type="dxa"/>
                                </w:tcPr>
                                <w:p w:rsidR="003F5784" w14:textId="77777777">
                                  <w:pPr>
                                    <w:pStyle w:val="TableParagraph"/>
                                    <w:spacing w:before="0" w:line="215" w:lineRule="exact"/>
                                    <w:ind w:right="261"/>
                                    <w:rPr>
                                      <w:sz w:val="21"/>
                                    </w:rPr>
                                  </w:pPr>
                                  <w:r>
                                    <w:rPr>
                                      <w:sz w:val="21"/>
                                    </w:rPr>
                                    <w:t>were</w:t>
                                  </w:r>
                                  <w:r>
                                    <w:rPr>
                                      <w:spacing w:val="-5"/>
                                      <w:sz w:val="21"/>
                                    </w:rPr>
                                    <w:t xml:space="preserve"> </w:t>
                                  </w:r>
                                  <w:r>
                                    <w:rPr>
                                      <w:sz w:val="21"/>
                                    </w:rPr>
                                    <w:t>EL</w:t>
                                  </w:r>
                                  <w:r>
                                    <w:rPr>
                                      <w:spacing w:val="-12"/>
                                      <w:sz w:val="21"/>
                                    </w:rPr>
                                    <w:t xml:space="preserve"> </w:t>
                                  </w:r>
                                  <w:r>
                                    <w:rPr>
                                      <w:spacing w:val="-5"/>
                                      <w:sz w:val="21"/>
                                    </w:rPr>
                                    <w:t>and</w:t>
                                  </w:r>
                                </w:p>
                              </w:tc>
                              <w:tc>
                                <w:tcPr>
                                  <w:tcW w:w="1187" w:type="dxa"/>
                                </w:tcPr>
                                <w:p w:rsidR="003F5784" w14:textId="77777777">
                                  <w:pPr>
                                    <w:pStyle w:val="TableParagraph"/>
                                    <w:spacing w:before="0" w:line="215" w:lineRule="exact"/>
                                    <w:ind w:right="128"/>
                                    <w:rPr>
                                      <w:sz w:val="21"/>
                                    </w:rPr>
                                  </w:pPr>
                                  <w:r>
                                    <w:rPr>
                                      <w:spacing w:val="-2"/>
                                      <w:sz w:val="21"/>
                                    </w:rPr>
                                    <w:t>rates</w:t>
                                  </w:r>
                                </w:p>
                              </w:tc>
                              <w:tc>
                                <w:tcPr>
                                  <w:tcW w:w="1615" w:type="dxa"/>
                                </w:tcPr>
                                <w:p w:rsidR="003F5784" w14:textId="77777777">
                                  <w:pPr>
                                    <w:pStyle w:val="TableParagraph"/>
                                    <w:spacing w:before="0" w:line="215" w:lineRule="exact"/>
                                    <w:ind w:right="128"/>
                                    <w:rPr>
                                      <w:sz w:val="21"/>
                                    </w:rPr>
                                  </w:pPr>
                                  <w:r>
                                    <w:rPr>
                                      <w:sz w:val="21"/>
                                    </w:rPr>
                                    <w:t>were</w:t>
                                  </w:r>
                                  <w:r>
                                    <w:rPr>
                                      <w:spacing w:val="-5"/>
                                      <w:sz w:val="21"/>
                                    </w:rPr>
                                    <w:t xml:space="preserve"> </w:t>
                                  </w:r>
                                  <w:r>
                                    <w:rPr>
                                      <w:sz w:val="21"/>
                                    </w:rPr>
                                    <w:t>SD</w:t>
                                  </w:r>
                                  <w:r>
                                    <w:rPr>
                                      <w:spacing w:val="-4"/>
                                      <w:sz w:val="21"/>
                                    </w:rPr>
                                    <w:t xml:space="preserve"> </w:t>
                                  </w:r>
                                  <w:r>
                                    <w:rPr>
                                      <w:spacing w:val="-5"/>
                                      <w:sz w:val="21"/>
                                    </w:rPr>
                                    <w:t>and</w:t>
                                  </w:r>
                                </w:p>
                              </w:tc>
                              <w:tc>
                                <w:tcPr>
                                  <w:tcW w:w="1605" w:type="dxa"/>
                                </w:tcPr>
                                <w:p w:rsidR="003F5784" w14:textId="77777777">
                                  <w:pPr>
                                    <w:pStyle w:val="TableParagraph"/>
                                    <w:spacing w:before="0" w:line="215" w:lineRule="exact"/>
                                    <w:ind w:right="120"/>
                                    <w:rPr>
                                      <w:sz w:val="21"/>
                                    </w:rPr>
                                  </w:pPr>
                                  <w:r>
                                    <w:rPr>
                                      <w:sz w:val="21"/>
                                    </w:rPr>
                                    <w:t>were</w:t>
                                  </w:r>
                                  <w:r>
                                    <w:rPr>
                                      <w:spacing w:val="-5"/>
                                      <w:sz w:val="21"/>
                                    </w:rPr>
                                    <w:t xml:space="preserve"> </w:t>
                                  </w:r>
                                  <w:r>
                                    <w:rPr>
                                      <w:sz w:val="21"/>
                                    </w:rPr>
                                    <w:t>EL</w:t>
                                  </w:r>
                                  <w:r>
                                    <w:rPr>
                                      <w:spacing w:val="-12"/>
                                      <w:sz w:val="21"/>
                                    </w:rPr>
                                    <w:t xml:space="preserve"> </w:t>
                                  </w:r>
                                  <w:r>
                                    <w:rPr>
                                      <w:spacing w:val="-5"/>
                                      <w:sz w:val="21"/>
                                    </w:rPr>
                                    <w:t>and</w:t>
                                  </w:r>
                                </w:p>
                              </w:tc>
                            </w:tr>
                            <w:tr w14:paraId="7D5B1B1E" w14:textId="77777777">
                              <w:tblPrEx>
                                <w:tblW w:w="0" w:type="auto"/>
                                <w:tblInd w:w="67" w:type="dxa"/>
                                <w:tblLayout w:type="fixed"/>
                                <w:tblCellMar>
                                  <w:left w:w="0" w:type="dxa"/>
                                  <w:right w:w="0" w:type="dxa"/>
                                </w:tblCellMar>
                                <w:tblLook w:val="01E0"/>
                              </w:tblPrEx>
                              <w:trPr>
                                <w:trHeight w:val="232"/>
                              </w:trPr>
                              <w:tc>
                                <w:tcPr>
                                  <w:tcW w:w="1332" w:type="dxa"/>
                                </w:tcPr>
                                <w:p w:rsidR="003F5784" w14:textId="77777777">
                                  <w:pPr>
                                    <w:pStyle w:val="TableParagraph"/>
                                    <w:spacing w:before="0" w:line="213" w:lineRule="exact"/>
                                    <w:ind w:right="127"/>
                                    <w:rPr>
                                      <w:sz w:val="21"/>
                                    </w:rPr>
                                  </w:pPr>
                                  <w:r>
                                    <w:rPr>
                                      <w:spacing w:val="-2"/>
                                      <w:sz w:val="21"/>
                                    </w:rPr>
                                    <w:t>(percent)</w:t>
                                  </w:r>
                                </w:p>
                              </w:tc>
                              <w:tc>
                                <w:tcPr>
                                  <w:tcW w:w="1614" w:type="dxa"/>
                                </w:tcPr>
                                <w:p w:rsidR="003F5784" w14:textId="77777777">
                                  <w:pPr>
                                    <w:pStyle w:val="TableParagraph"/>
                                    <w:spacing w:before="0" w:line="213" w:lineRule="exact"/>
                                    <w:ind w:right="126"/>
                                    <w:rPr>
                                      <w:sz w:val="21"/>
                                    </w:rPr>
                                  </w:pPr>
                                  <w:r>
                                    <w:rPr>
                                      <w:spacing w:val="-2"/>
                                      <w:sz w:val="21"/>
                                    </w:rPr>
                                    <w:t>excluded</w:t>
                                  </w:r>
                                </w:p>
                              </w:tc>
                              <w:tc>
                                <w:tcPr>
                                  <w:tcW w:w="1747" w:type="dxa"/>
                                </w:tcPr>
                                <w:p w:rsidR="003F5784" w14:textId="77777777">
                                  <w:pPr>
                                    <w:pStyle w:val="TableParagraph"/>
                                    <w:spacing w:before="0" w:line="213" w:lineRule="exact"/>
                                    <w:ind w:right="261"/>
                                    <w:rPr>
                                      <w:sz w:val="21"/>
                                    </w:rPr>
                                  </w:pPr>
                                  <w:r>
                                    <w:rPr>
                                      <w:spacing w:val="-2"/>
                                      <w:sz w:val="21"/>
                                    </w:rPr>
                                    <w:t>excluded</w:t>
                                  </w:r>
                                </w:p>
                              </w:tc>
                              <w:tc>
                                <w:tcPr>
                                  <w:tcW w:w="1187" w:type="dxa"/>
                                </w:tcPr>
                                <w:p w:rsidR="003F5784" w14:textId="77777777">
                                  <w:pPr>
                                    <w:pStyle w:val="TableParagraph"/>
                                    <w:spacing w:before="0" w:line="213" w:lineRule="exact"/>
                                    <w:ind w:right="128"/>
                                    <w:rPr>
                                      <w:sz w:val="21"/>
                                    </w:rPr>
                                  </w:pPr>
                                  <w:r>
                                    <w:rPr>
                                      <w:spacing w:val="-2"/>
                                      <w:sz w:val="21"/>
                                    </w:rPr>
                                    <w:t>(percent)</w:t>
                                  </w:r>
                                </w:p>
                              </w:tc>
                              <w:tc>
                                <w:tcPr>
                                  <w:tcW w:w="1615" w:type="dxa"/>
                                </w:tcPr>
                                <w:p w:rsidR="003F5784" w14:textId="77777777">
                                  <w:pPr>
                                    <w:pStyle w:val="TableParagraph"/>
                                    <w:spacing w:before="0" w:line="213" w:lineRule="exact"/>
                                    <w:ind w:right="128"/>
                                    <w:rPr>
                                      <w:sz w:val="21"/>
                                    </w:rPr>
                                  </w:pPr>
                                  <w:r>
                                    <w:rPr>
                                      <w:spacing w:val="-2"/>
                                      <w:sz w:val="21"/>
                                    </w:rPr>
                                    <w:t>excluded</w:t>
                                  </w:r>
                                </w:p>
                              </w:tc>
                              <w:tc>
                                <w:tcPr>
                                  <w:tcW w:w="1605" w:type="dxa"/>
                                </w:tcPr>
                                <w:p w:rsidR="003F5784" w14:textId="77777777">
                                  <w:pPr>
                                    <w:pStyle w:val="TableParagraph"/>
                                    <w:spacing w:before="0" w:line="213" w:lineRule="exact"/>
                                    <w:ind w:right="120"/>
                                    <w:rPr>
                                      <w:sz w:val="21"/>
                                    </w:rPr>
                                  </w:pPr>
                                  <w:r>
                                    <w:rPr>
                                      <w:spacing w:val="-2"/>
                                      <w:sz w:val="21"/>
                                    </w:rPr>
                                    <w:t>excluded</w:t>
                                  </w:r>
                                </w:p>
                              </w:tc>
                            </w:tr>
                          </w:tbl>
                          <w:p w:rsidR="003F5784" w14:textId="77777777">
                            <w:pPr>
                              <w:pStyle w:val="BodyText"/>
                            </w:pPr>
                          </w:p>
                        </w:txbxContent>
                      </wps:txbx>
                      <wps:bodyPr wrap="square" lIns="0" tIns="0" rIns="0" bIns="0" rtlCol="0"/>
                    </wps:wsp>
                  </a:graphicData>
                </a:graphic>
              </wp:anchor>
            </w:drawing>
          </mc:Choice>
          <mc:Fallback>
            <w:pict>
              <v:shape id="Textbox 383" o:spid="_x0000_s1143" type="#_x0000_t202" style="width:460.85pt;height:73.95pt;margin-top:-62.05pt;margin-left:288.1pt;mso-position-horizontal-relative:page;mso-wrap-distance-bottom:0;mso-wrap-distance-left:0;mso-wrap-distance-right:0;mso-wrap-distance-top:0;mso-wrap-style:square;position:absolute;visibility:visible;v-text-anchor:top;z-index:251667456" filled="f" stroked="f">
                <v:textbox inset="0,0,0,0">
                  <w:txbxContent>
                    <w:tbl>
                      <w:tblPr>
                        <w:tblW w:w="0" w:type="auto"/>
                        <w:tblInd w:w="67" w:type="dxa"/>
                        <w:tblLayout w:type="fixed"/>
                        <w:tblCellMar>
                          <w:left w:w="0" w:type="dxa"/>
                          <w:right w:w="0" w:type="dxa"/>
                        </w:tblCellMar>
                        <w:tblLook w:val="01E0"/>
                      </w:tblPr>
                      <w:tblGrid>
                        <w:gridCol w:w="1332"/>
                        <w:gridCol w:w="1614"/>
                        <w:gridCol w:w="1747"/>
                        <w:gridCol w:w="1187"/>
                        <w:gridCol w:w="1615"/>
                        <w:gridCol w:w="1605"/>
                      </w:tblGrid>
                      <w:tr w14:paraId="2066CB07" w14:textId="77777777">
                        <w:tblPrEx>
                          <w:tblW w:w="0" w:type="auto"/>
                          <w:tblInd w:w="67" w:type="dxa"/>
                          <w:tblLayout w:type="fixed"/>
                          <w:tblCellMar>
                            <w:left w:w="0" w:type="dxa"/>
                            <w:right w:w="0" w:type="dxa"/>
                          </w:tblCellMar>
                          <w:tblLook w:val="01E0"/>
                        </w:tblPrEx>
                        <w:trPr>
                          <w:trHeight w:val="248"/>
                        </w:trPr>
                        <w:tc>
                          <w:tcPr>
                            <w:tcW w:w="1332" w:type="dxa"/>
                            <w:tcBorders>
                              <w:bottom w:val="single" w:sz="18" w:space="0" w:color="800000"/>
                            </w:tcBorders>
                          </w:tcPr>
                          <w:p w:rsidR="003F5784" w14:paraId="2B1922CD" w14:textId="77777777">
                            <w:pPr>
                              <w:pStyle w:val="TableParagraph"/>
                              <w:spacing w:before="0"/>
                              <w:jc w:val="left"/>
                              <w:rPr>
                                <w:sz w:val="18"/>
                              </w:rPr>
                            </w:pPr>
                          </w:p>
                        </w:tc>
                        <w:tc>
                          <w:tcPr>
                            <w:tcW w:w="1614" w:type="dxa"/>
                            <w:tcBorders>
                              <w:bottom w:val="single" w:sz="18" w:space="0" w:color="800000"/>
                            </w:tcBorders>
                          </w:tcPr>
                          <w:p w:rsidR="003F5784" w14:paraId="7E58CFD6" w14:textId="77777777">
                            <w:pPr>
                              <w:pStyle w:val="TableParagraph"/>
                              <w:spacing w:before="0" w:line="228" w:lineRule="exact"/>
                              <w:ind w:left="608"/>
                              <w:jc w:val="left"/>
                              <w:rPr>
                                <w:sz w:val="21"/>
                              </w:rPr>
                            </w:pPr>
                            <w:r>
                              <w:rPr>
                                <w:sz w:val="21"/>
                              </w:rPr>
                              <w:t>Grade</w:t>
                            </w:r>
                            <w:r>
                              <w:rPr>
                                <w:spacing w:val="-7"/>
                                <w:sz w:val="21"/>
                              </w:rPr>
                              <w:t xml:space="preserve"> </w:t>
                            </w:r>
                            <w:r>
                              <w:rPr>
                                <w:spacing w:val="-10"/>
                                <w:sz w:val="21"/>
                              </w:rPr>
                              <w:t>4</w:t>
                            </w:r>
                          </w:p>
                        </w:tc>
                        <w:tc>
                          <w:tcPr>
                            <w:tcW w:w="1747" w:type="dxa"/>
                            <w:tcBorders>
                              <w:bottom w:val="single" w:sz="18" w:space="0" w:color="800000"/>
                            </w:tcBorders>
                          </w:tcPr>
                          <w:p w:rsidR="003F5784" w14:paraId="302A3BE1" w14:textId="77777777">
                            <w:pPr>
                              <w:pStyle w:val="TableParagraph"/>
                              <w:spacing w:before="0"/>
                              <w:jc w:val="left"/>
                              <w:rPr>
                                <w:sz w:val="18"/>
                              </w:rPr>
                            </w:pPr>
                          </w:p>
                        </w:tc>
                        <w:tc>
                          <w:tcPr>
                            <w:tcW w:w="1187" w:type="dxa"/>
                            <w:tcBorders>
                              <w:bottom w:val="single" w:sz="18" w:space="0" w:color="800000"/>
                            </w:tcBorders>
                          </w:tcPr>
                          <w:p w:rsidR="003F5784" w14:paraId="5F47F962" w14:textId="77777777">
                            <w:pPr>
                              <w:pStyle w:val="TableParagraph"/>
                              <w:spacing w:before="0"/>
                              <w:jc w:val="left"/>
                              <w:rPr>
                                <w:sz w:val="18"/>
                              </w:rPr>
                            </w:pPr>
                          </w:p>
                        </w:tc>
                        <w:tc>
                          <w:tcPr>
                            <w:tcW w:w="1615" w:type="dxa"/>
                            <w:tcBorders>
                              <w:bottom w:val="single" w:sz="18" w:space="0" w:color="800000"/>
                            </w:tcBorders>
                          </w:tcPr>
                          <w:p w:rsidR="003F5784" w14:paraId="67370BDA" w14:textId="77777777">
                            <w:pPr>
                              <w:pStyle w:val="TableParagraph"/>
                              <w:spacing w:before="0" w:line="228" w:lineRule="exact"/>
                              <w:ind w:left="608"/>
                              <w:jc w:val="left"/>
                              <w:rPr>
                                <w:sz w:val="21"/>
                              </w:rPr>
                            </w:pPr>
                            <w:r>
                              <w:rPr>
                                <w:sz w:val="21"/>
                              </w:rPr>
                              <w:t>Grade</w:t>
                            </w:r>
                            <w:r>
                              <w:rPr>
                                <w:spacing w:val="-7"/>
                                <w:sz w:val="21"/>
                              </w:rPr>
                              <w:t xml:space="preserve"> </w:t>
                            </w:r>
                            <w:r>
                              <w:rPr>
                                <w:spacing w:val="-10"/>
                                <w:sz w:val="21"/>
                              </w:rPr>
                              <w:t>8</w:t>
                            </w:r>
                          </w:p>
                        </w:tc>
                        <w:tc>
                          <w:tcPr>
                            <w:tcW w:w="1605" w:type="dxa"/>
                            <w:tcBorders>
                              <w:bottom w:val="single" w:sz="18" w:space="0" w:color="800000"/>
                            </w:tcBorders>
                          </w:tcPr>
                          <w:p w:rsidR="003F5784" w14:paraId="45CE8F93" w14:textId="77777777">
                            <w:pPr>
                              <w:pStyle w:val="TableParagraph"/>
                              <w:spacing w:before="0"/>
                              <w:jc w:val="left"/>
                              <w:rPr>
                                <w:sz w:val="18"/>
                              </w:rPr>
                            </w:pPr>
                          </w:p>
                        </w:tc>
                      </w:tr>
                      <w:tr w14:paraId="3A56A2F3" w14:textId="77777777">
                        <w:tblPrEx>
                          <w:tblW w:w="0" w:type="auto"/>
                          <w:tblInd w:w="67" w:type="dxa"/>
                          <w:tblLayout w:type="fixed"/>
                          <w:tblCellMar>
                            <w:left w:w="0" w:type="dxa"/>
                            <w:right w:w="0" w:type="dxa"/>
                          </w:tblCellMar>
                          <w:tblLook w:val="01E0"/>
                        </w:tblPrEx>
                        <w:trPr>
                          <w:trHeight w:val="252"/>
                        </w:trPr>
                        <w:tc>
                          <w:tcPr>
                            <w:tcW w:w="1332" w:type="dxa"/>
                            <w:tcBorders>
                              <w:top w:val="single" w:sz="18" w:space="0" w:color="800000"/>
                            </w:tcBorders>
                          </w:tcPr>
                          <w:p w:rsidR="003F5784" w14:paraId="2287901B" w14:textId="77777777">
                            <w:pPr>
                              <w:pStyle w:val="TableParagraph"/>
                              <w:spacing w:before="9" w:line="223" w:lineRule="exact"/>
                              <w:ind w:right="128"/>
                              <w:rPr>
                                <w:sz w:val="21"/>
                              </w:rPr>
                            </w:pPr>
                            <w:r>
                              <w:rPr>
                                <w:spacing w:val="-2"/>
                                <w:sz w:val="21"/>
                              </w:rPr>
                              <w:t>Weighted</w:t>
                            </w:r>
                          </w:p>
                        </w:tc>
                        <w:tc>
                          <w:tcPr>
                            <w:tcW w:w="1614" w:type="dxa"/>
                            <w:tcBorders>
                              <w:top w:val="single" w:sz="18" w:space="0" w:color="800000"/>
                            </w:tcBorders>
                          </w:tcPr>
                          <w:p w:rsidR="003F5784" w14:paraId="45B01700" w14:textId="77777777">
                            <w:pPr>
                              <w:pStyle w:val="TableParagraph"/>
                              <w:spacing w:before="9" w:line="223" w:lineRule="exact"/>
                              <w:ind w:right="128"/>
                              <w:rPr>
                                <w:sz w:val="21"/>
                              </w:rPr>
                            </w:pPr>
                            <w:r>
                              <w:rPr>
                                <w:spacing w:val="-2"/>
                                <w:sz w:val="21"/>
                              </w:rPr>
                              <w:t>Weighted</w:t>
                            </w:r>
                          </w:p>
                        </w:tc>
                        <w:tc>
                          <w:tcPr>
                            <w:tcW w:w="1747" w:type="dxa"/>
                            <w:tcBorders>
                              <w:top w:val="single" w:sz="18" w:space="0" w:color="800000"/>
                            </w:tcBorders>
                          </w:tcPr>
                          <w:p w:rsidR="003F5784" w14:paraId="0F6F47E0" w14:textId="77777777">
                            <w:pPr>
                              <w:pStyle w:val="TableParagraph"/>
                              <w:spacing w:before="9" w:line="223" w:lineRule="exact"/>
                              <w:ind w:right="261"/>
                              <w:rPr>
                                <w:sz w:val="21"/>
                              </w:rPr>
                            </w:pPr>
                            <w:r>
                              <w:rPr>
                                <w:spacing w:val="-2"/>
                                <w:sz w:val="21"/>
                              </w:rPr>
                              <w:t>Weighted</w:t>
                            </w:r>
                          </w:p>
                        </w:tc>
                        <w:tc>
                          <w:tcPr>
                            <w:tcW w:w="1187" w:type="dxa"/>
                            <w:tcBorders>
                              <w:top w:val="single" w:sz="18" w:space="0" w:color="800000"/>
                            </w:tcBorders>
                          </w:tcPr>
                          <w:p w:rsidR="003F5784" w14:paraId="3B250CEE" w14:textId="77777777">
                            <w:pPr>
                              <w:pStyle w:val="TableParagraph"/>
                              <w:spacing w:before="9" w:line="223" w:lineRule="exact"/>
                              <w:ind w:right="129"/>
                              <w:rPr>
                                <w:sz w:val="21"/>
                              </w:rPr>
                            </w:pPr>
                            <w:r>
                              <w:rPr>
                                <w:spacing w:val="-2"/>
                                <w:sz w:val="21"/>
                              </w:rPr>
                              <w:t>Weighted</w:t>
                            </w:r>
                          </w:p>
                        </w:tc>
                        <w:tc>
                          <w:tcPr>
                            <w:tcW w:w="1615" w:type="dxa"/>
                            <w:tcBorders>
                              <w:top w:val="single" w:sz="18" w:space="0" w:color="800000"/>
                            </w:tcBorders>
                          </w:tcPr>
                          <w:p w:rsidR="003F5784" w14:paraId="176DD4EA" w14:textId="77777777">
                            <w:pPr>
                              <w:pStyle w:val="TableParagraph"/>
                              <w:spacing w:before="9" w:line="223" w:lineRule="exact"/>
                              <w:ind w:right="128"/>
                              <w:rPr>
                                <w:sz w:val="21"/>
                              </w:rPr>
                            </w:pPr>
                            <w:r>
                              <w:rPr>
                                <w:spacing w:val="-2"/>
                                <w:sz w:val="21"/>
                              </w:rPr>
                              <w:t>Weighted</w:t>
                            </w:r>
                          </w:p>
                        </w:tc>
                        <w:tc>
                          <w:tcPr>
                            <w:tcW w:w="1605" w:type="dxa"/>
                            <w:tcBorders>
                              <w:top w:val="single" w:sz="18" w:space="0" w:color="800000"/>
                            </w:tcBorders>
                          </w:tcPr>
                          <w:p w:rsidR="003F5784" w14:paraId="6B8DCF4D" w14:textId="77777777">
                            <w:pPr>
                              <w:pStyle w:val="TableParagraph"/>
                              <w:spacing w:before="9" w:line="223" w:lineRule="exact"/>
                              <w:ind w:right="120"/>
                              <w:rPr>
                                <w:sz w:val="21"/>
                              </w:rPr>
                            </w:pPr>
                            <w:r>
                              <w:rPr>
                                <w:spacing w:val="-2"/>
                                <w:sz w:val="21"/>
                              </w:rPr>
                              <w:t>Weighted</w:t>
                            </w:r>
                          </w:p>
                        </w:tc>
                      </w:tr>
                      <w:tr w14:paraId="11E13A5F" w14:textId="77777777">
                        <w:tblPrEx>
                          <w:tblW w:w="0" w:type="auto"/>
                          <w:tblInd w:w="67" w:type="dxa"/>
                          <w:tblLayout w:type="fixed"/>
                          <w:tblCellMar>
                            <w:left w:w="0" w:type="dxa"/>
                            <w:right w:w="0" w:type="dxa"/>
                          </w:tblCellMar>
                          <w:tblLook w:val="01E0"/>
                        </w:tblPrEx>
                        <w:trPr>
                          <w:trHeight w:val="234"/>
                        </w:trPr>
                        <w:tc>
                          <w:tcPr>
                            <w:tcW w:w="1332" w:type="dxa"/>
                          </w:tcPr>
                          <w:p w:rsidR="003F5784" w14:paraId="28B6265C" w14:textId="77777777">
                            <w:pPr>
                              <w:pStyle w:val="TableParagraph"/>
                              <w:spacing w:before="0" w:line="215" w:lineRule="exact"/>
                              <w:ind w:right="127"/>
                              <w:rPr>
                                <w:sz w:val="21"/>
                              </w:rPr>
                            </w:pPr>
                            <w:r>
                              <w:rPr>
                                <w:spacing w:val="-2"/>
                                <w:sz w:val="21"/>
                              </w:rPr>
                              <w:t>student</w:t>
                            </w:r>
                          </w:p>
                        </w:tc>
                        <w:tc>
                          <w:tcPr>
                            <w:tcW w:w="1614" w:type="dxa"/>
                          </w:tcPr>
                          <w:p w:rsidR="003F5784" w14:paraId="6EEA6858" w14:textId="77777777">
                            <w:pPr>
                              <w:pStyle w:val="TableParagraph"/>
                              <w:spacing w:before="0" w:line="215" w:lineRule="exact"/>
                              <w:ind w:right="126"/>
                              <w:rPr>
                                <w:sz w:val="21"/>
                              </w:rPr>
                            </w:pPr>
                            <w:r>
                              <w:rPr>
                                <w:sz w:val="21"/>
                              </w:rPr>
                              <w:t>percentage</w:t>
                            </w:r>
                            <w:r>
                              <w:rPr>
                                <w:spacing w:val="-11"/>
                                <w:sz w:val="21"/>
                              </w:rPr>
                              <w:t xml:space="preserve"> </w:t>
                            </w:r>
                            <w:r>
                              <w:rPr>
                                <w:spacing w:val="-5"/>
                                <w:sz w:val="21"/>
                              </w:rPr>
                              <w:t>of</w:t>
                            </w:r>
                          </w:p>
                        </w:tc>
                        <w:tc>
                          <w:tcPr>
                            <w:tcW w:w="1747" w:type="dxa"/>
                          </w:tcPr>
                          <w:p w:rsidR="003F5784" w14:paraId="31B1D867" w14:textId="77777777">
                            <w:pPr>
                              <w:pStyle w:val="TableParagraph"/>
                              <w:spacing w:before="0" w:line="215" w:lineRule="exact"/>
                              <w:ind w:right="261"/>
                              <w:rPr>
                                <w:sz w:val="21"/>
                              </w:rPr>
                            </w:pPr>
                            <w:r>
                              <w:rPr>
                                <w:sz w:val="21"/>
                              </w:rPr>
                              <w:t>percentage</w:t>
                            </w:r>
                            <w:r>
                              <w:rPr>
                                <w:spacing w:val="-11"/>
                                <w:sz w:val="21"/>
                              </w:rPr>
                              <w:t xml:space="preserve"> </w:t>
                            </w:r>
                            <w:r>
                              <w:rPr>
                                <w:spacing w:val="-5"/>
                                <w:sz w:val="21"/>
                              </w:rPr>
                              <w:t>of</w:t>
                            </w:r>
                          </w:p>
                        </w:tc>
                        <w:tc>
                          <w:tcPr>
                            <w:tcW w:w="1187" w:type="dxa"/>
                          </w:tcPr>
                          <w:p w:rsidR="003F5784" w14:paraId="0EC7B892" w14:textId="77777777">
                            <w:pPr>
                              <w:pStyle w:val="TableParagraph"/>
                              <w:spacing w:before="0" w:line="215" w:lineRule="exact"/>
                              <w:ind w:right="128"/>
                              <w:rPr>
                                <w:sz w:val="21"/>
                              </w:rPr>
                            </w:pPr>
                            <w:r>
                              <w:rPr>
                                <w:spacing w:val="-2"/>
                                <w:sz w:val="21"/>
                              </w:rPr>
                              <w:t>student</w:t>
                            </w:r>
                          </w:p>
                        </w:tc>
                        <w:tc>
                          <w:tcPr>
                            <w:tcW w:w="1615" w:type="dxa"/>
                          </w:tcPr>
                          <w:p w:rsidR="003F5784" w14:paraId="1F0061A7" w14:textId="77777777">
                            <w:pPr>
                              <w:pStyle w:val="TableParagraph"/>
                              <w:spacing w:before="0" w:line="215" w:lineRule="exact"/>
                              <w:ind w:right="128"/>
                              <w:rPr>
                                <w:sz w:val="21"/>
                              </w:rPr>
                            </w:pPr>
                            <w:r>
                              <w:rPr>
                                <w:sz w:val="21"/>
                              </w:rPr>
                              <w:t>percentage</w:t>
                            </w:r>
                            <w:r>
                              <w:rPr>
                                <w:spacing w:val="-11"/>
                                <w:sz w:val="21"/>
                              </w:rPr>
                              <w:t xml:space="preserve"> </w:t>
                            </w:r>
                            <w:r>
                              <w:rPr>
                                <w:spacing w:val="-5"/>
                                <w:sz w:val="21"/>
                              </w:rPr>
                              <w:t>of</w:t>
                            </w:r>
                          </w:p>
                        </w:tc>
                        <w:tc>
                          <w:tcPr>
                            <w:tcW w:w="1605" w:type="dxa"/>
                          </w:tcPr>
                          <w:p w:rsidR="003F5784" w14:paraId="6CAF0860" w14:textId="77777777">
                            <w:pPr>
                              <w:pStyle w:val="TableParagraph"/>
                              <w:spacing w:before="0" w:line="215" w:lineRule="exact"/>
                              <w:ind w:right="120"/>
                              <w:rPr>
                                <w:sz w:val="21"/>
                              </w:rPr>
                            </w:pPr>
                            <w:r>
                              <w:rPr>
                                <w:sz w:val="21"/>
                              </w:rPr>
                              <w:t>percentage</w:t>
                            </w:r>
                            <w:r>
                              <w:rPr>
                                <w:spacing w:val="-11"/>
                                <w:sz w:val="21"/>
                              </w:rPr>
                              <w:t xml:space="preserve"> </w:t>
                            </w:r>
                            <w:r>
                              <w:rPr>
                                <w:spacing w:val="-5"/>
                                <w:sz w:val="21"/>
                              </w:rPr>
                              <w:t>of</w:t>
                            </w:r>
                          </w:p>
                        </w:tc>
                      </w:tr>
                      <w:tr w14:paraId="32EEE032" w14:textId="77777777">
                        <w:tblPrEx>
                          <w:tblW w:w="0" w:type="auto"/>
                          <w:tblInd w:w="67" w:type="dxa"/>
                          <w:tblLayout w:type="fixed"/>
                          <w:tblCellMar>
                            <w:left w:w="0" w:type="dxa"/>
                            <w:right w:w="0" w:type="dxa"/>
                          </w:tblCellMar>
                          <w:tblLook w:val="01E0"/>
                        </w:tblPrEx>
                        <w:trPr>
                          <w:trHeight w:val="234"/>
                        </w:trPr>
                        <w:tc>
                          <w:tcPr>
                            <w:tcW w:w="1332" w:type="dxa"/>
                          </w:tcPr>
                          <w:p w:rsidR="003F5784" w14:paraId="08890CC8" w14:textId="77777777">
                            <w:pPr>
                              <w:pStyle w:val="TableParagraph"/>
                              <w:spacing w:before="0" w:line="215" w:lineRule="exact"/>
                              <w:ind w:right="127"/>
                              <w:rPr>
                                <w:sz w:val="21"/>
                              </w:rPr>
                            </w:pPr>
                            <w:r>
                              <w:rPr>
                                <w:spacing w:val="-2"/>
                                <w:sz w:val="21"/>
                              </w:rPr>
                              <w:t>response</w:t>
                            </w:r>
                          </w:p>
                        </w:tc>
                        <w:tc>
                          <w:tcPr>
                            <w:tcW w:w="1614" w:type="dxa"/>
                          </w:tcPr>
                          <w:p w:rsidR="003F5784" w14:paraId="0CBC05F6" w14:textId="77777777">
                            <w:pPr>
                              <w:pStyle w:val="TableParagraph"/>
                              <w:spacing w:before="0" w:line="215" w:lineRule="exact"/>
                              <w:ind w:right="128"/>
                              <w:rPr>
                                <w:sz w:val="21"/>
                              </w:rPr>
                            </w:pPr>
                            <w:r>
                              <w:rPr>
                                <w:sz w:val="21"/>
                              </w:rPr>
                              <w:t>all</w:t>
                            </w:r>
                            <w:r>
                              <w:rPr>
                                <w:spacing w:val="-6"/>
                                <w:sz w:val="21"/>
                              </w:rPr>
                              <w:t xml:space="preserve"> </w:t>
                            </w:r>
                            <w:r>
                              <w:rPr>
                                <w:sz w:val="21"/>
                              </w:rPr>
                              <w:t>students</w:t>
                            </w:r>
                            <w:r>
                              <w:rPr>
                                <w:spacing w:val="-5"/>
                                <w:sz w:val="21"/>
                              </w:rPr>
                              <w:t xml:space="preserve"> who</w:t>
                            </w:r>
                          </w:p>
                        </w:tc>
                        <w:tc>
                          <w:tcPr>
                            <w:tcW w:w="1747" w:type="dxa"/>
                          </w:tcPr>
                          <w:p w:rsidR="003F5784" w14:paraId="243D75C7" w14:textId="77777777">
                            <w:pPr>
                              <w:pStyle w:val="TableParagraph"/>
                              <w:spacing w:before="0" w:line="215" w:lineRule="exact"/>
                              <w:ind w:right="261"/>
                              <w:rPr>
                                <w:sz w:val="21"/>
                              </w:rPr>
                            </w:pPr>
                            <w:r>
                              <w:rPr>
                                <w:sz w:val="21"/>
                              </w:rPr>
                              <w:t>all</w:t>
                            </w:r>
                            <w:r>
                              <w:rPr>
                                <w:spacing w:val="-6"/>
                                <w:sz w:val="21"/>
                              </w:rPr>
                              <w:t xml:space="preserve"> </w:t>
                            </w:r>
                            <w:r>
                              <w:rPr>
                                <w:sz w:val="21"/>
                              </w:rPr>
                              <w:t>students</w:t>
                            </w:r>
                            <w:r>
                              <w:rPr>
                                <w:spacing w:val="-5"/>
                                <w:sz w:val="21"/>
                              </w:rPr>
                              <w:t xml:space="preserve"> who</w:t>
                            </w:r>
                          </w:p>
                        </w:tc>
                        <w:tc>
                          <w:tcPr>
                            <w:tcW w:w="1187" w:type="dxa"/>
                          </w:tcPr>
                          <w:p w:rsidR="003F5784" w14:paraId="64DC0ABD" w14:textId="77777777">
                            <w:pPr>
                              <w:pStyle w:val="TableParagraph"/>
                              <w:spacing w:before="0" w:line="215" w:lineRule="exact"/>
                              <w:ind w:right="128"/>
                              <w:rPr>
                                <w:sz w:val="21"/>
                              </w:rPr>
                            </w:pPr>
                            <w:r>
                              <w:rPr>
                                <w:spacing w:val="-2"/>
                                <w:sz w:val="21"/>
                              </w:rPr>
                              <w:t>response</w:t>
                            </w:r>
                          </w:p>
                        </w:tc>
                        <w:tc>
                          <w:tcPr>
                            <w:tcW w:w="1615" w:type="dxa"/>
                          </w:tcPr>
                          <w:p w:rsidR="003F5784" w14:paraId="6894DE62" w14:textId="77777777">
                            <w:pPr>
                              <w:pStyle w:val="TableParagraph"/>
                              <w:spacing w:before="0" w:line="215" w:lineRule="exact"/>
                              <w:ind w:right="128"/>
                              <w:rPr>
                                <w:sz w:val="21"/>
                              </w:rPr>
                            </w:pPr>
                            <w:r>
                              <w:rPr>
                                <w:sz w:val="21"/>
                              </w:rPr>
                              <w:t>all</w:t>
                            </w:r>
                            <w:r>
                              <w:rPr>
                                <w:spacing w:val="-6"/>
                                <w:sz w:val="21"/>
                              </w:rPr>
                              <w:t xml:space="preserve"> </w:t>
                            </w:r>
                            <w:r>
                              <w:rPr>
                                <w:sz w:val="21"/>
                              </w:rPr>
                              <w:t>students</w:t>
                            </w:r>
                            <w:r>
                              <w:rPr>
                                <w:spacing w:val="-5"/>
                                <w:sz w:val="21"/>
                              </w:rPr>
                              <w:t xml:space="preserve"> who</w:t>
                            </w:r>
                          </w:p>
                        </w:tc>
                        <w:tc>
                          <w:tcPr>
                            <w:tcW w:w="1605" w:type="dxa"/>
                          </w:tcPr>
                          <w:p w:rsidR="003F5784" w14:paraId="32243AC2" w14:textId="77777777">
                            <w:pPr>
                              <w:pStyle w:val="TableParagraph"/>
                              <w:spacing w:before="0" w:line="215" w:lineRule="exact"/>
                              <w:ind w:right="120"/>
                              <w:rPr>
                                <w:sz w:val="21"/>
                              </w:rPr>
                            </w:pPr>
                            <w:r>
                              <w:rPr>
                                <w:sz w:val="21"/>
                              </w:rPr>
                              <w:t>all</w:t>
                            </w:r>
                            <w:r>
                              <w:rPr>
                                <w:spacing w:val="-6"/>
                                <w:sz w:val="21"/>
                              </w:rPr>
                              <w:t xml:space="preserve"> </w:t>
                            </w:r>
                            <w:r>
                              <w:rPr>
                                <w:sz w:val="21"/>
                              </w:rPr>
                              <w:t>students</w:t>
                            </w:r>
                            <w:r>
                              <w:rPr>
                                <w:spacing w:val="-5"/>
                                <w:sz w:val="21"/>
                              </w:rPr>
                              <w:t xml:space="preserve"> who</w:t>
                            </w:r>
                          </w:p>
                        </w:tc>
                      </w:tr>
                      <w:tr w14:paraId="1186DE1D" w14:textId="77777777">
                        <w:tblPrEx>
                          <w:tblW w:w="0" w:type="auto"/>
                          <w:tblInd w:w="67" w:type="dxa"/>
                          <w:tblLayout w:type="fixed"/>
                          <w:tblCellMar>
                            <w:left w:w="0" w:type="dxa"/>
                            <w:right w:w="0" w:type="dxa"/>
                          </w:tblCellMar>
                          <w:tblLook w:val="01E0"/>
                        </w:tblPrEx>
                        <w:trPr>
                          <w:trHeight w:val="234"/>
                        </w:trPr>
                        <w:tc>
                          <w:tcPr>
                            <w:tcW w:w="1332" w:type="dxa"/>
                          </w:tcPr>
                          <w:p w:rsidR="003F5784" w14:paraId="111BAF17" w14:textId="77777777">
                            <w:pPr>
                              <w:pStyle w:val="TableParagraph"/>
                              <w:spacing w:before="0" w:line="215" w:lineRule="exact"/>
                              <w:ind w:right="127"/>
                              <w:rPr>
                                <w:sz w:val="21"/>
                              </w:rPr>
                            </w:pPr>
                            <w:r>
                              <w:rPr>
                                <w:spacing w:val="-2"/>
                                <w:sz w:val="21"/>
                              </w:rPr>
                              <w:t>rates</w:t>
                            </w:r>
                          </w:p>
                        </w:tc>
                        <w:tc>
                          <w:tcPr>
                            <w:tcW w:w="1614" w:type="dxa"/>
                          </w:tcPr>
                          <w:p w:rsidR="003F5784" w14:paraId="6E18BF6C" w14:textId="77777777">
                            <w:pPr>
                              <w:pStyle w:val="TableParagraph"/>
                              <w:spacing w:before="0" w:line="215" w:lineRule="exact"/>
                              <w:ind w:right="126"/>
                              <w:rPr>
                                <w:sz w:val="21"/>
                              </w:rPr>
                            </w:pPr>
                            <w:r>
                              <w:rPr>
                                <w:sz w:val="21"/>
                              </w:rPr>
                              <w:t>were</w:t>
                            </w:r>
                            <w:r>
                              <w:rPr>
                                <w:spacing w:val="-5"/>
                                <w:sz w:val="21"/>
                              </w:rPr>
                              <w:t xml:space="preserve"> </w:t>
                            </w:r>
                            <w:r>
                              <w:rPr>
                                <w:sz w:val="21"/>
                              </w:rPr>
                              <w:t>SD</w:t>
                            </w:r>
                            <w:r>
                              <w:rPr>
                                <w:spacing w:val="-4"/>
                                <w:sz w:val="21"/>
                              </w:rPr>
                              <w:t xml:space="preserve"> </w:t>
                            </w:r>
                            <w:r>
                              <w:rPr>
                                <w:spacing w:val="-5"/>
                                <w:sz w:val="21"/>
                              </w:rPr>
                              <w:t>and</w:t>
                            </w:r>
                          </w:p>
                        </w:tc>
                        <w:tc>
                          <w:tcPr>
                            <w:tcW w:w="1747" w:type="dxa"/>
                          </w:tcPr>
                          <w:p w:rsidR="003F5784" w14:paraId="467489AC" w14:textId="77777777">
                            <w:pPr>
                              <w:pStyle w:val="TableParagraph"/>
                              <w:spacing w:before="0" w:line="215" w:lineRule="exact"/>
                              <w:ind w:right="261"/>
                              <w:rPr>
                                <w:sz w:val="21"/>
                              </w:rPr>
                            </w:pPr>
                            <w:r>
                              <w:rPr>
                                <w:sz w:val="21"/>
                              </w:rPr>
                              <w:t>were</w:t>
                            </w:r>
                            <w:r>
                              <w:rPr>
                                <w:spacing w:val="-5"/>
                                <w:sz w:val="21"/>
                              </w:rPr>
                              <w:t xml:space="preserve"> </w:t>
                            </w:r>
                            <w:r>
                              <w:rPr>
                                <w:sz w:val="21"/>
                              </w:rPr>
                              <w:t>EL</w:t>
                            </w:r>
                            <w:r>
                              <w:rPr>
                                <w:spacing w:val="-12"/>
                                <w:sz w:val="21"/>
                              </w:rPr>
                              <w:t xml:space="preserve"> </w:t>
                            </w:r>
                            <w:r>
                              <w:rPr>
                                <w:spacing w:val="-5"/>
                                <w:sz w:val="21"/>
                              </w:rPr>
                              <w:t>and</w:t>
                            </w:r>
                          </w:p>
                        </w:tc>
                        <w:tc>
                          <w:tcPr>
                            <w:tcW w:w="1187" w:type="dxa"/>
                          </w:tcPr>
                          <w:p w:rsidR="003F5784" w14:paraId="7FD253A3" w14:textId="77777777">
                            <w:pPr>
                              <w:pStyle w:val="TableParagraph"/>
                              <w:spacing w:before="0" w:line="215" w:lineRule="exact"/>
                              <w:ind w:right="128"/>
                              <w:rPr>
                                <w:sz w:val="21"/>
                              </w:rPr>
                            </w:pPr>
                            <w:r>
                              <w:rPr>
                                <w:spacing w:val="-2"/>
                                <w:sz w:val="21"/>
                              </w:rPr>
                              <w:t>rates</w:t>
                            </w:r>
                          </w:p>
                        </w:tc>
                        <w:tc>
                          <w:tcPr>
                            <w:tcW w:w="1615" w:type="dxa"/>
                          </w:tcPr>
                          <w:p w:rsidR="003F5784" w14:paraId="42DF9158" w14:textId="77777777">
                            <w:pPr>
                              <w:pStyle w:val="TableParagraph"/>
                              <w:spacing w:before="0" w:line="215" w:lineRule="exact"/>
                              <w:ind w:right="128"/>
                              <w:rPr>
                                <w:sz w:val="21"/>
                              </w:rPr>
                            </w:pPr>
                            <w:r>
                              <w:rPr>
                                <w:sz w:val="21"/>
                              </w:rPr>
                              <w:t>were</w:t>
                            </w:r>
                            <w:r>
                              <w:rPr>
                                <w:spacing w:val="-5"/>
                                <w:sz w:val="21"/>
                              </w:rPr>
                              <w:t xml:space="preserve"> </w:t>
                            </w:r>
                            <w:r>
                              <w:rPr>
                                <w:sz w:val="21"/>
                              </w:rPr>
                              <w:t>SD</w:t>
                            </w:r>
                            <w:r>
                              <w:rPr>
                                <w:spacing w:val="-4"/>
                                <w:sz w:val="21"/>
                              </w:rPr>
                              <w:t xml:space="preserve"> </w:t>
                            </w:r>
                            <w:r>
                              <w:rPr>
                                <w:spacing w:val="-5"/>
                                <w:sz w:val="21"/>
                              </w:rPr>
                              <w:t>and</w:t>
                            </w:r>
                          </w:p>
                        </w:tc>
                        <w:tc>
                          <w:tcPr>
                            <w:tcW w:w="1605" w:type="dxa"/>
                          </w:tcPr>
                          <w:p w:rsidR="003F5784" w14:paraId="15D7C400" w14:textId="77777777">
                            <w:pPr>
                              <w:pStyle w:val="TableParagraph"/>
                              <w:spacing w:before="0" w:line="215" w:lineRule="exact"/>
                              <w:ind w:right="120"/>
                              <w:rPr>
                                <w:sz w:val="21"/>
                              </w:rPr>
                            </w:pPr>
                            <w:r>
                              <w:rPr>
                                <w:sz w:val="21"/>
                              </w:rPr>
                              <w:t>were</w:t>
                            </w:r>
                            <w:r>
                              <w:rPr>
                                <w:spacing w:val="-5"/>
                                <w:sz w:val="21"/>
                              </w:rPr>
                              <w:t xml:space="preserve"> </w:t>
                            </w:r>
                            <w:r>
                              <w:rPr>
                                <w:sz w:val="21"/>
                              </w:rPr>
                              <w:t>EL</w:t>
                            </w:r>
                            <w:r>
                              <w:rPr>
                                <w:spacing w:val="-12"/>
                                <w:sz w:val="21"/>
                              </w:rPr>
                              <w:t xml:space="preserve"> </w:t>
                            </w:r>
                            <w:r>
                              <w:rPr>
                                <w:spacing w:val="-5"/>
                                <w:sz w:val="21"/>
                              </w:rPr>
                              <w:t>and</w:t>
                            </w:r>
                          </w:p>
                        </w:tc>
                      </w:tr>
                      <w:tr w14:paraId="7D5B1B1E" w14:textId="77777777">
                        <w:tblPrEx>
                          <w:tblW w:w="0" w:type="auto"/>
                          <w:tblInd w:w="67" w:type="dxa"/>
                          <w:tblLayout w:type="fixed"/>
                          <w:tblCellMar>
                            <w:left w:w="0" w:type="dxa"/>
                            <w:right w:w="0" w:type="dxa"/>
                          </w:tblCellMar>
                          <w:tblLook w:val="01E0"/>
                        </w:tblPrEx>
                        <w:trPr>
                          <w:trHeight w:val="232"/>
                        </w:trPr>
                        <w:tc>
                          <w:tcPr>
                            <w:tcW w:w="1332" w:type="dxa"/>
                          </w:tcPr>
                          <w:p w:rsidR="003F5784" w14:paraId="7E03B528" w14:textId="77777777">
                            <w:pPr>
                              <w:pStyle w:val="TableParagraph"/>
                              <w:spacing w:before="0" w:line="213" w:lineRule="exact"/>
                              <w:ind w:right="127"/>
                              <w:rPr>
                                <w:sz w:val="21"/>
                              </w:rPr>
                            </w:pPr>
                            <w:r>
                              <w:rPr>
                                <w:spacing w:val="-2"/>
                                <w:sz w:val="21"/>
                              </w:rPr>
                              <w:t>(percent)</w:t>
                            </w:r>
                          </w:p>
                        </w:tc>
                        <w:tc>
                          <w:tcPr>
                            <w:tcW w:w="1614" w:type="dxa"/>
                          </w:tcPr>
                          <w:p w:rsidR="003F5784" w14:paraId="6F49A954" w14:textId="77777777">
                            <w:pPr>
                              <w:pStyle w:val="TableParagraph"/>
                              <w:spacing w:before="0" w:line="213" w:lineRule="exact"/>
                              <w:ind w:right="126"/>
                              <w:rPr>
                                <w:sz w:val="21"/>
                              </w:rPr>
                            </w:pPr>
                            <w:r>
                              <w:rPr>
                                <w:spacing w:val="-2"/>
                                <w:sz w:val="21"/>
                              </w:rPr>
                              <w:t>excluded</w:t>
                            </w:r>
                          </w:p>
                        </w:tc>
                        <w:tc>
                          <w:tcPr>
                            <w:tcW w:w="1747" w:type="dxa"/>
                          </w:tcPr>
                          <w:p w:rsidR="003F5784" w14:paraId="77F1E7A2" w14:textId="77777777">
                            <w:pPr>
                              <w:pStyle w:val="TableParagraph"/>
                              <w:spacing w:before="0" w:line="213" w:lineRule="exact"/>
                              <w:ind w:right="261"/>
                              <w:rPr>
                                <w:sz w:val="21"/>
                              </w:rPr>
                            </w:pPr>
                            <w:r>
                              <w:rPr>
                                <w:spacing w:val="-2"/>
                                <w:sz w:val="21"/>
                              </w:rPr>
                              <w:t>excluded</w:t>
                            </w:r>
                          </w:p>
                        </w:tc>
                        <w:tc>
                          <w:tcPr>
                            <w:tcW w:w="1187" w:type="dxa"/>
                          </w:tcPr>
                          <w:p w:rsidR="003F5784" w14:paraId="16503641" w14:textId="77777777">
                            <w:pPr>
                              <w:pStyle w:val="TableParagraph"/>
                              <w:spacing w:before="0" w:line="213" w:lineRule="exact"/>
                              <w:ind w:right="128"/>
                              <w:rPr>
                                <w:sz w:val="21"/>
                              </w:rPr>
                            </w:pPr>
                            <w:r>
                              <w:rPr>
                                <w:spacing w:val="-2"/>
                                <w:sz w:val="21"/>
                              </w:rPr>
                              <w:t>(percent)</w:t>
                            </w:r>
                          </w:p>
                        </w:tc>
                        <w:tc>
                          <w:tcPr>
                            <w:tcW w:w="1615" w:type="dxa"/>
                          </w:tcPr>
                          <w:p w:rsidR="003F5784" w14:paraId="1E3E0D98" w14:textId="77777777">
                            <w:pPr>
                              <w:pStyle w:val="TableParagraph"/>
                              <w:spacing w:before="0" w:line="213" w:lineRule="exact"/>
                              <w:ind w:right="128"/>
                              <w:rPr>
                                <w:sz w:val="21"/>
                              </w:rPr>
                            </w:pPr>
                            <w:r>
                              <w:rPr>
                                <w:spacing w:val="-2"/>
                                <w:sz w:val="21"/>
                              </w:rPr>
                              <w:t>excluded</w:t>
                            </w:r>
                          </w:p>
                        </w:tc>
                        <w:tc>
                          <w:tcPr>
                            <w:tcW w:w="1605" w:type="dxa"/>
                          </w:tcPr>
                          <w:p w:rsidR="003F5784" w14:paraId="4D9C399D" w14:textId="77777777">
                            <w:pPr>
                              <w:pStyle w:val="TableParagraph"/>
                              <w:spacing w:before="0" w:line="213" w:lineRule="exact"/>
                              <w:ind w:right="120"/>
                              <w:rPr>
                                <w:sz w:val="21"/>
                              </w:rPr>
                            </w:pPr>
                            <w:r>
                              <w:rPr>
                                <w:spacing w:val="-2"/>
                                <w:sz w:val="21"/>
                              </w:rPr>
                              <w:t>excluded</w:t>
                            </w:r>
                          </w:p>
                        </w:tc>
                      </w:tr>
                    </w:tbl>
                    <w:p w:rsidR="003F5784" w14:paraId="2B2C3AFF" w14:textId="77777777">
                      <w:pPr>
                        <w:pStyle w:val="BodyText"/>
                      </w:pPr>
                    </w:p>
                  </w:txbxContent>
                </v:textbox>
              </v:shape>
            </w:pict>
          </mc:Fallback>
        </mc:AlternateContent>
      </w:r>
      <w:r>
        <w:rPr>
          <w:spacing w:val="-2"/>
        </w:rPr>
        <w:t>Jurisdiction</w:t>
      </w:r>
    </w:p>
    <w:tbl>
      <w:tblPr>
        <w:tblW w:w="0" w:type="auto"/>
        <w:tblInd w:w="482" w:type="dxa"/>
        <w:tblLayout w:type="fixed"/>
        <w:tblCellMar>
          <w:left w:w="0" w:type="dxa"/>
          <w:right w:w="0" w:type="dxa"/>
        </w:tblCellMar>
        <w:tblLook w:val="01E0"/>
      </w:tblPr>
      <w:tblGrid>
        <w:gridCol w:w="4041"/>
        <w:gridCol w:w="2137"/>
        <w:gridCol w:w="1620"/>
        <w:gridCol w:w="1710"/>
        <w:gridCol w:w="1260"/>
        <w:gridCol w:w="1620"/>
        <w:gridCol w:w="1595"/>
      </w:tblGrid>
      <w:tr w14:paraId="50EAF202" w14:textId="77777777" w:rsidTr="00E3225D">
        <w:tblPrEx>
          <w:tblW w:w="0" w:type="auto"/>
          <w:tblInd w:w="482" w:type="dxa"/>
          <w:tblLayout w:type="fixed"/>
          <w:tblCellMar>
            <w:left w:w="0" w:type="dxa"/>
            <w:right w:w="0" w:type="dxa"/>
          </w:tblCellMar>
          <w:tblLook w:val="01E0"/>
        </w:tblPrEx>
        <w:trPr>
          <w:trHeight w:val="278"/>
        </w:trPr>
        <w:tc>
          <w:tcPr>
            <w:tcW w:w="4041" w:type="dxa"/>
            <w:tcBorders>
              <w:top w:val="single" w:sz="18" w:space="0" w:color="800000"/>
            </w:tcBorders>
          </w:tcPr>
          <w:p w:rsidR="003F5784" w14:paraId="206A40A1" w14:textId="77777777">
            <w:pPr>
              <w:pStyle w:val="TableParagraph"/>
              <w:spacing w:before="9"/>
              <w:ind w:left="120"/>
              <w:jc w:val="left"/>
              <w:rPr>
                <w:sz w:val="21"/>
              </w:rPr>
            </w:pPr>
            <w:r>
              <w:rPr>
                <w:spacing w:val="-2"/>
                <w:sz w:val="21"/>
              </w:rPr>
              <w:t>Hawaii</w:t>
            </w:r>
          </w:p>
        </w:tc>
        <w:tc>
          <w:tcPr>
            <w:tcW w:w="2137" w:type="dxa"/>
            <w:tcBorders>
              <w:top w:val="single" w:sz="18" w:space="0" w:color="800000"/>
            </w:tcBorders>
          </w:tcPr>
          <w:p w:rsidR="003F5784" w14:paraId="273E1730" w14:textId="77777777">
            <w:pPr>
              <w:pStyle w:val="TableParagraph"/>
              <w:spacing w:before="9"/>
              <w:ind w:right="622"/>
              <w:rPr>
                <w:sz w:val="21"/>
              </w:rPr>
            </w:pPr>
            <w:r>
              <w:rPr>
                <w:spacing w:val="-2"/>
                <w:sz w:val="21"/>
              </w:rPr>
              <w:t>88.58</w:t>
            </w:r>
          </w:p>
        </w:tc>
        <w:tc>
          <w:tcPr>
            <w:tcW w:w="1620" w:type="dxa"/>
            <w:tcBorders>
              <w:top w:val="single" w:sz="18" w:space="0" w:color="800000"/>
            </w:tcBorders>
          </w:tcPr>
          <w:p w:rsidR="003F5784" w14:paraId="140C56D8" w14:textId="77777777">
            <w:pPr>
              <w:pStyle w:val="TableParagraph"/>
              <w:spacing w:before="9"/>
              <w:ind w:left="9" w:right="8"/>
              <w:jc w:val="center"/>
              <w:rPr>
                <w:sz w:val="21"/>
              </w:rPr>
            </w:pPr>
            <w:r>
              <w:rPr>
                <w:spacing w:val="-4"/>
                <w:sz w:val="21"/>
              </w:rPr>
              <w:t>1.07</w:t>
            </w:r>
          </w:p>
        </w:tc>
        <w:tc>
          <w:tcPr>
            <w:tcW w:w="1710" w:type="dxa"/>
            <w:tcBorders>
              <w:top w:val="single" w:sz="18" w:space="0" w:color="800000"/>
            </w:tcBorders>
          </w:tcPr>
          <w:p w:rsidR="003F5784" w14:paraId="386C5E1B" w14:textId="77777777">
            <w:pPr>
              <w:pStyle w:val="TableParagraph"/>
              <w:spacing w:before="9"/>
              <w:ind w:right="422"/>
              <w:rPr>
                <w:sz w:val="21"/>
              </w:rPr>
            </w:pPr>
            <w:r>
              <w:rPr>
                <w:spacing w:val="-4"/>
                <w:sz w:val="21"/>
              </w:rPr>
              <w:t>0.27</w:t>
            </w:r>
          </w:p>
        </w:tc>
        <w:tc>
          <w:tcPr>
            <w:tcW w:w="1260" w:type="dxa"/>
            <w:tcBorders>
              <w:top w:val="single" w:sz="18" w:space="0" w:color="800000"/>
            </w:tcBorders>
          </w:tcPr>
          <w:p w:rsidR="003F5784" w14:paraId="30631025" w14:textId="77777777">
            <w:pPr>
              <w:pStyle w:val="TableParagraph"/>
              <w:spacing w:before="9"/>
              <w:ind w:left="2" w:right="199"/>
              <w:jc w:val="center"/>
              <w:rPr>
                <w:sz w:val="21"/>
              </w:rPr>
            </w:pPr>
            <w:r>
              <w:rPr>
                <w:spacing w:val="-2"/>
                <w:sz w:val="21"/>
              </w:rPr>
              <w:t>83.42</w:t>
            </w:r>
          </w:p>
        </w:tc>
        <w:tc>
          <w:tcPr>
            <w:tcW w:w="1620" w:type="dxa"/>
            <w:tcBorders>
              <w:top w:val="single" w:sz="18" w:space="0" w:color="800000"/>
            </w:tcBorders>
          </w:tcPr>
          <w:p w:rsidR="003F5784" w14:paraId="636F2937" w14:textId="77777777">
            <w:pPr>
              <w:pStyle w:val="TableParagraph"/>
              <w:spacing w:before="9"/>
              <w:ind w:left="9" w:right="8"/>
              <w:jc w:val="center"/>
              <w:rPr>
                <w:sz w:val="21"/>
              </w:rPr>
            </w:pPr>
            <w:r>
              <w:rPr>
                <w:spacing w:val="-4"/>
                <w:sz w:val="21"/>
              </w:rPr>
              <w:t>1.26</w:t>
            </w:r>
          </w:p>
        </w:tc>
        <w:tc>
          <w:tcPr>
            <w:tcW w:w="1595" w:type="dxa"/>
            <w:tcBorders>
              <w:top w:val="single" w:sz="18" w:space="0" w:color="800000"/>
            </w:tcBorders>
          </w:tcPr>
          <w:p w:rsidR="003F5784" w14:paraId="3A8D11A6" w14:textId="77777777">
            <w:pPr>
              <w:pStyle w:val="TableParagraph"/>
              <w:spacing w:before="9"/>
              <w:ind w:right="116"/>
              <w:rPr>
                <w:sz w:val="21"/>
              </w:rPr>
            </w:pPr>
            <w:r>
              <w:rPr>
                <w:spacing w:val="-4"/>
                <w:sz w:val="21"/>
              </w:rPr>
              <w:t>0.40</w:t>
            </w:r>
          </w:p>
        </w:tc>
      </w:tr>
      <w:tr w14:paraId="2EE95AC0"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6053155C" w14:textId="77777777">
            <w:pPr>
              <w:pStyle w:val="TableParagraph"/>
              <w:ind w:left="120"/>
              <w:jc w:val="left"/>
              <w:rPr>
                <w:sz w:val="21"/>
              </w:rPr>
            </w:pPr>
            <w:r>
              <w:rPr>
                <w:spacing w:val="-2"/>
                <w:sz w:val="21"/>
              </w:rPr>
              <w:t>Idaho</w:t>
            </w:r>
          </w:p>
        </w:tc>
        <w:tc>
          <w:tcPr>
            <w:tcW w:w="2137" w:type="dxa"/>
          </w:tcPr>
          <w:p w:rsidR="003F5784" w14:paraId="6E675411" w14:textId="77777777">
            <w:pPr>
              <w:pStyle w:val="TableParagraph"/>
              <w:ind w:right="622"/>
              <w:rPr>
                <w:sz w:val="21"/>
              </w:rPr>
            </w:pPr>
            <w:r>
              <w:rPr>
                <w:spacing w:val="-2"/>
                <w:sz w:val="21"/>
              </w:rPr>
              <w:t>92.45</w:t>
            </w:r>
          </w:p>
        </w:tc>
        <w:tc>
          <w:tcPr>
            <w:tcW w:w="1620" w:type="dxa"/>
          </w:tcPr>
          <w:p w:rsidR="003F5784" w14:paraId="0D1114BA" w14:textId="77777777">
            <w:pPr>
              <w:pStyle w:val="TableParagraph"/>
              <w:ind w:left="9" w:right="8"/>
              <w:jc w:val="center"/>
              <w:rPr>
                <w:sz w:val="21"/>
              </w:rPr>
            </w:pPr>
            <w:r>
              <w:rPr>
                <w:spacing w:val="-4"/>
                <w:sz w:val="21"/>
              </w:rPr>
              <w:t>1.58</w:t>
            </w:r>
          </w:p>
        </w:tc>
        <w:tc>
          <w:tcPr>
            <w:tcW w:w="1710" w:type="dxa"/>
          </w:tcPr>
          <w:p w:rsidR="003F5784" w14:paraId="6354E37B" w14:textId="77777777">
            <w:pPr>
              <w:pStyle w:val="TableParagraph"/>
              <w:ind w:right="422"/>
              <w:rPr>
                <w:sz w:val="21"/>
              </w:rPr>
            </w:pPr>
            <w:r>
              <w:rPr>
                <w:spacing w:val="-4"/>
                <w:sz w:val="21"/>
              </w:rPr>
              <w:t>0.26</w:t>
            </w:r>
          </w:p>
        </w:tc>
        <w:tc>
          <w:tcPr>
            <w:tcW w:w="1260" w:type="dxa"/>
          </w:tcPr>
          <w:p w:rsidR="003F5784" w14:paraId="4AA7E390" w14:textId="77777777">
            <w:pPr>
              <w:pStyle w:val="TableParagraph"/>
              <w:ind w:left="2" w:right="199"/>
              <w:jc w:val="center"/>
              <w:rPr>
                <w:sz w:val="21"/>
              </w:rPr>
            </w:pPr>
            <w:r>
              <w:rPr>
                <w:spacing w:val="-2"/>
                <w:sz w:val="21"/>
              </w:rPr>
              <w:t>91.03</w:t>
            </w:r>
          </w:p>
        </w:tc>
        <w:tc>
          <w:tcPr>
            <w:tcW w:w="1620" w:type="dxa"/>
          </w:tcPr>
          <w:p w:rsidR="003F5784" w14:paraId="25D1EB26" w14:textId="77777777">
            <w:pPr>
              <w:pStyle w:val="TableParagraph"/>
              <w:ind w:left="9" w:right="8"/>
              <w:jc w:val="center"/>
              <w:rPr>
                <w:sz w:val="21"/>
              </w:rPr>
            </w:pPr>
            <w:r>
              <w:rPr>
                <w:spacing w:val="-4"/>
                <w:sz w:val="21"/>
              </w:rPr>
              <w:t>1.41</w:t>
            </w:r>
          </w:p>
        </w:tc>
        <w:tc>
          <w:tcPr>
            <w:tcW w:w="1595" w:type="dxa"/>
          </w:tcPr>
          <w:p w:rsidR="003F5784" w14:paraId="0136D07F" w14:textId="77777777">
            <w:pPr>
              <w:pStyle w:val="TableParagraph"/>
              <w:ind w:right="116"/>
              <w:rPr>
                <w:sz w:val="21"/>
              </w:rPr>
            </w:pPr>
            <w:r>
              <w:rPr>
                <w:spacing w:val="-4"/>
                <w:sz w:val="21"/>
              </w:rPr>
              <w:t>0.62</w:t>
            </w:r>
          </w:p>
        </w:tc>
      </w:tr>
      <w:tr w14:paraId="3D99565C"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494B3D96" w14:textId="77777777">
            <w:pPr>
              <w:pStyle w:val="TableParagraph"/>
              <w:ind w:left="120"/>
              <w:jc w:val="left"/>
              <w:rPr>
                <w:sz w:val="21"/>
              </w:rPr>
            </w:pPr>
            <w:r>
              <w:rPr>
                <w:spacing w:val="-2"/>
                <w:sz w:val="21"/>
              </w:rPr>
              <w:t>Illinois–Chicago</w:t>
            </w:r>
          </w:p>
        </w:tc>
        <w:tc>
          <w:tcPr>
            <w:tcW w:w="2137" w:type="dxa"/>
          </w:tcPr>
          <w:p w:rsidR="003F5784" w14:paraId="66866D8F" w14:textId="77777777">
            <w:pPr>
              <w:pStyle w:val="TableParagraph"/>
              <w:ind w:right="622"/>
              <w:rPr>
                <w:sz w:val="21"/>
              </w:rPr>
            </w:pPr>
            <w:r>
              <w:rPr>
                <w:spacing w:val="-2"/>
                <w:sz w:val="21"/>
              </w:rPr>
              <w:t>89.02</w:t>
            </w:r>
          </w:p>
        </w:tc>
        <w:tc>
          <w:tcPr>
            <w:tcW w:w="1620" w:type="dxa"/>
          </w:tcPr>
          <w:p w:rsidR="003F5784" w14:paraId="4E25E2D0" w14:textId="77777777">
            <w:pPr>
              <w:pStyle w:val="TableParagraph"/>
              <w:ind w:left="9" w:right="8"/>
              <w:jc w:val="center"/>
              <w:rPr>
                <w:sz w:val="21"/>
              </w:rPr>
            </w:pPr>
            <w:r>
              <w:rPr>
                <w:spacing w:val="-4"/>
                <w:sz w:val="21"/>
              </w:rPr>
              <w:t>1.90</w:t>
            </w:r>
          </w:p>
        </w:tc>
        <w:tc>
          <w:tcPr>
            <w:tcW w:w="1710" w:type="dxa"/>
          </w:tcPr>
          <w:p w:rsidR="003F5784" w14:paraId="1E7B1391" w14:textId="77777777">
            <w:pPr>
              <w:pStyle w:val="TableParagraph"/>
              <w:ind w:right="422"/>
              <w:rPr>
                <w:sz w:val="21"/>
              </w:rPr>
            </w:pPr>
            <w:r>
              <w:rPr>
                <w:spacing w:val="-4"/>
                <w:sz w:val="21"/>
              </w:rPr>
              <w:t>1.18</w:t>
            </w:r>
          </w:p>
        </w:tc>
        <w:tc>
          <w:tcPr>
            <w:tcW w:w="1260" w:type="dxa"/>
          </w:tcPr>
          <w:p w:rsidR="003F5784" w14:paraId="72AA5885" w14:textId="77777777">
            <w:pPr>
              <w:pStyle w:val="TableParagraph"/>
              <w:ind w:left="2" w:right="199"/>
              <w:jc w:val="center"/>
              <w:rPr>
                <w:sz w:val="21"/>
              </w:rPr>
            </w:pPr>
            <w:r>
              <w:rPr>
                <w:spacing w:val="-2"/>
                <w:sz w:val="21"/>
              </w:rPr>
              <w:t>88.67</w:t>
            </w:r>
          </w:p>
        </w:tc>
        <w:tc>
          <w:tcPr>
            <w:tcW w:w="1620" w:type="dxa"/>
          </w:tcPr>
          <w:p w:rsidR="003F5784" w14:paraId="0C12E506" w14:textId="77777777">
            <w:pPr>
              <w:pStyle w:val="TableParagraph"/>
              <w:ind w:left="9" w:right="8"/>
              <w:jc w:val="center"/>
              <w:rPr>
                <w:sz w:val="21"/>
              </w:rPr>
            </w:pPr>
            <w:r>
              <w:rPr>
                <w:spacing w:val="-4"/>
                <w:sz w:val="21"/>
              </w:rPr>
              <w:t>1.26</w:t>
            </w:r>
          </w:p>
        </w:tc>
        <w:tc>
          <w:tcPr>
            <w:tcW w:w="1595" w:type="dxa"/>
          </w:tcPr>
          <w:p w:rsidR="003F5784" w14:paraId="4BE8D0A6" w14:textId="77777777">
            <w:pPr>
              <w:pStyle w:val="TableParagraph"/>
              <w:ind w:right="116"/>
              <w:rPr>
                <w:sz w:val="21"/>
              </w:rPr>
            </w:pPr>
            <w:r>
              <w:rPr>
                <w:spacing w:val="-4"/>
                <w:sz w:val="21"/>
              </w:rPr>
              <w:t>0.87</w:t>
            </w:r>
          </w:p>
        </w:tc>
      </w:tr>
      <w:tr w14:paraId="4704EEBD"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3E92CA09" w14:textId="77777777">
            <w:pPr>
              <w:pStyle w:val="TableParagraph"/>
              <w:ind w:left="120"/>
              <w:jc w:val="left"/>
              <w:rPr>
                <w:sz w:val="21"/>
              </w:rPr>
            </w:pPr>
            <w:r>
              <w:rPr>
                <w:spacing w:val="-2"/>
                <w:sz w:val="21"/>
              </w:rPr>
              <w:t>Illinois</w:t>
            </w:r>
          </w:p>
        </w:tc>
        <w:tc>
          <w:tcPr>
            <w:tcW w:w="2137" w:type="dxa"/>
          </w:tcPr>
          <w:p w:rsidR="003F5784" w14:paraId="205D811B" w14:textId="77777777">
            <w:pPr>
              <w:pStyle w:val="TableParagraph"/>
              <w:ind w:right="622"/>
              <w:rPr>
                <w:sz w:val="21"/>
              </w:rPr>
            </w:pPr>
            <w:r>
              <w:rPr>
                <w:spacing w:val="-2"/>
                <w:sz w:val="21"/>
              </w:rPr>
              <w:t>90.91</w:t>
            </w:r>
          </w:p>
        </w:tc>
        <w:tc>
          <w:tcPr>
            <w:tcW w:w="1620" w:type="dxa"/>
          </w:tcPr>
          <w:p w:rsidR="003F5784" w14:paraId="3E2EA760" w14:textId="77777777">
            <w:pPr>
              <w:pStyle w:val="TableParagraph"/>
              <w:ind w:left="9" w:right="8"/>
              <w:jc w:val="center"/>
              <w:rPr>
                <w:sz w:val="21"/>
              </w:rPr>
            </w:pPr>
            <w:r>
              <w:rPr>
                <w:spacing w:val="-4"/>
                <w:sz w:val="21"/>
              </w:rPr>
              <w:t>0.73</w:t>
            </w:r>
          </w:p>
        </w:tc>
        <w:tc>
          <w:tcPr>
            <w:tcW w:w="1710" w:type="dxa"/>
          </w:tcPr>
          <w:p w:rsidR="003F5784" w14:paraId="1ED7DB0E" w14:textId="77777777">
            <w:pPr>
              <w:pStyle w:val="TableParagraph"/>
              <w:ind w:right="422"/>
              <w:rPr>
                <w:sz w:val="21"/>
              </w:rPr>
            </w:pPr>
            <w:r>
              <w:rPr>
                <w:spacing w:val="-4"/>
                <w:sz w:val="21"/>
              </w:rPr>
              <w:t>0.50</w:t>
            </w:r>
          </w:p>
        </w:tc>
        <w:tc>
          <w:tcPr>
            <w:tcW w:w="1260" w:type="dxa"/>
          </w:tcPr>
          <w:p w:rsidR="003F5784" w14:paraId="59FB5F02" w14:textId="77777777">
            <w:pPr>
              <w:pStyle w:val="TableParagraph"/>
              <w:ind w:left="2" w:right="199"/>
              <w:jc w:val="center"/>
              <w:rPr>
                <w:sz w:val="21"/>
              </w:rPr>
            </w:pPr>
            <w:r>
              <w:rPr>
                <w:spacing w:val="-2"/>
                <w:sz w:val="21"/>
              </w:rPr>
              <w:t>88.38</w:t>
            </w:r>
          </w:p>
        </w:tc>
        <w:tc>
          <w:tcPr>
            <w:tcW w:w="1620" w:type="dxa"/>
          </w:tcPr>
          <w:p w:rsidR="003F5784" w14:paraId="1B78AF0A" w14:textId="77777777">
            <w:pPr>
              <w:pStyle w:val="TableParagraph"/>
              <w:ind w:left="9" w:right="8"/>
              <w:jc w:val="center"/>
              <w:rPr>
                <w:sz w:val="21"/>
              </w:rPr>
            </w:pPr>
            <w:r>
              <w:rPr>
                <w:spacing w:val="-4"/>
                <w:sz w:val="21"/>
              </w:rPr>
              <w:t>0.97</w:t>
            </w:r>
          </w:p>
        </w:tc>
        <w:tc>
          <w:tcPr>
            <w:tcW w:w="1595" w:type="dxa"/>
          </w:tcPr>
          <w:p w:rsidR="003F5784" w14:paraId="7FDFC7E7" w14:textId="77777777">
            <w:pPr>
              <w:pStyle w:val="TableParagraph"/>
              <w:ind w:right="116"/>
              <w:rPr>
                <w:sz w:val="21"/>
              </w:rPr>
            </w:pPr>
            <w:r>
              <w:rPr>
                <w:spacing w:val="-4"/>
                <w:sz w:val="21"/>
              </w:rPr>
              <w:t>0.50</w:t>
            </w:r>
          </w:p>
        </w:tc>
      </w:tr>
      <w:tr w14:paraId="42F1359B"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2347B263" w14:textId="77777777">
            <w:pPr>
              <w:pStyle w:val="TableParagraph"/>
              <w:ind w:left="120"/>
              <w:jc w:val="left"/>
              <w:rPr>
                <w:sz w:val="21"/>
              </w:rPr>
            </w:pPr>
            <w:r>
              <w:rPr>
                <w:spacing w:val="-2"/>
                <w:sz w:val="21"/>
              </w:rPr>
              <w:t>Indiana</w:t>
            </w:r>
          </w:p>
        </w:tc>
        <w:tc>
          <w:tcPr>
            <w:tcW w:w="2137" w:type="dxa"/>
          </w:tcPr>
          <w:p w:rsidR="003F5784" w14:paraId="10933EC2" w14:textId="77777777">
            <w:pPr>
              <w:pStyle w:val="TableParagraph"/>
              <w:ind w:right="622"/>
              <w:rPr>
                <w:sz w:val="21"/>
              </w:rPr>
            </w:pPr>
            <w:r>
              <w:rPr>
                <w:spacing w:val="-2"/>
                <w:sz w:val="21"/>
              </w:rPr>
              <w:t>93.09</w:t>
            </w:r>
          </w:p>
        </w:tc>
        <w:tc>
          <w:tcPr>
            <w:tcW w:w="1620" w:type="dxa"/>
          </w:tcPr>
          <w:p w:rsidR="003F5784" w14:paraId="7BDB5431" w14:textId="77777777">
            <w:pPr>
              <w:pStyle w:val="TableParagraph"/>
              <w:ind w:left="9" w:right="8"/>
              <w:jc w:val="center"/>
              <w:rPr>
                <w:sz w:val="21"/>
              </w:rPr>
            </w:pPr>
            <w:r>
              <w:rPr>
                <w:spacing w:val="-4"/>
                <w:sz w:val="21"/>
              </w:rPr>
              <w:t>0.35</w:t>
            </w:r>
          </w:p>
        </w:tc>
        <w:tc>
          <w:tcPr>
            <w:tcW w:w="1710" w:type="dxa"/>
          </w:tcPr>
          <w:p w:rsidR="003F5784" w14:paraId="2839D317" w14:textId="77777777">
            <w:pPr>
              <w:pStyle w:val="TableParagraph"/>
              <w:ind w:right="422"/>
              <w:rPr>
                <w:sz w:val="21"/>
              </w:rPr>
            </w:pPr>
            <w:r>
              <w:rPr>
                <w:spacing w:val="-4"/>
                <w:sz w:val="21"/>
              </w:rPr>
              <w:t>0.32</w:t>
            </w:r>
          </w:p>
        </w:tc>
        <w:tc>
          <w:tcPr>
            <w:tcW w:w="1260" w:type="dxa"/>
          </w:tcPr>
          <w:p w:rsidR="003F5784" w14:paraId="4D63D36D" w14:textId="77777777">
            <w:pPr>
              <w:pStyle w:val="TableParagraph"/>
              <w:ind w:left="2" w:right="199"/>
              <w:jc w:val="center"/>
              <w:rPr>
                <w:sz w:val="21"/>
              </w:rPr>
            </w:pPr>
            <w:r>
              <w:rPr>
                <w:spacing w:val="-2"/>
                <w:sz w:val="21"/>
              </w:rPr>
              <w:t>90.34</w:t>
            </w:r>
          </w:p>
        </w:tc>
        <w:tc>
          <w:tcPr>
            <w:tcW w:w="1620" w:type="dxa"/>
          </w:tcPr>
          <w:p w:rsidR="003F5784" w14:paraId="09B2CDAC" w14:textId="77777777">
            <w:pPr>
              <w:pStyle w:val="TableParagraph"/>
              <w:ind w:left="9" w:right="8"/>
              <w:jc w:val="center"/>
              <w:rPr>
                <w:sz w:val="21"/>
              </w:rPr>
            </w:pPr>
            <w:r>
              <w:rPr>
                <w:spacing w:val="-4"/>
                <w:sz w:val="21"/>
              </w:rPr>
              <w:t>0.28</w:t>
            </w:r>
          </w:p>
        </w:tc>
        <w:tc>
          <w:tcPr>
            <w:tcW w:w="1595" w:type="dxa"/>
          </w:tcPr>
          <w:p w:rsidR="003F5784" w14:paraId="2B89077E" w14:textId="77777777">
            <w:pPr>
              <w:pStyle w:val="TableParagraph"/>
              <w:ind w:right="116"/>
              <w:rPr>
                <w:sz w:val="21"/>
              </w:rPr>
            </w:pPr>
            <w:r>
              <w:rPr>
                <w:spacing w:val="-4"/>
                <w:sz w:val="21"/>
              </w:rPr>
              <w:t>0.28</w:t>
            </w:r>
          </w:p>
        </w:tc>
      </w:tr>
      <w:tr w14:paraId="1732B86D"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3AA24411" w14:textId="77777777">
            <w:pPr>
              <w:pStyle w:val="TableParagraph"/>
              <w:ind w:left="120"/>
              <w:jc w:val="left"/>
              <w:rPr>
                <w:sz w:val="21"/>
              </w:rPr>
            </w:pPr>
            <w:r>
              <w:rPr>
                <w:spacing w:val="-4"/>
                <w:sz w:val="21"/>
              </w:rPr>
              <w:t>Iowa</w:t>
            </w:r>
          </w:p>
        </w:tc>
        <w:tc>
          <w:tcPr>
            <w:tcW w:w="2137" w:type="dxa"/>
          </w:tcPr>
          <w:p w:rsidR="003F5784" w14:paraId="7E1A01F6" w14:textId="77777777">
            <w:pPr>
              <w:pStyle w:val="TableParagraph"/>
              <w:ind w:right="622"/>
              <w:rPr>
                <w:sz w:val="21"/>
              </w:rPr>
            </w:pPr>
            <w:r>
              <w:rPr>
                <w:spacing w:val="-2"/>
                <w:sz w:val="21"/>
              </w:rPr>
              <w:t>92.99</w:t>
            </w:r>
          </w:p>
        </w:tc>
        <w:tc>
          <w:tcPr>
            <w:tcW w:w="1620" w:type="dxa"/>
          </w:tcPr>
          <w:p w:rsidR="003F5784" w14:paraId="46CA26A3" w14:textId="77777777">
            <w:pPr>
              <w:pStyle w:val="TableParagraph"/>
              <w:ind w:left="9" w:right="8"/>
              <w:jc w:val="center"/>
              <w:rPr>
                <w:sz w:val="21"/>
              </w:rPr>
            </w:pPr>
            <w:r>
              <w:rPr>
                <w:spacing w:val="-4"/>
                <w:sz w:val="21"/>
              </w:rPr>
              <w:t>0.91</w:t>
            </w:r>
          </w:p>
        </w:tc>
        <w:tc>
          <w:tcPr>
            <w:tcW w:w="1710" w:type="dxa"/>
          </w:tcPr>
          <w:p w:rsidR="003F5784" w14:paraId="54392730" w14:textId="77777777">
            <w:pPr>
              <w:pStyle w:val="TableParagraph"/>
              <w:ind w:right="422"/>
              <w:rPr>
                <w:sz w:val="21"/>
              </w:rPr>
            </w:pPr>
            <w:r>
              <w:rPr>
                <w:spacing w:val="-4"/>
                <w:sz w:val="21"/>
              </w:rPr>
              <w:t>0.31</w:t>
            </w:r>
          </w:p>
        </w:tc>
        <w:tc>
          <w:tcPr>
            <w:tcW w:w="1260" w:type="dxa"/>
          </w:tcPr>
          <w:p w:rsidR="003F5784" w14:paraId="2FA12C76" w14:textId="77777777">
            <w:pPr>
              <w:pStyle w:val="TableParagraph"/>
              <w:ind w:left="2" w:right="199"/>
              <w:jc w:val="center"/>
              <w:rPr>
                <w:sz w:val="21"/>
              </w:rPr>
            </w:pPr>
            <w:r>
              <w:rPr>
                <w:spacing w:val="-2"/>
                <w:sz w:val="21"/>
              </w:rPr>
              <w:t>90.16</w:t>
            </w:r>
          </w:p>
        </w:tc>
        <w:tc>
          <w:tcPr>
            <w:tcW w:w="1620" w:type="dxa"/>
          </w:tcPr>
          <w:p w:rsidR="003F5784" w14:paraId="55338468" w14:textId="77777777">
            <w:pPr>
              <w:pStyle w:val="TableParagraph"/>
              <w:ind w:left="9" w:right="8"/>
              <w:jc w:val="center"/>
              <w:rPr>
                <w:sz w:val="21"/>
              </w:rPr>
            </w:pPr>
            <w:r>
              <w:rPr>
                <w:spacing w:val="-4"/>
                <w:sz w:val="21"/>
              </w:rPr>
              <w:t>0.78</w:t>
            </w:r>
          </w:p>
        </w:tc>
        <w:tc>
          <w:tcPr>
            <w:tcW w:w="1595" w:type="dxa"/>
          </w:tcPr>
          <w:p w:rsidR="003F5784" w14:paraId="346B65F2" w14:textId="77777777">
            <w:pPr>
              <w:pStyle w:val="TableParagraph"/>
              <w:ind w:right="116"/>
              <w:rPr>
                <w:sz w:val="21"/>
              </w:rPr>
            </w:pPr>
            <w:r>
              <w:rPr>
                <w:spacing w:val="-4"/>
                <w:sz w:val="21"/>
              </w:rPr>
              <w:t>0.44</w:t>
            </w:r>
          </w:p>
        </w:tc>
      </w:tr>
      <w:tr w14:paraId="4767240D"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0FD9FA54" w14:textId="77777777">
            <w:pPr>
              <w:pStyle w:val="TableParagraph"/>
              <w:ind w:left="120"/>
              <w:jc w:val="left"/>
              <w:rPr>
                <w:sz w:val="21"/>
              </w:rPr>
            </w:pPr>
            <w:r>
              <w:rPr>
                <w:spacing w:val="-2"/>
                <w:sz w:val="21"/>
              </w:rPr>
              <w:t>Kansas</w:t>
            </w:r>
          </w:p>
        </w:tc>
        <w:tc>
          <w:tcPr>
            <w:tcW w:w="2137" w:type="dxa"/>
          </w:tcPr>
          <w:p w:rsidR="003F5784" w14:paraId="38651BFE" w14:textId="77777777">
            <w:pPr>
              <w:pStyle w:val="TableParagraph"/>
              <w:ind w:right="622"/>
              <w:rPr>
                <w:sz w:val="21"/>
              </w:rPr>
            </w:pPr>
            <w:r>
              <w:rPr>
                <w:spacing w:val="-2"/>
                <w:sz w:val="21"/>
              </w:rPr>
              <w:t>93.24</w:t>
            </w:r>
          </w:p>
        </w:tc>
        <w:tc>
          <w:tcPr>
            <w:tcW w:w="1620" w:type="dxa"/>
          </w:tcPr>
          <w:p w:rsidR="003F5784" w14:paraId="19EFB0F3" w14:textId="77777777">
            <w:pPr>
              <w:pStyle w:val="TableParagraph"/>
              <w:ind w:left="9" w:right="8"/>
              <w:jc w:val="center"/>
              <w:rPr>
                <w:sz w:val="21"/>
              </w:rPr>
            </w:pPr>
            <w:r>
              <w:rPr>
                <w:spacing w:val="-4"/>
                <w:sz w:val="21"/>
              </w:rPr>
              <w:t>0.92</w:t>
            </w:r>
          </w:p>
        </w:tc>
        <w:tc>
          <w:tcPr>
            <w:tcW w:w="1710" w:type="dxa"/>
          </w:tcPr>
          <w:p w:rsidR="003F5784" w14:paraId="1B640D4E" w14:textId="77777777">
            <w:pPr>
              <w:pStyle w:val="TableParagraph"/>
              <w:ind w:right="422"/>
              <w:rPr>
                <w:sz w:val="21"/>
              </w:rPr>
            </w:pPr>
            <w:r>
              <w:rPr>
                <w:spacing w:val="-4"/>
                <w:sz w:val="21"/>
              </w:rPr>
              <w:t>0.10</w:t>
            </w:r>
          </w:p>
        </w:tc>
        <w:tc>
          <w:tcPr>
            <w:tcW w:w="1260" w:type="dxa"/>
          </w:tcPr>
          <w:p w:rsidR="003F5784" w14:paraId="685F378F" w14:textId="77777777">
            <w:pPr>
              <w:pStyle w:val="TableParagraph"/>
              <w:ind w:left="2" w:right="199"/>
              <w:jc w:val="center"/>
              <w:rPr>
                <w:sz w:val="21"/>
              </w:rPr>
            </w:pPr>
            <w:r>
              <w:rPr>
                <w:spacing w:val="-2"/>
                <w:sz w:val="21"/>
              </w:rPr>
              <w:t>92.93</w:t>
            </w:r>
          </w:p>
        </w:tc>
        <w:tc>
          <w:tcPr>
            <w:tcW w:w="1620" w:type="dxa"/>
          </w:tcPr>
          <w:p w:rsidR="003F5784" w14:paraId="27E35B11" w14:textId="77777777">
            <w:pPr>
              <w:pStyle w:val="TableParagraph"/>
              <w:ind w:left="9"/>
              <w:jc w:val="center"/>
              <w:rPr>
                <w:sz w:val="21"/>
              </w:rPr>
            </w:pPr>
            <w:r>
              <w:rPr>
                <w:spacing w:val="-4"/>
                <w:sz w:val="21"/>
              </w:rPr>
              <w:t>1.11</w:t>
            </w:r>
          </w:p>
        </w:tc>
        <w:tc>
          <w:tcPr>
            <w:tcW w:w="1595" w:type="dxa"/>
          </w:tcPr>
          <w:p w:rsidR="003F5784" w14:paraId="58296727" w14:textId="77777777">
            <w:pPr>
              <w:pStyle w:val="TableParagraph"/>
              <w:ind w:right="116"/>
              <w:rPr>
                <w:sz w:val="21"/>
              </w:rPr>
            </w:pPr>
            <w:r>
              <w:rPr>
                <w:spacing w:val="-4"/>
                <w:sz w:val="21"/>
              </w:rPr>
              <w:t>0.26</w:t>
            </w:r>
          </w:p>
        </w:tc>
      </w:tr>
      <w:tr w14:paraId="3B649F92"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5ADEDB3E" w14:textId="77777777">
            <w:pPr>
              <w:pStyle w:val="TableParagraph"/>
              <w:ind w:left="120"/>
              <w:jc w:val="left"/>
              <w:rPr>
                <w:sz w:val="21"/>
              </w:rPr>
            </w:pPr>
            <w:r>
              <w:rPr>
                <w:spacing w:val="-2"/>
                <w:sz w:val="21"/>
              </w:rPr>
              <w:t>Kentucky–Jefferson</w:t>
            </w:r>
            <w:r>
              <w:rPr>
                <w:spacing w:val="14"/>
                <w:sz w:val="21"/>
              </w:rPr>
              <w:t xml:space="preserve"> </w:t>
            </w:r>
            <w:r>
              <w:rPr>
                <w:spacing w:val="-2"/>
                <w:sz w:val="21"/>
              </w:rPr>
              <w:t>County</w:t>
            </w:r>
          </w:p>
        </w:tc>
        <w:tc>
          <w:tcPr>
            <w:tcW w:w="2137" w:type="dxa"/>
          </w:tcPr>
          <w:p w:rsidR="003F5784" w14:paraId="328DAF2B" w14:textId="77777777">
            <w:pPr>
              <w:pStyle w:val="TableParagraph"/>
              <w:ind w:right="622"/>
              <w:rPr>
                <w:sz w:val="21"/>
              </w:rPr>
            </w:pPr>
            <w:r>
              <w:rPr>
                <w:spacing w:val="-2"/>
                <w:sz w:val="21"/>
              </w:rPr>
              <w:t>92.34</w:t>
            </w:r>
          </w:p>
        </w:tc>
        <w:tc>
          <w:tcPr>
            <w:tcW w:w="1620" w:type="dxa"/>
          </w:tcPr>
          <w:p w:rsidR="003F5784" w14:paraId="0085CFB4" w14:textId="77777777">
            <w:pPr>
              <w:pStyle w:val="TableParagraph"/>
              <w:ind w:left="9" w:right="8"/>
              <w:jc w:val="center"/>
              <w:rPr>
                <w:sz w:val="21"/>
              </w:rPr>
            </w:pPr>
            <w:r>
              <w:rPr>
                <w:spacing w:val="-4"/>
                <w:sz w:val="21"/>
              </w:rPr>
              <w:t>3.53</w:t>
            </w:r>
          </w:p>
        </w:tc>
        <w:tc>
          <w:tcPr>
            <w:tcW w:w="1710" w:type="dxa"/>
          </w:tcPr>
          <w:p w:rsidR="003F5784" w14:paraId="287DE005" w14:textId="77777777">
            <w:pPr>
              <w:pStyle w:val="TableParagraph"/>
              <w:ind w:right="422"/>
              <w:rPr>
                <w:sz w:val="21"/>
              </w:rPr>
            </w:pPr>
            <w:r>
              <w:rPr>
                <w:spacing w:val="-4"/>
                <w:sz w:val="21"/>
              </w:rPr>
              <w:t>3.25</w:t>
            </w:r>
          </w:p>
        </w:tc>
        <w:tc>
          <w:tcPr>
            <w:tcW w:w="1260" w:type="dxa"/>
          </w:tcPr>
          <w:p w:rsidR="003F5784" w14:paraId="0007D911" w14:textId="77777777">
            <w:pPr>
              <w:pStyle w:val="TableParagraph"/>
              <w:ind w:left="2" w:right="199"/>
              <w:jc w:val="center"/>
              <w:rPr>
                <w:sz w:val="21"/>
              </w:rPr>
            </w:pPr>
            <w:r>
              <w:rPr>
                <w:spacing w:val="-2"/>
                <w:sz w:val="21"/>
              </w:rPr>
              <w:t>91.78</w:t>
            </w:r>
          </w:p>
        </w:tc>
        <w:tc>
          <w:tcPr>
            <w:tcW w:w="1620" w:type="dxa"/>
          </w:tcPr>
          <w:p w:rsidR="003F5784" w14:paraId="481F1776" w14:textId="77777777">
            <w:pPr>
              <w:pStyle w:val="TableParagraph"/>
              <w:ind w:left="9" w:right="8"/>
              <w:jc w:val="center"/>
              <w:rPr>
                <w:sz w:val="21"/>
              </w:rPr>
            </w:pPr>
            <w:r>
              <w:rPr>
                <w:spacing w:val="-4"/>
                <w:sz w:val="21"/>
              </w:rPr>
              <w:t>1.78</w:t>
            </w:r>
          </w:p>
        </w:tc>
        <w:tc>
          <w:tcPr>
            <w:tcW w:w="1595" w:type="dxa"/>
          </w:tcPr>
          <w:p w:rsidR="003F5784" w14:paraId="6BD3E77D" w14:textId="77777777">
            <w:pPr>
              <w:pStyle w:val="TableParagraph"/>
              <w:ind w:right="116"/>
              <w:rPr>
                <w:sz w:val="21"/>
              </w:rPr>
            </w:pPr>
            <w:r>
              <w:rPr>
                <w:spacing w:val="-4"/>
                <w:sz w:val="21"/>
              </w:rPr>
              <w:t>0.36</w:t>
            </w:r>
          </w:p>
        </w:tc>
      </w:tr>
      <w:tr w14:paraId="7D745117"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1E4A72F1" w14:textId="77777777">
            <w:pPr>
              <w:pStyle w:val="TableParagraph"/>
              <w:ind w:left="120"/>
              <w:jc w:val="left"/>
              <w:rPr>
                <w:sz w:val="21"/>
              </w:rPr>
            </w:pPr>
            <w:r>
              <w:rPr>
                <w:spacing w:val="-2"/>
                <w:sz w:val="21"/>
              </w:rPr>
              <w:t>Kentucky</w:t>
            </w:r>
          </w:p>
        </w:tc>
        <w:tc>
          <w:tcPr>
            <w:tcW w:w="2137" w:type="dxa"/>
          </w:tcPr>
          <w:p w:rsidR="003F5784" w14:paraId="2928454B" w14:textId="77777777">
            <w:pPr>
              <w:pStyle w:val="TableParagraph"/>
              <w:ind w:right="622"/>
              <w:rPr>
                <w:sz w:val="21"/>
              </w:rPr>
            </w:pPr>
            <w:r>
              <w:rPr>
                <w:spacing w:val="-2"/>
                <w:sz w:val="21"/>
              </w:rPr>
              <w:t>93.45</w:t>
            </w:r>
          </w:p>
        </w:tc>
        <w:tc>
          <w:tcPr>
            <w:tcW w:w="1620" w:type="dxa"/>
          </w:tcPr>
          <w:p w:rsidR="003F5784" w14:paraId="08F71B80" w14:textId="77777777">
            <w:pPr>
              <w:pStyle w:val="TableParagraph"/>
              <w:ind w:left="9" w:right="8"/>
              <w:jc w:val="center"/>
              <w:rPr>
                <w:sz w:val="21"/>
              </w:rPr>
            </w:pPr>
            <w:r>
              <w:rPr>
                <w:spacing w:val="-4"/>
                <w:sz w:val="21"/>
              </w:rPr>
              <w:t>2.47</w:t>
            </w:r>
          </w:p>
        </w:tc>
        <w:tc>
          <w:tcPr>
            <w:tcW w:w="1710" w:type="dxa"/>
          </w:tcPr>
          <w:p w:rsidR="003F5784" w14:paraId="0AE6BB65" w14:textId="77777777">
            <w:pPr>
              <w:pStyle w:val="TableParagraph"/>
              <w:ind w:right="422"/>
              <w:rPr>
                <w:sz w:val="21"/>
              </w:rPr>
            </w:pPr>
            <w:r>
              <w:rPr>
                <w:spacing w:val="-4"/>
                <w:sz w:val="21"/>
              </w:rPr>
              <w:t>0.81</w:t>
            </w:r>
          </w:p>
        </w:tc>
        <w:tc>
          <w:tcPr>
            <w:tcW w:w="1260" w:type="dxa"/>
          </w:tcPr>
          <w:p w:rsidR="003F5784" w14:paraId="50AFC684" w14:textId="77777777">
            <w:pPr>
              <w:pStyle w:val="TableParagraph"/>
              <w:ind w:left="2" w:right="199"/>
              <w:jc w:val="center"/>
              <w:rPr>
                <w:sz w:val="21"/>
              </w:rPr>
            </w:pPr>
            <w:r>
              <w:rPr>
                <w:spacing w:val="-2"/>
                <w:sz w:val="21"/>
              </w:rPr>
              <w:t>91.10</w:t>
            </w:r>
          </w:p>
        </w:tc>
        <w:tc>
          <w:tcPr>
            <w:tcW w:w="1620" w:type="dxa"/>
          </w:tcPr>
          <w:p w:rsidR="003F5784" w14:paraId="025F91F8" w14:textId="77777777">
            <w:pPr>
              <w:pStyle w:val="TableParagraph"/>
              <w:ind w:left="9" w:right="8"/>
              <w:jc w:val="center"/>
              <w:rPr>
                <w:sz w:val="21"/>
              </w:rPr>
            </w:pPr>
            <w:r>
              <w:rPr>
                <w:spacing w:val="-4"/>
                <w:sz w:val="21"/>
              </w:rPr>
              <w:t>1.76</w:t>
            </w:r>
          </w:p>
        </w:tc>
        <w:tc>
          <w:tcPr>
            <w:tcW w:w="1595" w:type="dxa"/>
          </w:tcPr>
          <w:p w:rsidR="003F5784" w14:paraId="276F8CAB" w14:textId="77777777">
            <w:pPr>
              <w:pStyle w:val="TableParagraph"/>
              <w:ind w:right="116"/>
              <w:rPr>
                <w:sz w:val="21"/>
              </w:rPr>
            </w:pPr>
            <w:r>
              <w:rPr>
                <w:spacing w:val="-4"/>
                <w:sz w:val="21"/>
              </w:rPr>
              <w:t>0.50</w:t>
            </w:r>
          </w:p>
        </w:tc>
      </w:tr>
      <w:tr w14:paraId="4C774DFB"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7257CF72" w14:textId="77777777">
            <w:pPr>
              <w:pStyle w:val="TableParagraph"/>
              <w:ind w:left="120"/>
              <w:jc w:val="left"/>
              <w:rPr>
                <w:sz w:val="21"/>
              </w:rPr>
            </w:pPr>
            <w:r>
              <w:rPr>
                <w:spacing w:val="-2"/>
                <w:sz w:val="21"/>
              </w:rPr>
              <w:t>Louisiana</w:t>
            </w:r>
          </w:p>
        </w:tc>
        <w:tc>
          <w:tcPr>
            <w:tcW w:w="2137" w:type="dxa"/>
          </w:tcPr>
          <w:p w:rsidR="003F5784" w14:paraId="2DBE3E6D" w14:textId="77777777">
            <w:pPr>
              <w:pStyle w:val="TableParagraph"/>
              <w:ind w:right="622"/>
              <w:rPr>
                <w:sz w:val="21"/>
              </w:rPr>
            </w:pPr>
            <w:r>
              <w:rPr>
                <w:spacing w:val="-2"/>
                <w:sz w:val="21"/>
              </w:rPr>
              <w:t>92.12</w:t>
            </w:r>
          </w:p>
        </w:tc>
        <w:tc>
          <w:tcPr>
            <w:tcW w:w="1620" w:type="dxa"/>
          </w:tcPr>
          <w:p w:rsidR="003F5784" w14:paraId="766DB8BB" w14:textId="77777777">
            <w:pPr>
              <w:pStyle w:val="TableParagraph"/>
              <w:ind w:left="9" w:right="8"/>
              <w:jc w:val="center"/>
              <w:rPr>
                <w:sz w:val="21"/>
              </w:rPr>
            </w:pPr>
            <w:r>
              <w:rPr>
                <w:spacing w:val="-4"/>
                <w:sz w:val="21"/>
              </w:rPr>
              <w:t>2.01</w:t>
            </w:r>
          </w:p>
        </w:tc>
        <w:tc>
          <w:tcPr>
            <w:tcW w:w="1710" w:type="dxa"/>
          </w:tcPr>
          <w:p w:rsidR="003F5784" w14:paraId="6A54D5AB" w14:textId="77777777">
            <w:pPr>
              <w:pStyle w:val="TableParagraph"/>
              <w:ind w:right="422"/>
              <w:rPr>
                <w:sz w:val="21"/>
              </w:rPr>
            </w:pPr>
            <w:r>
              <w:rPr>
                <w:spacing w:val="-4"/>
                <w:sz w:val="21"/>
              </w:rPr>
              <w:t>0.43</w:t>
            </w:r>
          </w:p>
        </w:tc>
        <w:tc>
          <w:tcPr>
            <w:tcW w:w="1260" w:type="dxa"/>
          </w:tcPr>
          <w:p w:rsidR="003F5784" w14:paraId="5395E526" w14:textId="77777777">
            <w:pPr>
              <w:pStyle w:val="TableParagraph"/>
              <w:ind w:left="2" w:right="199"/>
              <w:jc w:val="center"/>
              <w:rPr>
                <w:sz w:val="21"/>
              </w:rPr>
            </w:pPr>
            <w:r>
              <w:rPr>
                <w:spacing w:val="-2"/>
                <w:sz w:val="21"/>
              </w:rPr>
              <w:t>89.24</w:t>
            </w:r>
          </w:p>
        </w:tc>
        <w:tc>
          <w:tcPr>
            <w:tcW w:w="1620" w:type="dxa"/>
          </w:tcPr>
          <w:p w:rsidR="003F5784" w14:paraId="3884CF74" w14:textId="77777777">
            <w:pPr>
              <w:pStyle w:val="TableParagraph"/>
              <w:ind w:left="9" w:right="8"/>
              <w:jc w:val="center"/>
              <w:rPr>
                <w:sz w:val="21"/>
              </w:rPr>
            </w:pPr>
            <w:r>
              <w:rPr>
                <w:spacing w:val="-4"/>
                <w:sz w:val="21"/>
              </w:rPr>
              <w:t>2.33</w:t>
            </w:r>
          </w:p>
        </w:tc>
        <w:tc>
          <w:tcPr>
            <w:tcW w:w="1595" w:type="dxa"/>
          </w:tcPr>
          <w:p w:rsidR="003F5784" w14:paraId="5A175727" w14:textId="77777777">
            <w:pPr>
              <w:pStyle w:val="TableParagraph"/>
              <w:ind w:right="116"/>
              <w:rPr>
                <w:sz w:val="21"/>
              </w:rPr>
            </w:pPr>
            <w:r>
              <w:rPr>
                <w:spacing w:val="-4"/>
                <w:sz w:val="21"/>
              </w:rPr>
              <w:t>0.53</w:t>
            </w:r>
          </w:p>
        </w:tc>
      </w:tr>
      <w:tr w14:paraId="6E758E20"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17F775B8" w14:textId="77777777">
            <w:pPr>
              <w:pStyle w:val="TableParagraph"/>
              <w:ind w:left="120"/>
              <w:jc w:val="left"/>
              <w:rPr>
                <w:sz w:val="21"/>
              </w:rPr>
            </w:pPr>
            <w:r>
              <w:rPr>
                <w:spacing w:val="-2"/>
                <w:sz w:val="21"/>
              </w:rPr>
              <w:t>Maine</w:t>
            </w:r>
          </w:p>
        </w:tc>
        <w:tc>
          <w:tcPr>
            <w:tcW w:w="2137" w:type="dxa"/>
          </w:tcPr>
          <w:p w:rsidR="003F5784" w14:paraId="0B6BDE07" w14:textId="77777777">
            <w:pPr>
              <w:pStyle w:val="TableParagraph"/>
              <w:ind w:right="622"/>
              <w:rPr>
                <w:sz w:val="21"/>
              </w:rPr>
            </w:pPr>
            <w:r>
              <w:rPr>
                <w:spacing w:val="-2"/>
                <w:sz w:val="21"/>
              </w:rPr>
              <w:t>92.02</w:t>
            </w:r>
          </w:p>
        </w:tc>
        <w:tc>
          <w:tcPr>
            <w:tcW w:w="1620" w:type="dxa"/>
          </w:tcPr>
          <w:p w:rsidR="003F5784" w14:paraId="44315F46" w14:textId="77777777">
            <w:pPr>
              <w:pStyle w:val="TableParagraph"/>
              <w:ind w:left="9" w:right="8"/>
              <w:jc w:val="center"/>
              <w:rPr>
                <w:sz w:val="21"/>
              </w:rPr>
            </w:pPr>
            <w:r>
              <w:rPr>
                <w:spacing w:val="-4"/>
                <w:sz w:val="21"/>
              </w:rPr>
              <w:t>0.81</w:t>
            </w:r>
          </w:p>
        </w:tc>
        <w:tc>
          <w:tcPr>
            <w:tcW w:w="1710" w:type="dxa"/>
          </w:tcPr>
          <w:p w:rsidR="003F5784" w14:paraId="3520EB21" w14:textId="77777777">
            <w:pPr>
              <w:pStyle w:val="TableParagraph"/>
              <w:ind w:right="422"/>
              <w:rPr>
                <w:sz w:val="21"/>
              </w:rPr>
            </w:pPr>
            <w:r>
              <w:rPr>
                <w:spacing w:val="-4"/>
                <w:sz w:val="21"/>
              </w:rPr>
              <w:t>0.33</w:t>
            </w:r>
          </w:p>
        </w:tc>
        <w:tc>
          <w:tcPr>
            <w:tcW w:w="1260" w:type="dxa"/>
          </w:tcPr>
          <w:p w:rsidR="003F5784" w14:paraId="4AE91DA4" w14:textId="77777777">
            <w:pPr>
              <w:pStyle w:val="TableParagraph"/>
              <w:ind w:left="2" w:right="199"/>
              <w:jc w:val="center"/>
              <w:rPr>
                <w:sz w:val="21"/>
              </w:rPr>
            </w:pPr>
            <w:r>
              <w:rPr>
                <w:spacing w:val="-2"/>
                <w:sz w:val="21"/>
              </w:rPr>
              <w:t>89.52</w:t>
            </w:r>
          </w:p>
        </w:tc>
        <w:tc>
          <w:tcPr>
            <w:tcW w:w="1620" w:type="dxa"/>
          </w:tcPr>
          <w:p w:rsidR="003F5784" w14:paraId="6C22EF72" w14:textId="77777777">
            <w:pPr>
              <w:pStyle w:val="TableParagraph"/>
              <w:ind w:left="9" w:right="8"/>
              <w:jc w:val="center"/>
              <w:rPr>
                <w:sz w:val="21"/>
              </w:rPr>
            </w:pPr>
            <w:r>
              <w:rPr>
                <w:spacing w:val="-4"/>
                <w:sz w:val="21"/>
              </w:rPr>
              <w:t>1.07</w:t>
            </w:r>
          </w:p>
        </w:tc>
        <w:tc>
          <w:tcPr>
            <w:tcW w:w="1595" w:type="dxa"/>
          </w:tcPr>
          <w:p w:rsidR="003F5784" w14:paraId="1348E493" w14:textId="77777777">
            <w:pPr>
              <w:pStyle w:val="TableParagraph"/>
              <w:ind w:right="116"/>
              <w:rPr>
                <w:sz w:val="21"/>
              </w:rPr>
            </w:pPr>
            <w:r>
              <w:rPr>
                <w:spacing w:val="-4"/>
                <w:sz w:val="21"/>
              </w:rPr>
              <w:t>0.31</w:t>
            </w:r>
          </w:p>
        </w:tc>
      </w:tr>
      <w:tr w14:paraId="0E1F7DF4"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2EDA60B4" w14:textId="77777777">
            <w:pPr>
              <w:pStyle w:val="TableParagraph"/>
              <w:ind w:left="120"/>
              <w:jc w:val="left"/>
              <w:rPr>
                <w:sz w:val="21"/>
              </w:rPr>
            </w:pPr>
            <w:r>
              <w:rPr>
                <w:spacing w:val="-2"/>
                <w:sz w:val="21"/>
              </w:rPr>
              <w:t>Maryland–Baltimore</w:t>
            </w:r>
          </w:p>
        </w:tc>
        <w:tc>
          <w:tcPr>
            <w:tcW w:w="2137" w:type="dxa"/>
          </w:tcPr>
          <w:p w:rsidR="003F5784" w14:paraId="0ABCB5A2" w14:textId="77777777">
            <w:pPr>
              <w:pStyle w:val="TableParagraph"/>
              <w:ind w:right="622"/>
              <w:rPr>
                <w:sz w:val="21"/>
              </w:rPr>
            </w:pPr>
            <w:r>
              <w:rPr>
                <w:spacing w:val="-2"/>
                <w:sz w:val="21"/>
              </w:rPr>
              <w:t>90.67</w:t>
            </w:r>
          </w:p>
        </w:tc>
        <w:tc>
          <w:tcPr>
            <w:tcW w:w="1620" w:type="dxa"/>
          </w:tcPr>
          <w:p w:rsidR="003F5784" w14:paraId="0490ABF9" w14:textId="77777777">
            <w:pPr>
              <w:pStyle w:val="TableParagraph"/>
              <w:ind w:left="9" w:right="8"/>
              <w:jc w:val="center"/>
              <w:rPr>
                <w:sz w:val="21"/>
              </w:rPr>
            </w:pPr>
            <w:r>
              <w:rPr>
                <w:spacing w:val="-4"/>
                <w:sz w:val="21"/>
              </w:rPr>
              <w:t>1.61</w:t>
            </w:r>
          </w:p>
        </w:tc>
        <w:tc>
          <w:tcPr>
            <w:tcW w:w="1710" w:type="dxa"/>
          </w:tcPr>
          <w:p w:rsidR="003F5784" w14:paraId="3D2211B3" w14:textId="77777777">
            <w:pPr>
              <w:pStyle w:val="TableParagraph"/>
              <w:ind w:right="422"/>
              <w:rPr>
                <w:sz w:val="21"/>
              </w:rPr>
            </w:pPr>
            <w:r>
              <w:rPr>
                <w:spacing w:val="-4"/>
                <w:sz w:val="21"/>
              </w:rPr>
              <w:t>1.61</w:t>
            </w:r>
          </w:p>
        </w:tc>
        <w:tc>
          <w:tcPr>
            <w:tcW w:w="1260" w:type="dxa"/>
          </w:tcPr>
          <w:p w:rsidR="003F5784" w14:paraId="5F0DDA3D" w14:textId="77777777">
            <w:pPr>
              <w:pStyle w:val="TableParagraph"/>
              <w:ind w:left="2" w:right="199"/>
              <w:jc w:val="center"/>
              <w:rPr>
                <w:sz w:val="21"/>
              </w:rPr>
            </w:pPr>
            <w:r>
              <w:rPr>
                <w:spacing w:val="-2"/>
                <w:sz w:val="21"/>
              </w:rPr>
              <w:t>90.61</w:t>
            </w:r>
          </w:p>
        </w:tc>
        <w:tc>
          <w:tcPr>
            <w:tcW w:w="1620" w:type="dxa"/>
          </w:tcPr>
          <w:p w:rsidR="003F5784" w14:paraId="317A4AAD" w14:textId="77777777">
            <w:pPr>
              <w:pStyle w:val="TableParagraph"/>
              <w:ind w:left="9" w:right="8"/>
              <w:jc w:val="center"/>
              <w:rPr>
                <w:sz w:val="21"/>
              </w:rPr>
            </w:pPr>
            <w:r>
              <w:rPr>
                <w:spacing w:val="-4"/>
                <w:sz w:val="21"/>
              </w:rPr>
              <w:t>2.05</w:t>
            </w:r>
          </w:p>
        </w:tc>
        <w:tc>
          <w:tcPr>
            <w:tcW w:w="1595" w:type="dxa"/>
          </w:tcPr>
          <w:p w:rsidR="003F5784" w14:paraId="3B8F93A2" w14:textId="77777777">
            <w:pPr>
              <w:pStyle w:val="TableParagraph"/>
              <w:ind w:right="116"/>
              <w:rPr>
                <w:sz w:val="21"/>
              </w:rPr>
            </w:pPr>
            <w:r>
              <w:rPr>
                <w:spacing w:val="-4"/>
                <w:sz w:val="21"/>
              </w:rPr>
              <w:t>0.88</w:t>
            </w:r>
          </w:p>
        </w:tc>
      </w:tr>
      <w:tr w14:paraId="26BBA0E5"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692FB3C8" w14:textId="77777777">
            <w:pPr>
              <w:pStyle w:val="TableParagraph"/>
              <w:ind w:left="120"/>
              <w:jc w:val="left"/>
              <w:rPr>
                <w:sz w:val="21"/>
              </w:rPr>
            </w:pPr>
            <w:r>
              <w:rPr>
                <w:spacing w:val="-2"/>
                <w:sz w:val="21"/>
              </w:rPr>
              <w:t>Maryland</w:t>
            </w:r>
          </w:p>
        </w:tc>
        <w:tc>
          <w:tcPr>
            <w:tcW w:w="2137" w:type="dxa"/>
          </w:tcPr>
          <w:p w:rsidR="003F5784" w14:paraId="6610FE0F" w14:textId="77777777">
            <w:pPr>
              <w:pStyle w:val="TableParagraph"/>
              <w:ind w:right="622"/>
              <w:rPr>
                <w:sz w:val="21"/>
              </w:rPr>
            </w:pPr>
            <w:r>
              <w:rPr>
                <w:spacing w:val="-2"/>
                <w:sz w:val="21"/>
              </w:rPr>
              <w:t>91.81</w:t>
            </w:r>
          </w:p>
        </w:tc>
        <w:tc>
          <w:tcPr>
            <w:tcW w:w="1620" w:type="dxa"/>
          </w:tcPr>
          <w:p w:rsidR="003F5784" w14:paraId="34EF6FB3" w14:textId="77777777">
            <w:pPr>
              <w:pStyle w:val="TableParagraph"/>
              <w:ind w:left="9" w:right="8"/>
              <w:jc w:val="center"/>
              <w:rPr>
                <w:sz w:val="21"/>
              </w:rPr>
            </w:pPr>
            <w:r>
              <w:rPr>
                <w:spacing w:val="-4"/>
                <w:sz w:val="21"/>
              </w:rPr>
              <w:t>1.07</w:t>
            </w:r>
          </w:p>
        </w:tc>
        <w:tc>
          <w:tcPr>
            <w:tcW w:w="1710" w:type="dxa"/>
          </w:tcPr>
          <w:p w:rsidR="003F5784" w14:paraId="609CEF3B" w14:textId="77777777">
            <w:pPr>
              <w:pStyle w:val="TableParagraph"/>
              <w:ind w:right="422"/>
              <w:rPr>
                <w:sz w:val="21"/>
              </w:rPr>
            </w:pPr>
            <w:r>
              <w:rPr>
                <w:spacing w:val="-4"/>
                <w:sz w:val="21"/>
              </w:rPr>
              <w:t>1.00</w:t>
            </w:r>
          </w:p>
        </w:tc>
        <w:tc>
          <w:tcPr>
            <w:tcW w:w="1260" w:type="dxa"/>
          </w:tcPr>
          <w:p w:rsidR="003F5784" w14:paraId="7F929607" w14:textId="77777777">
            <w:pPr>
              <w:pStyle w:val="TableParagraph"/>
              <w:ind w:left="2" w:right="199"/>
              <w:jc w:val="center"/>
              <w:rPr>
                <w:sz w:val="21"/>
              </w:rPr>
            </w:pPr>
            <w:r>
              <w:rPr>
                <w:spacing w:val="-2"/>
                <w:sz w:val="21"/>
              </w:rPr>
              <w:t>90.36</w:t>
            </w:r>
          </w:p>
        </w:tc>
        <w:tc>
          <w:tcPr>
            <w:tcW w:w="1620" w:type="dxa"/>
          </w:tcPr>
          <w:p w:rsidR="003F5784" w14:paraId="35928474" w14:textId="77777777">
            <w:pPr>
              <w:pStyle w:val="TableParagraph"/>
              <w:ind w:left="9" w:right="8"/>
              <w:jc w:val="center"/>
              <w:rPr>
                <w:sz w:val="21"/>
              </w:rPr>
            </w:pPr>
            <w:r>
              <w:rPr>
                <w:spacing w:val="-4"/>
                <w:sz w:val="21"/>
              </w:rPr>
              <w:t>0.98</w:t>
            </w:r>
          </w:p>
        </w:tc>
        <w:tc>
          <w:tcPr>
            <w:tcW w:w="1595" w:type="dxa"/>
          </w:tcPr>
          <w:p w:rsidR="003F5784" w14:paraId="50F01DFF" w14:textId="77777777">
            <w:pPr>
              <w:pStyle w:val="TableParagraph"/>
              <w:ind w:right="116"/>
              <w:rPr>
                <w:sz w:val="21"/>
              </w:rPr>
            </w:pPr>
            <w:r>
              <w:rPr>
                <w:spacing w:val="-4"/>
                <w:sz w:val="21"/>
              </w:rPr>
              <w:t>1.08</w:t>
            </w:r>
          </w:p>
        </w:tc>
      </w:tr>
      <w:tr w14:paraId="20DC1837"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07184231" w14:textId="77777777">
            <w:pPr>
              <w:pStyle w:val="TableParagraph"/>
              <w:ind w:left="120"/>
              <w:jc w:val="left"/>
              <w:rPr>
                <w:sz w:val="21"/>
              </w:rPr>
            </w:pPr>
            <w:r>
              <w:rPr>
                <w:spacing w:val="-2"/>
                <w:sz w:val="21"/>
              </w:rPr>
              <w:t>Massachusetts–Boston</w:t>
            </w:r>
          </w:p>
        </w:tc>
        <w:tc>
          <w:tcPr>
            <w:tcW w:w="2137" w:type="dxa"/>
          </w:tcPr>
          <w:p w:rsidR="003F5784" w14:paraId="48B012D7" w14:textId="77777777">
            <w:pPr>
              <w:pStyle w:val="TableParagraph"/>
              <w:ind w:right="622"/>
              <w:rPr>
                <w:sz w:val="21"/>
              </w:rPr>
            </w:pPr>
            <w:r>
              <w:rPr>
                <w:spacing w:val="-2"/>
                <w:sz w:val="21"/>
              </w:rPr>
              <w:t>90.96</w:t>
            </w:r>
          </w:p>
        </w:tc>
        <w:tc>
          <w:tcPr>
            <w:tcW w:w="1620" w:type="dxa"/>
          </w:tcPr>
          <w:p w:rsidR="003F5784" w14:paraId="25CF8F0F" w14:textId="77777777">
            <w:pPr>
              <w:pStyle w:val="TableParagraph"/>
              <w:ind w:left="9" w:right="8"/>
              <w:jc w:val="center"/>
              <w:rPr>
                <w:sz w:val="21"/>
              </w:rPr>
            </w:pPr>
            <w:r>
              <w:rPr>
                <w:spacing w:val="-4"/>
                <w:sz w:val="21"/>
              </w:rPr>
              <w:t>4.17</w:t>
            </w:r>
          </w:p>
        </w:tc>
        <w:tc>
          <w:tcPr>
            <w:tcW w:w="1710" w:type="dxa"/>
          </w:tcPr>
          <w:p w:rsidR="003F5784" w14:paraId="26AFFAD5" w14:textId="77777777">
            <w:pPr>
              <w:pStyle w:val="TableParagraph"/>
              <w:ind w:right="422"/>
              <w:rPr>
                <w:sz w:val="21"/>
              </w:rPr>
            </w:pPr>
            <w:r>
              <w:rPr>
                <w:spacing w:val="-4"/>
                <w:sz w:val="21"/>
              </w:rPr>
              <w:t>3.54</w:t>
            </w:r>
          </w:p>
        </w:tc>
        <w:tc>
          <w:tcPr>
            <w:tcW w:w="1260" w:type="dxa"/>
          </w:tcPr>
          <w:p w:rsidR="003F5784" w14:paraId="483682B0" w14:textId="77777777">
            <w:pPr>
              <w:pStyle w:val="TableParagraph"/>
              <w:ind w:left="2" w:right="199"/>
              <w:jc w:val="center"/>
              <w:rPr>
                <w:sz w:val="21"/>
              </w:rPr>
            </w:pPr>
            <w:r>
              <w:rPr>
                <w:spacing w:val="-2"/>
                <w:sz w:val="21"/>
              </w:rPr>
              <w:t>87.12</w:t>
            </w:r>
          </w:p>
        </w:tc>
        <w:tc>
          <w:tcPr>
            <w:tcW w:w="1620" w:type="dxa"/>
          </w:tcPr>
          <w:p w:rsidR="003F5784" w14:paraId="6E407473" w14:textId="77777777">
            <w:pPr>
              <w:pStyle w:val="TableParagraph"/>
              <w:ind w:left="9" w:right="8"/>
              <w:jc w:val="center"/>
              <w:rPr>
                <w:sz w:val="21"/>
              </w:rPr>
            </w:pPr>
            <w:r>
              <w:rPr>
                <w:spacing w:val="-4"/>
                <w:sz w:val="21"/>
              </w:rPr>
              <w:t>2.92</w:t>
            </w:r>
          </w:p>
        </w:tc>
        <w:tc>
          <w:tcPr>
            <w:tcW w:w="1595" w:type="dxa"/>
          </w:tcPr>
          <w:p w:rsidR="003F5784" w14:paraId="39C049CD" w14:textId="77777777">
            <w:pPr>
              <w:pStyle w:val="TableParagraph"/>
              <w:ind w:right="116"/>
              <w:rPr>
                <w:sz w:val="21"/>
              </w:rPr>
            </w:pPr>
            <w:r>
              <w:rPr>
                <w:spacing w:val="-4"/>
                <w:sz w:val="21"/>
              </w:rPr>
              <w:t>4.15</w:t>
            </w:r>
          </w:p>
        </w:tc>
      </w:tr>
      <w:tr w14:paraId="3B4E932F"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3699A82F" w14:textId="77777777">
            <w:pPr>
              <w:pStyle w:val="TableParagraph"/>
              <w:ind w:left="120"/>
              <w:jc w:val="left"/>
              <w:rPr>
                <w:sz w:val="21"/>
              </w:rPr>
            </w:pPr>
            <w:r>
              <w:rPr>
                <w:spacing w:val="-2"/>
                <w:sz w:val="21"/>
              </w:rPr>
              <w:t>Massachusetts</w:t>
            </w:r>
          </w:p>
        </w:tc>
        <w:tc>
          <w:tcPr>
            <w:tcW w:w="2137" w:type="dxa"/>
          </w:tcPr>
          <w:p w:rsidR="003F5784" w14:paraId="3FD5E160" w14:textId="77777777">
            <w:pPr>
              <w:pStyle w:val="TableParagraph"/>
              <w:ind w:right="622"/>
              <w:rPr>
                <w:sz w:val="21"/>
              </w:rPr>
            </w:pPr>
            <w:r>
              <w:rPr>
                <w:spacing w:val="-2"/>
                <w:sz w:val="21"/>
              </w:rPr>
              <w:t>92.98</w:t>
            </w:r>
          </w:p>
        </w:tc>
        <w:tc>
          <w:tcPr>
            <w:tcW w:w="1620" w:type="dxa"/>
          </w:tcPr>
          <w:p w:rsidR="003F5784" w14:paraId="0B33F299" w14:textId="77777777">
            <w:pPr>
              <w:pStyle w:val="TableParagraph"/>
              <w:ind w:left="9" w:right="8"/>
              <w:jc w:val="center"/>
              <w:rPr>
                <w:sz w:val="21"/>
              </w:rPr>
            </w:pPr>
            <w:r>
              <w:rPr>
                <w:spacing w:val="-4"/>
                <w:sz w:val="21"/>
              </w:rPr>
              <w:t>1.80</w:t>
            </w:r>
          </w:p>
        </w:tc>
        <w:tc>
          <w:tcPr>
            <w:tcW w:w="1710" w:type="dxa"/>
          </w:tcPr>
          <w:p w:rsidR="003F5784" w14:paraId="62EE9F70" w14:textId="77777777">
            <w:pPr>
              <w:pStyle w:val="TableParagraph"/>
              <w:ind w:right="422"/>
              <w:rPr>
                <w:sz w:val="21"/>
              </w:rPr>
            </w:pPr>
            <w:r>
              <w:rPr>
                <w:spacing w:val="-4"/>
                <w:sz w:val="21"/>
              </w:rPr>
              <w:t>1.04</w:t>
            </w:r>
          </w:p>
        </w:tc>
        <w:tc>
          <w:tcPr>
            <w:tcW w:w="1260" w:type="dxa"/>
          </w:tcPr>
          <w:p w:rsidR="003F5784" w14:paraId="77676CF1" w14:textId="77777777">
            <w:pPr>
              <w:pStyle w:val="TableParagraph"/>
              <w:ind w:left="2" w:right="199"/>
              <w:jc w:val="center"/>
              <w:rPr>
                <w:sz w:val="21"/>
              </w:rPr>
            </w:pPr>
            <w:r>
              <w:rPr>
                <w:spacing w:val="-2"/>
                <w:sz w:val="21"/>
              </w:rPr>
              <w:t>88.83</w:t>
            </w:r>
          </w:p>
        </w:tc>
        <w:tc>
          <w:tcPr>
            <w:tcW w:w="1620" w:type="dxa"/>
          </w:tcPr>
          <w:p w:rsidR="003F5784" w14:paraId="55CB50E9" w14:textId="77777777">
            <w:pPr>
              <w:pStyle w:val="TableParagraph"/>
              <w:ind w:left="9" w:right="8"/>
              <w:jc w:val="center"/>
              <w:rPr>
                <w:sz w:val="21"/>
              </w:rPr>
            </w:pPr>
            <w:r>
              <w:rPr>
                <w:spacing w:val="-4"/>
                <w:sz w:val="21"/>
              </w:rPr>
              <w:t>1.15</w:t>
            </w:r>
          </w:p>
        </w:tc>
        <w:tc>
          <w:tcPr>
            <w:tcW w:w="1595" w:type="dxa"/>
          </w:tcPr>
          <w:p w:rsidR="003F5784" w14:paraId="73EBE21E" w14:textId="77777777">
            <w:pPr>
              <w:pStyle w:val="TableParagraph"/>
              <w:ind w:right="116"/>
              <w:rPr>
                <w:sz w:val="21"/>
              </w:rPr>
            </w:pPr>
            <w:r>
              <w:rPr>
                <w:spacing w:val="-4"/>
                <w:sz w:val="21"/>
              </w:rPr>
              <w:t>1.79</w:t>
            </w:r>
          </w:p>
        </w:tc>
      </w:tr>
      <w:tr w14:paraId="670613BF"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50713655" w14:textId="77777777">
            <w:pPr>
              <w:pStyle w:val="TableParagraph"/>
              <w:ind w:left="120"/>
              <w:jc w:val="left"/>
              <w:rPr>
                <w:sz w:val="21"/>
              </w:rPr>
            </w:pPr>
            <w:r>
              <w:rPr>
                <w:spacing w:val="-2"/>
                <w:sz w:val="21"/>
              </w:rPr>
              <w:t>Michigan–Detroit</w:t>
            </w:r>
          </w:p>
        </w:tc>
        <w:tc>
          <w:tcPr>
            <w:tcW w:w="2137" w:type="dxa"/>
          </w:tcPr>
          <w:p w:rsidR="003F5784" w14:paraId="223E46ED" w14:textId="77777777">
            <w:pPr>
              <w:pStyle w:val="TableParagraph"/>
              <w:ind w:right="622"/>
              <w:rPr>
                <w:sz w:val="21"/>
              </w:rPr>
            </w:pPr>
            <w:r>
              <w:rPr>
                <w:spacing w:val="-2"/>
                <w:sz w:val="21"/>
              </w:rPr>
              <w:t>89.44</w:t>
            </w:r>
          </w:p>
        </w:tc>
        <w:tc>
          <w:tcPr>
            <w:tcW w:w="1620" w:type="dxa"/>
          </w:tcPr>
          <w:p w:rsidR="003F5784" w14:paraId="4A33C917" w14:textId="77777777">
            <w:pPr>
              <w:pStyle w:val="TableParagraph"/>
              <w:ind w:left="9" w:right="8"/>
              <w:jc w:val="center"/>
              <w:rPr>
                <w:sz w:val="21"/>
              </w:rPr>
            </w:pPr>
            <w:r>
              <w:rPr>
                <w:spacing w:val="-4"/>
                <w:sz w:val="21"/>
              </w:rPr>
              <w:t>4.02</w:t>
            </w:r>
          </w:p>
        </w:tc>
        <w:tc>
          <w:tcPr>
            <w:tcW w:w="1710" w:type="dxa"/>
          </w:tcPr>
          <w:p w:rsidR="003F5784" w14:paraId="3FB64CC6" w14:textId="77777777">
            <w:pPr>
              <w:pStyle w:val="TableParagraph"/>
              <w:ind w:right="422"/>
              <w:rPr>
                <w:sz w:val="21"/>
              </w:rPr>
            </w:pPr>
            <w:r>
              <w:rPr>
                <w:spacing w:val="-4"/>
                <w:sz w:val="21"/>
              </w:rPr>
              <w:t>0.41</w:t>
            </w:r>
          </w:p>
        </w:tc>
        <w:tc>
          <w:tcPr>
            <w:tcW w:w="1260" w:type="dxa"/>
          </w:tcPr>
          <w:p w:rsidR="003F5784" w14:paraId="4FAC2477" w14:textId="77777777">
            <w:pPr>
              <w:pStyle w:val="TableParagraph"/>
              <w:ind w:left="2" w:right="199"/>
              <w:jc w:val="center"/>
              <w:rPr>
                <w:sz w:val="21"/>
              </w:rPr>
            </w:pPr>
            <w:r>
              <w:rPr>
                <w:spacing w:val="-2"/>
                <w:sz w:val="21"/>
              </w:rPr>
              <w:t>87.61</w:t>
            </w:r>
          </w:p>
        </w:tc>
        <w:tc>
          <w:tcPr>
            <w:tcW w:w="1620" w:type="dxa"/>
          </w:tcPr>
          <w:p w:rsidR="003F5784" w14:paraId="19FFCF96" w14:textId="77777777">
            <w:pPr>
              <w:pStyle w:val="TableParagraph"/>
              <w:ind w:left="9" w:right="8"/>
              <w:jc w:val="center"/>
              <w:rPr>
                <w:sz w:val="21"/>
              </w:rPr>
            </w:pPr>
            <w:r>
              <w:rPr>
                <w:spacing w:val="-4"/>
                <w:sz w:val="21"/>
              </w:rPr>
              <w:t>4.78</w:t>
            </w:r>
          </w:p>
        </w:tc>
        <w:tc>
          <w:tcPr>
            <w:tcW w:w="1595" w:type="dxa"/>
          </w:tcPr>
          <w:p w:rsidR="003F5784" w14:paraId="05CB659E" w14:textId="77777777">
            <w:pPr>
              <w:pStyle w:val="TableParagraph"/>
              <w:ind w:right="116"/>
              <w:rPr>
                <w:sz w:val="21"/>
              </w:rPr>
            </w:pPr>
            <w:r>
              <w:rPr>
                <w:spacing w:val="-4"/>
                <w:sz w:val="21"/>
              </w:rPr>
              <w:t>0.70</w:t>
            </w:r>
          </w:p>
        </w:tc>
      </w:tr>
      <w:tr w14:paraId="0EF662F4"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6F306CD0" w14:textId="77777777">
            <w:pPr>
              <w:pStyle w:val="TableParagraph"/>
              <w:ind w:left="120"/>
              <w:jc w:val="left"/>
              <w:rPr>
                <w:sz w:val="21"/>
              </w:rPr>
            </w:pPr>
            <w:r>
              <w:rPr>
                <w:spacing w:val="-2"/>
                <w:sz w:val="21"/>
              </w:rPr>
              <w:t>Michigan</w:t>
            </w:r>
          </w:p>
        </w:tc>
        <w:tc>
          <w:tcPr>
            <w:tcW w:w="2137" w:type="dxa"/>
          </w:tcPr>
          <w:p w:rsidR="003F5784" w14:paraId="2FCB4D04" w14:textId="77777777">
            <w:pPr>
              <w:pStyle w:val="TableParagraph"/>
              <w:ind w:right="622"/>
              <w:rPr>
                <w:sz w:val="21"/>
              </w:rPr>
            </w:pPr>
            <w:r>
              <w:rPr>
                <w:spacing w:val="-2"/>
                <w:sz w:val="21"/>
              </w:rPr>
              <w:t>90.98</w:t>
            </w:r>
          </w:p>
        </w:tc>
        <w:tc>
          <w:tcPr>
            <w:tcW w:w="1620" w:type="dxa"/>
          </w:tcPr>
          <w:p w:rsidR="003F5784" w14:paraId="25566A32" w14:textId="77777777">
            <w:pPr>
              <w:pStyle w:val="TableParagraph"/>
              <w:ind w:left="9" w:right="8"/>
              <w:jc w:val="center"/>
              <w:rPr>
                <w:sz w:val="21"/>
              </w:rPr>
            </w:pPr>
            <w:r>
              <w:rPr>
                <w:spacing w:val="-4"/>
                <w:sz w:val="21"/>
              </w:rPr>
              <w:t>2.24</w:t>
            </w:r>
          </w:p>
        </w:tc>
        <w:tc>
          <w:tcPr>
            <w:tcW w:w="1710" w:type="dxa"/>
          </w:tcPr>
          <w:p w:rsidR="003F5784" w14:paraId="7F34CE89" w14:textId="77777777">
            <w:pPr>
              <w:pStyle w:val="TableParagraph"/>
              <w:ind w:right="422"/>
              <w:rPr>
                <w:sz w:val="21"/>
              </w:rPr>
            </w:pPr>
            <w:r>
              <w:rPr>
                <w:spacing w:val="-4"/>
                <w:sz w:val="21"/>
              </w:rPr>
              <w:t>0.54</w:t>
            </w:r>
          </w:p>
        </w:tc>
        <w:tc>
          <w:tcPr>
            <w:tcW w:w="1260" w:type="dxa"/>
          </w:tcPr>
          <w:p w:rsidR="003F5784" w14:paraId="27E45DD3" w14:textId="77777777">
            <w:pPr>
              <w:pStyle w:val="TableParagraph"/>
              <w:ind w:left="2" w:right="199"/>
              <w:jc w:val="center"/>
              <w:rPr>
                <w:sz w:val="21"/>
              </w:rPr>
            </w:pPr>
            <w:r>
              <w:rPr>
                <w:spacing w:val="-2"/>
                <w:sz w:val="21"/>
              </w:rPr>
              <w:t>86.24</w:t>
            </w:r>
          </w:p>
        </w:tc>
        <w:tc>
          <w:tcPr>
            <w:tcW w:w="1620" w:type="dxa"/>
          </w:tcPr>
          <w:p w:rsidR="003F5784" w14:paraId="7EF02B75" w14:textId="77777777">
            <w:pPr>
              <w:pStyle w:val="TableParagraph"/>
              <w:ind w:left="9" w:right="8"/>
              <w:jc w:val="center"/>
              <w:rPr>
                <w:sz w:val="21"/>
              </w:rPr>
            </w:pPr>
            <w:r>
              <w:rPr>
                <w:spacing w:val="-4"/>
                <w:sz w:val="21"/>
              </w:rPr>
              <w:t>1.30</w:t>
            </w:r>
          </w:p>
        </w:tc>
        <w:tc>
          <w:tcPr>
            <w:tcW w:w="1595" w:type="dxa"/>
          </w:tcPr>
          <w:p w:rsidR="003F5784" w14:paraId="5EC03677" w14:textId="77777777">
            <w:pPr>
              <w:pStyle w:val="TableParagraph"/>
              <w:ind w:right="116"/>
              <w:rPr>
                <w:sz w:val="21"/>
              </w:rPr>
            </w:pPr>
            <w:r>
              <w:rPr>
                <w:spacing w:val="-4"/>
                <w:sz w:val="21"/>
              </w:rPr>
              <w:t>0.25</w:t>
            </w:r>
          </w:p>
        </w:tc>
      </w:tr>
      <w:tr w14:paraId="6B3089B5"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1D3ED773" w14:textId="77777777">
            <w:pPr>
              <w:pStyle w:val="TableParagraph"/>
              <w:ind w:left="120"/>
              <w:jc w:val="left"/>
              <w:rPr>
                <w:sz w:val="21"/>
              </w:rPr>
            </w:pPr>
            <w:r>
              <w:rPr>
                <w:spacing w:val="-2"/>
                <w:sz w:val="21"/>
              </w:rPr>
              <w:t>Minnesota</w:t>
            </w:r>
          </w:p>
        </w:tc>
        <w:tc>
          <w:tcPr>
            <w:tcW w:w="2137" w:type="dxa"/>
          </w:tcPr>
          <w:p w:rsidR="003F5784" w14:paraId="0EDC2215" w14:textId="77777777">
            <w:pPr>
              <w:pStyle w:val="TableParagraph"/>
              <w:ind w:right="622"/>
              <w:rPr>
                <w:sz w:val="21"/>
              </w:rPr>
            </w:pPr>
            <w:r>
              <w:rPr>
                <w:spacing w:val="-2"/>
                <w:sz w:val="21"/>
              </w:rPr>
              <w:t>91.18</w:t>
            </w:r>
          </w:p>
        </w:tc>
        <w:tc>
          <w:tcPr>
            <w:tcW w:w="1620" w:type="dxa"/>
          </w:tcPr>
          <w:p w:rsidR="003F5784" w14:paraId="2E144829" w14:textId="77777777">
            <w:pPr>
              <w:pStyle w:val="TableParagraph"/>
              <w:ind w:left="9"/>
              <w:jc w:val="center"/>
              <w:rPr>
                <w:sz w:val="21"/>
              </w:rPr>
            </w:pPr>
            <w:r>
              <w:rPr>
                <w:spacing w:val="-4"/>
                <w:sz w:val="21"/>
              </w:rPr>
              <w:t>3.11</w:t>
            </w:r>
          </w:p>
        </w:tc>
        <w:tc>
          <w:tcPr>
            <w:tcW w:w="1710" w:type="dxa"/>
          </w:tcPr>
          <w:p w:rsidR="003F5784" w14:paraId="5B212023" w14:textId="77777777">
            <w:pPr>
              <w:pStyle w:val="TableParagraph"/>
              <w:ind w:right="422"/>
              <w:rPr>
                <w:sz w:val="21"/>
              </w:rPr>
            </w:pPr>
            <w:r>
              <w:rPr>
                <w:spacing w:val="-4"/>
                <w:sz w:val="21"/>
              </w:rPr>
              <w:t>1.02</w:t>
            </w:r>
          </w:p>
        </w:tc>
        <w:tc>
          <w:tcPr>
            <w:tcW w:w="1260" w:type="dxa"/>
          </w:tcPr>
          <w:p w:rsidR="003F5784" w14:paraId="20DAD75A" w14:textId="77777777">
            <w:pPr>
              <w:pStyle w:val="TableParagraph"/>
              <w:ind w:left="2" w:right="199"/>
              <w:jc w:val="center"/>
              <w:rPr>
                <w:sz w:val="21"/>
              </w:rPr>
            </w:pPr>
            <w:r>
              <w:rPr>
                <w:spacing w:val="-2"/>
                <w:sz w:val="21"/>
              </w:rPr>
              <w:t>84.69</w:t>
            </w:r>
          </w:p>
        </w:tc>
        <w:tc>
          <w:tcPr>
            <w:tcW w:w="1620" w:type="dxa"/>
          </w:tcPr>
          <w:p w:rsidR="003F5784" w14:paraId="06845C1C" w14:textId="77777777">
            <w:pPr>
              <w:pStyle w:val="TableParagraph"/>
              <w:ind w:left="9" w:right="8"/>
              <w:jc w:val="center"/>
              <w:rPr>
                <w:sz w:val="21"/>
              </w:rPr>
            </w:pPr>
            <w:r>
              <w:rPr>
                <w:spacing w:val="-4"/>
                <w:sz w:val="21"/>
              </w:rPr>
              <w:t>1.26</w:t>
            </w:r>
          </w:p>
        </w:tc>
        <w:tc>
          <w:tcPr>
            <w:tcW w:w="1595" w:type="dxa"/>
          </w:tcPr>
          <w:p w:rsidR="003F5784" w14:paraId="1ECE4B6E" w14:textId="77777777">
            <w:pPr>
              <w:pStyle w:val="TableParagraph"/>
              <w:ind w:right="116"/>
              <w:rPr>
                <w:sz w:val="21"/>
              </w:rPr>
            </w:pPr>
            <w:r>
              <w:rPr>
                <w:spacing w:val="-4"/>
                <w:sz w:val="21"/>
              </w:rPr>
              <w:t>0.82</w:t>
            </w:r>
          </w:p>
        </w:tc>
      </w:tr>
      <w:tr w14:paraId="43DEF795"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401FE149" w14:textId="77777777">
            <w:pPr>
              <w:pStyle w:val="TableParagraph"/>
              <w:ind w:left="120"/>
              <w:jc w:val="left"/>
              <w:rPr>
                <w:sz w:val="21"/>
              </w:rPr>
            </w:pPr>
            <w:r>
              <w:rPr>
                <w:spacing w:val="-2"/>
                <w:sz w:val="21"/>
              </w:rPr>
              <w:t>Mississippi</w:t>
            </w:r>
          </w:p>
        </w:tc>
        <w:tc>
          <w:tcPr>
            <w:tcW w:w="2137" w:type="dxa"/>
          </w:tcPr>
          <w:p w:rsidR="003F5784" w14:paraId="2212832A" w14:textId="77777777">
            <w:pPr>
              <w:pStyle w:val="TableParagraph"/>
              <w:ind w:right="622"/>
              <w:rPr>
                <w:sz w:val="21"/>
              </w:rPr>
            </w:pPr>
            <w:r>
              <w:rPr>
                <w:spacing w:val="-2"/>
                <w:sz w:val="21"/>
              </w:rPr>
              <w:t>92.70</w:t>
            </w:r>
          </w:p>
        </w:tc>
        <w:tc>
          <w:tcPr>
            <w:tcW w:w="1620" w:type="dxa"/>
          </w:tcPr>
          <w:p w:rsidR="003F5784" w14:paraId="3B3EAD56" w14:textId="77777777">
            <w:pPr>
              <w:pStyle w:val="TableParagraph"/>
              <w:ind w:left="9" w:right="8"/>
              <w:jc w:val="center"/>
              <w:rPr>
                <w:sz w:val="21"/>
              </w:rPr>
            </w:pPr>
            <w:r>
              <w:rPr>
                <w:spacing w:val="-4"/>
                <w:sz w:val="21"/>
              </w:rPr>
              <w:t>1.31</w:t>
            </w:r>
          </w:p>
        </w:tc>
        <w:tc>
          <w:tcPr>
            <w:tcW w:w="1710" w:type="dxa"/>
          </w:tcPr>
          <w:p w:rsidR="003F5784" w14:paraId="6E8C963B" w14:textId="77777777">
            <w:pPr>
              <w:pStyle w:val="TableParagraph"/>
              <w:ind w:right="422"/>
              <w:rPr>
                <w:sz w:val="21"/>
              </w:rPr>
            </w:pPr>
            <w:r>
              <w:rPr>
                <w:spacing w:val="-4"/>
                <w:sz w:val="21"/>
              </w:rPr>
              <w:t>0.00</w:t>
            </w:r>
          </w:p>
        </w:tc>
        <w:tc>
          <w:tcPr>
            <w:tcW w:w="1260" w:type="dxa"/>
          </w:tcPr>
          <w:p w:rsidR="003F5784" w14:paraId="226C350B" w14:textId="77777777">
            <w:pPr>
              <w:pStyle w:val="TableParagraph"/>
              <w:ind w:left="2" w:right="199"/>
              <w:jc w:val="center"/>
              <w:rPr>
                <w:sz w:val="21"/>
              </w:rPr>
            </w:pPr>
            <w:r>
              <w:rPr>
                <w:spacing w:val="-2"/>
                <w:sz w:val="21"/>
              </w:rPr>
              <w:t>91.75</w:t>
            </w:r>
          </w:p>
        </w:tc>
        <w:tc>
          <w:tcPr>
            <w:tcW w:w="1620" w:type="dxa"/>
          </w:tcPr>
          <w:p w:rsidR="003F5784" w14:paraId="2C3BB825" w14:textId="77777777">
            <w:pPr>
              <w:pStyle w:val="TableParagraph"/>
              <w:ind w:left="9" w:right="8"/>
              <w:jc w:val="center"/>
              <w:rPr>
                <w:sz w:val="21"/>
              </w:rPr>
            </w:pPr>
            <w:r>
              <w:rPr>
                <w:spacing w:val="-4"/>
                <w:sz w:val="21"/>
              </w:rPr>
              <w:t>0.58</w:t>
            </w:r>
          </w:p>
        </w:tc>
        <w:tc>
          <w:tcPr>
            <w:tcW w:w="1595" w:type="dxa"/>
          </w:tcPr>
          <w:p w:rsidR="003F5784" w14:paraId="0A14326B" w14:textId="77777777">
            <w:pPr>
              <w:pStyle w:val="TableParagraph"/>
              <w:ind w:right="116"/>
              <w:rPr>
                <w:sz w:val="21"/>
              </w:rPr>
            </w:pPr>
            <w:r>
              <w:rPr>
                <w:spacing w:val="-4"/>
                <w:sz w:val="21"/>
              </w:rPr>
              <w:t>0.10</w:t>
            </w:r>
          </w:p>
        </w:tc>
      </w:tr>
      <w:tr w14:paraId="6EFC2FE5"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5BCCD842" w14:textId="77777777">
            <w:pPr>
              <w:pStyle w:val="TableParagraph"/>
              <w:ind w:left="120"/>
              <w:jc w:val="left"/>
              <w:rPr>
                <w:sz w:val="21"/>
              </w:rPr>
            </w:pPr>
            <w:r>
              <w:rPr>
                <w:spacing w:val="-2"/>
                <w:sz w:val="21"/>
              </w:rPr>
              <w:t>Missouri</w:t>
            </w:r>
          </w:p>
        </w:tc>
        <w:tc>
          <w:tcPr>
            <w:tcW w:w="2137" w:type="dxa"/>
          </w:tcPr>
          <w:p w:rsidR="003F5784" w14:paraId="5C91409B" w14:textId="77777777">
            <w:pPr>
              <w:pStyle w:val="TableParagraph"/>
              <w:ind w:right="622"/>
              <w:rPr>
                <w:sz w:val="21"/>
              </w:rPr>
            </w:pPr>
            <w:r>
              <w:rPr>
                <w:spacing w:val="-2"/>
                <w:sz w:val="21"/>
              </w:rPr>
              <w:t>93.38</w:t>
            </w:r>
          </w:p>
        </w:tc>
        <w:tc>
          <w:tcPr>
            <w:tcW w:w="1620" w:type="dxa"/>
          </w:tcPr>
          <w:p w:rsidR="003F5784" w14:paraId="4B6851F9" w14:textId="77777777">
            <w:pPr>
              <w:pStyle w:val="TableParagraph"/>
              <w:ind w:left="9" w:right="8"/>
              <w:jc w:val="center"/>
              <w:rPr>
                <w:sz w:val="21"/>
              </w:rPr>
            </w:pPr>
            <w:r>
              <w:rPr>
                <w:spacing w:val="-4"/>
                <w:sz w:val="21"/>
              </w:rPr>
              <w:t>0.66</w:t>
            </w:r>
          </w:p>
        </w:tc>
        <w:tc>
          <w:tcPr>
            <w:tcW w:w="1710" w:type="dxa"/>
          </w:tcPr>
          <w:p w:rsidR="003F5784" w14:paraId="7C1DAB39" w14:textId="77777777">
            <w:pPr>
              <w:pStyle w:val="TableParagraph"/>
              <w:ind w:right="422"/>
              <w:rPr>
                <w:sz w:val="21"/>
              </w:rPr>
            </w:pPr>
            <w:r>
              <w:rPr>
                <w:spacing w:val="-4"/>
                <w:sz w:val="21"/>
              </w:rPr>
              <w:t>0.18</w:t>
            </w:r>
          </w:p>
        </w:tc>
        <w:tc>
          <w:tcPr>
            <w:tcW w:w="1260" w:type="dxa"/>
          </w:tcPr>
          <w:p w:rsidR="003F5784" w14:paraId="193EADE2" w14:textId="77777777">
            <w:pPr>
              <w:pStyle w:val="TableParagraph"/>
              <w:ind w:left="2" w:right="199"/>
              <w:jc w:val="center"/>
              <w:rPr>
                <w:sz w:val="21"/>
              </w:rPr>
            </w:pPr>
            <w:r>
              <w:rPr>
                <w:spacing w:val="-2"/>
                <w:sz w:val="21"/>
              </w:rPr>
              <w:t>92.49</w:t>
            </w:r>
          </w:p>
        </w:tc>
        <w:tc>
          <w:tcPr>
            <w:tcW w:w="1620" w:type="dxa"/>
          </w:tcPr>
          <w:p w:rsidR="003F5784" w14:paraId="14A17A77" w14:textId="77777777">
            <w:pPr>
              <w:pStyle w:val="TableParagraph"/>
              <w:ind w:left="9" w:right="8"/>
              <w:jc w:val="center"/>
              <w:rPr>
                <w:sz w:val="21"/>
              </w:rPr>
            </w:pPr>
            <w:r>
              <w:rPr>
                <w:spacing w:val="-4"/>
                <w:sz w:val="21"/>
              </w:rPr>
              <w:t>0.90</w:t>
            </w:r>
          </w:p>
        </w:tc>
        <w:tc>
          <w:tcPr>
            <w:tcW w:w="1595" w:type="dxa"/>
          </w:tcPr>
          <w:p w:rsidR="003F5784" w14:paraId="11E3E606" w14:textId="77777777">
            <w:pPr>
              <w:pStyle w:val="TableParagraph"/>
              <w:ind w:right="116"/>
              <w:rPr>
                <w:sz w:val="21"/>
              </w:rPr>
            </w:pPr>
            <w:r>
              <w:rPr>
                <w:spacing w:val="-4"/>
                <w:sz w:val="21"/>
              </w:rPr>
              <w:t>0.30</w:t>
            </w:r>
          </w:p>
        </w:tc>
      </w:tr>
      <w:tr w14:paraId="18B49A0D"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5BC65B7A" w14:textId="77777777">
            <w:pPr>
              <w:pStyle w:val="TableParagraph"/>
              <w:ind w:left="120"/>
              <w:jc w:val="left"/>
              <w:rPr>
                <w:sz w:val="21"/>
              </w:rPr>
            </w:pPr>
            <w:r>
              <w:rPr>
                <w:spacing w:val="-2"/>
                <w:sz w:val="21"/>
              </w:rPr>
              <w:t>Montana</w:t>
            </w:r>
          </w:p>
        </w:tc>
        <w:tc>
          <w:tcPr>
            <w:tcW w:w="2137" w:type="dxa"/>
          </w:tcPr>
          <w:p w:rsidR="003F5784" w14:paraId="63B037C0" w14:textId="77777777">
            <w:pPr>
              <w:pStyle w:val="TableParagraph"/>
              <w:ind w:right="622"/>
              <w:rPr>
                <w:sz w:val="21"/>
              </w:rPr>
            </w:pPr>
            <w:r>
              <w:rPr>
                <w:spacing w:val="-2"/>
                <w:sz w:val="21"/>
              </w:rPr>
              <w:t>89.73</w:t>
            </w:r>
          </w:p>
        </w:tc>
        <w:tc>
          <w:tcPr>
            <w:tcW w:w="1620" w:type="dxa"/>
          </w:tcPr>
          <w:p w:rsidR="003F5784" w14:paraId="7A57B82F" w14:textId="77777777">
            <w:pPr>
              <w:pStyle w:val="TableParagraph"/>
              <w:ind w:left="9" w:right="8"/>
              <w:jc w:val="center"/>
              <w:rPr>
                <w:sz w:val="21"/>
              </w:rPr>
            </w:pPr>
            <w:r>
              <w:rPr>
                <w:spacing w:val="-4"/>
                <w:sz w:val="21"/>
              </w:rPr>
              <w:t>1.32</w:t>
            </w:r>
          </w:p>
        </w:tc>
        <w:tc>
          <w:tcPr>
            <w:tcW w:w="1710" w:type="dxa"/>
          </w:tcPr>
          <w:p w:rsidR="003F5784" w14:paraId="1241D172" w14:textId="77777777">
            <w:pPr>
              <w:pStyle w:val="TableParagraph"/>
              <w:ind w:right="422"/>
              <w:rPr>
                <w:sz w:val="21"/>
              </w:rPr>
            </w:pPr>
            <w:r>
              <w:rPr>
                <w:spacing w:val="-4"/>
                <w:sz w:val="21"/>
              </w:rPr>
              <w:t>0.00</w:t>
            </w:r>
          </w:p>
        </w:tc>
        <w:tc>
          <w:tcPr>
            <w:tcW w:w="1260" w:type="dxa"/>
          </w:tcPr>
          <w:p w:rsidR="003F5784" w14:paraId="020CCB53" w14:textId="77777777">
            <w:pPr>
              <w:pStyle w:val="TableParagraph"/>
              <w:ind w:left="2" w:right="199"/>
              <w:jc w:val="center"/>
              <w:rPr>
                <w:sz w:val="21"/>
              </w:rPr>
            </w:pPr>
            <w:r>
              <w:rPr>
                <w:spacing w:val="-2"/>
                <w:sz w:val="21"/>
              </w:rPr>
              <w:t>87.24</w:t>
            </w:r>
          </w:p>
        </w:tc>
        <w:tc>
          <w:tcPr>
            <w:tcW w:w="1620" w:type="dxa"/>
          </w:tcPr>
          <w:p w:rsidR="003F5784" w14:paraId="3FE0D883" w14:textId="77777777">
            <w:pPr>
              <w:pStyle w:val="TableParagraph"/>
              <w:ind w:left="9" w:right="8"/>
              <w:jc w:val="center"/>
              <w:rPr>
                <w:sz w:val="21"/>
              </w:rPr>
            </w:pPr>
            <w:r>
              <w:rPr>
                <w:spacing w:val="-4"/>
                <w:sz w:val="21"/>
              </w:rPr>
              <w:t>0.79</w:t>
            </w:r>
          </w:p>
        </w:tc>
        <w:tc>
          <w:tcPr>
            <w:tcW w:w="1595" w:type="dxa"/>
          </w:tcPr>
          <w:p w:rsidR="003F5784" w14:paraId="2FDEFD9F" w14:textId="77777777">
            <w:pPr>
              <w:pStyle w:val="TableParagraph"/>
              <w:ind w:right="116"/>
              <w:rPr>
                <w:sz w:val="21"/>
              </w:rPr>
            </w:pPr>
            <w:r>
              <w:rPr>
                <w:spacing w:val="-4"/>
                <w:sz w:val="21"/>
              </w:rPr>
              <w:t>0.05</w:t>
            </w:r>
          </w:p>
        </w:tc>
      </w:tr>
      <w:tr w14:paraId="38EAB5FA"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63869DAB" w14:textId="77777777">
            <w:pPr>
              <w:pStyle w:val="TableParagraph"/>
              <w:ind w:left="120"/>
              <w:jc w:val="left"/>
              <w:rPr>
                <w:sz w:val="21"/>
              </w:rPr>
            </w:pPr>
            <w:r>
              <w:rPr>
                <w:spacing w:val="-2"/>
                <w:sz w:val="21"/>
              </w:rPr>
              <w:t>Nebraska</w:t>
            </w:r>
          </w:p>
        </w:tc>
        <w:tc>
          <w:tcPr>
            <w:tcW w:w="2137" w:type="dxa"/>
          </w:tcPr>
          <w:p w:rsidR="003F5784" w14:paraId="3E5B84C2" w14:textId="77777777">
            <w:pPr>
              <w:pStyle w:val="TableParagraph"/>
              <w:ind w:right="622"/>
              <w:rPr>
                <w:sz w:val="21"/>
              </w:rPr>
            </w:pPr>
            <w:r>
              <w:rPr>
                <w:spacing w:val="-2"/>
                <w:sz w:val="21"/>
              </w:rPr>
              <w:t>94.33</w:t>
            </w:r>
          </w:p>
        </w:tc>
        <w:tc>
          <w:tcPr>
            <w:tcW w:w="1620" w:type="dxa"/>
          </w:tcPr>
          <w:p w:rsidR="003F5784" w14:paraId="5800E5EF" w14:textId="77777777">
            <w:pPr>
              <w:pStyle w:val="TableParagraph"/>
              <w:ind w:left="9" w:right="8"/>
              <w:jc w:val="center"/>
              <w:rPr>
                <w:sz w:val="21"/>
              </w:rPr>
            </w:pPr>
            <w:r>
              <w:rPr>
                <w:spacing w:val="-4"/>
                <w:sz w:val="21"/>
              </w:rPr>
              <w:t>1.02</w:t>
            </w:r>
          </w:p>
        </w:tc>
        <w:tc>
          <w:tcPr>
            <w:tcW w:w="1710" w:type="dxa"/>
          </w:tcPr>
          <w:p w:rsidR="003F5784" w14:paraId="3581EB66" w14:textId="77777777">
            <w:pPr>
              <w:pStyle w:val="TableParagraph"/>
              <w:ind w:right="422"/>
              <w:rPr>
                <w:sz w:val="21"/>
              </w:rPr>
            </w:pPr>
            <w:r>
              <w:rPr>
                <w:spacing w:val="-4"/>
                <w:sz w:val="21"/>
              </w:rPr>
              <w:t>0.27</w:t>
            </w:r>
          </w:p>
        </w:tc>
        <w:tc>
          <w:tcPr>
            <w:tcW w:w="1260" w:type="dxa"/>
          </w:tcPr>
          <w:p w:rsidR="003F5784" w14:paraId="54307F45" w14:textId="77777777">
            <w:pPr>
              <w:pStyle w:val="TableParagraph"/>
              <w:ind w:left="2" w:right="199"/>
              <w:jc w:val="center"/>
              <w:rPr>
                <w:sz w:val="21"/>
              </w:rPr>
            </w:pPr>
            <w:r>
              <w:rPr>
                <w:spacing w:val="-2"/>
                <w:sz w:val="21"/>
              </w:rPr>
              <w:t>92.69</w:t>
            </w:r>
          </w:p>
        </w:tc>
        <w:tc>
          <w:tcPr>
            <w:tcW w:w="1620" w:type="dxa"/>
          </w:tcPr>
          <w:p w:rsidR="003F5784" w14:paraId="638F6463" w14:textId="77777777">
            <w:pPr>
              <w:pStyle w:val="TableParagraph"/>
              <w:ind w:left="9" w:right="8"/>
              <w:jc w:val="center"/>
              <w:rPr>
                <w:sz w:val="21"/>
              </w:rPr>
            </w:pPr>
            <w:r>
              <w:rPr>
                <w:spacing w:val="-4"/>
                <w:sz w:val="21"/>
              </w:rPr>
              <w:t>1.13</w:t>
            </w:r>
          </w:p>
        </w:tc>
        <w:tc>
          <w:tcPr>
            <w:tcW w:w="1595" w:type="dxa"/>
          </w:tcPr>
          <w:p w:rsidR="003F5784" w14:paraId="0F0B2081" w14:textId="77777777">
            <w:pPr>
              <w:pStyle w:val="TableParagraph"/>
              <w:ind w:right="116"/>
              <w:rPr>
                <w:sz w:val="21"/>
              </w:rPr>
            </w:pPr>
            <w:r>
              <w:rPr>
                <w:spacing w:val="-4"/>
                <w:sz w:val="21"/>
              </w:rPr>
              <w:t>0.34</w:t>
            </w:r>
          </w:p>
        </w:tc>
      </w:tr>
      <w:tr w14:paraId="29806949"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1F540BBE" w14:textId="77777777">
            <w:pPr>
              <w:pStyle w:val="TableParagraph"/>
              <w:ind w:left="120"/>
              <w:jc w:val="left"/>
              <w:rPr>
                <w:sz w:val="21"/>
              </w:rPr>
            </w:pPr>
            <w:r>
              <w:rPr>
                <w:spacing w:val="-2"/>
                <w:sz w:val="21"/>
              </w:rPr>
              <w:t>Nevada–Clark</w:t>
            </w:r>
            <w:r>
              <w:rPr>
                <w:spacing w:val="10"/>
                <w:sz w:val="21"/>
              </w:rPr>
              <w:t xml:space="preserve"> </w:t>
            </w:r>
            <w:r>
              <w:rPr>
                <w:spacing w:val="-2"/>
                <w:sz w:val="21"/>
              </w:rPr>
              <w:t>County</w:t>
            </w:r>
          </w:p>
        </w:tc>
        <w:tc>
          <w:tcPr>
            <w:tcW w:w="2137" w:type="dxa"/>
          </w:tcPr>
          <w:p w:rsidR="003F5784" w14:paraId="76533C48" w14:textId="77777777">
            <w:pPr>
              <w:pStyle w:val="TableParagraph"/>
              <w:ind w:right="622"/>
              <w:rPr>
                <w:sz w:val="21"/>
              </w:rPr>
            </w:pPr>
            <w:r>
              <w:rPr>
                <w:spacing w:val="-2"/>
                <w:sz w:val="21"/>
              </w:rPr>
              <w:t>91.94</w:t>
            </w:r>
          </w:p>
        </w:tc>
        <w:tc>
          <w:tcPr>
            <w:tcW w:w="1620" w:type="dxa"/>
          </w:tcPr>
          <w:p w:rsidR="003F5784" w14:paraId="723C8233" w14:textId="77777777">
            <w:pPr>
              <w:pStyle w:val="TableParagraph"/>
              <w:ind w:left="9" w:right="8"/>
              <w:jc w:val="center"/>
              <w:rPr>
                <w:sz w:val="21"/>
              </w:rPr>
            </w:pPr>
            <w:r>
              <w:rPr>
                <w:spacing w:val="-4"/>
                <w:sz w:val="21"/>
              </w:rPr>
              <w:t>1.08</w:t>
            </w:r>
          </w:p>
        </w:tc>
        <w:tc>
          <w:tcPr>
            <w:tcW w:w="1710" w:type="dxa"/>
          </w:tcPr>
          <w:p w:rsidR="003F5784" w14:paraId="165BDC09" w14:textId="77777777">
            <w:pPr>
              <w:pStyle w:val="TableParagraph"/>
              <w:ind w:right="422"/>
              <w:rPr>
                <w:sz w:val="21"/>
              </w:rPr>
            </w:pPr>
            <w:r>
              <w:rPr>
                <w:spacing w:val="-4"/>
                <w:sz w:val="21"/>
              </w:rPr>
              <w:t>0.91</w:t>
            </w:r>
          </w:p>
        </w:tc>
        <w:tc>
          <w:tcPr>
            <w:tcW w:w="1260" w:type="dxa"/>
          </w:tcPr>
          <w:p w:rsidR="003F5784" w14:paraId="5D150256" w14:textId="77777777">
            <w:pPr>
              <w:pStyle w:val="TableParagraph"/>
              <w:ind w:left="2" w:right="199"/>
              <w:jc w:val="center"/>
              <w:rPr>
                <w:sz w:val="21"/>
              </w:rPr>
            </w:pPr>
            <w:r>
              <w:rPr>
                <w:spacing w:val="-2"/>
                <w:sz w:val="21"/>
              </w:rPr>
              <w:t>86.43</w:t>
            </w:r>
          </w:p>
        </w:tc>
        <w:tc>
          <w:tcPr>
            <w:tcW w:w="1620" w:type="dxa"/>
          </w:tcPr>
          <w:p w:rsidR="003F5784" w14:paraId="0A077882" w14:textId="77777777">
            <w:pPr>
              <w:pStyle w:val="TableParagraph"/>
              <w:ind w:left="9" w:right="8"/>
              <w:jc w:val="center"/>
              <w:rPr>
                <w:sz w:val="21"/>
              </w:rPr>
            </w:pPr>
            <w:r>
              <w:rPr>
                <w:spacing w:val="-4"/>
                <w:sz w:val="21"/>
              </w:rPr>
              <w:t>1.12</w:t>
            </w:r>
          </w:p>
        </w:tc>
        <w:tc>
          <w:tcPr>
            <w:tcW w:w="1595" w:type="dxa"/>
          </w:tcPr>
          <w:p w:rsidR="003F5784" w14:paraId="5BA6CFD8" w14:textId="77777777">
            <w:pPr>
              <w:pStyle w:val="TableParagraph"/>
              <w:ind w:right="116"/>
              <w:rPr>
                <w:sz w:val="21"/>
              </w:rPr>
            </w:pPr>
            <w:r>
              <w:rPr>
                <w:spacing w:val="-4"/>
                <w:sz w:val="21"/>
              </w:rPr>
              <w:t>0.48</w:t>
            </w:r>
          </w:p>
        </w:tc>
      </w:tr>
      <w:tr w14:paraId="1E4CF655"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3E53EADD" w14:textId="77777777">
            <w:pPr>
              <w:pStyle w:val="TableParagraph"/>
              <w:ind w:left="120"/>
              <w:jc w:val="left"/>
              <w:rPr>
                <w:sz w:val="21"/>
              </w:rPr>
            </w:pPr>
            <w:r>
              <w:rPr>
                <w:spacing w:val="-2"/>
                <w:sz w:val="21"/>
              </w:rPr>
              <w:t>Nevada</w:t>
            </w:r>
          </w:p>
        </w:tc>
        <w:tc>
          <w:tcPr>
            <w:tcW w:w="2137" w:type="dxa"/>
          </w:tcPr>
          <w:p w:rsidR="003F5784" w14:paraId="3465F5DB" w14:textId="77777777">
            <w:pPr>
              <w:pStyle w:val="TableParagraph"/>
              <w:ind w:right="622"/>
              <w:rPr>
                <w:sz w:val="21"/>
              </w:rPr>
            </w:pPr>
            <w:r>
              <w:rPr>
                <w:spacing w:val="-2"/>
                <w:sz w:val="21"/>
              </w:rPr>
              <w:t>91.47</w:t>
            </w:r>
          </w:p>
        </w:tc>
        <w:tc>
          <w:tcPr>
            <w:tcW w:w="1620" w:type="dxa"/>
          </w:tcPr>
          <w:p w:rsidR="003F5784" w14:paraId="469596AB" w14:textId="77777777">
            <w:pPr>
              <w:pStyle w:val="TableParagraph"/>
              <w:ind w:left="9" w:right="8"/>
              <w:jc w:val="center"/>
              <w:rPr>
                <w:sz w:val="21"/>
              </w:rPr>
            </w:pPr>
            <w:r>
              <w:rPr>
                <w:spacing w:val="-4"/>
                <w:sz w:val="21"/>
              </w:rPr>
              <w:t>1.08</w:t>
            </w:r>
          </w:p>
        </w:tc>
        <w:tc>
          <w:tcPr>
            <w:tcW w:w="1710" w:type="dxa"/>
          </w:tcPr>
          <w:p w:rsidR="003F5784" w14:paraId="73C1FC3A" w14:textId="77777777">
            <w:pPr>
              <w:pStyle w:val="TableParagraph"/>
              <w:ind w:right="422"/>
              <w:rPr>
                <w:sz w:val="21"/>
              </w:rPr>
            </w:pPr>
            <w:r>
              <w:rPr>
                <w:spacing w:val="-4"/>
                <w:sz w:val="21"/>
              </w:rPr>
              <w:t>0.67</w:t>
            </w:r>
          </w:p>
        </w:tc>
        <w:tc>
          <w:tcPr>
            <w:tcW w:w="1260" w:type="dxa"/>
          </w:tcPr>
          <w:p w:rsidR="003F5784" w14:paraId="73F642AA" w14:textId="77777777">
            <w:pPr>
              <w:pStyle w:val="TableParagraph"/>
              <w:ind w:left="2" w:right="199"/>
              <w:jc w:val="center"/>
              <w:rPr>
                <w:sz w:val="21"/>
              </w:rPr>
            </w:pPr>
            <w:r>
              <w:rPr>
                <w:spacing w:val="-2"/>
                <w:sz w:val="21"/>
              </w:rPr>
              <w:t>88.06</w:t>
            </w:r>
          </w:p>
        </w:tc>
        <w:tc>
          <w:tcPr>
            <w:tcW w:w="1620" w:type="dxa"/>
          </w:tcPr>
          <w:p w:rsidR="003F5784" w14:paraId="49686EDD" w14:textId="77777777">
            <w:pPr>
              <w:pStyle w:val="TableParagraph"/>
              <w:ind w:left="9" w:right="8"/>
              <w:jc w:val="center"/>
              <w:rPr>
                <w:sz w:val="21"/>
              </w:rPr>
            </w:pPr>
            <w:r>
              <w:rPr>
                <w:spacing w:val="-4"/>
                <w:sz w:val="21"/>
              </w:rPr>
              <w:t>1.06</w:t>
            </w:r>
          </w:p>
        </w:tc>
        <w:tc>
          <w:tcPr>
            <w:tcW w:w="1595" w:type="dxa"/>
          </w:tcPr>
          <w:p w:rsidR="003F5784" w14:paraId="4671FEE8" w14:textId="77777777">
            <w:pPr>
              <w:pStyle w:val="TableParagraph"/>
              <w:ind w:right="116"/>
              <w:rPr>
                <w:sz w:val="21"/>
              </w:rPr>
            </w:pPr>
            <w:r>
              <w:rPr>
                <w:spacing w:val="-4"/>
                <w:sz w:val="21"/>
              </w:rPr>
              <w:t>0.39</w:t>
            </w:r>
          </w:p>
        </w:tc>
      </w:tr>
      <w:tr w14:paraId="0CD584CC"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0992CB83" w14:textId="77777777">
            <w:pPr>
              <w:pStyle w:val="TableParagraph"/>
              <w:ind w:left="120"/>
              <w:jc w:val="left"/>
              <w:rPr>
                <w:sz w:val="21"/>
              </w:rPr>
            </w:pPr>
            <w:r>
              <w:rPr>
                <w:sz w:val="21"/>
              </w:rPr>
              <w:t>New</w:t>
            </w:r>
            <w:r>
              <w:rPr>
                <w:spacing w:val="-5"/>
                <w:sz w:val="21"/>
              </w:rPr>
              <w:t xml:space="preserve"> </w:t>
            </w:r>
            <w:r>
              <w:rPr>
                <w:spacing w:val="-2"/>
                <w:sz w:val="21"/>
              </w:rPr>
              <w:t>Hampshire</w:t>
            </w:r>
          </w:p>
        </w:tc>
        <w:tc>
          <w:tcPr>
            <w:tcW w:w="2137" w:type="dxa"/>
          </w:tcPr>
          <w:p w:rsidR="003F5784" w14:paraId="5F960FA5" w14:textId="77777777">
            <w:pPr>
              <w:pStyle w:val="TableParagraph"/>
              <w:ind w:right="622"/>
              <w:rPr>
                <w:sz w:val="21"/>
              </w:rPr>
            </w:pPr>
            <w:r>
              <w:rPr>
                <w:spacing w:val="-2"/>
                <w:sz w:val="21"/>
              </w:rPr>
              <w:t>87.70</w:t>
            </w:r>
          </w:p>
        </w:tc>
        <w:tc>
          <w:tcPr>
            <w:tcW w:w="1620" w:type="dxa"/>
          </w:tcPr>
          <w:p w:rsidR="003F5784" w14:paraId="1AE3097B" w14:textId="77777777">
            <w:pPr>
              <w:pStyle w:val="TableParagraph"/>
              <w:ind w:left="9" w:right="8"/>
              <w:jc w:val="center"/>
              <w:rPr>
                <w:sz w:val="21"/>
              </w:rPr>
            </w:pPr>
            <w:r>
              <w:rPr>
                <w:spacing w:val="-4"/>
                <w:sz w:val="21"/>
              </w:rPr>
              <w:t>1.06</w:t>
            </w:r>
          </w:p>
        </w:tc>
        <w:tc>
          <w:tcPr>
            <w:tcW w:w="1710" w:type="dxa"/>
          </w:tcPr>
          <w:p w:rsidR="003F5784" w14:paraId="12EF73AD" w14:textId="77777777">
            <w:pPr>
              <w:pStyle w:val="TableParagraph"/>
              <w:ind w:right="422"/>
              <w:rPr>
                <w:sz w:val="21"/>
              </w:rPr>
            </w:pPr>
            <w:r>
              <w:rPr>
                <w:spacing w:val="-4"/>
                <w:sz w:val="21"/>
              </w:rPr>
              <w:t>0.13</w:t>
            </w:r>
          </w:p>
        </w:tc>
        <w:tc>
          <w:tcPr>
            <w:tcW w:w="1260" w:type="dxa"/>
          </w:tcPr>
          <w:p w:rsidR="003F5784" w14:paraId="07356BF9" w14:textId="77777777">
            <w:pPr>
              <w:pStyle w:val="TableParagraph"/>
              <w:ind w:left="2" w:right="199"/>
              <w:jc w:val="center"/>
              <w:rPr>
                <w:sz w:val="21"/>
              </w:rPr>
            </w:pPr>
            <w:r>
              <w:rPr>
                <w:spacing w:val="-2"/>
                <w:sz w:val="21"/>
              </w:rPr>
              <w:t>84.57</w:t>
            </w:r>
          </w:p>
        </w:tc>
        <w:tc>
          <w:tcPr>
            <w:tcW w:w="1620" w:type="dxa"/>
          </w:tcPr>
          <w:p w:rsidR="003F5784" w14:paraId="277BE4CF" w14:textId="77777777">
            <w:pPr>
              <w:pStyle w:val="TableParagraph"/>
              <w:ind w:left="9" w:right="8"/>
              <w:jc w:val="center"/>
              <w:rPr>
                <w:sz w:val="21"/>
              </w:rPr>
            </w:pPr>
            <w:r>
              <w:rPr>
                <w:spacing w:val="-4"/>
                <w:sz w:val="21"/>
              </w:rPr>
              <w:t>0.71</w:t>
            </w:r>
          </w:p>
        </w:tc>
        <w:tc>
          <w:tcPr>
            <w:tcW w:w="1595" w:type="dxa"/>
          </w:tcPr>
          <w:p w:rsidR="003F5784" w14:paraId="57059943" w14:textId="77777777">
            <w:pPr>
              <w:pStyle w:val="TableParagraph"/>
              <w:ind w:right="116"/>
              <w:rPr>
                <w:sz w:val="21"/>
              </w:rPr>
            </w:pPr>
            <w:r>
              <w:rPr>
                <w:spacing w:val="-4"/>
                <w:sz w:val="21"/>
              </w:rPr>
              <w:t>0.33</w:t>
            </w:r>
          </w:p>
        </w:tc>
      </w:tr>
      <w:tr w14:paraId="11C7ED06"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76543756" w14:textId="77777777">
            <w:pPr>
              <w:pStyle w:val="TableParagraph"/>
              <w:ind w:left="120"/>
              <w:jc w:val="left"/>
              <w:rPr>
                <w:sz w:val="21"/>
              </w:rPr>
            </w:pPr>
            <w:r>
              <w:rPr>
                <w:sz w:val="21"/>
              </w:rPr>
              <w:t>New</w:t>
            </w:r>
            <w:r>
              <w:rPr>
                <w:spacing w:val="-5"/>
                <w:sz w:val="21"/>
              </w:rPr>
              <w:t xml:space="preserve"> </w:t>
            </w:r>
            <w:r>
              <w:rPr>
                <w:spacing w:val="-2"/>
                <w:sz w:val="21"/>
              </w:rPr>
              <w:t>Jersey</w:t>
            </w:r>
          </w:p>
        </w:tc>
        <w:tc>
          <w:tcPr>
            <w:tcW w:w="2137" w:type="dxa"/>
          </w:tcPr>
          <w:p w:rsidR="003F5784" w14:paraId="17DBC50C" w14:textId="77777777">
            <w:pPr>
              <w:pStyle w:val="TableParagraph"/>
              <w:ind w:right="622"/>
              <w:rPr>
                <w:sz w:val="21"/>
              </w:rPr>
            </w:pPr>
            <w:r>
              <w:rPr>
                <w:spacing w:val="-2"/>
                <w:sz w:val="21"/>
              </w:rPr>
              <w:t>91.90</w:t>
            </w:r>
          </w:p>
        </w:tc>
        <w:tc>
          <w:tcPr>
            <w:tcW w:w="1620" w:type="dxa"/>
          </w:tcPr>
          <w:p w:rsidR="003F5784" w14:paraId="652318ED" w14:textId="77777777">
            <w:pPr>
              <w:pStyle w:val="TableParagraph"/>
              <w:ind w:left="9" w:right="8"/>
              <w:jc w:val="center"/>
              <w:rPr>
                <w:sz w:val="21"/>
              </w:rPr>
            </w:pPr>
            <w:r>
              <w:rPr>
                <w:spacing w:val="-4"/>
                <w:sz w:val="21"/>
              </w:rPr>
              <w:t>2.13</w:t>
            </w:r>
          </w:p>
        </w:tc>
        <w:tc>
          <w:tcPr>
            <w:tcW w:w="1710" w:type="dxa"/>
          </w:tcPr>
          <w:p w:rsidR="003F5784" w14:paraId="0E802573" w14:textId="77777777">
            <w:pPr>
              <w:pStyle w:val="TableParagraph"/>
              <w:ind w:right="422"/>
              <w:rPr>
                <w:sz w:val="21"/>
              </w:rPr>
            </w:pPr>
            <w:r>
              <w:rPr>
                <w:spacing w:val="-4"/>
                <w:sz w:val="21"/>
              </w:rPr>
              <w:t>0.77</w:t>
            </w:r>
          </w:p>
        </w:tc>
        <w:tc>
          <w:tcPr>
            <w:tcW w:w="1260" w:type="dxa"/>
          </w:tcPr>
          <w:p w:rsidR="003F5784" w14:paraId="65296F16" w14:textId="77777777">
            <w:pPr>
              <w:pStyle w:val="TableParagraph"/>
              <w:ind w:left="2" w:right="199"/>
              <w:jc w:val="center"/>
              <w:rPr>
                <w:sz w:val="21"/>
              </w:rPr>
            </w:pPr>
            <w:r>
              <w:rPr>
                <w:spacing w:val="-2"/>
                <w:sz w:val="21"/>
              </w:rPr>
              <w:t>89.50</w:t>
            </w:r>
          </w:p>
        </w:tc>
        <w:tc>
          <w:tcPr>
            <w:tcW w:w="1620" w:type="dxa"/>
          </w:tcPr>
          <w:p w:rsidR="003F5784" w14:paraId="019795AF" w14:textId="77777777">
            <w:pPr>
              <w:pStyle w:val="TableParagraph"/>
              <w:ind w:left="9" w:right="8"/>
              <w:jc w:val="center"/>
              <w:rPr>
                <w:sz w:val="21"/>
              </w:rPr>
            </w:pPr>
            <w:r>
              <w:rPr>
                <w:spacing w:val="-4"/>
                <w:sz w:val="21"/>
              </w:rPr>
              <w:t>1.60</w:t>
            </w:r>
          </w:p>
        </w:tc>
        <w:tc>
          <w:tcPr>
            <w:tcW w:w="1595" w:type="dxa"/>
          </w:tcPr>
          <w:p w:rsidR="003F5784" w14:paraId="2F560343" w14:textId="77777777">
            <w:pPr>
              <w:pStyle w:val="TableParagraph"/>
              <w:ind w:right="116"/>
              <w:rPr>
                <w:sz w:val="21"/>
              </w:rPr>
            </w:pPr>
            <w:r>
              <w:rPr>
                <w:spacing w:val="-4"/>
                <w:sz w:val="21"/>
              </w:rPr>
              <w:t>0.71</w:t>
            </w:r>
          </w:p>
        </w:tc>
      </w:tr>
      <w:tr w14:paraId="5ED9F2CE"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3DDCA954" w14:textId="77777777">
            <w:pPr>
              <w:pStyle w:val="TableParagraph"/>
              <w:ind w:left="120"/>
              <w:jc w:val="left"/>
              <w:rPr>
                <w:sz w:val="21"/>
              </w:rPr>
            </w:pPr>
            <w:r>
              <w:rPr>
                <w:sz w:val="21"/>
              </w:rPr>
              <w:t>New</w:t>
            </w:r>
            <w:r>
              <w:rPr>
                <w:spacing w:val="-5"/>
                <w:sz w:val="21"/>
              </w:rPr>
              <w:t xml:space="preserve"> </w:t>
            </w:r>
            <w:r>
              <w:rPr>
                <w:spacing w:val="-2"/>
                <w:sz w:val="21"/>
              </w:rPr>
              <w:t>Mexico–Albuquerque</w:t>
            </w:r>
          </w:p>
        </w:tc>
        <w:tc>
          <w:tcPr>
            <w:tcW w:w="2137" w:type="dxa"/>
          </w:tcPr>
          <w:p w:rsidR="003F5784" w14:paraId="5558C8CE" w14:textId="77777777">
            <w:pPr>
              <w:pStyle w:val="TableParagraph"/>
              <w:ind w:right="622"/>
              <w:rPr>
                <w:sz w:val="21"/>
              </w:rPr>
            </w:pPr>
            <w:r>
              <w:rPr>
                <w:spacing w:val="-2"/>
                <w:sz w:val="21"/>
              </w:rPr>
              <w:t>91.29</w:t>
            </w:r>
          </w:p>
        </w:tc>
        <w:tc>
          <w:tcPr>
            <w:tcW w:w="1620" w:type="dxa"/>
          </w:tcPr>
          <w:p w:rsidR="003F5784" w14:paraId="4A1C5B5B" w14:textId="77777777">
            <w:pPr>
              <w:pStyle w:val="TableParagraph"/>
              <w:ind w:left="9" w:right="8"/>
              <w:jc w:val="center"/>
              <w:rPr>
                <w:sz w:val="21"/>
              </w:rPr>
            </w:pPr>
            <w:r>
              <w:rPr>
                <w:spacing w:val="-4"/>
                <w:sz w:val="21"/>
              </w:rPr>
              <w:t>1.05</w:t>
            </w:r>
          </w:p>
        </w:tc>
        <w:tc>
          <w:tcPr>
            <w:tcW w:w="1710" w:type="dxa"/>
          </w:tcPr>
          <w:p w:rsidR="003F5784" w14:paraId="3CE987B4" w14:textId="77777777">
            <w:pPr>
              <w:pStyle w:val="TableParagraph"/>
              <w:ind w:right="422"/>
              <w:rPr>
                <w:sz w:val="21"/>
              </w:rPr>
            </w:pPr>
            <w:r>
              <w:rPr>
                <w:spacing w:val="-4"/>
                <w:sz w:val="21"/>
              </w:rPr>
              <w:t>0.67</w:t>
            </w:r>
          </w:p>
        </w:tc>
        <w:tc>
          <w:tcPr>
            <w:tcW w:w="1260" w:type="dxa"/>
          </w:tcPr>
          <w:p w:rsidR="003F5784" w14:paraId="6607CF77" w14:textId="77777777">
            <w:pPr>
              <w:pStyle w:val="TableParagraph"/>
              <w:ind w:left="2" w:right="199"/>
              <w:jc w:val="center"/>
              <w:rPr>
                <w:sz w:val="21"/>
              </w:rPr>
            </w:pPr>
            <w:r>
              <w:rPr>
                <w:spacing w:val="-2"/>
                <w:sz w:val="21"/>
              </w:rPr>
              <w:t>86.92</w:t>
            </w:r>
          </w:p>
        </w:tc>
        <w:tc>
          <w:tcPr>
            <w:tcW w:w="1620" w:type="dxa"/>
          </w:tcPr>
          <w:p w:rsidR="003F5784" w14:paraId="54AF0895" w14:textId="77777777">
            <w:pPr>
              <w:pStyle w:val="TableParagraph"/>
              <w:ind w:left="9" w:right="8"/>
              <w:jc w:val="center"/>
              <w:rPr>
                <w:sz w:val="21"/>
              </w:rPr>
            </w:pPr>
            <w:r>
              <w:rPr>
                <w:spacing w:val="-4"/>
                <w:sz w:val="21"/>
              </w:rPr>
              <w:t>1.02</w:t>
            </w:r>
          </w:p>
        </w:tc>
        <w:tc>
          <w:tcPr>
            <w:tcW w:w="1595" w:type="dxa"/>
          </w:tcPr>
          <w:p w:rsidR="003F5784" w14:paraId="59E91BBC" w14:textId="77777777">
            <w:pPr>
              <w:pStyle w:val="TableParagraph"/>
              <w:ind w:right="116"/>
              <w:rPr>
                <w:sz w:val="21"/>
              </w:rPr>
            </w:pPr>
            <w:r>
              <w:rPr>
                <w:spacing w:val="-4"/>
                <w:sz w:val="21"/>
              </w:rPr>
              <w:t>0.20</w:t>
            </w:r>
          </w:p>
        </w:tc>
      </w:tr>
      <w:tr w14:paraId="434AA34F"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6A44BE2C" w14:textId="77777777">
            <w:pPr>
              <w:pStyle w:val="TableParagraph"/>
              <w:ind w:left="120"/>
              <w:jc w:val="left"/>
              <w:rPr>
                <w:sz w:val="21"/>
              </w:rPr>
            </w:pPr>
            <w:r>
              <w:rPr>
                <w:sz w:val="21"/>
              </w:rPr>
              <w:t>New</w:t>
            </w:r>
            <w:r>
              <w:rPr>
                <w:spacing w:val="-5"/>
                <w:sz w:val="21"/>
              </w:rPr>
              <w:t xml:space="preserve"> </w:t>
            </w:r>
            <w:r>
              <w:rPr>
                <w:spacing w:val="-2"/>
                <w:sz w:val="21"/>
              </w:rPr>
              <w:t>Mexico</w:t>
            </w:r>
          </w:p>
        </w:tc>
        <w:tc>
          <w:tcPr>
            <w:tcW w:w="2137" w:type="dxa"/>
          </w:tcPr>
          <w:p w:rsidR="003F5784" w14:paraId="6A40890E" w14:textId="77777777">
            <w:pPr>
              <w:pStyle w:val="TableParagraph"/>
              <w:ind w:right="622"/>
              <w:rPr>
                <w:sz w:val="21"/>
              </w:rPr>
            </w:pPr>
            <w:r>
              <w:rPr>
                <w:spacing w:val="-2"/>
                <w:sz w:val="21"/>
              </w:rPr>
              <w:t>91.03</w:t>
            </w:r>
          </w:p>
        </w:tc>
        <w:tc>
          <w:tcPr>
            <w:tcW w:w="1620" w:type="dxa"/>
          </w:tcPr>
          <w:p w:rsidR="003F5784" w14:paraId="48D6CD94" w14:textId="77777777">
            <w:pPr>
              <w:pStyle w:val="TableParagraph"/>
              <w:ind w:left="9" w:right="8"/>
              <w:jc w:val="center"/>
              <w:rPr>
                <w:sz w:val="21"/>
              </w:rPr>
            </w:pPr>
            <w:r>
              <w:rPr>
                <w:spacing w:val="-4"/>
                <w:sz w:val="21"/>
              </w:rPr>
              <w:t>1.19</w:t>
            </w:r>
          </w:p>
        </w:tc>
        <w:tc>
          <w:tcPr>
            <w:tcW w:w="1710" w:type="dxa"/>
          </w:tcPr>
          <w:p w:rsidR="003F5784" w14:paraId="73998B64" w14:textId="77777777">
            <w:pPr>
              <w:pStyle w:val="TableParagraph"/>
              <w:ind w:right="422"/>
              <w:rPr>
                <w:sz w:val="21"/>
              </w:rPr>
            </w:pPr>
            <w:r>
              <w:rPr>
                <w:spacing w:val="-4"/>
                <w:sz w:val="21"/>
              </w:rPr>
              <w:t>0.35</w:t>
            </w:r>
          </w:p>
        </w:tc>
        <w:tc>
          <w:tcPr>
            <w:tcW w:w="1260" w:type="dxa"/>
          </w:tcPr>
          <w:p w:rsidR="003F5784" w14:paraId="6485795B" w14:textId="77777777">
            <w:pPr>
              <w:pStyle w:val="TableParagraph"/>
              <w:ind w:left="2" w:right="199"/>
              <w:jc w:val="center"/>
              <w:rPr>
                <w:sz w:val="21"/>
              </w:rPr>
            </w:pPr>
            <w:r>
              <w:rPr>
                <w:spacing w:val="-2"/>
                <w:sz w:val="21"/>
              </w:rPr>
              <w:t>87.17</w:t>
            </w:r>
          </w:p>
        </w:tc>
        <w:tc>
          <w:tcPr>
            <w:tcW w:w="1620" w:type="dxa"/>
          </w:tcPr>
          <w:p w:rsidR="003F5784" w14:paraId="6F8D85FA" w14:textId="77777777">
            <w:pPr>
              <w:pStyle w:val="TableParagraph"/>
              <w:ind w:left="9" w:right="8"/>
              <w:jc w:val="center"/>
              <w:rPr>
                <w:sz w:val="21"/>
              </w:rPr>
            </w:pPr>
            <w:r>
              <w:rPr>
                <w:spacing w:val="-4"/>
                <w:sz w:val="21"/>
              </w:rPr>
              <w:t>1.56</w:t>
            </w:r>
          </w:p>
        </w:tc>
        <w:tc>
          <w:tcPr>
            <w:tcW w:w="1595" w:type="dxa"/>
          </w:tcPr>
          <w:p w:rsidR="003F5784" w14:paraId="2359B392" w14:textId="77777777">
            <w:pPr>
              <w:pStyle w:val="TableParagraph"/>
              <w:ind w:right="116"/>
              <w:rPr>
                <w:sz w:val="21"/>
              </w:rPr>
            </w:pPr>
            <w:r>
              <w:rPr>
                <w:spacing w:val="-4"/>
                <w:sz w:val="21"/>
              </w:rPr>
              <w:t>0.32</w:t>
            </w:r>
          </w:p>
        </w:tc>
      </w:tr>
      <w:tr w14:paraId="25CF4D6B"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2167DB2D" w14:textId="77777777">
            <w:pPr>
              <w:pStyle w:val="TableParagraph"/>
              <w:ind w:left="120"/>
              <w:jc w:val="left"/>
              <w:rPr>
                <w:sz w:val="21"/>
              </w:rPr>
            </w:pPr>
            <w:r>
              <w:rPr>
                <w:spacing w:val="-4"/>
                <w:sz w:val="21"/>
              </w:rPr>
              <w:t>New</w:t>
            </w:r>
            <w:r>
              <w:rPr>
                <w:spacing w:val="-9"/>
                <w:sz w:val="21"/>
              </w:rPr>
              <w:t xml:space="preserve"> </w:t>
            </w:r>
            <w:r>
              <w:rPr>
                <w:spacing w:val="-4"/>
                <w:sz w:val="21"/>
              </w:rPr>
              <w:t>York–New</w:t>
            </w:r>
            <w:r>
              <w:rPr>
                <w:spacing w:val="-9"/>
                <w:sz w:val="21"/>
              </w:rPr>
              <w:t xml:space="preserve"> </w:t>
            </w:r>
            <w:r>
              <w:rPr>
                <w:spacing w:val="-4"/>
                <w:sz w:val="21"/>
              </w:rPr>
              <w:t>York</w:t>
            </w:r>
            <w:r>
              <w:rPr>
                <w:spacing w:val="-1"/>
                <w:sz w:val="21"/>
              </w:rPr>
              <w:t xml:space="preserve"> </w:t>
            </w:r>
            <w:r>
              <w:rPr>
                <w:spacing w:val="-4"/>
                <w:sz w:val="21"/>
              </w:rPr>
              <w:t>City</w:t>
            </w:r>
          </w:p>
        </w:tc>
        <w:tc>
          <w:tcPr>
            <w:tcW w:w="2137" w:type="dxa"/>
          </w:tcPr>
          <w:p w:rsidR="003F5784" w14:paraId="28502025" w14:textId="77777777">
            <w:pPr>
              <w:pStyle w:val="TableParagraph"/>
              <w:ind w:right="622"/>
              <w:rPr>
                <w:sz w:val="21"/>
              </w:rPr>
            </w:pPr>
            <w:r>
              <w:rPr>
                <w:spacing w:val="-2"/>
                <w:sz w:val="21"/>
              </w:rPr>
              <w:t>87.42</w:t>
            </w:r>
          </w:p>
        </w:tc>
        <w:tc>
          <w:tcPr>
            <w:tcW w:w="1620" w:type="dxa"/>
          </w:tcPr>
          <w:p w:rsidR="003F5784" w14:paraId="24EDFA45" w14:textId="77777777">
            <w:pPr>
              <w:pStyle w:val="TableParagraph"/>
              <w:ind w:left="9" w:right="8"/>
              <w:jc w:val="center"/>
              <w:rPr>
                <w:sz w:val="21"/>
              </w:rPr>
            </w:pPr>
            <w:r>
              <w:rPr>
                <w:spacing w:val="-4"/>
                <w:sz w:val="21"/>
              </w:rPr>
              <w:t>0.92</w:t>
            </w:r>
          </w:p>
        </w:tc>
        <w:tc>
          <w:tcPr>
            <w:tcW w:w="1710" w:type="dxa"/>
          </w:tcPr>
          <w:p w:rsidR="003F5784" w14:paraId="58A6DFD6" w14:textId="77777777">
            <w:pPr>
              <w:pStyle w:val="TableParagraph"/>
              <w:ind w:right="422"/>
              <w:rPr>
                <w:sz w:val="21"/>
              </w:rPr>
            </w:pPr>
            <w:r>
              <w:rPr>
                <w:spacing w:val="-4"/>
                <w:sz w:val="21"/>
              </w:rPr>
              <w:t>1.59</w:t>
            </w:r>
          </w:p>
        </w:tc>
        <w:tc>
          <w:tcPr>
            <w:tcW w:w="1260" w:type="dxa"/>
          </w:tcPr>
          <w:p w:rsidR="003F5784" w14:paraId="14E60C7B" w14:textId="77777777">
            <w:pPr>
              <w:pStyle w:val="TableParagraph"/>
              <w:ind w:left="2" w:right="199"/>
              <w:jc w:val="center"/>
              <w:rPr>
                <w:sz w:val="21"/>
              </w:rPr>
            </w:pPr>
            <w:r>
              <w:rPr>
                <w:spacing w:val="-2"/>
                <w:sz w:val="21"/>
              </w:rPr>
              <w:t>84.41</w:t>
            </w:r>
          </w:p>
        </w:tc>
        <w:tc>
          <w:tcPr>
            <w:tcW w:w="1620" w:type="dxa"/>
          </w:tcPr>
          <w:p w:rsidR="003F5784" w14:paraId="58798833" w14:textId="77777777">
            <w:pPr>
              <w:pStyle w:val="TableParagraph"/>
              <w:ind w:left="9" w:right="8"/>
              <w:jc w:val="center"/>
              <w:rPr>
                <w:sz w:val="21"/>
              </w:rPr>
            </w:pPr>
            <w:r>
              <w:rPr>
                <w:spacing w:val="-4"/>
                <w:sz w:val="21"/>
              </w:rPr>
              <w:t>0.51</w:t>
            </w:r>
          </w:p>
        </w:tc>
        <w:tc>
          <w:tcPr>
            <w:tcW w:w="1595" w:type="dxa"/>
          </w:tcPr>
          <w:p w:rsidR="003F5784" w14:paraId="496AEB3D" w14:textId="77777777">
            <w:pPr>
              <w:pStyle w:val="TableParagraph"/>
              <w:ind w:right="116"/>
              <w:rPr>
                <w:sz w:val="21"/>
              </w:rPr>
            </w:pPr>
            <w:r>
              <w:rPr>
                <w:spacing w:val="-4"/>
                <w:sz w:val="21"/>
              </w:rPr>
              <w:t>0.60</w:t>
            </w:r>
          </w:p>
        </w:tc>
      </w:tr>
      <w:tr w14:paraId="35718B7A"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1CD9B593" w14:textId="77777777">
            <w:pPr>
              <w:pStyle w:val="TableParagraph"/>
              <w:ind w:left="120"/>
              <w:jc w:val="left"/>
              <w:rPr>
                <w:sz w:val="21"/>
              </w:rPr>
            </w:pPr>
            <w:r>
              <w:rPr>
                <w:sz w:val="21"/>
              </w:rPr>
              <w:t>New</w:t>
            </w:r>
            <w:r>
              <w:rPr>
                <w:spacing w:val="-13"/>
                <w:sz w:val="21"/>
              </w:rPr>
              <w:t xml:space="preserve"> </w:t>
            </w:r>
            <w:r>
              <w:rPr>
                <w:spacing w:val="-4"/>
                <w:sz w:val="21"/>
              </w:rPr>
              <w:t>York</w:t>
            </w:r>
          </w:p>
        </w:tc>
        <w:tc>
          <w:tcPr>
            <w:tcW w:w="2137" w:type="dxa"/>
          </w:tcPr>
          <w:p w:rsidR="003F5784" w14:paraId="6717889D" w14:textId="77777777">
            <w:pPr>
              <w:pStyle w:val="TableParagraph"/>
              <w:ind w:right="622"/>
              <w:rPr>
                <w:sz w:val="21"/>
              </w:rPr>
            </w:pPr>
            <w:r>
              <w:rPr>
                <w:spacing w:val="-2"/>
                <w:sz w:val="21"/>
              </w:rPr>
              <w:t>86.57</w:t>
            </w:r>
          </w:p>
        </w:tc>
        <w:tc>
          <w:tcPr>
            <w:tcW w:w="1620" w:type="dxa"/>
          </w:tcPr>
          <w:p w:rsidR="003F5784" w14:paraId="0CE0E26E" w14:textId="77777777">
            <w:pPr>
              <w:pStyle w:val="TableParagraph"/>
              <w:ind w:left="9" w:right="8"/>
              <w:jc w:val="center"/>
              <w:rPr>
                <w:sz w:val="21"/>
              </w:rPr>
            </w:pPr>
            <w:r>
              <w:rPr>
                <w:spacing w:val="-4"/>
                <w:sz w:val="21"/>
              </w:rPr>
              <w:t>1.52</w:t>
            </w:r>
          </w:p>
        </w:tc>
        <w:tc>
          <w:tcPr>
            <w:tcW w:w="1710" w:type="dxa"/>
          </w:tcPr>
          <w:p w:rsidR="003F5784" w14:paraId="2A5B3EF3" w14:textId="77777777">
            <w:pPr>
              <w:pStyle w:val="TableParagraph"/>
              <w:ind w:right="422"/>
              <w:rPr>
                <w:sz w:val="21"/>
              </w:rPr>
            </w:pPr>
            <w:r>
              <w:rPr>
                <w:spacing w:val="-4"/>
                <w:sz w:val="21"/>
              </w:rPr>
              <w:t>0.86</w:t>
            </w:r>
          </w:p>
        </w:tc>
        <w:tc>
          <w:tcPr>
            <w:tcW w:w="1260" w:type="dxa"/>
          </w:tcPr>
          <w:p w:rsidR="003F5784" w14:paraId="098AB178" w14:textId="77777777">
            <w:pPr>
              <w:pStyle w:val="TableParagraph"/>
              <w:ind w:left="2" w:right="199"/>
              <w:jc w:val="center"/>
              <w:rPr>
                <w:sz w:val="21"/>
              </w:rPr>
            </w:pPr>
            <w:r>
              <w:rPr>
                <w:spacing w:val="-2"/>
                <w:sz w:val="21"/>
              </w:rPr>
              <w:t>81.82</w:t>
            </w:r>
          </w:p>
        </w:tc>
        <w:tc>
          <w:tcPr>
            <w:tcW w:w="1620" w:type="dxa"/>
          </w:tcPr>
          <w:p w:rsidR="003F5784" w14:paraId="28C6FD1F" w14:textId="77777777">
            <w:pPr>
              <w:pStyle w:val="TableParagraph"/>
              <w:ind w:left="9" w:right="8"/>
              <w:jc w:val="center"/>
              <w:rPr>
                <w:sz w:val="21"/>
              </w:rPr>
            </w:pPr>
            <w:r>
              <w:rPr>
                <w:spacing w:val="-4"/>
                <w:sz w:val="21"/>
              </w:rPr>
              <w:t>1.60</w:t>
            </w:r>
          </w:p>
        </w:tc>
        <w:tc>
          <w:tcPr>
            <w:tcW w:w="1595" w:type="dxa"/>
          </w:tcPr>
          <w:p w:rsidR="003F5784" w14:paraId="74E94E66" w14:textId="77777777">
            <w:pPr>
              <w:pStyle w:val="TableParagraph"/>
              <w:ind w:right="116"/>
              <w:rPr>
                <w:sz w:val="21"/>
              </w:rPr>
            </w:pPr>
            <w:r>
              <w:rPr>
                <w:spacing w:val="-4"/>
                <w:sz w:val="21"/>
              </w:rPr>
              <w:t>0.72</w:t>
            </w:r>
          </w:p>
        </w:tc>
      </w:tr>
      <w:tr w14:paraId="70144F3A" w14:textId="77777777" w:rsidTr="00E3225D">
        <w:tblPrEx>
          <w:tblW w:w="0" w:type="auto"/>
          <w:tblInd w:w="482" w:type="dxa"/>
          <w:tblLayout w:type="fixed"/>
          <w:tblCellMar>
            <w:left w:w="0" w:type="dxa"/>
            <w:right w:w="0" w:type="dxa"/>
          </w:tblCellMar>
          <w:tblLook w:val="01E0"/>
        </w:tblPrEx>
        <w:trPr>
          <w:trHeight w:val="289"/>
        </w:trPr>
        <w:tc>
          <w:tcPr>
            <w:tcW w:w="4041" w:type="dxa"/>
            <w:tcBorders>
              <w:bottom w:val="single" w:sz="18" w:space="0" w:color="800000"/>
            </w:tcBorders>
          </w:tcPr>
          <w:p w:rsidR="003F5784" w14:paraId="60009ADD" w14:textId="77777777">
            <w:pPr>
              <w:pStyle w:val="TableParagraph"/>
              <w:ind w:left="120"/>
              <w:jc w:val="left"/>
              <w:rPr>
                <w:sz w:val="21"/>
              </w:rPr>
            </w:pPr>
            <w:r>
              <w:rPr>
                <w:sz w:val="21"/>
              </w:rPr>
              <w:t>North</w:t>
            </w:r>
            <w:r>
              <w:rPr>
                <w:spacing w:val="-6"/>
                <w:sz w:val="21"/>
              </w:rPr>
              <w:t xml:space="preserve"> </w:t>
            </w:r>
            <w:r>
              <w:rPr>
                <w:spacing w:val="-2"/>
                <w:sz w:val="21"/>
              </w:rPr>
              <w:t>Carolina–Charlotte</w:t>
            </w:r>
          </w:p>
        </w:tc>
        <w:tc>
          <w:tcPr>
            <w:tcW w:w="2137" w:type="dxa"/>
            <w:tcBorders>
              <w:bottom w:val="single" w:sz="18" w:space="0" w:color="800000"/>
            </w:tcBorders>
          </w:tcPr>
          <w:p w:rsidR="003F5784" w14:paraId="1241FE6F" w14:textId="77777777">
            <w:pPr>
              <w:pStyle w:val="TableParagraph"/>
              <w:ind w:right="622"/>
              <w:rPr>
                <w:sz w:val="21"/>
              </w:rPr>
            </w:pPr>
            <w:r>
              <w:rPr>
                <w:spacing w:val="-2"/>
                <w:sz w:val="21"/>
              </w:rPr>
              <w:t>91.77</w:t>
            </w:r>
          </w:p>
        </w:tc>
        <w:tc>
          <w:tcPr>
            <w:tcW w:w="1620" w:type="dxa"/>
            <w:tcBorders>
              <w:bottom w:val="single" w:sz="18" w:space="0" w:color="800000"/>
            </w:tcBorders>
          </w:tcPr>
          <w:p w:rsidR="003F5784" w14:paraId="08CA9C41" w14:textId="77777777">
            <w:pPr>
              <w:pStyle w:val="TableParagraph"/>
              <w:ind w:left="9" w:right="8"/>
              <w:jc w:val="center"/>
              <w:rPr>
                <w:sz w:val="21"/>
              </w:rPr>
            </w:pPr>
            <w:r>
              <w:rPr>
                <w:spacing w:val="-4"/>
                <w:sz w:val="21"/>
              </w:rPr>
              <w:t>0.93</w:t>
            </w:r>
          </w:p>
        </w:tc>
        <w:tc>
          <w:tcPr>
            <w:tcW w:w="1710" w:type="dxa"/>
            <w:tcBorders>
              <w:bottom w:val="single" w:sz="18" w:space="0" w:color="800000"/>
            </w:tcBorders>
          </w:tcPr>
          <w:p w:rsidR="003F5784" w14:paraId="5FD9185E" w14:textId="77777777">
            <w:pPr>
              <w:pStyle w:val="TableParagraph"/>
              <w:ind w:right="422"/>
              <w:rPr>
                <w:sz w:val="21"/>
              </w:rPr>
            </w:pPr>
            <w:r>
              <w:rPr>
                <w:spacing w:val="-4"/>
                <w:sz w:val="21"/>
              </w:rPr>
              <w:t>0.87</w:t>
            </w:r>
          </w:p>
        </w:tc>
        <w:tc>
          <w:tcPr>
            <w:tcW w:w="1260" w:type="dxa"/>
            <w:tcBorders>
              <w:bottom w:val="single" w:sz="18" w:space="0" w:color="800000"/>
            </w:tcBorders>
          </w:tcPr>
          <w:p w:rsidR="003F5784" w14:paraId="2688B52D" w14:textId="77777777">
            <w:pPr>
              <w:pStyle w:val="TableParagraph"/>
              <w:ind w:left="2" w:right="199"/>
              <w:jc w:val="center"/>
              <w:rPr>
                <w:sz w:val="21"/>
              </w:rPr>
            </w:pPr>
            <w:r>
              <w:rPr>
                <w:spacing w:val="-2"/>
                <w:sz w:val="21"/>
              </w:rPr>
              <w:t>89.31</w:t>
            </w:r>
          </w:p>
        </w:tc>
        <w:tc>
          <w:tcPr>
            <w:tcW w:w="1620" w:type="dxa"/>
            <w:tcBorders>
              <w:bottom w:val="single" w:sz="18" w:space="0" w:color="800000"/>
            </w:tcBorders>
          </w:tcPr>
          <w:p w:rsidR="003F5784" w14:paraId="659B4FD2" w14:textId="77777777">
            <w:pPr>
              <w:pStyle w:val="TableParagraph"/>
              <w:ind w:left="9" w:right="8"/>
              <w:jc w:val="center"/>
              <w:rPr>
                <w:sz w:val="21"/>
              </w:rPr>
            </w:pPr>
            <w:r>
              <w:rPr>
                <w:spacing w:val="-4"/>
                <w:sz w:val="21"/>
              </w:rPr>
              <w:t>1.02</w:t>
            </w:r>
          </w:p>
        </w:tc>
        <w:tc>
          <w:tcPr>
            <w:tcW w:w="1595" w:type="dxa"/>
            <w:tcBorders>
              <w:bottom w:val="single" w:sz="18" w:space="0" w:color="800000"/>
            </w:tcBorders>
          </w:tcPr>
          <w:p w:rsidR="003F5784" w14:paraId="12520847" w14:textId="77777777">
            <w:pPr>
              <w:pStyle w:val="TableParagraph"/>
              <w:ind w:right="116"/>
              <w:rPr>
                <w:sz w:val="21"/>
              </w:rPr>
            </w:pPr>
            <w:r>
              <w:rPr>
                <w:spacing w:val="-4"/>
                <w:sz w:val="21"/>
              </w:rPr>
              <w:t>2.05</w:t>
            </w:r>
          </w:p>
        </w:tc>
      </w:tr>
    </w:tbl>
    <w:p w:rsidR="003F5784" w14:paraId="56305031" w14:textId="77777777">
      <w:pPr>
        <w:rPr>
          <w:sz w:val="21"/>
        </w:rPr>
        <w:sectPr>
          <w:headerReference w:type="default" r:id="rId292"/>
          <w:footerReference w:type="default" r:id="rId293"/>
          <w:pgSz w:w="15840" w:h="12240" w:orient="landscape"/>
          <w:pgMar w:top="480" w:right="440" w:bottom="1100" w:left="460" w:header="284" w:footer="918" w:gutter="0"/>
          <w:cols w:space="720"/>
        </w:sectPr>
      </w:pPr>
    </w:p>
    <w:p w:rsidR="003F5784" w14:paraId="168145D7" w14:textId="77777777">
      <w:pPr>
        <w:pStyle w:val="BodyText"/>
      </w:pPr>
    </w:p>
    <w:p w:rsidR="003F5784" w14:paraId="7860FB01" w14:textId="77777777">
      <w:pPr>
        <w:pStyle w:val="BodyText"/>
      </w:pPr>
    </w:p>
    <w:p w:rsidR="003F5784" w14:paraId="3B8A5484" w14:textId="77777777">
      <w:pPr>
        <w:pStyle w:val="BodyText"/>
      </w:pPr>
    </w:p>
    <w:p w:rsidR="003F5784" w14:paraId="44D92F3C" w14:textId="77777777">
      <w:pPr>
        <w:pStyle w:val="BodyText"/>
      </w:pPr>
    </w:p>
    <w:p w:rsidR="003F5784" w14:paraId="5AF5DE1F" w14:textId="77777777">
      <w:pPr>
        <w:pStyle w:val="BodyText"/>
        <w:spacing w:before="142"/>
      </w:pPr>
    </w:p>
    <w:p w:rsidR="003F5784" w14:paraId="2557367C" w14:textId="77777777">
      <w:pPr>
        <w:pStyle w:val="BodyText"/>
        <w:spacing w:after="20"/>
        <w:ind w:left="595"/>
      </w:pPr>
      <w:r>
        <w:rPr>
          <w:noProof/>
        </w:rPr>
        <mc:AlternateContent>
          <mc:Choice Requires="wps">
            <w:drawing>
              <wp:anchor distT="0" distB="0" distL="0" distR="0" simplePos="0" relativeHeight="251668480" behindDoc="0" locked="0" layoutInCell="1" allowOverlap="1">
                <wp:simplePos x="0" y="0"/>
                <wp:positionH relativeFrom="page">
                  <wp:posOffset>3658997</wp:posOffset>
                </wp:positionH>
                <wp:positionV relativeFrom="paragraph">
                  <wp:posOffset>-787785</wp:posOffset>
                </wp:positionV>
                <wp:extent cx="5852795" cy="939165"/>
                <wp:effectExtent l="0" t="0" r="0" b="0"/>
                <wp:wrapNone/>
                <wp:docPr id="384" name="Textbox 384"/>
                <wp:cNvGraphicFramePr/>
                <a:graphic xmlns:a="http://schemas.openxmlformats.org/drawingml/2006/main">
                  <a:graphicData uri="http://schemas.microsoft.com/office/word/2010/wordprocessingShape">
                    <wps:wsp xmlns:wps="http://schemas.microsoft.com/office/word/2010/wordprocessingShape">
                      <wps:cNvSpPr txBox="1"/>
                      <wps:spPr>
                        <a:xfrm>
                          <a:off x="0" y="0"/>
                          <a:ext cx="5852795" cy="939165"/>
                        </a:xfrm>
                        <a:prstGeom prst="rect">
                          <a:avLst/>
                        </a:prstGeom>
                      </wps:spPr>
                      <wps:txbx>
                        <w:txbxContent>
                          <w:tbl>
                            <w:tblPr>
                              <w:tblW w:w="0" w:type="auto"/>
                              <w:tblInd w:w="67" w:type="dxa"/>
                              <w:tblLayout w:type="fixed"/>
                              <w:tblCellMar>
                                <w:left w:w="0" w:type="dxa"/>
                                <w:right w:w="0" w:type="dxa"/>
                              </w:tblCellMar>
                              <w:tblLook w:val="01E0"/>
                            </w:tblPr>
                            <w:tblGrid>
                              <w:gridCol w:w="1332"/>
                              <w:gridCol w:w="1614"/>
                              <w:gridCol w:w="1747"/>
                              <w:gridCol w:w="1187"/>
                              <w:gridCol w:w="1615"/>
                              <w:gridCol w:w="1605"/>
                            </w:tblGrid>
                            <w:tr w14:paraId="7F54AC11" w14:textId="77777777">
                              <w:tblPrEx>
                                <w:tblW w:w="0" w:type="auto"/>
                                <w:tblInd w:w="67" w:type="dxa"/>
                                <w:tblLayout w:type="fixed"/>
                                <w:tblCellMar>
                                  <w:left w:w="0" w:type="dxa"/>
                                  <w:right w:w="0" w:type="dxa"/>
                                </w:tblCellMar>
                                <w:tblLook w:val="01E0"/>
                              </w:tblPrEx>
                              <w:trPr>
                                <w:trHeight w:val="248"/>
                              </w:trPr>
                              <w:tc>
                                <w:tcPr>
                                  <w:tcW w:w="1332" w:type="dxa"/>
                                  <w:tcBorders>
                                    <w:bottom w:val="single" w:sz="18" w:space="0" w:color="800000"/>
                                  </w:tcBorders>
                                </w:tcPr>
                                <w:p w:rsidR="003F5784" w14:textId="77777777">
                                  <w:pPr>
                                    <w:pStyle w:val="TableParagraph"/>
                                    <w:spacing w:before="0"/>
                                    <w:jc w:val="left"/>
                                    <w:rPr>
                                      <w:sz w:val="18"/>
                                    </w:rPr>
                                  </w:pPr>
                                </w:p>
                              </w:tc>
                              <w:tc>
                                <w:tcPr>
                                  <w:tcW w:w="1614" w:type="dxa"/>
                                  <w:tcBorders>
                                    <w:bottom w:val="single" w:sz="18" w:space="0" w:color="800000"/>
                                  </w:tcBorders>
                                </w:tcPr>
                                <w:p w:rsidR="003F5784" w14:textId="77777777">
                                  <w:pPr>
                                    <w:pStyle w:val="TableParagraph"/>
                                    <w:spacing w:before="0" w:line="228" w:lineRule="exact"/>
                                    <w:ind w:left="608"/>
                                    <w:jc w:val="left"/>
                                    <w:rPr>
                                      <w:sz w:val="21"/>
                                    </w:rPr>
                                  </w:pPr>
                                  <w:r>
                                    <w:rPr>
                                      <w:sz w:val="21"/>
                                    </w:rPr>
                                    <w:t>Grade</w:t>
                                  </w:r>
                                  <w:r>
                                    <w:rPr>
                                      <w:spacing w:val="-7"/>
                                      <w:sz w:val="21"/>
                                    </w:rPr>
                                    <w:t xml:space="preserve"> </w:t>
                                  </w:r>
                                  <w:r>
                                    <w:rPr>
                                      <w:spacing w:val="-10"/>
                                      <w:sz w:val="21"/>
                                    </w:rPr>
                                    <w:t>4</w:t>
                                  </w:r>
                                </w:p>
                              </w:tc>
                              <w:tc>
                                <w:tcPr>
                                  <w:tcW w:w="1747" w:type="dxa"/>
                                  <w:tcBorders>
                                    <w:bottom w:val="single" w:sz="18" w:space="0" w:color="800000"/>
                                  </w:tcBorders>
                                </w:tcPr>
                                <w:p w:rsidR="003F5784" w14:textId="77777777">
                                  <w:pPr>
                                    <w:pStyle w:val="TableParagraph"/>
                                    <w:spacing w:before="0"/>
                                    <w:jc w:val="left"/>
                                    <w:rPr>
                                      <w:sz w:val="18"/>
                                    </w:rPr>
                                  </w:pPr>
                                </w:p>
                              </w:tc>
                              <w:tc>
                                <w:tcPr>
                                  <w:tcW w:w="1187" w:type="dxa"/>
                                  <w:tcBorders>
                                    <w:bottom w:val="single" w:sz="18" w:space="0" w:color="800000"/>
                                  </w:tcBorders>
                                </w:tcPr>
                                <w:p w:rsidR="003F5784" w14:textId="77777777">
                                  <w:pPr>
                                    <w:pStyle w:val="TableParagraph"/>
                                    <w:spacing w:before="0"/>
                                    <w:jc w:val="left"/>
                                    <w:rPr>
                                      <w:sz w:val="18"/>
                                    </w:rPr>
                                  </w:pPr>
                                </w:p>
                              </w:tc>
                              <w:tc>
                                <w:tcPr>
                                  <w:tcW w:w="1615" w:type="dxa"/>
                                  <w:tcBorders>
                                    <w:bottom w:val="single" w:sz="18" w:space="0" w:color="800000"/>
                                  </w:tcBorders>
                                </w:tcPr>
                                <w:p w:rsidR="003F5784" w14:textId="77777777">
                                  <w:pPr>
                                    <w:pStyle w:val="TableParagraph"/>
                                    <w:spacing w:before="0" w:line="228" w:lineRule="exact"/>
                                    <w:ind w:left="608"/>
                                    <w:jc w:val="left"/>
                                    <w:rPr>
                                      <w:sz w:val="21"/>
                                    </w:rPr>
                                  </w:pPr>
                                  <w:r>
                                    <w:rPr>
                                      <w:sz w:val="21"/>
                                    </w:rPr>
                                    <w:t>Grade</w:t>
                                  </w:r>
                                  <w:r>
                                    <w:rPr>
                                      <w:spacing w:val="-7"/>
                                      <w:sz w:val="21"/>
                                    </w:rPr>
                                    <w:t xml:space="preserve"> </w:t>
                                  </w:r>
                                  <w:r>
                                    <w:rPr>
                                      <w:spacing w:val="-10"/>
                                      <w:sz w:val="21"/>
                                    </w:rPr>
                                    <w:t>8</w:t>
                                  </w:r>
                                </w:p>
                              </w:tc>
                              <w:tc>
                                <w:tcPr>
                                  <w:tcW w:w="1605" w:type="dxa"/>
                                  <w:tcBorders>
                                    <w:bottom w:val="single" w:sz="18" w:space="0" w:color="800000"/>
                                  </w:tcBorders>
                                </w:tcPr>
                                <w:p w:rsidR="003F5784" w14:textId="77777777">
                                  <w:pPr>
                                    <w:pStyle w:val="TableParagraph"/>
                                    <w:spacing w:before="0"/>
                                    <w:jc w:val="left"/>
                                    <w:rPr>
                                      <w:sz w:val="18"/>
                                    </w:rPr>
                                  </w:pPr>
                                </w:p>
                              </w:tc>
                            </w:tr>
                            <w:tr w14:paraId="09A3FC73" w14:textId="77777777">
                              <w:tblPrEx>
                                <w:tblW w:w="0" w:type="auto"/>
                                <w:tblInd w:w="67" w:type="dxa"/>
                                <w:tblLayout w:type="fixed"/>
                                <w:tblCellMar>
                                  <w:left w:w="0" w:type="dxa"/>
                                  <w:right w:w="0" w:type="dxa"/>
                                </w:tblCellMar>
                                <w:tblLook w:val="01E0"/>
                              </w:tblPrEx>
                              <w:trPr>
                                <w:trHeight w:val="252"/>
                              </w:trPr>
                              <w:tc>
                                <w:tcPr>
                                  <w:tcW w:w="1332" w:type="dxa"/>
                                  <w:tcBorders>
                                    <w:top w:val="single" w:sz="18" w:space="0" w:color="800000"/>
                                  </w:tcBorders>
                                </w:tcPr>
                                <w:p w:rsidR="003F5784" w14:textId="77777777">
                                  <w:pPr>
                                    <w:pStyle w:val="TableParagraph"/>
                                    <w:spacing w:before="9" w:line="223" w:lineRule="exact"/>
                                    <w:ind w:right="128"/>
                                    <w:rPr>
                                      <w:sz w:val="21"/>
                                    </w:rPr>
                                  </w:pPr>
                                  <w:r>
                                    <w:rPr>
                                      <w:spacing w:val="-2"/>
                                      <w:sz w:val="21"/>
                                    </w:rPr>
                                    <w:t>Weighted</w:t>
                                  </w:r>
                                </w:p>
                              </w:tc>
                              <w:tc>
                                <w:tcPr>
                                  <w:tcW w:w="1614" w:type="dxa"/>
                                  <w:tcBorders>
                                    <w:top w:val="single" w:sz="18" w:space="0" w:color="800000"/>
                                  </w:tcBorders>
                                </w:tcPr>
                                <w:p w:rsidR="003F5784" w14:textId="77777777">
                                  <w:pPr>
                                    <w:pStyle w:val="TableParagraph"/>
                                    <w:spacing w:before="9" w:line="223" w:lineRule="exact"/>
                                    <w:ind w:right="128"/>
                                    <w:rPr>
                                      <w:sz w:val="21"/>
                                    </w:rPr>
                                  </w:pPr>
                                  <w:r>
                                    <w:rPr>
                                      <w:spacing w:val="-2"/>
                                      <w:sz w:val="21"/>
                                    </w:rPr>
                                    <w:t>Weighted</w:t>
                                  </w:r>
                                </w:p>
                              </w:tc>
                              <w:tc>
                                <w:tcPr>
                                  <w:tcW w:w="1747" w:type="dxa"/>
                                  <w:tcBorders>
                                    <w:top w:val="single" w:sz="18" w:space="0" w:color="800000"/>
                                  </w:tcBorders>
                                </w:tcPr>
                                <w:p w:rsidR="003F5784" w14:textId="77777777">
                                  <w:pPr>
                                    <w:pStyle w:val="TableParagraph"/>
                                    <w:spacing w:before="9" w:line="223" w:lineRule="exact"/>
                                    <w:ind w:right="261"/>
                                    <w:rPr>
                                      <w:sz w:val="21"/>
                                    </w:rPr>
                                  </w:pPr>
                                  <w:r>
                                    <w:rPr>
                                      <w:spacing w:val="-2"/>
                                      <w:sz w:val="21"/>
                                    </w:rPr>
                                    <w:t>Weighted</w:t>
                                  </w:r>
                                </w:p>
                              </w:tc>
                              <w:tc>
                                <w:tcPr>
                                  <w:tcW w:w="1187" w:type="dxa"/>
                                  <w:tcBorders>
                                    <w:top w:val="single" w:sz="18" w:space="0" w:color="800000"/>
                                  </w:tcBorders>
                                </w:tcPr>
                                <w:p w:rsidR="003F5784" w14:textId="77777777">
                                  <w:pPr>
                                    <w:pStyle w:val="TableParagraph"/>
                                    <w:spacing w:before="9" w:line="223" w:lineRule="exact"/>
                                    <w:ind w:right="129"/>
                                    <w:rPr>
                                      <w:sz w:val="21"/>
                                    </w:rPr>
                                  </w:pPr>
                                  <w:r>
                                    <w:rPr>
                                      <w:spacing w:val="-2"/>
                                      <w:sz w:val="21"/>
                                    </w:rPr>
                                    <w:t>Weighted</w:t>
                                  </w:r>
                                </w:p>
                              </w:tc>
                              <w:tc>
                                <w:tcPr>
                                  <w:tcW w:w="1615" w:type="dxa"/>
                                  <w:tcBorders>
                                    <w:top w:val="single" w:sz="18" w:space="0" w:color="800000"/>
                                  </w:tcBorders>
                                </w:tcPr>
                                <w:p w:rsidR="003F5784" w14:textId="77777777">
                                  <w:pPr>
                                    <w:pStyle w:val="TableParagraph"/>
                                    <w:spacing w:before="9" w:line="223" w:lineRule="exact"/>
                                    <w:ind w:right="128"/>
                                    <w:rPr>
                                      <w:sz w:val="21"/>
                                    </w:rPr>
                                  </w:pPr>
                                  <w:r>
                                    <w:rPr>
                                      <w:spacing w:val="-2"/>
                                      <w:sz w:val="21"/>
                                    </w:rPr>
                                    <w:t>Weighted</w:t>
                                  </w:r>
                                </w:p>
                              </w:tc>
                              <w:tc>
                                <w:tcPr>
                                  <w:tcW w:w="1605" w:type="dxa"/>
                                  <w:tcBorders>
                                    <w:top w:val="single" w:sz="18" w:space="0" w:color="800000"/>
                                  </w:tcBorders>
                                </w:tcPr>
                                <w:p w:rsidR="003F5784" w14:textId="77777777">
                                  <w:pPr>
                                    <w:pStyle w:val="TableParagraph"/>
                                    <w:spacing w:before="9" w:line="223" w:lineRule="exact"/>
                                    <w:ind w:right="120"/>
                                    <w:rPr>
                                      <w:sz w:val="21"/>
                                    </w:rPr>
                                  </w:pPr>
                                  <w:r>
                                    <w:rPr>
                                      <w:spacing w:val="-2"/>
                                      <w:sz w:val="21"/>
                                    </w:rPr>
                                    <w:t>Weighted</w:t>
                                  </w:r>
                                </w:p>
                              </w:tc>
                            </w:tr>
                            <w:tr w14:paraId="0EFD764B" w14:textId="77777777">
                              <w:tblPrEx>
                                <w:tblW w:w="0" w:type="auto"/>
                                <w:tblInd w:w="67" w:type="dxa"/>
                                <w:tblLayout w:type="fixed"/>
                                <w:tblCellMar>
                                  <w:left w:w="0" w:type="dxa"/>
                                  <w:right w:w="0" w:type="dxa"/>
                                </w:tblCellMar>
                                <w:tblLook w:val="01E0"/>
                              </w:tblPrEx>
                              <w:trPr>
                                <w:trHeight w:val="234"/>
                              </w:trPr>
                              <w:tc>
                                <w:tcPr>
                                  <w:tcW w:w="1332" w:type="dxa"/>
                                </w:tcPr>
                                <w:p w:rsidR="003F5784" w14:textId="77777777">
                                  <w:pPr>
                                    <w:pStyle w:val="TableParagraph"/>
                                    <w:spacing w:before="0" w:line="215" w:lineRule="exact"/>
                                    <w:ind w:right="127"/>
                                    <w:rPr>
                                      <w:sz w:val="21"/>
                                    </w:rPr>
                                  </w:pPr>
                                  <w:r>
                                    <w:rPr>
                                      <w:spacing w:val="-2"/>
                                      <w:sz w:val="21"/>
                                    </w:rPr>
                                    <w:t>student</w:t>
                                  </w:r>
                                </w:p>
                              </w:tc>
                              <w:tc>
                                <w:tcPr>
                                  <w:tcW w:w="1614" w:type="dxa"/>
                                </w:tcPr>
                                <w:p w:rsidR="003F5784" w14:textId="77777777">
                                  <w:pPr>
                                    <w:pStyle w:val="TableParagraph"/>
                                    <w:spacing w:before="0" w:line="215" w:lineRule="exact"/>
                                    <w:ind w:right="126"/>
                                    <w:rPr>
                                      <w:sz w:val="21"/>
                                    </w:rPr>
                                  </w:pPr>
                                  <w:r>
                                    <w:rPr>
                                      <w:sz w:val="21"/>
                                    </w:rPr>
                                    <w:t>percentage</w:t>
                                  </w:r>
                                  <w:r>
                                    <w:rPr>
                                      <w:spacing w:val="-11"/>
                                      <w:sz w:val="21"/>
                                    </w:rPr>
                                    <w:t xml:space="preserve"> </w:t>
                                  </w:r>
                                  <w:r>
                                    <w:rPr>
                                      <w:spacing w:val="-5"/>
                                      <w:sz w:val="21"/>
                                    </w:rPr>
                                    <w:t>of</w:t>
                                  </w:r>
                                </w:p>
                              </w:tc>
                              <w:tc>
                                <w:tcPr>
                                  <w:tcW w:w="1747" w:type="dxa"/>
                                </w:tcPr>
                                <w:p w:rsidR="003F5784" w14:textId="77777777">
                                  <w:pPr>
                                    <w:pStyle w:val="TableParagraph"/>
                                    <w:spacing w:before="0" w:line="215" w:lineRule="exact"/>
                                    <w:ind w:right="261"/>
                                    <w:rPr>
                                      <w:sz w:val="21"/>
                                    </w:rPr>
                                  </w:pPr>
                                  <w:r>
                                    <w:rPr>
                                      <w:sz w:val="21"/>
                                    </w:rPr>
                                    <w:t>percentage</w:t>
                                  </w:r>
                                  <w:r>
                                    <w:rPr>
                                      <w:spacing w:val="-11"/>
                                      <w:sz w:val="21"/>
                                    </w:rPr>
                                    <w:t xml:space="preserve"> </w:t>
                                  </w:r>
                                  <w:r>
                                    <w:rPr>
                                      <w:spacing w:val="-5"/>
                                      <w:sz w:val="21"/>
                                    </w:rPr>
                                    <w:t>of</w:t>
                                  </w:r>
                                </w:p>
                              </w:tc>
                              <w:tc>
                                <w:tcPr>
                                  <w:tcW w:w="1187" w:type="dxa"/>
                                </w:tcPr>
                                <w:p w:rsidR="003F5784" w14:textId="77777777">
                                  <w:pPr>
                                    <w:pStyle w:val="TableParagraph"/>
                                    <w:spacing w:before="0" w:line="215" w:lineRule="exact"/>
                                    <w:ind w:right="128"/>
                                    <w:rPr>
                                      <w:sz w:val="21"/>
                                    </w:rPr>
                                  </w:pPr>
                                  <w:r>
                                    <w:rPr>
                                      <w:spacing w:val="-2"/>
                                      <w:sz w:val="21"/>
                                    </w:rPr>
                                    <w:t>student</w:t>
                                  </w:r>
                                </w:p>
                              </w:tc>
                              <w:tc>
                                <w:tcPr>
                                  <w:tcW w:w="1615" w:type="dxa"/>
                                </w:tcPr>
                                <w:p w:rsidR="003F5784" w14:textId="77777777">
                                  <w:pPr>
                                    <w:pStyle w:val="TableParagraph"/>
                                    <w:spacing w:before="0" w:line="215" w:lineRule="exact"/>
                                    <w:ind w:right="128"/>
                                    <w:rPr>
                                      <w:sz w:val="21"/>
                                    </w:rPr>
                                  </w:pPr>
                                  <w:r>
                                    <w:rPr>
                                      <w:sz w:val="21"/>
                                    </w:rPr>
                                    <w:t>percentage</w:t>
                                  </w:r>
                                  <w:r>
                                    <w:rPr>
                                      <w:spacing w:val="-11"/>
                                      <w:sz w:val="21"/>
                                    </w:rPr>
                                    <w:t xml:space="preserve"> </w:t>
                                  </w:r>
                                  <w:r>
                                    <w:rPr>
                                      <w:spacing w:val="-5"/>
                                      <w:sz w:val="21"/>
                                    </w:rPr>
                                    <w:t>of</w:t>
                                  </w:r>
                                </w:p>
                              </w:tc>
                              <w:tc>
                                <w:tcPr>
                                  <w:tcW w:w="1605" w:type="dxa"/>
                                </w:tcPr>
                                <w:p w:rsidR="003F5784" w14:textId="77777777">
                                  <w:pPr>
                                    <w:pStyle w:val="TableParagraph"/>
                                    <w:spacing w:before="0" w:line="215" w:lineRule="exact"/>
                                    <w:ind w:right="120"/>
                                    <w:rPr>
                                      <w:sz w:val="21"/>
                                    </w:rPr>
                                  </w:pPr>
                                  <w:r>
                                    <w:rPr>
                                      <w:sz w:val="21"/>
                                    </w:rPr>
                                    <w:t>percentage</w:t>
                                  </w:r>
                                  <w:r>
                                    <w:rPr>
                                      <w:spacing w:val="-11"/>
                                      <w:sz w:val="21"/>
                                    </w:rPr>
                                    <w:t xml:space="preserve"> </w:t>
                                  </w:r>
                                  <w:r>
                                    <w:rPr>
                                      <w:spacing w:val="-5"/>
                                      <w:sz w:val="21"/>
                                    </w:rPr>
                                    <w:t>of</w:t>
                                  </w:r>
                                </w:p>
                              </w:tc>
                            </w:tr>
                            <w:tr w14:paraId="2EECA452" w14:textId="77777777">
                              <w:tblPrEx>
                                <w:tblW w:w="0" w:type="auto"/>
                                <w:tblInd w:w="67" w:type="dxa"/>
                                <w:tblLayout w:type="fixed"/>
                                <w:tblCellMar>
                                  <w:left w:w="0" w:type="dxa"/>
                                  <w:right w:w="0" w:type="dxa"/>
                                </w:tblCellMar>
                                <w:tblLook w:val="01E0"/>
                              </w:tblPrEx>
                              <w:trPr>
                                <w:trHeight w:val="234"/>
                              </w:trPr>
                              <w:tc>
                                <w:tcPr>
                                  <w:tcW w:w="1332" w:type="dxa"/>
                                </w:tcPr>
                                <w:p w:rsidR="003F5784" w14:textId="77777777">
                                  <w:pPr>
                                    <w:pStyle w:val="TableParagraph"/>
                                    <w:spacing w:before="0" w:line="215" w:lineRule="exact"/>
                                    <w:ind w:right="127"/>
                                    <w:rPr>
                                      <w:sz w:val="21"/>
                                    </w:rPr>
                                  </w:pPr>
                                  <w:r>
                                    <w:rPr>
                                      <w:spacing w:val="-2"/>
                                      <w:sz w:val="21"/>
                                    </w:rPr>
                                    <w:t>response</w:t>
                                  </w:r>
                                </w:p>
                              </w:tc>
                              <w:tc>
                                <w:tcPr>
                                  <w:tcW w:w="1614" w:type="dxa"/>
                                </w:tcPr>
                                <w:p w:rsidR="003F5784" w14:textId="77777777">
                                  <w:pPr>
                                    <w:pStyle w:val="TableParagraph"/>
                                    <w:spacing w:before="0" w:line="215" w:lineRule="exact"/>
                                    <w:ind w:right="128"/>
                                    <w:rPr>
                                      <w:sz w:val="21"/>
                                    </w:rPr>
                                  </w:pPr>
                                  <w:r>
                                    <w:rPr>
                                      <w:sz w:val="21"/>
                                    </w:rPr>
                                    <w:t>all</w:t>
                                  </w:r>
                                  <w:r>
                                    <w:rPr>
                                      <w:spacing w:val="-6"/>
                                      <w:sz w:val="21"/>
                                    </w:rPr>
                                    <w:t xml:space="preserve"> </w:t>
                                  </w:r>
                                  <w:r>
                                    <w:rPr>
                                      <w:sz w:val="21"/>
                                    </w:rPr>
                                    <w:t>students</w:t>
                                  </w:r>
                                  <w:r>
                                    <w:rPr>
                                      <w:spacing w:val="-5"/>
                                      <w:sz w:val="21"/>
                                    </w:rPr>
                                    <w:t xml:space="preserve"> who</w:t>
                                  </w:r>
                                </w:p>
                              </w:tc>
                              <w:tc>
                                <w:tcPr>
                                  <w:tcW w:w="1747" w:type="dxa"/>
                                </w:tcPr>
                                <w:p w:rsidR="003F5784" w14:textId="77777777">
                                  <w:pPr>
                                    <w:pStyle w:val="TableParagraph"/>
                                    <w:spacing w:before="0" w:line="215" w:lineRule="exact"/>
                                    <w:ind w:right="261"/>
                                    <w:rPr>
                                      <w:sz w:val="21"/>
                                    </w:rPr>
                                  </w:pPr>
                                  <w:r>
                                    <w:rPr>
                                      <w:sz w:val="21"/>
                                    </w:rPr>
                                    <w:t>all</w:t>
                                  </w:r>
                                  <w:r>
                                    <w:rPr>
                                      <w:spacing w:val="-6"/>
                                      <w:sz w:val="21"/>
                                    </w:rPr>
                                    <w:t xml:space="preserve"> </w:t>
                                  </w:r>
                                  <w:r>
                                    <w:rPr>
                                      <w:sz w:val="21"/>
                                    </w:rPr>
                                    <w:t>students</w:t>
                                  </w:r>
                                  <w:r>
                                    <w:rPr>
                                      <w:spacing w:val="-5"/>
                                      <w:sz w:val="21"/>
                                    </w:rPr>
                                    <w:t xml:space="preserve"> who</w:t>
                                  </w:r>
                                </w:p>
                              </w:tc>
                              <w:tc>
                                <w:tcPr>
                                  <w:tcW w:w="1187" w:type="dxa"/>
                                </w:tcPr>
                                <w:p w:rsidR="003F5784" w14:textId="77777777">
                                  <w:pPr>
                                    <w:pStyle w:val="TableParagraph"/>
                                    <w:spacing w:before="0" w:line="215" w:lineRule="exact"/>
                                    <w:ind w:right="128"/>
                                    <w:rPr>
                                      <w:sz w:val="21"/>
                                    </w:rPr>
                                  </w:pPr>
                                  <w:r>
                                    <w:rPr>
                                      <w:spacing w:val="-2"/>
                                      <w:sz w:val="21"/>
                                    </w:rPr>
                                    <w:t>response</w:t>
                                  </w:r>
                                </w:p>
                              </w:tc>
                              <w:tc>
                                <w:tcPr>
                                  <w:tcW w:w="1615" w:type="dxa"/>
                                </w:tcPr>
                                <w:p w:rsidR="003F5784" w14:textId="77777777">
                                  <w:pPr>
                                    <w:pStyle w:val="TableParagraph"/>
                                    <w:spacing w:before="0" w:line="215" w:lineRule="exact"/>
                                    <w:ind w:right="128"/>
                                    <w:rPr>
                                      <w:sz w:val="21"/>
                                    </w:rPr>
                                  </w:pPr>
                                  <w:r>
                                    <w:rPr>
                                      <w:sz w:val="21"/>
                                    </w:rPr>
                                    <w:t>all</w:t>
                                  </w:r>
                                  <w:r>
                                    <w:rPr>
                                      <w:spacing w:val="-6"/>
                                      <w:sz w:val="21"/>
                                    </w:rPr>
                                    <w:t xml:space="preserve"> </w:t>
                                  </w:r>
                                  <w:r>
                                    <w:rPr>
                                      <w:sz w:val="21"/>
                                    </w:rPr>
                                    <w:t>students</w:t>
                                  </w:r>
                                  <w:r>
                                    <w:rPr>
                                      <w:spacing w:val="-5"/>
                                      <w:sz w:val="21"/>
                                    </w:rPr>
                                    <w:t xml:space="preserve"> who</w:t>
                                  </w:r>
                                </w:p>
                              </w:tc>
                              <w:tc>
                                <w:tcPr>
                                  <w:tcW w:w="1605" w:type="dxa"/>
                                </w:tcPr>
                                <w:p w:rsidR="003F5784" w14:textId="77777777">
                                  <w:pPr>
                                    <w:pStyle w:val="TableParagraph"/>
                                    <w:spacing w:before="0" w:line="215" w:lineRule="exact"/>
                                    <w:ind w:right="120"/>
                                    <w:rPr>
                                      <w:sz w:val="21"/>
                                    </w:rPr>
                                  </w:pPr>
                                  <w:r>
                                    <w:rPr>
                                      <w:sz w:val="21"/>
                                    </w:rPr>
                                    <w:t>all</w:t>
                                  </w:r>
                                  <w:r>
                                    <w:rPr>
                                      <w:spacing w:val="-6"/>
                                      <w:sz w:val="21"/>
                                    </w:rPr>
                                    <w:t xml:space="preserve"> </w:t>
                                  </w:r>
                                  <w:r>
                                    <w:rPr>
                                      <w:sz w:val="21"/>
                                    </w:rPr>
                                    <w:t>students</w:t>
                                  </w:r>
                                  <w:r>
                                    <w:rPr>
                                      <w:spacing w:val="-5"/>
                                      <w:sz w:val="21"/>
                                    </w:rPr>
                                    <w:t xml:space="preserve"> who</w:t>
                                  </w:r>
                                </w:p>
                              </w:tc>
                            </w:tr>
                            <w:tr w14:paraId="58772B79" w14:textId="77777777">
                              <w:tblPrEx>
                                <w:tblW w:w="0" w:type="auto"/>
                                <w:tblInd w:w="67" w:type="dxa"/>
                                <w:tblLayout w:type="fixed"/>
                                <w:tblCellMar>
                                  <w:left w:w="0" w:type="dxa"/>
                                  <w:right w:w="0" w:type="dxa"/>
                                </w:tblCellMar>
                                <w:tblLook w:val="01E0"/>
                              </w:tblPrEx>
                              <w:trPr>
                                <w:trHeight w:val="234"/>
                              </w:trPr>
                              <w:tc>
                                <w:tcPr>
                                  <w:tcW w:w="1332" w:type="dxa"/>
                                </w:tcPr>
                                <w:p w:rsidR="003F5784" w14:textId="77777777">
                                  <w:pPr>
                                    <w:pStyle w:val="TableParagraph"/>
                                    <w:spacing w:before="0" w:line="215" w:lineRule="exact"/>
                                    <w:ind w:right="127"/>
                                    <w:rPr>
                                      <w:sz w:val="21"/>
                                    </w:rPr>
                                  </w:pPr>
                                  <w:r>
                                    <w:rPr>
                                      <w:spacing w:val="-2"/>
                                      <w:sz w:val="21"/>
                                    </w:rPr>
                                    <w:t>rates</w:t>
                                  </w:r>
                                </w:p>
                              </w:tc>
                              <w:tc>
                                <w:tcPr>
                                  <w:tcW w:w="1614" w:type="dxa"/>
                                </w:tcPr>
                                <w:p w:rsidR="003F5784" w14:textId="77777777">
                                  <w:pPr>
                                    <w:pStyle w:val="TableParagraph"/>
                                    <w:spacing w:before="0" w:line="215" w:lineRule="exact"/>
                                    <w:ind w:right="126"/>
                                    <w:rPr>
                                      <w:sz w:val="21"/>
                                    </w:rPr>
                                  </w:pPr>
                                  <w:r>
                                    <w:rPr>
                                      <w:sz w:val="21"/>
                                    </w:rPr>
                                    <w:t>were</w:t>
                                  </w:r>
                                  <w:r>
                                    <w:rPr>
                                      <w:spacing w:val="-5"/>
                                      <w:sz w:val="21"/>
                                    </w:rPr>
                                    <w:t xml:space="preserve"> </w:t>
                                  </w:r>
                                  <w:r>
                                    <w:rPr>
                                      <w:sz w:val="21"/>
                                    </w:rPr>
                                    <w:t>SD</w:t>
                                  </w:r>
                                  <w:r>
                                    <w:rPr>
                                      <w:spacing w:val="-4"/>
                                      <w:sz w:val="21"/>
                                    </w:rPr>
                                    <w:t xml:space="preserve"> </w:t>
                                  </w:r>
                                  <w:r>
                                    <w:rPr>
                                      <w:spacing w:val="-5"/>
                                      <w:sz w:val="21"/>
                                    </w:rPr>
                                    <w:t>and</w:t>
                                  </w:r>
                                </w:p>
                              </w:tc>
                              <w:tc>
                                <w:tcPr>
                                  <w:tcW w:w="1747" w:type="dxa"/>
                                </w:tcPr>
                                <w:p w:rsidR="003F5784" w14:textId="77777777">
                                  <w:pPr>
                                    <w:pStyle w:val="TableParagraph"/>
                                    <w:spacing w:before="0" w:line="215" w:lineRule="exact"/>
                                    <w:ind w:right="261"/>
                                    <w:rPr>
                                      <w:sz w:val="21"/>
                                    </w:rPr>
                                  </w:pPr>
                                  <w:r>
                                    <w:rPr>
                                      <w:sz w:val="21"/>
                                    </w:rPr>
                                    <w:t>were</w:t>
                                  </w:r>
                                  <w:r>
                                    <w:rPr>
                                      <w:spacing w:val="-5"/>
                                      <w:sz w:val="21"/>
                                    </w:rPr>
                                    <w:t xml:space="preserve"> </w:t>
                                  </w:r>
                                  <w:r>
                                    <w:rPr>
                                      <w:sz w:val="21"/>
                                    </w:rPr>
                                    <w:t>EL</w:t>
                                  </w:r>
                                  <w:r>
                                    <w:rPr>
                                      <w:spacing w:val="-12"/>
                                      <w:sz w:val="21"/>
                                    </w:rPr>
                                    <w:t xml:space="preserve"> </w:t>
                                  </w:r>
                                  <w:r>
                                    <w:rPr>
                                      <w:spacing w:val="-5"/>
                                      <w:sz w:val="21"/>
                                    </w:rPr>
                                    <w:t>and</w:t>
                                  </w:r>
                                </w:p>
                              </w:tc>
                              <w:tc>
                                <w:tcPr>
                                  <w:tcW w:w="1187" w:type="dxa"/>
                                </w:tcPr>
                                <w:p w:rsidR="003F5784" w14:textId="77777777">
                                  <w:pPr>
                                    <w:pStyle w:val="TableParagraph"/>
                                    <w:spacing w:before="0" w:line="215" w:lineRule="exact"/>
                                    <w:ind w:right="128"/>
                                    <w:rPr>
                                      <w:sz w:val="21"/>
                                    </w:rPr>
                                  </w:pPr>
                                  <w:r>
                                    <w:rPr>
                                      <w:spacing w:val="-2"/>
                                      <w:sz w:val="21"/>
                                    </w:rPr>
                                    <w:t>rates</w:t>
                                  </w:r>
                                </w:p>
                              </w:tc>
                              <w:tc>
                                <w:tcPr>
                                  <w:tcW w:w="1615" w:type="dxa"/>
                                </w:tcPr>
                                <w:p w:rsidR="003F5784" w14:textId="77777777">
                                  <w:pPr>
                                    <w:pStyle w:val="TableParagraph"/>
                                    <w:spacing w:before="0" w:line="215" w:lineRule="exact"/>
                                    <w:ind w:right="128"/>
                                    <w:rPr>
                                      <w:sz w:val="21"/>
                                    </w:rPr>
                                  </w:pPr>
                                  <w:r>
                                    <w:rPr>
                                      <w:sz w:val="21"/>
                                    </w:rPr>
                                    <w:t>were</w:t>
                                  </w:r>
                                  <w:r>
                                    <w:rPr>
                                      <w:spacing w:val="-5"/>
                                      <w:sz w:val="21"/>
                                    </w:rPr>
                                    <w:t xml:space="preserve"> </w:t>
                                  </w:r>
                                  <w:r>
                                    <w:rPr>
                                      <w:sz w:val="21"/>
                                    </w:rPr>
                                    <w:t>SD</w:t>
                                  </w:r>
                                  <w:r>
                                    <w:rPr>
                                      <w:spacing w:val="-4"/>
                                      <w:sz w:val="21"/>
                                    </w:rPr>
                                    <w:t xml:space="preserve"> </w:t>
                                  </w:r>
                                  <w:r>
                                    <w:rPr>
                                      <w:spacing w:val="-5"/>
                                      <w:sz w:val="21"/>
                                    </w:rPr>
                                    <w:t>and</w:t>
                                  </w:r>
                                </w:p>
                              </w:tc>
                              <w:tc>
                                <w:tcPr>
                                  <w:tcW w:w="1605" w:type="dxa"/>
                                </w:tcPr>
                                <w:p w:rsidR="003F5784" w14:textId="77777777">
                                  <w:pPr>
                                    <w:pStyle w:val="TableParagraph"/>
                                    <w:spacing w:before="0" w:line="215" w:lineRule="exact"/>
                                    <w:ind w:right="120"/>
                                    <w:rPr>
                                      <w:sz w:val="21"/>
                                    </w:rPr>
                                  </w:pPr>
                                  <w:r>
                                    <w:rPr>
                                      <w:sz w:val="21"/>
                                    </w:rPr>
                                    <w:t>were</w:t>
                                  </w:r>
                                  <w:r>
                                    <w:rPr>
                                      <w:spacing w:val="-5"/>
                                      <w:sz w:val="21"/>
                                    </w:rPr>
                                    <w:t xml:space="preserve"> </w:t>
                                  </w:r>
                                  <w:r>
                                    <w:rPr>
                                      <w:sz w:val="21"/>
                                    </w:rPr>
                                    <w:t>EL</w:t>
                                  </w:r>
                                  <w:r>
                                    <w:rPr>
                                      <w:spacing w:val="-12"/>
                                      <w:sz w:val="21"/>
                                    </w:rPr>
                                    <w:t xml:space="preserve"> </w:t>
                                  </w:r>
                                  <w:r>
                                    <w:rPr>
                                      <w:spacing w:val="-5"/>
                                      <w:sz w:val="21"/>
                                    </w:rPr>
                                    <w:t>and</w:t>
                                  </w:r>
                                </w:p>
                              </w:tc>
                            </w:tr>
                            <w:tr w14:paraId="6A5B29DD" w14:textId="77777777">
                              <w:tblPrEx>
                                <w:tblW w:w="0" w:type="auto"/>
                                <w:tblInd w:w="67" w:type="dxa"/>
                                <w:tblLayout w:type="fixed"/>
                                <w:tblCellMar>
                                  <w:left w:w="0" w:type="dxa"/>
                                  <w:right w:w="0" w:type="dxa"/>
                                </w:tblCellMar>
                                <w:tblLook w:val="01E0"/>
                              </w:tblPrEx>
                              <w:trPr>
                                <w:trHeight w:val="232"/>
                              </w:trPr>
                              <w:tc>
                                <w:tcPr>
                                  <w:tcW w:w="1332" w:type="dxa"/>
                                </w:tcPr>
                                <w:p w:rsidR="003F5784" w14:textId="77777777">
                                  <w:pPr>
                                    <w:pStyle w:val="TableParagraph"/>
                                    <w:spacing w:before="0" w:line="213" w:lineRule="exact"/>
                                    <w:ind w:right="127"/>
                                    <w:rPr>
                                      <w:sz w:val="21"/>
                                    </w:rPr>
                                  </w:pPr>
                                  <w:r>
                                    <w:rPr>
                                      <w:spacing w:val="-2"/>
                                      <w:sz w:val="21"/>
                                    </w:rPr>
                                    <w:t>(percent)</w:t>
                                  </w:r>
                                </w:p>
                              </w:tc>
                              <w:tc>
                                <w:tcPr>
                                  <w:tcW w:w="1614" w:type="dxa"/>
                                </w:tcPr>
                                <w:p w:rsidR="003F5784" w14:textId="77777777">
                                  <w:pPr>
                                    <w:pStyle w:val="TableParagraph"/>
                                    <w:spacing w:before="0" w:line="213" w:lineRule="exact"/>
                                    <w:ind w:right="126"/>
                                    <w:rPr>
                                      <w:sz w:val="21"/>
                                    </w:rPr>
                                  </w:pPr>
                                  <w:r>
                                    <w:rPr>
                                      <w:spacing w:val="-2"/>
                                      <w:sz w:val="21"/>
                                    </w:rPr>
                                    <w:t>excluded</w:t>
                                  </w:r>
                                </w:p>
                              </w:tc>
                              <w:tc>
                                <w:tcPr>
                                  <w:tcW w:w="1747" w:type="dxa"/>
                                </w:tcPr>
                                <w:p w:rsidR="003F5784" w14:textId="77777777">
                                  <w:pPr>
                                    <w:pStyle w:val="TableParagraph"/>
                                    <w:spacing w:before="0" w:line="213" w:lineRule="exact"/>
                                    <w:ind w:right="261"/>
                                    <w:rPr>
                                      <w:sz w:val="21"/>
                                    </w:rPr>
                                  </w:pPr>
                                  <w:r>
                                    <w:rPr>
                                      <w:spacing w:val="-2"/>
                                      <w:sz w:val="21"/>
                                    </w:rPr>
                                    <w:t>excluded</w:t>
                                  </w:r>
                                </w:p>
                              </w:tc>
                              <w:tc>
                                <w:tcPr>
                                  <w:tcW w:w="1187" w:type="dxa"/>
                                </w:tcPr>
                                <w:p w:rsidR="003F5784" w14:textId="77777777">
                                  <w:pPr>
                                    <w:pStyle w:val="TableParagraph"/>
                                    <w:spacing w:before="0" w:line="213" w:lineRule="exact"/>
                                    <w:ind w:right="128"/>
                                    <w:rPr>
                                      <w:sz w:val="21"/>
                                    </w:rPr>
                                  </w:pPr>
                                  <w:r>
                                    <w:rPr>
                                      <w:spacing w:val="-2"/>
                                      <w:sz w:val="21"/>
                                    </w:rPr>
                                    <w:t>(percent)</w:t>
                                  </w:r>
                                </w:p>
                              </w:tc>
                              <w:tc>
                                <w:tcPr>
                                  <w:tcW w:w="1615" w:type="dxa"/>
                                </w:tcPr>
                                <w:p w:rsidR="003F5784" w14:textId="77777777">
                                  <w:pPr>
                                    <w:pStyle w:val="TableParagraph"/>
                                    <w:spacing w:before="0" w:line="213" w:lineRule="exact"/>
                                    <w:ind w:right="128"/>
                                    <w:rPr>
                                      <w:sz w:val="21"/>
                                    </w:rPr>
                                  </w:pPr>
                                  <w:r>
                                    <w:rPr>
                                      <w:spacing w:val="-2"/>
                                      <w:sz w:val="21"/>
                                    </w:rPr>
                                    <w:t>excluded</w:t>
                                  </w:r>
                                </w:p>
                              </w:tc>
                              <w:tc>
                                <w:tcPr>
                                  <w:tcW w:w="1605" w:type="dxa"/>
                                </w:tcPr>
                                <w:p w:rsidR="003F5784" w14:textId="77777777">
                                  <w:pPr>
                                    <w:pStyle w:val="TableParagraph"/>
                                    <w:spacing w:before="0" w:line="213" w:lineRule="exact"/>
                                    <w:ind w:right="120"/>
                                    <w:rPr>
                                      <w:sz w:val="21"/>
                                    </w:rPr>
                                  </w:pPr>
                                  <w:r>
                                    <w:rPr>
                                      <w:spacing w:val="-2"/>
                                      <w:sz w:val="21"/>
                                    </w:rPr>
                                    <w:t>excluded</w:t>
                                  </w:r>
                                </w:p>
                              </w:tc>
                            </w:tr>
                          </w:tbl>
                          <w:p w:rsidR="003F5784" w14:textId="77777777">
                            <w:pPr>
                              <w:pStyle w:val="BodyText"/>
                            </w:pPr>
                          </w:p>
                        </w:txbxContent>
                      </wps:txbx>
                      <wps:bodyPr wrap="square" lIns="0" tIns="0" rIns="0" bIns="0" rtlCol="0"/>
                    </wps:wsp>
                  </a:graphicData>
                </a:graphic>
              </wp:anchor>
            </w:drawing>
          </mc:Choice>
          <mc:Fallback>
            <w:pict>
              <v:shape id="Textbox 384" o:spid="_x0000_s1144" type="#_x0000_t202" style="width:460.85pt;height:73.95pt;margin-top:-62.05pt;margin-left:288.1pt;mso-position-horizontal-relative:page;mso-wrap-distance-bottom:0;mso-wrap-distance-left:0;mso-wrap-distance-right:0;mso-wrap-distance-top:0;mso-wrap-style:square;position:absolute;visibility:visible;v-text-anchor:top;z-index:251669504" filled="f" stroked="f">
                <v:textbox inset="0,0,0,0">
                  <w:txbxContent>
                    <w:tbl>
                      <w:tblPr>
                        <w:tblW w:w="0" w:type="auto"/>
                        <w:tblInd w:w="67" w:type="dxa"/>
                        <w:tblLayout w:type="fixed"/>
                        <w:tblCellMar>
                          <w:left w:w="0" w:type="dxa"/>
                          <w:right w:w="0" w:type="dxa"/>
                        </w:tblCellMar>
                        <w:tblLook w:val="01E0"/>
                      </w:tblPr>
                      <w:tblGrid>
                        <w:gridCol w:w="1332"/>
                        <w:gridCol w:w="1614"/>
                        <w:gridCol w:w="1747"/>
                        <w:gridCol w:w="1187"/>
                        <w:gridCol w:w="1615"/>
                        <w:gridCol w:w="1605"/>
                      </w:tblGrid>
                      <w:tr w14:paraId="7F54AC11" w14:textId="77777777">
                        <w:tblPrEx>
                          <w:tblW w:w="0" w:type="auto"/>
                          <w:tblInd w:w="67" w:type="dxa"/>
                          <w:tblLayout w:type="fixed"/>
                          <w:tblCellMar>
                            <w:left w:w="0" w:type="dxa"/>
                            <w:right w:w="0" w:type="dxa"/>
                          </w:tblCellMar>
                          <w:tblLook w:val="01E0"/>
                        </w:tblPrEx>
                        <w:trPr>
                          <w:trHeight w:val="248"/>
                        </w:trPr>
                        <w:tc>
                          <w:tcPr>
                            <w:tcW w:w="1332" w:type="dxa"/>
                            <w:tcBorders>
                              <w:bottom w:val="single" w:sz="18" w:space="0" w:color="800000"/>
                            </w:tcBorders>
                          </w:tcPr>
                          <w:p w:rsidR="003F5784" w14:paraId="6089972B" w14:textId="77777777">
                            <w:pPr>
                              <w:pStyle w:val="TableParagraph"/>
                              <w:spacing w:before="0"/>
                              <w:jc w:val="left"/>
                              <w:rPr>
                                <w:sz w:val="18"/>
                              </w:rPr>
                            </w:pPr>
                          </w:p>
                        </w:tc>
                        <w:tc>
                          <w:tcPr>
                            <w:tcW w:w="1614" w:type="dxa"/>
                            <w:tcBorders>
                              <w:bottom w:val="single" w:sz="18" w:space="0" w:color="800000"/>
                            </w:tcBorders>
                          </w:tcPr>
                          <w:p w:rsidR="003F5784" w14:paraId="19792E68" w14:textId="77777777">
                            <w:pPr>
                              <w:pStyle w:val="TableParagraph"/>
                              <w:spacing w:before="0" w:line="228" w:lineRule="exact"/>
                              <w:ind w:left="608"/>
                              <w:jc w:val="left"/>
                              <w:rPr>
                                <w:sz w:val="21"/>
                              </w:rPr>
                            </w:pPr>
                            <w:r>
                              <w:rPr>
                                <w:sz w:val="21"/>
                              </w:rPr>
                              <w:t>Grade</w:t>
                            </w:r>
                            <w:r>
                              <w:rPr>
                                <w:spacing w:val="-7"/>
                                <w:sz w:val="21"/>
                              </w:rPr>
                              <w:t xml:space="preserve"> </w:t>
                            </w:r>
                            <w:r>
                              <w:rPr>
                                <w:spacing w:val="-10"/>
                                <w:sz w:val="21"/>
                              </w:rPr>
                              <w:t>4</w:t>
                            </w:r>
                          </w:p>
                        </w:tc>
                        <w:tc>
                          <w:tcPr>
                            <w:tcW w:w="1747" w:type="dxa"/>
                            <w:tcBorders>
                              <w:bottom w:val="single" w:sz="18" w:space="0" w:color="800000"/>
                            </w:tcBorders>
                          </w:tcPr>
                          <w:p w:rsidR="003F5784" w14:paraId="58F600D4" w14:textId="77777777">
                            <w:pPr>
                              <w:pStyle w:val="TableParagraph"/>
                              <w:spacing w:before="0"/>
                              <w:jc w:val="left"/>
                              <w:rPr>
                                <w:sz w:val="18"/>
                              </w:rPr>
                            </w:pPr>
                          </w:p>
                        </w:tc>
                        <w:tc>
                          <w:tcPr>
                            <w:tcW w:w="1187" w:type="dxa"/>
                            <w:tcBorders>
                              <w:bottom w:val="single" w:sz="18" w:space="0" w:color="800000"/>
                            </w:tcBorders>
                          </w:tcPr>
                          <w:p w:rsidR="003F5784" w14:paraId="708AB5EE" w14:textId="77777777">
                            <w:pPr>
                              <w:pStyle w:val="TableParagraph"/>
                              <w:spacing w:before="0"/>
                              <w:jc w:val="left"/>
                              <w:rPr>
                                <w:sz w:val="18"/>
                              </w:rPr>
                            </w:pPr>
                          </w:p>
                        </w:tc>
                        <w:tc>
                          <w:tcPr>
                            <w:tcW w:w="1615" w:type="dxa"/>
                            <w:tcBorders>
                              <w:bottom w:val="single" w:sz="18" w:space="0" w:color="800000"/>
                            </w:tcBorders>
                          </w:tcPr>
                          <w:p w:rsidR="003F5784" w14:paraId="14726167" w14:textId="77777777">
                            <w:pPr>
                              <w:pStyle w:val="TableParagraph"/>
                              <w:spacing w:before="0" w:line="228" w:lineRule="exact"/>
                              <w:ind w:left="608"/>
                              <w:jc w:val="left"/>
                              <w:rPr>
                                <w:sz w:val="21"/>
                              </w:rPr>
                            </w:pPr>
                            <w:r>
                              <w:rPr>
                                <w:sz w:val="21"/>
                              </w:rPr>
                              <w:t>Grade</w:t>
                            </w:r>
                            <w:r>
                              <w:rPr>
                                <w:spacing w:val="-7"/>
                                <w:sz w:val="21"/>
                              </w:rPr>
                              <w:t xml:space="preserve"> </w:t>
                            </w:r>
                            <w:r>
                              <w:rPr>
                                <w:spacing w:val="-10"/>
                                <w:sz w:val="21"/>
                              </w:rPr>
                              <w:t>8</w:t>
                            </w:r>
                          </w:p>
                        </w:tc>
                        <w:tc>
                          <w:tcPr>
                            <w:tcW w:w="1605" w:type="dxa"/>
                            <w:tcBorders>
                              <w:bottom w:val="single" w:sz="18" w:space="0" w:color="800000"/>
                            </w:tcBorders>
                          </w:tcPr>
                          <w:p w:rsidR="003F5784" w14:paraId="030F5C4D" w14:textId="77777777">
                            <w:pPr>
                              <w:pStyle w:val="TableParagraph"/>
                              <w:spacing w:before="0"/>
                              <w:jc w:val="left"/>
                              <w:rPr>
                                <w:sz w:val="18"/>
                              </w:rPr>
                            </w:pPr>
                          </w:p>
                        </w:tc>
                      </w:tr>
                      <w:tr w14:paraId="09A3FC73" w14:textId="77777777">
                        <w:tblPrEx>
                          <w:tblW w:w="0" w:type="auto"/>
                          <w:tblInd w:w="67" w:type="dxa"/>
                          <w:tblLayout w:type="fixed"/>
                          <w:tblCellMar>
                            <w:left w:w="0" w:type="dxa"/>
                            <w:right w:w="0" w:type="dxa"/>
                          </w:tblCellMar>
                          <w:tblLook w:val="01E0"/>
                        </w:tblPrEx>
                        <w:trPr>
                          <w:trHeight w:val="252"/>
                        </w:trPr>
                        <w:tc>
                          <w:tcPr>
                            <w:tcW w:w="1332" w:type="dxa"/>
                            <w:tcBorders>
                              <w:top w:val="single" w:sz="18" w:space="0" w:color="800000"/>
                            </w:tcBorders>
                          </w:tcPr>
                          <w:p w:rsidR="003F5784" w14:paraId="6E5A0DEC" w14:textId="77777777">
                            <w:pPr>
                              <w:pStyle w:val="TableParagraph"/>
                              <w:spacing w:before="9" w:line="223" w:lineRule="exact"/>
                              <w:ind w:right="128"/>
                              <w:rPr>
                                <w:sz w:val="21"/>
                              </w:rPr>
                            </w:pPr>
                            <w:r>
                              <w:rPr>
                                <w:spacing w:val="-2"/>
                                <w:sz w:val="21"/>
                              </w:rPr>
                              <w:t>Weighted</w:t>
                            </w:r>
                          </w:p>
                        </w:tc>
                        <w:tc>
                          <w:tcPr>
                            <w:tcW w:w="1614" w:type="dxa"/>
                            <w:tcBorders>
                              <w:top w:val="single" w:sz="18" w:space="0" w:color="800000"/>
                            </w:tcBorders>
                          </w:tcPr>
                          <w:p w:rsidR="003F5784" w14:paraId="0FD51059" w14:textId="77777777">
                            <w:pPr>
                              <w:pStyle w:val="TableParagraph"/>
                              <w:spacing w:before="9" w:line="223" w:lineRule="exact"/>
                              <w:ind w:right="128"/>
                              <w:rPr>
                                <w:sz w:val="21"/>
                              </w:rPr>
                            </w:pPr>
                            <w:r>
                              <w:rPr>
                                <w:spacing w:val="-2"/>
                                <w:sz w:val="21"/>
                              </w:rPr>
                              <w:t>Weighted</w:t>
                            </w:r>
                          </w:p>
                        </w:tc>
                        <w:tc>
                          <w:tcPr>
                            <w:tcW w:w="1747" w:type="dxa"/>
                            <w:tcBorders>
                              <w:top w:val="single" w:sz="18" w:space="0" w:color="800000"/>
                            </w:tcBorders>
                          </w:tcPr>
                          <w:p w:rsidR="003F5784" w14:paraId="7BE0D250" w14:textId="77777777">
                            <w:pPr>
                              <w:pStyle w:val="TableParagraph"/>
                              <w:spacing w:before="9" w:line="223" w:lineRule="exact"/>
                              <w:ind w:right="261"/>
                              <w:rPr>
                                <w:sz w:val="21"/>
                              </w:rPr>
                            </w:pPr>
                            <w:r>
                              <w:rPr>
                                <w:spacing w:val="-2"/>
                                <w:sz w:val="21"/>
                              </w:rPr>
                              <w:t>Weighted</w:t>
                            </w:r>
                          </w:p>
                        </w:tc>
                        <w:tc>
                          <w:tcPr>
                            <w:tcW w:w="1187" w:type="dxa"/>
                            <w:tcBorders>
                              <w:top w:val="single" w:sz="18" w:space="0" w:color="800000"/>
                            </w:tcBorders>
                          </w:tcPr>
                          <w:p w:rsidR="003F5784" w14:paraId="7AF138CD" w14:textId="77777777">
                            <w:pPr>
                              <w:pStyle w:val="TableParagraph"/>
                              <w:spacing w:before="9" w:line="223" w:lineRule="exact"/>
                              <w:ind w:right="129"/>
                              <w:rPr>
                                <w:sz w:val="21"/>
                              </w:rPr>
                            </w:pPr>
                            <w:r>
                              <w:rPr>
                                <w:spacing w:val="-2"/>
                                <w:sz w:val="21"/>
                              </w:rPr>
                              <w:t>Weighted</w:t>
                            </w:r>
                          </w:p>
                        </w:tc>
                        <w:tc>
                          <w:tcPr>
                            <w:tcW w:w="1615" w:type="dxa"/>
                            <w:tcBorders>
                              <w:top w:val="single" w:sz="18" w:space="0" w:color="800000"/>
                            </w:tcBorders>
                          </w:tcPr>
                          <w:p w:rsidR="003F5784" w14:paraId="131D067D" w14:textId="77777777">
                            <w:pPr>
                              <w:pStyle w:val="TableParagraph"/>
                              <w:spacing w:before="9" w:line="223" w:lineRule="exact"/>
                              <w:ind w:right="128"/>
                              <w:rPr>
                                <w:sz w:val="21"/>
                              </w:rPr>
                            </w:pPr>
                            <w:r>
                              <w:rPr>
                                <w:spacing w:val="-2"/>
                                <w:sz w:val="21"/>
                              </w:rPr>
                              <w:t>Weighted</w:t>
                            </w:r>
                          </w:p>
                        </w:tc>
                        <w:tc>
                          <w:tcPr>
                            <w:tcW w:w="1605" w:type="dxa"/>
                            <w:tcBorders>
                              <w:top w:val="single" w:sz="18" w:space="0" w:color="800000"/>
                            </w:tcBorders>
                          </w:tcPr>
                          <w:p w:rsidR="003F5784" w14:paraId="5B8EA02E" w14:textId="77777777">
                            <w:pPr>
                              <w:pStyle w:val="TableParagraph"/>
                              <w:spacing w:before="9" w:line="223" w:lineRule="exact"/>
                              <w:ind w:right="120"/>
                              <w:rPr>
                                <w:sz w:val="21"/>
                              </w:rPr>
                            </w:pPr>
                            <w:r>
                              <w:rPr>
                                <w:spacing w:val="-2"/>
                                <w:sz w:val="21"/>
                              </w:rPr>
                              <w:t>Weighted</w:t>
                            </w:r>
                          </w:p>
                        </w:tc>
                      </w:tr>
                      <w:tr w14:paraId="0EFD764B" w14:textId="77777777">
                        <w:tblPrEx>
                          <w:tblW w:w="0" w:type="auto"/>
                          <w:tblInd w:w="67" w:type="dxa"/>
                          <w:tblLayout w:type="fixed"/>
                          <w:tblCellMar>
                            <w:left w:w="0" w:type="dxa"/>
                            <w:right w:w="0" w:type="dxa"/>
                          </w:tblCellMar>
                          <w:tblLook w:val="01E0"/>
                        </w:tblPrEx>
                        <w:trPr>
                          <w:trHeight w:val="234"/>
                        </w:trPr>
                        <w:tc>
                          <w:tcPr>
                            <w:tcW w:w="1332" w:type="dxa"/>
                          </w:tcPr>
                          <w:p w:rsidR="003F5784" w14:paraId="7318854A" w14:textId="77777777">
                            <w:pPr>
                              <w:pStyle w:val="TableParagraph"/>
                              <w:spacing w:before="0" w:line="215" w:lineRule="exact"/>
                              <w:ind w:right="127"/>
                              <w:rPr>
                                <w:sz w:val="21"/>
                              </w:rPr>
                            </w:pPr>
                            <w:r>
                              <w:rPr>
                                <w:spacing w:val="-2"/>
                                <w:sz w:val="21"/>
                              </w:rPr>
                              <w:t>student</w:t>
                            </w:r>
                          </w:p>
                        </w:tc>
                        <w:tc>
                          <w:tcPr>
                            <w:tcW w:w="1614" w:type="dxa"/>
                          </w:tcPr>
                          <w:p w:rsidR="003F5784" w14:paraId="0EBE6CF5" w14:textId="77777777">
                            <w:pPr>
                              <w:pStyle w:val="TableParagraph"/>
                              <w:spacing w:before="0" w:line="215" w:lineRule="exact"/>
                              <w:ind w:right="126"/>
                              <w:rPr>
                                <w:sz w:val="21"/>
                              </w:rPr>
                            </w:pPr>
                            <w:r>
                              <w:rPr>
                                <w:sz w:val="21"/>
                              </w:rPr>
                              <w:t>percentage</w:t>
                            </w:r>
                            <w:r>
                              <w:rPr>
                                <w:spacing w:val="-11"/>
                                <w:sz w:val="21"/>
                              </w:rPr>
                              <w:t xml:space="preserve"> </w:t>
                            </w:r>
                            <w:r>
                              <w:rPr>
                                <w:spacing w:val="-5"/>
                                <w:sz w:val="21"/>
                              </w:rPr>
                              <w:t>of</w:t>
                            </w:r>
                          </w:p>
                        </w:tc>
                        <w:tc>
                          <w:tcPr>
                            <w:tcW w:w="1747" w:type="dxa"/>
                          </w:tcPr>
                          <w:p w:rsidR="003F5784" w14:paraId="3A66BD42" w14:textId="77777777">
                            <w:pPr>
                              <w:pStyle w:val="TableParagraph"/>
                              <w:spacing w:before="0" w:line="215" w:lineRule="exact"/>
                              <w:ind w:right="261"/>
                              <w:rPr>
                                <w:sz w:val="21"/>
                              </w:rPr>
                            </w:pPr>
                            <w:r>
                              <w:rPr>
                                <w:sz w:val="21"/>
                              </w:rPr>
                              <w:t>percentage</w:t>
                            </w:r>
                            <w:r>
                              <w:rPr>
                                <w:spacing w:val="-11"/>
                                <w:sz w:val="21"/>
                              </w:rPr>
                              <w:t xml:space="preserve"> </w:t>
                            </w:r>
                            <w:r>
                              <w:rPr>
                                <w:spacing w:val="-5"/>
                                <w:sz w:val="21"/>
                              </w:rPr>
                              <w:t>of</w:t>
                            </w:r>
                          </w:p>
                        </w:tc>
                        <w:tc>
                          <w:tcPr>
                            <w:tcW w:w="1187" w:type="dxa"/>
                          </w:tcPr>
                          <w:p w:rsidR="003F5784" w14:paraId="1277670B" w14:textId="77777777">
                            <w:pPr>
                              <w:pStyle w:val="TableParagraph"/>
                              <w:spacing w:before="0" w:line="215" w:lineRule="exact"/>
                              <w:ind w:right="128"/>
                              <w:rPr>
                                <w:sz w:val="21"/>
                              </w:rPr>
                            </w:pPr>
                            <w:r>
                              <w:rPr>
                                <w:spacing w:val="-2"/>
                                <w:sz w:val="21"/>
                              </w:rPr>
                              <w:t>student</w:t>
                            </w:r>
                          </w:p>
                        </w:tc>
                        <w:tc>
                          <w:tcPr>
                            <w:tcW w:w="1615" w:type="dxa"/>
                          </w:tcPr>
                          <w:p w:rsidR="003F5784" w14:paraId="09B8D137" w14:textId="77777777">
                            <w:pPr>
                              <w:pStyle w:val="TableParagraph"/>
                              <w:spacing w:before="0" w:line="215" w:lineRule="exact"/>
                              <w:ind w:right="128"/>
                              <w:rPr>
                                <w:sz w:val="21"/>
                              </w:rPr>
                            </w:pPr>
                            <w:r>
                              <w:rPr>
                                <w:sz w:val="21"/>
                              </w:rPr>
                              <w:t>percentage</w:t>
                            </w:r>
                            <w:r>
                              <w:rPr>
                                <w:spacing w:val="-11"/>
                                <w:sz w:val="21"/>
                              </w:rPr>
                              <w:t xml:space="preserve"> </w:t>
                            </w:r>
                            <w:r>
                              <w:rPr>
                                <w:spacing w:val="-5"/>
                                <w:sz w:val="21"/>
                              </w:rPr>
                              <w:t>of</w:t>
                            </w:r>
                          </w:p>
                        </w:tc>
                        <w:tc>
                          <w:tcPr>
                            <w:tcW w:w="1605" w:type="dxa"/>
                          </w:tcPr>
                          <w:p w:rsidR="003F5784" w14:paraId="123ED1A6" w14:textId="77777777">
                            <w:pPr>
                              <w:pStyle w:val="TableParagraph"/>
                              <w:spacing w:before="0" w:line="215" w:lineRule="exact"/>
                              <w:ind w:right="120"/>
                              <w:rPr>
                                <w:sz w:val="21"/>
                              </w:rPr>
                            </w:pPr>
                            <w:r>
                              <w:rPr>
                                <w:sz w:val="21"/>
                              </w:rPr>
                              <w:t>percentage</w:t>
                            </w:r>
                            <w:r>
                              <w:rPr>
                                <w:spacing w:val="-11"/>
                                <w:sz w:val="21"/>
                              </w:rPr>
                              <w:t xml:space="preserve"> </w:t>
                            </w:r>
                            <w:r>
                              <w:rPr>
                                <w:spacing w:val="-5"/>
                                <w:sz w:val="21"/>
                              </w:rPr>
                              <w:t>of</w:t>
                            </w:r>
                          </w:p>
                        </w:tc>
                      </w:tr>
                      <w:tr w14:paraId="2EECA452" w14:textId="77777777">
                        <w:tblPrEx>
                          <w:tblW w:w="0" w:type="auto"/>
                          <w:tblInd w:w="67" w:type="dxa"/>
                          <w:tblLayout w:type="fixed"/>
                          <w:tblCellMar>
                            <w:left w:w="0" w:type="dxa"/>
                            <w:right w:w="0" w:type="dxa"/>
                          </w:tblCellMar>
                          <w:tblLook w:val="01E0"/>
                        </w:tblPrEx>
                        <w:trPr>
                          <w:trHeight w:val="234"/>
                        </w:trPr>
                        <w:tc>
                          <w:tcPr>
                            <w:tcW w:w="1332" w:type="dxa"/>
                          </w:tcPr>
                          <w:p w:rsidR="003F5784" w14:paraId="2CAFDC6F" w14:textId="77777777">
                            <w:pPr>
                              <w:pStyle w:val="TableParagraph"/>
                              <w:spacing w:before="0" w:line="215" w:lineRule="exact"/>
                              <w:ind w:right="127"/>
                              <w:rPr>
                                <w:sz w:val="21"/>
                              </w:rPr>
                            </w:pPr>
                            <w:r>
                              <w:rPr>
                                <w:spacing w:val="-2"/>
                                <w:sz w:val="21"/>
                              </w:rPr>
                              <w:t>response</w:t>
                            </w:r>
                          </w:p>
                        </w:tc>
                        <w:tc>
                          <w:tcPr>
                            <w:tcW w:w="1614" w:type="dxa"/>
                          </w:tcPr>
                          <w:p w:rsidR="003F5784" w14:paraId="71A86936" w14:textId="77777777">
                            <w:pPr>
                              <w:pStyle w:val="TableParagraph"/>
                              <w:spacing w:before="0" w:line="215" w:lineRule="exact"/>
                              <w:ind w:right="128"/>
                              <w:rPr>
                                <w:sz w:val="21"/>
                              </w:rPr>
                            </w:pPr>
                            <w:r>
                              <w:rPr>
                                <w:sz w:val="21"/>
                              </w:rPr>
                              <w:t>all</w:t>
                            </w:r>
                            <w:r>
                              <w:rPr>
                                <w:spacing w:val="-6"/>
                                <w:sz w:val="21"/>
                              </w:rPr>
                              <w:t xml:space="preserve"> </w:t>
                            </w:r>
                            <w:r>
                              <w:rPr>
                                <w:sz w:val="21"/>
                              </w:rPr>
                              <w:t>students</w:t>
                            </w:r>
                            <w:r>
                              <w:rPr>
                                <w:spacing w:val="-5"/>
                                <w:sz w:val="21"/>
                              </w:rPr>
                              <w:t xml:space="preserve"> who</w:t>
                            </w:r>
                          </w:p>
                        </w:tc>
                        <w:tc>
                          <w:tcPr>
                            <w:tcW w:w="1747" w:type="dxa"/>
                          </w:tcPr>
                          <w:p w:rsidR="003F5784" w14:paraId="64D9231E" w14:textId="77777777">
                            <w:pPr>
                              <w:pStyle w:val="TableParagraph"/>
                              <w:spacing w:before="0" w:line="215" w:lineRule="exact"/>
                              <w:ind w:right="261"/>
                              <w:rPr>
                                <w:sz w:val="21"/>
                              </w:rPr>
                            </w:pPr>
                            <w:r>
                              <w:rPr>
                                <w:sz w:val="21"/>
                              </w:rPr>
                              <w:t>all</w:t>
                            </w:r>
                            <w:r>
                              <w:rPr>
                                <w:spacing w:val="-6"/>
                                <w:sz w:val="21"/>
                              </w:rPr>
                              <w:t xml:space="preserve"> </w:t>
                            </w:r>
                            <w:r>
                              <w:rPr>
                                <w:sz w:val="21"/>
                              </w:rPr>
                              <w:t>students</w:t>
                            </w:r>
                            <w:r>
                              <w:rPr>
                                <w:spacing w:val="-5"/>
                                <w:sz w:val="21"/>
                              </w:rPr>
                              <w:t xml:space="preserve"> who</w:t>
                            </w:r>
                          </w:p>
                        </w:tc>
                        <w:tc>
                          <w:tcPr>
                            <w:tcW w:w="1187" w:type="dxa"/>
                          </w:tcPr>
                          <w:p w:rsidR="003F5784" w14:paraId="79252251" w14:textId="77777777">
                            <w:pPr>
                              <w:pStyle w:val="TableParagraph"/>
                              <w:spacing w:before="0" w:line="215" w:lineRule="exact"/>
                              <w:ind w:right="128"/>
                              <w:rPr>
                                <w:sz w:val="21"/>
                              </w:rPr>
                            </w:pPr>
                            <w:r>
                              <w:rPr>
                                <w:spacing w:val="-2"/>
                                <w:sz w:val="21"/>
                              </w:rPr>
                              <w:t>response</w:t>
                            </w:r>
                          </w:p>
                        </w:tc>
                        <w:tc>
                          <w:tcPr>
                            <w:tcW w:w="1615" w:type="dxa"/>
                          </w:tcPr>
                          <w:p w:rsidR="003F5784" w14:paraId="20A27743" w14:textId="77777777">
                            <w:pPr>
                              <w:pStyle w:val="TableParagraph"/>
                              <w:spacing w:before="0" w:line="215" w:lineRule="exact"/>
                              <w:ind w:right="128"/>
                              <w:rPr>
                                <w:sz w:val="21"/>
                              </w:rPr>
                            </w:pPr>
                            <w:r>
                              <w:rPr>
                                <w:sz w:val="21"/>
                              </w:rPr>
                              <w:t>all</w:t>
                            </w:r>
                            <w:r>
                              <w:rPr>
                                <w:spacing w:val="-6"/>
                                <w:sz w:val="21"/>
                              </w:rPr>
                              <w:t xml:space="preserve"> </w:t>
                            </w:r>
                            <w:r>
                              <w:rPr>
                                <w:sz w:val="21"/>
                              </w:rPr>
                              <w:t>students</w:t>
                            </w:r>
                            <w:r>
                              <w:rPr>
                                <w:spacing w:val="-5"/>
                                <w:sz w:val="21"/>
                              </w:rPr>
                              <w:t xml:space="preserve"> who</w:t>
                            </w:r>
                          </w:p>
                        </w:tc>
                        <w:tc>
                          <w:tcPr>
                            <w:tcW w:w="1605" w:type="dxa"/>
                          </w:tcPr>
                          <w:p w:rsidR="003F5784" w14:paraId="13C6064E" w14:textId="77777777">
                            <w:pPr>
                              <w:pStyle w:val="TableParagraph"/>
                              <w:spacing w:before="0" w:line="215" w:lineRule="exact"/>
                              <w:ind w:right="120"/>
                              <w:rPr>
                                <w:sz w:val="21"/>
                              </w:rPr>
                            </w:pPr>
                            <w:r>
                              <w:rPr>
                                <w:sz w:val="21"/>
                              </w:rPr>
                              <w:t>all</w:t>
                            </w:r>
                            <w:r>
                              <w:rPr>
                                <w:spacing w:val="-6"/>
                                <w:sz w:val="21"/>
                              </w:rPr>
                              <w:t xml:space="preserve"> </w:t>
                            </w:r>
                            <w:r>
                              <w:rPr>
                                <w:sz w:val="21"/>
                              </w:rPr>
                              <w:t>students</w:t>
                            </w:r>
                            <w:r>
                              <w:rPr>
                                <w:spacing w:val="-5"/>
                                <w:sz w:val="21"/>
                              </w:rPr>
                              <w:t xml:space="preserve"> who</w:t>
                            </w:r>
                          </w:p>
                        </w:tc>
                      </w:tr>
                      <w:tr w14:paraId="58772B79" w14:textId="77777777">
                        <w:tblPrEx>
                          <w:tblW w:w="0" w:type="auto"/>
                          <w:tblInd w:w="67" w:type="dxa"/>
                          <w:tblLayout w:type="fixed"/>
                          <w:tblCellMar>
                            <w:left w:w="0" w:type="dxa"/>
                            <w:right w:w="0" w:type="dxa"/>
                          </w:tblCellMar>
                          <w:tblLook w:val="01E0"/>
                        </w:tblPrEx>
                        <w:trPr>
                          <w:trHeight w:val="234"/>
                        </w:trPr>
                        <w:tc>
                          <w:tcPr>
                            <w:tcW w:w="1332" w:type="dxa"/>
                          </w:tcPr>
                          <w:p w:rsidR="003F5784" w14:paraId="4768AA4A" w14:textId="77777777">
                            <w:pPr>
                              <w:pStyle w:val="TableParagraph"/>
                              <w:spacing w:before="0" w:line="215" w:lineRule="exact"/>
                              <w:ind w:right="127"/>
                              <w:rPr>
                                <w:sz w:val="21"/>
                              </w:rPr>
                            </w:pPr>
                            <w:r>
                              <w:rPr>
                                <w:spacing w:val="-2"/>
                                <w:sz w:val="21"/>
                              </w:rPr>
                              <w:t>rates</w:t>
                            </w:r>
                          </w:p>
                        </w:tc>
                        <w:tc>
                          <w:tcPr>
                            <w:tcW w:w="1614" w:type="dxa"/>
                          </w:tcPr>
                          <w:p w:rsidR="003F5784" w14:paraId="1559C42F" w14:textId="77777777">
                            <w:pPr>
                              <w:pStyle w:val="TableParagraph"/>
                              <w:spacing w:before="0" w:line="215" w:lineRule="exact"/>
                              <w:ind w:right="126"/>
                              <w:rPr>
                                <w:sz w:val="21"/>
                              </w:rPr>
                            </w:pPr>
                            <w:r>
                              <w:rPr>
                                <w:sz w:val="21"/>
                              </w:rPr>
                              <w:t>were</w:t>
                            </w:r>
                            <w:r>
                              <w:rPr>
                                <w:spacing w:val="-5"/>
                                <w:sz w:val="21"/>
                              </w:rPr>
                              <w:t xml:space="preserve"> </w:t>
                            </w:r>
                            <w:r>
                              <w:rPr>
                                <w:sz w:val="21"/>
                              </w:rPr>
                              <w:t>SD</w:t>
                            </w:r>
                            <w:r>
                              <w:rPr>
                                <w:spacing w:val="-4"/>
                                <w:sz w:val="21"/>
                              </w:rPr>
                              <w:t xml:space="preserve"> </w:t>
                            </w:r>
                            <w:r>
                              <w:rPr>
                                <w:spacing w:val="-5"/>
                                <w:sz w:val="21"/>
                              </w:rPr>
                              <w:t>and</w:t>
                            </w:r>
                          </w:p>
                        </w:tc>
                        <w:tc>
                          <w:tcPr>
                            <w:tcW w:w="1747" w:type="dxa"/>
                          </w:tcPr>
                          <w:p w:rsidR="003F5784" w14:paraId="2FC7F6BF" w14:textId="77777777">
                            <w:pPr>
                              <w:pStyle w:val="TableParagraph"/>
                              <w:spacing w:before="0" w:line="215" w:lineRule="exact"/>
                              <w:ind w:right="261"/>
                              <w:rPr>
                                <w:sz w:val="21"/>
                              </w:rPr>
                            </w:pPr>
                            <w:r>
                              <w:rPr>
                                <w:sz w:val="21"/>
                              </w:rPr>
                              <w:t>were</w:t>
                            </w:r>
                            <w:r>
                              <w:rPr>
                                <w:spacing w:val="-5"/>
                                <w:sz w:val="21"/>
                              </w:rPr>
                              <w:t xml:space="preserve"> </w:t>
                            </w:r>
                            <w:r>
                              <w:rPr>
                                <w:sz w:val="21"/>
                              </w:rPr>
                              <w:t>EL</w:t>
                            </w:r>
                            <w:r>
                              <w:rPr>
                                <w:spacing w:val="-12"/>
                                <w:sz w:val="21"/>
                              </w:rPr>
                              <w:t xml:space="preserve"> </w:t>
                            </w:r>
                            <w:r>
                              <w:rPr>
                                <w:spacing w:val="-5"/>
                                <w:sz w:val="21"/>
                              </w:rPr>
                              <w:t>and</w:t>
                            </w:r>
                          </w:p>
                        </w:tc>
                        <w:tc>
                          <w:tcPr>
                            <w:tcW w:w="1187" w:type="dxa"/>
                          </w:tcPr>
                          <w:p w:rsidR="003F5784" w14:paraId="2551D5A7" w14:textId="77777777">
                            <w:pPr>
                              <w:pStyle w:val="TableParagraph"/>
                              <w:spacing w:before="0" w:line="215" w:lineRule="exact"/>
                              <w:ind w:right="128"/>
                              <w:rPr>
                                <w:sz w:val="21"/>
                              </w:rPr>
                            </w:pPr>
                            <w:r>
                              <w:rPr>
                                <w:spacing w:val="-2"/>
                                <w:sz w:val="21"/>
                              </w:rPr>
                              <w:t>rates</w:t>
                            </w:r>
                          </w:p>
                        </w:tc>
                        <w:tc>
                          <w:tcPr>
                            <w:tcW w:w="1615" w:type="dxa"/>
                          </w:tcPr>
                          <w:p w:rsidR="003F5784" w14:paraId="4F7E4075" w14:textId="77777777">
                            <w:pPr>
                              <w:pStyle w:val="TableParagraph"/>
                              <w:spacing w:before="0" w:line="215" w:lineRule="exact"/>
                              <w:ind w:right="128"/>
                              <w:rPr>
                                <w:sz w:val="21"/>
                              </w:rPr>
                            </w:pPr>
                            <w:r>
                              <w:rPr>
                                <w:sz w:val="21"/>
                              </w:rPr>
                              <w:t>were</w:t>
                            </w:r>
                            <w:r>
                              <w:rPr>
                                <w:spacing w:val="-5"/>
                                <w:sz w:val="21"/>
                              </w:rPr>
                              <w:t xml:space="preserve"> </w:t>
                            </w:r>
                            <w:r>
                              <w:rPr>
                                <w:sz w:val="21"/>
                              </w:rPr>
                              <w:t>SD</w:t>
                            </w:r>
                            <w:r>
                              <w:rPr>
                                <w:spacing w:val="-4"/>
                                <w:sz w:val="21"/>
                              </w:rPr>
                              <w:t xml:space="preserve"> </w:t>
                            </w:r>
                            <w:r>
                              <w:rPr>
                                <w:spacing w:val="-5"/>
                                <w:sz w:val="21"/>
                              </w:rPr>
                              <w:t>and</w:t>
                            </w:r>
                          </w:p>
                        </w:tc>
                        <w:tc>
                          <w:tcPr>
                            <w:tcW w:w="1605" w:type="dxa"/>
                          </w:tcPr>
                          <w:p w:rsidR="003F5784" w14:paraId="397BABB6" w14:textId="77777777">
                            <w:pPr>
                              <w:pStyle w:val="TableParagraph"/>
                              <w:spacing w:before="0" w:line="215" w:lineRule="exact"/>
                              <w:ind w:right="120"/>
                              <w:rPr>
                                <w:sz w:val="21"/>
                              </w:rPr>
                            </w:pPr>
                            <w:r>
                              <w:rPr>
                                <w:sz w:val="21"/>
                              </w:rPr>
                              <w:t>were</w:t>
                            </w:r>
                            <w:r>
                              <w:rPr>
                                <w:spacing w:val="-5"/>
                                <w:sz w:val="21"/>
                              </w:rPr>
                              <w:t xml:space="preserve"> </w:t>
                            </w:r>
                            <w:r>
                              <w:rPr>
                                <w:sz w:val="21"/>
                              </w:rPr>
                              <w:t>EL</w:t>
                            </w:r>
                            <w:r>
                              <w:rPr>
                                <w:spacing w:val="-12"/>
                                <w:sz w:val="21"/>
                              </w:rPr>
                              <w:t xml:space="preserve"> </w:t>
                            </w:r>
                            <w:r>
                              <w:rPr>
                                <w:spacing w:val="-5"/>
                                <w:sz w:val="21"/>
                              </w:rPr>
                              <w:t>and</w:t>
                            </w:r>
                          </w:p>
                        </w:tc>
                      </w:tr>
                      <w:tr w14:paraId="6A5B29DD" w14:textId="77777777">
                        <w:tblPrEx>
                          <w:tblW w:w="0" w:type="auto"/>
                          <w:tblInd w:w="67" w:type="dxa"/>
                          <w:tblLayout w:type="fixed"/>
                          <w:tblCellMar>
                            <w:left w:w="0" w:type="dxa"/>
                            <w:right w:w="0" w:type="dxa"/>
                          </w:tblCellMar>
                          <w:tblLook w:val="01E0"/>
                        </w:tblPrEx>
                        <w:trPr>
                          <w:trHeight w:val="232"/>
                        </w:trPr>
                        <w:tc>
                          <w:tcPr>
                            <w:tcW w:w="1332" w:type="dxa"/>
                          </w:tcPr>
                          <w:p w:rsidR="003F5784" w14:paraId="6ECBB04C" w14:textId="77777777">
                            <w:pPr>
                              <w:pStyle w:val="TableParagraph"/>
                              <w:spacing w:before="0" w:line="213" w:lineRule="exact"/>
                              <w:ind w:right="127"/>
                              <w:rPr>
                                <w:sz w:val="21"/>
                              </w:rPr>
                            </w:pPr>
                            <w:r>
                              <w:rPr>
                                <w:spacing w:val="-2"/>
                                <w:sz w:val="21"/>
                              </w:rPr>
                              <w:t>(percent)</w:t>
                            </w:r>
                          </w:p>
                        </w:tc>
                        <w:tc>
                          <w:tcPr>
                            <w:tcW w:w="1614" w:type="dxa"/>
                          </w:tcPr>
                          <w:p w:rsidR="003F5784" w14:paraId="173750AB" w14:textId="77777777">
                            <w:pPr>
                              <w:pStyle w:val="TableParagraph"/>
                              <w:spacing w:before="0" w:line="213" w:lineRule="exact"/>
                              <w:ind w:right="126"/>
                              <w:rPr>
                                <w:sz w:val="21"/>
                              </w:rPr>
                            </w:pPr>
                            <w:r>
                              <w:rPr>
                                <w:spacing w:val="-2"/>
                                <w:sz w:val="21"/>
                              </w:rPr>
                              <w:t>excluded</w:t>
                            </w:r>
                          </w:p>
                        </w:tc>
                        <w:tc>
                          <w:tcPr>
                            <w:tcW w:w="1747" w:type="dxa"/>
                          </w:tcPr>
                          <w:p w:rsidR="003F5784" w14:paraId="401E69BE" w14:textId="77777777">
                            <w:pPr>
                              <w:pStyle w:val="TableParagraph"/>
                              <w:spacing w:before="0" w:line="213" w:lineRule="exact"/>
                              <w:ind w:right="261"/>
                              <w:rPr>
                                <w:sz w:val="21"/>
                              </w:rPr>
                            </w:pPr>
                            <w:r>
                              <w:rPr>
                                <w:spacing w:val="-2"/>
                                <w:sz w:val="21"/>
                              </w:rPr>
                              <w:t>excluded</w:t>
                            </w:r>
                          </w:p>
                        </w:tc>
                        <w:tc>
                          <w:tcPr>
                            <w:tcW w:w="1187" w:type="dxa"/>
                          </w:tcPr>
                          <w:p w:rsidR="003F5784" w14:paraId="69CB6BA6" w14:textId="77777777">
                            <w:pPr>
                              <w:pStyle w:val="TableParagraph"/>
                              <w:spacing w:before="0" w:line="213" w:lineRule="exact"/>
                              <w:ind w:right="128"/>
                              <w:rPr>
                                <w:sz w:val="21"/>
                              </w:rPr>
                            </w:pPr>
                            <w:r>
                              <w:rPr>
                                <w:spacing w:val="-2"/>
                                <w:sz w:val="21"/>
                              </w:rPr>
                              <w:t>(percent)</w:t>
                            </w:r>
                          </w:p>
                        </w:tc>
                        <w:tc>
                          <w:tcPr>
                            <w:tcW w:w="1615" w:type="dxa"/>
                          </w:tcPr>
                          <w:p w:rsidR="003F5784" w14:paraId="3BEDA00A" w14:textId="77777777">
                            <w:pPr>
                              <w:pStyle w:val="TableParagraph"/>
                              <w:spacing w:before="0" w:line="213" w:lineRule="exact"/>
                              <w:ind w:right="128"/>
                              <w:rPr>
                                <w:sz w:val="21"/>
                              </w:rPr>
                            </w:pPr>
                            <w:r>
                              <w:rPr>
                                <w:spacing w:val="-2"/>
                                <w:sz w:val="21"/>
                              </w:rPr>
                              <w:t>excluded</w:t>
                            </w:r>
                          </w:p>
                        </w:tc>
                        <w:tc>
                          <w:tcPr>
                            <w:tcW w:w="1605" w:type="dxa"/>
                          </w:tcPr>
                          <w:p w:rsidR="003F5784" w14:paraId="26216638" w14:textId="77777777">
                            <w:pPr>
                              <w:pStyle w:val="TableParagraph"/>
                              <w:spacing w:before="0" w:line="213" w:lineRule="exact"/>
                              <w:ind w:right="120"/>
                              <w:rPr>
                                <w:sz w:val="21"/>
                              </w:rPr>
                            </w:pPr>
                            <w:r>
                              <w:rPr>
                                <w:spacing w:val="-2"/>
                                <w:sz w:val="21"/>
                              </w:rPr>
                              <w:t>excluded</w:t>
                            </w:r>
                          </w:p>
                        </w:tc>
                      </w:tr>
                    </w:tbl>
                    <w:p w:rsidR="003F5784" w14:paraId="4661F3FA" w14:textId="77777777">
                      <w:pPr>
                        <w:pStyle w:val="BodyText"/>
                      </w:pPr>
                    </w:p>
                  </w:txbxContent>
                </v:textbox>
              </v:shape>
            </w:pict>
          </mc:Fallback>
        </mc:AlternateContent>
      </w:r>
      <w:r>
        <w:rPr>
          <w:spacing w:val="-2"/>
        </w:rPr>
        <w:t>Jurisdiction</w:t>
      </w:r>
    </w:p>
    <w:tbl>
      <w:tblPr>
        <w:tblW w:w="0" w:type="auto"/>
        <w:tblInd w:w="482" w:type="dxa"/>
        <w:tblLayout w:type="fixed"/>
        <w:tblCellMar>
          <w:left w:w="0" w:type="dxa"/>
          <w:right w:w="0" w:type="dxa"/>
        </w:tblCellMar>
        <w:tblLook w:val="01E0"/>
      </w:tblPr>
      <w:tblGrid>
        <w:gridCol w:w="4918"/>
        <w:gridCol w:w="1350"/>
        <w:gridCol w:w="1530"/>
        <w:gridCol w:w="1800"/>
        <w:gridCol w:w="1170"/>
        <w:gridCol w:w="1614"/>
        <w:gridCol w:w="1626"/>
      </w:tblGrid>
      <w:tr w14:paraId="14AD9B14" w14:textId="77777777" w:rsidTr="00E3225D">
        <w:tblPrEx>
          <w:tblW w:w="0" w:type="auto"/>
          <w:tblInd w:w="482" w:type="dxa"/>
          <w:tblLayout w:type="fixed"/>
          <w:tblCellMar>
            <w:left w:w="0" w:type="dxa"/>
            <w:right w:w="0" w:type="dxa"/>
          </w:tblCellMar>
          <w:tblLook w:val="01E0"/>
        </w:tblPrEx>
        <w:trPr>
          <w:trHeight w:val="278"/>
        </w:trPr>
        <w:tc>
          <w:tcPr>
            <w:tcW w:w="4918" w:type="dxa"/>
            <w:tcBorders>
              <w:top w:val="single" w:sz="18" w:space="0" w:color="800000"/>
            </w:tcBorders>
          </w:tcPr>
          <w:p w:rsidR="003F5784" w14:paraId="1DD20A1E" w14:textId="77777777">
            <w:pPr>
              <w:pStyle w:val="TableParagraph"/>
              <w:spacing w:before="9"/>
              <w:ind w:left="120"/>
              <w:jc w:val="left"/>
              <w:rPr>
                <w:sz w:val="21"/>
              </w:rPr>
            </w:pPr>
            <w:r>
              <w:rPr>
                <w:sz w:val="21"/>
              </w:rPr>
              <w:t>North</w:t>
            </w:r>
            <w:r>
              <w:rPr>
                <w:spacing w:val="-12"/>
                <w:sz w:val="21"/>
              </w:rPr>
              <w:t xml:space="preserve"> </w:t>
            </w:r>
            <w:r>
              <w:rPr>
                <w:sz w:val="21"/>
              </w:rPr>
              <w:t>Carolina–Guilford</w:t>
            </w:r>
            <w:r>
              <w:rPr>
                <w:spacing w:val="-11"/>
                <w:sz w:val="21"/>
              </w:rPr>
              <w:t xml:space="preserve"> </w:t>
            </w:r>
            <w:r>
              <w:rPr>
                <w:spacing w:val="-2"/>
                <w:sz w:val="21"/>
              </w:rPr>
              <w:t>County</w:t>
            </w:r>
          </w:p>
        </w:tc>
        <w:tc>
          <w:tcPr>
            <w:tcW w:w="1350" w:type="dxa"/>
            <w:tcBorders>
              <w:top w:val="single" w:sz="18" w:space="0" w:color="800000"/>
            </w:tcBorders>
          </w:tcPr>
          <w:p w:rsidR="003F5784" w14:paraId="1DDAD6ED" w14:textId="77777777">
            <w:pPr>
              <w:pStyle w:val="TableParagraph"/>
              <w:spacing w:before="9"/>
              <w:ind w:left="425"/>
              <w:jc w:val="left"/>
              <w:rPr>
                <w:sz w:val="21"/>
              </w:rPr>
            </w:pPr>
            <w:r>
              <w:rPr>
                <w:spacing w:val="-2"/>
                <w:sz w:val="21"/>
              </w:rPr>
              <w:t>91.77</w:t>
            </w:r>
          </w:p>
        </w:tc>
        <w:tc>
          <w:tcPr>
            <w:tcW w:w="1530" w:type="dxa"/>
            <w:tcBorders>
              <w:top w:val="single" w:sz="18" w:space="0" w:color="800000"/>
            </w:tcBorders>
          </w:tcPr>
          <w:p w:rsidR="003F5784" w14:paraId="6F73F426" w14:textId="77777777">
            <w:pPr>
              <w:pStyle w:val="TableParagraph"/>
              <w:spacing w:before="9"/>
              <w:ind w:left="9" w:right="8"/>
              <w:jc w:val="center"/>
              <w:rPr>
                <w:sz w:val="21"/>
              </w:rPr>
            </w:pPr>
            <w:r>
              <w:rPr>
                <w:spacing w:val="-4"/>
                <w:sz w:val="21"/>
              </w:rPr>
              <w:t>1.61</w:t>
            </w:r>
          </w:p>
        </w:tc>
        <w:tc>
          <w:tcPr>
            <w:tcW w:w="1800" w:type="dxa"/>
            <w:tcBorders>
              <w:top w:val="single" w:sz="18" w:space="0" w:color="800000"/>
            </w:tcBorders>
          </w:tcPr>
          <w:p w:rsidR="003F5784" w14:paraId="4E6A3C88" w14:textId="77777777">
            <w:pPr>
              <w:pStyle w:val="TableParagraph"/>
              <w:spacing w:before="9"/>
              <w:ind w:right="422"/>
              <w:rPr>
                <w:sz w:val="21"/>
              </w:rPr>
            </w:pPr>
            <w:r>
              <w:rPr>
                <w:spacing w:val="-4"/>
                <w:sz w:val="21"/>
              </w:rPr>
              <w:t>0.21</w:t>
            </w:r>
          </w:p>
        </w:tc>
        <w:tc>
          <w:tcPr>
            <w:tcW w:w="1170" w:type="dxa"/>
            <w:tcBorders>
              <w:top w:val="single" w:sz="18" w:space="0" w:color="800000"/>
            </w:tcBorders>
          </w:tcPr>
          <w:p w:rsidR="003F5784" w14:paraId="5CA10871" w14:textId="77777777">
            <w:pPr>
              <w:pStyle w:val="TableParagraph"/>
              <w:spacing w:before="9"/>
              <w:ind w:left="2" w:right="199"/>
              <w:jc w:val="center"/>
              <w:rPr>
                <w:sz w:val="21"/>
              </w:rPr>
            </w:pPr>
            <w:r>
              <w:rPr>
                <w:spacing w:val="-2"/>
                <w:sz w:val="21"/>
              </w:rPr>
              <w:t>89.39</w:t>
            </w:r>
          </w:p>
        </w:tc>
        <w:tc>
          <w:tcPr>
            <w:tcW w:w="1614" w:type="dxa"/>
            <w:tcBorders>
              <w:top w:val="single" w:sz="18" w:space="0" w:color="800000"/>
            </w:tcBorders>
          </w:tcPr>
          <w:p w:rsidR="003F5784" w14:paraId="28CDCB7E" w14:textId="77777777">
            <w:pPr>
              <w:pStyle w:val="TableParagraph"/>
              <w:spacing w:before="9"/>
              <w:ind w:left="9" w:right="8"/>
              <w:jc w:val="center"/>
              <w:rPr>
                <w:sz w:val="21"/>
              </w:rPr>
            </w:pPr>
            <w:r>
              <w:rPr>
                <w:spacing w:val="-4"/>
                <w:sz w:val="21"/>
              </w:rPr>
              <w:t>0.92</w:t>
            </w:r>
          </w:p>
        </w:tc>
        <w:tc>
          <w:tcPr>
            <w:tcW w:w="1626" w:type="dxa"/>
            <w:tcBorders>
              <w:top w:val="single" w:sz="18" w:space="0" w:color="800000"/>
            </w:tcBorders>
          </w:tcPr>
          <w:p w:rsidR="003F5784" w14:paraId="7A045E96" w14:textId="77777777">
            <w:pPr>
              <w:pStyle w:val="TableParagraph"/>
              <w:spacing w:before="9"/>
              <w:ind w:right="116"/>
              <w:rPr>
                <w:sz w:val="21"/>
              </w:rPr>
            </w:pPr>
            <w:r>
              <w:rPr>
                <w:spacing w:val="-4"/>
                <w:sz w:val="21"/>
              </w:rPr>
              <w:t>0.18</w:t>
            </w:r>
          </w:p>
        </w:tc>
      </w:tr>
      <w:tr w14:paraId="377DB189"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63230809" w14:textId="77777777">
            <w:pPr>
              <w:pStyle w:val="TableParagraph"/>
              <w:ind w:left="120"/>
              <w:jc w:val="left"/>
              <w:rPr>
                <w:sz w:val="21"/>
              </w:rPr>
            </w:pPr>
            <w:r>
              <w:rPr>
                <w:sz w:val="21"/>
              </w:rPr>
              <w:t>North</w:t>
            </w:r>
            <w:r>
              <w:rPr>
                <w:spacing w:val="-6"/>
                <w:sz w:val="21"/>
              </w:rPr>
              <w:t xml:space="preserve"> </w:t>
            </w:r>
            <w:r>
              <w:rPr>
                <w:spacing w:val="-2"/>
                <w:sz w:val="21"/>
              </w:rPr>
              <w:t>Carolina</w:t>
            </w:r>
          </w:p>
        </w:tc>
        <w:tc>
          <w:tcPr>
            <w:tcW w:w="1350" w:type="dxa"/>
          </w:tcPr>
          <w:p w:rsidR="003F5784" w14:paraId="51F81CD5" w14:textId="77777777">
            <w:pPr>
              <w:pStyle w:val="TableParagraph"/>
              <w:ind w:left="432"/>
              <w:jc w:val="left"/>
              <w:rPr>
                <w:sz w:val="21"/>
              </w:rPr>
            </w:pPr>
            <w:r>
              <w:rPr>
                <w:spacing w:val="-2"/>
                <w:sz w:val="21"/>
              </w:rPr>
              <w:t>91.11</w:t>
            </w:r>
          </w:p>
        </w:tc>
        <w:tc>
          <w:tcPr>
            <w:tcW w:w="1530" w:type="dxa"/>
          </w:tcPr>
          <w:p w:rsidR="003F5784" w:rsidP="00E3225D" w14:paraId="3676EFDF" w14:textId="77777777">
            <w:pPr>
              <w:pStyle w:val="TableParagraph"/>
              <w:ind w:left="103" w:right="8" w:hanging="90"/>
              <w:jc w:val="center"/>
              <w:rPr>
                <w:sz w:val="21"/>
              </w:rPr>
            </w:pPr>
            <w:r>
              <w:rPr>
                <w:spacing w:val="-4"/>
                <w:sz w:val="21"/>
              </w:rPr>
              <w:t>1.33</w:t>
            </w:r>
          </w:p>
        </w:tc>
        <w:tc>
          <w:tcPr>
            <w:tcW w:w="1800" w:type="dxa"/>
          </w:tcPr>
          <w:p w:rsidR="003F5784" w14:paraId="0BDD0559" w14:textId="77777777">
            <w:pPr>
              <w:pStyle w:val="TableParagraph"/>
              <w:ind w:right="422"/>
              <w:rPr>
                <w:sz w:val="21"/>
              </w:rPr>
            </w:pPr>
            <w:r>
              <w:rPr>
                <w:spacing w:val="-4"/>
                <w:sz w:val="21"/>
              </w:rPr>
              <w:t>0.58</w:t>
            </w:r>
          </w:p>
        </w:tc>
        <w:tc>
          <w:tcPr>
            <w:tcW w:w="1170" w:type="dxa"/>
          </w:tcPr>
          <w:p w:rsidR="003F5784" w14:paraId="3922D7D0" w14:textId="77777777">
            <w:pPr>
              <w:pStyle w:val="TableParagraph"/>
              <w:ind w:left="2" w:right="199"/>
              <w:jc w:val="center"/>
              <w:rPr>
                <w:sz w:val="21"/>
              </w:rPr>
            </w:pPr>
            <w:r>
              <w:rPr>
                <w:spacing w:val="-2"/>
                <w:sz w:val="21"/>
              </w:rPr>
              <w:t>89.15</w:t>
            </w:r>
          </w:p>
        </w:tc>
        <w:tc>
          <w:tcPr>
            <w:tcW w:w="1614" w:type="dxa"/>
          </w:tcPr>
          <w:p w:rsidR="003F5784" w14:paraId="08BE0E0C" w14:textId="77777777">
            <w:pPr>
              <w:pStyle w:val="TableParagraph"/>
              <w:ind w:left="9" w:right="8"/>
              <w:jc w:val="center"/>
              <w:rPr>
                <w:sz w:val="21"/>
              </w:rPr>
            </w:pPr>
            <w:r>
              <w:rPr>
                <w:spacing w:val="-4"/>
                <w:sz w:val="21"/>
              </w:rPr>
              <w:t>1.47</w:t>
            </w:r>
          </w:p>
        </w:tc>
        <w:tc>
          <w:tcPr>
            <w:tcW w:w="1626" w:type="dxa"/>
          </w:tcPr>
          <w:p w:rsidR="003F5784" w14:paraId="7E2DA0C5" w14:textId="77777777">
            <w:pPr>
              <w:pStyle w:val="TableParagraph"/>
              <w:ind w:right="116"/>
              <w:rPr>
                <w:sz w:val="21"/>
              </w:rPr>
            </w:pPr>
            <w:r>
              <w:rPr>
                <w:spacing w:val="-4"/>
                <w:sz w:val="21"/>
              </w:rPr>
              <w:t>0.54</w:t>
            </w:r>
          </w:p>
        </w:tc>
      </w:tr>
      <w:tr w14:paraId="5CCF1189"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6C1093EF" w14:textId="77777777">
            <w:pPr>
              <w:pStyle w:val="TableParagraph"/>
              <w:ind w:left="120"/>
              <w:jc w:val="left"/>
              <w:rPr>
                <w:sz w:val="21"/>
              </w:rPr>
            </w:pPr>
            <w:r>
              <w:rPr>
                <w:sz w:val="21"/>
              </w:rPr>
              <w:t>North</w:t>
            </w:r>
            <w:r>
              <w:rPr>
                <w:spacing w:val="-6"/>
                <w:sz w:val="21"/>
              </w:rPr>
              <w:t xml:space="preserve"> </w:t>
            </w:r>
            <w:r>
              <w:rPr>
                <w:spacing w:val="-2"/>
                <w:sz w:val="21"/>
              </w:rPr>
              <w:t>Dakota</w:t>
            </w:r>
          </w:p>
        </w:tc>
        <w:tc>
          <w:tcPr>
            <w:tcW w:w="1350" w:type="dxa"/>
          </w:tcPr>
          <w:p w:rsidR="003F5784" w14:paraId="53081662" w14:textId="77777777">
            <w:pPr>
              <w:pStyle w:val="TableParagraph"/>
              <w:ind w:left="425"/>
              <w:jc w:val="left"/>
              <w:rPr>
                <w:sz w:val="21"/>
              </w:rPr>
            </w:pPr>
            <w:r>
              <w:rPr>
                <w:spacing w:val="-2"/>
                <w:sz w:val="21"/>
              </w:rPr>
              <w:t>91.16</w:t>
            </w:r>
          </w:p>
        </w:tc>
        <w:tc>
          <w:tcPr>
            <w:tcW w:w="1530" w:type="dxa"/>
          </w:tcPr>
          <w:p w:rsidR="003F5784" w14:paraId="784F906E" w14:textId="77777777">
            <w:pPr>
              <w:pStyle w:val="TableParagraph"/>
              <w:ind w:left="9" w:right="8"/>
              <w:jc w:val="center"/>
              <w:rPr>
                <w:sz w:val="21"/>
              </w:rPr>
            </w:pPr>
            <w:r>
              <w:rPr>
                <w:spacing w:val="-4"/>
                <w:sz w:val="21"/>
              </w:rPr>
              <w:t>1.52</w:t>
            </w:r>
          </w:p>
        </w:tc>
        <w:tc>
          <w:tcPr>
            <w:tcW w:w="1800" w:type="dxa"/>
          </w:tcPr>
          <w:p w:rsidR="003F5784" w14:paraId="1F64BC35" w14:textId="77777777">
            <w:pPr>
              <w:pStyle w:val="TableParagraph"/>
              <w:ind w:right="422"/>
              <w:rPr>
                <w:sz w:val="21"/>
              </w:rPr>
            </w:pPr>
            <w:r>
              <w:rPr>
                <w:spacing w:val="-4"/>
                <w:sz w:val="21"/>
              </w:rPr>
              <w:t>0.23</w:t>
            </w:r>
          </w:p>
        </w:tc>
        <w:tc>
          <w:tcPr>
            <w:tcW w:w="1170" w:type="dxa"/>
          </w:tcPr>
          <w:p w:rsidR="003F5784" w14:paraId="7694F49F" w14:textId="77777777">
            <w:pPr>
              <w:pStyle w:val="TableParagraph"/>
              <w:ind w:left="2" w:right="199"/>
              <w:jc w:val="center"/>
              <w:rPr>
                <w:sz w:val="21"/>
              </w:rPr>
            </w:pPr>
            <w:r>
              <w:rPr>
                <w:spacing w:val="-2"/>
                <w:sz w:val="21"/>
              </w:rPr>
              <w:t>88.82</w:t>
            </w:r>
          </w:p>
        </w:tc>
        <w:tc>
          <w:tcPr>
            <w:tcW w:w="1614" w:type="dxa"/>
          </w:tcPr>
          <w:p w:rsidR="003F5784" w14:paraId="4B7980E1" w14:textId="77777777">
            <w:pPr>
              <w:pStyle w:val="TableParagraph"/>
              <w:ind w:left="9" w:right="8"/>
              <w:jc w:val="center"/>
              <w:rPr>
                <w:sz w:val="21"/>
              </w:rPr>
            </w:pPr>
            <w:r>
              <w:rPr>
                <w:spacing w:val="-4"/>
                <w:sz w:val="21"/>
              </w:rPr>
              <w:t>1.37</w:t>
            </w:r>
          </w:p>
        </w:tc>
        <w:tc>
          <w:tcPr>
            <w:tcW w:w="1626" w:type="dxa"/>
          </w:tcPr>
          <w:p w:rsidR="003F5784" w14:paraId="0F52212A" w14:textId="77777777">
            <w:pPr>
              <w:pStyle w:val="TableParagraph"/>
              <w:ind w:right="116"/>
              <w:rPr>
                <w:sz w:val="21"/>
              </w:rPr>
            </w:pPr>
            <w:r>
              <w:rPr>
                <w:spacing w:val="-4"/>
                <w:sz w:val="21"/>
              </w:rPr>
              <w:t>0.22</w:t>
            </w:r>
          </w:p>
        </w:tc>
      </w:tr>
      <w:tr w14:paraId="6A92ECD3"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0EE0A757" w14:textId="77777777">
            <w:pPr>
              <w:pStyle w:val="TableParagraph"/>
              <w:ind w:left="120"/>
              <w:jc w:val="left"/>
              <w:rPr>
                <w:sz w:val="21"/>
              </w:rPr>
            </w:pPr>
            <w:r>
              <w:rPr>
                <w:spacing w:val="-2"/>
                <w:sz w:val="21"/>
              </w:rPr>
              <w:t>Ohio–Cleveland</w:t>
            </w:r>
          </w:p>
        </w:tc>
        <w:tc>
          <w:tcPr>
            <w:tcW w:w="1350" w:type="dxa"/>
          </w:tcPr>
          <w:p w:rsidR="003F5784" w14:paraId="5B805DAA" w14:textId="77777777">
            <w:pPr>
              <w:pStyle w:val="TableParagraph"/>
              <w:ind w:left="425"/>
              <w:jc w:val="left"/>
              <w:rPr>
                <w:sz w:val="21"/>
              </w:rPr>
            </w:pPr>
            <w:r>
              <w:rPr>
                <w:spacing w:val="-2"/>
                <w:sz w:val="21"/>
              </w:rPr>
              <w:t>87.53</w:t>
            </w:r>
          </w:p>
        </w:tc>
        <w:tc>
          <w:tcPr>
            <w:tcW w:w="1530" w:type="dxa"/>
          </w:tcPr>
          <w:p w:rsidR="003F5784" w14:paraId="66963146" w14:textId="77777777">
            <w:pPr>
              <w:pStyle w:val="TableParagraph"/>
              <w:ind w:left="9" w:right="8"/>
              <w:jc w:val="center"/>
              <w:rPr>
                <w:sz w:val="21"/>
              </w:rPr>
            </w:pPr>
            <w:r>
              <w:rPr>
                <w:spacing w:val="-4"/>
                <w:sz w:val="21"/>
              </w:rPr>
              <w:t>1.84</w:t>
            </w:r>
          </w:p>
        </w:tc>
        <w:tc>
          <w:tcPr>
            <w:tcW w:w="1800" w:type="dxa"/>
          </w:tcPr>
          <w:p w:rsidR="003F5784" w14:paraId="2AED4790" w14:textId="77777777">
            <w:pPr>
              <w:pStyle w:val="TableParagraph"/>
              <w:ind w:right="422"/>
              <w:rPr>
                <w:sz w:val="21"/>
              </w:rPr>
            </w:pPr>
            <w:r>
              <w:rPr>
                <w:spacing w:val="-4"/>
                <w:sz w:val="21"/>
              </w:rPr>
              <w:t>0.40</w:t>
            </w:r>
          </w:p>
        </w:tc>
        <w:tc>
          <w:tcPr>
            <w:tcW w:w="1170" w:type="dxa"/>
          </w:tcPr>
          <w:p w:rsidR="003F5784" w14:paraId="6BDF1FD3" w14:textId="77777777">
            <w:pPr>
              <w:pStyle w:val="TableParagraph"/>
              <w:ind w:left="2" w:right="199"/>
              <w:jc w:val="center"/>
              <w:rPr>
                <w:sz w:val="21"/>
              </w:rPr>
            </w:pPr>
            <w:r>
              <w:rPr>
                <w:spacing w:val="-2"/>
                <w:sz w:val="21"/>
              </w:rPr>
              <w:t>89.60</w:t>
            </w:r>
          </w:p>
        </w:tc>
        <w:tc>
          <w:tcPr>
            <w:tcW w:w="1614" w:type="dxa"/>
          </w:tcPr>
          <w:p w:rsidR="003F5784" w14:paraId="69D4CA8D" w14:textId="77777777">
            <w:pPr>
              <w:pStyle w:val="TableParagraph"/>
              <w:ind w:left="9" w:right="8"/>
              <w:jc w:val="center"/>
              <w:rPr>
                <w:sz w:val="21"/>
              </w:rPr>
            </w:pPr>
            <w:r>
              <w:rPr>
                <w:spacing w:val="-4"/>
                <w:sz w:val="21"/>
              </w:rPr>
              <w:t>2.72</w:t>
            </w:r>
          </w:p>
        </w:tc>
        <w:tc>
          <w:tcPr>
            <w:tcW w:w="1626" w:type="dxa"/>
          </w:tcPr>
          <w:p w:rsidR="003F5784" w14:paraId="236B6874" w14:textId="77777777">
            <w:pPr>
              <w:pStyle w:val="TableParagraph"/>
              <w:ind w:right="116"/>
              <w:rPr>
                <w:sz w:val="21"/>
              </w:rPr>
            </w:pPr>
            <w:r>
              <w:rPr>
                <w:spacing w:val="-4"/>
                <w:sz w:val="21"/>
              </w:rPr>
              <w:t>1.44</w:t>
            </w:r>
          </w:p>
        </w:tc>
      </w:tr>
      <w:tr w14:paraId="5EFDADC0"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21944DD2" w14:textId="77777777">
            <w:pPr>
              <w:pStyle w:val="TableParagraph"/>
              <w:ind w:left="120"/>
              <w:jc w:val="left"/>
              <w:rPr>
                <w:sz w:val="21"/>
              </w:rPr>
            </w:pPr>
            <w:r>
              <w:rPr>
                <w:spacing w:val="-4"/>
                <w:sz w:val="21"/>
              </w:rPr>
              <w:t>Ohio</w:t>
            </w:r>
          </w:p>
        </w:tc>
        <w:tc>
          <w:tcPr>
            <w:tcW w:w="1350" w:type="dxa"/>
          </w:tcPr>
          <w:p w:rsidR="003F5784" w14:paraId="517A2BBB" w14:textId="77777777">
            <w:pPr>
              <w:pStyle w:val="TableParagraph"/>
              <w:ind w:left="425"/>
              <w:jc w:val="left"/>
              <w:rPr>
                <w:sz w:val="21"/>
              </w:rPr>
            </w:pPr>
            <w:r>
              <w:rPr>
                <w:spacing w:val="-2"/>
                <w:sz w:val="21"/>
              </w:rPr>
              <w:t>92.35</w:t>
            </w:r>
          </w:p>
        </w:tc>
        <w:tc>
          <w:tcPr>
            <w:tcW w:w="1530" w:type="dxa"/>
          </w:tcPr>
          <w:p w:rsidR="003F5784" w14:paraId="56EC98D9" w14:textId="77777777">
            <w:pPr>
              <w:pStyle w:val="TableParagraph"/>
              <w:ind w:left="9" w:right="8"/>
              <w:jc w:val="center"/>
              <w:rPr>
                <w:sz w:val="21"/>
              </w:rPr>
            </w:pPr>
            <w:r>
              <w:rPr>
                <w:spacing w:val="-4"/>
                <w:sz w:val="21"/>
              </w:rPr>
              <w:t>2.03</w:t>
            </w:r>
          </w:p>
        </w:tc>
        <w:tc>
          <w:tcPr>
            <w:tcW w:w="1800" w:type="dxa"/>
          </w:tcPr>
          <w:p w:rsidR="003F5784" w14:paraId="4DB09698" w14:textId="77777777">
            <w:pPr>
              <w:pStyle w:val="TableParagraph"/>
              <w:ind w:right="422"/>
              <w:rPr>
                <w:sz w:val="21"/>
              </w:rPr>
            </w:pPr>
            <w:r>
              <w:rPr>
                <w:spacing w:val="-4"/>
                <w:sz w:val="21"/>
              </w:rPr>
              <w:t>0.43</w:t>
            </w:r>
          </w:p>
        </w:tc>
        <w:tc>
          <w:tcPr>
            <w:tcW w:w="1170" w:type="dxa"/>
          </w:tcPr>
          <w:p w:rsidR="003F5784" w14:paraId="0A8E364A" w14:textId="77777777">
            <w:pPr>
              <w:pStyle w:val="TableParagraph"/>
              <w:ind w:left="2" w:right="199"/>
              <w:jc w:val="center"/>
              <w:rPr>
                <w:sz w:val="21"/>
              </w:rPr>
            </w:pPr>
            <w:r>
              <w:rPr>
                <w:spacing w:val="-2"/>
                <w:sz w:val="21"/>
              </w:rPr>
              <w:t>89.39</w:t>
            </w:r>
          </w:p>
        </w:tc>
        <w:tc>
          <w:tcPr>
            <w:tcW w:w="1614" w:type="dxa"/>
          </w:tcPr>
          <w:p w:rsidR="003F5784" w14:paraId="0CC56C09" w14:textId="77777777">
            <w:pPr>
              <w:pStyle w:val="TableParagraph"/>
              <w:ind w:left="9" w:right="8"/>
              <w:jc w:val="center"/>
              <w:rPr>
                <w:sz w:val="21"/>
              </w:rPr>
            </w:pPr>
            <w:r>
              <w:rPr>
                <w:spacing w:val="-4"/>
                <w:sz w:val="21"/>
              </w:rPr>
              <w:t>1.02</w:t>
            </w:r>
          </w:p>
        </w:tc>
        <w:tc>
          <w:tcPr>
            <w:tcW w:w="1626" w:type="dxa"/>
          </w:tcPr>
          <w:p w:rsidR="003F5784" w14:paraId="0CCE3CC3" w14:textId="77777777">
            <w:pPr>
              <w:pStyle w:val="TableParagraph"/>
              <w:ind w:right="116"/>
              <w:rPr>
                <w:sz w:val="21"/>
              </w:rPr>
            </w:pPr>
            <w:r>
              <w:rPr>
                <w:spacing w:val="-4"/>
                <w:sz w:val="21"/>
              </w:rPr>
              <w:t>0.47</w:t>
            </w:r>
          </w:p>
        </w:tc>
      </w:tr>
      <w:tr w14:paraId="371E75DF"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44FF7F55" w14:textId="77777777">
            <w:pPr>
              <w:pStyle w:val="TableParagraph"/>
              <w:ind w:left="120"/>
              <w:jc w:val="left"/>
              <w:rPr>
                <w:sz w:val="21"/>
              </w:rPr>
            </w:pPr>
            <w:r>
              <w:rPr>
                <w:spacing w:val="-2"/>
                <w:sz w:val="21"/>
              </w:rPr>
              <w:t>Oklahoma</w:t>
            </w:r>
          </w:p>
        </w:tc>
        <w:tc>
          <w:tcPr>
            <w:tcW w:w="1350" w:type="dxa"/>
          </w:tcPr>
          <w:p w:rsidR="003F5784" w14:paraId="18C4BEE4" w14:textId="77777777">
            <w:pPr>
              <w:pStyle w:val="TableParagraph"/>
              <w:ind w:left="425"/>
              <w:jc w:val="left"/>
              <w:rPr>
                <w:sz w:val="21"/>
              </w:rPr>
            </w:pPr>
            <w:r>
              <w:rPr>
                <w:spacing w:val="-2"/>
                <w:sz w:val="21"/>
              </w:rPr>
              <w:t>92.40</w:t>
            </w:r>
          </w:p>
        </w:tc>
        <w:tc>
          <w:tcPr>
            <w:tcW w:w="1530" w:type="dxa"/>
          </w:tcPr>
          <w:p w:rsidR="003F5784" w14:paraId="4EDBF097" w14:textId="77777777">
            <w:pPr>
              <w:pStyle w:val="TableParagraph"/>
              <w:ind w:left="9" w:right="8"/>
              <w:jc w:val="center"/>
              <w:rPr>
                <w:sz w:val="21"/>
              </w:rPr>
            </w:pPr>
            <w:r>
              <w:rPr>
                <w:spacing w:val="-4"/>
                <w:sz w:val="21"/>
              </w:rPr>
              <w:t>1.50</w:t>
            </w:r>
          </w:p>
        </w:tc>
        <w:tc>
          <w:tcPr>
            <w:tcW w:w="1800" w:type="dxa"/>
          </w:tcPr>
          <w:p w:rsidR="003F5784" w14:paraId="66A9C0CC" w14:textId="77777777">
            <w:pPr>
              <w:pStyle w:val="TableParagraph"/>
              <w:ind w:right="422"/>
              <w:rPr>
                <w:sz w:val="21"/>
              </w:rPr>
            </w:pPr>
            <w:r>
              <w:rPr>
                <w:spacing w:val="-4"/>
                <w:sz w:val="21"/>
              </w:rPr>
              <w:t>0.35</w:t>
            </w:r>
          </w:p>
        </w:tc>
        <w:tc>
          <w:tcPr>
            <w:tcW w:w="1170" w:type="dxa"/>
          </w:tcPr>
          <w:p w:rsidR="003F5784" w14:paraId="19563A30" w14:textId="77777777">
            <w:pPr>
              <w:pStyle w:val="TableParagraph"/>
              <w:ind w:left="2" w:right="199"/>
              <w:jc w:val="center"/>
              <w:rPr>
                <w:sz w:val="21"/>
              </w:rPr>
            </w:pPr>
            <w:r>
              <w:rPr>
                <w:spacing w:val="-2"/>
                <w:sz w:val="21"/>
              </w:rPr>
              <w:t>92.72</w:t>
            </w:r>
          </w:p>
        </w:tc>
        <w:tc>
          <w:tcPr>
            <w:tcW w:w="1614" w:type="dxa"/>
          </w:tcPr>
          <w:p w:rsidR="003F5784" w14:paraId="1C030261" w14:textId="77777777">
            <w:pPr>
              <w:pStyle w:val="TableParagraph"/>
              <w:ind w:left="9" w:right="8"/>
              <w:jc w:val="center"/>
              <w:rPr>
                <w:sz w:val="21"/>
              </w:rPr>
            </w:pPr>
            <w:r>
              <w:rPr>
                <w:spacing w:val="-4"/>
                <w:sz w:val="21"/>
              </w:rPr>
              <w:t>2.02</w:t>
            </w:r>
          </w:p>
        </w:tc>
        <w:tc>
          <w:tcPr>
            <w:tcW w:w="1626" w:type="dxa"/>
          </w:tcPr>
          <w:p w:rsidR="003F5784" w14:paraId="3A7F0CE5" w14:textId="77777777">
            <w:pPr>
              <w:pStyle w:val="TableParagraph"/>
              <w:ind w:right="116"/>
              <w:rPr>
                <w:sz w:val="21"/>
              </w:rPr>
            </w:pPr>
            <w:r>
              <w:rPr>
                <w:spacing w:val="-4"/>
                <w:sz w:val="21"/>
              </w:rPr>
              <w:t>0.72</w:t>
            </w:r>
          </w:p>
        </w:tc>
      </w:tr>
      <w:tr w14:paraId="7F738128"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269CCD32" w14:textId="77777777">
            <w:pPr>
              <w:pStyle w:val="TableParagraph"/>
              <w:ind w:left="120"/>
              <w:jc w:val="left"/>
              <w:rPr>
                <w:sz w:val="21"/>
              </w:rPr>
            </w:pPr>
            <w:r>
              <w:rPr>
                <w:spacing w:val="-2"/>
                <w:sz w:val="21"/>
              </w:rPr>
              <w:t>Oregon</w:t>
            </w:r>
          </w:p>
        </w:tc>
        <w:tc>
          <w:tcPr>
            <w:tcW w:w="1350" w:type="dxa"/>
          </w:tcPr>
          <w:p w:rsidR="003F5784" w14:paraId="6878C131" w14:textId="77777777">
            <w:pPr>
              <w:pStyle w:val="TableParagraph"/>
              <w:ind w:left="425"/>
              <w:jc w:val="left"/>
              <w:rPr>
                <w:sz w:val="21"/>
              </w:rPr>
            </w:pPr>
            <w:r>
              <w:rPr>
                <w:spacing w:val="-2"/>
                <w:sz w:val="21"/>
              </w:rPr>
              <w:t>89.66</w:t>
            </w:r>
          </w:p>
        </w:tc>
        <w:tc>
          <w:tcPr>
            <w:tcW w:w="1530" w:type="dxa"/>
          </w:tcPr>
          <w:p w:rsidR="003F5784" w14:paraId="7B986052" w14:textId="77777777">
            <w:pPr>
              <w:pStyle w:val="TableParagraph"/>
              <w:ind w:left="9" w:right="8"/>
              <w:jc w:val="center"/>
              <w:rPr>
                <w:sz w:val="21"/>
              </w:rPr>
            </w:pPr>
            <w:r>
              <w:rPr>
                <w:spacing w:val="-4"/>
                <w:sz w:val="21"/>
              </w:rPr>
              <w:t>1.70</w:t>
            </w:r>
          </w:p>
        </w:tc>
        <w:tc>
          <w:tcPr>
            <w:tcW w:w="1800" w:type="dxa"/>
          </w:tcPr>
          <w:p w:rsidR="003F5784" w14:paraId="1FB41CBB" w14:textId="77777777">
            <w:pPr>
              <w:pStyle w:val="TableParagraph"/>
              <w:ind w:right="422"/>
              <w:rPr>
                <w:sz w:val="21"/>
              </w:rPr>
            </w:pPr>
            <w:r>
              <w:rPr>
                <w:spacing w:val="-4"/>
                <w:sz w:val="21"/>
              </w:rPr>
              <w:t>0.47</w:t>
            </w:r>
          </w:p>
        </w:tc>
        <w:tc>
          <w:tcPr>
            <w:tcW w:w="1170" w:type="dxa"/>
          </w:tcPr>
          <w:p w:rsidR="003F5784" w14:paraId="5BBEFDFC" w14:textId="77777777">
            <w:pPr>
              <w:pStyle w:val="TableParagraph"/>
              <w:ind w:left="2" w:right="199"/>
              <w:jc w:val="center"/>
              <w:rPr>
                <w:sz w:val="21"/>
              </w:rPr>
            </w:pPr>
            <w:r>
              <w:rPr>
                <w:spacing w:val="-2"/>
                <w:sz w:val="21"/>
              </w:rPr>
              <w:t>85.28</w:t>
            </w:r>
          </w:p>
        </w:tc>
        <w:tc>
          <w:tcPr>
            <w:tcW w:w="1614" w:type="dxa"/>
          </w:tcPr>
          <w:p w:rsidR="003F5784" w14:paraId="49229466" w14:textId="77777777">
            <w:pPr>
              <w:pStyle w:val="TableParagraph"/>
              <w:ind w:left="9" w:right="8"/>
              <w:jc w:val="center"/>
              <w:rPr>
                <w:sz w:val="21"/>
              </w:rPr>
            </w:pPr>
            <w:r>
              <w:rPr>
                <w:spacing w:val="-4"/>
                <w:sz w:val="21"/>
              </w:rPr>
              <w:t>0.80</w:t>
            </w:r>
          </w:p>
        </w:tc>
        <w:tc>
          <w:tcPr>
            <w:tcW w:w="1626" w:type="dxa"/>
          </w:tcPr>
          <w:p w:rsidR="003F5784" w14:paraId="4EA3DD74" w14:textId="77777777">
            <w:pPr>
              <w:pStyle w:val="TableParagraph"/>
              <w:ind w:right="116"/>
              <w:rPr>
                <w:sz w:val="21"/>
              </w:rPr>
            </w:pPr>
            <w:r>
              <w:rPr>
                <w:spacing w:val="-4"/>
                <w:sz w:val="21"/>
              </w:rPr>
              <w:t>0.38</w:t>
            </w:r>
          </w:p>
        </w:tc>
      </w:tr>
      <w:tr w14:paraId="4EBB26BF"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0D2EC974" w14:textId="77777777">
            <w:pPr>
              <w:pStyle w:val="TableParagraph"/>
              <w:ind w:left="120"/>
              <w:jc w:val="left"/>
              <w:rPr>
                <w:sz w:val="21"/>
              </w:rPr>
            </w:pPr>
            <w:r>
              <w:rPr>
                <w:spacing w:val="-2"/>
                <w:sz w:val="21"/>
              </w:rPr>
              <w:t>Pennsylvania–Philadelphia</w:t>
            </w:r>
          </w:p>
        </w:tc>
        <w:tc>
          <w:tcPr>
            <w:tcW w:w="1350" w:type="dxa"/>
          </w:tcPr>
          <w:p w:rsidR="003F5784" w14:paraId="56F32C99" w14:textId="77777777">
            <w:pPr>
              <w:pStyle w:val="TableParagraph"/>
              <w:ind w:left="425"/>
              <w:jc w:val="left"/>
              <w:rPr>
                <w:sz w:val="21"/>
              </w:rPr>
            </w:pPr>
            <w:r>
              <w:rPr>
                <w:spacing w:val="-2"/>
                <w:sz w:val="21"/>
              </w:rPr>
              <w:t>93.38</w:t>
            </w:r>
          </w:p>
        </w:tc>
        <w:tc>
          <w:tcPr>
            <w:tcW w:w="1530" w:type="dxa"/>
          </w:tcPr>
          <w:p w:rsidR="003F5784" w14:paraId="4A02D208" w14:textId="77777777">
            <w:pPr>
              <w:pStyle w:val="TableParagraph"/>
              <w:ind w:left="9" w:right="8"/>
              <w:jc w:val="center"/>
              <w:rPr>
                <w:sz w:val="21"/>
              </w:rPr>
            </w:pPr>
            <w:r>
              <w:rPr>
                <w:spacing w:val="-4"/>
                <w:sz w:val="21"/>
              </w:rPr>
              <w:t>4.10</w:t>
            </w:r>
          </w:p>
        </w:tc>
        <w:tc>
          <w:tcPr>
            <w:tcW w:w="1800" w:type="dxa"/>
          </w:tcPr>
          <w:p w:rsidR="003F5784" w14:paraId="69405EAF" w14:textId="77777777">
            <w:pPr>
              <w:pStyle w:val="TableParagraph"/>
              <w:ind w:right="422"/>
              <w:rPr>
                <w:sz w:val="21"/>
              </w:rPr>
            </w:pPr>
            <w:r>
              <w:rPr>
                <w:spacing w:val="-4"/>
                <w:sz w:val="21"/>
              </w:rPr>
              <w:t>3.05</w:t>
            </w:r>
          </w:p>
        </w:tc>
        <w:tc>
          <w:tcPr>
            <w:tcW w:w="1170" w:type="dxa"/>
          </w:tcPr>
          <w:p w:rsidR="003F5784" w14:paraId="657D6159" w14:textId="77777777">
            <w:pPr>
              <w:pStyle w:val="TableParagraph"/>
              <w:ind w:left="2" w:right="199"/>
              <w:jc w:val="center"/>
              <w:rPr>
                <w:sz w:val="21"/>
              </w:rPr>
            </w:pPr>
            <w:r>
              <w:rPr>
                <w:spacing w:val="-2"/>
                <w:sz w:val="21"/>
              </w:rPr>
              <w:t>88.26</w:t>
            </w:r>
          </w:p>
        </w:tc>
        <w:tc>
          <w:tcPr>
            <w:tcW w:w="1614" w:type="dxa"/>
          </w:tcPr>
          <w:p w:rsidR="003F5784" w14:paraId="160C8440" w14:textId="77777777">
            <w:pPr>
              <w:pStyle w:val="TableParagraph"/>
              <w:ind w:left="9" w:right="8"/>
              <w:jc w:val="center"/>
              <w:rPr>
                <w:sz w:val="21"/>
              </w:rPr>
            </w:pPr>
            <w:r>
              <w:rPr>
                <w:spacing w:val="-4"/>
                <w:sz w:val="21"/>
              </w:rPr>
              <w:t>3.26</w:t>
            </w:r>
          </w:p>
        </w:tc>
        <w:tc>
          <w:tcPr>
            <w:tcW w:w="1626" w:type="dxa"/>
          </w:tcPr>
          <w:p w:rsidR="003F5784" w14:paraId="793A5AD2" w14:textId="77777777">
            <w:pPr>
              <w:pStyle w:val="TableParagraph"/>
              <w:ind w:right="116"/>
              <w:rPr>
                <w:sz w:val="21"/>
              </w:rPr>
            </w:pPr>
            <w:r>
              <w:rPr>
                <w:spacing w:val="-4"/>
                <w:sz w:val="21"/>
              </w:rPr>
              <w:t>2.24</w:t>
            </w:r>
          </w:p>
        </w:tc>
      </w:tr>
      <w:tr w14:paraId="74F74FEF"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7CCA3BFC" w14:textId="77777777">
            <w:pPr>
              <w:pStyle w:val="TableParagraph"/>
              <w:ind w:left="120"/>
              <w:jc w:val="left"/>
              <w:rPr>
                <w:sz w:val="21"/>
              </w:rPr>
            </w:pPr>
            <w:r>
              <w:rPr>
                <w:spacing w:val="-2"/>
                <w:sz w:val="21"/>
              </w:rPr>
              <w:t>Pennsylvania</w:t>
            </w:r>
          </w:p>
        </w:tc>
        <w:tc>
          <w:tcPr>
            <w:tcW w:w="1350" w:type="dxa"/>
          </w:tcPr>
          <w:p w:rsidR="003F5784" w14:paraId="756C2123" w14:textId="77777777">
            <w:pPr>
              <w:pStyle w:val="TableParagraph"/>
              <w:ind w:left="425"/>
              <w:jc w:val="left"/>
              <w:rPr>
                <w:sz w:val="21"/>
              </w:rPr>
            </w:pPr>
            <w:r>
              <w:rPr>
                <w:spacing w:val="-2"/>
                <w:sz w:val="21"/>
              </w:rPr>
              <w:t>91.83</w:t>
            </w:r>
          </w:p>
        </w:tc>
        <w:tc>
          <w:tcPr>
            <w:tcW w:w="1530" w:type="dxa"/>
          </w:tcPr>
          <w:p w:rsidR="003F5784" w14:paraId="50403FD0" w14:textId="77777777">
            <w:pPr>
              <w:pStyle w:val="TableParagraph"/>
              <w:ind w:left="9" w:right="8"/>
              <w:jc w:val="center"/>
              <w:rPr>
                <w:sz w:val="21"/>
              </w:rPr>
            </w:pPr>
            <w:r>
              <w:rPr>
                <w:spacing w:val="-4"/>
                <w:sz w:val="21"/>
              </w:rPr>
              <w:t>1.67</w:t>
            </w:r>
          </w:p>
        </w:tc>
        <w:tc>
          <w:tcPr>
            <w:tcW w:w="1800" w:type="dxa"/>
          </w:tcPr>
          <w:p w:rsidR="003F5784" w14:paraId="4BDCF164" w14:textId="77777777">
            <w:pPr>
              <w:pStyle w:val="TableParagraph"/>
              <w:ind w:right="422"/>
              <w:rPr>
                <w:sz w:val="21"/>
              </w:rPr>
            </w:pPr>
            <w:r>
              <w:rPr>
                <w:spacing w:val="-4"/>
                <w:sz w:val="21"/>
              </w:rPr>
              <w:t>0.59</w:t>
            </w:r>
          </w:p>
        </w:tc>
        <w:tc>
          <w:tcPr>
            <w:tcW w:w="1170" w:type="dxa"/>
          </w:tcPr>
          <w:p w:rsidR="003F5784" w14:paraId="76257991" w14:textId="77777777">
            <w:pPr>
              <w:pStyle w:val="TableParagraph"/>
              <w:ind w:left="2" w:right="199"/>
              <w:jc w:val="center"/>
              <w:rPr>
                <w:sz w:val="21"/>
              </w:rPr>
            </w:pPr>
            <w:r>
              <w:rPr>
                <w:spacing w:val="-2"/>
                <w:sz w:val="21"/>
              </w:rPr>
              <w:t>89.13</w:t>
            </w:r>
          </w:p>
        </w:tc>
        <w:tc>
          <w:tcPr>
            <w:tcW w:w="1614" w:type="dxa"/>
          </w:tcPr>
          <w:p w:rsidR="003F5784" w14:paraId="16B5B3A1" w14:textId="77777777">
            <w:pPr>
              <w:pStyle w:val="TableParagraph"/>
              <w:ind w:left="9" w:right="8"/>
              <w:jc w:val="center"/>
              <w:rPr>
                <w:sz w:val="21"/>
              </w:rPr>
            </w:pPr>
            <w:r>
              <w:rPr>
                <w:spacing w:val="-4"/>
                <w:sz w:val="21"/>
              </w:rPr>
              <w:t>1.34</w:t>
            </w:r>
          </w:p>
        </w:tc>
        <w:tc>
          <w:tcPr>
            <w:tcW w:w="1626" w:type="dxa"/>
          </w:tcPr>
          <w:p w:rsidR="003F5784" w14:paraId="53B8D605" w14:textId="77777777">
            <w:pPr>
              <w:pStyle w:val="TableParagraph"/>
              <w:ind w:right="116"/>
              <w:rPr>
                <w:sz w:val="21"/>
              </w:rPr>
            </w:pPr>
            <w:r>
              <w:rPr>
                <w:spacing w:val="-4"/>
                <w:sz w:val="21"/>
              </w:rPr>
              <w:t>0.51</w:t>
            </w:r>
          </w:p>
        </w:tc>
      </w:tr>
      <w:tr w14:paraId="2EAAF036"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4EC28706" w14:textId="77777777">
            <w:pPr>
              <w:pStyle w:val="TableParagraph"/>
              <w:ind w:left="120"/>
              <w:jc w:val="left"/>
              <w:rPr>
                <w:sz w:val="21"/>
              </w:rPr>
            </w:pPr>
            <w:r>
              <w:rPr>
                <w:sz w:val="21"/>
              </w:rPr>
              <w:t>Rhode</w:t>
            </w:r>
            <w:r>
              <w:rPr>
                <w:spacing w:val="-7"/>
                <w:sz w:val="21"/>
              </w:rPr>
              <w:t xml:space="preserve"> </w:t>
            </w:r>
            <w:r>
              <w:rPr>
                <w:spacing w:val="-2"/>
                <w:sz w:val="21"/>
              </w:rPr>
              <w:t>Island</w:t>
            </w:r>
          </w:p>
        </w:tc>
        <w:tc>
          <w:tcPr>
            <w:tcW w:w="1350" w:type="dxa"/>
          </w:tcPr>
          <w:p w:rsidR="003F5784" w14:paraId="17C2CD1F" w14:textId="77777777">
            <w:pPr>
              <w:pStyle w:val="TableParagraph"/>
              <w:ind w:left="425"/>
              <w:jc w:val="left"/>
              <w:rPr>
                <w:sz w:val="21"/>
              </w:rPr>
            </w:pPr>
            <w:r>
              <w:rPr>
                <w:spacing w:val="-2"/>
                <w:sz w:val="21"/>
              </w:rPr>
              <w:t>93.82</w:t>
            </w:r>
          </w:p>
        </w:tc>
        <w:tc>
          <w:tcPr>
            <w:tcW w:w="1530" w:type="dxa"/>
          </w:tcPr>
          <w:p w:rsidR="003F5784" w14:paraId="2743CCDE" w14:textId="77777777">
            <w:pPr>
              <w:pStyle w:val="TableParagraph"/>
              <w:ind w:left="9" w:right="8"/>
              <w:jc w:val="center"/>
              <w:rPr>
                <w:sz w:val="21"/>
              </w:rPr>
            </w:pPr>
            <w:r>
              <w:rPr>
                <w:spacing w:val="-4"/>
                <w:sz w:val="21"/>
              </w:rPr>
              <w:t>0.69</w:t>
            </w:r>
          </w:p>
        </w:tc>
        <w:tc>
          <w:tcPr>
            <w:tcW w:w="1800" w:type="dxa"/>
          </w:tcPr>
          <w:p w:rsidR="003F5784" w14:paraId="6F1739BC" w14:textId="77777777">
            <w:pPr>
              <w:pStyle w:val="TableParagraph"/>
              <w:ind w:right="422"/>
              <w:rPr>
                <w:sz w:val="21"/>
              </w:rPr>
            </w:pPr>
            <w:r>
              <w:rPr>
                <w:spacing w:val="-4"/>
                <w:sz w:val="21"/>
              </w:rPr>
              <w:t>0.50</w:t>
            </w:r>
          </w:p>
        </w:tc>
        <w:tc>
          <w:tcPr>
            <w:tcW w:w="1170" w:type="dxa"/>
          </w:tcPr>
          <w:p w:rsidR="003F5784" w14:paraId="690EE060" w14:textId="77777777">
            <w:pPr>
              <w:pStyle w:val="TableParagraph"/>
              <w:ind w:left="2" w:right="199"/>
              <w:jc w:val="center"/>
              <w:rPr>
                <w:sz w:val="21"/>
              </w:rPr>
            </w:pPr>
            <w:r>
              <w:rPr>
                <w:spacing w:val="-2"/>
                <w:sz w:val="21"/>
              </w:rPr>
              <w:t>89.57</w:t>
            </w:r>
          </w:p>
        </w:tc>
        <w:tc>
          <w:tcPr>
            <w:tcW w:w="1614" w:type="dxa"/>
          </w:tcPr>
          <w:p w:rsidR="003F5784" w14:paraId="7AC29F1C" w14:textId="77777777">
            <w:pPr>
              <w:pStyle w:val="TableParagraph"/>
              <w:ind w:left="9" w:right="8"/>
              <w:jc w:val="center"/>
              <w:rPr>
                <w:sz w:val="21"/>
              </w:rPr>
            </w:pPr>
            <w:r>
              <w:rPr>
                <w:spacing w:val="-4"/>
                <w:sz w:val="21"/>
              </w:rPr>
              <w:t>1.31</w:t>
            </w:r>
          </w:p>
        </w:tc>
        <w:tc>
          <w:tcPr>
            <w:tcW w:w="1626" w:type="dxa"/>
          </w:tcPr>
          <w:p w:rsidR="003F5784" w14:paraId="175EE604" w14:textId="77777777">
            <w:pPr>
              <w:pStyle w:val="TableParagraph"/>
              <w:ind w:right="116"/>
              <w:rPr>
                <w:sz w:val="21"/>
              </w:rPr>
            </w:pPr>
            <w:r>
              <w:rPr>
                <w:spacing w:val="-4"/>
                <w:sz w:val="21"/>
              </w:rPr>
              <w:t>0.60</w:t>
            </w:r>
          </w:p>
        </w:tc>
      </w:tr>
      <w:tr w14:paraId="269E070F"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6ECE0967" w14:textId="77777777">
            <w:pPr>
              <w:pStyle w:val="TableParagraph"/>
              <w:ind w:left="120"/>
              <w:jc w:val="left"/>
              <w:rPr>
                <w:sz w:val="21"/>
              </w:rPr>
            </w:pPr>
            <w:r>
              <w:rPr>
                <w:sz w:val="21"/>
              </w:rPr>
              <w:t>South</w:t>
            </w:r>
            <w:r>
              <w:rPr>
                <w:spacing w:val="-6"/>
                <w:sz w:val="21"/>
              </w:rPr>
              <w:t xml:space="preserve"> </w:t>
            </w:r>
            <w:r>
              <w:rPr>
                <w:spacing w:val="-2"/>
                <w:sz w:val="21"/>
              </w:rPr>
              <w:t>Carolina</w:t>
            </w:r>
          </w:p>
        </w:tc>
        <w:tc>
          <w:tcPr>
            <w:tcW w:w="1350" w:type="dxa"/>
          </w:tcPr>
          <w:p w:rsidR="003F5784" w14:paraId="714BA0B0" w14:textId="77777777">
            <w:pPr>
              <w:pStyle w:val="TableParagraph"/>
              <w:ind w:left="425"/>
              <w:jc w:val="left"/>
              <w:rPr>
                <w:sz w:val="21"/>
              </w:rPr>
            </w:pPr>
            <w:r>
              <w:rPr>
                <w:spacing w:val="-2"/>
                <w:sz w:val="21"/>
              </w:rPr>
              <w:t>92.09</w:t>
            </w:r>
          </w:p>
        </w:tc>
        <w:tc>
          <w:tcPr>
            <w:tcW w:w="1530" w:type="dxa"/>
          </w:tcPr>
          <w:p w:rsidR="003F5784" w14:paraId="7D606BE8" w14:textId="77777777">
            <w:pPr>
              <w:pStyle w:val="TableParagraph"/>
              <w:ind w:left="9" w:right="8"/>
              <w:jc w:val="center"/>
              <w:rPr>
                <w:sz w:val="21"/>
              </w:rPr>
            </w:pPr>
            <w:r>
              <w:rPr>
                <w:spacing w:val="-4"/>
                <w:sz w:val="21"/>
              </w:rPr>
              <w:t>1.24</w:t>
            </w:r>
          </w:p>
        </w:tc>
        <w:tc>
          <w:tcPr>
            <w:tcW w:w="1800" w:type="dxa"/>
          </w:tcPr>
          <w:p w:rsidR="003F5784" w14:paraId="771899BD" w14:textId="77777777">
            <w:pPr>
              <w:pStyle w:val="TableParagraph"/>
              <w:ind w:right="422"/>
              <w:rPr>
                <w:sz w:val="21"/>
              </w:rPr>
            </w:pPr>
            <w:r>
              <w:rPr>
                <w:spacing w:val="-4"/>
                <w:sz w:val="21"/>
              </w:rPr>
              <w:t>0.43</w:t>
            </w:r>
          </w:p>
        </w:tc>
        <w:tc>
          <w:tcPr>
            <w:tcW w:w="1170" w:type="dxa"/>
          </w:tcPr>
          <w:p w:rsidR="003F5784" w14:paraId="05CEEE9C" w14:textId="77777777">
            <w:pPr>
              <w:pStyle w:val="TableParagraph"/>
              <w:ind w:left="2" w:right="199"/>
              <w:jc w:val="center"/>
              <w:rPr>
                <w:sz w:val="21"/>
              </w:rPr>
            </w:pPr>
            <w:r>
              <w:rPr>
                <w:spacing w:val="-2"/>
                <w:sz w:val="21"/>
              </w:rPr>
              <w:t>92.35</w:t>
            </w:r>
          </w:p>
        </w:tc>
        <w:tc>
          <w:tcPr>
            <w:tcW w:w="1614" w:type="dxa"/>
          </w:tcPr>
          <w:p w:rsidR="003F5784" w14:paraId="6EA48F64" w14:textId="77777777">
            <w:pPr>
              <w:pStyle w:val="TableParagraph"/>
              <w:ind w:left="9" w:right="8"/>
              <w:jc w:val="center"/>
              <w:rPr>
                <w:sz w:val="21"/>
              </w:rPr>
            </w:pPr>
            <w:r>
              <w:rPr>
                <w:spacing w:val="-4"/>
                <w:sz w:val="21"/>
              </w:rPr>
              <w:t>0.75</w:t>
            </w:r>
          </w:p>
        </w:tc>
        <w:tc>
          <w:tcPr>
            <w:tcW w:w="1626" w:type="dxa"/>
          </w:tcPr>
          <w:p w:rsidR="003F5784" w14:paraId="3A1DDC6D" w14:textId="77777777">
            <w:pPr>
              <w:pStyle w:val="TableParagraph"/>
              <w:ind w:right="116"/>
              <w:rPr>
                <w:sz w:val="21"/>
              </w:rPr>
            </w:pPr>
            <w:r>
              <w:rPr>
                <w:spacing w:val="-4"/>
                <w:sz w:val="21"/>
              </w:rPr>
              <w:t>0.61</w:t>
            </w:r>
          </w:p>
        </w:tc>
      </w:tr>
      <w:tr w14:paraId="5928AD0E"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17818C8A" w14:textId="77777777">
            <w:pPr>
              <w:pStyle w:val="TableParagraph"/>
              <w:ind w:left="120"/>
              <w:jc w:val="left"/>
              <w:rPr>
                <w:sz w:val="21"/>
              </w:rPr>
            </w:pPr>
            <w:r>
              <w:rPr>
                <w:sz w:val="21"/>
              </w:rPr>
              <w:t>South</w:t>
            </w:r>
            <w:r>
              <w:rPr>
                <w:spacing w:val="-6"/>
                <w:sz w:val="21"/>
              </w:rPr>
              <w:t xml:space="preserve"> </w:t>
            </w:r>
            <w:r>
              <w:rPr>
                <w:spacing w:val="-2"/>
                <w:sz w:val="21"/>
              </w:rPr>
              <w:t>Dakota</w:t>
            </w:r>
          </w:p>
        </w:tc>
        <w:tc>
          <w:tcPr>
            <w:tcW w:w="1350" w:type="dxa"/>
          </w:tcPr>
          <w:p w:rsidR="003F5784" w14:paraId="5FF9458D" w14:textId="77777777">
            <w:pPr>
              <w:pStyle w:val="TableParagraph"/>
              <w:ind w:left="425"/>
              <w:jc w:val="left"/>
              <w:rPr>
                <w:sz w:val="21"/>
              </w:rPr>
            </w:pPr>
            <w:r>
              <w:rPr>
                <w:spacing w:val="-2"/>
                <w:sz w:val="21"/>
              </w:rPr>
              <w:t>93.95</w:t>
            </w:r>
          </w:p>
        </w:tc>
        <w:tc>
          <w:tcPr>
            <w:tcW w:w="1530" w:type="dxa"/>
          </w:tcPr>
          <w:p w:rsidR="003F5784" w14:paraId="78EE0DA2" w14:textId="77777777">
            <w:pPr>
              <w:pStyle w:val="TableParagraph"/>
              <w:ind w:left="9" w:right="8"/>
              <w:jc w:val="center"/>
              <w:rPr>
                <w:sz w:val="21"/>
              </w:rPr>
            </w:pPr>
            <w:r>
              <w:rPr>
                <w:spacing w:val="-4"/>
                <w:sz w:val="21"/>
              </w:rPr>
              <w:t>0.88</w:t>
            </w:r>
          </w:p>
        </w:tc>
        <w:tc>
          <w:tcPr>
            <w:tcW w:w="1800" w:type="dxa"/>
          </w:tcPr>
          <w:p w:rsidR="003F5784" w14:paraId="5F8DF0C4" w14:textId="77777777">
            <w:pPr>
              <w:pStyle w:val="TableParagraph"/>
              <w:ind w:right="422"/>
              <w:rPr>
                <w:sz w:val="21"/>
              </w:rPr>
            </w:pPr>
            <w:r>
              <w:rPr>
                <w:spacing w:val="-4"/>
                <w:sz w:val="21"/>
              </w:rPr>
              <w:t>0.16</w:t>
            </w:r>
          </w:p>
        </w:tc>
        <w:tc>
          <w:tcPr>
            <w:tcW w:w="1170" w:type="dxa"/>
          </w:tcPr>
          <w:p w:rsidR="003F5784" w14:paraId="635A8537" w14:textId="77777777">
            <w:pPr>
              <w:pStyle w:val="TableParagraph"/>
              <w:ind w:left="2" w:right="199"/>
              <w:jc w:val="center"/>
              <w:rPr>
                <w:sz w:val="21"/>
              </w:rPr>
            </w:pPr>
            <w:r>
              <w:rPr>
                <w:spacing w:val="-2"/>
                <w:sz w:val="21"/>
              </w:rPr>
              <w:t>91.64</w:t>
            </w:r>
          </w:p>
        </w:tc>
        <w:tc>
          <w:tcPr>
            <w:tcW w:w="1614" w:type="dxa"/>
          </w:tcPr>
          <w:p w:rsidR="003F5784" w14:paraId="22B56C0B" w14:textId="77777777">
            <w:pPr>
              <w:pStyle w:val="TableParagraph"/>
              <w:ind w:left="9" w:right="8"/>
              <w:jc w:val="center"/>
              <w:rPr>
                <w:sz w:val="21"/>
              </w:rPr>
            </w:pPr>
            <w:r>
              <w:rPr>
                <w:spacing w:val="-4"/>
                <w:sz w:val="21"/>
              </w:rPr>
              <w:t>1.30</w:t>
            </w:r>
          </w:p>
        </w:tc>
        <w:tc>
          <w:tcPr>
            <w:tcW w:w="1626" w:type="dxa"/>
          </w:tcPr>
          <w:p w:rsidR="003F5784" w14:paraId="24FEAC67" w14:textId="77777777">
            <w:pPr>
              <w:pStyle w:val="TableParagraph"/>
              <w:ind w:right="116"/>
              <w:rPr>
                <w:sz w:val="21"/>
              </w:rPr>
            </w:pPr>
            <w:r>
              <w:rPr>
                <w:spacing w:val="-4"/>
                <w:sz w:val="21"/>
              </w:rPr>
              <w:t>0.49</w:t>
            </w:r>
          </w:p>
        </w:tc>
      </w:tr>
      <w:tr w14:paraId="2A20FC20"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0883D06D" w14:textId="77777777">
            <w:pPr>
              <w:pStyle w:val="TableParagraph"/>
              <w:ind w:left="120"/>
              <w:jc w:val="left"/>
              <w:rPr>
                <w:sz w:val="21"/>
              </w:rPr>
            </w:pPr>
            <w:r>
              <w:rPr>
                <w:spacing w:val="-2"/>
                <w:sz w:val="21"/>
              </w:rPr>
              <w:t>Tennessee–Shelby</w:t>
            </w:r>
            <w:r>
              <w:rPr>
                <w:sz w:val="21"/>
              </w:rPr>
              <w:t xml:space="preserve"> </w:t>
            </w:r>
            <w:r>
              <w:rPr>
                <w:spacing w:val="-2"/>
                <w:sz w:val="21"/>
              </w:rPr>
              <w:t>County</w:t>
            </w:r>
          </w:p>
        </w:tc>
        <w:tc>
          <w:tcPr>
            <w:tcW w:w="1350" w:type="dxa"/>
          </w:tcPr>
          <w:p w:rsidR="003F5784" w14:paraId="43DF8D03" w14:textId="77777777">
            <w:pPr>
              <w:pStyle w:val="TableParagraph"/>
              <w:ind w:left="425"/>
              <w:jc w:val="left"/>
              <w:rPr>
                <w:sz w:val="21"/>
              </w:rPr>
            </w:pPr>
            <w:r>
              <w:rPr>
                <w:spacing w:val="-2"/>
                <w:sz w:val="21"/>
              </w:rPr>
              <w:t>91.22</w:t>
            </w:r>
          </w:p>
        </w:tc>
        <w:tc>
          <w:tcPr>
            <w:tcW w:w="1530" w:type="dxa"/>
          </w:tcPr>
          <w:p w:rsidR="003F5784" w14:paraId="72317465" w14:textId="77777777">
            <w:pPr>
              <w:pStyle w:val="TableParagraph"/>
              <w:ind w:left="9" w:right="8"/>
              <w:jc w:val="center"/>
              <w:rPr>
                <w:sz w:val="21"/>
              </w:rPr>
            </w:pPr>
            <w:r>
              <w:rPr>
                <w:spacing w:val="-4"/>
                <w:sz w:val="21"/>
              </w:rPr>
              <w:t>3.25</w:t>
            </w:r>
          </w:p>
        </w:tc>
        <w:tc>
          <w:tcPr>
            <w:tcW w:w="1800" w:type="dxa"/>
          </w:tcPr>
          <w:p w:rsidR="003F5784" w14:paraId="6E4B2B64" w14:textId="77777777">
            <w:pPr>
              <w:pStyle w:val="TableParagraph"/>
              <w:ind w:right="422"/>
              <w:rPr>
                <w:sz w:val="21"/>
              </w:rPr>
            </w:pPr>
            <w:r>
              <w:rPr>
                <w:spacing w:val="-4"/>
                <w:sz w:val="21"/>
              </w:rPr>
              <w:t>0.57</w:t>
            </w:r>
          </w:p>
        </w:tc>
        <w:tc>
          <w:tcPr>
            <w:tcW w:w="1170" w:type="dxa"/>
          </w:tcPr>
          <w:p w:rsidR="003F5784" w14:paraId="54CCA053" w14:textId="77777777">
            <w:pPr>
              <w:pStyle w:val="TableParagraph"/>
              <w:ind w:left="2" w:right="199"/>
              <w:jc w:val="center"/>
              <w:rPr>
                <w:sz w:val="21"/>
              </w:rPr>
            </w:pPr>
            <w:r>
              <w:rPr>
                <w:spacing w:val="-2"/>
                <w:sz w:val="21"/>
              </w:rPr>
              <w:t>89.30</w:t>
            </w:r>
          </w:p>
        </w:tc>
        <w:tc>
          <w:tcPr>
            <w:tcW w:w="1614" w:type="dxa"/>
          </w:tcPr>
          <w:p w:rsidR="003F5784" w14:paraId="492F79E0" w14:textId="77777777">
            <w:pPr>
              <w:pStyle w:val="TableParagraph"/>
              <w:ind w:left="9" w:right="8"/>
              <w:jc w:val="center"/>
              <w:rPr>
                <w:sz w:val="21"/>
              </w:rPr>
            </w:pPr>
            <w:r>
              <w:rPr>
                <w:spacing w:val="-4"/>
                <w:sz w:val="21"/>
              </w:rPr>
              <w:t>2.29</w:t>
            </w:r>
          </w:p>
        </w:tc>
        <w:tc>
          <w:tcPr>
            <w:tcW w:w="1626" w:type="dxa"/>
          </w:tcPr>
          <w:p w:rsidR="003F5784" w14:paraId="3D636B87" w14:textId="77777777">
            <w:pPr>
              <w:pStyle w:val="TableParagraph"/>
              <w:ind w:right="116"/>
              <w:rPr>
                <w:sz w:val="21"/>
              </w:rPr>
            </w:pPr>
            <w:r>
              <w:rPr>
                <w:spacing w:val="-4"/>
                <w:sz w:val="21"/>
              </w:rPr>
              <w:t>0.45</w:t>
            </w:r>
          </w:p>
        </w:tc>
      </w:tr>
      <w:tr w14:paraId="6A959242"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4E75288C" w14:textId="77777777">
            <w:pPr>
              <w:pStyle w:val="TableParagraph"/>
              <w:ind w:left="120"/>
              <w:jc w:val="left"/>
              <w:rPr>
                <w:sz w:val="21"/>
              </w:rPr>
            </w:pPr>
            <w:r>
              <w:rPr>
                <w:spacing w:val="-2"/>
                <w:sz w:val="21"/>
              </w:rPr>
              <w:t>Tennessee</w:t>
            </w:r>
          </w:p>
        </w:tc>
        <w:tc>
          <w:tcPr>
            <w:tcW w:w="1350" w:type="dxa"/>
          </w:tcPr>
          <w:p w:rsidR="003F5784" w14:paraId="7FA1634A" w14:textId="77777777">
            <w:pPr>
              <w:pStyle w:val="TableParagraph"/>
              <w:ind w:left="425"/>
              <w:jc w:val="left"/>
              <w:rPr>
                <w:sz w:val="21"/>
              </w:rPr>
            </w:pPr>
            <w:r>
              <w:rPr>
                <w:spacing w:val="-2"/>
                <w:sz w:val="21"/>
              </w:rPr>
              <w:t>91.68</w:t>
            </w:r>
          </w:p>
        </w:tc>
        <w:tc>
          <w:tcPr>
            <w:tcW w:w="1530" w:type="dxa"/>
          </w:tcPr>
          <w:p w:rsidR="003F5784" w14:paraId="6D6B0551" w14:textId="77777777">
            <w:pPr>
              <w:pStyle w:val="TableParagraph"/>
              <w:ind w:left="9" w:right="8"/>
              <w:jc w:val="center"/>
              <w:rPr>
                <w:sz w:val="21"/>
              </w:rPr>
            </w:pPr>
            <w:r>
              <w:rPr>
                <w:spacing w:val="-4"/>
                <w:sz w:val="21"/>
              </w:rPr>
              <w:t>1.63</w:t>
            </w:r>
          </w:p>
        </w:tc>
        <w:tc>
          <w:tcPr>
            <w:tcW w:w="1800" w:type="dxa"/>
          </w:tcPr>
          <w:p w:rsidR="003F5784" w14:paraId="3DB7E2F2" w14:textId="77777777">
            <w:pPr>
              <w:pStyle w:val="TableParagraph"/>
              <w:ind w:right="422"/>
              <w:rPr>
                <w:sz w:val="21"/>
              </w:rPr>
            </w:pPr>
            <w:r>
              <w:rPr>
                <w:spacing w:val="-4"/>
                <w:sz w:val="21"/>
              </w:rPr>
              <w:t>0.61</w:t>
            </w:r>
          </w:p>
        </w:tc>
        <w:tc>
          <w:tcPr>
            <w:tcW w:w="1170" w:type="dxa"/>
          </w:tcPr>
          <w:p w:rsidR="003F5784" w14:paraId="528A34C1" w14:textId="77777777">
            <w:pPr>
              <w:pStyle w:val="TableParagraph"/>
              <w:ind w:left="2" w:right="199"/>
              <w:jc w:val="center"/>
              <w:rPr>
                <w:sz w:val="21"/>
              </w:rPr>
            </w:pPr>
            <w:r>
              <w:rPr>
                <w:spacing w:val="-2"/>
                <w:sz w:val="21"/>
              </w:rPr>
              <w:t>89.14</w:t>
            </w:r>
          </w:p>
        </w:tc>
        <w:tc>
          <w:tcPr>
            <w:tcW w:w="1614" w:type="dxa"/>
          </w:tcPr>
          <w:p w:rsidR="003F5784" w14:paraId="1B16BDF6" w14:textId="77777777">
            <w:pPr>
              <w:pStyle w:val="TableParagraph"/>
              <w:ind w:left="9" w:right="8"/>
              <w:jc w:val="center"/>
              <w:rPr>
                <w:sz w:val="21"/>
              </w:rPr>
            </w:pPr>
            <w:r>
              <w:rPr>
                <w:spacing w:val="-4"/>
                <w:sz w:val="21"/>
              </w:rPr>
              <w:t>2.29</w:t>
            </w:r>
          </w:p>
        </w:tc>
        <w:tc>
          <w:tcPr>
            <w:tcW w:w="1626" w:type="dxa"/>
          </w:tcPr>
          <w:p w:rsidR="003F5784" w14:paraId="528244C8" w14:textId="77777777">
            <w:pPr>
              <w:pStyle w:val="TableParagraph"/>
              <w:ind w:right="116"/>
              <w:rPr>
                <w:sz w:val="21"/>
              </w:rPr>
            </w:pPr>
            <w:r>
              <w:rPr>
                <w:spacing w:val="-4"/>
                <w:sz w:val="21"/>
              </w:rPr>
              <w:t>0.57</w:t>
            </w:r>
          </w:p>
        </w:tc>
      </w:tr>
      <w:tr w14:paraId="33AF708E"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0718D382" w14:textId="77777777">
            <w:pPr>
              <w:pStyle w:val="TableParagraph"/>
              <w:ind w:left="120"/>
              <w:jc w:val="left"/>
              <w:rPr>
                <w:sz w:val="21"/>
              </w:rPr>
            </w:pPr>
            <w:r>
              <w:rPr>
                <w:spacing w:val="-2"/>
                <w:sz w:val="21"/>
              </w:rPr>
              <w:t>Texas–Austin</w:t>
            </w:r>
          </w:p>
        </w:tc>
        <w:tc>
          <w:tcPr>
            <w:tcW w:w="1350" w:type="dxa"/>
          </w:tcPr>
          <w:p w:rsidR="003F5784" w14:paraId="5E76DA6C" w14:textId="77777777">
            <w:pPr>
              <w:pStyle w:val="TableParagraph"/>
              <w:ind w:left="425"/>
              <w:jc w:val="left"/>
              <w:rPr>
                <w:sz w:val="21"/>
              </w:rPr>
            </w:pPr>
            <w:r>
              <w:rPr>
                <w:spacing w:val="-2"/>
                <w:sz w:val="21"/>
              </w:rPr>
              <w:t>89.14</w:t>
            </w:r>
          </w:p>
        </w:tc>
        <w:tc>
          <w:tcPr>
            <w:tcW w:w="1530" w:type="dxa"/>
          </w:tcPr>
          <w:p w:rsidR="003F5784" w14:paraId="10A643EB" w14:textId="77777777">
            <w:pPr>
              <w:pStyle w:val="TableParagraph"/>
              <w:ind w:left="9" w:right="8"/>
              <w:jc w:val="center"/>
              <w:rPr>
                <w:sz w:val="21"/>
              </w:rPr>
            </w:pPr>
            <w:r>
              <w:rPr>
                <w:spacing w:val="-4"/>
                <w:sz w:val="21"/>
              </w:rPr>
              <w:t>2.76</w:t>
            </w:r>
          </w:p>
        </w:tc>
        <w:tc>
          <w:tcPr>
            <w:tcW w:w="1800" w:type="dxa"/>
          </w:tcPr>
          <w:p w:rsidR="003F5784" w14:paraId="55884A50" w14:textId="77777777">
            <w:pPr>
              <w:pStyle w:val="TableParagraph"/>
              <w:ind w:right="422"/>
              <w:rPr>
                <w:sz w:val="21"/>
              </w:rPr>
            </w:pPr>
            <w:r>
              <w:rPr>
                <w:spacing w:val="-4"/>
                <w:sz w:val="21"/>
              </w:rPr>
              <w:t>3.88</w:t>
            </w:r>
          </w:p>
        </w:tc>
        <w:tc>
          <w:tcPr>
            <w:tcW w:w="1170" w:type="dxa"/>
          </w:tcPr>
          <w:p w:rsidR="003F5784" w14:paraId="6897C4E3" w14:textId="77777777">
            <w:pPr>
              <w:pStyle w:val="TableParagraph"/>
              <w:ind w:left="2" w:right="199"/>
              <w:jc w:val="center"/>
              <w:rPr>
                <w:sz w:val="21"/>
              </w:rPr>
            </w:pPr>
            <w:r>
              <w:rPr>
                <w:spacing w:val="-2"/>
                <w:sz w:val="21"/>
              </w:rPr>
              <w:t>86.68</w:t>
            </w:r>
          </w:p>
        </w:tc>
        <w:tc>
          <w:tcPr>
            <w:tcW w:w="1614" w:type="dxa"/>
          </w:tcPr>
          <w:p w:rsidR="003F5784" w14:paraId="216932E6" w14:textId="77777777">
            <w:pPr>
              <w:pStyle w:val="TableParagraph"/>
              <w:ind w:left="9" w:right="8"/>
              <w:jc w:val="center"/>
              <w:rPr>
                <w:sz w:val="21"/>
              </w:rPr>
            </w:pPr>
            <w:r>
              <w:rPr>
                <w:spacing w:val="-4"/>
                <w:sz w:val="21"/>
              </w:rPr>
              <w:t>1.55</w:t>
            </w:r>
          </w:p>
        </w:tc>
        <w:tc>
          <w:tcPr>
            <w:tcW w:w="1626" w:type="dxa"/>
          </w:tcPr>
          <w:p w:rsidR="003F5784" w14:paraId="5BD273C0" w14:textId="77777777">
            <w:pPr>
              <w:pStyle w:val="TableParagraph"/>
              <w:ind w:right="116"/>
              <w:rPr>
                <w:sz w:val="21"/>
              </w:rPr>
            </w:pPr>
            <w:r>
              <w:rPr>
                <w:spacing w:val="-4"/>
                <w:sz w:val="21"/>
              </w:rPr>
              <w:t>1.10</w:t>
            </w:r>
          </w:p>
        </w:tc>
      </w:tr>
      <w:tr w14:paraId="1A789A51"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6C7DCF53" w14:textId="77777777">
            <w:pPr>
              <w:pStyle w:val="TableParagraph"/>
              <w:ind w:left="120"/>
              <w:jc w:val="left"/>
              <w:rPr>
                <w:sz w:val="21"/>
              </w:rPr>
            </w:pPr>
            <w:r>
              <w:rPr>
                <w:spacing w:val="-2"/>
                <w:sz w:val="21"/>
              </w:rPr>
              <w:t>Texas–Dallas</w:t>
            </w:r>
          </w:p>
        </w:tc>
        <w:tc>
          <w:tcPr>
            <w:tcW w:w="1350" w:type="dxa"/>
          </w:tcPr>
          <w:p w:rsidR="003F5784" w14:paraId="318797E4" w14:textId="77777777">
            <w:pPr>
              <w:pStyle w:val="TableParagraph"/>
              <w:ind w:left="425"/>
              <w:jc w:val="left"/>
              <w:rPr>
                <w:sz w:val="21"/>
              </w:rPr>
            </w:pPr>
            <w:r>
              <w:rPr>
                <w:spacing w:val="-2"/>
                <w:sz w:val="21"/>
              </w:rPr>
              <w:t>92.41</w:t>
            </w:r>
          </w:p>
        </w:tc>
        <w:tc>
          <w:tcPr>
            <w:tcW w:w="1530" w:type="dxa"/>
          </w:tcPr>
          <w:p w:rsidR="003F5784" w14:paraId="39DADFAB" w14:textId="77777777">
            <w:pPr>
              <w:pStyle w:val="TableParagraph"/>
              <w:ind w:left="9" w:right="8"/>
              <w:jc w:val="center"/>
              <w:rPr>
                <w:sz w:val="21"/>
              </w:rPr>
            </w:pPr>
            <w:r>
              <w:rPr>
                <w:spacing w:val="-4"/>
                <w:sz w:val="21"/>
              </w:rPr>
              <w:t>2.05</w:t>
            </w:r>
          </w:p>
        </w:tc>
        <w:tc>
          <w:tcPr>
            <w:tcW w:w="1800" w:type="dxa"/>
          </w:tcPr>
          <w:p w:rsidR="003F5784" w14:paraId="1CC374CC" w14:textId="77777777">
            <w:pPr>
              <w:pStyle w:val="TableParagraph"/>
              <w:ind w:right="422"/>
              <w:rPr>
                <w:sz w:val="21"/>
              </w:rPr>
            </w:pPr>
            <w:r>
              <w:rPr>
                <w:spacing w:val="-4"/>
                <w:sz w:val="21"/>
              </w:rPr>
              <w:t>3.03</w:t>
            </w:r>
          </w:p>
        </w:tc>
        <w:tc>
          <w:tcPr>
            <w:tcW w:w="1170" w:type="dxa"/>
          </w:tcPr>
          <w:p w:rsidR="003F5784" w14:paraId="11646924" w14:textId="77777777">
            <w:pPr>
              <w:pStyle w:val="TableParagraph"/>
              <w:ind w:left="2" w:right="199"/>
              <w:jc w:val="center"/>
              <w:rPr>
                <w:sz w:val="21"/>
              </w:rPr>
            </w:pPr>
            <w:r>
              <w:rPr>
                <w:spacing w:val="-2"/>
                <w:sz w:val="21"/>
              </w:rPr>
              <w:t>93.27</w:t>
            </w:r>
          </w:p>
        </w:tc>
        <w:tc>
          <w:tcPr>
            <w:tcW w:w="1614" w:type="dxa"/>
          </w:tcPr>
          <w:p w:rsidR="003F5784" w14:paraId="542231F0" w14:textId="77777777">
            <w:pPr>
              <w:pStyle w:val="TableParagraph"/>
              <w:ind w:left="9" w:right="8"/>
              <w:jc w:val="center"/>
              <w:rPr>
                <w:sz w:val="21"/>
              </w:rPr>
            </w:pPr>
            <w:r>
              <w:rPr>
                <w:spacing w:val="-4"/>
                <w:sz w:val="21"/>
              </w:rPr>
              <w:t>1.84</w:t>
            </w:r>
          </w:p>
        </w:tc>
        <w:tc>
          <w:tcPr>
            <w:tcW w:w="1626" w:type="dxa"/>
          </w:tcPr>
          <w:p w:rsidR="003F5784" w14:paraId="3EE2B64E" w14:textId="77777777">
            <w:pPr>
              <w:pStyle w:val="TableParagraph"/>
              <w:ind w:right="116"/>
              <w:rPr>
                <w:sz w:val="21"/>
              </w:rPr>
            </w:pPr>
            <w:r>
              <w:rPr>
                <w:spacing w:val="-4"/>
                <w:sz w:val="21"/>
              </w:rPr>
              <w:t>1.98</w:t>
            </w:r>
          </w:p>
        </w:tc>
      </w:tr>
      <w:tr w14:paraId="37EE1088"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1FC4CFF2" w14:textId="77777777">
            <w:pPr>
              <w:pStyle w:val="TableParagraph"/>
              <w:ind w:left="120"/>
              <w:jc w:val="left"/>
              <w:rPr>
                <w:sz w:val="21"/>
              </w:rPr>
            </w:pPr>
            <w:r>
              <w:rPr>
                <w:spacing w:val="-2"/>
                <w:sz w:val="21"/>
              </w:rPr>
              <w:t>Texas–Fort</w:t>
            </w:r>
            <w:r>
              <w:rPr>
                <w:spacing w:val="-10"/>
                <w:sz w:val="21"/>
              </w:rPr>
              <w:t xml:space="preserve"> </w:t>
            </w:r>
            <w:r>
              <w:rPr>
                <w:spacing w:val="-2"/>
                <w:sz w:val="21"/>
              </w:rPr>
              <w:t>Worth</w:t>
            </w:r>
          </w:p>
        </w:tc>
        <w:tc>
          <w:tcPr>
            <w:tcW w:w="1350" w:type="dxa"/>
          </w:tcPr>
          <w:p w:rsidR="003F5784" w14:paraId="5C6A4B6F" w14:textId="77777777">
            <w:pPr>
              <w:pStyle w:val="TableParagraph"/>
              <w:ind w:left="425"/>
              <w:jc w:val="left"/>
              <w:rPr>
                <w:sz w:val="21"/>
              </w:rPr>
            </w:pPr>
            <w:r>
              <w:rPr>
                <w:spacing w:val="-2"/>
                <w:sz w:val="21"/>
              </w:rPr>
              <w:t>91.01</w:t>
            </w:r>
          </w:p>
        </w:tc>
        <w:tc>
          <w:tcPr>
            <w:tcW w:w="1530" w:type="dxa"/>
          </w:tcPr>
          <w:p w:rsidR="003F5784" w14:paraId="74DCB6F7" w14:textId="77777777">
            <w:pPr>
              <w:pStyle w:val="TableParagraph"/>
              <w:ind w:left="9" w:right="8"/>
              <w:jc w:val="center"/>
              <w:rPr>
                <w:sz w:val="21"/>
              </w:rPr>
            </w:pPr>
            <w:r>
              <w:rPr>
                <w:spacing w:val="-4"/>
                <w:sz w:val="21"/>
              </w:rPr>
              <w:t>2.77</w:t>
            </w:r>
          </w:p>
        </w:tc>
        <w:tc>
          <w:tcPr>
            <w:tcW w:w="1800" w:type="dxa"/>
          </w:tcPr>
          <w:p w:rsidR="003F5784" w14:paraId="5264132C" w14:textId="77777777">
            <w:pPr>
              <w:pStyle w:val="TableParagraph"/>
              <w:ind w:right="422"/>
              <w:rPr>
                <w:sz w:val="21"/>
              </w:rPr>
            </w:pPr>
            <w:r>
              <w:rPr>
                <w:spacing w:val="-4"/>
                <w:sz w:val="21"/>
              </w:rPr>
              <w:t>1.38</w:t>
            </w:r>
          </w:p>
        </w:tc>
        <w:tc>
          <w:tcPr>
            <w:tcW w:w="1170" w:type="dxa"/>
          </w:tcPr>
          <w:p w:rsidR="003F5784" w14:paraId="6440591F" w14:textId="77777777">
            <w:pPr>
              <w:pStyle w:val="TableParagraph"/>
              <w:ind w:left="2" w:right="199"/>
              <w:jc w:val="center"/>
              <w:rPr>
                <w:sz w:val="21"/>
              </w:rPr>
            </w:pPr>
            <w:r>
              <w:rPr>
                <w:spacing w:val="-2"/>
                <w:sz w:val="21"/>
              </w:rPr>
              <w:t>91.91</w:t>
            </w:r>
          </w:p>
        </w:tc>
        <w:tc>
          <w:tcPr>
            <w:tcW w:w="1614" w:type="dxa"/>
          </w:tcPr>
          <w:p w:rsidR="003F5784" w14:paraId="13A7E7CF" w14:textId="77777777">
            <w:pPr>
              <w:pStyle w:val="TableParagraph"/>
              <w:ind w:left="9" w:right="8"/>
              <w:jc w:val="center"/>
              <w:rPr>
                <w:sz w:val="21"/>
              </w:rPr>
            </w:pPr>
            <w:r>
              <w:rPr>
                <w:spacing w:val="-4"/>
                <w:sz w:val="21"/>
              </w:rPr>
              <w:t>1.32</w:t>
            </w:r>
          </w:p>
        </w:tc>
        <w:tc>
          <w:tcPr>
            <w:tcW w:w="1626" w:type="dxa"/>
          </w:tcPr>
          <w:p w:rsidR="003F5784" w14:paraId="2B74B91B" w14:textId="77777777">
            <w:pPr>
              <w:pStyle w:val="TableParagraph"/>
              <w:ind w:right="116"/>
              <w:rPr>
                <w:sz w:val="21"/>
              </w:rPr>
            </w:pPr>
            <w:r>
              <w:rPr>
                <w:spacing w:val="-4"/>
                <w:sz w:val="21"/>
              </w:rPr>
              <w:t>0.30</w:t>
            </w:r>
          </w:p>
        </w:tc>
      </w:tr>
      <w:tr w14:paraId="7DCEE691"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42FD1570" w14:textId="77777777">
            <w:pPr>
              <w:pStyle w:val="TableParagraph"/>
              <w:ind w:left="120"/>
              <w:jc w:val="left"/>
              <w:rPr>
                <w:sz w:val="21"/>
              </w:rPr>
            </w:pPr>
            <w:r>
              <w:rPr>
                <w:spacing w:val="-2"/>
                <w:sz w:val="21"/>
              </w:rPr>
              <w:t>Texas–Houston</w:t>
            </w:r>
          </w:p>
        </w:tc>
        <w:tc>
          <w:tcPr>
            <w:tcW w:w="1350" w:type="dxa"/>
          </w:tcPr>
          <w:p w:rsidR="003F5784" w14:paraId="022C2FF9" w14:textId="77777777">
            <w:pPr>
              <w:pStyle w:val="TableParagraph"/>
              <w:ind w:left="425"/>
              <w:jc w:val="left"/>
              <w:rPr>
                <w:sz w:val="21"/>
              </w:rPr>
            </w:pPr>
            <w:r>
              <w:rPr>
                <w:spacing w:val="-2"/>
                <w:sz w:val="21"/>
              </w:rPr>
              <w:t>92.05</w:t>
            </w:r>
          </w:p>
        </w:tc>
        <w:tc>
          <w:tcPr>
            <w:tcW w:w="1530" w:type="dxa"/>
          </w:tcPr>
          <w:p w:rsidR="003F5784" w14:paraId="74392577" w14:textId="77777777">
            <w:pPr>
              <w:pStyle w:val="TableParagraph"/>
              <w:ind w:left="9" w:right="8"/>
              <w:jc w:val="center"/>
              <w:rPr>
                <w:sz w:val="21"/>
              </w:rPr>
            </w:pPr>
            <w:r>
              <w:rPr>
                <w:spacing w:val="-4"/>
                <w:sz w:val="21"/>
              </w:rPr>
              <w:t>1.86</w:t>
            </w:r>
          </w:p>
        </w:tc>
        <w:tc>
          <w:tcPr>
            <w:tcW w:w="1800" w:type="dxa"/>
          </w:tcPr>
          <w:p w:rsidR="003F5784" w14:paraId="4F5F4769" w14:textId="77777777">
            <w:pPr>
              <w:pStyle w:val="TableParagraph"/>
              <w:ind w:right="422"/>
              <w:rPr>
                <w:sz w:val="21"/>
              </w:rPr>
            </w:pPr>
            <w:r>
              <w:rPr>
                <w:spacing w:val="-4"/>
                <w:sz w:val="21"/>
              </w:rPr>
              <w:t>0.71</w:t>
            </w:r>
          </w:p>
        </w:tc>
        <w:tc>
          <w:tcPr>
            <w:tcW w:w="1170" w:type="dxa"/>
          </w:tcPr>
          <w:p w:rsidR="003F5784" w14:paraId="15435765" w14:textId="77777777">
            <w:pPr>
              <w:pStyle w:val="TableParagraph"/>
              <w:ind w:left="2" w:right="199"/>
              <w:jc w:val="center"/>
              <w:rPr>
                <w:sz w:val="21"/>
              </w:rPr>
            </w:pPr>
            <w:r>
              <w:rPr>
                <w:spacing w:val="-2"/>
                <w:sz w:val="21"/>
              </w:rPr>
              <w:t>89.49</w:t>
            </w:r>
          </w:p>
        </w:tc>
        <w:tc>
          <w:tcPr>
            <w:tcW w:w="1614" w:type="dxa"/>
          </w:tcPr>
          <w:p w:rsidR="003F5784" w14:paraId="537C85C6" w14:textId="77777777">
            <w:pPr>
              <w:pStyle w:val="TableParagraph"/>
              <w:ind w:left="9" w:right="8"/>
              <w:jc w:val="center"/>
              <w:rPr>
                <w:sz w:val="21"/>
              </w:rPr>
            </w:pPr>
            <w:r>
              <w:rPr>
                <w:spacing w:val="-4"/>
                <w:sz w:val="21"/>
              </w:rPr>
              <w:t>1.78</w:t>
            </w:r>
          </w:p>
        </w:tc>
        <w:tc>
          <w:tcPr>
            <w:tcW w:w="1626" w:type="dxa"/>
          </w:tcPr>
          <w:p w:rsidR="003F5784" w14:paraId="6B24CCBA" w14:textId="77777777">
            <w:pPr>
              <w:pStyle w:val="TableParagraph"/>
              <w:ind w:right="116"/>
              <w:rPr>
                <w:sz w:val="21"/>
              </w:rPr>
            </w:pPr>
            <w:r>
              <w:rPr>
                <w:spacing w:val="-4"/>
                <w:sz w:val="21"/>
              </w:rPr>
              <w:t>2.26</w:t>
            </w:r>
          </w:p>
        </w:tc>
      </w:tr>
      <w:tr w14:paraId="3FDEE351"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05703134" w14:textId="77777777">
            <w:pPr>
              <w:pStyle w:val="TableParagraph"/>
              <w:ind w:left="120"/>
              <w:jc w:val="left"/>
              <w:rPr>
                <w:sz w:val="21"/>
              </w:rPr>
            </w:pPr>
            <w:r>
              <w:rPr>
                <w:spacing w:val="-2"/>
                <w:sz w:val="21"/>
              </w:rPr>
              <w:t>Texas</w:t>
            </w:r>
          </w:p>
        </w:tc>
        <w:tc>
          <w:tcPr>
            <w:tcW w:w="1350" w:type="dxa"/>
          </w:tcPr>
          <w:p w:rsidR="003F5784" w14:paraId="3C1C5A5A" w14:textId="77777777">
            <w:pPr>
              <w:pStyle w:val="TableParagraph"/>
              <w:ind w:left="425"/>
              <w:jc w:val="left"/>
              <w:rPr>
                <w:sz w:val="21"/>
              </w:rPr>
            </w:pPr>
            <w:r>
              <w:rPr>
                <w:spacing w:val="-2"/>
                <w:sz w:val="21"/>
              </w:rPr>
              <w:t>92.44</w:t>
            </w:r>
          </w:p>
        </w:tc>
        <w:tc>
          <w:tcPr>
            <w:tcW w:w="1530" w:type="dxa"/>
          </w:tcPr>
          <w:p w:rsidR="003F5784" w14:paraId="26C30CF5" w14:textId="77777777">
            <w:pPr>
              <w:pStyle w:val="TableParagraph"/>
              <w:ind w:left="9" w:right="8"/>
              <w:jc w:val="center"/>
              <w:rPr>
                <w:sz w:val="21"/>
              </w:rPr>
            </w:pPr>
            <w:r>
              <w:rPr>
                <w:spacing w:val="-4"/>
                <w:sz w:val="21"/>
              </w:rPr>
              <w:t>2.10</w:t>
            </w:r>
          </w:p>
        </w:tc>
        <w:tc>
          <w:tcPr>
            <w:tcW w:w="1800" w:type="dxa"/>
          </w:tcPr>
          <w:p w:rsidR="003F5784" w14:paraId="23D4D9D0" w14:textId="77777777">
            <w:pPr>
              <w:pStyle w:val="TableParagraph"/>
              <w:ind w:right="422"/>
              <w:rPr>
                <w:sz w:val="21"/>
              </w:rPr>
            </w:pPr>
            <w:r>
              <w:rPr>
                <w:spacing w:val="-4"/>
                <w:sz w:val="21"/>
              </w:rPr>
              <w:t>1.34</w:t>
            </w:r>
          </w:p>
        </w:tc>
        <w:tc>
          <w:tcPr>
            <w:tcW w:w="1170" w:type="dxa"/>
          </w:tcPr>
          <w:p w:rsidR="003F5784" w14:paraId="37B4CCFD" w14:textId="77777777">
            <w:pPr>
              <w:pStyle w:val="TableParagraph"/>
              <w:ind w:left="2" w:right="199"/>
              <w:jc w:val="center"/>
              <w:rPr>
                <w:sz w:val="21"/>
              </w:rPr>
            </w:pPr>
            <w:r>
              <w:rPr>
                <w:spacing w:val="-2"/>
                <w:sz w:val="21"/>
              </w:rPr>
              <w:t>90.81</w:t>
            </w:r>
          </w:p>
        </w:tc>
        <w:tc>
          <w:tcPr>
            <w:tcW w:w="1614" w:type="dxa"/>
          </w:tcPr>
          <w:p w:rsidR="003F5784" w14:paraId="2E28EA3E" w14:textId="77777777">
            <w:pPr>
              <w:pStyle w:val="TableParagraph"/>
              <w:ind w:left="9" w:right="8"/>
              <w:jc w:val="center"/>
              <w:rPr>
                <w:sz w:val="21"/>
              </w:rPr>
            </w:pPr>
            <w:r>
              <w:rPr>
                <w:spacing w:val="-4"/>
                <w:sz w:val="21"/>
              </w:rPr>
              <w:t>1.74</w:t>
            </w:r>
          </w:p>
        </w:tc>
        <w:tc>
          <w:tcPr>
            <w:tcW w:w="1626" w:type="dxa"/>
          </w:tcPr>
          <w:p w:rsidR="003F5784" w14:paraId="72AF0850" w14:textId="77777777">
            <w:pPr>
              <w:pStyle w:val="TableParagraph"/>
              <w:ind w:right="116"/>
              <w:rPr>
                <w:sz w:val="21"/>
              </w:rPr>
            </w:pPr>
            <w:r>
              <w:rPr>
                <w:spacing w:val="-4"/>
                <w:sz w:val="21"/>
              </w:rPr>
              <w:t>0.70</w:t>
            </w:r>
          </w:p>
        </w:tc>
      </w:tr>
      <w:tr w14:paraId="61D09489"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64C376CF" w14:textId="77777777">
            <w:pPr>
              <w:pStyle w:val="TableParagraph"/>
              <w:ind w:left="120"/>
              <w:jc w:val="left"/>
              <w:rPr>
                <w:sz w:val="21"/>
              </w:rPr>
            </w:pPr>
            <w:r>
              <w:rPr>
                <w:spacing w:val="-4"/>
                <w:sz w:val="21"/>
              </w:rPr>
              <w:t>Utah</w:t>
            </w:r>
          </w:p>
        </w:tc>
        <w:tc>
          <w:tcPr>
            <w:tcW w:w="1350" w:type="dxa"/>
          </w:tcPr>
          <w:p w:rsidR="003F5784" w14:paraId="39B1E1FB" w14:textId="77777777">
            <w:pPr>
              <w:pStyle w:val="TableParagraph"/>
              <w:ind w:left="425"/>
              <w:jc w:val="left"/>
              <w:rPr>
                <w:sz w:val="21"/>
              </w:rPr>
            </w:pPr>
            <w:r>
              <w:rPr>
                <w:spacing w:val="-2"/>
                <w:sz w:val="21"/>
              </w:rPr>
              <w:t>92.30</w:t>
            </w:r>
          </w:p>
        </w:tc>
        <w:tc>
          <w:tcPr>
            <w:tcW w:w="1530" w:type="dxa"/>
          </w:tcPr>
          <w:p w:rsidR="003F5784" w14:paraId="78371A8B" w14:textId="77777777">
            <w:pPr>
              <w:pStyle w:val="TableParagraph"/>
              <w:ind w:left="9" w:right="8"/>
              <w:jc w:val="center"/>
              <w:rPr>
                <w:sz w:val="21"/>
              </w:rPr>
            </w:pPr>
            <w:r>
              <w:rPr>
                <w:spacing w:val="-4"/>
                <w:sz w:val="21"/>
              </w:rPr>
              <w:t>0.54</w:t>
            </w:r>
          </w:p>
        </w:tc>
        <w:tc>
          <w:tcPr>
            <w:tcW w:w="1800" w:type="dxa"/>
          </w:tcPr>
          <w:p w:rsidR="003F5784" w14:paraId="750247D2" w14:textId="77777777">
            <w:pPr>
              <w:pStyle w:val="TableParagraph"/>
              <w:ind w:right="422"/>
              <w:rPr>
                <w:sz w:val="21"/>
              </w:rPr>
            </w:pPr>
            <w:r>
              <w:rPr>
                <w:spacing w:val="-4"/>
                <w:sz w:val="21"/>
              </w:rPr>
              <w:t>0.59</w:t>
            </w:r>
          </w:p>
        </w:tc>
        <w:tc>
          <w:tcPr>
            <w:tcW w:w="1170" w:type="dxa"/>
          </w:tcPr>
          <w:p w:rsidR="003F5784" w14:paraId="738A30E8" w14:textId="77777777">
            <w:pPr>
              <w:pStyle w:val="TableParagraph"/>
              <w:ind w:left="2" w:right="199"/>
              <w:jc w:val="center"/>
              <w:rPr>
                <w:sz w:val="21"/>
              </w:rPr>
            </w:pPr>
            <w:r>
              <w:rPr>
                <w:spacing w:val="-2"/>
                <w:sz w:val="21"/>
              </w:rPr>
              <w:t>87.55</w:t>
            </w:r>
          </w:p>
        </w:tc>
        <w:tc>
          <w:tcPr>
            <w:tcW w:w="1614" w:type="dxa"/>
          </w:tcPr>
          <w:p w:rsidR="003F5784" w14:paraId="17832A99" w14:textId="77777777">
            <w:pPr>
              <w:pStyle w:val="TableParagraph"/>
              <w:ind w:left="9" w:right="8"/>
              <w:jc w:val="center"/>
              <w:rPr>
                <w:sz w:val="21"/>
              </w:rPr>
            </w:pPr>
            <w:r>
              <w:rPr>
                <w:spacing w:val="-4"/>
                <w:sz w:val="21"/>
              </w:rPr>
              <w:t>0.71</w:t>
            </w:r>
          </w:p>
        </w:tc>
        <w:tc>
          <w:tcPr>
            <w:tcW w:w="1626" w:type="dxa"/>
          </w:tcPr>
          <w:p w:rsidR="003F5784" w14:paraId="1E05DBDE" w14:textId="77777777">
            <w:pPr>
              <w:pStyle w:val="TableParagraph"/>
              <w:ind w:right="116"/>
              <w:rPr>
                <w:sz w:val="21"/>
              </w:rPr>
            </w:pPr>
            <w:r>
              <w:rPr>
                <w:spacing w:val="-4"/>
                <w:sz w:val="21"/>
              </w:rPr>
              <w:t>0.65</w:t>
            </w:r>
          </w:p>
        </w:tc>
      </w:tr>
      <w:tr w14:paraId="358DD741"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19DF3126" w14:textId="77777777">
            <w:pPr>
              <w:pStyle w:val="TableParagraph"/>
              <w:ind w:left="120"/>
              <w:jc w:val="left"/>
              <w:rPr>
                <w:sz w:val="21"/>
              </w:rPr>
            </w:pPr>
            <w:r>
              <w:rPr>
                <w:spacing w:val="-2"/>
                <w:sz w:val="21"/>
              </w:rPr>
              <w:t>Vermont</w:t>
            </w:r>
          </w:p>
        </w:tc>
        <w:tc>
          <w:tcPr>
            <w:tcW w:w="1350" w:type="dxa"/>
          </w:tcPr>
          <w:p w:rsidR="003F5784" w14:paraId="226D4F6E" w14:textId="77777777">
            <w:pPr>
              <w:pStyle w:val="TableParagraph"/>
              <w:ind w:left="425"/>
              <w:jc w:val="left"/>
              <w:rPr>
                <w:sz w:val="21"/>
              </w:rPr>
            </w:pPr>
            <w:r>
              <w:rPr>
                <w:spacing w:val="-2"/>
                <w:sz w:val="21"/>
              </w:rPr>
              <w:t>89.00</w:t>
            </w:r>
          </w:p>
        </w:tc>
        <w:tc>
          <w:tcPr>
            <w:tcW w:w="1530" w:type="dxa"/>
          </w:tcPr>
          <w:p w:rsidR="003F5784" w14:paraId="568CF385" w14:textId="77777777">
            <w:pPr>
              <w:pStyle w:val="TableParagraph"/>
              <w:ind w:left="9" w:right="8"/>
              <w:jc w:val="center"/>
              <w:rPr>
                <w:sz w:val="21"/>
              </w:rPr>
            </w:pPr>
            <w:r>
              <w:rPr>
                <w:spacing w:val="-4"/>
                <w:sz w:val="21"/>
              </w:rPr>
              <w:t>1.18</w:t>
            </w:r>
          </w:p>
        </w:tc>
        <w:tc>
          <w:tcPr>
            <w:tcW w:w="1800" w:type="dxa"/>
          </w:tcPr>
          <w:p w:rsidR="003F5784" w14:paraId="786716DF" w14:textId="77777777">
            <w:pPr>
              <w:pStyle w:val="TableParagraph"/>
              <w:ind w:right="422"/>
              <w:rPr>
                <w:sz w:val="21"/>
              </w:rPr>
            </w:pPr>
            <w:r>
              <w:rPr>
                <w:spacing w:val="-4"/>
                <w:sz w:val="21"/>
              </w:rPr>
              <w:t>0.32</w:t>
            </w:r>
          </w:p>
        </w:tc>
        <w:tc>
          <w:tcPr>
            <w:tcW w:w="1170" w:type="dxa"/>
          </w:tcPr>
          <w:p w:rsidR="003F5784" w14:paraId="25E555E2" w14:textId="77777777">
            <w:pPr>
              <w:pStyle w:val="TableParagraph"/>
              <w:ind w:left="2" w:right="199"/>
              <w:jc w:val="center"/>
              <w:rPr>
                <w:sz w:val="21"/>
              </w:rPr>
            </w:pPr>
            <w:r>
              <w:rPr>
                <w:spacing w:val="-2"/>
                <w:sz w:val="21"/>
              </w:rPr>
              <w:t>86.98</w:t>
            </w:r>
          </w:p>
        </w:tc>
        <w:tc>
          <w:tcPr>
            <w:tcW w:w="1614" w:type="dxa"/>
          </w:tcPr>
          <w:p w:rsidR="003F5784" w14:paraId="6A1C9617" w14:textId="77777777">
            <w:pPr>
              <w:pStyle w:val="TableParagraph"/>
              <w:ind w:left="9" w:right="8"/>
              <w:jc w:val="center"/>
              <w:rPr>
                <w:sz w:val="21"/>
              </w:rPr>
            </w:pPr>
            <w:r>
              <w:rPr>
                <w:spacing w:val="-4"/>
                <w:sz w:val="21"/>
              </w:rPr>
              <w:t>1.51</w:t>
            </w:r>
          </w:p>
        </w:tc>
        <w:tc>
          <w:tcPr>
            <w:tcW w:w="1626" w:type="dxa"/>
          </w:tcPr>
          <w:p w:rsidR="003F5784" w14:paraId="65B6EC23" w14:textId="77777777">
            <w:pPr>
              <w:pStyle w:val="TableParagraph"/>
              <w:ind w:right="116"/>
              <w:rPr>
                <w:sz w:val="21"/>
              </w:rPr>
            </w:pPr>
            <w:r>
              <w:rPr>
                <w:spacing w:val="-4"/>
                <w:sz w:val="21"/>
              </w:rPr>
              <w:t>0.20</w:t>
            </w:r>
          </w:p>
        </w:tc>
      </w:tr>
      <w:tr w14:paraId="5107AEDE"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1D87989B" w14:textId="77777777">
            <w:pPr>
              <w:pStyle w:val="TableParagraph"/>
              <w:ind w:left="120"/>
              <w:jc w:val="left"/>
              <w:rPr>
                <w:sz w:val="21"/>
              </w:rPr>
            </w:pPr>
            <w:r>
              <w:rPr>
                <w:spacing w:val="-2"/>
                <w:sz w:val="21"/>
              </w:rPr>
              <w:t>Virginia</w:t>
            </w:r>
          </w:p>
        </w:tc>
        <w:tc>
          <w:tcPr>
            <w:tcW w:w="1350" w:type="dxa"/>
          </w:tcPr>
          <w:p w:rsidR="003F5784" w14:paraId="75F62A6D" w14:textId="77777777">
            <w:pPr>
              <w:pStyle w:val="TableParagraph"/>
              <w:ind w:left="425"/>
              <w:jc w:val="left"/>
              <w:rPr>
                <w:sz w:val="21"/>
              </w:rPr>
            </w:pPr>
            <w:r>
              <w:rPr>
                <w:spacing w:val="-2"/>
                <w:sz w:val="21"/>
              </w:rPr>
              <w:t>91.86</w:t>
            </w:r>
          </w:p>
        </w:tc>
        <w:tc>
          <w:tcPr>
            <w:tcW w:w="1530" w:type="dxa"/>
          </w:tcPr>
          <w:p w:rsidR="003F5784" w14:paraId="7FC699AB" w14:textId="77777777">
            <w:pPr>
              <w:pStyle w:val="TableParagraph"/>
              <w:ind w:left="9" w:right="8"/>
              <w:jc w:val="center"/>
              <w:rPr>
                <w:sz w:val="21"/>
              </w:rPr>
            </w:pPr>
            <w:r>
              <w:rPr>
                <w:spacing w:val="-4"/>
                <w:sz w:val="21"/>
              </w:rPr>
              <w:t>1.81</w:t>
            </w:r>
          </w:p>
        </w:tc>
        <w:tc>
          <w:tcPr>
            <w:tcW w:w="1800" w:type="dxa"/>
          </w:tcPr>
          <w:p w:rsidR="003F5784" w14:paraId="010241EA" w14:textId="77777777">
            <w:pPr>
              <w:pStyle w:val="TableParagraph"/>
              <w:ind w:right="422"/>
              <w:rPr>
                <w:sz w:val="21"/>
              </w:rPr>
            </w:pPr>
            <w:r>
              <w:rPr>
                <w:spacing w:val="-4"/>
                <w:sz w:val="21"/>
              </w:rPr>
              <w:t>0.78</w:t>
            </w:r>
          </w:p>
        </w:tc>
        <w:tc>
          <w:tcPr>
            <w:tcW w:w="1170" w:type="dxa"/>
          </w:tcPr>
          <w:p w:rsidR="003F5784" w14:paraId="4EA76D2C" w14:textId="77777777">
            <w:pPr>
              <w:pStyle w:val="TableParagraph"/>
              <w:ind w:left="2" w:right="199"/>
              <w:jc w:val="center"/>
              <w:rPr>
                <w:sz w:val="21"/>
              </w:rPr>
            </w:pPr>
            <w:r>
              <w:rPr>
                <w:spacing w:val="-2"/>
                <w:sz w:val="21"/>
              </w:rPr>
              <w:t>89.02</w:t>
            </w:r>
          </w:p>
        </w:tc>
        <w:tc>
          <w:tcPr>
            <w:tcW w:w="1614" w:type="dxa"/>
          </w:tcPr>
          <w:p w:rsidR="003F5784" w14:paraId="08140F8C" w14:textId="77777777">
            <w:pPr>
              <w:pStyle w:val="TableParagraph"/>
              <w:ind w:left="9" w:right="8"/>
              <w:jc w:val="center"/>
              <w:rPr>
                <w:sz w:val="21"/>
              </w:rPr>
            </w:pPr>
            <w:r>
              <w:rPr>
                <w:spacing w:val="-4"/>
                <w:sz w:val="21"/>
              </w:rPr>
              <w:t>1.66</w:t>
            </w:r>
          </w:p>
        </w:tc>
        <w:tc>
          <w:tcPr>
            <w:tcW w:w="1626" w:type="dxa"/>
          </w:tcPr>
          <w:p w:rsidR="003F5784" w14:paraId="04A535A5" w14:textId="77777777">
            <w:pPr>
              <w:pStyle w:val="TableParagraph"/>
              <w:ind w:right="116"/>
              <w:rPr>
                <w:sz w:val="21"/>
              </w:rPr>
            </w:pPr>
            <w:r>
              <w:rPr>
                <w:spacing w:val="-4"/>
                <w:sz w:val="21"/>
              </w:rPr>
              <w:t>1.57</w:t>
            </w:r>
          </w:p>
        </w:tc>
      </w:tr>
      <w:tr w14:paraId="16AEAF31"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2ECC4FC5" w14:textId="77777777">
            <w:pPr>
              <w:pStyle w:val="TableParagraph"/>
              <w:ind w:left="120"/>
              <w:jc w:val="left"/>
              <w:rPr>
                <w:sz w:val="21"/>
              </w:rPr>
            </w:pPr>
            <w:r>
              <w:rPr>
                <w:spacing w:val="-2"/>
                <w:sz w:val="21"/>
              </w:rPr>
              <w:t>Washington</w:t>
            </w:r>
          </w:p>
        </w:tc>
        <w:tc>
          <w:tcPr>
            <w:tcW w:w="1350" w:type="dxa"/>
          </w:tcPr>
          <w:p w:rsidR="003F5784" w14:paraId="6F1CF93A" w14:textId="77777777">
            <w:pPr>
              <w:pStyle w:val="TableParagraph"/>
              <w:ind w:left="425"/>
              <w:jc w:val="left"/>
              <w:rPr>
                <w:sz w:val="21"/>
              </w:rPr>
            </w:pPr>
            <w:r>
              <w:rPr>
                <w:spacing w:val="-2"/>
                <w:sz w:val="21"/>
              </w:rPr>
              <w:t>88.85</w:t>
            </w:r>
          </w:p>
        </w:tc>
        <w:tc>
          <w:tcPr>
            <w:tcW w:w="1530" w:type="dxa"/>
          </w:tcPr>
          <w:p w:rsidR="003F5784" w14:paraId="45921CE8" w14:textId="77777777">
            <w:pPr>
              <w:pStyle w:val="TableParagraph"/>
              <w:ind w:left="9" w:right="8"/>
              <w:jc w:val="center"/>
              <w:rPr>
                <w:sz w:val="21"/>
              </w:rPr>
            </w:pPr>
            <w:r>
              <w:rPr>
                <w:spacing w:val="-4"/>
                <w:sz w:val="21"/>
              </w:rPr>
              <w:t>1.53</w:t>
            </w:r>
          </w:p>
        </w:tc>
        <w:tc>
          <w:tcPr>
            <w:tcW w:w="1800" w:type="dxa"/>
          </w:tcPr>
          <w:p w:rsidR="003F5784" w14:paraId="116BCD6C" w14:textId="77777777">
            <w:pPr>
              <w:pStyle w:val="TableParagraph"/>
              <w:ind w:right="422"/>
              <w:rPr>
                <w:sz w:val="21"/>
              </w:rPr>
            </w:pPr>
            <w:r>
              <w:rPr>
                <w:spacing w:val="-4"/>
                <w:sz w:val="21"/>
              </w:rPr>
              <w:t>0.62</w:t>
            </w:r>
          </w:p>
        </w:tc>
        <w:tc>
          <w:tcPr>
            <w:tcW w:w="1170" w:type="dxa"/>
          </w:tcPr>
          <w:p w:rsidR="003F5784" w14:paraId="6FB4533E" w14:textId="77777777">
            <w:pPr>
              <w:pStyle w:val="TableParagraph"/>
              <w:ind w:left="2" w:right="199"/>
              <w:jc w:val="center"/>
              <w:rPr>
                <w:sz w:val="21"/>
              </w:rPr>
            </w:pPr>
            <w:r>
              <w:rPr>
                <w:spacing w:val="-2"/>
                <w:sz w:val="21"/>
              </w:rPr>
              <w:t>85.49</w:t>
            </w:r>
          </w:p>
        </w:tc>
        <w:tc>
          <w:tcPr>
            <w:tcW w:w="1614" w:type="dxa"/>
          </w:tcPr>
          <w:p w:rsidR="003F5784" w14:paraId="73EA5566" w14:textId="77777777">
            <w:pPr>
              <w:pStyle w:val="TableParagraph"/>
              <w:ind w:left="9" w:right="8"/>
              <w:jc w:val="center"/>
              <w:rPr>
                <w:sz w:val="21"/>
              </w:rPr>
            </w:pPr>
            <w:r>
              <w:rPr>
                <w:spacing w:val="-4"/>
                <w:sz w:val="21"/>
              </w:rPr>
              <w:t>1.35</w:t>
            </w:r>
          </w:p>
        </w:tc>
        <w:tc>
          <w:tcPr>
            <w:tcW w:w="1626" w:type="dxa"/>
          </w:tcPr>
          <w:p w:rsidR="003F5784" w14:paraId="7FDB2F33" w14:textId="77777777">
            <w:pPr>
              <w:pStyle w:val="TableParagraph"/>
              <w:ind w:right="116"/>
              <w:rPr>
                <w:sz w:val="21"/>
              </w:rPr>
            </w:pPr>
            <w:r>
              <w:rPr>
                <w:spacing w:val="-4"/>
                <w:sz w:val="21"/>
              </w:rPr>
              <w:t>0.43</w:t>
            </w:r>
          </w:p>
        </w:tc>
      </w:tr>
      <w:tr w14:paraId="1A3F1169"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4683A16C" w14:textId="77777777">
            <w:pPr>
              <w:pStyle w:val="TableParagraph"/>
              <w:ind w:left="120"/>
              <w:jc w:val="left"/>
              <w:rPr>
                <w:sz w:val="21"/>
              </w:rPr>
            </w:pPr>
            <w:r>
              <w:rPr>
                <w:spacing w:val="-5"/>
                <w:sz w:val="21"/>
              </w:rPr>
              <w:t>West</w:t>
            </w:r>
            <w:r>
              <w:rPr>
                <w:spacing w:val="-7"/>
                <w:sz w:val="21"/>
              </w:rPr>
              <w:t xml:space="preserve"> </w:t>
            </w:r>
            <w:r>
              <w:rPr>
                <w:spacing w:val="-2"/>
                <w:sz w:val="21"/>
              </w:rPr>
              <w:t>Virginia</w:t>
            </w:r>
          </w:p>
        </w:tc>
        <w:tc>
          <w:tcPr>
            <w:tcW w:w="1350" w:type="dxa"/>
          </w:tcPr>
          <w:p w:rsidR="003F5784" w14:paraId="42D49609" w14:textId="77777777">
            <w:pPr>
              <w:pStyle w:val="TableParagraph"/>
              <w:ind w:left="425"/>
              <w:jc w:val="left"/>
              <w:rPr>
                <w:sz w:val="21"/>
              </w:rPr>
            </w:pPr>
            <w:r>
              <w:rPr>
                <w:spacing w:val="-2"/>
                <w:sz w:val="21"/>
              </w:rPr>
              <w:t>90.27</w:t>
            </w:r>
          </w:p>
        </w:tc>
        <w:tc>
          <w:tcPr>
            <w:tcW w:w="1530" w:type="dxa"/>
          </w:tcPr>
          <w:p w:rsidR="003F5784" w14:paraId="708C9D06" w14:textId="77777777">
            <w:pPr>
              <w:pStyle w:val="TableParagraph"/>
              <w:ind w:left="9" w:right="8"/>
              <w:jc w:val="center"/>
              <w:rPr>
                <w:sz w:val="21"/>
              </w:rPr>
            </w:pPr>
            <w:r>
              <w:rPr>
                <w:spacing w:val="-4"/>
                <w:sz w:val="21"/>
              </w:rPr>
              <w:t>1.63</w:t>
            </w:r>
          </w:p>
        </w:tc>
        <w:tc>
          <w:tcPr>
            <w:tcW w:w="1800" w:type="dxa"/>
          </w:tcPr>
          <w:p w:rsidR="003F5784" w14:paraId="5D70F380" w14:textId="77777777">
            <w:pPr>
              <w:pStyle w:val="TableParagraph"/>
              <w:ind w:right="422"/>
              <w:rPr>
                <w:sz w:val="21"/>
              </w:rPr>
            </w:pPr>
            <w:r>
              <w:rPr>
                <w:spacing w:val="-4"/>
                <w:sz w:val="21"/>
              </w:rPr>
              <w:t>0.03</w:t>
            </w:r>
          </w:p>
        </w:tc>
        <w:tc>
          <w:tcPr>
            <w:tcW w:w="1170" w:type="dxa"/>
          </w:tcPr>
          <w:p w:rsidR="003F5784" w14:paraId="513A6D4F" w14:textId="77777777">
            <w:pPr>
              <w:pStyle w:val="TableParagraph"/>
              <w:ind w:left="2" w:right="199"/>
              <w:jc w:val="center"/>
              <w:rPr>
                <w:sz w:val="21"/>
              </w:rPr>
            </w:pPr>
            <w:r>
              <w:rPr>
                <w:spacing w:val="-2"/>
                <w:sz w:val="21"/>
              </w:rPr>
              <w:t>90.88</w:t>
            </w:r>
          </w:p>
        </w:tc>
        <w:tc>
          <w:tcPr>
            <w:tcW w:w="1614" w:type="dxa"/>
          </w:tcPr>
          <w:p w:rsidR="003F5784" w14:paraId="49805A8C" w14:textId="77777777">
            <w:pPr>
              <w:pStyle w:val="TableParagraph"/>
              <w:ind w:left="9" w:right="8"/>
              <w:jc w:val="center"/>
              <w:rPr>
                <w:sz w:val="21"/>
              </w:rPr>
            </w:pPr>
            <w:r>
              <w:rPr>
                <w:spacing w:val="-4"/>
                <w:sz w:val="21"/>
              </w:rPr>
              <w:t>1.58</w:t>
            </w:r>
          </w:p>
        </w:tc>
        <w:tc>
          <w:tcPr>
            <w:tcW w:w="1626" w:type="dxa"/>
          </w:tcPr>
          <w:p w:rsidR="003F5784" w14:paraId="5C1E8772" w14:textId="77777777">
            <w:pPr>
              <w:pStyle w:val="TableParagraph"/>
              <w:ind w:right="116"/>
              <w:rPr>
                <w:sz w:val="21"/>
              </w:rPr>
            </w:pPr>
            <w:r>
              <w:rPr>
                <w:spacing w:val="-4"/>
                <w:sz w:val="21"/>
              </w:rPr>
              <w:t>0.15</w:t>
            </w:r>
          </w:p>
        </w:tc>
      </w:tr>
      <w:tr w14:paraId="2C964D94"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008B9954" w14:textId="77777777">
            <w:pPr>
              <w:pStyle w:val="TableParagraph"/>
              <w:ind w:left="120"/>
              <w:jc w:val="left"/>
              <w:rPr>
                <w:sz w:val="21"/>
              </w:rPr>
            </w:pPr>
            <w:r>
              <w:rPr>
                <w:spacing w:val="-2"/>
                <w:sz w:val="21"/>
              </w:rPr>
              <w:t>Wisconsin–Milwaukee</w:t>
            </w:r>
          </w:p>
        </w:tc>
        <w:tc>
          <w:tcPr>
            <w:tcW w:w="1350" w:type="dxa"/>
          </w:tcPr>
          <w:p w:rsidR="003F5784" w14:paraId="0685D721" w14:textId="77777777">
            <w:pPr>
              <w:pStyle w:val="TableParagraph"/>
              <w:ind w:left="425"/>
              <w:jc w:val="left"/>
              <w:rPr>
                <w:sz w:val="21"/>
              </w:rPr>
            </w:pPr>
            <w:r>
              <w:rPr>
                <w:spacing w:val="-2"/>
                <w:sz w:val="21"/>
              </w:rPr>
              <w:t>85.33</w:t>
            </w:r>
          </w:p>
        </w:tc>
        <w:tc>
          <w:tcPr>
            <w:tcW w:w="1530" w:type="dxa"/>
          </w:tcPr>
          <w:p w:rsidR="003F5784" w14:paraId="579AB586" w14:textId="77777777">
            <w:pPr>
              <w:pStyle w:val="TableParagraph"/>
              <w:ind w:left="9" w:right="8"/>
              <w:jc w:val="center"/>
              <w:rPr>
                <w:sz w:val="21"/>
              </w:rPr>
            </w:pPr>
            <w:r>
              <w:rPr>
                <w:spacing w:val="-4"/>
                <w:sz w:val="21"/>
              </w:rPr>
              <w:t>1.41</w:t>
            </w:r>
          </w:p>
        </w:tc>
        <w:tc>
          <w:tcPr>
            <w:tcW w:w="1800" w:type="dxa"/>
          </w:tcPr>
          <w:p w:rsidR="003F5784" w14:paraId="6532C547" w14:textId="77777777">
            <w:pPr>
              <w:pStyle w:val="TableParagraph"/>
              <w:ind w:right="422"/>
              <w:rPr>
                <w:sz w:val="21"/>
              </w:rPr>
            </w:pPr>
            <w:r>
              <w:rPr>
                <w:spacing w:val="-4"/>
                <w:sz w:val="21"/>
              </w:rPr>
              <w:t>0.91</w:t>
            </w:r>
          </w:p>
        </w:tc>
        <w:tc>
          <w:tcPr>
            <w:tcW w:w="1170" w:type="dxa"/>
          </w:tcPr>
          <w:p w:rsidR="003F5784" w14:paraId="67C72F73" w14:textId="77777777">
            <w:pPr>
              <w:pStyle w:val="TableParagraph"/>
              <w:ind w:left="2" w:right="199"/>
              <w:jc w:val="center"/>
              <w:rPr>
                <w:sz w:val="21"/>
              </w:rPr>
            </w:pPr>
            <w:r>
              <w:rPr>
                <w:spacing w:val="-2"/>
                <w:sz w:val="21"/>
              </w:rPr>
              <w:t>83.36</w:t>
            </w:r>
          </w:p>
        </w:tc>
        <w:tc>
          <w:tcPr>
            <w:tcW w:w="1614" w:type="dxa"/>
          </w:tcPr>
          <w:p w:rsidR="003F5784" w14:paraId="5F7435E1" w14:textId="77777777">
            <w:pPr>
              <w:pStyle w:val="TableParagraph"/>
              <w:ind w:left="9" w:right="8"/>
              <w:jc w:val="center"/>
              <w:rPr>
                <w:sz w:val="21"/>
              </w:rPr>
            </w:pPr>
            <w:r>
              <w:rPr>
                <w:spacing w:val="-4"/>
                <w:sz w:val="21"/>
              </w:rPr>
              <w:t>0.69</w:t>
            </w:r>
          </w:p>
        </w:tc>
        <w:tc>
          <w:tcPr>
            <w:tcW w:w="1626" w:type="dxa"/>
          </w:tcPr>
          <w:p w:rsidR="003F5784" w14:paraId="0843D02F" w14:textId="77777777">
            <w:pPr>
              <w:pStyle w:val="TableParagraph"/>
              <w:ind w:right="116"/>
              <w:rPr>
                <w:sz w:val="21"/>
              </w:rPr>
            </w:pPr>
            <w:r>
              <w:rPr>
                <w:spacing w:val="-4"/>
                <w:sz w:val="21"/>
              </w:rPr>
              <w:t>0.52</w:t>
            </w:r>
          </w:p>
        </w:tc>
      </w:tr>
      <w:tr w14:paraId="5E6CE19E"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1D2AEA94" w14:textId="77777777">
            <w:pPr>
              <w:pStyle w:val="TableParagraph"/>
              <w:ind w:left="120"/>
              <w:jc w:val="left"/>
              <w:rPr>
                <w:sz w:val="21"/>
              </w:rPr>
            </w:pPr>
            <w:r>
              <w:rPr>
                <w:spacing w:val="-2"/>
                <w:sz w:val="21"/>
              </w:rPr>
              <w:t>Wisconsin</w:t>
            </w:r>
          </w:p>
        </w:tc>
        <w:tc>
          <w:tcPr>
            <w:tcW w:w="1350" w:type="dxa"/>
          </w:tcPr>
          <w:p w:rsidR="003F5784" w14:paraId="1275F201" w14:textId="77777777">
            <w:pPr>
              <w:pStyle w:val="TableParagraph"/>
              <w:ind w:left="425"/>
              <w:jc w:val="left"/>
              <w:rPr>
                <w:sz w:val="21"/>
              </w:rPr>
            </w:pPr>
            <w:r>
              <w:rPr>
                <w:spacing w:val="-2"/>
                <w:sz w:val="21"/>
              </w:rPr>
              <w:t>90.73</w:t>
            </w:r>
          </w:p>
        </w:tc>
        <w:tc>
          <w:tcPr>
            <w:tcW w:w="1530" w:type="dxa"/>
          </w:tcPr>
          <w:p w:rsidR="003F5784" w14:paraId="51D1D9B8" w14:textId="77777777">
            <w:pPr>
              <w:pStyle w:val="TableParagraph"/>
              <w:ind w:left="9" w:right="8"/>
              <w:jc w:val="center"/>
              <w:rPr>
                <w:sz w:val="21"/>
              </w:rPr>
            </w:pPr>
            <w:r>
              <w:rPr>
                <w:spacing w:val="-4"/>
                <w:sz w:val="21"/>
              </w:rPr>
              <w:t>0.76</w:t>
            </w:r>
          </w:p>
        </w:tc>
        <w:tc>
          <w:tcPr>
            <w:tcW w:w="1800" w:type="dxa"/>
          </w:tcPr>
          <w:p w:rsidR="003F5784" w14:paraId="7A9A3B03" w14:textId="77777777">
            <w:pPr>
              <w:pStyle w:val="TableParagraph"/>
              <w:ind w:right="422"/>
              <w:rPr>
                <w:sz w:val="21"/>
              </w:rPr>
            </w:pPr>
            <w:r>
              <w:rPr>
                <w:spacing w:val="-4"/>
                <w:sz w:val="21"/>
              </w:rPr>
              <w:t>0.29</w:t>
            </w:r>
          </w:p>
        </w:tc>
        <w:tc>
          <w:tcPr>
            <w:tcW w:w="1170" w:type="dxa"/>
          </w:tcPr>
          <w:p w:rsidR="003F5784" w14:paraId="09D6D3C2" w14:textId="77777777">
            <w:pPr>
              <w:pStyle w:val="TableParagraph"/>
              <w:ind w:left="2" w:right="199"/>
              <w:jc w:val="center"/>
              <w:rPr>
                <w:sz w:val="21"/>
              </w:rPr>
            </w:pPr>
            <w:r>
              <w:rPr>
                <w:spacing w:val="-2"/>
                <w:sz w:val="21"/>
              </w:rPr>
              <w:t>88.02</w:t>
            </w:r>
          </w:p>
        </w:tc>
        <w:tc>
          <w:tcPr>
            <w:tcW w:w="1614" w:type="dxa"/>
          </w:tcPr>
          <w:p w:rsidR="003F5784" w14:paraId="11868216" w14:textId="77777777">
            <w:pPr>
              <w:pStyle w:val="TableParagraph"/>
              <w:ind w:left="9" w:right="8"/>
              <w:jc w:val="center"/>
              <w:rPr>
                <w:sz w:val="21"/>
              </w:rPr>
            </w:pPr>
            <w:r>
              <w:rPr>
                <w:spacing w:val="-4"/>
                <w:sz w:val="21"/>
              </w:rPr>
              <w:t>0.57</w:t>
            </w:r>
          </w:p>
        </w:tc>
        <w:tc>
          <w:tcPr>
            <w:tcW w:w="1626" w:type="dxa"/>
          </w:tcPr>
          <w:p w:rsidR="003F5784" w14:paraId="703939D7" w14:textId="77777777">
            <w:pPr>
              <w:pStyle w:val="TableParagraph"/>
              <w:ind w:right="116"/>
              <w:rPr>
                <w:sz w:val="21"/>
              </w:rPr>
            </w:pPr>
            <w:r>
              <w:rPr>
                <w:spacing w:val="-4"/>
                <w:sz w:val="21"/>
              </w:rPr>
              <w:t>0.30</w:t>
            </w:r>
          </w:p>
        </w:tc>
      </w:tr>
      <w:tr w14:paraId="3CB14FA5"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121855A0" w14:textId="77777777">
            <w:pPr>
              <w:pStyle w:val="TableParagraph"/>
              <w:ind w:left="120"/>
              <w:jc w:val="left"/>
              <w:rPr>
                <w:sz w:val="21"/>
              </w:rPr>
            </w:pPr>
            <w:r>
              <w:rPr>
                <w:spacing w:val="-2"/>
                <w:sz w:val="21"/>
              </w:rPr>
              <w:t>Wyoming</w:t>
            </w:r>
          </w:p>
        </w:tc>
        <w:tc>
          <w:tcPr>
            <w:tcW w:w="1350" w:type="dxa"/>
          </w:tcPr>
          <w:p w:rsidR="003F5784" w14:paraId="4A998BD4" w14:textId="77777777">
            <w:pPr>
              <w:pStyle w:val="TableParagraph"/>
              <w:ind w:left="425"/>
              <w:jc w:val="left"/>
              <w:rPr>
                <w:sz w:val="21"/>
              </w:rPr>
            </w:pPr>
            <w:r>
              <w:rPr>
                <w:spacing w:val="-2"/>
                <w:sz w:val="21"/>
              </w:rPr>
              <w:t>91.74</w:t>
            </w:r>
          </w:p>
        </w:tc>
        <w:tc>
          <w:tcPr>
            <w:tcW w:w="1530" w:type="dxa"/>
          </w:tcPr>
          <w:p w:rsidR="003F5784" w14:paraId="7F962066" w14:textId="77777777">
            <w:pPr>
              <w:pStyle w:val="TableParagraph"/>
              <w:ind w:left="9" w:right="8"/>
              <w:jc w:val="center"/>
              <w:rPr>
                <w:sz w:val="21"/>
              </w:rPr>
            </w:pPr>
            <w:r>
              <w:rPr>
                <w:spacing w:val="-4"/>
                <w:sz w:val="21"/>
              </w:rPr>
              <w:t>1.56</w:t>
            </w:r>
          </w:p>
        </w:tc>
        <w:tc>
          <w:tcPr>
            <w:tcW w:w="1800" w:type="dxa"/>
          </w:tcPr>
          <w:p w:rsidR="003F5784" w14:paraId="3D65E7D5" w14:textId="77777777">
            <w:pPr>
              <w:pStyle w:val="TableParagraph"/>
              <w:ind w:right="422"/>
              <w:rPr>
                <w:sz w:val="21"/>
              </w:rPr>
            </w:pPr>
            <w:r>
              <w:rPr>
                <w:spacing w:val="-4"/>
                <w:sz w:val="21"/>
              </w:rPr>
              <w:t>0.43</w:t>
            </w:r>
          </w:p>
        </w:tc>
        <w:tc>
          <w:tcPr>
            <w:tcW w:w="1170" w:type="dxa"/>
          </w:tcPr>
          <w:p w:rsidR="003F5784" w14:paraId="097BBD1C" w14:textId="77777777">
            <w:pPr>
              <w:pStyle w:val="TableParagraph"/>
              <w:ind w:left="2" w:right="199"/>
              <w:jc w:val="center"/>
              <w:rPr>
                <w:sz w:val="21"/>
              </w:rPr>
            </w:pPr>
            <w:r>
              <w:rPr>
                <w:spacing w:val="-2"/>
                <w:sz w:val="21"/>
              </w:rPr>
              <w:t>87.19</w:t>
            </w:r>
          </w:p>
        </w:tc>
        <w:tc>
          <w:tcPr>
            <w:tcW w:w="1614" w:type="dxa"/>
          </w:tcPr>
          <w:p w:rsidR="003F5784" w14:paraId="6B128FC5" w14:textId="77777777">
            <w:pPr>
              <w:pStyle w:val="TableParagraph"/>
              <w:ind w:left="9" w:right="8"/>
              <w:jc w:val="center"/>
              <w:rPr>
                <w:sz w:val="21"/>
              </w:rPr>
            </w:pPr>
            <w:r>
              <w:rPr>
                <w:spacing w:val="-4"/>
                <w:sz w:val="21"/>
              </w:rPr>
              <w:t>1.20</w:t>
            </w:r>
          </w:p>
        </w:tc>
        <w:tc>
          <w:tcPr>
            <w:tcW w:w="1626" w:type="dxa"/>
          </w:tcPr>
          <w:p w:rsidR="003F5784" w14:paraId="42226609" w14:textId="77777777">
            <w:pPr>
              <w:pStyle w:val="TableParagraph"/>
              <w:ind w:right="116"/>
              <w:rPr>
                <w:sz w:val="21"/>
              </w:rPr>
            </w:pPr>
            <w:r>
              <w:rPr>
                <w:spacing w:val="-4"/>
                <w:sz w:val="21"/>
              </w:rPr>
              <w:t>0.48</w:t>
            </w:r>
          </w:p>
        </w:tc>
      </w:tr>
      <w:tr w14:paraId="0B5296A7" w14:textId="77777777" w:rsidTr="00E3225D">
        <w:tblPrEx>
          <w:tblW w:w="0" w:type="auto"/>
          <w:tblInd w:w="482" w:type="dxa"/>
          <w:tblLayout w:type="fixed"/>
          <w:tblCellMar>
            <w:left w:w="0" w:type="dxa"/>
            <w:right w:w="0" w:type="dxa"/>
          </w:tblCellMar>
          <w:tblLook w:val="01E0"/>
        </w:tblPrEx>
        <w:trPr>
          <w:trHeight w:val="286"/>
        </w:trPr>
        <w:tc>
          <w:tcPr>
            <w:tcW w:w="14008" w:type="dxa"/>
            <w:gridSpan w:val="7"/>
          </w:tcPr>
          <w:p w:rsidR="003F5784" w14:paraId="794947C0" w14:textId="77777777">
            <w:pPr>
              <w:pStyle w:val="TableParagraph"/>
              <w:ind w:left="120"/>
              <w:jc w:val="left"/>
              <w:rPr>
                <w:sz w:val="21"/>
              </w:rPr>
            </w:pPr>
            <w:r>
              <w:rPr>
                <w:sz w:val="21"/>
              </w:rPr>
              <w:t>Other</w:t>
            </w:r>
            <w:r>
              <w:rPr>
                <w:spacing w:val="-6"/>
                <w:sz w:val="21"/>
              </w:rPr>
              <w:t xml:space="preserve"> </w:t>
            </w:r>
            <w:r>
              <w:rPr>
                <w:spacing w:val="-2"/>
                <w:sz w:val="21"/>
              </w:rPr>
              <w:t>jurisdictions</w:t>
            </w:r>
          </w:p>
        </w:tc>
      </w:tr>
      <w:tr w14:paraId="3F8A3953"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7A6A288E" w14:textId="77777777">
            <w:pPr>
              <w:pStyle w:val="TableParagraph"/>
              <w:ind w:left="328"/>
              <w:jc w:val="left"/>
              <w:rPr>
                <w:sz w:val="21"/>
              </w:rPr>
            </w:pPr>
            <w:r>
              <w:rPr>
                <w:sz w:val="21"/>
              </w:rPr>
              <w:t>Department</w:t>
            </w:r>
            <w:r>
              <w:rPr>
                <w:spacing w:val="-13"/>
                <w:sz w:val="21"/>
              </w:rPr>
              <w:t xml:space="preserve"> </w:t>
            </w:r>
            <w:r>
              <w:rPr>
                <w:sz w:val="21"/>
              </w:rPr>
              <w:t>of</w:t>
            </w:r>
            <w:r>
              <w:rPr>
                <w:spacing w:val="-8"/>
                <w:sz w:val="21"/>
              </w:rPr>
              <w:t xml:space="preserve"> </w:t>
            </w:r>
            <w:r>
              <w:rPr>
                <w:sz w:val="21"/>
              </w:rPr>
              <w:t>Defense</w:t>
            </w:r>
            <w:r>
              <w:rPr>
                <w:spacing w:val="-8"/>
                <w:sz w:val="21"/>
              </w:rPr>
              <w:t xml:space="preserve"> </w:t>
            </w:r>
            <w:r>
              <w:rPr>
                <w:sz w:val="21"/>
              </w:rPr>
              <w:t>Education</w:t>
            </w:r>
            <w:r>
              <w:rPr>
                <w:spacing w:val="-13"/>
                <w:sz w:val="21"/>
              </w:rPr>
              <w:t xml:space="preserve"> </w:t>
            </w:r>
            <w:r>
              <w:rPr>
                <w:sz w:val="21"/>
              </w:rPr>
              <w:t>Activity</w:t>
            </w:r>
            <w:r>
              <w:rPr>
                <w:spacing w:val="-8"/>
                <w:sz w:val="21"/>
              </w:rPr>
              <w:t xml:space="preserve"> </w:t>
            </w:r>
            <w:r>
              <w:rPr>
                <w:spacing w:val="-2"/>
                <w:sz w:val="21"/>
              </w:rPr>
              <w:t>(DoDEA)</w:t>
            </w:r>
          </w:p>
        </w:tc>
        <w:tc>
          <w:tcPr>
            <w:tcW w:w="1350" w:type="dxa"/>
          </w:tcPr>
          <w:p w:rsidR="003F5784" w14:paraId="55A2D003" w14:textId="77777777">
            <w:pPr>
              <w:pStyle w:val="TableParagraph"/>
              <w:ind w:left="425"/>
              <w:jc w:val="left"/>
              <w:rPr>
                <w:sz w:val="21"/>
              </w:rPr>
            </w:pPr>
            <w:r>
              <w:rPr>
                <w:spacing w:val="-2"/>
                <w:sz w:val="21"/>
              </w:rPr>
              <w:t>89.71</w:t>
            </w:r>
          </w:p>
        </w:tc>
        <w:tc>
          <w:tcPr>
            <w:tcW w:w="1530" w:type="dxa"/>
          </w:tcPr>
          <w:p w:rsidR="003F5784" w14:paraId="6212E9D1" w14:textId="77777777">
            <w:pPr>
              <w:pStyle w:val="TableParagraph"/>
              <w:ind w:left="9" w:right="8"/>
              <w:jc w:val="center"/>
              <w:rPr>
                <w:sz w:val="21"/>
              </w:rPr>
            </w:pPr>
            <w:r>
              <w:rPr>
                <w:spacing w:val="-4"/>
                <w:sz w:val="21"/>
              </w:rPr>
              <w:t>1.18</w:t>
            </w:r>
          </w:p>
        </w:tc>
        <w:tc>
          <w:tcPr>
            <w:tcW w:w="1800" w:type="dxa"/>
          </w:tcPr>
          <w:p w:rsidR="003F5784" w14:paraId="0AA0D1E4" w14:textId="77777777">
            <w:pPr>
              <w:pStyle w:val="TableParagraph"/>
              <w:ind w:right="422"/>
              <w:rPr>
                <w:sz w:val="21"/>
              </w:rPr>
            </w:pPr>
            <w:r>
              <w:rPr>
                <w:spacing w:val="-4"/>
                <w:sz w:val="21"/>
              </w:rPr>
              <w:t>0.74</w:t>
            </w:r>
          </w:p>
        </w:tc>
        <w:tc>
          <w:tcPr>
            <w:tcW w:w="1170" w:type="dxa"/>
          </w:tcPr>
          <w:p w:rsidR="003F5784" w14:paraId="56A0DEEF" w14:textId="77777777">
            <w:pPr>
              <w:pStyle w:val="TableParagraph"/>
              <w:ind w:left="2" w:right="199"/>
              <w:jc w:val="center"/>
              <w:rPr>
                <w:sz w:val="21"/>
              </w:rPr>
            </w:pPr>
            <w:r>
              <w:rPr>
                <w:spacing w:val="-2"/>
                <w:sz w:val="21"/>
              </w:rPr>
              <w:t>89.68</w:t>
            </w:r>
          </w:p>
        </w:tc>
        <w:tc>
          <w:tcPr>
            <w:tcW w:w="1614" w:type="dxa"/>
          </w:tcPr>
          <w:p w:rsidR="003F5784" w14:paraId="74955F1F" w14:textId="77777777">
            <w:pPr>
              <w:pStyle w:val="TableParagraph"/>
              <w:ind w:left="9" w:right="8"/>
              <w:jc w:val="center"/>
              <w:rPr>
                <w:sz w:val="21"/>
              </w:rPr>
            </w:pPr>
            <w:r>
              <w:rPr>
                <w:spacing w:val="-4"/>
                <w:sz w:val="21"/>
              </w:rPr>
              <w:t>1.15</w:t>
            </w:r>
          </w:p>
        </w:tc>
        <w:tc>
          <w:tcPr>
            <w:tcW w:w="1626" w:type="dxa"/>
          </w:tcPr>
          <w:p w:rsidR="003F5784" w14:paraId="216F2279" w14:textId="77777777">
            <w:pPr>
              <w:pStyle w:val="TableParagraph"/>
              <w:ind w:right="116"/>
              <w:rPr>
                <w:sz w:val="21"/>
              </w:rPr>
            </w:pPr>
            <w:r>
              <w:rPr>
                <w:spacing w:val="-4"/>
                <w:sz w:val="21"/>
              </w:rPr>
              <w:t>0.63</w:t>
            </w:r>
          </w:p>
        </w:tc>
      </w:tr>
      <w:tr w14:paraId="7A789E6A"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34C5F5ED" w14:textId="77777777">
            <w:pPr>
              <w:pStyle w:val="TableParagraph"/>
              <w:ind w:left="328"/>
              <w:jc w:val="left"/>
              <w:rPr>
                <w:sz w:val="21"/>
              </w:rPr>
            </w:pPr>
            <w:r>
              <w:rPr>
                <w:sz w:val="21"/>
              </w:rPr>
              <w:t>District</w:t>
            </w:r>
            <w:r>
              <w:rPr>
                <w:spacing w:val="-7"/>
                <w:sz w:val="21"/>
              </w:rPr>
              <w:t xml:space="preserve"> </w:t>
            </w:r>
            <w:r>
              <w:rPr>
                <w:sz w:val="21"/>
              </w:rPr>
              <w:t>of</w:t>
            </w:r>
            <w:r>
              <w:rPr>
                <w:spacing w:val="-6"/>
                <w:sz w:val="21"/>
              </w:rPr>
              <w:t xml:space="preserve"> </w:t>
            </w:r>
            <w:r>
              <w:rPr>
                <w:sz w:val="21"/>
              </w:rPr>
              <w:t>Columbia</w:t>
            </w:r>
            <w:r>
              <w:rPr>
                <w:spacing w:val="-7"/>
                <w:sz w:val="21"/>
              </w:rPr>
              <w:t xml:space="preserve"> </w:t>
            </w:r>
            <w:r>
              <w:rPr>
                <w:spacing w:val="-2"/>
                <w:sz w:val="21"/>
              </w:rPr>
              <w:t>(TUDA)</w:t>
            </w:r>
          </w:p>
        </w:tc>
        <w:tc>
          <w:tcPr>
            <w:tcW w:w="1350" w:type="dxa"/>
          </w:tcPr>
          <w:p w:rsidR="003F5784" w14:paraId="29785798" w14:textId="77777777">
            <w:pPr>
              <w:pStyle w:val="TableParagraph"/>
              <w:ind w:left="425"/>
              <w:jc w:val="left"/>
              <w:rPr>
                <w:sz w:val="21"/>
              </w:rPr>
            </w:pPr>
            <w:r>
              <w:rPr>
                <w:spacing w:val="-2"/>
                <w:sz w:val="21"/>
              </w:rPr>
              <w:t>88.64</w:t>
            </w:r>
          </w:p>
        </w:tc>
        <w:tc>
          <w:tcPr>
            <w:tcW w:w="1530" w:type="dxa"/>
          </w:tcPr>
          <w:p w:rsidR="003F5784" w14:paraId="08C53B89" w14:textId="77777777">
            <w:pPr>
              <w:pStyle w:val="TableParagraph"/>
              <w:ind w:left="9" w:right="8"/>
              <w:jc w:val="center"/>
              <w:rPr>
                <w:sz w:val="21"/>
              </w:rPr>
            </w:pPr>
            <w:r>
              <w:rPr>
                <w:spacing w:val="-4"/>
                <w:sz w:val="21"/>
              </w:rPr>
              <w:t>3.89</w:t>
            </w:r>
          </w:p>
        </w:tc>
        <w:tc>
          <w:tcPr>
            <w:tcW w:w="1800" w:type="dxa"/>
          </w:tcPr>
          <w:p w:rsidR="003F5784" w14:paraId="1189BE08" w14:textId="77777777">
            <w:pPr>
              <w:pStyle w:val="TableParagraph"/>
              <w:ind w:right="422"/>
              <w:rPr>
                <w:sz w:val="21"/>
              </w:rPr>
            </w:pPr>
            <w:r>
              <w:rPr>
                <w:spacing w:val="-4"/>
                <w:sz w:val="21"/>
              </w:rPr>
              <w:t>2.41</w:t>
            </w:r>
          </w:p>
        </w:tc>
        <w:tc>
          <w:tcPr>
            <w:tcW w:w="1170" w:type="dxa"/>
          </w:tcPr>
          <w:p w:rsidR="003F5784" w14:paraId="6C4BE26A" w14:textId="77777777">
            <w:pPr>
              <w:pStyle w:val="TableParagraph"/>
              <w:ind w:left="2" w:right="199"/>
              <w:jc w:val="center"/>
              <w:rPr>
                <w:sz w:val="21"/>
              </w:rPr>
            </w:pPr>
            <w:r>
              <w:rPr>
                <w:spacing w:val="-2"/>
                <w:sz w:val="21"/>
              </w:rPr>
              <w:t>83.17</w:t>
            </w:r>
          </w:p>
        </w:tc>
        <w:tc>
          <w:tcPr>
            <w:tcW w:w="1614" w:type="dxa"/>
          </w:tcPr>
          <w:p w:rsidR="003F5784" w14:paraId="3639EE7A" w14:textId="77777777">
            <w:pPr>
              <w:pStyle w:val="TableParagraph"/>
              <w:ind w:left="9" w:right="8"/>
              <w:jc w:val="center"/>
              <w:rPr>
                <w:sz w:val="21"/>
              </w:rPr>
            </w:pPr>
            <w:r>
              <w:rPr>
                <w:spacing w:val="-4"/>
                <w:sz w:val="21"/>
              </w:rPr>
              <w:t>2.74</w:t>
            </w:r>
          </w:p>
        </w:tc>
        <w:tc>
          <w:tcPr>
            <w:tcW w:w="1626" w:type="dxa"/>
          </w:tcPr>
          <w:p w:rsidR="003F5784" w14:paraId="677E7C6F" w14:textId="77777777">
            <w:pPr>
              <w:pStyle w:val="TableParagraph"/>
              <w:ind w:right="116"/>
              <w:rPr>
                <w:sz w:val="21"/>
              </w:rPr>
            </w:pPr>
            <w:r>
              <w:rPr>
                <w:spacing w:val="-4"/>
                <w:sz w:val="21"/>
              </w:rPr>
              <w:t>2.31</w:t>
            </w:r>
          </w:p>
        </w:tc>
      </w:tr>
      <w:tr w14:paraId="4E1F07FF" w14:textId="77777777" w:rsidTr="00E3225D">
        <w:tblPrEx>
          <w:tblW w:w="0" w:type="auto"/>
          <w:tblInd w:w="482" w:type="dxa"/>
          <w:tblLayout w:type="fixed"/>
          <w:tblCellMar>
            <w:left w:w="0" w:type="dxa"/>
            <w:right w:w="0" w:type="dxa"/>
          </w:tblCellMar>
          <w:tblLook w:val="01E0"/>
        </w:tblPrEx>
        <w:trPr>
          <w:trHeight w:val="289"/>
        </w:trPr>
        <w:tc>
          <w:tcPr>
            <w:tcW w:w="4918" w:type="dxa"/>
            <w:tcBorders>
              <w:bottom w:val="single" w:sz="18" w:space="0" w:color="800000"/>
            </w:tcBorders>
          </w:tcPr>
          <w:p w:rsidR="003F5784" w14:paraId="00623E86" w14:textId="77777777">
            <w:pPr>
              <w:pStyle w:val="TableParagraph"/>
              <w:ind w:left="328"/>
              <w:jc w:val="left"/>
              <w:rPr>
                <w:sz w:val="21"/>
              </w:rPr>
            </w:pPr>
            <w:r>
              <w:rPr>
                <w:sz w:val="21"/>
              </w:rPr>
              <w:t>District</w:t>
            </w:r>
            <w:r>
              <w:rPr>
                <w:spacing w:val="-6"/>
                <w:sz w:val="21"/>
              </w:rPr>
              <w:t xml:space="preserve"> </w:t>
            </w:r>
            <w:r>
              <w:rPr>
                <w:sz w:val="21"/>
              </w:rPr>
              <w:t>of</w:t>
            </w:r>
            <w:r>
              <w:rPr>
                <w:spacing w:val="-5"/>
                <w:sz w:val="21"/>
              </w:rPr>
              <w:t xml:space="preserve"> </w:t>
            </w:r>
            <w:r>
              <w:rPr>
                <w:spacing w:val="-2"/>
                <w:sz w:val="21"/>
              </w:rPr>
              <w:t>Columbia</w:t>
            </w:r>
          </w:p>
        </w:tc>
        <w:tc>
          <w:tcPr>
            <w:tcW w:w="1350" w:type="dxa"/>
            <w:tcBorders>
              <w:bottom w:val="single" w:sz="18" w:space="0" w:color="800000"/>
            </w:tcBorders>
          </w:tcPr>
          <w:p w:rsidR="003F5784" w14:paraId="54055174" w14:textId="77777777">
            <w:pPr>
              <w:pStyle w:val="TableParagraph"/>
              <w:ind w:left="425"/>
              <w:jc w:val="left"/>
              <w:rPr>
                <w:sz w:val="21"/>
              </w:rPr>
            </w:pPr>
            <w:r>
              <w:rPr>
                <w:spacing w:val="-2"/>
                <w:sz w:val="21"/>
              </w:rPr>
              <w:t>87.75</w:t>
            </w:r>
          </w:p>
        </w:tc>
        <w:tc>
          <w:tcPr>
            <w:tcW w:w="1530" w:type="dxa"/>
            <w:tcBorders>
              <w:bottom w:val="single" w:sz="18" w:space="0" w:color="800000"/>
            </w:tcBorders>
          </w:tcPr>
          <w:p w:rsidR="003F5784" w14:paraId="6B12A083" w14:textId="77777777">
            <w:pPr>
              <w:pStyle w:val="TableParagraph"/>
              <w:ind w:left="9" w:right="8"/>
              <w:jc w:val="center"/>
              <w:rPr>
                <w:sz w:val="21"/>
              </w:rPr>
            </w:pPr>
            <w:r>
              <w:rPr>
                <w:spacing w:val="-4"/>
                <w:sz w:val="21"/>
              </w:rPr>
              <w:t>3.07</w:t>
            </w:r>
          </w:p>
        </w:tc>
        <w:tc>
          <w:tcPr>
            <w:tcW w:w="1800" w:type="dxa"/>
            <w:tcBorders>
              <w:bottom w:val="single" w:sz="18" w:space="0" w:color="800000"/>
            </w:tcBorders>
          </w:tcPr>
          <w:p w:rsidR="003F5784" w14:paraId="44A4B3DB" w14:textId="77777777">
            <w:pPr>
              <w:pStyle w:val="TableParagraph"/>
              <w:ind w:right="422"/>
              <w:rPr>
                <w:sz w:val="21"/>
              </w:rPr>
            </w:pPr>
            <w:r>
              <w:rPr>
                <w:spacing w:val="-4"/>
                <w:sz w:val="21"/>
              </w:rPr>
              <w:t>1.53</w:t>
            </w:r>
          </w:p>
        </w:tc>
        <w:tc>
          <w:tcPr>
            <w:tcW w:w="1170" w:type="dxa"/>
            <w:tcBorders>
              <w:bottom w:val="single" w:sz="18" w:space="0" w:color="800000"/>
            </w:tcBorders>
          </w:tcPr>
          <w:p w:rsidR="003F5784" w14:paraId="7D94B28B" w14:textId="77777777">
            <w:pPr>
              <w:pStyle w:val="TableParagraph"/>
              <w:ind w:left="2" w:right="199"/>
              <w:jc w:val="center"/>
              <w:rPr>
                <w:sz w:val="21"/>
              </w:rPr>
            </w:pPr>
            <w:r>
              <w:rPr>
                <w:spacing w:val="-2"/>
                <w:sz w:val="21"/>
              </w:rPr>
              <w:t>83.75</w:t>
            </w:r>
          </w:p>
        </w:tc>
        <w:tc>
          <w:tcPr>
            <w:tcW w:w="1614" w:type="dxa"/>
            <w:tcBorders>
              <w:bottom w:val="single" w:sz="18" w:space="0" w:color="800000"/>
            </w:tcBorders>
          </w:tcPr>
          <w:p w:rsidR="003F5784" w14:paraId="4C928478" w14:textId="77777777">
            <w:pPr>
              <w:pStyle w:val="TableParagraph"/>
              <w:ind w:left="9" w:right="8"/>
              <w:jc w:val="center"/>
              <w:rPr>
                <w:sz w:val="21"/>
              </w:rPr>
            </w:pPr>
            <w:r>
              <w:rPr>
                <w:spacing w:val="-4"/>
                <w:sz w:val="21"/>
              </w:rPr>
              <w:t>2.12</w:t>
            </w:r>
          </w:p>
        </w:tc>
        <w:tc>
          <w:tcPr>
            <w:tcW w:w="1626" w:type="dxa"/>
            <w:tcBorders>
              <w:bottom w:val="single" w:sz="18" w:space="0" w:color="800000"/>
            </w:tcBorders>
          </w:tcPr>
          <w:p w:rsidR="003F5784" w14:paraId="2BF0C0BE" w14:textId="77777777">
            <w:pPr>
              <w:pStyle w:val="TableParagraph"/>
              <w:ind w:right="116"/>
              <w:rPr>
                <w:sz w:val="21"/>
              </w:rPr>
            </w:pPr>
            <w:r>
              <w:rPr>
                <w:spacing w:val="-4"/>
                <w:sz w:val="21"/>
              </w:rPr>
              <w:t>1.38</w:t>
            </w:r>
          </w:p>
        </w:tc>
      </w:tr>
    </w:tbl>
    <w:p w:rsidR="003F5784" w14:paraId="1782ACB6" w14:textId="77777777">
      <w:pPr>
        <w:rPr>
          <w:sz w:val="21"/>
        </w:rPr>
        <w:sectPr>
          <w:pgSz w:w="15840" w:h="12240" w:orient="landscape"/>
          <w:pgMar w:top="480" w:right="440" w:bottom="1100" w:left="460" w:header="284" w:footer="918" w:gutter="0"/>
          <w:cols w:space="720"/>
        </w:sectPr>
      </w:pPr>
    </w:p>
    <w:p w:rsidR="003F5784" w14:paraId="0B288B40" w14:textId="77777777">
      <w:pPr>
        <w:pStyle w:val="BodyText"/>
        <w:rPr>
          <w:sz w:val="18"/>
        </w:rPr>
      </w:pPr>
    </w:p>
    <w:p w:rsidR="003F5784" w14:paraId="2D72D484" w14:textId="77777777">
      <w:pPr>
        <w:pStyle w:val="BodyText"/>
        <w:rPr>
          <w:sz w:val="18"/>
        </w:rPr>
      </w:pPr>
    </w:p>
    <w:p w:rsidR="003F5784" w14:paraId="294FA39F" w14:textId="77777777">
      <w:pPr>
        <w:pStyle w:val="BodyText"/>
        <w:rPr>
          <w:sz w:val="18"/>
        </w:rPr>
      </w:pPr>
    </w:p>
    <w:p w:rsidR="003F5784" w14:paraId="6F44D22A" w14:textId="77777777">
      <w:pPr>
        <w:pStyle w:val="BodyText"/>
        <w:rPr>
          <w:sz w:val="18"/>
        </w:rPr>
      </w:pPr>
    </w:p>
    <w:p w:rsidR="003F5784" w14:paraId="3E3F996F" w14:textId="77777777">
      <w:pPr>
        <w:pStyle w:val="BodyText"/>
        <w:spacing w:before="173"/>
        <w:rPr>
          <w:sz w:val="18"/>
        </w:rPr>
      </w:pPr>
    </w:p>
    <w:p w:rsidR="003F5784" w14:paraId="28EDFAB0" w14:textId="77777777">
      <w:pPr>
        <w:ind w:left="2926"/>
        <w:rPr>
          <w:sz w:val="18"/>
        </w:rPr>
      </w:pPr>
      <w:hyperlink r:id="rId294">
        <w:r>
          <w:rPr>
            <w:spacing w:val="-2"/>
            <w:w w:val="105"/>
            <w:sz w:val="18"/>
          </w:rPr>
          <w:t>http://nces.ed.gov/nationsreportcard/tdw/sample_design/2022/weighted_student_response_and_exclusion_rates_for_the_2022_state_reading_assessment.aspx</w:t>
        </w:r>
      </w:hyperlink>
    </w:p>
    <w:p w:rsidR="003F5784" w14:paraId="4CB6F0BA" w14:textId="77777777">
      <w:pPr>
        <w:pStyle w:val="BodyText"/>
        <w:spacing w:before="1"/>
        <w:rPr>
          <w:sz w:val="16"/>
        </w:rPr>
      </w:pPr>
      <w:r>
        <w:rPr>
          <w:noProof/>
        </w:rPr>
        <mc:AlternateContent>
          <mc:Choice Requires="wps">
            <w:drawing>
              <wp:anchor distT="0" distB="0" distL="0" distR="0" simplePos="0" relativeHeight="251935744" behindDoc="1" locked="0" layoutInCell="1" allowOverlap="1">
                <wp:simplePos x="0" y="0"/>
                <wp:positionH relativeFrom="page">
                  <wp:posOffset>361937</wp:posOffset>
                </wp:positionH>
                <wp:positionV relativeFrom="paragraph">
                  <wp:posOffset>132727</wp:posOffset>
                </wp:positionV>
                <wp:extent cx="9339580" cy="8890"/>
                <wp:effectExtent l="0" t="0" r="0" b="0"/>
                <wp:wrapTopAndBottom/>
                <wp:docPr id="389" name="Graphic 389"/>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80"/>
                              </a:lnTo>
                              <a:lnTo>
                                <a:pt x="9335110" y="8305"/>
                              </a:lnTo>
                              <a:lnTo>
                                <a:pt x="9338970" y="8305"/>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389" o:spid="_x0000_s1145" style="width:735.4pt;height:0.7pt;margin-top:10.45pt;margin-left:28.5pt;mso-position-horizontal-relative:page;mso-wrap-distance-bottom:0;mso-wrap-distance-left:0;mso-wrap-distance-right:0;mso-wrap-distance-top:0;mso-wrap-style:square;position:absolute;visibility:visible;v-text-anchor:top;z-index:-251379712" coordsize="9339580,8890" path="m9338970,25l9335110,25l8280,25,,,,8280l9335110,8305l9338970,8305l9338970,25xe" fillcolor="gray" stroked="f">
                <v:path arrowok="t"/>
                <w10:wrap type="topAndBottom"/>
              </v:shape>
            </w:pict>
          </mc:Fallback>
        </mc:AlternateContent>
      </w:r>
    </w:p>
    <w:p w:rsidR="003F5784" w14:paraId="213DF1A7" w14:textId="77777777">
      <w:pPr>
        <w:pStyle w:val="BodyText"/>
        <w:rPr>
          <w:sz w:val="18"/>
        </w:rPr>
      </w:pPr>
    </w:p>
    <w:p w:rsidR="003F5784" w14:paraId="606C6497" w14:textId="77777777">
      <w:pPr>
        <w:pStyle w:val="BodyText"/>
        <w:spacing w:before="193"/>
        <w:rPr>
          <w:sz w:val="18"/>
        </w:rPr>
      </w:pPr>
    </w:p>
    <w:p w:rsidR="003F5784" w14:paraId="395BD54A" w14:textId="41DFA574">
      <w:pPr>
        <w:pStyle w:val="Heading1"/>
        <w:spacing w:line="244" w:lineRule="auto"/>
      </w:pPr>
      <w:r>
        <w:t>NAEP</w:t>
      </w:r>
      <w:r>
        <w:rPr>
          <w:spacing w:val="-16"/>
        </w:rPr>
        <w:t xml:space="preserve"> </w:t>
      </w:r>
      <w:r>
        <w:t>Technical Documentation</w:t>
      </w:r>
      <w:r w:rsidR="00E3225D">
        <w:t xml:space="preserve"> </w:t>
      </w:r>
      <w:r>
        <w:t xml:space="preserve">School Sample Selection for the 2022 State </w:t>
      </w:r>
      <w:r>
        <w:rPr>
          <w:spacing w:val="-2"/>
        </w:rPr>
        <w:t>Assessment</w:t>
      </w:r>
    </w:p>
    <w:p w:rsidR="003F5784" w14:paraId="131248F5" w14:textId="77777777">
      <w:pPr>
        <w:pStyle w:val="BodyText"/>
        <w:spacing w:before="7"/>
        <w:rPr>
          <w:b/>
          <w:sz w:val="16"/>
        </w:rPr>
      </w:pPr>
    </w:p>
    <w:p w:rsidR="003F5784" w14:paraId="3F85A703" w14:textId="77777777">
      <w:pPr>
        <w:rPr>
          <w:sz w:val="16"/>
        </w:rPr>
        <w:sectPr>
          <w:headerReference w:type="default" r:id="rId295"/>
          <w:footerReference w:type="default" r:id="rId296"/>
          <w:pgSz w:w="15840" w:h="12240" w:orient="landscape"/>
          <w:pgMar w:top="480" w:right="440" w:bottom="460" w:left="460" w:header="284" w:footer="275" w:gutter="0"/>
          <w:cols w:space="720"/>
        </w:sectPr>
      </w:pPr>
    </w:p>
    <w:p w:rsidR="003F5784" w14:paraId="0564E6ED" w14:textId="77777777">
      <w:pPr>
        <w:pStyle w:val="BodyText"/>
        <w:spacing w:before="96" w:line="232" w:lineRule="auto"/>
        <w:ind w:left="109"/>
      </w:pPr>
      <w:r>
        <w:t>The sampled schools for the fourth- and eighth-grade public school state assessments in mathematics and reading came from two frames:</w:t>
      </w:r>
      <w:r>
        <w:rPr>
          <w:spacing w:val="-3"/>
        </w:rPr>
        <w:t xml:space="preserve"> </w:t>
      </w:r>
      <w:r>
        <w:t>the</w:t>
      </w:r>
      <w:r>
        <w:rPr>
          <w:spacing w:val="-3"/>
        </w:rPr>
        <w:t xml:space="preserve"> </w:t>
      </w:r>
      <w:r>
        <w:t>primary</w:t>
      </w:r>
      <w:r>
        <w:rPr>
          <w:spacing w:val="-3"/>
        </w:rPr>
        <w:t xml:space="preserve"> </w:t>
      </w:r>
      <w:r>
        <w:t>public</w:t>
      </w:r>
      <w:r>
        <w:rPr>
          <w:spacing w:val="-3"/>
        </w:rPr>
        <w:t xml:space="preserve"> </w:t>
      </w:r>
      <w:r>
        <w:t>school</w:t>
      </w:r>
      <w:r>
        <w:rPr>
          <w:spacing w:val="-3"/>
        </w:rPr>
        <w:t xml:space="preserve"> </w:t>
      </w:r>
      <w:r>
        <w:t>sample</w:t>
      </w:r>
      <w:r>
        <w:rPr>
          <w:spacing w:val="-3"/>
        </w:rPr>
        <w:t xml:space="preserve"> </w:t>
      </w:r>
      <w:r>
        <w:t>frame</w:t>
      </w:r>
      <w:r>
        <w:rPr>
          <w:spacing w:val="-3"/>
        </w:rPr>
        <w:t xml:space="preserve"> </w:t>
      </w:r>
      <w:r>
        <w:t>constructed</w:t>
      </w:r>
      <w:r>
        <w:rPr>
          <w:spacing w:val="-3"/>
        </w:rPr>
        <w:t xml:space="preserve"> </w:t>
      </w:r>
      <w:r>
        <w:t>from</w:t>
      </w:r>
      <w:r>
        <w:rPr>
          <w:spacing w:val="-3"/>
        </w:rPr>
        <w:t xml:space="preserve"> </w:t>
      </w:r>
      <w:r>
        <w:t>the</w:t>
      </w:r>
      <w:r>
        <w:rPr>
          <w:spacing w:val="-3"/>
        </w:rPr>
        <w:t xml:space="preserve"> </w:t>
      </w:r>
      <w:r>
        <w:rPr>
          <w:color w:val="0066CC"/>
        </w:rPr>
        <w:t>Common</w:t>
      </w:r>
      <w:r>
        <w:rPr>
          <w:color w:val="0066CC"/>
          <w:spacing w:val="-3"/>
        </w:rPr>
        <w:t xml:space="preserve"> </w:t>
      </w:r>
      <w:r>
        <w:rPr>
          <w:color w:val="0066CC"/>
        </w:rPr>
        <w:t>Core</w:t>
      </w:r>
      <w:r>
        <w:rPr>
          <w:color w:val="0066CC"/>
          <w:spacing w:val="-3"/>
        </w:rPr>
        <w:t xml:space="preserve"> </w:t>
      </w:r>
      <w:r>
        <w:rPr>
          <w:color w:val="0066CC"/>
        </w:rPr>
        <w:t>of</w:t>
      </w:r>
      <w:r>
        <w:rPr>
          <w:color w:val="0066CC"/>
          <w:spacing w:val="-3"/>
        </w:rPr>
        <w:t xml:space="preserve"> </w:t>
      </w:r>
      <w:r>
        <w:rPr>
          <w:color w:val="0066CC"/>
        </w:rPr>
        <w:t>Data</w:t>
      </w:r>
      <w:r>
        <w:rPr>
          <w:color w:val="0066CC"/>
          <w:spacing w:val="-3"/>
        </w:rPr>
        <w:t xml:space="preserve"> </w:t>
      </w:r>
      <w:r>
        <w:rPr>
          <w:color w:val="0066CC"/>
        </w:rPr>
        <w:t>(CCD)</w:t>
      </w:r>
      <w:r>
        <w:rPr>
          <w:color w:val="0066CC"/>
          <w:spacing w:val="-3"/>
        </w:rPr>
        <w:t xml:space="preserve"> </w:t>
      </w:r>
      <w:r>
        <w:t>and</w:t>
      </w:r>
      <w:r>
        <w:rPr>
          <w:spacing w:val="-3"/>
        </w:rPr>
        <w:t xml:space="preserve"> </w:t>
      </w:r>
      <w:r>
        <w:t>the</w:t>
      </w:r>
      <w:r>
        <w:rPr>
          <w:spacing w:val="-3"/>
        </w:rPr>
        <w:t xml:space="preserve"> </w:t>
      </w:r>
      <w:r>
        <w:t>supplemental</w:t>
      </w:r>
      <w:r>
        <w:rPr>
          <w:spacing w:val="-3"/>
        </w:rPr>
        <w:t xml:space="preserve"> </w:t>
      </w:r>
      <w:r>
        <w:t>new-school sampling</w:t>
      </w:r>
      <w:r>
        <w:rPr>
          <w:spacing w:val="-4"/>
        </w:rPr>
        <w:t xml:space="preserve"> </w:t>
      </w:r>
      <w:r>
        <w:t>frame.</w:t>
      </w:r>
      <w:r>
        <w:rPr>
          <w:spacing w:val="-4"/>
        </w:rPr>
        <w:t xml:space="preserve"> </w:t>
      </w:r>
      <w:r>
        <w:t>Schools</w:t>
      </w:r>
      <w:r>
        <w:rPr>
          <w:spacing w:val="-4"/>
        </w:rPr>
        <w:t xml:space="preserve"> </w:t>
      </w:r>
      <w:r>
        <w:t>were</w:t>
      </w:r>
      <w:r>
        <w:rPr>
          <w:spacing w:val="-4"/>
        </w:rPr>
        <w:t xml:space="preserve"> </w:t>
      </w:r>
      <w:r>
        <w:t>sampled</w:t>
      </w:r>
      <w:r>
        <w:rPr>
          <w:spacing w:val="-4"/>
        </w:rPr>
        <w:t xml:space="preserve"> </w:t>
      </w:r>
      <w:r>
        <w:t>from</w:t>
      </w:r>
      <w:r>
        <w:rPr>
          <w:spacing w:val="-4"/>
        </w:rPr>
        <w:t xml:space="preserve"> </w:t>
      </w:r>
      <w:r>
        <w:t>each</w:t>
      </w:r>
      <w:r>
        <w:rPr>
          <w:spacing w:val="-4"/>
        </w:rPr>
        <w:t xml:space="preserve"> </w:t>
      </w:r>
      <w:r>
        <w:t>school</w:t>
      </w:r>
      <w:r>
        <w:rPr>
          <w:spacing w:val="-4"/>
        </w:rPr>
        <w:t xml:space="preserve"> </w:t>
      </w:r>
      <w:r>
        <w:t>frame</w:t>
      </w:r>
      <w:r>
        <w:rPr>
          <w:spacing w:val="-4"/>
        </w:rPr>
        <w:t xml:space="preserve"> </w:t>
      </w:r>
      <w:r>
        <w:t>with</w:t>
      </w:r>
      <w:r>
        <w:rPr>
          <w:spacing w:val="-4"/>
        </w:rPr>
        <w:t xml:space="preserve"> </w:t>
      </w:r>
      <w:r>
        <w:t>probability</w:t>
      </w:r>
      <w:r>
        <w:rPr>
          <w:spacing w:val="-4"/>
        </w:rPr>
        <w:t xml:space="preserve"> </w:t>
      </w:r>
      <w:r>
        <w:t>proportional</w:t>
      </w:r>
      <w:r>
        <w:rPr>
          <w:spacing w:val="-4"/>
        </w:rPr>
        <w:t xml:space="preserve"> </w:t>
      </w:r>
      <w:r>
        <w:t>to</w:t>
      </w:r>
      <w:r>
        <w:rPr>
          <w:spacing w:val="-4"/>
        </w:rPr>
        <w:t xml:space="preserve"> </w:t>
      </w:r>
      <w:r>
        <w:t>size</w:t>
      </w:r>
      <w:r>
        <w:rPr>
          <w:spacing w:val="-4"/>
        </w:rPr>
        <w:t xml:space="preserve"> </w:t>
      </w:r>
      <w:r>
        <w:t>(PPS)</w:t>
      </w:r>
      <w:r>
        <w:rPr>
          <w:spacing w:val="-4"/>
        </w:rPr>
        <w:t xml:space="preserve"> </w:t>
      </w:r>
      <w:r>
        <w:t>using</w:t>
      </w:r>
      <w:r>
        <w:rPr>
          <w:spacing w:val="-4"/>
        </w:rPr>
        <w:t xml:space="preserve"> </w:t>
      </w:r>
      <w:r>
        <w:t>systematic</w:t>
      </w:r>
      <w:r>
        <w:rPr>
          <w:spacing w:val="-4"/>
        </w:rPr>
        <w:t xml:space="preserve"> </w:t>
      </w:r>
      <w:r>
        <w:t>sampling. Prior</w:t>
      </w:r>
      <w:r>
        <w:rPr>
          <w:spacing w:val="-14"/>
        </w:rPr>
        <w:t xml:space="preserve"> </w:t>
      </w:r>
      <w:r>
        <w:t>to</w:t>
      </w:r>
      <w:r>
        <w:rPr>
          <w:spacing w:val="-6"/>
        </w:rPr>
        <w:t xml:space="preserve"> </w:t>
      </w:r>
      <w:r>
        <w:t>sampling,</w:t>
      </w:r>
      <w:r>
        <w:rPr>
          <w:spacing w:val="-7"/>
        </w:rPr>
        <w:t xml:space="preserve"> </w:t>
      </w:r>
      <w:r>
        <w:t>schools</w:t>
      </w:r>
      <w:r>
        <w:rPr>
          <w:spacing w:val="-7"/>
        </w:rPr>
        <w:t xml:space="preserve"> </w:t>
      </w:r>
      <w:r>
        <w:t>in</w:t>
      </w:r>
      <w:r>
        <w:rPr>
          <w:spacing w:val="-7"/>
        </w:rPr>
        <w:t xml:space="preserve"> </w:t>
      </w:r>
      <w:r>
        <w:t>each</w:t>
      </w:r>
      <w:r>
        <w:rPr>
          <w:spacing w:val="-7"/>
        </w:rPr>
        <w:t xml:space="preserve"> </w:t>
      </w:r>
      <w:r>
        <w:t>frame</w:t>
      </w:r>
      <w:r>
        <w:rPr>
          <w:spacing w:val="-7"/>
        </w:rPr>
        <w:t xml:space="preserve"> </w:t>
      </w:r>
      <w:r>
        <w:t>were</w:t>
      </w:r>
      <w:r>
        <w:rPr>
          <w:spacing w:val="-7"/>
        </w:rPr>
        <w:t xml:space="preserve"> </w:t>
      </w:r>
      <w:r>
        <w:t>sorted</w:t>
      </w:r>
      <w:r>
        <w:rPr>
          <w:spacing w:val="-7"/>
        </w:rPr>
        <w:t xml:space="preserve"> </w:t>
      </w:r>
      <w:r>
        <w:t>by</w:t>
      </w:r>
      <w:r>
        <w:rPr>
          <w:spacing w:val="-7"/>
        </w:rPr>
        <w:t xml:space="preserve"> </w:t>
      </w:r>
      <w:r>
        <w:t>the</w:t>
      </w:r>
      <w:r>
        <w:rPr>
          <w:spacing w:val="-7"/>
        </w:rPr>
        <w:t xml:space="preserve"> </w:t>
      </w:r>
      <w:r>
        <w:t>appropriate</w:t>
      </w:r>
      <w:r>
        <w:rPr>
          <w:spacing w:val="-7"/>
        </w:rPr>
        <w:t xml:space="preserve"> </w:t>
      </w:r>
      <w:r>
        <w:t>implicit</w:t>
      </w:r>
      <w:r>
        <w:rPr>
          <w:spacing w:val="-7"/>
        </w:rPr>
        <w:t xml:space="preserve"> </w:t>
      </w:r>
      <w:r>
        <w:t>stratification</w:t>
      </w:r>
      <w:r>
        <w:rPr>
          <w:spacing w:val="-7"/>
        </w:rPr>
        <w:t xml:space="preserve"> </w:t>
      </w:r>
      <w:r>
        <w:t>variables</w:t>
      </w:r>
      <w:r>
        <w:rPr>
          <w:spacing w:val="-7"/>
        </w:rPr>
        <w:t xml:space="preserve"> </w:t>
      </w:r>
      <w:r>
        <w:t>in</w:t>
      </w:r>
      <w:r>
        <w:rPr>
          <w:spacing w:val="-7"/>
        </w:rPr>
        <w:t xml:space="preserve"> </w:t>
      </w:r>
      <w:r>
        <w:t>a</w:t>
      </w:r>
      <w:r>
        <w:rPr>
          <w:spacing w:val="-7"/>
        </w:rPr>
        <w:t xml:space="preserve"> </w:t>
      </w:r>
      <w:r>
        <w:rPr>
          <w:color w:val="0066CC"/>
        </w:rPr>
        <w:t>serpentine</w:t>
      </w:r>
      <w:r>
        <w:rPr>
          <w:color w:val="0066CC"/>
          <w:spacing w:val="-7"/>
        </w:rPr>
        <w:t xml:space="preserve"> </w:t>
      </w:r>
      <w:r>
        <w:t>order.</w:t>
      </w:r>
      <w:r>
        <w:rPr>
          <w:spacing w:val="-14"/>
        </w:rPr>
        <w:t xml:space="preserve"> </w:t>
      </w:r>
      <w:r>
        <w:t>A</w:t>
      </w:r>
      <w:r>
        <w:rPr>
          <w:spacing w:val="-13"/>
        </w:rPr>
        <w:t xml:space="preserve"> </w:t>
      </w:r>
      <w:r>
        <w:t>school's measure</w:t>
      </w:r>
      <w:r>
        <w:rPr>
          <w:spacing w:val="-5"/>
        </w:rPr>
        <w:t xml:space="preserve"> </w:t>
      </w:r>
      <w:r>
        <w:t>of</w:t>
      </w:r>
      <w:r>
        <w:rPr>
          <w:spacing w:val="-5"/>
        </w:rPr>
        <w:t xml:space="preserve"> </w:t>
      </w:r>
      <w:r>
        <w:t>size</w:t>
      </w:r>
      <w:r>
        <w:rPr>
          <w:spacing w:val="-5"/>
        </w:rPr>
        <w:t xml:space="preserve"> </w:t>
      </w:r>
      <w:r>
        <w:t>was</w:t>
      </w:r>
      <w:r>
        <w:rPr>
          <w:spacing w:val="-5"/>
        </w:rPr>
        <w:t xml:space="preserve"> </w:t>
      </w:r>
      <w:r>
        <w:t>a</w:t>
      </w:r>
      <w:r>
        <w:rPr>
          <w:spacing w:val="-5"/>
        </w:rPr>
        <w:t xml:space="preserve"> </w:t>
      </w:r>
      <w:r>
        <w:t>complex</w:t>
      </w:r>
      <w:r>
        <w:rPr>
          <w:spacing w:val="-5"/>
        </w:rPr>
        <w:t xml:space="preserve"> </w:t>
      </w:r>
      <w:r>
        <w:t>function</w:t>
      </w:r>
      <w:r>
        <w:rPr>
          <w:spacing w:val="-5"/>
        </w:rPr>
        <w:t xml:space="preserve"> </w:t>
      </w:r>
      <w:r>
        <w:t>of</w:t>
      </w:r>
      <w:r>
        <w:rPr>
          <w:spacing w:val="-5"/>
        </w:rPr>
        <w:t xml:space="preserve"> </w:t>
      </w:r>
      <w:r>
        <w:t>the</w:t>
      </w:r>
      <w:r>
        <w:rPr>
          <w:spacing w:val="-5"/>
        </w:rPr>
        <w:t xml:space="preserve"> </w:t>
      </w:r>
      <w:r>
        <w:t>school's</w:t>
      </w:r>
      <w:r>
        <w:rPr>
          <w:spacing w:val="-5"/>
        </w:rPr>
        <w:t xml:space="preserve"> </w:t>
      </w:r>
      <w:r>
        <w:t>estimated</w:t>
      </w:r>
      <w:r>
        <w:rPr>
          <w:spacing w:val="-5"/>
        </w:rPr>
        <w:t xml:space="preserve"> </w:t>
      </w:r>
      <w:r>
        <w:t>grade</w:t>
      </w:r>
      <w:r>
        <w:rPr>
          <w:spacing w:val="-5"/>
        </w:rPr>
        <w:t xml:space="preserve"> </w:t>
      </w:r>
      <w:r>
        <w:t>enrollment.</w:t>
      </w:r>
      <w:r>
        <w:rPr>
          <w:spacing w:val="-5"/>
        </w:rPr>
        <w:t xml:space="preserve"> </w:t>
      </w:r>
      <w:r>
        <w:t>Schools</w:t>
      </w:r>
      <w:r>
        <w:rPr>
          <w:spacing w:val="-5"/>
        </w:rPr>
        <w:t xml:space="preserve"> </w:t>
      </w:r>
      <w:r>
        <w:t>whose</w:t>
      </w:r>
      <w:r>
        <w:rPr>
          <w:spacing w:val="-5"/>
        </w:rPr>
        <w:t xml:space="preserve"> </w:t>
      </w:r>
      <w:r>
        <w:t>measure</w:t>
      </w:r>
      <w:r>
        <w:rPr>
          <w:spacing w:val="-5"/>
        </w:rPr>
        <w:t xml:space="preserve"> </w:t>
      </w:r>
      <w:r>
        <w:t>of</w:t>
      </w:r>
      <w:r>
        <w:rPr>
          <w:spacing w:val="-5"/>
        </w:rPr>
        <w:t xml:space="preserve"> </w:t>
      </w:r>
      <w:r>
        <w:t>size</w:t>
      </w:r>
      <w:r>
        <w:rPr>
          <w:spacing w:val="-5"/>
        </w:rPr>
        <w:t xml:space="preserve"> </w:t>
      </w:r>
      <w:r>
        <w:t>was</w:t>
      </w:r>
      <w:r>
        <w:rPr>
          <w:spacing w:val="-5"/>
        </w:rPr>
        <w:t xml:space="preserve"> </w:t>
      </w:r>
      <w:r>
        <w:t>larger</w:t>
      </w:r>
      <w:r>
        <w:rPr>
          <w:spacing w:val="-5"/>
        </w:rPr>
        <w:t xml:space="preserve"> </w:t>
      </w:r>
      <w:r>
        <w:t>than</w:t>
      </w:r>
      <w:r>
        <w:rPr>
          <w:spacing w:val="-5"/>
        </w:rPr>
        <w:t xml:space="preserve"> </w:t>
      </w:r>
      <w:r>
        <w:t>the sampling interval could be selected or “</w:t>
      </w:r>
      <w:r>
        <w:rPr>
          <w:color w:val="0066CC"/>
        </w:rPr>
        <w:t>hit</w:t>
      </w:r>
      <w:r>
        <w:t>” multiple times. Schools with multiple hits were selected with certainty and had larger student sample sizes.</w:t>
      </w:r>
    </w:p>
    <w:p w:rsidR="003F5784" w14:paraId="0AFBB47E" w14:textId="77777777">
      <w:pPr>
        <w:pStyle w:val="BodyText"/>
        <w:spacing w:before="205"/>
        <w:ind w:left="109"/>
      </w:pPr>
      <w:r>
        <w:t>For</w:t>
      </w:r>
      <w:r>
        <w:rPr>
          <w:spacing w:val="-9"/>
        </w:rPr>
        <w:t xml:space="preserve"> </w:t>
      </w:r>
      <w:r>
        <w:t>the</w:t>
      </w:r>
      <w:r>
        <w:rPr>
          <w:spacing w:val="-6"/>
        </w:rPr>
        <w:t xml:space="preserve"> </w:t>
      </w:r>
      <w:r>
        <w:t>CCD-based</w:t>
      </w:r>
      <w:r>
        <w:rPr>
          <w:spacing w:val="-6"/>
        </w:rPr>
        <w:t xml:space="preserve"> </w:t>
      </w:r>
      <w:r>
        <w:t>frame,</w:t>
      </w:r>
      <w:r>
        <w:rPr>
          <w:spacing w:val="-6"/>
        </w:rPr>
        <w:t xml:space="preserve"> </w:t>
      </w:r>
      <w:r>
        <w:t>schools</w:t>
      </w:r>
      <w:r>
        <w:rPr>
          <w:spacing w:val="-6"/>
        </w:rPr>
        <w:t xml:space="preserve"> </w:t>
      </w:r>
      <w:r>
        <w:t>were</w:t>
      </w:r>
      <w:r>
        <w:rPr>
          <w:spacing w:val="-6"/>
        </w:rPr>
        <w:t xml:space="preserve"> </w:t>
      </w:r>
      <w:r>
        <w:t>sampled</w:t>
      </w:r>
      <w:r>
        <w:rPr>
          <w:spacing w:val="-6"/>
        </w:rPr>
        <w:t xml:space="preserve"> </w:t>
      </w:r>
      <w:r>
        <w:t>at</w:t>
      </w:r>
      <w:r>
        <w:rPr>
          <w:spacing w:val="-6"/>
        </w:rPr>
        <w:t xml:space="preserve"> </w:t>
      </w:r>
      <w:r>
        <w:t>a</w:t>
      </w:r>
      <w:r>
        <w:rPr>
          <w:spacing w:val="-6"/>
        </w:rPr>
        <w:t xml:space="preserve"> </w:t>
      </w:r>
      <w:r>
        <w:t>rate</w:t>
      </w:r>
      <w:r>
        <w:rPr>
          <w:spacing w:val="-6"/>
        </w:rPr>
        <w:t xml:space="preserve"> </w:t>
      </w:r>
      <w:r>
        <w:t>that</w:t>
      </w:r>
      <w:r>
        <w:rPr>
          <w:spacing w:val="-6"/>
        </w:rPr>
        <w:t xml:space="preserve"> </w:t>
      </w:r>
      <w:r>
        <w:t>would</w:t>
      </w:r>
      <w:r>
        <w:rPr>
          <w:spacing w:val="-6"/>
        </w:rPr>
        <w:t xml:space="preserve"> </w:t>
      </w:r>
      <w:r>
        <w:t>yield</w:t>
      </w:r>
      <w:r>
        <w:rPr>
          <w:spacing w:val="-6"/>
        </w:rPr>
        <w:t xml:space="preserve"> </w:t>
      </w:r>
      <w:r>
        <w:t>specific</w:t>
      </w:r>
      <w:r>
        <w:rPr>
          <w:spacing w:val="-6"/>
        </w:rPr>
        <w:t xml:space="preserve"> </w:t>
      </w:r>
      <w:r>
        <w:t>target</w:t>
      </w:r>
      <w:r>
        <w:rPr>
          <w:spacing w:val="-6"/>
        </w:rPr>
        <w:t xml:space="preserve"> </w:t>
      </w:r>
      <w:r>
        <w:t>student</w:t>
      </w:r>
      <w:r>
        <w:rPr>
          <w:spacing w:val="-6"/>
        </w:rPr>
        <w:t xml:space="preserve"> </w:t>
      </w:r>
      <w:r>
        <w:t>sample</w:t>
      </w:r>
      <w:r>
        <w:rPr>
          <w:spacing w:val="-6"/>
        </w:rPr>
        <w:t xml:space="preserve"> </w:t>
      </w:r>
      <w:r>
        <w:t>sizes</w:t>
      </w:r>
      <w:r>
        <w:rPr>
          <w:spacing w:val="-6"/>
        </w:rPr>
        <w:t xml:space="preserve"> </w:t>
      </w:r>
      <w:r>
        <w:t>for</w:t>
      </w:r>
      <w:r>
        <w:rPr>
          <w:spacing w:val="-6"/>
        </w:rPr>
        <w:t xml:space="preserve"> </w:t>
      </w:r>
      <w:r>
        <w:t>each</w:t>
      </w:r>
      <w:r>
        <w:rPr>
          <w:spacing w:val="-6"/>
        </w:rPr>
        <w:t xml:space="preserve"> </w:t>
      </w:r>
      <w:r>
        <w:t>jurisdiction.</w:t>
      </w:r>
      <w:r>
        <w:rPr>
          <w:spacing w:val="-14"/>
        </w:rPr>
        <w:t xml:space="preserve"> </w:t>
      </w:r>
      <w:r>
        <w:rPr>
          <w:spacing w:val="-5"/>
        </w:rPr>
        <w:t>All</w:t>
      </w:r>
    </w:p>
    <w:p w:rsidR="003F5784" w14:paraId="7548078F" w14:textId="77777777">
      <w:pPr>
        <w:pStyle w:val="BodyText"/>
        <w:spacing w:before="90"/>
        <w:ind w:left="109"/>
      </w:pPr>
      <w:r>
        <w:br w:type="column"/>
        <w:t>Computation</w:t>
      </w:r>
      <w:r>
        <w:rPr>
          <w:spacing w:val="-7"/>
        </w:rPr>
        <w:t xml:space="preserve"> </w:t>
      </w:r>
      <w:r>
        <w:t>of</w:t>
      </w:r>
      <w:r>
        <w:rPr>
          <w:spacing w:val="-7"/>
        </w:rPr>
        <w:t xml:space="preserve"> </w:t>
      </w:r>
      <w:r>
        <w:t>Measures</w:t>
      </w:r>
      <w:r>
        <w:rPr>
          <w:spacing w:val="-6"/>
        </w:rPr>
        <w:t xml:space="preserve"> </w:t>
      </w:r>
      <w:r>
        <w:t>of</w:t>
      </w:r>
      <w:r>
        <w:rPr>
          <w:spacing w:val="-7"/>
        </w:rPr>
        <w:t xml:space="preserve"> </w:t>
      </w:r>
      <w:r>
        <w:rPr>
          <w:spacing w:val="-4"/>
        </w:rPr>
        <w:t>Size</w:t>
      </w:r>
    </w:p>
    <w:p w:rsidR="003F5784" w14:paraId="6756E538" w14:textId="77777777">
      <w:pPr>
        <w:pStyle w:val="BodyText"/>
        <w:spacing w:before="234" w:line="232" w:lineRule="auto"/>
        <w:ind w:left="109"/>
      </w:pPr>
      <w:r>
        <w:t>School</w:t>
      </w:r>
      <w:r>
        <w:rPr>
          <w:spacing w:val="-14"/>
        </w:rPr>
        <w:t xml:space="preserve"> </w:t>
      </w:r>
      <w:r>
        <w:t>Sample</w:t>
      </w:r>
      <w:r>
        <w:rPr>
          <w:spacing w:val="-13"/>
        </w:rPr>
        <w:t xml:space="preserve"> </w:t>
      </w:r>
      <w:r>
        <w:t>Sizes:</w:t>
      </w:r>
      <w:r>
        <w:rPr>
          <w:spacing w:val="-13"/>
        </w:rPr>
        <w:t xml:space="preserve"> </w:t>
      </w:r>
      <w:r>
        <w:t>Frame</w:t>
      </w:r>
      <w:r>
        <w:rPr>
          <w:spacing w:val="-13"/>
        </w:rPr>
        <w:t xml:space="preserve"> </w:t>
      </w:r>
      <w:r>
        <w:t>and New School</w:t>
      </w:r>
    </w:p>
    <w:p w:rsidR="003F5784" w14:paraId="0BA48152" w14:textId="77777777">
      <w:pPr>
        <w:pStyle w:val="BodyText"/>
        <w:spacing w:before="235" w:line="232" w:lineRule="auto"/>
        <w:ind w:left="109"/>
      </w:pPr>
      <w:r>
        <w:t>Evaluation</w:t>
      </w:r>
      <w:r>
        <w:rPr>
          <w:spacing w:val="-14"/>
        </w:rPr>
        <w:t xml:space="preserve"> </w:t>
      </w:r>
      <w:r>
        <w:t>of</w:t>
      </w:r>
      <w:r>
        <w:rPr>
          <w:spacing w:val="-13"/>
        </w:rPr>
        <w:t xml:space="preserve"> </w:t>
      </w:r>
      <w:r>
        <w:t>the</w:t>
      </w:r>
      <w:r>
        <w:rPr>
          <w:spacing w:val="-13"/>
        </w:rPr>
        <w:t xml:space="preserve"> </w:t>
      </w:r>
      <w:r>
        <w:t>Samples</w:t>
      </w:r>
      <w:r>
        <w:rPr>
          <w:spacing w:val="-13"/>
        </w:rPr>
        <w:t xml:space="preserve"> </w:t>
      </w:r>
      <w:r>
        <w:t>Using State Achievement Data</w:t>
      </w:r>
    </w:p>
    <w:p w:rsidR="003F5784" w14:paraId="4101D073" w14:textId="77777777">
      <w:pPr>
        <w:spacing w:line="232" w:lineRule="auto"/>
        <w:sectPr>
          <w:type w:val="continuous"/>
          <w:pgSz w:w="15840" w:h="12240" w:orient="landscape"/>
          <w:pgMar w:top="480" w:right="440" w:bottom="460" w:left="460" w:header="284" w:footer="275" w:gutter="0"/>
          <w:cols w:num="2" w:space="720" w:equalWidth="0">
            <w:col w:w="11433" w:space="324"/>
            <w:col w:w="3183"/>
          </w:cols>
        </w:sectPr>
      </w:pPr>
    </w:p>
    <w:p w:rsidR="003F5784" w14:paraId="7DA6A550" w14:textId="77777777">
      <w:pPr>
        <w:pStyle w:val="BodyText"/>
        <w:spacing w:line="232" w:lineRule="auto"/>
        <w:ind w:left="109" w:right="179"/>
      </w:pPr>
      <w:r>
        <w:t>jurisdictions, except Puerto Rico, had a target student sample size of 4,100 students for grade 4, and 4,200 for grade 8.</w:t>
      </w:r>
      <w:r>
        <w:rPr>
          <w:spacing w:val="-3"/>
        </w:rPr>
        <w:t xml:space="preserve"> </w:t>
      </w:r>
      <w:r>
        <w:t>The goal was to obtain 3,500 assessed students per grade:</w:t>
      </w:r>
      <w:r>
        <w:rPr>
          <w:spacing w:val="-6"/>
        </w:rPr>
        <w:t xml:space="preserve"> </w:t>
      </w:r>
      <w:r>
        <w:t>1,750</w:t>
      </w:r>
      <w:r>
        <w:rPr>
          <w:spacing w:val="-6"/>
        </w:rPr>
        <w:t xml:space="preserve"> </w:t>
      </w:r>
      <w:r>
        <w:t>students</w:t>
      </w:r>
      <w:r>
        <w:rPr>
          <w:spacing w:val="-6"/>
        </w:rPr>
        <w:t xml:space="preserve"> </w:t>
      </w:r>
      <w:r>
        <w:t>for</w:t>
      </w:r>
      <w:r>
        <w:rPr>
          <w:spacing w:val="-6"/>
        </w:rPr>
        <w:t xml:space="preserve"> </w:t>
      </w:r>
      <w:r>
        <w:t>the</w:t>
      </w:r>
      <w:r>
        <w:rPr>
          <w:spacing w:val="-6"/>
        </w:rPr>
        <w:t xml:space="preserve"> </w:t>
      </w:r>
      <w:r>
        <w:t>reading</w:t>
      </w:r>
      <w:r>
        <w:rPr>
          <w:spacing w:val="-6"/>
        </w:rPr>
        <w:t xml:space="preserve"> </w:t>
      </w:r>
      <w:r>
        <w:t>operational</w:t>
      </w:r>
      <w:r>
        <w:rPr>
          <w:spacing w:val="-6"/>
        </w:rPr>
        <w:t xml:space="preserve"> </w:t>
      </w:r>
      <w:r>
        <w:t>assessments,</w:t>
      </w:r>
      <w:r>
        <w:rPr>
          <w:spacing w:val="-6"/>
        </w:rPr>
        <w:t xml:space="preserve"> </w:t>
      </w:r>
      <w:r>
        <w:t>and</w:t>
      </w:r>
      <w:r>
        <w:rPr>
          <w:spacing w:val="-6"/>
        </w:rPr>
        <w:t xml:space="preserve"> </w:t>
      </w:r>
      <w:r>
        <w:t>1,750</w:t>
      </w:r>
      <w:r>
        <w:rPr>
          <w:spacing w:val="-6"/>
        </w:rPr>
        <w:t xml:space="preserve"> </w:t>
      </w:r>
      <w:r>
        <w:t>students</w:t>
      </w:r>
      <w:r>
        <w:rPr>
          <w:spacing w:val="-6"/>
        </w:rPr>
        <w:t xml:space="preserve"> </w:t>
      </w:r>
      <w:r>
        <w:t>for</w:t>
      </w:r>
      <w:r>
        <w:rPr>
          <w:spacing w:val="-6"/>
        </w:rPr>
        <w:t xml:space="preserve"> </w:t>
      </w:r>
      <w:r>
        <w:t>the</w:t>
      </w:r>
      <w:r>
        <w:rPr>
          <w:spacing w:val="-6"/>
        </w:rPr>
        <w:t xml:space="preserve"> </w:t>
      </w:r>
      <w:r>
        <w:t>mathematics</w:t>
      </w:r>
      <w:r>
        <w:rPr>
          <w:spacing w:val="-6"/>
        </w:rPr>
        <w:t xml:space="preserve"> </w:t>
      </w:r>
      <w:r>
        <w:t>operational</w:t>
      </w:r>
      <w:r>
        <w:rPr>
          <w:spacing w:val="-6"/>
        </w:rPr>
        <w:t xml:space="preserve"> </w:t>
      </w:r>
      <w:r>
        <w:t>assessments.</w:t>
      </w:r>
      <w:r>
        <w:rPr>
          <w:spacing w:val="-6"/>
        </w:rPr>
        <w:t xml:space="preserve"> </w:t>
      </w:r>
      <w:r>
        <w:t>Puerto</w:t>
      </w:r>
      <w:r>
        <w:rPr>
          <w:spacing w:val="-6"/>
        </w:rPr>
        <w:t xml:space="preserve"> </w:t>
      </w:r>
      <w:r>
        <w:t>Rico</w:t>
      </w:r>
      <w:r>
        <w:rPr>
          <w:spacing w:val="-6"/>
        </w:rPr>
        <w:t xml:space="preserve"> </w:t>
      </w:r>
      <w:r>
        <w:t>had</w:t>
      </w:r>
      <w:r>
        <w:rPr>
          <w:spacing w:val="-6"/>
        </w:rPr>
        <w:t xml:space="preserve"> </w:t>
      </w:r>
      <w:r>
        <w:t>a</w:t>
      </w:r>
      <w:r>
        <w:rPr>
          <w:spacing w:val="-6"/>
        </w:rPr>
        <w:t xml:space="preserve"> </w:t>
      </w:r>
      <w:r>
        <w:t>target</w:t>
      </w:r>
      <w:r>
        <w:rPr>
          <w:spacing w:val="-6"/>
        </w:rPr>
        <w:t xml:space="preserve"> </w:t>
      </w:r>
      <w:r>
        <w:t>student</w:t>
      </w:r>
      <w:r>
        <w:rPr>
          <w:spacing w:val="-6"/>
        </w:rPr>
        <w:t xml:space="preserve"> </w:t>
      </w:r>
      <w:r>
        <w:t>sample</w:t>
      </w:r>
      <w:r>
        <w:rPr>
          <w:spacing w:val="-6"/>
        </w:rPr>
        <w:t xml:space="preserve"> </w:t>
      </w:r>
      <w:r>
        <w:t>size</w:t>
      </w:r>
      <w:r>
        <w:rPr>
          <w:spacing w:val="-6"/>
        </w:rPr>
        <w:t xml:space="preserve"> </w:t>
      </w:r>
      <w:r>
        <w:t>of 3,600 students per grade. By design, Bureau of Indian Education (BIE) schools were not part of the state assessments this year. However, separate BIE school samples were selected based on target student sample sizes that were large enough to ensure that BIE schools were sufficiently represented in the national samples.</w:t>
      </w:r>
    </w:p>
    <w:p w:rsidR="003F5784" w14:paraId="7D20F096" w14:textId="77777777">
      <w:pPr>
        <w:pStyle w:val="BodyText"/>
        <w:spacing w:before="203"/>
        <w:ind w:left="109"/>
      </w:pPr>
      <w:r>
        <w:t>The</w:t>
      </w:r>
      <w:r>
        <w:rPr>
          <w:spacing w:val="-6"/>
        </w:rPr>
        <w:t xml:space="preserve"> </w:t>
      </w:r>
      <w:r>
        <w:t>schools</w:t>
      </w:r>
      <w:r>
        <w:rPr>
          <w:spacing w:val="-5"/>
        </w:rPr>
        <w:t xml:space="preserve"> </w:t>
      </w:r>
      <w:r>
        <w:t>in</w:t>
      </w:r>
      <w:r>
        <w:rPr>
          <w:spacing w:val="-6"/>
        </w:rPr>
        <w:t xml:space="preserve"> </w:t>
      </w:r>
      <w:r>
        <w:t>the</w:t>
      </w:r>
      <w:r>
        <w:rPr>
          <w:spacing w:val="-5"/>
        </w:rPr>
        <w:t xml:space="preserve"> </w:t>
      </w:r>
      <w:r>
        <w:t>new-school</w:t>
      </w:r>
      <w:r>
        <w:rPr>
          <w:spacing w:val="-6"/>
        </w:rPr>
        <w:t xml:space="preserve"> </w:t>
      </w:r>
      <w:r>
        <w:t>frame</w:t>
      </w:r>
      <w:r>
        <w:rPr>
          <w:spacing w:val="-5"/>
        </w:rPr>
        <w:t xml:space="preserve"> </w:t>
      </w:r>
      <w:r>
        <w:t>were</w:t>
      </w:r>
      <w:r>
        <w:rPr>
          <w:spacing w:val="-5"/>
        </w:rPr>
        <w:t xml:space="preserve"> </w:t>
      </w:r>
      <w:r>
        <w:t>sampled</w:t>
      </w:r>
      <w:r>
        <w:rPr>
          <w:spacing w:val="-6"/>
        </w:rPr>
        <w:t xml:space="preserve"> </w:t>
      </w:r>
      <w:r>
        <w:t>at</w:t>
      </w:r>
      <w:r>
        <w:rPr>
          <w:spacing w:val="-5"/>
        </w:rPr>
        <w:t xml:space="preserve"> </w:t>
      </w:r>
      <w:r>
        <w:t>the</w:t>
      </w:r>
      <w:r>
        <w:rPr>
          <w:spacing w:val="-6"/>
        </w:rPr>
        <w:t xml:space="preserve"> </w:t>
      </w:r>
      <w:r>
        <w:t>same</w:t>
      </w:r>
      <w:r>
        <w:rPr>
          <w:spacing w:val="-5"/>
        </w:rPr>
        <w:t xml:space="preserve"> </w:t>
      </w:r>
      <w:r>
        <w:t>rate</w:t>
      </w:r>
      <w:r>
        <w:rPr>
          <w:spacing w:val="-5"/>
        </w:rPr>
        <w:t xml:space="preserve"> </w:t>
      </w:r>
      <w:r>
        <w:t>as</w:t>
      </w:r>
      <w:r>
        <w:rPr>
          <w:spacing w:val="-6"/>
        </w:rPr>
        <w:t xml:space="preserve"> </w:t>
      </w:r>
      <w:r>
        <w:t>the</w:t>
      </w:r>
      <w:r>
        <w:rPr>
          <w:spacing w:val="-5"/>
        </w:rPr>
        <w:t xml:space="preserve"> </w:t>
      </w:r>
      <w:r>
        <w:t>CCD-based</w:t>
      </w:r>
      <w:r>
        <w:rPr>
          <w:spacing w:val="-6"/>
        </w:rPr>
        <w:t xml:space="preserve"> </w:t>
      </w:r>
      <w:r>
        <w:t>school</w:t>
      </w:r>
      <w:r>
        <w:rPr>
          <w:spacing w:val="-5"/>
        </w:rPr>
        <w:t xml:space="preserve"> </w:t>
      </w:r>
      <w:r>
        <w:rPr>
          <w:spacing w:val="-2"/>
        </w:rPr>
        <w:t>frame.</w:t>
      </w:r>
    </w:p>
    <w:p w:rsidR="003F5784" w14:paraId="73BA9483" w14:textId="77777777">
      <w:pPr>
        <w:pStyle w:val="BodyText"/>
        <w:spacing w:before="208" w:line="232" w:lineRule="auto"/>
        <w:ind w:left="109"/>
      </w:pPr>
      <w:r>
        <w:t>Prior to selection, schools were deeply stratified in each jurisdiction to ensure that the school sample distribution reflected the school population distribution as closely as possible,</w:t>
      </w:r>
      <w:r>
        <w:rPr>
          <w:spacing w:val="-7"/>
        </w:rPr>
        <w:t xml:space="preserve"> </w:t>
      </w:r>
      <w:r>
        <w:t>with</w:t>
      </w:r>
      <w:r>
        <w:rPr>
          <w:spacing w:val="-7"/>
        </w:rPr>
        <w:t xml:space="preserve"> </w:t>
      </w:r>
      <w:r>
        <w:t>regard</w:t>
      </w:r>
      <w:r>
        <w:rPr>
          <w:spacing w:val="-7"/>
        </w:rPr>
        <w:t xml:space="preserve"> </w:t>
      </w:r>
      <w:r>
        <w:t>to</w:t>
      </w:r>
      <w:r>
        <w:rPr>
          <w:spacing w:val="-7"/>
        </w:rPr>
        <w:t xml:space="preserve"> </w:t>
      </w:r>
      <w:r>
        <w:t>the</w:t>
      </w:r>
      <w:r>
        <w:rPr>
          <w:spacing w:val="-7"/>
        </w:rPr>
        <w:t xml:space="preserve"> </w:t>
      </w:r>
      <w:r>
        <w:t>stratification</w:t>
      </w:r>
      <w:r>
        <w:rPr>
          <w:spacing w:val="-7"/>
        </w:rPr>
        <w:t xml:space="preserve"> </w:t>
      </w:r>
      <w:r>
        <w:t>variables,</w:t>
      </w:r>
      <w:r>
        <w:rPr>
          <w:spacing w:val="-7"/>
        </w:rPr>
        <w:t xml:space="preserve"> </w:t>
      </w:r>
      <w:r>
        <w:t>to</w:t>
      </w:r>
      <w:r>
        <w:rPr>
          <w:spacing w:val="-7"/>
        </w:rPr>
        <w:t xml:space="preserve"> </w:t>
      </w:r>
      <w:r>
        <w:t>minimize</w:t>
      </w:r>
      <w:r>
        <w:rPr>
          <w:spacing w:val="-7"/>
        </w:rPr>
        <w:t xml:space="preserve"> </w:t>
      </w:r>
      <w:r>
        <w:t>sampling</w:t>
      </w:r>
      <w:r>
        <w:rPr>
          <w:spacing w:val="-7"/>
        </w:rPr>
        <w:t xml:space="preserve"> </w:t>
      </w:r>
      <w:r>
        <w:t>error.</w:t>
      </w:r>
      <w:r>
        <w:rPr>
          <w:spacing w:val="-10"/>
        </w:rPr>
        <w:t xml:space="preserve"> </w:t>
      </w:r>
      <w:r>
        <w:t>The</w:t>
      </w:r>
      <w:r>
        <w:rPr>
          <w:spacing w:val="-7"/>
        </w:rPr>
        <w:t xml:space="preserve"> </w:t>
      </w:r>
      <w:r>
        <w:t>success</w:t>
      </w:r>
      <w:r>
        <w:rPr>
          <w:spacing w:val="-7"/>
        </w:rPr>
        <w:t xml:space="preserve"> </w:t>
      </w:r>
      <w:r>
        <w:t>of</w:t>
      </w:r>
      <w:r>
        <w:rPr>
          <w:spacing w:val="-7"/>
        </w:rPr>
        <w:t xml:space="preserve"> </w:t>
      </w:r>
      <w:r>
        <w:t>this</w:t>
      </w:r>
      <w:r>
        <w:rPr>
          <w:spacing w:val="-7"/>
        </w:rPr>
        <w:t xml:space="preserve"> </w:t>
      </w:r>
      <w:r>
        <w:t>approach</w:t>
      </w:r>
      <w:r>
        <w:rPr>
          <w:spacing w:val="-7"/>
        </w:rPr>
        <w:t xml:space="preserve"> </w:t>
      </w:r>
      <w:r>
        <w:t>was</w:t>
      </w:r>
      <w:r>
        <w:rPr>
          <w:spacing w:val="-7"/>
        </w:rPr>
        <w:t xml:space="preserve"> </w:t>
      </w:r>
      <w:r>
        <w:t>shown</w:t>
      </w:r>
      <w:r>
        <w:rPr>
          <w:spacing w:val="-7"/>
        </w:rPr>
        <w:t xml:space="preserve"> </w:t>
      </w:r>
      <w:r>
        <w:t>by</w:t>
      </w:r>
      <w:r>
        <w:rPr>
          <w:spacing w:val="-7"/>
        </w:rPr>
        <w:t xml:space="preserve"> </w:t>
      </w:r>
      <w:r>
        <w:t>comparing</w:t>
      </w:r>
      <w:r>
        <w:rPr>
          <w:spacing w:val="-7"/>
        </w:rPr>
        <w:t xml:space="preserve"> </w:t>
      </w:r>
      <w:r>
        <w:t>the</w:t>
      </w:r>
      <w:r>
        <w:rPr>
          <w:spacing w:val="-7"/>
        </w:rPr>
        <w:t xml:space="preserve"> </w:t>
      </w:r>
      <w:r>
        <w:t>proportion</w:t>
      </w:r>
      <w:r>
        <w:rPr>
          <w:spacing w:val="-7"/>
        </w:rPr>
        <w:t xml:space="preserve"> </w:t>
      </w:r>
      <w:r>
        <w:t>of</w:t>
      </w:r>
      <w:r>
        <w:rPr>
          <w:spacing w:val="-7"/>
        </w:rPr>
        <w:t xml:space="preserve"> </w:t>
      </w:r>
      <w:r>
        <w:t>minorities</w:t>
      </w:r>
      <w:r>
        <w:rPr>
          <w:spacing w:val="-7"/>
        </w:rPr>
        <w:t xml:space="preserve"> </w:t>
      </w:r>
      <w:r>
        <w:t>enrolled</w:t>
      </w:r>
      <w:r>
        <w:rPr>
          <w:spacing w:val="-7"/>
        </w:rPr>
        <w:t xml:space="preserve"> </w:t>
      </w:r>
      <w:r>
        <w:t xml:space="preserve">in schools (based on CCD values for each school), median income, and urban-centric locale (viewed as an interval variable) reported in the original frame against the school </w:t>
      </w:r>
      <w:r>
        <w:rPr>
          <w:spacing w:val="-2"/>
        </w:rPr>
        <w:t>sample.</w:t>
      </w:r>
    </w:p>
    <w:p w:rsidR="003F5784" w14:paraId="57E066B1" w14:textId="77777777">
      <w:pPr>
        <w:pStyle w:val="BodyText"/>
        <w:spacing w:before="209" w:line="232" w:lineRule="auto"/>
        <w:ind w:left="109"/>
      </w:pPr>
      <w:r>
        <w:t>In</w:t>
      </w:r>
      <w:r>
        <w:rPr>
          <w:spacing w:val="-6"/>
        </w:rPr>
        <w:t xml:space="preserve"> </w:t>
      </w:r>
      <w:r>
        <w:t>addition,</w:t>
      </w:r>
      <w:r>
        <w:rPr>
          <w:spacing w:val="-6"/>
        </w:rPr>
        <w:t xml:space="preserve"> </w:t>
      </w:r>
      <w:r>
        <w:t>the</w:t>
      </w:r>
      <w:r>
        <w:rPr>
          <w:spacing w:val="-6"/>
        </w:rPr>
        <w:t xml:space="preserve"> </w:t>
      </w:r>
      <w:r>
        <w:t>distribution</w:t>
      </w:r>
      <w:r>
        <w:rPr>
          <w:spacing w:val="-6"/>
        </w:rPr>
        <w:t xml:space="preserve"> </w:t>
      </w:r>
      <w:r>
        <w:t>of</w:t>
      </w:r>
      <w:r>
        <w:rPr>
          <w:spacing w:val="-6"/>
        </w:rPr>
        <w:t xml:space="preserve"> </w:t>
      </w:r>
      <w:r>
        <w:t>state</w:t>
      </w:r>
      <w:r>
        <w:rPr>
          <w:spacing w:val="-6"/>
        </w:rPr>
        <w:t xml:space="preserve"> </w:t>
      </w:r>
      <w:r>
        <w:t>assessment</w:t>
      </w:r>
      <w:r>
        <w:rPr>
          <w:spacing w:val="-6"/>
        </w:rPr>
        <w:t xml:space="preserve"> </w:t>
      </w:r>
      <w:r>
        <w:t>achievement</w:t>
      </w:r>
      <w:r>
        <w:rPr>
          <w:spacing w:val="-6"/>
        </w:rPr>
        <w:t xml:space="preserve"> </w:t>
      </w:r>
      <w:r>
        <w:t>scores</w:t>
      </w:r>
      <w:r>
        <w:rPr>
          <w:spacing w:val="-6"/>
        </w:rPr>
        <w:t xml:space="preserve"> </w:t>
      </w:r>
      <w:r>
        <w:t>for</w:t>
      </w:r>
      <w:r>
        <w:rPr>
          <w:spacing w:val="-6"/>
        </w:rPr>
        <w:t xml:space="preserve"> </w:t>
      </w:r>
      <w:r>
        <w:t>the</w:t>
      </w:r>
      <w:r>
        <w:rPr>
          <w:spacing w:val="-6"/>
        </w:rPr>
        <w:t xml:space="preserve"> </w:t>
      </w:r>
      <w:r>
        <w:t>original</w:t>
      </w:r>
      <w:r>
        <w:rPr>
          <w:spacing w:val="-6"/>
        </w:rPr>
        <w:t xml:space="preserve"> </w:t>
      </w:r>
      <w:r>
        <w:t>frame</w:t>
      </w:r>
      <w:r>
        <w:rPr>
          <w:spacing w:val="-6"/>
        </w:rPr>
        <w:t xml:space="preserve"> </w:t>
      </w:r>
      <w:r>
        <w:t>can</w:t>
      </w:r>
      <w:r>
        <w:rPr>
          <w:spacing w:val="-6"/>
        </w:rPr>
        <w:t xml:space="preserve"> </w:t>
      </w:r>
      <w:r>
        <w:t>be</w:t>
      </w:r>
      <w:r>
        <w:rPr>
          <w:spacing w:val="-6"/>
        </w:rPr>
        <w:t xml:space="preserve"> </w:t>
      </w:r>
      <w:r>
        <w:t>compared</w:t>
      </w:r>
      <w:r>
        <w:rPr>
          <w:spacing w:val="-6"/>
        </w:rPr>
        <w:t xml:space="preserve"> </w:t>
      </w:r>
      <w:r>
        <w:t>with</w:t>
      </w:r>
      <w:r>
        <w:rPr>
          <w:spacing w:val="-6"/>
        </w:rPr>
        <w:t xml:space="preserve"> </w:t>
      </w:r>
      <w:r>
        <w:t>that</w:t>
      </w:r>
      <w:r>
        <w:rPr>
          <w:spacing w:val="-6"/>
        </w:rPr>
        <w:t xml:space="preserve"> </w:t>
      </w:r>
      <w:r>
        <w:t>of</w:t>
      </w:r>
      <w:r>
        <w:rPr>
          <w:spacing w:val="-6"/>
        </w:rPr>
        <w:t xml:space="preserve"> </w:t>
      </w:r>
      <w:r>
        <w:t>the</w:t>
      </w:r>
      <w:r>
        <w:rPr>
          <w:spacing w:val="-6"/>
        </w:rPr>
        <w:t xml:space="preserve"> </w:t>
      </w:r>
      <w:r>
        <w:t>school</w:t>
      </w:r>
      <w:r>
        <w:rPr>
          <w:spacing w:val="-6"/>
        </w:rPr>
        <w:t xml:space="preserve"> </w:t>
      </w:r>
      <w:r>
        <w:t>sample</w:t>
      </w:r>
      <w:r>
        <w:rPr>
          <w:spacing w:val="-6"/>
        </w:rPr>
        <w:t xml:space="preserve"> </w:t>
      </w:r>
      <w:r>
        <w:t>for</w:t>
      </w:r>
      <w:r>
        <w:rPr>
          <w:spacing w:val="-6"/>
        </w:rPr>
        <w:t xml:space="preserve"> </w:t>
      </w:r>
      <w:r>
        <w:t>those</w:t>
      </w:r>
      <w:r>
        <w:rPr>
          <w:spacing w:val="-6"/>
        </w:rPr>
        <w:t xml:space="preserve"> </w:t>
      </w:r>
      <w:r>
        <w:t>jurisdictions</w:t>
      </w:r>
      <w:r>
        <w:rPr>
          <w:spacing w:val="-6"/>
        </w:rPr>
        <w:t xml:space="preserve"> </w:t>
      </w:r>
      <w:r>
        <w:t>for</w:t>
      </w:r>
      <w:r>
        <w:rPr>
          <w:spacing w:val="-6"/>
        </w:rPr>
        <w:t xml:space="preserve"> </w:t>
      </w:r>
      <w:r>
        <w:t>which</w:t>
      </w:r>
      <w:r>
        <w:rPr>
          <w:spacing w:val="-6"/>
        </w:rPr>
        <w:t xml:space="preserve"> </w:t>
      </w:r>
      <w:r>
        <w:t>state assessment achievement data are available, as was done in the evaluation of the samples using state achievement data.</w:t>
      </w:r>
    </w:p>
    <w:p w:rsidR="003F5784" w14:paraId="56D06CF1" w14:textId="77777777">
      <w:pPr>
        <w:pStyle w:val="BodyText"/>
      </w:pPr>
    </w:p>
    <w:p w:rsidR="003F5784" w14:paraId="14F02ED2" w14:textId="77777777">
      <w:pPr>
        <w:pStyle w:val="BodyText"/>
      </w:pPr>
    </w:p>
    <w:p w:rsidR="003F5784" w14:paraId="5D40FCE3" w14:textId="77777777">
      <w:pPr>
        <w:pStyle w:val="BodyText"/>
        <w:spacing w:before="146"/>
      </w:pPr>
    </w:p>
    <w:p w:rsidR="003F5784" w14:paraId="21327F10" w14:textId="77777777">
      <w:pPr>
        <w:ind w:left="5406"/>
        <w:rPr>
          <w:sz w:val="18"/>
        </w:rPr>
      </w:pPr>
      <w:hyperlink r:id="rId297">
        <w:r>
          <w:rPr>
            <w:spacing w:val="-2"/>
            <w:w w:val="105"/>
            <w:sz w:val="18"/>
          </w:rPr>
          <w:t>http://nces.ed.gov/nationsreportcard/tdw/sample_design/2022/school_sample_selection_for_the_2022_state_assessment.aspx</w:t>
        </w:r>
      </w:hyperlink>
    </w:p>
    <w:p w:rsidR="003F5784" w14:paraId="29414030" w14:textId="77777777">
      <w:pPr>
        <w:pStyle w:val="BodyText"/>
        <w:spacing w:before="11"/>
        <w:rPr>
          <w:sz w:val="14"/>
        </w:rPr>
      </w:pPr>
      <w:r>
        <w:rPr>
          <w:noProof/>
        </w:rPr>
        <mc:AlternateContent>
          <mc:Choice Requires="wps">
            <w:drawing>
              <wp:anchor distT="0" distB="0" distL="0" distR="0" simplePos="0" relativeHeight="251937792" behindDoc="1" locked="0" layoutInCell="1" allowOverlap="1">
                <wp:simplePos x="0" y="0"/>
                <wp:positionH relativeFrom="page">
                  <wp:posOffset>361937</wp:posOffset>
                </wp:positionH>
                <wp:positionV relativeFrom="paragraph">
                  <wp:posOffset>124424</wp:posOffset>
                </wp:positionV>
                <wp:extent cx="9339580" cy="8890"/>
                <wp:effectExtent l="0" t="0" r="0" b="0"/>
                <wp:wrapTopAndBottom/>
                <wp:docPr id="390" name="Graphic 390"/>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80"/>
                              </a:lnTo>
                              <a:lnTo>
                                <a:pt x="9335110" y="8305"/>
                              </a:lnTo>
                              <a:lnTo>
                                <a:pt x="9338970" y="8305"/>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390" o:spid="_x0000_s1146" style="width:735.4pt;height:0.7pt;margin-top:9.8pt;margin-left:28.5pt;mso-position-horizontal-relative:page;mso-wrap-distance-bottom:0;mso-wrap-distance-left:0;mso-wrap-distance-right:0;mso-wrap-distance-top:0;mso-wrap-style:square;position:absolute;visibility:visible;v-text-anchor:top;z-index:-251377664" coordsize="9339580,8890" path="m9338970,25l9335110,25l8280,25,,,,8280l9335110,8305l9338970,8305l9338970,25xe" fillcolor="gray" stroked="f">
                <v:path arrowok="t"/>
                <w10:wrap type="topAndBottom"/>
              </v:shape>
            </w:pict>
          </mc:Fallback>
        </mc:AlternateContent>
      </w:r>
    </w:p>
    <w:p w:rsidR="003F5784" w14:paraId="47482DD4" w14:textId="77777777">
      <w:pPr>
        <w:rPr>
          <w:sz w:val="14"/>
        </w:rPr>
        <w:sectPr>
          <w:type w:val="continuous"/>
          <w:pgSz w:w="15840" w:h="12240" w:orient="landscape"/>
          <w:pgMar w:top="480" w:right="440" w:bottom="460" w:left="460" w:header="284" w:footer="275" w:gutter="0"/>
          <w:cols w:space="720"/>
        </w:sectPr>
      </w:pPr>
    </w:p>
    <w:p w:rsidR="003F5784" w14:paraId="3713074A" w14:textId="34746DF7">
      <w:pPr>
        <w:pStyle w:val="Heading1"/>
        <w:spacing w:before="81" w:line="244" w:lineRule="auto"/>
        <w:ind w:right="318"/>
      </w:pPr>
      <w:r>
        <w:t>NAEP</w:t>
      </w:r>
      <w:r>
        <w:rPr>
          <w:spacing w:val="-18"/>
        </w:rPr>
        <w:t xml:space="preserve"> </w:t>
      </w:r>
      <w:r>
        <w:t>Technical Documentation</w:t>
      </w:r>
      <w:r w:rsidR="00040E74">
        <w:t xml:space="preserve"> </w:t>
      </w:r>
      <w:r>
        <w:t>Computation of Measures of Size for the 2022 State Assessment</w:t>
      </w:r>
    </w:p>
    <w:p w:rsidR="003F5784" w14:paraId="700B8396" w14:textId="77777777">
      <w:pPr>
        <w:pStyle w:val="BodyText"/>
        <w:spacing w:before="273" w:line="232" w:lineRule="auto"/>
        <w:ind w:left="109"/>
      </w:pPr>
      <w:r>
        <w:t>In</w:t>
      </w:r>
      <w:r>
        <w:rPr>
          <w:spacing w:val="-6"/>
        </w:rPr>
        <w:t xml:space="preserve"> </w:t>
      </w:r>
      <w:r>
        <w:t>designing</w:t>
      </w:r>
      <w:r>
        <w:rPr>
          <w:spacing w:val="-6"/>
        </w:rPr>
        <w:t xml:space="preserve"> </w:t>
      </w:r>
      <w:r>
        <w:t>each</w:t>
      </w:r>
      <w:r>
        <w:rPr>
          <w:spacing w:val="-6"/>
        </w:rPr>
        <w:t xml:space="preserve"> </w:t>
      </w:r>
      <w:r>
        <w:t>school</w:t>
      </w:r>
      <w:r>
        <w:rPr>
          <w:spacing w:val="-6"/>
        </w:rPr>
        <w:t xml:space="preserve"> </w:t>
      </w:r>
      <w:r>
        <w:t>sample,</w:t>
      </w:r>
      <w:r>
        <w:rPr>
          <w:spacing w:val="-6"/>
        </w:rPr>
        <w:t xml:space="preserve"> </w:t>
      </w:r>
      <w:r>
        <w:t>six</w:t>
      </w:r>
      <w:r>
        <w:rPr>
          <w:spacing w:val="-6"/>
        </w:rPr>
        <w:t xml:space="preserve"> </w:t>
      </w:r>
      <w:r>
        <w:t>objectives</w:t>
      </w:r>
      <w:r>
        <w:rPr>
          <w:spacing w:val="-6"/>
        </w:rPr>
        <w:t xml:space="preserve"> </w:t>
      </w:r>
      <w:r>
        <w:t>underlie</w:t>
      </w:r>
      <w:r>
        <w:rPr>
          <w:spacing w:val="-6"/>
        </w:rPr>
        <w:t xml:space="preserve"> </w:t>
      </w:r>
      <w:r>
        <w:t>the</w:t>
      </w:r>
      <w:r>
        <w:rPr>
          <w:spacing w:val="-6"/>
        </w:rPr>
        <w:t xml:space="preserve"> </w:t>
      </w:r>
      <w:r>
        <w:t>process</w:t>
      </w:r>
      <w:r>
        <w:rPr>
          <w:spacing w:val="-6"/>
        </w:rPr>
        <w:t xml:space="preserve"> </w:t>
      </w:r>
      <w:r>
        <w:t>of</w:t>
      </w:r>
      <w:r>
        <w:rPr>
          <w:spacing w:val="-6"/>
        </w:rPr>
        <w:t xml:space="preserve"> </w:t>
      </w:r>
      <w:r>
        <w:t>determining</w:t>
      </w:r>
      <w:r>
        <w:rPr>
          <w:spacing w:val="-6"/>
        </w:rPr>
        <w:t xml:space="preserve"> </w:t>
      </w:r>
      <w:r>
        <w:t>the</w:t>
      </w:r>
      <w:r>
        <w:rPr>
          <w:spacing w:val="-6"/>
        </w:rPr>
        <w:t xml:space="preserve"> </w:t>
      </w:r>
      <w:r>
        <w:t>probability</w:t>
      </w:r>
      <w:r>
        <w:rPr>
          <w:spacing w:val="-6"/>
        </w:rPr>
        <w:t xml:space="preserve"> </w:t>
      </w:r>
      <w:r>
        <w:t>of</w:t>
      </w:r>
      <w:r>
        <w:rPr>
          <w:spacing w:val="-6"/>
        </w:rPr>
        <w:t xml:space="preserve"> </w:t>
      </w:r>
      <w:r>
        <w:t>selection</w:t>
      </w:r>
      <w:r>
        <w:rPr>
          <w:spacing w:val="-6"/>
        </w:rPr>
        <w:t xml:space="preserve"> </w:t>
      </w:r>
      <w:r>
        <w:t>for</w:t>
      </w:r>
      <w:r>
        <w:rPr>
          <w:spacing w:val="-6"/>
        </w:rPr>
        <w:t xml:space="preserve"> </w:t>
      </w:r>
      <w:r>
        <w:t>each</w:t>
      </w:r>
      <w:r>
        <w:rPr>
          <w:spacing w:val="-6"/>
        </w:rPr>
        <w:t xml:space="preserve"> </w:t>
      </w:r>
      <w:r>
        <w:t>school</w:t>
      </w:r>
      <w:r>
        <w:rPr>
          <w:spacing w:val="-6"/>
        </w:rPr>
        <w:t xml:space="preserve"> </w:t>
      </w:r>
      <w:r>
        <w:t>and</w:t>
      </w:r>
      <w:r>
        <w:rPr>
          <w:spacing w:val="-6"/>
        </w:rPr>
        <w:t xml:space="preserve"> </w:t>
      </w:r>
      <w:r>
        <w:t>how</w:t>
      </w:r>
      <w:r>
        <w:rPr>
          <w:spacing w:val="-6"/>
        </w:rPr>
        <w:t xml:space="preserve"> </w:t>
      </w:r>
      <w:r>
        <w:t>many</w:t>
      </w:r>
      <w:r>
        <w:rPr>
          <w:spacing w:val="-6"/>
        </w:rPr>
        <w:t xml:space="preserve"> </w:t>
      </w:r>
      <w:r>
        <w:t>students</w:t>
      </w:r>
      <w:r>
        <w:rPr>
          <w:spacing w:val="-6"/>
        </w:rPr>
        <w:t xml:space="preserve"> </w:t>
      </w:r>
      <w:r>
        <w:t>are</w:t>
      </w:r>
      <w:r>
        <w:rPr>
          <w:spacing w:val="-6"/>
        </w:rPr>
        <w:t xml:space="preserve"> </w:t>
      </w:r>
      <w:r>
        <w:t>to</w:t>
      </w:r>
      <w:r>
        <w:rPr>
          <w:spacing w:val="-6"/>
        </w:rPr>
        <w:t xml:space="preserve"> </w:t>
      </w:r>
      <w:r>
        <w:t>be</w:t>
      </w:r>
      <w:r>
        <w:rPr>
          <w:spacing w:val="-6"/>
        </w:rPr>
        <w:t xml:space="preserve"> </w:t>
      </w:r>
      <w:r>
        <w:t>sampled</w:t>
      </w:r>
      <w:r>
        <w:rPr>
          <w:spacing w:val="-6"/>
        </w:rPr>
        <w:t xml:space="preserve"> </w:t>
      </w:r>
      <w:r>
        <w:t>from each selected school containing the respective grade:</w:t>
      </w:r>
    </w:p>
    <w:p w:rsidR="003F5784" w14:paraId="04C40C4E" w14:textId="77777777">
      <w:pPr>
        <w:pStyle w:val="BodyText"/>
        <w:spacing w:before="210" w:line="232" w:lineRule="auto"/>
        <w:ind w:left="422" w:right="9881"/>
      </w:pPr>
      <w:r>
        <w:rPr>
          <w:noProof/>
          <w:position w:val="3"/>
        </w:rPr>
        <w:drawing>
          <wp:inline distT="0" distB="0" distL="0" distR="0">
            <wp:extent cx="41379" cy="41378"/>
            <wp:effectExtent l="0" t="0" r="0" b="0"/>
            <wp:docPr id="391" name="Image 391"/>
            <wp:cNvGraphicFramePr/>
            <a:graphic xmlns:a="http://schemas.openxmlformats.org/drawingml/2006/main">
              <a:graphicData uri="http://schemas.openxmlformats.org/drawingml/2006/picture">
                <pic:pic xmlns:pic="http://schemas.openxmlformats.org/drawingml/2006/picture">
                  <pic:nvPicPr>
                    <pic:cNvPr id="391" name="Image 391"/>
                    <pic:cNvPicPr/>
                  </pic:nvPicPr>
                  <pic:blipFill>
                    <a:blip xmlns:r="http://schemas.openxmlformats.org/officeDocument/2006/relationships" r:embed="rId298" cstate="print"/>
                    <a:stretch>
                      <a:fillRect/>
                    </a:stretch>
                  </pic:blipFill>
                  <pic:spPr>
                    <a:xfrm>
                      <a:off x="0" y="0"/>
                      <a:ext cx="41379" cy="41378"/>
                    </a:xfrm>
                    <a:prstGeom prst="rect">
                      <a:avLst/>
                    </a:prstGeom>
                  </pic:spPr>
                </pic:pic>
              </a:graphicData>
            </a:graphic>
          </wp:inline>
        </w:drawing>
      </w:r>
      <w:r>
        <w:rPr>
          <w:spacing w:val="78"/>
          <w:sz w:val="20"/>
        </w:rPr>
        <w:t xml:space="preserve"> </w:t>
      </w:r>
      <w:r>
        <w:t>to</w:t>
      </w:r>
      <w:r>
        <w:rPr>
          <w:spacing w:val="-7"/>
        </w:rPr>
        <w:t xml:space="preserve"> </w:t>
      </w:r>
      <w:r>
        <w:t>meet</w:t>
      </w:r>
      <w:r>
        <w:rPr>
          <w:spacing w:val="-7"/>
        </w:rPr>
        <w:t xml:space="preserve"> </w:t>
      </w:r>
      <w:r>
        <w:t>the</w:t>
      </w:r>
      <w:r>
        <w:rPr>
          <w:spacing w:val="-7"/>
        </w:rPr>
        <w:t xml:space="preserve"> </w:t>
      </w:r>
      <w:r>
        <w:t>target</w:t>
      </w:r>
      <w:r>
        <w:rPr>
          <w:spacing w:val="-7"/>
        </w:rPr>
        <w:t xml:space="preserve"> </w:t>
      </w:r>
      <w:r>
        <w:t>student</w:t>
      </w:r>
      <w:r>
        <w:rPr>
          <w:spacing w:val="-7"/>
        </w:rPr>
        <w:t xml:space="preserve"> </w:t>
      </w:r>
      <w:r>
        <w:t>sample</w:t>
      </w:r>
      <w:r>
        <w:rPr>
          <w:spacing w:val="-7"/>
        </w:rPr>
        <w:t xml:space="preserve"> </w:t>
      </w:r>
      <w:r>
        <w:t>size</w:t>
      </w:r>
      <w:r>
        <w:rPr>
          <w:spacing w:val="-7"/>
        </w:rPr>
        <w:t xml:space="preserve"> </w:t>
      </w:r>
      <w:r>
        <w:t>for</w:t>
      </w:r>
      <w:r>
        <w:rPr>
          <w:spacing w:val="-7"/>
        </w:rPr>
        <w:t xml:space="preserve"> </w:t>
      </w:r>
      <w:r>
        <w:t>each</w:t>
      </w:r>
      <w:r>
        <w:rPr>
          <w:spacing w:val="-7"/>
        </w:rPr>
        <w:t xml:space="preserve"> </w:t>
      </w:r>
      <w:r>
        <w:t xml:space="preserve">grade; </w:t>
      </w:r>
      <w:r>
        <w:rPr>
          <w:noProof/>
          <w:position w:val="3"/>
        </w:rPr>
        <w:drawing>
          <wp:inline distT="0" distB="0" distL="0" distR="0">
            <wp:extent cx="41379" cy="41378"/>
            <wp:effectExtent l="0" t="0" r="0" b="0"/>
            <wp:docPr id="392" name="Image 392"/>
            <wp:cNvGraphicFramePr/>
            <a:graphic xmlns:a="http://schemas.openxmlformats.org/drawingml/2006/main">
              <a:graphicData uri="http://schemas.openxmlformats.org/drawingml/2006/picture">
                <pic:pic xmlns:pic="http://schemas.openxmlformats.org/drawingml/2006/picture">
                  <pic:nvPicPr>
                    <pic:cNvPr id="392" name="Image 392"/>
                    <pic:cNvPicPr/>
                  </pic:nvPicPr>
                  <pic:blipFill>
                    <a:blip xmlns:r="http://schemas.openxmlformats.org/officeDocument/2006/relationships" r:embed="rId299" cstate="print"/>
                    <a:stretch>
                      <a:fillRect/>
                    </a:stretch>
                  </pic:blipFill>
                  <pic:spPr>
                    <a:xfrm>
                      <a:off x="0" y="0"/>
                      <a:ext cx="41379" cy="41378"/>
                    </a:xfrm>
                    <a:prstGeom prst="rect">
                      <a:avLst/>
                    </a:prstGeom>
                  </pic:spPr>
                </pic:pic>
              </a:graphicData>
            </a:graphic>
          </wp:inline>
        </w:drawing>
      </w:r>
      <w:r>
        <w:rPr>
          <w:spacing w:val="80"/>
        </w:rPr>
        <w:t xml:space="preserve"> </w:t>
      </w:r>
      <w:r>
        <w:t>to select an equal-probability sample of students;</w:t>
      </w:r>
    </w:p>
    <w:p w:rsidR="003F5784" w14:paraId="7018B4B8" w14:textId="77777777">
      <w:pPr>
        <w:pStyle w:val="BodyText"/>
        <w:spacing w:line="233" w:lineRule="exact"/>
        <w:ind w:left="422"/>
      </w:pPr>
      <w:r>
        <w:rPr>
          <w:noProof/>
          <w:position w:val="3"/>
        </w:rPr>
        <w:drawing>
          <wp:inline distT="0" distB="0" distL="0" distR="0">
            <wp:extent cx="41379" cy="41378"/>
            <wp:effectExtent l="0" t="0" r="0" b="0"/>
            <wp:docPr id="393" name="Image 393"/>
            <wp:cNvGraphicFramePr/>
            <a:graphic xmlns:a="http://schemas.openxmlformats.org/drawingml/2006/main">
              <a:graphicData uri="http://schemas.openxmlformats.org/drawingml/2006/picture">
                <pic:pic xmlns:pic="http://schemas.openxmlformats.org/drawingml/2006/picture">
                  <pic:nvPicPr>
                    <pic:cNvPr id="393" name="Image 393"/>
                    <pic:cNvPicPr/>
                  </pic:nvPicPr>
                  <pic:blipFill>
                    <a:blip xmlns:r="http://schemas.openxmlformats.org/officeDocument/2006/relationships" r:embed="rId300" cstate="print"/>
                    <a:stretch>
                      <a:fillRect/>
                    </a:stretch>
                  </pic:blipFill>
                  <pic:spPr>
                    <a:xfrm>
                      <a:off x="0" y="0"/>
                      <a:ext cx="41379" cy="41378"/>
                    </a:xfrm>
                    <a:prstGeom prst="rect">
                      <a:avLst/>
                    </a:prstGeom>
                  </pic:spPr>
                </pic:pic>
              </a:graphicData>
            </a:graphic>
          </wp:inline>
        </w:drawing>
      </w:r>
      <w:r>
        <w:rPr>
          <w:spacing w:val="80"/>
          <w:sz w:val="20"/>
        </w:rPr>
        <w:t xml:space="preserve"> </w:t>
      </w:r>
      <w:r>
        <w:t>to limit the number of students selected from any one school;</w:t>
      </w:r>
    </w:p>
    <w:p w:rsidR="003F5784" w14:paraId="7ED9F35F" w14:textId="77777777">
      <w:pPr>
        <w:pStyle w:val="BodyText"/>
        <w:spacing w:line="235" w:lineRule="exact"/>
        <w:ind w:left="422"/>
      </w:pPr>
      <w:r>
        <w:rPr>
          <w:noProof/>
          <w:position w:val="3"/>
        </w:rPr>
        <w:drawing>
          <wp:inline distT="0" distB="0" distL="0" distR="0">
            <wp:extent cx="41379" cy="41378"/>
            <wp:effectExtent l="0" t="0" r="0" b="0"/>
            <wp:docPr id="394" name="Image 394"/>
            <wp:cNvGraphicFramePr/>
            <a:graphic xmlns:a="http://schemas.openxmlformats.org/drawingml/2006/main">
              <a:graphicData uri="http://schemas.openxmlformats.org/drawingml/2006/picture">
                <pic:pic xmlns:pic="http://schemas.openxmlformats.org/drawingml/2006/picture">
                  <pic:nvPicPr>
                    <pic:cNvPr id="394" name="Image 394"/>
                    <pic:cNvPicPr/>
                  </pic:nvPicPr>
                  <pic:blipFill>
                    <a:blip xmlns:r="http://schemas.openxmlformats.org/officeDocument/2006/relationships" r:embed="rId301" cstate="print"/>
                    <a:stretch>
                      <a:fillRect/>
                    </a:stretch>
                  </pic:blipFill>
                  <pic:spPr>
                    <a:xfrm>
                      <a:off x="0" y="0"/>
                      <a:ext cx="41379" cy="41378"/>
                    </a:xfrm>
                    <a:prstGeom prst="rect">
                      <a:avLst/>
                    </a:prstGeom>
                  </pic:spPr>
                </pic:pic>
              </a:graphicData>
            </a:graphic>
          </wp:inline>
        </w:drawing>
      </w:r>
      <w:r>
        <w:rPr>
          <w:spacing w:val="80"/>
          <w:sz w:val="20"/>
        </w:rPr>
        <w:t xml:space="preserve"> </w:t>
      </w:r>
      <w:r>
        <w:t>to</w:t>
      </w:r>
      <w:r>
        <w:rPr>
          <w:spacing w:val="-1"/>
        </w:rPr>
        <w:t xml:space="preserve"> </w:t>
      </w:r>
      <w:r>
        <w:t>ensure</w:t>
      </w:r>
      <w:r>
        <w:rPr>
          <w:spacing w:val="-1"/>
        </w:rPr>
        <w:t xml:space="preserve"> </w:t>
      </w:r>
      <w:r>
        <w:t>that</w:t>
      </w:r>
      <w:r>
        <w:rPr>
          <w:spacing w:val="-1"/>
        </w:rPr>
        <w:t xml:space="preserve"> </w:t>
      </w:r>
      <w:r>
        <w:t>the</w:t>
      </w:r>
      <w:r>
        <w:rPr>
          <w:spacing w:val="-1"/>
        </w:rPr>
        <w:t xml:space="preserve"> </w:t>
      </w:r>
      <w:r>
        <w:t>sample</w:t>
      </w:r>
      <w:r>
        <w:rPr>
          <w:spacing w:val="-1"/>
        </w:rPr>
        <w:t xml:space="preserve"> </w:t>
      </w:r>
      <w:r>
        <w:t>within</w:t>
      </w:r>
      <w:r>
        <w:rPr>
          <w:spacing w:val="-1"/>
        </w:rPr>
        <w:t xml:space="preserve"> </w:t>
      </w:r>
      <w:r>
        <w:t>a</w:t>
      </w:r>
      <w:r>
        <w:rPr>
          <w:spacing w:val="-1"/>
        </w:rPr>
        <w:t xml:space="preserve"> </w:t>
      </w:r>
      <w:r>
        <w:t>school</w:t>
      </w:r>
      <w:r>
        <w:rPr>
          <w:spacing w:val="-1"/>
        </w:rPr>
        <w:t xml:space="preserve"> </w:t>
      </w:r>
      <w:r>
        <w:t>does</w:t>
      </w:r>
      <w:r>
        <w:rPr>
          <w:spacing w:val="-1"/>
        </w:rPr>
        <w:t xml:space="preserve"> </w:t>
      </w:r>
      <w:r>
        <w:t>not</w:t>
      </w:r>
      <w:r>
        <w:rPr>
          <w:spacing w:val="-1"/>
        </w:rPr>
        <w:t xml:space="preserve"> </w:t>
      </w:r>
      <w:r>
        <w:t>include</w:t>
      </w:r>
      <w:r>
        <w:rPr>
          <w:spacing w:val="-1"/>
        </w:rPr>
        <w:t xml:space="preserve"> </w:t>
      </w:r>
      <w:r>
        <w:t>a</w:t>
      </w:r>
      <w:r>
        <w:rPr>
          <w:spacing w:val="-1"/>
        </w:rPr>
        <w:t xml:space="preserve"> </w:t>
      </w:r>
      <w:r>
        <w:t>very</w:t>
      </w:r>
      <w:r>
        <w:rPr>
          <w:spacing w:val="-1"/>
        </w:rPr>
        <w:t xml:space="preserve"> </w:t>
      </w:r>
      <w:r>
        <w:t>high</w:t>
      </w:r>
      <w:r>
        <w:rPr>
          <w:spacing w:val="-1"/>
        </w:rPr>
        <w:t xml:space="preserve"> </w:t>
      </w:r>
      <w:r>
        <w:t>percentage</w:t>
      </w:r>
      <w:r>
        <w:rPr>
          <w:spacing w:val="-1"/>
        </w:rPr>
        <w:t xml:space="preserve"> </w:t>
      </w:r>
      <w:r>
        <w:t>of</w:t>
      </w:r>
      <w:r>
        <w:rPr>
          <w:spacing w:val="-1"/>
        </w:rPr>
        <w:t xml:space="preserve"> </w:t>
      </w:r>
      <w:r>
        <w:t>the</w:t>
      </w:r>
      <w:r>
        <w:rPr>
          <w:spacing w:val="-1"/>
        </w:rPr>
        <w:t xml:space="preserve"> </w:t>
      </w:r>
      <w:r>
        <w:t>students</w:t>
      </w:r>
      <w:r>
        <w:rPr>
          <w:spacing w:val="-1"/>
        </w:rPr>
        <w:t xml:space="preserve"> </w:t>
      </w:r>
      <w:r>
        <w:t>in</w:t>
      </w:r>
      <w:r>
        <w:rPr>
          <w:spacing w:val="-1"/>
        </w:rPr>
        <w:t xml:space="preserve"> </w:t>
      </w:r>
      <w:r>
        <w:t>the</w:t>
      </w:r>
      <w:r>
        <w:rPr>
          <w:spacing w:val="-1"/>
        </w:rPr>
        <w:t xml:space="preserve"> </w:t>
      </w:r>
      <w:r>
        <w:t>school,</w:t>
      </w:r>
      <w:r>
        <w:rPr>
          <w:spacing w:val="-1"/>
        </w:rPr>
        <w:t xml:space="preserve"> </w:t>
      </w:r>
      <w:r>
        <w:t>unless</w:t>
      </w:r>
      <w:r>
        <w:rPr>
          <w:spacing w:val="-1"/>
        </w:rPr>
        <w:t xml:space="preserve"> </w:t>
      </w:r>
      <w:r>
        <w:t>all</w:t>
      </w:r>
      <w:r>
        <w:rPr>
          <w:spacing w:val="-1"/>
        </w:rPr>
        <w:t xml:space="preserve"> </w:t>
      </w:r>
      <w:r>
        <w:t>students</w:t>
      </w:r>
      <w:r>
        <w:rPr>
          <w:spacing w:val="-1"/>
        </w:rPr>
        <w:t xml:space="preserve"> </w:t>
      </w:r>
      <w:r>
        <w:t>are</w:t>
      </w:r>
      <w:r>
        <w:rPr>
          <w:spacing w:val="-1"/>
        </w:rPr>
        <w:t xml:space="preserve"> </w:t>
      </w:r>
      <w:r>
        <w:t>included;</w:t>
      </w:r>
    </w:p>
    <w:p w:rsidR="003F5784" w14:paraId="0A5A7F86" w14:textId="77777777">
      <w:pPr>
        <w:pStyle w:val="BodyText"/>
        <w:spacing w:line="235" w:lineRule="exact"/>
        <w:ind w:left="422"/>
      </w:pPr>
      <w:r>
        <w:rPr>
          <w:noProof/>
          <w:position w:val="3"/>
        </w:rPr>
        <w:drawing>
          <wp:inline distT="0" distB="0" distL="0" distR="0">
            <wp:extent cx="41379" cy="41378"/>
            <wp:effectExtent l="0" t="0" r="0" b="0"/>
            <wp:docPr id="395" name="Image 395"/>
            <wp:cNvGraphicFramePr/>
            <a:graphic xmlns:a="http://schemas.openxmlformats.org/drawingml/2006/main">
              <a:graphicData uri="http://schemas.openxmlformats.org/drawingml/2006/picture">
                <pic:pic xmlns:pic="http://schemas.openxmlformats.org/drawingml/2006/picture">
                  <pic:nvPicPr>
                    <pic:cNvPr id="395" name="Image 395"/>
                    <pic:cNvPicPr/>
                  </pic:nvPicPr>
                  <pic:blipFill>
                    <a:blip xmlns:r="http://schemas.openxmlformats.org/officeDocument/2006/relationships" r:embed="rId302" cstate="print"/>
                    <a:stretch>
                      <a:fillRect/>
                    </a:stretch>
                  </pic:blipFill>
                  <pic:spPr>
                    <a:xfrm>
                      <a:off x="0" y="0"/>
                      <a:ext cx="41379" cy="41378"/>
                    </a:xfrm>
                    <a:prstGeom prst="rect">
                      <a:avLst/>
                    </a:prstGeom>
                  </pic:spPr>
                </pic:pic>
              </a:graphicData>
            </a:graphic>
          </wp:inline>
        </w:drawing>
      </w:r>
      <w:r>
        <w:rPr>
          <w:spacing w:val="80"/>
          <w:sz w:val="20"/>
        </w:rPr>
        <w:t xml:space="preserve"> </w:t>
      </w:r>
      <w:r>
        <w:t>to</w:t>
      </w:r>
      <w:r>
        <w:rPr>
          <w:spacing w:val="-2"/>
        </w:rPr>
        <w:t xml:space="preserve"> </w:t>
      </w:r>
      <w:r>
        <w:t>reduce</w:t>
      </w:r>
      <w:r>
        <w:rPr>
          <w:spacing w:val="-2"/>
        </w:rPr>
        <w:t xml:space="preserve"> </w:t>
      </w:r>
      <w:r>
        <w:t>the</w:t>
      </w:r>
      <w:r>
        <w:rPr>
          <w:spacing w:val="-2"/>
        </w:rPr>
        <w:t xml:space="preserve"> </w:t>
      </w:r>
      <w:r>
        <w:t>sampling</w:t>
      </w:r>
      <w:r>
        <w:rPr>
          <w:spacing w:val="-2"/>
        </w:rPr>
        <w:t xml:space="preserve"> </w:t>
      </w:r>
      <w:r>
        <w:t>rate</w:t>
      </w:r>
      <w:r>
        <w:rPr>
          <w:spacing w:val="-2"/>
        </w:rPr>
        <w:t xml:space="preserve"> </w:t>
      </w:r>
      <w:r>
        <w:t>of</w:t>
      </w:r>
      <w:r>
        <w:rPr>
          <w:spacing w:val="-2"/>
        </w:rPr>
        <w:t xml:space="preserve"> </w:t>
      </w:r>
      <w:r>
        <w:t>small</w:t>
      </w:r>
      <w:r>
        <w:rPr>
          <w:spacing w:val="-2"/>
        </w:rPr>
        <w:t xml:space="preserve"> </w:t>
      </w:r>
      <w:r>
        <w:t>schools,</w:t>
      </w:r>
      <w:r>
        <w:rPr>
          <w:spacing w:val="-2"/>
        </w:rPr>
        <w:t xml:space="preserve"> </w:t>
      </w:r>
      <w:r>
        <w:t>in</w:t>
      </w:r>
      <w:r>
        <w:rPr>
          <w:spacing w:val="-2"/>
        </w:rPr>
        <w:t xml:space="preserve"> </w:t>
      </w:r>
      <w:r>
        <w:t>recognition</w:t>
      </w:r>
      <w:r>
        <w:rPr>
          <w:spacing w:val="-2"/>
        </w:rPr>
        <w:t xml:space="preserve"> </w:t>
      </w:r>
      <w:r>
        <w:t>of</w:t>
      </w:r>
      <w:r>
        <w:rPr>
          <w:spacing w:val="-2"/>
        </w:rPr>
        <w:t xml:space="preserve"> </w:t>
      </w:r>
      <w:r>
        <w:t>the</w:t>
      </w:r>
      <w:r>
        <w:rPr>
          <w:spacing w:val="-2"/>
        </w:rPr>
        <w:t xml:space="preserve"> </w:t>
      </w:r>
      <w:r>
        <w:t>greater</w:t>
      </w:r>
      <w:r>
        <w:rPr>
          <w:spacing w:val="-2"/>
        </w:rPr>
        <w:t xml:space="preserve"> </w:t>
      </w:r>
      <w:r>
        <w:t>cost</w:t>
      </w:r>
      <w:r>
        <w:rPr>
          <w:spacing w:val="-2"/>
        </w:rPr>
        <w:t xml:space="preserve"> </w:t>
      </w:r>
      <w:r>
        <w:t>and</w:t>
      </w:r>
      <w:r>
        <w:rPr>
          <w:spacing w:val="-2"/>
        </w:rPr>
        <w:t xml:space="preserve"> </w:t>
      </w:r>
      <w:r>
        <w:t>burden</w:t>
      </w:r>
      <w:r>
        <w:rPr>
          <w:spacing w:val="-2"/>
        </w:rPr>
        <w:t xml:space="preserve"> </w:t>
      </w:r>
      <w:r>
        <w:t>per</w:t>
      </w:r>
      <w:r>
        <w:rPr>
          <w:spacing w:val="-2"/>
        </w:rPr>
        <w:t xml:space="preserve"> </w:t>
      </w:r>
      <w:r>
        <w:t>student</w:t>
      </w:r>
      <w:r>
        <w:rPr>
          <w:spacing w:val="-2"/>
        </w:rPr>
        <w:t xml:space="preserve"> </w:t>
      </w:r>
      <w:r>
        <w:t>of</w:t>
      </w:r>
      <w:r>
        <w:rPr>
          <w:spacing w:val="-2"/>
        </w:rPr>
        <w:t xml:space="preserve"> </w:t>
      </w:r>
      <w:r>
        <w:t>conducting</w:t>
      </w:r>
      <w:r>
        <w:rPr>
          <w:spacing w:val="-2"/>
        </w:rPr>
        <w:t xml:space="preserve"> </w:t>
      </w:r>
      <w:r>
        <w:t>assessments</w:t>
      </w:r>
      <w:r>
        <w:rPr>
          <w:spacing w:val="-2"/>
        </w:rPr>
        <w:t xml:space="preserve"> </w:t>
      </w:r>
      <w:r>
        <w:t>in</w:t>
      </w:r>
      <w:r>
        <w:rPr>
          <w:spacing w:val="-2"/>
        </w:rPr>
        <w:t xml:space="preserve"> </w:t>
      </w:r>
      <w:r>
        <w:t>such</w:t>
      </w:r>
      <w:r>
        <w:rPr>
          <w:spacing w:val="-2"/>
        </w:rPr>
        <w:t xml:space="preserve"> </w:t>
      </w:r>
      <w:r>
        <w:t>schools;</w:t>
      </w:r>
      <w:r>
        <w:rPr>
          <w:spacing w:val="-2"/>
        </w:rPr>
        <w:t xml:space="preserve"> </w:t>
      </w:r>
      <w:r>
        <w:t>and</w:t>
      </w:r>
    </w:p>
    <w:p w:rsidR="003F5784" w14:paraId="4CDADC78" w14:textId="77777777">
      <w:pPr>
        <w:pStyle w:val="BodyText"/>
        <w:spacing w:line="238" w:lineRule="exact"/>
        <w:ind w:left="422"/>
      </w:pPr>
      <w:r>
        <w:rPr>
          <w:noProof/>
          <w:position w:val="3"/>
        </w:rPr>
        <w:drawing>
          <wp:inline distT="0" distB="0" distL="0" distR="0">
            <wp:extent cx="41379" cy="41378"/>
            <wp:effectExtent l="0" t="0" r="0" b="0"/>
            <wp:docPr id="396" name="Image 396"/>
            <wp:cNvGraphicFramePr/>
            <a:graphic xmlns:a="http://schemas.openxmlformats.org/drawingml/2006/main">
              <a:graphicData uri="http://schemas.openxmlformats.org/drawingml/2006/picture">
                <pic:pic xmlns:pic="http://schemas.openxmlformats.org/drawingml/2006/picture">
                  <pic:nvPicPr>
                    <pic:cNvPr id="396" name="Image 396"/>
                    <pic:cNvPicPr/>
                  </pic:nvPicPr>
                  <pic:blipFill>
                    <a:blip xmlns:r="http://schemas.openxmlformats.org/officeDocument/2006/relationships" r:embed="rId303" cstate="print"/>
                    <a:stretch>
                      <a:fillRect/>
                    </a:stretch>
                  </pic:blipFill>
                  <pic:spPr>
                    <a:xfrm>
                      <a:off x="0" y="0"/>
                      <a:ext cx="41379" cy="41378"/>
                    </a:xfrm>
                    <a:prstGeom prst="rect">
                      <a:avLst/>
                    </a:prstGeom>
                  </pic:spPr>
                </pic:pic>
              </a:graphicData>
            </a:graphic>
          </wp:inline>
        </w:drawing>
      </w:r>
      <w:r>
        <w:rPr>
          <w:spacing w:val="80"/>
          <w:sz w:val="20"/>
        </w:rPr>
        <w:t xml:space="preserve"> </w:t>
      </w:r>
      <w:r>
        <w:t>to</w:t>
      </w:r>
      <w:r>
        <w:rPr>
          <w:spacing w:val="-3"/>
        </w:rPr>
        <w:t xml:space="preserve"> </w:t>
      </w:r>
      <w:r>
        <w:t>ensure</w:t>
      </w:r>
      <w:r>
        <w:rPr>
          <w:spacing w:val="-3"/>
        </w:rPr>
        <w:t xml:space="preserve"> </w:t>
      </w:r>
      <w:r>
        <w:t>the</w:t>
      </w:r>
      <w:r>
        <w:rPr>
          <w:spacing w:val="-3"/>
        </w:rPr>
        <w:t xml:space="preserve"> </w:t>
      </w:r>
      <w:r>
        <w:t>inclusion</w:t>
      </w:r>
      <w:r>
        <w:rPr>
          <w:spacing w:val="-3"/>
        </w:rPr>
        <w:t xml:space="preserve"> </w:t>
      </w:r>
      <w:r>
        <w:t>of</w:t>
      </w:r>
      <w:r>
        <w:rPr>
          <w:spacing w:val="-3"/>
        </w:rPr>
        <w:t xml:space="preserve"> </w:t>
      </w:r>
      <w:r>
        <w:t>all</w:t>
      </w:r>
      <w:r>
        <w:rPr>
          <w:spacing w:val="-3"/>
        </w:rPr>
        <w:t xml:space="preserve"> </w:t>
      </w:r>
      <w:r>
        <w:t>eligible</w:t>
      </w:r>
      <w:r>
        <w:rPr>
          <w:spacing w:val="-3"/>
        </w:rPr>
        <w:t xml:space="preserve"> </w:t>
      </w:r>
      <w:r>
        <w:t>schools</w:t>
      </w:r>
      <w:r>
        <w:rPr>
          <w:spacing w:val="-3"/>
        </w:rPr>
        <w:t xml:space="preserve"> </w:t>
      </w:r>
      <w:r>
        <w:t>that</w:t>
      </w:r>
      <w:r>
        <w:rPr>
          <w:spacing w:val="-3"/>
        </w:rPr>
        <w:t xml:space="preserve"> </w:t>
      </w:r>
      <w:r>
        <w:t>were</w:t>
      </w:r>
      <w:r>
        <w:rPr>
          <w:spacing w:val="-3"/>
        </w:rPr>
        <w:t xml:space="preserve"> </w:t>
      </w:r>
      <w:r>
        <w:t>part</w:t>
      </w:r>
      <w:r>
        <w:rPr>
          <w:spacing w:val="-3"/>
        </w:rPr>
        <w:t xml:space="preserve"> </w:t>
      </w:r>
      <w:r>
        <w:t>of</w:t>
      </w:r>
      <w:r>
        <w:rPr>
          <w:spacing w:val="-3"/>
        </w:rPr>
        <w:t xml:space="preserve"> </w:t>
      </w:r>
      <w:r>
        <w:t>the</w:t>
      </w:r>
      <w:r>
        <w:rPr>
          <w:spacing w:val="-3"/>
        </w:rPr>
        <w:t xml:space="preserve"> </w:t>
      </w:r>
      <w:r>
        <w:t>NAEP</w:t>
      </w:r>
      <w:r>
        <w:rPr>
          <w:spacing w:val="-10"/>
        </w:rPr>
        <w:t xml:space="preserve"> </w:t>
      </w:r>
      <w:r>
        <w:t>2021</w:t>
      </w:r>
      <w:r>
        <w:rPr>
          <w:spacing w:val="-3"/>
        </w:rPr>
        <w:t xml:space="preserve"> </w:t>
      </w:r>
      <w:r>
        <w:t>Monthly</w:t>
      </w:r>
      <w:r>
        <w:rPr>
          <w:spacing w:val="-3"/>
        </w:rPr>
        <w:t xml:space="preserve"> </w:t>
      </w:r>
      <w:r>
        <w:t>School</w:t>
      </w:r>
      <w:r>
        <w:rPr>
          <w:spacing w:val="-3"/>
        </w:rPr>
        <w:t xml:space="preserve"> </w:t>
      </w:r>
      <w:r>
        <w:t>Survey</w:t>
      </w:r>
      <w:r>
        <w:rPr>
          <w:spacing w:val="-3"/>
        </w:rPr>
        <w:t xml:space="preserve"> </w:t>
      </w:r>
      <w:r>
        <w:t>and</w:t>
      </w:r>
      <w:r>
        <w:rPr>
          <w:spacing w:val="-3"/>
        </w:rPr>
        <w:t xml:space="preserve"> </w:t>
      </w:r>
      <w:r>
        <w:t>NAEP</w:t>
      </w:r>
      <w:r>
        <w:rPr>
          <w:spacing w:val="-10"/>
        </w:rPr>
        <w:t xml:space="preserve"> </w:t>
      </w:r>
      <w:r>
        <w:t>2021</w:t>
      </w:r>
      <w:r>
        <w:rPr>
          <w:spacing w:val="-3"/>
        </w:rPr>
        <w:t xml:space="preserve"> </w:t>
      </w:r>
      <w:r>
        <w:t>School</w:t>
      </w:r>
      <w:r>
        <w:rPr>
          <w:spacing w:val="-3"/>
        </w:rPr>
        <w:t xml:space="preserve"> </w:t>
      </w:r>
      <w:r>
        <w:t>and</w:t>
      </w:r>
      <w:r>
        <w:rPr>
          <w:spacing w:val="-6"/>
        </w:rPr>
        <w:t xml:space="preserve"> </w:t>
      </w:r>
      <w:r>
        <w:t>Teacher</w:t>
      </w:r>
      <w:r>
        <w:rPr>
          <w:spacing w:val="-3"/>
        </w:rPr>
        <w:t xml:space="preserve"> </w:t>
      </w:r>
      <w:r>
        <w:t>Questionnaire</w:t>
      </w:r>
      <w:r>
        <w:rPr>
          <w:spacing w:val="-3"/>
        </w:rPr>
        <w:t xml:space="preserve"> </w:t>
      </w:r>
      <w:r>
        <w:t>Study.</w:t>
      </w:r>
    </w:p>
    <w:p w:rsidR="003F5784" w14:paraId="0348C88E" w14:textId="77777777">
      <w:pPr>
        <w:pStyle w:val="BodyText"/>
        <w:spacing w:before="207" w:line="232" w:lineRule="auto"/>
        <w:ind w:left="109"/>
      </w:pPr>
      <w:r>
        <w:t>The goal in determining the school's measure of size (MOS) is to optimize across the middle four objectives in terms of maintaining the precision of estimates and the cost effectiveness</w:t>
      </w:r>
      <w:r>
        <w:rPr>
          <w:spacing w:val="-6"/>
        </w:rPr>
        <w:t xml:space="preserve"> </w:t>
      </w:r>
      <w:r>
        <w:t>of</w:t>
      </w:r>
      <w:r>
        <w:rPr>
          <w:spacing w:val="-6"/>
        </w:rPr>
        <w:t xml:space="preserve"> </w:t>
      </w:r>
      <w:r>
        <w:t>the</w:t>
      </w:r>
      <w:r>
        <w:rPr>
          <w:spacing w:val="-6"/>
        </w:rPr>
        <w:t xml:space="preserve"> </w:t>
      </w:r>
      <w:r>
        <w:t>sample</w:t>
      </w:r>
      <w:r>
        <w:rPr>
          <w:spacing w:val="-6"/>
        </w:rPr>
        <w:t xml:space="preserve"> </w:t>
      </w:r>
      <w:r>
        <w:t>design.</w:t>
      </w:r>
      <w:r>
        <w:rPr>
          <w:spacing w:val="-6"/>
        </w:rPr>
        <w:t xml:space="preserve"> </w:t>
      </w:r>
      <w:r>
        <w:t>In</w:t>
      </w:r>
      <w:r>
        <w:rPr>
          <w:spacing w:val="-6"/>
        </w:rPr>
        <w:t xml:space="preserve"> </w:t>
      </w:r>
      <w:r>
        <w:t>certain</w:t>
      </w:r>
      <w:r>
        <w:rPr>
          <w:spacing w:val="-6"/>
        </w:rPr>
        <w:t xml:space="preserve"> </w:t>
      </w:r>
      <w:r>
        <w:t>jurisdictions,</w:t>
      </w:r>
      <w:r>
        <w:rPr>
          <w:spacing w:val="-6"/>
        </w:rPr>
        <w:t xml:space="preserve"> </w:t>
      </w:r>
      <w:r>
        <w:t>a</w:t>
      </w:r>
      <w:r>
        <w:rPr>
          <w:spacing w:val="-6"/>
        </w:rPr>
        <w:t xml:space="preserve"> </w:t>
      </w:r>
      <w:r>
        <w:t>census</w:t>
      </w:r>
      <w:r>
        <w:rPr>
          <w:spacing w:val="-6"/>
        </w:rPr>
        <w:t xml:space="preserve"> </w:t>
      </w:r>
      <w:r>
        <w:t>of</w:t>
      </w:r>
      <w:r>
        <w:rPr>
          <w:spacing w:val="-6"/>
        </w:rPr>
        <w:t xml:space="preserve"> </w:t>
      </w:r>
      <w:r>
        <w:t>students</w:t>
      </w:r>
      <w:r>
        <w:rPr>
          <w:spacing w:val="-6"/>
        </w:rPr>
        <w:t xml:space="preserve"> </w:t>
      </w:r>
      <w:r>
        <w:t>was</w:t>
      </w:r>
      <w:r>
        <w:rPr>
          <w:spacing w:val="-6"/>
        </w:rPr>
        <w:t xml:space="preserve"> </w:t>
      </w:r>
      <w:r>
        <w:t>taken</w:t>
      </w:r>
      <w:r>
        <w:rPr>
          <w:spacing w:val="-6"/>
        </w:rPr>
        <w:t xml:space="preserve"> </w:t>
      </w:r>
      <w:r>
        <w:t>so</w:t>
      </w:r>
      <w:r>
        <w:rPr>
          <w:spacing w:val="-6"/>
        </w:rPr>
        <w:t xml:space="preserve"> </w:t>
      </w:r>
      <w:r>
        <w:t>as</w:t>
      </w:r>
      <w:r>
        <w:rPr>
          <w:spacing w:val="-6"/>
        </w:rPr>
        <w:t xml:space="preserve"> </w:t>
      </w:r>
      <w:r>
        <w:t>to</w:t>
      </w:r>
      <w:r>
        <w:rPr>
          <w:spacing w:val="-6"/>
        </w:rPr>
        <w:t xml:space="preserve"> </w:t>
      </w:r>
      <w:r>
        <w:t>meet,</w:t>
      </w:r>
      <w:r>
        <w:rPr>
          <w:spacing w:val="-6"/>
        </w:rPr>
        <w:t xml:space="preserve"> </w:t>
      </w:r>
      <w:r>
        <w:t>as</w:t>
      </w:r>
      <w:r>
        <w:rPr>
          <w:spacing w:val="-6"/>
        </w:rPr>
        <w:t xml:space="preserve"> </w:t>
      </w:r>
      <w:r>
        <w:t>nearly</w:t>
      </w:r>
      <w:r>
        <w:rPr>
          <w:spacing w:val="-6"/>
        </w:rPr>
        <w:t xml:space="preserve"> </w:t>
      </w:r>
      <w:r>
        <w:t>as</w:t>
      </w:r>
      <w:r>
        <w:rPr>
          <w:spacing w:val="-6"/>
        </w:rPr>
        <w:t xml:space="preserve"> </w:t>
      </w:r>
      <w:r>
        <w:t>possible,</w:t>
      </w:r>
      <w:r>
        <w:rPr>
          <w:spacing w:val="-6"/>
        </w:rPr>
        <w:t xml:space="preserve"> </w:t>
      </w:r>
      <w:r>
        <w:t>the</w:t>
      </w:r>
      <w:r>
        <w:rPr>
          <w:spacing w:val="-6"/>
        </w:rPr>
        <w:t xml:space="preserve"> </w:t>
      </w:r>
      <w:r>
        <w:t>target</w:t>
      </w:r>
      <w:r>
        <w:rPr>
          <w:spacing w:val="-6"/>
        </w:rPr>
        <w:t xml:space="preserve"> </w:t>
      </w:r>
      <w:r>
        <w:t>student</w:t>
      </w:r>
      <w:r>
        <w:rPr>
          <w:spacing w:val="-6"/>
        </w:rPr>
        <w:t xml:space="preserve"> </w:t>
      </w:r>
      <w:r>
        <w:t>sample</w:t>
      </w:r>
      <w:r>
        <w:rPr>
          <w:spacing w:val="-6"/>
        </w:rPr>
        <w:t xml:space="preserve"> </w:t>
      </w:r>
      <w:r>
        <w:t>size.</w:t>
      </w:r>
      <w:r>
        <w:rPr>
          <w:spacing w:val="-6"/>
        </w:rPr>
        <w:t xml:space="preserve"> </w:t>
      </w:r>
      <w:r>
        <w:t>Elsewhere,</w:t>
      </w:r>
      <w:r>
        <w:rPr>
          <w:spacing w:val="-6"/>
        </w:rPr>
        <w:t xml:space="preserve"> </w:t>
      </w:r>
      <w:r>
        <w:t>to</w:t>
      </w:r>
      <w:r>
        <w:rPr>
          <w:spacing w:val="-6"/>
        </w:rPr>
        <w:t xml:space="preserve"> </w:t>
      </w:r>
      <w:r>
        <w:t>meet the target student sample and achieve a reasonable compromise among the middle four objectives above, the following algorithm was used to assign a measure of size to each school based on its enrollment per grade as indicated on the sampling frame.</w:t>
      </w:r>
    </w:p>
    <w:p w:rsidR="003F5784" w14:paraId="1A42A4B6" w14:textId="77777777">
      <w:pPr>
        <w:pStyle w:val="BodyText"/>
        <w:spacing w:before="204"/>
        <w:ind w:left="109"/>
      </w:pPr>
      <w:r>
        <w:t>The</w:t>
      </w:r>
      <w:r>
        <w:rPr>
          <w:spacing w:val="-6"/>
        </w:rPr>
        <w:t xml:space="preserve"> </w:t>
      </w:r>
      <w:r>
        <w:t>preliminary</w:t>
      </w:r>
      <w:r>
        <w:rPr>
          <w:spacing w:val="-5"/>
        </w:rPr>
        <w:t xml:space="preserve"> </w:t>
      </w:r>
      <w:r>
        <w:t>measures</w:t>
      </w:r>
      <w:r>
        <w:rPr>
          <w:spacing w:val="-5"/>
        </w:rPr>
        <w:t xml:space="preserve"> </w:t>
      </w:r>
      <w:r>
        <w:t>of</w:t>
      </w:r>
      <w:r>
        <w:rPr>
          <w:spacing w:val="-6"/>
        </w:rPr>
        <w:t xml:space="preserve"> </w:t>
      </w:r>
      <w:r>
        <w:t>size</w:t>
      </w:r>
      <w:r>
        <w:rPr>
          <w:spacing w:val="-5"/>
        </w:rPr>
        <w:t xml:space="preserve"> </w:t>
      </w:r>
      <w:r>
        <w:t>were</w:t>
      </w:r>
      <w:r>
        <w:rPr>
          <w:spacing w:val="-5"/>
        </w:rPr>
        <w:t xml:space="preserve"> </w:t>
      </w:r>
      <w:r>
        <w:t>set</w:t>
      </w:r>
      <w:r>
        <w:rPr>
          <w:spacing w:val="-5"/>
        </w:rPr>
        <w:t xml:space="preserve"> </w:t>
      </w:r>
      <w:r>
        <w:t>as</w:t>
      </w:r>
      <w:r>
        <w:rPr>
          <w:spacing w:val="-6"/>
        </w:rPr>
        <w:t xml:space="preserve"> </w:t>
      </w:r>
      <w:r>
        <w:rPr>
          <w:spacing w:val="-2"/>
        </w:rPr>
        <w:t>follows:</w:t>
      </w:r>
    </w:p>
    <w:p w:rsidR="003F5784" w14:paraId="09B5ABA5" w14:textId="77777777">
      <w:pPr>
        <w:pStyle w:val="BodyText"/>
        <w:spacing w:before="208" w:line="232" w:lineRule="auto"/>
        <w:ind w:left="109" w:right="13089"/>
      </w:pPr>
      <w:r>
        <w:rPr>
          <w:spacing w:val="-2"/>
        </w:rPr>
        <w:t xml:space="preserve">\begin{equation} </w:t>
      </w:r>
      <w:r>
        <w:t>MOS_{js} =</w:t>
      </w:r>
    </w:p>
    <w:p w:rsidR="003F5784" w14:paraId="19869509" w14:textId="77777777">
      <w:pPr>
        <w:pStyle w:val="BodyText"/>
        <w:spacing w:line="233" w:lineRule="exact"/>
        <w:ind w:left="109"/>
      </w:pPr>
      <w:r>
        <w:t>\left\{</w:t>
      </w:r>
      <w:r>
        <w:rPr>
          <w:spacing w:val="-6"/>
        </w:rPr>
        <w:t xml:space="preserve"> </w:t>
      </w:r>
      <w:r>
        <w:rPr>
          <w:spacing w:val="-2"/>
        </w:rPr>
        <w:t>\begin{array}{l}</w:t>
      </w:r>
    </w:p>
    <w:p w:rsidR="003F5784" w14:paraId="5B1047AB" w14:textId="77777777">
      <w:pPr>
        <w:pStyle w:val="BodyText"/>
        <w:spacing w:line="235" w:lineRule="exact"/>
        <w:ind w:left="109"/>
      </w:pPr>
      <w:r>
        <w:t>x_{js}</w:t>
      </w:r>
      <w:r>
        <w:rPr>
          <w:spacing w:val="-5"/>
        </w:rPr>
        <w:t xml:space="preserve"> </w:t>
      </w:r>
      <w:r>
        <w:t>&amp;</w:t>
      </w:r>
      <w:r>
        <w:rPr>
          <w:spacing w:val="-5"/>
        </w:rPr>
        <w:t xml:space="preserve"> </w:t>
      </w:r>
      <w:r>
        <w:t>\text{if</w:t>
      </w:r>
      <w:r>
        <w:rPr>
          <w:spacing w:val="-5"/>
        </w:rPr>
        <w:t xml:space="preserve"> </w:t>
      </w:r>
      <w:r>
        <w:t>}</w:t>
      </w:r>
      <w:r>
        <w:rPr>
          <w:spacing w:val="-5"/>
        </w:rPr>
        <w:t xml:space="preserve"> </w:t>
      </w:r>
      <w:r>
        <w:t>z_{js}</w:t>
      </w:r>
      <w:r>
        <w:rPr>
          <w:spacing w:val="-4"/>
        </w:rPr>
        <w:t xml:space="preserve"> </w:t>
      </w:r>
      <w:r>
        <w:t>&lt;</w:t>
      </w:r>
      <w:r>
        <w:rPr>
          <w:spacing w:val="-5"/>
        </w:rPr>
        <w:t xml:space="preserve"> </w:t>
      </w:r>
      <w:r>
        <w:t>x_{js}</w:t>
      </w:r>
      <w:r>
        <w:rPr>
          <w:spacing w:val="-5"/>
        </w:rPr>
        <w:t xml:space="preserve"> </w:t>
      </w:r>
      <w:r>
        <w:rPr>
          <w:spacing w:val="-2"/>
        </w:rPr>
        <w:t>\\[2pt]</w:t>
      </w:r>
    </w:p>
    <w:p w:rsidR="003F5784" w14:paraId="1A9A5D50" w14:textId="77777777">
      <w:pPr>
        <w:pStyle w:val="BodyText"/>
        <w:spacing w:line="235" w:lineRule="exact"/>
        <w:ind w:left="109"/>
      </w:pPr>
      <w:r>
        <w:t>y_{j}</w:t>
      </w:r>
      <w:r>
        <w:rPr>
          <w:spacing w:val="-6"/>
        </w:rPr>
        <w:t xml:space="preserve"> </w:t>
      </w:r>
      <w:r>
        <w:t>&amp;</w:t>
      </w:r>
      <w:r>
        <w:rPr>
          <w:spacing w:val="-5"/>
        </w:rPr>
        <w:t xml:space="preserve"> </w:t>
      </w:r>
      <w:r>
        <w:t>\text{if</w:t>
      </w:r>
      <w:r>
        <w:rPr>
          <w:spacing w:val="-5"/>
        </w:rPr>
        <w:t xml:space="preserve"> </w:t>
      </w:r>
      <w:r>
        <w:t>}</w:t>
      </w:r>
      <w:r>
        <w:rPr>
          <w:spacing w:val="-5"/>
        </w:rPr>
        <w:t xml:space="preserve"> </w:t>
      </w:r>
      <w:r>
        <w:t>20</w:t>
      </w:r>
      <w:r>
        <w:rPr>
          <w:spacing w:val="-5"/>
        </w:rPr>
        <w:t xml:space="preserve"> </w:t>
      </w:r>
      <w:r>
        <w:t>&lt;</w:t>
      </w:r>
      <w:r>
        <w:rPr>
          <w:spacing w:val="-5"/>
        </w:rPr>
        <w:t xml:space="preserve"> </w:t>
      </w:r>
      <w:r>
        <w:t>x_{js}</w:t>
      </w:r>
      <w:r>
        <w:rPr>
          <w:spacing w:val="-5"/>
        </w:rPr>
        <w:t xml:space="preserve"> </w:t>
      </w:r>
      <w:r>
        <w:t>\leq{z_{js}}</w:t>
      </w:r>
      <w:r>
        <w:rPr>
          <w:spacing w:val="-5"/>
        </w:rPr>
        <w:t xml:space="preserve"> </w:t>
      </w:r>
      <w:r>
        <w:rPr>
          <w:spacing w:val="-2"/>
        </w:rPr>
        <w:t>\\[2pt]</w:t>
      </w:r>
    </w:p>
    <w:p w:rsidR="003F5784" w14:paraId="2EFA9902" w14:textId="77777777">
      <w:pPr>
        <w:pStyle w:val="BodyText"/>
        <w:spacing w:line="235" w:lineRule="exact"/>
        <w:ind w:left="109"/>
      </w:pPr>
      <w:r>
        <w:t>\left(\dfrac{y_j}{20}\right)</w:t>
      </w:r>
      <w:r>
        <w:rPr>
          <w:spacing w:val="-7"/>
        </w:rPr>
        <w:t xml:space="preserve"> </w:t>
      </w:r>
      <w:r>
        <w:t>\times</w:t>
      </w:r>
      <w:r>
        <w:rPr>
          <w:spacing w:val="-6"/>
        </w:rPr>
        <w:t xml:space="preserve"> </w:t>
      </w:r>
      <w:r>
        <w:t>x_{js}</w:t>
      </w:r>
      <w:r>
        <w:rPr>
          <w:spacing w:val="-6"/>
        </w:rPr>
        <w:t xml:space="preserve"> </w:t>
      </w:r>
      <w:r>
        <w:t>&amp;</w:t>
      </w:r>
      <w:r>
        <w:rPr>
          <w:spacing w:val="-7"/>
        </w:rPr>
        <w:t xml:space="preserve"> </w:t>
      </w:r>
      <w:r>
        <w:t>\text{if</w:t>
      </w:r>
      <w:r>
        <w:rPr>
          <w:spacing w:val="-6"/>
        </w:rPr>
        <w:t xml:space="preserve"> </w:t>
      </w:r>
      <w:r>
        <w:t>}</w:t>
      </w:r>
      <w:r>
        <w:rPr>
          <w:spacing w:val="-6"/>
        </w:rPr>
        <w:t xml:space="preserve"> </w:t>
      </w:r>
      <w:r>
        <w:t>10</w:t>
      </w:r>
      <w:r>
        <w:rPr>
          <w:spacing w:val="-7"/>
        </w:rPr>
        <w:t xml:space="preserve"> </w:t>
      </w:r>
      <w:r>
        <w:t>&lt;</w:t>
      </w:r>
      <w:r>
        <w:rPr>
          <w:spacing w:val="-6"/>
        </w:rPr>
        <w:t xml:space="preserve"> </w:t>
      </w:r>
      <w:r>
        <w:t>x_{js}</w:t>
      </w:r>
      <w:r>
        <w:rPr>
          <w:spacing w:val="-6"/>
        </w:rPr>
        <w:t xml:space="preserve"> </w:t>
      </w:r>
      <w:r>
        <w:t>\leq</w:t>
      </w:r>
      <w:r>
        <w:rPr>
          <w:spacing w:val="-7"/>
        </w:rPr>
        <w:t xml:space="preserve"> </w:t>
      </w:r>
      <w:r>
        <w:t>{20}</w:t>
      </w:r>
      <w:r>
        <w:rPr>
          <w:spacing w:val="-6"/>
        </w:rPr>
        <w:t xml:space="preserve"> </w:t>
      </w:r>
      <w:r>
        <w:rPr>
          <w:spacing w:val="-5"/>
        </w:rPr>
        <w:t>\\</w:t>
      </w:r>
    </w:p>
    <w:p w:rsidR="003F5784" w14:paraId="5ECCBE7C" w14:textId="77777777">
      <w:pPr>
        <w:pStyle w:val="BodyText"/>
        <w:spacing w:line="235" w:lineRule="exact"/>
        <w:ind w:left="109"/>
      </w:pPr>
      <w:r>
        <w:t>\dfrac{y_j}{2}</w:t>
      </w:r>
      <w:r>
        <w:rPr>
          <w:spacing w:val="-7"/>
        </w:rPr>
        <w:t xml:space="preserve"> </w:t>
      </w:r>
      <w:r>
        <w:t>&amp;</w:t>
      </w:r>
      <w:r>
        <w:rPr>
          <w:spacing w:val="-6"/>
        </w:rPr>
        <w:t xml:space="preserve"> </w:t>
      </w:r>
      <w:r>
        <w:t>x_{js}</w:t>
      </w:r>
      <w:r>
        <w:rPr>
          <w:spacing w:val="-7"/>
        </w:rPr>
        <w:t xml:space="preserve"> </w:t>
      </w:r>
      <w:r>
        <w:t>\leq</w:t>
      </w:r>
      <w:r>
        <w:rPr>
          <w:spacing w:val="-6"/>
        </w:rPr>
        <w:t xml:space="preserve"> </w:t>
      </w:r>
      <w:r>
        <w:t>{10}</w:t>
      </w:r>
      <w:r>
        <w:rPr>
          <w:spacing w:val="-7"/>
        </w:rPr>
        <w:t xml:space="preserve"> </w:t>
      </w:r>
      <w:r>
        <w:rPr>
          <w:spacing w:val="-2"/>
        </w:rPr>
        <w:t>\end{array}\right.</w:t>
      </w:r>
    </w:p>
    <w:p w:rsidR="003F5784" w14:paraId="6FB4964D" w14:textId="77777777">
      <w:pPr>
        <w:pStyle w:val="BodyText"/>
        <w:spacing w:line="238" w:lineRule="exact"/>
        <w:ind w:left="109"/>
      </w:pPr>
      <w:r>
        <w:rPr>
          <w:spacing w:val="-2"/>
        </w:rPr>
        <w:t>\end{equation}</w:t>
      </w:r>
    </w:p>
    <w:p w:rsidR="003F5784" w14:paraId="7DF70074" w14:textId="77777777">
      <w:pPr>
        <w:pStyle w:val="BodyText"/>
        <w:spacing w:before="233" w:line="232" w:lineRule="auto"/>
        <w:ind w:left="109" w:right="732"/>
        <w:rPr>
          <w:i/>
        </w:rPr>
      </w:pPr>
      <w:r>
        <w:t>where</w:t>
      </w:r>
      <w:r>
        <w:rPr>
          <w:spacing w:val="-6"/>
        </w:rPr>
        <w:t xml:space="preserve"> </w:t>
      </w:r>
      <w:r>
        <w:t>`x_{js}`</w:t>
      </w:r>
      <w:r>
        <w:rPr>
          <w:spacing w:val="-6"/>
        </w:rPr>
        <w:t xml:space="preserve"> </w:t>
      </w:r>
      <w:r>
        <w:t>is</w:t>
      </w:r>
      <w:r>
        <w:rPr>
          <w:spacing w:val="-6"/>
        </w:rPr>
        <w:t xml:space="preserve"> </w:t>
      </w:r>
      <w:r>
        <w:t>the</w:t>
      </w:r>
      <w:r>
        <w:rPr>
          <w:spacing w:val="-6"/>
        </w:rPr>
        <w:t xml:space="preserve"> </w:t>
      </w:r>
      <w:r>
        <w:t>estimated</w:t>
      </w:r>
      <w:r>
        <w:rPr>
          <w:spacing w:val="-6"/>
        </w:rPr>
        <w:t xml:space="preserve"> </w:t>
      </w:r>
      <w:r>
        <w:t>grade</w:t>
      </w:r>
      <w:r>
        <w:rPr>
          <w:spacing w:val="-6"/>
        </w:rPr>
        <w:t xml:space="preserve"> </w:t>
      </w:r>
      <w:r>
        <w:t>enrollment</w:t>
      </w:r>
      <w:r>
        <w:rPr>
          <w:spacing w:val="-6"/>
        </w:rPr>
        <w:t xml:space="preserve"> </w:t>
      </w:r>
      <w:r>
        <w:t>for</w:t>
      </w:r>
      <w:r>
        <w:rPr>
          <w:spacing w:val="-6"/>
        </w:rPr>
        <w:t xml:space="preserve"> </w:t>
      </w:r>
      <w:r>
        <w:t>school</w:t>
      </w:r>
      <w:r>
        <w:rPr>
          <w:spacing w:val="-6"/>
        </w:rPr>
        <w:t xml:space="preserve"> </w:t>
      </w:r>
      <w:r>
        <w:t>`s`</w:t>
      </w:r>
      <w:r>
        <w:rPr>
          <w:spacing w:val="-6"/>
        </w:rPr>
        <w:t xml:space="preserve"> </w:t>
      </w:r>
      <w:r>
        <w:t>in</w:t>
      </w:r>
      <w:r>
        <w:rPr>
          <w:spacing w:val="-6"/>
        </w:rPr>
        <w:t xml:space="preserve"> </w:t>
      </w:r>
      <w:r>
        <w:t>jurisdiction</w:t>
      </w:r>
      <w:r>
        <w:rPr>
          <w:spacing w:val="-6"/>
        </w:rPr>
        <w:t xml:space="preserve"> </w:t>
      </w:r>
      <w:r>
        <w:t>`j`,</w:t>
      </w:r>
      <w:r>
        <w:rPr>
          <w:spacing w:val="-6"/>
        </w:rPr>
        <w:t xml:space="preserve"> </w:t>
      </w:r>
      <w:r>
        <w:t>`y_{j}`</w:t>
      </w:r>
      <w:r>
        <w:rPr>
          <w:spacing w:val="-6"/>
        </w:rPr>
        <w:t xml:space="preserve"> </w:t>
      </w:r>
      <w:r>
        <w:t>the</w:t>
      </w:r>
      <w:r>
        <w:rPr>
          <w:spacing w:val="-6"/>
        </w:rPr>
        <w:t xml:space="preserve"> </w:t>
      </w:r>
      <w:r>
        <w:t>target</w:t>
      </w:r>
      <w:r>
        <w:rPr>
          <w:spacing w:val="-6"/>
        </w:rPr>
        <w:t xml:space="preserve"> </w:t>
      </w:r>
      <w:r>
        <w:t>within-school</w:t>
      </w:r>
      <w:r>
        <w:rPr>
          <w:spacing w:val="-6"/>
        </w:rPr>
        <w:t xml:space="preserve"> </w:t>
      </w:r>
      <w:r>
        <w:t>student</w:t>
      </w:r>
      <w:r>
        <w:rPr>
          <w:spacing w:val="-6"/>
        </w:rPr>
        <w:t xml:space="preserve"> </w:t>
      </w:r>
      <w:r>
        <w:t>sample</w:t>
      </w:r>
      <w:r>
        <w:rPr>
          <w:spacing w:val="-6"/>
        </w:rPr>
        <w:t xml:space="preserve"> </w:t>
      </w:r>
      <w:r>
        <w:t>size</w:t>
      </w:r>
      <w:r>
        <w:rPr>
          <w:spacing w:val="-6"/>
        </w:rPr>
        <w:t xml:space="preserve"> </w:t>
      </w:r>
      <w:r>
        <w:t>for</w:t>
      </w:r>
      <w:r>
        <w:rPr>
          <w:spacing w:val="-6"/>
        </w:rPr>
        <w:t xml:space="preserve"> </w:t>
      </w:r>
      <w:r>
        <w:t>jurisdiction</w:t>
      </w:r>
      <w:r>
        <w:rPr>
          <w:spacing w:val="-6"/>
        </w:rPr>
        <w:t xml:space="preserve"> </w:t>
      </w:r>
      <w:r>
        <w:t>`j`</w:t>
      </w:r>
      <w:r>
        <w:rPr>
          <w:i/>
        </w:rPr>
        <w:t>,</w:t>
      </w:r>
      <w:r>
        <w:rPr>
          <w:i/>
          <w:spacing w:val="-6"/>
        </w:rPr>
        <w:t xml:space="preserve"> </w:t>
      </w:r>
      <w:r>
        <w:t>and</w:t>
      </w:r>
      <w:r>
        <w:rPr>
          <w:spacing w:val="-6"/>
        </w:rPr>
        <w:t xml:space="preserve"> </w:t>
      </w:r>
      <w:r>
        <w:t>`z_{js}`</w:t>
      </w:r>
      <w:r>
        <w:rPr>
          <w:spacing w:val="-6"/>
        </w:rPr>
        <w:t xml:space="preserve"> </w:t>
      </w:r>
      <w:r>
        <w:t>the within-school take-all student cutoff for jurisdiction `j` to which school `s` belongs</w:t>
      </w:r>
      <w:r>
        <w:rPr>
          <w:i/>
        </w:rPr>
        <w:t>.</w:t>
      </w:r>
    </w:p>
    <w:p w:rsidR="003F5784" w14:paraId="07D96558" w14:textId="77777777">
      <w:pPr>
        <w:pStyle w:val="BodyText"/>
        <w:spacing w:before="202"/>
        <w:rPr>
          <w:i/>
        </w:rPr>
      </w:pPr>
    </w:p>
    <w:p w:rsidR="003F5784" w14:paraId="3A11968B" w14:textId="77777777">
      <w:pPr>
        <w:pStyle w:val="BodyText"/>
        <w:spacing w:before="1" w:line="232" w:lineRule="auto"/>
        <w:ind w:left="109" w:right="179"/>
      </w:pPr>
      <w:r>
        <w:t>For</w:t>
      </w:r>
      <w:r>
        <w:rPr>
          <w:spacing w:val="-5"/>
        </w:rPr>
        <w:t xml:space="preserve"> </w:t>
      </w:r>
      <w:r>
        <w:t>the</w:t>
      </w:r>
      <w:r>
        <w:rPr>
          <w:spacing w:val="-5"/>
        </w:rPr>
        <w:t xml:space="preserve"> </w:t>
      </w:r>
      <w:r>
        <w:t>state</w:t>
      </w:r>
      <w:r>
        <w:rPr>
          <w:spacing w:val="-5"/>
        </w:rPr>
        <w:t xml:space="preserve"> </w:t>
      </w:r>
      <w:r>
        <w:t>samples</w:t>
      </w:r>
      <w:r>
        <w:rPr>
          <w:spacing w:val="-5"/>
        </w:rPr>
        <w:t xml:space="preserve"> </w:t>
      </w:r>
      <w:r>
        <w:t>at</w:t>
      </w:r>
      <w:r>
        <w:rPr>
          <w:spacing w:val="-5"/>
        </w:rPr>
        <w:t xml:space="preserve"> </w:t>
      </w:r>
      <w:r>
        <w:t>grades</w:t>
      </w:r>
      <w:r>
        <w:rPr>
          <w:spacing w:val="-5"/>
        </w:rPr>
        <w:t xml:space="preserve"> </w:t>
      </w:r>
      <w:r>
        <w:t>4</w:t>
      </w:r>
      <w:r>
        <w:rPr>
          <w:spacing w:val="-5"/>
        </w:rPr>
        <w:t xml:space="preserve"> </w:t>
      </w:r>
      <w:r>
        <w:t>and</w:t>
      </w:r>
      <w:r>
        <w:rPr>
          <w:spacing w:val="-5"/>
        </w:rPr>
        <w:t xml:space="preserve"> </w:t>
      </w:r>
      <w:r>
        <w:t>8,</w:t>
      </w:r>
      <w:r>
        <w:rPr>
          <w:spacing w:val="-5"/>
        </w:rPr>
        <w:t xml:space="preserve"> </w:t>
      </w:r>
      <w:r>
        <w:t>the</w:t>
      </w:r>
      <w:r>
        <w:rPr>
          <w:spacing w:val="-5"/>
        </w:rPr>
        <w:t xml:space="preserve"> </w:t>
      </w:r>
      <w:r>
        <w:t>target</w:t>
      </w:r>
      <w:r>
        <w:rPr>
          <w:spacing w:val="-5"/>
        </w:rPr>
        <w:t xml:space="preserve"> </w:t>
      </w:r>
      <w:r>
        <w:t>sample</w:t>
      </w:r>
      <w:r>
        <w:rPr>
          <w:spacing w:val="-5"/>
        </w:rPr>
        <w:t xml:space="preserve"> </w:t>
      </w:r>
      <w:r>
        <w:t>sizes</w:t>
      </w:r>
      <w:r>
        <w:rPr>
          <w:spacing w:val="-5"/>
        </w:rPr>
        <w:t xml:space="preserve"> </w:t>
      </w:r>
      <w:r>
        <w:t>and</w:t>
      </w:r>
      <w:r>
        <w:rPr>
          <w:spacing w:val="-5"/>
        </w:rPr>
        <w:t xml:space="preserve"> </w:t>
      </w:r>
      <w:r>
        <w:t>take-all</w:t>
      </w:r>
      <w:r>
        <w:rPr>
          <w:spacing w:val="-5"/>
        </w:rPr>
        <w:t xml:space="preserve"> </w:t>
      </w:r>
      <w:r>
        <w:t>cutoffs</w:t>
      </w:r>
      <w:r>
        <w:rPr>
          <w:spacing w:val="-5"/>
        </w:rPr>
        <w:t xml:space="preserve"> </w:t>
      </w:r>
      <w:r>
        <w:t>were</w:t>
      </w:r>
      <w:r>
        <w:rPr>
          <w:spacing w:val="-5"/>
        </w:rPr>
        <w:t xml:space="preserve"> </w:t>
      </w:r>
      <w:r>
        <w:t>50</w:t>
      </w:r>
      <w:r>
        <w:rPr>
          <w:spacing w:val="-5"/>
        </w:rPr>
        <w:t xml:space="preserve"> </w:t>
      </w:r>
      <w:r>
        <w:t>and</w:t>
      </w:r>
      <w:r>
        <w:rPr>
          <w:spacing w:val="-5"/>
        </w:rPr>
        <w:t xml:space="preserve"> </w:t>
      </w:r>
      <w:r>
        <w:t>52</w:t>
      </w:r>
      <w:r>
        <w:rPr>
          <w:spacing w:val="-5"/>
        </w:rPr>
        <w:t xml:space="preserve"> </w:t>
      </w:r>
      <w:r>
        <w:t>for</w:t>
      </w:r>
      <w:r>
        <w:rPr>
          <w:spacing w:val="-5"/>
        </w:rPr>
        <w:t xml:space="preserve"> </w:t>
      </w:r>
      <w:r>
        <w:t>all</w:t>
      </w:r>
      <w:r>
        <w:rPr>
          <w:spacing w:val="-5"/>
        </w:rPr>
        <w:t xml:space="preserve"> </w:t>
      </w:r>
      <w:r>
        <w:t>jurisdictions</w:t>
      </w:r>
      <w:r>
        <w:rPr>
          <w:spacing w:val="-5"/>
        </w:rPr>
        <w:t xml:space="preserve"> </w:t>
      </w:r>
      <w:r>
        <w:t>and</w:t>
      </w:r>
      <w:r>
        <w:rPr>
          <w:spacing w:val="-9"/>
        </w:rPr>
        <w:t xml:space="preserve"> </w:t>
      </w:r>
      <w:r>
        <w:t>TUDAs</w:t>
      </w:r>
      <w:r>
        <w:rPr>
          <w:spacing w:val="-5"/>
        </w:rPr>
        <w:t xml:space="preserve"> </w:t>
      </w:r>
      <w:r>
        <w:t>with</w:t>
      </w:r>
      <w:r>
        <w:rPr>
          <w:spacing w:val="-5"/>
        </w:rPr>
        <w:t xml:space="preserve"> </w:t>
      </w:r>
      <w:r>
        <w:t>the</w:t>
      </w:r>
      <w:r>
        <w:rPr>
          <w:spacing w:val="-5"/>
        </w:rPr>
        <w:t xml:space="preserve"> </w:t>
      </w:r>
      <w:r>
        <w:t>exception</w:t>
      </w:r>
      <w:r>
        <w:rPr>
          <w:spacing w:val="-5"/>
        </w:rPr>
        <w:t xml:space="preserve"> </w:t>
      </w:r>
      <w:r>
        <w:t>of</w:t>
      </w:r>
      <w:r>
        <w:rPr>
          <w:spacing w:val="-5"/>
        </w:rPr>
        <w:t xml:space="preserve"> </w:t>
      </w:r>
      <w:r>
        <w:t>Puerto</w:t>
      </w:r>
      <w:r>
        <w:rPr>
          <w:spacing w:val="-5"/>
        </w:rPr>
        <w:t xml:space="preserve"> </w:t>
      </w:r>
      <w:r>
        <w:t>Rico,</w:t>
      </w:r>
      <w:r>
        <w:rPr>
          <w:spacing w:val="-5"/>
        </w:rPr>
        <w:t xml:space="preserve"> </w:t>
      </w:r>
      <w:r>
        <w:t>where they were 25 and 26, respectively.</w:t>
      </w:r>
    </w:p>
    <w:p w:rsidR="003F5784" w14:paraId="4FC92777" w14:textId="77777777">
      <w:pPr>
        <w:pStyle w:val="BodyText"/>
        <w:spacing w:before="209" w:line="232" w:lineRule="auto"/>
        <w:ind w:left="109" w:right="179"/>
      </w:pPr>
      <w:r>
        <w:t>The</w:t>
      </w:r>
      <w:r>
        <w:rPr>
          <w:spacing w:val="-5"/>
        </w:rPr>
        <w:t xml:space="preserve"> </w:t>
      </w:r>
      <w:r>
        <w:t>preliminary</w:t>
      </w:r>
      <w:r>
        <w:rPr>
          <w:spacing w:val="-5"/>
        </w:rPr>
        <w:t xml:space="preserve"> </w:t>
      </w:r>
      <w:r>
        <w:t>measure</w:t>
      </w:r>
      <w:r>
        <w:rPr>
          <w:spacing w:val="-5"/>
        </w:rPr>
        <w:t xml:space="preserve"> </w:t>
      </w:r>
      <w:r>
        <w:t>of</w:t>
      </w:r>
      <w:r>
        <w:rPr>
          <w:spacing w:val="-5"/>
        </w:rPr>
        <w:t xml:space="preserve"> </w:t>
      </w:r>
      <w:r>
        <w:t>size</w:t>
      </w:r>
      <w:r>
        <w:rPr>
          <w:spacing w:val="-5"/>
        </w:rPr>
        <w:t xml:space="preserve"> </w:t>
      </w:r>
      <w:r>
        <w:t>reflects</w:t>
      </w:r>
      <w:r>
        <w:rPr>
          <w:spacing w:val="-5"/>
        </w:rPr>
        <w:t xml:space="preserve"> </w:t>
      </w:r>
      <w:r>
        <w:t>the</w:t>
      </w:r>
      <w:r>
        <w:rPr>
          <w:spacing w:val="-5"/>
        </w:rPr>
        <w:t xml:space="preserve"> </w:t>
      </w:r>
      <w:r>
        <w:t>need</w:t>
      </w:r>
      <w:r>
        <w:rPr>
          <w:spacing w:val="-5"/>
        </w:rPr>
        <w:t xml:space="preserve"> </w:t>
      </w:r>
      <w:r>
        <w:t>to</w:t>
      </w:r>
      <w:r>
        <w:rPr>
          <w:spacing w:val="-5"/>
        </w:rPr>
        <w:t xml:space="preserve"> </w:t>
      </w:r>
      <w:r>
        <w:t>lower</w:t>
      </w:r>
      <w:r>
        <w:rPr>
          <w:spacing w:val="-5"/>
        </w:rPr>
        <w:t xml:space="preserve"> </w:t>
      </w:r>
      <w:r>
        <w:t>the</w:t>
      </w:r>
      <w:r>
        <w:rPr>
          <w:spacing w:val="-5"/>
        </w:rPr>
        <w:t xml:space="preserve"> </w:t>
      </w:r>
      <w:r>
        <w:t>expected</w:t>
      </w:r>
      <w:r>
        <w:rPr>
          <w:spacing w:val="-5"/>
        </w:rPr>
        <w:t xml:space="preserve"> </w:t>
      </w:r>
      <w:r>
        <w:t>number</w:t>
      </w:r>
      <w:r>
        <w:rPr>
          <w:spacing w:val="-5"/>
        </w:rPr>
        <w:t xml:space="preserve"> </w:t>
      </w:r>
      <w:r>
        <w:t>of</w:t>
      </w:r>
      <w:r>
        <w:rPr>
          <w:spacing w:val="-5"/>
        </w:rPr>
        <w:t xml:space="preserve"> </w:t>
      </w:r>
      <w:r>
        <w:t>very</w:t>
      </w:r>
      <w:r>
        <w:rPr>
          <w:spacing w:val="-5"/>
        </w:rPr>
        <w:t xml:space="preserve"> </w:t>
      </w:r>
      <w:r>
        <w:t>small</w:t>
      </w:r>
      <w:r>
        <w:rPr>
          <w:spacing w:val="-5"/>
        </w:rPr>
        <w:t xml:space="preserve"> </w:t>
      </w:r>
      <w:r>
        <w:t>schools</w:t>
      </w:r>
      <w:r>
        <w:rPr>
          <w:spacing w:val="-5"/>
        </w:rPr>
        <w:t xml:space="preserve"> </w:t>
      </w:r>
      <w:r>
        <w:t>in</w:t>
      </w:r>
      <w:r>
        <w:rPr>
          <w:spacing w:val="-5"/>
        </w:rPr>
        <w:t xml:space="preserve"> </w:t>
      </w:r>
      <w:r>
        <w:t>the</w:t>
      </w:r>
      <w:r>
        <w:rPr>
          <w:spacing w:val="-5"/>
        </w:rPr>
        <w:t xml:space="preserve"> </w:t>
      </w:r>
      <w:r>
        <w:t>sample,</w:t>
      </w:r>
      <w:r>
        <w:rPr>
          <w:spacing w:val="-5"/>
        </w:rPr>
        <w:t xml:space="preserve"> </w:t>
      </w:r>
      <w:r>
        <w:t>as</w:t>
      </w:r>
      <w:r>
        <w:rPr>
          <w:spacing w:val="-5"/>
        </w:rPr>
        <w:t xml:space="preserve"> </w:t>
      </w:r>
      <w:r>
        <w:t>the</w:t>
      </w:r>
      <w:r>
        <w:rPr>
          <w:spacing w:val="-5"/>
        </w:rPr>
        <w:t xml:space="preserve"> </w:t>
      </w:r>
      <w:r>
        <w:t>marginal</w:t>
      </w:r>
      <w:r>
        <w:rPr>
          <w:spacing w:val="-5"/>
        </w:rPr>
        <w:t xml:space="preserve"> </w:t>
      </w:r>
      <w:r>
        <w:t>cost</w:t>
      </w:r>
      <w:r>
        <w:rPr>
          <w:spacing w:val="-5"/>
        </w:rPr>
        <w:t xml:space="preserve"> </w:t>
      </w:r>
      <w:r>
        <w:t>for</w:t>
      </w:r>
      <w:r>
        <w:rPr>
          <w:spacing w:val="-5"/>
        </w:rPr>
        <w:t xml:space="preserve"> </w:t>
      </w:r>
      <w:r>
        <w:t>each</w:t>
      </w:r>
      <w:r>
        <w:rPr>
          <w:spacing w:val="-5"/>
        </w:rPr>
        <w:t xml:space="preserve"> </w:t>
      </w:r>
      <w:r>
        <w:t>assessed</w:t>
      </w:r>
      <w:r>
        <w:rPr>
          <w:spacing w:val="-5"/>
        </w:rPr>
        <w:t xml:space="preserve"> </w:t>
      </w:r>
      <w:r>
        <w:t>student</w:t>
      </w:r>
      <w:r>
        <w:rPr>
          <w:spacing w:val="-5"/>
        </w:rPr>
        <w:t xml:space="preserve"> </w:t>
      </w:r>
      <w:r>
        <w:t>in</w:t>
      </w:r>
      <w:r>
        <w:rPr>
          <w:spacing w:val="-5"/>
        </w:rPr>
        <w:t xml:space="preserve"> </w:t>
      </w:r>
      <w:r>
        <w:t>these schools is higher.</w:t>
      </w:r>
      <w:r>
        <w:rPr>
          <w:spacing w:val="-3"/>
        </w:rPr>
        <w:t xml:space="preserve"> </w:t>
      </w:r>
      <w:r>
        <w:t>These very small schools are sampled at half the rate of the larger schools, and their weights are doubled to account for the half sampling.</w:t>
      </w:r>
    </w:p>
    <w:p w:rsidR="003F5784" w14:paraId="72FBD951" w14:textId="77777777">
      <w:pPr>
        <w:pStyle w:val="BodyText"/>
        <w:spacing w:before="203" w:line="238" w:lineRule="exact"/>
        <w:ind w:left="109"/>
      </w:pPr>
      <w:r>
        <w:t>To</w:t>
      </w:r>
      <w:r>
        <w:rPr>
          <w:spacing w:val="-6"/>
        </w:rPr>
        <w:t xml:space="preserve"> </w:t>
      </w:r>
      <w:r>
        <w:t>address</w:t>
      </w:r>
      <w:r>
        <w:rPr>
          <w:spacing w:val="-6"/>
        </w:rPr>
        <w:t xml:space="preserve"> </w:t>
      </w:r>
      <w:r>
        <w:t>the</w:t>
      </w:r>
      <w:r>
        <w:rPr>
          <w:spacing w:val="-5"/>
        </w:rPr>
        <w:t xml:space="preserve"> </w:t>
      </w:r>
      <w:r>
        <w:t>last</w:t>
      </w:r>
      <w:r>
        <w:rPr>
          <w:spacing w:val="-6"/>
        </w:rPr>
        <w:t xml:space="preserve"> </w:t>
      </w:r>
      <w:r>
        <w:t>bullet</w:t>
      </w:r>
      <w:r>
        <w:rPr>
          <w:spacing w:val="-6"/>
        </w:rPr>
        <w:t xml:space="preserve"> </w:t>
      </w:r>
      <w:r>
        <w:t>above,</w:t>
      </w:r>
      <w:r>
        <w:rPr>
          <w:spacing w:val="-5"/>
        </w:rPr>
        <w:t xml:space="preserve"> </w:t>
      </w:r>
      <w:r>
        <w:t>an</w:t>
      </w:r>
      <w:r>
        <w:rPr>
          <w:spacing w:val="-6"/>
        </w:rPr>
        <w:t xml:space="preserve"> </w:t>
      </w:r>
      <w:r>
        <w:t>adjustment</w:t>
      </w:r>
      <w:r>
        <w:rPr>
          <w:spacing w:val="-6"/>
        </w:rPr>
        <w:t xml:space="preserve"> </w:t>
      </w:r>
      <w:r>
        <w:t>was</w:t>
      </w:r>
      <w:r>
        <w:rPr>
          <w:spacing w:val="-5"/>
        </w:rPr>
        <w:t xml:space="preserve"> </w:t>
      </w:r>
      <w:r>
        <w:t>made</w:t>
      </w:r>
      <w:r>
        <w:rPr>
          <w:spacing w:val="-6"/>
        </w:rPr>
        <w:t xml:space="preserve"> </w:t>
      </w:r>
      <w:r>
        <w:t>to</w:t>
      </w:r>
      <w:r>
        <w:rPr>
          <w:spacing w:val="-6"/>
        </w:rPr>
        <w:t xml:space="preserve"> </w:t>
      </w:r>
      <w:r>
        <w:t>the</w:t>
      </w:r>
      <w:r>
        <w:rPr>
          <w:spacing w:val="-5"/>
        </w:rPr>
        <w:t xml:space="preserve"> </w:t>
      </w:r>
      <w:r>
        <w:t>preliminary</w:t>
      </w:r>
      <w:r>
        <w:rPr>
          <w:spacing w:val="-6"/>
        </w:rPr>
        <w:t xml:space="preserve"> </w:t>
      </w:r>
      <w:r>
        <w:t>measures</w:t>
      </w:r>
      <w:r>
        <w:rPr>
          <w:spacing w:val="-6"/>
        </w:rPr>
        <w:t xml:space="preserve"> </w:t>
      </w:r>
      <w:r>
        <w:t>of</w:t>
      </w:r>
      <w:r>
        <w:rPr>
          <w:spacing w:val="-5"/>
        </w:rPr>
        <w:t xml:space="preserve"> </w:t>
      </w:r>
      <w:r>
        <w:t>size</w:t>
      </w:r>
      <w:r>
        <w:rPr>
          <w:spacing w:val="-6"/>
        </w:rPr>
        <w:t xml:space="preserve"> </w:t>
      </w:r>
      <w:r>
        <w:t>in</w:t>
      </w:r>
      <w:r>
        <w:rPr>
          <w:spacing w:val="-6"/>
        </w:rPr>
        <w:t xml:space="preserve"> </w:t>
      </w:r>
      <w:r>
        <w:t>an</w:t>
      </w:r>
      <w:r>
        <w:rPr>
          <w:spacing w:val="-5"/>
        </w:rPr>
        <w:t xml:space="preserve"> </w:t>
      </w:r>
      <w:r>
        <w:t>attempt</w:t>
      </w:r>
      <w:r>
        <w:rPr>
          <w:spacing w:val="-6"/>
        </w:rPr>
        <w:t xml:space="preserve"> </w:t>
      </w:r>
      <w:r>
        <w:t>to</w:t>
      </w:r>
      <w:r>
        <w:rPr>
          <w:spacing w:val="-5"/>
        </w:rPr>
        <w:t xml:space="preserve"> </w:t>
      </w:r>
      <w:r>
        <w:t>ensure</w:t>
      </w:r>
      <w:r>
        <w:rPr>
          <w:spacing w:val="-6"/>
        </w:rPr>
        <w:t xml:space="preserve"> </w:t>
      </w:r>
      <w:r>
        <w:t>the</w:t>
      </w:r>
      <w:r>
        <w:rPr>
          <w:spacing w:val="-6"/>
        </w:rPr>
        <w:t xml:space="preserve"> </w:t>
      </w:r>
      <w:r>
        <w:t>inclusion</w:t>
      </w:r>
      <w:r>
        <w:rPr>
          <w:spacing w:val="-5"/>
        </w:rPr>
        <w:t xml:space="preserve"> </w:t>
      </w:r>
      <w:r>
        <w:t>of</w:t>
      </w:r>
      <w:r>
        <w:rPr>
          <w:spacing w:val="-6"/>
        </w:rPr>
        <w:t xml:space="preserve"> </w:t>
      </w:r>
      <w:r>
        <w:t>all</w:t>
      </w:r>
      <w:r>
        <w:rPr>
          <w:spacing w:val="-6"/>
        </w:rPr>
        <w:t xml:space="preserve"> </w:t>
      </w:r>
      <w:r>
        <w:t>eligible</w:t>
      </w:r>
      <w:r>
        <w:rPr>
          <w:spacing w:val="-5"/>
        </w:rPr>
        <w:t xml:space="preserve"> </w:t>
      </w:r>
      <w:r>
        <w:t>schools</w:t>
      </w:r>
      <w:r>
        <w:rPr>
          <w:spacing w:val="-6"/>
        </w:rPr>
        <w:t xml:space="preserve"> </w:t>
      </w:r>
      <w:r>
        <w:t>that</w:t>
      </w:r>
      <w:r>
        <w:rPr>
          <w:spacing w:val="-6"/>
        </w:rPr>
        <w:t xml:space="preserve"> </w:t>
      </w:r>
      <w:r>
        <w:t>were</w:t>
      </w:r>
      <w:r>
        <w:rPr>
          <w:spacing w:val="-5"/>
        </w:rPr>
        <w:t xml:space="preserve"> </w:t>
      </w:r>
      <w:r>
        <w:t>part</w:t>
      </w:r>
      <w:r>
        <w:rPr>
          <w:spacing w:val="-6"/>
        </w:rPr>
        <w:t xml:space="preserve"> </w:t>
      </w:r>
      <w:r>
        <w:rPr>
          <w:spacing w:val="-5"/>
        </w:rPr>
        <w:t>of</w:t>
      </w:r>
    </w:p>
    <w:p w:rsidR="003F5784" w14:paraId="42CCF781" w14:textId="77777777">
      <w:pPr>
        <w:pStyle w:val="BodyText"/>
        <w:spacing w:before="3" w:line="232" w:lineRule="auto"/>
        <w:ind w:left="109"/>
      </w:pPr>
      <w:r>
        <w:t>the</w:t>
      </w:r>
      <w:r>
        <w:rPr>
          <w:spacing w:val="-9"/>
        </w:rPr>
        <w:t xml:space="preserve"> </w:t>
      </w:r>
      <w:r>
        <w:t>NAEP</w:t>
      </w:r>
      <w:r>
        <w:rPr>
          <w:spacing w:val="-14"/>
        </w:rPr>
        <w:t xml:space="preserve"> </w:t>
      </w:r>
      <w:r>
        <w:t>2021</w:t>
      </w:r>
      <w:r>
        <w:rPr>
          <w:spacing w:val="-6"/>
        </w:rPr>
        <w:t xml:space="preserve"> </w:t>
      </w:r>
      <w:r>
        <w:t>Monthly</w:t>
      </w:r>
      <w:r>
        <w:rPr>
          <w:spacing w:val="-7"/>
        </w:rPr>
        <w:t xml:space="preserve"> </w:t>
      </w:r>
      <w:r>
        <w:t>School</w:t>
      </w:r>
      <w:r>
        <w:rPr>
          <w:spacing w:val="-7"/>
        </w:rPr>
        <w:t xml:space="preserve"> </w:t>
      </w:r>
      <w:r>
        <w:t>Survey</w:t>
      </w:r>
      <w:r>
        <w:rPr>
          <w:spacing w:val="-7"/>
        </w:rPr>
        <w:t xml:space="preserve"> </w:t>
      </w:r>
      <w:r>
        <w:t>and</w:t>
      </w:r>
      <w:r>
        <w:rPr>
          <w:spacing w:val="-7"/>
        </w:rPr>
        <w:t xml:space="preserve"> </w:t>
      </w:r>
      <w:r>
        <w:t>NAEP</w:t>
      </w:r>
      <w:r>
        <w:rPr>
          <w:spacing w:val="-14"/>
        </w:rPr>
        <w:t xml:space="preserve"> </w:t>
      </w:r>
      <w:r>
        <w:t>2021</w:t>
      </w:r>
      <w:r>
        <w:rPr>
          <w:spacing w:val="-6"/>
        </w:rPr>
        <w:t xml:space="preserve"> </w:t>
      </w:r>
      <w:r>
        <w:t>School</w:t>
      </w:r>
      <w:r>
        <w:rPr>
          <w:spacing w:val="-7"/>
        </w:rPr>
        <w:t xml:space="preserve"> </w:t>
      </w:r>
      <w:r>
        <w:t>and</w:t>
      </w:r>
      <w:r>
        <w:rPr>
          <w:spacing w:val="-11"/>
        </w:rPr>
        <w:t xml:space="preserve"> </w:t>
      </w:r>
      <w:r>
        <w:t>Teacher</w:t>
      </w:r>
      <w:r>
        <w:rPr>
          <w:spacing w:val="-7"/>
        </w:rPr>
        <w:t xml:space="preserve"> </w:t>
      </w:r>
      <w:r>
        <w:t>Questionnaire</w:t>
      </w:r>
      <w:r>
        <w:rPr>
          <w:spacing w:val="-7"/>
        </w:rPr>
        <w:t xml:space="preserve"> </w:t>
      </w:r>
      <w:r>
        <w:t>Study</w:t>
      </w:r>
      <w:r>
        <w:rPr>
          <w:spacing w:val="-7"/>
        </w:rPr>
        <w:t xml:space="preserve"> </w:t>
      </w:r>
      <w:r>
        <w:t>sample.</w:t>
      </w:r>
      <w:r>
        <w:rPr>
          <w:spacing w:val="-11"/>
        </w:rPr>
        <w:t xml:space="preserve"> </w:t>
      </w:r>
      <w:r>
        <w:t>The</w:t>
      </w:r>
      <w:r>
        <w:rPr>
          <w:spacing w:val="-7"/>
        </w:rPr>
        <w:t xml:space="preserve"> </w:t>
      </w:r>
      <w:r>
        <w:t>NAEP</w:t>
      </w:r>
      <w:r>
        <w:rPr>
          <w:spacing w:val="-14"/>
        </w:rPr>
        <w:t xml:space="preserve"> </w:t>
      </w:r>
      <w:r>
        <w:t>sampling</w:t>
      </w:r>
      <w:r>
        <w:rPr>
          <w:spacing w:val="-6"/>
        </w:rPr>
        <w:t xml:space="preserve"> </w:t>
      </w:r>
      <w:r>
        <w:t>procedures</w:t>
      </w:r>
      <w:r>
        <w:rPr>
          <w:spacing w:val="-7"/>
        </w:rPr>
        <w:t xml:space="preserve"> </w:t>
      </w:r>
      <w:r>
        <w:t>used</w:t>
      </w:r>
      <w:r>
        <w:rPr>
          <w:spacing w:val="-7"/>
        </w:rPr>
        <w:t xml:space="preserve"> </w:t>
      </w:r>
      <w:r>
        <w:t>an</w:t>
      </w:r>
      <w:r>
        <w:rPr>
          <w:spacing w:val="-7"/>
        </w:rPr>
        <w:t xml:space="preserve"> </w:t>
      </w:r>
      <w:r>
        <w:t>adaptation</w:t>
      </w:r>
      <w:r>
        <w:rPr>
          <w:spacing w:val="-7"/>
        </w:rPr>
        <w:t xml:space="preserve"> </w:t>
      </w:r>
      <w:r>
        <w:t>of</w:t>
      </w:r>
      <w:r>
        <w:rPr>
          <w:spacing w:val="-7"/>
        </w:rPr>
        <w:t xml:space="preserve"> </w:t>
      </w:r>
      <w:r>
        <w:t>the</w:t>
      </w:r>
      <w:r>
        <w:rPr>
          <w:spacing w:val="-7"/>
        </w:rPr>
        <w:t xml:space="preserve"> </w:t>
      </w:r>
      <w:r>
        <w:t>Keyfitz process to compute conditional measures of size that, by design, maximized the overlap of schools selected for both years.</w:t>
      </w:r>
    </w:p>
    <w:p w:rsidR="003F5784" w14:paraId="4C3FEC19" w14:textId="77777777">
      <w:pPr>
        <w:pStyle w:val="BodyText"/>
        <w:spacing w:before="209" w:line="232" w:lineRule="auto"/>
        <w:ind w:left="109" w:right="179"/>
      </w:pPr>
      <w:r>
        <w:t>The</w:t>
      </w:r>
      <w:r>
        <w:rPr>
          <w:spacing w:val="-1"/>
        </w:rPr>
        <w:t xml:space="preserve"> </w:t>
      </w:r>
      <w:r>
        <w:t>preliminary</w:t>
      </w:r>
      <w:r>
        <w:rPr>
          <w:spacing w:val="-1"/>
        </w:rPr>
        <w:t xml:space="preserve"> </w:t>
      </w:r>
      <w:r>
        <w:t>school</w:t>
      </w:r>
      <w:r>
        <w:rPr>
          <w:spacing w:val="-1"/>
        </w:rPr>
        <w:t xml:space="preserve"> </w:t>
      </w:r>
      <w:r>
        <w:t>measure</w:t>
      </w:r>
      <w:r>
        <w:rPr>
          <w:spacing w:val="-1"/>
        </w:rPr>
        <w:t xml:space="preserve"> </w:t>
      </w:r>
      <w:r>
        <w:t>of</w:t>
      </w:r>
      <w:r>
        <w:rPr>
          <w:spacing w:val="-1"/>
        </w:rPr>
        <w:t xml:space="preserve"> </w:t>
      </w:r>
      <w:r>
        <w:t>size</w:t>
      </w:r>
      <w:r>
        <w:rPr>
          <w:spacing w:val="-1"/>
        </w:rPr>
        <w:t xml:space="preserve"> </w:t>
      </w:r>
      <w:r>
        <w:t>is</w:t>
      </w:r>
      <w:r>
        <w:rPr>
          <w:spacing w:val="-1"/>
        </w:rPr>
        <w:t xml:space="preserve"> </w:t>
      </w:r>
      <w:r>
        <w:t>rescaled</w:t>
      </w:r>
      <w:r>
        <w:rPr>
          <w:spacing w:val="-1"/>
        </w:rPr>
        <w:t xml:space="preserve"> </w:t>
      </w:r>
      <w:r>
        <w:t>to</w:t>
      </w:r>
      <w:r>
        <w:rPr>
          <w:spacing w:val="-1"/>
        </w:rPr>
        <w:t xml:space="preserve"> </w:t>
      </w:r>
      <w:r>
        <w:t>create</w:t>
      </w:r>
      <w:r>
        <w:rPr>
          <w:spacing w:val="-1"/>
        </w:rPr>
        <w:t xml:space="preserve"> </w:t>
      </w:r>
      <w:r>
        <w:t>an</w:t>
      </w:r>
      <w:r>
        <w:rPr>
          <w:spacing w:val="-1"/>
        </w:rPr>
        <w:t xml:space="preserve"> </w:t>
      </w:r>
      <w:r>
        <w:t>expected</w:t>
      </w:r>
      <w:r>
        <w:rPr>
          <w:spacing w:val="-1"/>
        </w:rPr>
        <w:t xml:space="preserve"> </w:t>
      </w:r>
      <w:r>
        <w:t>number</w:t>
      </w:r>
      <w:r>
        <w:rPr>
          <w:spacing w:val="-1"/>
        </w:rPr>
        <w:t xml:space="preserve"> </w:t>
      </w:r>
      <w:r>
        <w:t>of</w:t>
      </w:r>
      <w:r>
        <w:rPr>
          <w:spacing w:val="-1"/>
        </w:rPr>
        <w:t xml:space="preserve"> </w:t>
      </w:r>
      <w:r>
        <w:t>hits</w:t>
      </w:r>
      <w:r>
        <w:rPr>
          <w:spacing w:val="-1"/>
        </w:rPr>
        <w:t xml:space="preserve"> </w:t>
      </w:r>
      <w:r>
        <w:t>by</w:t>
      </w:r>
      <w:r>
        <w:rPr>
          <w:spacing w:val="-1"/>
        </w:rPr>
        <w:t xml:space="preserve"> </w:t>
      </w:r>
      <w:r>
        <w:t>applying</w:t>
      </w:r>
      <w:r>
        <w:rPr>
          <w:spacing w:val="-1"/>
        </w:rPr>
        <w:t xml:space="preserve"> </w:t>
      </w:r>
      <w:r>
        <w:t>a</w:t>
      </w:r>
      <w:r>
        <w:rPr>
          <w:spacing w:val="-1"/>
        </w:rPr>
        <w:t xml:space="preserve"> </w:t>
      </w:r>
      <w:r>
        <w:t>multiplicative</w:t>
      </w:r>
      <w:r>
        <w:rPr>
          <w:spacing w:val="-1"/>
        </w:rPr>
        <w:t xml:space="preserve"> </w:t>
      </w:r>
      <w:r>
        <w:t>constant</w:t>
      </w:r>
      <w:r>
        <w:rPr>
          <w:spacing w:val="-1"/>
        </w:rPr>
        <w:t xml:space="preserve"> </w:t>
      </w:r>
      <w:r>
        <w:t>\(b_{j}\),</w:t>
      </w:r>
      <w:r>
        <w:rPr>
          <w:spacing w:val="-1"/>
        </w:rPr>
        <w:t xml:space="preserve"> </w:t>
      </w:r>
      <w:r>
        <w:t>which</w:t>
      </w:r>
      <w:r>
        <w:rPr>
          <w:spacing w:val="-1"/>
        </w:rPr>
        <w:t xml:space="preserve"> </w:t>
      </w:r>
      <w:r>
        <w:t>varies</w:t>
      </w:r>
      <w:r>
        <w:rPr>
          <w:spacing w:val="-1"/>
        </w:rPr>
        <w:t xml:space="preserve"> </w:t>
      </w:r>
      <w:r>
        <w:t>by</w:t>
      </w:r>
      <w:r>
        <w:rPr>
          <w:spacing w:val="-1"/>
        </w:rPr>
        <w:t xml:space="preserve"> </w:t>
      </w:r>
      <w:r>
        <w:t>jurisdiction</w:t>
      </w:r>
      <w:r>
        <w:rPr>
          <w:spacing w:val="-1"/>
        </w:rPr>
        <w:t xml:space="preserve"> </w:t>
      </w:r>
      <w:r>
        <w:t>\(j\).</w:t>
      </w:r>
      <w:r>
        <w:rPr>
          <w:spacing w:val="-1"/>
        </w:rPr>
        <w:t xml:space="preserve"> </w:t>
      </w:r>
      <w:r>
        <w:t>One can</w:t>
      </w:r>
      <w:r>
        <w:rPr>
          <w:spacing w:val="-6"/>
        </w:rPr>
        <w:t xml:space="preserve"> </w:t>
      </w:r>
      <w:r>
        <w:t>choose</w:t>
      </w:r>
      <w:r>
        <w:rPr>
          <w:spacing w:val="-6"/>
        </w:rPr>
        <w:t xml:space="preserve"> </w:t>
      </w:r>
      <w:r>
        <w:t>a</w:t>
      </w:r>
      <w:r>
        <w:rPr>
          <w:spacing w:val="-6"/>
        </w:rPr>
        <w:t xml:space="preserve"> </w:t>
      </w:r>
      <w:r>
        <w:t>value</w:t>
      </w:r>
      <w:r>
        <w:rPr>
          <w:spacing w:val="-6"/>
        </w:rPr>
        <w:t xml:space="preserve"> </w:t>
      </w:r>
      <w:r>
        <w:t>of</w:t>
      </w:r>
      <w:r>
        <w:rPr>
          <w:spacing w:val="-6"/>
        </w:rPr>
        <w:t xml:space="preserve"> </w:t>
      </w:r>
      <w:r>
        <w:t>\(b_{j}\)</w:t>
      </w:r>
      <w:r>
        <w:rPr>
          <w:spacing w:val="-6"/>
        </w:rPr>
        <w:t xml:space="preserve"> </w:t>
      </w:r>
      <w:r>
        <w:t>such</w:t>
      </w:r>
      <w:r>
        <w:rPr>
          <w:spacing w:val="-6"/>
        </w:rPr>
        <w:t xml:space="preserve"> </w:t>
      </w:r>
      <w:r>
        <w:t>that</w:t>
      </w:r>
      <w:r>
        <w:rPr>
          <w:spacing w:val="-6"/>
        </w:rPr>
        <w:t xml:space="preserve"> </w:t>
      </w:r>
      <w:r>
        <w:t>the</w:t>
      </w:r>
      <w:r>
        <w:rPr>
          <w:spacing w:val="-6"/>
        </w:rPr>
        <w:t xml:space="preserve"> </w:t>
      </w:r>
      <w:r>
        <w:t>expected</w:t>
      </w:r>
      <w:r>
        <w:rPr>
          <w:spacing w:val="-6"/>
        </w:rPr>
        <w:t xml:space="preserve"> </w:t>
      </w:r>
      <w:r>
        <w:t>overall</w:t>
      </w:r>
      <w:r>
        <w:rPr>
          <w:spacing w:val="-6"/>
        </w:rPr>
        <w:t xml:space="preserve"> </w:t>
      </w:r>
      <w:r>
        <w:t>student</w:t>
      </w:r>
      <w:r>
        <w:rPr>
          <w:spacing w:val="-6"/>
        </w:rPr>
        <w:t xml:space="preserve"> </w:t>
      </w:r>
      <w:r>
        <w:t>sample</w:t>
      </w:r>
      <w:r>
        <w:rPr>
          <w:spacing w:val="-6"/>
        </w:rPr>
        <w:t xml:space="preserve"> </w:t>
      </w:r>
      <w:r>
        <w:t>yield</w:t>
      </w:r>
      <w:r>
        <w:rPr>
          <w:spacing w:val="-6"/>
        </w:rPr>
        <w:t xml:space="preserve"> </w:t>
      </w:r>
      <w:r>
        <w:t>matches</w:t>
      </w:r>
      <w:r>
        <w:rPr>
          <w:spacing w:val="-6"/>
        </w:rPr>
        <w:t xml:space="preserve"> </w:t>
      </w:r>
      <w:r>
        <w:t>the</w:t>
      </w:r>
      <w:r>
        <w:rPr>
          <w:spacing w:val="-6"/>
        </w:rPr>
        <w:t xml:space="preserve"> </w:t>
      </w:r>
      <w:r>
        <w:t>desired</w:t>
      </w:r>
      <w:r>
        <w:rPr>
          <w:spacing w:val="-6"/>
        </w:rPr>
        <w:t xml:space="preserve"> </w:t>
      </w:r>
      <w:r>
        <w:t>target</w:t>
      </w:r>
      <w:r>
        <w:rPr>
          <w:spacing w:val="-6"/>
        </w:rPr>
        <w:t xml:space="preserve"> </w:t>
      </w:r>
      <w:r>
        <w:t>specified</w:t>
      </w:r>
      <w:r>
        <w:rPr>
          <w:spacing w:val="-6"/>
        </w:rPr>
        <w:t xml:space="preserve"> </w:t>
      </w:r>
      <w:r>
        <w:t>by</w:t>
      </w:r>
      <w:r>
        <w:rPr>
          <w:spacing w:val="-6"/>
        </w:rPr>
        <w:t xml:space="preserve"> </w:t>
      </w:r>
      <w:r>
        <w:t>the</w:t>
      </w:r>
      <w:r>
        <w:rPr>
          <w:spacing w:val="-6"/>
        </w:rPr>
        <w:t xml:space="preserve"> </w:t>
      </w:r>
      <w:r>
        <w:t>design,</w:t>
      </w:r>
      <w:r>
        <w:rPr>
          <w:spacing w:val="-6"/>
        </w:rPr>
        <w:t xml:space="preserve"> </w:t>
      </w:r>
      <w:r>
        <w:t>where</w:t>
      </w:r>
      <w:r>
        <w:rPr>
          <w:spacing w:val="-6"/>
        </w:rPr>
        <w:t xml:space="preserve"> </w:t>
      </w:r>
      <w:r>
        <w:t>the</w:t>
      </w:r>
      <w:r>
        <w:rPr>
          <w:spacing w:val="-6"/>
        </w:rPr>
        <w:t xml:space="preserve"> </w:t>
      </w:r>
      <w:r>
        <w:t>expected</w:t>
      </w:r>
      <w:r>
        <w:rPr>
          <w:spacing w:val="-6"/>
        </w:rPr>
        <w:t xml:space="preserve"> </w:t>
      </w:r>
      <w:r>
        <w:t>yield</w:t>
      </w:r>
      <w:r>
        <w:rPr>
          <w:spacing w:val="-6"/>
        </w:rPr>
        <w:t xml:space="preserve"> </w:t>
      </w:r>
      <w:r>
        <w:t>is</w:t>
      </w:r>
      <w:r>
        <w:rPr>
          <w:spacing w:val="-6"/>
        </w:rPr>
        <w:t xml:space="preserve"> </w:t>
      </w:r>
      <w:r>
        <w:t>calculated</w:t>
      </w:r>
      <w:r>
        <w:rPr>
          <w:spacing w:val="-6"/>
        </w:rPr>
        <w:t xml:space="preserve"> </w:t>
      </w:r>
      <w:r>
        <w:t>by</w:t>
      </w:r>
    </w:p>
    <w:p w:rsidR="003F5784" w14:paraId="4B516BEC" w14:textId="77777777">
      <w:pPr>
        <w:spacing w:line="232" w:lineRule="auto"/>
        <w:sectPr>
          <w:pgSz w:w="15840" w:h="12240" w:orient="landscape"/>
          <w:pgMar w:top="480" w:right="440" w:bottom="460" w:left="460" w:header="284" w:footer="275" w:gutter="0"/>
          <w:cols w:space="720"/>
        </w:sectPr>
      </w:pPr>
    </w:p>
    <w:p w:rsidR="003F5784" w14:paraId="0DA62BB5" w14:textId="77777777">
      <w:pPr>
        <w:pStyle w:val="BodyText"/>
        <w:spacing w:before="72" w:line="439" w:lineRule="auto"/>
        <w:ind w:left="109" w:right="5424"/>
      </w:pPr>
      <w:r>
        <w:t>summing</w:t>
      </w:r>
      <w:r>
        <w:rPr>
          <w:spacing w:val="-6"/>
        </w:rPr>
        <w:t xml:space="preserve"> </w:t>
      </w:r>
      <w:r>
        <w:t>the</w:t>
      </w:r>
      <w:r>
        <w:rPr>
          <w:spacing w:val="-6"/>
        </w:rPr>
        <w:t xml:space="preserve"> </w:t>
      </w:r>
      <w:r>
        <w:t>product</w:t>
      </w:r>
      <w:r>
        <w:rPr>
          <w:spacing w:val="-6"/>
        </w:rPr>
        <w:t xml:space="preserve"> </w:t>
      </w:r>
      <w:r>
        <w:t>of</w:t>
      </w:r>
      <w:r>
        <w:rPr>
          <w:spacing w:val="-6"/>
        </w:rPr>
        <w:t xml:space="preserve"> </w:t>
      </w:r>
      <w:r>
        <w:t>an</w:t>
      </w:r>
      <w:r>
        <w:rPr>
          <w:spacing w:val="-6"/>
        </w:rPr>
        <w:t xml:space="preserve"> </w:t>
      </w:r>
      <w:r>
        <w:t>individual</w:t>
      </w:r>
      <w:r>
        <w:rPr>
          <w:spacing w:val="-6"/>
        </w:rPr>
        <w:t xml:space="preserve"> </w:t>
      </w:r>
      <w:r>
        <w:t>school's</w:t>
      </w:r>
      <w:r>
        <w:rPr>
          <w:spacing w:val="-6"/>
        </w:rPr>
        <w:t xml:space="preserve"> </w:t>
      </w:r>
      <w:r>
        <w:t>probability</w:t>
      </w:r>
      <w:r>
        <w:rPr>
          <w:spacing w:val="-6"/>
        </w:rPr>
        <w:t xml:space="preserve"> </w:t>
      </w:r>
      <w:r>
        <w:t>and</w:t>
      </w:r>
      <w:r>
        <w:rPr>
          <w:spacing w:val="-6"/>
        </w:rPr>
        <w:t xml:space="preserve"> </w:t>
      </w:r>
      <w:r>
        <w:t>its</w:t>
      </w:r>
      <w:r>
        <w:rPr>
          <w:spacing w:val="-6"/>
        </w:rPr>
        <w:t xml:space="preserve"> </w:t>
      </w:r>
      <w:r>
        <w:t>student</w:t>
      </w:r>
      <w:r>
        <w:rPr>
          <w:spacing w:val="-6"/>
        </w:rPr>
        <w:t xml:space="preserve"> </w:t>
      </w:r>
      <w:r>
        <w:t>yield</w:t>
      </w:r>
      <w:r>
        <w:rPr>
          <w:spacing w:val="-6"/>
        </w:rPr>
        <w:t xml:space="preserve"> </w:t>
      </w:r>
      <w:r>
        <w:t>across</w:t>
      </w:r>
      <w:r>
        <w:rPr>
          <w:spacing w:val="-6"/>
        </w:rPr>
        <w:t xml:space="preserve"> </w:t>
      </w:r>
      <w:r>
        <w:t>all</w:t>
      </w:r>
      <w:r>
        <w:rPr>
          <w:spacing w:val="-6"/>
        </w:rPr>
        <w:t xml:space="preserve"> </w:t>
      </w:r>
      <w:r>
        <w:t>schools</w:t>
      </w:r>
      <w:r>
        <w:rPr>
          <w:spacing w:val="-6"/>
        </w:rPr>
        <w:t xml:space="preserve"> </w:t>
      </w:r>
      <w:r>
        <w:t>in</w:t>
      </w:r>
      <w:r>
        <w:rPr>
          <w:spacing w:val="-6"/>
        </w:rPr>
        <w:t xml:space="preserve"> </w:t>
      </w:r>
      <w:r>
        <w:t>the</w:t>
      </w:r>
      <w:r>
        <w:rPr>
          <w:spacing w:val="-6"/>
        </w:rPr>
        <w:t xml:space="preserve"> </w:t>
      </w:r>
      <w:r>
        <w:t>frame. The final measure of size, `E_{js}`, is defined as:</w:t>
      </w:r>
    </w:p>
    <w:p w:rsidR="003F5784" w14:paraId="3AE7729B" w14:textId="77777777">
      <w:pPr>
        <w:pStyle w:val="BodyText"/>
        <w:spacing w:before="3" w:line="238" w:lineRule="exact"/>
        <w:ind w:left="109"/>
      </w:pPr>
      <w:r>
        <w:rPr>
          <w:spacing w:val="-2"/>
        </w:rPr>
        <w:t>\begin{equation}</w:t>
      </w:r>
    </w:p>
    <w:p w:rsidR="003F5784" w14:paraId="5C247275" w14:textId="77777777">
      <w:pPr>
        <w:pStyle w:val="BodyText"/>
        <w:spacing w:line="235" w:lineRule="exact"/>
        <w:ind w:left="109"/>
      </w:pPr>
      <w:r>
        <w:rPr>
          <w:spacing w:val="-2"/>
        </w:rPr>
        <w:t>E_{js}=min(b_{j}\times</w:t>
      </w:r>
      <w:r>
        <w:rPr>
          <w:spacing w:val="14"/>
        </w:rPr>
        <w:t xml:space="preserve"> </w:t>
      </w:r>
      <w:r>
        <w:rPr>
          <w:spacing w:val="-2"/>
        </w:rPr>
        <w:t>MOS_{js},</w:t>
      </w:r>
      <w:r>
        <w:rPr>
          <w:spacing w:val="15"/>
        </w:rPr>
        <w:t xml:space="preserve"> </w:t>
      </w:r>
      <w:r>
        <w:rPr>
          <w:spacing w:val="-2"/>
        </w:rPr>
        <w:t>u_{j}),</w:t>
      </w:r>
    </w:p>
    <w:p w:rsidR="003F5784" w14:paraId="7D47DDA6" w14:textId="77777777">
      <w:pPr>
        <w:pStyle w:val="BodyText"/>
        <w:spacing w:line="238" w:lineRule="exact"/>
        <w:ind w:left="109"/>
      </w:pPr>
      <w:r>
        <w:rPr>
          <w:spacing w:val="-2"/>
        </w:rPr>
        <w:t>\end{equation}</w:t>
      </w:r>
    </w:p>
    <w:p w:rsidR="003F5784" w14:paraId="490F1FC4" w14:textId="77777777">
      <w:pPr>
        <w:pStyle w:val="BodyText"/>
        <w:spacing w:before="201" w:line="238" w:lineRule="exact"/>
        <w:ind w:left="109"/>
      </w:pPr>
      <w:r>
        <w:t>The</w:t>
      </w:r>
      <w:r>
        <w:rPr>
          <w:spacing w:val="-6"/>
        </w:rPr>
        <w:t xml:space="preserve"> </w:t>
      </w:r>
      <w:r>
        <w:t>quantity</w:t>
      </w:r>
      <w:r>
        <w:rPr>
          <w:spacing w:val="-5"/>
        </w:rPr>
        <w:t xml:space="preserve"> </w:t>
      </w:r>
      <w:r>
        <w:t>`u_{j}`</w:t>
      </w:r>
      <w:r>
        <w:rPr>
          <w:spacing w:val="-5"/>
        </w:rPr>
        <w:t xml:space="preserve"> </w:t>
      </w:r>
      <w:r>
        <w:t>(the</w:t>
      </w:r>
      <w:r>
        <w:rPr>
          <w:spacing w:val="-5"/>
        </w:rPr>
        <w:t xml:space="preserve"> </w:t>
      </w:r>
      <w:r>
        <w:t>maximum</w:t>
      </w:r>
      <w:r>
        <w:rPr>
          <w:spacing w:val="-6"/>
        </w:rPr>
        <w:t xml:space="preserve"> </w:t>
      </w:r>
      <w:r>
        <w:t>number</w:t>
      </w:r>
      <w:r>
        <w:rPr>
          <w:spacing w:val="-5"/>
        </w:rPr>
        <w:t xml:space="preserve"> </w:t>
      </w:r>
      <w:r>
        <w:t>of</w:t>
      </w:r>
      <w:r>
        <w:rPr>
          <w:spacing w:val="-5"/>
        </w:rPr>
        <w:t xml:space="preserve"> </w:t>
      </w:r>
      <w:r>
        <w:t>hits</w:t>
      </w:r>
      <w:r>
        <w:rPr>
          <w:spacing w:val="-5"/>
        </w:rPr>
        <w:t xml:space="preserve"> </w:t>
      </w:r>
      <w:r>
        <w:t>allowed)</w:t>
      </w:r>
      <w:r>
        <w:rPr>
          <w:spacing w:val="-5"/>
        </w:rPr>
        <w:t xml:space="preserve"> </w:t>
      </w:r>
      <w:r>
        <w:t>in</w:t>
      </w:r>
      <w:r>
        <w:rPr>
          <w:spacing w:val="-6"/>
        </w:rPr>
        <w:t xml:space="preserve"> </w:t>
      </w:r>
      <w:r>
        <w:t>this</w:t>
      </w:r>
      <w:r>
        <w:rPr>
          <w:spacing w:val="-5"/>
        </w:rPr>
        <w:t xml:space="preserve"> </w:t>
      </w:r>
      <w:r>
        <w:t>formula</w:t>
      </w:r>
      <w:r>
        <w:rPr>
          <w:spacing w:val="-5"/>
        </w:rPr>
        <w:t xml:space="preserve"> </w:t>
      </w:r>
      <w:r>
        <w:t>is</w:t>
      </w:r>
      <w:r>
        <w:rPr>
          <w:spacing w:val="-5"/>
        </w:rPr>
        <w:t xml:space="preserve"> </w:t>
      </w:r>
      <w:r>
        <w:t>designed</w:t>
      </w:r>
      <w:r>
        <w:rPr>
          <w:spacing w:val="-6"/>
        </w:rPr>
        <w:t xml:space="preserve"> </w:t>
      </w:r>
      <w:r>
        <w:t>to</w:t>
      </w:r>
      <w:r>
        <w:rPr>
          <w:spacing w:val="-5"/>
        </w:rPr>
        <w:t xml:space="preserve"> </w:t>
      </w:r>
      <w:r>
        <w:t>put</w:t>
      </w:r>
      <w:r>
        <w:rPr>
          <w:spacing w:val="-5"/>
        </w:rPr>
        <w:t xml:space="preserve"> </w:t>
      </w:r>
      <w:r>
        <w:t>an</w:t>
      </w:r>
      <w:r>
        <w:rPr>
          <w:spacing w:val="-5"/>
        </w:rPr>
        <w:t xml:space="preserve"> </w:t>
      </w:r>
      <w:r>
        <w:t>upper</w:t>
      </w:r>
      <w:r>
        <w:rPr>
          <w:spacing w:val="-6"/>
        </w:rPr>
        <w:t xml:space="preserve"> </w:t>
      </w:r>
      <w:r>
        <w:t>bound</w:t>
      </w:r>
      <w:r>
        <w:rPr>
          <w:spacing w:val="-5"/>
        </w:rPr>
        <w:t xml:space="preserve"> </w:t>
      </w:r>
      <w:r>
        <w:t>on</w:t>
      </w:r>
      <w:r>
        <w:rPr>
          <w:spacing w:val="-5"/>
        </w:rPr>
        <w:t xml:space="preserve"> </w:t>
      </w:r>
      <w:r>
        <w:t>the</w:t>
      </w:r>
      <w:r>
        <w:rPr>
          <w:spacing w:val="-5"/>
        </w:rPr>
        <w:t xml:space="preserve"> </w:t>
      </w:r>
      <w:r>
        <w:t>burden</w:t>
      </w:r>
      <w:r>
        <w:rPr>
          <w:spacing w:val="-5"/>
        </w:rPr>
        <w:t xml:space="preserve"> </w:t>
      </w:r>
      <w:r>
        <w:t>for</w:t>
      </w:r>
      <w:r>
        <w:rPr>
          <w:spacing w:val="-6"/>
        </w:rPr>
        <w:t xml:space="preserve"> </w:t>
      </w:r>
      <w:r>
        <w:t>the</w:t>
      </w:r>
      <w:r>
        <w:rPr>
          <w:spacing w:val="-5"/>
        </w:rPr>
        <w:t xml:space="preserve"> </w:t>
      </w:r>
      <w:r>
        <w:t>sampled</w:t>
      </w:r>
      <w:r>
        <w:rPr>
          <w:spacing w:val="-5"/>
        </w:rPr>
        <w:t xml:space="preserve"> </w:t>
      </w:r>
      <w:r>
        <w:t>schools.</w:t>
      </w:r>
      <w:r>
        <w:rPr>
          <w:spacing w:val="-5"/>
        </w:rPr>
        <w:t xml:space="preserve"> </w:t>
      </w:r>
      <w:r>
        <w:t>In</w:t>
      </w:r>
      <w:r>
        <w:rPr>
          <w:spacing w:val="-6"/>
        </w:rPr>
        <w:t xml:space="preserve"> </w:t>
      </w:r>
      <w:r>
        <w:t>most</w:t>
      </w:r>
      <w:r>
        <w:rPr>
          <w:spacing w:val="-5"/>
        </w:rPr>
        <w:t xml:space="preserve"> </w:t>
      </w:r>
      <w:r>
        <w:rPr>
          <w:spacing w:val="-2"/>
        </w:rPr>
        <w:t>jurisdictions,</w:t>
      </w:r>
    </w:p>
    <w:p w:rsidR="003F5784" w14:paraId="644282C9" w14:textId="77777777">
      <w:pPr>
        <w:pStyle w:val="BodyText"/>
        <w:spacing w:line="238" w:lineRule="exact"/>
        <w:ind w:left="109"/>
      </w:pPr>
      <w:r>
        <w:t>`u_{j}`</w:t>
      </w:r>
      <w:r>
        <w:rPr>
          <w:spacing w:val="-7"/>
        </w:rPr>
        <w:t xml:space="preserve"> </w:t>
      </w:r>
      <w:r>
        <w:t>was</w:t>
      </w:r>
      <w:r>
        <w:rPr>
          <w:spacing w:val="-4"/>
        </w:rPr>
        <w:t xml:space="preserve"> </w:t>
      </w:r>
      <w:r>
        <w:t>set</w:t>
      </w:r>
      <w:r>
        <w:rPr>
          <w:spacing w:val="-4"/>
        </w:rPr>
        <w:t xml:space="preserve"> </w:t>
      </w:r>
      <w:r>
        <w:t>to</w:t>
      </w:r>
      <w:r>
        <w:rPr>
          <w:spacing w:val="-5"/>
        </w:rPr>
        <w:t xml:space="preserve"> </w:t>
      </w:r>
      <w:r>
        <w:t>3.</w:t>
      </w:r>
      <w:r>
        <w:rPr>
          <w:spacing w:val="-13"/>
        </w:rPr>
        <w:t xml:space="preserve"> </w:t>
      </w:r>
      <w:r>
        <w:t>At</w:t>
      </w:r>
      <w:r>
        <w:rPr>
          <w:spacing w:val="-4"/>
        </w:rPr>
        <w:t xml:space="preserve"> </w:t>
      </w:r>
      <w:r>
        <w:t>grades</w:t>
      </w:r>
      <w:r>
        <w:rPr>
          <w:spacing w:val="-4"/>
        </w:rPr>
        <w:t xml:space="preserve"> </w:t>
      </w:r>
      <w:r>
        <w:t>4</w:t>
      </w:r>
      <w:r>
        <w:rPr>
          <w:spacing w:val="-4"/>
        </w:rPr>
        <w:t xml:space="preserve"> </w:t>
      </w:r>
      <w:r>
        <w:t>and</w:t>
      </w:r>
      <w:r>
        <w:rPr>
          <w:spacing w:val="-4"/>
        </w:rPr>
        <w:t xml:space="preserve"> </w:t>
      </w:r>
      <w:r>
        <w:t>8</w:t>
      </w:r>
      <w:r>
        <w:rPr>
          <w:spacing w:val="-4"/>
        </w:rPr>
        <w:t xml:space="preserve"> </w:t>
      </w:r>
      <w:r>
        <w:t>in</w:t>
      </w:r>
      <w:r>
        <w:rPr>
          <w:spacing w:val="-13"/>
        </w:rPr>
        <w:t xml:space="preserve"> </w:t>
      </w:r>
      <w:r>
        <w:t>Alaska</w:t>
      </w:r>
      <w:r>
        <w:rPr>
          <w:spacing w:val="-4"/>
        </w:rPr>
        <w:t xml:space="preserve"> </w:t>
      </w:r>
      <w:r>
        <w:t>and</w:t>
      </w:r>
      <w:r>
        <w:rPr>
          <w:spacing w:val="-5"/>
        </w:rPr>
        <w:t xml:space="preserve"> </w:t>
      </w:r>
      <w:r>
        <w:t>grade</w:t>
      </w:r>
      <w:r>
        <w:rPr>
          <w:spacing w:val="-4"/>
        </w:rPr>
        <w:t xml:space="preserve"> </w:t>
      </w:r>
      <w:r>
        <w:t>8</w:t>
      </w:r>
      <w:r>
        <w:rPr>
          <w:spacing w:val="-4"/>
        </w:rPr>
        <w:t xml:space="preserve"> </w:t>
      </w:r>
      <w:r>
        <w:t>in</w:t>
      </w:r>
      <w:r>
        <w:rPr>
          <w:spacing w:val="-4"/>
        </w:rPr>
        <w:t xml:space="preserve"> </w:t>
      </w:r>
      <w:r>
        <w:t>DC,</w:t>
      </w:r>
      <w:r>
        <w:rPr>
          <w:spacing w:val="-4"/>
        </w:rPr>
        <w:t xml:space="preserve"> </w:t>
      </w:r>
      <w:r>
        <w:t>`u_{j}`</w:t>
      </w:r>
      <w:r>
        <w:rPr>
          <w:spacing w:val="-4"/>
        </w:rPr>
        <w:t xml:space="preserve"> </w:t>
      </w:r>
      <w:r>
        <w:t>was</w:t>
      </w:r>
      <w:r>
        <w:rPr>
          <w:spacing w:val="-4"/>
        </w:rPr>
        <w:t xml:space="preserve"> </w:t>
      </w:r>
      <w:r>
        <w:t>set</w:t>
      </w:r>
      <w:r>
        <w:rPr>
          <w:spacing w:val="-4"/>
        </w:rPr>
        <w:t xml:space="preserve"> </w:t>
      </w:r>
      <w:r>
        <w:t>to</w:t>
      </w:r>
      <w:r>
        <w:rPr>
          <w:spacing w:val="-4"/>
        </w:rPr>
        <w:t xml:space="preserve"> </w:t>
      </w:r>
      <w:r>
        <w:t>8,</w:t>
      </w:r>
      <w:r>
        <w:rPr>
          <w:spacing w:val="-4"/>
        </w:rPr>
        <w:t xml:space="preserve"> </w:t>
      </w:r>
      <w:r>
        <w:t>and</w:t>
      </w:r>
      <w:r>
        <w:rPr>
          <w:spacing w:val="-5"/>
        </w:rPr>
        <w:t xml:space="preserve"> </w:t>
      </w:r>
      <w:r>
        <w:t>in</w:t>
      </w:r>
      <w:r>
        <w:rPr>
          <w:spacing w:val="-4"/>
        </w:rPr>
        <w:t xml:space="preserve"> </w:t>
      </w:r>
      <w:r>
        <w:t>Puerto</w:t>
      </w:r>
      <w:r>
        <w:rPr>
          <w:spacing w:val="-4"/>
        </w:rPr>
        <w:t xml:space="preserve"> </w:t>
      </w:r>
      <w:r>
        <w:t>Rico,</w:t>
      </w:r>
      <w:r>
        <w:rPr>
          <w:spacing w:val="-4"/>
        </w:rPr>
        <w:t xml:space="preserve"> </w:t>
      </w:r>
      <w:r>
        <w:t>`u_{j}`</w:t>
      </w:r>
      <w:r>
        <w:rPr>
          <w:spacing w:val="-4"/>
        </w:rPr>
        <w:t xml:space="preserve"> </w:t>
      </w:r>
      <w:r>
        <w:t>was</w:t>
      </w:r>
      <w:r>
        <w:rPr>
          <w:spacing w:val="-4"/>
        </w:rPr>
        <w:t xml:space="preserve"> </w:t>
      </w:r>
      <w:r>
        <w:t>set</w:t>
      </w:r>
      <w:r>
        <w:rPr>
          <w:spacing w:val="-4"/>
        </w:rPr>
        <w:t xml:space="preserve"> </w:t>
      </w:r>
      <w:r>
        <w:t>to</w:t>
      </w:r>
      <w:r>
        <w:rPr>
          <w:spacing w:val="-4"/>
        </w:rPr>
        <w:t xml:space="preserve"> </w:t>
      </w:r>
      <w:r>
        <w:rPr>
          <w:spacing w:val="-5"/>
        </w:rPr>
        <w:t>1.</w:t>
      </w:r>
    </w:p>
    <w:p w:rsidR="003F5784" w14:paraId="66A03807" w14:textId="77777777">
      <w:pPr>
        <w:pStyle w:val="BodyText"/>
        <w:spacing w:before="202"/>
        <w:ind w:left="109"/>
      </w:pPr>
      <w:r>
        <w:t>In</w:t>
      </w:r>
      <w:r>
        <w:rPr>
          <w:spacing w:val="-7"/>
        </w:rPr>
        <w:t xml:space="preserve"> </w:t>
      </w:r>
      <w:r>
        <w:t>addition,</w:t>
      </w:r>
      <w:r>
        <w:rPr>
          <w:spacing w:val="-6"/>
        </w:rPr>
        <w:t xml:space="preserve"> </w:t>
      </w:r>
      <w:r>
        <w:t>new</w:t>
      </w:r>
      <w:r>
        <w:rPr>
          <w:spacing w:val="-6"/>
        </w:rPr>
        <w:t xml:space="preserve"> </w:t>
      </w:r>
      <w:r>
        <w:t>and</w:t>
      </w:r>
      <w:r>
        <w:rPr>
          <w:spacing w:val="-6"/>
        </w:rPr>
        <w:t xml:space="preserve"> </w:t>
      </w:r>
      <w:r>
        <w:t>newly-eligible</w:t>
      </w:r>
      <w:r>
        <w:rPr>
          <w:spacing w:val="-6"/>
        </w:rPr>
        <w:t xml:space="preserve"> </w:t>
      </w:r>
      <w:r>
        <w:t>schools</w:t>
      </w:r>
      <w:r>
        <w:rPr>
          <w:spacing w:val="-6"/>
        </w:rPr>
        <w:t xml:space="preserve"> </w:t>
      </w:r>
      <w:r>
        <w:t>were</w:t>
      </w:r>
      <w:r>
        <w:rPr>
          <w:spacing w:val="-6"/>
        </w:rPr>
        <w:t xml:space="preserve"> </w:t>
      </w:r>
      <w:r>
        <w:t>sampled</w:t>
      </w:r>
      <w:r>
        <w:rPr>
          <w:spacing w:val="-7"/>
        </w:rPr>
        <w:t xml:space="preserve"> </w:t>
      </w:r>
      <w:r>
        <w:t>from</w:t>
      </w:r>
      <w:r>
        <w:rPr>
          <w:spacing w:val="-6"/>
        </w:rPr>
        <w:t xml:space="preserve"> </w:t>
      </w:r>
      <w:r>
        <w:t>the</w:t>
      </w:r>
      <w:r>
        <w:rPr>
          <w:spacing w:val="-6"/>
        </w:rPr>
        <w:t xml:space="preserve"> </w:t>
      </w:r>
      <w:r>
        <w:t>new-school</w:t>
      </w:r>
      <w:r>
        <w:rPr>
          <w:spacing w:val="-6"/>
        </w:rPr>
        <w:t xml:space="preserve"> </w:t>
      </w:r>
      <w:r>
        <w:t>frame.</w:t>
      </w:r>
      <w:r>
        <w:rPr>
          <w:spacing w:val="-10"/>
        </w:rPr>
        <w:t xml:space="preserve"> </w:t>
      </w:r>
      <w:r>
        <w:t>The</w:t>
      </w:r>
      <w:r>
        <w:rPr>
          <w:spacing w:val="-6"/>
        </w:rPr>
        <w:t xml:space="preserve"> </w:t>
      </w:r>
      <w:r>
        <w:t>assigned</w:t>
      </w:r>
      <w:r>
        <w:rPr>
          <w:spacing w:val="-6"/>
        </w:rPr>
        <w:t xml:space="preserve"> </w:t>
      </w:r>
      <w:r>
        <w:t>measures</w:t>
      </w:r>
      <w:r>
        <w:rPr>
          <w:spacing w:val="-6"/>
        </w:rPr>
        <w:t xml:space="preserve"> </w:t>
      </w:r>
      <w:r>
        <w:t>of</w:t>
      </w:r>
      <w:r>
        <w:rPr>
          <w:spacing w:val="-6"/>
        </w:rPr>
        <w:t xml:space="preserve"> </w:t>
      </w:r>
      <w:r>
        <w:t>size</w:t>
      </w:r>
      <w:r>
        <w:rPr>
          <w:spacing w:val="-6"/>
        </w:rPr>
        <w:t xml:space="preserve"> </w:t>
      </w:r>
      <w:r>
        <w:t>for</w:t>
      </w:r>
      <w:r>
        <w:rPr>
          <w:spacing w:val="-6"/>
        </w:rPr>
        <w:t xml:space="preserve"> </w:t>
      </w:r>
      <w:r>
        <w:t>these</w:t>
      </w:r>
      <w:r>
        <w:rPr>
          <w:spacing w:val="-7"/>
        </w:rPr>
        <w:t xml:space="preserve"> </w:t>
      </w:r>
      <w:r>
        <w:rPr>
          <w:spacing w:val="-2"/>
        </w:rPr>
        <w:t>schools,</w:t>
      </w:r>
    </w:p>
    <w:p w:rsidR="003F5784" w14:paraId="2B924AAC" w14:textId="77777777">
      <w:pPr>
        <w:pStyle w:val="BodyText"/>
        <w:spacing w:before="201" w:line="238" w:lineRule="exact"/>
        <w:ind w:left="109"/>
      </w:pPr>
      <w:r>
        <w:rPr>
          <w:spacing w:val="-2"/>
        </w:rPr>
        <w:t>\begin{equation}</w:t>
      </w:r>
    </w:p>
    <w:p w:rsidR="003F5784" w14:paraId="26477211" w14:textId="77777777">
      <w:pPr>
        <w:pStyle w:val="BodyText"/>
        <w:spacing w:line="235" w:lineRule="exact"/>
        <w:ind w:left="109"/>
      </w:pPr>
      <w:r>
        <w:t>E_{js}=min(b_{j}\times</w:t>
      </w:r>
      <w:r>
        <w:rPr>
          <w:spacing w:val="-13"/>
        </w:rPr>
        <w:t xml:space="preserve"> </w:t>
      </w:r>
      <w:r>
        <w:t>MOS_{js}\times</w:t>
      </w:r>
      <w:r>
        <w:rPr>
          <w:spacing w:val="-13"/>
        </w:rPr>
        <w:t xml:space="preserve"> </w:t>
      </w:r>
      <w:r>
        <w:t>\pi_{djs}^{-1}</w:t>
      </w:r>
      <w:r>
        <w:rPr>
          <w:spacing w:val="-13"/>
        </w:rPr>
        <w:t xml:space="preserve"> </w:t>
      </w:r>
      <w:r>
        <w:t>,</w:t>
      </w:r>
      <w:r>
        <w:rPr>
          <w:spacing w:val="-13"/>
        </w:rPr>
        <w:t xml:space="preserve"> </w:t>
      </w:r>
      <w:r>
        <w:rPr>
          <w:spacing w:val="-2"/>
        </w:rPr>
        <w:t>u_{j}),</w:t>
      </w:r>
    </w:p>
    <w:p w:rsidR="003F5784" w14:paraId="1DEFB7E4" w14:textId="77777777">
      <w:pPr>
        <w:pStyle w:val="BodyText"/>
        <w:spacing w:line="238" w:lineRule="exact"/>
        <w:ind w:left="109"/>
      </w:pPr>
      <w:r>
        <w:rPr>
          <w:spacing w:val="-2"/>
        </w:rPr>
        <w:t>\end{equation}</w:t>
      </w:r>
    </w:p>
    <w:p w:rsidR="003F5784" w14:paraId="106E64C5" w14:textId="77777777">
      <w:pPr>
        <w:pStyle w:val="BodyText"/>
        <w:spacing w:before="208" w:line="232" w:lineRule="auto"/>
        <w:ind w:left="109"/>
      </w:pPr>
      <w:r>
        <w:t>used</w:t>
      </w:r>
      <w:r>
        <w:rPr>
          <w:spacing w:val="-6"/>
        </w:rPr>
        <w:t xml:space="preserve"> </w:t>
      </w:r>
      <w:r>
        <w:t>the</w:t>
      </w:r>
      <w:r>
        <w:rPr>
          <w:spacing w:val="-6"/>
        </w:rPr>
        <w:t xml:space="preserve"> </w:t>
      </w:r>
      <w:r>
        <w:t>`b_{j}`</w:t>
      </w:r>
      <w:r>
        <w:rPr>
          <w:spacing w:val="-6"/>
        </w:rPr>
        <w:t xml:space="preserve"> </w:t>
      </w:r>
      <w:r>
        <w:t>and</w:t>
      </w:r>
      <w:r>
        <w:rPr>
          <w:spacing w:val="-6"/>
        </w:rPr>
        <w:t xml:space="preserve"> </w:t>
      </w:r>
      <w:r>
        <w:t>`u_{j}`</w:t>
      </w:r>
      <w:r>
        <w:rPr>
          <w:spacing w:val="-6"/>
        </w:rPr>
        <w:t xml:space="preserve"> </w:t>
      </w:r>
      <w:r>
        <w:t>values</w:t>
      </w:r>
      <w:r>
        <w:rPr>
          <w:spacing w:val="-6"/>
        </w:rPr>
        <w:t xml:space="preserve"> </w:t>
      </w:r>
      <w:r>
        <w:t>from</w:t>
      </w:r>
      <w:r>
        <w:rPr>
          <w:spacing w:val="-6"/>
        </w:rPr>
        <w:t xml:space="preserve"> </w:t>
      </w:r>
      <w:r>
        <w:t>the</w:t>
      </w:r>
      <w:r>
        <w:rPr>
          <w:spacing w:val="-6"/>
        </w:rPr>
        <w:t xml:space="preserve"> </w:t>
      </w:r>
      <w:r>
        <w:t>CCD-based</w:t>
      </w:r>
      <w:r>
        <w:rPr>
          <w:spacing w:val="-6"/>
        </w:rPr>
        <w:t xml:space="preserve"> </w:t>
      </w:r>
      <w:r>
        <w:t>school</w:t>
      </w:r>
      <w:r>
        <w:rPr>
          <w:spacing w:val="-6"/>
        </w:rPr>
        <w:t xml:space="preserve"> </w:t>
      </w:r>
      <w:r>
        <w:t>frame</w:t>
      </w:r>
      <w:r>
        <w:rPr>
          <w:spacing w:val="-6"/>
        </w:rPr>
        <w:t xml:space="preserve"> </w:t>
      </w:r>
      <w:r>
        <w:t>for</w:t>
      </w:r>
      <w:r>
        <w:rPr>
          <w:spacing w:val="-6"/>
        </w:rPr>
        <w:t xml:space="preserve"> </w:t>
      </w:r>
      <w:r>
        <w:t>the</w:t>
      </w:r>
      <w:r>
        <w:rPr>
          <w:spacing w:val="-6"/>
        </w:rPr>
        <w:t xml:space="preserve"> </w:t>
      </w:r>
      <w:r>
        <w:t>jurisdiction</w:t>
      </w:r>
      <w:r>
        <w:rPr>
          <w:spacing w:val="-6"/>
        </w:rPr>
        <w:t xml:space="preserve"> </w:t>
      </w:r>
      <w:r>
        <w:t>(i.e.,</w:t>
      </w:r>
      <w:r>
        <w:rPr>
          <w:spacing w:val="-6"/>
        </w:rPr>
        <w:t xml:space="preserve"> </w:t>
      </w:r>
      <w:r>
        <w:t>the</w:t>
      </w:r>
      <w:r>
        <w:rPr>
          <w:spacing w:val="-6"/>
        </w:rPr>
        <w:t xml:space="preserve"> </w:t>
      </w:r>
      <w:r>
        <w:t>same</w:t>
      </w:r>
      <w:r>
        <w:rPr>
          <w:spacing w:val="-6"/>
        </w:rPr>
        <w:t xml:space="preserve"> </w:t>
      </w:r>
      <w:r>
        <w:t>sampling</w:t>
      </w:r>
      <w:r>
        <w:rPr>
          <w:spacing w:val="-6"/>
        </w:rPr>
        <w:t xml:space="preserve"> </w:t>
      </w:r>
      <w:r>
        <w:t>rate</w:t>
      </w:r>
      <w:r>
        <w:rPr>
          <w:spacing w:val="-6"/>
        </w:rPr>
        <w:t xml:space="preserve"> </w:t>
      </w:r>
      <w:r>
        <w:t>as</w:t>
      </w:r>
      <w:r>
        <w:rPr>
          <w:spacing w:val="-6"/>
        </w:rPr>
        <w:t xml:space="preserve"> </w:t>
      </w:r>
      <w:r>
        <w:t>for</w:t>
      </w:r>
      <w:r>
        <w:rPr>
          <w:spacing w:val="-6"/>
        </w:rPr>
        <w:t xml:space="preserve"> </w:t>
      </w:r>
      <w:r>
        <w:t>the</w:t>
      </w:r>
      <w:r>
        <w:rPr>
          <w:spacing w:val="-6"/>
        </w:rPr>
        <w:t xml:space="preserve"> </w:t>
      </w:r>
      <w:r>
        <w:t>CCD-based</w:t>
      </w:r>
      <w:r>
        <w:rPr>
          <w:spacing w:val="-6"/>
        </w:rPr>
        <w:t xml:space="preserve"> </w:t>
      </w:r>
      <w:r>
        <w:t>school</w:t>
      </w:r>
      <w:r>
        <w:rPr>
          <w:spacing w:val="-6"/>
        </w:rPr>
        <w:t xml:space="preserve"> </w:t>
      </w:r>
      <w:r>
        <w:t>sample</w:t>
      </w:r>
      <w:r>
        <w:rPr>
          <w:spacing w:val="-6"/>
        </w:rPr>
        <w:t xml:space="preserve"> </w:t>
      </w:r>
      <w:r>
        <w:t>within</w:t>
      </w:r>
      <w:r>
        <w:rPr>
          <w:spacing w:val="-6"/>
        </w:rPr>
        <w:t xml:space="preserve"> </w:t>
      </w:r>
      <w:r>
        <w:t>each jurisdiction). The variable `pi_{djs}` is the probability of selection of the district into the new-school district (`d`) sample.</w:t>
      </w:r>
    </w:p>
    <w:p w:rsidR="003F5784" w14:paraId="761CA338" w14:textId="77777777">
      <w:pPr>
        <w:pStyle w:val="BodyText"/>
      </w:pPr>
    </w:p>
    <w:p w:rsidR="003F5784" w14:paraId="43AE8A63" w14:textId="77777777">
      <w:pPr>
        <w:pStyle w:val="BodyText"/>
        <w:spacing w:before="178"/>
      </w:pPr>
    </w:p>
    <w:p w:rsidR="003F5784" w14:paraId="19FFD94D" w14:textId="77777777">
      <w:pPr>
        <w:ind w:left="4666"/>
        <w:rPr>
          <w:sz w:val="18"/>
        </w:rPr>
      </w:pPr>
      <w:hyperlink r:id="rId304">
        <w:r>
          <w:rPr>
            <w:spacing w:val="-2"/>
            <w:w w:val="105"/>
            <w:sz w:val="18"/>
          </w:rPr>
          <w:t>http://nces.ed.gov/nationsreportcard/tdw/sample_design/2022/computation_of_measures_of_size_for_the_2022_state_assessment.aspx</w:t>
        </w:r>
      </w:hyperlink>
    </w:p>
    <w:p w:rsidR="003F5784" w14:paraId="07401094" w14:textId="77777777">
      <w:pPr>
        <w:pStyle w:val="BodyText"/>
        <w:spacing w:before="1"/>
        <w:rPr>
          <w:sz w:val="16"/>
        </w:rPr>
      </w:pPr>
      <w:r>
        <w:rPr>
          <w:noProof/>
        </w:rPr>
        <mc:AlternateContent>
          <mc:Choice Requires="wps">
            <w:drawing>
              <wp:anchor distT="0" distB="0" distL="0" distR="0" simplePos="0" relativeHeight="251939840" behindDoc="1" locked="0" layoutInCell="1" allowOverlap="1">
                <wp:simplePos x="0" y="0"/>
                <wp:positionH relativeFrom="page">
                  <wp:posOffset>361937</wp:posOffset>
                </wp:positionH>
                <wp:positionV relativeFrom="paragraph">
                  <wp:posOffset>132995</wp:posOffset>
                </wp:positionV>
                <wp:extent cx="9339580" cy="8890"/>
                <wp:effectExtent l="0" t="0" r="0" b="0"/>
                <wp:wrapTopAndBottom/>
                <wp:docPr id="397" name="Graphic 397"/>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80"/>
                              </a:lnTo>
                              <a:lnTo>
                                <a:pt x="9335110" y="8305"/>
                              </a:lnTo>
                              <a:lnTo>
                                <a:pt x="9338970" y="8305"/>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397" o:spid="_x0000_s1147" style="width:735.4pt;height:0.7pt;margin-top:10.45pt;margin-left:28.5pt;mso-position-horizontal-relative:page;mso-wrap-distance-bottom:0;mso-wrap-distance-left:0;mso-wrap-distance-right:0;mso-wrap-distance-top:0;mso-wrap-style:square;position:absolute;visibility:visible;v-text-anchor:top;z-index:-251375616" coordsize="9339580,8890" path="m9338970,25l9335110,25l8280,25,,,,8280l9335110,8305l9338970,8305l9338970,25xe" fillcolor="gray" stroked="f">
                <v:path arrowok="t"/>
                <w10:wrap type="topAndBottom"/>
              </v:shape>
            </w:pict>
          </mc:Fallback>
        </mc:AlternateContent>
      </w:r>
    </w:p>
    <w:p w:rsidR="003F5784" w14:paraId="3FC8BAAF" w14:textId="77777777">
      <w:pPr>
        <w:pStyle w:val="BodyText"/>
        <w:rPr>
          <w:sz w:val="18"/>
        </w:rPr>
      </w:pPr>
    </w:p>
    <w:p w:rsidR="003F5784" w14:paraId="12AE98E7" w14:textId="77777777">
      <w:pPr>
        <w:pStyle w:val="BodyText"/>
        <w:spacing w:before="193"/>
        <w:rPr>
          <w:sz w:val="18"/>
        </w:rPr>
      </w:pPr>
    </w:p>
    <w:p w:rsidR="003F5784" w14:paraId="4F2C9AC7" w14:textId="3BDB263D">
      <w:pPr>
        <w:pStyle w:val="Heading1"/>
        <w:spacing w:line="244" w:lineRule="auto"/>
      </w:pPr>
      <w:r>
        <w:t>NAEP</w:t>
      </w:r>
      <w:r>
        <w:rPr>
          <w:spacing w:val="-17"/>
        </w:rPr>
        <w:t xml:space="preserve"> </w:t>
      </w:r>
      <w:r>
        <w:t>Technical Documentation</w:t>
      </w:r>
      <w:r w:rsidR="00E3225D">
        <w:t xml:space="preserve"> </w:t>
      </w:r>
      <w:r>
        <w:t>Evaluation of the Samples for the 2022 State Assessment Using State Achievement Data</w:t>
      </w:r>
    </w:p>
    <w:p w:rsidR="003F5784" w14:paraId="7D3A9B5B" w14:textId="77777777">
      <w:pPr>
        <w:pStyle w:val="BodyText"/>
        <w:spacing w:before="287" w:line="232" w:lineRule="auto"/>
        <w:ind w:left="109" w:right="179"/>
      </w:pPr>
      <w:r>
        <w:t>The</w:t>
      </w:r>
      <w:r>
        <w:rPr>
          <w:spacing w:val="-2"/>
        </w:rPr>
        <w:t xml:space="preserve"> </w:t>
      </w:r>
      <w:r>
        <w:t>purpose</w:t>
      </w:r>
      <w:r>
        <w:rPr>
          <w:spacing w:val="-2"/>
        </w:rPr>
        <w:t xml:space="preserve"> </w:t>
      </w:r>
      <w:r>
        <w:t>of</w:t>
      </w:r>
      <w:r>
        <w:rPr>
          <w:spacing w:val="-2"/>
        </w:rPr>
        <w:t xml:space="preserve"> </w:t>
      </w:r>
      <w:r>
        <w:t>this</w:t>
      </w:r>
      <w:r>
        <w:rPr>
          <w:spacing w:val="-2"/>
        </w:rPr>
        <w:t xml:space="preserve"> </w:t>
      </w:r>
      <w:r>
        <w:t>analysis</w:t>
      </w:r>
      <w:r>
        <w:rPr>
          <w:spacing w:val="-2"/>
        </w:rPr>
        <w:t xml:space="preserve"> </w:t>
      </w:r>
      <w:r>
        <w:t>was</w:t>
      </w:r>
      <w:r>
        <w:rPr>
          <w:spacing w:val="-2"/>
        </w:rPr>
        <w:t xml:space="preserve"> </w:t>
      </w:r>
      <w:r>
        <w:t>to</w:t>
      </w:r>
      <w:r>
        <w:rPr>
          <w:spacing w:val="-2"/>
        </w:rPr>
        <w:t xml:space="preserve"> </w:t>
      </w:r>
      <w:r>
        <w:t>determine</w:t>
      </w:r>
      <w:r>
        <w:rPr>
          <w:spacing w:val="-2"/>
        </w:rPr>
        <w:t xml:space="preserve"> </w:t>
      </w:r>
      <w:r>
        <w:t>whether</w:t>
      </w:r>
      <w:r>
        <w:rPr>
          <w:spacing w:val="-2"/>
        </w:rPr>
        <w:t xml:space="preserve"> </w:t>
      </w:r>
      <w:r>
        <w:t>public</w:t>
      </w:r>
      <w:r>
        <w:rPr>
          <w:spacing w:val="-2"/>
        </w:rPr>
        <w:t xml:space="preserve"> </w:t>
      </w:r>
      <w:r>
        <w:t>schools</w:t>
      </w:r>
      <w:r>
        <w:rPr>
          <w:spacing w:val="-2"/>
        </w:rPr>
        <w:t xml:space="preserve"> </w:t>
      </w:r>
      <w:r>
        <w:t>selected</w:t>
      </w:r>
      <w:r>
        <w:rPr>
          <w:spacing w:val="-2"/>
        </w:rPr>
        <w:t xml:space="preserve"> </w:t>
      </w:r>
      <w:r>
        <w:t>for</w:t>
      </w:r>
      <w:r>
        <w:rPr>
          <w:spacing w:val="-2"/>
        </w:rPr>
        <w:t xml:space="preserve"> </w:t>
      </w:r>
      <w:r>
        <w:t>the</w:t>
      </w:r>
      <w:r>
        <w:rPr>
          <w:spacing w:val="-2"/>
        </w:rPr>
        <w:t xml:space="preserve"> </w:t>
      </w:r>
      <w:r>
        <w:t>2022</w:t>
      </w:r>
      <w:r>
        <w:rPr>
          <w:spacing w:val="-2"/>
        </w:rPr>
        <w:t xml:space="preserve"> </w:t>
      </w:r>
      <w:r>
        <w:t>samples</w:t>
      </w:r>
      <w:r>
        <w:rPr>
          <w:spacing w:val="-2"/>
        </w:rPr>
        <w:t xml:space="preserve"> </w:t>
      </w:r>
      <w:r>
        <w:t>were</w:t>
      </w:r>
      <w:r>
        <w:rPr>
          <w:spacing w:val="-2"/>
        </w:rPr>
        <w:t xml:space="preserve"> </w:t>
      </w:r>
      <w:r>
        <w:t>representative</w:t>
      </w:r>
      <w:r>
        <w:rPr>
          <w:spacing w:val="-2"/>
        </w:rPr>
        <w:t xml:space="preserve"> </w:t>
      </w:r>
      <w:r>
        <w:t>of</w:t>
      </w:r>
      <w:r>
        <w:rPr>
          <w:spacing w:val="-2"/>
        </w:rPr>
        <w:t xml:space="preserve"> </w:t>
      </w:r>
      <w:r>
        <w:t>the</w:t>
      </w:r>
      <w:r>
        <w:rPr>
          <w:spacing w:val="-2"/>
        </w:rPr>
        <w:t xml:space="preserve"> </w:t>
      </w:r>
      <w:r>
        <w:t>schools</w:t>
      </w:r>
      <w:r>
        <w:rPr>
          <w:spacing w:val="-2"/>
        </w:rPr>
        <w:t xml:space="preserve"> </w:t>
      </w:r>
      <w:r>
        <w:t>on</w:t>
      </w:r>
      <w:r>
        <w:rPr>
          <w:spacing w:val="-2"/>
        </w:rPr>
        <w:t xml:space="preserve"> </w:t>
      </w:r>
      <w:r>
        <w:t>the</w:t>
      </w:r>
      <w:r>
        <w:rPr>
          <w:spacing w:val="-2"/>
        </w:rPr>
        <w:t xml:space="preserve"> </w:t>
      </w:r>
      <w:r>
        <w:t>NAEP</w:t>
      </w:r>
      <w:r>
        <w:rPr>
          <w:spacing w:val="-9"/>
        </w:rPr>
        <w:t xml:space="preserve"> </w:t>
      </w:r>
      <w:r>
        <w:t>sampling</w:t>
      </w:r>
      <w:r>
        <w:rPr>
          <w:spacing w:val="-2"/>
        </w:rPr>
        <w:t xml:space="preserve"> </w:t>
      </w:r>
      <w:r>
        <w:t>frames</w:t>
      </w:r>
      <w:r>
        <w:rPr>
          <w:spacing w:val="-2"/>
        </w:rPr>
        <w:t xml:space="preserve"> </w:t>
      </w:r>
      <w:r>
        <w:t>in</w:t>
      </w:r>
      <w:r>
        <w:rPr>
          <w:spacing w:val="-2"/>
        </w:rPr>
        <w:t xml:space="preserve"> </w:t>
      </w:r>
      <w:r>
        <w:t>terms of</w:t>
      </w:r>
      <w:r>
        <w:rPr>
          <w:spacing w:val="-6"/>
        </w:rPr>
        <w:t xml:space="preserve"> </w:t>
      </w:r>
      <w:r>
        <w:t>student</w:t>
      </w:r>
      <w:r>
        <w:rPr>
          <w:spacing w:val="-6"/>
        </w:rPr>
        <w:t xml:space="preserve"> </w:t>
      </w:r>
      <w:r>
        <w:t>achievement.</w:t>
      </w:r>
      <w:r>
        <w:rPr>
          <w:spacing w:val="-6"/>
        </w:rPr>
        <w:t xml:space="preserve"> </w:t>
      </w:r>
      <w:r>
        <w:t>Percentiles</w:t>
      </w:r>
      <w:r>
        <w:rPr>
          <w:spacing w:val="-6"/>
        </w:rPr>
        <w:t xml:space="preserve"> </w:t>
      </w:r>
      <w:r>
        <w:t>of</w:t>
      </w:r>
      <w:r>
        <w:rPr>
          <w:spacing w:val="-6"/>
        </w:rPr>
        <w:t xml:space="preserve"> </w:t>
      </w:r>
      <w:r>
        <w:t>the</w:t>
      </w:r>
      <w:r>
        <w:rPr>
          <w:spacing w:val="-6"/>
        </w:rPr>
        <w:t xml:space="preserve"> </w:t>
      </w:r>
      <w:r>
        <w:t>achievement</w:t>
      </w:r>
      <w:r>
        <w:rPr>
          <w:spacing w:val="-6"/>
        </w:rPr>
        <w:t xml:space="preserve"> </w:t>
      </w:r>
      <w:r>
        <w:t>distributions</w:t>
      </w:r>
      <w:r>
        <w:rPr>
          <w:spacing w:val="-6"/>
        </w:rPr>
        <w:t xml:space="preserve"> </w:t>
      </w:r>
      <w:r>
        <w:t>were</w:t>
      </w:r>
      <w:r>
        <w:rPr>
          <w:spacing w:val="-6"/>
        </w:rPr>
        <w:t xml:space="preserve"> </w:t>
      </w:r>
      <w:r>
        <w:t>compared</w:t>
      </w:r>
      <w:r>
        <w:rPr>
          <w:spacing w:val="-6"/>
        </w:rPr>
        <w:t xml:space="preserve"> </w:t>
      </w:r>
      <w:r>
        <w:t>between</w:t>
      </w:r>
      <w:r>
        <w:rPr>
          <w:spacing w:val="-6"/>
        </w:rPr>
        <w:t xml:space="preserve"> </w:t>
      </w:r>
      <w:r>
        <w:t>the</w:t>
      </w:r>
      <w:r>
        <w:rPr>
          <w:spacing w:val="-6"/>
        </w:rPr>
        <w:t xml:space="preserve"> </w:t>
      </w:r>
      <w:r>
        <w:t>frame</w:t>
      </w:r>
      <w:r>
        <w:rPr>
          <w:spacing w:val="-6"/>
        </w:rPr>
        <w:t xml:space="preserve"> </w:t>
      </w:r>
      <w:r>
        <w:t>and</w:t>
      </w:r>
      <w:r>
        <w:rPr>
          <w:spacing w:val="-6"/>
        </w:rPr>
        <w:t xml:space="preserve"> </w:t>
      </w:r>
      <w:r>
        <w:t>school</w:t>
      </w:r>
      <w:r>
        <w:rPr>
          <w:spacing w:val="-6"/>
        </w:rPr>
        <w:t xml:space="preserve"> </w:t>
      </w:r>
      <w:r>
        <w:t>sample</w:t>
      </w:r>
      <w:r>
        <w:rPr>
          <w:spacing w:val="-6"/>
        </w:rPr>
        <w:t xml:space="preserve"> </w:t>
      </w:r>
      <w:r>
        <w:t>for</w:t>
      </w:r>
      <w:r>
        <w:rPr>
          <w:spacing w:val="-6"/>
        </w:rPr>
        <w:t xml:space="preserve"> </w:t>
      </w:r>
      <w:r>
        <w:t>each</w:t>
      </w:r>
      <w:r>
        <w:rPr>
          <w:spacing w:val="-6"/>
        </w:rPr>
        <w:t xml:space="preserve"> </w:t>
      </w:r>
      <w:r>
        <w:t>public</w:t>
      </w:r>
      <w:r>
        <w:rPr>
          <w:spacing w:val="-6"/>
        </w:rPr>
        <w:t xml:space="preserve"> </w:t>
      </w:r>
      <w:r>
        <w:t>school</w:t>
      </w:r>
      <w:r>
        <w:rPr>
          <w:spacing w:val="-6"/>
        </w:rPr>
        <w:t xml:space="preserve"> </w:t>
      </w:r>
      <w:r>
        <w:t>jurisdiction</w:t>
      </w:r>
      <w:r>
        <w:rPr>
          <w:spacing w:val="-6"/>
        </w:rPr>
        <w:t xml:space="preserve"> </w:t>
      </w:r>
      <w:r>
        <w:t>in</w:t>
      </w:r>
      <w:r>
        <w:rPr>
          <w:spacing w:val="-6"/>
        </w:rPr>
        <w:t xml:space="preserve"> </w:t>
      </w:r>
      <w:r>
        <w:t>grades</w:t>
      </w:r>
      <w:r>
        <w:rPr>
          <w:spacing w:val="-6"/>
        </w:rPr>
        <w:t xml:space="preserve"> </w:t>
      </w:r>
      <w:r>
        <w:t>4</w:t>
      </w:r>
      <w:r>
        <w:rPr>
          <w:spacing w:val="-6"/>
        </w:rPr>
        <w:t xml:space="preserve"> </w:t>
      </w:r>
      <w:r>
        <w:t>and</w:t>
      </w:r>
      <w:r>
        <w:rPr>
          <w:spacing w:val="-6"/>
        </w:rPr>
        <w:t xml:space="preserve"> </w:t>
      </w:r>
      <w:r>
        <w:t>8.</w:t>
      </w:r>
    </w:p>
    <w:p w:rsidR="003F5784" w14:paraId="4C66F4CF" w14:textId="77777777">
      <w:pPr>
        <w:pStyle w:val="Heading2"/>
        <w:spacing w:before="203"/>
        <w:ind w:left="109"/>
      </w:pPr>
      <w:r>
        <w:t>Achievement</w:t>
      </w:r>
      <w:r>
        <w:rPr>
          <w:spacing w:val="-13"/>
        </w:rPr>
        <w:t xml:space="preserve"> </w:t>
      </w:r>
      <w:r>
        <w:rPr>
          <w:spacing w:val="-4"/>
        </w:rPr>
        <w:t>Data</w:t>
      </w:r>
    </w:p>
    <w:p w:rsidR="003F5784" w14:paraId="24CA81B1" w14:textId="77777777">
      <w:pPr>
        <w:pStyle w:val="BodyText"/>
        <w:spacing w:before="208" w:line="232" w:lineRule="auto"/>
        <w:ind w:left="109" w:right="117"/>
      </w:pPr>
      <w:r>
        <w:t>For</w:t>
      </w:r>
      <w:r>
        <w:rPr>
          <w:spacing w:val="-5"/>
        </w:rPr>
        <w:t xml:space="preserve"> </w:t>
      </w:r>
      <w:r>
        <w:t>grades</w:t>
      </w:r>
      <w:r>
        <w:rPr>
          <w:spacing w:val="-5"/>
        </w:rPr>
        <w:t xml:space="preserve"> </w:t>
      </w:r>
      <w:r>
        <w:t>4</w:t>
      </w:r>
      <w:r>
        <w:rPr>
          <w:spacing w:val="-5"/>
        </w:rPr>
        <w:t xml:space="preserve"> </w:t>
      </w:r>
      <w:r>
        <w:t>and</w:t>
      </w:r>
      <w:r>
        <w:rPr>
          <w:spacing w:val="-5"/>
        </w:rPr>
        <w:t xml:space="preserve"> </w:t>
      </w:r>
      <w:r>
        <w:t>8,</w:t>
      </w:r>
      <w:r>
        <w:rPr>
          <w:spacing w:val="-5"/>
        </w:rPr>
        <w:t xml:space="preserve"> </w:t>
      </w:r>
      <w:r>
        <w:t>the</w:t>
      </w:r>
      <w:r>
        <w:rPr>
          <w:spacing w:val="-5"/>
        </w:rPr>
        <w:t xml:space="preserve"> </w:t>
      </w:r>
      <w:r>
        <w:t>achievement</w:t>
      </w:r>
      <w:r>
        <w:rPr>
          <w:spacing w:val="-5"/>
        </w:rPr>
        <w:t xml:space="preserve"> </w:t>
      </w:r>
      <w:r>
        <w:t>variable</w:t>
      </w:r>
      <w:r>
        <w:rPr>
          <w:spacing w:val="-5"/>
        </w:rPr>
        <w:t xml:space="preserve"> </w:t>
      </w:r>
      <w:r>
        <w:t>used</w:t>
      </w:r>
      <w:r>
        <w:rPr>
          <w:spacing w:val="-5"/>
        </w:rPr>
        <w:t xml:space="preserve"> </w:t>
      </w:r>
      <w:r>
        <w:t>in</w:t>
      </w:r>
      <w:r>
        <w:rPr>
          <w:spacing w:val="-5"/>
        </w:rPr>
        <w:t xml:space="preserve"> </w:t>
      </w:r>
      <w:r>
        <w:t>the</w:t>
      </w:r>
      <w:r>
        <w:rPr>
          <w:spacing w:val="-5"/>
        </w:rPr>
        <w:t xml:space="preserve"> </w:t>
      </w:r>
      <w:r>
        <w:t>analysis</w:t>
      </w:r>
      <w:r>
        <w:rPr>
          <w:spacing w:val="-5"/>
        </w:rPr>
        <w:t xml:space="preserve"> </w:t>
      </w:r>
      <w:r>
        <w:t>was</w:t>
      </w:r>
      <w:r>
        <w:rPr>
          <w:spacing w:val="-5"/>
        </w:rPr>
        <w:t xml:space="preserve"> </w:t>
      </w:r>
      <w:r>
        <w:t>the</w:t>
      </w:r>
      <w:r>
        <w:rPr>
          <w:spacing w:val="-5"/>
        </w:rPr>
        <w:t xml:space="preserve"> </w:t>
      </w:r>
      <w:r>
        <w:t>same</w:t>
      </w:r>
      <w:r>
        <w:rPr>
          <w:spacing w:val="-5"/>
        </w:rPr>
        <w:t xml:space="preserve"> </w:t>
      </w:r>
      <w:r>
        <w:t>variable</w:t>
      </w:r>
      <w:r>
        <w:rPr>
          <w:spacing w:val="-5"/>
        </w:rPr>
        <w:t xml:space="preserve"> </w:t>
      </w:r>
      <w:r>
        <w:t>used</w:t>
      </w:r>
      <w:r>
        <w:rPr>
          <w:spacing w:val="-5"/>
        </w:rPr>
        <w:t xml:space="preserve"> </w:t>
      </w:r>
      <w:r>
        <w:t>in</w:t>
      </w:r>
      <w:r>
        <w:rPr>
          <w:spacing w:val="-5"/>
        </w:rPr>
        <w:t xml:space="preserve"> </w:t>
      </w:r>
      <w:r>
        <w:t>the</w:t>
      </w:r>
      <w:r>
        <w:rPr>
          <w:spacing w:val="-5"/>
        </w:rPr>
        <w:t xml:space="preserve"> </w:t>
      </w:r>
      <w:r>
        <w:t>NAEP</w:t>
      </w:r>
      <w:r>
        <w:rPr>
          <w:spacing w:val="-13"/>
        </w:rPr>
        <w:t xml:space="preserve"> </w:t>
      </w:r>
      <w:r>
        <w:t>sample</w:t>
      </w:r>
      <w:r>
        <w:rPr>
          <w:spacing w:val="-5"/>
        </w:rPr>
        <w:t xml:space="preserve"> </w:t>
      </w:r>
      <w:r>
        <w:t>design</w:t>
      </w:r>
      <w:r>
        <w:rPr>
          <w:spacing w:val="-5"/>
        </w:rPr>
        <w:t xml:space="preserve"> </w:t>
      </w:r>
      <w:r>
        <w:t>to</w:t>
      </w:r>
      <w:r>
        <w:rPr>
          <w:spacing w:val="-5"/>
        </w:rPr>
        <w:t xml:space="preserve"> </w:t>
      </w:r>
      <w:r>
        <w:t>stratify</w:t>
      </w:r>
      <w:r>
        <w:rPr>
          <w:spacing w:val="-5"/>
        </w:rPr>
        <w:t xml:space="preserve"> </w:t>
      </w:r>
      <w:r>
        <w:t>the</w:t>
      </w:r>
      <w:r>
        <w:rPr>
          <w:spacing w:val="-5"/>
        </w:rPr>
        <w:t xml:space="preserve"> </w:t>
      </w:r>
      <w:r>
        <w:t>public</w:t>
      </w:r>
      <w:r>
        <w:rPr>
          <w:spacing w:val="-5"/>
        </w:rPr>
        <w:t xml:space="preserve"> </w:t>
      </w:r>
      <w:r>
        <w:t>school</w:t>
      </w:r>
      <w:r>
        <w:rPr>
          <w:spacing w:val="-5"/>
        </w:rPr>
        <w:t xml:space="preserve"> </w:t>
      </w:r>
      <w:r>
        <w:t>frame.</w:t>
      </w:r>
      <w:r>
        <w:rPr>
          <w:spacing w:val="-5"/>
        </w:rPr>
        <w:t xml:space="preserve"> </w:t>
      </w:r>
      <w:r>
        <w:t>For</w:t>
      </w:r>
      <w:r>
        <w:rPr>
          <w:spacing w:val="-5"/>
        </w:rPr>
        <w:t xml:space="preserve"> </w:t>
      </w:r>
      <w:r>
        <w:t>all</w:t>
      </w:r>
      <w:r>
        <w:rPr>
          <w:spacing w:val="-5"/>
        </w:rPr>
        <w:t xml:space="preserve"> </w:t>
      </w:r>
      <w:r>
        <w:t>jurisdictions in the analysis except Puerto Rico, the variable was an achievement score provided by the jurisdiction. However, for Puerto Rico, where achievement data were not available, the</w:t>
      </w:r>
      <w:r>
        <w:rPr>
          <w:spacing w:val="-7"/>
        </w:rPr>
        <w:t xml:space="preserve"> </w:t>
      </w:r>
      <w:r>
        <w:t>2015–2019</w:t>
      </w:r>
      <w:r>
        <w:rPr>
          <w:spacing w:val="-14"/>
        </w:rPr>
        <w:t xml:space="preserve"> </w:t>
      </w:r>
      <w:r>
        <w:t>American</w:t>
      </w:r>
      <w:r>
        <w:rPr>
          <w:spacing w:val="-5"/>
        </w:rPr>
        <w:t xml:space="preserve"> </w:t>
      </w:r>
      <w:r>
        <w:t>Community</w:t>
      </w:r>
      <w:r>
        <w:rPr>
          <w:spacing w:val="-5"/>
        </w:rPr>
        <w:t xml:space="preserve"> </w:t>
      </w:r>
      <w:r>
        <w:t>Survey</w:t>
      </w:r>
      <w:r>
        <w:rPr>
          <w:spacing w:val="-5"/>
        </w:rPr>
        <w:t xml:space="preserve"> </w:t>
      </w:r>
      <w:r>
        <w:t>(ACS)</w:t>
      </w:r>
      <w:r>
        <w:rPr>
          <w:spacing w:val="-5"/>
        </w:rPr>
        <w:t xml:space="preserve"> </w:t>
      </w:r>
      <w:r>
        <w:t>5-year</w:t>
      </w:r>
      <w:r>
        <w:rPr>
          <w:spacing w:val="-5"/>
        </w:rPr>
        <w:t xml:space="preserve"> </w:t>
      </w:r>
      <w:r>
        <w:t>estimates</w:t>
      </w:r>
      <w:r>
        <w:rPr>
          <w:spacing w:val="-5"/>
        </w:rPr>
        <w:t xml:space="preserve"> </w:t>
      </w:r>
      <w:r>
        <w:t>for</w:t>
      </w:r>
      <w:r>
        <w:rPr>
          <w:spacing w:val="-5"/>
        </w:rPr>
        <w:t xml:space="preserve"> </w:t>
      </w:r>
      <w:r>
        <w:t>median</w:t>
      </w:r>
      <w:r>
        <w:rPr>
          <w:spacing w:val="-5"/>
        </w:rPr>
        <w:t xml:space="preserve"> </w:t>
      </w:r>
      <w:r>
        <w:t>household</w:t>
      </w:r>
      <w:r>
        <w:rPr>
          <w:spacing w:val="-5"/>
        </w:rPr>
        <w:t xml:space="preserve"> </w:t>
      </w:r>
      <w:r>
        <w:t>income</w:t>
      </w:r>
      <w:r>
        <w:rPr>
          <w:spacing w:val="-5"/>
        </w:rPr>
        <w:t xml:space="preserve"> </w:t>
      </w:r>
      <w:r>
        <w:t>were</w:t>
      </w:r>
      <w:r>
        <w:rPr>
          <w:spacing w:val="-5"/>
        </w:rPr>
        <w:t xml:space="preserve"> </w:t>
      </w:r>
      <w:r>
        <w:t>used.</w:t>
      </w:r>
      <w:r>
        <w:rPr>
          <w:spacing w:val="-5"/>
        </w:rPr>
        <w:t xml:space="preserve"> </w:t>
      </w:r>
      <w:r>
        <w:t>(Median</w:t>
      </w:r>
      <w:r>
        <w:rPr>
          <w:spacing w:val="-5"/>
        </w:rPr>
        <w:t xml:space="preserve"> </w:t>
      </w:r>
      <w:r>
        <w:t>household</w:t>
      </w:r>
      <w:r>
        <w:rPr>
          <w:spacing w:val="-5"/>
        </w:rPr>
        <w:t xml:space="preserve"> </w:t>
      </w:r>
      <w:r>
        <w:t>income</w:t>
      </w:r>
      <w:r>
        <w:rPr>
          <w:spacing w:val="-5"/>
        </w:rPr>
        <w:t xml:space="preserve"> </w:t>
      </w:r>
      <w:r>
        <w:t>was</w:t>
      </w:r>
      <w:r>
        <w:rPr>
          <w:spacing w:val="-5"/>
        </w:rPr>
        <w:t xml:space="preserve"> </w:t>
      </w:r>
      <w:r>
        <w:t>based</w:t>
      </w:r>
      <w:r>
        <w:rPr>
          <w:spacing w:val="-5"/>
        </w:rPr>
        <w:t xml:space="preserve"> </w:t>
      </w:r>
      <w:r>
        <w:t>on</w:t>
      </w:r>
      <w:r>
        <w:rPr>
          <w:spacing w:val="-5"/>
        </w:rPr>
        <w:t xml:space="preserve"> </w:t>
      </w:r>
      <w:r>
        <w:t>the</w:t>
      </w:r>
      <w:r>
        <w:rPr>
          <w:spacing w:val="-5"/>
        </w:rPr>
        <w:t xml:space="preserve"> </w:t>
      </w:r>
      <w:r>
        <w:t>five-digit</w:t>
      </w:r>
      <w:r>
        <w:rPr>
          <w:spacing w:val="-5"/>
        </w:rPr>
        <w:t xml:space="preserve"> </w:t>
      </w:r>
      <w:r>
        <w:t>zip</w:t>
      </w:r>
      <w:r>
        <w:rPr>
          <w:spacing w:val="-5"/>
        </w:rPr>
        <w:t xml:space="preserve"> </w:t>
      </w:r>
      <w:r>
        <w:t>code area in which the school was located.)</w:t>
      </w:r>
      <w:r>
        <w:rPr>
          <w:spacing w:val="-3"/>
        </w:rPr>
        <w:t xml:space="preserve"> </w:t>
      </w:r>
      <w:r>
        <w:t>The achievement data consisted of various types of school-specific achievement measures from state assessment programs.</w:t>
      </w:r>
      <w:r>
        <w:rPr>
          <w:spacing w:val="-3"/>
        </w:rPr>
        <w:t xml:space="preserve"> </w:t>
      </w:r>
      <w:r>
        <w:t>The type of achievement</w:t>
      </w:r>
      <w:r>
        <w:rPr>
          <w:spacing w:val="-2"/>
        </w:rPr>
        <w:t xml:space="preserve"> </w:t>
      </w:r>
      <w:r>
        <w:t>data</w:t>
      </w:r>
      <w:r>
        <w:rPr>
          <w:spacing w:val="-2"/>
        </w:rPr>
        <w:t xml:space="preserve"> </w:t>
      </w:r>
      <w:r>
        <w:t>available</w:t>
      </w:r>
      <w:r>
        <w:rPr>
          <w:spacing w:val="-2"/>
        </w:rPr>
        <w:t xml:space="preserve"> </w:t>
      </w:r>
      <w:r>
        <w:t>varied</w:t>
      </w:r>
      <w:r>
        <w:rPr>
          <w:spacing w:val="-2"/>
        </w:rPr>
        <w:t xml:space="preserve"> </w:t>
      </w:r>
      <w:r>
        <w:t>by</w:t>
      </w:r>
      <w:r>
        <w:rPr>
          <w:spacing w:val="-2"/>
        </w:rPr>
        <w:t xml:space="preserve"> </w:t>
      </w:r>
      <w:r>
        <w:t>jurisdiction.</w:t>
      </w:r>
      <w:r>
        <w:rPr>
          <w:spacing w:val="-2"/>
        </w:rPr>
        <w:t xml:space="preserve"> </w:t>
      </w:r>
      <w:r>
        <w:t>For</w:t>
      </w:r>
      <w:r>
        <w:rPr>
          <w:spacing w:val="-2"/>
        </w:rPr>
        <w:t xml:space="preserve"> </w:t>
      </w:r>
      <w:r>
        <w:t>instance,</w:t>
      </w:r>
      <w:r>
        <w:rPr>
          <w:spacing w:val="-2"/>
        </w:rPr>
        <w:t xml:space="preserve"> </w:t>
      </w:r>
      <w:r>
        <w:t>in</w:t>
      </w:r>
      <w:r>
        <w:rPr>
          <w:spacing w:val="-2"/>
        </w:rPr>
        <w:t xml:space="preserve"> </w:t>
      </w:r>
      <w:r>
        <w:t>some</w:t>
      </w:r>
      <w:r>
        <w:rPr>
          <w:spacing w:val="-2"/>
        </w:rPr>
        <w:t xml:space="preserve"> </w:t>
      </w:r>
      <w:r>
        <w:t>states,</w:t>
      </w:r>
      <w:r>
        <w:rPr>
          <w:spacing w:val="-2"/>
        </w:rPr>
        <w:t xml:space="preserve"> </w:t>
      </w:r>
      <w:r>
        <w:t>the</w:t>
      </w:r>
      <w:r>
        <w:rPr>
          <w:spacing w:val="-2"/>
        </w:rPr>
        <w:t xml:space="preserve"> </w:t>
      </w:r>
      <w:r>
        <w:t>measure</w:t>
      </w:r>
      <w:r>
        <w:rPr>
          <w:spacing w:val="-2"/>
        </w:rPr>
        <w:t xml:space="preserve"> </w:t>
      </w:r>
      <w:r>
        <w:t>was</w:t>
      </w:r>
      <w:r>
        <w:rPr>
          <w:spacing w:val="-2"/>
        </w:rPr>
        <w:t xml:space="preserve"> </w:t>
      </w:r>
      <w:r>
        <w:t>the</w:t>
      </w:r>
      <w:r>
        <w:rPr>
          <w:spacing w:val="-2"/>
        </w:rPr>
        <w:t xml:space="preserve"> </w:t>
      </w:r>
      <w:r>
        <w:t>average</w:t>
      </w:r>
      <w:r>
        <w:rPr>
          <w:spacing w:val="-2"/>
        </w:rPr>
        <w:t xml:space="preserve"> </w:t>
      </w:r>
      <w:r>
        <w:t>score</w:t>
      </w:r>
      <w:r>
        <w:rPr>
          <w:spacing w:val="-2"/>
        </w:rPr>
        <w:t xml:space="preserve"> </w:t>
      </w:r>
      <w:r>
        <w:t>for</w:t>
      </w:r>
      <w:r>
        <w:rPr>
          <w:spacing w:val="-2"/>
        </w:rPr>
        <w:t xml:space="preserve"> </w:t>
      </w:r>
      <w:r>
        <w:t>a</w:t>
      </w:r>
      <w:r>
        <w:rPr>
          <w:spacing w:val="-2"/>
        </w:rPr>
        <w:t xml:space="preserve"> </w:t>
      </w:r>
      <w:r>
        <w:t>given</w:t>
      </w:r>
      <w:r>
        <w:rPr>
          <w:spacing w:val="-2"/>
        </w:rPr>
        <w:t xml:space="preserve"> </w:t>
      </w:r>
      <w:r>
        <w:t>state</w:t>
      </w:r>
      <w:r>
        <w:rPr>
          <w:spacing w:val="-2"/>
        </w:rPr>
        <w:t xml:space="preserve"> </w:t>
      </w:r>
      <w:r>
        <w:t>assessment.</w:t>
      </w:r>
      <w:r>
        <w:rPr>
          <w:spacing w:val="-2"/>
        </w:rPr>
        <w:t xml:space="preserve"> </w:t>
      </w:r>
      <w:r>
        <w:t>In</w:t>
      </w:r>
      <w:r>
        <w:rPr>
          <w:spacing w:val="-2"/>
        </w:rPr>
        <w:t xml:space="preserve"> </w:t>
      </w:r>
      <w:r>
        <w:t>other</w:t>
      </w:r>
      <w:r>
        <w:rPr>
          <w:spacing w:val="-2"/>
        </w:rPr>
        <w:t xml:space="preserve"> </w:t>
      </w:r>
      <w:r>
        <w:t>states,</w:t>
      </w:r>
      <w:r>
        <w:rPr>
          <w:spacing w:val="-2"/>
        </w:rPr>
        <w:t xml:space="preserve"> </w:t>
      </w:r>
      <w:r>
        <w:t>the</w:t>
      </w:r>
      <w:r>
        <w:rPr>
          <w:spacing w:val="-2"/>
        </w:rPr>
        <w:t xml:space="preserve"> </w:t>
      </w:r>
      <w:r>
        <w:t>measure</w:t>
      </w:r>
      <w:r>
        <w:rPr>
          <w:spacing w:val="-2"/>
        </w:rPr>
        <w:t xml:space="preserve"> </w:t>
      </w:r>
      <w:r>
        <w:t>was a percentile rank or percentage of students above a specific score. For Connecticut at grade 4, for example, we used the percentage of students in grade 4 who scored at or above the proficient level on the state mathematics test.</w:t>
      </w:r>
    </w:p>
    <w:p w:rsidR="003F5784" w14:paraId="07DE2AA3" w14:textId="77777777">
      <w:pPr>
        <w:pStyle w:val="BodyText"/>
        <w:spacing w:before="211" w:line="232" w:lineRule="auto"/>
        <w:ind w:left="109"/>
      </w:pPr>
      <w:r>
        <w:t>During frame development, not every record on the Common Core of Data (CCD) file matched the achievement data files created for the National Center for Education Statistics</w:t>
      </w:r>
      <w:r>
        <w:rPr>
          <w:spacing w:val="-1"/>
        </w:rPr>
        <w:t xml:space="preserve"> </w:t>
      </w:r>
      <w:r>
        <w:t>(NCES),</w:t>
      </w:r>
      <w:r>
        <w:rPr>
          <w:spacing w:val="-1"/>
        </w:rPr>
        <w:t xml:space="preserve"> </w:t>
      </w:r>
      <w:r>
        <w:t>even</w:t>
      </w:r>
      <w:r>
        <w:rPr>
          <w:spacing w:val="-1"/>
        </w:rPr>
        <w:t xml:space="preserve"> </w:t>
      </w:r>
      <w:r>
        <w:t>in</w:t>
      </w:r>
      <w:r>
        <w:rPr>
          <w:spacing w:val="-1"/>
        </w:rPr>
        <w:t xml:space="preserve"> </w:t>
      </w:r>
      <w:r>
        <w:t>jurisdictions</w:t>
      </w:r>
      <w:r>
        <w:rPr>
          <w:spacing w:val="-1"/>
        </w:rPr>
        <w:t xml:space="preserve"> </w:t>
      </w:r>
      <w:r>
        <w:t>where</w:t>
      </w:r>
      <w:r>
        <w:rPr>
          <w:spacing w:val="-1"/>
        </w:rPr>
        <w:t xml:space="preserve"> </w:t>
      </w:r>
      <w:r>
        <w:t>those</w:t>
      </w:r>
      <w:r>
        <w:rPr>
          <w:spacing w:val="-1"/>
        </w:rPr>
        <w:t xml:space="preserve"> </w:t>
      </w:r>
      <w:r>
        <w:t>data</w:t>
      </w:r>
      <w:r>
        <w:rPr>
          <w:spacing w:val="-1"/>
        </w:rPr>
        <w:t xml:space="preserve"> </w:t>
      </w:r>
      <w:r>
        <w:t>were</w:t>
      </w:r>
      <w:r>
        <w:rPr>
          <w:spacing w:val="-1"/>
        </w:rPr>
        <w:t xml:space="preserve"> </w:t>
      </w:r>
      <w:r>
        <w:t>generally</w:t>
      </w:r>
      <w:r>
        <w:rPr>
          <w:spacing w:val="-1"/>
        </w:rPr>
        <w:t xml:space="preserve"> </w:t>
      </w:r>
      <w:r>
        <w:t>available.</w:t>
      </w:r>
      <w:r>
        <w:rPr>
          <w:spacing w:val="-1"/>
        </w:rPr>
        <w:t xml:space="preserve"> </w:t>
      </w:r>
      <w:r>
        <w:t>For</w:t>
      </w:r>
      <w:r>
        <w:rPr>
          <w:spacing w:val="-1"/>
        </w:rPr>
        <w:t xml:space="preserve"> </w:t>
      </w:r>
      <w:r>
        <w:t>schools</w:t>
      </w:r>
      <w:r>
        <w:rPr>
          <w:spacing w:val="-1"/>
        </w:rPr>
        <w:t xml:space="preserve"> </w:t>
      </w:r>
      <w:r>
        <w:t>that</w:t>
      </w:r>
      <w:r>
        <w:rPr>
          <w:spacing w:val="-1"/>
        </w:rPr>
        <w:t xml:space="preserve"> </w:t>
      </w:r>
      <w:r>
        <w:t>did</w:t>
      </w:r>
      <w:r>
        <w:rPr>
          <w:spacing w:val="-1"/>
        </w:rPr>
        <w:t xml:space="preserve"> </w:t>
      </w:r>
      <w:r>
        <w:t>not</w:t>
      </w:r>
      <w:r>
        <w:rPr>
          <w:spacing w:val="-1"/>
        </w:rPr>
        <w:t xml:space="preserve"> </w:t>
      </w:r>
      <w:r>
        <w:t>match,</w:t>
      </w:r>
      <w:r>
        <w:rPr>
          <w:spacing w:val="-1"/>
        </w:rPr>
        <w:t xml:space="preserve"> </w:t>
      </w:r>
      <w:r>
        <w:t>their</w:t>
      </w:r>
      <w:r>
        <w:rPr>
          <w:spacing w:val="-1"/>
        </w:rPr>
        <w:t xml:space="preserve"> </w:t>
      </w:r>
      <w:r>
        <w:t>achievement</w:t>
      </w:r>
      <w:r>
        <w:rPr>
          <w:spacing w:val="-1"/>
        </w:rPr>
        <w:t xml:space="preserve"> </w:t>
      </w:r>
      <w:r>
        <w:t>scores</w:t>
      </w:r>
      <w:r>
        <w:rPr>
          <w:spacing w:val="-1"/>
        </w:rPr>
        <w:t xml:space="preserve"> </w:t>
      </w:r>
      <w:r>
        <w:t>were</w:t>
      </w:r>
      <w:r>
        <w:rPr>
          <w:spacing w:val="-1"/>
        </w:rPr>
        <w:t xml:space="preserve"> </w:t>
      </w:r>
      <w:r>
        <w:t>imputed</w:t>
      </w:r>
      <w:r>
        <w:rPr>
          <w:spacing w:val="-1"/>
        </w:rPr>
        <w:t xml:space="preserve"> </w:t>
      </w:r>
      <w:r>
        <w:t>by</w:t>
      </w:r>
      <w:r>
        <w:rPr>
          <w:spacing w:val="-1"/>
        </w:rPr>
        <w:t xml:space="preserve"> </w:t>
      </w:r>
      <w:r>
        <w:t>a</w:t>
      </w:r>
      <w:r>
        <w:rPr>
          <w:spacing w:val="-1"/>
        </w:rPr>
        <w:t xml:space="preserve"> </w:t>
      </w:r>
      <w:r>
        <w:t>mean</w:t>
      </w:r>
      <w:r>
        <w:rPr>
          <w:spacing w:val="-1"/>
        </w:rPr>
        <w:t xml:space="preserve"> </w:t>
      </w:r>
      <w:r>
        <w:t>matching imputation</w:t>
      </w:r>
      <w:r>
        <w:rPr>
          <w:spacing w:val="-8"/>
        </w:rPr>
        <w:t xml:space="preserve"> </w:t>
      </w:r>
      <w:r>
        <w:t>approach</w:t>
      </w:r>
      <w:r>
        <w:rPr>
          <w:spacing w:val="-8"/>
        </w:rPr>
        <w:t xml:space="preserve"> </w:t>
      </w:r>
      <w:r>
        <w:t>using</w:t>
      </w:r>
      <w:r>
        <w:rPr>
          <w:spacing w:val="-8"/>
        </w:rPr>
        <w:t xml:space="preserve"> </w:t>
      </w:r>
      <w:r>
        <w:t>the</w:t>
      </w:r>
      <w:r>
        <w:rPr>
          <w:spacing w:val="-8"/>
        </w:rPr>
        <w:t xml:space="preserve"> </w:t>
      </w:r>
      <w:r>
        <w:t>mean</w:t>
      </w:r>
      <w:r>
        <w:rPr>
          <w:spacing w:val="-8"/>
        </w:rPr>
        <w:t xml:space="preserve"> </w:t>
      </w:r>
      <w:r>
        <w:t>achievement</w:t>
      </w:r>
      <w:r>
        <w:rPr>
          <w:spacing w:val="-8"/>
        </w:rPr>
        <w:t xml:space="preserve"> </w:t>
      </w:r>
      <w:r>
        <w:t>score</w:t>
      </w:r>
      <w:r>
        <w:rPr>
          <w:spacing w:val="-8"/>
        </w:rPr>
        <w:t xml:space="preserve"> </w:t>
      </w:r>
      <w:r>
        <w:t>for</w:t>
      </w:r>
      <w:r>
        <w:rPr>
          <w:spacing w:val="-8"/>
        </w:rPr>
        <w:t xml:space="preserve"> </w:t>
      </w:r>
      <w:r>
        <w:t>schools</w:t>
      </w:r>
      <w:r>
        <w:rPr>
          <w:spacing w:val="-8"/>
        </w:rPr>
        <w:t xml:space="preserve"> </w:t>
      </w:r>
      <w:r>
        <w:t>with</w:t>
      </w:r>
      <w:r>
        <w:rPr>
          <w:spacing w:val="-8"/>
        </w:rPr>
        <w:t xml:space="preserve"> </w:t>
      </w:r>
      <w:r>
        <w:t>complete</w:t>
      </w:r>
      <w:r>
        <w:rPr>
          <w:spacing w:val="-8"/>
        </w:rPr>
        <w:t xml:space="preserve"> </w:t>
      </w:r>
      <w:r>
        <w:t>achievement</w:t>
      </w:r>
      <w:r>
        <w:rPr>
          <w:spacing w:val="-8"/>
        </w:rPr>
        <w:t xml:space="preserve"> </w:t>
      </w:r>
      <w:r>
        <w:t>data</w:t>
      </w:r>
      <w:r>
        <w:rPr>
          <w:spacing w:val="-8"/>
        </w:rPr>
        <w:t xml:space="preserve"> </w:t>
      </w:r>
      <w:r>
        <w:t>within</w:t>
      </w:r>
      <w:r>
        <w:rPr>
          <w:spacing w:val="-8"/>
        </w:rPr>
        <w:t xml:space="preserve"> </w:t>
      </w:r>
      <w:r>
        <w:t>the</w:t>
      </w:r>
      <w:r>
        <w:rPr>
          <w:spacing w:val="-8"/>
        </w:rPr>
        <w:t xml:space="preserve"> </w:t>
      </w:r>
      <w:r>
        <w:t>same</w:t>
      </w:r>
      <w:r>
        <w:rPr>
          <w:spacing w:val="-8"/>
        </w:rPr>
        <w:t xml:space="preserve"> </w:t>
      </w:r>
      <w:r>
        <w:t>jurisdiction-urbanicity-race/ethnicity</w:t>
      </w:r>
      <w:r>
        <w:rPr>
          <w:spacing w:val="-8"/>
        </w:rPr>
        <w:t xml:space="preserve"> </w:t>
      </w:r>
      <w:r>
        <w:t>stratum</w:t>
      </w:r>
      <w:r>
        <w:rPr>
          <w:spacing w:val="-8"/>
        </w:rPr>
        <w:t xml:space="preserve"> </w:t>
      </w:r>
      <w:r>
        <w:t>combination.</w:t>
      </w:r>
    </w:p>
    <w:p w:rsidR="003F5784" w14:paraId="71165FB1" w14:textId="77777777">
      <w:pPr>
        <w:spacing w:line="232" w:lineRule="auto"/>
        <w:sectPr>
          <w:pgSz w:w="15840" w:h="12240" w:orient="landscape"/>
          <w:pgMar w:top="480" w:right="440" w:bottom="460" w:left="460" w:header="284" w:footer="275" w:gutter="0"/>
          <w:cols w:space="720"/>
        </w:sectPr>
      </w:pPr>
    </w:p>
    <w:p w:rsidR="003F5784" w14:paraId="0261F726" w14:textId="77777777">
      <w:pPr>
        <w:pStyle w:val="Heading2"/>
        <w:spacing w:before="72"/>
        <w:ind w:left="109"/>
      </w:pPr>
      <w:r>
        <w:rPr>
          <w:spacing w:val="-2"/>
        </w:rPr>
        <w:t>Methodology</w:t>
      </w:r>
    </w:p>
    <w:p w:rsidR="003F5784" w14:paraId="03532B60" w14:textId="77777777">
      <w:pPr>
        <w:pStyle w:val="BodyText"/>
        <w:spacing w:before="208" w:line="232" w:lineRule="auto"/>
        <w:ind w:left="109" w:right="117"/>
      </w:pPr>
      <w:r>
        <w:t>To</w:t>
      </w:r>
      <w:r>
        <w:rPr>
          <w:spacing w:val="-7"/>
        </w:rPr>
        <w:t xml:space="preserve"> </w:t>
      </w:r>
      <w:r>
        <w:t>determine</w:t>
      </w:r>
      <w:r>
        <w:rPr>
          <w:spacing w:val="-7"/>
        </w:rPr>
        <w:t xml:space="preserve"> </w:t>
      </w:r>
      <w:r>
        <w:t>whether</w:t>
      </w:r>
      <w:r>
        <w:rPr>
          <w:spacing w:val="-7"/>
        </w:rPr>
        <w:t xml:space="preserve"> </w:t>
      </w:r>
      <w:r>
        <w:t>the</w:t>
      </w:r>
      <w:r>
        <w:rPr>
          <w:spacing w:val="-7"/>
        </w:rPr>
        <w:t xml:space="preserve"> </w:t>
      </w:r>
      <w:r>
        <w:t>distributions</w:t>
      </w:r>
      <w:r>
        <w:rPr>
          <w:spacing w:val="-7"/>
        </w:rPr>
        <w:t xml:space="preserve"> </w:t>
      </w:r>
      <w:r>
        <w:t>of</w:t>
      </w:r>
      <w:r>
        <w:rPr>
          <w:spacing w:val="-7"/>
        </w:rPr>
        <w:t xml:space="preserve"> </w:t>
      </w:r>
      <w:r>
        <w:t>schools</w:t>
      </w:r>
      <w:r>
        <w:rPr>
          <w:spacing w:val="-7"/>
        </w:rPr>
        <w:t xml:space="preserve"> </w:t>
      </w:r>
      <w:r>
        <w:t>by</w:t>
      </w:r>
      <w:r>
        <w:rPr>
          <w:spacing w:val="-7"/>
        </w:rPr>
        <w:t xml:space="preserve"> </w:t>
      </w:r>
      <w:r>
        <w:t>achievement</w:t>
      </w:r>
      <w:r>
        <w:rPr>
          <w:spacing w:val="-7"/>
        </w:rPr>
        <w:t xml:space="preserve"> </w:t>
      </w:r>
      <w:r>
        <w:t>measure</w:t>
      </w:r>
      <w:r>
        <w:rPr>
          <w:spacing w:val="-7"/>
        </w:rPr>
        <w:t xml:space="preserve"> </w:t>
      </w:r>
      <w:r>
        <w:t>between</w:t>
      </w:r>
      <w:r>
        <w:rPr>
          <w:spacing w:val="-7"/>
        </w:rPr>
        <w:t xml:space="preserve"> </w:t>
      </w:r>
      <w:r>
        <w:t>the</w:t>
      </w:r>
      <w:r>
        <w:rPr>
          <w:spacing w:val="-7"/>
        </w:rPr>
        <w:t xml:space="preserve"> </w:t>
      </w:r>
      <w:r>
        <w:t>frame</w:t>
      </w:r>
      <w:r>
        <w:rPr>
          <w:spacing w:val="-7"/>
        </w:rPr>
        <w:t xml:space="preserve"> </w:t>
      </w:r>
      <w:r>
        <w:t>and</w:t>
      </w:r>
      <w:r>
        <w:rPr>
          <w:spacing w:val="-7"/>
        </w:rPr>
        <w:t xml:space="preserve"> </w:t>
      </w:r>
      <w:r>
        <w:t>school</w:t>
      </w:r>
      <w:r>
        <w:rPr>
          <w:spacing w:val="-7"/>
        </w:rPr>
        <w:t xml:space="preserve"> </w:t>
      </w:r>
      <w:r>
        <w:t>sample</w:t>
      </w:r>
      <w:r>
        <w:rPr>
          <w:spacing w:val="-7"/>
        </w:rPr>
        <w:t xml:space="preserve"> </w:t>
      </w:r>
      <w:r>
        <w:t>were</w:t>
      </w:r>
      <w:r>
        <w:rPr>
          <w:spacing w:val="-7"/>
        </w:rPr>
        <w:t xml:space="preserve"> </w:t>
      </w:r>
      <w:r>
        <w:t>different,</w:t>
      </w:r>
      <w:r>
        <w:rPr>
          <w:spacing w:val="-7"/>
        </w:rPr>
        <w:t xml:space="preserve"> </w:t>
      </w:r>
      <w:r>
        <w:t>comparisons</w:t>
      </w:r>
      <w:r>
        <w:rPr>
          <w:spacing w:val="-7"/>
        </w:rPr>
        <w:t xml:space="preserve"> </w:t>
      </w:r>
      <w:r>
        <w:t>of</w:t>
      </w:r>
      <w:r>
        <w:rPr>
          <w:spacing w:val="-7"/>
        </w:rPr>
        <w:t xml:space="preserve"> </w:t>
      </w:r>
      <w:r>
        <w:t>percentile</w:t>
      </w:r>
      <w:r>
        <w:rPr>
          <w:spacing w:val="-7"/>
        </w:rPr>
        <w:t xml:space="preserve"> </w:t>
      </w:r>
      <w:r>
        <w:t>estimates</w:t>
      </w:r>
      <w:r>
        <w:rPr>
          <w:spacing w:val="-7"/>
        </w:rPr>
        <w:t xml:space="preserve"> </w:t>
      </w:r>
      <w:r>
        <w:t>were</w:t>
      </w:r>
      <w:r>
        <w:rPr>
          <w:spacing w:val="-7"/>
        </w:rPr>
        <w:t xml:space="preserve"> </w:t>
      </w:r>
      <w:r>
        <w:t>made for the 10th, 25th, 50th, 75th, and 90th percentile levels as well as the mean for each public school jurisdiction by grade. Frame and school sample estimates were considered statistically different if the frame value fell outside the 95 percent confidence interval of the corresponding sample estimate.</w:t>
      </w:r>
      <w:r>
        <w:rPr>
          <w:spacing w:val="-3"/>
        </w:rPr>
        <w:t xml:space="preserve"> </w:t>
      </w:r>
      <w:r>
        <w:t>The percentile values for the frames were calculated by weighting each school by the estimated number of students in the given grade.</w:t>
      </w:r>
      <w:r>
        <w:rPr>
          <w:spacing w:val="-3"/>
        </w:rPr>
        <w:t xml:space="preserve"> </w:t>
      </w:r>
      <w:r>
        <w:t>The percentile estimates for the school samples were calculated using school weights and weighted by the school measure of size (estimated number of students in the given grade).</w:t>
      </w:r>
      <w:r>
        <w:rPr>
          <w:spacing w:val="-3"/>
        </w:rPr>
        <w:t xml:space="preserve"> </w:t>
      </w:r>
      <w:r>
        <w:t>The 95 percent confidence intervals for the school sample estimates were</w:t>
      </w:r>
      <w:r>
        <w:rPr>
          <w:spacing w:val="-2"/>
        </w:rPr>
        <w:t xml:space="preserve"> </w:t>
      </w:r>
      <w:r>
        <w:t>calculated</w:t>
      </w:r>
      <w:r>
        <w:rPr>
          <w:spacing w:val="-2"/>
        </w:rPr>
        <w:t xml:space="preserve"> </w:t>
      </w:r>
      <w:r>
        <w:t>in</w:t>
      </w:r>
      <w:r>
        <w:rPr>
          <w:spacing w:val="-6"/>
        </w:rPr>
        <w:t xml:space="preserve"> </w:t>
      </w:r>
      <w:r>
        <w:t>WesVar—software</w:t>
      </w:r>
      <w:r>
        <w:rPr>
          <w:spacing w:val="-2"/>
        </w:rPr>
        <w:t xml:space="preserve"> </w:t>
      </w:r>
      <w:r>
        <w:t>for</w:t>
      </w:r>
      <w:r>
        <w:rPr>
          <w:spacing w:val="-2"/>
        </w:rPr>
        <w:t xml:space="preserve"> </w:t>
      </w:r>
      <w:r>
        <w:t>computing</w:t>
      </w:r>
      <w:r>
        <w:rPr>
          <w:spacing w:val="-2"/>
        </w:rPr>
        <w:t xml:space="preserve"> </w:t>
      </w:r>
      <w:r>
        <w:t>estimates</w:t>
      </w:r>
      <w:r>
        <w:rPr>
          <w:spacing w:val="-2"/>
        </w:rPr>
        <w:t xml:space="preserve"> </w:t>
      </w:r>
      <w:r>
        <w:t>of</w:t>
      </w:r>
      <w:r>
        <w:rPr>
          <w:spacing w:val="-2"/>
        </w:rPr>
        <w:t xml:space="preserve"> </w:t>
      </w:r>
      <w:r>
        <w:t>sampling</w:t>
      </w:r>
      <w:r>
        <w:rPr>
          <w:spacing w:val="-2"/>
        </w:rPr>
        <w:t xml:space="preserve"> </w:t>
      </w:r>
      <w:r>
        <w:t>variance</w:t>
      </w:r>
      <w:r>
        <w:rPr>
          <w:spacing w:val="-2"/>
        </w:rPr>
        <w:t xml:space="preserve"> </w:t>
      </w:r>
      <w:r>
        <w:t>from</w:t>
      </w:r>
      <w:r>
        <w:rPr>
          <w:spacing w:val="-2"/>
        </w:rPr>
        <w:t xml:space="preserve"> </w:t>
      </w:r>
      <w:r>
        <w:t>complex</w:t>
      </w:r>
      <w:r>
        <w:rPr>
          <w:spacing w:val="-2"/>
        </w:rPr>
        <w:t xml:space="preserve"> </w:t>
      </w:r>
      <w:r>
        <w:t>sample</w:t>
      </w:r>
      <w:r>
        <w:rPr>
          <w:spacing w:val="-2"/>
        </w:rPr>
        <w:t xml:space="preserve"> </w:t>
      </w:r>
      <w:r>
        <w:t>survey</w:t>
      </w:r>
      <w:r>
        <w:rPr>
          <w:spacing w:val="-2"/>
        </w:rPr>
        <w:t xml:space="preserve"> </w:t>
      </w:r>
      <w:r>
        <w:t>(Westat,</w:t>
      </w:r>
      <w:r>
        <w:rPr>
          <w:spacing w:val="-2"/>
        </w:rPr>
        <w:t xml:space="preserve"> </w:t>
      </w:r>
      <w:r>
        <w:t>2000b)—using</w:t>
      </w:r>
      <w:r>
        <w:rPr>
          <w:spacing w:val="-2"/>
        </w:rPr>
        <w:t xml:space="preserve"> </w:t>
      </w:r>
      <w:r>
        <w:t>the</w:t>
      </w:r>
      <w:r>
        <w:rPr>
          <w:spacing w:val="-6"/>
        </w:rPr>
        <w:t xml:space="preserve"> </w:t>
      </w:r>
      <w:r>
        <w:t>Woodruff</w:t>
      </w:r>
      <w:r>
        <w:rPr>
          <w:spacing w:val="-2"/>
        </w:rPr>
        <w:t xml:space="preserve"> </w:t>
      </w:r>
      <w:r>
        <w:t>method</w:t>
      </w:r>
      <w:r>
        <w:rPr>
          <w:spacing w:val="-2"/>
        </w:rPr>
        <w:t xml:space="preserve"> </w:t>
      </w:r>
      <w:r>
        <w:t>(Sarndal, Swensson, and Wretman 1992) with the use of a finite population correction factor.</w:t>
      </w:r>
    </w:p>
    <w:p w:rsidR="003F5784" w14:paraId="28B3A8B1" w14:textId="77777777">
      <w:pPr>
        <w:pStyle w:val="Heading2"/>
        <w:spacing w:before="205"/>
        <w:ind w:left="109"/>
      </w:pPr>
      <w:r>
        <w:rPr>
          <w:spacing w:val="-2"/>
        </w:rPr>
        <w:t>Results</w:t>
      </w:r>
    </w:p>
    <w:p w:rsidR="003F5784" w14:paraId="0F5B5C3A" w14:textId="77777777">
      <w:pPr>
        <w:pStyle w:val="BodyText"/>
        <w:spacing w:before="207" w:line="232" w:lineRule="auto"/>
        <w:ind w:left="109"/>
      </w:pPr>
      <w:r>
        <w:t>As mentioned above, sample and frame distributions of schools by achievement measure were determined to be different if at least one of the percentile estimates or the mean differed</w:t>
      </w:r>
      <w:r>
        <w:rPr>
          <w:spacing w:val="-6"/>
        </w:rPr>
        <w:t xml:space="preserve"> </w:t>
      </w:r>
      <w:r>
        <w:t>significantly</w:t>
      </w:r>
      <w:r>
        <w:rPr>
          <w:spacing w:val="-6"/>
        </w:rPr>
        <w:t xml:space="preserve"> </w:t>
      </w:r>
      <w:r>
        <w:t>at</w:t>
      </w:r>
      <w:r>
        <w:rPr>
          <w:spacing w:val="-6"/>
        </w:rPr>
        <w:t xml:space="preserve"> </w:t>
      </w:r>
      <w:r>
        <w:t>the</w:t>
      </w:r>
      <w:r>
        <w:rPr>
          <w:spacing w:val="-6"/>
        </w:rPr>
        <w:t xml:space="preserve"> </w:t>
      </w:r>
      <w:r>
        <w:t>95</w:t>
      </w:r>
      <w:r>
        <w:rPr>
          <w:spacing w:val="-6"/>
        </w:rPr>
        <w:t xml:space="preserve"> </w:t>
      </w:r>
      <w:r>
        <w:t>percent</w:t>
      </w:r>
      <w:r>
        <w:rPr>
          <w:spacing w:val="-6"/>
        </w:rPr>
        <w:t xml:space="preserve"> </w:t>
      </w:r>
      <w:r>
        <w:t>confidence</w:t>
      </w:r>
      <w:r>
        <w:rPr>
          <w:spacing w:val="-6"/>
        </w:rPr>
        <w:t xml:space="preserve"> </w:t>
      </w:r>
      <w:r>
        <w:t>level.</w:t>
      </w:r>
      <w:r>
        <w:rPr>
          <w:spacing w:val="-6"/>
        </w:rPr>
        <w:t xml:space="preserve"> </w:t>
      </w:r>
      <w:r>
        <w:t>Out</w:t>
      </w:r>
      <w:r>
        <w:rPr>
          <w:spacing w:val="-6"/>
        </w:rPr>
        <w:t xml:space="preserve"> </w:t>
      </w:r>
      <w:r>
        <w:t>of</w:t>
      </w:r>
      <w:r>
        <w:rPr>
          <w:spacing w:val="-6"/>
        </w:rPr>
        <w:t xml:space="preserve"> </w:t>
      </w:r>
      <w:r>
        <w:t>all</w:t>
      </w:r>
      <w:r>
        <w:rPr>
          <w:spacing w:val="-6"/>
        </w:rPr>
        <w:t xml:space="preserve"> </w:t>
      </w:r>
      <w:r>
        <w:t>the</w:t>
      </w:r>
      <w:r>
        <w:rPr>
          <w:spacing w:val="-6"/>
        </w:rPr>
        <w:t xml:space="preserve"> </w:t>
      </w:r>
      <w:r>
        <w:t>jurisdiction</w:t>
      </w:r>
      <w:r>
        <w:rPr>
          <w:spacing w:val="-6"/>
        </w:rPr>
        <w:t xml:space="preserve"> </w:t>
      </w:r>
      <w:r>
        <w:t>and</w:t>
      </w:r>
      <w:r>
        <w:rPr>
          <w:spacing w:val="-6"/>
        </w:rPr>
        <w:t xml:space="preserve"> </w:t>
      </w:r>
      <w:r>
        <w:t>grade</w:t>
      </w:r>
      <w:r>
        <w:rPr>
          <w:spacing w:val="-6"/>
        </w:rPr>
        <w:t xml:space="preserve"> </w:t>
      </w:r>
      <w:r>
        <w:t>comparisons</w:t>
      </w:r>
      <w:r>
        <w:rPr>
          <w:spacing w:val="-6"/>
        </w:rPr>
        <w:t xml:space="preserve"> </w:t>
      </w:r>
      <w:r>
        <w:t>(excluding</w:t>
      </w:r>
      <w:r>
        <w:rPr>
          <w:spacing w:val="-6"/>
        </w:rPr>
        <w:t xml:space="preserve"> </w:t>
      </w:r>
      <w:r>
        <w:t>jurisdictions</w:t>
      </w:r>
      <w:r>
        <w:rPr>
          <w:spacing w:val="-6"/>
        </w:rPr>
        <w:t xml:space="preserve"> </w:t>
      </w:r>
      <w:r>
        <w:t>where</w:t>
      </w:r>
      <w:r>
        <w:rPr>
          <w:spacing w:val="-6"/>
        </w:rPr>
        <w:t xml:space="preserve"> </w:t>
      </w:r>
      <w:r>
        <w:t>all</w:t>
      </w:r>
      <w:r>
        <w:rPr>
          <w:spacing w:val="-6"/>
        </w:rPr>
        <w:t xml:space="preserve"> </w:t>
      </w:r>
      <w:r>
        <w:t>schools</w:t>
      </w:r>
      <w:r>
        <w:rPr>
          <w:spacing w:val="-6"/>
        </w:rPr>
        <w:t xml:space="preserve"> </w:t>
      </w:r>
      <w:r>
        <w:t>in</w:t>
      </w:r>
      <w:r>
        <w:rPr>
          <w:spacing w:val="-6"/>
        </w:rPr>
        <w:t xml:space="preserve"> </w:t>
      </w:r>
      <w:r>
        <w:t>the</w:t>
      </w:r>
      <w:r>
        <w:rPr>
          <w:spacing w:val="-6"/>
        </w:rPr>
        <w:t xml:space="preserve"> </w:t>
      </w:r>
      <w:r>
        <w:t>frame</w:t>
      </w:r>
      <w:r>
        <w:rPr>
          <w:spacing w:val="-6"/>
        </w:rPr>
        <w:t xml:space="preserve"> </w:t>
      </w:r>
      <w:r>
        <w:t>were</w:t>
      </w:r>
      <w:r>
        <w:rPr>
          <w:spacing w:val="-6"/>
        </w:rPr>
        <w:t xml:space="preserve"> </w:t>
      </w:r>
      <w:r>
        <w:t>selected), only 64 of the 876 distributions compared were found to be significantly different.</w:t>
      </w:r>
      <w:r>
        <w:rPr>
          <w:spacing w:val="-2"/>
        </w:rPr>
        <w:t xml:space="preserve"> </w:t>
      </w:r>
      <w:r>
        <w:t>They are shown in the table below.</w:t>
      </w:r>
    </w:p>
    <w:p w:rsidR="003F5784" w14:paraId="3EEDC54F" w14:textId="77777777">
      <w:pPr>
        <w:pStyle w:val="BodyText"/>
        <w:spacing w:before="99"/>
      </w:pPr>
    </w:p>
    <w:p w:rsidR="003F5784" w14:paraId="42B72FEE" w14:textId="77777777">
      <w:pPr>
        <w:pStyle w:val="Heading2"/>
        <w:spacing w:line="232" w:lineRule="auto"/>
        <w:ind w:right="1264"/>
      </w:pPr>
      <w:r>
        <w:t>Summary</w:t>
      </w:r>
      <w:r>
        <w:rPr>
          <w:spacing w:val="-8"/>
        </w:rPr>
        <w:t xml:space="preserve"> </w:t>
      </w:r>
      <w:r>
        <w:t>of</w:t>
      </w:r>
      <w:r>
        <w:rPr>
          <w:spacing w:val="-8"/>
        </w:rPr>
        <w:t xml:space="preserve"> </w:t>
      </w:r>
      <w:r>
        <w:t>significant</w:t>
      </w:r>
      <w:r>
        <w:rPr>
          <w:spacing w:val="-8"/>
        </w:rPr>
        <w:t xml:space="preserve"> </w:t>
      </w:r>
      <w:r>
        <w:t>differences</w:t>
      </w:r>
      <w:r>
        <w:rPr>
          <w:spacing w:val="-8"/>
        </w:rPr>
        <w:t xml:space="preserve"> </w:t>
      </w:r>
      <w:r>
        <w:t>in</w:t>
      </w:r>
      <w:r>
        <w:rPr>
          <w:spacing w:val="-8"/>
        </w:rPr>
        <w:t xml:space="preserve"> </w:t>
      </w:r>
      <w:r>
        <w:t>achievement</w:t>
      </w:r>
      <w:r>
        <w:rPr>
          <w:spacing w:val="-8"/>
        </w:rPr>
        <w:t xml:space="preserve"> </w:t>
      </w:r>
      <w:r>
        <w:t>measures</w:t>
      </w:r>
      <w:r>
        <w:rPr>
          <w:spacing w:val="-8"/>
        </w:rPr>
        <w:t xml:space="preserve"> </w:t>
      </w:r>
      <w:r>
        <w:t>(median</w:t>
      </w:r>
      <w:r>
        <w:rPr>
          <w:spacing w:val="-8"/>
        </w:rPr>
        <w:t xml:space="preserve"> </w:t>
      </w:r>
      <w:r>
        <w:t>income)</w:t>
      </w:r>
      <w:r>
        <w:rPr>
          <w:spacing w:val="-8"/>
        </w:rPr>
        <w:t xml:space="preserve"> </w:t>
      </w:r>
      <w:r>
        <w:t>between</w:t>
      </w:r>
      <w:r>
        <w:rPr>
          <w:spacing w:val="-8"/>
        </w:rPr>
        <w:t xml:space="preserve"> </w:t>
      </w:r>
      <w:r>
        <w:t>the</w:t>
      </w:r>
      <w:r>
        <w:rPr>
          <w:spacing w:val="-8"/>
        </w:rPr>
        <w:t xml:space="preserve"> </w:t>
      </w:r>
      <w:r>
        <w:t>sample</w:t>
      </w:r>
      <w:r>
        <w:rPr>
          <w:spacing w:val="-8"/>
        </w:rPr>
        <w:t xml:space="preserve"> </w:t>
      </w:r>
      <w:r>
        <w:t>and</w:t>
      </w:r>
      <w:r>
        <w:rPr>
          <w:spacing w:val="-8"/>
        </w:rPr>
        <w:t xml:space="preserve"> </w:t>
      </w:r>
      <w:r>
        <w:t>the</w:t>
      </w:r>
      <w:r>
        <w:rPr>
          <w:spacing w:val="-8"/>
        </w:rPr>
        <w:t xml:space="preserve"> </w:t>
      </w:r>
      <w:r>
        <w:t>frame,</w:t>
      </w:r>
      <w:r>
        <w:rPr>
          <w:spacing w:val="-8"/>
        </w:rPr>
        <w:t xml:space="preserve"> </w:t>
      </w:r>
      <w:r>
        <w:t>state</w:t>
      </w:r>
      <w:r>
        <w:rPr>
          <w:spacing w:val="-8"/>
        </w:rPr>
        <w:t xml:space="preserve"> </w:t>
      </w:r>
      <w:r>
        <w:t>assessment,</w:t>
      </w:r>
      <w:r>
        <w:rPr>
          <w:spacing w:val="-8"/>
        </w:rPr>
        <w:t xml:space="preserve"> </w:t>
      </w:r>
      <w:r>
        <w:t>by</w:t>
      </w:r>
      <w:r>
        <w:rPr>
          <w:spacing w:val="-8"/>
        </w:rPr>
        <w:t xml:space="preserve"> </w:t>
      </w:r>
      <w:r>
        <w:t>grade</w:t>
      </w:r>
      <w:r>
        <w:rPr>
          <w:spacing w:val="-8"/>
        </w:rPr>
        <w:t xml:space="preserve"> </w:t>
      </w:r>
      <w:r>
        <w:t>and jurisdiction: 2022</w:t>
      </w:r>
    </w:p>
    <w:p w:rsidR="003F5784" w14:paraId="08B69B33" w14:textId="77777777">
      <w:pPr>
        <w:pStyle w:val="BodyText"/>
        <w:spacing w:after="1"/>
        <w:rPr>
          <w:b/>
          <w:sz w:val="12"/>
        </w:rPr>
      </w:pPr>
    </w:p>
    <w:tbl>
      <w:tblPr>
        <w:tblW w:w="0" w:type="auto"/>
        <w:tblInd w:w="482" w:type="dxa"/>
        <w:tblLayout w:type="fixed"/>
        <w:tblCellMar>
          <w:left w:w="0" w:type="dxa"/>
          <w:right w:w="0" w:type="dxa"/>
        </w:tblCellMar>
        <w:tblLook w:val="01E0"/>
      </w:tblPr>
      <w:tblGrid>
        <w:gridCol w:w="1042"/>
        <w:gridCol w:w="3004"/>
        <w:gridCol w:w="2569"/>
        <w:gridCol w:w="2059"/>
        <w:gridCol w:w="1792"/>
        <w:gridCol w:w="1438"/>
        <w:gridCol w:w="2077"/>
      </w:tblGrid>
      <w:tr w14:paraId="52FF2492" w14:textId="77777777">
        <w:tblPrEx>
          <w:tblW w:w="0" w:type="auto"/>
          <w:tblInd w:w="482" w:type="dxa"/>
          <w:tblLayout w:type="fixed"/>
          <w:tblCellMar>
            <w:left w:w="0" w:type="dxa"/>
            <w:right w:w="0" w:type="dxa"/>
          </w:tblCellMar>
          <w:tblLook w:val="01E0"/>
        </w:tblPrEx>
        <w:trPr>
          <w:trHeight w:val="502"/>
        </w:trPr>
        <w:tc>
          <w:tcPr>
            <w:tcW w:w="1042" w:type="dxa"/>
            <w:tcBorders>
              <w:top w:val="single" w:sz="18" w:space="0" w:color="800000"/>
              <w:bottom w:val="single" w:sz="18" w:space="0" w:color="800000"/>
            </w:tcBorders>
          </w:tcPr>
          <w:p w:rsidR="003F5784" w14:paraId="606CAFEB" w14:textId="77777777">
            <w:pPr>
              <w:pStyle w:val="TableParagraph"/>
              <w:spacing w:before="2"/>
              <w:jc w:val="left"/>
              <w:rPr>
                <w:b/>
                <w:sz w:val="21"/>
              </w:rPr>
            </w:pPr>
          </w:p>
          <w:p w:rsidR="003F5784" w14:paraId="44A5B3A5" w14:textId="77777777">
            <w:pPr>
              <w:pStyle w:val="TableParagraph"/>
              <w:spacing w:before="0" w:line="238" w:lineRule="exact"/>
              <w:ind w:left="120"/>
              <w:jc w:val="left"/>
              <w:rPr>
                <w:sz w:val="21"/>
              </w:rPr>
            </w:pPr>
            <w:r>
              <w:rPr>
                <w:spacing w:val="-2"/>
                <w:sz w:val="21"/>
              </w:rPr>
              <w:t>Grade</w:t>
            </w:r>
          </w:p>
        </w:tc>
        <w:tc>
          <w:tcPr>
            <w:tcW w:w="3004" w:type="dxa"/>
            <w:tcBorders>
              <w:top w:val="single" w:sz="18" w:space="0" w:color="800000"/>
              <w:bottom w:val="single" w:sz="18" w:space="0" w:color="800000"/>
            </w:tcBorders>
          </w:tcPr>
          <w:p w:rsidR="003F5784" w14:paraId="23E9A2A6" w14:textId="77777777">
            <w:pPr>
              <w:pStyle w:val="TableParagraph"/>
              <w:spacing w:before="2"/>
              <w:jc w:val="left"/>
              <w:rPr>
                <w:b/>
                <w:sz w:val="21"/>
              </w:rPr>
            </w:pPr>
          </w:p>
          <w:p w:rsidR="003F5784" w14:paraId="55118EBF" w14:textId="77777777">
            <w:pPr>
              <w:pStyle w:val="TableParagraph"/>
              <w:spacing w:before="0" w:line="238" w:lineRule="exact"/>
              <w:ind w:left="411"/>
              <w:jc w:val="left"/>
              <w:rPr>
                <w:sz w:val="21"/>
              </w:rPr>
            </w:pPr>
            <w:r>
              <w:rPr>
                <w:spacing w:val="-2"/>
                <w:sz w:val="21"/>
              </w:rPr>
              <w:t>Jurisdiction</w:t>
            </w:r>
          </w:p>
        </w:tc>
        <w:tc>
          <w:tcPr>
            <w:tcW w:w="2569" w:type="dxa"/>
            <w:tcBorders>
              <w:top w:val="single" w:sz="18" w:space="0" w:color="800000"/>
              <w:bottom w:val="single" w:sz="18" w:space="0" w:color="800000"/>
            </w:tcBorders>
          </w:tcPr>
          <w:p w:rsidR="003F5784" w14:paraId="1D9E2A6D" w14:textId="77777777">
            <w:pPr>
              <w:pStyle w:val="TableParagraph"/>
              <w:spacing w:before="14" w:line="234" w:lineRule="exact"/>
              <w:ind w:left="980" w:right="300" w:hanging="342"/>
              <w:jc w:val="left"/>
              <w:rPr>
                <w:sz w:val="21"/>
              </w:rPr>
            </w:pPr>
            <w:r>
              <w:rPr>
                <w:sz w:val="21"/>
              </w:rPr>
              <w:t>Achievement</w:t>
            </w:r>
            <w:r>
              <w:rPr>
                <w:spacing w:val="-14"/>
                <w:sz w:val="21"/>
              </w:rPr>
              <w:t xml:space="preserve"> </w:t>
            </w:r>
            <w:r>
              <w:rPr>
                <w:sz w:val="21"/>
              </w:rPr>
              <w:t>data</w:t>
            </w:r>
            <w:r>
              <w:rPr>
                <w:spacing w:val="-13"/>
                <w:sz w:val="21"/>
              </w:rPr>
              <w:t xml:space="preserve"> </w:t>
            </w:r>
            <w:r>
              <w:rPr>
                <w:sz w:val="21"/>
              </w:rPr>
              <w:t>/ median</w:t>
            </w:r>
            <w:r>
              <w:rPr>
                <w:spacing w:val="-8"/>
                <w:sz w:val="21"/>
              </w:rPr>
              <w:t xml:space="preserve"> </w:t>
            </w:r>
            <w:r>
              <w:rPr>
                <w:spacing w:val="-2"/>
                <w:sz w:val="21"/>
              </w:rPr>
              <w:t>income</w:t>
            </w:r>
          </w:p>
        </w:tc>
        <w:tc>
          <w:tcPr>
            <w:tcW w:w="2059" w:type="dxa"/>
            <w:tcBorders>
              <w:top w:val="single" w:sz="18" w:space="0" w:color="800000"/>
              <w:bottom w:val="single" w:sz="18" w:space="0" w:color="800000"/>
            </w:tcBorders>
          </w:tcPr>
          <w:p w:rsidR="003F5784" w14:paraId="57CE66CC" w14:textId="77777777">
            <w:pPr>
              <w:pStyle w:val="TableParagraph"/>
              <w:spacing w:before="2"/>
              <w:jc w:val="left"/>
              <w:rPr>
                <w:b/>
                <w:sz w:val="21"/>
              </w:rPr>
            </w:pPr>
          </w:p>
          <w:p w:rsidR="003F5784" w14:paraId="244A79BA" w14:textId="77777777">
            <w:pPr>
              <w:pStyle w:val="TableParagraph"/>
              <w:spacing w:before="0" w:line="238" w:lineRule="exact"/>
              <w:ind w:right="502"/>
              <w:rPr>
                <w:sz w:val="21"/>
              </w:rPr>
            </w:pPr>
            <w:r>
              <w:rPr>
                <w:spacing w:val="-2"/>
                <w:sz w:val="21"/>
              </w:rPr>
              <w:t>Estimate</w:t>
            </w:r>
          </w:p>
        </w:tc>
        <w:tc>
          <w:tcPr>
            <w:tcW w:w="1792" w:type="dxa"/>
            <w:tcBorders>
              <w:top w:val="single" w:sz="18" w:space="0" w:color="800000"/>
              <w:bottom w:val="single" w:sz="18" w:space="0" w:color="800000"/>
            </w:tcBorders>
          </w:tcPr>
          <w:p w:rsidR="003F5784" w14:paraId="582C9156" w14:textId="77777777">
            <w:pPr>
              <w:pStyle w:val="TableParagraph"/>
              <w:spacing w:before="2"/>
              <w:jc w:val="left"/>
              <w:rPr>
                <w:b/>
                <w:sz w:val="21"/>
              </w:rPr>
            </w:pPr>
          </w:p>
          <w:p w:rsidR="003F5784" w14:paraId="40D075FF" w14:textId="77777777">
            <w:pPr>
              <w:pStyle w:val="TableParagraph"/>
              <w:spacing w:before="0" w:line="238" w:lineRule="exact"/>
              <w:ind w:right="501"/>
              <w:rPr>
                <w:sz w:val="21"/>
              </w:rPr>
            </w:pPr>
            <w:r>
              <w:rPr>
                <w:spacing w:val="-2"/>
                <w:sz w:val="21"/>
              </w:rPr>
              <w:t>Frame</w:t>
            </w:r>
          </w:p>
        </w:tc>
        <w:tc>
          <w:tcPr>
            <w:tcW w:w="1438" w:type="dxa"/>
            <w:tcBorders>
              <w:top w:val="single" w:sz="18" w:space="0" w:color="800000"/>
              <w:bottom w:val="single" w:sz="18" w:space="0" w:color="800000"/>
            </w:tcBorders>
          </w:tcPr>
          <w:p w:rsidR="003F5784" w14:paraId="184B84BE" w14:textId="77777777">
            <w:pPr>
              <w:pStyle w:val="TableParagraph"/>
              <w:spacing w:before="2"/>
              <w:jc w:val="left"/>
              <w:rPr>
                <w:b/>
                <w:sz w:val="21"/>
              </w:rPr>
            </w:pPr>
          </w:p>
          <w:p w:rsidR="003F5784" w14:paraId="24301CFB" w14:textId="77777777">
            <w:pPr>
              <w:pStyle w:val="TableParagraph"/>
              <w:spacing w:before="0" w:line="238" w:lineRule="exact"/>
              <w:ind w:right="146"/>
              <w:rPr>
                <w:sz w:val="21"/>
              </w:rPr>
            </w:pPr>
            <w:r>
              <w:rPr>
                <w:spacing w:val="-2"/>
                <w:sz w:val="21"/>
              </w:rPr>
              <w:t>Sample</w:t>
            </w:r>
          </w:p>
        </w:tc>
        <w:tc>
          <w:tcPr>
            <w:tcW w:w="2077" w:type="dxa"/>
            <w:tcBorders>
              <w:top w:val="single" w:sz="18" w:space="0" w:color="800000"/>
              <w:bottom w:val="single" w:sz="18" w:space="0" w:color="800000"/>
            </w:tcBorders>
          </w:tcPr>
          <w:p w:rsidR="003F5784" w14:paraId="64D48640" w14:textId="77777777">
            <w:pPr>
              <w:pStyle w:val="TableParagraph"/>
              <w:spacing w:before="2"/>
              <w:jc w:val="left"/>
              <w:rPr>
                <w:b/>
                <w:sz w:val="21"/>
              </w:rPr>
            </w:pPr>
          </w:p>
          <w:p w:rsidR="003F5784" w14:paraId="482F2083" w14:textId="77777777">
            <w:pPr>
              <w:pStyle w:val="TableParagraph"/>
              <w:spacing w:before="0" w:line="238" w:lineRule="exact"/>
              <w:ind w:right="114"/>
              <w:rPr>
                <w:sz w:val="21"/>
              </w:rPr>
            </w:pPr>
            <w:r>
              <w:rPr>
                <w:sz w:val="21"/>
              </w:rPr>
              <w:t>Confidence</w:t>
            </w:r>
            <w:r>
              <w:rPr>
                <w:spacing w:val="-11"/>
                <w:sz w:val="21"/>
              </w:rPr>
              <w:t xml:space="preserve"> </w:t>
            </w:r>
            <w:r>
              <w:rPr>
                <w:spacing w:val="-2"/>
                <w:sz w:val="21"/>
              </w:rPr>
              <w:t>interval</w:t>
            </w:r>
          </w:p>
        </w:tc>
      </w:tr>
      <w:tr w14:paraId="4BA78630" w14:textId="77777777">
        <w:tblPrEx>
          <w:tblW w:w="0" w:type="auto"/>
          <w:tblInd w:w="482" w:type="dxa"/>
          <w:tblLayout w:type="fixed"/>
          <w:tblCellMar>
            <w:left w:w="0" w:type="dxa"/>
            <w:right w:w="0" w:type="dxa"/>
          </w:tblCellMar>
          <w:tblLook w:val="01E0"/>
        </w:tblPrEx>
        <w:trPr>
          <w:trHeight w:val="278"/>
        </w:trPr>
        <w:tc>
          <w:tcPr>
            <w:tcW w:w="1042" w:type="dxa"/>
            <w:tcBorders>
              <w:top w:val="single" w:sz="18" w:space="0" w:color="800000"/>
            </w:tcBorders>
          </w:tcPr>
          <w:p w:rsidR="003F5784" w14:paraId="212ACCDB" w14:textId="77777777">
            <w:pPr>
              <w:pStyle w:val="TableParagraph"/>
              <w:spacing w:before="9"/>
              <w:ind w:left="120"/>
              <w:jc w:val="left"/>
              <w:rPr>
                <w:sz w:val="21"/>
              </w:rPr>
            </w:pPr>
            <w:r>
              <w:rPr>
                <w:spacing w:val="-10"/>
                <w:sz w:val="21"/>
              </w:rPr>
              <w:t>4</w:t>
            </w:r>
          </w:p>
        </w:tc>
        <w:tc>
          <w:tcPr>
            <w:tcW w:w="3004" w:type="dxa"/>
            <w:tcBorders>
              <w:top w:val="single" w:sz="18" w:space="0" w:color="800000"/>
            </w:tcBorders>
          </w:tcPr>
          <w:p w:rsidR="003F5784" w14:paraId="0201C2E8" w14:textId="77777777">
            <w:pPr>
              <w:pStyle w:val="TableParagraph"/>
              <w:spacing w:before="9"/>
              <w:ind w:left="411"/>
              <w:jc w:val="left"/>
              <w:rPr>
                <w:sz w:val="21"/>
              </w:rPr>
            </w:pPr>
            <w:r>
              <w:rPr>
                <w:spacing w:val="-2"/>
                <w:sz w:val="21"/>
              </w:rPr>
              <w:t>Illinois</w:t>
            </w:r>
          </w:p>
        </w:tc>
        <w:tc>
          <w:tcPr>
            <w:tcW w:w="2569" w:type="dxa"/>
            <w:tcBorders>
              <w:top w:val="single" w:sz="18" w:space="0" w:color="800000"/>
            </w:tcBorders>
          </w:tcPr>
          <w:p w:rsidR="003F5784" w14:paraId="189EED7D" w14:textId="77777777">
            <w:pPr>
              <w:pStyle w:val="TableParagraph"/>
              <w:spacing w:before="9"/>
              <w:ind w:right="307"/>
              <w:rPr>
                <w:sz w:val="21"/>
              </w:rPr>
            </w:pPr>
            <w:r>
              <w:rPr>
                <w:sz w:val="21"/>
              </w:rPr>
              <w:t>Achievement</w:t>
            </w:r>
            <w:r>
              <w:rPr>
                <w:spacing w:val="-13"/>
                <w:sz w:val="21"/>
              </w:rPr>
              <w:t xml:space="preserve"> </w:t>
            </w:r>
            <w:r>
              <w:rPr>
                <w:spacing w:val="-4"/>
                <w:sz w:val="21"/>
              </w:rPr>
              <w:t>data</w:t>
            </w:r>
          </w:p>
        </w:tc>
        <w:tc>
          <w:tcPr>
            <w:tcW w:w="2059" w:type="dxa"/>
            <w:tcBorders>
              <w:top w:val="single" w:sz="18" w:space="0" w:color="800000"/>
            </w:tcBorders>
          </w:tcPr>
          <w:p w:rsidR="003F5784" w14:paraId="24099886" w14:textId="77777777">
            <w:pPr>
              <w:pStyle w:val="TableParagraph"/>
              <w:spacing w:before="9"/>
              <w:ind w:right="502"/>
              <w:rPr>
                <w:sz w:val="21"/>
              </w:rPr>
            </w:pPr>
            <w:r>
              <w:rPr>
                <w:sz w:val="21"/>
              </w:rPr>
              <w:t>10th</w:t>
            </w:r>
            <w:r>
              <w:rPr>
                <w:spacing w:val="-5"/>
                <w:sz w:val="21"/>
              </w:rPr>
              <w:t xml:space="preserve"> </w:t>
            </w:r>
            <w:r>
              <w:rPr>
                <w:spacing w:val="-2"/>
                <w:sz w:val="21"/>
              </w:rPr>
              <w:t>percentile</w:t>
            </w:r>
          </w:p>
        </w:tc>
        <w:tc>
          <w:tcPr>
            <w:tcW w:w="1792" w:type="dxa"/>
            <w:tcBorders>
              <w:top w:val="single" w:sz="18" w:space="0" w:color="800000"/>
            </w:tcBorders>
          </w:tcPr>
          <w:p w:rsidR="003F5784" w14:paraId="1F2D1B6F" w14:textId="77777777">
            <w:pPr>
              <w:pStyle w:val="TableParagraph"/>
              <w:spacing w:before="9"/>
              <w:ind w:right="501"/>
              <w:rPr>
                <w:sz w:val="21"/>
              </w:rPr>
            </w:pPr>
            <w:r>
              <w:rPr>
                <w:spacing w:val="-4"/>
                <w:sz w:val="21"/>
              </w:rPr>
              <w:t>9.80</w:t>
            </w:r>
          </w:p>
        </w:tc>
        <w:tc>
          <w:tcPr>
            <w:tcW w:w="1438" w:type="dxa"/>
            <w:tcBorders>
              <w:top w:val="single" w:sz="18" w:space="0" w:color="800000"/>
            </w:tcBorders>
          </w:tcPr>
          <w:p w:rsidR="003F5784" w14:paraId="20822121" w14:textId="77777777">
            <w:pPr>
              <w:pStyle w:val="TableParagraph"/>
              <w:spacing w:before="9"/>
              <w:ind w:right="146"/>
              <w:rPr>
                <w:sz w:val="21"/>
              </w:rPr>
            </w:pPr>
            <w:r>
              <w:rPr>
                <w:spacing w:val="-4"/>
                <w:sz w:val="21"/>
              </w:rPr>
              <w:t>6.74</w:t>
            </w:r>
          </w:p>
        </w:tc>
        <w:tc>
          <w:tcPr>
            <w:tcW w:w="2077" w:type="dxa"/>
            <w:tcBorders>
              <w:top w:val="single" w:sz="18" w:space="0" w:color="800000"/>
            </w:tcBorders>
          </w:tcPr>
          <w:p w:rsidR="003F5784" w14:paraId="3B3DC47B" w14:textId="77777777">
            <w:pPr>
              <w:pStyle w:val="TableParagraph"/>
              <w:spacing w:before="9"/>
              <w:ind w:right="114"/>
              <w:rPr>
                <w:sz w:val="21"/>
              </w:rPr>
            </w:pPr>
            <w:r>
              <w:rPr>
                <w:sz w:val="21"/>
              </w:rPr>
              <w:t>(5.97,</w:t>
            </w:r>
            <w:r>
              <w:rPr>
                <w:spacing w:val="-6"/>
                <w:sz w:val="21"/>
              </w:rPr>
              <w:t xml:space="preserve"> </w:t>
            </w:r>
            <w:r>
              <w:rPr>
                <w:spacing w:val="-2"/>
                <w:sz w:val="21"/>
              </w:rPr>
              <w:t>9.52)</w:t>
            </w:r>
          </w:p>
        </w:tc>
      </w:tr>
      <w:tr w14:paraId="39B6C619" w14:textId="77777777">
        <w:tblPrEx>
          <w:tblW w:w="0" w:type="auto"/>
          <w:tblInd w:w="482" w:type="dxa"/>
          <w:tblLayout w:type="fixed"/>
          <w:tblCellMar>
            <w:left w:w="0" w:type="dxa"/>
            <w:right w:w="0" w:type="dxa"/>
          </w:tblCellMar>
          <w:tblLook w:val="01E0"/>
        </w:tblPrEx>
        <w:trPr>
          <w:trHeight w:val="286"/>
        </w:trPr>
        <w:tc>
          <w:tcPr>
            <w:tcW w:w="1042" w:type="dxa"/>
          </w:tcPr>
          <w:p w:rsidR="003F5784" w14:paraId="74D3C1AA" w14:textId="77777777">
            <w:pPr>
              <w:pStyle w:val="TableParagraph"/>
              <w:spacing w:before="0"/>
              <w:jc w:val="left"/>
              <w:rPr>
                <w:sz w:val="20"/>
              </w:rPr>
            </w:pPr>
          </w:p>
        </w:tc>
        <w:tc>
          <w:tcPr>
            <w:tcW w:w="3004" w:type="dxa"/>
          </w:tcPr>
          <w:p w:rsidR="003F5784" w14:paraId="7AB99BFA" w14:textId="77777777">
            <w:pPr>
              <w:pStyle w:val="TableParagraph"/>
              <w:ind w:left="411"/>
              <w:jc w:val="left"/>
              <w:rPr>
                <w:sz w:val="21"/>
              </w:rPr>
            </w:pPr>
            <w:r>
              <w:rPr>
                <w:spacing w:val="-2"/>
                <w:sz w:val="21"/>
              </w:rPr>
              <w:t>Louisiana</w:t>
            </w:r>
          </w:p>
        </w:tc>
        <w:tc>
          <w:tcPr>
            <w:tcW w:w="2569" w:type="dxa"/>
          </w:tcPr>
          <w:p w:rsidR="003F5784" w14:paraId="3DA1C486" w14:textId="77777777">
            <w:pPr>
              <w:pStyle w:val="TableParagraph"/>
              <w:ind w:right="307"/>
              <w:rPr>
                <w:sz w:val="21"/>
              </w:rPr>
            </w:pPr>
            <w:r>
              <w:rPr>
                <w:sz w:val="21"/>
              </w:rPr>
              <w:t>Achievement</w:t>
            </w:r>
            <w:r>
              <w:rPr>
                <w:spacing w:val="-13"/>
                <w:sz w:val="21"/>
              </w:rPr>
              <w:t xml:space="preserve"> </w:t>
            </w:r>
            <w:r>
              <w:rPr>
                <w:spacing w:val="-4"/>
                <w:sz w:val="21"/>
              </w:rPr>
              <w:t>data</w:t>
            </w:r>
          </w:p>
        </w:tc>
        <w:tc>
          <w:tcPr>
            <w:tcW w:w="2059" w:type="dxa"/>
          </w:tcPr>
          <w:p w:rsidR="003F5784" w14:paraId="01FD2884" w14:textId="77777777">
            <w:pPr>
              <w:pStyle w:val="TableParagraph"/>
              <w:ind w:right="502"/>
              <w:rPr>
                <w:sz w:val="21"/>
              </w:rPr>
            </w:pPr>
            <w:r>
              <w:rPr>
                <w:sz w:val="21"/>
              </w:rPr>
              <w:t>10th</w:t>
            </w:r>
            <w:r>
              <w:rPr>
                <w:spacing w:val="-5"/>
                <w:sz w:val="21"/>
              </w:rPr>
              <w:t xml:space="preserve"> </w:t>
            </w:r>
            <w:r>
              <w:rPr>
                <w:spacing w:val="-2"/>
                <w:sz w:val="21"/>
              </w:rPr>
              <w:t>percentile</w:t>
            </w:r>
          </w:p>
        </w:tc>
        <w:tc>
          <w:tcPr>
            <w:tcW w:w="1792" w:type="dxa"/>
          </w:tcPr>
          <w:p w:rsidR="003F5784" w14:paraId="68080FA4" w14:textId="77777777">
            <w:pPr>
              <w:pStyle w:val="TableParagraph"/>
              <w:ind w:right="501"/>
              <w:rPr>
                <w:sz w:val="21"/>
              </w:rPr>
            </w:pPr>
            <w:r>
              <w:rPr>
                <w:spacing w:val="-2"/>
                <w:sz w:val="21"/>
              </w:rPr>
              <w:t>40.33</w:t>
            </w:r>
          </w:p>
        </w:tc>
        <w:tc>
          <w:tcPr>
            <w:tcW w:w="1438" w:type="dxa"/>
          </w:tcPr>
          <w:p w:rsidR="003F5784" w14:paraId="184CEF8F" w14:textId="77777777">
            <w:pPr>
              <w:pStyle w:val="TableParagraph"/>
              <w:ind w:right="146"/>
              <w:rPr>
                <w:sz w:val="21"/>
              </w:rPr>
            </w:pPr>
            <w:r>
              <w:rPr>
                <w:spacing w:val="-2"/>
                <w:sz w:val="21"/>
              </w:rPr>
              <w:t>37.98</w:t>
            </w:r>
          </w:p>
        </w:tc>
        <w:tc>
          <w:tcPr>
            <w:tcW w:w="2077" w:type="dxa"/>
          </w:tcPr>
          <w:p w:rsidR="003F5784" w14:paraId="5A8EF76C" w14:textId="77777777">
            <w:pPr>
              <w:pStyle w:val="TableParagraph"/>
              <w:ind w:right="114"/>
              <w:rPr>
                <w:sz w:val="21"/>
              </w:rPr>
            </w:pPr>
            <w:r>
              <w:rPr>
                <w:sz w:val="21"/>
              </w:rPr>
              <w:t>(30.09,</w:t>
            </w:r>
            <w:r>
              <w:rPr>
                <w:spacing w:val="-7"/>
                <w:sz w:val="21"/>
              </w:rPr>
              <w:t xml:space="preserve"> </w:t>
            </w:r>
            <w:r>
              <w:rPr>
                <w:spacing w:val="-2"/>
                <w:sz w:val="21"/>
              </w:rPr>
              <w:t>40.31)</w:t>
            </w:r>
          </w:p>
        </w:tc>
      </w:tr>
      <w:tr w14:paraId="78D358E9" w14:textId="77777777">
        <w:tblPrEx>
          <w:tblW w:w="0" w:type="auto"/>
          <w:tblInd w:w="482" w:type="dxa"/>
          <w:tblLayout w:type="fixed"/>
          <w:tblCellMar>
            <w:left w:w="0" w:type="dxa"/>
            <w:right w:w="0" w:type="dxa"/>
          </w:tblCellMar>
          <w:tblLook w:val="01E0"/>
        </w:tblPrEx>
        <w:trPr>
          <w:trHeight w:val="286"/>
        </w:trPr>
        <w:tc>
          <w:tcPr>
            <w:tcW w:w="1042" w:type="dxa"/>
          </w:tcPr>
          <w:p w:rsidR="003F5784" w14:paraId="33DA7B15" w14:textId="77777777">
            <w:pPr>
              <w:pStyle w:val="TableParagraph"/>
              <w:spacing w:before="0"/>
              <w:jc w:val="left"/>
              <w:rPr>
                <w:sz w:val="20"/>
              </w:rPr>
            </w:pPr>
          </w:p>
        </w:tc>
        <w:tc>
          <w:tcPr>
            <w:tcW w:w="3004" w:type="dxa"/>
          </w:tcPr>
          <w:p w:rsidR="003F5784" w14:paraId="5FB0B1D7" w14:textId="77777777">
            <w:pPr>
              <w:pStyle w:val="TableParagraph"/>
              <w:ind w:left="411"/>
              <w:jc w:val="left"/>
              <w:rPr>
                <w:sz w:val="21"/>
              </w:rPr>
            </w:pPr>
            <w:r>
              <w:rPr>
                <w:sz w:val="21"/>
              </w:rPr>
              <w:t>New</w:t>
            </w:r>
            <w:r>
              <w:rPr>
                <w:spacing w:val="-5"/>
                <w:sz w:val="21"/>
              </w:rPr>
              <w:t xml:space="preserve"> </w:t>
            </w:r>
            <w:r>
              <w:rPr>
                <w:spacing w:val="-2"/>
                <w:sz w:val="21"/>
              </w:rPr>
              <w:t>Jersey</w:t>
            </w:r>
          </w:p>
        </w:tc>
        <w:tc>
          <w:tcPr>
            <w:tcW w:w="2569" w:type="dxa"/>
          </w:tcPr>
          <w:p w:rsidR="003F5784" w14:paraId="18A35D73" w14:textId="77777777">
            <w:pPr>
              <w:pStyle w:val="TableParagraph"/>
              <w:ind w:right="307"/>
              <w:rPr>
                <w:sz w:val="21"/>
              </w:rPr>
            </w:pPr>
            <w:r>
              <w:rPr>
                <w:sz w:val="21"/>
              </w:rPr>
              <w:t>Achievement</w:t>
            </w:r>
            <w:r>
              <w:rPr>
                <w:spacing w:val="-13"/>
                <w:sz w:val="21"/>
              </w:rPr>
              <w:t xml:space="preserve"> </w:t>
            </w:r>
            <w:r>
              <w:rPr>
                <w:spacing w:val="-4"/>
                <w:sz w:val="21"/>
              </w:rPr>
              <w:t>data</w:t>
            </w:r>
          </w:p>
        </w:tc>
        <w:tc>
          <w:tcPr>
            <w:tcW w:w="2059" w:type="dxa"/>
          </w:tcPr>
          <w:p w:rsidR="003F5784" w14:paraId="4E44BE2C" w14:textId="77777777">
            <w:pPr>
              <w:pStyle w:val="TableParagraph"/>
              <w:ind w:right="502"/>
              <w:rPr>
                <w:sz w:val="21"/>
              </w:rPr>
            </w:pPr>
            <w:r>
              <w:rPr>
                <w:sz w:val="21"/>
              </w:rPr>
              <w:t>10th</w:t>
            </w:r>
            <w:r>
              <w:rPr>
                <w:spacing w:val="-5"/>
                <w:sz w:val="21"/>
              </w:rPr>
              <w:t xml:space="preserve"> </w:t>
            </w:r>
            <w:r>
              <w:rPr>
                <w:spacing w:val="-2"/>
                <w:sz w:val="21"/>
              </w:rPr>
              <w:t>percentile</w:t>
            </w:r>
          </w:p>
        </w:tc>
        <w:tc>
          <w:tcPr>
            <w:tcW w:w="1792" w:type="dxa"/>
          </w:tcPr>
          <w:p w:rsidR="003F5784" w14:paraId="3E407D12" w14:textId="77777777">
            <w:pPr>
              <w:pStyle w:val="TableParagraph"/>
              <w:ind w:right="501"/>
              <w:rPr>
                <w:sz w:val="21"/>
              </w:rPr>
            </w:pPr>
            <w:r>
              <w:rPr>
                <w:spacing w:val="-2"/>
                <w:sz w:val="21"/>
              </w:rPr>
              <w:t>23.56</w:t>
            </w:r>
          </w:p>
        </w:tc>
        <w:tc>
          <w:tcPr>
            <w:tcW w:w="1438" w:type="dxa"/>
          </w:tcPr>
          <w:p w:rsidR="003F5784" w14:paraId="4B0AE245" w14:textId="77777777">
            <w:pPr>
              <w:pStyle w:val="TableParagraph"/>
              <w:ind w:right="146"/>
              <w:rPr>
                <w:sz w:val="21"/>
              </w:rPr>
            </w:pPr>
            <w:r>
              <w:rPr>
                <w:spacing w:val="-2"/>
                <w:sz w:val="21"/>
              </w:rPr>
              <w:t>22.01</w:t>
            </w:r>
          </w:p>
        </w:tc>
        <w:tc>
          <w:tcPr>
            <w:tcW w:w="2077" w:type="dxa"/>
          </w:tcPr>
          <w:p w:rsidR="003F5784" w14:paraId="7B975CE3" w14:textId="77777777">
            <w:pPr>
              <w:pStyle w:val="TableParagraph"/>
              <w:ind w:right="114"/>
              <w:rPr>
                <w:sz w:val="21"/>
              </w:rPr>
            </w:pPr>
            <w:r>
              <w:rPr>
                <w:sz w:val="21"/>
              </w:rPr>
              <w:t>(18.78,</w:t>
            </w:r>
            <w:r>
              <w:rPr>
                <w:spacing w:val="-7"/>
                <w:sz w:val="21"/>
              </w:rPr>
              <w:t xml:space="preserve"> </w:t>
            </w:r>
            <w:r>
              <w:rPr>
                <w:spacing w:val="-2"/>
                <w:sz w:val="21"/>
              </w:rPr>
              <w:t>22.85)</w:t>
            </w:r>
          </w:p>
        </w:tc>
      </w:tr>
      <w:tr w14:paraId="18B3740F" w14:textId="77777777">
        <w:tblPrEx>
          <w:tblW w:w="0" w:type="auto"/>
          <w:tblInd w:w="482" w:type="dxa"/>
          <w:tblLayout w:type="fixed"/>
          <w:tblCellMar>
            <w:left w:w="0" w:type="dxa"/>
            <w:right w:w="0" w:type="dxa"/>
          </w:tblCellMar>
          <w:tblLook w:val="01E0"/>
        </w:tblPrEx>
        <w:trPr>
          <w:trHeight w:val="286"/>
        </w:trPr>
        <w:tc>
          <w:tcPr>
            <w:tcW w:w="1042" w:type="dxa"/>
          </w:tcPr>
          <w:p w:rsidR="003F5784" w14:paraId="5F06EAF0" w14:textId="77777777">
            <w:pPr>
              <w:pStyle w:val="TableParagraph"/>
              <w:spacing w:before="0"/>
              <w:jc w:val="left"/>
              <w:rPr>
                <w:sz w:val="20"/>
              </w:rPr>
            </w:pPr>
          </w:p>
        </w:tc>
        <w:tc>
          <w:tcPr>
            <w:tcW w:w="3004" w:type="dxa"/>
          </w:tcPr>
          <w:p w:rsidR="003F5784" w14:paraId="276FE29D" w14:textId="77777777">
            <w:pPr>
              <w:pStyle w:val="TableParagraph"/>
              <w:ind w:left="411"/>
              <w:jc w:val="left"/>
              <w:rPr>
                <w:sz w:val="21"/>
              </w:rPr>
            </w:pPr>
            <w:r>
              <w:rPr>
                <w:sz w:val="21"/>
              </w:rPr>
              <w:t>New</w:t>
            </w:r>
            <w:r>
              <w:rPr>
                <w:spacing w:val="-5"/>
                <w:sz w:val="21"/>
              </w:rPr>
              <w:t xml:space="preserve"> </w:t>
            </w:r>
            <w:r>
              <w:rPr>
                <w:spacing w:val="-2"/>
                <w:sz w:val="21"/>
              </w:rPr>
              <w:t>Mexico</w:t>
            </w:r>
          </w:p>
        </w:tc>
        <w:tc>
          <w:tcPr>
            <w:tcW w:w="2569" w:type="dxa"/>
          </w:tcPr>
          <w:p w:rsidR="003F5784" w14:paraId="0A556A52" w14:textId="77777777">
            <w:pPr>
              <w:pStyle w:val="TableParagraph"/>
              <w:ind w:right="307"/>
              <w:rPr>
                <w:sz w:val="21"/>
              </w:rPr>
            </w:pPr>
            <w:r>
              <w:rPr>
                <w:sz w:val="21"/>
              </w:rPr>
              <w:t>Achievement</w:t>
            </w:r>
            <w:r>
              <w:rPr>
                <w:spacing w:val="-13"/>
                <w:sz w:val="21"/>
              </w:rPr>
              <w:t xml:space="preserve"> </w:t>
            </w:r>
            <w:r>
              <w:rPr>
                <w:spacing w:val="-4"/>
                <w:sz w:val="21"/>
              </w:rPr>
              <w:t>data</w:t>
            </w:r>
          </w:p>
        </w:tc>
        <w:tc>
          <w:tcPr>
            <w:tcW w:w="2059" w:type="dxa"/>
          </w:tcPr>
          <w:p w:rsidR="003F5784" w14:paraId="09DC71A2" w14:textId="77777777">
            <w:pPr>
              <w:pStyle w:val="TableParagraph"/>
              <w:ind w:right="502"/>
              <w:rPr>
                <w:sz w:val="21"/>
              </w:rPr>
            </w:pPr>
            <w:r>
              <w:rPr>
                <w:sz w:val="21"/>
              </w:rPr>
              <w:t>50th</w:t>
            </w:r>
            <w:r>
              <w:rPr>
                <w:spacing w:val="-5"/>
                <w:sz w:val="21"/>
              </w:rPr>
              <w:t xml:space="preserve"> </w:t>
            </w:r>
            <w:r>
              <w:rPr>
                <w:spacing w:val="-2"/>
                <w:sz w:val="21"/>
              </w:rPr>
              <w:t>percentile</w:t>
            </w:r>
          </w:p>
        </w:tc>
        <w:tc>
          <w:tcPr>
            <w:tcW w:w="1792" w:type="dxa"/>
          </w:tcPr>
          <w:p w:rsidR="003F5784" w14:paraId="68FFFCE9" w14:textId="77777777">
            <w:pPr>
              <w:pStyle w:val="TableParagraph"/>
              <w:ind w:right="501"/>
              <w:rPr>
                <w:sz w:val="21"/>
              </w:rPr>
            </w:pPr>
            <w:r>
              <w:rPr>
                <w:spacing w:val="-2"/>
                <w:sz w:val="21"/>
              </w:rPr>
              <w:t>25.97</w:t>
            </w:r>
          </w:p>
        </w:tc>
        <w:tc>
          <w:tcPr>
            <w:tcW w:w="1438" w:type="dxa"/>
          </w:tcPr>
          <w:p w:rsidR="003F5784" w14:paraId="3F96652A" w14:textId="77777777">
            <w:pPr>
              <w:pStyle w:val="TableParagraph"/>
              <w:ind w:right="146"/>
              <w:rPr>
                <w:sz w:val="21"/>
              </w:rPr>
            </w:pPr>
            <w:r>
              <w:rPr>
                <w:spacing w:val="-2"/>
                <w:sz w:val="21"/>
              </w:rPr>
              <w:t>27.63</w:t>
            </w:r>
          </w:p>
        </w:tc>
        <w:tc>
          <w:tcPr>
            <w:tcW w:w="2077" w:type="dxa"/>
          </w:tcPr>
          <w:p w:rsidR="003F5784" w14:paraId="07B3D307" w14:textId="77777777">
            <w:pPr>
              <w:pStyle w:val="TableParagraph"/>
              <w:ind w:right="114"/>
              <w:rPr>
                <w:sz w:val="21"/>
              </w:rPr>
            </w:pPr>
            <w:r>
              <w:rPr>
                <w:sz w:val="21"/>
              </w:rPr>
              <w:t>(26.30,</w:t>
            </w:r>
            <w:r>
              <w:rPr>
                <w:spacing w:val="-7"/>
                <w:sz w:val="21"/>
              </w:rPr>
              <w:t xml:space="preserve"> </w:t>
            </w:r>
            <w:r>
              <w:rPr>
                <w:spacing w:val="-2"/>
                <w:sz w:val="21"/>
              </w:rPr>
              <w:t>28.60)</w:t>
            </w:r>
          </w:p>
        </w:tc>
      </w:tr>
      <w:tr w14:paraId="50AED743" w14:textId="77777777">
        <w:tblPrEx>
          <w:tblW w:w="0" w:type="auto"/>
          <w:tblInd w:w="482" w:type="dxa"/>
          <w:tblLayout w:type="fixed"/>
          <w:tblCellMar>
            <w:left w:w="0" w:type="dxa"/>
            <w:right w:w="0" w:type="dxa"/>
          </w:tblCellMar>
          <w:tblLook w:val="01E0"/>
        </w:tblPrEx>
        <w:trPr>
          <w:trHeight w:val="286"/>
        </w:trPr>
        <w:tc>
          <w:tcPr>
            <w:tcW w:w="1042" w:type="dxa"/>
          </w:tcPr>
          <w:p w:rsidR="003F5784" w14:paraId="377825FD" w14:textId="77777777">
            <w:pPr>
              <w:pStyle w:val="TableParagraph"/>
              <w:spacing w:before="0"/>
              <w:jc w:val="left"/>
              <w:rPr>
                <w:sz w:val="20"/>
              </w:rPr>
            </w:pPr>
          </w:p>
        </w:tc>
        <w:tc>
          <w:tcPr>
            <w:tcW w:w="3004" w:type="dxa"/>
          </w:tcPr>
          <w:p w:rsidR="003F5784" w14:paraId="175619C7" w14:textId="77777777">
            <w:pPr>
              <w:pStyle w:val="TableParagraph"/>
              <w:ind w:left="411"/>
              <w:jc w:val="left"/>
              <w:rPr>
                <w:sz w:val="21"/>
              </w:rPr>
            </w:pPr>
            <w:r>
              <w:rPr>
                <w:sz w:val="21"/>
              </w:rPr>
              <w:t>New</w:t>
            </w:r>
            <w:r>
              <w:rPr>
                <w:spacing w:val="-13"/>
                <w:sz w:val="21"/>
              </w:rPr>
              <w:t xml:space="preserve"> </w:t>
            </w:r>
            <w:r>
              <w:rPr>
                <w:spacing w:val="-4"/>
                <w:sz w:val="21"/>
              </w:rPr>
              <w:t>York</w:t>
            </w:r>
          </w:p>
        </w:tc>
        <w:tc>
          <w:tcPr>
            <w:tcW w:w="2569" w:type="dxa"/>
          </w:tcPr>
          <w:p w:rsidR="003F5784" w14:paraId="5D27A9FA" w14:textId="77777777">
            <w:pPr>
              <w:pStyle w:val="TableParagraph"/>
              <w:ind w:right="307"/>
              <w:rPr>
                <w:sz w:val="21"/>
              </w:rPr>
            </w:pPr>
            <w:r>
              <w:rPr>
                <w:sz w:val="21"/>
              </w:rPr>
              <w:t>Achievement</w:t>
            </w:r>
            <w:r>
              <w:rPr>
                <w:spacing w:val="-13"/>
                <w:sz w:val="21"/>
              </w:rPr>
              <w:t xml:space="preserve"> </w:t>
            </w:r>
            <w:r>
              <w:rPr>
                <w:spacing w:val="-4"/>
                <w:sz w:val="21"/>
              </w:rPr>
              <w:t>data</w:t>
            </w:r>
          </w:p>
        </w:tc>
        <w:tc>
          <w:tcPr>
            <w:tcW w:w="2059" w:type="dxa"/>
          </w:tcPr>
          <w:p w:rsidR="003F5784" w14:paraId="55B0CEFC" w14:textId="77777777">
            <w:pPr>
              <w:pStyle w:val="TableParagraph"/>
              <w:ind w:right="502"/>
              <w:rPr>
                <w:sz w:val="21"/>
              </w:rPr>
            </w:pPr>
            <w:r>
              <w:rPr>
                <w:sz w:val="21"/>
              </w:rPr>
              <w:t>10th</w:t>
            </w:r>
            <w:r>
              <w:rPr>
                <w:spacing w:val="-5"/>
                <w:sz w:val="21"/>
              </w:rPr>
              <w:t xml:space="preserve"> </w:t>
            </w:r>
            <w:r>
              <w:rPr>
                <w:spacing w:val="-2"/>
                <w:sz w:val="21"/>
              </w:rPr>
              <w:t>percentile</w:t>
            </w:r>
          </w:p>
        </w:tc>
        <w:tc>
          <w:tcPr>
            <w:tcW w:w="1792" w:type="dxa"/>
          </w:tcPr>
          <w:p w:rsidR="003F5784" w14:paraId="7B017A5A" w14:textId="77777777">
            <w:pPr>
              <w:pStyle w:val="TableParagraph"/>
              <w:ind w:right="501"/>
              <w:rPr>
                <w:sz w:val="21"/>
              </w:rPr>
            </w:pPr>
            <w:r>
              <w:rPr>
                <w:spacing w:val="-2"/>
                <w:sz w:val="21"/>
              </w:rPr>
              <w:t>19.64</w:t>
            </w:r>
          </w:p>
        </w:tc>
        <w:tc>
          <w:tcPr>
            <w:tcW w:w="1438" w:type="dxa"/>
          </w:tcPr>
          <w:p w:rsidR="003F5784" w14:paraId="02BFC29D" w14:textId="77777777">
            <w:pPr>
              <w:pStyle w:val="TableParagraph"/>
              <w:ind w:right="146"/>
              <w:rPr>
                <w:sz w:val="21"/>
              </w:rPr>
            </w:pPr>
            <w:r>
              <w:rPr>
                <w:spacing w:val="-2"/>
                <w:sz w:val="21"/>
              </w:rPr>
              <w:t>21.56</w:t>
            </w:r>
          </w:p>
        </w:tc>
        <w:tc>
          <w:tcPr>
            <w:tcW w:w="2077" w:type="dxa"/>
          </w:tcPr>
          <w:p w:rsidR="003F5784" w14:paraId="1199B484" w14:textId="77777777">
            <w:pPr>
              <w:pStyle w:val="TableParagraph"/>
              <w:ind w:right="114"/>
              <w:rPr>
                <w:sz w:val="21"/>
              </w:rPr>
            </w:pPr>
            <w:r>
              <w:rPr>
                <w:sz w:val="21"/>
              </w:rPr>
              <w:t>(20.19,</w:t>
            </w:r>
            <w:r>
              <w:rPr>
                <w:spacing w:val="-7"/>
                <w:sz w:val="21"/>
              </w:rPr>
              <w:t xml:space="preserve"> </w:t>
            </w:r>
            <w:r>
              <w:rPr>
                <w:spacing w:val="-2"/>
                <w:sz w:val="21"/>
              </w:rPr>
              <w:t>22.50)</w:t>
            </w:r>
          </w:p>
        </w:tc>
      </w:tr>
      <w:tr w14:paraId="5C06A008" w14:textId="77777777">
        <w:tblPrEx>
          <w:tblW w:w="0" w:type="auto"/>
          <w:tblInd w:w="482" w:type="dxa"/>
          <w:tblLayout w:type="fixed"/>
          <w:tblCellMar>
            <w:left w:w="0" w:type="dxa"/>
            <w:right w:w="0" w:type="dxa"/>
          </w:tblCellMar>
          <w:tblLook w:val="01E0"/>
        </w:tblPrEx>
        <w:trPr>
          <w:trHeight w:val="286"/>
        </w:trPr>
        <w:tc>
          <w:tcPr>
            <w:tcW w:w="1042" w:type="dxa"/>
          </w:tcPr>
          <w:p w:rsidR="003F5784" w14:paraId="5E8515BB" w14:textId="77777777">
            <w:pPr>
              <w:pStyle w:val="TableParagraph"/>
              <w:spacing w:before="0"/>
              <w:jc w:val="left"/>
              <w:rPr>
                <w:sz w:val="20"/>
              </w:rPr>
            </w:pPr>
          </w:p>
        </w:tc>
        <w:tc>
          <w:tcPr>
            <w:tcW w:w="3004" w:type="dxa"/>
          </w:tcPr>
          <w:p w:rsidR="003F5784" w14:paraId="329F9275" w14:textId="77777777">
            <w:pPr>
              <w:pStyle w:val="TableParagraph"/>
              <w:ind w:left="411"/>
              <w:jc w:val="left"/>
              <w:rPr>
                <w:sz w:val="21"/>
              </w:rPr>
            </w:pPr>
            <w:r>
              <w:rPr>
                <w:sz w:val="21"/>
              </w:rPr>
              <w:t>North</w:t>
            </w:r>
            <w:r>
              <w:rPr>
                <w:spacing w:val="-6"/>
                <w:sz w:val="21"/>
              </w:rPr>
              <w:t xml:space="preserve"> </w:t>
            </w:r>
            <w:r>
              <w:rPr>
                <w:spacing w:val="-2"/>
                <w:sz w:val="21"/>
              </w:rPr>
              <w:t>Dakota</w:t>
            </w:r>
          </w:p>
        </w:tc>
        <w:tc>
          <w:tcPr>
            <w:tcW w:w="2569" w:type="dxa"/>
          </w:tcPr>
          <w:p w:rsidR="003F5784" w14:paraId="2EC25F15" w14:textId="77777777">
            <w:pPr>
              <w:pStyle w:val="TableParagraph"/>
              <w:ind w:right="307"/>
              <w:rPr>
                <w:sz w:val="21"/>
              </w:rPr>
            </w:pPr>
            <w:r>
              <w:rPr>
                <w:sz w:val="21"/>
              </w:rPr>
              <w:t>Achievement</w:t>
            </w:r>
            <w:r>
              <w:rPr>
                <w:spacing w:val="-13"/>
                <w:sz w:val="21"/>
              </w:rPr>
              <w:t xml:space="preserve"> </w:t>
            </w:r>
            <w:r>
              <w:rPr>
                <w:spacing w:val="-4"/>
                <w:sz w:val="21"/>
              </w:rPr>
              <w:t>data</w:t>
            </w:r>
          </w:p>
        </w:tc>
        <w:tc>
          <w:tcPr>
            <w:tcW w:w="2059" w:type="dxa"/>
          </w:tcPr>
          <w:p w:rsidR="003F5784" w14:paraId="71C67487" w14:textId="77777777">
            <w:pPr>
              <w:pStyle w:val="TableParagraph"/>
              <w:ind w:right="502"/>
              <w:rPr>
                <w:sz w:val="21"/>
              </w:rPr>
            </w:pPr>
            <w:r>
              <w:rPr>
                <w:sz w:val="21"/>
              </w:rPr>
              <w:t>25th</w:t>
            </w:r>
            <w:r>
              <w:rPr>
                <w:spacing w:val="-5"/>
                <w:sz w:val="21"/>
              </w:rPr>
              <w:t xml:space="preserve"> </w:t>
            </w:r>
            <w:r>
              <w:rPr>
                <w:spacing w:val="-2"/>
                <w:sz w:val="21"/>
              </w:rPr>
              <w:t>percentile</w:t>
            </w:r>
          </w:p>
        </w:tc>
        <w:tc>
          <w:tcPr>
            <w:tcW w:w="1792" w:type="dxa"/>
          </w:tcPr>
          <w:p w:rsidR="003F5784" w14:paraId="65715F51" w14:textId="77777777">
            <w:pPr>
              <w:pStyle w:val="TableParagraph"/>
              <w:ind w:right="501"/>
              <w:rPr>
                <w:sz w:val="21"/>
              </w:rPr>
            </w:pPr>
            <w:r>
              <w:rPr>
                <w:spacing w:val="-2"/>
                <w:sz w:val="21"/>
              </w:rPr>
              <w:t>32.29</w:t>
            </w:r>
          </w:p>
        </w:tc>
        <w:tc>
          <w:tcPr>
            <w:tcW w:w="1438" w:type="dxa"/>
          </w:tcPr>
          <w:p w:rsidR="003F5784" w14:paraId="4962A56E" w14:textId="77777777">
            <w:pPr>
              <w:pStyle w:val="TableParagraph"/>
              <w:ind w:right="146"/>
              <w:rPr>
                <w:sz w:val="21"/>
              </w:rPr>
            </w:pPr>
            <w:r>
              <w:rPr>
                <w:spacing w:val="-2"/>
                <w:sz w:val="21"/>
              </w:rPr>
              <w:t>30.43</w:t>
            </w:r>
          </w:p>
        </w:tc>
        <w:tc>
          <w:tcPr>
            <w:tcW w:w="2077" w:type="dxa"/>
          </w:tcPr>
          <w:p w:rsidR="003F5784" w14:paraId="6871423A" w14:textId="77777777">
            <w:pPr>
              <w:pStyle w:val="TableParagraph"/>
              <w:ind w:right="114"/>
              <w:rPr>
                <w:sz w:val="21"/>
              </w:rPr>
            </w:pPr>
            <w:r>
              <w:rPr>
                <w:sz w:val="21"/>
              </w:rPr>
              <w:t>(27.13,</w:t>
            </w:r>
            <w:r>
              <w:rPr>
                <w:spacing w:val="-7"/>
                <w:sz w:val="21"/>
              </w:rPr>
              <w:t xml:space="preserve"> </w:t>
            </w:r>
            <w:r>
              <w:rPr>
                <w:spacing w:val="-2"/>
                <w:sz w:val="21"/>
              </w:rPr>
              <w:t>32.06)</w:t>
            </w:r>
          </w:p>
        </w:tc>
      </w:tr>
      <w:tr w14:paraId="2DA6E5C6" w14:textId="77777777">
        <w:tblPrEx>
          <w:tblW w:w="0" w:type="auto"/>
          <w:tblInd w:w="482" w:type="dxa"/>
          <w:tblLayout w:type="fixed"/>
          <w:tblCellMar>
            <w:left w:w="0" w:type="dxa"/>
            <w:right w:w="0" w:type="dxa"/>
          </w:tblCellMar>
          <w:tblLook w:val="01E0"/>
        </w:tblPrEx>
        <w:trPr>
          <w:trHeight w:val="286"/>
        </w:trPr>
        <w:tc>
          <w:tcPr>
            <w:tcW w:w="1042" w:type="dxa"/>
          </w:tcPr>
          <w:p w:rsidR="003F5784" w14:paraId="05364181" w14:textId="77777777">
            <w:pPr>
              <w:pStyle w:val="TableParagraph"/>
              <w:spacing w:before="0"/>
              <w:jc w:val="left"/>
              <w:rPr>
                <w:sz w:val="20"/>
              </w:rPr>
            </w:pPr>
          </w:p>
        </w:tc>
        <w:tc>
          <w:tcPr>
            <w:tcW w:w="3004" w:type="dxa"/>
          </w:tcPr>
          <w:p w:rsidR="003F5784" w14:paraId="0D7BA93D" w14:textId="77777777">
            <w:pPr>
              <w:pStyle w:val="TableParagraph"/>
              <w:ind w:left="411"/>
              <w:jc w:val="left"/>
              <w:rPr>
                <w:sz w:val="21"/>
              </w:rPr>
            </w:pPr>
            <w:r>
              <w:rPr>
                <w:sz w:val="21"/>
              </w:rPr>
              <w:t>Puerto</w:t>
            </w:r>
            <w:r>
              <w:rPr>
                <w:spacing w:val="-7"/>
                <w:sz w:val="21"/>
              </w:rPr>
              <w:t xml:space="preserve"> </w:t>
            </w:r>
            <w:r>
              <w:rPr>
                <w:spacing w:val="-4"/>
                <w:sz w:val="21"/>
              </w:rPr>
              <w:t>Rico</w:t>
            </w:r>
          </w:p>
        </w:tc>
        <w:tc>
          <w:tcPr>
            <w:tcW w:w="2569" w:type="dxa"/>
          </w:tcPr>
          <w:p w:rsidR="003F5784" w14:paraId="5C18458D" w14:textId="77777777">
            <w:pPr>
              <w:pStyle w:val="TableParagraph"/>
              <w:ind w:right="307"/>
              <w:rPr>
                <w:sz w:val="21"/>
              </w:rPr>
            </w:pPr>
            <w:r>
              <w:rPr>
                <w:sz w:val="21"/>
              </w:rPr>
              <w:t>Median</w:t>
            </w:r>
            <w:r>
              <w:rPr>
                <w:spacing w:val="-8"/>
                <w:sz w:val="21"/>
              </w:rPr>
              <w:t xml:space="preserve"> </w:t>
            </w:r>
            <w:r>
              <w:rPr>
                <w:spacing w:val="-2"/>
                <w:sz w:val="21"/>
              </w:rPr>
              <w:t>Income</w:t>
            </w:r>
          </w:p>
        </w:tc>
        <w:tc>
          <w:tcPr>
            <w:tcW w:w="2059" w:type="dxa"/>
          </w:tcPr>
          <w:p w:rsidR="003F5784" w14:paraId="2A311B80" w14:textId="77777777">
            <w:pPr>
              <w:pStyle w:val="TableParagraph"/>
              <w:ind w:right="502"/>
              <w:rPr>
                <w:sz w:val="21"/>
              </w:rPr>
            </w:pPr>
            <w:r>
              <w:rPr>
                <w:sz w:val="21"/>
              </w:rPr>
              <w:t>75th</w:t>
            </w:r>
            <w:r>
              <w:rPr>
                <w:spacing w:val="-5"/>
                <w:sz w:val="21"/>
              </w:rPr>
              <w:t xml:space="preserve"> </w:t>
            </w:r>
            <w:r>
              <w:rPr>
                <w:spacing w:val="-2"/>
                <w:sz w:val="21"/>
              </w:rPr>
              <w:t>percentile</w:t>
            </w:r>
          </w:p>
        </w:tc>
        <w:tc>
          <w:tcPr>
            <w:tcW w:w="1792" w:type="dxa"/>
          </w:tcPr>
          <w:p w:rsidR="003F5784" w14:paraId="38F8B8D8" w14:textId="77777777">
            <w:pPr>
              <w:pStyle w:val="TableParagraph"/>
              <w:ind w:right="501"/>
              <w:rPr>
                <w:sz w:val="21"/>
              </w:rPr>
            </w:pPr>
            <w:r>
              <w:rPr>
                <w:spacing w:val="-2"/>
                <w:sz w:val="21"/>
              </w:rPr>
              <w:t>23473.03</w:t>
            </w:r>
          </w:p>
        </w:tc>
        <w:tc>
          <w:tcPr>
            <w:tcW w:w="1438" w:type="dxa"/>
          </w:tcPr>
          <w:p w:rsidR="003F5784" w14:paraId="38D80AEA" w14:textId="77777777">
            <w:pPr>
              <w:pStyle w:val="TableParagraph"/>
              <w:ind w:right="146"/>
              <w:rPr>
                <w:sz w:val="21"/>
              </w:rPr>
            </w:pPr>
            <w:r>
              <w:rPr>
                <w:spacing w:val="-2"/>
                <w:sz w:val="21"/>
              </w:rPr>
              <w:t>23214.50</w:t>
            </w:r>
          </w:p>
        </w:tc>
        <w:tc>
          <w:tcPr>
            <w:tcW w:w="2077" w:type="dxa"/>
          </w:tcPr>
          <w:p w:rsidR="003F5784" w14:paraId="532781AF" w14:textId="77777777">
            <w:pPr>
              <w:pStyle w:val="TableParagraph"/>
              <w:ind w:right="114"/>
              <w:rPr>
                <w:sz w:val="21"/>
              </w:rPr>
            </w:pPr>
            <w:r>
              <w:rPr>
                <w:sz w:val="21"/>
              </w:rPr>
              <w:t>(23079.13,</w:t>
            </w:r>
            <w:r>
              <w:rPr>
                <w:spacing w:val="-11"/>
                <w:sz w:val="21"/>
              </w:rPr>
              <w:t xml:space="preserve"> </w:t>
            </w:r>
            <w:r>
              <w:rPr>
                <w:spacing w:val="-2"/>
                <w:sz w:val="21"/>
              </w:rPr>
              <w:t>23349.87)</w:t>
            </w:r>
          </w:p>
        </w:tc>
      </w:tr>
      <w:tr w14:paraId="3532D31C" w14:textId="77777777">
        <w:tblPrEx>
          <w:tblW w:w="0" w:type="auto"/>
          <w:tblInd w:w="482" w:type="dxa"/>
          <w:tblLayout w:type="fixed"/>
          <w:tblCellMar>
            <w:left w:w="0" w:type="dxa"/>
            <w:right w:w="0" w:type="dxa"/>
          </w:tblCellMar>
          <w:tblLook w:val="01E0"/>
        </w:tblPrEx>
        <w:trPr>
          <w:trHeight w:val="286"/>
        </w:trPr>
        <w:tc>
          <w:tcPr>
            <w:tcW w:w="1042" w:type="dxa"/>
          </w:tcPr>
          <w:p w:rsidR="003F5784" w14:paraId="76C9B68A" w14:textId="77777777">
            <w:pPr>
              <w:pStyle w:val="TableParagraph"/>
              <w:spacing w:before="0"/>
              <w:jc w:val="left"/>
              <w:rPr>
                <w:sz w:val="20"/>
              </w:rPr>
            </w:pPr>
          </w:p>
        </w:tc>
        <w:tc>
          <w:tcPr>
            <w:tcW w:w="3004" w:type="dxa"/>
          </w:tcPr>
          <w:p w:rsidR="003F5784" w14:paraId="336CD5A1" w14:textId="77777777">
            <w:pPr>
              <w:pStyle w:val="TableParagraph"/>
              <w:ind w:left="411"/>
              <w:jc w:val="left"/>
              <w:rPr>
                <w:sz w:val="21"/>
              </w:rPr>
            </w:pPr>
            <w:r>
              <w:rPr>
                <w:spacing w:val="-2"/>
                <w:sz w:val="21"/>
              </w:rPr>
              <w:t>Tennessee</w:t>
            </w:r>
          </w:p>
        </w:tc>
        <w:tc>
          <w:tcPr>
            <w:tcW w:w="2569" w:type="dxa"/>
          </w:tcPr>
          <w:p w:rsidR="003F5784" w14:paraId="714C40F3" w14:textId="77777777">
            <w:pPr>
              <w:pStyle w:val="TableParagraph"/>
              <w:ind w:right="307"/>
              <w:rPr>
                <w:sz w:val="21"/>
              </w:rPr>
            </w:pPr>
            <w:r>
              <w:rPr>
                <w:sz w:val="21"/>
              </w:rPr>
              <w:t>Achievement</w:t>
            </w:r>
            <w:r>
              <w:rPr>
                <w:spacing w:val="-13"/>
                <w:sz w:val="21"/>
              </w:rPr>
              <w:t xml:space="preserve"> </w:t>
            </w:r>
            <w:r>
              <w:rPr>
                <w:spacing w:val="-4"/>
                <w:sz w:val="21"/>
              </w:rPr>
              <w:t>data</w:t>
            </w:r>
          </w:p>
        </w:tc>
        <w:tc>
          <w:tcPr>
            <w:tcW w:w="2059" w:type="dxa"/>
          </w:tcPr>
          <w:p w:rsidR="003F5784" w14:paraId="1564A4B7" w14:textId="77777777">
            <w:pPr>
              <w:pStyle w:val="TableParagraph"/>
              <w:ind w:right="502"/>
              <w:rPr>
                <w:sz w:val="21"/>
              </w:rPr>
            </w:pPr>
            <w:r>
              <w:rPr>
                <w:sz w:val="21"/>
              </w:rPr>
              <w:t>10th</w:t>
            </w:r>
            <w:r>
              <w:rPr>
                <w:spacing w:val="-5"/>
                <w:sz w:val="21"/>
              </w:rPr>
              <w:t xml:space="preserve"> </w:t>
            </w:r>
            <w:r>
              <w:rPr>
                <w:spacing w:val="-2"/>
                <w:sz w:val="21"/>
              </w:rPr>
              <w:t>percentile</w:t>
            </w:r>
          </w:p>
        </w:tc>
        <w:tc>
          <w:tcPr>
            <w:tcW w:w="1792" w:type="dxa"/>
          </w:tcPr>
          <w:p w:rsidR="003F5784" w14:paraId="510FAC76" w14:textId="77777777">
            <w:pPr>
              <w:pStyle w:val="TableParagraph"/>
              <w:ind w:right="501"/>
              <w:rPr>
                <w:sz w:val="21"/>
              </w:rPr>
            </w:pPr>
            <w:r>
              <w:rPr>
                <w:spacing w:val="-2"/>
                <w:sz w:val="21"/>
              </w:rPr>
              <w:t>21.25</w:t>
            </w:r>
          </w:p>
        </w:tc>
        <w:tc>
          <w:tcPr>
            <w:tcW w:w="1438" w:type="dxa"/>
          </w:tcPr>
          <w:p w:rsidR="003F5784" w14:paraId="61581C9B" w14:textId="77777777">
            <w:pPr>
              <w:pStyle w:val="TableParagraph"/>
              <w:ind w:right="146"/>
              <w:rPr>
                <w:sz w:val="21"/>
              </w:rPr>
            </w:pPr>
            <w:r>
              <w:rPr>
                <w:spacing w:val="-2"/>
                <w:sz w:val="21"/>
              </w:rPr>
              <w:t>24.05</w:t>
            </w:r>
          </w:p>
        </w:tc>
        <w:tc>
          <w:tcPr>
            <w:tcW w:w="2077" w:type="dxa"/>
          </w:tcPr>
          <w:p w:rsidR="003F5784" w14:paraId="0C4E5C2D" w14:textId="77777777">
            <w:pPr>
              <w:pStyle w:val="TableParagraph"/>
              <w:ind w:right="114"/>
              <w:rPr>
                <w:sz w:val="21"/>
              </w:rPr>
            </w:pPr>
            <w:r>
              <w:rPr>
                <w:sz w:val="21"/>
              </w:rPr>
              <w:t>(22.15,</w:t>
            </w:r>
            <w:r>
              <w:rPr>
                <w:spacing w:val="-7"/>
                <w:sz w:val="21"/>
              </w:rPr>
              <w:t xml:space="preserve"> </w:t>
            </w:r>
            <w:r>
              <w:rPr>
                <w:spacing w:val="-2"/>
                <w:sz w:val="21"/>
              </w:rPr>
              <w:t>26.31)</w:t>
            </w:r>
          </w:p>
        </w:tc>
      </w:tr>
      <w:tr w14:paraId="750E1740" w14:textId="77777777">
        <w:tblPrEx>
          <w:tblW w:w="0" w:type="auto"/>
          <w:tblInd w:w="482" w:type="dxa"/>
          <w:tblLayout w:type="fixed"/>
          <w:tblCellMar>
            <w:left w:w="0" w:type="dxa"/>
            <w:right w:w="0" w:type="dxa"/>
          </w:tblCellMar>
          <w:tblLook w:val="01E0"/>
        </w:tblPrEx>
        <w:trPr>
          <w:trHeight w:val="286"/>
        </w:trPr>
        <w:tc>
          <w:tcPr>
            <w:tcW w:w="1042" w:type="dxa"/>
          </w:tcPr>
          <w:p w:rsidR="003F5784" w14:paraId="79D9ABD1" w14:textId="77777777">
            <w:pPr>
              <w:pStyle w:val="TableParagraph"/>
              <w:spacing w:before="0"/>
              <w:jc w:val="left"/>
              <w:rPr>
                <w:sz w:val="20"/>
              </w:rPr>
            </w:pPr>
          </w:p>
        </w:tc>
        <w:tc>
          <w:tcPr>
            <w:tcW w:w="3004" w:type="dxa"/>
          </w:tcPr>
          <w:p w:rsidR="003F5784" w14:paraId="2EA1582E" w14:textId="77777777">
            <w:pPr>
              <w:pStyle w:val="TableParagraph"/>
              <w:ind w:left="411"/>
              <w:jc w:val="left"/>
              <w:rPr>
                <w:sz w:val="21"/>
              </w:rPr>
            </w:pPr>
            <w:r>
              <w:rPr>
                <w:spacing w:val="-2"/>
                <w:sz w:val="21"/>
              </w:rPr>
              <w:t>Washington</w:t>
            </w:r>
          </w:p>
        </w:tc>
        <w:tc>
          <w:tcPr>
            <w:tcW w:w="2569" w:type="dxa"/>
          </w:tcPr>
          <w:p w:rsidR="003F5784" w14:paraId="7EC09BDF" w14:textId="77777777">
            <w:pPr>
              <w:pStyle w:val="TableParagraph"/>
              <w:ind w:right="307"/>
              <w:rPr>
                <w:sz w:val="21"/>
              </w:rPr>
            </w:pPr>
            <w:r>
              <w:rPr>
                <w:sz w:val="21"/>
              </w:rPr>
              <w:t>Achievement</w:t>
            </w:r>
            <w:r>
              <w:rPr>
                <w:spacing w:val="-13"/>
                <w:sz w:val="21"/>
              </w:rPr>
              <w:t xml:space="preserve"> </w:t>
            </w:r>
            <w:r>
              <w:rPr>
                <w:spacing w:val="-4"/>
                <w:sz w:val="21"/>
              </w:rPr>
              <w:t>data</w:t>
            </w:r>
          </w:p>
        </w:tc>
        <w:tc>
          <w:tcPr>
            <w:tcW w:w="2059" w:type="dxa"/>
          </w:tcPr>
          <w:p w:rsidR="003F5784" w14:paraId="3E28BEEF" w14:textId="77777777">
            <w:pPr>
              <w:pStyle w:val="TableParagraph"/>
              <w:ind w:right="502"/>
              <w:rPr>
                <w:sz w:val="21"/>
              </w:rPr>
            </w:pPr>
            <w:r>
              <w:rPr>
                <w:sz w:val="21"/>
              </w:rPr>
              <w:t>50th</w:t>
            </w:r>
            <w:r>
              <w:rPr>
                <w:spacing w:val="-5"/>
                <w:sz w:val="21"/>
              </w:rPr>
              <w:t xml:space="preserve"> </w:t>
            </w:r>
            <w:r>
              <w:rPr>
                <w:spacing w:val="-2"/>
                <w:sz w:val="21"/>
              </w:rPr>
              <w:t>percentile</w:t>
            </w:r>
          </w:p>
        </w:tc>
        <w:tc>
          <w:tcPr>
            <w:tcW w:w="1792" w:type="dxa"/>
          </w:tcPr>
          <w:p w:rsidR="003F5784" w14:paraId="3C31B9A8" w14:textId="77777777">
            <w:pPr>
              <w:pStyle w:val="TableParagraph"/>
              <w:ind w:right="501"/>
              <w:rPr>
                <w:sz w:val="21"/>
              </w:rPr>
            </w:pPr>
            <w:r>
              <w:rPr>
                <w:spacing w:val="-2"/>
                <w:sz w:val="21"/>
              </w:rPr>
              <w:t>55.14</w:t>
            </w:r>
          </w:p>
        </w:tc>
        <w:tc>
          <w:tcPr>
            <w:tcW w:w="1438" w:type="dxa"/>
          </w:tcPr>
          <w:p w:rsidR="003F5784" w14:paraId="5AAC2BE9" w14:textId="77777777">
            <w:pPr>
              <w:pStyle w:val="TableParagraph"/>
              <w:ind w:right="146"/>
              <w:rPr>
                <w:sz w:val="21"/>
              </w:rPr>
            </w:pPr>
            <w:r>
              <w:rPr>
                <w:spacing w:val="-2"/>
                <w:sz w:val="21"/>
              </w:rPr>
              <w:t>57.97</w:t>
            </w:r>
          </w:p>
        </w:tc>
        <w:tc>
          <w:tcPr>
            <w:tcW w:w="2077" w:type="dxa"/>
          </w:tcPr>
          <w:p w:rsidR="003F5784" w14:paraId="1A1D673C" w14:textId="77777777">
            <w:pPr>
              <w:pStyle w:val="TableParagraph"/>
              <w:ind w:right="114"/>
              <w:rPr>
                <w:sz w:val="21"/>
              </w:rPr>
            </w:pPr>
            <w:r>
              <w:rPr>
                <w:sz w:val="21"/>
              </w:rPr>
              <w:t>(55.39,</w:t>
            </w:r>
            <w:r>
              <w:rPr>
                <w:spacing w:val="-7"/>
                <w:sz w:val="21"/>
              </w:rPr>
              <w:t xml:space="preserve"> </w:t>
            </w:r>
            <w:r>
              <w:rPr>
                <w:spacing w:val="-2"/>
                <w:sz w:val="21"/>
              </w:rPr>
              <w:t>58.66)</w:t>
            </w:r>
          </w:p>
        </w:tc>
      </w:tr>
      <w:tr w14:paraId="5CE03825" w14:textId="77777777">
        <w:tblPrEx>
          <w:tblW w:w="0" w:type="auto"/>
          <w:tblInd w:w="482" w:type="dxa"/>
          <w:tblLayout w:type="fixed"/>
          <w:tblCellMar>
            <w:left w:w="0" w:type="dxa"/>
            <w:right w:w="0" w:type="dxa"/>
          </w:tblCellMar>
          <w:tblLook w:val="01E0"/>
        </w:tblPrEx>
        <w:trPr>
          <w:trHeight w:val="286"/>
        </w:trPr>
        <w:tc>
          <w:tcPr>
            <w:tcW w:w="1042" w:type="dxa"/>
          </w:tcPr>
          <w:p w:rsidR="003F5784" w14:paraId="389EE3C4" w14:textId="77777777">
            <w:pPr>
              <w:pStyle w:val="TableParagraph"/>
              <w:spacing w:before="0"/>
              <w:jc w:val="left"/>
              <w:rPr>
                <w:sz w:val="20"/>
              </w:rPr>
            </w:pPr>
          </w:p>
        </w:tc>
        <w:tc>
          <w:tcPr>
            <w:tcW w:w="3004" w:type="dxa"/>
          </w:tcPr>
          <w:p w:rsidR="003F5784" w14:paraId="4294B73C" w14:textId="77777777">
            <w:pPr>
              <w:pStyle w:val="TableParagraph"/>
              <w:ind w:left="411"/>
              <w:jc w:val="left"/>
              <w:rPr>
                <w:sz w:val="21"/>
              </w:rPr>
            </w:pPr>
            <w:r>
              <w:rPr>
                <w:spacing w:val="-2"/>
                <w:sz w:val="21"/>
              </w:rPr>
              <w:t>Washington</w:t>
            </w:r>
          </w:p>
        </w:tc>
        <w:tc>
          <w:tcPr>
            <w:tcW w:w="2569" w:type="dxa"/>
          </w:tcPr>
          <w:p w:rsidR="003F5784" w14:paraId="5E465B40" w14:textId="77777777">
            <w:pPr>
              <w:pStyle w:val="TableParagraph"/>
              <w:ind w:right="307"/>
              <w:rPr>
                <w:sz w:val="21"/>
              </w:rPr>
            </w:pPr>
            <w:r>
              <w:rPr>
                <w:sz w:val="21"/>
              </w:rPr>
              <w:t>Achievement</w:t>
            </w:r>
            <w:r>
              <w:rPr>
                <w:spacing w:val="-13"/>
                <w:sz w:val="21"/>
              </w:rPr>
              <w:t xml:space="preserve"> </w:t>
            </w:r>
            <w:r>
              <w:rPr>
                <w:spacing w:val="-4"/>
                <w:sz w:val="21"/>
              </w:rPr>
              <w:t>data</w:t>
            </w:r>
          </w:p>
        </w:tc>
        <w:tc>
          <w:tcPr>
            <w:tcW w:w="2059" w:type="dxa"/>
          </w:tcPr>
          <w:p w:rsidR="003F5784" w14:paraId="4C279A04" w14:textId="77777777">
            <w:pPr>
              <w:pStyle w:val="TableParagraph"/>
              <w:ind w:right="502"/>
              <w:rPr>
                <w:sz w:val="21"/>
              </w:rPr>
            </w:pPr>
            <w:r>
              <w:rPr>
                <w:sz w:val="21"/>
              </w:rPr>
              <w:t>90th</w:t>
            </w:r>
            <w:r>
              <w:rPr>
                <w:spacing w:val="-5"/>
                <w:sz w:val="21"/>
              </w:rPr>
              <w:t xml:space="preserve"> </w:t>
            </w:r>
            <w:r>
              <w:rPr>
                <w:spacing w:val="-2"/>
                <w:sz w:val="21"/>
              </w:rPr>
              <w:t>percentile</w:t>
            </w:r>
          </w:p>
        </w:tc>
        <w:tc>
          <w:tcPr>
            <w:tcW w:w="1792" w:type="dxa"/>
          </w:tcPr>
          <w:p w:rsidR="003F5784" w14:paraId="264C5748" w14:textId="77777777">
            <w:pPr>
              <w:pStyle w:val="TableParagraph"/>
              <w:ind w:right="501"/>
              <w:rPr>
                <w:sz w:val="21"/>
              </w:rPr>
            </w:pPr>
            <w:r>
              <w:rPr>
                <w:spacing w:val="-2"/>
                <w:sz w:val="21"/>
              </w:rPr>
              <w:t>79.44</w:t>
            </w:r>
          </w:p>
        </w:tc>
        <w:tc>
          <w:tcPr>
            <w:tcW w:w="1438" w:type="dxa"/>
          </w:tcPr>
          <w:p w:rsidR="003F5784" w14:paraId="59BD381A" w14:textId="77777777">
            <w:pPr>
              <w:pStyle w:val="TableParagraph"/>
              <w:ind w:right="146"/>
              <w:rPr>
                <w:sz w:val="21"/>
              </w:rPr>
            </w:pPr>
            <w:r>
              <w:rPr>
                <w:spacing w:val="-2"/>
                <w:sz w:val="21"/>
              </w:rPr>
              <w:t>75.83</w:t>
            </w:r>
          </w:p>
        </w:tc>
        <w:tc>
          <w:tcPr>
            <w:tcW w:w="2077" w:type="dxa"/>
          </w:tcPr>
          <w:p w:rsidR="003F5784" w14:paraId="4B1E1A35" w14:textId="77777777">
            <w:pPr>
              <w:pStyle w:val="TableParagraph"/>
              <w:ind w:right="114"/>
              <w:rPr>
                <w:sz w:val="21"/>
              </w:rPr>
            </w:pPr>
            <w:r>
              <w:rPr>
                <w:sz w:val="21"/>
              </w:rPr>
              <w:t>(74.84,</w:t>
            </w:r>
            <w:r>
              <w:rPr>
                <w:spacing w:val="-7"/>
                <w:sz w:val="21"/>
              </w:rPr>
              <w:t xml:space="preserve"> </w:t>
            </w:r>
            <w:r>
              <w:rPr>
                <w:spacing w:val="-2"/>
                <w:sz w:val="21"/>
              </w:rPr>
              <w:t>78.31)</w:t>
            </w:r>
          </w:p>
        </w:tc>
      </w:tr>
      <w:tr w14:paraId="7895F09E" w14:textId="77777777">
        <w:tblPrEx>
          <w:tblW w:w="0" w:type="auto"/>
          <w:tblInd w:w="482" w:type="dxa"/>
          <w:tblLayout w:type="fixed"/>
          <w:tblCellMar>
            <w:left w:w="0" w:type="dxa"/>
            <w:right w:w="0" w:type="dxa"/>
          </w:tblCellMar>
          <w:tblLook w:val="01E0"/>
        </w:tblPrEx>
        <w:trPr>
          <w:trHeight w:val="286"/>
        </w:trPr>
        <w:tc>
          <w:tcPr>
            <w:tcW w:w="1042" w:type="dxa"/>
          </w:tcPr>
          <w:p w:rsidR="003F5784" w14:paraId="20D6DBEE" w14:textId="77777777">
            <w:pPr>
              <w:pStyle w:val="TableParagraph"/>
              <w:spacing w:before="0"/>
              <w:jc w:val="left"/>
              <w:rPr>
                <w:sz w:val="20"/>
              </w:rPr>
            </w:pPr>
          </w:p>
        </w:tc>
        <w:tc>
          <w:tcPr>
            <w:tcW w:w="3004" w:type="dxa"/>
          </w:tcPr>
          <w:p w:rsidR="003F5784" w14:paraId="6DBFEFEE" w14:textId="77777777">
            <w:pPr>
              <w:pStyle w:val="TableParagraph"/>
              <w:ind w:left="411"/>
              <w:jc w:val="left"/>
              <w:rPr>
                <w:sz w:val="21"/>
              </w:rPr>
            </w:pPr>
            <w:r>
              <w:rPr>
                <w:spacing w:val="-2"/>
                <w:sz w:val="21"/>
              </w:rPr>
              <w:t>Albuquerque</w:t>
            </w:r>
          </w:p>
        </w:tc>
        <w:tc>
          <w:tcPr>
            <w:tcW w:w="2569" w:type="dxa"/>
          </w:tcPr>
          <w:p w:rsidR="003F5784" w14:paraId="77647FAF" w14:textId="77777777">
            <w:pPr>
              <w:pStyle w:val="TableParagraph"/>
              <w:ind w:right="307"/>
              <w:rPr>
                <w:sz w:val="21"/>
              </w:rPr>
            </w:pPr>
            <w:r>
              <w:rPr>
                <w:sz w:val="21"/>
              </w:rPr>
              <w:t>Achievement</w:t>
            </w:r>
            <w:r>
              <w:rPr>
                <w:spacing w:val="-13"/>
                <w:sz w:val="21"/>
              </w:rPr>
              <w:t xml:space="preserve"> </w:t>
            </w:r>
            <w:r>
              <w:rPr>
                <w:spacing w:val="-4"/>
                <w:sz w:val="21"/>
              </w:rPr>
              <w:t>data</w:t>
            </w:r>
          </w:p>
        </w:tc>
        <w:tc>
          <w:tcPr>
            <w:tcW w:w="2059" w:type="dxa"/>
          </w:tcPr>
          <w:p w:rsidR="003F5784" w14:paraId="65835116" w14:textId="77777777">
            <w:pPr>
              <w:pStyle w:val="TableParagraph"/>
              <w:ind w:right="502"/>
              <w:rPr>
                <w:sz w:val="21"/>
              </w:rPr>
            </w:pPr>
            <w:r>
              <w:rPr>
                <w:sz w:val="21"/>
              </w:rPr>
              <w:t>25th</w:t>
            </w:r>
            <w:r>
              <w:rPr>
                <w:spacing w:val="-5"/>
                <w:sz w:val="21"/>
              </w:rPr>
              <w:t xml:space="preserve"> </w:t>
            </w:r>
            <w:r>
              <w:rPr>
                <w:spacing w:val="-2"/>
                <w:sz w:val="21"/>
              </w:rPr>
              <w:t>percentile</w:t>
            </w:r>
          </w:p>
        </w:tc>
        <w:tc>
          <w:tcPr>
            <w:tcW w:w="1792" w:type="dxa"/>
          </w:tcPr>
          <w:p w:rsidR="003F5784" w14:paraId="79CAA436" w14:textId="77777777">
            <w:pPr>
              <w:pStyle w:val="TableParagraph"/>
              <w:ind w:right="501"/>
              <w:rPr>
                <w:sz w:val="21"/>
              </w:rPr>
            </w:pPr>
            <w:r>
              <w:rPr>
                <w:spacing w:val="-2"/>
                <w:sz w:val="21"/>
              </w:rPr>
              <w:t>12.50</w:t>
            </w:r>
          </w:p>
        </w:tc>
        <w:tc>
          <w:tcPr>
            <w:tcW w:w="1438" w:type="dxa"/>
          </w:tcPr>
          <w:p w:rsidR="003F5784" w14:paraId="6E0AA90B" w14:textId="77777777">
            <w:pPr>
              <w:pStyle w:val="TableParagraph"/>
              <w:ind w:right="146"/>
              <w:rPr>
                <w:sz w:val="21"/>
              </w:rPr>
            </w:pPr>
            <w:r>
              <w:rPr>
                <w:spacing w:val="-2"/>
                <w:sz w:val="21"/>
              </w:rPr>
              <w:t>11.66</w:t>
            </w:r>
          </w:p>
        </w:tc>
        <w:tc>
          <w:tcPr>
            <w:tcW w:w="2077" w:type="dxa"/>
          </w:tcPr>
          <w:p w:rsidR="003F5784" w14:paraId="2A040DE6" w14:textId="77777777">
            <w:pPr>
              <w:pStyle w:val="TableParagraph"/>
              <w:ind w:right="114"/>
              <w:rPr>
                <w:sz w:val="21"/>
              </w:rPr>
            </w:pPr>
            <w:r>
              <w:rPr>
                <w:sz w:val="21"/>
              </w:rPr>
              <w:t>(10.63,</w:t>
            </w:r>
            <w:r>
              <w:rPr>
                <w:spacing w:val="-7"/>
                <w:sz w:val="21"/>
              </w:rPr>
              <w:t xml:space="preserve"> </w:t>
            </w:r>
            <w:r>
              <w:rPr>
                <w:spacing w:val="-2"/>
                <w:sz w:val="21"/>
              </w:rPr>
              <w:t>12.21)</w:t>
            </w:r>
          </w:p>
        </w:tc>
      </w:tr>
      <w:tr w14:paraId="6E9E3BCC" w14:textId="77777777">
        <w:tblPrEx>
          <w:tblW w:w="0" w:type="auto"/>
          <w:tblInd w:w="482" w:type="dxa"/>
          <w:tblLayout w:type="fixed"/>
          <w:tblCellMar>
            <w:left w:w="0" w:type="dxa"/>
            <w:right w:w="0" w:type="dxa"/>
          </w:tblCellMar>
          <w:tblLook w:val="01E0"/>
        </w:tblPrEx>
        <w:trPr>
          <w:trHeight w:val="286"/>
        </w:trPr>
        <w:tc>
          <w:tcPr>
            <w:tcW w:w="1042" w:type="dxa"/>
          </w:tcPr>
          <w:p w:rsidR="003F5784" w14:paraId="2B3CC2DA" w14:textId="77777777">
            <w:pPr>
              <w:pStyle w:val="TableParagraph"/>
              <w:spacing w:before="0"/>
              <w:jc w:val="left"/>
              <w:rPr>
                <w:sz w:val="20"/>
              </w:rPr>
            </w:pPr>
          </w:p>
        </w:tc>
        <w:tc>
          <w:tcPr>
            <w:tcW w:w="3004" w:type="dxa"/>
          </w:tcPr>
          <w:p w:rsidR="003F5784" w14:paraId="550BFCEF" w14:textId="77777777">
            <w:pPr>
              <w:pStyle w:val="TableParagraph"/>
              <w:ind w:left="411"/>
              <w:jc w:val="left"/>
              <w:rPr>
                <w:sz w:val="21"/>
              </w:rPr>
            </w:pPr>
            <w:r>
              <w:rPr>
                <w:spacing w:val="-2"/>
                <w:sz w:val="21"/>
              </w:rPr>
              <w:t>Austin</w:t>
            </w:r>
          </w:p>
        </w:tc>
        <w:tc>
          <w:tcPr>
            <w:tcW w:w="2569" w:type="dxa"/>
          </w:tcPr>
          <w:p w:rsidR="003F5784" w14:paraId="47F35190" w14:textId="77777777">
            <w:pPr>
              <w:pStyle w:val="TableParagraph"/>
              <w:ind w:right="307"/>
              <w:rPr>
                <w:sz w:val="21"/>
              </w:rPr>
            </w:pPr>
            <w:r>
              <w:rPr>
                <w:sz w:val="21"/>
              </w:rPr>
              <w:t>Achievement</w:t>
            </w:r>
            <w:r>
              <w:rPr>
                <w:spacing w:val="-13"/>
                <w:sz w:val="21"/>
              </w:rPr>
              <w:t xml:space="preserve"> </w:t>
            </w:r>
            <w:r>
              <w:rPr>
                <w:spacing w:val="-4"/>
                <w:sz w:val="21"/>
              </w:rPr>
              <w:t>data</w:t>
            </w:r>
          </w:p>
        </w:tc>
        <w:tc>
          <w:tcPr>
            <w:tcW w:w="2059" w:type="dxa"/>
          </w:tcPr>
          <w:p w:rsidR="003F5784" w14:paraId="5C8CDB00" w14:textId="77777777">
            <w:pPr>
              <w:pStyle w:val="TableParagraph"/>
              <w:ind w:right="502"/>
              <w:rPr>
                <w:sz w:val="21"/>
              </w:rPr>
            </w:pPr>
            <w:r>
              <w:rPr>
                <w:sz w:val="21"/>
              </w:rPr>
              <w:t>90th</w:t>
            </w:r>
            <w:r>
              <w:rPr>
                <w:spacing w:val="-5"/>
                <w:sz w:val="21"/>
              </w:rPr>
              <w:t xml:space="preserve"> </w:t>
            </w:r>
            <w:r>
              <w:rPr>
                <w:spacing w:val="-2"/>
                <w:sz w:val="21"/>
              </w:rPr>
              <w:t>percentile</w:t>
            </w:r>
          </w:p>
        </w:tc>
        <w:tc>
          <w:tcPr>
            <w:tcW w:w="1792" w:type="dxa"/>
          </w:tcPr>
          <w:p w:rsidR="003F5784" w14:paraId="22BA791A" w14:textId="77777777">
            <w:pPr>
              <w:pStyle w:val="TableParagraph"/>
              <w:ind w:right="501"/>
              <w:rPr>
                <w:sz w:val="21"/>
              </w:rPr>
            </w:pPr>
            <w:r>
              <w:rPr>
                <w:spacing w:val="-2"/>
                <w:sz w:val="21"/>
              </w:rPr>
              <w:t>69.64</w:t>
            </w:r>
          </w:p>
        </w:tc>
        <w:tc>
          <w:tcPr>
            <w:tcW w:w="1438" w:type="dxa"/>
          </w:tcPr>
          <w:p w:rsidR="003F5784" w14:paraId="66C495B6" w14:textId="77777777">
            <w:pPr>
              <w:pStyle w:val="TableParagraph"/>
              <w:ind w:right="146"/>
              <w:rPr>
                <w:sz w:val="21"/>
              </w:rPr>
            </w:pPr>
            <w:r>
              <w:rPr>
                <w:spacing w:val="-2"/>
                <w:sz w:val="21"/>
              </w:rPr>
              <w:t>69.40</w:t>
            </w:r>
          </w:p>
        </w:tc>
        <w:tc>
          <w:tcPr>
            <w:tcW w:w="2077" w:type="dxa"/>
          </w:tcPr>
          <w:p w:rsidR="003F5784" w14:paraId="1EB05AF5" w14:textId="77777777">
            <w:pPr>
              <w:pStyle w:val="TableParagraph"/>
              <w:ind w:right="114"/>
              <w:rPr>
                <w:sz w:val="21"/>
              </w:rPr>
            </w:pPr>
            <w:r>
              <w:rPr>
                <w:sz w:val="21"/>
              </w:rPr>
              <w:t>(69.36,</w:t>
            </w:r>
            <w:r>
              <w:rPr>
                <w:spacing w:val="-7"/>
                <w:sz w:val="21"/>
              </w:rPr>
              <w:t xml:space="preserve"> </w:t>
            </w:r>
            <w:r>
              <w:rPr>
                <w:spacing w:val="-2"/>
                <w:sz w:val="21"/>
              </w:rPr>
              <w:t>69.44)</w:t>
            </w:r>
          </w:p>
        </w:tc>
      </w:tr>
      <w:tr w14:paraId="7AF4AD45" w14:textId="77777777">
        <w:tblPrEx>
          <w:tblW w:w="0" w:type="auto"/>
          <w:tblInd w:w="482" w:type="dxa"/>
          <w:tblLayout w:type="fixed"/>
          <w:tblCellMar>
            <w:left w:w="0" w:type="dxa"/>
            <w:right w:w="0" w:type="dxa"/>
          </w:tblCellMar>
          <w:tblLook w:val="01E0"/>
        </w:tblPrEx>
        <w:trPr>
          <w:trHeight w:val="286"/>
        </w:trPr>
        <w:tc>
          <w:tcPr>
            <w:tcW w:w="1042" w:type="dxa"/>
          </w:tcPr>
          <w:p w:rsidR="003F5784" w14:paraId="4768F64C" w14:textId="77777777">
            <w:pPr>
              <w:pStyle w:val="TableParagraph"/>
              <w:spacing w:before="0"/>
              <w:jc w:val="left"/>
              <w:rPr>
                <w:sz w:val="20"/>
              </w:rPr>
            </w:pPr>
          </w:p>
        </w:tc>
        <w:tc>
          <w:tcPr>
            <w:tcW w:w="3004" w:type="dxa"/>
          </w:tcPr>
          <w:p w:rsidR="003F5784" w14:paraId="20BD9EBF" w14:textId="77777777">
            <w:pPr>
              <w:pStyle w:val="TableParagraph"/>
              <w:ind w:left="411"/>
              <w:jc w:val="left"/>
              <w:rPr>
                <w:sz w:val="21"/>
              </w:rPr>
            </w:pPr>
            <w:r>
              <w:rPr>
                <w:spacing w:val="-2"/>
                <w:sz w:val="21"/>
              </w:rPr>
              <w:t>Baltimore</w:t>
            </w:r>
          </w:p>
        </w:tc>
        <w:tc>
          <w:tcPr>
            <w:tcW w:w="2569" w:type="dxa"/>
          </w:tcPr>
          <w:p w:rsidR="003F5784" w14:paraId="257FD6C3" w14:textId="77777777">
            <w:pPr>
              <w:pStyle w:val="TableParagraph"/>
              <w:ind w:right="307"/>
              <w:rPr>
                <w:sz w:val="21"/>
              </w:rPr>
            </w:pPr>
            <w:r>
              <w:rPr>
                <w:sz w:val="21"/>
              </w:rPr>
              <w:t>Achievement</w:t>
            </w:r>
            <w:r>
              <w:rPr>
                <w:spacing w:val="-13"/>
                <w:sz w:val="21"/>
              </w:rPr>
              <w:t xml:space="preserve"> </w:t>
            </w:r>
            <w:r>
              <w:rPr>
                <w:spacing w:val="-4"/>
                <w:sz w:val="21"/>
              </w:rPr>
              <w:t>data</w:t>
            </w:r>
          </w:p>
        </w:tc>
        <w:tc>
          <w:tcPr>
            <w:tcW w:w="2059" w:type="dxa"/>
          </w:tcPr>
          <w:p w:rsidR="003F5784" w14:paraId="345EB45B" w14:textId="77777777">
            <w:pPr>
              <w:pStyle w:val="TableParagraph"/>
              <w:ind w:right="502"/>
              <w:rPr>
                <w:sz w:val="21"/>
              </w:rPr>
            </w:pPr>
            <w:r>
              <w:rPr>
                <w:sz w:val="21"/>
              </w:rPr>
              <w:t>90th</w:t>
            </w:r>
            <w:r>
              <w:rPr>
                <w:spacing w:val="-5"/>
                <w:sz w:val="21"/>
              </w:rPr>
              <w:t xml:space="preserve"> </w:t>
            </w:r>
            <w:r>
              <w:rPr>
                <w:spacing w:val="-2"/>
                <w:sz w:val="21"/>
              </w:rPr>
              <w:t>percentile</w:t>
            </w:r>
          </w:p>
        </w:tc>
        <w:tc>
          <w:tcPr>
            <w:tcW w:w="1792" w:type="dxa"/>
          </w:tcPr>
          <w:p w:rsidR="003F5784" w14:paraId="3039E5C5" w14:textId="77777777">
            <w:pPr>
              <w:pStyle w:val="TableParagraph"/>
              <w:ind w:right="501"/>
              <w:rPr>
                <w:sz w:val="21"/>
              </w:rPr>
            </w:pPr>
            <w:r>
              <w:rPr>
                <w:spacing w:val="-2"/>
                <w:sz w:val="21"/>
              </w:rPr>
              <w:t>43.00</w:t>
            </w:r>
          </w:p>
        </w:tc>
        <w:tc>
          <w:tcPr>
            <w:tcW w:w="1438" w:type="dxa"/>
          </w:tcPr>
          <w:p w:rsidR="003F5784" w14:paraId="383080D2" w14:textId="77777777">
            <w:pPr>
              <w:pStyle w:val="TableParagraph"/>
              <w:ind w:right="146"/>
              <w:rPr>
                <w:sz w:val="21"/>
              </w:rPr>
            </w:pPr>
            <w:r>
              <w:rPr>
                <w:spacing w:val="-2"/>
                <w:sz w:val="21"/>
              </w:rPr>
              <w:t>40.13</w:t>
            </w:r>
          </w:p>
        </w:tc>
        <w:tc>
          <w:tcPr>
            <w:tcW w:w="2077" w:type="dxa"/>
          </w:tcPr>
          <w:p w:rsidR="003F5784" w14:paraId="37CAD25B" w14:textId="77777777">
            <w:pPr>
              <w:pStyle w:val="TableParagraph"/>
              <w:ind w:right="114"/>
              <w:rPr>
                <w:sz w:val="21"/>
              </w:rPr>
            </w:pPr>
            <w:r>
              <w:rPr>
                <w:sz w:val="21"/>
              </w:rPr>
              <w:t>(36.97,</w:t>
            </w:r>
            <w:r>
              <w:rPr>
                <w:spacing w:val="-7"/>
                <w:sz w:val="21"/>
              </w:rPr>
              <w:t xml:space="preserve"> </w:t>
            </w:r>
            <w:r>
              <w:rPr>
                <w:spacing w:val="-2"/>
                <w:sz w:val="21"/>
              </w:rPr>
              <w:t>42.16)</w:t>
            </w:r>
          </w:p>
        </w:tc>
      </w:tr>
      <w:tr w14:paraId="411B6483" w14:textId="77777777">
        <w:tblPrEx>
          <w:tblW w:w="0" w:type="auto"/>
          <w:tblInd w:w="482" w:type="dxa"/>
          <w:tblLayout w:type="fixed"/>
          <w:tblCellMar>
            <w:left w:w="0" w:type="dxa"/>
            <w:right w:w="0" w:type="dxa"/>
          </w:tblCellMar>
          <w:tblLook w:val="01E0"/>
        </w:tblPrEx>
        <w:trPr>
          <w:trHeight w:val="286"/>
        </w:trPr>
        <w:tc>
          <w:tcPr>
            <w:tcW w:w="1042" w:type="dxa"/>
          </w:tcPr>
          <w:p w:rsidR="003F5784" w14:paraId="17A82375" w14:textId="77777777">
            <w:pPr>
              <w:pStyle w:val="TableParagraph"/>
              <w:spacing w:before="0"/>
              <w:jc w:val="left"/>
              <w:rPr>
                <w:sz w:val="20"/>
              </w:rPr>
            </w:pPr>
          </w:p>
        </w:tc>
        <w:tc>
          <w:tcPr>
            <w:tcW w:w="3004" w:type="dxa"/>
          </w:tcPr>
          <w:p w:rsidR="003F5784" w14:paraId="28650EDB" w14:textId="77777777">
            <w:pPr>
              <w:pStyle w:val="TableParagraph"/>
              <w:ind w:left="411"/>
              <w:jc w:val="left"/>
              <w:rPr>
                <w:sz w:val="21"/>
              </w:rPr>
            </w:pPr>
            <w:r>
              <w:rPr>
                <w:spacing w:val="-2"/>
                <w:sz w:val="21"/>
              </w:rPr>
              <w:t>Charlotte-Mecklenburg</w:t>
            </w:r>
          </w:p>
        </w:tc>
        <w:tc>
          <w:tcPr>
            <w:tcW w:w="2569" w:type="dxa"/>
          </w:tcPr>
          <w:p w:rsidR="003F5784" w14:paraId="47F7A8BF" w14:textId="77777777">
            <w:pPr>
              <w:pStyle w:val="TableParagraph"/>
              <w:ind w:right="307"/>
              <w:rPr>
                <w:sz w:val="21"/>
              </w:rPr>
            </w:pPr>
            <w:r>
              <w:rPr>
                <w:sz w:val="21"/>
              </w:rPr>
              <w:t>Achievement</w:t>
            </w:r>
            <w:r>
              <w:rPr>
                <w:spacing w:val="-13"/>
                <w:sz w:val="21"/>
              </w:rPr>
              <w:t xml:space="preserve"> </w:t>
            </w:r>
            <w:r>
              <w:rPr>
                <w:spacing w:val="-4"/>
                <w:sz w:val="21"/>
              </w:rPr>
              <w:t>data</w:t>
            </w:r>
          </w:p>
        </w:tc>
        <w:tc>
          <w:tcPr>
            <w:tcW w:w="2059" w:type="dxa"/>
          </w:tcPr>
          <w:p w:rsidR="003F5784" w14:paraId="03118247" w14:textId="77777777">
            <w:pPr>
              <w:pStyle w:val="TableParagraph"/>
              <w:ind w:right="502"/>
              <w:rPr>
                <w:sz w:val="21"/>
              </w:rPr>
            </w:pPr>
            <w:r>
              <w:rPr>
                <w:sz w:val="21"/>
              </w:rPr>
              <w:t>25th</w:t>
            </w:r>
            <w:r>
              <w:rPr>
                <w:spacing w:val="-5"/>
                <w:sz w:val="21"/>
              </w:rPr>
              <w:t xml:space="preserve"> </w:t>
            </w:r>
            <w:r>
              <w:rPr>
                <w:spacing w:val="-2"/>
                <w:sz w:val="21"/>
              </w:rPr>
              <w:t>percentile</w:t>
            </w:r>
          </w:p>
        </w:tc>
        <w:tc>
          <w:tcPr>
            <w:tcW w:w="1792" w:type="dxa"/>
          </w:tcPr>
          <w:p w:rsidR="003F5784" w14:paraId="51BF9DEE" w14:textId="77777777">
            <w:pPr>
              <w:pStyle w:val="TableParagraph"/>
              <w:ind w:right="501"/>
              <w:rPr>
                <w:sz w:val="21"/>
              </w:rPr>
            </w:pPr>
            <w:r>
              <w:rPr>
                <w:spacing w:val="-2"/>
                <w:sz w:val="21"/>
              </w:rPr>
              <w:t>31.71</w:t>
            </w:r>
          </w:p>
        </w:tc>
        <w:tc>
          <w:tcPr>
            <w:tcW w:w="1438" w:type="dxa"/>
          </w:tcPr>
          <w:p w:rsidR="003F5784" w14:paraId="3F1A9FE3" w14:textId="77777777">
            <w:pPr>
              <w:pStyle w:val="TableParagraph"/>
              <w:ind w:right="146"/>
              <w:rPr>
                <w:sz w:val="21"/>
              </w:rPr>
            </w:pPr>
            <w:r>
              <w:rPr>
                <w:spacing w:val="-2"/>
                <w:sz w:val="21"/>
              </w:rPr>
              <w:t>31.05</w:t>
            </w:r>
          </w:p>
        </w:tc>
        <w:tc>
          <w:tcPr>
            <w:tcW w:w="2077" w:type="dxa"/>
          </w:tcPr>
          <w:p w:rsidR="003F5784" w14:paraId="7B748B92" w14:textId="77777777">
            <w:pPr>
              <w:pStyle w:val="TableParagraph"/>
              <w:ind w:right="114"/>
              <w:rPr>
                <w:sz w:val="21"/>
              </w:rPr>
            </w:pPr>
            <w:r>
              <w:rPr>
                <w:sz w:val="21"/>
              </w:rPr>
              <w:t>(30.91,</w:t>
            </w:r>
            <w:r>
              <w:rPr>
                <w:spacing w:val="-7"/>
                <w:sz w:val="21"/>
              </w:rPr>
              <w:t xml:space="preserve"> </w:t>
            </w:r>
            <w:r>
              <w:rPr>
                <w:spacing w:val="-2"/>
                <w:sz w:val="21"/>
              </w:rPr>
              <w:t>31.14)</w:t>
            </w:r>
          </w:p>
        </w:tc>
      </w:tr>
      <w:tr w14:paraId="5DB3C5E4" w14:textId="77777777">
        <w:tblPrEx>
          <w:tblW w:w="0" w:type="auto"/>
          <w:tblInd w:w="482" w:type="dxa"/>
          <w:tblLayout w:type="fixed"/>
          <w:tblCellMar>
            <w:left w:w="0" w:type="dxa"/>
            <w:right w:w="0" w:type="dxa"/>
          </w:tblCellMar>
          <w:tblLook w:val="01E0"/>
        </w:tblPrEx>
        <w:trPr>
          <w:trHeight w:val="286"/>
        </w:trPr>
        <w:tc>
          <w:tcPr>
            <w:tcW w:w="1042" w:type="dxa"/>
          </w:tcPr>
          <w:p w:rsidR="003F5784" w14:paraId="52EBD4D3" w14:textId="77777777">
            <w:pPr>
              <w:pStyle w:val="TableParagraph"/>
              <w:spacing w:before="0"/>
              <w:jc w:val="left"/>
              <w:rPr>
                <w:sz w:val="20"/>
              </w:rPr>
            </w:pPr>
          </w:p>
        </w:tc>
        <w:tc>
          <w:tcPr>
            <w:tcW w:w="3004" w:type="dxa"/>
          </w:tcPr>
          <w:p w:rsidR="003F5784" w14:paraId="3C507752" w14:textId="77777777">
            <w:pPr>
              <w:pStyle w:val="TableParagraph"/>
              <w:ind w:left="411"/>
              <w:jc w:val="left"/>
              <w:rPr>
                <w:sz w:val="21"/>
              </w:rPr>
            </w:pPr>
            <w:r>
              <w:rPr>
                <w:spacing w:val="-2"/>
                <w:sz w:val="21"/>
              </w:rPr>
              <w:t>Chicago</w:t>
            </w:r>
          </w:p>
        </w:tc>
        <w:tc>
          <w:tcPr>
            <w:tcW w:w="2569" w:type="dxa"/>
          </w:tcPr>
          <w:p w:rsidR="003F5784" w14:paraId="75FE685E" w14:textId="77777777">
            <w:pPr>
              <w:pStyle w:val="TableParagraph"/>
              <w:ind w:right="307"/>
              <w:rPr>
                <w:sz w:val="21"/>
              </w:rPr>
            </w:pPr>
            <w:r>
              <w:rPr>
                <w:sz w:val="21"/>
              </w:rPr>
              <w:t>Achievement</w:t>
            </w:r>
            <w:r>
              <w:rPr>
                <w:spacing w:val="-13"/>
                <w:sz w:val="21"/>
              </w:rPr>
              <w:t xml:space="preserve"> </w:t>
            </w:r>
            <w:r>
              <w:rPr>
                <w:spacing w:val="-4"/>
                <w:sz w:val="21"/>
              </w:rPr>
              <w:t>data</w:t>
            </w:r>
          </w:p>
        </w:tc>
        <w:tc>
          <w:tcPr>
            <w:tcW w:w="2059" w:type="dxa"/>
          </w:tcPr>
          <w:p w:rsidR="003F5784" w14:paraId="3BF6C759" w14:textId="77777777">
            <w:pPr>
              <w:pStyle w:val="TableParagraph"/>
              <w:ind w:right="502"/>
              <w:rPr>
                <w:sz w:val="21"/>
              </w:rPr>
            </w:pPr>
            <w:r>
              <w:rPr>
                <w:sz w:val="21"/>
              </w:rPr>
              <w:t>25th</w:t>
            </w:r>
            <w:r>
              <w:rPr>
                <w:spacing w:val="-5"/>
                <w:sz w:val="21"/>
              </w:rPr>
              <w:t xml:space="preserve"> </w:t>
            </w:r>
            <w:r>
              <w:rPr>
                <w:spacing w:val="-2"/>
                <w:sz w:val="21"/>
              </w:rPr>
              <w:t>percentile</w:t>
            </w:r>
          </w:p>
        </w:tc>
        <w:tc>
          <w:tcPr>
            <w:tcW w:w="1792" w:type="dxa"/>
          </w:tcPr>
          <w:p w:rsidR="003F5784" w14:paraId="054A7C13" w14:textId="77777777">
            <w:pPr>
              <w:pStyle w:val="TableParagraph"/>
              <w:ind w:right="501"/>
              <w:rPr>
                <w:sz w:val="21"/>
              </w:rPr>
            </w:pPr>
            <w:r>
              <w:rPr>
                <w:spacing w:val="-2"/>
                <w:sz w:val="21"/>
              </w:rPr>
              <w:t>10.71</w:t>
            </w:r>
          </w:p>
        </w:tc>
        <w:tc>
          <w:tcPr>
            <w:tcW w:w="1438" w:type="dxa"/>
          </w:tcPr>
          <w:p w:rsidR="003F5784" w14:paraId="1586971B" w14:textId="77777777">
            <w:pPr>
              <w:pStyle w:val="TableParagraph"/>
              <w:ind w:right="146"/>
              <w:rPr>
                <w:sz w:val="21"/>
              </w:rPr>
            </w:pPr>
            <w:r>
              <w:rPr>
                <w:spacing w:val="-2"/>
                <w:sz w:val="21"/>
              </w:rPr>
              <w:t>12.54</w:t>
            </w:r>
          </w:p>
        </w:tc>
        <w:tc>
          <w:tcPr>
            <w:tcW w:w="2077" w:type="dxa"/>
          </w:tcPr>
          <w:p w:rsidR="003F5784" w14:paraId="675FB51B" w14:textId="77777777">
            <w:pPr>
              <w:pStyle w:val="TableParagraph"/>
              <w:ind w:right="114"/>
              <w:rPr>
                <w:sz w:val="21"/>
              </w:rPr>
            </w:pPr>
            <w:r>
              <w:rPr>
                <w:sz w:val="21"/>
              </w:rPr>
              <w:t>(10.87,</w:t>
            </w:r>
            <w:r>
              <w:rPr>
                <w:spacing w:val="-7"/>
                <w:sz w:val="21"/>
              </w:rPr>
              <w:t xml:space="preserve"> </w:t>
            </w:r>
            <w:r>
              <w:rPr>
                <w:spacing w:val="-2"/>
                <w:sz w:val="21"/>
              </w:rPr>
              <w:t>13.81)</w:t>
            </w:r>
          </w:p>
        </w:tc>
      </w:tr>
      <w:tr w14:paraId="17F15E69" w14:textId="77777777">
        <w:tblPrEx>
          <w:tblW w:w="0" w:type="auto"/>
          <w:tblInd w:w="482" w:type="dxa"/>
          <w:tblLayout w:type="fixed"/>
          <w:tblCellMar>
            <w:left w:w="0" w:type="dxa"/>
            <w:right w:w="0" w:type="dxa"/>
          </w:tblCellMar>
          <w:tblLook w:val="01E0"/>
        </w:tblPrEx>
        <w:trPr>
          <w:trHeight w:val="286"/>
        </w:trPr>
        <w:tc>
          <w:tcPr>
            <w:tcW w:w="1042" w:type="dxa"/>
          </w:tcPr>
          <w:p w:rsidR="003F5784" w14:paraId="54BBAA0C" w14:textId="77777777">
            <w:pPr>
              <w:pStyle w:val="TableParagraph"/>
              <w:spacing w:before="0"/>
              <w:jc w:val="left"/>
              <w:rPr>
                <w:sz w:val="20"/>
              </w:rPr>
            </w:pPr>
          </w:p>
        </w:tc>
        <w:tc>
          <w:tcPr>
            <w:tcW w:w="3004" w:type="dxa"/>
          </w:tcPr>
          <w:p w:rsidR="003F5784" w14:paraId="3E776F9E" w14:textId="77777777">
            <w:pPr>
              <w:pStyle w:val="TableParagraph"/>
              <w:ind w:left="411"/>
              <w:jc w:val="left"/>
              <w:rPr>
                <w:sz w:val="21"/>
              </w:rPr>
            </w:pPr>
            <w:r>
              <w:rPr>
                <w:spacing w:val="-2"/>
                <w:sz w:val="21"/>
              </w:rPr>
              <w:t>Dallas</w:t>
            </w:r>
          </w:p>
        </w:tc>
        <w:tc>
          <w:tcPr>
            <w:tcW w:w="2569" w:type="dxa"/>
          </w:tcPr>
          <w:p w:rsidR="003F5784" w14:paraId="0701D166" w14:textId="77777777">
            <w:pPr>
              <w:pStyle w:val="TableParagraph"/>
              <w:ind w:right="307"/>
              <w:rPr>
                <w:sz w:val="21"/>
              </w:rPr>
            </w:pPr>
            <w:r>
              <w:rPr>
                <w:sz w:val="21"/>
              </w:rPr>
              <w:t>Achievement</w:t>
            </w:r>
            <w:r>
              <w:rPr>
                <w:spacing w:val="-13"/>
                <w:sz w:val="21"/>
              </w:rPr>
              <w:t xml:space="preserve"> </w:t>
            </w:r>
            <w:r>
              <w:rPr>
                <w:spacing w:val="-4"/>
                <w:sz w:val="21"/>
              </w:rPr>
              <w:t>data</w:t>
            </w:r>
          </w:p>
        </w:tc>
        <w:tc>
          <w:tcPr>
            <w:tcW w:w="2059" w:type="dxa"/>
          </w:tcPr>
          <w:p w:rsidR="003F5784" w14:paraId="6BCAF717" w14:textId="77777777">
            <w:pPr>
              <w:pStyle w:val="TableParagraph"/>
              <w:ind w:right="502"/>
              <w:rPr>
                <w:sz w:val="21"/>
              </w:rPr>
            </w:pPr>
            <w:r>
              <w:rPr>
                <w:sz w:val="21"/>
              </w:rPr>
              <w:t>50th</w:t>
            </w:r>
            <w:r>
              <w:rPr>
                <w:spacing w:val="-5"/>
                <w:sz w:val="21"/>
              </w:rPr>
              <w:t xml:space="preserve"> </w:t>
            </w:r>
            <w:r>
              <w:rPr>
                <w:spacing w:val="-2"/>
                <w:sz w:val="21"/>
              </w:rPr>
              <w:t>percentile</w:t>
            </w:r>
          </w:p>
        </w:tc>
        <w:tc>
          <w:tcPr>
            <w:tcW w:w="1792" w:type="dxa"/>
          </w:tcPr>
          <w:p w:rsidR="003F5784" w14:paraId="647620AB" w14:textId="77777777">
            <w:pPr>
              <w:pStyle w:val="TableParagraph"/>
              <w:ind w:right="501"/>
              <w:rPr>
                <w:sz w:val="21"/>
              </w:rPr>
            </w:pPr>
            <w:r>
              <w:rPr>
                <w:spacing w:val="-2"/>
                <w:sz w:val="21"/>
              </w:rPr>
              <w:t>42.99</w:t>
            </w:r>
          </w:p>
        </w:tc>
        <w:tc>
          <w:tcPr>
            <w:tcW w:w="1438" w:type="dxa"/>
          </w:tcPr>
          <w:p w:rsidR="003F5784" w14:paraId="22D02EF1" w14:textId="77777777">
            <w:pPr>
              <w:pStyle w:val="TableParagraph"/>
              <w:ind w:right="146"/>
              <w:rPr>
                <w:sz w:val="21"/>
              </w:rPr>
            </w:pPr>
            <w:r>
              <w:rPr>
                <w:spacing w:val="-2"/>
                <w:sz w:val="21"/>
              </w:rPr>
              <w:t>46.39</w:t>
            </w:r>
          </w:p>
        </w:tc>
        <w:tc>
          <w:tcPr>
            <w:tcW w:w="2077" w:type="dxa"/>
          </w:tcPr>
          <w:p w:rsidR="003F5784" w14:paraId="27A59FD4" w14:textId="77777777">
            <w:pPr>
              <w:pStyle w:val="TableParagraph"/>
              <w:ind w:right="114"/>
              <w:rPr>
                <w:sz w:val="21"/>
              </w:rPr>
            </w:pPr>
            <w:r>
              <w:rPr>
                <w:sz w:val="21"/>
              </w:rPr>
              <w:t>(46.37,</w:t>
            </w:r>
            <w:r>
              <w:rPr>
                <w:spacing w:val="-7"/>
                <w:sz w:val="21"/>
              </w:rPr>
              <w:t xml:space="preserve"> </w:t>
            </w:r>
            <w:r>
              <w:rPr>
                <w:spacing w:val="-2"/>
                <w:sz w:val="21"/>
              </w:rPr>
              <w:t>46.41)</w:t>
            </w:r>
          </w:p>
        </w:tc>
      </w:tr>
      <w:tr w14:paraId="50DBCC74" w14:textId="77777777">
        <w:tblPrEx>
          <w:tblW w:w="0" w:type="auto"/>
          <w:tblInd w:w="482" w:type="dxa"/>
          <w:tblLayout w:type="fixed"/>
          <w:tblCellMar>
            <w:left w:w="0" w:type="dxa"/>
            <w:right w:w="0" w:type="dxa"/>
          </w:tblCellMar>
          <w:tblLook w:val="01E0"/>
        </w:tblPrEx>
        <w:trPr>
          <w:trHeight w:val="286"/>
        </w:trPr>
        <w:tc>
          <w:tcPr>
            <w:tcW w:w="1042" w:type="dxa"/>
          </w:tcPr>
          <w:p w:rsidR="003F5784" w14:paraId="21BFA62E" w14:textId="77777777">
            <w:pPr>
              <w:pStyle w:val="TableParagraph"/>
              <w:spacing w:before="0"/>
              <w:jc w:val="left"/>
              <w:rPr>
                <w:sz w:val="20"/>
              </w:rPr>
            </w:pPr>
          </w:p>
        </w:tc>
        <w:tc>
          <w:tcPr>
            <w:tcW w:w="3004" w:type="dxa"/>
          </w:tcPr>
          <w:p w:rsidR="003F5784" w14:paraId="505709DA" w14:textId="77777777">
            <w:pPr>
              <w:pStyle w:val="TableParagraph"/>
              <w:ind w:left="411"/>
              <w:jc w:val="left"/>
              <w:rPr>
                <w:sz w:val="21"/>
              </w:rPr>
            </w:pPr>
            <w:r>
              <w:rPr>
                <w:spacing w:val="-2"/>
                <w:sz w:val="21"/>
              </w:rPr>
              <w:t>Dallas</w:t>
            </w:r>
          </w:p>
        </w:tc>
        <w:tc>
          <w:tcPr>
            <w:tcW w:w="2569" w:type="dxa"/>
          </w:tcPr>
          <w:p w:rsidR="003F5784" w14:paraId="3621D38D" w14:textId="77777777">
            <w:pPr>
              <w:pStyle w:val="TableParagraph"/>
              <w:ind w:right="307"/>
              <w:rPr>
                <w:sz w:val="21"/>
              </w:rPr>
            </w:pPr>
            <w:r>
              <w:rPr>
                <w:sz w:val="21"/>
              </w:rPr>
              <w:t>Achievement</w:t>
            </w:r>
            <w:r>
              <w:rPr>
                <w:spacing w:val="-13"/>
                <w:sz w:val="21"/>
              </w:rPr>
              <w:t xml:space="preserve"> </w:t>
            </w:r>
            <w:r>
              <w:rPr>
                <w:spacing w:val="-4"/>
                <w:sz w:val="21"/>
              </w:rPr>
              <w:t>data</w:t>
            </w:r>
          </w:p>
        </w:tc>
        <w:tc>
          <w:tcPr>
            <w:tcW w:w="2059" w:type="dxa"/>
          </w:tcPr>
          <w:p w:rsidR="003F5784" w14:paraId="4ABD9C84" w14:textId="77777777">
            <w:pPr>
              <w:pStyle w:val="TableParagraph"/>
              <w:ind w:right="502"/>
              <w:rPr>
                <w:sz w:val="21"/>
              </w:rPr>
            </w:pPr>
            <w:r>
              <w:rPr>
                <w:sz w:val="21"/>
              </w:rPr>
              <w:t>75th</w:t>
            </w:r>
            <w:r>
              <w:rPr>
                <w:spacing w:val="-5"/>
                <w:sz w:val="21"/>
              </w:rPr>
              <w:t xml:space="preserve"> </w:t>
            </w:r>
            <w:r>
              <w:rPr>
                <w:spacing w:val="-2"/>
                <w:sz w:val="21"/>
              </w:rPr>
              <w:t>percentile</w:t>
            </w:r>
          </w:p>
        </w:tc>
        <w:tc>
          <w:tcPr>
            <w:tcW w:w="1792" w:type="dxa"/>
          </w:tcPr>
          <w:p w:rsidR="003F5784" w14:paraId="672A5B0D" w14:textId="77777777">
            <w:pPr>
              <w:pStyle w:val="TableParagraph"/>
              <w:ind w:right="501"/>
              <w:rPr>
                <w:sz w:val="21"/>
              </w:rPr>
            </w:pPr>
            <w:r>
              <w:rPr>
                <w:spacing w:val="-2"/>
                <w:sz w:val="21"/>
              </w:rPr>
              <w:t>53.85</w:t>
            </w:r>
          </w:p>
        </w:tc>
        <w:tc>
          <w:tcPr>
            <w:tcW w:w="1438" w:type="dxa"/>
          </w:tcPr>
          <w:p w:rsidR="003F5784" w14:paraId="5EF3FF87" w14:textId="77777777">
            <w:pPr>
              <w:pStyle w:val="TableParagraph"/>
              <w:ind w:right="146"/>
              <w:rPr>
                <w:sz w:val="21"/>
              </w:rPr>
            </w:pPr>
            <w:r>
              <w:rPr>
                <w:spacing w:val="-2"/>
                <w:sz w:val="21"/>
              </w:rPr>
              <w:t>55.64</w:t>
            </w:r>
          </w:p>
        </w:tc>
        <w:tc>
          <w:tcPr>
            <w:tcW w:w="2077" w:type="dxa"/>
          </w:tcPr>
          <w:p w:rsidR="003F5784" w14:paraId="519EB6E8" w14:textId="77777777">
            <w:pPr>
              <w:pStyle w:val="TableParagraph"/>
              <w:ind w:right="114"/>
              <w:rPr>
                <w:sz w:val="21"/>
              </w:rPr>
            </w:pPr>
            <w:r>
              <w:rPr>
                <w:spacing w:val="-2"/>
                <w:sz w:val="21"/>
              </w:rPr>
              <w:t>(55.11,</w:t>
            </w:r>
            <w:r>
              <w:rPr>
                <w:spacing w:val="-1"/>
                <w:sz w:val="21"/>
              </w:rPr>
              <w:t xml:space="preserve"> </w:t>
            </w:r>
            <w:r>
              <w:rPr>
                <w:spacing w:val="-2"/>
                <w:sz w:val="21"/>
              </w:rPr>
              <w:t>56.17)</w:t>
            </w:r>
          </w:p>
        </w:tc>
      </w:tr>
      <w:tr w14:paraId="15DBCBB8" w14:textId="77777777">
        <w:tblPrEx>
          <w:tblW w:w="0" w:type="auto"/>
          <w:tblInd w:w="482" w:type="dxa"/>
          <w:tblLayout w:type="fixed"/>
          <w:tblCellMar>
            <w:left w:w="0" w:type="dxa"/>
            <w:right w:w="0" w:type="dxa"/>
          </w:tblCellMar>
          <w:tblLook w:val="01E0"/>
        </w:tblPrEx>
        <w:trPr>
          <w:trHeight w:val="286"/>
        </w:trPr>
        <w:tc>
          <w:tcPr>
            <w:tcW w:w="1042" w:type="dxa"/>
          </w:tcPr>
          <w:p w:rsidR="003F5784" w14:paraId="1B3F66BE" w14:textId="77777777">
            <w:pPr>
              <w:pStyle w:val="TableParagraph"/>
              <w:spacing w:before="0"/>
              <w:jc w:val="left"/>
              <w:rPr>
                <w:sz w:val="20"/>
              </w:rPr>
            </w:pPr>
          </w:p>
        </w:tc>
        <w:tc>
          <w:tcPr>
            <w:tcW w:w="3004" w:type="dxa"/>
          </w:tcPr>
          <w:p w:rsidR="003F5784" w14:paraId="6A555060" w14:textId="77777777">
            <w:pPr>
              <w:pStyle w:val="TableParagraph"/>
              <w:ind w:left="411"/>
              <w:jc w:val="left"/>
              <w:rPr>
                <w:sz w:val="21"/>
              </w:rPr>
            </w:pPr>
            <w:r>
              <w:rPr>
                <w:spacing w:val="-2"/>
                <w:sz w:val="21"/>
              </w:rPr>
              <w:t>Dallas</w:t>
            </w:r>
          </w:p>
        </w:tc>
        <w:tc>
          <w:tcPr>
            <w:tcW w:w="2569" w:type="dxa"/>
          </w:tcPr>
          <w:p w:rsidR="003F5784" w14:paraId="65F96C68" w14:textId="77777777">
            <w:pPr>
              <w:pStyle w:val="TableParagraph"/>
              <w:ind w:right="307"/>
              <w:rPr>
                <w:sz w:val="21"/>
              </w:rPr>
            </w:pPr>
            <w:r>
              <w:rPr>
                <w:sz w:val="21"/>
              </w:rPr>
              <w:t>Achievement</w:t>
            </w:r>
            <w:r>
              <w:rPr>
                <w:spacing w:val="-13"/>
                <w:sz w:val="21"/>
              </w:rPr>
              <w:t xml:space="preserve"> </w:t>
            </w:r>
            <w:r>
              <w:rPr>
                <w:spacing w:val="-4"/>
                <w:sz w:val="21"/>
              </w:rPr>
              <w:t>data</w:t>
            </w:r>
          </w:p>
        </w:tc>
        <w:tc>
          <w:tcPr>
            <w:tcW w:w="2059" w:type="dxa"/>
          </w:tcPr>
          <w:p w:rsidR="003F5784" w14:paraId="2CC0C373" w14:textId="77777777">
            <w:pPr>
              <w:pStyle w:val="TableParagraph"/>
              <w:ind w:right="503"/>
              <w:rPr>
                <w:sz w:val="21"/>
              </w:rPr>
            </w:pPr>
            <w:r>
              <w:rPr>
                <w:spacing w:val="-4"/>
                <w:sz w:val="21"/>
              </w:rPr>
              <w:t>mean</w:t>
            </w:r>
          </w:p>
        </w:tc>
        <w:tc>
          <w:tcPr>
            <w:tcW w:w="1792" w:type="dxa"/>
          </w:tcPr>
          <w:p w:rsidR="003F5784" w14:paraId="7A16DB4E" w14:textId="77777777">
            <w:pPr>
              <w:pStyle w:val="TableParagraph"/>
              <w:ind w:right="501"/>
              <w:rPr>
                <w:sz w:val="21"/>
              </w:rPr>
            </w:pPr>
            <w:r>
              <w:rPr>
                <w:spacing w:val="-2"/>
                <w:sz w:val="21"/>
              </w:rPr>
              <w:t>45.25</w:t>
            </w:r>
          </w:p>
        </w:tc>
        <w:tc>
          <w:tcPr>
            <w:tcW w:w="1438" w:type="dxa"/>
          </w:tcPr>
          <w:p w:rsidR="003F5784" w14:paraId="59E838F1" w14:textId="77777777">
            <w:pPr>
              <w:pStyle w:val="TableParagraph"/>
              <w:ind w:right="146"/>
              <w:rPr>
                <w:sz w:val="21"/>
              </w:rPr>
            </w:pPr>
            <w:r>
              <w:rPr>
                <w:spacing w:val="-2"/>
                <w:sz w:val="21"/>
              </w:rPr>
              <w:t>46.12</w:t>
            </w:r>
          </w:p>
        </w:tc>
        <w:tc>
          <w:tcPr>
            <w:tcW w:w="2077" w:type="dxa"/>
          </w:tcPr>
          <w:p w:rsidR="003F5784" w14:paraId="3CDD6E43" w14:textId="77777777">
            <w:pPr>
              <w:pStyle w:val="TableParagraph"/>
              <w:ind w:right="114"/>
              <w:rPr>
                <w:sz w:val="21"/>
              </w:rPr>
            </w:pPr>
            <w:r>
              <w:rPr>
                <w:sz w:val="21"/>
              </w:rPr>
              <w:t>(45.27,</w:t>
            </w:r>
            <w:r>
              <w:rPr>
                <w:spacing w:val="-7"/>
                <w:sz w:val="21"/>
              </w:rPr>
              <w:t xml:space="preserve"> </w:t>
            </w:r>
            <w:r>
              <w:rPr>
                <w:spacing w:val="-2"/>
                <w:sz w:val="21"/>
              </w:rPr>
              <w:t>46.96)</w:t>
            </w:r>
          </w:p>
        </w:tc>
      </w:tr>
      <w:tr w14:paraId="3B5A8C60" w14:textId="77777777">
        <w:tblPrEx>
          <w:tblW w:w="0" w:type="auto"/>
          <w:tblInd w:w="482" w:type="dxa"/>
          <w:tblLayout w:type="fixed"/>
          <w:tblCellMar>
            <w:left w:w="0" w:type="dxa"/>
            <w:right w:w="0" w:type="dxa"/>
          </w:tblCellMar>
          <w:tblLook w:val="01E0"/>
        </w:tblPrEx>
        <w:trPr>
          <w:trHeight w:val="289"/>
        </w:trPr>
        <w:tc>
          <w:tcPr>
            <w:tcW w:w="1042" w:type="dxa"/>
            <w:tcBorders>
              <w:bottom w:val="single" w:sz="18" w:space="0" w:color="800000"/>
            </w:tcBorders>
          </w:tcPr>
          <w:p w:rsidR="003F5784" w14:paraId="2C232158" w14:textId="77777777">
            <w:pPr>
              <w:pStyle w:val="TableParagraph"/>
              <w:spacing w:before="0"/>
              <w:jc w:val="left"/>
              <w:rPr>
                <w:sz w:val="20"/>
              </w:rPr>
            </w:pPr>
          </w:p>
        </w:tc>
        <w:tc>
          <w:tcPr>
            <w:tcW w:w="3004" w:type="dxa"/>
            <w:tcBorders>
              <w:bottom w:val="single" w:sz="18" w:space="0" w:color="800000"/>
            </w:tcBorders>
          </w:tcPr>
          <w:p w:rsidR="003F5784" w14:paraId="5AC2FC17" w14:textId="77777777">
            <w:pPr>
              <w:pStyle w:val="TableParagraph"/>
              <w:ind w:left="411"/>
              <w:jc w:val="left"/>
              <w:rPr>
                <w:sz w:val="21"/>
              </w:rPr>
            </w:pPr>
            <w:r>
              <w:rPr>
                <w:sz w:val="21"/>
              </w:rPr>
              <w:t>Duval</w:t>
            </w:r>
            <w:r>
              <w:rPr>
                <w:spacing w:val="-7"/>
                <w:sz w:val="21"/>
              </w:rPr>
              <w:t xml:space="preserve"> </w:t>
            </w:r>
            <w:r>
              <w:rPr>
                <w:sz w:val="21"/>
              </w:rPr>
              <w:t>County</w:t>
            </w:r>
            <w:r>
              <w:rPr>
                <w:spacing w:val="-7"/>
                <w:sz w:val="21"/>
              </w:rPr>
              <w:t xml:space="preserve"> </w:t>
            </w:r>
            <w:r>
              <w:rPr>
                <w:spacing w:val="-4"/>
                <w:sz w:val="21"/>
              </w:rPr>
              <w:t>(FL)</w:t>
            </w:r>
          </w:p>
        </w:tc>
        <w:tc>
          <w:tcPr>
            <w:tcW w:w="2569" w:type="dxa"/>
            <w:tcBorders>
              <w:bottom w:val="single" w:sz="18" w:space="0" w:color="800000"/>
            </w:tcBorders>
          </w:tcPr>
          <w:p w:rsidR="003F5784" w14:paraId="054DF75E" w14:textId="77777777">
            <w:pPr>
              <w:pStyle w:val="TableParagraph"/>
              <w:ind w:right="307"/>
              <w:rPr>
                <w:sz w:val="21"/>
              </w:rPr>
            </w:pPr>
            <w:r>
              <w:rPr>
                <w:sz w:val="21"/>
              </w:rPr>
              <w:t>Achievement</w:t>
            </w:r>
            <w:r>
              <w:rPr>
                <w:spacing w:val="-13"/>
                <w:sz w:val="21"/>
              </w:rPr>
              <w:t xml:space="preserve"> </w:t>
            </w:r>
            <w:r>
              <w:rPr>
                <w:spacing w:val="-4"/>
                <w:sz w:val="21"/>
              </w:rPr>
              <w:t>data</w:t>
            </w:r>
          </w:p>
        </w:tc>
        <w:tc>
          <w:tcPr>
            <w:tcW w:w="2059" w:type="dxa"/>
            <w:tcBorders>
              <w:bottom w:val="single" w:sz="18" w:space="0" w:color="800000"/>
            </w:tcBorders>
          </w:tcPr>
          <w:p w:rsidR="003F5784" w14:paraId="1B17920A" w14:textId="77777777">
            <w:pPr>
              <w:pStyle w:val="TableParagraph"/>
              <w:ind w:right="502"/>
              <w:rPr>
                <w:sz w:val="21"/>
              </w:rPr>
            </w:pPr>
            <w:r>
              <w:rPr>
                <w:sz w:val="21"/>
              </w:rPr>
              <w:t>10th</w:t>
            </w:r>
            <w:r>
              <w:rPr>
                <w:spacing w:val="-5"/>
                <w:sz w:val="21"/>
              </w:rPr>
              <w:t xml:space="preserve"> </w:t>
            </w:r>
            <w:r>
              <w:rPr>
                <w:spacing w:val="-2"/>
                <w:sz w:val="21"/>
              </w:rPr>
              <w:t>percentile</w:t>
            </w:r>
          </w:p>
        </w:tc>
        <w:tc>
          <w:tcPr>
            <w:tcW w:w="1792" w:type="dxa"/>
            <w:tcBorders>
              <w:bottom w:val="single" w:sz="18" w:space="0" w:color="800000"/>
            </w:tcBorders>
          </w:tcPr>
          <w:p w:rsidR="003F5784" w14:paraId="724A48A5" w14:textId="77777777">
            <w:pPr>
              <w:pStyle w:val="TableParagraph"/>
              <w:ind w:right="501"/>
              <w:rPr>
                <w:sz w:val="21"/>
              </w:rPr>
            </w:pPr>
            <w:r>
              <w:rPr>
                <w:spacing w:val="-4"/>
                <w:sz w:val="21"/>
              </w:rPr>
              <w:t>38.5</w:t>
            </w:r>
          </w:p>
        </w:tc>
        <w:tc>
          <w:tcPr>
            <w:tcW w:w="1438" w:type="dxa"/>
            <w:tcBorders>
              <w:bottom w:val="single" w:sz="18" w:space="0" w:color="800000"/>
            </w:tcBorders>
          </w:tcPr>
          <w:p w:rsidR="003F5784" w14:paraId="26D1D8EE" w14:textId="77777777">
            <w:pPr>
              <w:pStyle w:val="TableParagraph"/>
              <w:ind w:right="146"/>
              <w:rPr>
                <w:sz w:val="21"/>
              </w:rPr>
            </w:pPr>
            <w:r>
              <w:rPr>
                <w:spacing w:val="-2"/>
                <w:sz w:val="21"/>
              </w:rPr>
              <w:t>29.68</w:t>
            </w:r>
          </w:p>
        </w:tc>
        <w:tc>
          <w:tcPr>
            <w:tcW w:w="2077" w:type="dxa"/>
            <w:tcBorders>
              <w:bottom w:val="single" w:sz="18" w:space="0" w:color="800000"/>
            </w:tcBorders>
          </w:tcPr>
          <w:p w:rsidR="003F5784" w14:paraId="5B7BE705" w14:textId="77777777">
            <w:pPr>
              <w:pStyle w:val="TableParagraph"/>
              <w:ind w:right="114"/>
              <w:rPr>
                <w:sz w:val="21"/>
              </w:rPr>
            </w:pPr>
            <w:r>
              <w:rPr>
                <w:sz w:val="21"/>
              </w:rPr>
              <w:t>(24.23,</w:t>
            </w:r>
            <w:r>
              <w:rPr>
                <w:spacing w:val="-7"/>
                <w:sz w:val="21"/>
              </w:rPr>
              <w:t xml:space="preserve"> </w:t>
            </w:r>
            <w:r>
              <w:rPr>
                <w:spacing w:val="-2"/>
                <w:sz w:val="21"/>
              </w:rPr>
              <w:t>36.77)</w:t>
            </w:r>
          </w:p>
        </w:tc>
      </w:tr>
      <w:tr w14:paraId="40C157C4" w14:textId="77777777">
        <w:tblPrEx>
          <w:tblW w:w="0" w:type="auto"/>
          <w:tblInd w:w="482" w:type="dxa"/>
          <w:tblLayout w:type="fixed"/>
          <w:tblCellMar>
            <w:left w:w="0" w:type="dxa"/>
            <w:right w:w="0" w:type="dxa"/>
          </w:tblCellMar>
          <w:tblLook w:val="01E0"/>
        </w:tblPrEx>
        <w:trPr>
          <w:trHeight w:val="414"/>
        </w:trPr>
        <w:tc>
          <w:tcPr>
            <w:tcW w:w="13981" w:type="dxa"/>
            <w:gridSpan w:val="7"/>
            <w:tcBorders>
              <w:top w:val="single" w:sz="18" w:space="0" w:color="800000"/>
            </w:tcBorders>
          </w:tcPr>
          <w:p w:rsidR="003F5784" w14:paraId="1BC80563" w14:textId="77777777">
            <w:pPr>
              <w:pStyle w:val="TableParagraph"/>
              <w:spacing w:before="0" w:line="205" w:lineRule="exact"/>
              <w:ind w:left="120"/>
              <w:jc w:val="left"/>
              <w:rPr>
                <w:sz w:val="18"/>
              </w:rPr>
            </w:pPr>
            <w:r>
              <w:rPr>
                <w:sz w:val="18"/>
              </w:rPr>
              <w:t>SOURCE:</w:t>
            </w:r>
            <w:r>
              <w:rPr>
                <w:spacing w:val="5"/>
                <w:sz w:val="18"/>
              </w:rPr>
              <w:t xml:space="preserve"> </w:t>
            </w:r>
            <w:r>
              <w:rPr>
                <w:sz w:val="18"/>
              </w:rPr>
              <w:t>U.S.</w:t>
            </w:r>
            <w:r>
              <w:rPr>
                <w:spacing w:val="6"/>
                <w:sz w:val="18"/>
              </w:rPr>
              <w:t xml:space="preserve"> </w:t>
            </w:r>
            <w:r>
              <w:rPr>
                <w:sz w:val="18"/>
              </w:rPr>
              <w:t>Department</w:t>
            </w:r>
            <w:r>
              <w:rPr>
                <w:spacing w:val="6"/>
                <w:sz w:val="18"/>
              </w:rPr>
              <w:t xml:space="preserve"> </w:t>
            </w:r>
            <w:r>
              <w:rPr>
                <w:sz w:val="18"/>
              </w:rPr>
              <w:t>of</w:t>
            </w:r>
            <w:r>
              <w:rPr>
                <w:spacing w:val="5"/>
                <w:sz w:val="18"/>
              </w:rPr>
              <w:t xml:space="preserve"> </w:t>
            </w:r>
            <w:r>
              <w:rPr>
                <w:sz w:val="18"/>
              </w:rPr>
              <w:t>Education,</w:t>
            </w:r>
            <w:r>
              <w:rPr>
                <w:spacing w:val="6"/>
                <w:sz w:val="18"/>
              </w:rPr>
              <w:t xml:space="preserve"> </w:t>
            </w:r>
            <w:r>
              <w:rPr>
                <w:sz w:val="18"/>
              </w:rPr>
              <w:t>Institute</w:t>
            </w:r>
            <w:r>
              <w:rPr>
                <w:spacing w:val="6"/>
                <w:sz w:val="18"/>
              </w:rPr>
              <w:t xml:space="preserve"> </w:t>
            </w:r>
            <w:r>
              <w:rPr>
                <w:sz w:val="18"/>
              </w:rPr>
              <w:t>of</w:t>
            </w:r>
            <w:r>
              <w:rPr>
                <w:spacing w:val="5"/>
                <w:sz w:val="18"/>
              </w:rPr>
              <w:t xml:space="preserve"> </w:t>
            </w:r>
            <w:r>
              <w:rPr>
                <w:sz w:val="18"/>
              </w:rPr>
              <w:t>Education</w:t>
            </w:r>
            <w:r>
              <w:rPr>
                <w:spacing w:val="6"/>
                <w:sz w:val="18"/>
              </w:rPr>
              <w:t xml:space="preserve"> </w:t>
            </w:r>
            <w:r>
              <w:rPr>
                <w:sz w:val="18"/>
              </w:rPr>
              <w:t>Sciences,</w:t>
            </w:r>
            <w:r>
              <w:rPr>
                <w:spacing w:val="6"/>
                <w:sz w:val="18"/>
              </w:rPr>
              <w:t xml:space="preserve"> </w:t>
            </w:r>
            <w:r>
              <w:rPr>
                <w:sz w:val="18"/>
              </w:rPr>
              <w:t>National</w:t>
            </w:r>
            <w:r>
              <w:rPr>
                <w:spacing w:val="5"/>
                <w:sz w:val="18"/>
              </w:rPr>
              <w:t xml:space="preserve"> </w:t>
            </w:r>
            <w:r>
              <w:rPr>
                <w:sz w:val="18"/>
              </w:rPr>
              <w:t>Center</w:t>
            </w:r>
            <w:r>
              <w:rPr>
                <w:spacing w:val="6"/>
                <w:sz w:val="18"/>
              </w:rPr>
              <w:t xml:space="preserve"> </w:t>
            </w:r>
            <w:r>
              <w:rPr>
                <w:sz w:val="18"/>
              </w:rPr>
              <w:t>for</w:t>
            </w:r>
            <w:r>
              <w:rPr>
                <w:spacing w:val="6"/>
                <w:sz w:val="18"/>
              </w:rPr>
              <w:t xml:space="preserve"> </w:t>
            </w:r>
            <w:r>
              <w:rPr>
                <w:sz w:val="18"/>
              </w:rPr>
              <w:t>Education</w:t>
            </w:r>
            <w:r>
              <w:rPr>
                <w:spacing w:val="6"/>
                <w:sz w:val="18"/>
              </w:rPr>
              <w:t xml:space="preserve"> </w:t>
            </w:r>
            <w:r>
              <w:rPr>
                <w:sz w:val="18"/>
              </w:rPr>
              <w:t>Statistics,</w:t>
            </w:r>
            <w:r>
              <w:rPr>
                <w:spacing w:val="5"/>
                <w:sz w:val="18"/>
              </w:rPr>
              <w:t xml:space="preserve"> </w:t>
            </w:r>
            <w:r>
              <w:rPr>
                <w:sz w:val="18"/>
              </w:rPr>
              <w:t>National</w:t>
            </w:r>
            <w:r>
              <w:rPr>
                <w:spacing w:val="-5"/>
                <w:sz w:val="18"/>
              </w:rPr>
              <w:t xml:space="preserve"> </w:t>
            </w:r>
            <w:r>
              <w:rPr>
                <w:sz w:val="18"/>
              </w:rPr>
              <w:t>Assessment</w:t>
            </w:r>
            <w:r>
              <w:rPr>
                <w:spacing w:val="5"/>
                <w:sz w:val="18"/>
              </w:rPr>
              <w:t xml:space="preserve"> </w:t>
            </w:r>
            <w:r>
              <w:rPr>
                <w:sz w:val="18"/>
              </w:rPr>
              <w:t>of</w:t>
            </w:r>
            <w:r>
              <w:rPr>
                <w:spacing w:val="6"/>
                <w:sz w:val="18"/>
              </w:rPr>
              <w:t xml:space="preserve"> </w:t>
            </w:r>
            <w:r>
              <w:rPr>
                <w:sz w:val="18"/>
              </w:rPr>
              <w:t>Educational</w:t>
            </w:r>
            <w:r>
              <w:rPr>
                <w:spacing w:val="6"/>
                <w:sz w:val="18"/>
              </w:rPr>
              <w:t xml:space="preserve"> </w:t>
            </w:r>
            <w:r>
              <w:rPr>
                <w:sz w:val="18"/>
              </w:rPr>
              <w:t>Progress</w:t>
            </w:r>
            <w:r>
              <w:rPr>
                <w:spacing w:val="5"/>
                <w:sz w:val="18"/>
              </w:rPr>
              <w:t xml:space="preserve"> </w:t>
            </w:r>
            <w:r>
              <w:rPr>
                <w:sz w:val="18"/>
              </w:rPr>
              <w:t>(NAEP),</w:t>
            </w:r>
            <w:r>
              <w:rPr>
                <w:spacing w:val="6"/>
                <w:sz w:val="18"/>
              </w:rPr>
              <w:t xml:space="preserve"> </w:t>
            </w:r>
            <w:r>
              <w:rPr>
                <w:sz w:val="18"/>
              </w:rPr>
              <w:t>2022</w:t>
            </w:r>
            <w:r>
              <w:rPr>
                <w:spacing w:val="6"/>
                <w:sz w:val="18"/>
              </w:rPr>
              <w:t xml:space="preserve"> </w:t>
            </w:r>
            <w:r>
              <w:rPr>
                <w:spacing w:val="-2"/>
                <w:sz w:val="18"/>
              </w:rPr>
              <w:t>State</w:t>
            </w:r>
          </w:p>
          <w:p w:rsidR="003F5784" w14:paraId="63835784" w14:textId="77777777">
            <w:pPr>
              <w:pStyle w:val="TableParagraph"/>
              <w:spacing w:before="1" w:line="188" w:lineRule="exact"/>
              <w:ind w:left="120"/>
              <w:jc w:val="left"/>
              <w:rPr>
                <w:sz w:val="18"/>
              </w:rPr>
            </w:pPr>
            <w:r>
              <w:rPr>
                <w:sz w:val="18"/>
              </w:rPr>
              <w:t>Mathematics</w:t>
            </w:r>
            <w:r>
              <w:rPr>
                <w:spacing w:val="6"/>
                <w:sz w:val="18"/>
              </w:rPr>
              <w:t xml:space="preserve"> </w:t>
            </w:r>
            <w:r>
              <w:rPr>
                <w:sz w:val="18"/>
              </w:rPr>
              <w:t>and</w:t>
            </w:r>
            <w:r>
              <w:rPr>
                <w:spacing w:val="6"/>
                <w:sz w:val="18"/>
              </w:rPr>
              <w:t xml:space="preserve"> </w:t>
            </w:r>
            <w:r>
              <w:rPr>
                <w:sz w:val="18"/>
              </w:rPr>
              <w:t>Reading</w:t>
            </w:r>
            <w:r>
              <w:rPr>
                <w:spacing w:val="-5"/>
                <w:sz w:val="18"/>
              </w:rPr>
              <w:t xml:space="preserve"> </w:t>
            </w:r>
            <w:r>
              <w:rPr>
                <w:spacing w:val="-2"/>
                <w:sz w:val="18"/>
              </w:rPr>
              <w:t>Assessments.</w:t>
            </w:r>
          </w:p>
        </w:tc>
      </w:tr>
    </w:tbl>
    <w:p w:rsidR="003F5784" w14:paraId="5450DADC" w14:textId="77777777">
      <w:pPr>
        <w:spacing w:line="188" w:lineRule="exact"/>
        <w:rPr>
          <w:sz w:val="18"/>
        </w:rPr>
        <w:sectPr>
          <w:pgSz w:w="15840" w:h="12240" w:orient="landscape"/>
          <w:pgMar w:top="480" w:right="440" w:bottom="460" w:left="460" w:header="284" w:footer="275" w:gutter="0"/>
          <w:cols w:space="720"/>
        </w:sectPr>
      </w:pPr>
    </w:p>
    <w:p w:rsidR="003F5784" w14:paraId="3CE90FE6" w14:textId="77777777">
      <w:pPr>
        <w:pStyle w:val="BodyText"/>
        <w:spacing w:before="91"/>
        <w:rPr>
          <w:b/>
        </w:rPr>
      </w:pPr>
    </w:p>
    <w:p w:rsidR="003F5784" w14:paraId="5413CC8F" w14:textId="77777777">
      <w:pPr>
        <w:pStyle w:val="BodyText"/>
        <w:tabs>
          <w:tab w:val="left" w:pos="1928"/>
        </w:tabs>
        <w:ind w:left="595"/>
      </w:pPr>
      <w:r>
        <w:rPr>
          <w:spacing w:val="-2"/>
        </w:rPr>
        <w:t>Grade</w:t>
      </w:r>
      <w:r>
        <w:tab/>
      </w:r>
      <w:r>
        <w:rPr>
          <w:spacing w:val="-2"/>
        </w:rPr>
        <w:t>Jurisdiction</w:t>
      </w:r>
    </w:p>
    <w:p w:rsidR="003F5784" w14:paraId="169B7A45" w14:textId="77777777">
      <w:pPr>
        <w:pStyle w:val="BodyText"/>
        <w:spacing w:before="98" w:line="238" w:lineRule="exact"/>
        <w:ind w:left="595"/>
      </w:pPr>
      <w:r>
        <w:br w:type="column"/>
        <w:t>Achievement</w:t>
      </w:r>
      <w:r>
        <w:rPr>
          <w:spacing w:val="-9"/>
        </w:rPr>
        <w:t xml:space="preserve"> </w:t>
      </w:r>
      <w:r>
        <w:t>data</w:t>
      </w:r>
      <w:r>
        <w:rPr>
          <w:spacing w:val="-8"/>
        </w:rPr>
        <w:t xml:space="preserve"> </w:t>
      </w:r>
      <w:r>
        <w:rPr>
          <w:spacing w:val="-10"/>
        </w:rPr>
        <w:t>/</w:t>
      </w:r>
    </w:p>
    <w:p w:rsidR="003F5784" w14:paraId="65AE6741" w14:textId="77777777">
      <w:pPr>
        <w:pStyle w:val="BodyText"/>
        <w:tabs>
          <w:tab w:val="left" w:pos="3349"/>
          <w:tab w:val="left" w:pos="5339"/>
          <w:tab w:val="left" w:pos="7040"/>
          <w:tab w:val="left" w:pos="8125"/>
        </w:tabs>
        <w:spacing w:line="238" w:lineRule="exact"/>
        <w:ind w:left="936"/>
      </w:pPr>
      <w:r>
        <w:t>median</w:t>
      </w:r>
      <w:r>
        <w:rPr>
          <w:spacing w:val="-8"/>
        </w:rPr>
        <w:t xml:space="preserve"> </w:t>
      </w:r>
      <w:r>
        <w:rPr>
          <w:spacing w:val="-2"/>
        </w:rPr>
        <w:t>income</w:t>
      </w:r>
      <w:r>
        <w:tab/>
      </w:r>
      <w:r>
        <w:rPr>
          <w:spacing w:val="-2"/>
        </w:rPr>
        <w:t>Estimate</w:t>
      </w:r>
      <w:r>
        <w:tab/>
      </w:r>
      <w:r>
        <w:rPr>
          <w:spacing w:val="-2"/>
        </w:rPr>
        <w:t>Frame</w:t>
      </w:r>
      <w:r>
        <w:tab/>
      </w:r>
      <w:r>
        <w:rPr>
          <w:spacing w:val="-2"/>
        </w:rPr>
        <w:t>Sample</w:t>
      </w:r>
      <w:r>
        <w:tab/>
        <w:t>Confidence</w:t>
      </w:r>
      <w:r>
        <w:rPr>
          <w:spacing w:val="-11"/>
        </w:rPr>
        <w:t xml:space="preserve"> </w:t>
      </w:r>
      <w:r>
        <w:rPr>
          <w:spacing w:val="-2"/>
        </w:rPr>
        <w:t>interval</w:t>
      </w:r>
    </w:p>
    <w:p w:rsidR="003F5784" w14:paraId="6EBC1FAC" w14:textId="77777777">
      <w:pPr>
        <w:spacing w:line="238" w:lineRule="exact"/>
        <w:sectPr>
          <w:pgSz w:w="15840" w:h="12240" w:orient="landscape"/>
          <w:pgMar w:top="480" w:right="440" w:bottom="460" w:left="460" w:header="284" w:footer="275" w:gutter="0"/>
          <w:cols w:num="2" w:space="720" w:equalWidth="0">
            <w:col w:w="2942" w:space="1622"/>
            <w:col w:w="10376"/>
          </w:cols>
        </w:sectPr>
      </w:pPr>
    </w:p>
    <w:tbl>
      <w:tblPr>
        <w:tblW w:w="0" w:type="auto"/>
        <w:tblInd w:w="482" w:type="dxa"/>
        <w:tblLayout w:type="fixed"/>
        <w:tblCellMar>
          <w:left w:w="0" w:type="dxa"/>
          <w:right w:w="0" w:type="dxa"/>
        </w:tblCellMar>
        <w:tblLook w:val="01E0"/>
      </w:tblPr>
      <w:tblGrid>
        <w:gridCol w:w="839"/>
        <w:gridCol w:w="3262"/>
        <w:gridCol w:w="2515"/>
        <w:gridCol w:w="2217"/>
        <w:gridCol w:w="1794"/>
        <w:gridCol w:w="1596"/>
        <w:gridCol w:w="1766"/>
      </w:tblGrid>
      <w:tr w14:paraId="383444AE" w14:textId="77777777">
        <w:tblPrEx>
          <w:tblW w:w="0" w:type="auto"/>
          <w:tblInd w:w="482" w:type="dxa"/>
          <w:tblLayout w:type="fixed"/>
          <w:tblCellMar>
            <w:left w:w="0" w:type="dxa"/>
            <w:right w:w="0" w:type="dxa"/>
          </w:tblCellMar>
          <w:tblLook w:val="01E0"/>
        </w:tblPrEx>
        <w:trPr>
          <w:trHeight w:val="278"/>
        </w:trPr>
        <w:tc>
          <w:tcPr>
            <w:tcW w:w="839" w:type="dxa"/>
            <w:tcBorders>
              <w:top w:val="single" w:sz="18" w:space="0" w:color="800000"/>
            </w:tcBorders>
          </w:tcPr>
          <w:p w:rsidR="003F5784" w14:paraId="4217FB60" w14:textId="77777777">
            <w:pPr>
              <w:pStyle w:val="TableParagraph"/>
              <w:spacing w:before="0"/>
              <w:jc w:val="left"/>
              <w:rPr>
                <w:sz w:val="20"/>
              </w:rPr>
            </w:pPr>
          </w:p>
        </w:tc>
        <w:tc>
          <w:tcPr>
            <w:tcW w:w="3262" w:type="dxa"/>
            <w:tcBorders>
              <w:top w:val="single" w:sz="18" w:space="0" w:color="800000"/>
            </w:tcBorders>
          </w:tcPr>
          <w:p w:rsidR="003F5784" w14:paraId="2D136F50" w14:textId="77777777">
            <w:pPr>
              <w:pStyle w:val="TableParagraph"/>
              <w:spacing w:before="9"/>
              <w:ind w:left="614"/>
              <w:jc w:val="left"/>
              <w:rPr>
                <w:sz w:val="21"/>
              </w:rPr>
            </w:pPr>
            <w:r>
              <w:rPr>
                <w:spacing w:val="-2"/>
                <w:sz w:val="21"/>
              </w:rPr>
              <w:t>Houston</w:t>
            </w:r>
          </w:p>
        </w:tc>
        <w:tc>
          <w:tcPr>
            <w:tcW w:w="2515" w:type="dxa"/>
            <w:tcBorders>
              <w:top w:val="single" w:sz="18" w:space="0" w:color="800000"/>
            </w:tcBorders>
          </w:tcPr>
          <w:p w:rsidR="003F5784" w14:paraId="5DA216F1" w14:textId="77777777">
            <w:pPr>
              <w:pStyle w:val="TableParagraph"/>
              <w:spacing w:before="9"/>
              <w:ind w:right="308"/>
              <w:rPr>
                <w:sz w:val="21"/>
              </w:rPr>
            </w:pPr>
            <w:r>
              <w:rPr>
                <w:sz w:val="21"/>
              </w:rPr>
              <w:t>Achievement</w:t>
            </w:r>
            <w:r>
              <w:rPr>
                <w:spacing w:val="-13"/>
                <w:sz w:val="21"/>
              </w:rPr>
              <w:t xml:space="preserve"> </w:t>
            </w:r>
            <w:r>
              <w:rPr>
                <w:spacing w:val="-4"/>
                <w:sz w:val="21"/>
              </w:rPr>
              <w:t>data</w:t>
            </w:r>
          </w:p>
        </w:tc>
        <w:tc>
          <w:tcPr>
            <w:tcW w:w="2217" w:type="dxa"/>
            <w:tcBorders>
              <w:top w:val="single" w:sz="18" w:space="0" w:color="800000"/>
            </w:tcBorders>
          </w:tcPr>
          <w:p w:rsidR="003F5784" w14:paraId="2E571550" w14:textId="77777777">
            <w:pPr>
              <w:pStyle w:val="TableParagraph"/>
              <w:spacing w:before="9"/>
              <w:ind w:right="661"/>
              <w:rPr>
                <w:sz w:val="21"/>
              </w:rPr>
            </w:pPr>
            <w:r>
              <w:rPr>
                <w:sz w:val="21"/>
              </w:rPr>
              <w:t>50th</w:t>
            </w:r>
            <w:r>
              <w:rPr>
                <w:spacing w:val="-5"/>
                <w:sz w:val="21"/>
              </w:rPr>
              <w:t xml:space="preserve"> </w:t>
            </w:r>
            <w:r>
              <w:rPr>
                <w:spacing w:val="-2"/>
                <w:sz w:val="21"/>
              </w:rPr>
              <w:t>percentile</w:t>
            </w:r>
          </w:p>
        </w:tc>
        <w:tc>
          <w:tcPr>
            <w:tcW w:w="1794" w:type="dxa"/>
            <w:tcBorders>
              <w:top w:val="single" w:sz="18" w:space="0" w:color="800000"/>
            </w:tcBorders>
          </w:tcPr>
          <w:p w:rsidR="003F5784" w14:paraId="5DD957E8" w14:textId="77777777">
            <w:pPr>
              <w:pStyle w:val="TableParagraph"/>
              <w:spacing w:before="9"/>
              <w:ind w:left="99" w:right="101"/>
              <w:jc w:val="center"/>
              <w:rPr>
                <w:sz w:val="21"/>
              </w:rPr>
            </w:pPr>
            <w:r>
              <w:rPr>
                <w:spacing w:val="-2"/>
                <w:sz w:val="21"/>
              </w:rPr>
              <w:t>38.75</w:t>
            </w:r>
          </w:p>
        </w:tc>
        <w:tc>
          <w:tcPr>
            <w:tcW w:w="1596" w:type="dxa"/>
            <w:tcBorders>
              <w:top w:val="single" w:sz="18" w:space="0" w:color="800000"/>
            </w:tcBorders>
          </w:tcPr>
          <w:p w:rsidR="003F5784" w14:paraId="760E41CF" w14:textId="77777777">
            <w:pPr>
              <w:pStyle w:val="TableParagraph"/>
              <w:spacing w:before="9"/>
              <w:ind w:right="465"/>
              <w:rPr>
                <w:sz w:val="21"/>
              </w:rPr>
            </w:pPr>
            <w:r>
              <w:rPr>
                <w:spacing w:val="-2"/>
                <w:sz w:val="21"/>
              </w:rPr>
              <w:t>37.22</w:t>
            </w:r>
          </w:p>
        </w:tc>
        <w:tc>
          <w:tcPr>
            <w:tcW w:w="1766" w:type="dxa"/>
            <w:tcBorders>
              <w:top w:val="single" w:sz="18" w:space="0" w:color="800000"/>
            </w:tcBorders>
          </w:tcPr>
          <w:p w:rsidR="003F5784" w14:paraId="1BFF9CEF" w14:textId="77777777">
            <w:pPr>
              <w:pStyle w:val="TableParagraph"/>
              <w:spacing w:before="9"/>
              <w:ind w:right="122"/>
              <w:rPr>
                <w:sz w:val="21"/>
              </w:rPr>
            </w:pPr>
            <w:r>
              <w:rPr>
                <w:sz w:val="21"/>
              </w:rPr>
              <w:t>(36.25,</w:t>
            </w:r>
            <w:r>
              <w:rPr>
                <w:spacing w:val="-7"/>
                <w:sz w:val="21"/>
              </w:rPr>
              <w:t xml:space="preserve"> </w:t>
            </w:r>
            <w:r>
              <w:rPr>
                <w:spacing w:val="-2"/>
                <w:sz w:val="21"/>
              </w:rPr>
              <w:t>38.71)</w:t>
            </w:r>
          </w:p>
        </w:tc>
      </w:tr>
      <w:tr w14:paraId="2CA419A4" w14:textId="77777777">
        <w:tblPrEx>
          <w:tblW w:w="0" w:type="auto"/>
          <w:tblInd w:w="482" w:type="dxa"/>
          <w:tblLayout w:type="fixed"/>
          <w:tblCellMar>
            <w:left w:w="0" w:type="dxa"/>
            <w:right w:w="0" w:type="dxa"/>
          </w:tblCellMar>
          <w:tblLook w:val="01E0"/>
        </w:tblPrEx>
        <w:trPr>
          <w:trHeight w:val="286"/>
        </w:trPr>
        <w:tc>
          <w:tcPr>
            <w:tcW w:w="839" w:type="dxa"/>
          </w:tcPr>
          <w:p w:rsidR="003F5784" w14:paraId="483BA878" w14:textId="77777777">
            <w:pPr>
              <w:pStyle w:val="TableParagraph"/>
              <w:spacing w:before="0"/>
              <w:jc w:val="left"/>
              <w:rPr>
                <w:sz w:val="20"/>
              </w:rPr>
            </w:pPr>
          </w:p>
        </w:tc>
        <w:tc>
          <w:tcPr>
            <w:tcW w:w="3262" w:type="dxa"/>
          </w:tcPr>
          <w:p w:rsidR="003F5784" w14:paraId="33BAD498" w14:textId="77777777">
            <w:pPr>
              <w:pStyle w:val="TableParagraph"/>
              <w:ind w:left="614"/>
              <w:jc w:val="left"/>
              <w:rPr>
                <w:sz w:val="21"/>
              </w:rPr>
            </w:pPr>
            <w:r>
              <w:rPr>
                <w:spacing w:val="-2"/>
                <w:sz w:val="21"/>
              </w:rPr>
              <w:t>Houston</w:t>
            </w:r>
          </w:p>
        </w:tc>
        <w:tc>
          <w:tcPr>
            <w:tcW w:w="2515" w:type="dxa"/>
          </w:tcPr>
          <w:p w:rsidR="003F5784" w14:paraId="217A8C42"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75638CED" w14:textId="77777777">
            <w:pPr>
              <w:pStyle w:val="TableParagraph"/>
              <w:ind w:right="662"/>
              <w:rPr>
                <w:sz w:val="21"/>
              </w:rPr>
            </w:pPr>
            <w:r>
              <w:rPr>
                <w:spacing w:val="-4"/>
                <w:sz w:val="21"/>
              </w:rPr>
              <w:t>mean</w:t>
            </w:r>
          </w:p>
        </w:tc>
        <w:tc>
          <w:tcPr>
            <w:tcW w:w="1794" w:type="dxa"/>
          </w:tcPr>
          <w:p w:rsidR="003F5784" w14:paraId="07224ED8" w14:textId="77777777">
            <w:pPr>
              <w:pStyle w:val="TableParagraph"/>
              <w:ind w:left="99" w:right="101"/>
              <w:jc w:val="center"/>
              <w:rPr>
                <w:sz w:val="21"/>
              </w:rPr>
            </w:pPr>
            <w:r>
              <w:rPr>
                <w:spacing w:val="-2"/>
                <w:sz w:val="21"/>
              </w:rPr>
              <w:t>43.13</w:t>
            </w:r>
          </w:p>
        </w:tc>
        <w:tc>
          <w:tcPr>
            <w:tcW w:w="1596" w:type="dxa"/>
          </w:tcPr>
          <w:p w:rsidR="003F5784" w14:paraId="4A3779ED" w14:textId="77777777">
            <w:pPr>
              <w:pStyle w:val="TableParagraph"/>
              <w:ind w:right="465"/>
              <w:rPr>
                <w:sz w:val="21"/>
              </w:rPr>
            </w:pPr>
            <w:r>
              <w:rPr>
                <w:spacing w:val="-2"/>
                <w:sz w:val="21"/>
              </w:rPr>
              <w:t>41.89</w:t>
            </w:r>
          </w:p>
        </w:tc>
        <w:tc>
          <w:tcPr>
            <w:tcW w:w="1766" w:type="dxa"/>
          </w:tcPr>
          <w:p w:rsidR="003F5784" w14:paraId="4D4D618C" w14:textId="77777777">
            <w:pPr>
              <w:pStyle w:val="TableParagraph"/>
              <w:ind w:right="122"/>
              <w:rPr>
                <w:sz w:val="21"/>
              </w:rPr>
            </w:pPr>
            <w:r>
              <w:rPr>
                <w:sz w:val="21"/>
              </w:rPr>
              <w:t>(41.29,</w:t>
            </w:r>
            <w:r>
              <w:rPr>
                <w:spacing w:val="-7"/>
                <w:sz w:val="21"/>
              </w:rPr>
              <w:t xml:space="preserve"> </w:t>
            </w:r>
            <w:r>
              <w:rPr>
                <w:spacing w:val="-2"/>
                <w:sz w:val="21"/>
              </w:rPr>
              <w:t>42.49)</w:t>
            </w:r>
          </w:p>
        </w:tc>
      </w:tr>
      <w:tr w14:paraId="5ADB1491" w14:textId="77777777">
        <w:tblPrEx>
          <w:tblW w:w="0" w:type="auto"/>
          <w:tblInd w:w="482" w:type="dxa"/>
          <w:tblLayout w:type="fixed"/>
          <w:tblCellMar>
            <w:left w:w="0" w:type="dxa"/>
            <w:right w:w="0" w:type="dxa"/>
          </w:tblCellMar>
          <w:tblLook w:val="01E0"/>
        </w:tblPrEx>
        <w:trPr>
          <w:trHeight w:val="286"/>
        </w:trPr>
        <w:tc>
          <w:tcPr>
            <w:tcW w:w="839" w:type="dxa"/>
          </w:tcPr>
          <w:p w:rsidR="003F5784" w14:paraId="2E7883FE" w14:textId="77777777">
            <w:pPr>
              <w:pStyle w:val="TableParagraph"/>
              <w:spacing w:before="0"/>
              <w:jc w:val="left"/>
              <w:rPr>
                <w:sz w:val="20"/>
              </w:rPr>
            </w:pPr>
          </w:p>
        </w:tc>
        <w:tc>
          <w:tcPr>
            <w:tcW w:w="3262" w:type="dxa"/>
          </w:tcPr>
          <w:p w:rsidR="003F5784" w14:paraId="606C71D3" w14:textId="77777777">
            <w:pPr>
              <w:pStyle w:val="TableParagraph"/>
              <w:ind w:left="614"/>
              <w:jc w:val="left"/>
              <w:rPr>
                <w:sz w:val="21"/>
              </w:rPr>
            </w:pPr>
            <w:r>
              <w:rPr>
                <w:sz w:val="21"/>
              </w:rPr>
              <w:t>Jefferson</w:t>
            </w:r>
            <w:r>
              <w:rPr>
                <w:spacing w:val="-10"/>
                <w:sz w:val="21"/>
              </w:rPr>
              <w:t xml:space="preserve"> </w:t>
            </w:r>
            <w:r>
              <w:rPr>
                <w:sz w:val="21"/>
              </w:rPr>
              <w:t>County</w:t>
            </w:r>
            <w:r>
              <w:rPr>
                <w:spacing w:val="-10"/>
                <w:sz w:val="21"/>
              </w:rPr>
              <w:t xml:space="preserve"> </w:t>
            </w:r>
            <w:r>
              <w:rPr>
                <w:spacing w:val="-4"/>
                <w:sz w:val="21"/>
              </w:rPr>
              <w:t>(KY)</w:t>
            </w:r>
          </w:p>
        </w:tc>
        <w:tc>
          <w:tcPr>
            <w:tcW w:w="2515" w:type="dxa"/>
          </w:tcPr>
          <w:p w:rsidR="003F5784" w14:paraId="3B57A197"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2BDEF3F3" w14:textId="77777777">
            <w:pPr>
              <w:pStyle w:val="TableParagraph"/>
              <w:ind w:right="661"/>
              <w:rPr>
                <w:sz w:val="21"/>
              </w:rPr>
            </w:pPr>
            <w:r>
              <w:rPr>
                <w:sz w:val="21"/>
              </w:rPr>
              <w:t>10th</w:t>
            </w:r>
            <w:r>
              <w:rPr>
                <w:spacing w:val="-5"/>
                <w:sz w:val="21"/>
              </w:rPr>
              <w:t xml:space="preserve"> </w:t>
            </w:r>
            <w:r>
              <w:rPr>
                <w:spacing w:val="-2"/>
                <w:sz w:val="21"/>
              </w:rPr>
              <w:t>percentile</w:t>
            </w:r>
          </w:p>
        </w:tc>
        <w:tc>
          <w:tcPr>
            <w:tcW w:w="1794" w:type="dxa"/>
          </w:tcPr>
          <w:p w:rsidR="003F5784" w14:paraId="23417FCE" w14:textId="77777777">
            <w:pPr>
              <w:pStyle w:val="TableParagraph"/>
              <w:ind w:left="101" w:right="2"/>
              <w:jc w:val="center"/>
              <w:rPr>
                <w:sz w:val="21"/>
              </w:rPr>
            </w:pPr>
            <w:r>
              <w:rPr>
                <w:spacing w:val="-4"/>
                <w:sz w:val="21"/>
              </w:rPr>
              <w:t>9.66</w:t>
            </w:r>
          </w:p>
        </w:tc>
        <w:tc>
          <w:tcPr>
            <w:tcW w:w="1596" w:type="dxa"/>
          </w:tcPr>
          <w:p w:rsidR="003F5784" w14:paraId="22D0C31A" w14:textId="77777777">
            <w:pPr>
              <w:pStyle w:val="TableParagraph"/>
              <w:ind w:right="465"/>
              <w:rPr>
                <w:sz w:val="21"/>
              </w:rPr>
            </w:pPr>
            <w:r>
              <w:rPr>
                <w:spacing w:val="-4"/>
                <w:sz w:val="21"/>
              </w:rPr>
              <w:t>9.85</w:t>
            </w:r>
          </w:p>
        </w:tc>
        <w:tc>
          <w:tcPr>
            <w:tcW w:w="1766" w:type="dxa"/>
          </w:tcPr>
          <w:p w:rsidR="003F5784" w14:paraId="3DD977F0" w14:textId="77777777">
            <w:pPr>
              <w:pStyle w:val="TableParagraph"/>
              <w:ind w:right="122"/>
              <w:rPr>
                <w:sz w:val="21"/>
              </w:rPr>
            </w:pPr>
            <w:r>
              <w:rPr>
                <w:sz w:val="21"/>
              </w:rPr>
              <w:t>(9.73,</w:t>
            </w:r>
            <w:r>
              <w:rPr>
                <w:spacing w:val="-6"/>
                <w:sz w:val="21"/>
              </w:rPr>
              <w:t xml:space="preserve"> </w:t>
            </w:r>
            <w:r>
              <w:rPr>
                <w:spacing w:val="-2"/>
                <w:sz w:val="21"/>
              </w:rPr>
              <w:t>9.93)</w:t>
            </w:r>
          </w:p>
        </w:tc>
      </w:tr>
      <w:tr w14:paraId="480CE1FB" w14:textId="77777777">
        <w:tblPrEx>
          <w:tblW w:w="0" w:type="auto"/>
          <w:tblInd w:w="482" w:type="dxa"/>
          <w:tblLayout w:type="fixed"/>
          <w:tblCellMar>
            <w:left w:w="0" w:type="dxa"/>
            <w:right w:w="0" w:type="dxa"/>
          </w:tblCellMar>
          <w:tblLook w:val="01E0"/>
        </w:tblPrEx>
        <w:trPr>
          <w:trHeight w:val="286"/>
        </w:trPr>
        <w:tc>
          <w:tcPr>
            <w:tcW w:w="839" w:type="dxa"/>
          </w:tcPr>
          <w:p w:rsidR="003F5784" w14:paraId="21B0EB79" w14:textId="77777777">
            <w:pPr>
              <w:pStyle w:val="TableParagraph"/>
              <w:spacing w:before="0"/>
              <w:jc w:val="left"/>
              <w:rPr>
                <w:sz w:val="20"/>
              </w:rPr>
            </w:pPr>
          </w:p>
        </w:tc>
        <w:tc>
          <w:tcPr>
            <w:tcW w:w="3262" w:type="dxa"/>
          </w:tcPr>
          <w:p w:rsidR="003F5784" w14:paraId="1B4650E8" w14:textId="77777777">
            <w:pPr>
              <w:pStyle w:val="TableParagraph"/>
              <w:ind w:left="614"/>
              <w:jc w:val="left"/>
              <w:rPr>
                <w:sz w:val="21"/>
              </w:rPr>
            </w:pPr>
            <w:r>
              <w:rPr>
                <w:spacing w:val="-4"/>
                <w:sz w:val="21"/>
              </w:rPr>
              <w:t>New</w:t>
            </w:r>
            <w:r>
              <w:rPr>
                <w:spacing w:val="-10"/>
                <w:sz w:val="21"/>
              </w:rPr>
              <w:t xml:space="preserve"> </w:t>
            </w:r>
            <w:r>
              <w:rPr>
                <w:spacing w:val="-4"/>
                <w:sz w:val="21"/>
              </w:rPr>
              <w:t>York</w:t>
            </w:r>
            <w:r>
              <w:rPr>
                <w:spacing w:val="-2"/>
                <w:sz w:val="21"/>
              </w:rPr>
              <w:t xml:space="preserve"> </w:t>
            </w:r>
            <w:r>
              <w:rPr>
                <w:spacing w:val="-4"/>
                <w:sz w:val="21"/>
              </w:rPr>
              <w:t>City</w:t>
            </w:r>
          </w:p>
        </w:tc>
        <w:tc>
          <w:tcPr>
            <w:tcW w:w="2515" w:type="dxa"/>
          </w:tcPr>
          <w:p w:rsidR="003F5784" w14:paraId="739AA6D9"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0EFFD97B" w14:textId="77777777">
            <w:pPr>
              <w:pStyle w:val="TableParagraph"/>
              <w:ind w:right="661"/>
              <w:rPr>
                <w:sz w:val="21"/>
              </w:rPr>
            </w:pPr>
            <w:r>
              <w:rPr>
                <w:sz w:val="21"/>
              </w:rPr>
              <w:t>50th</w:t>
            </w:r>
            <w:r>
              <w:rPr>
                <w:spacing w:val="-5"/>
                <w:sz w:val="21"/>
              </w:rPr>
              <w:t xml:space="preserve"> </w:t>
            </w:r>
            <w:r>
              <w:rPr>
                <w:spacing w:val="-2"/>
                <w:sz w:val="21"/>
              </w:rPr>
              <w:t>percentile</w:t>
            </w:r>
          </w:p>
        </w:tc>
        <w:tc>
          <w:tcPr>
            <w:tcW w:w="1794" w:type="dxa"/>
          </w:tcPr>
          <w:p w:rsidR="003F5784" w14:paraId="084706E6" w14:textId="77777777">
            <w:pPr>
              <w:pStyle w:val="TableParagraph"/>
              <w:ind w:left="99" w:right="101"/>
              <w:jc w:val="center"/>
              <w:rPr>
                <w:sz w:val="21"/>
              </w:rPr>
            </w:pPr>
            <w:r>
              <w:rPr>
                <w:spacing w:val="-2"/>
                <w:sz w:val="21"/>
              </w:rPr>
              <w:t>48.96</w:t>
            </w:r>
          </w:p>
        </w:tc>
        <w:tc>
          <w:tcPr>
            <w:tcW w:w="1596" w:type="dxa"/>
          </w:tcPr>
          <w:p w:rsidR="003F5784" w14:paraId="27E05669" w14:textId="77777777">
            <w:pPr>
              <w:pStyle w:val="TableParagraph"/>
              <w:ind w:right="465"/>
              <w:rPr>
                <w:sz w:val="21"/>
              </w:rPr>
            </w:pPr>
            <w:r>
              <w:rPr>
                <w:spacing w:val="-2"/>
                <w:sz w:val="21"/>
              </w:rPr>
              <w:t>47.00</w:t>
            </w:r>
          </w:p>
        </w:tc>
        <w:tc>
          <w:tcPr>
            <w:tcW w:w="1766" w:type="dxa"/>
          </w:tcPr>
          <w:p w:rsidR="003F5784" w14:paraId="645FBE1A" w14:textId="77777777">
            <w:pPr>
              <w:pStyle w:val="TableParagraph"/>
              <w:ind w:right="122"/>
              <w:rPr>
                <w:sz w:val="21"/>
              </w:rPr>
            </w:pPr>
            <w:r>
              <w:rPr>
                <w:sz w:val="21"/>
              </w:rPr>
              <w:t>(46.57,</w:t>
            </w:r>
            <w:r>
              <w:rPr>
                <w:spacing w:val="-7"/>
                <w:sz w:val="21"/>
              </w:rPr>
              <w:t xml:space="preserve"> </w:t>
            </w:r>
            <w:r>
              <w:rPr>
                <w:spacing w:val="-2"/>
                <w:sz w:val="21"/>
              </w:rPr>
              <w:t>48.46)</w:t>
            </w:r>
          </w:p>
        </w:tc>
      </w:tr>
      <w:tr w14:paraId="6B861345" w14:textId="77777777">
        <w:tblPrEx>
          <w:tblW w:w="0" w:type="auto"/>
          <w:tblInd w:w="482" w:type="dxa"/>
          <w:tblLayout w:type="fixed"/>
          <w:tblCellMar>
            <w:left w:w="0" w:type="dxa"/>
            <w:right w:w="0" w:type="dxa"/>
          </w:tblCellMar>
          <w:tblLook w:val="01E0"/>
        </w:tblPrEx>
        <w:trPr>
          <w:trHeight w:val="289"/>
        </w:trPr>
        <w:tc>
          <w:tcPr>
            <w:tcW w:w="839" w:type="dxa"/>
            <w:tcBorders>
              <w:bottom w:val="single" w:sz="12" w:space="0" w:color="800000"/>
            </w:tcBorders>
          </w:tcPr>
          <w:p w:rsidR="003F5784" w14:paraId="314641A9" w14:textId="77777777">
            <w:pPr>
              <w:pStyle w:val="TableParagraph"/>
              <w:spacing w:before="0"/>
              <w:jc w:val="left"/>
              <w:rPr>
                <w:sz w:val="20"/>
              </w:rPr>
            </w:pPr>
          </w:p>
        </w:tc>
        <w:tc>
          <w:tcPr>
            <w:tcW w:w="3262" w:type="dxa"/>
            <w:tcBorders>
              <w:bottom w:val="single" w:sz="12" w:space="0" w:color="800000"/>
            </w:tcBorders>
          </w:tcPr>
          <w:p w:rsidR="003F5784" w14:paraId="6F51C450" w14:textId="77777777">
            <w:pPr>
              <w:pStyle w:val="TableParagraph"/>
              <w:ind w:left="614"/>
              <w:jc w:val="left"/>
              <w:rPr>
                <w:sz w:val="21"/>
              </w:rPr>
            </w:pPr>
            <w:r>
              <w:rPr>
                <w:sz w:val="21"/>
              </w:rPr>
              <w:t>Shelby</w:t>
            </w:r>
            <w:r>
              <w:rPr>
                <w:spacing w:val="-7"/>
                <w:sz w:val="21"/>
              </w:rPr>
              <w:t xml:space="preserve"> </w:t>
            </w:r>
            <w:r>
              <w:rPr>
                <w:sz w:val="21"/>
              </w:rPr>
              <w:t>County</w:t>
            </w:r>
            <w:r>
              <w:rPr>
                <w:spacing w:val="-8"/>
                <w:sz w:val="21"/>
              </w:rPr>
              <w:t xml:space="preserve"> </w:t>
            </w:r>
            <w:r>
              <w:rPr>
                <w:spacing w:val="-4"/>
                <w:sz w:val="21"/>
              </w:rPr>
              <w:t>(TN)</w:t>
            </w:r>
          </w:p>
        </w:tc>
        <w:tc>
          <w:tcPr>
            <w:tcW w:w="2515" w:type="dxa"/>
            <w:tcBorders>
              <w:bottom w:val="single" w:sz="12" w:space="0" w:color="800000"/>
            </w:tcBorders>
          </w:tcPr>
          <w:p w:rsidR="003F5784" w14:paraId="2EE51BB0"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Borders>
              <w:bottom w:val="single" w:sz="12" w:space="0" w:color="800000"/>
            </w:tcBorders>
          </w:tcPr>
          <w:p w:rsidR="003F5784" w14:paraId="2663F4B3" w14:textId="77777777">
            <w:pPr>
              <w:pStyle w:val="TableParagraph"/>
              <w:ind w:right="661"/>
              <w:rPr>
                <w:sz w:val="21"/>
              </w:rPr>
            </w:pPr>
            <w:r>
              <w:rPr>
                <w:sz w:val="21"/>
              </w:rPr>
              <w:t>50th</w:t>
            </w:r>
            <w:r>
              <w:rPr>
                <w:spacing w:val="-5"/>
                <w:sz w:val="21"/>
              </w:rPr>
              <w:t xml:space="preserve"> </w:t>
            </w:r>
            <w:r>
              <w:rPr>
                <w:spacing w:val="-2"/>
                <w:sz w:val="21"/>
              </w:rPr>
              <w:t>percentile</w:t>
            </w:r>
          </w:p>
        </w:tc>
        <w:tc>
          <w:tcPr>
            <w:tcW w:w="1794" w:type="dxa"/>
            <w:tcBorders>
              <w:bottom w:val="single" w:sz="12" w:space="0" w:color="800000"/>
            </w:tcBorders>
          </w:tcPr>
          <w:p w:rsidR="003F5784" w14:paraId="63AF2E9F" w14:textId="77777777">
            <w:pPr>
              <w:pStyle w:val="TableParagraph"/>
              <w:ind w:left="99" w:right="101"/>
              <w:jc w:val="center"/>
              <w:rPr>
                <w:sz w:val="21"/>
              </w:rPr>
            </w:pPr>
            <w:r>
              <w:rPr>
                <w:spacing w:val="-2"/>
                <w:sz w:val="21"/>
              </w:rPr>
              <w:t>32.02</w:t>
            </w:r>
          </w:p>
        </w:tc>
        <w:tc>
          <w:tcPr>
            <w:tcW w:w="1596" w:type="dxa"/>
            <w:tcBorders>
              <w:bottom w:val="single" w:sz="12" w:space="0" w:color="800000"/>
            </w:tcBorders>
          </w:tcPr>
          <w:p w:rsidR="003F5784" w14:paraId="529C816C" w14:textId="77777777">
            <w:pPr>
              <w:pStyle w:val="TableParagraph"/>
              <w:ind w:right="465"/>
              <w:rPr>
                <w:sz w:val="21"/>
              </w:rPr>
            </w:pPr>
            <w:r>
              <w:rPr>
                <w:spacing w:val="-2"/>
                <w:sz w:val="21"/>
              </w:rPr>
              <w:t>31.17</w:t>
            </w:r>
          </w:p>
        </w:tc>
        <w:tc>
          <w:tcPr>
            <w:tcW w:w="1766" w:type="dxa"/>
            <w:tcBorders>
              <w:bottom w:val="single" w:sz="12" w:space="0" w:color="800000"/>
            </w:tcBorders>
          </w:tcPr>
          <w:p w:rsidR="003F5784" w14:paraId="591DE925" w14:textId="77777777">
            <w:pPr>
              <w:pStyle w:val="TableParagraph"/>
              <w:ind w:right="122"/>
              <w:rPr>
                <w:sz w:val="21"/>
              </w:rPr>
            </w:pPr>
            <w:r>
              <w:rPr>
                <w:sz w:val="21"/>
              </w:rPr>
              <w:t>(31.02,</w:t>
            </w:r>
            <w:r>
              <w:rPr>
                <w:spacing w:val="-7"/>
                <w:sz w:val="21"/>
              </w:rPr>
              <w:t xml:space="preserve"> </w:t>
            </w:r>
            <w:r>
              <w:rPr>
                <w:spacing w:val="-2"/>
                <w:sz w:val="21"/>
              </w:rPr>
              <w:t>31.31)</w:t>
            </w:r>
          </w:p>
        </w:tc>
      </w:tr>
      <w:tr w14:paraId="3C8FB646" w14:textId="77777777">
        <w:tblPrEx>
          <w:tblW w:w="0" w:type="auto"/>
          <w:tblInd w:w="482" w:type="dxa"/>
          <w:tblLayout w:type="fixed"/>
          <w:tblCellMar>
            <w:left w:w="0" w:type="dxa"/>
            <w:right w:w="0" w:type="dxa"/>
          </w:tblCellMar>
          <w:tblLook w:val="01E0"/>
        </w:tblPrEx>
        <w:trPr>
          <w:trHeight w:val="266"/>
        </w:trPr>
        <w:tc>
          <w:tcPr>
            <w:tcW w:w="839" w:type="dxa"/>
            <w:tcBorders>
              <w:top w:val="single" w:sz="12" w:space="0" w:color="800000"/>
            </w:tcBorders>
          </w:tcPr>
          <w:p w:rsidR="003F5784" w14:paraId="119E2E50" w14:textId="77777777">
            <w:pPr>
              <w:pStyle w:val="TableParagraph"/>
              <w:spacing w:before="0" w:line="239" w:lineRule="exact"/>
              <w:ind w:left="120"/>
              <w:jc w:val="left"/>
              <w:rPr>
                <w:sz w:val="21"/>
              </w:rPr>
            </w:pPr>
            <w:r>
              <w:rPr>
                <w:spacing w:val="-10"/>
                <w:sz w:val="21"/>
              </w:rPr>
              <w:t>8</w:t>
            </w:r>
          </w:p>
        </w:tc>
        <w:tc>
          <w:tcPr>
            <w:tcW w:w="3262" w:type="dxa"/>
            <w:tcBorders>
              <w:top w:val="single" w:sz="12" w:space="0" w:color="800000"/>
            </w:tcBorders>
          </w:tcPr>
          <w:p w:rsidR="003F5784" w14:paraId="7C636A6E" w14:textId="77777777">
            <w:pPr>
              <w:pStyle w:val="TableParagraph"/>
              <w:spacing w:before="0" w:line="239" w:lineRule="exact"/>
              <w:ind w:left="614"/>
              <w:jc w:val="left"/>
              <w:rPr>
                <w:sz w:val="21"/>
              </w:rPr>
            </w:pPr>
            <w:r>
              <w:rPr>
                <w:spacing w:val="-2"/>
                <w:sz w:val="21"/>
              </w:rPr>
              <w:t>Arizona</w:t>
            </w:r>
          </w:p>
        </w:tc>
        <w:tc>
          <w:tcPr>
            <w:tcW w:w="2515" w:type="dxa"/>
            <w:tcBorders>
              <w:top w:val="single" w:sz="12" w:space="0" w:color="800000"/>
            </w:tcBorders>
          </w:tcPr>
          <w:p w:rsidR="003F5784" w14:paraId="0CF70715" w14:textId="77777777">
            <w:pPr>
              <w:pStyle w:val="TableParagraph"/>
              <w:spacing w:before="0" w:line="239" w:lineRule="exact"/>
              <w:ind w:right="308"/>
              <w:rPr>
                <w:sz w:val="21"/>
              </w:rPr>
            </w:pPr>
            <w:r>
              <w:rPr>
                <w:sz w:val="21"/>
              </w:rPr>
              <w:t>Achievement</w:t>
            </w:r>
            <w:r>
              <w:rPr>
                <w:spacing w:val="-13"/>
                <w:sz w:val="21"/>
              </w:rPr>
              <w:t xml:space="preserve"> </w:t>
            </w:r>
            <w:r>
              <w:rPr>
                <w:spacing w:val="-4"/>
                <w:sz w:val="21"/>
              </w:rPr>
              <w:t>data</w:t>
            </w:r>
          </w:p>
        </w:tc>
        <w:tc>
          <w:tcPr>
            <w:tcW w:w="2217" w:type="dxa"/>
            <w:tcBorders>
              <w:top w:val="single" w:sz="12" w:space="0" w:color="800000"/>
            </w:tcBorders>
          </w:tcPr>
          <w:p w:rsidR="003F5784" w14:paraId="7BD773B0" w14:textId="77777777">
            <w:pPr>
              <w:pStyle w:val="TableParagraph"/>
              <w:spacing w:before="0" w:line="239" w:lineRule="exact"/>
              <w:ind w:right="661"/>
              <w:rPr>
                <w:sz w:val="21"/>
              </w:rPr>
            </w:pPr>
            <w:r>
              <w:rPr>
                <w:sz w:val="21"/>
              </w:rPr>
              <w:t>10th</w:t>
            </w:r>
            <w:r>
              <w:rPr>
                <w:spacing w:val="-5"/>
                <w:sz w:val="21"/>
              </w:rPr>
              <w:t xml:space="preserve"> </w:t>
            </w:r>
            <w:r>
              <w:rPr>
                <w:spacing w:val="-2"/>
                <w:sz w:val="21"/>
              </w:rPr>
              <w:t>percentile</w:t>
            </w:r>
          </w:p>
        </w:tc>
        <w:tc>
          <w:tcPr>
            <w:tcW w:w="1794" w:type="dxa"/>
            <w:tcBorders>
              <w:top w:val="single" w:sz="12" w:space="0" w:color="800000"/>
            </w:tcBorders>
          </w:tcPr>
          <w:p w:rsidR="003F5784" w14:paraId="137E1695" w14:textId="77777777">
            <w:pPr>
              <w:pStyle w:val="TableParagraph"/>
              <w:spacing w:before="0" w:line="239" w:lineRule="exact"/>
              <w:ind w:left="99" w:right="101"/>
              <w:jc w:val="center"/>
              <w:rPr>
                <w:sz w:val="21"/>
              </w:rPr>
            </w:pPr>
            <w:r>
              <w:rPr>
                <w:spacing w:val="-2"/>
                <w:sz w:val="21"/>
              </w:rPr>
              <w:t>13.84</w:t>
            </w:r>
          </w:p>
        </w:tc>
        <w:tc>
          <w:tcPr>
            <w:tcW w:w="1596" w:type="dxa"/>
            <w:tcBorders>
              <w:top w:val="single" w:sz="12" w:space="0" w:color="800000"/>
            </w:tcBorders>
          </w:tcPr>
          <w:p w:rsidR="003F5784" w14:paraId="67351E7B" w14:textId="77777777">
            <w:pPr>
              <w:pStyle w:val="TableParagraph"/>
              <w:spacing w:before="0" w:line="239" w:lineRule="exact"/>
              <w:ind w:right="465"/>
              <w:rPr>
                <w:sz w:val="21"/>
              </w:rPr>
            </w:pPr>
            <w:r>
              <w:rPr>
                <w:spacing w:val="-2"/>
                <w:sz w:val="21"/>
              </w:rPr>
              <w:t>12.58</w:t>
            </w:r>
          </w:p>
        </w:tc>
        <w:tc>
          <w:tcPr>
            <w:tcW w:w="1766" w:type="dxa"/>
            <w:tcBorders>
              <w:top w:val="single" w:sz="12" w:space="0" w:color="800000"/>
            </w:tcBorders>
          </w:tcPr>
          <w:p w:rsidR="003F5784" w14:paraId="7BDF320A" w14:textId="77777777">
            <w:pPr>
              <w:pStyle w:val="TableParagraph"/>
              <w:spacing w:before="0" w:line="239" w:lineRule="exact"/>
              <w:ind w:right="122"/>
              <w:rPr>
                <w:sz w:val="21"/>
              </w:rPr>
            </w:pPr>
            <w:r>
              <w:rPr>
                <w:sz w:val="21"/>
              </w:rPr>
              <w:t>(9.51,</w:t>
            </w:r>
            <w:r>
              <w:rPr>
                <w:spacing w:val="-6"/>
                <w:sz w:val="21"/>
              </w:rPr>
              <w:t xml:space="preserve"> </w:t>
            </w:r>
            <w:r>
              <w:rPr>
                <w:spacing w:val="-2"/>
                <w:sz w:val="21"/>
              </w:rPr>
              <w:t>13.07)</w:t>
            </w:r>
          </w:p>
        </w:tc>
      </w:tr>
      <w:tr w14:paraId="4863D35F" w14:textId="77777777">
        <w:tblPrEx>
          <w:tblW w:w="0" w:type="auto"/>
          <w:tblInd w:w="482" w:type="dxa"/>
          <w:tblLayout w:type="fixed"/>
          <w:tblCellMar>
            <w:left w:w="0" w:type="dxa"/>
            <w:right w:w="0" w:type="dxa"/>
          </w:tblCellMar>
          <w:tblLook w:val="01E0"/>
        </w:tblPrEx>
        <w:trPr>
          <w:trHeight w:val="286"/>
        </w:trPr>
        <w:tc>
          <w:tcPr>
            <w:tcW w:w="839" w:type="dxa"/>
          </w:tcPr>
          <w:p w:rsidR="003F5784" w14:paraId="70507305" w14:textId="77777777">
            <w:pPr>
              <w:pStyle w:val="TableParagraph"/>
              <w:spacing w:before="0"/>
              <w:jc w:val="left"/>
              <w:rPr>
                <w:sz w:val="20"/>
              </w:rPr>
            </w:pPr>
          </w:p>
        </w:tc>
        <w:tc>
          <w:tcPr>
            <w:tcW w:w="3262" w:type="dxa"/>
          </w:tcPr>
          <w:p w:rsidR="003F5784" w14:paraId="59596D9E" w14:textId="77777777">
            <w:pPr>
              <w:pStyle w:val="TableParagraph"/>
              <w:ind w:left="614"/>
              <w:jc w:val="left"/>
              <w:rPr>
                <w:sz w:val="21"/>
              </w:rPr>
            </w:pPr>
            <w:r>
              <w:rPr>
                <w:spacing w:val="-2"/>
                <w:sz w:val="21"/>
              </w:rPr>
              <w:t>Arizona</w:t>
            </w:r>
          </w:p>
        </w:tc>
        <w:tc>
          <w:tcPr>
            <w:tcW w:w="2515" w:type="dxa"/>
          </w:tcPr>
          <w:p w:rsidR="003F5784" w14:paraId="56CF2854"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644B07DD" w14:textId="77777777">
            <w:pPr>
              <w:pStyle w:val="TableParagraph"/>
              <w:ind w:right="661"/>
              <w:rPr>
                <w:sz w:val="21"/>
              </w:rPr>
            </w:pPr>
            <w:r>
              <w:rPr>
                <w:sz w:val="21"/>
              </w:rPr>
              <w:t>75th</w:t>
            </w:r>
            <w:r>
              <w:rPr>
                <w:spacing w:val="-5"/>
                <w:sz w:val="21"/>
              </w:rPr>
              <w:t xml:space="preserve"> </w:t>
            </w:r>
            <w:r>
              <w:rPr>
                <w:spacing w:val="-2"/>
                <w:sz w:val="21"/>
              </w:rPr>
              <w:t>percentile</w:t>
            </w:r>
          </w:p>
        </w:tc>
        <w:tc>
          <w:tcPr>
            <w:tcW w:w="1794" w:type="dxa"/>
          </w:tcPr>
          <w:p w:rsidR="003F5784" w14:paraId="2D7991F6" w14:textId="77777777">
            <w:pPr>
              <w:pStyle w:val="TableParagraph"/>
              <w:ind w:left="99" w:right="101"/>
              <w:jc w:val="center"/>
              <w:rPr>
                <w:sz w:val="21"/>
              </w:rPr>
            </w:pPr>
            <w:r>
              <w:rPr>
                <w:spacing w:val="-2"/>
                <w:sz w:val="21"/>
              </w:rPr>
              <w:t>51.25</w:t>
            </w:r>
          </w:p>
        </w:tc>
        <w:tc>
          <w:tcPr>
            <w:tcW w:w="1596" w:type="dxa"/>
          </w:tcPr>
          <w:p w:rsidR="003F5784" w14:paraId="2BE15AB1" w14:textId="77777777">
            <w:pPr>
              <w:pStyle w:val="TableParagraph"/>
              <w:ind w:right="465"/>
              <w:rPr>
                <w:sz w:val="21"/>
              </w:rPr>
            </w:pPr>
            <w:r>
              <w:rPr>
                <w:spacing w:val="-2"/>
                <w:sz w:val="21"/>
              </w:rPr>
              <w:t>47.93</w:t>
            </w:r>
          </w:p>
        </w:tc>
        <w:tc>
          <w:tcPr>
            <w:tcW w:w="1766" w:type="dxa"/>
          </w:tcPr>
          <w:p w:rsidR="003F5784" w14:paraId="7F610759" w14:textId="77777777">
            <w:pPr>
              <w:pStyle w:val="TableParagraph"/>
              <w:ind w:right="122"/>
              <w:rPr>
                <w:sz w:val="21"/>
              </w:rPr>
            </w:pPr>
            <w:r>
              <w:rPr>
                <w:sz w:val="21"/>
              </w:rPr>
              <w:t>(45.35,</w:t>
            </w:r>
            <w:r>
              <w:rPr>
                <w:spacing w:val="-7"/>
                <w:sz w:val="21"/>
              </w:rPr>
              <w:t xml:space="preserve"> </w:t>
            </w:r>
            <w:r>
              <w:rPr>
                <w:spacing w:val="-2"/>
                <w:sz w:val="21"/>
              </w:rPr>
              <w:t>50.16)</w:t>
            </w:r>
          </w:p>
        </w:tc>
      </w:tr>
      <w:tr w14:paraId="5AF2BD02" w14:textId="77777777">
        <w:tblPrEx>
          <w:tblW w:w="0" w:type="auto"/>
          <w:tblInd w:w="482" w:type="dxa"/>
          <w:tblLayout w:type="fixed"/>
          <w:tblCellMar>
            <w:left w:w="0" w:type="dxa"/>
            <w:right w:w="0" w:type="dxa"/>
          </w:tblCellMar>
          <w:tblLook w:val="01E0"/>
        </w:tblPrEx>
        <w:trPr>
          <w:trHeight w:val="286"/>
        </w:trPr>
        <w:tc>
          <w:tcPr>
            <w:tcW w:w="839" w:type="dxa"/>
          </w:tcPr>
          <w:p w:rsidR="003F5784" w14:paraId="38B0CF09" w14:textId="77777777">
            <w:pPr>
              <w:pStyle w:val="TableParagraph"/>
              <w:spacing w:before="0"/>
              <w:jc w:val="left"/>
              <w:rPr>
                <w:sz w:val="20"/>
              </w:rPr>
            </w:pPr>
          </w:p>
        </w:tc>
        <w:tc>
          <w:tcPr>
            <w:tcW w:w="3262" w:type="dxa"/>
          </w:tcPr>
          <w:p w:rsidR="003F5784" w14:paraId="720358D8" w14:textId="77777777">
            <w:pPr>
              <w:pStyle w:val="TableParagraph"/>
              <w:ind w:left="614"/>
              <w:jc w:val="left"/>
              <w:rPr>
                <w:sz w:val="21"/>
              </w:rPr>
            </w:pPr>
            <w:r>
              <w:rPr>
                <w:spacing w:val="-2"/>
                <w:sz w:val="21"/>
              </w:rPr>
              <w:t>Arkansas</w:t>
            </w:r>
          </w:p>
        </w:tc>
        <w:tc>
          <w:tcPr>
            <w:tcW w:w="2515" w:type="dxa"/>
          </w:tcPr>
          <w:p w:rsidR="003F5784" w14:paraId="057448BD"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59172E49" w14:textId="77777777">
            <w:pPr>
              <w:pStyle w:val="TableParagraph"/>
              <w:ind w:right="661"/>
              <w:rPr>
                <w:sz w:val="21"/>
              </w:rPr>
            </w:pPr>
            <w:r>
              <w:rPr>
                <w:sz w:val="21"/>
              </w:rPr>
              <w:t>50th</w:t>
            </w:r>
            <w:r>
              <w:rPr>
                <w:spacing w:val="-5"/>
                <w:sz w:val="21"/>
              </w:rPr>
              <w:t xml:space="preserve"> </w:t>
            </w:r>
            <w:r>
              <w:rPr>
                <w:spacing w:val="-2"/>
                <w:sz w:val="21"/>
              </w:rPr>
              <w:t>percentile</w:t>
            </w:r>
          </w:p>
        </w:tc>
        <w:tc>
          <w:tcPr>
            <w:tcW w:w="1794" w:type="dxa"/>
          </w:tcPr>
          <w:p w:rsidR="003F5784" w14:paraId="69578620" w14:textId="77777777">
            <w:pPr>
              <w:pStyle w:val="TableParagraph"/>
              <w:ind w:left="99" w:right="101"/>
              <w:jc w:val="center"/>
              <w:rPr>
                <w:sz w:val="21"/>
              </w:rPr>
            </w:pPr>
            <w:r>
              <w:rPr>
                <w:spacing w:val="-2"/>
                <w:sz w:val="21"/>
              </w:rPr>
              <w:t>50.01</w:t>
            </w:r>
          </w:p>
        </w:tc>
        <w:tc>
          <w:tcPr>
            <w:tcW w:w="1596" w:type="dxa"/>
          </w:tcPr>
          <w:p w:rsidR="003F5784" w14:paraId="5DC17122" w14:textId="77777777">
            <w:pPr>
              <w:pStyle w:val="TableParagraph"/>
              <w:ind w:right="465"/>
              <w:rPr>
                <w:sz w:val="21"/>
              </w:rPr>
            </w:pPr>
            <w:r>
              <w:rPr>
                <w:spacing w:val="-2"/>
                <w:sz w:val="21"/>
              </w:rPr>
              <w:t>50.80</w:t>
            </w:r>
          </w:p>
        </w:tc>
        <w:tc>
          <w:tcPr>
            <w:tcW w:w="1766" w:type="dxa"/>
          </w:tcPr>
          <w:p w:rsidR="003F5784" w14:paraId="611E1AB0" w14:textId="77777777">
            <w:pPr>
              <w:pStyle w:val="TableParagraph"/>
              <w:ind w:right="122"/>
              <w:rPr>
                <w:sz w:val="21"/>
              </w:rPr>
            </w:pPr>
            <w:r>
              <w:rPr>
                <w:sz w:val="21"/>
              </w:rPr>
              <w:t>(50.09,</w:t>
            </w:r>
            <w:r>
              <w:rPr>
                <w:spacing w:val="-7"/>
                <w:sz w:val="21"/>
              </w:rPr>
              <w:t xml:space="preserve"> </w:t>
            </w:r>
            <w:r>
              <w:rPr>
                <w:spacing w:val="-2"/>
                <w:sz w:val="21"/>
              </w:rPr>
              <w:t>52.31)</w:t>
            </w:r>
          </w:p>
        </w:tc>
      </w:tr>
      <w:tr w14:paraId="163E2A15" w14:textId="77777777">
        <w:tblPrEx>
          <w:tblW w:w="0" w:type="auto"/>
          <w:tblInd w:w="482" w:type="dxa"/>
          <w:tblLayout w:type="fixed"/>
          <w:tblCellMar>
            <w:left w:w="0" w:type="dxa"/>
            <w:right w:w="0" w:type="dxa"/>
          </w:tblCellMar>
          <w:tblLook w:val="01E0"/>
        </w:tblPrEx>
        <w:trPr>
          <w:trHeight w:val="286"/>
        </w:trPr>
        <w:tc>
          <w:tcPr>
            <w:tcW w:w="839" w:type="dxa"/>
          </w:tcPr>
          <w:p w:rsidR="003F5784" w14:paraId="2D49E539" w14:textId="77777777">
            <w:pPr>
              <w:pStyle w:val="TableParagraph"/>
              <w:spacing w:before="0"/>
              <w:jc w:val="left"/>
              <w:rPr>
                <w:sz w:val="20"/>
              </w:rPr>
            </w:pPr>
          </w:p>
        </w:tc>
        <w:tc>
          <w:tcPr>
            <w:tcW w:w="3262" w:type="dxa"/>
          </w:tcPr>
          <w:p w:rsidR="003F5784" w14:paraId="06EB79FA" w14:textId="77777777">
            <w:pPr>
              <w:pStyle w:val="TableParagraph"/>
              <w:ind w:left="614"/>
              <w:jc w:val="left"/>
              <w:rPr>
                <w:sz w:val="21"/>
              </w:rPr>
            </w:pPr>
            <w:r>
              <w:rPr>
                <w:spacing w:val="-2"/>
                <w:sz w:val="21"/>
              </w:rPr>
              <w:t>Hawaii</w:t>
            </w:r>
          </w:p>
        </w:tc>
        <w:tc>
          <w:tcPr>
            <w:tcW w:w="2515" w:type="dxa"/>
          </w:tcPr>
          <w:p w:rsidR="003F5784" w14:paraId="12B31D20"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7C711C07" w14:textId="77777777">
            <w:pPr>
              <w:pStyle w:val="TableParagraph"/>
              <w:ind w:right="661"/>
              <w:rPr>
                <w:sz w:val="21"/>
              </w:rPr>
            </w:pPr>
            <w:r>
              <w:rPr>
                <w:sz w:val="21"/>
              </w:rPr>
              <w:t>90th</w:t>
            </w:r>
            <w:r>
              <w:rPr>
                <w:spacing w:val="-5"/>
                <w:sz w:val="21"/>
              </w:rPr>
              <w:t xml:space="preserve"> </w:t>
            </w:r>
            <w:r>
              <w:rPr>
                <w:spacing w:val="-2"/>
                <w:sz w:val="21"/>
              </w:rPr>
              <w:t>percentile</w:t>
            </w:r>
          </w:p>
        </w:tc>
        <w:tc>
          <w:tcPr>
            <w:tcW w:w="1794" w:type="dxa"/>
          </w:tcPr>
          <w:p w:rsidR="003F5784" w14:paraId="1A4D3CB8" w14:textId="77777777">
            <w:pPr>
              <w:pStyle w:val="TableParagraph"/>
              <w:ind w:left="99" w:right="101"/>
              <w:jc w:val="center"/>
              <w:rPr>
                <w:sz w:val="21"/>
              </w:rPr>
            </w:pPr>
            <w:r>
              <w:rPr>
                <w:spacing w:val="-2"/>
                <w:sz w:val="21"/>
              </w:rPr>
              <w:t>64.95</w:t>
            </w:r>
          </w:p>
        </w:tc>
        <w:tc>
          <w:tcPr>
            <w:tcW w:w="1596" w:type="dxa"/>
          </w:tcPr>
          <w:p w:rsidR="003F5784" w14:paraId="201F2235" w14:textId="77777777">
            <w:pPr>
              <w:pStyle w:val="TableParagraph"/>
              <w:ind w:right="465"/>
              <w:rPr>
                <w:sz w:val="21"/>
              </w:rPr>
            </w:pPr>
            <w:r>
              <w:rPr>
                <w:spacing w:val="-2"/>
                <w:sz w:val="21"/>
              </w:rPr>
              <w:t>63.82</w:t>
            </w:r>
          </w:p>
        </w:tc>
        <w:tc>
          <w:tcPr>
            <w:tcW w:w="1766" w:type="dxa"/>
          </w:tcPr>
          <w:p w:rsidR="003F5784" w14:paraId="65700A0B" w14:textId="77777777">
            <w:pPr>
              <w:pStyle w:val="TableParagraph"/>
              <w:ind w:right="122"/>
              <w:rPr>
                <w:sz w:val="21"/>
              </w:rPr>
            </w:pPr>
            <w:r>
              <w:rPr>
                <w:sz w:val="21"/>
              </w:rPr>
              <w:t>(63.34,</w:t>
            </w:r>
            <w:r>
              <w:rPr>
                <w:spacing w:val="-7"/>
                <w:sz w:val="21"/>
              </w:rPr>
              <w:t xml:space="preserve"> </w:t>
            </w:r>
            <w:r>
              <w:rPr>
                <w:spacing w:val="-2"/>
                <w:sz w:val="21"/>
              </w:rPr>
              <w:t>64.30)</w:t>
            </w:r>
          </w:p>
        </w:tc>
      </w:tr>
      <w:tr w14:paraId="0A3D0883" w14:textId="77777777">
        <w:tblPrEx>
          <w:tblW w:w="0" w:type="auto"/>
          <w:tblInd w:w="482" w:type="dxa"/>
          <w:tblLayout w:type="fixed"/>
          <w:tblCellMar>
            <w:left w:w="0" w:type="dxa"/>
            <w:right w:w="0" w:type="dxa"/>
          </w:tblCellMar>
          <w:tblLook w:val="01E0"/>
        </w:tblPrEx>
        <w:trPr>
          <w:trHeight w:val="286"/>
        </w:trPr>
        <w:tc>
          <w:tcPr>
            <w:tcW w:w="839" w:type="dxa"/>
          </w:tcPr>
          <w:p w:rsidR="003F5784" w14:paraId="69E11230" w14:textId="77777777">
            <w:pPr>
              <w:pStyle w:val="TableParagraph"/>
              <w:spacing w:before="0"/>
              <w:jc w:val="left"/>
              <w:rPr>
                <w:sz w:val="20"/>
              </w:rPr>
            </w:pPr>
          </w:p>
        </w:tc>
        <w:tc>
          <w:tcPr>
            <w:tcW w:w="3262" w:type="dxa"/>
          </w:tcPr>
          <w:p w:rsidR="003F5784" w14:paraId="7A839BDE" w14:textId="77777777">
            <w:pPr>
              <w:pStyle w:val="TableParagraph"/>
              <w:ind w:left="614"/>
              <w:jc w:val="left"/>
              <w:rPr>
                <w:sz w:val="21"/>
              </w:rPr>
            </w:pPr>
            <w:r>
              <w:rPr>
                <w:spacing w:val="-2"/>
                <w:sz w:val="21"/>
              </w:rPr>
              <w:t>Idaho</w:t>
            </w:r>
          </w:p>
        </w:tc>
        <w:tc>
          <w:tcPr>
            <w:tcW w:w="2515" w:type="dxa"/>
          </w:tcPr>
          <w:p w:rsidR="003F5784" w14:paraId="25FF8B16"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57879326" w14:textId="77777777">
            <w:pPr>
              <w:pStyle w:val="TableParagraph"/>
              <w:ind w:right="661"/>
              <w:rPr>
                <w:sz w:val="21"/>
              </w:rPr>
            </w:pPr>
            <w:r>
              <w:rPr>
                <w:sz w:val="21"/>
              </w:rPr>
              <w:t>90th</w:t>
            </w:r>
            <w:r>
              <w:rPr>
                <w:spacing w:val="-5"/>
                <w:sz w:val="21"/>
              </w:rPr>
              <w:t xml:space="preserve"> </w:t>
            </w:r>
            <w:r>
              <w:rPr>
                <w:spacing w:val="-2"/>
                <w:sz w:val="21"/>
              </w:rPr>
              <w:t>percentile</w:t>
            </w:r>
          </w:p>
        </w:tc>
        <w:tc>
          <w:tcPr>
            <w:tcW w:w="1794" w:type="dxa"/>
          </w:tcPr>
          <w:p w:rsidR="003F5784" w14:paraId="0724EF93" w14:textId="77777777">
            <w:pPr>
              <w:pStyle w:val="TableParagraph"/>
              <w:ind w:left="99" w:right="101"/>
              <w:jc w:val="center"/>
              <w:rPr>
                <w:sz w:val="21"/>
              </w:rPr>
            </w:pPr>
            <w:r>
              <w:rPr>
                <w:spacing w:val="-2"/>
                <w:sz w:val="21"/>
              </w:rPr>
              <w:t>62.55</w:t>
            </w:r>
          </w:p>
        </w:tc>
        <w:tc>
          <w:tcPr>
            <w:tcW w:w="1596" w:type="dxa"/>
          </w:tcPr>
          <w:p w:rsidR="003F5784" w14:paraId="2F079AEB" w14:textId="77777777">
            <w:pPr>
              <w:pStyle w:val="TableParagraph"/>
              <w:ind w:right="465"/>
              <w:rPr>
                <w:sz w:val="21"/>
              </w:rPr>
            </w:pPr>
            <w:r>
              <w:rPr>
                <w:spacing w:val="-2"/>
                <w:sz w:val="21"/>
              </w:rPr>
              <w:t>57.26</w:t>
            </w:r>
          </w:p>
        </w:tc>
        <w:tc>
          <w:tcPr>
            <w:tcW w:w="1766" w:type="dxa"/>
          </w:tcPr>
          <w:p w:rsidR="003F5784" w14:paraId="51CEEBE8" w14:textId="77777777">
            <w:pPr>
              <w:pStyle w:val="TableParagraph"/>
              <w:ind w:right="122"/>
              <w:rPr>
                <w:sz w:val="21"/>
              </w:rPr>
            </w:pPr>
            <w:r>
              <w:rPr>
                <w:sz w:val="21"/>
              </w:rPr>
              <w:t>(55.91,</w:t>
            </w:r>
            <w:r>
              <w:rPr>
                <w:spacing w:val="-7"/>
                <w:sz w:val="21"/>
              </w:rPr>
              <w:t xml:space="preserve"> </w:t>
            </w:r>
            <w:r>
              <w:rPr>
                <w:spacing w:val="-2"/>
                <w:sz w:val="21"/>
              </w:rPr>
              <w:t>61.82)</w:t>
            </w:r>
          </w:p>
        </w:tc>
      </w:tr>
      <w:tr w14:paraId="0BE78E32" w14:textId="77777777">
        <w:tblPrEx>
          <w:tblW w:w="0" w:type="auto"/>
          <w:tblInd w:w="482" w:type="dxa"/>
          <w:tblLayout w:type="fixed"/>
          <w:tblCellMar>
            <w:left w:w="0" w:type="dxa"/>
            <w:right w:w="0" w:type="dxa"/>
          </w:tblCellMar>
          <w:tblLook w:val="01E0"/>
        </w:tblPrEx>
        <w:trPr>
          <w:trHeight w:val="286"/>
        </w:trPr>
        <w:tc>
          <w:tcPr>
            <w:tcW w:w="839" w:type="dxa"/>
          </w:tcPr>
          <w:p w:rsidR="003F5784" w14:paraId="627C4C46" w14:textId="77777777">
            <w:pPr>
              <w:pStyle w:val="TableParagraph"/>
              <w:spacing w:before="0"/>
              <w:jc w:val="left"/>
              <w:rPr>
                <w:sz w:val="20"/>
              </w:rPr>
            </w:pPr>
          </w:p>
        </w:tc>
        <w:tc>
          <w:tcPr>
            <w:tcW w:w="3262" w:type="dxa"/>
          </w:tcPr>
          <w:p w:rsidR="003F5784" w14:paraId="55870C98" w14:textId="77777777">
            <w:pPr>
              <w:pStyle w:val="TableParagraph"/>
              <w:ind w:left="614"/>
              <w:jc w:val="left"/>
              <w:rPr>
                <w:sz w:val="21"/>
              </w:rPr>
            </w:pPr>
            <w:r>
              <w:rPr>
                <w:spacing w:val="-2"/>
                <w:sz w:val="21"/>
              </w:rPr>
              <w:t>Idaho</w:t>
            </w:r>
          </w:p>
        </w:tc>
        <w:tc>
          <w:tcPr>
            <w:tcW w:w="2515" w:type="dxa"/>
          </w:tcPr>
          <w:p w:rsidR="003F5784" w14:paraId="38FB0407"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10D64E19" w14:textId="77777777">
            <w:pPr>
              <w:pStyle w:val="TableParagraph"/>
              <w:ind w:right="662"/>
              <w:rPr>
                <w:sz w:val="21"/>
              </w:rPr>
            </w:pPr>
            <w:r>
              <w:rPr>
                <w:spacing w:val="-4"/>
                <w:sz w:val="21"/>
              </w:rPr>
              <w:t>mean</w:t>
            </w:r>
          </w:p>
        </w:tc>
        <w:tc>
          <w:tcPr>
            <w:tcW w:w="1794" w:type="dxa"/>
          </w:tcPr>
          <w:p w:rsidR="003F5784" w14:paraId="087EC87D" w14:textId="77777777">
            <w:pPr>
              <w:pStyle w:val="TableParagraph"/>
              <w:ind w:left="99" w:right="101"/>
              <w:jc w:val="center"/>
              <w:rPr>
                <w:sz w:val="21"/>
              </w:rPr>
            </w:pPr>
            <w:r>
              <w:rPr>
                <w:spacing w:val="-2"/>
                <w:sz w:val="21"/>
              </w:rPr>
              <w:t>41.25</w:t>
            </w:r>
          </w:p>
        </w:tc>
        <w:tc>
          <w:tcPr>
            <w:tcW w:w="1596" w:type="dxa"/>
          </w:tcPr>
          <w:p w:rsidR="003F5784" w14:paraId="02DE07C1" w14:textId="77777777">
            <w:pPr>
              <w:pStyle w:val="TableParagraph"/>
              <w:ind w:right="465"/>
              <w:rPr>
                <w:sz w:val="21"/>
              </w:rPr>
            </w:pPr>
            <w:r>
              <w:rPr>
                <w:spacing w:val="-2"/>
                <w:sz w:val="21"/>
              </w:rPr>
              <w:t>39.78</w:t>
            </w:r>
          </w:p>
        </w:tc>
        <w:tc>
          <w:tcPr>
            <w:tcW w:w="1766" w:type="dxa"/>
          </w:tcPr>
          <w:p w:rsidR="003F5784" w14:paraId="1ADC2E43" w14:textId="77777777">
            <w:pPr>
              <w:pStyle w:val="TableParagraph"/>
              <w:ind w:right="122"/>
              <w:rPr>
                <w:sz w:val="21"/>
              </w:rPr>
            </w:pPr>
            <w:r>
              <w:rPr>
                <w:sz w:val="21"/>
              </w:rPr>
              <w:t>(38.81,</w:t>
            </w:r>
            <w:r>
              <w:rPr>
                <w:spacing w:val="-7"/>
                <w:sz w:val="21"/>
              </w:rPr>
              <w:t xml:space="preserve"> </w:t>
            </w:r>
            <w:r>
              <w:rPr>
                <w:spacing w:val="-2"/>
                <w:sz w:val="21"/>
              </w:rPr>
              <w:t>40.74)</w:t>
            </w:r>
          </w:p>
        </w:tc>
      </w:tr>
      <w:tr w14:paraId="511CEB80" w14:textId="77777777">
        <w:tblPrEx>
          <w:tblW w:w="0" w:type="auto"/>
          <w:tblInd w:w="482" w:type="dxa"/>
          <w:tblLayout w:type="fixed"/>
          <w:tblCellMar>
            <w:left w:w="0" w:type="dxa"/>
            <w:right w:w="0" w:type="dxa"/>
          </w:tblCellMar>
          <w:tblLook w:val="01E0"/>
        </w:tblPrEx>
        <w:trPr>
          <w:trHeight w:val="286"/>
        </w:trPr>
        <w:tc>
          <w:tcPr>
            <w:tcW w:w="839" w:type="dxa"/>
          </w:tcPr>
          <w:p w:rsidR="003F5784" w14:paraId="4D46D414" w14:textId="77777777">
            <w:pPr>
              <w:pStyle w:val="TableParagraph"/>
              <w:spacing w:before="0"/>
              <w:jc w:val="left"/>
              <w:rPr>
                <w:sz w:val="20"/>
              </w:rPr>
            </w:pPr>
          </w:p>
        </w:tc>
        <w:tc>
          <w:tcPr>
            <w:tcW w:w="3262" w:type="dxa"/>
          </w:tcPr>
          <w:p w:rsidR="003F5784" w14:paraId="3142DAC8" w14:textId="77777777">
            <w:pPr>
              <w:pStyle w:val="TableParagraph"/>
              <w:ind w:left="614"/>
              <w:jc w:val="left"/>
              <w:rPr>
                <w:sz w:val="21"/>
              </w:rPr>
            </w:pPr>
            <w:r>
              <w:rPr>
                <w:spacing w:val="-2"/>
                <w:sz w:val="21"/>
              </w:rPr>
              <w:t>Massachusetts</w:t>
            </w:r>
          </w:p>
        </w:tc>
        <w:tc>
          <w:tcPr>
            <w:tcW w:w="2515" w:type="dxa"/>
          </w:tcPr>
          <w:p w:rsidR="003F5784" w14:paraId="6CD00A7D"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042F4377" w14:textId="77777777">
            <w:pPr>
              <w:pStyle w:val="TableParagraph"/>
              <w:ind w:right="661"/>
              <w:rPr>
                <w:sz w:val="21"/>
              </w:rPr>
            </w:pPr>
            <w:r>
              <w:rPr>
                <w:sz w:val="21"/>
              </w:rPr>
              <w:t>50th</w:t>
            </w:r>
            <w:r>
              <w:rPr>
                <w:spacing w:val="-5"/>
                <w:sz w:val="21"/>
              </w:rPr>
              <w:t xml:space="preserve"> </w:t>
            </w:r>
            <w:r>
              <w:rPr>
                <w:spacing w:val="-2"/>
                <w:sz w:val="21"/>
              </w:rPr>
              <w:t>percentile</w:t>
            </w:r>
          </w:p>
        </w:tc>
        <w:tc>
          <w:tcPr>
            <w:tcW w:w="1794" w:type="dxa"/>
          </w:tcPr>
          <w:p w:rsidR="003F5784" w14:paraId="243BEEFE" w14:textId="77777777">
            <w:pPr>
              <w:pStyle w:val="TableParagraph"/>
              <w:ind w:left="99" w:right="101"/>
              <w:jc w:val="center"/>
              <w:rPr>
                <w:sz w:val="21"/>
              </w:rPr>
            </w:pPr>
            <w:r>
              <w:rPr>
                <w:spacing w:val="-2"/>
                <w:sz w:val="21"/>
              </w:rPr>
              <w:t>45.95</w:t>
            </w:r>
          </w:p>
        </w:tc>
        <w:tc>
          <w:tcPr>
            <w:tcW w:w="1596" w:type="dxa"/>
          </w:tcPr>
          <w:p w:rsidR="003F5784" w14:paraId="2A4C5A0B" w14:textId="77777777">
            <w:pPr>
              <w:pStyle w:val="TableParagraph"/>
              <w:ind w:right="465"/>
              <w:rPr>
                <w:sz w:val="21"/>
              </w:rPr>
            </w:pPr>
            <w:r>
              <w:rPr>
                <w:spacing w:val="-2"/>
                <w:sz w:val="21"/>
              </w:rPr>
              <w:t>47.39</w:t>
            </w:r>
          </w:p>
        </w:tc>
        <w:tc>
          <w:tcPr>
            <w:tcW w:w="1766" w:type="dxa"/>
          </w:tcPr>
          <w:p w:rsidR="003F5784" w14:paraId="4E2734AF" w14:textId="77777777">
            <w:pPr>
              <w:pStyle w:val="TableParagraph"/>
              <w:ind w:right="122"/>
              <w:rPr>
                <w:sz w:val="21"/>
              </w:rPr>
            </w:pPr>
            <w:r>
              <w:rPr>
                <w:sz w:val="21"/>
              </w:rPr>
              <w:t>(46.74,</w:t>
            </w:r>
            <w:r>
              <w:rPr>
                <w:spacing w:val="-7"/>
                <w:sz w:val="21"/>
              </w:rPr>
              <w:t xml:space="preserve"> </w:t>
            </w:r>
            <w:r>
              <w:rPr>
                <w:spacing w:val="-2"/>
                <w:sz w:val="21"/>
              </w:rPr>
              <w:t>48.98)</w:t>
            </w:r>
          </w:p>
        </w:tc>
      </w:tr>
      <w:tr w14:paraId="08717E21" w14:textId="77777777">
        <w:tblPrEx>
          <w:tblW w:w="0" w:type="auto"/>
          <w:tblInd w:w="482" w:type="dxa"/>
          <w:tblLayout w:type="fixed"/>
          <w:tblCellMar>
            <w:left w:w="0" w:type="dxa"/>
            <w:right w:w="0" w:type="dxa"/>
          </w:tblCellMar>
          <w:tblLook w:val="01E0"/>
        </w:tblPrEx>
        <w:trPr>
          <w:trHeight w:val="286"/>
        </w:trPr>
        <w:tc>
          <w:tcPr>
            <w:tcW w:w="839" w:type="dxa"/>
          </w:tcPr>
          <w:p w:rsidR="003F5784" w14:paraId="5D8363BE" w14:textId="77777777">
            <w:pPr>
              <w:pStyle w:val="TableParagraph"/>
              <w:spacing w:before="0"/>
              <w:jc w:val="left"/>
              <w:rPr>
                <w:sz w:val="20"/>
              </w:rPr>
            </w:pPr>
          </w:p>
        </w:tc>
        <w:tc>
          <w:tcPr>
            <w:tcW w:w="3262" w:type="dxa"/>
          </w:tcPr>
          <w:p w:rsidR="003F5784" w14:paraId="14964C7D" w14:textId="77777777">
            <w:pPr>
              <w:pStyle w:val="TableParagraph"/>
              <w:ind w:left="614"/>
              <w:jc w:val="left"/>
              <w:rPr>
                <w:sz w:val="21"/>
              </w:rPr>
            </w:pPr>
            <w:r>
              <w:rPr>
                <w:spacing w:val="-2"/>
                <w:sz w:val="21"/>
              </w:rPr>
              <w:t>Michigan</w:t>
            </w:r>
          </w:p>
        </w:tc>
        <w:tc>
          <w:tcPr>
            <w:tcW w:w="2515" w:type="dxa"/>
          </w:tcPr>
          <w:p w:rsidR="003F5784" w14:paraId="6501106E"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74E02E90" w14:textId="77777777">
            <w:pPr>
              <w:pStyle w:val="TableParagraph"/>
              <w:ind w:right="661"/>
              <w:rPr>
                <w:sz w:val="21"/>
              </w:rPr>
            </w:pPr>
            <w:r>
              <w:rPr>
                <w:sz w:val="21"/>
              </w:rPr>
              <w:t>50th</w:t>
            </w:r>
            <w:r>
              <w:rPr>
                <w:spacing w:val="-5"/>
                <w:sz w:val="21"/>
              </w:rPr>
              <w:t xml:space="preserve"> </w:t>
            </w:r>
            <w:r>
              <w:rPr>
                <w:spacing w:val="-2"/>
                <w:sz w:val="21"/>
              </w:rPr>
              <w:t>percentile</w:t>
            </w:r>
          </w:p>
        </w:tc>
        <w:tc>
          <w:tcPr>
            <w:tcW w:w="1794" w:type="dxa"/>
          </w:tcPr>
          <w:p w:rsidR="003F5784" w14:paraId="57674C03" w14:textId="77777777">
            <w:pPr>
              <w:pStyle w:val="TableParagraph"/>
              <w:ind w:left="99" w:right="101"/>
              <w:jc w:val="center"/>
              <w:rPr>
                <w:sz w:val="21"/>
              </w:rPr>
            </w:pPr>
            <w:r>
              <w:rPr>
                <w:spacing w:val="-2"/>
                <w:sz w:val="21"/>
              </w:rPr>
              <w:t>42.82</w:t>
            </w:r>
          </w:p>
        </w:tc>
        <w:tc>
          <w:tcPr>
            <w:tcW w:w="1596" w:type="dxa"/>
          </w:tcPr>
          <w:p w:rsidR="003F5784" w14:paraId="30DBF91D" w14:textId="77777777">
            <w:pPr>
              <w:pStyle w:val="TableParagraph"/>
              <w:ind w:right="465"/>
              <w:rPr>
                <w:sz w:val="21"/>
              </w:rPr>
            </w:pPr>
            <w:r>
              <w:rPr>
                <w:spacing w:val="-2"/>
                <w:sz w:val="21"/>
              </w:rPr>
              <w:t>39.47</w:t>
            </w:r>
          </w:p>
        </w:tc>
        <w:tc>
          <w:tcPr>
            <w:tcW w:w="1766" w:type="dxa"/>
          </w:tcPr>
          <w:p w:rsidR="003F5784" w14:paraId="01F0A834" w14:textId="77777777">
            <w:pPr>
              <w:pStyle w:val="TableParagraph"/>
              <w:ind w:right="122"/>
              <w:rPr>
                <w:sz w:val="21"/>
              </w:rPr>
            </w:pPr>
            <w:r>
              <w:rPr>
                <w:sz w:val="21"/>
              </w:rPr>
              <w:t>(38.15,</w:t>
            </w:r>
            <w:r>
              <w:rPr>
                <w:spacing w:val="-7"/>
                <w:sz w:val="21"/>
              </w:rPr>
              <w:t xml:space="preserve"> </w:t>
            </w:r>
            <w:r>
              <w:rPr>
                <w:spacing w:val="-2"/>
                <w:sz w:val="21"/>
              </w:rPr>
              <w:t>42.71)</w:t>
            </w:r>
          </w:p>
        </w:tc>
      </w:tr>
      <w:tr w14:paraId="56331A4D" w14:textId="77777777">
        <w:tblPrEx>
          <w:tblW w:w="0" w:type="auto"/>
          <w:tblInd w:w="482" w:type="dxa"/>
          <w:tblLayout w:type="fixed"/>
          <w:tblCellMar>
            <w:left w:w="0" w:type="dxa"/>
            <w:right w:w="0" w:type="dxa"/>
          </w:tblCellMar>
          <w:tblLook w:val="01E0"/>
        </w:tblPrEx>
        <w:trPr>
          <w:trHeight w:val="286"/>
        </w:trPr>
        <w:tc>
          <w:tcPr>
            <w:tcW w:w="839" w:type="dxa"/>
          </w:tcPr>
          <w:p w:rsidR="003F5784" w14:paraId="0500640D" w14:textId="77777777">
            <w:pPr>
              <w:pStyle w:val="TableParagraph"/>
              <w:spacing w:before="0"/>
              <w:jc w:val="left"/>
              <w:rPr>
                <w:sz w:val="20"/>
              </w:rPr>
            </w:pPr>
          </w:p>
        </w:tc>
        <w:tc>
          <w:tcPr>
            <w:tcW w:w="3262" w:type="dxa"/>
          </w:tcPr>
          <w:p w:rsidR="003F5784" w14:paraId="7B0B09B2" w14:textId="77777777">
            <w:pPr>
              <w:pStyle w:val="TableParagraph"/>
              <w:ind w:left="614"/>
              <w:jc w:val="left"/>
              <w:rPr>
                <w:sz w:val="21"/>
              </w:rPr>
            </w:pPr>
            <w:r>
              <w:rPr>
                <w:spacing w:val="-2"/>
                <w:sz w:val="21"/>
              </w:rPr>
              <w:t>Mississippi</w:t>
            </w:r>
          </w:p>
        </w:tc>
        <w:tc>
          <w:tcPr>
            <w:tcW w:w="2515" w:type="dxa"/>
          </w:tcPr>
          <w:p w:rsidR="003F5784" w14:paraId="717FF171"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545E780E" w14:textId="77777777">
            <w:pPr>
              <w:pStyle w:val="TableParagraph"/>
              <w:ind w:right="661"/>
              <w:rPr>
                <w:sz w:val="21"/>
              </w:rPr>
            </w:pPr>
            <w:r>
              <w:rPr>
                <w:sz w:val="21"/>
              </w:rPr>
              <w:t>25th</w:t>
            </w:r>
            <w:r>
              <w:rPr>
                <w:spacing w:val="-5"/>
                <w:sz w:val="21"/>
              </w:rPr>
              <w:t xml:space="preserve"> </w:t>
            </w:r>
            <w:r>
              <w:rPr>
                <w:spacing w:val="-2"/>
                <w:sz w:val="21"/>
              </w:rPr>
              <w:t>percentile</w:t>
            </w:r>
          </w:p>
        </w:tc>
        <w:tc>
          <w:tcPr>
            <w:tcW w:w="1794" w:type="dxa"/>
          </w:tcPr>
          <w:p w:rsidR="003F5784" w14:paraId="4730A29A" w14:textId="77777777">
            <w:pPr>
              <w:pStyle w:val="TableParagraph"/>
              <w:ind w:left="99" w:right="101"/>
              <w:jc w:val="center"/>
              <w:rPr>
                <w:sz w:val="21"/>
              </w:rPr>
            </w:pPr>
            <w:r>
              <w:rPr>
                <w:spacing w:val="-2"/>
                <w:sz w:val="21"/>
              </w:rPr>
              <w:t>28.60</w:t>
            </w:r>
          </w:p>
        </w:tc>
        <w:tc>
          <w:tcPr>
            <w:tcW w:w="1596" w:type="dxa"/>
          </w:tcPr>
          <w:p w:rsidR="003F5784" w14:paraId="2FDACEE7" w14:textId="77777777">
            <w:pPr>
              <w:pStyle w:val="TableParagraph"/>
              <w:ind w:right="465"/>
              <w:rPr>
                <w:sz w:val="21"/>
              </w:rPr>
            </w:pPr>
            <w:r>
              <w:rPr>
                <w:spacing w:val="-2"/>
                <w:sz w:val="21"/>
              </w:rPr>
              <w:t>25.27</w:t>
            </w:r>
          </w:p>
        </w:tc>
        <w:tc>
          <w:tcPr>
            <w:tcW w:w="1766" w:type="dxa"/>
          </w:tcPr>
          <w:p w:rsidR="003F5784" w14:paraId="78404F67" w14:textId="77777777">
            <w:pPr>
              <w:pStyle w:val="TableParagraph"/>
              <w:ind w:right="122"/>
              <w:rPr>
                <w:sz w:val="21"/>
              </w:rPr>
            </w:pPr>
            <w:r>
              <w:rPr>
                <w:sz w:val="21"/>
              </w:rPr>
              <w:t>(23.28,</w:t>
            </w:r>
            <w:r>
              <w:rPr>
                <w:spacing w:val="-7"/>
                <w:sz w:val="21"/>
              </w:rPr>
              <w:t xml:space="preserve"> </w:t>
            </w:r>
            <w:r>
              <w:rPr>
                <w:spacing w:val="-2"/>
                <w:sz w:val="21"/>
              </w:rPr>
              <w:t>28.58)</w:t>
            </w:r>
          </w:p>
        </w:tc>
      </w:tr>
      <w:tr w14:paraId="7989C651" w14:textId="77777777">
        <w:tblPrEx>
          <w:tblW w:w="0" w:type="auto"/>
          <w:tblInd w:w="482" w:type="dxa"/>
          <w:tblLayout w:type="fixed"/>
          <w:tblCellMar>
            <w:left w:w="0" w:type="dxa"/>
            <w:right w:w="0" w:type="dxa"/>
          </w:tblCellMar>
          <w:tblLook w:val="01E0"/>
        </w:tblPrEx>
        <w:trPr>
          <w:trHeight w:val="286"/>
        </w:trPr>
        <w:tc>
          <w:tcPr>
            <w:tcW w:w="839" w:type="dxa"/>
          </w:tcPr>
          <w:p w:rsidR="003F5784" w14:paraId="0184EDCB" w14:textId="77777777">
            <w:pPr>
              <w:pStyle w:val="TableParagraph"/>
              <w:spacing w:before="0"/>
              <w:jc w:val="left"/>
              <w:rPr>
                <w:sz w:val="20"/>
              </w:rPr>
            </w:pPr>
          </w:p>
        </w:tc>
        <w:tc>
          <w:tcPr>
            <w:tcW w:w="3262" w:type="dxa"/>
          </w:tcPr>
          <w:p w:rsidR="003F5784" w14:paraId="63A334D9" w14:textId="77777777">
            <w:pPr>
              <w:pStyle w:val="TableParagraph"/>
              <w:ind w:left="614"/>
              <w:jc w:val="left"/>
              <w:rPr>
                <w:sz w:val="21"/>
              </w:rPr>
            </w:pPr>
            <w:r>
              <w:rPr>
                <w:spacing w:val="-2"/>
                <w:sz w:val="21"/>
              </w:rPr>
              <w:t>Mississippi</w:t>
            </w:r>
          </w:p>
        </w:tc>
        <w:tc>
          <w:tcPr>
            <w:tcW w:w="2515" w:type="dxa"/>
          </w:tcPr>
          <w:p w:rsidR="003F5784" w14:paraId="072F5A34"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3EA43503" w14:textId="77777777">
            <w:pPr>
              <w:pStyle w:val="TableParagraph"/>
              <w:ind w:right="661"/>
              <w:rPr>
                <w:sz w:val="21"/>
              </w:rPr>
            </w:pPr>
            <w:r>
              <w:rPr>
                <w:sz w:val="21"/>
              </w:rPr>
              <w:t>50th</w:t>
            </w:r>
            <w:r>
              <w:rPr>
                <w:spacing w:val="-5"/>
                <w:sz w:val="21"/>
              </w:rPr>
              <w:t xml:space="preserve"> </w:t>
            </w:r>
            <w:r>
              <w:rPr>
                <w:spacing w:val="-2"/>
                <w:sz w:val="21"/>
              </w:rPr>
              <w:t>percentile</w:t>
            </w:r>
          </w:p>
        </w:tc>
        <w:tc>
          <w:tcPr>
            <w:tcW w:w="1794" w:type="dxa"/>
          </w:tcPr>
          <w:p w:rsidR="003F5784" w14:paraId="3C928FCD" w14:textId="77777777">
            <w:pPr>
              <w:pStyle w:val="TableParagraph"/>
              <w:ind w:left="99" w:right="101"/>
              <w:jc w:val="center"/>
              <w:rPr>
                <w:sz w:val="21"/>
              </w:rPr>
            </w:pPr>
            <w:r>
              <w:rPr>
                <w:spacing w:val="-2"/>
                <w:sz w:val="21"/>
              </w:rPr>
              <w:t>47.07</w:t>
            </w:r>
          </w:p>
        </w:tc>
        <w:tc>
          <w:tcPr>
            <w:tcW w:w="1596" w:type="dxa"/>
          </w:tcPr>
          <w:p w:rsidR="003F5784" w14:paraId="5DA391E6" w14:textId="77777777">
            <w:pPr>
              <w:pStyle w:val="TableParagraph"/>
              <w:ind w:right="465"/>
              <w:rPr>
                <w:sz w:val="21"/>
              </w:rPr>
            </w:pPr>
            <w:r>
              <w:rPr>
                <w:spacing w:val="-2"/>
                <w:sz w:val="21"/>
              </w:rPr>
              <w:t>46.45</w:t>
            </w:r>
          </w:p>
        </w:tc>
        <w:tc>
          <w:tcPr>
            <w:tcW w:w="1766" w:type="dxa"/>
          </w:tcPr>
          <w:p w:rsidR="003F5784" w14:paraId="67210A01" w14:textId="77777777">
            <w:pPr>
              <w:pStyle w:val="TableParagraph"/>
              <w:ind w:right="122"/>
              <w:rPr>
                <w:sz w:val="21"/>
              </w:rPr>
            </w:pPr>
            <w:r>
              <w:rPr>
                <w:sz w:val="21"/>
              </w:rPr>
              <w:t>(43.15,</w:t>
            </w:r>
            <w:r>
              <w:rPr>
                <w:spacing w:val="-7"/>
                <w:sz w:val="21"/>
              </w:rPr>
              <w:t xml:space="preserve"> </w:t>
            </w:r>
            <w:r>
              <w:rPr>
                <w:spacing w:val="-2"/>
                <w:sz w:val="21"/>
              </w:rPr>
              <w:t>47.04)</w:t>
            </w:r>
          </w:p>
        </w:tc>
      </w:tr>
      <w:tr w14:paraId="0D7251AF" w14:textId="77777777">
        <w:tblPrEx>
          <w:tblW w:w="0" w:type="auto"/>
          <w:tblInd w:w="482" w:type="dxa"/>
          <w:tblLayout w:type="fixed"/>
          <w:tblCellMar>
            <w:left w:w="0" w:type="dxa"/>
            <w:right w:w="0" w:type="dxa"/>
          </w:tblCellMar>
          <w:tblLook w:val="01E0"/>
        </w:tblPrEx>
        <w:trPr>
          <w:trHeight w:val="286"/>
        </w:trPr>
        <w:tc>
          <w:tcPr>
            <w:tcW w:w="839" w:type="dxa"/>
          </w:tcPr>
          <w:p w:rsidR="003F5784" w14:paraId="3589F83A" w14:textId="77777777">
            <w:pPr>
              <w:pStyle w:val="TableParagraph"/>
              <w:spacing w:before="0"/>
              <w:jc w:val="left"/>
              <w:rPr>
                <w:sz w:val="20"/>
              </w:rPr>
            </w:pPr>
          </w:p>
        </w:tc>
        <w:tc>
          <w:tcPr>
            <w:tcW w:w="3262" w:type="dxa"/>
          </w:tcPr>
          <w:p w:rsidR="003F5784" w14:paraId="0904AB01" w14:textId="77777777">
            <w:pPr>
              <w:pStyle w:val="TableParagraph"/>
              <w:ind w:left="614"/>
              <w:jc w:val="left"/>
              <w:rPr>
                <w:sz w:val="21"/>
              </w:rPr>
            </w:pPr>
            <w:r>
              <w:rPr>
                <w:spacing w:val="-2"/>
                <w:sz w:val="21"/>
              </w:rPr>
              <w:t>Montana</w:t>
            </w:r>
          </w:p>
        </w:tc>
        <w:tc>
          <w:tcPr>
            <w:tcW w:w="2515" w:type="dxa"/>
          </w:tcPr>
          <w:p w:rsidR="003F5784" w14:paraId="1321085A"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754A2701" w14:textId="77777777">
            <w:pPr>
              <w:pStyle w:val="TableParagraph"/>
              <w:ind w:right="661"/>
              <w:rPr>
                <w:sz w:val="21"/>
              </w:rPr>
            </w:pPr>
            <w:r>
              <w:rPr>
                <w:sz w:val="21"/>
              </w:rPr>
              <w:t>90th</w:t>
            </w:r>
            <w:r>
              <w:rPr>
                <w:spacing w:val="-5"/>
                <w:sz w:val="21"/>
              </w:rPr>
              <w:t xml:space="preserve"> </w:t>
            </w:r>
            <w:r>
              <w:rPr>
                <w:spacing w:val="-2"/>
                <w:sz w:val="21"/>
              </w:rPr>
              <w:t>percentile</w:t>
            </w:r>
          </w:p>
        </w:tc>
        <w:tc>
          <w:tcPr>
            <w:tcW w:w="1794" w:type="dxa"/>
          </w:tcPr>
          <w:p w:rsidR="003F5784" w14:paraId="38C7480D" w14:textId="77777777">
            <w:pPr>
              <w:pStyle w:val="TableParagraph"/>
              <w:ind w:left="99" w:right="101"/>
              <w:jc w:val="center"/>
              <w:rPr>
                <w:sz w:val="21"/>
              </w:rPr>
            </w:pPr>
            <w:r>
              <w:rPr>
                <w:spacing w:val="-2"/>
                <w:sz w:val="21"/>
              </w:rPr>
              <w:t>53.50</w:t>
            </w:r>
          </w:p>
        </w:tc>
        <w:tc>
          <w:tcPr>
            <w:tcW w:w="1596" w:type="dxa"/>
          </w:tcPr>
          <w:p w:rsidR="003F5784" w14:paraId="5023E9C5" w14:textId="77777777">
            <w:pPr>
              <w:pStyle w:val="TableParagraph"/>
              <w:ind w:right="465"/>
              <w:rPr>
                <w:sz w:val="21"/>
              </w:rPr>
            </w:pPr>
            <w:r>
              <w:rPr>
                <w:spacing w:val="-2"/>
                <w:sz w:val="21"/>
              </w:rPr>
              <w:t>52.39</w:t>
            </w:r>
          </w:p>
        </w:tc>
        <w:tc>
          <w:tcPr>
            <w:tcW w:w="1766" w:type="dxa"/>
          </w:tcPr>
          <w:p w:rsidR="003F5784" w14:paraId="0CCC1C9C" w14:textId="77777777">
            <w:pPr>
              <w:pStyle w:val="TableParagraph"/>
              <w:ind w:right="122"/>
              <w:rPr>
                <w:sz w:val="21"/>
              </w:rPr>
            </w:pPr>
            <w:r>
              <w:rPr>
                <w:sz w:val="21"/>
              </w:rPr>
              <w:t>(51.98,</w:t>
            </w:r>
            <w:r>
              <w:rPr>
                <w:spacing w:val="-7"/>
                <w:sz w:val="21"/>
              </w:rPr>
              <w:t xml:space="preserve"> </w:t>
            </w:r>
            <w:r>
              <w:rPr>
                <w:spacing w:val="-2"/>
                <w:sz w:val="21"/>
              </w:rPr>
              <w:t>52.82)</w:t>
            </w:r>
          </w:p>
        </w:tc>
      </w:tr>
      <w:tr w14:paraId="3D8B7BFF" w14:textId="77777777">
        <w:tblPrEx>
          <w:tblW w:w="0" w:type="auto"/>
          <w:tblInd w:w="482" w:type="dxa"/>
          <w:tblLayout w:type="fixed"/>
          <w:tblCellMar>
            <w:left w:w="0" w:type="dxa"/>
            <w:right w:w="0" w:type="dxa"/>
          </w:tblCellMar>
          <w:tblLook w:val="01E0"/>
        </w:tblPrEx>
        <w:trPr>
          <w:trHeight w:val="286"/>
        </w:trPr>
        <w:tc>
          <w:tcPr>
            <w:tcW w:w="839" w:type="dxa"/>
          </w:tcPr>
          <w:p w:rsidR="003F5784" w14:paraId="75B46536" w14:textId="77777777">
            <w:pPr>
              <w:pStyle w:val="TableParagraph"/>
              <w:spacing w:before="0"/>
              <w:jc w:val="left"/>
              <w:rPr>
                <w:sz w:val="20"/>
              </w:rPr>
            </w:pPr>
          </w:p>
        </w:tc>
        <w:tc>
          <w:tcPr>
            <w:tcW w:w="3262" w:type="dxa"/>
          </w:tcPr>
          <w:p w:rsidR="003F5784" w14:paraId="249BC320" w14:textId="77777777">
            <w:pPr>
              <w:pStyle w:val="TableParagraph"/>
              <w:ind w:left="614"/>
              <w:jc w:val="left"/>
              <w:rPr>
                <w:sz w:val="21"/>
              </w:rPr>
            </w:pPr>
            <w:r>
              <w:rPr>
                <w:spacing w:val="-2"/>
                <w:sz w:val="21"/>
              </w:rPr>
              <w:t>Montana</w:t>
            </w:r>
          </w:p>
        </w:tc>
        <w:tc>
          <w:tcPr>
            <w:tcW w:w="2515" w:type="dxa"/>
          </w:tcPr>
          <w:p w:rsidR="003F5784" w14:paraId="06997BDE"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4931B3F0" w14:textId="77777777">
            <w:pPr>
              <w:pStyle w:val="TableParagraph"/>
              <w:ind w:right="662"/>
              <w:rPr>
                <w:sz w:val="21"/>
              </w:rPr>
            </w:pPr>
            <w:r>
              <w:rPr>
                <w:spacing w:val="-4"/>
                <w:sz w:val="21"/>
              </w:rPr>
              <w:t>mean</w:t>
            </w:r>
          </w:p>
        </w:tc>
        <w:tc>
          <w:tcPr>
            <w:tcW w:w="1794" w:type="dxa"/>
          </w:tcPr>
          <w:p w:rsidR="003F5784" w14:paraId="12D0D22F" w14:textId="77777777">
            <w:pPr>
              <w:pStyle w:val="TableParagraph"/>
              <w:ind w:left="99" w:right="101"/>
              <w:jc w:val="center"/>
              <w:rPr>
                <w:sz w:val="21"/>
              </w:rPr>
            </w:pPr>
            <w:r>
              <w:rPr>
                <w:spacing w:val="-2"/>
                <w:sz w:val="21"/>
              </w:rPr>
              <w:t>36.58</w:t>
            </w:r>
          </w:p>
        </w:tc>
        <w:tc>
          <w:tcPr>
            <w:tcW w:w="1596" w:type="dxa"/>
          </w:tcPr>
          <w:p w:rsidR="003F5784" w14:paraId="701C204D" w14:textId="77777777">
            <w:pPr>
              <w:pStyle w:val="TableParagraph"/>
              <w:ind w:right="465"/>
              <w:rPr>
                <w:sz w:val="21"/>
              </w:rPr>
            </w:pPr>
            <w:r>
              <w:rPr>
                <w:spacing w:val="-2"/>
                <w:sz w:val="21"/>
              </w:rPr>
              <w:t>35.74</w:t>
            </w:r>
          </w:p>
        </w:tc>
        <w:tc>
          <w:tcPr>
            <w:tcW w:w="1766" w:type="dxa"/>
          </w:tcPr>
          <w:p w:rsidR="003F5784" w14:paraId="021011E7" w14:textId="77777777">
            <w:pPr>
              <w:pStyle w:val="TableParagraph"/>
              <w:ind w:right="122"/>
              <w:rPr>
                <w:sz w:val="21"/>
              </w:rPr>
            </w:pPr>
            <w:r>
              <w:rPr>
                <w:sz w:val="21"/>
              </w:rPr>
              <w:t>(34.95,</w:t>
            </w:r>
            <w:r>
              <w:rPr>
                <w:spacing w:val="-7"/>
                <w:sz w:val="21"/>
              </w:rPr>
              <w:t xml:space="preserve"> </w:t>
            </w:r>
            <w:r>
              <w:rPr>
                <w:spacing w:val="-2"/>
                <w:sz w:val="21"/>
              </w:rPr>
              <w:t>36.52)</w:t>
            </w:r>
          </w:p>
        </w:tc>
      </w:tr>
      <w:tr w14:paraId="0FCD2FD6" w14:textId="77777777">
        <w:tblPrEx>
          <w:tblW w:w="0" w:type="auto"/>
          <w:tblInd w:w="482" w:type="dxa"/>
          <w:tblLayout w:type="fixed"/>
          <w:tblCellMar>
            <w:left w:w="0" w:type="dxa"/>
            <w:right w:w="0" w:type="dxa"/>
          </w:tblCellMar>
          <w:tblLook w:val="01E0"/>
        </w:tblPrEx>
        <w:trPr>
          <w:trHeight w:val="286"/>
        </w:trPr>
        <w:tc>
          <w:tcPr>
            <w:tcW w:w="839" w:type="dxa"/>
          </w:tcPr>
          <w:p w:rsidR="003F5784" w14:paraId="2B20BE81" w14:textId="77777777">
            <w:pPr>
              <w:pStyle w:val="TableParagraph"/>
              <w:spacing w:before="0"/>
              <w:jc w:val="left"/>
              <w:rPr>
                <w:sz w:val="20"/>
              </w:rPr>
            </w:pPr>
          </w:p>
        </w:tc>
        <w:tc>
          <w:tcPr>
            <w:tcW w:w="3262" w:type="dxa"/>
          </w:tcPr>
          <w:p w:rsidR="003F5784" w14:paraId="223935AE" w14:textId="77777777">
            <w:pPr>
              <w:pStyle w:val="TableParagraph"/>
              <w:ind w:left="614"/>
              <w:jc w:val="left"/>
              <w:rPr>
                <w:sz w:val="21"/>
              </w:rPr>
            </w:pPr>
            <w:r>
              <w:rPr>
                <w:spacing w:val="-2"/>
                <w:sz w:val="21"/>
              </w:rPr>
              <w:t>Nebraska</w:t>
            </w:r>
          </w:p>
        </w:tc>
        <w:tc>
          <w:tcPr>
            <w:tcW w:w="2515" w:type="dxa"/>
          </w:tcPr>
          <w:p w:rsidR="003F5784" w14:paraId="07CD0D63"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608732C7" w14:textId="77777777">
            <w:pPr>
              <w:pStyle w:val="TableParagraph"/>
              <w:ind w:right="661"/>
              <w:rPr>
                <w:sz w:val="21"/>
              </w:rPr>
            </w:pPr>
            <w:r>
              <w:rPr>
                <w:sz w:val="21"/>
              </w:rPr>
              <w:t>50th</w:t>
            </w:r>
            <w:r>
              <w:rPr>
                <w:spacing w:val="-5"/>
                <w:sz w:val="21"/>
              </w:rPr>
              <w:t xml:space="preserve"> </w:t>
            </w:r>
            <w:r>
              <w:rPr>
                <w:spacing w:val="-2"/>
                <w:sz w:val="21"/>
              </w:rPr>
              <w:t>percentile</w:t>
            </w:r>
          </w:p>
        </w:tc>
        <w:tc>
          <w:tcPr>
            <w:tcW w:w="1794" w:type="dxa"/>
          </w:tcPr>
          <w:p w:rsidR="003F5784" w14:paraId="3DB3F5C1" w14:textId="77777777">
            <w:pPr>
              <w:pStyle w:val="TableParagraph"/>
              <w:ind w:left="99" w:right="101"/>
              <w:jc w:val="center"/>
              <w:rPr>
                <w:sz w:val="21"/>
              </w:rPr>
            </w:pPr>
            <w:r>
              <w:rPr>
                <w:spacing w:val="-2"/>
                <w:sz w:val="21"/>
              </w:rPr>
              <w:t>48.94</w:t>
            </w:r>
          </w:p>
        </w:tc>
        <w:tc>
          <w:tcPr>
            <w:tcW w:w="1596" w:type="dxa"/>
          </w:tcPr>
          <w:p w:rsidR="003F5784" w14:paraId="3BE7B173" w14:textId="77777777">
            <w:pPr>
              <w:pStyle w:val="TableParagraph"/>
              <w:ind w:right="465"/>
              <w:rPr>
                <w:sz w:val="21"/>
              </w:rPr>
            </w:pPr>
            <w:r>
              <w:rPr>
                <w:spacing w:val="-2"/>
                <w:sz w:val="21"/>
              </w:rPr>
              <w:t>47.87</w:t>
            </w:r>
          </w:p>
        </w:tc>
        <w:tc>
          <w:tcPr>
            <w:tcW w:w="1766" w:type="dxa"/>
          </w:tcPr>
          <w:p w:rsidR="003F5784" w14:paraId="428F556E" w14:textId="77777777">
            <w:pPr>
              <w:pStyle w:val="TableParagraph"/>
              <w:ind w:right="122"/>
              <w:rPr>
                <w:sz w:val="21"/>
              </w:rPr>
            </w:pPr>
            <w:r>
              <w:rPr>
                <w:sz w:val="21"/>
              </w:rPr>
              <w:t>(47.18,</w:t>
            </w:r>
            <w:r>
              <w:rPr>
                <w:spacing w:val="-7"/>
                <w:sz w:val="21"/>
              </w:rPr>
              <w:t xml:space="preserve"> </w:t>
            </w:r>
            <w:r>
              <w:rPr>
                <w:spacing w:val="-2"/>
                <w:sz w:val="21"/>
              </w:rPr>
              <w:t>48.63)</w:t>
            </w:r>
          </w:p>
        </w:tc>
      </w:tr>
      <w:tr w14:paraId="0ADCB828" w14:textId="77777777">
        <w:tblPrEx>
          <w:tblW w:w="0" w:type="auto"/>
          <w:tblInd w:w="482" w:type="dxa"/>
          <w:tblLayout w:type="fixed"/>
          <w:tblCellMar>
            <w:left w:w="0" w:type="dxa"/>
            <w:right w:w="0" w:type="dxa"/>
          </w:tblCellMar>
          <w:tblLook w:val="01E0"/>
        </w:tblPrEx>
        <w:trPr>
          <w:trHeight w:val="286"/>
        </w:trPr>
        <w:tc>
          <w:tcPr>
            <w:tcW w:w="839" w:type="dxa"/>
          </w:tcPr>
          <w:p w:rsidR="003F5784" w14:paraId="4DB0D42C" w14:textId="77777777">
            <w:pPr>
              <w:pStyle w:val="TableParagraph"/>
              <w:spacing w:before="0"/>
              <w:jc w:val="left"/>
              <w:rPr>
                <w:sz w:val="20"/>
              </w:rPr>
            </w:pPr>
          </w:p>
        </w:tc>
        <w:tc>
          <w:tcPr>
            <w:tcW w:w="3262" w:type="dxa"/>
          </w:tcPr>
          <w:p w:rsidR="003F5784" w14:paraId="13C87501" w14:textId="77777777">
            <w:pPr>
              <w:pStyle w:val="TableParagraph"/>
              <w:ind w:left="614"/>
              <w:jc w:val="left"/>
              <w:rPr>
                <w:sz w:val="21"/>
              </w:rPr>
            </w:pPr>
            <w:r>
              <w:rPr>
                <w:spacing w:val="-2"/>
                <w:sz w:val="21"/>
              </w:rPr>
              <w:t>Nevada</w:t>
            </w:r>
          </w:p>
        </w:tc>
        <w:tc>
          <w:tcPr>
            <w:tcW w:w="2515" w:type="dxa"/>
          </w:tcPr>
          <w:p w:rsidR="003F5784" w14:paraId="0C3D52C0"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279C49BF" w14:textId="77777777">
            <w:pPr>
              <w:pStyle w:val="TableParagraph"/>
              <w:ind w:right="661"/>
              <w:rPr>
                <w:sz w:val="21"/>
              </w:rPr>
            </w:pPr>
            <w:r>
              <w:rPr>
                <w:sz w:val="21"/>
              </w:rPr>
              <w:t>10th</w:t>
            </w:r>
            <w:r>
              <w:rPr>
                <w:spacing w:val="-5"/>
                <w:sz w:val="21"/>
              </w:rPr>
              <w:t xml:space="preserve"> </w:t>
            </w:r>
            <w:r>
              <w:rPr>
                <w:spacing w:val="-2"/>
                <w:sz w:val="21"/>
              </w:rPr>
              <w:t>percentile</w:t>
            </w:r>
          </w:p>
        </w:tc>
        <w:tc>
          <w:tcPr>
            <w:tcW w:w="1794" w:type="dxa"/>
          </w:tcPr>
          <w:p w:rsidR="003F5784" w14:paraId="31C5EE7E" w14:textId="77777777">
            <w:pPr>
              <w:pStyle w:val="TableParagraph"/>
              <w:ind w:left="99" w:right="101"/>
              <w:jc w:val="center"/>
              <w:rPr>
                <w:sz w:val="21"/>
              </w:rPr>
            </w:pPr>
            <w:r>
              <w:rPr>
                <w:spacing w:val="-2"/>
                <w:sz w:val="21"/>
              </w:rPr>
              <w:t>12.22</w:t>
            </w:r>
          </w:p>
        </w:tc>
        <w:tc>
          <w:tcPr>
            <w:tcW w:w="1596" w:type="dxa"/>
          </w:tcPr>
          <w:p w:rsidR="003F5784" w14:paraId="115B23E7" w14:textId="77777777">
            <w:pPr>
              <w:pStyle w:val="TableParagraph"/>
              <w:ind w:right="465"/>
              <w:rPr>
                <w:sz w:val="21"/>
              </w:rPr>
            </w:pPr>
            <w:r>
              <w:rPr>
                <w:spacing w:val="-2"/>
                <w:sz w:val="21"/>
              </w:rPr>
              <w:t>12.42</w:t>
            </w:r>
          </w:p>
        </w:tc>
        <w:tc>
          <w:tcPr>
            <w:tcW w:w="1766" w:type="dxa"/>
          </w:tcPr>
          <w:p w:rsidR="003F5784" w14:paraId="707D1D5F" w14:textId="77777777">
            <w:pPr>
              <w:pStyle w:val="TableParagraph"/>
              <w:ind w:right="122"/>
              <w:rPr>
                <w:sz w:val="21"/>
              </w:rPr>
            </w:pPr>
            <w:r>
              <w:rPr>
                <w:sz w:val="21"/>
              </w:rPr>
              <w:t>(12.23,</w:t>
            </w:r>
            <w:r>
              <w:rPr>
                <w:spacing w:val="-7"/>
                <w:sz w:val="21"/>
              </w:rPr>
              <w:t xml:space="preserve"> </w:t>
            </w:r>
            <w:r>
              <w:rPr>
                <w:spacing w:val="-2"/>
                <w:sz w:val="21"/>
              </w:rPr>
              <w:t>13.35)</w:t>
            </w:r>
          </w:p>
        </w:tc>
      </w:tr>
      <w:tr w14:paraId="52663C52" w14:textId="77777777">
        <w:tblPrEx>
          <w:tblW w:w="0" w:type="auto"/>
          <w:tblInd w:w="482" w:type="dxa"/>
          <w:tblLayout w:type="fixed"/>
          <w:tblCellMar>
            <w:left w:w="0" w:type="dxa"/>
            <w:right w:w="0" w:type="dxa"/>
          </w:tblCellMar>
          <w:tblLook w:val="01E0"/>
        </w:tblPrEx>
        <w:trPr>
          <w:trHeight w:val="286"/>
        </w:trPr>
        <w:tc>
          <w:tcPr>
            <w:tcW w:w="839" w:type="dxa"/>
          </w:tcPr>
          <w:p w:rsidR="003F5784" w14:paraId="509186B6" w14:textId="77777777">
            <w:pPr>
              <w:pStyle w:val="TableParagraph"/>
              <w:spacing w:before="0"/>
              <w:jc w:val="left"/>
              <w:rPr>
                <w:sz w:val="20"/>
              </w:rPr>
            </w:pPr>
          </w:p>
        </w:tc>
        <w:tc>
          <w:tcPr>
            <w:tcW w:w="3262" w:type="dxa"/>
          </w:tcPr>
          <w:p w:rsidR="003F5784" w14:paraId="79E9C616" w14:textId="77777777">
            <w:pPr>
              <w:pStyle w:val="TableParagraph"/>
              <w:ind w:left="614"/>
              <w:jc w:val="left"/>
              <w:rPr>
                <w:sz w:val="21"/>
              </w:rPr>
            </w:pPr>
            <w:r>
              <w:rPr>
                <w:sz w:val="21"/>
              </w:rPr>
              <w:t>New</w:t>
            </w:r>
            <w:r>
              <w:rPr>
                <w:spacing w:val="-5"/>
                <w:sz w:val="21"/>
              </w:rPr>
              <w:t xml:space="preserve"> </w:t>
            </w:r>
            <w:r>
              <w:rPr>
                <w:spacing w:val="-2"/>
                <w:sz w:val="21"/>
              </w:rPr>
              <w:t>Mexico</w:t>
            </w:r>
          </w:p>
        </w:tc>
        <w:tc>
          <w:tcPr>
            <w:tcW w:w="2515" w:type="dxa"/>
          </w:tcPr>
          <w:p w:rsidR="003F5784" w14:paraId="18612F42"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635EB4CA" w14:textId="77777777">
            <w:pPr>
              <w:pStyle w:val="TableParagraph"/>
              <w:ind w:right="661"/>
              <w:rPr>
                <w:sz w:val="21"/>
              </w:rPr>
            </w:pPr>
            <w:r>
              <w:rPr>
                <w:sz w:val="21"/>
              </w:rPr>
              <w:t>90th</w:t>
            </w:r>
            <w:r>
              <w:rPr>
                <w:spacing w:val="-5"/>
                <w:sz w:val="21"/>
              </w:rPr>
              <w:t xml:space="preserve"> </w:t>
            </w:r>
            <w:r>
              <w:rPr>
                <w:spacing w:val="-2"/>
                <w:sz w:val="21"/>
              </w:rPr>
              <w:t>percentile</w:t>
            </w:r>
          </w:p>
        </w:tc>
        <w:tc>
          <w:tcPr>
            <w:tcW w:w="1794" w:type="dxa"/>
          </w:tcPr>
          <w:p w:rsidR="003F5784" w14:paraId="434AA3F7" w14:textId="77777777">
            <w:pPr>
              <w:pStyle w:val="TableParagraph"/>
              <w:ind w:left="99" w:right="101"/>
              <w:jc w:val="center"/>
              <w:rPr>
                <w:sz w:val="21"/>
              </w:rPr>
            </w:pPr>
            <w:r>
              <w:rPr>
                <w:spacing w:val="-2"/>
                <w:sz w:val="21"/>
              </w:rPr>
              <w:t>37.07</w:t>
            </w:r>
          </w:p>
        </w:tc>
        <w:tc>
          <w:tcPr>
            <w:tcW w:w="1596" w:type="dxa"/>
          </w:tcPr>
          <w:p w:rsidR="003F5784" w14:paraId="21811ADE" w14:textId="77777777">
            <w:pPr>
              <w:pStyle w:val="TableParagraph"/>
              <w:ind w:right="465"/>
              <w:rPr>
                <w:sz w:val="21"/>
              </w:rPr>
            </w:pPr>
            <w:r>
              <w:rPr>
                <w:spacing w:val="-2"/>
                <w:sz w:val="21"/>
              </w:rPr>
              <w:t>31.48</w:t>
            </w:r>
          </w:p>
        </w:tc>
        <w:tc>
          <w:tcPr>
            <w:tcW w:w="1766" w:type="dxa"/>
          </w:tcPr>
          <w:p w:rsidR="003F5784" w14:paraId="70F06BD8" w14:textId="77777777">
            <w:pPr>
              <w:pStyle w:val="TableParagraph"/>
              <w:ind w:right="122"/>
              <w:rPr>
                <w:sz w:val="21"/>
              </w:rPr>
            </w:pPr>
            <w:r>
              <w:rPr>
                <w:sz w:val="21"/>
              </w:rPr>
              <w:t>(30.41,</w:t>
            </w:r>
            <w:r>
              <w:rPr>
                <w:spacing w:val="-7"/>
                <w:sz w:val="21"/>
              </w:rPr>
              <w:t xml:space="preserve"> </w:t>
            </w:r>
            <w:r>
              <w:rPr>
                <w:spacing w:val="-2"/>
                <w:sz w:val="21"/>
              </w:rPr>
              <w:t>36.68)</w:t>
            </w:r>
          </w:p>
        </w:tc>
      </w:tr>
      <w:tr w14:paraId="5DB43228" w14:textId="77777777">
        <w:tblPrEx>
          <w:tblW w:w="0" w:type="auto"/>
          <w:tblInd w:w="482" w:type="dxa"/>
          <w:tblLayout w:type="fixed"/>
          <w:tblCellMar>
            <w:left w:w="0" w:type="dxa"/>
            <w:right w:w="0" w:type="dxa"/>
          </w:tblCellMar>
          <w:tblLook w:val="01E0"/>
        </w:tblPrEx>
        <w:trPr>
          <w:trHeight w:val="286"/>
        </w:trPr>
        <w:tc>
          <w:tcPr>
            <w:tcW w:w="839" w:type="dxa"/>
          </w:tcPr>
          <w:p w:rsidR="003F5784" w14:paraId="3725038F" w14:textId="77777777">
            <w:pPr>
              <w:pStyle w:val="TableParagraph"/>
              <w:spacing w:before="0"/>
              <w:jc w:val="left"/>
              <w:rPr>
                <w:sz w:val="20"/>
              </w:rPr>
            </w:pPr>
          </w:p>
        </w:tc>
        <w:tc>
          <w:tcPr>
            <w:tcW w:w="3262" w:type="dxa"/>
          </w:tcPr>
          <w:p w:rsidR="003F5784" w14:paraId="220662C3" w14:textId="77777777">
            <w:pPr>
              <w:pStyle w:val="TableParagraph"/>
              <w:ind w:left="614"/>
              <w:jc w:val="left"/>
              <w:rPr>
                <w:sz w:val="21"/>
              </w:rPr>
            </w:pPr>
            <w:r>
              <w:rPr>
                <w:spacing w:val="-4"/>
                <w:sz w:val="21"/>
              </w:rPr>
              <w:t>Ohio</w:t>
            </w:r>
          </w:p>
        </w:tc>
        <w:tc>
          <w:tcPr>
            <w:tcW w:w="2515" w:type="dxa"/>
          </w:tcPr>
          <w:p w:rsidR="003F5784" w14:paraId="6A079633"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401A07AE" w14:textId="77777777">
            <w:pPr>
              <w:pStyle w:val="TableParagraph"/>
              <w:ind w:right="661"/>
              <w:rPr>
                <w:sz w:val="21"/>
              </w:rPr>
            </w:pPr>
            <w:r>
              <w:rPr>
                <w:sz w:val="21"/>
              </w:rPr>
              <w:t>25th</w:t>
            </w:r>
            <w:r>
              <w:rPr>
                <w:spacing w:val="-5"/>
                <w:sz w:val="21"/>
              </w:rPr>
              <w:t xml:space="preserve"> </w:t>
            </w:r>
            <w:r>
              <w:rPr>
                <w:spacing w:val="-2"/>
                <w:sz w:val="21"/>
              </w:rPr>
              <w:t>percentile</w:t>
            </w:r>
          </w:p>
        </w:tc>
        <w:tc>
          <w:tcPr>
            <w:tcW w:w="1794" w:type="dxa"/>
          </w:tcPr>
          <w:p w:rsidR="003F5784" w14:paraId="41A5804B" w14:textId="77777777">
            <w:pPr>
              <w:pStyle w:val="TableParagraph"/>
              <w:ind w:left="99" w:right="101"/>
              <w:jc w:val="center"/>
              <w:rPr>
                <w:sz w:val="21"/>
              </w:rPr>
            </w:pPr>
            <w:r>
              <w:rPr>
                <w:spacing w:val="-2"/>
                <w:sz w:val="21"/>
              </w:rPr>
              <w:t>53.32</w:t>
            </w:r>
          </w:p>
        </w:tc>
        <w:tc>
          <w:tcPr>
            <w:tcW w:w="1596" w:type="dxa"/>
          </w:tcPr>
          <w:p w:rsidR="003F5784" w14:paraId="05378E2C" w14:textId="77777777">
            <w:pPr>
              <w:pStyle w:val="TableParagraph"/>
              <w:ind w:right="465"/>
              <w:rPr>
                <w:sz w:val="21"/>
              </w:rPr>
            </w:pPr>
            <w:r>
              <w:rPr>
                <w:spacing w:val="-2"/>
                <w:sz w:val="21"/>
              </w:rPr>
              <w:t>49.12</w:t>
            </w:r>
          </w:p>
        </w:tc>
        <w:tc>
          <w:tcPr>
            <w:tcW w:w="1766" w:type="dxa"/>
          </w:tcPr>
          <w:p w:rsidR="003F5784" w14:paraId="3F55E80E" w14:textId="77777777">
            <w:pPr>
              <w:pStyle w:val="TableParagraph"/>
              <w:ind w:right="122"/>
              <w:rPr>
                <w:sz w:val="21"/>
              </w:rPr>
            </w:pPr>
            <w:r>
              <w:rPr>
                <w:sz w:val="21"/>
              </w:rPr>
              <w:t>(44.01,</w:t>
            </w:r>
            <w:r>
              <w:rPr>
                <w:spacing w:val="-7"/>
                <w:sz w:val="21"/>
              </w:rPr>
              <w:t xml:space="preserve"> </w:t>
            </w:r>
            <w:r>
              <w:rPr>
                <w:spacing w:val="-2"/>
                <w:sz w:val="21"/>
              </w:rPr>
              <w:t>53.04)</w:t>
            </w:r>
          </w:p>
        </w:tc>
      </w:tr>
      <w:tr w14:paraId="7B0BC533" w14:textId="77777777">
        <w:tblPrEx>
          <w:tblW w:w="0" w:type="auto"/>
          <w:tblInd w:w="482" w:type="dxa"/>
          <w:tblLayout w:type="fixed"/>
          <w:tblCellMar>
            <w:left w:w="0" w:type="dxa"/>
            <w:right w:w="0" w:type="dxa"/>
          </w:tblCellMar>
          <w:tblLook w:val="01E0"/>
        </w:tblPrEx>
        <w:trPr>
          <w:trHeight w:val="286"/>
        </w:trPr>
        <w:tc>
          <w:tcPr>
            <w:tcW w:w="839" w:type="dxa"/>
          </w:tcPr>
          <w:p w:rsidR="003F5784" w14:paraId="64F516E6" w14:textId="77777777">
            <w:pPr>
              <w:pStyle w:val="TableParagraph"/>
              <w:spacing w:before="0"/>
              <w:jc w:val="left"/>
              <w:rPr>
                <w:sz w:val="20"/>
              </w:rPr>
            </w:pPr>
          </w:p>
        </w:tc>
        <w:tc>
          <w:tcPr>
            <w:tcW w:w="3262" w:type="dxa"/>
          </w:tcPr>
          <w:p w:rsidR="003F5784" w14:paraId="297C64C0" w14:textId="77777777">
            <w:pPr>
              <w:pStyle w:val="TableParagraph"/>
              <w:ind w:left="614"/>
              <w:jc w:val="left"/>
              <w:rPr>
                <w:sz w:val="21"/>
              </w:rPr>
            </w:pPr>
            <w:r>
              <w:rPr>
                <w:spacing w:val="-2"/>
                <w:sz w:val="21"/>
              </w:rPr>
              <w:t>Oregon</w:t>
            </w:r>
          </w:p>
        </w:tc>
        <w:tc>
          <w:tcPr>
            <w:tcW w:w="2515" w:type="dxa"/>
          </w:tcPr>
          <w:p w:rsidR="003F5784" w14:paraId="2431E282"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28CB5704" w14:textId="77777777">
            <w:pPr>
              <w:pStyle w:val="TableParagraph"/>
              <w:ind w:right="661"/>
              <w:rPr>
                <w:sz w:val="21"/>
              </w:rPr>
            </w:pPr>
            <w:r>
              <w:rPr>
                <w:sz w:val="21"/>
              </w:rPr>
              <w:t>25th</w:t>
            </w:r>
            <w:r>
              <w:rPr>
                <w:spacing w:val="-5"/>
                <w:sz w:val="21"/>
              </w:rPr>
              <w:t xml:space="preserve"> </w:t>
            </w:r>
            <w:r>
              <w:rPr>
                <w:spacing w:val="-2"/>
                <w:sz w:val="21"/>
              </w:rPr>
              <w:t>percentile</w:t>
            </w:r>
          </w:p>
        </w:tc>
        <w:tc>
          <w:tcPr>
            <w:tcW w:w="1794" w:type="dxa"/>
          </w:tcPr>
          <w:p w:rsidR="003F5784" w14:paraId="1BD5FA5D" w14:textId="77777777">
            <w:pPr>
              <w:pStyle w:val="TableParagraph"/>
              <w:ind w:left="99" w:right="101"/>
              <w:jc w:val="center"/>
              <w:rPr>
                <w:sz w:val="21"/>
              </w:rPr>
            </w:pPr>
            <w:r>
              <w:rPr>
                <w:spacing w:val="-2"/>
                <w:sz w:val="21"/>
              </w:rPr>
              <w:t>28.55</w:t>
            </w:r>
          </w:p>
        </w:tc>
        <w:tc>
          <w:tcPr>
            <w:tcW w:w="1596" w:type="dxa"/>
          </w:tcPr>
          <w:p w:rsidR="003F5784" w14:paraId="7AF28751" w14:textId="77777777">
            <w:pPr>
              <w:pStyle w:val="TableParagraph"/>
              <w:ind w:right="465"/>
              <w:rPr>
                <w:sz w:val="21"/>
              </w:rPr>
            </w:pPr>
            <w:r>
              <w:rPr>
                <w:spacing w:val="-2"/>
                <w:sz w:val="21"/>
              </w:rPr>
              <w:t>26.78</w:t>
            </w:r>
          </w:p>
        </w:tc>
        <w:tc>
          <w:tcPr>
            <w:tcW w:w="1766" w:type="dxa"/>
          </w:tcPr>
          <w:p w:rsidR="003F5784" w14:paraId="453E1DD8" w14:textId="77777777">
            <w:pPr>
              <w:pStyle w:val="TableParagraph"/>
              <w:ind w:right="122"/>
              <w:rPr>
                <w:sz w:val="21"/>
              </w:rPr>
            </w:pPr>
            <w:r>
              <w:rPr>
                <w:sz w:val="21"/>
              </w:rPr>
              <w:t>(25.39,</w:t>
            </w:r>
            <w:r>
              <w:rPr>
                <w:spacing w:val="-7"/>
                <w:sz w:val="21"/>
              </w:rPr>
              <w:t xml:space="preserve"> </w:t>
            </w:r>
            <w:r>
              <w:rPr>
                <w:spacing w:val="-2"/>
                <w:sz w:val="21"/>
              </w:rPr>
              <w:t>27.74)</w:t>
            </w:r>
          </w:p>
        </w:tc>
      </w:tr>
      <w:tr w14:paraId="6A092CE7" w14:textId="77777777">
        <w:tblPrEx>
          <w:tblW w:w="0" w:type="auto"/>
          <w:tblInd w:w="482" w:type="dxa"/>
          <w:tblLayout w:type="fixed"/>
          <w:tblCellMar>
            <w:left w:w="0" w:type="dxa"/>
            <w:right w:w="0" w:type="dxa"/>
          </w:tblCellMar>
          <w:tblLook w:val="01E0"/>
        </w:tblPrEx>
        <w:trPr>
          <w:trHeight w:val="286"/>
        </w:trPr>
        <w:tc>
          <w:tcPr>
            <w:tcW w:w="839" w:type="dxa"/>
          </w:tcPr>
          <w:p w:rsidR="003F5784" w14:paraId="0D993EA6" w14:textId="77777777">
            <w:pPr>
              <w:pStyle w:val="TableParagraph"/>
              <w:spacing w:before="0"/>
              <w:jc w:val="left"/>
              <w:rPr>
                <w:sz w:val="20"/>
              </w:rPr>
            </w:pPr>
          </w:p>
        </w:tc>
        <w:tc>
          <w:tcPr>
            <w:tcW w:w="3262" w:type="dxa"/>
          </w:tcPr>
          <w:p w:rsidR="003F5784" w14:paraId="4B05295D" w14:textId="77777777">
            <w:pPr>
              <w:pStyle w:val="TableParagraph"/>
              <w:ind w:left="614"/>
              <w:jc w:val="left"/>
              <w:rPr>
                <w:sz w:val="21"/>
              </w:rPr>
            </w:pPr>
            <w:r>
              <w:rPr>
                <w:spacing w:val="-2"/>
                <w:sz w:val="21"/>
              </w:rPr>
              <w:t>Pennsylvania</w:t>
            </w:r>
          </w:p>
        </w:tc>
        <w:tc>
          <w:tcPr>
            <w:tcW w:w="2515" w:type="dxa"/>
          </w:tcPr>
          <w:p w:rsidR="003F5784" w14:paraId="2010C46E"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3E4C7C2A" w14:textId="77777777">
            <w:pPr>
              <w:pStyle w:val="TableParagraph"/>
              <w:ind w:right="661"/>
              <w:rPr>
                <w:sz w:val="21"/>
              </w:rPr>
            </w:pPr>
            <w:r>
              <w:rPr>
                <w:sz w:val="21"/>
              </w:rPr>
              <w:t>90th</w:t>
            </w:r>
            <w:r>
              <w:rPr>
                <w:spacing w:val="-5"/>
                <w:sz w:val="21"/>
              </w:rPr>
              <w:t xml:space="preserve"> </w:t>
            </w:r>
            <w:r>
              <w:rPr>
                <w:spacing w:val="-2"/>
                <w:sz w:val="21"/>
              </w:rPr>
              <w:t>percentile</w:t>
            </w:r>
          </w:p>
        </w:tc>
        <w:tc>
          <w:tcPr>
            <w:tcW w:w="1794" w:type="dxa"/>
          </w:tcPr>
          <w:p w:rsidR="003F5784" w14:paraId="174426AF" w14:textId="77777777">
            <w:pPr>
              <w:pStyle w:val="TableParagraph"/>
              <w:ind w:left="99" w:right="101"/>
              <w:jc w:val="center"/>
              <w:rPr>
                <w:sz w:val="21"/>
              </w:rPr>
            </w:pPr>
            <w:r>
              <w:rPr>
                <w:spacing w:val="-2"/>
                <w:sz w:val="21"/>
              </w:rPr>
              <w:t>54.15</w:t>
            </w:r>
          </w:p>
        </w:tc>
        <w:tc>
          <w:tcPr>
            <w:tcW w:w="1596" w:type="dxa"/>
          </w:tcPr>
          <w:p w:rsidR="003F5784" w14:paraId="2C8CCFBB" w14:textId="77777777">
            <w:pPr>
              <w:pStyle w:val="TableParagraph"/>
              <w:ind w:right="465"/>
              <w:rPr>
                <w:sz w:val="21"/>
              </w:rPr>
            </w:pPr>
            <w:r>
              <w:rPr>
                <w:spacing w:val="-2"/>
                <w:sz w:val="21"/>
              </w:rPr>
              <w:t>52.63</w:t>
            </w:r>
          </w:p>
        </w:tc>
        <w:tc>
          <w:tcPr>
            <w:tcW w:w="1766" w:type="dxa"/>
          </w:tcPr>
          <w:p w:rsidR="003F5784" w14:paraId="310A0FB4" w14:textId="77777777">
            <w:pPr>
              <w:pStyle w:val="TableParagraph"/>
              <w:ind w:right="122"/>
              <w:rPr>
                <w:sz w:val="21"/>
              </w:rPr>
            </w:pPr>
            <w:r>
              <w:rPr>
                <w:sz w:val="21"/>
              </w:rPr>
              <w:t>(49.94,</w:t>
            </w:r>
            <w:r>
              <w:rPr>
                <w:spacing w:val="-7"/>
                <w:sz w:val="21"/>
              </w:rPr>
              <w:t xml:space="preserve"> </w:t>
            </w:r>
            <w:r>
              <w:rPr>
                <w:spacing w:val="-2"/>
                <w:sz w:val="21"/>
              </w:rPr>
              <w:t>53.62)</w:t>
            </w:r>
          </w:p>
        </w:tc>
      </w:tr>
      <w:tr w14:paraId="24FC332D" w14:textId="77777777">
        <w:tblPrEx>
          <w:tblW w:w="0" w:type="auto"/>
          <w:tblInd w:w="482" w:type="dxa"/>
          <w:tblLayout w:type="fixed"/>
          <w:tblCellMar>
            <w:left w:w="0" w:type="dxa"/>
            <w:right w:w="0" w:type="dxa"/>
          </w:tblCellMar>
          <w:tblLook w:val="01E0"/>
        </w:tblPrEx>
        <w:trPr>
          <w:trHeight w:val="286"/>
        </w:trPr>
        <w:tc>
          <w:tcPr>
            <w:tcW w:w="839" w:type="dxa"/>
          </w:tcPr>
          <w:p w:rsidR="003F5784" w14:paraId="7D0C82D0" w14:textId="77777777">
            <w:pPr>
              <w:pStyle w:val="TableParagraph"/>
              <w:spacing w:before="0"/>
              <w:jc w:val="left"/>
              <w:rPr>
                <w:sz w:val="20"/>
              </w:rPr>
            </w:pPr>
          </w:p>
        </w:tc>
        <w:tc>
          <w:tcPr>
            <w:tcW w:w="3262" w:type="dxa"/>
          </w:tcPr>
          <w:p w:rsidR="003F5784" w14:paraId="64037127" w14:textId="77777777">
            <w:pPr>
              <w:pStyle w:val="TableParagraph"/>
              <w:ind w:left="614"/>
              <w:jc w:val="left"/>
              <w:rPr>
                <w:sz w:val="21"/>
              </w:rPr>
            </w:pPr>
            <w:r>
              <w:rPr>
                <w:spacing w:val="-2"/>
                <w:sz w:val="21"/>
              </w:rPr>
              <w:t>Pennsylvania</w:t>
            </w:r>
          </w:p>
        </w:tc>
        <w:tc>
          <w:tcPr>
            <w:tcW w:w="2515" w:type="dxa"/>
          </w:tcPr>
          <w:p w:rsidR="003F5784" w14:paraId="7318CE4A"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19AEE705" w14:textId="77777777">
            <w:pPr>
              <w:pStyle w:val="TableParagraph"/>
              <w:ind w:right="662"/>
              <w:rPr>
                <w:sz w:val="21"/>
              </w:rPr>
            </w:pPr>
            <w:r>
              <w:rPr>
                <w:spacing w:val="-4"/>
                <w:sz w:val="21"/>
              </w:rPr>
              <w:t>mean</w:t>
            </w:r>
          </w:p>
        </w:tc>
        <w:tc>
          <w:tcPr>
            <w:tcW w:w="1794" w:type="dxa"/>
          </w:tcPr>
          <w:p w:rsidR="003F5784" w14:paraId="65E1614A" w14:textId="77777777">
            <w:pPr>
              <w:pStyle w:val="TableParagraph"/>
              <w:ind w:left="99" w:right="101"/>
              <w:jc w:val="center"/>
              <w:rPr>
                <w:sz w:val="21"/>
              </w:rPr>
            </w:pPr>
            <w:r>
              <w:rPr>
                <w:spacing w:val="-2"/>
                <w:sz w:val="21"/>
              </w:rPr>
              <w:t>32.54</w:t>
            </w:r>
          </w:p>
        </w:tc>
        <w:tc>
          <w:tcPr>
            <w:tcW w:w="1596" w:type="dxa"/>
          </w:tcPr>
          <w:p w:rsidR="003F5784" w14:paraId="125E2FBF" w14:textId="77777777">
            <w:pPr>
              <w:pStyle w:val="TableParagraph"/>
              <w:ind w:right="465"/>
              <w:rPr>
                <w:sz w:val="21"/>
              </w:rPr>
            </w:pPr>
            <w:r>
              <w:rPr>
                <w:spacing w:val="-2"/>
                <w:sz w:val="21"/>
              </w:rPr>
              <w:t>31.27</w:t>
            </w:r>
          </w:p>
        </w:tc>
        <w:tc>
          <w:tcPr>
            <w:tcW w:w="1766" w:type="dxa"/>
          </w:tcPr>
          <w:p w:rsidR="003F5784" w14:paraId="425A8063" w14:textId="77777777">
            <w:pPr>
              <w:pStyle w:val="TableParagraph"/>
              <w:ind w:right="122"/>
              <w:rPr>
                <w:sz w:val="21"/>
              </w:rPr>
            </w:pPr>
            <w:r>
              <w:rPr>
                <w:sz w:val="21"/>
              </w:rPr>
              <w:t>(30.27,</w:t>
            </w:r>
            <w:r>
              <w:rPr>
                <w:spacing w:val="-7"/>
                <w:sz w:val="21"/>
              </w:rPr>
              <w:t xml:space="preserve"> </w:t>
            </w:r>
            <w:r>
              <w:rPr>
                <w:spacing w:val="-2"/>
                <w:sz w:val="21"/>
              </w:rPr>
              <w:t>32.26)</w:t>
            </w:r>
          </w:p>
        </w:tc>
      </w:tr>
      <w:tr w14:paraId="62B98FB1" w14:textId="77777777">
        <w:tblPrEx>
          <w:tblW w:w="0" w:type="auto"/>
          <w:tblInd w:w="482" w:type="dxa"/>
          <w:tblLayout w:type="fixed"/>
          <w:tblCellMar>
            <w:left w:w="0" w:type="dxa"/>
            <w:right w:w="0" w:type="dxa"/>
          </w:tblCellMar>
          <w:tblLook w:val="01E0"/>
        </w:tblPrEx>
        <w:trPr>
          <w:trHeight w:val="286"/>
        </w:trPr>
        <w:tc>
          <w:tcPr>
            <w:tcW w:w="839" w:type="dxa"/>
          </w:tcPr>
          <w:p w:rsidR="003F5784" w14:paraId="7A441DAF" w14:textId="77777777">
            <w:pPr>
              <w:pStyle w:val="TableParagraph"/>
              <w:spacing w:before="0"/>
              <w:jc w:val="left"/>
              <w:rPr>
                <w:sz w:val="20"/>
              </w:rPr>
            </w:pPr>
          </w:p>
        </w:tc>
        <w:tc>
          <w:tcPr>
            <w:tcW w:w="3262" w:type="dxa"/>
          </w:tcPr>
          <w:p w:rsidR="003F5784" w14:paraId="2233C8B3" w14:textId="77777777">
            <w:pPr>
              <w:pStyle w:val="TableParagraph"/>
              <w:ind w:left="614"/>
              <w:jc w:val="left"/>
              <w:rPr>
                <w:sz w:val="21"/>
              </w:rPr>
            </w:pPr>
            <w:r>
              <w:rPr>
                <w:sz w:val="21"/>
              </w:rPr>
              <w:t>South</w:t>
            </w:r>
            <w:r>
              <w:rPr>
                <w:spacing w:val="-6"/>
                <w:sz w:val="21"/>
              </w:rPr>
              <w:t xml:space="preserve"> </w:t>
            </w:r>
            <w:r>
              <w:rPr>
                <w:spacing w:val="-2"/>
                <w:sz w:val="21"/>
              </w:rPr>
              <w:t>Dakota</w:t>
            </w:r>
          </w:p>
        </w:tc>
        <w:tc>
          <w:tcPr>
            <w:tcW w:w="2515" w:type="dxa"/>
          </w:tcPr>
          <w:p w:rsidR="003F5784" w14:paraId="37A733E6"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247ED33A" w14:textId="77777777">
            <w:pPr>
              <w:pStyle w:val="TableParagraph"/>
              <w:ind w:right="661"/>
              <w:rPr>
                <w:sz w:val="21"/>
              </w:rPr>
            </w:pPr>
            <w:r>
              <w:rPr>
                <w:sz w:val="21"/>
              </w:rPr>
              <w:t>90th</w:t>
            </w:r>
            <w:r>
              <w:rPr>
                <w:spacing w:val="-5"/>
                <w:sz w:val="21"/>
              </w:rPr>
              <w:t xml:space="preserve"> </w:t>
            </w:r>
            <w:r>
              <w:rPr>
                <w:spacing w:val="-2"/>
                <w:sz w:val="21"/>
              </w:rPr>
              <w:t>percentile</w:t>
            </w:r>
          </w:p>
        </w:tc>
        <w:tc>
          <w:tcPr>
            <w:tcW w:w="1794" w:type="dxa"/>
          </w:tcPr>
          <w:p w:rsidR="003F5784" w14:paraId="307A154A" w14:textId="77777777">
            <w:pPr>
              <w:pStyle w:val="TableParagraph"/>
              <w:ind w:left="99" w:right="101"/>
              <w:jc w:val="center"/>
              <w:rPr>
                <w:sz w:val="21"/>
              </w:rPr>
            </w:pPr>
            <w:r>
              <w:rPr>
                <w:spacing w:val="-2"/>
                <w:sz w:val="21"/>
              </w:rPr>
              <w:t>64.30</w:t>
            </w:r>
          </w:p>
        </w:tc>
        <w:tc>
          <w:tcPr>
            <w:tcW w:w="1596" w:type="dxa"/>
          </w:tcPr>
          <w:p w:rsidR="003F5784" w14:paraId="568F7AB8" w14:textId="77777777">
            <w:pPr>
              <w:pStyle w:val="TableParagraph"/>
              <w:ind w:right="465"/>
              <w:rPr>
                <w:sz w:val="21"/>
              </w:rPr>
            </w:pPr>
            <w:r>
              <w:rPr>
                <w:spacing w:val="-2"/>
                <w:sz w:val="21"/>
              </w:rPr>
              <w:t>63.81</w:t>
            </w:r>
          </w:p>
        </w:tc>
        <w:tc>
          <w:tcPr>
            <w:tcW w:w="1766" w:type="dxa"/>
          </w:tcPr>
          <w:p w:rsidR="003F5784" w14:paraId="5963BF95" w14:textId="77777777">
            <w:pPr>
              <w:pStyle w:val="TableParagraph"/>
              <w:ind w:right="122"/>
              <w:rPr>
                <w:sz w:val="21"/>
              </w:rPr>
            </w:pPr>
            <w:r>
              <w:rPr>
                <w:sz w:val="21"/>
              </w:rPr>
              <w:t>(63.29,</w:t>
            </w:r>
            <w:r>
              <w:rPr>
                <w:spacing w:val="-7"/>
                <w:sz w:val="21"/>
              </w:rPr>
              <w:t xml:space="preserve"> </w:t>
            </w:r>
            <w:r>
              <w:rPr>
                <w:spacing w:val="-2"/>
                <w:sz w:val="21"/>
              </w:rPr>
              <w:t>64.14)</w:t>
            </w:r>
          </w:p>
        </w:tc>
      </w:tr>
      <w:tr w14:paraId="671CEDD4" w14:textId="77777777">
        <w:tblPrEx>
          <w:tblW w:w="0" w:type="auto"/>
          <w:tblInd w:w="482" w:type="dxa"/>
          <w:tblLayout w:type="fixed"/>
          <w:tblCellMar>
            <w:left w:w="0" w:type="dxa"/>
            <w:right w:w="0" w:type="dxa"/>
          </w:tblCellMar>
          <w:tblLook w:val="01E0"/>
        </w:tblPrEx>
        <w:trPr>
          <w:trHeight w:val="286"/>
        </w:trPr>
        <w:tc>
          <w:tcPr>
            <w:tcW w:w="839" w:type="dxa"/>
          </w:tcPr>
          <w:p w:rsidR="003F5784" w14:paraId="03CA6DF8" w14:textId="77777777">
            <w:pPr>
              <w:pStyle w:val="TableParagraph"/>
              <w:spacing w:before="0"/>
              <w:jc w:val="left"/>
              <w:rPr>
                <w:sz w:val="20"/>
              </w:rPr>
            </w:pPr>
          </w:p>
        </w:tc>
        <w:tc>
          <w:tcPr>
            <w:tcW w:w="3262" w:type="dxa"/>
          </w:tcPr>
          <w:p w:rsidR="003F5784" w14:paraId="07E96F74" w14:textId="77777777">
            <w:pPr>
              <w:pStyle w:val="TableParagraph"/>
              <w:ind w:left="614"/>
              <w:jc w:val="left"/>
              <w:rPr>
                <w:sz w:val="21"/>
              </w:rPr>
            </w:pPr>
            <w:r>
              <w:rPr>
                <w:spacing w:val="-4"/>
                <w:sz w:val="21"/>
              </w:rPr>
              <w:t>Utah</w:t>
            </w:r>
          </w:p>
        </w:tc>
        <w:tc>
          <w:tcPr>
            <w:tcW w:w="2515" w:type="dxa"/>
          </w:tcPr>
          <w:p w:rsidR="003F5784" w14:paraId="21657D00"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4D7923E5" w14:textId="77777777">
            <w:pPr>
              <w:pStyle w:val="TableParagraph"/>
              <w:ind w:right="661"/>
              <w:rPr>
                <w:sz w:val="21"/>
              </w:rPr>
            </w:pPr>
            <w:r>
              <w:rPr>
                <w:sz w:val="21"/>
              </w:rPr>
              <w:t>10th</w:t>
            </w:r>
            <w:r>
              <w:rPr>
                <w:spacing w:val="-5"/>
                <w:sz w:val="21"/>
              </w:rPr>
              <w:t xml:space="preserve"> </w:t>
            </w:r>
            <w:r>
              <w:rPr>
                <w:spacing w:val="-2"/>
                <w:sz w:val="21"/>
              </w:rPr>
              <w:t>percentile</w:t>
            </w:r>
          </w:p>
        </w:tc>
        <w:tc>
          <w:tcPr>
            <w:tcW w:w="1794" w:type="dxa"/>
          </w:tcPr>
          <w:p w:rsidR="003F5784" w14:paraId="3B62D931" w14:textId="77777777">
            <w:pPr>
              <w:pStyle w:val="TableParagraph"/>
              <w:ind w:left="99" w:right="101"/>
              <w:jc w:val="center"/>
              <w:rPr>
                <w:sz w:val="21"/>
              </w:rPr>
            </w:pPr>
            <w:r>
              <w:rPr>
                <w:spacing w:val="-2"/>
                <w:sz w:val="21"/>
              </w:rPr>
              <w:t>21.64</w:t>
            </w:r>
          </w:p>
        </w:tc>
        <w:tc>
          <w:tcPr>
            <w:tcW w:w="1596" w:type="dxa"/>
          </w:tcPr>
          <w:p w:rsidR="003F5784" w14:paraId="5A32EDD6" w14:textId="77777777">
            <w:pPr>
              <w:pStyle w:val="TableParagraph"/>
              <w:ind w:right="465"/>
              <w:rPr>
                <w:sz w:val="21"/>
              </w:rPr>
            </w:pPr>
            <w:r>
              <w:rPr>
                <w:spacing w:val="-2"/>
                <w:sz w:val="21"/>
              </w:rPr>
              <w:t>20.63</w:t>
            </w:r>
          </w:p>
        </w:tc>
        <w:tc>
          <w:tcPr>
            <w:tcW w:w="1766" w:type="dxa"/>
          </w:tcPr>
          <w:p w:rsidR="003F5784" w14:paraId="6EDB1E0E" w14:textId="77777777">
            <w:pPr>
              <w:pStyle w:val="TableParagraph"/>
              <w:ind w:right="122"/>
              <w:rPr>
                <w:sz w:val="21"/>
              </w:rPr>
            </w:pPr>
            <w:r>
              <w:rPr>
                <w:sz w:val="21"/>
              </w:rPr>
              <w:t>(18.77,</w:t>
            </w:r>
            <w:r>
              <w:rPr>
                <w:spacing w:val="-7"/>
                <w:sz w:val="21"/>
              </w:rPr>
              <w:t xml:space="preserve"> </w:t>
            </w:r>
            <w:r>
              <w:rPr>
                <w:spacing w:val="-2"/>
                <w:sz w:val="21"/>
              </w:rPr>
              <w:t>21.57)</w:t>
            </w:r>
          </w:p>
        </w:tc>
      </w:tr>
      <w:tr w14:paraId="4D405EF5" w14:textId="77777777">
        <w:tblPrEx>
          <w:tblW w:w="0" w:type="auto"/>
          <w:tblInd w:w="482" w:type="dxa"/>
          <w:tblLayout w:type="fixed"/>
          <w:tblCellMar>
            <w:left w:w="0" w:type="dxa"/>
            <w:right w:w="0" w:type="dxa"/>
          </w:tblCellMar>
          <w:tblLook w:val="01E0"/>
        </w:tblPrEx>
        <w:trPr>
          <w:trHeight w:val="286"/>
        </w:trPr>
        <w:tc>
          <w:tcPr>
            <w:tcW w:w="839" w:type="dxa"/>
          </w:tcPr>
          <w:p w:rsidR="003F5784" w14:paraId="5BDCC9D6" w14:textId="77777777">
            <w:pPr>
              <w:pStyle w:val="TableParagraph"/>
              <w:spacing w:before="0"/>
              <w:jc w:val="left"/>
              <w:rPr>
                <w:sz w:val="20"/>
              </w:rPr>
            </w:pPr>
          </w:p>
        </w:tc>
        <w:tc>
          <w:tcPr>
            <w:tcW w:w="3262" w:type="dxa"/>
          </w:tcPr>
          <w:p w:rsidR="003F5784" w14:paraId="4037FF31" w14:textId="77777777">
            <w:pPr>
              <w:pStyle w:val="TableParagraph"/>
              <w:ind w:left="614"/>
              <w:jc w:val="left"/>
              <w:rPr>
                <w:sz w:val="21"/>
              </w:rPr>
            </w:pPr>
            <w:r>
              <w:rPr>
                <w:spacing w:val="-5"/>
                <w:sz w:val="21"/>
              </w:rPr>
              <w:t>West</w:t>
            </w:r>
            <w:r>
              <w:rPr>
                <w:spacing w:val="-7"/>
                <w:sz w:val="21"/>
              </w:rPr>
              <w:t xml:space="preserve"> </w:t>
            </w:r>
            <w:r>
              <w:rPr>
                <w:spacing w:val="-2"/>
                <w:sz w:val="21"/>
              </w:rPr>
              <w:t>Virginia</w:t>
            </w:r>
          </w:p>
        </w:tc>
        <w:tc>
          <w:tcPr>
            <w:tcW w:w="2515" w:type="dxa"/>
          </w:tcPr>
          <w:p w:rsidR="003F5784" w14:paraId="3F45DC95"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762C1B8A" w14:textId="77777777">
            <w:pPr>
              <w:pStyle w:val="TableParagraph"/>
              <w:ind w:right="661"/>
              <w:rPr>
                <w:sz w:val="21"/>
              </w:rPr>
            </w:pPr>
            <w:r>
              <w:rPr>
                <w:sz w:val="21"/>
              </w:rPr>
              <w:t>50th</w:t>
            </w:r>
            <w:r>
              <w:rPr>
                <w:spacing w:val="-5"/>
                <w:sz w:val="21"/>
              </w:rPr>
              <w:t xml:space="preserve"> </w:t>
            </w:r>
            <w:r>
              <w:rPr>
                <w:spacing w:val="-2"/>
                <w:sz w:val="21"/>
              </w:rPr>
              <w:t>percentile</w:t>
            </w:r>
          </w:p>
        </w:tc>
        <w:tc>
          <w:tcPr>
            <w:tcW w:w="1794" w:type="dxa"/>
          </w:tcPr>
          <w:p w:rsidR="003F5784" w14:paraId="15296E0D" w14:textId="77777777">
            <w:pPr>
              <w:pStyle w:val="TableParagraph"/>
              <w:ind w:left="99" w:right="101"/>
              <w:jc w:val="center"/>
              <w:rPr>
                <w:sz w:val="21"/>
              </w:rPr>
            </w:pPr>
            <w:r>
              <w:rPr>
                <w:spacing w:val="-2"/>
                <w:sz w:val="21"/>
              </w:rPr>
              <w:t>37.06</w:t>
            </w:r>
          </w:p>
        </w:tc>
        <w:tc>
          <w:tcPr>
            <w:tcW w:w="1596" w:type="dxa"/>
          </w:tcPr>
          <w:p w:rsidR="003F5784" w14:paraId="716FB85E" w14:textId="77777777">
            <w:pPr>
              <w:pStyle w:val="TableParagraph"/>
              <w:ind w:right="465"/>
              <w:rPr>
                <w:sz w:val="21"/>
              </w:rPr>
            </w:pPr>
            <w:r>
              <w:rPr>
                <w:spacing w:val="-2"/>
                <w:sz w:val="21"/>
              </w:rPr>
              <w:t>36.08</w:t>
            </w:r>
          </w:p>
        </w:tc>
        <w:tc>
          <w:tcPr>
            <w:tcW w:w="1766" w:type="dxa"/>
          </w:tcPr>
          <w:p w:rsidR="003F5784" w14:paraId="6600F192" w14:textId="77777777">
            <w:pPr>
              <w:pStyle w:val="TableParagraph"/>
              <w:ind w:right="122"/>
              <w:rPr>
                <w:sz w:val="21"/>
              </w:rPr>
            </w:pPr>
            <w:r>
              <w:rPr>
                <w:sz w:val="21"/>
              </w:rPr>
              <w:t>(34.18,</w:t>
            </w:r>
            <w:r>
              <w:rPr>
                <w:spacing w:val="-7"/>
                <w:sz w:val="21"/>
              </w:rPr>
              <w:t xml:space="preserve"> </w:t>
            </w:r>
            <w:r>
              <w:rPr>
                <w:spacing w:val="-2"/>
                <w:sz w:val="21"/>
              </w:rPr>
              <w:t>36.92)</w:t>
            </w:r>
          </w:p>
        </w:tc>
      </w:tr>
      <w:tr w14:paraId="4C1B4AA9" w14:textId="77777777">
        <w:tblPrEx>
          <w:tblW w:w="0" w:type="auto"/>
          <w:tblInd w:w="482" w:type="dxa"/>
          <w:tblLayout w:type="fixed"/>
          <w:tblCellMar>
            <w:left w:w="0" w:type="dxa"/>
            <w:right w:w="0" w:type="dxa"/>
          </w:tblCellMar>
          <w:tblLook w:val="01E0"/>
        </w:tblPrEx>
        <w:trPr>
          <w:trHeight w:val="286"/>
        </w:trPr>
        <w:tc>
          <w:tcPr>
            <w:tcW w:w="839" w:type="dxa"/>
          </w:tcPr>
          <w:p w:rsidR="003F5784" w14:paraId="3987AC94" w14:textId="77777777">
            <w:pPr>
              <w:pStyle w:val="TableParagraph"/>
              <w:spacing w:before="0"/>
              <w:jc w:val="left"/>
              <w:rPr>
                <w:sz w:val="20"/>
              </w:rPr>
            </w:pPr>
          </w:p>
        </w:tc>
        <w:tc>
          <w:tcPr>
            <w:tcW w:w="3262" w:type="dxa"/>
          </w:tcPr>
          <w:p w:rsidR="003F5784" w14:paraId="24F47FDC" w14:textId="77777777">
            <w:pPr>
              <w:pStyle w:val="TableParagraph"/>
              <w:ind w:left="614"/>
              <w:jc w:val="left"/>
              <w:rPr>
                <w:sz w:val="21"/>
              </w:rPr>
            </w:pPr>
            <w:r>
              <w:rPr>
                <w:spacing w:val="-5"/>
                <w:sz w:val="21"/>
              </w:rPr>
              <w:t>West</w:t>
            </w:r>
            <w:r>
              <w:rPr>
                <w:spacing w:val="-7"/>
                <w:sz w:val="21"/>
              </w:rPr>
              <w:t xml:space="preserve"> </w:t>
            </w:r>
            <w:r>
              <w:rPr>
                <w:spacing w:val="-2"/>
                <w:sz w:val="21"/>
              </w:rPr>
              <w:t>Virginia</w:t>
            </w:r>
          </w:p>
        </w:tc>
        <w:tc>
          <w:tcPr>
            <w:tcW w:w="2515" w:type="dxa"/>
          </w:tcPr>
          <w:p w:rsidR="003F5784" w14:paraId="52D9E972"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0CDDA20B" w14:textId="77777777">
            <w:pPr>
              <w:pStyle w:val="TableParagraph"/>
              <w:ind w:right="662"/>
              <w:rPr>
                <w:sz w:val="21"/>
              </w:rPr>
            </w:pPr>
            <w:r>
              <w:rPr>
                <w:spacing w:val="-4"/>
                <w:sz w:val="21"/>
              </w:rPr>
              <w:t>mean</w:t>
            </w:r>
          </w:p>
        </w:tc>
        <w:tc>
          <w:tcPr>
            <w:tcW w:w="1794" w:type="dxa"/>
          </w:tcPr>
          <w:p w:rsidR="003F5784" w14:paraId="2D9E3B7E" w14:textId="77777777">
            <w:pPr>
              <w:pStyle w:val="TableParagraph"/>
              <w:ind w:left="99" w:right="101"/>
              <w:jc w:val="center"/>
              <w:rPr>
                <w:sz w:val="21"/>
              </w:rPr>
            </w:pPr>
            <w:r>
              <w:rPr>
                <w:spacing w:val="-2"/>
                <w:sz w:val="21"/>
              </w:rPr>
              <w:t>36.77</w:t>
            </w:r>
          </w:p>
        </w:tc>
        <w:tc>
          <w:tcPr>
            <w:tcW w:w="1596" w:type="dxa"/>
          </w:tcPr>
          <w:p w:rsidR="003F5784" w14:paraId="2A5D0CCB" w14:textId="77777777">
            <w:pPr>
              <w:pStyle w:val="TableParagraph"/>
              <w:ind w:right="465"/>
              <w:rPr>
                <w:sz w:val="21"/>
              </w:rPr>
            </w:pPr>
            <w:r>
              <w:rPr>
                <w:spacing w:val="-2"/>
                <w:sz w:val="21"/>
              </w:rPr>
              <w:t>36.05</w:t>
            </w:r>
          </w:p>
        </w:tc>
        <w:tc>
          <w:tcPr>
            <w:tcW w:w="1766" w:type="dxa"/>
          </w:tcPr>
          <w:p w:rsidR="003F5784" w14:paraId="4EC08E2E" w14:textId="77777777">
            <w:pPr>
              <w:pStyle w:val="TableParagraph"/>
              <w:ind w:right="122"/>
              <w:rPr>
                <w:sz w:val="21"/>
              </w:rPr>
            </w:pPr>
            <w:r>
              <w:rPr>
                <w:sz w:val="21"/>
              </w:rPr>
              <w:t>(35.47,</w:t>
            </w:r>
            <w:r>
              <w:rPr>
                <w:spacing w:val="-7"/>
                <w:sz w:val="21"/>
              </w:rPr>
              <w:t xml:space="preserve"> </w:t>
            </w:r>
            <w:r>
              <w:rPr>
                <w:spacing w:val="-2"/>
                <w:sz w:val="21"/>
              </w:rPr>
              <w:t>36.64)</w:t>
            </w:r>
          </w:p>
        </w:tc>
      </w:tr>
      <w:tr w14:paraId="42B06BC9" w14:textId="77777777">
        <w:tblPrEx>
          <w:tblW w:w="0" w:type="auto"/>
          <w:tblInd w:w="482" w:type="dxa"/>
          <w:tblLayout w:type="fixed"/>
          <w:tblCellMar>
            <w:left w:w="0" w:type="dxa"/>
            <w:right w:w="0" w:type="dxa"/>
          </w:tblCellMar>
          <w:tblLook w:val="01E0"/>
        </w:tblPrEx>
        <w:trPr>
          <w:trHeight w:val="286"/>
        </w:trPr>
        <w:tc>
          <w:tcPr>
            <w:tcW w:w="839" w:type="dxa"/>
          </w:tcPr>
          <w:p w:rsidR="003F5784" w14:paraId="4E0C07F7" w14:textId="77777777">
            <w:pPr>
              <w:pStyle w:val="TableParagraph"/>
              <w:spacing w:before="0"/>
              <w:jc w:val="left"/>
              <w:rPr>
                <w:sz w:val="20"/>
              </w:rPr>
            </w:pPr>
          </w:p>
        </w:tc>
        <w:tc>
          <w:tcPr>
            <w:tcW w:w="3262" w:type="dxa"/>
          </w:tcPr>
          <w:p w:rsidR="003F5784" w14:paraId="3E9A6F04" w14:textId="77777777">
            <w:pPr>
              <w:pStyle w:val="TableParagraph"/>
              <w:ind w:left="614"/>
              <w:jc w:val="left"/>
              <w:rPr>
                <w:sz w:val="21"/>
              </w:rPr>
            </w:pPr>
            <w:r>
              <w:rPr>
                <w:spacing w:val="-2"/>
                <w:sz w:val="21"/>
              </w:rPr>
              <w:t>Baltimore</w:t>
            </w:r>
          </w:p>
        </w:tc>
        <w:tc>
          <w:tcPr>
            <w:tcW w:w="2515" w:type="dxa"/>
          </w:tcPr>
          <w:p w:rsidR="003F5784" w14:paraId="45A1AF97"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66DA041A" w14:textId="77777777">
            <w:pPr>
              <w:pStyle w:val="TableParagraph"/>
              <w:ind w:right="661"/>
              <w:rPr>
                <w:sz w:val="21"/>
              </w:rPr>
            </w:pPr>
            <w:r>
              <w:rPr>
                <w:sz w:val="21"/>
              </w:rPr>
              <w:t>50th</w:t>
            </w:r>
            <w:r>
              <w:rPr>
                <w:spacing w:val="-5"/>
                <w:sz w:val="21"/>
              </w:rPr>
              <w:t xml:space="preserve"> </w:t>
            </w:r>
            <w:r>
              <w:rPr>
                <w:spacing w:val="-2"/>
                <w:sz w:val="21"/>
              </w:rPr>
              <w:t>percentile</w:t>
            </w:r>
          </w:p>
        </w:tc>
        <w:tc>
          <w:tcPr>
            <w:tcW w:w="1794" w:type="dxa"/>
          </w:tcPr>
          <w:p w:rsidR="003F5784" w14:paraId="54DC47E3" w14:textId="77777777">
            <w:pPr>
              <w:pStyle w:val="TableParagraph"/>
              <w:ind w:left="101" w:right="2"/>
              <w:jc w:val="center"/>
              <w:rPr>
                <w:sz w:val="21"/>
              </w:rPr>
            </w:pPr>
            <w:r>
              <w:rPr>
                <w:spacing w:val="-4"/>
                <w:sz w:val="21"/>
              </w:rPr>
              <w:t>7.21</w:t>
            </w:r>
          </w:p>
        </w:tc>
        <w:tc>
          <w:tcPr>
            <w:tcW w:w="1596" w:type="dxa"/>
          </w:tcPr>
          <w:p w:rsidR="003F5784" w14:paraId="21BEC5A1" w14:textId="77777777">
            <w:pPr>
              <w:pStyle w:val="TableParagraph"/>
              <w:ind w:right="465"/>
              <w:rPr>
                <w:sz w:val="21"/>
              </w:rPr>
            </w:pPr>
            <w:r>
              <w:rPr>
                <w:spacing w:val="-4"/>
                <w:sz w:val="21"/>
              </w:rPr>
              <w:t>6.23</w:t>
            </w:r>
          </w:p>
        </w:tc>
        <w:tc>
          <w:tcPr>
            <w:tcW w:w="1766" w:type="dxa"/>
          </w:tcPr>
          <w:p w:rsidR="003F5784" w14:paraId="2EB07620" w14:textId="77777777">
            <w:pPr>
              <w:pStyle w:val="TableParagraph"/>
              <w:ind w:right="122"/>
              <w:rPr>
                <w:sz w:val="21"/>
              </w:rPr>
            </w:pPr>
            <w:r>
              <w:rPr>
                <w:sz w:val="21"/>
              </w:rPr>
              <w:t>(5.00,</w:t>
            </w:r>
            <w:r>
              <w:rPr>
                <w:spacing w:val="-6"/>
                <w:sz w:val="21"/>
              </w:rPr>
              <w:t xml:space="preserve"> </w:t>
            </w:r>
            <w:r>
              <w:rPr>
                <w:spacing w:val="-2"/>
                <w:sz w:val="21"/>
              </w:rPr>
              <w:t>6.56)</w:t>
            </w:r>
          </w:p>
        </w:tc>
      </w:tr>
      <w:tr w14:paraId="58B01205" w14:textId="77777777">
        <w:tblPrEx>
          <w:tblW w:w="0" w:type="auto"/>
          <w:tblInd w:w="482" w:type="dxa"/>
          <w:tblLayout w:type="fixed"/>
          <w:tblCellMar>
            <w:left w:w="0" w:type="dxa"/>
            <w:right w:w="0" w:type="dxa"/>
          </w:tblCellMar>
          <w:tblLook w:val="01E0"/>
        </w:tblPrEx>
        <w:trPr>
          <w:trHeight w:val="286"/>
        </w:trPr>
        <w:tc>
          <w:tcPr>
            <w:tcW w:w="839" w:type="dxa"/>
          </w:tcPr>
          <w:p w:rsidR="003F5784" w14:paraId="0523E6C6" w14:textId="77777777">
            <w:pPr>
              <w:pStyle w:val="TableParagraph"/>
              <w:spacing w:before="0"/>
              <w:jc w:val="left"/>
              <w:rPr>
                <w:sz w:val="20"/>
              </w:rPr>
            </w:pPr>
          </w:p>
        </w:tc>
        <w:tc>
          <w:tcPr>
            <w:tcW w:w="3262" w:type="dxa"/>
          </w:tcPr>
          <w:p w:rsidR="003F5784" w14:paraId="4D58EADB" w14:textId="77777777">
            <w:pPr>
              <w:pStyle w:val="TableParagraph"/>
              <w:ind w:left="614"/>
              <w:jc w:val="left"/>
              <w:rPr>
                <w:sz w:val="21"/>
              </w:rPr>
            </w:pPr>
            <w:r>
              <w:rPr>
                <w:spacing w:val="-2"/>
                <w:sz w:val="21"/>
              </w:rPr>
              <w:t>Charlotte-Mecklenburg</w:t>
            </w:r>
          </w:p>
        </w:tc>
        <w:tc>
          <w:tcPr>
            <w:tcW w:w="2515" w:type="dxa"/>
          </w:tcPr>
          <w:p w:rsidR="003F5784" w14:paraId="6736C4D9"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3B2AAB40" w14:textId="77777777">
            <w:pPr>
              <w:pStyle w:val="TableParagraph"/>
              <w:ind w:right="661"/>
              <w:rPr>
                <w:sz w:val="21"/>
              </w:rPr>
            </w:pPr>
            <w:r>
              <w:rPr>
                <w:sz w:val="21"/>
              </w:rPr>
              <w:t>75th</w:t>
            </w:r>
            <w:r>
              <w:rPr>
                <w:spacing w:val="-5"/>
                <w:sz w:val="21"/>
              </w:rPr>
              <w:t xml:space="preserve"> </w:t>
            </w:r>
            <w:r>
              <w:rPr>
                <w:spacing w:val="-2"/>
                <w:sz w:val="21"/>
              </w:rPr>
              <w:t>percentile</w:t>
            </w:r>
          </w:p>
        </w:tc>
        <w:tc>
          <w:tcPr>
            <w:tcW w:w="1794" w:type="dxa"/>
          </w:tcPr>
          <w:p w:rsidR="003F5784" w14:paraId="6EF877BC" w14:textId="77777777">
            <w:pPr>
              <w:pStyle w:val="TableParagraph"/>
              <w:ind w:left="99" w:right="101"/>
              <w:jc w:val="center"/>
              <w:rPr>
                <w:sz w:val="21"/>
              </w:rPr>
            </w:pPr>
            <w:r>
              <w:rPr>
                <w:spacing w:val="-2"/>
                <w:sz w:val="21"/>
              </w:rPr>
              <w:t>58.86</w:t>
            </w:r>
          </w:p>
        </w:tc>
        <w:tc>
          <w:tcPr>
            <w:tcW w:w="1596" w:type="dxa"/>
          </w:tcPr>
          <w:p w:rsidR="003F5784" w14:paraId="4D165E0F" w14:textId="77777777">
            <w:pPr>
              <w:pStyle w:val="TableParagraph"/>
              <w:ind w:right="465"/>
              <w:rPr>
                <w:sz w:val="21"/>
              </w:rPr>
            </w:pPr>
            <w:r>
              <w:rPr>
                <w:spacing w:val="-2"/>
                <w:sz w:val="21"/>
              </w:rPr>
              <w:t>60.10</w:t>
            </w:r>
          </w:p>
        </w:tc>
        <w:tc>
          <w:tcPr>
            <w:tcW w:w="1766" w:type="dxa"/>
          </w:tcPr>
          <w:p w:rsidR="003F5784" w14:paraId="6E233B8A" w14:textId="77777777">
            <w:pPr>
              <w:pStyle w:val="TableParagraph"/>
              <w:ind w:right="122"/>
              <w:rPr>
                <w:sz w:val="21"/>
              </w:rPr>
            </w:pPr>
            <w:r>
              <w:rPr>
                <w:sz w:val="21"/>
              </w:rPr>
              <w:t>(59.85,</w:t>
            </w:r>
            <w:r>
              <w:rPr>
                <w:spacing w:val="-7"/>
                <w:sz w:val="21"/>
              </w:rPr>
              <w:t xml:space="preserve"> </w:t>
            </w:r>
            <w:r>
              <w:rPr>
                <w:spacing w:val="-2"/>
                <w:sz w:val="21"/>
              </w:rPr>
              <w:t>60.35)</w:t>
            </w:r>
          </w:p>
        </w:tc>
      </w:tr>
      <w:tr w14:paraId="230D6242" w14:textId="77777777">
        <w:tblPrEx>
          <w:tblW w:w="0" w:type="auto"/>
          <w:tblInd w:w="482" w:type="dxa"/>
          <w:tblLayout w:type="fixed"/>
          <w:tblCellMar>
            <w:left w:w="0" w:type="dxa"/>
            <w:right w:w="0" w:type="dxa"/>
          </w:tblCellMar>
          <w:tblLook w:val="01E0"/>
        </w:tblPrEx>
        <w:trPr>
          <w:trHeight w:val="286"/>
        </w:trPr>
        <w:tc>
          <w:tcPr>
            <w:tcW w:w="839" w:type="dxa"/>
          </w:tcPr>
          <w:p w:rsidR="003F5784" w14:paraId="75B03170" w14:textId="77777777">
            <w:pPr>
              <w:pStyle w:val="TableParagraph"/>
              <w:spacing w:before="0"/>
              <w:jc w:val="left"/>
              <w:rPr>
                <w:sz w:val="20"/>
              </w:rPr>
            </w:pPr>
          </w:p>
        </w:tc>
        <w:tc>
          <w:tcPr>
            <w:tcW w:w="3262" w:type="dxa"/>
          </w:tcPr>
          <w:p w:rsidR="003F5784" w14:paraId="03659DE9" w14:textId="77777777">
            <w:pPr>
              <w:pStyle w:val="TableParagraph"/>
              <w:ind w:left="614"/>
              <w:jc w:val="left"/>
              <w:rPr>
                <w:sz w:val="21"/>
              </w:rPr>
            </w:pPr>
            <w:r>
              <w:rPr>
                <w:spacing w:val="-2"/>
                <w:sz w:val="21"/>
              </w:rPr>
              <w:t>Charlotte-Mecklenburg</w:t>
            </w:r>
          </w:p>
        </w:tc>
        <w:tc>
          <w:tcPr>
            <w:tcW w:w="2515" w:type="dxa"/>
          </w:tcPr>
          <w:p w:rsidR="003F5784" w14:paraId="6C67AFCF"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60D092EE" w14:textId="77777777">
            <w:pPr>
              <w:pStyle w:val="TableParagraph"/>
              <w:ind w:right="661"/>
              <w:rPr>
                <w:sz w:val="21"/>
              </w:rPr>
            </w:pPr>
            <w:r>
              <w:rPr>
                <w:sz w:val="21"/>
              </w:rPr>
              <w:t>90th</w:t>
            </w:r>
            <w:r>
              <w:rPr>
                <w:spacing w:val="-5"/>
                <w:sz w:val="21"/>
              </w:rPr>
              <w:t xml:space="preserve"> </w:t>
            </w:r>
            <w:r>
              <w:rPr>
                <w:spacing w:val="-2"/>
                <w:sz w:val="21"/>
              </w:rPr>
              <w:t>percentile</w:t>
            </w:r>
          </w:p>
        </w:tc>
        <w:tc>
          <w:tcPr>
            <w:tcW w:w="1794" w:type="dxa"/>
          </w:tcPr>
          <w:p w:rsidR="003F5784" w14:paraId="3CA1A2AE" w14:textId="77777777">
            <w:pPr>
              <w:pStyle w:val="TableParagraph"/>
              <w:ind w:left="99" w:right="101"/>
              <w:jc w:val="center"/>
              <w:rPr>
                <w:sz w:val="21"/>
              </w:rPr>
            </w:pPr>
            <w:r>
              <w:rPr>
                <w:spacing w:val="-2"/>
                <w:sz w:val="21"/>
              </w:rPr>
              <w:t>75.56</w:t>
            </w:r>
          </w:p>
        </w:tc>
        <w:tc>
          <w:tcPr>
            <w:tcW w:w="1596" w:type="dxa"/>
          </w:tcPr>
          <w:p w:rsidR="003F5784" w14:paraId="1FEACE78" w14:textId="77777777">
            <w:pPr>
              <w:pStyle w:val="TableParagraph"/>
              <w:ind w:right="465"/>
              <w:rPr>
                <w:sz w:val="21"/>
              </w:rPr>
            </w:pPr>
            <w:r>
              <w:rPr>
                <w:spacing w:val="-2"/>
                <w:sz w:val="21"/>
              </w:rPr>
              <w:t>75.48</w:t>
            </w:r>
          </w:p>
        </w:tc>
        <w:tc>
          <w:tcPr>
            <w:tcW w:w="1766" w:type="dxa"/>
          </w:tcPr>
          <w:p w:rsidR="003F5784" w14:paraId="0DFFA298" w14:textId="77777777">
            <w:pPr>
              <w:pStyle w:val="TableParagraph"/>
              <w:ind w:right="122"/>
              <w:rPr>
                <w:sz w:val="21"/>
              </w:rPr>
            </w:pPr>
            <w:r>
              <w:rPr>
                <w:sz w:val="21"/>
              </w:rPr>
              <w:t>(75.43,</w:t>
            </w:r>
            <w:r>
              <w:rPr>
                <w:spacing w:val="-7"/>
                <w:sz w:val="21"/>
              </w:rPr>
              <w:t xml:space="preserve"> </w:t>
            </w:r>
            <w:r>
              <w:rPr>
                <w:spacing w:val="-2"/>
                <w:sz w:val="21"/>
              </w:rPr>
              <w:t>75.53)</w:t>
            </w:r>
          </w:p>
        </w:tc>
      </w:tr>
      <w:tr w14:paraId="7273B1C6" w14:textId="77777777">
        <w:tblPrEx>
          <w:tblW w:w="0" w:type="auto"/>
          <w:tblInd w:w="482" w:type="dxa"/>
          <w:tblLayout w:type="fixed"/>
          <w:tblCellMar>
            <w:left w:w="0" w:type="dxa"/>
            <w:right w:w="0" w:type="dxa"/>
          </w:tblCellMar>
          <w:tblLook w:val="01E0"/>
        </w:tblPrEx>
        <w:trPr>
          <w:trHeight w:val="286"/>
        </w:trPr>
        <w:tc>
          <w:tcPr>
            <w:tcW w:w="839" w:type="dxa"/>
          </w:tcPr>
          <w:p w:rsidR="003F5784" w14:paraId="537F4AED" w14:textId="77777777">
            <w:pPr>
              <w:pStyle w:val="TableParagraph"/>
              <w:spacing w:before="0"/>
              <w:jc w:val="left"/>
              <w:rPr>
                <w:sz w:val="20"/>
              </w:rPr>
            </w:pPr>
          </w:p>
        </w:tc>
        <w:tc>
          <w:tcPr>
            <w:tcW w:w="3262" w:type="dxa"/>
          </w:tcPr>
          <w:p w:rsidR="003F5784" w14:paraId="556A54D7" w14:textId="77777777">
            <w:pPr>
              <w:pStyle w:val="TableParagraph"/>
              <w:ind w:left="614"/>
              <w:jc w:val="left"/>
              <w:rPr>
                <w:sz w:val="21"/>
              </w:rPr>
            </w:pPr>
            <w:r>
              <w:rPr>
                <w:spacing w:val="-2"/>
                <w:sz w:val="21"/>
              </w:rPr>
              <w:t>Chicago</w:t>
            </w:r>
          </w:p>
        </w:tc>
        <w:tc>
          <w:tcPr>
            <w:tcW w:w="2515" w:type="dxa"/>
          </w:tcPr>
          <w:p w:rsidR="003F5784" w14:paraId="6B45A7C6"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6A4257CE" w14:textId="77777777">
            <w:pPr>
              <w:pStyle w:val="TableParagraph"/>
              <w:ind w:right="661"/>
              <w:rPr>
                <w:sz w:val="21"/>
              </w:rPr>
            </w:pPr>
            <w:r>
              <w:rPr>
                <w:sz w:val="21"/>
              </w:rPr>
              <w:t>75th</w:t>
            </w:r>
            <w:r>
              <w:rPr>
                <w:spacing w:val="-5"/>
                <w:sz w:val="21"/>
              </w:rPr>
              <w:t xml:space="preserve"> </w:t>
            </w:r>
            <w:r>
              <w:rPr>
                <w:spacing w:val="-2"/>
                <w:sz w:val="21"/>
              </w:rPr>
              <w:t>percentile</w:t>
            </w:r>
          </w:p>
        </w:tc>
        <w:tc>
          <w:tcPr>
            <w:tcW w:w="1794" w:type="dxa"/>
          </w:tcPr>
          <w:p w:rsidR="003F5784" w14:paraId="0E2F63DD" w14:textId="77777777">
            <w:pPr>
              <w:pStyle w:val="TableParagraph"/>
              <w:ind w:left="99" w:right="101"/>
              <w:jc w:val="center"/>
              <w:rPr>
                <w:sz w:val="21"/>
              </w:rPr>
            </w:pPr>
            <w:r>
              <w:rPr>
                <w:spacing w:val="-2"/>
                <w:sz w:val="21"/>
              </w:rPr>
              <w:t>36.31</w:t>
            </w:r>
          </w:p>
        </w:tc>
        <w:tc>
          <w:tcPr>
            <w:tcW w:w="1596" w:type="dxa"/>
          </w:tcPr>
          <w:p w:rsidR="003F5784" w14:paraId="4B16C996" w14:textId="77777777">
            <w:pPr>
              <w:pStyle w:val="TableParagraph"/>
              <w:ind w:right="465"/>
              <w:rPr>
                <w:sz w:val="21"/>
              </w:rPr>
            </w:pPr>
            <w:r>
              <w:rPr>
                <w:spacing w:val="-2"/>
                <w:sz w:val="21"/>
              </w:rPr>
              <w:t>33.54</w:t>
            </w:r>
          </w:p>
        </w:tc>
        <w:tc>
          <w:tcPr>
            <w:tcW w:w="1766" w:type="dxa"/>
          </w:tcPr>
          <w:p w:rsidR="003F5784" w14:paraId="44405117" w14:textId="77777777">
            <w:pPr>
              <w:pStyle w:val="TableParagraph"/>
              <w:ind w:right="122"/>
              <w:rPr>
                <w:sz w:val="21"/>
              </w:rPr>
            </w:pPr>
            <w:r>
              <w:rPr>
                <w:sz w:val="21"/>
              </w:rPr>
              <w:t>(32.32,</w:t>
            </w:r>
            <w:r>
              <w:rPr>
                <w:spacing w:val="-7"/>
                <w:sz w:val="21"/>
              </w:rPr>
              <w:t xml:space="preserve"> </w:t>
            </w:r>
            <w:r>
              <w:rPr>
                <w:spacing w:val="-2"/>
                <w:sz w:val="21"/>
              </w:rPr>
              <w:t>36.16)</w:t>
            </w:r>
          </w:p>
        </w:tc>
      </w:tr>
      <w:tr w14:paraId="0C9E4F0B" w14:textId="77777777">
        <w:tblPrEx>
          <w:tblW w:w="0" w:type="auto"/>
          <w:tblInd w:w="482" w:type="dxa"/>
          <w:tblLayout w:type="fixed"/>
          <w:tblCellMar>
            <w:left w:w="0" w:type="dxa"/>
            <w:right w:w="0" w:type="dxa"/>
          </w:tblCellMar>
          <w:tblLook w:val="01E0"/>
        </w:tblPrEx>
        <w:trPr>
          <w:trHeight w:val="286"/>
        </w:trPr>
        <w:tc>
          <w:tcPr>
            <w:tcW w:w="839" w:type="dxa"/>
          </w:tcPr>
          <w:p w:rsidR="003F5784" w14:paraId="5B77F1A3" w14:textId="77777777">
            <w:pPr>
              <w:pStyle w:val="TableParagraph"/>
              <w:spacing w:before="0"/>
              <w:jc w:val="left"/>
              <w:rPr>
                <w:sz w:val="20"/>
              </w:rPr>
            </w:pPr>
          </w:p>
        </w:tc>
        <w:tc>
          <w:tcPr>
            <w:tcW w:w="3262" w:type="dxa"/>
          </w:tcPr>
          <w:p w:rsidR="003F5784" w14:paraId="237DEC08" w14:textId="77777777">
            <w:pPr>
              <w:pStyle w:val="TableParagraph"/>
              <w:ind w:left="614"/>
              <w:jc w:val="left"/>
              <w:rPr>
                <w:sz w:val="21"/>
              </w:rPr>
            </w:pPr>
            <w:r>
              <w:rPr>
                <w:sz w:val="21"/>
              </w:rPr>
              <w:t>Duval</w:t>
            </w:r>
            <w:r>
              <w:rPr>
                <w:spacing w:val="-7"/>
                <w:sz w:val="21"/>
              </w:rPr>
              <w:t xml:space="preserve"> </w:t>
            </w:r>
            <w:r>
              <w:rPr>
                <w:sz w:val="21"/>
              </w:rPr>
              <w:t>County</w:t>
            </w:r>
            <w:r>
              <w:rPr>
                <w:spacing w:val="-7"/>
                <w:sz w:val="21"/>
              </w:rPr>
              <w:t xml:space="preserve"> </w:t>
            </w:r>
            <w:r>
              <w:rPr>
                <w:spacing w:val="-4"/>
                <w:sz w:val="21"/>
              </w:rPr>
              <w:t>(FL)</w:t>
            </w:r>
          </w:p>
        </w:tc>
        <w:tc>
          <w:tcPr>
            <w:tcW w:w="2515" w:type="dxa"/>
          </w:tcPr>
          <w:p w:rsidR="003F5784" w14:paraId="30D4C560"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6DA4BEE0" w14:textId="77777777">
            <w:pPr>
              <w:pStyle w:val="TableParagraph"/>
              <w:ind w:right="661"/>
              <w:rPr>
                <w:sz w:val="21"/>
              </w:rPr>
            </w:pPr>
            <w:r>
              <w:rPr>
                <w:sz w:val="21"/>
              </w:rPr>
              <w:t>75th</w:t>
            </w:r>
            <w:r>
              <w:rPr>
                <w:spacing w:val="-5"/>
                <w:sz w:val="21"/>
              </w:rPr>
              <w:t xml:space="preserve"> </w:t>
            </w:r>
            <w:r>
              <w:rPr>
                <w:spacing w:val="-2"/>
                <w:sz w:val="21"/>
              </w:rPr>
              <w:t>percentile</w:t>
            </w:r>
          </w:p>
        </w:tc>
        <w:tc>
          <w:tcPr>
            <w:tcW w:w="1794" w:type="dxa"/>
          </w:tcPr>
          <w:p w:rsidR="003F5784" w14:paraId="643B90C2" w14:textId="77777777">
            <w:pPr>
              <w:pStyle w:val="TableParagraph"/>
              <w:ind w:left="99" w:right="101"/>
              <w:jc w:val="center"/>
              <w:rPr>
                <w:sz w:val="21"/>
              </w:rPr>
            </w:pPr>
            <w:r>
              <w:rPr>
                <w:spacing w:val="-2"/>
                <w:sz w:val="21"/>
              </w:rPr>
              <w:t>71.28</w:t>
            </w:r>
          </w:p>
        </w:tc>
        <w:tc>
          <w:tcPr>
            <w:tcW w:w="1596" w:type="dxa"/>
          </w:tcPr>
          <w:p w:rsidR="003F5784" w14:paraId="5C2D4634" w14:textId="77777777">
            <w:pPr>
              <w:pStyle w:val="TableParagraph"/>
              <w:ind w:right="465"/>
              <w:rPr>
                <w:sz w:val="21"/>
              </w:rPr>
            </w:pPr>
            <w:r>
              <w:rPr>
                <w:spacing w:val="-2"/>
                <w:sz w:val="21"/>
              </w:rPr>
              <w:t>68.33</w:t>
            </w:r>
          </w:p>
        </w:tc>
        <w:tc>
          <w:tcPr>
            <w:tcW w:w="1766" w:type="dxa"/>
          </w:tcPr>
          <w:p w:rsidR="003F5784" w14:paraId="4FEB3007" w14:textId="77777777">
            <w:pPr>
              <w:pStyle w:val="TableParagraph"/>
              <w:ind w:right="122"/>
              <w:rPr>
                <w:sz w:val="21"/>
              </w:rPr>
            </w:pPr>
            <w:r>
              <w:rPr>
                <w:sz w:val="21"/>
              </w:rPr>
              <w:t>(67.75,</w:t>
            </w:r>
            <w:r>
              <w:rPr>
                <w:spacing w:val="-7"/>
                <w:sz w:val="21"/>
              </w:rPr>
              <w:t xml:space="preserve"> </w:t>
            </w:r>
            <w:r>
              <w:rPr>
                <w:spacing w:val="-2"/>
                <w:sz w:val="21"/>
              </w:rPr>
              <w:t>69.04)</w:t>
            </w:r>
          </w:p>
        </w:tc>
      </w:tr>
      <w:tr w14:paraId="0903CFE0" w14:textId="77777777">
        <w:tblPrEx>
          <w:tblW w:w="0" w:type="auto"/>
          <w:tblInd w:w="482" w:type="dxa"/>
          <w:tblLayout w:type="fixed"/>
          <w:tblCellMar>
            <w:left w:w="0" w:type="dxa"/>
            <w:right w:w="0" w:type="dxa"/>
          </w:tblCellMar>
          <w:tblLook w:val="01E0"/>
        </w:tblPrEx>
        <w:trPr>
          <w:trHeight w:val="286"/>
        </w:trPr>
        <w:tc>
          <w:tcPr>
            <w:tcW w:w="839" w:type="dxa"/>
          </w:tcPr>
          <w:p w:rsidR="003F5784" w14:paraId="304B0BF3" w14:textId="77777777">
            <w:pPr>
              <w:pStyle w:val="TableParagraph"/>
              <w:spacing w:before="0"/>
              <w:jc w:val="left"/>
              <w:rPr>
                <w:sz w:val="20"/>
              </w:rPr>
            </w:pPr>
          </w:p>
        </w:tc>
        <w:tc>
          <w:tcPr>
            <w:tcW w:w="3262" w:type="dxa"/>
          </w:tcPr>
          <w:p w:rsidR="003F5784" w14:paraId="4A163089" w14:textId="77777777">
            <w:pPr>
              <w:pStyle w:val="TableParagraph"/>
              <w:ind w:left="614"/>
              <w:jc w:val="left"/>
              <w:rPr>
                <w:sz w:val="21"/>
              </w:rPr>
            </w:pPr>
            <w:r>
              <w:rPr>
                <w:spacing w:val="-2"/>
                <w:sz w:val="21"/>
              </w:rPr>
              <w:t>Houston</w:t>
            </w:r>
          </w:p>
        </w:tc>
        <w:tc>
          <w:tcPr>
            <w:tcW w:w="2515" w:type="dxa"/>
          </w:tcPr>
          <w:p w:rsidR="003F5784" w14:paraId="5050C7A4"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4607D08B" w14:textId="77777777">
            <w:pPr>
              <w:pStyle w:val="TableParagraph"/>
              <w:ind w:right="661"/>
              <w:rPr>
                <w:sz w:val="21"/>
              </w:rPr>
            </w:pPr>
            <w:r>
              <w:rPr>
                <w:sz w:val="21"/>
              </w:rPr>
              <w:t>50th</w:t>
            </w:r>
            <w:r>
              <w:rPr>
                <w:spacing w:val="-5"/>
                <w:sz w:val="21"/>
              </w:rPr>
              <w:t xml:space="preserve"> </w:t>
            </w:r>
            <w:r>
              <w:rPr>
                <w:spacing w:val="-2"/>
                <w:sz w:val="21"/>
              </w:rPr>
              <w:t>percentile</w:t>
            </w:r>
          </w:p>
        </w:tc>
        <w:tc>
          <w:tcPr>
            <w:tcW w:w="1794" w:type="dxa"/>
          </w:tcPr>
          <w:p w:rsidR="003F5784" w14:paraId="34D848E7" w14:textId="77777777">
            <w:pPr>
              <w:pStyle w:val="TableParagraph"/>
              <w:ind w:left="99" w:right="101"/>
              <w:jc w:val="center"/>
              <w:rPr>
                <w:sz w:val="21"/>
              </w:rPr>
            </w:pPr>
            <w:r>
              <w:rPr>
                <w:spacing w:val="-2"/>
                <w:sz w:val="21"/>
              </w:rPr>
              <w:t>57.90</w:t>
            </w:r>
          </w:p>
        </w:tc>
        <w:tc>
          <w:tcPr>
            <w:tcW w:w="1596" w:type="dxa"/>
          </w:tcPr>
          <w:p w:rsidR="003F5784" w14:paraId="687188AD" w14:textId="77777777">
            <w:pPr>
              <w:pStyle w:val="TableParagraph"/>
              <w:ind w:right="465"/>
              <w:rPr>
                <w:sz w:val="21"/>
              </w:rPr>
            </w:pPr>
            <w:r>
              <w:rPr>
                <w:spacing w:val="-2"/>
                <w:sz w:val="21"/>
              </w:rPr>
              <w:t>55.74</w:t>
            </w:r>
          </w:p>
        </w:tc>
        <w:tc>
          <w:tcPr>
            <w:tcW w:w="1766" w:type="dxa"/>
          </w:tcPr>
          <w:p w:rsidR="003F5784" w14:paraId="66954EFB" w14:textId="77777777">
            <w:pPr>
              <w:pStyle w:val="TableParagraph"/>
              <w:ind w:right="122"/>
              <w:rPr>
                <w:sz w:val="21"/>
              </w:rPr>
            </w:pPr>
            <w:r>
              <w:rPr>
                <w:sz w:val="21"/>
              </w:rPr>
              <w:t>(52.46,</w:t>
            </w:r>
            <w:r>
              <w:rPr>
                <w:spacing w:val="-7"/>
                <w:sz w:val="21"/>
              </w:rPr>
              <w:t xml:space="preserve"> </w:t>
            </w:r>
            <w:r>
              <w:rPr>
                <w:spacing w:val="-2"/>
                <w:sz w:val="21"/>
              </w:rPr>
              <w:t>57.8)</w:t>
            </w:r>
          </w:p>
        </w:tc>
      </w:tr>
      <w:tr w14:paraId="35B2246C" w14:textId="77777777">
        <w:tblPrEx>
          <w:tblW w:w="0" w:type="auto"/>
          <w:tblInd w:w="482" w:type="dxa"/>
          <w:tblLayout w:type="fixed"/>
          <w:tblCellMar>
            <w:left w:w="0" w:type="dxa"/>
            <w:right w:w="0" w:type="dxa"/>
          </w:tblCellMar>
          <w:tblLook w:val="01E0"/>
        </w:tblPrEx>
        <w:trPr>
          <w:trHeight w:val="289"/>
        </w:trPr>
        <w:tc>
          <w:tcPr>
            <w:tcW w:w="839" w:type="dxa"/>
            <w:tcBorders>
              <w:bottom w:val="single" w:sz="18" w:space="0" w:color="800000"/>
            </w:tcBorders>
          </w:tcPr>
          <w:p w:rsidR="003F5784" w14:paraId="724A6BEF" w14:textId="77777777">
            <w:pPr>
              <w:pStyle w:val="TableParagraph"/>
              <w:spacing w:before="0"/>
              <w:jc w:val="left"/>
              <w:rPr>
                <w:sz w:val="20"/>
              </w:rPr>
            </w:pPr>
          </w:p>
        </w:tc>
        <w:tc>
          <w:tcPr>
            <w:tcW w:w="3262" w:type="dxa"/>
            <w:tcBorders>
              <w:bottom w:val="single" w:sz="18" w:space="0" w:color="800000"/>
            </w:tcBorders>
          </w:tcPr>
          <w:p w:rsidR="003F5784" w14:paraId="2C1BAC6E" w14:textId="77777777">
            <w:pPr>
              <w:pStyle w:val="TableParagraph"/>
              <w:ind w:left="614"/>
              <w:jc w:val="left"/>
              <w:rPr>
                <w:sz w:val="21"/>
              </w:rPr>
            </w:pPr>
            <w:r>
              <w:rPr>
                <w:spacing w:val="-2"/>
                <w:sz w:val="21"/>
              </w:rPr>
              <w:t>Houston</w:t>
            </w:r>
          </w:p>
        </w:tc>
        <w:tc>
          <w:tcPr>
            <w:tcW w:w="2515" w:type="dxa"/>
            <w:tcBorders>
              <w:bottom w:val="single" w:sz="18" w:space="0" w:color="800000"/>
            </w:tcBorders>
          </w:tcPr>
          <w:p w:rsidR="003F5784" w14:paraId="3CB2D47F"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Borders>
              <w:bottom w:val="single" w:sz="18" w:space="0" w:color="800000"/>
            </w:tcBorders>
          </w:tcPr>
          <w:p w:rsidR="003F5784" w14:paraId="338EF27D" w14:textId="77777777">
            <w:pPr>
              <w:pStyle w:val="TableParagraph"/>
              <w:ind w:right="661"/>
              <w:rPr>
                <w:sz w:val="21"/>
              </w:rPr>
            </w:pPr>
            <w:r>
              <w:rPr>
                <w:sz w:val="21"/>
              </w:rPr>
              <w:t>75th</w:t>
            </w:r>
            <w:r>
              <w:rPr>
                <w:spacing w:val="-5"/>
                <w:sz w:val="21"/>
              </w:rPr>
              <w:t xml:space="preserve"> </w:t>
            </w:r>
            <w:r>
              <w:rPr>
                <w:spacing w:val="-2"/>
                <w:sz w:val="21"/>
              </w:rPr>
              <w:t>percentile</w:t>
            </w:r>
          </w:p>
        </w:tc>
        <w:tc>
          <w:tcPr>
            <w:tcW w:w="1794" w:type="dxa"/>
            <w:tcBorders>
              <w:bottom w:val="single" w:sz="18" w:space="0" w:color="800000"/>
            </w:tcBorders>
          </w:tcPr>
          <w:p w:rsidR="003F5784" w14:paraId="0DF983E6" w14:textId="77777777">
            <w:pPr>
              <w:pStyle w:val="TableParagraph"/>
              <w:ind w:left="99" w:right="101"/>
              <w:jc w:val="center"/>
              <w:rPr>
                <w:sz w:val="21"/>
              </w:rPr>
            </w:pPr>
            <w:r>
              <w:rPr>
                <w:spacing w:val="-2"/>
                <w:sz w:val="21"/>
              </w:rPr>
              <w:t>67.56</w:t>
            </w:r>
          </w:p>
        </w:tc>
        <w:tc>
          <w:tcPr>
            <w:tcW w:w="1596" w:type="dxa"/>
            <w:tcBorders>
              <w:bottom w:val="single" w:sz="18" w:space="0" w:color="800000"/>
            </w:tcBorders>
          </w:tcPr>
          <w:p w:rsidR="003F5784" w14:paraId="3845C3E8" w14:textId="77777777">
            <w:pPr>
              <w:pStyle w:val="TableParagraph"/>
              <w:ind w:right="465"/>
              <w:rPr>
                <w:sz w:val="21"/>
              </w:rPr>
            </w:pPr>
            <w:r>
              <w:rPr>
                <w:spacing w:val="-2"/>
                <w:sz w:val="21"/>
              </w:rPr>
              <w:t>65.81</w:t>
            </w:r>
          </w:p>
        </w:tc>
        <w:tc>
          <w:tcPr>
            <w:tcW w:w="1766" w:type="dxa"/>
            <w:tcBorders>
              <w:bottom w:val="single" w:sz="18" w:space="0" w:color="800000"/>
            </w:tcBorders>
          </w:tcPr>
          <w:p w:rsidR="003F5784" w14:paraId="67795B58" w14:textId="77777777">
            <w:pPr>
              <w:pStyle w:val="TableParagraph"/>
              <w:ind w:right="122"/>
              <w:rPr>
                <w:sz w:val="21"/>
              </w:rPr>
            </w:pPr>
            <w:r>
              <w:rPr>
                <w:sz w:val="21"/>
              </w:rPr>
              <w:t>(63.98,</w:t>
            </w:r>
            <w:r>
              <w:rPr>
                <w:spacing w:val="-7"/>
                <w:sz w:val="21"/>
              </w:rPr>
              <w:t xml:space="preserve"> </w:t>
            </w:r>
            <w:r>
              <w:rPr>
                <w:spacing w:val="-2"/>
                <w:sz w:val="21"/>
              </w:rPr>
              <w:t>67.05)</w:t>
            </w:r>
          </w:p>
        </w:tc>
      </w:tr>
    </w:tbl>
    <w:p w:rsidR="003F5784" w14:paraId="0E2C1AD4" w14:textId="77777777">
      <w:pPr>
        <w:spacing w:before="40"/>
        <w:ind w:left="595" w:right="318"/>
        <w:rPr>
          <w:sz w:val="18"/>
        </w:rPr>
      </w:pPr>
      <w:r>
        <w:rPr>
          <w:sz w:val="18"/>
        </w:rPr>
        <w:t>SOURCE: U.S. Department of Education, Institute of Education Sciences, National Center for Education Statistics, National</w:t>
      </w:r>
      <w:r>
        <w:rPr>
          <w:spacing w:val="-5"/>
          <w:sz w:val="18"/>
        </w:rPr>
        <w:t xml:space="preserve"> </w:t>
      </w:r>
      <w:r>
        <w:rPr>
          <w:sz w:val="18"/>
        </w:rPr>
        <w:t>Assessment of Educational Progress (NAEP), 2022 State Mathematics and Reading Assessments.</w:t>
      </w:r>
    </w:p>
    <w:p w:rsidR="003F5784" w14:paraId="4D0DF774" w14:textId="77777777">
      <w:pPr>
        <w:rPr>
          <w:sz w:val="18"/>
        </w:rPr>
        <w:sectPr>
          <w:type w:val="continuous"/>
          <w:pgSz w:w="15840" w:h="12240" w:orient="landscape"/>
          <w:pgMar w:top="480" w:right="440" w:bottom="460" w:left="460" w:header="284" w:footer="275" w:gutter="0"/>
          <w:cols w:space="720"/>
        </w:sectPr>
      </w:pPr>
    </w:p>
    <w:p w:rsidR="003F5784" w14:paraId="2BDAFF13" w14:textId="77777777">
      <w:pPr>
        <w:pStyle w:val="BodyText"/>
        <w:spacing w:before="91"/>
      </w:pPr>
    </w:p>
    <w:p w:rsidR="003F5784" w14:paraId="0B783EE4" w14:textId="77777777">
      <w:pPr>
        <w:pStyle w:val="BodyText"/>
        <w:tabs>
          <w:tab w:val="left" w:pos="1928"/>
        </w:tabs>
        <w:ind w:left="595"/>
      </w:pPr>
      <w:r>
        <w:rPr>
          <w:spacing w:val="-2"/>
        </w:rPr>
        <w:t>Grade</w:t>
      </w:r>
      <w:r>
        <w:tab/>
      </w:r>
      <w:r>
        <w:rPr>
          <w:spacing w:val="-2"/>
        </w:rPr>
        <w:t>Jurisdiction</w:t>
      </w:r>
    </w:p>
    <w:p w:rsidR="003F5784" w14:paraId="1F117324" w14:textId="77777777">
      <w:pPr>
        <w:pStyle w:val="BodyText"/>
        <w:spacing w:before="98" w:line="238" w:lineRule="exact"/>
        <w:ind w:left="595"/>
      </w:pPr>
      <w:r>
        <w:br w:type="column"/>
        <w:t>Achievement</w:t>
      </w:r>
      <w:r>
        <w:rPr>
          <w:spacing w:val="-9"/>
        </w:rPr>
        <w:t xml:space="preserve"> </w:t>
      </w:r>
      <w:r>
        <w:t>data</w:t>
      </w:r>
      <w:r>
        <w:rPr>
          <w:spacing w:val="-8"/>
        </w:rPr>
        <w:t xml:space="preserve"> </w:t>
      </w:r>
      <w:r>
        <w:rPr>
          <w:spacing w:val="-10"/>
        </w:rPr>
        <w:t>/</w:t>
      </w:r>
    </w:p>
    <w:p w:rsidR="003F5784" w14:paraId="7B7AFC66" w14:textId="77777777">
      <w:pPr>
        <w:pStyle w:val="BodyText"/>
        <w:tabs>
          <w:tab w:val="left" w:pos="3349"/>
          <w:tab w:val="left" w:pos="5339"/>
          <w:tab w:val="left" w:pos="7040"/>
          <w:tab w:val="left" w:pos="8125"/>
        </w:tabs>
        <w:spacing w:line="238" w:lineRule="exact"/>
        <w:ind w:left="936"/>
      </w:pPr>
      <w:r>
        <w:t>median</w:t>
      </w:r>
      <w:r>
        <w:rPr>
          <w:spacing w:val="-8"/>
        </w:rPr>
        <w:t xml:space="preserve"> </w:t>
      </w:r>
      <w:r>
        <w:rPr>
          <w:spacing w:val="-2"/>
        </w:rPr>
        <w:t>income</w:t>
      </w:r>
      <w:r>
        <w:tab/>
      </w:r>
      <w:r>
        <w:rPr>
          <w:spacing w:val="-2"/>
        </w:rPr>
        <w:t>Estimate</w:t>
      </w:r>
      <w:r>
        <w:tab/>
      </w:r>
      <w:r>
        <w:rPr>
          <w:spacing w:val="-2"/>
        </w:rPr>
        <w:t>Frame</w:t>
      </w:r>
      <w:r>
        <w:tab/>
      </w:r>
      <w:r>
        <w:rPr>
          <w:spacing w:val="-2"/>
        </w:rPr>
        <w:t>Sample</w:t>
      </w:r>
      <w:r>
        <w:tab/>
        <w:t>Confidence</w:t>
      </w:r>
      <w:r>
        <w:rPr>
          <w:spacing w:val="-11"/>
        </w:rPr>
        <w:t xml:space="preserve"> </w:t>
      </w:r>
      <w:r>
        <w:rPr>
          <w:spacing w:val="-2"/>
        </w:rPr>
        <w:t>interval</w:t>
      </w:r>
    </w:p>
    <w:p w:rsidR="003F5784" w14:paraId="3831CA78" w14:textId="77777777">
      <w:pPr>
        <w:spacing w:line="238" w:lineRule="exact"/>
        <w:sectPr>
          <w:pgSz w:w="15840" w:h="12240" w:orient="landscape"/>
          <w:pgMar w:top="480" w:right="440" w:bottom="460" w:left="460" w:header="284" w:footer="275" w:gutter="0"/>
          <w:cols w:num="2" w:space="720" w:equalWidth="0">
            <w:col w:w="2942" w:space="1622"/>
            <w:col w:w="10376"/>
          </w:cols>
        </w:sectPr>
      </w:pPr>
    </w:p>
    <w:tbl>
      <w:tblPr>
        <w:tblW w:w="0" w:type="auto"/>
        <w:tblInd w:w="482" w:type="dxa"/>
        <w:tblLayout w:type="fixed"/>
        <w:tblCellMar>
          <w:left w:w="0" w:type="dxa"/>
          <w:right w:w="0" w:type="dxa"/>
        </w:tblCellMar>
        <w:tblLook w:val="01E0"/>
      </w:tblPr>
      <w:tblGrid>
        <w:gridCol w:w="3981"/>
        <w:gridCol w:w="2633"/>
        <w:gridCol w:w="2111"/>
        <w:gridCol w:w="1792"/>
        <w:gridCol w:w="1490"/>
        <w:gridCol w:w="1973"/>
      </w:tblGrid>
      <w:tr w14:paraId="4C198532" w14:textId="77777777">
        <w:tblPrEx>
          <w:tblW w:w="0" w:type="auto"/>
          <w:tblInd w:w="482" w:type="dxa"/>
          <w:tblLayout w:type="fixed"/>
          <w:tblCellMar>
            <w:left w:w="0" w:type="dxa"/>
            <w:right w:w="0" w:type="dxa"/>
          </w:tblCellMar>
          <w:tblLook w:val="01E0"/>
        </w:tblPrEx>
        <w:trPr>
          <w:trHeight w:val="278"/>
        </w:trPr>
        <w:tc>
          <w:tcPr>
            <w:tcW w:w="3981" w:type="dxa"/>
            <w:tcBorders>
              <w:top w:val="single" w:sz="18" w:space="0" w:color="800000"/>
            </w:tcBorders>
          </w:tcPr>
          <w:p w:rsidR="003F5784" w14:paraId="69312958" w14:textId="77777777">
            <w:pPr>
              <w:pStyle w:val="TableParagraph"/>
              <w:spacing w:before="9"/>
              <w:ind w:left="1453"/>
              <w:jc w:val="left"/>
              <w:rPr>
                <w:sz w:val="21"/>
              </w:rPr>
            </w:pPr>
            <w:r>
              <w:rPr>
                <w:spacing w:val="-2"/>
                <w:sz w:val="21"/>
              </w:rPr>
              <w:t>Houston</w:t>
            </w:r>
          </w:p>
        </w:tc>
        <w:tc>
          <w:tcPr>
            <w:tcW w:w="2633" w:type="dxa"/>
            <w:tcBorders>
              <w:top w:val="single" w:sz="18" w:space="0" w:color="800000"/>
            </w:tcBorders>
          </w:tcPr>
          <w:p w:rsidR="003F5784" w14:paraId="1E0C0750" w14:textId="77777777">
            <w:pPr>
              <w:pStyle w:val="TableParagraph"/>
              <w:spacing w:before="9"/>
              <w:ind w:right="306"/>
              <w:rPr>
                <w:sz w:val="21"/>
              </w:rPr>
            </w:pPr>
            <w:r>
              <w:rPr>
                <w:sz w:val="21"/>
              </w:rPr>
              <w:t>Achievement</w:t>
            </w:r>
            <w:r>
              <w:rPr>
                <w:spacing w:val="-13"/>
                <w:sz w:val="21"/>
              </w:rPr>
              <w:t xml:space="preserve"> </w:t>
            </w:r>
            <w:r>
              <w:rPr>
                <w:spacing w:val="-4"/>
                <w:sz w:val="21"/>
              </w:rPr>
              <w:t>data</w:t>
            </w:r>
          </w:p>
        </w:tc>
        <w:tc>
          <w:tcPr>
            <w:tcW w:w="2111" w:type="dxa"/>
            <w:tcBorders>
              <w:top w:val="single" w:sz="18" w:space="0" w:color="800000"/>
            </w:tcBorders>
          </w:tcPr>
          <w:p w:rsidR="003F5784" w14:paraId="4E814295" w14:textId="77777777">
            <w:pPr>
              <w:pStyle w:val="TableParagraph"/>
              <w:spacing w:before="9"/>
              <w:ind w:right="554"/>
              <w:rPr>
                <w:sz w:val="21"/>
              </w:rPr>
            </w:pPr>
            <w:r>
              <w:rPr>
                <w:spacing w:val="-4"/>
                <w:sz w:val="21"/>
              </w:rPr>
              <w:t>mean</w:t>
            </w:r>
          </w:p>
        </w:tc>
        <w:tc>
          <w:tcPr>
            <w:tcW w:w="1792" w:type="dxa"/>
            <w:tcBorders>
              <w:top w:val="single" w:sz="18" w:space="0" w:color="800000"/>
            </w:tcBorders>
          </w:tcPr>
          <w:p w:rsidR="003F5784" w14:paraId="4FE422A6" w14:textId="77777777">
            <w:pPr>
              <w:pStyle w:val="TableParagraph"/>
              <w:spacing w:before="9"/>
              <w:ind w:right="552"/>
              <w:rPr>
                <w:sz w:val="21"/>
              </w:rPr>
            </w:pPr>
            <w:r>
              <w:rPr>
                <w:spacing w:val="-2"/>
                <w:sz w:val="21"/>
              </w:rPr>
              <w:t>55.23</w:t>
            </w:r>
          </w:p>
        </w:tc>
        <w:tc>
          <w:tcPr>
            <w:tcW w:w="1490" w:type="dxa"/>
            <w:tcBorders>
              <w:top w:val="single" w:sz="18" w:space="0" w:color="800000"/>
            </w:tcBorders>
          </w:tcPr>
          <w:p w:rsidR="003F5784" w14:paraId="7E120FF2" w14:textId="77777777">
            <w:pPr>
              <w:pStyle w:val="TableParagraph"/>
              <w:spacing w:before="9"/>
              <w:ind w:right="249"/>
              <w:rPr>
                <w:sz w:val="21"/>
              </w:rPr>
            </w:pPr>
            <w:r>
              <w:rPr>
                <w:spacing w:val="-2"/>
                <w:sz w:val="21"/>
              </w:rPr>
              <w:t>53.56</w:t>
            </w:r>
          </w:p>
        </w:tc>
        <w:tc>
          <w:tcPr>
            <w:tcW w:w="1973" w:type="dxa"/>
            <w:tcBorders>
              <w:top w:val="single" w:sz="18" w:space="0" w:color="800000"/>
            </w:tcBorders>
          </w:tcPr>
          <w:p w:rsidR="003F5784" w14:paraId="15FAA85C" w14:textId="77777777">
            <w:pPr>
              <w:pStyle w:val="TableParagraph"/>
              <w:spacing w:before="9"/>
              <w:ind w:right="113"/>
              <w:rPr>
                <w:sz w:val="21"/>
              </w:rPr>
            </w:pPr>
            <w:r>
              <w:rPr>
                <w:sz w:val="21"/>
              </w:rPr>
              <w:t>(52.06,</w:t>
            </w:r>
            <w:r>
              <w:rPr>
                <w:spacing w:val="-7"/>
                <w:sz w:val="21"/>
              </w:rPr>
              <w:t xml:space="preserve"> </w:t>
            </w:r>
            <w:r>
              <w:rPr>
                <w:spacing w:val="-2"/>
                <w:sz w:val="21"/>
              </w:rPr>
              <w:t>55.06)</w:t>
            </w:r>
          </w:p>
        </w:tc>
      </w:tr>
      <w:tr w14:paraId="6D49C1F7" w14:textId="77777777">
        <w:tblPrEx>
          <w:tblW w:w="0" w:type="auto"/>
          <w:tblInd w:w="482" w:type="dxa"/>
          <w:tblLayout w:type="fixed"/>
          <w:tblCellMar>
            <w:left w:w="0" w:type="dxa"/>
            <w:right w:w="0" w:type="dxa"/>
          </w:tblCellMar>
          <w:tblLook w:val="01E0"/>
        </w:tblPrEx>
        <w:trPr>
          <w:trHeight w:val="286"/>
        </w:trPr>
        <w:tc>
          <w:tcPr>
            <w:tcW w:w="3981" w:type="dxa"/>
          </w:tcPr>
          <w:p w:rsidR="003F5784" w14:paraId="0A17BCB6" w14:textId="77777777">
            <w:pPr>
              <w:pStyle w:val="TableParagraph"/>
              <w:ind w:left="1453"/>
              <w:jc w:val="left"/>
              <w:rPr>
                <w:sz w:val="21"/>
              </w:rPr>
            </w:pPr>
            <w:r>
              <w:rPr>
                <w:spacing w:val="-2"/>
                <w:sz w:val="21"/>
              </w:rPr>
              <w:t>Los</w:t>
            </w:r>
            <w:r>
              <w:rPr>
                <w:spacing w:val="-10"/>
                <w:sz w:val="21"/>
              </w:rPr>
              <w:t xml:space="preserve"> </w:t>
            </w:r>
            <w:r>
              <w:rPr>
                <w:spacing w:val="-2"/>
                <w:sz w:val="21"/>
              </w:rPr>
              <w:t>Angeles</w:t>
            </w:r>
          </w:p>
        </w:tc>
        <w:tc>
          <w:tcPr>
            <w:tcW w:w="2633" w:type="dxa"/>
          </w:tcPr>
          <w:p w:rsidR="003F5784" w14:paraId="4BAF5B06" w14:textId="77777777">
            <w:pPr>
              <w:pStyle w:val="TableParagraph"/>
              <w:ind w:right="306"/>
              <w:rPr>
                <w:sz w:val="21"/>
              </w:rPr>
            </w:pPr>
            <w:r>
              <w:rPr>
                <w:sz w:val="21"/>
              </w:rPr>
              <w:t>Achievement</w:t>
            </w:r>
            <w:r>
              <w:rPr>
                <w:spacing w:val="-13"/>
                <w:sz w:val="21"/>
              </w:rPr>
              <w:t xml:space="preserve"> </w:t>
            </w:r>
            <w:r>
              <w:rPr>
                <w:spacing w:val="-4"/>
                <w:sz w:val="21"/>
              </w:rPr>
              <w:t>data</w:t>
            </w:r>
          </w:p>
        </w:tc>
        <w:tc>
          <w:tcPr>
            <w:tcW w:w="2111" w:type="dxa"/>
          </w:tcPr>
          <w:p w:rsidR="003F5784" w14:paraId="2143C4E8" w14:textId="77777777">
            <w:pPr>
              <w:pStyle w:val="TableParagraph"/>
              <w:ind w:right="554"/>
              <w:rPr>
                <w:sz w:val="21"/>
              </w:rPr>
            </w:pPr>
            <w:r>
              <w:rPr>
                <w:spacing w:val="-4"/>
                <w:sz w:val="21"/>
              </w:rPr>
              <w:t>mean</w:t>
            </w:r>
          </w:p>
        </w:tc>
        <w:tc>
          <w:tcPr>
            <w:tcW w:w="1792" w:type="dxa"/>
          </w:tcPr>
          <w:p w:rsidR="003F5784" w14:paraId="3FE5B5F3" w14:textId="77777777">
            <w:pPr>
              <w:pStyle w:val="TableParagraph"/>
              <w:ind w:right="552"/>
              <w:rPr>
                <w:sz w:val="21"/>
              </w:rPr>
            </w:pPr>
            <w:r>
              <w:rPr>
                <w:spacing w:val="-2"/>
                <w:sz w:val="21"/>
              </w:rPr>
              <w:t>2514.30</w:t>
            </w:r>
          </w:p>
        </w:tc>
        <w:tc>
          <w:tcPr>
            <w:tcW w:w="1490" w:type="dxa"/>
          </w:tcPr>
          <w:p w:rsidR="003F5784" w14:paraId="6A81F18F" w14:textId="77777777">
            <w:pPr>
              <w:pStyle w:val="TableParagraph"/>
              <w:ind w:right="249"/>
              <w:rPr>
                <w:sz w:val="21"/>
              </w:rPr>
            </w:pPr>
            <w:r>
              <w:rPr>
                <w:spacing w:val="-2"/>
                <w:sz w:val="21"/>
              </w:rPr>
              <w:t>2520.07</w:t>
            </w:r>
          </w:p>
        </w:tc>
        <w:tc>
          <w:tcPr>
            <w:tcW w:w="1973" w:type="dxa"/>
          </w:tcPr>
          <w:p w:rsidR="003F5784" w14:paraId="161CE354" w14:textId="77777777">
            <w:pPr>
              <w:pStyle w:val="TableParagraph"/>
              <w:ind w:right="113"/>
              <w:rPr>
                <w:sz w:val="21"/>
              </w:rPr>
            </w:pPr>
            <w:r>
              <w:rPr>
                <w:sz w:val="21"/>
              </w:rPr>
              <w:t>(2515.28,</w:t>
            </w:r>
            <w:r>
              <w:rPr>
                <w:spacing w:val="-10"/>
                <w:sz w:val="21"/>
              </w:rPr>
              <w:t xml:space="preserve"> </w:t>
            </w:r>
            <w:r>
              <w:rPr>
                <w:spacing w:val="-2"/>
                <w:sz w:val="21"/>
              </w:rPr>
              <w:t>2524.85)</w:t>
            </w:r>
          </w:p>
        </w:tc>
      </w:tr>
      <w:tr w14:paraId="58BD6F26" w14:textId="77777777">
        <w:tblPrEx>
          <w:tblW w:w="0" w:type="auto"/>
          <w:tblInd w:w="482" w:type="dxa"/>
          <w:tblLayout w:type="fixed"/>
          <w:tblCellMar>
            <w:left w:w="0" w:type="dxa"/>
            <w:right w:w="0" w:type="dxa"/>
          </w:tblCellMar>
          <w:tblLook w:val="01E0"/>
        </w:tblPrEx>
        <w:trPr>
          <w:trHeight w:val="286"/>
        </w:trPr>
        <w:tc>
          <w:tcPr>
            <w:tcW w:w="3981" w:type="dxa"/>
          </w:tcPr>
          <w:p w:rsidR="003F5784" w14:paraId="41A30044" w14:textId="77777777">
            <w:pPr>
              <w:pStyle w:val="TableParagraph"/>
              <w:ind w:left="1453"/>
              <w:jc w:val="left"/>
              <w:rPr>
                <w:sz w:val="21"/>
              </w:rPr>
            </w:pPr>
            <w:r>
              <w:rPr>
                <w:spacing w:val="-2"/>
                <w:sz w:val="21"/>
              </w:rPr>
              <w:t>Milwaukee</w:t>
            </w:r>
          </w:p>
        </w:tc>
        <w:tc>
          <w:tcPr>
            <w:tcW w:w="2633" w:type="dxa"/>
          </w:tcPr>
          <w:p w:rsidR="003F5784" w14:paraId="254DFAF6" w14:textId="77777777">
            <w:pPr>
              <w:pStyle w:val="TableParagraph"/>
              <w:ind w:right="306"/>
              <w:rPr>
                <w:sz w:val="21"/>
              </w:rPr>
            </w:pPr>
            <w:r>
              <w:rPr>
                <w:sz w:val="21"/>
              </w:rPr>
              <w:t>Achievement</w:t>
            </w:r>
            <w:r>
              <w:rPr>
                <w:spacing w:val="-13"/>
                <w:sz w:val="21"/>
              </w:rPr>
              <w:t xml:space="preserve"> </w:t>
            </w:r>
            <w:r>
              <w:rPr>
                <w:spacing w:val="-4"/>
                <w:sz w:val="21"/>
              </w:rPr>
              <w:t>data</w:t>
            </w:r>
          </w:p>
        </w:tc>
        <w:tc>
          <w:tcPr>
            <w:tcW w:w="2111" w:type="dxa"/>
          </w:tcPr>
          <w:p w:rsidR="003F5784" w14:paraId="3BA16311" w14:textId="77777777">
            <w:pPr>
              <w:pStyle w:val="TableParagraph"/>
              <w:ind w:right="553"/>
              <w:rPr>
                <w:sz w:val="21"/>
              </w:rPr>
            </w:pPr>
            <w:r>
              <w:rPr>
                <w:sz w:val="21"/>
              </w:rPr>
              <w:t>75th</w:t>
            </w:r>
            <w:r>
              <w:rPr>
                <w:spacing w:val="-5"/>
                <w:sz w:val="21"/>
              </w:rPr>
              <w:t xml:space="preserve"> </w:t>
            </w:r>
            <w:r>
              <w:rPr>
                <w:spacing w:val="-2"/>
                <w:sz w:val="21"/>
              </w:rPr>
              <w:t>percentile</w:t>
            </w:r>
          </w:p>
        </w:tc>
        <w:tc>
          <w:tcPr>
            <w:tcW w:w="1792" w:type="dxa"/>
          </w:tcPr>
          <w:p w:rsidR="003F5784" w14:paraId="396269C1" w14:textId="77777777">
            <w:pPr>
              <w:pStyle w:val="TableParagraph"/>
              <w:ind w:right="552"/>
              <w:rPr>
                <w:sz w:val="21"/>
              </w:rPr>
            </w:pPr>
            <w:r>
              <w:rPr>
                <w:spacing w:val="-2"/>
                <w:sz w:val="21"/>
              </w:rPr>
              <w:t>24.73</w:t>
            </w:r>
          </w:p>
        </w:tc>
        <w:tc>
          <w:tcPr>
            <w:tcW w:w="1490" w:type="dxa"/>
          </w:tcPr>
          <w:p w:rsidR="003F5784" w14:paraId="0F7FDE25" w14:textId="77777777">
            <w:pPr>
              <w:pStyle w:val="TableParagraph"/>
              <w:ind w:right="249"/>
              <w:rPr>
                <w:sz w:val="21"/>
              </w:rPr>
            </w:pPr>
            <w:r>
              <w:rPr>
                <w:spacing w:val="-2"/>
                <w:sz w:val="21"/>
              </w:rPr>
              <w:t>23.61</w:t>
            </w:r>
          </w:p>
        </w:tc>
        <w:tc>
          <w:tcPr>
            <w:tcW w:w="1973" w:type="dxa"/>
          </w:tcPr>
          <w:p w:rsidR="003F5784" w14:paraId="3779DA6E" w14:textId="77777777">
            <w:pPr>
              <w:pStyle w:val="TableParagraph"/>
              <w:ind w:right="113"/>
              <w:rPr>
                <w:sz w:val="21"/>
              </w:rPr>
            </w:pPr>
            <w:r>
              <w:rPr>
                <w:sz w:val="21"/>
              </w:rPr>
              <w:t>(22.99,</w:t>
            </w:r>
            <w:r>
              <w:rPr>
                <w:spacing w:val="-7"/>
                <w:sz w:val="21"/>
              </w:rPr>
              <w:t xml:space="preserve"> </w:t>
            </w:r>
            <w:r>
              <w:rPr>
                <w:spacing w:val="-2"/>
                <w:sz w:val="21"/>
              </w:rPr>
              <w:t>24.22)</w:t>
            </w:r>
          </w:p>
        </w:tc>
      </w:tr>
      <w:tr w14:paraId="3F4C2C4E" w14:textId="77777777">
        <w:tblPrEx>
          <w:tblW w:w="0" w:type="auto"/>
          <w:tblInd w:w="482" w:type="dxa"/>
          <w:tblLayout w:type="fixed"/>
          <w:tblCellMar>
            <w:left w:w="0" w:type="dxa"/>
            <w:right w:w="0" w:type="dxa"/>
          </w:tblCellMar>
          <w:tblLook w:val="01E0"/>
        </w:tblPrEx>
        <w:trPr>
          <w:trHeight w:val="286"/>
        </w:trPr>
        <w:tc>
          <w:tcPr>
            <w:tcW w:w="3981" w:type="dxa"/>
          </w:tcPr>
          <w:p w:rsidR="003F5784" w14:paraId="765DDFB1" w14:textId="77777777">
            <w:pPr>
              <w:pStyle w:val="TableParagraph"/>
              <w:ind w:left="1453"/>
              <w:jc w:val="left"/>
              <w:rPr>
                <w:sz w:val="21"/>
              </w:rPr>
            </w:pPr>
            <w:r>
              <w:rPr>
                <w:spacing w:val="-2"/>
                <w:sz w:val="21"/>
              </w:rPr>
              <w:t>Milwaukee</w:t>
            </w:r>
          </w:p>
        </w:tc>
        <w:tc>
          <w:tcPr>
            <w:tcW w:w="2633" w:type="dxa"/>
          </w:tcPr>
          <w:p w:rsidR="003F5784" w14:paraId="0A5B6FCE" w14:textId="77777777">
            <w:pPr>
              <w:pStyle w:val="TableParagraph"/>
              <w:ind w:right="306"/>
              <w:rPr>
                <w:sz w:val="21"/>
              </w:rPr>
            </w:pPr>
            <w:r>
              <w:rPr>
                <w:sz w:val="21"/>
              </w:rPr>
              <w:t>Achievement</w:t>
            </w:r>
            <w:r>
              <w:rPr>
                <w:spacing w:val="-13"/>
                <w:sz w:val="21"/>
              </w:rPr>
              <w:t xml:space="preserve"> </w:t>
            </w:r>
            <w:r>
              <w:rPr>
                <w:spacing w:val="-4"/>
                <w:sz w:val="21"/>
              </w:rPr>
              <w:t>data</w:t>
            </w:r>
          </w:p>
        </w:tc>
        <w:tc>
          <w:tcPr>
            <w:tcW w:w="2111" w:type="dxa"/>
          </w:tcPr>
          <w:p w:rsidR="003F5784" w14:paraId="70DCF7E4" w14:textId="77777777">
            <w:pPr>
              <w:pStyle w:val="TableParagraph"/>
              <w:ind w:right="554"/>
              <w:rPr>
                <w:sz w:val="21"/>
              </w:rPr>
            </w:pPr>
            <w:r>
              <w:rPr>
                <w:spacing w:val="-4"/>
                <w:sz w:val="21"/>
              </w:rPr>
              <w:t>mean</w:t>
            </w:r>
          </w:p>
        </w:tc>
        <w:tc>
          <w:tcPr>
            <w:tcW w:w="1792" w:type="dxa"/>
          </w:tcPr>
          <w:p w:rsidR="003F5784" w14:paraId="681EDFA9" w14:textId="77777777">
            <w:pPr>
              <w:pStyle w:val="TableParagraph"/>
              <w:ind w:right="552"/>
              <w:rPr>
                <w:sz w:val="21"/>
              </w:rPr>
            </w:pPr>
            <w:r>
              <w:rPr>
                <w:spacing w:val="-2"/>
                <w:sz w:val="21"/>
              </w:rPr>
              <w:t>15.84</w:t>
            </w:r>
          </w:p>
        </w:tc>
        <w:tc>
          <w:tcPr>
            <w:tcW w:w="1490" w:type="dxa"/>
          </w:tcPr>
          <w:p w:rsidR="003F5784" w14:paraId="03773DBA" w14:textId="77777777">
            <w:pPr>
              <w:pStyle w:val="TableParagraph"/>
              <w:ind w:right="249"/>
              <w:rPr>
                <w:sz w:val="21"/>
              </w:rPr>
            </w:pPr>
            <w:r>
              <w:rPr>
                <w:spacing w:val="-2"/>
                <w:sz w:val="21"/>
              </w:rPr>
              <w:t>16.65</w:t>
            </w:r>
          </w:p>
        </w:tc>
        <w:tc>
          <w:tcPr>
            <w:tcW w:w="1973" w:type="dxa"/>
          </w:tcPr>
          <w:p w:rsidR="003F5784" w14:paraId="1087A831" w14:textId="77777777">
            <w:pPr>
              <w:pStyle w:val="TableParagraph"/>
              <w:ind w:right="113"/>
              <w:rPr>
                <w:sz w:val="21"/>
              </w:rPr>
            </w:pPr>
            <w:r>
              <w:rPr>
                <w:sz w:val="21"/>
              </w:rPr>
              <w:t>(15.88,</w:t>
            </w:r>
            <w:r>
              <w:rPr>
                <w:spacing w:val="-7"/>
                <w:sz w:val="21"/>
              </w:rPr>
              <w:t xml:space="preserve"> </w:t>
            </w:r>
            <w:r>
              <w:rPr>
                <w:spacing w:val="-2"/>
                <w:sz w:val="21"/>
              </w:rPr>
              <w:t>17.41)</w:t>
            </w:r>
          </w:p>
        </w:tc>
      </w:tr>
      <w:tr w14:paraId="7614479E" w14:textId="77777777">
        <w:tblPrEx>
          <w:tblW w:w="0" w:type="auto"/>
          <w:tblInd w:w="482" w:type="dxa"/>
          <w:tblLayout w:type="fixed"/>
          <w:tblCellMar>
            <w:left w:w="0" w:type="dxa"/>
            <w:right w:w="0" w:type="dxa"/>
          </w:tblCellMar>
          <w:tblLook w:val="01E0"/>
        </w:tblPrEx>
        <w:trPr>
          <w:trHeight w:val="286"/>
        </w:trPr>
        <w:tc>
          <w:tcPr>
            <w:tcW w:w="3981" w:type="dxa"/>
          </w:tcPr>
          <w:p w:rsidR="003F5784" w14:paraId="684C7145" w14:textId="77777777">
            <w:pPr>
              <w:pStyle w:val="TableParagraph"/>
              <w:ind w:left="1453"/>
              <w:jc w:val="left"/>
              <w:rPr>
                <w:sz w:val="21"/>
              </w:rPr>
            </w:pPr>
            <w:r>
              <w:rPr>
                <w:spacing w:val="-4"/>
                <w:sz w:val="21"/>
              </w:rPr>
              <w:t>New</w:t>
            </w:r>
            <w:r>
              <w:rPr>
                <w:spacing w:val="-10"/>
                <w:sz w:val="21"/>
              </w:rPr>
              <w:t xml:space="preserve"> </w:t>
            </w:r>
            <w:r>
              <w:rPr>
                <w:spacing w:val="-4"/>
                <w:sz w:val="21"/>
              </w:rPr>
              <w:t>York</w:t>
            </w:r>
            <w:r>
              <w:rPr>
                <w:spacing w:val="-2"/>
                <w:sz w:val="21"/>
              </w:rPr>
              <w:t xml:space="preserve"> </w:t>
            </w:r>
            <w:r>
              <w:rPr>
                <w:spacing w:val="-4"/>
                <w:sz w:val="21"/>
              </w:rPr>
              <w:t>City</w:t>
            </w:r>
          </w:p>
        </w:tc>
        <w:tc>
          <w:tcPr>
            <w:tcW w:w="2633" w:type="dxa"/>
          </w:tcPr>
          <w:p w:rsidR="003F5784" w14:paraId="57A2421A" w14:textId="77777777">
            <w:pPr>
              <w:pStyle w:val="TableParagraph"/>
              <w:ind w:right="306"/>
              <w:rPr>
                <w:sz w:val="21"/>
              </w:rPr>
            </w:pPr>
            <w:r>
              <w:rPr>
                <w:sz w:val="21"/>
              </w:rPr>
              <w:t>Achievement</w:t>
            </w:r>
            <w:r>
              <w:rPr>
                <w:spacing w:val="-13"/>
                <w:sz w:val="21"/>
              </w:rPr>
              <w:t xml:space="preserve"> </w:t>
            </w:r>
            <w:r>
              <w:rPr>
                <w:spacing w:val="-4"/>
                <w:sz w:val="21"/>
              </w:rPr>
              <w:t>data</w:t>
            </w:r>
          </w:p>
        </w:tc>
        <w:tc>
          <w:tcPr>
            <w:tcW w:w="2111" w:type="dxa"/>
          </w:tcPr>
          <w:p w:rsidR="003F5784" w14:paraId="06CEB7B7" w14:textId="77777777">
            <w:pPr>
              <w:pStyle w:val="TableParagraph"/>
              <w:ind w:right="553"/>
              <w:rPr>
                <w:sz w:val="21"/>
              </w:rPr>
            </w:pPr>
            <w:r>
              <w:rPr>
                <w:sz w:val="21"/>
              </w:rPr>
              <w:t>25th</w:t>
            </w:r>
            <w:r>
              <w:rPr>
                <w:spacing w:val="-5"/>
                <w:sz w:val="21"/>
              </w:rPr>
              <w:t xml:space="preserve"> </w:t>
            </w:r>
            <w:r>
              <w:rPr>
                <w:spacing w:val="-2"/>
                <w:sz w:val="21"/>
              </w:rPr>
              <w:t>percentile</w:t>
            </w:r>
          </w:p>
        </w:tc>
        <w:tc>
          <w:tcPr>
            <w:tcW w:w="1792" w:type="dxa"/>
          </w:tcPr>
          <w:p w:rsidR="003F5784" w14:paraId="436A99E8" w14:textId="77777777">
            <w:pPr>
              <w:pStyle w:val="TableParagraph"/>
              <w:ind w:right="552"/>
              <w:rPr>
                <w:sz w:val="21"/>
              </w:rPr>
            </w:pPr>
            <w:r>
              <w:rPr>
                <w:spacing w:val="-2"/>
                <w:sz w:val="21"/>
              </w:rPr>
              <w:t>22.99</w:t>
            </w:r>
          </w:p>
        </w:tc>
        <w:tc>
          <w:tcPr>
            <w:tcW w:w="1490" w:type="dxa"/>
          </w:tcPr>
          <w:p w:rsidR="003F5784" w14:paraId="6B9F3C7C" w14:textId="77777777">
            <w:pPr>
              <w:pStyle w:val="TableParagraph"/>
              <w:ind w:right="249"/>
              <w:rPr>
                <w:sz w:val="21"/>
              </w:rPr>
            </w:pPr>
            <w:r>
              <w:rPr>
                <w:spacing w:val="-2"/>
                <w:sz w:val="21"/>
              </w:rPr>
              <w:t>18.88</w:t>
            </w:r>
          </w:p>
        </w:tc>
        <w:tc>
          <w:tcPr>
            <w:tcW w:w="1973" w:type="dxa"/>
          </w:tcPr>
          <w:p w:rsidR="003F5784" w14:paraId="56E04DC4" w14:textId="77777777">
            <w:pPr>
              <w:pStyle w:val="TableParagraph"/>
              <w:ind w:right="113"/>
              <w:rPr>
                <w:sz w:val="21"/>
              </w:rPr>
            </w:pPr>
            <w:r>
              <w:rPr>
                <w:sz w:val="21"/>
              </w:rPr>
              <w:t>(16.60,</w:t>
            </w:r>
            <w:r>
              <w:rPr>
                <w:spacing w:val="-7"/>
                <w:sz w:val="21"/>
              </w:rPr>
              <w:t xml:space="preserve"> </w:t>
            </w:r>
            <w:r>
              <w:rPr>
                <w:spacing w:val="-2"/>
                <w:sz w:val="21"/>
              </w:rPr>
              <w:t>22.5)</w:t>
            </w:r>
          </w:p>
        </w:tc>
      </w:tr>
      <w:tr w14:paraId="047CEB3A" w14:textId="77777777">
        <w:tblPrEx>
          <w:tblW w:w="0" w:type="auto"/>
          <w:tblInd w:w="482" w:type="dxa"/>
          <w:tblLayout w:type="fixed"/>
          <w:tblCellMar>
            <w:left w:w="0" w:type="dxa"/>
            <w:right w:w="0" w:type="dxa"/>
          </w:tblCellMar>
          <w:tblLook w:val="01E0"/>
        </w:tblPrEx>
        <w:trPr>
          <w:trHeight w:val="286"/>
        </w:trPr>
        <w:tc>
          <w:tcPr>
            <w:tcW w:w="3981" w:type="dxa"/>
          </w:tcPr>
          <w:p w:rsidR="003F5784" w14:paraId="030C7C6D" w14:textId="77777777">
            <w:pPr>
              <w:pStyle w:val="TableParagraph"/>
              <w:ind w:left="1453"/>
              <w:jc w:val="left"/>
              <w:rPr>
                <w:sz w:val="21"/>
              </w:rPr>
            </w:pPr>
            <w:r>
              <w:rPr>
                <w:spacing w:val="-4"/>
                <w:sz w:val="21"/>
              </w:rPr>
              <w:t>New</w:t>
            </w:r>
            <w:r>
              <w:rPr>
                <w:spacing w:val="-10"/>
                <w:sz w:val="21"/>
              </w:rPr>
              <w:t xml:space="preserve"> </w:t>
            </w:r>
            <w:r>
              <w:rPr>
                <w:spacing w:val="-4"/>
                <w:sz w:val="21"/>
              </w:rPr>
              <w:t>York</w:t>
            </w:r>
            <w:r>
              <w:rPr>
                <w:spacing w:val="-2"/>
                <w:sz w:val="21"/>
              </w:rPr>
              <w:t xml:space="preserve"> </w:t>
            </w:r>
            <w:r>
              <w:rPr>
                <w:spacing w:val="-4"/>
                <w:sz w:val="21"/>
              </w:rPr>
              <w:t>City</w:t>
            </w:r>
          </w:p>
        </w:tc>
        <w:tc>
          <w:tcPr>
            <w:tcW w:w="2633" w:type="dxa"/>
          </w:tcPr>
          <w:p w:rsidR="003F5784" w14:paraId="110E172D" w14:textId="77777777">
            <w:pPr>
              <w:pStyle w:val="TableParagraph"/>
              <w:ind w:right="306"/>
              <w:rPr>
                <w:sz w:val="21"/>
              </w:rPr>
            </w:pPr>
            <w:r>
              <w:rPr>
                <w:sz w:val="21"/>
              </w:rPr>
              <w:t>Achievement</w:t>
            </w:r>
            <w:r>
              <w:rPr>
                <w:spacing w:val="-13"/>
                <w:sz w:val="21"/>
              </w:rPr>
              <w:t xml:space="preserve"> </w:t>
            </w:r>
            <w:r>
              <w:rPr>
                <w:spacing w:val="-4"/>
                <w:sz w:val="21"/>
              </w:rPr>
              <w:t>data</w:t>
            </w:r>
          </w:p>
        </w:tc>
        <w:tc>
          <w:tcPr>
            <w:tcW w:w="2111" w:type="dxa"/>
          </w:tcPr>
          <w:p w:rsidR="003F5784" w14:paraId="649BC7F4" w14:textId="77777777">
            <w:pPr>
              <w:pStyle w:val="TableParagraph"/>
              <w:ind w:right="553"/>
              <w:rPr>
                <w:sz w:val="21"/>
              </w:rPr>
            </w:pPr>
            <w:r>
              <w:rPr>
                <w:sz w:val="21"/>
              </w:rPr>
              <w:t>50th</w:t>
            </w:r>
            <w:r>
              <w:rPr>
                <w:spacing w:val="-5"/>
                <w:sz w:val="21"/>
              </w:rPr>
              <w:t xml:space="preserve"> </w:t>
            </w:r>
            <w:r>
              <w:rPr>
                <w:spacing w:val="-2"/>
                <w:sz w:val="21"/>
              </w:rPr>
              <w:t>percentile</w:t>
            </w:r>
          </w:p>
        </w:tc>
        <w:tc>
          <w:tcPr>
            <w:tcW w:w="1792" w:type="dxa"/>
          </w:tcPr>
          <w:p w:rsidR="003F5784" w14:paraId="4752CBBC" w14:textId="77777777">
            <w:pPr>
              <w:pStyle w:val="TableParagraph"/>
              <w:ind w:right="552"/>
              <w:rPr>
                <w:sz w:val="21"/>
              </w:rPr>
            </w:pPr>
            <w:r>
              <w:rPr>
                <w:spacing w:val="-2"/>
                <w:sz w:val="21"/>
              </w:rPr>
              <w:t>38.26</w:t>
            </w:r>
          </w:p>
        </w:tc>
        <w:tc>
          <w:tcPr>
            <w:tcW w:w="1490" w:type="dxa"/>
          </w:tcPr>
          <w:p w:rsidR="003F5784" w14:paraId="4E5EBAF2" w14:textId="77777777">
            <w:pPr>
              <w:pStyle w:val="TableParagraph"/>
              <w:ind w:right="249"/>
              <w:rPr>
                <w:sz w:val="21"/>
              </w:rPr>
            </w:pPr>
            <w:r>
              <w:rPr>
                <w:spacing w:val="-2"/>
                <w:sz w:val="21"/>
              </w:rPr>
              <w:t>34.83</w:t>
            </w:r>
          </w:p>
        </w:tc>
        <w:tc>
          <w:tcPr>
            <w:tcW w:w="1973" w:type="dxa"/>
          </w:tcPr>
          <w:p w:rsidR="003F5784" w14:paraId="2336B2FA" w14:textId="77777777">
            <w:pPr>
              <w:pStyle w:val="TableParagraph"/>
              <w:ind w:right="113"/>
              <w:rPr>
                <w:sz w:val="21"/>
              </w:rPr>
            </w:pPr>
            <w:r>
              <w:rPr>
                <w:sz w:val="21"/>
              </w:rPr>
              <w:t>(33.82,</w:t>
            </w:r>
            <w:r>
              <w:rPr>
                <w:spacing w:val="-7"/>
                <w:sz w:val="21"/>
              </w:rPr>
              <w:t xml:space="preserve"> </w:t>
            </w:r>
            <w:r>
              <w:rPr>
                <w:spacing w:val="-2"/>
                <w:sz w:val="21"/>
              </w:rPr>
              <w:t>36.37)</w:t>
            </w:r>
          </w:p>
        </w:tc>
      </w:tr>
      <w:tr w14:paraId="36B42800" w14:textId="77777777">
        <w:tblPrEx>
          <w:tblW w:w="0" w:type="auto"/>
          <w:tblInd w:w="482" w:type="dxa"/>
          <w:tblLayout w:type="fixed"/>
          <w:tblCellMar>
            <w:left w:w="0" w:type="dxa"/>
            <w:right w:w="0" w:type="dxa"/>
          </w:tblCellMar>
          <w:tblLook w:val="01E0"/>
        </w:tblPrEx>
        <w:trPr>
          <w:trHeight w:val="286"/>
        </w:trPr>
        <w:tc>
          <w:tcPr>
            <w:tcW w:w="3981" w:type="dxa"/>
          </w:tcPr>
          <w:p w:rsidR="003F5784" w14:paraId="4758D1B5" w14:textId="77777777">
            <w:pPr>
              <w:pStyle w:val="TableParagraph"/>
              <w:ind w:left="1453"/>
              <w:jc w:val="left"/>
              <w:rPr>
                <w:sz w:val="21"/>
              </w:rPr>
            </w:pPr>
            <w:r>
              <w:rPr>
                <w:spacing w:val="-4"/>
                <w:sz w:val="21"/>
              </w:rPr>
              <w:t>New</w:t>
            </w:r>
            <w:r>
              <w:rPr>
                <w:spacing w:val="-10"/>
                <w:sz w:val="21"/>
              </w:rPr>
              <w:t xml:space="preserve"> </w:t>
            </w:r>
            <w:r>
              <w:rPr>
                <w:spacing w:val="-4"/>
                <w:sz w:val="21"/>
              </w:rPr>
              <w:t>York</w:t>
            </w:r>
            <w:r>
              <w:rPr>
                <w:spacing w:val="-2"/>
                <w:sz w:val="21"/>
              </w:rPr>
              <w:t xml:space="preserve"> </w:t>
            </w:r>
            <w:r>
              <w:rPr>
                <w:spacing w:val="-4"/>
                <w:sz w:val="21"/>
              </w:rPr>
              <w:t>City</w:t>
            </w:r>
          </w:p>
        </w:tc>
        <w:tc>
          <w:tcPr>
            <w:tcW w:w="2633" w:type="dxa"/>
          </w:tcPr>
          <w:p w:rsidR="003F5784" w14:paraId="3571EB17" w14:textId="77777777">
            <w:pPr>
              <w:pStyle w:val="TableParagraph"/>
              <w:ind w:right="306"/>
              <w:rPr>
                <w:sz w:val="21"/>
              </w:rPr>
            </w:pPr>
            <w:r>
              <w:rPr>
                <w:sz w:val="21"/>
              </w:rPr>
              <w:t>Achievement</w:t>
            </w:r>
            <w:r>
              <w:rPr>
                <w:spacing w:val="-13"/>
                <w:sz w:val="21"/>
              </w:rPr>
              <w:t xml:space="preserve"> </w:t>
            </w:r>
            <w:r>
              <w:rPr>
                <w:spacing w:val="-4"/>
                <w:sz w:val="21"/>
              </w:rPr>
              <w:t>data</w:t>
            </w:r>
          </w:p>
        </w:tc>
        <w:tc>
          <w:tcPr>
            <w:tcW w:w="2111" w:type="dxa"/>
          </w:tcPr>
          <w:p w:rsidR="003F5784" w14:paraId="6E549F21" w14:textId="77777777">
            <w:pPr>
              <w:pStyle w:val="TableParagraph"/>
              <w:ind w:right="554"/>
              <w:rPr>
                <w:sz w:val="21"/>
              </w:rPr>
            </w:pPr>
            <w:r>
              <w:rPr>
                <w:spacing w:val="-4"/>
                <w:sz w:val="21"/>
              </w:rPr>
              <w:t>mean</w:t>
            </w:r>
          </w:p>
        </w:tc>
        <w:tc>
          <w:tcPr>
            <w:tcW w:w="1792" w:type="dxa"/>
          </w:tcPr>
          <w:p w:rsidR="003F5784" w14:paraId="3F69A3A8" w14:textId="77777777">
            <w:pPr>
              <w:pStyle w:val="TableParagraph"/>
              <w:ind w:right="552"/>
              <w:rPr>
                <w:sz w:val="21"/>
              </w:rPr>
            </w:pPr>
            <w:r>
              <w:rPr>
                <w:spacing w:val="-2"/>
                <w:sz w:val="21"/>
              </w:rPr>
              <w:t>41.79</w:t>
            </w:r>
          </w:p>
        </w:tc>
        <w:tc>
          <w:tcPr>
            <w:tcW w:w="1490" w:type="dxa"/>
          </w:tcPr>
          <w:p w:rsidR="003F5784" w14:paraId="52B848CF" w14:textId="77777777">
            <w:pPr>
              <w:pStyle w:val="TableParagraph"/>
              <w:ind w:right="249"/>
              <w:rPr>
                <w:sz w:val="21"/>
              </w:rPr>
            </w:pPr>
            <w:r>
              <w:rPr>
                <w:spacing w:val="-2"/>
                <w:sz w:val="21"/>
              </w:rPr>
              <w:t>39.55</w:t>
            </w:r>
          </w:p>
        </w:tc>
        <w:tc>
          <w:tcPr>
            <w:tcW w:w="1973" w:type="dxa"/>
          </w:tcPr>
          <w:p w:rsidR="003F5784" w14:paraId="02CE12CE" w14:textId="77777777">
            <w:pPr>
              <w:pStyle w:val="TableParagraph"/>
              <w:ind w:right="113"/>
              <w:rPr>
                <w:sz w:val="21"/>
              </w:rPr>
            </w:pPr>
            <w:r>
              <w:rPr>
                <w:sz w:val="21"/>
              </w:rPr>
              <w:t>(38.01,</w:t>
            </w:r>
            <w:r>
              <w:rPr>
                <w:spacing w:val="-7"/>
                <w:sz w:val="21"/>
              </w:rPr>
              <w:t xml:space="preserve"> </w:t>
            </w:r>
            <w:r>
              <w:rPr>
                <w:spacing w:val="-2"/>
                <w:sz w:val="21"/>
              </w:rPr>
              <w:t>41.08)</w:t>
            </w:r>
          </w:p>
        </w:tc>
      </w:tr>
      <w:tr w14:paraId="73A2CC3F" w14:textId="77777777">
        <w:tblPrEx>
          <w:tblW w:w="0" w:type="auto"/>
          <w:tblInd w:w="482" w:type="dxa"/>
          <w:tblLayout w:type="fixed"/>
          <w:tblCellMar>
            <w:left w:w="0" w:type="dxa"/>
            <w:right w:w="0" w:type="dxa"/>
          </w:tblCellMar>
          <w:tblLook w:val="01E0"/>
        </w:tblPrEx>
        <w:trPr>
          <w:trHeight w:val="286"/>
        </w:trPr>
        <w:tc>
          <w:tcPr>
            <w:tcW w:w="3981" w:type="dxa"/>
          </w:tcPr>
          <w:p w:rsidR="003F5784" w14:paraId="386F6690" w14:textId="77777777">
            <w:pPr>
              <w:pStyle w:val="TableParagraph"/>
              <w:ind w:left="1453"/>
              <w:jc w:val="left"/>
              <w:rPr>
                <w:sz w:val="21"/>
              </w:rPr>
            </w:pPr>
            <w:r>
              <w:rPr>
                <w:sz w:val="21"/>
              </w:rPr>
              <w:t>Philadelphia</w:t>
            </w:r>
            <w:r>
              <w:rPr>
                <w:spacing w:val="-12"/>
                <w:sz w:val="21"/>
              </w:rPr>
              <w:t xml:space="preserve"> </w:t>
            </w:r>
            <w:r>
              <w:rPr>
                <w:spacing w:val="-4"/>
                <w:sz w:val="21"/>
              </w:rPr>
              <w:t>City</w:t>
            </w:r>
          </w:p>
        </w:tc>
        <w:tc>
          <w:tcPr>
            <w:tcW w:w="2633" w:type="dxa"/>
          </w:tcPr>
          <w:p w:rsidR="003F5784" w14:paraId="24BE75A2" w14:textId="77777777">
            <w:pPr>
              <w:pStyle w:val="TableParagraph"/>
              <w:ind w:right="306"/>
              <w:rPr>
                <w:sz w:val="21"/>
              </w:rPr>
            </w:pPr>
            <w:r>
              <w:rPr>
                <w:sz w:val="21"/>
              </w:rPr>
              <w:t>Achievement</w:t>
            </w:r>
            <w:r>
              <w:rPr>
                <w:spacing w:val="-13"/>
                <w:sz w:val="21"/>
              </w:rPr>
              <w:t xml:space="preserve"> </w:t>
            </w:r>
            <w:r>
              <w:rPr>
                <w:spacing w:val="-4"/>
                <w:sz w:val="21"/>
              </w:rPr>
              <w:t>data</w:t>
            </w:r>
          </w:p>
        </w:tc>
        <w:tc>
          <w:tcPr>
            <w:tcW w:w="2111" w:type="dxa"/>
          </w:tcPr>
          <w:p w:rsidR="003F5784" w14:paraId="39B3A118" w14:textId="77777777">
            <w:pPr>
              <w:pStyle w:val="TableParagraph"/>
              <w:ind w:right="553"/>
              <w:rPr>
                <w:sz w:val="21"/>
              </w:rPr>
            </w:pPr>
            <w:r>
              <w:rPr>
                <w:sz w:val="21"/>
              </w:rPr>
              <w:t>50th</w:t>
            </w:r>
            <w:r>
              <w:rPr>
                <w:spacing w:val="-5"/>
                <w:sz w:val="21"/>
              </w:rPr>
              <w:t xml:space="preserve"> </w:t>
            </w:r>
            <w:r>
              <w:rPr>
                <w:spacing w:val="-2"/>
                <w:sz w:val="21"/>
              </w:rPr>
              <w:t>percentile</w:t>
            </w:r>
          </w:p>
        </w:tc>
        <w:tc>
          <w:tcPr>
            <w:tcW w:w="1792" w:type="dxa"/>
          </w:tcPr>
          <w:p w:rsidR="003F5784" w14:paraId="3B37D602" w14:textId="77777777">
            <w:pPr>
              <w:pStyle w:val="TableParagraph"/>
              <w:ind w:right="552"/>
              <w:rPr>
                <w:sz w:val="21"/>
              </w:rPr>
            </w:pPr>
            <w:r>
              <w:rPr>
                <w:spacing w:val="-2"/>
                <w:sz w:val="21"/>
              </w:rPr>
              <w:t>10.40</w:t>
            </w:r>
          </w:p>
        </w:tc>
        <w:tc>
          <w:tcPr>
            <w:tcW w:w="1490" w:type="dxa"/>
          </w:tcPr>
          <w:p w:rsidR="003F5784" w14:paraId="6819DEB8" w14:textId="77777777">
            <w:pPr>
              <w:pStyle w:val="TableParagraph"/>
              <w:ind w:right="249"/>
              <w:rPr>
                <w:sz w:val="21"/>
              </w:rPr>
            </w:pPr>
            <w:r>
              <w:rPr>
                <w:spacing w:val="-4"/>
                <w:sz w:val="21"/>
              </w:rPr>
              <w:t>9.03</w:t>
            </w:r>
          </w:p>
        </w:tc>
        <w:tc>
          <w:tcPr>
            <w:tcW w:w="1973" w:type="dxa"/>
          </w:tcPr>
          <w:p w:rsidR="003F5784" w14:paraId="43822A6F" w14:textId="77777777">
            <w:pPr>
              <w:pStyle w:val="TableParagraph"/>
              <w:ind w:right="113"/>
              <w:rPr>
                <w:sz w:val="21"/>
              </w:rPr>
            </w:pPr>
            <w:r>
              <w:rPr>
                <w:sz w:val="21"/>
              </w:rPr>
              <w:t>(8.62,</w:t>
            </w:r>
            <w:r>
              <w:rPr>
                <w:spacing w:val="-6"/>
                <w:sz w:val="21"/>
              </w:rPr>
              <w:t xml:space="preserve"> </w:t>
            </w:r>
            <w:r>
              <w:rPr>
                <w:spacing w:val="-2"/>
                <w:sz w:val="21"/>
              </w:rPr>
              <w:t>10.36)</w:t>
            </w:r>
          </w:p>
        </w:tc>
      </w:tr>
      <w:tr w14:paraId="14E0E09E" w14:textId="77777777">
        <w:tblPrEx>
          <w:tblW w:w="0" w:type="auto"/>
          <w:tblInd w:w="482" w:type="dxa"/>
          <w:tblLayout w:type="fixed"/>
          <w:tblCellMar>
            <w:left w:w="0" w:type="dxa"/>
            <w:right w:w="0" w:type="dxa"/>
          </w:tblCellMar>
          <w:tblLook w:val="01E0"/>
        </w:tblPrEx>
        <w:trPr>
          <w:trHeight w:val="286"/>
        </w:trPr>
        <w:tc>
          <w:tcPr>
            <w:tcW w:w="3981" w:type="dxa"/>
          </w:tcPr>
          <w:p w:rsidR="003F5784" w14:paraId="47828A9E" w14:textId="77777777">
            <w:pPr>
              <w:pStyle w:val="TableParagraph"/>
              <w:ind w:left="1453"/>
              <w:jc w:val="left"/>
              <w:rPr>
                <w:sz w:val="21"/>
              </w:rPr>
            </w:pPr>
            <w:r>
              <w:rPr>
                <w:sz w:val="21"/>
              </w:rPr>
              <w:t>Philadelphia</w:t>
            </w:r>
            <w:r>
              <w:rPr>
                <w:spacing w:val="-12"/>
                <w:sz w:val="21"/>
              </w:rPr>
              <w:t xml:space="preserve"> </w:t>
            </w:r>
            <w:r>
              <w:rPr>
                <w:spacing w:val="-4"/>
                <w:sz w:val="21"/>
              </w:rPr>
              <w:t>City</w:t>
            </w:r>
          </w:p>
        </w:tc>
        <w:tc>
          <w:tcPr>
            <w:tcW w:w="2633" w:type="dxa"/>
          </w:tcPr>
          <w:p w:rsidR="003F5784" w14:paraId="760CA171" w14:textId="77777777">
            <w:pPr>
              <w:pStyle w:val="TableParagraph"/>
              <w:ind w:right="306"/>
              <w:rPr>
                <w:sz w:val="21"/>
              </w:rPr>
            </w:pPr>
            <w:r>
              <w:rPr>
                <w:sz w:val="21"/>
              </w:rPr>
              <w:t>Achievement</w:t>
            </w:r>
            <w:r>
              <w:rPr>
                <w:spacing w:val="-13"/>
                <w:sz w:val="21"/>
              </w:rPr>
              <w:t xml:space="preserve"> </w:t>
            </w:r>
            <w:r>
              <w:rPr>
                <w:spacing w:val="-4"/>
                <w:sz w:val="21"/>
              </w:rPr>
              <w:t>data</w:t>
            </w:r>
          </w:p>
        </w:tc>
        <w:tc>
          <w:tcPr>
            <w:tcW w:w="2111" w:type="dxa"/>
          </w:tcPr>
          <w:p w:rsidR="003F5784" w14:paraId="5D9A6848" w14:textId="77777777">
            <w:pPr>
              <w:pStyle w:val="TableParagraph"/>
              <w:ind w:right="553"/>
              <w:rPr>
                <w:sz w:val="21"/>
              </w:rPr>
            </w:pPr>
            <w:r>
              <w:rPr>
                <w:sz w:val="21"/>
              </w:rPr>
              <w:t>75th</w:t>
            </w:r>
            <w:r>
              <w:rPr>
                <w:spacing w:val="-5"/>
                <w:sz w:val="21"/>
              </w:rPr>
              <w:t xml:space="preserve"> </w:t>
            </w:r>
            <w:r>
              <w:rPr>
                <w:spacing w:val="-2"/>
                <w:sz w:val="21"/>
              </w:rPr>
              <w:t>percentile</w:t>
            </w:r>
          </w:p>
        </w:tc>
        <w:tc>
          <w:tcPr>
            <w:tcW w:w="1792" w:type="dxa"/>
          </w:tcPr>
          <w:p w:rsidR="003F5784" w14:paraId="079F724B" w14:textId="77777777">
            <w:pPr>
              <w:pStyle w:val="TableParagraph"/>
              <w:ind w:right="552"/>
              <w:rPr>
                <w:sz w:val="21"/>
              </w:rPr>
            </w:pPr>
            <w:r>
              <w:rPr>
                <w:spacing w:val="-2"/>
                <w:sz w:val="21"/>
              </w:rPr>
              <w:t>21.71</w:t>
            </w:r>
          </w:p>
        </w:tc>
        <w:tc>
          <w:tcPr>
            <w:tcW w:w="1490" w:type="dxa"/>
          </w:tcPr>
          <w:p w:rsidR="003F5784" w14:paraId="0AF05C73" w14:textId="77777777">
            <w:pPr>
              <w:pStyle w:val="TableParagraph"/>
              <w:ind w:right="249"/>
              <w:rPr>
                <w:sz w:val="21"/>
              </w:rPr>
            </w:pPr>
            <w:r>
              <w:rPr>
                <w:spacing w:val="-2"/>
                <w:sz w:val="21"/>
              </w:rPr>
              <w:t>21.19</w:t>
            </w:r>
          </w:p>
        </w:tc>
        <w:tc>
          <w:tcPr>
            <w:tcW w:w="1973" w:type="dxa"/>
          </w:tcPr>
          <w:p w:rsidR="003F5784" w14:paraId="421759E8" w14:textId="77777777">
            <w:pPr>
              <w:pStyle w:val="TableParagraph"/>
              <w:ind w:right="113"/>
              <w:rPr>
                <w:sz w:val="21"/>
              </w:rPr>
            </w:pPr>
            <w:r>
              <w:rPr>
                <w:sz w:val="21"/>
              </w:rPr>
              <w:t>(21.08,</w:t>
            </w:r>
            <w:r>
              <w:rPr>
                <w:spacing w:val="-7"/>
                <w:sz w:val="21"/>
              </w:rPr>
              <w:t xml:space="preserve"> </w:t>
            </w:r>
            <w:r>
              <w:rPr>
                <w:spacing w:val="-2"/>
                <w:sz w:val="21"/>
              </w:rPr>
              <w:t>21.30)</w:t>
            </w:r>
          </w:p>
        </w:tc>
      </w:tr>
      <w:tr w14:paraId="15CAD7F2" w14:textId="77777777">
        <w:tblPrEx>
          <w:tblW w:w="0" w:type="auto"/>
          <w:tblInd w:w="482" w:type="dxa"/>
          <w:tblLayout w:type="fixed"/>
          <w:tblCellMar>
            <w:left w:w="0" w:type="dxa"/>
            <w:right w:w="0" w:type="dxa"/>
          </w:tblCellMar>
          <w:tblLook w:val="01E0"/>
        </w:tblPrEx>
        <w:trPr>
          <w:trHeight w:val="289"/>
        </w:trPr>
        <w:tc>
          <w:tcPr>
            <w:tcW w:w="3981" w:type="dxa"/>
            <w:tcBorders>
              <w:bottom w:val="single" w:sz="18" w:space="0" w:color="800000"/>
            </w:tcBorders>
          </w:tcPr>
          <w:p w:rsidR="003F5784" w14:paraId="1215BDE1" w14:textId="77777777">
            <w:pPr>
              <w:pStyle w:val="TableParagraph"/>
              <w:ind w:left="1453"/>
              <w:jc w:val="left"/>
              <w:rPr>
                <w:sz w:val="21"/>
              </w:rPr>
            </w:pPr>
            <w:r>
              <w:rPr>
                <w:sz w:val="21"/>
              </w:rPr>
              <w:t>Shelby</w:t>
            </w:r>
            <w:r>
              <w:rPr>
                <w:spacing w:val="-7"/>
                <w:sz w:val="21"/>
              </w:rPr>
              <w:t xml:space="preserve"> </w:t>
            </w:r>
            <w:r>
              <w:rPr>
                <w:sz w:val="21"/>
              </w:rPr>
              <w:t>County</w:t>
            </w:r>
            <w:r>
              <w:rPr>
                <w:spacing w:val="-8"/>
                <w:sz w:val="21"/>
              </w:rPr>
              <w:t xml:space="preserve"> </w:t>
            </w:r>
            <w:r>
              <w:rPr>
                <w:spacing w:val="-4"/>
                <w:sz w:val="21"/>
              </w:rPr>
              <w:t>(TN)</w:t>
            </w:r>
          </w:p>
        </w:tc>
        <w:tc>
          <w:tcPr>
            <w:tcW w:w="2633" w:type="dxa"/>
            <w:tcBorders>
              <w:bottom w:val="single" w:sz="18" w:space="0" w:color="800000"/>
            </w:tcBorders>
          </w:tcPr>
          <w:p w:rsidR="003F5784" w14:paraId="67222838" w14:textId="77777777">
            <w:pPr>
              <w:pStyle w:val="TableParagraph"/>
              <w:ind w:right="306"/>
              <w:rPr>
                <w:sz w:val="21"/>
              </w:rPr>
            </w:pPr>
            <w:r>
              <w:rPr>
                <w:sz w:val="21"/>
              </w:rPr>
              <w:t>Achievement</w:t>
            </w:r>
            <w:r>
              <w:rPr>
                <w:spacing w:val="-13"/>
                <w:sz w:val="21"/>
              </w:rPr>
              <w:t xml:space="preserve"> </w:t>
            </w:r>
            <w:r>
              <w:rPr>
                <w:spacing w:val="-4"/>
                <w:sz w:val="21"/>
              </w:rPr>
              <w:t>data</w:t>
            </w:r>
          </w:p>
        </w:tc>
        <w:tc>
          <w:tcPr>
            <w:tcW w:w="2111" w:type="dxa"/>
            <w:tcBorders>
              <w:bottom w:val="single" w:sz="18" w:space="0" w:color="800000"/>
            </w:tcBorders>
          </w:tcPr>
          <w:p w:rsidR="003F5784" w14:paraId="246DD120" w14:textId="77777777">
            <w:pPr>
              <w:pStyle w:val="TableParagraph"/>
              <w:ind w:right="553"/>
              <w:rPr>
                <w:sz w:val="21"/>
              </w:rPr>
            </w:pPr>
            <w:r>
              <w:rPr>
                <w:sz w:val="21"/>
              </w:rPr>
              <w:t>90th</w:t>
            </w:r>
            <w:r>
              <w:rPr>
                <w:spacing w:val="-5"/>
                <w:sz w:val="21"/>
              </w:rPr>
              <w:t xml:space="preserve"> </w:t>
            </w:r>
            <w:r>
              <w:rPr>
                <w:spacing w:val="-2"/>
                <w:sz w:val="21"/>
              </w:rPr>
              <w:t>percentile</w:t>
            </w:r>
          </w:p>
        </w:tc>
        <w:tc>
          <w:tcPr>
            <w:tcW w:w="1792" w:type="dxa"/>
            <w:tcBorders>
              <w:bottom w:val="single" w:sz="18" w:space="0" w:color="800000"/>
            </w:tcBorders>
          </w:tcPr>
          <w:p w:rsidR="003F5784" w14:paraId="23FC77DE" w14:textId="77777777">
            <w:pPr>
              <w:pStyle w:val="TableParagraph"/>
              <w:ind w:right="552"/>
              <w:rPr>
                <w:sz w:val="21"/>
              </w:rPr>
            </w:pPr>
            <w:r>
              <w:rPr>
                <w:spacing w:val="-2"/>
                <w:sz w:val="21"/>
              </w:rPr>
              <w:t>48.93</w:t>
            </w:r>
          </w:p>
        </w:tc>
        <w:tc>
          <w:tcPr>
            <w:tcW w:w="1490" w:type="dxa"/>
            <w:tcBorders>
              <w:bottom w:val="single" w:sz="18" w:space="0" w:color="800000"/>
            </w:tcBorders>
          </w:tcPr>
          <w:p w:rsidR="003F5784" w14:paraId="278F3ED1" w14:textId="77777777">
            <w:pPr>
              <w:pStyle w:val="TableParagraph"/>
              <w:ind w:right="249"/>
              <w:rPr>
                <w:sz w:val="21"/>
              </w:rPr>
            </w:pPr>
            <w:r>
              <w:rPr>
                <w:spacing w:val="-2"/>
                <w:sz w:val="21"/>
              </w:rPr>
              <w:t>49.67</w:t>
            </w:r>
          </w:p>
        </w:tc>
        <w:tc>
          <w:tcPr>
            <w:tcW w:w="1973" w:type="dxa"/>
            <w:tcBorders>
              <w:bottom w:val="single" w:sz="18" w:space="0" w:color="800000"/>
            </w:tcBorders>
          </w:tcPr>
          <w:p w:rsidR="003F5784" w14:paraId="3D69901F" w14:textId="77777777">
            <w:pPr>
              <w:pStyle w:val="TableParagraph"/>
              <w:ind w:right="113"/>
              <w:rPr>
                <w:sz w:val="21"/>
              </w:rPr>
            </w:pPr>
            <w:r>
              <w:rPr>
                <w:sz w:val="21"/>
              </w:rPr>
              <w:t>(49.43,</w:t>
            </w:r>
            <w:r>
              <w:rPr>
                <w:spacing w:val="-7"/>
                <w:sz w:val="21"/>
              </w:rPr>
              <w:t xml:space="preserve"> </w:t>
            </w:r>
            <w:r>
              <w:rPr>
                <w:spacing w:val="-2"/>
                <w:sz w:val="21"/>
              </w:rPr>
              <w:t>50.35)</w:t>
            </w:r>
          </w:p>
        </w:tc>
      </w:tr>
    </w:tbl>
    <w:p w:rsidR="003F5784" w14:paraId="21CB1ADC" w14:textId="77777777">
      <w:pPr>
        <w:spacing w:before="22"/>
        <w:ind w:left="595" w:right="318"/>
        <w:rPr>
          <w:sz w:val="18"/>
        </w:rPr>
      </w:pPr>
      <w:r>
        <w:rPr>
          <w:sz w:val="18"/>
        </w:rPr>
        <w:t>SOURCE: U.S. Department of Education, Institute of Education Sciences, National Center for Education Statistics, National</w:t>
      </w:r>
      <w:r>
        <w:rPr>
          <w:spacing w:val="-5"/>
          <w:sz w:val="18"/>
        </w:rPr>
        <w:t xml:space="preserve"> </w:t>
      </w:r>
      <w:r>
        <w:rPr>
          <w:sz w:val="18"/>
        </w:rPr>
        <w:t>Assessment of Educational Progress (NAEP), 2022 State Mathematics and Reading Assessments.</w:t>
      </w:r>
    </w:p>
    <w:p w:rsidR="003F5784" w14:paraId="07D22964" w14:textId="77777777">
      <w:pPr>
        <w:pStyle w:val="BodyText"/>
        <w:rPr>
          <w:sz w:val="18"/>
        </w:rPr>
      </w:pPr>
    </w:p>
    <w:p w:rsidR="003F5784" w14:paraId="248A8F09" w14:textId="77777777">
      <w:pPr>
        <w:pStyle w:val="BodyText"/>
        <w:rPr>
          <w:sz w:val="18"/>
        </w:rPr>
      </w:pPr>
    </w:p>
    <w:p w:rsidR="003F5784" w14:paraId="729E1E77" w14:textId="77777777">
      <w:pPr>
        <w:pStyle w:val="BodyText"/>
        <w:spacing w:before="63"/>
        <w:rPr>
          <w:sz w:val="18"/>
        </w:rPr>
      </w:pPr>
    </w:p>
    <w:p w:rsidR="003F5784" w14:paraId="37039F09" w14:textId="77777777">
      <w:pPr>
        <w:pStyle w:val="BodyText"/>
        <w:spacing w:before="1" w:line="232" w:lineRule="auto"/>
        <w:ind w:left="109" w:right="147"/>
      </w:pPr>
      <w:r>
        <w:t>The</w:t>
      </w:r>
      <w:r>
        <w:rPr>
          <w:spacing w:val="-6"/>
        </w:rPr>
        <w:t xml:space="preserve"> </w:t>
      </w:r>
      <w:r>
        <w:t>number</w:t>
      </w:r>
      <w:r>
        <w:rPr>
          <w:spacing w:val="-6"/>
        </w:rPr>
        <w:t xml:space="preserve"> </w:t>
      </w:r>
      <w:r>
        <w:t>of</w:t>
      </w:r>
      <w:r>
        <w:rPr>
          <w:spacing w:val="-6"/>
        </w:rPr>
        <w:t xml:space="preserve"> </w:t>
      </w:r>
      <w:r>
        <w:t>significant</w:t>
      </w:r>
      <w:r>
        <w:rPr>
          <w:spacing w:val="-6"/>
        </w:rPr>
        <w:t xml:space="preserve"> </w:t>
      </w:r>
      <w:r>
        <w:t>differences</w:t>
      </w:r>
      <w:r>
        <w:rPr>
          <w:spacing w:val="-6"/>
        </w:rPr>
        <w:t xml:space="preserve"> </w:t>
      </w:r>
      <w:r>
        <w:t>found</w:t>
      </w:r>
      <w:r>
        <w:rPr>
          <w:spacing w:val="-6"/>
        </w:rPr>
        <w:t xml:space="preserve"> </w:t>
      </w:r>
      <w:r>
        <w:t>in</w:t>
      </w:r>
      <w:r>
        <w:rPr>
          <w:spacing w:val="-6"/>
        </w:rPr>
        <w:t xml:space="preserve"> </w:t>
      </w:r>
      <w:r>
        <w:t>this</w:t>
      </w:r>
      <w:r>
        <w:rPr>
          <w:spacing w:val="-6"/>
        </w:rPr>
        <w:t xml:space="preserve"> </w:t>
      </w:r>
      <w:r>
        <w:t>analysis</w:t>
      </w:r>
      <w:r>
        <w:rPr>
          <w:spacing w:val="-6"/>
        </w:rPr>
        <w:t xml:space="preserve"> </w:t>
      </w:r>
      <w:r>
        <w:t>was</w:t>
      </w:r>
      <w:r>
        <w:rPr>
          <w:spacing w:val="-6"/>
        </w:rPr>
        <w:t xml:space="preserve"> </w:t>
      </w:r>
      <w:r>
        <w:t>close</w:t>
      </w:r>
      <w:r>
        <w:rPr>
          <w:spacing w:val="-6"/>
        </w:rPr>
        <w:t xml:space="preserve"> </w:t>
      </w:r>
      <w:r>
        <w:t>to</w:t>
      </w:r>
      <w:r>
        <w:rPr>
          <w:spacing w:val="-6"/>
        </w:rPr>
        <w:t xml:space="preserve"> </w:t>
      </w:r>
      <w:r>
        <w:t>what</w:t>
      </w:r>
      <w:r>
        <w:rPr>
          <w:spacing w:val="-6"/>
        </w:rPr>
        <w:t xml:space="preserve"> </w:t>
      </w:r>
      <w:r>
        <w:t>would</w:t>
      </w:r>
      <w:r>
        <w:rPr>
          <w:spacing w:val="-6"/>
        </w:rPr>
        <w:t xml:space="preserve"> </w:t>
      </w:r>
      <w:r>
        <w:t>be</w:t>
      </w:r>
      <w:r>
        <w:rPr>
          <w:spacing w:val="-6"/>
        </w:rPr>
        <w:t xml:space="preserve"> </w:t>
      </w:r>
      <w:r>
        <w:t>expected,</w:t>
      </w:r>
      <w:r>
        <w:rPr>
          <w:spacing w:val="-6"/>
        </w:rPr>
        <w:t xml:space="preserve"> </w:t>
      </w:r>
      <w:r>
        <w:t>albeit</w:t>
      </w:r>
      <w:r>
        <w:rPr>
          <w:spacing w:val="-6"/>
        </w:rPr>
        <w:t xml:space="preserve"> </w:t>
      </w:r>
      <w:r>
        <w:t>slightly</w:t>
      </w:r>
      <w:r>
        <w:rPr>
          <w:spacing w:val="-6"/>
        </w:rPr>
        <w:t xml:space="preserve"> </w:t>
      </w:r>
      <w:r>
        <w:t>higher,</w:t>
      </w:r>
      <w:r>
        <w:rPr>
          <w:spacing w:val="-6"/>
        </w:rPr>
        <w:t xml:space="preserve"> </w:t>
      </w:r>
      <w:r>
        <w:t>given</w:t>
      </w:r>
      <w:r>
        <w:rPr>
          <w:spacing w:val="-6"/>
        </w:rPr>
        <w:t xml:space="preserve"> </w:t>
      </w:r>
      <w:r>
        <w:t>the</w:t>
      </w:r>
      <w:r>
        <w:rPr>
          <w:spacing w:val="-6"/>
        </w:rPr>
        <w:t xml:space="preserve"> </w:t>
      </w:r>
      <w:r>
        <w:t>large</w:t>
      </w:r>
      <w:r>
        <w:rPr>
          <w:spacing w:val="-6"/>
        </w:rPr>
        <w:t xml:space="preserve"> </w:t>
      </w:r>
      <w:r>
        <w:t>number</w:t>
      </w:r>
      <w:r>
        <w:rPr>
          <w:spacing w:val="-6"/>
        </w:rPr>
        <w:t xml:space="preserve"> </w:t>
      </w:r>
      <w:r>
        <w:t>of</w:t>
      </w:r>
      <w:r>
        <w:rPr>
          <w:spacing w:val="-6"/>
        </w:rPr>
        <w:t xml:space="preserve"> </w:t>
      </w:r>
      <w:r>
        <w:t>comparisons</w:t>
      </w:r>
      <w:r>
        <w:rPr>
          <w:spacing w:val="-6"/>
        </w:rPr>
        <w:t xml:space="preserve"> </w:t>
      </w:r>
      <w:r>
        <w:t>that</w:t>
      </w:r>
      <w:r>
        <w:rPr>
          <w:spacing w:val="-6"/>
        </w:rPr>
        <w:t xml:space="preserve"> </w:t>
      </w:r>
      <w:r>
        <w:t>were</w:t>
      </w:r>
      <w:r>
        <w:rPr>
          <w:spacing w:val="-6"/>
        </w:rPr>
        <w:t xml:space="preserve"> </w:t>
      </w:r>
      <w:r>
        <w:t>made. Also, the number of significant results were widely spread throughout different grades and jurisdictions. Even in the statistically significant cases, the close adherence of sample values to frame values suggests there is little evidence that the school sample for NAEP</w:t>
      </w:r>
      <w:r>
        <w:rPr>
          <w:spacing w:val="-7"/>
        </w:rPr>
        <w:t xml:space="preserve"> </w:t>
      </w:r>
      <w:r>
        <w:t>2022 is not representative of the frame from which it was selected.</w:t>
      </w:r>
      <w:r>
        <w:rPr>
          <w:spacing w:val="-3"/>
        </w:rPr>
        <w:t xml:space="preserve"> </w:t>
      </w:r>
      <w:r>
        <w:t>The achievement/median-income</w:t>
      </w:r>
      <w:r>
        <w:rPr>
          <w:spacing w:val="-3"/>
        </w:rPr>
        <w:t xml:space="preserve"> </w:t>
      </w:r>
      <w:r>
        <w:t>variable</w:t>
      </w:r>
      <w:r>
        <w:rPr>
          <w:spacing w:val="-3"/>
        </w:rPr>
        <w:t xml:space="preserve"> </w:t>
      </w:r>
      <w:r>
        <w:t>is</w:t>
      </w:r>
      <w:r>
        <w:rPr>
          <w:spacing w:val="-3"/>
        </w:rPr>
        <w:t xml:space="preserve"> </w:t>
      </w:r>
      <w:r>
        <w:t>used</w:t>
      </w:r>
      <w:r>
        <w:rPr>
          <w:spacing w:val="-3"/>
        </w:rPr>
        <w:t xml:space="preserve"> </w:t>
      </w:r>
      <w:r>
        <w:t>as</w:t>
      </w:r>
      <w:r>
        <w:rPr>
          <w:spacing w:val="-3"/>
        </w:rPr>
        <w:t xml:space="preserve"> </w:t>
      </w:r>
      <w:r>
        <w:t>the</w:t>
      </w:r>
      <w:r>
        <w:rPr>
          <w:spacing w:val="-3"/>
        </w:rPr>
        <w:t xml:space="preserve"> </w:t>
      </w:r>
      <w:r>
        <w:t>third-level</w:t>
      </w:r>
      <w:r>
        <w:rPr>
          <w:spacing w:val="-3"/>
        </w:rPr>
        <w:t xml:space="preserve"> </w:t>
      </w:r>
      <w:r>
        <w:t>sort</w:t>
      </w:r>
      <w:r>
        <w:rPr>
          <w:spacing w:val="-3"/>
        </w:rPr>
        <w:t xml:space="preserve"> </w:t>
      </w:r>
      <w:r>
        <w:t>order</w:t>
      </w:r>
      <w:r>
        <w:rPr>
          <w:spacing w:val="-3"/>
        </w:rPr>
        <w:t xml:space="preserve"> </w:t>
      </w:r>
      <w:r>
        <w:t>variable</w:t>
      </w:r>
      <w:r>
        <w:rPr>
          <w:spacing w:val="-3"/>
        </w:rPr>
        <w:t xml:space="preserve"> </w:t>
      </w:r>
      <w:r>
        <w:t>in</w:t>
      </w:r>
      <w:r>
        <w:rPr>
          <w:spacing w:val="-3"/>
        </w:rPr>
        <w:t xml:space="preserve"> </w:t>
      </w:r>
      <w:r>
        <w:t>the</w:t>
      </w:r>
      <w:r>
        <w:rPr>
          <w:spacing w:val="-3"/>
        </w:rPr>
        <w:t xml:space="preserve"> </w:t>
      </w:r>
      <w:r>
        <w:t>school</w:t>
      </w:r>
      <w:r>
        <w:rPr>
          <w:spacing w:val="-3"/>
        </w:rPr>
        <w:t xml:space="preserve"> </w:t>
      </w:r>
      <w:r>
        <w:t>systematic</w:t>
      </w:r>
      <w:r>
        <w:rPr>
          <w:spacing w:val="-3"/>
        </w:rPr>
        <w:t xml:space="preserve"> </w:t>
      </w:r>
      <w:r>
        <w:t>selection</w:t>
      </w:r>
      <w:r>
        <w:rPr>
          <w:spacing w:val="-3"/>
        </w:rPr>
        <w:t xml:space="preserve"> </w:t>
      </w:r>
      <w:r>
        <w:t>procedure.</w:t>
      </w:r>
      <w:r>
        <w:rPr>
          <w:spacing w:val="-7"/>
        </w:rPr>
        <w:t xml:space="preserve"> </w:t>
      </w:r>
      <w:r>
        <w:t>While</w:t>
      </w:r>
      <w:r>
        <w:rPr>
          <w:spacing w:val="-3"/>
        </w:rPr>
        <w:t xml:space="preserve"> </w:t>
      </w:r>
      <w:r>
        <w:t>it</w:t>
      </w:r>
      <w:r>
        <w:rPr>
          <w:spacing w:val="-3"/>
        </w:rPr>
        <w:t xml:space="preserve"> </w:t>
      </w:r>
      <w:r>
        <w:t>may</w:t>
      </w:r>
      <w:r>
        <w:rPr>
          <w:spacing w:val="-3"/>
        </w:rPr>
        <w:t xml:space="preserve"> </w:t>
      </w:r>
      <w:r>
        <w:t>be</w:t>
      </w:r>
      <w:r>
        <w:rPr>
          <w:spacing w:val="-3"/>
        </w:rPr>
        <w:t xml:space="preserve"> </w:t>
      </w:r>
      <w:r>
        <w:t>a</w:t>
      </w:r>
      <w:r>
        <w:rPr>
          <w:spacing w:val="-3"/>
        </w:rPr>
        <w:t xml:space="preserve"> </w:t>
      </w:r>
      <w:r>
        <w:t>rather</w:t>
      </w:r>
      <w:r>
        <w:rPr>
          <w:spacing w:val="-3"/>
        </w:rPr>
        <w:t xml:space="preserve"> </w:t>
      </w:r>
      <w:r>
        <w:t>low</w:t>
      </w:r>
      <w:r>
        <w:rPr>
          <w:spacing w:val="-3"/>
        </w:rPr>
        <w:t xml:space="preserve"> </w:t>
      </w:r>
      <w:r>
        <w:t>level</w:t>
      </w:r>
      <w:r>
        <w:rPr>
          <w:spacing w:val="-3"/>
        </w:rPr>
        <w:t xml:space="preserve"> </w:t>
      </w:r>
      <w:r>
        <w:t>sort</w:t>
      </w:r>
      <w:r>
        <w:rPr>
          <w:spacing w:val="-3"/>
        </w:rPr>
        <w:t xml:space="preserve"> </w:t>
      </w:r>
      <w:r>
        <w:t>variable, it</w:t>
      </w:r>
      <w:r>
        <w:rPr>
          <w:spacing w:val="-3"/>
        </w:rPr>
        <w:t xml:space="preserve"> </w:t>
      </w:r>
      <w:r>
        <w:t>still</w:t>
      </w:r>
      <w:r>
        <w:rPr>
          <w:spacing w:val="-3"/>
        </w:rPr>
        <w:t xml:space="preserve"> </w:t>
      </w:r>
      <w:r>
        <w:t>helps</w:t>
      </w:r>
      <w:r>
        <w:rPr>
          <w:spacing w:val="-3"/>
        </w:rPr>
        <w:t xml:space="preserve"> </w:t>
      </w:r>
      <w:r>
        <w:t>control</w:t>
      </w:r>
      <w:r>
        <w:rPr>
          <w:spacing w:val="-3"/>
        </w:rPr>
        <w:t xml:space="preserve"> </w:t>
      </w:r>
      <w:r>
        <w:t>how</w:t>
      </w:r>
      <w:r>
        <w:rPr>
          <w:spacing w:val="-3"/>
        </w:rPr>
        <w:t xml:space="preserve"> </w:t>
      </w:r>
      <w:r>
        <w:t>representative</w:t>
      </w:r>
      <w:r>
        <w:rPr>
          <w:spacing w:val="-3"/>
        </w:rPr>
        <w:t xml:space="preserve"> </w:t>
      </w:r>
      <w:r>
        <w:t>the</w:t>
      </w:r>
      <w:r>
        <w:rPr>
          <w:spacing w:val="-3"/>
        </w:rPr>
        <w:t xml:space="preserve"> </w:t>
      </w:r>
      <w:r>
        <w:t>sampled</w:t>
      </w:r>
      <w:r>
        <w:rPr>
          <w:spacing w:val="-3"/>
        </w:rPr>
        <w:t xml:space="preserve"> </w:t>
      </w:r>
      <w:r>
        <w:t>schools</w:t>
      </w:r>
      <w:r>
        <w:rPr>
          <w:spacing w:val="-3"/>
        </w:rPr>
        <w:t xml:space="preserve"> </w:t>
      </w:r>
      <w:r>
        <w:t>are</w:t>
      </w:r>
      <w:r>
        <w:rPr>
          <w:spacing w:val="-3"/>
        </w:rPr>
        <w:t xml:space="preserve"> </w:t>
      </w:r>
      <w:r>
        <w:t>in</w:t>
      </w:r>
      <w:r>
        <w:rPr>
          <w:spacing w:val="-3"/>
        </w:rPr>
        <w:t xml:space="preserve"> </w:t>
      </w:r>
      <w:r>
        <w:t>terms</w:t>
      </w:r>
      <w:r>
        <w:rPr>
          <w:spacing w:val="-3"/>
        </w:rPr>
        <w:t xml:space="preserve"> </w:t>
      </w:r>
      <w:r>
        <w:t>of</w:t>
      </w:r>
      <w:r>
        <w:rPr>
          <w:spacing w:val="-3"/>
        </w:rPr>
        <w:t xml:space="preserve"> </w:t>
      </w:r>
      <w:r>
        <w:t>achievement.</w:t>
      </w:r>
      <w:r>
        <w:rPr>
          <w:spacing w:val="-7"/>
        </w:rPr>
        <w:t xml:space="preserve"> </w:t>
      </w:r>
      <w:r>
        <w:t>The</w:t>
      </w:r>
      <w:r>
        <w:rPr>
          <w:spacing w:val="-3"/>
        </w:rPr>
        <w:t xml:space="preserve"> </w:t>
      </w:r>
      <w:r>
        <w:t>close</w:t>
      </w:r>
      <w:r>
        <w:rPr>
          <w:spacing w:val="-3"/>
        </w:rPr>
        <w:t xml:space="preserve"> </w:t>
      </w:r>
      <w:r>
        <w:t>agreement</w:t>
      </w:r>
      <w:r>
        <w:rPr>
          <w:spacing w:val="-3"/>
        </w:rPr>
        <w:t xml:space="preserve"> </w:t>
      </w:r>
      <w:r>
        <w:t>between</w:t>
      </w:r>
      <w:r>
        <w:rPr>
          <w:spacing w:val="-3"/>
        </w:rPr>
        <w:t xml:space="preserve"> </w:t>
      </w:r>
      <w:r>
        <w:t>frame</w:t>
      </w:r>
      <w:r>
        <w:rPr>
          <w:spacing w:val="-3"/>
        </w:rPr>
        <w:t xml:space="preserve"> </w:t>
      </w:r>
      <w:r>
        <w:t>and</w:t>
      </w:r>
      <w:r>
        <w:rPr>
          <w:spacing w:val="-3"/>
        </w:rPr>
        <w:t xml:space="preserve"> </w:t>
      </w:r>
      <w:r>
        <w:t>sample</w:t>
      </w:r>
      <w:r>
        <w:rPr>
          <w:spacing w:val="-3"/>
        </w:rPr>
        <w:t xml:space="preserve"> </w:t>
      </w:r>
      <w:r>
        <w:t>values</w:t>
      </w:r>
      <w:r>
        <w:rPr>
          <w:spacing w:val="-3"/>
        </w:rPr>
        <w:t xml:space="preserve"> </w:t>
      </w:r>
      <w:r>
        <w:t>of</w:t>
      </w:r>
      <w:r>
        <w:rPr>
          <w:spacing w:val="-3"/>
        </w:rPr>
        <w:t xml:space="preserve"> </w:t>
      </w:r>
      <w:r>
        <w:t>these</w:t>
      </w:r>
      <w:r>
        <w:rPr>
          <w:spacing w:val="-3"/>
        </w:rPr>
        <w:t xml:space="preserve"> </w:t>
      </w:r>
      <w:r>
        <w:t>achievement/median- income variables provided assurance that the selected sample is representative of the frame with respect to achievement or income status.</w:t>
      </w:r>
    </w:p>
    <w:p w:rsidR="003F5784" w14:paraId="20F8F403" w14:textId="77777777">
      <w:pPr>
        <w:pStyle w:val="BodyText"/>
      </w:pPr>
    </w:p>
    <w:p w:rsidR="003F5784" w14:paraId="09B5E578" w14:textId="77777777">
      <w:pPr>
        <w:pStyle w:val="BodyText"/>
      </w:pPr>
    </w:p>
    <w:p w:rsidR="003F5784" w14:paraId="2230DFEC" w14:textId="77777777">
      <w:pPr>
        <w:pStyle w:val="BodyText"/>
        <w:spacing w:before="146"/>
      </w:pPr>
    </w:p>
    <w:p w:rsidR="003F5784" w14:paraId="480B2478" w14:textId="77777777">
      <w:pPr>
        <w:ind w:left="2842"/>
        <w:rPr>
          <w:sz w:val="18"/>
        </w:rPr>
      </w:pPr>
      <w:hyperlink r:id="rId305">
        <w:r>
          <w:rPr>
            <w:spacing w:val="-2"/>
            <w:w w:val="105"/>
            <w:sz w:val="18"/>
          </w:rPr>
          <w:t>http://nces.ed.gov/nationsreportcard/tdw/sample_design/2022/evaluation_of_the_samples_for_the_2022_state_assessment_using_state_achievement_data.aspx</w:t>
        </w:r>
      </w:hyperlink>
    </w:p>
    <w:p w:rsidR="003F5784" w14:paraId="6E82F139" w14:textId="77777777">
      <w:pPr>
        <w:pStyle w:val="BodyText"/>
        <w:spacing w:before="1"/>
        <w:rPr>
          <w:sz w:val="16"/>
        </w:rPr>
      </w:pPr>
      <w:r>
        <w:rPr>
          <w:noProof/>
        </w:rPr>
        <mc:AlternateContent>
          <mc:Choice Requires="wps">
            <w:drawing>
              <wp:anchor distT="0" distB="0" distL="0" distR="0" simplePos="0" relativeHeight="251941888" behindDoc="1" locked="0" layoutInCell="1" allowOverlap="1">
                <wp:simplePos x="0" y="0"/>
                <wp:positionH relativeFrom="page">
                  <wp:posOffset>361937</wp:posOffset>
                </wp:positionH>
                <wp:positionV relativeFrom="paragraph">
                  <wp:posOffset>132995</wp:posOffset>
                </wp:positionV>
                <wp:extent cx="9339580" cy="8890"/>
                <wp:effectExtent l="0" t="0" r="0" b="0"/>
                <wp:wrapTopAndBottom/>
                <wp:docPr id="398" name="Graphic 39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67"/>
                              </a:lnTo>
                              <a:lnTo>
                                <a:pt x="9335110" y="8293"/>
                              </a:lnTo>
                              <a:lnTo>
                                <a:pt x="9338970" y="8293"/>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398" o:spid="_x0000_s1148" style="width:735.4pt;height:0.7pt;margin-top:10.45pt;margin-left:28.5pt;mso-position-horizontal-relative:page;mso-wrap-distance-bottom:0;mso-wrap-distance-left:0;mso-wrap-distance-right:0;mso-wrap-distance-top:0;mso-wrap-style:square;position:absolute;visibility:visible;v-text-anchor:top;z-index:-251373568" coordsize="9339580,8890" path="m9338970,12l9335110,12l8280,12,,,,8267l9335110,8293l9338970,8293l9338970,12xe" fillcolor="gray" stroked="f">
                <v:path arrowok="t"/>
                <w10:wrap type="topAndBottom"/>
              </v:shape>
            </w:pict>
          </mc:Fallback>
        </mc:AlternateContent>
      </w:r>
    </w:p>
    <w:p w:rsidR="003F5784" w14:paraId="306D0B8C" w14:textId="77777777">
      <w:pPr>
        <w:pStyle w:val="BodyText"/>
        <w:rPr>
          <w:sz w:val="18"/>
        </w:rPr>
      </w:pPr>
    </w:p>
    <w:p w:rsidR="003F5784" w14:paraId="6260CCCE" w14:textId="77777777">
      <w:pPr>
        <w:pStyle w:val="BodyText"/>
        <w:spacing w:before="193"/>
        <w:rPr>
          <w:sz w:val="18"/>
        </w:rPr>
      </w:pPr>
    </w:p>
    <w:p w:rsidR="003F5784" w14:paraId="369DD799" w14:textId="77777777">
      <w:pPr>
        <w:pStyle w:val="Heading1"/>
        <w:spacing w:line="244" w:lineRule="auto"/>
        <w:ind w:right="1264"/>
      </w:pPr>
      <w:r>
        <w:t>NAEP</w:t>
      </w:r>
      <w:r>
        <w:rPr>
          <w:spacing w:val="-16"/>
        </w:rPr>
        <w:t xml:space="preserve"> </w:t>
      </w:r>
      <w:r>
        <w:t>Technical Documentation School Sample Sizes: CCD-Based and New- School Sampling Frames for the 2022 State Assessment</w:t>
      </w:r>
    </w:p>
    <w:p w:rsidR="003F5784" w14:paraId="6064DD79" w14:textId="77777777">
      <w:pPr>
        <w:pStyle w:val="BodyText"/>
        <w:spacing w:before="287" w:line="232" w:lineRule="auto"/>
        <w:ind w:left="109" w:right="117"/>
      </w:pPr>
      <w:r>
        <w:t>The following table presents the number of schools selected for the fourth- and eighth-grade public school mathematics and reading samples by sampling frame ( Common Core of Data [CCD]-based and new school) and participating jurisdiction.</w:t>
      </w:r>
      <w:r>
        <w:rPr>
          <w:spacing w:val="-3"/>
        </w:rPr>
        <w:t xml:space="preserve"> </w:t>
      </w:r>
      <w:r>
        <w:t>The school counts shown are at the time of sampling. In the table, the first column, Jurisdiction, is either</w:t>
      </w:r>
      <w:r>
        <w:rPr>
          <w:spacing w:val="-13"/>
        </w:rPr>
        <w:t xml:space="preserve"> </w:t>
      </w:r>
      <w:r>
        <w:t>the</w:t>
      </w:r>
      <w:r>
        <w:rPr>
          <w:spacing w:val="-5"/>
        </w:rPr>
        <w:t xml:space="preserve"> </w:t>
      </w:r>
      <w:r>
        <w:t>"state</w:t>
      </w:r>
      <w:r>
        <w:rPr>
          <w:spacing w:val="-6"/>
        </w:rPr>
        <w:t xml:space="preserve"> </w:t>
      </w:r>
      <w:r>
        <w:t>name"</w:t>
      </w:r>
      <w:r>
        <w:rPr>
          <w:spacing w:val="-6"/>
        </w:rPr>
        <w:t xml:space="preserve"> </w:t>
      </w:r>
      <w:r>
        <w:t>if</w:t>
      </w:r>
      <w:r>
        <w:rPr>
          <w:spacing w:val="-6"/>
        </w:rPr>
        <w:t xml:space="preserve"> </w:t>
      </w:r>
      <w:r>
        <w:t>the</w:t>
      </w:r>
      <w:r>
        <w:rPr>
          <w:spacing w:val="-6"/>
        </w:rPr>
        <w:t xml:space="preserve"> </w:t>
      </w:r>
      <w:r>
        <w:t>state</w:t>
      </w:r>
      <w:r>
        <w:rPr>
          <w:spacing w:val="-6"/>
        </w:rPr>
        <w:t xml:space="preserve"> </w:t>
      </w:r>
      <w:r>
        <w:t>does</w:t>
      </w:r>
      <w:r>
        <w:rPr>
          <w:spacing w:val="-6"/>
        </w:rPr>
        <w:t xml:space="preserve"> </w:t>
      </w:r>
      <w:r>
        <w:t>not</w:t>
      </w:r>
      <w:r>
        <w:rPr>
          <w:spacing w:val="-6"/>
        </w:rPr>
        <w:t xml:space="preserve"> </w:t>
      </w:r>
      <w:r>
        <w:t>have</w:t>
      </w:r>
      <w:r>
        <w:rPr>
          <w:spacing w:val="-6"/>
        </w:rPr>
        <w:t xml:space="preserve"> </w:t>
      </w:r>
      <w:r>
        <w:t>a</w:t>
      </w:r>
      <w:r>
        <w:rPr>
          <w:spacing w:val="-10"/>
        </w:rPr>
        <w:t xml:space="preserve"> </w:t>
      </w:r>
      <w:r>
        <w:t>Trial</w:t>
      </w:r>
      <w:r>
        <w:rPr>
          <w:spacing w:val="-6"/>
        </w:rPr>
        <w:t xml:space="preserve"> </w:t>
      </w:r>
      <w:r>
        <w:t>Urban</w:t>
      </w:r>
      <w:r>
        <w:rPr>
          <w:spacing w:val="-6"/>
        </w:rPr>
        <w:t xml:space="preserve"> </w:t>
      </w:r>
      <w:r>
        <w:t>District</w:t>
      </w:r>
      <w:r>
        <w:rPr>
          <w:spacing w:val="-14"/>
        </w:rPr>
        <w:t xml:space="preserve"> </w:t>
      </w:r>
      <w:r>
        <w:t>Assessments</w:t>
      </w:r>
      <w:r>
        <w:rPr>
          <w:spacing w:val="-5"/>
        </w:rPr>
        <w:t xml:space="preserve"> </w:t>
      </w:r>
      <w:r>
        <w:t>(TUDA)</w:t>
      </w:r>
      <w:r>
        <w:rPr>
          <w:spacing w:val="-6"/>
        </w:rPr>
        <w:t xml:space="preserve"> </w:t>
      </w:r>
      <w:r>
        <w:t>district</w:t>
      </w:r>
      <w:r>
        <w:rPr>
          <w:spacing w:val="-6"/>
        </w:rPr>
        <w:t xml:space="preserve"> </w:t>
      </w:r>
      <w:r>
        <w:t>(e.g.,</w:t>
      </w:r>
      <w:r>
        <w:rPr>
          <w:spacing w:val="-14"/>
        </w:rPr>
        <w:t xml:space="preserve"> </w:t>
      </w:r>
      <w:r>
        <w:t>Alaska)</w:t>
      </w:r>
      <w:r>
        <w:rPr>
          <w:spacing w:val="-5"/>
        </w:rPr>
        <w:t xml:space="preserve"> </w:t>
      </w:r>
      <w:r>
        <w:t>or</w:t>
      </w:r>
      <w:r>
        <w:rPr>
          <w:spacing w:val="-6"/>
        </w:rPr>
        <w:t xml:space="preserve"> </w:t>
      </w:r>
      <w:r>
        <w:t>the</w:t>
      </w:r>
      <w:r>
        <w:rPr>
          <w:spacing w:val="-6"/>
        </w:rPr>
        <w:t xml:space="preserve"> </w:t>
      </w:r>
      <w:r>
        <w:t>"state</w:t>
      </w:r>
      <w:r>
        <w:rPr>
          <w:spacing w:val="-6"/>
        </w:rPr>
        <w:t xml:space="preserve"> </w:t>
      </w:r>
      <w:r>
        <w:t>name</w:t>
      </w:r>
      <w:r>
        <w:rPr>
          <w:spacing w:val="-6"/>
        </w:rPr>
        <w:t xml:space="preserve"> </w:t>
      </w:r>
      <w:r>
        <w:t>+</w:t>
      </w:r>
      <w:r>
        <w:rPr>
          <w:spacing w:val="-10"/>
        </w:rPr>
        <w:t xml:space="preserve"> </w:t>
      </w:r>
      <w:r>
        <w:t>TUDA</w:t>
      </w:r>
      <w:r>
        <w:rPr>
          <w:spacing w:val="-14"/>
        </w:rPr>
        <w:t xml:space="preserve"> </w:t>
      </w:r>
      <w:r>
        <w:t>district</w:t>
      </w:r>
      <w:r>
        <w:rPr>
          <w:spacing w:val="-5"/>
        </w:rPr>
        <w:t xml:space="preserve"> </w:t>
      </w:r>
      <w:r>
        <w:t>name"</w:t>
      </w:r>
      <w:r>
        <w:rPr>
          <w:spacing w:val="-6"/>
        </w:rPr>
        <w:t xml:space="preserve"> </w:t>
      </w:r>
      <w:r>
        <w:t>(e.g.,</w:t>
      </w:r>
      <w:r>
        <w:rPr>
          <w:spacing w:val="-6"/>
        </w:rPr>
        <w:t xml:space="preserve"> </w:t>
      </w:r>
      <w:r>
        <w:t>California— Los</w:t>
      </w:r>
      <w:r>
        <w:rPr>
          <w:spacing w:val="-2"/>
        </w:rPr>
        <w:t xml:space="preserve"> </w:t>
      </w:r>
      <w:r>
        <w:t>Angeles) and "state name + non-TUDA</w:t>
      </w:r>
      <w:r>
        <w:rPr>
          <w:spacing w:val="-2"/>
        </w:rPr>
        <w:t xml:space="preserve"> </w:t>
      </w:r>
      <w:r>
        <w:t>part" (e.g., California—Balance).</w:t>
      </w:r>
    </w:p>
    <w:p w:rsidR="003F5784" w14:paraId="18916372" w14:textId="77777777">
      <w:pPr>
        <w:pStyle w:val="BodyText"/>
        <w:spacing w:before="210" w:line="232" w:lineRule="auto"/>
        <w:ind w:left="109" w:right="179"/>
      </w:pPr>
      <w:r>
        <w:t>After</w:t>
      </w:r>
      <w:r>
        <w:rPr>
          <w:spacing w:val="-11"/>
        </w:rPr>
        <w:t xml:space="preserve"> </w:t>
      </w:r>
      <w:r>
        <w:t>school</w:t>
      </w:r>
      <w:r>
        <w:rPr>
          <w:spacing w:val="-6"/>
        </w:rPr>
        <w:t xml:space="preserve"> </w:t>
      </w:r>
      <w:r>
        <w:t>sampling,</w:t>
      </w:r>
      <w:r>
        <w:rPr>
          <w:spacing w:val="-6"/>
        </w:rPr>
        <w:t xml:space="preserve"> </w:t>
      </w:r>
      <w:r>
        <w:t>some</w:t>
      </w:r>
      <w:r>
        <w:rPr>
          <w:spacing w:val="-6"/>
        </w:rPr>
        <w:t xml:space="preserve"> </w:t>
      </w:r>
      <w:r>
        <w:t>schools</w:t>
      </w:r>
      <w:r>
        <w:rPr>
          <w:spacing w:val="-6"/>
        </w:rPr>
        <w:t xml:space="preserve"> </w:t>
      </w:r>
      <w:r>
        <w:t>in</w:t>
      </w:r>
      <w:r>
        <w:rPr>
          <w:spacing w:val="-10"/>
        </w:rPr>
        <w:t xml:space="preserve"> </w:t>
      </w:r>
      <w:r>
        <w:t>TUDA</w:t>
      </w:r>
      <w:r>
        <w:rPr>
          <w:spacing w:val="-14"/>
        </w:rPr>
        <w:t xml:space="preserve"> </w:t>
      </w:r>
      <w:r>
        <w:t>districts</w:t>
      </w:r>
      <w:r>
        <w:rPr>
          <w:spacing w:val="-5"/>
        </w:rPr>
        <w:t xml:space="preserve"> </w:t>
      </w:r>
      <w:r>
        <w:t>were</w:t>
      </w:r>
      <w:r>
        <w:rPr>
          <w:spacing w:val="-6"/>
        </w:rPr>
        <w:t xml:space="preserve"> </w:t>
      </w:r>
      <w:r>
        <w:t>discovered</w:t>
      </w:r>
      <w:r>
        <w:rPr>
          <w:spacing w:val="-6"/>
        </w:rPr>
        <w:t xml:space="preserve"> </w:t>
      </w:r>
      <w:r>
        <w:t>to</w:t>
      </w:r>
      <w:r>
        <w:rPr>
          <w:spacing w:val="-6"/>
        </w:rPr>
        <w:t xml:space="preserve"> </w:t>
      </w:r>
      <w:r>
        <w:t>be</w:t>
      </w:r>
      <w:r>
        <w:rPr>
          <w:spacing w:val="-6"/>
        </w:rPr>
        <w:t xml:space="preserve"> </w:t>
      </w:r>
      <w:r>
        <w:t>charter</w:t>
      </w:r>
      <w:r>
        <w:rPr>
          <w:spacing w:val="-6"/>
        </w:rPr>
        <w:t xml:space="preserve"> </w:t>
      </w:r>
      <w:r>
        <w:t>schools</w:t>
      </w:r>
      <w:r>
        <w:rPr>
          <w:spacing w:val="-6"/>
        </w:rPr>
        <w:t xml:space="preserve"> </w:t>
      </w:r>
      <w:r>
        <w:t>that</w:t>
      </w:r>
      <w:r>
        <w:rPr>
          <w:spacing w:val="-6"/>
        </w:rPr>
        <w:t xml:space="preserve"> </w:t>
      </w:r>
      <w:r>
        <w:t>were</w:t>
      </w:r>
      <w:r>
        <w:rPr>
          <w:spacing w:val="-6"/>
        </w:rPr>
        <w:t xml:space="preserve"> </w:t>
      </w:r>
      <w:r>
        <w:t>the</w:t>
      </w:r>
      <w:r>
        <w:rPr>
          <w:spacing w:val="-6"/>
        </w:rPr>
        <w:t xml:space="preserve"> </w:t>
      </w:r>
      <w:r>
        <w:t>responsibility</w:t>
      </w:r>
      <w:r>
        <w:rPr>
          <w:spacing w:val="-6"/>
        </w:rPr>
        <w:t xml:space="preserve"> </w:t>
      </w:r>
      <w:r>
        <w:t>of</w:t>
      </w:r>
      <w:r>
        <w:rPr>
          <w:spacing w:val="-6"/>
        </w:rPr>
        <w:t xml:space="preserve"> </w:t>
      </w:r>
      <w:r>
        <w:t>the</w:t>
      </w:r>
      <w:r>
        <w:rPr>
          <w:spacing w:val="-6"/>
        </w:rPr>
        <w:t xml:space="preserve"> </w:t>
      </w:r>
      <w:r>
        <w:t>state</w:t>
      </w:r>
      <w:r>
        <w:rPr>
          <w:spacing w:val="-6"/>
        </w:rPr>
        <w:t xml:space="preserve"> </w:t>
      </w:r>
      <w:r>
        <w:t>and</w:t>
      </w:r>
      <w:r>
        <w:rPr>
          <w:spacing w:val="-6"/>
        </w:rPr>
        <w:t xml:space="preserve"> </w:t>
      </w:r>
      <w:r>
        <w:t>not</w:t>
      </w:r>
      <w:r>
        <w:rPr>
          <w:spacing w:val="-6"/>
        </w:rPr>
        <w:t xml:space="preserve"> </w:t>
      </w:r>
      <w:r>
        <w:t>the</w:t>
      </w:r>
      <w:r>
        <w:rPr>
          <w:spacing w:val="-6"/>
        </w:rPr>
        <w:t xml:space="preserve"> </w:t>
      </w:r>
      <w:r>
        <w:t>individual</w:t>
      </w:r>
      <w:r>
        <w:rPr>
          <w:spacing w:val="-10"/>
        </w:rPr>
        <w:t xml:space="preserve"> </w:t>
      </w:r>
      <w:r>
        <w:t>TUDA</w:t>
      </w:r>
      <w:r>
        <w:rPr>
          <w:spacing w:val="-14"/>
        </w:rPr>
        <w:t xml:space="preserve"> </w:t>
      </w:r>
      <w:r>
        <w:t>district. These schools were reclassified from TUDA</w:t>
      </w:r>
      <w:r>
        <w:rPr>
          <w:spacing w:val="-3"/>
        </w:rPr>
        <w:t xml:space="preserve"> </w:t>
      </w:r>
      <w:r>
        <w:t>to "balance of the state".</w:t>
      </w:r>
    </w:p>
    <w:p w:rsidR="003F5784" w14:paraId="1CA0C2E4" w14:textId="77777777">
      <w:pPr>
        <w:spacing w:line="232" w:lineRule="auto"/>
        <w:sectPr>
          <w:type w:val="continuous"/>
          <w:pgSz w:w="15840" w:h="12240" w:orient="landscape"/>
          <w:pgMar w:top="480" w:right="440" w:bottom="460" w:left="460" w:header="284" w:footer="275" w:gutter="0"/>
          <w:cols w:space="720"/>
        </w:sectPr>
      </w:pPr>
    </w:p>
    <w:p w:rsidR="003F5784" w14:paraId="5E615A53" w14:textId="77777777">
      <w:pPr>
        <w:pStyle w:val="Heading2"/>
        <w:spacing w:before="203"/>
        <w:ind w:left="109"/>
      </w:pPr>
      <w:r>
        <w:t>Number</w:t>
      </w:r>
      <w:r>
        <w:rPr>
          <w:spacing w:val="-11"/>
        </w:rPr>
        <w:t xml:space="preserve"> </w:t>
      </w:r>
      <w:r>
        <w:t>of</w:t>
      </w:r>
      <w:r>
        <w:rPr>
          <w:spacing w:val="-7"/>
        </w:rPr>
        <w:t xml:space="preserve"> </w:t>
      </w:r>
      <w:r>
        <w:t>schools</w:t>
      </w:r>
      <w:r>
        <w:rPr>
          <w:spacing w:val="-6"/>
        </w:rPr>
        <w:t xml:space="preserve"> </w:t>
      </w:r>
      <w:r>
        <w:t>in</w:t>
      </w:r>
      <w:r>
        <w:rPr>
          <w:spacing w:val="-7"/>
        </w:rPr>
        <w:t xml:space="preserve"> </w:t>
      </w:r>
      <w:r>
        <w:t>the</w:t>
      </w:r>
      <w:r>
        <w:rPr>
          <w:spacing w:val="-7"/>
        </w:rPr>
        <w:t xml:space="preserve"> </w:t>
      </w:r>
      <w:r>
        <w:t>total,</w:t>
      </w:r>
      <w:r>
        <w:rPr>
          <w:spacing w:val="-7"/>
        </w:rPr>
        <w:t xml:space="preserve"> </w:t>
      </w:r>
      <w:r>
        <w:t>CCD-based,</w:t>
      </w:r>
      <w:r>
        <w:rPr>
          <w:spacing w:val="-7"/>
        </w:rPr>
        <w:t xml:space="preserve"> </w:t>
      </w:r>
      <w:r>
        <w:t>and</w:t>
      </w:r>
      <w:r>
        <w:rPr>
          <w:spacing w:val="-6"/>
        </w:rPr>
        <w:t xml:space="preserve"> </w:t>
      </w:r>
      <w:r>
        <w:t>new-school</w:t>
      </w:r>
      <w:r>
        <w:rPr>
          <w:spacing w:val="-7"/>
        </w:rPr>
        <w:t xml:space="preserve"> </w:t>
      </w:r>
      <w:r>
        <w:t>samples,</w:t>
      </w:r>
      <w:r>
        <w:rPr>
          <w:spacing w:val="-7"/>
        </w:rPr>
        <w:t xml:space="preserve"> </w:t>
      </w:r>
      <w:r>
        <w:t>state</w:t>
      </w:r>
      <w:r>
        <w:rPr>
          <w:spacing w:val="-7"/>
        </w:rPr>
        <w:t xml:space="preserve"> </w:t>
      </w:r>
      <w:r>
        <w:t>assessment,</w:t>
      </w:r>
      <w:r>
        <w:rPr>
          <w:spacing w:val="-7"/>
        </w:rPr>
        <w:t xml:space="preserve"> </w:t>
      </w:r>
      <w:r>
        <w:t>by</w:t>
      </w:r>
      <w:r>
        <w:rPr>
          <w:spacing w:val="-6"/>
        </w:rPr>
        <w:t xml:space="preserve"> </w:t>
      </w:r>
      <w:r>
        <w:t>grade</w:t>
      </w:r>
      <w:r>
        <w:rPr>
          <w:spacing w:val="-7"/>
        </w:rPr>
        <w:t xml:space="preserve"> </w:t>
      </w:r>
      <w:r>
        <w:t>and</w:t>
      </w:r>
      <w:r>
        <w:rPr>
          <w:spacing w:val="-7"/>
        </w:rPr>
        <w:t xml:space="preserve"> </w:t>
      </w:r>
      <w:r>
        <w:t>region:</w:t>
      </w:r>
      <w:r>
        <w:rPr>
          <w:spacing w:val="-7"/>
        </w:rPr>
        <w:t xml:space="preserve"> </w:t>
      </w:r>
      <w:r>
        <w:rPr>
          <w:spacing w:val="-4"/>
        </w:rPr>
        <w:t>2022</w:t>
      </w:r>
    </w:p>
    <w:p w:rsidR="003F5784" w14:paraId="57D31684" w14:textId="77777777">
      <w:pPr>
        <w:pStyle w:val="BodyText"/>
        <w:spacing w:before="10"/>
        <w:rPr>
          <w:b/>
          <w:sz w:val="11"/>
        </w:rPr>
      </w:pPr>
    </w:p>
    <w:tbl>
      <w:tblPr>
        <w:tblW w:w="0" w:type="auto"/>
        <w:tblInd w:w="117" w:type="dxa"/>
        <w:tblLayout w:type="fixed"/>
        <w:tblCellMar>
          <w:left w:w="0" w:type="dxa"/>
          <w:right w:w="0" w:type="dxa"/>
        </w:tblCellMar>
        <w:tblLook w:val="01E0"/>
      </w:tblPr>
      <w:tblGrid>
        <w:gridCol w:w="3845"/>
        <w:gridCol w:w="1636"/>
        <w:gridCol w:w="2029"/>
        <w:gridCol w:w="1561"/>
        <w:gridCol w:w="1479"/>
        <w:gridCol w:w="2029"/>
        <w:gridCol w:w="1408"/>
      </w:tblGrid>
      <w:tr w14:paraId="31D3BABB" w14:textId="77777777">
        <w:tblPrEx>
          <w:tblW w:w="0" w:type="auto"/>
          <w:tblInd w:w="117" w:type="dxa"/>
          <w:tblLayout w:type="fixed"/>
          <w:tblCellMar>
            <w:left w:w="0" w:type="dxa"/>
            <w:right w:w="0" w:type="dxa"/>
          </w:tblCellMar>
          <w:tblLook w:val="01E0"/>
        </w:tblPrEx>
        <w:trPr>
          <w:trHeight w:val="267"/>
        </w:trPr>
        <w:tc>
          <w:tcPr>
            <w:tcW w:w="3845" w:type="dxa"/>
            <w:vMerge w:val="restart"/>
            <w:tcBorders>
              <w:top w:val="single" w:sz="18" w:space="0" w:color="800000"/>
              <w:bottom w:val="single" w:sz="18" w:space="0" w:color="800000"/>
            </w:tcBorders>
          </w:tcPr>
          <w:p w:rsidR="003F5784" w14:paraId="5813A32A" w14:textId="77777777">
            <w:pPr>
              <w:pStyle w:val="TableParagraph"/>
              <w:spacing w:before="0"/>
              <w:jc w:val="left"/>
              <w:rPr>
                <w:b/>
                <w:sz w:val="21"/>
              </w:rPr>
            </w:pPr>
          </w:p>
          <w:p w:rsidR="003F5784" w14:paraId="04675A9A" w14:textId="77777777">
            <w:pPr>
              <w:pStyle w:val="TableParagraph"/>
              <w:spacing w:before="73"/>
              <w:jc w:val="left"/>
              <w:rPr>
                <w:b/>
                <w:sz w:val="21"/>
              </w:rPr>
            </w:pPr>
          </w:p>
          <w:p w:rsidR="003F5784" w14:paraId="0C0B7F58" w14:textId="77777777">
            <w:pPr>
              <w:pStyle w:val="TableParagraph"/>
              <w:spacing w:before="1" w:line="238" w:lineRule="exact"/>
              <w:ind w:left="117"/>
              <w:jc w:val="left"/>
              <w:rPr>
                <w:sz w:val="21"/>
              </w:rPr>
            </w:pPr>
            <w:r>
              <w:rPr>
                <w:spacing w:val="-2"/>
                <w:sz w:val="21"/>
              </w:rPr>
              <w:t>Jurisdiction</w:t>
            </w:r>
          </w:p>
        </w:tc>
        <w:tc>
          <w:tcPr>
            <w:tcW w:w="5226" w:type="dxa"/>
            <w:gridSpan w:val="3"/>
            <w:tcBorders>
              <w:top w:val="single" w:sz="18" w:space="0" w:color="800000"/>
              <w:bottom w:val="single" w:sz="18" w:space="0" w:color="800000"/>
            </w:tcBorders>
          </w:tcPr>
          <w:p w:rsidR="003F5784" w14:paraId="30210BB1" w14:textId="77777777">
            <w:pPr>
              <w:pStyle w:val="TableParagraph"/>
              <w:spacing w:before="9" w:line="238" w:lineRule="exact"/>
              <w:ind w:right="159"/>
              <w:jc w:val="center"/>
              <w:rPr>
                <w:sz w:val="21"/>
              </w:rPr>
            </w:pPr>
            <w:r>
              <w:rPr>
                <w:sz w:val="21"/>
              </w:rPr>
              <w:t>Grade</w:t>
            </w:r>
            <w:r>
              <w:rPr>
                <w:spacing w:val="-7"/>
                <w:sz w:val="21"/>
              </w:rPr>
              <w:t xml:space="preserve"> </w:t>
            </w:r>
            <w:r>
              <w:rPr>
                <w:spacing w:val="-10"/>
                <w:sz w:val="21"/>
              </w:rPr>
              <w:t>4</w:t>
            </w:r>
          </w:p>
        </w:tc>
        <w:tc>
          <w:tcPr>
            <w:tcW w:w="4916" w:type="dxa"/>
            <w:gridSpan w:val="3"/>
            <w:tcBorders>
              <w:top w:val="single" w:sz="18" w:space="0" w:color="800000"/>
              <w:bottom w:val="single" w:sz="18" w:space="0" w:color="800000"/>
            </w:tcBorders>
          </w:tcPr>
          <w:p w:rsidR="003F5784" w14:paraId="7ECA4C08" w14:textId="77777777">
            <w:pPr>
              <w:pStyle w:val="TableParagraph"/>
              <w:spacing w:before="9" w:line="238" w:lineRule="exact"/>
              <w:ind w:right="166"/>
              <w:jc w:val="center"/>
              <w:rPr>
                <w:sz w:val="21"/>
              </w:rPr>
            </w:pPr>
            <w:r>
              <w:rPr>
                <w:sz w:val="21"/>
              </w:rPr>
              <w:t>Grade</w:t>
            </w:r>
            <w:r>
              <w:rPr>
                <w:spacing w:val="-7"/>
                <w:sz w:val="21"/>
              </w:rPr>
              <w:t xml:space="preserve"> </w:t>
            </w:r>
            <w:r>
              <w:rPr>
                <w:spacing w:val="-10"/>
                <w:sz w:val="21"/>
              </w:rPr>
              <w:t>8</w:t>
            </w:r>
          </w:p>
        </w:tc>
      </w:tr>
      <w:tr w14:paraId="43AD2FAE" w14:textId="77777777">
        <w:tblPrEx>
          <w:tblW w:w="0" w:type="auto"/>
          <w:tblInd w:w="117" w:type="dxa"/>
          <w:tblLayout w:type="fixed"/>
          <w:tblCellMar>
            <w:left w:w="0" w:type="dxa"/>
            <w:right w:w="0" w:type="dxa"/>
          </w:tblCellMar>
          <w:tblLook w:val="01E0"/>
        </w:tblPrEx>
        <w:trPr>
          <w:trHeight w:val="502"/>
        </w:trPr>
        <w:tc>
          <w:tcPr>
            <w:tcW w:w="3845" w:type="dxa"/>
            <w:vMerge/>
            <w:tcBorders>
              <w:top w:val="nil"/>
              <w:bottom w:val="single" w:sz="18" w:space="0" w:color="800000"/>
            </w:tcBorders>
          </w:tcPr>
          <w:p w:rsidR="003F5784" w14:paraId="22AF5A19" w14:textId="77777777">
            <w:pPr>
              <w:rPr>
                <w:sz w:val="2"/>
                <w:szCs w:val="2"/>
              </w:rPr>
            </w:pPr>
          </w:p>
        </w:tc>
        <w:tc>
          <w:tcPr>
            <w:tcW w:w="1636" w:type="dxa"/>
            <w:tcBorders>
              <w:top w:val="single" w:sz="18" w:space="0" w:color="800000"/>
              <w:bottom w:val="single" w:sz="18" w:space="0" w:color="800000"/>
            </w:tcBorders>
          </w:tcPr>
          <w:p w:rsidR="003F5784" w14:paraId="3C203378" w14:textId="77777777">
            <w:pPr>
              <w:pStyle w:val="TableParagraph"/>
              <w:spacing w:before="9" w:line="238" w:lineRule="exact"/>
              <w:ind w:right="180"/>
              <w:rPr>
                <w:sz w:val="21"/>
              </w:rPr>
            </w:pPr>
            <w:r>
              <w:rPr>
                <w:spacing w:val="-2"/>
                <w:sz w:val="21"/>
              </w:rPr>
              <w:t>Total</w:t>
            </w:r>
            <w:r>
              <w:rPr>
                <w:spacing w:val="-11"/>
                <w:sz w:val="21"/>
              </w:rPr>
              <w:t xml:space="preserve"> </w:t>
            </w:r>
            <w:r>
              <w:rPr>
                <w:spacing w:val="-2"/>
                <w:sz w:val="21"/>
              </w:rPr>
              <w:t>school</w:t>
            </w:r>
          </w:p>
          <w:p w:rsidR="003F5784" w14:paraId="3A6359E3" w14:textId="77777777">
            <w:pPr>
              <w:pStyle w:val="TableParagraph"/>
              <w:spacing w:before="0" w:line="235" w:lineRule="exact"/>
              <w:ind w:right="180"/>
              <w:rPr>
                <w:sz w:val="21"/>
              </w:rPr>
            </w:pPr>
            <w:r>
              <w:rPr>
                <w:spacing w:val="-2"/>
                <w:sz w:val="21"/>
              </w:rPr>
              <w:t>sample</w:t>
            </w:r>
          </w:p>
        </w:tc>
        <w:tc>
          <w:tcPr>
            <w:tcW w:w="2029" w:type="dxa"/>
            <w:tcBorders>
              <w:top w:val="single" w:sz="18" w:space="0" w:color="800000"/>
              <w:bottom w:val="single" w:sz="18" w:space="0" w:color="800000"/>
            </w:tcBorders>
          </w:tcPr>
          <w:p w:rsidR="003F5784" w14:paraId="107C2465" w14:textId="77777777">
            <w:pPr>
              <w:pStyle w:val="TableParagraph"/>
              <w:spacing w:before="9" w:line="238" w:lineRule="exact"/>
              <w:ind w:right="277"/>
              <w:rPr>
                <w:sz w:val="21"/>
              </w:rPr>
            </w:pPr>
            <w:r>
              <w:rPr>
                <w:sz w:val="21"/>
              </w:rPr>
              <w:t>CCD-based</w:t>
            </w:r>
            <w:r>
              <w:rPr>
                <w:spacing w:val="-11"/>
                <w:sz w:val="21"/>
              </w:rPr>
              <w:t xml:space="preserve"> </w:t>
            </w:r>
            <w:r>
              <w:rPr>
                <w:spacing w:val="-2"/>
                <w:sz w:val="21"/>
              </w:rPr>
              <w:t>school</w:t>
            </w:r>
          </w:p>
          <w:p w:rsidR="003F5784" w14:paraId="058D02BF" w14:textId="77777777">
            <w:pPr>
              <w:pStyle w:val="TableParagraph"/>
              <w:spacing w:before="0" w:line="235" w:lineRule="exact"/>
              <w:ind w:right="277"/>
              <w:rPr>
                <w:sz w:val="21"/>
              </w:rPr>
            </w:pPr>
            <w:r>
              <w:rPr>
                <w:spacing w:val="-2"/>
                <w:sz w:val="21"/>
              </w:rPr>
              <w:t>sample</w:t>
            </w:r>
          </w:p>
        </w:tc>
        <w:tc>
          <w:tcPr>
            <w:tcW w:w="1561" w:type="dxa"/>
            <w:tcBorders>
              <w:top w:val="single" w:sz="18" w:space="0" w:color="800000"/>
              <w:bottom w:val="single" w:sz="18" w:space="0" w:color="800000"/>
            </w:tcBorders>
          </w:tcPr>
          <w:p w:rsidR="003F5784" w14:paraId="0DAF1AE1" w14:textId="77777777">
            <w:pPr>
              <w:pStyle w:val="TableParagraph"/>
              <w:spacing w:before="9" w:line="238" w:lineRule="exact"/>
              <w:ind w:right="275"/>
              <w:rPr>
                <w:sz w:val="21"/>
              </w:rPr>
            </w:pPr>
            <w:r>
              <w:rPr>
                <w:spacing w:val="-2"/>
                <w:sz w:val="21"/>
              </w:rPr>
              <w:t>New-school</w:t>
            </w:r>
          </w:p>
          <w:p w:rsidR="003F5784" w14:paraId="11A6D3C7" w14:textId="77777777">
            <w:pPr>
              <w:pStyle w:val="TableParagraph"/>
              <w:spacing w:before="0" w:line="235" w:lineRule="exact"/>
              <w:ind w:right="275"/>
              <w:rPr>
                <w:sz w:val="21"/>
              </w:rPr>
            </w:pPr>
            <w:r>
              <w:rPr>
                <w:spacing w:val="-2"/>
                <w:sz w:val="21"/>
              </w:rPr>
              <w:t>sample</w:t>
            </w:r>
          </w:p>
        </w:tc>
        <w:tc>
          <w:tcPr>
            <w:tcW w:w="1479" w:type="dxa"/>
            <w:tcBorders>
              <w:top w:val="single" w:sz="18" w:space="0" w:color="800000"/>
              <w:bottom w:val="single" w:sz="18" w:space="0" w:color="800000"/>
            </w:tcBorders>
          </w:tcPr>
          <w:p w:rsidR="003F5784" w14:paraId="481728F2" w14:textId="77777777">
            <w:pPr>
              <w:pStyle w:val="TableParagraph"/>
              <w:spacing w:before="9" w:line="238" w:lineRule="exact"/>
              <w:ind w:right="181"/>
              <w:rPr>
                <w:sz w:val="21"/>
              </w:rPr>
            </w:pPr>
            <w:r>
              <w:rPr>
                <w:spacing w:val="-2"/>
                <w:sz w:val="21"/>
              </w:rPr>
              <w:t>Total</w:t>
            </w:r>
            <w:r>
              <w:rPr>
                <w:spacing w:val="-11"/>
                <w:sz w:val="21"/>
              </w:rPr>
              <w:t xml:space="preserve"> </w:t>
            </w:r>
            <w:r>
              <w:rPr>
                <w:spacing w:val="-2"/>
                <w:sz w:val="21"/>
              </w:rPr>
              <w:t>school</w:t>
            </w:r>
          </w:p>
          <w:p w:rsidR="003F5784" w14:paraId="3B8AB9D6" w14:textId="77777777">
            <w:pPr>
              <w:pStyle w:val="TableParagraph"/>
              <w:spacing w:before="0" w:line="235" w:lineRule="exact"/>
              <w:ind w:right="181"/>
              <w:rPr>
                <w:sz w:val="21"/>
              </w:rPr>
            </w:pPr>
            <w:r>
              <w:rPr>
                <w:spacing w:val="-2"/>
                <w:sz w:val="21"/>
              </w:rPr>
              <w:t>sample</w:t>
            </w:r>
          </w:p>
        </w:tc>
        <w:tc>
          <w:tcPr>
            <w:tcW w:w="2029" w:type="dxa"/>
            <w:tcBorders>
              <w:top w:val="single" w:sz="18" w:space="0" w:color="800000"/>
              <w:bottom w:val="single" w:sz="18" w:space="0" w:color="800000"/>
            </w:tcBorders>
          </w:tcPr>
          <w:p w:rsidR="003F5784" w14:paraId="54080C20" w14:textId="77777777">
            <w:pPr>
              <w:pStyle w:val="TableParagraph"/>
              <w:spacing w:before="9" w:line="238" w:lineRule="exact"/>
              <w:ind w:right="278"/>
              <w:rPr>
                <w:sz w:val="21"/>
              </w:rPr>
            </w:pPr>
            <w:r>
              <w:rPr>
                <w:sz w:val="21"/>
              </w:rPr>
              <w:t>CCD-based</w:t>
            </w:r>
            <w:r>
              <w:rPr>
                <w:spacing w:val="-11"/>
                <w:sz w:val="21"/>
              </w:rPr>
              <w:t xml:space="preserve"> </w:t>
            </w:r>
            <w:r>
              <w:rPr>
                <w:spacing w:val="-2"/>
                <w:sz w:val="21"/>
              </w:rPr>
              <w:t>school</w:t>
            </w:r>
          </w:p>
          <w:p w:rsidR="003F5784" w14:paraId="53C6091B" w14:textId="77777777">
            <w:pPr>
              <w:pStyle w:val="TableParagraph"/>
              <w:spacing w:before="0" w:line="235" w:lineRule="exact"/>
              <w:ind w:right="278"/>
              <w:rPr>
                <w:sz w:val="21"/>
              </w:rPr>
            </w:pPr>
            <w:r>
              <w:rPr>
                <w:spacing w:val="-2"/>
                <w:sz w:val="21"/>
              </w:rPr>
              <w:t>sample</w:t>
            </w:r>
          </w:p>
        </w:tc>
        <w:tc>
          <w:tcPr>
            <w:tcW w:w="1408" w:type="dxa"/>
            <w:tcBorders>
              <w:top w:val="single" w:sz="18" w:space="0" w:color="800000"/>
              <w:bottom w:val="single" w:sz="18" w:space="0" w:color="800000"/>
            </w:tcBorders>
          </w:tcPr>
          <w:p w:rsidR="003F5784" w14:paraId="6F5836B5" w14:textId="77777777">
            <w:pPr>
              <w:pStyle w:val="TableParagraph"/>
              <w:spacing w:before="9" w:line="238" w:lineRule="exact"/>
              <w:ind w:right="123"/>
              <w:rPr>
                <w:sz w:val="21"/>
              </w:rPr>
            </w:pPr>
            <w:r>
              <w:rPr>
                <w:spacing w:val="-2"/>
                <w:sz w:val="21"/>
              </w:rPr>
              <w:t>New-school</w:t>
            </w:r>
          </w:p>
          <w:p w:rsidR="003F5784" w14:paraId="2637BF28" w14:textId="77777777">
            <w:pPr>
              <w:pStyle w:val="TableParagraph"/>
              <w:spacing w:before="0" w:line="235" w:lineRule="exact"/>
              <w:ind w:right="123"/>
              <w:rPr>
                <w:sz w:val="21"/>
              </w:rPr>
            </w:pPr>
            <w:r>
              <w:rPr>
                <w:spacing w:val="-2"/>
                <w:sz w:val="21"/>
              </w:rPr>
              <w:t>sample</w:t>
            </w:r>
          </w:p>
        </w:tc>
      </w:tr>
      <w:tr w14:paraId="74803AB5" w14:textId="77777777">
        <w:tblPrEx>
          <w:tblW w:w="0" w:type="auto"/>
          <w:tblInd w:w="117" w:type="dxa"/>
          <w:tblLayout w:type="fixed"/>
          <w:tblCellMar>
            <w:left w:w="0" w:type="dxa"/>
            <w:right w:w="0" w:type="dxa"/>
          </w:tblCellMar>
          <w:tblLook w:val="01E0"/>
        </w:tblPrEx>
        <w:trPr>
          <w:trHeight w:val="278"/>
        </w:trPr>
        <w:tc>
          <w:tcPr>
            <w:tcW w:w="3845" w:type="dxa"/>
            <w:tcBorders>
              <w:top w:val="single" w:sz="18" w:space="0" w:color="800000"/>
            </w:tcBorders>
          </w:tcPr>
          <w:p w:rsidR="003F5784" w14:paraId="660B115B" w14:textId="77777777">
            <w:pPr>
              <w:pStyle w:val="TableParagraph"/>
              <w:spacing w:before="9"/>
              <w:ind w:left="676"/>
              <w:jc w:val="left"/>
              <w:rPr>
                <w:b/>
                <w:sz w:val="21"/>
              </w:rPr>
            </w:pPr>
            <w:r>
              <w:rPr>
                <w:b/>
                <w:spacing w:val="-2"/>
                <w:sz w:val="21"/>
              </w:rPr>
              <w:t>Total</w:t>
            </w:r>
          </w:p>
        </w:tc>
        <w:tc>
          <w:tcPr>
            <w:tcW w:w="1636" w:type="dxa"/>
            <w:tcBorders>
              <w:top w:val="single" w:sz="18" w:space="0" w:color="800000"/>
            </w:tcBorders>
          </w:tcPr>
          <w:p w:rsidR="003F5784" w14:paraId="51A5C685" w14:textId="77777777">
            <w:pPr>
              <w:pStyle w:val="TableParagraph"/>
              <w:spacing w:before="9"/>
              <w:ind w:right="180"/>
              <w:rPr>
                <w:sz w:val="21"/>
              </w:rPr>
            </w:pPr>
            <w:r>
              <w:rPr>
                <w:spacing w:val="-2"/>
                <w:sz w:val="21"/>
              </w:rPr>
              <w:t>6,010</w:t>
            </w:r>
          </w:p>
        </w:tc>
        <w:tc>
          <w:tcPr>
            <w:tcW w:w="2029" w:type="dxa"/>
            <w:tcBorders>
              <w:top w:val="single" w:sz="18" w:space="0" w:color="800000"/>
            </w:tcBorders>
          </w:tcPr>
          <w:p w:rsidR="003F5784" w14:paraId="5FBDBCD3" w14:textId="77777777">
            <w:pPr>
              <w:pStyle w:val="TableParagraph"/>
              <w:spacing w:before="9"/>
              <w:ind w:right="277"/>
              <w:rPr>
                <w:sz w:val="21"/>
              </w:rPr>
            </w:pPr>
            <w:r>
              <w:rPr>
                <w:spacing w:val="-2"/>
                <w:sz w:val="21"/>
              </w:rPr>
              <w:t>5,960</w:t>
            </w:r>
          </w:p>
        </w:tc>
        <w:tc>
          <w:tcPr>
            <w:tcW w:w="1561" w:type="dxa"/>
            <w:tcBorders>
              <w:top w:val="single" w:sz="18" w:space="0" w:color="800000"/>
            </w:tcBorders>
          </w:tcPr>
          <w:p w:rsidR="003F5784" w14:paraId="0D01C2B2" w14:textId="77777777">
            <w:pPr>
              <w:pStyle w:val="TableParagraph"/>
              <w:spacing w:before="9"/>
              <w:ind w:right="275"/>
              <w:rPr>
                <w:sz w:val="21"/>
              </w:rPr>
            </w:pPr>
            <w:r>
              <w:rPr>
                <w:spacing w:val="-5"/>
                <w:sz w:val="21"/>
              </w:rPr>
              <w:t>50</w:t>
            </w:r>
          </w:p>
        </w:tc>
        <w:tc>
          <w:tcPr>
            <w:tcW w:w="1479" w:type="dxa"/>
            <w:tcBorders>
              <w:top w:val="single" w:sz="18" w:space="0" w:color="800000"/>
            </w:tcBorders>
          </w:tcPr>
          <w:p w:rsidR="003F5784" w14:paraId="1796EA8D" w14:textId="77777777">
            <w:pPr>
              <w:pStyle w:val="TableParagraph"/>
              <w:spacing w:before="9"/>
              <w:ind w:right="181"/>
              <w:rPr>
                <w:sz w:val="21"/>
              </w:rPr>
            </w:pPr>
            <w:r>
              <w:rPr>
                <w:spacing w:val="-2"/>
                <w:sz w:val="21"/>
              </w:rPr>
              <w:t>5,490</w:t>
            </w:r>
          </w:p>
        </w:tc>
        <w:tc>
          <w:tcPr>
            <w:tcW w:w="2029" w:type="dxa"/>
            <w:tcBorders>
              <w:top w:val="single" w:sz="18" w:space="0" w:color="800000"/>
            </w:tcBorders>
          </w:tcPr>
          <w:p w:rsidR="003F5784" w14:paraId="13B0EC6E" w14:textId="77777777">
            <w:pPr>
              <w:pStyle w:val="TableParagraph"/>
              <w:spacing w:before="9"/>
              <w:ind w:right="278"/>
              <w:rPr>
                <w:sz w:val="21"/>
              </w:rPr>
            </w:pPr>
            <w:r>
              <w:rPr>
                <w:spacing w:val="-2"/>
                <w:sz w:val="21"/>
              </w:rPr>
              <w:t>5,440</w:t>
            </w:r>
          </w:p>
        </w:tc>
        <w:tc>
          <w:tcPr>
            <w:tcW w:w="1408" w:type="dxa"/>
            <w:tcBorders>
              <w:top w:val="single" w:sz="18" w:space="0" w:color="800000"/>
            </w:tcBorders>
          </w:tcPr>
          <w:p w:rsidR="003F5784" w14:paraId="056AFD33" w14:textId="77777777">
            <w:pPr>
              <w:pStyle w:val="TableParagraph"/>
              <w:spacing w:before="9"/>
              <w:ind w:right="123"/>
              <w:rPr>
                <w:sz w:val="21"/>
              </w:rPr>
            </w:pPr>
            <w:r>
              <w:rPr>
                <w:spacing w:val="-5"/>
                <w:sz w:val="21"/>
              </w:rPr>
              <w:t>60</w:t>
            </w:r>
          </w:p>
        </w:tc>
      </w:tr>
      <w:tr w14:paraId="61F9DA40" w14:textId="77777777">
        <w:tblPrEx>
          <w:tblW w:w="0" w:type="auto"/>
          <w:tblInd w:w="117" w:type="dxa"/>
          <w:tblLayout w:type="fixed"/>
          <w:tblCellMar>
            <w:left w:w="0" w:type="dxa"/>
            <w:right w:w="0" w:type="dxa"/>
          </w:tblCellMar>
          <w:tblLook w:val="01E0"/>
        </w:tblPrEx>
        <w:trPr>
          <w:trHeight w:val="286"/>
        </w:trPr>
        <w:tc>
          <w:tcPr>
            <w:tcW w:w="3845" w:type="dxa"/>
          </w:tcPr>
          <w:p w:rsidR="003F5784" w14:paraId="76591FE5" w14:textId="77777777">
            <w:pPr>
              <w:pStyle w:val="TableParagraph"/>
              <w:ind w:left="117"/>
              <w:jc w:val="left"/>
              <w:rPr>
                <w:sz w:val="21"/>
              </w:rPr>
            </w:pPr>
            <w:r>
              <w:rPr>
                <w:spacing w:val="-2"/>
                <w:sz w:val="21"/>
              </w:rPr>
              <w:t>Alabama</w:t>
            </w:r>
          </w:p>
        </w:tc>
        <w:tc>
          <w:tcPr>
            <w:tcW w:w="1636" w:type="dxa"/>
          </w:tcPr>
          <w:p w:rsidR="003F5784" w14:paraId="542994FE" w14:textId="77777777">
            <w:pPr>
              <w:pStyle w:val="TableParagraph"/>
              <w:ind w:right="180"/>
              <w:rPr>
                <w:sz w:val="21"/>
              </w:rPr>
            </w:pPr>
            <w:r>
              <w:rPr>
                <w:spacing w:val="-5"/>
                <w:sz w:val="21"/>
              </w:rPr>
              <w:t>90</w:t>
            </w:r>
          </w:p>
        </w:tc>
        <w:tc>
          <w:tcPr>
            <w:tcW w:w="2029" w:type="dxa"/>
          </w:tcPr>
          <w:p w:rsidR="003F5784" w14:paraId="5A45B767" w14:textId="77777777">
            <w:pPr>
              <w:pStyle w:val="TableParagraph"/>
              <w:ind w:right="277"/>
              <w:rPr>
                <w:sz w:val="21"/>
              </w:rPr>
            </w:pPr>
            <w:r>
              <w:rPr>
                <w:spacing w:val="-5"/>
                <w:sz w:val="21"/>
              </w:rPr>
              <w:t>90</w:t>
            </w:r>
          </w:p>
        </w:tc>
        <w:tc>
          <w:tcPr>
            <w:tcW w:w="1561" w:type="dxa"/>
          </w:tcPr>
          <w:p w:rsidR="003F5784" w14:paraId="3F99D02C" w14:textId="77777777">
            <w:pPr>
              <w:pStyle w:val="TableParagraph"/>
              <w:ind w:right="275"/>
              <w:rPr>
                <w:sz w:val="21"/>
              </w:rPr>
            </w:pPr>
            <w:r>
              <w:rPr>
                <w:spacing w:val="-10"/>
                <w:sz w:val="21"/>
              </w:rPr>
              <w:t>#</w:t>
            </w:r>
          </w:p>
        </w:tc>
        <w:tc>
          <w:tcPr>
            <w:tcW w:w="1479" w:type="dxa"/>
          </w:tcPr>
          <w:p w:rsidR="003F5784" w14:paraId="0AD3F517" w14:textId="77777777">
            <w:pPr>
              <w:pStyle w:val="TableParagraph"/>
              <w:ind w:right="181"/>
              <w:rPr>
                <w:sz w:val="21"/>
              </w:rPr>
            </w:pPr>
            <w:r>
              <w:rPr>
                <w:spacing w:val="-5"/>
                <w:sz w:val="21"/>
              </w:rPr>
              <w:t>90</w:t>
            </w:r>
          </w:p>
        </w:tc>
        <w:tc>
          <w:tcPr>
            <w:tcW w:w="2029" w:type="dxa"/>
          </w:tcPr>
          <w:p w:rsidR="003F5784" w14:paraId="006E2350" w14:textId="77777777">
            <w:pPr>
              <w:pStyle w:val="TableParagraph"/>
              <w:ind w:right="278"/>
              <w:rPr>
                <w:sz w:val="21"/>
              </w:rPr>
            </w:pPr>
            <w:r>
              <w:rPr>
                <w:spacing w:val="-5"/>
                <w:sz w:val="21"/>
              </w:rPr>
              <w:t>90</w:t>
            </w:r>
          </w:p>
        </w:tc>
        <w:tc>
          <w:tcPr>
            <w:tcW w:w="1408" w:type="dxa"/>
          </w:tcPr>
          <w:p w:rsidR="003F5784" w14:paraId="1C4D7122" w14:textId="77777777">
            <w:pPr>
              <w:pStyle w:val="TableParagraph"/>
              <w:ind w:right="123"/>
              <w:rPr>
                <w:sz w:val="21"/>
              </w:rPr>
            </w:pPr>
            <w:r>
              <w:rPr>
                <w:spacing w:val="-10"/>
                <w:sz w:val="21"/>
              </w:rPr>
              <w:t>#</w:t>
            </w:r>
          </w:p>
        </w:tc>
      </w:tr>
      <w:tr w14:paraId="2C07A9FC" w14:textId="77777777">
        <w:tblPrEx>
          <w:tblW w:w="0" w:type="auto"/>
          <w:tblInd w:w="117" w:type="dxa"/>
          <w:tblLayout w:type="fixed"/>
          <w:tblCellMar>
            <w:left w:w="0" w:type="dxa"/>
            <w:right w:w="0" w:type="dxa"/>
          </w:tblCellMar>
          <w:tblLook w:val="01E0"/>
        </w:tblPrEx>
        <w:trPr>
          <w:trHeight w:val="286"/>
        </w:trPr>
        <w:tc>
          <w:tcPr>
            <w:tcW w:w="3845" w:type="dxa"/>
          </w:tcPr>
          <w:p w:rsidR="003F5784" w14:paraId="4936B7BB" w14:textId="77777777">
            <w:pPr>
              <w:pStyle w:val="TableParagraph"/>
              <w:ind w:left="117"/>
              <w:jc w:val="left"/>
              <w:rPr>
                <w:sz w:val="21"/>
              </w:rPr>
            </w:pPr>
            <w:r>
              <w:rPr>
                <w:spacing w:val="-2"/>
                <w:sz w:val="21"/>
              </w:rPr>
              <w:t>Alaska</w:t>
            </w:r>
          </w:p>
        </w:tc>
        <w:tc>
          <w:tcPr>
            <w:tcW w:w="1636" w:type="dxa"/>
          </w:tcPr>
          <w:p w:rsidR="003F5784" w14:paraId="5333676F" w14:textId="77777777">
            <w:pPr>
              <w:pStyle w:val="TableParagraph"/>
              <w:ind w:right="180"/>
              <w:rPr>
                <w:sz w:val="21"/>
              </w:rPr>
            </w:pPr>
            <w:r>
              <w:rPr>
                <w:spacing w:val="-5"/>
                <w:sz w:val="21"/>
              </w:rPr>
              <w:t>130</w:t>
            </w:r>
          </w:p>
        </w:tc>
        <w:tc>
          <w:tcPr>
            <w:tcW w:w="2029" w:type="dxa"/>
          </w:tcPr>
          <w:p w:rsidR="003F5784" w14:paraId="7613F9BE" w14:textId="77777777">
            <w:pPr>
              <w:pStyle w:val="TableParagraph"/>
              <w:ind w:right="277"/>
              <w:rPr>
                <w:sz w:val="21"/>
              </w:rPr>
            </w:pPr>
            <w:r>
              <w:rPr>
                <w:spacing w:val="-5"/>
                <w:sz w:val="21"/>
              </w:rPr>
              <w:t>130</w:t>
            </w:r>
          </w:p>
        </w:tc>
        <w:tc>
          <w:tcPr>
            <w:tcW w:w="1561" w:type="dxa"/>
          </w:tcPr>
          <w:p w:rsidR="003F5784" w14:paraId="7760E7DB" w14:textId="77777777">
            <w:pPr>
              <w:pStyle w:val="TableParagraph"/>
              <w:ind w:right="275"/>
              <w:rPr>
                <w:sz w:val="21"/>
              </w:rPr>
            </w:pPr>
            <w:r>
              <w:rPr>
                <w:spacing w:val="-10"/>
                <w:sz w:val="21"/>
              </w:rPr>
              <w:t>#</w:t>
            </w:r>
          </w:p>
        </w:tc>
        <w:tc>
          <w:tcPr>
            <w:tcW w:w="1479" w:type="dxa"/>
          </w:tcPr>
          <w:p w:rsidR="003F5784" w14:paraId="5BABA3E2" w14:textId="77777777">
            <w:pPr>
              <w:pStyle w:val="TableParagraph"/>
              <w:ind w:right="181"/>
              <w:rPr>
                <w:sz w:val="21"/>
              </w:rPr>
            </w:pPr>
            <w:r>
              <w:rPr>
                <w:spacing w:val="-5"/>
                <w:sz w:val="21"/>
              </w:rPr>
              <w:t>110</w:t>
            </w:r>
          </w:p>
        </w:tc>
        <w:tc>
          <w:tcPr>
            <w:tcW w:w="2029" w:type="dxa"/>
          </w:tcPr>
          <w:p w:rsidR="003F5784" w14:paraId="62BB0185" w14:textId="77777777">
            <w:pPr>
              <w:pStyle w:val="TableParagraph"/>
              <w:ind w:right="278"/>
              <w:rPr>
                <w:sz w:val="21"/>
              </w:rPr>
            </w:pPr>
            <w:r>
              <w:rPr>
                <w:spacing w:val="-5"/>
                <w:sz w:val="21"/>
              </w:rPr>
              <w:t>110</w:t>
            </w:r>
          </w:p>
        </w:tc>
        <w:tc>
          <w:tcPr>
            <w:tcW w:w="1408" w:type="dxa"/>
          </w:tcPr>
          <w:p w:rsidR="003F5784" w14:paraId="3B364527" w14:textId="77777777">
            <w:pPr>
              <w:pStyle w:val="TableParagraph"/>
              <w:ind w:right="123"/>
              <w:rPr>
                <w:sz w:val="21"/>
              </w:rPr>
            </w:pPr>
            <w:r>
              <w:rPr>
                <w:spacing w:val="-10"/>
                <w:sz w:val="21"/>
              </w:rPr>
              <w:t>#</w:t>
            </w:r>
          </w:p>
        </w:tc>
      </w:tr>
      <w:tr w14:paraId="6BF72813" w14:textId="77777777">
        <w:tblPrEx>
          <w:tblW w:w="0" w:type="auto"/>
          <w:tblInd w:w="117" w:type="dxa"/>
          <w:tblLayout w:type="fixed"/>
          <w:tblCellMar>
            <w:left w:w="0" w:type="dxa"/>
            <w:right w:w="0" w:type="dxa"/>
          </w:tblCellMar>
          <w:tblLook w:val="01E0"/>
        </w:tblPrEx>
        <w:trPr>
          <w:trHeight w:val="286"/>
        </w:trPr>
        <w:tc>
          <w:tcPr>
            <w:tcW w:w="3845" w:type="dxa"/>
          </w:tcPr>
          <w:p w:rsidR="003F5784" w14:paraId="3D10E098" w14:textId="77777777">
            <w:pPr>
              <w:pStyle w:val="TableParagraph"/>
              <w:ind w:left="117"/>
              <w:jc w:val="left"/>
              <w:rPr>
                <w:sz w:val="21"/>
              </w:rPr>
            </w:pPr>
            <w:r>
              <w:rPr>
                <w:spacing w:val="-2"/>
                <w:sz w:val="21"/>
              </w:rPr>
              <w:t>Arizona</w:t>
            </w:r>
          </w:p>
        </w:tc>
        <w:tc>
          <w:tcPr>
            <w:tcW w:w="1636" w:type="dxa"/>
          </w:tcPr>
          <w:p w:rsidR="003F5784" w14:paraId="4B84FBF6" w14:textId="77777777">
            <w:pPr>
              <w:pStyle w:val="TableParagraph"/>
              <w:ind w:right="180"/>
              <w:rPr>
                <w:sz w:val="21"/>
              </w:rPr>
            </w:pPr>
            <w:r>
              <w:rPr>
                <w:spacing w:val="-5"/>
                <w:sz w:val="21"/>
              </w:rPr>
              <w:t>90</w:t>
            </w:r>
          </w:p>
        </w:tc>
        <w:tc>
          <w:tcPr>
            <w:tcW w:w="2029" w:type="dxa"/>
          </w:tcPr>
          <w:p w:rsidR="003F5784" w14:paraId="47C2F6EA" w14:textId="77777777">
            <w:pPr>
              <w:pStyle w:val="TableParagraph"/>
              <w:ind w:right="277"/>
              <w:rPr>
                <w:sz w:val="21"/>
              </w:rPr>
            </w:pPr>
            <w:r>
              <w:rPr>
                <w:spacing w:val="-5"/>
                <w:sz w:val="21"/>
              </w:rPr>
              <w:t>90</w:t>
            </w:r>
          </w:p>
        </w:tc>
        <w:tc>
          <w:tcPr>
            <w:tcW w:w="1561" w:type="dxa"/>
          </w:tcPr>
          <w:p w:rsidR="003F5784" w14:paraId="1D875417" w14:textId="77777777">
            <w:pPr>
              <w:pStyle w:val="TableParagraph"/>
              <w:ind w:right="275"/>
              <w:rPr>
                <w:sz w:val="21"/>
              </w:rPr>
            </w:pPr>
            <w:r>
              <w:rPr>
                <w:spacing w:val="-10"/>
                <w:sz w:val="21"/>
              </w:rPr>
              <w:t>#</w:t>
            </w:r>
          </w:p>
        </w:tc>
        <w:tc>
          <w:tcPr>
            <w:tcW w:w="1479" w:type="dxa"/>
          </w:tcPr>
          <w:p w:rsidR="003F5784" w14:paraId="6BB1AB1A" w14:textId="77777777">
            <w:pPr>
              <w:pStyle w:val="TableParagraph"/>
              <w:ind w:right="181"/>
              <w:rPr>
                <w:sz w:val="21"/>
              </w:rPr>
            </w:pPr>
            <w:r>
              <w:rPr>
                <w:spacing w:val="-5"/>
                <w:sz w:val="21"/>
              </w:rPr>
              <w:t>90</w:t>
            </w:r>
          </w:p>
        </w:tc>
        <w:tc>
          <w:tcPr>
            <w:tcW w:w="2029" w:type="dxa"/>
          </w:tcPr>
          <w:p w:rsidR="003F5784" w14:paraId="19FDFFDB" w14:textId="77777777">
            <w:pPr>
              <w:pStyle w:val="TableParagraph"/>
              <w:ind w:right="278"/>
              <w:rPr>
                <w:sz w:val="21"/>
              </w:rPr>
            </w:pPr>
            <w:r>
              <w:rPr>
                <w:spacing w:val="-5"/>
                <w:sz w:val="21"/>
              </w:rPr>
              <w:t>90</w:t>
            </w:r>
          </w:p>
        </w:tc>
        <w:tc>
          <w:tcPr>
            <w:tcW w:w="1408" w:type="dxa"/>
          </w:tcPr>
          <w:p w:rsidR="003F5784" w14:paraId="404D2E54" w14:textId="77777777">
            <w:pPr>
              <w:pStyle w:val="TableParagraph"/>
              <w:ind w:right="123"/>
              <w:rPr>
                <w:sz w:val="21"/>
              </w:rPr>
            </w:pPr>
            <w:r>
              <w:rPr>
                <w:spacing w:val="-10"/>
                <w:sz w:val="21"/>
              </w:rPr>
              <w:t>#</w:t>
            </w:r>
          </w:p>
        </w:tc>
      </w:tr>
      <w:tr w14:paraId="62E72827" w14:textId="77777777">
        <w:tblPrEx>
          <w:tblW w:w="0" w:type="auto"/>
          <w:tblInd w:w="117" w:type="dxa"/>
          <w:tblLayout w:type="fixed"/>
          <w:tblCellMar>
            <w:left w:w="0" w:type="dxa"/>
            <w:right w:w="0" w:type="dxa"/>
          </w:tblCellMar>
          <w:tblLook w:val="01E0"/>
        </w:tblPrEx>
        <w:trPr>
          <w:trHeight w:val="286"/>
        </w:trPr>
        <w:tc>
          <w:tcPr>
            <w:tcW w:w="3845" w:type="dxa"/>
          </w:tcPr>
          <w:p w:rsidR="003F5784" w14:paraId="03C95FC3" w14:textId="77777777">
            <w:pPr>
              <w:pStyle w:val="TableParagraph"/>
              <w:ind w:left="117"/>
              <w:jc w:val="left"/>
              <w:rPr>
                <w:sz w:val="21"/>
              </w:rPr>
            </w:pPr>
            <w:r>
              <w:rPr>
                <w:spacing w:val="-2"/>
                <w:sz w:val="21"/>
              </w:rPr>
              <w:t>Arkansas</w:t>
            </w:r>
          </w:p>
        </w:tc>
        <w:tc>
          <w:tcPr>
            <w:tcW w:w="1636" w:type="dxa"/>
          </w:tcPr>
          <w:p w:rsidR="003F5784" w14:paraId="5F6B5CE2" w14:textId="77777777">
            <w:pPr>
              <w:pStyle w:val="TableParagraph"/>
              <w:ind w:right="180"/>
              <w:rPr>
                <w:sz w:val="21"/>
              </w:rPr>
            </w:pPr>
            <w:r>
              <w:rPr>
                <w:spacing w:val="-5"/>
                <w:sz w:val="21"/>
              </w:rPr>
              <w:t>90</w:t>
            </w:r>
          </w:p>
        </w:tc>
        <w:tc>
          <w:tcPr>
            <w:tcW w:w="2029" w:type="dxa"/>
          </w:tcPr>
          <w:p w:rsidR="003F5784" w14:paraId="34D727EA" w14:textId="77777777">
            <w:pPr>
              <w:pStyle w:val="TableParagraph"/>
              <w:ind w:right="277"/>
              <w:rPr>
                <w:sz w:val="21"/>
              </w:rPr>
            </w:pPr>
            <w:r>
              <w:rPr>
                <w:spacing w:val="-5"/>
                <w:sz w:val="21"/>
              </w:rPr>
              <w:t>90</w:t>
            </w:r>
          </w:p>
        </w:tc>
        <w:tc>
          <w:tcPr>
            <w:tcW w:w="1561" w:type="dxa"/>
          </w:tcPr>
          <w:p w:rsidR="003F5784" w14:paraId="3D22FF5E" w14:textId="77777777">
            <w:pPr>
              <w:pStyle w:val="TableParagraph"/>
              <w:ind w:right="275"/>
              <w:rPr>
                <w:sz w:val="21"/>
              </w:rPr>
            </w:pPr>
            <w:r>
              <w:rPr>
                <w:spacing w:val="-10"/>
                <w:sz w:val="21"/>
              </w:rPr>
              <w:t>#</w:t>
            </w:r>
          </w:p>
        </w:tc>
        <w:tc>
          <w:tcPr>
            <w:tcW w:w="1479" w:type="dxa"/>
          </w:tcPr>
          <w:p w:rsidR="003F5784" w14:paraId="02AB9E4E" w14:textId="77777777">
            <w:pPr>
              <w:pStyle w:val="TableParagraph"/>
              <w:ind w:right="181"/>
              <w:rPr>
                <w:sz w:val="21"/>
              </w:rPr>
            </w:pPr>
            <w:r>
              <w:rPr>
                <w:spacing w:val="-5"/>
                <w:sz w:val="21"/>
              </w:rPr>
              <w:t>90</w:t>
            </w:r>
          </w:p>
        </w:tc>
        <w:tc>
          <w:tcPr>
            <w:tcW w:w="2029" w:type="dxa"/>
          </w:tcPr>
          <w:p w:rsidR="003F5784" w14:paraId="0CE4D20F" w14:textId="77777777">
            <w:pPr>
              <w:pStyle w:val="TableParagraph"/>
              <w:ind w:right="278"/>
              <w:rPr>
                <w:sz w:val="21"/>
              </w:rPr>
            </w:pPr>
            <w:r>
              <w:rPr>
                <w:spacing w:val="-5"/>
                <w:sz w:val="21"/>
              </w:rPr>
              <w:t>90</w:t>
            </w:r>
          </w:p>
        </w:tc>
        <w:tc>
          <w:tcPr>
            <w:tcW w:w="1408" w:type="dxa"/>
          </w:tcPr>
          <w:p w:rsidR="003F5784" w14:paraId="415B3403" w14:textId="77777777">
            <w:pPr>
              <w:pStyle w:val="TableParagraph"/>
              <w:ind w:right="123"/>
              <w:rPr>
                <w:sz w:val="21"/>
              </w:rPr>
            </w:pPr>
            <w:r>
              <w:rPr>
                <w:spacing w:val="-10"/>
                <w:sz w:val="21"/>
              </w:rPr>
              <w:t>#</w:t>
            </w:r>
          </w:p>
        </w:tc>
      </w:tr>
      <w:tr w14:paraId="44175715" w14:textId="77777777">
        <w:tblPrEx>
          <w:tblW w:w="0" w:type="auto"/>
          <w:tblInd w:w="117" w:type="dxa"/>
          <w:tblLayout w:type="fixed"/>
          <w:tblCellMar>
            <w:left w:w="0" w:type="dxa"/>
            <w:right w:w="0" w:type="dxa"/>
          </w:tblCellMar>
          <w:tblLook w:val="01E0"/>
        </w:tblPrEx>
        <w:trPr>
          <w:trHeight w:val="286"/>
        </w:trPr>
        <w:tc>
          <w:tcPr>
            <w:tcW w:w="3845" w:type="dxa"/>
          </w:tcPr>
          <w:p w:rsidR="003F5784" w14:paraId="58FC3F40" w14:textId="77777777">
            <w:pPr>
              <w:pStyle w:val="TableParagraph"/>
              <w:ind w:left="117"/>
              <w:jc w:val="left"/>
              <w:rPr>
                <w:sz w:val="21"/>
              </w:rPr>
            </w:pPr>
            <w:r>
              <w:rPr>
                <w:spacing w:val="-2"/>
                <w:sz w:val="21"/>
              </w:rPr>
              <w:t>California–Los</w:t>
            </w:r>
            <w:r>
              <w:rPr>
                <w:spacing w:val="3"/>
                <w:sz w:val="21"/>
              </w:rPr>
              <w:t xml:space="preserve"> </w:t>
            </w:r>
            <w:r>
              <w:rPr>
                <w:spacing w:val="-2"/>
                <w:sz w:val="21"/>
              </w:rPr>
              <w:t>Angeles</w:t>
            </w:r>
          </w:p>
        </w:tc>
        <w:tc>
          <w:tcPr>
            <w:tcW w:w="1636" w:type="dxa"/>
          </w:tcPr>
          <w:p w:rsidR="003F5784" w14:paraId="60136758" w14:textId="77777777">
            <w:pPr>
              <w:pStyle w:val="TableParagraph"/>
              <w:ind w:right="180"/>
              <w:rPr>
                <w:sz w:val="21"/>
              </w:rPr>
            </w:pPr>
            <w:r>
              <w:rPr>
                <w:spacing w:val="-5"/>
                <w:sz w:val="21"/>
              </w:rPr>
              <w:t>60</w:t>
            </w:r>
          </w:p>
        </w:tc>
        <w:tc>
          <w:tcPr>
            <w:tcW w:w="2029" w:type="dxa"/>
          </w:tcPr>
          <w:p w:rsidR="003F5784" w14:paraId="637086CA" w14:textId="77777777">
            <w:pPr>
              <w:pStyle w:val="TableParagraph"/>
              <w:ind w:right="277"/>
              <w:rPr>
                <w:sz w:val="21"/>
              </w:rPr>
            </w:pPr>
            <w:r>
              <w:rPr>
                <w:spacing w:val="-5"/>
                <w:sz w:val="21"/>
              </w:rPr>
              <w:t>60</w:t>
            </w:r>
          </w:p>
        </w:tc>
        <w:tc>
          <w:tcPr>
            <w:tcW w:w="1561" w:type="dxa"/>
          </w:tcPr>
          <w:p w:rsidR="003F5784" w14:paraId="6EEFDBD5" w14:textId="77777777">
            <w:pPr>
              <w:pStyle w:val="TableParagraph"/>
              <w:ind w:right="275"/>
              <w:rPr>
                <w:sz w:val="21"/>
              </w:rPr>
            </w:pPr>
            <w:r>
              <w:rPr>
                <w:spacing w:val="-10"/>
                <w:sz w:val="21"/>
              </w:rPr>
              <w:t>#</w:t>
            </w:r>
          </w:p>
        </w:tc>
        <w:tc>
          <w:tcPr>
            <w:tcW w:w="1479" w:type="dxa"/>
          </w:tcPr>
          <w:p w:rsidR="003F5784" w14:paraId="02D15C2A" w14:textId="77777777">
            <w:pPr>
              <w:pStyle w:val="TableParagraph"/>
              <w:ind w:right="181"/>
              <w:rPr>
                <w:sz w:val="21"/>
              </w:rPr>
            </w:pPr>
            <w:r>
              <w:rPr>
                <w:spacing w:val="-5"/>
                <w:sz w:val="21"/>
              </w:rPr>
              <w:t>60</w:t>
            </w:r>
          </w:p>
        </w:tc>
        <w:tc>
          <w:tcPr>
            <w:tcW w:w="2029" w:type="dxa"/>
          </w:tcPr>
          <w:p w:rsidR="003F5784" w14:paraId="34C96C62" w14:textId="77777777">
            <w:pPr>
              <w:pStyle w:val="TableParagraph"/>
              <w:ind w:right="278"/>
              <w:rPr>
                <w:sz w:val="21"/>
              </w:rPr>
            </w:pPr>
            <w:r>
              <w:rPr>
                <w:spacing w:val="-5"/>
                <w:sz w:val="21"/>
              </w:rPr>
              <w:t>60</w:t>
            </w:r>
          </w:p>
        </w:tc>
        <w:tc>
          <w:tcPr>
            <w:tcW w:w="1408" w:type="dxa"/>
          </w:tcPr>
          <w:p w:rsidR="003F5784" w14:paraId="2E4FBD21" w14:textId="77777777">
            <w:pPr>
              <w:pStyle w:val="TableParagraph"/>
              <w:ind w:right="123"/>
              <w:rPr>
                <w:sz w:val="21"/>
              </w:rPr>
            </w:pPr>
            <w:r>
              <w:rPr>
                <w:spacing w:val="-10"/>
                <w:sz w:val="21"/>
              </w:rPr>
              <w:t>#</w:t>
            </w:r>
          </w:p>
        </w:tc>
      </w:tr>
      <w:tr w14:paraId="0D01C005" w14:textId="77777777">
        <w:tblPrEx>
          <w:tblW w:w="0" w:type="auto"/>
          <w:tblInd w:w="117" w:type="dxa"/>
          <w:tblLayout w:type="fixed"/>
          <w:tblCellMar>
            <w:left w:w="0" w:type="dxa"/>
            <w:right w:w="0" w:type="dxa"/>
          </w:tblCellMar>
          <w:tblLook w:val="01E0"/>
        </w:tblPrEx>
        <w:trPr>
          <w:trHeight w:val="286"/>
        </w:trPr>
        <w:tc>
          <w:tcPr>
            <w:tcW w:w="3845" w:type="dxa"/>
          </w:tcPr>
          <w:p w:rsidR="003F5784" w14:paraId="4E748E07" w14:textId="77777777">
            <w:pPr>
              <w:pStyle w:val="TableParagraph"/>
              <w:ind w:left="117"/>
              <w:jc w:val="left"/>
              <w:rPr>
                <w:sz w:val="21"/>
              </w:rPr>
            </w:pPr>
            <w:r>
              <w:rPr>
                <w:spacing w:val="-2"/>
                <w:sz w:val="21"/>
              </w:rPr>
              <w:t>California–San</w:t>
            </w:r>
            <w:r>
              <w:rPr>
                <w:spacing w:val="14"/>
                <w:sz w:val="21"/>
              </w:rPr>
              <w:t xml:space="preserve"> </w:t>
            </w:r>
            <w:r>
              <w:rPr>
                <w:spacing w:val="-2"/>
                <w:sz w:val="21"/>
              </w:rPr>
              <w:t>Diego</w:t>
            </w:r>
          </w:p>
        </w:tc>
        <w:tc>
          <w:tcPr>
            <w:tcW w:w="1636" w:type="dxa"/>
          </w:tcPr>
          <w:p w:rsidR="003F5784" w14:paraId="687994BB" w14:textId="77777777">
            <w:pPr>
              <w:pStyle w:val="TableParagraph"/>
              <w:ind w:right="180"/>
              <w:rPr>
                <w:sz w:val="21"/>
              </w:rPr>
            </w:pPr>
            <w:r>
              <w:rPr>
                <w:spacing w:val="-5"/>
                <w:sz w:val="21"/>
              </w:rPr>
              <w:t>40</w:t>
            </w:r>
          </w:p>
        </w:tc>
        <w:tc>
          <w:tcPr>
            <w:tcW w:w="2029" w:type="dxa"/>
          </w:tcPr>
          <w:p w:rsidR="003F5784" w14:paraId="1B4BC33F" w14:textId="77777777">
            <w:pPr>
              <w:pStyle w:val="TableParagraph"/>
              <w:ind w:right="277"/>
              <w:rPr>
                <w:sz w:val="21"/>
              </w:rPr>
            </w:pPr>
            <w:r>
              <w:rPr>
                <w:spacing w:val="-5"/>
                <w:sz w:val="21"/>
              </w:rPr>
              <w:t>40</w:t>
            </w:r>
          </w:p>
        </w:tc>
        <w:tc>
          <w:tcPr>
            <w:tcW w:w="1561" w:type="dxa"/>
          </w:tcPr>
          <w:p w:rsidR="003F5784" w14:paraId="448DFE49" w14:textId="77777777">
            <w:pPr>
              <w:pStyle w:val="TableParagraph"/>
              <w:ind w:right="275"/>
              <w:rPr>
                <w:sz w:val="21"/>
              </w:rPr>
            </w:pPr>
            <w:r>
              <w:rPr>
                <w:spacing w:val="-10"/>
                <w:sz w:val="21"/>
              </w:rPr>
              <w:t>#</w:t>
            </w:r>
          </w:p>
        </w:tc>
        <w:tc>
          <w:tcPr>
            <w:tcW w:w="1479" w:type="dxa"/>
          </w:tcPr>
          <w:p w:rsidR="003F5784" w14:paraId="16610B6B" w14:textId="77777777">
            <w:pPr>
              <w:pStyle w:val="TableParagraph"/>
              <w:ind w:right="181"/>
              <w:rPr>
                <w:sz w:val="21"/>
              </w:rPr>
            </w:pPr>
            <w:r>
              <w:rPr>
                <w:spacing w:val="-5"/>
                <w:sz w:val="21"/>
              </w:rPr>
              <w:t>40</w:t>
            </w:r>
          </w:p>
        </w:tc>
        <w:tc>
          <w:tcPr>
            <w:tcW w:w="2029" w:type="dxa"/>
          </w:tcPr>
          <w:p w:rsidR="003F5784" w14:paraId="23FFB3A2" w14:textId="77777777">
            <w:pPr>
              <w:pStyle w:val="TableParagraph"/>
              <w:ind w:right="278"/>
              <w:rPr>
                <w:sz w:val="21"/>
              </w:rPr>
            </w:pPr>
            <w:r>
              <w:rPr>
                <w:spacing w:val="-5"/>
                <w:sz w:val="21"/>
              </w:rPr>
              <w:t>40</w:t>
            </w:r>
          </w:p>
        </w:tc>
        <w:tc>
          <w:tcPr>
            <w:tcW w:w="1408" w:type="dxa"/>
          </w:tcPr>
          <w:p w:rsidR="003F5784" w14:paraId="239B0454" w14:textId="77777777">
            <w:pPr>
              <w:pStyle w:val="TableParagraph"/>
              <w:ind w:right="123"/>
              <w:rPr>
                <w:sz w:val="21"/>
              </w:rPr>
            </w:pPr>
            <w:r>
              <w:rPr>
                <w:spacing w:val="-10"/>
                <w:sz w:val="21"/>
              </w:rPr>
              <w:t>#</w:t>
            </w:r>
          </w:p>
        </w:tc>
      </w:tr>
      <w:tr w14:paraId="758BCDC8" w14:textId="77777777">
        <w:tblPrEx>
          <w:tblW w:w="0" w:type="auto"/>
          <w:tblInd w:w="117" w:type="dxa"/>
          <w:tblLayout w:type="fixed"/>
          <w:tblCellMar>
            <w:left w:w="0" w:type="dxa"/>
            <w:right w:w="0" w:type="dxa"/>
          </w:tblCellMar>
          <w:tblLook w:val="01E0"/>
        </w:tblPrEx>
        <w:trPr>
          <w:trHeight w:val="286"/>
        </w:trPr>
        <w:tc>
          <w:tcPr>
            <w:tcW w:w="3845" w:type="dxa"/>
          </w:tcPr>
          <w:p w:rsidR="003F5784" w14:paraId="17302775" w14:textId="77777777">
            <w:pPr>
              <w:pStyle w:val="TableParagraph"/>
              <w:ind w:left="117"/>
              <w:jc w:val="left"/>
              <w:rPr>
                <w:sz w:val="21"/>
              </w:rPr>
            </w:pPr>
            <w:r>
              <w:rPr>
                <w:spacing w:val="-2"/>
                <w:sz w:val="21"/>
              </w:rPr>
              <w:t>California–Balance</w:t>
            </w:r>
          </w:p>
        </w:tc>
        <w:tc>
          <w:tcPr>
            <w:tcW w:w="1636" w:type="dxa"/>
          </w:tcPr>
          <w:p w:rsidR="003F5784" w14:paraId="2D666A5A" w14:textId="77777777">
            <w:pPr>
              <w:pStyle w:val="TableParagraph"/>
              <w:ind w:right="180"/>
              <w:rPr>
                <w:sz w:val="21"/>
              </w:rPr>
            </w:pPr>
            <w:r>
              <w:rPr>
                <w:spacing w:val="-5"/>
                <w:sz w:val="21"/>
              </w:rPr>
              <w:t>80</w:t>
            </w:r>
          </w:p>
        </w:tc>
        <w:tc>
          <w:tcPr>
            <w:tcW w:w="2029" w:type="dxa"/>
          </w:tcPr>
          <w:p w:rsidR="003F5784" w14:paraId="4D0AD709" w14:textId="77777777">
            <w:pPr>
              <w:pStyle w:val="TableParagraph"/>
              <w:ind w:right="277"/>
              <w:rPr>
                <w:sz w:val="21"/>
              </w:rPr>
            </w:pPr>
            <w:r>
              <w:rPr>
                <w:spacing w:val="-5"/>
                <w:sz w:val="21"/>
              </w:rPr>
              <w:t>80</w:t>
            </w:r>
          </w:p>
        </w:tc>
        <w:tc>
          <w:tcPr>
            <w:tcW w:w="1561" w:type="dxa"/>
          </w:tcPr>
          <w:p w:rsidR="003F5784" w14:paraId="33E85407" w14:textId="77777777">
            <w:pPr>
              <w:pStyle w:val="TableParagraph"/>
              <w:ind w:right="275"/>
              <w:rPr>
                <w:sz w:val="21"/>
              </w:rPr>
            </w:pPr>
            <w:r>
              <w:rPr>
                <w:spacing w:val="-10"/>
                <w:sz w:val="21"/>
              </w:rPr>
              <w:t>#</w:t>
            </w:r>
          </w:p>
        </w:tc>
        <w:tc>
          <w:tcPr>
            <w:tcW w:w="1479" w:type="dxa"/>
          </w:tcPr>
          <w:p w:rsidR="003F5784" w14:paraId="72EC6FA0" w14:textId="77777777">
            <w:pPr>
              <w:pStyle w:val="TableParagraph"/>
              <w:ind w:right="181"/>
              <w:rPr>
                <w:sz w:val="21"/>
              </w:rPr>
            </w:pPr>
            <w:r>
              <w:rPr>
                <w:spacing w:val="-5"/>
                <w:sz w:val="21"/>
              </w:rPr>
              <w:t>80</w:t>
            </w:r>
          </w:p>
        </w:tc>
        <w:tc>
          <w:tcPr>
            <w:tcW w:w="2029" w:type="dxa"/>
          </w:tcPr>
          <w:p w:rsidR="003F5784" w14:paraId="73833A38" w14:textId="77777777">
            <w:pPr>
              <w:pStyle w:val="TableParagraph"/>
              <w:ind w:right="278"/>
              <w:rPr>
                <w:sz w:val="21"/>
              </w:rPr>
            </w:pPr>
            <w:r>
              <w:rPr>
                <w:spacing w:val="-5"/>
                <w:sz w:val="21"/>
              </w:rPr>
              <w:t>80</w:t>
            </w:r>
          </w:p>
        </w:tc>
        <w:tc>
          <w:tcPr>
            <w:tcW w:w="1408" w:type="dxa"/>
          </w:tcPr>
          <w:p w:rsidR="003F5784" w14:paraId="0C5D622B" w14:textId="77777777">
            <w:pPr>
              <w:pStyle w:val="TableParagraph"/>
              <w:ind w:right="123"/>
              <w:rPr>
                <w:sz w:val="21"/>
              </w:rPr>
            </w:pPr>
            <w:r>
              <w:rPr>
                <w:spacing w:val="-10"/>
                <w:sz w:val="21"/>
              </w:rPr>
              <w:t>#</w:t>
            </w:r>
          </w:p>
        </w:tc>
      </w:tr>
      <w:tr w14:paraId="08CDB68B" w14:textId="77777777">
        <w:tblPrEx>
          <w:tblW w:w="0" w:type="auto"/>
          <w:tblInd w:w="117" w:type="dxa"/>
          <w:tblLayout w:type="fixed"/>
          <w:tblCellMar>
            <w:left w:w="0" w:type="dxa"/>
            <w:right w:w="0" w:type="dxa"/>
          </w:tblCellMar>
          <w:tblLook w:val="01E0"/>
        </w:tblPrEx>
        <w:trPr>
          <w:trHeight w:val="286"/>
        </w:trPr>
        <w:tc>
          <w:tcPr>
            <w:tcW w:w="3845" w:type="dxa"/>
          </w:tcPr>
          <w:p w:rsidR="003F5784" w14:paraId="0F625A69" w14:textId="77777777">
            <w:pPr>
              <w:pStyle w:val="TableParagraph"/>
              <w:ind w:left="117"/>
              <w:jc w:val="left"/>
              <w:rPr>
                <w:sz w:val="21"/>
              </w:rPr>
            </w:pPr>
            <w:r>
              <w:rPr>
                <w:spacing w:val="-2"/>
                <w:sz w:val="21"/>
              </w:rPr>
              <w:t>Colorado–Denver</w:t>
            </w:r>
          </w:p>
        </w:tc>
        <w:tc>
          <w:tcPr>
            <w:tcW w:w="1636" w:type="dxa"/>
          </w:tcPr>
          <w:p w:rsidR="003F5784" w14:paraId="4B331F39" w14:textId="77777777">
            <w:pPr>
              <w:pStyle w:val="TableParagraph"/>
              <w:ind w:right="180"/>
              <w:rPr>
                <w:sz w:val="21"/>
              </w:rPr>
            </w:pPr>
            <w:r>
              <w:rPr>
                <w:spacing w:val="-5"/>
                <w:sz w:val="21"/>
              </w:rPr>
              <w:t>40</w:t>
            </w:r>
          </w:p>
        </w:tc>
        <w:tc>
          <w:tcPr>
            <w:tcW w:w="2029" w:type="dxa"/>
          </w:tcPr>
          <w:p w:rsidR="003F5784" w14:paraId="0341A693" w14:textId="77777777">
            <w:pPr>
              <w:pStyle w:val="TableParagraph"/>
              <w:ind w:right="277"/>
              <w:rPr>
                <w:sz w:val="21"/>
              </w:rPr>
            </w:pPr>
            <w:r>
              <w:rPr>
                <w:spacing w:val="-5"/>
                <w:sz w:val="21"/>
              </w:rPr>
              <w:t>40</w:t>
            </w:r>
          </w:p>
        </w:tc>
        <w:tc>
          <w:tcPr>
            <w:tcW w:w="1561" w:type="dxa"/>
          </w:tcPr>
          <w:p w:rsidR="003F5784" w14:paraId="08A01937" w14:textId="77777777">
            <w:pPr>
              <w:pStyle w:val="TableParagraph"/>
              <w:ind w:right="275"/>
              <w:rPr>
                <w:sz w:val="21"/>
              </w:rPr>
            </w:pPr>
            <w:r>
              <w:rPr>
                <w:spacing w:val="-10"/>
                <w:sz w:val="21"/>
              </w:rPr>
              <w:t>#</w:t>
            </w:r>
          </w:p>
        </w:tc>
        <w:tc>
          <w:tcPr>
            <w:tcW w:w="1479" w:type="dxa"/>
          </w:tcPr>
          <w:p w:rsidR="003F5784" w14:paraId="00F41539" w14:textId="77777777">
            <w:pPr>
              <w:pStyle w:val="TableParagraph"/>
              <w:ind w:right="181"/>
              <w:rPr>
                <w:sz w:val="21"/>
              </w:rPr>
            </w:pPr>
            <w:r>
              <w:rPr>
                <w:spacing w:val="-5"/>
                <w:sz w:val="21"/>
              </w:rPr>
              <w:t>40</w:t>
            </w:r>
          </w:p>
        </w:tc>
        <w:tc>
          <w:tcPr>
            <w:tcW w:w="2029" w:type="dxa"/>
          </w:tcPr>
          <w:p w:rsidR="003F5784" w14:paraId="2EDEE5B2" w14:textId="77777777">
            <w:pPr>
              <w:pStyle w:val="TableParagraph"/>
              <w:ind w:right="278"/>
              <w:rPr>
                <w:sz w:val="21"/>
              </w:rPr>
            </w:pPr>
            <w:r>
              <w:rPr>
                <w:spacing w:val="-5"/>
                <w:sz w:val="21"/>
              </w:rPr>
              <w:t>40</w:t>
            </w:r>
          </w:p>
        </w:tc>
        <w:tc>
          <w:tcPr>
            <w:tcW w:w="1408" w:type="dxa"/>
          </w:tcPr>
          <w:p w:rsidR="003F5784" w14:paraId="381E9883" w14:textId="77777777">
            <w:pPr>
              <w:pStyle w:val="TableParagraph"/>
              <w:ind w:right="123"/>
              <w:rPr>
                <w:sz w:val="21"/>
              </w:rPr>
            </w:pPr>
            <w:r>
              <w:rPr>
                <w:spacing w:val="-10"/>
                <w:sz w:val="21"/>
              </w:rPr>
              <w:t>#</w:t>
            </w:r>
          </w:p>
        </w:tc>
      </w:tr>
      <w:tr w14:paraId="0726B1EE" w14:textId="77777777">
        <w:tblPrEx>
          <w:tblW w:w="0" w:type="auto"/>
          <w:tblInd w:w="117" w:type="dxa"/>
          <w:tblLayout w:type="fixed"/>
          <w:tblCellMar>
            <w:left w:w="0" w:type="dxa"/>
            <w:right w:w="0" w:type="dxa"/>
          </w:tblCellMar>
          <w:tblLook w:val="01E0"/>
        </w:tblPrEx>
        <w:trPr>
          <w:trHeight w:val="286"/>
        </w:trPr>
        <w:tc>
          <w:tcPr>
            <w:tcW w:w="3845" w:type="dxa"/>
          </w:tcPr>
          <w:p w:rsidR="003F5784" w14:paraId="56E09F4D" w14:textId="77777777">
            <w:pPr>
              <w:pStyle w:val="TableParagraph"/>
              <w:ind w:left="117"/>
              <w:jc w:val="left"/>
              <w:rPr>
                <w:sz w:val="21"/>
              </w:rPr>
            </w:pPr>
            <w:r>
              <w:rPr>
                <w:spacing w:val="-2"/>
                <w:sz w:val="21"/>
              </w:rPr>
              <w:t>Colorado–Balance</w:t>
            </w:r>
          </w:p>
        </w:tc>
        <w:tc>
          <w:tcPr>
            <w:tcW w:w="1636" w:type="dxa"/>
          </w:tcPr>
          <w:p w:rsidR="003F5784" w14:paraId="024C3EA5" w14:textId="77777777">
            <w:pPr>
              <w:pStyle w:val="TableParagraph"/>
              <w:ind w:right="180"/>
              <w:rPr>
                <w:sz w:val="21"/>
              </w:rPr>
            </w:pPr>
            <w:r>
              <w:rPr>
                <w:spacing w:val="-5"/>
                <w:sz w:val="21"/>
              </w:rPr>
              <w:t>80</w:t>
            </w:r>
          </w:p>
        </w:tc>
        <w:tc>
          <w:tcPr>
            <w:tcW w:w="2029" w:type="dxa"/>
          </w:tcPr>
          <w:p w:rsidR="003F5784" w14:paraId="420BE21C" w14:textId="77777777">
            <w:pPr>
              <w:pStyle w:val="TableParagraph"/>
              <w:ind w:right="277"/>
              <w:rPr>
                <w:sz w:val="21"/>
              </w:rPr>
            </w:pPr>
            <w:r>
              <w:rPr>
                <w:spacing w:val="-5"/>
                <w:sz w:val="21"/>
              </w:rPr>
              <w:t>80</w:t>
            </w:r>
          </w:p>
        </w:tc>
        <w:tc>
          <w:tcPr>
            <w:tcW w:w="1561" w:type="dxa"/>
          </w:tcPr>
          <w:p w:rsidR="003F5784" w14:paraId="5CEE1F6B" w14:textId="77777777">
            <w:pPr>
              <w:pStyle w:val="TableParagraph"/>
              <w:ind w:right="275"/>
              <w:rPr>
                <w:sz w:val="21"/>
              </w:rPr>
            </w:pPr>
            <w:r>
              <w:rPr>
                <w:spacing w:val="-10"/>
                <w:sz w:val="21"/>
              </w:rPr>
              <w:t>#</w:t>
            </w:r>
          </w:p>
        </w:tc>
        <w:tc>
          <w:tcPr>
            <w:tcW w:w="1479" w:type="dxa"/>
          </w:tcPr>
          <w:p w:rsidR="003F5784" w14:paraId="36383525" w14:textId="77777777">
            <w:pPr>
              <w:pStyle w:val="TableParagraph"/>
              <w:ind w:right="181"/>
              <w:rPr>
                <w:sz w:val="21"/>
              </w:rPr>
            </w:pPr>
            <w:r>
              <w:rPr>
                <w:spacing w:val="-5"/>
                <w:sz w:val="21"/>
              </w:rPr>
              <w:t>80</w:t>
            </w:r>
          </w:p>
        </w:tc>
        <w:tc>
          <w:tcPr>
            <w:tcW w:w="2029" w:type="dxa"/>
          </w:tcPr>
          <w:p w:rsidR="003F5784" w14:paraId="255BAE26" w14:textId="77777777">
            <w:pPr>
              <w:pStyle w:val="TableParagraph"/>
              <w:ind w:right="278"/>
              <w:rPr>
                <w:sz w:val="21"/>
              </w:rPr>
            </w:pPr>
            <w:r>
              <w:rPr>
                <w:spacing w:val="-5"/>
                <w:sz w:val="21"/>
              </w:rPr>
              <w:t>80</w:t>
            </w:r>
          </w:p>
        </w:tc>
        <w:tc>
          <w:tcPr>
            <w:tcW w:w="1408" w:type="dxa"/>
          </w:tcPr>
          <w:p w:rsidR="003F5784" w14:paraId="4934BC40" w14:textId="77777777">
            <w:pPr>
              <w:pStyle w:val="TableParagraph"/>
              <w:ind w:right="123"/>
              <w:rPr>
                <w:sz w:val="21"/>
              </w:rPr>
            </w:pPr>
            <w:r>
              <w:rPr>
                <w:spacing w:val="-10"/>
                <w:sz w:val="21"/>
              </w:rPr>
              <w:t>#</w:t>
            </w:r>
          </w:p>
        </w:tc>
      </w:tr>
      <w:tr w14:paraId="74E05803" w14:textId="77777777">
        <w:tblPrEx>
          <w:tblW w:w="0" w:type="auto"/>
          <w:tblInd w:w="117" w:type="dxa"/>
          <w:tblLayout w:type="fixed"/>
          <w:tblCellMar>
            <w:left w:w="0" w:type="dxa"/>
            <w:right w:w="0" w:type="dxa"/>
          </w:tblCellMar>
          <w:tblLook w:val="01E0"/>
        </w:tblPrEx>
        <w:trPr>
          <w:trHeight w:val="286"/>
        </w:trPr>
        <w:tc>
          <w:tcPr>
            <w:tcW w:w="3845" w:type="dxa"/>
          </w:tcPr>
          <w:p w:rsidR="003F5784" w14:paraId="7284A04B" w14:textId="77777777">
            <w:pPr>
              <w:pStyle w:val="TableParagraph"/>
              <w:ind w:left="117"/>
              <w:jc w:val="left"/>
              <w:rPr>
                <w:sz w:val="21"/>
              </w:rPr>
            </w:pPr>
            <w:r>
              <w:rPr>
                <w:spacing w:val="-2"/>
                <w:sz w:val="21"/>
              </w:rPr>
              <w:t>Connecticut</w:t>
            </w:r>
          </w:p>
        </w:tc>
        <w:tc>
          <w:tcPr>
            <w:tcW w:w="1636" w:type="dxa"/>
          </w:tcPr>
          <w:p w:rsidR="003F5784" w14:paraId="65065D39" w14:textId="77777777">
            <w:pPr>
              <w:pStyle w:val="TableParagraph"/>
              <w:ind w:right="180"/>
              <w:rPr>
                <w:sz w:val="21"/>
              </w:rPr>
            </w:pPr>
            <w:r>
              <w:rPr>
                <w:spacing w:val="-5"/>
                <w:sz w:val="21"/>
              </w:rPr>
              <w:t>90</w:t>
            </w:r>
          </w:p>
        </w:tc>
        <w:tc>
          <w:tcPr>
            <w:tcW w:w="2029" w:type="dxa"/>
          </w:tcPr>
          <w:p w:rsidR="003F5784" w14:paraId="403336D6" w14:textId="77777777">
            <w:pPr>
              <w:pStyle w:val="TableParagraph"/>
              <w:ind w:right="277"/>
              <w:rPr>
                <w:sz w:val="21"/>
              </w:rPr>
            </w:pPr>
            <w:r>
              <w:rPr>
                <w:spacing w:val="-5"/>
                <w:sz w:val="21"/>
              </w:rPr>
              <w:t>90</w:t>
            </w:r>
          </w:p>
        </w:tc>
        <w:tc>
          <w:tcPr>
            <w:tcW w:w="1561" w:type="dxa"/>
          </w:tcPr>
          <w:p w:rsidR="003F5784" w14:paraId="07CB9580" w14:textId="77777777">
            <w:pPr>
              <w:pStyle w:val="TableParagraph"/>
              <w:ind w:right="275"/>
              <w:rPr>
                <w:sz w:val="21"/>
              </w:rPr>
            </w:pPr>
            <w:r>
              <w:rPr>
                <w:spacing w:val="-10"/>
                <w:sz w:val="21"/>
              </w:rPr>
              <w:t>#</w:t>
            </w:r>
          </w:p>
        </w:tc>
        <w:tc>
          <w:tcPr>
            <w:tcW w:w="1479" w:type="dxa"/>
          </w:tcPr>
          <w:p w:rsidR="003F5784" w14:paraId="2832F63D" w14:textId="77777777">
            <w:pPr>
              <w:pStyle w:val="TableParagraph"/>
              <w:ind w:right="181"/>
              <w:rPr>
                <w:sz w:val="21"/>
              </w:rPr>
            </w:pPr>
            <w:r>
              <w:rPr>
                <w:spacing w:val="-5"/>
                <w:sz w:val="21"/>
              </w:rPr>
              <w:t>90</w:t>
            </w:r>
          </w:p>
        </w:tc>
        <w:tc>
          <w:tcPr>
            <w:tcW w:w="2029" w:type="dxa"/>
          </w:tcPr>
          <w:p w:rsidR="003F5784" w14:paraId="461D587A" w14:textId="77777777">
            <w:pPr>
              <w:pStyle w:val="TableParagraph"/>
              <w:ind w:right="278"/>
              <w:rPr>
                <w:sz w:val="21"/>
              </w:rPr>
            </w:pPr>
            <w:r>
              <w:rPr>
                <w:spacing w:val="-5"/>
                <w:sz w:val="21"/>
              </w:rPr>
              <w:t>90</w:t>
            </w:r>
          </w:p>
        </w:tc>
        <w:tc>
          <w:tcPr>
            <w:tcW w:w="1408" w:type="dxa"/>
          </w:tcPr>
          <w:p w:rsidR="003F5784" w14:paraId="6ED823BF" w14:textId="77777777">
            <w:pPr>
              <w:pStyle w:val="TableParagraph"/>
              <w:ind w:right="123"/>
              <w:rPr>
                <w:sz w:val="21"/>
              </w:rPr>
            </w:pPr>
            <w:r>
              <w:rPr>
                <w:spacing w:val="-10"/>
                <w:sz w:val="21"/>
              </w:rPr>
              <w:t>#</w:t>
            </w:r>
          </w:p>
        </w:tc>
      </w:tr>
      <w:tr w14:paraId="0C5C883C" w14:textId="77777777">
        <w:tblPrEx>
          <w:tblW w:w="0" w:type="auto"/>
          <w:tblInd w:w="117" w:type="dxa"/>
          <w:tblLayout w:type="fixed"/>
          <w:tblCellMar>
            <w:left w:w="0" w:type="dxa"/>
            <w:right w:w="0" w:type="dxa"/>
          </w:tblCellMar>
          <w:tblLook w:val="01E0"/>
        </w:tblPrEx>
        <w:trPr>
          <w:trHeight w:val="286"/>
        </w:trPr>
        <w:tc>
          <w:tcPr>
            <w:tcW w:w="3845" w:type="dxa"/>
          </w:tcPr>
          <w:p w:rsidR="003F5784" w14:paraId="5D9D4E38" w14:textId="77777777">
            <w:pPr>
              <w:pStyle w:val="TableParagraph"/>
              <w:ind w:left="117"/>
              <w:jc w:val="left"/>
              <w:rPr>
                <w:sz w:val="21"/>
              </w:rPr>
            </w:pPr>
            <w:r>
              <w:rPr>
                <w:spacing w:val="-2"/>
                <w:sz w:val="21"/>
              </w:rPr>
              <w:t>Delaware</w:t>
            </w:r>
          </w:p>
        </w:tc>
        <w:tc>
          <w:tcPr>
            <w:tcW w:w="1636" w:type="dxa"/>
          </w:tcPr>
          <w:p w:rsidR="003F5784" w14:paraId="76CEA02B" w14:textId="77777777">
            <w:pPr>
              <w:pStyle w:val="TableParagraph"/>
              <w:ind w:right="180"/>
              <w:rPr>
                <w:sz w:val="21"/>
              </w:rPr>
            </w:pPr>
            <w:r>
              <w:rPr>
                <w:spacing w:val="-5"/>
                <w:sz w:val="21"/>
              </w:rPr>
              <w:t>80</w:t>
            </w:r>
          </w:p>
        </w:tc>
        <w:tc>
          <w:tcPr>
            <w:tcW w:w="2029" w:type="dxa"/>
          </w:tcPr>
          <w:p w:rsidR="003F5784" w14:paraId="6FE38C0D" w14:textId="77777777">
            <w:pPr>
              <w:pStyle w:val="TableParagraph"/>
              <w:ind w:right="277"/>
              <w:rPr>
                <w:sz w:val="21"/>
              </w:rPr>
            </w:pPr>
            <w:r>
              <w:rPr>
                <w:spacing w:val="-5"/>
                <w:sz w:val="21"/>
              </w:rPr>
              <w:t>80</w:t>
            </w:r>
          </w:p>
        </w:tc>
        <w:tc>
          <w:tcPr>
            <w:tcW w:w="1561" w:type="dxa"/>
          </w:tcPr>
          <w:p w:rsidR="003F5784" w14:paraId="0780C770" w14:textId="77777777">
            <w:pPr>
              <w:pStyle w:val="TableParagraph"/>
              <w:ind w:right="275"/>
              <w:rPr>
                <w:sz w:val="21"/>
              </w:rPr>
            </w:pPr>
            <w:r>
              <w:rPr>
                <w:spacing w:val="-10"/>
                <w:sz w:val="21"/>
              </w:rPr>
              <w:t>#</w:t>
            </w:r>
          </w:p>
        </w:tc>
        <w:tc>
          <w:tcPr>
            <w:tcW w:w="1479" w:type="dxa"/>
          </w:tcPr>
          <w:p w:rsidR="003F5784" w14:paraId="726FB8C6" w14:textId="77777777">
            <w:pPr>
              <w:pStyle w:val="TableParagraph"/>
              <w:ind w:right="181"/>
              <w:rPr>
                <w:sz w:val="21"/>
              </w:rPr>
            </w:pPr>
            <w:r>
              <w:rPr>
                <w:spacing w:val="-5"/>
                <w:sz w:val="21"/>
              </w:rPr>
              <w:t>50</w:t>
            </w:r>
          </w:p>
        </w:tc>
        <w:tc>
          <w:tcPr>
            <w:tcW w:w="2029" w:type="dxa"/>
          </w:tcPr>
          <w:p w:rsidR="003F5784" w14:paraId="431080C3" w14:textId="77777777">
            <w:pPr>
              <w:pStyle w:val="TableParagraph"/>
              <w:ind w:right="278"/>
              <w:rPr>
                <w:sz w:val="21"/>
              </w:rPr>
            </w:pPr>
            <w:r>
              <w:rPr>
                <w:spacing w:val="-5"/>
                <w:sz w:val="21"/>
              </w:rPr>
              <w:t>50</w:t>
            </w:r>
          </w:p>
        </w:tc>
        <w:tc>
          <w:tcPr>
            <w:tcW w:w="1408" w:type="dxa"/>
          </w:tcPr>
          <w:p w:rsidR="003F5784" w14:paraId="6B2883FE" w14:textId="77777777">
            <w:pPr>
              <w:pStyle w:val="TableParagraph"/>
              <w:ind w:right="123"/>
              <w:rPr>
                <w:sz w:val="21"/>
              </w:rPr>
            </w:pPr>
            <w:r>
              <w:rPr>
                <w:spacing w:val="-10"/>
                <w:sz w:val="21"/>
              </w:rPr>
              <w:t>#</w:t>
            </w:r>
          </w:p>
        </w:tc>
      </w:tr>
      <w:tr w14:paraId="47D61061" w14:textId="77777777">
        <w:tblPrEx>
          <w:tblW w:w="0" w:type="auto"/>
          <w:tblInd w:w="117" w:type="dxa"/>
          <w:tblLayout w:type="fixed"/>
          <w:tblCellMar>
            <w:left w:w="0" w:type="dxa"/>
            <w:right w:w="0" w:type="dxa"/>
          </w:tblCellMar>
          <w:tblLook w:val="01E0"/>
        </w:tblPrEx>
        <w:trPr>
          <w:trHeight w:val="286"/>
        </w:trPr>
        <w:tc>
          <w:tcPr>
            <w:tcW w:w="3845" w:type="dxa"/>
          </w:tcPr>
          <w:p w:rsidR="003F5784" w14:paraId="54E31B12" w14:textId="77777777">
            <w:pPr>
              <w:pStyle w:val="TableParagraph"/>
              <w:ind w:left="117"/>
              <w:jc w:val="left"/>
              <w:rPr>
                <w:sz w:val="21"/>
              </w:rPr>
            </w:pPr>
            <w:r>
              <w:rPr>
                <w:spacing w:val="-2"/>
                <w:sz w:val="21"/>
              </w:rPr>
              <w:t>Florida–Duval</w:t>
            </w:r>
            <w:r>
              <w:rPr>
                <w:spacing w:val="12"/>
                <w:sz w:val="21"/>
              </w:rPr>
              <w:t xml:space="preserve"> </w:t>
            </w:r>
            <w:r>
              <w:rPr>
                <w:spacing w:val="-2"/>
                <w:sz w:val="21"/>
              </w:rPr>
              <w:t>County</w:t>
            </w:r>
          </w:p>
        </w:tc>
        <w:tc>
          <w:tcPr>
            <w:tcW w:w="1636" w:type="dxa"/>
          </w:tcPr>
          <w:p w:rsidR="003F5784" w14:paraId="27926100" w14:textId="77777777">
            <w:pPr>
              <w:pStyle w:val="TableParagraph"/>
              <w:ind w:right="180"/>
              <w:rPr>
                <w:sz w:val="21"/>
              </w:rPr>
            </w:pPr>
            <w:r>
              <w:rPr>
                <w:spacing w:val="-5"/>
                <w:sz w:val="21"/>
              </w:rPr>
              <w:t>40</w:t>
            </w:r>
          </w:p>
        </w:tc>
        <w:tc>
          <w:tcPr>
            <w:tcW w:w="2029" w:type="dxa"/>
          </w:tcPr>
          <w:p w:rsidR="003F5784" w14:paraId="35A00036" w14:textId="77777777">
            <w:pPr>
              <w:pStyle w:val="TableParagraph"/>
              <w:ind w:right="277"/>
              <w:rPr>
                <w:sz w:val="21"/>
              </w:rPr>
            </w:pPr>
            <w:r>
              <w:rPr>
                <w:spacing w:val="-5"/>
                <w:sz w:val="21"/>
              </w:rPr>
              <w:t>40</w:t>
            </w:r>
          </w:p>
        </w:tc>
        <w:tc>
          <w:tcPr>
            <w:tcW w:w="1561" w:type="dxa"/>
          </w:tcPr>
          <w:p w:rsidR="003F5784" w14:paraId="5634EED5" w14:textId="77777777">
            <w:pPr>
              <w:pStyle w:val="TableParagraph"/>
              <w:ind w:right="275"/>
              <w:rPr>
                <w:sz w:val="21"/>
              </w:rPr>
            </w:pPr>
            <w:r>
              <w:rPr>
                <w:spacing w:val="-10"/>
                <w:sz w:val="21"/>
              </w:rPr>
              <w:t>#</w:t>
            </w:r>
          </w:p>
        </w:tc>
        <w:tc>
          <w:tcPr>
            <w:tcW w:w="1479" w:type="dxa"/>
          </w:tcPr>
          <w:p w:rsidR="003F5784" w14:paraId="47BB4BB4" w14:textId="77777777">
            <w:pPr>
              <w:pStyle w:val="TableParagraph"/>
              <w:ind w:right="181"/>
              <w:rPr>
                <w:sz w:val="21"/>
              </w:rPr>
            </w:pPr>
            <w:r>
              <w:rPr>
                <w:spacing w:val="-5"/>
                <w:sz w:val="21"/>
              </w:rPr>
              <w:t>40</w:t>
            </w:r>
          </w:p>
        </w:tc>
        <w:tc>
          <w:tcPr>
            <w:tcW w:w="2029" w:type="dxa"/>
          </w:tcPr>
          <w:p w:rsidR="003F5784" w14:paraId="77540890" w14:textId="77777777">
            <w:pPr>
              <w:pStyle w:val="TableParagraph"/>
              <w:ind w:right="278"/>
              <w:rPr>
                <w:sz w:val="21"/>
              </w:rPr>
            </w:pPr>
            <w:r>
              <w:rPr>
                <w:spacing w:val="-5"/>
                <w:sz w:val="21"/>
              </w:rPr>
              <w:t>30</w:t>
            </w:r>
          </w:p>
        </w:tc>
        <w:tc>
          <w:tcPr>
            <w:tcW w:w="1408" w:type="dxa"/>
          </w:tcPr>
          <w:p w:rsidR="003F5784" w14:paraId="6DD963C9" w14:textId="77777777">
            <w:pPr>
              <w:pStyle w:val="TableParagraph"/>
              <w:ind w:right="123"/>
              <w:rPr>
                <w:sz w:val="21"/>
              </w:rPr>
            </w:pPr>
            <w:r>
              <w:rPr>
                <w:spacing w:val="-10"/>
                <w:sz w:val="21"/>
              </w:rPr>
              <w:t>#</w:t>
            </w:r>
          </w:p>
        </w:tc>
      </w:tr>
      <w:tr w14:paraId="3E017EF7" w14:textId="77777777">
        <w:tblPrEx>
          <w:tblW w:w="0" w:type="auto"/>
          <w:tblInd w:w="117" w:type="dxa"/>
          <w:tblLayout w:type="fixed"/>
          <w:tblCellMar>
            <w:left w:w="0" w:type="dxa"/>
            <w:right w:w="0" w:type="dxa"/>
          </w:tblCellMar>
          <w:tblLook w:val="01E0"/>
        </w:tblPrEx>
        <w:trPr>
          <w:trHeight w:val="286"/>
        </w:trPr>
        <w:tc>
          <w:tcPr>
            <w:tcW w:w="3845" w:type="dxa"/>
          </w:tcPr>
          <w:p w:rsidR="003F5784" w14:paraId="7A3F248A" w14:textId="77777777">
            <w:pPr>
              <w:pStyle w:val="TableParagraph"/>
              <w:ind w:left="117"/>
              <w:jc w:val="left"/>
              <w:rPr>
                <w:sz w:val="21"/>
              </w:rPr>
            </w:pPr>
            <w:r>
              <w:rPr>
                <w:spacing w:val="-2"/>
                <w:sz w:val="21"/>
              </w:rPr>
              <w:t>Florida–Hillsborough</w:t>
            </w:r>
            <w:r>
              <w:rPr>
                <w:spacing w:val="20"/>
                <w:sz w:val="21"/>
              </w:rPr>
              <w:t xml:space="preserve"> </w:t>
            </w:r>
            <w:r>
              <w:rPr>
                <w:spacing w:val="-2"/>
                <w:sz w:val="21"/>
              </w:rPr>
              <w:t>County</w:t>
            </w:r>
          </w:p>
        </w:tc>
        <w:tc>
          <w:tcPr>
            <w:tcW w:w="1636" w:type="dxa"/>
          </w:tcPr>
          <w:p w:rsidR="003F5784" w14:paraId="6369B106" w14:textId="77777777">
            <w:pPr>
              <w:pStyle w:val="TableParagraph"/>
              <w:ind w:right="180"/>
              <w:rPr>
                <w:sz w:val="21"/>
              </w:rPr>
            </w:pPr>
            <w:r>
              <w:rPr>
                <w:spacing w:val="-5"/>
                <w:sz w:val="21"/>
              </w:rPr>
              <w:t>40</w:t>
            </w:r>
          </w:p>
        </w:tc>
        <w:tc>
          <w:tcPr>
            <w:tcW w:w="2029" w:type="dxa"/>
          </w:tcPr>
          <w:p w:rsidR="003F5784" w14:paraId="68B92CC9" w14:textId="77777777">
            <w:pPr>
              <w:pStyle w:val="TableParagraph"/>
              <w:ind w:right="277"/>
              <w:rPr>
                <w:sz w:val="21"/>
              </w:rPr>
            </w:pPr>
            <w:r>
              <w:rPr>
                <w:spacing w:val="-5"/>
                <w:sz w:val="21"/>
              </w:rPr>
              <w:t>40</w:t>
            </w:r>
          </w:p>
        </w:tc>
        <w:tc>
          <w:tcPr>
            <w:tcW w:w="1561" w:type="dxa"/>
          </w:tcPr>
          <w:p w:rsidR="003F5784" w14:paraId="22F813A8" w14:textId="77777777">
            <w:pPr>
              <w:pStyle w:val="TableParagraph"/>
              <w:ind w:right="275"/>
              <w:rPr>
                <w:sz w:val="21"/>
              </w:rPr>
            </w:pPr>
            <w:r>
              <w:rPr>
                <w:spacing w:val="-10"/>
                <w:sz w:val="21"/>
              </w:rPr>
              <w:t>#</w:t>
            </w:r>
          </w:p>
        </w:tc>
        <w:tc>
          <w:tcPr>
            <w:tcW w:w="1479" w:type="dxa"/>
          </w:tcPr>
          <w:p w:rsidR="003F5784" w14:paraId="2216D871" w14:textId="77777777">
            <w:pPr>
              <w:pStyle w:val="TableParagraph"/>
              <w:ind w:right="181"/>
              <w:rPr>
                <w:sz w:val="21"/>
              </w:rPr>
            </w:pPr>
            <w:r>
              <w:rPr>
                <w:spacing w:val="-5"/>
                <w:sz w:val="21"/>
              </w:rPr>
              <w:t>40</w:t>
            </w:r>
          </w:p>
        </w:tc>
        <w:tc>
          <w:tcPr>
            <w:tcW w:w="2029" w:type="dxa"/>
          </w:tcPr>
          <w:p w:rsidR="003F5784" w14:paraId="617A3AAB" w14:textId="77777777">
            <w:pPr>
              <w:pStyle w:val="TableParagraph"/>
              <w:ind w:right="278"/>
              <w:rPr>
                <w:sz w:val="21"/>
              </w:rPr>
            </w:pPr>
            <w:r>
              <w:rPr>
                <w:spacing w:val="-5"/>
                <w:sz w:val="21"/>
              </w:rPr>
              <w:t>40</w:t>
            </w:r>
          </w:p>
        </w:tc>
        <w:tc>
          <w:tcPr>
            <w:tcW w:w="1408" w:type="dxa"/>
          </w:tcPr>
          <w:p w:rsidR="003F5784" w14:paraId="2929A73C" w14:textId="77777777">
            <w:pPr>
              <w:pStyle w:val="TableParagraph"/>
              <w:ind w:right="123"/>
              <w:rPr>
                <w:sz w:val="21"/>
              </w:rPr>
            </w:pPr>
            <w:r>
              <w:rPr>
                <w:spacing w:val="-10"/>
                <w:sz w:val="21"/>
              </w:rPr>
              <w:t>#</w:t>
            </w:r>
          </w:p>
        </w:tc>
      </w:tr>
      <w:tr w14:paraId="311A78D8" w14:textId="77777777">
        <w:tblPrEx>
          <w:tblW w:w="0" w:type="auto"/>
          <w:tblInd w:w="117" w:type="dxa"/>
          <w:tblLayout w:type="fixed"/>
          <w:tblCellMar>
            <w:left w:w="0" w:type="dxa"/>
            <w:right w:w="0" w:type="dxa"/>
          </w:tblCellMar>
          <w:tblLook w:val="01E0"/>
        </w:tblPrEx>
        <w:trPr>
          <w:trHeight w:val="286"/>
        </w:trPr>
        <w:tc>
          <w:tcPr>
            <w:tcW w:w="3845" w:type="dxa"/>
          </w:tcPr>
          <w:p w:rsidR="003F5784" w14:paraId="5A709F39" w14:textId="77777777">
            <w:pPr>
              <w:pStyle w:val="TableParagraph"/>
              <w:ind w:left="117"/>
              <w:jc w:val="left"/>
              <w:rPr>
                <w:sz w:val="21"/>
              </w:rPr>
            </w:pPr>
            <w:r>
              <w:rPr>
                <w:spacing w:val="-2"/>
                <w:sz w:val="21"/>
              </w:rPr>
              <w:t>Florida–Miami-Dade</w:t>
            </w:r>
            <w:r>
              <w:rPr>
                <w:spacing w:val="17"/>
                <w:sz w:val="21"/>
              </w:rPr>
              <w:t xml:space="preserve"> </w:t>
            </w:r>
            <w:r>
              <w:rPr>
                <w:spacing w:val="-2"/>
                <w:sz w:val="21"/>
              </w:rPr>
              <w:t>County</w:t>
            </w:r>
          </w:p>
        </w:tc>
        <w:tc>
          <w:tcPr>
            <w:tcW w:w="1636" w:type="dxa"/>
          </w:tcPr>
          <w:p w:rsidR="003F5784" w14:paraId="2D993137" w14:textId="77777777">
            <w:pPr>
              <w:pStyle w:val="TableParagraph"/>
              <w:ind w:right="180"/>
              <w:rPr>
                <w:sz w:val="21"/>
              </w:rPr>
            </w:pPr>
            <w:r>
              <w:rPr>
                <w:spacing w:val="-5"/>
                <w:sz w:val="21"/>
              </w:rPr>
              <w:t>60</w:t>
            </w:r>
          </w:p>
        </w:tc>
        <w:tc>
          <w:tcPr>
            <w:tcW w:w="2029" w:type="dxa"/>
          </w:tcPr>
          <w:p w:rsidR="003F5784" w14:paraId="6901C6D9" w14:textId="77777777">
            <w:pPr>
              <w:pStyle w:val="TableParagraph"/>
              <w:ind w:right="277"/>
              <w:rPr>
                <w:sz w:val="21"/>
              </w:rPr>
            </w:pPr>
            <w:r>
              <w:rPr>
                <w:spacing w:val="-5"/>
                <w:sz w:val="21"/>
              </w:rPr>
              <w:t>60</w:t>
            </w:r>
          </w:p>
        </w:tc>
        <w:tc>
          <w:tcPr>
            <w:tcW w:w="1561" w:type="dxa"/>
          </w:tcPr>
          <w:p w:rsidR="003F5784" w14:paraId="043651B2" w14:textId="77777777">
            <w:pPr>
              <w:pStyle w:val="TableParagraph"/>
              <w:ind w:right="275"/>
              <w:rPr>
                <w:sz w:val="21"/>
              </w:rPr>
            </w:pPr>
            <w:r>
              <w:rPr>
                <w:spacing w:val="-10"/>
                <w:sz w:val="21"/>
              </w:rPr>
              <w:t>#</w:t>
            </w:r>
          </w:p>
        </w:tc>
        <w:tc>
          <w:tcPr>
            <w:tcW w:w="1479" w:type="dxa"/>
          </w:tcPr>
          <w:p w:rsidR="003F5784" w14:paraId="32E8CB7E" w14:textId="77777777">
            <w:pPr>
              <w:pStyle w:val="TableParagraph"/>
              <w:ind w:right="181"/>
              <w:rPr>
                <w:sz w:val="21"/>
              </w:rPr>
            </w:pPr>
            <w:r>
              <w:rPr>
                <w:spacing w:val="-5"/>
                <w:sz w:val="21"/>
              </w:rPr>
              <w:t>70</w:t>
            </w:r>
          </w:p>
        </w:tc>
        <w:tc>
          <w:tcPr>
            <w:tcW w:w="2029" w:type="dxa"/>
          </w:tcPr>
          <w:p w:rsidR="003F5784" w14:paraId="27D37299" w14:textId="77777777">
            <w:pPr>
              <w:pStyle w:val="TableParagraph"/>
              <w:ind w:right="278"/>
              <w:rPr>
                <w:sz w:val="21"/>
              </w:rPr>
            </w:pPr>
            <w:r>
              <w:rPr>
                <w:spacing w:val="-5"/>
                <w:sz w:val="21"/>
              </w:rPr>
              <w:t>70</w:t>
            </w:r>
          </w:p>
        </w:tc>
        <w:tc>
          <w:tcPr>
            <w:tcW w:w="1408" w:type="dxa"/>
          </w:tcPr>
          <w:p w:rsidR="003F5784" w14:paraId="75E0188B" w14:textId="77777777">
            <w:pPr>
              <w:pStyle w:val="TableParagraph"/>
              <w:ind w:right="123"/>
              <w:rPr>
                <w:sz w:val="21"/>
              </w:rPr>
            </w:pPr>
            <w:r>
              <w:rPr>
                <w:spacing w:val="-10"/>
                <w:sz w:val="21"/>
              </w:rPr>
              <w:t>#</w:t>
            </w:r>
          </w:p>
        </w:tc>
      </w:tr>
      <w:tr w14:paraId="2BA4D96D" w14:textId="77777777">
        <w:tblPrEx>
          <w:tblW w:w="0" w:type="auto"/>
          <w:tblInd w:w="117" w:type="dxa"/>
          <w:tblLayout w:type="fixed"/>
          <w:tblCellMar>
            <w:left w:w="0" w:type="dxa"/>
            <w:right w:w="0" w:type="dxa"/>
          </w:tblCellMar>
          <w:tblLook w:val="01E0"/>
        </w:tblPrEx>
        <w:trPr>
          <w:trHeight w:val="286"/>
        </w:trPr>
        <w:tc>
          <w:tcPr>
            <w:tcW w:w="3845" w:type="dxa"/>
          </w:tcPr>
          <w:p w:rsidR="003F5784" w14:paraId="5F9AC31E" w14:textId="77777777">
            <w:pPr>
              <w:pStyle w:val="TableParagraph"/>
              <w:ind w:left="117"/>
              <w:jc w:val="left"/>
              <w:rPr>
                <w:sz w:val="21"/>
              </w:rPr>
            </w:pPr>
            <w:r>
              <w:rPr>
                <w:spacing w:val="-2"/>
                <w:sz w:val="21"/>
              </w:rPr>
              <w:t>Florida–Balance</w:t>
            </w:r>
          </w:p>
        </w:tc>
        <w:tc>
          <w:tcPr>
            <w:tcW w:w="1636" w:type="dxa"/>
          </w:tcPr>
          <w:p w:rsidR="003F5784" w14:paraId="4F3C4F22" w14:textId="77777777">
            <w:pPr>
              <w:pStyle w:val="TableParagraph"/>
              <w:ind w:right="180"/>
              <w:rPr>
                <w:sz w:val="21"/>
              </w:rPr>
            </w:pPr>
            <w:r>
              <w:rPr>
                <w:spacing w:val="-5"/>
                <w:sz w:val="21"/>
              </w:rPr>
              <w:t>60</w:t>
            </w:r>
          </w:p>
        </w:tc>
        <w:tc>
          <w:tcPr>
            <w:tcW w:w="2029" w:type="dxa"/>
          </w:tcPr>
          <w:p w:rsidR="003F5784" w14:paraId="57B4A125" w14:textId="77777777">
            <w:pPr>
              <w:pStyle w:val="TableParagraph"/>
              <w:ind w:right="277"/>
              <w:rPr>
                <w:sz w:val="21"/>
              </w:rPr>
            </w:pPr>
            <w:r>
              <w:rPr>
                <w:spacing w:val="-5"/>
                <w:sz w:val="21"/>
              </w:rPr>
              <w:t>60</w:t>
            </w:r>
          </w:p>
        </w:tc>
        <w:tc>
          <w:tcPr>
            <w:tcW w:w="1561" w:type="dxa"/>
          </w:tcPr>
          <w:p w:rsidR="003F5784" w14:paraId="4796E175" w14:textId="77777777">
            <w:pPr>
              <w:pStyle w:val="TableParagraph"/>
              <w:ind w:right="275"/>
              <w:rPr>
                <w:sz w:val="21"/>
              </w:rPr>
            </w:pPr>
            <w:r>
              <w:rPr>
                <w:spacing w:val="-10"/>
                <w:sz w:val="21"/>
              </w:rPr>
              <w:t>#</w:t>
            </w:r>
          </w:p>
        </w:tc>
        <w:tc>
          <w:tcPr>
            <w:tcW w:w="1479" w:type="dxa"/>
          </w:tcPr>
          <w:p w:rsidR="003F5784" w14:paraId="02541741" w14:textId="77777777">
            <w:pPr>
              <w:pStyle w:val="TableParagraph"/>
              <w:ind w:right="181"/>
              <w:rPr>
                <w:sz w:val="21"/>
              </w:rPr>
            </w:pPr>
            <w:r>
              <w:rPr>
                <w:spacing w:val="-5"/>
                <w:sz w:val="21"/>
              </w:rPr>
              <w:t>70</w:t>
            </w:r>
          </w:p>
        </w:tc>
        <w:tc>
          <w:tcPr>
            <w:tcW w:w="2029" w:type="dxa"/>
          </w:tcPr>
          <w:p w:rsidR="003F5784" w14:paraId="6F0CD29B" w14:textId="77777777">
            <w:pPr>
              <w:pStyle w:val="TableParagraph"/>
              <w:ind w:right="278"/>
              <w:rPr>
                <w:sz w:val="21"/>
              </w:rPr>
            </w:pPr>
            <w:r>
              <w:rPr>
                <w:spacing w:val="-5"/>
                <w:sz w:val="21"/>
              </w:rPr>
              <w:t>70</w:t>
            </w:r>
          </w:p>
        </w:tc>
        <w:tc>
          <w:tcPr>
            <w:tcW w:w="1408" w:type="dxa"/>
          </w:tcPr>
          <w:p w:rsidR="003F5784" w14:paraId="59F874C7" w14:textId="77777777">
            <w:pPr>
              <w:pStyle w:val="TableParagraph"/>
              <w:ind w:right="123"/>
              <w:rPr>
                <w:sz w:val="21"/>
              </w:rPr>
            </w:pPr>
            <w:r>
              <w:rPr>
                <w:spacing w:val="-10"/>
                <w:sz w:val="21"/>
              </w:rPr>
              <w:t>#</w:t>
            </w:r>
          </w:p>
        </w:tc>
      </w:tr>
      <w:tr w14:paraId="7F85EBA4" w14:textId="77777777">
        <w:tblPrEx>
          <w:tblW w:w="0" w:type="auto"/>
          <w:tblInd w:w="117" w:type="dxa"/>
          <w:tblLayout w:type="fixed"/>
          <w:tblCellMar>
            <w:left w:w="0" w:type="dxa"/>
            <w:right w:w="0" w:type="dxa"/>
          </w:tblCellMar>
          <w:tblLook w:val="01E0"/>
        </w:tblPrEx>
        <w:trPr>
          <w:trHeight w:val="286"/>
        </w:trPr>
        <w:tc>
          <w:tcPr>
            <w:tcW w:w="3845" w:type="dxa"/>
          </w:tcPr>
          <w:p w:rsidR="003F5784" w14:paraId="6E35E9FC" w14:textId="77777777">
            <w:pPr>
              <w:pStyle w:val="TableParagraph"/>
              <w:ind w:left="117"/>
              <w:jc w:val="left"/>
              <w:rPr>
                <w:sz w:val="21"/>
              </w:rPr>
            </w:pPr>
            <w:r>
              <w:rPr>
                <w:spacing w:val="-2"/>
                <w:sz w:val="21"/>
              </w:rPr>
              <w:t>Georgia–Atlanta</w:t>
            </w:r>
          </w:p>
        </w:tc>
        <w:tc>
          <w:tcPr>
            <w:tcW w:w="1636" w:type="dxa"/>
          </w:tcPr>
          <w:p w:rsidR="003F5784" w14:paraId="255E5C03" w14:textId="77777777">
            <w:pPr>
              <w:pStyle w:val="TableParagraph"/>
              <w:ind w:right="180"/>
              <w:rPr>
                <w:sz w:val="21"/>
              </w:rPr>
            </w:pPr>
            <w:r>
              <w:rPr>
                <w:spacing w:val="-5"/>
                <w:sz w:val="21"/>
              </w:rPr>
              <w:t>40</w:t>
            </w:r>
          </w:p>
        </w:tc>
        <w:tc>
          <w:tcPr>
            <w:tcW w:w="2029" w:type="dxa"/>
          </w:tcPr>
          <w:p w:rsidR="003F5784" w14:paraId="2FFCB57C" w14:textId="77777777">
            <w:pPr>
              <w:pStyle w:val="TableParagraph"/>
              <w:ind w:right="277"/>
              <w:rPr>
                <w:sz w:val="21"/>
              </w:rPr>
            </w:pPr>
            <w:r>
              <w:rPr>
                <w:spacing w:val="-5"/>
                <w:sz w:val="21"/>
              </w:rPr>
              <w:t>40</w:t>
            </w:r>
          </w:p>
        </w:tc>
        <w:tc>
          <w:tcPr>
            <w:tcW w:w="1561" w:type="dxa"/>
          </w:tcPr>
          <w:p w:rsidR="003F5784" w14:paraId="0CCB1A16" w14:textId="77777777">
            <w:pPr>
              <w:pStyle w:val="TableParagraph"/>
              <w:ind w:right="275"/>
              <w:rPr>
                <w:sz w:val="21"/>
              </w:rPr>
            </w:pPr>
            <w:r>
              <w:rPr>
                <w:spacing w:val="-10"/>
                <w:sz w:val="21"/>
              </w:rPr>
              <w:t>#</w:t>
            </w:r>
          </w:p>
        </w:tc>
        <w:tc>
          <w:tcPr>
            <w:tcW w:w="1479" w:type="dxa"/>
          </w:tcPr>
          <w:p w:rsidR="003F5784" w14:paraId="66B46EC5" w14:textId="77777777">
            <w:pPr>
              <w:pStyle w:val="TableParagraph"/>
              <w:ind w:right="181"/>
              <w:rPr>
                <w:sz w:val="21"/>
              </w:rPr>
            </w:pPr>
            <w:r>
              <w:rPr>
                <w:spacing w:val="-5"/>
                <w:sz w:val="21"/>
              </w:rPr>
              <w:t>30</w:t>
            </w:r>
          </w:p>
        </w:tc>
        <w:tc>
          <w:tcPr>
            <w:tcW w:w="2029" w:type="dxa"/>
          </w:tcPr>
          <w:p w:rsidR="003F5784" w14:paraId="330A5EEC" w14:textId="77777777">
            <w:pPr>
              <w:pStyle w:val="TableParagraph"/>
              <w:ind w:right="278"/>
              <w:rPr>
                <w:sz w:val="21"/>
              </w:rPr>
            </w:pPr>
            <w:r>
              <w:rPr>
                <w:spacing w:val="-5"/>
                <w:sz w:val="21"/>
              </w:rPr>
              <w:t>30</w:t>
            </w:r>
          </w:p>
        </w:tc>
        <w:tc>
          <w:tcPr>
            <w:tcW w:w="1408" w:type="dxa"/>
          </w:tcPr>
          <w:p w:rsidR="003F5784" w14:paraId="2FE85808" w14:textId="77777777">
            <w:pPr>
              <w:pStyle w:val="TableParagraph"/>
              <w:ind w:right="123"/>
              <w:rPr>
                <w:sz w:val="21"/>
              </w:rPr>
            </w:pPr>
            <w:r>
              <w:rPr>
                <w:spacing w:val="-10"/>
                <w:sz w:val="21"/>
              </w:rPr>
              <w:t>#</w:t>
            </w:r>
          </w:p>
        </w:tc>
      </w:tr>
      <w:tr w14:paraId="163FF26E" w14:textId="77777777">
        <w:tblPrEx>
          <w:tblW w:w="0" w:type="auto"/>
          <w:tblInd w:w="117" w:type="dxa"/>
          <w:tblLayout w:type="fixed"/>
          <w:tblCellMar>
            <w:left w:w="0" w:type="dxa"/>
            <w:right w:w="0" w:type="dxa"/>
          </w:tblCellMar>
          <w:tblLook w:val="01E0"/>
        </w:tblPrEx>
        <w:trPr>
          <w:trHeight w:val="286"/>
        </w:trPr>
        <w:tc>
          <w:tcPr>
            <w:tcW w:w="3845" w:type="dxa"/>
          </w:tcPr>
          <w:p w:rsidR="003F5784" w14:paraId="4FADF062" w14:textId="77777777">
            <w:pPr>
              <w:pStyle w:val="TableParagraph"/>
              <w:ind w:left="117"/>
              <w:jc w:val="left"/>
              <w:rPr>
                <w:sz w:val="21"/>
              </w:rPr>
            </w:pPr>
            <w:r>
              <w:rPr>
                <w:spacing w:val="-2"/>
                <w:sz w:val="21"/>
              </w:rPr>
              <w:t>Georgia–Balance</w:t>
            </w:r>
          </w:p>
        </w:tc>
        <w:tc>
          <w:tcPr>
            <w:tcW w:w="1636" w:type="dxa"/>
          </w:tcPr>
          <w:p w:rsidR="003F5784" w14:paraId="5EEBB88A" w14:textId="77777777">
            <w:pPr>
              <w:pStyle w:val="TableParagraph"/>
              <w:ind w:right="180"/>
              <w:rPr>
                <w:sz w:val="21"/>
              </w:rPr>
            </w:pPr>
            <w:r>
              <w:rPr>
                <w:spacing w:val="-5"/>
                <w:sz w:val="21"/>
              </w:rPr>
              <w:t>80</w:t>
            </w:r>
          </w:p>
        </w:tc>
        <w:tc>
          <w:tcPr>
            <w:tcW w:w="2029" w:type="dxa"/>
          </w:tcPr>
          <w:p w:rsidR="003F5784" w14:paraId="14137747" w14:textId="77777777">
            <w:pPr>
              <w:pStyle w:val="TableParagraph"/>
              <w:ind w:right="277"/>
              <w:rPr>
                <w:sz w:val="21"/>
              </w:rPr>
            </w:pPr>
            <w:r>
              <w:rPr>
                <w:spacing w:val="-5"/>
                <w:sz w:val="21"/>
              </w:rPr>
              <w:t>80</w:t>
            </w:r>
          </w:p>
        </w:tc>
        <w:tc>
          <w:tcPr>
            <w:tcW w:w="1561" w:type="dxa"/>
          </w:tcPr>
          <w:p w:rsidR="003F5784" w14:paraId="49D39CE9" w14:textId="77777777">
            <w:pPr>
              <w:pStyle w:val="TableParagraph"/>
              <w:ind w:right="275"/>
              <w:rPr>
                <w:sz w:val="21"/>
              </w:rPr>
            </w:pPr>
            <w:r>
              <w:rPr>
                <w:spacing w:val="-10"/>
                <w:sz w:val="21"/>
              </w:rPr>
              <w:t>#</w:t>
            </w:r>
          </w:p>
        </w:tc>
        <w:tc>
          <w:tcPr>
            <w:tcW w:w="1479" w:type="dxa"/>
          </w:tcPr>
          <w:p w:rsidR="003F5784" w14:paraId="5637605F" w14:textId="77777777">
            <w:pPr>
              <w:pStyle w:val="TableParagraph"/>
              <w:ind w:right="181"/>
              <w:rPr>
                <w:sz w:val="21"/>
              </w:rPr>
            </w:pPr>
            <w:r>
              <w:rPr>
                <w:spacing w:val="-5"/>
                <w:sz w:val="21"/>
              </w:rPr>
              <w:t>80</w:t>
            </w:r>
          </w:p>
        </w:tc>
        <w:tc>
          <w:tcPr>
            <w:tcW w:w="2029" w:type="dxa"/>
          </w:tcPr>
          <w:p w:rsidR="003F5784" w14:paraId="25791287" w14:textId="77777777">
            <w:pPr>
              <w:pStyle w:val="TableParagraph"/>
              <w:ind w:right="278"/>
              <w:rPr>
                <w:sz w:val="21"/>
              </w:rPr>
            </w:pPr>
            <w:r>
              <w:rPr>
                <w:spacing w:val="-5"/>
                <w:sz w:val="21"/>
              </w:rPr>
              <w:t>80</w:t>
            </w:r>
          </w:p>
        </w:tc>
        <w:tc>
          <w:tcPr>
            <w:tcW w:w="1408" w:type="dxa"/>
          </w:tcPr>
          <w:p w:rsidR="003F5784" w14:paraId="30C87BBE" w14:textId="77777777">
            <w:pPr>
              <w:pStyle w:val="TableParagraph"/>
              <w:ind w:right="123"/>
              <w:rPr>
                <w:sz w:val="21"/>
              </w:rPr>
            </w:pPr>
            <w:r>
              <w:rPr>
                <w:spacing w:val="-10"/>
                <w:sz w:val="21"/>
              </w:rPr>
              <w:t>#</w:t>
            </w:r>
          </w:p>
        </w:tc>
      </w:tr>
      <w:tr w14:paraId="3BF27E0F" w14:textId="77777777">
        <w:tblPrEx>
          <w:tblW w:w="0" w:type="auto"/>
          <w:tblInd w:w="117" w:type="dxa"/>
          <w:tblLayout w:type="fixed"/>
          <w:tblCellMar>
            <w:left w:w="0" w:type="dxa"/>
            <w:right w:w="0" w:type="dxa"/>
          </w:tblCellMar>
          <w:tblLook w:val="01E0"/>
        </w:tblPrEx>
        <w:trPr>
          <w:trHeight w:val="286"/>
        </w:trPr>
        <w:tc>
          <w:tcPr>
            <w:tcW w:w="3845" w:type="dxa"/>
          </w:tcPr>
          <w:p w:rsidR="003F5784" w14:paraId="2E442799" w14:textId="77777777">
            <w:pPr>
              <w:pStyle w:val="TableParagraph"/>
              <w:ind w:left="117"/>
              <w:jc w:val="left"/>
              <w:rPr>
                <w:sz w:val="21"/>
              </w:rPr>
            </w:pPr>
            <w:r>
              <w:rPr>
                <w:spacing w:val="-2"/>
                <w:sz w:val="21"/>
              </w:rPr>
              <w:t>Hawaii</w:t>
            </w:r>
          </w:p>
        </w:tc>
        <w:tc>
          <w:tcPr>
            <w:tcW w:w="1636" w:type="dxa"/>
          </w:tcPr>
          <w:p w:rsidR="003F5784" w14:paraId="07AFF6EC" w14:textId="77777777">
            <w:pPr>
              <w:pStyle w:val="TableParagraph"/>
              <w:ind w:right="180"/>
              <w:rPr>
                <w:sz w:val="21"/>
              </w:rPr>
            </w:pPr>
            <w:r>
              <w:rPr>
                <w:spacing w:val="-5"/>
                <w:sz w:val="21"/>
              </w:rPr>
              <w:t>90</w:t>
            </w:r>
          </w:p>
        </w:tc>
        <w:tc>
          <w:tcPr>
            <w:tcW w:w="2029" w:type="dxa"/>
          </w:tcPr>
          <w:p w:rsidR="003F5784" w14:paraId="04A06327" w14:textId="77777777">
            <w:pPr>
              <w:pStyle w:val="TableParagraph"/>
              <w:ind w:right="277"/>
              <w:rPr>
                <w:sz w:val="21"/>
              </w:rPr>
            </w:pPr>
            <w:r>
              <w:rPr>
                <w:spacing w:val="-5"/>
                <w:sz w:val="21"/>
              </w:rPr>
              <w:t>90</w:t>
            </w:r>
          </w:p>
        </w:tc>
        <w:tc>
          <w:tcPr>
            <w:tcW w:w="1561" w:type="dxa"/>
          </w:tcPr>
          <w:p w:rsidR="003F5784" w14:paraId="1808711D" w14:textId="77777777">
            <w:pPr>
              <w:pStyle w:val="TableParagraph"/>
              <w:ind w:right="275"/>
              <w:rPr>
                <w:sz w:val="21"/>
              </w:rPr>
            </w:pPr>
            <w:r>
              <w:rPr>
                <w:spacing w:val="-10"/>
                <w:sz w:val="21"/>
              </w:rPr>
              <w:t>#</w:t>
            </w:r>
          </w:p>
        </w:tc>
        <w:tc>
          <w:tcPr>
            <w:tcW w:w="1479" w:type="dxa"/>
          </w:tcPr>
          <w:p w:rsidR="003F5784" w14:paraId="16E823E1" w14:textId="77777777">
            <w:pPr>
              <w:pStyle w:val="TableParagraph"/>
              <w:ind w:right="181"/>
              <w:rPr>
                <w:sz w:val="21"/>
              </w:rPr>
            </w:pPr>
            <w:r>
              <w:rPr>
                <w:spacing w:val="-5"/>
                <w:sz w:val="21"/>
              </w:rPr>
              <w:t>50</w:t>
            </w:r>
          </w:p>
        </w:tc>
        <w:tc>
          <w:tcPr>
            <w:tcW w:w="2029" w:type="dxa"/>
          </w:tcPr>
          <w:p w:rsidR="003F5784" w14:paraId="62B52702" w14:textId="77777777">
            <w:pPr>
              <w:pStyle w:val="TableParagraph"/>
              <w:ind w:right="278"/>
              <w:rPr>
                <w:sz w:val="21"/>
              </w:rPr>
            </w:pPr>
            <w:r>
              <w:rPr>
                <w:spacing w:val="-5"/>
                <w:sz w:val="21"/>
              </w:rPr>
              <w:t>50</w:t>
            </w:r>
          </w:p>
        </w:tc>
        <w:tc>
          <w:tcPr>
            <w:tcW w:w="1408" w:type="dxa"/>
          </w:tcPr>
          <w:p w:rsidR="003F5784" w14:paraId="5AA66160" w14:textId="77777777">
            <w:pPr>
              <w:pStyle w:val="TableParagraph"/>
              <w:ind w:right="123"/>
              <w:rPr>
                <w:sz w:val="21"/>
              </w:rPr>
            </w:pPr>
            <w:r>
              <w:rPr>
                <w:spacing w:val="-10"/>
                <w:sz w:val="21"/>
              </w:rPr>
              <w:t>#</w:t>
            </w:r>
          </w:p>
        </w:tc>
      </w:tr>
      <w:tr w14:paraId="36E6C8F0" w14:textId="77777777">
        <w:tblPrEx>
          <w:tblW w:w="0" w:type="auto"/>
          <w:tblInd w:w="117" w:type="dxa"/>
          <w:tblLayout w:type="fixed"/>
          <w:tblCellMar>
            <w:left w:w="0" w:type="dxa"/>
            <w:right w:w="0" w:type="dxa"/>
          </w:tblCellMar>
          <w:tblLook w:val="01E0"/>
        </w:tblPrEx>
        <w:trPr>
          <w:trHeight w:val="286"/>
        </w:trPr>
        <w:tc>
          <w:tcPr>
            <w:tcW w:w="3845" w:type="dxa"/>
          </w:tcPr>
          <w:p w:rsidR="003F5784" w14:paraId="60DAEBA6" w14:textId="77777777">
            <w:pPr>
              <w:pStyle w:val="TableParagraph"/>
              <w:ind w:left="117"/>
              <w:jc w:val="left"/>
              <w:rPr>
                <w:sz w:val="21"/>
              </w:rPr>
            </w:pPr>
            <w:r>
              <w:rPr>
                <w:spacing w:val="-2"/>
                <w:sz w:val="21"/>
              </w:rPr>
              <w:t>Idaho</w:t>
            </w:r>
          </w:p>
        </w:tc>
        <w:tc>
          <w:tcPr>
            <w:tcW w:w="1636" w:type="dxa"/>
          </w:tcPr>
          <w:p w:rsidR="003F5784" w14:paraId="498F3637" w14:textId="77777777">
            <w:pPr>
              <w:pStyle w:val="TableParagraph"/>
              <w:ind w:right="180"/>
              <w:rPr>
                <w:sz w:val="21"/>
              </w:rPr>
            </w:pPr>
            <w:r>
              <w:rPr>
                <w:spacing w:val="-5"/>
                <w:sz w:val="21"/>
              </w:rPr>
              <w:t>90</w:t>
            </w:r>
          </w:p>
        </w:tc>
        <w:tc>
          <w:tcPr>
            <w:tcW w:w="2029" w:type="dxa"/>
          </w:tcPr>
          <w:p w:rsidR="003F5784" w14:paraId="161FBFF0" w14:textId="77777777">
            <w:pPr>
              <w:pStyle w:val="TableParagraph"/>
              <w:ind w:right="277"/>
              <w:rPr>
                <w:sz w:val="21"/>
              </w:rPr>
            </w:pPr>
            <w:r>
              <w:rPr>
                <w:spacing w:val="-5"/>
                <w:sz w:val="21"/>
              </w:rPr>
              <w:t>90</w:t>
            </w:r>
          </w:p>
        </w:tc>
        <w:tc>
          <w:tcPr>
            <w:tcW w:w="1561" w:type="dxa"/>
          </w:tcPr>
          <w:p w:rsidR="003F5784" w14:paraId="5B131980" w14:textId="77777777">
            <w:pPr>
              <w:pStyle w:val="TableParagraph"/>
              <w:ind w:right="275"/>
              <w:rPr>
                <w:sz w:val="21"/>
              </w:rPr>
            </w:pPr>
            <w:r>
              <w:rPr>
                <w:spacing w:val="-10"/>
                <w:sz w:val="21"/>
              </w:rPr>
              <w:t>#</w:t>
            </w:r>
          </w:p>
        </w:tc>
        <w:tc>
          <w:tcPr>
            <w:tcW w:w="1479" w:type="dxa"/>
          </w:tcPr>
          <w:p w:rsidR="003F5784" w14:paraId="06C63000" w14:textId="77777777">
            <w:pPr>
              <w:pStyle w:val="TableParagraph"/>
              <w:ind w:right="181"/>
              <w:rPr>
                <w:sz w:val="21"/>
              </w:rPr>
            </w:pPr>
            <w:r>
              <w:rPr>
                <w:spacing w:val="-5"/>
                <w:sz w:val="21"/>
              </w:rPr>
              <w:t>90</w:t>
            </w:r>
          </w:p>
        </w:tc>
        <w:tc>
          <w:tcPr>
            <w:tcW w:w="2029" w:type="dxa"/>
          </w:tcPr>
          <w:p w:rsidR="003F5784" w14:paraId="7C2C2412" w14:textId="77777777">
            <w:pPr>
              <w:pStyle w:val="TableParagraph"/>
              <w:ind w:right="278"/>
              <w:rPr>
                <w:sz w:val="21"/>
              </w:rPr>
            </w:pPr>
            <w:r>
              <w:rPr>
                <w:spacing w:val="-5"/>
                <w:sz w:val="21"/>
              </w:rPr>
              <w:t>90</w:t>
            </w:r>
          </w:p>
        </w:tc>
        <w:tc>
          <w:tcPr>
            <w:tcW w:w="1408" w:type="dxa"/>
          </w:tcPr>
          <w:p w:rsidR="003F5784" w14:paraId="4470CFF5" w14:textId="77777777">
            <w:pPr>
              <w:pStyle w:val="TableParagraph"/>
              <w:ind w:right="123"/>
              <w:rPr>
                <w:sz w:val="21"/>
              </w:rPr>
            </w:pPr>
            <w:r>
              <w:rPr>
                <w:spacing w:val="-10"/>
                <w:sz w:val="21"/>
              </w:rPr>
              <w:t>#</w:t>
            </w:r>
          </w:p>
        </w:tc>
      </w:tr>
      <w:tr w14:paraId="612F3985" w14:textId="77777777">
        <w:tblPrEx>
          <w:tblW w:w="0" w:type="auto"/>
          <w:tblInd w:w="117" w:type="dxa"/>
          <w:tblLayout w:type="fixed"/>
          <w:tblCellMar>
            <w:left w:w="0" w:type="dxa"/>
            <w:right w:w="0" w:type="dxa"/>
          </w:tblCellMar>
          <w:tblLook w:val="01E0"/>
        </w:tblPrEx>
        <w:trPr>
          <w:trHeight w:val="286"/>
        </w:trPr>
        <w:tc>
          <w:tcPr>
            <w:tcW w:w="3845" w:type="dxa"/>
          </w:tcPr>
          <w:p w:rsidR="003F5784" w14:paraId="4EB77E59" w14:textId="77777777">
            <w:pPr>
              <w:pStyle w:val="TableParagraph"/>
              <w:ind w:left="117"/>
              <w:jc w:val="left"/>
              <w:rPr>
                <w:sz w:val="21"/>
              </w:rPr>
            </w:pPr>
            <w:r>
              <w:rPr>
                <w:spacing w:val="-2"/>
                <w:sz w:val="21"/>
              </w:rPr>
              <w:t>Illinois–Chicago</w:t>
            </w:r>
          </w:p>
        </w:tc>
        <w:tc>
          <w:tcPr>
            <w:tcW w:w="1636" w:type="dxa"/>
          </w:tcPr>
          <w:p w:rsidR="003F5784" w14:paraId="7076EA08" w14:textId="77777777">
            <w:pPr>
              <w:pStyle w:val="TableParagraph"/>
              <w:ind w:right="180"/>
              <w:rPr>
                <w:sz w:val="21"/>
              </w:rPr>
            </w:pPr>
            <w:r>
              <w:rPr>
                <w:spacing w:val="-5"/>
                <w:sz w:val="21"/>
              </w:rPr>
              <w:t>70</w:t>
            </w:r>
          </w:p>
        </w:tc>
        <w:tc>
          <w:tcPr>
            <w:tcW w:w="2029" w:type="dxa"/>
          </w:tcPr>
          <w:p w:rsidR="003F5784" w14:paraId="1CFD1C9C" w14:textId="77777777">
            <w:pPr>
              <w:pStyle w:val="TableParagraph"/>
              <w:ind w:right="277"/>
              <w:rPr>
                <w:sz w:val="21"/>
              </w:rPr>
            </w:pPr>
            <w:r>
              <w:rPr>
                <w:spacing w:val="-5"/>
                <w:sz w:val="21"/>
              </w:rPr>
              <w:t>70</w:t>
            </w:r>
          </w:p>
        </w:tc>
        <w:tc>
          <w:tcPr>
            <w:tcW w:w="1561" w:type="dxa"/>
          </w:tcPr>
          <w:p w:rsidR="003F5784" w14:paraId="353F4F22" w14:textId="77777777">
            <w:pPr>
              <w:pStyle w:val="TableParagraph"/>
              <w:ind w:right="275"/>
              <w:rPr>
                <w:sz w:val="21"/>
              </w:rPr>
            </w:pPr>
            <w:r>
              <w:rPr>
                <w:spacing w:val="-10"/>
                <w:sz w:val="21"/>
              </w:rPr>
              <w:t>#</w:t>
            </w:r>
          </w:p>
        </w:tc>
        <w:tc>
          <w:tcPr>
            <w:tcW w:w="1479" w:type="dxa"/>
          </w:tcPr>
          <w:p w:rsidR="003F5784" w14:paraId="58CBA99C" w14:textId="77777777">
            <w:pPr>
              <w:pStyle w:val="TableParagraph"/>
              <w:ind w:right="181"/>
              <w:rPr>
                <w:sz w:val="21"/>
              </w:rPr>
            </w:pPr>
            <w:r>
              <w:rPr>
                <w:spacing w:val="-5"/>
                <w:sz w:val="21"/>
              </w:rPr>
              <w:t>70</w:t>
            </w:r>
          </w:p>
        </w:tc>
        <w:tc>
          <w:tcPr>
            <w:tcW w:w="2029" w:type="dxa"/>
          </w:tcPr>
          <w:p w:rsidR="003F5784" w14:paraId="1836B2D8" w14:textId="77777777">
            <w:pPr>
              <w:pStyle w:val="TableParagraph"/>
              <w:ind w:right="278"/>
              <w:rPr>
                <w:sz w:val="21"/>
              </w:rPr>
            </w:pPr>
            <w:r>
              <w:rPr>
                <w:spacing w:val="-5"/>
                <w:sz w:val="21"/>
              </w:rPr>
              <w:t>70</w:t>
            </w:r>
          </w:p>
        </w:tc>
        <w:tc>
          <w:tcPr>
            <w:tcW w:w="1408" w:type="dxa"/>
          </w:tcPr>
          <w:p w:rsidR="003F5784" w14:paraId="0577D4E6" w14:textId="77777777">
            <w:pPr>
              <w:pStyle w:val="TableParagraph"/>
              <w:ind w:right="123"/>
              <w:rPr>
                <w:sz w:val="21"/>
              </w:rPr>
            </w:pPr>
            <w:r>
              <w:rPr>
                <w:spacing w:val="-10"/>
                <w:sz w:val="21"/>
              </w:rPr>
              <w:t>#</w:t>
            </w:r>
          </w:p>
        </w:tc>
      </w:tr>
      <w:tr w14:paraId="49621E10" w14:textId="77777777">
        <w:tblPrEx>
          <w:tblW w:w="0" w:type="auto"/>
          <w:tblInd w:w="117" w:type="dxa"/>
          <w:tblLayout w:type="fixed"/>
          <w:tblCellMar>
            <w:left w:w="0" w:type="dxa"/>
            <w:right w:w="0" w:type="dxa"/>
          </w:tblCellMar>
          <w:tblLook w:val="01E0"/>
        </w:tblPrEx>
        <w:trPr>
          <w:trHeight w:val="286"/>
        </w:trPr>
        <w:tc>
          <w:tcPr>
            <w:tcW w:w="3845" w:type="dxa"/>
          </w:tcPr>
          <w:p w:rsidR="003F5784" w14:paraId="6BBE8578" w14:textId="77777777">
            <w:pPr>
              <w:pStyle w:val="TableParagraph"/>
              <w:ind w:left="117"/>
              <w:jc w:val="left"/>
              <w:rPr>
                <w:sz w:val="21"/>
              </w:rPr>
            </w:pPr>
            <w:r>
              <w:rPr>
                <w:spacing w:val="-2"/>
                <w:sz w:val="21"/>
              </w:rPr>
              <w:t>Illinois–Balance</w:t>
            </w:r>
          </w:p>
        </w:tc>
        <w:tc>
          <w:tcPr>
            <w:tcW w:w="1636" w:type="dxa"/>
          </w:tcPr>
          <w:p w:rsidR="003F5784" w14:paraId="07134ADA" w14:textId="77777777">
            <w:pPr>
              <w:pStyle w:val="TableParagraph"/>
              <w:ind w:right="180"/>
              <w:rPr>
                <w:sz w:val="21"/>
              </w:rPr>
            </w:pPr>
            <w:r>
              <w:rPr>
                <w:spacing w:val="-5"/>
                <w:sz w:val="21"/>
              </w:rPr>
              <w:t>80</w:t>
            </w:r>
          </w:p>
        </w:tc>
        <w:tc>
          <w:tcPr>
            <w:tcW w:w="2029" w:type="dxa"/>
          </w:tcPr>
          <w:p w:rsidR="003F5784" w14:paraId="0A2B4339" w14:textId="77777777">
            <w:pPr>
              <w:pStyle w:val="TableParagraph"/>
              <w:ind w:right="277"/>
              <w:rPr>
                <w:sz w:val="21"/>
              </w:rPr>
            </w:pPr>
            <w:r>
              <w:rPr>
                <w:spacing w:val="-5"/>
                <w:sz w:val="21"/>
              </w:rPr>
              <w:t>80</w:t>
            </w:r>
          </w:p>
        </w:tc>
        <w:tc>
          <w:tcPr>
            <w:tcW w:w="1561" w:type="dxa"/>
          </w:tcPr>
          <w:p w:rsidR="003F5784" w14:paraId="38BE93C3" w14:textId="77777777">
            <w:pPr>
              <w:pStyle w:val="TableParagraph"/>
              <w:ind w:right="275"/>
              <w:rPr>
                <w:sz w:val="21"/>
              </w:rPr>
            </w:pPr>
            <w:r>
              <w:rPr>
                <w:spacing w:val="-10"/>
                <w:sz w:val="21"/>
              </w:rPr>
              <w:t>#</w:t>
            </w:r>
          </w:p>
        </w:tc>
        <w:tc>
          <w:tcPr>
            <w:tcW w:w="1479" w:type="dxa"/>
          </w:tcPr>
          <w:p w:rsidR="003F5784" w14:paraId="02376035" w14:textId="77777777">
            <w:pPr>
              <w:pStyle w:val="TableParagraph"/>
              <w:ind w:right="181"/>
              <w:rPr>
                <w:sz w:val="21"/>
              </w:rPr>
            </w:pPr>
            <w:r>
              <w:rPr>
                <w:spacing w:val="-5"/>
                <w:sz w:val="21"/>
              </w:rPr>
              <w:t>70</w:t>
            </w:r>
          </w:p>
        </w:tc>
        <w:tc>
          <w:tcPr>
            <w:tcW w:w="2029" w:type="dxa"/>
          </w:tcPr>
          <w:p w:rsidR="003F5784" w14:paraId="217285DB" w14:textId="77777777">
            <w:pPr>
              <w:pStyle w:val="TableParagraph"/>
              <w:ind w:right="278"/>
              <w:rPr>
                <w:sz w:val="21"/>
              </w:rPr>
            </w:pPr>
            <w:r>
              <w:rPr>
                <w:spacing w:val="-5"/>
                <w:sz w:val="21"/>
              </w:rPr>
              <w:t>70</w:t>
            </w:r>
          </w:p>
        </w:tc>
        <w:tc>
          <w:tcPr>
            <w:tcW w:w="1408" w:type="dxa"/>
          </w:tcPr>
          <w:p w:rsidR="003F5784" w14:paraId="4185E9AB" w14:textId="77777777">
            <w:pPr>
              <w:pStyle w:val="TableParagraph"/>
              <w:ind w:right="123"/>
              <w:rPr>
                <w:sz w:val="21"/>
              </w:rPr>
            </w:pPr>
            <w:r>
              <w:rPr>
                <w:spacing w:val="-10"/>
                <w:sz w:val="21"/>
              </w:rPr>
              <w:t>#</w:t>
            </w:r>
          </w:p>
        </w:tc>
      </w:tr>
      <w:tr w14:paraId="480DE76F" w14:textId="77777777">
        <w:tblPrEx>
          <w:tblW w:w="0" w:type="auto"/>
          <w:tblInd w:w="117" w:type="dxa"/>
          <w:tblLayout w:type="fixed"/>
          <w:tblCellMar>
            <w:left w:w="0" w:type="dxa"/>
            <w:right w:w="0" w:type="dxa"/>
          </w:tblCellMar>
          <w:tblLook w:val="01E0"/>
        </w:tblPrEx>
        <w:trPr>
          <w:trHeight w:val="286"/>
        </w:trPr>
        <w:tc>
          <w:tcPr>
            <w:tcW w:w="3845" w:type="dxa"/>
          </w:tcPr>
          <w:p w:rsidR="003F5784" w14:paraId="54281697" w14:textId="77777777">
            <w:pPr>
              <w:pStyle w:val="TableParagraph"/>
              <w:ind w:left="117"/>
              <w:jc w:val="left"/>
              <w:rPr>
                <w:sz w:val="21"/>
              </w:rPr>
            </w:pPr>
            <w:r>
              <w:rPr>
                <w:spacing w:val="-2"/>
                <w:sz w:val="21"/>
              </w:rPr>
              <w:t>Indiana</w:t>
            </w:r>
          </w:p>
        </w:tc>
        <w:tc>
          <w:tcPr>
            <w:tcW w:w="1636" w:type="dxa"/>
          </w:tcPr>
          <w:p w:rsidR="003F5784" w14:paraId="20F78356" w14:textId="77777777">
            <w:pPr>
              <w:pStyle w:val="TableParagraph"/>
              <w:ind w:right="180"/>
              <w:rPr>
                <w:sz w:val="21"/>
              </w:rPr>
            </w:pPr>
            <w:r>
              <w:rPr>
                <w:spacing w:val="-5"/>
                <w:sz w:val="21"/>
              </w:rPr>
              <w:t>90</w:t>
            </w:r>
          </w:p>
        </w:tc>
        <w:tc>
          <w:tcPr>
            <w:tcW w:w="2029" w:type="dxa"/>
          </w:tcPr>
          <w:p w:rsidR="003F5784" w14:paraId="527643F9" w14:textId="77777777">
            <w:pPr>
              <w:pStyle w:val="TableParagraph"/>
              <w:ind w:right="277"/>
              <w:rPr>
                <w:sz w:val="21"/>
              </w:rPr>
            </w:pPr>
            <w:r>
              <w:rPr>
                <w:spacing w:val="-5"/>
                <w:sz w:val="21"/>
              </w:rPr>
              <w:t>90</w:t>
            </w:r>
          </w:p>
        </w:tc>
        <w:tc>
          <w:tcPr>
            <w:tcW w:w="1561" w:type="dxa"/>
          </w:tcPr>
          <w:p w:rsidR="003F5784" w14:paraId="1E1A771C" w14:textId="77777777">
            <w:pPr>
              <w:pStyle w:val="TableParagraph"/>
              <w:ind w:right="275"/>
              <w:rPr>
                <w:sz w:val="21"/>
              </w:rPr>
            </w:pPr>
            <w:r>
              <w:rPr>
                <w:spacing w:val="-10"/>
                <w:sz w:val="21"/>
              </w:rPr>
              <w:t>#</w:t>
            </w:r>
          </w:p>
        </w:tc>
        <w:tc>
          <w:tcPr>
            <w:tcW w:w="1479" w:type="dxa"/>
          </w:tcPr>
          <w:p w:rsidR="003F5784" w14:paraId="785823DE" w14:textId="77777777">
            <w:pPr>
              <w:pStyle w:val="TableParagraph"/>
              <w:ind w:right="181"/>
              <w:rPr>
                <w:sz w:val="21"/>
              </w:rPr>
            </w:pPr>
            <w:r>
              <w:rPr>
                <w:spacing w:val="-5"/>
                <w:sz w:val="21"/>
              </w:rPr>
              <w:t>90</w:t>
            </w:r>
          </w:p>
        </w:tc>
        <w:tc>
          <w:tcPr>
            <w:tcW w:w="2029" w:type="dxa"/>
          </w:tcPr>
          <w:p w:rsidR="003F5784" w14:paraId="6864EC6A" w14:textId="77777777">
            <w:pPr>
              <w:pStyle w:val="TableParagraph"/>
              <w:ind w:right="278"/>
              <w:rPr>
                <w:sz w:val="21"/>
              </w:rPr>
            </w:pPr>
            <w:r>
              <w:rPr>
                <w:spacing w:val="-5"/>
                <w:sz w:val="21"/>
              </w:rPr>
              <w:t>90</w:t>
            </w:r>
          </w:p>
        </w:tc>
        <w:tc>
          <w:tcPr>
            <w:tcW w:w="1408" w:type="dxa"/>
          </w:tcPr>
          <w:p w:rsidR="003F5784" w14:paraId="02CE8696" w14:textId="77777777">
            <w:pPr>
              <w:pStyle w:val="TableParagraph"/>
              <w:ind w:right="123"/>
              <w:rPr>
                <w:sz w:val="21"/>
              </w:rPr>
            </w:pPr>
            <w:r>
              <w:rPr>
                <w:spacing w:val="-10"/>
                <w:sz w:val="21"/>
              </w:rPr>
              <w:t>#</w:t>
            </w:r>
          </w:p>
        </w:tc>
      </w:tr>
      <w:tr w14:paraId="7DC899E3" w14:textId="77777777">
        <w:tblPrEx>
          <w:tblW w:w="0" w:type="auto"/>
          <w:tblInd w:w="117" w:type="dxa"/>
          <w:tblLayout w:type="fixed"/>
          <w:tblCellMar>
            <w:left w:w="0" w:type="dxa"/>
            <w:right w:w="0" w:type="dxa"/>
          </w:tblCellMar>
          <w:tblLook w:val="01E0"/>
        </w:tblPrEx>
        <w:trPr>
          <w:trHeight w:val="286"/>
        </w:trPr>
        <w:tc>
          <w:tcPr>
            <w:tcW w:w="3845" w:type="dxa"/>
          </w:tcPr>
          <w:p w:rsidR="003F5784" w14:paraId="587456FB" w14:textId="77777777">
            <w:pPr>
              <w:pStyle w:val="TableParagraph"/>
              <w:ind w:left="117"/>
              <w:jc w:val="left"/>
              <w:rPr>
                <w:sz w:val="21"/>
              </w:rPr>
            </w:pPr>
            <w:r>
              <w:rPr>
                <w:spacing w:val="-4"/>
                <w:sz w:val="21"/>
              </w:rPr>
              <w:t>Iowa</w:t>
            </w:r>
          </w:p>
        </w:tc>
        <w:tc>
          <w:tcPr>
            <w:tcW w:w="1636" w:type="dxa"/>
          </w:tcPr>
          <w:p w:rsidR="003F5784" w14:paraId="0239BADF" w14:textId="77777777">
            <w:pPr>
              <w:pStyle w:val="TableParagraph"/>
              <w:ind w:right="180"/>
              <w:rPr>
                <w:sz w:val="21"/>
              </w:rPr>
            </w:pPr>
            <w:r>
              <w:rPr>
                <w:spacing w:val="-5"/>
                <w:sz w:val="21"/>
              </w:rPr>
              <w:t>90</w:t>
            </w:r>
          </w:p>
        </w:tc>
        <w:tc>
          <w:tcPr>
            <w:tcW w:w="2029" w:type="dxa"/>
          </w:tcPr>
          <w:p w:rsidR="003F5784" w14:paraId="7BC2AEC3" w14:textId="77777777">
            <w:pPr>
              <w:pStyle w:val="TableParagraph"/>
              <w:ind w:right="277"/>
              <w:rPr>
                <w:sz w:val="21"/>
              </w:rPr>
            </w:pPr>
            <w:r>
              <w:rPr>
                <w:spacing w:val="-5"/>
                <w:sz w:val="21"/>
              </w:rPr>
              <w:t>90</w:t>
            </w:r>
          </w:p>
        </w:tc>
        <w:tc>
          <w:tcPr>
            <w:tcW w:w="1561" w:type="dxa"/>
          </w:tcPr>
          <w:p w:rsidR="003F5784" w14:paraId="76B7600E" w14:textId="77777777">
            <w:pPr>
              <w:pStyle w:val="TableParagraph"/>
              <w:ind w:right="275"/>
              <w:rPr>
                <w:sz w:val="21"/>
              </w:rPr>
            </w:pPr>
            <w:r>
              <w:rPr>
                <w:spacing w:val="-10"/>
                <w:sz w:val="21"/>
              </w:rPr>
              <w:t>#</w:t>
            </w:r>
          </w:p>
        </w:tc>
        <w:tc>
          <w:tcPr>
            <w:tcW w:w="1479" w:type="dxa"/>
          </w:tcPr>
          <w:p w:rsidR="003F5784" w14:paraId="73ECFB89" w14:textId="77777777">
            <w:pPr>
              <w:pStyle w:val="TableParagraph"/>
              <w:ind w:right="181"/>
              <w:rPr>
                <w:sz w:val="21"/>
              </w:rPr>
            </w:pPr>
            <w:r>
              <w:rPr>
                <w:spacing w:val="-5"/>
                <w:sz w:val="21"/>
              </w:rPr>
              <w:t>90</w:t>
            </w:r>
          </w:p>
        </w:tc>
        <w:tc>
          <w:tcPr>
            <w:tcW w:w="2029" w:type="dxa"/>
          </w:tcPr>
          <w:p w:rsidR="003F5784" w14:paraId="657A99BF" w14:textId="77777777">
            <w:pPr>
              <w:pStyle w:val="TableParagraph"/>
              <w:ind w:right="278"/>
              <w:rPr>
                <w:sz w:val="21"/>
              </w:rPr>
            </w:pPr>
            <w:r>
              <w:rPr>
                <w:spacing w:val="-5"/>
                <w:sz w:val="21"/>
              </w:rPr>
              <w:t>90</w:t>
            </w:r>
          </w:p>
        </w:tc>
        <w:tc>
          <w:tcPr>
            <w:tcW w:w="1408" w:type="dxa"/>
          </w:tcPr>
          <w:p w:rsidR="003F5784" w14:paraId="2B6932A4" w14:textId="77777777">
            <w:pPr>
              <w:pStyle w:val="TableParagraph"/>
              <w:ind w:right="123"/>
              <w:rPr>
                <w:sz w:val="21"/>
              </w:rPr>
            </w:pPr>
            <w:r>
              <w:rPr>
                <w:spacing w:val="-10"/>
                <w:sz w:val="21"/>
              </w:rPr>
              <w:t>#</w:t>
            </w:r>
          </w:p>
        </w:tc>
      </w:tr>
      <w:tr w14:paraId="6B0428B8" w14:textId="77777777">
        <w:tblPrEx>
          <w:tblW w:w="0" w:type="auto"/>
          <w:tblInd w:w="117" w:type="dxa"/>
          <w:tblLayout w:type="fixed"/>
          <w:tblCellMar>
            <w:left w:w="0" w:type="dxa"/>
            <w:right w:w="0" w:type="dxa"/>
          </w:tblCellMar>
          <w:tblLook w:val="01E0"/>
        </w:tblPrEx>
        <w:trPr>
          <w:trHeight w:val="286"/>
        </w:trPr>
        <w:tc>
          <w:tcPr>
            <w:tcW w:w="3845" w:type="dxa"/>
          </w:tcPr>
          <w:p w:rsidR="003F5784" w14:paraId="13C49147" w14:textId="77777777">
            <w:pPr>
              <w:pStyle w:val="TableParagraph"/>
              <w:ind w:left="117"/>
              <w:jc w:val="left"/>
              <w:rPr>
                <w:sz w:val="21"/>
              </w:rPr>
            </w:pPr>
            <w:r>
              <w:rPr>
                <w:spacing w:val="-2"/>
                <w:sz w:val="21"/>
              </w:rPr>
              <w:t>Kansas</w:t>
            </w:r>
          </w:p>
        </w:tc>
        <w:tc>
          <w:tcPr>
            <w:tcW w:w="1636" w:type="dxa"/>
          </w:tcPr>
          <w:p w:rsidR="003F5784" w14:paraId="77061559" w14:textId="77777777">
            <w:pPr>
              <w:pStyle w:val="TableParagraph"/>
              <w:ind w:right="180"/>
              <w:rPr>
                <w:sz w:val="21"/>
              </w:rPr>
            </w:pPr>
            <w:r>
              <w:rPr>
                <w:spacing w:val="-5"/>
                <w:sz w:val="21"/>
              </w:rPr>
              <w:t>100</w:t>
            </w:r>
          </w:p>
        </w:tc>
        <w:tc>
          <w:tcPr>
            <w:tcW w:w="2029" w:type="dxa"/>
          </w:tcPr>
          <w:p w:rsidR="003F5784" w14:paraId="3F6DFF41" w14:textId="77777777">
            <w:pPr>
              <w:pStyle w:val="TableParagraph"/>
              <w:ind w:right="277"/>
              <w:rPr>
                <w:sz w:val="21"/>
              </w:rPr>
            </w:pPr>
            <w:r>
              <w:rPr>
                <w:spacing w:val="-5"/>
                <w:sz w:val="21"/>
              </w:rPr>
              <w:t>100</w:t>
            </w:r>
          </w:p>
        </w:tc>
        <w:tc>
          <w:tcPr>
            <w:tcW w:w="1561" w:type="dxa"/>
          </w:tcPr>
          <w:p w:rsidR="003F5784" w14:paraId="79E62744" w14:textId="77777777">
            <w:pPr>
              <w:pStyle w:val="TableParagraph"/>
              <w:ind w:right="275"/>
              <w:rPr>
                <w:sz w:val="21"/>
              </w:rPr>
            </w:pPr>
            <w:r>
              <w:rPr>
                <w:spacing w:val="-10"/>
                <w:sz w:val="21"/>
              </w:rPr>
              <w:t>#</w:t>
            </w:r>
          </w:p>
        </w:tc>
        <w:tc>
          <w:tcPr>
            <w:tcW w:w="1479" w:type="dxa"/>
          </w:tcPr>
          <w:p w:rsidR="003F5784" w14:paraId="0D7D66EC" w14:textId="77777777">
            <w:pPr>
              <w:pStyle w:val="TableParagraph"/>
              <w:ind w:right="181"/>
              <w:rPr>
                <w:sz w:val="21"/>
              </w:rPr>
            </w:pPr>
            <w:r>
              <w:rPr>
                <w:spacing w:val="-5"/>
                <w:sz w:val="21"/>
              </w:rPr>
              <w:t>90</w:t>
            </w:r>
          </w:p>
        </w:tc>
        <w:tc>
          <w:tcPr>
            <w:tcW w:w="2029" w:type="dxa"/>
          </w:tcPr>
          <w:p w:rsidR="003F5784" w14:paraId="1EE23218" w14:textId="77777777">
            <w:pPr>
              <w:pStyle w:val="TableParagraph"/>
              <w:ind w:right="278"/>
              <w:rPr>
                <w:sz w:val="21"/>
              </w:rPr>
            </w:pPr>
            <w:r>
              <w:rPr>
                <w:spacing w:val="-5"/>
                <w:sz w:val="21"/>
              </w:rPr>
              <w:t>90</w:t>
            </w:r>
          </w:p>
        </w:tc>
        <w:tc>
          <w:tcPr>
            <w:tcW w:w="1408" w:type="dxa"/>
          </w:tcPr>
          <w:p w:rsidR="003F5784" w14:paraId="66A88BB2" w14:textId="77777777">
            <w:pPr>
              <w:pStyle w:val="TableParagraph"/>
              <w:ind w:right="123"/>
              <w:rPr>
                <w:sz w:val="21"/>
              </w:rPr>
            </w:pPr>
            <w:r>
              <w:rPr>
                <w:spacing w:val="-10"/>
                <w:sz w:val="21"/>
              </w:rPr>
              <w:t>#</w:t>
            </w:r>
          </w:p>
        </w:tc>
      </w:tr>
      <w:tr w14:paraId="639DF788" w14:textId="77777777">
        <w:tblPrEx>
          <w:tblW w:w="0" w:type="auto"/>
          <w:tblInd w:w="117" w:type="dxa"/>
          <w:tblLayout w:type="fixed"/>
          <w:tblCellMar>
            <w:left w:w="0" w:type="dxa"/>
            <w:right w:w="0" w:type="dxa"/>
          </w:tblCellMar>
          <w:tblLook w:val="01E0"/>
        </w:tblPrEx>
        <w:trPr>
          <w:trHeight w:val="286"/>
        </w:trPr>
        <w:tc>
          <w:tcPr>
            <w:tcW w:w="3845" w:type="dxa"/>
          </w:tcPr>
          <w:p w:rsidR="003F5784" w14:paraId="199AFAC1" w14:textId="77777777">
            <w:pPr>
              <w:pStyle w:val="TableParagraph"/>
              <w:ind w:left="117"/>
              <w:jc w:val="left"/>
              <w:rPr>
                <w:sz w:val="21"/>
              </w:rPr>
            </w:pPr>
            <w:r>
              <w:rPr>
                <w:spacing w:val="-2"/>
                <w:sz w:val="21"/>
              </w:rPr>
              <w:t>Kentucky–Jefferson</w:t>
            </w:r>
            <w:r>
              <w:rPr>
                <w:spacing w:val="14"/>
                <w:sz w:val="21"/>
              </w:rPr>
              <w:t xml:space="preserve"> </w:t>
            </w:r>
            <w:r>
              <w:rPr>
                <w:spacing w:val="-2"/>
                <w:sz w:val="21"/>
              </w:rPr>
              <w:t>County</w:t>
            </w:r>
          </w:p>
        </w:tc>
        <w:tc>
          <w:tcPr>
            <w:tcW w:w="1636" w:type="dxa"/>
          </w:tcPr>
          <w:p w:rsidR="003F5784" w14:paraId="699284C5" w14:textId="77777777">
            <w:pPr>
              <w:pStyle w:val="TableParagraph"/>
              <w:ind w:right="180"/>
              <w:rPr>
                <w:sz w:val="21"/>
              </w:rPr>
            </w:pPr>
            <w:r>
              <w:rPr>
                <w:spacing w:val="-5"/>
                <w:sz w:val="21"/>
              </w:rPr>
              <w:t>40</w:t>
            </w:r>
          </w:p>
        </w:tc>
        <w:tc>
          <w:tcPr>
            <w:tcW w:w="2029" w:type="dxa"/>
          </w:tcPr>
          <w:p w:rsidR="003F5784" w14:paraId="34FC5E6C" w14:textId="77777777">
            <w:pPr>
              <w:pStyle w:val="TableParagraph"/>
              <w:ind w:right="277"/>
              <w:rPr>
                <w:sz w:val="21"/>
              </w:rPr>
            </w:pPr>
            <w:r>
              <w:rPr>
                <w:spacing w:val="-5"/>
                <w:sz w:val="21"/>
              </w:rPr>
              <w:t>40</w:t>
            </w:r>
          </w:p>
        </w:tc>
        <w:tc>
          <w:tcPr>
            <w:tcW w:w="1561" w:type="dxa"/>
          </w:tcPr>
          <w:p w:rsidR="003F5784" w14:paraId="50BF1B71" w14:textId="77777777">
            <w:pPr>
              <w:pStyle w:val="TableParagraph"/>
              <w:ind w:right="275"/>
              <w:rPr>
                <w:sz w:val="21"/>
              </w:rPr>
            </w:pPr>
            <w:r>
              <w:rPr>
                <w:spacing w:val="-10"/>
                <w:sz w:val="21"/>
              </w:rPr>
              <w:t>#</w:t>
            </w:r>
          </w:p>
        </w:tc>
        <w:tc>
          <w:tcPr>
            <w:tcW w:w="1479" w:type="dxa"/>
          </w:tcPr>
          <w:p w:rsidR="003F5784" w14:paraId="4E8C9F75" w14:textId="77777777">
            <w:pPr>
              <w:pStyle w:val="TableParagraph"/>
              <w:ind w:right="181"/>
              <w:rPr>
                <w:sz w:val="21"/>
              </w:rPr>
            </w:pPr>
            <w:r>
              <w:rPr>
                <w:spacing w:val="-5"/>
                <w:sz w:val="21"/>
              </w:rPr>
              <w:t>30</w:t>
            </w:r>
          </w:p>
        </w:tc>
        <w:tc>
          <w:tcPr>
            <w:tcW w:w="2029" w:type="dxa"/>
          </w:tcPr>
          <w:p w:rsidR="003F5784" w14:paraId="03CE2A71" w14:textId="77777777">
            <w:pPr>
              <w:pStyle w:val="TableParagraph"/>
              <w:ind w:right="278"/>
              <w:rPr>
                <w:sz w:val="21"/>
              </w:rPr>
            </w:pPr>
            <w:r>
              <w:rPr>
                <w:spacing w:val="-5"/>
                <w:sz w:val="21"/>
              </w:rPr>
              <w:t>30</w:t>
            </w:r>
          </w:p>
        </w:tc>
        <w:tc>
          <w:tcPr>
            <w:tcW w:w="1408" w:type="dxa"/>
          </w:tcPr>
          <w:p w:rsidR="003F5784" w14:paraId="173EE9D9" w14:textId="77777777">
            <w:pPr>
              <w:pStyle w:val="TableParagraph"/>
              <w:ind w:right="123"/>
              <w:rPr>
                <w:sz w:val="21"/>
              </w:rPr>
            </w:pPr>
            <w:r>
              <w:rPr>
                <w:spacing w:val="-10"/>
                <w:sz w:val="21"/>
              </w:rPr>
              <w:t>#</w:t>
            </w:r>
          </w:p>
        </w:tc>
      </w:tr>
      <w:tr w14:paraId="1789A839" w14:textId="77777777">
        <w:tblPrEx>
          <w:tblW w:w="0" w:type="auto"/>
          <w:tblInd w:w="117" w:type="dxa"/>
          <w:tblLayout w:type="fixed"/>
          <w:tblCellMar>
            <w:left w:w="0" w:type="dxa"/>
            <w:right w:w="0" w:type="dxa"/>
          </w:tblCellMar>
          <w:tblLook w:val="01E0"/>
        </w:tblPrEx>
        <w:trPr>
          <w:trHeight w:val="286"/>
        </w:trPr>
        <w:tc>
          <w:tcPr>
            <w:tcW w:w="3845" w:type="dxa"/>
          </w:tcPr>
          <w:p w:rsidR="003F5784" w14:paraId="3E2E041C" w14:textId="77777777">
            <w:pPr>
              <w:pStyle w:val="TableParagraph"/>
              <w:ind w:left="117"/>
              <w:jc w:val="left"/>
              <w:rPr>
                <w:sz w:val="21"/>
              </w:rPr>
            </w:pPr>
            <w:r>
              <w:rPr>
                <w:spacing w:val="-2"/>
                <w:sz w:val="21"/>
              </w:rPr>
              <w:t>Kentucky–Balance</w:t>
            </w:r>
          </w:p>
        </w:tc>
        <w:tc>
          <w:tcPr>
            <w:tcW w:w="1636" w:type="dxa"/>
          </w:tcPr>
          <w:p w:rsidR="003F5784" w14:paraId="066068A3" w14:textId="77777777">
            <w:pPr>
              <w:pStyle w:val="TableParagraph"/>
              <w:ind w:right="180"/>
              <w:rPr>
                <w:sz w:val="21"/>
              </w:rPr>
            </w:pPr>
            <w:r>
              <w:rPr>
                <w:spacing w:val="-5"/>
                <w:sz w:val="21"/>
              </w:rPr>
              <w:t>70</w:t>
            </w:r>
          </w:p>
        </w:tc>
        <w:tc>
          <w:tcPr>
            <w:tcW w:w="2029" w:type="dxa"/>
          </w:tcPr>
          <w:p w:rsidR="003F5784" w14:paraId="3B9AED1D" w14:textId="77777777">
            <w:pPr>
              <w:pStyle w:val="TableParagraph"/>
              <w:ind w:right="277"/>
              <w:rPr>
                <w:sz w:val="21"/>
              </w:rPr>
            </w:pPr>
            <w:r>
              <w:rPr>
                <w:spacing w:val="-5"/>
                <w:sz w:val="21"/>
              </w:rPr>
              <w:t>70</w:t>
            </w:r>
          </w:p>
        </w:tc>
        <w:tc>
          <w:tcPr>
            <w:tcW w:w="1561" w:type="dxa"/>
          </w:tcPr>
          <w:p w:rsidR="003F5784" w14:paraId="41873858" w14:textId="77777777">
            <w:pPr>
              <w:pStyle w:val="TableParagraph"/>
              <w:ind w:right="275"/>
              <w:rPr>
                <w:sz w:val="21"/>
              </w:rPr>
            </w:pPr>
            <w:r>
              <w:rPr>
                <w:spacing w:val="-10"/>
                <w:sz w:val="21"/>
              </w:rPr>
              <w:t>#</w:t>
            </w:r>
          </w:p>
        </w:tc>
        <w:tc>
          <w:tcPr>
            <w:tcW w:w="1479" w:type="dxa"/>
          </w:tcPr>
          <w:p w:rsidR="003F5784" w14:paraId="7B895464" w14:textId="77777777">
            <w:pPr>
              <w:pStyle w:val="TableParagraph"/>
              <w:ind w:right="181"/>
              <w:rPr>
                <w:sz w:val="21"/>
              </w:rPr>
            </w:pPr>
            <w:r>
              <w:rPr>
                <w:spacing w:val="-5"/>
                <w:sz w:val="21"/>
              </w:rPr>
              <w:t>80</w:t>
            </w:r>
          </w:p>
        </w:tc>
        <w:tc>
          <w:tcPr>
            <w:tcW w:w="2029" w:type="dxa"/>
          </w:tcPr>
          <w:p w:rsidR="003F5784" w14:paraId="5E778B05" w14:textId="77777777">
            <w:pPr>
              <w:pStyle w:val="TableParagraph"/>
              <w:ind w:right="278"/>
              <w:rPr>
                <w:sz w:val="21"/>
              </w:rPr>
            </w:pPr>
            <w:r>
              <w:rPr>
                <w:spacing w:val="-5"/>
                <w:sz w:val="21"/>
              </w:rPr>
              <w:t>80</w:t>
            </w:r>
          </w:p>
        </w:tc>
        <w:tc>
          <w:tcPr>
            <w:tcW w:w="1408" w:type="dxa"/>
          </w:tcPr>
          <w:p w:rsidR="003F5784" w14:paraId="2B1D210D" w14:textId="77777777">
            <w:pPr>
              <w:pStyle w:val="TableParagraph"/>
              <w:ind w:right="123"/>
              <w:rPr>
                <w:sz w:val="21"/>
              </w:rPr>
            </w:pPr>
            <w:r>
              <w:rPr>
                <w:spacing w:val="-10"/>
                <w:sz w:val="21"/>
              </w:rPr>
              <w:t>#</w:t>
            </w:r>
          </w:p>
        </w:tc>
      </w:tr>
      <w:tr w14:paraId="27589408" w14:textId="77777777">
        <w:tblPrEx>
          <w:tblW w:w="0" w:type="auto"/>
          <w:tblInd w:w="117" w:type="dxa"/>
          <w:tblLayout w:type="fixed"/>
          <w:tblCellMar>
            <w:left w:w="0" w:type="dxa"/>
            <w:right w:w="0" w:type="dxa"/>
          </w:tblCellMar>
          <w:tblLook w:val="01E0"/>
        </w:tblPrEx>
        <w:trPr>
          <w:trHeight w:val="286"/>
        </w:trPr>
        <w:tc>
          <w:tcPr>
            <w:tcW w:w="3845" w:type="dxa"/>
          </w:tcPr>
          <w:p w:rsidR="003F5784" w14:paraId="1707448A" w14:textId="77777777">
            <w:pPr>
              <w:pStyle w:val="TableParagraph"/>
              <w:ind w:left="117"/>
              <w:jc w:val="left"/>
              <w:rPr>
                <w:sz w:val="21"/>
              </w:rPr>
            </w:pPr>
            <w:r>
              <w:rPr>
                <w:spacing w:val="-2"/>
                <w:sz w:val="21"/>
              </w:rPr>
              <w:t>Louisiana</w:t>
            </w:r>
          </w:p>
        </w:tc>
        <w:tc>
          <w:tcPr>
            <w:tcW w:w="1636" w:type="dxa"/>
          </w:tcPr>
          <w:p w:rsidR="003F5784" w14:paraId="0CDD0D98" w14:textId="77777777">
            <w:pPr>
              <w:pStyle w:val="TableParagraph"/>
              <w:ind w:right="180"/>
              <w:rPr>
                <w:sz w:val="21"/>
              </w:rPr>
            </w:pPr>
            <w:r>
              <w:rPr>
                <w:spacing w:val="-5"/>
                <w:sz w:val="21"/>
              </w:rPr>
              <w:t>90</w:t>
            </w:r>
          </w:p>
        </w:tc>
        <w:tc>
          <w:tcPr>
            <w:tcW w:w="2029" w:type="dxa"/>
          </w:tcPr>
          <w:p w:rsidR="003F5784" w14:paraId="175F412F" w14:textId="77777777">
            <w:pPr>
              <w:pStyle w:val="TableParagraph"/>
              <w:ind w:right="277"/>
              <w:rPr>
                <w:sz w:val="21"/>
              </w:rPr>
            </w:pPr>
            <w:r>
              <w:rPr>
                <w:spacing w:val="-5"/>
                <w:sz w:val="21"/>
              </w:rPr>
              <w:t>90</w:t>
            </w:r>
          </w:p>
        </w:tc>
        <w:tc>
          <w:tcPr>
            <w:tcW w:w="1561" w:type="dxa"/>
          </w:tcPr>
          <w:p w:rsidR="003F5784" w14:paraId="3C546E0F" w14:textId="77777777">
            <w:pPr>
              <w:pStyle w:val="TableParagraph"/>
              <w:ind w:right="275"/>
              <w:rPr>
                <w:sz w:val="21"/>
              </w:rPr>
            </w:pPr>
            <w:r>
              <w:rPr>
                <w:spacing w:val="-10"/>
                <w:sz w:val="21"/>
              </w:rPr>
              <w:t>#</w:t>
            </w:r>
          </w:p>
        </w:tc>
        <w:tc>
          <w:tcPr>
            <w:tcW w:w="1479" w:type="dxa"/>
          </w:tcPr>
          <w:p w:rsidR="003F5784" w14:paraId="0E0F01F4" w14:textId="77777777">
            <w:pPr>
              <w:pStyle w:val="TableParagraph"/>
              <w:ind w:right="181"/>
              <w:rPr>
                <w:sz w:val="21"/>
              </w:rPr>
            </w:pPr>
            <w:r>
              <w:rPr>
                <w:spacing w:val="-5"/>
                <w:sz w:val="21"/>
              </w:rPr>
              <w:t>90</w:t>
            </w:r>
          </w:p>
        </w:tc>
        <w:tc>
          <w:tcPr>
            <w:tcW w:w="2029" w:type="dxa"/>
          </w:tcPr>
          <w:p w:rsidR="003F5784" w14:paraId="70CAB292" w14:textId="77777777">
            <w:pPr>
              <w:pStyle w:val="TableParagraph"/>
              <w:ind w:right="278"/>
              <w:rPr>
                <w:sz w:val="21"/>
              </w:rPr>
            </w:pPr>
            <w:r>
              <w:rPr>
                <w:spacing w:val="-5"/>
                <w:sz w:val="21"/>
              </w:rPr>
              <w:t>90</w:t>
            </w:r>
          </w:p>
        </w:tc>
        <w:tc>
          <w:tcPr>
            <w:tcW w:w="1408" w:type="dxa"/>
          </w:tcPr>
          <w:p w:rsidR="003F5784" w14:paraId="2B318F70" w14:textId="77777777">
            <w:pPr>
              <w:pStyle w:val="TableParagraph"/>
              <w:ind w:right="123"/>
              <w:rPr>
                <w:sz w:val="21"/>
              </w:rPr>
            </w:pPr>
            <w:r>
              <w:rPr>
                <w:spacing w:val="-10"/>
                <w:sz w:val="21"/>
              </w:rPr>
              <w:t>#</w:t>
            </w:r>
          </w:p>
        </w:tc>
      </w:tr>
      <w:tr w14:paraId="35249627" w14:textId="77777777">
        <w:tblPrEx>
          <w:tblW w:w="0" w:type="auto"/>
          <w:tblInd w:w="117" w:type="dxa"/>
          <w:tblLayout w:type="fixed"/>
          <w:tblCellMar>
            <w:left w:w="0" w:type="dxa"/>
            <w:right w:w="0" w:type="dxa"/>
          </w:tblCellMar>
          <w:tblLook w:val="01E0"/>
        </w:tblPrEx>
        <w:trPr>
          <w:trHeight w:val="286"/>
        </w:trPr>
        <w:tc>
          <w:tcPr>
            <w:tcW w:w="3845" w:type="dxa"/>
          </w:tcPr>
          <w:p w:rsidR="003F5784" w14:paraId="0C33B04E" w14:textId="77777777">
            <w:pPr>
              <w:pStyle w:val="TableParagraph"/>
              <w:ind w:left="117"/>
              <w:jc w:val="left"/>
              <w:rPr>
                <w:sz w:val="21"/>
              </w:rPr>
            </w:pPr>
            <w:r>
              <w:rPr>
                <w:spacing w:val="-2"/>
                <w:sz w:val="21"/>
              </w:rPr>
              <w:t>Maine</w:t>
            </w:r>
          </w:p>
        </w:tc>
        <w:tc>
          <w:tcPr>
            <w:tcW w:w="1636" w:type="dxa"/>
          </w:tcPr>
          <w:p w:rsidR="003F5784" w14:paraId="35FF590F" w14:textId="77777777">
            <w:pPr>
              <w:pStyle w:val="TableParagraph"/>
              <w:ind w:right="180"/>
              <w:rPr>
                <w:sz w:val="21"/>
              </w:rPr>
            </w:pPr>
            <w:r>
              <w:rPr>
                <w:spacing w:val="-5"/>
                <w:sz w:val="21"/>
              </w:rPr>
              <w:t>110</w:t>
            </w:r>
          </w:p>
        </w:tc>
        <w:tc>
          <w:tcPr>
            <w:tcW w:w="2029" w:type="dxa"/>
          </w:tcPr>
          <w:p w:rsidR="003F5784" w14:paraId="20085B2F" w14:textId="77777777">
            <w:pPr>
              <w:pStyle w:val="TableParagraph"/>
              <w:ind w:right="277"/>
              <w:rPr>
                <w:sz w:val="21"/>
              </w:rPr>
            </w:pPr>
            <w:r>
              <w:rPr>
                <w:spacing w:val="-5"/>
                <w:sz w:val="21"/>
              </w:rPr>
              <w:t>110</w:t>
            </w:r>
          </w:p>
        </w:tc>
        <w:tc>
          <w:tcPr>
            <w:tcW w:w="1561" w:type="dxa"/>
          </w:tcPr>
          <w:p w:rsidR="003F5784" w14:paraId="7B9EDF88" w14:textId="77777777">
            <w:pPr>
              <w:pStyle w:val="TableParagraph"/>
              <w:ind w:right="275"/>
              <w:rPr>
                <w:sz w:val="21"/>
              </w:rPr>
            </w:pPr>
            <w:r>
              <w:rPr>
                <w:spacing w:val="-10"/>
                <w:sz w:val="21"/>
              </w:rPr>
              <w:t>#</w:t>
            </w:r>
          </w:p>
        </w:tc>
        <w:tc>
          <w:tcPr>
            <w:tcW w:w="1479" w:type="dxa"/>
          </w:tcPr>
          <w:p w:rsidR="003F5784" w14:paraId="18F24CDC" w14:textId="77777777">
            <w:pPr>
              <w:pStyle w:val="TableParagraph"/>
              <w:ind w:right="181"/>
              <w:rPr>
                <w:sz w:val="21"/>
              </w:rPr>
            </w:pPr>
            <w:r>
              <w:rPr>
                <w:spacing w:val="-5"/>
                <w:sz w:val="21"/>
              </w:rPr>
              <w:t>90</w:t>
            </w:r>
          </w:p>
        </w:tc>
        <w:tc>
          <w:tcPr>
            <w:tcW w:w="2029" w:type="dxa"/>
          </w:tcPr>
          <w:p w:rsidR="003F5784" w14:paraId="227B4F7E" w14:textId="77777777">
            <w:pPr>
              <w:pStyle w:val="TableParagraph"/>
              <w:ind w:right="278"/>
              <w:rPr>
                <w:sz w:val="21"/>
              </w:rPr>
            </w:pPr>
            <w:r>
              <w:rPr>
                <w:spacing w:val="-5"/>
                <w:sz w:val="21"/>
              </w:rPr>
              <w:t>90</w:t>
            </w:r>
          </w:p>
        </w:tc>
        <w:tc>
          <w:tcPr>
            <w:tcW w:w="1408" w:type="dxa"/>
          </w:tcPr>
          <w:p w:rsidR="003F5784" w14:paraId="6FA557C2" w14:textId="77777777">
            <w:pPr>
              <w:pStyle w:val="TableParagraph"/>
              <w:ind w:right="123"/>
              <w:rPr>
                <w:sz w:val="21"/>
              </w:rPr>
            </w:pPr>
            <w:r>
              <w:rPr>
                <w:spacing w:val="-10"/>
                <w:sz w:val="21"/>
              </w:rPr>
              <w:t>#</w:t>
            </w:r>
          </w:p>
        </w:tc>
      </w:tr>
      <w:tr w14:paraId="29429F43" w14:textId="77777777">
        <w:tblPrEx>
          <w:tblW w:w="0" w:type="auto"/>
          <w:tblInd w:w="117" w:type="dxa"/>
          <w:tblLayout w:type="fixed"/>
          <w:tblCellMar>
            <w:left w:w="0" w:type="dxa"/>
            <w:right w:w="0" w:type="dxa"/>
          </w:tblCellMar>
          <w:tblLook w:val="01E0"/>
        </w:tblPrEx>
        <w:trPr>
          <w:trHeight w:val="289"/>
        </w:trPr>
        <w:tc>
          <w:tcPr>
            <w:tcW w:w="3845" w:type="dxa"/>
            <w:tcBorders>
              <w:bottom w:val="single" w:sz="18" w:space="0" w:color="800000"/>
            </w:tcBorders>
          </w:tcPr>
          <w:p w:rsidR="003F5784" w14:paraId="57A12691" w14:textId="77777777">
            <w:pPr>
              <w:pStyle w:val="TableParagraph"/>
              <w:ind w:left="117"/>
              <w:jc w:val="left"/>
              <w:rPr>
                <w:sz w:val="21"/>
              </w:rPr>
            </w:pPr>
            <w:r>
              <w:rPr>
                <w:spacing w:val="-2"/>
                <w:sz w:val="21"/>
              </w:rPr>
              <w:t>Maryland–Baltimore</w:t>
            </w:r>
          </w:p>
        </w:tc>
        <w:tc>
          <w:tcPr>
            <w:tcW w:w="1636" w:type="dxa"/>
            <w:tcBorders>
              <w:bottom w:val="single" w:sz="18" w:space="0" w:color="800000"/>
            </w:tcBorders>
          </w:tcPr>
          <w:p w:rsidR="003F5784" w14:paraId="5C515EB1" w14:textId="77777777">
            <w:pPr>
              <w:pStyle w:val="TableParagraph"/>
              <w:ind w:right="180"/>
              <w:rPr>
                <w:sz w:val="21"/>
              </w:rPr>
            </w:pPr>
            <w:r>
              <w:rPr>
                <w:spacing w:val="-5"/>
                <w:sz w:val="21"/>
              </w:rPr>
              <w:t>50</w:t>
            </w:r>
          </w:p>
        </w:tc>
        <w:tc>
          <w:tcPr>
            <w:tcW w:w="2029" w:type="dxa"/>
            <w:tcBorders>
              <w:bottom w:val="single" w:sz="18" w:space="0" w:color="800000"/>
            </w:tcBorders>
          </w:tcPr>
          <w:p w:rsidR="003F5784" w14:paraId="38AA9A39" w14:textId="77777777">
            <w:pPr>
              <w:pStyle w:val="TableParagraph"/>
              <w:ind w:right="277"/>
              <w:rPr>
                <w:sz w:val="21"/>
              </w:rPr>
            </w:pPr>
            <w:r>
              <w:rPr>
                <w:spacing w:val="-5"/>
                <w:sz w:val="21"/>
              </w:rPr>
              <w:t>50</w:t>
            </w:r>
          </w:p>
        </w:tc>
        <w:tc>
          <w:tcPr>
            <w:tcW w:w="1561" w:type="dxa"/>
            <w:tcBorders>
              <w:bottom w:val="single" w:sz="18" w:space="0" w:color="800000"/>
            </w:tcBorders>
          </w:tcPr>
          <w:p w:rsidR="003F5784" w14:paraId="03EB4218" w14:textId="77777777">
            <w:pPr>
              <w:pStyle w:val="TableParagraph"/>
              <w:ind w:right="275"/>
              <w:rPr>
                <w:sz w:val="21"/>
              </w:rPr>
            </w:pPr>
            <w:r>
              <w:rPr>
                <w:spacing w:val="-10"/>
                <w:sz w:val="21"/>
              </w:rPr>
              <w:t>#</w:t>
            </w:r>
          </w:p>
        </w:tc>
        <w:tc>
          <w:tcPr>
            <w:tcW w:w="1479" w:type="dxa"/>
            <w:tcBorders>
              <w:bottom w:val="single" w:sz="18" w:space="0" w:color="800000"/>
            </w:tcBorders>
          </w:tcPr>
          <w:p w:rsidR="003F5784" w14:paraId="73534DD6" w14:textId="77777777">
            <w:pPr>
              <w:pStyle w:val="TableParagraph"/>
              <w:ind w:right="181"/>
              <w:rPr>
                <w:sz w:val="21"/>
              </w:rPr>
            </w:pPr>
            <w:r>
              <w:rPr>
                <w:spacing w:val="-5"/>
                <w:sz w:val="21"/>
              </w:rPr>
              <w:t>50</w:t>
            </w:r>
          </w:p>
        </w:tc>
        <w:tc>
          <w:tcPr>
            <w:tcW w:w="2029" w:type="dxa"/>
            <w:tcBorders>
              <w:bottom w:val="single" w:sz="18" w:space="0" w:color="800000"/>
            </w:tcBorders>
          </w:tcPr>
          <w:p w:rsidR="003F5784" w14:paraId="5DDDF0A5" w14:textId="77777777">
            <w:pPr>
              <w:pStyle w:val="TableParagraph"/>
              <w:ind w:right="278"/>
              <w:rPr>
                <w:sz w:val="21"/>
              </w:rPr>
            </w:pPr>
            <w:r>
              <w:rPr>
                <w:spacing w:val="-5"/>
                <w:sz w:val="21"/>
              </w:rPr>
              <w:t>50</w:t>
            </w:r>
          </w:p>
        </w:tc>
        <w:tc>
          <w:tcPr>
            <w:tcW w:w="1408" w:type="dxa"/>
            <w:tcBorders>
              <w:bottom w:val="single" w:sz="18" w:space="0" w:color="800000"/>
            </w:tcBorders>
          </w:tcPr>
          <w:p w:rsidR="003F5784" w14:paraId="2665C4FB" w14:textId="77777777">
            <w:pPr>
              <w:pStyle w:val="TableParagraph"/>
              <w:ind w:right="123"/>
              <w:rPr>
                <w:sz w:val="21"/>
              </w:rPr>
            </w:pPr>
            <w:r>
              <w:rPr>
                <w:spacing w:val="-10"/>
                <w:sz w:val="21"/>
              </w:rPr>
              <w:t>#</w:t>
            </w:r>
          </w:p>
        </w:tc>
      </w:tr>
      <w:tr w14:paraId="09BB51C1" w14:textId="77777777">
        <w:tblPrEx>
          <w:tblW w:w="0" w:type="auto"/>
          <w:tblInd w:w="117" w:type="dxa"/>
          <w:tblLayout w:type="fixed"/>
          <w:tblCellMar>
            <w:left w:w="0" w:type="dxa"/>
            <w:right w:w="0" w:type="dxa"/>
          </w:tblCellMar>
          <w:tblLook w:val="01E0"/>
        </w:tblPrEx>
        <w:trPr>
          <w:trHeight w:val="237"/>
        </w:trPr>
        <w:tc>
          <w:tcPr>
            <w:tcW w:w="13987" w:type="dxa"/>
            <w:gridSpan w:val="7"/>
            <w:tcBorders>
              <w:top w:val="single" w:sz="18" w:space="0" w:color="800000"/>
            </w:tcBorders>
          </w:tcPr>
          <w:p w:rsidR="003F5784" w14:paraId="7BE48B27" w14:textId="77777777">
            <w:pPr>
              <w:pStyle w:val="TableParagraph"/>
              <w:spacing w:before="0" w:line="218" w:lineRule="exact"/>
              <w:ind w:left="117"/>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r>
    </w:tbl>
    <w:p w:rsidR="003F5784" w14:paraId="723C12E1" w14:textId="77777777">
      <w:pPr>
        <w:spacing w:line="218" w:lineRule="exact"/>
        <w:rPr>
          <w:sz w:val="21"/>
        </w:rPr>
        <w:sectPr>
          <w:headerReference w:type="default" r:id="rId306"/>
          <w:footerReference w:type="default" r:id="rId307"/>
          <w:pgSz w:w="15840" w:h="12240" w:orient="landscape"/>
          <w:pgMar w:top="480" w:right="440" w:bottom="1260" w:left="460" w:header="284" w:footer="1075" w:gutter="0"/>
          <w:cols w:space="720"/>
        </w:sectPr>
      </w:pPr>
    </w:p>
    <w:p w:rsidR="003F5784" w14:paraId="05AD43AB" w14:textId="77777777">
      <w:pPr>
        <w:pStyle w:val="BodyText"/>
        <w:rPr>
          <w:b/>
        </w:rPr>
      </w:pPr>
    </w:p>
    <w:p w:rsidR="003F5784" w14:paraId="6309A965" w14:textId="77777777">
      <w:pPr>
        <w:pStyle w:val="BodyText"/>
        <w:spacing w:before="162"/>
        <w:rPr>
          <w:b/>
        </w:rPr>
      </w:pPr>
    </w:p>
    <w:p w:rsidR="003F5784" w14:paraId="04B48354" w14:textId="77777777">
      <w:pPr>
        <w:pStyle w:val="BodyText"/>
        <w:spacing w:before="1" w:after="20"/>
        <w:ind w:left="227"/>
      </w:pPr>
      <w:r>
        <w:rPr>
          <w:noProof/>
        </w:rPr>
        <mc:AlternateContent>
          <mc:Choice Requires="wps">
            <w:drawing>
              <wp:anchor distT="0" distB="0" distL="0" distR="0" simplePos="0" relativeHeight="251670528" behindDoc="0" locked="0" layoutInCell="1" allowOverlap="1">
                <wp:simplePos x="0" y="0"/>
                <wp:positionH relativeFrom="page">
                  <wp:posOffset>2765211</wp:posOffset>
                </wp:positionH>
                <wp:positionV relativeFrom="paragraph">
                  <wp:posOffset>-340513</wp:posOffset>
                </wp:positionV>
                <wp:extent cx="6515100" cy="493395"/>
                <wp:effectExtent l="0" t="0" r="0" b="0"/>
                <wp:wrapNone/>
                <wp:docPr id="403" name="Textbox 403"/>
                <wp:cNvGraphicFramePr/>
                <a:graphic xmlns:a="http://schemas.openxmlformats.org/drawingml/2006/main">
                  <a:graphicData uri="http://schemas.microsoft.com/office/word/2010/wordprocessingShape">
                    <wps:wsp xmlns:wps="http://schemas.microsoft.com/office/word/2010/wordprocessingShape">
                      <wps:cNvSpPr txBox="1"/>
                      <wps:spPr>
                        <a:xfrm>
                          <a:off x="0" y="0"/>
                          <a:ext cx="6515100" cy="493395"/>
                        </a:xfrm>
                        <a:prstGeom prst="rect">
                          <a:avLst/>
                        </a:prstGeom>
                      </wps:spPr>
                      <wps:txbx>
                        <w:txbxContent>
                          <w:tbl>
                            <w:tblPr>
                              <w:tblW w:w="0" w:type="auto"/>
                              <w:tblInd w:w="67" w:type="dxa"/>
                              <w:tblLayout w:type="fixed"/>
                              <w:tblCellMar>
                                <w:left w:w="0" w:type="dxa"/>
                                <w:right w:w="0" w:type="dxa"/>
                              </w:tblCellMar>
                              <w:tblLook w:val="01E0"/>
                            </w:tblPr>
                            <w:tblGrid>
                              <w:gridCol w:w="1635"/>
                              <w:gridCol w:w="2028"/>
                              <w:gridCol w:w="1560"/>
                              <w:gridCol w:w="1478"/>
                              <w:gridCol w:w="2028"/>
                              <w:gridCol w:w="1407"/>
                            </w:tblGrid>
                            <w:tr w14:paraId="0AF79DE4" w14:textId="77777777">
                              <w:tblPrEx>
                                <w:tblW w:w="0" w:type="auto"/>
                                <w:tblInd w:w="67" w:type="dxa"/>
                                <w:tblLayout w:type="fixed"/>
                                <w:tblCellMar>
                                  <w:left w:w="0" w:type="dxa"/>
                                  <w:right w:w="0" w:type="dxa"/>
                                </w:tblCellMar>
                                <w:tblLook w:val="01E0"/>
                              </w:tblPrEx>
                              <w:trPr>
                                <w:trHeight w:val="248"/>
                              </w:trPr>
                              <w:tc>
                                <w:tcPr>
                                  <w:tcW w:w="1635" w:type="dxa"/>
                                  <w:tcBorders>
                                    <w:bottom w:val="single" w:sz="18" w:space="0" w:color="800000"/>
                                  </w:tcBorders>
                                </w:tcPr>
                                <w:p w:rsidR="003F5784" w14:textId="77777777">
                                  <w:pPr>
                                    <w:pStyle w:val="TableParagraph"/>
                                    <w:spacing w:before="0"/>
                                    <w:jc w:val="left"/>
                                    <w:rPr>
                                      <w:sz w:val="18"/>
                                    </w:rPr>
                                  </w:pPr>
                                </w:p>
                              </w:tc>
                              <w:tc>
                                <w:tcPr>
                                  <w:tcW w:w="2028" w:type="dxa"/>
                                  <w:tcBorders>
                                    <w:bottom w:val="single" w:sz="18" w:space="0" w:color="800000"/>
                                  </w:tcBorders>
                                </w:tcPr>
                                <w:p w:rsidR="003F5784" w14:textId="77777777">
                                  <w:pPr>
                                    <w:pStyle w:val="TableParagraph"/>
                                    <w:spacing w:before="0" w:line="228" w:lineRule="exact"/>
                                    <w:ind w:left="564"/>
                                    <w:jc w:val="left"/>
                                    <w:rPr>
                                      <w:sz w:val="21"/>
                                    </w:rPr>
                                  </w:pPr>
                                  <w:r>
                                    <w:rPr>
                                      <w:sz w:val="21"/>
                                    </w:rPr>
                                    <w:t>Grade</w:t>
                                  </w:r>
                                  <w:r>
                                    <w:rPr>
                                      <w:spacing w:val="-7"/>
                                      <w:sz w:val="21"/>
                                    </w:rPr>
                                    <w:t xml:space="preserve"> </w:t>
                                  </w:r>
                                  <w:r>
                                    <w:rPr>
                                      <w:spacing w:val="-10"/>
                                      <w:sz w:val="21"/>
                                    </w:rPr>
                                    <w:t>4</w:t>
                                  </w:r>
                                </w:p>
                              </w:tc>
                              <w:tc>
                                <w:tcPr>
                                  <w:tcW w:w="1560" w:type="dxa"/>
                                  <w:tcBorders>
                                    <w:bottom w:val="single" w:sz="18" w:space="0" w:color="800000"/>
                                  </w:tcBorders>
                                </w:tcPr>
                                <w:p w:rsidR="003F5784" w14:textId="77777777">
                                  <w:pPr>
                                    <w:pStyle w:val="TableParagraph"/>
                                    <w:spacing w:before="0"/>
                                    <w:jc w:val="left"/>
                                    <w:rPr>
                                      <w:sz w:val="18"/>
                                    </w:rPr>
                                  </w:pPr>
                                </w:p>
                              </w:tc>
                              <w:tc>
                                <w:tcPr>
                                  <w:tcW w:w="1478" w:type="dxa"/>
                                  <w:tcBorders>
                                    <w:bottom w:val="single" w:sz="18" w:space="0" w:color="800000"/>
                                  </w:tcBorders>
                                </w:tcPr>
                                <w:p w:rsidR="003F5784" w14:textId="77777777">
                                  <w:pPr>
                                    <w:pStyle w:val="TableParagraph"/>
                                    <w:spacing w:before="0"/>
                                    <w:jc w:val="left"/>
                                    <w:rPr>
                                      <w:sz w:val="18"/>
                                    </w:rPr>
                                  </w:pPr>
                                </w:p>
                              </w:tc>
                              <w:tc>
                                <w:tcPr>
                                  <w:tcW w:w="2028" w:type="dxa"/>
                                  <w:tcBorders>
                                    <w:bottom w:val="single" w:sz="18" w:space="0" w:color="800000"/>
                                  </w:tcBorders>
                                </w:tcPr>
                                <w:p w:rsidR="003F5784" w14:textId="77777777">
                                  <w:pPr>
                                    <w:pStyle w:val="TableParagraph"/>
                                    <w:spacing w:before="0" w:line="228" w:lineRule="exact"/>
                                    <w:ind w:left="566"/>
                                    <w:jc w:val="left"/>
                                    <w:rPr>
                                      <w:sz w:val="21"/>
                                    </w:rPr>
                                  </w:pPr>
                                  <w:r>
                                    <w:rPr>
                                      <w:sz w:val="21"/>
                                    </w:rPr>
                                    <w:t>Grade</w:t>
                                  </w:r>
                                  <w:r>
                                    <w:rPr>
                                      <w:spacing w:val="-7"/>
                                      <w:sz w:val="21"/>
                                    </w:rPr>
                                    <w:t xml:space="preserve"> </w:t>
                                  </w:r>
                                  <w:r>
                                    <w:rPr>
                                      <w:spacing w:val="-10"/>
                                      <w:sz w:val="21"/>
                                    </w:rPr>
                                    <w:t>8</w:t>
                                  </w:r>
                                </w:p>
                              </w:tc>
                              <w:tc>
                                <w:tcPr>
                                  <w:tcW w:w="1407" w:type="dxa"/>
                                  <w:tcBorders>
                                    <w:bottom w:val="single" w:sz="18" w:space="0" w:color="800000"/>
                                  </w:tcBorders>
                                </w:tcPr>
                                <w:p w:rsidR="003F5784" w14:textId="77777777">
                                  <w:pPr>
                                    <w:pStyle w:val="TableParagraph"/>
                                    <w:spacing w:before="0"/>
                                    <w:jc w:val="left"/>
                                    <w:rPr>
                                      <w:sz w:val="18"/>
                                    </w:rPr>
                                  </w:pPr>
                                </w:p>
                              </w:tc>
                            </w:tr>
                            <w:tr w14:paraId="0B1FBF23" w14:textId="77777777">
                              <w:tblPrEx>
                                <w:tblW w:w="0" w:type="auto"/>
                                <w:tblInd w:w="67" w:type="dxa"/>
                                <w:tblLayout w:type="fixed"/>
                                <w:tblCellMar>
                                  <w:left w:w="0" w:type="dxa"/>
                                  <w:right w:w="0" w:type="dxa"/>
                                </w:tblCellMar>
                                <w:tblLook w:val="01E0"/>
                              </w:tblPrEx>
                              <w:trPr>
                                <w:trHeight w:val="252"/>
                              </w:trPr>
                              <w:tc>
                                <w:tcPr>
                                  <w:tcW w:w="1635" w:type="dxa"/>
                                  <w:tcBorders>
                                    <w:top w:val="single" w:sz="18" w:space="0" w:color="800000"/>
                                  </w:tcBorders>
                                </w:tcPr>
                                <w:p w:rsidR="003F5784" w14:textId="77777777">
                                  <w:pPr>
                                    <w:pStyle w:val="TableParagraph"/>
                                    <w:spacing w:before="9" w:line="223" w:lineRule="exact"/>
                                    <w:ind w:right="179"/>
                                    <w:rPr>
                                      <w:sz w:val="21"/>
                                    </w:rPr>
                                  </w:pPr>
                                  <w:r>
                                    <w:rPr>
                                      <w:spacing w:val="-2"/>
                                      <w:sz w:val="21"/>
                                    </w:rPr>
                                    <w:t>Total</w:t>
                                  </w:r>
                                  <w:r>
                                    <w:rPr>
                                      <w:spacing w:val="-11"/>
                                      <w:sz w:val="21"/>
                                    </w:rPr>
                                    <w:t xml:space="preserve"> </w:t>
                                  </w:r>
                                  <w:r>
                                    <w:rPr>
                                      <w:spacing w:val="-2"/>
                                      <w:sz w:val="21"/>
                                    </w:rPr>
                                    <w:t>school</w:t>
                                  </w:r>
                                </w:p>
                              </w:tc>
                              <w:tc>
                                <w:tcPr>
                                  <w:tcW w:w="2028" w:type="dxa"/>
                                  <w:tcBorders>
                                    <w:top w:val="single" w:sz="18" w:space="0" w:color="800000"/>
                                  </w:tcBorders>
                                </w:tcPr>
                                <w:p w:rsidR="003F5784" w14:textId="77777777">
                                  <w:pPr>
                                    <w:pStyle w:val="TableParagraph"/>
                                    <w:spacing w:before="9" w:line="223" w:lineRule="exact"/>
                                    <w:ind w:right="275"/>
                                    <w:rPr>
                                      <w:sz w:val="21"/>
                                    </w:rPr>
                                  </w:pPr>
                                  <w:r>
                                    <w:rPr>
                                      <w:sz w:val="21"/>
                                    </w:rPr>
                                    <w:t>CCD-based</w:t>
                                  </w:r>
                                  <w:r>
                                    <w:rPr>
                                      <w:spacing w:val="-11"/>
                                      <w:sz w:val="21"/>
                                    </w:rPr>
                                    <w:t xml:space="preserve"> </w:t>
                                  </w:r>
                                  <w:r>
                                    <w:rPr>
                                      <w:spacing w:val="-2"/>
                                      <w:sz w:val="21"/>
                                    </w:rPr>
                                    <w:t>school</w:t>
                                  </w:r>
                                </w:p>
                              </w:tc>
                              <w:tc>
                                <w:tcPr>
                                  <w:tcW w:w="1560" w:type="dxa"/>
                                  <w:tcBorders>
                                    <w:top w:val="single" w:sz="18" w:space="0" w:color="800000"/>
                                  </w:tcBorders>
                                </w:tcPr>
                                <w:p w:rsidR="003F5784" w14:textId="77777777">
                                  <w:pPr>
                                    <w:pStyle w:val="TableParagraph"/>
                                    <w:spacing w:before="9" w:line="223" w:lineRule="exact"/>
                                    <w:ind w:right="272"/>
                                    <w:rPr>
                                      <w:sz w:val="21"/>
                                    </w:rPr>
                                  </w:pPr>
                                  <w:r>
                                    <w:rPr>
                                      <w:spacing w:val="-2"/>
                                      <w:sz w:val="21"/>
                                    </w:rPr>
                                    <w:t>New-school</w:t>
                                  </w:r>
                                </w:p>
                              </w:tc>
                              <w:tc>
                                <w:tcPr>
                                  <w:tcW w:w="1478" w:type="dxa"/>
                                  <w:tcBorders>
                                    <w:top w:val="single" w:sz="18" w:space="0" w:color="800000"/>
                                  </w:tcBorders>
                                </w:tcPr>
                                <w:p w:rsidR="003F5784" w14:textId="77777777">
                                  <w:pPr>
                                    <w:pStyle w:val="TableParagraph"/>
                                    <w:spacing w:before="9" w:line="223" w:lineRule="exact"/>
                                    <w:ind w:right="177"/>
                                    <w:rPr>
                                      <w:sz w:val="21"/>
                                    </w:rPr>
                                  </w:pPr>
                                  <w:r>
                                    <w:rPr>
                                      <w:spacing w:val="-2"/>
                                      <w:sz w:val="21"/>
                                    </w:rPr>
                                    <w:t>Total</w:t>
                                  </w:r>
                                  <w:r>
                                    <w:rPr>
                                      <w:spacing w:val="-11"/>
                                      <w:sz w:val="21"/>
                                    </w:rPr>
                                    <w:t xml:space="preserve"> </w:t>
                                  </w:r>
                                  <w:r>
                                    <w:rPr>
                                      <w:spacing w:val="-2"/>
                                      <w:sz w:val="21"/>
                                    </w:rPr>
                                    <w:t>school</w:t>
                                  </w:r>
                                </w:p>
                              </w:tc>
                              <w:tc>
                                <w:tcPr>
                                  <w:tcW w:w="2028" w:type="dxa"/>
                                  <w:tcBorders>
                                    <w:top w:val="single" w:sz="18" w:space="0" w:color="800000"/>
                                  </w:tcBorders>
                                </w:tcPr>
                                <w:p w:rsidR="003F5784" w14:textId="77777777">
                                  <w:pPr>
                                    <w:pStyle w:val="TableParagraph"/>
                                    <w:spacing w:before="9" w:line="223" w:lineRule="exact"/>
                                    <w:ind w:right="273"/>
                                    <w:rPr>
                                      <w:sz w:val="21"/>
                                    </w:rPr>
                                  </w:pPr>
                                  <w:r>
                                    <w:rPr>
                                      <w:sz w:val="21"/>
                                    </w:rPr>
                                    <w:t>CCD-based</w:t>
                                  </w:r>
                                  <w:r>
                                    <w:rPr>
                                      <w:spacing w:val="-11"/>
                                      <w:sz w:val="21"/>
                                    </w:rPr>
                                    <w:t xml:space="preserve"> </w:t>
                                  </w:r>
                                  <w:r>
                                    <w:rPr>
                                      <w:spacing w:val="-2"/>
                                      <w:sz w:val="21"/>
                                    </w:rPr>
                                    <w:t>school</w:t>
                                  </w:r>
                                </w:p>
                              </w:tc>
                              <w:tc>
                                <w:tcPr>
                                  <w:tcW w:w="1407" w:type="dxa"/>
                                  <w:tcBorders>
                                    <w:top w:val="single" w:sz="18" w:space="0" w:color="800000"/>
                                  </w:tcBorders>
                                </w:tcPr>
                                <w:p w:rsidR="003F5784" w14:textId="77777777">
                                  <w:pPr>
                                    <w:pStyle w:val="TableParagraph"/>
                                    <w:spacing w:before="9" w:line="223" w:lineRule="exact"/>
                                    <w:ind w:right="116"/>
                                    <w:rPr>
                                      <w:sz w:val="21"/>
                                    </w:rPr>
                                  </w:pPr>
                                  <w:r>
                                    <w:rPr>
                                      <w:spacing w:val="-2"/>
                                      <w:sz w:val="21"/>
                                    </w:rPr>
                                    <w:t>New-school</w:t>
                                  </w:r>
                                </w:p>
                              </w:tc>
                            </w:tr>
                            <w:tr w14:paraId="53DE4B8B" w14:textId="77777777">
                              <w:tblPrEx>
                                <w:tblW w:w="0" w:type="auto"/>
                                <w:tblInd w:w="67" w:type="dxa"/>
                                <w:tblLayout w:type="fixed"/>
                                <w:tblCellMar>
                                  <w:left w:w="0" w:type="dxa"/>
                                  <w:right w:w="0" w:type="dxa"/>
                                </w:tblCellMar>
                                <w:tblLook w:val="01E0"/>
                              </w:tblPrEx>
                              <w:trPr>
                                <w:trHeight w:val="232"/>
                              </w:trPr>
                              <w:tc>
                                <w:tcPr>
                                  <w:tcW w:w="1635" w:type="dxa"/>
                                </w:tcPr>
                                <w:p w:rsidR="003F5784" w14:textId="77777777">
                                  <w:pPr>
                                    <w:pStyle w:val="TableParagraph"/>
                                    <w:spacing w:before="0" w:line="213" w:lineRule="exact"/>
                                    <w:ind w:right="179"/>
                                    <w:rPr>
                                      <w:sz w:val="21"/>
                                    </w:rPr>
                                  </w:pPr>
                                  <w:r>
                                    <w:rPr>
                                      <w:spacing w:val="-2"/>
                                      <w:sz w:val="21"/>
                                    </w:rPr>
                                    <w:t>sample</w:t>
                                  </w:r>
                                </w:p>
                              </w:tc>
                              <w:tc>
                                <w:tcPr>
                                  <w:tcW w:w="2028" w:type="dxa"/>
                                </w:tcPr>
                                <w:p w:rsidR="003F5784" w14:textId="77777777">
                                  <w:pPr>
                                    <w:pStyle w:val="TableParagraph"/>
                                    <w:spacing w:before="0" w:line="213" w:lineRule="exact"/>
                                    <w:ind w:right="275"/>
                                    <w:rPr>
                                      <w:sz w:val="21"/>
                                    </w:rPr>
                                  </w:pPr>
                                  <w:r>
                                    <w:rPr>
                                      <w:spacing w:val="-2"/>
                                      <w:sz w:val="21"/>
                                    </w:rPr>
                                    <w:t>sample</w:t>
                                  </w:r>
                                </w:p>
                              </w:tc>
                              <w:tc>
                                <w:tcPr>
                                  <w:tcW w:w="1560" w:type="dxa"/>
                                </w:tcPr>
                                <w:p w:rsidR="003F5784" w14:textId="77777777">
                                  <w:pPr>
                                    <w:pStyle w:val="TableParagraph"/>
                                    <w:spacing w:before="0" w:line="213" w:lineRule="exact"/>
                                    <w:ind w:right="272"/>
                                    <w:rPr>
                                      <w:sz w:val="21"/>
                                    </w:rPr>
                                  </w:pPr>
                                  <w:r>
                                    <w:rPr>
                                      <w:spacing w:val="-2"/>
                                      <w:sz w:val="21"/>
                                    </w:rPr>
                                    <w:t>sample</w:t>
                                  </w:r>
                                </w:p>
                              </w:tc>
                              <w:tc>
                                <w:tcPr>
                                  <w:tcW w:w="1478" w:type="dxa"/>
                                </w:tcPr>
                                <w:p w:rsidR="003F5784" w14:textId="77777777">
                                  <w:pPr>
                                    <w:pStyle w:val="TableParagraph"/>
                                    <w:spacing w:before="0" w:line="213" w:lineRule="exact"/>
                                    <w:ind w:right="177"/>
                                    <w:rPr>
                                      <w:sz w:val="21"/>
                                    </w:rPr>
                                  </w:pPr>
                                  <w:r>
                                    <w:rPr>
                                      <w:spacing w:val="-2"/>
                                      <w:sz w:val="21"/>
                                    </w:rPr>
                                    <w:t>sample</w:t>
                                  </w:r>
                                </w:p>
                              </w:tc>
                              <w:tc>
                                <w:tcPr>
                                  <w:tcW w:w="2028" w:type="dxa"/>
                                </w:tcPr>
                                <w:p w:rsidR="003F5784" w14:textId="77777777">
                                  <w:pPr>
                                    <w:pStyle w:val="TableParagraph"/>
                                    <w:spacing w:before="0" w:line="213" w:lineRule="exact"/>
                                    <w:ind w:right="273"/>
                                    <w:rPr>
                                      <w:sz w:val="21"/>
                                    </w:rPr>
                                  </w:pPr>
                                  <w:r>
                                    <w:rPr>
                                      <w:spacing w:val="-2"/>
                                      <w:sz w:val="21"/>
                                    </w:rPr>
                                    <w:t>sample</w:t>
                                  </w:r>
                                </w:p>
                              </w:tc>
                              <w:tc>
                                <w:tcPr>
                                  <w:tcW w:w="1407" w:type="dxa"/>
                                </w:tcPr>
                                <w:p w:rsidR="003F5784" w14:textId="77777777">
                                  <w:pPr>
                                    <w:pStyle w:val="TableParagraph"/>
                                    <w:spacing w:before="0" w:line="213" w:lineRule="exact"/>
                                    <w:ind w:right="117"/>
                                    <w:rPr>
                                      <w:sz w:val="21"/>
                                    </w:rPr>
                                  </w:pPr>
                                  <w:r>
                                    <w:rPr>
                                      <w:spacing w:val="-2"/>
                                      <w:sz w:val="21"/>
                                    </w:rPr>
                                    <w:t>sample</w:t>
                                  </w:r>
                                </w:p>
                              </w:tc>
                            </w:tr>
                          </w:tbl>
                          <w:p w:rsidR="003F5784" w14:textId="77777777">
                            <w:pPr>
                              <w:pStyle w:val="BodyText"/>
                            </w:pPr>
                          </w:p>
                        </w:txbxContent>
                      </wps:txbx>
                      <wps:bodyPr wrap="square" lIns="0" tIns="0" rIns="0" bIns="0" rtlCol="0"/>
                    </wps:wsp>
                  </a:graphicData>
                </a:graphic>
              </wp:anchor>
            </w:drawing>
          </mc:Choice>
          <mc:Fallback>
            <w:pict>
              <v:shape id="Textbox 403" o:spid="_x0000_s1149" type="#_x0000_t202" style="width:513pt;height:38.85pt;margin-top:-26.8pt;margin-left:217.75pt;mso-position-horizontal-relative:page;mso-wrap-distance-bottom:0;mso-wrap-distance-left:0;mso-wrap-distance-right:0;mso-wrap-distance-top:0;mso-wrap-style:square;position:absolute;visibility:visible;v-text-anchor:top;z-index:251671552" filled="f" stroked="f">
                <v:textbox inset="0,0,0,0">
                  <w:txbxContent>
                    <w:tbl>
                      <w:tblPr>
                        <w:tblW w:w="0" w:type="auto"/>
                        <w:tblInd w:w="67" w:type="dxa"/>
                        <w:tblLayout w:type="fixed"/>
                        <w:tblCellMar>
                          <w:left w:w="0" w:type="dxa"/>
                          <w:right w:w="0" w:type="dxa"/>
                        </w:tblCellMar>
                        <w:tblLook w:val="01E0"/>
                      </w:tblPr>
                      <w:tblGrid>
                        <w:gridCol w:w="1635"/>
                        <w:gridCol w:w="2028"/>
                        <w:gridCol w:w="1560"/>
                        <w:gridCol w:w="1478"/>
                        <w:gridCol w:w="2028"/>
                        <w:gridCol w:w="1407"/>
                      </w:tblGrid>
                      <w:tr w14:paraId="0AF79DE4" w14:textId="77777777">
                        <w:tblPrEx>
                          <w:tblW w:w="0" w:type="auto"/>
                          <w:tblInd w:w="67" w:type="dxa"/>
                          <w:tblLayout w:type="fixed"/>
                          <w:tblCellMar>
                            <w:left w:w="0" w:type="dxa"/>
                            <w:right w:w="0" w:type="dxa"/>
                          </w:tblCellMar>
                          <w:tblLook w:val="01E0"/>
                        </w:tblPrEx>
                        <w:trPr>
                          <w:trHeight w:val="248"/>
                        </w:trPr>
                        <w:tc>
                          <w:tcPr>
                            <w:tcW w:w="1635" w:type="dxa"/>
                            <w:tcBorders>
                              <w:bottom w:val="single" w:sz="18" w:space="0" w:color="800000"/>
                            </w:tcBorders>
                          </w:tcPr>
                          <w:p w:rsidR="003F5784" w14:paraId="55AFF3A6" w14:textId="77777777">
                            <w:pPr>
                              <w:pStyle w:val="TableParagraph"/>
                              <w:spacing w:before="0"/>
                              <w:jc w:val="left"/>
                              <w:rPr>
                                <w:sz w:val="18"/>
                              </w:rPr>
                            </w:pPr>
                          </w:p>
                        </w:tc>
                        <w:tc>
                          <w:tcPr>
                            <w:tcW w:w="2028" w:type="dxa"/>
                            <w:tcBorders>
                              <w:bottom w:val="single" w:sz="18" w:space="0" w:color="800000"/>
                            </w:tcBorders>
                          </w:tcPr>
                          <w:p w:rsidR="003F5784" w14:paraId="5A231B11" w14:textId="77777777">
                            <w:pPr>
                              <w:pStyle w:val="TableParagraph"/>
                              <w:spacing w:before="0" w:line="228" w:lineRule="exact"/>
                              <w:ind w:left="564"/>
                              <w:jc w:val="left"/>
                              <w:rPr>
                                <w:sz w:val="21"/>
                              </w:rPr>
                            </w:pPr>
                            <w:r>
                              <w:rPr>
                                <w:sz w:val="21"/>
                              </w:rPr>
                              <w:t>Grade</w:t>
                            </w:r>
                            <w:r>
                              <w:rPr>
                                <w:spacing w:val="-7"/>
                                <w:sz w:val="21"/>
                              </w:rPr>
                              <w:t xml:space="preserve"> </w:t>
                            </w:r>
                            <w:r>
                              <w:rPr>
                                <w:spacing w:val="-10"/>
                                <w:sz w:val="21"/>
                              </w:rPr>
                              <w:t>4</w:t>
                            </w:r>
                          </w:p>
                        </w:tc>
                        <w:tc>
                          <w:tcPr>
                            <w:tcW w:w="1560" w:type="dxa"/>
                            <w:tcBorders>
                              <w:bottom w:val="single" w:sz="18" w:space="0" w:color="800000"/>
                            </w:tcBorders>
                          </w:tcPr>
                          <w:p w:rsidR="003F5784" w14:paraId="0FD24D5F" w14:textId="77777777">
                            <w:pPr>
                              <w:pStyle w:val="TableParagraph"/>
                              <w:spacing w:before="0"/>
                              <w:jc w:val="left"/>
                              <w:rPr>
                                <w:sz w:val="18"/>
                              </w:rPr>
                            </w:pPr>
                          </w:p>
                        </w:tc>
                        <w:tc>
                          <w:tcPr>
                            <w:tcW w:w="1478" w:type="dxa"/>
                            <w:tcBorders>
                              <w:bottom w:val="single" w:sz="18" w:space="0" w:color="800000"/>
                            </w:tcBorders>
                          </w:tcPr>
                          <w:p w:rsidR="003F5784" w14:paraId="11EEE219" w14:textId="77777777">
                            <w:pPr>
                              <w:pStyle w:val="TableParagraph"/>
                              <w:spacing w:before="0"/>
                              <w:jc w:val="left"/>
                              <w:rPr>
                                <w:sz w:val="18"/>
                              </w:rPr>
                            </w:pPr>
                          </w:p>
                        </w:tc>
                        <w:tc>
                          <w:tcPr>
                            <w:tcW w:w="2028" w:type="dxa"/>
                            <w:tcBorders>
                              <w:bottom w:val="single" w:sz="18" w:space="0" w:color="800000"/>
                            </w:tcBorders>
                          </w:tcPr>
                          <w:p w:rsidR="003F5784" w14:paraId="14648F7C" w14:textId="77777777">
                            <w:pPr>
                              <w:pStyle w:val="TableParagraph"/>
                              <w:spacing w:before="0" w:line="228" w:lineRule="exact"/>
                              <w:ind w:left="566"/>
                              <w:jc w:val="left"/>
                              <w:rPr>
                                <w:sz w:val="21"/>
                              </w:rPr>
                            </w:pPr>
                            <w:r>
                              <w:rPr>
                                <w:sz w:val="21"/>
                              </w:rPr>
                              <w:t>Grade</w:t>
                            </w:r>
                            <w:r>
                              <w:rPr>
                                <w:spacing w:val="-7"/>
                                <w:sz w:val="21"/>
                              </w:rPr>
                              <w:t xml:space="preserve"> </w:t>
                            </w:r>
                            <w:r>
                              <w:rPr>
                                <w:spacing w:val="-10"/>
                                <w:sz w:val="21"/>
                              </w:rPr>
                              <w:t>8</w:t>
                            </w:r>
                          </w:p>
                        </w:tc>
                        <w:tc>
                          <w:tcPr>
                            <w:tcW w:w="1407" w:type="dxa"/>
                            <w:tcBorders>
                              <w:bottom w:val="single" w:sz="18" w:space="0" w:color="800000"/>
                            </w:tcBorders>
                          </w:tcPr>
                          <w:p w:rsidR="003F5784" w14:paraId="70E13693" w14:textId="77777777">
                            <w:pPr>
                              <w:pStyle w:val="TableParagraph"/>
                              <w:spacing w:before="0"/>
                              <w:jc w:val="left"/>
                              <w:rPr>
                                <w:sz w:val="18"/>
                              </w:rPr>
                            </w:pPr>
                          </w:p>
                        </w:tc>
                      </w:tr>
                      <w:tr w14:paraId="0B1FBF23" w14:textId="77777777">
                        <w:tblPrEx>
                          <w:tblW w:w="0" w:type="auto"/>
                          <w:tblInd w:w="67" w:type="dxa"/>
                          <w:tblLayout w:type="fixed"/>
                          <w:tblCellMar>
                            <w:left w:w="0" w:type="dxa"/>
                            <w:right w:w="0" w:type="dxa"/>
                          </w:tblCellMar>
                          <w:tblLook w:val="01E0"/>
                        </w:tblPrEx>
                        <w:trPr>
                          <w:trHeight w:val="252"/>
                        </w:trPr>
                        <w:tc>
                          <w:tcPr>
                            <w:tcW w:w="1635" w:type="dxa"/>
                            <w:tcBorders>
                              <w:top w:val="single" w:sz="18" w:space="0" w:color="800000"/>
                            </w:tcBorders>
                          </w:tcPr>
                          <w:p w:rsidR="003F5784" w14:paraId="5870EA4D" w14:textId="77777777">
                            <w:pPr>
                              <w:pStyle w:val="TableParagraph"/>
                              <w:spacing w:before="9" w:line="223" w:lineRule="exact"/>
                              <w:ind w:right="179"/>
                              <w:rPr>
                                <w:sz w:val="21"/>
                              </w:rPr>
                            </w:pPr>
                            <w:r>
                              <w:rPr>
                                <w:spacing w:val="-2"/>
                                <w:sz w:val="21"/>
                              </w:rPr>
                              <w:t>Total</w:t>
                            </w:r>
                            <w:r>
                              <w:rPr>
                                <w:spacing w:val="-11"/>
                                <w:sz w:val="21"/>
                              </w:rPr>
                              <w:t xml:space="preserve"> </w:t>
                            </w:r>
                            <w:r>
                              <w:rPr>
                                <w:spacing w:val="-2"/>
                                <w:sz w:val="21"/>
                              </w:rPr>
                              <w:t>school</w:t>
                            </w:r>
                          </w:p>
                        </w:tc>
                        <w:tc>
                          <w:tcPr>
                            <w:tcW w:w="2028" w:type="dxa"/>
                            <w:tcBorders>
                              <w:top w:val="single" w:sz="18" w:space="0" w:color="800000"/>
                            </w:tcBorders>
                          </w:tcPr>
                          <w:p w:rsidR="003F5784" w14:paraId="7ED967D5" w14:textId="77777777">
                            <w:pPr>
                              <w:pStyle w:val="TableParagraph"/>
                              <w:spacing w:before="9" w:line="223" w:lineRule="exact"/>
                              <w:ind w:right="275"/>
                              <w:rPr>
                                <w:sz w:val="21"/>
                              </w:rPr>
                            </w:pPr>
                            <w:r>
                              <w:rPr>
                                <w:sz w:val="21"/>
                              </w:rPr>
                              <w:t>CCD-based</w:t>
                            </w:r>
                            <w:r>
                              <w:rPr>
                                <w:spacing w:val="-11"/>
                                <w:sz w:val="21"/>
                              </w:rPr>
                              <w:t xml:space="preserve"> </w:t>
                            </w:r>
                            <w:r>
                              <w:rPr>
                                <w:spacing w:val="-2"/>
                                <w:sz w:val="21"/>
                              </w:rPr>
                              <w:t>school</w:t>
                            </w:r>
                          </w:p>
                        </w:tc>
                        <w:tc>
                          <w:tcPr>
                            <w:tcW w:w="1560" w:type="dxa"/>
                            <w:tcBorders>
                              <w:top w:val="single" w:sz="18" w:space="0" w:color="800000"/>
                            </w:tcBorders>
                          </w:tcPr>
                          <w:p w:rsidR="003F5784" w14:paraId="75714ABD" w14:textId="77777777">
                            <w:pPr>
                              <w:pStyle w:val="TableParagraph"/>
                              <w:spacing w:before="9" w:line="223" w:lineRule="exact"/>
                              <w:ind w:right="272"/>
                              <w:rPr>
                                <w:sz w:val="21"/>
                              </w:rPr>
                            </w:pPr>
                            <w:r>
                              <w:rPr>
                                <w:spacing w:val="-2"/>
                                <w:sz w:val="21"/>
                              </w:rPr>
                              <w:t>New-school</w:t>
                            </w:r>
                          </w:p>
                        </w:tc>
                        <w:tc>
                          <w:tcPr>
                            <w:tcW w:w="1478" w:type="dxa"/>
                            <w:tcBorders>
                              <w:top w:val="single" w:sz="18" w:space="0" w:color="800000"/>
                            </w:tcBorders>
                          </w:tcPr>
                          <w:p w:rsidR="003F5784" w14:paraId="164D3850" w14:textId="77777777">
                            <w:pPr>
                              <w:pStyle w:val="TableParagraph"/>
                              <w:spacing w:before="9" w:line="223" w:lineRule="exact"/>
                              <w:ind w:right="177"/>
                              <w:rPr>
                                <w:sz w:val="21"/>
                              </w:rPr>
                            </w:pPr>
                            <w:r>
                              <w:rPr>
                                <w:spacing w:val="-2"/>
                                <w:sz w:val="21"/>
                              </w:rPr>
                              <w:t>Total</w:t>
                            </w:r>
                            <w:r>
                              <w:rPr>
                                <w:spacing w:val="-11"/>
                                <w:sz w:val="21"/>
                              </w:rPr>
                              <w:t xml:space="preserve"> </w:t>
                            </w:r>
                            <w:r>
                              <w:rPr>
                                <w:spacing w:val="-2"/>
                                <w:sz w:val="21"/>
                              </w:rPr>
                              <w:t>school</w:t>
                            </w:r>
                          </w:p>
                        </w:tc>
                        <w:tc>
                          <w:tcPr>
                            <w:tcW w:w="2028" w:type="dxa"/>
                            <w:tcBorders>
                              <w:top w:val="single" w:sz="18" w:space="0" w:color="800000"/>
                            </w:tcBorders>
                          </w:tcPr>
                          <w:p w:rsidR="003F5784" w14:paraId="2B760E16" w14:textId="77777777">
                            <w:pPr>
                              <w:pStyle w:val="TableParagraph"/>
                              <w:spacing w:before="9" w:line="223" w:lineRule="exact"/>
                              <w:ind w:right="273"/>
                              <w:rPr>
                                <w:sz w:val="21"/>
                              </w:rPr>
                            </w:pPr>
                            <w:r>
                              <w:rPr>
                                <w:sz w:val="21"/>
                              </w:rPr>
                              <w:t>CCD-based</w:t>
                            </w:r>
                            <w:r>
                              <w:rPr>
                                <w:spacing w:val="-11"/>
                                <w:sz w:val="21"/>
                              </w:rPr>
                              <w:t xml:space="preserve"> </w:t>
                            </w:r>
                            <w:r>
                              <w:rPr>
                                <w:spacing w:val="-2"/>
                                <w:sz w:val="21"/>
                              </w:rPr>
                              <w:t>school</w:t>
                            </w:r>
                          </w:p>
                        </w:tc>
                        <w:tc>
                          <w:tcPr>
                            <w:tcW w:w="1407" w:type="dxa"/>
                            <w:tcBorders>
                              <w:top w:val="single" w:sz="18" w:space="0" w:color="800000"/>
                            </w:tcBorders>
                          </w:tcPr>
                          <w:p w:rsidR="003F5784" w14:paraId="6B071E3B" w14:textId="77777777">
                            <w:pPr>
                              <w:pStyle w:val="TableParagraph"/>
                              <w:spacing w:before="9" w:line="223" w:lineRule="exact"/>
                              <w:ind w:right="116"/>
                              <w:rPr>
                                <w:sz w:val="21"/>
                              </w:rPr>
                            </w:pPr>
                            <w:r>
                              <w:rPr>
                                <w:spacing w:val="-2"/>
                                <w:sz w:val="21"/>
                              </w:rPr>
                              <w:t>New-school</w:t>
                            </w:r>
                          </w:p>
                        </w:tc>
                      </w:tr>
                      <w:tr w14:paraId="53DE4B8B" w14:textId="77777777">
                        <w:tblPrEx>
                          <w:tblW w:w="0" w:type="auto"/>
                          <w:tblInd w:w="67" w:type="dxa"/>
                          <w:tblLayout w:type="fixed"/>
                          <w:tblCellMar>
                            <w:left w:w="0" w:type="dxa"/>
                            <w:right w:w="0" w:type="dxa"/>
                          </w:tblCellMar>
                          <w:tblLook w:val="01E0"/>
                        </w:tblPrEx>
                        <w:trPr>
                          <w:trHeight w:val="232"/>
                        </w:trPr>
                        <w:tc>
                          <w:tcPr>
                            <w:tcW w:w="1635" w:type="dxa"/>
                          </w:tcPr>
                          <w:p w:rsidR="003F5784" w14:paraId="5BF46560" w14:textId="77777777">
                            <w:pPr>
                              <w:pStyle w:val="TableParagraph"/>
                              <w:spacing w:before="0" w:line="213" w:lineRule="exact"/>
                              <w:ind w:right="179"/>
                              <w:rPr>
                                <w:sz w:val="21"/>
                              </w:rPr>
                            </w:pPr>
                            <w:r>
                              <w:rPr>
                                <w:spacing w:val="-2"/>
                                <w:sz w:val="21"/>
                              </w:rPr>
                              <w:t>sample</w:t>
                            </w:r>
                          </w:p>
                        </w:tc>
                        <w:tc>
                          <w:tcPr>
                            <w:tcW w:w="2028" w:type="dxa"/>
                          </w:tcPr>
                          <w:p w:rsidR="003F5784" w14:paraId="49E1EE8A" w14:textId="77777777">
                            <w:pPr>
                              <w:pStyle w:val="TableParagraph"/>
                              <w:spacing w:before="0" w:line="213" w:lineRule="exact"/>
                              <w:ind w:right="275"/>
                              <w:rPr>
                                <w:sz w:val="21"/>
                              </w:rPr>
                            </w:pPr>
                            <w:r>
                              <w:rPr>
                                <w:spacing w:val="-2"/>
                                <w:sz w:val="21"/>
                              </w:rPr>
                              <w:t>sample</w:t>
                            </w:r>
                          </w:p>
                        </w:tc>
                        <w:tc>
                          <w:tcPr>
                            <w:tcW w:w="1560" w:type="dxa"/>
                          </w:tcPr>
                          <w:p w:rsidR="003F5784" w14:paraId="7B88F5BA" w14:textId="77777777">
                            <w:pPr>
                              <w:pStyle w:val="TableParagraph"/>
                              <w:spacing w:before="0" w:line="213" w:lineRule="exact"/>
                              <w:ind w:right="272"/>
                              <w:rPr>
                                <w:sz w:val="21"/>
                              </w:rPr>
                            </w:pPr>
                            <w:r>
                              <w:rPr>
                                <w:spacing w:val="-2"/>
                                <w:sz w:val="21"/>
                              </w:rPr>
                              <w:t>sample</w:t>
                            </w:r>
                          </w:p>
                        </w:tc>
                        <w:tc>
                          <w:tcPr>
                            <w:tcW w:w="1478" w:type="dxa"/>
                          </w:tcPr>
                          <w:p w:rsidR="003F5784" w14:paraId="5047D95B" w14:textId="77777777">
                            <w:pPr>
                              <w:pStyle w:val="TableParagraph"/>
                              <w:spacing w:before="0" w:line="213" w:lineRule="exact"/>
                              <w:ind w:right="177"/>
                              <w:rPr>
                                <w:sz w:val="21"/>
                              </w:rPr>
                            </w:pPr>
                            <w:r>
                              <w:rPr>
                                <w:spacing w:val="-2"/>
                                <w:sz w:val="21"/>
                              </w:rPr>
                              <w:t>sample</w:t>
                            </w:r>
                          </w:p>
                        </w:tc>
                        <w:tc>
                          <w:tcPr>
                            <w:tcW w:w="2028" w:type="dxa"/>
                          </w:tcPr>
                          <w:p w:rsidR="003F5784" w14:paraId="6F6A4A67" w14:textId="77777777">
                            <w:pPr>
                              <w:pStyle w:val="TableParagraph"/>
                              <w:spacing w:before="0" w:line="213" w:lineRule="exact"/>
                              <w:ind w:right="273"/>
                              <w:rPr>
                                <w:sz w:val="21"/>
                              </w:rPr>
                            </w:pPr>
                            <w:r>
                              <w:rPr>
                                <w:spacing w:val="-2"/>
                                <w:sz w:val="21"/>
                              </w:rPr>
                              <w:t>sample</w:t>
                            </w:r>
                          </w:p>
                        </w:tc>
                        <w:tc>
                          <w:tcPr>
                            <w:tcW w:w="1407" w:type="dxa"/>
                          </w:tcPr>
                          <w:p w:rsidR="003F5784" w14:paraId="5BB54328" w14:textId="77777777">
                            <w:pPr>
                              <w:pStyle w:val="TableParagraph"/>
                              <w:spacing w:before="0" w:line="213" w:lineRule="exact"/>
                              <w:ind w:right="117"/>
                              <w:rPr>
                                <w:sz w:val="21"/>
                              </w:rPr>
                            </w:pPr>
                            <w:r>
                              <w:rPr>
                                <w:spacing w:val="-2"/>
                                <w:sz w:val="21"/>
                              </w:rPr>
                              <w:t>sample</w:t>
                            </w:r>
                          </w:p>
                        </w:tc>
                      </w:tr>
                    </w:tbl>
                    <w:p w:rsidR="003F5784" w14:paraId="1204F08F" w14:textId="77777777">
                      <w:pPr>
                        <w:pStyle w:val="BodyText"/>
                      </w:pPr>
                    </w:p>
                  </w:txbxContent>
                </v:textbox>
              </v:shape>
            </w:pict>
          </mc:Fallback>
        </mc:AlternateContent>
      </w:r>
      <w:r>
        <w:rPr>
          <w:spacing w:val="-2"/>
        </w:rPr>
        <w:t>Jurisdiction</w:t>
      </w:r>
    </w:p>
    <w:tbl>
      <w:tblPr>
        <w:tblW w:w="0" w:type="auto"/>
        <w:tblInd w:w="117" w:type="dxa"/>
        <w:tblLayout w:type="fixed"/>
        <w:tblCellMar>
          <w:left w:w="0" w:type="dxa"/>
          <w:right w:w="0" w:type="dxa"/>
        </w:tblCellMar>
        <w:tblLook w:val="01E0"/>
      </w:tblPr>
      <w:tblGrid>
        <w:gridCol w:w="3924"/>
        <w:gridCol w:w="1539"/>
        <w:gridCol w:w="2070"/>
        <w:gridCol w:w="1530"/>
        <w:gridCol w:w="1530"/>
        <w:gridCol w:w="1980"/>
        <w:gridCol w:w="1350"/>
      </w:tblGrid>
      <w:tr w14:paraId="5696BC12" w14:textId="77777777" w:rsidTr="00E3225D">
        <w:tblPrEx>
          <w:tblW w:w="0" w:type="auto"/>
          <w:tblInd w:w="117" w:type="dxa"/>
          <w:tblLayout w:type="fixed"/>
          <w:tblCellMar>
            <w:left w:w="0" w:type="dxa"/>
            <w:right w:w="0" w:type="dxa"/>
          </w:tblCellMar>
          <w:tblLook w:val="01E0"/>
        </w:tblPrEx>
        <w:trPr>
          <w:trHeight w:val="278"/>
        </w:trPr>
        <w:tc>
          <w:tcPr>
            <w:tcW w:w="3924" w:type="dxa"/>
            <w:tcBorders>
              <w:top w:val="single" w:sz="18" w:space="0" w:color="800000"/>
            </w:tcBorders>
          </w:tcPr>
          <w:p w:rsidR="003F5784" w14:paraId="1C1ED5C1" w14:textId="77777777">
            <w:pPr>
              <w:pStyle w:val="TableParagraph"/>
              <w:spacing w:before="9"/>
              <w:ind w:left="117"/>
              <w:jc w:val="left"/>
              <w:rPr>
                <w:sz w:val="21"/>
              </w:rPr>
            </w:pPr>
            <w:r>
              <w:rPr>
                <w:spacing w:val="-2"/>
                <w:sz w:val="21"/>
              </w:rPr>
              <w:t>Maryland–Balance</w:t>
            </w:r>
          </w:p>
        </w:tc>
        <w:tc>
          <w:tcPr>
            <w:tcW w:w="1539" w:type="dxa"/>
            <w:tcBorders>
              <w:top w:val="single" w:sz="18" w:space="0" w:color="800000"/>
            </w:tcBorders>
          </w:tcPr>
          <w:p w:rsidR="003F5784" w14:paraId="65FB1558" w14:textId="77777777">
            <w:pPr>
              <w:pStyle w:val="TableParagraph"/>
              <w:spacing w:before="9"/>
              <w:ind w:right="807"/>
              <w:rPr>
                <w:sz w:val="21"/>
              </w:rPr>
            </w:pPr>
            <w:r>
              <w:rPr>
                <w:spacing w:val="-5"/>
                <w:sz w:val="21"/>
              </w:rPr>
              <w:t>80</w:t>
            </w:r>
          </w:p>
        </w:tc>
        <w:tc>
          <w:tcPr>
            <w:tcW w:w="2070" w:type="dxa"/>
            <w:tcBorders>
              <w:top w:val="single" w:sz="18" w:space="0" w:color="800000"/>
            </w:tcBorders>
          </w:tcPr>
          <w:p w:rsidR="003F5784" w14:paraId="6C6EAEB4" w14:textId="77777777">
            <w:pPr>
              <w:pStyle w:val="TableParagraph"/>
              <w:spacing w:before="9"/>
              <w:ind w:right="727"/>
              <w:rPr>
                <w:sz w:val="21"/>
              </w:rPr>
            </w:pPr>
            <w:r>
              <w:rPr>
                <w:spacing w:val="-5"/>
                <w:sz w:val="21"/>
              </w:rPr>
              <w:t>80</w:t>
            </w:r>
          </w:p>
        </w:tc>
        <w:tc>
          <w:tcPr>
            <w:tcW w:w="1530" w:type="dxa"/>
            <w:tcBorders>
              <w:top w:val="single" w:sz="18" w:space="0" w:color="800000"/>
            </w:tcBorders>
          </w:tcPr>
          <w:p w:rsidR="003F5784" w14:paraId="6D311225" w14:textId="77777777">
            <w:pPr>
              <w:pStyle w:val="TableParagraph"/>
              <w:spacing w:before="9"/>
              <w:ind w:left="99"/>
              <w:jc w:val="center"/>
              <w:rPr>
                <w:sz w:val="21"/>
              </w:rPr>
            </w:pPr>
            <w:r>
              <w:rPr>
                <w:spacing w:val="-10"/>
                <w:sz w:val="21"/>
              </w:rPr>
              <w:t>#</w:t>
            </w:r>
          </w:p>
        </w:tc>
        <w:tc>
          <w:tcPr>
            <w:tcW w:w="1530" w:type="dxa"/>
            <w:tcBorders>
              <w:top w:val="single" w:sz="18" w:space="0" w:color="800000"/>
            </w:tcBorders>
          </w:tcPr>
          <w:p w:rsidR="003F5784" w14:paraId="0E91FEDE" w14:textId="77777777">
            <w:pPr>
              <w:pStyle w:val="TableParagraph"/>
              <w:spacing w:before="9"/>
              <w:ind w:right="808"/>
              <w:rPr>
                <w:sz w:val="21"/>
              </w:rPr>
            </w:pPr>
            <w:r>
              <w:rPr>
                <w:spacing w:val="-5"/>
                <w:sz w:val="21"/>
              </w:rPr>
              <w:t>80</w:t>
            </w:r>
          </w:p>
        </w:tc>
        <w:tc>
          <w:tcPr>
            <w:tcW w:w="1980" w:type="dxa"/>
            <w:tcBorders>
              <w:top w:val="single" w:sz="18" w:space="0" w:color="800000"/>
            </w:tcBorders>
          </w:tcPr>
          <w:p w:rsidR="003F5784" w14:paraId="11EB5402" w14:textId="77777777">
            <w:pPr>
              <w:pStyle w:val="TableParagraph"/>
              <w:spacing w:before="9"/>
              <w:ind w:right="729"/>
              <w:rPr>
                <w:sz w:val="21"/>
              </w:rPr>
            </w:pPr>
            <w:r>
              <w:rPr>
                <w:spacing w:val="-5"/>
                <w:sz w:val="21"/>
              </w:rPr>
              <w:t>80</w:t>
            </w:r>
          </w:p>
        </w:tc>
        <w:tc>
          <w:tcPr>
            <w:tcW w:w="1350" w:type="dxa"/>
            <w:tcBorders>
              <w:top w:val="single" w:sz="18" w:space="0" w:color="800000"/>
            </w:tcBorders>
          </w:tcPr>
          <w:p w:rsidR="003F5784" w14:paraId="0C027D8A" w14:textId="77777777">
            <w:pPr>
              <w:pStyle w:val="TableParagraph"/>
              <w:spacing w:before="9"/>
              <w:ind w:right="123"/>
              <w:rPr>
                <w:sz w:val="21"/>
              </w:rPr>
            </w:pPr>
            <w:r>
              <w:rPr>
                <w:spacing w:val="-10"/>
                <w:sz w:val="21"/>
              </w:rPr>
              <w:t>#</w:t>
            </w:r>
          </w:p>
        </w:tc>
      </w:tr>
      <w:tr w14:paraId="440FEEBD"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6FB9ED6E" w14:textId="77777777">
            <w:pPr>
              <w:pStyle w:val="TableParagraph"/>
              <w:ind w:left="117"/>
              <w:jc w:val="left"/>
              <w:rPr>
                <w:sz w:val="21"/>
              </w:rPr>
            </w:pPr>
            <w:r>
              <w:rPr>
                <w:spacing w:val="-2"/>
                <w:sz w:val="21"/>
              </w:rPr>
              <w:t>Massachusetts–Boston</w:t>
            </w:r>
          </w:p>
        </w:tc>
        <w:tc>
          <w:tcPr>
            <w:tcW w:w="1539" w:type="dxa"/>
          </w:tcPr>
          <w:p w:rsidR="003F5784" w14:paraId="4AD68E92" w14:textId="77777777">
            <w:pPr>
              <w:pStyle w:val="TableParagraph"/>
              <w:ind w:right="807"/>
              <w:rPr>
                <w:sz w:val="21"/>
              </w:rPr>
            </w:pPr>
            <w:r>
              <w:rPr>
                <w:spacing w:val="-5"/>
                <w:sz w:val="21"/>
              </w:rPr>
              <w:t>50</w:t>
            </w:r>
          </w:p>
        </w:tc>
        <w:tc>
          <w:tcPr>
            <w:tcW w:w="2070" w:type="dxa"/>
          </w:tcPr>
          <w:p w:rsidR="003F5784" w14:paraId="24284963" w14:textId="77777777">
            <w:pPr>
              <w:pStyle w:val="TableParagraph"/>
              <w:ind w:right="727"/>
              <w:rPr>
                <w:sz w:val="21"/>
              </w:rPr>
            </w:pPr>
            <w:r>
              <w:rPr>
                <w:spacing w:val="-5"/>
                <w:sz w:val="21"/>
              </w:rPr>
              <w:t>50</w:t>
            </w:r>
          </w:p>
        </w:tc>
        <w:tc>
          <w:tcPr>
            <w:tcW w:w="1530" w:type="dxa"/>
          </w:tcPr>
          <w:p w:rsidR="003F5784" w14:paraId="38942658" w14:textId="77777777">
            <w:pPr>
              <w:pStyle w:val="TableParagraph"/>
              <w:ind w:left="99"/>
              <w:jc w:val="center"/>
              <w:rPr>
                <w:sz w:val="21"/>
              </w:rPr>
            </w:pPr>
            <w:r>
              <w:rPr>
                <w:spacing w:val="-10"/>
                <w:sz w:val="21"/>
              </w:rPr>
              <w:t>#</w:t>
            </w:r>
          </w:p>
        </w:tc>
        <w:tc>
          <w:tcPr>
            <w:tcW w:w="1530" w:type="dxa"/>
          </w:tcPr>
          <w:p w:rsidR="003F5784" w14:paraId="268FCD78" w14:textId="77777777">
            <w:pPr>
              <w:pStyle w:val="TableParagraph"/>
              <w:ind w:right="808"/>
              <w:rPr>
                <w:sz w:val="21"/>
              </w:rPr>
            </w:pPr>
            <w:r>
              <w:rPr>
                <w:spacing w:val="-5"/>
                <w:sz w:val="21"/>
              </w:rPr>
              <w:t>50</w:t>
            </w:r>
          </w:p>
        </w:tc>
        <w:tc>
          <w:tcPr>
            <w:tcW w:w="1980" w:type="dxa"/>
          </w:tcPr>
          <w:p w:rsidR="003F5784" w14:paraId="75CA43B7" w14:textId="77777777">
            <w:pPr>
              <w:pStyle w:val="TableParagraph"/>
              <w:ind w:right="729"/>
              <w:rPr>
                <w:sz w:val="21"/>
              </w:rPr>
            </w:pPr>
            <w:r>
              <w:rPr>
                <w:spacing w:val="-5"/>
                <w:sz w:val="21"/>
              </w:rPr>
              <w:t>50</w:t>
            </w:r>
          </w:p>
        </w:tc>
        <w:tc>
          <w:tcPr>
            <w:tcW w:w="1350" w:type="dxa"/>
          </w:tcPr>
          <w:p w:rsidR="003F5784" w14:paraId="6B94BC7D" w14:textId="77777777">
            <w:pPr>
              <w:pStyle w:val="TableParagraph"/>
              <w:ind w:right="123"/>
              <w:rPr>
                <w:sz w:val="21"/>
              </w:rPr>
            </w:pPr>
            <w:r>
              <w:rPr>
                <w:spacing w:val="-10"/>
                <w:sz w:val="21"/>
              </w:rPr>
              <w:t>#</w:t>
            </w:r>
          </w:p>
        </w:tc>
      </w:tr>
      <w:tr w14:paraId="1DB6AE35"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32468EB8" w14:textId="77777777">
            <w:pPr>
              <w:pStyle w:val="TableParagraph"/>
              <w:ind w:left="117"/>
              <w:jc w:val="left"/>
              <w:rPr>
                <w:sz w:val="21"/>
              </w:rPr>
            </w:pPr>
            <w:r>
              <w:rPr>
                <w:spacing w:val="-2"/>
                <w:sz w:val="21"/>
              </w:rPr>
              <w:t>Massachusetts–Balance</w:t>
            </w:r>
          </w:p>
        </w:tc>
        <w:tc>
          <w:tcPr>
            <w:tcW w:w="1539" w:type="dxa"/>
          </w:tcPr>
          <w:p w:rsidR="003F5784" w14:paraId="57DDFC50" w14:textId="77777777">
            <w:pPr>
              <w:pStyle w:val="TableParagraph"/>
              <w:ind w:right="807"/>
              <w:rPr>
                <w:sz w:val="21"/>
              </w:rPr>
            </w:pPr>
            <w:r>
              <w:rPr>
                <w:spacing w:val="-5"/>
                <w:sz w:val="21"/>
              </w:rPr>
              <w:t>80</w:t>
            </w:r>
          </w:p>
        </w:tc>
        <w:tc>
          <w:tcPr>
            <w:tcW w:w="2070" w:type="dxa"/>
          </w:tcPr>
          <w:p w:rsidR="003F5784" w14:paraId="7A25703C" w14:textId="77777777">
            <w:pPr>
              <w:pStyle w:val="TableParagraph"/>
              <w:ind w:right="727"/>
              <w:rPr>
                <w:sz w:val="21"/>
              </w:rPr>
            </w:pPr>
            <w:r>
              <w:rPr>
                <w:spacing w:val="-5"/>
                <w:sz w:val="21"/>
              </w:rPr>
              <w:t>80</w:t>
            </w:r>
          </w:p>
        </w:tc>
        <w:tc>
          <w:tcPr>
            <w:tcW w:w="1530" w:type="dxa"/>
          </w:tcPr>
          <w:p w:rsidR="003F5784" w14:paraId="094FB293" w14:textId="77777777">
            <w:pPr>
              <w:pStyle w:val="TableParagraph"/>
              <w:ind w:left="99"/>
              <w:jc w:val="center"/>
              <w:rPr>
                <w:sz w:val="21"/>
              </w:rPr>
            </w:pPr>
            <w:r>
              <w:rPr>
                <w:spacing w:val="-10"/>
                <w:sz w:val="21"/>
              </w:rPr>
              <w:t>#</w:t>
            </w:r>
          </w:p>
        </w:tc>
        <w:tc>
          <w:tcPr>
            <w:tcW w:w="1530" w:type="dxa"/>
          </w:tcPr>
          <w:p w:rsidR="003F5784" w14:paraId="51825FC8" w14:textId="77777777">
            <w:pPr>
              <w:pStyle w:val="TableParagraph"/>
              <w:ind w:right="808"/>
              <w:rPr>
                <w:sz w:val="21"/>
              </w:rPr>
            </w:pPr>
            <w:r>
              <w:rPr>
                <w:spacing w:val="-5"/>
                <w:sz w:val="21"/>
              </w:rPr>
              <w:t>80</w:t>
            </w:r>
          </w:p>
        </w:tc>
        <w:tc>
          <w:tcPr>
            <w:tcW w:w="1980" w:type="dxa"/>
          </w:tcPr>
          <w:p w:rsidR="003F5784" w14:paraId="11A16635" w14:textId="77777777">
            <w:pPr>
              <w:pStyle w:val="TableParagraph"/>
              <w:ind w:right="729"/>
              <w:rPr>
                <w:sz w:val="21"/>
              </w:rPr>
            </w:pPr>
            <w:r>
              <w:rPr>
                <w:spacing w:val="-5"/>
                <w:sz w:val="21"/>
              </w:rPr>
              <w:t>80</w:t>
            </w:r>
          </w:p>
        </w:tc>
        <w:tc>
          <w:tcPr>
            <w:tcW w:w="1350" w:type="dxa"/>
          </w:tcPr>
          <w:p w:rsidR="003F5784" w14:paraId="77DABDF7" w14:textId="77777777">
            <w:pPr>
              <w:pStyle w:val="TableParagraph"/>
              <w:ind w:right="123"/>
              <w:rPr>
                <w:sz w:val="21"/>
              </w:rPr>
            </w:pPr>
            <w:r>
              <w:rPr>
                <w:spacing w:val="-10"/>
                <w:sz w:val="21"/>
              </w:rPr>
              <w:t>#</w:t>
            </w:r>
          </w:p>
        </w:tc>
      </w:tr>
      <w:tr w14:paraId="6E19715E"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0445FC4D" w14:textId="77777777">
            <w:pPr>
              <w:pStyle w:val="TableParagraph"/>
              <w:ind w:left="117"/>
              <w:jc w:val="left"/>
              <w:rPr>
                <w:sz w:val="21"/>
              </w:rPr>
            </w:pPr>
            <w:r>
              <w:rPr>
                <w:spacing w:val="-2"/>
                <w:sz w:val="21"/>
              </w:rPr>
              <w:t>Michigan–Detroit</w:t>
            </w:r>
          </w:p>
        </w:tc>
        <w:tc>
          <w:tcPr>
            <w:tcW w:w="1539" w:type="dxa"/>
          </w:tcPr>
          <w:p w:rsidR="003F5784" w14:paraId="0BECCFAC" w14:textId="77777777">
            <w:pPr>
              <w:pStyle w:val="TableParagraph"/>
              <w:ind w:right="807"/>
              <w:rPr>
                <w:sz w:val="21"/>
              </w:rPr>
            </w:pPr>
            <w:r>
              <w:rPr>
                <w:spacing w:val="-5"/>
                <w:sz w:val="21"/>
              </w:rPr>
              <w:t>40</w:t>
            </w:r>
          </w:p>
        </w:tc>
        <w:tc>
          <w:tcPr>
            <w:tcW w:w="2070" w:type="dxa"/>
          </w:tcPr>
          <w:p w:rsidR="003F5784" w14:paraId="16E7A7B8" w14:textId="77777777">
            <w:pPr>
              <w:pStyle w:val="TableParagraph"/>
              <w:ind w:right="727"/>
              <w:rPr>
                <w:sz w:val="21"/>
              </w:rPr>
            </w:pPr>
            <w:r>
              <w:rPr>
                <w:spacing w:val="-5"/>
                <w:sz w:val="21"/>
              </w:rPr>
              <w:t>40</w:t>
            </w:r>
          </w:p>
        </w:tc>
        <w:tc>
          <w:tcPr>
            <w:tcW w:w="1530" w:type="dxa"/>
          </w:tcPr>
          <w:p w:rsidR="003F5784" w14:paraId="5019F417" w14:textId="77777777">
            <w:pPr>
              <w:pStyle w:val="TableParagraph"/>
              <w:ind w:left="99"/>
              <w:jc w:val="center"/>
              <w:rPr>
                <w:sz w:val="21"/>
              </w:rPr>
            </w:pPr>
            <w:r>
              <w:rPr>
                <w:spacing w:val="-10"/>
                <w:sz w:val="21"/>
              </w:rPr>
              <w:t>#</w:t>
            </w:r>
          </w:p>
        </w:tc>
        <w:tc>
          <w:tcPr>
            <w:tcW w:w="1530" w:type="dxa"/>
          </w:tcPr>
          <w:p w:rsidR="003F5784" w14:paraId="0EB603AE" w14:textId="77777777">
            <w:pPr>
              <w:pStyle w:val="TableParagraph"/>
              <w:ind w:right="808"/>
              <w:rPr>
                <w:sz w:val="21"/>
              </w:rPr>
            </w:pPr>
            <w:r>
              <w:rPr>
                <w:spacing w:val="-5"/>
                <w:sz w:val="21"/>
              </w:rPr>
              <w:t>40</w:t>
            </w:r>
          </w:p>
        </w:tc>
        <w:tc>
          <w:tcPr>
            <w:tcW w:w="1980" w:type="dxa"/>
          </w:tcPr>
          <w:p w:rsidR="003F5784" w14:paraId="77B7DE35" w14:textId="77777777">
            <w:pPr>
              <w:pStyle w:val="TableParagraph"/>
              <w:ind w:right="729"/>
              <w:rPr>
                <w:sz w:val="21"/>
              </w:rPr>
            </w:pPr>
            <w:r>
              <w:rPr>
                <w:spacing w:val="-5"/>
                <w:sz w:val="21"/>
              </w:rPr>
              <w:t>40</w:t>
            </w:r>
          </w:p>
        </w:tc>
        <w:tc>
          <w:tcPr>
            <w:tcW w:w="1350" w:type="dxa"/>
          </w:tcPr>
          <w:p w:rsidR="003F5784" w14:paraId="63D499B4" w14:textId="77777777">
            <w:pPr>
              <w:pStyle w:val="TableParagraph"/>
              <w:ind w:right="123"/>
              <w:rPr>
                <w:sz w:val="21"/>
              </w:rPr>
            </w:pPr>
            <w:r>
              <w:rPr>
                <w:spacing w:val="-10"/>
                <w:sz w:val="21"/>
              </w:rPr>
              <w:t>#</w:t>
            </w:r>
          </w:p>
        </w:tc>
      </w:tr>
      <w:tr w14:paraId="0E43CB1E"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611F2153" w14:textId="77777777">
            <w:pPr>
              <w:pStyle w:val="TableParagraph"/>
              <w:ind w:left="117"/>
              <w:jc w:val="left"/>
              <w:rPr>
                <w:sz w:val="21"/>
              </w:rPr>
            </w:pPr>
            <w:r>
              <w:rPr>
                <w:spacing w:val="-2"/>
                <w:sz w:val="21"/>
              </w:rPr>
              <w:t>Michigan–Balance</w:t>
            </w:r>
          </w:p>
        </w:tc>
        <w:tc>
          <w:tcPr>
            <w:tcW w:w="1539" w:type="dxa"/>
          </w:tcPr>
          <w:p w:rsidR="003F5784" w14:paraId="024E68DD" w14:textId="77777777">
            <w:pPr>
              <w:pStyle w:val="TableParagraph"/>
              <w:ind w:right="807"/>
              <w:rPr>
                <w:sz w:val="21"/>
              </w:rPr>
            </w:pPr>
            <w:r>
              <w:rPr>
                <w:spacing w:val="-5"/>
                <w:sz w:val="21"/>
              </w:rPr>
              <w:t>90</w:t>
            </w:r>
          </w:p>
        </w:tc>
        <w:tc>
          <w:tcPr>
            <w:tcW w:w="2070" w:type="dxa"/>
          </w:tcPr>
          <w:p w:rsidR="003F5784" w14:paraId="1519957E" w14:textId="77777777">
            <w:pPr>
              <w:pStyle w:val="TableParagraph"/>
              <w:ind w:right="727"/>
              <w:rPr>
                <w:sz w:val="21"/>
              </w:rPr>
            </w:pPr>
            <w:r>
              <w:rPr>
                <w:spacing w:val="-5"/>
                <w:sz w:val="21"/>
              </w:rPr>
              <w:t>90</w:t>
            </w:r>
          </w:p>
        </w:tc>
        <w:tc>
          <w:tcPr>
            <w:tcW w:w="1530" w:type="dxa"/>
          </w:tcPr>
          <w:p w:rsidR="003F5784" w14:paraId="1188C6E4" w14:textId="77777777">
            <w:pPr>
              <w:pStyle w:val="TableParagraph"/>
              <w:ind w:left="99"/>
              <w:jc w:val="center"/>
              <w:rPr>
                <w:sz w:val="21"/>
              </w:rPr>
            </w:pPr>
            <w:r>
              <w:rPr>
                <w:spacing w:val="-10"/>
                <w:sz w:val="21"/>
              </w:rPr>
              <w:t>#</w:t>
            </w:r>
          </w:p>
        </w:tc>
        <w:tc>
          <w:tcPr>
            <w:tcW w:w="1530" w:type="dxa"/>
          </w:tcPr>
          <w:p w:rsidR="003F5784" w14:paraId="4742C137" w14:textId="77777777">
            <w:pPr>
              <w:pStyle w:val="TableParagraph"/>
              <w:ind w:right="808"/>
              <w:rPr>
                <w:sz w:val="21"/>
              </w:rPr>
            </w:pPr>
            <w:r>
              <w:rPr>
                <w:spacing w:val="-5"/>
                <w:sz w:val="21"/>
              </w:rPr>
              <w:t>90</w:t>
            </w:r>
          </w:p>
        </w:tc>
        <w:tc>
          <w:tcPr>
            <w:tcW w:w="1980" w:type="dxa"/>
          </w:tcPr>
          <w:p w:rsidR="003F5784" w14:paraId="66FB3125" w14:textId="77777777">
            <w:pPr>
              <w:pStyle w:val="TableParagraph"/>
              <w:ind w:right="729"/>
              <w:rPr>
                <w:sz w:val="21"/>
              </w:rPr>
            </w:pPr>
            <w:r>
              <w:rPr>
                <w:spacing w:val="-5"/>
                <w:sz w:val="21"/>
              </w:rPr>
              <w:t>90</w:t>
            </w:r>
          </w:p>
        </w:tc>
        <w:tc>
          <w:tcPr>
            <w:tcW w:w="1350" w:type="dxa"/>
          </w:tcPr>
          <w:p w:rsidR="003F5784" w14:paraId="4D99544C" w14:textId="77777777">
            <w:pPr>
              <w:pStyle w:val="TableParagraph"/>
              <w:ind w:right="123"/>
              <w:rPr>
                <w:sz w:val="21"/>
              </w:rPr>
            </w:pPr>
            <w:r>
              <w:rPr>
                <w:spacing w:val="-10"/>
                <w:sz w:val="21"/>
              </w:rPr>
              <w:t>#</w:t>
            </w:r>
          </w:p>
        </w:tc>
      </w:tr>
      <w:tr w14:paraId="06B1016A"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59D3F9C4" w14:textId="77777777">
            <w:pPr>
              <w:pStyle w:val="TableParagraph"/>
              <w:ind w:left="117"/>
              <w:jc w:val="left"/>
              <w:rPr>
                <w:sz w:val="21"/>
              </w:rPr>
            </w:pPr>
            <w:r>
              <w:rPr>
                <w:spacing w:val="-2"/>
                <w:sz w:val="21"/>
              </w:rPr>
              <w:t>Minnesota</w:t>
            </w:r>
          </w:p>
        </w:tc>
        <w:tc>
          <w:tcPr>
            <w:tcW w:w="1539" w:type="dxa"/>
          </w:tcPr>
          <w:p w:rsidR="003F5784" w14:paraId="3421B310" w14:textId="77777777">
            <w:pPr>
              <w:pStyle w:val="TableParagraph"/>
              <w:ind w:right="807"/>
              <w:rPr>
                <w:sz w:val="21"/>
              </w:rPr>
            </w:pPr>
            <w:r>
              <w:rPr>
                <w:spacing w:val="-5"/>
                <w:sz w:val="21"/>
              </w:rPr>
              <w:t>90</w:t>
            </w:r>
          </w:p>
        </w:tc>
        <w:tc>
          <w:tcPr>
            <w:tcW w:w="2070" w:type="dxa"/>
          </w:tcPr>
          <w:p w:rsidR="003F5784" w14:paraId="0BDF4502" w14:textId="77777777">
            <w:pPr>
              <w:pStyle w:val="TableParagraph"/>
              <w:ind w:right="727"/>
              <w:rPr>
                <w:sz w:val="21"/>
              </w:rPr>
            </w:pPr>
            <w:r>
              <w:rPr>
                <w:spacing w:val="-5"/>
                <w:sz w:val="21"/>
              </w:rPr>
              <w:t>90</w:t>
            </w:r>
          </w:p>
        </w:tc>
        <w:tc>
          <w:tcPr>
            <w:tcW w:w="1530" w:type="dxa"/>
          </w:tcPr>
          <w:p w:rsidR="003F5784" w14:paraId="0F670930" w14:textId="77777777">
            <w:pPr>
              <w:pStyle w:val="TableParagraph"/>
              <w:ind w:left="99"/>
              <w:jc w:val="center"/>
              <w:rPr>
                <w:sz w:val="21"/>
              </w:rPr>
            </w:pPr>
            <w:r>
              <w:rPr>
                <w:spacing w:val="-10"/>
                <w:sz w:val="21"/>
              </w:rPr>
              <w:t>#</w:t>
            </w:r>
          </w:p>
        </w:tc>
        <w:tc>
          <w:tcPr>
            <w:tcW w:w="1530" w:type="dxa"/>
          </w:tcPr>
          <w:p w:rsidR="003F5784" w14:paraId="7ED83766" w14:textId="77777777">
            <w:pPr>
              <w:pStyle w:val="TableParagraph"/>
              <w:ind w:right="808"/>
              <w:rPr>
                <w:sz w:val="21"/>
              </w:rPr>
            </w:pPr>
            <w:r>
              <w:rPr>
                <w:spacing w:val="-5"/>
                <w:sz w:val="21"/>
              </w:rPr>
              <w:t>100</w:t>
            </w:r>
          </w:p>
        </w:tc>
        <w:tc>
          <w:tcPr>
            <w:tcW w:w="1980" w:type="dxa"/>
          </w:tcPr>
          <w:p w:rsidR="003F5784" w14:paraId="47D23067" w14:textId="77777777">
            <w:pPr>
              <w:pStyle w:val="TableParagraph"/>
              <w:ind w:right="729"/>
              <w:rPr>
                <w:sz w:val="21"/>
              </w:rPr>
            </w:pPr>
            <w:r>
              <w:rPr>
                <w:spacing w:val="-5"/>
                <w:sz w:val="21"/>
              </w:rPr>
              <w:t>90</w:t>
            </w:r>
          </w:p>
        </w:tc>
        <w:tc>
          <w:tcPr>
            <w:tcW w:w="1350" w:type="dxa"/>
          </w:tcPr>
          <w:p w:rsidR="003F5784" w14:paraId="6597AC11" w14:textId="77777777">
            <w:pPr>
              <w:pStyle w:val="TableParagraph"/>
              <w:ind w:right="123"/>
              <w:rPr>
                <w:sz w:val="21"/>
              </w:rPr>
            </w:pPr>
            <w:r>
              <w:rPr>
                <w:spacing w:val="-10"/>
                <w:sz w:val="21"/>
              </w:rPr>
              <w:t>#</w:t>
            </w:r>
          </w:p>
        </w:tc>
      </w:tr>
      <w:tr w14:paraId="516C663B"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4F8FEEF0" w14:textId="77777777">
            <w:pPr>
              <w:pStyle w:val="TableParagraph"/>
              <w:ind w:left="117"/>
              <w:jc w:val="left"/>
              <w:rPr>
                <w:sz w:val="21"/>
              </w:rPr>
            </w:pPr>
            <w:r>
              <w:rPr>
                <w:spacing w:val="-2"/>
                <w:sz w:val="21"/>
              </w:rPr>
              <w:t>Mississippi</w:t>
            </w:r>
          </w:p>
        </w:tc>
        <w:tc>
          <w:tcPr>
            <w:tcW w:w="1539" w:type="dxa"/>
          </w:tcPr>
          <w:p w:rsidR="003F5784" w14:paraId="5FCE4633" w14:textId="77777777">
            <w:pPr>
              <w:pStyle w:val="TableParagraph"/>
              <w:ind w:right="807"/>
              <w:rPr>
                <w:sz w:val="21"/>
              </w:rPr>
            </w:pPr>
            <w:r>
              <w:rPr>
                <w:spacing w:val="-5"/>
                <w:sz w:val="21"/>
              </w:rPr>
              <w:t>90</w:t>
            </w:r>
          </w:p>
        </w:tc>
        <w:tc>
          <w:tcPr>
            <w:tcW w:w="2070" w:type="dxa"/>
          </w:tcPr>
          <w:p w:rsidR="003F5784" w14:paraId="07680AA4" w14:textId="77777777">
            <w:pPr>
              <w:pStyle w:val="TableParagraph"/>
              <w:ind w:right="727"/>
              <w:rPr>
                <w:sz w:val="21"/>
              </w:rPr>
            </w:pPr>
            <w:r>
              <w:rPr>
                <w:spacing w:val="-5"/>
                <w:sz w:val="21"/>
              </w:rPr>
              <w:t>90</w:t>
            </w:r>
          </w:p>
        </w:tc>
        <w:tc>
          <w:tcPr>
            <w:tcW w:w="1530" w:type="dxa"/>
          </w:tcPr>
          <w:p w:rsidR="003F5784" w14:paraId="3D6CEF93" w14:textId="77777777">
            <w:pPr>
              <w:pStyle w:val="TableParagraph"/>
              <w:ind w:left="99"/>
              <w:jc w:val="center"/>
              <w:rPr>
                <w:sz w:val="21"/>
              </w:rPr>
            </w:pPr>
            <w:r>
              <w:rPr>
                <w:spacing w:val="-10"/>
                <w:sz w:val="21"/>
              </w:rPr>
              <w:t>#</w:t>
            </w:r>
          </w:p>
        </w:tc>
        <w:tc>
          <w:tcPr>
            <w:tcW w:w="1530" w:type="dxa"/>
          </w:tcPr>
          <w:p w:rsidR="003F5784" w14:paraId="172FA482" w14:textId="77777777">
            <w:pPr>
              <w:pStyle w:val="TableParagraph"/>
              <w:ind w:right="808"/>
              <w:rPr>
                <w:sz w:val="21"/>
              </w:rPr>
            </w:pPr>
            <w:r>
              <w:rPr>
                <w:spacing w:val="-5"/>
                <w:sz w:val="21"/>
              </w:rPr>
              <w:t>90</w:t>
            </w:r>
          </w:p>
        </w:tc>
        <w:tc>
          <w:tcPr>
            <w:tcW w:w="1980" w:type="dxa"/>
          </w:tcPr>
          <w:p w:rsidR="003F5784" w14:paraId="19C6DB5B" w14:textId="77777777">
            <w:pPr>
              <w:pStyle w:val="TableParagraph"/>
              <w:ind w:right="729"/>
              <w:rPr>
                <w:sz w:val="21"/>
              </w:rPr>
            </w:pPr>
            <w:r>
              <w:rPr>
                <w:spacing w:val="-5"/>
                <w:sz w:val="21"/>
              </w:rPr>
              <w:t>90</w:t>
            </w:r>
          </w:p>
        </w:tc>
        <w:tc>
          <w:tcPr>
            <w:tcW w:w="1350" w:type="dxa"/>
          </w:tcPr>
          <w:p w:rsidR="003F5784" w14:paraId="7CD9FA83" w14:textId="77777777">
            <w:pPr>
              <w:pStyle w:val="TableParagraph"/>
              <w:ind w:right="123"/>
              <w:rPr>
                <w:sz w:val="21"/>
              </w:rPr>
            </w:pPr>
            <w:r>
              <w:rPr>
                <w:spacing w:val="-10"/>
                <w:sz w:val="21"/>
              </w:rPr>
              <w:t>#</w:t>
            </w:r>
          </w:p>
        </w:tc>
      </w:tr>
      <w:tr w14:paraId="4640094B"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469ABBFA" w14:textId="77777777">
            <w:pPr>
              <w:pStyle w:val="TableParagraph"/>
              <w:ind w:left="117"/>
              <w:jc w:val="left"/>
              <w:rPr>
                <w:sz w:val="21"/>
              </w:rPr>
            </w:pPr>
            <w:r>
              <w:rPr>
                <w:spacing w:val="-2"/>
                <w:sz w:val="21"/>
              </w:rPr>
              <w:t>Missouri</w:t>
            </w:r>
          </w:p>
        </w:tc>
        <w:tc>
          <w:tcPr>
            <w:tcW w:w="1539" w:type="dxa"/>
          </w:tcPr>
          <w:p w:rsidR="003F5784" w14:paraId="392A37CB" w14:textId="77777777">
            <w:pPr>
              <w:pStyle w:val="TableParagraph"/>
              <w:ind w:right="807"/>
              <w:rPr>
                <w:sz w:val="21"/>
              </w:rPr>
            </w:pPr>
            <w:r>
              <w:rPr>
                <w:spacing w:val="-5"/>
                <w:sz w:val="21"/>
              </w:rPr>
              <w:t>100</w:t>
            </w:r>
          </w:p>
        </w:tc>
        <w:tc>
          <w:tcPr>
            <w:tcW w:w="2070" w:type="dxa"/>
          </w:tcPr>
          <w:p w:rsidR="003F5784" w14:paraId="23AB35A6" w14:textId="77777777">
            <w:pPr>
              <w:pStyle w:val="TableParagraph"/>
              <w:ind w:right="727"/>
              <w:rPr>
                <w:sz w:val="21"/>
              </w:rPr>
            </w:pPr>
            <w:r>
              <w:rPr>
                <w:spacing w:val="-5"/>
                <w:sz w:val="21"/>
              </w:rPr>
              <w:t>100</w:t>
            </w:r>
          </w:p>
        </w:tc>
        <w:tc>
          <w:tcPr>
            <w:tcW w:w="1530" w:type="dxa"/>
          </w:tcPr>
          <w:p w:rsidR="003F5784" w14:paraId="7A35DF0B" w14:textId="77777777">
            <w:pPr>
              <w:pStyle w:val="TableParagraph"/>
              <w:ind w:left="99"/>
              <w:jc w:val="center"/>
              <w:rPr>
                <w:sz w:val="21"/>
              </w:rPr>
            </w:pPr>
            <w:r>
              <w:rPr>
                <w:spacing w:val="-10"/>
                <w:sz w:val="21"/>
              </w:rPr>
              <w:t>#</w:t>
            </w:r>
          </w:p>
        </w:tc>
        <w:tc>
          <w:tcPr>
            <w:tcW w:w="1530" w:type="dxa"/>
          </w:tcPr>
          <w:p w:rsidR="003F5784" w14:paraId="7FBA9C9B" w14:textId="77777777">
            <w:pPr>
              <w:pStyle w:val="TableParagraph"/>
              <w:ind w:right="808"/>
              <w:rPr>
                <w:sz w:val="21"/>
              </w:rPr>
            </w:pPr>
            <w:r>
              <w:rPr>
                <w:spacing w:val="-5"/>
                <w:sz w:val="21"/>
              </w:rPr>
              <w:t>100</w:t>
            </w:r>
          </w:p>
        </w:tc>
        <w:tc>
          <w:tcPr>
            <w:tcW w:w="1980" w:type="dxa"/>
          </w:tcPr>
          <w:p w:rsidR="003F5784" w14:paraId="3516F100" w14:textId="77777777">
            <w:pPr>
              <w:pStyle w:val="TableParagraph"/>
              <w:ind w:right="729"/>
              <w:rPr>
                <w:sz w:val="21"/>
              </w:rPr>
            </w:pPr>
            <w:r>
              <w:rPr>
                <w:spacing w:val="-5"/>
                <w:sz w:val="21"/>
              </w:rPr>
              <w:t>100</w:t>
            </w:r>
          </w:p>
        </w:tc>
        <w:tc>
          <w:tcPr>
            <w:tcW w:w="1350" w:type="dxa"/>
          </w:tcPr>
          <w:p w:rsidR="003F5784" w14:paraId="4C286F3B" w14:textId="77777777">
            <w:pPr>
              <w:pStyle w:val="TableParagraph"/>
              <w:ind w:right="123"/>
              <w:rPr>
                <w:sz w:val="21"/>
              </w:rPr>
            </w:pPr>
            <w:r>
              <w:rPr>
                <w:spacing w:val="-10"/>
                <w:sz w:val="21"/>
              </w:rPr>
              <w:t>#</w:t>
            </w:r>
          </w:p>
        </w:tc>
      </w:tr>
      <w:tr w14:paraId="768EA8E6"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21B15A70" w14:textId="77777777">
            <w:pPr>
              <w:pStyle w:val="TableParagraph"/>
              <w:ind w:left="117"/>
              <w:jc w:val="left"/>
              <w:rPr>
                <w:sz w:val="21"/>
              </w:rPr>
            </w:pPr>
            <w:r>
              <w:rPr>
                <w:spacing w:val="-2"/>
                <w:sz w:val="21"/>
              </w:rPr>
              <w:t>Montana</w:t>
            </w:r>
          </w:p>
        </w:tc>
        <w:tc>
          <w:tcPr>
            <w:tcW w:w="1539" w:type="dxa"/>
          </w:tcPr>
          <w:p w:rsidR="003F5784" w14:paraId="2BE74C83" w14:textId="77777777">
            <w:pPr>
              <w:pStyle w:val="TableParagraph"/>
              <w:ind w:right="807"/>
              <w:rPr>
                <w:sz w:val="21"/>
              </w:rPr>
            </w:pPr>
            <w:r>
              <w:rPr>
                <w:spacing w:val="-5"/>
                <w:sz w:val="21"/>
              </w:rPr>
              <w:t>130</w:t>
            </w:r>
          </w:p>
        </w:tc>
        <w:tc>
          <w:tcPr>
            <w:tcW w:w="2070" w:type="dxa"/>
          </w:tcPr>
          <w:p w:rsidR="003F5784" w14:paraId="636EFE8D" w14:textId="77777777">
            <w:pPr>
              <w:pStyle w:val="TableParagraph"/>
              <w:ind w:right="727"/>
              <w:rPr>
                <w:sz w:val="21"/>
              </w:rPr>
            </w:pPr>
            <w:r>
              <w:rPr>
                <w:spacing w:val="-5"/>
                <w:sz w:val="21"/>
              </w:rPr>
              <w:t>130</w:t>
            </w:r>
          </w:p>
        </w:tc>
        <w:tc>
          <w:tcPr>
            <w:tcW w:w="1530" w:type="dxa"/>
          </w:tcPr>
          <w:p w:rsidR="003F5784" w14:paraId="34285392" w14:textId="77777777">
            <w:pPr>
              <w:pStyle w:val="TableParagraph"/>
              <w:ind w:left="99"/>
              <w:jc w:val="center"/>
              <w:rPr>
                <w:sz w:val="21"/>
              </w:rPr>
            </w:pPr>
            <w:r>
              <w:rPr>
                <w:spacing w:val="-10"/>
                <w:sz w:val="21"/>
              </w:rPr>
              <w:t>#</w:t>
            </w:r>
          </w:p>
        </w:tc>
        <w:tc>
          <w:tcPr>
            <w:tcW w:w="1530" w:type="dxa"/>
          </w:tcPr>
          <w:p w:rsidR="003F5784" w14:paraId="0A1AD48B" w14:textId="77777777">
            <w:pPr>
              <w:pStyle w:val="TableParagraph"/>
              <w:ind w:right="808"/>
              <w:rPr>
                <w:sz w:val="21"/>
              </w:rPr>
            </w:pPr>
            <w:r>
              <w:rPr>
                <w:spacing w:val="-5"/>
                <w:sz w:val="21"/>
              </w:rPr>
              <w:t>100</w:t>
            </w:r>
          </w:p>
        </w:tc>
        <w:tc>
          <w:tcPr>
            <w:tcW w:w="1980" w:type="dxa"/>
          </w:tcPr>
          <w:p w:rsidR="003F5784" w14:paraId="42589D6E" w14:textId="77777777">
            <w:pPr>
              <w:pStyle w:val="TableParagraph"/>
              <w:ind w:right="729"/>
              <w:rPr>
                <w:sz w:val="21"/>
              </w:rPr>
            </w:pPr>
            <w:r>
              <w:rPr>
                <w:spacing w:val="-5"/>
                <w:sz w:val="21"/>
              </w:rPr>
              <w:t>100</w:t>
            </w:r>
          </w:p>
        </w:tc>
        <w:tc>
          <w:tcPr>
            <w:tcW w:w="1350" w:type="dxa"/>
          </w:tcPr>
          <w:p w:rsidR="003F5784" w14:paraId="5C9C62FF" w14:textId="77777777">
            <w:pPr>
              <w:pStyle w:val="TableParagraph"/>
              <w:ind w:right="123"/>
              <w:rPr>
                <w:sz w:val="21"/>
              </w:rPr>
            </w:pPr>
            <w:r>
              <w:rPr>
                <w:spacing w:val="-10"/>
                <w:sz w:val="21"/>
              </w:rPr>
              <w:t>#</w:t>
            </w:r>
          </w:p>
        </w:tc>
      </w:tr>
      <w:tr w14:paraId="637AD18D"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59F27EB5" w14:textId="77777777">
            <w:pPr>
              <w:pStyle w:val="TableParagraph"/>
              <w:ind w:left="117"/>
              <w:jc w:val="left"/>
              <w:rPr>
                <w:sz w:val="21"/>
              </w:rPr>
            </w:pPr>
            <w:r>
              <w:rPr>
                <w:spacing w:val="-2"/>
                <w:sz w:val="21"/>
              </w:rPr>
              <w:t>Nebraska</w:t>
            </w:r>
          </w:p>
        </w:tc>
        <w:tc>
          <w:tcPr>
            <w:tcW w:w="1539" w:type="dxa"/>
          </w:tcPr>
          <w:p w:rsidR="003F5784" w14:paraId="46F3C909" w14:textId="77777777">
            <w:pPr>
              <w:pStyle w:val="TableParagraph"/>
              <w:ind w:right="807"/>
              <w:rPr>
                <w:sz w:val="21"/>
              </w:rPr>
            </w:pPr>
            <w:r>
              <w:rPr>
                <w:spacing w:val="-5"/>
                <w:sz w:val="21"/>
              </w:rPr>
              <w:t>100</w:t>
            </w:r>
          </w:p>
        </w:tc>
        <w:tc>
          <w:tcPr>
            <w:tcW w:w="2070" w:type="dxa"/>
          </w:tcPr>
          <w:p w:rsidR="003F5784" w14:paraId="11742B99" w14:textId="77777777">
            <w:pPr>
              <w:pStyle w:val="TableParagraph"/>
              <w:ind w:right="727"/>
              <w:rPr>
                <w:sz w:val="21"/>
              </w:rPr>
            </w:pPr>
            <w:r>
              <w:rPr>
                <w:spacing w:val="-5"/>
                <w:sz w:val="21"/>
              </w:rPr>
              <w:t>100</w:t>
            </w:r>
          </w:p>
        </w:tc>
        <w:tc>
          <w:tcPr>
            <w:tcW w:w="1530" w:type="dxa"/>
          </w:tcPr>
          <w:p w:rsidR="003F5784" w14:paraId="30B95171" w14:textId="77777777">
            <w:pPr>
              <w:pStyle w:val="TableParagraph"/>
              <w:ind w:left="99"/>
              <w:jc w:val="center"/>
              <w:rPr>
                <w:sz w:val="21"/>
              </w:rPr>
            </w:pPr>
            <w:r>
              <w:rPr>
                <w:spacing w:val="-10"/>
                <w:sz w:val="21"/>
              </w:rPr>
              <w:t>#</w:t>
            </w:r>
          </w:p>
        </w:tc>
        <w:tc>
          <w:tcPr>
            <w:tcW w:w="1530" w:type="dxa"/>
          </w:tcPr>
          <w:p w:rsidR="003F5784" w14:paraId="5076331E" w14:textId="77777777">
            <w:pPr>
              <w:pStyle w:val="TableParagraph"/>
              <w:ind w:right="808"/>
              <w:rPr>
                <w:sz w:val="21"/>
              </w:rPr>
            </w:pPr>
            <w:r>
              <w:rPr>
                <w:spacing w:val="-5"/>
                <w:sz w:val="21"/>
              </w:rPr>
              <w:t>100</w:t>
            </w:r>
          </w:p>
        </w:tc>
        <w:tc>
          <w:tcPr>
            <w:tcW w:w="1980" w:type="dxa"/>
          </w:tcPr>
          <w:p w:rsidR="003F5784" w14:paraId="6193E249" w14:textId="77777777">
            <w:pPr>
              <w:pStyle w:val="TableParagraph"/>
              <w:ind w:right="729"/>
              <w:rPr>
                <w:sz w:val="21"/>
              </w:rPr>
            </w:pPr>
            <w:r>
              <w:rPr>
                <w:spacing w:val="-5"/>
                <w:sz w:val="21"/>
              </w:rPr>
              <w:t>100</w:t>
            </w:r>
          </w:p>
        </w:tc>
        <w:tc>
          <w:tcPr>
            <w:tcW w:w="1350" w:type="dxa"/>
          </w:tcPr>
          <w:p w:rsidR="003F5784" w14:paraId="015CE2F0" w14:textId="77777777">
            <w:pPr>
              <w:pStyle w:val="TableParagraph"/>
              <w:ind w:right="123"/>
              <w:rPr>
                <w:sz w:val="21"/>
              </w:rPr>
            </w:pPr>
            <w:r>
              <w:rPr>
                <w:spacing w:val="-10"/>
                <w:sz w:val="21"/>
              </w:rPr>
              <w:t>#</w:t>
            </w:r>
          </w:p>
        </w:tc>
      </w:tr>
      <w:tr w14:paraId="7CC99040"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79C5E92F" w14:textId="77777777">
            <w:pPr>
              <w:pStyle w:val="TableParagraph"/>
              <w:ind w:left="117"/>
              <w:jc w:val="left"/>
              <w:rPr>
                <w:sz w:val="21"/>
              </w:rPr>
            </w:pPr>
            <w:r>
              <w:rPr>
                <w:spacing w:val="-2"/>
                <w:sz w:val="21"/>
              </w:rPr>
              <w:t>Nevada–Clark</w:t>
            </w:r>
            <w:r>
              <w:rPr>
                <w:spacing w:val="10"/>
                <w:sz w:val="21"/>
              </w:rPr>
              <w:t xml:space="preserve"> </w:t>
            </w:r>
            <w:r>
              <w:rPr>
                <w:spacing w:val="-2"/>
                <w:sz w:val="21"/>
              </w:rPr>
              <w:t>County</w:t>
            </w:r>
          </w:p>
        </w:tc>
        <w:tc>
          <w:tcPr>
            <w:tcW w:w="1539" w:type="dxa"/>
          </w:tcPr>
          <w:p w:rsidR="003F5784" w14:paraId="388FA902" w14:textId="77777777">
            <w:pPr>
              <w:pStyle w:val="TableParagraph"/>
              <w:ind w:right="807"/>
              <w:rPr>
                <w:sz w:val="21"/>
              </w:rPr>
            </w:pPr>
            <w:r>
              <w:rPr>
                <w:spacing w:val="-5"/>
                <w:sz w:val="21"/>
              </w:rPr>
              <w:t>60</w:t>
            </w:r>
          </w:p>
        </w:tc>
        <w:tc>
          <w:tcPr>
            <w:tcW w:w="2070" w:type="dxa"/>
          </w:tcPr>
          <w:p w:rsidR="003F5784" w14:paraId="7A539228" w14:textId="77777777">
            <w:pPr>
              <w:pStyle w:val="TableParagraph"/>
              <w:ind w:right="727"/>
              <w:rPr>
                <w:sz w:val="21"/>
              </w:rPr>
            </w:pPr>
            <w:r>
              <w:rPr>
                <w:spacing w:val="-5"/>
                <w:sz w:val="21"/>
              </w:rPr>
              <w:t>60</w:t>
            </w:r>
          </w:p>
        </w:tc>
        <w:tc>
          <w:tcPr>
            <w:tcW w:w="1530" w:type="dxa"/>
          </w:tcPr>
          <w:p w:rsidR="003F5784" w14:paraId="731AFFF7" w14:textId="77777777">
            <w:pPr>
              <w:pStyle w:val="TableParagraph"/>
              <w:ind w:left="99"/>
              <w:jc w:val="center"/>
              <w:rPr>
                <w:sz w:val="21"/>
              </w:rPr>
            </w:pPr>
            <w:r>
              <w:rPr>
                <w:spacing w:val="-10"/>
                <w:sz w:val="21"/>
              </w:rPr>
              <w:t>#</w:t>
            </w:r>
          </w:p>
        </w:tc>
        <w:tc>
          <w:tcPr>
            <w:tcW w:w="1530" w:type="dxa"/>
          </w:tcPr>
          <w:p w:rsidR="003F5784" w14:paraId="6DDA953F" w14:textId="77777777">
            <w:pPr>
              <w:pStyle w:val="TableParagraph"/>
              <w:ind w:right="808"/>
              <w:rPr>
                <w:sz w:val="21"/>
              </w:rPr>
            </w:pPr>
            <w:r>
              <w:rPr>
                <w:spacing w:val="-5"/>
                <w:sz w:val="21"/>
              </w:rPr>
              <w:t>50</w:t>
            </w:r>
          </w:p>
        </w:tc>
        <w:tc>
          <w:tcPr>
            <w:tcW w:w="1980" w:type="dxa"/>
          </w:tcPr>
          <w:p w:rsidR="003F5784" w14:paraId="759C8F17" w14:textId="77777777">
            <w:pPr>
              <w:pStyle w:val="TableParagraph"/>
              <w:ind w:right="729"/>
              <w:rPr>
                <w:sz w:val="21"/>
              </w:rPr>
            </w:pPr>
            <w:r>
              <w:rPr>
                <w:spacing w:val="-5"/>
                <w:sz w:val="21"/>
              </w:rPr>
              <w:t>50</w:t>
            </w:r>
          </w:p>
        </w:tc>
        <w:tc>
          <w:tcPr>
            <w:tcW w:w="1350" w:type="dxa"/>
          </w:tcPr>
          <w:p w:rsidR="003F5784" w14:paraId="122A5347" w14:textId="77777777">
            <w:pPr>
              <w:pStyle w:val="TableParagraph"/>
              <w:ind w:right="123"/>
              <w:rPr>
                <w:sz w:val="21"/>
              </w:rPr>
            </w:pPr>
            <w:r>
              <w:rPr>
                <w:spacing w:val="-10"/>
                <w:sz w:val="21"/>
              </w:rPr>
              <w:t>#</w:t>
            </w:r>
          </w:p>
        </w:tc>
      </w:tr>
      <w:tr w14:paraId="6E0F83DA"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5BAFCFB3" w14:textId="77777777">
            <w:pPr>
              <w:pStyle w:val="TableParagraph"/>
              <w:ind w:left="117"/>
              <w:jc w:val="left"/>
              <w:rPr>
                <w:sz w:val="21"/>
              </w:rPr>
            </w:pPr>
            <w:r>
              <w:rPr>
                <w:spacing w:val="-2"/>
                <w:sz w:val="21"/>
              </w:rPr>
              <w:t>Nevada–Balance</w:t>
            </w:r>
          </w:p>
        </w:tc>
        <w:tc>
          <w:tcPr>
            <w:tcW w:w="1539" w:type="dxa"/>
          </w:tcPr>
          <w:p w:rsidR="003F5784" w14:paraId="02BFE7F6" w14:textId="77777777">
            <w:pPr>
              <w:pStyle w:val="TableParagraph"/>
              <w:ind w:right="807"/>
              <w:rPr>
                <w:sz w:val="21"/>
              </w:rPr>
            </w:pPr>
            <w:r>
              <w:rPr>
                <w:spacing w:val="-5"/>
                <w:sz w:val="21"/>
              </w:rPr>
              <w:t>30</w:t>
            </w:r>
          </w:p>
        </w:tc>
        <w:tc>
          <w:tcPr>
            <w:tcW w:w="2070" w:type="dxa"/>
          </w:tcPr>
          <w:p w:rsidR="003F5784" w14:paraId="17328B5B" w14:textId="77777777">
            <w:pPr>
              <w:pStyle w:val="TableParagraph"/>
              <w:ind w:right="727"/>
              <w:rPr>
                <w:sz w:val="21"/>
              </w:rPr>
            </w:pPr>
            <w:r>
              <w:rPr>
                <w:spacing w:val="-5"/>
                <w:sz w:val="21"/>
              </w:rPr>
              <w:t>30</w:t>
            </w:r>
          </w:p>
        </w:tc>
        <w:tc>
          <w:tcPr>
            <w:tcW w:w="1530" w:type="dxa"/>
          </w:tcPr>
          <w:p w:rsidR="003F5784" w14:paraId="0918E460" w14:textId="77777777">
            <w:pPr>
              <w:pStyle w:val="TableParagraph"/>
              <w:ind w:left="99"/>
              <w:jc w:val="center"/>
              <w:rPr>
                <w:sz w:val="21"/>
              </w:rPr>
            </w:pPr>
            <w:r>
              <w:rPr>
                <w:spacing w:val="-10"/>
                <w:sz w:val="21"/>
              </w:rPr>
              <w:t>#</w:t>
            </w:r>
          </w:p>
        </w:tc>
        <w:tc>
          <w:tcPr>
            <w:tcW w:w="1530" w:type="dxa"/>
          </w:tcPr>
          <w:p w:rsidR="003F5784" w14:paraId="1AFDF7D7" w14:textId="77777777">
            <w:pPr>
              <w:pStyle w:val="TableParagraph"/>
              <w:ind w:right="808"/>
              <w:rPr>
                <w:sz w:val="21"/>
              </w:rPr>
            </w:pPr>
            <w:r>
              <w:rPr>
                <w:spacing w:val="-5"/>
                <w:sz w:val="21"/>
              </w:rPr>
              <w:t>30</w:t>
            </w:r>
          </w:p>
        </w:tc>
        <w:tc>
          <w:tcPr>
            <w:tcW w:w="1980" w:type="dxa"/>
          </w:tcPr>
          <w:p w:rsidR="003F5784" w14:paraId="1C19B917" w14:textId="77777777">
            <w:pPr>
              <w:pStyle w:val="TableParagraph"/>
              <w:ind w:right="729"/>
              <w:rPr>
                <w:sz w:val="21"/>
              </w:rPr>
            </w:pPr>
            <w:r>
              <w:rPr>
                <w:spacing w:val="-5"/>
                <w:sz w:val="21"/>
              </w:rPr>
              <w:t>30</w:t>
            </w:r>
          </w:p>
        </w:tc>
        <w:tc>
          <w:tcPr>
            <w:tcW w:w="1350" w:type="dxa"/>
          </w:tcPr>
          <w:p w:rsidR="003F5784" w14:paraId="21DE73DC" w14:textId="77777777">
            <w:pPr>
              <w:pStyle w:val="TableParagraph"/>
              <w:ind w:right="123"/>
              <w:rPr>
                <w:sz w:val="21"/>
              </w:rPr>
            </w:pPr>
            <w:r>
              <w:rPr>
                <w:spacing w:val="-10"/>
                <w:sz w:val="21"/>
              </w:rPr>
              <w:t>#</w:t>
            </w:r>
          </w:p>
        </w:tc>
      </w:tr>
      <w:tr w14:paraId="755FAD9E"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64424697" w14:textId="77777777">
            <w:pPr>
              <w:pStyle w:val="TableParagraph"/>
              <w:ind w:left="117"/>
              <w:jc w:val="left"/>
              <w:rPr>
                <w:sz w:val="21"/>
              </w:rPr>
            </w:pPr>
            <w:r>
              <w:rPr>
                <w:sz w:val="21"/>
              </w:rPr>
              <w:t>New</w:t>
            </w:r>
            <w:r>
              <w:rPr>
                <w:spacing w:val="-5"/>
                <w:sz w:val="21"/>
              </w:rPr>
              <w:t xml:space="preserve"> </w:t>
            </w:r>
            <w:r>
              <w:rPr>
                <w:spacing w:val="-2"/>
                <w:sz w:val="21"/>
              </w:rPr>
              <w:t>Hampshire</w:t>
            </w:r>
          </w:p>
        </w:tc>
        <w:tc>
          <w:tcPr>
            <w:tcW w:w="1539" w:type="dxa"/>
          </w:tcPr>
          <w:p w:rsidR="003F5784" w14:paraId="5D9B0D8F" w14:textId="77777777">
            <w:pPr>
              <w:pStyle w:val="TableParagraph"/>
              <w:ind w:right="807"/>
              <w:rPr>
                <w:sz w:val="21"/>
              </w:rPr>
            </w:pPr>
            <w:r>
              <w:rPr>
                <w:spacing w:val="-5"/>
                <w:sz w:val="21"/>
              </w:rPr>
              <w:t>100</w:t>
            </w:r>
          </w:p>
        </w:tc>
        <w:tc>
          <w:tcPr>
            <w:tcW w:w="2070" w:type="dxa"/>
          </w:tcPr>
          <w:p w:rsidR="003F5784" w14:paraId="206406B6" w14:textId="77777777">
            <w:pPr>
              <w:pStyle w:val="TableParagraph"/>
              <w:ind w:right="727"/>
              <w:rPr>
                <w:sz w:val="21"/>
              </w:rPr>
            </w:pPr>
            <w:r>
              <w:rPr>
                <w:spacing w:val="-5"/>
                <w:sz w:val="21"/>
              </w:rPr>
              <w:t>100</w:t>
            </w:r>
          </w:p>
        </w:tc>
        <w:tc>
          <w:tcPr>
            <w:tcW w:w="1530" w:type="dxa"/>
          </w:tcPr>
          <w:p w:rsidR="003F5784" w14:paraId="38622CD7" w14:textId="77777777">
            <w:pPr>
              <w:pStyle w:val="TableParagraph"/>
              <w:ind w:left="99"/>
              <w:jc w:val="center"/>
              <w:rPr>
                <w:sz w:val="21"/>
              </w:rPr>
            </w:pPr>
            <w:r>
              <w:rPr>
                <w:spacing w:val="-10"/>
                <w:sz w:val="21"/>
              </w:rPr>
              <w:t>#</w:t>
            </w:r>
          </w:p>
        </w:tc>
        <w:tc>
          <w:tcPr>
            <w:tcW w:w="1530" w:type="dxa"/>
          </w:tcPr>
          <w:p w:rsidR="003F5784" w14:paraId="295EFAD7" w14:textId="77777777">
            <w:pPr>
              <w:pStyle w:val="TableParagraph"/>
              <w:ind w:right="808"/>
              <w:rPr>
                <w:sz w:val="21"/>
              </w:rPr>
            </w:pPr>
            <w:r>
              <w:rPr>
                <w:spacing w:val="-5"/>
                <w:sz w:val="21"/>
              </w:rPr>
              <w:t>80</w:t>
            </w:r>
          </w:p>
        </w:tc>
        <w:tc>
          <w:tcPr>
            <w:tcW w:w="1980" w:type="dxa"/>
          </w:tcPr>
          <w:p w:rsidR="003F5784" w14:paraId="3BC9CF91" w14:textId="77777777">
            <w:pPr>
              <w:pStyle w:val="TableParagraph"/>
              <w:ind w:right="729"/>
              <w:rPr>
                <w:sz w:val="21"/>
              </w:rPr>
            </w:pPr>
            <w:r>
              <w:rPr>
                <w:spacing w:val="-5"/>
                <w:sz w:val="21"/>
              </w:rPr>
              <w:t>80</w:t>
            </w:r>
          </w:p>
        </w:tc>
        <w:tc>
          <w:tcPr>
            <w:tcW w:w="1350" w:type="dxa"/>
          </w:tcPr>
          <w:p w:rsidR="003F5784" w14:paraId="482CAFC3" w14:textId="77777777">
            <w:pPr>
              <w:pStyle w:val="TableParagraph"/>
              <w:ind w:right="123"/>
              <w:rPr>
                <w:sz w:val="21"/>
              </w:rPr>
            </w:pPr>
            <w:r>
              <w:rPr>
                <w:spacing w:val="-10"/>
                <w:sz w:val="21"/>
              </w:rPr>
              <w:t>#</w:t>
            </w:r>
          </w:p>
        </w:tc>
      </w:tr>
      <w:tr w14:paraId="03F6907B"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7294882C" w14:textId="77777777">
            <w:pPr>
              <w:pStyle w:val="TableParagraph"/>
              <w:ind w:left="117"/>
              <w:jc w:val="left"/>
              <w:rPr>
                <w:sz w:val="21"/>
              </w:rPr>
            </w:pPr>
            <w:r>
              <w:rPr>
                <w:sz w:val="21"/>
              </w:rPr>
              <w:t>New</w:t>
            </w:r>
            <w:r>
              <w:rPr>
                <w:spacing w:val="-5"/>
                <w:sz w:val="21"/>
              </w:rPr>
              <w:t xml:space="preserve"> </w:t>
            </w:r>
            <w:r>
              <w:rPr>
                <w:spacing w:val="-2"/>
                <w:sz w:val="21"/>
              </w:rPr>
              <w:t>Jersey</w:t>
            </w:r>
          </w:p>
        </w:tc>
        <w:tc>
          <w:tcPr>
            <w:tcW w:w="1539" w:type="dxa"/>
          </w:tcPr>
          <w:p w:rsidR="003F5784" w14:paraId="4738F0E7" w14:textId="77777777">
            <w:pPr>
              <w:pStyle w:val="TableParagraph"/>
              <w:ind w:right="807"/>
              <w:rPr>
                <w:sz w:val="21"/>
              </w:rPr>
            </w:pPr>
            <w:r>
              <w:rPr>
                <w:spacing w:val="-5"/>
                <w:sz w:val="21"/>
              </w:rPr>
              <w:t>90</w:t>
            </w:r>
          </w:p>
        </w:tc>
        <w:tc>
          <w:tcPr>
            <w:tcW w:w="2070" w:type="dxa"/>
          </w:tcPr>
          <w:p w:rsidR="003F5784" w14:paraId="6E7E9D90" w14:textId="77777777">
            <w:pPr>
              <w:pStyle w:val="TableParagraph"/>
              <w:ind w:right="727"/>
              <w:rPr>
                <w:sz w:val="21"/>
              </w:rPr>
            </w:pPr>
            <w:r>
              <w:rPr>
                <w:spacing w:val="-5"/>
                <w:sz w:val="21"/>
              </w:rPr>
              <w:t>90</w:t>
            </w:r>
          </w:p>
        </w:tc>
        <w:tc>
          <w:tcPr>
            <w:tcW w:w="1530" w:type="dxa"/>
          </w:tcPr>
          <w:p w:rsidR="003F5784" w14:paraId="0A6FA0BE" w14:textId="77777777">
            <w:pPr>
              <w:pStyle w:val="TableParagraph"/>
              <w:ind w:left="99"/>
              <w:jc w:val="center"/>
              <w:rPr>
                <w:sz w:val="21"/>
              </w:rPr>
            </w:pPr>
            <w:r>
              <w:rPr>
                <w:spacing w:val="-10"/>
                <w:sz w:val="21"/>
              </w:rPr>
              <w:t>#</w:t>
            </w:r>
          </w:p>
        </w:tc>
        <w:tc>
          <w:tcPr>
            <w:tcW w:w="1530" w:type="dxa"/>
          </w:tcPr>
          <w:p w:rsidR="003F5784" w14:paraId="77763D36" w14:textId="77777777">
            <w:pPr>
              <w:pStyle w:val="TableParagraph"/>
              <w:ind w:right="808"/>
              <w:rPr>
                <w:sz w:val="21"/>
              </w:rPr>
            </w:pPr>
            <w:r>
              <w:rPr>
                <w:spacing w:val="-5"/>
                <w:sz w:val="21"/>
              </w:rPr>
              <w:t>90</w:t>
            </w:r>
          </w:p>
        </w:tc>
        <w:tc>
          <w:tcPr>
            <w:tcW w:w="1980" w:type="dxa"/>
          </w:tcPr>
          <w:p w:rsidR="003F5784" w14:paraId="0E17368F" w14:textId="77777777">
            <w:pPr>
              <w:pStyle w:val="TableParagraph"/>
              <w:ind w:right="729"/>
              <w:rPr>
                <w:sz w:val="21"/>
              </w:rPr>
            </w:pPr>
            <w:r>
              <w:rPr>
                <w:spacing w:val="-5"/>
                <w:sz w:val="21"/>
              </w:rPr>
              <w:t>90</w:t>
            </w:r>
          </w:p>
        </w:tc>
        <w:tc>
          <w:tcPr>
            <w:tcW w:w="1350" w:type="dxa"/>
          </w:tcPr>
          <w:p w:rsidR="003F5784" w14:paraId="2B94BBD4" w14:textId="77777777">
            <w:pPr>
              <w:pStyle w:val="TableParagraph"/>
              <w:ind w:right="123"/>
              <w:rPr>
                <w:sz w:val="21"/>
              </w:rPr>
            </w:pPr>
            <w:r>
              <w:rPr>
                <w:spacing w:val="-10"/>
                <w:sz w:val="21"/>
              </w:rPr>
              <w:t>#</w:t>
            </w:r>
          </w:p>
        </w:tc>
      </w:tr>
      <w:tr w14:paraId="1EA12E28"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251177B5" w14:textId="77777777">
            <w:pPr>
              <w:pStyle w:val="TableParagraph"/>
              <w:ind w:left="117"/>
              <w:jc w:val="left"/>
              <w:rPr>
                <w:sz w:val="21"/>
              </w:rPr>
            </w:pPr>
            <w:r>
              <w:rPr>
                <w:sz w:val="21"/>
              </w:rPr>
              <w:t>New</w:t>
            </w:r>
            <w:r>
              <w:rPr>
                <w:spacing w:val="-5"/>
                <w:sz w:val="21"/>
              </w:rPr>
              <w:t xml:space="preserve"> </w:t>
            </w:r>
            <w:r>
              <w:rPr>
                <w:spacing w:val="-2"/>
                <w:sz w:val="21"/>
              </w:rPr>
              <w:t>Mexico–Albuquerque</w:t>
            </w:r>
          </w:p>
        </w:tc>
        <w:tc>
          <w:tcPr>
            <w:tcW w:w="1539" w:type="dxa"/>
          </w:tcPr>
          <w:p w:rsidR="003F5784" w14:paraId="2A2A16FF" w14:textId="77777777">
            <w:pPr>
              <w:pStyle w:val="TableParagraph"/>
              <w:ind w:right="807"/>
              <w:rPr>
                <w:sz w:val="21"/>
              </w:rPr>
            </w:pPr>
            <w:r>
              <w:rPr>
                <w:spacing w:val="-5"/>
                <w:sz w:val="21"/>
              </w:rPr>
              <w:t>40</w:t>
            </w:r>
          </w:p>
        </w:tc>
        <w:tc>
          <w:tcPr>
            <w:tcW w:w="2070" w:type="dxa"/>
          </w:tcPr>
          <w:p w:rsidR="003F5784" w14:paraId="2BC10FFA" w14:textId="77777777">
            <w:pPr>
              <w:pStyle w:val="TableParagraph"/>
              <w:ind w:right="727"/>
              <w:rPr>
                <w:sz w:val="21"/>
              </w:rPr>
            </w:pPr>
            <w:r>
              <w:rPr>
                <w:spacing w:val="-5"/>
                <w:sz w:val="21"/>
              </w:rPr>
              <w:t>40</w:t>
            </w:r>
          </w:p>
        </w:tc>
        <w:tc>
          <w:tcPr>
            <w:tcW w:w="1530" w:type="dxa"/>
          </w:tcPr>
          <w:p w:rsidR="003F5784" w14:paraId="288EAD68" w14:textId="77777777">
            <w:pPr>
              <w:pStyle w:val="TableParagraph"/>
              <w:ind w:left="99"/>
              <w:jc w:val="center"/>
              <w:rPr>
                <w:sz w:val="21"/>
              </w:rPr>
            </w:pPr>
            <w:r>
              <w:rPr>
                <w:spacing w:val="-10"/>
                <w:sz w:val="21"/>
              </w:rPr>
              <w:t>#</w:t>
            </w:r>
          </w:p>
        </w:tc>
        <w:tc>
          <w:tcPr>
            <w:tcW w:w="1530" w:type="dxa"/>
          </w:tcPr>
          <w:p w:rsidR="003F5784" w14:paraId="049F427B" w14:textId="77777777">
            <w:pPr>
              <w:pStyle w:val="TableParagraph"/>
              <w:ind w:right="808"/>
              <w:rPr>
                <w:sz w:val="21"/>
              </w:rPr>
            </w:pPr>
            <w:r>
              <w:rPr>
                <w:spacing w:val="-5"/>
                <w:sz w:val="21"/>
              </w:rPr>
              <w:t>40</w:t>
            </w:r>
          </w:p>
        </w:tc>
        <w:tc>
          <w:tcPr>
            <w:tcW w:w="1980" w:type="dxa"/>
          </w:tcPr>
          <w:p w:rsidR="003F5784" w14:paraId="6CC61809" w14:textId="77777777">
            <w:pPr>
              <w:pStyle w:val="TableParagraph"/>
              <w:ind w:right="729"/>
              <w:rPr>
                <w:sz w:val="21"/>
              </w:rPr>
            </w:pPr>
            <w:r>
              <w:rPr>
                <w:spacing w:val="-5"/>
                <w:sz w:val="21"/>
              </w:rPr>
              <w:t>30</w:t>
            </w:r>
          </w:p>
        </w:tc>
        <w:tc>
          <w:tcPr>
            <w:tcW w:w="1350" w:type="dxa"/>
          </w:tcPr>
          <w:p w:rsidR="003F5784" w14:paraId="069509AF" w14:textId="77777777">
            <w:pPr>
              <w:pStyle w:val="TableParagraph"/>
              <w:ind w:right="123"/>
              <w:rPr>
                <w:sz w:val="21"/>
              </w:rPr>
            </w:pPr>
            <w:r>
              <w:rPr>
                <w:spacing w:val="-10"/>
                <w:sz w:val="21"/>
              </w:rPr>
              <w:t>#</w:t>
            </w:r>
          </w:p>
        </w:tc>
      </w:tr>
      <w:tr w14:paraId="3A4C891D"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2874751F" w14:textId="77777777">
            <w:pPr>
              <w:pStyle w:val="TableParagraph"/>
              <w:ind w:left="117"/>
              <w:jc w:val="left"/>
              <w:rPr>
                <w:sz w:val="21"/>
              </w:rPr>
            </w:pPr>
            <w:r>
              <w:rPr>
                <w:sz w:val="21"/>
              </w:rPr>
              <w:t>New</w:t>
            </w:r>
            <w:r>
              <w:rPr>
                <w:spacing w:val="-5"/>
                <w:sz w:val="21"/>
              </w:rPr>
              <w:t xml:space="preserve"> </w:t>
            </w:r>
            <w:r>
              <w:rPr>
                <w:spacing w:val="-2"/>
                <w:sz w:val="21"/>
              </w:rPr>
              <w:t>Mexico–Balance</w:t>
            </w:r>
          </w:p>
        </w:tc>
        <w:tc>
          <w:tcPr>
            <w:tcW w:w="1539" w:type="dxa"/>
          </w:tcPr>
          <w:p w:rsidR="003F5784" w14:paraId="16BDEFC5" w14:textId="77777777">
            <w:pPr>
              <w:pStyle w:val="TableParagraph"/>
              <w:ind w:right="807"/>
              <w:rPr>
                <w:sz w:val="21"/>
              </w:rPr>
            </w:pPr>
            <w:r>
              <w:rPr>
                <w:spacing w:val="-5"/>
                <w:sz w:val="21"/>
              </w:rPr>
              <w:t>70</w:t>
            </w:r>
          </w:p>
        </w:tc>
        <w:tc>
          <w:tcPr>
            <w:tcW w:w="2070" w:type="dxa"/>
          </w:tcPr>
          <w:p w:rsidR="003F5784" w14:paraId="0FA41350" w14:textId="77777777">
            <w:pPr>
              <w:pStyle w:val="TableParagraph"/>
              <w:ind w:right="727"/>
              <w:rPr>
                <w:sz w:val="21"/>
              </w:rPr>
            </w:pPr>
            <w:r>
              <w:rPr>
                <w:spacing w:val="-5"/>
                <w:sz w:val="21"/>
              </w:rPr>
              <w:t>70</w:t>
            </w:r>
          </w:p>
        </w:tc>
        <w:tc>
          <w:tcPr>
            <w:tcW w:w="1530" w:type="dxa"/>
          </w:tcPr>
          <w:p w:rsidR="003F5784" w14:paraId="2485A720" w14:textId="77777777">
            <w:pPr>
              <w:pStyle w:val="TableParagraph"/>
              <w:ind w:left="99"/>
              <w:jc w:val="center"/>
              <w:rPr>
                <w:sz w:val="21"/>
              </w:rPr>
            </w:pPr>
            <w:r>
              <w:rPr>
                <w:spacing w:val="-10"/>
                <w:sz w:val="21"/>
              </w:rPr>
              <w:t>#</w:t>
            </w:r>
          </w:p>
        </w:tc>
        <w:tc>
          <w:tcPr>
            <w:tcW w:w="1530" w:type="dxa"/>
          </w:tcPr>
          <w:p w:rsidR="003F5784" w14:paraId="36693FE8" w14:textId="77777777">
            <w:pPr>
              <w:pStyle w:val="TableParagraph"/>
              <w:ind w:right="808"/>
              <w:rPr>
                <w:sz w:val="21"/>
              </w:rPr>
            </w:pPr>
            <w:r>
              <w:rPr>
                <w:spacing w:val="-5"/>
                <w:sz w:val="21"/>
              </w:rPr>
              <w:t>70</w:t>
            </w:r>
          </w:p>
        </w:tc>
        <w:tc>
          <w:tcPr>
            <w:tcW w:w="1980" w:type="dxa"/>
          </w:tcPr>
          <w:p w:rsidR="003F5784" w14:paraId="7EC5737B" w14:textId="77777777">
            <w:pPr>
              <w:pStyle w:val="TableParagraph"/>
              <w:ind w:right="729"/>
              <w:rPr>
                <w:sz w:val="21"/>
              </w:rPr>
            </w:pPr>
            <w:r>
              <w:rPr>
                <w:spacing w:val="-5"/>
                <w:sz w:val="21"/>
              </w:rPr>
              <w:t>70</w:t>
            </w:r>
          </w:p>
        </w:tc>
        <w:tc>
          <w:tcPr>
            <w:tcW w:w="1350" w:type="dxa"/>
          </w:tcPr>
          <w:p w:rsidR="003F5784" w14:paraId="77EC2B78" w14:textId="77777777">
            <w:pPr>
              <w:pStyle w:val="TableParagraph"/>
              <w:ind w:right="123"/>
              <w:rPr>
                <w:sz w:val="21"/>
              </w:rPr>
            </w:pPr>
            <w:r>
              <w:rPr>
                <w:spacing w:val="-10"/>
                <w:sz w:val="21"/>
              </w:rPr>
              <w:t>#</w:t>
            </w:r>
          </w:p>
        </w:tc>
      </w:tr>
      <w:tr w14:paraId="1BCCEABA"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2534F461" w14:textId="77777777">
            <w:pPr>
              <w:pStyle w:val="TableParagraph"/>
              <w:ind w:left="117"/>
              <w:jc w:val="left"/>
              <w:rPr>
                <w:sz w:val="21"/>
              </w:rPr>
            </w:pPr>
            <w:r>
              <w:rPr>
                <w:spacing w:val="-4"/>
                <w:sz w:val="21"/>
              </w:rPr>
              <w:t>New</w:t>
            </w:r>
            <w:r>
              <w:rPr>
                <w:spacing w:val="-9"/>
                <w:sz w:val="21"/>
              </w:rPr>
              <w:t xml:space="preserve"> </w:t>
            </w:r>
            <w:r>
              <w:rPr>
                <w:spacing w:val="-4"/>
                <w:sz w:val="21"/>
              </w:rPr>
              <w:t>York–New</w:t>
            </w:r>
            <w:r>
              <w:rPr>
                <w:spacing w:val="-9"/>
                <w:sz w:val="21"/>
              </w:rPr>
              <w:t xml:space="preserve"> </w:t>
            </w:r>
            <w:r>
              <w:rPr>
                <w:spacing w:val="-4"/>
                <w:sz w:val="21"/>
              </w:rPr>
              <w:t>York</w:t>
            </w:r>
            <w:r>
              <w:rPr>
                <w:spacing w:val="-1"/>
                <w:sz w:val="21"/>
              </w:rPr>
              <w:t xml:space="preserve"> </w:t>
            </w:r>
            <w:r>
              <w:rPr>
                <w:spacing w:val="-4"/>
                <w:sz w:val="21"/>
              </w:rPr>
              <w:t>City</w:t>
            </w:r>
          </w:p>
        </w:tc>
        <w:tc>
          <w:tcPr>
            <w:tcW w:w="1539" w:type="dxa"/>
          </w:tcPr>
          <w:p w:rsidR="003F5784" w14:paraId="7B8FF4B7" w14:textId="77777777">
            <w:pPr>
              <w:pStyle w:val="TableParagraph"/>
              <w:ind w:right="807"/>
              <w:rPr>
                <w:sz w:val="21"/>
              </w:rPr>
            </w:pPr>
            <w:r>
              <w:rPr>
                <w:spacing w:val="-5"/>
                <w:sz w:val="21"/>
              </w:rPr>
              <w:t>70</w:t>
            </w:r>
          </w:p>
        </w:tc>
        <w:tc>
          <w:tcPr>
            <w:tcW w:w="2070" w:type="dxa"/>
          </w:tcPr>
          <w:p w:rsidR="003F5784" w14:paraId="5CAC1B9F" w14:textId="77777777">
            <w:pPr>
              <w:pStyle w:val="TableParagraph"/>
              <w:ind w:right="727"/>
              <w:rPr>
                <w:sz w:val="21"/>
              </w:rPr>
            </w:pPr>
            <w:r>
              <w:rPr>
                <w:spacing w:val="-5"/>
                <w:sz w:val="21"/>
              </w:rPr>
              <w:t>70</w:t>
            </w:r>
          </w:p>
        </w:tc>
        <w:tc>
          <w:tcPr>
            <w:tcW w:w="1530" w:type="dxa"/>
          </w:tcPr>
          <w:p w:rsidR="003F5784" w14:paraId="51AC8870" w14:textId="77777777">
            <w:pPr>
              <w:pStyle w:val="TableParagraph"/>
              <w:ind w:left="99"/>
              <w:jc w:val="center"/>
              <w:rPr>
                <w:sz w:val="21"/>
              </w:rPr>
            </w:pPr>
            <w:r>
              <w:rPr>
                <w:spacing w:val="-10"/>
                <w:sz w:val="21"/>
              </w:rPr>
              <w:t>#</w:t>
            </w:r>
          </w:p>
        </w:tc>
        <w:tc>
          <w:tcPr>
            <w:tcW w:w="1530" w:type="dxa"/>
          </w:tcPr>
          <w:p w:rsidR="003F5784" w14:paraId="62FB1D2F" w14:textId="77777777">
            <w:pPr>
              <w:pStyle w:val="TableParagraph"/>
              <w:ind w:right="808"/>
              <w:rPr>
                <w:sz w:val="21"/>
              </w:rPr>
            </w:pPr>
            <w:r>
              <w:rPr>
                <w:spacing w:val="-5"/>
                <w:sz w:val="21"/>
              </w:rPr>
              <w:t>70</w:t>
            </w:r>
          </w:p>
        </w:tc>
        <w:tc>
          <w:tcPr>
            <w:tcW w:w="1980" w:type="dxa"/>
          </w:tcPr>
          <w:p w:rsidR="003F5784" w14:paraId="569B6E83" w14:textId="77777777">
            <w:pPr>
              <w:pStyle w:val="TableParagraph"/>
              <w:ind w:right="729"/>
              <w:rPr>
                <w:sz w:val="21"/>
              </w:rPr>
            </w:pPr>
            <w:r>
              <w:rPr>
                <w:spacing w:val="-5"/>
                <w:sz w:val="21"/>
              </w:rPr>
              <w:t>70</w:t>
            </w:r>
          </w:p>
        </w:tc>
        <w:tc>
          <w:tcPr>
            <w:tcW w:w="1350" w:type="dxa"/>
          </w:tcPr>
          <w:p w:rsidR="003F5784" w14:paraId="23EB7AA6" w14:textId="77777777">
            <w:pPr>
              <w:pStyle w:val="TableParagraph"/>
              <w:ind w:right="123"/>
              <w:rPr>
                <w:sz w:val="21"/>
              </w:rPr>
            </w:pPr>
            <w:r>
              <w:rPr>
                <w:spacing w:val="-10"/>
                <w:sz w:val="21"/>
              </w:rPr>
              <w:t>#</w:t>
            </w:r>
          </w:p>
        </w:tc>
      </w:tr>
      <w:tr w14:paraId="2E4345DD"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1F55B2CB" w14:textId="77777777">
            <w:pPr>
              <w:pStyle w:val="TableParagraph"/>
              <w:ind w:left="117"/>
              <w:jc w:val="left"/>
              <w:rPr>
                <w:sz w:val="21"/>
              </w:rPr>
            </w:pPr>
            <w:r>
              <w:rPr>
                <w:sz w:val="21"/>
              </w:rPr>
              <w:t>New</w:t>
            </w:r>
            <w:r>
              <w:rPr>
                <w:spacing w:val="-13"/>
                <w:sz w:val="21"/>
              </w:rPr>
              <w:t xml:space="preserve"> </w:t>
            </w:r>
            <w:r>
              <w:rPr>
                <w:spacing w:val="-2"/>
                <w:sz w:val="21"/>
              </w:rPr>
              <w:t>York–Balance</w:t>
            </w:r>
          </w:p>
        </w:tc>
        <w:tc>
          <w:tcPr>
            <w:tcW w:w="1539" w:type="dxa"/>
          </w:tcPr>
          <w:p w:rsidR="003F5784" w14:paraId="35B8EBB1" w14:textId="77777777">
            <w:pPr>
              <w:pStyle w:val="TableParagraph"/>
              <w:ind w:right="807"/>
              <w:rPr>
                <w:sz w:val="21"/>
              </w:rPr>
            </w:pPr>
            <w:r>
              <w:rPr>
                <w:spacing w:val="-5"/>
                <w:sz w:val="21"/>
              </w:rPr>
              <w:t>60</w:t>
            </w:r>
          </w:p>
        </w:tc>
        <w:tc>
          <w:tcPr>
            <w:tcW w:w="2070" w:type="dxa"/>
          </w:tcPr>
          <w:p w:rsidR="003F5784" w14:paraId="1236A5E4" w14:textId="77777777">
            <w:pPr>
              <w:pStyle w:val="TableParagraph"/>
              <w:ind w:right="727"/>
              <w:rPr>
                <w:sz w:val="21"/>
              </w:rPr>
            </w:pPr>
            <w:r>
              <w:rPr>
                <w:spacing w:val="-5"/>
                <w:sz w:val="21"/>
              </w:rPr>
              <w:t>60</w:t>
            </w:r>
          </w:p>
        </w:tc>
        <w:tc>
          <w:tcPr>
            <w:tcW w:w="1530" w:type="dxa"/>
          </w:tcPr>
          <w:p w:rsidR="003F5784" w14:paraId="5586E555" w14:textId="77777777">
            <w:pPr>
              <w:pStyle w:val="TableParagraph"/>
              <w:ind w:left="99"/>
              <w:jc w:val="center"/>
              <w:rPr>
                <w:sz w:val="21"/>
              </w:rPr>
            </w:pPr>
            <w:r>
              <w:rPr>
                <w:spacing w:val="-10"/>
                <w:sz w:val="21"/>
              </w:rPr>
              <w:t>#</w:t>
            </w:r>
          </w:p>
        </w:tc>
        <w:tc>
          <w:tcPr>
            <w:tcW w:w="1530" w:type="dxa"/>
          </w:tcPr>
          <w:p w:rsidR="003F5784" w14:paraId="3318CEFD" w14:textId="77777777">
            <w:pPr>
              <w:pStyle w:val="TableParagraph"/>
              <w:ind w:right="808"/>
              <w:rPr>
                <w:sz w:val="21"/>
              </w:rPr>
            </w:pPr>
            <w:r>
              <w:rPr>
                <w:spacing w:val="-5"/>
                <w:sz w:val="21"/>
              </w:rPr>
              <w:t>60</w:t>
            </w:r>
          </w:p>
        </w:tc>
        <w:tc>
          <w:tcPr>
            <w:tcW w:w="1980" w:type="dxa"/>
          </w:tcPr>
          <w:p w:rsidR="003F5784" w14:paraId="59C982F8" w14:textId="77777777">
            <w:pPr>
              <w:pStyle w:val="TableParagraph"/>
              <w:ind w:right="729"/>
              <w:rPr>
                <w:sz w:val="21"/>
              </w:rPr>
            </w:pPr>
            <w:r>
              <w:rPr>
                <w:spacing w:val="-5"/>
                <w:sz w:val="21"/>
              </w:rPr>
              <w:t>60</w:t>
            </w:r>
          </w:p>
        </w:tc>
        <w:tc>
          <w:tcPr>
            <w:tcW w:w="1350" w:type="dxa"/>
          </w:tcPr>
          <w:p w:rsidR="003F5784" w14:paraId="22B253BD" w14:textId="77777777">
            <w:pPr>
              <w:pStyle w:val="TableParagraph"/>
              <w:ind w:right="123"/>
              <w:rPr>
                <w:sz w:val="21"/>
              </w:rPr>
            </w:pPr>
            <w:r>
              <w:rPr>
                <w:spacing w:val="-10"/>
                <w:sz w:val="21"/>
              </w:rPr>
              <w:t>#</w:t>
            </w:r>
          </w:p>
        </w:tc>
      </w:tr>
      <w:tr w14:paraId="0A4DC898"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65DBFEB5" w14:textId="77777777">
            <w:pPr>
              <w:pStyle w:val="TableParagraph"/>
              <w:ind w:left="117"/>
              <w:jc w:val="left"/>
              <w:rPr>
                <w:sz w:val="21"/>
              </w:rPr>
            </w:pPr>
            <w:r>
              <w:rPr>
                <w:sz w:val="21"/>
              </w:rPr>
              <w:t>North</w:t>
            </w:r>
            <w:r>
              <w:rPr>
                <w:spacing w:val="-6"/>
                <w:sz w:val="21"/>
              </w:rPr>
              <w:t xml:space="preserve"> </w:t>
            </w:r>
            <w:r>
              <w:rPr>
                <w:spacing w:val="-2"/>
                <w:sz w:val="21"/>
              </w:rPr>
              <w:t>Carolina–Charlotte</w:t>
            </w:r>
          </w:p>
        </w:tc>
        <w:tc>
          <w:tcPr>
            <w:tcW w:w="1539" w:type="dxa"/>
          </w:tcPr>
          <w:p w:rsidR="003F5784" w14:paraId="43C75446" w14:textId="77777777">
            <w:pPr>
              <w:pStyle w:val="TableParagraph"/>
              <w:ind w:right="807"/>
              <w:rPr>
                <w:sz w:val="21"/>
              </w:rPr>
            </w:pPr>
            <w:r>
              <w:rPr>
                <w:spacing w:val="-5"/>
                <w:sz w:val="21"/>
              </w:rPr>
              <w:t>40</w:t>
            </w:r>
          </w:p>
        </w:tc>
        <w:tc>
          <w:tcPr>
            <w:tcW w:w="2070" w:type="dxa"/>
          </w:tcPr>
          <w:p w:rsidR="003F5784" w14:paraId="50F8D832" w14:textId="77777777">
            <w:pPr>
              <w:pStyle w:val="TableParagraph"/>
              <w:ind w:right="727"/>
              <w:rPr>
                <w:sz w:val="21"/>
              </w:rPr>
            </w:pPr>
            <w:r>
              <w:rPr>
                <w:spacing w:val="-5"/>
                <w:sz w:val="21"/>
              </w:rPr>
              <w:t>40</w:t>
            </w:r>
          </w:p>
        </w:tc>
        <w:tc>
          <w:tcPr>
            <w:tcW w:w="1530" w:type="dxa"/>
          </w:tcPr>
          <w:p w:rsidR="003F5784" w14:paraId="758ADD0A" w14:textId="77777777">
            <w:pPr>
              <w:pStyle w:val="TableParagraph"/>
              <w:ind w:left="99"/>
              <w:jc w:val="center"/>
              <w:rPr>
                <w:sz w:val="21"/>
              </w:rPr>
            </w:pPr>
            <w:r>
              <w:rPr>
                <w:spacing w:val="-10"/>
                <w:sz w:val="21"/>
              </w:rPr>
              <w:t>#</w:t>
            </w:r>
          </w:p>
        </w:tc>
        <w:tc>
          <w:tcPr>
            <w:tcW w:w="1530" w:type="dxa"/>
          </w:tcPr>
          <w:p w:rsidR="003F5784" w14:paraId="6B4EB188" w14:textId="77777777">
            <w:pPr>
              <w:pStyle w:val="TableParagraph"/>
              <w:ind w:right="808"/>
              <w:rPr>
                <w:sz w:val="21"/>
              </w:rPr>
            </w:pPr>
            <w:r>
              <w:rPr>
                <w:spacing w:val="-5"/>
                <w:sz w:val="21"/>
              </w:rPr>
              <w:t>30</w:t>
            </w:r>
          </w:p>
        </w:tc>
        <w:tc>
          <w:tcPr>
            <w:tcW w:w="1980" w:type="dxa"/>
          </w:tcPr>
          <w:p w:rsidR="003F5784" w14:paraId="44FD93A2" w14:textId="77777777">
            <w:pPr>
              <w:pStyle w:val="TableParagraph"/>
              <w:ind w:right="729"/>
              <w:rPr>
                <w:sz w:val="21"/>
              </w:rPr>
            </w:pPr>
            <w:r>
              <w:rPr>
                <w:spacing w:val="-5"/>
                <w:sz w:val="21"/>
              </w:rPr>
              <w:t>30</w:t>
            </w:r>
          </w:p>
        </w:tc>
        <w:tc>
          <w:tcPr>
            <w:tcW w:w="1350" w:type="dxa"/>
          </w:tcPr>
          <w:p w:rsidR="003F5784" w14:paraId="4F1596FA" w14:textId="77777777">
            <w:pPr>
              <w:pStyle w:val="TableParagraph"/>
              <w:ind w:right="123"/>
              <w:rPr>
                <w:sz w:val="21"/>
              </w:rPr>
            </w:pPr>
            <w:r>
              <w:rPr>
                <w:spacing w:val="-10"/>
                <w:sz w:val="21"/>
              </w:rPr>
              <w:t>#</w:t>
            </w:r>
          </w:p>
        </w:tc>
      </w:tr>
      <w:tr w14:paraId="30558D89"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6515258A" w14:textId="77777777">
            <w:pPr>
              <w:pStyle w:val="TableParagraph"/>
              <w:ind w:left="117"/>
              <w:jc w:val="left"/>
              <w:rPr>
                <w:sz w:val="21"/>
              </w:rPr>
            </w:pPr>
            <w:r>
              <w:rPr>
                <w:sz w:val="21"/>
              </w:rPr>
              <w:t>North</w:t>
            </w:r>
            <w:r>
              <w:rPr>
                <w:spacing w:val="-12"/>
                <w:sz w:val="21"/>
              </w:rPr>
              <w:t xml:space="preserve"> </w:t>
            </w:r>
            <w:r>
              <w:rPr>
                <w:sz w:val="21"/>
              </w:rPr>
              <w:t>Carolina–Guilford</w:t>
            </w:r>
            <w:r>
              <w:rPr>
                <w:spacing w:val="-11"/>
                <w:sz w:val="21"/>
              </w:rPr>
              <w:t xml:space="preserve"> </w:t>
            </w:r>
            <w:r>
              <w:rPr>
                <w:spacing w:val="-2"/>
                <w:sz w:val="21"/>
              </w:rPr>
              <w:t>County</w:t>
            </w:r>
          </w:p>
        </w:tc>
        <w:tc>
          <w:tcPr>
            <w:tcW w:w="1539" w:type="dxa"/>
          </w:tcPr>
          <w:p w:rsidR="003F5784" w14:paraId="774E136B" w14:textId="77777777">
            <w:pPr>
              <w:pStyle w:val="TableParagraph"/>
              <w:ind w:right="807"/>
              <w:rPr>
                <w:sz w:val="21"/>
              </w:rPr>
            </w:pPr>
            <w:r>
              <w:rPr>
                <w:spacing w:val="-5"/>
                <w:sz w:val="21"/>
              </w:rPr>
              <w:t>40</w:t>
            </w:r>
          </w:p>
        </w:tc>
        <w:tc>
          <w:tcPr>
            <w:tcW w:w="2070" w:type="dxa"/>
          </w:tcPr>
          <w:p w:rsidR="003F5784" w14:paraId="094BEC7B" w14:textId="77777777">
            <w:pPr>
              <w:pStyle w:val="TableParagraph"/>
              <w:ind w:right="727"/>
              <w:rPr>
                <w:sz w:val="21"/>
              </w:rPr>
            </w:pPr>
            <w:r>
              <w:rPr>
                <w:spacing w:val="-5"/>
                <w:sz w:val="21"/>
              </w:rPr>
              <w:t>40</w:t>
            </w:r>
          </w:p>
        </w:tc>
        <w:tc>
          <w:tcPr>
            <w:tcW w:w="1530" w:type="dxa"/>
          </w:tcPr>
          <w:p w:rsidR="003F5784" w14:paraId="40BBE0DB" w14:textId="77777777">
            <w:pPr>
              <w:pStyle w:val="TableParagraph"/>
              <w:ind w:left="99"/>
              <w:jc w:val="center"/>
              <w:rPr>
                <w:sz w:val="21"/>
              </w:rPr>
            </w:pPr>
            <w:r>
              <w:rPr>
                <w:spacing w:val="-10"/>
                <w:sz w:val="21"/>
              </w:rPr>
              <w:t>#</w:t>
            </w:r>
          </w:p>
        </w:tc>
        <w:tc>
          <w:tcPr>
            <w:tcW w:w="1530" w:type="dxa"/>
          </w:tcPr>
          <w:p w:rsidR="003F5784" w14:paraId="02AE17EA" w14:textId="77777777">
            <w:pPr>
              <w:pStyle w:val="TableParagraph"/>
              <w:ind w:right="808"/>
              <w:rPr>
                <w:sz w:val="21"/>
              </w:rPr>
            </w:pPr>
            <w:r>
              <w:rPr>
                <w:spacing w:val="-5"/>
                <w:sz w:val="21"/>
              </w:rPr>
              <w:t>30</w:t>
            </w:r>
          </w:p>
        </w:tc>
        <w:tc>
          <w:tcPr>
            <w:tcW w:w="1980" w:type="dxa"/>
          </w:tcPr>
          <w:p w:rsidR="003F5784" w14:paraId="6BD82420" w14:textId="77777777">
            <w:pPr>
              <w:pStyle w:val="TableParagraph"/>
              <w:ind w:right="729"/>
              <w:rPr>
                <w:sz w:val="21"/>
              </w:rPr>
            </w:pPr>
            <w:r>
              <w:rPr>
                <w:spacing w:val="-5"/>
                <w:sz w:val="21"/>
              </w:rPr>
              <w:t>30</w:t>
            </w:r>
          </w:p>
        </w:tc>
        <w:tc>
          <w:tcPr>
            <w:tcW w:w="1350" w:type="dxa"/>
          </w:tcPr>
          <w:p w:rsidR="003F5784" w14:paraId="5DEEE1B4" w14:textId="77777777">
            <w:pPr>
              <w:pStyle w:val="TableParagraph"/>
              <w:ind w:right="123"/>
              <w:rPr>
                <w:sz w:val="21"/>
              </w:rPr>
            </w:pPr>
            <w:r>
              <w:rPr>
                <w:spacing w:val="-10"/>
                <w:sz w:val="21"/>
              </w:rPr>
              <w:t>#</w:t>
            </w:r>
          </w:p>
        </w:tc>
      </w:tr>
      <w:tr w14:paraId="61FEF0CE"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5D237DC2" w14:textId="77777777">
            <w:pPr>
              <w:pStyle w:val="TableParagraph"/>
              <w:ind w:left="117"/>
              <w:jc w:val="left"/>
              <w:rPr>
                <w:sz w:val="21"/>
              </w:rPr>
            </w:pPr>
            <w:r>
              <w:rPr>
                <w:sz w:val="21"/>
              </w:rPr>
              <w:t>North</w:t>
            </w:r>
            <w:r>
              <w:rPr>
                <w:spacing w:val="-6"/>
                <w:sz w:val="21"/>
              </w:rPr>
              <w:t xml:space="preserve"> </w:t>
            </w:r>
            <w:r>
              <w:rPr>
                <w:spacing w:val="-2"/>
                <w:sz w:val="21"/>
              </w:rPr>
              <w:t>Carolina–Balance</w:t>
            </w:r>
          </w:p>
        </w:tc>
        <w:tc>
          <w:tcPr>
            <w:tcW w:w="1539" w:type="dxa"/>
          </w:tcPr>
          <w:p w:rsidR="003F5784" w14:paraId="359C7623" w14:textId="77777777">
            <w:pPr>
              <w:pStyle w:val="TableParagraph"/>
              <w:ind w:right="807"/>
              <w:rPr>
                <w:sz w:val="21"/>
              </w:rPr>
            </w:pPr>
            <w:r>
              <w:rPr>
                <w:spacing w:val="-5"/>
                <w:sz w:val="21"/>
              </w:rPr>
              <w:t>80</w:t>
            </w:r>
          </w:p>
        </w:tc>
        <w:tc>
          <w:tcPr>
            <w:tcW w:w="2070" w:type="dxa"/>
          </w:tcPr>
          <w:p w:rsidR="003F5784" w14:paraId="4E6CDD74" w14:textId="77777777">
            <w:pPr>
              <w:pStyle w:val="TableParagraph"/>
              <w:ind w:right="727"/>
              <w:rPr>
                <w:sz w:val="21"/>
              </w:rPr>
            </w:pPr>
            <w:r>
              <w:rPr>
                <w:spacing w:val="-5"/>
                <w:sz w:val="21"/>
              </w:rPr>
              <w:t>70</w:t>
            </w:r>
          </w:p>
        </w:tc>
        <w:tc>
          <w:tcPr>
            <w:tcW w:w="1530" w:type="dxa"/>
          </w:tcPr>
          <w:p w:rsidR="003F5784" w14:paraId="41788295" w14:textId="77777777">
            <w:pPr>
              <w:pStyle w:val="TableParagraph"/>
              <w:ind w:left="99"/>
              <w:jc w:val="center"/>
              <w:rPr>
                <w:sz w:val="21"/>
              </w:rPr>
            </w:pPr>
            <w:r>
              <w:rPr>
                <w:spacing w:val="-10"/>
                <w:sz w:val="21"/>
              </w:rPr>
              <w:t>#</w:t>
            </w:r>
          </w:p>
        </w:tc>
        <w:tc>
          <w:tcPr>
            <w:tcW w:w="1530" w:type="dxa"/>
          </w:tcPr>
          <w:p w:rsidR="003F5784" w14:paraId="473666FE" w14:textId="77777777">
            <w:pPr>
              <w:pStyle w:val="TableParagraph"/>
              <w:ind w:right="808"/>
              <w:rPr>
                <w:sz w:val="21"/>
              </w:rPr>
            </w:pPr>
            <w:r>
              <w:rPr>
                <w:spacing w:val="-5"/>
                <w:sz w:val="21"/>
              </w:rPr>
              <w:t>80</w:t>
            </w:r>
          </w:p>
        </w:tc>
        <w:tc>
          <w:tcPr>
            <w:tcW w:w="1980" w:type="dxa"/>
          </w:tcPr>
          <w:p w:rsidR="003F5784" w14:paraId="0D1A0873" w14:textId="77777777">
            <w:pPr>
              <w:pStyle w:val="TableParagraph"/>
              <w:ind w:right="729"/>
              <w:rPr>
                <w:sz w:val="21"/>
              </w:rPr>
            </w:pPr>
            <w:r>
              <w:rPr>
                <w:spacing w:val="-5"/>
                <w:sz w:val="21"/>
              </w:rPr>
              <w:t>80</w:t>
            </w:r>
          </w:p>
        </w:tc>
        <w:tc>
          <w:tcPr>
            <w:tcW w:w="1350" w:type="dxa"/>
          </w:tcPr>
          <w:p w:rsidR="003F5784" w14:paraId="3AC2E604" w14:textId="77777777">
            <w:pPr>
              <w:pStyle w:val="TableParagraph"/>
              <w:ind w:right="123"/>
              <w:rPr>
                <w:sz w:val="21"/>
              </w:rPr>
            </w:pPr>
            <w:r>
              <w:rPr>
                <w:spacing w:val="-10"/>
                <w:sz w:val="21"/>
              </w:rPr>
              <w:t>#</w:t>
            </w:r>
          </w:p>
        </w:tc>
      </w:tr>
      <w:tr w14:paraId="50BF6112"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0C690860" w14:textId="77777777">
            <w:pPr>
              <w:pStyle w:val="TableParagraph"/>
              <w:ind w:left="117"/>
              <w:jc w:val="left"/>
              <w:rPr>
                <w:sz w:val="21"/>
              </w:rPr>
            </w:pPr>
            <w:r>
              <w:rPr>
                <w:sz w:val="21"/>
              </w:rPr>
              <w:t>North</w:t>
            </w:r>
            <w:r>
              <w:rPr>
                <w:spacing w:val="-6"/>
                <w:sz w:val="21"/>
              </w:rPr>
              <w:t xml:space="preserve"> </w:t>
            </w:r>
            <w:r>
              <w:rPr>
                <w:spacing w:val="-2"/>
                <w:sz w:val="21"/>
              </w:rPr>
              <w:t>Dakota</w:t>
            </w:r>
          </w:p>
        </w:tc>
        <w:tc>
          <w:tcPr>
            <w:tcW w:w="1539" w:type="dxa"/>
          </w:tcPr>
          <w:p w:rsidR="003F5784" w14:paraId="3472EFD1" w14:textId="77777777">
            <w:pPr>
              <w:pStyle w:val="TableParagraph"/>
              <w:ind w:right="807"/>
              <w:rPr>
                <w:sz w:val="21"/>
              </w:rPr>
            </w:pPr>
            <w:r>
              <w:rPr>
                <w:spacing w:val="-5"/>
                <w:sz w:val="21"/>
              </w:rPr>
              <w:t>120</w:t>
            </w:r>
          </w:p>
        </w:tc>
        <w:tc>
          <w:tcPr>
            <w:tcW w:w="2070" w:type="dxa"/>
          </w:tcPr>
          <w:p w:rsidR="003F5784" w14:paraId="3866ED75" w14:textId="77777777">
            <w:pPr>
              <w:pStyle w:val="TableParagraph"/>
              <w:ind w:right="727"/>
              <w:rPr>
                <w:sz w:val="21"/>
              </w:rPr>
            </w:pPr>
            <w:r>
              <w:rPr>
                <w:spacing w:val="-5"/>
                <w:sz w:val="21"/>
              </w:rPr>
              <w:t>120</w:t>
            </w:r>
          </w:p>
        </w:tc>
        <w:tc>
          <w:tcPr>
            <w:tcW w:w="1530" w:type="dxa"/>
          </w:tcPr>
          <w:p w:rsidR="003F5784" w14:paraId="5FB074BF" w14:textId="77777777">
            <w:pPr>
              <w:pStyle w:val="TableParagraph"/>
              <w:ind w:left="99"/>
              <w:jc w:val="center"/>
              <w:rPr>
                <w:sz w:val="21"/>
              </w:rPr>
            </w:pPr>
            <w:r>
              <w:rPr>
                <w:spacing w:val="-10"/>
                <w:sz w:val="21"/>
              </w:rPr>
              <w:t>#</w:t>
            </w:r>
          </w:p>
        </w:tc>
        <w:tc>
          <w:tcPr>
            <w:tcW w:w="1530" w:type="dxa"/>
          </w:tcPr>
          <w:p w:rsidR="003F5784" w14:paraId="0F7BBC06" w14:textId="77777777">
            <w:pPr>
              <w:pStyle w:val="TableParagraph"/>
              <w:ind w:right="808"/>
              <w:rPr>
                <w:sz w:val="21"/>
              </w:rPr>
            </w:pPr>
            <w:r>
              <w:rPr>
                <w:spacing w:val="-5"/>
                <w:sz w:val="21"/>
              </w:rPr>
              <w:t>90</w:t>
            </w:r>
          </w:p>
        </w:tc>
        <w:tc>
          <w:tcPr>
            <w:tcW w:w="1980" w:type="dxa"/>
          </w:tcPr>
          <w:p w:rsidR="003F5784" w14:paraId="18E8F698" w14:textId="77777777">
            <w:pPr>
              <w:pStyle w:val="TableParagraph"/>
              <w:ind w:right="729"/>
              <w:rPr>
                <w:sz w:val="21"/>
              </w:rPr>
            </w:pPr>
            <w:r>
              <w:rPr>
                <w:spacing w:val="-5"/>
                <w:sz w:val="21"/>
              </w:rPr>
              <w:t>90</w:t>
            </w:r>
          </w:p>
        </w:tc>
        <w:tc>
          <w:tcPr>
            <w:tcW w:w="1350" w:type="dxa"/>
          </w:tcPr>
          <w:p w:rsidR="003F5784" w14:paraId="3C48D27A" w14:textId="77777777">
            <w:pPr>
              <w:pStyle w:val="TableParagraph"/>
              <w:ind w:right="123"/>
              <w:rPr>
                <w:sz w:val="21"/>
              </w:rPr>
            </w:pPr>
            <w:r>
              <w:rPr>
                <w:spacing w:val="-10"/>
                <w:sz w:val="21"/>
              </w:rPr>
              <w:t>#</w:t>
            </w:r>
          </w:p>
        </w:tc>
      </w:tr>
      <w:tr w14:paraId="353C8822"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58FBC5B5" w14:textId="77777777">
            <w:pPr>
              <w:pStyle w:val="TableParagraph"/>
              <w:ind w:left="117"/>
              <w:jc w:val="left"/>
              <w:rPr>
                <w:sz w:val="21"/>
              </w:rPr>
            </w:pPr>
            <w:r>
              <w:rPr>
                <w:spacing w:val="-2"/>
                <w:sz w:val="21"/>
              </w:rPr>
              <w:t>Ohio–Cleveland</w:t>
            </w:r>
          </w:p>
        </w:tc>
        <w:tc>
          <w:tcPr>
            <w:tcW w:w="1539" w:type="dxa"/>
          </w:tcPr>
          <w:p w:rsidR="003F5784" w14:paraId="4DDC863F" w14:textId="77777777">
            <w:pPr>
              <w:pStyle w:val="TableParagraph"/>
              <w:ind w:right="807"/>
              <w:rPr>
                <w:sz w:val="21"/>
              </w:rPr>
            </w:pPr>
            <w:r>
              <w:rPr>
                <w:spacing w:val="-5"/>
                <w:sz w:val="21"/>
              </w:rPr>
              <w:t>50</w:t>
            </w:r>
          </w:p>
        </w:tc>
        <w:tc>
          <w:tcPr>
            <w:tcW w:w="2070" w:type="dxa"/>
          </w:tcPr>
          <w:p w:rsidR="003F5784" w14:paraId="20170265" w14:textId="77777777">
            <w:pPr>
              <w:pStyle w:val="TableParagraph"/>
              <w:ind w:right="727"/>
              <w:rPr>
                <w:sz w:val="21"/>
              </w:rPr>
            </w:pPr>
            <w:r>
              <w:rPr>
                <w:spacing w:val="-5"/>
                <w:sz w:val="21"/>
              </w:rPr>
              <w:t>50</w:t>
            </w:r>
          </w:p>
        </w:tc>
        <w:tc>
          <w:tcPr>
            <w:tcW w:w="1530" w:type="dxa"/>
          </w:tcPr>
          <w:p w:rsidR="003F5784" w14:paraId="2DC39890" w14:textId="77777777">
            <w:pPr>
              <w:pStyle w:val="TableParagraph"/>
              <w:ind w:left="99"/>
              <w:jc w:val="center"/>
              <w:rPr>
                <w:sz w:val="21"/>
              </w:rPr>
            </w:pPr>
            <w:r>
              <w:rPr>
                <w:spacing w:val="-10"/>
                <w:sz w:val="21"/>
              </w:rPr>
              <w:t>#</w:t>
            </w:r>
          </w:p>
        </w:tc>
        <w:tc>
          <w:tcPr>
            <w:tcW w:w="1530" w:type="dxa"/>
          </w:tcPr>
          <w:p w:rsidR="003F5784" w14:paraId="43C084CF" w14:textId="77777777">
            <w:pPr>
              <w:pStyle w:val="TableParagraph"/>
              <w:ind w:right="808"/>
              <w:rPr>
                <w:sz w:val="21"/>
              </w:rPr>
            </w:pPr>
            <w:r>
              <w:rPr>
                <w:spacing w:val="-5"/>
                <w:sz w:val="21"/>
              </w:rPr>
              <w:t>50</w:t>
            </w:r>
          </w:p>
        </w:tc>
        <w:tc>
          <w:tcPr>
            <w:tcW w:w="1980" w:type="dxa"/>
          </w:tcPr>
          <w:p w:rsidR="003F5784" w14:paraId="4BB3D164" w14:textId="77777777">
            <w:pPr>
              <w:pStyle w:val="TableParagraph"/>
              <w:ind w:right="729"/>
              <w:rPr>
                <w:sz w:val="21"/>
              </w:rPr>
            </w:pPr>
            <w:r>
              <w:rPr>
                <w:spacing w:val="-5"/>
                <w:sz w:val="21"/>
              </w:rPr>
              <w:t>50</w:t>
            </w:r>
          </w:p>
        </w:tc>
        <w:tc>
          <w:tcPr>
            <w:tcW w:w="1350" w:type="dxa"/>
          </w:tcPr>
          <w:p w:rsidR="003F5784" w14:paraId="4C74BB26" w14:textId="77777777">
            <w:pPr>
              <w:pStyle w:val="TableParagraph"/>
              <w:ind w:right="123"/>
              <w:rPr>
                <w:sz w:val="21"/>
              </w:rPr>
            </w:pPr>
            <w:r>
              <w:rPr>
                <w:spacing w:val="-10"/>
                <w:sz w:val="21"/>
              </w:rPr>
              <w:t>#</w:t>
            </w:r>
          </w:p>
        </w:tc>
      </w:tr>
      <w:tr w14:paraId="78A3F4B5"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6E3F4655" w14:textId="77777777">
            <w:pPr>
              <w:pStyle w:val="TableParagraph"/>
              <w:ind w:left="117"/>
              <w:jc w:val="left"/>
              <w:rPr>
                <w:sz w:val="21"/>
              </w:rPr>
            </w:pPr>
            <w:r>
              <w:rPr>
                <w:spacing w:val="-2"/>
                <w:sz w:val="21"/>
              </w:rPr>
              <w:t>Ohio–Balance</w:t>
            </w:r>
          </w:p>
        </w:tc>
        <w:tc>
          <w:tcPr>
            <w:tcW w:w="1539" w:type="dxa"/>
          </w:tcPr>
          <w:p w:rsidR="003F5784" w14:paraId="0C7A1DBF" w14:textId="77777777">
            <w:pPr>
              <w:pStyle w:val="TableParagraph"/>
              <w:ind w:right="807"/>
              <w:rPr>
                <w:sz w:val="21"/>
              </w:rPr>
            </w:pPr>
            <w:r>
              <w:rPr>
                <w:spacing w:val="-5"/>
                <w:sz w:val="21"/>
              </w:rPr>
              <w:t>90</w:t>
            </w:r>
          </w:p>
        </w:tc>
        <w:tc>
          <w:tcPr>
            <w:tcW w:w="2070" w:type="dxa"/>
          </w:tcPr>
          <w:p w:rsidR="003F5784" w14:paraId="43D3ED65" w14:textId="77777777">
            <w:pPr>
              <w:pStyle w:val="TableParagraph"/>
              <w:ind w:right="727"/>
              <w:rPr>
                <w:sz w:val="21"/>
              </w:rPr>
            </w:pPr>
            <w:r>
              <w:rPr>
                <w:spacing w:val="-5"/>
                <w:sz w:val="21"/>
              </w:rPr>
              <w:t>90</w:t>
            </w:r>
          </w:p>
        </w:tc>
        <w:tc>
          <w:tcPr>
            <w:tcW w:w="1530" w:type="dxa"/>
          </w:tcPr>
          <w:p w:rsidR="003F5784" w14:paraId="344720B2" w14:textId="77777777">
            <w:pPr>
              <w:pStyle w:val="TableParagraph"/>
              <w:ind w:left="99"/>
              <w:jc w:val="center"/>
              <w:rPr>
                <w:sz w:val="21"/>
              </w:rPr>
            </w:pPr>
            <w:r>
              <w:rPr>
                <w:spacing w:val="-10"/>
                <w:sz w:val="21"/>
              </w:rPr>
              <w:t>#</w:t>
            </w:r>
          </w:p>
        </w:tc>
        <w:tc>
          <w:tcPr>
            <w:tcW w:w="1530" w:type="dxa"/>
          </w:tcPr>
          <w:p w:rsidR="003F5784" w14:paraId="27BE20CF" w14:textId="77777777">
            <w:pPr>
              <w:pStyle w:val="TableParagraph"/>
              <w:ind w:right="808"/>
              <w:rPr>
                <w:sz w:val="21"/>
              </w:rPr>
            </w:pPr>
            <w:r>
              <w:rPr>
                <w:spacing w:val="-5"/>
                <w:sz w:val="21"/>
              </w:rPr>
              <w:t>90</w:t>
            </w:r>
          </w:p>
        </w:tc>
        <w:tc>
          <w:tcPr>
            <w:tcW w:w="1980" w:type="dxa"/>
          </w:tcPr>
          <w:p w:rsidR="003F5784" w14:paraId="43FD7E5D" w14:textId="77777777">
            <w:pPr>
              <w:pStyle w:val="TableParagraph"/>
              <w:ind w:right="729"/>
              <w:rPr>
                <w:sz w:val="21"/>
              </w:rPr>
            </w:pPr>
            <w:r>
              <w:rPr>
                <w:spacing w:val="-5"/>
                <w:sz w:val="21"/>
              </w:rPr>
              <w:t>90</w:t>
            </w:r>
          </w:p>
        </w:tc>
        <w:tc>
          <w:tcPr>
            <w:tcW w:w="1350" w:type="dxa"/>
          </w:tcPr>
          <w:p w:rsidR="003F5784" w14:paraId="6EE59577" w14:textId="77777777">
            <w:pPr>
              <w:pStyle w:val="TableParagraph"/>
              <w:ind w:right="123"/>
              <w:rPr>
                <w:sz w:val="21"/>
              </w:rPr>
            </w:pPr>
            <w:r>
              <w:rPr>
                <w:spacing w:val="-10"/>
                <w:sz w:val="21"/>
              </w:rPr>
              <w:t>#</w:t>
            </w:r>
          </w:p>
        </w:tc>
      </w:tr>
      <w:tr w14:paraId="0D69830A"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44EFB4F8" w14:textId="77777777">
            <w:pPr>
              <w:pStyle w:val="TableParagraph"/>
              <w:ind w:left="117"/>
              <w:jc w:val="left"/>
              <w:rPr>
                <w:sz w:val="21"/>
              </w:rPr>
            </w:pPr>
            <w:r>
              <w:rPr>
                <w:spacing w:val="-2"/>
                <w:sz w:val="21"/>
              </w:rPr>
              <w:t>Oklahoma</w:t>
            </w:r>
          </w:p>
        </w:tc>
        <w:tc>
          <w:tcPr>
            <w:tcW w:w="1539" w:type="dxa"/>
          </w:tcPr>
          <w:p w:rsidR="003F5784" w14:paraId="3AFE799E" w14:textId="77777777">
            <w:pPr>
              <w:pStyle w:val="TableParagraph"/>
              <w:ind w:right="807"/>
              <w:rPr>
                <w:sz w:val="21"/>
              </w:rPr>
            </w:pPr>
            <w:r>
              <w:rPr>
                <w:spacing w:val="-5"/>
                <w:sz w:val="21"/>
              </w:rPr>
              <w:t>100</w:t>
            </w:r>
          </w:p>
        </w:tc>
        <w:tc>
          <w:tcPr>
            <w:tcW w:w="2070" w:type="dxa"/>
          </w:tcPr>
          <w:p w:rsidR="003F5784" w14:paraId="4F8C6EF9" w14:textId="77777777">
            <w:pPr>
              <w:pStyle w:val="TableParagraph"/>
              <w:ind w:right="727"/>
              <w:rPr>
                <w:sz w:val="21"/>
              </w:rPr>
            </w:pPr>
            <w:r>
              <w:rPr>
                <w:spacing w:val="-5"/>
                <w:sz w:val="21"/>
              </w:rPr>
              <w:t>100</w:t>
            </w:r>
          </w:p>
        </w:tc>
        <w:tc>
          <w:tcPr>
            <w:tcW w:w="1530" w:type="dxa"/>
          </w:tcPr>
          <w:p w:rsidR="003F5784" w14:paraId="598A38B9" w14:textId="77777777">
            <w:pPr>
              <w:pStyle w:val="TableParagraph"/>
              <w:ind w:left="99"/>
              <w:jc w:val="center"/>
              <w:rPr>
                <w:sz w:val="21"/>
              </w:rPr>
            </w:pPr>
            <w:r>
              <w:rPr>
                <w:spacing w:val="-10"/>
                <w:sz w:val="21"/>
              </w:rPr>
              <w:t>#</w:t>
            </w:r>
          </w:p>
        </w:tc>
        <w:tc>
          <w:tcPr>
            <w:tcW w:w="1530" w:type="dxa"/>
          </w:tcPr>
          <w:p w:rsidR="003F5784" w14:paraId="26AEEB1F" w14:textId="77777777">
            <w:pPr>
              <w:pStyle w:val="TableParagraph"/>
              <w:ind w:right="808"/>
              <w:rPr>
                <w:sz w:val="21"/>
              </w:rPr>
            </w:pPr>
            <w:r>
              <w:rPr>
                <w:spacing w:val="-5"/>
                <w:sz w:val="21"/>
              </w:rPr>
              <w:t>90</w:t>
            </w:r>
          </w:p>
        </w:tc>
        <w:tc>
          <w:tcPr>
            <w:tcW w:w="1980" w:type="dxa"/>
          </w:tcPr>
          <w:p w:rsidR="003F5784" w14:paraId="1F7EDCE7" w14:textId="77777777">
            <w:pPr>
              <w:pStyle w:val="TableParagraph"/>
              <w:ind w:right="729"/>
              <w:rPr>
                <w:sz w:val="21"/>
              </w:rPr>
            </w:pPr>
            <w:r>
              <w:rPr>
                <w:spacing w:val="-5"/>
                <w:sz w:val="21"/>
              </w:rPr>
              <w:t>90</w:t>
            </w:r>
          </w:p>
        </w:tc>
        <w:tc>
          <w:tcPr>
            <w:tcW w:w="1350" w:type="dxa"/>
          </w:tcPr>
          <w:p w:rsidR="003F5784" w14:paraId="60ED5F2F" w14:textId="77777777">
            <w:pPr>
              <w:pStyle w:val="TableParagraph"/>
              <w:ind w:right="123"/>
              <w:rPr>
                <w:sz w:val="21"/>
              </w:rPr>
            </w:pPr>
            <w:r>
              <w:rPr>
                <w:spacing w:val="-10"/>
                <w:sz w:val="21"/>
              </w:rPr>
              <w:t>#</w:t>
            </w:r>
          </w:p>
        </w:tc>
      </w:tr>
      <w:tr w14:paraId="36B98167"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23D4DEDE" w14:textId="77777777">
            <w:pPr>
              <w:pStyle w:val="TableParagraph"/>
              <w:ind w:left="117"/>
              <w:jc w:val="left"/>
              <w:rPr>
                <w:sz w:val="21"/>
              </w:rPr>
            </w:pPr>
            <w:r>
              <w:rPr>
                <w:spacing w:val="-2"/>
                <w:sz w:val="21"/>
              </w:rPr>
              <w:t>Oregon</w:t>
            </w:r>
          </w:p>
        </w:tc>
        <w:tc>
          <w:tcPr>
            <w:tcW w:w="1539" w:type="dxa"/>
          </w:tcPr>
          <w:p w:rsidR="003F5784" w14:paraId="3876A205" w14:textId="77777777">
            <w:pPr>
              <w:pStyle w:val="TableParagraph"/>
              <w:ind w:right="807"/>
              <w:rPr>
                <w:sz w:val="21"/>
              </w:rPr>
            </w:pPr>
            <w:r>
              <w:rPr>
                <w:spacing w:val="-5"/>
                <w:sz w:val="21"/>
              </w:rPr>
              <w:t>90</w:t>
            </w:r>
          </w:p>
        </w:tc>
        <w:tc>
          <w:tcPr>
            <w:tcW w:w="2070" w:type="dxa"/>
          </w:tcPr>
          <w:p w:rsidR="003F5784" w14:paraId="3A327C93" w14:textId="77777777">
            <w:pPr>
              <w:pStyle w:val="TableParagraph"/>
              <w:ind w:right="727"/>
              <w:rPr>
                <w:sz w:val="21"/>
              </w:rPr>
            </w:pPr>
            <w:r>
              <w:rPr>
                <w:spacing w:val="-5"/>
                <w:sz w:val="21"/>
              </w:rPr>
              <w:t>90</w:t>
            </w:r>
          </w:p>
        </w:tc>
        <w:tc>
          <w:tcPr>
            <w:tcW w:w="1530" w:type="dxa"/>
          </w:tcPr>
          <w:p w:rsidR="003F5784" w14:paraId="3DE1D650" w14:textId="77777777">
            <w:pPr>
              <w:pStyle w:val="TableParagraph"/>
              <w:ind w:left="99"/>
              <w:jc w:val="center"/>
              <w:rPr>
                <w:sz w:val="21"/>
              </w:rPr>
            </w:pPr>
            <w:r>
              <w:rPr>
                <w:spacing w:val="-10"/>
                <w:sz w:val="21"/>
              </w:rPr>
              <w:t>#</w:t>
            </w:r>
          </w:p>
        </w:tc>
        <w:tc>
          <w:tcPr>
            <w:tcW w:w="1530" w:type="dxa"/>
          </w:tcPr>
          <w:p w:rsidR="003F5784" w14:paraId="1BE79CC6" w14:textId="77777777">
            <w:pPr>
              <w:pStyle w:val="TableParagraph"/>
              <w:ind w:right="808"/>
              <w:rPr>
                <w:sz w:val="21"/>
              </w:rPr>
            </w:pPr>
            <w:r>
              <w:rPr>
                <w:spacing w:val="-5"/>
                <w:sz w:val="21"/>
              </w:rPr>
              <w:t>90</w:t>
            </w:r>
          </w:p>
        </w:tc>
        <w:tc>
          <w:tcPr>
            <w:tcW w:w="1980" w:type="dxa"/>
          </w:tcPr>
          <w:p w:rsidR="003F5784" w14:paraId="1F760603" w14:textId="77777777">
            <w:pPr>
              <w:pStyle w:val="TableParagraph"/>
              <w:ind w:right="729"/>
              <w:rPr>
                <w:sz w:val="21"/>
              </w:rPr>
            </w:pPr>
            <w:r>
              <w:rPr>
                <w:spacing w:val="-5"/>
                <w:sz w:val="21"/>
              </w:rPr>
              <w:t>90</w:t>
            </w:r>
          </w:p>
        </w:tc>
        <w:tc>
          <w:tcPr>
            <w:tcW w:w="1350" w:type="dxa"/>
          </w:tcPr>
          <w:p w:rsidR="003F5784" w14:paraId="0DD16FC5" w14:textId="77777777">
            <w:pPr>
              <w:pStyle w:val="TableParagraph"/>
              <w:ind w:right="123"/>
              <w:rPr>
                <w:sz w:val="21"/>
              </w:rPr>
            </w:pPr>
            <w:r>
              <w:rPr>
                <w:spacing w:val="-10"/>
                <w:sz w:val="21"/>
              </w:rPr>
              <w:t>#</w:t>
            </w:r>
          </w:p>
        </w:tc>
      </w:tr>
      <w:tr w14:paraId="6B7CF840"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05A62609" w14:textId="77777777">
            <w:pPr>
              <w:pStyle w:val="TableParagraph"/>
              <w:ind w:left="117"/>
              <w:jc w:val="left"/>
              <w:rPr>
                <w:sz w:val="21"/>
              </w:rPr>
            </w:pPr>
            <w:r>
              <w:rPr>
                <w:spacing w:val="-2"/>
                <w:sz w:val="21"/>
              </w:rPr>
              <w:t>Pennsylvania–Philadelphia</w:t>
            </w:r>
          </w:p>
        </w:tc>
        <w:tc>
          <w:tcPr>
            <w:tcW w:w="1539" w:type="dxa"/>
          </w:tcPr>
          <w:p w:rsidR="003F5784" w14:paraId="520DE409" w14:textId="77777777">
            <w:pPr>
              <w:pStyle w:val="TableParagraph"/>
              <w:ind w:right="807"/>
              <w:rPr>
                <w:sz w:val="21"/>
              </w:rPr>
            </w:pPr>
            <w:r>
              <w:rPr>
                <w:spacing w:val="-5"/>
                <w:sz w:val="21"/>
              </w:rPr>
              <w:t>40</w:t>
            </w:r>
          </w:p>
        </w:tc>
        <w:tc>
          <w:tcPr>
            <w:tcW w:w="2070" w:type="dxa"/>
          </w:tcPr>
          <w:p w:rsidR="003F5784" w14:paraId="79F21305" w14:textId="77777777">
            <w:pPr>
              <w:pStyle w:val="TableParagraph"/>
              <w:ind w:right="727"/>
              <w:rPr>
                <w:sz w:val="21"/>
              </w:rPr>
            </w:pPr>
            <w:r>
              <w:rPr>
                <w:spacing w:val="-5"/>
                <w:sz w:val="21"/>
              </w:rPr>
              <w:t>40</w:t>
            </w:r>
          </w:p>
        </w:tc>
        <w:tc>
          <w:tcPr>
            <w:tcW w:w="1530" w:type="dxa"/>
          </w:tcPr>
          <w:p w:rsidR="003F5784" w14:paraId="56D09A48" w14:textId="77777777">
            <w:pPr>
              <w:pStyle w:val="TableParagraph"/>
              <w:ind w:left="99"/>
              <w:jc w:val="center"/>
              <w:rPr>
                <w:sz w:val="21"/>
              </w:rPr>
            </w:pPr>
            <w:r>
              <w:rPr>
                <w:spacing w:val="-10"/>
                <w:sz w:val="21"/>
              </w:rPr>
              <w:t>#</w:t>
            </w:r>
          </w:p>
        </w:tc>
        <w:tc>
          <w:tcPr>
            <w:tcW w:w="1530" w:type="dxa"/>
          </w:tcPr>
          <w:p w:rsidR="003F5784" w14:paraId="1BBB928D" w14:textId="77777777">
            <w:pPr>
              <w:pStyle w:val="TableParagraph"/>
              <w:ind w:right="808"/>
              <w:rPr>
                <w:sz w:val="21"/>
              </w:rPr>
            </w:pPr>
            <w:r>
              <w:rPr>
                <w:spacing w:val="-5"/>
                <w:sz w:val="21"/>
              </w:rPr>
              <w:t>40</w:t>
            </w:r>
          </w:p>
        </w:tc>
        <w:tc>
          <w:tcPr>
            <w:tcW w:w="1980" w:type="dxa"/>
          </w:tcPr>
          <w:p w:rsidR="003F5784" w14:paraId="05F1EF43" w14:textId="77777777">
            <w:pPr>
              <w:pStyle w:val="TableParagraph"/>
              <w:ind w:right="729"/>
              <w:rPr>
                <w:sz w:val="21"/>
              </w:rPr>
            </w:pPr>
            <w:r>
              <w:rPr>
                <w:spacing w:val="-5"/>
                <w:sz w:val="21"/>
              </w:rPr>
              <w:t>40</w:t>
            </w:r>
          </w:p>
        </w:tc>
        <w:tc>
          <w:tcPr>
            <w:tcW w:w="1350" w:type="dxa"/>
          </w:tcPr>
          <w:p w:rsidR="003F5784" w14:paraId="2D748E1F" w14:textId="77777777">
            <w:pPr>
              <w:pStyle w:val="TableParagraph"/>
              <w:ind w:right="123"/>
              <w:rPr>
                <w:sz w:val="21"/>
              </w:rPr>
            </w:pPr>
            <w:r>
              <w:rPr>
                <w:spacing w:val="-10"/>
                <w:sz w:val="21"/>
              </w:rPr>
              <w:t>#</w:t>
            </w:r>
          </w:p>
        </w:tc>
      </w:tr>
      <w:tr w14:paraId="64EC21C4"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344CA9E9" w14:textId="77777777">
            <w:pPr>
              <w:pStyle w:val="TableParagraph"/>
              <w:ind w:left="117"/>
              <w:jc w:val="left"/>
              <w:rPr>
                <w:sz w:val="21"/>
              </w:rPr>
            </w:pPr>
            <w:r>
              <w:rPr>
                <w:spacing w:val="-2"/>
                <w:sz w:val="21"/>
              </w:rPr>
              <w:t>Pennsylvania–Balance</w:t>
            </w:r>
          </w:p>
        </w:tc>
        <w:tc>
          <w:tcPr>
            <w:tcW w:w="1539" w:type="dxa"/>
          </w:tcPr>
          <w:p w:rsidR="003F5784" w14:paraId="7C1F1074" w14:textId="77777777">
            <w:pPr>
              <w:pStyle w:val="TableParagraph"/>
              <w:ind w:right="807"/>
              <w:rPr>
                <w:sz w:val="21"/>
              </w:rPr>
            </w:pPr>
            <w:r>
              <w:rPr>
                <w:spacing w:val="-5"/>
                <w:sz w:val="21"/>
              </w:rPr>
              <w:t>80</w:t>
            </w:r>
          </w:p>
        </w:tc>
        <w:tc>
          <w:tcPr>
            <w:tcW w:w="2070" w:type="dxa"/>
          </w:tcPr>
          <w:p w:rsidR="003F5784" w14:paraId="4EC736EA" w14:textId="77777777">
            <w:pPr>
              <w:pStyle w:val="TableParagraph"/>
              <w:ind w:right="727"/>
              <w:rPr>
                <w:sz w:val="21"/>
              </w:rPr>
            </w:pPr>
            <w:r>
              <w:rPr>
                <w:spacing w:val="-5"/>
                <w:sz w:val="21"/>
              </w:rPr>
              <w:t>80</w:t>
            </w:r>
          </w:p>
        </w:tc>
        <w:tc>
          <w:tcPr>
            <w:tcW w:w="1530" w:type="dxa"/>
          </w:tcPr>
          <w:p w:rsidR="003F5784" w14:paraId="4B9283C0" w14:textId="77777777">
            <w:pPr>
              <w:pStyle w:val="TableParagraph"/>
              <w:ind w:left="99"/>
              <w:jc w:val="center"/>
              <w:rPr>
                <w:sz w:val="21"/>
              </w:rPr>
            </w:pPr>
            <w:r>
              <w:rPr>
                <w:spacing w:val="-10"/>
                <w:sz w:val="21"/>
              </w:rPr>
              <w:t>#</w:t>
            </w:r>
          </w:p>
        </w:tc>
        <w:tc>
          <w:tcPr>
            <w:tcW w:w="1530" w:type="dxa"/>
          </w:tcPr>
          <w:p w:rsidR="003F5784" w14:paraId="4ED5474C" w14:textId="77777777">
            <w:pPr>
              <w:pStyle w:val="TableParagraph"/>
              <w:ind w:right="808"/>
              <w:rPr>
                <w:sz w:val="21"/>
              </w:rPr>
            </w:pPr>
            <w:r>
              <w:rPr>
                <w:spacing w:val="-5"/>
                <w:sz w:val="21"/>
              </w:rPr>
              <w:t>80</w:t>
            </w:r>
          </w:p>
        </w:tc>
        <w:tc>
          <w:tcPr>
            <w:tcW w:w="1980" w:type="dxa"/>
          </w:tcPr>
          <w:p w:rsidR="003F5784" w14:paraId="671D13B0" w14:textId="77777777">
            <w:pPr>
              <w:pStyle w:val="TableParagraph"/>
              <w:ind w:right="729"/>
              <w:rPr>
                <w:sz w:val="21"/>
              </w:rPr>
            </w:pPr>
            <w:r>
              <w:rPr>
                <w:spacing w:val="-5"/>
                <w:sz w:val="21"/>
              </w:rPr>
              <w:t>80</w:t>
            </w:r>
          </w:p>
        </w:tc>
        <w:tc>
          <w:tcPr>
            <w:tcW w:w="1350" w:type="dxa"/>
          </w:tcPr>
          <w:p w:rsidR="003F5784" w14:paraId="6189220C" w14:textId="77777777">
            <w:pPr>
              <w:pStyle w:val="TableParagraph"/>
              <w:ind w:right="123"/>
              <w:rPr>
                <w:sz w:val="21"/>
              </w:rPr>
            </w:pPr>
            <w:r>
              <w:rPr>
                <w:spacing w:val="-10"/>
                <w:sz w:val="21"/>
              </w:rPr>
              <w:t>#</w:t>
            </w:r>
          </w:p>
        </w:tc>
      </w:tr>
      <w:tr w14:paraId="14A67841"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51D83C43" w14:textId="77777777">
            <w:pPr>
              <w:pStyle w:val="TableParagraph"/>
              <w:ind w:left="117"/>
              <w:jc w:val="left"/>
              <w:rPr>
                <w:sz w:val="21"/>
              </w:rPr>
            </w:pPr>
            <w:r>
              <w:rPr>
                <w:sz w:val="21"/>
              </w:rPr>
              <w:t>Rhode</w:t>
            </w:r>
            <w:r>
              <w:rPr>
                <w:spacing w:val="-7"/>
                <w:sz w:val="21"/>
              </w:rPr>
              <w:t xml:space="preserve"> </w:t>
            </w:r>
            <w:r>
              <w:rPr>
                <w:spacing w:val="-2"/>
                <w:sz w:val="21"/>
              </w:rPr>
              <w:t>Island</w:t>
            </w:r>
          </w:p>
        </w:tc>
        <w:tc>
          <w:tcPr>
            <w:tcW w:w="1539" w:type="dxa"/>
          </w:tcPr>
          <w:p w:rsidR="003F5784" w14:paraId="6F8CAAEE" w14:textId="77777777">
            <w:pPr>
              <w:pStyle w:val="TableParagraph"/>
              <w:ind w:right="807"/>
              <w:rPr>
                <w:sz w:val="21"/>
              </w:rPr>
            </w:pPr>
            <w:r>
              <w:rPr>
                <w:spacing w:val="-5"/>
                <w:sz w:val="21"/>
              </w:rPr>
              <w:t>90</w:t>
            </w:r>
          </w:p>
        </w:tc>
        <w:tc>
          <w:tcPr>
            <w:tcW w:w="2070" w:type="dxa"/>
          </w:tcPr>
          <w:p w:rsidR="003F5784" w14:paraId="02866F71" w14:textId="77777777">
            <w:pPr>
              <w:pStyle w:val="TableParagraph"/>
              <w:ind w:right="727"/>
              <w:rPr>
                <w:sz w:val="21"/>
              </w:rPr>
            </w:pPr>
            <w:r>
              <w:rPr>
                <w:spacing w:val="-5"/>
                <w:sz w:val="21"/>
              </w:rPr>
              <w:t>90</w:t>
            </w:r>
          </w:p>
        </w:tc>
        <w:tc>
          <w:tcPr>
            <w:tcW w:w="1530" w:type="dxa"/>
          </w:tcPr>
          <w:p w:rsidR="003F5784" w14:paraId="7A6DE2A4" w14:textId="77777777">
            <w:pPr>
              <w:pStyle w:val="TableParagraph"/>
              <w:ind w:left="99"/>
              <w:jc w:val="center"/>
              <w:rPr>
                <w:sz w:val="21"/>
              </w:rPr>
            </w:pPr>
            <w:r>
              <w:rPr>
                <w:spacing w:val="-10"/>
                <w:sz w:val="21"/>
              </w:rPr>
              <w:t>#</w:t>
            </w:r>
          </w:p>
        </w:tc>
        <w:tc>
          <w:tcPr>
            <w:tcW w:w="1530" w:type="dxa"/>
          </w:tcPr>
          <w:p w:rsidR="003F5784" w14:paraId="649CAE4E" w14:textId="77777777">
            <w:pPr>
              <w:pStyle w:val="TableParagraph"/>
              <w:ind w:right="808"/>
              <w:rPr>
                <w:sz w:val="21"/>
              </w:rPr>
            </w:pPr>
            <w:r>
              <w:rPr>
                <w:spacing w:val="-5"/>
                <w:sz w:val="21"/>
              </w:rPr>
              <w:t>60</w:t>
            </w:r>
          </w:p>
        </w:tc>
        <w:tc>
          <w:tcPr>
            <w:tcW w:w="1980" w:type="dxa"/>
          </w:tcPr>
          <w:p w:rsidR="003F5784" w14:paraId="69D7D980" w14:textId="77777777">
            <w:pPr>
              <w:pStyle w:val="TableParagraph"/>
              <w:ind w:right="729"/>
              <w:rPr>
                <w:sz w:val="21"/>
              </w:rPr>
            </w:pPr>
            <w:r>
              <w:rPr>
                <w:spacing w:val="-5"/>
                <w:sz w:val="21"/>
              </w:rPr>
              <w:t>60</w:t>
            </w:r>
          </w:p>
        </w:tc>
        <w:tc>
          <w:tcPr>
            <w:tcW w:w="1350" w:type="dxa"/>
          </w:tcPr>
          <w:p w:rsidR="003F5784" w14:paraId="18BFE44F" w14:textId="77777777">
            <w:pPr>
              <w:pStyle w:val="TableParagraph"/>
              <w:ind w:right="123"/>
              <w:rPr>
                <w:sz w:val="21"/>
              </w:rPr>
            </w:pPr>
            <w:r>
              <w:rPr>
                <w:spacing w:val="-10"/>
                <w:sz w:val="21"/>
              </w:rPr>
              <w:t>#</w:t>
            </w:r>
          </w:p>
        </w:tc>
      </w:tr>
      <w:tr w14:paraId="1FCDF304"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51600903" w14:textId="77777777">
            <w:pPr>
              <w:pStyle w:val="TableParagraph"/>
              <w:ind w:left="117"/>
              <w:jc w:val="left"/>
              <w:rPr>
                <w:sz w:val="21"/>
              </w:rPr>
            </w:pPr>
            <w:r>
              <w:rPr>
                <w:sz w:val="21"/>
              </w:rPr>
              <w:t>South</w:t>
            </w:r>
            <w:r>
              <w:rPr>
                <w:spacing w:val="-6"/>
                <w:sz w:val="21"/>
              </w:rPr>
              <w:t xml:space="preserve"> </w:t>
            </w:r>
            <w:r>
              <w:rPr>
                <w:spacing w:val="-2"/>
                <w:sz w:val="21"/>
              </w:rPr>
              <w:t>Carolina</w:t>
            </w:r>
          </w:p>
        </w:tc>
        <w:tc>
          <w:tcPr>
            <w:tcW w:w="1539" w:type="dxa"/>
          </w:tcPr>
          <w:p w:rsidR="003F5784" w14:paraId="6C46A927" w14:textId="77777777">
            <w:pPr>
              <w:pStyle w:val="TableParagraph"/>
              <w:ind w:right="807"/>
              <w:rPr>
                <w:sz w:val="21"/>
              </w:rPr>
            </w:pPr>
            <w:r>
              <w:rPr>
                <w:spacing w:val="-5"/>
                <w:sz w:val="21"/>
              </w:rPr>
              <w:t>90</w:t>
            </w:r>
          </w:p>
        </w:tc>
        <w:tc>
          <w:tcPr>
            <w:tcW w:w="2070" w:type="dxa"/>
          </w:tcPr>
          <w:p w:rsidR="003F5784" w14:paraId="6DD4410A" w14:textId="77777777">
            <w:pPr>
              <w:pStyle w:val="TableParagraph"/>
              <w:ind w:right="727"/>
              <w:rPr>
                <w:sz w:val="21"/>
              </w:rPr>
            </w:pPr>
            <w:r>
              <w:rPr>
                <w:spacing w:val="-5"/>
                <w:sz w:val="21"/>
              </w:rPr>
              <w:t>90</w:t>
            </w:r>
          </w:p>
        </w:tc>
        <w:tc>
          <w:tcPr>
            <w:tcW w:w="1530" w:type="dxa"/>
          </w:tcPr>
          <w:p w:rsidR="003F5784" w14:paraId="02D010DA" w14:textId="77777777">
            <w:pPr>
              <w:pStyle w:val="TableParagraph"/>
              <w:ind w:left="99"/>
              <w:jc w:val="center"/>
              <w:rPr>
                <w:sz w:val="21"/>
              </w:rPr>
            </w:pPr>
            <w:r>
              <w:rPr>
                <w:spacing w:val="-10"/>
                <w:sz w:val="21"/>
              </w:rPr>
              <w:t>#</w:t>
            </w:r>
          </w:p>
        </w:tc>
        <w:tc>
          <w:tcPr>
            <w:tcW w:w="1530" w:type="dxa"/>
          </w:tcPr>
          <w:p w:rsidR="003F5784" w14:paraId="0323242F" w14:textId="77777777">
            <w:pPr>
              <w:pStyle w:val="TableParagraph"/>
              <w:ind w:right="808"/>
              <w:rPr>
                <w:sz w:val="21"/>
              </w:rPr>
            </w:pPr>
            <w:r>
              <w:rPr>
                <w:spacing w:val="-5"/>
                <w:sz w:val="21"/>
              </w:rPr>
              <w:t>90</w:t>
            </w:r>
          </w:p>
        </w:tc>
        <w:tc>
          <w:tcPr>
            <w:tcW w:w="1980" w:type="dxa"/>
          </w:tcPr>
          <w:p w:rsidR="003F5784" w14:paraId="762FE043" w14:textId="77777777">
            <w:pPr>
              <w:pStyle w:val="TableParagraph"/>
              <w:ind w:right="729"/>
              <w:rPr>
                <w:sz w:val="21"/>
              </w:rPr>
            </w:pPr>
            <w:r>
              <w:rPr>
                <w:spacing w:val="-5"/>
                <w:sz w:val="21"/>
              </w:rPr>
              <w:t>90</w:t>
            </w:r>
          </w:p>
        </w:tc>
        <w:tc>
          <w:tcPr>
            <w:tcW w:w="1350" w:type="dxa"/>
          </w:tcPr>
          <w:p w:rsidR="003F5784" w14:paraId="25BB5C3A" w14:textId="77777777">
            <w:pPr>
              <w:pStyle w:val="TableParagraph"/>
              <w:ind w:right="123"/>
              <w:rPr>
                <w:sz w:val="21"/>
              </w:rPr>
            </w:pPr>
            <w:r>
              <w:rPr>
                <w:spacing w:val="-10"/>
                <w:sz w:val="21"/>
              </w:rPr>
              <w:t>#</w:t>
            </w:r>
          </w:p>
        </w:tc>
      </w:tr>
      <w:tr w14:paraId="5209F779"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3AF0A10B" w14:textId="77777777">
            <w:pPr>
              <w:pStyle w:val="TableParagraph"/>
              <w:ind w:left="117"/>
              <w:jc w:val="left"/>
              <w:rPr>
                <w:sz w:val="21"/>
              </w:rPr>
            </w:pPr>
            <w:r>
              <w:rPr>
                <w:sz w:val="21"/>
              </w:rPr>
              <w:t>South</w:t>
            </w:r>
            <w:r>
              <w:rPr>
                <w:spacing w:val="-6"/>
                <w:sz w:val="21"/>
              </w:rPr>
              <w:t xml:space="preserve"> </w:t>
            </w:r>
            <w:r>
              <w:rPr>
                <w:spacing w:val="-2"/>
                <w:sz w:val="21"/>
              </w:rPr>
              <w:t>Dakota</w:t>
            </w:r>
          </w:p>
        </w:tc>
        <w:tc>
          <w:tcPr>
            <w:tcW w:w="1539" w:type="dxa"/>
          </w:tcPr>
          <w:p w:rsidR="003F5784" w14:paraId="3C5EEC80" w14:textId="77777777">
            <w:pPr>
              <w:pStyle w:val="TableParagraph"/>
              <w:ind w:right="807"/>
              <w:rPr>
                <w:sz w:val="21"/>
              </w:rPr>
            </w:pPr>
            <w:r>
              <w:rPr>
                <w:spacing w:val="-5"/>
                <w:sz w:val="21"/>
              </w:rPr>
              <w:t>120</w:t>
            </w:r>
          </w:p>
        </w:tc>
        <w:tc>
          <w:tcPr>
            <w:tcW w:w="2070" w:type="dxa"/>
          </w:tcPr>
          <w:p w:rsidR="003F5784" w14:paraId="20A3CB9C" w14:textId="77777777">
            <w:pPr>
              <w:pStyle w:val="TableParagraph"/>
              <w:ind w:right="727"/>
              <w:rPr>
                <w:sz w:val="21"/>
              </w:rPr>
            </w:pPr>
            <w:r>
              <w:rPr>
                <w:spacing w:val="-5"/>
                <w:sz w:val="21"/>
              </w:rPr>
              <w:t>120</w:t>
            </w:r>
          </w:p>
        </w:tc>
        <w:tc>
          <w:tcPr>
            <w:tcW w:w="1530" w:type="dxa"/>
          </w:tcPr>
          <w:p w:rsidR="003F5784" w14:paraId="46C6E2BC" w14:textId="77777777">
            <w:pPr>
              <w:pStyle w:val="TableParagraph"/>
              <w:ind w:left="99"/>
              <w:jc w:val="center"/>
              <w:rPr>
                <w:sz w:val="21"/>
              </w:rPr>
            </w:pPr>
            <w:r>
              <w:rPr>
                <w:spacing w:val="-10"/>
                <w:sz w:val="21"/>
              </w:rPr>
              <w:t>#</w:t>
            </w:r>
          </w:p>
        </w:tc>
        <w:tc>
          <w:tcPr>
            <w:tcW w:w="1530" w:type="dxa"/>
          </w:tcPr>
          <w:p w:rsidR="003F5784" w14:paraId="56F50F93" w14:textId="77777777">
            <w:pPr>
              <w:pStyle w:val="TableParagraph"/>
              <w:ind w:right="808"/>
              <w:rPr>
                <w:sz w:val="21"/>
              </w:rPr>
            </w:pPr>
            <w:r>
              <w:rPr>
                <w:spacing w:val="-5"/>
                <w:sz w:val="21"/>
              </w:rPr>
              <w:t>100</w:t>
            </w:r>
          </w:p>
        </w:tc>
        <w:tc>
          <w:tcPr>
            <w:tcW w:w="1980" w:type="dxa"/>
          </w:tcPr>
          <w:p w:rsidR="003F5784" w14:paraId="12636CF9" w14:textId="77777777">
            <w:pPr>
              <w:pStyle w:val="TableParagraph"/>
              <w:ind w:right="729"/>
              <w:rPr>
                <w:sz w:val="21"/>
              </w:rPr>
            </w:pPr>
            <w:r>
              <w:rPr>
                <w:spacing w:val="-5"/>
                <w:sz w:val="21"/>
              </w:rPr>
              <w:t>100</w:t>
            </w:r>
          </w:p>
        </w:tc>
        <w:tc>
          <w:tcPr>
            <w:tcW w:w="1350" w:type="dxa"/>
          </w:tcPr>
          <w:p w:rsidR="003F5784" w14:paraId="0B583585" w14:textId="77777777">
            <w:pPr>
              <w:pStyle w:val="TableParagraph"/>
              <w:ind w:right="123"/>
              <w:rPr>
                <w:sz w:val="21"/>
              </w:rPr>
            </w:pPr>
            <w:r>
              <w:rPr>
                <w:spacing w:val="-10"/>
                <w:sz w:val="21"/>
              </w:rPr>
              <w:t>#</w:t>
            </w:r>
          </w:p>
        </w:tc>
      </w:tr>
      <w:tr w14:paraId="11103A83" w14:textId="77777777" w:rsidTr="00E3225D">
        <w:tblPrEx>
          <w:tblW w:w="0" w:type="auto"/>
          <w:tblInd w:w="117" w:type="dxa"/>
          <w:tblLayout w:type="fixed"/>
          <w:tblCellMar>
            <w:left w:w="0" w:type="dxa"/>
            <w:right w:w="0" w:type="dxa"/>
          </w:tblCellMar>
          <w:tblLook w:val="01E0"/>
        </w:tblPrEx>
        <w:trPr>
          <w:trHeight w:val="289"/>
        </w:trPr>
        <w:tc>
          <w:tcPr>
            <w:tcW w:w="3924" w:type="dxa"/>
            <w:tcBorders>
              <w:bottom w:val="single" w:sz="18" w:space="0" w:color="800000"/>
            </w:tcBorders>
          </w:tcPr>
          <w:p w:rsidR="003F5784" w14:paraId="6367B3B9" w14:textId="77777777">
            <w:pPr>
              <w:pStyle w:val="TableParagraph"/>
              <w:ind w:left="117"/>
              <w:jc w:val="left"/>
              <w:rPr>
                <w:sz w:val="21"/>
              </w:rPr>
            </w:pPr>
            <w:r>
              <w:rPr>
                <w:spacing w:val="-2"/>
                <w:sz w:val="21"/>
              </w:rPr>
              <w:t>Tennessee–Shelby</w:t>
            </w:r>
            <w:r>
              <w:rPr>
                <w:sz w:val="21"/>
              </w:rPr>
              <w:t xml:space="preserve"> </w:t>
            </w:r>
            <w:r>
              <w:rPr>
                <w:spacing w:val="-2"/>
                <w:sz w:val="21"/>
              </w:rPr>
              <w:t>County</w:t>
            </w:r>
          </w:p>
        </w:tc>
        <w:tc>
          <w:tcPr>
            <w:tcW w:w="1539" w:type="dxa"/>
            <w:tcBorders>
              <w:bottom w:val="single" w:sz="18" w:space="0" w:color="800000"/>
            </w:tcBorders>
          </w:tcPr>
          <w:p w:rsidR="003F5784" w14:paraId="1C66A716" w14:textId="77777777">
            <w:pPr>
              <w:pStyle w:val="TableParagraph"/>
              <w:ind w:right="807"/>
              <w:rPr>
                <w:sz w:val="21"/>
              </w:rPr>
            </w:pPr>
            <w:r>
              <w:rPr>
                <w:spacing w:val="-5"/>
                <w:sz w:val="21"/>
              </w:rPr>
              <w:t>40</w:t>
            </w:r>
          </w:p>
        </w:tc>
        <w:tc>
          <w:tcPr>
            <w:tcW w:w="2070" w:type="dxa"/>
            <w:tcBorders>
              <w:bottom w:val="single" w:sz="18" w:space="0" w:color="800000"/>
            </w:tcBorders>
          </w:tcPr>
          <w:p w:rsidR="003F5784" w14:paraId="2924B988" w14:textId="77777777">
            <w:pPr>
              <w:pStyle w:val="TableParagraph"/>
              <w:ind w:right="727"/>
              <w:rPr>
                <w:sz w:val="21"/>
              </w:rPr>
            </w:pPr>
            <w:r>
              <w:rPr>
                <w:spacing w:val="-5"/>
                <w:sz w:val="21"/>
              </w:rPr>
              <w:t>40</w:t>
            </w:r>
          </w:p>
        </w:tc>
        <w:tc>
          <w:tcPr>
            <w:tcW w:w="1530" w:type="dxa"/>
            <w:tcBorders>
              <w:bottom w:val="single" w:sz="18" w:space="0" w:color="800000"/>
            </w:tcBorders>
          </w:tcPr>
          <w:p w:rsidR="003F5784" w14:paraId="00EE5546" w14:textId="77777777">
            <w:pPr>
              <w:pStyle w:val="TableParagraph"/>
              <w:ind w:left="99"/>
              <w:jc w:val="center"/>
              <w:rPr>
                <w:sz w:val="21"/>
              </w:rPr>
            </w:pPr>
            <w:r>
              <w:rPr>
                <w:spacing w:val="-10"/>
                <w:sz w:val="21"/>
              </w:rPr>
              <w:t>#</w:t>
            </w:r>
          </w:p>
        </w:tc>
        <w:tc>
          <w:tcPr>
            <w:tcW w:w="1530" w:type="dxa"/>
            <w:tcBorders>
              <w:bottom w:val="single" w:sz="18" w:space="0" w:color="800000"/>
            </w:tcBorders>
          </w:tcPr>
          <w:p w:rsidR="003F5784" w14:paraId="524A211D" w14:textId="77777777">
            <w:pPr>
              <w:pStyle w:val="TableParagraph"/>
              <w:ind w:right="808"/>
              <w:rPr>
                <w:sz w:val="21"/>
              </w:rPr>
            </w:pPr>
            <w:r>
              <w:rPr>
                <w:spacing w:val="-5"/>
                <w:sz w:val="21"/>
              </w:rPr>
              <w:t>40</w:t>
            </w:r>
          </w:p>
        </w:tc>
        <w:tc>
          <w:tcPr>
            <w:tcW w:w="1980" w:type="dxa"/>
            <w:tcBorders>
              <w:bottom w:val="single" w:sz="18" w:space="0" w:color="800000"/>
            </w:tcBorders>
          </w:tcPr>
          <w:p w:rsidR="003F5784" w14:paraId="00E548B5" w14:textId="77777777">
            <w:pPr>
              <w:pStyle w:val="TableParagraph"/>
              <w:ind w:right="729"/>
              <w:rPr>
                <w:sz w:val="21"/>
              </w:rPr>
            </w:pPr>
            <w:r>
              <w:rPr>
                <w:spacing w:val="-5"/>
                <w:sz w:val="21"/>
              </w:rPr>
              <w:t>40</w:t>
            </w:r>
          </w:p>
        </w:tc>
        <w:tc>
          <w:tcPr>
            <w:tcW w:w="1350" w:type="dxa"/>
            <w:tcBorders>
              <w:bottom w:val="single" w:sz="18" w:space="0" w:color="800000"/>
            </w:tcBorders>
          </w:tcPr>
          <w:p w:rsidR="003F5784" w14:paraId="7722E74C" w14:textId="77777777">
            <w:pPr>
              <w:pStyle w:val="TableParagraph"/>
              <w:ind w:right="123"/>
              <w:rPr>
                <w:sz w:val="21"/>
              </w:rPr>
            </w:pPr>
            <w:r>
              <w:rPr>
                <w:spacing w:val="-10"/>
                <w:sz w:val="21"/>
              </w:rPr>
              <w:t>#</w:t>
            </w:r>
          </w:p>
        </w:tc>
      </w:tr>
    </w:tbl>
    <w:p w:rsidR="003F5784" w14:paraId="36A161D2" w14:textId="77777777">
      <w:pPr>
        <w:pStyle w:val="BodyText"/>
        <w:spacing w:before="15"/>
        <w:ind w:left="227"/>
      </w:pPr>
      <w:r>
        <w:t>#</w:t>
      </w:r>
      <w:r>
        <w:rPr>
          <w:spacing w:val="-5"/>
        </w:rPr>
        <w:t xml:space="preserve"> </w:t>
      </w:r>
      <w:r>
        <w:t>Rounds</w:t>
      </w:r>
      <w:r>
        <w:rPr>
          <w:spacing w:val="-4"/>
        </w:rPr>
        <w:t xml:space="preserve"> </w:t>
      </w:r>
      <w:r>
        <w:t>to</w:t>
      </w:r>
      <w:r>
        <w:rPr>
          <w:spacing w:val="-4"/>
        </w:rPr>
        <w:t xml:space="preserve"> </w:t>
      </w:r>
      <w:r>
        <w:rPr>
          <w:spacing w:val="-2"/>
        </w:rPr>
        <w:t>zero.</w:t>
      </w:r>
    </w:p>
    <w:p w:rsidR="003F5784" w14:paraId="683291E6" w14:textId="77777777">
      <w:pPr>
        <w:sectPr>
          <w:pgSz w:w="15840" w:h="12240" w:orient="landscape"/>
          <w:pgMar w:top="480" w:right="440" w:bottom="1260" w:left="460" w:header="284" w:footer="1075" w:gutter="0"/>
          <w:cols w:space="720"/>
        </w:sectPr>
      </w:pPr>
    </w:p>
    <w:p w:rsidR="003F5784" w14:paraId="771411DF" w14:textId="77777777">
      <w:pPr>
        <w:pStyle w:val="BodyText"/>
      </w:pPr>
    </w:p>
    <w:p w:rsidR="003F5784" w14:paraId="57FE98BD" w14:textId="77777777">
      <w:pPr>
        <w:pStyle w:val="BodyText"/>
        <w:spacing w:before="163"/>
      </w:pPr>
    </w:p>
    <w:p w:rsidR="003F5784" w14:paraId="5D3666E5" w14:textId="77777777">
      <w:pPr>
        <w:pStyle w:val="BodyText"/>
        <w:spacing w:after="20"/>
        <w:ind w:left="227"/>
      </w:pPr>
      <w:r>
        <w:rPr>
          <w:noProof/>
        </w:rPr>
        <mc:AlternateContent>
          <mc:Choice Requires="wps">
            <w:drawing>
              <wp:anchor distT="0" distB="0" distL="0" distR="0" simplePos="0" relativeHeight="251672576" behindDoc="0" locked="0" layoutInCell="1" allowOverlap="1">
                <wp:simplePos x="0" y="0"/>
                <wp:positionH relativeFrom="page">
                  <wp:posOffset>2765211</wp:posOffset>
                </wp:positionH>
                <wp:positionV relativeFrom="paragraph">
                  <wp:posOffset>-341058</wp:posOffset>
                </wp:positionV>
                <wp:extent cx="6515100" cy="493395"/>
                <wp:effectExtent l="0" t="0" r="0" b="0"/>
                <wp:wrapNone/>
                <wp:docPr id="408" name="Textbox 408"/>
                <wp:cNvGraphicFramePr/>
                <a:graphic xmlns:a="http://schemas.openxmlformats.org/drawingml/2006/main">
                  <a:graphicData uri="http://schemas.microsoft.com/office/word/2010/wordprocessingShape">
                    <wps:wsp xmlns:wps="http://schemas.microsoft.com/office/word/2010/wordprocessingShape">
                      <wps:cNvSpPr txBox="1"/>
                      <wps:spPr>
                        <a:xfrm>
                          <a:off x="0" y="0"/>
                          <a:ext cx="6515100" cy="493395"/>
                        </a:xfrm>
                        <a:prstGeom prst="rect">
                          <a:avLst/>
                        </a:prstGeom>
                      </wps:spPr>
                      <wps:txbx>
                        <w:txbxContent>
                          <w:tbl>
                            <w:tblPr>
                              <w:tblW w:w="0" w:type="auto"/>
                              <w:tblInd w:w="67" w:type="dxa"/>
                              <w:tblLayout w:type="fixed"/>
                              <w:tblCellMar>
                                <w:left w:w="0" w:type="dxa"/>
                                <w:right w:w="0" w:type="dxa"/>
                              </w:tblCellMar>
                              <w:tblLook w:val="01E0"/>
                            </w:tblPr>
                            <w:tblGrid>
                              <w:gridCol w:w="1635"/>
                              <w:gridCol w:w="2028"/>
                              <w:gridCol w:w="1560"/>
                              <w:gridCol w:w="1478"/>
                              <w:gridCol w:w="2028"/>
                              <w:gridCol w:w="1407"/>
                            </w:tblGrid>
                            <w:tr w14:paraId="6FE530E4" w14:textId="77777777">
                              <w:tblPrEx>
                                <w:tblW w:w="0" w:type="auto"/>
                                <w:tblInd w:w="67" w:type="dxa"/>
                                <w:tblLayout w:type="fixed"/>
                                <w:tblCellMar>
                                  <w:left w:w="0" w:type="dxa"/>
                                  <w:right w:w="0" w:type="dxa"/>
                                </w:tblCellMar>
                                <w:tblLook w:val="01E0"/>
                              </w:tblPrEx>
                              <w:trPr>
                                <w:trHeight w:val="248"/>
                              </w:trPr>
                              <w:tc>
                                <w:tcPr>
                                  <w:tcW w:w="1635" w:type="dxa"/>
                                  <w:tcBorders>
                                    <w:bottom w:val="single" w:sz="18" w:space="0" w:color="800000"/>
                                  </w:tcBorders>
                                </w:tcPr>
                                <w:p w:rsidR="003F5784" w14:textId="77777777">
                                  <w:pPr>
                                    <w:pStyle w:val="TableParagraph"/>
                                    <w:spacing w:before="0"/>
                                    <w:jc w:val="left"/>
                                    <w:rPr>
                                      <w:sz w:val="18"/>
                                    </w:rPr>
                                  </w:pPr>
                                </w:p>
                              </w:tc>
                              <w:tc>
                                <w:tcPr>
                                  <w:tcW w:w="2028" w:type="dxa"/>
                                  <w:tcBorders>
                                    <w:bottom w:val="single" w:sz="18" w:space="0" w:color="800000"/>
                                  </w:tcBorders>
                                </w:tcPr>
                                <w:p w:rsidR="003F5784" w14:textId="77777777">
                                  <w:pPr>
                                    <w:pStyle w:val="TableParagraph"/>
                                    <w:spacing w:before="0" w:line="228" w:lineRule="exact"/>
                                    <w:ind w:left="564"/>
                                    <w:jc w:val="left"/>
                                    <w:rPr>
                                      <w:sz w:val="21"/>
                                    </w:rPr>
                                  </w:pPr>
                                  <w:r>
                                    <w:rPr>
                                      <w:sz w:val="21"/>
                                    </w:rPr>
                                    <w:t>Grade</w:t>
                                  </w:r>
                                  <w:r>
                                    <w:rPr>
                                      <w:spacing w:val="-7"/>
                                      <w:sz w:val="21"/>
                                    </w:rPr>
                                    <w:t xml:space="preserve"> </w:t>
                                  </w:r>
                                  <w:r>
                                    <w:rPr>
                                      <w:spacing w:val="-10"/>
                                      <w:sz w:val="21"/>
                                    </w:rPr>
                                    <w:t>4</w:t>
                                  </w:r>
                                </w:p>
                              </w:tc>
                              <w:tc>
                                <w:tcPr>
                                  <w:tcW w:w="1560" w:type="dxa"/>
                                  <w:tcBorders>
                                    <w:bottom w:val="single" w:sz="18" w:space="0" w:color="800000"/>
                                  </w:tcBorders>
                                </w:tcPr>
                                <w:p w:rsidR="003F5784" w14:textId="77777777">
                                  <w:pPr>
                                    <w:pStyle w:val="TableParagraph"/>
                                    <w:spacing w:before="0"/>
                                    <w:jc w:val="left"/>
                                    <w:rPr>
                                      <w:sz w:val="18"/>
                                    </w:rPr>
                                  </w:pPr>
                                </w:p>
                              </w:tc>
                              <w:tc>
                                <w:tcPr>
                                  <w:tcW w:w="1478" w:type="dxa"/>
                                  <w:tcBorders>
                                    <w:bottom w:val="single" w:sz="18" w:space="0" w:color="800000"/>
                                  </w:tcBorders>
                                </w:tcPr>
                                <w:p w:rsidR="003F5784" w14:textId="77777777">
                                  <w:pPr>
                                    <w:pStyle w:val="TableParagraph"/>
                                    <w:spacing w:before="0"/>
                                    <w:jc w:val="left"/>
                                    <w:rPr>
                                      <w:sz w:val="18"/>
                                    </w:rPr>
                                  </w:pPr>
                                </w:p>
                              </w:tc>
                              <w:tc>
                                <w:tcPr>
                                  <w:tcW w:w="2028" w:type="dxa"/>
                                  <w:tcBorders>
                                    <w:bottom w:val="single" w:sz="18" w:space="0" w:color="800000"/>
                                  </w:tcBorders>
                                </w:tcPr>
                                <w:p w:rsidR="003F5784" w14:textId="77777777">
                                  <w:pPr>
                                    <w:pStyle w:val="TableParagraph"/>
                                    <w:spacing w:before="0" w:line="228" w:lineRule="exact"/>
                                    <w:ind w:left="566"/>
                                    <w:jc w:val="left"/>
                                    <w:rPr>
                                      <w:sz w:val="21"/>
                                    </w:rPr>
                                  </w:pPr>
                                  <w:r>
                                    <w:rPr>
                                      <w:sz w:val="21"/>
                                    </w:rPr>
                                    <w:t>Grade</w:t>
                                  </w:r>
                                  <w:r>
                                    <w:rPr>
                                      <w:spacing w:val="-7"/>
                                      <w:sz w:val="21"/>
                                    </w:rPr>
                                    <w:t xml:space="preserve"> </w:t>
                                  </w:r>
                                  <w:r>
                                    <w:rPr>
                                      <w:spacing w:val="-10"/>
                                      <w:sz w:val="21"/>
                                    </w:rPr>
                                    <w:t>8</w:t>
                                  </w:r>
                                </w:p>
                              </w:tc>
                              <w:tc>
                                <w:tcPr>
                                  <w:tcW w:w="1407" w:type="dxa"/>
                                  <w:tcBorders>
                                    <w:bottom w:val="single" w:sz="18" w:space="0" w:color="800000"/>
                                  </w:tcBorders>
                                </w:tcPr>
                                <w:p w:rsidR="003F5784" w14:textId="77777777">
                                  <w:pPr>
                                    <w:pStyle w:val="TableParagraph"/>
                                    <w:spacing w:before="0"/>
                                    <w:jc w:val="left"/>
                                    <w:rPr>
                                      <w:sz w:val="18"/>
                                    </w:rPr>
                                  </w:pPr>
                                </w:p>
                              </w:tc>
                            </w:tr>
                            <w:tr w14:paraId="49B33A15" w14:textId="77777777">
                              <w:tblPrEx>
                                <w:tblW w:w="0" w:type="auto"/>
                                <w:tblInd w:w="67" w:type="dxa"/>
                                <w:tblLayout w:type="fixed"/>
                                <w:tblCellMar>
                                  <w:left w:w="0" w:type="dxa"/>
                                  <w:right w:w="0" w:type="dxa"/>
                                </w:tblCellMar>
                                <w:tblLook w:val="01E0"/>
                              </w:tblPrEx>
                              <w:trPr>
                                <w:trHeight w:val="252"/>
                              </w:trPr>
                              <w:tc>
                                <w:tcPr>
                                  <w:tcW w:w="1635" w:type="dxa"/>
                                  <w:tcBorders>
                                    <w:top w:val="single" w:sz="18" w:space="0" w:color="800000"/>
                                  </w:tcBorders>
                                </w:tcPr>
                                <w:p w:rsidR="003F5784" w14:textId="77777777">
                                  <w:pPr>
                                    <w:pStyle w:val="TableParagraph"/>
                                    <w:spacing w:before="9" w:line="223" w:lineRule="exact"/>
                                    <w:ind w:right="179"/>
                                    <w:rPr>
                                      <w:sz w:val="21"/>
                                    </w:rPr>
                                  </w:pPr>
                                  <w:r>
                                    <w:rPr>
                                      <w:spacing w:val="-2"/>
                                      <w:sz w:val="21"/>
                                    </w:rPr>
                                    <w:t>Total</w:t>
                                  </w:r>
                                  <w:r>
                                    <w:rPr>
                                      <w:spacing w:val="-11"/>
                                      <w:sz w:val="21"/>
                                    </w:rPr>
                                    <w:t xml:space="preserve"> </w:t>
                                  </w:r>
                                  <w:r>
                                    <w:rPr>
                                      <w:spacing w:val="-2"/>
                                      <w:sz w:val="21"/>
                                    </w:rPr>
                                    <w:t>school</w:t>
                                  </w:r>
                                </w:p>
                              </w:tc>
                              <w:tc>
                                <w:tcPr>
                                  <w:tcW w:w="2028" w:type="dxa"/>
                                  <w:tcBorders>
                                    <w:top w:val="single" w:sz="18" w:space="0" w:color="800000"/>
                                  </w:tcBorders>
                                </w:tcPr>
                                <w:p w:rsidR="003F5784" w14:textId="77777777">
                                  <w:pPr>
                                    <w:pStyle w:val="TableParagraph"/>
                                    <w:spacing w:before="9" w:line="223" w:lineRule="exact"/>
                                    <w:ind w:right="275"/>
                                    <w:rPr>
                                      <w:sz w:val="21"/>
                                    </w:rPr>
                                  </w:pPr>
                                  <w:r>
                                    <w:rPr>
                                      <w:sz w:val="21"/>
                                    </w:rPr>
                                    <w:t>CCD-based</w:t>
                                  </w:r>
                                  <w:r>
                                    <w:rPr>
                                      <w:spacing w:val="-11"/>
                                      <w:sz w:val="21"/>
                                    </w:rPr>
                                    <w:t xml:space="preserve"> </w:t>
                                  </w:r>
                                  <w:r>
                                    <w:rPr>
                                      <w:spacing w:val="-2"/>
                                      <w:sz w:val="21"/>
                                    </w:rPr>
                                    <w:t>school</w:t>
                                  </w:r>
                                </w:p>
                              </w:tc>
                              <w:tc>
                                <w:tcPr>
                                  <w:tcW w:w="1560" w:type="dxa"/>
                                  <w:tcBorders>
                                    <w:top w:val="single" w:sz="18" w:space="0" w:color="800000"/>
                                  </w:tcBorders>
                                </w:tcPr>
                                <w:p w:rsidR="003F5784" w14:textId="77777777">
                                  <w:pPr>
                                    <w:pStyle w:val="TableParagraph"/>
                                    <w:spacing w:before="9" w:line="223" w:lineRule="exact"/>
                                    <w:ind w:right="272"/>
                                    <w:rPr>
                                      <w:sz w:val="21"/>
                                    </w:rPr>
                                  </w:pPr>
                                  <w:r>
                                    <w:rPr>
                                      <w:spacing w:val="-2"/>
                                      <w:sz w:val="21"/>
                                    </w:rPr>
                                    <w:t>New-school</w:t>
                                  </w:r>
                                </w:p>
                              </w:tc>
                              <w:tc>
                                <w:tcPr>
                                  <w:tcW w:w="1478" w:type="dxa"/>
                                  <w:tcBorders>
                                    <w:top w:val="single" w:sz="18" w:space="0" w:color="800000"/>
                                  </w:tcBorders>
                                </w:tcPr>
                                <w:p w:rsidR="003F5784" w14:textId="77777777">
                                  <w:pPr>
                                    <w:pStyle w:val="TableParagraph"/>
                                    <w:spacing w:before="9" w:line="223" w:lineRule="exact"/>
                                    <w:ind w:right="177"/>
                                    <w:rPr>
                                      <w:sz w:val="21"/>
                                    </w:rPr>
                                  </w:pPr>
                                  <w:r>
                                    <w:rPr>
                                      <w:spacing w:val="-2"/>
                                      <w:sz w:val="21"/>
                                    </w:rPr>
                                    <w:t>Total</w:t>
                                  </w:r>
                                  <w:r>
                                    <w:rPr>
                                      <w:spacing w:val="-11"/>
                                      <w:sz w:val="21"/>
                                    </w:rPr>
                                    <w:t xml:space="preserve"> </w:t>
                                  </w:r>
                                  <w:r>
                                    <w:rPr>
                                      <w:spacing w:val="-2"/>
                                      <w:sz w:val="21"/>
                                    </w:rPr>
                                    <w:t>school</w:t>
                                  </w:r>
                                </w:p>
                              </w:tc>
                              <w:tc>
                                <w:tcPr>
                                  <w:tcW w:w="2028" w:type="dxa"/>
                                  <w:tcBorders>
                                    <w:top w:val="single" w:sz="18" w:space="0" w:color="800000"/>
                                  </w:tcBorders>
                                </w:tcPr>
                                <w:p w:rsidR="003F5784" w14:textId="77777777">
                                  <w:pPr>
                                    <w:pStyle w:val="TableParagraph"/>
                                    <w:spacing w:before="9" w:line="223" w:lineRule="exact"/>
                                    <w:ind w:right="273"/>
                                    <w:rPr>
                                      <w:sz w:val="21"/>
                                    </w:rPr>
                                  </w:pPr>
                                  <w:r>
                                    <w:rPr>
                                      <w:sz w:val="21"/>
                                    </w:rPr>
                                    <w:t>CCD-based</w:t>
                                  </w:r>
                                  <w:r>
                                    <w:rPr>
                                      <w:spacing w:val="-11"/>
                                      <w:sz w:val="21"/>
                                    </w:rPr>
                                    <w:t xml:space="preserve"> </w:t>
                                  </w:r>
                                  <w:r>
                                    <w:rPr>
                                      <w:spacing w:val="-2"/>
                                      <w:sz w:val="21"/>
                                    </w:rPr>
                                    <w:t>school</w:t>
                                  </w:r>
                                </w:p>
                              </w:tc>
                              <w:tc>
                                <w:tcPr>
                                  <w:tcW w:w="1407" w:type="dxa"/>
                                  <w:tcBorders>
                                    <w:top w:val="single" w:sz="18" w:space="0" w:color="800000"/>
                                  </w:tcBorders>
                                </w:tcPr>
                                <w:p w:rsidR="003F5784" w14:textId="77777777">
                                  <w:pPr>
                                    <w:pStyle w:val="TableParagraph"/>
                                    <w:spacing w:before="9" w:line="223" w:lineRule="exact"/>
                                    <w:ind w:right="116"/>
                                    <w:rPr>
                                      <w:sz w:val="21"/>
                                    </w:rPr>
                                  </w:pPr>
                                  <w:r>
                                    <w:rPr>
                                      <w:spacing w:val="-2"/>
                                      <w:sz w:val="21"/>
                                    </w:rPr>
                                    <w:t>New-school</w:t>
                                  </w:r>
                                </w:p>
                              </w:tc>
                            </w:tr>
                            <w:tr w14:paraId="72E3D084" w14:textId="77777777">
                              <w:tblPrEx>
                                <w:tblW w:w="0" w:type="auto"/>
                                <w:tblInd w:w="67" w:type="dxa"/>
                                <w:tblLayout w:type="fixed"/>
                                <w:tblCellMar>
                                  <w:left w:w="0" w:type="dxa"/>
                                  <w:right w:w="0" w:type="dxa"/>
                                </w:tblCellMar>
                                <w:tblLook w:val="01E0"/>
                              </w:tblPrEx>
                              <w:trPr>
                                <w:trHeight w:val="232"/>
                              </w:trPr>
                              <w:tc>
                                <w:tcPr>
                                  <w:tcW w:w="1635" w:type="dxa"/>
                                </w:tcPr>
                                <w:p w:rsidR="003F5784" w14:textId="77777777">
                                  <w:pPr>
                                    <w:pStyle w:val="TableParagraph"/>
                                    <w:spacing w:before="0" w:line="213" w:lineRule="exact"/>
                                    <w:ind w:right="179"/>
                                    <w:rPr>
                                      <w:sz w:val="21"/>
                                    </w:rPr>
                                  </w:pPr>
                                  <w:r>
                                    <w:rPr>
                                      <w:spacing w:val="-2"/>
                                      <w:sz w:val="21"/>
                                    </w:rPr>
                                    <w:t>sample</w:t>
                                  </w:r>
                                </w:p>
                              </w:tc>
                              <w:tc>
                                <w:tcPr>
                                  <w:tcW w:w="2028" w:type="dxa"/>
                                </w:tcPr>
                                <w:p w:rsidR="003F5784" w14:textId="77777777">
                                  <w:pPr>
                                    <w:pStyle w:val="TableParagraph"/>
                                    <w:spacing w:before="0" w:line="213" w:lineRule="exact"/>
                                    <w:ind w:right="275"/>
                                    <w:rPr>
                                      <w:sz w:val="21"/>
                                    </w:rPr>
                                  </w:pPr>
                                  <w:r>
                                    <w:rPr>
                                      <w:spacing w:val="-2"/>
                                      <w:sz w:val="21"/>
                                    </w:rPr>
                                    <w:t>sample</w:t>
                                  </w:r>
                                </w:p>
                              </w:tc>
                              <w:tc>
                                <w:tcPr>
                                  <w:tcW w:w="1560" w:type="dxa"/>
                                </w:tcPr>
                                <w:p w:rsidR="003F5784" w14:textId="77777777">
                                  <w:pPr>
                                    <w:pStyle w:val="TableParagraph"/>
                                    <w:spacing w:before="0" w:line="213" w:lineRule="exact"/>
                                    <w:ind w:right="272"/>
                                    <w:rPr>
                                      <w:sz w:val="21"/>
                                    </w:rPr>
                                  </w:pPr>
                                  <w:r>
                                    <w:rPr>
                                      <w:spacing w:val="-2"/>
                                      <w:sz w:val="21"/>
                                    </w:rPr>
                                    <w:t>sample</w:t>
                                  </w:r>
                                </w:p>
                              </w:tc>
                              <w:tc>
                                <w:tcPr>
                                  <w:tcW w:w="1478" w:type="dxa"/>
                                </w:tcPr>
                                <w:p w:rsidR="003F5784" w14:textId="77777777">
                                  <w:pPr>
                                    <w:pStyle w:val="TableParagraph"/>
                                    <w:spacing w:before="0" w:line="213" w:lineRule="exact"/>
                                    <w:ind w:right="177"/>
                                    <w:rPr>
                                      <w:sz w:val="21"/>
                                    </w:rPr>
                                  </w:pPr>
                                  <w:r>
                                    <w:rPr>
                                      <w:spacing w:val="-2"/>
                                      <w:sz w:val="21"/>
                                    </w:rPr>
                                    <w:t>sample</w:t>
                                  </w:r>
                                </w:p>
                              </w:tc>
                              <w:tc>
                                <w:tcPr>
                                  <w:tcW w:w="2028" w:type="dxa"/>
                                </w:tcPr>
                                <w:p w:rsidR="003F5784" w14:textId="77777777">
                                  <w:pPr>
                                    <w:pStyle w:val="TableParagraph"/>
                                    <w:spacing w:before="0" w:line="213" w:lineRule="exact"/>
                                    <w:ind w:right="273"/>
                                    <w:rPr>
                                      <w:sz w:val="21"/>
                                    </w:rPr>
                                  </w:pPr>
                                  <w:r>
                                    <w:rPr>
                                      <w:spacing w:val="-2"/>
                                      <w:sz w:val="21"/>
                                    </w:rPr>
                                    <w:t>sample</w:t>
                                  </w:r>
                                </w:p>
                              </w:tc>
                              <w:tc>
                                <w:tcPr>
                                  <w:tcW w:w="1407" w:type="dxa"/>
                                </w:tcPr>
                                <w:p w:rsidR="003F5784" w14:textId="77777777">
                                  <w:pPr>
                                    <w:pStyle w:val="TableParagraph"/>
                                    <w:spacing w:before="0" w:line="213" w:lineRule="exact"/>
                                    <w:ind w:right="117"/>
                                    <w:rPr>
                                      <w:sz w:val="21"/>
                                    </w:rPr>
                                  </w:pPr>
                                  <w:r>
                                    <w:rPr>
                                      <w:spacing w:val="-2"/>
                                      <w:sz w:val="21"/>
                                    </w:rPr>
                                    <w:t>sample</w:t>
                                  </w:r>
                                </w:p>
                              </w:tc>
                            </w:tr>
                          </w:tbl>
                          <w:p w:rsidR="003F5784" w14:textId="77777777">
                            <w:pPr>
                              <w:pStyle w:val="BodyText"/>
                            </w:pPr>
                          </w:p>
                        </w:txbxContent>
                      </wps:txbx>
                      <wps:bodyPr wrap="square" lIns="0" tIns="0" rIns="0" bIns="0" rtlCol="0"/>
                    </wps:wsp>
                  </a:graphicData>
                </a:graphic>
              </wp:anchor>
            </w:drawing>
          </mc:Choice>
          <mc:Fallback>
            <w:pict>
              <v:shape id="Textbox 408" o:spid="_x0000_s1150" type="#_x0000_t202" style="width:513pt;height:38.85pt;margin-top:-26.85pt;margin-left:217.75pt;mso-position-horizontal-relative:page;mso-wrap-distance-bottom:0;mso-wrap-distance-left:0;mso-wrap-distance-right:0;mso-wrap-distance-top:0;mso-wrap-style:square;position:absolute;visibility:visible;v-text-anchor:top;z-index:251673600" filled="f" stroked="f">
                <v:textbox inset="0,0,0,0">
                  <w:txbxContent>
                    <w:tbl>
                      <w:tblPr>
                        <w:tblW w:w="0" w:type="auto"/>
                        <w:tblInd w:w="67" w:type="dxa"/>
                        <w:tblLayout w:type="fixed"/>
                        <w:tblCellMar>
                          <w:left w:w="0" w:type="dxa"/>
                          <w:right w:w="0" w:type="dxa"/>
                        </w:tblCellMar>
                        <w:tblLook w:val="01E0"/>
                      </w:tblPr>
                      <w:tblGrid>
                        <w:gridCol w:w="1635"/>
                        <w:gridCol w:w="2028"/>
                        <w:gridCol w:w="1560"/>
                        <w:gridCol w:w="1478"/>
                        <w:gridCol w:w="2028"/>
                        <w:gridCol w:w="1407"/>
                      </w:tblGrid>
                      <w:tr w14:paraId="6FE530E4" w14:textId="77777777">
                        <w:tblPrEx>
                          <w:tblW w:w="0" w:type="auto"/>
                          <w:tblInd w:w="67" w:type="dxa"/>
                          <w:tblLayout w:type="fixed"/>
                          <w:tblCellMar>
                            <w:left w:w="0" w:type="dxa"/>
                            <w:right w:w="0" w:type="dxa"/>
                          </w:tblCellMar>
                          <w:tblLook w:val="01E0"/>
                        </w:tblPrEx>
                        <w:trPr>
                          <w:trHeight w:val="248"/>
                        </w:trPr>
                        <w:tc>
                          <w:tcPr>
                            <w:tcW w:w="1635" w:type="dxa"/>
                            <w:tcBorders>
                              <w:bottom w:val="single" w:sz="18" w:space="0" w:color="800000"/>
                            </w:tcBorders>
                          </w:tcPr>
                          <w:p w:rsidR="003F5784" w14:paraId="65E92CB2" w14:textId="77777777">
                            <w:pPr>
                              <w:pStyle w:val="TableParagraph"/>
                              <w:spacing w:before="0"/>
                              <w:jc w:val="left"/>
                              <w:rPr>
                                <w:sz w:val="18"/>
                              </w:rPr>
                            </w:pPr>
                          </w:p>
                        </w:tc>
                        <w:tc>
                          <w:tcPr>
                            <w:tcW w:w="2028" w:type="dxa"/>
                            <w:tcBorders>
                              <w:bottom w:val="single" w:sz="18" w:space="0" w:color="800000"/>
                            </w:tcBorders>
                          </w:tcPr>
                          <w:p w:rsidR="003F5784" w14:paraId="3D648700" w14:textId="77777777">
                            <w:pPr>
                              <w:pStyle w:val="TableParagraph"/>
                              <w:spacing w:before="0" w:line="228" w:lineRule="exact"/>
                              <w:ind w:left="564"/>
                              <w:jc w:val="left"/>
                              <w:rPr>
                                <w:sz w:val="21"/>
                              </w:rPr>
                            </w:pPr>
                            <w:r>
                              <w:rPr>
                                <w:sz w:val="21"/>
                              </w:rPr>
                              <w:t>Grade</w:t>
                            </w:r>
                            <w:r>
                              <w:rPr>
                                <w:spacing w:val="-7"/>
                                <w:sz w:val="21"/>
                              </w:rPr>
                              <w:t xml:space="preserve"> </w:t>
                            </w:r>
                            <w:r>
                              <w:rPr>
                                <w:spacing w:val="-10"/>
                                <w:sz w:val="21"/>
                              </w:rPr>
                              <w:t>4</w:t>
                            </w:r>
                          </w:p>
                        </w:tc>
                        <w:tc>
                          <w:tcPr>
                            <w:tcW w:w="1560" w:type="dxa"/>
                            <w:tcBorders>
                              <w:bottom w:val="single" w:sz="18" w:space="0" w:color="800000"/>
                            </w:tcBorders>
                          </w:tcPr>
                          <w:p w:rsidR="003F5784" w14:paraId="549BD8C6" w14:textId="77777777">
                            <w:pPr>
                              <w:pStyle w:val="TableParagraph"/>
                              <w:spacing w:before="0"/>
                              <w:jc w:val="left"/>
                              <w:rPr>
                                <w:sz w:val="18"/>
                              </w:rPr>
                            </w:pPr>
                          </w:p>
                        </w:tc>
                        <w:tc>
                          <w:tcPr>
                            <w:tcW w:w="1478" w:type="dxa"/>
                            <w:tcBorders>
                              <w:bottom w:val="single" w:sz="18" w:space="0" w:color="800000"/>
                            </w:tcBorders>
                          </w:tcPr>
                          <w:p w:rsidR="003F5784" w14:paraId="79D81298" w14:textId="77777777">
                            <w:pPr>
                              <w:pStyle w:val="TableParagraph"/>
                              <w:spacing w:before="0"/>
                              <w:jc w:val="left"/>
                              <w:rPr>
                                <w:sz w:val="18"/>
                              </w:rPr>
                            </w:pPr>
                          </w:p>
                        </w:tc>
                        <w:tc>
                          <w:tcPr>
                            <w:tcW w:w="2028" w:type="dxa"/>
                            <w:tcBorders>
                              <w:bottom w:val="single" w:sz="18" w:space="0" w:color="800000"/>
                            </w:tcBorders>
                          </w:tcPr>
                          <w:p w:rsidR="003F5784" w14:paraId="714E5C48" w14:textId="77777777">
                            <w:pPr>
                              <w:pStyle w:val="TableParagraph"/>
                              <w:spacing w:before="0" w:line="228" w:lineRule="exact"/>
                              <w:ind w:left="566"/>
                              <w:jc w:val="left"/>
                              <w:rPr>
                                <w:sz w:val="21"/>
                              </w:rPr>
                            </w:pPr>
                            <w:r>
                              <w:rPr>
                                <w:sz w:val="21"/>
                              </w:rPr>
                              <w:t>Grade</w:t>
                            </w:r>
                            <w:r>
                              <w:rPr>
                                <w:spacing w:val="-7"/>
                                <w:sz w:val="21"/>
                              </w:rPr>
                              <w:t xml:space="preserve"> </w:t>
                            </w:r>
                            <w:r>
                              <w:rPr>
                                <w:spacing w:val="-10"/>
                                <w:sz w:val="21"/>
                              </w:rPr>
                              <w:t>8</w:t>
                            </w:r>
                          </w:p>
                        </w:tc>
                        <w:tc>
                          <w:tcPr>
                            <w:tcW w:w="1407" w:type="dxa"/>
                            <w:tcBorders>
                              <w:bottom w:val="single" w:sz="18" w:space="0" w:color="800000"/>
                            </w:tcBorders>
                          </w:tcPr>
                          <w:p w:rsidR="003F5784" w14:paraId="66373B27" w14:textId="77777777">
                            <w:pPr>
                              <w:pStyle w:val="TableParagraph"/>
                              <w:spacing w:before="0"/>
                              <w:jc w:val="left"/>
                              <w:rPr>
                                <w:sz w:val="18"/>
                              </w:rPr>
                            </w:pPr>
                          </w:p>
                        </w:tc>
                      </w:tr>
                      <w:tr w14:paraId="49B33A15" w14:textId="77777777">
                        <w:tblPrEx>
                          <w:tblW w:w="0" w:type="auto"/>
                          <w:tblInd w:w="67" w:type="dxa"/>
                          <w:tblLayout w:type="fixed"/>
                          <w:tblCellMar>
                            <w:left w:w="0" w:type="dxa"/>
                            <w:right w:w="0" w:type="dxa"/>
                          </w:tblCellMar>
                          <w:tblLook w:val="01E0"/>
                        </w:tblPrEx>
                        <w:trPr>
                          <w:trHeight w:val="252"/>
                        </w:trPr>
                        <w:tc>
                          <w:tcPr>
                            <w:tcW w:w="1635" w:type="dxa"/>
                            <w:tcBorders>
                              <w:top w:val="single" w:sz="18" w:space="0" w:color="800000"/>
                            </w:tcBorders>
                          </w:tcPr>
                          <w:p w:rsidR="003F5784" w14:paraId="46917FFB" w14:textId="77777777">
                            <w:pPr>
                              <w:pStyle w:val="TableParagraph"/>
                              <w:spacing w:before="9" w:line="223" w:lineRule="exact"/>
                              <w:ind w:right="179"/>
                              <w:rPr>
                                <w:sz w:val="21"/>
                              </w:rPr>
                            </w:pPr>
                            <w:r>
                              <w:rPr>
                                <w:spacing w:val="-2"/>
                                <w:sz w:val="21"/>
                              </w:rPr>
                              <w:t>Total</w:t>
                            </w:r>
                            <w:r>
                              <w:rPr>
                                <w:spacing w:val="-11"/>
                                <w:sz w:val="21"/>
                              </w:rPr>
                              <w:t xml:space="preserve"> </w:t>
                            </w:r>
                            <w:r>
                              <w:rPr>
                                <w:spacing w:val="-2"/>
                                <w:sz w:val="21"/>
                              </w:rPr>
                              <w:t>school</w:t>
                            </w:r>
                          </w:p>
                        </w:tc>
                        <w:tc>
                          <w:tcPr>
                            <w:tcW w:w="2028" w:type="dxa"/>
                            <w:tcBorders>
                              <w:top w:val="single" w:sz="18" w:space="0" w:color="800000"/>
                            </w:tcBorders>
                          </w:tcPr>
                          <w:p w:rsidR="003F5784" w14:paraId="56E7A26A" w14:textId="77777777">
                            <w:pPr>
                              <w:pStyle w:val="TableParagraph"/>
                              <w:spacing w:before="9" w:line="223" w:lineRule="exact"/>
                              <w:ind w:right="275"/>
                              <w:rPr>
                                <w:sz w:val="21"/>
                              </w:rPr>
                            </w:pPr>
                            <w:r>
                              <w:rPr>
                                <w:sz w:val="21"/>
                              </w:rPr>
                              <w:t>CCD-based</w:t>
                            </w:r>
                            <w:r>
                              <w:rPr>
                                <w:spacing w:val="-11"/>
                                <w:sz w:val="21"/>
                              </w:rPr>
                              <w:t xml:space="preserve"> </w:t>
                            </w:r>
                            <w:r>
                              <w:rPr>
                                <w:spacing w:val="-2"/>
                                <w:sz w:val="21"/>
                              </w:rPr>
                              <w:t>school</w:t>
                            </w:r>
                          </w:p>
                        </w:tc>
                        <w:tc>
                          <w:tcPr>
                            <w:tcW w:w="1560" w:type="dxa"/>
                            <w:tcBorders>
                              <w:top w:val="single" w:sz="18" w:space="0" w:color="800000"/>
                            </w:tcBorders>
                          </w:tcPr>
                          <w:p w:rsidR="003F5784" w14:paraId="0F4E9B5F" w14:textId="77777777">
                            <w:pPr>
                              <w:pStyle w:val="TableParagraph"/>
                              <w:spacing w:before="9" w:line="223" w:lineRule="exact"/>
                              <w:ind w:right="272"/>
                              <w:rPr>
                                <w:sz w:val="21"/>
                              </w:rPr>
                            </w:pPr>
                            <w:r>
                              <w:rPr>
                                <w:spacing w:val="-2"/>
                                <w:sz w:val="21"/>
                              </w:rPr>
                              <w:t>New-school</w:t>
                            </w:r>
                          </w:p>
                        </w:tc>
                        <w:tc>
                          <w:tcPr>
                            <w:tcW w:w="1478" w:type="dxa"/>
                            <w:tcBorders>
                              <w:top w:val="single" w:sz="18" w:space="0" w:color="800000"/>
                            </w:tcBorders>
                          </w:tcPr>
                          <w:p w:rsidR="003F5784" w14:paraId="55AB3D57" w14:textId="77777777">
                            <w:pPr>
                              <w:pStyle w:val="TableParagraph"/>
                              <w:spacing w:before="9" w:line="223" w:lineRule="exact"/>
                              <w:ind w:right="177"/>
                              <w:rPr>
                                <w:sz w:val="21"/>
                              </w:rPr>
                            </w:pPr>
                            <w:r>
                              <w:rPr>
                                <w:spacing w:val="-2"/>
                                <w:sz w:val="21"/>
                              </w:rPr>
                              <w:t>Total</w:t>
                            </w:r>
                            <w:r>
                              <w:rPr>
                                <w:spacing w:val="-11"/>
                                <w:sz w:val="21"/>
                              </w:rPr>
                              <w:t xml:space="preserve"> </w:t>
                            </w:r>
                            <w:r>
                              <w:rPr>
                                <w:spacing w:val="-2"/>
                                <w:sz w:val="21"/>
                              </w:rPr>
                              <w:t>school</w:t>
                            </w:r>
                          </w:p>
                        </w:tc>
                        <w:tc>
                          <w:tcPr>
                            <w:tcW w:w="2028" w:type="dxa"/>
                            <w:tcBorders>
                              <w:top w:val="single" w:sz="18" w:space="0" w:color="800000"/>
                            </w:tcBorders>
                          </w:tcPr>
                          <w:p w:rsidR="003F5784" w14:paraId="255D046E" w14:textId="77777777">
                            <w:pPr>
                              <w:pStyle w:val="TableParagraph"/>
                              <w:spacing w:before="9" w:line="223" w:lineRule="exact"/>
                              <w:ind w:right="273"/>
                              <w:rPr>
                                <w:sz w:val="21"/>
                              </w:rPr>
                            </w:pPr>
                            <w:r>
                              <w:rPr>
                                <w:sz w:val="21"/>
                              </w:rPr>
                              <w:t>CCD-based</w:t>
                            </w:r>
                            <w:r>
                              <w:rPr>
                                <w:spacing w:val="-11"/>
                                <w:sz w:val="21"/>
                              </w:rPr>
                              <w:t xml:space="preserve"> </w:t>
                            </w:r>
                            <w:r>
                              <w:rPr>
                                <w:spacing w:val="-2"/>
                                <w:sz w:val="21"/>
                              </w:rPr>
                              <w:t>school</w:t>
                            </w:r>
                          </w:p>
                        </w:tc>
                        <w:tc>
                          <w:tcPr>
                            <w:tcW w:w="1407" w:type="dxa"/>
                            <w:tcBorders>
                              <w:top w:val="single" w:sz="18" w:space="0" w:color="800000"/>
                            </w:tcBorders>
                          </w:tcPr>
                          <w:p w:rsidR="003F5784" w14:paraId="7C7FB0EC" w14:textId="77777777">
                            <w:pPr>
                              <w:pStyle w:val="TableParagraph"/>
                              <w:spacing w:before="9" w:line="223" w:lineRule="exact"/>
                              <w:ind w:right="116"/>
                              <w:rPr>
                                <w:sz w:val="21"/>
                              </w:rPr>
                            </w:pPr>
                            <w:r>
                              <w:rPr>
                                <w:spacing w:val="-2"/>
                                <w:sz w:val="21"/>
                              </w:rPr>
                              <w:t>New-school</w:t>
                            </w:r>
                          </w:p>
                        </w:tc>
                      </w:tr>
                      <w:tr w14:paraId="72E3D084" w14:textId="77777777">
                        <w:tblPrEx>
                          <w:tblW w:w="0" w:type="auto"/>
                          <w:tblInd w:w="67" w:type="dxa"/>
                          <w:tblLayout w:type="fixed"/>
                          <w:tblCellMar>
                            <w:left w:w="0" w:type="dxa"/>
                            <w:right w:w="0" w:type="dxa"/>
                          </w:tblCellMar>
                          <w:tblLook w:val="01E0"/>
                        </w:tblPrEx>
                        <w:trPr>
                          <w:trHeight w:val="232"/>
                        </w:trPr>
                        <w:tc>
                          <w:tcPr>
                            <w:tcW w:w="1635" w:type="dxa"/>
                          </w:tcPr>
                          <w:p w:rsidR="003F5784" w14:paraId="7BC80447" w14:textId="77777777">
                            <w:pPr>
                              <w:pStyle w:val="TableParagraph"/>
                              <w:spacing w:before="0" w:line="213" w:lineRule="exact"/>
                              <w:ind w:right="179"/>
                              <w:rPr>
                                <w:sz w:val="21"/>
                              </w:rPr>
                            </w:pPr>
                            <w:r>
                              <w:rPr>
                                <w:spacing w:val="-2"/>
                                <w:sz w:val="21"/>
                              </w:rPr>
                              <w:t>sample</w:t>
                            </w:r>
                          </w:p>
                        </w:tc>
                        <w:tc>
                          <w:tcPr>
                            <w:tcW w:w="2028" w:type="dxa"/>
                          </w:tcPr>
                          <w:p w:rsidR="003F5784" w14:paraId="43591107" w14:textId="77777777">
                            <w:pPr>
                              <w:pStyle w:val="TableParagraph"/>
                              <w:spacing w:before="0" w:line="213" w:lineRule="exact"/>
                              <w:ind w:right="275"/>
                              <w:rPr>
                                <w:sz w:val="21"/>
                              </w:rPr>
                            </w:pPr>
                            <w:r>
                              <w:rPr>
                                <w:spacing w:val="-2"/>
                                <w:sz w:val="21"/>
                              </w:rPr>
                              <w:t>sample</w:t>
                            </w:r>
                          </w:p>
                        </w:tc>
                        <w:tc>
                          <w:tcPr>
                            <w:tcW w:w="1560" w:type="dxa"/>
                          </w:tcPr>
                          <w:p w:rsidR="003F5784" w14:paraId="4AEF0F7C" w14:textId="77777777">
                            <w:pPr>
                              <w:pStyle w:val="TableParagraph"/>
                              <w:spacing w:before="0" w:line="213" w:lineRule="exact"/>
                              <w:ind w:right="272"/>
                              <w:rPr>
                                <w:sz w:val="21"/>
                              </w:rPr>
                            </w:pPr>
                            <w:r>
                              <w:rPr>
                                <w:spacing w:val="-2"/>
                                <w:sz w:val="21"/>
                              </w:rPr>
                              <w:t>sample</w:t>
                            </w:r>
                          </w:p>
                        </w:tc>
                        <w:tc>
                          <w:tcPr>
                            <w:tcW w:w="1478" w:type="dxa"/>
                          </w:tcPr>
                          <w:p w:rsidR="003F5784" w14:paraId="5031EEFF" w14:textId="77777777">
                            <w:pPr>
                              <w:pStyle w:val="TableParagraph"/>
                              <w:spacing w:before="0" w:line="213" w:lineRule="exact"/>
                              <w:ind w:right="177"/>
                              <w:rPr>
                                <w:sz w:val="21"/>
                              </w:rPr>
                            </w:pPr>
                            <w:r>
                              <w:rPr>
                                <w:spacing w:val="-2"/>
                                <w:sz w:val="21"/>
                              </w:rPr>
                              <w:t>sample</w:t>
                            </w:r>
                          </w:p>
                        </w:tc>
                        <w:tc>
                          <w:tcPr>
                            <w:tcW w:w="2028" w:type="dxa"/>
                          </w:tcPr>
                          <w:p w:rsidR="003F5784" w14:paraId="26AA9C82" w14:textId="77777777">
                            <w:pPr>
                              <w:pStyle w:val="TableParagraph"/>
                              <w:spacing w:before="0" w:line="213" w:lineRule="exact"/>
                              <w:ind w:right="273"/>
                              <w:rPr>
                                <w:sz w:val="21"/>
                              </w:rPr>
                            </w:pPr>
                            <w:r>
                              <w:rPr>
                                <w:spacing w:val="-2"/>
                                <w:sz w:val="21"/>
                              </w:rPr>
                              <w:t>sample</w:t>
                            </w:r>
                          </w:p>
                        </w:tc>
                        <w:tc>
                          <w:tcPr>
                            <w:tcW w:w="1407" w:type="dxa"/>
                          </w:tcPr>
                          <w:p w:rsidR="003F5784" w14:paraId="7A42E1F8" w14:textId="77777777">
                            <w:pPr>
                              <w:pStyle w:val="TableParagraph"/>
                              <w:spacing w:before="0" w:line="213" w:lineRule="exact"/>
                              <w:ind w:right="117"/>
                              <w:rPr>
                                <w:sz w:val="21"/>
                              </w:rPr>
                            </w:pPr>
                            <w:r>
                              <w:rPr>
                                <w:spacing w:val="-2"/>
                                <w:sz w:val="21"/>
                              </w:rPr>
                              <w:t>sample</w:t>
                            </w:r>
                          </w:p>
                        </w:tc>
                      </w:tr>
                    </w:tbl>
                    <w:p w:rsidR="003F5784" w14:paraId="28C347AC" w14:textId="77777777">
                      <w:pPr>
                        <w:pStyle w:val="BodyText"/>
                      </w:pPr>
                    </w:p>
                  </w:txbxContent>
                </v:textbox>
              </v:shape>
            </w:pict>
          </mc:Fallback>
        </mc:AlternateContent>
      </w:r>
      <w:r>
        <w:rPr>
          <w:spacing w:val="-2"/>
        </w:rPr>
        <w:t>Jurisdiction</w:t>
      </w:r>
    </w:p>
    <w:tbl>
      <w:tblPr>
        <w:tblW w:w="0" w:type="auto"/>
        <w:tblInd w:w="117" w:type="dxa"/>
        <w:tblLayout w:type="fixed"/>
        <w:tblCellMar>
          <w:left w:w="0" w:type="dxa"/>
          <w:right w:w="0" w:type="dxa"/>
        </w:tblCellMar>
        <w:tblLook w:val="01E0"/>
      </w:tblPr>
      <w:tblGrid>
        <w:gridCol w:w="3843"/>
        <w:gridCol w:w="1620"/>
        <w:gridCol w:w="2070"/>
        <w:gridCol w:w="1515"/>
        <w:gridCol w:w="1455"/>
        <w:gridCol w:w="2070"/>
        <w:gridCol w:w="1440"/>
      </w:tblGrid>
      <w:tr w14:paraId="6E2B9253" w14:textId="77777777" w:rsidTr="00E3225D">
        <w:tblPrEx>
          <w:tblW w:w="0" w:type="auto"/>
          <w:tblInd w:w="117" w:type="dxa"/>
          <w:tblLayout w:type="fixed"/>
          <w:tblCellMar>
            <w:left w:w="0" w:type="dxa"/>
            <w:right w:w="0" w:type="dxa"/>
          </w:tblCellMar>
          <w:tblLook w:val="01E0"/>
        </w:tblPrEx>
        <w:trPr>
          <w:trHeight w:val="278"/>
        </w:trPr>
        <w:tc>
          <w:tcPr>
            <w:tcW w:w="3843" w:type="dxa"/>
            <w:tcBorders>
              <w:top w:val="single" w:sz="18" w:space="0" w:color="800000"/>
            </w:tcBorders>
          </w:tcPr>
          <w:p w:rsidR="003F5784" w14:paraId="0B165009" w14:textId="77777777">
            <w:pPr>
              <w:pStyle w:val="TableParagraph"/>
              <w:spacing w:before="9"/>
              <w:ind w:left="117"/>
              <w:jc w:val="left"/>
              <w:rPr>
                <w:sz w:val="21"/>
              </w:rPr>
            </w:pPr>
            <w:r>
              <w:rPr>
                <w:spacing w:val="-2"/>
                <w:sz w:val="21"/>
              </w:rPr>
              <w:t>Tennessee–Balance</w:t>
            </w:r>
          </w:p>
        </w:tc>
        <w:tc>
          <w:tcPr>
            <w:tcW w:w="1620" w:type="dxa"/>
            <w:tcBorders>
              <w:top w:val="single" w:sz="18" w:space="0" w:color="800000"/>
            </w:tcBorders>
          </w:tcPr>
          <w:p w:rsidR="003F5784" w14:paraId="720931DF" w14:textId="77777777">
            <w:pPr>
              <w:pStyle w:val="TableParagraph"/>
              <w:spacing w:before="9"/>
              <w:ind w:right="807"/>
              <w:rPr>
                <w:sz w:val="21"/>
              </w:rPr>
            </w:pPr>
            <w:r>
              <w:rPr>
                <w:spacing w:val="-5"/>
                <w:sz w:val="21"/>
              </w:rPr>
              <w:t>80</w:t>
            </w:r>
          </w:p>
        </w:tc>
        <w:tc>
          <w:tcPr>
            <w:tcW w:w="2070" w:type="dxa"/>
            <w:tcBorders>
              <w:top w:val="single" w:sz="18" w:space="0" w:color="800000"/>
            </w:tcBorders>
          </w:tcPr>
          <w:p w:rsidR="003F5784" w14:paraId="65CB3896" w14:textId="77777777">
            <w:pPr>
              <w:pStyle w:val="TableParagraph"/>
              <w:spacing w:before="9"/>
              <w:ind w:right="674"/>
              <w:rPr>
                <w:sz w:val="21"/>
              </w:rPr>
            </w:pPr>
            <w:r>
              <w:rPr>
                <w:spacing w:val="-5"/>
                <w:sz w:val="21"/>
              </w:rPr>
              <w:t>80</w:t>
            </w:r>
          </w:p>
        </w:tc>
        <w:tc>
          <w:tcPr>
            <w:tcW w:w="1515" w:type="dxa"/>
            <w:tcBorders>
              <w:top w:val="single" w:sz="18" w:space="0" w:color="800000"/>
            </w:tcBorders>
          </w:tcPr>
          <w:p w:rsidR="003F5784" w14:paraId="4046C702" w14:textId="77777777">
            <w:pPr>
              <w:pStyle w:val="TableParagraph"/>
              <w:spacing w:before="9"/>
              <w:ind w:left="154"/>
              <w:jc w:val="center"/>
              <w:rPr>
                <w:sz w:val="21"/>
              </w:rPr>
            </w:pPr>
            <w:r>
              <w:rPr>
                <w:spacing w:val="-10"/>
                <w:sz w:val="21"/>
              </w:rPr>
              <w:t>#</w:t>
            </w:r>
          </w:p>
        </w:tc>
        <w:tc>
          <w:tcPr>
            <w:tcW w:w="1455" w:type="dxa"/>
            <w:tcBorders>
              <w:top w:val="single" w:sz="18" w:space="0" w:color="800000"/>
            </w:tcBorders>
          </w:tcPr>
          <w:p w:rsidR="003F5784" w14:paraId="764D5C82" w14:textId="77777777">
            <w:pPr>
              <w:pStyle w:val="TableParagraph"/>
              <w:spacing w:before="9"/>
              <w:ind w:right="805"/>
              <w:rPr>
                <w:sz w:val="21"/>
              </w:rPr>
            </w:pPr>
            <w:r>
              <w:rPr>
                <w:spacing w:val="-5"/>
                <w:sz w:val="21"/>
              </w:rPr>
              <w:t>80</w:t>
            </w:r>
          </w:p>
        </w:tc>
        <w:tc>
          <w:tcPr>
            <w:tcW w:w="2070" w:type="dxa"/>
            <w:tcBorders>
              <w:top w:val="single" w:sz="18" w:space="0" w:color="800000"/>
            </w:tcBorders>
          </w:tcPr>
          <w:p w:rsidR="003F5784" w14:paraId="10E2DDB1" w14:textId="77777777">
            <w:pPr>
              <w:pStyle w:val="TableParagraph"/>
              <w:spacing w:before="9"/>
              <w:ind w:right="673"/>
              <w:rPr>
                <w:sz w:val="21"/>
              </w:rPr>
            </w:pPr>
            <w:r>
              <w:rPr>
                <w:spacing w:val="-5"/>
                <w:sz w:val="21"/>
              </w:rPr>
              <w:t>80</w:t>
            </w:r>
          </w:p>
        </w:tc>
        <w:tc>
          <w:tcPr>
            <w:tcW w:w="1440" w:type="dxa"/>
            <w:tcBorders>
              <w:top w:val="single" w:sz="18" w:space="0" w:color="800000"/>
            </w:tcBorders>
          </w:tcPr>
          <w:p w:rsidR="003F5784" w14:paraId="6A5F8985" w14:textId="77777777">
            <w:pPr>
              <w:pStyle w:val="TableParagraph"/>
              <w:spacing w:before="9"/>
              <w:ind w:right="118"/>
              <w:rPr>
                <w:sz w:val="21"/>
              </w:rPr>
            </w:pPr>
            <w:r>
              <w:rPr>
                <w:spacing w:val="-10"/>
                <w:sz w:val="21"/>
              </w:rPr>
              <w:t>#</w:t>
            </w:r>
          </w:p>
        </w:tc>
      </w:tr>
      <w:tr w14:paraId="6D91DAA7" w14:textId="77777777" w:rsidTr="00E3225D">
        <w:tblPrEx>
          <w:tblW w:w="0" w:type="auto"/>
          <w:tblInd w:w="117" w:type="dxa"/>
          <w:tblLayout w:type="fixed"/>
          <w:tblCellMar>
            <w:left w:w="0" w:type="dxa"/>
            <w:right w:w="0" w:type="dxa"/>
          </w:tblCellMar>
          <w:tblLook w:val="01E0"/>
        </w:tblPrEx>
        <w:trPr>
          <w:trHeight w:val="286"/>
        </w:trPr>
        <w:tc>
          <w:tcPr>
            <w:tcW w:w="3843" w:type="dxa"/>
          </w:tcPr>
          <w:p w:rsidR="003F5784" w14:paraId="18996048" w14:textId="77777777">
            <w:pPr>
              <w:pStyle w:val="TableParagraph"/>
              <w:ind w:left="117"/>
              <w:jc w:val="left"/>
              <w:rPr>
                <w:sz w:val="21"/>
              </w:rPr>
            </w:pPr>
            <w:r>
              <w:rPr>
                <w:spacing w:val="-2"/>
                <w:sz w:val="21"/>
              </w:rPr>
              <w:t>Texas–Austin</w:t>
            </w:r>
          </w:p>
        </w:tc>
        <w:tc>
          <w:tcPr>
            <w:tcW w:w="1620" w:type="dxa"/>
          </w:tcPr>
          <w:p w:rsidR="003F5784" w:rsidP="00E3225D" w14:paraId="4F0F73CF" w14:textId="77777777">
            <w:pPr>
              <w:pStyle w:val="TableParagraph"/>
              <w:ind w:left="-26" w:right="807" w:firstLine="26"/>
              <w:rPr>
                <w:sz w:val="21"/>
              </w:rPr>
            </w:pPr>
            <w:r>
              <w:rPr>
                <w:spacing w:val="-5"/>
                <w:sz w:val="21"/>
              </w:rPr>
              <w:t>40</w:t>
            </w:r>
          </w:p>
        </w:tc>
        <w:tc>
          <w:tcPr>
            <w:tcW w:w="2070" w:type="dxa"/>
          </w:tcPr>
          <w:p w:rsidR="003F5784" w14:paraId="1EDABB3F" w14:textId="77777777">
            <w:pPr>
              <w:pStyle w:val="TableParagraph"/>
              <w:ind w:right="674"/>
              <w:rPr>
                <w:sz w:val="21"/>
              </w:rPr>
            </w:pPr>
            <w:r>
              <w:rPr>
                <w:spacing w:val="-5"/>
                <w:sz w:val="21"/>
              </w:rPr>
              <w:t>40</w:t>
            </w:r>
          </w:p>
        </w:tc>
        <w:tc>
          <w:tcPr>
            <w:tcW w:w="1515" w:type="dxa"/>
          </w:tcPr>
          <w:p w:rsidR="003F5784" w14:paraId="484E1AB5" w14:textId="77777777">
            <w:pPr>
              <w:pStyle w:val="TableParagraph"/>
              <w:ind w:left="154"/>
              <w:jc w:val="center"/>
              <w:rPr>
                <w:sz w:val="21"/>
              </w:rPr>
            </w:pPr>
            <w:r>
              <w:rPr>
                <w:spacing w:val="-10"/>
                <w:sz w:val="21"/>
              </w:rPr>
              <w:t>#</w:t>
            </w:r>
          </w:p>
        </w:tc>
        <w:tc>
          <w:tcPr>
            <w:tcW w:w="1455" w:type="dxa"/>
          </w:tcPr>
          <w:p w:rsidR="003F5784" w14:paraId="77635BC8" w14:textId="77777777">
            <w:pPr>
              <w:pStyle w:val="TableParagraph"/>
              <w:ind w:right="805"/>
              <w:rPr>
                <w:sz w:val="21"/>
              </w:rPr>
            </w:pPr>
            <w:r>
              <w:rPr>
                <w:spacing w:val="-5"/>
                <w:sz w:val="21"/>
              </w:rPr>
              <w:t>20</w:t>
            </w:r>
          </w:p>
        </w:tc>
        <w:tc>
          <w:tcPr>
            <w:tcW w:w="2070" w:type="dxa"/>
          </w:tcPr>
          <w:p w:rsidR="003F5784" w14:paraId="39C4F32E" w14:textId="77777777">
            <w:pPr>
              <w:pStyle w:val="TableParagraph"/>
              <w:ind w:right="673"/>
              <w:rPr>
                <w:sz w:val="21"/>
              </w:rPr>
            </w:pPr>
            <w:r>
              <w:rPr>
                <w:spacing w:val="-5"/>
                <w:sz w:val="21"/>
              </w:rPr>
              <w:t>20</w:t>
            </w:r>
          </w:p>
        </w:tc>
        <w:tc>
          <w:tcPr>
            <w:tcW w:w="1440" w:type="dxa"/>
          </w:tcPr>
          <w:p w:rsidR="003F5784" w14:paraId="53B1F85D" w14:textId="77777777">
            <w:pPr>
              <w:pStyle w:val="TableParagraph"/>
              <w:ind w:right="118"/>
              <w:rPr>
                <w:sz w:val="21"/>
              </w:rPr>
            </w:pPr>
            <w:r>
              <w:rPr>
                <w:spacing w:val="-10"/>
                <w:sz w:val="21"/>
              </w:rPr>
              <w:t>#</w:t>
            </w:r>
          </w:p>
        </w:tc>
      </w:tr>
      <w:tr w14:paraId="5F1DEF01" w14:textId="77777777" w:rsidTr="00E3225D">
        <w:tblPrEx>
          <w:tblW w:w="0" w:type="auto"/>
          <w:tblInd w:w="117" w:type="dxa"/>
          <w:tblLayout w:type="fixed"/>
          <w:tblCellMar>
            <w:left w:w="0" w:type="dxa"/>
            <w:right w:w="0" w:type="dxa"/>
          </w:tblCellMar>
          <w:tblLook w:val="01E0"/>
        </w:tblPrEx>
        <w:trPr>
          <w:trHeight w:val="286"/>
        </w:trPr>
        <w:tc>
          <w:tcPr>
            <w:tcW w:w="3843" w:type="dxa"/>
          </w:tcPr>
          <w:p w:rsidR="003F5784" w14:paraId="0F7E34D4" w14:textId="77777777">
            <w:pPr>
              <w:pStyle w:val="TableParagraph"/>
              <w:ind w:left="117"/>
              <w:jc w:val="left"/>
              <w:rPr>
                <w:sz w:val="21"/>
              </w:rPr>
            </w:pPr>
            <w:r>
              <w:rPr>
                <w:spacing w:val="-2"/>
                <w:sz w:val="21"/>
              </w:rPr>
              <w:t>Texas–Dallas</w:t>
            </w:r>
          </w:p>
        </w:tc>
        <w:tc>
          <w:tcPr>
            <w:tcW w:w="1620" w:type="dxa"/>
          </w:tcPr>
          <w:p w:rsidR="003F5784" w14:paraId="77BD5BBD" w14:textId="77777777">
            <w:pPr>
              <w:pStyle w:val="TableParagraph"/>
              <w:ind w:right="807"/>
              <w:rPr>
                <w:sz w:val="21"/>
              </w:rPr>
            </w:pPr>
            <w:r>
              <w:rPr>
                <w:spacing w:val="-5"/>
                <w:sz w:val="21"/>
              </w:rPr>
              <w:t>40</w:t>
            </w:r>
          </w:p>
        </w:tc>
        <w:tc>
          <w:tcPr>
            <w:tcW w:w="2070" w:type="dxa"/>
          </w:tcPr>
          <w:p w:rsidR="003F5784" w14:paraId="367560BD" w14:textId="77777777">
            <w:pPr>
              <w:pStyle w:val="TableParagraph"/>
              <w:ind w:right="674"/>
              <w:rPr>
                <w:sz w:val="21"/>
              </w:rPr>
            </w:pPr>
            <w:r>
              <w:rPr>
                <w:spacing w:val="-5"/>
                <w:sz w:val="21"/>
              </w:rPr>
              <w:t>40</w:t>
            </w:r>
          </w:p>
        </w:tc>
        <w:tc>
          <w:tcPr>
            <w:tcW w:w="1515" w:type="dxa"/>
          </w:tcPr>
          <w:p w:rsidR="003F5784" w14:paraId="500D0EE5" w14:textId="77777777">
            <w:pPr>
              <w:pStyle w:val="TableParagraph"/>
              <w:ind w:left="154"/>
              <w:jc w:val="center"/>
              <w:rPr>
                <w:sz w:val="21"/>
              </w:rPr>
            </w:pPr>
            <w:r>
              <w:rPr>
                <w:spacing w:val="-10"/>
                <w:sz w:val="21"/>
              </w:rPr>
              <w:t>#</w:t>
            </w:r>
          </w:p>
        </w:tc>
        <w:tc>
          <w:tcPr>
            <w:tcW w:w="1455" w:type="dxa"/>
          </w:tcPr>
          <w:p w:rsidR="003F5784" w14:paraId="20015809" w14:textId="77777777">
            <w:pPr>
              <w:pStyle w:val="TableParagraph"/>
              <w:ind w:right="805"/>
              <w:rPr>
                <w:sz w:val="21"/>
              </w:rPr>
            </w:pPr>
            <w:r>
              <w:rPr>
                <w:spacing w:val="-5"/>
                <w:sz w:val="21"/>
              </w:rPr>
              <w:t>40</w:t>
            </w:r>
          </w:p>
        </w:tc>
        <w:tc>
          <w:tcPr>
            <w:tcW w:w="2070" w:type="dxa"/>
          </w:tcPr>
          <w:p w:rsidR="003F5784" w14:paraId="6E9B19DF" w14:textId="77777777">
            <w:pPr>
              <w:pStyle w:val="TableParagraph"/>
              <w:ind w:right="673"/>
              <w:rPr>
                <w:sz w:val="21"/>
              </w:rPr>
            </w:pPr>
            <w:r>
              <w:rPr>
                <w:spacing w:val="-5"/>
                <w:sz w:val="21"/>
              </w:rPr>
              <w:t>40</w:t>
            </w:r>
          </w:p>
        </w:tc>
        <w:tc>
          <w:tcPr>
            <w:tcW w:w="1440" w:type="dxa"/>
          </w:tcPr>
          <w:p w:rsidR="003F5784" w14:paraId="4F3C8097" w14:textId="77777777">
            <w:pPr>
              <w:pStyle w:val="TableParagraph"/>
              <w:ind w:right="118"/>
              <w:rPr>
                <w:sz w:val="21"/>
              </w:rPr>
            </w:pPr>
            <w:r>
              <w:rPr>
                <w:spacing w:val="-10"/>
                <w:sz w:val="21"/>
              </w:rPr>
              <w:t>#</w:t>
            </w:r>
          </w:p>
        </w:tc>
      </w:tr>
      <w:tr w14:paraId="68B195E8" w14:textId="77777777" w:rsidTr="00E3225D">
        <w:tblPrEx>
          <w:tblW w:w="0" w:type="auto"/>
          <w:tblInd w:w="117" w:type="dxa"/>
          <w:tblLayout w:type="fixed"/>
          <w:tblCellMar>
            <w:left w:w="0" w:type="dxa"/>
            <w:right w:w="0" w:type="dxa"/>
          </w:tblCellMar>
          <w:tblLook w:val="01E0"/>
        </w:tblPrEx>
        <w:trPr>
          <w:trHeight w:val="286"/>
        </w:trPr>
        <w:tc>
          <w:tcPr>
            <w:tcW w:w="3843" w:type="dxa"/>
          </w:tcPr>
          <w:p w:rsidR="003F5784" w14:paraId="1A66E483" w14:textId="77777777">
            <w:pPr>
              <w:pStyle w:val="TableParagraph"/>
              <w:ind w:left="117"/>
              <w:jc w:val="left"/>
              <w:rPr>
                <w:sz w:val="21"/>
              </w:rPr>
            </w:pPr>
            <w:r>
              <w:rPr>
                <w:spacing w:val="-2"/>
                <w:sz w:val="21"/>
              </w:rPr>
              <w:t>Texas–Fort</w:t>
            </w:r>
            <w:r>
              <w:rPr>
                <w:spacing w:val="-10"/>
                <w:sz w:val="21"/>
              </w:rPr>
              <w:t xml:space="preserve"> </w:t>
            </w:r>
            <w:r>
              <w:rPr>
                <w:spacing w:val="-2"/>
                <w:sz w:val="21"/>
              </w:rPr>
              <w:t>Worth</w:t>
            </w:r>
          </w:p>
        </w:tc>
        <w:tc>
          <w:tcPr>
            <w:tcW w:w="1620" w:type="dxa"/>
          </w:tcPr>
          <w:p w:rsidR="003F5784" w14:paraId="785945AF" w14:textId="77777777">
            <w:pPr>
              <w:pStyle w:val="TableParagraph"/>
              <w:ind w:right="807"/>
              <w:rPr>
                <w:sz w:val="21"/>
              </w:rPr>
            </w:pPr>
            <w:r>
              <w:rPr>
                <w:spacing w:val="-5"/>
                <w:sz w:val="21"/>
              </w:rPr>
              <w:t>40</w:t>
            </w:r>
          </w:p>
        </w:tc>
        <w:tc>
          <w:tcPr>
            <w:tcW w:w="2070" w:type="dxa"/>
          </w:tcPr>
          <w:p w:rsidR="003F5784" w14:paraId="13D35173" w14:textId="77777777">
            <w:pPr>
              <w:pStyle w:val="TableParagraph"/>
              <w:ind w:right="674"/>
              <w:rPr>
                <w:sz w:val="21"/>
              </w:rPr>
            </w:pPr>
            <w:r>
              <w:rPr>
                <w:spacing w:val="-5"/>
                <w:sz w:val="21"/>
              </w:rPr>
              <w:t>40</w:t>
            </w:r>
          </w:p>
        </w:tc>
        <w:tc>
          <w:tcPr>
            <w:tcW w:w="1515" w:type="dxa"/>
          </w:tcPr>
          <w:p w:rsidR="003F5784" w14:paraId="2CE85A75" w14:textId="77777777">
            <w:pPr>
              <w:pStyle w:val="TableParagraph"/>
              <w:ind w:left="154"/>
              <w:jc w:val="center"/>
              <w:rPr>
                <w:sz w:val="21"/>
              </w:rPr>
            </w:pPr>
            <w:r>
              <w:rPr>
                <w:spacing w:val="-10"/>
                <w:sz w:val="21"/>
              </w:rPr>
              <w:t>#</w:t>
            </w:r>
          </w:p>
        </w:tc>
        <w:tc>
          <w:tcPr>
            <w:tcW w:w="1455" w:type="dxa"/>
          </w:tcPr>
          <w:p w:rsidR="003F5784" w14:paraId="68E2FE63" w14:textId="77777777">
            <w:pPr>
              <w:pStyle w:val="TableParagraph"/>
              <w:ind w:right="805"/>
              <w:rPr>
                <w:sz w:val="21"/>
              </w:rPr>
            </w:pPr>
            <w:r>
              <w:rPr>
                <w:spacing w:val="-5"/>
                <w:sz w:val="21"/>
              </w:rPr>
              <w:t>30</w:t>
            </w:r>
          </w:p>
        </w:tc>
        <w:tc>
          <w:tcPr>
            <w:tcW w:w="2070" w:type="dxa"/>
          </w:tcPr>
          <w:p w:rsidR="003F5784" w14:paraId="67460B88" w14:textId="77777777">
            <w:pPr>
              <w:pStyle w:val="TableParagraph"/>
              <w:ind w:right="673"/>
              <w:rPr>
                <w:sz w:val="21"/>
              </w:rPr>
            </w:pPr>
            <w:r>
              <w:rPr>
                <w:spacing w:val="-5"/>
                <w:sz w:val="21"/>
              </w:rPr>
              <w:t>30</w:t>
            </w:r>
          </w:p>
        </w:tc>
        <w:tc>
          <w:tcPr>
            <w:tcW w:w="1440" w:type="dxa"/>
          </w:tcPr>
          <w:p w:rsidR="003F5784" w14:paraId="05354C02" w14:textId="77777777">
            <w:pPr>
              <w:pStyle w:val="TableParagraph"/>
              <w:ind w:right="118"/>
              <w:rPr>
                <w:sz w:val="21"/>
              </w:rPr>
            </w:pPr>
            <w:r>
              <w:rPr>
                <w:spacing w:val="-10"/>
                <w:sz w:val="21"/>
              </w:rPr>
              <w:t>#</w:t>
            </w:r>
          </w:p>
        </w:tc>
      </w:tr>
      <w:tr w14:paraId="0588BD18" w14:textId="77777777" w:rsidTr="00E3225D">
        <w:tblPrEx>
          <w:tblW w:w="0" w:type="auto"/>
          <w:tblInd w:w="117" w:type="dxa"/>
          <w:tblLayout w:type="fixed"/>
          <w:tblCellMar>
            <w:left w:w="0" w:type="dxa"/>
            <w:right w:w="0" w:type="dxa"/>
          </w:tblCellMar>
          <w:tblLook w:val="01E0"/>
        </w:tblPrEx>
        <w:trPr>
          <w:trHeight w:val="286"/>
        </w:trPr>
        <w:tc>
          <w:tcPr>
            <w:tcW w:w="3843" w:type="dxa"/>
          </w:tcPr>
          <w:p w:rsidR="003F5784" w14:paraId="7FD0D36C" w14:textId="77777777">
            <w:pPr>
              <w:pStyle w:val="TableParagraph"/>
              <w:ind w:left="117"/>
              <w:jc w:val="left"/>
              <w:rPr>
                <w:sz w:val="21"/>
              </w:rPr>
            </w:pPr>
            <w:r>
              <w:rPr>
                <w:spacing w:val="-2"/>
                <w:sz w:val="21"/>
              </w:rPr>
              <w:t>Texas–Houston</w:t>
            </w:r>
          </w:p>
        </w:tc>
        <w:tc>
          <w:tcPr>
            <w:tcW w:w="1620" w:type="dxa"/>
          </w:tcPr>
          <w:p w:rsidR="003F5784" w14:paraId="094BD6E4" w14:textId="77777777">
            <w:pPr>
              <w:pStyle w:val="TableParagraph"/>
              <w:ind w:right="807"/>
              <w:rPr>
                <w:sz w:val="21"/>
              </w:rPr>
            </w:pPr>
            <w:r>
              <w:rPr>
                <w:spacing w:val="-5"/>
                <w:sz w:val="21"/>
              </w:rPr>
              <w:t>60</w:t>
            </w:r>
          </w:p>
        </w:tc>
        <w:tc>
          <w:tcPr>
            <w:tcW w:w="2070" w:type="dxa"/>
          </w:tcPr>
          <w:p w:rsidR="003F5784" w14:paraId="3D7F97A9" w14:textId="77777777">
            <w:pPr>
              <w:pStyle w:val="TableParagraph"/>
              <w:ind w:right="674"/>
              <w:rPr>
                <w:sz w:val="21"/>
              </w:rPr>
            </w:pPr>
            <w:r>
              <w:rPr>
                <w:spacing w:val="-5"/>
                <w:sz w:val="21"/>
              </w:rPr>
              <w:t>60</w:t>
            </w:r>
          </w:p>
        </w:tc>
        <w:tc>
          <w:tcPr>
            <w:tcW w:w="1515" w:type="dxa"/>
          </w:tcPr>
          <w:p w:rsidR="003F5784" w14:paraId="62E9F606" w14:textId="77777777">
            <w:pPr>
              <w:pStyle w:val="TableParagraph"/>
              <w:ind w:left="154"/>
              <w:jc w:val="center"/>
              <w:rPr>
                <w:sz w:val="21"/>
              </w:rPr>
            </w:pPr>
            <w:r>
              <w:rPr>
                <w:spacing w:val="-10"/>
                <w:sz w:val="21"/>
              </w:rPr>
              <w:t>#</w:t>
            </w:r>
          </w:p>
        </w:tc>
        <w:tc>
          <w:tcPr>
            <w:tcW w:w="1455" w:type="dxa"/>
          </w:tcPr>
          <w:p w:rsidR="003F5784" w14:paraId="449036E5" w14:textId="77777777">
            <w:pPr>
              <w:pStyle w:val="TableParagraph"/>
              <w:ind w:right="805"/>
              <w:rPr>
                <w:sz w:val="21"/>
              </w:rPr>
            </w:pPr>
            <w:r>
              <w:rPr>
                <w:spacing w:val="-5"/>
                <w:sz w:val="21"/>
              </w:rPr>
              <w:t>40</w:t>
            </w:r>
          </w:p>
        </w:tc>
        <w:tc>
          <w:tcPr>
            <w:tcW w:w="2070" w:type="dxa"/>
          </w:tcPr>
          <w:p w:rsidR="003F5784" w14:paraId="6B96CC8D" w14:textId="77777777">
            <w:pPr>
              <w:pStyle w:val="TableParagraph"/>
              <w:ind w:right="673"/>
              <w:rPr>
                <w:sz w:val="21"/>
              </w:rPr>
            </w:pPr>
            <w:r>
              <w:rPr>
                <w:spacing w:val="-5"/>
                <w:sz w:val="21"/>
              </w:rPr>
              <w:t>40</w:t>
            </w:r>
          </w:p>
        </w:tc>
        <w:tc>
          <w:tcPr>
            <w:tcW w:w="1440" w:type="dxa"/>
          </w:tcPr>
          <w:p w:rsidR="003F5784" w14:paraId="13322381" w14:textId="77777777">
            <w:pPr>
              <w:pStyle w:val="TableParagraph"/>
              <w:ind w:right="118"/>
              <w:rPr>
                <w:sz w:val="21"/>
              </w:rPr>
            </w:pPr>
            <w:r>
              <w:rPr>
                <w:spacing w:val="-10"/>
                <w:sz w:val="21"/>
              </w:rPr>
              <w:t>#</w:t>
            </w:r>
          </w:p>
        </w:tc>
      </w:tr>
      <w:tr w14:paraId="7DD89433" w14:textId="77777777" w:rsidTr="00E3225D">
        <w:tblPrEx>
          <w:tblW w:w="0" w:type="auto"/>
          <w:tblInd w:w="117" w:type="dxa"/>
          <w:tblLayout w:type="fixed"/>
          <w:tblCellMar>
            <w:left w:w="0" w:type="dxa"/>
            <w:right w:w="0" w:type="dxa"/>
          </w:tblCellMar>
          <w:tblLook w:val="01E0"/>
        </w:tblPrEx>
        <w:trPr>
          <w:trHeight w:val="286"/>
        </w:trPr>
        <w:tc>
          <w:tcPr>
            <w:tcW w:w="3843" w:type="dxa"/>
          </w:tcPr>
          <w:p w:rsidR="003F5784" w14:paraId="69CB0228" w14:textId="77777777">
            <w:pPr>
              <w:pStyle w:val="TableParagraph"/>
              <w:ind w:left="117"/>
              <w:jc w:val="left"/>
              <w:rPr>
                <w:sz w:val="21"/>
              </w:rPr>
            </w:pPr>
            <w:r>
              <w:rPr>
                <w:spacing w:val="-2"/>
                <w:sz w:val="21"/>
              </w:rPr>
              <w:t>Texas–Balance</w:t>
            </w:r>
          </w:p>
        </w:tc>
        <w:tc>
          <w:tcPr>
            <w:tcW w:w="1620" w:type="dxa"/>
          </w:tcPr>
          <w:p w:rsidR="003F5784" w14:paraId="2C1E9A77" w14:textId="77777777">
            <w:pPr>
              <w:pStyle w:val="TableParagraph"/>
              <w:ind w:right="807"/>
              <w:rPr>
                <w:sz w:val="21"/>
              </w:rPr>
            </w:pPr>
            <w:r>
              <w:rPr>
                <w:spacing w:val="-5"/>
                <w:sz w:val="21"/>
              </w:rPr>
              <w:t>80</w:t>
            </w:r>
          </w:p>
        </w:tc>
        <w:tc>
          <w:tcPr>
            <w:tcW w:w="2070" w:type="dxa"/>
          </w:tcPr>
          <w:p w:rsidR="003F5784" w14:paraId="2D188A38" w14:textId="77777777">
            <w:pPr>
              <w:pStyle w:val="TableParagraph"/>
              <w:ind w:right="674"/>
              <w:rPr>
                <w:sz w:val="21"/>
              </w:rPr>
            </w:pPr>
            <w:r>
              <w:rPr>
                <w:spacing w:val="-5"/>
                <w:sz w:val="21"/>
              </w:rPr>
              <w:t>80</w:t>
            </w:r>
          </w:p>
        </w:tc>
        <w:tc>
          <w:tcPr>
            <w:tcW w:w="1515" w:type="dxa"/>
          </w:tcPr>
          <w:p w:rsidR="003F5784" w14:paraId="217B48A8" w14:textId="77777777">
            <w:pPr>
              <w:pStyle w:val="TableParagraph"/>
              <w:ind w:left="154"/>
              <w:jc w:val="center"/>
              <w:rPr>
                <w:sz w:val="21"/>
              </w:rPr>
            </w:pPr>
            <w:r>
              <w:rPr>
                <w:spacing w:val="-10"/>
                <w:sz w:val="21"/>
              </w:rPr>
              <w:t>#</w:t>
            </w:r>
          </w:p>
        </w:tc>
        <w:tc>
          <w:tcPr>
            <w:tcW w:w="1455" w:type="dxa"/>
          </w:tcPr>
          <w:p w:rsidR="003F5784" w14:paraId="119F255C" w14:textId="77777777">
            <w:pPr>
              <w:pStyle w:val="TableParagraph"/>
              <w:ind w:right="805"/>
              <w:rPr>
                <w:sz w:val="21"/>
              </w:rPr>
            </w:pPr>
            <w:r>
              <w:rPr>
                <w:spacing w:val="-5"/>
                <w:sz w:val="21"/>
              </w:rPr>
              <w:t>80</w:t>
            </w:r>
          </w:p>
        </w:tc>
        <w:tc>
          <w:tcPr>
            <w:tcW w:w="2070" w:type="dxa"/>
          </w:tcPr>
          <w:p w:rsidR="003F5784" w14:paraId="2168E31C" w14:textId="77777777">
            <w:pPr>
              <w:pStyle w:val="TableParagraph"/>
              <w:ind w:right="673"/>
              <w:rPr>
                <w:sz w:val="21"/>
              </w:rPr>
            </w:pPr>
            <w:r>
              <w:rPr>
                <w:spacing w:val="-5"/>
                <w:sz w:val="21"/>
              </w:rPr>
              <w:t>80</w:t>
            </w:r>
          </w:p>
        </w:tc>
        <w:tc>
          <w:tcPr>
            <w:tcW w:w="1440" w:type="dxa"/>
          </w:tcPr>
          <w:p w:rsidR="003F5784" w14:paraId="4FDD74D9" w14:textId="77777777">
            <w:pPr>
              <w:pStyle w:val="TableParagraph"/>
              <w:ind w:right="118"/>
              <w:rPr>
                <w:sz w:val="21"/>
              </w:rPr>
            </w:pPr>
            <w:r>
              <w:rPr>
                <w:spacing w:val="-10"/>
                <w:sz w:val="21"/>
              </w:rPr>
              <w:t>#</w:t>
            </w:r>
          </w:p>
        </w:tc>
      </w:tr>
      <w:tr w14:paraId="10926233" w14:textId="77777777" w:rsidTr="00E3225D">
        <w:tblPrEx>
          <w:tblW w:w="0" w:type="auto"/>
          <w:tblInd w:w="117" w:type="dxa"/>
          <w:tblLayout w:type="fixed"/>
          <w:tblCellMar>
            <w:left w:w="0" w:type="dxa"/>
            <w:right w:w="0" w:type="dxa"/>
          </w:tblCellMar>
          <w:tblLook w:val="01E0"/>
        </w:tblPrEx>
        <w:trPr>
          <w:trHeight w:val="286"/>
        </w:trPr>
        <w:tc>
          <w:tcPr>
            <w:tcW w:w="3843" w:type="dxa"/>
          </w:tcPr>
          <w:p w:rsidR="003F5784" w14:paraId="78BA73E4" w14:textId="77777777">
            <w:pPr>
              <w:pStyle w:val="TableParagraph"/>
              <w:ind w:left="117"/>
              <w:jc w:val="left"/>
              <w:rPr>
                <w:sz w:val="21"/>
              </w:rPr>
            </w:pPr>
            <w:r>
              <w:rPr>
                <w:spacing w:val="-4"/>
                <w:sz w:val="21"/>
              </w:rPr>
              <w:t>Utah</w:t>
            </w:r>
          </w:p>
        </w:tc>
        <w:tc>
          <w:tcPr>
            <w:tcW w:w="1620" w:type="dxa"/>
          </w:tcPr>
          <w:p w:rsidR="003F5784" w14:paraId="23FCEC57" w14:textId="77777777">
            <w:pPr>
              <w:pStyle w:val="TableParagraph"/>
              <w:ind w:right="807"/>
              <w:rPr>
                <w:sz w:val="21"/>
              </w:rPr>
            </w:pPr>
            <w:r>
              <w:rPr>
                <w:spacing w:val="-5"/>
                <w:sz w:val="21"/>
              </w:rPr>
              <w:t>90</w:t>
            </w:r>
          </w:p>
        </w:tc>
        <w:tc>
          <w:tcPr>
            <w:tcW w:w="2070" w:type="dxa"/>
          </w:tcPr>
          <w:p w:rsidR="003F5784" w14:paraId="3903787C" w14:textId="77777777">
            <w:pPr>
              <w:pStyle w:val="TableParagraph"/>
              <w:ind w:right="674"/>
              <w:rPr>
                <w:sz w:val="21"/>
              </w:rPr>
            </w:pPr>
            <w:r>
              <w:rPr>
                <w:spacing w:val="-5"/>
                <w:sz w:val="21"/>
              </w:rPr>
              <w:t>90</w:t>
            </w:r>
          </w:p>
        </w:tc>
        <w:tc>
          <w:tcPr>
            <w:tcW w:w="1515" w:type="dxa"/>
          </w:tcPr>
          <w:p w:rsidR="003F5784" w14:paraId="5531ED56" w14:textId="77777777">
            <w:pPr>
              <w:pStyle w:val="TableParagraph"/>
              <w:ind w:left="154"/>
              <w:jc w:val="center"/>
              <w:rPr>
                <w:sz w:val="21"/>
              </w:rPr>
            </w:pPr>
            <w:r>
              <w:rPr>
                <w:spacing w:val="-10"/>
                <w:sz w:val="21"/>
              </w:rPr>
              <w:t>#</w:t>
            </w:r>
          </w:p>
        </w:tc>
        <w:tc>
          <w:tcPr>
            <w:tcW w:w="1455" w:type="dxa"/>
          </w:tcPr>
          <w:p w:rsidR="003F5784" w14:paraId="776AD03C" w14:textId="77777777">
            <w:pPr>
              <w:pStyle w:val="TableParagraph"/>
              <w:ind w:right="805"/>
              <w:rPr>
                <w:sz w:val="21"/>
              </w:rPr>
            </w:pPr>
            <w:r>
              <w:rPr>
                <w:spacing w:val="-5"/>
                <w:sz w:val="21"/>
              </w:rPr>
              <w:t>90</w:t>
            </w:r>
          </w:p>
        </w:tc>
        <w:tc>
          <w:tcPr>
            <w:tcW w:w="2070" w:type="dxa"/>
          </w:tcPr>
          <w:p w:rsidR="003F5784" w14:paraId="57C37F63" w14:textId="77777777">
            <w:pPr>
              <w:pStyle w:val="TableParagraph"/>
              <w:ind w:right="673"/>
              <w:rPr>
                <w:sz w:val="21"/>
              </w:rPr>
            </w:pPr>
            <w:r>
              <w:rPr>
                <w:spacing w:val="-5"/>
                <w:sz w:val="21"/>
              </w:rPr>
              <w:t>90</w:t>
            </w:r>
          </w:p>
        </w:tc>
        <w:tc>
          <w:tcPr>
            <w:tcW w:w="1440" w:type="dxa"/>
          </w:tcPr>
          <w:p w:rsidR="003F5784" w14:paraId="01FAE0E5" w14:textId="77777777">
            <w:pPr>
              <w:pStyle w:val="TableParagraph"/>
              <w:ind w:right="118"/>
              <w:rPr>
                <w:sz w:val="21"/>
              </w:rPr>
            </w:pPr>
            <w:r>
              <w:rPr>
                <w:spacing w:val="-10"/>
                <w:sz w:val="21"/>
              </w:rPr>
              <w:t>#</w:t>
            </w:r>
          </w:p>
        </w:tc>
      </w:tr>
      <w:tr w14:paraId="09682C10" w14:textId="77777777" w:rsidTr="00E3225D">
        <w:tblPrEx>
          <w:tblW w:w="0" w:type="auto"/>
          <w:tblInd w:w="117" w:type="dxa"/>
          <w:tblLayout w:type="fixed"/>
          <w:tblCellMar>
            <w:left w:w="0" w:type="dxa"/>
            <w:right w:w="0" w:type="dxa"/>
          </w:tblCellMar>
          <w:tblLook w:val="01E0"/>
        </w:tblPrEx>
        <w:trPr>
          <w:trHeight w:val="286"/>
        </w:trPr>
        <w:tc>
          <w:tcPr>
            <w:tcW w:w="3843" w:type="dxa"/>
          </w:tcPr>
          <w:p w:rsidR="003F5784" w14:paraId="5ACDEA10" w14:textId="77777777">
            <w:pPr>
              <w:pStyle w:val="TableParagraph"/>
              <w:ind w:left="117"/>
              <w:jc w:val="left"/>
              <w:rPr>
                <w:sz w:val="21"/>
              </w:rPr>
            </w:pPr>
            <w:r>
              <w:rPr>
                <w:spacing w:val="-2"/>
                <w:sz w:val="21"/>
              </w:rPr>
              <w:t>Vermont</w:t>
            </w:r>
          </w:p>
        </w:tc>
        <w:tc>
          <w:tcPr>
            <w:tcW w:w="1620" w:type="dxa"/>
          </w:tcPr>
          <w:p w:rsidR="003F5784" w14:paraId="289946C0" w14:textId="77777777">
            <w:pPr>
              <w:pStyle w:val="TableParagraph"/>
              <w:ind w:right="807"/>
              <w:rPr>
                <w:sz w:val="21"/>
              </w:rPr>
            </w:pPr>
            <w:r>
              <w:rPr>
                <w:spacing w:val="-5"/>
                <w:sz w:val="21"/>
              </w:rPr>
              <w:t>130</w:t>
            </w:r>
          </w:p>
        </w:tc>
        <w:tc>
          <w:tcPr>
            <w:tcW w:w="2070" w:type="dxa"/>
          </w:tcPr>
          <w:p w:rsidR="003F5784" w14:paraId="1B3BEC8C" w14:textId="77777777">
            <w:pPr>
              <w:pStyle w:val="TableParagraph"/>
              <w:ind w:right="674"/>
              <w:rPr>
                <w:sz w:val="21"/>
              </w:rPr>
            </w:pPr>
            <w:r>
              <w:rPr>
                <w:spacing w:val="-5"/>
                <w:sz w:val="21"/>
              </w:rPr>
              <w:t>130</w:t>
            </w:r>
          </w:p>
        </w:tc>
        <w:tc>
          <w:tcPr>
            <w:tcW w:w="1515" w:type="dxa"/>
          </w:tcPr>
          <w:p w:rsidR="003F5784" w14:paraId="64EE848F" w14:textId="77777777">
            <w:pPr>
              <w:pStyle w:val="TableParagraph"/>
              <w:ind w:left="154"/>
              <w:jc w:val="center"/>
              <w:rPr>
                <w:sz w:val="21"/>
              </w:rPr>
            </w:pPr>
            <w:r>
              <w:rPr>
                <w:spacing w:val="-10"/>
                <w:sz w:val="21"/>
              </w:rPr>
              <w:t>#</w:t>
            </w:r>
          </w:p>
        </w:tc>
        <w:tc>
          <w:tcPr>
            <w:tcW w:w="1455" w:type="dxa"/>
          </w:tcPr>
          <w:p w:rsidR="003F5784" w14:paraId="2D6049A7" w14:textId="77777777">
            <w:pPr>
              <w:pStyle w:val="TableParagraph"/>
              <w:ind w:right="805"/>
              <w:rPr>
                <w:sz w:val="21"/>
              </w:rPr>
            </w:pPr>
            <w:r>
              <w:rPr>
                <w:spacing w:val="-5"/>
                <w:sz w:val="21"/>
              </w:rPr>
              <w:t>90</w:t>
            </w:r>
          </w:p>
        </w:tc>
        <w:tc>
          <w:tcPr>
            <w:tcW w:w="2070" w:type="dxa"/>
          </w:tcPr>
          <w:p w:rsidR="003F5784" w14:paraId="61F64E21" w14:textId="77777777">
            <w:pPr>
              <w:pStyle w:val="TableParagraph"/>
              <w:ind w:right="673"/>
              <w:rPr>
                <w:sz w:val="21"/>
              </w:rPr>
            </w:pPr>
            <w:r>
              <w:rPr>
                <w:spacing w:val="-5"/>
                <w:sz w:val="21"/>
              </w:rPr>
              <w:t>90</w:t>
            </w:r>
          </w:p>
        </w:tc>
        <w:tc>
          <w:tcPr>
            <w:tcW w:w="1440" w:type="dxa"/>
          </w:tcPr>
          <w:p w:rsidR="003F5784" w14:paraId="41202640" w14:textId="77777777">
            <w:pPr>
              <w:pStyle w:val="TableParagraph"/>
              <w:ind w:right="118"/>
              <w:rPr>
                <w:sz w:val="21"/>
              </w:rPr>
            </w:pPr>
            <w:r>
              <w:rPr>
                <w:spacing w:val="-10"/>
                <w:sz w:val="21"/>
              </w:rPr>
              <w:t>#</w:t>
            </w:r>
          </w:p>
        </w:tc>
      </w:tr>
      <w:tr w14:paraId="220F1C26" w14:textId="77777777" w:rsidTr="00E3225D">
        <w:tblPrEx>
          <w:tblW w:w="0" w:type="auto"/>
          <w:tblInd w:w="117" w:type="dxa"/>
          <w:tblLayout w:type="fixed"/>
          <w:tblCellMar>
            <w:left w:w="0" w:type="dxa"/>
            <w:right w:w="0" w:type="dxa"/>
          </w:tblCellMar>
          <w:tblLook w:val="01E0"/>
        </w:tblPrEx>
        <w:trPr>
          <w:trHeight w:val="286"/>
        </w:trPr>
        <w:tc>
          <w:tcPr>
            <w:tcW w:w="3843" w:type="dxa"/>
          </w:tcPr>
          <w:p w:rsidR="003F5784" w14:paraId="7C6F07DF" w14:textId="77777777">
            <w:pPr>
              <w:pStyle w:val="TableParagraph"/>
              <w:ind w:left="117"/>
              <w:jc w:val="left"/>
              <w:rPr>
                <w:sz w:val="21"/>
              </w:rPr>
            </w:pPr>
            <w:r>
              <w:rPr>
                <w:spacing w:val="-2"/>
                <w:sz w:val="21"/>
              </w:rPr>
              <w:t>Virginia</w:t>
            </w:r>
          </w:p>
        </w:tc>
        <w:tc>
          <w:tcPr>
            <w:tcW w:w="1620" w:type="dxa"/>
          </w:tcPr>
          <w:p w:rsidR="003F5784" w14:paraId="4A8E00B4" w14:textId="77777777">
            <w:pPr>
              <w:pStyle w:val="TableParagraph"/>
              <w:ind w:right="807"/>
              <w:rPr>
                <w:sz w:val="21"/>
              </w:rPr>
            </w:pPr>
            <w:r>
              <w:rPr>
                <w:spacing w:val="-5"/>
                <w:sz w:val="21"/>
              </w:rPr>
              <w:t>90</w:t>
            </w:r>
          </w:p>
        </w:tc>
        <w:tc>
          <w:tcPr>
            <w:tcW w:w="2070" w:type="dxa"/>
          </w:tcPr>
          <w:p w:rsidR="003F5784" w14:paraId="44BDDB9F" w14:textId="77777777">
            <w:pPr>
              <w:pStyle w:val="TableParagraph"/>
              <w:ind w:right="674"/>
              <w:rPr>
                <w:sz w:val="21"/>
              </w:rPr>
            </w:pPr>
            <w:r>
              <w:rPr>
                <w:spacing w:val="-5"/>
                <w:sz w:val="21"/>
              </w:rPr>
              <w:t>80</w:t>
            </w:r>
          </w:p>
        </w:tc>
        <w:tc>
          <w:tcPr>
            <w:tcW w:w="1515" w:type="dxa"/>
          </w:tcPr>
          <w:p w:rsidR="003F5784" w14:paraId="429F419F" w14:textId="77777777">
            <w:pPr>
              <w:pStyle w:val="TableParagraph"/>
              <w:ind w:left="154"/>
              <w:jc w:val="center"/>
              <w:rPr>
                <w:sz w:val="21"/>
              </w:rPr>
            </w:pPr>
            <w:r>
              <w:rPr>
                <w:spacing w:val="-10"/>
                <w:sz w:val="21"/>
              </w:rPr>
              <w:t>#</w:t>
            </w:r>
          </w:p>
        </w:tc>
        <w:tc>
          <w:tcPr>
            <w:tcW w:w="1455" w:type="dxa"/>
          </w:tcPr>
          <w:p w:rsidR="003F5784" w14:paraId="72A548F3" w14:textId="77777777">
            <w:pPr>
              <w:pStyle w:val="TableParagraph"/>
              <w:ind w:right="805"/>
              <w:rPr>
                <w:sz w:val="21"/>
              </w:rPr>
            </w:pPr>
            <w:r>
              <w:rPr>
                <w:spacing w:val="-5"/>
                <w:sz w:val="21"/>
              </w:rPr>
              <w:t>90</w:t>
            </w:r>
          </w:p>
        </w:tc>
        <w:tc>
          <w:tcPr>
            <w:tcW w:w="2070" w:type="dxa"/>
          </w:tcPr>
          <w:p w:rsidR="003F5784" w14:paraId="49EC8A76" w14:textId="77777777">
            <w:pPr>
              <w:pStyle w:val="TableParagraph"/>
              <w:ind w:right="673"/>
              <w:rPr>
                <w:sz w:val="21"/>
              </w:rPr>
            </w:pPr>
            <w:r>
              <w:rPr>
                <w:spacing w:val="-5"/>
                <w:sz w:val="21"/>
              </w:rPr>
              <w:t>80</w:t>
            </w:r>
          </w:p>
        </w:tc>
        <w:tc>
          <w:tcPr>
            <w:tcW w:w="1440" w:type="dxa"/>
          </w:tcPr>
          <w:p w:rsidR="003F5784" w14:paraId="1288B832" w14:textId="77777777">
            <w:pPr>
              <w:pStyle w:val="TableParagraph"/>
              <w:ind w:right="118"/>
              <w:rPr>
                <w:sz w:val="21"/>
              </w:rPr>
            </w:pPr>
            <w:r>
              <w:rPr>
                <w:spacing w:val="-10"/>
                <w:sz w:val="21"/>
              </w:rPr>
              <w:t>#</w:t>
            </w:r>
          </w:p>
        </w:tc>
      </w:tr>
      <w:tr w14:paraId="47EBA3DE" w14:textId="77777777" w:rsidTr="00E3225D">
        <w:tblPrEx>
          <w:tblW w:w="0" w:type="auto"/>
          <w:tblInd w:w="117" w:type="dxa"/>
          <w:tblLayout w:type="fixed"/>
          <w:tblCellMar>
            <w:left w:w="0" w:type="dxa"/>
            <w:right w:w="0" w:type="dxa"/>
          </w:tblCellMar>
          <w:tblLook w:val="01E0"/>
        </w:tblPrEx>
        <w:trPr>
          <w:trHeight w:val="286"/>
        </w:trPr>
        <w:tc>
          <w:tcPr>
            <w:tcW w:w="3843" w:type="dxa"/>
          </w:tcPr>
          <w:p w:rsidR="003F5784" w14:paraId="38B7AA4F" w14:textId="77777777">
            <w:pPr>
              <w:pStyle w:val="TableParagraph"/>
              <w:ind w:left="117"/>
              <w:jc w:val="left"/>
              <w:rPr>
                <w:sz w:val="21"/>
              </w:rPr>
            </w:pPr>
            <w:r>
              <w:rPr>
                <w:spacing w:val="-2"/>
                <w:sz w:val="21"/>
              </w:rPr>
              <w:t>Washington</w:t>
            </w:r>
          </w:p>
        </w:tc>
        <w:tc>
          <w:tcPr>
            <w:tcW w:w="1620" w:type="dxa"/>
          </w:tcPr>
          <w:p w:rsidR="003F5784" w14:paraId="790D5DA1" w14:textId="77777777">
            <w:pPr>
              <w:pStyle w:val="TableParagraph"/>
              <w:ind w:right="807"/>
              <w:rPr>
                <w:sz w:val="21"/>
              </w:rPr>
            </w:pPr>
            <w:r>
              <w:rPr>
                <w:spacing w:val="-5"/>
                <w:sz w:val="21"/>
              </w:rPr>
              <w:t>90</w:t>
            </w:r>
          </w:p>
        </w:tc>
        <w:tc>
          <w:tcPr>
            <w:tcW w:w="2070" w:type="dxa"/>
          </w:tcPr>
          <w:p w:rsidR="003F5784" w14:paraId="10CDEDE4" w14:textId="77777777">
            <w:pPr>
              <w:pStyle w:val="TableParagraph"/>
              <w:ind w:right="674"/>
              <w:rPr>
                <w:sz w:val="21"/>
              </w:rPr>
            </w:pPr>
            <w:r>
              <w:rPr>
                <w:spacing w:val="-5"/>
                <w:sz w:val="21"/>
              </w:rPr>
              <w:t>90</w:t>
            </w:r>
          </w:p>
        </w:tc>
        <w:tc>
          <w:tcPr>
            <w:tcW w:w="1515" w:type="dxa"/>
          </w:tcPr>
          <w:p w:rsidR="003F5784" w14:paraId="472BF5CE" w14:textId="77777777">
            <w:pPr>
              <w:pStyle w:val="TableParagraph"/>
              <w:ind w:left="154"/>
              <w:jc w:val="center"/>
              <w:rPr>
                <w:sz w:val="21"/>
              </w:rPr>
            </w:pPr>
            <w:r>
              <w:rPr>
                <w:spacing w:val="-10"/>
                <w:sz w:val="21"/>
              </w:rPr>
              <w:t>#</w:t>
            </w:r>
          </w:p>
        </w:tc>
        <w:tc>
          <w:tcPr>
            <w:tcW w:w="1455" w:type="dxa"/>
          </w:tcPr>
          <w:p w:rsidR="003F5784" w14:paraId="7C81BF97" w14:textId="77777777">
            <w:pPr>
              <w:pStyle w:val="TableParagraph"/>
              <w:ind w:right="805"/>
              <w:rPr>
                <w:sz w:val="21"/>
              </w:rPr>
            </w:pPr>
            <w:r>
              <w:rPr>
                <w:spacing w:val="-5"/>
                <w:sz w:val="21"/>
              </w:rPr>
              <w:t>90</w:t>
            </w:r>
          </w:p>
        </w:tc>
        <w:tc>
          <w:tcPr>
            <w:tcW w:w="2070" w:type="dxa"/>
          </w:tcPr>
          <w:p w:rsidR="003F5784" w14:paraId="18A0094E" w14:textId="77777777">
            <w:pPr>
              <w:pStyle w:val="TableParagraph"/>
              <w:ind w:right="673"/>
              <w:rPr>
                <w:sz w:val="21"/>
              </w:rPr>
            </w:pPr>
            <w:r>
              <w:rPr>
                <w:spacing w:val="-5"/>
                <w:sz w:val="21"/>
              </w:rPr>
              <w:t>90</w:t>
            </w:r>
          </w:p>
        </w:tc>
        <w:tc>
          <w:tcPr>
            <w:tcW w:w="1440" w:type="dxa"/>
          </w:tcPr>
          <w:p w:rsidR="003F5784" w14:paraId="4E91BC25" w14:textId="77777777">
            <w:pPr>
              <w:pStyle w:val="TableParagraph"/>
              <w:ind w:right="118"/>
              <w:rPr>
                <w:sz w:val="21"/>
              </w:rPr>
            </w:pPr>
            <w:r>
              <w:rPr>
                <w:spacing w:val="-10"/>
                <w:sz w:val="21"/>
              </w:rPr>
              <w:t>#</w:t>
            </w:r>
          </w:p>
        </w:tc>
      </w:tr>
      <w:tr w14:paraId="57ED54E5" w14:textId="77777777" w:rsidTr="00E3225D">
        <w:tblPrEx>
          <w:tblW w:w="0" w:type="auto"/>
          <w:tblInd w:w="117" w:type="dxa"/>
          <w:tblLayout w:type="fixed"/>
          <w:tblCellMar>
            <w:left w:w="0" w:type="dxa"/>
            <w:right w:w="0" w:type="dxa"/>
          </w:tblCellMar>
          <w:tblLook w:val="01E0"/>
        </w:tblPrEx>
        <w:trPr>
          <w:trHeight w:val="286"/>
        </w:trPr>
        <w:tc>
          <w:tcPr>
            <w:tcW w:w="3843" w:type="dxa"/>
          </w:tcPr>
          <w:p w:rsidR="003F5784" w14:paraId="35FA5FFA" w14:textId="77777777">
            <w:pPr>
              <w:pStyle w:val="TableParagraph"/>
              <w:ind w:left="117"/>
              <w:jc w:val="left"/>
              <w:rPr>
                <w:sz w:val="21"/>
              </w:rPr>
            </w:pPr>
            <w:r>
              <w:rPr>
                <w:spacing w:val="-5"/>
                <w:sz w:val="21"/>
              </w:rPr>
              <w:t>West</w:t>
            </w:r>
            <w:r>
              <w:rPr>
                <w:spacing w:val="-7"/>
                <w:sz w:val="21"/>
              </w:rPr>
              <w:t xml:space="preserve"> </w:t>
            </w:r>
            <w:r>
              <w:rPr>
                <w:spacing w:val="-2"/>
                <w:sz w:val="21"/>
              </w:rPr>
              <w:t>Virginia</w:t>
            </w:r>
          </w:p>
        </w:tc>
        <w:tc>
          <w:tcPr>
            <w:tcW w:w="1620" w:type="dxa"/>
          </w:tcPr>
          <w:p w:rsidR="003F5784" w14:paraId="6140DBFA" w14:textId="77777777">
            <w:pPr>
              <w:pStyle w:val="TableParagraph"/>
              <w:ind w:right="807"/>
              <w:rPr>
                <w:sz w:val="21"/>
              </w:rPr>
            </w:pPr>
            <w:r>
              <w:rPr>
                <w:spacing w:val="-5"/>
                <w:sz w:val="21"/>
              </w:rPr>
              <w:t>100</w:t>
            </w:r>
          </w:p>
        </w:tc>
        <w:tc>
          <w:tcPr>
            <w:tcW w:w="2070" w:type="dxa"/>
          </w:tcPr>
          <w:p w:rsidR="003F5784" w14:paraId="1043DDB7" w14:textId="77777777">
            <w:pPr>
              <w:pStyle w:val="TableParagraph"/>
              <w:ind w:right="674"/>
              <w:rPr>
                <w:sz w:val="21"/>
              </w:rPr>
            </w:pPr>
            <w:r>
              <w:rPr>
                <w:spacing w:val="-5"/>
                <w:sz w:val="21"/>
              </w:rPr>
              <w:t>100</w:t>
            </w:r>
          </w:p>
        </w:tc>
        <w:tc>
          <w:tcPr>
            <w:tcW w:w="1515" w:type="dxa"/>
          </w:tcPr>
          <w:p w:rsidR="003F5784" w14:paraId="169D6B6F" w14:textId="77777777">
            <w:pPr>
              <w:pStyle w:val="TableParagraph"/>
              <w:ind w:left="154"/>
              <w:jc w:val="center"/>
              <w:rPr>
                <w:sz w:val="21"/>
              </w:rPr>
            </w:pPr>
            <w:r>
              <w:rPr>
                <w:spacing w:val="-10"/>
                <w:sz w:val="21"/>
              </w:rPr>
              <w:t>#</w:t>
            </w:r>
          </w:p>
        </w:tc>
        <w:tc>
          <w:tcPr>
            <w:tcW w:w="1455" w:type="dxa"/>
          </w:tcPr>
          <w:p w:rsidR="003F5784" w14:paraId="302F2C69" w14:textId="77777777">
            <w:pPr>
              <w:pStyle w:val="TableParagraph"/>
              <w:ind w:right="805"/>
              <w:rPr>
                <w:sz w:val="21"/>
              </w:rPr>
            </w:pPr>
            <w:r>
              <w:rPr>
                <w:spacing w:val="-5"/>
                <w:sz w:val="21"/>
              </w:rPr>
              <w:t>90</w:t>
            </w:r>
          </w:p>
        </w:tc>
        <w:tc>
          <w:tcPr>
            <w:tcW w:w="2070" w:type="dxa"/>
          </w:tcPr>
          <w:p w:rsidR="003F5784" w14:paraId="1CC77CA2" w14:textId="77777777">
            <w:pPr>
              <w:pStyle w:val="TableParagraph"/>
              <w:ind w:right="673"/>
              <w:rPr>
                <w:sz w:val="21"/>
              </w:rPr>
            </w:pPr>
            <w:r>
              <w:rPr>
                <w:spacing w:val="-5"/>
                <w:sz w:val="21"/>
              </w:rPr>
              <w:t>90</w:t>
            </w:r>
          </w:p>
        </w:tc>
        <w:tc>
          <w:tcPr>
            <w:tcW w:w="1440" w:type="dxa"/>
          </w:tcPr>
          <w:p w:rsidR="003F5784" w14:paraId="2C050714" w14:textId="77777777">
            <w:pPr>
              <w:pStyle w:val="TableParagraph"/>
              <w:ind w:right="118"/>
              <w:rPr>
                <w:sz w:val="21"/>
              </w:rPr>
            </w:pPr>
            <w:r>
              <w:rPr>
                <w:spacing w:val="-10"/>
                <w:sz w:val="21"/>
              </w:rPr>
              <w:t>#</w:t>
            </w:r>
          </w:p>
        </w:tc>
      </w:tr>
      <w:tr w14:paraId="47864872" w14:textId="77777777" w:rsidTr="00E3225D">
        <w:tblPrEx>
          <w:tblW w:w="0" w:type="auto"/>
          <w:tblInd w:w="117" w:type="dxa"/>
          <w:tblLayout w:type="fixed"/>
          <w:tblCellMar>
            <w:left w:w="0" w:type="dxa"/>
            <w:right w:w="0" w:type="dxa"/>
          </w:tblCellMar>
          <w:tblLook w:val="01E0"/>
        </w:tblPrEx>
        <w:trPr>
          <w:trHeight w:val="286"/>
        </w:trPr>
        <w:tc>
          <w:tcPr>
            <w:tcW w:w="3843" w:type="dxa"/>
          </w:tcPr>
          <w:p w:rsidR="003F5784" w14:paraId="46DEABBC" w14:textId="77777777">
            <w:pPr>
              <w:pStyle w:val="TableParagraph"/>
              <w:ind w:left="117"/>
              <w:jc w:val="left"/>
              <w:rPr>
                <w:sz w:val="21"/>
              </w:rPr>
            </w:pPr>
            <w:r>
              <w:rPr>
                <w:spacing w:val="-2"/>
                <w:sz w:val="21"/>
              </w:rPr>
              <w:t>Wisconsin–Milwaukee</w:t>
            </w:r>
          </w:p>
        </w:tc>
        <w:tc>
          <w:tcPr>
            <w:tcW w:w="1620" w:type="dxa"/>
          </w:tcPr>
          <w:p w:rsidR="003F5784" w14:paraId="676F1D44" w14:textId="77777777">
            <w:pPr>
              <w:pStyle w:val="TableParagraph"/>
              <w:ind w:right="807"/>
              <w:rPr>
                <w:sz w:val="21"/>
              </w:rPr>
            </w:pPr>
            <w:r>
              <w:rPr>
                <w:spacing w:val="-5"/>
                <w:sz w:val="21"/>
              </w:rPr>
              <w:t>50</w:t>
            </w:r>
          </w:p>
        </w:tc>
        <w:tc>
          <w:tcPr>
            <w:tcW w:w="2070" w:type="dxa"/>
          </w:tcPr>
          <w:p w:rsidR="003F5784" w14:paraId="2CC2AEF8" w14:textId="77777777">
            <w:pPr>
              <w:pStyle w:val="TableParagraph"/>
              <w:ind w:right="674"/>
              <w:rPr>
                <w:sz w:val="21"/>
              </w:rPr>
            </w:pPr>
            <w:r>
              <w:rPr>
                <w:spacing w:val="-5"/>
                <w:sz w:val="21"/>
              </w:rPr>
              <w:t>50</w:t>
            </w:r>
          </w:p>
        </w:tc>
        <w:tc>
          <w:tcPr>
            <w:tcW w:w="1515" w:type="dxa"/>
          </w:tcPr>
          <w:p w:rsidR="003F5784" w14:paraId="43BF1DD6" w14:textId="77777777">
            <w:pPr>
              <w:pStyle w:val="TableParagraph"/>
              <w:ind w:left="154"/>
              <w:jc w:val="center"/>
              <w:rPr>
                <w:sz w:val="21"/>
              </w:rPr>
            </w:pPr>
            <w:r>
              <w:rPr>
                <w:spacing w:val="-10"/>
                <w:sz w:val="21"/>
              </w:rPr>
              <w:t>#</w:t>
            </w:r>
          </w:p>
        </w:tc>
        <w:tc>
          <w:tcPr>
            <w:tcW w:w="1455" w:type="dxa"/>
          </w:tcPr>
          <w:p w:rsidR="003F5784" w14:paraId="15E867FF" w14:textId="77777777">
            <w:pPr>
              <w:pStyle w:val="TableParagraph"/>
              <w:ind w:right="805"/>
              <w:rPr>
                <w:sz w:val="21"/>
              </w:rPr>
            </w:pPr>
            <w:r>
              <w:rPr>
                <w:spacing w:val="-5"/>
                <w:sz w:val="21"/>
              </w:rPr>
              <w:t>40</w:t>
            </w:r>
          </w:p>
        </w:tc>
        <w:tc>
          <w:tcPr>
            <w:tcW w:w="2070" w:type="dxa"/>
          </w:tcPr>
          <w:p w:rsidR="003F5784" w14:paraId="0FEA5F88" w14:textId="77777777">
            <w:pPr>
              <w:pStyle w:val="TableParagraph"/>
              <w:ind w:right="673"/>
              <w:rPr>
                <w:sz w:val="21"/>
              </w:rPr>
            </w:pPr>
            <w:r>
              <w:rPr>
                <w:spacing w:val="-5"/>
                <w:sz w:val="21"/>
              </w:rPr>
              <w:t>40</w:t>
            </w:r>
          </w:p>
        </w:tc>
        <w:tc>
          <w:tcPr>
            <w:tcW w:w="1440" w:type="dxa"/>
          </w:tcPr>
          <w:p w:rsidR="003F5784" w14:paraId="2D5F993B" w14:textId="77777777">
            <w:pPr>
              <w:pStyle w:val="TableParagraph"/>
              <w:ind w:right="118"/>
              <w:rPr>
                <w:sz w:val="21"/>
              </w:rPr>
            </w:pPr>
            <w:r>
              <w:rPr>
                <w:spacing w:val="-10"/>
                <w:sz w:val="21"/>
              </w:rPr>
              <w:t>#</w:t>
            </w:r>
          </w:p>
        </w:tc>
      </w:tr>
      <w:tr w14:paraId="5FA9CE66" w14:textId="77777777" w:rsidTr="00E3225D">
        <w:tblPrEx>
          <w:tblW w:w="0" w:type="auto"/>
          <w:tblInd w:w="117" w:type="dxa"/>
          <w:tblLayout w:type="fixed"/>
          <w:tblCellMar>
            <w:left w:w="0" w:type="dxa"/>
            <w:right w:w="0" w:type="dxa"/>
          </w:tblCellMar>
          <w:tblLook w:val="01E0"/>
        </w:tblPrEx>
        <w:trPr>
          <w:trHeight w:val="286"/>
        </w:trPr>
        <w:tc>
          <w:tcPr>
            <w:tcW w:w="3843" w:type="dxa"/>
          </w:tcPr>
          <w:p w:rsidR="003F5784" w14:paraId="0596195B" w14:textId="77777777">
            <w:pPr>
              <w:pStyle w:val="TableParagraph"/>
              <w:ind w:left="117"/>
              <w:jc w:val="left"/>
              <w:rPr>
                <w:sz w:val="21"/>
              </w:rPr>
            </w:pPr>
            <w:r>
              <w:rPr>
                <w:spacing w:val="-2"/>
                <w:sz w:val="21"/>
              </w:rPr>
              <w:t>Wisconsin–Balance</w:t>
            </w:r>
          </w:p>
        </w:tc>
        <w:tc>
          <w:tcPr>
            <w:tcW w:w="1620" w:type="dxa"/>
          </w:tcPr>
          <w:p w:rsidR="003F5784" w14:paraId="6A5766A9" w14:textId="77777777">
            <w:pPr>
              <w:pStyle w:val="TableParagraph"/>
              <w:ind w:right="807"/>
              <w:rPr>
                <w:sz w:val="21"/>
              </w:rPr>
            </w:pPr>
            <w:r>
              <w:rPr>
                <w:spacing w:val="-5"/>
                <w:sz w:val="21"/>
              </w:rPr>
              <w:t>90</w:t>
            </w:r>
          </w:p>
        </w:tc>
        <w:tc>
          <w:tcPr>
            <w:tcW w:w="2070" w:type="dxa"/>
          </w:tcPr>
          <w:p w:rsidR="003F5784" w14:paraId="360A60D9" w14:textId="77777777">
            <w:pPr>
              <w:pStyle w:val="TableParagraph"/>
              <w:ind w:right="674"/>
              <w:rPr>
                <w:sz w:val="21"/>
              </w:rPr>
            </w:pPr>
            <w:r>
              <w:rPr>
                <w:spacing w:val="-5"/>
                <w:sz w:val="21"/>
              </w:rPr>
              <w:t>90</w:t>
            </w:r>
          </w:p>
        </w:tc>
        <w:tc>
          <w:tcPr>
            <w:tcW w:w="1515" w:type="dxa"/>
          </w:tcPr>
          <w:p w:rsidR="003F5784" w14:paraId="47323D8C" w14:textId="77777777">
            <w:pPr>
              <w:pStyle w:val="TableParagraph"/>
              <w:ind w:left="154"/>
              <w:jc w:val="center"/>
              <w:rPr>
                <w:sz w:val="21"/>
              </w:rPr>
            </w:pPr>
            <w:r>
              <w:rPr>
                <w:spacing w:val="-10"/>
                <w:sz w:val="21"/>
              </w:rPr>
              <w:t>#</w:t>
            </w:r>
          </w:p>
        </w:tc>
        <w:tc>
          <w:tcPr>
            <w:tcW w:w="1455" w:type="dxa"/>
          </w:tcPr>
          <w:p w:rsidR="003F5784" w14:paraId="6D700018" w14:textId="77777777">
            <w:pPr>
              <w:pStyle w:val="TableParagraph"/>
              <w:ind w:right="805"/>
              <w:rPr>
                <w:sz w:val="21"/>
              </w:rPr>
            </w:pPr>
            <w:r>
              <w:rPr>
                <w:spacing w:val="-5"/>
                <w:sz w:val="21"/>
              </w:rPr>
              <w:t>80</w:t>
            </w:r>
          </w:p>
        </w:tc>
        <w:tc>
          <w:tcPr>
            <w:tcW w:w="2070" w:type="dxa"/>
          </w:tcPr>
          <w:p w:rsidR="003F5784" w14:paraId="7CC0898F" w14:textId="77777777">
            <w:pPr>
              <w:pStyle w:val="TableParagraph"/>
              <w:ind w:right="673"/>
              <w:rPr>
                <w:sz w:val="21"/>
              </w:rPr>
            </w:pPr>
            <w:r>
              <w:rPr>
                <w:spacing w:val="-5"/>
                <w:sz w:val="21"/>
              </w:rPr>
              <w:t>80</w:t>
            </w:r>
          </w:p>
        </w:tc>
        <w:tc>
          <w:tcPr>
            <w:tcW w:w="1440" w:type="dxa"/>
          </w:tcPr>
          <w:p w:rsidR="003F5784" w14:paraId="016A2212" w14:textId="77777777">
            <w:pPr>
              <w:pStyle w:val="TableParagraph"/>
              <w:ind w:right="118"/>
              <w:rPr>
                <w:sz w:val="21"/>
              </w:rPr>
            </w:pPr>
            <w:r>
              <w:rPr>
                <w:spacing w:val="-10"/>
                <w:sz w:val="21"/>
              </w:rPr>
              <w:t>#</w:t>
            </w:r>
          </w:p>
        </w:tc>
      </w:tr>
      <w:tr w14:paraId="644717C1" w14:textId="77777777" w:rsidTr="00E3225D">
        <w:tblPrEx>
          <w:tblW w:w="0" w:type="auto"/>
          <w:tblInd w:w="117" w:type="dxa"/>
          <w:tblLayout w:type="fixed"/>
          <w:tblCellMar>
            <w:left w:w="0" w:type="dxa"/>
            <w:right w:w="0" w:type="dxa"/>
          </w:tblCellMar>
          <w:tblLook w:val="01E0"/>
        </w:tblPrEx>
        <w:trPr>
          <w:trHeight w:val="286"/>
        </w:trPr>
        <w:tc>
          <w:tcPr>
            <w:tcW w:w="3843" w:type="dxa"/>
          </w:tcPr>
          <w:p w:rsidR="003F5784" w14:paraId="1060124C" w14:textId="77777777">
            <w:pPr>
              <w:pStyle w:val="TableParagraph"/>
              <w:ind w:left="117"/>
              <w:jc w:val="left"/>
              <w:rPr>
                <w:sz w:val="21"/>
              </w:rPr>
            </w:pPr>
            <w:r>
              <w:rPr>
                <w:spacing w:val="-2"/>
                <w:sz w:val="21"/>
              </w:rPr>
              <w:t>Wyoming</w:t>
            </w:r>
          </w:p>
        </w:tc>
        <w:tc>
          <w:tcPr>
            <w:tcW w:w="1620" w:type="dxa"/>
          </w:tcPr>
          <w:p w:rsidR="003F5784" w14:paraId="50AABA7C" w14:textId="77777777">
            <w:pPr>
              <w:pStyle w:val="TableParagraph"/>
              <w:ind w:right="807"/>
              <w:rPr>
                <w:sz w:val="21"/>
              </w:rPr>
            </w:pPr>
            <w:r>
              <w:rPr>
                <w:spacing w:val="-5"/>
                <w:sz w:val="21"/>
              </w:rPr>
              <w:t>100</w:t>
            </w:r>
          </w:p>
        </w:tc>
        <w:tc>
          <w:tcPr>
            <w:tcW w:w="2070" w:type="dxa"/>
          </w:tcPr>
          <w:p w:rsidR="003F5784" w14:paraId="40C10ED3" w14:textId="77777777">
            <w:pPr>
              <w:pStyle w:val="TableParagraph"/>
              <w:ind w:right="674"/>
              <w:rPr>
                <w:sz w:val="21"/>
              </w:rPr>
            </w:pPr>
            <w:r>
              <w:rPr>
                <w:spacing w:val="-5"/>
                <w:sz w:val="21"/>
              </w:rPr>
              <w:t>100</w:t>
            </w:r>
          </w:p>
        </w:tc>
        <w:tc>
          <w:tcPr>
            <w:tcW w:w="1515" w:type="dxa"/>
          </w:tcPr>
          <w:p w:rsidR="003F5784" w14:paraId="49627E15" w14:textId="77777777">
            <w:pPr>
              <w:pStyle w:val="TableParagraph"/>
              <w:ind w:left="154"/>
              <w:jc w:val="center"/>
              <w:rPr>
                <w:sz w:val="21"/>
              </w:rPr>
            </w:pPr>
            <w:r>
              <w:rPr>
                <w:spacing w:val="-10"/>
                <w:sz w:val="21"/>
              </w:rPr>
              <w:t>#</w:t>
            </w:r>
          </w:p>
        </w:tc>
        <w:tc>
          <w:tcPr>
            <w:tcW w:w="1455" w:type="dxa"/>
          </w:tcPr>
          <w:p w:rsidR="003F5784" w14:paraId="628BC5C4" w14:textId="77777777">
            <w:pPr>
              <w:pStyle w:val="TableParagraph"/>
              <w:ind w:right="805"/>
              <w:rPr>
                <w:sz w:val="21"/>
              </w:rPr>
            </w:pPr>
            <w:r>
              <w:rPr>
                <w:spacing w:val="-5"/>
                <w:sz w:val="21"/>
              </w:rPr>
              <w:t>70</w:t>
            </w:r>
          </w:p>
        </w:tc>
        <w:tc>
          <w:tcPr>
            <w:tcW w:w="2070" w:type="dxa"/>
          </w:tcPr>
          <w:p w:rsidR="003F5784" w14:paraId="272EDDC0" w14:textId="77777777">
            <w:pPr>
              <w:pStyle w:val="TableParagraph"/>
              <w:ind w:right="673"/>
              <w:rPr>
                <w:sz w:val="21"/>
              </w:rPr>
            </w:pPr>
            <w:r>
              <w:rPr>
                <w:spacing w:val="-5"/>
                <w:sz w:val="21"/>
              </w:rPr>
              <w:t>60</w:t>
            </w:r>
          </w:p>
        </w:tc>
        <w:tc>
          <w:tcPr>
            <w:tcW w:w="1440" w:type="dxa"/>
          </w:tcPr>
          <w:p w:rsidR="003F5784" w14:paraId="4BFDD7A8" w14:textId="77777777">
            <w:pPr>
              <w:pStyle w:val="TableParagraph"/>
              <w:ind w:right="118"/>
              <w:rPr>
                <w:sz w:val="21"/>
              </w:rPr>
            </w:pPr>
            <w:r>
              <w:rPr>
                <w:spacing w:val="-5"/>
                <w:sz w:val="21"/>
              </w:rPr>
              <w:t>10</w:t>
            </w:r>
          </w:p>
        </w:tc>
      </w:tr>
      <w:tr w14:paraId="71E50AF6" w14:textId="77777777" w:rsidTr="00E3225D">
        <w:tblPrEx>
          <w:tblW w:w="0" w:type="auto"/>
          <w:tblInd w:w="117" w:type="dxa"/>
          <w:tblLayout w:type="fixed"/>
          <w:tblCellMar>
            <w:left w:w="0" w:type="dxa"/>
            <w:right w:w="0" w:type="dxa"/>
          </w:tblCellMar>
          <w:tblLook w:val="01E0"/>
        </w:tblPrEx>
        <w:trPr>
          <w:trHeight w:val="286"/>
        </w:trPr>
        <w:tc>
          <w:tcPr>
            <w:tcW w:w="3843" w:type="dxa"/>
          </w:tcPr>
          <w:p w:rsidR="003F5784" w14:paraId="16672B25" w14:textId="77777777">
            <w:pPr>
              <w:pStyle w:val="TableParagraph"/>
              <w:ind w:left="117"/>
              <w:jc w:val="left"/>
              <w:rPr>
                <w:sz w:val="21"/>
              </w:rPr>
            </w:pPr>
            <w:r>
              <w:rPr>
                <w:sz w:val="21"/>
              </w:rPr>
              <w:t>Other</w:t>
            </w:r>
            <w:r>
              <w:rPr>
                <w:spacing w:val="-6"/>
                <w:sz w:val="21"/>
              </w:rPr>
              <w:t xml:space="preserve"> </w:t>
            </w:r>
            <w:r>
              <w:rPr>
                <w:spacing w:val="-2"/>
                <w:sz w:val="21"/>
              </w:rPr>
              <w:t>jurisdictions</w:t>
            </w:r>
          </w:p>
        </w:tc>
        <w:tc>
          <w:tcPr>
            <w:tcW w:w="1620" w:type="dxa"/>
          </w:tcPr>
          <w:p w:rsidR="003F5784" w14:paraId="0EEEF0BA" w14:textId="77777777">
            <w:pPr>
              <w:pStyle w:val="TableParagraph"/>
              <w:spacing w:before="0"/>
              <w:jc w:val="left"/>
              <w:rPr>
                <w:sz w:val="20"/>
              </w:rPr>
            </w:pPr>
          </w:p>
        </w:tc>
        <w:tc>
          <w:tcPr>
            <w:tcW w:w="2070" w:type="dxa"/>
          </w:tcPr>
          <w:p w:rsidR="003F5784" w14:paraId="7F95D194" w14:textId="77777777">
            <w:pPr>
              <w:pStyle w:val="TableParagraph"/>
              <w:spacing w:before="0"/>
              <w:jc w:val="left"/>
              <w:rPr>
                <w:sz w:val="20"/>
              </w:rPr>
            </w:pPr>
          </w:p>
        </w:tc>
        <w:tc>
          <w:tcPr>
            <w:tcW w:w="1515" w:type="dxa"/>
          </w:tcPr>
          <w:p w:rsidR="003F5784" w14:paraId="31961BF1" w14:textId="77777777">
            <w:pPr>
              <w:pStyle w:val="TableParagraph"/>
              <w:spacing w:before="0"/>
              <w:jc w:val="left"/>
              <w:rPr>
                <w:sz w:val="20"/>
              </w:rPr>
            </w:pPr>
          </w:p>
        </w:tc>
        <w:tc>
          <w:tcPr>
            <w:tcW w:w="1455" w:type="dxa"/>
          </w:tcPr>
          <w:p w:rsidR="003F5784" w14:paraId="66BACC15" w14:textId="77777777">
            <w:pPr>
              <w:pStyle w:val="TableParagraph"/>
              <w:spacing w:before="0"/>
              <w:jc w:val="left"/>
              <w:rPr>
                <w:sz w:val="20"/>
              </w:rPr>
            </w:pPr>
          </w:p>
        </w:tc>
        <w:tc>
          <w:tcPr>
            <w:tcW w:w="2070" w:type="dxa"/>
          </w:tcPr>
          <w:p w:rsidR="003F5784" w14:paraId="2734322C" w14:textId="77777777">
            <w:pPr>
              <w:pStyle w:val="TableParagraph"/>
              <w:spacing w:before="0"/>
              <w:jc w:val="left"/>
              <w:rPr>
                <w:sz w:val="20"/>
              </w:rPr>
            </w:pPr>
          </w:p>
        </w:tc>
        <w:tc>
          <w:tcPr>
            <w:tcW w:w="1440" w:type="dxa"/>
          </w:tcPr>
          <w:p w:rsidR="003F5784" w14:paraId="18759515" w14:textId="77777777">
            <w:pPr>
              <w:pStyle w:val="TableParagraph"/>
              <w:spacing w:before="0"/>
              <w:jc w:val="left"/>
              <w:rPr>
                <w:sz w:val="20"/>
              </w:rPr>
            </w:pPr>
          </w:p>
        </w:tc>
      </w:tr>
      <w:tr w14:paraId="2796D2FB" w14:textId="77777777" w:rsidTr="00E3225D">
        <w:tblPrEx>
          <w:tblW w:w="0" w:type="auto"/>
          <w:tblInd w:w="117" w:type="dxa"/>
          <w:tblLayout w:type="fixed"/>
          <w:tblCellMar>
            <w:left w:w="0" w:type="dxa"/>
            <w:right w:w="0" w:type="dxa"/>
          </w:tblCellMar>
          <w:tblLook w:val="01E0"/>
        </w:tblPrEx>
        <w:trPr>
          <w:trHeight w:val="286"/>
        </w:trPr>
        <w:tc>
          <w:tcPr>
            <w:tcW w:w="3843" w:type="dxa"/>
          </w:tcPr>
          <w:p w:rsidR="003F5784" w14:paraId="7AE27261" w14:textId="77777777">
            <w:pPr>
              <w:pStyle w:val="TableParagraph"/>
              <w:ind w:left="367"/>
              <w:jc w:val="left"/>
              <w:rPr>
                <w:sz w:val="21"/>
              </w:rPr>
            </w:pPr>
            <w:r>
              <w:rPr>
                <w:sz w:val="21"/>
              </w:rPr>
              <w:t>Bureau</w:t>
            </w:r>
            <w:r>
              <w:rPr>
                <w:spacing w:val="-7"/>
                <w:sz w:val="21"/>
              </w:rPr>
              <w:t xml:space="preserve"> </w:t>
            </w:r>
            <w:r>
              <w:rPr>
                <w:sz w:val="21"/>
              </w:rPr>
              <w:t>of</w:t>
            </w:r>
            <w:r>
              <w:rPr>
                <w:spacing w:val="-6"/>
                <w:sz w:val="21"/>
              </w:rPr>
              <w:t xml:space="preserve"> </w:t>
            </w:r>
            <w:r>
              <w:rPr>
                <w:sz w:val="21"/>
              </w:rPr>
              <w:t>Indian</w:t>
            </w:r>
            <w:r>
              <w:rPr>
                <w:spacing w:val="-7"/>
                <w:sz w:val="21"/>
              </w:rPr>
              <w:t xml:space="preserve"> </w:t>
            </w:r>
            <w:r>
              <w:rPr>
                <w:sz w:val="21"/>
              </w:rPr>
              <w:t>Education</w:t>
            </w:r>
            <w:r>
              <w:rPr>
                <w:spacing w:val="-6"/>
                <w:sz w:val="21"/>
              </w:rPr>
              <w:t xml:space="preserve"> </w:t>
            </w:r>
            <w:r>
              <w:rPr>
                <w:spacing w:val="-2"/>
                <w:sz w:val="21"/>
              </w:rPr>
              <w:t>(BIE)</w:t>
            </w:r>
          </w:p>
        </w:tc>
        <w:tc>
          <w:tcPr>
            <w:tcW w:w="1620" w:type="dxa"/>
          </w:tcPr>
          <w:p w:rsidR="003F5784" w14:paraId="5C4AEC8C" w14:textId="77777777">
            <w:pPr>
              <w:pStyle w:val="TableParagraph"/>
              <w:ind w:right="807"/>
              <w:rPr>
                <w:sz w:val="21"/>
              </w:rPr>
            </w:pPr>
            <w:r>
              <w:rPr>
                <w:spacing w:val="-5"/>
                <w:sz w:val="21"/>
              </w:rPr>
              <w:t>10</w:t>
            </w:r>
          </w:p>
        </w:tc>
        <w:tc>
          <w:tcPr>
            <w:tcW w:w="2070" w:type="dxa"/>
          </w:tcPr>
          <w:p w:rsidR="003F5784" w14:paraId="416193B2" w14:textId="77777777">
            <w:pPr>
              <w:pStyle w:val="TableParagraph"/>
              <w:ind w:right="674"/>
              <w:rPr>
                <w:sz w:val="21"/>
              </w:rPr>
            </w:pPr>
            <w:r>
              <w:rPr>
                <w:spacing w:val="-5"/>
                <w:sz w:val="21"/>
              </w:rPr>
              <w:t>10</w:t>
            </w:r>
          </w:p>
        </w:tc>
        <w:tc>
          <w:tcPr>
            <w:tcW w:w="1515" w:type="dxa"/>
          </w:tcPr>
          <w:p w:rsidR="003F5784" w14:paraId="576BEF86" w14:textId="77777777">
            <w:pPr>
              <w:pStyle w:val="TableParagraph"/>
              <w:ind w:left="154"/>
              <w:jc w:val="center"/>
              <w:rPr>
                <w:sz w:val="21"/>
              </w:rPr>
            </w:pPr>
            <w:r>
              <w:rPr>
                <w:spacing w:val="-10"/>
                <w:sz w:val="21"/>
              </w:rPr>
              <w:t>#</w:t>
            </w:r>
          </w:p>
        </w:tc>
        <w:tc>
          <w:tcPr>
            <w:tcW w:w="1455" w:type="dxa"/>
          </w:tcPr>
          <w:p w:rsidR="003F5784" w14:paraId="62D0DC0B" w14:textId="77777777">
            <w:pPr>
              <w:pStyle w:val="TableParagraph"/>
              <w:ind w:right="805"/>
              <w:rPr>
                <w:sz w:val="21"/>
              </w:rPr>
            </w:pPr>
            <w:r>
              <w:rPr>
                <w:spacing w:val="-5"/>
                <w:sz w:val="21"/>
              </w:rPr>
              <w:t>10</w:t>
            </w:r>
          </w:p>
        </w:tc>
        <w:tc>
          <w:tcPr>
            <w:tcW w:w="2070" w:type="dxa"/>
          </w:tcPr>
          <w:p w:rsidR="003F5784" w14:paraId="01966F36" w14:textId="77777777">
            <w:pPr>
              <w:pStyle w:val="TableParagraph"/>
              <w:ind w:right="673"/>
              <w:rPr>
                <w:sz w:val="21"/>
              </w:rPr>
            </w:pPr>
            <w:r>
              <w:rPr>
                <w:spacing w:val="-5"/>
                <w:sz w:val="21"/>
              </w:rPr>
              <w:t>10</w:t>
            </w:r>
          </w:p>
        </w:tc>
        <w:tc>
          <w:tcPr>
            <w:tcW w:w="1440" w:type="dxa"/>
          </w:tcPr>
          <w:p w:rsidR="003F5784" w14:paraId="03351C99" w14:textId="77777777">
            <w:pPr>
              <w:pStyle w:val="TableParagraph"/>
              <w:ind w:right="118"/>
              <w:rPr>
                <w:sz w:val="21"/>
              </w:rPr>
            </w:pPr>
            <w:r>
              <w:rPr>
                <w:spacing w:val="-10"/>
                <w:sz w:val="21"/>
              </w:rPr>
              <w:t>#</w:t>
            </w:r>
          </w:p>
        </w:tc>
      </w:tr>
      <w:tr w14:paraId="7CFF2E9D" w14:textId="77777777" w:rsidTr="00E3225D">
        <w:tblPrEx>
          <w:tblW w:w="0" w:type="auto"/>
          <w:tblInd w:w="117" w:type="dxa"/>
          <w:tblLayout w:type="fixed"/>
          <w:tblCellMar>
            <w:left w:w="0" w:type="dxa"/>
            <w:right w:w="0" w:type="dxa"/>
          </w:tblCellMar>
          <w:tblLook w:val="01E0"/>
        </w:tblPrEx>
        <w:trPr>
          <w:trHeight w:val="521"/>
        </w:trPr>
        <w:tc>
          <w:tcPr>
            <w:tcW w:w="3843" w:type="dxa"/>
          </w:tcPr>
          <w:p w:rsidR="003F5784" w14:paraId="6028AB67" w14:textId="77777777">
            <w:pPr>
              <w:pStyle w:val="TableParagraph"/>
              <w:spacing w:before="23" w:line="232" w:lineRule="auto"/>
              <w:ind w:left="367" w:right="239"/>
              <w:jc w:val="left"/>
              <w:rPr>
                <w:sz w:val="21"/>
              </w:rPr>
            </w:pPr>
            <w:r>
              <w:rPr>
                <w:sz w:val="21"/>
              </w:rPr>
              <w:t>Department</w:t>
            </w:r>
            <w:r>
              <w:rPr>
                <w:spacing w:val="-14"/>
                <w:sz w:val="21"/>
              </w:rPr>
              <w:t xml:space="preserve"> </w:t>
            </w:r>
            <w:r>
              <w:rPr>
                <w:sz w:val="21"/>
              </w:rPr>
              <w:t>of</w:t>
            </w:r>
            <w:r>
              <w:rPr>
                <w:spacing w:val="-13"/>
                <w:sz w:val="21"/>
              </w:rPr>
              <w:t xml:space="preserve"> </w:t>
            </w:r>
            <w:r>
              <w:rPr>
                <w:sz w:val="21"/>
              </w:rPr>
              <w:t>Defense</w:t>
            </w:r>
            <w:r>
              <w:rPr>
                <w:spacing w:val="-13"/>
                <w:sz w:val="21"/>
              </w:rPr>
              <w:t xml:space="preserve"> </w:t>
            </w:r>
            <w:r>
              <w:rPr>
                <w:sz w:val="21"/>
              </w:rPr>
              <w:t>Education Activity (DoDEA)</w:t>
            </w:r>
          </w:p>
        </w:tc>
        <w:tc>
          <w:tcPr>
            <w:tcW w:w="1620" w:type="dxa"/>
          </w:tcPr>
          <w:p w:rsidR="003F5784" w14:paraId="1344732A" w14:textId="77777777">
            <w:pPr>
              <w:pStyle w:val="TableParagraph"/>
              <w:ind w:right="807"/>
              <w:rPr>
                <w:sz w:val="21"/>
              </w:rPr>
            </w:pPr>
            <w:r>
              <w:rPr>
                <w:spacing w:val="-5"/>
                <w:sz w:val="21"/>
              </w:rPr>
              <w:t>100</w:t>
            </w:r>
          </w:p>
        </w:tc>
        <w:tc>
          <w:tcPr>
            <w:tcW w:w="2070" w:type="dxa"/>
          </w:tcPr>
          <w:p w:rsidR="003F5784" w14:paraId="4402BADE" w14:textId="77777777">
            <w:pPr>
              <w:pStyle w:val="TableParagraph"/>
              <w:ind w:right="674"/>
              <w:rPr>
                <w:sz w:val="21"/>
              </w:rPr>
            </w:pPr>
            <w:r>
              <w:rPr>
                <w:spacing w:val="-5"/>
                <w:sz w:val="21"/>
              </w:rPr>
              <w:t>90</w:t>
            </w:r>
          </w:p>
        </w:tc>
        <w:tc>
          <w:tcPr>
            <w:tcW w:w="1515" w:type="dxa"/>
          </w:tcPr>
          <w:p w:rsidR="003F5784" w14:paraId="37C7C1B9" w14:textId="77777777">
            <w:pPr>
              <w:pStyle w:val="TableParagraph"/>
              <w:ind w:left="154" w:right="105"/>
              <w:jc w:val="center"/>
              <w:rPr>
                <w:sz w:val="21"/>
              </w:rPr>
            </w:pPr>
            <w:r>
              <w:rPr>
                <w:spacing w:val="-5"/>
                <w:sz w:val="21"/>
              </w:rPr>
              <w:t>10</w:t>
            </w:r>
          </w:p>
        </w:tc>
        <w:tc>
          <w:tcPr>
            <w:tcW w:w="1455" w:type="dxa"/>
          </w:tcPr>
          <w:p w:rsidR="003F5784" w14:paraId="055F9F57" w14:textId="77777777">
            <w:pPr>
              <w:pStyle w:val="TableParagraph"/>
              <w:ind w:right="805"/>
              <w:rPr>
                <w:sz w:val="21"/>
              </w:rPr>
            </w:pPr>
            <w:r>
              <w:rPr>
                <w:spacing w:val="-5"/>
                <w:sz w:val="21"/>
              </w:rPr>
              <w:t>60</w:t>
            </w:r>
          </w:p>
        </w:tc>
        <w:tc>
          <w:tcPr>
            <w:tcW w:w="2070" w:type="dxa"/>
          </w:tcPr>
          <w:p w:rsidR="003F5784" w14:paraId="40708ADF" w14:textId="77777777">
            <w:pPr>
              <w:pStyle w:val="TableParagraph"/>
              <w:ind w:right="673"/>
              <w:rPr>
                <w:sz w:val="21"/>
              </w:rPr>
            </w:pPr>
            <w:r>
              <w:rPr>
                <w:spacing w:val="-5"/>
                <w:sz w:val="21"/>
              </w:rPr>
              <w:t>60</w:t>
            </w:r>
          </w:p>
        </w:tc>
        <w:tc>
          <w:tcPr>
            <w:tcW w:w="1440" w:type="dxa"/>
          </w:tcPr>
          <w:p w:rsidR="003F5784" w14:paraId="388C64AE" w14:textId="77777777">
            <w:pPr>
              <w:pStyle w:val="TableParagraph"/>
              <w:ind w:right="118"/>
              <w:rPr>
                <w:sz w:val="21"/>
              </w:rPr>
            </w:pPr>
            <w:r>
              <w:rPr>
                <w:spacing w:val="-10"/>
                <w:sz w:val="21"/>
              </w:rPr>
              <w:t>#</w:t>
            </w:r>
          </w:p>
        </w:tc>
      </w:tr>
      <w:tr w14:paraId="30B8B335" w14:textId="77777777" w:rsidTr="00E3225D">
        <w:tblPrEx>
          <w:tblW w:w="0" w:type="auto"/>
          <w:tblInd w:w="117" w:type="dxa"/>
          <w:tblLayout w:type="fixed"/>
          <w:tblCellMar>
            <w:left w:w="0" w:type="dxa"/>
            <w:right w:w="0" w:type="dxa"/>
          </w:tblCellMar>
          <w:tblLook w:val="01E0"/>
        </w:tblPrEx>
        <w:trPr>
          <w:trHeight w:val="286"/>
        </w:trPr>
        <w:tc>
          <w:tcPr>
            <w:tcW w:w="3843" w:type="dxa"/>
          </w:tcPr>
          <w:p w:rsidR="003F5784" w14:paraId="64AC4135" w14:textId="77777777">
            <w:pPr>
              <w:pStyle w:val="TableParagraph"/>
              <w:ind w:left="367"/>
              <w:jc w:val="left"/>
              <w:rPr>
                <w:sz w:val="21"/>
              </w:rPr>
            </w:pPr>
            <w:r>
              <w:rPr>
                <w:sz w:val="21"/>
              </w:rPr>
              <w:t>District</w:t>
            </w:r>
            <w:r>
              <w:rPr>
                <w:spacing w:val="-7"/>
                <w:sz w:val="21"/>
              </w:rPr>
              <w:t xml:space="preserve"> </w:t>
            </w:r>
            <w:r>
              <w:rPr>
                <w:sz w:val="21"/>
              </w:rPr>
              <w:t>of</w:t>
            </w:r>
            <w:r>
              <w:rPr>
                <w:spacing w:val="-6"/>
                <w:sz w:val="21"/>
              </w:rPr>
              <w:t xml:space="preserve"> </w:t>
            </w:r>
            <w:r>
              <w:rPr>
                <w:sz w:val="21"/>
              </w:rPr>
              <w:t>Columbia</w:t>
            </w:r>
            <w:r>
              <w:rPr>
                <w:spacing w:val="-7"/>
                <w:sz w:val="21"/>
              </w:rPr>
              <w:t xml:space="preserve"> </w:t>
            </w:r>
            <w:r>
              <w:rPr>
                <w:spacing w:val="-2"/>
                <w:sz w:val="21"/>
              </w:rPr>
              <w:t>(TUDA)</w:t>
            </w:r>
          </w:p>
        </w:tc>
        <w:tc>
          <w:tcPr>
            <w:tcW w:w="1620" w:type="dxa"/>
          </w:tcPr>
          <w:p w:rsidR="003F5784" w14:paraId="3F4E77FA" w14:textId="77777777">
            <w:pPr>
              <w:pStyle w:val="TableParagraph"/>
              <w:ind w:right="807"/>
              <w:rPr>
                <w:sz w:val="21"/>
              </w:rPr>
            </w:pPr>
            <w:r>
              <w:rPr>
                <w:spacing w:val="-5"/>
                <w:sz w:val="21"/>
              </w:rPr>
              <w:t>50</w:t>
            </w:r>
          </w:p>
        </w:tc>
        <w:tc>
          <w:tcPr>
            <w:tcW w:w="2070" w:type="dxa"/>
          </w:tcPr>
          <w:p w:rsidR="003F5784" w14:paraId="405D96F9" w14:textId="77777777">
            <w:pPr>
              <w:pStyle w:val="TableParagraph"/>
              <w:ind w:right="674"/>
              <w:rPr>
                <w:sz w:val="21"/>
              </w:rPr>
            </w:pPr>
            <w:r>
              <w:rPr>
                <w:spacing w:val="-5"/>
                <w:sz w:val="21"/>
              </w:rPr>
              <w:t>50</w:t>
            </w:r>
          </w:p>
        </w:tc>
        <w:tc>
          <w:tcPr>
            <w:tcW w:w="1515" w:type="dxa"/>
          </w:tcPr>
          <w:p w:rsidR="003F5784" w14:paraId="6175B089" w14:textId="77777777">
            <w:pPr>
              <w:pStyle w:val="TableParagraph"/>
              <w:ind w:left="154"/>
              <w:jc w:val="center"/>
              <w:rPr>
                <w:sz w:val="21"/>
              </w:rPr>
            </w:pPr>
            <w:r>
              <w:rPr>
                <w:spacing w:val="-10"/>
                <w:sz w:val="21"/>
              </w:rPr>
              <w:t>#</w:t>
            </w:r>
          </w:p>
        </w:tc>
        <w:tc>
          <w:tcPr>
            <w:tcW w:w="1455" w:type="dxa"/>
          </w:tcPr>
          <w:p w:rsidR="003F5784" w14:paraId="7B026F0D" w14:textId="77777777">
            <w:pPr>
              <w:pStyle w:val="TableParagraph"/>
              <w:ind w:right="805"/>
              <w:rPr>
                <w:sz w:val="21"/>
              </w:rPr>
            </w:pPr>
            <w:r>
              <w:rPr>
                <w:spacing w:val="-5"/>
                <w:sz w:val="21"/>
              </w:rPr>
              <w:t>30</w:t>
            </w:r>
          </w:p>
        </w:tc>
        <w:tc>
          <w:tcPr>
            <w:tcW w:w="2070" w:type="dxa"/>
          </w:tcPr>
          <w:p w:rsidR="003F5784" w14:paraId="276B4C85" w14:textId="77777777">
            <w:pPr>
              <w:pStyle w:val="TableParagraph"/>
              <w:ind w:right="673"/>
              <w:rPr>
                <w:sz w:val="21"/>
              </w:rPr>
            </w:pPr>
            <w:r>
              <w:rPr>
                <w:spacing w:val="-5"/>
                <w:sz w:val="21"/>
              </w:rPr>
              <w:t>30</w:t>
            </w:r>
          </w:p>
        </w:tc>
        <w:tc>
          <w:tcPr>
            <w:tcW w:w="1440" w:type="dxa"/>
          </w:tcPr>
          <w:p w:rsidR="003F5784" w14:paraId="5A635B76" w14:textId="77777777">
            <w:pPr>
              <w:pStyle w:val="TableParagraph"/>
              <w:ind w:right="118"/>
              <w:rPr>
                <w:sz w:val="21"/>
              </w:rPr>
            </w:pPr>
            <w:r>
              <w:rPr>
                <w:spacing w:val="-10"/>
                <w:sz w:val="21"/>
              </w:rPr>
              <w:t>#</w:t>
            </w:r>
          </w:p>
        </w:tc>
      </w:tr>
      <w:tr w14:paraId="5683BEF3" w14:textId="77777777" w:rsidTr="00E3225D">
        <w:tblPrEx>
          <w:tblW w:w="0" w:type="auto"/>
          <w:tblInd w:w="117" w:type="dxa"/>
          <w:tblLayout w:type="fixed"/>
          <w:tblCellMar>
            <w:left w:w="0" w:type="dxa"/>
            <w:right w:w="0" w:type="dxa"/>
          </w:tblCellMar>
          <w:tblLook w:val="01E0"/>
        </w:tblPrEx>
        <w:trPr>
          <w:trHeight w:val="286"/>
        </w:trPr>
        <w:tc>
          <w:tcPr>
            <w:tcW w:w="3843" w:type="dxa"/>
          </w:tcPr>
          <w:p w:rsidR="003F5784" w14:paraId="38BFBCF7" w14:textId="77777777">
            <w:pPr>
              <w:pStyle w:val="TableParagraph"/>
              <w:ind w:left="367"/>
              <w:jc w:val="left"/>
              <w:rPr>
                <w:sz w:val="21"/>
              </w:rPr>
            </w:pPr>
            <w:r>
              <w:rPr>
                <w:sz w:val="21"/>
              </w:rPr>
              <w:t>District</w:t>
            </w:r>
            <w:r>
              <w:rPr>
                <w:spacing w:val="-6"/>
                <w:sz w:val="21"/>
              </w:rPr>
              <w:t xml:space="preserve"> </w:t>
            </w:r>
            <w:r>
              <w:rPr>
                <w:sz w:val="21"/>
              </w:rPr>
              <w:t>of</w:t>
            </w:r>
            <w:r>
              <w:rPr>
                <w:spacing w:val="-5"/>
                <w:sz w:val="21"/>
              </w:rPr>
              <w:t xml:space="preserve"> </w:t>
            </w:r>
            <w:r>
              <w:rPr>
                <w:spacing w:val="-2"/>
                <w:sz w:val="21"/>
              </w:rPr>
              <w:t>Columbia–Balance</w:t>
            </w:r>
          </w:p>
        </w:tc>
        <w:tc>
          <w:tcPr>
            <w:tcW w:w="1620" w:type="dxa"/>
          </w:tcPr>
          <w:p w:rsidR="003F5784" w14:paraId="2EC118DD" w14:textId="77777777">
            <w:pPr>
              <w:pStyle w:val="TableParagraph"/>
              <w:ind w:right="807"/>
              <w:rPr>
                <w:sz w:val="21"/>
              </w:rPr>
            </w:pPr>
            <w:r>
              <w:rPr>
                <w:spacing w:val="-5"/>
                <w:sz w:val="21"/>
              </w:rPr>
              <w:t>40</w:t>
            </w:r>
          </w:p>
        </w:tc>
        <w:tc>
          <w:tcPr>
            <w:tcW w:w="2070" w:type="dxa"/>
          </w:tcPr>
          <w:p w:rsidR="003F5784" w14:paraId="40E3948D" w14:textId="77777777">
            <w:pPr>
              <w:pStyle w:val="TableParagraph"/>
              <w:ind w:right="674"/>
              <w:rPr>
                <w:sz w:val="21"/>
              </w:rPr>
            </w:pPr>
            <w:r>
              <w:rPr>
                <w:spacing w:val="-5"/>
                <w:sz w:val="21"/>
              </w:rPr>
              <w:t>40</w:t>
            </w:r>
          </w:p>
        </w:tc>
        <w:tc>
          <w:tcPr>
            <w:tcW w:w="1515" w:type="dxa"/>
          </w:tcPr>
          <w:p w:rsidR="003F5784" w14:paraId="75C6BCE3" w14:textId="77777777">
            <w:pPr>
              <w:pStyle w:val="TableParagraph"/>
              <w:ind w:left="154"/>
              <w:jc w:val="center"/>
              <w:rPr>
                <w:sz w:val="21"/>
              </w:rPr>
            </w:pPr>
            <w:r>
              <w:rPr>
                <w:spacing w:val="-10"/>
                <w:sz w:val="21"/>
              </w:rPr>
              <w:t>#</w:t>
            </w:r>
          </w:p>
        </w:tc>
        <w:tc>
          <w:tcPr>
            <w:tcW w:w="1455" w:type="dxa"/>
          </w:tcPr>
          <w:p w:rsidR="003F5784" w14:paraId="64493E3C" w14:textId="77777777">
            <w:pPr>
              <w:pStyle w:val="TableParagraph"/>
              <w:ind w:right="805"/>
              <w:rPr>
                <w:sz w:val="21"/>
              </w:rPr>
            </w:pPr>
            <w:r>
              <w:rPr>
                <w:spacing w:val="-5"/>
                <w:sz w:val="21"/>
              </w:rPr>
              <w:t>50</w:t>
            </w:r>
          </w:p>
        </w:tc>
        <w:tc>
          <w:tcPr>
            <w:tcW w:w="2070" w:type="dxa"/>
          </w:tcPr>
          <w:p w:rsidR="003F5784" w14:paraId="68E561AE" w14:textId="77777777">
            <w:pPr>
              <w:pStyle w:val="TableParagraph"/>
              <w:ind w:right="673"/>
              <w:rPr>
                <w:sz w:val="21"/>
              </w:rPr>
            </w:pPr>
            <w:r>
              <w:rPr>
                <w:spacing w:val="-5"/>
                <w:sz w:val="21"/>
              </w:rPr>
              <w:t>40</w:t>
            </w:r>
          </w:p>
        </w:tc>
        <w:tc>
          <w:tcPr>
            <w:tcW w:w="1440" w:type="dxa"/>
          </w:tcPr>
          <w:p w:rsidR="003F5784" w14:paraId="42E140E7" w14:textId="77777777">
            <w:pPr>
              <w:pStyle w:val="TableParagraph"/>
              <w:ind w:right="118"/>
              <w:rPr>
                <w:sz w:val="21"/>
              </w:rPr>
            </w:pPr>
            <w:r>
              <w:rPr>
                <w:spacing w:val="-5"/>
                <w:sz w:val="21"/>
              </w:rPr>
              <w:t>10</w:t>
            </w:r>
          </w:p>
        </w:tc>
      </w:tr>
      <w:tr w14:paraId="7D3811E4" w14:textId="77777777" w:rsidTr="00E3225D">
        <w:tblPrEx>
          <w:tblW w:w="0" w:type="auto"/>
          <w:tblInd w:w="117" w:type="dxa"/>
          <w:tblLayout w:type="fixed"/>
          <w:tblCellMar>
            <w:left w:w="0" w:type="dxa"/>
            <w:right w:w="0" w:type="dxa"/>
          </w:tblCellMar>
          <w:tblLook w:val="01E0"/>
        </w:tblPrEx>
        <w:trPr>
          <w:trHeight w:val="289"/>
        </w:trPr>
        <w:tc>
          <w:tcPr>
            <w:tcW w:w="3843" w:type="dxa"/>
            <w:tcBorders>
              <w:bottom w:val="single" w:sz="18" w:space="0" w:color="800000"/>
            </w:tcBorders>
          </w:tcPr>
          <w:p w:rsidR="003F5784" w14:paraId="174152BC" w14:textId="77777777">
            <w:pPr>
              <w:pStyle w:val="TableParagraph"/>
              <w:ind w:left="367"/>
              <w:jc w:val="left"/>
              <w:rPr>
                <w:sz w:val="21"/>
              </w:rPr>
            </w:pPr>
            <w:r>
              <w:rPr>
                <w:sz w:val="21"/>
              </w:rPr>
              <w:t>Puerto</w:t>
            </w:r>
            <w:r>
              <w:rPr>
                <w:spacing w:val="-7"/>
                <w:sz w:val="21"/>
              </w:rPr>
              <w:t xml:space="preserve"> </w:t>
            </w:r>
            <w:r>
              <w:rPr>
                <w:spacing w:val="-4"/>
                <w:sz w:val="21"/>
              </w:rPr>
              <w:t>Rico</w:t>
            </w:r>
          </w:p>
        </w:tc>
        <w:tc>
          <w:tcPr>
            <w:tcW w:w="1620" w:type="dxa"/>
            <w:tcBorders>
              <w:bottom w:val="single" w:sz="18" w:space="0" w:color="800000"/>
            </w:tcBorders>
          </w:tcPr>
          <w:p w:rsidR="003F5784" w14:paraId="400FC3B3" w14:textId="77777777">
            <w:pPr>
              <w:pStyle w:val="TableParagraph"/>
              <w:ind w:right="807"/>
              <w:rPr>
                <w:sz w:val="21"/>
              </w:rPr>
            </w:pPr>
            <w:r>
              <w:rPr>
                <w:spacing w:val="-5"/>
                <w:sz w:val="21"/>
              </w:rPr>
              <w:t>150</w:t>
            </w:r>
          </w:p>
        </w:tc>
        <w:tc>
          <w:tcPr>
            <w:tcW w:w="2070" w:type="dxa"/>
            <w:tcBorders>
              <w:bottom w:val="single" w:sz="18" w:space="0" w:color="800000"/>
            </w:tcBorders>
          </w:tcPr>
          <w:p w:rsidR="003F5784" w14:paraId="37D375DB" w14:textId="77777777">
            <w:pPr>
              <w:pStyle w:val="TableParagraph"/>
              <w:ind w:right="674"/>
              <w:rPr>
                <w:sz w:val="21"/>
              </w:rPr>
            </w:pPr>
            <w:r>
              <w:rPr>
                <w:spacing w:val="-5"/>
                <w:sz w:val="21"/>
              </w:rPr>
              <w:t>150</w:t>
            </w:r>
          </w:p>
        </w:tc>
        <w:tc>
          <w:tcPr>
            <w:tcW w:w="1515" w:type="dxa"/>
            <w:tcBorders>
              <w:bottom w:val="single" w:sz="18" w:space="0" w:color="800000"/>
            </w:tcBorders>
          </w:tcPr>
          <w:p w:rsidR="003F5784" w14:paraId="465D2581" w14:textId="77777777">
            <w:pPr>
              <w:pStyle w:val="TableParagraph"/>
              <w:ind w:left="154"/>
              <w:jc w:val="center"/>
              <w:rPr>
                <w:sz w:val="21"/>
              </w:rPr>
            </w:pPr>
            <w:r>
              <w:rPr>
                <w:spacing w:val="-10"/>
                <w:sz w:val="21"/>
              </w:rPr>
              <w:t>#</w:t>
            </w:r>
          </w:p>
        </w:tc>
        <w:tc>
          <w:tcPr>
            <w:tcW w:w="1455" w:type="dxa"/>
            <w:tcBorders>
              <w:bottom w:val="single" w:sz="18" w:space="0" w:color="800000"/>
            </w:tcBorders>
          </w:tcPr>
          <w:p w:rsidR="003F5784" w14:paraId="7E74A29F" w14:textId="77777777">
            <w:pPr>
              <w:pStyle w:val="TableParagraph"/>
              <w:ind w:right="805"/>
              <w:rPr>
                <w:sz w:val="21"/>
              </w:rPr>
            </w:pPr>
            <w:r>
              <w:rPr>
                <w:spacing w:val="-5"/>
                <w:sz w:val="21"/>
              </w:rPr>
              <w:t>150</w:t>
            </w:r>
          </w:p>
        </w:tc>
        <w:tc>
          <w:tcPr>
            <w:tcW w:w="2070" w:type="dxa"/>
            <w:tcBorders>
              <w:bottom w:val="single" w:sz="18" w:space="0" w:color="800000"/>
            </w:tcBorders>
          </w:tcPr>
          <w:p w:rsidR="003F5784" w14:paraId="5B8FA904" w14:textId="77777777">
            <w:pPr>
              <w:pStyle w:val="TableParagraph"/>
              <w:ind w:right="673"/>
              <w:rPr>
                <w:sz w:val="21"/>
              </w:rPr>
            </w:pPr>
            <w:r>
              <w:rPr>
                <w:spacing w:val="-5"/>
                <w:sz w:val="21"/>
              </w:rPr>
              <w:t>150</w:t>
            </w:r>
          </w:p>
        </w:tc>
        <w:tc>
          <w:tcPr>
            <w:tcW w:w="1440" w:type="dxa"/>
            <w:tcBorders>
              <w:bottom w:val="single" w:sz="18" w:space="0" w:color="800000"/>
            </w:tcBorders>
          </w:tcPr>
          <w:p w:rsidR="003F5784" w14:paraId="3153F704" w14:textId="77777777">
            <w:pPr>
              <w:pStyle w:val="TableParagraph"/>
              <w:ind w:right="118"/>
              <w:rPr>
                <w:sz w:val="21"/>
              </w:rPr>
            </w:pPr>
            <w:r>
              <w:rPr>
                <w:spacing w:val="-10"/>
                <w:sz w:val="21"/>
              </w:rPr>
              <w:t>#</w:t>
            </w:r>
          </w:p>
        </w:tc>
      </w:tr>
    </w:tbl>
    <w:p w:rsidR="003F5784" w14:paraId="6B1355EE" w14:textId="77777777">
      <w:pPr>
        <w:pStyle w:val="BodyText"/>
        <w:spacing w:before="6" w:line="238" w:lineRule="exact"/>
        <w:ind w:left="227"/>
      </w:pPr>
      <w:r>
        <w:t>#</w:t>
      </w:r>
      <w:r>
        <w:rPr>
          <w:spacing w:val="-5"/>
        </w:rPr>
        <w:t xml:space="preserve"> </w:t>
      </w:r>
      <w:r>
        <w:t>Rounds</w:t>
      </w:r>
      <w:r>
        <w:rPr>
          <w:spacing w:val="-4"/>
        </w:rPr>
        <w:t xml:space="preserve"> </w:t>
      </w:r>
      <w:r>
        <w:t>to</w:t>
      </w:r>
      <w:r>
        <w:rPr>
          <w:spacing w:val="-4"/>
        </w:rPr>
        <w:t xml:space="preserve"> </w:t>
      </w:r>
      <w:r>
        <w:rPr>
          <w:spacing w:val="-2"/>
        </w:rPr>
        <w:t>zero.</w:t>
      </w:r>
    </w:p>
    <w:p w:rsidR="003F5784" w14:paraId="5FD48046" w14:textId="77777777">
      <w:pPr>
        <w:pStyle w:val="BodyText"/>
        <w:spacing w:line="235" w:lineRule="exact"/>
        <w:ind w:left="227"/>
      </w:pPr>
      <w:r>
        <w:t>NOTE:</w:t>
      </w:r>
      <w:r>
        <w:rPr>
          <w:spacing w:val="-5"/>
        </w:rPr>
        <w:t xml:space="preserve"> </w:t>
      </w:r>
      <w:r>
        <w:t>Numbers</w:t>
      </w:r>
      <w:r>
        <w:rPr>
          <w:spacing w:val="-5"/>
        </w:rPr>
        <w:t xml:space="preserve"> </w:t>
      </w:r>
      <w:r>
        <w:t>of</w:t>
      </w:r>
      <w:r>
        <w:rPr>
          <w:spacing w:val="-5"/>
        </w:rPr>
        <w:t xml:space="preserve"> </w:t>
      </w:r>
      <w:r>
        <w:t>schools</w:t>
      </w:r>
      <w:r>
        <w:rPr>
          <w:spacing w:val="-5"/>
        </w:rPr>
        <w:t xml:space="preserve"> </w:t>
      </w:r>
      <w:r>
        <w:t>are</w:t>
      </w:r>
      <w:r>
        <w:rPr>
          <w:spacing w:val="-5"/>
        </w:rPr>
        <w:t xml:space="preserve"> </w:t>
      </w:r>
      <w:r>
        <w:t>rounded</w:t>
      </w:r>
      <w:r>
        <w:rPr>
          <w:spacing w:val="-5"/>
        </w:rPr>
        <w:t xml:space="preserve"> </w:t>
      </w:r>
      <w:r>
        <w:t>to</w:t>
      </w:r>
      <w:r>
        <w:rPr>
          <w:spacing w:val="-5"/>
        </w:rPr>
        <w:t xml:space="preserve"> </w:t>
      </w:r>
      <w:r>
        <w:t>nearest</w:t>
      </w:r>
      <w:r>
        <w:rPr>
          <w:spacing w:val="-5"/>
        </w:rPr>
        <w:t xml:space="preserve"> </w:t>
      </w:r>
      <w:r>
        <w:t>ten.</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due</w:t>
      </w:r>
      <w:r>
        <w:rPr>
          <w:spacing w:val="-5"/>
        </w:rPr>
        <w:t xml:space="preserve"> </w:t>
      </w:r>
      <w:r>
        <w:t>to</w:t>
      </w:r>
      <w:r>
        <w:rPr>
          <w:spacing w:val="-5"/>
        </w:rPr>
        <w:t xml:space="preserve"> </w:t>
      </w:r>
      <w:r>
        <w:rPr>
          <w:spacing w:val="-2"/>
        </w:rPr>
        <w:t>rounding.</w:t>
      </w:r>
    </w:p>
    <w:p w:rsidR="003F5784" w14:paraId="7649DE29" w14:textId="77777777">
      <w:pPr>
        <w:pStyle w:val="BodyText"/>
        <w:spacing w:before="3" w:line="232" w:lineRule="auto"/>
        <w:ind w:left="227" w:right="58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State Mathematics and Reading Assessments.</w:t>
      </w:r>
    </w:p>
    <w:p w:rsidR="003F5784" w14:paraId="0ADCB7D8" w14:textId="77777777">
      <w:pPr>
        <w:pStyle w:val="BodyText"/>
      </w:pPr>
    </w:p>
    <w:p w:rsidR="003F5784" w14:paraId="50859124" w14:textId="77777777">
      <w:pPr>
        <w:pStyle w:val="BodyText"/>
      </w:pPr>
    </w:p>
    <w:p w:rsidR="003F5784" w14:paraId="2F1DEA58" w14:textId="77777777">
      <w:pPr>
        <w:pStyle w:val="BodyText"/>
        <w:spacing w:before="197"/>
      </w:pPr>
    </w:p>
    <w:p w:rsidR="003F5784" w14:paraId="29B40AC3" w14:textId="77777777">
      <w:pPr>
        <w:ind w:left="5708"/>
        <w:rPr>
          <w:sz w:val="18"/>
        </w:rPr>
      </w:pPr>
      <w:hyperlink r:id="rId308">
        <w:r>
          <w:rPr>
            <w:spacing w:val="-2"/>
            <w:w w:val="105"/>
            <w:sz w:val="18"/>
          </w:rPr>
          <w:t>http://nces.ed.gov/nationsreportcard/tdw/sample_design/2022/school_sample_sizes_for_the_2022_state_assessment.aspx</w:t>
        </w:r>
      </w:hyperlink>
    </w:p>
    <w:p w:rsidR="003F5784" w14:paraId="7B0D97AE" w14:textId="77777777">
      <w:pPr>
        <w:pStyle w:val="BodyText"/>
        <w:spacing w:before="1"/>
        <w:rPr>
          <w:sz w:val="16"/>
        </w:rPr>
      </w:pPr>
      <w:r>
        <w:rPr>
          <w:noProof/>
        </w:rPr>
        <mc:AlternateContent>
          <mc:Choice Requires="wps">
            <w:drawing>
              <wp:anchor distT="0" distB="0" distL="0" distR="0" simplePos="0" relativeHeight="251943936" behindDoc="1" locked="0" layoutInCell="1" allowOverlap="1">
                <wp:simplePos x="0" y="0"/>
                <wp:positionH relativeFrom="page">
                  <wp:posOffset>361937</wp:posOffset>
                </wp:positionH>
                <wp:positionV relativeFrom="paragraph">
                  <wp:posOffset>132927</wp:posOffset>
                </wp:positionV>
                <wp:extent cx="9339580" cy="8890"/>
                <wp:effectExtent l="0" t="0" r="0" b="0"/>
                <wp:wrapTopAndBottom/>
                <wp:docPr id="409" name="Graphic 409"/>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76"/>
                              </a:moveTo>
                              <a:lnTo>
                                <a:pt x="9335110" y="76"/>
                              </a:lnTo>
                              <a:lnTo>
                                <a:pt x="8280" y="76"/>
                              </a:lnTo>
                              <a:lnTo>
                                <a:pt x="0" y="0"/>
                              </a:lnTo>
                              <a:lnTo>
                                <a:pt x="0" y="8280"/>
                              </a:lnTo>
                              <a:lnTo>
                                <a:pt x="9335110" y="8356"/>
                              </a:lnTo>
                              <a:lnTo>
                                <a:pt x="9338970" y="8356"/>
                              </a:lnTo>
                              <a:lnTo>
                                <a:pt x="9338970" y="76"/>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409" o:spid="_x0000_s1151" style="width:735.4pt;height:0.7pt;margin-top:10.45pt;margin-left:28.5pt;mso-position-horizontal-relative:page;mso-wrap-distance-bottom:0;mso-wrap-distance-left:0;mso-wrap-distance-right:0;mso-wrap-distance-top:0;mso-wrap-style:square;position:absolute;visibility:visible;v-text-anchor:top;z-index:-251371520" coordsize="9339580,8890" path="m9338970,76l9335110,76l8280,76,,,,8280l9335110,8356l9338970,8356l9338970,76xe" fillcolor="gray" stroked="f">
                <v:path arrowok="t"/>
                <w10:wrap type="topAndBottom"/>
              </v:shape>
            </w:pict>
          </mc:Fallback>
        </mc:AlternateContent>
      </w:r>
    </w:p>
    <w:p w:rsidR="003F5784" w14:paraId="5380DAEE" w14:textId="77777777">
      <w:pPr>
        <w:pStyle w:val="BodyText"/>
        <w:rPr>
          <w:sz w:val="18"/>
        </w:rPr>
      </w:pPr>
    </w:p>
    <w:p w:rsidR="003F5784" w14:paraId="115BCBE2" w14:textId="77777777">
      <w:pPr>
        <w:pStyle w:val="BodyText"/>
        <w:spacing w:before="193"/>
        <w:rPr>
          <w:sz w:val="18"/>
        </w:rPr>
      </w:pPr>
    </w:p>
    <w:p w:rsidR="00E3225D" w14:paraId="578428DE" w14:textId="77777777">
      <w:pPr>
        <w:pStyle w:val="BodyText"/>
        <w:spacing w:before="193"/>
        <w:rPr>
          <w:sz w:val="18"/>
        </w:rPr>
      </w:pPr>
    </w:p>
    <w:p w:rsidR="003F5784" w14:paraId="09A95467" w14:textId="77777777">
      <w:pPr>
        <w:pStyle w:val="Heading1"/>
        <w:spacing w:line="244" w:lineRule="auto"/>
      </w:pPr>
      <w:r>
        <w:t>NAEP</w:t>
      </w:r>
      <w:r>
        <w:rPr>
          <w:spacing w:val="-18"/>
        </w:rPr>
        <w:t xml:space="preserve"> </w:t>
      </w:r>
      <w:r>
        <w:t xml:space="preserve">Technical Documentation Stratification of Schools for the 2022 State </w:t>
      </w:r>
      <w:r>
        <w:rPr>
          <w:spacing w:val="-2"/>
        </w:rPr>
        <w:t>Assessment</w:t>
      </w:r>
    </w:p>
    <w:p w:rsidR="003F5784" w14:paraId="4017A8D8" w14:textId="77777777">
      <w:pPr>
        <w:spacing w:line="244" w:lineRule="auto"/>
        <w:sectPr>
          <w:headerReference w:type="default" r:id="rId309"/>
          <w:footerReference w:type="default" r:id="rId310"/>
          <w:pgSz w:w="15840" w:h="12240" w:orient="landscape"/>
          <w:pgMar w:top="480" w:right="440" w:bottom="460" w:left="460" w:header="284" w:footer="275" w:gutter="0"/>
          <w:cols w:space="720"/>
        </w:sectPr>
      </w:pPr>
    </w:p>
    <w:p w:rsidR="003F5784" w14:paraId="66B52D80" w14:textId="77777777">
      <w:pPr>
        <w:pStyle w:val="BodyText"/>
        <w:spacing w:before="78" w:line="232" w:lineRule="auto"/>
        <w:ind w:left="109" w:right="38"/>
      </w:pPr>
      <w:r>
        <w:t>The</w:t>
      </w:r>
      <w:r>
        <w:rPr>
          <w:spacing w:val="-6"/>
        </w:rPr>
        <w:t xml:space="preserve"> </w:t>
      </w:r>
      <w:r>
        <w:t>purpose</w:t>
      </w:r>
      <w:r>
        <w:rPr>
          <w:spacing w:val="-6"/>
        </w:rPr>
        <w:t xml:space="preserve"> </w:t>
      </w:r>
      <w:r>
        <w:t>of</w:t>
      </w:r>
      <w:r>
        <w:rPr>
          <w:spacing w:val="-6"/>
        </w:rPr>
        <w:t xml:space="preserve"> </w:t>
      </w:r>
      <w:r>
        <w:t>school</w:t>
      </w:r>
      <w:r>
        <w:rPr>
          <w:spacing w:val="-6"/>
        </w:rPr>
        <w:t xml:space="preserve"> </w:t>
      </w:r>
      <w:r>
        <w:t>stratification</w:t>
      </w:r>
      <w:r>
        <w:rPr>
          <w:spacing w:val="-6"/>
        </w:rPr>
        <w:t xml:space="preserve"> </w:t>
      </w:r>
      <w:r>
        <w:t>is</w:t>
      </w:r>
      <w:r>
        <w:rPr>
          <w:spacing w:val="-6"/>
        </w:rPr>
        <w:t xml:space="preserve"> </w:t>
      </w:r>
      <w:r>
        <w:t>to</w:t>
      </w:r>
      <w:r>
        <w:rPr>
          <w:spacing w:val="-6"/>
        </w:rPr>
        <w:t xml:space="preserve"> </w:t>
      </w:r>
      <w:r>
        <w:t>increase</w:t>
      </w:r>
      <w:r>
        <w:rPr>
          <w:spacing w:val="-6"/>
        </w:rPr>
        <w:t xml:space="preserve"> </w:t>
      </w:r>
      <w:r>
        <w:t>the</w:t>
      </w:r>
      <w:r>
        <w:rPr>
          <w:spacing w:val="-6"/>
        </w:rPr>
        <w:t xml:space="preserve"> </w:t>
      </w:r>
      <w:r>
        <w:t>efficiency</w:t>
      </w:r>
      <w:r>
        <w:rPr>
          <w:spacing w:val="-6"/>
        </w:rPr>
        <w:t xml:space="preserve"> </w:t>
      </w:r>
      <w:r>
        <w:t>and</w:t>
      </w:r>
      <w:r>
        <w:rPr>
          <w:spacing w:val="-6"/>
        </w:rPr>
        <w:t xml:space="preserve"> </w:t>
      </w:r>
      <w:r>
        <w:t>ensure</w:t>
      </w:r>
      <w:r>
        <w:rPr>
          <w:spacing w:val="-6"/>
        </w:rPr>
        <w:t xml:space="preserve"> </w:t>
      </w:r>
      <w:r>
        <w:t>the</w:t>
      </w:r>
      <w:r>
        <w:rPr>
          <w:spacing w:val="-6"/>
        </w:rPr>
        <w:t xml:space="preserve"> </w:t>
      </w:r>
      <w:r>
        <w:t>representativeness</w:t>
      </w:r>
      <w:r>
        <w:rPr>
          <w:spacing w:val="-6"/>
        </w:rPr>
        <w:t xml:space="preserve"> </w:t>
      </w:r>
      <w:r>
        <w:t>of</w:t>
      </w:r>
      <w:r>
        <w:rPr>
          <w:spacing w:val="-6"/>
        </w:rPr>
        <w:t xml:space="preserve"> </w:t>
      </w:r>
      <w:r>
        <w:t>the</w:t>
      </w:r>
      <w:r>
        <w:rPr>
          <w:spacing w:val="-6"/>
        </w:rPr>
        <w:t xml:space="preserve"> </w:t>
      </w:r>
      <w:r>
        <w:t>school</w:t>
      </w:r>
      <w:r>
        <w:rPr>
          <w:spacing w:val="-6"/>
        </w:rPr>
        <w:t xml:space="preserve"> </w:t>
      </w:r>
      <w:r>
        <w:t>samples</w:t>
      </w:r>
      <w:r>
        <w:rPr>
          <w:spacing w:val="-6"/>
        </w:rPr>
        <w:t xml:space="preserve"> </w:t>
      </w:r>
      <w:r>
        <w:t>in</w:t>
      </w:r>
      <w:r>
        <w:rPr>
          <w:spacing w:val="-6"/>
        </w:rPr>
        <w:t xml:space="preserve"> </w:t>
      </w:r>
      <w:r>
        <w:t>terms</w:t>
      </w:r>
      <w:r>
        <w:rPr>
          <w:spacing w:val="-6"/>
        </w:rPr>
        <w:t xml:space="preserve"> </w:t>
      </w:r>
      <w:r>
        <w:t>of</w:t>
      </w:r>
      <w:r>
        <w:rPr>
          <w:spacing w:val="-6"/>
        </w:rPr>
        <w:t xml:space="preserve"> </w:t>
      </w:r>
      <w:r>
        <w:t>important school-level characteristics, such as geography (e.g., states and</w:t>
      </w:r>
      <w:r>
        <w:rPr>
          <w:spacing w:val="-1"/>
        </w:rPr>
        <w:t xml:space="preserve"> </w:t>
      </w:r>
      <w:r>
        <w:t>TUDA</w:t>
      </w:r>
      <w:r>
        <w:rPr>
          <w:spacing w:val="-9"/>
        </w:rPr>
        <w:t xml:space="preserve"> </w:t>
      </w:r>
      <w:r>
        <w:t>districts), urbanicity, and race/ethnicity classification. NAEP</w:t>
      </w:r>
      <w:r>
        <w:rPr>
          <w:spacing w:val="-5"/>
        </w:rPr>
        <w:t xml:space="preserve"> </w:t>
      </w:r>
      <w:r>
        <w:t>school sampling utilizes two types of stratification: explicit and implicit.</w:t>
      </w:r>
    </w:p>
    <w:p w:rsidR="003F5784" w14:paraId="4F9F68D5" w14:textId="77777777">
      <w:pPr>
        <w:pStyle w:val="BodyText"/>
        <w:spacing w:before="72"/>
        <w:ind w:left="109"/>
      </w:pPr>
      <w:r>
        <w:br w:type="column"/>
      </w:r>
      <w:r>
        <w:rPr>
          <w:spacing w:val="-2"/>
        </w:rPr>
        <w:t>Stratification</w:t>
      </w:r>
      <w:r>
        <w:rPr>
          <w:spacing w:val="12"/>
        </w:rPr>
        <w:t xml:space="preserve"> </w:t>
      </w:r>
      <w:r>
        <w:rPr>
          <w:spacing w:val="-2"/>
        </w:rPr>
        <w:t>Variables</w:t>
      </w:r>
    </w:p>
    <w:p w:rsidR="003F5784" w14:paraId="31858B59" w14:textId="77777777">
      <w:pPr>
        <w:sectPr>
          <w:pgSz w:w="15840" w:h="12240" w:orient="landscape"/>
          <w:pgMar w:top="480" w:right="440" w:bottom="460" w:left="460" w:header="284" w:footer="275" w:gutter="0"/>
          <w:cols w:num="2" w:space="720" w:equalWidth="0">
            <w:col w:w="11954" w:space="650"/>
            <w:col w:w="2336"/>
          </w:cols>
        </w:sectPr>
      </w:pPr>
    </w:p>
    <w:p w:rsidR="003F5784" w14:paraId="6B3F923F" w14:textId="77777777">
      <w:pPr>
        <w:pStyle w:val="BodyText"/>
        <w:spacing w:before="210" w:line="232" w:lineRule="auto"/>
        <w:ind w:left="109"/>
      </w:pPr>
      <w:r>
        <w:t>Explicit</w:t>
      </w:r>
      <w:r>
        <w:rPr>
          <w:spacing w:val="-7"/>
        </w:rPr>
        <w:t xml:space="preserve"> </w:t>
      </w:r>
      <w:r>
        <w:t>stratification</w:t>
      </w:r>
      <w:r>
        <w:rPr>
          <w:spacing w:val="-7"/>
        </w:rPr>
        <w:t xml:space="preserve"> </w:t>
      </w:r>
      <w:r>
        <w:t>partitions</w:t>
      </w:r>
      <w:r>
        <w:rPr>
          <w:spacing w:val="-7"/>
        </w:rPr>
        <w:t xml:space="preserve"> </w:t>
      </w:r>
      <w:r>
        <w:t>the</w:t>
      </w:r>
      <w:r>
        <w:rPr>
          <w:spacing w:val="-7"/>
        </w:rPr>
        <w:t xml:space="preserve"> </w:t>
      </w:r>
      <w:r>
        <w:t>sampling</w:t>
      </w:r>
      <w:r>
        <w:rPr>
          <w:spacing w:val="-7"/>
        </w:rPr>
        <w:t xml:space="preserve"> </w:t>
      </w:r>
      <w:r>
        <w:t>frame</w:t>
      </w:r>
      <w:r>
        <w:rPr>
          <w:spacing w:val="-7"/>
        </w:rPr>
        <w:t xml:space="preserve"> </w:t>
      </w:r>
      <w:r>
        <w:t>into</w:t>
      </w:r>
      <w:r>
        <w:rPr>
          <w:spacing w:val="-7"/>
        </w:rPr>
        <w:t xml:space="preserve"> </w:t>
      </w:r>
      <w:r>
        <w:t>mutually</w:t>
      </w:r>
      <w:r>
        <w:rPr>
          <w:spacing w:val="-7"/>
        </w:rPr>
        <w:t xml:space="preserve"> </w:t>
      </w:r>
      <w:r>
        <w:t>exclusive</w:t>
      </w:r>
      <w:r>
        <w:rPr>
          <w:spacing w:val="-7"/>
        </w:rPr>
        <w:t xml:space="preserve"> </w:t>
      </w:r>
      <w:r>
        <w:t>groupings</w:t>
      </w:r>
      <w:r>
        <w:rPr>
          <w:spacing w:val="-7"/>
        </w:rPr>
        <w:t xml:space="preserve"> </w:t>
      </w:r>
      <w:r>
        <w:t>called</w:t>
      </w:r>
      <w:r>
        <w:rPr>
          <w:spacing w:val="-7"/>
        </w:rPr>
        <w:t xml:space="preserve"> </w:t>
      </w:r>
      <w:r>
        <w:t>strata.</w:t>
      </w:r>
      <w:r>
        <w:rPr>
          <w:spacing w:val="-11"/>
        </w:rPr>
        <w:t xml:space="preserve"> </w:t>
      </w:r>
      <w:r>
        <w:t>The</w:t>
      </w:r>
      <w:r>
        <w:rPr>
          <w:spacing w:val="-7"/>
        </w:rPr>
        <w:t xml:space="preserve"> </w:t>
      </w:r>
      <w:r>
        <w:t>systematic</w:t>
      </w:r>
      <w:r>
        <w:rPr>
          <w:spacing w:val="-7"/>
        </w:rPr>
        <w:t xml:space="preserve"> </w:t>
      </w:r>
      <w:r>
        <w:t>samples</w:t>
      </w:r>
      <w:r>
        <w:rPr>
          <w:spacing w:val="-7"/>
        </w:rPr>
        <w:t xml:space="preserve"> </w:t>
      </w:r>
      <w:r>
        <w:t>selected</w:t>
      </w:r>
      <w:r>
        <w:rPr>
          <w:spacing w:val="-7"/>
        </w:rPr>
        <w:t xml:space="preserve"> </w:t>
      </w:r>
      <w:r>
        <w:t>from</w:t>
      </w:r>
      <w:r>
        <w:rPr>
          <w:spacing w:val="-7"/>
        </w:rPr>
        <w:t xml:space="preserve"> </w:t>
      </w:r>
      <w:r>
        <w:t>these</w:t>
      </w:r>
      <w:r>
        <w:rPr>
          <w:spacing w:val="-7"/>
        </w:rPr>
        <w:t xml:space="preserve"> </w:t>
      </w:r>
      <w:r>
        <w:t>strata</w:t>
      </w:r>
      <w:r>
        <w:rPr>
          <w:spacing w:val="-7"/>
        </w:rPr>
        <w:t xml:space="preserve"> </w:t>
      </w:r>
      <w:r>
        <w:t>are</w:t>
      </w:r>
      <w:r>
        <w:rPr>
          <w:spacing w:val="-7"/>
        </w:rPr>
        <w:t xml:space="preserve"> </w:t>
      </w:r>
      <w:r>
        <w:t>independent,</w:t>
      </w:r>
      <w:r>
        <w:rPr>
          <w:spacing w:val="-7"/>
        </w:rPr>
        <w:t xml:space="preserve"> </w:t>
      </w:r>
      <w:r>
        <w:t>meaning that each is selected with its own unique random start.</w:t>
      </w:r>
      <w:r>
        <w:rPr>
          <w:spacing w:val="-3"/>
        </w:rPr>
        <w:t xml:space="preserve"> </w:t>
      </w:r>
      <w:r>
        <w:t>The explicit school strata for the 2022 NAEP</w:t>
      </w:r>
      <w:r>
        <w:rPr>
          <w:spacing w:val="-8"/>
        </w:rPr>
        <w:t xml:space="preserve"> </w:t>
      </w:r>
      <w:r>
        <w:t>state assessments were usually states. If a state contained</w:t>
      </w:r>
      <w:r>
        <w:rPr>
          <w:spacing w:val="-3"/>
        </w:rPr>
        <w:t xml:space="preserve"> </w:t>
      </w:r>
      <w:r>
        <w:t>Trial Urban District</w:t>
      </w:r>
      <w:r>
        <w:rPr>
          <w:spacing w:val="-14"/>
        </w:rPr>
        <w:t xml:space="preserve"> </w:t>
      </w:r>
      <w:r>
        <w:t>Assessment</w:t>
      </w:r>
      <w:r>
        <w:rPr>
          <w:spacing w:val="-12"/>
        </w:rPr>
        <w:t xml:space="preserve"> </w:t>
      </w:r>
      <w:r>
        <w:t>(TUDA)</w:t>
      </w:r>
      <w:r>
        <w:rPr>
          <w:spacing w:val="-6"/>
        </w:rPr>
        <w:t xml:space="preserve"> </w:t>
      </w:r>
      <w:r>
        <w:t>districts,</w:t>
      </w:r>
      <w:r>
        <w:rPr>
          <w:spacing w:val="-6"/>
        </w:rPr>
        <w:t xml:space="preserve"> </w:t>
      </w:r>
      <w:r>
        <w:t>the</w:t>
      </w:r>
      <w:r>
        <w:rPr>
          <w:spacing w:val="-6"/>
        </w:rPr>
        <w:t xml:space="preserve"> </w:t>
      </w:r>
      <w:r>
        <w:t>explicit</w:t>
      </w:r>
      <w:r>
        <w:rPr>
          <w:spacing w:val="-6"/>
        </w:rPr>
        <w:t xml:space="preserve"> </w:t>
      </w:r>
      <w:r>
        <w:t>strata</w:t>
      </w:r>
      <w:r>
        <w:rPr>
          <w:spacing w:val="-6"/>
        </w:rPr>
        <w:t xml:space="preserve"> </w:t>
      </w:r>
      <w:r>
        <w:t>were</w:t>
      </w:r>
      <w:r>
        <w:rPr>
          <w:spacing w:val="-6"/>
        </w:rPr>
        <w:t xml:space="preserve"> </w:t>
      </w:r>
      <w:r>
        <w:t>each</w:t>
      </w:r>
      <w:r>
        <w:rPr>
          <w:spacing w:val="-6"/>
        </w:rPr>
        <w:t xml:space="preserve"> </w:t>
      </w:r>
      <w:r>
        <w:t>individual</w:t>
      </w:r>
      <w:r>
        <w:rPr>
          <w:spacing w:val="-10"/>
        </w:rPr>
        <w:t xml:space="preserve"> </w:t>
      </w:r>
      <w:r>
        <w:t>TUDA</w:t>
      </w:r>
      <w:r>
        <w:rPr>
          <w:spacing w:val="-14"/>
        </w:rPr>
        <w:t xml:space="preserve"> </w:t>
      </w:r>
      <w:r>
        <w:t>district</w:t>
      </w:r>
      <w:r>
        <w:rPr>
          <w:spacing w:val="-5"/>
        </w:rPr>
        <w:t xml:space="preserve"> </w:t>
      </w:r>
      <w:r>
        <w:t>and</w:t>
      </w:r>
      <w:r>
        <w:rPr>
          <w:spacing w:val="-6"/>
        </w:rPr>
        <w:t xml:space="preserve"> </w:t>
      </w:r>
      <w:r>
        <w:t>the</w:t>
      </w:r>
      <w:r>
        <w:rPr>
          <w:spacing w:val="-6"/>
        </w:rPr>
        <w:t xml:space="preserve"> </w:t>
      </w:r>
      <w:r>
        <w:t>balance</w:t>
      </w:r>
      <w:r>
        <w:rPr>
          <w:spacing w:val="-6"/>
        </w:rPr>
        <w:t xml:space="preserve"> </w:t>
      </w:r>
      <w:r>
        <w:t>of</w:t>
      </w:r>
      <w:r>
        <w:rPr>
          <w:spacing w:val="-6"/>
        </w:rPr>
        <w:t xml:space="preserve"> </w:t>
      </w:r>
      <w:r>
        <w:t>the</w:t>
      </w:r>
      <w:r>
        <w:rPr>
          <w:spacing w:val="-6"/>
        </w:rPr>
        <w:t xml:space="preserve"> </w:t>
      </w:r>
      <w:r>
        <w:t>state.</w:t>
      </w:r>
      <w:r>
        <w:rPr>
          <w:spacing w:val="-6"/>
        </w:rPr>
        <w:t xml:space="preserve"> </w:t>
      </w:r>
      <w:r>
        <w:t>In</w:t>
      </w:r>
      <w:r>
        <w:rPr>
          <w:spacing w:val="-6"/>
        </w:rPr>
        <w:t xml:space="preserve"> </w:t>
      </w:r>
      <w:r>
        <w:t>2022,</w:t>
      </w:r>
      <w:r>
        <w:rPr>
          <w:spacing w:val="-6"/>
        </w:rPr>
        <w:t xml:space="preserve"> </w:t>
      </w:r>
      <w:r>
        <w:t>there</w:t>
      </w:r>
      <w:r>
        <w:rPr>
          <w:spacing w:val="-6"/>
        </w:rPr>
        <w:t xml:space="preserve"> </w:t>
      </w:r>
      <w:r>
        <w:t>were</w:t>
      </w:r>
      <w:r>
        <w:rPr>
          <w:spacing w:val="-6"/>
        </w:rPr>
        <w:t xml:space="preserve"> </w:t>
      </w:r>
      <w:r>
        <w:t>26</w:t>
      </w:r>
      <w:r>
        <w:rPr>
          <w:spacing w:val="-6"/>
        </w:rPr>
        <w:t xml:space="preserve"> </w:t>
      </w:r>
      <w:r>
        <w:t>participating</w:t>
      </w:r>
      <w:r>
        <w:rPr>
          <w:spacing w:val="-10"/>
        </w:rPr>
        <w:t xml:space="preserve"> </w:t>
      </w:r>
      <w:r>
        <w:t>TUDA</w:t>
      </w:r>
      <w:r>
        <w:rPr>
          <w:spacing w:val="-14"/>
        </w:rPr>
        <w:t xml:space="preserve"> </w:t>
      </w:r>
      <w:r>
        <w:t>districts</w:t>
      </w:r>
      <w:r>
        <w:rPr>
          <w:spacing w:val="-5"/>
        </w:rPr>
        <w:t xml:space="preserve"> </w:t>
      </w:r>
      <w:r>
        <w:t>in the NAEP state assessment program. They are listed below:</w:t>
      </w:r>
    </w:p>
    <w:p w:rsidR="003F5784" w14:paraId="00DA6E95" w14:textId="77777777">
      <w:pPr>
        <w:pStyle w:val="BodyText"/>
        <w:spacing w:before="210" w:line="232" w:lineRule="auto"/>
        <w:ind w:left="422" w:right="10671"/>
      </w:pPr>
      <w:r>
        <w:rPr>
          <w:noProof/>
          <w:position w:val="3"/>
        </w:rPr>
        <w:drawing>
          <wp:inline distT="0" distB="0" distL="0" distR="0">
            <wp:extent cx="41379" cy="41378"/>
            <wp:effectExtent l="0" t="0" r="0" b="0"/>
            <wp:docPr id="410" name="Image 410"/>
            <wp:cNvGraphicFramePr/>
            <a:graphic xmlns:a="http://schemas.openxmlformats.org/drawingml/2006/main">
              <a:graphicData uri="http://schemas.openxmlformats.org/drawingml/2006/picture">
                <pic:pic xmlns:pic="http://schemas.openxmlformats.org/drawingml/2006/picture">
                  <pic:nvPicPr>
                    <pic:cNvPr id="410" name="Image 410"/>
                    <pic:cNvPicPr/>
                  </pic:nvPicPr>
                  <pic:blipFill>
                    <a:blip xmlns:r="http://schemas.openxmlformats.org/officeDocument/2006/relationships" r:embed="rId311" cstate="print"/>
                    <a:stretch>
                      <a:fillRect/>
                    </a:stretch>
                  </pic:blipFill>
                  <pic:spPr>
                    <a:xfrm>
                      <a:off x="0" y="0"/>
                      <a:ext cx="41379" cy="41378"/>
                    </a:xfrm>
                    <a:prstGeom prst="rect">
                      <a:avLst/>
                    </a:prstGeom>
                  </pic:spPr>
                </pic:pic>
              </a:graphicData>
            </a:graphic>
          </wp:inline>
        </w:drawing>
      </w:r>
      <w:r>
        <w:rPr>
          <w:spacing w:val="69"/>
          <w:sz w:val="20"/>
        </w:rPr>
        <w:t xml:space="preserve"> </w:t>
      </w:r>
      <w:r>
        <w:t>Albuquerque</w:t>
      </w:r>
      <w:r>
        <w:rPr>
          <w:spacing w:val="-10"/>
        </w:rPr>
        <w:t xml:space="preserve"> </w:t>
      </w:r>
      <w:r>
        <w:t>Public</w:t>
      </w:r>
      <w:r>
        <w:rPr>
          <w:spacing w:val="-10"/>
        </w:rPr>
        <w:t xml:space="preserve"> </w:t>
      </w:r>
      <w:r>
        <w:t>Schools,</w:t>
      </w:r>
      <w:r>
        <w:rPr>
          <w:spacing w:val="-10"/>
        </w:rPr>
        <w:t xml:space="preserve"> </w:t>
      </w:r>
      <w:r>
        <w:t>New</w:t>
      </w:r>
      <w:r>
        <w:rPr>
          <w:spacing w:val="-10"/>
        </w:rPr>
        <w:t xml:space="preserve"> </w:t>
      </w:r>
      <w:r>
        <w:t xml:space="preserve">Mexico; </w:t>
      </w:r>
      <w:r>
        <w:rPr>
          <w:noProof/>
          <w:position w:val="3"/>
        </w:rPr>
        <w:drawing>
          <wp:inline distT="0" distB="0" distL="0" distR="0">
            <wp:extent cx="41379" cy="41378"/>
            <wp:effectExtent l="0" t="0" r="0" b="0"/>
            <wp:docPr id="411" name="Image 411"/>
            <wp:cNvGraphicFramePr/>
            <a:graphic xmlns:a="http://schemas.openxmlformats.org/drawingml/2006/main">
              <a:graphicData uri="http://schemas.openxmlformats.org/drawingml/2006/picture">
                <pic:pic xmlns:pic="http://schemas.openxmlformats.org/drawingml/2006/picture">
                  <pic:nvPicPr>
                    <pic:cNvPr id="411" name="Image 411"/>
                    <pic:cNvPicPr/>
                  </pic:nvPicPr>
                  <pic:blipFill>
                    <a:blip xmlns:r="http://schemas.openxmlformats.org/officeDocument/2006/relationships" r:embed="rId312" cstate="print"/>
                    <a:stretch>
                      <a:fillRect/>
                    </a:stretch>
                  </pic:blipFill>
                  <pic:spPr>
                    <a:xfrm>
                      <a:off x="0" y="0"/>
                      <a:ext cx="41379" cy="41378"/>
                    </a:xfrm>
                    <a:prstGeom prst="rect">
                      <a:avLst/>
                    </a:prstGeom>
                  </pic:spPr>
                </pic:pic>
              </a:graphicData>
            </a:graphic>
          </wp:inline>
        </w:drawing>
      </w:r>
      <w:r>
        <w:rPr>
          <w:spacing w:val="80"/>
        </w:rPr>
        <w:t xml:space="preserve"> </w:t>
      </w:r>
      <w:r>
        <w:t>Atlanta Public Schools, Georgia;</w:t>
      </w:r>
    </w:p>
    <w:p w:rsidR="003F5784" w14:paraId="56D0E8A0" w14:textId="77777777">
      <w:pPr>
        <w:pStyle w:val="BodyText"/>
        <w:spacing w:line="232" w:lineRule="auto"/>
        <w:ind w:left="422" w:right="10717"/>
      </w:pPr>
      <w:r>
        <w:rPr>
          <w:noProof/>
          <w:position w:val="3"/>
        </w:rPr>
        <w:drawing>
          <wp:inline distT="0" distB="0" distL="0" distR="0">
            <wp:extent cx="41379" cy="41378"/>
            <wp:effectExtent l="0" t="0" r="0" b="0"/>
            <wp:docPr id="412" name="Image 412"/>
            <wp:cNvGraphicFramePr/>
            <a:graphic xmlns:a="http://schemas.openxmlformats.org/drawingml/2006/main">
              <a:graphicData uri="http://schemas.openxmlformats.org/drawingml/2006/picture">
                <pic:pic xmlns:pic="http://schemas.openxmlformats.org/drawingml/2006/picture">
                  <pic:nvPicPr>
                    <pic:cNvPr id="412" name="Image 412"/>
                    <pic:cNvPicPr/>
                  </pic:nvPicPr>
                  <pic:blipFill>
                    <a:blip xmlns:r="http://schemas.openxmlformats.org/officeDocument/2006/relationships" r:embed="rId313" cstate="print"/>
                    <a:stretch>
                      <a:fillRect/>
                    </a:stretch>
                  </pic:blipFill>
                  <pic:spPr>
                    <a:xfrm>
                      <a:off x="0" y="0"/>
                      <a:ext cx="41379" cy="41378"/>
                    </a:xfrm>
                    <a:prstGeom prst="rect">
                      <a:avLst/>
                    </a:prstGeom>
                  </pic:spPr>
                </pic:pic>
              </a:graphicData>
            </a:graphic>
          </wp:inline>
        </w:drawing>
      </w:r>
      <w:r>
        <w:rPr>
          <w:spacing w:val="60"/>
          <w:sz w:val="20"/>
        </w:rPr>
        <w:t xml:space="preserve"> </w:t>
      </w:r>
      <w:r>
        <w:t>Austin</w:t>
      </w:r>
      <w:r>
        <w:rPr>
          <w:spacing w:val="-12"/>
        </w:rPr>
        <w:t xml:space="preserve"> </w:t>
      </w:r>
      <w:r>
        <w:t>Independent</w:t>
      </w:r>
      <w:r>
        <w:rPr>
          <w:spacing w:val="-12"/>
        </w:rPr>
        <w:t xml:space="preserve"> </w:t>
      </w:r>
      <w:r>
        <w:t>School</w:t>
      </w:r>
      <w:r>
        <w:rPr>
          <w:spacing w:val="-12"/>
        </w:rPr>
        <w:t xml:space="preserve"> </w:t>
      </w:r>
      <w:r>
        <w:t>District,</w:t>
      </w:r>
      <w:r>
        <w:rPr>
          <w:spacing w:val="-14"/>
        </w:rPr>
        <w:t xml:space="preserve"> </w:t>
      </w:r>
      <w:r>
        <w:t xml:space="preserve">Texas; </w:t>
      </w:r>
      <w:r>
        <w:rPr>
          <w:noProof/>
          <w:position w:val="3"/>
        </w:rPr>
        <w:drawing>
          <wp:inline distT="0" distB="0" distL="0" distR="0">
            <wp:extent cx="41379" cy="41378"/>
            <wp:effectExtent l="0" t="0" r="0" b="0"/>
            <wp:docPr id="413" name="Image 413"/>
            <wp:cNvGraphicFramePr/>
            <a:graphic xmlns:a="http://schemas.openxmlformats.org/drawingml/2006/main">
              <a:graphicData uri="http://schemas.openxmlformats.org/drawingml/2006/picture">
                <pic:pic xmlns:pic="http://schemas.openxmlformats.org/drawingml/2006/picture">
                  <pic:nvPicPr>
                    <pic:cNvPr id="413" name="Image 413"/>
                    <pic:cNvPicPr/>
                  </pic:nvPicPr>
                  <pic:blipFill>
                    <a:blip xmlns:r="http://schemas.openxmlformats.org/officeDocument/2006/relationships" r:embed="rId314" cstate="print"/>
                    <a:stretch>
                      <a:fillRect/>
                    </a:stretch>
                  </pic:blipFill>
                  <pic:spPr>
                    <a:xfrm>
                      <a:off x="0" y="0"/>
                      <a:ext cx="41379" cy="41378"/>
                    </a:xfrm>
                    <a:prstGeom prst="rect">
                      <a:avLst/>
                    </a:prstGeom>
                  </pic:spPr>
                </pic:pic>
              </a:graphicData>
            </a:graphic>
          </wp:inline>
        </w:drawing>
      </w:r>
      <w:r>
        <w:rPr>
          <w:spacing w:val="80"/>
        </w:rPr>
        <w:t xml:space="preserve"> </w:t>
      </w:r>
      <w:r>
        <w:t xml:space="preserve">Baltimore City Public Schools, Maryland; </w:t>
      </w:r>
      <w:r>
        <w:rPr>
          <w:noProof/>
          <w:position w:val="3"/>
        </w:rPr>
        <w:drawing>
          <wp:inline distT="0" distB="0" distL="0" distR="0">
            <wp:extent cx="41379" cy="41378"/>
            <wp:effectExtent l="0" t="0" r="0" b="0"/>
            <wp:docPr id="414" name="Image 414"/>
            <wp:cNvGraphicFramePr/>
            <a:graphic xmlns:a="http://schemas.openxmlformats.org/drawingml/2006/main">
              <a:graphicData uri="http://schemas.openxmlformats.org/drawingml/2006/picture">
                <pic:pic xmlns:pic="http://schemas.openxmlformats.org/drawingml/2006/picture">
                  <pic:nvPicPr>
                    <pic:cNvPr id="414" name="Image 414"/>
                    <pic:cNvPicPr/>
                  </pic:nvPicPr>
                  <pic:blipFill>
                    <a:blip xmlns:r="http://schemas.openxmlformats.org/officeDocument/2006/relationships" r:embed="rId315" cstate="print"/>
                    <a:stretch>
                      <a:fillRect/>
                    </a:stretch>
                  </pic:blipFill>
                  <pic:spPr>
                    <a:xfrm>
                      <a:off x="0" y="0"/>
                      <a:ext cx="41379" cy="41378"/>
                    </a:xfrm>
                    <a:prstGeom prst="rect">
                      <a:avLst/>
                    </a:prstGeom>
                  </pic:spPr>
                </pic:pic>
              </a:graphicData>
            </a:graphic>
          </wp:inline>
        </w:drawing>
      </w:r>
      <w:r>
        <w:rPr>
          <w:spacing w:val="80"/>
        </w:rPr>
        <w:t xml:space="preserve"> </w:t>
      </w:r>
      <w:r>
        <w:t>Boston Public Schools, Massachusetts;</w:t>
      </w:r>
    </w:p>
    <w:p w:rsidR="003F5784" w14:paraId="27791932" w14:textId="77777777">
      <w:pPr>
        <w:pStyle w:val="BodyText"/>
        <w:spacing w:before="1" w:line="232" w:lineRule="auto"/>
        <w:ind w:left="422" w:right="10218"/>
      </w:pPr>
      <w:r>
        <w:rPr>
          <w:noProof/>
          <w:position w:val="3"/>
        </w:rPr>
        <w:drawing>
          <wp:inline distT="0" distB="0" distL="0" distR="0">
            <wp:extent cx="41379" cy="41378"/>
            <wp:effectExtent l="0" t="0" r="0" b="0"/>
            <wp:docPr id="415" name="Image 415"/>
            <wp:cNvGraphicFramePr/>
            <a:graphic xmlns:a="http://schemas.openxmlformats.org/drawingml/2006/main">
              <a:graphicData uri="http://schemas.openxmlformats.org/drawingml/2006/picture">
                <pic:pic xmlns:pic="http://schemas.openxmlformats.org/drawingml/2006/picture">
                  <pic:nvPicPr>
                    <pic:cNvPr id="415" name="Image 415"/>
                    <pic:cNvPicPr/>
                  </pic:nvPicPr>
                  <pic:blipFill>
                    <a:blip xmlns:r="http://schemas.openxmlformats.org/officeDocument/2006/relationships" r:embed="rId316" cstate="print"/>
                    <a:stretch>
                      <a:fillRect/>
                    </a:stretch>
                  </pic:blipFill>
                  <pic:spPr>
                    <a:xfrm>
                      <a:off x="0" y="0"/>
                      <a:ext cx="41379" cy="41378"/>
                    </a:xfrm>
                    <a:prstGeom prst="rect">
                      <a:avLst/>
                    </a:prstGeom>
                  </pic:spPr>
                </pic:pic>
              </a:graphicData>
            </a:graphic>
          </wp:inline>
        </w:drawing>
      </w:r>
      <w:r>
        <w:rPr>
          <w:spacing w:val="61"/>
          <w:sz w:val="20"/>
        </w:rPr>
        <w:t xml:space="preserve"> </w:t>
      </w:r>
      <w:r>
        <w:t>Charlotte-Mecklenburg</w:t>
      </w:r>
      <w:r>
        <w:rPr>
          <w:spacing w:val="-13"/>
        </w:rPr>
        <w:t xml:space="preserve"> </w:t>
      </w:r>
      <w:r>
        <w:t>Schools,</w:t>
      </w:r>
      <w:r>
        <w:rPr>
          <w:spacing w:val="-13"/>
        </w:rPr>
        <w:t xml:space="preserve"> </w:t>
      </w:r>
      <w:r>
        <w:t>North</w:t>
      </w:r>
      <w:r>
        <w:rPr>
          <w:spacing w:val="-13"/>
        </w:rPr>
        <w:t xml:space="preserve"> </w:t>
      </w:r>
      <w:r>
        <w:t xml:space="preserve">Carolina; </w:t>
      </w:r>
      <w:r>
        <w:rPr>
          <w:noProof/>
          <w:position w:val="3"/>
        </w:rPr>
        <w:drawing>
          <wp:inline distT="0" distB="0" distL="0" distR="0">
            <wp:extent cx="41379" cy="41378"/>
            <wp:effectExtent l="0" t="0" r="0" b="0"/>
            <wp:docPr id="416" name="Image 416"/>
            <wp:cNvGraphicFramePr/>
            <a:graphic xmlns:a="http://schemas.openxmlformats.org/drawingml/2006/main">
              <a:graphicData uri="http://schemas.openxmlformats.org/drawingml/2006/picture">
                <pic:pic xmlns:pic="http://schemas.openxmlformats.org/drawingml/2006/picture">
                  <pic:nvPicPr>
                    <pic:cNvPr id="416" name="Image 416"/>
                    <pic:cNvPicPr/>
                  </pic:nvPicPr>
                  <pic:blipFill>
                    <a:blip xmlns:r="http://schemas.openxmlformats.org/officeDocument/2006/relationships" r:embed="rId317" cstate="print"/>
                    <a:stretch>
                      <a:fillRect/>
                    </a:stretch>
                  </pic:blipFill>
                  <pic:spPr>
                    <a:xfrm>
                      <a:off x="0" y="0"/>
                      <a:ext cx="41379" cy="41378"/>
                    </a:xfrm>
                    <a:prstGeom prst="rect">
                      <a:avLst/>
                    </a:prstGeom>
                  </pic:spPr>
                </pic:pic>
              </a:graphicData>
            </a:graphic>
          </wp:inline>
        </w:drawing>
      </w:r>
      <w:r>
        <w:rPr>
          <w:spacing w:val="80"/>
        </w:rPr>
        <w:t xml:space="preserve"> </w:t>
      </w:r>
      <w:r>
        <w:t>Chicago Public Schools, Illinois;</w:t>
      </w:r>
    </w:p>
    <w:p w:rsidR="003F5784" w14:paraId="6BC854A6" w14:textId="77777777">
      <w:pPr>
        <w:pStyle w:val="BodyText"/>
        <w:spacing w:line="233" w:lineRule="exact"/>
        <w:ind w:left="422"/>
      </w:pPr>
      <w:r>
        <w:rPr>
          <w:noProof/>
          <w:position w:val="3"/>
        </w:rPr>
        <w:drawing>
          <wp:inline distT="0" distB="0" distL="0" distR="0">
            <wp:extent cx="41379" cy="41378"/>
            <wp:effectExtent l="0" t="0" r="0" b="0"/>
            <wp:docPr id="417" name="Image 417"/>
            <wp:cNvGraphicFramePr/>
            <a:graphic xmlns:a="http://schemas.openxmlformats.org/drawingml/2006/main">
              <a:graphicData uri="http://schemas.openxmlformats.org/drawingml/2006/picture">
                <pic:pic xmlns:pic="http://schemas.openxmlformats.org/drawingml/2006/picture">
                  <pic:nvPicPr>
                    <pic:cNvPr id="417" name="Image 417"/>
                    <pic:cNvPicPr/>
                  </pic:nvPicPr>
                  <pic:blipFill>
                    <a:blip xmlns:r="http://schemas.openxmlformats.org/officeDocument/2006/relationships" r:embed="rId318" cstate="print"/>
                    <a:stretch>
                      <a:fillRect/>
                    </a:stretch>
                  </pic:blipFill>
                  <pic:spPr>
                    <a:xfrm>
                      <a:off x="0" y="0"/>
                      <a:ext cx="41379" cy="41378"/>
                    </a:xfrm>
                    <a:prstGeom prst="rect">
                      <a:avLst/>
                    </a:prstGeom>
                  </pic:spPr>
                </pic:pic>
              </a:graphicData>
            </a:graphic>
          </wp:inline>
        </w:drawing>
      </w:r>
      <w:r>
        <w:rPr>
          <w:spacing w:val="80"/>
          <w:sz w:val="20"/>
        </w:rPr>
        <w:t xml:space="preserve"> </w:t>
      </w:r>
      <w:r>
        <w:t>Clark County School District, Nevada;</w:t>
      </w:r>
    </w:p>
    <w:p w:rsidR="003F5784" w14:paraId="7F645B10" w14:textId="77777777">
      <w:pPr>
        <w:pStyle w:val="BodyText"/>
        <w:spacing w:before="3" w:line="232" w:lineRule="auto"/>
        <w:ind w:left="422" w:right="10427"/>
      </w:pPr>
      <w:r>
        <w:rPr>
          <w:noProof/>
          <w:position w:val="3"/>
        </w:rPr>
        <w:drawing>
          <wp:inline distT="0" distB="0" distL="0" distR="0">
            <wp:extent cx="41379" cy="41378"/>
            <wp:effectExtent l="0" t="0" r="0" b="0"/>
            <wp:docPr id="418" name="Image 418"/>
            <wp:cNvGraphicFramePr/>
            <a:graphic xmlns:a="http://schemas.openxmlformats.org/drawingml/2006/main">
              <a:graphicData uri="http://schemas.openxmlformats.org/drawingml/2006/picture">
                <pic:pic xmlns:pic="http://schemas.openxmlformats.org/drawingml/2006/picture">
                  <pic:nvPicPr>
                    <pic:cNvPr id="418" name="Image 418"/>
                    <pic:cNvPicPr/>
                  </pic:nvPicPr>
                  <pic:blipFill>
                    <a:blip xmlns:r="http://schemas.openxmlformats.org/officeDocument/2006/relationships" r:embed="rId319" cstate="print"/>
                    <a:stretch>
                      <a:fillRect/>
                    </a:stretch>
                  </pic:blipFill>
                  <pic:spPr>
                    <a:xfrm>
                      <a:off x="0" y="0"/>
                      <a:ext cx="41379" cy="41378"/>
                    </a:xfrm>
                    <a:prstGeom prst="rect">
                      <a:avLst/>
                    </a:prstGeom>
                  </pic:spPr>
                </pic:pic>
              </a:graphicData>
            </a:graphic>
          </wp:inline>
        </w:drawing>
      </w:r>
      <w:r>
        <w:rPr>
          <w:spacing w:val="68"/>
          <w:sz w:val="20"/>
        </w:rPr>
        <w:t xml:space="preserve"> </w:t>
      </w:r>
      <w:r>
        <w:t>Cleveland</w:t>
      </w:r>
      <w:r>
        <w:rPr>
          <w:spacing w:val="-10"/>
        </w:rPr>
        <w:t xml:space="preserve"> </w:t>
      </w:r>
      <w:r>
        <w:t>Metropolitan</w:t>
      </w:r>
      <w:r>
        <w:rPr>
          <w:spacing w:val="-10"/>
        </w:rPr>
        <w:t xml:space="preserve"> </w:t>
      </w:r>
      <w:r>
        <w:t>School</w:t>
      </w:r>
      <w:r>
        <w:rPr>
          <w:spacing w:val="-10"/>
        </w:rPr>
        <w:t xml:space="preserve"> </w:t>
      </w:r>
      <w:r>
        <w:t>District,</w:t>
      </w:r>
      <w:r>
        <w:rPr>
          <w:spacing w:val="-10"/>
        </w:rPr>
        <w:t xml:space="preserve"> </w:t>
      </w:r>
      <w:r>
        <w:t xml:space="preserve">Ohio; </w:t>
      </w:r>
      <w:r>
        <w:rPr>
          <w:noProof/>
          <w:position w:val="3"/>
        </w:rPr>
        <w:drawing>
          <wp:inline distT="0" distB="0" distL="0" distR="0">
            <wp:extent cx="41379" cy="41378"/>
            <wp:effectExtent l="0" t="0" r="0" b="0"/>
            <wp:docPr id="419" name="Image 419"/>
            <wp:cNvGraphicFramePr/>
            <a:graphic xmlns:a="http://schemas.openxmlformats.org/drawingml/2006/main">
              <a:graphicData uri="http://schemas.openxmlformats.org/drawingml/2006/picture">
                <pic:pic xmlns:pic="http://schemas.openxmlformats.org/drawingml/2006/picture">
                  <pic:nvPicPr>
                    <pic:cNvPr id="419" name="Image 419"/>
                    <pic:cNvPicPr/>
                  </pic:nvPicPr>
                  <pic:blipFill>
                    <a:blip xmlns:r="http://schemas.openxmlformats.org/officeDocument/2006/relationships" r:embed="rId320" cstate="print"/>
                    <a:stretch>
                      <a:fillRect/>
                    </a:stretch>
                  </pic:blipFill>
                  <pic:spPr>
                    <a:xfrm>
                      <a:off x="0" y="0"/>
                      <a:ext cx="41379" cy="41378"/>
                    </a:xfrm>
                    <a:prstGeom prst="rect">
                      <a:avLst/>
                    </a:prstGeom>
                  </pic:spPr>
                </pic:pic>
              </a:graphicData>
            </a:graphic>
          </wp:inline>
        </w:drawing>
      </w:r>
      <w:r>
        <w:rPr>
          <w:spacing w:val="80"/>
        </w:rPr>
        <w:t xml:space="preserve"> </w:t>
      </w:r>
      <w:r>
        <w:t>Dallas Independent School District, Texas;</w:t>
      </w:r>
    </w:p>
    <w:p w:rsidR="003F5784" w14:paraId="48067145" w14:textId="77777777">
      <w:pPr>
        <w:pStyle w:val="BodyText"/>
        <w:spacing w:line="232" w:lineRule="auto"/>
        <w:ind w:left="422" w:right="11454"/>
      </w:pPr>
      <w:r>
        <w:rPr>
          <w:noProof/>
          <w:position w:val="3"/>
        </w:rPr>
        <w:drawing>
          <wp:inline distT="0" distB="0" distL="0" distR="0">
            <wp:extent cx="41379" cy="41378"/>
            <wp:effectExtent l="0" t="0" r="0" b="0"/>
            <wp:docPr id="420" name="Image 420"/>
            <wp:cNvGraphicFramePr/>
            <a:graphic xmlns:a="http://schemas.openxmlformats.org/drawingml/2006/main">
              <a:graphicData uri="http://schemas.openxmlformats.org/drawingml/2006/picture">
                <pic:pic xmlns:pic="http://schemas.openxmlformats.org/drawingml/2006/picture">
                  <pic:nvPicPr>
                    <pic:cNvPr id="420" name="Image 420"/>
                    <pic:cNvPicPr/>
                  </pic:nvPicPr>
                  <pic:blipFill>
                    <a:blip xmlns:r="http://schemas.openxmlformats.org/officeDocument/2006/relationships" r:embed="rId316" cstate="print"/>
                    <a:stretch>
                      <a:fillRect/>
                    </a:stretch>
                  </pic:blipFill>
                  <pic:spPr>
                    <a:xfrm>
                      <a:off x="0" y="0"/>
                      <a:ext cx="41379" cy="41378"/>
                    </a:xfrm>
                    <a:prstGeom prst="rect">
                      <a:avLst/>
                    </a:prstGeom>
                  </pic:spPr>
                </pic:pic>
              </a:graphicData>
            </a:graphic>
          </wp:inline>
        </w:drawing>
      </w:r>
      <w:r>
        <w:rPr>
          <w:spacing w:val="67"/>
          <w:sz w:val="20"/>
        </w:rPr>
        <w:t xml:space="preserve"> </w:t>
      </w:r>
      <w:r>
        <w:t>Denver</w:t>
      </w:r>
      <w:r>
        <w:rPr>
          <w:spacing w:val="-11"/>
        </w:rPr>
        <w:t xml:space="preserve"> </w:t>
      </w:r>
      <w:r>
        <w:t>Public</w:t>
      </w:r>
      <w:r>
        <w:rPr>
          <w:spacing w:val="-11"/>
        </w:rPr>
        <w:t xml:space="preserve"> </w:t>
      </w:r>
      <w:r>
        <w:t>Schools,</w:t>
      </w:r>
      <w:r>
        <w:rPr>
          <w:spacing w:val="-11"/>
        </w:rPr>
        <w:t xml:space="preserve"> </w:t>
      </w:r>
      <w:r>
        <w:t xml:space="preserve">Colorado; </w:t>
      </w:r>
      <w:r>
        <w:rPr>
          <w:noProof/>
          <w:position w:val="3"/>
        </w:rPr>
        <w:drawing>
          <wp:inline distT="0" distB="0" distL="0" distR="0">
            <wp:extent cx="41379" cy="41378"/>
            <wp:effectExtent l="0" t="0" r="0" b="0"/>
            <wp:docPr id="421" name="Image 421"/>
            <wp:cNvGraphicFramePr/>
            <a:graphic xmlns:a="http://schemas.openxmlformats.org/drawingml/2006/main">
              <a:graphicData uri="http://schemas.openxmlformats.org/drawingml/2006/picture">
                <pic:pic xmlns:pic="http://schemas.openxmlformats.org/drawingml/2006/picture">
                  <pic:nvPicPr>
                    <pic:cNvPr id="421" name="Image 421"/>
                    <pic:cNvPicPr/>
                  </pic:nvPicPr>
                  <pic:blipFill>
                    <a:blip xmlns:r="http://schemas.openxmlformats.org/officeDocument/2006/relationships" r:embed="rId321" cstate="print"/>
                    <a:stretch>
                      <a:fillRect/>
                    </a:stretch>
                  </pic:blipFill>
                  <pic:spPr>
                    <a:xfrm>
                      <a:off x="0" y="0"/>
                      <a:ext cx="41379" cy="41378"/>
                    </a:xfrm>
                    <a:prstGeom prst="rect">
                      <a:avLst/>
                    </a:prstGeom>
                  </pic:spPr>
                </pic:pic>
              </a:graphicData>
            </a:graphic>
          </wp:inline>
        </w:drawing>
      </w:r>
      <w:r>
        <w:rPr>
          <w:spacing w:val="63"/>
        </w:rPr>
        <w:t xml:space="preserve"> </w:t>
      </w:r>
      <w:r>
        <w:t>Detroit</w:t>
      </w:r>
      <w:r>
        <w:rPr>
          <w:spacing w:val="-11"/>
        </w:rPr>
        <w:t xml:space="preserve"> </w:t>
      </w:r>
      <w:r>
        <w:t>Public</w:t>
      </w:r>
      <w:r>
        <w:rPr>
          <w:spacing w:val="-11"/>
        </w:rPr>
        <w:t xml:space="preserve"> </w:t>
      </w:r>
      <w:r>
        <w:t>Schools,</w:t>
      </w:r>
      <w:r>
        <w:rPr>
          <w:spacing w:val="-11"/>
        </w:rPr>
        <w:t xml:space="preserve"> </w:t>
      </w:r>
      <w:r>
        <w:t>Michigan;</w:t>
      </w:r>
    </w:p>
    <w:p w:rsidR="003F5784" w14:paraId="3A3432AB" w14:textId="77777777">
      <w:pPr>
        <w:pStyle w:val="BodyText"/>
        <w:spacing w:before="1" w:line="232" w:lineRule="auto"/>
        <w:ind w:left="422" w:right="9393"/>
      </w:pPr>
      <w:r>
        <w:rPr>
          <w:noProof/>
          <w:position w:val="3"/>
        </w:rPr>
        <w:drawing>
          <wp:inline distT="0" distB="0" distL="0" distR="0">
            <wp:extent cx="41379" cy="41378"/>
            <wp:effectExtent l="0" t="0" r="0" b="0"/>
            <wp:docPr id="422" name="Image 422"/>
            <wp:cNvGraphicFramePr/>
            <a:graphic xmlns:a="http://schemas.openxmlformats.org/drawingml/2006/main">
              <a:graphicData uri="http://schemas.openxmlformats.org/drawingml/2006/picture">
                <pic:pic xmlns:pic="http://schemas.openxmlformats.org/drawingml/2006/picture">
                  <pic:nvPicPr>
                    <pic:cNvPr id="422" name="Image 422"/>
                    <pic:cNvPicPr/>
                  </pic:nvPicPr>
                  <pic:blipFill>
                    <a:blip xmlns:r="http://schemas.openxmlformats.org/officeDocument/2006/relationships" r:embed="rId322" cstate="print"/>
                    <a:stretch>
                      <a:fillRect/>
                    </a:stretch>
                  </pic:blipFill>
                  <pic:spPr>
                    <a:xfrm>
                      <a:off x="0" y="0"/>
                      <a:ext cx="41379" cy="41378"/>
                    </a:xfrm>
                    <a:prstGeom prst="rect">
                      <a:avLst/>
                    </a:prstGeom>
                  </pic:spPr>
                </pic:pic>
              </a:graphicData>
            </a:graphic>
          </wp:inline>
        </w:drawing>
      </w:r>
      <w:r>
        <w:rPr>
          <w:spacing w:val="74"/>
          <w:sz w:val="20"/>
        </w:rPr>
        <w:t xml:space="preserve"> </w:t>
      </w:r>
      <w:r>
        <w:t>District</w:t>
      </w:r>
      <w:r>
        <w:rPr>
          <w:spacing w:val="-8"/>
        </w:rPr>
        <w:t xml:space="preserve"> </w:t>
      </w:r>
      <w:r>
        <w:t>of</w:t>
      </w:r>
      <w:r>
        <w:rPr>
          <w:spacing w:val="-8"/>
        </w:rPr>
        <w:t xml:space="preserve"> </w:t>
      </w:r>
      <w:r>
        <w:t>Columbia</w:t>
      </w:r>
      <w:r>
        <w:rPr>
          <w:spacing w:val="-8"/>
        </w:rPr>
        <w:t xml:space="preserve"> </w:t>
      </w:r>
      <w:r>
        <w:t>Public</w:t>
      </w:r>
      <w:r>
        <w:rPr>
          <w:spacing w:val="-8"/>
        </w:rPr>
        <w:t xml:space="preserve"> </w:t>
      </w:r>
      <w:r>
        <w:t>Schools,</w:t>
      </w:r>
      <w:r>
        <w:rPr>
          <w:spacing w:val="-8"/>
        </w:rPr>
        <w:t xml:space="preserve"> </w:t>
      </w:r>
      <w:r>
        <w:t>District</w:t>
      </w:r>
      <w:r>
        <w:rPr>
          <w:spacing w:val="-8"/>
        </w:rPr>
        <w:t xml:space="preserve"> </w:t>
      </w:r>
      <w:r>
        <w:t>of</w:t>
      </w:r>
      <w:r>
        <w:rPr>
          <w:spacing w:val="-8"/>
        </w:rPr>
        <w:t xml:space="preserve"> </w:t>
      </w:r>
      <w:r>
        <w:t xml:space="preserve">Columbia; </w:t>
      </w:r>
      <w:r>
        <w:rPr>
          <w:noProof/>
          <w:position w:val="3"/>
        </w:rPr>
        <w:drawing>
          <wp:inline distT="0" distB="0" distL="0" distR="0">
            <wp:extent cx="41379" cy="41378"/>
            <wp:effectExtent l="0" t="0" r="0" b="0"/>
            <wp:docPr id="423" name="Image 423"/>
            <wp:cNvGraphicFramePr/>
            <a:graphic xmlns:a="http://schemas.openxmlformats.org/drawingml/2006/main">
              <a:graphicData uri="http://schemas.openxmlformats.org/drawingml/2006/picture">
                <pic:pic xmlns:pic="http://schemas.openxmlformats.org/drawingml/2006/picture">
                  <pic:nvPicPr>
                    <pic:cNvPr id="423" name="Image 423"/>
                    <pic:cNvPicPr/>
                  </pic:nvPicPr>
                  <pic:blipFill>
                    <a:blip xmlns:r="http://schemas.openxmlformats.org/officeDocument/2006/relationships" r:embed="rId323" cstate="print"/>
                    <a:stretch>
                      <a:fillRect/>
                    </a:stretch>
                  </pic:blipFill>
                  <pic:spPr>
                    <a:xfrm>
                      <a:off x="0" y="0"/>
                      <a:ext cx="41379" cy="41378"/>
                    </a:xfrm>
                    <a:prstGeom prst="rect">
                      <a:avLst/>
                    </a:prstGeom>
                  </pic:spPr>
                </pic:pic>
              </a:graphicData>
            </a:graphic>
          </wp:inline>
        </w:drawing>
      </w:r>
      <w:r>
        <w:rPr>
          <w:spacing w:val="80"/>
        </w:rPr>
        <w:t xml:space="preserve"> </w:t>
      </w:r>
      <w:r>
        <w:t>Duval County Public Schools, Florida;</w:t>
      </w:r>
    </w:p>
    <w:p w:rsidR="003F5784" w14:paraId="7F889259" w14:textId="77777777">
      <w:pPr>
        <w:pStyle w:val="BodyText"/>
        <w:spacing w:before="1" w:line="232" w:lineRule="auto"/>
        <w:ind w:left="422" w:right="10357"/>
      </w:pPr>
      <w:r>
        <w:rPr>
          <w:noProof/>
          <w:position w:val="3"/>
        </w:rPr>
        <w:drawing>
          <wp:inline distT="0" distB="0" distL="0" distR="0">
            <wp:extent cx="41379" cy="41378"/>
            <wp:effectExtent l="0" t="0" r="0" b="0"/>
            <wp:docPr id="424" name="Image 424"/>
            <wp:cNvGraphicFramePr/>
            <a:graphic xmlns:a="http://schemas.openxmlformats.org/drawingml/2006/main">
              <a:graphicData uri="http://schemas.openxmlformats.org/drawingml/2006/picture">
                <pic:pic xmlns:pic="http://schemas.openxmlformats.org/drawingml/2006/picture">
                  <pic:nvPicPr>
                    <pic:cNvPr id="424" name="Image 424"/>
                    <pic:cNvPicPr/>
                  </pic:nvPicPr>
                  <pic:blipFill>
                    <a:blip xmlns:r="http://schemas.openxmlformats.org/officeDocument/2006/relationships" r:embed="rId324" cstate="print"/>
                    <a:stretch>
                      <a:fillRect/>
                    </a:stretch>
                  </pic:blipFill>
                  <pic:spPr>
                    <a:xfrm>
                      <a:off x="0" y="0"/>
                      <a:ext cx="41379" cy="41378"/>
                    </a:xfrm>
                    <a:prstGeom prst="rect">
                      <a:avLst/>
                    </a:prstGeom>
                  </pic:spPr>
                </pic:pic>
              </a:graphicData>
            </a:graphic>
          </wp:inline>
        </w:drawing>
      </w:r>
      <w:r>
        <w:rPr>
          <w:spacing w:val="54"/>
          <w:sz w:val="20"/>
        </w:rPr>
        <w:t xml:space="preserve"> </w:t>
      </w:r>
      <w:r>
        <w:t>Fort</w:t>
      </w:r>
      <w:r>
        <w:rPr>
          <w:spacing w:val="-13"/>
        </w:rPr>
        <w:t xml:space="preserve"> </w:t>
      </w:r>
      <w:r>
        <w:t>Worth</w:t>
      </w:r>
      <w:r>
        <w:rPr>
          <w:spacing w:val="-13"/>
        </w:rPr>
        <w:t xml:space="preserve"> </w:t>
      </w:r>
      <w:r>
        <w:t>Independent</w:t>
      </w:r>
      <w:r>
        <w:rPr>
          <w:spacing w:val="-13"/>
        </w:rPr>
        <w:t xml:space="preserve"> </w:t>
      </w:r>
      <w:r>
        <w:t>School</w:t>
      </w:r>
      <w:r>
        <w:rPr>
          <w:spacing w:val="-13"/>
        </w:rPr>
        <w:t xml:space="preserve"> </w:t>
      </w:r>
      <w:r>
        <w:t>District,</w:t>
      </w:r>
      <w:r>
        <w:rPr>
          <w:spacing w:val="-14"/>
        </w:rPr>
        <w:t xml:space="preserve"> </w:t>
      </w:r>
      <w:r>
        <w:t xml:space="preserve">Texas; </w:t>
      </w:r>
      <w:r>
        <w:rPr>
          <w:noProof/>
          <w:position w:val="3"/>
        </w:rPr>
        <w:drawing>
          <wp:inline distT="0" distB="0" distL="0" distR="0">
            <wp:extent cx="41379" cy="41378"/>
            <wp:effectExtent l="0" t="0" r="0" b="0"/>
            <wp:docPr id="425" name="Image 425"/>
            <wp:cNvGraphicFramePr/>
            <a:graphic xmlns:a="http://schemas.openxmlformats.org/drawingml/2006/main">
              <a:graphicData uri="http://schemas.openxmlformats.org/drawingml/2006/picture">
                <pic:pic xmlns:pic="http://schemas.openxmlformats.org/drawingml/2006/picture">
                  <pic:nvPicPr>
                    <pic:cNvPr id="425" name="Image 425"/>
                    <pic:cNvPicPr/>
                  </pic:nvPicPr>
                  <pic:blipFill>
                    <a:blip xmlns:r="http://schemas.openxmlformats.org/officeDocument/2006/relationships" r:embed="rId325" cstate="print"/>
                    <a:stretch>
                      <a:fillRect/>
                    </a:stretch>
                  </pic:blipFill>
                  <pic:spPr>
                    <a:xfrm>
                      <a:off x="0" y="0"/>
                      <a:ext cx="41379" cy="41378"/>
                    </a:xfrm>
                    <a:prstGeom prst="rect">
                      <a:avLst/>
                    </a:prstGeom>
                  </pic:spPr>
                </pic:pic>
              </a:graphicData>
            </a:graphic>
          </wp:inline>
        </w:drawing>
      </w:r>
      <w:r>
        <w:rPr>
          <w:spacing w:val="80"/>
        </w:rPr>
        <w:t xml:space="preserve"> </w:t>
      </w:r>
      <w:r>
        <w:t>Guilford County Schools, North Carolina;</w:t>
      </w:r>
    </w:p>
    <w:p w:rsidR="003F5784" w14:paraId="3563646E" w14:textId="77777777">
      <w:pPr>
        <w:pStyle w:val="BodyText"/>
        <w:spacing w:before="1" w:line="232" w:lineRule="auto"/>
        <w:ind w:left="422" w:right="10477"/>
      </w:pPr>
      <w:r>
        <w:rPr>
          <w:noProof/>
          <w:position w:val="3"/>
        </w:rPr>
        <w:drawing>
          <wp:inline distT="0" distB="0" distL="0" distR="0">
            <wp:extent cx="41379" cy="41378"/>
            <wp:effectExtent l="0" t="0" r="0" b="0"/>
            <wp:docPr id="426" name="Image 426"/>
            <wp:cNvGraphicFramePr/>
            <a:graphic xmlns:a="http://schemas.openxmlformats.org/drawingml/2006/main">
              <a:graphicData uri="http://schemas.openxmlformats.org/drawingml/2006/picture">
                <pic:pic xmlns:pic="http://schemas.openxmlformats.org/drawingml/2006/picture">
                  <pic:nvPicPr>
                    <pic:cNvPr id="426" name="Image 426"/>
                    <pic:cNvPicPr/>
                  </pic:nvPicPr>
                  <pic:blipFill>
                    <a:blip xmlns:r="http://schemas.openxmlformats.org/officeDocument/2006/relationships" r:embed="rId326" cstate="print"/>
                    <a:stretch>
                      <a:fillRect/>
                    </a:stretch>
                  </pic:blipFill>
                  <pic:spPr>
                    <a:xfrm>
                      <a:off x="0" y="0"/>
                      <a:ext cx="41379" cy="41378"/>
                    </a:xfrm>
                    <a:prstGeom prst="rect">
                      <a:avLst/>
                    </a:prstGeom>
                  </pic:spPr>
                </pic:pic>
              </a:graphicData>
            </a:graphic>
          </wp:inline>
        </w:drawing>
      </w:r>
      <w:r>
        <w:rPr>
          <w:spacing w:val="68"/>
          <w:sz w:val="20"/>
        </w:rPr>
        <w:t xml:space="preserve"> </w:t>
      </w:r>
      <w:r>
        <w:t>Hillsborough</w:t>
      </w:r>
      <w:r>
        <w:rPr>
          <w:spacing w:val="-10"/>
        </w:rPr>
        <w:t xml:space="preserve"> </w:t>
      </w:r>
      <w:r>
        <w:t>County</w:t>
      </w:r>
      <w:r>
        <w:rPr>
          <w:spacing w:val="-10"/>
        </w:rPr>
        <w:t xml:space="preserve"> </w:t>
      </w:r>
      <w:r>
        <w:t>Public</w:t>
      </w:r>
      <w:r>
        <w:rPr>
          <w:spacing w:val="-10"/>
        </w:rPr>
        <w:t xml:space="preserve"> </w:t>
      </w:r>
      <w:r>
        <w:t>Schools,</w:t>
      </w:r>
      <w:r>
        <w:rPr>
          <w:spacing w:val="-10"/>
        </w:rPr>
        <w:t xml:space="preserve"> </w:t>
      </w:r>
      <w:r>
        <w:t xml:space="preserve">Florida; </w:t>
      </w:r>
      <w:r>
        <w:rPr>
          <w:noProof/>
          <w:position w:val="3"/>
        </w:rPr>
        <w:drawing>
          <wp:inline distT="0" distB="0" distL="0" distR="0">
            <wp:extent cx="41379" cy="41378"/>
            <wp:effectExtent l="0" t="0" r="0" b="0"/>
            <wp:docPr id="427" name="Image 427"/>
            <wp:cNvGraphicFramePr/>
            <a:graphic xmlns:a="http://schemas.openxmlformats.org/drawingml/2006/main">
              <a:graphicData uri="http://schemas.openxmlformats.org/drawingml/2006/picture">
                <pic:pic xmlns:pic="http://schemas.openxmlformats.org/drawingml/2006/picture">
                  <pic:nvPicPr>
                    <pic:cNvPr id="427" name="Image 427"/>
                    <pic:cNvPicPr/>
                  </pic:nvPicPr>
                  <pic:blipFill>
                    <a:blip xmlns:r="http://schemas.openxmlformats.org/officeDocument/2006/relationships" r:embed="rId327" cstate="print"/>
                    <a:stretch>
                      <a:fillRect/>
                    </a:stretch>
                  </pic:blipFill>
                  <pic:spPr>
                    <a:xfrm>
                      <a:off x="0" y="0"/>
                      <a:ext cx="41379" cy="41378"/>
                    </a:xfrm>
                    <a:prstGeom prst="rect">
                      <a:avLst/>
                    </a:prstGeom>
                  </pic:spPr>
                </pic:pic>
              </a:graphicData>
            </a:graphic>
          </wp:inline>
        </w:drawing>
      </w:r>
      <w:r>
        <w:rPr>
          <w:spacing w:val="80"/>
        </w:rPr>
        <w:t xml:space="preserve"> </w:t>
      </w:r>
      <w:r>
        <w:t>Houston Independent School District,</w:t>
      </w:r>
      <w:r>
        <w:rPr>
          <w:spacing w:val="-3"/>
        </w:rPr>
        <w:t xml:space="preserve"> </w:t>
      </w:r>
      <w:r>
        <w:t>Texas;</w:t>
      </w:r>
    </w:p>
    <w:p w:rsidR="003F5784" w14:paraId="4110B2CB" w14:textId="77777777">
      <w:pPr>
        <w:pStyle w:val="BodyText"/>
        <w:spacing w:line="232" w:lineRule="auto"/>
        <w:ind w:left="422" w:right="9568"/>
      </w:pPr>
      <w:r>
        <w:rPr>
          <w:noProof/>
          <w:position w:val="3"/>
        </w:rPr>
        <w:drawing>
          <wp:inline distT="0" distB="0" distL="0" distR="0">
            <wp:extent cx="41379" cy="41378"/>
            <wp:effectExtent l="0" t="0" r="0" b="0"/>
            <wp:docPr id="428" name="Image 428"/>
            <wp:cNvGraphicFramePr/>
            <a:graphic xmlns:a="http://schemas.openxmlformats.org/drawingml/2006/main">
              <a:graphicData uri="http://schemas.openxmlformats.org/drawingml/2006/picture">
                <pic:pic xmlns:pic="http://schemas.openxmlformats.org/drawingml/2006/picture">
                  <pic:nvPicPr>
                    <pic:cNvPr id="428" name="Image 428"/>
                    <pic:cNvPicPr/>
                  </pic:nvPicPr>
                  <pic:blipFill>
                    <a:blip xmlns:r="http://schemas.openxmlformats.org/officeDocument/2006/relationships" r:embed="rId328" cstate="print"/>
                    <a:stretch>
                      <a:fillRect/>
                    </a:stretch>
                  </pic:blipFill>
                  <pic:spPr>
                    <a:xfrm>
                      <a:off x="0" y="0"/>
                      <a:ext cx="41379" cy="41378"/>
                    </a:xfrm>
                    <a:prstGeom prst="rect">
                      <a:avLst/>
                    </a:prstGeom>
                  </pic:spPr>
                </pic:pic>
              </a:graphicData>
            </a:graphic>
          </wp:inline>
        </w:drawing>
      </w:r>
      <w:r>
        <w:rPr>
          <w:spacing w:val="68"/>
          <w:sz w:val="20"/>
        </w:rPr>
        <w:t xml:space="preserve"> </w:t>
      </w:r>
      <w:r>
        <w:t>Jefferson</w:t>
      </w:r>
      <w:r>
        <w:rPr>
          <w:spacing w:val="-10"/>
        </w:rPr>
        <w:t xml:space="preserve"> </w:t>
      </w:r>
      <w:r>
        <w:t>County</w:t>
      </w:r>
      <w:r>
        <w:rPr>
          <w:spacing w:val="-10"/>
        </w:rPr>
        <w:t xml:space="preserve"> </w:t>
      </w:r>
      <w:r>
        <w:t>Public</w:t>
      </w:r>
      <w:r>
        <w:rPr>
          <w:spacing w:val="-10"/>
        </w:rPr>
        <w:t xml:space="preserve"> </w:t>
      </w:r>
      <w:r>
        <w:t>Schools</w:t>
      </w:r>
      <w:r>
        <w:rPr>
          <w:spacing w:val="-10"/>
        </w:rPr>
        <w:t xml:space="preserve"> </w:t>
      </w:r>
      <w:r>
        <w:t>(Louisville),</w:t>
      </w:r>
      <w:r>
        <w:rPr>
          <w:spacing w:val="-10"/>
        </w:rPr>
        <w:t xml:space="preserve"> </w:t>
      </w:r>
      <w:r>
        <w:t xml:space="preserve">Kentucky; </w:t>
      </w:r>
      <w:r>
        <w:rPr>
          <w:noProof/>
          <w:position w:val="3"/>
        </w:rPr>
        <w:drawing>
          <wp:inline distT="0" distB="0" distL="0" distR="0">
            <wp:extent cx="41379" cy="41378"/>
            <wp:effectExtent l="0" t="0" r="0" b="0"/>
            <wp:docPr id="429" name="Image 429"/>
            <wp:cNvGraphicFramePr/>
            <a:graphic xmlns:a="http://schemas.openxmlformats.org/drawingml/2006/main">
              <a:graphicData uri="http://schemas.openxmlformats.org/drawingml/2006/picture">
                <pic:pic xmlns:pic="http://schemas.openxmlformats.org/drawingml/2006/picture">
                  <pic:nvPicPr>
                    <pic:cNvPr id="429" name="Image 429"/>
                    <pic:cNvPicPr/>
                  </pic:nvPicPr>
                  <pic:blipFill>
                    <a:blip xmlns:r="http://schemas.openxmlformats.org/officeDocument/2006/relationships" r:embed="rId329" cstate="print"/>
                    <a:stretch>
                      <a:fillRect/>
                    </a:stretch>
                  </pic:blipFill>
                  <pic:spPr>
                    <a:xfrm>
                      <a:off x="0" y="0"/>
                      <a:ext cx="41379" cy="41378"/>
                    </a:xfrm>
                    <a:prstGeom prst="rect">
                      <a:avLst/>
                    </a:prstGeom>
                  </pic:spPr>
                </pic:pic>
              </a:graphicData>
            </a:graphic>
          </wp:inline>
        </w:drawing>
      </w:r>
      <w:r>
        <w:rPr>
          <w:spacing w:val="80"/>
        </w:rPr>
        <w:t xml:space="preserve"> </w:t>
      </w:r>
      <w:r>
        <w:t>Milwaukee Public Schools, Wisconsin;</w:t>
      </w:r>
    </w:p>
    <w:p w:rsidR="003F5784" w14:paraId="38A7DFA0" w14:textId="77777777">
      <w:pPr>
        <w:pStyle w:val="BodyText"/>
        <w:spacing w:before="1" w:line="232" w:lineRule="auto"/>
        <w:ind w:left="422" w:right="10263"/>
      </w:pPr>
      <w:r>
        <w:rPr>
          <w:noProof/>
          <w:position w:val="3"/>
        </w:rPr>
        <w:drawing>
          <wp:inline distT="0" distB="0" distL="0" distR="0">
            <wp:extent cx="41379" cy="41378"/>
            <wp:effectExtent l="0" t="0" r="0" b="0"/>
            <wp:docPr id="430" name="Image 430"/>
            <wp:cNvGraphicFramePr/>
            <a:graphic xmlns:a="http://schemas.openxmlformats.org/drawingml/2006/main">
              <a:graphicData uri="http://schemas.openxmlformats.org/drawingml/2006/picture">
                <pic:pic xmlns:pic="http://schemas.openxmlformats.org/drawingml/2006/picture">
                  <pic:nvPicPr>
                    <pic:cNvPr id="430" name="Image 430"/>
                    <pic:cNvPicPr/>
                  </pic:nvPicPr>
                  <pic:blipFill>
                    <a:blip xmlns:r="http://schemas.openxmlformats.org/officeDocument/2006/relationships" r:embed="rId330" cstate="print"/>
                    <a:stretch>
                      <a:fillRect/>
                    </a:stretch>
                  </pic:blipFill>
                  <pic:spPr>
                    <a:xfrm>
                      <a:off x="0" y="0"/>
                      <a:ext cx="41379" cy="41378"/>
                    </a:xfrm>
                    <a:prstGeom prst="rect">
                      <a:avLst/>
                    </a:prstGeom>
                  </pic:spPr>
                </pic:pic>
              </a:graphicData>
            </a:graphic>
          </wp:inline>
        </w:drawing>
      </w:r>
      <w:r>
        <w:rPr>
          <w:spacing w:val="65"/>
          <w:sz w:val="20"/>
        </w:rPr>
        <w:t xml:space="preserve"> </w:t>
      </w:r>
      <w:r>
        <w:t>Los</w:t>
      </w:r>
      <w:r>
        <w:rPr>
          <w:spacing w:val="-14"/>
        </w:rPr>
        <w:t xml:space="preserve"> </w:t>
      </w:r>
      <w:r>
        <w:t>Angeles</w:t>
      </w:r>
      <w:r>
        <w:rPr>
          <w:spacing w:val="-9"/>
        </w:rPr>
        <w:t xml:space="preserve"> </w:t>
      </w:r>
      <w:r>
        <w:t>Unified</w:t>
      </w:r>
      <w:r>
        <w:rPr>
          <w:spacing w:val="-10"/>
        </w:rPr>
        <w:t xml:space="preserve"> </w:t>
      </w:r>
      <w:r>
        <w:t>School</w:t>
      </w:r>
      <w:r>
        <w:rPr>
          <w:spacing w:val="-10"/>
        </w:rPr>
        <w:t xml:space="preserve"> </w:t>
      </w:r>
      <w:r>
        <w:t>District,</w:t>
      </w:r>
      <w:r>
        <w:rPr>
          <w:spacing w:val="-10"/>
        </w:rPr>
        <w:t xml:space="preserve"> </w:t>
      </w:r>
      <w:r>
        <w:t xml:space="preserve">California; </w:t>
      </w:r>
      <w:r>
        <w:rPr>
          <w:noProof/>
          <w:position w:val="3"/>
        </w:rPr>
        <w:drawing>
          <wp:inline distT="0" distB="0" distL="0" distR="0">
            <wp:extent cx="41379" cy="41378"/>
            <wp:effectExtent l="0" t="0" r="0" b="0"/>
            <wp:docPr id="431" name="Image 431"/>
            <wp:cNvGraphicFramePr/>
            <a:graphic xmlns:a="http://schemas.openxmlformats.org/drawingml/2006/main">
              <a:graphicData uri="http://schemas.openxmlformats.org/drawingml/2006/picture">
                <pic:pic xmlns:pic="http://schemas.openxmlformats.org/drawingml/2006/picture">
                  <pic:nvPicPr>
                    <pic:cNvPr id="431" name="Image 431"/>
                    <pic:cNvPicPr/>
                  </pic:nvPicPr>
                  <pic:blipFill>
                    <a:blip xmlns:r="http://schemas.openxmlformats.org/officeDocument/2006/relationships" r:embed="rId331" cstate="print"/>
                    <a:stretch>
                      <a:fillRect/>
                    </a:stretch>
                  </pic:blipFill>
                  <pic:spPr>
                    <a:xfrm>
                      <a:off x="0" y="0"/>
                      <a:ext cx="41379" cy="41378"/>
                    </a:xfrm>
                    <a:prstGeom prst="rect">
                      <a:avLst/>
                    </a:prstGeom>
                  </pic:spPr>
                </pic:pic>
              </a:graphicData>
            </a:graphic>
          </wp:inline>
        </w:drawing>
      </w:r>
      <w:r>
        <w:rPr>
          <w:spacing w:val="80"/>
        </w:rPr>
        <w:t xml:space="preserve"> </w:t>
      </w:r>
      <w:r>
        <w:t>Miami-Dade County Public Schools, Florida;</w:t>
      </w:r>
    </w:p>
    <w:p w:rsidR="003F5784" w14:paraId="1B3ADAB7" w14:textId="77777777">
      <w:pPr>
        <w:pStyle w:val="BodyText"/>
        <w:spacing w:before="1" w:line="232" w:lineRule="auto"/>
        <w:ind w:left="422" w:right="9881"/>
      </w:pPr>
      <w:r>
        <w:rPr>
          <w:noProof/>
          <w:position w:val="3"/>
        </w:rPr>
        <w:drawing>
          <wp:inline distT="0" distB="0" distL="0" distR="0">
            <wp:extent cx="41379" cy="41378"/>
            <wp:effectExtent l="0" t="0" r="0" b="0"/>
            <wp:docPr id="432" name="Image 432"/>
            <wp:cNvGraphicFramePr/>
            <a:graphic xmlns:a="http://schemas.openxmlformats.org/drawingml/2006/main">
              <a:graphicData uri="http://schemas.openxmlformats.org/drawingml/2006/picture">
                <pic:pic xmlns:pic="http://schemas.openxmlformats.org/drawingml/2006/picture">
                  <pic:nvPicPr>
                    <pic:cNvPr id="432" name="Image 432"/>
                    <pic:cNvPicPr/>
                  </pic:nvPicPr>
                  <pic:blipFill>
                    <a:blip xmlns:r="http://schemas.openxmlformats.org/officeDocument/2006/relationships" r:embed="rId332" cstate="print"/>
                    <a:stretch>
                      <a:fillRect/>
                    </a:stretch>
                  </pic:blipFill>
                  <pic:spPr>
                    <a:xfrm>
                      <a:off x="0" y="0"/>
                      <a:ext cx="41379" cy="41378"/>
                    </a:xfrm>
                    <a:prstGeom prst="rect">
                      <a:avLst/>
                    </a:prstGeom>
                  </pic:spPr>
                </pic:pic>
              </a:graphicData>
            </a:graphic>
          </wp:inline>
        </w:drawing>
      </w:r>
      <w:r>
        <w:rPr>
          <w:spacing w:val="53"/>
          <w:sz w:val="20"/>
        </w:rPr>
        <w:t xml:space="preserve"> </w:t>
      </w:r>
      <w:r>
        <w:t>New</w:t>
      </w:r>
      <w:r>
        <w:rPr>
          <w:spacing w:val="-14"/>
        </w:rPr>
        <w:t xml:space="preserve"> </w:t>
      </w:r>
      <w:r>
        <w:t>York</w:t>
      </w:r>
      <w:r>
        <w:rPr>
          <w:spacing w:val="-11"/>
        </w:rPr>
        <w:t xml:space="preserve"> </w:t>
      </w:r>
      <w:r>
        <w:t>City</w:t>
      </w:r>
      <w:r>
        <w:rPr>
          <w:spacing w:val="-12"/>
        </w:rPr>
        <w:t xml:space="preserve"> </w:t>
      </w:r>
      <w:r>
        <w:t>Department</w:t>
      </w:r>
      <w:r>
        <w:rPr>
          <w:spacing w:val="-12"/>
        </w:rPr>
        <w:t xml:space="preserve"> </w:t>
      </w:r>
      <w:r>
        <w:t>of</w:t>
      </w:r>
      <w:r>
        <w:rPr>
          <w:spacing w:val="-12"/>
        </w:rPr>
        <w:t xml:space="preserve"> </w:t>
      </w:r>
      <w:r>
        <w:t>Education,</w:t>
      </w:r>
      <w:r>
        <w:rPr>
          <w:spacing w:val="-12"/>
        </w:rPr>
        <w:t xml:space="preserve"> </w:t>
      </w:r>
      <w:r>
        <w:t>New</w:t>
      </w:r>
      <w:r>
        <w:rPr>
          <w:spacing w:val="-14"/>
        </w:rPr>
        <w:t xml:space="preserve"> </w:t>
      </w:r>
      <w:r>
        <w:t xml:space="preserve">York; </w:t>
      </w:r>
      <w:r>
        <w:rPr>
          <w:noProof/>
          <w:position w:val="3"/>
        </w:rPr>
        <w:drawing>
          <wp:inline distT="0" distB="0" distL="0" distR="0">
            <wp:extent cx="41379" cy="41378"/>
            <wp:effectExtent l="0" t="0" r="0" b="0"/>
            <wp:docPr id="433" name="Image 433"/>
            <wp:cNvGraphicFramePr/>
            <a:graphic xmlns:a="http://schemas.openxmlformats.org/drawingml/2006/main">
              <a:graphicData uri="http://schemas.openxmlformats.org/drawingml/2006/picture">
                <pic:pic xmlns:pic="http://schemas.openxmlformats.org/drawingml/2006/picture">
                  <pic:nvPicPr>
                    <pic:cNvPr id="433" name="Image 433"/>
                    <pic:cNvPicPr/>
                  </pic:nvPicPr>
                  <pic:blipFill>
                    <a:blip xmlns:r="http://schemas.openxmlformats.org/officeDocument/2006/relationships" r:embed="rId333" cstate="print"/>
                    <a:stretch>
                      <a:fillRect/>
                    </a:stretch>
                  </pic:blipFill>
                  <pic:spPr>
                    <a:xfrm>
                      <a:off x="0" y="0"/>
                      <a:ext cx="41379" cy="41378"/>
                    </a:xfrm>
                    <a:prstGeom prst="rect">
                      <a:avLst/>
                    </a:prstGeom>
                  </pic:spPr>
                </pic:pic>
              </a:graphicData>
            </a:graphic>
          </wp:inline>
        </w:drawing>
      </w:r>
      <w:r>
        <w:rPr>
          <w:spacing w:val="80"/>
        </w:rPr>
        <w:t xml:space="preserve"> </w:t>
      </w:r>
      <w:r>
        <w:t>School District of Philadelphia, Pennsylvania;</w:t>
      </w:r>
    </w:p>
    <w:p w:rsidR="003F5784" w14:paraId="3BE54CF0" w14:textId="77777777">
      <w:pPr>
        <w:pStyle w:val="BodyText"/>
        <w:spacing w:line="232" w:lineRule="auto"/>
        <w:ind w:left="422" w:right="10069"/>
      </w:pPr>
      <w:r>
        <w:rPr>
          <w:noProof/>
          <w:position w:val="3"/>
        </w:rPr>
        <w:drawing>
          <wp:inline distT="0" distB="0" distL="0" distR="0">
            <wp:extent cx="41379" cy="41378"/>
            <wp:effectExtent l="0" t="0" r="0" b="0"/>
            <wp:docPr id="434" name="Image 434"/>
            <wp:cNvGraphicFramePr/>
            <a:graphic xmlns:a="http://schemas.openxmlformats.org/drawingml/2006/main">
              <a:graphicData uri="http://schemas.openxmlformats.org/drawingml/2006/picture">
                <pic:pic xmlns:pic="http://schemas.openxmlformats.org/drawingml/2006/picture">
                  <pic:nvPicPr>
                    <pic:cNvPr id="434" name="Image 434"/>
                    <pic:cNvPicPr/>
                  </pic:nvPicPr>
                  <pic:blipFill>
                    <a:blip xmlns:r="http://schemas.openxmlformats.org/officeDocument/2006/relationships" r:embed="rId334" cstate="print"/>
                    <a:stretch>
                      <a:fillRect/>
                    </a:stretch>
                  </pic:blipFill>
                  <pic:spPr>
                    <a:xfrm>
                      <a:off x="0" y="0"/>
                      <a:ext cx="41379" cy="41378"/>
                    </a:xfrm>
                    <a:prstGeom prst="rect">
                      <a:avLst/>
                    </a:prstGeom>
                  </pic:spPr>
                </pic:pic>
              </a:graphicData>
            </a:graphic>
          </wp:inline>
        </w:drawing>
      </w:r>
      <w:r>
        <w:rPr>
          <w:spacing w:val="73"/>
          <w:sz w:val="20"/>
        </w:rPr>
        <w:t xml:space="preserve"> </w:t>
      </w:r>
      <w:r>
        <w:t>San</w:t>
      </w:r>
      <w:r>
        <w:rPr>
          <w:spacing w:val="-8"/>
        </w:rPr>
        <w:t xml:space="preserve"> </w:t>
      </w:r>
      <w:r>
        <w:t>Diego</w:t>
      </w:r>
      <w:r>
        <w:rPr>
          <w:spacing w:val="-8"/>
        </w:rPr>
        <w:t xml:space="preserve"> </w:t>
      </w:r>
      <w:r>
        <w:t>Unified</w:t>
      </w:r>
      <w:r>
        <w:rPr>
          <w:spacing w:val="-8"/>
        </w:rPr>
        <w:t xml:space="preserve"> </w:t>
      </w:r>
      <w:r>
        <w:t>School</w:t>
      </w:r>
      <w:r>
        <w:rPr>
          <w:spacing w:val="-8"/>
        </w:rPr>
        <w:t xml:space="preserve"> </w:t>
      </w:r>
      <w:r>
        <w:t>District,</w:t>
      </w:r>
      <w:r>
        <w:rPr>
          <w:spacing w:val="-8"/>
        </w:rPr>
        <w:t xml:space="preserve"> </w:t>
      </w:r>
      <w:r>
        <w:t>California;</w:t>
      </w:r>
      <w:r>
        <w:rPr>
          <w:spacing w:val="-8"/>
        </w:rPr>
        <w:t xml:space="preserve"> </w:t>
      </w:r>
      <w:r>
        <w:t xml:space="preserve">and </w:t>
      </w:r>
      <w:r>
        <w:rPr>
          <w:noProof/>
          <w:position w:val="3"/>
        </w:rPr>
        <w:drawing>
          <wp:inline distT="0" distB="0" distL="0" distR="0">
            <wp:extent cx="41379" cy="41378"/>
            <wp:effectExtent l="0" t="0" r="0" b="0"/>
            <wp:docPr id="435" name="Image 435"/>
            <wp:cNvGraphicFramePr/>
            <a:graphic xmlns:a="http://schemas.openxmlformats.org/drawingml/2006/main">
              <a:graphicData uri="http://schemas.openxmlformats.org/drawingml/2006/picture">
                <pic:pic xmlns:pic="http://schemas.openxmlformats.org/drawingml/2006/picture">
                  <pic:nvPicPr>
                    <pic:cNvPr id="435" name="Image 435"/>
                    <pic:cNvPicPr/>
                  </pic:nvPicPr>
                  <pic:blipFill>
                    <a:blip xmlns:r="http://schemas.openxmlformats.org/officeDocument/2006/relationships" r:embed="rId335" cstate="print"/>
                    <a:stretch>
                      <a:fillRect/>
                    </a:stretch>
                  </pic:blipFill>
                  <pic:spPr>
                    <a:xfrm>
                      <a:off x="0" y="0"/>
                      <a:ext cx="41379" cy="41378"/>
                    </a:xfrm>
                    <a:prstGeom prst="rect">
                      <a:avLst/>
                    </a:prstGeom>
                  </pic:spPr>
                </pic:pic>
              </a:graphicData>
            </a:graphic>
          </wp:inline>
        </w:drawing>
      </w:r>
      <w:r>
        <w:rPr>
          <w:spacing w:val="80"/>
        </w:rPr>
        <w:t xml:space="preserve"> </w:t>
      </w:r>
      <w:r>
        <w:t>Shelby County Schools, Tennessee.</w:t>
      </w:r>
    </w:p>
    <w:p w:rsidR="003F5784" w14:paraId="66C55E57" w14:textId="77777777">
      <w:pPr>
        <w:pStyle w:val="BodyText"/>
        <w:spacing w:before="210" w:line="232" w:lineRule="auto"/>
        <w:ind w:left="109" w:right="179"/>
      </w:pPr>
      <w:r>
        <w:t>Implicit</w:t>
      </w:r>
      <w:r>
        <w:rPr>
          <w:spacing w:val="-7"/>
        </w:rPr>
        <w:t xml:space="preserve"> </w:t>
      </w:r>
      <w:r>
        <w:t>stratification</w:t>
      </w:r>
      <w:r>
        <w:rPr>
          <w:spacing w:val="-7"/>
        </w:rPr>
        <w:t xml:space="preserve"> </w:t>
      </w:r>
      <w:r>
        <w:t>involves</w:t>
      </w:r>
      <w:r>
        <w:rPr>
          <w:spacing w:val="-7"/>
        </w:rPr>
        <w:t xml:space="preserve"> </w:t>
      </w:r>
      <w:r>
        <w:t>sorting</w:t>
      </w:r>
      <w:r>
        <w:rPr>
          <w:spacing w:val="-7"/>
        </w:rPr>
        <w:t xml:space="preserve"> </w:t>
      </w:r>
      <w:r>
        <w:t>the</w:t>
      </w:r>
      <w:r>
        <w:rPr>
          <w:spacing w:val="-7"/>
        </w:rPr>
        <w:t xml:space="preserve"> </w:t>
      </w:r>
      <w:r>
        <w:t>sampling</w:t>
      </w:r>
      <w:r>
        <w:rPr>
          <w:spacing w:val="-7"/>
        </w:rPr>
        <w:t xml:space="preserve"> </w:t>
      </w:r>
      <w:r>
        <w:t>frame,</w:t>
      </w:r>
      <w:r>
        <w:rPr>
          <w:spacing w:val="-7"/>
        </w:rPr>
        <w:t xml:space="preserve"> </w:t>
      </w:r>
      <w:r>
        <w:t>as</w:t>
      </w:r>
      <w:r>
        <w:rPr>
          <w:spacing w:val="-7"/>
        </w:rPr>
        <w:t xml:space="preserve"> </w:t>
      </w:r>
      <w:r>
        <w:t>opposed</w:t>
      </w:r>
      <w:r>
        <w:rPr>
          <w:spacing w:val="-7"/>
        </w:rPr>
        <w:t xml:space="preserve"> </w:t>
      </w:r>
      <w:r>
        <w:t>to</w:t>
      </w:r>
      <w:r>
        <w:rPr>
          <w:spacing w:val="-7"/>
        </w:rPr>
        <w:t xml:space="preserve"> </w:t>
      </w:r>
      <w:r>
        <w:t>grouping</w:t>
      </w:r>
      <w:r>
        <w:rPr>
          <w:spacing w:val="-7"/>
        </w:rPr>
        <w:t xml:space="preserve"> </w:t>
      </w:r>
      <w:r>
        <w:t>the</w:t>
      </w:r>
      <w:r>
        <w:rPr>
          <w:spacing w:val="-7"/>
        </w:rPr>
        <w:t xml:space="preserve"> </w:t>
      </w:r>
      <w:r>
        <w:t>frame.</w:t>
      </w:r>
      <w:r>
        <w:rPr>
          <w:spacing w:val="-7"/>
        </w:rPr>
        <w:t xml:space="preserve"> </w:t>
      </w:r>
      <w:r>
        <w:t>For</w:t>
      </w:r>
      <w:r>
        <w:rPr>
          <w:spacing w:val="-7"/>
        </w:rPr>
        <w:t xml:space="preserve"> </w:t>
      </w:r>
      <w:r>
        <w:t>NAEP,</w:t>
      </w:r>
      <w:r>
        <w:rPr>
          <w:spacing w:val="-7"/>
        </w:rPr>
        <w:t xml:space="preserve"> </w:t>
      </w:r>
      <w:r>
        <w:t>schools</w:t>
      </w:r>
      <w:r>
        <w:rPr>
          <w:spacing w:val="-7"/>
        </w:rPr>
        <w:t xml:space="preserve"> </w:t>
      </w:r>
      <w:r>
        <w:t>are</w:t>
      </w:r>
      <w:r>
        <w:rPr>
          <w:spacing w:val="-7"/>
        </w:rPr>
        <w:t xml:space="preserve"> </w:t>
      </w:r>
      <w:r>
        <w:t>sorted</w:t>
      </w:r>
      <w:r>
        <w:rPr>
          <w:spacing w:val="-7"/>
        </w:rPr>
        <w:t xml:space="preserve"> </w:t>
      </w:r>
      <w:r>
        <w:t>by</w:t>
      </w:r>
      <w:r>
        <w:rPr>
          <w:spacing w:val="-7"/>
        </w:rPr>
        <w:t xml:space="preserve"> </w:t>
      </w:r>
      <w:r>
        <w:t>key</w:t>
      </w:r>
      <w:r>
        <w:rPr>
          <w:spacing w:val="-7"/>
        </w:rPr>
        <w:t xml:space="preserve"> </w:t>
      </w:r>
      <w:r>
        <w:t>school</w:t>
      </w:r>
      <w:r>
        <w:rPr>
          <w:spacing w:val="-7"/>
        </w:rPr>
        <w:t xml:space="preserve"> </w:t>
      </w:r>
      <w:r>
        <w:t>characteristics</w:t>
      </w:r>
      <w:r>
        <w:rPr>
          <w:spacing w:val="-7"/>
        </w:rPr>
        <w:t xml:space="preserve"> </w:t>
      </w:r>
      <w:r>
        <w:t>within</w:t>
      </w:r>
      <w:r>
        <w:rPr>
          <w:spacing w:val="-7"/>
        </w:rPr>
        <w:t xml:space="preserve"> </w:t>
      </w:r>
      <w:r>
        <w:t>explicit</w:t>
      </w:r>
      <w:r>
        <w:rPr>
          <w:spacing w:val="-7"/>
        </w:rPr>
        <w:t xml:space="preserve"> </w:t>
      </w:r>
      <w:r>
        <w:t>strata and</w:t>
      </w:r>
      <w:r>
        <w:rPr>
          <w:spacing w:val="-1"/>
        </w:rPr>
        <w:t xml:space="preserve"> </w:t>
      </w:r>
      <w:r>
        <w:t>sampled</w:t>
      </w:r>
      <w:r>
        <w:rPr>
          <w:spacing w:val="-1"/>
        </w:rPr>
        <w:t xml:space="preserve"> </w:t>
      </w:r>
      <w:r>
        <w:t>systematically</w:t>
      </w:r>
      <w:r>
        <w:rPr>
          <w:spacing w:val="-1"/>
        </w:rPr>
        <w:t xml:space="preserve"> </w:t>
      </w:r>
      <w:r>
        <w:t>using</w:t>
      </w:r>
      <w:r>
        <w:rPr>
          <w:spacing w:val="-1"/>
        </w:rPr>
        <w:t xml:space="preserve"> </w:t>
      </w:r>
      <w:r>
        <w:t>this</w:t>
      </w:r>
      <w:r>
        <w:rPr>
          <w:spacing w:val="-1"/>
        </w:rPr>
        <w:t xml:space="preserve"> </w:t>
      </w:r>
      <w:r>
        <w:t>ordering.</w:t>
      </w:r>
      <w:r>
        <w:rPr>
          <w:spacing w:val="-5"/>
        </w:rPr>
        <w:t xml:space="preserve"> </w:t>
      </w:r>
      <w:r>
        <w:t>This</w:t>
      </w:r>
      <w:r>
        <w:rPr>
          <w:spacing w:val="-1"/>
        </w:rPr>
        <w:t xml:space="preserve"> </w:t>
      </w:r>
      <w:r>
        <w:t>type</w:t>
      </w:r>
      <w:r>
        <w:rPr>
          <w:spacing w:val="-1"/>
        </w:rPr>
        <w:t xml:space="preserve"> </w:t>
      </w:r>
      <w:r>
        <w:t>of</w:t>
      </w:r>
      <w:r>
        <w:rPr>
          <w:spacing w:val="-1"/>
        </w:rPr>
        <w:t xml:space="preserve"> </w:t>
      </w:r>
      <w:r>
        <w:t>stratification</w:t>
      </w:r>
      <w:r>
        <w:rPr>
          <w:spacing w:val="-1"/>
        </w:rPr>
        <w:t xml:space="preserve"> </w:t>
      </w:r>
      <w:r>
        <w:t>ensures</w:t>
      </w:r>
      <w:r>
        <w:rPr>
          <w:spacing w:val="-1"/>
        </w:rPr>
        <w:t xml:space="preserve"> </w:t>
      </w:r>
      <w:r>
        <w:t>the</w:t>
      </w:r>
      <w:r>
        <w:rPr>
          <w:spacing w:val="-1"/>
        </w:rPr>
        <w:t xml:space="preserve"> </w:t>
      </w:r>
      <w:r>
        <w:t>representativeness</w:t>
      </w:r>
      <w:r>
        <w:rPr>
          <w:spacing w:val="-1"/>
        </w:rPr>
        <w:t xml:space="preserve"> </w:t>
      </w:r>
      <w:r>
        <w:t>of</w:t>
      </w:r>
      <w:r>
        <w:rPr>
          <w:spacing w:val="-1"/>
        </w:rPr>
        <w:t xml:space="preserve"> </w:t>
      </w:r>
      <w:r>
        <w:t>the</w:t>
      </w:r>
      <w:r>
        <w:rPr>
          <w:spacing w:val="-1"/>
        </w:rPr>
        <w:t xml:space="preserve"> </w:t>
      </w:r>
      <w:r>
        <w:t>school</w:t>
      </w:r>
      <w:r>
        <w:rPr>
          <w:spacing w:val="-1"/>
        </w:rPr>
        <w:t xml:space="preserve"> </w:t>
      </w:r>
      <w:r>
        <w:t>samples</w:t>
      </w:r>
      <w:r>
        <w:rPr>
          <w:spacing w:val="-1"/>
        </w:rPr>
        <w:t xml:space="preserve"> </w:t>
      </w:r>
      <w:r>
        <w:t>with</w:t>
      </w:r>
      <w:r>
        <w:rPr>
          <w:spacing w:val="-1"/>
        </w:rPr>
        <w:t xml:space="preserve"> </w:t>
      </w:r>
      <w:r>
        <w:t>respect</w:t>
      </w:r>
      <w:r>
        <w:rPr>
          <w:spacing w:val="-1"/>
        </w:rPr>
        <w:t xml:space="preserve"> </w:t>
      </w:r>
      <w:r>
        <w:t>to</w:t>
      </w:r>
      <w:r>
        <w:rPr>
          <w:spacing w:val="-1"/>
        </w:rPr>
        <w:t xml:space="preserve"> </w:t>
      </w:r>
      <w:r>
        <w:t>the</w:t>
      </w:r>
      <w:r>
        <w:rPr>
          <w:spacing w:val="-1"/>
        </w:rPr>
        <w:t xml:space="preserve"> </w:t>
      </w:r>
      <w:r>
        <w:t>key</w:t>
      </w:r>
      <w:r>
        <w:rPr>
          <w:spacing w:val="-1"/>
        </w:rPr>
        <w:t xml:space="preserve"> </w:t>
      </w:r>
      <w:r>
        <w:t>school</w:t>
      </w:r>
      <w:r>
        <w:rPr>
          <w:spacing w:val="-1"/>
        </w:rPr>
        <w:t xml:space="preserve"> </w:t>
      </w:r>
      <w:r>
        <w:t>characteristics. The implicit school stratification variables for the 2022 state assessments included urbanicity, race/ethnicity classification, achievement score/median income, and magnet school indicator. Further details about these variables can be found here.</w:t>
      </w:r>
    </w:p>
    <w:p w:rsidR="003F5784" w14:paraId="3CC11090" w14:textId="77777777">
      <w:pPr>
        <w:pStyle w:val="BodyText"/>
      </w:pPr>
    </w:p>
    <w:p w:rsidR="003F5784" w14:paraId="55A53FCD" w14:textId="77777777">
      <w:pPr>
        <w:pStyle w:val="BodyText"/>
      </w:pPr>
    </w:p>
    <w:p w:rsidR="003F5784" w14:paraId="3F8D6CFF" w14:textId="77777777">
      <w:pPr>
        <w:pStyle w:val="BodyText"/>
        <w:spacing w:before="146"/>
      </w:pPr>
    </w:p>
    <w:p w:rsidR="003F5784" w14:paraId="2F9B3E17" w14:textId="77777777">
      <w:pPr>
        <w:ind w:left="5427"/>
        <w:rPr>
          <w:sz w:val="18"/>
        </w:rPr>
      </w:pPr>
      <w:hyperlink r:id="rId336">
        <w:r>
          <w:rPr>
            <w:spacing w:val="-2"/>
            <w:w w:val="105"/>
            <w:sz w:val="18"/>
          </w:rPr>
          <w:t>http://nces.ed.gov/nationsreportcard/tdw/sample_design/2022/stratification_of_schools_for_the_2022_state_assessment.aspx</w:t>
        </w:r>
      </w:hyperlink>
    </w:p>
    <w:p w:rsidR="003F5784" w14:paraId="71A9CED2" w14:textId="77777777">
      <w:pPr>
        <w:pStyle w:val="BodyText"/>
        <w:rPr>
          <w:sz w:val="16"/>
        </w:rPr>
      </w:pPr>
      <w:r>
        <w:rPr>
          <w:noProof/>
        </w:rPr>
        <mc:AlternateContent>
          <mc:Choice Requires="wps">
            <w:drawing>
              <wp:anchor distT="0" distB="0" distL="0" distR="0" simplePos="0" relativeHeight="251945984" behindDoc="1" locked="0" layoutInCell="1" allowOverlap="1">
                <wp:simplePos x="0" y="0"/>
                <wp:positionH relativeFrom="page">
                  <wp:posOffset>361937</wp:posOffset>
                </wp:positionH>
                <wp:positionV relativeFrom="paragraph">
                  <wp:posOffset>132014</wp:posOffset>
                </wp:positionV>
                <wp:extent cx="9339580" cy="8890"/>
                <wp:effectExtent l="0" t="0" r="0" b="0"/>
                <wp:wrapTopAndBottom/>
                <wp:docPr id="436" name="Graphic 43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305"/>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436" o:spid="_x0000_s1152" style="width:735.4pt;height:0.7pt;margin-top:10.4pt;margin-left:28.5pt;mso-position-horizontal-relative:page;mso-wrap-distance-bottom:0;mso-wrap-distance-left:0;mso-wrap-distance-right:0;mso-wrap-distance-top:0;mso-wrap-style:square;position:absolute;visibility:visible;v-text-anchor:top;z-index:-251369472" coordsize="9339580,8890" path="m9338970,l9335110,l,,,8280l8280,8305l9335110,8280l9338970,8280l9338970,xe" fillcolor="gray" stroked="f">
                <v:path arrowok="t"/>
                <w10:wrap type="topAndBottom"/>
              </v:shape>
            </w:pict>
          </mc:Fallback>
        </mc:AlternateContent>
      </w:r>
    </w:p>
    <w:p w:rsidR="003F5784" w14:paraId="1A703FA8" w14:textId="77777777">
      <w:pPr>
        <w:rPr>
          <w:sz w:val="16"/>
        </w:rPr>
        <w:sectPr>
          <w:type w:val="continuous"/>
          <w:pgSz w:w="15840" w:h="12240" w:orient="landscape"/>
          <w:pgMar w:top="480" w:right="440" w:bottom="460" w:left="460" w:header="284" w:footer="275" w:gutter="0"/>
          <w:cols w:space="720"/>
        </w:sectPr>
      </w:pPr>
    </w:p>
    <w:p w:rsidR="003F5784" w14:paraId="5F46E320" w14:textId="5EF23E6E">
      <w:pPr>
        <w:pStyle w:val="Heading1"/>
        <w:spacing w:before="81" w:line="244" w:lineRule="auto"/>
      </w:pPr>
      <w:r>
        <w:t>NAEP</w:t>
      </w:r>
      <w:r>
        <w:rPr>
          <w:spacing w:val="-18"/>
        </w:rPr>
        <w:t xml:space="preserve"> </w:t>
      </w:r>
      <w:r>
        <w:t>Technical Documentation</w:t>
      </w:r>
      <w:r w:rsidR="00E3225D">
        <w:t xml:space="preserve"> </w:t>
      </w:r>
      <w:r>
        <w:t xml:space="preserve">Stratification Variables for the 2022 State </w:t>
      </w:r>
      <w:r>
        <w:rPr>
          <w:spacing w:val="-2"/>
        </w:rPr>
        <w:t>Assessment</w:t>
      </w:r>
    </w:p>
    <w:p w:rsidR="003F5784" w14:paraId="3D842D53" w14:textId="77777777">
      <w:pPr>
        <w:pStyle w:val="BodyText"/>
        <w:spacing w:before="5"/>
        <w:rPr>
          <w:b/>
          <w:sz w:val="15"/>
        </w:rPr>
      </w:pPr>
    </w:p>
    <w:p w:rsidR="003F5784" w14:paraId="12CB95CF" w14:textId="77777777">
      <w:pPr>
        <w:rPr>
          <w:sz w:val="15"/>
        </w:rPr>
        <w:sectPr>
          <w:pgSz w:w="15840" w:h="12240" w:orient="landscape"/>
          <w:pgMar w:top="480" w:right="440" w:bottom="460" w:left="460" w:header="284" w:footer="275" w:gutter="0"/>
          <w:cols w:space="720"/>
        </w:sectPr>
      </w:pPr>
    </w:p>
    <w:p w:rsidR="003F5784" w14:paraId="273ED2B5" w14:textId="77777777">
      <w:pPr>
        <w:pStyle w:val="BodyText"/>
        <w:spacing w:before="90"/>
        <w:ind w:left="109"/>
      </w:pPr>
      <w:r>
        <w:t>The</w:t>
      </w:r>
      <w:r>
        <w:rPr>
          <w:spacing w:val="-7"/>
        </w:rPr>
        <w:t xml:space="preserve"> </w:t>
      </w:r>
      <w:r>
        <w:t>implicit</w:t>
      </w:r>
      <w:r>
        <w:rPr>
          <w:spacing w:val="-6"/>
        </w:rPr>
        <w:t xml:space="preserve"> </w:t>
      </w:r>
      <w:r>
        <w:t>stratification</w:t>
      </w:r>
      <w:r>
        <w:rPr>
          <w:spacing w:val="-7"/>
        </w:rPr>
        <w:t xml:space="preserve"> </w:t>
      </w:r>
      <w:r>
        <w:t>of</w:t>
      </w:r>
      <w:r>
        <w:rPr>
          <w:spacing w:val="-6"/>
        </w:rPr>
        <w:t xml:space="preserve"> </w:t>
      </w:r>
      <w:r>
        <w:t>public</w:t>
      </w:r>
      <w:r>
        <w:rPr>
          <w:spacing w:val="-6"/>
        </w:rPr>
        <w:t xml:space="preserve"> </w:t>
      </w:r>
      <w:r>
        <w:t>schools</w:t>
      </w:r>
      <w:r>
        <w:rPr>
          <w:spacing w:val="-7"/>
        </w:rPr>
        <w:t xml:space="preserve"> </w:t>
      </w:r>
      <w:r>
        <w:t>for</w:t>
      </w:r>
      <w:r>
        <w:rPr>
          <w:spacing w:val="-6"/>
        </w:rPr>
        <w:t xml:space="preserve"> </w:t>
      </w:r>
      <w:r>
        <w:t>the</w:t>
      </w:r>
      <w:r>
        <w:rPr>
          <w:spacing w:val="-6"/>
        </w:rPr>
        <w:t xml:space="preserve"> </w:t>
      </w:r>
      <w:r>
        <w:t>NAEP</w:t>
      </w:r>
      <w:r>
        <w:rPr>
          <w:spacing w:val="-13"/>
        </w:rPr>
        <w:t xml:space="preserve"> </w:t>
      </w:r>
      <w:r>
        <w:t>2022</w:t>
      </w:r>
      <w:r>
        <w:rPr>
          <w:spacing w:val="-7"/>
        </w:rPr>
        <w:t xml:space="preserve"> </w:t>
      </w:r>
      <w:r>
        <w:t>state</w:t>
      </w:r>
      <w:r>
        <w:rPr>
          <w:spacing w:val="-6"/>
        </w:rPr>
        <w:t xml:space="preserve"> </w:t>
      </w:r>
      <w:r>
        <w:t>assessments</w:t>
      </w:r>
      <w:r>
        <w:rPr>
          <w:spacing w:val="-6"/>
        </w:rPr>
        <w:t xml:space="preserve"> </w:t>
      </w:r>
      <w:r>
        <w:t>involved</w:t>
      </w:r>
      <w:r>
        <w:rPr>
          <w:spacing w:val="-6"/>
        </w:rPr>
        <w:t xml:space="preserve"> </w:t>
      </w:r>
      <w:r>
        <w:t>four</w:t>
      </w:r>
      <w:r>
        <w:rPr>
          <w:spacing w:val="-7"/>
        </w:rPr>
        <w:t xml:space="preserve"> </w:t>
      </w:r>
      <w:r>
        <w:rPr>
          <w:spacing w:val="-2"/>
        </w:rPr>
        <w:t>dimensions:</w:t>
      </w:r>
    </w:p>
    <w:p w:rsidR="003F5784" w14:paraId="30263F8C" w14:textId="77777777">
      <w:pPr>
        <w:pStyle w:val="BodyText"/>
        <w:spacing w:before="207" w:line="232" w:lineRule="auto"/>
        <w:ind w:left="422" w:right="6573"/>
      </w:pPr>
      <w:r>
        <w:rPr>
          <w:noProof/>
          <w:position w:val="3"/>
        </w:rPr>
        <w:drawing>
          <wp:inline distT="0" distB="0" distL="0" distR="0">
            <wp:extent cx="41379" cy="41378"/>
            <wp:effectExtent l="0" t="0" r="0" b="0"/>
            <wp:docPr id="437" name="Image 437"/>
            <wp:cNvGraphicFramePr/>
            <a:graphic xmlns:a="http://schemas.openxmlformats.org/drawingml/2006/main">
              <a:graphicData uri="http://schemas.openxmlformats.org/drawingml/2006/picture">
                <pic:pic xmlns:pic="http://schemas.openxmlformats.org/drawingml/2006/picture">
                  <pic:nvPicPr>
                    <pic:cNvPr id="437" name="Image 437"/>
                    <pic:cNvPicPr/>
                  </pic:nvPicPr>
                  <pic:blipFill>
                    <a:blip xmlns:r="http://schemas.openxmlformats.org/officeDocument/2006/relationships" r:embed="rId337" cstate="print"/>
                    <a:stretch>
                      <a:fillRect/>
                    </a:stretch>
                  </pic:blipFill>
                  <pic:spPr>
                    <a:xfrm>
                      <a:off x="0" y="0"/>
                      <a:ext cx="41379" cy="41378"/>
                    </a:xfrm>
                    <a:prstGeom prst="rect">
                      <a:avLst/>
                    </a:prstGeom>
                  </pic:spPr>
                </pic:pic>
              </a:graphicData>
            </a:graphic>
          </wp:inline>
        </w:drawing>
      </w:r>
      <w:r>
        <w:rPr>
          <w:spacing w:val="63"/>
          <w:sz w:val="20"/>
        </w:rPr>
        <w:t xml:space="preserve"> </w:t>
      </w:r>
      <w:r>
        <w:t>urbanicity</w:t>
      </w:r>
      <w:r>
        <w:rPr>
          <w:spacing w:val="-12"/>
        </w:rPr>
        <w:t xml:space="preserve"> </w:t>
      </w:r>
      <w:r>
        <w:t>classification</w:t>
      </w:r>
      <w:r>
        <w:rPr>
          <w:spacing w:val="-12"/>
        </w:rPr>
        <w:t xml:space="preserve"> </w:t>
      </w:r>
      <w:r>
        <w:t>(urban-centric</w:t>
      </w:r>
      <w:r>
        <w:rPr>
          <w:spacing w:val="-12"/>
        </w:rPr>
        <w:t xml:space="preserve"> </w:t>
      </w:r>
      <w:r>
        <w:t xml:space="preserve">locale); </w:t>
      </w:r>
      <w:r>
        <w:rPr>
          <w:noProof/>
          <w:position w:val="3"/>
        </w:rPr>
        <w:drawing>
          <wp:inline distT="0" distB="0" distL="0" distR="0">
            <wp:extent cx="41379" cy="41378"/>
            <wp:effectExtent l="0" t="0" r="0" b="0"/>
            <wp:docPr id="438" name="Image 438"/>
            <wp:cNvGraphicFramePr/>
            <a:graphic xmlns:a="http://schemas.openxmlformats.org/drawingml/2006/main">
              <a:graphicData uri="http://schemas.openxmlformats.org/drawingml/2006/picture">
                <pic:pic xmlns:pic="http://schemas.openxmlformats.org/drawingml/2006/picture">
                  <pic:nvPicPr>
                    <pic:cNvPr id="438" name="Image 438"/>
                    <pic:cNvPicPr/>
                  </pic:nvPicPr>
                  <pic:blipFill>
                    <a:blip xmlns:r="http://schemas.openxmlformats.org/officeDocument/2006/relationships" r:embed="rId338" cstate="print"/>
                    <a:stretch>
                      <a:fillRect/>
                    </a:stretch>
                  </pic:blipFill>
                  <pic:spPr>
                    <a:xfrm>
                      <a:off x="0" y="0"/>
                      <a:ext cx="41379" cy="41378"/>
                    </a:xfrm>
                    <a:prstGeom prst="rect">
                      <a:avLst/>
                    </a:prstGeom>
                  </pic:spPr>
                </pic:pic>
              </a:graphicData>
            </a:graphic>
          </wp:inline>
        </w:drawing>
      </w:r>
      <w:r>
        <w:rPr>
          <w:spacing w:val="80"/>
        </w:rPr>
        <w:t xml:space="preserve"> </w:t>
      </w:r>
      <w:r>
        <w:t>race/ethnicity classification;</w:t>
      </w:r>
    </w:p>
    <w:p w:rsidR="003F5784" w14:paraId="4660B6E0" w14:textId="77777777">
      <w:pPr>
        <w:pStyle w:val="BodyText"/>
        <w:spacing w:before="1" w:line="232" w:lineRule="auto"/>
        <w:ind w:left="422" w:right="7061"/>
      </w:pPr>
      <w:r>
        <w:rPr>
          <w:noProof/>
          <w:position w:val="3"/>
        </w:rPr>
        <w:drawing>
          <wp:inline distT="0" distB="0" distL="0" distR="0">
            <wp:extent cx="41379" cy="41378"/>
            <wp:effectExtent l="0" t="0" r="0" b="0"/>
            <wp:docPr id="439" name="Image 439"/>
            <wp:cNvGraphicFramePr/>
            <a:graphic xmlns:a="http://schemas.openxmlformats.org/drawingml/2006/main">
              <a:graphicData uri="http://schemas.openxmlformats.org/drawingml/2006/picture">
                <pic:pic xmlns:pic="http://schemas.openxmlformats.org/drawingml/2006/picture">
                  <pic:nvPicPr>
                    <pic:cNvPr id="439" name="Image 439"/>
                    <pic:cNvPicPr/>
                  </pic:nvPicPr>
                  <pic:blipFill>
                    <a:blip xmlns:r="http://schemas.openxmlformats.org/officeDocument/2006/relationships" r:embed="rId339" cstate="print"/>
                    <a:stretch>
                      <a:fillRect/>
                    </a:stretch>
                  </pic:blipFill>
                  <pic:spPr>
                    <a:xfrm>
                      <a:off x="0" y="0"/>
                      <a:ext cx="41379" cy="41378"/>
                    </a:xfrm>
                    <a:prstGeom prst="rect">
                      <a:avLst/>
                    </a:prstGeom>
                  </pic:spPr>
                </pic:pic>
              </a:graphicData>
            </a:graphic>
          </wp:inline>
        </w:drawing>
      </w:r>
      <w:r>
        <w:rPr>
          <w:spacing w:val="73"/>
          <w:sz w:val="20"/>
        </w:rPr>
        <w:t xml:space="preserve"> </w:t>
      </w:r>
      <w:r>
        <w:t>achievement</w:t>
      </w:r>
      <w:r>
        <w:rPr>
          <w:spacing w:val="-9"/>
        </w:rPr>
        <w:t xml:space="preserve"> </w:t>
      </w:r>
      <w:r>
        <w:t>data</w:t>
      </w:r>
      <w:r>
        <w:rPr>
          <w:spacing w:val="-9"/>
        </w:rPr>
        <w:t xml:space="preserve"> </w:t>
      </w:r>
      <w:r>
        <w:t>or</w:t>
      </w:r>
      <w:r>
        <w:rPr>
          <w:spacing w:val="-9"/>
        </w:rPr>
        <w:t xml:space="preserve"> </w:t>
      </w:r>
      <w:r>
        <w:t>median</w:t>
      </w:r>
      <w:r>
        <w:rPr>
          <w:spacing w:val="-9"/>
        </w:rPr>
        <w:t xml:space="preserve"> </w:t>
      </w:r>
      <w:r>
        <w:t>income;</w:t>
      </w:r>
      <w:r>
        <w:rPr>
          <w:spacing w:val="-9"/>
        </w:rPr>
        <w:t xml:space="preserve"> </w:t>
      </w:r>
      <w:r>
        <w:t xml:space="preserve">and </w:t>
      </w:r>
      <w:r>
        <w:rPr>
          <w:noProof/>
          <w:position w:val="3"/>
        </w:rPr>
        <w:drawing>
          <wp:inline distT="0" distB="0" distL="0" distR="0">
            <wp:extent cx="41379" cy="41378"/>
            <wp:effectExtent l="0" t="0" r="0" b="0"/>
            <wp:docPr id="440" name="Image 440"/>
            <wp:cNvGraphicFramePr/>
            <a:graphic xmlns:a="http://schemas.openxmlformats.org/drawingml/2006/main">
              <a:graphicData uri="http://schemas.openxmlformats.org/drawingml/2006/picture">
                <pic:pic xmlns:pic="http://schemas.openxmlformats.org/drawingml/2006/picture">
                  <pic:nvPicPr>
                    <pic:cNvPr id="440" name="Image 440"/>
                    <pic:cNvPicPr/>
                  </pic:nvPicPr>
                  <pic:blipFill>
                    <a:blip xmlns:r="http://schemas.openxmlformats.org/officeDocument/2006/relationships" r:embed="rId340" cstate="print"/>
                    <a:stretch>
                      <a:fillRect/>
                    </a:stretch>
                  </pic:blipFill>
                  <pic:spPr>
                    <a:xfrm>
                      <a:off x="0" y="0"/>
                      <a:ext cx="41379" cy="41378"/>
                    </a:xfrm>
                    <a:prstGeom prst="rect">
                      <a:avLst/>
                    </a:prstGeom>
                  </pic:spPr>
                </pic:pic>
              </a:graphicData>
            </a:graphic>
          </wp:inline>
        </w:drawing>
      </w:r>
      <w:r>
        <w:rPr>
          <w:spacing w:val="80"/>
        </w:rPr>
        <w:t xml:space="preserve"> </w:t>
      </w:r>
      <w:r>
        <w:t>magnet school indicator.</w:t>
      </w:r>
    </w:p>
    <w:p w:rsidR="003F5784" w14:paraId="07548120" w14:textId="77777777">
      <w:pPr>
        <w:pStyle w:val="BodyText"/>
        <w:spacing w:before="209" w:line="232" w:lineRule="auto"/>
        <w:ind w:left="109"/>
      </w:pPr>
      <w:r>
        <w:t>The</w:t>
      </w:r>
      <w:r>
        <w:rPr>
          <w:spacing w:val="-7"/>
        </w:rPr>
        <w:t xml:space="preserve"> </w:t>
      </w:r>
      <w:r>
        <w:t>urbanicity</w:t>
      </w:r>
      <w:r>
        <w:rPr>
          <w:spacing w:val="-7"/>
        </w:rPr>
        <w:t xml:space="preserve"> </w:t>
      </w:r>
      <w:r>
        <w:t>stratum</w:t>
      </w:r>
      <w:r>
        <w:rPr>
          <w:spacing w:val="-7"/>
        </w:rPr>
        <w:t xml:space="preserve"> </w:t>
      </w:r>
      <w:r>
        <w:t>is</w:t>
      </w:r>
      <w:r>
        <w:rPr>
          <w:spacing w:val="-7"/>
        </w:rPr>
        <w:t xml:space="preserve"> </w:t>
      </w:r>
      <w:r>
        <w:t>the</w:t>
      </w:r>
      <w:r>
        <w:rPr>
          <w:spacing w:val="-7"/>
        </w:rPr>
        <w:t xml:space="preserve"> </w:t>
      </w:r>
      <w:r>
        <w:t>top-level</w:t>
      </w:r>
      <w:r>
        <w:rPr>
          <w:spacing w:val="-7"/>
        </w:rPr>
        <w:t xml:space="preserve"> </w:t>
      </w:r>
      <w:r>
        <w:t>implicit</w:t>
      </w:r>
      <w:r>
        <w:rPr>
          <w:spacing w:val="-7"/>
        </w:rPr>
        <w:t xml:space="preserve"> </w:t>
      </w:r>
      <w:r>
        <w:t>stratification</w:t>
      </w:r>
      <w:r>
        <w:rPr>
          <w:spacing w:val="-7"/>
        </w:rPr>
        <w:t xml:space="preserve"> </w:t>
      </w:r>
      <w:r>
        <w:t>variable</w:t>
      </w:r>
      <w:r>
        <w:rPr>
          <w:spacing w:val="-7"/>
        </w:rPr>
        <w:t xml:space="preserve"> </w:t>
      </w:r>
      <w:r>
        <w:t>and</w:t>
      </w:r>
      <w:r>
        <w:rPr>
          <w:spacing w:val="-7"/>
        </w:rPr>
        <w:t xml:space="preserve"> </w:t>
      </w:r>
      <w:r>
        <w:t>is</w:t>
      </w:r>
      <w:r>
        <w:rPr>
          <w:spacing w:val="-7"/>
        </w:rPr>
        <w:t xml:space="preserve"> </w:t>
      </w:r>
      <w:r>
        <w:t>assigned</w:t>
      </w:r>
      <w:r>
        <w:rPr>
          <w:spacing w:val="-7"/>
        </w:rPr>
        <w:t xml:space="preserve"> </w:t>
      </w:r>
      <w:r>
        <w:t>within</w:t>
      </w:r>
      <w:r>
        <w:rPr>
          <w:spacing w:val="-7"/>
        </w:rPr>
        <w:t xml:space="preserve"> </w:t>
      </w:r>
      <w:r>
        <w:t>each</w:t>
      </w:r>
      <w:r>
        <w:rPr>
          <w:spacing w:val="-7"/>
        </w:rPr>
        <w:t xml:space="preserve"> </w:t>
      </w:r>
      <w:r>
        <w:t>explicit</w:t>
      </w:r>
      <w:r>
        <w:rPr>
          <w:spacing w:val="-7"/>
        </w:rPr>
        <w:t xml:space="preserve"> </w:t>
      </w:r>
      <w:r>
        <w:t>stratum.</w:t>
      </w:r>
      <w:r>
        <w:rPr>
          <w:spacing w:val="-7"/>
        </w:rPr>
        <w:t xml:space="preserve"> </w:t>
      </w:r>
      <w:r>
        <w:t>It</w:t>
      </w:r>
      <w:r>
        <w:rPr>
          <w:spacing w:val="-7"/>
        </w:rPr>
        <w:t xml:space="preserve"> </w:t>
      </w:r>
      <w:r>
        <w:t>is</w:t>
      </w:r>
      <w:r>
        <w:rPr>
          <w:spacing w:val="-7"/>
        </w:rPr>
        <w:t xml:space="preserve"> </w:t>
      </w:r>
      <w:r>
        <w:t>derived</w:t>
      </w:r>
      <w:r>
        <w:rPr>
          <w:spacing w:val="-7"/>
        </w:rPr>
        <w:t xml:space="preserve"> </w:t>
      </w:r>
      <w:r>
        <w:t>from the NCES urban-centric locale variable and classifies schools based on location (city, suburb, town, rural) and proximity to urbanized areas. It has 12 possible values.</w:t>
      </w:r>
    </w:p>
    <w:p w:rsidR="003F5784" w14:paraId="4FEA629E" w14:textId="77777777">
      <w:pPr>
        <w:pStyle w:val="BodyText"/>
        <w:spacing w:before="204"/>
        <w:ind w:left="109"/>
      </w:pPr>
      <w:r>
        <w:t>The</w:t>
      </w:r>
      <w:r>
        <w:rPr>
          <w:spacing w:val="-8"/>
        </w:rPr>
        <w:t xml:space="preserve"> </w:t>
      </w:r>
      <w:r>
        <w:t>race/ethnicity</w:t>
      </w:r>
      <w:r>
        <w:rPr>
          <w:spacing w:val="-7"/>
        </w:rPr>
        <w:t xml:space="preserve"> </w:t>
      </w:r>
      <w:r>
        <w:t>stratum</w:t>
      </w:r>
      <w:r>
        <w:rPr>
          <w:spacing w:val="-8"/>
        </w:rPr>
        <w:t xml:space="preserve"> </w:t>
      </w:r>
      <w:r>
        <w:t>classifies</w:t>
      </w:r>
      <w:r>
        <w:rPr>
          <w:spacing w:val="-7"/>
        </w:rPr>
        <w:t xml:space="preserve"> </w:t>
      </w:r>
      <w:r>
        <w:t>schools</w:t>
      </w:r>
      <w:r>
        <w:rPr>
          <w:spacing w:val="-8"/>
        </w:rPr>
        <w:t xml:space="preserve"> </w:t>
      </w:r>
      <w:r>
        <w:t>by</w:t>
      </w:r>
      <w:r>
        <w:rPr>
          <w:spacing w:val="-7"/>
        </w:rPr>
        <w:t xml:space="preserve"> </w:t>
      </w:r>
      <w:r>
        <w:t>the</w:t>
      </w:r>
      <w:r>
        <w:rPr>
          <w:spacing w:val="-7"/>
        </w:rPr>
        <w:t xml:space="preserve"> </w:t>
      </w:r>
      <w:r>
        <w:t>relative</w:t>
      </w:r>
      <w:r>
        <w:rPr>
          <w:spacing w:val="-8"/>
        </w:rPr>
        <w:t xml:space="preserve"> </w:t>
      </w:r>
      <w:r>
        <w:t>magnitude</w:t>
      </w:r>
      <w:r>
        <w:rPr>
          <w:spacing w:val="-7"/>
        </w:rPr>
        <w:t xml:space="preserve"> </w:t>
      </w:r>
      <w:r>
        <w:t>of</w:t>
      </w:r>
      <w:r>
        <w:rPr>
          <w:spacing w:val="-8"/>
        </w:rPr>
        <w:t xml:space="preserve"> </w:t>
      </w:r>
      <w:r>
        <w:t>enrollment</w:t>
      </w:r>
      <w:r>
        <w:rPr>
          <w:spacing w:val="-7"/>
        </w:rPr>
        <w:t xml:space="preserve"> </w:t>
      </w:r>
      <w:r>
        <w:t>of</w:t>
      </w:r>
      <w:r>
        <w:rPr>
          <w:spacing w:val="-7"/>
        </w:rPr>
        <w:t xml:space="preserve"> </w:t>
      </w:r>
      <w:r>
        <w:t>non-Hispanic</w:t>
      </w:r>
      <w:r>
        <w:rPr>
          <w:spacing w:val="-11"/>
        </w:rPr>
        <w:t xml:space="preserve"> </w:t>
      </w:r>
      <w:r>
        <w:t>White,</w:t>
      </w:r>
      <w:r>
        <w:rPr>
          <w:spacing w:val="-8"/>
        </w:rPr>
        <w:t xml:space="preserve"> </w:t>
      </w:r>
      <w:r>
        <w:t>non-Hispanic</w:t>
      </w:r>
      <w:r>
        <w:rPr>
          <w:spacing w:val="-7"/>
        </w:rPr>
        <w:t xml:space="preserve"> </w:t>
      </w:r>
      <w:r>
        <w:rPr>
          <w:spacing w:val="-2"/>
        </w:rPr>
        <w:t>Black,</w:t>
      </w:r>
    </w:p>
    <w:p w:rsidR="003F5784" w14:paraId="6DD637DD" w14:textId="77777777">
      <w:pPr>
        <w:pStyle w:val="BodyText"/>
        <w:spacing w:before="96" w:line="232" w:lineRule="auto"/>
        <w:ind w:left="109" w:right="986"/>
      </w:pPr>
      <w:r>
        <w:br w:type="column"/>
        <w:t>Stratification</w:t>
      </w:r>
      <w:r>
        <w:rPr>
          <w:spacing w:val="-14"/>
        </w:rPr>
        <w:t xml:space="preserve"> </w:t>
      </w:r>
      <w:r>
        <w:t>by</w:t>
      </w:r>
      <w:r>
        <w:rPr>
          <w:spacing w:val="-13"/>
        </w:rPr>
        <w:t xml:space="preserve"> </w:t>
      </w:r>
      <w:r>
        <w:t xml:space="preserve">Urbanicity </w:t>
      </w:r>
      <w:r>
        <w:rPr>
          <w:spacing w:val="-2"/>
        </w:rPr>
        <w:t>Classification</w:t>
      </w:r>
    </w:p>
    <w:p w:rsidR="003F5784" w14:paraId="4E2A0BC6" w14:textId="77777777">
      <w:pPr>
        <w:pStyle w:val="BodyText"/>
        <w:spacing w:before="209" w:line="232" w:lineRule="auto"/>
        <w:ind w:left="109" w:right="665"/>
      </w:pPr>
      <w:r>
        <w:t>Stratification</w:t>
      </w:r>
      <w:r>
        <w:rPr>
          <w:spacing w:val="-14"/>
        </w:rPr>
        <w:t xml:space="preserve"> </w:t>
      </w:r>
      <w:r>
        <w:t>by</w:t>
      </w:r>
      <w:r>
        <w:rPr>
          <w:spacing w:val="-13"/>
        </w:rPr>
        <w:t xml:space="preserve"> </w:t>
      </w:r>
      <w:r>
        <w:t xml:space="preserve">Race/ethnicity </w:t>
      </w:r>
      <w:r>
        <w:rPr>
          <w:spacing w:val="-2"/>
        </w:rPr>
        <w:t>Classification</w:t>
      </w:r>
    </w:p>
    <w:p w:rsidR="003F5784" w14:paraId="3E1299C0" w14:textId="77777777">
      <w:pPr>
        <w:pStyle w:val="BodyText"/>
        <w:spacing w:before="209" w:line="232" w:lineRule="auto"/>
        <w:ind w:left="109" w:right="323"/>
      </w:pPr>
      <w:r>
        <w:t>Stratification</w:t>
      </w:r>
      <w:r>
        <w:rPr>
          <w:spacing w:val="-14"/>
        </w:rPr>
        <w:t xml:space="preserve"> </w:t>
      </w:r>
      <w:r>
        <w:t>by</w:t>
      </w:r>
      <w:r>
        <w:rPr>
          <w:spacing w:val="-13"/>
        </w:rPr>
        <w:t xml:space="preserve"> </w:t>
      </w:r>
      <w:r>
        <w:t>Achievement</w:t>
      </w:r>
      <w:r>
        <w:rPr>
          <w:spacing w:val="-13"/>
        </w:rPr>
        <w:t xml:space="preserve"> </w:t>
      </w:r>
      <w:r>
        <w:t>Data and Median Income</w:t>
      </w:r>
    </w:p>
    <w:p w:rsidR="003F5784" w14:paraId="6AA12706" w14:textId="77777777">
      <w:pPr>
        <w:pStyle w:val="BodyText"/>
        <w:spacing w:before="204"/>
        <w:ind w:left="109"/>
      </w:pPr>
      <w:r>
        <w:t>Missing</w:t>
      </w:r>
      <w:r>
        <w:rPr>
          <w:spacing w:val="-11"/>
        </w:rPr>
        <w:t xml:space="preserve"> </w:t>
      </w:r>
      <w:r>
        <w:t>Stratification</w:t>
      </w:r>
      <w:r>
        <w:rPr>
          <w:spacing w:val="-13"/>
        </w:rPr>
        <w:t xml:space="preserve"> </w:t>
      </w:r>
      <w:r>
        <w:rPr>
          <w:spacing w:val="-2"/>
        </w:rPr>
        <w:t>Variables</w:t>
      </w:r>
    </w:p>
    <w:p w:rsidR="003F5784" w14:paraId="43630DEF" w14:textId="77777777">
      <w:pPr>
        <w:sectPr>
          <w:type w:val="continuous"/>
          <w:pgSz w:w="15840" w:h="12240" w:orient="landscape"/>
          <w:pgMar w:top="480" w:right="440" w:bottom="460" w:left="460" w:header="284" w:footer="275" w:gutter="0"/>
          <w:cols w:num="2" w:space="720" w:equalWidth="0">
            <w:col w:w="11118" w:space="430"/>
            <w:col w:w="3392"/>
          </w:cols>
        </w:sectPr>
      </w:pPr>
    </w:p>
    <w:p w:rsidR="003F5784" w14:paraId="4A1A7439" w14:textId="77777777">
      <w:pPr>
        <w:pStyle w:val="BodyText"/>
        <w:spacing w:line="232" w:lineRule="auto"/>
        <w:ind w:left="109" w:right="179"/>
      </w:pPr>
      <w:r>
        <w:t>Hispanic,</w:t>
      </w:r>
      <w:r>
        <w:rPr>
          <w:spacing w:val="-10"/>
        </w:rPr>
        <w:t xml:space="preserve"> </w:t>
      </w:r>
      <w:r>
        <w:t>Asian,</w:t>
      </w:r>
      <w:r>
        <w:rPr>
          <w:spacing w:val="-10"/>
        </w:rPr>
        <w:t xml:space="preserve"> </w:t>
      </w:r>
      <w:r>
        <w:t>American Indian/Alaska Native, Hawaiian/Pacific Islander, and students classified as two or more races represented in schools.</w:t>
      </w:r>
      <w:r>
        <w:rPr>
          <w:spacing w:val="-3"/>
        </w:rPr>
        <w:t xml:space="preserve"> </w:t>
      </w:r>
      <w:r>
        <w:t>The source of the race/ethnicity</w:t>
      </w:r>
      <w:r>
        <w:rPr>
          <w:spacing w:val="-6"/>
        </w:rPr>
        <w:t xml:space="preserve"> </w:t>
      </w:r>
      <w:r>
        <w:t>data</w:t>
      </w:r>
      <w:r>
        <w:rPr>
          <w:spacing w:val="-6"/>
        </w:rPr>
        <w:t xml:space="preserve"> </w:t>
      </w:r>
      <w:r>
        <w:t>is</w:t>
      </w:r>
      <w:r>
        <w:rPr>
          <w:spacing w:val="-6"/>
        </w:rPr>
        <w:t xml:space="preserve"> </w:t>
      </w:r>
      <w:r>
        <w:t>the</w:t>
      </w:r>
      <w:r>
        <w:rPr>
          <w:spacing w:val="-6"/>
        </w:rPr>
        <w:t xml:space="preserve"> </w:t>
      </w:r>
      <w:r>
        <w:t>Common</w:t>
      </w:r>
      <w:r>
        <w:rPr>
          <w:spacing w:val="-6"/>
        </w:rPr>
        <w:t xml:space="preserve"> </w:t>
      </w:r>
      <w:r>
        <w:t>Core</w:t>
      </w:r>
      <w:r>
        <w:rPr>
          <w:spacing w:val="-6"/>
        </w:rPr>
        <w:t xml:space="preserve"> </w:t>
      </w:r>
      <w:r>
        <w:t>of</w:t>
      </w:r>
      <w:r>
        <w:rPr>
          <w:spacing w:val="-6"/>
        </w:rPr>
        <w:t xml:space="preserve"> </w:t>
      </w:r>
      <w:r>
        <w:t>Data</w:t>
      </w:r>
      <w:r>
        <w:rPr>
          <w:spacing w:val="-6"/>
        </w:rPr>
        <w:t xml:space="preserve"> </w:t>
      </w:r>
      <w:r>
        <w:t>(CCD).</w:t>
      </w:r>
      <w:r>
        <w:rPr>
          <w:spacing w:val="-10"/>
        </w:rPr>
        <w:t xml:space="preserve"> </w:t>
      </w:r>
      <w:r>
        <w:t>The</w:t>
      </w:r>
      <w:r>
        <w:rPr>
          <w:spacing w:val="-6"/>
        </w:rPr>
        <w:t xml:space="preserve"> </w:t>
      </w:r>
      <w:r>
        <w:t>race/ethnicity</w:t>
      </w:r>
      <w:r>
        <w:rPr>
          <w:spacing w:val="-6"/>
        </w:rPr>
        <w:t xml:space="preserve"> </w:t>
      </w:r>
      <w:r>
        <w:t>stratum</w:t>
      </w:r>
      <w:r>
        <w:rPr>
          <w:spacing w:val="-6"/>
        </w:rPr>
        <w:t xml:space="preserve"> </w:t>
      </w:r>
      <w:r>
        <w:t>is</w:t>
      </w:r>
      <w:r>
        <w:rPr>
          <w:spacing w:val="-6"/>
        </w:rPr>
        <w:t xml:space="preserve"> </w:t>
      </w:r>
      <w:r>
        <w:t>the</w:t>
      </w:r>
      <w:r>
        <w:rPr>
          <w:spacing w:val="-6"/>
        </w:rPr>
        <w:t xml:space="preserve"> </w:t>
      </w:r>
      <w:r>
        <w:t>second-level</w:t>
      </w:r>
      <w:r>
        <w:rPr>
          <w:spacing w:val="-6"/>
        </w:rPr>
        <w:t xml:space="preserve"> </w:t>
      </w:r>
      <w:r>
        <w:t>variable</w:t>
      </w:r>
      <w:r>
        <w:rPr>
          <w:spacing w:val="-6"/>
        </w:rPr>
        <w:t xml:space="preserve"> </w:t>
      </w:r>
      <w:r>
        <w:t>in</w:t>
      </w:r>
      <w:r>
        <w:rPr>
          <w:spacing w:val="-6"/>
        </w:rPr>
        <w:t xml:space="preserve"> </w:t>
      </w:r>
      <w:r>
        <w:t>the</w:t>
      </w:r>
      <w:r>
        <w:rPr>
          <w:spacing w:val="-6"/>
        </w:rPr>
        <w:t xml:space="preserve"> </w:t>
      </w:r>
      <w:r>
        <w:t>stratification</w:t>
      </w:r>
      <w:r>
        <w:rPr>
          <w:spacing w:val="-6"/>
        </w:rPr>
        <w:t xml:space="preserve"> </w:t>
      </w:r>
      <w:r>
        <w:t>hierarchy</w:t>
      </w:r>
      <w:r>
        <w:rPr>
          <w:spacing w:val="-6"/>
        </w:rPr>
        <w:t xml:space="preserve"> </w:t>
      </w:r>
      <w:r>
        <w:t>and</w:t>
      </w:r>
      <w:r>
        <w:rPr>
          <w:spacing w:val="-6"/>
        </w:rPr>
        <w:t xml:space="preserve"> </w:t>
      </w:r>
      <w:r>
        <w:t>is</w:t>
      </w:r>
      <w:r>
        <w:rPr>
          <w:spacing w:val="-6"/>
        </w:rPr>
        <w:t xml:space="preserve"> </w:t>
      </w:r>
      <w:r>
        <w:t>nested</w:t>
      </w:r>
      <w:r>
        <w:rPr>
          <w:spacing w:val="-6"/>
        </w:rPr>
        <w:t xml:space="preserve"> </w:t>
      </w:r>
      <w:r>
        <w:t>within</w:t>
      </w:r>
      <w:r>
        <w:rPr>
          <w:spacing w:val="-6"/>
        </w:rPr>
        <w:t xml:space="preserve"> </w:t>
      </w:r>
      <w:r>
        <w:t>the</w:t>
      </w:r>
      <w:r>
        <w:rPr>
          <w:spacing w:val="-6"/>
        </w:rPr>
        <w:t xml:space="preserve"> </w:t>
      </w:r>
      <w:r>
        <w:t xml:space="preserve">urbanicity </w:t>
      </w:r>
      <w:r>
        <w:rPr>
          <w:spacing w:val="-2"/>
        </w:rPr>
        <w:t>stratum.</w:t>
      </w:r>
    </w:p>
    <w:p w:rsidR="003F5784" w14:paraId="73E985D9" w14:textId="77777777">
      <w:pPr>
        <w:pStyle w:val="BodyText"/>
        <w:spacing w:before="209" w:line="232" w:lineRule="auto"/>
        <w:ind w:left="109" w:right="197"/>
        <w:jc w:val="both"/>
      </w:pPr>
      <w:r>
        <w:t>The</w:t>
      </w:r>
      <w:r>
        <w:rPr>
          <w:spacing w:val="-7"/>
        </w:rPr>
        <w:t xml:space="preserve"> </w:t>
      </w:r>
      <w:r>
        <w:t>next</w:t>
      </w:r>
      <w:r>
        <w:rPr>
          <w:spacing w:val="-5"/>
        </w:rPr>
        <w:t xml:space="preserve"> </w:t>
      </w:r>
      <w:r>
        <w:t>stratification</w:t>
      </w:r>
      <w:r>
        <w:rPr>
          <w:spacing w:val="-5"/>
        </w:rPr>
        <w:t xml:space="preserve"> </w:t>
      </w:r>
      <w:r>
        <w:t>dimension</w:t>
      </w:r>
      <w:r>
        <w:rPr>
          <w:spacing w:val="-5"/>
        </w:rPr>
        <w:t xml:space="preserve"> </w:t>
      </w:r>
      <w:r>
        <w:t>is</w:t>
      </w:r>
      <w:r>
        <w:rPr>
          <w:spacing w:val="-5"/>
        </w:rPr>
        <w:t xml:space="preserve"> </w:t>
      </w:r>
      <w:r>
        <w:t>a</w:t>
      </w:r>
      <w:r>
        <w:rPr>
          <w:spacing w:val="-5"/>
        </w:rPr>
        <w:t xml:space="preserve"> </w:t>
      </w:r>
      <w:r>
        <w:t>classification</w:t>
      </w:r>
      <w:r>
        <w:rPr>
          <w:spacing w:val="-5"/>
        </w:rPr>
        <w:t xml:space="preserve"> </w:t>
      </w:r>
      <w:r>
        <w:t>of</w:t>
      </w:r>
      <w:r>
        <w:rPr>
          <w:spacing w:val="-5"/>
        </w:rPr>
        <w:t xml:space="preserve"> </w:t>
      </w:r>
      <w:r>
        <w:t>schools</w:t>
      </w:r>
      <w:r>
        <w:rPr>
          <w:spacing w:val="-5"/>
        </w:rPr>
        <w:t xml:space="preserve"> </w:t>
      </w:r>
      <w:r>
        <w:t>based</w:t>
      </w:r>
      <w:r>
        <w:rPr>
          <w:spacing w:val="-5"/>
        </w:rPr>
        <w:t xml:space="preserve"> </w:t>
      </w:r>
      <w:r>
        <w:t>on</w:t>
      </w:r>
      <w:r>
        <w:rPr>
          <w:spacing w:val="-5"/>
        </w:rPr>
        <w:t xml:space="preserve"> </w:t>
      </w:r>
      <w:r>
        <w:t>either</w:t>
      </w:r>
      <w:r>
        <w:rPr>
          <w:spacing w:val="-5"/>
        </w:rPr>
        <w:t xml:space="preserve"> </w:t>
      </w:r>
      <w:r>
        <w:t>achievement</w:t>
      </w:r>
      <w:r>
        <w:rPr>
          <w:spacing w:val="-5"/>
        </w:rPr>
        <w:t xml:space="preserve"> </w:t>
      </w:r>
      <w:r>
        <w:t>data</w:t>
      </w:r>
      <w:r>
        <w:rPr>
          <w:spacing w:val="-5"/>
        </w:rPr>
        <w:t xml:space="preserve"> </w:t>
      </w:r>
      <w:r>
        <w:t>or</w:t>
      </w:r>
      <w:r>
        <w:rPr>
          <w:spacing w:val="-5"/>
        </w:rPr>
        <w:t xml:space="preserve"> </w:t>
      </w:r>
      <w:r>
        <w:t>median</w:t>
      </w:r>
      <w:r>
        <w:rPr>
          <w:spacing w:val="-5"/>
        </w:rPr>
        <w:t xml:space="preserve"> </w:t>
      </w:r>
      <w:r>
        <w:t>household</w:t>
      </w:r>
      <w:r>
        <w:rPr>
          <w:spacing w:val="-5"/>
        </w:rPr>
        <w:t xml:space="preserve"> </w:t>
      </w:r>
      <w:r>
        <w:t>income.</w:t>
      </w:r>
      <w:r>
        <w:rPr>
          <w:spacing w:val="-5"/>
        </w:rPr>
        <w:t xml:space="preserve"> </w:t>
      </w:r>
      <w:r>
        <w:t>For</w:t>
      </w:r>
      <w:r>
        <w:rPr>
          <w:spacing w:val="-5"/>
        </w:rPr>
        <w:t xml:space="preserve"> </w:t>
      </w:r>
      <w:r>
        <w:t>most</w:t>
      </w:r>
      <w:r>
        <w:rPr>
          <w:spacing w:val="-5"/>
        </w:rPr>
        <w:t xml:space="preserve"> </w:t>
      </w:r>
      <w:r>
        <w:t>jurisdictions</w:t>
      </w:r>
      <w:r>
        <w:rPr>
          <w:spacing w:val="-5"/>
        </w:rPr>
        <w:t xml:space="preserve"> </w:t>
      </w:r>
      <w:r>
        <w:t>including</w:t>
      </w:r>
      <w:r>
        <w:rPr>
          <w:spacing w:val="-9"/>
        </w:rPr>
        <w:t xml:space="preserve"> </w:t>
      </w:r>
      <w:r>
        <w:t>TUDA</w:t>
      </w:r>
      <w:r>
        <w:rPr>
          <w:spacing w:val="-14"/>
        </w:rPr>
        <w:t xml:space="preserve"> </w:t>
      </w:r>
      <w:r>
        <w:t>districts, it</w:t>
      </w:r>
      <w:r>
        <w:rPr>
          <w:spacing w:val="-6"/>
        </w:rPr>
        <w:t xml:space="preserve"> </w:t>
      </w:r>
      <w:r>
        <w:t>is</w:t>
      </w:r>
      <w:r>
        <w:rPr>
          <w:spacing w:val="-6"/>
        </w:rPr>
        <w:t xml:space="preserve"> </w:t>
      </w:r>
      <w:r>
        <w:t>based</w:t>
      </w:r>
      <w:r>
        <w:rPr>
          <w:spacing w:val="-6"/>
        </w:rPr>
        <w:t xml:space="preserve"> </w:t>
      </w:r>
      <w:r>
        <w:t>on</w:t>
      </w:r>
      <w:r>
        <w:rPr>
          <w:spacing w:val="-6"/>
        </w:rPr>
        <w:t xml:space="preserve"> </w:t>
      </w:r>
      <w:r>
        <w:t>achievement</w:t>
      </w:r>
      <w:r>
        <w:rPr>
          <w:spacing w:val="-6"/>
        </w:rPr>
        <w:t xml:space="preserve"> </w:t>
      </w:r>
      <w:r>
        <w:t>data.</w:t>
      </w:r>
      <w:r>
        <w:rPr>
          <w:spacing w:val="-6"/>
        </w:rPr>
        <w:t xml:space="preserve"> </w:t>
      </w:r>
      <w:r>
        <w:t>However,</w:t>
      </w:r>
      <w:r>
        <w:rPr>
          <w:spacing w:val="-6"/>
        </w:rPr>
        <w:t xml:space="preserve"> </w:t>
      </w:r>
      <w:r>
        <w:t>not</w:t>
      </w:r>
      <w:r>
        <w:rPr>
          <w:spacing w:val="-6"/>
        </w:rPr>
        <w:t xml:space="preserve"> </w:t>
      </w:r>
      <w:r>
        <w:t>all</w:t>
      </w:r>
      <w:r>
        <w:rPr>
          <w:spacing w:val="-6"/>
        </w:rPr>
        <w:t xml:space="preserve"> </w:t>
      </w:r>
      <w:r>
        <w:t>jurisdictions</w:t>
      </w:r>
      <w:r>
        <w:rPr>
          <w:spacing w:val="-6"/>
        </w:rPr>
        <w:t xml:space="preserve"> </w:t>
      </w:r>
      <w:r>
        <w:t>provide</w:t>
      </w:r>
      <w:r>
        <w:rPr>
          <w:spacing w:val="-6"/>
        </w:rPr>
        <w:t xml:space="preserve"> </w:t>
      </w:r>
      <w:r>
        <w:t>achievement</w:t>
      </w:r>
      <w:r>
        <w:rPr>
          <w:spacing w:val="-6"/>
        </w:rPr>
        <w:t xml:space="preserve"> </w:t>
      </w:r>
      <w:r>
        <w:t>data.</w:t>
      </w:r>
      <w:r>
        <w:rPr>
          <w:spacing w:val="-6"/>
        </w:rPr>
        <w:t xml:space="preserve"> </w:t>
      </w:r>
      <w:r>
        <w:t>In</w:t>
      </w:r>
      <w:r>
        <w:rPr>
          <w:spacing w:val="-6"/>
        </w:rPr>
        <w:t xml:space="preserve"> </w:t>
      </w:r>
      <w:r>
        <w:t>these</w:t>
      </w:r>
      <w:r>
        <w:rPr>
          <w:spacing w:val="-6"/>
        </w:rPr>
        <w:t xml:space="preserve"> </w:t>
      </w:r>
      <w:r>
        <w:t>cases,</w:t>
      </w:r>
      <w:r>
        <w:rPr>
          <w:spacing w:val="-6"/>
        </w:rPr>
        <w:t xml:space="preserve"> </w:t>
      </w:r>
      <w:r>
        <w:t>median</w:t>
      </w:r>
      <w:r>
        <w:rPr>
          <w:spacing w:val="-6"/>
        </w:rPr>
        <w:t xml:space="preserve"> </w:t>
      </w:r>
      <w:r>
        <w:t>household</w:t>
      </w:r>
      <w:r>
        <w:rPr>
          <w:spacing w:val="-6"/>
        </w:rPr>
        <w:t xml:space="preserve"> </w:t>
      </w:r>
      <w:r>
        <w:t>income</w:t>
      </w:r>
      <w:r>
        <w:rPr>
          <w:spacing w:val="-6"/>
        </w:rPr>
        <w:t xml:space="preserve"> </w:t>
      </w:r>
      <w:r>
        <w:t>is</w:t>
      </w:r>
      <w:r>
        <w:rPr>
          <w:spacing w:val="-6"/>
        </w:rPr>
        <w:t xml:space="preserve"> </w:t>
      </w:r>
      <w:r>
        <w:t>used</w:t>
      </w:r>
      <w:r>
        <w:rPr>
          <w:spacing w:val="-6"/>
        </w:rPr>
        <w:t xml:space="preserve"> </w:t>
      </w:r>
      <w:r>
        <w:t>instead.</w:t>
      </w:r>
      <w:r>
        <w:rPr>
          <w:spacing w:val="-6"/>
        </w:rPr>
        <w:t xml:space="preserve"> </w:t>
      </w:r>
      <w:r>
        <w:t>Median</w:t>
      </w:r>
      <w:r>
        <w:rPr>
          <w:spacing w:val="-6"/>
        </w:rPr>
        <w:t xml:space="preserve"> </w:t>
      </w:r>
      <w:r>
        <w:t>income</w:t>
      </w:r>
      <w:r>
        <w:rPr>
          <w:spacing w:val="-6"/>
        </w:rPr>
        <w:t xml:space="preserve"> </w:t>
      </w:r>
      <w:r>
        <w:t>comes</w:t>
      </w:r>
      <w:r>
        <w:rPr>
          <w:spacing w:val="-6"/>
        </w:rPr>
        <w:t xml:space="preserve"> </w:t>
      </w:r>
      <w:r>
        <w:t>from 5-year estimates from the 2015–2019</w:t>
      </w:r>
      <w:r>
        <w:rPr>
          <w:spacing w:val="-9"/>
        </w:rPr>
        <w:t xml:space="preserve"> </w:t>
      </w:r>
      <w:r>
        <w:t>American Community Survey (ACS), and it corresponds to the zip code area where the school is located.</w:t>
      </w:r>
    </w:p>
    <w:p w:rsidR="003F5784" w14:paraId="60C0B92F" w14:textId="77777777">
      <w:pPr>
        <w:pStyle w:val="BodyText"/>
        <w:spacing w:before="209" w:line="232" w:lineRule="auto"/>
        <w:ind w:left="109"/>
      </w:pPr>
      <w:r>
        <w:t>The final stratification dimension indicates whether a school is classified as a magnet school or not, according to the CCD. It is used to provide an additional level of classification</w:t>
      </w:r>
      <w:r>
        <w:rPr>
          <w:spacing w:val="-8"/>
        </w:rPr>
        <w:t xml:space="preserve"> </w:t>
      </w:r>
      <w:r>
        <w:t>among</w:t>
      </w:r>
      <w:r>
        <w:rPr>
          <w:spacing w:val="-8"/>
        </w:rPr>
        <w:t xml:space="preserve"> </w:t>
      </w:r>
      <w:r>
        <w:t>the</w:t>
      </w:r>
      <w:r>
        <w:rPr>
          <w:spacing w:val="-8"/>
        </w:rPr>
        <w:t xml:space="preserve"> </w:t>
      </w:r>
      <w:r>
        <w:t>highest-achieving</w:t>
      </w:r>
      <w:r>
        <w:rPr>
          <w:spacing w:val="-8"/>
        </w:rPr>
        <w:t xml:space="preserve"> </w:t>
      </w:r>
      <w:r>
        <w:t>schools,</w:t>
      </w:r>
      <w:r>
        <w:rPr>
          <w:spacing w:val="-8"/>
        </w:rPr>
        <w:t xml:space="preserve"> </w:t>
      </w:r>
      <w:r>
        <w:t>to</w:t>
      </w:r>
      <w:r>
        <w:rPr>
          <w:spacing w:val="-8"/>
        </w:rPr>
        <w:t xml:space="preserve"> </w:t>
      </w:r>
      <w:r>
        <w:t>differentiate</w:t>
      </w:r>
      <w:r>
        <w:rPr>
          <w:spacing w:val="-8"/>
        </w:rPr>
        <w:t xml:space="preserve"> </w:t>
      </w:r>
      <w:r>
        <w:t>between</w:t>
      </w:r>
      <w:r>
        <w:rPr>
          <w:spacing w:val="-8"/>
        </w:rPr>
        <w:t xml:space="preserve"> </w:t>
      </w:r>
      <w:r>
        <w:t>high-achieving</w:t>
      </w:r>
      <w:r>
        <w:rPr>
          <w:spacing w:val="-8"/>
        </w:rPr>
        <w:t xml:space="preserve"> </w:t>
      </w:r>
      <w:r>
        <w:t>magnet</w:t>
      </w:r>
      <w:r>
        <w:rPr>
          <w:spacing w:val="-8"/>
        </w:rPr>
        <w:t xml:space="preserve"> </w:t>
      </w:r>
      <w:r>
        <w:t>schools</w:t>
      </w:r>
      <w:r>
        <w:rPr>
          <w:spacing w:val="-8"/>
        </w:rPr>
        <w:t xml:space="preserve"> </w:t>
      </w:r>
      <w:r>
        <w:t>and</w:t>
      </w:r>
      <w:r>
        <w:rPr>
          <w:spacing w:val="-8"/>
        </w:rPr>
        <w:t xml:space="preserve"> </w:t>
      </w:r>
      <w:r>
        <w:t>high-achieving</w:t>
      </w:r>
      <w:r>
        <w:rPr>
          <w:spacing w:val="-8"/>
        </w:rPr>
        <w:t xml:space="preserve"> </w:t>
      </w:r>
      <w:r>
        <w:t>non-magnet</w:t>
      </w:r>
      <w:r>
        <w:rPr>
          <w:spacing w:val="-8"/>
        </w:rPr>
        <w:t xml:space="preserve"> </w:t>
      </w:r>
      <w:r>
        <w:t>schools.</w:t>
      </w:r>
      <w:r>
        <w:rPr>
          <w:spacing w:val="-8"/>
        </w:rPr>
        <w:t xml:space="preserve"> </w:t>
      </w:r>
      <w:r>
        <w:t>Many</w:t>
      </w:r>
      <w:r>
        <w:rPr>
          <w:spacing w:val="-8"/>
        </w:rPr>
        <w:t xml:space="preserve"> </w:t>
      </w:r>
      <w:r>
        <w:t>domains</w:t>
      </w:r>
      <w:r>
        <w:rPr>
          <w:spacing w:val="-8"/>
        </w:rPr>
        <w:t xml:space="preserve"> </w:t>
      </w:r>
      <w:r>
        <w:t>do</w:t>
      </w:r>
      <w:r>
        <w:rPr>
          <w:spacing w:val="-8"/>
        </w:rPr>
        <w:t xml:space="preserve"> </w:t>
      </w:r>
      <w:r>
        <w:t>not classify any schools as magnet, in which case this variable has no effect on the implicit stratification.</w:t>
      </w:r>
    </w:p>
    <w:p w:rsidR="003F5784" w14:paraId="5C8D3AE1" w14:textId="77777777">
      <w:pPr>
        <w:pStyle w:val="BodyText"/>
        <w:spacing w:before="204"/>
        <w:ind w:left="109"/>
        <w:jc w:val="both"/>
      </w:pPr>
      <w:r>
        <w:t>Missing</w:t>
      </w:r>
      <w:r>
        <w:rPr>
          <w:spacing w:val="-8"/>
        </w:rPr>
        <w:t xml:space="preserve"> </w:t>
      </w:r>
      <w:r>
        <w:t>values</w:t>
      </w:r>
      <w:r>
        <w:rPr>
          <w:spacing w:val="-7"/>
        </w:rPr>
        <w:t xml:space="preserve"> </w:t>
      </w:r>
      <w:r>
        <w:t>for</w:t>
      </w:r>
      <w:r>
        <w:rPr>
          <w:spacing w:val="-7"/>
        </w:rPr>
        <w:t xml:space="preserve"> </w:t>
      </w:r>
      <w:r>
        <w:t>stratification</w:t>
      </w:r>
      <w:r>
        <w:rPr>
          <w:spacing w:val="-7"/>
        </w:rPr>
        <w:t xml:space="preserve"> </w:t>
      </w:r>
      <w:r>
        <w:t>variables</w:t>
      </w:r>
      <w:r>
        <w:rPr>
          <w:spacing w:val="-7"/>
        </w:rPr>
        <w:t xml:space="preserve"> </w:t>
      </w:r>
      <w:r>
        <w:t>were</w:t>
      </w:r>
      <w:r>
        <w:rPr>
          <w:spacing w:val="-7"/>
        </w:rPr>
        <w:t xml:space="preserve"> </w:t>
      </w:r>
      <w:r>
        <w:rPr>
          <w:spacing w:val="-2"/>
        </w:rPr>
        <w:t>imputed.</w:t>
      </w:r>
    </w:p>
    <w:p w:rsidR="003F5784" w14:paraId="3118BEC7" w14:textId="77777777">
      <w:pPr>
        <w:pStyle w:val="BodyText"/>
        <w:spacing w:before="208" w:line="232" w:lineRule="auto"/>
        <w:ind w:left="109" w:right="179"/>
        <w:jc w:val="both"/>
      </w:pPr>
      <w:r>
        <w:t>The</w:t>
      </w:r>
      <w:r>
        <w:rPr>
          <w:spacing w:val="-6"/>
        </w:rPr>
        <w:t xml:space="preserve"> </w:t>
      </w:r>
      <w:r>
        <w:t>implicit</w:t>
      </w:r>
      <w:r>
        <w:rPr>
          <w:spacing w:val="-6"/>
        </w:rPr>
        <w:t xml:space="preserve"> </w:t>
      </w:r>
      <w:r>
        <w:t>stratification</w:t>
      </w:r>
      <w:r>
        <w:rPr>
          <w:spacing w:val="-6"/>
        </w:rPr>
        <w:t xml:space="preserve"> </w:t>
      </w:r>
      <w:r>
        <w:t>in</w:t>
      </w:r>
      <w:r>
        <w:rPr>
          <w:spacing w:val="-6"/>
        </w:rPr>
        <w:t xml:space="preserve"> </w:t>
      </w:r>
      <w:r>
        <w:t>this</w:t>
      </w:r>
      <w:r>
        <w:rPr>
          <w:spacing w:val="-6"/>
        </w:rPr>
        <w:t xml:space="preserve"> </w:t>
      </w:r>
      <w:r>
        <w:t>hierarchical</w:t>
      </w:r>
      <w:r>
        <w:rPr>
          <w:spacing w:val="-6"/>
        </w:rPr>
        <w:t xml:space="preserve"> </w:t>
      </w:r>
      <w:r>
        <w:t>procedure</w:t>
      </w:r>
      <w:r>
        <w:rPr>
          <w:spacing w:val="-6"/>
        </w:rPr>
        <w:t xml:space="preserve"> </w:t>
      </w:r>
      <w:r>
        <w:t>was</w:t>
      </w:r>
      <w:r>
        <w:rPr>
          <w:spacing w:val="-6"/>
        </w:rPr>
        <w:t xml:space="preserve"> </w:t>
      </w:r>
      <w:r>
        <w:t>achieved</w:t>
      </w:r>
      <w:r>
        <w:rPr>
          <w:spacing w:val="-6"/>
        </w:rPr>
        <w:t xml:space="preserve"> </w:t>
      </w:r>
      <w:r>
        <w:t>via</w:t>
      </w:r>
      <w:r>
        <w:rPr>
          <w:spacing w:val="-6"/>
        </w:rPr>
        <w:t xml:space="preserve"> </w:t>
      </w:r>
      <w:r>
        <w:t>a</w:t>
      </w:r>
      <w:r>
        <w:rPr>
          <w:spacing w:val="-6"/>
        </w:rPr>
        <w:t xml:space="preserve"> </w:t>
      </w:r>
      <w:r>
        <w:t>"serpentine</w:t>
      </w:r>
      <w:r>
        <w:rPr>
          <w:spacing w:val="-6"/>
        </w:rPr>
        <w:t xml:space="preserve"> </w:t>
      </w:r>
      <w:r>
        <w:t>sort"</w:t>
      </w:r>
      <w:r>
        <w:rPr>
          <w:spacing w:val="-6"/>
        </w:rPr>
        <w:t xml:space="preserve"> </w:t>
      </w:r>
      <w:r>
        <w:t>within</w:t>
      </w:r>
      <w:r>
        <w:rPr>
          <w:spacing w:val="-6"/>
        </w:rPr>
        <w:t xml:space="preserve"> </w:t>
      </w:r>
      <w:r>
        <w:t>a</w:t>
      </w:r>
      <w:r>
        <w:rPr>
          <w:spacing w:val="-6"/>
        </w:rPr>
        <w:t xml:space="preserve"> </w:t>
      </w:r>
      <w:r>
        <w:t>given</w:t>
      </w:r>
      <w:r>
        <w:rPr>
          <w:spacing w:val="-6"/>
        </w:rPr>
        <w:t xml:space="preserve"> </w:t>
      </w:r>
      <w:r>
        <w:t>explicit</w:t>
      </w:r>
      <w:r>
        <w:rPr>
          <w:spacing w:val="-6"/>
        </w:rPr>
        <w:t xml:space="preserve"> </w:t>
      </w:r>
      <w:r>
        <w:t>stratum.</w:t>
      </w:r>
      <w:r>
        <w:rPr>
          <w:spacing w:val="-10"/>
        </w:rPr>
        <w:t xml:space="preserve"> </w:t>
      </w:r>
      <w:r>
        <w:t>This</w:t>
      </w:r>
      <w:r>
        <w:rPr>
          <w:spacing w:val="-6"/>
        </w:rPr>
        <w:t xml:space="preserve"> </w:t>
      </w:r>
      <w:r>
        <w:t>sort</w:t>
      </w:r>
      <w:r>
        <w:rPr>
          <w:spacing w:val="-6"/>
        </w:rPr>
        <w:t xml:space="preserve"> </w:t>
      </w:r>
      <w:r>
        <w:t>was</w:t>
      </w:r>
      <w:r>
        <w:rPr>
          <w:spacing w:val="-6"/>
        </w:rPr>
        <w:t xml:space="preserve"> </w:t>
      </w:r>
      <w:r>
        <w:t>accomplished</w:t>
      </w:r>
      <w:r>
        <w:rPr>
          <w:spacing w:val="-6"/>
        </w:rPr>
        <w:t xml:space="preserve"> </w:t>
      </w:r>
      <w:r>
        <w:t>by</w:t>
      </w:r>
      <w:r>
        <w:rPr>
          <w:spacing w:val="-6"/>
        </w:rPr>
        <w:t xml:space="preserve"> </w:t>
      </w:r>
      <w:r>
        <w:t>alternating</w:t>
      </w:r>
      <w:r>
        <w:rPr>
          <w:spacing w:val="-6"/>
        </w:rPr>
        <w:t xml:space="preserve"> </w:t>
      </w:r>
      <w:r>
        <w:t>between ascending</w:t>
      </w:r>
      <w:r>
        <w:rPr>
          <w:spacing w:val="-5"/>
        </w:rPr>
        <w:t xml:space="preserve"> </w:t>
      </w:r>
      <w:r>
        <w:t>and</w:t>
      </w:r>
      <w:r>
        <w:rPr>
          <w:spacing w:val="-5"/>
        </w:rPr>
        <w:t xml:space="preserve"> </w:t>
      </w:r>
      <w:r>
        <w:t>descending</w:t>
      </w:r>
      <w:r>
        <w:rPr>
          <w:spacing w:val="-5"/>
        </w:rPr>
        <w:t xml:space="preserve"> </w:t>
      </w:r>
      <w:r>
        <w:t>sort</w:t>
      </w:r>
      <w:r>
        <w:rPr>
          <w:spacing w:val="-5"/>
        </w:rPr>
        <w:t xml:space="preserve"> </w:t>
      </w:r>
      <w:r>
        <w:t>order</w:t>
      </w:r>
      <w:r>
        <w:rPr>
          <w:spacing w:val="-5"/>
        </w:rPr>
        <w:t xml:space="preserve"> </w:t>
      </w:r>
      <w:r>
        <w:t>on</w:t>
      </w:r>
      <w:r>
        <w:rPr>
          <w:spacing w:val="-5"/>
        </w:rPr>
        <w:t xml:space="preserve"> </w:t>
      </w:r>
      <w:r>
        <w:t>each</w:t>
      </w:r>
      <w:r>
        <w:rPr>
          <w:spacing w:val="-5"/>
        </w:rPr>
        <w:t xml:space="preserve"> </w:t>
      </w:r>
      <w:r>
        <w:t>variable</w:t>
      </w:r>
      <w:r>
        <w:rPr>
          <w:spacing w:val="-5"/>
        </w:rPr>
        <w:t xml:space="preserve"> </w:t>
      </w:r>
      <w:r>
        <w:t>successively</w:t>
      </w:r>
      <w:r>
        <w:rPr>
          <w:spacing w:val="-5"/>
        </w:rPr>
        <w:t xml:space="preserve"> </w:t>
      </w:r>
      <w:r>
        <w:t>through</w:t>
      </w:r>
      <w:r>
        <w:rPr>
          <w:spacing w:val="-5"/>
        </w:rPr>
        <w:t xml:space="preserve"> </w:t>
      </w:r>
      <w:r>
        <w:t>the</w:t>
      </w:r>
      <w:r>
        <w:rPr>
          <w:spacing w:val="-5"/>
        </w:rPr>
        <w:t xml:space="preserve"> </w:t>
      </w:r>
      <w:r>
        <w:t>sort</w:t>
      </w:r>
      <w:r>
        <w:rPr>
          <w:spacing w:val="-5"/>
        </w:rPr>
        <w:t xml:space="preserve"> </w:t>
      </w:r>
      <w:r>
        <w:t>hierarchy.</w:t>
      </w:r>
      <w:r>
        <w:rPr>
          <w:spacing w:val="-9"/>
        </w:rPr>
        <w:t xml:space="preserve"> </w:t>
      </w:r>
      <w:r>
        <w:t>The</w:t>
      </w:r>
      <w:r>
        <w:rPr>
          <w:spacing w:val="-5"/>
        </w:rPr>
        <w:t xml:space="preserve"> </w:t>
      </w:r>
      <w:r>
        <w:t>following</w:t>
      </w:r>
      <w:r>
        <w:rPr>
          <w:spacing w:val="-5"/>
        </w:rPr>
        <w:t xml:space="preserve"> </w:t>
      </w:r>
      <w:r>
        <w:t>table</w:t>
      </w:r>
      <w:r>
        <w:rPr>
          <w:spacing w:val="-5"/>
        </w:rPr>
        <w:t xml:space="preserve"> </w:t>
      </w:r>
      <w:r>
        <w:t>shows</w:t>
      </w:r>
      <w:r>
        <w:rPr>
          <w:spacing w:val="-5"/>
        </w:rPr>
        <w:t xml:space="preserve"> </w:t>
      </w:r>
      <w:r>
        <w:t>an</w:t>
      </w:r>
      <w:r>
        <w:rPr>
          <w:spacing w:val="-5"/>
        </w:rPr>
        <w:t xml:space="preserve"> </w:t>
      </w:r>
      <w:r>
        <w:t>oversimplified</w:t>
      </w:r>
      <w:r>
        <w:rPr>
          <w:spacing w:val="-5"/>
        </w:rPr>
        <w:t xml:space="preserve"> </w:t>
      </w:r>
      <w:r>
        <w:t>example</w:t>
      </w:r>
      <w:r>
        <w:rPr>
          <w:spacing w:val="-5"/>
        </w:rPr>
        <w:t xml:space="preserve"> </w:t>
      </w:r>
      <w:r>
        <w:t>to</w:t>
      </w:r>
      <w:r>
        <w:rPr>
          <w:spacing w:val="-5"/>
        </w:rPr>
        <w:t xml:space="preserve"> </w:t>
      </w:r>
      <w:r>
        <w:t>illustrate</w:t>
      </w:r>
      <w:r>
        <w:rPr>
          <w:spacing w:val="-5"/>
        </w:rPr>
        <w:t xml:space="preserve"> </w:t>
      </w:r>
      <w:r>
        <w:t>the</w:t>
      </w:r>
      <w:r>
        <w:rPr>
          <w:spacing w:val="-5"/>
        </w:rPr>
        <w:t xml:space="preserve"> </w:t>
      </w:r>
      <w:r>
        <w:t>ascending- descending-ascending-descending</w:t>
      </w:r>
      <w:r>
        <w:rPr>
          <w:spacing w:val="-5"/>
        </w:rPr>
        <w:t xml:space="preserve"> </w:t>
      </w:r>
      <w:r>
        <w:t>pattern</w:t>
      </w:r>
      <w:r>
        <w:rPr>
          <w:spacing w:val="-5"/>
        </w:rPr>
        <w:t xml:space="preserve"> </w:t>
      </w:r>
      <w:r>
        <w:t>of</w:t>
      </w:r>
      <w:r>
        <w:rPr>
          <w:spacing w:val="-5"/>
        </w:rPr>
        <w:t xml:space="preserve"> </w:t>
      </w:r>
      <w:r>
        <w:t>the</w:t>
      </w:r>
      <w:r>
        <w:rPr>
          <w:spacing w:val="-5"/>
        </w:rPr>
        <w:t xml:space="preserve"> </w:t>
      </w:r>
      <w:r>
        <w:t>serpentine</w:t>
      </w:r>
      <w:r>
        <w:rPr>
          <w:spacing w:val="-5"/>
        </w:rPr>
        <w:t xml:space="preserve"> </w:t>
      </w:r>
      <w:r>
        <w:t>sort.</w:t>
      </w:r>
      <w:r>
        <w:rPr>
          <w:spacing w:val="-5"/>
        </w:rPr>
        <w:t xml:space="preserve"> </w:t>
      </w:r>
      <w:r>
        <w:t>Since</w:t>
      </w:r>
      <w:r>
        <w:rPr>
          <w:spacing w:val="-5"/>
        </w:rPr>
        <w:t xml:space="preserve"> </w:t>
      </w:r>
      <w:r>
        <w:t>the</w:t>
      </w:r>
      <w:r>
        <w:rPr>
          <w:spacing w:val="-5"/>
        </w:rPr>
        <w:t xml:space="preserve"> </w:t>
      </w:r>
      <w:r>
        <w:t>magnet</w:t>
      </w:r>
      <w:r>
        <w:rPr>
          <w:spacing w:val="-5"/>
        </w:rPr>
        <w:t xml:space="preserve"> </w:t>
      </w:r>
      <w:r>
        <w:t>school</w:t>
      </w:r>
      <w:r>
        <w:rPr>
          <w:spacing w:val="-5"/>
        </w:rPr>
        <w:t xml:space="preserve"> </w:t>
      </w:r>
      <w:r>
        <w:t>indicator</w:t>
      </w:r>
      <w:r>
        <w:rPr>
          <w:spacing w:val="-5"/>
        </w:rPr>
        <w:t xml:space="preserve"> </w:t>
      </w:r>
      <w:r>
        <w:t>was</w:t>
      </w:r>
      <w:r>
        <w:rPr>
          <w:spacing w:val="-5"/>
        </w:rPr>
        <w:t xml:space="preserve"> </w:t>
      </w:r>
      <w:r>
        <w:t>not</w:t>
      </w:r>
      <w:r>
        <w:rPr>
          <w:spacing w:val="-5"/>
        </w:rPr>
        <w:t xml:space="preserve"> </w:t>
      </w:r>
      <w:r>
        <w:t>applicable</w:t>
      </w:r>
      <w:r>
        <w:rPr>
          <w:spacing w:val="-5"/>
        </w:rPr>
        <w:t xml:space="preserve"> </w:t>
      </w:r>
      <w:r>
        <w:t>in</w:t>
      </w:r>
      <w:r>
        <w:rPr>
          <w:spacing w:val="-5"/>
        </w:rPr>
        <w:t xml:space="preserve"> </w:t>
      </w:r>
      <w:r>
        <w:t>most</w:t>
      </w:r>
      <w:r>
        <w:rPr>
          <w:spacing w:val="-5"/>
        </w:rPr>
        <w:t xml:space="preserve"> </w:t>
      </w:r>
      <w:r>
        <w:t>domains,</w:t>
      </w:r>
      <w:r>
        <w:rPr>
          <w:spacing w:val="-5"/>
        </w:rPr>
        <w:t xml:space="preserve"> </w:t>
      </w:r>
      <w:r>
        <w:t>it</w:t>
      </w:r>
      <w:r>
        <w:rPr>
          <w:spacing w:val="-5"/>
        </w:rPr>
        <w:t xml:space="preserve"> </w:t>
      </w:r>
      <w:r>
        <w:t>is</w:t>
      </w:r>
      <w:r>
        <w:rPr>
          <w:spacing w:val="-5"/>
        </w:rPr>
        <w:t xml:space="preserve"> </w:t>
      </w:r>
      <w:r>
        <w:t>omitted</w:t>
      </w:r>
      <w:r>
        <w:rPr>
          <w:spacing w:val="-5"/>
        </w:rPr>
        <w:t xml:space="preserve"> </w:t>
      </w:r>
      <w:r>
        <w:t>from</w:t>
      </w:r>
      <w:r>
        <w:rPr>
          <w:spacing w:val="-5"/>
        </w:rPr>
        <w:t xml:space="preserve"> </w:t>
      </w:r>
      <w:r>
        <w:t>the</w:t>
      </w:r>
      <w:r>
        <w:rPr>
          <w:spacing w:val="-5"/>
        </w:rPr>
        <w:t xml:space="preserve"> </w:t>
      </w:r>
      <w:r>
        <w:t>example</w:t>
      </w:r>
      <w:r>
        <w:rPr>
          <w:spacing w:val="-5"/>
        </w:rPr>
        <w:t xml:space="preserve"> </w:t>
      </w:r>
      <w:r>
        <w:t>table</w:t>
      </w:r>
      <w:r>
        <w:rPr>
          <w:spacing w:val="-5"/>
        </w:rPr>
        <w:t xml:space="preserve"> </w:t>
      </w:r>
      <w:r>
        <w:t xml:space="preserve">for </w:t>
      </w:r>
      <w:r>
        <w:rPr>
          <w:spacing w:val="-2"/>
        </w:rPr>
        <w:t>simplicity.</w:t>
      </w:r>
    </w:p>
    <w:p w:rsidR="003F5784" w14:paraId="1D5BA77F" w14:textId="77777777">
      <w:pPr>
        <w:pStyle w:val="BodyText"/>
        <w:spacing w:before="92"/>
      </w:pPr>
    </w:p>
    <w:p w:rsidR="003F5784" w14:paraId="60356663" w14:textId="77777777">
      <w:pPr>
        <w:pStyle w:val="Heading2"/>
        <w:ind w:left="1231"/>
      </w:pPr>
      <w:r>
        <w:t>Stratification</w:t>
      </w:r>
      <w:r>
        <w:rPr>
          <w:spacing w:val="-8"/>
        </w:rPr>
        <w:t xml:space="preserve"> </w:t>
      </w:r>
      <w:r>
        <w:t>variables</w:t>
      </w:r>
      <w:r>
        <w:rPr>
          <w:spacing w:val="-8"/>
        </w:rPr>
        <w:t xml:space="preserve"> </w:t>
      </w:r>
      <w:r>
        <w:t>sorted</w:t>
      </w:r>
      <w:r>
        <w:rPr>
          <w:spacing w:val="-8"/>
        </w:rPr>
        <w:t xml:space="preserve"> </w:t>
      </w:r>
      <w:r>
        <w:t>by</w:t>
      </w:r>
      <w:r>
        <w:rPr>
          <w:spacing w:val="-8"/>
        </w:rPr>
        <w:t xml:space="preserve"> </w:t>
      </w:r>
      <w:r>
        <w:t>serpentine</w:t>
      </w:r>
      <w:r>
        <w:rPr>
          <w:spacing w:val="-8"/>
        </w:rPr>
        <w:t xml:space="preserve"> </w:t>
      </w:r>
      <w:r>
        <w:t>sort:</w:t>
      </w:r>
      <w:r>
        <w:rPr>
          <w:spacing w:val="-8"/>
        </w:rPr>
        <w:t xml:space="preserve"> </w:t>
      </w:r>
      <w:r>
        <w:rPr>
          <w:spacing w:val="-4"/>
        </w:rPr>
        <w:t>2022</w:t>
      </w:r>
    </w:p>
    <w:p w:rsidR="003F5784" w14:paraId="7BA5C717" w14:textId="77777777">
      <w:pPr>
        <w:pStyle w:val="BodyText"/>
        <w:spacing w:before="11"/>
        <w:rPr>
          <w:b/>
          <w:sz w:val="11"/>
        </w:rPr>
      </w:pPr>
    </w:p>
    <w:tbl>
      <w:tblPr>
        <w:tblW w:w="0" w:type="auto"/>
        <w:tblInd w:w="1238" w:type="dxa"/>
        <w:tblLayout w:type="fixed"/>
        <w:tblCellMar>
          <w:left w:w="0" w:type="dxa"/>
          <w:right w:w="0" w:type="dxa"/>
        </w:tblCellMar>
        <w:tblLook w:val="01E0"/>
      </w:tblPr>
      <w:tblGrid>
        <w:gridCol w:w="1600"/>
        <w:gridCol w:w="2732"/>
        <w:gridCol w:w="4509"/>
        <w:gridCol w:w="3633"/>
      </w:tblGrid>
      <w:tr w14:paraId="7554FD97" w14:textId="77777777">
        <w:tblPrEx>
          <w:tblW w:w="0" w:type="auto"/>
          <w:tblInd w:w="1238" w:type="dxa"/>
          <w:tblLayout w:type="fixed"/>
          <w:tblCellMar>
            <w:left w:w="0" w:type="dxa"/>
            <w:right w:w="0" w:type="dxa"/>
          </w:tblCellMar>
          <w:tblLook w:val="01E0"/>
        </w:tblPrEx>
        <w:trPr>
          <w:trHeight w:val="267"/>
        </w:trPr>
        <w:tc>
          <w:tcPr>
            <w:tcW w:w="1600" w:type="dxa"/>
            <w:tcBorders>
              <w:top w:val="single" w:sz="18" w:space="0" w:color="800000"/>
              <w:bottom w:val="single" w:sz="18" w:space="0" w:color="800000"/>
            </w:tcBorders>
          </w:tcPr>
          <w:p w:rsidR="003F5784" w14:paraId="21D3C979" w14:textId="77777777">
            <w:pPr>
              <w:pStyle w:val="TableParagraph"/>
              <w:spacing w:before="9" w:line="238" w:lineRule="exact"/>
              <w:ind w:left="117"/>
              <w:jc w:val="left"/>
              <w:rPr>
                <w:sz w:val="21"/>
              </w:rPr>
            </w:pPr>
            <w:r>
              <w:rPr>
                <w:spacing w:val="-4"/>
                <w:sz w:val="21"/>
              </w:rPr>
              <w:t>TUDA</w:t>
            </w:r>
          </w:p>
        </w:tc>
        <w:tc>
          <w:tcPr>
            <w:tcW w:w="2732" w:type="dxa"/>
            <w:tcBorders>
              <w:top w:val="single" w:sz="18" w:space="0" w:color="800000"/>
              <w:bottom w:val="single" w:sz="18" w:space="0" w:color="800000"/>
            </w:tcBorders>
          </w:tcPr>
          <w:p w:rsidR="003F5784" w14:paraId="54E4F435" w14:textId="77777777">
            <w:pPr>
              <w:pStyle w:val="TableParagraph"/>
              <w:spacing w:before="9" w:line="238" w:lineRule="exact"/>
              <w:ind w:right="32"/>
              <w:jc w:val="center"/>
              <w:rPr>
                <w:sz w:val="21"/>
              </w:rPr>
            </w:pPr>
            <w:r>
              <w:rPr>
                <w:spacing w:val="-2"/>
                <w:sz w:val="21"/>
              </w:rPr>
              <w:t>Urbanicity</w:t>
            </w:r>
          </w:p>
        </w:tc>
        <w:tc>
          <w:tcPr>
            <w:tcW w:w="4509" w:type="dxa"/>
            <w:tcBorders>
              <w:top w:val="single" w:sz="18" w:space="0" w:color="800000"/>
              <w:bottom w:val="single" w:sz="18" w:space="0" w:color="800000"/>
            </w:tcBorders>
          </w:tcPr>
          <w:p w:rsidR="003F5784" w14:paraId="6E797981" w14:textId="77777777">
            <w:pPr>
              <w:pStyle w:val="TableParagraph"/>
              <w:spacing w:before="9" w:line="238" w:lineRule="exact"/>
              <w:ind w:left="933"/>
              <w:jc w:val="left"/>
              <w:rPr>
                <w:sz w:val="21"/>
              </w:rPr>
            </w:pPr>
            <w:r>
              <w:rPr>
                <w:spacing w:val="-2"/>
                <w:sz w:val="21"/>
              </w:rPr>
              <w:t>Race/ethnicity</w:t>
            </w:r>
            <w:r>
              <w:rPr>
                <w:spacing w:val="14"/>
                <w:sz w:val="21"/>
              </w:rPr>
              <w:t xml:space="preserve"> </w:t>
            </w:r>
            <w:r>
              <w:rPr>
                <w:spacing w:val="-2"/>
                <w:sz w:val="21"/>
              </w:rPr>
              <w:t>level</w:t>
            </w:r>
          </w:p>
        </w:tc>
        <w:tc>
          <w:tcPr>
            <w:tcW w:w="3633" w:type="dxa"/>
            <w:tcBorders>
              <w:top w:val="single" w:sz="18" w:space="0" w:color="800000"/>
              <w:bottom w:val="single" w:sz="18" w:space="0" w:color="800000"/>
            </w:tcBorders>
          </w:tcPr>
          <w:p w:rsidR="003F5784" w14:paraId="45374B6A" w14:textId="77777777">
            <w:pPr>
              <w:pStyle w:val="TableParagraph"/>
              <w:spacing w:before="9" w:line="238" w:lineRule="exact"/>
              <w:ind w:right="116"/>
              <w:rPr>
                <w:sz w:val="21"/>
              </w:rPr>
            </w:pPr>
            <w:r>
              <w:rPr>
                <w:sz w:val="21"/>
              </w:rPr>
              <w:t>Achievement</w:t>
            </w:r>
            <w:r>
              <w:rPr>
                <w:spacing w:val="-13"/>
                <w:sz w:val="21"/>
              </w:rPr>
              <w:t xml:space="preserve"> </w:t>
            </w:r>
            <w:r>
              <w:rPr>
                <w:spacing w:val="-2"/>
                <w:sz w:val="21"/>
              </w:rPr>
              <w:t>score</w:t>
            </w:r>
          </w:p>
        </w:tc>
      </w:tr>
      <w:tr w14:paraId="5117D997" w14:textId="77777777">
        <w:tblPrEx>
          <w:tblW w:w="0" w:type="auto"/>
          <w:tblInd w:w="1238" w:type="dxa"/>
          <w:tblLayout w:type="fixed"/>
          <w:tblCellMar>
            <w:left w:w="0" w:type="dxa"/>
            <w:right w:w="0" w:type="dxa"/>
          </w:tblCellMar>
          <w:tblLook w:val="01E0"/>
        </w:tblPrEx>
        <w:trPr>
          <w:trHeight w:val="278"/>
        </w:trPr>
        <w:tc>
          <w:tcPr>
            <w:tcW w:w="1600" w:type="dxa"/>
            <w:tcBorders>
              <w:top w:val="single" w:sz="18" w:space="0" w:color="800000"/>
            </w:tcBorders>
          </w:tcPr>
          <w:p w:rsidR="003F5784" w14:paraId="5891931F" w14:textId="77777777">
            <w:pPr>
              <w:pStyle w:val="TableParagraph"/>
              <w:spacing w:before="9"/>
              <w:ind w:left="117"/>
              <w:jc w:val="left"/>
              <w:rPr>
                <w:sz w:val="21"/>
              </w:rPr>
            </w:pPr>
            <w:r>
              <w:rPr>
                <w:spacing w:val="-5"/>
                <w:sz w:val="21"/>
              </w:rPr>
              <w:t>Yes</w:t>
            </w:r>
          </w:p>
        </w:tc>
        <w:tc>
          <w:tcPr>
            <w:tcW w:w="2732" w:type="dxa"/>
            <w:tcBorders>
              <w:top w:val="single" w:sz="18" w:space="0" w:color="800000"/>
            </w:tcBorders>
          </w:tcPr>
          <w:p w:rsidR="003F5784" w14:paraId="63C60379" w14:textId="77777777">
            <w:pPr>
              <w:pStyle w:val="TableParagraph"/>
              <w:spacing w:before="9"/>
              <w:ind w:left="2" w:right="32"/>
              <w:jc w:val="center"/>
              <w:rPr>
                <w:sz w:val="21"/>
              </w:rPr>
            </w:pPr>
            <w:r>
              <w:rPr>
                <w:sz w:val="21"/>
              </w:rPr>
              <w:t>Large</w:t>
            </w:r>
            <w:r>
              <w:rPr>
                <w:spacing w:val="-10"/>
                <w:sz w:val="21"/>
              </w:rPr>
              <w:t xml:space="preserve"> </w:t>
            </w:r>
            <w:r>
              <w:rPr>
                <w:spacing w:val="-4"/>
                <w:sz w:val="21"/>
              </w:rPr>
              <w:t>City</w:t>
            </w:r>
          </w:p>
        </w:tc>
        <w:tc>
          <w:tcPr>
            <w:tcW w:w="4509" w:type="dxa"/>
            <w:tcBorders>
              <w:top w:val="single" w:sz="18" w:space="0" w:color="800000"/>
            </w:tcBorders>
          </w:tcPr>
          <w:p w:rsidR="003F5784" w14:paraId="3E80126C" w14:textId="77777777">
            <w:pPr>
              <w:pStyle w:val="TableParagraph"/>
              <w:spacing w:before="9"/>
              <w:ind w:left="933"/>
              <w:jc w:val="left"/>
              <w:rPr>
                <w:sz w:val="21"/>
              </w:rPr>
            </w:pPr>
            <w:r>
              <w:rPr>
                <w:sz w:val="21"/>
              </w:rPr>
              <w:t>High</w:t>
            </w:r>
            <w:r>
              <w:rPr>
                <w:spacing w:val="-6"/>
                <w:sz w:val="21"/>
              </w:rPr>
              <w:t xml:space="preserve"> </w:t>
            </w:r>
            <w:r>
              <w:rPr>
                <w:spacing w:val="-2"/>
                <w:sz w:val="21"/>
              </w:rPr>
              <w:t>minority</w:t>
            </w:r>
          </w:p>
        </w:tc>
        <w:tc>
          <w:tcPr>
            <w:tcW w:w="3633" w:type="dxa"/>
            <w:tcBorders>
              <w:top w:val="single" w:sz="18" w:space="0" w:color="800000"/>
            </w:tcBorders>
          </w:tcPr>
          <w:p w:rsidR="003F5784" w14:paraId="524F8E6D" w14:textId="77777777">
            <w:pPr>
              <w:pStyle w:val="TableParagraph"/>
              <w:spacing w:before="9"/>
              <w:ind w:right="116"/>
              <w:rPr>
                <w:sz w:val="21"/>
              </w:rPr>
            </w:pPr>
            <w:r>
              <w:rPr>
                <w:spacing w:val="-5"/>
                <w:sz w:val="21"/>
              </w:rPr>
              <w:t>20</w:t>
            </w:r>
          </w:p>
        </w:tc>
      </w:tr>
      <w:tr w14:paraId="1AF32B79" w14:textId="77777777">
        <w:tblPrEx>
          <w:tblW w:w="0" w:type="auto"/>
          <w:tblInd w:w="1238" w:type="dxa"/>
          <w:tblLayout w:type="fixed"/>
          <w:tblCellMar>
            <w:left w:w="0" w:type="dxa"/>
            <w:right w:w="0" w:type="dxa"/>
          </w:tblCellMar>
          <w:tblLook w:val="01E0"/>
        </w:tblPrEx>
        <w:trPr>
          <w:trHeight w:val="286"/>
        </w:trPr>
        <w:tc>
          <w:tcPr>
            <w:tcW w:w="1600" w:type="dxa"/>
          </w:tcPr>
          <w:p w:rsidR="003F5784" w14:paraId="1B036893" w14:textId="77777777">
            <w:pPr>
              <w:pStyle w:val="TableParagraph"/>
              <w:spacing w:before="0"/>
              <w:jc w:val="left"/>
              <w:rPr>
                <w:sz w:val="20"/>
              </w:rPr>
            </w:pPr>
          </w:p>
        </w:tc>
        <w:tc>
          <w:tcPr>
            <w:tcW w:w="2732" w:type="dxa"/>
          </w:tcPr>
          <w:p w:rsidR="003F5784" w14:paraId="6CCF8666" w14:textId="77777777">
            <w:pPr>
              <w:pStyle w:val="TableParagraph"/>
              <w:spacing w:before="0"/>
              <w:jc w:val="left"/>
              <w:rPr>
                <w:sz w:val="20"/>
              </w:rPr>
            </w:pPr>
          </w:p>
        </w:tc>
        <w:tc>
          <w:tcPr>
            <w:tcW w:w="4509" w:type="dxa"/>
          </w:tcPr>
          <w:p w:rsidR="003F5784" w14:paraId="7063DD54" w14:textId="77777777">
            <w:pPr>
              <w:pStyle w:val="TableParagraph"/>
              <w:spacing w:before="0"/>
              <w:jc w:val="left"/>
              <w:rPr>
                <w:sz w:val="20"/>
              </w:rPr>
            </w:pPr>
          </w:p>
        </w:tc>
        <w:tc>
          <w:tcPr>
            <w:tcW w:w="3633" w:type="dxa"/>
          </w:tcPr>
          <w:p w:rsidR="003F5784" w14:paraId="422EDD78" w14:textId="77777777">
            <w:pPr>
              <w:pStyle w:val="TableParagraph"/>
              <w:ind w:right="116"/>
              <w:rPr>
                <w:sz w:val="21"/>
              </w:rPr>
            </w:pPr>
            <w:r>
              <w:rPr>
                <w:spacing w:val="-5"/>
                <w:sz w:val="21"/>
              </w:rPr>
              <w:t>22</w:t>
            </w:r>
          </w:p>
        </w:tc>
      </w:tr>
      <w:tr w14:paraId="5D028960" w14:textId="77777777">
        <w:tblPrEx>
          <w:tblW w:w="0" w:type="auto"/>
          <w:tblInd w:w="1238" w:type="dxa"/>
          <w:tblLayout w:type="fixed"/>
          <w:tblCellMar>
            <w:left w:w="0" w:type="dxa"/>
            <w:right w:w="0" w:type="dxa"/>
          </w:tblCellMar>
          <w:tblLook w:val="01E0"/>
        </w:tblPrEx>
        <w:trPr>
          <w:trHeight w:val="286"/>
        </w:trPr>
        <w:tc>
          <w:tcPr>
            <w:tcW w:w="1600" w:type="dxa"/>
          </w:tcPr>
          <w:p w:rsidR="003F5784" w14:paraId="7DD7837D" w14:textId="77777777">
            <w:pPr>
              <w:pStyle w:val="TableParagraph"/>
              <w:spacing w:before="0"/>
              <w:jc w:val="left"/>
              <w:rPr>
                <w:sz w:val="20"/>
              </w:rPr>
            </w:pPr>
          </w:p>
        </w:tc>
        <w:tc>
          <w:tcPr>
            <w:tcW w:w="2732" w:type="dxa"/>
          </w:tcPr>
          <w:p w:rsidR="003F5784" w14:paraId="4FDC5E00" w14:textId="77777777">
            <w:pPr>
              <w:pStyle w:val="TableParagraph"/>
              <w:spacing w:before="0"/>
              <w:jc w:val="left"/>
              <w:rPr>
                <w:sz w:val="20"/>
              </w:rPr>
            </w:pPr>
          </w:p>
        </w:tc>
        <w:tc>
          <w:tcPr>
            <w:tcW w:w="4509" w:type="dxa"/>
          </w:tcPr>
          <w:p w:rsidR="003F5784" w14:paraId="540F0F20" w14:textId="77777777">
            <w:pPr>
              <w:pStyle w:val="TableParagraph"/>
              <w:spacing w:before="0"/>
              <w:jc w:val="left"/>
              <w:rPr>
                <w:sz w:val="20"/>
              </w:rPr>
            </w:pPr>
          </w:p>
        </w:tc>
        <w:tc>
          <w:tcPr>
            <w:tcW w:w="3633" w:type="dxa"/>
          </w:tcPr>
          <w:p w:rsidR="003F5784" w14:paraId="60C41265" w14:textId="77777777">
            <w:pPr>
              <w:pStyle w:val="TableParagraph"/>
              <w:ind w:right="116"/>
              <w:rPr>
                <w:sz w:val="21"/>
              </w:rPr>
            </w:pPr>
            <w:r>
              <w:rPr>
                <w:spacing w:val="-5"/>
                <w:sz w:val="21"/>
              </w:rPr>
              <w:t>27</w:t>
            </w:r>
          </w:p>
        </w:tc>
      </w:tr>
      <w:tr w14:paraId="0B1C4F5C" w14:textId="77777777">
        <w:tblPrEx>
          <w:tblW w:w="0" w:type="auto"/>
          <w:tblInd w:w="1238" w:type="dxa"/>
          <w:tblLayout w:type="fixed"/>
          <w:tblCellMar>
            <w:left w:w="0" w:type="dxa"/>
            <w:right w:w="0" w:type="dxa"/>
          </w:tblCellMar>
          <w:tblLook w:val="01E0"/>
        </w:tblPrEx>
        <w:trPr>
          <w:trHeight w:val="289"/>
        </w:trPr>
        <w:tc>
          <w:tcPr>
            <w:tcW w:w="1600" w:type="dxa"/>
            <w:tcBorders>
              <w:bottom w:val="single" w:sz="18" w:space="0" w:color="800000"/>
            </w:tcBorders>
          </w:tcPr>
          <w:p w:rsidR="003F5784" w14:paraId="455D1C2A" w14:textId="77777777">
            <w:pPr>
              <w:pStyle w:val="TableParagraph"/>
              <w:spacing w:before="0"/>
              <w:jc w:val="left"/>
              <w:rPr>
                <w:sz w:val="20"/>
              </w:rPr>
            </w:pPr>
          </w:p>
        </w:tc>
        <w:tc>
          <w:tcPr>
            <w:tcW w:w="2732" w:type="dxa"/>
            <w:tcBorders>
              <w:bottom w:val="single" w:sz="18" w:space="0" w:color="800000"/>
            </w:tcBorders>
          </w:tcPr>
          <w:p w:rsidR="003F5784" w14:paraId="200E4D81" w14:textId="77777777">
            <w:pPr>
              <w:pStyle w:val="TableParagraph"/>
              <w:spacing w:before="0"/>
              <w:jc w:val="left"/>
              <w:rPr>
                <w:sz w:val="20"/>
              </w:rPr>
            </w:pPr>
          </w:p>
        </w:tc>
        <w:tc>
          <w:tcPr>
            <w:tcW w:w="4509" w:type="dxa"/>
            <w:tcBorders>
              <w:bottom w:val="single" w:sz="18" w:space="0" w:color="800000"/>
            </w:tcBorders>
          </w:tcPr>
          <w:p w:rsidR="003F5784" w14:paraId="5FC003F6" w14:textId="77777777">
            <w:pPr>
              <w:pStyle w:val="TableParagraph"/>
              <w:spacing w:before="0"/>
              <w:jc w:val="left"/>
              <w:rPr>
                <w:sz w:val="20"/>
              </w:rPr>
            </w:pPr>
          </w:p>
        </w:tc>
        <w:tc>
          <w:tcPr>
            <w:tcW w:w="3633" w:type="dxa"/>
            <w:tcBorders>
              <w:bottom w:val="single" w:sz="18" w:space="0" w:color="800000"/>
            </w:tcBorders>
          </w:tcPr>
          <w:p w:rsidR="003F5784" w14:paraId="6464D3C0" w14:textId="77777777">
            <w:pPr>
              <w:pStyle w:val="TableParagraph"/>
              <w:ind w:right="116"/>
              <w:rPr>
                <w:sz w:val="21"/>
              </w:rPr>
            </w:pPr>
            <w:r>
              <w:rPr>
                <w:spacing w:val="-5"/>
                <w:sz w:val="21"/>
              </w:rPr>
              <w:t>30</w:t>
            </w:r>
          </w:p>
        </w:tc>
      </w:tr>
      <w:tr w14:paraId="72FCD9A3" w14:textId="77777777">
        <w:tblPrEx>
          <w:tblW w:w="0" w:type="auto"/>
          <w:tblInd w:w="1238" w:type="dxa"/>
          <w:tblLayout w:type="fixed"/>
          <w:tblCellMar>
            <w:left w:w="0" w:type="dxa"/>
            <w:right w:w="0" w:type="dxa"/>
          </w:tblCellMar>
          <w:tblLook w:val="01E0"/>
        </w:tblPrEx>
        <w:trPr>
          <w:trHeight w:val="472"/>
        </w:trPr>
        <w:tc>
          <w:tcPr>
            <w:tcW w:w="12474" w:type="dxa"/>
            <w:gridSpan w:val="4"/>
            <w:tcBorders>
              <w:top w:val="single" w:sz="18" w:space="0" w:color="800000"/>
            </w:tcBorders>
          </w:tcPr>
          <w:p w:rsidR="003F5784" w14:paraId="581D3165" w14:textId="77777777">
            <w:pPr>
              <w:pStyle w:val="TableParagraph"/>
              <w:spacing w:before="0" w:line="234" w:lineRule="exact"/>
              <w:ind w:left="117" w:right="696"/>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 Educational Progress (NAEP), 2022 State Mathematics and Reading</w:t>
            </w:r>
            <w:r>
              <w:rPr>
                <w:spacing w:val="-1"/>
                <w:sz w:val="21"/>
              </w:rPr>
              <w:t xml:space="preserve"> </w:t>
            </w:r>
            <w:r>
              <w:rPr>
                <w:sz w:val="21"/>
              </w:rPr>
              <w:t>Assessments.</w:t>
            </w:r>
          </w:p>
        </w:tc>
      </w:tr>
    </w:tbl>
    <w:p w:rsidR="003F5784" w14:paraId="69363C45" w14:textId="77777777">
      <w:pPr>
        <w:spacing w:line="234" w:lineRule="exact"/>
        <w:rPr>
          <w:sz w:val="21"/>
        </w:rPr>
        <w:sectPr>
          <w:type w:val="continuous"/>
          <w:pgSz w:w="15840" w:h="12240" w:orient="landscape"/>
          <w:pgMar w:top="480" w:right="440" w:bottom="460" w:left="460" w:header="284" w:footer="275" w:gutter="0"/>
          <w:cols w:space="720"/>
        </w:sectPr>
      </w:pPr>
    </w:p>
    <w:p w:rsidR="003F5784" w14:paraId="60B31F39" w14:textId="77777777">
      <w:pPr>
        <w:pStyle w:val="BodyText"/>
        <w:tabs>
          <w:tab w:val="left" w:pos="3733"/>
          <w:tab w:val="left" w:pos="6496"/>
          <w:tab w:val="left" w:pos="11982"/>
        </w:tabs>
        <w:spacing w:before="98" w:after="7"/>
        <w:ind w:left="1348"/>
      </w:pPr>
      <w:r>
        <w:rPr>
          <w:spacing w:val="-4"/>
        </w:rPr>
        <w:t>TUDA</w:t>
      </w:r>
      <w:r>
        <w:tab/>
      </w:r>
      <w:r>
        <w:rPr>
          <w:spacing w:val="-2"/>
        </w:rPr>
        <w:t>Urbanicity</w:t>
      </w:r>
      <w:r>
        <w:tab/>
      </w:r>
      <w:r>
        <w:rPr>
          <w:spacing w:val="-2"/>
        </w:rPr>
        <w:t>Race/ethnicity</w:t>
      </w:r>
      <w:r>
        <w:rPr>
          <w:spacing w:val="14"/>
        </w:rPr>
        <w:t xml:space="preserve"> </w:t>
      </w:r>
      <w:r>
        <w:rPr>
          <w:spacing w:val="-2"/>
        </w:rPr>
        <w:t>level</w:t>
      </w:r>
      <w:r>
        <w:tab/>
        <w:t>Achievement</w:t>
      </w:r>
      <w:r>
        <w:rPr>
          <w:spacing w:val="-13"/>
        </w:rPr>
        <w:t xml:space="preserve"> </w:t>
      </w:r>
      <w:r>
        <w:rPr>
          <w:spacing w:val="-2"/>
        </w:rPr>
        <w:t>score</w:t>
      </w:r>
    </w:p>
    <w:tbl>
      <w:tblPr>
        <w:tblW w:w="0" w:type="auto"/>
        <w:tblInd w:w="1238" w:type="dxa"/>
        <w:tblLayout w:type="fixed"/>
        <w:tblCellMar>
          <w:left w:w="0" w:type="dxa"/>
          <w:right w:w="0" w:type="dxa"/>
        </w:tblCellMar>
        <w:tblLook w:val="01E0"/>
      </w:tblPr>
      <w:tblGrid>
        <w:gridCol w:w="2385"/>
        <w:gridCol w:w="2763"/>
        <w:gridCol w:w="4152"/>
        <w:gridCol w:w="3172"/>
      </w:tblGrid>
      <w:tr w14:paraId="296E2AF0" w14:textId="77777777">
        <w:tblPrEx>
          <w:tblW w:w="0" w:type="auto"/>
          <w:tblInd w:w="1238" w:type="dxa"/>
          <w:tblLayout w:type="fixed"/>
          <w:tblCellMar>
            <w:left w:w="0" w:type="dxa"/>
            <w:right w:w="0" w:type="dxa"/>
          </w:tblCellMar>
          <w:tblLook w:val="01E0"/>
        </w:tblPrEx>
        <w:trPr>
          <w:trHeight w:val="269"/>
        </w:trPr>
        <w:tc>
          <w:tcPr>
            <w:tcW w:w="2385" w:type="dxa"/>
            <w:tcBorders>
              <w:top w:val="single" w:sz="18" w:space="0" w:color="800000"/>
            </w:tcBorders>
          </w:tcPr>
          <w:p w:rsidR="003F5784" w14:paraId="52C1A6B9" w14:textId="77777777">
            <w:pPr>
              <w:pStyle w:val="TableParagraph"/>
              <w:spacing w:before="0"/>
              <w:jc w:val="left"/>
              <w:rPr>
                <w:sz w:val="18"/>
              </w:rPr>
            </w:pPr>
          </w:p>
        </w:tc>
        <w:tc>
          <w:tcPr>
            <w:tcW w:w="2763" w:type="dxa"/>
            <w:tcBorders>
              <w:top w:val="single" w:sz="18" w:space="0" w:color="800000"/>
            </w:tcBorders>
          </w:tcPr>
          <w:p w:rsidR="003F5784" w14:paraId="6A25D8F4" w14:textId="77777777">
            <w:pPr>
              <w:pStyle w:val="TableParagraph"/>
              <w:spacing w:before="0"/>
              <w:jc w:val="left"/>
              <w:rPr>
                <w:sz w:val="18"/>
              </w:rPr>
            </w:pPr>
          </w:p>
        </w:tc>
        <w:tc>
          <w:tcPr>
            <w:tcW w:w="4152" w:type="dxa"/>
            <w:tcBorders>
              <w:top w:val="single" w:sz="36" w:space="0" w:color="800000"/>
            </w:tcBorders>
          </w:tcPr>
          <w:p w:rsidR="003F5784" w14:paraId="4900E900" w14:textId="77777777">
            <w:pPr>
              <w:pStyle w:val="TableParagraph"/>
              <w:spacing w:before="0"/>
              <w:ind w:left="117"/>
              <w:jc w:val="left"/>
              <w:rPr>
                <w:sz w:val="21"/>
              </w:rPr>
            </w:pPr>
            <w:r>
              <w:rPr>
                <w:sz w:val="21"/>
              </w:rPr>
              <w:t>Low</w:t>
            </w:r>
            <w:r>
              <w:rPr>
                <w:spacing w:val="-5"/>
                <w:sz w:val="21"/>
              </w:rPr>
              <w:t xml:space="preserve"> </w:t>
            </w:r>
            <w:r>
              <w:rPr>
                <w:spacing w:val="-2"/>
                <w:sz w:val="21"/>
              </w:rPr>
              <w:t>minority</w:t>
            </w:r>
          </w:p>
        </w:tc>
        <w:tc>
          <w:tcPr>
            <w:tcW w:w="3172" w:type="dxa"/>
            <w:tcBorders>
              <w:top w:val="single" w:sz="36" w:space="0" w:color="800000"/>
            </w:tcBorders>
          </w:tcPr>
          <w:p w:rsidR="003F5784" w14:paraId="42F76F1B" w14:textId="77777777">
            <w:pPr>
              <w:pStyle w:val="TableParagraph"/>
              <w:spacing w:before="0"/>
              <w:ind w:right="114"/>
              <w:rPr>
                <w:sz w:val="21"/>
              </w:rPr>
            </w:pPr>
            <w:r>
              <w:rPr>
                <w:spacing w:val="-5"/>
                <w:sz w:val="21"/>
              </w:rPr>
              <w:t>29</w:t>
            </w:r>
          </w:p>
        </w:tc>
      </w:tr>
      <w:tr w14:paraId="132CF31B" w14:textId="77777777">
        <w:tblPrEx>
          <w:tblW w:w="0" w:type="auto"/>
          <w:tblInd w:w="1238" w:type="dxa"/>
          <w:tblLayout w:type="fixed"/>
          <w:tblCellMar>
            <w:left w:w="0" w:type="dxa"/>
            <w:right w:w="0" w:type="dxa"/>
          </w:tblCellMar>
          <w:tblLook w:val="01E0"/>
        </w:tblPrEx>
        <w:trPr>
          <w:trHeight w:val="286"/>
        </w:trPr>
        <w:tc>
          <w:tcPr>
            <w:tcW w:w="2385" w:type="dxa"/>
          </w:tcPr>
          <w:p w:rsidR="003F5784" w14:paraId="027201A6" w14:textId="77777777">
            <w:pPr>
              <w:pStyle w:val="TableParagraph"/>
              <w:spacing w:before="0"/>
              <w:jc w:val="left"/>
              <w:rPr>
                <w:sz w:val="18"/>
              </w:rPr>
            </w:pPr>
          </w:p>
        </w:tc>
        <w:tc>
          <w:tcPr>
            <w:tcW w:w="2763" w:type="dxa"/>
          </w:tcPr>
          <w:p w:rsidR="003F5784" w14:paraId="6AB5E337" w14:textId="77777777">
            <w:pPr>
              <w:pStyle w:val="TableParagraph"/>
              <w:spacing w:before="0"/>
              <w:jc w:val="left"/>
              <w:rPr>
                <w:sz w:val="18"/>
              </w:rPr>
            </w:pPr>
          </w:p>
        </w:tc>
        <w:tc>
          <w:tcPr>
            <w:tcW w:w="4152" w:type="dxa"/>
          </w:tcPr>
          <w:p w:rsidR="003F5784" w14:paraId="5EDAB1BD" w14:textId="77777777">
            <w:pPr>
              <w:pStyle w:val="TableParagraph"/>
              <w:spacing w:before="0"/>
              <w:jc w:val="left"/>
              <w:rPr>
                <w:sz w:val="18"/>
              </w:rPr>
            </w:pPr>
          </w:p>
        </w:tc>
        <w:tc>
          <w:tcPr>
            <w:tcW w:w="3172" w:type="dxa"/>
          </w:tcPr>
          <w:p w:rsidR="003F5784" w14:paraId="06E17AB4" w14:textId="77777777">
            <w:pPr>
              <w:pStyle w:val="TableParagraph"/>
              <w:ind w:right="114"/>
              <w:rPr>
                <w:sz w:val="21"/>
              </w:rPr>
            </w:pPr>
            <w:r>
              <w:rPr>
                <w:spacing w:val="-5"/>
                <w:sz w:val="21"/>
              </w:rPr>
              <w:t>26</w:t>
            </w:r>
          </w:p>
        </w:tc>
      </w:tr>
      <w:tr w14:paraId="5B5EC816" w14:textId="77777777">
        <w:tblPrEx>
          <w:tblW w:w="0" w:type="auto"/>
          <w:tblInd w:w="1238" w:type="dxa"/>
          <w:tblLayout w:type="fixed"/>
          <w:tblCellMar>
            <w:left w:w="0" w:type="dxa"/>
            <w:right w:w="0" w:type="dxa"/>
          </w:tblCellMar>
          <w:tblLook w:val="01E0"/>
        </w:tblPrEx>
        <w:trPr>
          <w:trHeight w:val="286"/>
        </w:trPr>
        <w:tc>
          <w:tcPr>
            <w:tcW w:w="2385" w:type="dxa"/>
          </w:tcPr>
          <w:p w:rsidR="003F5784" w14:paraId="3E7710A0" w14:textId="77777777">
            <w:pPr>
              <w:pStyle w:val="TableParagraph"/>
              <w:spacing w:before="0"/>
              <w:jc w:val="left"/>
              <w:rPr>
                <w:sz w:val="18"/>
              </w:rPr>
            </w:pPr>
          </w:p>
        </w:tc>
        <w:tc>
          <w:tcPr>
            <w:tcW w:w="2763" w:type="dxa"/>
          </w:tcPr>
          <w:p w:rsidR="003F5784" w14:paraId="78C59E57" w14:textId="77777777">
            <w:pPr>
              <w:pStyle w:val="TableParagraph"/>
              <w:spacing w:before="0"/>
              <w:jc w:val="left"/>
              <w:rPr>
                <w:sz w:val="18"/>
              </w:rPr>
            </w:pPr>
          </w:p>
        </w:tc>
        <w:tc>
          <w:tcPr>
            <w:tcW w:w="4152" w:type="dxa"/>
          </w:tcPr>
          <w:p w:rsidR="003F5784" w14:paraId="5058761A" w14:textId="77777777">
            <w:pPr>
              <w:pStyle w:val="TableParagraph"/>
              <w:spacing w:before="0"/>
              <w:jc w:val="left"/>
              <w:rPr>
                <w:sz w:val="18"/>
              </w:rPr>
            </w:pPr>
          </w:p>
        </w:tc>
        <w:tc>
          <w:tcPr>
            <w:tcW w:w="3172" w:type="dxa"/>
          </w:tcPr>
          <w:p w:rsidR="003F5784" w14:paraId="6CB79F15" w14:textId="77777777">
            <w:pPr>
              <w:pStyle w:val="TableParagraph"/>
              <w:ind w:right="114"/>
              <w:rPr>
                <w:sz w:val="21"/>
              </w:rPr>
            </w:pPr>
            <w:r>
              <w:rPr>
                <w:spacing w:val="-5"/>
                <w:sz w:val="21"/>
              </w:rPr>
              <w:t>20</w:t>
            </w:r>
          </w:p>
        </w:tc>
      </w:tr>
      <w:tr w14:paraId="73AD66D1" w14:textId="77777777">
        <w:tblPrEx>
          <w:tblW w:w="0" w:type="auto"/>
          <w:tblInd w:w="1238" w:type="dxa"/>
          <w:tblLayout w:type="fixed"/>
          <w:tblCellMar>
            <w:left w:w="0" w:type="dxa"/>
            <w:right w:w="0" w:type="dxa"/>
          </w:tblCellMar>
          <w:tblLook w:val="01E0"/>
        </w:tblPrEx>
        <w:trPr>
          <w:trHeight w:val="289"/>
        </w:trPr>
        <w:tc>
          <w:tcPr>
            <w:tcW w:w="2385" w:type="dxa"/>
          </w:tcPr>
          <w:p w:rsidR="003F5784" w14:paraId="5E2EDDB7" w14:textId="77777777">
            <w:pPr>
              <w:pStyle w:val="TableParagraph"/>
              <w:spacing w:before="0"/>
              <w:jc w:val="left"/>
              <w:rPr>
                <w:sz w:val="18"/>
              </w:rPr>
            </w:pPr>
          </w:p>
        </w:tc>
        <w:tc>
          <w:tcPr>
            <w:tcW w:w="2763" w:type="dxa"/>
            <w:tcBorders>
              <w:bottom w:val="single" w:sz="12" w:space="0" w:color="800000"/>
            </w:tcBorders>
          </w:tcPr>
          <w:p w:rsidR="003F5784" w14:paraId="46FC9AA2" w14:textId="77777777">
            <w:pPr>
              <w:pStyle w:val="TableParagraph"/>
              <w:spacing w:before="0"/>
              <w:jc w:val="left"/>
              <w:rPr>
                <w:sz w:val="18"/>
              </w:rPr>
            </w:pPr>
          </w:p>
        </w:tc>
        <w:tc>
          <w:tcPr>
            <w:tcW w:w="4152" w:type="dxa"/>
            <w:tcBorders>
              <w:bottom w:val="single" w:sz="12" w:space="0" w:color="800000"/>
            </w:tcBorders>
          </w:tcPr>
          <w:p w:rsidR="003F5784" w14:paraId="63C51AEE" w14:textId="77777777">
            <w:pPr>
              <w:pStyle w:val="TableParagraph"/>
              <w:spacing w:before="0"/>
              <w:jc w:val="left"/>
              <w:rPr>
                <w:sz w:val="18"/>
              </w:rPr>
            </w:pPr>
          </w:p>
        </w:tc>
        <w:tc>
          <w:tcPr>
            <w:tcW w:w="3172" w:type="dxa"/>
            <w:tcBorders>
              <w:bottom w:val="single" w:sz="12" w:space="0" w:color="800000"/>
            </w:tcBorders>
          </w:tcPr>
          <w:p w:rsidR="003F5784" w14:paraId="1BA713C0" w14:textId="77777777">
            <w:pPr>
              <w:pStyle w:val="TableParagraph"/>
              <w:ind w:right="114"/>
              <w:rPr>
                <w:sz w:val="21"/>
              </w:rPr>
            </w:pPr>
            <w:r>
              <w:rPr>
                <w:spacing w:val="-5"/>
                <w:sz w:val="21"/>
              </w:rPr>
              <w:t>18</w:t>
            </w:r>
          </w:p>
        </w:tc>
      </w:tr>
      <w:tr w14:paraId="52BA029D" w14:textId="77777777">
        <w:tblPrEx>
          <w:tblW w:w="0" w:type="auto"/>
          <w:tblInd w:w="1238" w:type="dxa"/>
          <w:tblLayout w:type="fixed"/>
          <w:tblCellMar>
            <w:left w:w="0" w:type="dxa"/>
            <w:right w:w="0" w:type="dxa"/>
          </w:tblCellMar>
          <w:tblLook w:val="01E0"/>
        </w:tblPrEx>
        <w:trPr>
          <w:trHeight w:val="266"/>
        </w:trPr>
        <w:tc>
          <w:tcPr>
            <w:tcW w:w="2385" w:type="dxa"/>
          </w:tcPr>
          <w:p w:rsidR="003F5784" w14:paraId="5E4E575C" w14:textId="77777777">
            <w:pPr>
              <w:pStyle w:val="TableParagraph"/>
              <w:spacing w:before="0"/>
              <w:jc w:val="left"/>
              <w:rPr>
                <w:sz w:val="18"/>
              </w:rPr>
            </w:pPr>
          </w:p>
        </w:tc>
        <w:tc>
          <w:tcPr>
            <w:tcW w:w="2763" w:type="dxa"/>
            <w:tcBorders>
              <w:top w:val="single" w:sz="12" w:space="0" w:color="800000"/>
            </w:tcBorders>
          </w:tcPr>
          <w:p w:rsidR="003F5784" w14:paraId="7E7A52F0" w14:textId="77777777">
            <w:pPr>
              <w:pStyle w:val="TableParagraph"/>
              <w:spacing w:before="0" w:line="239" w:lineRule="exact"/>
              <w:ind w:left="117"/>
              <w:jc w:val="left"/>
              <w:rPr>
                <w:sz w:val="21"/>
              </w:rPr>
            </w:pPr>
            <w:r>
              <w:rPr>
                <w:sz w:val="21"/>
              </w:rPr>
              <w:t>Mid-size</w:t>
            </w:r>
            <w:r>
              <w:rPr>
                <w:spacing w:val="-9"/>
                <w:sz w:val="21"/>
              </w:rPr>
              <w:t xml:space="preserve"> </w:t>
            </w:r>
            <w:r>
              <w:rPr>
                <w:spacing w:val="-4"/>
                <w:sz w:val="21"/>
              </w:rPr>
              <w:t>City</w:t>
            </w:r>
          </w:p>
        </w:tc>
        <w:tc>
          <w:tcPr>
            <w:tcW w:w="4152" w:type="dxa"/>
            <w:tcBorders>
              <w:top w:val="single" w:sz="12" w:space="0" w:color="800000"/>
            </w:tcBorders>
          </w:tcPr>
          <w:p w:rsidR="003F5784" w14:paraId="35CCBE52" w14:textId="77777777">
            <w:pPr>
              <w:pStyle w:val="TableParagraph"/>
              <w:spacing w:before="0" w:line="239" w:lineRule="exact"/>
              <w:ind w:left="117"/>
              <w:jc w:val="left"/>
              <w:rPr>
                <w:sz w:val="21"/>
              </w:rPr>
            </w:pPr>
            <w:r>
              <w:rPr>
                <w:sz w:val="21"/>
              </w:rPr>
              <w:t>Low</w:t>
            </w:r>
            <w:r>
              <w:rPr>
                <w:spacing w:val="-5"/>
                <w:sz w:val="21"/>
              </w:rPr>
              <w:t xml:space="preserve"> </w:t>
            </w:r>
            <w:r>
              <w:rPr>
                <w:spacing w:val="-2"/>
                <w:sz w:val="21"/>
              </w:rPr>
              <w:t>minority</w:t>
            </w:r>
          </w:p>
        </w:tc>
        <w:tc>
          <w:tcPr>
            <w:tcW w:w="3172" w:type="dxa"/>
            <w:tcBorders>
              <w:top w:val="single" w:sz="12" w:space="0" w:color="800000"/>
            </w:tcBorders>
          </w:tcPr>
          <w:p w:rsidR="003F5784" w14:paraId="0AAE1075" w14:textId="77777777">
            <w:pPr>
              <w:pStyle w:val="TableParagraph"/>
              <w:spacing w:before="0" w:line="239" w:lineRule="exact"/>
              <w:ind w:right="114"/>
              <w:rPr>
                <w:sz w:val="21"/>
              </w:rPr>
            </w:pPr>
            <w:r>
              <w:rPr>
                <w:spacing w:val="-5"/>
                <w:sz w:val="21"/>
              </w:rPr>
              <w:t>15</w:t>
            </w:r>
          </w:p>
        </w:tc>
      </w:tr>
      <w:tr w14:paraId="1A10B513" w14:textId="77777777">
        <w:tblPrEx>
          <w:tblW w:w="0" w:type="auto"/>
          <w:tblInd w:w="1238" w:type="dxa"/>
          <w:tblLayout w:type="fixed"/>
          <w:tblCellMar>
            <w:left w:w="0" w:type="dxa"/>
            <w:right w:w="0" w:type="dxa"/>
          </w:tblCellMar>
          <w:tblLook w:val="01E0"/>
        </w:tblPrEx>
        <w:trPr>
          <w:trHeight w:val="286"/>
        </w:trPr>
        <w:tc>
          <w:tcPr>
            <w:tcW w:w="2385" w:type="dxa"/>
          </w:tcPr>
          <w:p w:rsidR="003F5784" w14:paraId="45031E05" w14:textId="77777777">
            <w:pPr>
              <w:pStyle w:val="TableParagraph"/>
              <w:spacing w:before="0"/>
              <w:jc w:val="left"/>
              <w:rPr>
                <w:sz w:val="18"/>
              </w:rPr>
            </w:pPr>
          </w:p>
        </w:tc>
        <w:tc>
          <w:tcPr>
            <w:tcW w:w="2763" w:type="dxa"/>
          </w:tcPr>
          <w:p w:rsidR="003F5784" w14:paraId="23A38F9E" w14:textId="77777777">
            <w:pPr>
              <w:pStyle w:val="TableParagraph"/>
              <w:spacing w:before="0"/>
              <w:jc w:val="left"/>
              <w:rPr>
                <w:sz w:val="18"/>
              </w:rPr>
            </w:pPr>
          </w:p>
        </w:tc>
        <w:tc>
          <w:tcPr>
            <w:tcW w:w="4152" w:type="dxa"/>
          </w:tcPr>
          <w:p w:rsidR="003F5784" w14:paraId="54C96628" w14:textId="77777777">
            <w:pPr>
              <w:pStyle w:val="TableParagraph"/>
              <w:spacing w:before="0"/>
              <w:jc w:val="left"/>
              <w:rPr>
                <w:sz w:val="18"/>
              </w:rPr>
            </w:pPr>
          </w:p>
        </w:tc>
        <w:tc>
          <w:tcPr>
            <w:tcW w:w="3172" w:type="dxa"/>
          </w:tcPr>
          <w:p w:rsidR="003F5784" w14:paraId="4D60EA7E" w14:textId="77777777">
            <w:pPr>
              <w:pStyle w:val="TableParagraph"/>
              <w:ind w:right="114"/>
              <w:rPr>
                <w:sz w:val="21"/>
              </w:rPr>
            </w:pPr>
            <w:r>
              <w:rPr>
                <w:spacing w:val="-5"/>
                <w:sz w:val="21"/>
              </w:rPr>
              <w:t>25</w:t>
            </w:r>
          </w:p>
        </w:tc>
      </w:tr>
      <w:tr w14:paraId="4A470005" w14:textId="77777777">
        <w:tblPrEx>
          <w:tblW w:w="0" w:type="auto"/>
          <w:tblInd w:w="1238" w:type="dxa"/>
          <w:tblLayout w:type="fixed"/>
          <w:tblCellMar>
            <w:left w:w="0" w:type="dxa"/>
            <w:right w:w="0" w:type="dxa"/>
          </w:tblCellMar>
          <w:tblLook w:val="01E0"/>
        </w:tblPrEx>
        <w:trPr>
          <w:trHeight w:val="286"/>
        </w:trPr>
        <w:tc>
          <w:tcPr>
            <w:tcW w:w="2385" w:type="dxa"/>
          </w:tcPr>
          <w:p w:rsidR="003F5784" w14:paraId="0DFF5074" w14:textId="77777777">
            <w:pPr>
              <w:pStyle w:val="TableParagraph"/>
              <w:spacing w:before="0"/>
              <w:jc w:val="left"/>
              <w:rPr>
                <w:sz w:val="18"/>
              </w:rPr>
            </w:pPr>
          </w:p>
        </w:tc>
        <w:tc>
          <w:tcPr>
            <w:tcW w:w="2763" w:type="dxa"/>
          </w:tcPr>
          <w:p w:rsidR="003F5784" w14:paraId="16BE2E9C" w14:textId="77777777">
            <w:pPr>
              <w:pStyle w:val="TableParagraph"/>
              <w:spacing w:before="0"/>
              <w:jc w:val="left"/>
              <w:rPr>
                <w:sz w:val="18"/>
              </w:rPr>
            </w:pPr>
          </w:p>
        </w:tc>
        <w:tc>
          <w:tcPr>
            <w:tcW w:w="4152" w:type="dxa"/>
          </w:tcPr>
          <w:p w:rsidR="003F5784" w14:paraId="190EE08E" w14:textId="77777777">
            <w:pPr>
              <w:pStyle w:val="TableParagraph"/>
              <w:spacing w:before="0"/>
              <w:jc w:val="left"/>
              <w:rPr>
                <w:sz w:val="18"/>
              </w:rPr>
            </w:pPr>
          </w:p>
        </w:tc>
        <w:tc>
          <w:tcPr>
            <w:tcW w:w="3172" w:type="dxa"/>
          </w:tcPr>
          <w:p w:rsidR="003F5784" w14:paraId="6AC95ECE" w14:textId="77777777">
            <w:pPr>
              <w:pStyle w:val="TableParagraph"/>
              <w:ind w:right="114"/>
              <w:rPr>
                <w:sz w:val="21"/>
              </w:rPr>
            </w:pPr>
            <w:r>
              <w:rPr>
                <w:spacing w:val="-5"/>
                <w:sz w:val="21"/>
              </w:rPr>
              <w:t>27</w:t>
            </w:r>
          </w:p>
        </w:tc>
      </w:tr>
      <w:tr w14:paraId="4CD77488" w14:textId="77777777">
        <w:tblPrEx>
          <w:tblW w:w="0" w:type="auto"/>
          <w:tblInd w:w="1238" w:type="dxa"/>
          <w:tblLayout w:type="fixed"/>
          <w:tblCellMar>
            <w:left w:w="0" w:type="dxa"/>
            <w:right w:w="0" w:type="dxa"/>
          </w:tblCellMar>
          <w:tblLook w:val="01E0"/>
        </w:tblPrEx>
        <w:trPr>
          <w:trHeight w:val="289"/>
        </w:trPr>
        <w:tc>
          <w:tcPr>
            <w:tcW w:w="2385" w:type="dxa"/>
          </w:tcPr>
          <w:p w:rsidR="003F5784" w14:paraId="20D88AF9" w14:textId="77777777">
            <w:pPr>
              <w:pStyle w:val="TableParagraph"/>
              <w:spacing w:before="0"/>
              <w:jc w:val="left"/>
              <w:rPr>
                <w:sz w:val="18"/>
              </w:rPr>
            </w:pPr>
          </w:p>
        </w:tc>
        <w:tc>
          <w:tcPr>
            <w:tcW w:w="2763" w:type="dxa"/>
          </w:tcPr>
          <w:p w:rsidR="003F5784" w14:paraId="2E582D0D" w14:textId="77777777">
            <w:pPr>
              <w:pStyle w:val="TableParagraph"/>
              <w:spacing w:before="0"/>
              <w:jc w:val="left"/>
              <w:rPr>
                <w:sz w:val="18"/>
              </w:rPr>
            </w:pPr>
          </w:p>
        </w:tc>
        <w:tc>
          <w:tcPr>
            <w:tcW w:w="4152" w:type="dxa"/>
            <w:tcBorders>
              <w:bottom w:val="single" w:sz="12" w:space="0" w:color="800000"/>
            </w:tcBorders>
          </w:tcPr>
          <w:p w:rsidR="003F5784" w14:paraId="07C52737" w14:textId="77777777">
            <w:pPr>
              <w:pStyle w:val="TableParagraph"/>
              <w:spacing w:before="0"/>
              <w:jc w:val="left"/>
              <w:rPr>
                <w:sz w:val="18"/>
              </w:rPr>
            </w:pPr>
          </w:p>
        </w:tc>
        <w:tc>
          <w:tcPr>
            <w:tcW w:w="3172" w:type="dxa"/>
            <w:tcBorders>
              <w:bottom w:val="single" w:sz="12" w:space="0" w:color="800000"/>
            </w:tcBorders>
          </w:tcPr>
          <w:p w:rsidR="003F5784" w14:paraId="317E1424" w14:textId="77777777">
            <w:pPr>
              <w:pStyle w:val="TableParagraph"/>
              <w:ind w:right="114"/>
              <w:rPr>
                <w:sz w:val="21"/>
              </w:rPr>
            </w:pPr>
            <w:r>
              <w:rPr>
                <w:spacing w:val="-5"/>
                <w:sz w:val="21"/>
              </w:rPr>
              <w:t>31</w:t>
            </w:r>
          </w:p>
        </w:tc>
      </w:tr>
      <w:tr w14:paraId="20C45ABE" w14:textId="77777777">
        <w:tblPrEx>
          <w:tblW w:w="0" w:type="auto"/>
          <w:tblInd w:w="1238" w:type="dxa"/>
          <w:tblLayout w:type="fixed"/>
          <w:tblCellMar>
            <w:left w:w="0" w:type="dxa"/>
            <w:right w:w="0" w:type="dxa"/>
          </w:tblCellMar>
          <w:tblLook w:val="01E0"/>
        </w:tblPrEx>
        <w:trPr>
          <w:trHeight w:val="266"/>
        </w:trPr>
        <w:tc>
          <w:tcPr>
            <w:tcW w:w="2385" w:type="dxa"/>
          </w:tcPr>
          <w:p w:rsidR="003F5784" w14:paraId="009E5BE1" w14:textId="77777777">
            <w:pPr>
              <w:pStyle w:val="TableParagraph"/>
              <w:spacing w:before="0"/>
              <w:jc w:val="left"/>
              <w:rPr>
                <w:sz w:val="18"/>
              </w:rPr>
            </w:pPr>
          </w:p>
        </w:tc>
        <w:tc>
          <w:tcPr>
            <w:tcW w:w="2763" w:type="dxa"/>
          </w:tcPr>
          <w:p w:rsidR="003F5784" w14:paraId="56376B61" w14:textId="77777777">
            <w:pPr>
              <w:pStyle w:val="TableParagraph"/>
              <w:spacing w:before="0"/>
              <w:jc w:val="left"/>
              <w:rPr>
                <w:sz w:val="18"/>
              </w:rPr>
            </w:pPr>
          </w:p>
        </w:tc>
        <w:tc>
          <w:tcPr>
            <w:tcW w:w="4152" w:type="dxa"/>
            <w:tcBorders>
              <w:top w:val="single" w:sz="12" w:space="0" w:color="800000"/>
            </w:tcBorders>
          </w:tcPr>
          <w:p w:rsidR="003F5784" w14:paraId="271F3B43" w14:textId="77777777">
            <w:pPr>
              <w:pStyle w:val="TableParagraph"/>
              <w:spacing w:before="0" w:line="239" w:lineRule="exact"/>
              <w:ind w:left="117"/>
              <w:jc w:val="left"/>
              <w:rPr>
                <w:sz w:val="21"/>
              </w:rPr>
            </w:pPr>
            <w:r>
              <w:rPr>
                <w:sz w:val="21"/>
              </w:rPr>
              <w:t>High</w:t>
            </w:r>
            <w:r>
              <w:rPr>
                <w:spacing w:val="-6"/>
                <w:sz w:val="21"/>
              </w:rPr>
              <w:t xml:space="preserve"> </w:t>
            </w:r>
            <w:r>
              <w:rPr>
                <w:spacing w:val="-2"/>
                <w:sz w:val="21"/>
              </w:rPr>
              <w:t>minority</w:t>
            </w:r>
          </w:p>
        </w:tc>
        <w:tc>
          <w:tcPr>
            <w:tcW w:w="3172" w:type="dxa"/>
            <w:tcBorders>
              <w:top w:val="single" w:sz="12" w:space="0" w:color="800000"/>
            </w:tcBorders>
          </w:tcPr>
          <w:p w:rsidR="003F5784" w14:paraId="7431422B" w14:textId="77777777">
            <w:pPr>
              <w:pStyle w:val="TableParagraph"/>
              <w:spacing w:before="0" w:line="239" w:lineRule="exact"/>
              <w:ind w:right="114"/>
              <w:rPr>
                <w:sz w:val="21"/>
              </w:rPr>
            </w:pPr>
            <w:r>
              <w:rPr>
                <w:spacing w:val="-5"/>
                <w:sz w:val="21"/>
              </w:rPr>
              <w:t>35</w:t>
            </w:r>
          </w:p>
        </w:tc>
      </w:tr>
      <w:tr w14:paraId="5A5CDBEA" w14:textId="77777777">
        <w:tblPrEx>
          <w:tblW w:w="0" w:type="auto"/>
          <w:tblInd w:w="1238" w:type="dxa"/>
          <w:tblLayout w:type="fixed"/>
          <w:tblCellMar>
            <w:left w:w="0" w:type="dxa"/>
            <w:right w:w="0" w:type="dxa"/>
          </w:tblCellMar>
          <w:tblLook w:val="01E0"/>
        </w:tblPrEx>
        <w:trPr>
          <w:trHeight w:val="286"/>
        </w:trPr>
        <w:tc>
          <w:tcPr>
            <w:tcW w:w="2385" w:type="dxa"/>
          </w:tcPr>
          <w:p w:rsidR="003F5784" w14:paraId="27D9ECE3" w14:textId="77777777">
            <w:pPr>
              <w:pStyle w:val="TableParagraph"/>
              <w:spacing w:before="0"/>
              <w:jc w:val="left"/>
              <w:rPr>
                <w:sz w:val="18"/>
              </w:rPr>
            </w:pPr>
          </w:p>
        </w:tc>
        <w:tc>
          <w:tcPr>
            <w:tcW w:w="2763" w:type="dxa"/>
          </w:tcPr>
          <w:p w:rsidR="003F5784" w14:paraId="6E618D57" w14:textId="77777777">
            <w:pPr>
              <w:pStyle w:val="TableParagraph"/>
              <w:spacing w:before="0"/>
              <w:jc w:val="left"/>
              <w:rPr>
                <w:sz w:val="18"/>
              </w:rPr>
            </w:pPr>
          </w:p>
        </w:tc>
        <w:tc>
          <w:tcPr>
            <w:tcW w:w="4152" w:type="dxa"/>
          </w:tcPr>
          <w:p w:rsidR="003F5784" w14:paraId="2F782A62" w14:textId="77777777">
            <w:pPr>
              <w:pStyle w:val="TableParagraph"/>
              <w:spacing w:before="0"/>
              <w:jc w:val="left"/>
              <w:rPr>
                <w:sz w:val="18"/>
              </w:rPr>
            </w:pPr>
          </w:p>
        </w:tc>
        <w:tc>
          <w:tcPr>
            <w:tcW w:w="3172" w:type="dxa"/>
          </w:tcPr>
          <w:p w:rsidR="003F5784" w14:paraId="2FFEBB1C" w14:textId="77777777">
            <w:pPr>
              <w:pStyle w:val="TableParagraph"/>
              <w:ind w:right="114"/>
              <w:rPr>
                <w:sz w:val="21"/>
              </w:rPr>
            </w:pPr>
            <w:r>
              <w:rPr>
                <w:spacing w:val="-5"/>
                <w:sz w:val="21"/>
              </w:rPr>
              <w:t>32</w:t>
            </w:r>
          </w:p>
        </w:tc>
      </w:tr>
      <w:tr w14:paraId="4F0A22FF" w14:textId="77777777">
        <w:tblPrEx>
          <w:tblW w:w="0" w:type="auto"/>
          <w:tblInd w:w="1238" w:type="dxa"/>
          <w:tblLayout w:type="fixed"/>
          <w:tblCellMar>
            <w:left w:w="0" w:type="dxa"/>
            <w:right w:w="0" w:type="dxa"/>
          </w:tblCellMar>
          <w:tblLook w:val="01E0"/>
        </w:tblPrEx>
        <w:trPr>
          <w:trHeight w:val="286"/>
        </w:trPr>
        <w:tc>
          <w:tcPr>
            <w:tcW w:w="2385" w:type="dxa"/>
          </w:tcPr>
          <w:p w:rsidR="003F5784" w14:paraId="376D896F" w14:textId="77777777">
            <w:pPr>
              <w:pStyle w:val="TableParagraph"/>
              <w:spacing w:before="0"/>
              <w:jc w:val="left"/>
              <w:rPr>
                <w:sz w:val="18"/>
              </w:rPr>
            </w:pPr>
          </w:p>
        </w:tc>
        <w:tc>
          <w:tcPr>
            <w:tcW w:w="2763" w:type="dxa"/>
          </w:tcPr>
          <w:p w:rsidR="003F5784" w14:paraId="003E309C" w14:textId="77777777">
            <w:pPr>
              <w:pStyle w:val="TableParagraph"/>
              <w:spacing w:before="0"/>
              <w:jc w:val="left"/>
              <w:rPr>
                <w:sz w:val="18"/>
              </w:rPr>
            </w:pPr>
          </w:p>
        </w:tc>
        <w:tc>
          <w:tcPr>
            <w:tcW w:w="4152" w:type="dxa"/>
          </w:tcPr>
          <w:p w:rsidR="003F5784" w14:paraId="6CDB7682" w14:textId="77777777">
            <w:pPr>
              <w:pStyle w:val="TableParagraph"/>
              <w:spacing w:before="0"/>
              <w:jc w:val="left"/>
              <w:rPr>
                <w:sz w:val="18"/>
              </w:rPr>
            </w:pPr>
          </w:p>
        </w:tc>
        <w:tc>
          <w:tcPr>
            <w:tcW w:w="3172" w:type="dxa"/>
          </w:tcPr>
          <w:p w:rsidR="003F5784" w14:paraId="3A5E4F04" w14:textId="77777777">
            <w:pPr>
              <w:pStyle w:val="TableParagraph"/>
              <w:ind w:right="114"/>
              <w:rPr>
                <w:sz w:val="21"/>
              </w:rPr>
            </w:pPr>
            <w:r>
              <w:rPr>
                <w:spacing w:val="-5"/>
                <w:sz w:val="21"/>
              </w:rPr>
              <w:t>30</w:t>
            </w:r>
          </w:p>
        </w:tc>
      </w:tr>
      <w:tr w14:paraId="1E46FC8F" w14:textId="77777777">
        <w:tblPrEx>
          <w:tblW w:w="0" w:type="auto"/>
          <w:tblInd w:w="1238" w:type="dxa"/>
          <w:tblLayout w:type="fixed"/>
          <w:tblCellMar>
            <w:left w:w="0" w:type="dxa"/>
            <w:right w:w="0" w:type="dxa"/>
          </w:tblCellMar>
          <w:tblLook w:val="01E0"/>
        </w:tblPrEx>
        <w:trPr>
          <w:trHeight w:val="289"/>
        </w:trPr>
        <w:tc>
          <w:tcPr>
            <w:tcW w:w="2385" w:type="dxa"/>
            <w:tcBorders>
              <w:bottom w:val="single" w:sz="12" w:space="0" w:color="800000"/>
            </w:tcBorders>
          </w:tcPr>
          <w:p w:rsidR="003F5784" w14:paraId="52ED629C" w14:textId="77777777">
            <w:pPr>
              <w:pStyle w:val="TableParagraph"/>
              <w:spacing w:before="0"/>
              <w:jc w:val="left"/>
              <w:rPr>
                <w:sz w:val="18"/>
              </w:rPr>
            </w:pPr>
          </w:p>
        </w:tc>
        <w:tc>
          <w:tcPr>
            <w:tcW w:w="2763" w:type="dxa"/>
            <w:tcBorders>
              <w:bottom w:val="single" w:sz="12" w:space="0" w:color="800000"/>
            </w:tcBorders>
          </w:tcPr>
          <w:p w:rsidR="003F5784" w14:paraId="77ECC991" w14:textId="77777777">
            <w:pPr>
              <w:pStyle w:val="TableParagraph"/>
              <w:spacing w:before="0"/>
              <w:jc w:val="left"/>
              <w:rPr>
                <w:sz w:val="18"/>
              </w:rPr>
            </w:pPr>
          </w:p>
        </w:tc>
        <w:tc>
          <w:tcPr>
            <w:tcW w:w="4152" w:type="dxa"/>
            <w:tcBorders>
              <w:bottom w:val="single" w:sz="12" w:space="0" w:color="800000"/>
            </w:tcBorders>
          </w:tcPr>
          <w:p w:rsidR="003F5784" w14:paraId="51FDCA24" w14:textId="77777777">
            <w:pPr>
              <w:pStyle w:val="TableParagraph"/>
              <w:spacing w:before="0"/>
              <w:jc w:val="left"/>
              <w:rPr>
                <w:sz w:val="18"/>
              </w:rPr>
            </w:pPr>
          </w:p>
        </w:tc>
        <w:tc>
          <w:tcPr>
            <w:tcW w:w="3172" w:type="dxa"/>
            <w:tcBorders>
              <w:bottom w:val="single" w:sz="12" w:space="0" w:color="800000"/>
            </w:tcBorders>
          </w:tcPr>
          <w:p w:rsidR="003F5784" w14:paraId="1040BAB2" w14:textId="77777777">
            <w:pPr>
              <w:pStyle w:val="TableParagraph"/>
              <w:ind w:right="114"/>
              <w:rPr>
                <w:sz w:val="21"/>
              </w:rPr>
            </w:pPr>
            <w:r>
              <w:rPr>
                <w:spacing w:val="-5"/>
                <w:sz w:val="21"/>
              </w:rPr>
              <w:t>28</w:t>
            </w:r>
          </w:p>
        </w:tc>
      </w:tr>
      <w:tr w14:paraId="06DAE455" w14:textId="77777777">
        <w:tblPrEx>
          <w:tblW w:w="0" w:type="auto"/>
          <w:tblInd w:w="1238" w:type="dxa"/>
          <w:tblLayout w:type="fixed"/>
          <w:tblCellMar>
            <w:left w:w="0" w:type="dxa"/>
            <w:right w:w="0" w:type="dxa"/>
          </w:tblCellMar>
          <w:tblLook w:val="01E0"/>
        </w:tblPrEx>
        <w:trPr>
          <w:trHeight w:val="266"/>
        </w:trPr>
        <w:tc>
          <w:tcPr>
            <w:tcW w:w="2385" w:type="dxa"/>
            <w:tcBorders>
              <w:top w:val="single" w:sz="12" w:space="0" w:color="800000"/>
            </w:tcBorders>
          </w:tcPr>
          <w:p w:rsidR="003F5784" w14:paraId="2453AEC7" w14:textId="77777777">
            <w:pPr>
              <w:pStyle w:val="TableParagraph"/>
              <w:spacing w:before="0" w:line="239" w:lineRule="exact"/>
              <w:ind w:left="117"/>
              <w:jc w:val="left"/>
              <w:rPr>
                <w:sz w:val="21"/>
              </w:rPr>
            </w:pPr>
            <w:r>
              <w:rPr>
                <w:spacing w:val="-5"/>
                <w:sz w:val="21"/>
              </w:rPr>
              <w:t>No</w:t>
            </w:r>
          </w:p>
        </w:tc>
        <w:tc>
          <w:tcPr>
            <w:tcW w:w="2763" w:type="dxa"/>
            <w:tcBorders>
              <w:top w:val="single" w:sz="12" w:space="0" w:color="800000"/>
            </w:tcBorders>
          </w:tcPr>
          <w:p w:rsidR="003F5784" w14:paraId="3964BDF1" w14:textId="77777777">
            <w:pPr>
              <w:pStyle w:val="TableParagraph"/>
              <w:spacing w:before="0" w:line="239" w:lineRule="exact"/>
              <w:ind w:left="117"/>
              <w:jc w:val="left"/>
              <w:rPr>
                <w:sz w:val="21"/>
              </w:rPr>
            </w:pPr>
            <w:r>
              <w:rPr>
                <w:sz w:val="21"/>
              </w:rPr>
              <w:t>Mid-size</w:t>
            </w:r>
            <w:r>
              <w:rPr>
                <w:spacing w:val="-9"/>
                <w:sz w:val="21"/>
              </w:rPr>
              <w:t xml:space="preserve"> </w:t>
            </w:r>
            <w:r>
              <w:rPr>
                <w:spacing w:val="-4"/>
                <w:sz w:val="21"/>
              </w:rPr>
              <w:t>City</w:t>
            </w:r>
          </w:p>
        </w:tc>
        <w:tc>
          <w:tcPr>
            <w:tcW w:w="4152" w:type="dxa"/>
            <w:tcBorders>
              <w:top w:val="single" w:sz="12" w:space="0" w:color="800000"/>
            </w:tcBorders>
          </w:tcPr>
          <w:p w:rsidR="003F5784" w14:paraId="68D7A27C" w14:textId="77777777">
            <w:pPr>
              <w:pStyle w:val="TableParagraph"/>
              <w:spacing w:before="0" w:line="239" w:lineRule="exact"/>
              <w:ind w:left="117"/>
              <w:jc w:val="left"/>
              <w:rPr>
                <w:sz w:val="21"/>
              </w:rPr>
            </w:pPr>
            <w:r>
              <w:rPr>
                <w:sz w:val="21"/>
              </w:rPr>
              <w:t>High</w:t>
            </w:r>
            <w:r>
              <w:rPr>
                <w:spacing w:val="-6"/>
                <w:sz w:val="21"/>
              </w:rPr>
              <w:t xml:space="preserve"> </w:t>
            </w:r>
            <w:r>
              <w:rPr>
                <w:spacing w:val="-2"/>
                <w:sz w:val="21"/>
              </w:rPr>
              <w:t>minority</w:t>
            </w:r>
          </w:p>
        </w:tc>
        <w:tc>
          <w:tcPr>
            <w:tcW w:w="3172" w:type="dxa"/>
            <w:tcBorders>
              <w:top w:val="single" w:sz="12" w:space="0" w:color="800000"/>
            </w:tcBorders>
          </w:tcPr>
          <w:p w:rsidR="003F5784" w14:paraId="33816A61" w14:textId="77777777">
            <w:pPr>
              <w:pStyle w:val="TableParagraph"/>
              <w:spacing w:before="0" w:line="239" w:lineRule="exact"/>
              <w:ind w:right="114"/>
              <w:rPr>
                <w:sz w:val="21"/>
              </w:rPr>
            </w:pPr>
            <w:r>
              <w:rPr>
                <w:spacing w:val="-5"/>
                <w:sz w:val="21"/>
              </w:rPr>
              <w:t>20</w:t>
            </w:r>
          </w:p>
        </w:tc>
      </w:tr>
      <w:tr w14:paraId="69D61B74" w14:textId="77777777">
        <w:tblPrEx>
          <w:tblW w:w="0" w:type="auto"/>
          <w:tblInd w:w="1238" w:type="dxa"/>
          <w:tblLayout w:type="fixed"/>
          <w:tblCellMar>
            <w:left w:w="0" w:type="dxa"/>
            <w:right w:w="0" w:type="dxa"/>
          </w:tblCellMar>
          <w:tblLook w:val="01E0"/>
        </w:tblPrEx>
        <w:trPr>
          <w:trHeight w:val="286"/>
        </w:trPr>
        <w:tc>
          <w:tcPr>
            <w:tcW w:w="2385" w:type="dxa"/>
          </w:tcPr>
          <w:p w:rsidR="003F5784" w14:paraId="1676433C" w14:textId="77777777">
            <w:pPr>
              <w:pStyle w:val="TableParagraph"/>
              <w:spacing w:before="0"/>
              <w:jc w:val="left"/>
              <w:rPr>
                <w:sz w:val="18"/>
              </w:rPr>
            </w:pPr>
          </w:p>
        </w:tc>
        <w:tc>
          <w:tcPr>
            <w:tcW w:w="2763" w:type="dxa"/>
          </w:tcPr>
          <w:p w:rsidR="003F5784" w14:paraId="51FE0AAB" w14:textId="77777777">
            <w:pPr>
              <w:pStyle w:val="TableParagraph"/>
              <w:spacing w:before="0"/>
              <w:jc w:val="left"/>
              <w:rPr>
                <w:sz w:val="18"/>
              </w:rPr>
            </w:pPr>
          </w:p>
        </w:tc>
        <w:tc>
          <w:tcPr>
            <w:tcW w:w="4152" w:type="dxa"/>
          </w:tcPr>
          <w:p w:rsidR="003F5784" w14:paraId="19EC32F7" w14:textId="77777777">
            <w:pPr>
              <w:pStyle w:val="TableParagraph"/>
              <w:spacing w:before="0"/>
              <w:jc w:val="left"/>
              <w:rPr>
                <w:sz w:val="18"/>
              </w:rPr>
            </w:pPr>
          </w:p>
        </w:tc>
        <w:tc>
          <w:tcPr>
            <w:tcW w:w="3172" w:type="dxa"/>
          </w:tcPr>
          <w:p w:rsidR="003F5784" w14:paraId="156BF657" w14:textId="77777777">
            <w:pPr>
              <w:pStyle w:val="TableParagraph"/>
              <w:ind w:right="114"/>
              <w:rPr>
                <w:sz w:val="21"/>
              </w:rPr>
            </w:pPr>
            <w:r>
              <w:rPr>
                <w:spacing w:val="-5"/>
                <w:sz w:val="21"/>
              </w:rPr>
              <w:t>22</w:t>
            </w:r>
          </w:p>
        </w:tc>
      </w:tr>
      <w:tr w14:paraId="3BBBC1FB" w14:textId="77777777">
        <w:tblPrEx>
          <w:tblW w:w="0" w:type="auto"/>
          <w:tblInd w:w="1238" w:type="dxa"/>
          <w:tblLayout w:type="fixed"/>
          <w:tblCellMar>
            <w:left w:w="0" w:type="dxa"/>
            <w:right w:w="0" w:type="dxa"/>
          </w:tblCellMar>
          <w:tblLook w:val="01E0"/>
        </w:tblPrEx>
        <w:trPr>
          <w:trHeight w:val="286"/>
        </w:trPr>
        <w:tc>
          <w:tcPr>
            <w:tcW w:w="2385" w:type="dxa"/>
          </w:tcPr>
          <w:p w:rsidR="003F5784" w14:paraId="55E825A7" w14:textId="77777777">
            <w:pPr>
              <w:pStyle w:val="TableParagraph"/>
              <w:spacing w:before="0"/>
              <w:jc w:val="left"/>
              <w:rPr>
                <w:sz w:val="18"/>
              </w:rPr>
            </w:pPr>
          </w:p>
        </w:tc>
        <w:tc>
          <w:tcPr>
            <w:tcW w:w="2763" w:type="dxa"/>
          </w:tcPr>
          <w:p w:rsidR="003F5784" w14:paraId="45F962D1" w14:textId="77777777">
            <w:pPr>
              <w:pStyle w:val="TableParagraph"/>
              <w:spacing w:before="0"/>
              <w:jc w:val="left"/>
              <w:rPr>
                <w:sz w:val="18"/>
              </w:rPr>
            </w:pPr>
          </w:p>
        </w:tc>
        <w:tc>
          <w:tcPr>
            <w:tcW w:w="4152" w:type="dxa"/>
          </w:tcPr>
          <w:p w:rsidR="003F5784" w14:paraId="0B50BC07" w14:textId="77777777">
            <w:pPr>
              <w:pStyle w:val="TableParagraph"/>
              <w:spacing w:before="0"/>
              <w:jc w:val="left"/>
              <w:rPr>
                <w:sz w:val="18"/>
              </w:rPr>
            </w:pPr>
          </w:p>
        </w:tc>
        <w:tc>
          <w:tcPr>
            <w:tcW w:w="3172" w:type="dxa"/>
          </w:tcPr>
          <w:p w:rsidR="003F5784" w14:paraId="334A12B0" w14:textId="77777777">
            <w:pPr>
              <w:pStyle w:val="TableParagraph"/>
              <w:ind w:right="114"/>
              <w:rPr>
                <w:sz w:val="21"/>
              </w:rPr>
            </w:pPr>
            <w:r>
              <w:rPr>
                <w:spacing w:val="-5"/>
                <w:sz w:val="21"/>
              </w:rPr>
              <w:t>27</w:t>
            </w:r>
          </w:p>
        </w:tc>
      </w:tr>
      <w:tr w14:paraId="5CA2127B" w14:textId="77777777">
        <w:tblPrEx>
          <w:tblW w:w="0" w:type="auto"/>
          <w:tblInd w:w="1238" w:type="dxa"/>
          <w:tblLayout w:type="fixed"/>
          <w:tblCellMar>
            <w:left w:w="0" w:type="dxa"/>
            <w:right w:w="0" w:type="dxa"/>
          </w:tblCellMar>
          <w:tblLook w:val="01E0"/>
        </w:tblPrEx>
        <w:trPr>
          <w:trHeight w:val="289"/>
        </w:trPr>
        <w:tc>
          <w:tcPr>
            <w:tcW w:w="2385" w:type="dxa"/>
          </w:tcPr>
          <w:p w:rsidR="003F5784" w14:paraId="2D0D7E12" w14:textId="77777777">
            <w:pPr>
              <w:pStyle w:val="TableParagraph"/>
              <w:spacing w:before="0"/>
              <w:jc w:val="left"/>
              <w:rPr>
                <w:sz w:val="18"/>
              </w:rPr>
            </w:pPr>
          </w:p>
        </w:tc>
        <w:tc>
          <w:tcPr>
            <w:tcW w:w="2763" w:type="dxa"/>
          </w:tcPr>
          <w:p w:rsidR="003F5784" w14:paraId="79AA41BE" w14:textId="77777777">
            <w:pPr>
              <w:pStyle w:val="TableParagraph"/>
              <w:spacing w:before="0"/>
              <w:jc w:val="left"/>
              <w:rPr>
                <w:sz w:val="18"/>
              </w:rPr>
            </w:pPr>
          </w:p>
        </w:tc>
        <w:tc>
          <w:tcPr>
            <w:tcW w:w="4152" w:type="dxa"/>
            <w:tcBorders>
              <w:bottom w:val="single" w:sz="12" w:space="0" w:color="800000"/>
            </w:tcBorders>
          </w:tcPr>
          <w:p w:rsidR="003F5784" w14:paraId="13A901A0" w14:textId="77777777">
            <w:pPr>
              <w:pStyle w:val="TableParagraph"/>
              <w:spacing w:before="0"/>
              <w:jc w:val="left"/>
              <w:rPr>
                <w:sz w:val="18"/>
              </w:rPr>
            </w:pPr>
          </w:p>
        </w:tc>
        <w:tc>
          <w:tcPr>
            <w:tcW w:w="3172" w:type="dxa"/>
            <w:tcBorders>
              <w:bottom w:val="single" w:sz="12" w:space="0" w:color="800000"/>
            </w:tcBorders>
          </w:tcPr>
          <w:p w:rsidR="003F5784" w14:paraId="55B0044E" w14:textId="77777777">
            <w:pPr>
              <w:pStyle w:val="TableParagraph"/>
              <w:ind w:right="114"/>
              <w:rPr>
                <w:sz w:val="21"/>
              </w:rPr>
            </w:pPr>
            <w:r>
              <w:rPr>
                <w:spacing w:val="-5"/>
                <w:sz w:val="21"/>
              </w:rPr>
              <w:t>30</w:t>
            </w:r>
          </w:p>
        </w:tc>
      </w:tr>
      <w:tr w14:paraId="69D7042E" w14:textId="77777777">
        <w:tblPrEx>
          <w:tblW w:w="0" w:type="auto"/>
          <w:tblInd w:w="1238" w:type="dxa"/>
          <w:tblLayout w:type="fixed"/>
          <w:tblCellMar>
            <w:left w:w="0" w:type="dxa"/>
            <w:right w:w="0" w:type="dxa"/>
          </w:tblCellMar>
          <w:tblLook w:val="01E0"/>
        </w:tblPrEx>
        <w:trPr>
          <w:trHeight w:val="266"/>
        </w:trPr>
        <w:tc>
          <w:tcPr>
            <w:tcW w:w="2385" w:type="dxa"/>
          </w:tcPr>
          <w:p w:rsidR="003F5784" w14:paraId="50ABD2F9" w14:textId="77777777">
            <w:pPr>
              <w:pStyle w:val="TableParagraph"/>
              <w:spacing w:before="0"/>
              <w:jc w:val="left"/>
              <w:rPr>
                <w:sz w:val="18"/>
              </w:rPr>
            </w:pPr>
          </w:p>
        </w:tc>
        <w:tc>
          <w:tcPr>
            <w:tcW w:w="2763" w:type="dxa"/>
          </w:tcPr>
          <w:p w:rsidR="003F5784" w14:paraId="6AC96F93" w14:textId="77777777">
            <w:pPr>
              <w:pStyle w:val="TableParagraph"/>
              <w:spacing w:before="0"/>
              <w:jc w:val="left"/>
              <w:rPr>
                <w:sz w:val="18"/>
              </w:rPr>
            </w:pPr>
          </w:p>
        </w:tc>
        <w:tc>
          <w:tcPr>
            <w:tcW w:w="4152" w:type="dxa"/>
            <w:tcBorders>
              <w:top w:val="single" w:sz="12" w:space="0" w:color="800000"/>
            </w:tcBorders>
          </w:tcPr>
          <w:p w:rsidR="003F5784" w14:paraId="4CCA416E" w14:textId="77777777">
            <w:pPr>
              <w:pStyle w:val="TableParagraph"/>
              <w:spacing w:before="0" w:line="239" w:lineRule="exact"/>
              <w:ind w:left="117"/>
              <w:jc w:val="left"/>
              <w:rPr>
                <w:sz w:val="21"/>
              </w:rPr>
            </w:pPr>
            <w:r>
              <w:rPr>
                <w:sz w:val="21"/>
              </w:rPr>
              <w:t>Low</w:t>
            </w:r>
            <w:r>
              <w:rPr>
                <w:spacing w:val="-5"/>
                <w:sz w:val="21"/>
              </w:rPr>
              <w:t xml:space="preserve"> </w:t>
            </w:r>
            <w:r>
              <w:rPr>
                <w:spacing w:val="-2"/>
                <w:sz w:val="21"/>
              </w:rPr>
              <w:t>minority</w:t>
            </w:r>
          </w:p>
        </w:tc>
        <w:tc>
          <w:tcPr>
            <w:tcW w:w="3172" w:type="dxa"/>
            <w:tcBorders>
              <w:top w:val="single" w:sz="12" w:space="0" w:color="800000"/>
            </w:tcBorders>
          </w:tcPr>
          <w:p w:rsidR="003F5784" w14:paraId="063CE983" w14:textId="77777777">
            <w:pPr>
              <w:pStyle w:val="TableParagraph"/>
              <w:spacing w:before="0" w:line="239" w:lineRule="exact"/>
              <w:ind w:right="114"/>
              <w:rPr>
                <w:sz w:val="21"/>
              </w:rPr>
            </w:pPr>
            <w:r>
              <w:rPr>
                <w:spacing w:val="-5"/>
                <w:sz w:val="21"/>
              </w:rPr>
              <w:t>29</w:t>
            </w:r>
          </w:p>
        </w:tc>
      </w:tr>
      <w:tr w14:paraId="2F813B43" w14:textId="77777777">
        <w:tblPrEx>
          <w:tblW w:w="0" w:type="auto"/>
          <w:tblInd w:w="1238" w:type="dxa"/>
          <w:tblLayout w:type="fixed"/>
          <w:tblCellMar>
            <w:left w:w="0" w:type="dxa"/>
            <w:right w:w="0" w:type="dxa"/>
          </w:tblCellMar>
          <w:tblLook w:val="01E0"/>
        </w:tblPrEx>
        <w:trPr>
          <w:trHeight w:val="286"/>
        </w:trPr>
        <w:tc>
          <w:tcPr>
            <w:tcW w:w="2385" w:type="dxa"/>
          </w:tcPr>
          <w:p w:rsidR="003F5784" w14:paraId="78C83E63" w14:textId="77777777">
            <w:pPr>
              <w:pStyle w:val="TableParagraph"/>
              <w:spacing w:before="0"/>
              <w:jc w:val="left"/>
              <w:rPr>
                <w:sz w:val="18"/>
              </w:rPr>
            </w:pPr>
          </w:p>
        </w:tc>
        <w:tc>
          <w:tcPr>
            <w:tcW w:w="2763" w:type="dxa"/>
          </w:tcPr>
          <w:p w:rsidR="003F5784" w14:paraId="350E4876" w14:textId="77777777">
            <w:pPr>
              <w:pStyle w:val="TableParagraph"/>
              <w:spacing w:before="0"/>
              <w:jc w:val="left"/>
              <w:rPr>
                <w:sz w:val="18"/>
              </w:rPr>
            </w:pPr>
          </w:p>
        </w:tc>
        <w:tc>
          <w:tcPr>
            <w:tcW w:w="4152" w:type="dxa"/>
          </w:tcPr>
          <w:p w:rsidR="003F5784" w14:paraId="7FFEB14D" w14:textId="77777777">
            <w:pPr>
              <w:pStyle w:val="TableParagraph"/>
              <w:spacing w:before="0"/>
              <w:jc w:val="left"/>
              <w:rPr>
                <w:sz w:val="18"/>
              </w:rPr>
            </w:pPr>
          </w:p>
        </w:tc>
        <w:tc>
          <w:tcPr>
            <w:tcW w:w="3172" w:type="dxa"/>
          </w:tcPr>
          <w:p w:rsidR="003F5784" w14:paraId="68E4E064" w14:textId="77777777">
            <w:pPr>
              <w:pStyle w:val="TableParagraph"/>
              <w:ind w:right="114"/>
              <w:rPr>
                <w:sz w:val="21"/>
              </w:rPr>
            </w:pPr>
            <w:r>
              <w:rPr>
                <w:spacing w:val="-5"/>
                <w:sz w:val="21"/>
              </w:rPr>
              <w:t>26</w:t>
            </w:r>
          </w:p>
        </w:tc>
      </w:tr>
      <w:tr w14:paraId="33267474" w14:textId="77777777">
        <w:tblPrEx>
          <w:tblW w:w="0" w:type="auto"/>
          <w:tblInd w:w="1238" w:type="dxa"/>
          <w:tblLayout w:type="fixed"/>
          <w:tblCellMar>
            <w:left w:w="0" w:type="dxa"/>
            <w:right w:w="0" w:type="dxa"/>
          </w:tblCellMar>
          <w:tblLook w:val="01E0"/>
        </w:tblPrEx>
        <w:trPr>
          <w:trHeight w:val="286"/>
        </w:trPr>
        <w:tc>
          <w:tcPr>
            <w:tcW w:w="2385" w:type="dxa"/>
          </w:tcPr>
          <w:p w:rsidR="003F5784" w14:paraId="0BCB5881" w14:textId="77777777">
            <w:pPr>
              <w:pStyle w:val="TableParagraph"/>
              <w:spacing w:before="0"/>
              <w:jc w:val="left"/>
              <w:rPr>
                <w:sz w:val="18"/>
              </w:rPr>
            </w:pPr>
          </w:p>
        </w:tc>
        <w:tc>
          <w:tcPr>
            <w:tcW w:w="2763" w:type="dxa"/>
          </w:tcPr>
          <w:p w:rsidR="003F5784" w14:paraId="130EF434" w14:textId="77777777">
            <w:pPr>
              <w:pStyle w:val="TableParagraph"/>
              <w:spacing w:before="0"/>
              <w:jc w:val="left"/>
              <w:rPr>
                <w:sz w:val="18"/>
              </w:rPr>
            </w:pPr>
          </w:p>
        </w:tc>
        <w:tc>
          <w:tcPr>
            <w:tcW w:w="4152" w:type="dxa"/>
          </w:tcPr>
          <w:p w:rsidR="003F5784" w14:paraId="3FBB303A" w14:textId="77777777">
            <w:pPr>
              <w:pStyle w:val="TableParagraph"/>
              <w:spacing w:before="0"/>
              <w:jc w:val="left"/>
              <w:rPr>
                <w:sz w:val="18"/>
              </w:rPr>
            </w:pPr>
          </w:p>
        </w:tc>
        <w:tc>
          <w:tcPr>
            <w:tcW w:w="3172" w:type="dxa"/>
          </w:tcPr>
          <w:p w:rsidR="003F5784" w14:paraId="0B3609E6" w14:textId="77777777">
            <w:pPr>
              <w:pStyle w:val="TableParagraph"/>
              <w:ind w:right="114"/>
              <w:rPr>
                <w:sz w:val="21"/>
              </w:rPr>
            </w:pPr>
            <w:r>
              <w:rPr>
                <w:spacing w:val="-5"/>
                <w:sz w:val="21"/>
              </w:rPr>
              <w:t>20</w:t>
            </w:r>
          </w:p>
        </w:tc>
      </w:tr>
      <w:tr w14:paraId="4F38F7E4" w14:textId="77777777">
        <w:tblPrEx>
          <w:tblW w:w="0" w:type="auto"/>
          <w:tblInd w:w="1238" w:type="dxa"/>
          <w:tblLayout w:type="fixed"/>
          <w:tblCellMar>
            <w:left w:w="0" w:type="dxa"/>
            <w:right w:w="0" w:type="dxa"/>
          </w:tblCellMar>
          <w:tblLook w:val="01E0"/>
        </w:tblPrEx>
        <w:trPr>
          <w:trHeight w:val="289"/>
        </w:trPr>
        <w:tc>
          <w:tcPr>
            <w:tcW w:w="2385" w:type="dxa"/>
          </w:tcPr>
          <w:p w:rsidR="003F5784" w14:paraId="654E4CF2" w14:textId="77777777">
            <w:pPr>
              <w:pStyle w:val="TableParagraph"/>
              <w:spacing w:before="0"/>
              <w:jc w:val="left"/>
              <w:rPr>
                <w:sz w:val="18"/>
              </w:rPr>
            </w:pPr>
          </w:p>
        </w:tc>
        <w:tc>
          <w:tcPr>
            <w:tcW w:w="2763" w:type="dxa"/>
            <w:tcBorders>
              <w:bottom w:val="single" w:sz="12" w:space="0" w:color="800000"/>
            </w:tcBorders>
          </w:tcPr>
          <w:p w:rsidR="003F5784" w14:paraId="07EAD2B5" w14:textId="77777777">
            <w:pPr>
              <w:pStyle w:val="TableParagraph"/>
              <w:spacing w:before="0"/>
              <w:jc w:val="left"/>
              <w:rPr>
                <w:sz w:val="18"/>
              </w:rPr>
            </w:pPr>
          </w:p>
        </w:tc>
        <w:tc>
          <w:tcPr>
            <w:tcW w:w="4152" w:type="dxa"/>
            <w:tcBorders>
              <w:bottom w:val="single" w:sz="12" w:space="0" w:color="800000"/>
            </w:tcBorders>
          </w:tcPr>
          <w:p w:rsidR="003F5784" w14:paraId="56A227B8" w14:textId="77777777">
            <w:pPr>
              <w:pStyle w:val="TableParagraph"/>
              <w:spacing w:before="0"/>
              <w:jc w:val="left"/>
              <w:rPr>
                <w:sz w:val="18"/>
              </w:rPr>
            </w:pPr>
          </w:p>
        </w:tc>
        <w:tc>
          <w:tcPr>
            <w:tcW w:w="3172" w:type="dxa"/>
            <w:tcBorders>
              <w:bottom w:val="single" w:sz="12" w:space="0" w:color="800000"/>
            </w:tcBorders>
          </w:tcPr>
          <w:p w:rsidR="003F5784" w14:paraId="25DAA000" w14:textId="77777777">
            <w:pPr>
              <w:pStyle w:val="TableParagraph"/>
              <w:ind w:right="114"/>
              <w:rPr>
                <w:sz w:val="21"/>
              </w:rPr>
            </w:pPr>
            <w:r>
              <w:rPr>
                <w:spacing w:val="-5"/>
                <w:sz w:val="21"/>
              </w:rPr>
              <w:t>18</w:t>
            </w:r>
          </w:p>
        </w:tc>
      </w:tr>
      <w:tr w14:paraId="195464FC" w14:textId="77777777">
        <w:tblPrEx>
          <w:tblW w:w="0" w:type="auto"/>
          <w:tblInd w:w="1238" w:type="dxa"/>
          <w:tblLayout w:type="fixed"/>
          <w:tblCellMar>
            <w:left w:w="0" w:type="dxa"/>
            <w:right w:w="0" w:type="dxa"/>
          </w:tblCellMar>
          <w:tblLook w:val="01E0"/>
        </w:tblPrEx>
        <w:trPr>
          <w:trHeight w:val="266"/>
        </w:trPr>
        <w:tc>
          <w:tcPr>
            <w:tcW w:w="2385" w:type="dxa"/>
          </w:tcPr>
          <w:p w:rsidR="003F5784" w14:paraId="578AC223" w14:textId="77777777">
            <w:pPr>
              <w:pStyle w:val="TableParagraph"/>
              <w:spacing w:before="0"/>
              <w:jc w:val="left"/>
              <w:rPr>
                <w:sz w:val="18"/>
              </w:rPr>
            </w:pPr>
          </w:p>
        </w:tc>
        <w:tc>
          <w:tcPr>
            <w:tcW w:w="2763" w:type="dxa"/>
            <w:tcBorders>
              <w:top w:val="single" w:sz="12" w:space="0" w:color="800000"/>
            </w:tcBorders>
          </w:tcPr>
          <w:p w:rsidR="003F5784" w14:paraId="0146B088" w14:textId="77777777">
            <w:pPr>
              <w:pStyle w:val="TableParagraph"/>
              <w:spacing w:before="0" w:line="239" w:lineRule="exact"/>
              <w:ind w:left="117"/>
              <w:jc w:val="left"/>
              <w:rPr>
                <w:sz w:val="21"/>
              </w:rPr>
            </w:pPr>
            <w:r>
              <w:rPr>
                <w:sz w:val="21"/>
              </w:rPr>
              <w:t>Large</w:t>
            </w:r>
            <w:r>
              <w:rPr>
                <w:spacing w:val="-10"/>
                <w:sz w:val="21"/>
              </w:rPr>
              <w:t xml:space="preserve"> </w:t>
            </w:r>
            <w:r>
              <w:rPr>
                <w:spacing w:val="-4"/>
                <w:sz w:val="21"/>
              </w:rPr>
              <w:t>City</w:t>
            </w:r>
          </w:p>
        </w:tc>
        <w:tc>
          <w:tcPr>
            <w:tcW w:w="4152" w:type="dxa"/>
            <w:tcBorders>
              <w:top w:val="single" w:sz="12" w:space="0" w:color="800000"/>
            </w:tcBorders>
          </w:tcPr>
          <w:p w:rsidR="003F5784" w14:paraId="0FEEEF88" w14:textId="77777777">
            <w:pPr>
              <w:pStyle w:val="TableParagraph"/>
              <w:spacing w:before="0" w:line="239" w:lineRule="exact"/>
              <w:ind w:left="117"/>
              <w:jc w:val="left"/>
              <w:rPr>
                <w:sz w:val="21"/>
              </w:rPr>
            </w:pPr>
            <w:r>
              <w:rPr>
                <w:sz w:val="21"/>
              </w:rPr>
              <w:t>Low</w:t>
            </w:r>
            <w:r>
              <w:rPr>
                <w:spacing w:val="-5"/>
                <w:sz w:val="21"/>
              </w:rPr>
              <w:t xml:space="preserve"> </w:t>
            </w:r>
            <w:r>
              <w:rPr>
                <w:spacing w:val="-2"/>
                <w:sz w:val="21"/>
              </w:rPr>
              <w:t>minority</w:t>
            </w:r>
          </w:p>
        </w:tc>
        <w:tc>
          <w:tcPr>
            <w:tcW w:w="3172" w:type="dxa"/>
            <w:tcBorders>
              <w:top w:val="single" w:sz="12" w:space="0" w:color="800000"/>
            </w:tcBorders>
          </w:tcPr>
          <w:p w:rsidR="003F5784" w14:paraId="5C67E8A2" w14:textId="77777777">
            <w:pPr>
              <w:pStyle w:val="TableParagraph"/>
              <w:spacing w:before="0" w:line="239" w:lineRule="exact"/>
              <w:ind w:right="114"/>
              <w:rPr>
                <w:sz w:val="21"/>
              </w:rPr>
            </w:pPr>
            <w:r>
              <w:rPr>
                <w:spacing w:val="-5"/>
                <w:sz w:val="21"/>
              </w:rPr>
              <w:t>15</w:t>
            </w:r>
          </w:p>
        </w:tc>
      </w:tr>
      <w:tr w14:paraId="639A8150" w14:textId="77777777">
        <w:tblPrEx>
          <w:tblW w:w="0" w:type="auto"/>
          <w:tblInd w:w="1238" w:type="dxa"/>
          <w:tblLayout w:type="fixed"/>
          <w:tblCellMar>
            <w:left w:w="0" w:type="dxa"/>
            <w:right w:w="0" w:type="dxa"/>
          </w:tblCellMar>
          <w:tblLook w:val="01E0"/>
        </w:tblPrEx>
        <w:trPr>
          <w:trHeight w:val="286"/>
        </w:trPr>
        <w:tc>
          <w:tcPr>
            <w:tcW w:w="2385" w:type="dxa"/>
          </w:tcPr>
          <w:p w:rsidR="003F5784" w14:paraId="55B2D656" w14:textId="77777777">
            <w:pPr>
              <w:pStyle w:val="TableParagraph"/>
              <w:spacing w:before="0"/>
              <w:jc w:val="left"/>
              <w:rPr>
                <w:sz w:val="18"/>
              </w:rPr>
            </w:pPr>
          </w:p>
        </w:tc>
        <w:tc>
          <w:tcPr>
            <w:tcW w:w="2763" w:type="dxa"/>
          </w:tcPr>
          <w:p w:rsidR="003F5784" w14:paraId="48D58353" w14:textId="77777777">
            <w:pPr>
              <w:pStyle w:val="TableParagraph"/>
              <w:spacing w:before="0"/>
              <w:jc w:val="left"/>
              <w:rPr>
                <w:sz w:val="18"/>
              </w:rPr>
            </w:pPr>
          </w:p>
        </w:tc>
        <w:tc>
          <w:tcPr>
            <w:tcW w:w="4152" w:type="dxa"/>
          </w:tcPr>
          <w:p w:rsidR="003F5784" w14:paraId="421BD813" w14:textId="77777777">
            <w:pPr>
              <w:pStyle w:val="TableParagraph"/>
              <w:spacing w:before="0"/>
              <w:jc w:val="left"/>
              <w:rPr>
                <w:sz w:val="18"/>
              </w:rPr>
            </w:pPr>
          </w:p>
        </w:tc>
        <w:tc>
          <w:tcPr>
            <w:tcW w:w="3172" w:type="dxa"/>
          </w:tcPr>
          <w:p w:rsidR="003F5784" w14:paraId="413D3156" w14:textId="77777777">
            <w:pPr>
              <w:pStyle w:val="TableParagraph"/>
              <w:ind w:right="114"/>
              <w:rPr>
                <w:sz w:val="21"/>
              </w:rPr>
            </w:pPr>
            <w:r>
              <w:rPr>
                <w:spacing w:val="-5"/>
                <w:sz w:val="21"/>
              </w:rPr>
              <w:t>25</w:t>
            </w:r>
          </w:p>
        </w:tc>
      </w:tr>
      <w:tr w14:paraId="295EA265" w14:textId="77777777">
        <w:tblPrEx>
          <w:tblW w:w="0" w:type="auto"/>
          <w:tblInd w:w="1238" w:type="dxa"/>
          <w:tblLayout w:type="fixed"/>
          <w:tblCellMar>
            <w:left w:w="0" w:type="dxa"/>
            <w:right w:w="0" w:type="dxa"/>
          </w:tblCellMar>
          <w:tblLook w:val="01E0"/>
        </w:tblPrEx>
        <w:trPr>
          <w:trHeight w:val="286"/>
        </w:trPr>
        <w:tc>
          <w:tcPr>
            <w:tcW w:w="2385" w:type="dxa"/>
          </w:tcPr>
          <w:p w:rsidR="003F5784" w14:paraId="395FC86F" w14:textId="77777777">
            <w:pPr>
              <w:pStyle w:val="TableParagraph"/>
              <w:spacing w:before="0"/>
              <w:jc w:val="left"/>
              <w:rPr>
                <w:sz w:val="18"/>
              </w:rPr>
            </w:pPr>
          </w:p>
        </w:tc>
        <w:tc>
          <w:tcPr>
            <w:tcW w:w="2763" w:type="dxa"/>
          </w:tcPr>
          <w:p w:rsidR="003F5784" w14:paraId="2A991328" w14:textId="77777777">
            <w:pPr>
              <w:pStyle w:val="TableParagraph"/>
              <w:spacing w:before="0"/>
              <w:jc w:val="left"/>
              <w:rPr>
                <w:sz w:val="18"/>
              </w:rPr>
            </w:pPr>
          </w:p>
        </w:tc>
        <w:tc>
          <w:tcPr>
            <w:tcW w:w="4152" w:type="dxa"/>
          </w:tcPr>
          <w:p w:rsidR="003F5784" w14:paraId="4D80AE49" w14:textId="77777777">
            <w:pPr>
              <w:pStyle w:val="TableParagraph"/>
              <w:spacing w:before="0"/>
              <w:jc w:val="left"/>
              <w:rPr>
                <w:sz w:val="18"/>
              </w:rPr>
            </w:pPr>
          </w:p>
        </w:tc>
        <w:tc>
          <w:tcPr>
            <w:tcW w:w="3172" w:type="dxa"/>
          </w:tcPr>
          <w:p w:rsidR="003F5784" w14:paraId="5CAB0EAB" w14:textId="77777777">
            <w:pPr>
              <w:pStyle w:val="TableParagraph"/>
              <w:ind w:right="114"/>
              <w:rPr>
                <w:sz w:val="21"/>
              </w:rPr>
            </w:pPr>
            <w:r>
              <w:rPr>
                <w:spacing w:val="-5"/>
                <w:sz w:val="21"/>
              </w:rPr>
              <w:t>27</w:t>
            </w:r>
          </w:p>
        </w:tc>
      </w:tr>
      <w:tr w14:paraId="7D182EBA" w14:textId="77777777">
        <w:tblPrEx>
          <w:tblW w:w="0" w:type="auto"/>
          <w:tblInd w:w="1238" w:type="dxa"/>
          <w:tblLayout w:type="fixed"/>
          <w:tblCellMar>
            <w:left w:w="0" w:type="dxa"/>
            <w:right w:w="0" w:type="dxa"/>
          </w:tblCellMar>
          <w:tblLook w:val="01E0"/>
        </w:tblPrEx>
        <w:trPr>
          <w:trHeight w:val="289"/>
        </w:trPr>
        <w:tc>
          <w:tcPr>
            <w:tcW w:w="2385" w:type="dxa"/>
          </w:tcPr>
          <w:p w:rsidR="003F5784" w14:paraId="2E88C23A" w14:textId="77777777">
            <w:pPr>
              <w:pStyle w:val="TableParagraph"/>
              <w:spacing w:before="0"/>
              <w:jc w:val="left"/>
              <w:rPr>
                <w:sz w:val="18"/>
              </w:rPr>
            </w:pPr>
          </w:p>
        </w:tc>
        <w:tc>
          <w:tcPr>
            <w:tcW w:w="2763" w:type="dxa"/>
          </w:tcPr>
          <w:p w:rsidR="003F5784" w14:paraId="4F8FF420" w14:textId="77777777">
            <w:pPr>
              <w:pStyle w:val="TableParagraph"/>
              <w:spacing w:before="0"/>
              <w:jc w:val="left"/>
              <w:rPr>
                <w:sz w:val="18"/>
              </w:rPr>
            </w:pPr>
          </w:p>
        </w:tc>
        <w:tc>
          <w:tcPr>
            <w:tcW w:w="4152" w:type="dxa"/>
            <w:tcBorders>
              <w:bottom w:val="single" w:sz="12" w:space="0" w:color="800000"/>
            </w:tcBorders>
          </w:tcPr>
          <w:p w:rsidR="003F5784" w14:paraId="60954D49" w14:textId="77777777">
            <w:pPr>
              <w:pStyle w:val="TableParagraph"/>
              <w:spacing w:before="0"/>
              <w:jc w:val="left"/>
              <w:rPr>
                <w:sz w:val="18"/>
              </w:rPr>
            </w:pPr>
          </w:p>
        </w:tc>
        <w:tc>
          <w:tcPr>
            <w:tcW w:w="3172" w:type="dxa"/>
            <w:tcBorders>
              <w:bottom w:val="single" w:sz="12" w:space="0" w:color="800000"/>
            </w:tcBorders>
          </w:tcPr>
          <w:p w:rsidR="003F5784" w14:paraId="5AC2C54E" w14:textId="77777777">
            <w:pPr>
              <w:pStyle w:val="TableParagraph"/>
              <w:ind w:right="114"/>
              <w:rPr>
                <w:sz w:val="21"/>
              </w:rPr>
            </w:pPr>
            <w:r>
              <w:rPr>
                <w:spacing w:val="-5"/>
                <w:sz w:val="21"/>
              </w:rPr>
              <w:t>31</w:t>
            </w:r>
          </w:p>
        </w:tc>
      </w:tr>
      <w:tr w14:paraId="19CC7044" w14:textId="77777777">
        <w:tblPrEx>
          <w:tblW w:w="0" w:type="auto"/>
          <w:tblInd w:w="1238" w:type="dxa"/>
          <w:tblLayout w:type="fixed"/>
          <w:tblCellMar>
            <w:left w:w="0" w:type="dxa"/>
            <w:right w:w="0" w:type="dxa"/>
          </w:tblCellMar>
          <w:tblLook w:val="01E0"/>
        </w:tblPrEx>
        <w:trPr>
          <w:trHeight w:val="266"/>
        </w:trPr>
        <w:tc>
          <w:tcPr>
            <w:tcW w:w="2385" w:type="dxa"/>
          </w:tcPr>
          <w:p w:rsidR="003F5784" w14:paraId="23C59D44" w14:textId="77777777">
            <w:pPr>
              <w:pStyle w:val="TableParagraph"/>
              <w:spacing w:before="0"/>
              <w:jc w:val="left"/>
              <w:rPr>
                <w:sz w:val="18"/>
              </w:rPr>
            </w:pPr>
          </w:p>
        </w:tc>
        <w:tc>
          <w:tcPr>
            <w:tcW w:w="2763" w:type="dxa"/>
          </w:tcPr>
          <w:p w:rsidR="003F5784" w14:paraId="6F2F11BE" w14:textId="77777777">
            <w:pPr>
              <w:pStyle w:val="TableParagraph"/>
              <w:spacing w:before="0"/>
              <w:jc w:val="left"/>
              <w:rPr>
                <w:sz w:val="18"/>
              </w:rPr>
            </w:pPr>
          </w:p>
        </w:tc>
        <w:tc>
          <w:tcPr>
            <w:tcW w:w="4152" w:type="dxa"/>
            <w:tcBorders>
              <w:top w:val="single" w:sz="12" w:space="0" w:color="800000"/>
            </w:tcBorders>
          </w:tcPr>
          <w:p w:rsidR="003F5784" w14:paraId="7BC89045" w14:textId="77777777">
            <w:pPr>
              <w:pStyle w:val="TableParagraph"/>
              <w:spacing w:before="0" w:line="239" w:lineRule="exact"/>
              <w:ind w:left="117"/>
              <w:jc w:val="left"/>
              <w:rPr>
                <w:sz w:val="21"/>
              </w:rPr>
            </w:pPr>
            <w:r>
              <w:rPr>
                <w:sz w:val="21"/>
              </w:rPr>
              <w:t>High</w:t>
            </w:r>
            <w:r>
              <w:rPr>
                <w:spacing w:val="-6"/>
                <w:sz w:val="21"/>
              </w:rPr>
              <w:t xml:space="preserve"> </w:t>
            </w:r>
            <w:r>
              <w:rPr>
                <w:spacing w:val="-2"/>
                <w:sz w:val="21"/>
              </w:rPr>
              <w:t>minority</w:t>
            </w:r>
          </w:p>
        </w:tc>
        <w:tc>
          <w:tcPr>
            <w:tcW w:w="3172" w:type="dxa"/>
            <w:tcBorders>
              <w:top w:val="single" w:sz="12" w:space="0" w:color="800000"/>
            </w:tcBorders>
          </w:tcPr>
          <w:p w:rsidR="003F5784" w14:paraId="585396C9" w14:textId="77777777">
            <w:pPr>
              <w:pStyle w:val="TableParagraph"/>
              <w:spacing w:before="0" w:line="239" w:lineRule="exact"/>
              <w:ind w:right="114"/>
              <w:rPr>
                <w:sz w:val="21"/>
              </w:rPr>
            </w:pPr>
            <w:r>
              <w:rPr>
                <w:spacing w:val="-5"/>
                <w:sz w:val="21"/>
              </w:rPr>
              <w:t>35</w:t>
            </w:r>
          </w:p>
        </w:tc>
      </w:tr>
      <w:tr w14:paraId="29508EE9" w14:textId="77777777">
        <w:tblPrEx>
          <w:tblW w:w="0" w:type="auto"/>
          <w:tblInd w:w="1238" w:type="dxa"/>
          <w:tblLayout w:type="fixed"/>
          <w:tblCellMar>
            <w:left w:w="0" w:type="dxa"/>
            <w:right w:w="0" w:type="dxa"/>
          </w:tblCellMar>
          <w:tblLook w:val="01E0"/>
        </w:tblPrEx>
        <w:trPr>
          <w:trHeight w:val="286"/>
        </w:trPr>
        <w:tc>
          <w:tcPr>
            <w:tcW w:w="2385" w:type="dxa"/>
          </w:tcPr>
          <w:p w:rsidR="003F5784" w14:paraId="52FBB2F9" w14:textId="77777777">
            <w:pPr>
              <w:pStyle w:val="TableParagraph"/>
              <w:spacing w:before="0"/>
              <w:jc w:val="left"/>
              <w:rPr>
                <w:sz w:val="18"/>
              </w:rPr>
            </w:pPr>
          </w:p>
        </w:tc>
        <w:tc>
          <w:tcPr>
            <w:tcW w:w="2763" w:type="dxa"/>
          </w:tcPr>
          <w:p w:rsidR="003F5784" w14:paraId="1D0DE53B" w14:textId="77777777">
            <w:pPr>
              <w:pStyle w:val="TableParagraph"/>
              <w:spacing w:before="0"/>
              <w:jc w:val="left"/>
              <w:rPr>
                <w:sz w:val="18"/>
              </w:rPr>
            </w:pPr>
          </w:p>
        </w:tc>
        <w:tc>
          <w:tcPr>
            <w:tcW w:w="4152" w:type="dxa"/>
          </w:tcPr>
          <w:p w:rsidR="003F5784" w14:paraId="391FDC0E" w14:textId="77777777">
            <w:pPr>
              <w:pStyle w:val="TableParagraph"/>
              <w:spacing w:before="0"/>
              <w:jc w:val="left"/>
              <w:rPr>
                <w:sz w:val="18"/>
              </w:rPr>
            </w:pPr>
          </w:p>
        </w:tc>
        <w:tc>
          <w:tcPr>
            <w:tcW w:w="3172" w:type="dxa"/>
          </w:tcPr>
          <w:p w:rsidR="003F5784" w14:paraId="1649D3D7" w14:textId="77777777">
            <w:pPr>
              <w:pStyle w:val="TableParagraph"/>
              <w:ind w:right="114"/>
              <w:rPr>
                <w:sz w:val="21"/>
              </w:rPr>
            </w:pPr>
            <w:r>
              <w:rPr>
                <w:spacing w:val="-5"/>
                <w:sz w:val="21"/>
              </w:rPr>
              <w:t>32</w:t>
            </w:r>
          </w:p>
        </w:tc>
      </w:tr>
      <w:tr w14:paraId="634F2666" w14:textId="77777777">
        <w:tblPrEx>
          <w:tblW w:w="0" w:type="auto"/>
          <w:tblInd w:w="1238" w:type="dxa"/>
          <w:tblLayout w:type="fixed"/>
          <w:tblCellMar>
            <w:left w:w="0" w:type="dxa"/>
            <w:right w:w="0" w:type="dxa"/>
          </w:tblCellMar>
          <w:tblLook w:val="01E0"/>
        </w:tblPrEx>
        <w:trPr>
          <w:trHeight w:val="286"/>
        </w:trPr>
        <w:tc>
          <w:tcPr>
            <w:tcW w:w="2385" w:type="dxa"/>
          </w:tcPr>
          <w:p w:rsidR="003F5784" w14:paraId="12875624" w14:textId="77777777">
            <w:pPr>
              <w:pStyle w:val="TableParagraph"/>
              <w:spacing w:before="0"/>
              <w:jc w:val="left"/>
              <w:rPr>
                <w:sz w:val="18"/>
              </w:rPr>
            </w:pPr>
          </w:p>
        </w:tc>
        <w:tc>
          <w:tcPr>
            <w:tcW w:w="2763" w:type="dxa"/>
          </w:tcPr>
          <w:p w:rsidR="003F5784" w14:paraId="6D006038" w14:textId="77777777">
            <w:pPr>
              <w:pStyle w:val="TableParagraph"/>
              <w:spacing w:before="0"/>
              <w:jc w:val="left"/>
              <w:rPr>
                <w:sz w:val="18"/>
              </w:rPr>
            </w:pPr>
          </w:p>
        </w:tc>
        <w:tc>
          <w:tcPr>
            <w:tcW w:w="4152" w:type="dxa"/>
          </w:tcPr>
          <w:p w:rsidR="003F5784" w14:paraId="42782693" w14:textId="77777777">
            <w:pPr>
              <w:pStyle w:val="TableParagraph"/>
              <w:spacing w:before="0"/>
              <w:jc w:val="left"/>
              <w:rPr>
                <w:sz w:val="18"/>
              </w:rPr>
            </w:pPr>
          </w:p>
        </w:tc>
        <w:tc>
          <w:tcPr>
            <w:tcW w:w="3172" w:type="dxa"/>
          </w:tcPr>
          <w:p w:rsidR="003F5784" w14:paraId="166CB457" w14:textId="77777777">
            <w:pPr>
              <w:pStyle w:val="TableParagraph"/>
              <w:ind w:right="114"/>
              <w:rPr>
                <w:sz w:val="21"/>
              </w:rPr>
            </w:pPr>
            <w:r>
              <w:rPr>
                <w:spacing w:val="-5"/>
                <w:sz w:val="21"/>
              </w:rPr>
              <w:t>30</w:t>
            </w:r>
          </w:p>
        </w:tc>
      </w:tr>
      <w:tr w14:paraId="4F8B8FCD" w14:textId="77777777">
        <w:tblPrEx>
          <w:tblW w:w="0" w:type="auto"/>
          <w:tblInd w:w="1238" w:type="dxa"/>
          <w:tblLayout w:type="fixed"/>
          <w:tblCellMar>
            <w:left w:w="0" w:type="dxa"/>
            <w:right w:w="0" w:type="dxa"/>
          </w:tblCellMar>
          <w:tblLook w:val="01E0"/>
        </w:tblPrEx>
        <w:trPr>
          <w:trHeight w:val="289"/>
        </w:trPr>
        <w:tc>
          <w:tcPr>
            <w:tcW w:w="2385" w:type="dxa"/>
            <w:tcBorders>
              <w:bottom w:val="single" w:sz="18" w:space="0" w:color="800000"/>
            </w:tcBorders>
          </w:tcPr>
          <w:p w:rsidR="003F5784" w14:paraId="6E810B1E" w14:textId="77777777">
            <w:pPr>
              <w:pStyle w:val="TableParagraph"/>
              <w:spacing w:before="0"/>
              <w:jc w:val="left"/>
              <w:rPr>
                <w:sz w:val="18"/>
              </w:rPr>
            </w:pPr>
          </w:p>
        </w:tc>
        <w:tc>
          <w:tcPr>
            <w:tcW w:w="2763" w:type="dxa"/>
            <w:tcBorders>
              <w:bottom w:val="single" w:sz="18" w:space="0" w:color="800000"/>
            </w:tcBorders>
          </w:tcPr>
          <w:p w:rsidR="003F5784" w14:paraId="67946599" w14:textId="77777777">
            <w:pPr>
              <w:pStyle w:val="TableParagraph"/>
              <w:spacing w:before="0"/>
              <w:jc w:val="left"/>
              <w:rPr>
                <w:sz w:val="18"/>
              </w:rPr>
            </w:pPr>
          </w:p>
        </w:tc>
        <w:tc>
          <w:tcPr>
            <w:tcW w:w="4152" w:type="dxa"/>
            <w:tcBorders>
              <w:bottom w:val="single" w:sz="18" w:space="0" w:color="800000"/>
            </w:tcBorders>
          </w:tcPr>
          <w:p w:rsidR="003F5784" w14:paraId="430A8768" w14:textId="77777777">
            <w:pPr>
              <w:pStyle w:val="TableParagraph"/>
              <w:spacing w:before="0"/>
              <w:jc w:val="left"/>
              <w:rPr>
                <w:sz w:val="18"/>
              </w:rPr>
            </w:pPr>
          </w:p>
        </w:tc>
        <w:tc>
          <w:tcPr>
            <w:tcW w:w="3172" w:type="dxa"/>
            <w:tcBorders>
              <w:bottom w:val="single" w:sz="18" w:space="0" w:color="800000"/>
            </w:tcBorders>
          </w:tcPr>
          <w:p w:rsidR="003F5784" w14:paraId="05F97F0B" w14:textId="77777777">
            <w:pPr>
              <w:pStyle w:val="TableParagraph"/>
              <w:ind w:right="114"/>
              <w:rPr>
                <w:sz w:val="21"/>
              </w:rPr>
            </w:pPr>
            <w:r>
              <w:rPr>
                <w:spacing w:val="-5"/>
                <w:sz w:val="21"/>
              </w:rPr>
              <w:t>28</w:t>
            </w:r>
          </w:p>
        </w:tc>
      </w:tr>
    </w:tbl>
    <w:p w:rsidR="003F5784" w14:paraId="38189E43" w14:textId="77777777">
      <w:pPr>
        <w:pStyle w:val="BodyText"/>
        <w:spacing w:before="9" w:line="232" w:lineRule="auto"/>
        <w:ind w:left="1348" w:right="1264"/>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 Educational Progress (NAEP), 2022 State Mathematics and Reading</w:t>
      </w:r>
      <w:r>
        <w:rPr>
          <w:spacing w:val="-1"/>
        </w:rPr>
        <w:t xml:space="preserve"> </w:t>
      </w:r>
      <w:r>
        <w:t>Assessments.</w:t>
      </w:r>
    </w:p>
    <w:p w:rsidR="003F5784" w14:paraId="237C54AC" w14:textId="77777777">
      <w:pPr>
        <w:pStyle w:val="BodyText"/>
      </w:pPr>
    </w:p>
    <w:p w:rsidR="003F5784" w14:paraId="73C90646" w14:textId="77777777">
      <w:pPr>
        <w:pStyle w:val="BodyText"/>
      </w:pPr>
    </w:p>
    <w:p w:rsidR="003F5784" w14:paraId="0202A9B0" w14:textId="77777777">
      <w:pPr>
        <w:pStyle w:val="BodyText"/>
      </w:pPr>
    </w:p>
    <w:p w:rsidR="003F5784" w14:paraId="3B347AF6" w14:textId="77777777">
      <w:pPr>
        <w:pStyle w:val="BodyText"/>
      </w:pPr>
    </w:p>
    <w:p w:rsidR="003F5784" w14:paraId="675E07C8" w14:textId="77777777">
      <w:pPr>
        <w:pStyle w:val="BodyText"/>
        <w:spacing w:before="131"/>
      </w:pPr>
    </w:p>
    <w:p w:rsidR="003F5784" w14:paraId="1D5D8163" w14:textId="77777777">
      <w:pPr>
        <w:ind w:left="5563"/>
        <w:rPr>
          <w:sz w:val="18"/>
        </w:rPr>
      </w:pPr>
      <w:hyperlink r:id="rId341">
        <w:r>
          <w:rPr>
            <w:spacing w:val="-2"/>
            <w:w w:val="105"/>
            <w:sz w:val="18"/>
          </w:rPr>
          <w:t>http://nces.ed.gov/nationsreportcard/tdw/sample_design/2022/stratification_variables_for_the_2022_state_assessment.aspx</w:t>
        </w:r>
      </w:hyperlink>
    </w:p>
    <w:p w:rsidR="003F5784" w14:paraId="273984DD" w14:textId="77777777">
      <w:pPr>
        <w:pStyle w:val="BodyText"/>
        <w:spacing w:before="1"/>
        <w:rPr>
          <w:sz w:val="16"/>
        </w:rPr>
      </w:pPr>
      <w:r>
        <w:rPr>
          <w:noProof/>
        </w:rPr>
        <mc:AlternateContent>
          <mc:Choice Requires="wps">
            <w:drawing>
              <wp:anchor distT="0" distB="0" distL="0" distR="0" simplePos="0" relativeHeight="251948032" behindDoc="1" locked="0" layoutInCell="1" allowOverlap="1">
                <wp:simplePos x="0" y="0"/>
                <wp:positionH relativeFrom="page">
                  <wp:posOffset>361937</wp:posOffset>
                </wp:positionH>
                <wp:positionV relativeFrom="paragraph">
                  <wp:posOffset>132654</wp:posOffset>
                </wp:positionV>
                <wp:extent cx="9339580" cy="8890"/>
                <wp:effectExtent l="0" t="0" r="0" b="0"/>
                <wp:wrapTopAndBottom/>
                <wp:docPr id="441" name="Graphic 441"/>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441" o:spid="_x0000_s1153" style="width:735.4pt;height:0.7pt;margin-top:10.45pt;margin-left:28.5pt;mso-position-horizontal-relative:page;mso-wrap-distance-bottom:0;mso-wrap-distance-left:0;mso-wrap-distance-right:0;mso-wrap-distance-top:0;mso-wrap-style:square;position:absolute;visibility:visible;v-text-anchor:top;z-index:-251367424" coordsize="9339580,8890" path="m9338970,l9335110,l,,,8280l8280,8280l9335110,8280l9338970,8280l9338970,xe" fillcolor="gray" stroked="f">
                <v:path arrowok="t"/>
                <w10:wrap type="topAndBottom"/>
              </v:shape>
            </w:pict>
          </mc:Fallback>
        </mc:AlternateContent>
      </w:r>
    </w:p>
    <w:p w:rsidR="003F5784" w14:paraId="64AADA37" w14:textId="77777777">
      <w:pPr>
        <w:rPr>
          <w:sz w:val="16"/>
        </w:rPr>
        <w:sectPr>
          <w:pgSz w:w="15840" w:h="12240" w:orient="landscape"/>
          <w:pgMar w:top="480" w:right="440" w:bottom="460" w:left="460" w:header="284" w:footer="275" w:gutter="0"/>
          <w:cols w:space="720"/>
        </w:sectPr>
      </w:pPr>
    </w:p>
    <w:p w:rsidR="003F5784" w14:paraId="09825836" w14:textId="0E51F295">
      <w:pPr>
        <w:pStyle w:val="Heading1"/>
        <w:spacing w:before="81" w:line="244" w:lineRule="auto"/>
      </w:pPr>
      <w:r>
        <w:t>NAEP</w:t>
      </w:r>
      <w:r>
        <w:rPr>
          <w:spacing w:val="-18"/>
        </w:rPr>
        <w:t xml:space="preserve"> </w:t>
      </w:r>
      <w:r>
        <w:t>Technical Documentation</w:t>
      </w:r>
      <w:r w:rsidR="00E3225D">
        <w:t xml:space="preserve"> </w:t>
      </w:r>
      <w:r>
        <w:t xml:space="preserve">Missing Stratification Variables for the 2022 State </w:t>
      </w:r>
      <w:r>
        <w:rPr>
          <w:spacing w:val="-2"/>
        </w:rPr>
        <w:t>Assessment</w:t>
      </w:r>
    </w:p>
    <w:p w:rsidR="003F5784" w14:paraId="687EB621" w14:textId="77777777">
      <w:pPr>
        <w:pStyle w:val="BodyText"/>
        <w:spacing w:before="267"/>
        <w:ind w:left="109"/>
      </w:pPr>
      <w:r>
        <w:t>Schools</w:t>
      </w:r>
      <w:r>
        <w:rPr>
          <w:spacing w:val="-7"/>
        </w:rPr>
        <w:t xml:space="preserve"> </w:t>
      </w:r>
      <w:r>
        <w:t>with</w:t>
      </w:r>
      <w:r>
        <w:rPr>
          <w:spacing w:val="-6"/>
        </w:rPr>
        <w:t xml:space="preserve"> </w:t>
      </w:r>
      <w:r>
        <w:t>missing</w:t>
      </w:r>
      <w:r>
        <w:rPr>
          <w:spacing w:val="-7"/>
        </w:rPr>
        <w:t xml:space="preserve"> </w:t>
      </w:r>
      <w:r>
        <w:t>stratification</w:t>
      </w:r>
      <w:r>
        <w:rPr>
          <w:spacing w:val="-6"/>
        </w:rPr>
        <w:t xml:space="preserve"> </w:t>
      </w:r>
      <w:r>
        <w:t>variables</w:t>
      </w:r>
      <w:r>
        <w:rPr>
          <w:spacing w:val="-7"/>
        </w:rPr>
        <w:t xml:space="preserve"> </w:t>
      </w:r>
      <w:r>
        <w:t>had</w:t>
      </w:r>
      <w:r>
        <w:rPr>
          <w:spacing w:val="-6"/>
        </w:rPr>
        <w:t xml:space="preserve"> </w:t>
      </w:r>
      <w:r>
        <w:t>their</w:t>
      </w:r>
      <w:r>
        <w:rPr>
          <w:spacing w:val="-6"/>
        </w:rPr>
        <w:t xml:space="preserve"> </w:t>
      </w:r>
      <w:r>
        <w:t>data</w:t>
      </w:r>
      <w:r>
        <w:rPr>
          <w:spacing w:val="-7"/>
        </w:rPr>
        <w:t xml:space="preserve"> </w:t>
      </w:r>
      <w:r>
        <w:t>imputed</w:t>
      </w:r>
      <w:r>
        <w:rPr>
          <w:spacing w:val="-6"/>
        </w:rPr>
        <w:t xml:space="preserve"> </w:t>
      </w:r>
      <w:r>
        <w:t>as</w:t>
      </w:r>
      <w:r>
        <w:rPr>
          <w:spacing w:val="-7"/>
        </w:rPr>
        <w:t xml:space="preserve"> </w:t>
      </w:r>
      <w:r>
        <w:rPr>
          <w:spacing w:val="-2"/>
        </w:rPr>
        <w:t>follows.</w:t>
      </w:r>
    </w:p>
    <w:p w:rsidR="003F5784" w14:paraId="601DF7C3" w14:textId="77777777">
      <w:pPr>
        <w:pStyle w:val="BodyText"/>
        <w:spacing w:before="234" w:line="232" w:lineRule="auto"/>
        <w:ind w:left="109" w:right="231"/>
      </w:pPr>
      <w:r>
        <w:t>Schools missing the urbanicity (urban-centric locale) variable were assigned the modal value of urbanicity for schools in the same five-digit zip code or the same city.</w:t>
      </w:r>
      <w:r>
        <w:rPr>
          <w:spacing w:val="-4"/>
        </w:rPr>
        <w:t xml:space="preserve"> </w:t>
      </w:r>
      <w:r>
        <w:t>The modal</w:t>
      </w:r>
      <w:r>
        <w:rPr>
          <w:spacing w:val="-5"/>
        </w:rPr>
        <w:t xml:space="preserve"> </w:t>
      </w:r>
      <w:r>
        <w:t>value</w:t>
      </w:r>
      <w:r>
        <w:rPr>
          <w:spacing w:val="-5"/>
        </w:rPr>
        <w:t xml:space="preserve"> </w:t>
      </w:r>
      <w:r>
        <w:t>is</w:t>
      </w:r>
      <w:r>
        <w:rPr>
          <w:spacing w:val="-5"/>
        </w:rPr>
        <w:t xml:space="preserve"> </w:t>
      </w:r>
      <w:r>
        <w:t>the</w:t>
      </w:r>
      <w:r>
        <w:rPr>
          <w:spacing w:val="-5"/>
        </w:rPr>
        <w:t xml:space="preserve"> </w:t>
      </w:r>
      <w:r>
        <w:t>value</w:t>
      </w:r>
      <w:r>
        <w:rPr>
          <w:spacing w:val="-5"/>
        </w:rPr>
        <w:t xml:space="preserve"> </w:t>
      </w:r>
      <w:r>
        <w:t>that</w:t>
      </w:r>
      <w:r>
        <w:rPr>
          <w:spacing w:val="-5"/>
        </w:rPr>
        <w:t xml:space="preserve"> </w:t>
      </w:r>
      <w:r>
        <w:t>occurs</w:t>
      </w:r>
      <w:r>
        <w:rPr>
          <w:spacing w:val="-5"/>
        </w:rPr>
        <w:t xml:space="preserve"> </w:t>
      </w:r>
      <w:r>
        <w:t>the</w:t>
      </w:r>
      <w:r>
        <w:rPr>
          <w:spacing w:val="-5"/>
        </w:rPr>
        <w:t xml:space="preserve"> </w:t>
      </w:r>
      <w:r>
        <w:t>most.</w:t>
      </w:r>
      <w:r>
        <w:rPr>
          <w:spacing w:val="-5"/>
        </w:rPr>
        <w:t xml:space="preserve"> </w:t>
      </w:r>
      <w:r>
        <w:t>For</w:t>
      </w:r>
      <w:r>
        <w:rPr>
          <w:spacing w:val="-5"/>
        </w:rPr>
        <w:t xml:space="preserve"> </w:t>
      </w:r>
      <w:r>
        <w:t>example,</w:t>
      </w:r>
      <w:r>
        <w:rPr>
          <w:spacing w:val="-5"/>
        </w:rPr>
        <w:t xml:space="preserve"> </w:t>
      </w:r>
      <w:r>
        <w:t>one</w:t>
      </w:r>
      <w:r>
        <w:rPr>
          <w:spacing w:val="-5"/>
        </w:rPr>
        <w:t xml:space="preserve"> </w:t>
      </w:r>
      <w:r>
        <w:t>school</w:t>
      </w:r>
      <w:r>
        <w:rPr>
          <w:spacing w:val="-5"/>
        </w:rPr>
        <w:t xml:space="preserve"> </w:t>
      </w:r>
      <w:r>
        <w:t>in</w:t>
      </w:r>
      <w:r>
        <w:rPr>
          <w:spacing w:val="-5"/>
        </w:rPr>
        <w:t xml:space="preserve"> </w:t>
      </w:r>
      <w:r>
        <w:t>zip</w:t>
      </w:r>
      <w:r>
        <w:rPr>
          <w:spacing w:val="-5"/>
        </w:rPr>
        <w:t xml:space="preserve"> </w:t>
      </w:r>
      <w:r>
        <w:t>code</w:t>
      </w:r>
      <w:r>
        <w:rPr>
          <w:spacing w:val="-5"/>
        </w:rPr>
        <w:t xml:space="preserve"> </w:t>
      </w:r>
      <w:r>
        <w:t>32305</w:t>
      </w:r>
      <w:r>
        <w:rPr>
          <w:spacing w:val="-5"/>
        </w:rPr>
        <w:t xml:space="preserve"> </w:t>
      </w:r>
      <w:r>
        <w:t>has</w:t>
      </w:r>
      <w:r>
        <w:rPr>
          <w:spacing w:val="-5"/>
        </w:rPr>
        <w:t xml:space="preserve"> </w:t>
      </w:r>
      <w:r>
        <w:t>missing</w:t>
      </w:r>
      <w:r>
        <w:rPr>
          <w:spacing w:val="-5"/>
        </w:rPr>
        <w:t xml:space="preserve"> </w:t>
      </w:r>
      <w:r>
        <w:t>urbanicity.</w:t>
      </w:r>
      <w:r>
        <w:rPr>
          <w:spacing w:val="-5"/>
        </w:rPr>
        <w:t xml:space="preserve"> </w:t>
      </w:r>
      <w:r>
        <w:t>In</w:t>
      </w:r>
      <w:r>
        <w:rPr>
          <w:spacing w:val="-5"/>
        </w:rPr>
        <w:t xml:space="preserve"> </w:t>
      </w:r>
      <w:r>
        <w:t>the</w:t>
      </w:r>
      <w:r>
        <w:rPr>
          <w:spacing w:val="-5"/>
        </w:rPr>
        <w:t xml:space="preserve"> </w:t>
      </w:r>
      <w:r>
        <w:t>same</w:t>
      </w:r>
      <w:r>
        <w:rPr>
          <w:spacing w:val="-5"/>
        </w:rPr>
        <w:t xml:space="preserve"> </w:t>
      </w:r>
      <w:r>
        <w:t>five-digit</w:t>
      </w:r>
      <w:r>
        <w:rPr>
          <w:spacing w:val="-5"/>
        </w:rPr>
        <w:t xml:space="preserve"> </w:t>
      </w:r>
      <w:r>
        <w:t>zip</w:t>
      </w:r>
      <w:r>
        <w:rPr>
          <w:spacing w:val="-5"/>
        </w:rPr>
        <w:t xml:space="preserve"> </w:t>
      </w:r>
      <w:r>
        <w:t>code</w:t>
      </w:r>
      <w:r>
        <w:rPr>
          <w:spacing w:val="-5"/>
        </w:rPr>
        <w:t xml:space="preserve"> </w:t>
      </w:r>
      <w:r>
        <w:t>area,</w:t>
      </w:r>
      <w:r>
        <w:rPr>
          <w:spacing w:val="-5"/>
        </w:rPr>
        <w:t xml:space="preserve"> </w:t>
      </w:r>
      <w:r>
        <w:t>there</w:t>
      </w:r>
      <w:r>
        <w:rPr>
          <w:spacing w:val="-5"/>
        </w:rPr>
        <w:t xml:space="preserve"> </w:t>
      </w:r>
      <w:r>
        <w:t>are</w:t>
      </w:r>
      <w:r>
        <w:rPr>
          <w:spacing w:val="-5"/>
        </w:rPr>
        <w:t xml:space="preserve"> </w:t>
      </w:r>
      <w:r>
        <w:t>20</w:t>
      </w:r>
      <w:r>
        <w:rPr>
          <w:spacing w:val="-5"/>
        </w:rPr>
        <w:t xml:space="preserve"> </w:t>
      </w:r>
      <w:r>
        <w:t>schools</w:t>
      </w:r>
      <w:r>
        <w:rPr>
          <w:spacing w:val="-5"/>
        </w:rPr>
        <w:t xml:space="preserve"> </w:t>
      </w:r>
      <w:r>
        <w:t>with non-missing urbanicity variable. Fifteen of them have an urbanicity value of "mid-size city", and the other five have an urbanicity value of "large suburb".</w:t>
      </w:r>
      <w:r>
        <w:rPr>
          <w:spacing w:val="-3"/>
        </w:rPr>
        <w:t xml:space="preserve"> </w:t>
      </w:r>
      <w:r>
        <w:t>The modal value</w:t>
      </w:r>
    </w:p>
    <w:p w:rsidR="003F5784" w14:paraId="78B6E3A1" w14:textId="77777777">
      <w:pPr>
        <w:pStyle w:val="BodyText"/>
        <w:spacing w:line="237" w:lineRule="exact"/>
        <w:ind w:left="109"/>
      </w:pPr>
      <w:r>
        <w:t>of</w:t>
      </w:r>
      <w:r>
        <w:rPr>
          <w:spacing w:val="-6"/>
        </w:rPr>
        <w:t xml:space="preserve"> </w:t>
      </w:r>
      <w:r>
        <w:t>urbanicity</w:t>
      </w:r>
      <w:r>
        <w:rPr>
          <w:spacing w:val="-5"/>
        </w:rPr>
        <w:t xml:space="preserve"> </w:t>
      </w:r>
      <w:r>
        <w:t>for</w:t>
      </w:r>
      <w:r>
        <w:rPr>
          <w:spacing w:val="-5"/>
        </w:rPr>
        <w:t xml:space="preserve"> </w:t>
      </w:r>
      <w:r>
        <w:t>schools</w:t>
      </w:r>
      <w:r>
        <w:rPr>
          <w:spacing w:val="-5"/>
        </w:rPr>
        <w:t xml:space="preserve"> </w:t>
      </w:r>
      <w:r>
        <w:t>in</w:t>
      </w:r>
      <w:r>
        <w:rPr>
          <w:spacing w:val="-5"/>
        </w:rPr>
        <w:t xml:space="preserve"> </w:t>
      </w:r>
      <w:r>
        <w:t>zip</w:t>
      </w:r>
      <w:r>
        <w:rPr>
          <w:spacing w:val="-6"/>
        </w:rPr>
        <w:t xml:space="preserve"> </w:t>
      </w:r>
      <w:r>
        <w:t>code</w:t>
      </w:r>
      <w:r>
        <w:rPr>
          <w:spacing w:val="-5"/>
        </w:rPr>
        <w:t xml:space="preserve"> </w:t>
      </w:r>
      <w:r>
        <w:t>32305</w:t>
      </w:r>
      <w:r>
        <w:rPr>
          <w:spacing w:val="-5"/>
        </w:rPr>
        <w:t xml:space="preserve"> </w:t>
      </w:r>
      <w:r>
        <w:t>is</w:t>
      </w:r>
      <w:r>
        <w:rPr>
          <w:spacing w:val="-5"/>
        </w:rPr>
        <w:t xml:space="preserve"> </w:t>
      </w:r>
      <w:r>
        <w:t>"mid-size</w:t>
      </w:r>
      <w:r>
        <w:rPr>
          <w:spacing w:val="-5"/>
        </w:rPr>
        <w:t xml:space="preserve"> </w:t>
      </w:r>
      <w:r>
        <w:rPr>
          <w:spacing w:val="-2"/>
        </w:rPr>
        <w:t>city".</w:t>
      </w:r>
    </w:p>
    <w:p w:rsidR="003F5784" w14:paraId="1B4797FE" w14:textId="77777777">
      <w:pPr>
        <w:pStyle w:val="BodyText"/>
        <w:spacing w:before="208" w:line="232" w:lineRule="auto"/>
        <w:ind w:left="109" w:right="179"/>
      </w:pPr>
      <w:r>
        <w:t>The</w:t>
      </w:r>
      <w:r>
        <w:rPr>
          <w:spacing w:val="-4"/>
        </w:rPr>
        <w:t xml:space="preserve"> </w:t>
      </w:r>
      <w:r>
        <w:t>mean</w:t>
      </w:r>
      <w:r>
        <w:rPr>
          <w:spacing w:val="-4"/>
        </w:rPr>
        <w:t xml:space="preserve"> </w:t>
      </w:r>
      <w:r>
        <w:t>ethnicity</w:t>
      </w:r>
      <w:r>
        <w:rPr>
          <w:spacing w:val="-4"/>
        </w:rPr>
        <w:t xml:space="preserve"> </w:t>
      </w:r>
      <w:r>
        <w:t>percentage</w:t>
      </w:r>
      <w:r>
        <w:rPr>
          <w:spacing w:val="-4"/>
        </w:rPr>
        <w:t xml:space="preserve"> </w:t>
      </w:r>
      <w:r>
        <w:t>was</w:t>
      </w:r>
      <w:r>
        <w:rPr>
          <w:spacing w:val="-4"/>
        </w:rPr>
        <w:t xml:space="preserve"> </w:t>
      </w:r>
      <w:r>
        <w:t>imputed</w:t>
      </w:r>
      <w:r>
        <w:rPr>
          <w:spacing w:val="-4"/>
        </w:rPr>
        <w:t xml:space="preserve"> </w:t>
      </w:r>
      <w:r>
        <w:t>at</w:t>
      </w:r>
      <w:r>
        <w:rPr>
          <w:spacing w:val="-4"/>
        </w:rPr>
        <w:t xml:space="preserve"> </w:t>
      </w:r>
      <w:r>
        <w:t>the</w:t>
      </w:r>
      <w:r>
        <w:rPr>
          <w:spacing w:val="-4"/>
        </w:rPr>
        <w:t xml:space="preserve"> </w:t>
      </w:r>
      <w:r>
        <w:t>five-digit</w:t>
      </w:r>
      <w:r>
        <w:rPr>
          <w:spacing w:val="-4"/>
        </w:rPr>
        <w:t xml:space="preserve"> </w:t>
      </w:r>
      <w:r>
        <w:t>zip</w:t>
      </w:r>
      <w:r>
        <w:rPr>
          <w:spacing w:val="-4"/>
        </w:rPr>
        <w:t xml:space="preserve"> </w:t>
      </w:r>
      <w:r>
        <w:t>code</w:t>
      </w:r>
      <w:r>
        <w:rPr>
          <w:spacing w:val="-4"/>
        </w:rPr>
        <w:t xml:space="preserve"> </w:t>
      </w:r>
      <w:r>
        <w:t>level</w:t>
      </w:r>
      <w:r>
        <w:rPr>
          <w:spacing w:val="-4"/>
        </w:rPr>
        <w:t xml:space="preserve"> </w:t>
      </w:r>
      <w:r>
        <w:t>only</w:t>
      </w:r>
      <w:r>
        <w:rPr>
          <w:spacing w:val="-4"/>
        </w:rPr>
        <w:t xml:space="preserve"> </w:t>
      </w:r>
      <w:r>
        <w:t>if</w:t>
      </w:r>
      <w:r>
        <w:rPr>
          <w:spacing w:val="-4"/>
        </w:rPr>
        <w:t xml:space="preserve"> </w:t>
      </w:r>
      <w:r>
        <w:t>all</w:t>
      </w:r>
      <w:r>
        <w:rPr>
          <w:spacing w:val="-4"/>
        </w:rPr>
        <w:t xml:space="preserve"> </w:t>
      </w:r>
      <w:r>
        <w:t>schools</w:t>
      </w:r>
      <w:r>
        <w:rPr>
          <w:spacing w:val="-4"/>
        </w:rPr>
        <w:t xml:space="preserve"> </w:t>
      </w:r>
      <w:r>
        <w:t>were</w:t>
      </w:r>
      <w:r>
        <w:rPr>
          <w:spacing w:val="-4"/>
        </w:rPr>
        <w:t xml:space="preserve"> </w:t>
      </w:r>
      <w:r>
        <w:t>missing</w:t>
      </w:r>
      <w:r>
        <w:rPr>
          <w:spacing w:val="-4"/>
        </w:rPr>
        <w:t xml:space="preserve"> </w:t>
      </w:r>
      <w:r>
        <w:t>ethnicity</w:t>
      </w:r>
      <w:r>
        <w:rPr>
          <w:spacing w:val="-4"/>
        </w:rPr>
        <w:t xml:space="preserve"> </w:t>
      </w:r>
      <w:r>
        <w:t>at</w:t>
      </w:r>
      <w:r>
        <w:rPr>
          <w:spacing w:val="-4"/>
        </w:rPr>
        <w:t xml:space="preserve"> </w:t>
      </w:r>
      <w:r>
        <w:t>the</w:t>
      </w:r>
      <w:r>
        <w:rPr>
          <w:spacing w:val="-4"/>
        </w:rPr>
        <w:t xml:space="preserve"> </w:t>
      </w:r>
      <w:r>
        <w:t>district</w:t>
      </w:r>
      <w:r>
        <w:rPr>
          <w:spacing w:val="-4"/>
        </w:rPr>
        <w:t xml:space="preserve"> </w:t>
      </w:r>
      <w:r>
        <w:t>level,</w:t>
      </w:r>
      <w:r>
        <w:rPr>
          <w:spacing w:val="-4"/>
        </w:rPr>
        <w:t xml:space="preserve"> </w:t>
      </w:r>
      <w:r>
        <w:t>and</w:t>
      </w:r>
      <w:r>
        <w:rPr>
          <w:spacing w:val="-4"/>
        </w:rPr>
        <w:t xml:space="preserve"> </w:t>
      </w:r>
      <w:r>
        <w:t>only</w:t>
      </w:r>
      <w:r>
        <w:rPr>
          <w:spacing w:val="-4"/>
        </w:rPr>
        <w:t xml:space="preserve"> </w:t>
      </w:r>
      <w:r>
        <w:t>at</w:t>
      </w:r>
      <w:r>
        <w:rPr>
          <w:spacing w:val="-4"/>
        </w:rPr>
        <w:t xml:space="preserve"> </w:t>
      </w:r>
      <w:r>
        <w:t>the</w:t>
      </w:r>
      <w:r>
        <w:rPr>
          <w:spacing w:val="-4"/>
        </w:rPr>
        <w:t xml:space="preserve"> </w:t>
      </w:r>
      <w:r>
        <w:t>three-digit</w:t>
      </w:r>
      <w:r>
        <w:rPr>
          <w:spacing w:val="-4"/>
        </w:rPr>
        <w:t xml:space="preserve"> </w:t>
      </w:r>
      <w:r>
        <w:t>zip</w:t>
      </w:r>
      <w:r>
        <w:rPr>
          <w:spacing w:val="-4"/>
        </w:rPr>
        <w:t xml:space="preserve"> </w:t>
      </w:r>
      <w:r>
        <w:t>code prefix</w:t>
      </w:r>
      <w:r>
        <w:rPr>
          <w:spacing w:val="-6"/>
        </w:rPr>
        <w:t xml:space="preserve"> </w:t>
      </w:r>
      <w:r>
        <w:t>if</w:t>
      </w:r>
      <w:r>
        <w:rPr>
          <w:spacing w:val="-6"/>
        </w:rPr>
        <w:t xml:space="preserve"> </w:t>
      </w:r>
      <w:r>
        <w:t>the</w:t>
      </w:r>
      <w:r>
        <w:rPr>
          <w:spacing w:val="-6"/>
        </w:rPr>
        <w:t xml:space="preserve"> </w:t>
      </w:r>
      <w:r>
        <w:t>five-digit</w:t>
      </w:r>
      <w:r>
        <w:rPr>
          <w:spacing w:val="-6"/>
        </w:rPr>
        <w:t xml:space="preserve"> </w:t>
      </w:r>
      <w:r>
        <w:t>zip</w:t>
      </w:r>
      <w:r>
        <w:rPr>
          <w:spacing w:val="-6"/>
        </w:rPr>
        <w:t xml:space="preserve"> </w:t>
      </w:r>
      <w:r>
        <w:t>code</w:t>
      </w:r>
      <w:r>
        <w:rPr>
          <w:spacing w:val="-6"/>
        </w:rPr>
        <w:t xml:space="preserve"> </w:t>
      </w:r>
      <w:r>
        <w:t>ethnicity</w:t>
      </w:r>
      <w:r>
        <w:rPr>
          <w:spacing w:val="-6"/>
        </w:rPr>
        <w:t xml:space="preserve"> </w:t>
      </w:r>
      <w:r>
        <w:t>mean</w:t>
      </w:r>
      <w:r>
        <w:rPr>
          <w:spacing w:val="-6"/>
        </w:rPr>
        <w:t xml:space="preserve"> </w:t>
      </w:r>
      <w:r>
        <w:t>was</w:t>
      </w:r>
      <w:r>
        <w:rPr>
          <w:spacing w:val="-6"/>
        </w:rPr>
        <w:t xml:space="preserve"> </w:t>
      </w:r>
      <w:r>
        <w:t>missing</w:t>
      </w:r>
      <w:r>
        <w:rPr>
          <w:spacing w:val="-6"/>
        </w:rPr>
        <w:t xml:space="preserve"> </w:t>
      </w:r>
      <w:r>
        <w:t>as</w:t>
      </w:r>
      <w:r>
        <w:rPr>
          <w:spacing w:val="-6"/>
        </w:rPr>
        <w:t xml:space="preserve"> </w:t>
      </w:r>
      <w:r>
        <w:t>well.</w:t>
      </w:r>
      <w:r>
        <w:rPr>
          <w:spacing w:val="-10"/>
        </w:rPr>
        <w:t xml:space="preserve"> </w:t>
      </w:r>
      <w:r>
        <w:t>Thus,</w:t>
      </w:r>
      <w:r>
        <w:rPr>
          <w:spacing w:val="-6"/>
        </w:rPr>
        <w:t xml:space="preserve"> </w:t>
      </w:r>
      <w:r>
        <w:t>schools</w:t>
      </w:r>
      <w:r>
        <w:rPr>
          <w:spacing w:val="-6"/>
        </w:rPr>
        <w:t xml:space="preserve"> </w:t>
      </w:r>
      <w:r>
        <w:t>with</w:t>
      </w:r>
      <w:r>
        <w:rPr>
          <w:spacing w:val="-6"/>
        </w:rPr>
        <w:t xml:space="preserve"> </w:t>
      </w:r>
      <w:r>
        <w:t>missing</w:t>
      </w:r>
      <w:r>
        <w:rPr>
          <w:spacing w:val="-6"/>
        </w:rPr>
        <w:t xml:space="preserve"> </w:t>
      </w:r>
      <w:r>
        <w:t>or</w:t>
      </w:r>
      <w:r>
        <w:rPr>
          <w:spacing w:val="-6"/>
        </w:rPr>
        <w:t xml:space="preserve"> </w:t>
      </w:r>
      <w:r>
        <w:t>questionable</w:t>
      </w:r>
      <w:r>
        <w:rPr>
          <w:spacing w:val="-6"/>
        </w:rPr>
        <w:t xml:space="preserve"> </w:t>
      </w:r>
      <w:r>
        <w:t>values</w:t>
      </w:r>
      <w:r>
        <w:rPr>
          <w:spacing w:val="-6"/>
        </w:rPr>
        <w:t xml:space="preserve"> </w:t>
      </w:r>
      <w:r>
        <w:t>in</w:t>
      </w:r>
      <w:r>
        <w:rPr>
          <w:spacing w:val="-6"/>
        </w:rPr>
        <w:t xml:space="preserve"> </w:t>
      </w:r>
      <w:r>
        <w:t>race/ethnicity</w:t>
      </w:r>
      <w:r>
        <w:rPr>
          <w:spacing w:val="-6"/>
        </w:rPr>
        <w:t xml:space="preserve"> </w:t>
      </w:r>
      <w:r>
        <w:t>enrollment</w:t>
      </w:r>
      <w:r>
        <w:rPr>
          <w:spacing w:val="-6"/>
        </w:rPr>
        <w:t xml:space="preserve"> </w:t>
      </w:r>
      <w:r>
        <w:t>data—those</w:t>
      </w:r>
      <w:r>
        <w:rPr>
          <w:spacing w:val="-6"/>
        </w:rPr>
        <w:t xml:space="preserve"> </w:t>
      </w:r>
      <w:r>
        <w:t>in</w:t>
      </w:r>
      <w:r>
        <w:rPr>
          <w:spacing w:val="-6"/>
        </w:rPr>
        <w:t xml:space="preserve"> </w:t>
      </w:r>
      <w:r>
        <w:t>which</w:t>
      </w:r>
      <w:r>
        <w:rPr>
          <w:spacing w:val="-6"/>
        </w:rPr>
        <w:t xml:space="preserve"> </w:t>
      </w:r>
      <w:r>
        <w:t>the summation of the ethnicity percentages did not fall in the range 97 through 103, indicating a gross error—were assigned the average race/ethnicity enrollment within (in priority order) their school district, five-digit zip code, or three-digit zip code prefix.</w:t>
      </w:r>
    </w:p>
    <w:p w:rsidR="003F5784" w14:paraId="249EB288" w14:textId="77777777">
      <w:pPr>
        <w:pStyle w:val="BodyText"/>
        <w:spacing w:before="209" w:line="232" w:lineRule="auto"/>
        <w:ind w:left="109" w:right="318"/>
      </w:pPr>
      <w:r>
        <w:t>Schools</w:t>
      </w:r>
      <w:r>
        <w:rPr>
          <w:spacing w:val="-1"/>
        </w:rPr>
        <w:t xml:space="preserve"> </w:t>
      </w:r>
      <w:r>
        <w:t>with</w:t>
      </w:r>
      <w:r>
        <w:rPr>
          <w:spacing w:val="-1"/>
        </w:rPr>
        <w:t xml:space="preserve"> </w:t>
      </w:r>
      <w:r>
        <w:t>missing</w:t>
      </w:r>
      <w:r>
        <w:rPr>
          <w:spacing w:val="-1"/>
        </w:rPr>
        <w:t xml:space="preserve"> </w:t>
      </w:r>
      <w:r>
        <w:t>achievement</w:t>
      </w:r>
      <w:r>
        <w:rPr>
          <w:spacing w:val="-1"/>
        </w:rPr>
        <w:t xml:space="preserve"> </w:t>
      </w:r>
      <w:r>
        <w:t>data</w:t>
      </w:r>
      <w:r>
        <w:rPr>
          <w:spacing w:val="-1"/>
        </w:rPr>
        <w:t xml:space="preserve"> </w:t>
      </w:r>
      <w:r>
        <w:t>in</w:t>
      </w:r>
      <w:r>
        <w:rPr>
          <w:spacing w:val="-1"/>
        </w:rPr>
        <w:t xml:space="preserve"> </w:t>
      </w:r>
      <w:r>
        <w:t>jurisdictions</w:t>
      </w:r>
      <w:r>
        <w:rPr>
          <w:spacing w:val="-1"/>
        </w:rPr>
        <w:t xml:space="preserve"> </w:t>
      </w:r>
      <w:r>
        <w:t>and</w:t>
      </w:r>
      <w:r>
        <w:rPr>
          <w:spacing w:val="-1"/>
        </w:rPr>
        <w:t xml:space="preserve"> </w:t>
      </w:r>
      <w:r>
        <w:t>grades</w:t>
      </w:r>
      <w:r>
        <w:rPr>
          <w:spacing w:val="-1"/>
        </w:rPr>
        <w:t xml:space="preserve"> </w:t>
      </w:r>
      <w:r>
        <w:t>for</w:t>
      </w:r>
      <w:r>
        <w:rPr>
          <w:spacing w:val="-1"/>
        </w:rPr>
        <w:t xml:space="preserve"> </w:t>
      </w:r>
      <w:r>
        <w:t>which</w:t>
      </w:r>
      <w:r>
        <w:rPr>
          <w:spacing w:val="-1"/>
        </w:rPr>
        <w:t xml:space="preserve"> </w:t>
      </w:r>
      <w:r>
        <w:t>achievement</w:t>
      </w:r>
      <w:r>
        <w:rPr>
          <w:spacing w:val="-1"/>
        </w:rPr>
        <w:t xml:space="preserve"> </w:t>
      </w:r>
      <w:r>
        <w:t>data</w:t>
      </w:r>
      <w:r>
        <w:rPr>
          <w:spacing w:val="-1"/>
        </w:rPr>
        <w:t xml:space="preserve"> </w:t>
      </w:r>
      <w:r>
        <w:t>were</w:t>
      </w:r>
      <w:r>
        <w:rPr>
          <w:spacing w:val="-1"/>
        </w:rPr>
        <w:t xml:space="preserve"> </w:t>
      </w:r>
      <w:r>
        <w:t>used</w:t>
      </w:r>
      <w:r>
        <w:rPr>
          <w:spacing w:val="-1"/>
        </w:rPr>
        <w:t xml:space="preserve"> </w:t>
      </w:r>
      <w:r>
        <w:t>in</w:t>
      </w:r>
      <w:r>
        <w:rPr>
          <w:spacing w:val="-1"/>
        </w:rPr>
        <w:t xml:space="preserve"> </w:t>
      </w:r>
      <w:r>
        <w:t>stratification</w:t>
      </w:r>
      <w:r>
        <w:rPr>
          <w:spacing w:val="-1"/>
        </w:rPr>
        <w:t xml:space="preserve"> </w:t>
      </w:r>
      <w:r>
        <w:t>were</w:t>
      </w:r>
      <w:r>
        <w:rPr>
          <w:spacing w:val="-1"/>
        </w:rPr>
        <w:t xml:space="preserve"> </w:t>
      </w:r>
      <w:r>
        <w:t>assigned</w:t>
      </w:r>
      <w:r>
        <w:rPr>
          <w:spacing w:val="-1"/>
        </w:rPr>
        <w:t xml:space="preserve"> </w:t>
      </w:r>
      <w:r>
        <w:t>the</w:t>
      </w:r>
      <w:r>
        <w:rPr>
          <w:spacing w:val="-1"/>
        </w:rPr>
        <w:t xml:space="preserve"> </w:t>
      </w:r>
      <w:r>
        <w:t>mean</w:t>
      </w:r>
      <w:r>
        <w:rPr>
          <w:spacing w:val="-1"/>
        </w:rPr>
        <w:t xml:space="preserve"> </w:t>
      </w:r>
      <w:r>
        <w:t>achievement</w:t>
      </w:r>
      <w:r>
        <w:rPr>
          <w:spacing w:val="-1"/>
        </w:rPr>
        <w:t xml:space="preserve"> </w:t>
      </w:r>
      <w:r>
        <w:t>data</w:t>
      </w:r>
      <w:r>
        <w:rPr>
          <w:spacing w:val="-1"/>
        </w:rPr>
        <w:t xml:space="preserve"> </w:t>
      </w:r>
      <w:r>
        <w:t>value within</w:t>
      </w:r>
      <w:r>
        <w:rPr>
          <w:spacing w:val="-7"/>
        </w:rPr>
        <w:t xml:space="preserve"> </w:t>
      </w:r>
      <w:r>
        <w:t>their</w:t>
      </w:r>
      <w:r>
        <w:rPr>
          <w:spacing w:val="-7"/>
        </w:rPr>
        <w:t xml:space="preserve"> </w:t>
      </w:r>
      <w:r>
        <w:t>urbanization</w:t>
      </w:r>
      <w:r>
        <w:rPr>
          <w:spacing w:val="-7"/>
        </w:rPr>
        <w:t xml:space="preserve"> </w:t>
      </w:r>
      <w:r>
        <w:t>and</w:t>
      </w:r>
      <w:r>
        <w:rPr>
          <w:spacing w:val="-7"/>
        </w:rPr>
        <w:t xml:space="preserve"> </w:t>
      </w:r>
      <w:r>
        <w:t>race/ethnicity</w:t>
      </w:r>
      <w:r>
        <w:rPr>
          <w:spacing w:val="-7"/>
        </w:rPr>
        <w:t xml:space="preserve"> </w:t>
      </w:r>
      <w:r>
        <w:t>classification.</w:t>
      </w:r>
      <w:r>
        <w:rPr>
          <w:spacing w:val="-10"/>
        </w:rPr>
        <w:t xml:space="preserve"> </w:t>
      </w:r>
      <w:r>
        <w:t>The</w:t>
      </w:r>
      <w:r>
        <w:rPr>
          <w:spacing w:val="-7"/>
        </w:rPr>
        <w:t xml:space="preserve"> </w:t>
      </w:r>
      <w:r>
        <w:t>achievement</w:t>
      </w:r>
      <w:r>
        <w:rPr>
          <w:spacing w:val="-7"/>
        </w:rPr>
        <w:t xml:space="preserve"> </w:t>
      </w:r>
      <w:r>
        <w:t>data</w:t>
      </w:r>
      <w:r>
        <w:rPr>
          <w:spacing w:val="-7"/>
        </w:rPr>
        <w:t xml:space="preserve"> </w:t>
      </w:r>
      <w:r>
        <w:t>were</w:t>
      </w:r>
      <w:r>
        <w:rPr>
          <w:spacing w:val="-7"/>
        </w:rPr>
        <w:t xml:space="preserve"> </w:t>
      </w:r>
      <w:r>
        <w:t>imputed</w:t>
      </w:r>
      <w:r>
        <w:rPr>
          <w:spacing w:val="-7"/>
        </w:rPr>
        <w:t xml:space="preserve"> </w:t>
      </w:r>
      <w:r>
        <w:t>only</w:t>
      </w:r>
      <w:r>
        <w:rPr>
          <w:spacing w:val="-7"/>
        </w:rPr>
        <w:t xml:space="preserve"> </w:t>
      </w:r>
      <w:r>
        <w:t>for</w:t>
      </w:r>
      <w:r>
        <w:rPr>
          <w:spacing w:val="-7"/>
        </w:rPr>
        <w:t xml:space="preserve"> </w:t>
      </w:r>
      <w:r>
        <w:t>those</w:t>
      </w:r>
      <w:r>
        <w:rPr>
          <w:spacing w:val="-7"/>
        </w:rPr>
        <w:t xml:space="preserve"> </w:t>
      </w:r>
      <w:r>
        <w:t>schools</w:t>
      </w:r>
      <w:r>
        <w:rPr>
          <w:spacing w:val="-7"/>
        </w:rPr>
        <w:t xml:space="preserve"> </w:t>
      </w:r>
      <w:r>
        <w:t>in</w:t>
      </w:r>
      <w:r>
        <w:rPr>
          <w:spacing w:val="-7"/>
        </w:rPr>
        <w:t xml:space="preserve"> </w:t>
      </w:r>
      <w:r>
        <w:t>jurisdictions</w:t>
      </w:r>
      <w:r>
        <w:rPr>
          <w:spacing w:val="-7"/>
        </w:rPr>
        <w:t xml:space="preserve"> </w:t>
      </w:r>
      <w:r>
        <w:t>and</w:t>
      </w:r>
      <w:r>
        <w:rPr>
          <w:spacing w:val="-7"/>
        </w:rPr>
        <w:t xml:space="preserve"> </w:t>
      </w:r>
      <w:r>
        <w:t>grades</w:t>
      </w:r>
      <w:r>
        <w:rPr>
          <w:spacing w:val="-7"/>
        </w:rPr>
        <w:t xml:space="preserve"> </w:t>
      </w:r>
      <w:r>
        <w:t>in</w:t>
      </w:r>
      <w:r>
        <w:rPr>
          <w:spacing w:val="-7"/>
        </w:rPr>
        <w:t xml:space="preserve"> </w:t>
      </w:r>
      <w:r>
        <w:t>which</w:t>
      </w:r>
      <w:r>
        <w:rPr>
          <w:spacing w:val="-7"/>
        </w:rPr>
        <w:t xml:space="preserve"> </w:t>
      </w:r>
      <w:r>
        <w:t>achievement</w:t>
      </w:r>
      <w:r>
        <w:rPr>
          <w:spacing w:val="-7"/>
        </w:rPr>
        <w:t xml:space="preserve"> </w:t>
      </w:r>
      <w:r>
        <w:t>data were used for stratification.</w:t>
      </w:r>
    </w:p>
    <w:p w:rsidR="003F5784" w14:paraId="7733DB47" w14:textId="77777777">
      <w:pPr>
        <w:pStyle w:val="BodyText"/>
        <w:spacing w:before="236" w:line="232" w:lineRule="auto"/>
        <w:ind w:left="109" w:right="179"/>
      </w:pPr>
      <w:r>
        <w:t>Schools</w:t>
      </w:r>
      <w:r>
        <w:rPr>
          <w:spacing w:val="-3"/>
        </w:rPr>
        <w:t xml:space="preserve"> </w:t>
      </w:r>
      <w:r>
        <w:t>missing</w:t>
      </w:r>
      <w:r>
        <w:rPr>
          <w:spacing w:val="-3"/>
        </w:rPr>
        <w:t xml:space="preserve"> </w:t>
      </w:r>
      <w:r>
        <w:t>median</w:t>
      </w:r>
      <w:r>
        <w:rPr>
          <w:spacing w:val="-3"/>
        </w:rPr>
        <w:t xml:space="preserve"> </w:t>
      </w:r>
      <w:r>
        <w:t>household</w:t>
      </w:r>
      <w:r>
        <w:rPr>
          <w:spacing w:val="-3"/>
        </w:rPr>
        <w:t xml:space="preserve"> </w:t>
      </w:r>
      <w:r>
        <w:t>income</w:t>
      </w:r>
      <w:r>
        <w:rPr>
          <w:spacing w:val="-3"/>
        </w:rPr>
        <w:t xml:space="preserve"> </w:t>
      </w:r>
      <w:r>
        <w:t>were</w:t>
      </w:r>
      <w:r>
        <w:rPr>
          <w:spacing w:val="-3"/>
        </w:rPr>
        <w:t xml:space="preserve"> </w:t>
      </w:r>
      <w:r>
        <w:t>assigned</w:t>
      </w:r>
      <w:r>
        <w:rPr>
          <w:spacing w:val="-3"/>
        </w:rPr>
        <w:t xml:space="preserve"> </w:t>
      </w:r>
      <w:r>
        <w:t>the</w:t>
      </w:r>
      <w:r>
        <w:rPr>
          <w:spacing w:val="-3"/>
        </w:rPr>
        <w:t xml:space="preserve"> </w:t>
      </w:r>
      <w:r>
        <w:t>mean</w:t>
      </w:r>
      <w:r>
        <w:rPr>
          <w:spacing w:val="-3"/>
        </w:rPr>
        <w:t xml:space="preserve"> </w:t>
      </w:r>
      <w:r>
        <w:t>value</w:t>
      </w:r>
      <w:r>
        <w:rPr>
          <w:spacing w:val="-3"/>
        </w:rPr>
        <w:t xml:space="preserve"> </w:t>
      </w:r>
      <w:r>
        <w:t>of</w:t>
      </w:r>
      <w:r>
        <w:rPr>
          <w:spacing w:val="-3"/>
        </w:rPr>
        <w:t xml:space="preserve"> </w:t>
      </w:r>
      <w:r>
        <w:t>median</w:t>
      </w:r>
      <w:r>
        <w:rPr>
          <w:spacing w:val="-3"/>
        </w:rPr>
        <w:t xml:space="preserve"> </w:t>
      </w:r>
      <w:r>
        <w:t>household</w:t>
      </w:r>
      <w:r>
        <w:rPr>
          <w:spacing w:val="-3"/>
        </w:rPr>
        <w:t xml:space="preserve"> </w:t>
      </w:r>
      <w:r>
        <w:t>income</w:t>
      </w:r>
      <w:r>
        <w:rPr>
          <w:spacing w:val="-3"/>
        </w:rPr>
        <w:t xml:space="preserve"> </w:t>
      </w:r>
      <w:r>
        <w:t>for</w:t>
      </w:r>
      <w:r>
        <w:rPr>
          <w:spacing w:val="-3"/>
        </w:rPr>
        <w:t xml:space="preserve"> </w:t>
      </w:r>
      <w:r>
        <w:t>the</w:t>
      </w:r>
      <w:r>
        <w:rPr>
          <w:spacing w:val="-3"/>
        </w:rPr>
        <w:t xml:space="preserve"> </w:t>
      </w:r>
      <w:r>
        <w:t>five-digit</w:t>
      </w:r>
      <w:r>
        <w:rPr>
          <w:spacing w:val="-3"/>
        </w:rPr>
        <w:t xml:space="preserve"> </w:t>
      </w:r>
      <w:r>
        <w:t>zip</w:t>
      </w:r>
      <w:r>
        <w:rPr>
          <w:spacing w:val="-3"/>
        </w:rPr>
        <w:t xml:space="preserve"> </w:t>
      </w:r>
      <w:r>
        <w:t>code</w:t>
      </w:r>
      <w:r>
        <w:rPr>
          <w:spacing w:val="-3"/>
        </w:rPr>
        <w:t xml:space="preserve"> </w:t>
      </w:r>
      <w:r>
        <w:t>prefix</w:t>
      </w:r>
      <w:r>
        <w:rPr>
          <w:spacing w:val="-3"/>
        </w:rPr>
        <w:t xml:space="preserve"> </w:t>
      </w:r>
      <w:r>
        <w:t>in</w:t>
      </w:r>
      <w:r>
        <w:rPr>
          <w:spacing w:val="-3"/>
        </w:rPr>
        <w:t xml:space="preserve"> </w:t>
      </w:r>
      <w:r>
        <w:t>which</w:t>
      </w:r>
      <w:r>
        <w:rPr>
          <w:spacing w:val="-3"/>
        </w:rPr>
        <w:t xml:space="preserve"> </w:t>
      </w:r>
      <w:r>
        <w:t>they</w:t>
      </w:r>
      <w:r>
        <w:rPr>
          <w:spacing w:val="-3"/>
        </w:rPr>
        <w:t xml:space="preserve"> </w:t>
      </w:r>
      <w:r>
        <w:t>were</w:t>
      </w:r>
      <w:r>
        <w:rPr>
          <w:spacing w:val="-3"/>
        </w:rPr>
        <w:t xml:space="preserve"> </w:t>
      </w:r>
      <w:r>
        <w:t>located.</w:t>
      </w:r>
      <w:r>
        <w:rPr>
          <w:spacing w:val="-3"/>
        </w:rPr>
        <w:t xml:space="preserve"> </w:t>
      </w:r>
      <w:r>
        <w:t>If</w:t>
      </w:r>
      <w:r>
        <w:rPr>
          <w:spacing w:val="-3"/>
        </w:rPr>
        <w:t xml:space="preserve"> </w:t>
      </w:r>
      <w:r>
        <w:t>it</w:t>
      </w:r>
      <w:r>
        <w:rPr>
          <w:spacing w:val="-3"/>
        </w:rPr>
        <w:t xml:space="preserve"> </w:t>
      </w:r>
      <w:r>
        <w:t>was not</w:t>
      </w:r>
      <w:r>
        <w:rPr>
          <w:spacing w:val="-5"/>
        </w:rPr>
        <w:t xml:space="preserve"> </w:t>
      </w:r>
      <w:r>
        <w:t>available</w:t>
      </w:r>
      <w:r>
        <w:rPr>
          <w:spacing w:val="-5"/>
        </w:rPr>
        <w:t xml:space="preserve"> </w:t>
      </w:r>
      <w:r>
        <w:t>or</w:t>
      </w:r>
      <w:r>
        <w:rPr>
          <w:spacing w:val="-5"/>
        </w:rPr>
        <w:t xml:space="preserve"> </w:t>
      </w:r>
      <w:r>
        <w:t>it</w:t>
      </w:r>
      <w:r>
        <w:rPr>
          <w:spacing w:val="-5"/>
        </w:rPr>
        <w:t xml:space="preserve"> </w:t>
      </w:r>
      <w:r>
        <w:t>was</w:t>
      </w:r>
      <w:r>
        <w:rPr>
          <w:spacing w:val="-5"/>
        </w:rPr>
        <w:t xml:space="preserve"> </w:t>
      </w:r>
      <w:r>
        <w:t>unreliable,</w:t>
      </w:r>
      <w:r>
        <w:rPr>
          <w:spacing w:val="-5"/>
        </w:rPr>
        <w:t xml:space="preserve"> </w:t>
      </w:r>
      <w:r>
        <w:t>then</w:t>
      </w:r>
      <w:r>
        <w:rPr>
          <w:spacing w:val="-5"/>
        </w:rPr>
        <w:t xml:space="preserve"> </w:t>
      </w:r>
      <w:r>
        <w:t>the</w:t>
      </w:r>
      <w:r>
        <w:rPr>
          <w:spacing w:val="-5"/>
        </w:rPr>
        <w:t xml:space="preserve"> </w:t>
      </w:r>
      <w:r>
        <w:t>mean</w:t>
      </w:r>
      <w:r>
        <w:rPr>
          <w:spacing w:val="-5"/>
        </w:rPr>
        <w:t xml:space="preserve"> </w:t>
      </w:r>
      <w:r>
        <w:t>value</w:t>
      </w:r>
      <w:r>
        <w:rPr>
          <w:spacing w:val="-5"/>
        </w:rPr>
        <w:t xml:space="preserve"> </w:t>
      </w:r>
      <w:r>
        <w:t>of</w:t>
      </w:r>
      <w:r>
        <w:rPr>
          <w:spacing w:val="-5"/>
        </w:rPr>
        <w:t xml:space="preserve"> </w:t>
      </w:r>
      <w:r>
        <w:t>median</w:t>
      </w:r>
      <w:r>
        <w:rPr>
          <w:spacing w:val="-5"/>
        </w:rPr>
        <w:t xml:space="preserve"> </w:t>
      </w:r>
      <w:r>
        <w:t>household</w:t>
      </w:r>
      <w:r>
        <w:rPr>
          <w:spacing w:val="-5"/>
        </w:rPr>
        <w:t xml:space="preserve"> </w:t>
      </w:r>
      <w:r>
        <w:t>income</w:t>
      </w:r>
      <w:r>
        <w:rPr>
          <w:spacing w:val="-5"/>
        </w:rPr>
        <w:t xml:space="preserve"> </w:t>
      </w:r>
      <w:r>
        <w:t>for</w:t>
      </w:r>
      <w:r>
        <w:rPr>
          <w:spacing w:val="-5"/>
        </w:rPr>
        <w:t xml:space="preserve"> </w:t>
      </w:r>
      <w:r>
        <w:t>the</w:t>
      </w:r>
      <w:r>
        <w:rPr>
          <w:spacing w:val="-5"/>
        </w:rPr>
        <w:t xml:space="preserve"> </w:t>
      </w:r>
      <w:r>
        <w:t>three-digit</w:t>
      </w:r>
      <w:r>
        <w:rPr>
          <w:spacing w:val="-5"/>
        </w:rPr>
        <w:t xml:space="preserve"> </w:t>
      </w:r>
      <w:r>
        <w:t>zip</w:t>
      </w:r>
      <w:r>
        <w:rPr>
          <w:spacing w:val="-5"/>
        </w:rPr>
        <w:t xml:space="preserve"> </w:t>
      </w:r>
      <w:r>
        <w:t>code</w:t>
      </w:r>
      <w:r>
        <w:rPr>
          <w:spacing w:val="-5"/>
        </w:rPr>
        <w:t xml:space="preserve"> </w:t>
      </w:r>
      <w:r>
        <w:t>prefix</w:t>
      </w:r>
      <w:r>
        <w:rPr>
          <w:spacing w:val="-5"/>
        </w:rPr>
        <w:t xml:space="preserve"> </w:t>
      </w:r>
      <w:r>
        <w:t>was</w:t>
      </w:r>
      <w:r>
        <w:rPr>
          <w:spacing w:val="-5"/>
        </w:rPr>
        <w:t xml:space="preserve"> </w:t>
      </w:r>
      <w:r>
        <w:t>used.</w:t>
      </w:r>
      <w:r>
        <w:rPr>
          <w:spacing w:val="-5"/>
        </w:rPr>
        <w:t xml:space="preserve"> </w:t>
      </w:r>
      <w:r>
        <w:t>In</w:t>
      </w:r>
      <w:r>
        <w:rPr>
          <w:spacing w:val="-5"/>
        </w:rPr>
        <w:t xml:space="preserve"> </w:t>
      </w:r>
      <w:r>
        <w:t>some</w:t>
      </w:r>
      <w:r>
        <w:rPr>
          <w:spacing w:val="-5"/>
        </w:rPr>
        <w:t xml:space="preserve"> </w:t>
      </w:r>
      <w:r>
        <w:t>cases,</w:t>
      </w:r>
      <w:r>
        <w:rPr>
          <w:spacing w:val="-5"/>
        </w:rPr>
        <w:t xml:space="preserve"> </w:t>
      </w:r>
      <w:r>
        <w:t>imputation</w:t>
      </w:r>
      <w:r>
        <w:rPr>
          <w:spacing w:val="-5"/>
        </w:rPr>
        <w:t xml:space="preserve"> </w:t>
      </w:r>
      <w:r>
        <w:t>was</w:t>
      </w:r>
      <w:r>
        <w:rPr>
          <w:spacing w:val="-5"/>
        </w:rPr>
        <w:t xml:space="preserve"> </w:t>
      </w:r>
      <w:r>
        <w:t>not</w:t>
      </w:r>
      <w:r>
        <w:rPr>
          <w:spacing w:val="-5"/>
        </w:rPr>
        <w:t xml:space="preserve"> </w:t>
      </w:r>
      <w:r>
        <w:t>possible</w:t>
      </w:r>
      <w:r>
        <w:rPr>
          <w:spacing w:val="-5"/>
        </w:rPr>
        <w:t xml:space="preserve"> </w:t>
      </w:r>
      <w:r>
        <w:t>at the three-digit zip code level, and needed to be done at the city and state level.</w:t>
      </w:r>
    </w:p>
    <w:p w:rsidR="003F5784" w14:paraId="1B7024C3" w14:textId="77777777">
      <w:pPr>
        <w:pStyle w:val="BodyText"/>
        <w:spacing w:before="204"/>
        <w:ind w:left="109"/>
      </w:pPr>
      <w:r>
        <w:t>Schools</w:t>
      </w:r>
      <w:r>
        <w:rPr>
          <w:spacing w:val="-7"/>
        </w:rPr>
        <w:t xml:space="preserve"> </w:t>
      </w:r>
      <w:r>
        <w:t>with</w:t>
      </w:r>
      <w:r>
        <w:rPr>
          <w:spacing w:val="-6"/>
        </w:rPr>
        <w:t xml:space="preserve"> </w:t>
      </w:r>
      <w:r>
        <w:t>missing</w:t>
      </w:r>
      <w:r>
        <w:rPr>
          <w:spacing w:val="-7"/>
        </w:rPr>
        <w:t xml:space="preserve"> </w:t>
      </w:r>
      <w:r>
        <w:t>estimated</w:t>
      </w:r>
      <w:r>
        <w:rPr>
          <w:spacing w:val="-6"/>
        </w:rPr>
        <w:t xml:space="preserve"> </w:t>
      </w:r>
      <w:r>
        <w:t>grade</w:t>
      </w:r>
      <w:r>
        <w:rPr>
          <w:spacing w:val="-7"/>
        </w:rPr>
        <w:t xml:space="preserve"> </w:t>
      </w:r>
      <w:r>
        <w:t>enrollment</w:t>
      </w:r>
      <w:r>
        <w:rPr>
          <w:spacing w:val="-6"/>
        </w:rPr>
        <w:t xml:space="preserve"> </w:t>
      </w:r>
      <w:r>
        <w:t>had</w:t>
      </w:r>
      <w:r>
        <w:rPr>
          <w:spacing w:val="-7"/>
        </w:rPr>
        <w:t xml:space="preserve"> </w:t>
      </w:r>
      <w:r>
        <w:t>their</w:t>
      </w:r>
      <w:r>
        <w:rPr>
          <w:spacing w:val="-6"/>
        </w:rPr>
        <w:t xml:space="preserve"> </w:t>
      </w:r>
      <w:r>
        <w:t>estimated</w:t>
      </w:r>
      <w:r>
        <w:rPr>
          <w:spacing w:val="-7"/>
        </w:rPr>
        <w:t xml:space="preserve"> </w:t>
      </w:r>
      <w:r>
        <w:t>grade</w:t>
      </w:r>
      <w:r>
        <w:rPr>
          <w:spacing w:val="-6"/>
        </w:rPr>
        <w:t xml:space="preserve"> </w:t>
      </w:r>
      <w:r>
        <w:t>enrollment</w:t>
      </w:r>
      <w:r>
        <w:rPr>
          <w:spacing w:val="-7"/>
        </w:rPr>
        <w:t xml:space="preserve"> </w:t>
      </w:r>
      <w:r>
        <w:t>set</w:t>
      </w:r>
      <w:r>
        <w:rPr>
          <w:spacing w:val="-6"/>
        </w:rPr>
        <w:t xml:space="preserve"> </w:t>
      </w:r>
      <w:r>
        <w:t>to</w:t>
      </w:r>
      <w:r>
        <w:rPr>
          <w:spacing w:val="-7"/>
        </w:rPr>
        <w:t xml:space="preserve"> </w:t>
      </w:r>
      <w:r>
        <w:rPr>
          <w:spacing w:val="-5"/>
        </w:rPr>
        <w:t>20.</w:t>
      </w:r>
    </w:p>
    <w:p w:rsidR="003F5784" w14:paraId="383F0AF5" w14:textId="77777777">
      <w:pPr>
        <w:pStyle w:val="BodyText"/>
      </w:pPr>
    </w:p>
    <w:p w:rsidR="003F5784" w14:paraId="659422BB" w14:textId="77777777">
      <w:pPr>
        <w:pStyle w:val="BodyText"/>
      </w:pPr>
    </w:p>
    <w:p w:rsidR="003F5784" w14:paraId="7F0555F1" w14:textId="77777777">
      <w:pPr>
        <w:pStyle w:val="BodyText"/>
        <w:spacing w:before="156"/>
      </w:pPr>
    </w:p>
    <w:p w:rsidR="003F5784" w14:paraId="0ABF01FB" w14:textId="77777777">
      <w:pPr>
        <w:spacing w:before="1"/>
        <w:ind w:left="4885"/>
        <w:rPr>
          <w:sz w:val="18"/>
        </w:rPr>
      </w:pPr>
      <w:hyperlink r:id="rId342">
        <w:r>
          <w:rPr>
            <w:spacing w:val="-2"/>
            <w:w w:val="105"/>
            <w:sz w:val="18"/>
          </w:rPr>
          <w:t>http://nces.ed.gov/nationsreportcard/tdw/sample_design/2022/missing_stratification_variables_for_the_2022_state_assessment.aspx</w:t>
        </w:r>
      </w:hyperlink>
    </w:p>
    <w:p w:rsidR="003F5784" w14:paraId="5CBB9E5F" w14:textId="77777777">
      <w:pPr>
        <w:pStyle w:val="BodyText"/>
        <w:spacing w:before="10"/>
        <w:rPr>
          <w:sz w:val="14"/>
        </w:rPr>
      </w:pPr>
      <w:r>
        <w:rPr>
          <w:noProof/>
        </w:rPr>
        <mc:AlternateContent>
          <mc:Choice Requires="wps">
            <w:drawing>
              <wp:anchor distT="0" distB="0" distL="0" distR="0" simplePos="0" relativeHeight="251950080" behindDoc="1" locked="0" layoutInCell="1" allowOverlap="1">
                <wp:simplePos x="0" y="0"/>
                <wp:positionH relativeFrom="page">
                  <wp:posOffset>361937</wp:posOffset>
                </wp:positionH>
                <wp:positionV relativeFrom="paragraph">
                  <wp:posOffset>124179</wp:posOffset>
                </wp:positionV>
                <wp:extent cx="9339580" cy="8890"/>
                <wp:effectExtent l="0" t="0" r="0" b="0"/>
                <wp:wrapTopAndBottom/>
                <wp:docPr id="442" name="Graphic 442"/>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305"/>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442" o:spid="_x0000_s1154" style="width:735.4pt;height:0.7pt;margin-top:9.8pt;margin-left:28.5pt;mso-position-horizontal-relative:page;mso-wrap-distance-bottom:0;mso-wrap-distance-left:0;mso-wrap-distance-right:0;mso-wrap-distance-top:0;mso-wrap-style:square;position:absolute;visibility:visible;v-text-anchor:top;z-index:-251365376" coordsize="9339580,8890" path="m9338970,l9335110,l,,,8280l8280,8305l9335110,8280l9338970,8280l9338970,xe" fillcolor="gray" stroked="f">
                <v:path arrowok="t"/>
                <w10:wrap type="topAndBottom"/>
              </v:shape>
            </w:pict>
          </mc:Fallback>
        </mc:AlternateContent>
      </w:r>
    </w:p>
    <w:p w:rsidR="003F5784" w14:paraId="24B79873" w14:textId="77777777">
      <w:pPr>
        <w:pStyle w:val="BodyText"/>
        <w:rPr>
          <w:sz w:val="18"/>
        </w:rPr>
      </w:pPr>
    </w:p>
    <w:p w:rsidR="003F5784" w14:paraId="326049DF" w14:textId="77777777">
      <w:pPr>
        <w:pStyle w:val="BodyText"/>
        <w:spacing w:before="206"/>
        <w:rPr>
          <w:sz w:val="18"/>
        </w:rPr>
      </w:pPr>
    </w:p>
    <w:p w:rsidR="003F5784" w14:paraId="32FEBE8A" w14:textId="78D3F1D4">
      <w:pPr>
        <w:pStyle w:val="Heading1"/>
        <w:spacing w:line="244" w:lineRule="auto"/>
      </w:pPr>
      <w:r>
        <w:t>NAEP</w:t>
      </w:r>
      <w:r>
        <w:rPr>
          <w:spacing w:val="-12"/>
        </w:rPr>
        <w:t xml:space="preserve"> </w:t>
      </w:r>
      <w:r>
        <w:t>Technical Documentation</w:t>
      </w:r>
      <w:r w:rsidR="00E3225D">
        <w:t xml:space="preserve"> </w:t>
      </w:r>
      <w:r>
        <w:t>Stratification by</w:t>
      </w:r>
      <w:r>
        <w:rPr>
          <w:spacing w:val="-3"/>
        </w:rPr>
        <w:t xml:space="preserve"> </w:t>
      </w:r>
      <w:r>
        <w:t>Achievement Data and Median Income for the 2022 State Assessment</w:t>
      </w:r>
    </w:p>
    <w:p w:rsidR="003F5784" w14:paraId="71E07565" w14:textId="77777777">
      <w:pPr>
        <w:pStyle w:val="BodyText"/>
        <w:spacing w:before="274" w:line="232" w:lineRule="auto"/>
        <w:ind w:left="109"/>
      </w:pPr>
      <w:r>
        <w:t>The achievement data obtained from each jurisdiction, including</w:t>
      </w:r>
      <w:r>
        <w:rPr>
          <w:spacing w:val="-3"/>
        </w:rPr>
        <w:t xml:space="preserve"> </w:t>
      </w:r>
      <w:r>
        <w:t>TUDA</w:t>
      </w:r>
      <w:r>
        <w:rPr>
          <w:spacing w:val="-10"/>
        </w:rPr>
        <w:t xml:space="preserve"> </w:t>
      </w:r>
      <w:r>
        <w:t>districts, are derived from the results of state assessment programs.</w:t>
      </w:r>
      <w:r>
        <w:rPr>
          <w:spacing w:val="-3"/>
        </w:rPr>
        <w:t xml:space="preserve"> </w:t>
      </w:r>
      <w:r>
        <w:t>The contents of the achievement data</w:t>
      </w:r>
      <w:r>
        <w:rPr>
          <w:spacing w:val="-7"/>
        </w:rPr>
        <w:t xml:space="preserve"> </w:t>
      </w:r>
      <w:r>
        <w:t>files</w:t>
      </w:r>
      <w:r>
        <w:rPr>
          <w:spacing w:val="-7"/>
        </w:rPr>
        <w:t xml:space="preserve"> </w:t>
      </w:r>
      <w:r>
        <w:t>varied</w:t>
      </w:r>
      <w:r>
        <w:rPr>
          <w:spacing w:val="-7"/>
        </w:rPr>
        <w:t xml:space="preserve"> </w:t>
      </w:r>
      <w:r>
        <w:t>by</w:t>
      </w:r>
      <w:r>
        <w:rPr>
          <w:spacing w:val="-7"/>
        </w:rPr>
        <w:t xml:space="preserve"> </w:t>
      </w:r>
      <w:r>
        <w:t>jurisdiction</w:t>
      </w:r>
      <w:r>
        <w:rPr>
          <w:spacing w:val="-7"/>
        </w:rPr>
        <w:t xml:space="preserve"> </w:t>
      </w:r>
      <w:r>
        <w:t>and</w:t>
      </w:r>
      <w:r>
        <w:rPr>
          <w:spacing w:val="-7"/>
        </w:rPr>
        <w:t xml:space="preserve"> </w:t>
      </w:r>
      <w:r>
        <w:t>included</w:t>
      </w:r>
      <w:r>
        <w:rPr>
          <w:spacing w:val="-7"/>
        </w:rPr>
        <w:t xml:space="preserve"> </w:t>
      </w:r>
      <w:r>
        <w:t>achievement</w:t>
      </w:r>
      <w:r>
        <w:rPr>
          <w:spacing w:val="-7"/>
        </w:rPr>
        <w:t xml:space="preserve"> </w:t>
      </w:r>
      <w:r>
        <w:t>measures</w:t>
      </w:r>
      <w:r>
        <w:rPr>
          <w:spacing w:val="-7"/>
        </w:rPr>
        <w:t xml:space="preserve"> </w:t>
      </w:r>
      <w:r>
        <w:t>for</w:t>
      </w:r>
      <w:r>
        <w:rPr>
          <w:spacing w:val="-7"/>
        </w:rPr>
        <w:t xml:space="preserve"> </w:t>
      </w:r>
      <w:r>
        <w:t>a</w:t>
      </w:r>
      <w:r>
        <w:rPr>
          <w:spacing w:val="-7"/>
        </w:rPr>
        <w:t xml:space="preserve"> </w:t>
      </w:r>
      <w:r>
        <w:t>variety</w:t>
      </w:r>
      <w:r>
        <w:rPr>
          <w:spacing w:val="-7"/>
        </w:rPr>
        <w:t xml:space="preserve"> </w:t>
      </w:r>
      <w:r>
        <w:t>of</w:t>
      </w:r>
      <w:r>
        <w:rPr>
          <w:spacing w:val="-7"/>
        </w:rPr>
        <w:t xml:space="preserve"> </w:t>
      </w:r>
      <w:r>
        <w:t>subjects,</w:t>
      </w:r>
      <w:r>
        <w:rPr>
          <w:spacing w:val="-7"/>
        </w:rPr>
        <w:t xml:space="preserve"> </w:t>
      </w:r>
      <w:r>
        <w:t>grades,</w:t>
      </w:r>
      <w:r>
        <w:rPr>
          <w:spacing w:val="-7"/>
        </w:rPr>
        <w:t xml:space="preserve"> </w:t>
      </w:r>
      <w:r>
        <w:t>and</w:t>
      </w:r>
      <w:r>
        <w:rPr>
          <w:spacing w:val="-7"/>
        </w:rPr>
        <w:t xml:space="preserve"> </w:t>
      </w:r>
      <w:r>
        <w:t>multiple</w:t>
      </w:r>
      <w:r>
        <w:rPr>
          <w:spacing w:val="-7"/>
        </w:rPr>
        <w:t xml:space="preserve"> </w:t>
      </w:r>
      <w:r>
        <w:t>assessment</w:t>
      </w:r>
      <w:r>
        <w:rPr>
          <w:spacing w:val="-7"/>
        </w:rPr>
        <w:t xml:space="preserve"> </w:t>
      </w:r>
      <w:r>
        <w:t>programs.</w:t>
      </w:r>
      <w:r>
        <w:rPr>
          <w:spacing w:val="-7"/>
        </w:rPr>
        <w:t xml:space="preserve"> </w:t>
      </w:r>
      <w:r>
        <w:t>One</w:t>
      </w:r>
      <w:r>
        <w:rPr>
          <w:spacing w:val="-7"/>
        </w:rPr>
        <w:t xml:space="preserve"> </w:t>
      </w:r>
      <w:r>
        <w:t>achievement</w:t>
      </w:r>
      <w:r>
        <w:rPr>
          <w:spacing w:val="-7"/>
        </w:rPr>
        <w:t xml:space="preserve"> </w:t>
      </w:r>
      <w:r>
        <w:t>measure</w:t>
      </w:r>
      <w:r>
        <w:rPr>
          <w:spacing w:val="-7"/>
        </w:rPr>
        <w:t xml:space="preserve"> </w:t>
      </w:r>
      <w:r>
        <w:t>was</w:t>
      </w:r>
      <w:r>
        <w:rPr>
          <w:spacing w:val="-7"/>
        </w:rPr>
        <w:t xml:space="preserve"> </w:t>
      </w:r>
      <w:r>
        <w:t>selected for each responding jurisdiction to be used in the stratification process.</w:t>
      </w:r>
      <w:r>
        <w:rPr>
          <w:spacing w:val="-3"/>
        </w:rPr>
        <w:t xml:space="preserve"> </w:t>
      </w:r>
      <w:r>
        <w:t>Where available, the achievement data were used for implicit stratification by grade. Since the achievement data are more current than the median household income data, as well as more likely to be well-correlated to NAEP</w:t>
      </w:r>
      <w:r>
        <w:rPr>
          <w:spacing w:val="-7"/>
        </w:rPr>
        <w:t xml:space="preserve"> </w:t>
      </w:r>
      <w:r>
        <w:t>assessment scores, they were judged to be a more effective stratification variable. The achievement measures were selected according to the following criteria:</w:t>
      </w:r>
    </w:p>
    <w:p w:rsidR="003F5784" w14:paraId="4B04858C" w14:textId="77777777">
      <w:pPr>
        <w:pStyle w:val="BodyText"/>
        <w:spacing w:before="210" w:line="232" w:lineRule="auto"/>
        <w:ind w:left="631" w:right="54" w:hanging="209"/>
      </w:pPr>
      <w:r>
        <w:rPr>
          <w:noProof/>
          <w:position w:val="3"/>
        </w:rPr>
        <w:drawing>
          <wp:inline distT="0" distB="0" distL="0" distR="0">
            <wp:extent cx="41379" cy="41378"/>
            <wp:effectExtent l="0" t="0" r="0" b="0"/>
            <wp:docPr id="443" name="Image 443"/>
            <wp:cNvGraphicFramePr/>
            <a:graphic xmlns:a="http://schemas.openxmlformats.org/drawingml/2006/main">
              <a:graphicData uri="http://schemas.openxmlformats.org/drawingml/2006/picture">
                <pic:pic xmlns:pic="http://schemas.openxmlformats.org/drawingml/2006/picture">
                  <pic:nvPicPr>
                    <pic:cNvPr id="443" name="Image 443"/>
                    <pic:cNvPicPr/>
                  </pic:nvPicPr>
                  <pic:blipFill>
                    <a:blip xmlns:r="http://schemas.openxmlformats.org/officeDocument/2006/relationships" r:embed="rId343" cstate="print"/>
                    <a:stretch>
                      <a:fillRect/>
                    </a:stretch>
                  </pic:blipFill>
                  <pic:spPr>
                    <a:xfrm>
                      <a:off x="0" y="0"/>
                      <a:ext cx="41379" cy="41378"/>
                    </a:xfrm>
                    <a:prstGeom prst="rect">
                      <a:avLst/>
                    </a:prstGeom>
                  </pic:spPr>
                </pic:pic>
              </a:graphicData>
            </a:graphic>
          </wp:inline>
        </w:drawing>
      </w:r>
      <w:r>
        <w:rPr>
          <w:spacing w:val="80"/>
          <w:sz w:val="20"/>
        </w:rPr>
        <w:t xml:space="preserve"> </w:t>
      </w:r>
      <w:r>
        <w:t>At</w:t>
      </w:r>
      <w:r>
        <w:rPr>
          <w:spacing w:val="-6"/>
        </w:rPr>
        <w:t xml:space="preserve"> </w:t>
      </w:r>
      <w:r>
        <w:t>both</w:t>
      </w:r>
      <w:r>
        <w:rPr>
          <w:spacing w:val="-6"/>
        </w:rPr>
        <w:t xml:space="preserve"> </w:t>
      </w:r>
      <w:r>
        <w:t>grades</w:t>
      </w:r>
      <w:r>
        <w:rPr>
          <w:spacing w:val="-6"/>
        </w:rPr>
        <w:t xml:space="preserve"> </w:t>
      </w:r>
      <w:r>
        <w:t>4</w:t>
      </w:r>
      <w:r>
        <w:rPr>
          <w:spacing w:val="-6"/>
        </w:rPr>
        <w:t xml:space="preserve"> </w:t>
      </w:r>
      <w:r>
        <w:t>and</w:t>
      </w:r>
      <w:r>
        <w:rPr>
          <w:spacing w:val="-6"/>
        </w:rPr>
        <w:t xml:space="preserve"> </w:t>
      </w:r>
      <w:r>
        <w:t>8,</w:t>
      </w:r>
      <w:r>
        <w:rPr>
          <w:spacing w:val="-6"/>
        </w:rPr>
        <w:t xml:space="preserve"> </w:t>
      </w:r>
      <w:r>
        <w:t>achievement</w:t>
      </w:r>
      <w:r>
        <w:rPr>
          <w:spacing w:val="-6"/>
        </w:rPr>
        <w:t xml:space="preserve"> </w:t>
      </w:r>
      <w:r>
        <w:t>measures</w:t>
      </w:r>
      <w:r>
        <w:rPr>
          <w:spacing w:val="-6"/>
        </w:rPr>
        <w:t xml:space="preserve"> </w:t>
      </w:r>
      <w:r>
        <w:t>from</w:t>
      </w:r>
      <w:r>
        <w:rPr>
          <w:spacing w:val="-6"/>
        </w:rPr>
        <w:t xml:space="preserve"> </w:t>
      </w:r>
      <w:r>
        <w:t>state</w:t>
      </w:r>
      <w:r>
        <w:rPr>
          <w:spacing w:val="-6"/>
        </w:rPr>
        <w:t xml:space="preserve"> </w:t>
      </w:r>
      <w:r>
        <w:t>assessments</w:t>
      </w:r>
      <w:r>
        <w:rPr>
          <w:spacing w:val="-6"/>
        </w:rPr>
        <w:t xml:space="preserve"> </w:t>
      </w:r>
      <w:r>
        <w:t>conducted</w:t>
      </w:r>
      <w:r>
        <w:rPr>
          <w:spacing w:val="-6"/>
        </w:rPr>
        <w:t xml:space="preserve"> </w:t>
      </w:r>
      <w:r>
        <w:t>in</w:t>
      </w:r>
      <w:r>
        <w:rPr>
          <w:spacing w:val="-6"/>
        </w:rPr>
        <w:t xml:space="preserve"> </w:t>
      </w:r>
      <w:r>
        <w:t>mathematics</w:t>
      </w:r>
      <w:r>
        <w:rPr>
          <w:spacing w:val="-6"/>
        </w:rPr>
        <w:t xml:space="preserve"> </w:t>
      </w:r>
      <w:r>
        <w:t>and</w:t>
      </w:r>
      <w:r>
        <w:rPr>
          <w:spacing w:val="-6"/>
        </w:rPr>
        <w:t xml:space="preserve"> </w:t>
      </w:r>
      <w:r>
        <w:t>reading</w:t>
      </w:r>
      <w:r>
        <w:rPr>
          <w:spacing w:val="-6"/>
        </w:rPr>
        <w:t xml:space="preserve"> </w:t>
      </w:r>
      <w:r>
        <w:t>were</w:t>
      </w:r>
      <w:r>
        <w:rPr>
          <w:spacing w:val="-6"/>
        </w:rPr>
        <w:t xml:space="preserve"> </w:t>
      </w:r>
      <w:r>
        <w:t>under</w:t>
      </w:r>
      <w:r>
        <w:rPr>
          <w:spacing w:val="-6"/>
        </w:rPr>
        <w:t xml:space="preserve"> </w:t>
      </w:r>
      <w:r>
        <w:t>consideration.</w:t>
      </w:r>
      <w:r>
        <w:rPr>
          <w:spacing w:val="-6"/>
        </w:rPr>
        <w:t xml:space="preserve"> </w:t>
      </w:r>
      <w:r>
        <w:t>If</w:t>
      </w:r>
      <w:r>
        <w:rPr>
          <w:spacing w:val="-6"/>
        </w:rPr>
        <w:t xml:space="preserve"> </w:t>
      </w:r>
      <w:r>
        <w:t>both</w:t>
      </w:r>
      <w:r>
        <w:rPr>
          <w:spacing w:val="-6"/>
        </w:rPr>
        <w:t xml:space="preserve"> </w:t>
      </w:r>
      <w:r>
        <w:t>were</w:t>
      </w:r>
      <w:r>
        <w:rPr>
          <w:spacing w:val="-6"/>
        </w:rPr>
        <w:t xml:space="preserve"> </w:t>
      </w:r>
      <w:r>
        <w:t>available,</w:t>
      </w:r>
      <w:r>
        <w:rPr>
          <w:spacing w:val="-6"/>
        </w:rPr>
        <w:t xml:space="preserve"> </w:t>
      </w:r>
      <w:r>
        <w:t>the mathematics measure was preferred.</w:t>
      </w:r>
      <w:r>
        <w:rPr>
          <w:spacing w:val="-11"/>
        </w:rPr>
        <w:t xml:space="preserve"> </w:t>
      </w:r>
      <w:r>
        <w:t>As a rule, the most current measures available were used. For all jurisdictions, the measures were from the 2018–2019 state</w:t>
      </w:r>
    </w:p>
    <w:p w:rsidR="003F5784" w14:paraId="07842E65" w14:textId="77777777">
      <w:pPr>
        <w:spacing w:line="232" w:lineRule="auto"/>
        <w:sectPr>
          <w:pgSz w:w="15840" w:h="12240" w:orient="landscape"/>
          <w:pgMar w:top="480" w:right="440" w:bottom="460" w:left="460" w:header="284" w:footer="275" w:gutter="0"/>
          <w:cols w:space="720"/>
        </w:sectPr>
      </w:pPr>
    </w:p>
    <w:p w:rsidR="003F5784" w14:paraId="74F486B2" w14:textId="77777777">
      <w:pPr>
        <w:pStyle w:val="BodyText"/>
        <w:spacing w:before="72"/>
        <w:ind w:left="631"/>
      </w:pPr>
      <w:r>
        <w:rPr>
          <w:spacing w:val="-2"/>
        </w:rPr>
        <w:t>assessments.</w:t>
      </w:r>
    </w:p>
    <w:p w:rsidR="003F5784" w14:paraId="63E048BB" w14:textId="77777777">
      <w:pPr>
        <w:pStyle w:val="BodyText"/>
        <w:spacing w:before="202"/>
        <w:ind w:left="422"/>
      </w:pPr>
      <w:r>
        <w:rPr>
          <w:noProof/>
          <w:position w:val="3"/>
        </w:rPr>
        <w:drawing>
          <wp:inline distT="0" distB="0" distL="0" distR="0">
            <wp:extent cx="41379" cy="41378"/>
            <wp:effectExtent l="0" t="0" r="0" b="0"/>
            <wp:docPr id="444" name="Image 444"/>
            <wp:cNvGraphicFramePr/>
            <a:graphic xmlns:a="http://schemas.openxmlformats.org/drawingml/2006/main">
              <a:graphicData uri="http://schemas.openxmlformats.org/drawingml/2006/picture">
                <pic:pic xmlns:pic="http://schemas.openxmlformats.org/drawingml/2006/picture">
                  <pic:nvPicPr>
                    <pic:cNvPr id="444" name="Image 444"/>
                    <pic:cNvPicPr/>
                  </pic:nvPicPr>
                  <pic:blipFill>
                    <a:blip xmlns:r="http://schemas.openxmlformats.org/officeDocument/2006/relationships" r:embed="rId344" cstate="print"/>
                    <a:stretch>
                      <a:fillRect/>
                    </a:stretch>
                  </pic:blipFill>
                  <pic:spPr>
                    <a:xfrm>
                      <a:off x="0" y="0"/>
                      <a:ext cx="41379" cy="41378"/>
                    </a:xfrm>
                    <a:prstGeom prst="rect">
                      <a:avLst/>
                    </a:prstGeom>
                  </pic:spPr>
                </pic:pic>
              </a:graphicData>
            </a:graphic>
          </wp:inline>
        </w:drawing>
      </w:r>
      <w:r>
        <w:rPr>
          <w:spacing w:val="80"/>
          <w:sz w:val="20"/>
        </w:rPr>
        <w:t xml:space="preserve"> </w:t>
      </w:r>
      <w:r>
        <w:t>Achievement measures should match to at least 70 percent of the schools on the sampling frames.</w:t>
      </w:r>
    </w:p>
    <w:p w:rsidR="003F5784" w14:paraId="2E5327B2" w14:textId="77777777">
      <w:pPr>
        <w:pStyle w:val="BodyText"/>
        <w:spacing w:before="207" w:line="232" w:lineRule="auto"/>
        <w:ind w:left="631" w:right="387" w:hanging="209"/>
        <w:jc w:val="both"/>
      </w:pPr>
      <w:r>
        <w:rPr>
          <w:noProof/>
          <w:position w:val="3"/>
        </w:rPr>
        <w:drawing>
          <wp:inline distT="0" distB="0" distL="0" distR="0">
            <wp:extent cx="41379" cy="41378"/>
            <wp:effectExtent l="0" t="0" r="0" b="0"/>
            <wp:docPr id="445" name="Image 445"/>
            <wp:cNvGraphicFramePr/>
            <a:graphic xmlns:a="http://schemas.openxmlformats.org/drawingml/2006/main">
              <a:graphicData uri="http://schemas.openxmlformats.org/drawingml/2006/picture">
                <pic:pic xmlns:pic="http://schemas.openxmlformats.org/drawingml/2006/picture">
                  <pic:nvPicPr>
                    <pic:cNvPr id="445" name="Image 445"/>
                    <pic:cNvPicPr/>
                  </pic:nvPicPr>
                  <pic:blipFill>
                    <a:blip xmlns:r="http://schemas.openxmlformats.org/officeDocument/2006/relationships" r:embed="rId345" cstate="print"/>
                    <a:stretch>
                      <a:fillRect/>
                    </a:stretch>
                  </pic:blipFill>
                  <pic:spPr>
                    <a:xfrm>
                      <a:off x="0" y="0"/>
                      <a:ext cx="41379" cy="41378"/>
                    </a:xfrm>
                    <a:prstGeom prst="rect">
                      <a:avLst/>
                    </a:prstGeom>
                  </pic:spPr>
                </pic:pic>
              </a:graphicData>
            </a:graphic>
          </wp:inline>
        </w:drawing>
      </w:r>
      <w:r>
        <w:rPr>
          <w:spacing w:val="80"/>
          <w:sz w:val="20"/>
        </w:rPr>
        <w:t xml:space="preserve"> </w:t>
      </w:r>
      <w:r>
        <w:t>Achievement</w:t>
      </w:r>
      <w:r>
        <w:rPr>
          <w:spacing w:val="-6"/>
        </w:rPr>
        <w:t xml:space="preserve"> </w:t>
      </w:r>
      <w:r>
        <w:t>measures</w:t>
      </w:r>
      <w:r>
        <w:rPr>
          <w:spacing w:val="-6"/>
        </w:rPr>
        <w:t xml:space="preserve"> </w:t>
      </w:r>
      <w:r>
        <w:t>should</w:t>
      </w:r>
      <w:r>
        <w:rPr>
          <w:spacing w:val="-6"/>
        </w:rPr>
        <w:t xml:space="preserve"> </w:t>
      </w:r>
      <w:r>
        <w:t>differentiate</w:t>
      </w:r>
      <w:r>
        <w:rPr>
          <w:spacing w:val="-6"/>
        </w:rPr>
        <w:t xml:space="preserve"> </w:t>
      </w:r>
      <w:r>
        <w:t>schools</w:t>
      </w:r>
      <w:r>
        <w:rPr>
          <w:spacing w:val="-6"/>
        </w:rPr>
        <w:t xml:space="preserve"> </w:t>
      </w:r>
      <w:r>
        <w:t>from</w:t>
      </w:r>
      <w:r>
        <w:rPr>
          <w:spacing w:val="-6"/>
        </w:rPr>
        <w:t xml:space="preserve"> </w:t>
      </w:r>
      <w:r>
        <w:t>one</w:t>
      </w:r>
      <w:r>
        <w:rPr>
          <w:spacing w:val="-6"/>
        </w:rPr>
        <w:t xml:space="preserve"> </w:t>
      </w:r>
      <w:r>
        <w:t>another.</w:t>
      </w:r>
      <w:r>
        <w:rPr>
          <w:spacing w:val="-6"/>
        </w:rPr>
        <w:t xml:space="preserve"> </w:t>
      </w:r>
      <w:r>
        <w:t>For</w:t>
      </w:r>
      <w:r>
        <w:rPr>
          <w:spacing w:val="-6"/>
        </w:rPr>
        <w:t xml:space="preserve"> </w:t>
      </w:r>
      <w:r>
        <w:t>example,</w:t>
      </w:r>
      <w:r>
        <w:rPr>
          <w:spacing w:val="-6"/>
        </w:rPr>
        <w:t xml:space="preserve"> </w:t>
      </w:r>
      <w:r>
        <w:t>district-level</w:t>
      </w:r>
      <w:r>
        <w:rPr>
          <w:spacing w:val="-6"/>
        </w:rPr>
        <w:t xml:space="preserve"> </w:t>
      </w:r>
      <w:r>
        <w:t>measures</w:t>
      </w:r>
      <w:r>
        <w:rPr>
          <w:spacing w:val="-6"/>
        </w:rPr>
        <w:t xml:space="preserve"> </w:t>
      </w:r>
      <w:r>
        <w:t>or</w:t>
      </w:r>
      <w:r>
        <w:rPr>
          <w:spacing w:val="-6"/>
        </w:rPr>
        <w:t xml:space="preserve"> </w:t>
      </w:r>
      <w:r>
        <w:t>those</w:t>
      </w:r>
      <w:r>
        <w:rPr>
          <w:spacing w:val="-6"/>
        </w:rPr>
        <w:t xml:space="preserve"> </w:t>
      </w:r>
      <w:r>
        <w:t>with</w:t>
      </w:r>
      <w:r>
        <w:rPr>
          <w:spacing w:val="-6"/>
        </w:rPr>
        <w:t xml:space="preserve"> </w:t>
      </w:r>
      <w:r>
        <w:t>high</w:t>
      </w:r>
      <w:r>
        <w:rPr>
          <w:spacing w:val="-6"/>
        </w:rPr>
        <w:t xml:space="preserve"> </w:t>
      </w:r>
      <w:r>
        <w:t>missing</w:t>
      </w:r>
      <w:r>
        <w:rPr>
          <w:spacing w:val="-6"/>
        </w:rPr>
        <w:t xml:space="preserve"> </w:t>
      </w:r>
      <w:r>
        <w:t>rates</w:t>
      </w:r>
      <w:r>
        <w:rPr>
          <w:spacing w:val="-6"/>
        </w:rPr>
        <w:t xml:space="preserve"> </w:t>
      </w:r>
      <w:r>
        <w:t>(30</w:t>
      </w:r>
      <w:r>
        <w:rPr>
          <w:spacing w:val="-6"/>
        </w:rPr>
        <w:t xml:space="preserve"> </w:t>
      </w:r>
      <w:r>
        <w:t>percent</w:t>
      </w:r>
      <w:r>
        <w:rPr>
          <w:spacing w:val="-6"/>
        </w:rPr>
        <w:t xml:space="preserve"> </w:t>
      </w:r>
      <w:r>
        <w:t>or</w:t>
      </w:r>
      <w:r>
        <w:rPr>
          <w:spacing w:val="-6"/>
        </w:rPr>
        <w:t xml:space="preserve"> </w:t>
      </w:r>
      <w:r>
        <w:t>more),</w:t>
      </w:r>
      <w:r>
        <w:rPr>
          <w:spacing w:val="-6"/>
        </w:rPr>
        <w:t xml:space="preserve"> </w:t>
      </w:r>
      <w:r>
        <w:t>were judged</w:t>
      </w:r>
      <w:r>
        <w:rPr>
          <w:spacing w:val="-6"/>
        </w:rPr>
        <w:t xml:space="preserve"> </w:t>
      </w:r>
      <w:r>
        <w:t>not</w:t>
      </w:r>
      <w:r>
        <w:rPr>
          <w:spacing w:val="-6"/>
        </w:rPr>
        <w:t xml:space="preserve"> </w:t>
      </w:r>
      <w:r>
        <w:t>to</w:t>
      </w:r>
      <w:r>
        <w:rPr>
          <w:spacing w:val="-6"/>
        </w:rPr>
        <w:t xml:space="preserve"> </w:t>
      </w:r>
      <w:r>
        <w:t>be</w:t>
      </w:r>
      <w:r>
        <w:rPr>
          <w:spacing w:val="-6"/>
        </w:rPr>
        <w:t xml:space="preserve"> </w:t>
      </w:r>
      <w:r>
        <w:t>useful</w:t>
      </w:r>
      <w:r>
        <w:rPr>
          <w:spacing w:val="-6"/>
        </w:rPr>
        <w:t xml:space="preserve"> </w:t>
      </w:r>
      <w:r>
        <w:t>for</w:t>
      </w:r>
      <w:r>
        <w:rPr>
          <w:spacing w:val="-6"/>
        </w:rPr>
        <w:t xml:space="preserve"> </w:t>
      </w:r>
      <w:r>
        <w:t>differentiating</w:t>
      </w:r>
      <w:r>
        <w:rPr>
          <w:spacing w:val="-6"/>
        </w:rPr>
        <w:t xml:space="preserve"> </w:t>
      </w:r>
      <w:r>
        <w:t>schools.</w:t>
      </w:r>
      <w:r>
        <w:rPr>
          <w:spacing w:val="-6"/>
        </w:rPr>
        <w:t xml:space="preserve"> </w:t>
      </w:r>
      <w:r>
        <w:t>In</w:t>
      </w:r>
      <w:r>
        <w:rPr>
          <w:spacing w:val="-6"/>
        </w:rPr>
        <w:t xml:space="preserve"> </w:t>
      </w:r>
      <w:r>
        <w:t>addition,</w:t>
      </w:r>
      <w:r>
        <w:rPr>
          <w:spacing w:val="-6"/>
        </w:rPr>
        <w:t xml:space="preserve"> </w:t>
      </w:r>
      <w:r>
        <w:t>achievement</w:t>
      </w:r>
      <w:r>
        <w:rPr>
          <w:spacing w:val="-6"/>
        </w:rPr>
        <w:t xml:space="preserve"> </w:t>
      </w:r>
      <w:r>
        <w:t>measures</w:t>
      </w:r>
      <w:r>
        <w:rPr>
          <w:spacing w:val="-6"/>
        </w:rPr>
        <w:t xml:space="preserve"> </w:t>
      </w:r>
      <w:r>
        <w:t>that</w:t>
      </w:r>
      <w:r>
        <w:rPr>
          <w:spacing w:val="-6"/>
        </w:rPr>
        <w:t xml:space="preserve"> </w:t>
      </w:r>
      <w:r>
        <w:t>did</w:t>
      </w:r>
      <w:r>
        <w:rPr>
          <w:spacing w:val="-6"/>
        </w:rPr>
        <w:t xml:space="preserve"> </w:t>
      </w:r>
      <w:r>
        <w:t>not</w:t>
      </w:r>
      <w:r>
        <w:rPr>
          <w:spacing w:val="-6"/>
        </w:rPr>
        <w:t xml:space="preserve"> </w:t>
      </w:r>
      <w:r>
        <w:t>have</w:t>
      </w:r>
      <w:r>
        <w:rPr>
          <w:spacing w:val="-6"/>
        </w:rPr>
        <w:t xml:space="preserve"> </w:t>
      </w:r>
      <w:r>
        <w:t>large</w:t>
      </w:r>
      <w:r>
        <w:rPr>
          <w:spacing w:val="-6"/>
        </w:rPr>
        <w:t xml:space="preserve"> </w:t>
      </w:r>
      <w:r>
        <w:t>enough</w:t>
      </w:r>
      <w:r>
        <w:rPr>
          <w:spacing w:val="-6"/>
        </w:rPr>
        <w:t xml:space="preserve"> </w:t>
      </w:r>
      <w:r>
        <w:t>dispersion,</w:t>
      </w:r>
      <w:r>
        <w:rPr>
          <w:spacing w:val="-6"/>
        </w:rPr>
        <w:t xml:space="preserve"> </w:t>
      </w:r>
      <w:r>
        <w:t>based</w:t>
      </w:r>
      <w:r>
        <w:rPr>
          <w:spacing w:val="-6"/>
        </w:rPr>
        <w:t xml:space="preserve"> </w:t>
      </w:r>
      <w:r>
        <w:t>on</w:t>
      </w:r>
      <w:r>
        <w:rPr>
          <w:spacing w:val="-6"/>
        </w:rPr>
        <w:t xml:space="preserve"> </w:t>
      </w:r>
      <w:r>
        <w:t>inspection,</w:t>
      </w:r>
      <w:r>
        <w:rPr>
          <w:spacing w:val="-6"/>
        </w:rPr>
        <w:t xml:space="preserve"> </w:t>
      </w:r>
      <w:r>
        <w:t>were</w:t>
      </w:r>
      <w:r>
        <w:rPr>
          <w:spacing w:val="-6"/>
        </w:rPr>
        <w:t xml:space="preserve"> </w:t>
      </w:r>
      <w:r>
        <w:t>not</w:t>
      </w:r>
      <w:r>
        <w:rPr>
          <w:spacing w:val="-6"/>
        </w:rPr>
        <w:t xml:space="preserve"> </w:t>
      </w:r>
      <w:r>
        <w:t>used</w:t>
      </w:r>
      <w:r>
        <w:rPr>
          <w:spacing w:val="-6"/>
        </w:rPr>
        <w:t xml:space="preserve"> </w:t>
      </w:r>
      <w:r>
        <w:t>for stratification either.</w:t>
      </w:r>
    </w:p>
    <w:p w:rsidR="003F5784" w14:paraId="47269182" w14:textId="77777777">
      <w:pPr>
        <w:pStyle w:val="BodyText"/>
        <w:spacing w:before="210" w:line="232" w:lineRule="auto"/>
        <w:ind w:left="631" w:right="54" w:hanging="209"/>
      </w:pPr>
      <w:r>
        <w:rPr>
          <w:noProof/>
          <w:position w:val="3"/>
        </w:rPr>
        <w:drawing>
          <wp:inline distT="0" distB="0" distL="0" distR="0">
            <wp:extent cx="41379" cy="41378"/>
            <wp:effectExtent l="0" t="0" r="0" b="0"/>
            <wp:docPr id="446" name="Image 446"/>
            <wp:cNvGraphicFramePr/>
            <a:graphic xmlns:a="http://schemas.openxmlformats.org/drawingml/2006/main">
              <a:graphicData uri="http://schemas.openxmlformats.org/drawingml/2006/picture">
                <pic:pic xmlns:pic="http://schemas.openxmlformats.org/drawingml/2006/picture">
                  <pic:nvPicPr>
                    <pic:cNvPr id="446" name="Image 446"/>
                    <pic:cNvPicPr/>
                  </pic:nvPicPr>
                  <pic:blipFill>
                    <a:blip xmlns:r="http://schemas.openxmlformats.org/officeDocument/2006/relationships" r:embed="rId346" cstate="print"/>
                    <a:stretch>
                      <a:fillRect/>
                    </a:stretch>
                  </pic:blipFill>
                  <pic:spPr>
                    <a:xfrm>
                      <a:off x="0" y="0"/>
                      <a:ext cx="41379" cy="41378"/>
                    </a:xfrm>
                    <a:prstGeom prst="rect">
                      <a:avLst/>
                    </a:prstGeom>
                  </pic:spPr>
                </pic:pic>
              </a:graphicData>
            </a:graphic>
          </wp:inline>
        </w:drawing>
      </w:r>
      <w:r>
        <w:rPr>
          <w:spacing w:val="80"/>
          <w:sz w:val="20"/>
        </w:rPr>
        <w:t xml:space="preserve"> </w:t>
      </w:r>
      <w:r>
        <w:t>All other things being equal, the possibilities for score types were average scale score, median scale score, percentile rank, median percentile rank, normal curve equivalent,</w:t>
      </w:r>
      <w:r>
        <w:rPr>
          <w:spacing w:val="-7"/>
        </w:rPr>
        <w:t xml:space="preserve"> </w:t>
      </w:r>
      <w:r>
        <w:t>raw</w:t>
      </w:r>
      <w:r>
        <w:rPr>
          <w:spacing w:val="-7"/>
        </w:rPr>
        <w:t xml:space="preserve"> </w:t>
      </w:r>
      <w:r>
        <w:t>score,</w:t>
      </w:r>
      <w:r>
        <w:rPr>
          <w:spacing w:val="-7"/>
        </w:rPr>
        <w:t xml:space="preserve"> </w:t>
      </w:r>
      <w:r>
        <w:t>index</w:t>
      </w:r>
      <w:r>
        <w:rPr>
          <w:spacing w:val="-7"/>
        </w:rPr>
        <w:t xml:space="preserve"> </w:t>
      </w:r>
      <w:r>
        <w:t>score,</w:t>
      </w:r>
      <w:r>
        <w:rPr>
          <w:spacing w:val="-7"/>
        </w:rPr>
        <w:t xml:space="preserve"> </w:t>
      </w:r>
      <w:r>
        <w:t>and</w:t>
      </w:r>
      <w:r>
        <w:rPr>
          <w:spacing w:val="-7"/>
        </w:rPr>
        <w:t xml:space="preserve"> </w:t>
      </w:r>
      <w:r>
        <w:t>percentage</w:t>
      </w:r>
      <w:r>
        <w:rPr>
          <w:spacing w:val="-7"/>
        </w:rPr>
        <w:t xml:space="preserve"> </w:t>
      </w:r>
      <w:r>
        <w:t>above</w:t>
      </w:r>
      <w:r>
        <w:rPr>
          <w:spacing w:val="-7"/>
        </w:rPr>
        <w:t xml:space="preserve"> </w:t>
      </w:r>
      <w:r>
        <w:t>a</w:t>
      </w:r>
      <w:r>
        <w:rPr>
          <w:spacing w:val="-7"/>
        </w:rPr>
        <w:t xml:space="preserve"> </w:t>
      </w:r>
      <w:r>
        <w:t>particular</w:t>
      </w:r>
      <w:r>
        <w:rPr>
          <w:spacing w:val="-7"/>
        </w:rPr>
        <w:t xml:space="preserve"> </w:t>
      </w:r>
      <w:r>
        <w:t>cut</w:t>
      </w:r>
      <w:r>
        <w:rPr>
          <w:spacing w:val="-7"/>
        </w:rPr>
        <w:t xml:space="preserve"> </w:t>
      </w:r>
      <w:r>
        <w:t>point</w:t>
      </w:r>
      <w:r>
        <w:rPr>
          <w:spacing w:val="-7"/>
        </w:rPr>
        <w:t xml:space="preserve"> </w:t>
      </w:r>
      <w:r>
        <w:t>or</w:t>
      </w:r>
      <w:r>
        <w:rPr>
          <w:spacing w:val="-7"/>
        </w:rPr>
        <w:t xml:space="preserve"> </w:t>
      </w:r>
      <w:r>
        <w:t>quartile.</w:t>
      </w:r>
      <w:r>
        <w:rPr>
          <w:spacing w:val="-7"/>
        </w:rPr>
        <w:t xml:space="preserve"> </w:t>
      </w:r>
      <w:r>
        <w:t>In</w:t>
      </w:r>
      <w:r>
        <w:rPr>
          <w:spacing w:val="-7"/>
        </w:rPr>
        <w:t xml:space="preserve"> </w:t>
      </w:r>
      <w:r>
        <w:t>general,</w:t>
      </w:r>
      <w:r>
        <w:rPr>
          <w:spacing w:val="-7"/>
        </w:rPr>
        <w:t xml:space="preserve"> </w:t>
      </w:r>
      <w:r>
        <w:t>the</w:t>
      </w:r>
      <w:r>
        <w:rPr>
          <w:spacing w:val="-7"/>
        </w:rPr>
        <w:t xml:space="preserve"> </w:t>
      </w:r>
      <w:r>
        <w:t>availability</w:t>
      </w:r>
      <w:r>
        <w:rPr>
          <w:spacing w:val="-7"/>
        </w:rPr>
        <w:t xml:space="preserve"> </w:t>
      </w:r>
      <w:r>
        <w:t>varied</w:t>
      </w:r>
      <w:r>
        <w:rPr>
          <w:spacing w:val="-7"/>
        </w:rPr>
        <w:t xml:space="preserve"> </w:t>
      </w:r>
      <w:r>
        <w:t>for</w:t>
      </w:r>
      <w:r>
        <w:rPr>
          <w:spacing w:val="-7"/>
        </w:rPr>
        <w:t xml:space="preserve"> </w:t>
      </w:r>
      <w:r>
        <w:t>any</w:t>
      </w:r>
      <w:r>
        <w:rPr>
          <w:spacing w:val="-7"/>
        </w:rPr>
        <w:t xml:space="preserve"> </w:t>
      </w:r>
      <w:r>
        <w:t>given</w:t>
      </w:r>
      <w:r>
        <w:rPr>
          <w:spacing w:val="-7"/>
        </w:rPr>
        <w:t xml:space="preserve"> </w:t>
      </w:r>
      <w:r>
        <w:t>jurisdiction/grade/subject/year.</w:t>
      </w:r>
    </w:p>
    <w:p w:rsidR="003F5784" w14:paraId="2DA90AC2" w14:textId="77777777">
      <w:pPr>
        <w:pStyle w:val="BodyText"/>
        <w:spacing w:before="209" w:line="232" w:lineRule="auto"/>
        <w:ind w:left="109" w:right="117"/>
      </w:pPr>
      <w:r>
        <w:t>Achievement</w:t>
      </w:r>
      <w:r>
        <w:rPr>
          <w:spacing w:val="-8"/>
        </w:rPr>
        <w:t xml:space="preserve"> </w:t>
      </w:r>
      <w:r>
        <w:t>data</w:t>
      </w:r>
      <w:r>
        <w:rPr>
          <w:spacing w:val="-6"/>
        </w:rPr>
        <w:t xml:space="preserve"> </w:t>
      </w:r>
      <w:r>
        <w:t>used</w:t>
      </w:r>
      <w:r>
        <w:rPr>
          <w:spacing w:val="-6"/>
        </w:rPr>
        <w:t xml:space="preserve"> </w:t>
      </w:r>
      <w:r>
        <w:t>for</w:t>
      </w:r>
      <w:r>
        <w:rPr>
          <w:spacing w:val="-6"/>
        </w:rPr>
        <w:t xml:space="preserve"> </w:t>
      </w:r>
      <w:r>
        <w:t>implicit</w:t>
      </w:r>
      <w:r>
        <w:rPr>
          <w:spacing w:val="-6"/>
        </w:rPr>
        <w:t xml:space="preserve"> </w:t>
      </w:r>
      <w:r>
        <w:t>stratification</w:t>
      </w:r>
      <w:r>
        <w:rPr>
          <w:spacing w:val="-6"/>
        </w:rPr>
        <w:t xml:space="preserve"> </w:t>
      </w:r>
      <w:r>
        <w:t>were</w:t>
      </w:r>
      <w:r>
        <w:rPr>
          <w:spacing w:val="-6"/>
        </w:rPr>
        <w:t xml:space="preserve"> </w:t>
      </w:r>
      <w:r>
        <w:t>obtained</w:t>
      </w:r>
      <w:r>
        <w:rPr>
          <w:spacing w:val="-6"/>
        </w:rPr>
        <w:t xml:space="preserve"> </w:t>
      </w:r>
      <w:r>
        <w:t>for</w:t>
      </w:r>
      <w:r>
        <w:rPr>
          <w:spacing w:val="-6"/>
        </w:rPr>
        <w:t xml:space="preserve"> </w:t>
      </w:r>
      <w:r>
        <w:t>all</w:t>
      </w:r>
      <w:r>
        <w:rPr>
          <w:spacing w:val="-6"/>
        </w:rPr>
        <w:t xml:space="preserve"> </w:t>
      </w:r>
      <w:r>
        <w:t>50</w:t>
      </w:r>
      <w:r>
        <w:rPr>
          <w:spacing w:val="-6"/>
        </w:rPr>
        <w:t xml:space="preserve"> </w:t>
      </w:r>
      <w:r>
        <w:t>states</w:t>
      </w:r>
      <w:r>
        <w:rPr>
          <w:spacing w:val="-6"/>
        </w:rPr>
        <w:t xml:space="preserve"> </w:t>
      </w:r>
      <w:r>
        <w:t>and</w:t>
      </w:r>
      <w:r>
        <w:rPr>
          <w:spacing w:val="-6"/>
        </w:rPr>
        <w:t xml:space="preserve"> </w:t>
      </w:r>
      <w:r>
        <w:t>the</w:t>
      </w:r>
      <w:r>
        <w:rPr>
          <w:spacing w:val="-6"/>
        </w:rPr>
        <w:t xml:space="preserve"> </w:t>
      </w:r>
      <w:r>
        <w:t>District</w:t>
      </w:r>
      <w:r>
        <w:rPr>
          <w:spacing w:val="-6"/>
        </w:rPr>
        <w:t xml:space="preserve"> </w:t>
      </w:r>
      <w:r>
        <w:t>of</w:t>
      </w:r>
      <w:r>
        <w:rPr>
          <w:spacing w:val="-6"/>
        </w:rPr>
        <w:t xml:space="preserve"> </w:t>
      </w:r>
      <w:r>
        <w:t>Columbia</w:t>
      </w:r>
      <w:r>
        <w:rPr>
          <w:spacing w:val="-6"/>
        </w:rPr>
        <w:t xml:space="preserve"> </w:t>
      </w:r>
      <w:r>
        <w:t>for</w:t>
      </w:r>
      <w:r>
        <w:rPr>
          <w:spacing w:val="-6"/>
        </w:rPr>
        <w:t xml:space="preserve"> </w:t>
      </w:r>
      <w:r>
        <w:t>both</w:t>
      </w:r>
      <w:r>
        <w:rPr>
          <w:spacing w:val="-6"/>
        </w:rPr>
        <w:t xml:space="preserve"> </w:t>
      </w:r>
      <w:r>
        <w:t>fourth-</w:t>
      </w:r>
      <w:r>
        <w:rPr>
          <w:spacing w:val="-6"/>
        </w:rPr>
        <w:t xml:space="preserve"> </w:t>
      </w:r>
      <w:r>
        <w:t>and</w:t>
      </w:r>
      <w:r>
        <w:rPr>
          <w:spacing w:val="-6"/>
        </w:rPr>
        <w:t xml:space="preserve"> </w:t>
      </w:r>
      <w:r>
        <w:t>eighth-grade</w:t>
      </w:r>
      <w:r>
        <w:rPr>
          <w:spacing w:val="-6"/>
        </w:rPr>
        <w:t xml:space="preserve"> </w:t>
      </w:r>
      <w:r>
        <w:t>assessments.</w:t>
      </w:r>
      <w:r>
        <w:rPr>
          <w:spacing w:val="-6"/>
        </w:rPr>
        <w:t xml:space="preserve"> </w:t>
      </w:r>
      <w:r>
        <w:t>In</w:t>
      </w:r>
      <w:r>
        <w:rPr>
          <w:spacing w:val="-14"/>
        </w:rPr>
        <w:t xml:space="preserve"> </w:t>
      </w:r>
      <w:r>
        <w:t>Alaska</w:t>
      </w:r>
      <w:r>
        <w:rPr>
          <w:spacing w:val="-5"/>
        </w:rPr>
        <w:t xml:space="preserve"> </w:t>
      </w:r>
      <w:r>
        <w:t>where</w:t>
      </w:r>
      <w:r>
        <w:rPr>
          <w:spacing w:val="-6"/>
        </w:rPr>
        <w:t xml:space="preserve"> </w:t>
      </w:r>
      <w:r>
        <w:t>the match rate was too low, 2016–2017 state assessment data were used instead. In Puerto Rico where achievement data were not available, median household income was used based on the zip code area in which the school was located.</w:t>
      </w:r>
      <w:r>
        <w:rPr>
          <w:spacing w:val="-3"/>
        </w:rPr>
        <w:t xml:space="preserve"> </w:t>
      </w:r>
      <w:r>
        <w:t>The source of median household income for Puerto Rico was 5-year estimates from the 2015–2019</w:t>
      </w:r>
      <w:r>
        <w:rPr>
          <w:spacing w:val="-10"/>
        </w:rPr>
        <w:t xml:space="preserve"> </w:t>
      </w:r>
      <w:r>
        <w:t>American Community Survey (ACS).</w:t>
      </w:r>
      <w:r>
        <w:rPr>
          <w:spacing w:val="-3"/>
        </w:rPr>
        <w:t xml:space="preserve"> </w:t>
      </w:r>
      <w:r>
        <w:t>The estimated grade enrollment was used for the stratification for DoDEA</w:t>
      </w:r>
      <w:r>
        <w:rPr>
          <w:spacing w:val="-10"/>
        </w:rPr>
        <w:t xml:space="preserve"> </w:t>
      </w:r>
      <w:r>
        <w:t>and BIE schools, since neither achievement data nor median income were available. Estimated grade enrollment was obtained from the Common Core of Data (CCD) file developed by NCES.</w:t>
      </w:r>
    </w:p>
    <w:p w:rsidR="003F5784" w14:paraId="490E88D8" w14:textId="77777777">
      <w:pPr>
        <w:pStyle w:val="BodyText"/>
      </w:pPr>
    </w:p>
    <w:p w:rsidR="003F5784" w14:paraId="4DA4B48A" w14:textId="77777777">
      <w:pPr>
        <w:pStyle w:val="BodyText"/>
      </w:pPr>
    </w:p>
    <w:p w:rsidR="003F5784" w14:paraId="42AEE574" w14:textId="77777777">
      <w:pPr>
        <w:pStyle w:val="BodyText"/>
        <w:spacing w:before="147"/>
      </w:pPr>
    </w:p>
    <w:p w:rsidR="003F5784" w14:paraId="4AA56C61" w14:textId="77777777">
      <w:pPr>
        <w:ind w:left="2947"/>
        <w:rPr>
          <w:sz w:val="18"/>
        </w:rPr>
      </w:pPr>
      <w:hyperlink r:id="rId347">
        <w:r>
          <w:rPr>
            <w:spacing w:val="-2"/>
            <w:w w:val="105"/>
            <w:sz w:val="18"/>
          </w:rPr>
          <w:t>http://nces.ed.gov/nationsreportcard/tdw/sample_design/2022/stratification_by_achievement_data_and_median_income_for_the_2022_state_assessment.aspx</w:t>
        </w:r>
      </w:hyperlink>
    </w:p>
    <w:p w:rsidR="003F5784" w14:paraId="473BABE4" w14:textId="77777777">
      <w:pPr>
        <w:pStyle w:val="BodyText"/>
        <w:rPr>
          <w:sz w:val="16"/>
        </w:rPr>
      </w:pPr>
      <w:r>
        <w:rPr>
          <w:noProof/>
        </w:rPr>
        <mc:AlternateContent>
          <mc:Choice Requires="wps">
            <w:drawing>
              <wp:anchor distT="0" distB="0" distL="0" distR="0" simplePos="0" relativeHeight="251952128" behindDoc="1" locked="0" layoutInCell="1" allowOverlap="1">
                <wp:simplePos x="0" y="0"/>
                <wp:positionH relativeFrom="page">
                  <wp:posOffset>361937</wp:posOffset>
                </wp:positionH>
                <wp:positionV relativeFrom="paragraph">
                  <wp:posOffset>132552</wp:posOffset>
                </wp:positionV>
                <wp:extent cx="9339580" cy="8890"/>
                <wp:effectExtent l="0" t="0" r="0" b="0"/>
                <wp:wrapTopAndBottom/>
                <wp:docPr id="447" name="Graphic 447"/>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447" o:spid="_x0000_s1155" style="width:735.4pt;height:0.7pt;margin-top:10.45pt;margin-left:28.5pt;mso-position-horizontal-relative:page;mso-wrap-distance-bottom:0;mso-wrap-distance-left:0;mso-wrap-distance-right:0;mso-wrap-distance-top:0;mso-wrap-style:square;position:absolute;visibility:visible;v-text-anchor:top;z-index:-251363328" coordsize="9339580,8890" path="m9338970,l9335110,l,,,8280l8280,8280l9335110,8280l9338970,8280l9338970,xe" fillcolor="gray" stroked="f">
                <v:path arrowok="t"/>
                <w10:wrap type="topAndBottom"/>
              </v:shape>
            </w:pict>
          </mc:Fallback>
        </mc:AlternateContent>
      </w:r>
    </w:p>
    <w:p w:rsidR="003F5784" w14:paraId="573E1DD2" w14:textId="77777777">
      <w:pPr>
        <w:pStyle w:val="BodyText"/>
        <w:rPr>
          <w:sz w:val="18"/>
        </w:rPr>
      </w:pPr>
    </w:p>
    <w:p w:rsidR="003F5784" w14:paraId="050AF2E2" w14:textId="77777777">
      <w:pPr>
        <w:pStyle w:val="BodyText"/>
        <w:spacing w:before="193"/>
        <w:rPr>
          <w:sz w:val="18"/>
        </w:rPr>
      </w:pPr>
    </w:p>
    <w:p w:rsidR="003F5784" w14:paraId="101489AB" w14:textId="75F13897">
      <w:pPr>
        <w:pStyle w:val="Heading1"/>
        <w:spacing w:line="244" w:lineRule="auto"/>
      </w:pPr>
      <w:r>
        <w:t>NAEP</w:t>
      </w:r>
      <w:r>
        <w:rPr>
          <w:spacing w:val="-9"/>
        </w:rPr>
        <w:t xml:space="preserve"> </w:t>
      </w:r>
      <w:r>
        <w:t>Technical Documentation</w:t>
      </w:r>
      <w:r w:rsidR="00E3225D">
        <w:t xml:space="preserve"> </w:t>
      </w:r>
      <w:r>
        <w:t>Stratification by Race/Ethnicity Classification for the 2022 State Assessment</w:t>
      </w:r>
    </w:p>
    <w:p w:rsidR="003F5784" w14:paraId="7EF2161F" w14:textId="77777777">
      <w:pPr>
        <w:pStyle w:val="BodyText"/>
        <w:spacing w:before="287" w:line="232" w:lineRule="auto"/>
        <w:ind w:left="109" w:right="179"/>
      </w:pPr>
      <w:r>
        <w:t>Race/ethnicity</w:t>
      </w:r>
      <w:r>
        <w:rPr>
          <w:spacing w:val="-14"/>
        </w:rPr>
        <w:t xml:space="preserve"> </w:t>
      </w:r>
      <w:r>
        <w:t>classification</w:t>
      </w:r>
      <w:r>
        <w:rPr>
          <w:spacing w:val="-11"/>
        </w:rPr>
        <w:t xml:space="preserve"> </w:t>
      </w:r>
      <w:r>
        <w:t>was</w:t>
      </w:r>
      <w:r>
        <w:rPr>
          <w:spacing w:val="-8"/>
        </w:rPr>
        <w:t xml:space="preserve"> </w:t>
      </w:r>
      <w:r>
        <w:t>based</w:t>
      </w:r>
      <w:r>
        <w:rPr>
          <w:spacing w:val="-8"/>
        </w:rPr>
        <w:t xml:space="preserve"> </w:t>
      </w:r>
      <w:r>
        <w:t>on</w:t>
      </w:r>
      <w:r>
        <w:rPr>
          <w:spacing w:val="-8"/>
        </w:rPr>
        <w:t xml:space="preserve"> </w:t>
      </w:r>
      <w:r>
        <w:t>the</w:t>
      </w:r>
      <w:r>
        <w:rPr>
          <w:spacing w:val="-8"/>
        </w:rPr>
        <w:t xml:space="preserve"> </w:t>
      </w:r>
      <w:r>
        <w:t>second</w:t>
      </w:r>
      <w:r>
        <w:rPr>
          <w:spacing w:val="-8"/>
        </w:rPr>
        <w:t xml:space="preserve"> </w:t>
      </w:r>
      <w:r>
        <w:t>and</w:t>
      </w:r>
      <w:r>
        <w:rPr>
          <w:spacing w:val="-8"/>
        </w:rPr>
        <w:t xml:space="preserve"> </w:t>
      </w:r>
      <w:r>
        <w:t>third</w:t>
      </w:r>
      <w:r>
        <w:rPr>
          <w:spacing w:val="-8"/>
        </w:rPr>
        <w:t xml:space="preserve"> </w:t>
      </w:r>
      <w:r>
        <w:t>largest</w:t>
      </w:r>
      <w:r>
        <w:rPr>
          <w:spacing w:val="-8"/>
        </w:rPr>
        <w:t xml:space="preserve"> </w:t>
      </w:r>
      <w:r>
        <w:t>race/ethnicity</w:t>
      </w:r>
      <w:r>
        <w:rPr>
          <w:spacing w:val="-8"/>
        </w:rPr>
        <w:t xml:space="preserve"> </w:t>
      </w:r>
      <w:r>
        <w:t>percentages</w:t>
      </w:r>
      <w:r>
        <w:rPr>
          <w:spacing w:val="-8"/>
        </w:rPr>
        <w:t xml:space="preserve"> </w:t>
      </w:r>
      <w:r>
        <w:t>(among</w:t>
      </w:r>
      <w:r>
        <w:rPr>
          <w:spacing w:val="-8"/>
        </w:rPr>
        <w:t xml:space="preserve"> </w:t>
      </w:r>
      <w:r>
        <w:t>non-Hispanic</w:t>
      </w:r>
      <w:r>
        <w:rPr>
          <w:spacing w:val="-12"/>
        </w:rPr>
        <w:t xml:space="preserve"> </w:t>
      </w:r>
      <w:r>
        <w:t>White,</w:t>
      </w:r>
      <w:r>
        <w:rPr>
          <w:spacing w:val="-8"/>
        </w:rPr>
        <w:t xml:space="preserve"> </w:t>
      </w:r>
      <w:r>
        <w:t>non-Hispanic</w:t>
      </w:r>
      <w:r>
        <w:rPr>
          <w:spacing w:val="-8"/>
        </w:rPr>
        <w:t xml:space="preserve"> </w:t>
      </w:r>
      <w:r>
        <w:t>Black,</w:t>
      </w:r>
      <w:r>
        <w:rPr>
          <w:spacing w:val="-8"/>
        </w:rPr>
        <w:t xml:space="preserve"> </w:t>
      </w:r>
      <w:r>
        <w:t>Hispanic,</w:t>
      </w:r>
      <w:r>
        <w:rPr>
          <w:spacing w:val="-14"/>
        </w:rPr>
        <w:t xml:space="preserve"> </w:t>
      </w:r>
      <w:r>
        <w:t>Asian,</w:t>
      </w:r>
      <w:r>
        <w:rPr>
          <w:spacing w:val="-13"/>
        </w:rPr>
        <w:t xml:space="preserve"> </w:t>
      </w:r>
      <w:r>
        <w:t>American Indian/Alaska Native, Native Hawaiian/Pacific Islander, and students classified as two or more races) within each urbanicity classification stratum.</w:t>
      </w:r>
      <w:r>
        <w:rPr>
          <w:spacing w:val="-3"/>
        </w:rPr>
        <w:t xml:space="preserve"> </w:t>
      </w:r>
      <w:r>
        <w:t>The race/ethnicity strata were formed using one of three classification schemes as follows:</w:t>
      </w:r>
    </w:p>
    <w:p w:rsidR="003F5784" w14:paraId="28479B86" w14:textId="77777777">
      <w:pPr>
        <w:pStyle w:val="BodyText"/>
        <w:spacing w:before="209" w:line="232" w:lineRule="auto"/>
        <w:ind w:left="631" w:right="54" w:hanging="209"/>
      </w:pPr>
      <w:r>
        <w:rPr>
          <w:noProof/>
          <w:position w:val="3"/>
        </w:rPr>
        <w:drawing>
          <wp:inline distT="0" distB="0" distL="0" distR="0">
            <wp:extent cx="41379" cy="41378"/>
            <wp:effectExtent l="0" t="0" r="0" b="0"/>
            <wp:docPr id="448" name="Image 448"/>
            <wp:cNvGraphicFramePr/>
            <a:graphic xmlns:a="http://schemas.openxmlformats.org/drawingml/2006/main">
              <a:graphicData uri="http://schemas.openxmlformats.org/drawingml/2006/picture">
                <pic:pic xmlns:pic="http://schemas.openxmlformats.org/drawingml/2006/picture">
                  <pic:nvPicPr>
                    <pic:cNvPr id="448" name="Image 448"/>
                    <pic:cNvPicPr/>
                  </pic:nvPicPr>
                  <pic:blipFill>
                    <a:blip xmlns:r="http://schemas.openxmlformats.org/officeDocument/2006/relationships" r:embed="rId348" cstate="print"/>
                    <a:stretch>
                      <a:fillRect/>
                    </a:stretch>
                  </pic:blipFill>
                  <pic:spPr>
                    <a:xfrm>
                      <a:off x="0" y="0"/>
                      <a:ext cx="41379" cy="41378"/>
                    </a:xfrm>
                    <a:prstGeom prst="rect">
                      <a:avLst/>
                    </a:prstGeom>
                  </pic:spPr>
                </pic:pic>
              </a:graphicData>
            </a:graphic>
          </wp:inline>
        </w:drawing>
      </w:r>
      <w:r>
        <w:rPr>
          <w:spacing w:val="80"/>
          <w:sz w:val="20"/>
        </w:rPr>
        <w:t xml:space="preserve"> </w:t>
      </w:r>
      <w:r>
        <w:t>Case</w:t>
      </w:r>
      <w:r>
        <w:rPr>
          <w:spacing w:val="-5"/>
        </w:rPr>
        <w:t xml:space="preserve"> </w:t>
      </w:r>
      <w:r>
        <w:t>1:</w:t>
      </w:r>
      <w:r>
        <w:rPr>
          <w:spacing w:val="-5"/>
        </w:rPr>
        <w:t xml:space="preserve"> </w:t>
      </w:r>
      <w:r>
        <w:t>Urbanicity</w:t>
      </w:r>
      <w:r>
        <w:rPr>
          <w:spacing w:val="-5"/>
        </w:rPr>
        <w:t xml:space="preserve"> </w:t>
      </w:r>
      <w:r>
        <w:t>cells</w:t>
      </w:r>
      <w:r>
        <w:rPr>
          <w:spacing w:val="-5"/>
        </w:rPr>
        <w:t xml:space="preserve"> </w:t>
      </w:r>
      <w:r>
        <w:t>where</w:t>
      </w:r>
      <w:r>
        <w:rPr>
          <w:spacing w:val="-5"/>
        </w:rPr>
        <w:t xml:space="preserve"> </w:t>
      </w:r>
      <w:r>
        <w:t>both</w:t>
      </w:r>
      <w:r>
        <w:rPr>
          <w:spacing w:val="-5"/>
        </w:rPr>
        <w:t xml:space="preserve"> </w:t>
      </w:r>
      <w:r>
        <w:t>the</w:t>
      </w:r>
      <w:r>
        <w:rPr>
          <w:spacing w:val="-5"/>
        </w:rPr>
        <w:t xml:space="preserve"> </w:t>
      </w:r>
      <w:r>
        <w:t>second</w:t>
      </w:r>
      <w:r>
        <w:rPr>
          <w:spacing w:val="-5"/>
        </w:rPr>
        <w:t xml:space="preserve"> </w:t>
      </w:r>
      <w:r>
        <w:t>and</w:t>
      </w:r>
      <w:r>
        <w:rPr>
          <w:spacing w:val="-5"/>
        </w:rPr>
        <w:t xml:space="preserve"> </w:t>
      </w:r>
      <w:r>
        <w:t>third</w:t>
      </w:r>
      <w:r>
        <w:rPr>
          <w:spacing w:val="-5"/>
        </w:rPr>
        <w:t xml:space="preserve"> </w:t>
      </w:r>
      <w:r>
        <w:t>largest</w:t>
      </w:r>
      <w:r>
        <w:rPr>
          <w:spacing w:val="-5"/>
        </w:rPr>
        <w:t xml:space="preserve"> </w:t>
      </w:r>
      <w:r>
        <w:t>race/ethnicity</w:t>
      </w:r>
      <w:r>
        <w:rPr>
          <w:spacing w:val="-5"/>
        </w:rPr>
        <w:t xml:space="preserve"> </w:t>
      </w:r>
      <w:r>
        <w:t>groups</w:t>
      </w:r>
      <w:r>
        <w:rPr>
          <w:spacing w:val="-5"/>
        </w:rPr>
        <w:t xml:space="preserve"> </w:t>
      </w:r>
      <w:r>
        <w:t>contained</w:t>
      </w:r>
      <w:r>
        <w:rPr>
          <w:spacing w:val="-5"/>
        </w:rPr>
        <w:t xml:space="preserve"> </w:t>
      </w:r>
      <w:r>
        <w:t>less</w:t>
      </w:r>
      <w:r>
        <w:rPr>
          <w:spacing w:val="-5"/>
        </w:rPr>
        <w:t xml:space="preserve"> </w:t>
      </w:r>
      <w:r>
        <w:t>than</w:t>
      </w:r>
      <w:r>
        <w:rPr>
          <w:spacing w:val="-5"/>
        </w:rPr>
        <w:t xml:space="preserve"> </w:t>
      </w:r>
      <w:r>
        <w:t>7</w:t>
      </w:r>
      <w:r>
        <w:rPr>
          <w:spacing w:val="-5"/>
        </w:rPr>
        <w:t xml:space="preserve"> </w:t>
      </w:r>
      <w:r>
        <w:t>percent</w:t>
      </w:r>
      <w:r>
        <w:rPr>
          <w:spacing w:val="-5"/>
        </w:rPr>
        <w:t xml:space="preserve"> </w:t>
      </w:r>
      <w:r>
        <w:t>of</w:t>
      </w:r>
      <w:r>
        <w:rPr>
          <w:spacing w:val="-5"/>
        </w:rPr>
        <w:t xml:space="preserve"> </w:t>
      </w:r>
      <w:r>
        <w:t>students</w:t>
      </w:r>
      <w:r>
        <w:rPr>
          <w:spacing w:val="-5"/>
        </w:rPr>
        <w:t xml:space="preserve"> </w:t>
      </w:r>
      <w:r>
        <w:t>in</w:t>
      </w:r>
      <w:r>
        <w:rPr>
          <w:spacing w:val="-5"/>
        </w:rPr>
        <w:t xml:space="preserve"> </w:t>
      </w:r>
      <w:r>
        <w:t>the</w:t>
      </w:r>
      <w:r>
        <w:rPr>
          <w:spacing w:val="-5"/>
        </w:rPr>
        <w:t xml:space="preserve"> </w:t>
      </w:r>
      <w:r>
        <w:t>urbanicity</w:t>
      </w:r>
      <w:r>
        <w:rPr>
          <w:spacing w:val="-5"/>
        </w:rPr>
        <w:t xml:space="preserve"> </w:t>
      </w:r>
      <w:r>
        <w:t>cell</w:t>
      </w:r>
      <w:r>
        <w:rPr>
          <w:spacing w:val="-5"/>
        </w:rPr>
        <w:t xml:space="preserve"> </w:t>
      </w:r>
      <w:r>
        <w:t>were</w:t>
      </w:r>
      <w:r>
        <w:rPr>
          <w:spacing w:val="-5"/>
        </w:rPr>
        <w:t xml:space="preserve"> </w:t>
      </w:r>
      <w:r>
        <w:t>not</w:t>
      </w:r>
      <w:r>
        <w:rPr>
          <w:spacing w:val="-5"/>
        </w:rPr>
        <w:t xml:space="preserve"> </w:t>
      </w:r>
      <w:r>
        <w:t>stratified</w:t>
      </w:r>
      <w:r>
        <w:rPr>
          <w:spacing w:val="-5"/>
        </w:rPr>
        <w:t xml:space="preserve"> </w:t>
      </w:r>
      <w:r>
        <w:t>by race/ethnicity enrollment (race/ethnicity stratification value was set to 0).</w:t>
      </w:r>
      <w:r>
        <w:rPr>
          <w:spacing w:val="-1"/>
        </w:rPr>
        <w:t xml:space="preserve"> </w:t>
      </w:r>
      <w:r>
        <w:t>There were no race/ethnicity strata formed within these urbanicity cells.</w:t>
      </w:r>
    </w:p>
    <w:p w:rsidR="003F5784" w14:paraId="5E262BAF" w14:textId="77777777">
      <w:pPr>
        <w:pStyle w:val="BodyText"/>
        <w:spacing w:before="210" w:line="232" w:lineRule="auto"/>
        <w:ind w:left="631" w:right="54" w:hanging="209"/>
      </w:pPr>
      <w:r>
        <w:rPr>
          <w:noProof/>
          <w:position w:val="3"/>
        </w:rPr>
        <w:drawing>
          <wp:inline distT="0" distB="0" distL="0" distR="0">
            <wp:extent cx="41379" cy="41378"/>
            <wp:effectExtent l="0" t="0" r="0" b="0"/>
            <wp:docPr id="449" name="Image 449"/>
            <wp:cNvGraphicFramePr/>
            <a:graphic xmlns:a="http://schemas.openxmlformats.org/drawingml/2006/main">
              <a:graphicData uri="http://schemas.openxmlformats.org/drawingml/2006/picture">
                <pic:pic xmlns:pic="http://schemas.openxmlformats.org/drawingml/2006/picture">
                  <pic:nvPicPr>
                    <pic:cNvPr id="449" name="Image 449"/>
                    <pic:cNvPicPr/>
                  </pic:nvPicPr>
                  <pic:blipFill>
                    <a:blip xmlns:r="http://schemas.openxmlformats.org/officeDocument/2006/relationships" r:embed="rId349" cstate="print"/>
                    <a:stretch>
                      <a:fillRect/>
                    </a:stretch>
                  </pic:blipFill>
                  <pic:spPr>
                    <a:xfrm>
                      <a:off x="0" y="0"/>
                      <a:ext cx="41379" cy="41378"/>
                    </a:xfrm>
                    <a:prstGeom prst="rect">
                      <a:avLst/>
                    </a:prstGeom>
                  </pic:spPr>
                </pic:pic>
              </a:graphicData>
            </a:graphic>
          </wp:inline>
        </w:drawing>
      </w:r>
      <w:r>
        <w:rPr>
          <w:spacing w:val="80"/>
          <w:sz w:val="20"/>
        </w:rPr>
        <w:t xml:space="preserve"> </w:t>
      </w:r>
      <w:r>
        <w:t>Case 2: Urbanicity cells where the second largest race/ethnicity group contained at least 7 percent but the second and third largest race/ethnicity groups combined contained</w:t>
      </w:r>
      <w:r>
        <w:rPr>
          <w:spacing w:val="-6"/>
        </w:rPr>
        <w:t xml:space="preserve"> </w:t>
      </w:r>
      <w:r>
        <w:t>no</w:t>
      </w:r>
      <w:r>
        <w:rPr>
          <w:spacing w:val="-6"/>
        </w:rPr>
        <w:t xml:space="preserve"> </w:t>
      </w:r>
      <w:r>
        <w:t>more</w:t>
      </w:r>
      <w:r>
        <w:rPr>
          <w:spacing w:val="-6"/>
        </w:rPr>
        <w:t xml:space="preserve"> </w:t>
      </w:r>
      <w:r>
        <w:t>than</w:t>
      </w:r>
      <w:r>
        <w:rPr>
          <w:spacing w:val="-6"/>
        </w:rPr>
        <w:t xml:space="preserve"> </w:t>
      </w:r>
      <w:r>
        <w:t>15</w:t>
      </w:r>
      <w:r>
        <w:rPr>
          <w:spacing w:val="-6"/>
        </w:rPr>
        <w:t xml:space="preserve"> </w:t>
      </w:r>
      <w:r>
        <w:t>percent</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urbanicity</w:t>
      </w:r>
      <w:r>
        <w:rPr>
          <w:spacing w:val="-6"/>
        </w:rPr>
        <w:t xml:space="preserve"> </w:t>
      </w:r>
      <w:r>
        <w:t>cell</w:t>
      </w:r>
      <w:r>
        <w:rPr>
          <w:spacing w:val="-6"/>
        </w:rPr>
        <w:t xml:space="preserve"> </w:t>
      </w:r>
      <w:r>
        <w:t>were</w:t>
      </w:r>
      <w:r>
        <w:rPr>
          <w:spacing w:val="-6"/>
        </w:rPr>
        <w:t xml:space="preserve"> </w:t>
      </w:r>
      <w:r>
        <w:t>stratified</w:t>
      </w:r>
      <w:r>
        <w:rPr>
          <w:spacing w:val="-6"/>
        </w:rPr>
        <w:t xml:space="preserve"> </w:t>
      </w:r>
      <w:r>
        <w:t>into</w:t>
      </w:r>
      <w:r>
        <w:rPr>
          <w:spacing w:val="-6"/>
        </w:rPr>
        <w:t xml:space="preserve"> </w:t>
      </w:r>
      <w:r>
        <w:t>three</w:t>
      </w:r>
      <w:r>
        <w:rPr>
          <w:spacing w:val="-6"/>
        </w:rPr>
        <w:t xml:space="preserve"> </w:t>
      </w:r>
      <w:r>
        <w:t>race/ethnicity</w:t>
      </w:r>
      <w:r>
        <w:rPr>
          <w:spacing w:val="-6"/>
        </w:rPr>
        <w:t xml:space="preserve"> </w:t>
      </w:r>
      <w:r>
        <w:t>cells.</w:t>
      </w:r>
      <w:r>
        <w:rPr>
          <w:spacing w:val="-6"/>
        </w:rPr>
        <w:t xml:space="preserve"> </w:t>
      </w:r>
      <w:r>
        <w:t>Schools</w:t>
      </w:r>
      <w:r>
        <w:rPr>
          <w:spacing w:val="-6"/>
        </w:rPr>
        <w:t xml:space="preserve"> </w:t>
      </w:r>
      <w:r>
        <w:t>were</w:t>
      </w:r>
      <w:r>
        <w:rPr>
          <w:spacing w:val="-6"/>
        </w:rPr>
        <w:t xml:space="preserve"> </w:t>
      </w:r>
      <w:r>
        <w:t>ordered</w:t>
      </w:r>
      <w:r>
        <w:rPr>
          <w:spacing w:val="-6"/>
        </w:rPr>
        <w:t xml:space="preserve"> </w:t>
      </w:r>
      <w:r>
        <w:t>by</w:t>
      </w:r>
      <w:r>
        <w:rPr>
          <w:spacing w:val="-6"/>
        </w:rPr>
        <w:t xml:space="preserve"> </w:t>
      </w:r>
      <w:r>
        <w:t>the</w:t>
      </w:r>
      <w:r>
        <w:rPr>
          <w:spacing w:val="-6"/>
        </w:rPr>
        <w:t xml:space="preserve"> </w:t>
      </w:r>
      <w:r>
        <w:t>sum</w:t>
      </w:r>
      <w:r>
        <w:rPr>
          <w:spacing w:val="-6"/>
        </w:rPr>
        <w:t xml:space="preserve"> </w:t>
      </w:r>
      <w:r>
        <w:t>of</w:t>
      </w:r>
      <w:r>
        <w:rPr>
          <w:spacing w:val="-6"/>
        </w:rPr>
        <w:t xml:space="preserve"> </w:t>
      </w:r>
      <w:r>
        <w:t>the</w:t>
      </w:r>
      <w:r>
        <w:rPr>
          <w:spacing w:val="-6"/>
        </w:rPr>
        <w:t xml:space="preserve"> </w:t>
      </w:r>
      <w:r>
        <w:t>percentage</w:t>
      </w:r>
      <w:r>
        <w:rPr>
          <w:spacing w:val="-6"/>
        </w:rPr>
        <w:t xml:space="preserve"> </w:t>
      </w:r>
      <w:r>
        <w:t xml:space="preserve">of race/ethnicity enrollment for the second and third largest groups within the urbanicity cell and then divided into three approximately equal size groups in terms of </w:t>
      </w:r>
      <w:r>
        <w:rPr>
          <w:spacing w:val="-2"/>
        </w:rPr>
        <w:t>students.</w:t>
      </w:r>
    </w:p>
    <w:p w:rsidR="003F5784" w14:paraId="7966C7C4" w14:textId="77777777">
      <w:pPr>
        <w:pStyle w:val="BodyText"/>
        <w:spacing w:before="210" w:line="232" w:lineRule="auto"/>
        <w:ind w:left="631" w:right="54" w:hanging="209"/>
      </w:pPr>
      <w:r>
        <w:rPr>
          <w:noProof/>
          <w:position w:val="3"/>
        </w:rPr>
        <w:drawing>
          <wp:inline distT="0" distB="0" distL="0" distR="0">
            <wp:extent cx="41379" cy="41378"/>
            <wp:effectExtent l="0" t="0" r="0" b="0"/>
            <wp:docPr id="450" name="Image 450"/>
            <wp:cNvGraphicFramePr/>
            <a:graphic xmlns:a="http://schemas.openxmlformats.org/drawingml/2006/main">
              <a:graphicData uri="http://schemas.openxmlformats.org/drawingml/2006/picture">
                <pic:pic xmlns:pic="http://schemas.openxmlformats.org/drawingml/2006/picture">
                  <pic:nvPicPr>
                    <pic:cNvPr id="450" name="Image 450"/>
                    <pic:cNvPicPr/>
                  </pic:nvPicPr>
                  <pic:blipFill>
                    <a:blip xmlns:r="http://schemas.openxmlformats.org/officeDocument/2006/relationships" r:embed="rId350" cstate="print"/>
                    <a:stretch>
                      <a:fillRect/>
                    </a:stretch>
                  </pic:blipFill>
                  <pic:spPr>
                    <a:xfrm>
                      <a:off x="0" y="0"/>
                      <a:ext cx="41379" cy="41378"/>
                    </a:xfrm>
                    <a:prstGeom prst="rect">
                      <a:avLst/>
                    </a:prstGeom>
                  </pic:spPr>
                </pic:pic>
              </a:graphicData>
            </a:graphic>
          </wp:inline>
        </w:drawing>
      </w:r>
      <w:r>
        <w:rPr>
          <w:spacing w:val="80"/>
          <w:sz w:val="20"/>
        </w:rPr>
        <w:t xml:space="preserve"> </w:t>
      </w:r>
      <w:r>
        <w:t>Case</w:t>
      </w:r>
      <w:r>
        <w:rPr>
          <w:spacing w:val="-5"/>
        </w:rPr>
        <w:t xml:space="preserve"> </w:t>
      </w:r>
      <w:r>
        <w:t>3:</w:t>
      </w:r>
      <w:r>
        <w:rPr>
          <w:spacing w:val="-5"/>
        </w:rPr>
        <w:t xml:space="preserve"> </w:t>
      </w:r>
      <w:r>
        <w:t>Urbanicity</w:t>
      </w:r>
      <w:r>
        <w:rPr>
          <w:spacing w:val="-5"/>
        </w:rPr>
        <w:t xml:space="preserve"> </w:t>
      </w:r>
      <w:r>
        <w:t>cells</w:t>
      </w:r>
      <w:r>
        <w:rPr>
          <w:spacing w:val="-5"/>
        </w:rPr>
        <w:t xml:space="preserve"> </w:t>
      </w:r>
      <w:r>
        <w:t>where</w:t>
      </w:r>
      <w:r>
        <w:rPr>
          <w:spacing w:val="-5"/>
        </w:rPr>
        <w:t xml:space="preserve"> </w:t>
      </w:r>
      <w:r>
        <w:t>both</w:t>
      </w:r>
      <w:r>
        <w:rPr>
          <w:spacing w:val="-5"/>
        </w:rPr>
        <w:t xml:space="preserve"> </w:t>
      </w:r>
      <w:r>
        <w:t>the</w:t>
      </w:r>
      <w:r>
        <w:rPr>
          <w:spacing w:val="-5"/>
        </w:rPr>
        <w:t xml:space="preserve"> </w:t>
      </w:r>
      <w:r>
        <w:t>second</w:t>
      </w:r>
      <w:r>
        <w:rPr>
          <w:spacing w:val="-5"/>
        </w:rPr>
        <w:t xml:space="preserve"> </w:t>
      </w:r>
      <w:r>
        <w:t>and</w:t>
      </w:r>
      <w:r>
        <w:rPr>
          <w:spacing w:val="-5"/>
        </w:rPr>
        <w:t xml:space="preserve"> </w:t>
      </w:r>
      <w:r>
        <w:t>third</w:t>
      </w:r>
      <w:r>
        <w:rPr>
          <w:spacing w:val="-5"/>
        </w:rPr>
        <w:t xml:space="preserve"> </w:t>
      </w:r>
      <w:r>
        <w:t>largest</w:t>
      </w:r>
      <w:r>
        <w:rPr>
          <w:spacing w:val="-5"/>
        </w:rPr>
        <w:t xml:space="preserve"> </w:t>
      </w:r>
      <w:r>
        <w:t>race/ethnicity</w:t>
      </w:r>
      <w:r>
        <w:rPr>
          <w:spacing w:val="-5"/>
        </w:rPr>
        <w:t xml:space="preserve"> </w:t>
      </w:r>
      <w:r>
        <w:t>groups</w:t>
      </w:r>
      <w:r>
        <w:rPr>
          <w:spacing w:val="-5"/>
        </w:rPr>
        <w:t xml:space="preserve"> </w:t>
      </w:r>
      <w:r>
        <w:t>contained</w:t>
      </w:r>
      <w:r>
        <w:rPr>
          <w:spacing w:val="-5"/>
        </w:rPr>
        <w:t xml:space="preserve"> </w:t>
      </w:r>
      <w:r>
        <w:t>more</w:t>
      </w:r>
      <w:r>
        <w:rPr>
          <w:spacing w:val="-5"/>
        </w:rPr>
        <w:t xml:space="preserve"> </w:t>
      </w:r>
      <w:r>
        <w:t>than</w:t>
      </w:r>
      <w:r>
        <w:rPr>
          <w:spacing w:val="-5"/>
        </w:rPr>
        <w:t xml:space="preserve"> </w:t>
      </w:r>
      <w:r>
        <w:t>15</w:t>
      </w:r>
      <w:r>
        <w:rPr>
          <w:spacing w:val="-5"/>
        </w:rPr>
        <w:t xml:space="preserve"> </w:t>
      </w:r>
      <w:r>
        <w:t>percent</w:t>
      </w:r>
      <w:r>
        <w:rPr>
          <w:spacing w:val="-5"/>
        </w:rPr>
        <w:t xml:space="preserve"> </w:t>
      </w:r>
      <w:r>
        <w:t>of</w:t>
      </w:r>
      <w:r>
        <w:rPr>
          <w:spacing w:val="-5"/>
        </w:rPr>
        <w:t xml:space="preserve"> </w:t>
      </w:r>
      <w:r>
        <w:t>students</w:t>
      </w:r>
      <w:r>
        <w:rPr>
          <w:spacing w:val="-5"/>
        </w:rPr>
        <w:t xml:space="preserve"> </w:t>
      </w:r>
      <w:r>
        <w:t>in</w:t>
      </w:r>
      <w:r>
        <w:rPr>
          <w:spacing w:val="-5"/>
        </w:rPr>
        <w:t xml:space="preserve"> </w:t>
      </w:r>
      <w:r>
        <w:t>the</w:t>
      </w:r>
      <w:r>
        <w:rPr>
          <w:spacing w:val="-5"/>
        </w:rPr>
        <w:t xml:space="preserve"> </w:t>
      </w:r>
      <w:r>
        <w:t>urbanicity</w:t>
      </w:r>
      <w:r>
        <w:rPr>
          <w:spacing w:val="-5"/>
        </w:rPr>
        <w:t xml:space="preserve"> </w:t>
      </w:r>
      <w:r>
        <w:t>cell</w:t>
      </w:r>
      <w:r>
        <w:rPr>
          <w:spacing w:val="-5"/>
        </w:rPr>
        <w:t xml:space="preserve"> </w:t>
      </w:r>
      <w:r>
        <w:t>were</w:t>
      </w:r>
      <w:r>
        <w:rPr>
          <w:spacing w:val="-5"/>
        </w:rPr>
        <w:t xml:space="preserve"> </w:t>
      </w:r>
      <w:r>
        <w:t>stratified</w:t>
      </w:r>
      <w:r>
        <w:rPr>
          <w:spacing w:val="-5"/>
        </w:rPr>
        <w:t xml:space="preserve"> </w:t>
      </w:r>
      <w:r>
        <w:t>into four race/ethnicity cells.</w:t>
      </w:r>
      <w:r>
        <w:rPr>
          <w:spacing w:val="-3"/>
        </w:rPr>
        <w:t xml:space="preserve"> </w:t>
      </w:r>
      <w:r>
        <w:t>The second largest group provided the primary stratification variable; the third largest group provided the secondary stratification variable.</w:t>
      </w:r>
    </w:p>
    <w:p w:rsidR="003F5784" w14:paraId="770A9952" w14:textId="77777777">
      <w:pPr>
        <w:pStyle w:val="BodyText"/>
        <w:spacing w:line="232" w:lineRule="auto"/>
        <w:ind w:left="631" w:right="179"/>
      </w:pPr>
      <w:r>
        <w:t>Within an urbanicity cell, schools were first sorted based on the primary stratification variable.</w:t>
      </w:r>
      <w:r>
        <w:rPr>
          <w:spacing w:val="-3"/>
        </w:rPr>
        <w:t xml:space="preserve"> </w:t>
      </w:r>
      <w:r>
        <w:t>Then they were divided into two strata of schools containing approximately</w:t>
      </w:r>
      <w:r>
        <w:rPr>
          <w:spacing w:val="-7"/>
        </w:rPr>
        <w:t xml:space="preserve"> </w:t>
      </w:r>
      <w:r>
        <w:t>equal</w:t>
      </w:r>
      <w:r>
        <w:rPr>
          <w:spacing w:val="-7"/>
        </w:rPr>
        <w:t xml:space="preserve"> </w:t>
      </w:r>
      <w:r>
        <w:t>numbers</w:t>
      </w:r>
      <w:r>
        <w:rPr>
          <w:spacing w:val="-7"/>
        </w:rPr>
        <w:t xml:space="preserve"> </w:t>
      </w:r>
      <w:r>
        <w:t>of</w:t>
      </w:r>
      <w:r>
        <w:rPr>
          <w:spacing w:val="-7"/>
        </w:rPr>
        <w:t xml:space="preserve"> </w:t>
      </w:r>
      <w:r>
        <w:t>students.</w:t>
      </w:r>
      <w:r>
        <w:rPr>
          <w:spacing w:val="-10"/>
        </w:rPr>
        <w:t xml:space="preserve"> </w:t>
      </w:r>
      <w:r>
        <w:t>Within</w:t>
      </w:r>
      <w:r>
        <w:rPr>
          <w:spacing w:val="-7"/>
        </w:rPr>
        <w:t xml:space="preserve"> </w:t>
      </w:r>
      <w:r>
        <w:t>each</w:t>
      </w:r>
      <w:r>
        <w:rPr>
          <w:spacing w:val="-7"/>
        </w:rPr>
        <w:t xml:space="preserve"> </w:t>
      </w:r>
      <w:r>
        <w:t>of</w:t>
      </w:r>
      <w:r>
        <w:rPr>
          <w:spacing w:val="-7"/>
        </w:rPr>
        <w:t xml:space="preserve"> </w:t>
      </w:r>
      <w:r>
        <w:t>these</w:t>
      </w:r>
      <w:r>
        <w:rPr>
          <w:spacing w:val="-7"/>
        </w:rPr>
        <w:t xml:space="preserve"> </w:t>
      </w:r>
      <w:r>
        <w:t>two</w:t>
      </w:r>
      <w:r>
        <w:rPr>
          <w:spacing w:val="-7"/>
        </w:rPr>
        <w:t xml:space="preserve"> </w:t>
      </w:r>
      <w:r>
        <w:t>strata,</w:t>
      </w:r>
      <w:r>
        <w:rPr>
          <w:spacing w:val="-7"/>
        </w:rPr>
        <w:t xml:space="preserve"> </w:t>
      </w:r>
      <w:r>
        <w:t>the</w:t>
      </w:r>
      <w:r>
        <w:rPr>
          <w:spacing w:val="-7"/>
        </w:rPr>
        <w:t xml:space="preserve"> </w:t>
      </w:r>
      <w:r>
        <w:t>schools</w:t>
      </w:r>
      <w:r>
        <w:rPr>
          <w:spacing w:val="-7"/>
        </w:rPr>
        <w:t xml:space="preserve"> </w:t>
      </w:r>
      <w:r>
        <w:t>were</w:t>
      </w:r>
      <w:r>
        <w:rPr>
          <w:spacing w:val="-7"/>
        </w:rPr>
        <w:t xml:space="preserve"> </w:t>
      </w:r>
      <w:r>
        <w:t>sorted</w:t>
      </w:r>
      <w:r>
        <w:rPr>
          <w:spacing w:val="-7"/>
        </w:rPr>
        <w:t xml:space="preserve"> </w:t>
      </w:r>
      <w:r>
        <w:t>by</w:t>
      </w:r>
      <w:r>
        <w:rPr>
          <w:spacing w:val="-7"/>
        </w:rPr>
        <w:t xml:space="preserve"> </w:t>
      </w:r>
      <w:r>
        <w:t>the</w:t>
      </w:r>
      <w:r>
        <w:rPr>
          <w:spacing w:val="-7"/>
        </w:rPr>
        <w:t xml:space="preserve"> </w:t>
      </w:r>
      <w:r>
        <w:t>secondary</w:t>
      </w:r>
      <w:r>
        <w:rPr>
          <w:spacing w:val="-7"/>
        </w:rPr>
        <w:t xml:space="preserve"> </w:t>
      </w:r>
      <w:r>
        <w:t>stratification</w:t>
      </w:r>
      <w:r>
        <w:rPr>
          <w:spacing w:val="-7"/>
        </w:rPr>
        <w:t xml:space="preserve"> </w:t>
      </w:r>
      <w:r>
        <w:t>variable</w:t>
      </w:r>
      <w:r>
        <w:rPr>
          <w:spacing w:val="-7"/>
        </w:rPr>
        <w:t xml:space="preserve"> </w:t>
      </w:r>
      <w:r>
        <w:t>and</w:t>
      </w:r>
      <w:r>
        <w:rPr>
          <w:spacing w:val="-7"/>
        </w:rPr>
        <w:t xml:space="preserve"> </w:t>
      </w:r>
      <w:r>
        <w:t>subdivided</w:t>
      </w:r>
      <w:r>
        <w:rPr>
          <w:spacing w:val="-7"/>
        </w:rPr>
        <w:t xml:space="preserve"> </w:t>
      </w:r>
      <w:r>
        <w:t>into</w:t>
      </w:r>
      <w:r>
        <w:rPr>
          <w:spacing w:val="-7"/>
        </w:rPr>
        <w:t xml:space="preserve"> </w:t>
      </w:r>
      <w:r>
        <w:t>two substrata of schools containing approximately equal numbers of students.</w:t>
      </w:r>
      <w:r>
        <w:rPr>
          <w:spacing w:val="-2"/>
        </w:rPr>
        <w:t xml:space="preserve"> </w:t>
      </w:r>
      <w:r>
        <w:t>The four race/ethnicity classifications consisted of the following values: low primary</w:t>
      </w:r>
    </w:p>
    <w:p w:rsidR="003F5784" w14:paraId="6CA8C703" w14:textId="77777777">
      <w:pPr>
        <w:spacing w:line="232" w:lineRule="auto"/>
        <w:sectPr>
          <w:pgSz w:w="15840" w:h="12240" w:orient="landscape"/>
          <w:pgMar w:top="480" w:right="440" w:bottom="460" w:left="460" w:header="284" w:footer="275" w:gutter="0"/>
          <w:cols w:space="720"/>
        </w:sectPr>
      </w:pPr>
    </w:p>
    <w:p w:rsidR="003F5784" w14:paraId="21E7B168" w14:textId="77777777">
      <w:pPr>
        <w:pStyle w:val="BodyText"/>
        <w:spacing w:before="78" w:line="232" w:lineRule="auto"/>
        <w:ind w:left="631"/>
      </w:pPr>
      <w:r>
        <w:t>variable/low</w:t>
      </w:r>
      <w:r>
        <w:rPr>
          <w:spacing w:val="-9"/>
        </w:rPr>
        <w:t xml:space="preserve"> </w:t>
      </w:r>
      <w:r>
        <w:t>secondary</w:t>
      </w:r>
      <w:r>
        <w:rPr>
          <w:spacing w:val="-9"/>
        </w:rPr>
        <w:t xml:space="preserve"> </w:t>
      </w:r>
      <w:r>
        <w:t>variable,</w:t>
      </w:r>
      <w:r>
        <w:rPr>
          <w:spacing w:val="-9"/>
        </w:rPr>
        <w:t xml:space="preserve"> </w:t>
      </w:r>
      <w:r>
        <w:t>low</w:t>
      </w:r>
      <w:r>
        <w:rPr>
          <w:spacing w:val="-9"/>
        </w:rPr>
        <w:t xml:space="preserve"> </w:t>
      </w:r>
      <w:r>
        <w:t>primary</w:t>
      </w:r>
      <w:r>
        <w:rPr>
          <w:spacing w:val="-9"/>
        </w:rPr>
        <w:t xml:space="preserve"> </w:t>
      </w:r>
      <w:r>
        <w:t>variable/high</w:t>
      </w:r>
      <w:r>
        <w:rPr>
          <w:spacing w:val="-9"/>
        </w:rPr>
        <w:t xml:space="preserve"> </w:t>
      </w:r>
      <w:r>
        <w:t>secondary</w:t>
      </w:r>
      <w:r>
        <w:rPr>
          <w:spacing w:val="-9"/>
        </w:rPr>
        <w:t xml:space="preserve"> </w:t>
      </w:r>
      <w:r>
        <w:t>variable,</w:t>
      </w:r>
      <w:r>
        <w:rPr>
          <w:spacing w:val="-9"/>
        </w:rPr>
        <w:t xml:space="preserve"> </w:t>
      </w:r>
      <w:r>
        <w:t>high</w:t>
      </w:r>
      <w:r>
        <w:rPr>
          <w:spacing w:val="-9"/>
        </w:rPr>
        <w:t xml:space="preserve"> </w:t>
      </w:r>
      <w:r>
        <w:t>primary</w:t>
      </w:r>
      <w:r>
        <w:rPr>
          <w:spacing w:val="-9"/>
        </w:rPr>
        <w:t xml:space="preserve"> </w:t>
      </w:r>
      <w:r>
        <w:t>variable/low</w:t>
      </w:r>
      <w:r>
        <w:rPr>
          <w:spacing w:val="-9"/>
        </w:rPr>
        <w:t xml:space="preserve"> </w:t>
      </w:r>
      <w:r>
        <w:t>secondary</w:t>
      </w:r>
      <w:r>
        <w:rPr>
          <w:spacing w:val="-9"/>
        </w:rPr>
        <w:t xml:space="preserve"> </w:t>
      </w:r>
      <w:r>
        <w:t>variable,</w:t>
      </w:r>
      <w:r>
        <w:rPr>
          <w:spacing w:val="-9"/>
        </w:rPr>
        <w:t xml:space="preserve"> </w:t>
      </w:r>
      <w:r>
        <w:t>and</w:t>
      </w:r>
      <w:r>
        <w:rPr>
          <w:spacing w:val="-9"/>
        </w:rPr>
        <w:t xml:space="preserve"> </w:t>
      </w:r>
      <w:r>
        <w:t>high</w:t>
      </w:r>
      <w:r>
        <w:rPr>
          <w:spacing w:val="-9"/>
        </w:rPr>
        <w:t xml:space="preserve"> </w:t>
      </w:r>
      <w:r>
        <w:t>primary</w:t>
      </w:r>
      <w:r>
        <w:rPr>
          <w:spacing w:val="-9"/>
        </w:rPr>
        <w:t xml:space="preserve"> </w:t>
      </w:r>
      <w:r>
        <w:t>variable/high</w:t>
      </w:r>
      <w:r>
        <w:rPr>
          <w:spacing w:val="-9"/>
        </w:rPr>
        <w:t xml:space="preserve"> </w:t>
      </w:r>
      <w:r>
        <w:t xml:space="preserve">secondary </w:t>
      </w:r>
      <w:r>
        <w:rPr>
          <w:spacing w:val="-2"/>
        </w:rPr>
        <w:t>variable.</w:t>
      </w:r>
    </w:p>
    <w:p w:rsidR="003F5784" w14:paraId="508DAB3C" w14:textId="77777777">
      <w:pPr>
        <w:pStyle w:val="BodyText"/>
      </w:pPr>
    </w:p>
    <w:p w:rsidR="003F5784" w14:paraId="65EF0F6F" w14:textId="77777777">
      <w:pPr>
        <w:pStyle w:val="BodyText"/>
      </w:pPr>
    </w:p>
    <w:p w:rsidR="003F5784" w14:paraId="1F301215" w14:textId="77777777">
      <w:pPr>
        <w:pStyle w:val="BodyText"/>
        <w:spacing w:before="145"/>
      </w:pPr>
    </w:p>
    <w:p w:rsidR="003F5784" w14:paraId="123273AB" w14:textId="77777777">
      <w:pPr>
        <w:spacing w:before="1"/>
        <w:ind w:left="3812"/>
        <w:rPr>
          <w:sz w:val="18"/>
        </w:rPr>
      </w:pPr>
      <w:hyperlink r:id="rId351">
        <w:r>
          <w:rPr>
            <w:spacing w:val="-2"/>
            <w:w w:val="105"/>
            <w:sz w:val="18"/>
          </w:rPr>
          <w:t>http://nces.ed.gov/nationsreportcard/tdw/sample_design/2022/stratification_by_race_ethnicity_classification_for_the_2022_state_assessment.aspx</w:t>
        </w:r>
      </w:hyperlink>
    </w:p>
    <w:p w:rsidR="003F5784" w14:paraId="348C17E7" w14:textId="77777777">
      <w:pPr>
        <w:pStyle w:val="BodyText"/>
        <w:rPr>
          <w:sz w:val="16"/>
        </w:rPr>
      </w:pPr>
      <w:r>
        <w:rPr>
          <w:noProof/>
        </w:rPr>
        <mc:AlternateContent>
          <mc:Choice Requires="wps">
            <w:drawing>
              <wp:anchor distT="0" distB="0" distL="0" distR="0" simplePos="0" relativeHeight="251954176" behindDoc="1" locked="0" layoutInCell="1" allowOverlap="1">
                <wp:simplePos x="0" y="0"/>
                <wp:positionH relativeFrom="page">
                  <wp:posOffset>361937</wp:posOffset>
                </wp:positionH>
                <wp:positionV relativeFrom="paragraph">
                  <wp:posOffset>132450</wp:posOffset>
                </wp:positionV>
                <wp:extent cx="9339580" cy="8890"/>
                <wp:effectExtent l="0" t="0" r="0" b="0"/>
                <wp:wrapTopAndBottom/>
                <wp:docPr id="451" name="Graphic 451"/>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293"/>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451" o:spid="_x0000_s1156" style="width:735.4pt;height:0.7pt;margin-top:10.45pt;margin-left:28.5pt;mso-position-horizontal-relative:page;mso-wrap-distance-bottom:0;mso-wrap-distance-left:0;mso-wrap-distance-right:0;mso-wrap-distance-top:0;mso-wrap-style:square;position:absolute;visibility:visible;v-text-anchor:top;z-index:-251361280" coordsize="9339580,8890" path="m9338970,l9335110,l,,,8280l8280,8293l9335110,8280l9338970,8280l9338970,xe" fillcolor="gray" stroked="f">
                <v:path arrowok="t"/>
                <w10:wrap type="topAndBottom"/>
              </v:shape>
            </w:pict>
          </mc:Fallback>
        </mc:AlternateContent>
      </w:r>
    </w:p>
    <w:p w:rsidR="003F5784" w14:paraId="7D7DB5E8" w14:textId="77777777">
      <w:pPr>
        <w:pStyle w:val="BodyText"/>
        <w:rPr>
          <w:sz w:val="18"/>
        </w:rPr>
      </w:pPr>
    </w:p>
    <w:p w:rsidR="003F5784" w14:paraId="5AB87FF0" w14:textId="77777777">
      <w:pPr>
        <w:pStyle w:val="BodyText"/>
        <w:spacing w:before="193"/>
        <w:rPr>
          <w:sz w:val="18"/>
        </w:rPr>
      </w:pPr>
    </w:p>
    <w:p w:rsidR="003F5784" w14:paraId="7311015C" w14:textId="4214EC52">
      <w:pPr>
        <w:pStyle w:val="Heading1"/>
        <w:spacing w:line="244" w:lineRule="auto"/>
      </w:pPr>
      <w:r>
        <w:t>NAEP</w:t>
      </w:r>
      <w:r>
        <w:rPr>
          <w:spacing w:val="-12"/>
        </w:rPr>
        <w:t xml:space="preserve"> </w:t>
      </w:r>
      <w:r>
        <w:t>Technical Documentation</w:t>
      </w:r>
      <w:r w:rsidR="00E3225D">
        <w:t xml:space="preserve"> </w:t>
      </w:r>
      <w:r>
        <w:t>Stratification by Urbanicity Classification for the 2022 State Assessment</w:t>
      </w:r>
    </w:p>
    <w:p w:rsidR="003F5784" w14:paraId="6E6E2B31" w14:textId="77777777">
      <w:pPr>
        <w:pStyle w:val="BodyText"/>
        <w:spacing w:before="287" w:line="232" w:lineRule="auto"/>
        <w:ind w:left="109"/>
      </w:pPr>
      <w:r>
        <w:t>The</w:t>
      </w:r>
      <w:r>
        <w:rPr>
          <w:spacing w:val="-6"/>
        </w:rPr>
        <w:t xml:space="preserve"> </w:t>
      </w:r>
      <w:r>
        <w:t>creation</w:t>
      </w:r>
      <w:r>
        <w:rPr>
          <w:spacing w:val="-6"/>
        </w:rPr>
        <w:t xml:space="preserve"> </w:t>
      </w:r>
      <w:r>
        <w:t>of</w:t>
      </w:r>
      <w:r>
        <w:rPr>
          <w:spacing w:val="-6"/>
        </w:rPr>
        <w:t xml:space="preserve"> </w:t>
      </w:r>
      <w:r>
        <w:t>the</w:t>
      </w:r>
      <w:r>
        <w:rPr>
          <w:spacing w:val="-6"/>
        </w:rPr>
        <w:t xml:space="preserve"> </w:t>
      </w:r>
      <w:r>
        <w:t>urbanicity</w:t>
      </w:r>
      <w:r>
        <w:rPr>
          <w:spacing w:val="-6"/>
        </w:rPr>
        <w:t xml:space="preserve"> </w:t>
      </w:r>
      <w:r>
        <w:t>classification</w:t>
      </w:r>
      <w:r>
        <w:rPr>
          <w:spacing w:val="-6"/>
        </w:rPr>
        <w:t xml:space="preserve"> </w:t>
      </w:r>
      <w:r>
        <w:t>variable</w:t>
      </w:r>
      <w:r>
        <w:rPr>
          <w:spacing w:val="-6"/>
        </w:rPr>
        <w:t xml:space="preserve"> </w:t>
      </w:r>
      <w:r>
        <w:t>was</w:t>
      </w:r>
      <w:r>
        <w:rPr>
          <w:spacing w:val="-6"/>
        </w:rPr>
        <w:t xml:space="preserve"> </w:t>
      </w:r>
      <w:r>
        <w:t>based</w:t>
      </w:r>
      <w:r>
        <w:rPr>
          <w:spacing w:val="-6"/>
        </w:rPr>
        <w:t xml:space="preserve"> </w:t>
      </w:r>
      <w:r>
        <w:t>on</w:t>
      </w:r>
      <w:r>
        <w:rPr>
          <w:spacing w:val="-6"/>
        </w:rPr>
        <w:t xml:space="preserve"> </w:t>
      </w:r>
      <w:r>
        <w:t>the</w:t>
      </w:r>
      <w:r>
        <w:rPr>
          <w:spacing w:val="-6"/>
        </w:rPr>
        <w:t xml:space="preserve"> </w:t>
      </w:r>
      <w:r>
        <w:t>NCES</w:t>
      </w:r>
      <w:r>
        <w:rPr>
          <w:spacing w:val="-6"/>
        </w:rPr>
        <w:t xml:space="preserve"> </w:t>
      </w:r>
      <w:r>
        <w:t>urban-centric</w:t>
      </w:r>
      <w:r>
        <w:rPr>
          <w:spacing w:val="-6"/>
        </w:rPr>
        <w:t xml:space="preserve"> </w:t>
      </w:r>
      <w:r>
        <w:t>locale</w:t>
      </w:r>
      <w:r>
        <w:rPr>
          <w:spacing w:val="-6"/>
        </w:rPr>
        <w:t xml:space="preserve"> </w:t>
      </w:r>
      <w:r>
        <w:t>and</w:t>
      </w:r>
      <w:r>
        <w:rPr>
          <w:spacing w:val="-6"/>
        </w:rPr>
        <w:t xml:space="preserve"> </w:t>
      </w:r>
      <w:r>
        <w:t>was</w:t>
      </w:r>
      <w:r>
        <w:rPr>
          <w:spacing w:val="-6"/>
        </w:rPr>
        <w:t xml:space="preserve"> </w:t>
      </w:r>
      <w:r>
        <w:t>defined</w:t>
      </w:r>
      <w:r>
        <w:rPr>
          <w:spacing w:val="-6"/>
        </w:rPr>
        <w:t xml:space="preserve"> </w:t>
      </w:r>
      <w:r>
        <w:t>within</w:t>
      </w:r>
      <w:r>
        <w:rPr>
          <w:spacing w:val="-6"/>
        </w:rPr>
        <w:t xml:space="preserve"> </w:t>
      </w:r>
      <w:r>
        <w:t>each</w:t>
      </w:r>
      <w:r>
        <w:rPr>
          <w:spacing w:val="-6"/>
        </w:rPr>
        <w:t xml:space="preserve"> </w:t>
      </w:r>
      <w:r>
        <w:t>explicit</w:t>
      </w:r>
      <w:r>
        <w:rPr>
          <w:spacing w:val="-6"/>
        </w:rPr>
        <w:t xml:space="preserve"> </w:t>
      </w:r>
      <w:r>
        <w:t>stratum.</w:t>
      </w:r>
      <w:r>
        <w:rPr>
          <w:spacing w:val="-10"/>
        </w:rPr>
        <w:t xml:space="preserve"> </w:t>
      </w:r>
      <w:r>
        <w:t>The</w:t>
      </w:r>
      <w:r>
        <w:rPr>
          <w:spacing w:val="-6"/>
        </w:rPr>
        <w:t xml:space="preserve"> </w:t>
      </w:r>
      <w:r>
        <w:t>NCES</w:t>
      </w:r>
      <w:r>
        <w:rPr>
          <w:spacing w:val="-6"/>
        </w:rPr>
        <w:t xml:space="preserve"> </w:t>
      </w:r>
      <w:r>
        <w:t>urban-centric</w:t>
      </w:r>
      <w:r>
        <w:rPr>
          <w:spacing w:val="-6"/>
        </w:rPr>
        <w:t xml:space="preserve"> </w:t>
      </w:r>
      <w:r>
        <w:t>locale contains the following categories:</w:t>
      </w:r>
    </w:p>
    <w:p w:rsidR="003F5784" w14:paraId="137BF1E9" w14:textId="77777777">
      <w:pPr>
        <w:pStyle w:val="BodyText"/>
      </w:pPr>
    </w:p>
    <w:p w:rsidR="003F5784" w14:paraId="14FC3BE8" w14:textId="77777777">
      <w:pPr>
        <w:pStyle w:val="BodyText"/>
        <w:spacing w:before="163"/>
      </w:pPr>
    </w:p>
    <w:p w:rsidR="003F5784" w14:paraId="2B92F8F7" w14:textId="77777777">
      <w:pPr>
        <w:pStyle w:val="BodyText"/>
        <w:spacing w:line="238" w:lineRule="exact"/>
        <w:ind w:left="422"/>
      </w:pPr>
      <w:r>
        <w:rPr>
          <w:noProof/>
          <w:position w:val="3"/>
        </w:rPr>
        <w:drawing>
          <wp:inline distT="0" distB="0" distL="0" distR="0">
            <wp:extent cx="41379" cy="41378"/>
            <wp:effectExtent l="0" t="0" r="0" b="0"/>
            <wp:docPr id="452" name="Image 452"/>
            <wp:cNvGraphicFramePr/>
            <a:graphic xmlns:a="http://schemas.openxmlformats.org/drawingml/2006/main">
              <a:graphicData uri="http://schemas.openxmlformats.org/drawingml/2006/picture">
                <pic:pic xmlns:pic="http://schemas.openxmlformats.org/drawingml/2006/picture">
                  <pic:nvPicPr>
                    <pic:cNvPr id="452" name="Image 452"/>
                    <pic:cNvPicPr/>
                  </pic:nvPicPr>
                  <pic:blipFill>
                    <a:blip xmlns:r="http://schemas.openxmlformats.org/officeDocument/2006/relationships" r:embed="rId352" cstate="print"/>
                    <a:stretch>
                      <a:fillRect/>
                    </a:stretch>
                  </pic:blipFill>
                  <pic:spPr>
                    <a:xfrm>
                      <a:off x="0" y="0"/>
                      <a:ext cx="41379" cy="41378"/>
                    </a:xfrm>
                    <a:prstGeom prst="rect">
                      <a:avLst/>
                    </a:prstGeom>
                  </pic:spPr>
                </pic:pic>
              </a:graphicData>
            </a:graphic>
          </wp:inline>
        </w:drawing>
      </w:r>
      <w:r>
        <w:rPr>
          <w:spacing w:val="80"/>
          <w:sz w:val="20"/>
        </w:rPr>
        <w:t xml:space="preserve"> </w:t>
      </w:r>
      <w:r>
        <w:t>Large</w:t>
      </w:r>
      <w:r>
        <w:rPr>
          <w:spacing w:val="-1"/>
        </w:rPr>
        <w:t xml:space="preserve"> </w:t>
      </w:r>
      <w:r>
        <w:t>City:</w:t>
      </w:r>
      <w:r>
        <w:rPr>
          <w:spacing w:val="-5"/>
        </w:rPr>
        <w:t xml:space="preserve"> </w:t>
      </w:r>
      <w:r>
        <w:t>Territory</w:t>
      </w:r>
      <w:r>
        <w:rPr>
          <w:spacing w:val="-1"/>
        </w:rPr>
        <w:t xml:space="preserve"> </w:t>
      </w:r>
      <w:r>
        <w:t>inside</w:t>
      </w:r>
      <w:r>
        <w:rPr>
          <w:spacing w:val="-1"/>
        </w:rPr>
        <w:t xml:space="preserve"> </w:t>
      </w:r>
      <w:r>
        <w:t>an</w:t>
      </w:r>
      <w:r>
        <w:rPr>
          <w:spacing w:val="-1"/>
        </w:rPr>
        <w:t xml:space="preserve"> </w:t>
      </w:r>
      <w:r>
        <w:t>urbanized</w:t>
      </w:r>
      <w:r>
        <w:rPr>
          <w:spacing w:val="-1"/>
        </w:rPr>
        <w:t xml:space="preserve"> </w:t>
      </w:r>
      <w:r>
        <w:t>area</w:t>
      </w:r>
      <w:r>
        <w:rPr>
          <w:spacing w:val="-1"/>
        </w:rPr>
        <w:t xml:space="preserve"> </w:t>
      </w:r>
      <w:r>
        <w:t>and</w:t>
      </w:r>
      <w:r>
        <w:rPr>
          <w:spacing w:val="-1"/>
        </w:rPr>
        <w:t xml:space="preserve"> </w:t>
      </w:r>
      <w:r>
        <w:t>inside</w:t>
      </w:r>
      <w:r>
        <w:rPr>
          <w:spacing w:val="-1"/>
        </w:rPr>
        <w:t xml:space="preserve"> </w:t>
      </w:r>
      <w:r>
        <w:t>a</w:t>
      </w:r>
      <w:r>
        <w:rPr>
          <w:spacing w:val="-1"/>
        </w:rPr>
        <w:t xml:space="preserve"> </w:t>
      </w:r>
      <w:r>
        <w:t>principal</w:t>
      </w:r>
      <w:r>
        <w:rPr>
          <w:spacing w:val="-1"/>
        </w:rPr>
        <w:t xml:space="preserve"> </w:t>
      </w:r>
      <w:r>
        <w:t>city</w:t>
      </w:r>
      <w:r>
        <w:rPr>
          <w:spacing w:val="-1"/>
        </w:rPr>
        <w:t xml:space="preserve"> </w:t>
      </w:r>
      <w:r>
        <w:t>with</w:t>
      </w:r>
      <w:r>
        <w:rPr>
          <w:spacing w:val="-1"/>
        </w:rPr>
        <w:t xml:space="preserve"> </w:t>
      </w:r>
      <w:r>
        <w:t>a</w:t>
      </w:r>
      <w:r>
        <w:rPr>
          <w:spacing w:val="-1"/>
        </w:rPr>
        <w:t xml:space="preserve"> </w:t>
      </w:r>
      <w:r>
        <w:t>population</w:t>
      </w:r>
      <w:r>
        <w:rPr>
          <w:spacing w:val="-1"/>
        </w:rPr>
        <w:t xml:space="preserve"> </w:t>
      </w:r>
      <w:r>
        <w:t>of</w:t>
      </w:r>
      <w:r>
        <w:rPr>
          <w:spacing w:val="-1"/>
        </w:rPr>
        <w:t xml:space="preserve"> </w:t>
      </w:r>
      <w:r>
        <w:t>250,000</w:t>
      </w:r>
      <w:r>
        <w:rPr>
          <w:spacing w:val="-1"/>
        </w:rPr>
        <w:t xml:space="preserve"> </w:t>
      </w:r>
      <w:r>
        <w:t>or</w:t>
      </w:r>
      <w:r>
        <w:rPr>
          <w:spacing w:val="-1"/>
        </w:rPr>
        <w:t xml:space="preserve"> </w:t>
      </w:r>
      <w:r>
        <w:t>more;</w:t>
      </w:r>
    </w:p>
    <w:p w:rsidR="003F5784" w14:paraId="4065F2B9" w14:textId="77777777">
      <w:pPr>
        <w:pStyle w:val="BodyText"/>
        <w:spacing w:before="3" w:line="232" w:lineRule="auto"/>
        <w:ind w:left="422" w:right="1886"/>
      </w:pPr>
      <w:r>
        <w:rPr>
          <w:noProof/>
          <w:position w:val="3"/>
        </w:rPr>
        <w:drawing>
          <wp:inline distT="0" distB="0" distL="0" distR="0">
            <wp:extent cx="41379" cy="41378"/>
            <wp:effectExtent l="0" t="0" r="0" b="0"/>
            <wp:docPr id="453" name="Image 453"/>
            <wp:cNvGraphicFramePr/>
            <a:graphic xmlns:a="http://schemas.openxmlformats.org/drawingml/2006/main">
              <a:graphicData uri="http://schemas.openxmlformats.org/drawingml/2006/picture">
                <pic:pic xmlns:pic="http://schemas.openxmlformats.org/drawingml/2006/picture">
                  <pic:nvPicPr>
                    <pic:cNvPr id="453" name="Image 453"/>
                    <pic:cNvPicPr/>
                  </pic:nvPicPr>
                  <pic:blipFill>
                    <a:blip xmlns:r="http://schemas.openxmlformats.org/officeDocument/2006/relationships" r:embed="rId353" cstate="print"/>
                    <a:stretch>
                      <a:fillRect/>
                    </a:stretch>
                  </pic:blipFill>
                  <pic:spPr>
                    <a:xfrm>
                      <a:off x="0" y="0"/>
                      <a:ext cx="41379" cy="41378"/>
                    </a:xfrm>
                    <a:prstGeom prst="rect">
                      <a:avLst/>
                    </a:prstGeom>
                  </pic:spPr>
                </pic:pic>
              </a:graphicData>
            </a:graphic>
          </wp:inline>
        </w:drawing>
      </w:r>
      <w:r>
        <w:rPr>
          <w:spacing w:val="80"/>
          <w:sz w:val="20"/>
        </w:rPr>
        <w:t xml:space="preserve"> </w:t>
      </w:r>
      <w:r>
        <w:t>Mid-size</w:t>
      </w:r>
      <w:r>
        <w:rPr>
          <w:spacing w:val="-6"/>
        </w:rPr>
        <w:t xml:space="preserve"> </w:t>
      </w:r>
      <w:r>
        <w:t>City:</w:t>
      </w:r>
      <w:r>
        <w:rPr>
          <w:spacing w:val="-9"/>
        </w:rPr>
        <w:t xml:space="preserve"> </w:t>
      </w:r>
      <w:r>
        <w:t>Territory</w:t>
      </w:r>
      <w:r>
        <w:rPr>
          <w:spacing w:val="-6"/>
        </w:rPr>
        <w:t xml:space="preserve"> </w:t>
      </w:r>
      <w:r>
        <w:t>inside</w:t>
      </w:r>
      <w:r>
        <w:rPr>
          <w:spacing w:val="-6"/>
        </w:rPr>
        <w:t xml:space="preserve"> </w:t>
      </w:r>
      <w:r>
        <w:t>an</w:t>
      </w:r>
      <w:r>
        <w:rPr>
          <w:spacing w:val="-6"/>
        </w:rPr>
        <w:t xml:space="preserve"> </w:t>
      </w:r>
      <w:r>
        <w:t>urbanized</w:t>
      </w:r>
      <w:r>
        <w:rPr>
          <w:spacing w:val="-6"/>
        </w:rPr>
        <w:t xml:space="preserve"> </w:t>
      </w:r>
      <w:r>
        <w:t>area</w:t>
      </w:r>
      <w:r>
        <w:rPr>
          <w:spacing w:val="-6"/>
        </w:rPr>
        <w:t xml:space="preserve"> </w:t>
      </w:r>
      <w:r>
        <w:t>and</w:t>
      </w:r>
      <w:r>
        <w:rPr>
          <w:spacing w:val="-6"/>
        </w:rPr>
        <w:t xml:space="preserve"> </w:t>
      </w:r>
      <w:r>
        <w:t>inside</w:t>
      </w:r>
      <w:r>
        <w:rPr>
          <w:spacing w:val="-6"/>
        </w:rPr>
        <w:t xml:space="preserve"> </w:t>
      </w:r>
      <w:r>
        <w:t>a</w:t>
      </w:r>
      <w:r>
        <w:rPr>
          <w:spacing w:val="-6"/>
        </w:rPr>
        <w:t xml:space="preserve"> </w:t>
      </w:r>
      <w:r>
        <w:t>principal</w:t>
      </w:r>
      <w:r>
        <w:rPr>
          <w:spacing w:val="-6"/>
        </w:rPr>
        <w:t xml:space="preserve"> </w:t>
      </w:r>
      <w:r>
        <w:t>city</w:t>
      </w:r>
      <w:r>
        <w:rPr>
          <w:spacing w:val="-6"/>
        </w:rPr>
        <w:t xml:space="preserve"> </w:t>
      </w:r>
      <w:r>
        <w:t>with</w:t>
      </w:r>
      <w:r>
        <w:rPr>
          <w:spacing w:val="-6"/>
        </w:rPr>
        <w:t xml:space="preserve"> </w:t>
      </w:r>
      <w:r>
        <w:t>a</w:t>
      </w:r>
      <w:r>
        <w:rPr>
          <w:spacing w:val="-6"/>
        </w:rPr>
        <w:t xml:space="preserve"> </w:t>
      </w:r>
      <w:r>
        <w:t>population</w:t>
      </w:r>
      <w:r>
        <w:rPr>
          <w:spacing w:val="-6"/>
        </w:rPr>
        <w:t xml:space="preserve"> </w:t>
      </w:r>
      <w:r>
        <w:t>less</w:t>
      </w:r>
      <w:r>
        <w:rPr>
          <w:spacing w:val="-6"/>
        </w:rPr>
        <w:t xml:space="preserve"> </w:t>
      </w:r>
      <w:r>
        <w:t>than</w:t>
      </w:r>
      <w:r>
        <w:rPr>
          <w:spacing w:val="-6"/>
        </w:rPr>
        <w:t xml:space="preserve"> </w:t>
      </w:r>
      <w:r>
        <w:t>250,000</w:t>
      </w:r>
      <w:r>
        <w:rPr>
          <w:spacing w:val="-6"/>
        </w:rPr>
        <w:t xml:space="preserve"> </w:t>
      </w:r>
      <w:r>
        <w:t>and</w:t>
      </w:r>
      <w:r>
        <w:rPr>
          <w:spacing w:val="-6"/>
        </w:rPr>
        <w:t xml:space="preserve"> </w:t>
      </w:r>
      <w:r>
        <w:t>greater</w:t>
      </w:r>
      <w:r>
        <w:rPr>
          <w:spacing w:val="-6"/>
        </w:rPr>
        <w:t xml:space="preserve"> </w:t>
      </w:r>
      <w:r>
        <w:t>than</w:t>
      </w:r>
      <w:r>
        <w:rPr>
          <w:spacing w:val="-6"/>
        </w:rPr>
        <w:t xml:space="preserve"> </w:t>
      </w:r>
      <w:r>
        <w:t>or</w:t>
      </w:r>
      <w:r>
        <w:rPr>
          <w:spacing w:val="-6"/>
        </w:rPr>
        <w:t xml:space="preserve"> </w:t>
      </w:r>
      <w:r>
        <w:t>equal</w:t>
      </w:r>
      <w:r>
        <w:rPr>
          <w:spacing w:val="-6"/>
        </w:rPr>
        <w:t xml:space="preserve"> </w:t>
      </w:r>
      <w:r>
        <w:t>to</w:t>
      </w:r>
      <w:r>
        <w:rPr>
          <w:spacing w:val="-6"/>
        </w:rPr>
        <w:t xml:space="preserve"> </w:t>
      </w:r>
      <w:r>
        <w:t xml:space="preserve">100,000; </w:t>
      </w:r>
      <w:r>
        <w:rPr>
          <w:noProof/>
          <w:position w:val="3"/>
        </w:rPr>
        <w:drawing>
          <wp:inline distT="0" distB="0" distL="0" distR="0">
            <wp:extent cx="41379" cy="41378"/>
            <wp:effectExtent l="0" t="0" r="0" b="0"/>
            <wp:docPr id="454" name="Image 454"/>
            <wp:cNvGraphicFramePr/>
            <a:graphic xmlns:a="http://schemas.openxmlformats.org/drawingml/2006/main">
              <a:graphicData uri="http://schemas.openxmlformats.org/drawingml/2006/picture">
                <pic:pic xmlns:pic="http://schemas.openxmlformats.org/drawingml/2006/picture">
                  <pic:nvPicPr>
                    <pic:cNvPr id="454" name="Image 454"/>
                    <pic:cNvPicPr/>
                  </pic:nvPicPr>
                  <pic:blipFill>
                    <a:blip xmlns:r="http://schemas.openxmlformats.org/officeDocument/2006/relationships" r:embed="rId354" cstate="print"/>
                    <a:stretch>
                      <a:fillRect/>
                    </a:stretch>
                  </pic:blipFill>
                  <pic:spPr>
                    <a:xfrm>
                      <a:off x="0" y="0"/>
                      <a:ext cx="41379" cy="41378"/>
                    </a:xfrm>
                    <a:prstGeom prst="rect">
                      <a:avLst/>
                    </a:prstGeom>
                  </pic:spPr>
                </pic:pic>
              </a:graphicData>
            </a:graphic>
          </wp:inline>
        </w:drawing>
      </w:r>
      <w:r>
        <w:rPr>
          <w:spacing w:val="80"/>
        </w:rPr>
        <w:t xml:space="preserve"> </w:t>
      </w:r>
      <w:r>
        <w:t>Small City:</w:t>
      </w:r>
      <w:r>
        <w:rPr>
          <w:spacing w:val="-1"/>
        </w:rPr>
        <w:t xml:space="preserve"> </w:t>
      </w:r>
      <w:r>
        <w:t>Territory inside an urbanized area and inside a principal city with a population less than 100,000;</w:t>
      </w:r>
    </w:p>
    <w:p w:rsidR="003F5784" w14:paraId="221D78A1" w14:textId="77777777">
      <w:pPr>
        <w:pStyle w:val="BodyText"/>
        <w:spacing w:line="233" w:lineRule="exact"/>
        <w:ind w:left="422"/>
      </w:pPr>
      <w:r>
        <w:rPr>
          <w:noProof/>
          <w:position w:val="3"/>
        </w:rPr>
        <w:drawing>
          <wp:inline distT="0" distB="0" distL="0" distR="0">
            <wp:extent cx="41379" cy="41378"/>
            <wp:effectExtent l="0" t="0" r="0" b="0"/>
            <wp:docPr id="455" name="Image 455"/>
            <wp:cNvGraphicFramePr/>
            <a:graphic xmlns:a="http://schemas.openxmlformats.org/drawingml/2006/main">
              <a:graphicData uri="http://schemas.openxmlformats.org/drawingml/2006/picture">
                <pic:pic xmlns:pic="http://schemas.openxmlformats.org/drawingml/2006/picture">
                  <pic:nvPicPr>
                    <pic:cNvPr id="455" name="Image 455"/>
                    <pic:cNvPicPr/>
                  </pic:nvPicPr>
                  <pic:blipFill>
                    <a:blip xmlns:r="http://schemas.openxmlformats.org/officeDocument/2006/relationships" r:embed="rId355" cstate="print"/>
                    <a:stretch>
                      <a:fillRect/>
                    </a:stretch>
                  </pic:blipFill>
                  <pic:spPr>
                    <a:xfrm>
                      <a:off x="0" y="0"/>
                      <a:ext cx="41379" cy="41378"/>
                    </a:xfrm>
                    <a:prstGeom prst="rect">
                      <a:avLst/>
                    </a:prstGeom>
                  </pic:spPr>
                </pic:pic>
              </a:graphicData>
            </a:graphic>
          </wp:inline>
        </w:drawing>
      </w:r>
      <w:r>
        <w:rPr>
          <w:spacing w:val="80"/>
          <w:sz w:val="20"/>
        </w:rPr>
        <w:t xml:space="preserve"> </w:t>
      </w:r>
      <w:r>
        <w:t>Large</w:t>
      </w:r>
      <w:r>
        <w:rPr>
          <w:spacing w:val="-1"/>
        </w:rPr>
        <w:t xml:space="preserve"> </w:t>
      </w:r>
      <w:r>
        <w:t>Suburb:</w:t>
      </w:r>
      <w:r>
        <w:rPr>
          <w:spacing w:val="-5"/>
        </w:rPr>
        <w:t xml:space="preserve"> </w:t>
      </w:r>
      <w:r>
        <w:t>Territory</w:t>
      </w:r>
      <w:r>
        <w:rPr>
          <w:spacing w:val="-1"/>
        </w:rPr>
        <w:t xml:space="preserve"> </w:t>
      </w:r>
      <w:r>
        <w:t>outside</w:t>
      </w:r>
      <w:r>
        <w:rPr>
          <w:spacing w:val="-1"/>
        </w:rPr>
        <w:t xml:space="preserve"> </w:t>
      </w:r>
      <w:r>
        <w:t>a</w:t>
      </w:r>
      <w:r>
        <w:rPr>
          <w:spacing w:val="-1"/>
        </w:rPr>
        <w:t xml:space="preserve"> </w:t>
      </w:r>
      <w:r>
        <w:t>principal</w:t>
      </w:r>
      <w:r>
        <w:rPr>
          <w:spacing w:val="-1"/>
        </w:rPr>
        <w:t xml:space="preserve"> </w:t>
      </w:r>
      <w:r>
        <w:t>city</w:t>
      </w:r>
      <w:r>
        <w:rPr>
          <w:spacing w:val="-1"/>
        </w:rPr>
        <w:t xml:space="preserve"> </w:t>
      </w:r>
      <w:r>
        <w:t>and</w:t>
      </w:r>
      <w:r>
        <w:rPr>
          <w:spacing w:val="-1"/>
        </w:rPr>
        <w:t xml:space="preserve"> </w:t>
      </w:r>
      <w:r>
        <w:t>inside</w:t>
      </w:r>
      <w:r>
        <w:rPr>
          <w:spacing w:val="-1"/>
        </w:rPr>
        <w:t xml:space="preserve"> </w:t>
      </w:r>
      <w:r>
        <w:t>an</w:t>
      </w:r>
      <w:r>
        <w:rPr>
          <w:spacing w:val="-1"/>
        </w:rPr>
        <w:t xml:space="preserve"> </w:t>
      </w:r>
      <w:r>
        <w:t>urbanized</w:t>
      </w:r>
      <w:r>
        <w:rPr>
          <w:spacing w:val="-1"/>
        </w:rPr>
        <w:t xml:space="preserve"> </w:t>
      </w:r>
      <w:r>
        <w:t>area</w:t>
      </w:r>
      <w:r>
        <w:rPr>
          <w:spacing w:val="-1"/>
        </w:rPr>
        <w:t xml:space="preserve"> </w:t>
      </w:r>
      <w:r>
        <w:t>with</w:t>
      </w:r>
      <w:r>
        <w:rPr>
          <w:spacing w:val="-1"/>
        </w:rPr>
        <w:t xml:space="preserve"> </w:t>
      </w:r>
      <w:r>
        <w:t>a</w:t>
      </w:r>
      <w:r>
        <w:rPr>
          <w:spacing w:val="-1"/>
        </w:rPr>
        <w:t xml:space="preserve"> </w:t>
      </w:r>
      <w:r>
        <w:t>population</w:t>
      </w:r>
      <w:r>
        <w:rPr>
          <w:spacing w:val="-1"/>
        </w:rPr>
        <w:t xml:space="preserve"> </w:t>
      </w:r>
      <w:r>
        <w:t>of</w:t>
      </w:r>
      <w:r>
        <w:rPr>
          <w:spacing w:val="-1"/>
        </w:rPr>
        <w:t xml:space="preserve"> </w:t>
      </w:r>
      <w:r>
        <w:t>250,000</w:t>
      </w:r>
      <w:r>
        <w:rPr>
          <w:spacing w:val="-1"/>
        </w:rPr>
        <w:t xml:space="preserve"> </w:t>
      </w:r>
      <w:r>
        <w:t>or</w:t>
      </w:r>
      <w:r>
        <w:rPr>
          <w:spacing w:val="-1"/>
        </w:rPr>
        <w:t xml:space="preserve"> </w:t>
      </w:r>
      <w:r>
        <w:t>more;</w:t>
      </w:r>
    </w:p>
    <w:p w:rsidR="003F5784" w14:paraId="5FA96EA9" w14:textId="77777777">
      <w:pPr>
        <w:pStyle w:val="BodyText"/>
        <w:spacing w:before="2" w:line="232" w:lineRule="auto"/>
        <w:ind w:left="422" w:right="1539"/>
      </w:pPr>
      <w:r>
        <w:rPr>
          <w:noProof/>
          <w:position w:val="3"/>
        </w:rPr>
        <w:drawing>
          <wp:inline distT="0" distB="0" distL="0" distR="0">
            <wp:extent cx="41379" cy="41378"/>
            <wp:effectExtent l="0" t="0" r="0" b="0"/>
            <wp:docPr id="456" name="Image 456"/>
            <wp:cNvGraphicFramePr/>
            <a:graphic xmlns:a="http://schemas.openxmlformats.org/drawingml/2006/main">
              <a:graphicData uri="http://schemas.openxmlformats.org/drawingml/2006/picture">
                <pic:pic xmlns:pic="http://schemas.openxmlformats.org/drawingml/2006/picture">
                  <pic:nvPicPr>
                    <pic:cNvPr id="456" name="Image 456"/>
                    <pic:cNvPicPr/>
                  </pic:nvPicPr>
                  <pic:blipFill>
                    <a:blip xmlns:r="http://schemas.openxmlformats.org/officeDocument/2006/relationships" r:embed="rId356" cstate="print"/>
                    <a:stretch>
                      <a:fillRect/>
                    </a:stretch>
                  </pic:blipFill>
                  <pic:spPr>
                    <a:xfrm>
                      <a:off x="0" y="0"/>
                      <a:ext cx="41379" cy="41378"/>
                    </a:xfrm>
                    <a:prstGeom prst="rect">
                      <a:avLst/>
                    </a:prstGeom>
                  </pic:spPr>
                </pic:pic>
              </a:graphicData>
            </a:graphic>
          </wp:inline>
        </w:drawing>
      </w:r>
      <w:r>
        <w:rPr>
          <w:spacing w:val="80"/>
          <w:sz w:val="20"/>
        </w:rPr>
        <w:t xml:space="preserve"> </w:t>
      </w:r>
      <w:r>
        <w:t>Mid-size</w:t>
      </w:r>
      <w:r>
        <w:rPr>
          <w:spacing w:val="-6"/>
        </w:rPr>
        <w:t xml:space="preserve"> </w:t>
      </w:r>
      <w:r>
        <w:t>Suburb:</w:t>
      </w:r>
      <w:r>
        <w:rPr>
          <w:spacing w:val="-10"/>
        </w:rPr>
        <w:t xml:space="preserve"> </w:t>
      </w:r>
      <w:r>
        <w:t>Territory</w:t>
      </w:r>
      <w:r>
        <w:rPr>
          <w:spacing w:val="-6"/>
        </w:rPr>
        <w:t xml:space="preserve"> </w:t>
      </w:r>
      <w:r>
        <w:t>outside</w:t>
      </w:r>
      <w:r>
        <w:rPr>
          <w:spacing w:val="-6"/>
        </w:rPr>
        <w:t xml:space="preserve"> </w:t>
      </w:r>
      <w:r>
        <w:t>a</w:t>
      </w:r>
      <w:r>
        <w:rPr>
          <w:spacing w:val="-6"/>
        </w:rPr>
        <w:t xml:space="preserve"> </w:t>
      </w:r>
      <w:r>
        <w:t>principal</w:t>
      </w:r>
      <w:r>
        <w:rPr>
          <w:spacing w:val="-6"/>
        </w:rPr>
        <w:t xml:space="preserve"> </w:t>
      </w:r>
      <w:r>
        <w:t>city</w:t>
      </w:r>
      <w:r>
        <w:rPr>
          <w:spacing w:val="-6"/>
        </w:rPr>
        <w:t xml:space="preserve"> </w:t>
      </w:r>
      <w:r>
        <w:t>and</w:t>
      </w:r>
      <w:r>
        <w:rPr>
          <w:spacing w:val="-6"/>
        </w:rPr>
        <w:t xml:space="preserve"> </w:t>
      </w:r>
      <w:r>
        <w:t>inside</w:t>
      </w:r>
      <w:r>
        <w:rPr>
          <w:spacing w:val="-6"/>
        </w:rPr>
        <w:t xml:space="preserve"> </w:t>
      </w:r>
      <w:r>
        <w:t>an</w:t>
      </w:r>
      <w:r>
        <w:rPr>
          <w:spacing w:val="-6"/>
        </w:rPr>
        <w:t xml:space="preserve"> </w:t>
      </w:r>
      <w:r>
        <w:t>urbanized</w:t>
      </w:r>
      <w:r>
        <w:rPr>
          <w:spacing w:val="-6"/>
        </w:rPr>
        <w:t xml:space="preserve"> </w:t>
      </w:r>
      <w:r>
        <w:t>area</w:t>
      </w:r>
      <w:r>
        <w:rPr>
          <w:spacing w:val="-6"/>
        </w:rPr>
        <w:t xml:space="preserve"> </w:t>
      </w:r>
      <w:r>
        <w:t>with</w:t>
      </w:r>
      <w:r>
        <w:rPr>
          <w:spacing w:val="-6"/>
        </w:rPr>
        <w:t xml:space="preserve"> </w:t>
      </w:r>
      <w:r>
        <w:t>a</w:t>
      </w:r>
      <w:r>
        <w:rPr>
          <w:spacing w:val="-6"/>
        </w:rPr>
        <w:t xml:space="preserve"> </w:t>
      </w:r>
      <w:r>
        <w:t>population</w:t>
      </w:r>
      <w:r>
        <w:rPr>
          <w:spacing w:val="-6"/>
        </w:rPr>
        <w:t xml:space="preserve"> </w:t>
      </w:r>
      <w:r>
        <w:t>less</w:t>
      </w:r>
      <w:r>
        <w:rPr>
          <w:spacing w:val="-6"/>
        </w:rPr>
        <w:t xml:space="preserve"> </w:t>
      </w:r>
      <w:r>
        <w:t>than</w:t>
      </w:r>
      <w:r>
        <w:rPr>
          <w:spacing w:val="-6"/>
        </w:rPr>
        <w:t xml:space="preserve"> </w:t>
      </w:r>
      <w:r>
        <w:t>250,000</w:t>
      </w:r>
      <w:r>
        <w:rPr>
          <w:spacing w:val="-6"/>
        </w:rPr>
        <w:t xml:space="preserve"> </w:t>
      </w:r>
      <w:r>
        <w:t>and</w:t>
      </w:r>
      <w:r>
        <w:rPr>
          <w:spacing w:val="-6"/>
        </w:rPr>
        <w:t xml:space="preserve"> </w:t>
      </w:r>
      <w:r>
        <w:t>greater</w:t>
      </w:r>
      <w:r>
        <w:rPr>
          <w:spacing w:val="-6"/>
        </w:rPr>
        <w:t xml:space="preserve"> </w:t>
      </w:r>
      <w:r>
        <w:t>than</w:t>
      </w:r>
      <w:r>
        <w:rPr>
          <w:spacing w:val="-6"/>
        </w:rPr>
        <w:t xml:space="preserve"> </w:t>
      </w:r>
      <w:r>
        <w:t>or</w:t>
      </w:r>
      <w:r>
        <w:rPr>
          <w:spacing w:val="-6"/>
        </w:rPr>
        <w:t xml:space="preserve"> </w:t>
      </w:r>
      <w:r>
        <w:t>equal</w:t>
      </w:r>
      <w:r>
        <w:rPr>
          <w:spacing w:val="-6"/>
        </w:rPr>
        <w:t xml:space="preserve"> </w:t>
      </w:r>
      <w:r>
        <w:t>to</w:t>
      </w:r>
      <w:r>
        <w:rPr>
          <w:spacing w:val="-6"/>
        </w:rPr>
        <w:t xml:space="preserve"> </w:t>
      </w:r>
      <w:r>
        <w:t xml:space="preserve">100,000; </w:t>
      </w:r>
      <w:r>
        <w:rPr>
          <w:noProof/>
          <w:position w:val="3"/>
        </w:rPr>
        <w:drawing>
          <wp:inline distT="0" distB="0" distL="0" distR="0">
            <wp:extent cx="41379" cy="41378"/>
            <wp:effectExtent l="0" t="0" r="0" b="0"/>
            <wp:docPr id="457" name="Image 457"/>
            <wp:cNvGraphicFramePr/>
            <a:graphic xmlns:a="http://schemas.openxmlformats.org/drawingml/2006/main">
              <a:graphicData uri="http://schemas.openxmlformats.org/drawingml/2006/picture">
                <pic:pic xmlns:pic="http://schemas.openxmlformats.org/drawingml/2006/picture">
                  <pic:nvPicPr>
                    <pic:cNvPr id="457" name="Image 457"/>
                    <pic:cNvPicPr/>
                  </pic:nvPicPr>
                  <pic:blipFill>
                    <a:blip xmlns:r="http://schemas.openxmlformats.org/officeDocument/2006/relationships" r:embed="rId357" cstate="print"/>
                    <a:stretch>
                      <a:fillRect/>
                    </a:stretch>
                  </pic:blipFill>
                  <pic:spPr>
                    <a:xfrm>
                      <a:off x="0" y="0"/>
                      <a:ext cx="41379" cy="41378"/>
                    </a:xfrm>
                    <a:prstGeom prst="rect">
                      <a:avLst/>
                    </a:prstGeom>
                  </pic:spPr>
                </pic:pic>
              </a:graphicData>
            </a:graphic>
          </wp:inline>
        </w:drawing>
      </w:r>
      <w:r>
        <w:rPr>
          <w:spacing w:val="80"/>
        </w:rPr>
        <w:t xml:space="preserve"> </w:t>
      </w:r>
      <w:r>
        <w:t>Small Suburb:</w:t>
      </w:r>
      <w:r>
        <w:rPr>
          <w:spacing w:val="-1"/>
        </w:rPr>
        <w:t xml:space="preserve"> </w:t>
      </w:r>
      <w:r>
        <w:t>Territory outside a principal city and inside an urbanized area with a population less than 100,000;</w:t>
      </w:r>
    </w:p>
    <w:p w:rsidR="003F5784" w14:paraId="02072FC0" w14:textId="77777777">
      <w:pPr>
        <w:pStyle w:val="BodyText"/>
        <w:spacing w:line="233" w:lineRule="exact"/>
        <w:ind w:left="422"/>
      </w:pPr>
      <w:r>
        <w:rPr>
          <w:noProof/>
          <w:position w:val="3"/>
        </w:rPr>
        <w:drawing>
          <wp:inline distT="0" distB="0" distL="0" distR="0">
            <wp:extent cx="41379" cy="41378"/>
            <wp:effectExtent l="0" t="0" r="0" b="0"/>
            <wp:docPr id="458" name="Image 458"/>
            <wp:cNvGraphicFramePr/>
            <a:graphic xmlns:a="http://schemas.openxmlformats.org/drawingml/2006/main">
              <a:graphicData uri="http://schemas.openxmlformats.org/drawingml/2006/picture">
                <pic:pic xmlns:pic="http://schemas.openxmlformats.org/drawingml/2006/picture">
                  <pic:nvPicPr>
                    <pic:cNvPr id="458" name="Image 458"/>
                    <pic:cNvPicPr/>
                  </pic:nvPicPr>
                  <pic:blipFill>
                    <a:blip xmlns:r="http://schemas.openxmlformats.org/officeDocument/2006/relationships" r:embed="rId358" cstate="print"/>
                    <a:stretch>
                      <a:fillRect/>
                    </a:stretch>
                  </pic:blipFill>
                  <pic:spPr>
                    <a:xfrm>
                      <a:off x="0" y="0"/>
                      <a:ext cx="41379" cy="41378"/>
                    </a:xfrm>
                    <a:prstGeom prst="rect">
                      <a:avLst/>
                    </a:prstGeom>
                  </pic:spPr>
                </pic:pic>
              </a:graphicData>
            </a:graphic>
          </wp:inline>
        </w:drawing>
      </w:r>
      <w:r>
        <w:rPr>
          <w:spacing w:val="80"/>
          <w:sz w:val="20"/>
        </w:rPr>
        <w:t xml:space="preserve"> </w:t>
      </w:r>
      <w:r>
        <w:t>Fringe</w:t>
      </w:r>
      <w:r>
        <w:rPr>
          <w:spacing w:val="-6"/>
        </w:rPr>
        <w:t xml:space="preserve"> </w:t>
      </w:r>
      <w:r>
        <w:t>Town:</w:t>
      </w:r>
      <w:r>
        <w:rPr>
          <w:spacing w:val="-6"/>
        </w:rPr>
        <w:t xml:space="preserve"> </w:t>
      </w:r>
      <w:r>
        <w:t>Territory</w:t>
      </w:r>
      <w:r>
        <w:rPr>
          <w:spacing w:val="-2"/>
        </w:rPr>
        <w:t xml:space="preserve"> </w:t>
      </w:r>
      <w:r>
        <w:t>inside</w:t>
      </w:r>
      <w:r>
        <w:rPr>
          <w:spacing w:val="-2"/>
        </w:rPr>
        <w:t xml:space="preserve"> </w:t>
      </w:r>
      <w:r>
        <w:t>an</w:t>
      </w:r>
      <w:r>
        <w:rPr>
          <w:spacing w:val="-2"/>
        </w:rPr>
        <w:t xml:space="preserve"> </w:t>
      </w:r>
      <w:r>
        <w:t>urban</w:t>
      </w:r>
      <w:r>
        <w:rPr>
          <w:spacing w:val="-2"/>
        </w:rPr>
        <w:t xml:space="preserve"> </w:t>
      </w:r>
      <w:r>
        <w:t>cluster</w:t>
      </w:r>
      <w:r>
        <w:rPr>
          <w:spacing w:val="-2"/>
        </w:rPr>
        <w:t xml:space="preserve"> </w:t>
      </w:r>
      <w:r>
        <w:t>that</w:t>
      </w:r>
      <w:r>
        <w:rPr>
          <w:spacing w:val="-2"/>
        </w:rPr>
        <w:t xml:space="preserve"> </w:t>
      </w:r>
      <w:r>
        <w:t>is</w:t>
      </w:r>
      <w:r>
        <w:rPr>
          <w:spacing w:val="-2"/>
        </w:rPr>
        <w:t xml:space="preserve"> </w:t>
      </w:r>
      <w:r>
        <w:t>less</w:t>
      </w:r>
      <w:r>
        <w:rPr>
          <w:spacing w:val="-2"/>
        </w:rPr>
        <w:t xml:space="preserve"> </w:t>
      </w:r>
      <w:r>
        <w:t>than</w:t>
      </w:r>
      <w:r>
        <w:rPr>
          <w:spacing w:val="-2"/>
        </w:rPr>
        <w:t xml:space="preserve"> </w:t>
      </w:r>
      <w:r>
        <w:t>or</w:t>
      </w:r>
      <w:r>
        <w:rPr>
          <w:spacing w:val="-2"/>
        </w:rPr>
        <w:t xml:space="preserve"> </w:t>
      </w:r>
      <w:r>
        <w:t>equal</w:t>
      </w:r>
      <w:r>
        <w:rPr>
          <w:spacing w:val="-2"/>
        </w:rPr>
        <w:t xml:space="preserve"> </w:t>
      </w:r>
      <w:r>
        <w:t>to</w:t>
      </w:r>
      <w:r>
        <w:rPr>
          <w:spacing w:val="-2"/>
        </w:rPr>
        <w:t xml:space="preserve"> </w:t>
      </w:r>
      <w:r>
        <w:t>10</w:t>
      </w:r>
      <w:r>
        <w:rPr>
          <w:spacing w:val="-2"/>
        </w:rPr>
        <w:t xml:space="preserve"> </w:t>
      </w:r>
      <w:r>
        <w:t>miles</w:t>
      </w:r>
      <w:r>
        <w:rPr>
          <w:spacing w:val="-2"/>
        </w:rPr>
        <w:t xml:space="preserve"> </w:t>
      </w:r>
      <w:r>
        <w:t>from</w:t>
      </w:r>
      <w:r>
        <w:rPr>
          <w:spacing w:val="-2"/>
        </w:rPr>
        <w:t xml:space="preserve"> </w:t>
      </w:r>
      <w:r>
        <w:t>an</w:t>
      </w:r>
      <w:r>
        <w:rPr>
          <w:spacing w:val="-2"/>
        </w:rPr>
        <w:t xml:space="preserve"> </w:t>
      </w:r>
      <w:r>
        <w:t>urbanized</w:t>
      </w:r>
      <w:r>
        <w:rPr>
          <w:spacing w:val="-2"/>
        </w:rPr>
        <w:t xml:space="preserve"> </w:t>
      </w:r>
      <w:r>
        <w:t>area;</w:t>
      </w:r>
    </w:p>
    <w:p w:rsidR="003F5784" w14:paraId="68BF90DE" w14:textId="77777777">
      <w:pPr>
        <w:pStyle w:val="BodyText"/>
        <w:spacing w:before="3" w:line="232" w:lineRule="auto"/>
        <w:ind w:left="422" w:right="3317"/>
      </w:pPr>
      <w:r>
        <w:rPr>
          <w:noProof/>
          <w:position w:val="3"/>
        </w:rPr>
        <w:drawing>
          <wp:inline distT="0" distB="0" distL="0" distR="0">
            <wp:extent cx="41379" cy="41378"/>
            <wp:effectExtent l="0" t="0" r="0" b="0"/>
            <wp:docPr id="459" name="Image 459"/>
            <wp:cNvGraphicFramePr/>
            <a:graphic xmlns:a="http://schemas.openxmlformats.org/drawingml/2006/main">
              <a:graphicData uri="http://schemas.openxmlformats.org/drawingml/2006/picture">
                <pic:pic xmlns:pic="http://schemas.openxmlformats.org/drawingml/2006/picture">
                  <pic:nvPicPr>
                    <pic:cNvPr id="459" name="Image 459"/>
                    <pic:cNvPicPr/>
                  </pic:nvPicPr>
                  <pic:blipFill>
                    <a:blip xmlns:r="http://schemas.openxmlformats.org/officeDocument/2006/relationships" r:embed="rId359" cstate="print"/>
                    <a:stretch>
                      <a:fillRect/>
                    </a:stretch>
                  </pic:blipFill>
                  <pic:spPr>
                    <a:xfrm>
                      <a:off x="0" y="0"/>
                      <a:ext cx="41379" cy="41378"/>
                    </a:xfrm>
                    <a:prstGeom prst="rect">
                      <a:avLst/>
                    </a:prstGeom>
                  </pic:spPr>
                </pic:pic>
              </a:graphicData>
            </a:graphic>
          </wp:inline>
        </w:drawing>
      </w:r>
      <w:r>
        <w:rPr>
          <w:spacing w:val="80"/>
          <w:sz w:val="20"/>
        </w:rPr>
        <w:t xml:space="preserve"> </w:t>
      </w:r>
      <w:r>
        <w:t>Distant</w:t>
      </w:r>
      <w:r>
        <w:rPr>
          <w:spacing w:val="-10"/>
        </w:rPr>
        <w:t xml:space="preserve"> </w:t>
      </w:r>
      <w:r>
        <w:t>Town:</w:t>
      </w:r>
      <w:r>
        <w:rPr>
          <w:spacing w:val="-10"/>
        </w:rPr>
        <w:t xml:space="preserve"> </w:t>
      </w:r>
      <w:r>
        <w:t>Territory</w:t>
      </w:r>
      <w:r>
        <w:rPr>
          <w:spacing w:val="-6"/>
        </w:rPr>
        <w:t xml:space="preserve"> </w:t>
      </w:r>
      <w:r>
        <w:t>inside</w:t>
      </w:r>
      <w:r>
        <w:rPr>
          <w:spacing w:val="-6"/>
        </w:rPr>
        <w:t xml:space="preserve"> </w:t>
      </w:r>
      <w:r>
        <w:t>an</w:t>
      </w:r>
      <w:r>
        <w:rPr>
          <w:spacing w:val="-6"/>
        </w:rPr>
        <w:t xml:space="preserve"> </w:t>
      </w:r>
      <w:r>
        <w:t>urban</w:t>
      </w:r>
      <w:r>
        <w:rPr>
          <w:spacing w:val="-6"/>
        </w:rPr>
        <w:t xml:space="preserve"> </w:t>
      </w:r>
      <w:r>
        <w:t>cluster</w:t>
      </w:r>
      <w:r>
        <w:rPr>
          <w:spacing w:val="-6"/>
        </w:rPr>
        <w:t xml:space="preserve"> </w:t>
      </w:r>
      <w:r>
        <w:t>that</w:t>
      </w:r>
      <w:r>
        <w:rPr>
          <w:spacing w:val="-6"/>
        </w:rPr>
        <w:t xml:space="preserve"> </w:t>
      </w:r>
      <w:r>
        <w:t>is</w:t>
      </w:r>
      <w:r>
        <w:rPr>
          <w:spacing w:val="-6"/>
        </w:rPr>
        <w:t xml:space="preserve"> </w:t>
      </w:r>
      <w:r>
        <w:t>more</w:t>
      </w:r>
      <w:r>
        <w:rPr>
          <w:spacing w:val="-6"/>
        </w:rPr>
        <w:t xml:space="preserve"> </w:t>
      </w:r>
      <w:r>
        <w:t>than</w:t>
      </w:r>
      <w:r>
        <w:rPr>
          <w:spacing w:val="-6"/>
        </w:rPr>
        <w:t xml:space="preserve"> </w:t>
      </w:r>
      <w:r>
        <w:t>10</w:t>
      </w:r>
      <w:r>
        <w:rPr>
          <w:spacing w:val="-6"/>
        </w:rPr>
        <w:t xml:space="preserve"> </w:t>
      </w:r>
      <w:r>
        <w:t>miles</w:t>
      </w:r>
      <w:r>
        <w:rPr>
          <w:spacing w:val="-6"/>
        </w:rPr>
        <w:t xml:space="preserve"> </w:t>
      </w:r>
      <w:r>
        <w:t>and</w:t>
      </w:r>
      <w:r>
        <w:rPr>
          <w:spacing w:val="-6"/>
        </w:rPr>
        <w:t xml:space="preserve"> </w:t>
      </w:r>
      <w:r>
        <w:t>less</w:t>
      </w:r>
      <w:r>
        <w:rPr>
          <w:spacing w:val="-6"/>
        </w:rPr>
        <w:t xml:space="preserve"> </w:t>
      </w:r>
      <w:r>
        <w:t>than</w:t>
      </w:r>
      <w:r>
        <w:rPr>
          <w:spacing w:val="-6"/>
        </w:rPr>
        <w:t xml:space="preserve"> </w:t>
      </w:r>
      <w:r>
        <w:t>or</w:t>
      </w:r>
      <w:r>
        <w:rPr>
          <w:spacing w:val="-6"/>
        </w:rPr>
        <w:t xml:space="preserve"> </w:t>
      </w:r>
      <w:r>
        <w:t>equal</w:t>
      </w:r>
      <w:r>
        <w:rPr>
          <w:spacing w:val="-6"/>
        </w:rPr>
        <w:t xml:space="preserve"> </w:t>
      </w:r>
      <w:r>
        <w:t>to</w:t>
      </w:r>
      <w:r>
        <w:rPr>
          <w:spacing w:val="-6"/>
        </w:rPr>
        <w:t xml:space="preserve"> </w:t>
      </w:r>
      <w:r>
        <w:t>35</w:t>
      </w:r>
      <w:r>
        <w:rPr>
          <w:spacing w:val="-6"/>
        </w:rPr>
        <w:t xml:space="preserve"> </w:t>
      </w:r>
      <w:r>
        <w:t>miles</w:t>
      </w:r>
      <w:r>
        <w:rPr>
          <w:spacing w:val="-6"/>
        </w:rPr>
        <w:t xml:space="preserve"> </w:t>
      </w:r>
      <w:r>
        <w:t>from</w:t>
      </w:r>
      <w:r>
        <w:rPr>
          <w:spacing w:val="-6"/>
        </w:rPr>
        <w:t xml:space="preserve"> </w:t>
      </w:r>
      <w:r>
        <w:t>an</w:t>
      </w:r>
      <w:r>
        <w:rPr>
          <w:spacing w:val="-6"/>
        </w:rPr>
        <w:t xml:space="preserve"> </w:t>
      </w:r>
      <w:r>
        <w:t>urbanized</w:t>
      </w:r>
      <w:r>
        <w:rPr>
          <w:spacing w:val="-6"/>
        </w:rPr>
        <w:t xml:space="preserve"> </w:t>
      </w:r>
      <w:r>
        <w:t xml:space="preserve">area; </w:t>
      </w:r>
      <w:r>
        <w:rPr>
          <w:noProof/>
          <w:position w:val="3"/>
        </w:rPr>
        <w:drawing>
          <wp:inline distT="0" distB="0" distL="0" distR="0">
            <wp:extent cx="41379" cy="41378"/>
            <wp:effectExtent l="0" t="0" r="0" b="0"/>
            <wp:docPr id="460" name="Image 460"/>
            <wp:cNvGraphicFramePr/>
            <a:graphic xmlns:a="http://schemas.openxmlformats.org/drawingml/2006/main">
              <a:graphicData uri="http://schemas.openxmlformats.org/drawingml/2006/picture">
                <pic:pic xmlns:pic="http://schemas.openxmlformats.org/drawingml/2006/picture">
                  <pic:nvPicPr>
                    <pic:cNvPr id="460" name="Image 460"/>
                    <pic:cNvPicPr/>
                  </pic:nvPicPr>
                  <pic:blipFill>
                    <a:blip xmlns:r="http://schemas.openxmlformats.org/officeDocument/2006/relationships" r:embed="rId360" cstate="print"/>
                    <a:stretch>
                      <a:fillRect/>
                    </a:stretch>
                  </pic:blipFill>
                  <pic:spPr>
                    <a:xfrm>
                      <a:off x="0" y="0"/>
                      <a:ext cx="41379" cy="41378"/>
                    </a:xfrm>
                    <a:prstGeom prst="rect">
                      <a:avLst/>
                    </a:prstGeom>
                  </pic:spPr>
                </pic:pic>
              </a:graphicData>
            </a:graphic>
          </wp:inline>
        </w:drawing>
      </w:r>
      <w:r>
        <w:rPr>
          <w:spacing w:val="80"/>
        </w:rPr>
        <w:t xml:space="preserve"> </w:t>
      </w:r>
      <w:r>
        <w:t>Remote</w:t>
      </w:r>
      <w:r>
        <w:rPr>
          <w:spacing w:val="-2"/>
        </w:rPr>
        <w:t xml:space="preserve"> </w:t>
      </w:r>
      <w:r>
        <w:t>Town:</w:t>
      </w:r>
      <w:r>
        <w:rPr>
          <w:spacing w:val="-2"/>
        </w:rPr>
        <w:t xml:space="preserve"> </w:t>
      </w:r>
      <w:r>
        <w:t>Territory inside an urban cluster that is more than 35 miles from an urbanized area;</w:t>
      </w:r>
    </w:p>
    <w:p w:rsidR="003F5784" w14:paraId="182596BB" w14:textId="77777777">
      <w:pPr>
        <w:pStyle w:val="BodyText"/>
        <w:spacing w:line="232" w:lineRule="auto"/>
        <w:ind w:left="631" w:right="239" w:hanging="209"/>
      </w:pPr>
      <w:r>
        <w:rPr>
          <w:noProof/>
          <w:position w:val="3"/>
        </w:rPr>
        <w:drawing>
          <wp:inline distT="0" distB="0" distL="0" distR="0">
            <wp:extent cx="41379" cy="41378"/>
            <wp:effectExtent l="0" t="0" r="0" b="0"/>
            <wp:docPr id="461" name="Image 461"/>
            <wp:cNvGraphicFramePr/>
            <a:graphic xmlns:a="http://schemas.openxmlformats.org/drawingml/2006/main">
              <a:graphicData uri="http://schemas.openxmlformats.org/drawingml/2006/picture">
                <pic:pic xmlns:pic="http://schemas.openxmlformats.org/drawingml/2006/picture">
                  <pic:nvPicPr>
                    <pic:cNvPr id="461" name="Image 461"/>
                    <pic:cNvPicPr/>
                  </pic:nvPicPr>
                  <pic:blipFill>
                    <a:blip xmlns:r="http://schemas.openxmlformats.org/officeDocument/2006/relationships" r:embed="rId354" cstate="print"/>
                    <a:stretch>
                      <a:fillRect/>
                    </a:stretch>
                  </pic:blipFill>
                  <pic:spPr>
                    <a:xfrm>
                      <a:off x="0" y="0"/>
                      <a:ext cx="41379" cy="41378"/>
                    </a:xfrm>
                    <a:prstGeom prst="rect">
                      <a:avLst/>
                    </a:prstGeom>
                  </pic:spPr>
                </pic:pic>
              </a:graphicData>
            </a:graphic>
          </wp:inline>
        </w:drawing>
      </w:r>
      <w:r>
        <w:rPr>
          <w:spacing w:val="80"/>
          <w:sz w:val="20"/>
        </w:rPr>
        <w:t xml:space="preserve"> </w:t>
      </w:r>
      <w:r>
        <w:t>Fringe</w:t>
      </w:r>
      <w:r>
        <w:rPr>
          <w:spacing w:val="-5"/>
        </w:rPr>
        <w:t xml:space="preserve"> </w:t>
      </w:r>
      <w:r>
        <w:t>Rural:</w:t>
      </w:r>
      <w:r>
        <w:rPr>
          <w:spacing w:val="-5"/>
        </w:rPr>
        <w:t xml:space="preserve"> </w:t>
      </w:r>
      <w:r>
        <w:t>Census-defined</w:t>
      </w:r>
      <w:r>
        <w:rPr>
          <w:spacing w:val="-5"/>
        </w:rPr>
        <w:t xml:space="preserve"> </w:t>
      </w:r>
      <w:r>
        <w:t>rural</w:t>
      </w:r>
      <w:r>
        <w:rPr>
          <w:spacing w:val="-5"/>
        </w:rPr>
        <w:t xml:space="preserve"> </w:t>
      </w:r>
      <w:r>
        <w:t>territory</w:t>
      </w:r>
      <w:r>
        <w:rPr>
          <w:spacing w:val="-5"/>
        </w:rPr>
        <w:t xml:space="preserve"> </w:t>
      </w:r>
      <w:r>
        <w:t>that</w:t>
      </w:r>
      <w:r>
        <w:rPr>
          <w:spacing w:val="-5"/>
        </w:rPr>
        <w:t xml:space="preserve"> </w:t>
      </w:r>
      <w:r>
        <w:t>is</w:t>
      </w:r>
      <w:r>
        <w:rPr>
          <w:spacing w:val="-5"/>
        </w:rPr>
        <w:t xml:space="preserve"> </w:t>
      </w:r>
      <w:r>
        <w:t>less</w:t>
      </w:r>
      <w:r>
        <w:rPr>
          <w:spacing w:val="-5"/>
        </w:rPr>
        <w:t xml:space="preserve"> </w:t>
      </w:r>
      <w:r>
        <w:t>than</w:t>
      </w:r>
      <w:r>
        <w:rPr>
          <w:spacing w:val="-5"/>
        </w:rPr>
        <w:t xml:space="preserve"> </w:t>
      </w:r>
      <w:r>
        <w:t>or</w:t>
      </w:r>
      <w:r>
        <w:rPr>
          <w:spacing w:val="-5"/>
        </w:rPr>
        <w:t xml:space="preserve"> </w:t>
      </w:r>
      <w:r>
        <w:t>equal</w:t>
      </w:r>
      <w:r>
        <w:rPr>
          <w:spacing w:val="-5"/>
        </w:rPr>
        <w:t xml:space="preserve"> </w:t>
      </w:r>
      <w:r>
        <w:t>to</w:t>
      </w:r>
      <w:r>
        <w:rPr>
          <w:spacing w:val="-5"/>
        </w:rPr>
        <w:t xml:space="preserve"> </w:t>
      </w:r>
      <w:r>
        <w:t>5</w:t>
      </w:r>
      <w:r>
        <w:rPr>
          <w:spacing w:val="-5"/>
        </w:rPr>
        <w:t xml:space="preserve"> </w:t>
      </w:r>
      <w:r>
        <w:t>miles</w:t>
      </w:r>
      <w:r>
        <w:rPr>
          <w:spacing w:val="-5"/>
        </w:rPr>
        <w:t xml:space="preserve"> </w:t>
      </w:r>
      <w:r>
        <w:t>from</w:t>
      </w:r>
      <w:r>
        <w:rPr>
          <w:spacing w:val="-5"/>
        </w:rPr>
        <w:t xml:space="preserve"> </w:t>
      </w:r>
      <w:r>
        <w:t>an</w:t>
      </w:r>
      <w:r>
        <w:rPr>
          <w:spacing w:val="-5"/>
        </w:rPr>
        <w:t xml:space="preserve"> </w:t>
      </w:r>
      <w:r>
        <w:t>urbanized</w:t>
      </w:r>
      <w:r>
        <w:rPr>
          <w:spacing w:val="-5"/>
        </w:rPr>
        <w:t xml:space="preserve"> </w:t>
      </w:r>
      <w:r>
        <w:t>area,</w:t>
      </w:r>
      <w:r>
        <w:rPr>
          <w:spacing w:val="-5"/>
        </w:rPr>
        <w:t xml:space="preserve"> </w:t>
      </w:r>
      <w:r>
        <w:t>as</w:t>
      </w:r>
      <w:r>
        <w:rPr>
          <w:spacing w:val="-5"/>
        </w:rPr>
        <w:t xml:space="preserve"> </w:t>
      </w:r>
      <w:r>
        <w:t>well</w:t>
      </w:r>
      <w:r>
        <w:rPr>
          <w:spacing w:val="-5"/>
        </w:rPr>
        <w:t xml:space="preserve"> </w:t>
      </w:r>
      <w:r>
        <w:t>as</w:t>
      </w:r>
      <w:r>
        <w:rPr>
          <w:spacing w:val="-5"/>
        </w:rPr>
        <w:t xml:space="preserve"> </w:t>
      </w:r>
      <w:r>
        <w:t>rural</w:t>
      </w:r>
      <w:r>
        <w:rPr>
          <w:spacing w:val="-5"/>
        </w:rPr>
        <w:t xml:space="preserve"> </w:t>
      </w:r>
      <w:r>
        <w:t>territory</w:t>
      </w:r>
      <w:r>
        <w:rPr>
          <w:spacing w:val="-5"/>
        </w:rPr>
        <w:t xml:space="preserve"> </w:t>
      </w:r>
      <w:r>
        <w:t>that</w:t>
      </w:r>
      <w:r>
        <w:rPr>
          <w:spacing w:val="-5"/>
        </w:rPr>
        <w:t xml:space="preserve"> </w:t>
      </w:r>
      <w:r>
        <w:t>is</w:t>
      </w:r>
      <w:r>
        <w:rPr>
          <w:spacing w:val="-5"/>
        </w:rPr>
        <w:t xml:space="preserve"> </w:t>
      </w:r>
      <w:r>
        <w:t>less</w:t>
      </w:r>
      <w:r>
        <w:rPr>
          <w:spacing w:val="-5"/>
        </w:rPr>
        <w:t xml:space="preserve"> </w:t>
      </w:r>
      <w:r>
        <w:t>than</w:t>
      </w:r>
      <w:r>
        <w:rPr>
          <w:spacing w:val="-5"/>
        </w:rPr>
        <w:t xml:space="preserve"> </w:t>
      </w:r>
      <w:r>
        <w:t>or</w:t>
      </w:r>
      <w:r>
        <w:rPr>
          <w:spacing w:val="-5"/>
        </w:rPr>
        <w:t xml:space="preserve"> </w:t>
      </w:r>
      <w:r>
        <w:t>equal</w:t>
      </w:r>
      <w:r>
        <w:rPr>
          <w:spacing w:val="-5"/>
        </w:rPr>
        <w:t xml:space="preserve"> </w:t>
      </w:r>
      <w:r>
        <w:t>to</w:t>
      </w:r>
      <w:r>
        <w:rPr>
          <w:spacing w:val="-5"/>
        </w:rPr>
        <w:t xml:space="preserve"> </w:t>
      </w:r>
      <w:r>
        <w:t>2.5</w:t>
      </w:r>
      <w:r>
        <w:rPr>
          <w:spacing w:val="-5"/>
        </w:rPr>
        <w:t xml:space="preserve"> </w:t>
      </w:r>
      <w:r>
        <w:t>miles from an urban cluster;</w:t>
      </w:r>
    </w:p>
    <w:p w:rsidR="003F5784" w14:paraId="751434A2" w14:textId="77777777">
      <w:pPr>
        <w:pStyle w:val="BodyText"/>
        <w:spacing w:line="233" w:lineRule="exact"/>
        <w:ind w:left="422"/>
      </w:pPr>
      <w:r>
        <w:rPr>
          <w:noProof/>
          <w:position w:val="3"/>
        </w:rPr>
        <w:drawing>
          <wp:inline distT="0" distB="0" distL="0" distR="0">
            <wp:extent cx="41379" cy="41378"/>
            <wp:effectExtent l="0" t="0" r="0" b="0"/>
            <wp:docPr id="462" name="Image 462"/>
            <wp:cNvGraphicFramePr/>
            <a:graphic xmlns:a="http://schemas.openxmlformats.org/drawingml/2006/main">
              <a:graphicData uri="http://schemas.openxmlformats.org/drawingml/2006/picture">
                <pic:pic xmlns:pic="http://schemas.openxmlformats.org/drawingml/2006/picture">
                  <pic:nvPicPr>
                    <pic:cNvPr id="462" name="Image 462"/>
                    <pic:cNvPicPr/>
                  </pic:nvPicPr>
                  <pic:blipFill>
                    <a:blip xmlns:r="http://schemas.openxmlformats.org/officeDocument/2006/relationships" r:embed="rId361" cstate="print"/>
                    <a:stretch>
                      <a:fillRect/>
                    </a:stretch>
                  </pic:blipFill>
                  <pic:spPr>
                    <a:xfrm>
                      <a:off x="0" y="0"/>
                      <a:ext cx="41379" cy="41378"/>
                    </a:xfrm>
                    <a:prstGeom prst="rect">
                      <a:avLst/>
                    </a:prstGeom>
                  </pic:spPr>
                </pic:pic>
              </a:graphicData>
            </a:graphic>
          </wp:inline>
        </w:drawing>
      </w:r>
      <w:r>
        <w:rPr>
          <w:spacing w:val="80"/>
          <w:sz w:val="20"/>
        </w:rPr>
        <w:t xml:space="preserve"> </w:t>
      </w:r>
      <w:r>
        <w:t>Distant</w:t>
      </w:r>
      <w:r>
        <w:rPr>
          <w:spacing w:val="-2"/>
        </w:rPr>
        <w:t xml:space="preserve"> </w:t>
      </w:r>
      <w:r>
        <w:t>Rural:</w:t>
      </w:r>
      <w:r>
        <w:rPr>
          <w:spacing w:val="-2"/>
        </w:rPr>
        <w:t xml:space="preserve"> </w:t>
      </w:r>
      <w:r>
        <w:t>Census-defined</w:t>
      </w:r>
      <w:r>
        <w:rPr>
          <w:spacing w:val="-2"/>
        </w:rPr>
        <w:t xml:space="preserve"> </w:t>
      </w:r>
      <w:r>
        <w:t>rural</w:t>
      </w:r>
      <w:r>
        <w:rPr>
          <w:spacing w:val="-2"/>
        </w:rPr>
        <w:t xml:space="preserve"> </w:t>
      </w:r>
      <w:r>
        <w:t>territory</w:t>
      </w:r>
      <w:r>
        <w:rPr>
          <w:spacing w:val="-2"/>
        </w:rPr>
        <w:t xml:space="preserve"> </w:t>
      </w:r>
      <w:r>
        <w:t>that</w:t>
      </w:r>
      <w:r>
        <w:rPr>
          <w:spacing w:val="-2"/>
        </w:rPr>
        <w:t xml:space="preserve"> </w:t>
      </w:r>
      <w:r>
        <w:t>is</w:t>
      </w:r>
      <w:r>
        <w:rPr>
          <w:spacing w:val="-2"/>
        </w:rPr>
        <w:t xml:space="preserve"> </w:t>
      </w:r>
      <w:r>
        <w:t>more</w:t>
      </w:r>
      <w:r>
        <w:rPr>
          <w:spacing w:val="-2"/>
        </w:rPr>
        <w:t xml:space="preserve"> </w:t>
      </w:r>
      <w:r>
        <w:t>than</w:t>
      </w:r>
      <w:r>
        <w:rPr>
          <w:spacing w:val="-2"/>
        </w:rPr>
        <w:t xml:space="preserve"> </w:t>
      </w:r>
      <w:r>
        <w:t>5</w:t>
      </w:r>
      <w:r>
        <w:rPr>
          <w:spacing w:val="-2"/>
        </w:rPr>
        <w:t xml:space="preserve"> </w:t>
      </w:r>
      <w:r>
        <w:t>miles</w:t>
      </w:r>
      <w:r>
        <w:rPr>
          <w:spacing w:val="-2"/>
        </w:rPr>
        <w:t xml:space="preserve"> </w:t>
      </w:r>
      <w:r>
        <w:t>but</w:t>
      </w:r>
      <w:r>
        <w:rPr>
          <w:spacing w:val="-2"/>
        </w:rPr>
        <w:t xml:space="preserve"> </w:t>
      </w:r>
      <w:r>
        <w:t>less</w:t>
      </w:r>
      <w:r>
        <w:rPr>
          <w:spacing w:val="-2"/>
        </w:rPr>
        <w:t xml:space="preserve"> </w:t>
      </w:r>
      <w:r>
        <w:t>than</w:t>
      </w:r>
      <w:r>
        <w:rPr>
          <w:spacing w:val="-2"/>
        </w:rPr>
        <w:t xml:space="preserve"> </w:t>
      </w:r>
      <w:r>
        <w:t>or</w:t>
      </w:r>
      <w:r>
        <w:rPr>
          <w:spacing w:val="-2"/>
        </w:rPr>
        <w:t xml:space="preserve"> </w:t>
      </w:r>
      <w:r>
        <w:t>equal</w:t>
      </w:r>
      <w:r>
        <w:rPr>
          <w:spacing w:val="-2"/>
        </w:rPr>
        <w:t xml:space="preserve"> </w:t>
      </w:r>
      <w:r>
        <w:t>to</w:t>
      </w:r>
      <w:r>
        <w:rPr>
          <w:spacing w:val="-2"/>
        </w:rPr>
        <w:t xml:space="preserve"> </w:t>
      </w:r>
      <w:r>
        <w:t>25</w:t>
      </w:r>
      <w:r>
        <w:rPr>
          <w:spacing w:val="-2"/>
        </w:rPr>
        <w:t xml:space="preserve"> </w:t>
      </w:r>
      <w:r>
        <w:t>miles</w:t>
      </w:r>
      <w:r>
        <w:rPr>
          <w:spacing w:val="-2"/>
        </w:rPr>
        <w:t xml:space="preserve"> </w:t>
      </w:r>
      <w:r>
        <w:t>from</w:t>
      </w:r>
      <w:r>
        <w:rPr>
          <w:spacing w:val="-2"/>
        </w:rPr>
        <w:t xml:space="preserve"> </w:t>
      </w:r>
      <w:r>
        <w:t>an</w:t>
      </w:r>
      <w:r>
        <w:rPr>
          <w:spacing w:val="-2"/>
        </w:rPr>
        <w:t xml:space="preserve"> </w:t>
      </w:r>
      <w:r>
        <w:t>urbanized</w:t>
      </w:r>
      <w:r>
        <w:rPr>
          <w:spacing w:val="-2"/>
        </w:rPr>
        <w:t xml:space="preserve"> </w:t>
      </w:r>
      <w:r>
        <w:t>area,</w:t>
      </w:r>
      <w:r>
        <w:rPr>
          <w:spacing w:val="-2"/>
        </w:rPr>
        <w:t xml:space="preserve"> </w:t>
      </w:r>
      <w:r>
        <w:t>as</w:t>
      </w:r>
      <w:r>
        <w:rPr>
          <w:spacing w:val="-2"/>
        </w:rPr>
        <w:t xml:space="preserve"> </w:t>
      </w:r>
      <w:r>
        <w:t>well</w:t>
      </w:r>
      <w:r>
        <w:rPr>
          <w:spacing w:val="-2"/>
        </w:rPr>
        <w:t xml:space="preserve"> </w:t>
      </w:r>
      <w:r>
        <w:t>as</w:t>
      </w:r>
      <w:r>
        <w:rPr>
          <w:spacing w:val="-2"/>
        </w:rPr>
        <w:t xml:space="preserve"> </w:t>
      </w:r>
      <w:r>
        <w:t>rural</w:t>
      </w:r>
      <w:r>
        <w:rPr>
          <w:spacing w:val="-2"/>
        </w:rPr>
        <w:t xml:space="preserve"> </w:t>
      </w:r>
      <w:r>
        <w:t>territory</w:t>
      </w:r>
      <w:r>
        <w:rPr>
          <w:spacing w:val="-2"/>
        </w:rPr>
        <w:t xml:space="preserve"> </w:t>
      </w:r>
      <w:r>
        <w:t>that</w:t>
      </w:r>
      <w:r>
        <w:rPr>
          <w:spacing w:val="-2"/>
        </w:rPr>
        <w:t xml:space="preserve"> </w:t>
      </w:r>
      <w:r>
        <w:t>is</w:t>
      </w:r>
      <w:r>
        <w:rPr>
          <w:spacing w:val="-2"/>
        </w:rPr>
        <w:t xml:space="preserve"> </w:t>
      </w:r>
      <w:r>
        <w:t>more</w:t>
      </w:r>
      <w:r>
        <w:rPr>
          <w:spacing w:val="-2"/>
        </w:rPr>
        <w:t xml:space="preserve"> </w:t>
      </w:r>
      <w:r>
        <w:t>than</w:t>
      </w:r>
    </w:p>
    <w:p w:rsidR="003F5784" w14:paraId="23342D9B" w14:textId="77777777">
      <w:pPr>
        <w:pStyle w:val="BodyText"/>
        <w:spacing w:line="235" w:lineRule="exact"/>
        <w:ind w:left="631"/>
      </w:pPr>
      <w:r>
        <w:t>2.5</w:t>
      </w:r>
      <w:r>
        <w:rPr>
          <w:spacing w:val="-5"/>
        </w:rPr>
        <w:t xml:space="preserve"> </w:t>
      </w:r>
      <w:r>
        <w:t>miles</w:t>
      </w:r>
      <w:r>
        <w:rPr>
          <w:spacing w:val="-4"/>
        </w:rPr>
        <w:t xml:space="preserve"> </w:t>
      </w:r>
      <w:r>
        <w:t>but</w:t>
      </w:r>
      <w:r>
        <w:rPr>
          <w:spacing w:val="-5"/>
        </w:rPr>
        <w:t xml:space="preserve"> </w:t>
      </w:r>
      <w:r>
        <w:t>less</w:t>
      </w:r>
      <w:r>
        <w:rPr>
          <w:spacing w:val="-4"/>
        </w:rPr>
        <w:t xml:space="preserve"> </w:t>
      </w:r>
      <w:r>
        <w:t>than</w:t>
      </w:r>
      <w:r>
        <w:rPr>
          <w:spacing w:val="-5"/>
        </w:rPr>
        <w:t xml:space="preserve"> </w:t>
      </w:r>
      <w:r>
        <w:t>or</w:t>
      </w:r>
      <w:r>
        <w:rPr>
          <w:spacing w:val="-4"/>
        </w:rPr>
        <w:t xml:space="preserve"> </w:t>
      </w:r>
      <w:r>
        <w:t>equal</w:t>
      </w:r>
      <w:r>
        <w:rPr>
          <w:spacing w:val="-5"/>
        </w:rPr>
        <w:t xml:space="preserve"> </w:t>
      </w:r>
      <w:r>
        <w:t>to</w:t>
      </w:r>
      <w:r>
        <w:rPr>
          <w:spacing w:val="-4"/>
        </w:rPr>
        <w:t xml:space="preserve"> </w:t>
      </w:r>
      <w:r>
        <w:t>10</w:t>
      </w:r>
      <w:r>
        <w:rPr>
          <w:spacing w:val="-4"/>
        </w:rPr>
        <w:t xml:space="preserve"> </w:t>
      </w:r>
      <w:r>
        <w:t>miles</w:t>
      </w:r>
      <w:r>
        <w:rPr>
          <w:spacing w:val="-5"/>
        </w:rPr>
        <w:t xml:space="preserve"> </w:t>
      </w:r>
      <w:r>
        <w:t>from</w:t>
      </w:r>
      <w:r>
        <w:rPr>
          <w:spacing w:val="-4"/>
        </w:rPr>
        <w:t xml:space="preserve"> </w:t>
      </w:r>
      <w:r>
        <w:t>an</w:t>
      </w:r>
      <w:r>
        <w:rPr>
          <w:spacing w:val="-5"/>
        </w:rPr>
        <w:t xml:space="preserve"> </w:t>
      </w:r>
      <w:r>
        <w:t>urban</w:t>
      </w:r>
      <w:r>
        <w:rPr>
          <w:spacing w:val="-4"/>
        </w:rPr>
        <w:t xml:space="preserve"> </w:t>
      </w:r>
      <w:r>
        <w:t>cluster;</w:t>
      </w:r>
      <w:r>
        <w:rPr>
          <w:spacing w:val="-5"/>
        </w:rPr>
        <w:t xml:space="preserve"> and</w:t>
      </w:r>
    </w:p>
    <w:p w:rsidR="003F5784" w14:paraId="23C64570" w14:textId="77777777">
      <w:pPr>
        <w:pStyle w:val="BodyText"/>
        <w:spacing w:line="238" w:lineRule="exact"/>
        <w:ind w:left="422"/>
      </w:pPr>
      <w:r>
        <w:rPr>
          <w:noProof/>
          <w:position w:val="3"/>
        </w:rPr>
        <w:drawing>
          <wp:inline distT="0" distB="0" distL="0" distR="0">
            <wp:extent cx="41379" cy="41378"/>
            <wp:effectExtent l="0" t="0" r="0" b="0"/>
            <wp:docPr id="463" name="Image 463"/>
            <wp:cNvGraphicFramePr/>
            <a:graphic xmlns:a="http://schemas.openxmlformats.org/drawingml/2006/main">
              <a:graphicData uri="http://schemas.openxmlformats.org/drawingml/2006/picture">
                <pic:pic xmlns:pic="http://schemas.openxmlformats.org/drawingml/2006/picture">
                  <pic:nvPicPr>
                    <pic:cNvPr id="463" name="Image 463"/>
                    <pic:cNvPicPr/>
                  </pic:nvPicPr>
                  <pic:blipFill>
                    <a:blip xmlns:r="http://schemas.openxmlformats.org/officeDocument/2006/relationships" r:embed="rId362" cstate="print"/>
                    <a:stretch>
                      <a:fillRect/>
                    </a:stretch>
                  </pic:blipFill>
                  <pic:spPr>
                    <a:xfrm>
                      <a:off x="0" y="0"/>
                      <a:ext cx="41379" cy="41378"/>
                    </a:xfrm>
                    <a:prstGeom prst="rect">
                      <a:avLst/>
                    </a:prstGeom>
                  </pic:spPr>
                </pic:pic>
              </a:graphicData>
            </a:graphic>
          </wp:inline>
        </w:drawing>
      </w:r>
      <w:r>
        <w:rPr>
          <w:spacing w:val="80"/>
          <w:sz w:val="20"/>
        </w:rPr>
        <w:t xml:space="preserve"> </w:t>
      </w:r>
      <w:r>
        <w:t>Remote</w:t>
      </w:r>
      <w:r>
        <w:rPr>
          <w:spacing w:val="-2"/>
        </w:rPr>
        <w:t xml:space="preserve"> </w:t>
      </w:r>
      <w:r>
        <w:t>Rural:</w:t>
      </w:r>
      <w:r>
        <w:rPr>
          <w:spacing w:val="-2"/>
        </w:rPr>
        <w:t xml:space="preserve"> </w:t>
      </w:r>
      <w:r>
        <w:t>Census-defined</w:t>
      </w:r>
      <w:r>
        <w:rPr>
          <w:spacing w:val="-2"/>
        </w:rPr>
        <w:t xml:space="preserve"> </w:t>
      </w:r>
      <w:r>
        <w:t>rural</w:t>
      </w:r>
      <w:r>
        <w:rPr>
          <w:spacing w:val="-2"/>
        </w:rPr>
        <w:t xml:space="preserve"> </w:t>
      </w:r>
      <w:r>
        <w:t>territory</w:t>
      </w:r>
      <w:r>
        <w:rPr>
          <w:spacing w:val="-2"/>
        </w:rPr>
        <w:t xml:space="preserve"> </w:t>
      </w:r>
      <w:r>
        <w:t>that</w:t>
      </w:r>
      <w:r>
        <w:rPr>
          <w:spacing w:val="-2"/>
        </w:rPr>
        <w:t xml:space="preserve"> </w:t>
      </w:r>
      <w:r>
        <w:t>is</w:t>
      </w:r>
      <w:r>
        <w:rPr>
          <w:spacing w:val="-2"/>
        </w:rPr>
        <w:t xml:space="preserve"> </w:t>
      </w:r>
      <w:r>
        <w:t>more</w:t>
      </w:r>
      <w:r>
        <w:rPr>
          <w:spacing w:val="-2"/>
        </w:rPr>
        <w:t xml:space="preserve"> </w:t>
      </w:r>
      <w:r>
        <w:t>than</w:t>
      </w:r>
      <w:r>
        <w:rPr>
          <w:spacing w:val="-2"/>
        </w:rPr>
        <w:t xml:space="preserve"> </w:t>
      </w:r>
      <w:r>
        <w:t>25</w:t>
      </w:r>
      <w:r>
        <w:rPr>
          <w:spacing w:val="-2"/>
        </w:rPr>
        <w:t xml:space="preserve"> </w:t>
      </w:r>
      <w:r>
        <w:t>miles</w:t>
      </w:r>
      <w:r>
        <w:rPr>
          <w:spacing w:val="-2"/>
        </w:rPr>
        <w:t xml:space="preserve"> </w:t>
      </w:r>
      <w:r>
        <w:t>from</w:t>
      </w:r>
      <w:r>
        <w:rPr>
          <w:spacing w:val="-2"/>
        </w:rPr>
        <w:t xml:space="preserve"> </w:t>
      </w:r>
      <w:r>
        <w:t>an</w:t>
      </w:r>
      <w:r>
        <w:rPr>
          <w:spacing w:val="-2"/>
        </w:rPr>
        <w:t xml:space="preserve"> </w:t>
      </w:r>
      <w:r>
        <w:t>urbanized</w:t>
      </w:r>
      <w:r>
        <w:rPr>
          <w:spacing w:val="-2"/>
        </w:rPr>
        <w:t xml:space="preserve"> </w:t>
      </w:r>
      <w:r>
        <w:t>area</w:t>
      </w:r>
      <w:r>
        <w:rPr>
          <w:spacing w:val="-2"/>
        </w:rPr>
        <w:t xml:space="preserve"> </w:t>
      </w:r>
      <w:r>
        <w:t>and</w:t>
      </w:r>
      <w:r>
        <w:rPr>
          <w:spacing w:val="-2"/>
        </w:rPr>
        <w:t xml:space="preserve"> </w:t>
      </w:r>
      <w:r>
        <w:t>is</w:t>
      </w:r>
      <w:r>
        <w:rPr>
          <w:spacing w:val="-2"/>
        </w:rPr>
        <w:t xml:space="preserve"> </w:t>
      </w:r>
      <w:r>
        <w:t>also</w:t>
      </w:r>
      <w:r>
        <w:rPr>
          <w:spacing w:val="-2"/>
        </w:rPr>
        <w:t xml:space="preserve"> </w:t>
      </w:r>
      <w:r>
        <w:t>more</w:t>
      </w:r>
      <w:r>
        <w:rPr>
          <w:spacing w:val="-2"/>
        </w:rPr>
        <w:t xml:space="preserve"> </w:t>
      </w:r>
      <w:r>
        <w:t>than</w:t>
      </w:r>
      <w:r>
        <w:rPr>
          <w:spacing w:val="-2"/>
        </w:rPr>
        <w:t xml:space="preserve"> </w:t>
      </w:r>
      <w:r>
        <w:t>10</w:t>
      </w:r>
      <w:r>
        <w:rPr>
          <w:spacing w:val="-2"/>
        </w:rPr>
        <w:t xml:space="preserve"> </w:t>
      </w:r>
      <w:r>
        <w:t>miles</w:t>
      </w:r>
      <w:r>
        <w:rPr>
          <w:spacing w:val="-2"/>
        </w:rPr>
        <w:t xml:space="preserve"> </w:t>
      </w:r>
      <w:r>
        <w:t>from</w:t>
      </w:r>
      <w:r>
        <w:rPr>
          <w:spacing w:val="-2"/>
        </w:rPr>
        <w:t xml:space="preserve"> </w:t>
      </w:r>
      <w:r>
        <w:t>an</w:t>
      </w:r>
      <w:r>
        <w:rPr>
          <w:spacing w:val="-2"/>
        </w:rPr>
        <w:t xml:space="preserve"> </w:t>
      </w:r>
      <w:r>
        <w:t>urban</w:t>
      </w:r>
      <w:r>
        <w:rPr>
          <w:spacing w:val="-2"/>
        </w:rPr>
        <w:t xml:space="preserve"> </w:t>
      </w:r>
      <w:r>
        <w:t>cluster.</w:t>
      </w:r>
    </w:p>
    <w:p w:rsidR="003F5784" w14:paraId="0862A106" w14:textId="77777777">
      <w:pPr>
        <w:pStyle w:val="BodyText"/>
      </w:pPr>
    </w:p>
    <w:p w:rsidR="003F5784" w14:paraId="4AC813A8" w14:textId="77777777">
      <w:pPr>
        <w:pStyle w:val="BodyText"/>
        <w:spacing w:before="168"/>
      </w:pPr>
    </w:p>
    <w:p w:rsidR="003F5784" w14:paraId="78A701DF" w14:textId="77777777">
      <w:pPr>
        <w:pStyle w:val="BodyText"/>
        <w:spacing w:line="232" w:lineRule="auto"/>
        <w:ind w:left="109" w:right="574"/>
      </w:pPr>
      <w:r>
        <w:t>In</w:t>
      </w:r>
      <w:r>
        <w:rPr>
          <w:spacing w:val="-9"/>
        </w:rPr>
        <w:t xml:space="preserve"> </w:t>
      </w:r>
      <w:r>
        <w:t>addition</w:t>
      </w:r>
      <w:r>
        <w:rPr>
          <w:spacing w:val="-6"/>
        </w:rPr>
        <w:t xml:space="preserve"> </w:t>
      </w:r>
      <w:r>
        <w:t>to</w:t>
      </w:r>
      <w:r>
        <w:rPr>
          <w:spacing w:val="-6"/>
        </w:rPr>
        <w:t xml:space="preserve"> </w:t>
      </w:r>
      <w:r>
        <w:t>the</w:t>
      </w:r>
      <w:r>
        <w:rPr>
          <w:spacing w:val="-6"/>
        </w:rPr>
        <w:t xml:space="preserve"> </w:t>
      </w:r>
      <w:r>
        <w:t>12</w:t>
      </w:r>
      <w:r>
        <w:rPr>
          <w:spacing w:val="-6"/>
        </w:rPr>
        <w:t xml:space="preserve"> </w:t>
      </w:r>
      <w:r>
        <w:t>categories</w:t>
      </w:r>
      <w:r>
        <w:rPr>
          <w:spacing w:val="-6"/>
        </w:rPr>
        <w:t xml:space="preserve"> </w:t>
      </w:r>
      <w:r>
        <w:t>above,</w:t>
      </w:r>
      <w:r>
        <w:rPr>
          <w:spacing w:val="-6"/>
        </w:rPr>
        <w:t xml:space="preserve"> </w:t>
      </w:r>
      <w:r>
        <w:t>the</w:t>
      </w:r>
      <w:r>
        <w:rPr>
          <w:spacing w:val="-6"/>
        </w:rPr>
        <w:t xml:space="preserve"> </w:t>
      </w:r>
      <w:r>
        <w:t>category</w:t>
      </w:r>
      <w:r>
        <w:rPr>
          <w:spacing w:val="-6"/>
        </w:rPr>
        <w:t xml:space="preserve"> </w:t>
      </w:r>
      <w:r>
        <w:t>"outside</w:t>
      </w:r>
      <w:r>
        <w:rPr>
          <w:spacing w:val="-6"/>
        </w:rPr>
        <w:t xml:space="preserve"> </w:t>
      </w:r>
      <w:r>
        <w:t>of</w:t>
      </w:r>
      <w:r>
        <w:rPr>
          <w:spacing w:val="-6"/>
        </w:rPr>
        <w:t xml:space="preserve"> </w:t>
      </w:r>
      <w:r>
        <w:t>the</w:t>
      </w:r>
      <w:r>
        <w:rPr>
          <w:spacing w:val="-6"/>
        </w:rPr>
        <w:t xml:space="preserve"> </w:t>
      </w:r>
      <w:r>
        <w:t>United</w:t>
      </w:r>
      <w:r>
        <w:rPr>
          <w:spacing w:val="-6"/>
        </w:rPr>
        <w:t xml:space="preserve"> </w:t>
      </w:r>
      <w:r>
        <w:t>States:</w:t>
      </w:r>
      <w:r>
        <w:rPr>
          <w:spacing w:val="-6"/>
        </w:rPr>
        <w:t xml:space="preserve"> </w:t>
      </w:r>
      <w:r>
        <w:t>Department</w:t>
      </w:r>
      <w:r>
        <w:rPr>
          <w:spacing w:val="-6"/>
        </w:rPr>
        <w:t xml:space="preserve"> </w:t>
      </w:r>
      <w:r>
        <w:t>of</w:t>
      </w:r>
      <w:r>
        <w:rPr>
          <w:spacing w:val="-6"/>
        </w:rPr>
        <w:t xml:space="preserve"> </w:t>
      </w:r>
      <w:r>
        <w:t>Defense</w:t>
      </w:r>
      <w:r>
        <w:rPr>
          <w:spacing w:val="-6"/>
        </w:rPr>
        <w:t xml:space="preserve"> </w:t>
      </w:r>
      <w:r>
        <w:t>Education</w:t>
      </w:r>
      <w:r>
        <w:rPr>
          <w:spacing w:val="-14"/>
        </w:rPr>
        <w:t xml:space="preserve"> </w:t>
      </w:r>
      <w:r>
        <w:t>Activity</w:t>
      </w:r>
      <w:r>
        <w:rPr>
          <w:spacing w:val="-5"/>
        </w:rPr>
        <w:t xml:space="preserve"> </w:t>
      </w:r>
      <w:r>
        <w:t>(DoDEA)</w:t>
      </w:r>
      <w:r>
        <w:rPr>
          <w:spacing w:val="-6"/>
        </w:rPr>
        <w:t xml:space="preserve"> </w:t>
      </w:r>
      <w:r>
        <w:t>overseas</w:t>
      </w:r>
      <w:r>
        <w:rPr>
          <w:spacing w:val="-6"/>
        </w:rPr>
        <w:t xml:space="preserve"> </w:t>
      </w:r>
      <w:r>
        <w:t>schools</w:t>
      </w:r>
      <w:r>
        <w:rPr>
          <w:spacing w:val="-6"/>
        </w:rPr>
        <w:t xml:space="preserve"> </w:t>
      </w:r>
      <w:r>
        <w:t>or</w:t>
      </w:r>
      <w:r>
        <w:rPr>
          <w:spacing w:val="-6"/>
        </w:rPr>
        <w:t xml:space="preserve"> </w:t>
      </w:r>
      <w:r>
        <w:t>Puerto</w:t>
      </w:r>
      <w:r>
        <w:rPr>
          <w:spacing w:val="-6"/>
        </w:rPr>
        <w:t xml:space="preserve"> </w:t>
      </w:r>
      <w:r>
        <w:t>Rico"</w:t>
      </w:r>
      <w:r>
        <w:rPr>
          <w:spacing w:val="-6"/>
        </w:rPr>
        <w:t xml:space="preserve"> </w:t>
      </w:r>
      <w:r>
        <w:t xml:space="preserve">is used. For the definitions of the geographic terms used in these descriptions, please refer to the Census Bureau’s website (for example, </w:t>
      </w:r>
      <w:hyperlink r:id="rId363">
        <w:r>
          <w:t>www.census.gov/programs-</w:t>
        </w:r>
      </w:hyperlink>
      <w:r>
        <w:t xml:space="preserve"> </w:t>
      </w:r>
      <w:r>
        <w:rPr>
          <w:spacing w:val="-2"/>
        </w:rPr>
        <w:t>surveys/metro-micro.html).</w:t>
      </w:r>
    </w:p>
    <w:p w:rsidR="003F5784" w14:paraId="39FFD327" w14:textId="77777777">
      <w:pPr>
        <w:pStyle w:val="BodyText"/>
        <w:spacing w:before="210" w:line="232" w:lineRule="auto"/>
        <w:ind w:left="109" w:right="117"/>
      </w:pPr>
      <w:r>
        <w:t>The</w:t>
      </w:r>
      <w:r>
        <w:rPr>
          <w:spacing w:val="-7"/>
        </w:rPr>
        <w:t xml:space="preserve"> </w:t>
      </w:r>
      <w:r>
        <w:t>urbanicity</w:t>
      </w:r>
      <w:r>
        <w:rPr>
          <w:spacing w:val="-7"/>
        </w:rPr>
        <w:t xml:space="preserve"> </w:t>
      </w:r>
      <w:r>
        <w:t>classification</w:t>
      </w:r>
      <w:r>
        <w:rPr>
          <w:spacing w:val="-7"/>
        </w:rPr>
        <w:t xml:space="preserve"> </w:t>
      </w:r>
      <w:r>
        <w:t>cells</w:t>
      </w:r>
      <w:r>
        <w:rPr>
          <w:spacing w:val="-7"/>
        </w:rPr>
        <w:t xml:space="preserve"> </w:t>
      </w:r>
      <w:r>
        <w:t>were</w:t>
      </w:r>
      <w:r>
        <w:rPr>
          <w:spacing w:val="-7"/>
        </w:rPr>
        <w:t xml:space="preserve"> </w:t>
      </w:r>
      <w:r>
        <w:t>created</w:t>
      </w:r>
      <w:r>
        <w:rPr>
          <w:spacing w:val="-7"/>
        </w:rPr>
        <w:t xml:space="preserve"> </w:t>
      </w:r>
      <w:r>
        <w:t>by</w:t>
      </w:r>
      <w:r>
        <w:rPr>
          <w:spacing w:val="-7"/>
        </w:rPr>
        <w:t xml:space="preserve"> </w:t>
      </w:r>
      <w:r>
        <w:t>starting</w:t>
      </w:r>
      <w:r>
        <w:rPr>
          <w:spacing w:val="-7"/>
        </w:rPr>
        <w:t xml:space="preserve"> </w:t>
      </w:r>
      <w:r>
        <w:t>with</w:t>
      </w:r>
      <w:r>
        <w:rPr>
          <w:spacing w:val="-7"/>
        </w:rPr>
        <w:t xml:space="preserve"> </w:t>
      </w:r>
      <w:r>
        <w:t>the</w:t>
      </w:r>
      <w:r>
        <w:rPr>
          <w:spacing w:val="-7"/>
        </w:rPr>
        <w:t xml:space="preserve"> </w:t>
      </w:r>
      <w:r>
        <w:t>original</w:t>
      </w:r>
      <w:r>
        <w:rPr>
          <w:spacing w:val="-7"/>
        </w:rPr>
        <w:t xml:space="preserve"> </w:t>
      </w:r>
      <w:r>
        <w:t>NCES</w:t>
      </w:r>
      <w:r>
        <w:rPr>
          <w:spacing w:val="-7"/>
        </w:rPr>
        <w:t xml:space="preserve"> </w:t>
      </w:r>
      <w:r>
        <w:t>urban-centric</w:t>
      </w:r>
      <w:r>
        <w:rPr>
          <w:spacing w:val="-7"/>
        </w:rPr>
        <w:t xml:space="preserve"> </w:t>
      </w:r>
      <w:r>
        <w:t>locale</w:t>
      </w:r>
      <w:r>
        <w:rPr>
          <w:spacing w:val="-7"/>
        </w:rPr>
        <w:t xml:space="preserve"> </w:t>
      </w:r>
      <w:r>
        <w:t>categories.</w:t>
      </w:r>
      <w:r>
        <w:rPr>
          <w:spacing w:val="-7"/>
        </w:rPr>
        <w:t xml:space="preserve"> </w:t>
      </w:r>
      <w:r>
        <w:t>Urbanicity</w:t>
      </w:r>
      <w:r>
        <w:rPr>
          <w:spacing w:val="-7"/>
        </w:rPr>
        <w:t xml:space="preserve"> </w:t>
      </w:r>
      <w:r>
        <w:t>strata</w:t>
      </w:r>
      <w:r>
        <w:rPr>
          <w:spacing w:val="-7"/>
        </w:rPr>
        <w:t xml:space="preserve"> </w:t>
      </w:r>
      <w:r>
        <w:t>were</w:t>
      </w:r>
      <w:r>
        <w:rPr>
          <w:spacing w:val="-7"/>
        </w:rPr>
        <w:t xml:space="preserve"> </w:t>
      </w:r>
      <w:r>
        <w:t>collapsed</w:t>
      </w:r>
      <w:r>
        <w:rPr>
          <w:spacing w:val="-7"/>
        </w:rPr>
        <w:t xml:space="preserve"> </w:t>
      </w:r>
      <w:r>
        <w:t>with</w:t>
      </w:r>
      <w:r>
        <w:rPr>
          <w:spacing w:val="-7"/>
        </w:rPr>
        <w:t xml:space="preserve"> </w:t>
      </w:r>
      <w:r>
        <w:t>neighboring</w:t>
      </w:r>
      <w:r>
        <w:rPr>
          <w:spacing w:val="-7"/>
        </w:rPr>
        <w:t xml:space="preserve"> </w:t>
      </w:r>
      <w:r>
        <w:t>strata</w:t>
      </w:r>
      <w:r>
        <w:rPr>
          <w:spacing w:val="-7"/>
        </w:rPr>
        <w:t xml:space="preserve"> </w:t>
      </w:r>
      <w:r>
        <w:t>until a minimum cell size criterion, in terms of the percentage of students, was met.</w:t>
      </w:r>
      <w:r>
        <w:rPr>
          <w:spacing w:val="-3"/>
        </w:rPr>
        <w:t xml:space="preserve"> </w:t>
      </w:r>
      <w:r>
        <w:t>The minimum cell size criterion varied by type of explicit stratum.</w:t>
      </w:r>
      <w:r>
        <w:rPr>
          <w:spacing w:val="-3"/>
        </w:rPr>
        <w:t xml:space="preserve"> </w:t>
      </w:r>
      <w:r>
        <w:t>The criterion for explicit strata</w:t>
      </w:r>
      <w:r>
        <w:rPr>
          <w:spacing w:val="-8"/>
        </w:rPr>
        <w:t xml:space="preserve"> </w:t>
      </w:r>
      <w:r>
        <w:t>comprising</w:t>
      </w:r>
      <w:r>
        <w:rPr>
          <w:spacing w:val="-4"/>
        </w:rPr>
        <w:t xml:space="preserve"> </w:t>
      </w:r>
      <w:r>
        <w:t>the</w:t>
      </w:r>
      <w:r>
        <w:rPr>
          <w:spacing w:val="-4"/>
        </w:rPr>
        <w:t xml:space="preserve"> </w:t>
      </w:r>
      <w:r>
        <w:t>largest</w:t>
      </w:r>
      <w:r>
        <w:rPr>
          <w:spacing w:val="-8"/>
        </w:rPr>
        <w:t xml:space="preserve"> </w:t>
      </w:r>
      <w:r>
        <w:t>TUDA</w:t>
      </w:r>
      <w:r>
        <w:rPr>
          <w:spacing w:val="-14"/>
        </w:rPr>
        <w:t xml:space="preserve"> </w:t>
      </w:r>
      <w:r>
        <w:t>districts</w:t>
      </w:r>
      <w:r>
        <w:rPr>
          <w:spacing w:val="-3"/>
        </w:rPr>
        <w:t xml:space="preserve"> </w:t>
      </w:r>
      <w:r>
        <w:t>(Los</w:t>
      </w:r>
      <w:r>
        <w:rPr>
          <w:spacing w:val="-14"/>
        </w:rPr>
        <w:t xml:space="preserve"> </w:t>
      </w:r>
      <w:r>
        <w:t>Angeles,</w:t>
      </w:r>
      <w:r>
        <w:rPr>
          <w:spacing w:val="-3"/>
        </w:rPr>
        <w:t xml:space="preserve"> </w:t>
      </w:r>
      <w:r>
        <w:t>New</w:t>
      </w:r>
      <w:r>
        <w:rPr>
          <w:spacing w:val="-12"/>
        </w:rPr>
        <w:t xml:space="preserve"> </w:t>
      </w:r>
      <w:r>
        <w:t>York</w:t>
      </w:r>
      <w:r>
        <w:rPr>
          <w:spacing w:val="-4"/>
        </w:rPr>
        <w:t xml:space="preserve"> </w:t>
      </w:r>
      <w:r>
        <w:t>City,</w:t>
      </w:r>
      <w:r>
        <w:rPr>
          <w:spacing w:val="-4"/>
        </w:rPr>
        <w:t xml:space="preserve"> </w:t>
      </w:r>
      <w:r>
        <w:t>Chicago,</w:t>
      </w:r>
      <w:r>
        <w:rPr>
          <w:spacing w:val="-4"/>
        </w:rPr>
        <w:t xml:space="preserve"> </w:t>
      </w:r>
      <w:r>
        <w:t>Miami-Dade,</w:t>
      </w:r>
      <w:r>
        <w:rPr>
          <w:spacing w:val="-4"/>
        </w:rPr>
        <w:t xml:space="preserve"> </w:t>
      </w:r>
      <w:r>
        <w:t>Houston,</w:t>
      </w:r>
      <w:r>
        <w:rPr>
          <w:spacing w:val="-4"/>
        </w:rPr>
        <w:t xml:space="preserve"> </w:t>
      </w:r>
      <w:r>
        <w:t>and</w:t>
      </w:r>
      <w:r>
        <w:rPr>
          <w:spacing w:val="-4"/>
        </w:rPr>
        <w:t xml:space="preserve"> </w:t>
      </w:r>
      <w:r>
        <w:t>Clark</w:t>
      </w:r>
      <w:r>
        <w:rPr>
          <w:spacing w:val="-4"/>
        </w:rPr>
        <w:t xml:space="preserve"> </w:t>
      </w:r>
      <w:r>
        <w:t>County)</w:t>
      </w:r>
      <w:r>
        <w:rPr>
          <w:spacing w:val="-4"/>
        </w:rPr>
        <w:t xml:space="preserve"> </w:t>
      </w:r>
      <w:r>
        <w:t>was</w:t>
      </w:r>
      <w:r>
        <w:rPr>
          <w:spacing w:val="-4"/>
        </w:rPr>
        <w:t xml:space="preserve"> </w:t>
      </w:r>
      <w:r>
        <w:t>13</w:t>
      </w:r>
      <w:r>
        <w:rPr>
          <w:spacing w:val="-4"/>
        </w:rPr>
        <w:t xml:space="preserve"> </w:t>
      </w:r>
      <w:r>
        <w:t>percent;</w:t>
      </w:r>
      <w:r>
        <w:rPr>
          <w:spacing w:val="-4"/>
        </w:rPr>
        <w:t xml:space="preserve"> </w:t>
      </w:r>
      <w:r>
        <w:t>for</w:t>
      </w:r>
      <w:r>
        <w:rPr>
          <w:spacing w:val="-4"/>
        </w:rPr>
        <w:t xml:space="preserve"> </w:t>
      </w:r>
      <w:r>
        <w:t>the</w:t>
      </w:r>
      <w:r>
        <w:rPr>
          <w:spacing w:val="-4"/>
        </w:rPr>
        <w:t xml:space="preserve"> </w:t>
      </w:r>
      <w:r>
        <w:t>other</w:t>
      </w:r>
      <w:r>
        <w:rPr>
          <w:spacing w:val="-8"/>
        </w:rPr>
        <w:t xml:space="preserve"> </w:t>
      </w:r>
      <w:r>
        <w:t>TUDA</w:t>
      </w:r>
      <w:r>
        <w:rPr>
          <w:spacing w:val="-14"/>
        </w:rPr>
        <w:t xml:space="preserve"> </w:t>
      </w:r>
      <w:r>
        <w:t>districts,</w:t>
      </w:r>
      <w:r>
        <w:rPr>
          <w:spacing w:val="-3"/>
        </w:rPr>
        <w:t xml:space="preserve"> </w:t>
      </w:r>
      <w:r>
        <w:t>it was 20 percent; and for all other explicit strata, it was 10 percent.</w:t>
      </w:r>
    </w:p>
    <w:p w:rsidR="003F5784" w14:paraId="265464D9" w14:textId="77777777">
      <w:pPr>
        <w:spacing w:line="232" w:lineRule="auto"/>
        <w:sectPr>
          <w:pgSz w:w="15840" w:h="12240" w:orient="landscape"/>
          <w:pgMar w:top="480" w:right="440" w:bottom="460" w:left="460" w:header="284" w:footer="275" w:gutter="0"/>
          <w:cols w:space="720"/>
        </w:sectPr>
      </w:pPr>
    </w:p>
    <w:p w:rsidR="003F5784" w14:paraId="0EAD9EF8" w14:textId="77777777">
      <w:pPr>
        <w:pStyle w:val="BodyText"/>
        <w:spacing w:before="78" w:line="232" w:lineRule="auto"/>
        <w:ind w:left="109" w:right="125"/>
      </w:pPr>
      <w:r>
        <w:t>The urbanicity classification variable was equal to the original NCES urban-centric locale if no collapsing was necessary. If collapsing was necessary, the collapsing scheme first</w:t>
      </w:r>
      <w:r>
        <w:rPr>
          <w:spacing w:val="-3"/>
        </w:rPr>
        <w:t xml:space="preserve"> </w:t>
      </w:r>
      <w:r>
        <w:t>collapsed</w:t>
      </w:r>
      <w:r>
        <w:rPr>
          <w:spacing w:val="-3"/>
        </w:rPr>
        <w:t xml:space="preserve"> </w:t>
      </w:r>
      <w:r>
        <w:t>within</w:t>
      </w:r>
      <w:r>
        <w:rPr>
          <w:spacing w:val="-3"/>
        </w:rPr>
        <w:t xml:space="preserve"> </w:t>
      </w:r>
      <w:r>
        <w:t>the</w:t>
      </w:r>
      <w:r>
        <w:rPr>
          <w:spacing w:val="-3"/>
        </w:rPr>
        <w:t xml:space="preserve"> </w:t>
      </w:r>
      <w:r>
        <w:t>four</w:t>
      </w:r>
      <w:r>
        <w:rPr>
          <w:spacing w:val="-3"/>
        </w:rPr>
        <w:t xml:space="preserve"> </w:t>
      </w:r>
      <w:r>
        <w:t>major</w:t>
      </w:r>
      <w:r>
        <w:rPr>
          <w:spacing w:val="-3"/>
        </w:rPr>
        <w:t xml:space="preserve"> </w:t>
      </w:r>
      <w:r>
        <w:t>strata</w:t>
      </w:r>
      <w:r>
        <w:rPr>
          <w:spacing w:val="-3"/>
        </w:rPr>
        <w:t xml:space="preserve"> </w:t>
      </w:r>
      <w:r>
        <w:t>(city,</w:t>
      </w:r>
      <w:r>
        <w:rPr>
          <w:spacing w:val="-3"/>
        </w:rPr>
        <w:t xml:space="preserve"> </w:t>
      </w:r>
      <w:r>
        <w:t>suburbs,</w:t>
      </w:r>
      <w:r>
        <w:rPr>
          <w:spacing w:val="-3"/>
        </w:rPr>
        <w:t xml:space="preserve"> </w:t>
      </w:r>
      <w:r>
        <w:t>town,</w:t>
      </w:r>
      <w:r>
        <w:rPr>
          <w:spacing w:val="-3"/>
        </w:rPr>
        <w:t xml:space="preserve"> </w:t>
      </w:r>
      <w:r>
        <w:t>rural).</w:t>
      </w:r>
      <w:r>
        <w:rPr>
          <w:spacing w:val="-3"/>
        </w:rPr>
        <w:t xml:space="preserve"> </w:t>
      </w:r>
      <w:r>
        <w:t>For</w:t>
      </w:r>
      <w:r>
        <w:rPr>
          <w:spacing w:val="-3"/>
        </w:rPr>
        <w:t xml:space="preserve"> </w:t>
      </w:r>
      <w:r>
        <w:t>example,</w:t>
      </w:r>
      <w:r>
        <w:rPr>
          <w:spacing w:val="-3"/>
        </w:rPr>
        <w:t xml:space="preserve"> </w:t>
      </w:r>
      <w:r>
        <w:t>urbanicity</w:t>
      </w:r>
      <w:r>
        <w:rPr>
          <w:spacing w:val="-3"/>
        </w:rPr>
        <w:t xml:space="preserve"> </w:t>
      </w:r>
      <w:r>
        <w:t>categories</w:t>
      </w:r>
      <w:r>
        <w:rPr>
          <w:spacing w:val="-3"/>
        </w:rPr>
        <w:t xml:space="preserve"> </w:t>
      </w:r>
      <w:r>
        <w:t>1,</w:t>
      </w:r>
      <w:r>
        <w:rPr>
          <w:spacing w:val="-3"/>
        </w:rPr>
        <w:t xml:space="preserve"> </w:t>
      </w:r>
      <w:r>
        <w:t>2,</w:t>
      </w:r>
      <w:r>
        <w:rPr>
          <w:spacing w:val="-3"/>
        </w:rPr>
        <w:t xml:space="preserve"> </w:t>
      </w:r>
      <w:r>
        <w:t>and</w:t>
      </w:r>
      <w:r>
        <w:rPr>
          <w:spacing w:val="-3"/>
        </w:rPr>
        <w:t xml:space="preserve"> </w:t>
      </w:r>
      <w:r>
        <w:t>3</w:t>
      </w:r>
      <w:r>
        <w:rPr>
          <w:spacing w:val="-3"/>
        </w:rPr>
        <w:t xml:space="preserve"> </w:t>
      </w:r>
      <w:r>
        <w:t>within</w:t>
      </w:r>
      <w:r>
        <w:rPr>
          <w:spacing w:val="-3"/>
        </w:rPr>
        <w:t xml:space="preserve"> </w:t>
      </w:r>
      <w:r>
        <w:t>city</w:t>
      </w:r>
      <w:r>
        <w:rPr>
          <w:spacing w:val="-3"/>
        </w:rPr>
        <w:t xml:space="preserve"> </w:t>
      </w:r>
      <w:r>
        <w:t>were</w:t>
      </w:r>
      <w:r>
        <w:rPr>
          <w:spacing w:val="-3"/>
        </w:rPr>
        <w:t xml:space="preserve"> </w:t>
      </w:r>
      <w:r>
        <w:t>collapsed</w:t>
      </w:r>
      <w:r>
        <w:rPr>
          <w:spacing w:val="-3"/>
        </w:rPr>
        <w:t xml:space="preserve"> </w:t>
      </w:r>
      <w:r>
        <w:t>(1</w:t>
      </w:r>
      <w:r>
        <w:rPr>
          <w:spacing w:val="-3"/>
        </w:rPr>
        <w:t xml:space="preserve"> </w:t>
      </w:r>
      <w:r>
        <w:t>with</w:t>
      </w:r>
      <w:r>
        <w:rPr>
          <w:spacing w:val="-3"/>
        </w:rPr>
        <w:t xml:space="preserve"> </w:t>
      </w:r>
      <w:r>
        <w:t>2,</w:t>
      </w:r>
      <w:r>
        <w:rPr>
          <w:spacing w:val="-3"/>
        </w:rPr>
        <w:t xml:space="preserve"> </w:t>
      </w:r>
      <w:r>
        <w:t>2</w:t>
      </w:r>
      <w:r>
        <w:rPr>
          <w:spacing w:val="-3"/>
        </w:rPr>
        <w:t xml:space="preserve"> </w:t>
      </w:r>
      <w:r>
        <w:t>with</w:t>
      </w:r>
      <w:r>
        <w:rPr>
          <w:spacing w:val="-3"/>
        </w:rPr>
        <w:t xml:space="preserve"> </w:t>
      </w:r>
      <w:r>
        <w:t>3)</w:t>
      </w:r>
      <w:r>
        <w:rPr>
          <w:spacing w:val="-3"/>
        </w:rPr>
        <w:t xml:space="preserve"> </w:t>
      </w:r>
      <w:r>
        <w:t>if</w:t>
      </w:r>
      <w:r>
        <w:rPr>
          <w:spacing w:val="-3"/>
        </w:rPr>
        <w:t xml:space="preserve"> </w:t>
      </w:r>
      <w:r>
        <w:t>cells</w:t>
      </w:r>
      <w:r>
        <w:rPr>
          <w:spacing w:val="-3"/>
        </w:rPr>
        <w:t xml:space="preserve"> </w:t>
      </w:r>
      <w:r>
        <w:t>1</w:t>
      </w:r>
      <w:r>
        <w:rPr>
          <w:spacing w:val="-3"/>
        </w:rPr>
        <w:t xml:space="preserve"> </w:t>
      </w:r>
      <w:r>
        <w:t>or 3</w:t>
      </w:r>
      <w:r>
        <w:rPr>
          <w:spacing w:val="-4"/>
        </w:rPr>
        <w:t xml:space="preserve"> </w:t>
      </w:r>
      <w:r>
        <w:t>were</w:t>
      </w:r>
      <w:r>
        <w:rPr>
          <w:spacing w:val="-4"/>
        </w:rPr>
        <w:t xml:space="preserve"> </w:t>
      </w:r>
      <w:r>
        <w:t>deficient.</w:t>
      </w:r>
      <w:r>
        <w:rPr>
          <w:spacing w:val="-4"/>
        </w:rPr>
        <w:t xml:space="preserve"> </w:t>
      </w:r>
      <w:r>
        <w:t>If</w:t>
      </w:r>
      <w:r>
        <w:rPr>
          <w:spacing w:val="-4"/>
        </w:rPr>
        <w:t xml:space="preserve"> </w:t>
      </w:r>
      <w:r>
        <w:t>the</w:t>
      </w:r>
      <w:r>
        <w:rPr>
          <w:spacing w:val="-4"/>
        </w:rPr>
        <w:t xml:space="preserve"> </w:t>
      </w:r>
      <w:r>
        <w:t>middle</w:t>
      </w:r>
      <w:r>
        <w:rPr>
          <w:spacing w:val="-4"/>
        </w:rPr>
        <w:t xml:space="preserve"> </w:t>
      </w:r>
      <w:r>
        <w:t>cell</w:t>
      </w:r>
      <w:r>
        <w:rPr>
          <w:spacing w:val="-4"/>
        </w:rPr>
        <w:t xml:space="preserve"> </w:t>
      </w:r>
      <w:r>
        <w:t>(e.g.,</w:t>
      </w:r>
      <w:r>
        <w:rPr>
          <w:spacing w:val="-4"/>
        </w:rPr>
        <w:t xml:space="preserve"> </w:t>
      </w:r>
      <w:r>
        <w:t>2)</w:t>
      </w:r>
      <w:r>
        <w:rPr>
          <w:spacing w:val="-4"/>
        </w:rPr>
        <w:t xml:space="preserve"> </w:t>
      </w:r>
      <w:r>
        <w:t>was</w:t>
      </w:r>
      <w:r>
        <w:rPr>
          <w:spacing w:val="-4"/>
        </w:rPr>
        <w:t xml:space="preserve"> </w:t>
      </w:r>
      <w:r>
        <w:t>deficient,</w:t>
      </w:r>
      <w:r>
        <w:rPr>
          <w:spacing w:val="-4"/>
        </w:rPr>
        <w:t xml:space="preserve"> </w:t>
      </w:r>
      <w:r>
        <w:t>then</w:t>
      </w:r>
      <w:r>
        <w:rPr>
          <w:spacing w:val="-4"/>
        </w:rPr>
        <w:t xml:space="preserve"> </w:t>
      </w:r>
      <w:r>
        <w:t>it</w:t>
      </w:r>
      <w:r>
        <w:rPr>
          <w:spacing w:val="-4"/>
        </w:rPr>
        <w:t xml:space="preserve"> </w:t>
      </w:r>
      <w:r>
        <w:t>was</w:t>
      </w:r>
      <w:r>
        <w:rPr>
          <w:spacing w:val="-4"/>
        </w:rPr>
        <w:t xml:space="preserve"> </w:t>
      </w:r>
      <w:r>
        <w:t>collapsed</w:t>
      </w:r>
      <w:r>
        <w:rPr>
          <w:spacing w:val="-4"/>
        </w:rPr>
        <w:t xml:space="preserve"> </w:t>
      </w:r>
      <w:r>
        <w:t>with</w:t>
      </w:r>
      <w:r>
        <w:rPr>
          <w:spacing w:val="-4"/>
        </w:rPr>
        <w:t xml:space="preserve"> </w:t>
      </w:r>
      <w:r>
        <w:t>the</w:t>
      </w:r>
      <w:r>
        <w:rPr>
          <w:spacing w:val="-4"/>
        </w:rPr>
        <w:t xml:space="preserve"> </w:t>
      </w:r>
      <w:r>
        <w:t>smaller</w:t>
      </w:r>
      <w:r>
        <w:rPr>
          <w:spacing w:val="-4"/>
        </w:rPr>
        <w:t xml:space="preserve"> </w:t>
      </w:r>
      <w:r>
        <w:t>of</w:t>
      </w:r>
      <w:r>
        <w:rPr>
          <w:spacing w:val="-4"/>
        </w:rPr>
        <w:t xml:space="preserve"> </w:t>
      </w:r>
      <w:r>
        <w:t>the</w:t>
      </w:r>
      <w:r>
        <w:rPr>
          <w:spacing w:val="-4"/>
        </w:rPr>
        <w:t xml:space="preserve"> </w:t>
      </w:r>
      <w:r>
        <w:t>two</w:t>
      </w:r>
      <w:r>
        <w:rPr>
          <w:spacing w:val="-4"/>
        </w:rPr>
        <w:t xml:space="preserve"> </w:t>
      </w:r>
      <w:r>
        <w:t>end</w:t>
      </w:r>
      <w:r>
        <w:rPr>
          <w:spacing w:val="-4"/>
        </w:rPr>
        <w:t xml:space="preserve"> </w:t>
      </w:r>
      <w:r>
        <w:t>cells.</w:t>
      </w:r>
      <w:r>
        <w:rPr>
          <w:spacing w:val="-4"/>
        </w:rPr>
        <w:t xml:space="preserve"> </w:t>
      </w:r>
      <w:r>
        <w:t>If</w:t>
      </w:r>
      <w:r>
        <w:rPr>
          <w:spacing w:val="-4"/>
        </w:rPr>
        <w:t xml:space="preserve"> </w:t>
      </w:r>
      <w:r>
        <w:t>a</w:t>
      </w:r>
      <w:r>
        <w:rPr>
          <w:spacing w:val="-4"/>
        </w:rPr>
        <w:t xml:space="preserve"> </w:t>
      </w:r>
      <w:r>
        <w:t>collapsed</w:t>
      </w:r>
      <w:r>
        <w:rPr>
          <w:spacing w:val="-4"/>
        </w:rPr>
        <w:t xml:space="preserve"> </w:t>
      </w:r>
      <w:r>
        <w:t>pair</w:t>
      </w:r>
      <w:r>
        <w:rPr>
          <w:spacing w:val="-4"/>
        </w:rPr>
        <w:t xml:space="preserve"> </w:t>
      </w:r>
      <w:r>
        <w:t>was</w:t>
      </w:r>
      <w:r>
        <w:rPr>
          <w:spacing w:val="-4"/>
        </w:rPr>
        <w:t xml:space="preserve"> </w:t>
      </w:r>
      <w:r>
        <w:t>still</w:t>
      </w:r>
      <w:r>
        <w:rPr>
          <w:spacing w:val="-4"/>
        </w:rPr>
        <w:t xml:space="preserve"> </w:t>
      </w:r>
      <w:r>
        <w:t>deficient,</w:t>
      </w:r>
      <w:r>
        <w:rPr>
          <w:spacing w:val="-4"/>
        </w:rPr>
        <w:t xml:space="preserve"> </w:t>
      </w:r>
      <w:r>
        <w:t>it</w:t>
      </w:r>
      <w:r>
        <w:rPr>
          <w:spacing w:val="-4"/>
        </w:rPr>
        <w:t xml:space="preserve"> </w:t>
      </w:r>
      <w:r>
        <w:t>was</w:t>
      </w:r>
      <w:r>
        <w:rPr>
          <w:spacing w:val="-4"/>
        </w:rPr>
        <w:t xml:space="preserve"> </w:t>
      </w:r>
      <w:r>
        <w:t>collapsed</w:t>
      </w:r>
      <w:r>
        <w:rPr>
          <w:spacing w:val="-4"/>
        </w:rPr>
        <w:t xml:space="preserve"> </w:t>
      </w:r>
      <w:r>
        <w:t>with the</w:t>
      </w:r>
      <w:r>
        <w:rPr>
          <w:spacing w:val="-6"/>
        </w:rPr>
        <w:t xml:space="preserve"> </w:t>
      </w:r>
      <w:r>
        <w:t>remaining</w:t>
      </w:r>
      <w:r>
        <w:rPr>
          <w:spacing w:val="-6"/>
        </w:rPr>
        <w:t xml:space="preserve"> </w:t>
      </w:r>
      <w:r>
        <w:t>unit</w:t>
      </w:r>
      <w:r>
        <w:rPr>
          <w:spacing w:val="-6"/>
        </w:rPr>
        <w:t xml:space="preserve"> </w:t>
      </w:r>
      <w:r>
        <w:t>within</w:t>
      </w:r>
      <w:r>
        <w:rPr>
          <w:spacing w:val="-6"/>
        </w:rPr>
        <w:t xml:space="preserve"> </w:t>
      </w:r>
      <w:r>
        <w:t>the</w:t>
      </w:r>
      <w:r>
        <w:rPr>
          <w:spacing w:val="-6"/>
        </w:rPr>
        <w:t xml:space="preserve"> </w:t>
      </w:r>
      <w:r>
        <w:t>major</w:t>
      </w:r>
      <w:r>
        <w:rPr>
          <w:spacing w:val="-6"/>
        </w:rPr>
        <w:t xml:space="preserve"> </w:t>
      </w:r>
      <w:r>
        <w:t>stratum.</w:t>
      </w:r>
      <w:r>
        <w:rPr>
          <w:spacing w:val="-10"/>
        </w:rPr>
        <w:t xml:space="preserve"> </w:t>
      </w:r>
      <w:r>
        <w:t>That</w:t>
      </w:r>
      <w:r>
        <w:rPr>
          <w:spacing w:val="-6"/>
        </w:rPr>
        <w:t xml:space="preserve"> </w:t>
      </w:r>
      <w:r>
        <w:t>is,</w:t>
      </w:r>
      <w:r>
        <w:rPr>
          <w:spacing w:val="-6"/>
        </w:rPr>
        <w:t xml:space="preserve"> </w:t>
      </w:r>
      <w:r>
        <w:t>a</w:t>
      </w:r>
      <w:r>
        <w:rPr>
          <w:spacing w:val="-6"/>
        </w:rPr>
        <w:t xml:space="preserve"> </w:t>
      </w:r>
      <w:r>
        <w:t>single</w:t>
      </w:r>
      <w:r>
        <w:rPr>
          <w:spacing w:val="-6"/>
        </w:rPr>
        <w:t xml:space="preserve"> </w:t>
      </w:r>
      <w:r>
        <w:t>city</w:t>
      </w:r>
      <w:r>
        <w:rPr>
          <w:spacing w:val="-6"/>
        </w:rPr>
        <w:t xml:space="preserve"> </w:t>
      </w:r>
      <w:r>
        <w:t>cell</w:t>
      </w:r>
      <w:r>
        <w:rPr>
          <w:spacing w:val="-6"/>
        </w:rPr>
        <w:t xml:space="preserve"> </w:t>
      </w:r>
      <w:r>
        <w:t>would</w:t>
      </w:r>
      <w:r>
        <w:rPr>
          <w:spacing w:val="-6"/>
        </w:rPr>
        <w:t xml:space="preserve"> </w:t>
      </w:r>
      <w:r>
        <w:t>be</w:t>
      </w:r>
      <w:r>
        <w:rPr>
          <w:spacing w:val="-6"/>
        </w:rPr>
        <w:t xml:space="preserve"> </w:t>
      </w:r>
      <w:r>
        <w:t>created</w:t>
      </w:r>
      <w:r>
        <w:rPr>
          <w:spacing w:val="-6"/>
        </w:rPr>
        <w:t xml:space="preserve"> </w:t>
      </w:r>
      <w:r>
        <w:t>by</w:t>
      </w:r>
      <w:r>
        <w:rPr>
          <w:spacing w:val="-6"/>
        </w:rPr>
        <w:t xml:space="preserve"> </w:t>
      </w:r>
      <w:r>
        <w:t>collapsing</w:t>
      </w:r>
      <w:r>
        <w:rPr>
          <w:spacing w:val="-6"/>
        </w:rPr>
        <w:t xml:space="preserve"> </w:t>
      </w:r>
      <w:r>
        <w:t>the</w:t>
      </w:r>
      <w:r>
        <w:rPr>
          <w:spacing w:val="-6"/>
        </w:rPr>
        <w:t xml:space="preserve"> </w:t>
      </w:r>
      <w:r>
        <w:t>large</w:t>
      </w:r>
      <w:r>
        <w:rPr>
          <w:spacing w:val="-6"/>
        </w:rPr>
        <w:t xml:space="preserve"> </w:t>
      </w:r>
      <w:r>
        <w:t>city,</w:t>
      </w:r>
      <w:r>
        <w:rPr>
          <w:spacing w:val="-6"/>
        </w:rPr>
        <w:t xml:space="preserve"> </w:t>
      </w:r>
      <w:r>
        <w:t>mid-size</w:t>
      </w:r>
      <w:r>
        <w:rPr>
          <w:spacing w:val="-6"/>
        </w:rPr>
        <w:t xml:space="preserve"> </w:t>
      </w:r>
      <w:r>
        <w:t>city,</w:t>
      </w:r>
      <w:r>
        <w:rPr>
          <w:spacing w:val="-6"/>
        </w:rPr>
        <w:t xml:space="preserve"> </w:t>
      </w:r>
      <w:r>
        <w:t>and</w:t>
      </w:r>
      <w:r>
        <w:rPr>
          <w:spacing w:val="-6"/>
        </w:rPr>
        <w:t xml:space="preserve"> </w:t>
      </w:r>
      <w:r>
        <w:t>small</w:t>
      </w:r>
      <w:r>
        <w:rPr>
          <w:spacing w:val="-6"/>
        </w:rPr>
        <w:t xml:space="preserve"> </w:t>
      </w:r>
      <w:r>
        <w:t>city</w:t>
      </w:r>
      <w:r>
        <w:rPr>
          <w:spacing w:val="-6"/>
        </w:rPr>
        <w:t xml:space="preserve"> </w:t>
      </w:r>
      <w:r>
        <w:t>cells.</w:t>
      </w:r>
      <w:r>
        <w:rPr>
          <w:spacing w:val="-6"/>
        </w:rPr>
        <w:t xml:space="preserve"> </w:t>
      </w:r>
      <w:r>
        <w:t>If</w:t>
      </w:r>
      <w:r>
        <w:rPr>
          <w:spacing w:val="-6"/>
        </w:rPr>
        <w:t xml:space="preserve"> </w:t>
      </w:r>
      <w:r>
        <w:t>a</w:t>
      </w:r>
      <w:r>
        <w:rPr>
          <w:spacing w:val="-6"/>
        </w:rPr>
        <w:t xml:space="preserve"> </w:t>
      </w:r>
      <w:r>
        <w:t>cell</w:t>
      </w:r>
      <w:r>
        <w:rPr>
          <w:spacing w:val="-6"/>
        </w:rPr>
        <w:t xml:space="preserve"> </w:t>
      </w:r>
      <w:r>
        <w:t>was</w:t>
      </w:r>
      <w:r>
        <w:rPr>
          <w:spacing w:val="-6"/>
        </w:rPr>
        <w:t xml:space="preserve"> </w:t>
      </w:r>
      <w:r>
        <w:t>still</w:t>
      </w:r>
      <w:r>
        <w:rPr>
          <w:spacing w:val="-6"/>
        </w:rPr>
        <w:t xml:space="preserve"> </w:t>
      </w:r>
      <w:r>
        <w:t>deficient after collapsing within major stratum, further collapsing across major strata occurred as needed until the deficiency was resolved.</w:t>
      </w:r>
      <w:r>
        <w:rPr>
          <w:spacing w:val="-3"/>
        </w:rPr>
        <w:t xml:space="preserve"> </w:t>
      </w:r>
      <w:r>
        <w:t>The values of the urbanicity classification variable were set equal to the cell value of the final level of collapsing.</w:t>
      </w:r>
    </w:p>
    <w:p w:rsidR="003F5784" w14:paraId="35B8442B" w14:textId="77777777">
      <w:pPr>
        <w:pStyle w:val="BodyText"/>
        <w:spacing w:before="211" w:line="232" w:lineRule="auto"/>
        <w:ind w:left="109" w:right="179"/>
      </w:pPr>
      <w:r>
        <w:t>Prior</w:t>
      </w:r>
      <w:r>
        <w:rPr>
          <w:spacing w:val="-6"/>
        </w:rPr>
        <w:t xml:space="preserve"> </w:t>
      </w:r>
      <w:r>
        <w:t>experience</w:t>
      </w:r>
      <w:r>
        <w:rPr>
          <w:spacing w:val="-6"/>
        </w:rPr>
        <w:t xml:space="preserve"> </w:t>
      </w:r>
      <w:r>
        <w:t>with</w:t>
      </w:r>
      <w:r>
        <w:rPr>
          <w:spacing w:val="-6"/>
        </w:rPr>
        <w:t xml:space="preserve"> </w:t>
      </w:r>
      <w:r>
        <w:t>this</w:t>
      </w:r>
      <w:r>
        <w:rPr>
          <w:spacing w:val="-6"/>
        </w:rPr>
        <w:t xml:space="preserve"> </w:t>
      </w:r>
      <w:r>
        <w:t>type</w:t>
      </w:r>
      <w:r>
        <w:rPr>
          <w:spacing w:val="-6"/>
        </w:rPr>
        <w:t xml:space="preserve"> </w:t>
      </w:r>
      <w:r>
        <w:t>of</w:t>
      </w:r>
      <w:r>
        <w:rPr>
          <w:spacing w:val="-6"/>
        </w:rPr>
        <w:t xml:space="preserve"> </w:t>
      </w:r>
      <w:r>
        <w:t>stratification</w:t>
      </w:r>
      <w:r>
        <w:rPr>
          <w:spacing w:val="-6"/>
        </w:rPr>
        <w:t xml:space="preserve"> </w:t>
      </w:r>
      <w:r>
        <w:t>has</w:t>
      </w:r>
      <w:r>
        <w:rPr>
          <w:spacing w:val="-6"/>
        </w:rPr>
        <w:t xml:space="preserve"> </w:t>
      </w:r>
      <w:r>
        <w:t>shown</w:t>
      </w:r>
      <w:r>
        <w:rPr>
          <w:spacing w:val="-6"/>
        </w:rPr>
        <w:t xml:space="preserve"> </w:t>
      </w:r>
      <w:r>
        <w:t>that</w:t>
      </w:r>
      <w:r>
        <w:rPr>
          <w:spacing w:val="-6"/>
        </w:rPr>
        <w:t xml:space="preserve"> </w:t>
      </w:r>
      <w:r>
        <w:t>the</w:t>
      </w:r>
      <w:r>
        <w:rPr>
          <w:spacing w:val="-6"/>
        </w:rPr>
        <w:t xml:space="preserve"> </w:t>
      </w:r>
      <w:r>
        <w:t>greatest</w:t>
      </w:r>
      <w:r>
        <w:rPr>
          <w:spacing w:val="-6"/>
        </w:rPr>
        <w:t xml:space="preserve"> </w:t>
      </w:r>
      <w:r>
        <w:t>efficiency</w:t>
      </w:r>
      <w:r>
        <w:rPr>
          <w:spacing w:val="-6"/>
        </w:rPr>
        <w:t xml:space="preserve"> </w:t>
      </w:r>
      <w:r>
        <w:t>of</w:t>
      </w:r>
      <w:r>
        <w:rPr>
          <w:spacing w:val="-6"/>
        </w:rPr>
        <w:t xml:space="preserve"> </w:t>
      </w:r>
      <w:r>
        <w:t>stratification</w:t>
      </w:r>
      <w:r>
        <w:rPr>
          <w:spacing w:val="-6"/>
        </w:rPr>
        <w:t xml:space="preserve"> </w:t>
      </w:r>
      <w:r>
        <w:t>results</w:t>
      </w:r>
      <w:r>
        <w:rPr>
          <w:spacing w:val="-6"/>
        </w:rPr>
        <w:t xml:space="preserve"> </w:t>
      </w:r>
      <w:r>
        <w:t>when</w:t>
      </w:r>
      <w:r>
        <w:rPr>
          <w:spacing w:val="-6"/>
        </w:rPr>
        <w:t xml:space="preserve"> </w:t>
      </w:r>
      <w:r>
        <w:t>cities</w:t>
      </w:r>
      <w:r>
        <w:rPr>
          <w:spacing w:val="-6"/>
        </w:rPr>
        <w:t xml:space="preserve"> </w:t>
      </w:r>
      <w:r>
        <w:t>and</w:t>
      </w:r>
      <w:r>
        <w:rPr>
          <w:spacing w:val="-6"/>
        </w:rPr>
        <w:t xml:space="preserve"> </w:t>
      </w:r>
      <w:r>
        <w:t>suburb</w:t>
      </w:r>
      <w:r>
        <w:rPr>
          <w:spacing w:val="-6"/>
        </w:rPr>
        <w:t xml:space="preserve"> </w:t>
      </w:r>
      <w:r>
        <w:t>areas</w:t>
      </w:r>
      <w:r>
        <w:rPr>
          <w:spacing w:val="-6"/>
        </w:rPr>
        <w:t xml:space="preserve"> </w:t>
      </w:r>
      <w:r>
        <w:t>are</w:t>
      </w:r>
      <w:r>
        <w:rPr>
          <w:spacing w:val="-6"/>
        </w:rPr>
        <w:t xml:space="preserve"> </w:t>
      </w:r>
      <w:r>
        <w:t>always</w:t>
      </w:r>
      <w:r>
        <w:rPr>
          <w:spacing w:val="-6"/>
        </w:rPr>
        <w:t xml:space="preserve"> </w:t>
      </w:r>
      <w:r>
        <w:t>kept</w:t>
      </w:r>
      <w:r>
        <w:rPr>
          <w:spacing w:val="-6"/>
        </w:rPr>
        <w:t xml:space="preserve"> </w:t>
      </w:r>
      <w:r>
        <w:t>separate</w:t>
      </w:r>
      <w:r>
        <w:rPr>
          <w:spacing w:val="-6"/>
        </w:rPr>
        <w:t xml:space="preserve"> </w:t>
      </w:r>
      <w:r>
        <w:t>from</w:t>
      </w:r>
      <w:r>
        <w:rPr>
          <w:spacing w:val="-6"/>
        </w:rPr>
        <w:t xml:space="preserve"> </w:t>
      </w:r>
      <w:r>
        <w:t>towns and rural areas, even if the enrollment criterion is violated.</w:t>
      </w:r>
    </w:p>
    <w:p w:rsidR="003F5784" w14:paraId="791C08AC" w14:textId="77777777">
      <w:pPr>
        <w:pStyle w:val="BodyText"/>
      </w:pPr>
    </w:p>
    <w:p w:rsidR="003F5784" w14:paraId="4385B3A2" w14:textId="77777777">
      <w:pPr>
        <w:pStyle w:val="BodyText"/>
      </w:pPr>
    </w:p>
    <w:p w:rsidR="003F5784" w14:paraId="7B491F25" w14:textId="77777777">
      <w:pPr>
        <w:pStyle w:val="BodyText"/>
        <w:spacing w:before="145"/>
      </w:pPr>
    </w:p>
    <w:p w:rsidR="003F5784" w14:paraId="3F3CD1B7" w14:textId="77777777">
      <w:pPr>
        <w:ind w:left="4114"/>
        <w:rPr>
          <w:sz w:val="18"/>
        </w:rPr>
      </w:pPr>
      <w:hyperlink r:id="rId364">
        <w:r>
          <w:rPr>
            <w:spacing w:val="-2"/>
            <w:w w:val="105"/>
            <w:sz w:val="18"/>
          </w:rPr>
          <w:t>http://nces.ed.gov/nationsreportcard/tdw/sample_design/2022/stratification_by_urbanicity_classification_for_the_2022_state_assessment.aspx</w:t>
        </w:r>
      </w:hyperlink>
    </w:p>
    <w:p w:rsidR="003F5784" w14:paraId="1B463C50" w14:textId="77777777">
      <w:pPr>
        <w:pStyle w:val="BodyText"/>
        <w:spacing w:before="1"/>
        <w:rPr>
          <w:sz w:val="16"/>
        </w:rPr>
      </w:pPr>
      <w:r>
        <w:rPr>
          <w:noProof/>
        </w:rPr>
        <mc:AlternateContent>
          <mc:Choice Requires="wps">
            <w:drawing>
              <wp:anchor distT="0" distB="0" distL="0" distR="0" simplePos="0" relativeHeight="251956224" behindDoc="1" locked="0" layoutInCell="1" allowOverlap="1">
                <wp:simplePos x="0" y="0"/>
                <wp:positionH relativeFrom="page">
                  <wp:posOffset>361937</wp:posOffset>
                </wp:positionH>
                <wp:positionV relativeFrom="paragraph">
                  <wp:posOffset>132875</wp:posOffset>
                </wp:positionV>
                <wp:extent cx="9339580" cy="8890"/>
                <wp:effectExtent l="0" t="0" r="0" b="0"/>
                <wp:wrapTopAndBottom/>
                <wp:docPr id="464" name="Graphic 464"/>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63"/>
                              </a:moveTo>
                              <a:lnTo>
                                <a:pt x="9335110" y="63"/>
                              </a:lnTo>
                              <a:lnTo>
                                <a:pt x="8280" y="63"/>
                              </a:lnTo>
                              <a:lnTo>
                                <a:pt x="0" y="0"/>
                              </a:lnTo>
                              <a:lnTo>
                                <a:pt x="0" y="8267"/>
                              </a:lnTo>
                              <a:lnTo>
                                <a:pt x="9335110" y="8331"/>
                              </a:lnTo>
                              <a:lnTo>
                                <a:pt x="9338970" y="8331"/>
                              </a:lnTo>
                              <a:lnTo>
                                <a:pt x="9338970" y="63"/>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464" o:spid="_x0000_s1157" style="width:735.4pt;height:0.7pt;margin-top:10.45pt;margin-left:28.5pt;mso-position-horizontal-relative:page;mso-wrap-distance-bottom:0;mso-wrap-distance-left:0;mso-wrap-distance-right:0;mso-wrap-distance-top:0;mso-wrap-style:square;position:absolute;visibility:visible;v-text-anchor:top;z-index:-251359232" coordsize="9339580,8890" path="m9338970,63l9335110,63l8280,63,,,,8267l9335110,8331l9338970,8331l9338970,63xe" fillcolor="gray" stroked="f">
                <v:path arrowok="t"/>
                <w10:wrap type="topAndBottom"/>
              </v:shape>
            </w:pict>
          </mc:Fallback>
        </mc:AlternateContent>
      </w:r>
    </w:p>
    <w:p w:rsidR="003F5784" w14:paraId="708492F0" w14:textId="77777777">
      <w:pPr>
        <w:pStyle w:val="BodyText"/>
        <w:rPr>
          <w:sz w:val="18"/>
        </w:rPr>
      </w:pPr>
    </w:p>
    <w:p w:rsidR="003F5784" w14:paraId="29060523" w14:textId="77777777">
      <w:pPr>
        <w:pStyle w:val="BodyText"/>
        <w:spacing w:before="193"/>
        <w:rPr>
          <w:sz w:val="18"/>
        </w:rPr>
      </w:pPr>
    </w:p>
    <w:p w:rsidR="003F5784" w14:paraId="66FFE49B" w14:textId="37BADC2F">
      <w:pPr>
        <w:pStyle w:val="Heading1"/>
        <w:spacing w:line="244" w:lineRule="auto"/>
      </w:pPr>
      <w:r>
        <w:t>NAEP</w:t>
      </w:r>
      <w:r>
        <w:rPr>
          <w:spacing w:val="-16"/>
        </w:rPr>
        <w:t xml:space="preserve"> </w:t>
      </w:r>
      <w:r>
        <w:t>Technical Documentation</w:t>
      </w:r>
      <w:r w:rsidR="00E3225D">
        <w:t xml:space="preserve"> </w:t>
      </w:r>
      <w:r>
        <w:t xml:space="preserve">Student Sample Selection for the 2022 State </w:t>
      </w:r>
      <w:r>
        <w:rPr>
          <w:spacing w:val="-2"/>
        </w:rPr>
        <w:t>Assessment</w:t>
      </w:r>
    </w:p>
    <w:p w:rsidR="003F5784" w14:paraId="01F206CC" w14:textId="77777777">
      <w:pPr>
        <w:pStyle w:val="BodyText"/>
        <w:spacing w:before="287" w:line="232" w:lineRule="auto"/>
        <w:ind w:left="109"/>
      </w:pPr>
      <w:r>
        <w:t>The</w:t>
      </w:r>
      <w:r>
        <w:rPr>
          <w:spacing w:val="-6"/>
        </w:rPr>
        <w:t xml:space="preserve"> </w:t>
      </w:r>
      <w:r>
        <w:t>sampling</w:t>
      </w:r>
      <w:r>
        <w:rPr>
          <w:spacing w:val="-6"/>
        </w:rPr>
        <w:t xml:space="preserve"> </w:t>
      </w:r>
      <w:r>
        <w:t>of</w:t>
      </w:r>
      <w:r>
        <w:rPr>
          <w:spacing w:val="-6"/>
        </w:rPr>
        <w:t xml:space="preserve"> </w:t>
      </w:r>
      <w:r>
        <w:t>students</w:t>
      </w:r>
      <w:r>
        <w:rPr>
          <w:spacing w:val="-6"/>
        </w:rPr>
        <w:t xml:space="preserve"> </w:t>
      </w:r>
      <w:r>
        <w:t>for</w:t>
      </w:r>
      <w:r>
        <w:rPr>
          <w:spacing w:val="-6"/>
        </w:rPr>
        <w:t xml:space="preserve"> </w:t>
      </w:r>
      <w:r>
        <w:t>the</w:t>
      </w:r>
      <w:r>
        <w:rPr>
          <w:spacing w:val="-6"/>
        </w:rPr>
        <w:t xml:space="preserve"> </w:t>
      </w:r>
      <w:r>
        <w:t>state</w:t>
      </w:r>
      <w:r>
        <w:rPr>
          <w:spacing w:val="-6"/>
        </w:rPr>
        <w:t xml:space="preserve"> </w:t>
      </w:r>
      <w:r>
        <w:t>assessments</w:t>
      </w:r>
      <w:r>
        <w:rPr>
          <w:spacing w:val="-6"/>
        </w:rPr>
        <w:t xml:space="preserve"> </w:t>
      </w:r>
      <w:r>
        <w:t>in</w:t>
      </w:r>
      <w:r>
        <w:rPr>
          <w:spacing w:val="-6"/>
        </w:rPr>
        <w:t xml:space="preserve"> </w:t>
      </w:r>
      <w:r>
        <w:t>mathematics</w:t>
      </w:r>
      <w:r>
        <w:rPr>
          <w:spacing w:val="-6"/>
        </w:rPr>
        <w:t xml:space="preserve"> </w:t>
      </w:r>
      <w:r>
        <w:t>and</w:t>
      </w:r>
      <w:r>
        <w:rPr>
          <w:spacing w:val="-6"/>
        </w:rPr>
        <w:t xml:space="preserve"> </w:t>
      </w:r>
      <w:r>
        <w:t>reading</w:t>
      </w:r>
      <w:r>
        <w:rPr>
          <w:spacing w:val="-6"/>
        </w:rPr>
        <w:t xml:space="preserve"> </w:t>
      </w:r>
      <w:r>
        <w:t>involved</w:t>
      </w:r>
      <w:r>
        <w:rPr>
          <w:spacing w:val="-6"/>
        </w:rPr>
        <w:t xml:space="preserve"> </w:t>
      </w:r>
      <w:r>
        <w:t>two</w:t>
      </w:r>
      <w:r>
        <w:rPr>
          <w:spacing w:val="-6"/>
        </w:rPr>
        <w:t xml:space="preserve"> </w:t>
      </w:r>
      <w:r>
        <w:t>steps:</w:t>
      </w:r>
      <w:r>
        <w:rPr>
          <w:spacing w:val="-6"/>
        </w:rPr>
        <w:t xml:space="preserve"> </w:t>
      </w:r>
      <w:r>
        <w:t>(1)</w:t>
      </w:r>
      <w:r>
        <w:rPr>
          <w:spacing w:val="-6"/>
        </w:rPr>
        <w:t xml:space="preserve"> </w:t>
      </w:r>
      <w:r>
        <w:t>sampling</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targeted</w:t>
      </w:r>
      <w:r>
        <w:rPr>
          <w:spacing w:val="-6"/>
        </w:rPr>
        <w:t xml:space="preserve"> </w:t>
      </w:r>
      <w:r>
        <w:t>grade</w:t>
      </w:r>
      <w:r>
        <w:rPr>
          <w:spacing w:val="-6"/>
        </w:rPr>
        <w:t xml:space="preserve"> </w:t>
      </w:r>
      <w:r>
        <w:t>(fourth</w:t>
      </w:r>
      <w:r>
        <w:rPr>
          <w:spacing w:val="-6"/>
        </w:rPr>
        <w:t xml:space="preserve"> </w:t>
      </w:r>
      <w:r>
        <w:t>or</w:t>
      </w:r>
      <w:r>
        <w:rPr>
          <w:spacing w:val="-6"/>
        </w:rPr>
        <w:t xml:space="preserve"> </w:t>
      </w:r>
      <w:r>
        <w:t>eighth)</w:t>
      </w:r>
      <w:r>
        <w:rPr>
          <w:spacing w:val="-6"/>
        </w:rPr>
        <w:t xml:space="preserve"> </w:t>
      </w:r>
      <w:r>
        <w:t>from</w:t>
      </w:r>
      <w:r>
        <w:rPr>
          <w:spacing w:val="-6"/>
        </w:rPr>
        <w:t xml:space="preserve"> </w:t>
      </w:r>
      <w:r>
        <w:t>each sampled school, and (2) assignment of assessment subject (mathematics or reading) to the sampled students.</w:t>
      </w:r>
    </w:p>
    <w:p w:rsidR="003F5784" w14:paraId="3CFB7695" w14:textId="77777777">
      <w:pPr>
        <w:pStyle w:val="Heading2"/>
        <w:spacing w:before="203"/>
        <w:ind w:left="109"/>
      </w:pPr>
      <w:r>
        <w:t>Sampling</w:t>
      </w:r>
      <w:r>
        <w:rPr>
          <w:spacing w:val="-9"/>
        </w:rPr>
        <w:t xml:space="preserve"> </w:t>
      </w:r>
      <w:r>
        <w:t>Students</w:t>
      </w:r>
      <w:r>
        <w:rPr>
          <w:spacing w:val="-8"/>
        </w:rPr>
        <w:t xml:space="preserve"> </w:t>
      </w:r>
      <w:r>
        <w:t>within</w:t>
      </w:r>
      <w:r>
        <w:rPr>
          <w:spacing w:val="-9"/>
        </w:rPr>
        <w:t xml:space="preserve"> </w:t>
      </w:r>
      <w:r>
        <w:t>Sampled</w:t>
      </w:r>
      <w:r>
        <w:rPr>
          <w:spacing w:val="-8"/>
        </w:rPr>
        <w:t xml:space="preserve"> </w:t>
      </w:r>
      <w:r>
        <w:rPr>
          <w:spacing w:val="-2"/>
        </w:rPr>
        <w:t>Schools</w:t>
      </w:r>
    </w:p>
    <w:p w:rsidR="003F5784" w14:paraId="16010DFF" w14:textId="77777777">
      <w:pPr>
        <w:pStyle w:val="BodyText"/>
        <w:spacing w:before="208" w:line="232" w:lineRule="auto"/>
        <w:ind w:left="109" w:right="117"/>
      </w:pPr>
      <w:r>
        <w:t>Within</w:t>
      </w:r>
      <w:r>
        <w:rPr>
          <w:spacing w:val="-6"/>
        </w:rPr>
        <w:t xml:space="preserve"> </w:t>
      </w:r>
      <w:r>
        <w:t>each</w:t>
      </w:r>
      <w:r>
        <w:rPr>
          <w:spacing w:val="-6"/>
        </w:rPr>
        <w:t xml:space="preserve"> </w:t>
      </w:r>
      <w:r>
        <w:t>sampled</w:t>
      </w:r>
      <w:r>
        <w:rPr>
          <w:spacing w:val="-6"/>
        </w:rPr>
        <w:t xml:space="preserve"> </w:t>
      </w:r>
      <w:r>
        <w:t>school,</w:t>
      </w:r>
      <w:r>
        <w:rPr>
          <w:spacing w:val="-6"/>
        </w:rPr>
        <w:t xml:space="preserve"> </w:t>
      </w:r>
      <w:r>
        <w:t>a</w:t>
      </w:r>
      <w:r>
        <w:rPr>
          <w:spacing w:val="-6"/>
        </w:rPr>
        <w:t xml:space="preserve"> </w:t>
      </w:r>
      <w:r>
        <w:t>sample</w:t>
      </w:r>
      <w:r>
        <w:rPr>
          <w:spacing w:val="-6"/>
        </w:rPr>
        <w:t xml:space="preserve"> </w:t>
      </w:r>
      <w:r>
        <w:t>of</w:t>
      </w:r>
      <w:r>
        <w:rPr>
          <w:spacing w:val="-6"/>
        </w:rPr>
        <w:t xml:space="preserve"> </w:t>
      </w:r>
      <w:r>
        <w:t>students</w:t>
      </w:r>
      <w:r>
        <w:rPr>
          <w:spacing w:val="-6"/>
        </w:rPr>
        <w:t xml:space="preserve"> </w:t>
      </w:r>
      <w:r>
        <w:t>was</w:t>
      </w:r>
      <w:r>
        <w:rPr>
          <w:spacing w:val="-6"/>
        </w:rPr>
        <w:t xml:space="preserve"> </w:t>
      </w:r>
      <w:r>
        <w:t>selected</w:t>
      </w:r>
      <w:r>
        <w:rPr>
          <w:spacing w:val="-6"/>
        </w:rPr>
        <w:t xml:space="preserve"> </w:t>
      </w:r>
      <w:r>
        <w:t>from</w:t>
      </w:r>
      <w:r>
        <w:rPr>
          <w:spacing w:val="-6"/>
        </w:rPr>
        <w:t xml:space="preserve"> </w:t>
      </w:r>
      <w:r>
        <w:t>a</w:t>
      </w:r>
      <w:r>
        <w:rPr>
          <w:spacing w:val="-6"/>
        </w:rPr>
        <w:t xml:space="preserve"> </w:t>
      </w:r>
      <w:r>
        <w:t>list</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targeted</w:t>
      </w:r>
      <w:r>
        <w:rPr>
          <w:spacing w:val="-6"/>
        </w:rPr>
        <w:t xml:space="preserve"> </w:t>
      </w:r>
      <w:r>
        <w:t>grade</w:t>
      </w:r>
      <w:r>
        <w:rPr>
          <w:spacing w:val="-6"/>
        </w:rPr>
        <w:t xml:space="preserve"> </w:t>
      </w:r>
      <w:r>
        <w:t>such</w:t>
      </w:r>
      <w:r>
        <w:rPr>
          <w:spacing w:val="-6"/>
        </w:rPr>
        <w:t xml:space="preserve"> </w:t>
      </w:r>
      <w:r>
        <w:t>that</w:t>
      </w:r>
      <w:r>
        <w:rPr>
          <w:spacing w:val="-6"/>
        </w:rPr>
        <w:t xml:space="preserve"> </w:t>
      </w:r>
      <w:r>
        <w:t>every</w:t>
      </w:r>
      <w:r>
        <w:rPr>
          <w:spacing w:val="-6"/>
        </w:rPr>
        <w:t xml:space="preserve"> </w:t>
      </w:r>
      <w:r>
        <w:t>student</w:t>
      </w:r>
      <w:r>
        <w:rPr>
          <w:spacing w:val="-6"/>
        </w:rPr>
        <w:t xml:space="preserve"> </w:t>
      </w:r>
      <w:r>
        <w:t>had</w:t>
      </w:r>
      <w:r>
        <w:rPr>
          <w:spacing w:val="-6"/>
        </w:rPr>
        <w:t xml:space="preserve"> </w:t>
      </w:r>
      <w:r>
        <w:t>an</w:t>
      </w:r>
      <w:r>
        <w:rPr>
          <w:spacing w:val="-6"/>
        </w:rPr>
        <w:t xml:space="preserve"> </w:t>
      </w:r>
      <w:r>
        <w:t>equal</w:t>
      </w:r>
      <w:r>
        <w:rPr>
          <w:spacing w:val="-6"/>
        </w:rPr>
        <w:t xml:space="preserve"> </w:t>
      </w:r>
      <w:r>
        <w:t>chance</w:t>
      </w:r>
      <w:r>
        <w:rPr>
          <w:spacing w:val="-6"/>
        </w:rPr>
        <w:t xml:space="preserve"> </w:t>
      </w:r>
      <w:r>
        <w:t>of</w:t>
      </w:r>
      <w:r>
        <w:rPr>
          <w:spacing w:val="-6"/>
        </w:rPr>
        <w:t xml:space="preserve"> </w:t>
      </w:r>
      <w:r>
        <w:t>selection.</w:t>
      </w:r>
      <w:r>
        <w:rPr>
          <w:spacing w:val="-9"/>
        </w:rPr>
        <w:t xml:space="preserve"> </w:t>
      </w:r>
      <w:r>
        <w:t>The</w:t>
      </w:r>
      <w:r>
        <w:rPr>
          <w:spacing w:val="-6"/>
        </w:rPr>
        <w:t xml:space="preserve"> </w:t>
      </w:r>
      <w:r>
        <w:t>student lists were submitted either electronically using a system known as E-filing or on paper. In E-filing, student lists are submitted as Excel files by either school coordinators, NAEP</w:t>
      </w:r>
      <w:r>
        <w:rPr>
          <w:spacing w:val="-7"/>
        </w:rPr>
        <w:t xml:space="preserve"> </w:t>
      </w:r>
      <w:r>
        <w:t>State Coordinators, or NAEP</w:t>
      </w:r>
      <w:r>
        <w:rPr>
          <w:spacing w:val="-10"/>
        </w:rPr>
        <w:t xml:space="preserve"> </w:t>
      </w:r>
      <w:r>
        <w:t>TUDA</w:t>
      </w:r>
      <w:r>
        <w:rPr>
          <w:spacing w:val="-10"/>
        </w:rPr>
        <w:t xml:space="preserve"> </w:t>
      </w:r>
      <w:r>
        <w:t>Coordinators.</w:t>
      </w:r>
      <w:r>
        <w:rPr>
          <w:spacing w:val="-3"/>
        </w:rPr>
        <w:t xml:space="preserve"> </w:t>
      </w:r>
      <w:r>
        <w:t>The files can be submitted for one school at a time (known as single school E-file submission) or for an entire jurisdiction</w:t>
      </w:r>
      <w:r>
        <w:rPr>
          <w:spacing w:val="-5"/>
        </w:rPr>
        <w:t xml:space="preserve"> </w:t>
      </w:r>
      <w:r>
        <w:t>at</w:t>
      </w:r>
      <w:r>
        <w:rPr>
          <w:spacing w:val="-5"/>
        </w:rPr>
        <w:t xml:space="preserve"> </w:t>
      </w:r>
      <w:r>
        <w:t>once</w:t>
      </w:r>
      <w:r>
        <w:rPr>
          <w:spacing w:val="-5"/>
        </w:rPr>
        <w:t xml:space="preserve"> </w:t>
      </w:r>
      <w:r>
        <w:t>(known</w:t>
      </w:r>
      <w:r>
        <w:rPr>
          <w:spacing w:val="-5"/>
        </w:rPr>
        <w:t xml:space="preserve"> </w:t>
      </w:r>
      <w:r>
        <w:t>as</w:t>
      </w:r>
      <w:r>
        <w:rPr>
          <w:spacing w:val="-5"/>
        </w:rPr>
        <w:t xml:space="preserve"> </w:t>
      </w:r>
      <w:r>
        <w:t>multiple</w:t>
      </w:r>
      <w:r>
        <w:rPr>
          <w:spacing w:val="-5"/>
        </w:rPr>
        <w:t xml:space="preserve"> </w:t>
      </w:r>
      <w:r>
        <w:t>school</w:t>
      </w:r>
      <w:r>
        <w:rPr>
          <w:spacing w:val="-5"/>
        </w:rPr>
        <w:t xml:space="preserve"> </w:t>
      </w:r>
      <w:r>
        <w:t>E-file</w:t>
      </w:r>
      <w:r>
        <w:rPr>
          <w:spacing w:val="-5"/>
        </w:rPr>
        <w:t xml:space="preserve"> </w:t>
      </w:r>
      <w:r>
        <w:t>submission).</w:t>
      </w:r>
      <w:r>
        <w:rPr>
          <w:spacing w:val="-5"/>
        </w:rPr>
        <w:t xml:space="preserve"> </w:t>
      </w:r>
      <w:r>
        <w:t>E-filing</w:t>
      </w:r>
      <w:r>
        <w:rPr>
          <w:spacing w:val="-5"/>
        </w:rPr>
        <w:t xml:space="preserve"> </w:t>
      </w:r>
      <w:r>
        <w:t>allows</w:t>
      </w:r>
      <w:r>
        <w:rPr>
          <w:spacing w:val="-5"/>
        </w:rPr>
        <w:t xml:space="preserve"> </w:t>
      </w:r>
      <w:r>
        <w:t>schools</w:t>
      </w:r>
      <w:r>
        <w:rPr>
          <w:spacing w:val="-5"/>
        </w:rPr>
        <w:t xml:space="preserve"> </w:t>
      </w:r>
      <w:r>
        <w:t>to</w:t>
      </w:r>
      <w:r>
        <w:rPr>
          <w:spacing w:val="-5"/>
        </w:rPr>
        <w:t xml:space="preserve"> </w:t>
      </w:r>
      <w:r>
        <w:t>easily</w:t>
      </w:r>
      <w:r>
        <w:rPr>
          <w:spacing w:val="-5"/>
        </w:rPr>
        <w:t xml:space="preserve"> </w:t>
      </w:r>
      <w:r>
        <w:t>submit</w:t>
      </w:r>
      <w:r>
        <w:rPr>
          <w:spacing w:val="-5"/>
        </w:rPr>
        <w:t xml:space="preserve"> </w:t>
      </w:r>
      <w:r>
        <w:t>student</w:t>
      </w:r>
      <w:r>
        <w:rPr>
          <w:spacing w:val="-5"/>
        </w:rPr>
        <w:t xml:space="preserve"> </w:t>
      </w:r>
      <w:r>
        <w:t>demographic</w:t>
      </w:r>
      <w:r>
        <w:rPr>
          <w:spacing w:val="-5"/>
        </w:rPr>
        <w:t xml:space="preserve"> </w:t>
      </w:r>
      <w:r>
        <w:t>data</w:t>
      </w:r>
      <w:r>
        <w:rPr>
          <w:spacing w:val="-5"/>
        </w:rPr>
        <w:t xml:space="preserve"> </w:t>
      </w:r>
      <w:r>
        <w:t>electronically</w:t>
      </w:r>
      <w:r>
        <w:rPr>
          <w:spacing w:val="-5"/>
        </w:rPr>
        <w:t xml:space="preserve"> </w:t>
      </w:r>
      <w:r>
        <w:t>with</w:t>
      </w:r>
      <w:r>
        <w:rPr>
          <w:spacing w:val="-5"/>
        </w:rPr>
        <w:t xml:space="preserve"> </w:t>
      </w:r>
      <w:r>
        <w:t>the</w:t>
      </w:r>
      <w:r>
        <w:rPr>
          <w:spacing w:val="-5"/>
        </w:rPr>
        <w:t xml:space="preserve"> </w:t>
      </w:r>
      <w:r>
        <w:t>student</w:t>
      </w:r>
      <w:r>
        <w:rPr>
          <w:spacing w:val="-5"/>
        </w:rPr>
        <w:t xml:space="preserve"> </w:t>
      </w:r>
      <w:r>
        <w:t>lists,</w:t>
      </w:r>
      <w:r>
        <w:rPr>
          <w:spacing w:val="-5"/>
        </w:rPr>
        <w:t xml:space="preserve"> </w:t>
      </w:r>
      <w:r>
        <w:t>easing the burden on field supervisors and school coordinators.</w:t>
      </w:r>
    </w:p>
    <w:p w:rsidR="003F5784" w14:paraId="4182AE47" w14:textId="77777777">
      <w:pPr>
        <w:pStyle w:val="BodyText"/>
        <w:spacing w:before="210" w:line="232" w:lineRule="auto"/>
        <w:ind w:left="109"/>
      </w:pPr>
      <w:r>
        <w:t>Schools</w:t>
      </w:r>
      <w:r>
        <w:rPr>
          <w:spacing w:val="-6"/>
        </w:rPr>
        <w:t xml:space="preserve"> </w:t>
      </w:r>
      <w:r>
        <w:t>that</w:t>
      </w:r>
      <w:r>
        <w:rPr>
          <w:spacing w:val="-6"/>
        </w:rPr>
        <w:t xml:space="preserve"> </w:t>
      </w:r>
      <w:r>
        <w:t>are</w:t>
      </w:r>
      <w:r>
        <w:rPr>
          <w:spacing w:val="-6"/>
        </w:rPr>
        <w:t xml:space="preserve"> </w:t>
      </w:r>
      <w:r>
        <w:t>unable</w:t>
      </w:r>
      <w:r>
        <w:rPr>
          <w:spacing w:val="-6"/>
        </w:rPr>
        <w:t xml:space="preserve"> </w:t>
      </w:r>
      <w:r>
        <w:t>to</w:t>
      </w:r>
      <w:r>
        <w:rPr>
          <w:spacing w:val="-6"/>
        </w:rPr>
        <w:t xml:space="preserve"> </w:t>
      </w:r>
      <w:r>
        <w:t>submit</w:t>
      </w:r>
      <w:r>
        <w:rPr>
          <w:spacing w:val="-6"/>
        </w:rPr>
        <w:t xml:space="preserve"> </w:t>
      </w:r>
      <w:r>
        <w:t>their</w:t>
      </w:r>
      <w:r>
        <w:rPr>
          <w:spacing w:val="-6"/>
        </w:rPr>
        <w:t xml:space="preserve"> </w:t>
      </w:r>
      <w:r>
        <w:t>student</w:t>
      </w:r>
      <w:r>
        <w:rPr>
          <w:spacing w:val="-6"/>
        </w:rPr>
        <w:t xml:space="preserve"> </w:t>
      </w:r>
      <w:r>
        <w:t>lists</w:t>
      </w:r>
      <w:r>
        <w:rPr>
          <w:spacing w:val="-6"/>
        </w:rPr>
        <w:t xml:space="preserve"> </w:t>
      </w:r>
      <w:r>
        <w:t>using</w:t>
      </w:r>
      <w:r>
        <w:rPr>
          <w:spacing w:val="-6"/>
        </w:rPr>
        <w:t xml:space="preserve"> </w:t>
      </w:r>
      <w:r>
        <w:t>the</w:t>
      </w:r>
      <w:r>
        <w:rPr>
          <w:spacing w:val="-6"/>
        </w:rPr>
        <w:t xml:space="preserve"> </w:t>
      </w:r>
      <w:r>
        <w:t>E-filing</w:t>
      </w:r>
      <w:r>
        <w:rPr>
          <w:spacing w:val="-6"/>
        </w:rPr>
        <w:t xml:space="preserve"> </w:t>
      </w:r>
      <w:r>
        <w:t>system</w:t>
      </w:r>
      <w:r>
        <w:rPr>
          <w:spacing w:val="-6"/>
        </w:rPr>
        <w:t xml:space="preserve"> </w:t>
      </w:r>
      <w:r>
        <w:t>provide</w:t>
      </w:r>
      <w:r>
        <w:rPr>
          <w:spacing w:val="-6"/>
        </w:rPr>
        <w:t xml:space="preserve"> </w:t>
      </w:r>
      <w:r>
        <w:t>hardcopy</w:t>
      </w:r>
      <w:r>
        <w:rPr>
          <w:spacing w:val="-6"/>
        </w:rPr>
        <w:t xml:space="preserve"> </w:t>
      </w:r>
      <w:r>
        <w:t>lists</w:t>
      </w:r>
      <w:r>
        <w:rPr>
          <w:spacing w:val="-6"/>
        </w:rPr>
        <w:t xml:space="preserve"> </w:t>
      </w:r>
      <w:r>
        <w:t>to</w:t>
      </w:r>
      <w:r>
        <w:rPr>
          <w:spacing w:val="-6"/>
        </w:rPr>
        <w:t xml:space="preserve"> </w:t>
      </w:r>
      <w:r>
        <w:t>field</w:t>
      </w:r>
      <w:r>
        <w:rPr>
          <w:spacing w:val="-6"/>
        </w:rPr>
        <w:t xml:space="preserve"> </w:t>
      </w:r>
      <w:r>
        <w:t>supervisors.</w:t>
      </w:r>
      <w:r>
        <w:rPr>
          <w:spacing w:val="-6"/>
        </w:rPr>
        <w:t xml:space="preserve"> </w:t>
      </w:r>
      <w:r>
        <w:t>In</w:t>
      </w:r>
      <w:r>
        <w:rPr>
          <w:spacing w:val="-6"/>
        </w:rPr>
        <w:t xml:space="preserve"> </w:t>
      </w:r>
      <w:r>
        <w:t>2022,</w:t>
      </w:r>
      <w:r>
        <w:rPr>
          <w:spacing w:val="-6"/>
        </w:rPr>
        <w:t xml:space="preserve"> </w:t>
      </w:r>
      <w:r>
        <w:t>across</w:t>
      </w:r>
      <w:r>
        <w:rPr>
          <w:spacing w:val="-6"/>
        </w:rPr>
        <w:t xml:space="preserve"> </w:t>
      </w:r>
      <w:r>
        <w:t>all</w:t>
      </w:r>
      <w:r>
        <w:rPr>
          <w:spacing w:val="-6"/>
        </w:rPr>
        <w:t xml:space="preserve"> </w:t>
      </w:r>
      <w:r>
        <w:t>state</w:t>
      </w:r>
      <w:r>
        <w:rPr>
          <w:spacing w:val="-6"/>
        </w:rPr>
        <w:t xml:space="preserve"> </w:t>
      </w:r>
      <w:r>
        <w:t>assessment</w:t>
      </w:r>
      <w:r>
        <w:rPr>
          <w:spacing w:val="-6"/>
        </w:rPr>
        <w:t xml:space="preserve"> </w:t>
      </w:r>
      <w:r>
        <w:t>samples</w:t>
      </w:r>
      <w:r>
        <w:rPr>
          <w:spacing w:val="-6"/>
        </w:rPr>
        <w:t xml:space="preserve"> </w:t>
      </w:r>
      <w:r>
        <w:t>combined, over 99 percent of the participating schools E-filed their student lists while less than 1 percent of the participating schools submitted hardcopy lists.</w:t>
      </w:r>
    </w:p>
    <w:p w:rsidR="003F5784" w14:paraId="4D64ADF0" w14:textId="77777777">
      <w:pPr>
        <w:pStyle w:val="BodyText"/>
        <w:spacing w:before="209" w:line="232" w:lineRule="auto"/>
        <w:ind w:left="109" w:right="179"/>
      </w:pPr>
      <w:r>
        <w:t>In</w:t>
      </w:r>
      <w:r>
        <w:rPr>
          <w:spacing w:val="-6"/>
        </w:rPr>
        <w:t xml:space="preserve"> </w:t>
      </w:r>
      <w:r>
        <w:t>year-round</w:t>
      </w:r>
      <w:r>
        <w:rPr>
          <w:spacing w:val="-6"/>
        </w:rPr>
        <w:t xml:space="preserve"> </w:t>
      </w:r>
      <w:r>
        <w:t>multi-track</w:t>
      </w:r>
      <w:r>
        <w:rPr>
          <w:spacing w:val="-6"/>
        </w:rPr>
        <w:t xml:space="preserve"> </w:t>
      </w:r>
      <w:r>
        <w:t>schools,</w:t>
      </w:r>
      <w:r>
        <w:rPr>
          <w:spacing w:val="-6"/>
        </w:rPr>
        <w:t xml:space="preserve"> </w:t>
      </w:r>
      <w:r>
        <w:t>students</w:t>
      </w:r>
      <w:r>
        <w:rPr>
          <w:spacing w:val="-6"/>
        </w:rPr>
        <w:t xml:space="preserve"> </w:t>
      </w:r>
      <w:r>
        <w:t>in</w:t>
      </w:r>
      <w:r>
        <w:rPr>
          <w:spacing w:val="-6"/>
        </w:rPr>
        <w:t xml:space="preserve"> </w:t>
      </w:r>
      <w:r>
        <w:t>tracks</w:t>
      </w:r>
      <w:r>
        <w:rPr>
          <w:spacing w:val="-6"/>
        </w:rPr>
        <w:t xml:space="preserve"> </w:t>
      </w:r>
      <w:r>
        <w:t>scheduled</w:t>
      </w:r>
      <w:r>
        <w:rPr>
          <w:spacing w:val="-6"/>
        </w:rPr>
        <w:t xml:space="preserve"> </w:t>
      </w:r>
      <w:r>
        <w:t>to</w:t>
      </w:r>
      <w:r>
        <w:rPr>
          <w:spacing w:val="-6"/>
        </w:rPr>
        <w:t xml:space="preserve"> </w:t>
      </w:r>
      <w:r>
        <w:t>be</w:t>
      </w:r>
      <w:r>
        <w:rPr>
          <w:spacing w:val="-6"/>
        </w:rPr>
        <w:t xml:space="preserve"> </w:t>
      </w:r>
      <w:r>
        <w:t>on</w:t>
      </w:r>
      <w:r>
        <w:rPr>
          <w:spacing w:val="-6"/>
        </w:rPr>
        <w:t xml:space="preserve"> </w:t>
      </w:r>
      <w:r>
        <w:t>break</w:t>
      </w:r>
      <w:r>
        <w:rPr>
          <w:spacing w:val="-6"/>
        </w:rPr>
        <w:t xml:space="preserve"> </w:t>
      </w:r>
      <w:r>
        <w:t>on</w:t>
      </w:r>
      <w:r>
        <w:rPr>
          <w:spacing w:val="-6"/>
        </w:rPr>
        <w:t xml:space="preserve"> </w:t>
      </w:r>
      <w:r>
        <w:t>the</w:t>
      </w:r>
      <w:r>
        <w:rPr>
          <w:spacing w:val="-6"/>
        </w:rPr>
        <w:t xml:space="preserve"> </w:t>
      </w:r>
      <w:r>
        <w:t>assessment</w:t>
      </w:r>
      <w:r>
        <w:rPr>
          <w:spacing w:val="-6"/>
        </w:rPr>
        <w:t xml:space="preserve"> </w:t>
      </w:r>
      <w:r>
        <w:t>day</w:t>
      </w:r>
      <w:r>
        <w:rPr>
          <w:spacing w:val="-6"/>
        </w:rPr>
        <w:t xml:space="preserve"> </w:t>
      </w:r>
      <w:r>
        <w:t>were</w:t>
      </w:r>
      <w:r>
        <w:rPr>
          <w:spacing w:val="-6"/>
        </w:rPr>
        <w:t xml:space="preserve"> </w:t>
      </w:r>
      <w:r>
        <w:t>removed</w:t>
      </w:r>
      <w:r>
        <w:rPr>
          <w:spacing w:val="-6"/>
        </w:rPr>
        <w:t xml:space="preserve"> </w:t>
      </w:r>
      <w:r>
        <w:t>from</w:t>
      </w:r>
      <w:r>
        <w:rPr>
          <w:spacing w:val="-6"/>
        </w:rPr>
        <w:t xml:space="preserve"> </w:t>
      </w:r>
      <w:r>
        <w:t>the</w:t>
      </w:r>
      <w:r>
        <w:rPr>
          <w:spacing w:val="-6"/>
        </w:rPr>
        <w:t xml:space="preserve"> </w:t>
      </w:r>
      <w:r>
        <w:t>student</w:t>
      </w:r>
      <w:r>
        <w:rPr>
          <w:spacing w:val="-6"/>
        </w:rPr>
        <w:t xml:space="preserve"> </w:t>
      </w:r>
      <w:r>
        <w:t>lists</w:t>
      </w:r>
      <w:r>
        <w:rPr>
          <w:spacing w:val="-6"/>
        </w:rPr>
        <w:t xml:space="preserve"> </w:t>
      </w:r>
      <w:r>
        <w:t>prior</w:t>
      </w:r>
      <w:r>
        <w:rPr>
          <w:spacing w:val="-6"/>
        </w:rPr>
        <w:t xml:space="preserve"> </w:t>
      </w:r>
      <w:r>
        <w:t>to</w:t>
      </w:r>
      <w:r>
        <w:rPr>
          <w:spacing w:val="-6"/>
        </w:rPr>
        <w:t xml:space="preserve"> </w:t>
      </w:r>
      <w:r>
        <w:t>sampling.</w:t>
      </w:r>
      <w:r>
        <w:rPr>
          <w:spacing w:val="-6"/>
        </w:rPr>
        <w:t xml:space="preserve"> </w:t>
      </w:r>
      <w:r>
        <w:t>(Student</w:t>
      </w:r>
      <w:r>
        <w:rPr>
          <w:spacing w:val="-6"/>
        </w:rPr>
        <w:t xml:space="preserve"> </w:t>
      </w:r>
      <w:r>
        <w:t>base weights were adjusted to account for these students.)</w:t>
      </w:r>
    </w:p>
    <w:p w:rsidR="003F5784" w14:paraId="2A71A95B" w14:textId="69A5D2BB">
      <w:pPr>
        <w:pStyle w:val="BodyText"/>
        <w:spacing w:before="209" w:line="232" w:lineRule="auto"/>
        <w:ind w:left="109"/>
      </w:pPr>
      <w:r>
        <w:t>The</w:t>
      </w:r>
      <w:r>
        <w:rPr>
          <w:spacing w:val="-6"/>
        </w:rPr>
        <w:t xml:space="preserve"> </w:t>
      </w:r>
      <w:r>
        <w:t>sampling</w:t>
      </w:r>
      <w:r>
        <w:rPr>
          <w:spacing w:val="-6"/>
        </w:rPr>
        <w:t xml:space="preserve"> </w:t>
      </w:r>
      <w:r>
        <w:t>process</w:t>
      </w:r>
      <w:r>
        <w:rPr>
          <w:spacing w:val="-6"/>
        </w:rPr>
        <w:t xml:space="preserve"> </w:t>
      </w:r>
      <w:r>
        <w:t>was</w:t>
      </w:r>
      <w:r>
        <w:rPr>
          <w:spacing w:val="-6"/>
        </w:rPr>
        <w:t xml:space="preserve"> </w:t>
      </w:r>
      <w:r>
        <w:t>the</w:t>
      </w:r>
      <w:r>
        <w:rPr>
          <w:spacing w:val="-6"/>
        </w:rPr>
        <w:t xml:space="preserve"> </w:t>
      </w:r>
      <w:r>
        <w:t>same,</w:t>
      </w:r>
      <w:r>
        <w:rPr>
          <w:spacing w:val="-6"/>
        </w:rPr>
        <w:t xml:space="preserve"> </w:t>
      </w:r>
      <w:r>
        <w:t>regardless</w:t>
      </w:r>
      <w:r>
        <w:rPr>
          <w:spacing w:val="-6"/>
        </w:rPr>
        <w:t xml:space="preserve"> </w:t>
      </w:r>
      <w:r>
        <w:t>of</w:t>
      </w:r>
      <w:r>
        <w:rPr>
          <w:spacing w:val="-6"/>
        </w:rPr>
        <w:t xml:space="preserve"> </w:t>
      </w:r>
      <w:r>
        <w:t>list</w:t>
      </w:r>
      <w:r>
        <w:rPr>
          <w:spacing w:val="-6"/>
        </w:rPr>
        <w:t xml:space="preserve"> </w:t>
      </w:r>
      <w:r>
        <w:t>submission</w:t>
      </w:r>
      <w:r>
        <w:rPr>
          <w:spacing w:val="-6"/>
        </w:rPr>
        <w:t xml:space="preserve"> </w:t>
      </w:r>
      <w:r>
        <w:t>type.</w:t>
      </w:r>
      <w:r>
        <w:rPr>
          <w:spacing w:val="-9"/>
        </w:rPr>
        <w:t xml:space="preserve"> </w:t>
      </w:r>
      <w:r>
        <w:t>The</w:t>
      </w:r>
      <w:r>
        <w:rPr>
          <w:spacing w:val="-6"/>
        </w:rPr>
        <w:t xml:space="preserve"> </w:t>
      </w:r>
      <w:r>
        <w:t>sampling</w:t>
      </w:r>
      <w:r>
        <w:rPr>
          <w:spacing w:val="-6"/>
        </w:rPr>
        <w:t xml:space="preserve"> </w:t>
      </w:r>
      <w:r>
        <w:t>process</w:t>
      </w:r>
      <w:r>
        <w:rPr>
          <w:spacing w:val="-6"/>
        </w:rPr>
        <w:t xml:space="preserve"> </w:t>
      </w:r>
      <w:r>
        <w:t>was</w:t>
      </w:r>
      <w:r>
        <w:rPr>
          <w:spacing w:val="-6"/>
        </w:rPr>
        <w:t xml:space="preserve"> </w:t>
      </w:r>
      <w:r>
        <w:t>systematic</w:t>
      </w:r>
      <w:r>
        <w:rPr>
          <w:spacing w:val="-6"/>
        </w:rPr>
        <w:t xml:space="preserve"> </w:t>
      </w:r>
      <w:r>
        <w:t>(e.g.,</w:t>
      </w:r>
      <w:r>
        <w:rPr>
          <w:spacing w:val="-6"/>
        </w:rPr>
        <w:t xml:space="preserve"> </w:t>
      </w:r>
      <w:r>
        <w:t>if</w:t>
      </w:r>
      <w:r>
        <w:rPr>
          <w:spacing w:val="-6"/>
        </w:rPr>
        <w:t xml:space="preserve"> </w:t>
      </w:r>
      <w:r>
        <w:t>the</w:t>
      </w:r>
      <w:r>
        <w:rPr>
          <w:spacing w:val="-6"/>
        </w:rPr>
        <w:t xml:space="preserve"> </w:t>
      </w:r>
      <w:r>
        <w:t>sampling</w:t>
      </w:r>
      <w:r>
        <w:rPr>
          <w:spacing w:val="-6"/>
        </w:rPr>
        <w:t xml:space="preserve"> </w:t>
      </w:r>
      <w:r>
        <w:t>rate</w:t>
      </w:r>
      <w:r>
        <w:rPr>
          <w:spacing w:val="-6"/>
        </w:rPr>
        <w:t xml:space="preserve"> </w:t>
      </w:r>
      <w:r>
        <w:t>was</w:t>
      </w:r>
      <w:r>
        <w:rPr>
          <w:spacing w:val="-6"/>
        </w:rPr>
        <w:t xml:space="preserve"> </w:t>
      </w:r>
      <w:r>
        <w:t>one-half,</w:t>
      </w:r>
      <w:r>
        <w:rPr>
          <w:spacing w:val="-6"/>
        </w:rPr>
        <w:t xml:space="preserve"> </w:t>
      </w:r>
      <w:r>
        <w:t>a</w:t>
      </w:r>
      <w:r>
        <w:rPr>
          <w:spacing w:val="-6"/>
        </w:rPr>
        <w:t xml:space="preserve"> </w:t>
      </w:r>
      <w:r>
        <w:t>random</w:t>
      </w:r>
      <w:r>
        <w:rPr>
          <w:spacing w:val="-6"/>
        </w:rPr>
        <w:t xml:space="preserve"> </w:t>
      </w:r>
      <w:r>
        <w:t>starting</w:t>
      </w:r>
      <w:r>
        <w:rPr>
          <w:spacing w:val="-6"/>
        </w:rPr>
        <w:t xml:space="preserve"> </w:t>
      </w:r>
      <w:r>
        <w:t>point</w:t>
      </w:r>
      <w:r>
        <w:rPr>
          <w:spacing w:val="-6"/>
        </w:rPr>
        <w:t xml:space="preserve"> </w:t>
      </w:r>
      <w:r>
        <w:t xml:space="preserve">of one or two was chosen, and every other student on the list was selected). For E-filed schools only, where demographic data was submitted for every student on the frame, students were sorted by </w:t>
      </w:r>
      <w:r w:rsidR="00B4162D">
        <w:t>sex</w:t>
      </w:r>
      <w:r>
        <w:t xml:space="preserve"> and race/ethnicity before the sample was selected to implicitly stratify the sample.</w:t>
      </w:r>
    </w:p>
    <w:p w:rsidR="003F5784" w14:paraId="657AC160" w14:textId="77777777">
      <w:pPr>
        <w:pStyle w:val="BodyText"/>
        <w:spacing w:before="210" w:line="232" w:lineRule="auto"/>
        <w:ind w:left="109" w:right="179"/>
      </w:pPr>
      <w:r>
        <w:t>In</w:t>
      </w:r>
      <w:r>
        <w:rPr>
          <w:spacing w:val="-6"/>
        </w:rPr>
        <w:t xml:space="preserve"> </w:t>
      </w:r>
      <w:r>
        <w:t>some</w:t>
      </w:r>
      <w:r>
        <w:rPr>
          <w:spacing w:val="-6"/>
        </w:rPr>
        <w:t xml:space="preserve"> </w:t>
      </w:r>
      <w:r>
        <w:t>jurisdictions,</w:t>
      </w:r>
      <w:r>
        <w:rPr>
          <w:spacing w:val="-6"/>
        </w:rPr>
        <w:t xml:space="preserve"> </w:t>
      </w:r>
      <w:r>
        <w:t>every</w:t>
      </w:r>
      <w:r>
        <w:rPr>
          <w:spacing w:val="-6"/>
        </w:rPr>
        <w:t xml:space="preserve"> </w:t>
      </w:r>
      <w:r>
        <w:t>student</w:t>
      </w:r>
      <w:r>
        <w:rPr>
          <w:spacing w:val="-6"/>
        </w:rPr>
        <w:t xml:space="preserve"> </w:t>
      </w:r>
      <w:r>
        <w:t>in</w:t>
      </w:r>
      <w:r>
        <w:rPr>
          <w:spacing w:val="-6"/>
        </w:rPr>
        <w:t xml:space="preserve"> </w:t>
      </w:r>
      <w:r>
        <w:t>the</w:t>
      </w:r>
      <w:r>
        <w:rPr>
          <w:spacing w:val="-6"/>
        </w:rPr>
        <w:t xml:space="preserve"> </w:t>
      </w:r>
      <w:r>
        <w:t>targeted</w:t>
      </w:r>
      <w:r>
        <w:rPr>
          <w:spacing w:val="-6"/>
        </w:rPr>
        <w:t xml:space="preserve"> </w:t>
      </w:r>
      <w:r>
        <w:t>grade</w:t>
      </w:r>
      <w:r>
        <w:rPr>
          <w:spacing w:val="-6"/>
        </w:rPr>
        <w:t xml:space="preserve"> </w:t>
      </w:r>
      <w:r>
        <w:t>was</w:t>
      </w:r>
      <w:r>
        <w:rPr>
          <w:spacing w:val="-6"/>
        </w:rPr>
        <w:t xml:space="preserve"> </w:t>
      </w:r>
      <w:r>
        <w:t>needed</w:t>
      </w:r>
      <w:r>
        <w:rPr>
          <w:spacing w:val="-6"/>
        </w:rPr>
        <w:t xml:space="preserve"> </w:t>
      </w:r>
      <w:r>
        <w:t>to</w:t>
      </w:r>
      <w:r>
        <w:rPr>
          <w:spacing w:val="-6"/>
        </w:rPr>
        <w:t xml:space="preserve"> </w:t>
      </w:r>
      <w:r>
        <w:t>meet</w:t>
      </w:r>
      <w:r>
        <w:rPr>
          <w:spacing w:val="-6"/>
        </w:rPr>
        <w:t xml:space="preserve"> </w:t>
      </w:r>
      <w:r>
        <w:t>the</w:t>
      </w:r>
      <w:r>
        <w:rPr>
          <w:spacing w:val="-6"/>
        </w:rPr>
        <w:t xml:space="preserve"> </w:t>
      </w:r>
      <w:r>
        <w:t>overall</w:t>
      </w:r>
      <w:r>
        <w:rPr>
          <w:spacing w:val="-6"/>
        </w:rPr>
        <w:t xml:space="preserve"> </w:t>
      </w:r>
      <w:r>
        <w:t>student</w:t>
      </w:r>
      <w:r>
        <w:rPr>
          <w:spacing w:val="-6"/>
        </w:rPr>
        <w:t xml:space="preserve"> </w:t>
      </w:r>
      <w:r>
        <w:t>sample</w:t>
      </w:r>
      <w:r>
        <w:rPr>
          <w:spacing w:val="-6"/>
        </w:rPr>
        <w:t xml:space="preserve"> </w:t>
      </w:r>
      <w:r>
        <w:t>size.</w:t>
      </w:r>
      <w:r>
        <w:rPr>
          <w:spacing w:val="-6"/>
        </w:rPr>
        <w:t xml:space="preserve"> </w:t>
      </w:r>
      <w:r>
        <w:t>In</w:t>
      </w:r>
      <w:r>
        <w:rPr>
          <w:spacing w:val="-6"/>
        </w:rPr>
        <w:t xml:space="preserve"> </w:t>
      </w:r>
      <w:r>
        <w:t>these</w:t>
      </w:r>
      <w:r>
        <w:rPr>
          <w:spacing w:val="-6"/>
        </w:rPr>
        <w:t xml:space="preserve"> </w:t>
      </w:r>
      <w:r>
        <w:t>jurisdictions,</w:t>
      </w:r>
      <w:r>
        <w:rPr>
          <w:spacing w:val="-6"/>
        </w:rPr>
        <w:t xml:space="preserve"> </w:t>
      </w:r>
      <w:r>
        <w:t>all</w:t>
      </w:r>
      <w:r>
        <w:rPr>
          <w:spacing w:val="-6"/>
        </w:rPr>
        <w:t xml:space="preserve"> </w:t>
      </w:r>
      <w:r>
        <w:t>students</w:t>
      </w:r>
      <w:r>
        <w:rPr>
          <w:spacing w:val="-6"/>
        </w:rPr>
        <w:t xml:space="preserve"> </w:t>
      </w:r>
      <w:r>
        <w:t>in</w:t>
      </w:r>
      <w:r>
        <w:rPr>
          <w:spacing w:val="-6"/>
        </w:rPr>
        <w:t xml:space="preserve"> </w:t>
      </w:r>
      <w:r>
        <w:t>all</w:t>
      </w:r>
      <w:r>
        <w:rPr>
          <w:spacing w:val="-6"/>
        </w:rPr>
        <w:t xml:space="preserve"> </w:t>
      </w:r>
      <w:r>
        <w:t>schools</w:t>
      </w:r>
      <w:r>
        <w:rPr>
          <w:spacing w:val="-6"/>
        </w:rPr>
        <w:t xml:space="preserve"> </w:t>
      </w:r>
      <w:r>
        <w:t>at</w:t>
      </w:r>
      <w:r>
        <w:rPr>
          <w:spacing w:val="-6"/>
        </w:rPr>
        <w:t xml:space="preserve"> </w:t>
      </w:r>
      <w:r>
        <w:t>the</w:t>
      </w:r>
      <w:r>
        <w:rPr>
          <w:spacing w:val="-6"/>
        </w:rPr>
        <w:t xml:space="preserve"> </w:t>
      </w:r>
      <w:r>
        <w:t>targeted grade were sampled.</w:t>
      </w:r>
    </w:p>
    <w:p w:rsidR="003F5784" w14:paraId="31597E5B" w14:textId="77777777">
      <w:pPr>
        <w:spacing w:line="232" w:lineRule="auto"/>
        <w:sectPr>
          <w:pgSz w:w="15840" w:h="12240" w:orient="landscape"/>
          <w:pgMar w:top="480" w:right="440" w:bottom="460" w:left="460" w:header="284" w:footer="275" w:gutter="0"/>
          <w:cols w:space="720"/>
        </w:sectPr>
      </w:pPr>
    </w:p>
    <w:p w:rsidR="003F5784" w14:paraId="515133E9" w14:textId="77777777">
      <w:pPr>
        <w:pStyle w:val="BodyText"/>
        <w:spacing w:before="78" w:line="232" w:lineRule="auto"/>
        <w:ind w:left="109"/>
      </w:pPr>
      <w:r>
        <w:t>In the other jurisdictions except for Puerto Rico, in schools with up to 52 students in the targeted grade, all students were selected. In schools with more than 52 students, systematic</w:t>
      </w:r>
      <w:r>
        <w:rPr>
          <w:spacing w:val="-6"/>
        </w:rPr>
        <w:t xml:space="preserve"> </w:t>
      </w:r>
      <w:r>
        <w:t>samples</w:t>
      </w:r>
      <w:r>
        <w:rPr>
          <w:spacing w:val="-6"/>
        </w:rPr>
        <w:t xml:space="preserve"> </w:t>
      </w:r>
      <w:r>
        <w:t>of</w:t>
      </w:r>
      <w:r>
        <w:rPr>
          <w:spacing w:val="-6"/>
        </w:rPr>
        <w:t xml:space="preserve"> </w:t>
      </w:r>
      <w:r>
        <w:t>50</w:t>
      </w:r>
      <w:r>
        <w:rPr>
          <w:spacing w:val="-6"/>
        </w:rPr>
        <w:t xml:space="preserve"> </w:t>
      </w:r>
      <w:r>
        <w:t>students</w:t>
      </w:r>
      <w:r>
        <w:rPr>
          <w:spacing w:val="-6"/>
        </w:rPr>
        <w:t xml:space="preserve"> </w:t>
      </w:r>
      <w:r>
        <w:t>were</w:t>
      </w:r>
      <w:r>
        <w:rPr>
          <w:spacing w:val="-6"/>
        </w:rPr>
        <w:t xml:space="preserve"> </w:t>
      </w:r>
      <w:r>
        <w:t>selected.</w:t>
      </w:r>
      <w:r>
        <w:rPr>
          <w:spacing w:val="-6"/>
        </w:rPr>
        <w:t xml:space="preserve"> </w:t>
      </w:r>
      <w:r>
        <w:t>In</w:t>
      </w:r>
      <w:r>
        <w:rPr>
          <w:spacing w:val="-6"/>
        </w:rPr>
        <w:t xml:space="preserve"> </w:t>
      </w:r>
      <w:r>
        <w:t>some</w:t>
      </w:r>
      <w:r>
        <w:rPr>
          <w:spacing w:val="-6"/>
        </w:rPr>
        <w:t xml:space="preserve"> </w:t>
      </w:r>
      <w:r>
        <w:t>cases,</w:t>
      </w:r>
      <w:r>
        <w:rPr>
          <w:spacing w:val="-6"/>
        </w:rPr>
        <w:t xml:space="preserve"> </w:t>
      </w:r>
      <w:r>
        <w:t>a</w:t>
      </w:r>
      <w:r>
        <w:rPr>
          <w:spacing w:val="-6"/>
        </w:rPr>
        <w:t xml:space="preserve"> </w:t>
      </w:r>
      <w:r>
        <w:t>larger</w:t>
      </w:r>
      <w:r>
        <w:rPr>
          <w:spacing w:val="-6"/>
        </w:rPr>
        <w:t xml:space="preserve"> </w:t>
      </w:r>
      <w:r>
        <w:t>school</w:t>
      </w:r>
      <w:r>
        <w:rPr>
          <w:spacing w:val="-6"/>
        </w:rPr>
        <w:t xml:space="preserve"> </w:t>
      </w:r>
      <w:r>
        <w:t>may</w:t>
      </w:r>
      <w:r>
        <w:rPr>
          <w:spacing w:val="-6"/>
        </w:rPr>
        <w:t xml:space="preserve"> </w:t>
      </w:r>
      <w:r>
        <w:t>have</w:t>
      </w:r>
      <w:r>
        <w:rPr>
          <w:spacing w:val="-6"/>
        </w:rPr>
        <w:t xml:space="preserve"> </w:t>
      </w:r>
      <w:r>
        <w:t>been</w:t>
      </w:r>
      <w:r>
        <w:rPr>
          <w:spacing w:val="-6"/>
        </w:rPr>
        <w:t xml:space="preserve"> </w:t>
      </w:r>
      <w:r>
        <w:t>selected</w:t>
      </w:r>
      <w:r>
        <w:rPr>
          <w:spacing w:val="-6"/>
        </w:rPr>
        <w:t xml:space="preserve"> </w:t>
      </w:r>
      <w:r>
        <w:t>with</w:t>
      </w:r>
      <w:r>
        <w:rPr>
          <w:spacing w:val="-6"/>
        </w:rPr>
        <w:t xml:space="preserve"> </w:t>
      </w:r>
      <w:r>
        <w:t>certainty</w:t>
      </w:r>
      <w:r>
        <w:rPr>
          <w:spacing w:val="-6"/>
        </w:rPr>
        <w:t xml:space="preserve"> </w:t>
      </w:r>
      <w:r>
        <w:t>during</w:t>
      </w:r>
      <w:r>
        <w:rPr>
          <w:spacing w:val="-6"/>
        </w:rPr>
        <w:t xml:space="preserve"> </w:t>
      </w:r>
      <w:r>
        <w:t>the</w:t>
      </w:r>
      <w:r>
        <w:rPr>
          <w:spacing w:val="-6"/>
        </w:rPr>
        <w:t xml:space="preserve"> </w:t>
      </w:r>
      <w:r>
        <w:t>school</w:t>
      </w:r>
      <w:r>
        <w:rPr>
          <w:spacing w:val="-6"/>
        </w:rPr>
        <w:t xml:space="preserve"> </w:t>
      </w:r>
      <w:r>
        <w:t>sample</w:t>
      </w:r>
      <w:r>
        <w:rPr>
          <w:spacing w:val="-6"/>
        </w:rPr>
        <w:t xml:space="preserve"> </w:t>
      </w:r>
      <w:r>
        <w:t>selection</w:t>
      </w:r>
      <w:r>
        <w:rPr>
          <w:spacing w:val="-6"/>
        </w:rPr>
        <w:t xml:space="preserve"> </w:t>
      </w:r>
      <w:r>
        <w:t>process,</w:t>
      </w:r>
      <w:r>
        <w:rPr>
          <w:spacing w:val="-6"/>
        </w:rPr>
        <w:t xml:space="preserve"> </w:t>
      </w:r>
      <w:r>
        <w:t>and</w:t>
      </w:r>
      <w:r>
        <w:rPr>
          <w:spacing w:val="-6"/>
        </w:rPr>
        <w:t xml:space="preserve"> </w:t>
      </w:r>
      <w:r>
        <w:t>thus</w:t>
      </w:r>
      <w:r>
        <w:rPr>
          <w:spacing w:val="-6"/>
        </w:rPr>
        <w:t xml:space="preserve"> </w:t>
      </w:r>
      <w:r>
        <w:t>may have selected more students.</w:t>
      </w:r>
    </w:p>
    <w:p w:rsidR="003F5784" w14:paraId="33415D18" w14:textId="77777777">
      <w:pPr>
        <w:pStyle w:val="BodyText"/>
        <w:spacing w:before="210" w:line="232" w:lineRule="auto"/>
        <w:ind w:left="109" w:right="179"/>
      </w:pPr>
      <w:r>
        <w:t>For</w:t>
      </w:r>
      <w:r>
        <w:rPr>
          <w:spacing w:val="-5"/>
        </w:rPr>
        <w:t xml:space="preserve"> </w:t>
      </w:r>
      <w:r>
        <w:t>Puerto</w:t>
      </w:r>
      <w:r>
        <w:rPr>
          <w:spacing w:val="-5"/>
        </w:rPr>
        <w:t xml:space="preserve"> </w:t>
      </w:r>
      <w:r>
        <w:t>Rico,</w:t>
      </w:r>
      <w:r>
        <w:rPr>
          <w:spacing w:val="-5"/>
        </w:rPr>
        <w:t xml:space="preserve"> </w:t>
      </w:r>
      <w:r>
        <w:t>in</w:t>
      </w:r>
      <w:r>
        <w:rPr>
          <w:spacing w:val="-5"/>
        </w:rPr>
        <w:t xml:space="preserve"> </w:t>
      </w:r>
      <w:r>
        <w:t>schools</w:t>
      </w:r>
      <w:r>
        <w:rPr>
          <w:spacing w:val="-5"/>
        </w:rPr>
        <w:t xml:space="preserve"> </w:t>
      </w:r>
      <w:r>
        <w:t>with</w:t>
      </w:r>
      <w:r>
        <w:rPr>
          <w:spacing w:val="-5"/>
        </w:rPr>
        <w:t xml:space="preserve"> </w:t>
      </w:r>
      <w:r>
        <w:t>up</w:t>
      </w:r>
      <w:r>
        <w:rPr>
          <w:spacing w:val="-5"/>
        </w:rPr>
        <w:t xml:space="preserve"> </w:t>
      </w:r>
      <w:r>
        <w:t>to</w:t>
      </w:r>
      <w:r>
        <w:rPr>
          <w:spacing w:val="-5"/>
        </w:rPr>
        <w:t xml:space="preserve"> </w:t>
      </w:r>
      <w:r>
        <w:t>26</w:t>
      </w:r>
      <w:r>
        <w:rPr>
          <w:spacing w:val="-5"/>
        </w:rPr>
        <w:t xml:space="preserve"> </w:t>
      </w:r>
      <w:r>
        <w:t>students</w:t>
      </w:r>
      <w:r>
        <w:rPr>
          <w:spacing w:val="-5"/>
        </w:rPr>
        <w:t xml:space="preserve"> </w:t>
      </w:r>
      <w:r>
        <w:t>in</w:t>
      </w:r>
      <w:r>
        <w:rPr>
          <w:spacing w:val="-5"/>
        </w:rPr>
        <w:t xml:space="preserve"> </w:t>
      </w:r>
      <w:r>
        <w:t>the</w:t>
      </w:r>
      <w:r>
        <w:rPr>
          <w:spacing w:val="-5"/>
        </w:rPr>
        <w:t xml:space="preserve"> </w:t>
      </w:r>
      <w:r>
        <w:t>targeted</w:t>
      </w:r>
      <w:r>
        <w:rPr>
          <w:spacing w:val="-5"/>
        </w:rPr>
        <w:t xml:space="preserve"> </w:t>
      </w:r>
      <w:r>
        <w:t>grade,</w:t>
      </w:r>
      <w:r>
        <w:rPr>
          <w:spacing w:val="-5"/>
        </w:rPr>
        <w:t xml:space="preserve"> </w:t>
      </w:r>
      <w:r>
        <w:t>all</w:t>
      </w:r>
      <w:r>
        <w:rPr>
          <w:spacing w:val="-5"/>
        </w:rPr>
        <w:t xml:space="preserve"> </w:t>
      </w:r>
      <w:r>
        <w:t>students</w:t>
      </w:r>
      <w:r>
        <w:rPr>
          <w:spacing w:val="-5"/>
        </w:rPr>
        <w:t xml:space="preserve"> </w:t>
      </w:r>
      <w:r>
        <w:t>were</w:t>
      </w:r>
      <w:r>
        <w:rPr>
          <w:spacing w:val="-5"/>
        </w:rPr>
        <w:t xml:space="preserve"> </w:t>
      </w:r>
      <w:r>
        <w:t>selected.</w:t>
      </w:r>
      <w:r>
        <w:rPr>
          <w:spacing w:val="-5"/>
        </w:rPr>
        <w:t xml:space="preserve"> </w:t>
      </w:r>
      <w:r>
        <w:t>In</w:t>
      </w:r>
      <w:r>
        <w:rPr>
          <w:spacing w:val="-5"/>
        </w:rPr>
        <w:t xml:space="preserve"> </w:t>
      </w:r>
      <w:r>
        <w:t>schools</w:t>
      </w:r>
      <w:r>
        <w:rPr>
          <w:spacing w:val="-5"/>
        </w:rPr>
        <w:t xml:space="preserve"> </w:t>
      </w:r>
      <w:r>
        <w:t>with</w:t>
      </w:r>
      <w:r>
        <w:rPr>
          <w:spacing w:val="-5"/>
        </w:rPr>
        <w:t xml:space="preserve"> </w:t>
      </w:r>
      <w:r>
        <w:t>more</w:t>
      </w:r>
      <w:r>
        <w:rPr>
          <w:spacing w:val="-5"/>
        </w:rPr>
        <w:t xml:space="preserve"> </w:t>
      </w:r>
      <w:r>
        <w:t>than</w:t>
      </w:r>
      <w:r>
        <w:rPr>
          <w:spacing w:val="-5"/>
        </w:rPr>
        <w:t xml:space="preserve"> </w:t>
      </w:r>
      <w:r>
        <w:t>26</w:t>
      </w:r>
      <w:r>
        <w:rPr>
          <w:spacing w:val="-5"/>
        </w:rPr>
        <w:t xml:space="preserve"> </w:t>
      </w:r>
      <w:r>
        <w:t>students,</w:t>
      </w:r>
      <w:r>
        <w:rPr>
          <w:spacing w:val="-5"/>
        </w:rPr>
        <w:t xml:space="preserve"> </w:t>
      </w:r>
      <w:r>
        <w:t>systematic</w:t>
      </w:r>
      <w:r>
        <w:rPr>
          <w:spacing w:val="-5"/>
        </w:rPr>
        <w:t xml:space="preserve"> </w:t>
      </w:r>
      <w:r>
        <w:t>samples</w:t>
      </w:r>
      <w:r>
        <w:rPr>
          <w:spacing w:val="-5"/>
        </w:rPr>
        <w:t xml:space="preserve"> </w:t>
      </w:r>
      <w:r>
        <w:t>of</w:t>
      </w:r>
      <w:r>
        <w:rPr>
          <w:spacing w:val="-5"/>
        </w:rPr>
        <w:t xml:space="preserve"> </w:t>
      </w:r>
      <w:r>
        <w:t>25</w:t>
      </w:r>
      <w:r>
        <w:rPr>
          <w:spacing w:val="-5"/>
        </w:rPr>
        <w:t xml:space="preserve"> </w:t>
      </w:r>
      <w:r>
        <w:t>students were selected.</w:t>
      </w:r>
    </w:p>
    <w:p w:rsidR="003F5784" w14:paraId="6D9D2753" w14:textId="77777777">
      <w:pPr>
        <w:pStyle w:val="BodyText"/>
        <w:spacing w:before="203"/>
        <w:ind w:left="109"/>
      </w:pPr>
      <w:r>
        <w:t>Some</w:t>
      </w:r>
      <w:r>
        <w:rPr>
          <w:spacing w:val="-6"/>
        </w:rPr>
        <w:t xml:space="preserve"> </w:t>
      </w:r>
      <w:r>
        <w:t>students</w:t>
      </w:r>
      <w:r>
        <w:rPr>
          <w:spacing w:val="-5"/>
        </w:rPr>
        <w:t xml:space="preserve"> </w:t>
      </w:r>
      <w:r>
        <w:t>enrolled</w:t>
      </w:r>
      <w:r>
        <w:rPr>
          <w:spacing w:val="-5"/>
        </w:rPr>
        <w:t xml:space="preserve"> </w:t>
      </w:r>
      <w:r>
        <w:t>in</w:t>
      </w:r>
      <w:r>
        <w:rPr>
          <w:spacing w:val="-5"/>
        </w:rPr>
        <w:t xml:space="preserve"> </w:t>
      </w:r>
      <w:r>
        <w:t>the</w:t>
      </w:r>
      <w:r>
        <w:rPr>
          <w:spacing w:val="-6"/>
        </w:rPr>
        <w:t xml:space="preserve"> </w:t>
      </w:r>
      <w:r>
        <w:t>school</w:t>
      </w:r>
      <w:r>
        <w:rPr>
          <w:spacing w:val="-5"/>
        </w:rPr>
        <w:t xml:space="preserve"> </w:t>
      </w:r>
      <w:r>
        <w:t>after</w:t>
      </w:r>
      <w:r>
        <w:rPr>
          <w:spacing w:val="-5"/>
        </w:rPr>
        <w:t xml:space="preserve"> </w:t>
      </w:r>
      <w:r>
        <w:t>the</w:t>
      </w:r>
      <w:r>
        <w:rPr>
          <w:spacing w:val="-5"/>
        </w:rPr>
        <w:t xml:space="preserve"> </w:t>
      </w:r>
      <w:r>
        <w:t>sample</w:t>
      </w:r>
      <w:r>
        <w:rPr>
          <w:spacing w:val="-5"/>
        </w:rPr>
        <w:t xml:space="preserve"> </w:t>
      </w:r>
      <w:r>
        <w:t>was</w:t>
      </w:r>
      <w:r>
        <w:rPr>
          <w:spacing w:val="-6"/>
        </w:rPr>
        <w:t xml:space="preserve"> </w:t>
      </w:r>
      <w:r>
        <w:t>selected.</w:t>
      </w:r>
      <w:r>
        <w:rPr>
          <w:spacing w:val="-5"/>
        </w:rPr>
        <w:t xml:space="preserve"> </w:t>
      </w:r>
      <w:r>
        <w:t>In</w:t>
      </w:r>
      <w:r>
        <w:rPr>
          <w:spacing w:val="-5"/>
        </w:rPr>
        <w:t xml:space="preserve"> </w:t>
      </w:r>
      <w:r>
        <w:t>such</w:t>
      </w:r>
      <w:r>
        <w:rPr>
          <w:spacing w:val="-5"/>
        </w:rPr>
        <w:t xml:space="preserve"> </w:t>
      </w:r>
      <w:r>
        <w:t>cases,</w:t>
      </w:r>
      <w:r>
        <w:rPr>
          <w:spacing w:val="-5"/>
        </w:rPr>
        <w:t xml:space="preserve"> </w:t>
      </w:r>
      <w:r>
        <w:t>new</w:t>
      </w:r>
      <w:r>
        <w:rPr>
          <w:spacing w:val="-6"/>
        </w:rPr>
        <w:t xml:space="preserve"> </w:t>
      </w:r>
      <w:r>
        <w:t>enrollees</w:t>
      </w:r>
      <w:r>
        <w:rPr>
          <w:spacing w:val="-5"/>
        </w:rPr>
        <w:t xml:space="preserve"> </w:t>
      </w:r>
      <w:r>
        <w:t>were</w:t>
      </w:r>
      <w:r>
        <w:rPr>
          <w:spacing w:val="-5"/>
        </w:rPr>
        <w:t xml:space="preserve"> </w:t>
      </w:r>
      <w:r>
        <w:t>sampled</w:t>
      </w:r>
      <w:r>
        <w:rPr>
          <w:spacing w:val="-5"/>
        </w:rPr>
        <w:t xml:space="preserve"> </w:t>
      </w:r>
      <w:r>
        <w:t>at</w:t>
      </w:r>
      <w:r>
        <w:rPr>
          <w:spacing w:val="-5"/>
        </w:rPr>
        <w:t xml:space="preserve"> </w:t>
      </w:r>
      <w:r>
        <w:t>the</w:t>
      </w:r>
      <w:r>
        <w:rPr>
          <w:spacing w:val="-6"/>
        </w:rPr>
        <w:t xml:space="preserve"> </w:t>
      </w:r>
      <w:r>
        <w:t>same</w:t>
      </w:r>
      <w:r>
        <w:rPr>
          <w:spacing w:val="-5"/>
        </w:rPr>
        <w:t xml:space="preserve"> </w:t>
      </w:r>
      <w:r>
        <w:t>rate</w:t>
      </w:r>
      <w:r>
        <w:rPr>
          <w:spacing w:val="-5"/>
        </w:rPr>
        <w:t xml:space="preserve"> </w:t>
      </w:r>
      <w:r>
        <w:t>as</w:t>
      </w:r>
      <w:r>
        <w:rPr>
          <w:spacing w:val="-5"/>
        </w:rPr>
        <w:t xml:space="preserve"> </w:t>
      </w:r>
      <w:r>
        <w:t>the</w:t>
      </w:r>
      <w:r>
        <w:rPr>
          <w:spacing w:val="-5"/>
        </w:rPr>
        <w:t xml:space="preserve"> </w:t>
      </w:r>
      <w:r>
        <w:t>students</w:t>
      </w:r>
      <w:r>
        <w:rPr>
          <w:spacing w:val="-6"/>
        </w:rPr>
        <w:t xml:space="preserve"> </w:t>
      </w:r>
      <w:r>
        <w:t>on</w:t>
      </w:r>
      <w:r>
        <w:rPr>
          <w:spacing w:val="-5"/>
        </w:rPr>
        <w:t xml:space="preserve"> </w:t>
      </w:r>
      <w:r>
        <w:t>the</w:t>
      </w:r>
      <w:r>
        <w:rPr>
          <w:spacing w:val="-5"/>
        </w:rPr>
        <w:t xml:space="preserve"> </w:t>
      </w:r>
      <w:r>
        <w:t>original</w:t>
      </w:r>
      <w:r>
        <w:rPr>
          <w:spacing w:val="-5"/>
        </w:rPr>
        <w:t xml:space="preserve"> </w:t>
      </w:r>
      <w:r>
        <w:rPr>
          <w:spacing w:val="-2"/>
        </w:rPr>
        <w:t>list.</w:t>
      </w:r>
    </w:p>
    <w:p w:rsidR="003F5784" w14:paraId="40FA918A" w14:textId="77777777">
      <w:pPr>
        <w:pStyle w:val="Heading2"/>
        <w:spacing w:before="202"/>
        <w:ind w:left="109"/>
      </w:pPr>
      <w:r>
        <w:t>Assigning</w:t>
      </w:r>
      <w:r>
        <w:rPr>
          <w:spacing w:val="-14"/>
        </w:rPr>
        <w:t xml:space="preserve"> </w:t>
      </w:r>
      <w:r>
        <w:t>Assessment</w:t>
      </w:r>
      <w:r>
        <w:rPr>
          <w:spacing w:val="-13"/>
        </w:rPr>
        <w:t xml:space="preserve"> </w:t>
      </w:r>
      <w:r>
        <w:t>Subject</w:t>
      </w:r>
      <w:r>
        <w:rPr>
          <w:spacing w:val="-8"/>
        </w:rPr>
        <w:t xml:space="preserve"> </w:t>
      </w:r>
      <w:r>
        <w:t>to</w:t>
      </w:r>
      <w:r>
        <w:rPr>
          <w:spacing w:val="-8"/>
        </w:rPr>
        <w:t xml:space="preserve"> </w:t>
      </w:r>
      <w:r>
        <w:t>Sampled</w:t>
      </w:r>
      <w:r>
        <w:rPr>
          <w:spacing w:val="-9"/>
        </w:rPr>
        <w:t xml:space="preserve"> </w:t>
      </w:r>
      <w:r>
        <w:rPr>
          <w:spacing w:val="-2"/>
        </w:rPr>
        <w:t>Students</w:t>
      </w:r>
    </w:p>
    <w:p w:rsidR="003F5784" w14:paraId="67AE34AC" w14:textId="77777777">
      <w:pPr>
        <w:pStyle w:val="BodyText"/>
        <w:spacing w:before="207" w:line="232" w:lineRule="auto"/>
        <w:ind w:left="109" w:right="179"/>
      </w:pPr>
      <w:r>
        <w:t>In all jurisdictions except Puerto Rico, sampled students including new enrollees in each participating sampled school were assigned to either the mathematics or the reading assessment at rates of 52 percent and 48 percent, respectively, for grade 4; or 50 percent for each subject for grade 8, using a process known as spiraling. In this process, test forms</w:t>
      </w:r>
      <w:r>
        <w:rPr>
          <w:spacing w:val="-2"/>
        </w:rPr>
        <w:t xml:space="preserve"> </w:t>
      </w:r>
      <w:r>
        <w:t>were</w:t>
      </w:r>
      <w:r>
        <w:rPr>
          <w:spacing w:val="-2"/>
        </w:rPr>
        <w:t xml:space="preserve"> </w:t>
      </w:r>
      <w:r>
        <w:t>randomly</w:t>
      </w:r>
      <w:r>
        <w:rPr>
          <w:spacing w:val="-2"/>
        </w:rPr>
        <w:t xml:space="preserve"> </w:t>
      </w:r>
      <w:r>
        <w:t>assigned</w:t>
      </w:r>
      <w:r>
        <w:rPr>
          <w:spacing w:val="-2"/>
        </w:rPr>
        <w:t xml:space="preserve"> </w:t>
      </w:r>
      <w:r>
        <w:t>to</w:t>
      </w:r>
      <w:r>
        <w:rPr>
          <w:spacing w:val="-2"/>
        </w:rPr>
        <w:t xml:space="preserve"> </w:t>
      </w:r>
      <w:r>
        <w:t>sampled</w:t>
      </w:r>
      <w:r>
        <w:rPr>
          <w:spacing w:val="-2"/>
        </w:rPr>
        <w:t xml:space="preserve"> </w:t>
      </w:r>
      <w:r>
        <w:t>students</w:t>
      </w:r>
      <w:r>
        <w:rPr>
          <w:spacing w:val="-2"/>
        </w:rPr>
        <w:t xml:space="preserve"> </w:t>
      </w:r>
      <w:r>
        <w:t>from</w:t>
      </w:r>
      <w:r>
        <w:rPr>
          <w:spacing w:val="-2"/>
        </w:rPr>
        <w:t xml:space="preserve"> </w:t>
      </w:r>
      <w:r>
        <w:t>test</w:t>
      </w:r>
      <w:r>
        <w:rPr>
          <w:spacing w:val="-2"/>
        </w:rPr>
        <w:t xml:space="preserve"> </w:t>
      </w:r>
      <w:r>
        <w:t>form</w:t>
      </w:r>
      <w:r>
        <w:rPr>
          <w:spacing w:val="-2"/>
        </w:rPr>
        <w:t xml:space="preserve"> </w:t>
      </w:r>
      <w:r>
        <w:t>sets</w:t>
      </w:r>
      <w:r>
        <w:rPr>
          <w:spacing w:val="-2"/>
        </w:rPr>
        <w:t xml:space="preserve"> </w:t>
      </w:r>
      <w:r>
        <w:t>that</w:t>
      </w:r>
      <w:r>
        <w:rPr>
          <w:spacing w:val="-2"/>
        </w:rPr>
        <w:t xml:space="preserve"> </w:t>
      </w:r>
      <w:r>
        <w:t>had,</w:t>
      </w:r>
      <w:r>
        <w:rPr>
          <w:spacing w:val="-2"/>
        </w:rPr>
        <w:t xml:space="preserve"> </w:t>
      </w:r>
      <w:r>
        <w:t>on</w:t>
      </w:r>
      <w:r>
        <w:rPr>
          <w:spacing w:val="-2"/>
        </w:rPr>
        <w:t xml:space="preserve"> </w:t>
      </w:r>
      <w:r>
        <w:t>average,</w:t>
      </w:r>
      <w:r>
        <w:rPr>
          <w:spacing w:val="-2"/>
        </w:rPr>
        <w:t xml:space="preserve"> </w:t>
      </w:r>
      <w:r>
        <w:t>a</w:t>
      </w:r>
      <w:r>
        <w:rPr>
          <w:spacing w:val="-2"/>
        </w:rPr>
        <w:t xml:space="preserve"> </w:t>
      </w:r>
      <w:r>
        <w:t>ratio</w:t>
      </w:r>
      <w:r>
        <w:rPr>
          <w:spacing w:val="-2"/>
        </w:rPr>
        <w:t xml:space="preserve"> </w:t>
      </w:r>
      <w:r>
        <w:t>of</w:t>
      </w:r>
      <w:r>
        <w:rPr>
          <w:spacing w:val="-2"/>
        </w:rPr>
        <w:t xml:space="preserve"> </w:t>
      </w:r>
      <w:r>
        <w:t>26</w:t>
      </w:r>
      <w:r>
        <w:rPr>
          <w:spacing w:val="-2"/>
        </w:rPr>
        <w:t xml:space="preserve"> </w:t>
      </w:r>
      <w:r>
        <w:t>mathematics</w:t>
      </w:r>
      <w:r>
        <w:rPr>
          <w:spacing w:val="-2"/>
        </w:rPr>
        <w:t xml:space="preserve"> </w:t>
      </w:r>
      <w:r>
        <w:t>forms</w:t>
      </w:r>
      <w:r>
        <w:rPr>
          <w:spacing w:val="-2"/>
        </w:rPr>
        <w:t xml:space="preserve"> </w:t>
      </w:r>
      <w:r>
        <w:t>to</w:t>
      </w:r>
      <w:r>
        <w:rPr>
          <w:spacing w:val="-2"/>
        </w:rPr>
        <w:t xml:space="preserve"> </w:t>
      </w:r>
      <w:r>
        <w:t>24</w:t>
      </w:r>
      <w:r>
        <w:rPr>
          <w:spacing w:val="-2"/>
        </w:rPr>
        <w:t xml:space="preserve"> </w:t>
      </w:r>
      <w:r>
        <w:t>reading</w:t>
      </w:r>
      <w:r>
        <w:rPr>
          <w:spacing w:val="-2"/>
        </w:rPr>
        <w:t xml:space="preserve"> </w:t>
      </w:r>
      <w:r>
        <w:t>forms</w:t>
      </w:r>
      <w:r>
        <w:rPr>
          <w:spacing w:val="-2"/>
        </w:rPr>
        <w:t xml:space="preserve"> </w:t>
      </w:r>
      <w:r>
        <w:t>for</w:t>
      </w:r>
      <w:r>
        <w:rPr>
          <w:spacing w:val="-2"/>
        </w:rPr>
        <w:t xml:space="preserve"> </w:t>
      </w:r>
      <w:r>
        <w:t>grade</w:t>
      </w:r>
      <w:r>
        <w:rPr>
          <w:spacing w:val="-2"/>
        </w:rPr>
        <w:t xml:space="preserve"> </w:t>
      </w:r>
      <w:r>
        <w:t>4,</w:t>
      </w:r>
      <w:r>
        <w:rPr>
          <w:spacing w:val="-2"/>
        </w:rPr>
        <w:t xml:space="preserve"> </w:t>
      </w:r>
      <w:r>
        <w:t>and</w:t>
      </w:r>
      <w:r>
        <w:rPr>
          <w:spacing w:val="-2"/>
        </w:rPr>
        <w:t xml:space="preserve"> </w:t>
      </w:r>
      <w:r>
        <w:t>a</w:t>
      </w:r>
      <w:r>
        <w:rPr>
          <w:spacing w:val="-2"/>
        </w:rPr>
        <w:t xml:space="preserve"> </w:t>
      </w:r>
      <w:r>
        <w:t>ratio</w:t>
      </w:r>
      <w:r>
        <w:rPr>
          <w:spacing w:val="-2"/>
        </w:rPr>
        <w:t xml:space="preserve"> </w:t>
      </w:r>
      <w:r>
        <w:t>of</w:t>
      </w:r>
      <w:r>
        <w:rPr>
          <w:spacing w:val="-2"/>
        </w:rPr>
        <w:t xml:space="preserve"> </w:t>
      </w:r>
      <w:r>
        <w:t>25 mathematics</w:t>
      </w:r>
      <w:r>
        <w:rPr>
          <w:spacing w:val="-6"/>
        </w:rPr>
        <w:t xml:space="preserve"> </w:t>
      </w:r>
      <w:r>
        <w:t>forms</w:t>
      </w:r>
      <w:r>
        <w:rPr>
          <w:spacing w:val="-6"/>
        </w:rPr>
        <w:t xml:space="preserve"> </w:t>
      </w:r>
      <w:r>
        <w:t>to</w:t>
      </w:r>
      <w:r>
        <w:rPr>
          <w:spacing w:val="-6"/>
        </w:rPr>
        <w:t xml:space="preserve"> </w:t>
      </w:r>
      <w:r>
        <w:t>25</w:t>
      </w:r>
      <w:r>
        <w:rPr>
          <w:spacing w:val="-6"/>
        </w:rPr>
        <w:t xml:space="preserve"> </w:t>
      </w:r>
      <w:r>
        <w:t>reading</w:t>
      </w:r>
      <w:r>
        <w:rPr>
          <w:spacing w:val="-6"/>
        </w:rPr>
        <w:t xml:space="preserve"> </w:t>
      </w:r>
      <w:r>
        <w:t>forms</w:t>
      </w:r>
      <w:r>
        <w:rPr>
          <w:spacing w:val="-6"/>
        </w:rPr>
        <w:t xml:space="preserve"> </w:t>
      </w:r>
      <w:r>
        <w:t>for</w:t>
      </w:r>
      <w:r>
        <w:rPr>
          <w:spacing w:val="-6"/>
        </w:rPr>
        <w:t xml:space="preserve"> </w:t>
      </w:r>
      <w:r>
        <w:t>grade</w:t>
      </w:r>
      <w:r>
        <w:rPr>
          <w:spacing w:val="-6"/>
        </w:rPr>
        <w:t xml:space="preserve"> </w:t>
      </w:r>
      <w:r>
        <w:t>8.</w:t>
      </w:r>
      <w:r>
        <w:rPr>
          <w:spacing w:val="-6"/>
        </w:rPr>
        <w:t xml:space="preserve"> </w:t>
      </w:r>
      <w:r>
        <w:t>Students</w:t>
      </w:r>
      <w:r>
        <w:rPr>
          <w:spacing w:val="-6"/>
        </w:rPr>
        <w:t xml:space="preserve"> </w:t>
      </w:r>
      <w:r>
        <w:t>receiving</w:t>
      </w:r>
      <w:r>
        <w:rPr>
          <w:spacing w:val="-6"/>
        </w:rPr>
        <w:t xml:space="preserve"> </w:t>
      </w:r>
      <w:r>
        <w:t>a</w:t>
      </w:r>
      <w:r>
        <w:rPr>
          <w:spacing w:val="-6"/>
        </w:rPr>
        <w:t xml:space="preserve"> </w:t>
      </w:r>
      <w:r>
        <w:t>mathematics</w:t>
      </w:r>
      <w:r>
        <w:rPr>
          <w:spacing w:val="-6"/>
        </w:rPr>
        <w:t xml:space="preserve"> </w:t>
      </w:r>
      <w:r>
        <w:t>form</w:t>
      </w:r>
      <w:r>
        <w:rPr>
          <w:spacing w:val="-6"/>
        </w:rPr>
        <w:t xml:space="preserve"> </w:t>
      </w:r>
      <w:r>
        <w:t>were</w:t>
      </w:r>
      <w:r>
        <w:rPr>
          <w:spacing w:val="-6"/>
        </w:rPr>
        <w:t xml:space="preserve"> </w:t>
      </w:r>
      <w:r>
        <w:t>in</w:t>
      </w:r>
      <w:r>
        <w:rPr>
          <w:spacing w:val="-6"/>
        </w:rPr>
        <w:t xml:space="preserve"> </w:t>
      </w:r>
      <w:r>
        <w:t>the</w:t>
      </w:r>
      <w:r>
        <w:rPr>
          <w:spacing w:val="-6"/>
        </w:rPr>
        <w:t xml:space="preserve"> </w:t>
      </w:r>
      <w:r>
        <w:t>mathematics</w:t>
      </w:r>
      <w:r>
        <w:rPr>
          <w:spacing w:val="-6"/>
        </w:rPr>
        <w:t xml:space="preserve"> </w:t>
      </w:r>
      <w:r>
        <w:t>assessment,</w:t>
      </w:r>
      <w:r>
        <w:rPr>
          <w:spacing w:val="-6"/>
        </w:rPr>
        <w:t xml:space="preserve"> </w:t>
      </w:r>
      <w:r>
        <w:t>and</w:t>
      </w:r>
      <w:r>
        <w:rPr>
          <w:spacing w:val="-6"/>
        </w:rPr>
        <w:t xml:space="preserve"> </w:t>
      </w:r>
      <w:r>
        <w:t>students</w:t>
      </w:r>
      <w:r>
        <w:rPr>
          <w:spacing w:val="-6"/>
        </w:rPr>
        <w:t xml:space="preserve"> </w:t>
      </w:r>
      <w:r>
        <w:t>receiving</w:t>
      </w:r>
      <w:r>
        <w:rPr>
          <w:spacing w:val="-6"/>
        </w:rPr>
        <w:t xml:space="preserve"> </w:t>
      </w:r>
      <w:r>
        <w:t>a</w:t>
      </w:r>
      <w:r>
        <w:rPr>
          <w:spacing w:val="-6"/>
        </w:rPr>
        <w:t xml:space="preserve"> </w:t>
      </w:r>
      <w:r>
        <w:t>reading</w:t>
      </w:r>
      <w:r>
        <w:rPr>
          <w:spacing w:val="-6"/>
        </w:rPr>
        <w:t xml:space="preserve"> </w:t>
      </w:r>
      <w:r>
        <w:t>form</w:t>
      </w:r>
      <w:r>
        <w:rPr>
          <w:spacing w:val="-6"/>
        </w:rPr>
        <w:t xml:space="preserve"> </w:t>
      </w:r>
      <w:r>
        <w:t>were</w:t>
      </w:r>
      <w:r>
        <w:rPr>
          <w:spacing w:val="-6"/>
        </w:rPr>
        <w:t xml:space="preserve"> </w:t>
      </w:r>
      <w:r>
        <w:t>in the reading assessment. For Puerto Rico, all students were assigned a mathematics form since it was only participating in the operational mathematics assessment.</w:t>
      </w:r>
    </w:p>
    <w:p w:rsidR="003F5784" w14:paraId="212786A6" w14:textId="77777777">
      <w:pPr>
        <w:pStyle w:val="BodyText"/>
      </w:pPr>
    </w:p>
    <w:p w:rsidR="003F5784" w14:paraId="046551D2" w14:textId="77777777">
      <w:pPr>
        <w:pStyle w:val="BodyText"/>
      </w:pPr>
    </w:p>
    <w:p w:rsidR="003F5784" w14:paraId="3E008BA7" w14:textId="77777777">
      <w:pPr>
        <w:pStyle w:val="BodyText"/>
        <w:spacing w:before="147"/>
      </w:pPr>
    </w:p>
    <w:p w:rsidR="003F5784" w14:paraId="35FA5F82" w14:textId="77777777">
      <w:pPr>
        <w:ind w:right="113"/>
        <w:jc w:val="right"/>
        <w:rPr>
          <w:sz w:val="18"/>
        </w:rPr>
      </w:pPr>
      <w:hyperlink r:id="rId365">
        <w:r>
          <w:rPr>
            <w:spacing w:val="-2"/>
            <w:w w:val="105"/>
            <w:sz w:val="18"/>
          </w:rPr>
          <w:t>http://nces.ed.gov/nationsreportcard/tdw/sample_design/2022/student_sample_selection_for_the_2022_state_assessment.aspx</w:t>
        </w:r>
      </w:hyperlink>
    </w:p>
    <w:p w:rsidR="003F5784" w14:paraId="612ECFE6" w14:textId="77777777">
      <w:pPr>
        <w:pStyle w:val="BodyText"/>
        <w:rPr>
          <w:sz w:val="16"/>
        </w:rPr>
      </w:pPr>
      <w:r>
        <w:rPr>
          <w:noProof/>
        </w:rPr>
        <mc:AlternateContent>
          <mc:Choice Requires="wps">
            <w:drawing>
              <wp:anchor distT="0" distB="0" distL="0" distR="0" simplePos="0" relativeHeight="251958272" behindDoc="1" locked="0" layoutInCell="1" allowOverlap="1">
                <wp:simplePos x="0" y="0"/>
                <wp:positionH relativeFrom="page">
                  <wp:posOffset>361937</wp:posOffset>
                </wp:positionH>
                <wp:positionV relativeFrom="paragraph">
                  <wp:posOffset>132526</wp:posOffset>
                </wp:positionV>
                <wp:extent cx="9339580" cy="8890"/>
                <wp:effectExtent l="0" t="0" r="0" b="0"/>
                <wp:wrapTopAndBottom/>
                <wp:docPr id="465" name="Graphic 465"/>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67"/>
                              </a:lnTo>
                              <a:lnTo>
                                <a:pt x="9335110" y="8305"/>
                              </a:lnTo>
                              <a:lnTo>
                                <a:pt x="9338970" y="8305"/>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465" o:spid="_x0000_s1158" style="width:735.4pt;height:0.7pt;margin-top:10.45pt;margin-left:28.5pt;mso-position-horizontal-relative:page;mso-wrap-distance-bottom:0;mso-wrap-distance-left:0;mso-wrap-distance-right:0;mso-wrap-distance-top:0;mso-wrap-style:square;position:absolute;visibility:visible;v-text-anchor:top;z-index:-251357184" coordsize="9339580,8890" path="m9338970,25l9335110,25l8280,25,,,,8267l9335110,8305l9338970,8305l9338970,25xe" fillcolor="gray" stroked="f">
                <v:path arrowok="t"/>
                <w10:wrap type="topAndBottom"/>
              </v:shape>
            </w:pict>
          </mc:Fallback>
        </mc:AlternateContent>
      </w:r>
    </w:p>
    <w:p w:rsidR="003F5784" w14:paraId="5BEA83F1" w14:textId="77777777">
      <w:pPr>
        <w:pStyle w:val="BodyText"/>
        <w:rPr>
          <w:sz w:val="18"/>
        </w:rPr>
      </w:pPr>
    </w:p>
    <w:p w:rsidR="003F5784" w14:paraId="4ED4A923" w14:textId="77777777">
      <w:pPr>
        <w:pStyle w:val="BodyText"/>
        <w:spacing w:before="193"/>
        <w:rPr>
          <w:sz w:val="18"/>
        </w:rPr>
      </w:pPr>
    </w:p>
    <w:p w:rsidR="003F5784" w14:paraId="4F6995D4" w14:textId="169DBB1D">
      <w:pPr>
        <w:pStyle w:val="Heading1"/>
      </w:pPr>
      <w:r>
        <w:t>NAEP</w:t>
      </w:r>
      <w:r>
        <w:rPr>
          <w:spacing w:val="-26"/>
        </w:rPr>
        <w:t xml:space="preserve"> </w:t>
      </w:r>
      <w:r>
        <w:t>Technical</w:t>
      </w:r>
      <w:r>
        <w:rPr>
          <w:spacing w:val="6"/>
        </w:rPr>
        <w:t xml:space="preserve"> </w:t>
      </w:r>
      <w:r>
        <w:t>Documentation</w:t>
      </w:r>
      <w:r w:rsidR="00E3225D">
        <w:t xml:space="preserve"> </w:t>
      </w:r>
      <w:r>
        <w:t>Target</w:t>
      </w:r>
      <w:r>
        <w:rPr>
          <w:spacing w:val="6"/>
        </w:rPr>
        <w:t xml:space="preserve"> </w:t>
      </w:r>
      <w:r>
        <w:t>Population</w:t>
      </w:r>
      <w:r>
        <w:rPr>
          <w:spacing w:val="5"/>
        </w:rPr>
        <w:t xml:space="preserve"> </w:t>
      </w:r>
      <w:r>
        <w:t>for</w:t>
      </w:r>
      <w:r>
        <w:rPr>
          <w:spacing w:val="-1"/>
        </w:rPr>
        <w:t xml:space="preserve"> </w:t>
      </w:r>
      <w:r>
        <w:t>the</w:t>
      </w:r>
      <w:r>
        <w:rPr>
          <w:spacing w:val="6"/>
        </w:rPr>
        <w:t xml:space="preserve"> </w:t>
      </w:r>
      <w:r>
        <w:t>2022</w:t>
      </w:r>
      <w:r>
        <w:rPr>
          <w:spacing w:val="6"/>
        </w:rPr>
        <w:t xml:space="preserve"> </w:t>
      </w:r>
      <w:r>
        <w:t>State</w:t>
      </w:r>
      <w:r>
        <w:rPr>
          <w:spacing w:val="-19"/>
        </w:rPr>
        <w:t xml:space="preserve"> </w:t>
      </w:r>
      <w:r>
        <w:rPr>
          <w:spacing w:val="-2"/>
        </w:rPr>
        <w:t>Assessment</w:t>
      </w:r>
    </w:p>
    <w:p w:rsidR="003F5784" w14:paraId="20A5D85C" w14:textId="77777777">
      <w:pPr>
        <w:pStyle w:val="BodyText"/>
        <w:spacing w:before="266"/>
        <w:rPr>
          <w:b/>
          <w:sz w:val="41"/>
        </w:rPr>
      </w:pPr>
    </w:p>
    <w:p w:rsidR="003F5784" w14:paraId="1569FBF2" w14:textId="77777777">
      <w:pPr>
        <w:pStyle w:val="BodyText"/>
        <w:spacing w:before="1" w:line="232" w:lineRule="auto"/>
        <w:ind w:left="109" w:right="179"/>
      </w:pPr>
      <w:r>
        <w:t>The target population for the 2022 fourth- and eighth-grade public school state assessments in mathematics and reading was defined as all fourth- and eighth-grade students who</w:t>
      </w:r>
      <w:r>
        <w:rPr>
          <w:spacing w:val="-6"/>
        </w:rPr>
        <w:t xml:space="preserve"> </w:t>
      </w:r>
      <w:r>
        <w:t>were</w:t>
      </w:r>
      <w:r>
        <w:rPr>
          <w:spacing w:val="-6"/>
        </w:rPr>
        <w:t xml:space="preserve"> </w:t>
      </w:r>
      <w:r>
        <w:t>enrolled</w:t>
      </w:r>
      <w:r>
        <w:rPr>
          <w:spacing w:val="-6"/>
        </w:rPr>
        <w:t xml:space="preserve"> </w:t>
      </w:r>
      <w:r>
        <w:t>in</w:t>
      </w:r>
      <w:r>
        <w:rPr>
          <w:spacing w:val="-6"/>
        </w:rPr>
        <w:t xml:space="preserve"> </w:t>
      </w:r>
      <w:r>
        <w:t>public</w:t>
      </w:r>
      <w:r>
        <w:rPr>
          <w:spacing w:val="-6"/>
        </w:rPr>
        <w:t xml:space="preserve"> </w:t>
      </w:r>
      <w:r>
        <w:t>schools</w:t>
      </w:r>
      <w:r>
        <w:rPr>
          <w:spacing w:val="-6"/>
        </w:rPr>
        <w:t xml:space="preserve"> </w:t>
      </w:r>
      <w:r>
        <w:t>located</w:t>
      </w:r>
      <w:r>
        <w:rPr>
          <w:spacing w:val="-6"/>
        </w:rPr>
        <w:t xml:space="preserve"> </w:t>
      </w:r>
      <w:r>
        <w:t>in</w:t>
      </w:r>
      <w:r>
        <w:rPr>
          <w:spacing w:val="-6"/>
        </w:rPr>
        <w:t xml:space="preserve"> </w:t>
      </w:r>
      <w:r>
        <w:t>the</w:t>
      </w:r>
      <w:r>
        <w:rPr>
          <w:spacing w:val="-6"/>
        </w:rPr>
        <w:t xml:space="preserve"> </w:t>
      </w:r>
      <w:r>
        <w:t>50</w:t>
      </w:r>
      <w:r>
        <w:rPr>
          <w:spacing w:val="-6"/>
        </w:rPr>
        <w:t xml:space="preserve"> </w:t>
      </w:r>
      <w:r>
        <w:t>states,</w:t>
      </w:r>
      <w:r>
        <w:rPr>
          <w:spacing w:val="-6"/>
        </w:rPr>
        <w:t xml:space="preserve"> </w:t>
      </w:r>
      <w:r>
        <w:t>the</w:t>
      </w:r>
      <w:r>
        <w:rPr>
          <w:spacing w:val="-6"/>
        </w:rPr>
        <w:t xml:space="preserve"> </w:t>
      </w:r>
      <w:r>
        <w:t>District</w:t>
      </w:r>
      <w:r>
        <w:rPr>
          <w:spacing w:val="-6"/>
        </w:rPr>
        <w:t xml:space="preserve"> </w:t>
      </w:r>
      <w:r>
        <w:t>of</w:t>
      </w:r>
      <w:r>
        <w:rPr>
          <w:spacing w:val="-6"/>
        </w:rPr>
        <w:t xml:space="preserve"> </w:t>
      </w:r>
      <w:r>
        <w:t>Columbia,</w:t>
      </w:r>
      <w:r>
        <w:rPr>
          <w:spacing w:val="-6"/>
        </w:rPr>
        <w:t xml:space="preserve"> </w:t>
      </w:r>
      <w:r>
        <w:t>and</w:t>
      </w:r>
      <w:r>
        <w:rPr>
          <w:spacing w:val="-6"/>
        </w:rPr>
        <w:t xml:space="preserve"> </w:t>
      </w:r>
      <w:r>
        <w:t>Puerto</w:t>
      </w:r>
      <w:r>
        <w:rPr>
          <w:spacing w:val="-6"/>
        </w:rPr>
        <w:t xml:space="preserve"> </w:t>
      </w:r>
      <w:r>
        <w:t>Rico,</w:t>
      </w:r>
      <w:r>
        <w:rPr>
          <w:spacing w:val="-6"/>
        </w:rPr>
        <w:t xml:space="preserve"> </w:t>
      </w:r>
      <w:r>
        <w:t>Bureau</w:t>
      </w:r>
      <w:r>
        <w:rPr>
          <w:spacing w:val="-6"/>
        </w:rPr>
        <w:t xml:space="preserve"> </w:t>
      </w:r>
      <w:r>
        <w:t>of</w:t>
      </w:r>
      <w:r>
        <w:rPr>
          <w:spacing w:val="-6"/>
        </w:rPr>
        <w:t xml:space="preserve"> </w:t>
      </w:r>
      <w:r>
        <w:t>Indian</w:t>
      </w:r>
      <w:r>
        <w:rPr>
          <w:spacing w:val="-6"/>
        </w:rPr>
        <w:t xml:space="preserve"> </w:t>
      </w:r>
      <w:r>
        <w:t>Education</w:t>
      </w:r>
      <w:r>
        <w:rPr>
          <w:spacing w:val="-6"/>
        </w:rPr>
        <w:t xml:space="preserve"> </w:t>
      </w:r>
      <w:r>
        <w:t>(BIE)</w:t>
      </w:r>
      <w:r>
        <w:rPr>
          <w:spacing w:val="-6"/>
        </w:rPr>
        <w:t xml:space="preserve"> </w:t>
      </w:r>
      <w:r>
        <w:t>schools,</w:t>
      </w:r>
      <w:r>
        <w:rPr>
          <w:spacing w:val="-6"/>
        </w:rPr>
        <w:t xml:space="preserve"> </w:t>
      </w:r>
      <w:r>
        <w:t>and</w:t>
      </w:r>
      <w:r>
        <w:rPr>
          <w:spacing w:val="-6"/>
        </w:rPr>
        <w:t xml:space="preserve"> </w:t>
      </w:r>
      <w:r>
        <w:t>Department</w:t>
      </w:r>
      <w:r>
        <w:rPr>
          <w:spacing w:val="-6"/>
        </w:rPr>
        <w:t xml:space="preserve"> </w:t>
      </w:r>
      <w:r>
        <w:t>of</w:t>
      </w:r>
      <w:r>
        <w:rPr>
          <w:spacing w:val="-6"/>
        </w:rPr>
        <w:t xml:space="preserve"> </w:t>
      </w:r>
      <w:r>
        <w:t>Defense Education</w:t>
      </w:r>
      <w:r>
        <w:rPr>
          <w:spacing w:val="-4"/>
        </w:rPr>
        <w:t xml:space="preserve"> </w:t>
      </w:r>
      <w:r>
        <w:t>Activity (DoDEA) schools (including those located outside the United States).</w:t>
      </w:r>
    </w:p>
    <w:p w:rsidR="003F5784" w14:paraId="1DF32113" w14:textId="77777777">
      <w:pPr>
        <w:pStyle w:val="BodyText"/>
      </w:pPr>
    </w:p>
    <w:p w:rsidR="003F5784" w14:paraId="1348852F" w14:textId="77777777">
      <w:pPr>
        <w:pStyle w:val="BodyText"/>
      </w:pPr>
    </w:p>
    <w:p w:rsidR="003F5784" w14:paraId="602A2727" w14:textId="77777777">
      <w:pPr>
        <w:pStyle w:val="BodyText"/>
      </w:pPr>
    </w:p>
    <w:p w:rsidR="003F5784" w14:paraId="4C2CDD28" w14:textId="77777777">
      <w:pPr>
        <w:pStyle w:val="BodyText"/>
        <w:spacing w:before="138"/>
      </w:pPr>
    </w:p>
    <w:p w:rsidR="003F5784" w14:paraId="702D2723" w14:textId="77777777">
      <w:pPr>
        <w:spacing w:before="1"/>
        <w:ind w:right="113"/>
        <w:jc w:val="right"/>
        <w:rPr>
          <w:sz w:val="18"/>
        </w:rPr>
      </w:pPr>
      <w:hyperlink r:id="rId366">
        <w:r>
          <w:rPr>
            <w:spacing w:val="-2"/>
            <w:w w:val="105"/>
            <w:sz w:val="18"/>
          </w:rPr>
          <w:t>http://nces.ed.gov/nationsreportcard/tdw/sample_design/2022/target_population_for_the_2022_state_assessment.aspx</w:t>
        </w:r>
      </w:hyperlink>
    </w:p>
    <w:p w:rsidR="003F5784" w14:paraId="0F43613B" w14:textId="77777777">
      <w:pPr>
        <w:pStyle w:val="BodyText"/>
        <w:spacing w:before="10"/>
        <w:rPr>
          <w:sz w:val="14"/>
        </w:rPr>
      </w:pPr>
      <w:r>
        <w:rPr>
          <w:noProof/>
        </w:rPr>
        <mc:AlternateContent>
          <mc:Choice Requires="wps">
            <w:drawing>
              <wp:anchor distT="0" distB="0" distL="0" distR="0" simplePos="0" relativeHeight="251960320" behindDoc="1" locked="0" layoutInCell="1" allowOverlap="1">
                <wp:simplePos x="0" y="0"/>
                <wp:positionH relativeFrom="page">
                  <wp:posOffset>361937</wp:posOffset>
                </wp:positionH>
                <wp:positionV relativeFrom="paragraph">
                  <wp:posOffset>124136</wp:posOffset>
                </wp:positionV>
                <wp:extent cx="9339580" cy="8890"/>
                <wp:effectExtent l="0" t="0" r="0" b="0"/>
                <wp:wrapTopAndBottom/>
                <wp:docPr id="466" name="Graphic 46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38"/>
                              </a:moveTo>
                              <a:lnTo>
                                <a:pt x="9335110" y="38"/>
                              </a:lnTo>
                              <a:lnTo>
                                <a:pt x="8280" y="38"/>
                              </a:lnTo>
                              <a:lnTo>
                                <a:pt x="0" y="0"/>
                              </a:lnTo>
                              <a:lnTo>
                                <a:pt x="0" y="8280"/>
                              </a:lnTo>
                              <a:lnTo>
                                <a:pt x="9335110" y="8318"/>
                              </a:lnTo>
                              <a:lnTo>
                                <a:pt x="9338970" y="8318"/>
                              </a:lnTo>
                              <a:lnTo>
                                <a:pt x="9338970" y="38"/>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466" o:spid="_x0000_s1159" style="width:735.4pt;height:0.7pt;margin-top:9.75pt;margin-left:28.5pt;mso-position-horizontal-relative:page;mso-wrap-distance-bottom:0;mso-wrap-distance-left:0;mso-wrap-distance-right:0;mso-wrap-distance-top:0;mso-wrap-style:square;position:absolute;visibility:visible;v-text-anchor:top;z-index:-251355136" coordsize="9339580,8890" path="m9338970,38l9335110,38l8280,38,,,,8280l9335110,8318l9338970,8318l9338970,38xe" fillcolor="gray" stroked="f">
                <v:path arrowok="t"/>
                <w10:wrap type="topAndBottom"/>
              </v:shape>
            </w:pict>
          </mc:Fallback>
        </mc:AlternateContent>
      </w:r>
    </w:p>
    <w:p w:rsidR="003F5784" w14:paraId="26F5BD1F" w14:textId="77777777">
      <w:pPr>
        <w:pStyle w:val="BodyText"/>
        <w:rPr>
          <w:sz w:val="18"/>
        </w:rPr>
      </w:pPr>
    </w:p>
    <w:p w:rsidR="003F5784" w14:paraId="3C6519F1" w14:textId="77777777">
      <w:pPr>
        <w:pStyle w:val="BodyText"/>
        <w:spacing w:before="206"/>
        <w:rPr>
          <w:sz w:val="18"/>
        </w:rPr>
      </w:pPr>
    </w:p>
    <w:p w:rsidR="003F5784" w14:paraId="0DA0F790" w14:textId="3C1FF850">
      <w:pPr>
        <w:pStyle w:val="Heading1"/>
      </w:pPr>
      <w:r>
        <w:t>NAEP</w:t>
      </w:r>
      <w:r>
        <w:rPr>
          <w:spacing w:val="-26"/>
        </w:rPr>
        <w:t xml:space="preserve"> </w:t>
      </w:r>
      <w:r>
        <w:t>Technical</w:t>
      </w:r>
      <w:r>
        <w:rPr>
          <w:spacing w:val="6"/>
        </w:rPr>
        <w:t xml:space="preserve"> </w:t>
      </w:r>
      <w:r>
        <w:t>Documentation</w:t>
      </w:r>
      <w:r w:rsidR="00E3225D">
        <w:t xml:space="preserve"> </w:t>
      </w:r>
      <w:r>
        <w:t>Weighting</w:t>
      </w:r>
      <w:r>
        <w:rPr>
          <w:spacing w:val="6"/>
        </w:rPr>
        <w:t xml:space="preserve"> </w:t>
      </w:r>
      <w:r>
        <w:t>Procedures</w:t>
      </w:r>
      <w:r>
        <w:rPr>
          <w:spacing w:val="7"/>
        </w:rPr>
        <w:t xml:space="preserve"> </w:t>
      </w:r>
      <w:r>
        <w:t>for</w:t>
      </w:r>
      <w:r>
        <w:rPr>
          <w:spacing w:val="-2"/>
        </w:rPr>
        <w:t xml:space="preserve"> </w:t>
      </w:r>
      <w:r>
        <w:t>the</w:t>
      </w:r>
      <w:r>
        <w:rPr>
          <w:spacing w:val="7"/>
        </w:rPr>
        <w:t xml:space="preserve"> </w:t>
      </w:r>
      <w:r>
        <w:t>2022</w:t>
      </w:r>
      <w:r>
        <w:rPr>
          <w:spacing w:val="-18"/>
        </w:rPr>
        <w:t xml:space="preserve"> </w:t>
      </w:r>
      <w:r>
        <w:rPr>
          <w:spacing w:val="-2"/>
        </w:rPr>
        <w:t>Assessment</w:t>
      </w:r>
    </w:p>
    <w:p w:rsidR="003F5784" w14:paraId="73460DF3" w14:textId="77777777">
      <w:pPr>
        <w:pStyle w:val="BodyText"/>
        <w:spacing w:before="2"/>
        <w:rPr>
          <w:b/>
          <w:sz w:val="16"/>
        </w:rPr>
      </w:pPr>
    </w:p>
    <w:p w:rsidR="003F5784" w14:paraId="61921DC9" w14:textId="77777777">
      <w:pPr>
        <w:rPr>
          <w:sz w:val="16"/>
        </w:rPr>
        <w:sectPr>
          <w:pgSz w:w="15840" w:h="12240" w:orient="landscape"/>
          <w:pgMar w:top="480" w:right="440" w:bottom="460" w:left="460" w:header="284" w:footer="275" w:gutter="0"/>
          <w:cols w:space="720"/>
        </w:sectPr>
      </w:pPr>
    </w:p>
    <w:p w:rsidR="003F5784" w14:paraId="3D8D8142" w14:textId="77777777">
      <w:pPr>
        <w:pStyle w:val="BodyText"/>
        <w:spacing w:before="96" w:line="232" w:lineRule="auto"/>
        <w:ind w:left="109" w:right="38"/>
      </w:pPr>
      <w:r>
        <w:t>NAEP</w:t>
      </w:r>
      <w:r>
        <w:rPr>
          <w:spacing w:val="-14"/>
        </w:rPr>
        <w:t xml:space="preserve"> </w:t>
      </w:r>
      <w:r>
        <w:t>assessments</w:t>
      </w:r>
      <w:r>
        <w:rPr>
          <w:spacing w:val="-8"/>
        </w:rPr>
        <w:t xml:space="preserve"> </w:t>
      </w:r>
      <w:r>
        <w:t>use</w:t>
      </w:r>
      <w:r>
        <w:rPr>
          <w:spacing w:val="-8"/>
        </w:rPr>
        <w:t xml:space="preserve"> </w:t>
      </w:r>
      <w:r>
        <w:t>complex</w:t>
      </w:r>
      <w:r>
        <w:rPr>
          <w:spacing w:val="-8"/>
        </w:rPr>
        <w:t xml:space="preserve"> </w:t>
      </w:r>
      <w:r>
        <w:t>sample</w:t>
      </w:r>
      <w:r>
        <w:rPr>
          <w:spacing w:val="-8"/>
        </w:rPr>
        <w:t xml:space="preserve"> </w:t>
      </w:r>
      <w:r>
        <w:t>designs</w:t>
      </w:r>
      <w:r>
        <w:rPr>
          <w:spacing w:val="-8"/>
        </w:rPr>
        <w:t xml:space="preserve"> </w:t>
      </w:r>
      <w:r>
        <w:t>to</w:t>
      </w:r>
      <w:r>
        <w:rPr>
          <w:spacing w:val="-8"/>
        </w:rPr>
        <w:t xml:space="preserve"> </w:t>
      </w:r>
      <w:r>
        <w:t>create</w:t>
      </w:r>
      <w:r>
        <w:rPr>
          <w:spacing w:val="-8"/>
        </w:rPr>
        <w:t xml:space="preserve"> </w:t>
      </w:r>
      <w:r>
        <w:t>student</w:t>
      </w:r>
      <w:r>
        <w:rPr>
          <w:spacing w:val="-8"/>
        </w:rPr>
        <w:t xml:space="preserve"> </w:t>
      </w:r>
      <w:r>
        <w:t>samples</w:t>
      </w:r>
      <w:r>
        <w:rPr>
          <w:spacing w:val="-8"/>
        </w:rPr>
        <w:t xml:space="preserve"> </w:t>
      </w:r>
      <w:r>
        <w:t>that</w:t>
      </w:r>
      <w:r>
        <w:rPr>
          <w:spacing w:val="-8"/>
        </w:rPr>
        <w:t xml:space="preserve"> </w:t>
      </w:r>
      <w:r>
        <w:t>generate</w:t>
      </w:r>
      <w:r>
        <w:rPr>
          <w:spacing w:val="-8"/>
        </w:rPr>
        <w:t xml:space="preserve"> </w:t>
      </w:r>
      <w:r>
        <w:t>population</w:t>
      </w:r>
      <w:r>
        <w:rPr>
          <w:spacing w:val="-8"/>
        </w:rPr>
        <w:t xml:space="preserve"> </w:t>
      </w:r>
      <w:r>
        <w:t>and</w:t>
      </w:r>
      <w:r>
        <w:rPr>
          <w:spacing w:val="-8"/>
        </w:rPr>
        <w:t xml:space="preserve"> </w:t>
      </w:r>
      <w:r>
        <w:t>subpopulation</w:t>
      </w:r>
      <w:r>
        <w:rPr>
          <w:spacing w:val="-8"/>
        </w:rPr>
        <w:t xml:space="preserve"> </w:t>
      </w:r>
      <w:r>
        <w:t>estimates with</w:t>
      </w:r>
      <w:r>
        <w:rPr>
          <w:spacing w:val="-1"/>
        </w:rPr>
        <w:t xml:space="preserve"> </w:t>
      </w:r>
      <w:r>
        <w:t>reasonably</w:t>
      </w:r>
      <w:r>
        <w:rPr>
          <w:spacing w:val="-1"/>
        </w:rPr>
        <w:t xml:space="preserve"> </w:t>
      </w:r>
      <w:r>
        <w:t>high</w:t>
      </w:r>
      <w:r>
        <w:rPr>
          <w:spacing w:val="-1"/>
        </w:rPr>
        <w:t xml:space="preserve"> </w:t>
      </w:r>
      <w:r>
        <w:t>precision.</w:t>
      </w:r>
      <w:r>
        <w:rPr>
          <w:spacing w:val="-1"/>
        </w:rPr>
        <w:t xml:space="preserve"> </w:t>
      </w:r>
      <w:r>
        <w:t>School</w:t>
      </w:r>
      <w:r>
        <w:rPr>
          <w:spacing w:val="-1"/>
        </w:rPr>
        <w:t xml:space="preserve"> </w:t>
      </w:r>
      <w:r>
        <w:t>and</w:t>
      </w:r>
      <w:r>
        <w:rPr>
          <w:spacing w:val="-1"/>
        </w:rPr>
        <w:t xml:space="preserve"> </w:t>
      </w:r>
      <w:r>
        <w:t>student</w:t>
      </w:r>
      <w:r>
        <w:rPr>
          <w:spacing w:val="-1"/>
        </w:rPr>
        <w:t xml:space="preserve"> </w:t>
      </w:r>
      <w:r>
        <w:t>sampling</w:t>
      </w:r>
      <w:r>
        <w:rPr>
          <w:spacing w:val="-1"/>
        </w:rPr>
        <w:t xml:space="preserve"> </w:t>
      </w:r>
      <w:r>
        <w:t>weights</w:t>
      </w:r>
      <w:r>
        <w:rPr>
          <w:spacing w:val="-1"/>
        </w:rPr>
        <w:t xml:space="preserve"> </w:t>
      </w:r>
      <w:r>
        <w:t>ensure</w:t>
      </w:r>
      <w:r>
        <w:rPr>
          <w:spacing w:val="-1"/>
        </w:rPr>
        <w:t xml:space="preserve"> </w:t>
      </w:r>
      <w:r>
        <w:t>valid</w:t>
      </w:r>
      <w:r>
        <w:rPr>
          <w:spacing w:val="-1"/>
        </w:rPr>
        <w:t xml:space="preserve"> </w:t>
      </w:r>
      <w:r>
        <w:t>inferences</w:t>
      </w:r>
      <w:r>
        <w:rPr>
          <w:spacing w:val="-1"/>
        </w:rPr>
        <w:t xml:space="preserve"> </w:t>
      </w:r>
      <w:r>
        <w:t>from</w:t>
      </w:r>
      <w:r>
        <w:rPr>
          <w:spacing w:val="-1"/>
        </w:rPr>
        <w:t xml:space="preserve"> </w:t>
      </w:r>
      <w:r>
        <w:t>the</w:t>
      </w:r>
      <w:r>
        <w:rPr>
          <w:spacing w:val="-1"/>
        </w:rPr>
        <w:t xml:space="preserve"> </w:t>
      </w:r>
      <w:r>
        <w:t>student</w:t>
      </w:r>
      <w:r>
        <w:rPr>
          <w:spacing w:val="-1"/>
        </w:rPr>
        <w:t xml:space="preserve"> </w:t>
      </w:r>
      <w:r>
        <w:t>samples</w:t>
      </w:r>
      <w:r>
        <w:rPr>
          <w:spacing w:val="-1"/>
        </w:rPr>
        <w:t xml:space="preserve"> </w:t>
      </w:r>
      <w:r>
        <w:t>to</w:t>
      </w:r>
      <w:r>
        <w:rPr>
          <w:spacing w:val="-1"/>
        </w:rPr>
        <w:t xml:space="preserve"> </w:t>
      </w:r>
      <w:r>
        <w:t>their respective</w:t>
      </w:r>
      <w:r>
        <w:rPr>
          <w:spacing w:val="-3"/>
        </w:rPr>
        <w:t xml:space="preserve"> </w:t>
      </w:r>
      <w:r>
        <w:t>populations.</w:t>
      </w:r>
      <w:r>
        <w:rPr>
          <w:spacing w:val="-3"/>
        </w:rPr>
        <w:t xml:space="preserve"> </w:t>
      </w:r>
      <w:r>
        <w:t>In</w:t>
      </w:r>
      <w:r>
        <w:rPr>
          <w:spacing w:val="-3"/>
        </w:rPr>
        <w:t xml:space="preserve"> </w:t>
      </w:r>
      <w:r>
        <w:t>2022,</w:t>
      </w:r>
      <w:r>
        <w:rPr>
          <w:spacing w:val="-3"/>
        </w:rPr>
        <w:t xml:space="preserve"> </w:t>
      </w:r>
      <w:r>
        <w:t>weights</w:t>
      </w:r>
      <w:r>
        <w:rPr>
          <w:spacing w:val="-3"/>
        </w:rPr>
        <w:t xml:space="preserve"> </w:t>
      </w:r>
      <w:r>
        <w:t>were</w:t>
      </w:r>
      <w:r>
        <w:rPr>
          <w:spacing w:val="-3"/>
        </w:rPr>
        <w:t xml:space="preserve"> </w:t>
      </w:r>
      <w:r>
        <w:t>developed</w:t>
      </w:r>
      <w:r>
        <w:rPr>
          <w:spacing w:val="-3"/>
        </w:rPr>
        <w:t xml:space="preserve"> </w:t>
      </w:r>
      <w:r>
        <w:t>for</w:t>
      </w:r>
      <w:r>
        <w:rPr>
          <w:spacing w:val="-3"/>
        </w:rPr>
        <w:t xml:space="preserve"> </w:t>
      </w:r>
      <w:r>
        <w:t>schools</w:t>
      </w:r>
      <w:r>
        <w:rPr>
          <w:spacing w:val="-3"/>
        </w:rPr>
        <w:t xml:space="preserve"> </w:t>
      </w:r>
      <w:r>
        <w:t>and</w:t>
      </w:r>
      <w:r>
        <w:rPr>
          <w:spacing w:val="-3"/>
        </w:rPr>
        <w:t xml:space="preserve"> </w:t>
      </w:r>
      <w:r>
        <w:t>students</w:t>
      </w:r>
      <w:r>
        <w:rPr>
          <w:spacing w:val="-3"/>
        </w:rPr>
        <w:t xml:space="preserve"> </w:t>
      </w:r>
      <w:r>
        <w:t>sampled</w:t>
      </w:r>
      <w:r>
        <w:rPr>
          <w:spacing w:val="-3"/>
        </w:rPr>
        <w:t xml:space="preserve"> </w:t>
      </w:r>
      <w:r>
        <w:t>at</w:t>
      </w:r>
      <w:r>
        <w:rPr>
          <w:spacing w:val="-3"/>
        </w:rPr>
        <w:t xml:space="preserve"> </w:t>
      </w:r>
      <w:r>
        <w:t>grades</w:t>
      </w:r>
      <w:r>
        <w:rPr>
          <w:spacing w:val="-3"/>
        </w:rPr>
        <w:t xml:space="preserve"> </w:t>
      </w:r>
      <w:r>
        <w:t>4</w:t>
      </w:r>
      <w:r>
        <w:rPr>
          <w:spacing w:val="-3"/>
        </w:rPr>
        <w:t xml:space="preserve"> </w:t>
      </w:r>
      <w:r>
        <w:t>and</w:t>
      </w:r>
      <w:r>
        <w:rPr>
          <w:spacing w:val="-3"/>
        </w:rPr>
        <w:t xml:space="preserve"> </w:t>
      </w:r>
      <w:r>
        <w:t>8</w:t>
      </w:r>
      <w:r>
        <w:rPr>
          <w:spacing w:val="-3"/>
        </w:rPr>
        <w:t xml:space="preserve"> </w:t>
      </w:r>
      <w:r>
        <w:t>for</w:t>
      </w:r>
      <w:r>
        <w:rPr>
          <w:spacing w:val="-3"/>
        </w:rPr>
        <w:t xml:space="preserve"> </w:t>
      </w:r>
      <w:r>
        <w:t>assessments</w:t>
      </w:r>
      <w:r>
        <w:rPr>
          <w:spacing w:val="-3"/>
        </w:rPr>
        <w:t xml:space="preserve"> </w:t>
      </w:r>
      <w:r>
        <w:t>in</w:t>
      </w:r>
    </w:p>
    <w:p w:rsidR="003F5784" w14:paraId="78A4A7A0" w14:textId="77777777">
      <w:pPr>
        <w:pStyle w:val="BodyText"/>
        <w:spacing w:before="96" w:line="232" w:lineRule="auto"/>
        <w:ind w:left="109"/>
      </w:pPr>
      <w:r>
        <w:br w:type="column"/>
        <w:t>Computation</w:t>
      </w:r>
      <w:r>
        <w:rPr>
          <w:spacing w:val="-14"/>
        </w:rPr>
        <w:t xml:space="preserve"> </w:t>
      </w:r>
      <w:r>
        <w:t>of</w:t>
      </w:r>
      <w:r>
        <w:rPr>
          <w:spacing w:val="-13"/>
        </w:rPr>
        <w:t xml:space="preserve"> </w:t>
      </w:r>
      <w:r>
        <w:t>Full-Sample</w:t>
      </w:r>
      <w:r>
        <w:rPr>
          <w:spacing w:val="-13"/>
        </w:rPr>
        <w:t xml:space="preserve"> </w:t>
      </w:r>
      <w:r>
        <w:t xml:space="preserve">Student </w:t>
      </w:r>
      <w:r>
        <w:rPr>
          <w:spacing w:val="-2"/>
        </w:rPr>
        <w:t>Weights</w:t>
      </w:r>
    </w:p>
    <w:p w:rsidR="003F5784" w14:paraId="5FBF9F7B" w14:textId="77777777">
      <w:pPr>
        <w:spacing w:line="232" w:lineRule="auto"/>
        <w:sectPr>
          <w:type w:val="continuous"/>
          <w:pgSz w:w="15840" w:h="12240" w:orient="landscape"/>
          <w:pgMar w:top="480" w:right="440" w:bottom="460" w:left="460" w:header="284" w:footer="275" w:gutter="0"/>
          <w:cols w:num="2" w:space="720" w:equalWidth="0">
            <w:col w:w="10793" w:space="638"/>
            <w:col w:w="3509"/>
          </w:cols>
        </w:sectPr>
      </w:pPr>
    </w:p>
    <w:p w:rsidR="003F5784" w14:paraId="55562359" w14:textId="77777777">
      <w:pPr>
        <w:pStyle w:val="BodyText"/>
        <w:spacing w:before="78" w:line="232" w:lineRule="auto"/>
        <w:ind w:left="109"/>
      </w:pPr>
      <w:r>
        <w:t>mathematics and reading, schools and students sampled at grade 8 for assessments in civics and U.S. history, and for schools and students</w:t>
      </w:r>
      <w:r>
        <w:rPr>
          <w:spacing w:val="-8"/>
        </w:rPr>
        <w:t xml:space="preserve"> </w:t>
      </w:r>
      <w:r>
        <w:t>sampled</w:t>
      </w:r>
      <w:r>
        <w:rPr>
          <w:spacing w:val="-8"/>
        </w:rPr>
        <w:t xml:space="preserve"> </w:t>
      </w:r>
      <w:r>
        <w:t>at</w:t>
      </w:r>
      <w:r>
        <w:rPr>
          <w:spacing w:val="-8"/>
        </w:rPr>
        <w:t xml:space="preserve"> </w:t>
      </w:r>
      <w:r>
        <w:t>ages</w:t>
      </w:r>
      <w:r>
        <w:rPr>
          <w:spacing w:val="-8"/>
        </w:rPr>
        <w:t xml:space="preserve"> </w:t>
      </w:r>
      <w:r>
        <w:t>9</w:t>
      </w:r>
      <w:r>
        <w:rPr>
          <w:spacing w:val="-8"/>
        </w:rPr>
        <w:t xml:space="preserve"> </w:t>
      </w:r>
      <w:r>
        <w:t>and</w:t>
      </w:r>
      <w:r>
        <w:rPr>
          <w:spacing w:val="-8"/>
        </w:rPr>
        <w:t xml:space="preserve"> </w:t>
      </w:r>
      <w:r>
        <w:t>13</w:t>
      </w:r>
      <w:r>
        <w:rPr>
          <w:spacing w:val="-8"/>
        </w:rPr>
        <w:t xml:space="preserve"> </w:t>
      </w:r>
      <w:r>
        <w:t>for</w:t>
      </w:r>
      <w:r>
        <w:rPr>
          <w:spacing w:val="-8"/>
        </w:rPr>
        <w:t xml:space="preserve"> </w:t>
      </w:r>
      <w:r>
        <w:t>long-term</w:t>
      </w:r>
      <w:r>
        <w:rPr>
          <w:spacing w:val="-8"/>
        </w:rPr>
        <w:t xml:space="preserve"> </w:t>
      </w:r>
      <w:r>
        <w:t>trend</w:t>
      </w:r>
      <w:r>
        <w:rPr>
          <w:spacing w:val="-8"/>
        </w:rPr>
        <w:t xml:space="preserve"> </w:t>
      </w:r>
      <w:r>
        <w:t>(LTT)</w:t>
      </w:r>
      <w:r>
        <w:rPr>
          <w:spacing w:val="-8"/>
        </w:rPr>
        <w:t xml:space="preserve"> </w:t>
      </w:r>
      <w:r>
        <w:t>assessments</w:t>
      </w:r>
      <w:r>
        <w:rPr>
          <w:spacing w:val="-8"/>
        </w:rPr>
        <w:t xml:space="preserve"> </w:t>
      </w:r>
      <w:r>
        <w:t>in</w:t>
      </w:r>
      <w:r>
        <w:rPr>
          <w:spacing w:val="-8"/>
        </w:rPr>
        <w:t xml:space="preserve"> </w:t>
      </w:r>
      <w:r>
        <w:t>mathematics</w:t>
      </w:r>
      <w:r>
        <w:rPr>
          <w:spacing w:val="-8"/>
        </w:rPr>
        <w:t xml:space="preserve"> </w:t>
      </w:r>
      <w:r>
        <w:t>and</w:t>
      </w:r>
      <w:r>
        <w:rPr>
          <w:spacing w:val="-8"/>
        </w:rPr>
        <w:t xml:space="preserve"> </w:t>
      </w:r>
      <w:r>
        <w:t>reading.</w:t>
      </w:r>
      <w:r>
        <w:rPr>
          <w:spacing w:val="-11"/>
        </w:rPr>
        <w:t xml:space="preserve"> </w:t>
      </w:r>
      <w:r>
        <w:t>The</w:t>
      </w:r>
      <w:r>
        <w:rPr>
          <w:spacing w:val="-8"/>
        </w:rPr>
        <w:t xml:space="preserve"> </w:t>
      </w:r>
      <w:r>
        <w:t>grade-based</w:t>
      </w:r>
      <w:r>
        <w:rPr>
          <w:spacing w:val="-8"/>
        </w:rPr>
        <w:t xml:space="preserve"> </w:t>
      </w:r>
      <w:r>
        <w:t>assessments were administered using tablets, and the LTT assessments were administered using paper and pencil.</w:t>
      </w:r>
    </w:p>
    <w:p w:rsidR="003F5784" w14:paraId="6496FC39" w14:textId="77777777">
      <w:pPr>
        <w:pStyle w:val="Heading2"/>
        <w:spacing w:before="204"/>
        <w:ind w:left="109"/>
      </w:pPr>
      <w:r>
        <w:t>Student</w:t>
      </w:r>
      <w:r>
        <w:rPr>
          <w:spacing w:val="-14"/>
        </w:rPr>
        <w:t xml:space="preserve"> </w:t>
      </w:r>
      <w:r>
        <w:rPr>
          <w:spacing w:val="-2"/>
        </w:rPr>
        <w:t>Weights</w:t>
      </w:r>
    </w:p>
    <w:p w:rsidR="003F5784" w14:paraId="0F571052" w14:textId="77777777">
      <w:pPr>
        <w:pStyle w:val="BodyText"/>
        <w:spacing w:before="207" w:line="232" w:lineRule="auto"/>
        <w:ind w:left="109" w:right="14"/>
      </w:pPr>
      <w:r>
        <w:t>Each</w:t>
      </w:r>
      <w:r>
        <w:rPr>
          <w:spacing w:val="-6"/>
        </w:rPr>
        <w:t xml:space="preserve"> </w:t>
      </w:r>
      <w:r>
        <w:t>student</w:t>
      </w:r>
      <w:r>
        <w:rPr>
          <w:spacing w:val="-6"/>
        </w:rPr>
        <w:t xml:space="preserve"> </w:t>
      </w:r>
      <w:r>
        <w:t>was</w:t>
      </w:r>
      <w:r>
        <w:rPr>
          <w:spacing w:val="-6"/>
        </w:rPr>
        <w:t xml:space="preserve"> </w:t>
      </w:r>
      <w:r>
        <w:t>assigned</w:t>
      </w:r>
      <w:r>
        <w:rPr>
          <w:spacing w:val="-6"/>
        </w:rPr>
        <w:t xml:space="preserve"> </w:t>
      </w:r>
      <w:r>
        <w:t>a</w:t>
      </w:r>
      <w:r>
        <w:rPr>
          <w:spacing w:val="-6"/>
        </w:rPr>
        <w:t xml:space="preserve"> </w:t>
      </w:r>
      <w:r>
        <w:t>weight</w:t>
      </w:r>
      <w:r>
        <w:rPr>
          <w:spacing w:val="-6"/>
        </w:rPr>
        <w:t xml:space="preserve"> </w:t>
      </w:r>
      <w:r>
        <w:t>to</w:t>
      </w:r>
      <w:r>
        <w:rPr>
          <w:spacing w:val="-6"/>
        </w:rPr>
        <w:t xml:space="preserve"> </w:t>
      </w:r>
      <w:r>
        <w:t>be</w:t>
      </w:r>
      <w:r>
        <w:rPr>
          <w:spacing w:val="-6"/>
        </w:rPr>
        <w:t xml:space="preserve"> </w:t>
      </w:r>
      <w:r>
        <w:t>used</w:t>
      </w:r>
      <w:r>
        <w:rPr>
          <w:spacing w:val="-6"/>
        </w:rPr>
        <w:t xml:space="preserve"> </w:t>
      </w:r>
      <w:r>
        <w:t>for</w:t>
      </w:r>
      <w:r>
        <w:rPr>
          <w:spacing w:val="-6"/>
        </w:rPr>
        <w:t xml:space="preserve"> </w:t>
      </w:r>
      <w:r>
        <w:t>making</w:t>
      </w:r>
      <w:r>
        <w:rPr>
          <w:spacing w:val="-6"/>
        </w:rPr>
        <w:t xml:space="preserve"> </w:t>
      </w:r>
      <w:r>
        <w:t>inferences</w:t>
      </w:r>
      <w:r>
        <w:rPr>
          <w:spacing w:val="-6"/>
        </w:rPr>
        <w:t xml:space="preserve"> </w:t>
      </w:r>
      <w:r>
        <w:t>about</w:t>
      </w:r>
      <w:r>
        <w:rPr>
          <w:spacing w:val="-6"/>
        </w:rPr>
        <w:t xml:space="preserve"> </w:t>
      </w:r>
      <w:r>
        <w:t>students</w:t>
      </w:r>
      <w:r>
        <w:rPr>
          <w:spacing w:val="-6"/>
        </w:rPr>
        <w:t xml:space="preserve"> </w:t>
      </w:r>
      <w:r>
        <w:t>in</w:t>
      </w:r>
      <w:r>
        <w:rPr>
          <w:spacing w:val="-6"/>
        </w:rPr>
        <w:t xml:space="preserve"> </w:t>
      </w:r>
      <w:r>
        <w:t>the</w:t>
      </w:r>
      <w:r>
        <w:rPr>
          <w:spacing w:val="-6"/>
        </w:rPr>
        <w:t xml:space="preserve"> </w:t>
      </w:r>
      <w:r>
        <w:t>target</w:t>
      </w:r>
      <w:r>
        <w:rPr>
          <w:spacing w:val="-6"/>
        </w:rPr>
        <w:t xml:space="preserve"> </w:t>
      </w:r>
      <w:r>
        <w:t>population.</w:t>
      </w:r>
      <w:r>
        <w:rPr>
          <w:spacing w:val="-10"/>
        </w:rPr>
        <w:t xml:space="preserve"> </w:t>
      </w:r>
      <w:r>
        <w:t>This</w:t>
      </w:r>
      <w:r>
        <w:rPr>
          <w:spacing w:val="-6"/>
        </w:rPr>
        <w:t xml:space="preserve"> </w:t>
      </w:r>
      <w:r>
        <w:t>weight</w:t>
      </w:r>
      <w:r>
        <w:rPr>
          <w:spacing w:val="-6"/>
        </w:rPr>
        <w:t xml:space="preserve"> </w:t>
      </w:r>
      <w:r>
        <w:t>is</w:t>
      </w:r>
      <w:r>
        <w:rPr>
          <w:spacing w:val="-6"/>
        </w:rPr>
        <w:t xml:space="preserve"> </w:t>
      </w:r>
      <w:r>
        <w:t>known as the final full-sample student weight and contains the following major components:</w:t>
      </w:r>
    </w:p>
    <w:p w:rsidR="003F5784" w14:paraId="1A19C5B3" w14:textId="77777777">
      <w:pPr>
        <w:pStyle w:val="BodyText"/>
        <w:spacing w:before="204" w:line="238" w:lineRule="exact"/>
        <w:ind w:left="422"/>
      </w:pPr>
      <w:r>
        <w:rPr>
          <w:noProof/>
          <w:position w:val="3"/>
        </w:rPr>
        <w:drawing>
          <wp:inline distT="0" distB="0" distL="0" distR="0">
            <wp:extent cx="41379" cy="41378"/>
            <wp:effectExtent l="0" t="0" r="0" b="0"/>
            <wp:docPr id="467" name="Image 467"/>
            <wp:cNvGraphicFramePr/>
            <a:graphic xmlns:a="http://schemas.openxmlformats.org/drawingml/2006/main">
              <a:graphicData uri="http://schemas.openxmlformats.org/drawingml/2006/picture">
                <pic:pic xmlns:pic="http://schemas.openxmlformats.org/drawingml/2006/picture">
                  <pic:nvPicPr>
                    <pic:cNvPr id="467" name="Image 467"/>
                    <pic:cNvPicPr/>
                  </pic:nvPicPr>
                  <pic:blipFill>
                    <a:blip xmlns:r="http://schemas.openxmlformats.org/officeDocument/2006/relationships" r:embed="rId367" cstate="print"/>
                    <a:stretch>
                      <a:fillRect/>
                    </a:stretch>
                  </pic:blipFill>
                  <pic:spPr>
                    <a:xfrm>
                      <a:off x="0" y="0"/>
                      <a:ext cx="41379" cy="41378"/>
                    </a:xfrm>
                    <a:prstGeom prst="rect">
                      <a:avLst/>
                    </a:prstGeom>
                  </pic:spPr>
                </pic:pic>
              </a:graphicData>
            </a:graphic>
          </wp:inline>
        </w:drawing>
      </w:r>
      <w:r>
        <w:rPr>
          <w:spacing w:val="80"/>
          <w:sz w:val="20"/>
        </w:rPr>
        <w:t xml:space="preserve"> </w:t>
      </w:r>
      <w:r>
        <w:t>the student base weight,</w:t>
      </w:r>
    </w:p>
    <w:p w:rsidR="003F5784" w14:paraId="69C2286F" w14:textId="77777777">
      <w:pPr>
        <w:pStyle w:val="BodyText"/>
        <w:spacing w:before="2" w:line="232" w:lineRule="auto"/>
        <w:ind w:left="422" w:right="7704"/>
      </w:pPr>
      <w:r>
        <w:rPr>
          <w:noProof/>
          <w:position w:val="3"/>
        </w:rPr>
        <w:drawing>
          <wp:inline distT="0" distB="0" distL="0" distR="0">
            <wp:extent cx="41379" cy="41378"/>
            <wp:effectExtent l="0" t="0" r="0" b="0"/>
            <wp:docPr id="468" name="Image 468"/>
            <wp:cNvGraphicFramePr/>
            <a:graphic xmlns:a="http://schemas.openxmlformats.org/drawingml/2006/main">
              <a:graphicData uri="http://schemas.openxmlformats.org/drawingml/2006/picture">
                <pic:pic xmlns:pic="http://schemas.openxmlformats.org/drawingml/2006/picture">
                  <pic:nvPicPr>
                    <pic:cNvPr id="468" name="Image 468"/>
                    <pic:cNvPicPr/>
                  </pic:nvPicPr>
                  <pic:blipFill>
                    <a:blip xmlns:r="http://schemas.openxmlformats.org/officeDocument/2006/relationships" r:embed="rId368" cstate="print"/>
                    <a:stretch>
                      <a:fillRect/>
                    </a:stretch>
                  </pic:blipFill>
                  <pic:spPr>
                    <a:xfrm>
                      <a:off x="0" y="0"/>
                      <a:ext cx="41379" cy="41378"/>
                    </a:xfrm>
                    <a:prstGeom prst="rect">
                      <a:avLst/>
                    </a:prstGeom>
                  </pic:spPr>
                </pic:pic>
              </a:graphicData>
            </a:graphic>
          </wp:inline>
        </w:drawing>
      </w:r>
      <w:r>
        <w:rPr>
          <w:spacing w:val="80"/>
          <w:sz w:val="20"/>
        </w:rPr>
        <w:t xml:space="preserve"> </w:t>
      </w:r>
      <w:r>
        <w:t xml:space="preserve">school nonresponse adjustments, </w:t>
      </w:r>
      <w:r>
        <w:rPr>
          <w:noProof/>
          <w:position w:val="3"/>
        </w:rPr>
        <w:drawing>
          <wp:inline distT="0" distB="0" distL="0" distR="0">
            <wp:extent cx="41379" cy="41378"/>
            <wp:effectExtent l="0" t="0" r="0" b="0"/>
            <wp:docPr id="469" name="Image 469"/>
            <wp:cNvGraphicFramePr/>
            <a:graphic xmlns:a="http://schemas.openxmlformats.org/drawingml/2006/main">
              <a:graphicData uri="http://schemas.openxmlformats.org/drawingml/2006/picture">
                <pic:pic xmlns:pic="http://schemas.openxmlformats.org/drawingml/2006/picture">
                  <pic:nvPicPr>
                    <pic:cNvPr id="469" name="Image 469"/>
                    <pic:cNvPicPr/>
                  </pic:nvPicPr>
                  <pic:blipFill>
                    <a:blip xmlns:r="http://schemas.openxmlformats.org/officeDocument/2006/relationships" r:embed="rId369" cstate="print"/>
                    <a:stretch>
                      <a:fillRect/>
                    </a:stretch>
                  </pic:blipFill>
                  <pic:spPr>
                    <a:xfrm>
                      <a:off x="0" y="0"/>
                      <a:ext cx="41379" cy="41378"/>
                    </a:xfrm>
                    <a:prstGeom prst="rect">
                      <a:avLst/>
                    </a:prstGeom>
                  </pic:spPr>
                </pic:pic>
              </a:graphicData>
            </a:graphic>
          </wp:inline>
        </w:drawing>
      </w:r>
      <w:r>
        <w:rPr>
          <w:spacing w:val="58"/>
        </w:rPr>
        <w:t xml:space="preserve"> </w:t>
      </w:r>
      <w:r>
        <w:t>student</w:t>
      </w:r>
      <w:r>
        <w:rPr>
          <w:spacing w:val="-12"/>
        </w:rPr>
        <w:t xml:space="preserve"> </w:t>
      </w:r>
      <w:r>
        <w:t>nonresponse</w:t>
      </w:r>
      <w:r>
        <w:rPr>
          <w:spacing w:val="-12"/>
        </w:rPr>
        <w:t xml:space="preserve"> </w:t>
      </w:r>
      <w:r>
        <w:t>adjustments,</w:t>
      </w:r>
    </w:p>
    <w:p w:rsidR="003F5784" w14:paraId="5896244E" w14:textId="77777777">
      <w:pPr>
        <w:pStyle w:val="BodyText"/>
        <w:spacing w:line="233" w:lineRule="exact"/>
        <w:ind w:left="422"/>
      </w:pPr>
      <w:r>
        <w:rPr>
          <w:noProof/>
          <w:position w:val="3"/>
        </w:rPr>
        <w:drawing>
          <wp:inline distT="0" distB="0" distL="0" distR="0">
            <wp:extent cx="41379" cy="41378"/>
            <wp:effectExtent l="0" t="0" r="0" b="0"/>
            <wp:docPr id="470" name="Image 470"/>
            <wp:cNvGraphicFramePr/>
            <a:graphic xmlns:a="http://schemas.openxmlformats.org/drawingml/2006/main">
              <a:graphicData uri="http://schemas.openxmlformats.org/drawingml/2006/picture">
                <pic:pic xmlns:pic="http://schemas.openxmlformats.org/drawingml/2006/picture">
                  <pic:nvPicPr>
                    <pic:cNvPr id="470" name="Image 470"/>
                    <pic:cNvPicPr/>
                  </pic:nvPicPr>
                  <pic:blipFill>
                    <a:blip xmlns:r="http://schemas.openxmlformats.org/officeDocument/2006/relationships" r:embed="rId370" cstate="print"/>
                    <a:stretch>
                      <a:fillRect/>
                    </a:stretch>
                  </pic:blipFill>
                  <pic:spPr>
                    <a:xfrm>
                      <a:off x="0" y="0"/>
                      <a:ext cx="41379" cy="41378"/>
                    </a:xfrm>
                    <a:prstGeom prst="rect">
                      <a:avLst/>
                    </a:prstGeom>
                  </pic:spPr>
                </pic:pic>
              </a:graphicData>
            </a:graphic>
          </wp:inline>
        </w:drawing>
      </w:r>
      <w:r>
        <w:rPr>
          <w:spacing w:val="80"/>
          <w:sz w:val="20"/>
        </w:rPr>
        <w:t xml:space="preserve"> </w:t>
      </w:r>
      <w:r>
        <w:t>school weight trimming adjustments,</w:t>
      </w:r>
    </w:p>
    <w:p w:rsidR="003F5784" w14:paraId="12FBB974" w14:textId="77777777">
      <w:pPr>
        <w:pStyle w:val="BodyText"/>
        <w:spacing w:before="3" w:line="232" w:lineRule="auto"/>
        <w:ind w:left="422" w:right="6994"/>
      </w:pPr>
      <w:r>
        <w:rPr>
          <w:noProof/>
          <w:position w:val="3"/>
        </w:rPr>
        <w:drawing>
          <wp:inline distT="0" distB="0" distL="0" distR="0">
            <wp:extent cx="41379" cy="41378"/>
            <wp:effectExtent l="0" t="0" r="0" b="0"/>
            <wp:docPr id="471" name="Image 471"/>
            <wp:cNvGraphicFramePr/>
            <a:graphic xmlns:a="http://schemas.openxmlformats.org/drawingml/2006/main">
              <a:graphicData uri="http://schemas.openxmlformats.org/drawingml/2006/picture">
                <pic:pic xmlns:pic="http://schemas.openxmlformats.org/drawingml/2006/picture">
                  <pic:nvPicPr>
                    <pic:cNvPr id="471" name="Image 471"/>
                    <pic:cNvPicPr/>
                  </pic:nvPicPr>
                  <pic:blipFill>
                    <a:blip xmlns:r="http://schemas.openxmlformats.org/officeDocument/2006/relationships" r:embed="rId371" cstate="print"/>
                    <a:stretch>
                      <a:fillRect/>
                    </a:stretch>
                  </pic:blipFill>
                  <pic:spPr>
                    <a:xfrm>
                      <a:off x="0" y="0"/>
                      <a:ext cx="41379" cy="41378"/>
                    </a:xfrm>
                    <a:prstGeom prst="rect">
                      <a:avLst/>
                    </a:prstGeom>
                  </pic:spPr>
                </pic:pic>
              </a:graphicData>
            </a:graphic>
          </wp:inline>
        </w:drawing>
      </w:r>
      <w:r>
        <w:rPr>
          <w:spacing w:val="70"/>
          <w:sz w:val="20"/>
        </w:rPr>
        <w:t xml:space="preserve"> </w:t>
      </w:r>
      <w:r>
        <w:t>student</w:t>
      </w:r>
      <w:r>
        <w:rPr>
          <w:spacing w:val="-10"/>
        </w:rPr>
        <w:t xml:space="preserve"> </w:t>
      </w:r>
      <w:r>
        <w:t>weight</w:t>
      </w:r>
      <w:r>
        <w:rPr>
          <w:spacing w:val="-10"/>
        </w:rPr>
        <w:t xml:space="preserve"> </w:t>
      </w:r>
      <w:r>
        <w:t>trimming</w:t>
      </w:r>
      <w:r>
        <w:rPr>
          <w:spacing w:val="-10"/>
        </w:rPr>
        <w:t xml:space="preserve"> </w:t>
      </w:r>
      <w:r>
        <w:t>adjustments,</w:t>
      </w:r>
      <w:r>
        <w:rPr>
          <w:spacing w:val="-10"/>
        </w:rPr>
        <w:t xml:space="preserve"> </w:t>
      </w:r>
      <w:r>
        <w:t xml:space="preserve">and </w:t>
      </w:r>
      <w:r>
        <w:rPr>
          <w:noProof/>
          <w:position w:val="3"/>
        </w:rPr>
        <w:drawing>
          <wp:inline distT="0" distB="0" distL="0" distR="0">
            <wp:extent cx="41379" cy="41378"/>
            <wp:effectExtent l="0" t="0" r="0" b="0"/>
            <wp:docPr id="472" name="Image 472"/>
            <wp:cNvGraphicFramePr/>
            <a:graphic xmlns:a="http://schemas.openxmlformats.org/drawingml/2006/main">
              <a:graphicData uri="http://schemas.openxmlformats.org/drawingml/2006/picture">
                <pic:pic xmlns:pic="http://schemas.openxmlformats.org/drawingml/2006/picture">
                  <pic:nvPicPr>
                    <pic:cNvPr id="472" name="Image 472"/>
                    <pic:cNvPicPr/>
                  </pic:nvPicPr>
                  <pic:blipFill>
                    <a:blip xmlns:r="http://schemas.openxmlformats.org/officeDocument/2006/relationships" r:embed="rId372" cstate="print"/>
                    <a:stretch>
                      <a:fillRect/>
                    </a:stretch>
                  </pic:blipFill>
                  <pic:spPr>
                    <a:xfrm>
                      <a:off x="0" y="0"/>
                      <a:ext cx="41379" cy="41378"/>
                    </a:xfrm>
                    <a:prstGeom prst="rect">
                      <a:avLst/>
                    </a:prstGeom>
                  </pic:spPr>
                </pic:pic>
              </a:graphicData>
            </a:graphic>
          </wp:inline>
        </w:drawing>
      </w:r>
      <w:r>
        <w:rPr>
          <w:spacing w:val="80"/>
        </w:rPr>
        <w:t xml:space="preserve"> </w:t>
      </w:r>
      <w:r>
        <w:t>student raking adjustment.</w:t>
      </w:r>
    </w:p>
    <w:p w:rsidR="003F5784" w14:paraId="5E0646F2" w14:textId="77777777">
      <w:pPr>
        <w:pStyle w:val="BodyText"/>
        <w:spacing w:before="78" w:line="232" w:lineRule="auto"/>
        <w:ind w:left="109"/>
      </w:pPr>
      <w:r>
        <w:br w:type="column"/>
        <w:t>Computation</w:t>
      </w:r>
      <w:r>
        <w:rPr>
          <w:spacing w:val="-14"/>
        </w:rPr>
        <w:t xml:space="preserve"> </w:t>
      </w:r>
      <w:r>
        <w:t>of</w:t>
      </w:r>
      <w:r>
        <w:rPr>
          <w:spacing w:val="-13"/>
        </w:rPr>
        <w:t xml:space="preserve"> </w:t>
      </w:r>
      <w:r>
        <w:t>Replicate</w:t>
      </w:r>
      <w:r>
        <w:rPr>
          <w:spacing w:val="-13"/>
        </w:rPr>
        <w:t xml:space="preserve"> </w:t>
      </w:r>
      <w:r>
        <w:t>Student Weights for Variance Estimation</w:t>
      </w:r>
    </w:p>
    <w:p w:rsidR="003F5784" w14:paraId="31DC8769" w14:textId="77777777">
      <w:pPr>
        <w:pStyle w:val="BodyText"/>
        <w:spacing w:before="209" w:line="232" w:lineRule="auto"/>
        <w:ind w:left="109" w:right="58"/>
      </w:pPr>
      <w:r>
        <w:t>Computation</w:t>
      </w:r>
      <w:r>
        <w:rPr>
          <w:spacing w:val="-14"/>
        </w:rPr>
        <w:t xml:space="preserve"> </w:t>
      </w:r>
      <w:r>
        <w:t>of</w:t>
      </w:r>
      <w:r>
        <w:rPr>
          <w:spacing w:val="-13"/>
        </w:rPr>
        <w:t xml:space="preserve"> </w:t>
      </w:r>
      <w:r>
        <w:t>Full-Sample</w:t>
      </w:r>
      <w:r>
        <w:rPr>
          <w:spacing w:val="-13"/>
        </w:rPr>
        <w:t xml:space="preserve"> </w:t>
      </w:r>
      <w:r>
        <w:t xml:space="preserve">School </w:t>
      </w:r>
      <w:r>
        <w:rPr>
          <w:spacing w:val="-2"/>
        </w:rPr>
        <w:t>Weights</w:t>
      </w:r>
    </w:p>
    <w:p w:rsidR="003F5784" w14:paraId="74438448" w14:textId="77777777">
      <w:pPr>
        <w:pStyle w:val="BodyText"/>
        <w:spacing w:before="210" w:line="232" w:lineRule="auto"/>
        <w:ind w:left="109"/>
      </w:pPr>
      <w:r>
        <w:t>Computation</w:t>
      </w:r>
      <w:r>
        <w:rPr>
          <w:spacing w:val="-14"/>
        </w:rPr>
        <w:t xml:space="preserve"> </w:t>
      </w:r>
      <w:r>
        <w:t>of</w:t>
      </w:r>
      <w:r>
        <w:rPr>
          <w:spacing w:val="-13"/>
        </w:rPr>
        <w:t xml:space="preserve"> </w:t>
      </w:r>
      <w:r>
        <w:t>Replicate</w:t>
      </w:r>
      <w:r>
        <w:rPr>
          <w:spacing w:val="-13"/>
        </w:rPr>
        <w:t xml:space="preserve"> </w:t>
      </w:r>
      <w:r>
        <w:t>School Weights</w:t>
      </w:r>
      <w:r>
        <w:rPr>
          <w:spacing w:val="-6"/>
        </w:rPr>
        <w:t xml:space="preserve"> </w:t>
      </w:r>
      <w:r>
        <w:t>for</w:t>
      </w:r>
      <w:r>
        <w:rPr>
          <w:spacing w:val="-10"/>
        </w:rPr>
        <w:t xml:space="preserve"> </w:t>
      </w:r>
      <w:r>
        <w:t>Variance</w:t>
      </w:r>
      <w:r>
        <w:rPr>
          <w:spacing w:val="-6"/>
        </w:rPr>
        <w:t xml:space="preserve"> </w:t>
      </w:r>
      <w:r>
        <w:t>Estimation</w:t>
      </w:r>
    </w:p>
    <w:p w:rsidR="003F5784" w14:paraId="5D36C6C0" w14:textId="77777777">
      <w:pPr>
        <w:pStyle w:val="BodyText"/>
        <w:spacing w:before="209" w:line="232" w:lineRule="auto"/>
        <w:ind w:left="109" w:right="58"/>
      </w:pPr>
      <w:r>
        <w:rPr>
          <w:spacing w:val="-2"/>
        </w:rPr>
        <w:t>Quality</w:t>
      </w:r>
      <w:r>
        <w:rPr>
          <w:spacing w:val="-8"/>
        </w:rPr>
        <w:t xml:space="preserve"> </w:t>
      </w:r>
      <w:r>
        <w:rPr>
          <w:spacing w:val="-2"/>
        </w:rPr>
        <w:t>Control</w:t>
      </w:r>
      <w:r>
        <w:rPr>
          <w:spacing w:val="-8"/>
        </w:rPr>
        <w:t xml:space="preserve"> </w:t>
      </w:r>
      <w:r>
        <w:rPr>
          <w:spacing w:val="-2"/>
        </w:rPr>
        <w:t>on</w:t>
      </w:r>
      <w:r>
        <w:rPr>
          <w:spacing w:val="-11"/>
        </w:rPr>
        <w:t xml:space="preserve"> </w:t>
      </w:r>
      <w:r>
        <w:rPr>
          <w:spacing w:val="-2"/>
        </w:rPr>
        <w:t>Weighting Procedures</w:t>
      </w:r>
    </w:p>
    <w:p w:rsidR="003F5784" w14:paraId="197392B0" w14:textId="77777777">
      <w:pPr>
        <w:spacing w:line="232" w:lineRule="auto"/>
        <w:sectPr>
          <w:pgSz w:w="15840" w:h="12240" w:orient="landscape"/>
          <w:pgMar w:top="480" w:right="440" w:bottom="460" w:left="460" w:header="284" w:footer="275" w:gutter="0"/>
          <w:cols w:num="2" w:space="720" w:equalWidth="0">
            <w:col w:w="11136" w:space="295"/>
            <w:col w:w="3509"/>
          </w:cols>
        </w:sectPr>
      </w:pPr>
    </w:p>
    <w:p w:rsidR="003F5784" w14:paraId="01CF22BD" w14:textId="77777777">
      <w:pPr>
        <w:pStyle w:val="BodyText"/>
        <w:spacing w:before="209" w:line="232" w:lineRule="auto"/>
        <w:ind w:left="109" w:right="179"/>
      </w:pPr>
      <w:r>
        <w:t>The</w:t>
      </w:r>
      <w:r>
        <w:rPr>
          <w:spacing w:val="-6"/>
        </w:rPr>
        <w:t xml:space="preserve"> </w:t>
      </w:r>
      <w:r>
        <w:t>student</w:t>
      </w:r>
      <w:r>
        <w:rPr>
          <w:spacing w:val="-6"/>
        </w:rPr>
        <w:t xml:space="preserve"> </w:t>
      </w:r>
      <w:r>
        <w:t>base</w:t>
      </w:r>
      <w:r>
        <w:rPr>
          <w:spacing w:val="-6"/>
        </w:rPr>
        <w:t xml:space="preserve"> </w:t>
      </w:r>
      <w:r>
        <w:t>weight</w:t>
      </w:r>
      <w:r>
        <w:rPr>
          <w:spacing w:val="-6"/>
        </w:rPr>
        <w:t xml:space="preserve"> </w:t>
      </w:r>
      <w:r>
        <w:t>is</w:t>
      </w:r>
      <w:r>
        <w:rPr>
          <w:spacing w:val="-6"/>
        </w:rPr>
        <w:t xml:space="preserve"> </w:t>
      </w:r>
      <w:r>
        <w:t>the</w:t>
      </w:r>
      <w:r>
        <w:rPr>
          <w:spacing w:val="-6"/>
        </w:rPr>
        <w:t xml:space="preserve"> </w:t>
      </w:r>
      <w:r>
        <w:t>inverse</w:t>
      </w:r>
      <w:r>
        <w:rPr>
          <w:spacing w:val="-6"/>
        </w:rPr>
        <w:t xml:space="preserve"> </w:t>
      </w:r>
      <w:r>
        <w:t>of</w:t>
      </w:r>
      <w:r>
        <w:rPr>
          <w:spacing w:val="-6"/>
        </w:rPr>
        <w:t xml:space="preserve"> </w:t>
      </w:r>
      <w:r>
        <w:t>the</w:t>
      </w:r>
      <w:r>
        <w:rPr>
          <w:spacing w:val="-6"/>
        </w:rPr>
        <w:t xml:space="preserve"> </w:t>
      </w:r>
      <w:r>
        <w:t>overall</w:t>
      </w:r>
      <w:r>
        <w:rPr>
          <w:spacing w:val="-6"/>
        </w:rPr>
        <w:t xml:space="preserve"> </w:t>
      </w:r>
      <w:r>
        <w:t>probability</w:t>
      </w:r>
      <w:r>
        <w:rPr>
          <w:spacing w:val="-6"/>
        </w:rPr>
        <w:t xml:space="preserve"> </w:t>
      </w:r>
      <w:r>
        <w:t>of</w:t>
      </w:r>
      <w:r>
        <w:rPr>
          <w:spacing w:val="-6"/>
        </w:rPr>
        <w:t xml:space="preserve"> </w:t>
      </w:r>
      <w:r>
        <w:t>selecting</w:t>
      </w:r>
      <w:r>
        <w:rPr>
          <w:spacing w:val="-6"/>
        </w:rPr>
        <w:t xml:space="preserve"> </w:t>
      </w:r>
      <w:r>
        <w:t>a</w:t>
      </w:r>
      <w:r>
        <w:rPr>
          <w:spacing w:val="-6"/>
        </w:rPr>
        <w:t xml:space="preserve"> </w:t>
      </w:r>
      <w:r>
        <w:t>student</w:t>
      </w:r>
      <w:r>
        <w:rPr>
          <w:spacing w:val="-6"/>
        </w:rPr>
        <w:t xml:space="preserve"> </w:t>
      </w:r>
      <w:r>
        <w:t>and</w:t>
      </w:r>
      <w:r>
        <w:rPr>
          <w:spacing w:val="-6"/>
        </w:rPr>
        <w:t xml:space="preserve"> </w:t>
      </w:r>
      <w:r>
        <w:t>assigning</w:t>
      </w:r>
      <w:r>
        <w:rPr>
          <w:spacing w:val="-6"/>
        </w:rPr>
        <w:t xml:space="preserve"> </w:t>
      </w:r>
      <w:r>
        <w:t>that</w:t>
      </w:r>
      <w:r>
        <w:rPr>
          <w:spacing w:val="-6"/>
        </w:rPr>
        <w:t xml:space="preserve"> </w:t>
      </w:r>
      <w:r>
        <w:t>student</w:t>
      </w:r>
      <w:r>
        <w:rPr>
          <w:spacing w:val="-6"/>
        </w:rPr>
        <w:t xml:space="preserve"> </w:t>
      </w:r>
      <w:r>
        <w:t>to</w:t>
      </w:r>
      <w:r>
        <w:rPr>
          <w:spacing w:val="-6"/>
        </w:rPr>
        <w:t xml:space="preserve"> </w:t>
      </w:r>
      <w:r>
        <w:t>a</w:t>
      </w:r>
      <w:r>
        <w:rPr>
          <w:spacing w:val="-6"/>
        </w:rPr>
        <w:t xml:space="preserve"> </w:t>
      </w:r>
      <w:r>
        <w:t>particular</w:t>
      </w:r>
      <w:r>
        <w:rPr>
          <w:spacing w:val="-6"/>
        </w:rPr>
        <w:t xml:space="preserve"> </w:t>
      </w:r>
      <w:r>
        <w:t>assessment.</w:t>
      </w:r>
      <w:r>
        <w:rPr>
          <w:spacing w:val="-9"/>
        </w:rPr>
        <w:t xml:space="preserve"> </w:t>
      </w:r>
      <w:r>
        <w:t>The</w:t>
      </w:r>
      <w:r>
        <w:rPr>
          <w:spacing w:val="-6"/>
        </w:rPr>
        <w:t xml:space="preserve"> </w:t>
      </w:r>
      <w:r>
        <w:t>sample</w:t>
      </w:r>
      <w:r>
        <w:rPr>
          <w:spacing w:val="-6"/>
        </w:rPr>
        <w:t xml:space="preserve"> </w:t>
      </w:r>
      <w:r>
        <w:t>design</w:t>
      </w:r>
      <w:r>
        <w:rPr>
          <w:spacing w:val="-6"/>
        </w:rPr>
        <w:t xml:space="preserve"> </w:t>
      </w:r>
      <w:r>
        <w:t>that</w:t>
      </w:r>
      <w:r>
        <w:rPr>
          <w:spacing w:val="-6"/>
        </w:rPr>
        <w:t xml:space="preserve"> </w:t>
      </w:r>
      <w:r>
        <w:t>determines the base weights is discussed in the NAEP 2022 Sample Design section.</w:t>
      </w:r>
    </w:p>
    <w:p w:rsidR="003F5784" w14:paraId="02745400" w14:textId="77777777">
      <w:pPr>
        <w:pStyle w:val="BodyText"/>
        <w:spacing w:before="209" w:line="232" w:lineRule="auto"/>
        <w:ind w:left="109"/>
      </w:pPr>
      <w:r>
        <w:t>The</w:t>
      </w:r>
      <w:r>
        <w:rPr>
          <w:spacing w:val="-6"/>
        </w:rPr>
        <w:t xml:space="preserve"> </w:t>
      </w:r>
      <w:r>
        <w:t>student</w:t>
      </w:r>
      <w:r>
        <w:rPr>
          <w:spacing w:val="-6"/>
        </w:rPr>
        <w:t xml:space="preserve"> </w:t>
      </w:r>
      <w:r>
        <w:t>base</w:t>
      </w:r>
      <w:r>
        <w:rPr>
          <w:spacing w:val="-6"/>
        </w:rPr>
        <w:t xml:space="preserve"> </w:t>
      </w:r>
      <w:r>
        <w:t>weight</w:t>
      </w:r>
      <w:r>
        <w:rPr>
          <w:spacing w:val="-6"/>
        </w:rPr>
        <w:t xml:space="preserve"> </w:t>
      </w:r>
      <w:r>
        <w:t>is</w:t>
      </w:r>
      <w:r>
        <w:rPr>
          <w:spacing w:val="-6"/>
        </w:rPr>
        <w:t xml:space="preserve"> </w:t>
      </w:r>
      <w:r>
        <w:t>adjusted</w:t>
      </w:r>
      <w:r>
        <w:rPr>
          <w:spacing w:val="-6"/>
        </w:rPr>
        <w:t xml:space="preserve"> </w:t>
      </w:r>
      <w:r>
        <w:t>for</w:t>
      </w:r>
      <w:r>
        <w:rPr>
          <w:spacing w:val="-6"/>
        </w:rPr>
        <w:t xml:space="preserve"> </w:t>
      </w:r>
      <w:r>
        <w:t>two</w:t>
      </w:r>
      <w:r>
        <w:rPr>
          <w:spacing w:val="-6"/>
        </w:rPr>
        <w:t xml:space="preserve"> </w:t>
      </w:r>
      <w:r>
        <w:t>sources</w:t>
      </w:r>
      <w:r>
        <w:rPr>
          <w:spacing w:val="-6"/>
        </w:rPr>
        <w:t xml:space="preserve"> </w:t>
      </w:r>
      <w:r>
        <w:t>of</w:t>
      </w:r>
      <w:r>
        <w:rPr>
          <w:spacing w:val="-6"/>
        </w:rPr>
        <w:t xml:space="preserve"> </w:t>
      </w:r>
      <w:r>
        <w:t>nonparticipation:</w:t>
      </w:r>
      <w:r>
        <w:rPr>
          <w:spacing w:val="-6"/>
        </w:rPr>
        <w:t xml:space="preserve"> </w:t>
      </w:r>
      <w:r>
        <w:t>at</w:t>
      </w:r>
      <w:r>
        <w:rPr>
          <w:spacing w:val="-6"/>
        </w:rPr>
        <w:t xml:space="preserve"> </w:t>
      </w:r>
      <w:r>
        <w:t>the</w:t>
      </w:r>
      <w:r>
        <w:rPr>
          <w:spacing w:val="-6"/>
        </w:rPr>
        <w:t xml:space="preserve"> </w:t>
      </w:r>
      <w:r>
        <w:t>school</w:t>
      </w:r>
      <w:r>
        <w:rPr>
          <w:spacing w:val="-6"/>
        </w:rPr>
        <w:t xml:space="preserve"> </w:t>
      </w:r>
      <w:r>
        <w:t>level</w:t>
      </w:r>
      <w:r>
        <w:rPr>
          <w:spacing w:val="-6"/>
        </w:rPr>
        <w:t xml:space="preserve"> </w:t>
      </w:r>
      <w:r>
        <w:t>and</w:t>
      </w:r>
      <w:r>
        <w:rPr>
          <w:spacing w:val="-6"/>
        </w:rPr>
        <w:t xml:space="preserve"> </w:t>
      </w:r>
      <w:r>
        <w:t>at</w:t>
      </w:r>
      <w:r>
        <w:rPr>
          <w:spacing w:val="-6"/>
        </w:rPr>
        <w:t xml:space="preserve"> </w:t>
      </w:r>
      <w:r>
        <w:t>the</w:t>
      </w:r>
      <w:r>
        <w:rPr>
          <w:spacing w:val="-6"/>
        </w:rPr>
        <w:t xml:space="preserve"> </w:t>
      </w:r>
      <w:r>
        <w:t>student</w:t>
      </w:r>
      <w:r>
        <w:rPr>
          <w:spacing w:val="-6"/>
        </w:rPr>
        <w:t xml:space="preserve"> </w:t>
      </w:r>
      <w:r>
        <w:t>level.</w:t>
      </w:r>
      <w:r>
        <w:rPr>
          <w:spacing w:val="-9"/>
        </w:rPr>
        <w:t xml:space="preserve"> </w:t>
      </w:r>
      <w:r>
        <w:t>These</w:t>
      </w:r>
      <w:r>
        <w:rPr>
          <w:spacing w:val="-6"/>
        </w:rPr>
        <w:t xml:space="preserve"> </w:t>
      </w:r>
      <w:r>
        <w:t>weighting</w:t>
      </w:r>
      <w:r>
        <w:rPr>
          <w:spacing w:val="-6"/>
        </w:rPr>
        <w:t xml:space="preserve"> </w:t>
      </w:r>
      <w:r>
        <w:t>adjustments</w:t>
      </w:r>
      <w:r>
        <w:rPr>
          <w:spacing w:val="-6"/>
        </w:rPr>
        <w:t xml:space="preserve"> </w:t>
      </w:r>
      <w:r>
        <w:t>seek</w:t>
      </w:r>
      <w:r>
        <w:rPr>
          <w:spacing w:val="-6"/>
        </w:rPr>
        <w:t xml:space="preserve"> </w:t>
      </w:r>
      <w:r>
        <w:t>to</w:t>
      </w:r>
      <w:r>
        <w:rPr>
          <w:spacing w:val="-6"/>
        </w:rPr>
        <w:t xml:space="preserve"> </w:t>
      </w:r>
      <w:r>
        <w:t>reduce</w:t>
      </w:r>
      <w:r>
        <w:rPr>
          <w:spacing w:val="-6"/>
        </w:rPr>
        <w:t xml:space="preserve"> </w:t>
      </w:r>
      <w:r>
        <w:t>the</w:t>
      </w:r>
      <w:r>
        <w:rPr>
          <w:spacing w:val="-6"/>
        </w:rPr>
        <w:t xml:space="preserve"> </w:t>
      </w:r>
      <w:r>
        <w:t>potential</w:t>
      </w:r>
      <w:r>
        <w:rPr>
          <w:spacing w:val="-6"/>
        </w:rPr>
        <w:t xml:space="preserve"> </w:t>
      </w:r>
      <w:r>
        <w:t>for bias from such nonparticipation. Responding schools receive a weighting adjustment to compensate for nonresponding schools, and responding students receive a weighting adjustment to compensate for nonresponding students.</w:t>
      </w:r>
    </w:p>
    <w:p w:rsidR="003F5784" w14:paraId="43C74557" w14:textId="77777777">
      <w:pPr>
        <w:pStyle w:val="BodyText"/>
        <w:spacing w:before="210" w:line="232" w:lineRule="auto"/>
        <w:ind w:left="109"/>
      </w:pPr>
      <w:r>
        <w:t>Furthermore,</w:t>
      </w:r>
      <w:r>
        <w:rPr>
          <w:spacing w:val="-6"/>
        </w:rPr>
        <w:t xml:space="preserve"> </w:t>
      </w:r>
      <w:r>
        <w:t>the</w:t>
      </w:r>
      <w:r>
        <w:rPr>
          <w:spacing w:val="-6"/>
        </w:rPr>
        <w:t xml:space="preserve"> </w:t>
      </w:r>
      <w:r>
        <w:t>final</w:t>
      </w:r>
      <w:r>
        <w:rPr>
          <w:spacing w:val="-6"/>
        </w:rPr>
        <w:t xml:space="preserve"> </w:t>
      </w:r>
      <w:r>
        <w:t>weights</w:t>
      </w:r>
      <w:r>
        <w:rPr>
          <w:spacing w:val="-6"/>
        </w:rPr>
        <w:t xml:space="preserve"> </w:t>
      </w:r>
      <w:r>
        <w:t>reflect</w:t>
      </w:r>
      <w:r>
        <w:rPr>
          <w:spacing w:val="-6"/>
        </w:rPr>
        <w:t xml:space="preserve"> </w:t>
      </w:r>
      <w:r>
        <w:t>the</w:t>
      </w:r>
      <w:r>
        <w:rPr>
          <w:spacing w:val="-6"/>
        </w:rPr>
        <w:t xml:space="preserve"> </w:t>
      </w:r>
      <w:r>
        <w:t>trimming</w:t>
      </w:r>
      <w:r>
        <w:rPr>
          <w:spacing w:val="-6"/>
        </w:rPr>
        <w:t xml:space="preserve"> </w:t>
      </w:r>
      <w:r>
        <w:t>of</w:t>
      </w:r>
      <w:r>
        <w:rPr>
          <w:spacing w:val="-6"/>
        </w:rPr>
        <w:t xml:space="preserve"> </w:t>
      </w:r>
      <w:r>
        <w:t>extremely</w:t>
      </w:r>
      <w:r>
        <w:rPr>
          <w:spacing w:val="-6"/>
        </w:rPr>
        <w:t xml:space="preserve"> </w:t>
      </w:r>
      <w:r>
        <w:t>large</w:t>
      </w:r>
      <w:r>
        <w:rPr>
          <w:spacing w:val="-6"/>
        </w:rPr>
        <w:t xml:space="preserve"> </w:t>
      </w:r>
      <w:r>
        <w:t>weights</w:t>
      </w:r>
      <w:r>
        <w:rPr>
          <w:spacing w:val="-6"/>
        </w:rPr>
        <w:t xml:space="preserve"> </w:t>
      </w:r>
      <w:r>
        <w:t>at</w:t>
      </w:r>
      <w:r>
        <w:rPr>
          <w:spacing w:val="-6"/>
        </w:rPr>
        <w:t xml:space="preserve"> </w:t>
      </w:r>
      <w:r>
        <w:t>both</w:t>
      </w:r>
      <w:r>
        <w:rPr>
          <w:spacing w:val="-6"/>
        </w:rPr>
        <w:t xml:space="preserve"> </w:t>
      </w:r>
      <w:r>
        <w:t>the</w:t>
      </w:r>
      <w:r>
        <w:rPr>
          <w:spacing w:val="-6"/>
        </w:rPr>
        <w:t xml:space="preserve"> </w:t>
      </w:r>
      <w:r>
        <w:t>school</w:t>
      </w:r>
      <w:r>
        <w:rPr>
          <w:spacing w:val="-6"/>
        </w:rPr>
        <w:t xml:space="preserve"> </w:t>
      </w:r>
      <w:r>
        <w:t>and</w:t>
      </w:r>
      <w:r>
        <w:rPr>
          <w:spacing w:val="-6"/>
        </w:rPr>
        <w:t xml:space="preserve"> </w:t>
      </w:r>
      <w:r>
        <w:t>student</w:t>
      </w:r>
      <w:r>
        <w:rPr>
          <w:spacing w:val="-6"/>
        </w:rPr>
        <w:t xml:space="preserve"> </w:t>
      </w:r>
      <w:r>
        <w:t>level.</w:t>
      </w:r>
      <w:r>
        <w:rPr>
          <w:spacing w:val="-10"/>
        </w:rPr>
        <w:t xml:space="preserve"> </w:t>
      </w:r>
      <w:r>
        <w:t>These</w:t>
      </w:r>
      <w:r>
        <w:rPr>
          <w:spacing w:val="-6"/>
        </w:rPr>
        <w:t xml:space="preserve"> </w:t>
      </w:r>
      <w:r>
        <w:t>weighting</w:t>
      </w:r>
      <w:r>
        <w:rPr>
          <w:spacing w:val="-6"/>
        </w:rPr>
        <w:t xml:space="preserve"> </w:t>
      </w:r>
      <w:r>
        <w:t>adjustments</w:t>
      </w:r>
      <w:r>
        <w:rPr>
          <w:spacing w:val="-6"/>
        </w:rPr>
        <w:t xml:space="preserve"> </w:t>
      </w:r>
      <w:r>
        <w:t>seek</w:t>
      </w:r>
      <w:r>
        <w:rPr>
          <w:spacing w:val="-6"/>
        </w:rPr>
        <w:t xml:space="preserve"> </w:t>
      </w:r>
      <w:r>
        <w:t>to</w:t>
      </w:r>
      <w:r>
        <w:rPr>
          <w:spacing w:val="-6"/>
        </w:rPr>
        <w:t xml:space="preserve"> </w:t>
      </w:r>
      <w:r>
        <w:t>reduce</w:t>
      </w:r>
      <w:r>
        <w:rPr>
          <w:spacing w:val="-6"/>
        </w:rPr>
        <w:t xml:space="preserve"> </w:t>
      </w:r>
      <w:r>
        <w:t>variances</w:t>
      </w:r>
      <w:r>
        <w:rPr>
          <w:spacing w:val="-6"/>
        </w:rPr>
        <w:t xml:space="preserve"> </w:t>
      </w:r>
      <w:r>
        <w:t>of survey estimates.</w:t>
      </w:r>
    </w:p>
    <w:p w:rsidR="003F5784" w14:paraId="4EBBF411" w14:textId="77777777">
      <w:pPr>
        <w:pStyle w:val="BodyText"/>
        <w:spacing w:before="209" w:line="232" w:lineRule="auto"/>
        <w:ind w:left="109" w:right="244"/>
      </w:pPr>
      <w:r>
        <w:t>An</w:t>
      </w:r>
      <w:r>
        <w:rPr>
          <w:spacing w:val="-3"/>
        </w:rPr>
        <w:t xml:space="preserve"> </w:t>
      </w:r>
      <w:r>
        <w:t>additional</w:t>
      </w:r>
      <w:r>
        <w:rPr>
          <w:spacing w:val="-3"/>
        </w:rPr>
        <w:t xml:space="preserve"> </w:t>
      </w:r>
      <w:r>
        <w:t>weighting</w:t>
      </w:r>
      <w:r>
        <w:rPr>
          <w:spacing w:val="-3"/>
        </w:rPr>
        <w:t xml:space="preserve"> </w:t>
      </w:r>
      <w:r>
        <w:t>adjustment</w:t>
      </w:r>
      <w:r>
        <w:rPr>
          <w:spacing w:val="-3"/>
        </w:rPr>
        <w:t xml:space="preserve"> </w:t>
      </w:r>
      <w:r>
        <w:t>was</w:t>
      </w:r>
      <w:r>
        <w:rPr>
          <w:spacing w:val="-3"/>
        </w:rPr>
        <w:t xml:space="preserve"> </w:t>
      </w:r>
      <w:r>
        <w:t>implemented</w:t>
      </w:r>
      <w:r>
        <w:rPr>
          <w:spacing w:val="-3"/>
        </w:rPr>
        <w:t xml:space="preserve"> </w:t>
      </w:r>
      <w:r>
        <w:t>in</w:t>
      </w:r>
      <w:r>
        <w:rPr>
          <w:spacing w:val="-3"/>
        </w:rPr>
        <w:t xml:space="preserve"> </w:t>
      </w:r>
      <w:r>
        <w:t>the</w:t>
      </w:r>
      <w:r>
        <w:rPr>
          <w:spacing w:val="-3"/>
        </w:rPr>
        <w:t xml:space="preserve"> </w:t>
      </w:r>
      <w:r>
        <w:t>state</w:t>
      </w:r>
      <w:r>
        <w:rPr>
          <w:spacing w:val="-3"/>
        </w:rPr>
        <w:t xml:space="preserve"> </w:t>
      </w:r>
      <w:r>
        <w:t>and</w:t>
      </w:r>
      <w:r>
        <w:rPr>
          <w:spacing w:val="-7"/>
        </w:rPr>
        <w:t xml:space="preserve"> </w:t>
      </w:r>
      <w:r>
        <w:t>Trial</w:t>
      </w:r>
      <w:r>
        <w:rPr>
          <w:spacing w:val="-3"/>
        </w:rPr>
        <w:t xml:space="preserve"> </w:t>
      </w:r>
      <w:r>
        <w:t>Urban</w:t>
      </w:r>
      <w:r>
        <w:rPr>
          <w:spacing w:val="-3"/>
        </w:rPr>
        <w:t xml:space="preserve"> </w:t>
      </w:r>
      <w:r>
        <w:t>District</w:t>
      </w:r>
      <w:r>
        <w:rPr>
          <w:spacing w:val="-14"/>
        </w:rPr>
        <w:t xml:space="preserve"> </w:t>
      </w:r>
      <w:r>
        <w:t>Assessment</w:t>
      </w:r>
      <w:r>
        <w:rPr>
          <w:spacing w:val="-2"/>
        </w:rPr>
        <w:t xml:space="preserve"> </w:t>
      </w:r>
      <w:r>
        <w:t>(TUDA)</w:t>
      </w:r>
      <w:r>
        <w:rPr>
          <w:spacing w:val="-3"/>
        </w:rPr>
        <w:t xml:space="preserve"> </w:t>
      </w:r>
      <w:r>
        <w:t>samples</w:t>
      </w:r>
      <w:r>
        <w:rPr>
          <w:spacing w:val="-3"/>
        </w:rPr>
        <w:t xml:space="preserve"> </w:t>
      </w:r>
      <w:r>
        <w:t>so</w:t>
      </w:r>
      <w:r>
        <w:rPr>
          <w:spacing w:val="-3"/>
        </w:rPr>
        <w:t xml:space="preserve"> </w:t>
      </w:r>
      <w:r>
        <w:t>that</w:t>
      </w:r>
      <w:r>
        <w:rPr>
          <w:spacing w:val="-3"/>
        </w:rPr>
        <w:t xml:space="preserve"> </w:t>
      </w:r>
      <w:r>
        <w:t>estimates</w:t>
      </w:r>
      <w:r>
        <w:rPr>
          <w:spacing w:val="-3"/>
        </w:rPr>
        <w:t xml:space="preserve"> </w:t>
      </w:r>
      <w:r>
        <w:t>for</w:t>
      </w:r>
      <w:r>
        <w:rPr>
          <w:spacing w:val="-3"/>
        </w:rPr>
        <w:t xml:space="preserve"> </w:t>
      </w:r>
      <w:r>
        <w:t>key</w:t>
      </w:r>
      <w:r>
        <w:rPr>
          <w:spacing w:val="-3"/>
        </w:rPr>
        <w:t xml:space="preserve"> </w:t>
      </w:r>
      <w:r>
        <w:t>student-level</w:t>
      </w:r>
      <w:r>
        <w:rPr>
          <w:spacing w:val="-3"/>
        </w:rPr>
        <w:t xml:space="preserve"> </w:t>
      </w:r>
      <w:r>
        <w:t>characteristics were in agreement across assessments in reading and mathematics.</w:t>
      </w:r>
      <w:r>
        <w:rPr>
          <w:spacing w:val="-3"/>
        </w:rPr>
        <w:t xml:space="preserve"> </w:t>
      </w:r>
      <w:r>
        <w:t>This adjustment was implemented using a raking procedure.</w:t>
      </w:r>
      <w:r>
        <w:rPr>
          <w:spacing w:val="-10"/>
        </w:rPr>
        <w:t xml:space="preserve"> </w:t>
      </w:r>
      <w:r>
        <w:t>A</w:t>
      </w:r>
      <w:r>
        <w:rPr>
          <w:spacing w:val="-10"/>
        </w:rPr>
        <w:t xml:space="preserve"> </w:t>
      </w:r>
      <w:r>
        <w:t>similar but separate adjustment was also implemented</w:t>
      </w:r>
      <w:r>
        <w:rPr>
          <w:spacing w:val="-6"/>
        </w:rPr>
        <w:t xml:space="preserve"> </w:t>
      </w:r>
      <w:r>
        <w:t>for</w:t>
      </w:r>
      <w:r>
        <w:rPr>
          <w:spacing w:val="-6"/>
        </w:rPr>
        <w:t xml:space="preserve"> </w:t>
      </w:r>
      <w:r>
        <w:t>the</w:t>
      </w:r>
      <w:r>
        <w:rPr>
          <w:spacing w:val="-6"/>
        </w:rPr>
        <w:t xml:space="preserve"> </w:t>
      </w:r>
      <w:r>
        <w:t>national</w:t>
      </w:r>
      <w:r>
        <w:rPr>
          <w:spacing w:val="-6"/>
        </w:rPr>
        <w:t xml:space="preserve"> </w:t>
      </w:r>
      <w:r>
        <w:t>public</w:t>
      </w:r>
      <w:r>
        <w:rPr>
          <w:spacing w:val="-6"/>
        </w:rPr>
        <w:t xml:space="preserve"> </w:t>
      </w:r>
      <w:r>
        <w:t>school</w:t>
      </w:r>
      <w:r>
        <w:rPr>
          <w:spacing w:val="-6"/>
        </w:rPr>
        <w:t xml:space="preserve"> </w:t>
      </w:r>
      <w:r>
        <w:t>civics</w:t>
      </w:r>
      <w:r>
        <w:rPr>
          <w:spacing w:val="-6"/>
        </w:rPr>
        <w:t xml:space="preserve"> </w:t>
      </w:r>
      <w:r>
        <w:t>and</w:t>
      </w:r>
      <w:r>
        <w:rPr>
          <w:spacing w:val="-6"/>
        </w:rPr>
        <w:t xml:space="preserve"> </w:t>
      </w:r>
      <w:r>
        <w:t>U.S.</w:t>
      </w:r>
      <w:r>
        <w:rPr>
          <w:spacing w:val="-6"/>
        </w:rPr>
        <w:t xml:space="preserve"> </w:t>
      </w:r>
      <w:r>
        <w:t>history</w:t>
      </w:r>
      <w:r>
        <w:rPr>
          <w:spacing w:val="-6"/>
        </w:rPr>
        <w:t xml:space="preserve"> </w:t>
      </w:r>
      <w:r>
        <w:t>samples</w:t>
      </w:r>
      <w:r>
        <w:rPr>
          <w:spacing w:val="-6"/>
        </w:rPr>
        <w:t xml:space="preserve"> </w:t>
      </w:r>
      <w:r>
        <w:t>at</w:t>
      </w:r>
      <w:r>
        <w:rPr>
          <w:spacing w:val="-6"/>
        </w:rPr>
        <w:t xml:space="preserve"> </w:t>
      </w:r>
      <w:r>
        <w:t>grade</w:t>
      </w:r>
      <w:r>
        <w:rPr>
          <w:spacing w:val="-6"/>
        </w:rPr>
        <w:t xml:space="preserve"> </w:t>
      </w:r>
      <w:r>
        <w:t>8.</w:t>
      </w:r>
      <w:r>
        <w:rPr>
          <w:spacing w:val="-10"/>
        </w:rPr>
        <w:t xml:space="preserve"> </w:t>
      </w:r>
      <w:r>
        <w:t>The</w:t>
      </w:r>
      <w:r>
        <w:rPr>
          <w:spacing w:val="-6"/>
        </w:rPr>
        <w:t xml:space="preserve"> </w:t>
      </w:r>
      <w:r>
        <w:t>raking</w:t>
      </w:r>
      <w:r>
        <w:rPr>
          <w:spacing w:val="-6"/>
        </w:rPr>
        <w:t xml:space="preserve"> </w:t>
      </w:r>
      <w:r>
        <w:t>procedure</w:t>
      </w:r>
      <w:r>
        <w:rPr>
          <w:spacing w:val="-6"/>
        </w:rPr>
        <w:t xml:space="preserve"> </w:t>
      </w:r>
      <w:r>
        <w:t>implemented</w:t>
      </w:r>
      <w:r>
        <w:rPr>
          <w:spacing w:val="-6"/>
        </w:rPr>
        <w:t xml:space="preserve"> </w:t>
      </w:r>
      <w:r>
        <w:t>for</w:t>
      </w:r>
      <w:r>
        <w:rPr>
          <w:spacing w:val="-6"/>
        </w:rPr>
        <w:t xml:space="preserve"> </w:t>
      </w:r>
      <w:r>
        <w:t>civics</w:t>
      </w:r>
      <w:r>
        <w:rPr>
          <w:spacing w:val="-6"/>
        </w:rPr>
        <w:t xml:space="preserve"> </w:t>
      </w:r>
      <w:r>
        <w:t>and</w:t>
      </w:r>
      <w:r>
        <w:rPr>
          <w:spacing w:val="-6"/>
        </w:rPr>
        <w:t xml:space="preserve"> </w:t>
      </w:r>
      <w:r>
        <w:t>U.S.</w:t>
      </w:r>
      <w:r>
        <w:rPr>
          <w:spacing w:val="-6"/>
        </w:rPr>
        <w:t xml:space="preserve"> </w:t>
      </w:r>
      <w:r>
        <w:t>history</w:t>
      </w:r>
      <w:r>
        <w:rPr>
          <w:spacing w:val="-6"/>
        </w:rPr>
        <w:t xml:space="preserve"> </w:t>
      </w:r>
      <w:r>
        <w:t>brought</w:t>
      </w:r>
      <w:r>
        <w:rPr>
          <w:spacing w:val="-6"/>
        </w:rPr>
        <w:t xml:space="preserve"> </w:t>
      </w:r>
      <w:r>
        <w:t>estimates</w:t>
      </w:r>
      <w:r>
        <w:rPr>
          <w:spacing w:val="-6"/>
        </w:rPr>
        <w:t xml:space="preserve"> </w:t>
      </w:r>
      <w:r>
        <w:t>for</w:t>
      </w:r>
      <w:r>
        <w:rPr>
          <w:spacing w:val="-6"/>
        </w:rPr>
        <w:t xml:space="preserve"> </w:t>
      </w:r>
      <w:r>
        <w:t>key student-level</w:t>
      </w:r>
      <w:r>
        <w:rPr>
          <w:spacing w:val="-1"/>
        </w:rPr>
        <w:t xml:space="preserve"> </w:t>
      </w:r>
      <w:r>
        <w:t>characteristics</w:t>
      </w:r>
      <w:r>
        <w:rPr>
          <w:spacing w:val="-1"/>
        </w:rPr>
        <w:t xml:space="preserve"> </w:t>
      </w:r>
      <w:r>
        <w:t>into</w:t>
      </w:r>
      <w:r>
        <w:rPr>
          <w:spacing w:val="-1"/>
        </w:rPr>
        <w:t xml:space="preserve"> </w:t>
      </w:r>
      <w:r>
        <w:t>agreement</w:t>
      </w:r>
      <w:r>
        <w:rPr>
          <w:spacing w:val="-1"/>
        </w:rPr>
        <w:t xml:space="preserve"> </w:t>
      </w:r>
      <w:r>
        <w:t>with</w:t>
      </w:r>
      <w:r>
        <w:rPr>
          <w:spacing w:val="-1"/>
        </w:rPr>
        <w:t xml:space="preserve"> </w:t>
      </w:r>
      <w:r>
        <w:t>those</w:t>
      </w:r>
      <w:r>
        <w:rPr>
          <w:spacing w:val="-1"/>
        </w:rPr>
        <w:t xml:space="preserve"> </w:t>
      </w:r>
      <w:r>
        <w:t>from</w:t>
      </w:r>
      <w:r>
        <w:rPr>
          <w:spacing w:val="-1"/>
        </w:rPr>
        <w:t xml:space="preserve"> </w:t>
      </w:r>
      <w:r>
        <w:t>mathematics</w:t>
      </w:r>
      <w:r>
        <w:rPr>
          <w:spacing w:val="-1"/>
        </w:rPr>
        <w:t xml:space="preserve"> </w:t>
      </w:r>
      <w:r>
        <w:t>and</w:t>
      </w:r>
      <w:r>
        <w:rPr>
          <w:spacing w:val="-1"/>
        </w:rPr>
        <w:t xml:space="preserve"> </w:t>
      </w:r>
      <w:r>
        <w:t>reading</w:t>
      </w:r>
      <w:r>
        <w:rPr>
          <w:spacing w:val="-1"/>
        </w:rPr>
        <w:t xml:space="preserve"> </w:t>
      </w:r>
      <w:r>
        <w:t>at</w:t>
      </w:r>
      <w:r>
        <w:rPr>
          <w:spacing w:val="-1"/>
        </w:rPr>
        <w:t xml:space="preserve"> </w:t>
      </w:r>
      <w:r>
        <w:t>the</w:t>
      </w:r>
      <w:r>
        <w:rPr>
          <w:spacing w:val="-1"/>
        </w:rPr>
        <w:t xml:space="preserve"> </w:t>
      </w:r>
      <w:r>
        <w:t>national</w:t>
      </w:r>
      <w:r>
        <w:rPr>
          <w:spacing w:val="-1"/>
        </w:rPr>
        <w:t xml:space="preserve"> </w:t>
      </w:r>
      <w:r>
        <w:t>level.</w:t>
      </w:r>
      <w:r>
        <w:rPr>
          <w:spacing w:val="-1"/>
        </w:rPr>
        <w:t xml:space="preserve"> </w:t>
      </w:r>
      <w:r>
        <w:t>Similar</w:t>
      </w:r>
      <w:r>
        <w:rPr>
          <w:spacing w:val="-1"/>
        </w:rPr>
        <w:t xml:space="preserve"> </w:t>
      </w:r>
      <w:r>
        <w:t>to</w:t>
      </w:r>
      <w:r>
        <w:rPr>
          <w:spacing w:val="-1"/>
        </w:rPr>
        <w:t xml:space="preserve"> </w:t>
      </w:r>
      <w:r>
        <w:t>previous</w:t>
      </w:r>
      <w:r>
        <w:rPr>
          <w:spacing w:val="-1"/>
        </w:rPr>
        <w:t xml:space="preserve"> </w:t>
      </w:r>
      <w:r>
        <w:t>years,</w:t>
      </w:r>
      <w:r>
        <w:rPr>
          <w:spacing w:val="-1"/>
        </w:rPr>
        <w:t xml:space="preserve"> </w:t>
      </w:r>
      <w:r>
        <w:t>raking</w:t>
      </w:r>
      <w:r>
        <w:rPr>
          <w:spacing w:val="-1"/>
        </w:rPr>
        <w:t xml:space="preserve"> </w:t>
      </w:r>
      <w:r>
        <w:t>was</w:t>
      </w:r>
      <w:r>
        <w:rPr>
          <w:spacing w:val="-1"/>
        </w:rPr>
        <w:t xml:space="preserve"> </w:t>
      </w:r>
      <w:r>
        <w:t>not</w:t>
      </w:r>
      <w:r>
        <w:rPr>
          <w:spacing w:val="-1"/>
        </w:rPr>
        <w:t xml:space="preserve"> </w:t>
      </w:r>
      <w:r>
        <w:t>performed</w:t>
      </w:r>
      <w:r>
        <w:rPr>
          <w:spacing w:val="-1"/>
        </w:rPr>
        <w:t xml:space="preserve"> </w:t>
      </w:r>
      <w:r>
        <w:t>for</w:t>
      </w:r>
      <w:r>
        <w:rPr>
          <w:spacing w:val="-1"/>
        </w:rPr>
        <w:t xml:space="preserve"> </w:t>
      </w:r>
      <w:r>
        <w:t>any</w:t>
      </w:r>
      <w:r>
        <w:rPr>
          <w:spacing w:val="-1"/>
        </w:rPr>
        <w:t xml:space="preserve"> </w:t>
      </w:r>
      <w:r>
        <w:t>of</w:t>
      </w:r>
      <w:r>
        <w:rPr>
          <w:spacing w:val="-1"/>
        </w:rPr>
        <w:t xml:space="preserve"> </w:t>
      </w:r>
      <w:r>
        <w:t>the private school student samples or for student samples in the LTT assessments.</w:t>
      </w:r>
    </w:p>
    <w:p w:rsidR="003F5784" w14:paraId="1B8EFDBB" w14:textId="77777777">
      <w:pPr>
        <w:pStyle w:val="BodyText"/>
        <w:spacing w:before="210" w:line="232" w:lineRule="auto"/>
        <w:ind w:left="109" w:right="117"/>
      </w:pPr>
      <w:r>
        <w:t>In addition to the final full-sample weight, a set of replicate weights was provided for each student.</w:t>
      </w:r>
      <w:r>
        <w:rPr>
          <w:spacing w:val="-3"/>
        </w:rPr>
        <w:t xml:space="preserve"> </w:t>
      </w:r>
      <w:r>
        <w:t>These replicate weights are used to calculate the variances of survey estimates</w:t>
      </w:r>
      <w:r>
        <w:rPr>
          <w:spacing w:val="-6"/>
        </w:rPr>
        <w:t xml:space="preserve"> </w:t>
      </w:r>
      <w:r>
        <w:t>using</w:t>
      </w:r>
      <w:r>
        <w:rPr>
          <w:spacing w:val="-6"/>
        </w:rPr>
        <w:t xml:space="preserve"> </w:t>
      </w:r>
      <w:r>
        <w:t>the</w:t>
      </w:r>
      <w:r>
        <w:rPr>
          <w:spacing w:val="-6"/>
        </w:rPr>
        <w:t xml:space="preserve"> </w:t>
      </w:r>
      <w:r>
        <w:t>jackknife</w:t>
      </w:r>
      <w:r>
        <w:rPr>
          <w:spacing w:val="-6"/>
        </w:rPr>
        <w:t xml:space="preserve"> </w:t>
      </w:r>
      <w:r>
        <w:t>repeated</w:t>
      </w:r>
      <w:r>
        <w:rPr>
          <w:spacing w:val="-6"/>
        </w:rPr>
        <w:t xml:space="preserve"> </w:t>
      </w:r>
      <w:r>
        <w:t>replication</w:t>
      </w:r>
      <w:r>
        <w:rPr>
          <w:spacing w:val="-6"/>
        </w:rPr>
        <w:t xml:space="preserve"> </w:t>
      </w:r>
      <w:r>
        <w:t>method.</w:t>
      </w:r>
      <w:r>
        <w:rPr>
          <w:spacing w:val="-9"/>
        </w:rPr>
        <w:t xml:space="preserve"> </w:t>
      </w:r>
      <w:r>
        <w:t>The</w:t>
      </w:r>
      <w:r>
        <w:rPr>
          <w:spacing w:val="-6"/>
        </w:rPr>
        <w:t xml:space="preserve"> </w:t>
      </w:r>
      <w:r>
        <w:t>methods</w:t>
      </w:r>
      <w:r>
        <w:rPr>
          <w:spacing w:val="-6"/>
        </w:rPr>
        <w:t xml:space="preserve"> </w:t>
      </w:r>
      <w:r>
        <w:t>used</w:t>
      </w:r>
      <w:r>
        <w:rPr>
          <w:spacing w:val="-6"/>
        </w:rPr>
        <w:t xml:space="preserve"> </w:t>
      </w:r>
      <w:r>
        <w:t>to</w:t>
      </w:r>
      <w:r>
        <w:rPr>
          <w:spacing w:val="-6"/>
        </w:rPr>
        <w:t xml:space="preserve"> </w:t>
      </w:r>
      <w:r>
        <w:t>derive</w:t>
      </w:r>
      <w:r>
        <w:rPr>
          <w:spacing w:val="-6"/>
        </w:rPr>
        <w:t xml:space="preserve"> </w:t>
      </w:r>
      <w:r>
        <w:t>these</w:t>
      </w:r>
      <w:r>
        <w:rPr>
          <w:spacing w:val="-6"/>
        </w:rPr>
        <w:t xml:space="preserve"> </w:t>
      </w:r>
      <w:r>
        <w:t>weights</w:t>
      </w:r>
      <w:r>
        <w:rPr>
          <w:spacing w:val="-6"/>
        </w:rPr>
        <w:t xml:space="preserve"> </w:t>
      </w:r>
      <w:r>
        <w:t>were</w:t>
      </w:r>
      <w:r>
        <w:rPr>
          <w:spacing w:val="-6"/>
        </w:rPr>
        <w:t xml:space="preserve"> </w:t>
      </w:r>
      <w:r>
        <w:t>aimed</w:t>
      </w:r>
      <w:r>
        <w:rPr>
          <w:spacing w:val="-6"/>
        </w:rPr>
        <w:t xml:space="preserve"> </w:t>
      </w:r>
      <w:r>
        <w:t>at</w:t>
      </w:r>
      <w:r>
        <w:rPr>
          <w:spacing w:val="-6"/>
        </w:rPr>
        <w:t xml:space="preserve"> </w:t>
      </w:r>
      <w:r>
        <w:t>reflecting</w:t>
      </w:r>
      <w:r>
        <w:rPr>
          <w:spacing w:val="-6"/>
        </w:rPr>
        <w:t xml:space="preserve"> </w:t>
      </w:r>
      <w:r>
        <w:t>the</w:t>
      </w:r>
      <w:r>
        <w:rPr>
          <w:spacing w:val="-6"/>
        </w:rPr>
        <w:t xml:space="preserve"> </w:t>
      </w:r>
      <w:r>
        <w:t>features</w:t>
      </w:r>
      <w:r>
        <w:rPr>
          <w:spacing w:val="-6"/>
        </w:rPr>
        <w:t xml:space="preserve"> </w:t>
      </w:r>
      <w:r>
        <w:t>of</w:t>
      </w:r>
      <w:r>
        <w:rPr>
          <w:spacing w:val="-6"/>
        </w:rPr>
        <w:t xml:space="preserve"> </w:t>
      </w:r>
      <w:r>
        <w:t>the</w:t>
      </w:r>
      <w:r>
        <w:rPr>
          <w:spacing w:val="-6"/>
        </w:rPr>
        <w:t xml:space="preserve"> </w:t>
      </w:r>
      <w:r>
        <w:t>sample</w:t>
      </w:r>
      <w:r>
        <w:rPr>
          <w:spacing w:val="-6"/>
        </w:rPr>
        <w:t xml:space="preserve"> </w:t>
      </w:r>
      <w:r>
        <w:t>design,</w:t>
      </w:r>
      <w:r>
        <w:rPr>
          <w:spacing w:val="-6"/>
        </w:rPr>
        <w:t xml:space="preserve"> </w:t>
      </w:r>
      <w:r>
        <w:t>so</w:t>
      </w:r>
      <w:r>
        <w:rPr>
          <w:spacing w:val="-6"/>
        </w:rPr>
        <w:t xml:space="preserve"> </w:t>
      </w:r>
      <w:r>
        <w:t>that</w:t>
      </w:r>
      <w:r>
        <w:rPr>
          <w:spacing w:val="-6"/>
        </w:rPr>
        <w:t xml:space="preserve"> </w:t>
      </w:r>
      <w:r>
        <w:t>when</w:t>
      </w:r>
      <w:r>
        <w:rPr>
          <w:spacing w:val="-6"/>
        </w:rPr>
        <w:t xml:space="preserve"> </w:t>
      </w:r>
      <w:r>
        <w:t>the jackknife variance estimation procedure is implemented, approximately unbiased estimates of sampling variance are obtained. In addition, the various weighting procedures were repeated on each set of replicate weights to appropriately reflect the impact of the weighting adjustments on the sampling variance of a survey estimate.</w:t>
      </w:r>
      <w:r>
        <w:rPr>
          <w:spacing w:val="-10"/>
        </w:rPr>
        <w:t xml:space="preserve"> </w:t>
      </w:r>
      <w:r>
        <w:t>A</w:t>
      </w:r>
      <w:r>
        <w:rPr>
          <w:spacing w:val="-10"/>
        </w:rPr>
        <w:t xml:space="preserve"> </w:t>
      </w:r>
      <w:r>
        <w:t>finite population</w:t>
      </w:r>
      <w:r>
        <w:rPr>
          <w:spacing w:val="-4"/>
        </w:rPr>
        <w:t xml:space="preserve"> </w:t>
      </w:r>
      <w:r>
        <w:t>correction</w:t>
      </w:r>
      <w:r>
        <w:rPr>
          <w:spacing w:val="-4"/>
        </w:rPr>
        <w:t xml:space="preserve"> </w:t>
      </w:r>
      <w:r>
        <w:t>(fpc)</w:t>
      </w:r>
      <w:r>
        <w:rPr>
          <w:spacing w:val="-4"/>
        </w:rPr>
        <w:t xml:space="preserve"> </w:t>
      </w:r>
      <w:r>
        <w:t>factor</w:t>
      </w:r>
      <w:r>
        <w:rPr>
          <w:spacing w:val="-4"/>
        </w:rPr>
        <w:t xml:space="preserve"> </w:t>
      </w:r>
      <w:r>
        <w:t>was</w:t>
      </w:r>
      <w:r>
        <w:rPr>
          <w:spacing w:val="-4"/>
        </w:rPr>
        <w:t xml:space="preserve"> </w:t>
      </w:r>
      <w:r>
        <w:t>incorporated</w:t>
      </w:r>
      <w:r>
        <w:rPr>
          <w:spacing w:val="-4"/>
        </w:rPr>
        <w:t xml:space="preserve"> </w:t>
      </w:r>
      <w:r>
        <w:t>into</w:t>
      </w:r>
      <w:r>
        <w:rPr>
          <w:spacing w:val="-4"/>
        </w:rPr>
        <w:t xml:space="preserve"> </w:t>
      </w:r>
      <w:r>
        <w:t>the</w:t>
      </w:r>
      <w:r>
        <w:rPr>
          <w:spacing w:val="-4"/>
        </w:rPr>
        <w:t xml:space="preserve"> </w:t>
      </w:r>
      <w:r>
        <w:t>replication</w:t>
      </w:r>
      <w:r>
        <w:rPr>
          <w:spacing w:val="-4"/>
        </w:rPr>
        <w:t xml:space="preserve"> </w:t>
      </w:r>
      <w:r>
        <w:t>scheme</w:t>
      </w:r>
      <w:r>
        <w:rPr>
          <w:spacing w:val="-4"/>
        </w:rPr>
        <w:t xml:space="preserve"> </w:t>
      </w:r>
      <w:r>
        <w:t>so</w:t>
      </w:r>
      <w:r>
        <w:rPr>
          <w:spacing w:val="-4"/>
        </w:rPr>
        <w:t xml:space="preserve"> </w:t>
      </w:r>
      <w:r>
        <w:t>that</w:t>
      </w:r>
      <w:r>
        <w:rPr>
          <w:spacing w:val="-4"/>
        </w:rPr>
        <w:t xml:space="preserve"> </w:t>
      </w:r>
      <w:r>
        <w:t>it</w:t>
      </w:r>
      <w:r>
        <w:rPr>
          <w:spacing w:val="-4"/>
        </w:rPr>
        <w:t xml:space="preserve"> </w:t>
      </w:r>
      <w:r>
        <w:t>could</w:t>
      </w:r>
      <w:r>
        <w:rPr>
          <w:spacing w:val="-4"/>
        </w:rPr>
        <w:t xml:space="preserve"> </w:t>
      </w:r>
      <w:r>
        <w:t>be</w:t>
      </w:r>
      <w:r>
        <w:rPr>
          <w:spacing w:val="-4"/>
        </w:rPr>
        <w:t xml:space="preserve"> </w:t>
      </w:r>
      <w:r>
        <w:t>reflected</w:t>
      </w:r>
      <w:r>
        <w:rPr>
          <w:spacing w:val="-4"/>
        </w:rPr>
        <w:t xml:space="preserve"> </w:t>
      </w:r>
      <w:r>
        <w:t>in</w:t>
      </w:r>
      <w:r>
        <w:rPr>
          <w:spacing w:val="-4"/>
        </w:rPr>
        <w:t xml:space="preserve"> </w:t>
      </w:r>
      <w:r>
        <w:t>the</w:t>
      </w:r>
      <w:r>
        <w:rPr>
          <w:spacing w:val="-4"/>
        </w:rPr>
        <w:t xml:space="preserve"> </w:t>
      </w:r>
      <w:r>
        <w:t>variance</w:t>
      </w:r>
      <w:r>
        <w:rPr>
          <w:spacing w:val="-4"/>
        </w:rPr>
        <w:t xml:space="preserve"> </w:t>
      </w:r>
      <w:r>
        <w:t>estimates</w:t>
      </w:r>
      <w:r>
        <w:rPr>
          <w:spacing w:val="-4"/>
        </w:rPr>
        <w:t xml:space="preserve"> </w:t>
      </w:r>
      <w:r>
        <w:t>for</w:t>
      </w:r>
      <w:r>
        <w:rPr>
          <w:spacing w:val="-4"/>
        </w:rPr>
        <w:t xml:space="preserve"> </w:t>
      </w:r>
      <w:r>
        <w:t>the</w:t>
      </w:r>
      <w:r>
        <w:rPr>
          <w:spacing w:val="-4"/>
        </w:rPr>
        <w:t xml:space="preserve"> </w:t>
      </w:r>
      <w:r>
        <w:t>grade-based</w:t>
      </w:r>
      <w:r>
        <w:rPr>
          <w:spacing w:val="-4"/>
        </w:rPr>
        <w:t xml:space="preserve"> </w:t>
      </w:r>
      <w:r>
        <w:t>assessments.</w:t>
      </w:r>
      <w:r>
        <w:rPr>
          <w:spacing w:val="-4"/>
        </w:rPr>
        <w:t xml:space="preserve"> </w:t>
      </w:r>
      <w:r>
        <w:t>Similar</w:t>
      </w:r>
      <w:r>
        <w:rPr>
          <w:spacing w:val="-4"/>
        </w:rPr>
        <w:t xml:space="preserve"> </w:t>
      </w:r>
      <w:r>
        <w:t>to previous</w:t>
      </w:r>
      <w:r>
        <w:rPr>
          <w:spacing w:val="-10"/>
        </w:rPr>
        <w:t xml:space="preserve"> </w:t>
      </w:r>
      <w:r>
        <w:t>years,</w:t>
      </w:r>
      <w:r>
        <w:rPr>
          <w:spacing w:val="-10"/>
        </w:rPr>
        <w:t xml:space="preserve"> </w:t>
      </w:r>
      <w:r>
        <w:t>the</w:t>
      </w:r>
      <w:r>
        <w:rPr>
          <w:spacing w:val="-10"/>
        </w:rPr>
        <w:t xml:space="preserve"> </w:t>
      </w:r>
      <w:r>
        <w:t>replication</w:t>
      </w:r>
      <w:r>
        <w:rPr>
          <w:spacing w:val="-10"/>
        </w:rPr>
        <w:t xml:space="preserve"> </w:t>
      </w:r>
      <w:r>
        <w:t>scheme</w:t>
      </w:r>
      <w:r>
        <w:rPr>
          <w:spacing w:val="-10"/>
        </w:rPr>
        <w:t xml:space="preserve"> </w:t>
      </w:r>
      <w:r>
        <w:t>for</w:t>
      </w:r>
      <w:r>
        <w:rPr>
          <w:spacing w:val="-10"/>
        </w:rPr>
        <w:t xml:space="preserve"> </w:t>
      </w:r>
      <w:r>
        <w:t>LTT</w:t>
      </w:r>
      <w:r>
        <w:rPr>
          <w:spacing w:val="-13"/>
        </w:rPr>
        <w:t xml:space="preserve"> </w:t>
      </w:r>
      <w:r>
        <w:t>does</w:t>
      </w:r>
      <w:r>
        <w:rPr>
          <w:spacing w:val="-10"/>
        </w:rPr>
        <w:t xml:space="preserve"> </w:t>
      </w:r>
      <w:r>
        <w:t>not</w:t>
      </w:r>
      <w:r>
        <w:rPr>
          <w:spacing w:val="-10"/>
        </w:rPr>
        <w:t xml:space="preserve"> </w:t>
      </w:r>
      <w:r>
        <w:t>incorporate</w:t>
      </w:r>
      <w:r>
        <w:rPr>
          <w:spacing w:val="-10"/>
        </w:rPr>
        <w:t xml:space="preserve"> </w:t>
      </w:r>
      <w:r>
        <w:t>a</w:t>
      </w:r>
      <w:r>
        <w:rPr>
          <w:spacing w:val="-10"/>
        </w:rPr>
        <w:t xml:space="preserve"> </w:t>
      </w:r>
      <w:r>
        <w:t>finite</w:t>
      </w:r>
      <w:r>
        <w:rPr>
          <w:spacing w:val="-10"/>
        </w:rPr>
        <w:t xml:space="preserve"> </w:t>
      </w:r>
      <w:r>
        <w:t>population</w:t>
      </w:r>
      <w:r>
        <w:rPr>
          <w:spacing w:val="-10"/>
        </w:rPr>
        <w:t xml:space="preserve"> </w:t>
      </w:r>
      <w:r>
        <w:t>correction</w:t>
      </w:r>
      <w:r>
        <w:rPr>
          <w:spacing w:val="-10"/>
        </w:rPr>
        <w:t xml:space="preserve"> </w:t>
      </w:r>
      <w:r>
        <w:t>factor.</w:t>
      </w:r>
      <w:r>
        <w:rPr>
          <w:spacing w:val="-10"/>
        </w:rPr>
        <w:t xml:space="preserve"> </w:t>
      </w:r>
      <w:r>
        <w:t>See</w:t>
      </w:r>
      <w:r>
        <w:rPr>
          <w:spacing w:val="-10"/>
        </w:rPr>
        <w:t xml:space="preserve"> </w:t>
      </w:r>
      <w:r>
        <w:t>Computation</w:t>
      </w:r>
      <w:r>
        <w:rPr>
          <w:spacing w:val="-10"/>
        </w:rPr>
        <w:t xml:space="preserve"> </w:t>
      </w:r>
      <w:r>
        <w:t>of</w:t>
      </w:r>
      <w:r>
        <w:rPr>
          <w:spacing w:val="-10"/>
        </w:rPr>
        <w:t xml:space="preserve"> </w:t>
      </w:r>
      <w:r>
        <w:t>Replicate</w:t>
      </w:r>
      <w:r>
        <w:rPr>
          <w:spacing w:val="-10"/>
        </w:rPr>
        <w:t xml:space="preserve"> </w:t>
      </w:r>
      <w:r>
        <w:t>Student</w:t>
      </w:r>
      <w:r>
        <w:rPr>
          <w:spacing w:val="-13"/>
        </w:rPr>
        <w:t xml:space="preserve"> </w:t>
      </w:r>
      <w:r>
        <w:t>Weights</w:t>
      </w:r>
      <w:r>
        <w:rPr>
          <w:spacing w:val="-10"/>
        </w:rPr>
        <w:t xml:space="preserve"> </w:t>
      </w:r>
      <w:r>
        <w:t>for</w:t>
      </w:r>
      <w:r>
        <w:rPr>
          <w:spacing w:val="-13"/>
        </w:rPr>
        <w:t xml:space="preserve"> </w:t>
      </w:r>
      <w:r>
        <w:t>Variance</w:t>
      </w:r>
      <w:r>
        <w:rPr>
          <w:spacing w:val="-10"/>
        </w:rPr>
        <w:t xml:space="preserve"> </w:t>
      </w:r>
      <w:r>
        <w:t>Estimation for details.</w:t>
      </w:r>
    </w:p>
    <w:p w:rsidR="003F5784" w14:paraId="57A8A255" w14:textId="77777777">
      <w:pPr>
        <w:pStyle w:val="Heading2"/>
        <w:spacing w:before="205"/>
        <w:ind w:left="109"/>
      </w:pPr>
      <w:r>
        <w:t>School</w:t>
      </w:r>
      <w:r>
        <w:rPr>
          <w:spacing w:val="-11"/>
        </w:rPr>
        <w:t xml:space="preserve"> </w:t>
      </w:r>
      <w:r>
        <w:rPr>
          <w:spacing w:val="-2"/>
        </w:rPr>
        <w:t>Weights</w:t>
      </w:r>
    </w:p>
    <w:p w:rsidR="003F5784" w14:paraId="7B6887F1" w14:textId="77777777">
      <w:pPr>
        <w:pStyle w:val="BodyText"/>
        <w:spacing w:before="208" w:line="232" w:lineRule="auto"/>
        <w:ind w:left="109"/>
      </w:pPr>
      <w:r>
        <w:t>In</w:t>
      </w:r>
      <w:r>
        <w:rPr>
          <w:spacing w:val="-6"/>
        </w:rPr>
        <w:t xml:space="preserve"> </w:t>
      </w:r>
      <w:r>
        <w:t>addition</w:t>
      </w:r>
      <w:r>
        <w:rPr>
          <w:spacing w:val="-6"/>
        </w:rPr>
        <w:t xml:space="preserve"> </w:t>
      </w:r>
      <w:r>
        <w:t>to</w:t>
      </w:r>
      <w:r>
        <w:rPr>
          <w:spacing w:val="-6"/>
        </w:rPr>
        <w:t xml:space="preserve"> </w:t>
      </w:r>
      <w:r>
        <w:t>student</w:t>
      </w:r>
      <w:r>
        <w:rPr>
          <w:spacing w:val="-6"/>
        </w:rPr>
        <w:t xml:space="preserve"> </w:t>
      </w:r>
      <w:r>
        <w:t>weights,</w:t>
      </w:r>
      <w:r>
        <w:rPr>
          <w:spacing w:val="-6"/>
        </w:rPr>
        <w:t xml:space="preserve"> </w:t>
      </w:r>
      <w:r>
        <w:t>school</w:t>
      </w:r>
      <w:r>
        <w:rPr>
          <w:spacing w:val="-6"/>
        </w:rPr>
        <w:t xml:space="preserve"> </w:t>
      </w:r>
      <w:r>
        <w:t>weights</w:t>
      </w:r>
      <w:r>
        <w:rPr>
          <w:spacing w:val="-6"/>
        </w:rPr>
        <w:t xml:space="preserve"> </w:t>
      </w:r>
      <w:r>
        <w:t>were</w:t>
      </w:r>
      <w:r>
        <w:rPr>
          <w:spacing w:val="-6"/>
        </w:rPr>
        <w:t xml:space="preserve"> </w:t>
      </w:r>
      <w:r>
        <w:t>calculated</w:t>
      </w:r>
      <w:r>
        <w:rPr>
          <w:spacing w:val="-6"/>
        </w:rPr>
        <w:t xml:space="preserve"> </w:t>
      </w:r>
      <w:r>
        <w:t>to</w:t>
      </w:r>
      <w:r>
        <w:rPr>
          <w:spacing w:val="-6"/>
        </w:rPr>
        <w:t xml:space="preserve"> </w:t>
      </w:r>
      <w:r>
        <w:t>provide</w:t>
      </w:r>
      <w:r>
        <w:rPr>
          <w:spacing w:val="-6"/>
        </w:rPr>
        <w:t xml:space="preserve"> </w:t>
      </w:r>
      <w:r>
        <w:t>secondary</w:t>
      </w:r>
      <w:r>
        <w:rPr>
          <w:spacing w:val="-6"/>
        </w:rPr>
        <w:t xml:space="preserve"> </w:t>
      </w:r>
      <w:r>
        <w:t>users</w:t>
      </w:r>
      <w:r>
        <w:rPr>
          <w:spacing w:val="-6"/>
        </w:rPr>
        <w:t xml:space="preserve"> </w:t>
      </w:r>
      <w:r>
        <w:t>means</w:t>
      </w:r>
      <w:r>
        <w:rPr>
          <w:spacing w:val="-6"/>
        </w:rPr>
        <w:t xml:space="preserve"> </w:t>
      </w:r>
      <w:r>
        <w:t>to</w:t>
      </w:r>
      <w:r>
        <w:rPr>
          <w:spacing w:val="-6"/>
        </w:rPr>
        <w:t xml:space="preserve"> </w:t>
      </w:r>
      <w:r>
        <w:t>analyze</w:t>
      </w:r>
      <w:r>
        <w:rPr>
          <w:spacing w:val="-6"/>
        </w:rPr>
        <w:t xml:space="preserve"> </w:t>
      </w:r>
      <w:r>
        <w:t>data</w:t>
      </w:r>
      <w:r>
        <w:rPr>
          <w:spacing w:val="-6"/>
        </w:rPr>
        <w:t xml:space="preserve"> </w:t>
      </w:r>
      <w:r>
        <w:t>at</w:t>
      </w:r>
      <w:r>
        <w:rPr>
          <w:spacing w:val="-6"/>
        </w:rPr>
        <w:t xml:space="preserve"> </w:t>
      </w:r>
      <w:r>
        <w:t>the</w:t>
      </w:r>
      <w:r>
        <w:rPr>
          <w:spacing w:val="-6"/>
        </w:rPr>
        <w:t xml:space="preserve"> </w:t>
      </w:r>
      <w:r>
        <w:t>school</w:t>
      </w:r>
      <w:r>
        <w:rPr>
          <w:spacing w:val="-6"/>
        </w:rPr>
        <w:t xml:space="preserve"> </w:t>
      </w:r>
      <w:r>
        <w:t>level.</w:t>
      </w:r>
      <w:r>
        <w:rPr>
          <w:spacing w:val="-9"/>
        </w:rPr>
        <w:t xml:space="preserve"> </w:t>
      </w:r>
      <w:r>
        <w:t>The</w:t>
      </w:r>
      <w:r>
        <w:rPr>
          <w:spacing w:val="-6"/>
        </w:rPr>
        <w:t xml:space="preserve"> </w:t>
      </w:r>
      <w:r>
        <w:t>school</w:t>
      </w:r>
      <w:r>
        <w:rPr>
          <w:spacing w:val="-6"/>
        </w:rPr>
        <w:t xml:space="preserve"> </w:t>
      </w:r>
      <w:r>
        <w:t>weights</w:t>
      </w:r>
      <w:r>
        <w:rPr>
          <w:spacing w:val="-6"/>
        </w:rPr>
        <w:t xml:space="preserve"> </w:t>
      </w:r>
      <w:r>
        <w:t>are</w:t>
      </w:r>
      <w:r>
        <w:rPr>
          <w:spacing w:val="-6"/>
        </w:rPr>
        <w:t xml:space="preserve"> </w:t>
      </w:r>
      <w:r>
        <w:t>subject</w:t>
      </w:r>
      <w:r>
        <w:rPr>
          <w:spacing w:val="-6"/>
        </w:rPr>
        <w:t xml:space="preserve"> </w:t>
      </w:r>
      <w:r>
        <w:t>specific</w:t>
      </w:r>
      <w:r>
        <w:rPr>
          <w:spacing w:val="-6"/>
        </w:rPr>
        <w:t xml:space="preserve"> </w:t>
      </w:r>
      <w:r>
        <w:t>and represent the schools that contained at least one student that participated in the NAEP</w:t>
      </w:r>
      <w:r>
        <w:rPr>
          <w:spacing w:val="-5"/>
        </w:rPr>
        <w:t xml:space="preserve"> </w:t>
      </w:r>
      <w:r>
        <w:t>assessment for that subject.</w:t>
      </w:r>
    </w:p>
    <w:p w:rsidR="003F5784" w14:paraId="74342C6C" w14:textId="77777777">
      <w:pPr>
        <w:pStyle w:val="BodyText"/>
        <w:spacing w:before="209" w:line="232" w:lineRule="auto"/>
        <w:ind w:left="109"/>
      </w:pPr>
      <w:r>
        <w:t>Each</w:t>
      </w:r>
      <w:r>
        <w:rPr>
          <w:spacing w:val="-5"/>
        </w:rPr>
        <w:t xml:space="preserve"> </w:t>
      </w:r>
      <w:r>
        <w:t>school</w:t>
      </w:r>
      <w:r>
        <w:rPr>
          <w:spacing w:val="-5"/>
        </w:rPr>
        <w:t xml:space="preserve"> </w:t>
      </w:r>
      <w:r>
        <w:t>was</w:t>
      </w:r>
      <w:r>
        <w:rPr>
          <w:spacing w:val="-5"/>
        </w:rPr>
        <w:t xml:space="preserve"> </w:t>
      </w:r>
      <w:r>
        <w:t>assigned</w:t>
      </w:r>
      <w:r>
        <w:rPr>
          <w:spacing w:val="-5"/>
        </w:rPr>
        <w:t xml:space="preserve"> </w:t>
      </w:r>
      <w:r>
        <w:t>a</w:t>
      </w:r>
      <w:r>
        <w:rPr>
          <w:spacing w:val="-5"/>
        </w:rPr>
        <w:t xml:space="preserve"> </w:t>
      </w:r>
      <w:r>
        <w:t>weight</w:t>
      </w:r>
      <w:r>
        <w:rPr>
          <w:spacing w:val="-5"/>
        </w:rPr>
        <w:t xml:space="preserve"> </w:t>
      </w:r>
      <w:r>
        <w:t>to</w:t>
      </w:r>
      <w:r>
        <w:rPr>
          <w:spacing w:val="-5"/>
        </w:rPr>
        <w:t xml:space="preserve"> </w:t>
      </w:r>
      <w:r>
        <w:t>be</w:t>
      </w:r>
      <w:r>
        <w:rPr>
          <w:spacing w:val="-5"/>
        </w:rPr>
        <w:t xml:space="preserve"> </w:t>
      </w:r>
      <w:r>
        <w:t>used</w:t>
      </w:r>
      <w:r>
        <w:rPr>
          <w:spacing w:val="-5"/>
        </w:rPr>
        <w:t xml:space="preserve"> </w:t>
      </w:r>
      <w:r>
        <w:t>for</w:t>
      </w:r>
      <w:r>
        <w:rPr>
          <w:spacing w:val="-5"/>
        </w:rPr>
        <w:t xml:space="preserve"> </w:t>
      </w:r>
      <w:r>
        <w:t>making</w:t>
      </w:r>
      <w:r>
        <w:rPr>
          <w:spacing w:val="-5"/>
        </w:rPr>
        <w:t xml:space="preserve"> </w:t>
      </w:r>
      <w:r>
        <w:t>inferences</w:t>
      </w:r>
      <w:r>
        <w:rPr>
          <w:spacing w:val="-5"/>
        </w:rPr>
        <w:t xml:space="preserve"> </w:t>
      </w:r>
      <w:r>
        <w:t>about</w:t>
      </w:r>
      <w:r>
        <w:rPr>
          <w:spacing w:val="-5"/>
        </w:rPr>
        <w:t xml:space="preserve"> </w:t>
      </w:r>
      <w:r>
        <w:t>schools</w:t>
      </w:r>
      <w:r>
        <w:rPr>
          <w:spacing w:val="-5"/>
        </w:rPr>
        <w:t xml:space="preserve"> </w:t>
      </w:r>
      <w:r>
        <w:t>in</w:t>
      </w:r>
      <w:r>
        <w:rPr>
          <w:spacing w:val="-5"/>
        </w:rPr>
        <w:t xml:space="preserve"> </w:t>
      </w:r>
      <w:r>
        <w:t>the</w:t>
      </w:r>
      <w:r>
        <w:rPr>
          <w:spacing w:val="-5"/>
        </w:rPr>
        <w:t xml:space="preserve"> </w:t>
      </w:r>
      <w:r>
        <w:t>target</w:t>
      </w:r>
      <w:r>
        <w:rPr>
          <w:spacing w:val="-5"/>
        </w:rPr>
        <w:t xml:space="preserve"> </w:t>
      </w:r>
      <w:r>
        <w:t>population.</w:t>
      </w:r>
      <w:r>
        <w:rPr>
          <w:spacing w:val="-9"/>
        </w:rPr>
        <w:t xml:space="preserve"> </w:t>
      </w:r>
      <w:r>
        <w:t>This</w:t>
      </w:r>
      <w:r>
        <w:rPr>
          <w:spacing w:val="-5"/>
        </w:rPr>
        <w:t xml:space="preserve"> </w:t>
      </w:r>
      <w:r>
        <w:t>weight</w:t>
      </w:r>
      <w:r>
        <w:rPr>
          <w:spacing w:val="-5"/>
        </w:rPr>
        <w:t xml:space="preserve"> </w:t>
      </w:r>
      <w:r>
        <w:t>is</w:t>
      </w:r>
      <w:r>
        <w:rPr>
          <w:spacing w:val="-5"/>
        </w:rPr>
        <w:t xml:space="preserve"> </w:t>
      </w:r>
      <w:r>
        <w:t>known</w:t>
      </w:r>
      <w:r>
        <w:rPr>
          <w:spacing w:val="-5"/>
        </w:rPr>
        <w:t xml:space="preserve"> </w:t>
      </w:r>
      <w:r>
        <w:t>as</w:t>
      </w:r>
      <w:r>
        <w:rPr>
          <w:spacing w:val="-5"/>
        </w:rPr>
        <w:t xml:space="preserve"> </w:t>
      </w:r>
      <w:r>
        <w:t>the</w:t>
      </w:r>
      <w:r>
        <w:rPr>
          <w:spacing w:val="-5"/>
        </w:rPr>
        <w:t xml:space="preserve"> </w:t>
      </w:r>
      <w:r>
        <w:t>final</w:t>
      </w:r>
      <w:r>
        <w:rPr>
          <w:spacing w:val="-5"/>
        </w:rPr>
        <w:t xml:space="preserve"> </w:t>
      </w:r>
      <w:r>
        <w:t>full-sample</w:t>
      </w:r>
      <w:r>
        <w:rPr>
          <w:spacing w:val="-5"/>
        </w:rPr>
        <w:t xml:space="preserve"> </w:t>
      </w:r>
      <w:r>
        <w:t>school</w:t>
      </w:r>
      <w:r>
        <w:rPr>
          <w:spacing w:val="-5"/>
        </w:rPr>
        <w:t xml:space="preserve"> </w:t>
      </w:r>
      <w:r>
        <w:t>weight,</w:t>
      </w:r>
      <w:r>
        <w:rPr>
          <w:spacing w:val="-5"/>
        </w:rPr>
        <w:t xml:space="preserve"> </w:t>
      </w:r>
      <w:r>
        <w:t>and</w:t>
      </w:r>
      <w:r>
        <w:rPr>
          <w:spacing w:val="-5"/>
        </w:rPr>
        <w:t xml:space="preserve"> </w:t>
      </w:r>
      <w:r>
        <w:t>it contains five major components:</w:t>
      </w:r>
    </w:p>
    <w:p w:rsidR="003F5784" w14:paraId="10991F74" w14:textId="77777777">
      <w:pPr>
        <w:spacing w:line="232" w:lineRule="auto"/>
        <w:sectPr>
          <w:type w:val="continuous"/>
          <w:pgSz w:w="15840" w:h="12240" w:orient="landscape"/>
          <w:pgMar w:top="480" w:right="440" w:bottom="460" w:left="460" w:header="284" w:footer="275" w:gutter="0"/>
          <w:cols w:space="720"/>
        </w:sectPr>
      </w:pPr>
    </w:p>
    <w:p w:rsidR="003F5784" w14:paraId="5D584E20" w14:textId="77777777">
      <w:pPr>
        <w:pStyle w:val="BodyText"/>
        <w:spacing w:before="72" w:line="238" w:lineRule="exact"/>
        <w:ind w:left="422"/>
      </w:pPr>
      <w:r>
        <w:rPr>
          <w:noProof/>
          <w:position w:val="3"/>
        </w:rPr>
        <w:drawing>
          <wp:inline distT="0" distB="0" distL="0" distR="0">
            <wp:extent cx="41379" cy="41378"/>
            <wp:effectExtent l="0" t="0" r="0" b="0"/>
            <wp:docPr id="473" name="Image 473"/>
            <wp:cNvGraphicFramePr/>
            <a:graphic xmlns:a="http://schemas.openxmlformats.org/drawingml/2006/main">
              <a:graphicData uri="http://schemas.openxmlformats.org/drawingml/2006/picture">
                <pic:pic xmlns:pic="http://schemas.openxmlformats.org/drawingml/2006/picture">
                  <pic:nvPicPr>
                    <pic:cNvPr id="473" name="Image 473"/>
                    <pic:cNvPicPr/>
                  </pic:nvPicPr>
                  <pic:blipFill>
                    <a:blip xmlns:r="http://schemas.openxmlformats.org/officeDocument/2006/relationships" r:embed="rId373" cstate="print"/>
                    <a:stretch>
                      <a:fillRect/>
                    </a:stretch>
                  </pic:blipFill>
                  <pic:spPr>
                    <a:xfrm>
                      <a:off x="0" y="0"/>
                      <a:ext cx="41379" cy="41378"/>
                    </a:xfrm>
                    <a:prstGeom prst="rect">
                      <a:avLst/>
                    </a:prstGeom>
                  </pic:spPr>
                </pic:pic>
              </a:graphicData>
            </a:graphic>
          </wp:inline>
        </w:drawing>
      </w:r>
      <w:r>
        <w:rPr>
          <w:spacing w:val="80"/>
          <w:sz w:val="20"/>
        </w:rPr>
        <w:t xml:space="preserve"> </w:t>
      </w:r>
      <w:r>
        <w:t>the school base weight,</w:t>
      </w:r>
    </w:p>
    <w:p w:rsidR="003F5784" w14:paraId="1FBA092E" w14:textId="77777777">
      <w:pPr>
        <w:pStyle w:val="BodyText"/>
        <w:spacing w:line="235" w:lineRule="exact"/>
        <w:ind w:left="422"/>
      </w:pPr>
      <w:r>
        <w:rPr>
          <w:noProof/>
          <w:position w:val="3"/>
        </w:rPr>
        <w:drawing>
          <wp:inline distT="0" distB="0" distL="0" distR="0">
            <wp:extent cx="41379" cy="41378"/>
            <wp:effectExtent l="0" t="0" r="0" b="0"/>
            <wp:docPr id="474" name="Image 474"/>
            <wp:cNvGraphicFramePr/>
            <a:graphic xmlns:a="http://schemas.openxmlformats.org/drawingml/2006/main">
              <a:graphicData uri="http://schemas.openxmlformats.org/drawingml/2006/picture">
                <pic:pic xmlns:pic="http://schemas.openxmlformats.org/drawingml/2006/picture">
                  <pic:nvPicPr>
                    <pic:cNvPr id="474" name="Image 474"/>
                    <pic:cNvPicPr/>
                  </pic:nvPicPr>
                  <pic:blipFill>
                    <a:blip xmlns:r="http://schemas.openxmlformats.org/officeDocument/2006/relationships" r:embed="rId374" cstate="print"/>
                    <a:stretch>
                      <a:fillRect/>
                    </a:stretch>
                  </pic:blipFill>
                  <pic:spPr>
                    <a:xfrm>
                      <a:off x="0" y="0"/>
                      <a:ext cx="41379" cy="41378"/>
                    </a:xfrm>
                    <a:prstGeom prst="rect">
                      <a:avLst/>
                    </a:prstGeom>
                  </pic:spPr>
                </pic:pic>
              </a:graphicData>
            </a:graphic>
          </wp:inline>
        </w:drawing>
      </w:r>
      <w:r>
        <w:rPr>
          <w:spacing w:val="80"/>
          <w:sz w:val="20"/>
        </w:rPr>
        <w:t xml:space="preserve"> </w:t>
      </w:r>
      <w:r>
        <w:t>school nonresponse adjustment,</w:t>
      </w:r>
    </w:p>
    <w:p w:rsidR="003F5784" w14:paraId="3EFEDE3C" w14:textId="77777777">
      <w:pPr>
        <w:pStyle w:val="BodyText"/>
        <w:spacing w:line="235" w:lineRule="exact"/>
        <w:ind w:left="422"/>
      </w:pPr>
      <w:r>
        <w:rPr>
          <w:noProof/>
          <w:position w:val="3"/>
        </w:rPr>
        <w:drawing>
          <wp:inline distT="0" distB="0" distL="0" distR="0">
            <wp:extent cx="41379" cy="41378"/>
            <wp:effectExtent l="0" t="0" r="0" b="0"/>
            <wp:docPr id="475" name="Image 475"/>
            <wp:cNvGraphicFramePr/>
            <a:graphic xmlns:a="http://schemas.openxmlformats.org/drawingml/2006/main">
              <a:graphicData uri="http://schemas.openxmlformats.org/drawingml/2006/picture">
                <pic:pic xmlns:pic="http://schemas.openxmlformats.org/drawingml/2006/picture">
                  <pic:nvPicPr>
                    <pic:cNvPr id="475" name="Image 475"/>
                    <pic:cNvPicPr/>
                  </pic:nvPicPr>
                  <pic:blipFill>
                    <a:blip xmlns:r="http://schemas.openxmlformats.org/officeDocument/2006/relationships" r:embed="rId375" cstate="print"/>
                    <a:stretch>
                      <a:fillRect/>
                    </a:stretch>
                  </pic:blipFill>
                  <pic:spPr>
                    <a:xfrm>
                      <a:off x="0" y="0"/>
                      <a:ext cx="41379" cy="41378"/>
                    </a:xfrm>
                    <a:prstGeom prst="rect">
                      <a:avLst/>
                    </a:prstGeom>
                  </pic:spPr>
                </pic:pic>
              </a:graphicData>
            </a:graphic>
          </wp:inline>
        </w:drawing>
      </w:r>
      <w:r>
        <w:rPr>
          <w:spacing w:val="80"/>
          <w:sz w:val="20"/>
        </w:rPr>
        <w:t xml:space="preserve"> </w:t>
      </w:r>
      <w:r>
        <w:t>school weight trimming adjustment,</w:t>
      </w:r>
    </w:p>
    <w:p w:rsidR="003F5784" w14:paraId="52A08A4C" w14:textId="77777777">
      <w:pPr>
        <w:pStyle w:val="BodyText"/>
        <w:spacing w:before="3" w:line="232" w:lineRule="auto"/>
        <w:ind w:left="422" w:right="11090"/>
      </w:pPr>
      <w:r>
        <w:rPr>
          <w:noProof/>
          <w:position w:val="3"/>
        </w:rPr>
        <w:drawing>
          <wp:inline distT="0" distB="0" distL="0" distR="0">
            <wp:extent cx="41379" cy="41378"/>
            <wp:effectExtent l="0" t="0" r="0" b="0"/>
            <wp:docPr id="476" name="Image 476"/>
            <wp:cNvGraphicFramePr/>
            <a:graphic xmlns:a="http://schemas.openxmlformats.org/drawingml/2006/main">
              <a:graphicData uri="http://schemas.openxmlformats.org/drawingml/2006/picture">
                <pic:pic xmlns:pic="http://schemas.openxmlformats.org/drawingml/2006/picture">
                  <pic:nvPicPr>
                    <pic:cNvPr id="476" name="Image 476"/>
                    <pic:cNvPicPr/>
                  </pic:nvPicPr>
                  <pic:blipFill>
                    <a:blip xmlns:r="http://schemas.openxmlformats.org/officeDocument/2006/relationships" r:embed="rId376" cstate="print"/>
                    <a:stretch>
                      <a:fillRect/>
                    </a:stretch>
                  </pic:blipFill>
                  <pic:spPr>
                    <a:xfrm>
                      <a:off x="0" y="0"/>
                      <a:ext cx="41379" cy="41378"/>
                    </a:xfrm>
                    <a:prstGeom prst="rect">
                      <a:avLst/>
                    </a:prstGeom>
                  </pic:spPr>
                </pic:pic>
              </a:graphicData>
            </a:graphic>
          </wp:inline>
        </w:drawing>
      </w:r>
      <w:r>
        <w:rPr>
          <w:spacing w:val="70"/>
          <w:sz w:val="20"/>
        </w:rPr>
        <w:t xml:space="preserve"> </w:t>
      </w:r>
      <w:r>
        <w:t>school</w:t>
      </w:r>
      <w:r>
        <w:rPr>
          <w:spacing w:val="-10"/>
        </w:rPr>
        <w:t xml:space="preserve"> </w:t>
      </w:r>
      <w:r>
        <w:t>session</w:t>
      </w:r>
      <w:r>
        <w:rPr>
          <w:spacing w:val="-10"/>
        </w:rPr>
        <w:t xml:space="preserve"> </w:t>
      </w:r>
      <w:r>
        <w:t>assignment</w:t>
      </w:r>
      <w:r>
        <w:rPr>
          <w:spacing w:val="-10"/>
        </w:rPr>
        <w:t xml:space="preserve"> </w:t>
      </w:r>
      <w:r>
        <w:t>weight,</w:t>
      </w:r>
      <w:r>
        <w:rPr>
          <w:spacing w:val="-10"/>
        </w:rPr>
        <w:t xml:space="preserve"> </w:t>
      </w:r>
      <w:r>
        <w:t xml:space="preserve">and </w:t>
      </w:r>
      <w:r>
        <w:rPr>
          <w:noProof/>
          <w:position w:val="3"/>
        </w:rPr>
        <w:drawing>
          <wp:inline distT="0" distB="0" distL="0" distR="0">
            <wp:extent cx="41379" cy="41378"/>
            <wp:effectExtent l="0" t="0" r="0" b="0"/>
            <wp:docPr id="477" name="Image 477"/>
            <wp:cNvGraphicFramePr/>
            <a:graphic xmlns:a="http://schemas.openxmlformats.org/drawingml/2006/main">
              <a:graphicData uri="http://schemas.openxmlformats.org/drawingml/2006/picture">
                <pic:pic xmlns:pic="http://schemas.openxmlformats.org/drawingml/2006/picture">
                  <pic:nvPicPr>
                    <pic:cNvPr id="477" name="Image 477"/>
                    <pic:cNvPicPr/>
                  </pic:nvPicPr>
                  <pic:blipFill>
                    <a:blip xmlns:r="http://schemas.openxmlformats.org/officeDocument/2006/relationships" r:embed="rId377" cstate="print"/>
                    <a:stretch>
                      <a:fillRect/>
                    </a:stretch>
                  </pic:blipFill>
                  <pic:spPr>
                    <a:xfrm>
                      <a:off x="0" y="0"/>
                      <a:ext cx="41379" cy="41378"/>
                    </a:xfrm>
                    <a:prstGeom prst="rect">
                      <a:avLst/>
                    </a:prstGeom>
                  </pic:spPr>
                </pic:pic>
              </a:graphicData>
            </a:graphic>
          </wp:inline>
        </w:drawing>
      </w:r>
      <w:r>
        <w:rPr>
          <w:spacing w:val="80"/>
        </w:rPr>
        <w:t xml:space="preserve"> </w:t>
      </w:r>
      <w:r>
        <w:t>small-school subject adjustment.</w:t>
      </w:r>
    </w:p>
    <w:p w:rsidR="003F5784" w14:paraId="73E67207" w14:textId="77777777">
      <w:pPr>
        <w:pStyle w:val="BodyText"/>
        <w:spacing w:before="209" w:line="232" w:lineRule="auto"/>
        <w:ind w:left="109"/>
      </w:pPr>
      <w:r>
        <w:t>The school base weight is the inverse of the probability of selecting a school for a particular assessment.</w:t>
      </w:r>
      <w:r>
        <w:rPr>
          <w:spacing w:val="-3"/>
        </w:rPr>
        <w:t xml:space="preserve"> </w:t>
      </w:r>
      <w:r>
        <w:t>The school nonresponse adjustment increase the weights of participating</w:t>
      </w:r>
      <w:r>
        <w:rPr>
          <w:spacing w:val="-6"/>
        </w:rPr>
        <w:t xml:space="preserve"> </w:t>
      </w:r>
      <w:r>
        <w:t>schools</w:t>
      </w:r>
      <w:r>
        <w:rPr>
          <w:spacing w:val="-6"/>
        </w:rPr>
        <w:t xml:space="preserve"> </w:t>
      </w:r>
      <w:r>
        <w:t>to</w:t>
      </w:r>
      <w:r>
        <w:rPr>
          <w:spacing w:val="-7"/>
        </w:rPr>
        <w:t xml:space="preserve"> </w:t>
      </w:r>
      <w:r>
        <w:t>account</w:t>
      </w:r>
      <w:r>
        <w:rPr>
          <w:spacing w:val="-6"/>
        </w:rPr>
        <w:t xml:space="preserve"> </w:t>
      </w:r>
      <w:r>
        <w:t>for</w:t>
      </w:r>
      <w:r>
        <w:rPr>
          <w:spacing w:val="-6"/>
        </w:rPr>
        <w:t xml:space="preserve"> </w:t>
      </w:r>
      <w:r>
        <w:t>similar</w:t>
      </w:r>
      <w:r>
        <w:rPr>
          <w:spacing w:val="-7"/>
        </w:rPr>
        <w:t xml:space="preserve"> </w:t>
      </w:r>
      <w:r>
        <w:t>schools</w:t>
      </w:r>
      <w:r>
        <w:rPr>
          <w:spacing w:val="-6"/>
        </w:rPr>
        <w:t xml:space="preserve"> </w:t>
      </w:r>
      <w:r>
        <w:t>that</w:t>
      </w:r>
      <w:r>
        <w:rPr>
          <w:spacing w:val="-6"/>
        </w:rPr>
        <w:t xml:space="preserve"> </w:t>
      </w:r>
      <w:r>
        <w:t>did</w:t>
      </w:r>
      <w:r>
        <w:rPr>
          <w:spacing w:val="-7"/>
        </w:rPr>
        <w:t xml:space="preserve"> </w:t>
      </w:r>
      <w:r>
        <w:t>not</w:t>
      </w:r>
      <w:r>
        <w:rPr>
          <w:spacing w:val="-6"/>
        </w:rPr>
        <w:t xml:space="preserve"> </w:t>
      </w:r>
      <w:r>
        <w:t>participate,</w:t>
      </w:r>
      <w:r>
        <w:rPr>
          <w:spacing w:val="-6"/>
        </w:rPr>
        <w:t xml:space="preserve"> </w:t>
      </w:r>
      <w:r>
        <w:t>and</w:t>
      </w:r>
      <w:r>
        <w:rPr>
          <w:spacing w:val="-7"/>
        </w:rPr>
        <w:t xml:space="preserve"> </w:t>
      </w:r>
      <w:r>
        <w:t>the</w:t>
      </w:r>
      <w:r>
        <w:rPr>
          <w:spacing w:val="-6"/>
        </w:rPr>
        <w:t xml:space="preserve"> </w:t>
      </w:r>
      <w:r>
        <w:t>school</w:t>
      </w:r>
      <w:r>
        <w:rPr>
          <w:spacing w:val="-6"/>
        </w:rPr>
        <w:t xml:space="preserve"> </w:t>
      </w:r>
      <w:r>
        <w:t>trimming</w:t>
      </w:r>
      <w:r>
        <w:rPr>
          <w:spacing w:val="-7"/>
        </w:rPr>
        <w:t xml:space="preserve"> </w:t>
      </w:r>
      <w:r>
        <w:t>adjustment</w:t>
      </w:r>
      <w:r>
        <w:rPr>
          <w:spacing w:val="-6"/>
        </w:rPr>
        <w:t xml:space="preserve"> </w:t>
      </w:r>
      <w:r>
        <w:t>reduce</w:t>
      </w:r>
      <w:r>
        <w:rPr>
          <w:spacing w:val="-6"/>
        </w:rPr>
        <w:t xml:space="preserve"> </w:t>
      </w:r>
      <w:r>
        <w:t>extremely</w:t>
      </w:r>
      <w:r>
        <w:rPr>
          <w:spacing w:val="-7"/>
        </w:rPr>
        <w:t xml:space="preserve"> </w:t>
      </w:r>
      <w:r>
        <w:t>large</w:t>
      </w:r>
      <w:r>
        <w:rPr>
          <w:spacing w:val="-6"/>
        </w:rPr>
        <w:t xml:space="preserve"> </w:t>
      </w:r>
      <w:r>
        <w:t>weights</w:t>
      </w:r>
      <w:r>
        <w:rPr>
          <w:spacing w:val="-6"/>
        </w:rPr>
        <w:t xml:space="preserve"> </w:t>
      </w:r>
      <w:r>
        <w:t>to</w:t>
      </w:r>
      <w:r>
        <w:rPr>
          <w:spacing w:val="-7"/>
        </w:rPr>
        <w:t xml:space="preserve"> </w:t>
      </w:r>
      <w:r>
        <w:t>decrease</w:t>
      </w:r>
      <w:r>
        <w:rPr>
          <w:spacing w:val="-6"/>
        </w:rPr>
        <w:t xml:space="preserve"> </w:t>
      </w:r>
      <w:r>
        <w:t>variances</w:t>
      </w:r>
      <w:r>
        <w:rPr>
          <w:spacing w:val="-6"/>
        </w:rPr>
        <w:t xml:space="preserve"> </w:t>
      </w:r>
      <w:r>
        <w:t>of</w:t>
      </w:r>
      <w:r>
        <w:rPr>
          <w:spacing w:val="-7"/>
        </w:rPr>
        <w:t xml:space="preserve"> </w:t>
      </w:r>
      <w:r>
        <w:t>survey estimates. These two adjustments are the same school-level adjustments used in the student full-sample weight described above.</w:t>
      </w:r>
    </w:p>
    <w:p w:rsidR="003F5784" w14:paraId="6AB17060" w14:textId="77777777">
      <w:pPr>
        <w:pStyle w:val="BodyText"/>
        <w:spacing w:before="204"/>
        <w:ind w:left="109"/>
      </w:pPr>
      <w:r>
        <w:t>The</w:t>
      </w:r>
      <w:r>
        <w:rPr>
          <w:spacing w:val="-7"/>
        </w:rPr>
        <w:t xml:space="preserve"> </w:t>
      </w:r>
      <w:r>
        <w:t>school</w:t>
      </w:r>
      <w:r>
        <w:rPr>
          <w:spacing w:val="-6"/>
        </w:rPr>
        <w:t xml:space="preserve"> </w:t>
      </w:r>
      <w:r>
        <w:t>session</w:t>
      </w:r>
      <w:r>
        <w:rPr>
          <w:spacing w:val="-6"/>
        </w:rPr>
        <w:t xml:space="preserve"> </w:t>
      </w:r>
      <w:r>
        <w:t>assignment</w:t>
      </w:r>
      <w:r>
        <w:rPr>
          <w:spacing w:val="-6"/>
        </w:rPr>
        <w:t xml:space="preserve"> </w:t>
      </w:r>
      <w:r>
        <w:t>weight</w:t>
      </w:r>
      <w:r>
        <w:rPr>
          <w:spacing w:val="-6"/>
        </w:rPr>
        <w:t xml:space="preserve"> </w:t>
      </w:r>
      <w:r>
        <w:t>reflects</w:t>
      </w:r>
      <w:r>
        <w:rPr>
          <w:spacing w:val="-6"/>
        </w:rPr>
        <w:t xml:space="preserve"> </w:t>
      </w:r>
      <w:r>
        <w:t>the</w:t>
      </w:r>
      <w:r>
        <w:rPr>
          <w:spacing w:val="-6"/>
        </w:rPr>
        <w:t xml:space="preserve"> </w:t>
      </w:r>
      <w:r>
        <w:t>probability</w:t>
      </w:r>
      <w:r>
        <w:rPr>
          <w:spacing w:val="-6"/>
        </w:rPr>
        <w:t xml:space="preserve"> </w:t>
      </w:r>
      <w:r>
        <w:t>that</w:t>
      </w:r>
      <w:r>
        <w:rPr>
          <w:spacing w:val="-6"/>
        </w:rPr>
        <w:t xml:space="preserve"> </w:t>
      </w:r>
      <w:r>
        <w:t>the</w:t>
      </w:r>
      <w:r>
        <w:rPr>
          <w:spacing w:val="-6"/>
        </w:rPr>
        <w:t xml:space="preserve"> </w:t>
      </w:r>
      <w:r>
        <w:t>particular</w:t>
      </w:r>
      <w:r>
        <w:rPr>
          <w:spacing w:val="-6"/>
        </w:rPr>
        <w:t xml:space="preserve"> </w:t>
      </w:r>
      <w:r>
        <w:t>session</w:t>
      </w:r>
      <w:r>
        <w:rPr>
          <w:spacing w:val="-6"/>
        </w:rPr>
        <w:t xml:space="preserve"> </w:t>
      </w:r>
      <w:r>
        <w:t>type</w:t>
      </w:r>
      <w:r>
        <w:rPr>
          <w:spacing w:val="-6"/>
        </w:rPr>
        <w:t xml:space="preserve"> </w:t>
      </w:r>
      <w:r>
        <w:t>was</w:t>
      </w:r>
      <w:r>
        <w:rPr>
          <w:spacing w:val="-6"/>
        </w:rPr>
        <w:t xml:space="preserve"> </w:t>
      </w:r>
      <w:r>
        <w:t>assigned</w:t>
      </w:r>
      <w:r>
        <w:rPr>
          <w:spacing w:val="-6"/>
        </w:rPr>
        <w:t xml:space="preserve"> </w:t>
      </w:r>
      <w:r>
        <w:t>to</w:t>
      </w:r>
      <w:r>
        <w:rPr>
          <w:spacing w:val="-7"/>
        </w:rPr>
        <w:t xml:space="preserve"> </w:t>
      </w:r>
      <w:r>
        <w:t>the</w:t>
      </w:r>
      <w:r>
        <w:rPr>
          <w:spacing w:val="-6"/>
        </w:rPr>
        <w:t xml:space="preserve"> </w:t>
      </w:r>
      <w:r>
        <w:rPr>
          <w:spacing w:val="-2"/>
        </w:rPr>
        <w:t>school.</w:t>
      </w:r>
    </w:p>
    <w:p w:rsidR="003F5784" w14:paraId="3430FA34" w14:textId="77777777">
      <w:pPr>
        <w:pStyle w:val="BodyText"/>
        <w:spacing w:before="207" w:line="232" w:lineRule="auto"/>
        <w:ind w:left="109" w:right="179"/>
      </w:pPr>
      <w:r>
        <w:t>The</w:t>
      </w:r>
      <w:r>
        <w:rPr>
          <w:spacing w:val="-6"/>
        </w:rPr>
        <w:t xml:space="preserve"> </w:t>
      </w:r>
      <w:r>
        <w:t>small-school</w:t>
      </w:r>
      <w:r>
        <w:rPr>
          <w:spacing w:val="-6"/>
        </w:rPr>
        <w:t xml:space="preserve"> </w:t>
      </w:r>
      <w:r>
        <w:t>subject</w:t>
      </w:r>
      <w:r>
        <w:rPr>
          <w:spacing w:val="-6"/>
        </w:rPr>
        <w:t xml:space="preserve"> </w:t>
      </w:r>
      <w:r>
        <w:t>adjustment</w:t>
      </w:r>
      <w:r>
        <w:rPr>
          <w:spacing w:val="-6"/>
        </w:rPr>
        <w:t xml:space="preserve"> </w:t>
      </w:r>
      <w:r>
        <w:t>accounts</w:t>
      </w:r>
      <w:r>
        <w:rPr>
          <w:spacing w:val="-6"/>
        </w:rPr>
        <w:t xml:space="preserve"> </w:t>
      </w:r>
      <w:r>
        <w:t>for</w:t>
      </w:r>
      <w:r>
        <w:rPr>
          <w:spacing w:val="-6"/>
        </w:rPr>
        <w:t xml:space="preserve"> </w:t>
      </w:r>
      <w:r>
        <w:t>very</w:t>
      </w:r>
      <w:r>
        <w:rPr>
          <w:spacing w:val="-6"/>
        </w:rPr>
        <w:t xml:space="preserve"> </w:t>
      </w:r>
      <w:r>
        <w:t>small</w:t>
      </w:r>
      <w:r>
        <w:rPr>
          <w:spacing w:val="-6"/>
        </w:rPr>
        <w:t xml:space="preserve"> </w:t>
      </w:r>
      <w:r>
        <w:t>schools</w:t>
      </w:r>
      <w:r>
        <w:rPr>
          <w:spacing w:val="-6"/>
        </w:rPr>
        <w:t xml:space="preserve"> </w:t>
      </w:r>
      <w:r>
        <w:t>that</w:t>
      </w:r>
      <w:r>
        <w:rPr>
          <w:spacing w:val="-6"/>
        </w:rPr>
        <w:t xml:space="preserve"> </w:t>
      </w:r>
      <w:r>
        <w:t>did</w:t>
      </w:r>
      <w:r>
        <w:rPr>
          <w:spacing w:val="-6"/>
        </w:rPr>
        <w:t xml:space="preserve"> </w:t>
      </w:r>
      <w:r>
        <w:t>not</w:t>
      </w:r>
      <w:r>
        <w:rPr>
          <w:spacing w:val="-6"/>
        </w:rPr>
        <w:t xml:space="preserve"> </w:t>
      </w:r>
      <w:r>
        <w:t>have</w:t>
      </w:r>
      <w:r>
        <w:rPr>
          <w:spacing w:val="-6"/>
        </w:rPr>
        <w:t xml:space="preserve"> </w:t>
      </w:r>
      <w:r>
        <w:t>enough</w:t>
      </w:r>
      <w:r>
        <w:rPr>
          <w:spacing w:val="-6"/>
        </w:rPr>
        <w:t xml:space="preserve"> </w:t>
      </w:r>
      <w:r>
        <w:t>participating</w:t>
      </w:r>
      <w:r>
        <w:rPr>
          <w:spacing w:val="-6"/>
        </w:rPr>
        <w:t xml:space="preserve"> </w:t>
      </w:r>
      <w:r>
        <w:t>students</w:t>
      </w:r>
      <w:r>
        <w:rPr>
          <w:spacing w:val="-6"/>
        </w:rPr>
        <w:t xml:space="preserve"> </w:t>
      </w:r>
      <w:r>
        <w:t>for</w:t>
      </w:r>
      <w:r>
        <w:rPr>
          <w:spacing w:val="-6"/>
        </w:rPr>
        <w:t xml:space="preserve"> </w:t>
      </w:r>
      <w:r>
        <w:t>every</w:t>
      </w:r>
      <w:r>
        <w:rPr>
          <w:spacing w:val="-6"/>
        </w:rPr>
        <w:t xml:space="preserve"> </w:t>
      </w:r>
      <w:r>
        <w:t>subject</w:t>
      </w:r>
      <w:r>
        <w:rPr>
          <w:spacing w:val="-6"/>
        </w:rPr>
        <w:t xml:space="preserve"> </w:t>
      </w:r>
      <w:r>
        <w:t>associated</w:t>
      </w:r>
      <w:r>
        <w:rPr>
          <w:spacing w:val="-6"/>
        </w:rPr>
        <w:t xml:space="preserve"> </w:t>
      </w:r>
      <w:r>
        <w:t>to</w:t>
      </w:r>
      <w:r>
        <w:rPr>
          <w:spacing w:val="-6"/>
        </w:rPr>
        <w:t xml:space="preserve"> </w:t>
      </w:r>
      <w:r>
        <w:t>the</w:t>
      </w:r>
      <w:r>
        <w:rPr>
          <w:spacing w:val="-6"/>
        </w:rPr>
        <w:t xml:space="preserve"> </w:t>
      </w:r>
      <w:r>
        <w:t>school.</w:t>
      </w:r>
      <w:r>
        <w:rPr>
          <w:spacing w:val="-6"/>
        </w:rPr>
        <w:t xml:space="preserve"> </w:t>
      </w:r>
      <w:r>
        <w:t>School</w:t>
      </w:r>
      <w:r>
        <w:rPr>
          <w:spacing w:val="-6"/>
        </w:rPr>
        <w:t xml:space="preserve"> </w:t>
      </w:r>
      <w:r>
        <w:t>weights for</w:t>
      </w:r>
      <w:r>
        <w:rPr>
          <w:spacing w:val="-1"/>
        </w:rPr>
        <w:t xml:space="preserve"> </w:t>
      </w:r>
      <w:r>
        <w:t>subjects</w:t>
      </w:r>
      <w:r>
        <w:rPr>
          <w:spacing w:val="-1"/>
        </w:rPr>
        <w:t xml:space="preserve"> </w:t>
      </w:r>
      <w:r>
        <w:t>that</w:t>
      </w:r>
      <w:r>
        <w:rPr>
          <w:spacing w:val="-1"/>
        </w:rPr>
        <w:t xml:space="preserve"> </w:t>
      </w:r>
      <w:r>
        <w:t>had</w:t>
      </w:r>
      <w:r>
        <w:rPr>
          <w:spacing w:val="-1"/>
        </w:rPr>
        <w:t xml:space="preserve"> </w:t>
      </w:r>
      <w:r>
        <w:t>at</w:t>
      </w:r>
      <w:r>
        <w:rPr>
          <w:spacing w:val="-1"/>
        </w:rPr>
        <w:t xml:space="preserve"> </w:t>
      </w:r>
      <w:r>
        <w:t>least</w:t>
      </w:r>
      <w:r>
        <w:rPr>
          <w:spacing w:val="-1"/>
        </w:rPr>
        <w:t xml:space="preserve"> </w:t>
      </w:r>
      <w:r>
        <w:t>one</w:t>
      </w:r>
      <w:r>
        <w:rPr>
          <w:spacing w:val="-1"/>
        </w:rPr>
        <w:t xml:space="preserve"> </w:t>
      </w:r>
      <w:r>
        <w:t>eligible</w:t>
      </w:r>
      <w:r>
        <w:rPr>
          <w:spacing w:val="-1"/>
        </w:rPr>
        <w:t xml:space="preserve"> </w:t>
      </w:r>
      <w:r>
        <w:t>student</w:t>
      </w:r>
      <w:r>
        <w:rPr>
          <w:spacing w:val="-1"/>
        </w:rPr>
        <w:t xml:space="preserve"> </w:t>
      </w:r>
      <w:r>
        <w:t>are</w:t>
      </w:r>
      <w:r>
        <w:rPr>
          <w:spacing w:val="-1"/>
        </w:rPr>
        <w:t xml:space="preserve"> </w:t>
      </w:r>
      <w:r>
        <w:t>inflated</w:t>
      </w:r>
      <w:r>
        <w:rPr>
          <w:spacing w:val="-1"/>
        </w:rPr>
        <w:t xml:space="preserve"> </w:t>
      </w:r>
      <w:r>
        <w:t>by</w:t>
      </w:r>
      <w:r>
        <w:rPr>
          <w:spacing w:val="-1"/>
        </w:rPr>
        <w:t xml:space="preserve"> </w:t>
      </w:r>
      <w:r>
        <w:t>this</w:t>
      </w:r>
      <w:r>
        <w:rPr>
          <w:spacing w:val="-1"/>
        </w:rPr>
        <w:t xml:space="preserve"> </w:t>
      </w:r>
      <w:r>
        <w:t>factor</w:t>
      </w:r>
      <w:r>
        <w:rPr>
          <w:spacing w:val="-1"/>
        </w:rPr>
        <w:t xml:space="preserve"> </w:t>
      </w:r>
      <w:r>
        <w:t>to</w:t>
      </w:r>
      <w:r>
        <w:rPr>
          <w:spacing w:val="-1"/>
        </w:rPr>
        <w:t xml:space="preserve"> </w:t>
      </w:r>
      <w:r>
        <w:t>compensate</w:t>
      </w:r>
      <w:r>
        <w:rPr>
          <w:spacing w:val="-1"/>
        </w:rPr>
        <w:t xml:space="preserve"> </w:t>
      </w:r>
      <w:r>
        <w:t>for</w:t>
      </w:r>
      <w:r>
        <w:rPr>
          <w:spacing w:val="-1"/>
        </w:rPr>
        <w:t xml:space="preserve"> </w:t>
      </w:r>
      <w:r>
        <w:t>subject(s)</w:t>
      </w:r>
      <w:r>
        <w:rPr>
          <w:spacing w:val="-1"/>
        </w:rPr>
        <w:t xml:space="preserve"> </w:t>
      </w:r>
      <w:r>
        <w:t>that</w:t>
      </w:r>
      <w:r>
        <w:rPr>
          <w:spacing w:val="-1"/>
        </w:rPr>
        <w:t xml:space="preserve"> </w:t>
      </w:r>
      <w:r>
        <w:t>did</w:t>
      </w:r>
      <w:r>
        <w:rPr>
          <w:spacing w:val="-1"/>
        </w:rPr>
        <w:t xml:space="preserve"> </w:t>
      </w:r>
      <w:r>
        <w:t>not</w:t>
      </w:r>
      <w:r>
        <w:rPr>
          <w:spacing w:val="-1"/>
        </w:rPr>
        <w:t xml:space="preserve"> </w:t>
      </w:r>
      <w:r>
        <w:t>have</w:t>
      </w:r>
      <w:r>
        <w:rPr>
          <w:spacing w:val="-1"/>
        </w:rPr>
        <w:t xml:space="preserve"> </w:t>
      </w:r>
      <w:r>
        <w:t>any</w:t>
      </w:r>
      <w:r>
        <w:rPr>
          <w:spacing w:val="-1"/>
        </w:rPr>
        <w:t xml:space="preserve"> </w:t>
      </w:r>
      <w:r>
        <w:t>eligible</w:t>
      </w:r>
      <w:r>
        <w:rPr>
          <w:spacing w:val="-1"/>
        </w:rPr>
        <w:t xml:space="preserve"> </w:t>
      </w:r>
      <w:r>
        <w:t>students</w:t>
      </w:r>
      <w:r>
        <w:rPr>
          <w:spacing w:val="-1"/>
        </w:rPr>
        <w:t xml:space="preserve"> </w:t>
      </w:r>
      <w:r>
        <w:t>in</w:t>
      </w:r>
      <w:r>
        <w:rPr>
          <w:spacing w:val="-1"/>
        </w:rPr>
        <w:t xml:space="preserve"> </w:t>
      </w:r>
      <w:r>
        <w:t>that</w:t>
      </w:r>
      <w:r>
        <w:rPr>
          <w:spacing w:val="-1"/>
        </w:rPr>
        <w:t xml:space="preserve"> </w:t>
      </w:r>
      <w:r>
        <w:t>school</w:t>
      </w:r>
      <w:r>
        <w:rPr>
          <w:spacing w:val="-1"/>
        </w:rPr>
        <w:t xml:space="preserve"> </w:t>
      </w:r>
      <w:r>
        <w:t>and,</w:t>
      </w:r>
      <w:r>
        <w:rPr>
          <w:spacing w:val="-1"/>
        </w:rPr>
        <w:t xml:space="preserve"> </w:t>
      </w:r>
      <w:r>
        <w:t>thus,</w:t>
      </w:r>
      <w:r>
        <w:rPr>
          <w:spacing w:val="-1"/>
        </w:rPr>
        <w:t xml:space="preserve"> </w:t>
      </w:r>
      <w:r>
        <w:t>are</w:t>
      </w:r>
      <w:r>
        <w:rPr>
          <w:spacing w:val="-1"/>
        </w:rPr>
        <w:t xml:space="preserve"> </w:t>
      </w:r>
      <w:r>
        <w:t>not represented otherwise. In addition to the full-sample weight, a set of replicate weights was provided for each school.</w:t>
      </w:r>
      <w:r>
        <w:rPr>
          <w:spacing w:val="-3"/>
        </w:rPr>
        <w:t xml:space="preserve"> </w:t>
      </w:r>
      <w:r>
        <w:t>The school replicate weights are used to calculate the variances of school-level survey estimates using the jackknife repeated replication method.</w:t>
      </w:r>
    </w:p>
    <w:p w:rsidR="003F5784" w14:paraId="55FB62DF" w14:textId="77777777">
      <w:pPr>
        <w:pStyle w:val="Heading2"/>
        <w:spacing w:before="204"/>
        <w:ind w:left="109"/>
      </w:pPr>
      <w:r>
        <w:t>Quality</w:t>
      </w:r>
      <w:r>
        <w:rPr>
          <w:spacing w:val="-10"/>
        </w:rPr>
        <w:t xml:space="preserve"> </w:t>
      </w:r>
      <w:r>
        <w:t>Control</w:t>
      </w:r>
      <w:r>
        <w:rPr>
          <w:spacing w:val="-10"/>
        </w:rPr>
        <w:t xml:space="preserve"> </w:t>
      </w:r>
      <w:r>
        <w:rPr>
          <w:spacing w:val="-2"/>
        </w:rPr>
        <w:t>Procedures</w:t>
      </w:r>
    </w:p>
    <w:p w:rsidR="003F5784" w14:paraId="280CF7E1" w14:textId="77777777">
      <w:pPr>
        <w:pStyle w:val="BodyText"/>
        <w:spacing w:before="208" w:line="232" w:lineRule="auto"/>
        <w:ind w:left="109"/>
      </w:pPr>
      <w:r>
        <w:t>Quality</w:t>
      </w:r>
      <w:r>
        <w:rPr>
          <w:spacing w:val="-7"/>
        </w:rPr>
        <w:t xml:space="preserve"> </w:t>
      </w:r>
      <w:r>
        <w:t>control</w:t>
      </w:r>
      <w:r>
        <w:rPr>
          <w:spacing w:val="-7"/>
        </w:rPr>
        <w:t xml:space="preserve"> </w:t>
      </w:r>
      <w:r>
        <w:t>checks</w:t>
      </w:r>
      <w:r>
        <w:rPr>
          <w:spacing w:val="-7"/>
        </w:rPr>
        <w:t xml:space="preserve"> </w:t>
      </w:r>
      <w:r>
        <w:t>were</w:t>
      </w:r>
      <w:r>
        <w:rPr>
          <w:spacing w:val="-7"/>
        </w:rPr>
        <w:t xml:space="preserve"> </w:t>
      </w:r>
      <w:r>
        <w:t>carried</w:t>
      </w:r>
      <w:r>
        <w:rPr>
          <w:spacing w:val="-7"/>
        </w:rPr>
        <w:t xml:space="preserve"> </w:t>
      </w:r>
      <w:r>
        <w:t>out</w:t>
      </w:r>
      <w:r>
        <w:rPr>
          <w:spacing w:val="-7"/>
        </w:rPr>
        <w:t xml:space="preserve"> </w:t>
      </w:r>
      <w:r>
        <w:t>throughout</w:t>
      </w:r>
      <w:r>
        <w:rPr>
          <w:spacing w:val="-7"/>
        </w:rPr>
        <w:t xml:space="preserve"> </w:t>
      </w:r>
      <w:r>
        <w:t>the</w:t>
      </w:r>
      <w:r>
        <w:rPr>
          <w:spacing w:val="-7"/>
        </w:rPr>
        <w:t xml:space="preserve"> </w:t>
      </w:r>
      <w:r>
        <w:t>weighting</w:t>
      </w:r>
      <w:r>
        <w:rPr>
          <w:spacing w:val="-7"/>
        </w:rPr>
        <w:t xml:space="preserve"> </w:t>
      </w:r>
      <w:r>
        <w:t>process</w:t>
      </w:r>
      <w:r>
        <w:rPr>
          <w:spacing w:val="-7"/>
        </w:rPr>
        <w:t xml:space="preserve"> </w:t>
      </w:r>
      <w:r>
        <w:t>to</w:t>
      </w:r>
      <w:r>
        <w:rPr>
          <w:spacing w:val="-7"/>
        </w:rPr>
        <w:t xml:space="preserve"> </w:t>
      </w:r>
      <w:r>
        <w:t>ensure</w:t>
      </w:r>
      <w:r>
        <w:rPr>
          <w:spacing w:val="-7"/>
        </w:rPr>
        <w:t xml:space="preserve"> </w:t>
      </w:r>
      <w:r>
        <w:t>the</w:t>
      </w:r>
      <w:r>
        <w:rPr>
          <w:spacing w:val="-7"/>
        </w:rPr>
        <w:t xml:space="preserve"> </w:t>
      </w:r>
      <w:r>
        <w:t>accuracy</w:t>
      </w:r>
      <w:r>
        <w:rPr>
          <w:spacing w:val="-7"/>
        </w:rPr>
        <w:t xml:space="preserve"> </w:t>
      </w:r>
      <w:r>
        <w:t>of</w:t>
      </w:r>
      <w:r>
        <w:rPr>
          <w:spacing w:val="-7"/>
        </w:rPr>
        <w:t xml:space="preserve"> </w:t>
      </w:r>
      <w:r>
        <w:t>the</w:t>
      </w:r>
      <w:r>
        <w:rPr>
          <w:spacing w:val="-7"/>
        </w:rPr>
        <w:t xml:space="preserve"> </w:t>
      </w:r>
      <w:r>
        <w:t>full-sample</w:t>
      </w:r>
      <w:r>
        <w:rPr>
          <w:spacing w:val="-7"/>
        </w:rPr>
        <w:t xml:space="preserve"> </w:t>
      </w:r>
      <w:r>
        <w:t>and</w:t>
      </w:r>
      <w:r>
        <w:rPr>
          <w:spacing w:val="-7"/>
        </w:rPr>
        <w:t xml:space="preserve"> </w:t>
      </w:r>
      <w:r>
        <w:t>replicate</w:t>
      </w:r>
      <w:r>
        <w:rPr>
          <w:spacing w:val="-7"/>
        </w:rPr>
        <w:t xml:space="preserve"> </w:t>
      </w:r>
      <w:r>
        <w:t>weights.</w:t>
      </w:r>
      <w:r>
        <w:rPr>
          <w:spacing w:val="-7"/>
        </w:rPr>
        <w:t xml:space="preserve"> </w:t>
      </w:r>
      <w:r>
        <w:t>See</w:t>
      </w:r>
      <w:r>
        <w:rPr>
          <w:spacing w:val="-7"/>
        </w:rPr>
        <w:t xml:space="preserve"> </w:t>
      </w:r>
      <w:r>
        <w:t>Quality</w:t>
      </w:r>
      <w:r>
        <w:rPr>
          <w:spacing w:val="-7"/>
        </w:rPr>
        <w:t xml:space="preserve"> </w:t>
      </w:r>
      <w:r>
        <w:t>Control</w:t>
      </w:r>
      <w:r>
        <w:rPr>
          <w:spacing w:val="-7"/>
        </w:rPr>
        <w:t xml:space="preserve"> </w:t>
      </w:r>
      <w:r>
        <w:t>on</w:t>
      </w:r>
      <w:r>
        <w:rPr>
          <w:spacing w:val="-11"/>
        </w:rPr>
        <w:t xml:space="preserve"> </w:t>
      </w:r>
      <w:r>
        <w:t>Weighting Procedures for the various checks implemented and main findings of interest.</w:t>
      </w:r>
    </w:p>
    <w:p w:rsidR="003F5784" w14:paraId="148E37AD" w14:textId="77777777">
      <w:pPr>
        <w:pStyle w:val="BodyText"/>
      </w:pPr>
    </w:p>
    <w:p w:rsidR="003F5784" w14:paraId="2EFA9F85" w14:textId="77777777">
      <w:pPr>
        <w:pStyle w:val="BodyText"/>
      </w:pPr>
    </w:p>
    <w:p w:rsidR="003F5784" w14:paraId="5FC68995" w14:textId="77777777">
      <w:pPr>
        <w:pStyle w:val="BodyText"/>
        <w:spacing w:before="145"/>
      </w:pPr>
    </w:p>
    <w:p w:rsidR="003F5784" w14:paraId="5E98F1EB" w14:textId="77777777">
      <w:pPr>
        <w:ind w:left="6417"/>
        <w:rPr>
          <w:sz w:val="18"/>
        </w:rPr>
      </w:pPr>
      <w:hyperlink r:id="rId378">
        <w:r>
          <w:rPr>
            <w:spacing w:val="-2"/>
            <w:w w:val="105"/>
            <w:sz w:val="18"/>
          </w:rPr>
          <w:t>http://nces.ed.gov/nationsreportcard/tdw/weighting/2022/weighting_procedures_for_the_2022_assessment.aspx</w:t>
        </w:r>
      </w:hyperlink>
    </w:p>
    <w:p w:rsidR="003F5784" w14:paraId="2C85A794" w14:textId="77777777">
      <w:pPr>
        <w:pStyle w:val="BodyText"/>
        <w:spacing w:before="1"/>
        <w:rPr>
          <w:sz w:val="16"/>
        </w:rPr>
      </w:pPr>
      <w:r>
        <w:rPr>
          <w:noProof/>
        </w:rPr>
        <mc:AlternateContent>
          <mc:Choice Requires="wps">
            <w:drawing>
              <wp:anchor distT="0" distB="0" distL="0" distR="0" simplePos="0" relativeHeight="251962368" behindDoc="1" locked="0" layoutInCell="1" allowOverlap="1">
                <wp:simplePos x="0" y="0"/>
                <wp:positionH relativeFrom="page">
                  <wp:posOffset>361937</wp:posOffset>
                </wp:positionH>
                <wp:positionV relativeFrom="paragraph">
                  <wp:posOffset>132750</wp:posOffset>
                </wp:positionV>
                <wp:extent cx="9339580" cy="8890"/>
                <wp:effectExtent l="0" t="0" r="0" b="0"/>
                <wp:wrapTopAndBottom/>
                <wp:docPr id="478" name="Graphic 47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67"/>
                              </a:lnTo>
                              <a:lnTo>
                                <a:pt x="8280" y="8318"/>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478" o:spid="_x0000_s1160" style="width:735.4pt;height:0.7pt;margin-top:10.45pt;margin-left:28.5pt;mso-position-horizontal-relative:page;mso-wrap-distance-bottom:0;mso-wrap-distance-left:0;mso-wrap-distance-right:0;mso-wrap-distance-top:0;mso-wrap-style:square;position:absolute;visibility:visible;v-text-anchor:top;z-index:-251353088" coordsize="9339580,8890" path="m9338970,l9335110,l,,,8267l8280,8318l9335110,8267l9338970,8267l9338970,xe" fillcolor="gray" stroked="f">
                <v:path arrowok="t"/>
                <w10:wrap type="topAndBottom"/>
              </v:shape>
            </w:pict>
          </mc:Fallback>
        </mc:AlternateContent>
      </w:r>
    </w:p>
    <w:p w:rsidR="003F5784" w14:paraId="1E7A9F20" w14:textId="77777777">
      <w:pPr>
        <w:pStyle w:val="BodyText"/>
        <w:rPr>
          <w:sz w:val="18"/>
        </w:rPr>
      </w:pPr>
    </w:p>
    <w:p w:rsidR="003F5784" w14:paraId="6137579A" w14:textId="77777777">
      <w:pPr>
        <w:pStyle w:val="BodyText"/>
        <w:spacing w:before="193"/>
        <w:rPr>
          <w:sz w:val="18"/>
        </w:rPr>
      </w:pPr>
    </w:p>
    <w:p w:rsidR="003F5784" w14:paraId="2328AC01" w14:textId="3185F86B">
      <w:pPr>
        <w:pStyle w:val="Heading1"/>
      </w:pPr>
      <w:r>
        <w:t>NAEP</w:t>
      </w:r>
      <w:r>
        <w:rPr>
          <w:spacing w:val="-20"/>
        </w:rPr>
        <w:t xml:space="preserve"> </w:t>
      </w:r>
      <w:r>
        <w:t>Technical</w:t>
      </w:r>
      <w:r>
        <w:rPr>
          <w:spacing w:val="14"/>
        </w:rPr>
        <w:t xml:space="preserve"> </w:t>
      </w:r>
      <w:r>
        <w:t>Documentation</w:t>
      </w:r>
      <w:r w:rsidR="00E3225D">
        <w:t xml:space="preserve"> </w:t>
      </w:r>
      <w:r>
        <w:t>Computation</w:t>
      </w:r>
      <w:r>
        <w:rPr>
          <w:spacing w:val="15"/>
        </w:rPr>
        <w:t xml:space="preserve"> </w:t>
      </w:r>
      <w:r>
        <w:t>of</w:t>
      </w:r>
      <w:r>
        <w:rPr>
          <w:spacing w:val="14"/>
        </w:rPr>
        <w:t xml:space="preserve"> </w:t>
      </w:r>
      <w:r>
        <w:t>Full-Sample</w:t>
      </w:r>
      <w:r>
        <w:rPr>
          <w:spacing w:val="15"/>
        </w:rPr>
        <w:t xml:space="preserve"> </w:t>
      </w:r>
      <w:r>
        <w:t>School</w:t>
      </w:r>
      <w:r>
        <w:rPr>
          <w:spacing w:val="6"/>
        </w:rPr>
        <w:t xml:space="preserve"> </w:t>
      </w:r>
      <w:r>
        <w:rPr>
          <w:spacing w:val="-2"/>
        </w:rPr>
        <w:t>Weights</w:t>
      </w:r>
    </w:p>
    <w:p w:rsidR="003F5784" w14:paraId="6A5B5BE8" w14:textId="77777777">
      <w:pPr>
        <w:pStyle w:val="BodyText"/>
        <w:spacing w:before="295" w:line="232" w:lineRule="auto"/>
        <w:ind w:left="109" w:right="117"/>
      </w:pPr>
      <w:r>
        <w:t>The</w:t>
      </w:r>
      <w:r>
        <w:rPr>
          <w:spacing w:val="-6"/>
        </w:rPr>
        <w:t xml:space="preserve"> </w:t>
      </w:r>
      <w:r>
        <w:t>full-sample</w:t>
      </w:r>
      <w:r>
        <w:rPr>
          <w:spacing w:val="-6"/>
        </w:rPr>
        <w:t xml:space="preserve"> </w:t>
      </w:r>
      <w:r>
        <w:t>or</w:t>
      </w:r>
      <w:r>
        <w:rPr>
          <w:spacing w:val="-6"/>
        </w:rPr>
        <w:t xml:space="preserve"> </w:t>
      </w:r>
      <w:r>
        <w:t>final</w:t>
      </w:r>
      <w:r>
        <w:rPr>
          <w:spacing w:val="-6"/>
        </w:rPr>
        <w:t xml:space="preserve"> </w:t>
      </w:r>
      <w:r>
        <w:t>school</w:t>
      </w:r>
      <w:r>
        <w:rPr>
          <w:spacing w:val="-6"/>
        </w:rPr>
        <w:t xml:space="preserve"> </w:t>
      </w:r>
      <w:r>
        <w:t>weight</w:t>
      </w:r>
      <w:r>
        <w:rPr>
          <w:spacing w:val="-6"/>
        </w:rPr>
        <w:t xml:space="preserve"> </w:t>
      </w:r>
      <w:r>
        <w:t>is</w:t>
      </w:r>
      <w:r>
        <w:rPr>
          <w:spacing w:val="-6"/>
        </w:rPr>
        <w:t xml:space="preserve"> </w:t>
      </w:r>
      <w:r>
        <w:t>the</w:t>
      </w:r>
      <w:r>
        <w:rPr>
          <w:spacing w:val="-6"/>
        </w:rPr>
        <w:t xml:space="preserve"> </w:t>
      </w:r>
      <w:r>
        <w:t>sampling</w:t>
      </w:r>
      <w:r>
        <w:rPr>
          <w:spacing w:val="-6"/>
        </w:rPr>
        <w:t xml:space="preserve"> </w:t>
      </w:r>
      <w:r>
        <w:t>weight</w:t>
      </w:r>
      <w:r>
        <w:rPr>
          <w:spacing w:val="-6"/>
        </w:rPr>
        <w:t xml:space="preserve"> </w:t>
      </w:r>
      <w:r>
        <w:t>used</w:t>
      </w:r>
      <w:r>
        <w:rPr>
          <w:spacing w:val="-6"/>
        </w:rPr>
        <w:t xml:space="preserve"> </w:t>
      </w:r>
      <w:r>
        <w:t>to</w:t>
      </w:r>
      <w:r>
        <w:rPr>
          <w:spacing w:val="-6"/>
        </w:rPr>
        <w:t xml:space="preserve"> </w:t>
      </w:r>
      <w:r>
        <w:t>derive</w:t>
      </w:r>
      <w:r>
        <w:rPr>
          <w:spacing w:val="-6"/>
        </w:rPr>
        <w:t xml:space="preserve"> </w:t>
      </w:r>
      <w:r>
        <w:t>NAEP</w:t>
      </w:r>
      <w:r>
        <w:rPr>
          <w:spacing w:val="-13"/>
        </w:rPr>
        <w:t xml:space="preserve"> </w:t>
      </w:r>
      <w:r>
        <w:t>school</w:t>
      </w:r>
      <w:r>
        <w:rPr>
          <w:spacing w:val="-6"/>
        </w:rPr>
        <w:t xml:space="preserve"> </w:t>
      </w:r>
      <w:r>
        <w:t>estimates</w:t>
      </w:r>
      <w:r>
        <w:rPr>
          <w:spacing w:val="-6"/>
        </w:rPr>
        <w:t xml:space="preserve"> </w:t>
      </w:r>
      <w:r>
        <w:t>of</w:t>
      </w:r>
      <w:r>
        <w:rPr>
          <w:spacing w:val="-6"/>
        </w:rPr>
        <w:t xml:space="preserve"> </w:t>
      </w:r>
      <w:r>
        <w:t>population</w:t>
      </w:r>
      <w:r>
        <w:rPr>
          <w:spacing w:val="-6"/>
        </w:rPr>
        <w:t xml:space="preserve"> </w:t>
      </w:r>
      <w:r>
        <w:t>and</w:t>
      </w:r>
      <w:r>
        <w:rPr>
          <w:spacing w:val="-6"/>
        </w:rPr>
        <w:t xml:space="preserve"> </w:t>
      </w:r>
      <w:r>
        <w:t>subpopulation</w:t>
      </w:r>
      <w:r>
        <w:rPr>
          <w:spacing w:val="-6"/>
        </w:rPr>
        <w:t xml:space="preserve"> </w:t>
      </w:r>
      <w:r>
        <w:t>characteristics</w:t>
      </w:r>
      <w:r>
        <w:rPr>
          <w:spacing w:val="-6"/>
        </w:rPr>
        <w:t xml:space="preserve"> </w:t>
      </w:r>
      <w:r>
        <w:t>for</w:t>
      </w:r>
      <w:r>
        <w:rPr>
          <w:spacing w:val="-6"/>
        </w:rPr>
        <w:t xml:space="preserve"> </w:t>
      </w:r>
      <w:r>
        <w:t>a</w:t>
      </w:r>
      <w:r>
        <w:rPr>
          <w:spacing w:val="-6"/>
        </w:rPr>
        <w:t xml:space="preserve"> </w:t>
      </w:r>
      <w:r>
        <w:t>specified</w:t>
      </w:r>
      <w:r>
        <w:rPr>
          <w:spacing w:val="-6"/>
        </w:rPr>
        <w:t xml:space="preserve"> </w:t>
      </w:r>
      <w:r>
        <w:t>grade</w:t>
      </w:r>
      <w:r>
        <w:rPr>
          <w:spacing w:val="-6"/>
        </w:rPr>
        <w:t xml:space="preserve"> </w:t>
      </w:r>
      <w:r>
        <w:t>(4</w:t>
      </w:r>
      <w:r>
        <w:rPr>
          <w:spacing w:val="-6"/>
        </w:rPr>
        <w:t xml:space="preserve"> </w:t>
      </w:r>
      <w:r>
        <w:t>and 8) or age (9) and assessment subject (civics, mathematics, reading, and U.S. history).</w:t>
      </w:r>
      <w:r>
        <w:rPr>
          <w:spacing w:val="-3"/>
        </w:rPr>
        <w:t xml:space="preserve"> </w:t>
      </w:r>
      <w:r>
        <w:t>The full-sample school weight reflects the number of schools that the sampled school represents in the population for purposes of estimation.</w:t>
      </w:r>
    </w:p>
    <w:p w:rsidR="003F5784" w14:paraId="4DE1C04D" w14:textId="77777777">
      <w:pPr>
        <w:pStyle w:val="BodyText"/>
        <w:spacing w:before="210" w:line="232" w:lineRule="auto"/>
        <w:ind w:left="109"/>
      </w:pPr>
      <w:r>
        <w:t>The</w:t>
      </w:r>
      <w:r>
        <w:rPr>
          <w:spacing w:val="-6"/>
        </w:rPr>
        <w:t xml:space="preserve"> </w:t>
      </w:r>
      <w:r>
        <w:t>full-sample</w:t>
      </w:r>
      <w:r>
        <w:rPr>
          <w:spacing w:val="-6"/>
        </w:rPr>
        <w:t xml:space="preserve"> </w:t>
      </w:r>
      <w:r>
        <w:t>weight,</w:t>
      </w:r>
      <w:r>
        <w:rPr>
          <w:spacing w:val="-6"/>
        </w:rPr>
        <w:t xml:space="preserve"> </w:t>
      </w:r>
      <w:r>
        <w:t>which</w:t>
      </w:r>
      <w:r>
        <w:rPr>
          <w:spacing w:val="-6"/>
        </w:rPr>
        <w:t xml:space="preserve"> </w:t>
      </w:r>
      <w:r>
        <w:t>is</w:t>
      </w:r>
      <w:r>
        <w:rPr>
          <w:spacing w:val="-6"/>
        </w:rPr>
        <w:t xml:space="preserve"> </w:t>
      </w:r>
      <w:r>
        <w:t>used</w:t>
      </w:r>
      <w:r>
        <w:rPr>
          <w:spacing w:val="-6"/>
        </w:rPr>
        <w:t xml:space="preserve"> </w:t>
      </w:r>
      <w:r>
        <w:t>to</w:t>
      </w:r>
      <w:r>
        <w:rPr>
          <w:spacing w:val="-6"/>
        </w:rPr>
        <w:t xml:space="preserve"> </w:t>
      </w:r>
      <w:r>
        <w:t>produce</w:t>
      </w:r>
      <w:r>
        <w:rPr>
          <w:spacing w:val="-6"/>
        </w:rPr>
        <w:t xml:space="preserve"> </w:t>
      </w:r>
      <w:r>
        <w:t>survey</w:t>
      </w:r>
      <w:r>
        <w:rPr>
          <w:spacing w:val="-6"/>
        </w:rPr>
        <w:t xml:space="preserve"> </w:t>
      </w:r>
      <w:r>
        <w:t>estimates,</w:t>
      </w:r>
      <w:r>
        <w:rPr>
          <w:spacing w:val="-6"/>
        </w:rPr>
        <w:t xml:space="preserve"> </w:t>
      </w:r>
      <w:r>
        <w:t>is</w:t>
      </w:r>
      <w:r>
        <w:rPr>
          <w:spacing w:val="-6"/>
        </w:rPr>
        <w:t xml:space="preserve"> </w:t>
      </w:r>
      <w:r>
        <w:t>distinct</w:t>
      </w:r>
      <w:r>
        <w:rPr>
          <w:spacing w:val="-6"/>
        </w:rPr>
        <w:t xml:space="preserve"> </w:t>
      </w:r>
      <w:r>
        <w:t>from</w:t>
      </w:r>
      <w:r>
        <w:rPr>
          <w:spacing w:val="-6"/>
        </w:rPr>
        <w:t xml:space="preserve"> </w:t>
      </w:r>
      <w:r>
        <w:t>a</w:t>
      </w:r>
      <w:r>
        <w:rPr>
          <w:spacing w:val="-6"/>
        </w:rPr>
        <w:t xml:space="preserve"> </w:t>
      </w:r>
      <w:r>
        <w:t>replicate</w:t>
      </w:r>
      <w:r>
        <w:rPr>
          <w:spacing w:val="-6"/>
        </w:rPr>
        <w:t xml:space="preserve"> </w:t>
      </w:r>
      <w:r>
        <w:t>weight</w:t>
      </w:r>
      <w:r>
        <w:rPr>
          <w:spacing w:val="-6"/>
        </w:rPr>
        <w:t xml:space="preserve"> </w:t>
      </w:r>
      <w:r>
        <w:t>that</w:t>
      </w:r>
      <w:r>
        <w:rPr>
          <w:spacing w:val="-6"/>
        </w:rPr>
        <w:t xml:space="preserve"> </w:t>
      </w:r>
      <w:r>
        <w:t>is</w:t>
      </w:r>
      <w:r>
        <w:rPr>
          <w:spacing w:val="-6"/>
        </w:rPr>
        <w:t xml:space="preserve"> </w:t>
      </w:r>
      <w:r>
        <w:t>used</w:t>
      </w:r>
      <w:r>
        <w:rPr>
          <w:spacing w:val="-6"/>
        </w:rPr>
        <w:t xml:space="preserve"> </w:t>
      </w:r>
      <w:r>
        <w:t>to</w:t>
      </w:r>
      <w:r>
        <w:rPr>
          <w:spacing w:val="-6"/>
        </w:rPr>
        <w:t xml:space="preserve"> </w:t>
      </w:r>
      <w:r>
        <w:t>estimate</w:t>
      </w:r>
      <w:r>
        <w:rPr>
          <w:spacing w:val="-6"/>
        </w:rPr>
        <w:t xml:space="preserve"> </w:t>
      </w:r>
      <w:r>
        <w:t>variances</w:t>
      </w:r>
      <w:r>
        <w:rPr>
          <w:spacing w:val="-6"/>
        </w:rPr>
        <w:t xml:space="preserve"> </w:t>
      </w:r>
      <w:r>
        <w:t>of</w:t>
      </w:r>
      <w:r>
        <w:rPr>
          <w:spacing w:val="-6"/>
        </w:rPr>
        <w:t xml:space="preserve"> </w:t>
      </w:r>
      <w:r>
        <w:t>survey</w:t>
      </w:r>
      <w:r>
        <w:rPr>
          <w:spacing w:val="-6"/>
        </w:rPr>
        <w:t xml:space="preserve"> </w:t>
      </w:r>
      <w:r>
        <w:t>estimates.</w:t>
      </w:r>
      <w:r>
        <w:rPr>
          <w:spacing w:val="-9"/>
        </w:rPr>
        <w:t xml:space="preserve"> </w:t>
      </w:r>
      <w:r>
        <w:t>The</w:t>
      </w:r>
      <w:r>
        <w:rPr>
          <w:spacing w:val="-6"/>
        </w:rPr>
        <w:t xml:space="preserve"> </w:t>
      </w:r>
      <w:r>
        <w:t>full-sample weight is assigned to participating schools and reflects the school base weight after the application of the various weighting adjustments.</w:t>
      </w:r>
      <w:r>
        <w:rPr>
          <w:spacing w:val="-3"/>
        </w:rPr>
        <w:t xml:space="preserve"> </w:t>
      </w:r>
      <w:r>
        <w:t>The full-sample weight \ (SCH\_WGT_{js}\) for school \(s\) in stratum \(j\) can be expressed as follows:</w:t>
      </w:r>
    </w:p>
    <w:p w:rsidR="003F5784" w14:paraId="689B2ED3" w14:textId="77777777">
      <w:pPr>
        <w:pStyle w:val="BodyText"/>
        <w:spacing w:before="203" w:line="238" w:lineRule="exact"/>
        <w:ind w:left="109"/>
      </w:pPr>
      <w:r>
        <w:t>\begin{equation}</w:t>
      </w:r>
      <w:r>
        <w:rPr>
          <w:spacing w:val="-12"/>
        </w:rPr>
        <w:t xml:space="preserve"> </w:t>
      </w:r>
      <w:r>
        <w:t>SCH\_WGT_{js}</w:t>
      </w:r>
      <w:r>
        <w:rPr>
          <w:spacing w:val="-11"/>
        </w:rPr>
        <w:t xml:space="preserve"> </w:t>
      </w:r>
      <w:r>
        <w:t>=</w:t>
      </w:r>
      <w:r>
        <w:rPr>
          <w:spacing w:val="-11"/>
        </w:rPr>
        <w:t xml:space="preserve"> </w:t>
      </w:r>
      <w:r>
        <w:t>SCH\_BWT_{js}</w:t>
      </w:r>
      <w:r>
        <w:rPr>
          <w:spacing w:val="-11"/>
        </w:rPr>
        <w:t xml:space="preserve"> </w:t>
      </w:r>
      <w:r>
        <w:t>\times</w:t>
      </w:r>
      <w:r>
        <w:rPr>
          <w:spacing w:val="-12"/>
        </w:rPr>
        <w:t xml:space="preserve"> </w:t>
      </w:r>
      <w:r>
        <w:t>SCH\_NRAF_{js}</w:t>
      </w:r>
      <w:r>
        <w:rPr>
          <w:spacing w:val="-11"/>
        </w:rPr>
        <w:t xml:space="preserve"> </w:t>
      </w:r>
      <w:r>
        <w:t>\times</w:t>
      </w:r>
      <w:r>
        <w:rPr>
          <w:spacing w:val="-11"/>
        </w:rPr>
        <w:t xml:space="preserve"> </w:t>
      </w:r>
      <w:r>
        <w:t>SCH\_TRIM_{js}</w:t>
      </w:r>
      <w:r>
        <w:rPr>
          <w:spacing w:val="-11"/>
        </w:rPr>
        <w:t xml:space="preserve"> </w:t>
      </w:r>
      <w:r>
        <w:t>\times</w:t>
      </w:r>
      <w:r>
        <w:rPr>
          <w:spacing w:val="-12"/>
        </w:rPr>
        <w:t xml:space="preserve"> </w:t>
      </w:r>
      <w:r>
        <w:t>SCHSESWT_{js}</w:t>
      </w:r>
      <w:r>
        <w:rPr>
          <w:spacing w:val="-11"/>
        </w:rPr>
        <w:t xml:space="preserve"> </w:t>
      </w:r>
      <w:r>
        <w:t>\times</w:t>
      </w:r>
      <w:r>
        <w:rPr>
          <w:spacing w:val="-11"/>
        </w:rPr>
        <w:t xml:space="preserve"> </w:t>
      </w:r>
      <w:r>
        <w:rPr>
          <w:spacing w:val="-2"/>
        </w:rPr>
        <w:t>SCH\_SUBJ\_AF_{js}</w:t>
      </w:r>
    </w:p>
    <w:p w:rsidR="003F5784" w14:paraId="2460413A" w14:textId="77777777">
      <w:pPr>
        <w:pStyle w:val="BodyText"/>
        <w:spacing w:line="439" w:lineRule="auto"/>
        <w:ind w:left="109" w:right="13089"/>
      </w:pPr>
      <w:r>
        <w:rPr>
          <w:spacing w:val="-2"/>
        </w:rPr>
        <w:t>\end{equation} where</w:t>
      </w:r>
    </w:p>
    <w:p w:rsidR="003F5784" w14:paraId="1BB3091E" w14:textId="77777777">
      <w:pPr>
        <w:pStyle w:val="BodyText"/>
        <w:spacing w:line="238" w:lineRule="exact"/>
        <w:ind w:left="683"/>
      </w:pPr>
      <w:r>
        <w:rPr>
          <w:noProof/>
        </w:rPr>
        <mc:AlternateContent>
          <mc:Choice Requires="wps">
            <w:drawing>
              <wp:anchor distT="0" distB="0" distL="0" distR="0" simplePos="0" relativeHeight="251674624" behindDoc="0" locked="0" layoutInCell="1" allowOverlap="1">
                <wp:simplePos x="0" y="0"/>
                <wp:positionH relativeFrom="page">
                  <wp:posOffset>560569</wp:posOffset>
                </wp:positionH>
                <wp:positionV relativeFrom="paragraph">
                  <wp:posOffset>66306</wp:posOffset>
                </wp:positionV>
                <wp:extent cx="41910" cy="41910"/>
                <wp:effectExtent l="0" t="0" r="0" b="0"/>
                <wp:wrapNone/>
                <wp:docPr id="479" name="Graphic 479"/>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0" y="23337"/>
                              </a:lnTo>
                              <a:lnTo>
                                <a:pt x="0" y="17908"/>
                              </a:lnTo>
                              <a:lnTo>
                                <a:pt x="17945" y="0"/>
                              </a:lnTo>
                              <a:lnTo>
                                <a:pt x="23433" y="0"/>
                              </a:lnTo>
                              <a:lnTo>
                                <a:pt x="41379" y="20689"/>
                              </a:lnTo>
                              <a:lnTo>
                                <a:pt x="41378" y="23337"/>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79" o:spid="_x0000_s1161" style="width:3.3pt;height:3.3pt;margin-top:5.2pt;margin-left:44.15pt;mso-position-horizontal-relative:page;mso-wrap-distance-bottom:0;mso-wrap-distance-left:0;mso-wrap-distance-right:0;mso-wrap-distance-top:0;mso-wrap-style:square;position:absolute;visibility:visible;v-text-anchor:top;z-index:251675648" coordsize="41910,41910" path="m20689,41378l,23337,,17908,17945,l23433,l41379,20689l41378,23337l20689,41378xe" fillcolor="black" stroked="f">
                <v:path arrowok="t"/>
              </v:shape>
            </w:pict>
          </mc:Fallback>
        </mc:AlternateContent>
      </w:r>
      <w:r>
        <w:t>\(SCH\_BWT_{js}\)</w:t>
      </w:r>
      <w:r>
        <w:rPr>
          <w:spacing w:val="-8"/>
        </w:rPr>
        <w:t xml:space="preserve"> </w:t>
      </w:r>
      <w:r>
        <w:t>is</w:t>
      </w:r>
      <w:r>
        <w:rPr>
          <w:spacing w:val="-7"/>
        </w:rPr>
        <w:t xml:space="preserve"> </w:t>
      </w:r>
      <w:r>
        <w:t>the</w:t>
      </w:r>
      <w:r>
        <w:rPr>
          <w:spacing w:val="-7"/>
        </w:rPr>
        <w:t xml:space="preserve"> </w:t>
      </w:r>
      <w:r>
        <w:t>school</w:t>
      </w:r>
      <w:r>
        <w:rPr>
          <w:spacing w:val="-7"/>
        </w:rPr>
        <w:t xml:space="preserve"> </w:t>
      </w:r>
      <w:r>
        <w:t>base</w:t>
      </w:r>
      <w:r>
        <w:rPr>
          <w:spacing w:val="-7"/>
        </w:rPr>
        <w:t xml:space="preserve"> </w:t>
      </w:r>
      <w:r>
        <w:rPr>
          <w:spacing w:val="-2"/>
        </w:rPr>
        <w:t>weight;</w:t>
      </w:r>
    </w:p>
    <w:p w:rsidR="003F5784" w14:paraId="3E717C78" w14:textId="77777777">
      <w:pPr>
        <w:pStyle w:val="BodyText"/>
        <w:spacing w:line="235" w:lineRule="exact"/>
        <w:ind w:left="631"/>
      </w:pPr>
      <w:r>
        <w:rPr>
          <w:noProof/>
        </w:rPr>
        <mc:AlternateContent>
          <mc:Choice Requires="wps">
            <w:drawing>
              <wp:anchor distT="0" distB="0" distL="0" distR="0" simplePos="0" relativeHeight="251676672" behindDoc="0" locked="0" layoutInCell="1" allowOverlap="1">
                <wp:simplePos x="0" y="0"/>
                <wp:positionH relativeFrom="page">
                  <wp:posOffset>560569</wp:posOffset>
                </wp:positionH>
                <wp:positionV relativeFrom="paragraph">
                  <wp:posOffset>64409</wp:posOffset>
                </wp:positionV>
                <wp:extent cx="41910" cy="41910"/>
                <wp:effectExtent l="0" t="0" r="0" b="0"/>
                <wp:wrapNone/>
                <wp:docPr id="480" name="Graphic 480"/>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0" y="23337"/>
                              </a:lnTo>
                              <a:lnTo>
                                <a:pt x="0" y="17842"/>
                              </a:lnTo>
                              <a:lnTo>
                                <a:pt x="17945" y="0"/>
                              </a:lnTo>
                              <a:lnTo>
                                <a:pt x="23433" y="0"/>
                              </a:lnTo>
                              <a:lnTo>
                                <a:pt x="41379" y="20689"/>
                              </a:lnTo>
                              <a:lnTo>
                                <a:pt x="41378" y="23337"/>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80" o:spid="_x0000_s1162" style="width:3.3pt;height:3.3pt;margin-top:5.05pt;margin-left:44.15pt;mso-position-horizontal-relative:page;mso-wrap-distance-bottom:0;mso-wrap-distance-left:0;mso-wrap-distance-right:0;mso-wrap-distance-top:0;mso-wrap-style:square;position:absolute;visibility:visible;v-text-anchor:top;z-index:251677696" coordsize="41910,41910" path="m20689,41378l,23337,,17842,17945,l23433,l41379,20689l41378,23337l20689,41378xe" fillcolor="black" stroked="f">
                <v:path arrowok="t"/>
              </v:shape>
            </w:pict>
          </mc:Fallback>
        </mc:AlternateContent>
      </w:r>
      <w:r>
        <w:t>\(SCH\_NRAF_{js}\)</w:t>
      </w:r>
      <w:r>
        <w:rPr>
          <w:spacing w:val="-10"/>
        </w:rPr>
        <w:t xml:space="preserve"> </w:t>
      </w:r>
      <w:r>
        <w:t>is</w:t>
      </w:r>
      <w:r>
        <w:rPr>
          <w:spacing w:val="-10"/>
        </w:rPr>
        <w:t xml:space="preserve"> </w:t>
      </w:r>
      <w:r>
        <w:t>the</w:t>
      </w:r>
      <w:r>
        <w:rPr>
          <w:spacing w:val="-10"/>
        </w:rPr>
        <w:t xml:space="preserve"> </w:t>
      </w:r>
      <w:r>
        <w:t>school-level</w:t>
      </w:r>
      <w:r>
        <w:rPr>
          <w:spacing w:val="-9"/>
        </w:rPr>
        <w:t xml:space="preserve"> </w:t>
      </w:r>
      <w:r>
        <w:t>nonresponse</w:t>
      </w:r>
      <w:r>
        <w:rPr>
          <w:spacing w:val="-10"/>
        </w:rPr>
        <w:t xml:space="preserve"> </w:t>
      </w:r>
      <w:r>
        <w:t>adjustment</w:t>
      </w:r>
      <w:r>
        <w:rPr>
          <w:spacing w:val="-10"/>
        </w:rPr>
        <w:t xml:space="preserve"> </w:t>
      </w:r>
      <w:r>
        <w:rPr>
          <w:spacing w:val="-2"/>
        </w:rPr>
        <w:t>factor;</w:t>
      </w:r>
    </w:p>
    <w:p w:rsidR="003F5784" w14:paraId="22C0E6C1" w14:textId="77777777">
      <w:pPr>
        <w:pStyle w:val="BodyText"/>
        <w:spacing w:line="238" w:lineRule="exact"/>
        <w:ind w:left="631"/>
      </w:pPr>
      <w:r>
        <w:rPr>
          <w:noProof/>
        </w:rPr>
        <mc:AlternateContent>
          <mc:Choice Requires="wps">
            <w:drawing>
              <wp:anchor distT="0" distB="0" distL="0" distR="0" simplePos="0" relativeHeight="251678720" behindDoc="0" locked="0" layoutInCell="1" allowOverlap="1">
                <wp:simplePos x="0" y="0"/>
                <wp:positionH relativeFrom="page">
                  <wp:posOffset>560569</wp:posOffset>
                </wp:positionH>
                <wp:positionV relativeFrom="paragraph">
                  <wp:posOffset>64409</wp:posOffset>
                </wp:positionV>
                <wp:extent cx="41910" cy="41910"/>
                <wp:effectExtent l="0" t="0" r="0" b="0"/>
                <wp:wrapNone/>
                <wp:docPr id="481" name="Graphic 481"/>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0" y="23337"/>
                              </a:lnTo>
                              <a:lnTo>
                                <a:pt x="0" y="17908"/>
                              </a:lnTo>
                              <a:lnTo>
                                <a:pt x="524" y="15194"/>
                              </a:lnTo>
                              <a:lnTo>
                                <a:pt x="2624" y="10154"/>
                              </a:lnTo>
                              <a:lnTo>
                                <a:pt x="4119" y="7886"/>
                              </a:lnTo>
                              <a:lnTo>
                                <a:pt x="6059" y="6016"/>
                              </a:lnTo>
                              <a:lnTo>
                                <a:pt x="7999" y="4005"/>
                              </a:lnTo>
                              <a:lnTo>
                                <a:pt x="10237" y="2524"/>
                              </a:lnTo>
                              <a:lnTo>
                                <a:pt x="15306" y="521"/>
                              </a:lnTo>
                              <a:lnTo>
                                <a:pt x="17945" y="0"/>
                              </a:lnTo>
                              <a:lnTo>
                                <a:pt x="23433" y="0"/>
                              </a:lnTo>
                              <a:lnTo>
                                <a:pt x="26072" y="521"/>
                              </a:lnTo>
                              <a:lnTo>
                                <a:pt x="31141" y="2524"/>
                              </a:lnTo>
                              <a:lnTo>
                                <a:pt x="33379" y="4005"/>
                              </a:lnTo>
                              <a:lnTo>
                                <a:pt x="35319" y="6016"/>
                              </a:lnTo>
                              <a:lnTo>
                                <a:pt x="37259" y="7886"/>
                              </a:lnTo>
                              <a:lnTo>
                                <a:pt x="38754" y="10154"/>
                              </a:lnTo>
                              <a:lnTo>
                                <a:pt x="40854" y="15194"/>
                              </a:lnTo>
                              <a:lnTo>
                                <a:pt x="41378" y="17908"/>
                              </a:lnTo>
                              <a:lnTo>
                                <a:pt x="41379" y="20689"/>
                              </a:lnTo>
                              <a:lnTo>
                                <a:pt x="41378" y="23337"/>
                              </a:lnTo>
                              <a:lnTo>
                                <a:pt x="23433" y="41312"/>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81" o:spid="_x0000_s1163" style="width:3.3pt;height:3.3pt;margin-top:5.05pt;margin-left:44.15pt;mso-position-horizontal-relative:page;mso-wrap-distance-bottom:0;mso-wrap-distance-left:0;mso-wrap-distance-right:0;mso-wrap-distance-top:0;mso-wrap-style:square;position:absolute;visibility:visible;v-text-anchor:top;z-index:251679744" coordsize="41910,41910" path="m20689,41378l,23337,,17908,524,15194,2624,10154,4119,7886,6059,6016,7999,4005,10237,2524,15306,521,17945,l23433,l26072,521l31141,2524l33379,4005l35319,6016l37259,7886l38754,10154l40854,15194l41378,17908l41379,20689l41378,23337l23433,41312l20689,41378xe" fillcolor="black" stroked="f">
                <v:path arrowok="t"/>
              </v:shape>
            </w:pict>
          </mc:Fallback>
        </mc:AlternateContent>
      </w:r>
      <w:r>
        <w:t>\(SCH\_TRIM_{js}\)</w:t>
      </w:r>
      <w:r>
        <w:rPr>
          <w:spacing w:val="-9"/>
        </w:rPr>
        <w:t xml:space="preserve"> </w:t>
      </w:r>
      <w:r>
        <w:t>is</w:t>
      </w:r>
      <w:r>
        <w:rPr>
          <w:spacing w:val="-9"/>
        </w:rPr>
        <w:t xml:space="preserve"> </w:t>
      </w:r>
      <w:r>
        <w:t>the</w:t>
      </w:r>
      <w:r>
        <w:rPr>
          <w:spacing w:val="-9"/>
        </w:rPr>
        <w:t xml:space="preserve"> </w:t>
      </w:r>
      <w:r>
        <w:t>school-level</w:t>
      </w:r>
      <w:r>
        <w:rPr>
          <w:spacing w:val="-9"/>
        </w:rPr>
        <w:t xml:space="preserve"> </w:t>
      </w:r>
      <w:r>
        <w:t>weight</w:t>
      </w:r>
      <w:r>
        <w:rPr>
          <w:spacing w:val="-9"/>
        </w:rPr>
        <w:t xml:space="preserve"> </w:t>
      </w:r>
      <w:r>
        <w:t>trimming</w:t>
      </w:r>
      <w:r>
        <w:rPr>
          <w:spacing w:val="-9"/>
        </w:rPr>
        <w:t xml:space="preserve"> </w:t>
      </w:r>
      <w:r>
        <w:t>adjustment</w:t>
      </w:r>
      <w:r>
        <w:rPr>
          <w:spacing w:val="-8"/>
        </w:rPr>
        <w:t xml:space="preserve"> </w:t>
      </w:r>
      <w:r>
        <w:rPr>
          <w:spacing w:val="-2"/>
        </w:rPr>
        <w:t>factor;</w:t>
      </w:r>
    </w:p>
    <w:p w:rsidR="003F5784" w14:paraId="5D6147D0" w14:textId="77777777">
      <w:pPr>
        <w:spacing w:line="238" w:lineRule="exact"/>
        <w:sectPr>
          <w:pgSz w:w="15840" w:h="12240" w:orient="landscape"/>
          <w:pgMar w:top="480" w:right="440" w:bottom="460" w:left="460" w:header="284" w:footer="275" w:gutter="0"/>
          <w:cols w:space="720"/>
        </w:sectPr>
      </w:pPr>
    </w:p>
    <w:p w:rsidR="003F5784" w14:paraId="780CDE43" w14:textId="77777777">
      <w:pPr>
        <w:pStyle w:val="BodyText"/>
        <w:spacing w:before="78" w:line="232" w:lineRule="auto"/>
        <w:ind w:left="631" w:right="54" w:hanging="209"/>
      </w:pPr>
      <w:r>
        <w:rPr>
          <w:noProof/>
          <w:position w:val="3"/>
        </w:rPr>
        <w:drawing>
          <wp:inline distT="0" distB="0" distL="0" distR="0">
            <wp:extent cx="41379" cy="41378"/>
            <wp:effectExtent l="0" t="0" r="0" b="0"/>
            <wp:docPr id="482" name="Image 482"/>
            <wp:cNvGraphicFramePr/>
            <a:graphic xmlns:a="http://schemas.openxmlformats.org/drawingml/2006/main">
              <a:graphicData uri="http://schemas.openxmlformats.org/drawingml/2006/picture">
                <pic:pic xmlns:pic="http://schemas.openxmlformats.org/drawingml/2006/picture">
                  <pic:nvPicPr>
                    <pic:cNvPr id="482" name="Image 482"/>
                    <pic:cNvPicPr/>
                  </pic:nvPicPr>
                  <pic:blipFill>
                    <a:blip xmlns:r="http://schemas.openxmlformats.org/officeDocument/2006/relationships" r:embed="rId379" cstate="print"/>
                    <a:stretch>
                      <a:fillRect/>
                    </a:stretch>
                  </pic:blipFill>
                  <pic:spPr>
                    <a:xfrm>
                      <a:off x="0" y="0"/>
                      <a:ext cx="41379" cy="41378"/>
                    </a:xfrm>
                    <a:prstGeom prst="rect">
                      <a:avLst/>
                    </a:prstGeom>
                  </pic:spPr>
                </pic:pic>
              </a:graphicData>
            </a:graphic>
          </wp:inline>
        </w:drawing>
      </w:r>
      <w:r>
        <w:rPr>
          <w:spacing w:val="77"/>
          <w:sz w:val="20"/>
        </w:rPr>
        <w:t xml:space="preserve"> </w:t>
      </w:r>
      <w:r>
        <w:t>\(SCHSESWT_{js}\)</w:t>
      </w:r>
      <w:r>
        <w:rPr>
          <w:spacing w:val="-7"/>
        </w:rPr>
        <w:t xml:space="preserve"> </w:t>
      </w:r>
      <w:r>
        <w:t>is</w:t>
      </w:r>
      <w:r>
        <w:rPr>
          <w:spacing w:val="-7"/>
        </w:rPr>
        <w:t xml:space="preserve"> </w:t>
      </w:r>
      <w:r>
        <w:t>the</w:t>
      </w:r>
      <w:r>
        <w:rPr>
          <w:spacing w:val="-7"/>
        </w:rPr>
        <w:t xml:space="preserve"> </w:t>
      </w:r>
      <w:r>
        <w:t>school-level</w:t>
      </w:r>
      <w:r>
        <w:rPr>
          <w:spacing w:val="-7"/>
        </w:rPr>
        <w:t xml:space="preserve"> </w:t>
      </w:r>
      <w:r>
        <w:t>session</w:t>
      </w:r>
      <w:r>
        <w:rPr>
          <w:spacing w:val="-7"/>
        </w:rPr>
        <w:t xml:space="preserve"> </w:t>
      </w:r>
      <w:r>
        <w:t>assignment</w:t>
      </w:r>
      <w:r>
        <w:rPr>
          <w:spacing w:val="-7"/>
        </w:rPr>
        <w:t xml:space="preserve"> </w:t>
      </w:r>
      <w:r>
        <w:t>weight</w:t>
      </w:r>
      <w:r>
        <w:rPr>
          <w:spacing w:val="-7"/>
        </w:rPr>
        <w:t xml:space="preserve"> </w:t>
      </w:r>
      <w:r>
        <w:t>that</w:t>
      </w:r>
      <w:r>
        <w:rPr>
          <w:spacing w:val="-7"/>
        </w:rPr>
        <w:t xml:space="preserve"> </w:t>
      </w:r>
      <w:r>
        <w:t>reflects</w:t>
      </w:r>
      <w:r>
        <w:rPr>
          <w:spacing w:val="-7"/>
        </w:rPr>
        <w:t xml:space="preserve"> </w:t>
      </w:r>
      <w:r>
        <w:t>the</w:t>
      </w:r>
      <w:r>
        <w:rPr>
          <w:spacing w:val="-7"/>
        </w:rPr>
        <w:t xml:space="preserve"> </w:t>
      </w:r>
      <w:r>
        <w:t>conditional</w:t>
      </w:r>
      <w:r>
        <w:rPr>
          <w:spacing w:val="-7"/>
        </w:rPr>
        <w:t xml:space="preserve"> </w:t>
      </w:r>
      <w:r>
        <w:t>probability,</w:t>
      </w:r>
      <w:r>
        <w:rPr>
          <w:spacing w:val="-7"/>
        </w:rPr>
        <w:t xml:space="preserve"> </w:t>
      </w:r>
      <w:r>
        <w:t>given</w:t>
      </w:r>
      <w:r>
        <w:rPr>
          <w:spacing w:val="-7"/>
        </w:rPr>
        <w:t xml:space="preserve"> </w:t>
      </w:r>
      <w:r>
        <w:t>the</w:t>
      </w:r>
      <w:r>
        <w:rPr>
          <w:spacing w:val="-7"/>
        </w:rPr>
        <w:t xml:space="preserve"> </w:t>
      </w:r>
      <w:r>
        <w:t>school,</w:t>
      </w:r>
      <w:r>
        <w:rPr>
          <w:spacing w:val="-7"/>
        </w:rPr>
        <w:t xml:space="preserve"> </w:t>
      </w:r>
      <w:r>
        <w:t>that</w:t>
      </w:r>
      <w:r>
        <w:rPr>
          <w:spacing w:val="-7"/>
        </w:rPr>
        <w:t xml:space="preserve"> </w:t>
      </w:r>
      <w:r>
        <w:t>the</w:t>
      </w:r>
      <w:r>
        <w:rPr>
          <w:spacing w:val="-7"/>
        </w:rPr>
        <w:t xml:space="preserve"> </w:t>
      </w:r>
      <w:r>
        <w:t>particular</w:t>
      </w:r>
      <w:r>
        <w:rPr>
          <w:spacing w:val="-7"/>
        </w:rPr>
        <w:t xml:space="preserve"> </w:t>
      </w:r>
      <w:r>
        <w:t>session</w:t>
      </w:r>
      <w:r>
        <w:rPr>
          <w:spacing w:val="-7"/>
        </w:rPr>
        <w:t xml:space="preserve"> </w:t>
      </w:r>
      <w:r>
        <w:t>type</w:t>
      </w:r>
      <w:r>
        <w:rPr>
          <w:spacing w:val="-7"/>
        </w:rPr>
        <w:t xml:space="preserve"> </w:t>
      </w:r>
      <w:r>
        <w:t>was</w:t>
      </w:r>
      <w:r>
        <w:rPr>
          <w:spacing w:val="-7"/>
        </w:rPr>
        <w:t xml:space="preserve"> </w:t>
      </w:r>
      <w:r>
        <w:t>assigned to the school; and</w:t>
      </w:r>
    </w:p>
    <w:p w:rsidR="003F5784" w14:paraId="20B7992B" w14:textId="77777777">
      <w:pPr>
        <w:pStyle w:val="BodyText"/>
        <w:spacing w:line="236" w:lineRule="exact"/>
        <w:ind w:left="422"/>
      </w:pPr>
      <w:r>
        <w:rPr>
          <w:noProof/>
          <w:position w:val="3"/>
        </w:rPr>
        <w:drawing>
          <wp:inline distT="0" distB="0" distL="0" distR="0">
            <wp:extent cx="41379" cy="41378"/>
            <wp:effectExtent l="0" t="0" r="0" b="0"/>
            <wp:docPr id="483" name="Image 483"/>
            <wp:cNvGraphicFramePr/>
            <a:graphic xmlns:a="http://schemas.openxmlformats.org/drawingml/2006/main">
              <a:graphicData uri="http://schemas.openxmlformats.org/drawingml/2006/picture">
                <pic:pic xmlns:pic="http://schemas.openxmlformats.org/drawingml/2006/picture">
                  <pic:nvPicPr>
                    <pic:cNvPr id="483" name="Image 483"/>
                    <pic:cNvPicPr/>
                  </pic:nvPicPr>
                  <pic:blipFill>
                    <a:blip xmlns:r="http://schemas.openxmlformats.org/officeDocument/2006/relationships" r:embed="rId380" cstate="print"/>
                    <a:stretch>
                      <a:fillRect/>
                    </a:stretch>
                  </pic:blipFill>
                  <pic:spPr>
                    <a:xfrm>
                      <a:off x="0" y="0"/>
                      <a:ext cx="41379" cy="41378"/>
                    </a:xfrm>
                    <a:prstGeom prst="rect">
                      <a:avLst/>
                    </a:prstGeom>
                  </pic:spPr>
                </pic:pic>
              </a:graphicData>
            </a:graphic>
          </wp:inline>
        </w:drawing>
      </w:r>
      <w:r>
        <w:rPr>
          <w:spacing w:val="80"/>
          <w:sz w:val="20"/>
        </w:rPr>
        <w:t xml:space="preserve"> </w:t>
      </w:r>
      <w:r>
        <w:t>\(SCH\_SUBJ\_AF_{js}\) is the small-school subject adjustment factor.</w:t>
      </w:r>
    </w:p>
    <w:p w:rsidR="003F5784" w14:paraId="3E7BBE98" w14:textId="77777777">
      <w:pPr>
        <w:pStyle w:val="BodyText"/>
        <w:spacing w:before="202"/>
        <w:ind w:left="109"/>
      </w:pPr>
      <w:r>
        <w:t>For</w:t>
      </w:r>
      <w:r>
        <w:rPr>
          <w:spacing w:val="-7"/>
        </w:rPr>
        <w:t xml:space="preserve"> </w:t>
      </w:r>
      <w:r>
        <w:t>2022,</w:t>
      </w:r>
      <w:r>
        <w:rPr>
          <w:spacing w:val="-6"/>
        </w:rPr>
        <w:t xml:space="preserve"> </w:t>
      </w:r>
      <w:r>
        <w:t>the</w:t>
      </w:r>
      <w:r>
        <w:rPr>
          <w:spacing w:val="-6"/>
        </w:rPr>
        <w:t xml:space="preserve"> </w:t>
      </w:r>
      <w:r>
        <w:t>school-level</w:t>
      </w:r>
      <w:r>
        <w:rPr>
          <w:spacing w:val="-6"/>
        </w:rPr>
        <w:t xml:space="preserve"> </w:t>
      </w:r>
      <w:r>
        <w:t>session</w:t>
      </w:r>
      <w:r>
        <w:rPr>
          <w:spacing w:val="-6"/>
        </w:rPr>
        <w:t xml:space="preserve"> </w:t>
      </w:r>
      <w:r>
        <w:t>assignment</w:t>
      </w:r>
      <w:r>
        <w:rPr>
          <w:spacing w:val="-6"/>
        </w:rPr>
        <w:t xml:space="preserve"> </w:t>
      </w:r>
      <w:r>
        <w:t>weight</w:t>
      </w:r>
      <w:r>
        <w:rPr>
          <w:spacing w:val="-6"/>
        </w:rPr>
        <w:t xml:space="preserve"> </w:t>
      </w:r>
      <w:r>
        <w:t>is</w:t>
      </w:r>
      <w:r>
        <w:rPr>
          <w:spacing w:val="-6"/>
        </w:rPr>
        <w:t xml:space="preserve"> </w:t>
      </w:r>
      <w:r>
        <w:t>always</w:t>
      </w:r>
      <w:r>
        <w:rPr>
          <w:spacing w:val="-6"/>
        </w:rPr>
        <w:t xml:space="preserve"> </w:t>
      </w:r>
      <w:r>
        <w:t>one</w:t>
      </w:r>
      <w:r>
        <w:rPr>
          <w:spacing w:val="-6"/>
        </w:rPr>
        <w:t xml:space="preserve"> </w:t>
      </w:r>
      <w:r>
        <w:t>because</w:t>
      </w:r>
      <w:r>
        <w:rPr>
          <w:spacing w:val="-6"/>
        </w:rPr>
        <w:t xml:space="preserve"> </w:t>
      </w:r>
      <w:r>
        <w:t>schools</w:t>
      </w:r>
      <w:r>
        <w:rPr>
          <w:spacing w:val="-6"/>
        </w:rPr>
        <w:t xml:space="preserve"> </w:t>
      </w:r>
      <w:r>
        <w:t>were</w:t>
      </w:r>
      <w:r>
        <w:rPr>
          <w:spacing w:val="-6"/>
        </w:rPr>
        <w:t xml:space="preserve"> </w:t>
      </w:r>
      <w:r>
        <w:t>only</w:t>
      </w:r>
      <w:r>
        <w:rPr>
          <w:spacing w:val="-6"/>
        </w:rPr>
        <w:t xml:space="preserve"> </w:t>
      </w:r>
      <w:r>
        <w:t>assigned</w:t>
      </w:r>
      <w:r>
        <w:rPr>
          <w:spacing w:val="-6"/>
        </w:rPr>
        <w:t xml:space="preserve"> </w:t>
      </w:r>
      <w:r>
        <w:t>to</w:t>
      </w:r>
      <w:r>
        <w:rPr>
          <w:spacing w:val="-6"/>
        </w:rPr>
        <w:t xml:space="preserve"> </w:t>
      </w:r>
      <w:r>
        <w:t>one</w:t>
      </w:r>
      <w:r>
        <w:rPr>
          <w:spacing w:val="-6"/>
        </w:rPr>
        <w:t xml:space="preserve"> </w:t>
      </w:r>
      <w:r>
        <w:t>session</w:t>
      </w:r>
      <w:r>
        <w:rPr>
          <w:spacing w:val="-6"/>
        </w:rPr>
        <w:t xml:space="preserve"> </w:t>
      </w:r>
      <w:r>
        <w:rPr>
          <w:spacing w:val="-2"/>
        </w:rPr>
        <w:t>type.</w:t>
      </w:r>
    </w:p>
    <w:p w:rsidR="003F5784" w14:paraId="2C4B9AFF" w14:textId="77777777">
      <w:pPr>
        <w:pStyle w:val="BodyText"/>
        <w:spacing w:before="207" w:line="232" w:lineRule="auto"/>
        <w:ind w:left="109" w:right="333"/>
        <w:jc w:val="both"/>
      </w:pPr>
      <w:r>
        <w:t>The</w:t>
      </w:r>
      <w:r>
        <w:rPr>
          <w:spacing w:val="-6"/>
        </w:rPr>
        <w:t xml:space="preserve"> </w:t>
      </w:r>
      <w:r>
        <w:t>small-school</w:t>
      </w:r>
      <w:r>
        <w:rPr>
          <w:spacing w:val="-6"/>
        </w:rPr>
        <w:t xml:space="preserve"> </w:t>
      </w:r>
      <w:r>
        <w:t>subject</w:t>
      </w:r>
      <w:r>
        <w:rPr>
          <w:spacing w:val="-6"/>
        </w:rPr>
        <w:t xml:space="preserve"> </w:t>
      </w:r>
      <w:r>
        <w:t>adjustment</w:t>
      </w:r>
      <w:r>
        <w:rPr>
          <w:spacing w:val="-6"/>
        </w:rPr>
        <w:t xml:space="preserve"> </w:t>
      </w:r>
      <w:r>
        <w:t>accounts</w:t>
      </w:r>
      <w:r>
        <w:rPr>
          <w:spacing w:val="-6"/>
        </w:rPr>
        <w:t xml:space="preserve"> </w:t>
      </w:r>
      <w:r>
        <w:t>for</w:t>
      </w:r>
      <w:r>
        <w:rPr>
          <w:spacing w:val="-6"/>
        </w:rPr>
        <w:t xml:space="preserve"> </w:t>
      </w:r>
      <w:r>
        <w:t>very</w:t>
      </w:r>
      <w:r>
        <w:rPr>
          <w:spacing w:val="-6"/>
        </w:rPr>
        <w:t xml:space="preserve"> </w:t>
      </w:r>
      <w:r>
        <w:t>small</w:t>
      </w:r>
      <w:r>
        <w:rPr>
          <w:spacing w:val="-6"/>
        </w:rPr>
        <w:t xml:space="preserve"> </w:t>
      </w:r>
      <w:r>
        <w:t>schools</w:t>
      </w:r>
      <w:r>
        <w:rPr>
          <w:spacing w:val="-6"/>
        </w:rPr>
        <w:t xml:space="preserve"> </w:t>
      </w:r>
      <w:r>
        <w:t>that</w:t>
      </w:r>
      <w:r>
        <w:rPr>
          <w:spacing w:val="-6"/>
        </w:rPr>
        <w:t xml:space="preserve"> </w:t>
      </w:r>
      <w:r>
        <w:t>did</w:t>
      </w:r>
      <w:r>
        <w:rPr>
          <w:spacing w:val="-6"/>
        </w:rPr>
        <w:t xml:space="preserve"> </w:t>
      </w:r>
      <w:r>
        <w:t>not</w:t>
      </w:r>
      <w:r>
        <w:rPr>
          <w:spacing w:val="-6"/>
        </w:rPr>
        <w:t xml:space="preserve"> </w:t>
      </w:r>
      <w:r>
        <w:t>have</w:t>
      </w:r>
      <w:r>
        <w:rPr>
          <w:spacing w:val="-6"/>
        </w:rPr>
        <w:t xml:space="preserve"> </w:t>
      </w:r>
      <w:r>
        <w:t>enough</w:t>
      </w:r>
      <w:r>
        <w:rPr>
          <w:spacing w:val="-6"/>
        </w:rPr>
        <w:t xml:space="preserve"> </w:t>
      </w:r>
      <w:r>
        <w:t>participating</w:t>
      </w:r>
      <w:r>
        <w:rPr>
          <w:spacing w:val="-6"/>
        </w:rPr>
        <w:t xml:space="preserve"> </w:t>
      </w:r>
      <w:r>
        <w:t>students</w:t>
      </w:r>
      <w:r>
        <w:rPr>
          <w:spacing w:val="-6"/>
        </w:rPr>
        <w:t xml:space="preserve"> </w:t>
      </w:r>
      <w:r>
        <w:t>for</w:t>
      </w:r>
      <w:r>
        <w:rPr>
          <w:spacing w:val="-6"/>
        </w:rPr>
        <w:t xml:space="preserve"> </w:t>
      </w:r>
      <w:r>
        <w:t>every</w:t>
      </w:r>
      <w:r>
        <w:rPr>
          <w:spacing w:val="-6"/>
        </w:rPr>
        <w:t xml:space="preserve"> </w:t>
      </w:r>
      <w:r>
        <w:t>subject</w:t>
      </w:r>
      <w:r>
        <w:rPr>
          <w:spacing w:val="-6"/>
        </w:rPr>
        <w:t xml:space="preserve"> </w:t>
      </w:r>
      <w:r>
        <w:t>intended</w:t>
      </w:r>
      <w:r>
        <w:rPr>
          <w:spacing w:val="-6"/>
        </w:rPr>
        <w:t xml:space="preserve"> </w:t>
      </w:r>
      <w:r>
        <w:t>for</w:t>
      </w:r>
      <w:r>
        <w:rPr>
          <w:spacing w:val="-6"/>
        </w:rPr>
        <w:t xml:space="preserve"> </w:t>
      </w:r>
      <w:r>
        <w:t>the</w:t>
      </w:r>
      <w:r>
        <w:rPr>
          <w:spacing w:val="-6"/>
        </w:rPr>
        <w:t xml:space="preserve"> </w:t>
      </w:r>
      <w:r>
        <w:t>school.</w:t>
      </w:r>
      <w:r>
        <w:rPr>
          <w:spacing w:val="-6"/>
        </w:rPr>
        <w:t xml:space="preserve"> </w:t>
      </w:r>
      <w:r>
        <w:t>School</w:t>
      </w:r>
      <w:r>
        <w:rPr>
          <w:spacing w:val="-6"/>
        </w:rPr>
        <w:t xml:space="preserve"> </w:t>
      </w:r>
      <w:r>
        <w:t>weights for</w:t>
      </w:r>
      <w:r>
        <w:rPr>
          <w:spacing w:val="-5"/>
        </w:rPr>
        <w:t xml:space="preserve"> </w:t>
      </w:r>
      <w:r>
        <w:t>subjects</w:t>
      </w:r>
      <w:r>
        <w:rPr>
          <w:spacing w:val="-5"/>
        </w:rPr>
        <w:t xml:space="preserve"> </w:t>
      </w:r>
      <w:r>
        <w:t>that</w:t>
      </w:r>
      <w:r>
        <w:rPr>
          <w:spacing w:val="-5"/>
        </w:rPr>
        <w:t xml:space="preserve"> </w:t>
      </w:r>
      <w:r>
        <w:t>had</w:t>
      </w:r>
      <w:r>
        <w:rPr>
          <w:spacing w:val="-5"/>
        </w:rPr>
        <w:t xml:space="preserve"> </w:t>
      </w:r>
      <w:r>
        <w:t>at</w:t>
      </w:r>
      <w:r>
        <w:rPr>
          <w:spacing w:val="-5"/>
        </w:rPr>
        <w:t xml:space="preserve"> </w:t>
      </w:r>
      <w:r>
        <w:t>least</w:t>
      </w:r>
      <w:r>
        <w:rPr>
          <w:spacing w:val="-5"/>
        </w:rPr>
        <w:t xml:space="preserve"> </w:t>
      </w:r>
      <w:r>
        <w:t>one</w:t>
      </w:r>
      <w:r>
        <w:rPr>
          <w:spacing w:val="-5"/>
        </w:rPr>
        <w:t xml:space="preserve"> </w:t>
      </w:r>
      <w:r>
        <w:t>eligible</w:t>
      </w:r>
      <w:r>
        <w:rPr>
          <w:spacing w:val="-5"/>
        </w:rPr>
        <w:t xml:space="preserve"> </w:t>
      </w:r>
      <w:r>
        <w:t>student</w:t>
      </w:r>
      <w:r>
        <w:rPr>
          <w:spacing w:val="-5"/>
        </w:rPr>
        <w:t xml:space="preserve"> </w:t>
      </w:r>
      <w:r>
        <w:t>are</w:t>
      </w:r>
      <w:r>
        <w:rPr>
          <w:spacing w:val="-5"/>
        </w:rPr>
        <w:t xml:space="preserve"> </w:t>
      </w:r>
      <w:r>
        <w:t>inflated</w:t>
      </w:r>
      <w:r>
        <w:rPr>
          <w:spacing w:val="-5"/>
        </w:rPr>
        <w:t xml:space="preserve"> </w:t>
      </w:r>
      <w:r>
        <w:t>by</w:t>
      </w:r>
      <w:r>
        <w:rPr>
          <w:spacing w:val="-5"/>
        </w:rPr>
        <w:t xml:space="preserve"> </w:t>
      </w:r>
      <w:r>
        <w:t>this</w:t>
      </w:r>
      <w:r>
        <w:rPr>
          <w:spacing w:val="-5"/>
        </w:rPr>
        <w:t xml:space="preserve"> </w:t>
      </w:r>
      <w:r>
        <w:t>factor</w:t>
      </w:r>
      <w:r>
        <w:rPr>
          <w:spacing w:val="-5"/>
        </w:rPr>
        <w:t xml:space="preserve"> </w:t>
      </w:r>
      <w:r>
        <w:t>to</w:t>
      </w:r>
      <w:r>
        <w:rPr>
          <w:spacing w:val="-5"/>
        </w:rPr>
        <w:t xml:space="preserve"> </w:t>
      </w:r>
      <w:r>
        <w:t>compensate</w:t>
      </w:r>
      <w:r>
        <w:rPr>
          <w:spacing w:val="-5"/>
        </w:rPr>
        <w:t xml:space="preserve"> </w:t>
      </w:r>
      <w:r>
        <w:t>for</w:t>
      </w:r>
      <w:r>
        <w:rPr>
          <w:spacing w:val="-5"/>
        </w:rPr>
        <w:t xml:space="preserve"> </w:t>
      </w:r>
      <w:r>
        <w:t>schools</w:t>
      </w:r>
      <w:r>
        <w:rPr>
          <w:spacing w:val="-5"/>
        </w:rPr>
        <w:t xml:space="preserve"> </w:t>
      </w:r>
      <w:r>
        <w:t>of</w:t>
      </w:r>
      <w:r>
        <w:rPr>
          <w:spacing w:val="-5"/>
        </w:rPr>
        <w:t xml:space="preserve"> </w:t>
      </w:r>
      <w:r>
        <w:t>the</w:t>
      </w:r>
      <w:r>
        <w:rPr>
          <w:spacing w:val="-5"/>
        </w:rPr>
        <w:t xml:space="preserve"> </w:t>
      </w:r>
      <w:r>
        <w:t>same</w:t>
      </w:r>
      <w:r>
        <w:rPr>
          <w:spacing w:val="-5"/>
        </w:rPr>
        <w:t xml:space="preserve"> </w:t>
      </w:r>
      <w:r>
        <w:t>size</w:t>
      </w:r>
      <w:r>
        <w:rPr>
          <w:spacing w:val="-5"/>
        </w:rPr>
        <w:t xml:space="preserve"> </w:t>
      </w:r>
      <w:r>
        <w:t>that</w:t>
      </w:r>
      <w:r>
        <w:rPr>
          <w:spacing w:val="-5"/>
        </w:rPr>
        <w:t xml:space="preserve"> </w:t>
      </w:r>
      <w:r>
        <w:t>did</w:t>
      </w:r>
      <w:r>
        <w:rPr>
          <w:spacing w:val="-5"/>
        </w:rPr>
        <w:t xml:space="preserve"> </w:t>
      </w:r>
      <w:r>
        <w:t>not</w:t>
      </w:r>
      <w:r>
        <w:rPr>
          <w:spacing w:val="-5"/>
        </w:rPr>
        <w:t xml:space="preserve"> </w:t>
      </w:r>
      <w:r>
        <w:t>have</w:t>
      </w:r>
      <w:r>
        <w:rPr>
          <w:spacing w:val="-5"/>
        </w:rPr>
        <w:t xml:space="preserve"> </w:t>
      </w:r>
      <w:r>
        <w:t>any</w:t>
      </w:r>
      <w:r>
        <w:rPr>
          <w:spacing w:val="-5"/>
        </w:rPr>
        <w:t xml:space="preserve"> </w:t>
      </w:r>
      <w:r>
        <w:t>eligible</w:t>
      </w:r>
      <w:r>
        <w:rPr>
          <w:spacing w:val="-5"/>
        </w:rPr>
        <w:t xml:space="preserve"> </w:t>
      </w:r>
      <w:r>
        <w:t>students</w:t>
      </w:r>
      <w:r>
        <w:rPr>
          <w:spacing w:val="-5"/>
        </w:rPr>
        <w:t xml:space="preserve"> </w:t>
      </w:r>
      <w:r>
        <w:t>for</w:t>
      </w:r>
      <w:r>
        <w:rPr>
          <w:spacing w:val="-5"/>
        </w:rPr>
        <w:t xml:space="preserve"> </w:t>
      </w:r>
      <w:r>
        <w:t>those</w:t>
      </w:r>
      <w:r>
        <w:rPr>
          <w:spacing w:val="-5"/>
        </w:rPr>
        <w:t xml:space="preserve"> </w:t>
      </w:r>
      <w:r>
        <w:t>subjects and would not be represented otherwise.</w:t>
      </w:r>
    </w:p>
    <w:p w:rsidR="003F5784" w14:paraId="6B85F0F1" w14:textId="77777777">
      <w:pPr>
        <w:pStyle w:val="BodyText"/>
        <w:spacing w:before="204"/>
        <w:ind w:left="109"/>
      </w:pPr>
      <w:r>
        <w:t>The</w:t>
      </w:r>
      <w:r>
        <w:rPr>
          <w:spacing w:val="-5"/>
        </w:rPr>
        <w:t xml:space="preserve"> </w:t>
      </w:r>
      <w:r>
        <w:t>factor</w:t>
      </w:r>
      <w:r>
        <w:rPr>
          <w:spacing w:val="-5"/>
        </w:rPr>
        <w:t xml:space="preserve"> </w:t>
      </w:r>
      <w:r>
        <w:t>is</w:t>
      </w:r>
      <w:r>
        <w:rPr>
          <w:spacing w:val="-4"/>
        </w:rPr>
        <w:t xml:space="preserve"> </w:t>
      </w:r>
      <w:r>
        <w:t>equal</w:t>
      </w:r>
      <w:r>
        <w:rPr>
          <w:spacing w:val="-5"/>
        </w:rPr>
        <w:t xml:space="preserve"> </w:t>
      </w:r>
      <w:r>
        <w:t>to</w:t>
      </w:r>
      <w:r>
        <w:rPr>
          <w:spacing w:val="-4"/>
        </w:rPr>
        <w:t xml:space="preserve"> </w:t>
      </w:r>
      <w:r>
        <w:t>the</w:t>
      </w:r>
      <w:r>
        <w:rPr>
          <w:spacing w:val="-5"/>
        </w:rPr>
        <w:t xml:space="preserve"> </w:t>
      </w:r>
      <w:r>
        <w:t>inverse</w:t>
      </w:r>
      <w:r>
        <w:rPr>
          <w:spacing w:val="-4"/>
        </w:rPr>
        <w:t xml:space="preserve"> </w:t>
      </w:r>
      <w:r>
        <w:t>of</w:t>
      </w:r>
      <w:r>
        <w:rPr>
          <w:spacing w:val="-5"/>
        </w:rPr>
        <w:t xml:space="preserve"> </w:t>
      </w:r>
      <w:r>
        <w:t>the</w:t>
      </w:r>
      <w:r>
        <w:rPr>
          <w:spacing w:val="-5"/>
        </w:rPr>
        <w:t xml:space="preserve"> </w:t>
      </w:r>
      <w:r>
        <w:t>probability</w:t>
      </w:r>
      <w:r>
        <w:rPr>
          <w:spacing w:val="-4"/>
        </w:rPr>
        <w:t xml:space="preserve"> </w:t>
      </w:r>
      <w:r>
        <w:t>that</w:t>
      </w:r>
      <w:r>
        <w:rPr>
          <w:spacing w:val="-5"/>
        </w:rPr>
        <w:t xml:space="preserve"> </w:t>
      </w:r>
      <w:r>
        <w:t>a</w:t>
      </w:r>
      <w:r>
        <w:rPr>
          <w:spacing w:val="-4"/>
        </w:rPr>
        <w:t xml:space="preserve"> </w:t>
      </w:r>
      <w:r>
        <w:t>school</w:t>
      </w:r>
      <w:r>
        <w:rPr>
          <w:spacing w:val="-5"/>
        </w:rPr>
        <w:t xml:space="preserve"> </w:t>
      </w:r>
      <w:r>
        <w:t>of</w:t>
      </w:r>
      <w:r>
        <w:rPr>
          <w:spacing w:val="-4"/>
        </w:rPr>
        <w:t xml:space="preserve"> </w:t>
      </w:r>
      <w:r>
        <w:t>a</w:t>
      </w:r>
      <w:r>
        <w:rPr>
          <w:spacing w:val="-5"/>
        </w:rPr>
        <w:t xml:space="preserve"> </w:t>
      </w:r>
      <w:r>
        <w:t>given</w:t>
      </w:r>
      <w:r>
        <w:rPr>
          <w:spacing w:val="-4"/>
        </w:rPr>
        <w:t xml:space="preserve"> </w:t>
      </w:r>
      <w:r>
        <w:t>size</w:t>
      </w:r>
      <w:r>
        <w:rPr>
          <w:spacing w:val="-5"/>
        </w:rPr>
        <w:t xml:space="preserve"> </w:t>
      </w:r>
      <w:r>
        <w:t>had</w:t>
      </w:r>
      <w:r>
        <w:rPr>
          <w:spacing w:val="-5"/>
        </w:rPr>
        <w:t xml:space="preserve"> </w:t>
      </w:r>
      <w:r>
        <w:t>at</w:t>
      </w:r>
      <w:r>
        <w:rPr>
          <w:spacing w:val="-4"/>
        </w:rPr>
        <w:t xml:space="preserve"> </w:t>
      </w:r>
      <w:r>
        <w:t>least</w:t>
      </w:r>
      <w:r>
        <w:rPr>
          <w:spacing w:val="-5"/>
        </w:rPr>
        <w:t xml:space="preserve"> </w:t>
      </w:r>
      <w:r>
        <w:t>one</w:t>
      </w:r>
      <w:r>
        <w:rPr>
          <w:spacing w:val="-4"/>
        </w:rPr>
        <w:t xml:space="preserve"> </w:t>
      </w:r>
      <w:r>
        <w:t>eligible</w:t>
      </w:r>
      <w:r>
        <w:rPr>
          <w:spacing w:val="-5"/>
        </w:rPr>
        <w:t xml:space="preserve"> </w:t>
      </w:r>
      <w:r>
        <w:t>sampled</w:t>
      </w:r>
      <w:r>
        <w:rPr>
          <w:spacing w:val="-4"/>
        </w:rPr>
        <w:t xml:space="preserve"> </w:t>
      </w:r>
      <w:r>
        <w:t>student</w:t>
      </w:r>
      <w:r>
        <w:rPr>
          <w:spacing w:val="-5"/>
        </w:rPr>
        <w:t xml:space="preserve"> </w:t>
      </w:r>
      <w:r>
        <w:t>in</w:t>
      </w:r>
      <w:r>
        <w:rPr>
          <w:spacing w:val="-4"/>
        </w:rPr>
        <w:t xml:space="preserve"> </w:t>
      </w:r>
      <w:r>
        <w:t>a</w:t>
      </w:r>
      <w:r>
        <w:rPr>
          <w:spacing w:val="-5"/>
        </w:rPr>
        <w:t xml:space="preserve"> </w:t>
      </w:r>
      <w:r>
        <w:t>given</w:t>
      </w:r>
      <w:r>
        <w:rPr>
          <w:spacing w:val="-5"/>
        </w:rPr>
        <w:t xml:space="preserve"> </w:t>
      </w:r>
      <w:r>
        <w:rPr>
          <w:spacing w:val="-2"/>
        </w:rPr>
        <w:t>subject:</w:t>
      </w:r>
    </w:p>
    <w:p w:rsidR="003F5784" w14:paraId="0C793242" w14:textId="77777777">
      <w:pPr>
        <w:pStyle w:val="BodyText"/>
        <w:spacing w:before="202"/>
        <w:ind w:left="109"/>
      </w:pPr>
      <w:r>
        <w:rPr>
          <w:spacing w:val="-2"/>
        </w:rPr>
        <w:t>\begin{equation}</w:t>
      </w:r>
      <w:r>
        <w:rPr>
          <w:spacing w:val="12"/>
        </w:rPr>
        <w:t xml:space="preserve"> </w:t>
      </w:r>
      <w:r>
        <w:rPr>
          <w:spacing w:val="-2"/>
        </w:rPr>
        <w:t>SCH\_SUBJ\_AF_{js}</w:t>
      </w:r>
      <w:r>
        <w:rPr>
          <w:spacing w:val="13"/>
        </w:rPr>
        <w:t xml:space="preserve"> </w:t>
      </w:r>
      <w:r>
        <w:rPr>
          <w:spacing w:val="-2"/>
        </w:rPr>
        <w:t>=</w:t>
      </w:r>
      <w:r>
        <w:rPr>
          <w:spacing w:val="12"/>
        </w:rPr>
        <w:t xml:space="preserve"> </w:t>
      </w:r>
      <w:r>
        <w:rPr>
          <w:spacing w:val="-2"/>
        </w:rPr>
        <w:t>\max</w:t>
      </w:r>
      <w:r>
        <w:rPr>
          <w:spacing w:val="13"/>
        </w:rPr>
        <w:t xml:space="preserve"> </w:t>
      </w:r>
      <w:r>
        <w:rPr>
          <w:spacing w:val="-2"/>
        </w:rPr>
        <w:t>\biggl(\dfrac{SF_{js}}{n_{s}},1</w:t>
      </w:r>
      <w:r>
        <w:rPr>
          <w:spacing w:val="12"/>
        </w:rPr>
        <w:t xml:space="preserve"> </w:t>
      </w:r>
      <w:r>
        <w:rPr>
          <w:spacing w:val="-2"/>
        </w:rPr>
        <w:t>\biggr)</w:t>
      </w:r>
      <w:r>
        <w:rPr>
          <w:spacing w:val="13"/>
        </w:rPr>
        <w:t xml:space="preserve"> </w:t>
      </w:r>
      <w:r>
        <w:rPr>
          <w:spacing w:val="-2"/>
        </w:rPr>
        <w:t>\end{equation}</w:t>
      </w:r>
    </w:p>
    <w:p w:rsidR="003F5784" w14:paraId="2089C640" w14:textId="77777777">
      <w:pPr>
        <w:pStyle w:val="BodyText"/>
        <w:rPr>
          <w:sz w:val="20"/>
        </w:rPr>
      </w:pPr>
    </w:p>
    <w:p w:rsidR="003F5784" w14:paraId="60874889" w14:textId="77777777">
      <w:pPr>
        <w:pStyle w:val="BodyText"/>
        <w:spacing w:before="94"/>
        <w:rPr>
          <w:sz w:val="20"/>
        </w:rPr>
      </w:pPr>
    </w:p>
    <w:p w:rsidR="003F5784" w14:paraId="40F68DF4" w14:textId="77777777">
      <w:pPr>
        <w:rPr>
          <w:sz w:val="20"/>
        </w:rPr>
        <w:sectPr>
          <w:pgSz w:w="15840" w:h="12240" w:orient="landscape"/>
          <w:pgMar w:top="480" w:right="440" w:bottom="460" w:left="460" w:header="284" w:footer="275" w:gutter="0"/>
          <w:cols w:space="720"/>
        </w:sectPr>
      </w:pPr>
    </w:p>
    <w:p w:rsidR="003F5784" w14:paraId="4DB0AFD8" w14:textId="77777777">
      <w:pPr>
        <w:pStyle w:val="BodyText"/>
        <w:spacing w:before="90"/>
        <w:ind w:left="109"/>
      </w:pPr>
      <w:r>
        <w:rPr>
          <w:spacing w:val="-4"/>
        </w:rPr>
        <w:t>where</w:t>
      </w:r>
    </w:p>
    <w:p w:rsidR="003F5784" w14:paraId="0E56C205" w14:textId="77777777">
      <w:pPr>
        <w:pStyle w:val="BodyText"/>
        <w:spacing w:before="53"/>
        <w:rPr>
          <w:sz w:val="20"/>
        </w:rPr>
      </w:pPr>
      <w:r>
        <w:rPr>
          <w:noProof/>
        </w:rPr>
        <mc:AlternateContent>
          <mc:Choice Requires="wps">
            <w:drawing>
              <wp:anchor distT="0" distB="0" distL="0" distR="0" simplePos="0" relativeHeight="251964416" behindDoc="1" locked="0" layoutInCell="1" allowOverlap="1">
                <wp:simplePos x="0" y="0"/>
                <wp:positionH relativeFrom="page">
                  <wp:posOffset>560569</wp:posOffset>
                </wp:positionH>
                <wp:positionV relativeFrom="paragraph">
                  <wp:posOffset>195036</wp:posOffset>
                </wp:positionV>
                <wp:extent cx="41910" cy="41910"/>
                <wp:effectExtent l="0" t="0" r="0" b="0"/>
                <wp:wrapTopAndBottom/>
                <wp:docPr id="484" name="Graphic 484"/>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0" y="23337"/>
                              </a:lnTo>
                              <a:lnTo>
                                <a:pt x="0" y="17908"/>
                              </a:lnTo>
                              <a:lnTo>
                                <a:pt x="17945" y="0"/>
                              </a:lnTo>
                              <a:lnTo>
                                <a:pt x="23433" y="0"/>
                              </a:lnTo>
                              <a:lnTo>
                                <a:pt x="41379" y="20689"/>
                              </a:lnTo>
                              <a:lnTo>
                                <a:pt x="41378" y="23337"/>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84" o:spid="_x0000_s1164" style="width:3.3pt;height:3.3pt;margin-top:15.35pt;margin-left:44.15pt;mso-position-horizontal-relative:page;mso-wrap-distance-bottom:0;mso-wrap-distance-left:0;mso-wrap-distance-right:0;mso-wrap-distance-top:0;mso-wrap-style:square;position:absolute;visibility:visible;v-text-anchor:top;z-index:-251351040" coordsize="41910,41910" path="m20689,41378l,23337,,17908,17945,l23433,l41379,20689l41378,23337l20689,41378xe" fillcolor="black" stroked="f">
                <v:path arrowok="t"/>
                <w10:wrap type="topAndBottom"/>
              </v:shape>
            </w:pict>
          </mc:Fallback>
        </mc:AlternateContent>
      </w:r>
      <w:r>
        <w:rPr>
          <w:noProof/>
        </w:rPr>
        <mc:AlternateContent>
          <mc:Choice Requires="wps">
            <w:drawing>
              <wp:anchor distT="0" distB="0" distL="0" distR="0" simplePos="0" relativeHeight="251966464" behindDoc="1" locked="0" layoutInCell="1" allowOverlap="1">
                <wp:simplePos x="0" y="0"/>
                <wp:positionH relativeFrom="page">
                  <wp:posOffset>560569</wp:posOffset>
                </wp:positionH>
                <wp:positionV relativeFrom="paragraph">
                  <wp:posOffset>344000</wp:posOffset>
                </wp:positionV>
                <wp:extent cx="41910" cy="41910"/>
                <wp:effectExtent l="0" t="0" r="0" b="0"/>
                <wp:wrapTopAndBottom/>
                <wp:docPr id="485" name="Graphic 485"/>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0" y="23337"/>
                              </a:lnTo>
                              <a:lnTo>
                                <a:pt x="0" y="17908"/>
                              </a:lnTo>
                              <a:lnTo>
                                <a:pt x="524" y="15194"/>
                              </a:lnTo>
                              <a:lnTo>
                                <a:pt x="2624" y="10088"/>
                              </a:lnTo>
                              <a:lnTo>
                                <a:pt x="4119" y="7886"/>
                              </a:lnTo>
                              <a:lnTo>
                                <a:pt x="6059" y="6016"/>
                              </a:lnTo>
                              <a:lnTo>
                                <a:pt x="7999" y="4005"/>
                              </a:lnTo>
                              <a:lnTo>
                                <a:pt x="10237" y="2524"/>
                              </a:lnTo>
                              <a:lnTo>
                                <a:pt x="15306" y="521"/>
                              </a:lnTo>
                              <a:lnTo>
                                <a:pt x="17945" y="0"/>
                              </a:lnTo>
                              <a:lnTo>
                                <a:pt x="23433" y="0"/>
                              </a:lnTo>
                              <a:lnTo>
                                <a:pt x="26072" y="521"/>
                              </a:lnTo>
                              <a:lnTo>
                                <a:pt x="31141" y="2524"/>
                              </a:lnTo>
                              <a:lnTo>
                                <a:pt x="33379" y="4005"/>
                              </a:lnTo>
                              <a:lnTo>
                                <a:pt x="35319" y="6016"/>
                              </a:lnTo>
                              <a:lnTo>
                                <a:pt x="37259" y="7886"/>
                              </a:lnTo>
                              <a:lnTo>
                                <a:pt x="38754" y="10088"/>
                              </a:lnTo>
                              <a:lnTo>
                                <a:pt x="40854" y="15194"/>
                              </a:lnTo>
                              <a:lnTo>
                                <a:pt x="41378" y="17908"/>
                              </a:lnTo>
                              <a:lnTo>
                                <a:pt x="41379" y="20689"/>
                              </a:lnTo>
                              <a:lnTo>
                                <a:pt x="41378" y="23337"/>
                              </a:lnTo>
                              <a:lnTo>
                                <a:pt x="23433" y="41312"/>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85" o:spid="_x0000_s1165" style="width:3.3pt;height:3.3pt;margin-top:27.1pt;margin-left:44.15pt;mso-position-horizontal-relative:page;mso-wrap-distance-bottom:0;mso-wrap-distance-left:0;mso-wrap-distance-right:0;mso-wrap-distance-top:0;mso-wrap-style:square;position:absolute;visibility:visible;v-text-anchor:top;z-index:-251348992" coordsize="41910,41910" path="m20689,41378l,23337,,17908,524,15194,2624,10088,4119,7886,6059,6016,7999,4005,10237,2524,15306,521,17945,l23433,l26072,521l31141,2524l33379,4005l35319,6016l37259,7886l38754,10088l40854,15194l41378,17908l41379,20689l41378,23337l23433,41312l20689,41378xe" fillcolor="black" stroked="f">
                <v:path arrowok="t"/>
                <w10:wrap type="topAndBottom"/>
              </v:shape>
            </w:pict>
          </mc:Fallback>
        </mc:AlternateContent>
      </w:r>
    </w:p>
    <w:p w:rsidR="003F5784" w14:paraId="315DF769" w14:textId="77777777">
      <w:pPr>
        <w:pStyle w:val="BodyText"/>
        <w:spacing w:before="7"/>
        <w:rPr>
          <w:sz w:val="12"/>
        </w:rPr>
      </w:pPr>
    </w:p>
    <w:p w:rsidR="003F5784" w14:paraId="7CE93675" w14:textId="77777777">
      <w:pPr>
        <w:rPr>
          <w:sz w:val="21"/>
        </w:rPr>
      </w:pPr>
      <w:r>
        <w:br w:type="column"/>
      </w:r>
    </w:p>
    <w:p w:rsidR="003F5784" w14:paraId="19DB1301" w14:textId="77777777">
      <w:pPr>
        <w:pStyle w:val="BodyText"/>
        <w:spacing w:before="50"/>
      </w:pPr>
    </w:p>
    <w:p w:rsidR="003F5784" w14:paraId="0474C171" w14:textId="77777777">
      <w:pPr>
        <w:pStyle w:val="BodyText"/>
        <w:spacing w:line="238" w:lineRule="exact"/>
      </w:pPr>
      <w:r>
        <w:t>\(SF_{js}\)</w:t>
      </w:r>
      <w:r>
        <w:rPr>
          <w:spacing w:val="-6"/>
        </w:rPr>
        <w:t xml:space="preserve"> </w:t>
      </w:r>
      <w:r>
        <w:t>is</w:t>
      </w:r>
      <w:r>
        <w:rPr>
          <w:spacing w:val="-6"/>
        </w:rPr>
        <w:t xml:space="preserve"> </w:t>
      </w:r>
      <w:r>
        <w:t>the</w:t>
      </w:r>
      <w:r>
        <w:rPr>
          <w:spacing w:val="-5"/>
        </w:rPr>
        <w:t xml:space="preserve"> </w:t>
      </w:r>
      <w:r>
        <w:t>spiraling</w:t>
      </w:r>
      <w:r>
        <w:rPr>
          <w:spacing w:val="-6"/>
        </w:rPr>
        <w:t xml:space="preserve"> </w:t>
      </w:r>
      <w:r>
        <w:t>factor</w:t>
      </w:r>
      <w:r>
        <w:rPr>
          <w:spacing w:val="-6"/>
        </w:rPr>
        <w:t xml:space="preserve"> </w:t>
      </w:r>
      <w:r>
        <w:t>for</w:t>
      </w:r>
      <w:r>
        <w:rPr>
          <w:spacing w:val="-5"/>
        </w:rPr>
        <w:t xml:space="preserve"> </w:t>
      </w:r>
      <w:r>
        <w:t>the</w:t>
      </w:r>
      <w:r>
        <w:rPr>
          <w:spacing w:val="-6"/>
        </w:rPr>
        <w:t xml:space="preserve"> </w:t>
      </w:r>
      <w:r>
        <w:t>given</w:t>
      </w:r>
      <w:r>
        <w:rPr>
          <w:spacing w:val="-6"/>
        </w:rPr>
        <w:t xml:space="preserve"> </w:t>
      </w:r>
      <w:r>
        <w:t>subject;</w:t>
      </w:r>
      <w:r>
        <w:rPr>
          <w:spacing w:val="-5"/>
        </w:rPr>
        <w:t xml:space="preserve"> and</w:t>
      </w:r>
    </w:p>
    <w:p w:rsidR="003F5784" w14:paraId="0E2DC8BF" w14:textId="77777777">
      <w:pPr>
        <w:pStyle w:val="BodyText"/>
        <w:spacing w:line="238" w:lineRule="exact"/>
      </w:pPr>
      <w:r>
        <w:t>\(n_{s}\)</w:t>
      </w:r>
      <w:r>
        <w:rPr>
          <w:spacing w:val="-7"/>
        </w:rPr>
        <w:t xml:space="preserve"> </w:t>
      </w:r>
      <w:r>
        <w:t>is</w:t>
      </w:r>
      <w:r>
        <w:rPr>
          <w:spacing w:val="-7"/>
        </w:rPr>
        <w:t xml:space="preserve"> </w:t>
      </w:r>
      <w:r>
        <w:t>the</w:t>
      </w:r>
      <w:r>
        <w:rPr>
          <w:spacing w:val="-7"/>
        </w:rPr>
        <w:t xml:space="preserve"> </w:t>
      </w:r>
      <w:r>
        <w:t>within-school</w:t>
      </w:r>
      <w:r>
        <w:rPr>
          <w:spacing w:val="-7"/>
        </w:rPr>
        <w:t xml:space="preserve"> </w:t>
      </w:r>
      <w:r>
        <w:t>student</w:t>
      </w:r>
      <w:r>
        <w:rPr>
          <w:spacing w:val="-7"/>
        </w:rPr>
        <w:t xml:space="preserve"> </w:t>
      </w:r>
      <w:r>
        <w:t>sample</w:t>
      </w:r>
      <w:r>
        <w:rPr>
          <w:spacing w:val="-7"/>
        </w:rPr>
        <w:t xml:space="preserve"> </w:t>
      </w:r>
      <w:r>
        <w:rPr>
          <w:spacing w:val="-2"/>
        </w:rPr>
        <w:t>size.</w:t>
      </w:r>
    </w:p>
    <w:p w:rsidR="003F5784" w14:paraId="0D7AFFD0" w14:textId="77777777">
      <w:pPr>
        <w:spacing w:line="238" w:lineRule="exact"/>
        <w:sectPr>
          <w:type w:val="continuous"/>
          <w:pgSz w:w="15840" w:h="12240" w:orient="landscape"/>
          <w:pgMar w:top="480" w:right="440" w:bottom="460" w:left="460" w:header="284" w:footer="275" w:gutter="0"/>
          <w:cols w:num="2" w:space="720" w:equalWidth="0">
            <w:col w:w="620" w:space="11"/>
            <w:col w:w="14309"/>
          </w:cols>
        </w:sectPr>
      </w:pPr>
    </w:p>
    <w:p w:rsidR="003F5784" w14:paraId="42B4796C" w14:textId="77777777">
      <w:pPr>
        <w:pStyle w:val="BodyText"/>
        <w:spacing w:before="208" w:line="232" w:lineRule="auto"/>
        <w:ind w:left="109"/>
      </w:pPr>
      <w:r>
        <w:t>For</w:t>
      </w:r>
      <w:r>
        <w:rPr>
          <w:spacing w:val="-5"/>
        </w:rPr>
        <w:t xml:space="preserve"> </w:t>
      </w:r>
      <w:r>
        <w:t>example,</w:t>
      </w:r>
      <w:r>
        <w:rPr>
          <w:spacing w:val="-5"/>
        </w:rPr>
        <w:t xml:space="preserve"> </w:t>
      </w:r>
      <w:r>
        <w:t>if</w:t>
      </w:r>
      <w:r>
        <w:rPr>
          <w:spacing w:val="-5"/>
        </w:rPr>
        <w:t xml:space="preserve"> </w:t>
      </w:r>
      <w:r>
        <w:t>a</w:t>
      </w:r>
      <w:r>
        <w:rPr>
          <w:spacing w:val="-5"/>
        </w:rPr>
        <w:t xml:space="preserve"> </w:t>
      </w:r>
      <w:r>
        <w:t>school</w:t>
      </w:r>
      <w:r>
        <w:rPr>
          <w:spacing w:val="-5"/>
        </w:rPr>
        <w:t xml:space="preserve"> </w:t>
      </w:r>
      <w:r>
        <w:t>was</w:t>
      </w:r>
      <w:r>
        <w:rPr>
          <w:spacing w:val="-5"/>
        </w:rPr>
        <w:t xml:space="preserve"> </w:t>
      </w:r>
      <w:r>
        <w:t>to</w:t>
      </w:r>
      <w:r>
        <w:rPr>
          <w:spacing w:val="-5"/>
        </w:rPr>
        <w:t xml:space="preserve"> </w:t>
      </w:r>
      <w:r>
        <w:t>assess</w:t>
      </w:r>
      <w:r>
        <w:rPr>
          <w:spacing w:val="-5"/>
        </w:rPr>
        <w:t xml:space="preserve"> </w:t>
      </w:r>
      <w:r>
        <w:t>students</w:t>
      </w:r>
      <w:r>
        <w:rPr>
          <w:spacing w:val="-5"/>
        </w:rPr>
        <w:t xml:space="preserve"> </w:t>
      </w:r>
      <w:r>
        <w:t>in</w:t>
      </w:r>
      <w:r>
        <w:rPr>
          <w:spacing w:val="-5"/>
        </w:rPr>
        <w:t xml:space="preserve"> </w:t>
      </w:r>
      <w:r>
        <w:t>two</w:t>
      </w:r>
      <w:r>
        <w:rPr>
          <w:spacing w:val="-5"/>
        </w:rPr>
        <w:t xml:space="preserve"> </w:t>
      </w:r>
      <w:r>
        <w:t>subjects</w:t>
      </w:r>
      <w:r>
        <w:rPr>
          <w:spacing w:val="-5"/>
        </w:rPr>
        <w:t xml:space="preserve"> </w:t>
      </w:r>
      <w:r>
        <w:t>with</w:t>
      </w:r>
      <w:r>
        <w:rPr>
          <w:spacing w:val="-5"/>
        </w:rPr>
        <w:t xml:space="preserve"> </w:t>
      </w:r>
      <w:r>
        <w:t>a</w:t>
      </w:r>
      <w:r>
        <w:rPr>
          <w:spacing w:val="-5"/>
        </w:rPr>
        <w:t xml:space="preserve"> </w:t>
      </w:r>
      <w:r>
        <w:t>spiraling</w:t>
      </w:r>
      <w:r>
        <w:rPr>
          <w:spacing w:val="-5"/>
        </w:rPr>
        <w:t xml:space="preserve"> </w:t>
      </w:r>
      <w:r>
        <w:t>ratio</w:t>
      </w:r>
      <w:r>
        <w:rPr>
          <w:spacing w:val="-5"/>
        </w:rPr>
        <w:t xml:space="preserve"> </w:t>
      </w:r>
      <w:r>
        <w:t>of</w:t>
      </w:r>
      <w:r>
        <w:rPr>
          <w:spacing w:val="-5"/>
        </w:rPr>
        <w:t xml:space="preserve"> </w:t>
      </w:r>
      <w:r>
        <w:t>1:1</w:t>
      </w:r>
      <w:r>
        <w:rPr>
          <w:spacing w:val="-5"/>
        </w:rPr>
        <w:t xml:space="preserve"> </w:t>
      </w:r>
      <w:r>
        <w:t>(i.e.,</w:t>
      </w:r>
      <w:r>
        <w:rPr>
          <w:spacing w:val="-5"/>
        </w:rPr>
        <w:t xml:space="preserve"> </w:t>
      </w:r>
      <w:r>
        <w:t>a</w:t>
      </w:r>
      <w:r>
        <w:rPr>
          <w:spacing w:val="-5"/>
        </w:rPr>
        <w:t xml:space="preserve"> </w:t>
      </w:r>
      <w:r>
        <w:t>spiraling</w:t>
      </w:r>
      <w:r>
        <w:rPr>
          <w:spacing w:val="-5"/>
        </w:rPr>
        <w:t xml:space="preserve"> </w:t>
      </w:r>
      <w:r>
        <w:t>factor</w:t>
      </w:r>
      <w:r>
        <w:rPr>
          <w:spacing w:val="-5"/>
        </w:rPr>
        <w:t xml:space="preserve"> </w:t>
      </w:r>
      <w:r>
        <w:t>of</w:t>
      </w:r>
      <w:r>
        <w:rPr>
          <w:spacing w:val="-5"/>
        </w:rPr>
        <w:t xml:space="preserve"> </w:t>
      </w:r>
      <w:r>
        <w:t>2)</w:t>
      </w:r>
      <w:r>
        <w:rPr>
          <w:spacing w:val="-5"/>
        </w:rPr>
        <w:t xml:space="preserve"> </w:t>
      </w:r>
      <w:r>
        <w:t>but</w:t>
      </w:r>
      <w:r>
        <w:rPr>
          <w:spacing w:val="-5"/>
        </w:rPr>
        <w:t xml:space="preserve"> </w:t>
      </w:r>
      <w:r>
        <w:t>had</w:t>
      </w:r>
      <w:r>
        <w:rPr>
          <w:spacing w:val="-5"/>
        </w:rPr>
        <w:t xml:space="preserve"> </w:t>
      </w:r>
      <w:r>
        <w:t>only</w:t>
      </w:r>
      <w:r>
        <w:rPr>
          <w:spacing w:val="-5"/>
        </w:rPr>
        <w:t xml:space="preserve"> </w:t>
      </w:r>
      <w:r>
        <w:t>one</w:t>
      </w:r>
      <w:r>
        <w:rPr>
          <w:spacing w:val="-5"/>
        </w:rPr>
        <w:t xml:space="preserve"> </w:t>
      </w:r>
      <w:r>
        <w:t>eligible</w:t>
      </w:r>
      <w:r>
        <w:rPr>
          <w:spacing w:val="-5"/>
        </w:rPr>
        <w:t xml:space="preserve"> </w:t>
      </w:r>
      <w:r>
        <w:t>student,</w:t>
      </w:r>
      <w:r>
        <w:rPr>
          <w:spacing w:val="-5"/>
        </w:rPr>
        <w:t xml:space="preserve"> </w:t>
      </w:r>
      <w:r>
        <w:t>then</w:t>
      </w:r>
      <w:r>
        <w:rPr>
          <w:spacing w:val="-5"/>
        </w:rPr>
        <w:t xml:space="preserve"> </w:t>
      </w:r>
      <w:r>
        <w:t>the</w:t>
      </w:r>
      <w:r>
        <w:rPr>
          <w:spacing w:val="-5"/>
        </w:rPr>
        <w:t xml:space="preserve"> </w:t>
      </w:r>
      <w:r>
        <w:t>small-school subject adjustment would be equal to 2.</w:t>
      </w:r>
      <w:r>
        <w:rPr>
          <w:spacing w:val="-1"/>
        </w:rPr>
        <w:t xml:space="preserve"> </w:t>
      </w:r>
      <w:r>
        <w:t>The factor for schools not needing this adjustment was set equal to 1.</w:t>
      </w:r>
    </w:p>
    <w:p w:rsidR="003F5784" w14:paraId="20A2FA2E" w14:textId="77777777">
      <w:pPr>
        <w:pStyle w:val="BodyText"/>
        <w:spacing w:before="203"/>
        <w:ind w:left="109"/>
      </w:pPr>
      <w:r>
        <w:t>For</w:t>
      </w:r>
      <w:r>
        <w:rPr>
          <w:spacing w:val="-6"/>
        </w:rPr>
        <w:t xml:space="preserve"> </w:t>
      </w:r>
      <w:r>
        <w:t>the</w:t>
      </w:r>
      <w:r>
        <w:rPr>
          <w:spacing w:val="-6"/>
        </w:rPr>
        <w:t xml:space="preserve"> </w:t>
      </w:r>
      <w:r>
        <w:t>2022</w:t>
      </w:r>
      <w:r>
        <w:rPr>
          <w:spacing w:val="-6"/>
        </w:rPr>
        <w:t xml:space="preserve"> </w:t>
      </w:r>
      <w:r>
        <w:t>operational</w:t>
      </w:r>
      <w:r>
        <w:rPr>
          <w:spacing w:val="-5"/>
        </w:rPr>
        <w:t xml:space="preserve"> </w:t>
      </w:r>
      <w:r>
        <w:t>assessments,</w:t>
      </w:r>
      <w:r>
        <w:rPr>
          <w:spacing w:val="-6"/>
        </w:rPr>
        <w:t xml:space="preserve"> </w:t>
      </w:r>
      <w:r>
        <w:t>schools</w:t>
      </w:r>
      <w:r>
        <w:rPr>
          <w:spacing w:val="-6"/>
        </w:rPr>
        <w:t xml:space="preserve"> </w:t>
      </w:r>
      <w:r>
        <w:t>could</w:t>
      </w:r>
      <w:r>
        <w:rPr>
          <w:spacing w:val="-5"/>
        </w:rPr>
        <w:t xml:space="preserve"> </w:t>
      </w:r>
      <w:r>
        <w:t>be</w:t>
      </w:r>
      <w:r>
        <w:rPr>
          <w:spacing w:val="-6"/>
        </w:rPr>
        <w:t xml:space="preserve"> </w:t>
      </w:r>
      <w:r>
        <w:t>assigned</w:t>
      </w:r>
      <w:r>
        <w:rPr>
          <w:spacing w:val="-6"/>
        </w:rPr>
        <w:t xml:space="preserve"> </w:t>
      </w:r>
      <w:r>
        <w:t>to</w:t>
      </w:r>
      <w:r>
        <w:rPr>
          <w:spacing w:val="-6"/>
        </w:rPr>
        <w:t xml:space="preserve"> </w:t>
      </w:r>
      <w:r>
        <w:t>one</w:t>
      </w:r>
      <w:r>
        <w:rPr>
          <w:spacing w:val="-5"/>
        </w:rPr>
        <w:t xml:space="preserve"> </w:t>
      </w:r>
      <w:r>
        <w:t>of</w:t>
      </w:r>
      <w:r>
        <w:rPr>
          <w:spacing w:val="-6"/>
        </w:rPr>
        <w:t xml:space="preserve"> </w:t>
      </w:r>
      <w:r>
        <w:t>four</w:t>
      </w:r>
      <w:r>
        <w:rPr>
          <w:spacing w:val="-6"/>
        </w:rPr>
        <w:t xml:space="preserve"> </w:t>
      </w:r>
      <w:r>
        <w:t>sample</w:t>
      </w:r>
      <w:r>
        <w:rPr>
          <w:spacing w:val="-5"/>
        </w:rPr>
        <w:t xml:space="preserve"> </w:t>
      </w:r>
      <w:r>
        <w:rPr>
          <w:spacing w:val="-2"/>
        </w:rPr>
        <w:t>types:</w:t>
      </w:r>
    </w:p>
    <w:p w:rsidR="003F5784" w14:paraId="2764774D" w14:textId="77777777">
      <w:pPr>
        <w:pStyle w:val="ListParagraph"/>
        <w:numPr>
          <w:ilvl w:val="0"/>
          <w:numId w:val="5"/>
        </w:numPr>
        <w:tabs>
          <w:tab w:val="left" w:pos="629"/>
        </w:tabs>
        <w:spacing w:before="202" w:line="238" w:lineRule="exact"/>
        <w:ind w:left="629" w:hanging="207"/>
        <w:rPr>
          <w:sz w:val="21"/>
        </w:rPr>
      </w:pPr>
      <w:r>
        <w:rPr>
          <w:sz w:val="21"/>
        </w:rPr>
        <w:t>Grades</w:t>
      </w:r>
      <w:r>
        <w:rPr>
          <w:spacing w:val="-6"/>
          <w:sz w:val="21"/>
        </w:rPr>
        <w:t xml:space="preserve"> </w:t>
      </w:r>
      <w:r>
        <w:rPr>
          <w:sz w:val="21"/>
        </w:rPr>
        <w:t>4</w:t>
      </w:r>
      <w:r>
        <w:rPr>
          <w:spacing w:val="-6"/>
          <w:sz w:val="21"/>
        </w:rPr>
        <w:t xml:space="preserve"> </w:t>
      </w:r>
      <w:r>
        <w:rPr>
          <w:sz w:val="21"/>
        </w:rPr>
        <w:t>and</w:t>
      </w:r>
      <w:r>
        <w:rPr>
          <w:spacing w:val="-5"/>
          <w:sz w:val="21"/>
        </w:rPr>
        <w:t xml:space="preserve"> </w:t>
      </w:r>
      <w:r>
        <w:rPr>
          <w:sz w:val="21"/>
        </w:rPr>
        <w:t>8</w:t>
      </w:r>
      <w:r>
        <w:rPr>
          <w:spacing w:val="-6"/>
          <w:sz w:val="21"/>
        </w:rPr>
        <w:t xml:space="preserve"> </w:t>
      </w:r>
      <w:r>
        <w:rPr>
          <w:sz w:val="21"/>
        </w:rPr>
        <w:t>mathematics</w:t>
      </w:r>
      <w:r>
        <w:rPr>
          <w:spacing w:val="-6"/>
          <w:sz w:val="21"/>
        </w:rPr>
        <w:t xml:space="preserve"> </w:t>
      </w:r>
      <w:r>
        <w:rPr>
          <w:sz w:val="21"/>
        </w:rPr>
        <w:t>and</w:t>
      </w:r>
      <w:r>
        <w:rPr>
          <w:spacing w:val="-5"/>
          <w:sz w:val="21"/>
        </w:rPr>
        <w:t xml:space="preserve"> </w:t>
      </w:r>
      <w:r>
        <w:rPr>
          <w:sz w:val="21"/>
        </w:rPr>
        <w:t>reading</w:t>
      </w:r>
      <w:r>
        <w:rPr>
          <w:spacing w:val="-6"/>
          <w:sz w:val="21"/>
        </w:rPr>
        <w:t xml:space="preserve"> </w:t>
      </w:r>
      <w:r>
        <w:rPr>
          <w:sz w:val="21"/>
        </w:rPr>
        <w:t>except</w:t>
      </w:r>
      <w:r>
        <w:rPr>
          <w:spacing w:val="-6"/>
          <w:sz w:val="21"/>
        </w:rPr>
        <w:t xml:space="preserve"> </w:t>
      </w:r>
      <w:r>
        <w:rPr>
          <w:sz w:val="21"/>
        </w:rPr>
        <w:t>Puerto</w:t>
      </w:r>
      <w:r>
        <w:rPr>
          <w:spacing w:val="-5"/>
          <w:sz w:val="21"/>
        </w:rPr>
        <w:t xml:space="preserve"> </w:t>
      </w:r>
      <w:r>
        <w:rPr>
          <w:spacing w:val="-2"/>
          <w:sz w:val="21"/>
        </w:rPr>
        <w:t>Rico,</w:t>
      </w:r>
    </w:p>
    <w:p w:rsidR="003F5784" w14:paraId="54418E7A" w14:textId="77777777">
      <w:pPr>
        <w:pStyle w:val="ListParagraph"/>
        <w:numPr>
          <w:ilvl w:val="0"/>
          <w:numId w:val="5"/>
        </w:numPr>
        <w:tabs>
          <w:tab w:val="left" w:pos="629"/>
        </w:tabs>
        <w:ind w:left="629" w:hanging="207"/>
        <w:rPr>
          <w:sz w:val="21"/>
        </w:rPr>
      </w:pPr>
      <w:r>
        <w:rPr>
          <w:sz w:val="21"/>
        </w:rPr>
        <w:t>Grade</w:t>
      </w:r>
      <w:r>
        <w:rPr>
          <w:spacing w:val="-5"/>
          <w:sz w:val="21"/>
        </w:rPr>
        <w:t xml:space="preserve"> </w:t>
      </w:r>
      <w:r>
        <w:rPr>
          <w:sz w:val="21"/>
        </w:rPr>
        <w:t>8</w:t>
      </w:r>
      <w:r>
        <w:rPr>
          <w:spacing w:val="-5"/>
          <w:sz w:val="21"/>
        </w:rPr>
        <w:t xml:space="preserve"> </w:t>
      </w:r>
      <w:r>
        <w:rPr>
          <w:sz w:val="21"/>
        </w:rPr>
        <w:t>civics</w:t>
      </w:r>
      <w:r>
        <w:rPr>
          <w:spacing w:val="-4"/>
          <w:sz w:val="21"/>
        </w:rPr>
        <w:t xml:space="preserve"> </w:t>
      </w:r>
      <w:r>
        <w:rPr>
          <w:sz w:val="21"/>
        </w:rPr>
        <w:t>and</w:t>
      </w:r>
      <w:r>
        <w:rPr>
          <w:spacing w:val="-5"/>
          <w:sz w:val="21"/>
        </w:rPr>
        <w:t xml:space="preserve"> </w:t>
      </w:r>
      <w:r>
        <w:rPr>
          <w:sz w:val="21"/>
        </w:rPr>
        <w:t>U.S.</w:t>
      </w:r>
      <w:r>
        <w:rPr>
          <w:spacing w:val="-4"/>
          <w:sz w:val="21"/>
        </w:rPr>
        <w:t xml:space="preserve"> </w:t>
      </w:r>
      <w:r>
        <w:rPr>
          <w:spacing w:val="-2"/>
          <w:sz w:val="21"/>
        </w:rPr>
        <w:t>history,</w:t>
      </w:r>
    </w:p>
    <w:p w:rsidR="003F5784" w14:paraId="7203BF6D" w14:textId="77777777">
      <w:pPr>
        <w:pStyle w:val="ListParagraph"/>
        <w:numPr>
          <w:ilvl w:val="0"/>
          <w:numId w:val="5"/>
        </w:numPr>
        <w:tabs>
          <w:tab w:val="left" w:pos="629"/>
        </w:tabs>
        <w:ind w:left="629" w:hanging="207"/>
        <w:rPr>
          <w:sz w:val="21"/>
        </w:rPr>
      </w:pPr>
      <w:r>
        <w:rPr>
          <w:sz w:val="21"/>
        </w:rPr>
        <w:t>Grades</w:t>
      </w:r>
      <w:r>
        <w:rPr>
          <w:spacing w:val="-6"/>
          <w:sz w:val="21"/>
        </w:rPr>
        <w:t xml:space="preserve"> </w:t>
      </w:r>
      <w:r>
        <w:rPr>
          <w:sz w:val="21"/>
        </w:rPr>
        <w:t>4</w:t>
      </w:r>
      <w:r>
        <w:rPr>
          <w:spacing w:val="-6"/>
          <w:sz w:val="21"/>
        </w:rPr>
        <w:t xml:space="preserve"> </w:t>
      </w:r>
      <w:r>
        <w:rPr>
          <w:sz w:val="21"/>
        </w:rPr>
        <w:t>and</w:t>
      </w:r>
      <w:r>
        <w:rPr>
          <w:spacing w:val="-5"/>
          <w:sz w:val="21"/>
        </w:rPr>
        <w:t xml:space="preserve"> </w:t>
      </w:r>
      <w:r>
        <w:rPr>
          <w:sz w:val="21"/>
        </w:rPr>
        <w:t>8</w:t>
      </w:r>
      <w:r>
        <w:rPr>
          <w:spacing w:val="-6"/>
          <w:sz w:val="21"/>
        </w:rPr>
        <w:t xml:space="preserve"> </w:t>
      </w:r>
      <w:r>
        <w:rPr>
          <w:sz w:val="21"/>
        </w:rPr>
        <w:t>mathematics</w:t>
      </w:r>
      <w:r>
        <w:rPr>
          <w:spacing w:val="-6"/>
          <w:sz w:val="21"/>
        </w:rPr>
        <w:t xml:space="preserve"> </w:t>
      </w:r>
      <w:r>
        <w:rPr>
          <w:sz w:val="21"/>
        </w:rPr>
        <w:t>(Puerto</w:t>
      </w:r>
      <w:r>
        <w:rPr>
          <w:spacing w:val="-5"/>
          <w:sz w:val="21"/>
        </w:rPr>
        <w:t xml:space="preserve"> </w:t>
      </w:r>
      <w:r>
        <w:rPr>
          <w:spacing w:val="-2"/>
          <w:sz w:val="21"/>
        </w:rPr>
        <w:t>Rico),</w:t>
      </w:r>
    </w:p>
    <w:p w:rsidR="003F5784" w14:paraId="14D3A206" w14:textId="77777777">
      <w:pPr>
        <w:pStyle w:val="ListParagraph"/>
        <w:numPr>
          <w:ilvl w:val="0"/>
          <w:numId w:val="5"/>
        </w:numPr>
        <w:tabs>
          <w:tab w:val="left" w:pos="629"/>
        </w:tabs>
        <w:spacing w:line="238" w:lineRule="exact"/>
        <w:ind w:left="629" w:hanging="207"/>
        <w:rPr>
          <w:sz w:val="21"/>
        </w:rPr>
      </w:pPr>
      <w:r>
        <w:rPr>
          <w:sz w:val="21"/>
        </w:rPr>
        <w:t>Age</w:t>
      </w:r>
      <w:r>
        <w:rPr>
          <w:spacing w:val="-7"/>
          <w:sz w:val="21"/>
        </w:rPr>
        <w:t xml:space="preserve"> </w:t>
      </w:r>
      <w:r>
        <w:rPr>
          <w:sz w:val="21"/>
        </w:rPr>
        <w:t>9</w:t>
      </w:r>
      <w:r>
        <w:rPr>
          <w:spacing w:val="-6"/>
          <w:sz w:val="21"/>
        </w:rPr>
        <w:t xml:space="preserve"> </w:t>
      </w:r>
      <w:r>
        <w:rPr>
          <w:sz w:val="21"/>
        </w:rPr>
        <w:t>mathematics</w:t>
      </w:r>
      <w:r>
        <w:rPr>
          <w:spacing w:val="-6"/>
          <w:sz w:val="21"/>
        </w:rPr>
        <w:t xml:space="preserve"> </w:t>
      </w:r>
      <w:r>
        <w:rPr>
          <w:sz w:val="21"/>
        </w:rPr>
        <w:t>and</w:t>
      </w:r>
      <w:r>
        <w:rPr>
          <w:spacing w:val="-7"/>
          <w:sz w:val="21"/>
        </w:rPr>
        <w:t xml:space="preserve"> </w:t>
      </w:r>
      <w:r>
        <w:rPr>
          <w:sz w:val="21"/>
        </w:rPr>
        <w:t>reading</w:t>
      </w:r>
      <w:r>
        <w:rPr>
          <w:spacing w:val="-6"/>
          <w:sz w:val="21"/>
        </w:rPr>
        <w:t xml:space="preserve"> </w:t>
      </w:r>
      <w:r>
        <w:rPr>
          <w:sz w:val="21"/>
        </w:rPr>
        <w:t>long-term</w:t>
      </w:r>
      <w:r>
        <w:rPr>
          <w:spacing w:val="-6"/>
          <w:sz w:val="21"/>
        </w:rPr>
        <w:t xml:space="preserve"> </w:t>
      </w:r>
      <w:r>
        <w:rPr>
          <w:sz w:val="21"/>
        </w:rPr>
        <w:t>trend</w:t>
      </w:r>
      <w:r>
        <w:rPr>
          <w:spacing w:val="-7"/>
          <w:sz w:val="21"/>
        </w:rPr>
        <w:t xml:space="preserve"> </w:t>
      </w:r>
      <w:r>
        <w:rPr>
          <w:spacing w:val="-2"/>
          <w:sz w:val="21"/>
        </w:rPr>
        <w:t>(LTT).</w:t>
      </w:r>
    </w:p>
    <w:p w:rsidR="003F5784" w14:paraId="15FB898A" w14:textId="77777777">
      <w:pPr>
        <w:pStyle w:val="BodyText"/>
        <w:spacing w:before="208" w:line="232" w:lineRule="auto"/>
        <w:ind w:left="109"/>
      </w:pPr>
      <w:r>
        <w:t>Students</w:t>
      </w:r>
      <w:r>
        <w:rPr>
          <w:spacing w:val="-6"/>
        </w:rPr>
        <w:t xml:space="preserve"> </w:t>
      </w:r>
      <w:r>
        <w:t>in</w:t>
      </w:r>
      <w:r>
        <w:rPr>
          <w:spacing w:val="-6"/>
        </w:rPr>
        <w:t xml:space="preserve"> </w:t>
      </w:r>
      <w:r>
        <w:t>schools</w:t>
      </w:r>
      <w:r>
        <w:rPr>
          <w:spacing w:val="-6"/>
        </w:rPr>
        <w:t xml:space="preserve"> </w:t>
      </w:r>
      <w:r>
        <w:t>participating</w:t>
      </w:r>
      <w:r>
        <w:rPr>
          <w:spacing w:val="-6"/>
        </w:rPr>
        <w:t xml:space="preserve"> </w:t>
      </w:r>
      <w:r>
        <w:t>in</w:t>
      </w:r>
      <w:r>
        <w:rPr>
          <w:spacing w:val="-6"/>
        </w:rPr>
        <w:t xml:space="preserve"> </w:t>
      </w:r>
      <w:r>
        <w:t>the</w:t>
      </w:r>
      <w:r>
        <w:rPr>
          <w:spacing w:val="-6"/>
        </w:rPr>
        <w:t xml:space="preserve"> </w:t>
      </w:r>
      <w:r>
        <w:t>grades</w:t>
      </w:r>
      <w:r>
        <w:rPr>
          <w:spacing w:val="-6"/>
        </w:rPr>
        <w:t xml:space="preserve"> </w:t>
      </w:r>
      <w:r>
        <w:t>4</w:t>
      </w:r>
      <w:r>
        <w:rPr>
          <w:spacing w:val="-6"/>
        </w:rPr>
        <w:t xml:space="preserve"> </w:t>
      </w:r>
      <w:r>
        <w:t>and</w:t>
      </w:r>
      <w:r>
        <w:rPr>
          <w:spacing w:val="-6"/>
        </w:rPr>
        <w:t xml:space="preserve"> </w:t>
      </w:r>
      <w:r>
        <w:t>8</w:t>
      </w:r>
      <w:r>
        <w:rPr>
          <w:spacing w:val="-6"/>
        </w:rPr>
        <w:t xml:space="preserve"> </w:t>
      </w:r>
      <w:r>
        <w:t>mathematics</w:t>
      </w:r>
      <w:r>
        <w:rPr>
          <w:spacing w:val="-6"/>
        </w:rPr>
        <w:t xml:space="preserve"> </w:t>
      </w:r>
      <w:r>
        <w:t>and</w:t>
      </w:r>
      <w:r>
        <w:rPr>
          <w:spacing w:val="-6"/>
        </w:rPr>
        <w:t xml:space="preserve"> </w:t>
      </w:r>
      <w:r>
        <w:t>reading</w:t>
      </w:r>
      <w:r>
        <w:rPr>
          <w:spacing w:val="-6"/>
        </w:rPr>
        <w:t xml:space="preserve"> </w:t>
      </w:r>
      <w:r>
        <w:t>assessments</w:t>
      </w:r>
      <w:r>
        <w:rPr>
          <w:spacing w:val="-6"/>
        </w:rPr>
        <w:t xml:space="preserve"> </w:t>
      </w:r>
      <w:r>
        <w:t>were</w:t>
      </w:r>
      <w:r>
        <w:rPr>
          <w:spacing w:val="-6"/>
        </w:rPr>
        <w:t xml:space="preserve"> </w:t>
      </w:r>
      <w:r>
        <w:t>assigned</w:t>
      </w:r>
      <w:r>
        <w:rPr>
          <w:spacing w:val="-6"/>
        </w:rPr>
        <w:t xml:space="preserve"> </w:t>
      </w:r>
      <w:r>
        <w:t>to</w:t>
      </w:r>
      <w:r>
        <w:rPr>
          <w:spacing w:val="-6"/>
        </w:rPr>
        <w:t xml:space="preserve"> </w:t>
      </w:r>
      <w:r>
        <w:t>mathematics</w:t>
      </w:r>
      <w:r>
        <w:rPr>
          <w:spacing w:val="-6"/>
        </w:rPr>
        <w:t xml:space="preserve"> </w:t>
      </w:r>
      <w:r>
        <w:t>and</w:t>
      </w:r>
      <w:r>
        <w:rPr>
          <w:spacing w:val="-6"/>
        </w:rPr>
        <w:t xml:space="preserve"> </w:t>
      </w:r>
      <w:r>
        <w:t>reading</w:t>
      </w:r>
      <w:r>
        <w:rPr>
          <w:spacing w:val="-6"/>
        </w:rPr>
        <w:t xml:space="preserve"> </w:t>
      </w:r>
      <w:r>
        <w:t>at</w:t>
      </w:r>
      <w:r>
        <w:rPr>
          <w:spacing w:val="-6"/>
        </w:rPr>
        <w:t xml:space="preserve"> </w:t>
      </w:r>
      <w:r>
        <w:t>the</w:t>
      </w:r>
      <w:r>
        <w:rPr>
          <w:spacing w:val="-6"/>
        </w:rPr>
        <w:t xml:space="preserve"> </w:t>
      </w:r>
      <w:r>
        <w:t>rates</w:t>
      </w:r>
      <w:r>
        <w:rPr>
          <w:spacing w:val="-6"/>
        </w:rPr>
        <w:t xml:space="preserve"> </w:t>
      </w:r>
      <w:r>
        <w:t>of</w:t>
      </w:r>
      <w:r>
        <w:rPr>
          <w:spacing w:val="-6"/>
        </w:rPr>
        <w:t xml:space="preserve"> </w:t>
      </w:r>
      <w:r>
        <w:t>52</w:t>
      </w:r>
      <w:r>
        <w:rPr>
          <w:spacing w:val="-6"/>
        </w:rPr>
        <w:t xml:space="preserve"> </w:t>
      </w:r>
      <w:r>
        <w:t>percent</w:t>
      </w:r>
      <w:r>
        <w:rPr>
          <w:spacing w:val="-6"/>
        </w:rPr>
        <w:t xml:space="preserve"> </w:t>
      </w:r>
      <w:r>
        <w:t>and</w:t>
      </w:r>
      <w:r>
        <w:rPr>
          <w:spacing w:val="-6"/>
        </w:rPr>
        <w:t xml:space="preserve"> </w:t>
      </w:r>
      <w:r>
        <w:t>48</w:t>
      </w:r>
      <w:r>
        <w:rPr>
          <w:spacing w:val="-6"/>
        </w:rPr>
        <w:t xml:space="preserve"> </w:t>
      </w:r>
      <w:r>
        <w:t>percent respectively at grade 4, and 50 percent for each subject at grade 8. Students in schools participating in the grade 8 civics and U.S. history assessments were assigned to civics and U.S. history at the rates of 49 percent and 51 percent respectively. Students in schools participating in the age 9 mathematics and reading assessments were assigned to mathematics and reading at rates of 50 percent for each subject. Puerto Rico had only one operational assessment, so all students in grades 4 and 8 assigned to the operational assessment were assigned to mathematics.</w:t>
      </w:r>
    </w:p>
    <w:p w:rsidR="003F5784" w14:paraId="6DD81FF0" w14:textId="77777777">
      <w:pPr>
        <w:pStyle w:val="BodyText"/>
        <w:spacing w:before="210" w:line="232" w:lineRule="auto"/>
        <w:ind w:left="109" w:right="128"/>
      </w:pPr>
      <w:r>
        <w:t>Overall,</w:t>
      </w:r>
      <w:r>
        <w:rPr>
          <w:spacing w:val="-1"/>
        </w:rPr>
        <w:t xml:space="preserve"> </w:t>
      </w:r>
      <w:r>
        <w:t>the</w:t>
      </w:r>
      <w:r>
        <w:rPr>
          <w:spacing w:val="-1"/>
        </w:rPr>
        <w:t xml:space="preserve"> </w:t>
      </w:r>
      <w:r>
        <w:t>school</w:t>
      </w:r>
      <w:r>
        <w:rPr>
          <w:spacing w:val="-1"/>
        </w:rPr>
        <w:t xml:space="preserve"> </w:t>
      </w:r>
      <w:r>
        <w:t>weights</w:t>
      </w:r>
      <w:r>
        <w:rPr>
          <w:spacing w:val="-1"/>
        </w:rPr>
        <w:t xml:space="preserve"> </w:t>
      </w:r>
      <w:r>
        <w:t>of</w:t>
      </w:r>
      <w:r>
        <w:rPr>
          <w:spacing w:val="-1"/>
        </w:rPr>
        <w:t xml:space="preserve"> </w:t>
      </w:r>
      <w:r>
        <w:t>27</w:t>
      </w:r>
      <w:r>
        <w:rPr>
          <w:spacing w:val="-1"/>
        </w:rPr>
        <w:t xml:space="preserve"> </w:t>
      </w:r>
      <w:r>
        <w:t>of</w:t>
      </w:r>
      <w:r>
        <w:rPr>
          <w:spacing w:val="-1"/>
        </w:rPr>
        <w:t xml:space="preserve"> </w:t>
      </w:r>
      <w:r>
        <w:t>the</w:t>
      </w:r>
      <w:r>
        <w:rPr>
          <w:spacing w:val="-1"/>
        </w:rPr>
        <w:t xml:space="preserve"> </w:t>
      </w:r>
      <w:r>
        <w:t>approximately</w:t>
      </w:r>
      <w:r>
        <w:rPr>
          <w:spacing w:val="-1"/>
        </w:rPr>
        <w:t xml:space="preserve"> </w:t>
      </w:r>
      <w:r>
        <w:t>5,200</w:t>
      </w:r>
      <w:r>
        <w:rPr>
          <w:spacing w:val="-1"/>
        </w:rPr>
        <w:t xml:space="preserve"> </w:t>
      </w:r>
      <w:r>
        <w:t>schools</w:t>
      </w:r>
      <w:r>
        <w:rPr>
          <w:spacing w:val="-1"/>
        </w:rPr>
        <w:t xml:space="preserve"> </w:t>
      </w:r>
      <w:r>
        <w:t>participating</w:t>
      </w:r>
      <w:r>
        <w:rPr>
          <w:spacing w:val="-1"/>
        </w:rPr>
        <w:t xml:space="preserve"> </w:t>
      </w:r>
      <w:r>
        <w:t>in</w:t>
      </w:r>
      <w:r>
        <w:rPr>
          <w:spacing w:val="-1"/>
        </w:rPr>
        <w:t xml:space="preserve"> </w:t>
      </w:r>
      <w:r>
        <w:t>the</w:t>
      </w:r>
      <w:r>
        <w:rPr>
          <w:spacing w:val="-1"/>
        </w:rPr>
        <w:t xml:space="preserve"> </w:t>
      </w:r>
      <w:r>
        <w:t>grade</w:t>
      </w:r>
      <w:r>
        <w:rPr>
          <w:spacing w:val="-1"/>
        </w:rPr>
        <w:t xml:space="preserve"> </w:t>
      </w:r>
      <w:r>
        <w:t>4</w:t>
      </w:r>
      <w:r>
        <w:rPr>
          <w:spacing w:val="-1"/>
        </w:rPr>
        <w:t xml:space="preserve"> </w:t>
      </w:r>
      <w:r>
        <w:t>mathematics</w:t>
      </w:r>
      <w:r>
        <w:rPr>
          <w:spacing w:val="-1"/>
        </w:rPr>
        <w:t xml:space="preserve"> </w:t>
      </w:r>
      <w:r>
        <w:t>and</w:t>
      </w:r>
      <w:r>
        <w:rPr>
          <w:spacing w:val="-1"/>
        </w:rPr>
        <w:t xml:space="preserve"> </w:t>
      </w:r>
      <w:r>
        <w:t>reading</w:t>
      </w:r>
      <w:r>
        <w:rPr>
          <w:spacing w:val="-1"/>
        </w:rPr>
        <w:t xml:space="preserve"> </w:t>
      </w:r>
      <w:r>
        <w:t>assessment</w:t>
      </w:r>
      <w:r>
        <w:rPr>
          <w:spacing w:val="-1"/>
        </w:rPr>
        <w:t xml:space="preserve"> </w:t>
      </w:r>
      <w:r>
        <w:t>sample</w:t>
      </w:r>
      <w:r>
        <w:rPr>
          <w:spacing w:val="-1"/>
        </w:rPr>
        <w:t xml:space="preserve"> </w:t>
      </w:r>
      <w:r>
        <w:t>were</w:t>
      </w:r>
      <w:r>
        <w:rPr>
          <w:spacing w:val="-1"/>
        </w:rPr>
        <w:t xml:space="preserve"> </w:t>
      </w:r>
      <w:r>
        <w:t>adjusted</w:t>
      </w:r>
      <w:r>
        <w:rPr>
          <w:spacing w:val="-1"/>
        </w:rPr>
        <w:t xml:space="preserve"> </w:t>
      </w:r>
      <w:r>
        <w:t>to</w:t>
      </w:r>
      <w:r>
        <w:rPr>
          <w:spacing w:val="-1"/>
        </w:rPr>
        <w:t xml:space="preserve"> </w:t>
      </w:r>
      <w:r>
        <w:t>compensate</w:t>
      </w:r>
      <w:r>
        <w:rPr>
          <w:spacing w:val="-1"/>
        </w:rPr>
        <w:t xml:space="preserve"> </w:t>
      </w:r>
      <w:r>
        <w:t>for schools</w:t>
      </w:r>
      <w:r>
        <w:rPr>
          <w:spacing w:val="-3"/>
        </w:rPr>
        <w:t xml:space="preserve"> </w:t>
      </w:r>
      <w:r>
        <w:t>that</w:t>
      </w:r>
      <w:r>
        <w:rPr>
          <w:spacing w:val="-3"/>
        </w:rPr>
        <w:t xml:space="preserve"> </w:t>
      </w:r>
      <w:r>
        <w:t>were</w:t>
      </w:r>
      <w:r>
        <w:rPr>
          <w:spacing w:val="-3"/>
        </w:rPr>
        <w:t xml:space="preserve"> </w:t>
      </w:r>
      <w:r>
        <w:t>too</w:t>
      </w:r>
      <w:r>
        <w:rPr>
          <w:spacing w:val="-3"/>
        </w:rPr>
        <w:t xml:space="preserve"> </w:t>
      </w:r>
      <w:r>
        <w:t>small</w:t>
      </w:r>
      <w:r>
        <w:rPr>
          <w:spacing w:val="-3"/>
        </w:rPr>
        <w:t xml:space="preserve"> </w:t>
      </w:r>
      <w:r>
        <w:t>to</w:t>
      </w:r>
      <w:r>
        <w:rPr>
          <w:spacing w:val="-3"/>
        </w:rPr>
        <w:t xml:space="preserve"> </w:t>
      </w:r>
      <w:r>
        <w:t>take</w:t>
      </w:r>
      <w:r>
        <w:rPr>
          <w:spacing w:val="-3"/>
        </w:rPr>
        <w:t xml:space="preserve"> </w:t>
      </w:r>
      <w:r>
        <w:t>part</w:t>
      </w:r>
      <w:r>
        <w:rPr>
          <w:spacing w:val="-3"/>
        </w:rPr>
        <w:t xml:space="preserve"> </w:t>
      </w:r>
      <w:r>
        <w:t>only</w:t>
      </w:r>
      <w:r>
        <w:rPr>
          <w:spacing w:val="-3"/>
        </w:rPr>
        <w:t xml:space="preserve"> </w:t>
      </w:r>
      <w:r>
        <w:t>in</w:t>
      </w:r>
      <w:r>
        <w:rPr>
          <w:spacing w:val="-3"/>
        </w:rPr>
        <w:t xml:space="preserve"> </w:t>
      </w:r>
      <w:r>
        <w:t>mathematics</w:t>
      </w:r>
      <w:r>
        <w:rPr>
          <w:spacing w:val="-3"/>
        </w:rPr>
        <w:t xml:space="preserve"> </w:t>
      </w:r>
      <w:r>
        <w:t>or</w:t>
      </w:r>
      <w:r>
        <w:rPr>
          <w:spacing w:val="-3"/>
        </w:rPr>
        <w:t xml:space="preserve"> </w:t>
      </w:r>
      <w:r>
        <w:t>only</w:t>
      </w:r>
      <w:r>
        <w:rPr>
          <w:spacing w:val="-3"/>
        </w:rPr>
        <w:t xml:space="preserve"> </w:t>
      </w:r>
      <w:r>
        <w:t>in</w:t>
      </w:r>
      <w:r>
        <w:rPr>
          <w:spacing w:val="-3"/>
        </w:rPr>
        <w:t xml:space="preserve"> </w:t>
      </w:r>
      <w:r>
        <w:t>reading.</w:t>
      </w:r>
      <w:r>
        <w:rPr>
          <w:spacing w:val="-7"/>
        </w:rPr>
        <w:t xml:space="preserve"> </w:t>
      </w:r>
      <w:r>
        <w:t>The</w:t>
      </w:r>
      <w:r>
        <w:rPr>
          <w:spacing w:val="-3"/>
        </w:rPr>
        <w:t xml:space="preserve"> </w:t>
      </w:r>
      <w:r>
        <w:t>small-school</w:t>
      </w:r>
      <w:r>
        <w:rPr>
          <w:spacing w:val="-3"/>
        </w:rPr>
        <w:t xml:space="preserve"> </w:t>
      </w:r>
      <w:r>
        <w:t>adjustment</w:t>
      </w:r>
      <w:r>
        <w:rPr>
          <w:spacing w:val="-3"/>
        </w:rPr>
        <w:t xml:space="preserve"> </w:t>
      </w:r>
      <w:r>
        <w:t>factors</w:t>
      </w:r>
      <w:r>
        <w:rPr>
          <w:spacing w:val="-3"/>
        </w:rPr>
        <w:t xml:space="preserve"> </w:t>
      </w:r>
      <w:r>
        <w:t>ranged</w:t>
      </w:r>
      <w:r>
        <w:rPr>
          <w:spacing w:val="-3"/>
        </w:rPr>
        <w:t xml:space="preserve"> </w:t>
      </w:r>
      <w:r>
        <w:t>from</w:t>
      </w:r>
      <w:r>
        <w:rPr>
          <w:spacing w:val="-3"/>
        </w:rPr>
        <w:t xml:space="preserve"> </w:t>
      </w:r>
      <w:r>
        <w:t>1.03</w:t>
      </w:r>
      <w:r>
        <w:rPr>
          <w:spacing w:val="-3"/>
        </w:rPr>
        <w:t xml:space="preserve"> </w:t>
      </w:r>
      <w:r>
        <w:t>to</w:t>
      </w:r>
      <w:r>
        <w:rPr>
          <w:spacing w:val="-3"/>
        </w:rPr>
        <w:t xml:space="preserve"> </w:t>
      </w:r>
      <w:r>
        <w:t>2.07.</w:t>
      </w:r>
      <w:r>
        <w:rPr>
          <w:spacing w:val="-3"/>
        </w:rPr>
        <w:t xml:space="preserve"> </w:t>
      </w:r>
      <w:r>
        <w:t>For</w:t>
      </w:r>
      <w:r>
        <w:rPr>
          <w:spacing w:val="-3"/>
        </w:rPr>
        <w:t xml:space="preserve"> </w:t>
      </w:r>
      <w:r>
        <w:t>the</w:t>
      </w:r>
      <w:r>
        <w:rPr>
          <w:spacing w:val="-3"/>
        </w:rPr>
        <w:t xml:space="preserve"> </w:t>
      </w:r>
      <w:r>
        <w:t>grade</w:t>
      </w:r>
      <w:r>
        <w:rPr>
          <w:spacing w:val="-3"/>
        </w:rPr>
        <w:t xml:space="preserve"> </w:t>
      </w:r>
      <w:r>
        <w:t>8</w:t>
      </w:r>
      <w:r>
        <w:rPr>
          <w:spacing w:val="-3"/>
        </w:rPr>
        <w:t xml:space="preserve"> </w:t>
      </w:r>
      <w:r>
        <w:t>mathematics</w:t>
      </w:r>
      <w:r>
        <w:rPr>
          <w:spacing w:val="-3"/>
        </w:rPr>
        <w:t xml:space="preserve"> </w:t>
      </w:r>
      <w:r>
        <w:t>and reading</w:t>
      </w:r>
      <w:r>
        <w:rPr>
          <w:spacing w:val="-6"/>
        </w:rPr>
        <w:t xml:space="preserve"> </w:t>
      </w:r>
      <w:r>
        <w:t>assessment</w:t>
      </w:r>
      <w:r>
        <w:rPr>
          <w:spacing w:val="-6"/>
        </w:rPr>
        <w:t xml:space="preserve"> </w:t>
      </w:r>
      <w:r>
        <w:t>sample,</w:t>
      </w:r>
      <w:r>
        <w:rPr>
          <w:spacing w:val="-6"/>
        </w:rPr>
        <w:t xml:space="preserve"> </w:t>
      </w:r>
      <w:r>
        <w:t>seven</w:t>
      </w:r>
      <w:r>
        <w:rPr>
          <w:spacing w:val="-6"/>
        </w:rPr>
        <w:t xml:space="preserve"> </w:t>
      </w:r>
      <w:r>
        <w:t>of</w:t>
      </w:r>
      <w:r>
        <w:rPr>
          <w:spacing w:val="-6"/>
        </w:rPr>
        <w:t xml:space="preserve"> </w:t>
      </w:r>
      <w:r>
        <w:t>5,200</w:t>
      </w:r>
      <w:r>
        <w:rPr>
          <w:spacing w:val="-6"/>
        </w:rPr>
        <w:t xml:space="preserve"> </w:t>
      </w:r>
      <w:r>
        <w:t>schools</w:t>
      </w:r>
      <w:r>
        <w:rPr>
          <w:spacing w:val="-6"/>
        </w:rPr>
        <w:t xml:space="preserve"> </w:t>
      </w:r>
      <w:r>
        <w:t>had</w:t>
      </w:r>
      <w:r>
        <w:rPr>
          <w:spacing w:val="-6"/>
        </w:rPr>
        <w:t xml:space="preserve"> </w:t>
      </w:r>
      <w:r>
        <w:t>their</w:t>
      </w:r>
      <w:r>
        <w:rPr>
          <w:spacing w:val="-6"/>
        </w:rPr>
        <w:t xml:space="preserve"> </w:t>
      </w:r>
      <w:r>
        <w:t>school</w:t>
      </w:r>
      <w:r>
        <w:rPr>
          <w:spacing w:val="-6"/>
        </w:rPr>
        <w:t xml:space="preserve"> </w:t>
      </w:r>
      <w:r>
        <w:t>weights</w:t>
      </w:r>
      <w:r>
        <w:rPr>
          <w:spacing w:val="-6"/>
        </w:rPr>
        <w:t xml:space="preserve"> </w:t>
      </w:r>
      <w:r>
        <w:t>adjusted</w:t>
      </w:r>
      <w:r>
        <w:rPr>
          <w:spacing w:val="-6"/>
        </w:rPr>
        <w:t xml:space="preserve"> </w:t>
      </w:r>
      <w:r>
        <w:t>to</w:t>
      </w:r>
      <w:r>
        <w:rPr>
          <w:spacing w:val="-6"/>
        </w:rPr>
        <w:t xml:space="preserve"> </w:t>
      </w:r>
      <w:r>
        <w:t>compensate</w:t>
      </w:r>
      <w:r>
        <w:rPr>
          <w:spacing w:val="-6"/>
        </w:rPr>
        <w:t xml:space="preserve"> </w:t>
      </w:r>
      <w:r>
        <w:t>for</w:t>
      </w:r>
      <w:r>
        <w:rPr>
          <w:spacing w:val="-6"/>
        </w:rPr>
        <w:t xml:space="preserve"> </w:t>
      </w:r>
      <w:r>
        <w:t>their</w:t>
      </w:r>
      <w:r>
        <w:rPr>
          <w:spacing w:val="-6"/>
        </w:rPr>
        <w:t xml:space="preserve"> </w:t>
      </w:r>
      <w:r>
        <w:t>size.</w:t>
      </w:r>
      <w:r>
        <w:rPr>
          <w:spacing w:val="-10"/>
        </w:rPr>
        <w:t xml:space="preserve"> </w:t>
      </w:r>
      <w:r>
        <w:t>The</w:t>
      </w:r>
      <w:r>
        <w:rPr>
          <w:spacing w:val="-6"/>
        </w:rPr>
        <w:t xml:space="preserve"> </w:t>
      </w:r>
      <w:r>
        <w:t>small-school</w:t>
      </w:r>
      <w:r>
        <w:rPr>
          <w:spacing w:val="-6"/>
        </w:rPr>
        <w:t xml:space="preserve"> </w:t>
      </w:r>
      <w:r>
        <w:t>adjustment</w:t>
      </w:r>
      <w:r>
        <w:rPr>
          <w:spacing w:val="-6"/>
        </w:rPr>
        <w:t xml:space="preserve"> </w:t>
      </w:r>
      <w:r>
        <w:t>factor</w:t>
      </w:r>
      <w:r>
        <w:rPr>
          <w:spacing w:val="-6"/>
        </w:rPr>
        <w:t xml:space="preserve"> </w:t>
      </w:r>
      <w:r>
        <w:t>was</w:t>
      </w:r>
      <w:r>
        <w:rPr>
          <w:spacing w:val="-6"/>
        </w:rPr>
        <w:t xml:space="preserve"> </w:t>
      </w:r>
      <w:r>
        <w:t>2.00.</w:t>
      </w:r>
      <w:r>
        <w:rPr>
          <w:spacing w:val="-6"/>
        </w:rPr>
        <w:t xml:space="preserve"> </w:t>
      </w:r>
      <w:r>
        <w:t>Only</w:t>
      </w:r>
      <w:r>
        <w:rPr>
          <w:spacing w:val="-6"/>
        </w:rPr>
        <w:t xml:space="preserve"> </w:t>
      </w:r>
      <w:r>
        <w:t>one</w:t>
      </w:r>
      <w:r>
        <w:rPr>
          <w:spacing w:val="-6"/>
        </w:rPr>
        <w:t xml:space="preserve"> </w:t>
      </w:r>
      <w:r>
        <w:t>out</w:t>
      </w:r>
      <w:r>
        <w:rPr>
          <w:spacing w:val="-6"/>
        </w:rPr>
        <w:t xml:space="preserve"> </w:t>
      </w:r>
      <w:r>
        <w:t>of 400 schools had its school weight adjusted for the LTT</w:t>
      </w:r>
      <w:r>
        <w:rPr>
          <w:spacing w:val="-4"/>
        </w:rPr>
        <w:t xml:space="preserve"> </w:t>
      </w:r>
      <w:r>
        <w:t>assessments in mathematics and reading to account for schools that were too small to participate in both subjects.</w:t>
      </w:r>
      <w:r>
        <w:rPr>
          <w:spacing w:val="-4"/>
        </w:rPr>
        <w:t xml:space="preserve"> </w:t>
      </w:r>
      <w:r>
        <w:t>The small-school adjustment factor of 2 was used. For the assessment sample in civics and U.S. history at grade 8, the adjustment factor was set equal to 1 for all schools.</w:t>
      </w:r>
    </w:p>
    <w:p w:rsidR="003F5784" w14:paraId="174E2BDB" w14:textId="77777777">
      <w:pPr>
        <w:pStyle w:val="BodyText"/>
      </w:pPr>
    </w:p>
    <w:p w:rsidR="003F5784" w14:paraId="2CF5392A" w14:textId="77777777">
      <w:pPr>
        <w:pStyle w:val="BodyText"/>
      </w:pPr>
    </w:p>
    <w:p w:rsidR="003F5784" w14:paraId="569EDA78" w14:textId="77777777">
      <w:pPr>
        <w:pStyle w:val="BodyText"/>
      </w:pPr>
    </w:p>
    <w:p w:rsidR="003F5784" w14:paraId="2730221C" w14:textId="77777777">
      <w:pPr>
        <w:pStyle w:val="BodyText"/>
        <w:spacing w:before="139"/>
      </w:pPr>
    </w:p>
    <w:p w:rsidR="003F5784" w14:paraId="7C9950F4" w14:textId="77777777">
      <w:pPr>
        <w:spacing w:before="1"/>
        <w:ind w:left="4655"/>
        <w:rPr>
          <w:sz w:val="18"/>
        </w:rPr>
      </w:pPr>
      <w:hyperlink r:id="rId381">
        <w:r>
          <w:rPr>
            <w:spacing w:val="-2"/>
            <w:w w:val="105"/>
            <w:sz w:val="18"/>
          </w:rPr>
          <w:t>http://nces.ed.gov/nationsreportcard/tdw/weighting/2022/computation_of_full_sample_school_weights_for_the_2022_assessment.aspx</w:t>
        </w:r>
      </w:hyperlink>
    </w:p>
    <w:p w:rsidR="003F5784" w14:paraId="20C3971B" w14:textId="77777777">
      <w:pPr>
        <w:pStyle w:val="BodyText"/>
        <w:rPr>
          <w:sz w:val="16"/>
        </w:rPr>
      </w:pPr>
      <w:r>
        <w:rPr>
          <w:noProof/>
        </w:rPr>
        <mc:AlternateContent>
          <mc:Choice Requires="wps">
            <w:drawing>
              <wp:anchor distT="0" distB="0" distL="0" distR="0" simplePos="0" relativeHeight="251968512" behindDoc="1" locked="0" layoutInCell="1" allowOverlap="1">
                <wp:simplePos x="0" y="0"/>
                <wp:positionH relativeFrom="page">
                  <wp:posOffset>361937</wp:posOffset>
                </wp:positionH>
                <wp:positionV relativeFrom="paragraph">
                  <wp:posOffset>132016</wp:posOffset>
                </wp:positionV>
                <wp:extent cx="9339580" cy="8890"/>
                <wp:effectExtent l="0" t="0" r="0" b="0"/>
                <wp:wrapTopAndBottom/>
                <wp:docPr id="486" name="Graphic 48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80"/>
                              </a:lnTo>
                              <a:lnTo>
                                <a:pt x="9335110" y="8305"/>
                              </a:lnTo>
                              <a:lnTo>
                                <a:pt x="9338970" y="8305"/>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486" o:spid="_x0000_s1166" style="width:735.4pt;height:0.7pt;margin-top:10.4pt;margin-left:28.5pt;mso-position-horizontal-relative:page;mso-wrap-distance-bottom:0;mso-wrap-distance-left:0;mso-wrap-distance-right:0;mso-wrap-distance-top:0;mso-wrap-style:square;position:absolute;visibility:visible;v-text-anchor:top;z-index:-251346944" coordsize="9339580,8890" path="m9338970,25l9335110,25l8280,25,,,,8280l9335110,8305l9338970,8305l9338970,25xe" fillcolor="gray" stroked="f">
                <v:path arrowok="t"/>
                <w10:wrap type="topAndBottom"/>
              </v:shape>
            </w:pict>
          </mc:Fallback>
        </mc:AlternateContent>
      </w:r>
    </w:p>
    <w:p w:rsidR="003F5784" w14:paraId="0A88A108" w14:textId="77777777">
      <w:pPr>
        <w:rPr>
          <w:sz w:val="16"/>
        </w:rPr>
        <w:sectPr>
          <w:type w:val="continuous"/>
          <w:pgSz w:w="15840" w:h="12240" w:orient="landscape"/>
          <w:pgMar w:top="480" w:right="440" w:bottom="460" w:left="460" w:header="284" w:footer="275" w:gutter="0"/>
          <w:cols w:space="720"/>
        </w:sectPr>
      </w:pPr>
    </w:p>
    <w:p w:rsidR="003F5784" w14:paraId="3696688E" w14:textId="77777777">
      <w:pPr>
        <w:pStyle w:val="BodyText"/>
        <w:spacing w:before="118"/>
        <w:rPr>
          <w:sz w:val="41"/>
        </w:rPr>
      </w:pPr>
    </w:p>
    <w:p w:rsidR="003F5784" w14:paraId="4335CF5A" w14:textId="7B97F52A">
      <w:pPr>
        <w:pStyle w:val="Heading1"/>
      </w:pPr>
      <w:r>
        <w:t>NAEP</w:t>
      </w:r>
      <w:r>
        <w:rPr>
          <w:spacing w:val="-20"/>
        </w:rPr>
        <w:t xml:space="preserve"> </w:t>
      </w:r>
      <w:r>
        <w:t>Technical</w:t>
      </w:r>
      <w:r>
        <w:rPr>
          <w:spacing w:val="15"/>
        </w:rPr>
        <w:t xml:space="preserve"> </w:t>
      </w:r>
      <w:r>
        <w:t>Documentation</w:t>
      </w:r>
      <w:r w:rsidR="00E3225D">
        <w:t xml:space="preserve"> </w:t>
      </w:r>
      <w:r>
        <w:t>Computation</w:t>
      </w:r>
      <w:r>
        <w:rPr>
          <w:spacing w:val="15"/>
        </w:rPr>
        <w:t xml:space="preserve"> </w:t>
      </w:r>
      <w:r>
        <w:t>of</w:t>
      </w:r>
      <w:r>
        <w:rPr>
          <w:spacing w:val="15"/>
        </w:rPr>
        <w:t xml:space="preserve"> </w:t>
      </w:r>
      <w:r>
        <w:t>Full-Sample</w:t>
      </w:r>
      <w:r>
        <w:rPr>
          <w:spacing w:val="15"/>
        </w:rPr>
        <w:t xml:space="preserve"> </w:t>
      </w:r>
      <w:r>
        <w:t>Student</w:t>
      </w:r>
      <w:r>
        <w:rPr>
          <w:spacing w:val="6"/>
        </w:rPr>
        <w:t xml:space="preserve"> </w:t>
      </w:r>
      <w:r>
        <w:rPr>
          <w:spacing w:val="-2"/>
        </w:rPr>
        <w:t>Weights</w:t>
      </w:r>
    </w:p>
    <w:p w:rsidR="003F5784" w14:paraId="02607947" w14:textId="77777777">
      <w:pPr>
        <w:pStyle w:val="BodyText"/>
        <w:spacing w:before="3"/>
        <w:rPr>
          <w:b/>
          <w:sz w:val="17"/>
        </w:rPr>
      </w:pPr>
    </w:p>
    <w:p w:rsidR="003F5784" w14:paraId="4A195A81" w14:textId="77777777">
      <w:pPr>
        <w:rPr>
          <w:sz w:val="17"/>
        </w:rPr>
        <w:sectPr>
          <w:pgSz w:w="15840" w:h="12240" w:orient="landscape"/>
          <w:pgMar w:top="480" w:right="440" w:bottom="460" w:left="460" w:header="284" w:footer="275" w:gutter="0"/>
          <w:cols w:space="720"/>
        </w:sectPr>
      </w:pPr>
    </w:p>
    <w:p w:rsidR="003F5784" w14:paraId="49B1EC2B" w14:textId="77777777">
      <w:pPr>
        <w:pStyle w:val="BodyText"/>
        <w:spacing w:before="96" w:line="232" w:lineRule="auto"/>
        <w:ind w:left="109" w:right="5"/>
      </w:pPr>
      <w:r>
        <w:t>The</w:t>
      </w:r>
      <w:r>
        <w:rPr>
          <w:spacing w:val="-7"/>
        </w:rPr>
        <w:t xml:space="preserve"> </w:t>
      </w:r>
      <w:r>
        <w:t>full-sample</w:t>
      </w:r>
      <w:r>
        <w:rPr>
          <w:spacing w:val="-6"/>
        </w:rPr>
        <w:t xml:space="preserve"> </w:t>
      </w:r>
      <w:r>
        <w:t>or</w:t>
      </w:r>
      <w:r>
        <w:rPr>
          <w:spacing w:val="-6"/>
        </w:rPr>
        <w:t xml:space="preserve"> </w:t>
      </w:r>
      <w:r>
        <w:t>final</w:t>
      </w:r>
      <w:r>
        <w:rPr>
          <w:spacing w:val="-6"/>
        </w:rPr>
        <w:t xml:space="preserve"> </w:t>
      </w:r>
      <w:r>
        <w:t>student</w:t>
      </w:r>
      <w:r>
        <w:rPr>
          <w:spacing w:val="-6"/>
        </w:rPr>
        <w:t xml:space="preserve"> </w:t>
      </w:r>
      <w:r>
        <w:t>weight</w:t>
      </w:r>
      <w:r>
        <w:rPr>
          <w:spacing w:val="-6"/>
        </w:rPr>
        <w:t xml:space="preserve"> </w:t>
      </w:r>
      <w:r>
        <w:t>is</w:t>
      </w:r>
      <w:r>
        <w:rPr>
          <w:spacing w:val="-6"/>
        </w:rPr>
        <w:t xml:space="preserve"> </w:t>
      </w:r>
      <w:r>
        <w:t>the</w:t>
      </w:r>
      <w:r>
        <w:rPr>
          <w:spacing w:val="-6"/>
        </w:rPr>
        <w:t xml:space="preserve"> </w:t>
      </w:r>
      <w:r>
        <w:t>sampling</w:t>
      </w:r>
      <w:r>
        <w:rPr>
          <w:spacing w:val="-6"/>
        </w:rPr>
        <w:t xml:space="preserve"> </w:t>
      </w:r>
      <w:r>
        <w:t>weight</w:t>
      </w:r>
      <w:r>
        <w:rPr>
          <w:spacing w:val="-6"/>
        </w:rPr>
        <w:t xml:space="preserve"> </w:t>
      </w:r>
      <w:r>
        <w:t>used</w:t>
      </w:r>
      <w:r>
        <w:rPr>
          <w:spacing w:val="-6"/>
        </w:rPr>
        <w:t xml:space="preserve"> </w:t>
      </w:r>
      <w:r>
        <w:t>to</w:t>
      </w:r>
      <w:r>
        <w:rPr>
          <w:spacing w:val="-6"/>
        </w:rPr>
        <w:t xml:space="preserve"> </w:t>
      </w:r>
      <w:r>
        <w:t>derive</w:t>
      </w:r>
      <w:r>
        <w:rPr>
          <w:spacing w:val="-6"/>
        </w:rPr>
        <w:t xml:space="preserve"> </w:t>
      </w:r>
      <w:r>
        <w:t>NAEP</w:t>
      </w:r>
      <w:r>
        <w:rPr>
          <w:spacing w:val="-14"/>
        </w:rPr>
        <w:t xml:space="preserve"> </w:t>
      </w:r>
      <w:r>
        <w:t>student</w:t>
      </w:r>
      <w:r>
        <w:rPr>
          <w:spacing w:val="-6"/>
        </w:rPr>
        <w:t xml:space="preserve"> </w:t>
      </w:r>
      <w:r>
        <w:t>estimates</w:t>
      </w:r>
      <w:r>
        <w:rPr>
          <w:spacing w:val="-6"/>
        </w:rPr>
        <w:t xml:space="preserve"> </w:t>
      </w:r>
      <w:r>
        <w:t>of</w:t>
      </w:r>
      <w:r>
        <w:rPr>
          <w:spacing w:val="-6"/>
        </w:rPr>
        <w:t xml:space="preserve"> </w:t>
      </w:r>
      <w:r>
        <w:t>population</w:t>
      </w:r>
      <w:r>
        <w:rPr>
          <w:spacing w:val="-6"/>
        </w:rPr>
        <w:t xml:space="preserve"> </w:t>
      </w:r>
      <w:r>
        <w:t>and subpopulation characteristics for a specified grade (4 or 8) or age (9 or 13) and assessment subject (civics,</w:t>
      </w:r>
    </w:p>
    <w:p w:rsidR="003F5784" w14:paraId="49BE0E47" w14:textId="77777777">
      <w:pPr>
        <w:pStyle w:val="BodyText"/>
        <w:spacing w:before="1" w:line="232" w:lineRule="auto"/>
        <w:ind w:left="109" w:right="5"/>
      </w:pPr>
      <w:r>
        <w:t>mathematics, reading, or U.S. history).</w:t>
      </w:r>
      <w:r>
        <w:rPr>
          <w:spacing w:val="-1"/>
        </w:rPr>
        <w:t xml:space="preserve"> </w:t>
      </w:r>
      <w:r>
        <w:t>The full-sample student weight reflects the number of students in the population that the sampled</w:t>
      </w:r>
      <w:r>
        <w:rPr>
          <w:spacing w:val="-7"/>
        </w:rPr>
        <w:t xml:space="preserve"> </w:t>
      </w:r>
      <w:r>
        <w:t>student</w:t>
      </w:r>
      <w:r>
        <w:rPr>
          <w:spacing w:val="-7"/>
        </w:rPr>
        <w:t xml:space="preserve"> </w:t>
      </w:r>
      <w:r>
        <w:t>represents</w:t>
      </w:r>
      <w:r>
        <w:rPr>
          <w:spacing w:val="-7"/>
        </w:rPr>
        <w:t xml:space="preserve"> </w:t>
      </w:r>
      <w:r>
        <w:t>for</w:t>
      </w:r>
      <w:r>
        <w:rPr>
          <w:spacing w:val="-7"/>
        </w:rPr>
        <w:t xml:space="preserve"> </w:t>
      </w:r>
      <w:r>
        <w:t>purposes</w:t>
      </w:r>
      <w:r>
        <w:rPr>
          <w:spacing w:val="-7"/>
        </w:rPr>
        <w:t xml:space="preserve"> </w:t>
      </w:r>
      <w:r>
        <w:t>of</w:t>
      </w:r>
      <w:r>
        <w:rPr>
          <w:spacing w:val="-7"/>
        </w:rPr>
        <w:t xml:space="preserve"> </w:t>
      </w:r>
      <w:r>
        <w:t>estimation.</w:t>
      </w:r>
      <w:r>
        <w:rPr>
          <w:spacing w:val="-10"/>
        </w:rPr>
        <w:t xml:space="preserve"> </w:t>
      </w:r>
      <w:r>
        <w:t>The</w:t>
      </w:r>
      <w:r>
        <w:rPr>
          <w:spacing w:val="-7"/>
        </w:rPr>
        <w:t xml:space="preserve"> </w:t>
      </w:r>
      <w:r>
        <w:t>summation</w:t>
      </w:r>
      <w:r>
        <w:rPr>
          <w:spacing w:val="-7"/>
        </w:rPr>
        <w:t xml:space="preserve"> </w:t>
      </w:r>
      <w:r>
        <w:t>of</w:t>
      </w:r>
      <w:r>
        <w:rPr>
          <w:spacing w:val="-7"/>
        </w:rPr>
        <w:t xml:space="preserve"> </w:t>
      </w:r>
      <w:r>
        <w:t>the</w:t>
      </w:r>
      <w:r>
        <w:rPr>
          <w:spacing w:val="-7"/>
        </w:rPr>
        <w:t xml:space="preserve"> </w:t>
      </w:r>
      <w:r>
        <w:t>final</w:t>
      </w:r>
      <w:r>
        <w:rPr>
          <w:spacing w:val="-7"/>
        </w:rPr>
        <w:t xml:space="preserve"> </w:t>
      </w:r>
      <w:r>
        <w:t>student</w:t>
      </w:r>
      <w:r>
        <w:rPr>
          <w:spacing w:val="-7"/>
        </w:rPr>
        <w:t xml:space="preserve"> </w:t>
      </w:r>
      <w:r>
        <w:t>weights</w:t>
      </w:r>
      <w:r>
        <w:rPr>
          <w:spacing w:val="-7"/>
        </w:rPr>
        <w:t xml:space="preserve"> </w:t>
      </w:r>
      <w:r>
        <w:t>over</w:t>
      </w:r>
      <w:r>
        <w:rPr>
          <w:spacing w:val="-7"/>
        </w:rPr>
        <w:t xml:space="preserve"> </w:t>
      </w:r>
      <w:r>
        <w:t>a</w:t>
      </w:r>
      <w:r>
        <w:rPr>
          <w:spacing w:val="-7"/>
        </w:rPr>
        <w:t xml:space="preserve"> </w:t>
      </w:r>
      <w:r>
        <w:t>particular</w:t>
      </w:r>
      <w:r>
        <w:rPr>
          <w:spacing w:val="-7"/>
        </w:rPr>
        <w:t xml:space="preserve"> </w:t>
      </w:r>
      <w:r>
        <w:t>student</w:t>
      </w:r>
      <w:r>
        <w:rPr>
          <w:spacing w:val="-7"/>
        </w:rPr>
        <w:t xml:space="preserve"> </w:t>
      </w:r>
      <w:r>
        <w:t>group provides an estimate of the total number of students in that group within the population.</w:t>
      </w:r>
    </w:p>
    <w:p w:rsidR="003F5784" w14:paraId="1B369FC6" w14:textId="77777777">
      <w:pPr>
        <w:pStyle w:val="BodyText"/>
        <w:spacing w:before="209" w:line="232" w:lineRule="auto"/>
        <w:ind w:left="109" w:right="5"/>
      </w:pPr>
      <w:r>
        <w:t>The full-sample weight, which is used to produce survey estimates, is distinct from a replicate weight that is used to estimate variances</w:t>
      </w:r>
      <w:r>
        <w:rPr>
          <w:spacing w:val="-7"/>
        </w:rPr>
        <w:t xml:space="preserve"> </w:t>
      </w:r>
      <w:r>
        <w:t>of</w:t>
      </w:r>
      <w:r>
        <w:rPr>
          <w:spacing w:val="-7"/>
        </w:rPr>
        <w:t xml:space="preserve"> </w:t>
      </w:r>
      <w:r>
        <w:t>survey</w:t>
      </w:r>
      <w:r>
        <w:rPr>
          <w:spacing w:val="-7"/>
        </w:rPr>
        <w:t xml:space="preserve"> </w:t>
      </w:r>
      <w:r>
        <w:t>estimates.</w:t>
      </w:r>
      <w:r>
        <w:rPr>
          <w:spacing w:val="-11"/>
        </w:rPr>
        <w:t xml:space="preserve"> </w:t>
      </w:r>
      <w:r>
        <w:t>The</w:t>
      </w:r>
      <w:r>
        <w:rPr>
          <w:spacing w:val="-7"/>
        </w:rPr>
        <w:t xml:space="preserve"> </w:t>
      </w:r>
      <w:r>
        <w:t>full-sample</w:t>
      </w:r>
      <w:r>
        <w:rPr>
          <w:spacing w:val="-7"/>
        </w:rPr>
        <w:t xml:space="preserve"> </w:t>
      </w:r>
      <w:r>
        <w:t>weight</w:t>
      </w:r>
      <w:r>
        <w:rPr>
          <w:spacing w:val="-7"/>
        </w:rPr>
        <w:t xml:space="preserve"> </w:t>
      </w:r>
      <w:r>
        <w:t>is</w:t>
      </w:r>
      <w:r>
        <w:rPr>
          <w:spacing w:val="-7"/>
        </w:rPr>
        <w:t xml:space="preserve"> </w:t>
      </w:r>
      <w:r>
        <w:t>assigned</w:t>
      </w:r>
      <w:r>
        <w:rPr>
          <w:spacing w:val="-7"/>
        </w:rPr>
        <w:t xml:space="preserve"> </w:t>
      </w:r>
      <w:r>
        <w:t>to</w:t>
      </w:r>
      <w:r>
        <w:rPr>
          <w:spacing w:val="-7"/>
        </w:rPr>
        <w:t xml:space="preserve"> </w:t>
      </w:r>
      <w:r>
        <w:t>participating</w:t>
      </w:r>
      <w:r>
        <w:rPr>
          <w:spacing w:val="-7"/>
        </w:rPr>
        <w:t xml:space="preserve"> </w:t>
      </w:r>
      <w:r>
        <w:t>students</w:t>
      </w:r>
      <w:r>
        <w:rPr>
          <w:spacing w:val="-7"/>
        </w:rPr>
        <w:t xml:space="preserve"> </w:t>
      </w:r>
      <w:r>
        <w:t>and</w:t>
      </w:r>
      <w:r>
        <w:rPr>
          <w:spacing w:val="-7"/>
        </w:rPr>
        <w:t xml:space="preserve"> </w:t>
      </w:r>
      <w:r>
        <w:t>reflects</w:t>
      </w:r>
      <w:r>
        <w:rPr>
          <w:spacing w:val="-7"/>
        </w:rPr>
        <w:t xml:space="preserve"> </w:t>
      </w:r>
      <w:r>
        <w:t>the</w:t>
      </w:r>
      <w:r>
        <w:rPr>
          <w:spacing w:val="-7"/>
        </w:rPr>
        <w:t xml:space="preserve"> </w:t>
      </w:r>
      <w:r>
        <w:t>student</w:t>
      </w:r>
      <w:r>
        <w:rPr>
          <w:spacing w:val="-7"/>
        </w:rPr>
        <w:t xml:space="preserve"> </w:t>
      </w:r>
      <w:r>
        <w:t>base</w:t>
      </w:r>
      <w:r>
        <w:rPr>
          <w:spacing w:val="-7"/>
        </w:rPr>
        <w:t xml:space="preserve"> </w:t>
      </w:r>
      <w:r>
        <w:t>weight after</w:t>
      </w:r>
      <w:r>
        <w:rPr>
          <w:spacing w:val="-6"/>
        </w:rPr>
        <w:t xml:space="preserve"> </w:t>
      </w:r>
      <w:r>
        <w:t>the</w:t>
      </w:r>
      <w:r>
        <w:rPr>
          <w:spacing w:val="-6"/>
        </w:rPr>
        <w:t xml:space="preserve"> </w:t>
      </w:r>
      <w:r>
        <w:t>application</w:t>
      </w:r>
      <w:r>
        <w:rPr>
          <w:spacing w:val="-6"/>
        </w:rPr>
        <w:t xml:space="preserve"> </w:t>
      </w:r>
      <w:r>
        <w:t>of</w:t>
      </w:r>
      <w:r>
        <w:rPr>
          <w:spacing w:val="-6"/>
        </w:rPr>
        <w:t xml:space="preserve"> </w:t>
      </w:r>
      <w:r>
        <w:t>the</w:t>
      </w:r>
      <w:r>
        <w:rPr>
          <w:spacing w:val="-6"/>
        </w:rPr>
        <w:t xml:space="preserve"> </w:t>
      </w:r>
      <w:r>
        <w:t>various</w:t>
      </w:r>
      <w:r>
        <w:rPr>
          <w:spacing w:val="-6"/>
        </w:rPr>
        <w:t xml:space="preserve"> </w:t>
      </w:r>
      <w:r>
        <w:t>weighting</w:t>
      </w:r>
      <w:r>
        <w:rPr>
          <w:spacing w:val="-6"/>
        </w:rPr>
        <w:t xml:space="preserve"> </w:t>
      </w:r>
      <w:r>
        <w:t>adjustments.</w:t>
      </w:r>
      <w:r>
        <w:rPr>
          <w:spacing w:val="-9"/>
        </w:rPr>
        <w:t xml:space="preserve"> </w:t>
      </w:r>
      <w:r>
        <w:t>The</w:t>
      </w:r>
      <w:r>
        <w:rPr>
          <w:spacing w:val="-6"/>
        </w:rPr>
        <w:t xml:space="preserve"> </w:t>
      </w:r>
      <w:r>
        <w:t>full-sample</w:t>
      </w:r>
      <w:r>
        <w:rPr>
          <w:spacing w:val="-6"/>
        </w:rPr>
        <w:t xml:space="preserve"> </w:t>
      </w:r>
      <w:r>
        <w:t>weight</w:t>
      </w:r>
      <w:r>
        <w:rPr>
          <w:spacing w:val="-6"/>
        </w:rPr>
        <w:t xml:space="preserve"> </w:t>
      </w:r>
      <w:r>
        <w:t>\(FSTUWGT_{jsk}\)</w:t>
      </w:r>
      <w:r>
        <w:rPr>
          <w:spacing w:val="-6"/>
        </w:rPr>
        <w:t xml:space="preserve"> </w:t>
      </w:r>
      <w:r>
        <w:t>for</w:t>
      </w:r>
      <w:r>
        <w:rPr>
          <w:spacing w:val="-6"/>
        </w:rPr>
        <w:t xml:space="preserve"> </w:t>
      </w:r>
      <w:r>
        <w:t>student</w:t>
      </w:r>
      <w:r>
        <w:rPr>
          <w:spacing w:val="-6"/>
        </w:rPr>
        <w:t xml:space="preserve"> </w:t>
      </w:r>
      <w:r>
        <w:t>\(k\)</w:t>
      </w:r>
      <w:r>
        <w:rPr>
          <w:spacing w:val="-6"/>
        </w:rPr>
        <w:t xml:space="preserve"> </w:t>
      </w:r>
      <w:r>
        <w:t>from school \(s\) in stratum \(j\) can be expressed as</w:t>
      </w:r>
    </w:p>
    <w:p w:rsidR="003F5784" w14:paraId="199C2A93" w14:textId="77777777">
      <w:pPr>
        <w:pStyle w:val="BodyText"/>
        <w:spacing w:before="90"/>
        <w:ind w:left="109"/>
      </w:pPr>
      <w:r>
        <w:br w:type="column"/>
        <w:t>Computation</w:t>
      </w:r>
      <w:r>
        <w:rPr>
          <w:spacing w:val="-7"/>
        </w:rPr>
        <w:t xml:space="preserve"> </w:t>
      </w:r>
      <w:r>
        <w:t>of</w:t>
      </w:r>
      <w:r>
        <w:rPr>
          <w:spacing w:val="-7"/>
        </w:rPr>
        <w:t xml:space="preserve"> </w:t>
      </w:r>
      <w:r>
        <w:t>Base</w:t>
      </w:r>
      <w:r>
        <w:rPr>
          <w:spacing w:val="-10"/>
        </w:rPr>
        <w:t xml:space="preserve"> </w:t>
      </w:r>
      <w:r>
        <w:rPr>
          <w:spacing w:val="-2"/>
        </w:rPr>
        <w:t>Weights</w:t>
      </w:r>
    </w:p>
    <w:p w:rsidR="003F5784" w14:paraId="171A135C" w14:textId="77777777">
      <w:pPr>
        <w:pStyle w:val="BodyText"/>
        <w:spacing w:before="207" w:line="232" w:lineRule="auto"/>
        <w:ind w:left="109" w:right="254"/>
      </w:pPr>
      <w:r>
        <w:t>School</w:t>
      </w:r>
      <w:r>
        <w:rPr>
          <w:spacing w:val="-14"/>
        </w:rPr>
        <w:t xml:space="preserve"> </w:t>
      </w:r>
      <w:r>
        <w:t>and</w:t>
      </w:r>
      <w:r>
        <w:rPr>
          <w:spacing w:val="-13"/>
        </w:rPr>
        <w:t xml:space="preserve"> </w:t>
      </w:r>
      <w:r>
        <w:t>Student</w:t>
      </w:r>
      <w:r>
        <w:rPr>
          <w:spacing w:val="-13"/>
        </w:rPr>
        <w:t xml:space="preserve"> </w:t>
      </w:r>
      <w:r>
        <w:t>Nonresponse</w:t>
      </w:r>
      <w:r>
        <w:rPr>
          <w:spacing w:val="-13"/>
        </w:rPr>
        <w:t xml:space="preserve"> </w:t>
      </w:r>
      <w:r>
        <w:t xml:space="preserve">Weight </w:t>
      </w:r>
      <w:r>
        <w:rPr>
          <w:spacing w:val="-2"/>
        </w:rPr>
        <w:t>Adjustments</w:t>
      </w:r>
    </w:p>
    <w:p w:rsidR="003F5784" w14:paraId="5E656E9C" w14:textId="77777777">
      <w:pPr>
        <w:pStyle w:val="BodyText"/>
        <w:spacing w:before="210" w:line="232" w:lineRule="auto"/>
        <w:ind w:left="109"/>
      </w:pPr>
      <w:r>
        <w:rPr>
          <w:spacing w:val="-2"/>
        </w:rPr>
        <w:t>School</w:t>
      </w:r>
      <w:r>
        <w:rPr>
          <w:spacing w:val="-6"/>
        </w:rPr>
        <w:t xml:space="preserve"> </w:t>
      </w:r>
      <w:r>
        <w:rPr>
          <w:spacing w:val="-2"/>
        </w:rPr>
        <w:t>and</w:t>
      </w:r>
      <w:r>
        <w:rPr>
          <w:spacing w:val="-6"/>
        </w:rPr>
        <w:t xml:space="preserve"> </w:t>
      </w:r>
      <w:r>
        <w:rPr>
          <w:spacing w:val="-2"/>
        </w:rPr>
        <w:t>Student</w:t>
      </w:r>
      <w:r>
        <w:rPr>
          <w:spacing w:val="-10"/>
        </w:rPr>
        <w:t xml:space="preserve"> </w:t>
      </w:r>
      <w:r>
        <w:rPr>
          <w:spacing w:val="-2"/>
        </w:rPr>
        <w:t>Weight</w:t>
      </w:r>
      <w:r>
        <w:rPr>
          <w:spacing w:val="-10"/>
        </w:rPr>
        <w:t xml:space="preserve"> </w:t>
      </w:r>
      <w:r>
        <w:rPr>
          <w:spacing w:val="-2"/>
        </w:rPr>
        <w:t>Trimming Adjustments</w:t>
      </w:r>
    </w:p>
    <w:p w:rsidR="003F5784" w14:paraId="74514DBB" w14:textId="77777777">
      <w:pPr>
        <w:pStyle w:val="BodyText"/>
        <w:spacing w:before="203"/>
        <w:ind w:left="109"/>
      </w:pPr>
      <w:r>
        <w:rPr>
          <w:spacing w:val="-2"/>
        </w:rPr>
        <w:t>Student</w:t>
      </w:r>
      <w:r>
        <w:rPr>
          <w:spacing w:val="-5"/>
        </w:rPr>
        <w:t xml:space="preserve"> </w:t>
      </w:r>
      <w:r>
        <w:rPr>
          <w:spacing w:val="-2"/>
        </w:rPr>
        <w:t>Weight</w:t>
      </w:r>
      <w:r>
        <w:t xml:space="preserve"> </w:t>
      </w:r>
      <w:r>
        <w:rPr>
          <w:spacing w:val="-2"/>
        </w:rPr>
        <w:t>Raking</w:t>
      </w:r>
      <w:r>
        <w:rPr>
          <w:spacing w:val="-11"/>
        </w:rPr>
        <w:t xml:space="preserve"> </w:t>
      </w:r>
      <w:r>
        <w:rPr>
          <w:spacing w:val="-2"/>
        </w:rPr>
        <w:t>Adjustment</w:t>
      </w:r>
    </w:p>
    <w:p w:rsidR="003F5784" w14:paraId="6E1FF0D2" w14:textId="77777777">
      <w:pPr>
        <w:sectPr>
          <w:type w:val="continuous"/>
          <w:pgSz w:w="15840" w:h="12240" w:orient="landscape"/>
          <w:pgMar w:top="480" w:right="440" w:bottom="460" w:left="460" w:header="284" w:footer="275" w:gutter="0"/>
          <w:cols w:num="2" w:space="720" w:equalWidth="0">
            <w:col w:w="10970" w:space="187"/>
            <w:col w:w="3783"/>
          </w:cols>
        </w:sectPr>
      </w:pPr>
    </w:p>
    <w:p w:rsidR="003F5784" w14:paraId="5A66AC16" w14:textId="77777777">
      <w:pPr>
        <w:pStyle w:val="BodyText"/>
        <w:spacing w:before="210" w:line="232" w:lineRule="auto"/>
        <w:ind w:left="109"/>
      </w:pPr>
      <w:r>
        <w:t>\begin{equation}</w:t>
      </w:r>
      <w:r>
        <w:rPr>
          <w:spacing w:val="-11"/>
        </w:rPr>
        <w:t xml:space="preserve"> </w:t>
      </w:r>
      <w:r>
        <w:t>FSTUWGT_{jsk}</w:t>
      </w:r>
      <w:r>
        <w:rPr>
          <w:spacing w:val="-11"/>
        </w:rPr>
        <w:t xml:space="preserve"> </w:t>
      </w:r>
      <w:r>
        <w:t>=</w:t>
      </w:r>
      <w:r>
        <w:rPr>
          <w:spacing w:val="-11"/>
        </w:rPr>
        <w:t xml:space="preserve"> </w:t>
      </w:r>
      <w:r>
        <w:t>STU\_BWT_{jsk}</w:t>
      </w:r>
      <w:r>
        <w:rPr>
          <w:spacing w:val="-11"/>
        </w:rPr>
        <w:t xml:space="preserve"> </w:t>
      </w:r>
      <w:r>
        <w:t>\times</w:t>
      </w:r>
      <w:r>
        <w:rPr>
          <w:spacing w:val="-11"/>
        </w:rPr>
        <w:t xml:space="preserve"> </w:t>
      </w:r>
      <w:r>
        <w:t>SCH\_NRAF_{js}</w:t>
      </w:r>
      <w:r>
        <w:rPr>
          <w:spacing w:val="-11"/>
        </w:rPr>
        <w:t xml:space="preserve"> </w:t>
      </w:r>
      <w:r>
        <w:t>\times</w:t>
      </w:r>
      <w:r>
        <w:rPr>
          <w:spacing w:val="-11"/>
        </w:rPr>
        <w:t xml:space="preserve"> </w:t>
      </w:r>
      <w:r>
        <w:t>STU\_NRAF_{jsk}</w:t>
      </w:r>
      <w:r>
        <w:rPr>
          <w:spacing w:val="-11"/>
        </w:rPr>
        <w:t xml:space="preserve"> </w:t>
      </w:r>
      <w:r>
        <w:t>\times</w:t>
      </w:r>
      <w:r>
        <w:rPr>
          <w:spacing w:val="-11"/>
        </w:rPr>
        <w:t xml:space="preserve"> </w:t>
      </w:r>
      <w:r>
        <w:t>\\</w:t>
      </w:r>
      <w:r>
        <w:rPr>
          <w:spacing w:val="-11"/>
        </w:rPr>
        <w:t xml:space="preserve"> </w:t>
      </w:r>
      <w:r>
        <w:t>SCH\_TRIM_{js}</w:t>
      </w:r>
      <w:r>
        <w:rPr>
          <w:spacing w:val="-11"/>
        </w:rPr>
        <w:t xml:space="preserve"> </w:t>
      </w:r>
      <w:r>
        <w:t>\times</w:t>
      </w:r>
      <w:r>
        <w:rPr>
          <w:spacing w:val="-11"/>
        </w:rPr>
        <w:t xml:space="preserve"> </w:t>
      </w:r>
      <w:r>
        <w:t>STU\_TRIM_{jsk}</w:t>
      </w:r>
      <w:r>
        <w:rPr>
          <w:spacing w:val="-11"/>
        </w:rPr>
        <w:t xml:space="preserve"> </w:t>
      </w:r>
      <w:r>
        <w:t>\times STU\_RAKE_{jsk} , \end{equation}</w:t>
      </w:r>
    </w:p>
    <w:p w:rsidR="003F5784" w14:paraId="2FE4B550" w14:textId="77777777">
      <w:pPr>
        <w:pStyle w:val="BodyText"/>
        <w:spacing w:before="203"/>
        <w:ind w:left="109"/>
      </w:pPr>
      <w:r>
        <w:rPr>
          <w:spacing w:val="-2"/>
        </w:rPr>
        <w:t>where</w:t>
      </w:r>
    </w:p>
    <w:p w:rsidR="003F5784" w14:paraId="740C986C" w14:textId="77777777">
      <w:pPr>
        <w:pStyle w:val="BodyText"/>
        <w:spacing w:before="202" w:line="238" w:lineRule="exact"/>
        <w:ind w:left="422"/>
      </w:pPr>
      <w:r>
        <w:rPr>
          <w:noProof/>
          <w:position w:val="3"/>
        </w:rPr>
        <w:drawing>
          <wp:inline distT="0" distB="0" distL="0" distR="0">
            <wp:extent cx="41379" cy="41378"/>
            <wp:effectExtent l="0" t="0" r="0" b="0"/>
            <wp:docPr id="487" name="Image 487"/>
            <wp:cNvGraphicFramePr/>
            <a:graphic xmlns:a="http://schemas.openxmlformats.org/drawingml/2006/main">
              <a:graphicData uri="http://schemas.openxmlformats.org/drawingml/2006/picture">
                <pic:pic xmlns:pic="http://schemas.openxmlformats.org/drawingml/2006/picture">
                  <pic:nvPicPr>
                    <pic:cNvPr id="487" name="Image 487"/>
                    <pic:cNvPicPr/>
                  </pic:nvPicPr>
                  <pic:blipFill>
                    <a:blip xmlns:r="http://schemas.openxmlformats.org/officeDocument/2006/relationships" r:embed="rId382" cstate="print"/>
                    <a:stretch>
                      <a:fillRect/>
                    </a:stretch>
                  </pic:blipFill>
                  <pic:spPr>
                    <a:xfrm>
                      <a:off x="0" y="0"/>
                      <a:ext cx="41379" cy="41378"/>
                    </a:xfrm>
                    <a:prstGeom prst="rect">
                      <a:avLst/>
                    </a:prstGeom>
                  </pic:spPr>
                </pic:pic>
              </a:graphicData>
            </a:graphic>
          </wp:inline>
        </w:drawing>
      </w:r>
      <w:r>
        <w:rPr>
          <w:spacing w:val="80"/>
          <w:sz w:val="20"/>
        </w:rPr>
        <w:t xml:space="preserve"> </w:t>
      </w:r>
      <w:r>
        <w:t>\(STU\_BWT_{jsk}\) is the student base weight;</w:t>
      </w:r>
    </w:p>
    <w:p w:rsidR="003F5784" w14:paraId="224069B0" w14:textId="77777777">
      <w:pPr>
        <w:pStyle w:val="BodyText"/>
        <w:spacing w:line="235" w:lineRule="exact"/>
        <w:ind w:left="422"/>
      </w:pPr>
      <w:r>
        <w:rPr>
          <w:noProof/>
          <w:position w:val="3"/>
        </w:rPr>
        <w:drawing>
          <wp:inline distT="0" distB="0" distL="0" distR="0">
            <wp:extent cx="41379" cy="41378"/>
            <wp:effectExtent l="0" t="0" r="0" b="0"/>
            <wp:docPr id="488" name="Image 488"/>
            <wp:cNvGraphicFramePr/>
            <a:graphic xmlns:a="http://schemas.openxmlformats.org/drawingml/2006/main">
              <a:graphicData uri="http://schemas.openxmlformats.org/drawingml/2006/picture">
                <pic:pic xmlns:pic="http://schemas.openxmlformats.org/drawingml/2006/picture">
                  <pic:nvPicPr>
                    <pic:cNvPr id="488" name="Image 488"/>
                    <pic:cNvPicPr/>
                  </pic:nvPicPr>
                  <pic:blipFill>
                    <a:blip xmlns:r="http://schemas.openxmlformats.org/officeDocument/2006/relationships" r:embed="rId383" cstate="print"/>
                    <a:stretch>
                      <a:fillRect/>
                    </a:stretch>
                  </pic:blipFill>
                  <pic:spPr>
                    <a:xfrm>
                      <a:off x="0" y="0"/>
                      <a:ext cx="41379" cy="41378"/>
                    </a:xfrm>
                    <a:prstGeom prst="rect">
                      <a:avLst/>
                    </a:prstGeom>
                  </pic:spPr>
                </pic:pic>
              </a:graphicData>
            </a:graphic>
          </wp:inline>
        </w:drawing>
      </w:r>
      <w:r>
        <w:rPr>
          <w:spacing w:val="80"/>
          <w:sz w:val="20"/>
        </w:rPr>
        <w:t xml:space="preserve"> </w:t>
      </w:r>
      <w:r>
        <w:t>\(SCH\_NRAF_{js}\) is the school-level nonresponse adjustment factor;</w:t>
      </w:r>
    </w:p>
    <w:p w:rsidR="003F5784" w14:paraId="1C23418F" w14:textId="77777777">
      <w:pPr>
        <w:pStyle w:val="BodyText"/>
        <w:spacing w:line="235" w:lineRule="exact"/>
        <w:ind w:left="422"/>
      </w:pPr>
      <w:r>
        <w:rPr>
          <w:noProof/>
          <w:position w:val="3"/>
        </w:rPr>
        <w:drawing>
          <wp:inline distT="0" distB="0" distL="0" distR="0">
            <wp:extent cx="41379" cy="41378"/>
            <wp:effectExtent l="0" t="0" r="0" b="0"/>
            <wp:docPr id="489" name="Image 489"/>
            <wp:cNvGraphicFramePr/>
            <a:graphic xmlns:a="http://schemas.openxmlformats.org/drawingml/2006/main">
              <a:graphicData uri="http://schemas.openxmlformats.org/drawingml/2006/picture">
                <pic:pic xmlns:pic="http://schemas.openxmlformats.org/drawingml/2006/picture">
                  <pic:nvPicPr>
                    <pic:cNvPr id="489" name="Image 489"/>
                    <pic:cNvPicPr/>
                  </pic:nvPicPr>
                  <pic:blipFill>
                    <a:blip xmlns:r="http://schemas.openxmlformats.org/officeDocument/2006/relationships" r:embed="rId384" cstate="print"/>
                    <a:stretch>
                      <a:fillRect/>
                    </a:stretch>
                  </pic:blipFill>
                  <pic:spPr>
                    <a:xfrm>
                      <a:off x="0" y="0"/>
                      <a:ext cx="41379" cy="41378"/>
                    </a:xfrm>
                    <a:prstGeom prst="rect">
                      <a:avLst/>
                    </a:prstGeom>
                  </pic:spPr>
                </pic:pic>
              </a:graphicData>
            </a:graphic>
          </wp:inline>
        </w:drawing>
      </w:r>
      <w:r>
        <w:rPr>
          <w:spacing w:val="80"/>
          <w:sz w:val="20"/>
        </w:rPr>
        <w:t xml:space="preserve"> </w:t>
      </w:r>
      <w:r>
        <w:t>\(STU\_NRAF_{jsk}\) is the student-level nonresponse adjustment factor;</w:t>
      </w:r>
    </w:p>
    <w:p w:rsidR="003F5784" w14:paraId="0F96BC68" w14:textId="77777777">
      <w:pPr>
        <w:pStyle w:val="BodyText"/>
        <w:spacing w:line="235" w:lineRule="exact"/>
        <w:ind w:left="422"/>
      </w:pPr>
      <w:r>
        <w:rPr>
          <w:noProof/>
          <w:position w:val="3"/>
        </w:rPr>
        <w:drawing>
          <wp:inline distT="0" distB="0" distL="0" distR="0">
            <wp:extent cx="41379" cy="41378"/>
            <wp:effectExtent l="0" t="0" r="0" b="0"/>
            <wp:docPr id="490" name="Image 490"/>
            <wp:cNvGraphicFramePr/>
            <a:graphic xmlns:a="http://schemas.openxmlformats.org/drawingml/2006/main">
              <a:graphicData uri="http://schemas.openxmlformats.org/drawingml/2006/picture">
                <pic:pic xmlns:pic="http://schemas.openxmlformats.org/drawingml/2006/picture">
                  <pic:nvPicPr>
                    <pic:cNvPr id="490" name="Image 490"/>
                    <pic:cNvPicPr/>
                  </pic:nvPicPr>
                  <pic:blipFill>
                    <a:blip xmlns:r="http://schemas.openxmlformats.org/officeDocument/2006/relationships" r:embed="rId385" cstate="print"/>
                    <a:stretch>
                      <a:fillRect/>
                    </a:stretch>
                  </pic:blipFill>
                  <pic:spPr>
                    <a:xfrm>
                      <a:off x="0" y="0"/>
                      <a:ext cx="41379" cy="41378"/>
                    </a:xfrm>
                    <a:prstGeom prst="rect">
                      <a:avLst/>
                    </a:prstGeom>
                  </pic:spPr>
                </pic:pic>
              </a:graphicData>
            </a:graphic>
          </wp:inline>
        </w:drawing>
      </w:r>
      <w:r>
        <w:rPr>
          <w:spacing w:val="80"/>
          <w:sz w:val="20"/>
        </w:rPr>
        <w:t xml:space="preserve"> </w:t>
      </w:r>
      <w:r>
        <w:t>\(SCH\_TRIM_{js}\) is the school-level weight trimming adjustment factor;</w:t>
      </w:r>
    </w:p>
    <w:p w:rsidR="003F5784" w14:paraId="24C690C3" w14:textId="77777777">
      <w:pPr>
        <w:pStyle w:val="BodyText"/>
        <w:spacing w:before="3" w:line="232" w:lineRule="auto"/>
        <w:ind w:left="422" w:right="7434"/>
      </w:pPr>
      <w:r>
        <w:rPr>
          <w:noProof/>
          <w:position w:val="3"/>
        </w:rPr>
        <w:drawing>
          <wp:inline distT="0" distB="0" distL="0" distR="0">
            <wp:extent cx="41379" cy="41378"/>
            <wp:effectExtent l="0" t="0" r="0" b="0"/>
            <wp:docPr id="491" name="Image 491"/>
            <wp:cNvGraphicFramePr/>
            <a:graphic xmlns:a="http://schemas.openxmlformats.org/drawingml/2006/main">
              <a:graphicData uri="http://schemas.openxmlformats.org/drawingml/2006/picture">
                <pic:pic xmlns:pic="http://schemas.openxmlformats.org/drawingml/2006/picture">
                  <pic:nvPicPr>
                    <pic:cNvPr id="491" name="Image 491"/>
                    <pic:cNvPicPr/>
                  </pic:nvPicPr>
                  <pic:blipFill>
                    <a:blip xmlns:r="http://schemas.openxmlformats.org/officeDocument/2006/relationships" r:embed="rId386" cstate="print"/>
                    <a:stretch>
                      <a:fillRect/>
                    </a:stretch>
                  </pic:blipFill>
                  <pic:spPr>
                    <a:xfrm>
                      <a:off x="0" y="0"/>
                      <a:ext cx="41379" cy="41378"/>
                    </a:xfrm>
                    <a:prstGeom prst="rect">
                      <a:avLst/>
                    </a:prstGeom>
                  </pic:spPr>
                </pic:pic>
              </a:graphicData>
            </a:graphic>
          </wp:inline>
        </w:drawing>
      </w:r>
      <w:r>
        <w:rPr>
          <w:spacing w:val="73"/>
          <w:sz w:val="20"/>
        </w:rPr>
        <w:t xml:space="preserve"> </w:t>
      </w:r>
      <w:r>
        <w:t>\(STU\_TRIM_{jsk}\)</w:t>
      </w:r>
      <w:r>
        <w:rPr>
          <w:spacing w:val="-9"/>
        </w:rPr>
        <w:t xml:space="preserve"> </w:t>
      </w:r>
      <w:r>
        <w:t>is</w:t>
      </w:r>
      <w:r>
        <w:rPr>
          <w:spacing w:val="-9"/>
        </w:rPr>
        <w:t xml:space="preserve"> </w:t>
      </w:r>
      <w:r>
        <w:t>the</w:t>
      </w:r>
      <w:r>
        <w:rPr>
          <w:spacing w:val="-9"/>
        </w:rPr>
        <w:t xml:space="preserve"> </w:t>
      </w:r>
      <w:r>
        <w:t>student-level</w:t>
      </w:r>
      <w:r>
        <w:rPr>
          <w:spacing w:val="-9"/>
        </w:rPr>
        <w:t xml:space="preserve"> </w:t>
      </w:r>
      <w:r>
        <w:t>weight</w:t>
      </w:r>
      <w:r>
        <w:rPr>
          <w:spacing w:val="-9"/>
        </w:rPr>
        <w:t xml:space="preserve"> </w:t>
      </w:r>
      <w:r>
        <w:t>trimming</w:t>
      </w:r>
      <w:r>
        <w:rPr>
          <w:spacing w:val="-9"/>
        </w:rPr>
        <w:t xml:space="preserve"> </w:t>
      </w:r>
      <w:r>
        <w:t>adjustment</w:t>
      </w:r>
      <w:r>
        <w:rPr>
          <w:spacing w:val="-9"/>
        </w:rPr>
        <w:t xml:space="preserve"> </w:t>
      </w:r>
      <w:r>
        <w:t>factor;</w:t>
      </w:r>
      <w:r>
        <w:rPr>
          <w:spacing w:val="-9"/>
        </w:rPr>
        <w:t xml:space="preserve"> </w:t>
      </w:r>
      <w:r>
        <w:t xml:space="preserve">and </w:t>
      </w:r>
      <w:r>
        <w:rPr>
          <w:noProof/>
          <w:position w:val="3"/>
        </w:rPr>
        <w:drawing>
          <wp:inline distT="0" distB="0" distL="0" distR="0">
            <wp:extent cx="41379" cy="41378"/>
            <wp:effectExtent l="0" t="0" r="0" b="0"/>
            <wp:docPr id="492" name="Image 492"/>
            <wp:cNvGraphicFramePr/>
            <a:graphic xmlns:a="http://schemas.openxmlformats.org/drawingml/2006/main">
              <a:graphicData uri="http://schemas.openxmlformats.org/drawingml/2006/picture">
                <pic:pic xmlns:pic="http://schemas.openxmlformats.org/drawingml/2006/picture">
                  <pic:nvPicPr>
                    <pic:cNvPr id="492" name="Image 492"/>
                    <pic:cNvPicPr/>
                  </pic:nvPicPr>
                  <pic:blipFill>
                    <a:blip xmlns:r="http://schemas.openxmlformats.org/officeDocument/2006/relationships" r:embed="rId387" cstate="print"/>
                    <a:stretch>
                      <a:fillRect/>
                    </a:stretch>
                  </pic:blipFill>
                  <pic:spPr>
                    <a:xfrm>
                      <a:off x="0" y="0"/>
                      <a:ext cx="41379" cy="41378"/>
                    </a:xfrm>
                    <a:prstGeom prst="rect">
                      <a:avLst/>
                    </a:prstGeom>
                  </pic:spPr>
                </pic:pic>
              </a:graphicData>
            </a:graphic>
          </wp:inline>
        </w:drawing>
      </w:r>
      <w:r>
        <w:rPr>
          <w:spacing w:val="80"/>
        </w:rPr>
        <w:t xml:space="preserve"> </w:t>
      </w:r>
      <w:r>
        <w:t>\(STU\_RAKE_{jsk}\) is the student-level raking adjustment factor.</w:t>
      </w:r>
    </w:p>
    <w:p w:rsidR="003F5784" w14:paraId="70AC5E68" w14:textId="77777777">
      <w:pPr>
        <w:pStyle w:val="BodyText"/>
        <w:spacing w:before="209" w:line="232" w:lineRule="auto"/>
        <w:ind w:left="109" w:right="179"/>
      </w:pPr>
      <w:r>
        <w:t>School</w:t>
      </w:r>
      <w:r>
        <w:rPr>
          <w:spacing w:val="-6"/>
        </w:rPr>
        <w:t xml:space="preserve"> </w:t>
      </w:r>
      <w:r>
        <w:t>sampling</w:t>
      </w:r>
      <w:r>
        <w:rPr>
          <w:spacing w:val="-6"/>
        </w:rPr>
        <w:t xml:space="preserve"> </w:t>
      </w:r>
      <w:r>
        <w:t>strata</w:t>
      </w:r>
      <w:r>
        <w:rPr>
          <w:spacing w:val="-6"/>
        </w:rPr>
        <w:t xml:space="preserve"> </w:t>
      </w:r>
      <w:r>
        <w:t>for</w:t>
      </w:r>
      <w:r>
        <w:rPr>
          <w:spacing w:val="-6"/>
        </w:rPr>
        <w:t xml:space="preserve"> </w:t>
      </w:r>
      <w:r>
        <w:t>a</w:t>
      </w:r>
      <w:r>
        <w:rPr>
          <w:spacing w:val="-6"/>
        </w:rPr>
        <w:t xml:space="preserve"> </w:t>
      </w:r>
      <w:r>
        <w:t>given</w:t>
      </w:r>
      <w:r>
        <w:rPr>
          <w:spacing w:val="-6"/>
        </w:rPr>
        <w:t xml:space="preserve"> </w:t>
      </w:r>
      <w:r>
        <w:t>assessment</w:t>
      </w:r>
      <w:r>
        <w:rPr>
          <w:spacing w:val="-6"/>
        </w:rPr>
        <w:t xml:space="preserve"> </w:t>
      </w:r>
      <w:r>
        <w:t>vary</w:t>
      </w:r>
      <w:r>
        <w:rPr>
          <w:spacing w:val="-6"/>
        </w:rPr>
        <w:t xml:space="preserve"> </w:t>
      </w:r>
      <w:r>
        <w:t>by</w:t>
      </w:r>
      <w:r>
        <w:rPr>
          <w:spacing w:val="-6"/>
        </w:rPr>
        <w:t xml:space="preserve"> </w:t>
      </w:r>
      <w:r>
        <w:t>school</w:t>
      </w:r>
      <w:r>
        <w:rPr>
          <w:spacing w:val="-6"/>
        </w:rPr>
        <w:t xml:space="preserve"> </w:t>
      </w:r>
      <w:r>
        <w:t>type</w:t>
      </w:r>
      <w:r>
        <w:rPr>
          <w:spacing w:val="-6"/>
        </w:rPr>
        <w:t xml:space="preserve"> </w:t>
      </w:r>
      <w:r>
        <w:t>(public</w:t>
      </w:r>
      <w:r>
        <w:rPr>
          <w:spacing w:val="-6"/>
        </w:rPr>
        <w:t xml:space="preserve"> </w:t>
      </w:r>
      <w:r>
        <w:t>or</w:t>
      </w:r>
      <w:r>
        <w:rPr>
          <w:spacing w:val="-6"/>
        </w:rPr>
        <w:t xml:space="preserve"> </w:t>
      </w:r>
      <w:r>
        <w:t>private),</w:t>
      </w:r>
      <w:r>
        <w:rPr>
          <w:spacing w:val="-6"/>
        </w:rPr>
        <w:t xml:space="preserve"> </w:t>
      </w:r>
      <w:r>
        <w:t>assessment</w:t>
      </w:r>
      <w:r>
        <w:rPr>
          <w:spacing w:val="-6"/>
        </w:rPr>
        <w:t xml:space="preserve"> </w:t>
      </w:r>
      <w:r>
        <w:t>subject</w:t>
      </w:r>
      <w:r>
        <w:rPr>
          <w:spacing w:val="-6"/>
        </w:rPr>
        <w:t xml:space="preserve"> </w:t>
      </w:r>
      <w:r>
        <w:t>(civics,</w:t>
      </w:r>
      <w:r>
        <w:rPr>
          <w:spacing w:val="-6"/>
        </w:rPr>
        <w:t xml:space="preserve"> </w:t>
      </w:r>
      <w:r>
        <w:t>mathematics,</w:t>
      </w:r>
      <w:r>
        <w:rPr>
          <w:spacing w:val="-6"/>
        </w:rPr>
        <w:t xml:space="preserve"> </w:t>
      </w:r>
      <w:r>
        <w:t>reading,</w:t>
      </w:r>
      <w:r>
        <w:rPr>
          <w:spacing w:val="-6"/>
        </w:rPr>
        <w:t xml:space="preserve"> </w:t>
      </w:r>
      <w:r>
        <w:t>or</w:t>
      </w:r>
      <w:r>
        <w:rPr>
          <w:spacing w:val="-6"/>
        </w:rPr>
        <w:t xml:space="preserve"> </w:t>
      </w:r>
      <w:r>
        <w:t>U.S.</w:t>
      </w:r>
      <w:r>
        <w:rPr>
          <w:spacing w:val="-6"/>
        </w:rPr>
        <w:t xml:space="preserve"> </w:t>
      </w:r>
      <w:r>
        <w:t>history),</w:t>
      </w:r>
      <w:r>
        <w:rPr>
          <w:spacing w:val="-6"/>
        </w:rPr>
        <w:t xml:space="preserve"> </w:t>
      </w:r>
      <w:r>
        <w:t>and</w:t>
      </w:r>
      <w:r>
        <w:rPr>
          <w:spacing w:val="-6"/>
        </w:rPr>
        <w:t xml:space="preserve"> </w:t>
      </w:r>
      <w:r>
        <w:t>grade</w:t>
      </w:r>
      <w:r>
        <w:rPr>
          <w:spacing w:val="-6"/>
        </w:rPr>
        <w:t xml:space="preserve"> </w:t>
      </w:r>
      <w:r>
        <w:t>(4</w:t>
      </w:r>
      <w:r>
        <w:rPr>
          <w:spacing w:val="-6"/>
        </w:rPr>
        <w:t xml:space="preserve"> </w:t>
      </w:r>
      <w:r>
        <w:t>or</w:t>
      </w:r>
      <w:r>
        <w:rPr>
          <w:spacing w:val="-6"/>
        </w:rPr>
        <w:t xml:space="preserve"> </w:t>
      </w:r>
      <w:r>
        <w:t>8)</w:t>
      </w:r>
      <w:r>
        <w:rPr>
          <w:spacing w:val="-6"/>
        </w:rPr>
        <w:t xml:space="preserve"> </w:t>
      </w:r>
      <w:r>
        <w:t>or age (9 or 13). See the links below for descriptions of the school strata for the various assessments.</w:t>
      </w:r>
    </w:p>
    <w:p w:rsidR="003F5784" w14:paraId="1FAEA642" w14:textId="77777777">
      <w:pPr>
        <w:pStyle w:val="BodyText"/>
        <w:spacing w:before="203" w:line="238" w:lineRule="exact"/>
        <w:ind w:left="422"/>
      </w:pPr>
      <w:r>
        <w:rPr>
          <w:noProof/>
          <w:position w:val="3"/>
        </w:rPr>
        <w:drawing>
          <wp:inline distT="0" distB="0" distL="0" distR="0">
            <wp:extent cx="41379" cy="41378"/>
            <wp:effectExtent l="0" t="0" r="0" b="0"/>
            <wp:docPr id="493" name="Image 493"/>
            <wp:cNvGraphicFramePr/>
            <a:graphic xmlns:a="http://schemas.openxmlformats.org/drawingml/2006/main">
              <a:graphicData uri="http://schemas.openxmlformats.org/drawingml/2006/picture">
                <pic:pic xmlns:pic="http://schemas.openxmlformats.org/drawingml/2006/picture">
                  <pic:nvPicPr>
                    <pic:cNvPr id="493" name="Image 493"/>
                    <pic:cNvPicPr/>
                  </pic:nvPicPr>
                  <pic:blipFill>
                    <a:blip xmlns:r="http://schemas.openxmlformats.org/officeDocument/2006/relationships" r:embed="rId388" cstate="print"/>
                    <a:stretch>
                      <a:fillRect/>
                    </a:stretch>
                  </pic:blipFill>
                  <pic:spPr>
                    <a:xfrm>
                      <a:off x="0" y="0"/>
                      <a:ext cx="41379" cy="41378"/>
                    </a:xfrm>
                    <a:prstGeom prst="rect">
                      <a:avLst/>
                    </a:prstGeom>
                  </pic:spPr>
                </pic:pic>
              </a:graphicData>
            </a:graphic>
          </wp:inline>
        </w:drawing>
      </w:r>
      <w:r>
        <w:rPr>
          <w:spacing w:val="80"/>
          <w:sz w:val="20"/>
        </w:rPr>
        <w:t xml:space="preserve"> </w:t>
      </w:r>
      <w:r>
        <w:t>State public school samples for mathematics and reading at grades 4 and 8</w:t>
      </w:r>
    </w:p>
    <w:p w:rsidR="003F5784" w14:paraId="0A2CE9CD" w14:textId="77777777">
      <w:pPr>
        <w:pStyle w:val="BodyText"/>
        <w:spacing w:before="3" w:line="232" w:lineRule="auto"/>
        <w:ind w:left="422" w:right="7737"/>
      </w:pPr>
      <w:r>
        <w:rPr>
          <w:noProof/>
          <w:position w:val="3"/>
        </w:rPr>
        <w:drawing>
          <wp:inline distT="0" distB="0" distL="0" distR="0">
            <wp:extent cx="41379" cy="41378"/>
            <wp:effectExtent l="0" t="0" r="0" b="0"/>
            <wp:docPr id="494" name="Image 494"/>
            <wp:cNvGraphicFramePr/>
            <a:graphic xmlns:a="http://schemas.openxmlformats.org/drawingml/2006/main">
              <a:graphicData uri="http://schemas.openxmlformats.org/drawingml/2006/picture">
                <pic:pic xmlns:pic="http://schemas.openxmlformats.org/drawingml/2006/picture">
                  <pic:nvPicPr>
                    <pic:cNvPr id="494" name="Image 494"/>
                    <pic:cNvPicPr/>
                  </pic:nvPicPr>
                  <pic:blipFill>
                    <a:blip xmlns:r="http://schemas.openxmlformats.org/officeDocument/2006/relationships" r:embed="rId389" cstate="print"/>
                    <a:stretch>
                      <a:fillRect/>
                    </a:stretch>
                  </pic:blipFill>
                  <pic:spPr>
                    <a:xfrm>
                      <a:off x="0" y="0"/>
                      <a:ext cx="41379" cy="41378"/>
                    </a:xfrm>
                    <a:prstGeom prst="rect">
                      <a:avLst/>
                    </a:prstGeom>
                  </pic:spPr>
                </pic:pic>
              </a:graphicData>
            </a:graphic>
          </wp:inline>
        </w:drawing>
      </w:r>
      <w:r>
        <w:rPr>
          <w:spacing w:val="79"/>
          <w:sz w:val="20"/>
        </w:rPr>
        <w:t xml:space="preserve"> </w:t>
      </w:r>
      <w:r>
        <w:t>National</w:t>
      </w:r>
      <w:r>
        <w:rPr>
          <w:spacing w:val="-6"/>
        </w:rPr>
        <w:t xml:space="preserve"> </w:t>
      </w:r>
      <w:r>
        <w:t>private</w:t>
      </w:r>
      <w:r>
        <w:rPr>
          <w:spacing w:val="-6"/>
        </w:rPr>
        <w:t xml:space="preserve"> </w:t>
      </w:r>
      <w:r>
        <w:t>school</w:t>
      </w:r>
      <w:r>
        <w:rPr>
          <w:spacing w:val="-6"/>
        </w:rPr>
        <w:t xml:space="preserve"> </w:t>
      </w:r>
      <w:r>
        <w:t>samples</w:t>
      </w:r>
      <w:r>
        <w:rPr>
          <w:spacing w:val="-6"/>
        </w:rPr>
        <w:t xml:space="preserve"> </w:t>
      </w:r>
      <w:r>
        <w:t>for</w:t>
      </w:r>
      <w:r>
        <w:rPr>
          <w:spacing w:val="-6"/>
        </w:rPr>
        <w:t xml:space="preserve"> </w:t>
      </w:r>
      <w:r>
        <w:t>mathematics</w:t>
      </w:r>
      <w:r>
        <w:rPr>
          <w:spacing w:val="-6"/>
        </w:rPr>
        <w:t xml:space="preserve"> </w:t>
      </w:r>
      <w:r>
        <w:t>and</w:t>
      </w:r>
      <w:r>
        <w:rPr>
          <w:spacing w:val="-6"/>
        </w:rPr>
        <w:t xml:space="preserve"> </w:t>
      </w:r>
      <w:r>
        <w:t>reading</w:t>
      </w:r>
      <w:r>
        <w:rPr>
          <w:spacing w:val="-6"/>
        </w:rPr>
        <w:t xml:space="preserve"> </w:t>
      </w:r>
      <w:r>
        <w:t>at</w:t>
      </w:r>
      <w:r>
        <w:rPr>
          <w:spacing w:val="-6"/>
        </w:rPr>
        <w:t xml:space="preserve"> </w:t>
      </w:r>
      <w:r>
        <w:t>grades</w:t>
      </w:r>
      <w:r>
        <w:rPr>
          <w:spacing w:val="-6"/>
        </w:rPr>
        <w:t xml:space="preserve"> </w:t>
      </w:r>
      <w:r>
        <w:t>4</w:t>
      </w:r>
      <w:r>
        <w:rPr>
          <w:spacing w:val="-6"/>
        </w:rPr>
        <w:t xml:space="preserve"> </w:t>
      </w:r>
      <w:r>
        <w:t>and</w:t>
      </w:r>
      <w:r>
        <w:rPr>
          <w:spacing w:val="-6"/>
        </w:rPr>
        <w:t xml:space="preserve"> </w:t>
      </w:r>
      <w:r>
        <w:t xml:space="preserve">8 </w:t>
      </w:r>
      <w:r>
        <w:rPr>
          <w:noProof/>
          <w:position w:val="3"/>
        </w:rPr>
        <w:drawing>
          <wp:inline distT="0" distB="0" distL="0" distR="0">
            <wp:extent cx="41379" cy="41378"/>
            <wp:effectExtent l="0" t="0" r="0" b="0"/>
            <wp:docPr id="495" name="Image 495"/>
            <wp:cNvGraphicFramePr/>
            <a:graphic xmlns:a="http://schemas.openxmlformats.org/drawingml/2006/main">
              <a:graphicData uri="http://schemas.openxmlformats.org/drawingml/2006/picture">
                <pic:pic xmlns:pic="http://schemas.openxmlformats.org/drawingml/2006/picture">
                  <pic:nvPicPr>
                    <pic:cNvPr id="495" name="Image 495"/>
                    <pic:cNvPicPr/>
                  </pic:nvPicPr>
                  <pic:blipFill>
                    <a:blip xmlns:r="http://schemas.openxmlformats.org/officeDocument/2006/relationships" r:embed="rId390" cstate="print"/>
                    <a:stretch>
                      <a:fillRect/>
                    </a:stretch>
                  </pic:blipFill>
                  <pic:spPr>
                    <a:xfrm>
                      <a:off x="0" y="0"/>
                      <a:ext cx="41379" cy="41378"/>
                    </a:xfrm>
                    <a:prstGeom prst="rect">
                      <a:avLst/>
                    </a:prstGeom>
                  </pic:spPr>
                </pic:pic>
              </a:graphicData>
            </a:graphic>
          </wp:inline>
        </w:drawing>
      </w:r>
      <w:r>
        <w:rPr>
          <w:spacing w:val="80"/>
        </w:rPr>
        <w:t xml:space="preserve"> </w:t>
      </w:r>
      <w:r>
        <w:t>National public school samples for civics and U.S. history at grade 8</w:t>
      </w:r>
    </w:p>
    <w:p w:rsidR="003F5784" w14:paraId="78121D4F" w14:textId="77777777">
      <w:pPr>
        <w:pStyle w:val="BodyText"/>
        <w:spacing w:line="233" w:lineRule="exact"/>
        <w:ind w:left="422"/>
      </w:pPr>
      <w:r>
        <w:rPr>
          <w:noProof/>
          <w:position w:val="3"/>
        </w:rPr>
        <w:drawing>
          <wp:inline distT="0" distB="0" distL="0" distR="0">
            <wp:extent cx="41379" cy="41378"/>
            <wp:effectExtent l="0" t="0" r="0" b="0"/>
            <wp:docPr id="496" name="Image 496"/>
            <wp:cNvGraphicFramePr/>
            <a:graphic xmlns:a="http://schemas.openxmlformats.org/drawingml/2006/main">
              <a:graphicData uri="http://schemas.openxmlformats.org/drawingml/2006/picture">
                <pic:pic xmlns:pic="http://schemas.openxmlformats.org/drawingml/2006/picture">
                  <pic:nvPicPr>
                    <pic:cNvPr id="496" name="Image 496"/>
                    <pic:cNvPicPr/>
                  </pic:nvPicPr>
                  <pic:blipFill>
                    <a:blip xmlns:r="http://schemas.openxmlformats.org/officeDocument/2006/relationships" r:embed="rId391" cstate="print"/>
                    <a:stretch>
                      <a:fillRect/>
                    </a:stretch>
                  </pic:blipFill>
                  <pic:spPr>
                    <a:xfrm>
                      <a:off x="0" y="0"/>
                      <a:ext cx="41379" cy="41378"/>
                    </a:xfrm>
                    <a:prstGeom prst="rect">
                      <a:avLst/>
                    </a:prstGeom>
                  </pic:spPr>
                </pic:pic>
              </a:graphicData>
            </a:graphic>
          </wp:inline>
        </w:drawing>
      </w:r>
      <w:r>
        <w:rPr>
          <w:spacing w:val="80"/>
          <w:sz w:val="20"/>
        </w:rPr>
        <w:t xml:space="preserve"> </w:t>
      </w:r>
      <w:r>
        <w:t>National private school samples for civics and U.S. history at grade 8</w:t>
      </w:r>
    </w:p>
    <w:p w:rsidR="003F5784" w14:paraId="69FB569C" w14:textId="77777777">
      <w:pPr>
        <w:pStyle w:val="BodyText"/>
        <w:spacing w:before="2" w:line="232" w:lineRule="auto"/>
        <w:ind w:left="422" w:right="7809"/>
      </w:pPr>
      <w:r>
        <w:rPr>
          <w:noProof/>
          <w:position w:val="3"/>
        </w:rPr>
        <w:drawing>
          <wp:inline distT="0" distB="0" distL="0" distR="0">
            <wp:extent cx="41379" cy="41378"/>
            <wp:effectExtent l="0" t="0" r="0" b="0"/>
            <wp:docPr id="497" name="Image 497"/>
            <wp:cNvGraphicFramePr/>
            <a:graphic xmlns:a="http://schemas.openxmlformats.org/drawingml/2006/main">
              <a:graphicData uri="http://schemas.openxmlformats.org/drawingml/2006/picture">
                <pic:pic xmlns:pic="http://schemas.openxmlformats.org/drawingml/2006/picture">
                  <pic:nvPicPr>
                    <pic:cNvPr id="497" name="Image 497"/>
                    <pic:cNvPicPr/>
                  </pic:nvPicPr>
                  <pic:blipFill>
                    <a:blip xmlns:r="http://schemas.openxmlformats.org/officeDocument/2006/relationships" r:embed="rId392" cstate="print"/>
                    <a:stretch>
                      <a:fillRect/>
                    </a:stretch>
                  </pic:blipFill>
                  <pic:spPr>
                    <a:xfrm>
                      <a:off x="0" y="0"/>
                      <a:ext cx="41379" cy="41378"/>
                    </a:xfrm>
                    <a:prstGeom prst="rect">
                      <a:avLst/>
                    </a:prstGeom>
                  </pic:spPr>
                </pic:pic>
              </a:graphicData>
            </a:graphic>
          </wp:inline>
        </w:drawing>
      </w:r>
      <w:r>
        <w:rPr>
          <w:spacing w:val="80"/>
          <w:sz w:val="20"/>
        </w:rPr>
        <w:t xml:space="preserve"> </w:t>
      </w:r>
      <w:r>
        <w:t>National</w:t>
      </w:r>
      <w:r>
        <w:rPr>
          <w:spacing w:val="-2"/>
        </w:rPr>
        <w:t xml:space="preserve"> </w:t>
      </w:r>
      <w:r>
        <w:t>public</w:t>
      </w:r>
      <w:r>
        <w:rPr>
          <w:spacing w:val="-2"/>
        </w:rPr>
        <w:t xml:space="preserve"> </w:t>
      </w:r>
      <w:r>
        <w:t>school</w:t>
      </w:r>
      <w:r>
        <w:rPr>
          <w:spacing w:val="-2"/>
        </w:rPr>
        <w:t xml:space="preserve"> </w:t>
      </w:r>
      <w:r>
        <w:t>samples</w:t>
      </w:r>
      <w:r>
        <w:rPr>
          <w:spacing w:val="-2"/>
        </w:rPr>
        <w:t xml:space="preserve"> </w:t>
      </w:r>
      <w:r>
        <w:t>for</w:t>
      </w:r>
      <w:r>
        <w:rPr>
          <w:spacing w:val="-2"/>
        </w:rPr>
        <w:t xml:space="preserve"> </w:t>
      </w:r>
      <w:r>
        <w:t>mathematics</w:t>
      </w:r>
      <w:r>
        <w:rPr>
          <w:spacing w:val="-2"/>
        </w:rPr>
        <w:t xml:space="preserve"> </w:t>
      </w:r>
      <w:r>
        <w:t>and</w:t>
      </w:r>
      <w:r>
        <w:rPr>
          <w:spacing w:val="-2"/>
        </w:rPr>
        <w:t xml:space="preserve"> </w:t>
      </w:r>
      <w:r>
        <w:t>reading</w:t>
      </w:r>
      <w:r>
        <w:rPr>
          <w:spacing w:val="-2"/>
        </w:rPr>
        <w:t xml:space="preserve"> </w:t>
      </w:r>
      <w:r>
        <w:t>at</w:t>
      </w:r>
      <w:r>
        <w:rPr>
          <w:spacing w:val="-2"/>
        </w:rPr>
        <w:t xml:space="preserve"> </w:t>
      </w:r>
      <w:r>
        <w:t>ages</w:t>
      </w:r>
      <w:r>
        <w:rPr>
          <w:spacing w:val="-2"/>
        </w:rPr>
        <w:t xml:space="preserve"> </w:t>
      </w:r>
      <w:r>
        <w:t>9</w:t>
      </w:r>
      <w:r>
        <w:rPr>
          <w:spacing w:val="-2"/>
        </w:rPr>
        <w:t xml:space="preserve"> </w:t>
      </w:r>
      <w:r>
        <w:t>and</w:t>
      </w:r>
      <w:r>
        <w:rPr>
          <w:spacing w:val="-2"/>
        </w:rPr>
        <w:t xml:space="preserve"> </w:t>
      </w:r>
      <w:r>
        <w:t xml:space="preserve">13 </w:t>
      </w:r>
      <w:r>
        <w:rPr>
          <w:noProof/>
          <w:position w:val="3"/>
        </w:rPr>
        <w:drawing>
          <wp:inline distT="0" distB="0" distL="0" distR="0">
            <wp:extent cx="41379" cy="41378"/>
            <wp:effectExtent l="0" t="0" r="0" b="0"/>
            <wp:docPr id="498" name="Image 498"/>
            <wp:cNvGraphicFramePr/>
            <a:graphic xmlns:a="http://schemas.openxmlformats.org/drawingml/2006/main">
              <a:graphicData uri="http://schemas.openxmlformats.org/drawingml/2006/picture">
                <pic:pic xmlns:pic="http://schemas.openxmlformats.org/drawingml/2006/picture">
                  <pic:nvPicPr>
                    <pic:cNvPr id="498" name="Image 498"/>
                    <pic:cNvPicPr/>
                  </pic:nvPicPr>
                  <pic:blipFill>
                    <a:blip xmlns:r="http://schemas.openxmlformats.org/officeDocument/2006/relationships" r:embed="rId393" cstate="print"/>
                    <a:stretch>
                      <a:fillRect/>
                    </a:stretch>
                  </pic:blipFill>
                  <pic:spPr>
                    <a:xfrm>
                      <a:off x="0" y="0"/>
                      <a:ext cx="41379" cy="41378"/>
                    </a:xfrm>
                    <a:prstGeom prst="rect">
                      <a:avLst/>
                    </a:prstGeom>
                  </pic:spPr>
                </pic:pic>
              </a:graphicData>
            </a:graphic>
          </wp:inline>
        </w:drawing>
      </w:r>
      <w:r>
        <w:rPr>
          <w:spacing w:val="75"/>
        </w:rPr>
        <w:t xml:space="preserve"> </w:t>
      </w:r>
      <w:r>
        <w:t>National</w:t>
      </w:r>
      <w:r>
        <w:rPr>
          <w:spacing w:val="-6"/>
        </w:rPr>
        <w:t xml:space="preserve"> </w:t>
      </w:r>
      <w:r>
        <w:t>private</w:t>
      </w:r>
      <w:r>
        <w:rPr>
          <w:spacing w:val="-6"/>
        </w:rPr>
        <w:t xml:space="preserve"> </w:t>
      </w:r>
      <w:r>
        <w:t>school</w:t>
      </w:r>
      <w:r>
        <w:rPr>
          <w:spacing w:val="-6"/>
        </w:rPr>
        <w:t xml:space="preserve"> </w:t>
      </w:r>
      <w:r>
        <w:t>samples</w:t>
      </w:r>
      <w:r>
        <w:rPr>
          <w:spacing w:val="-6"/>
        </w:rPr>
        <w:t xml:space="preserve"> </w:t>
      </w:r>
      <w:r>
        <w:t>for</w:t>
      </w:r>
      <w:r>
        <w:rPr>
          <w:spacing w:val="-6"/>
        </w:rPr>
        <w:t xml:space="preserve"> </w:t>
      </w:r>
      <w:r>
        <w:t>mathematics</w:t>
      </w:r>
      <w:r>
        <w:rPr>
          <w:spacing w:val="-6"/>
        </w:rPr>
        <w:t xml:space="preserve"> </w:t>
      </w:r>
      <w:r>
        <w:t>and</w:t>
      </w:r>
      <w:r>
        <w:rPr>
          <w:spacing w:val="-6"/>
        </w:rPr>
        <w:t xml:space="preserve"> </w:t>
      </w:r>
      <w:r>
        <w:t>reading</w:t>
      </w:r>
      <w:r>
        <w:rPr>
          <w:spacing w:val="-6"/>
        </w:rPr>
        <w:t xml:space="preserve"> </w:t>
      </w:r>
      <w:r>
        <w:t>at</w:t>
      </w:r>
      <w:r>
        <w:rPr>
          <w:spacing w:val="-6"/>
        </w:rPr>
        <w:t xml:space="preserve"> </w:t>
      </w:r>
      <w:r>
        <w:t>ages</w:t>
      </w:r>
      <w:r>
        <w:rPr>
          <w:spacing w:val="-6"/>
        </w:rPr>
        <w:t xml:space="preserve"> </w:t>
      </w:r>
      <w:r>
        <w:t>9</w:t>
      </w:r>
      <w:r>
        <w:rPr>
          <w:spacing w:val="-6"/>
        </w:rPr>
        <w:t xml:space="preserve"> </w:t>
      </w:r>
      <w:r>
        <w:t>and</w:t>
      </w:r>
      <w:r>
        <w:rPr>
          <w:spacing w:val="-6"/>
        </w:rPr>
        <w:t xml:space="preserve"> </w:t>
      </w:r>
      <w:r>
        <w:t>13</w:t>
      </w:r>
    </w:p>
    <w:p w:rsidR="003F5784" w14:paraId="6A3682B3" w14:textId="77777777">
      <w:pPr>
        <w:pStyle w:val="BodyText"/>
      </w:pPr>
    </w:p>
    <w:p w:rsidR="003F5784" w14:paraId="4840F9AC" w14:textId="77777777">
      <w:pPr>
        <w:pStyle w:val="BodyText"/>
      </w:pPr>
    </w:p>
    <w:p w:rsidR="003F5784" w14:paraId="7FB723DB" w14:textId="77777777">
      <w:pPr>
        <w:pStyle w:val="BodyText"/>
        <w:spacing w:before="145"/>
      </w:pPr>
    </w:p>
    <w:p w:rsidR="003F5784" w14:paraId="2FE789BC" w14:textId="77777777">
      <w:pPr>
        <w:spacing w:before="1"/>
        <w:ind w:left="4603"/>
        <w:rPr>
          <w:sz w:val="18"/>
        </w:rPr>
      </w:pPr>
      <w:hyperlink r:id="rId394">
        <w:r>
          <w:rPr>
            <w:spacing w:val="-2"/>
            <w:w w:val="105"/>
            <w:sz w:val="18"/>
          </w:rPr>
          <w:t>http://nces.ed.gov/nationsreportcard/tdw/weighting/2022/computation_of_full_sample_student_weights_for_the_2022_assessment.aspx</w:t>
        </w:r>
      </w:hyperlink>
    </w:p>
    <w:p w:rsidR="003F5784" w14:paraId="609BD0D4" w14:textId="77777777">
      <w:pPr>
        <w:pStyle w:val="BodyText"/>
        <w:rPr>
          <w:sz w:val="16"/>
        </w:rPr>
      </w:pPr>
      <w:r>
        <w:rPr>
          <w:noProof/>
        </w:rPr>
        <mc:AlternateContent>
          <mc:Choice Requires="wps">
            <w:drawing>
              <wp:anchor distT="0" distB="0" distL="0" distR="0" simplePos="0" relativeHeight="251970560" behindDoc="1" locked="0" layoutInCell="1" allowOverlap="1">
                <wp:simplePos x="0" y="0"/>
                <wp:positionH relativeFrom="page">
                  <wp:posOffset>361937</wp:posOffset>
                </wp:positionH>
                <wp:positionV relativeFrom="paragraph">
                  <wp:posOffset>132374</wp:posOffset>
                </wp:positionV>
                <wp:extent cx="9339580" cy="8890"/>
                <wp:effectExtent l="0" t="0" r="0" b="0"/>
                <wp:wrapTopAndBottom/>
                <wp:docPr id="499" name="Graphic 499"/>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67"/>
                              </a:lnTo>
                              <a:lnTo>
                                <a:pt x="9335110" y="8293"/>
                              </a:lnTo>
                              <a:lnTo>
                                <a:pt x="9338970" y="8293"/>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499" o:spid="_x0000_s1167" style="width:735.4pt;height:0.7pt;margin-top:10.4pt;margin-left:28.5pt;mso-position-horizontal-relative:page;mso-wrap-distance-bottom:0;mso-wrap-distance-left:0;mso-wrap-distance-right:0;mso-wrap-distance-top:0;mso-wrap-style:square;position:absolute;visibility:visible;v-text-anchor:top;z-index:-251344896" coordsize="9339580,8890" path="m9338970,25l9335110,25l8280,25,,,,8267l9335110,8293l9338970,8293l9338970,25xe" fillcolor="gray" stroked="f">
                <v:path arrowok="t"/>
                <w10:wrap type="topAndBottom"/>
              </v:shape>
            </w:pict>
          </mc:Fallback>
        </mc:AlternateContent>
      </w:r>
    </w:p>
    <w:p w:rsidR="003F5784" w14:paraId="54A7458F" w14:textId="77777777">
      <w:pPr>
        <w:pStyle w:val="BodyText"/>
        <w:rPr>
          <w:sz w:val="18"/>
        </w:rPr>
      </w:pPr>
    </w:p>
    <w:p w:rsidR="003F5784" w14:paraId="3024520C" w14:textId="77777777">
      <w:pPr>
        <w:pStyle w:val="BodyText"/>
        <w:spacing w:before="193"/>
        <w:rPr>
          <w:sz w:val="18"/>
        </w:rPr>
      </w:pPr>
    </w:p>
    <w:p w:rsidR="003F5784" w14:paraId="7C6C5AB1" w14:textId="0FA5335D">
      <w:pPr>
        <w:pStyle w:val="Heading1"/>
      </w:pPr>
      <w:r>
        <w:t>NAEP</w:t>
      </w:r>
      <w:r>
        <w:rPr>
          <w:spacing w:val="-22"/>
        </w:rPr>
        <w:t xml:space="preserve"> </w:t>
      </w:r>
      <w:r>
        <w:t>Technical</w:t>
      </w:r>
      <w:r>
        <w:rPr>
          <w:spacing w:val="12"/>
        </w:rPr>
        <w:t xml:space="preserve"> </w:t>
      </w:r>
      <w:r>
        <w:t>Documentation</w:t>
      </w:r>
      <w:r w:rsidR="00E3225D">
        <w:t xml:space="preserve"> </w:t>
      </w:r>
      <w:r>
        <w:t>Computation</w:t>
      </w:r>
      <w:r>
        <w:rPr>
          <w:spacing w:val="12"/>
        </w:rPr>
        <w:t xml:space="preserve"> </w:t>
      </w:r>
      <w:r>
        <w:t>of</w:t>
      </w:r>
      <w:r>
        <w:rPr>
          <w:spacing w:val="12"/>
        </w:rPr>
        <w:t xml:space="preserve"> </w:t>
      </w:r>
      <w:r>
        <w:t>Base</w:t>
      </w:r>
      <w:r>
        <w:rPr>
          <w:spacing w:val="4"/>
        </w:rPr>
        <w:t xml:space="preserve"> </w:t>
      </w:r>
      <w:r>
        <w:rPr>
          <w:spacing w:val="-2"/>
        </w:rPr>
        <w:t>Weights</w:t>
      </w:r>
    </w:p>
    <w:p w:rsidR="003F5784" w14:paraId="63E02B50" w14:textId="77777777">
      <w:pPr>
        <w:sectPr>
          <w:type w:val="continuous"/>
          <w:pgSz w:w="15840" w:h="12240" w:orient="landscape"/>
          <w:pgMar w:top="480" w:right="440" w:bottom="460" w:left="460" w:header="284" w:footer="275" w:gutter="0"/>
          <w:cols w:space="720"/>
        </w:sectPr>
      </w:pPr>
    </w:p>
    <w:p w:rsidR="003F5784" w14:paraId="29EA9560" w14:textId="77777777">
      <w:pPr>
        <w:pStyle w:val="BodyText"/>
        <w:spacing w:before="78" w:line="232" w:lineRule="auto"/>
        <w:ind w:left="109"/>
      </w:pPr>
      <w:r>
        <w:t>Every</w:t>
      </w:r>
      <w:r>
        <w:rPr>
          <w:spacing w:val="-6"/>
        </w:rPr>
        <w:t xml:space="preserve"> </w:t>
      </w:r>
      <w:r>
        <w:t>sampled</w:t>
      </w:r>
      <w:r>
        <w:rPr>
          <w:spacing w:val="-6"/>
        </w:rPr>
        <w:t xml:space="preserve"> </w:t>
      </w:r>
      <w:r>
        <w:t>school</w:t>
      </w:r>
      <w:r>
        <w:rPr>
          <w:spacing w:val="-6"/>
        </w:rPr>
        <w:t xml:space="preserve"> </w:t>
      </w:r>
      <w:r>
        <w:t>and</w:t>
      </w:r>
      <w:r>
        <w:rPr>
          <w:spacing w:val="-6"/>
        </w:rPr>
        <w:t xml:space="preserve"> </w:t>
      </w:r>
      <w:r>
        <w:t>student</w:t>
      </w:r>
      <w:r>
        <w:rPr>
          <w:spacing w:val="-6"/>
        </w:rPr>
        <w:t xml:space="preserve"> </w:t>
      </w:r>
      <w:r>
        <w:t>received</w:t>
      </w:r>
      <w:r>
        <w:rPr>
          <w:spacing w:val="-6"/>
        </w:rPr>
        <w:t xml:space="preserve"> </w:t>
      </w:r>
      <w:r>
        <w:t>a</w:t>
      </w:r>
      <w:r>
        <w:rPr>
          <w:spacing w:val="-6"/>
        </w:rPr>
        <w:t xml:space="preserve"> </w:t>
      </w:r>
      <w:r>
        <w:t>base</w:t>
      </w:r>
      <w:r>
        <w:rPr>
          <w:spacing w:val="-6"/>
        </w:rPr>
        <w:t xml:space="preserve"> </w:t>
      </w:r>
      <w:r>
        <w:t>weight</w:t>
      </w:r>
      <w:r>
        <w:rPr>
          <w:spacing w:val="-6"/>
        </w:rPr>
        <w:t xml:space="preserve"> </w:t>
      </w:r>
      <w:r>
        <w:t>equal</w:t>
      </w:r>
      <w:r>
        <w:rPr>
          <w:spacing w:val="-6"/>
        </w:rPr>
        <w:t xml:space="preserve"> </w:t>
      </w:r>
      <w:r>
        <w:t>to</w:t>
      </w:r>
      <w:r>
        <w:rPr>
          <w:spacing w:val="-6"/>
        </w:rPr>
        <w:t xml:space="preserve"> </w:t>
      </w:r>
      <w:r>
        <w:t>the</w:t>
      </w:r>
      <w:r>
        <w:rPr>
          <w:spacing w:val="-6"/>
        </w:rPr>
        <w:t xml:space="preserve"> </w:t>
      </w:r>
      <w:r>
        <w:t>reciprocal</w:t>
      </w:r>
      <w:r>
        <w:rPr>
          <w:spacing w:val="-6"/>
        </w:rPr>
        <w:t xml:space="preserve"> </w:t>
      </w:r>
      <w:r>
        <w:t>of</w:t>
      </w:r>
      <w:r>
        <w:rPr>
          <w:spacing w:val="-6"/>
        </w:rPr>
        <w:t xml:space="preserve"> </w:t>
      </w:r>
      <w:r>
        <w:t>its</w:t>
      </w:r>
      <w:r>
        <w:rPr>
          <w:spacing w:val="-6"/>
        </w:rPr>
        <w:t xml:space="preserve"> </w:t>
      </w:r>
      <w:r>
        <w:t>probability</w:t>
      </w:r>
      <w:r>
        <w:rPr>
          <w:spacing w:val="-6"/>
        </w:rPr>
        <w:t xml:space="preserve"> </w:t>
      </w:r>
      <w:r>
        <w:t>of</w:t>
      </w:r>
      <w:r>
        <w:rPr>
          <w:spacing w:val="-6"/>
        </w:rPr>
        <w:t xml:space="preserve"> </w:t>
      </w:r>
      <w:r>
        <w:t>selection.</w:t>
      </w:r>
      <w:r>
        <w:rPr>
          <w:spacing w:val="-6"/>
        </w:rPr>
        <w:t xml:space="preserve"> </w:t>
      </w:r>
      <w:r>
        <w:t>Computation</w:t>
      </w:r>
      <w:r>
        <w:rPr>
          <w:spacing w:val="-6"/>
        </w:rPr>
        <w:t xml:space="preserve"> </w:t>
      </w:r>
      <w:r>
        <w:t>of</w:t>
      </w:r>
      <w:r>
        <w:rPr>
          <w:spacing w:val="-6"/>
        </w:rPr>
        <w:t xml:space="preserve"> </w:t>
      </w:r>
      <w:r>
        <w:t>a</w:t>
      </w:r>
      <w:r>
        <w:rPr>
          <w:spacing w:val="-6"/>
        </w:rPr>
        <w:t xml:space="preserve"> </w:t>
      </w:r>
      <w:r>
        <w:t>school</w:t>
      </w:r>
      <w:r>
        <w:rPr>
          <w:spacing w:val="-6"/>
        </w:rPr>
        <w:t xml:space="preserve"> </w:t>
      </w:r>
      <w:r>
        <w:t>base</w:t>
      </w:r>
      <w:r>
        <w:rPr>
          <w:spacing w:val="-6"/>
        </w:rPr>
        <w:t xml:space="preserve"> </w:t>
      </w:r>
      <w:r>
        <w:t>weight varies by</w:t>
      </w:r>
    </w:p>
    <w:p w:rsidR="003F5784" w14:paraId="27713A46" w14:textId="77777777">
      <w:pPr>
        <w:pStyle w:val="BodyText"/>
        <w:spacing w:before="209" w:line="232" w:lineRule="auto"/>
        <w:ind w:left="422" w:right="7628"/>
      </w:pPr>
      <w:r>
        <w:rPr>
          <w:noProof/>
          <w:position w:val="3"/>
        </w:rPr>
        <w:drawing>
          <wp:inline distT="0" distB="0" distL="0" distR="0">
            <wp:extent cx="41379" cy="41378"/>
            <wp:effectExtent l="0" t="0" r="0" b="0"/>
            <wp:docPr id="500" name="Image 500"/>
            <wp:cNvGraphicFramePr/>
            <a:graphic xmlns:a="http://schemas.openxmlformats.org/drawingml/2006/main">
              <a:graphicData uri="http://schemas.openxmlformats.org/drawingml/2006/picture">
                <pic:pic xmlns:pic="http://schemas.openxmlformats.org/drawingml/2006/picture">
                  <pic:nvPicPr>
                    <pic:cNvPr id="500" name="Image 500"/>
                    <pic:cNvPicPr/>
                  </pic:nvPicPr>
                  <pic:blipFill>
                    <a:blip xmlns:r="http://schemas.openxmlformats.org/officeDocument/2006/relationships" r:embed="rId395" cstate="print"/>
                    <a:stretch>
                      <a:fillRect/>
                    </a:stretch>
                  </pic:blipFill>
                  <pic:spPr>
                    <a:xfrm>
                      <a:off x="0" y="0"/>
                      <a:ext cx="41379" cy="41378"/>
                    </a:xfrm>
                    <a:prstGeom prst="rect">
                      <a:avLst/>
                    </a:prstGeom>
                  </pic:spPr>
                </pic:pic>
              </a:graphicData>
            </a:graphic>
          </wp:inline>
        </w:drawing>
      </w:r>
      <w:r>
        <w:rPr>
          <w:spacing w:val="76"/>
          <w:sz w:val="20"/>
        </w:rPr>
        <w:t xml:space="preserve"> </w:t>
      </w:r>
      <w:r>
        <w:t>type</w:t>
      </w:r>
      <w:r>
        <w:rPr>
          <w:spacing w:val="-8"/>
        </w:rPr>
        <w:t xml:space="preserve"> </w:t>
      </w:r>
      <w:r>
        <w:t>of</w:t>
      </w:r>
      <w:r>
        <w:rPr>
          <w:spacing w:val="-8"/>
        </w:rPr>
        <w:t xml:space="preserve"> </w:t>
      </w:r>
      <w:r>
        <w:t>sampled</w:t>
      </w:r>
      <w:r>
        <w:rPr>
          <w:spacing w:val="-8"/>
        </w:rPr>
        <w:t xml:space="preserve"> </w:t>
      </w:r>
      <w:r>
        <w:t>school</w:t>
      </w:r>
      <w:r>
        <w:rPr>
          <w:spacing w:val="-8"/>
        </w:rPr>
        <w:t xml:space="preserve"> </w:t>
      </w:r>
      <w:r>
        <w:t>(original</w:t>
      </w:r>
      <w:r>
        <w:rPr>
          <w:spacing w:val="-8"/>
        </w:rPr>
        <w:t xml:space="preserve"> </w:t>
      </w:r>
      <w:r>
        <w:t>or</w:t>
      </w:r>
      <w:r>
        <w:rPr>
          <w:spacing w:val="-8"/>
        </w:rPr>
        <w:t xml:space="preserve"> </w:t>
      </w:r>
      <w:r>
        <w:t>substitute);</w:t>
      </w:r>
      <w:r>
        <w:rPr>
          <w:spacing w:val="-8"/>
        </w:rPr>
        <w:t xml:space="preserve"> </w:t>
      </w:r>
      <w:r>
        <w:t xml:space="preserve">and </w:t>
      </w:r>
      <w:r>
        <w:rPr>
          <w:noProof/>
          <w:position w:val="3"/>
        </w:rPr>
        <w:drawing>
          <wp:inline distT="0" distB="0" distL="0" distR="0">
            <wp:extent cx="41379" cy="41378"/>
            <wp:effectExtent l="0" t="0" r="0" b="0"/>
            <wp:docPr id="501" name="Image 501"/>
            <wp:cNvGraphicFramePr/>
            <a:graphic xmlns:a="http://schemas.openxmlformats.org/drawingml/2006/main">
              <a:graphicData uri="http://schemas.openxmlformats.org/drawingml/2006/picture">
                <pic:pic xmlns:pic="http://schemas.openxmlformats.org/drawingml/2006/picture">
                  <pic:nvPicPr>
                    <pic:cNvPr id="501" name="Image 501"/>
                    <pic:cNvPicPr/>
                  </pic:nvPicPr>
                  <pic:blipFill>
                    <a:blip xmlns:r="http://schemas.openxmlformats.org/officeDocument/2006/relationships" r:embed="rId396" cstate="print"/>
                    <a:stretch>
                      <a:fillRect/>
                    </a:stretch>
                  </pic:blipFill>
                  <pic:spPr>
                    <a:xfrm>
                      <a:off x="0" y="0"/>
                      <a:ext cx="41379" cy="41378"/>
                    </a:xfrm>
                    <a:prstGeom prst="rect">
                      <a:avLst/>
                    </a:prstGeom>
                  </pic:spPr>
                </pic:pic>
              </a:graphicData>
            </a:graphic>
          </wp:inline>
        </w:drawing>
      </w:r>
      <w:r>
        <w:rPr>
          <w:spacing w:val="80"/>
        </w:rPr>
        <w:t xml:space="preserve"> </w:t>
      </w:r>
      <w:r>
        <w:t>sampling frame (new school frame or not).</w:t>
      </w:r>
    </w:p>
    <w:p w:rsidR="003F5784" w14:paraId="3DD56453" w14:textId="77777777">
      <w:pPr>
        <w:pStyle w:val="BodyText"/>
        <w:spacing w:before="204"/>
        <w:ind w:left="109"/>
      </w:pPr>
      <w:r>
        <w:t>Computation</w:t>
      </w:r>
      <w:r>
        <w:rPr>
          <w:spacing w:val="-6"/>
        </w:rPr>
        <w:t xml:space="preserve"> </w:t>
      </w:r>
      <w:r>
        <w:t>of</w:t>
      </w:r>
      <w:r>
        <w:rPr>
          <w:spacing w:val="-6"/>
        </w:rPr>
        <w:t xml:space="preserve"> </w:t>
      </w:r>
      <w:r>
        <w:t>a</w:t>
      </w:r>
      <w:r>
        <w:rPr>
          <w:spacing w:val="-6"/>
        </w:rPr>
        <w:t xml:space="preserve"> </w:t>
      </w:r>
      <w:r>
        <w:t>student</w:t>
      </w:r>
      <w:r>
        <w:rPr>
          <w:spacing w:val="-6"/>
        </w:rPr>
        <w:t xml:space="preserve"> </w:t>
      </w:r>
      <w:r>
        <w:t>base</w:t>
      </w:r>
      <w:r>
        <w:rPr>
          <w:spacing w:val="-6"/>
        </w:rPr>
        <w:t xml:space="preserve"> </w:t>
      </w:r>
      <w:r>
        <w:t>weight</w:t>
      </w:r>
      <w:r>
        <w:rPr>
          <w:spacing w:val="-6"/>
        </w:rPr>
        <w:t xml:space="preserve"> </w:t>
      </w:r>
      <w:r>
        <w:rPr>
          <w:spacing w:val="-2"/>
        </w:rPr>
        <w:t>reflects</w:t>
      </w:r>
    </w:p>
    <w:p w:rsidR="003F5784" w14:paraId="3E769646" w14:textId="77777777">
      <w:pPr>
        <w:pStyle w:val="BodyText"/>
        <w:spacing w:before="207" w:line="232" w:lineRule="auto"/>
        <w:ind w:left="422" w:right="4497"/>
      </w:pPr>
      <w:r>
        <w:rPr>
          <w:noProof/>
          <w:position w:val="3"/>
        </w:rPr>
        <w:drawing>
          <wp:inline distT="0" distB="0" distL="0" distR="0">
            <wp:extent cx="41379" cy="41378"/>
            <wp:effectExtent l="0" t="0" r="0" b="0"/>
            <wp:docPr id="502" name="Image 502"/>
            <wp:cNvGraphicFramePr/>
            <a:graphic xmlns:a="http://schemas.openxmlformats.org/drawingml/2006/main">
              <a:graphicData uri="http://schemas.openxmlformats.org/drawingml/2006/picture">
                <pic:pic xmlns:pic="http://schemas.openxmlformats.org/drawingml/2006/picture">
                  <pic:nvPicPr>
                    <pic:cNvPr id="502" name="Image 502"/>
                    <pic:cNvPicPr/>
                  </pic:nvPicPr>
                  <pic:blipFill>
                    <a:blip xmlns:r="http://schemas.openxmlformats.org/officeDocument/2006/relationships" r:embed="rId397" cstate="print"/>
                    <a:stretch>
                      <a:fillRect/>
                    </a:stretch>
                  </pic:blipFill>
                  <pic:spPr>
                    <a:xfrm>
                      <a:off x="0" y="0"/>
                      <a:ext cx="41379" cy="41378"/>
                    </a:xfrm>
                    <a:prstGeom prst="rect">
                      <a:avLst/>
                    </a:prstGeom>
                  </pic:spPr>
                </pic:pic>
              </a:graphicData>
            </a:graphic>
          </wp:inline>
        </w:drawing>
      </w:r>
      <w:r>
        <w:rPr>
          <w:spacing w:val="77"/>
          <w:sz w:val="20"/>
        </w:rPr>
        <w:t xml:space="preserve"> </w:t>
      </w:r>
      <w:r>
        <w:t>the</w:t>
      </w:r>
      <w:r>
        <w:rPr>
          <w:spacing w:val="-7"/>
        </w:rPr>
        <w:t xml:space="preserve"> </w:t>
      </w:r>
      <w:r>
        <w:t>student's</w:t>
      </w:r>
      <w:r>
        <w:rPr>
          <w:spacing w:val="-7"/>
        </w:rPr>
        <w:t xml:space="preserve"> </w:t>
      </w:r>
      <w:r>
        <w:t>overall</w:t>
      </w:r>
      <w:r>
        <w:rPr>
          <w:spacing w:val="-7"/>
        </w:rPr>
        <w:t xml:space="preserve"> </w:t>
      </w:r>
      <w:r>
        <w:t>probability</w:t>
      </w:r>
      <w:r>
        <w:rPr>
          <w:spacing w:val="-7"/>
        </w:rPr>
        <w:t xml:space="preserve"> </w:t>
      </w:r>
      <w:r>
        <w:t>of</w:t>
      </w:r>
      <w:r>
        <w:rPr>
          <w:spacing w:val="-7"/>
        </w:rPr>
        <w:t xml:space="preserve"> </w:t>
      </w:r>
      <w:r>
        <w:t>selection</w:t>
      </w:r>
      <w:r>
        <w:rPr>
          <w:spacing w:val="-7"/>
        </w:rPr>
        <w:t xml:space="preserve"> </w:t>
      </w:r>
      <w:r>
        <w:t>accounting</w:t>
      </w:r>
      <w:r>
        <w:rPr>
          <w:spacing w:val="-7"/>
        </w:rPr>
        <w:t xml:space="preserve"> </w:t>
      </w:r>
      <w:r>
        <w:t>for</w:t>
      </w:r>
      <w:r>
        <w:rPr>
          <w:spacing w:val="-7"/>
        </w:rPr>
        <w:t xml:space="preserve"> </w:t>
      </w:r>
      <w:r>
        <w:t>school</w:t>
      </w:r>
      <w:r>
        <w:rPr>
          <w:spacing w:val="-7"/>
        </w:rPr>
        <w:t xml:space="preserve"> </w:t>
      </w:r>
      <w:r>
        <w:t>and</w:t>
      </w:r>
      <w:r>
        <w:rPr>
          <w:spacing w:val="-7"/>
        </w:rPr>
        <w:t xml:space="preserve"> </w:t>
      </w:r>
      <w:r>
        <w:t>student</w:t>
      </w:r>
      <w:r>
        <w:rPr>
          <w:spacing w:val="-7"/>
        </w:rPr>
        <w:t xml:space="preserve"> </w:t>
      </w:r>
      <w:r>
        <w:t xml:space="preserve">sampling; </w:t>
      </w:r>
      <w:r>
        <w:rPr>
          <w:noProof/>
          <w:position w:val="3"/>
        </w:rPr>
        <w:drawing>
          <wp:inline distT="0" distB="0" distL="0" distR="0">
            <wp:extent cx="41379" cy="41378"/>
            <wp:effectExtent l="0" t="0" r="0" b="0"/>
            <wp:docPr id="503" name="Image 503"/>
            <wp:cNvGraphicFramePr/>
            <a:graphic xmlns:a="http://schemas.openxmlformats.org/drawingml/2006/main">
              <a:graphicData uri="http://schemas.openxmlformats.org/drawingml/2006/picture">
                <pic:pic xmlns:pic="http://schemas.openxmlformats.org/drawingml/2006/picture">
                  <pic:nvPicPr>
                    <pic:cNvPr id="503" name="Image 503"/>
                    <pic:cNvPicPr/>
                  </pic:nvPicPr>
                  <pic:blipFill>
                    <a:blip xmlns:r="http://schemas.openxmlformats.org/officeDocument/2006/relationships" r:embed="rId398" cstate="print"/>
                    <a:stretch>
                      <a:fillRect/>
                    </a:stretch>
                  </pic:blipFill>
                  <pic:spPr>
                    <a:xfrm>
                      <a:off x="0" y="0"/>
                      <a:ext cx="41379" cy="41378"/>
                    </a:xfrm>
                    <a:prstGeom prst="rect">
                      <a:avLst/>
                    </a:prstGeom>
                  </pic:spPr>
                </pic:pic>
              </a:graphicData>
            </a:graphic>
          </wp:inline>
        </w:drawing>
      </w:r>
      <w:r>
        <w:rPr>
          <w:spacing w:val="80"/>
        </w:rPr>
        <w:t xml:space="preserve"> </w:t>
      </w:r>
      <w:r>
        <w:t>assignment to session type at the school- and student-level; and</w:t>
      </w:r>
    </w:p>
    <w:p w:rsidR="003F5784" w14:paraId="666FD844" w14:textId="77777777">
      <w:pPr>
        <w:pStyle w:val="BodyText"/>
        <w:spacing w:line="236" w:lineRule="exact"/>
        <w:ind w:left="422"/>
      </w:pPr>
      <w:r>
        <w:rPr>
          <w:noProof/>
          <w:position w:val="3"/>
        </w:rPr>
        <w:drawing>
          <wp:inline distT="0" distB="0" distL="0" distR="0">
            <wp:extent cx="41379" cy="41378"/>
            <wp:effectExtent l="0" t="0" r="0" b="0"/>
            <wp:docPr id="504" name="Image 504"/>
            <wp:cNvGraphicFramePr/>
            <a:graphic xmlns:a="http://schemas.openxmlformats.org/drawingml/2006/main">
              <a:graphicData uri="http://schemas.openxmlformats.org/drawingml/2006/picture">
                <pic:pic xmlns:pic="http://schemas.openxmlformats.org/drawingml/2006/picture">
                  <pic:nvPicPr>
                    <pic:cNvPr id="504" name="Image 504"/>
                    <pic:cNvPicPr/>
                  </pic:nvPicPr>
                  <pic:blipFill>
                    <a:blip xmlns:r="http://schemas.openxmlformats.org/officeDocument/2006/relationships" r:embed="rId399" cstate="print"/>
                    <a:stretch>
                      <a:fillRect/>
                    </a:stretch>
                  </pic:blipFill>
                  <pic:spPr>
                    <a:xfrm>
                      <a:off x="0" y="0"/>
                      <a:ext cx="41379" cy="41378"/>
                    </a:xfrm>
                    <a:prstGeom prst="rect">
                      <a:avLst/>
                    </a:prstGeom>
                  </pic:spPr>
                </pic:pic>
              </a:graphicData>
            </a:graphic>
          </wp:inline>
        </w:drawing>
      </w:r>
      <w:r>
        <w:rPr>
          <w:spacing w:val="80"/>
          <w:sz w:val="20"/>
        </w:rPr>
        <w:t xml:space="preserve"> </w:t>
      </w:r>
      <w:r>
        <w:t>the student's assignment to a particular subject.</w:t>
      </w:r>
    </w:p>
    <w:p w:rsidR="003F5784" w14:paraId="6BC88490" w14:textId="77777777">
      <w:pPr>
        <w:pStyle w:val="BodyText"/>
        <w:spacing w:before="72" w:line="439" w:lineRule="auto"/>
        <w:ind w:left="109"/>
      </w:pPr>
      <w:r>
        <w:br w:type="column"/>
        <w:t>School</w:t>
      </w:r>
      <w:r>
        <w:rPr>
          <w:spacing w:val="-4"/>
        </w:rPr>
        <w:t xml:space="preserve"> </w:t>
      </w:r>
      <w:r>
        <w:t>Base</w:t>
      </w:r>
      <w:r>
        <w:rPr>
          <w:spacing w:val="-8"/>
        </w:rPr>
        <w:t xml:space="preserve"> </w:t>
      </w:r>
      <w:r>
        <w:t>Weights Student</w:t>
      </w:r>
      <w:r>
        <w:rPr>
          <w:spacing w:val="-7"/>
        </w:rPr>
        <w:t xml:space="preserve"> </w:t>
      </w:r>
      <w:r>
        <w:t>Base</w:t>
      </w:r>
      <w:r>
        <w:rPr>
          <w:spacing w:val="-10"/>
        </w:rPr>
        <w:t xml:space="preserve"> </w:t>
      </w:r>
      <w:r>
        <w:rPr>
          <w:spacing w:val="-5"/>
        </w:rPr>
        <w:t>Weights</w:t>
      </w:r>
    </w:p>
    <w:p w:rsidR="003F5784" w14:paraId="06927CAE" w14:textId="77777777">
      <w:pPr>
        <w:spacing w:line="439" w:lineRule="auto"/>
        <w:sectPr>
          <w:pgSz w:w="15840" w:h="12240" w:orient="landscape"/>
          <w:pgMar w:top="480" w:right="440" w:bottom="460" w:left="460" w:header="284" w:footer="275" w:gutter="0"/>
          <w:cols w:num="2" w:space="720" w:equalWidth="0">
            <w:col w:w="12519" w:space="297"/>
            <w:col w:w="2124"/>
          </w:cols>
        </w:sectPr>
      </w:pPr>
    </w:p>
    <w:p w:rsidR="003F5784" w14:paraId="3CC5D622" w14:textId="77777777">
      <w:pPr>
        <w:pStyle w:val="BodyText"/>
        <w:rPr>
          <w:sz w:val="18"/>
        </w:rPr>
      </w:pPr>
    </w:p>
    <w:p w:rsidR="003F5784" w14:paraId="0CB4B5AA" w14:textId="77777777">
      <w:pPr>
        <w:pStyle w:val="BodyText"/>
        <w:rPr>
          <w:sz w:val="18"/>
        </w:rPr>
      </w:pPr>
    </w:p>
    <w:p w:rsidR="003F5784" w14:paraId="0BA9F009" w14:textId="77777777">
      <w:pPr>
        <w:pStyle w:val="BodyText"/>
        <w:rPr>
          <w:sz w:val="18"/>
        </w:rPr>
      </w:pPr>
    </w:p>
    <w:p w:rsidR="003F5784" w14:paraId="116A425E" w14:textId="77777777">
      <w:pPr>
        <w:pStyle w:val="BodyText"/>
        <w:spacing w:before="40"/>
        <w:rPr>
          <w:sz w:val="18"/>
        </w:rPr>
      </w:pPr>
    </w:p>
    <w:p w:rsidR="003F5784" w14:paraId="3480D35C" w14:textId="77777777">
      <w:pPr>
        <w:ind w:left="5792"/>
        <w:rPr>
          <w:sz w:val="18"/>
        </w:rPr>
      </w:pPr>
      <w:hyperlink r:id="rId400">
        <w:r>
          <w:rPr>
            <w:spacing w:val="-2"/>
            <w:w w:val="105"/>
            <w:sz w:val="18"/>
          </w:rPr>
          <w:t>http://nces.ed.gov/nationsreportcard/tdw/weighting/2022/computation_of_base_weights_for_the_2022_assessment.aspx</w:t>
        </w:r>
      </w:hyperlink>
    </w:p>
    <w:p w:rsidR="003F5784" w14:paraId="4D3947A3" w14:textId="77777777">
      <w:pPr>
        <w:pStyle w:val="BodyText"/>
        <w:spacing w:before="1"/>
        <w:rPr>
          <w:sz w:val="16"/>
        </w:rPr>
      </w:pPr>
      <w:r>
        <w:rPr>
          <w:noProof/>
        </w:rPr>
        <mc:AlternateContent>
          <mc:Choice Requires="wps">
            <w:drawing>
              <wp:anchor distT="0" distB="0" distL="0" distR="0" simplePos="0" relativeHeight="251972608" behindDoc="1" locked="0" layoutInCell="1" allowOverlap="1">
                <wp:simplePos x="0" y="0"/>
                <wp:positionH relativeFrom="page">
                  <wp:posOffset>361937</wp:posOffset>
                </wp:positionH>
                <wp:positionV relativeFrom="paragraph">
                  <wp:posOffset>132985</wp:posOffset>
                </wp:positionV>
                <wp:extent cx="9339580" cy="8890"/>
                <wp:effectExtent l="0" t="0" r="0" b="0"/>
                <wp:wrapTopAndBottom/>
                <wp:docPr id="505" name="Graphic 505"/>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67"/>
                              </a:lnTo>
                              <a:lnTo>
                                <a:pt x="9335110" y="8293"/>
                              </a:lnTo>
                              <a:lnTo>
                                <a:pt x="9338970" y="8293"/>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05" o:spid="_x0000_s1168" style="width:735.4pt;height:0.7pt;margin-top:10.45pt;margin-left:28.5pt;mso-position-horizontal-relative:page;mso-wrap-distance-bottom:0;mso-wrap-distance-left:0;mso-wrap-distance-right:0;mso-wrap-distance-top:0;mso-wrap-style:square;position:absolute;visibility:visible;v-text-anchor:top;z-index:-251342848" coordsize="9339580,8890" path="m9338970,25l9335110,25l8280,25,,,,8267l9335110,8293l9338970,8293l9338970,25xe" fillcolor="gray" stroked="f">
                <v:path arrowok="t"/>
                <w10:wrap type="topAndBottom"/>
              </v:shape>
            </w:pict>
          </mc:Fallback>
        </mc:AlternateContent>
      </w:r>
    </w:p>
    <w:p w:rsidR="003F5784" w14:paraId="297E228A" w14:textId="77777777">
      <w:pPr>
        <w:pStyle w:val="BodyText"/>
        <w:rPr>
          <w:sz w:val="18"/>
        </w:rPr>
      </w:pPr>
    </w:p>
    <w:p w:rsidR="003F5784" w14:paraId="66FFD84E" w14:textId="77777777">
      <w:pPr>
        <w:pStyle w:val="BodyText"/>
        <w:spacing w:before="193"/>
        <w:rPr>
          <w:sz w:val="18"/>
        </w:rPr>
      </w:pPr>
    </w:p>
    <w:p w:rsidR="003F5784" w14:paraId="001A0FD1" w14:textId="4FB027DD">
      <w:pPr>
        <w:pStyle w:val="Heading1"/>
      </w:pPr>
      <w:r>
        <w:t>NAEP</w:t>
      </w:r>
      <w:r>
        <w:rPr>
          <w:spacing w:val="-22"/>
        </w:rPr>
        <w:t xml:space="preserve"> </w:t>
      </w:r>
      <w:r>
        <w:t>Technical</w:t>
      </w:r>
      <w:r>
        <w:rPr>
          <w:spacing w:val="10"/>
        </w:rPr>
        <w:t xml:space="preserve"> </w:t>
      </w:r>
      <w:r>
        <w:t>Documentation</w:t>
      </w:r>
      <w:r w:rsidR="00E3225D">
        <w:t xml:space="preserve"> </w:t>
      </w:r>
      <w:r>
        <w:t>School</w:t>
      </w:r>
      <w:r>
        <w:rPr>
          <w:spacing w:val="11"/>
        </w:rPr>
        <w:t xml:space="preserve"> </w:t>
      </w:r>
      <w:r>
        <w:t>Base</w:t>
      </w:r>
      <w:r>
        <w:rPr>
          <w:spacing w:val="3"/>
        </w:rPr>
        <w:t xml:space="preserve"> </w:t>
      </w:r>
      <w:r>
        <w:rPr>
          <w:spacing w:val="-2"/>
        </w:rPr>
        <w:t>Weights</w:t>
      </w:r>
    </w:p>
    <w:p w:rsidR="003F5784" w14:paraId="02DD727C" w14:textId="77777777">
      <w:pPr>
        <w:pStyle w:val="BodyText"/>
        <w:spacing w:before="295" w:line="232" w:lineRule="auto"/>
        <w:ind w:left="109" w:right="179"/>
      </w:pPr>
      <w:r>
        <w:t>The</w:t>
      </w:r>
      <w:r>
        <w:rPr>
          <w:spacing w:val="-5"/>
        </w:rPr>
        <w:t xml:space="preserve"> </w:t>
      </w:r>
      <w:r>
        <w:t>school</w:t>
      </w:r>
      <w:r>
        <w:rPr>
          <w:spacing w:val="-5"/>
        </w:rPr>
        <w:t xml:space="preserve"> </w:t>
      </w:r>
      <w:r>
        <w:t>base</w:t>
      </w:r>
      <w:r>
        <w:rPr>
          <w:spacing w:val="-5"/>
        </w:rPr>
        <w:t xml:space="preserve"> </w:t>
      </w:r>
      <w:r>
        <w:t>weight</w:t>
      </w:r>
      <w:r>
        <w:rPr>
          <w:spacing w:val="-5"/>
        </w:rPr>
        <w:t xml:space="preserve"> </w:t>
      </w:r>
      <w:r>
        <w:t>for</w:t>
      </w:r>
      <w:r>
        <w:rPr>
          <w:spacing w:val="-5"/>
        </w:rPr>
        <w:t xml:space="preserve"> </w:t>
      </w:r>
      <w:r>
        <w:t>a</w:t>
      </w:r>
      <w:r>
        <w:rPr>
          <w:spacing w:val="-5"/>
        </w:rPr>
        <w:t xml:space="preserve"> </w:t>
      </w:r>
      <w:r>
        <w:t>sampled</w:t>
      </w:r>
      <w:r>
        <w:rPr>
          <w:spacing w:val="-5"/>
        </w:rPr>
        <w:t xml:space="preserve"> </w:t>
      </w:r>
      <w:r>
        <w:t>school</w:t>
      </w:r>
      <w:r>
        <w:rPr>
          <w:spacing w:val="-5"/>
        </w:rPr>
        <w:t xml:space="preserve"> </w:t>
      </w:r>
      <w:r>
        <w:t>is</w:t>
      </w:r>
      <w:r>
        <w:rPr>
          <w:spacing w:val="-5"/>
        </w:rPr>
        <w:t xml:space="preserve"> </w:t>
      </w:r>
      <w:r>
        <w:t>equal</w:t>
      </w:r>
      <w:r>
        <w:rPr>
          <w:spacing w:val="-5"/>
        </w:rPr>
        <w:t xml:space="preserve"> </w:t>
      </w:r>
      <w:r>
        <w:t>to</w:t>
      </w:r>
      <w:r>
        <w:rPr>
          <w:spacing w:val="-5"/>
        </w:rPr>
        <w:t xml:space="preserve"> </w:t>
      </w:r>
      <w:r>
        <w:t>the</w:t>
      </w:r>
      <w:r>
        <w:rPr>
          <w:spacing w:val="-5"/>
        </w:rPr>
        <w:t xml:space="preserve"> </w:t>
      </w:r>
      <w:r>
        <w:t>inverse</w:t>
      </w:r>
      <w:r>
        <w:rPr>
          <w:spacing w:val="-5"/>
        </w:rPr>
        <w:t xml:space="preserve"> </w:t>
      </w:r>
      <w:r>
        <w:t>of</w:t>
      </w:r>
      <w:r>
        <w:rPr>
          <w:spacing w:val="-5"/>
        </w:rPr>
        <w:t xml:space="preserve"> </w:t>
      </w:r>
      <w:r>
        <w:t>its</w:t>
      </w:r>
      <w:r>
        <w:rPr>
          <w:spacing w:val="-5"/>
        </w:rPr>
        <w:t xml:space="preserve"> </w:t>
      </w:r>
      <w:r>
        <w:t>overall</w:t>
      </w:r>
      <w:r>
        <w:rPr>
          <w:spacing w:val="-5"/>
        </w:rPr>
        <w:t xml:space="preserve"> </w:t>
      </w:r>
      <w:r>
        <w:t>probability</w:t>
      </w:r>
      <w:r>
        <w:rPr>
          <w:spacing w:val="-5"/>
        </w:rPr>
        <w:t xml:space="preserve"> </w:t>
      </w:r>
      <w:r>
        <w:t>of</w:t>
      </w:r>
      <w:r>
        <w:rPr>
          <w:spacing w:val="-5"/>
        </w:rPr>
        <w:t xml:space="preserve"> </w:t>
      </w:r>
      <w:r>
        <w:t>selection.</w:t>
      </w:r>
      <w:r>
        <w:rPr>
          <w:spacing w:val="-9"/>
        </w:rPr>
        <w:t xml:space="preserve"> </w:t>
      </w:r>
      <w:r>
        <w:t>The</w:t>
      </w:r>
      <w:r>
        <w:rPr>
          <w:spacing w:val="-5"/>
        </w:rPr>
        <w:t xml:space="preserve"> </w:t>
      </w:r>
      <w:r>
        <w:t>overall</w:t>
      </w:r>
      <w:r>
        <w:rPr>
          <w:spacing w:val="-5"/>
        </w:rPr>
        <w:t xml:space="preserve"> </w:t>
      </w:r>
      <w:r>
        <w:t>selection</w:t>
      </w:r>
      <w:r>
        <w:rPr>
          <w:spacing w:val="-5"/>
        </w:rPr>
        <w:t xml:space="preserve"> </w:t>
      </w:r>
      <w:r>
        <w:t>probability</w:t>
      </w:r>
      <w:r>
        <w:rPr>
          <w:spacing w:val="-5"/>
        </w:rPr>
        <w:t xml:space="preserve"> </w:t>
      </w:r>
      <w:r>
        <w:t>of</w:t>
      </w:r>
      <w:r>
        <w:rPr>
          <w:spacing w:val="-5"/>
        </w:rPr>
        <w:t xml:space="preserve"> </w:t>
      </w:r>
      <w:r>
        <w:t>a</w:t>
      </w:r>
      <w:r>
        <w:rPr>
          <w:spacing w:val="-5"/>
        </w:rPr>
        <w:t xml:space="preserve"> </w:t>
      </w:r>
      <w:r>
        <w:t>sampled</w:t>
      </w:r>
      <w:r>
        <w:rPr>
          <w:spacing w:val="-5"/>
        </w:rPr>
        <w:t xml:space="preserve"> </w:t>
      </w:r>
      <w:r>
        <w:t>school</w:t>
      </w:r>
      <w:r>
        <w:rPr>
          <w:spacing w:val="-5"/>
        </w:rPr>
        <w:t xml:space="preserve"> </w:t>
      </w:r>
      <w:r>
        <w:t>differs</w:t>
      </w:r>
      <w:r>
        <w:rPr>
          <w:spacing w:val="-5"/>
        </w:rPr>
        <w:t xml:space="preserve"> </w:t>
      </w:r>
      <w:r>
        <w:t>by</w:t>
      </w:r>
      <w:r>
        <w:rPr>
          <w:spacing w:val="-5"/>
        </w:rPr>
        <w:t xml:space="preserve"> </w:t>
      </w:r>
      <w:r>
        <w:t>the type of sampled school (original or substitute) and by the type of sampling frame (new school frame or not).</w:t>
      </w:r>
    </w:p>
    <w:p w:rsidR="003F5784" w14:paraId="047DC350" w14:textId="77777777">
      <w:pPr>
        <w:pStyle w:val="BodyText"/>
        <w:spacing w:before="209" w:line="232" w:lineRule="auto"/>
        <w:ind w:left="109"/>
      </w:pPr>
      <w:r>
        <w:t>The</w:t>
      </w:r>
      <w:r>
        <w:rPr>
          <w:spacing w:val="-6"/>
        </w:rPr>
        <w:t xml:space="preserve"> </w:t>
      </w:r>
      <w:r>
        <w:t>overall</w:t>
      </w:r>
      <w:r>
        <w:rPr>
          <w:spacing w:val="-6"/>
        </w:rPr>
        <w:t xml:space="preserve"> </w:t>
      </w:r>
      <w:r>
        <w:t>selection</w:t>
      </w:r>
      <w:r>
        <w:rPr>
          <w:spacing w:val="-6"/>
        </w:rPr>
        <w:t xml:space="preserve"> </w:t>
      </w:r>
      <w:r>
        <w:t>probability</w:t>
      </w:r>
      <w:r>
        <w:rPr>
          <w:spacing w:val="-6"/>
        </w:rPr>
        <w:t xml:space="preserve"> </w:t>
      </w:r>
      <w:r>
        <w:t>of</w:t>
      </w:r>
      <w:r>
        <w:rPr>
          <w:spacing w:val="-6"/>
        </w:rPr>
        <w:t xml:space="preserve"> </w:t>
      </w:r>
      <w:r>
        <w:t>an</w:t>
      </w:r>
      <w:r>
        <w:rPr>
          <w:spacing w:val="-6"/>
        </w:rPr>
        <w:t xml:space="preserve"> </w:t>
      </w:r>
      <w:r>
        <w:t>originally</w:t>
      </w:r>
      <w:r>
        <w:rPr>
          <w:spacing w:val="-6"/>
        </w:rPr>
        <w:t xml:space="preserve"> </w:t>
      </w:r>
      <w:r>
        <w:t>selected</w:t>
      </w:r>
      <w:r>
        <w:rPr>
          <w:spacing w:val="-6"/>
        </w:rPr>
        <w:t xml:space="preserve"> </w:t>
      </w:r>
      <w:r>
        <w:t>school</w:t>
      </w:r>
      <w:r>
        <w:rPr>
          <w:spacing w:val="-6"/>
        </w:rPr>
        <w:t xml:space="preserve"> </w:t>
      </w:r>
      <w:r>
        <w:t>in</w:t>
      </w:r>
      <w:r>
        <w:rPr>
          <w:spacing w:val="-6"/>
        </w:rPr>
        <w:t xml:space="preserve"> </w:t>
      </w:r>
      <w:r>
        <w:t>a</w:t>
      </w:r>
      <w:r>
        <w:rPr>
          <w:spacing w:val="-6"/>
        </w:rPr>
        <w:t xml:space="preserve"> </w:t>
      </w:r>
      <w:r>
        <w:t>civics,</w:t>
      </w:r>
      <w:r>
        <w:rPr>
          <w:spacing w:val="-6"/>
        </w:rPr>
        <w:t xml:space="preserve"> </w:t>
      </w:r>
      <w:r>
        <w:t>mathematics,</w:t>
      </w:r>
      <w:r>
        <w:rPr>
          <w:spacing w:val="-6"/>
        </w:rPr>
        <w:t xml:space="preserve"> </w:t>
      </w:r>
      <w:r>
        <w:t>reading,</w:t>
      </w:r>
      <w:r>
        <w:rPr>
          <w:spacing w:val="-6"/>
        </w:rPr>
        <w:t xml:space="preserve"> </w:t>
      </w:r>
      <w:r>
        <w:t>or</w:t>
      </w:r>
      <w:r>
        <w:rPr>
          <w:spacing w:val="-6"/>
        </w:rPr>
        <w:t xml:space="preserve"> </w:t>
      </w:r>
      <w:r>
        <w:t>U.S.</w:t>
      </w:r>
      <w:r>
        <w:rPr>
          <w:spacing w:val="-6"/>
        </w:rPr>
        <w:t xml:space="preserve"> </w:t>
      </w:r>
      <w:r>
        <w:t>history</w:t>
      </w:r>
      <w:r>
        <w:rPr>
          <w:spacing w:val="-6"/>
        </w:rPr>
        <w:t xml:space="preserve"> </w:t>
      </w:r>
      <w:r>
        <w:t>sample</w:t>
      </w:r>
      <w:r>
        <w:rPr>
          <w:spacing w:val="-6"/>
        </w:rPr>
        <w:t xml:space="preserve"> </w:t>
      </w:r>
      <w:r>
        <w:t>is</w:t>
      </w:r>
      <w:r>
        <w:rPr>
          <w:spacing w:val="-6"/>
        </w:rPr>
        <w:t xml:space="preserve"> </w:t>
      </w:r>
      <w:r>
        <w:t>equal</w:t>
      </w:r>
      <w:r>
        <w:rPr>
          <w:spacing w:val="-6"/>
        </w:rPr>
        <w:t xml:space="preserve"> </w:t>
      </w:r>
      <w:r>
        <w:t>to</w:t>
      </w:r>
      <w:r>
        <w:rPr>
          <w:spacing w:val="-6"/>
        </w:rPr>
        <w:t xml:space="preserve"> </w:t>
      </w:r>
      <w:r>
        <w:t>its</w:t>
      </w:r>
      <w:r>
        <w:rPr>
          <w:spacing w:val="-6"/>
        </w:rPr>
        <w:t xml:space="preserve"> </w:t>
      </w:r>
      <w:r>
        <w:t>probability</w:t>
      </w:r>
      <w:r>
        <w:rPr>
          <w:spacing w:val="-6"/>
        </w:rPr>
        <w:t xml:space="preserve"> </w:t>
      </w:r>
      <w:r>
        <w:t>of</w:t>
      </w:r>
      <w:r>
        <w:rPr>
          <w:spacing w:val="-6"/>
        </w:rPr>
        <w:t xml:space="preserve"> </w:t>
      </w:r>
      <w:r>
        <w:t>selection</w:t>
      </w:r>
      <w:r>
        <w:rPr>
          <w:spacing w:val="-6"/>
        </w:rPr>
        <w:t xml:space="preserve"> </w:t>
      </w:r>
      <w:r>
        <w:t>from</w:t>
      </w:r>
      <w:r>
        <w:rPr>
          <w:spacing w:val="-6"/>
        </w:rPr>
        <w:t xml:space="preserve"> </w:t>
      </w:r>
      <w:r>
        <w:t>the</w:t>
      </w:r>
      <w:r>
        <w:rPr>
          <w:spacing w:val="-6"/>
        </w:rPr>
        <w:t xml:space="preserve"> </w:t>
      </w:r>
      <w:r>
        <w:t>NAEP public/private school frame.</w:t>
      </w:r>
    </w:p>
    <w:p w:rsidR="003F5784" w14:paraId="67BA81C1" w14:textId="77777777">
      <w:pPr>
        <w:pStyle w:val="BodyText"/>
        <w:spacing w:before="204"/>
        <w:ind w:left="109"/>
      </w:pPr>
      <w:r>
        <w:t>The</w:t>
      </w:r>
      <w:r>
        <w:rPr>
          <w:spacing w:val="-6"/>
        </w:rPr>
        <w:t xml:space="preserve"> </w:t>
      </w:r>
      <w:r>
        <w:t>overall</w:t>
      </w:r>
      <w:r>
        <w:rPr>
          <w:spacing w:val="-5"/>
        </w:rPr>
        <w:t xml:space="preserve"> </w:t>
      </w:r>
      <w:r>
        <w:t>selection</w:t>
      </w:r>
      <w:r>
        <w:rPr>
          <w:spacing w:val="-5"/>
        </w:rPr>
        <w:t xml:space="preserve"> </w:t>
      </w:r>
      <w:r>
        <w:t>probability</w:t>
      </w:r>
      <w:r>
        <w:rPr>
          <w:spacing w:val="-5"/>
        </w:rPr>
        <w:t xml:space="preserve"> </w:t>
      </w:r>
      <w:r>
        <w:t>of</w:t>
      </w:r>
      <w:r>
        <w:rPr>
          <w:spacing w:val="-5"/>
        </w:rPr>
        <w:t xml:space="preserve"> </w:t>
      </w:r>
      <w:r>
        <w:t>a</w:t>
      </w:r>
      <w:r>
        <w:rPr>
          <w:spacing w:val="-6"/>
        </w:rPr>
        <w:t xml:space="preserve"> </w:t>
      </w:r>
      <w:r>
        <w:t>school</w:t>
      </w:r>
      <w:r>
        <w:rPr>
          <w:spacing w:val="-5"/>
        </w:rPr>
        <w:t xml:space="preserve"> </w:t>
      </w:r>
      <w:r>
        <w:t>from</w:t>
      </w:r>
      <w:r>
        <w:rPr>
          <w:spacing w:val="-5"/>
        </w:rPr>
        <w:t xml:space="preserve"> </w:t>
      </w:r>
      <w:r>
        <w:t>the</w:t>
      </w:r>
      <w:r>
        <w:rPr>
          <w:spacing w:val="-5"/>
        </w:rPr>
        <w:t xml:space="preserve"> </w:t>
      </w:r>
      <w:r>
        <w:t>new</w:t>
      </w:r>
      <w:r>
        <w:rPr>
          <w:spacing w:val="-5"/>
        </w:rPr>
        <w:t xml:space="preserve"> </w:t>
      </w:r>
      <w:r>
        <w:t>school</w:t>
      </w:r>
      <w:r>
        <w:rPr>
          <w:spacing w:val="-5"/>
        </w:rPr>
        <w:t xml:space="preserve"> </w:t>
      </w:r>
      <w:r>
        <w:t>frame</w:t>
      </w:r>
      <w:r>
        <w:rPr>
          <w:spacing w:val="-6"/>
        </w:rPr>
        <w:t xml:space="preserve"> </w:t>
      </w:r>
      <w:r>
        <w:t>in</w:t>
      </w:r>
      <w:r>
        <w:rPr>
          <w:spacing w:val="-5"/>
        </w:rPr>
        <w:t xml:space="preserve"> </w:t>
      </w:r>
      <w:r>
        <w:t>a</w:t>
      </w:r>
      <w:r>
        <w:rPr>
          <w:spacing w:val="-5"/>
        </w:rPr>
        <w:t xml:space="preserve"> </w:t>
      </w:r>
      <w:r>
        <w:t>civics,</w:t>
      </w:r>
      <w:r>
        <w:rPr>
          <w:spacing w:val="43"/>
        </w:rPr>
        <w:t xml:space="preserve"> </w:t>
      </w:r>
      <w:r>
        <w:t>mathematics,</w:t>
      </w:r>
      <w:r>
        <w:rPr>
          <w:spacing w:val="-6"/>
        </w:rPr>
        <w:t xml:space="preserve"> </w:t>
      </w:r>
      <w:r>
        <w:t>reading,</w:t>
      </w:r>
      <w:r>
        <w:rPr>
          <w:spacing w:val="-5"/>
        </w:rPr>
        <w:t xml:space="preserve"> </w:t>
      </w:r>
      <w:r>
        <w:t>or</w:t>
      </w:r>
      <w:r>
        <w:rPr>
          <w:spacing w:val="-5"/>
        </w:rPr>
        <w:t xml:space="preserve"> </w:t>
      </w:r>
      <w:r>
        <w:t>U.S.</w:t>
      </w:r>
      <w:r>
        <w:rPr>
          <w:spacing w:val="-5"/>
        </w:rPr>
        <w:t xml:space="preserve"> </w:t>
      </w:r>
      <w:r>
        <w:t>history</w:t>
      </w:r>
      <w:r>
        <w:rPr>
          <w:spacing w:val="-5"/>
        </w:rPr>
        <w:t xml:space="preserve"> </w:t>
      </w:r>
      <w:r>
        <w:t>sample</w:t>
      </w:r>
      <w:r>
        <w:rPr>
          <w:spacing w:val="-6"/>
        </w:rPr>
        <w:t xml:space="preserve"> </w:t>
      </w:r>
      <w:r>
        <w:t>is</w:t>
      </w:r>
      <w:r>
        <w:rPr>
          <w:spacing w:val="-5"/>
        </w:rPr>
        <w:t xml:space="preserve"> </w:t>
      </w:r>
      <w:r>
        <w:t>the</w:t>
      </w:r>
      <w:r>
        <w:rPr>
          <w:spacing w:val="-5"/>
        </w:rPr>
        <w:t xml:space="preserve"> </w:t>
      </w:r>
      <w:r>
        <w:t>product</w:t>
      </w:r>
      <w:r>
        <w:rPr>
          <w:spacing w:val="-5"/>
        </w:rPr>
        <w:t xml:space="preserve"> </w:t>
      </w:r>
      <w:r>
        <w:t>of</w:t>
      </w:r>
      <w:r>
        <w:rPr>
          <w:spacing w:val="-5"/>
        </w:rPr>
        <w:t xml:space="preserve"> </w:t>
      </w:r>
      <w:r>
        <w:t>two</w:t>
      </w:r>
      <w:r>
        <w:rPr>
          <w:spacing w:val="-5"/>
        </w:rPr>
        <w:t xml:space="preserve"> </w:t>
      </w:r>
      <w:r>
        <w:rPr>
          <w:spacing w:val="-2"/>
        </w:rPr>
        <w:t>quantities:</w:t>
      </w:r>
    </w:p>
    <w:p w:rsidR="003F5784" w14:paraId="7910C1C8" w14:textId="77777777">
      <w:pPr>
        <w:pStyle w:val="BodyText"/>
        <w:spacing w:before="207" w:line="232" w:lineRule="auto"/>
        <w:ind w:left="422" w:right="1085"/>
      </w:pPr>
      <w:r>
        <w:rPr>
          <w:noProof/>
          <w:position w:val="3"/>
        </w:rPr>
        <w:drawing>
          <wp:inline distT="0" distB="0" distL="0" distR="0">
            <wp:extent cx="41379" cy="41378"/>
            <wp:effectExtent l="0" t="0" r="0" b="0"/>
            <wp:docPr id="506" name="Image 506"/>
            <wp:cNvGraphicFramePr/>
            <a:graphic xmlns:a="http://schemas.openxmlformats.org/drawingml/2006/main">
              <a:graphicData uri="http://schemas.openxmlformats.org/drawingml/2006/picture">
                <pic:pic xmlns:pic="http://schemas.openxmlformats.org/drawingml/2006/picture">
                  <pic:nvPicPr>
                    <pic:cNvPr id="506" name="Image 506"/>
                    <pic:cNvPicPr/>
                  </pic:nvPicPr>
                  <pic:blipFill>
                    <a:blip xmlns:r="http://schemas.openxmlformats.org/officeDocument/2006/relationships" r:embed="rId401" cstate="print"/>
                    <a:stretch>
                      <a:fillRect/>
                    </a:stretch>
                  </pic:blipFill>
                  <pic:spPr>
                    <a:xfrm>
                      <a:off x="0" y="0"/>
                      <a:ext cx="41379" cy="41378"/>
                    </a:xfrm>
                    <a:prstGeom prst="rect">
                      <a:avLst/>
                    </a:prstGeom>
                  </pic:spPr>
                </pic:pic>
              </a:graphicData>
            </a:graphic>
          </wp:inline>
        </w:drawing>
      </w:r>
      <w:r>
        <w:rPr>
          <w:spacing w:val="80"/>
          <w:sz w:val="20"/>
        </w:rPr>
        <w:t xml:space="preserve"> </w:t>
      </w:r>
      <w:r>
        <w:t>the</w:t>
      </w:r>
      <w:r>
        <w:rPr>
          <w:spacing w:val="-6"/>
        </w:rPr>
        <w:t xml:space="preserve"> </w:t>
      </w:r>
      <w:r>
        <w:t>probability</w:t>
      </w:r>
      <w:r>
        <w:rPr>
          <w:spacing w:val="-6"/>
        </w:rPr>
        <w:t xml:space="preserve"> </w:t>
      </w:r>
      <w:r>
        <w:t>of</w:t>
      </w:r>
      <w:r>
        <w:rPr>
          <w:spacing w:val="-6"/>
        </w:rPr>
        <w:t xml:space="preserve"> </w:t>
      </w:r>
      <w:r>
        <w:t>selection</w:t>
      </w:r>
      <w:r>
        <w:rPr>
          <w:spacing w:val="-6"/>
        </w:rPr>
        <w:t xml:space="preserve"> </w:t>
      </w:r>
      <w:r>
        <w:t>of</w:t>
      </w:r>
      <w:r>
        <w:rPr>
          <w:spacing w:val="-6"/>
        </w:rPr>
        <w:t xml:space="preserve"> </w:t>
      </w:r>
      <w:r>
        <w:t>the</w:t>
      </w:r>
      <w:r>
        <w:rPr>
          <w:spacing w:val="-6"/>
        </w:rPr>
        <w:t xml:space="preserve"> </w:t>
      </w:r>
      <w:r>
        <w:t>school's</w:t>
      </w:r>
      <w:r>
        <w:rPr>
          <w:spacing w:val="-6"/>
        </w:rPr>
        <w:t xml:space="preserve"> </w:t>
      </w:r>
      <w:r>
        <w:t>district</w:t>
      </w:r>
      <w:r>
        <w:rPr>
          <w:spacing w:val="-6"/>
        </w:rPr>
        <w:t xml:space="preserve"> </w:t>
      </w:r>
      <w:r>
        <w:t>into</w:t>
      </w:r>
      <w:r>
        <w:rPr>
          <w:spacing w:val="-6"/>
        </w:rPr>
        <w:t xml:space="preserve"> </w:t>
      </w:r>
      <w:r>
        <w:t>the</w:t>
      </w:r>
      <w:r>
        <w:rPr>
          <w:spacing w:val="-6"/>
        </w:rPr>
        <w:t xml:space="preserve"> </w:t>
      </w:r>
      <w:r>
        <w:t>new-school</w:t>
      </w:r>
      <w:r>
        <w:rPr>
          <w:spacing w:val="-6"/>
        </w:rPr>
        <w:t xml:space="preserve"> </w:t>
      </w:r>
      <w:r>
        <w:t>district</w:t>
      </w:r>
      <w:r>
        <w:rPr>
          <w:spacing w:val="-6"/>
        </w:rPr>
        <w:t xml:space="preserve"> </w:t>
      </w:r>
      <w:r>
        <w:t>sample</w:t>
      </w:r>
      <w:r>
        <w:rPr>
          <w:spacing w:val="-6"/>
        </w:rPr>
        <w:t xml:space="preserve"> </w:t>
      </w:r>
      <w:r>
        <w:t>or</w:t>
      </w:r>
      <w:r>
        <w:rPr>
          <w:spacing w:val="-6"/>
        </w:rPr>
        <w:t xml:space="preserve"> </w:t>
      </w:r>
      <w:r>
        <w:t>the</w:t>
      </w:r>
      <w:r>
        <w:rPr>
          <w:spacing w:val="-6"/>
        </w:rPr>
        <w:t xml:space="preserve"> </w:t>
      </w:r>
      <w:r>
        <w:t>Catholic</w:t>
      </w:r>
      <w:r>
        <w:rPr>
          <w:spacing w:val="-6"/>
        </w:rPr>
        <w:t xml:space="preserve"> </w:t>
      </w:r>
      <w:r>
        <w:t>diocese</w:t>
      </w:r>
      <w:r>
        <w:rPr>
          <w:spacing w:val="-6"/>
        </w:rPr>
        <w:t xml:space="preserve"> </w:t>
      </w:r>
      <w:r>
        <w:t>into</w:t>
      </w:r>
      <w:r>
        <w:rPr>
          <w:spacing w:val="-6"/>
        </w:rPr>
        <w:t xml:space="preserve"> </w:t>
      </w:r>
      <w:r>
        <w:t>the</w:t>
      </w:r>
      <w:r>
        <w:rPr>
          <w:spacing w:val="-6"/>
        </w:rPr>
        <w:t xml:space="preserve"> </w:t>
      </w:r>
      <w:r>
        <w:t>new-school</w:t>
      </w:r>
      <w:r>
        <w:rPr>
          <w:spacing w:val="-6"/>
        </w:rPr>
        <w:t xml:space="preserve"> </w:t>
      </w:r>
      <w:r>
        <w:t>Catholic</w:t>
      </w:r>
      <w:r>
        <w:rPr>
          <w:spacing w:val="-6"/>
        </w:rPr>
        <w:t xml:space="preserve"> </w:t>
      </w:r>
      <w:r>
        <w:t>diocese</w:t>
      </w:r>
      <w:r>
        <w:rPr>
          <w:spacing w:val="-6"/>
        </w:rPr>
        <w:t xml:space="preserve"> </w:t>
      </w:r>
      <w:r>
        <w:t>sample,</w:t>
      </w:r>
      <w:r>
        <w:rPr>
          <w:spacing w:val="-6"/>
        </w:rPr>
        <w:t xml:space="preserve"> </w:t>
      </w:r>
      <w:r>
        <w:t xml:space="preserve">and </w:t>
      </w:r>
      <w:r>
        <w:rPr>
          <w:noProof/>
          <w:position w:val="3"/>
        </w:rPr>
        <w:drawing>
          <wp:inline distT="0" distB="0" distL="0" distR="0">
            <wp:extent cx="41379" cy="41378"/>
            <wp:effectExtent l="0" t="0" r="0" b="0"/>
            <wp:docPr id="507" name="Image 507"/>
            <wp:cNvGraphicFramePr/>
            <a:graphic xmlns:a="http://schemas.openxmlformats.org/drawingml/2006/main">
              <a:graphicData uri="http://schemas.openxmlformats.org/drawingml/2006/picture">
                <pic:pic xmlns:pic="http://schemas.openxmlformats.org/drawingml/2006/picture">
                  <pic:nvPicPr>
                    <pic:cNvPr id="507" name="Image 507"/>
                    <pic:cNvPicPr/>
                  </pic:nvPicPr>
                  <pic:blipFill>
                    <a:blip xmlns:r="http://schemas.openxmlformats.org/officeDocument/2006/relationships" r:embed="rId402" cstate="print"/>
                    <a:stretch>
                      <a:fillRect/>
                    </a:stretch>
                  </pic:blipFill>
                  <pic:spPr>
                    <a:xfrm>
                      <a:off x="0" y="0"/>
                      <a:ext cx="41379" cy="41378"/>
                    </a:xfrm>
                    <a:prstGeom prst="rect">
                      <a:avLst/>
                    </a:prstGeom>
                  </pic:spPr>
                </pic:pic>
              </a:graphicData>
            </a:graphic>
          </wp:inline>
        </w:drawing>
      </w:r>
      <w:r>
        <w:rPr>
          <w:spacing w:val="80"/>
        </w:rPr>
        <w:t xml:space="preserve"> </w:t>
      </w:r>
      <w:r>
        <w:t>the probability of selection of the school into the new school sample.</w:t>
      </w:r>
    </w:p>
    <w:p w:rsidR="003F5784" w14:paraId="12E71723" w14:textId="77777777">
      <w:pPr>
        <w:pStyle w:val="BodyText"/>
        <w:spacing w:before="209" w:line="232" w:lineRule="auto"/>
        <w:ind w:left="109" w:right="179"/>
      </w:pPr>
      <w:r>
        <w:t>The</w:t>
      </w:r>
      <w:r>
        <w:rPr>
          <w:spacing w:val="-6"/>
        </w:rPr>
        <w:t xml:space="preserve"> </w:t>
      </w:r>
      <w:r>
        <w:t>new-school</w:t>
      </w:r>
      <w:r>
        <w:rPr>
          <w:spacing w:val="-6"/>
        </w:rPr>
        <w:t xml:space="preserve"> </w:t>
      </w:r>
      <w:r>
        <w:t>district</w:t>
      </w:r>
      <w:r>
        <w:rPr>
          <w:spacing w:val="-6"/>
        </w:rPr>
        <w:t xml:space="preserve"> </w:t>
      </w:r>
      <w:r>
        <w:t>sampling</w:t>
      </w:r>
      <w:r>
        <w:rPr>
          <w:spacing w:val="-6"/>
        </w:rPr>
        <w:t xml:space="preserve"> </w:t>
      </w:r>
      <w:r>
        <w:t>procedures</w:t>
      </w:r>
      <w:r>
        <w:rPr>
          <w:spacing w:val="-6"/>
        </w:rPr>
        <w:t xml:space="preserve"> </w:t>
      </w:r>
      <w:r>
        <w:t>for</w:t>
      </w:r>
      <w:r>
        <w:rPr>
          <w:spacing w:val="-6"/>
        </w:rPr>
        <w:t xml:space="preserve"> </w:t>
      </w:r>
      <w:r>
        <w:t>the</w:t>
      </w:r>
      <w:r>
        <w:rPr>
          <w:spacing w:val="-6"/>
        </w:rPr>
        <w:t xml:space="preserve"> </w:t>
      </w:r>
      <w:r>
        <w:t>2022</w:t>
      </w:r>
      <w:r>
        <w:rPr>
          <w:spacing w:val="-6"/>
        </w:rPr>
        <w:t xml:space="preserve"> </w:t>
      </w:r>
      <w:r>
        <w:t>national</w:t>
      </w:r>
      <w:r>
        <w:rPr>
          <w:spacing w:val="-6"/>
        </w:rPr>
        <w:t xml:space="preserve"> </w:t>
      </w:r>
      <w:r>
        <w:t>public</w:t>
      </w:r>
      <w:r>
        <w:rPr>
          <w:spacing w:val="-6"/>
        </w:rPr>
        <w:t xml:space="preserve"> </w:t>
      </w:r>
      <w:r>
        <w:t>school</w:t>
      </w:r>
      <w:r>
        <w:rPr>
          <w:spacing w:val="-6"/>
        </w:rPr>
        <w:t xml:space="preserve"> </w:t>
      </w:r>
      <w:r>
        <w:t>samples</w:t>
      </w:r>
      <w:r>
        <w:rPr>
          <w:spacing w:val="-6"/>
        </w:rPr>
        <w:t xml:space="preserve"> </w:t>
      </w:r>
      <w:r>
        <w:t>for</w:t>
      </w:r>
      <w:r>
        <w:rPr>
          <w:spacing w:val="-6"/>
        </w:rPr>
        <w:t xml:space="preserve"> </w:t>
      </w:r>
      <w:r>
        <w:t>the</w:t>
      </w:r>
      <w:r>
        <w:rPr>
          <w:spacing w:val="-6"/>
        </w:rPr>
        <w:t xml:space="preserve"> </w:t>
      </w:r>
      <w:r>
        <w:t>civics</w:t>
      </w:r>
      <w:r>
        <w:rPr>
          <w:spacing w:val="-6"/>
        </w:rPr>
        <w:t xml:space="preserve"> </w:t>
      </w:r>
      <w:r>
        <w:t>and</w:t>
      </w:r>
      <w:r>
        <w:rPr>
          <w:spacing w:val="-6"/>
        </w:rPr>
        <w:t xml:space="preserve"> </w:t>
      </w:r>
      <w:r>
        <w:t>U.S.</w:t>
      </w:r>
      <w:r>
        <w:rPr>
          <w:spacing w:val="-6"/>
        </w:rPr>
        <w:t xml:space="preserve"> </w:t>
      </w:r>
      <w:r>
        <w:t>history</w:t>
      </w:r>
      <w:r>
        <w:rPr>
          <w:spacing w:val="-6"/>
        </w:rPr>
        <w:t xml:space="preserve"> </w:t>
      </w:r>
      <w:r>
        <w:t>assessment</w:t>
      </w:r>
      <w:r>
        <w:rPr>
          <w:spacing w:val="-6"/>
        </w:rPr>
        <w:t xml:space="preserve"> </w:t>
      </w:r>
      <w:r>
        <w:t>at</w:t>
      </w:r>
      <w:r>
        <w:rPr>
          <w:spacing w:val="-6"/>
        </w:rPr>
        <w:t xml:space="preserve"> </w:t>
      </w:r>
      <w:r>
        <w:t>grade</w:t>
      </w:r>
      <w:r>
        <w:rPr>
          <w:spacing w:val="-6"/>
        </w:rPr>
        <w:t xml:space="preserve"> </w:t>
      </w:r>
      <w:r>
        <w:t>8</w:t>
      </w:r>
      <w:r>
        <w:rPr>
          <w:spacing w:val="-6"/>
        </w:rPr>
        <w:t xml:space="preserve"> </w:t>
      </w:r>
      <w:r>
        <w:t>are</w:t>
      </w:r>
      <w:r>
        <w:rPr>
          <w:spacing w:val="-6"/>
        </w:rPr>
        <w:t xml:space="preserve"> </w:t>
      </w:r>
      <w:r>
        <w:t>very</w:t>
      </w:r>
      <w:r>
        <w:rPr>
          <w:spacing w:val="-6"/>
        </w:rPr>
        <w:t xml:space="preserve"> </w:t>
      </w:r>
      <w:r>
        <w:t>similar</w:t>
      </w:r>
      <w:r>
        <w:rPr>
          <w:spacing w:val="-6"/>
        </w:rPr>
        <w:t xml:space="preserve"> </w:t>
      </w:r>
      <w:r>
        <w:t>to</w:t>
      </w:r>
      <w:r>
        <w:rPr>
          <w:spacing w:val="-6"/>
        </w:rPr>
        <w:t xml:space="preserve"> </w:t>
      </w:r>
      <w:r>
        <w:t>the</w:t>
      </w:r>
      <w:r>
        <w:rPr>
          <w:spacing w:val="-6"/>
        </w:rPr>
        <w:t xml:space="preserve"> </w:t>
      </w:r>
      <w:r>
        <w:t xml:space="preserve">new- school district sampling procedures for the 2022 state public schools assessments in </w:t>
      </w:r>
      <w:r>
        <w:rPr>
          <w:color w:val="0066CC"/>
        </w:rPr>
        <w:t>mathematics and reading</w:t>
      </w:r>
      <w:r>
        <w:t>.</w:t>
      </w:r>
    </w:p>
    <w:p w:rsidR="003F5784" w14:paraId="466F4865" w14:textId="77777777">
      <w:pPr>
        <w:pStyle w:val="BodyText"/>
        <w:spacing w:before="210" w:line="232" w:lineRule="auto"/>
        <w:ind w:left="109" w:right="179"/>
      </w:pPr>
      <w:r>
        <w:t>New-school</w:t>
      </w:r>
      <w:r>
        <w:rPr>
          <w:spacing w:val="-6"/>
        </w:rPr>
        <w:t xml:space="preserve"> </w:t>
      </w:r>
      <w:r>
        <w:t>Catholic</w:t>
      </w:r>
      <w:r>
        <w:rPr>
          <w:spacing w:val="-6"/>
        </w:rPr>
        <w:t xml:space="preserve"> </w:t>
      </w:r>
      <w:r>
        <w:t>diocese</w:t>
      </w:r>
      <w:r>
        <w:rPr>
          <w:spacing w:val="-6"/>
        </w:rPr>
        <w:t xml:space="preserve"> </w:t>
      </w:r>
      <w:r>
        <w:t>sampling</w:t>
      </w:r>
      <w:r>
        <w:rPr>
          <w:spacing w:val="-6"/>
        </w:rPr>
        <w:t xml:space="preserve"> </w:t>
      </w:r>
      <w:r>
        <w:t>procedures</w:t>
      </w:r>
      <w:r>
        <w:rPr>
          <w:spacing w:val="-6"/>
        </w:rPr>
        <w:t xml:space="preserve"> </w:t>
      </w:r>
      <w:r>
        <w:t>for</w:t>
      </w:r>
      <w:r>
        <w:rPr>
          <w:spacing w:val="-6"/>
        </w:rPr>
        <w:t xml:space="preserve"> </w:t>
      </w:r>
      <w:r>
        <w:t>the</w:t>
      </w:r>
      <w:r>
        <w:rPr>
          <w:spacing w:val="-6"/>
        </w:rPr>
        <w:t xml:space="preserve"> </w:t>
      </w:r>
      <w:r>
        <w:t>2022</w:t>
      </w:r>
      <w:r>
        <w:rPr>
          <w:spacing w:val="-6"/>
        </w:rPr>
        <w:t xml:space="preserve"> </w:t>
      </w:r>
      <w:r>
        <w:t>national</w:t>
      </w:r>
      <w:r>
        <w:rPr>
          <w:spacing w:val="-6"/>
        </w:rPr>
        <w:t xml:space="preserve"> </w:t>
      </w:r>
      <w:r>
        <w:t>private</w:t>
      </w:r>
      <w:r>
        <w:rPr>
          <w:spacing w:val="-6"/>
        </w:rPr>
        <w:t xml:space="preserve"> </w:t>
      </w:r>
      <w:r>
        <w:t>school</w:t>
      </w:r>
      <w:r>
        <w:rPr>
          <w:spacing w:val="-6"/>
        </w:rPr>
        <w:t xml:space="preserve"> </w:t>
      </w:r>
      <w:r>
        <w:t>assessments</w:t>
      </w:r>
      <w:r>
        <w:rPr>
          <w:spacing w:val="-6"/>
        </w:rPr>
        <w:t xml:space="preserve"> </w:t>
      </w:r>
      <w:r>
        <w:t>for</w:t>
      </w:r>
      <w:r>
        <w:rPr>
          <w:spacing w:val="-6"/>
        </w:rPr>
        <w:t xml:space="preserve"> </w:t>
      </w:r>
      <w:r>
        <w:t>mathematics</w:t>
      </w:r>
      <w:r>
        <w:rPr>
          <w:spacing w:val="-6"/>
        </w:rPr>
        <w:t xml:space="preserve"> </w:t>
      </w:r>
      <w:r>
        <w:t>and</w:t>
      </w:r>
      <w:r>
        <w:rPr>
          <w:spacing w:val="-6"/>
        </w:rPr>
        <w:t xml:space="preserve"> </w:t>
      </w:r>
      <w:r>
        <w:t>reading</w:t>
      </w:r>
      <w:r>
        <w:rPr>
          <w:spacing w:val="-6"/>
        </w:rPr>
        <w:t xml:space="preserve"> </w:t>
      </w:r>
      <w:r>
        <w:t>at</w:t>
      </w:r>
      <w:r>
        <w:rPr>
          <w:spacing w:val="-6"/>
        </w:rPr>
        <w:t xml:space="preserve"> </w:t>
      </w:r>
      <w:r>
        <w:t>grades</w:t>
      </w:r>
      <w:r>
        <w:rPr>
          <w:spacing w:val="-6"/>
        </w:rPr>
        <w:t xml:space="preserve"> </w:t>
      </w:r>
      <w:r>
        <w:t>4</w:t>
      </w:r>
      <w:r>
        <w:rPr>
          <w:spacing w:val="-6"/>
        </w:rPr>
        <w:t xml:space="preserve"> </w:t>
      </w:r>
      <w:r>
        <w:t>and</w:t>
      </w:r>
      <w:r>
        <w:rPr>
          <w:spacing w:val="-6"/>
        </w:rPr>
        <w:t xml:space="preserve"> </w:t>
      </w:r>
      <w:r>
        <w:t>8</w:t>
      </w:r>
      <w:r>
        <w:rPr>
          <w:spacing w:val="-6"/>
        </w:rPr>
        <w:t xml:space="preserve"> </w:t>
      </w:r>
      <w:r>
        <w:t>and</w:t>
      </w:r>
      <w:r>
        <w:rPr>
          <w:spacing w:val="-6"/>
        </w:rPr>
        <w:t xml:space="preserve"> </w:t>
      </w:r>
      <w:r>
        <w:t>for</w:t>
      </w:r>
      <w:r>
        <w:rPr>
          <w:spacing w:val="-6"/>
        </w:rPr>
        <w:t xml:space="preserve"> </w:t>
      </w:r>
      <w:r>
        <w:t>civics</w:t>
      </w:r>
      <w:r>
        <w:rPr>
          <w:spacing w:val="-6"/>
        </w:rPr>
        <w:t xml:space="preserve"> </w:t>
      </w:r>
      <w:r>
        <w:t>and</w:t>
      </w:r>
      <w:r>
        <w:rPr>
          <w:spacing w:val="-6"/>
        </w:rPr>
        <w:t xml:space="preserve"> </w:t>
      </w:r>
      <w:r>
        <w:t>U.S. history at grade 8 are similar as well.</w:t>
      </w:r>
    </w:p>
    <w:p w:rsidR="003F5784" w14:paraId="36392AC0" w14:textId="77777777">
      <w:pPr>
        <w:pStyle w:val="BodyText"/>
        <w:spacing w:before="209" w:line="232" w:lineRule="auto"/>
        <w:ind w:left="109"/>
      </w:pPr>
      <w:r>
        <w:t>For</w:t>
      </w:r>
      <w:r>
        <w:rPr>
          <w:spacing w:val="-7"/>
        </w:rPr>
        <w:t xml:space="preserve"> </w:t>
      </w:r>
      <w:r>
        <w:t>the</w:t>
      </w:r>
      <w:r>
        <w:rPr>
          <w:spacing w:val="-7"/>
        </w:rPr>
        <w:t xml:space="preserve"> </w:t>
      </w:r>
      <w:r>
        <w:t>mathematics</w:t>
      </w:r>
      <w:r>
        <w:rPr>
          <w:spacing w:val="-7"/>
        </w:rPr>
        <w:t xml:space="preserve"> </w:t>
      </w:r>
      <w:r>
        <w:t>and</w:t>
      </w:r>
      <w:r>
        <w:rPr>
          <w:spacing w:val="-7"/>
        </w:rPr>
        <w:t xml:space="preserve"> </w:t>
      </w:r>
      <w:r>
        <w:t>reading</w:t>
      </w:r>
      <w:r>
        <w:rPr>
          <w:spacing w:val="-7"/>
        </w:rPr>
        <w:t xml:space="preserve"> </w:t>
      </w:r>
      <w:r>
        <w:t>long-term</w:t>
      </w:r>
      <w:r>
        <w:rPr>
          <w:spacing w:val="-7"/>
        </w:rPr>
        <w:t xml:space="preserve"> </w:t>
      </w:r>
      <w:r>
        <w:t>trend</w:t>
      </w:r>
      <w:r>
        <w:rPr>
          <w:spacing w:val="-7"/>
        </w:rPr>
        <w:t xml:space="preserve"> </w:t>
      </w:r>
      <w:r>
        <w:t>(LTT)</w:t>
      </w:r>
      <w:r>
        <w:rPr>
          <w:spacing w:val="-7"/>
        </w:rPr>
        <w:t xml:space="preserve"> </w:t>
      </w:r>
      <w:r>
        <w:t>assessments</w:t>
      </w:r>
      <w:r>
        <w:rPr>
          <w:spacing w:val="-7"/>
        </w:rPr>
        <w:t xml:space="preserve"> </w:t>
      </w:r>
      <w:r>
        <w:t>at</w:t>
      </w:r>
      <w:r>
        <w:rPr>
          <w:spacing w:val="-7"/>
        </w:rPr>
        <w:t xml:space="preserve"> </w:t>
      </w:r>
      <w:r>
        <w:t>ages</w:t>
      </w:r>
      <w:r>
        <w:rPr>
          <w:spacing w:val="-7"/>
        </w:rPr>
        <w:t xml:space="preserve"> </w:t>
      </w:r>
      <w:r>
        <w:t>9</w:t>
      </w:r>
      <w:r>
        <w:rPr>
          <w:spacing w:val="-7"/>
        </w:rPr>
        <w:t xml:space="preserve"> </w:t>
      </w:r>
      <w:r>
        <w:t>and</w:t>
      </w:r>
      <w:r>
        <w:rPr>
          <w:spacing w:val="-7"/>
        </w:rPr>
        <w:t xml:space="preserve"> </w:t>
      </w:r>
      <w:r>
        <w:t>13,</w:t>
      </w:r>
      <w:r>
        <w:rPr>
          <w:spacing w:val="-7"/>
        </w:rPr>
        <w:t xml:space="preserve"> </w:t>
      </w:r>
      <w:r>
        <w:t>the</w:t>
      </w:r>
      <w:r>
        <w:rPr>
          <w:spacing w:val="-7"/>
        </w:rPr>
        <w:t xml:space="preserve"> </w:t>
      </w:r>
      <w:r>
        <w:t>new-school</w:t>
      </w:r>
      <w:r>
        <w:rPr>
          <w:spacing w:val="-7"/>
        </w:rPr>
        <w:t xml:space="preserve"> </w:t>
      </w:r>
      <w:r>
        <w:t>district</w:t>
      </w:r>
      <w:r>
        <w:rPr>
          <w:spacing w:val="-7"/>
        </w:rPr>
        <w:t xml:space="preserve"> </w:t>
      </w:r>
      <w:r>
        <w:t>and</w:t>
      </w:r>
      <w:r>
        <w:rPr>
          <w:spacing w:val="-7"/>
        </w:rPr>
        <w:t xml:space="preserve"> </w:t>
      </w:r>
      <w:r>
        <w:t>Catholic</w:t>
      </w:r>
      <w:r>
        <w:rPr>
          <w:spacing w:val="-7"/>
        </w:rPr>
        <w:t xml:space="preserve"> </w:t>
      </w:r>
      <w:r>
        <w:t>diocese</w:t>
      </w:r>
      <w:r>
        <w:rPr>
          <w:spacing w:val="-7"/>
        </w:rPr>
        <w:t xml:space="preserve"> </w:t>
      </w:r>
      <w:r>
        <w:t>sampling</w:t>
      </w:r>
      <w:r>
        <w:rPr>
          <w:spacing w:val="-7"/>
        </w:rPr>
        <w:t xml:space="preserve"> </w:t>
      </w:r>
      <w:r>
        <w:t>procedures</w:t>
      </w:r>
      <w:r>
        <w:rPr>
          <w:spacing w:val="-7"/>
        </w:rPr>
        <w:t xml:space="preserve"> </w:t>
      </w:r>
      <w:r>
        <w:t>took</w:t>
      </w:r>
      <w:r>
        <w:rPr>
          <w:spacing w:val="-7"/>
        </w:rPr>
        <w:t xml:space="preserve"> </w:t>
      </w:r>
      <w:r>
        <w:t>advantage</w:t>
      </w:r>
      <w:r>
        <w:rPr>
          <w:spacing w:val="-7"/>
        </w:rPr>
        <w:t xml:space="preserve"> </w:t>
      </w:r>
      <w:r>
        <w:t>of</w:t>
      </w:r>
      <w:r>
        <w:rPr>
          <w:spacing w:val="-7"/>
        </w:rPr>
        <w:t xml:space="preserve"> </w:t>
      </w:r>
      <w:r>
        <w:t>the work already being done for the grade-based assessments.</w:t>
      </w:r>
    </w:p>
    <w:p w:rsidR="003F5784" w14:paraId="4A29DC58" w14:textId="77777777">
      <w:pPr>
        <w:pStyle w:val="BodyText"/>
        <w:spacing w:before="209" w:line="232" w:lineRule="auto"/>
        <w:ind w:left="109" w:right="117"/>
      </w:pPr>
      <w:r>
        <w:t>Substitute</w:t>
      </w:r>
      <w:r>
        <w:rPr>
          <w:spacing w:val="-6"/>
        </w:rPr>
        <w:t xml:space="preserve"> </w:t>
      </w:r>
      <w:r>
        <w:t>schools</w:t>
      </w:r>
      <w:r>
        <w:rPr>
          <w:spacing w:val="-6"/>
        </w:rPr>
        <w:t xml:space="preserve"> </w:t>
      </w:r>
      <w:r>
        <w:t>are</w:t>
      </w:r>
      <w:r>
        <w:rPr>
          <w:spacing w:val="-6"/>
        </w:rPr>
        <w:t xml:space="preserve"> </w:t>
      </w:r>
      <w:r>
        <w:t>preassigned</w:t>
      </w:r>
      <w:r>
        <w:rPr>
          <w:spacing w:val="-6"/>
        </w:rPr>
        <w:t xml:space="preserve"> </w:t>
      </w:r>
      <w:r>
        <w:t>to</w:t>
      </w:r>
      <w:r>
        <w:rPr>
          <w:spacing w:val="-6"/>
        </w:rPr>
        <w:t xml:space="preserve"> </w:t>
      </w:r>
      <w:r>
        <w:t>original</w:t>
      </w:r>
      <w:r>
        <w:rPr>
          <w:spacing w:val="-6"/>
        </w:rPr>
        <w:t xml:space="preserve"> </w:t>
      </w:r>
      <w:r>
        <w:t>schools</w:t>
      </w:r>
      <w:r>
        <w:rPr>
          <w:spacing w:val="-6"/>
        </w:rPr>
        <w:t xml:space="preserve"> </w:t>
      </w:r>
      <w:r>
        <w:t>and</w:t>
      </w:r>
      <w:r>
        <w:rPr>
          <w:spacing w:val="-6"/>
        </w:rPr>
        <w:t xml:space="preserve"> </w:t>
      </w:r>
      <w:r>
        <w:t>take</w:t>
      </w:r>
      <w:r>
        <w:rPr>
          <w:spacing w:val="-6"/>
        </w:rPr>
        <w:t xml:space="preserve"> </w:t>
      </w:r>
      <w:r>
        <w:t>the</w:t>
      </w:r>
      <w:r>
        <w:rPr>
          <w:spacing w:val="-6"/>
        </w:rPr>
        <w:t xml:space="preserve"> </w:t>
      </w:r>
      <w:r>
        <w:t>place</w:t>
      </w:r>
      <w:r>
        <w:rPr>
          <w:spacing w:val="-6"/>
        </w:rPr>
        <w:t xml:space="preserve"> </w:t>
      </w:r>
      <w:r>
        <w:t>of</w:t>
      </w:r>
      <w:r>
        <w:rPr>
          <w:spacing w:val="-6"/>
        </w:rPr>
        <w:t xml:space="preserve"> </w:t>
      </w:r>
      <w:r>
        <w:t>original</w:t>
      </w:r>
      <w:r>
        <w:rPr>
          <w:spacing w:val="-6"/>
        </w:rPr>
        <w:t xml:space="preserve"> </w:t>
      </w:r>
      <w:r>
        <w:t>schools</w:t>
      </w:r>
      <w:r>
        <w:rPr>
          <w:spacing w:val="-6"/>
        </w:rPr>
        <w:t xml:space="preserve"> </w:t>
      </w:r>
      <w:r>
        <w:t>if</w:t>
      </w:r>
      <w:r>
        <w:rPr>
          <w:spacing w:val="-6"/>
        </w:rPr>
        <w:t xml:space="preserve"> </w:t>
      </w:r>
      <w:r>
        <w:t>they</w:t>
      </w:r>
      <w:r>
        <w:rPr>
          <w:spacing w:val="-6"/>
        </w:rPr>
        <w:t xml:space="preserve"> </w:t>
      </w:r>
      <w:r>
        <w:t>refuse</w:t>
      </w:r>
      <w:r>
        <w:rPr>
          <w:spacing w:val="-6"/>
        </w:rPr>
        <w:t xml:space="preserve"> </w:t>
      </w:r>
      <w:r>
        <w:t>to</w:t>
      </w:r>
      <w:r>
        <w:rPr>
          <w:spacing w:val="-6"/>
        </w:rPr>
        <w:t xml:space="preserve"> </w:t>
      </w:r>
      <w:r>
        <w:t>participate.</w:t>
      </w:r>
      <w:r>
        <w:rPr>
          <w:spacing w:val="-6"/>
        </w:rPr>
        <w:t xml:space="preserve"> </w:t>
      </w:r>
      <w:r>
        <w:t>For</w:t>
      </w:r>
      <w:r>
        <w:rPr>
          <w:spacing w:val="-6"/>
        </w:rPr>
        <w:t xml:space="preserve"> </w:t>
      </w:r>
      <w:r>
        <w:t>weighting</w:t>
      </w:r>
      <w:r>
        <w:rPr>
          <w:spacing w:val="-6"/>
        </w:rPr>
        <w:t xml:space="preserve"> </w:t>
      </w:r>
      <w:r>
        <w:t>purposes,</w:t>
      </w:r>
      <w:r>
        <w:rPr>
          <w:spacing w:val="-6"/>
        </w:rPr>
        <w:t xml:space="preserve"> </w:t>
      </w:r>
      <w:r>
        <w:t>substitute</w:t>
      </w:r>
      <w:r>
        <w:rPr>
          <w:spacing w:val="-6"/>
        </w:rPr>
        <w:t xml:space="preserve"> </w:t>
      </w:r>
      <w:r>
        <w:t>schools</w:t>
      </w:r>
      <w:r>
        <w:rPr>
          <w:spacing w:val="-6"/>
        </w:rPr>
        <w:t xml:space="preserve"> </w:t>
      </w:r>
      <w:r>
        <w:t>are</w:t>
      </w:r>
      <w:r>
        <w:rPr>
          <w:spacing w:val="-6"/>
        </w:rPr>
        <w:t xml:space="preserve"> </w:t>
      </w:r>
      <w:r>
        <w:t>treated</w:t>
      </w:r>
      <w:r>
        <w:rPr>
          <w:spacing w:val="-6"/>
        </w:rPr>
        <w:t xml:space="preserve"> </w:t>
      </w:r>
      <w:r>
        <w:t>as if they were the original schools they replaced, so substitute schools are assigned the school base weight of their corresponding original schools.</w:t>
      </w:r>
    </w:p>
    <w:p w:rsidR="003F5784" w14:paraId="42F6F895" w14:textId="77777777">
      <w:pPr>
        <w:pStyle w:val="BodyText"/>
        <w:spacing w:before="209" w:line="232" w:lineRule="auto"/>
        <w:ind w:left="109"/>
      </w:pPr>
      <w:r>
        <w:t>Learn</w:t>
      </w:r>
      <w:r>
        <w:rPr>
          <w:spacing w:val="-6"/>
        </w:rPr>
        <w:t xml:space="preserve"> </w:t>
      </w:r>
      <w:r>
        <w:t>more</w:t>
      </w:r>
      <w:r>
        <w:rPr>
          <w:spacing w:val="-6"/>
        </w:rPr>
        <w:t xml:space="preserve"> </w:t>
      </w:r>
      <w:r>
        <w:t>about</w:t>
      </w:r>
      <w:r>
        <w:rPr>
          <w:spacing w:val="-6"/>
        </w:rPr>
        <w:t xml:space="preserve"> </w:t>
      </w:r>
      <w:r>
        <w:t>substitute</w:t>
      </w:r>
      <w:r>
        <w:rPr>
          <w:spacing w:val="-6"/>
        </w:rPr>
        <w:t xml:space="preserve"> </w:t>
      </w:r>
      <w:r>
        <w:t>schools</w:t>
      </w:r>
      <w:r>
        <w:rPr>
          <w:spacing w:val="-6"/>
        </w:rPr>
        <w:t xml:space="preserve"> </w:t>
      </w:r>
      <w:r>
        <w:t>for</w:t>
      </w:r>
      <w:r>
        <w:rPr>
          <w:spacing w:val="-6"/>
        </w:rPr>
        <w:t xml:space="preserve"> </w:t>
      </w:r>
      <w:r>
        <w:t>the</w:t>
      </w:r>
      <w:r>
        <w:rPr>
          <w:spacing w:val="-6"/>
        </w:rPr>
        <w:t xml:space="preserve"> </w:t>
      </w:r>
      <w:r>
        <w:t>2022</w:t>
      </w:r>
      <w:r>
        <w:rPr>
          <w:spacing w:val="-6"/>
        </w:rPr>
        <w:t xml:space="preserve"> </w:t>
      </w:r>
      <w:r>
        <w:t>national</w:t>
      </w:r>
      <w:r>
        <w:rPr>
          <w:spacing w:val="-6"/>
        </w:rPr>
        <w:t xml:space="preserve"> </w:t>
      </w:r>
      <w:r>
        <w:t>public</w:t>
      </w:r>
      <w:r>
        <w:rPr>
          <w:spacing w:val="-6"/>
        </w:rPr>
        <w:t xml:space="preserve"> </w:t>
      </w:r>
      <w:r>
        <w:t>school</w:t>
      </w:r>
      <w:r>
        <w:rPr>
          <w:spacing w:val="-6"/>
        </w:rPr>
        <w:t xml:space="preserve"> </w:t>
      </w:r>
      <w:r>
        <w:t>assessments</w:t>
      </w:r>
      <w:r>
        <w:rPr>
          <w:spacing w:val="-6"/>
        </w:rPr>
        <w:t xml:space="preserve"> </w:t>
      </w:r>
      <w:r>
        <w:t>for</w:t>
      </w:r>
      <w:r>
        <w:rPr>
          <w:spacing w:val="-6"/>
        </w:rPr>
        <w:t xml:space="preserve"> </w:t>
      </w:r>
      <w:r>
        <w:t>civics</w:t>
      </w:r>
      <w:r>
        <w:rPr>
          <w:spacing w:val="-6"/>
        </w:rPr>
        <w:t xml:space="preserve"> </w:t>
      </w:r>
      <w:r>
        <w:t>and</w:t>
      </w:r>
      <w:r>
        <w:rPr>
          <w:spacing w:val="-6"/>
        </w:rPr>
        <w:t xml:space="preserve"> </w:t>
      </w:r>
      <w:r>
        <w:t>U.S.</w:t>
      </w:r>
      <w:r>
        <w:rPr>
          <w:spacing w:val="-6"/>
        </w:rPr>
        <w:t xml:space="preserve"> </w:t>
      </w:r>
      <w:r>
        <w:t>history</w:t>
      </w:r>
      <w:r>
        <w:rPr>
          <w:spacing w:val="-6"/>
        </w:rPr>
        <w:t xml:space="preserve"> </w:t>
      </w:r>
      <w:r>
        <w:t>at</w:t>
      </w:r>
      <w:r>
        <w:rPr>
          <w:spacing w:val="-6"/>
        </w:rPr>
        <w:t xml:space="preserve"> </w:t>
      </w:r>
      <w:r>
        <w:t>grade</w:t>
      </w:r>
      <w:r>
        <w:rPr>
          <w:spacing w:val="-6"/>
        </w:rPr>
        <w:t xml:space="preserve"> </w:t>
      </w:r>
      <w:r>
        <w:t>8</w:t>
      </w:r>
      <w:r>
        <w:rPr>
          <w:spacing w:val="-6"/>
        </w:rPr>
        <w:t xml:space="preserve"> </w:t>
      </w:r>
      <w:r>
        <w:t>and</w:t>
      </w:r>
      <w:r>
        <w:rPr>
          <w:spacing w:val="-6"/>
        </w:rPr>
        <w:t xml:space="preserve"> </w:t>
      </w:r>
      <w:r>
        <w:t>for</w:t>
      </w:r>
      <w:r>
        <w:rPr>
          <w:spacing w:val="-6"/>
        </w:rPr>
        <w:t xml:space="preserve"> </w:t>
      </w:r>
      <w:r>
        <w:t>mathematics</w:t>
      </w:r>
      <w:r>
        <w:rPr>
          <w:spacing w:val="-6"/>
        </w:rPr>
        <w:t xml:space="preserve"> </w:t>
      </w:r>
      <w:r>
        <w:t>and</w:t>
      </w:r>
      <w:r>
        <w:rPr>
          <w:spacing w:val="-6"/>
        </w:rPr>
        <w:t xml:space="preserve"> </w:t>
      </w:r>
      <w:r>
        <w:t>reading</w:t>
      </w:r>
      <w:r>
        <w:rPr>
          <w:spacing w:val="-6"/>
        </w:rPr>
        <w:t xml:space="preserve"> </w:t>
      </w:r>
      <w:r>
        <w:t>LTT</w:t>
      </w:r>
      <w:r>
        <w:rPr>
          <w:spacing w:val="-10"/>
        </w:rPr>
        <w:t xml:space="preserve"> </w:t>
      </w:r>
      <w:r>
        <w:t>assessments</w:t>
      </w:r>
      <w:r>
        <w:rPr>
          <w:spacing w:val="-6"/>
        </w:rPr>
        <w:t xml:space="preserve"> </w:t>
      </w:r>
      <w:r>
        <w:t>at age 9. The 2022 state public school assessment in mathematics and reading do not use substitute schools.</w:t>
      </w:r>
    </w:p>
    <w:p w:rsidR="003F5784" w14:paraId="17AB3317" w14:textId="77777777">
      <w:pPr>
        <w:spacing w:line="232" w:lineRule="auto"/>
        <w:sectPr>
          <w:type w:val="continuous"/>
          <w:pgSz w:w="15840" w:h="12240" w:orient="landscape"/>
          <w:pgMar w:top="480" w:right="440" w:bottom="460" w:left="460" w:header="284" w:footer="275" w:gutter="0"/>
          <w:cols w:space="720"/>
        </w:sectPr>
      </w:pPr>
    </w:p>
    <w:p w:rsidR="003F5784" w14:paraId="1DD3AD5C" w14:textId="77777777">
      <w:pPr>
        <w:pStyle w:val="BodyText"/>
        <w:spacing w:before="78" w:line="232" w:lineRule="auto"/>
        <w:ind w:left="109"/>
      </w:pPr>
      <w:r>
        <w:t>Learn</w:t>
      </w:r>
      <w:r>
        <w:rPr>
          <w:spacing w:val="-5"/>
        </w:rPr>
        <w:t xml:space="preserve"> </w:t>
      </w:r>
      <w:r>
        <w:t>more</w:t>
      </w:r>
      <w:r>
        <w:rPr>
          <w:spacing w:val="-5"/>
        </w:rPr>
        <w:t xml:space="preserve"> </w:t>
      </w:r>
      <w:r>
        <w:t>about</w:t>
      </w:r>
      <w:r>
        <w:rPr>
          <w:spacing w:val="-5"/>
        </w:rPr>
        <w:t xml:space="preserve"> </w:t>
      </w:r>
      <w:r>
        <w:t>substitute</w:t>
      </w:r>
      <w:r>
        <w:rPr>
          <w:spacing w:val="-5"/>
        </w:rPr>
        <w:t xml:space="preserve"> </w:t>
      </w:r>
      <w:r>
        <w:t>schools</w:t>
      </w:r>
      <w:r>
        <w:rPr>
          <w:spacing w:val="-5"/>
        </w:rPr>
        <w:t xml:space="preserve"> </w:t>
      </w:r>
      <w:r>
        <w:t>for</w:t>
      </w:r>
      <w:r>
        <w:rPr>
          <w:spacing w:val="-5"/>
        </w:rPr>
        <w:t xml:space="preserve"> </w:t>
      </w:r>
      <w:r>
        <w:t>the</w:t>
      </w:r>
      <w:r>
        <w:rPr>
          <w:spacing w:val="-5"/>
        </w:rPr>
        <w:t xml:space="preserve"> </w:t>
      </w:r>
      <w:r>
        <w:t>2022</w:t>
      </w:r>
      <w:r>
        <w:rPr>
          <w:spacing w:val="-5"/>
        </w:rPr>
        <w:t xml:space="preserve"> </w:t>
      </w:r>
      <w:r>
        <w:t>national</w:t>
      </w:r>
      <w:r>
        <w:rPr>
          <w:spacing w:val="-5"/>
        </w:rPr>
        <w:t xml:space="preserve"> </w:t>
      </w:r>
      <w:r>
        <w:t>private</w:t>
      </w:r>
      <w:r>
        <w:rPr>
          <w:spacing w:val="-5"/>
        </w:rPr>
        <w:t xml:space="preserve"> </w:t>
      </w:r>
      <w:r>
        <w:t>school</w:t>
      </w:r>
      <w:r>
        <w:rPr>
          <w:spacing w:val="-5"/>
        </w:rPr>
        <w:t xml:space="preserve"> </w:t>
      </w:r>
      <w:r>
        <w:t>assessments</w:t>
      </w:r>
      <w:r>
        <w:rPr>
          <w:spacing w:val="-5"/>
        </w:rPr>
        <w:t xml:space="preserve"> </w:t>
      </w:r>
      <w:r>
        <w:t>in</w:t>
      </w:r>
      <w:r>
        <w:rPr>
          <w:spacing w:val="-5"/>
        </w:rPr>
        <w:t xml:space="preserve"> </w:t>
      </w:r>
      <w:r>
        <w:t>mathematics</w:t>
      </w:r>
      <w:r>
        <w:rPr>
          <w:spacing w:val="-5"/>
        </w:rPr>
        <w:t xml:space="preserve"> </w:t>
      </w:r>
      <w:r>
        <w:t>and</w:t>
      </w:r>
      <w:r>
        <w:rPr>
          <w:spacing w:val="-5"/>
        </w:rPr>
        <w:t xml:space="preserve"> </w:t>
      </w:r>
      <w:r>
        <w:t>reading</w:t>
      </w:r>
      <w:r>
        <w:rPr>
          <w:spacing w:val="-5"/>
        </w:rPr>
        <w:t xml:space="preserve"> </w:t>
      </w:r>
      <w:r>
        <w:t>at</w:t>
      </w:r>
      <w:r>
        <w:rPr>
          <w:spacing w:val="-5"/>
        </w:rPr>
        <w:t xml:space="preserve"> </w:t>
      </w:r>
      <w:r>
        <w:t>grades</w:t>
      </w:r>
      <w:r>
        <w:rPr>
          <w:spacing w:val="-5"/>
        </w:rPr>
        <w:t xml:space="preserve"> </w:t>
      </w:r>
      <w:r>
        <w:t>4</w:t>
      </w:r>
      <w:r>
        <w:rPr>
          <w:spacing w:val="-5"/>
        </w:rPr>
        <w:t xml:space="preserve"> </w:t>
      </w:r>
      <w:r>
        <w:t>and</w:t>
      </w:r>
      <w:r>
        <w:rPr>
          <w:spacing w:val="-5"/>
        </w:rPr>
        <w:t xml:space="preserve"> </w:t>
      </w:r>
      <w:r>
        <w:t>8,</w:t>
      </w:r>
      <w:r>
        <w:rPr>
          <w:spacing w:val="-5"/>
        </w:rPr>
        <w:t xml:space="preserve"> </w:t>
      </w:r>
      <w:r>
        <w:t>in</w:t>
      </w:r>
      <w:r>
        <w:rPr>
          <w:spacing w:val="-5"/>
        </w:rPr>
        <w:t xml:space="preserve"> </w:t>
      </w:r>
      <w:r>
        <w:t>civics</w:t>
      </w:r>
      <w:r>
        <w:rPr>
          <w:spacing w:val="-5"/>
        </w:rPr>
        <w:t xml:space="preserve"> </w:t>
      </w:r>
      <w:r>
        <w:t>and</w:t>
      </w:r>
      <w:r>
        <w:rPr>
          <w:spacing w:val="-5"/>
        </w:rPr>
        <w:t xml:space="preserve"> </w:t>
      </w:r>
      <w:r>
        <w:t>U.S.</w:t>
      </w:r>
      <w:r>
        <w:rPr>
          <w:spacing w:val="-5"/>
        </w:rPr>
        <w:t xml:space="preserve"> </w:t>
      </w:r>
      <w:r>
        <w:t>history</w:t>
      </w:r>
      <w:r>
        <w:rPr>
          <w:spacing w:val="-5"/>
        </w:rPr>
        <w:t xml:space="preserve"> </w:t>
      </w:r>
      <w:r>
        <w:t>at</w:t>
      </w:r>
      <w:r>
        <w:rPr>
          <w:spacing w:val="-5"/>
        </w:rPr>
        <w:t xml:space="preserve"> </w:t>
      </w:r>
      <w:r>
        <w:t>grade</w:t>
      </w:r>
      <w:r>
        <w:rPr>
          <w:spacing w:val="-5"/>
        </w:rPr>
        <w:t xml:space="preserve"> </w:t>
      </w:r>
      <w:r>
        <w:t>8,</w:t>
      </w:r>
      <w:r>
        <w:rPr>
          <w:spacing w:val="-5"/>
        </w:rPr>
        <w:t xml:space="preserve"> </w:t>
      </w:r>
      <w:r>
        <w:t>and</w:t>
      </w:r>
      <w:r>
        <w:rPr>
          <w:spacing w:val="-5"/>
        </w:rPr>
        <w:t xml:space="preserve"> </w:t>
      </w:r>
      <w:r>
        <w:t>in mathematics and reading LTT assessments at ages 9 and 13.</w:t>
      </w:r>
    </w:p>
    <w:p w:rsidR="003F5784" w14:paraId="5CAE5825" w14:textId="77777777">
      <w:pPr>
        <w:pStyle w:val="BodyText"/>
      </w:pPr>
    </w:p>
    <w:p w:rsidR="003F5784" w14:paraId="27786659" w14:textId="77777777">
      <w:pPr>
        <w:pStyle w:val="BodyText"/>
      </w:pPr>
    </w:p>
    <w:p w:rsidR="003F5784" w14:paraId="50FB352E" w14:textId="77777777">
      <w:pPr>
        <w:pStyle w:val="BodyText"/>
        <w:spacing w:before="146"/>
      </w:pPr>
    </w:p>
    <w:p w:rsidR="003F5784" w14:paraId="5033FF2D" w14:textId="77777777">
      <w:pPr>
        <w:ind w:left="6490"/>
        <w:rPr>
          <w:sz w:val="18"/>
        </w:rPr>
      </w:pPr>
      <w:hyperlink r:id="rId403">
        <w:r>
          <w:rPr>
            <w:spacing w:val="-2"/>
            <w:w w:val="105"/>
            <w:sz w:val="18"/>
          </w:rPr>
          <w:t>http://nces.ed.gov/nationsreportcard/tdw/weighting/2022/school_base_weights_for_the_2022_assessment.aspx</w:t>
        </w:r>
      </w:hyperlink>
    </w:p>
    <w:p w:rsidR="003F5784" w14:paraId="75D1368A" w14:textId="77777777">
      <w:pPr>
        <w:pStyle w:val="BodyText"/>
        <w:rPr>
          <w:sz w:val="16"/>
        </w:rPr>
      </w:pPr>
      <w:r>
        <w:rPr>
          <w:noProof/>
        </w:rPr>
        <mc:AlternateContent>
          <mc:Choice Requires="wps">
            <w:drawing>
              <wp:anchor distT="0" distB="0" distL="0" distR="0" simplePos="0" relativeHeight="251974656" behindDoc="1" locked="0" layoutInCell="1" allowOverlap="1">
                <wp:simplePos x="0" y="0"/>
                <wp:positionH relativeFrom="page">
                  <wp:posOffset>361937</wp:posOffset>
                </wp:positionH>
                <wp:positionV relativeFrom="paragraph">
                  <wp:posOffset>132463</wp:posOffset>
                </wp:positionV>
                <wp:extent cx="9339580" cy="8890"/>
                <wp:effectExtent l="0" t="0" r="0" b="0"/>
                <wp:wrapTopAndBottom/>
                <wp:docPr id="508" name="Graphic 50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318"/>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08" o:spid="_x0000_s1169" style="width:735.4pt;height:0.7pt;margin-top:10.45pt;margin-left:28.5pt;mso-position-horizontal-relative:page;mso-wrap-distance-bottom:0;mso-wrap-distance-left:0;mso-wrap-distance-right:0;mso-wrap-distance-top:0;mso-wrap-style:square;position:absolute;visibility:visible;v-text-anchor:top;z-index:-251340800" coordsize="9339580,8890" path="m9338970,l9335110,l,,,8280l8280,8318l9335110,8280l9338970,8280l9338970,xe" fillcolor="gray" stroked="f">
                <v:path arrowok="t"/>
                <w10:wrap type="topAndBottom"/>
              </v:shape>
            </w:pict>
          </mc:Fallback>
        </mc:AlternateContent>
      </w:r>
    </w:p>
    <w:p w:rsidR="003F5784" w14:paraId="76263A20" w14:textId="77777777">
      <w:pPr>
        <w:pStyle w:val="BodyText"/>
        <w:rPr>
          <w:sz w:val="18"/>
        </w:rPr>
      </w:pPr>
    </w:p>
    <w:p w:rsidR="003F5784" w14:paraId="3390D057" w14:textId="77777777">
      <w:pPr>
        <w:pStyle w:val="BodyText"/>
        <w:spacing w:before="193"/>
        <w:rPr>
          <w:sz w:val="18"/>
        </w:rPr>
      </w:pPr>
    </w:p>
    <w:p w:rsidR="003F5784" w14:paraId="5595770A" w14:textId="33F62227">
      <w:pPr>
        <w:pStyle w:val="Heading1"/>
      </w:pPr>
      <w:r>
        <w:t>NAEP</w:t>
      </w:r>
      <w:r>
        <w:rPr>
          <w:spacing w:val="-24"/>
        </w:rPr>
        <w:t xml:space="preserve"> </w:t>
      </w:r>
      <w:r>
        <w:t>Technical</w:t>
      </w:r>
      <w:r>
        <w:rPr>
          <w:spacing w:val="11"/>
        </w:rPr>
        <w:t xml:space="preserve"> </w:t>
      </w:r>
      <w:r>
        <w:t>Documentation</w:t>
      </w:r>
      <w:r w:rsidR="00E3225D">
        <w:t xml:space="preserve"> </w:t>
      </w:r>
      <w:r>
        <w:t>Student</w:t>
      </w:r>
      <w:r>
        <w:rPr>
          <w:spacing w:val="12"/>
        </w:rPr>
        <w:t xml:space="preserve"> </w:t>
      </w:r>
      <w:r>
        <w:t>Base</w:t>
      </w:r>
      <w:r>
        <w:rPr>
          <w:spacing w:val="4"/>
        </w:rPr>
        <w:t xml:space="preserve"> </w:t>
      </w:r>
      <w:r>
        <w:rPr>
          <w:spacing w:val="-2"/>
        </w:rPr>
        <w:t>Weights</w:t>
      </w:r>
    </w:p>
    <w:p w:rsidR="003F5784" w14:paraId="6204A7E0" w14:textId="77777777">
      <w:pPr>
        <w:pStyle w:val="BodyText"/>
        <w:spacing w:before="295" w:line="232" w:lineRule="auto"/>
        <w:ind w:left="109" w:right="117"/>
      </w:pPr>
      <w:r>
        <w:t>Every</w:t>
      </w:r>
      <w:r>
        <w:rPr>
          <w:spacing w:val="-6"/>
        </w:rPr>
        <w:t xml:space="preserve"> </w:t>
      </w:r>
      <w:r>
        <w:t>sampled</w:t>
      </w:r>
      <w:r>
        <w:rPr>
          <w:spacing w:val="-6"/>
        </w:rPr>
        <w:t xml:space="preserve"> </w:t>
      </w:r>
      <w:r>
        <w:t>student</w:t>
      </w:r>
      <w:r>
        <w:rPr>
          <w:spacing w:val="-6"/>
        </w:rPr>
        <w:t xml:space="preserve"> </w:t>
      </w:r>
      <w:r>
        <w:t>received</w:t>
      </w:r>
      <w:r>
        <w:rPr>
          <w:spacing w:val="-6"/>
        </w:rPr>
        <w:t xml:space="preserve"> </w:t>
      </w:r>
      <w:r>
        <w:t>a</w:t>
      </w:r>
      <w:r>
        <w:rPr>
          <w:spacing w:val="-6"/>
        </w:rPr>
        <w:t xml:space="preserve"> </w:t>
      </w:r>
      <w:r>
        <w:t>student</w:t>
      </w:r>
      <w:r>
        <w:rPr>
          <w:spacing w:val="-6"/>
        </w:rPr>
        <w:t xml:space="preserve"> </w:t>
      </w:r>
      <w:r>
        <w:t>base</w:t>
      </w:r>
      <w:r>
        <w:rPr>
          <w:spacing w:val="-6"/>
        </w:rPr>
        <w:t xml:space="preserve"> </w:t>
      </w:r>
      <w:r>
        <w:t>weight,</w:t>
      </w:r>
      <w:r>
        <w:rPr>
          <w:spacing w:val="-6"/>
        </w:rPr>
        <w:t xml:space="preserve"> </w:t>
      </w:r>
      <w:r>
        <w:t>whether</w:t>
      </w:r>
      <w:r>
        <w:rPr>
          <w:spacing w:val="-6"/>
        </w:rPr>
        <w:t xml:space="preserve"> </w:t>
      </w:r>
      <w:r>
        <w:t>or</w:t>
      </w:r>
      <w:r>
        <w:rPr>
          <w:spacing w:val="-6"/>
        </w:rPr>
        <w:t xml:space="preserve"> </w:t>
      </w:r>
      <w:r>
        <w:t>not</w:t>
      </w:r>
      <w:r>
        <w:rPr>
          <w:spacing w:val="-6"/>
        </w:rPr>
        <w:t xml:space="preserve"> </w:t>
      </w:r>
      <w:r>
        <w:t>the</w:t>
      </w:r>
      <w:r>
        <w:rPr>
          <w:spacing w:val="-6"/>
        </w:rPr>
        <w:t xml:space="preserve"> </w:t>
      </w:r>
      <w:r>
        <w:t>student</w:t>
      </w:r>
      <w:r>
        <w:rPr>
          <w:spacing w:val="-6"/>
        </w:rPr>
        <w:t xml:space="preserve"> </w:t>
      </w:r>
      <w:r>
        <w:t>participated</w:t>
      </w:r>
      <w:r>
        <w:rPr>
          <w:spacing w:val="-6"/>
        </w:rPr>
        <w:t xml:space="preserve"> </w:t>
      </w:r>
      <w:r>
        <w:t>in</w:t>
      </w:r>
      <w:r>
        <w:rPr>
          <w:spacing w:val="-6"/>
        </w:rPr>
        <w:t xml:space="preserve"> </w:t>
      </w:r>
      <w:r>
        <w:t>the</w:t>
      </w:r>
      <w:r>
        <w:rPr>
          <w:spacing w:val="-6"/>
        </w:rPr>
        <w:t xml:space="preserve"> </w:t>
      </w:r>
      <w:r>
        <w:t>assessment.</w:t>
      </w:r>
      <w:r>
        <w:rPr>
          <w:spacing w:val="-9"/>
        </w:rPr>
        <w:t xml:space="preserve"> </w:t>
      </w:r>
      <w:r>
        <w:t>The</w:t>
      </w:r>
      <w:r>
        <w:rPr>
          <w:spacing w:val="-6"/>
        </w:rPr>
        <w:t xml:space="preserve"> </w:t>
      </w:r>
      <w:r>
        <w:t>student</w:t>
      </w:r>
      <w:r>
        <w:rPr>
          <w:spacing w:val="-6"/>
        </w:rPr>
        <w:t xml:space="preserve"> </w:t>
      </w:r>
      <w:r>
        <w:t>base</w:t>
      </w:r>
      <w:r>
        <w:rPr>
          <w:spacing w:val="-6"/>
        </w:rPr>
        <w:t xml:space="preserve"> </w:t>
      </w:r>
      <w:r>
        <w:t>weight</w:t>
      </w:r>
      <w:r>
        <w:rPr>
          <w:spacing w:val="-6"/>
        </w:rPr>
        <w:t xml:space="preserve"> </w:t>
      </w:r>
      <w:r>
        <w:t>is</w:t>
      </w:r>
      <w:r>
        <w:rPr>
          <w:spacing w:val="-6"/>
        </w:rPr>
        <w:t xml:space="preserve"> </w:t>
      </w:r>
      <w:r>
        <w:t>the</w:t>
      </w:r>
      <w:r>
        <w:rPr>
          <w:spacing w:val="-6"/>
        </w:rPr>
        <w:t xml:space="preserve"> </w:t>
      </w:r>
      <w:r>
        <w:t>reciprocal</w:t>
      </w:r>
      <w:r>
        <w:rPr>
          <w:spacing w:val="-6"/>
        </w:rPr>
        <w:t xml:space="preserve"> </w:t>
      </w:r>
      <w:r>
        <w:t>of</w:t>
      </w:r>
      <w:r>
        <w:rPr>
          <w:spacing w:val="-6"/>
        </w:rPr>
        <w:t xml:space="preserve"> </w:t>
      </w:r>
      <w:r>
        <w:t>the</w:t>
      </w:r>
      <w:r>
        <w:rPr>
          <w:spacing w:val="-6"/>
        </w:rPr>
        <w:t xml:space="preserve"> </w:t>
      </w:r>
      <w:r>
        <w:t>probability</w:t>
      </w:r>
      <w:r>
        <w:rPr>
          <w:spacing w:val="-6"/>
        </w:rPr>
        <w:t xml:space="preserve"> </w:t>
      </w:r>
      <w:r>
        <w:t>that the</w:t>
      </w:r>
      <w:r>
        <w:rPr>
          <w:spacing w:val="-3"/>
        </w:rPr>
        <w:t xml:space="preserve"> </w:t>
      </w:r>
      <w:r>
        <w:t>student</w:t>
      </w:r>
      <w:r>
        <w:rPr>
          <w:spacing w:val="-3"/>
        </w:rPr>
        <w:t xml:space="preserve"> </w:t>
      </w:r>
      <w:r>
        <w:t>was</w:t>
      </w:r>
      <w:r>
        <w:rPr>
          <w:spacing w:val="-3"/>
        </w:rPr>
        <w:t xml:space="preserve"> </w:t>
      </w:r>
      <w:r>
        <w:t>sampled</w:t>
      </w:r>
      <w:r>
        <w:rPr>
          <w:spacing w:val="-3"/>
        </w:rPr>
        <w:t xml:space="preserve"> </w:t>
      </w:r>
      <w:r>
        <w:t>to</w:t>
      </w:r>
      <w:r>
        <w:rPr>
          <w:spacing w:val="-3"/>
        </w:rPr>
        <w:t xml:space="preserve"> </w:t>
      </w:r>
      <w:r>
        <w:t>participate</w:t>
      </w:r>
      <w:r>
        <w:rPr>
          <w:spacing w:val="-3"/>
        </w:rPr>
        <w:t xml:space="preserve"> </w:t>
      </w:r>
      <w:r>
        <w:t>in</w:t>
      </w:r>
      <w:r>
        <w:rPr>
          <w:spacing w:val="-3"/>
        </w:rPr>
        <w:t xml:space="preserve"> </w:t>
      </w:r>
      <w:r>
        <w:t>the</w:t>
      </w:r>
      <w:r>
        <w:rPr>
          <w:spacing w:val="-3"/>
        </w:rPr>
        <w:t xml:space="preserve"> </w:t>
      </w:r>
      <w:r>
        <w:t>assessment</w:t>
      </w:r>
      <w:r>
        <w:rPr>
          <w:spacing w:val="-3"/>
        </w:rPr>
        <w:t xml:space="preserve"> </w:t>
      </w:r>
      <w:r>
        <w:t>for</w:t>
      </w:r>
      <w:r>
        <w:rPr>
          <w:spacing w:val="-3"/>
        </w:rPr>
        <w:t xml:space="preserve"> </w:t>
      </w:r>
      <w:r>
        <w:t>a</w:t>
      </w:r>
      <w:r>
        <w:rPr>
          <w:spacing w:val="-3"/>
        </w:rPr>
        <w:t xml:space="preserve"> </w:t>
      </w:r>
      <w:r>
        <w:t>specified</w:t>
      </w:r>
      <w:r>
        <w:rPr>
          <w:spacing w:val="-3"/>
        </w:rPr>
        <w:t xml:space="preserve"> </w:t>
      </w:r>
      <w:r>
        <w:t>subject.</w:t>
      </w:r>
      <w:r>
        <w:rPr>
          <w:spacing w:val="-7"/>
        </w:rPr>
        <w:t xml:space="preserve"> </w:t>
      </w:r>
      <w:r>
        <w:t>The</w:t>
      </w:r>
      <w:r>
        <w:rPr>
          <w:spacing w:val="-3"/>
        </w:rPr>
        <w:t xml:space="preserve"> </w:t>
      </w:r>
      <w:r>
        <w:t>student</w:t>
      </w:r>
      <w:r>
        <w:rPr>
          <w:spacing w:val="-3"/>
        </w:rPr>
        <w:t xml:space="preserve"> </w:t>
      </w:r>
      <w:r>
        <w:t>base</w:t>
      </w:r>
      <w:r>
        <w:rPr>
          <w:spacing w:val="-3"/>
        </w:rPr>
        <w:t xml:space="preserve"> </w:t>
      </w:r>
      <w:r>
        <w:t>weight</w:t>
      </w:r>
      <w:r>
        <w:rPr>
          <w:spacing w:val="-3"/>
        </w:rPr>
        <w:t xml:space="preserve"> </w:t>
      </w:r>
      <w:r>
        <w:t>\(STU\_BWT_{jsk}\)</w:t>
      </w:r>
      <w:r>
        <w:rPr>
          <w:spacing w:val="-3"/>
        </w:rPr>
        <w:t xml:space="preserve"> </w:t>
      </w:r>
      <w:r>
        <w:t>for</w:t>
      </w:r>
      <w:r>
        <w:rPr>
          <w:spacing w:val="-3"/>
        </w:rPr>
        <w:t xml:space="preserve"> </w:t>
      </w:r>
      <w:r>
        <w:t>student</w:t>
      </w:r>
      <w:r>
        <w:rPr>
          <w:spacing w:val="-3"/>
        </w:rPr>
        <w:t xml:space="preserve"> </w:t>
      </w:r>
      <w:r>
        <w:t>\(k\)</w:t>
      </w:r>
      <w:r>
        <w:rPr>
          <w:spacing w:val="-3"/>
        </w:rPr>
        <w:t xml:space="preserve"> </w:t>
      </w:r>
      <w:r>
        <w:t>from</w:t>
      </w:r>
      <w:r>
        <w:rPr>
          <w:spacing w:val="-3"/>
        </w:rPr>
        <w:t xml:space="preserve"> </w:t>
      </w:r>
      <w:r>
        <w:t>school</w:t>
      </w:r>
      <w:r>
        <w:rPr>
          <w:spacing w:val="-3"/>
        </w:rPr>
        <w:t xml:space="preserve"> </w:t>
      </w:r>
      <w:r>
        <w:t>\(s\)</w:t>
      </w:r>
      <w:r>
        <w:rPr>
          <w:spacing w:val="-3"/>
        </w:rPr>
        <w:t xml:space="preserve"> </w:t>
      </w:r>
      <w:r>
        <w:t>in</w:t>
      </w:r>
      <w:r>
        <w:rPr>
          <w:spacing w:val="-3"/>
        </w:rPr>
        <w:t xml:space="preserve"> </w:t>
      </w:r>
      <w:r>
        <w:t>stratum</w:t>
      </w:r>
      <w:r>
        <w:rPr>
          <w:spacing w:val="-3"/>
        </w:rPr>
        <w:t xml:space="preserve"> </w:t>
      </w:r>
      <w:r>
        <w:t>\(j\) is the product of seven weighting components and can be expressed as</w:t>
      </w:r>
    </w:p>
    <w:p w:rsidR="003F5784" w14:paraId="67A93622" w14:textId="77777777">
      <w:pPr>
        <w:pStyle w:val="BodyText"/>
        <w:spacing w:before="210" w:line="232" w:lineRule="auto"/>
        <w:ind w:left="109"/>
      </w:pPr>
      <w:r>
        <w:t>\begin{equation}</w:t>
      </w:r>
      <w:r>
        <w:rPr>
          <w:spacing w:val="-14"/>
        </w:rPr>
        <w:t xml:space="preserve"> </w:t>
      </w:r>
      <w:r>
        <w:t>STU\_BWT_{jsk}</w:t>
      </w:r>
      <w:r>
        <w:rPr>
          <w:spacing w:val="-12"/>
        </w:rPr>
        <w:t xml:space="preserve"> </w:t>
      </w:r>
      <w:r>
        <w:t>=</w:t>
      </w:r>
      <w:r>
        <w:rPr>
          <w:spacing w:val="-12"/>
        </w:rPr>
        <w:t xml:space="preserve"> </w:t>
      </w:r>
      <w:r>
        <w:t>SCH\_BWT_{js}</w:t>
      </w:r>
      <w:r>
        <w:rPr>
          <w:spacing w:val="-12"/>
        </w:rPr>
        <w:t xml:space="preserve"> </w:t>
      </w:r>
      <w:r>
        <w:t>\times</w:t>
      </w:r>
      <w:r>
        <w:rPr>
          <w:spacing w:val="-12"/>
        </w:rPr>
        <w:t xml:space="preserve"> </w:t>
      </w:r>
      <w:r>
        <w:t>SCHSESWT_{js}</w:t>
      </w:r>
      <w:r>
        <w:rPr>
          <w:spacing w:val="-12"/>
        </w:rPr>
        <w:t xml:space="preserve"> </w:t>
      </w:r>
      <w:r>
        <w:t>\times</w:t>
      </w:r>
      <w:r>
        <w:rPr>
          <w:spacing w:val="-14"/>
        </w:rPr>
        <w:t xml:space="preserve"> </w:t>
      </w:r>
      <w:r>
        <w:t>WINSCHWT_{js}</w:t>
      </w:r>
      <w:r>
        <w:rPr>
          <w:spacing w:val="-11"/>
        </w:rPr>
        <w:t xml:space="preserve"> </w:t>
      </w:r>
      <w:r>
        <w:t>\times</w:t>
      </w:r>
      <w:r>
        <w:rPr>
          <w:spacing w:val="-12"/>
        </w:rPr>
        <w:t xml:space="preserve"> </w:t>
      </w:r>
      <w:r>
        <w:t>\\</w:t>
      </w:r>
      <w:r>
        <w:rPr>
          <w:spacing w:val="-12"/>
        </w:rPr>
        <w:t xml:space="preserve"> </w:t>
      </w:r>
      <w:r>
        <w:t>STUSESWT_{jsk}</w:t>
      </w:r>
      <w:r>
        <w:rPr>
          <w:spacing w:val="-12"/>
        </w:rPr>
        <w:t xml:space="preserve"> </w:t>
      </w:r>
      <w:r>
        <w:t>\times</w:t>
      </w:r>
      <w:r>
        <w:rPr>
          <w:spacing w:val="-12"/>
        </w:rPr>
        <w:t xml:space="preserve"> </w:t>
      </w:r>
      <w:r>
        <w:t>SUBJFAC_{jsk}</w:t>
      </w:r>
      <w:r>
        <w:rPr>
          <w:spacing w:val="-12"/>
        </w:rPr>
        <w:t xml:space="preserve"> </w:t>
      </w:r>
      <w:r>
        <w:t>\times SUBADJ_{js} \times YRRND\_AF_{js}, \end{equation}</w:t>
      </w:r>
    </w:p>
    <w:p w:rsidR="003F5784" w14:paraId="618E968F" w14:textId="77777777">
      <w:pPr>
        <w:pStyle w:val="BodyText"/>
        <w:spacing w:before="203"/>
        <w:ind w:left="109"/>
      </w:pPr>
      <w:r>
        <w:rPr>
          <w:spacing w:val="-2"/>
        </w:rPr>
        <w:t>where</w:t>
      </w:r>
    </w:p>
    <w:p w:rsidR="003F5784" w14:paraId="3632CE7B" w14:textId="77777777">
      <w:pPr>
        <w:pStyle w:val="BodyText"/>
        <w:spacing w:before="202"/>
        <w:ind w:left="422"/>
      </w:pPr>
      <w:r>
        <w:rPr>
          <w:noProof/>
          <w:position w:val="3"/>
        </w:rPr>
        <w:drawing>
          <wp:inline distT="0" distB="0" distL="0" distR="0">
            <wp:extent cx="41379" cy="41378"/>
            <wp:effectExtent l="0" t="0" r="0" b="0"/>
            <wp:docPr id="509" name="Image 509"/>
            <wp:cNvGraphicFramePr/>
            <a:graphic xmlns:a="http://schemas.openxmlformats.org/drawingml/2006/main">
              <a:graphicData uri="http://schemas.openxmlformats.org/drawingml/2006/picture">
                <pic:pic xmlns:pic="http://schemas.openxmlformats.org/drawingml/2006/picture">
                  <pic:nvPicPr>
                    <pic:cNvPr id="509" name="Image 509"/>
                    <pic:cNvPicPr/>
                  </pic:nvPicPr>
                  <pic:blipFill>
                    <a:blip xmlns:r="http://schemas.openxmlformats.org/officeDocument/2006/relationships" r:embed="rId404" cstate="print"/>
                    <a:stretch>
                      <a:fillRect/>
                    </a:stretch>
                  </pic:blipFill>
                  <pic:spPr>
                    <a:xfrm>
                      <a:off x="0" y="0"/>
                      <a:ext cx="41379" cy="41378"/>
                    </a:xfrm>
                    <a:prstGeom prst="rect">
                      <a:avLst/>
                    </a:prstGeom>
                  </pic:spPr>
                </pic:pic>
              </a:graphicData>
            </a:graphic>
          </wp:inline>
        </w:drawing>
      </w:r>
      <w:r>
        <w:rPr>
          <w:spacing w:val="80"/>
          <w:sz w:val="20"/>
        </w:rPr>
        <w:t xml:space="preserve"> </w:t>
      </w:r>
      <w:r>
        <w:t>\(SCH\_BWT_{js}\) is the school base weight;</w:t>
      </w:r>
    </w:p>
    <w:p w:rsidR="003F5784" w14:paraId="5628190D" w14:textId="77777777">
      <w:pPr>
        <w:pStyle w:val="BodyText"/>
        <w:spacing w:before="207" w:line="232" w:lineRule="auto"/>
        <w:ind w:left="631" w:right="54" w:hanging="209"/>
      </w:pPr>
      <w:r>
        <w:rPr>
          <w:noProof/>
          <w:position w:val="3"/>
        </w:rPr>
        <w:drawing>
          <wp:inline distT="0" distB="0" distL="0" distR="0">
            <wp:extent cx="41379" cy="41378"/>
            <wp:effectExtent l="0" t="0" r="0" b="0"/>
            <wp:docPr id="510" name="Image 510"/>
            <wp:cNvGraphicFramePr/>
            <a:graphic xmlns:a="http://schemas.openxmlformats.org/drawingml/2006/main">
              <a:graphicData uri="http://schemas.openxmlformats.org/drawingml/2006/picture">
                <pic:pic xmlns:pic="http://schemas.openxmlformats.org/drawingml/2006/picture">
                  <pic:nvPicPr>
                    <pic:cNvPr id="510" name="Image 510"/>
                    <pic:cNvPicPr/>
                  </pic:nvPicPr>
                  <pic:blipFill>
                    <a:blip xmlns:r="http://schemas.openxmlformats.org/officeDocument/2006/relationships" r:embed="rId405" cstate="print"/>
                    <a:stretch>
                      <a:fillRect/>
                    </a:stretch>
                  </pic:blipFill>
                  <pic:spPr>
                    <a:xfrm>
                      <a:off x="0" y="0"/>
                      <a:ext cx="41379" cy="41378"/>
                    </a:xfrm>
                    <a:prstGeom prst="rect">
                      <a:avLst/>
                    </a:prstGeom>
                  </pic:spPr>
                </pic:pic>
              </a:graphicData>
            </a:graphic>
          </wp:inline>
        </w:drawing>
      </w:r>
      <w:r>
        <w:rPr>
          <w:spacing w:val="77"/>
          <w:sz w:val="20"/>
        </w:rPr>
        <w:t xml:space="preserve"> </w:t>
      </w:r>
      <w:r>
        <w:t>\(SCHSESWT_{js}\)</w:t>
      </w:r>
      <w:r>
        <w:rPr>
          <w:spacing w:val="-7"/>
        </w:rPr>
        <w:t xml:space="preserve"> </w:t>
      </w:r>
      <w:r>
        <w:t>is</w:t>
      </w:r>
      <w:r>
        <w:rPr>
          <w:spacing w:val="-7"/>
        </w:rPr>
        <w:t xml:space="preserve"> </w:t>
      </w:r>
      <w:r>
        <w:t>the</w:t>
      </w:r>
      <w:r>
        <w:rPr>
          <w:spacing w:val="-7"/>
        </w:rPr>
        <w:t xml:space="preserve"> </w:t>
      </w:r>
      <w:r>
        <w:t>school-level</w:t>
      </w:r>
      <w:r>
        <w:rPr>
          <w:spacing w:val="-7"/>
        </w:rPr>
        <w:t xml:space="preserve"> </w:t>
      </w:r>
      <w:r>
        <w:t>session</w:t>
      </w:r>
      <w:r>
        <w:rPr>
          <w:spacing w:val="-7"/>
        </w:rPr>
        <w:t xml:space="preserve"> </w:t>
      </w:r>
      <w:r>
        <w:t>assignment</w:t>
      </w:r>
      <w:r>
        <w:rPr>
          <w:spacing w:val="-7"/>
        </w:rPr>
        <w:t xml:space="preserve"> </w:t>
      </w:r>
      <w:r>
        <w:t>weight</w:t>
      </w:r>
      <w:r>
        <w:rPr>
          <w:spacing w:val="-7"/>
        </w:rPr>
        <w:t xml:space="preserve"> </w:t>
      </w:r>
      <w:r>
        <w:t>that</w:t>
      </w:r>
      <w:r>
        <w:rPr>
          <w:spacing w:val="-7"/>
        </w:rPr>
        <w:t xml:space="preserve"> </w:t>
      </w:r>
      <w:r>
        <w:t>reflects</w:t>
      </w:r>
      <w:r>
        <w:rPr>
          <w:spacing w:val="-7"/>
        </w:rPr>
        <w:t xml:space="preserve"> </w:t>
      </w:r>
      <w:r>
        <w:t>the</w:t>
      </w:r>
      <w:r>
        <w:rPr>
          <w:spacing w:val="-7"/>
        </w:rPr>
        <w:t xml:space="preserve"> </w:t>
      </w:r>
      <w:r>
        <w:t>conditional</w:t>
      </w:r>
      <w:r>
        <w:rPr>
          <w:spacing w:val="-7"/>
        </w:rPr>
        <w:t xml:space="preserve"> </w:t>
      </w:r>
      <w:r>
        <w:t>probability,</w:t>
      </w:r>
      <w:r>
        <w:rPr>
          <w:spacing w:val="-7"/>
        </w:rPr>
        <w:t xml:space="preserve"> </w:t>
      </w:r>
      <w:r>
        <w:t>given</w:t>
      </w:r>
      <w:r>
        <w:rPr>
          <w:spacing w:val="-7"/>
        </w:rPr>
        <w:t xml:space="preserve"> </w:t>
      </w:r>
      <w:r>
        <w:t>the</w:t>
      </w:r>
      <w:r>
        <w:rPr>
          <w:spacing w:val="-7"/>
        </w:rPr>
        <w:t xml:space="preserve"> </w:t>
      </w:r>
      <w:r>
        <w:t>school,</w:t>
      </w:r>
      <w:r>
        <w:rPr>
          <w:spacing w:val="-7"/>
        </w:rPr>
        <w:t xml:space="preserve"> </w:t>
      </w:r>
      <w:r>
        <w:t>that</w:t>
      </w:r>
      <w:r>
        <w:rPr>
          <w:spacing w:val="-7"/>
        </w:rPr>
        <w:t xml:space="preserve"> </w:t>
      </w:r>
      <w:r>
        <w:t>the</w:t>
      </w:r>
      <w:r>
        <w:rPr>
          <w:spacing w:val="-7"/>
        </w:rPr>
        <w:t xml:space="preserve"> </w:t>
      </w:r>
      <w:r>
        <w:t>particular</w:t>
      </w:r>
      <w:r>
        <w:rPr>
          <w:spacing w:val="-7"/>
        </w:rPr>
        <w:t xml:space="preserve"> </w:t>
      </w:r>
      <w:r>
        <w:t>session</w:t>
      </w:r>
      <w:r>
        <w:rPr>
          <w:spacing w:val="-7"/>
        </w:rPr>
        <w:t xml:space="preserve"> </w:t>
      </w:r>
      <w:r>
        <w:t>type</w:t>
      </w:r>
      <w:r>
        <w:rPr>
          <w:spacing w:val="-7"/>
        </w:rPr>
        <w:t xml:space="preserve"> </w:t>
      </w:r>
      <w:r>
        <w:t>was</w:t>
      </w:r>
      <w:r>
        <w:rPr>
          <w:spacing w:val="-7"/>
        </w:rPr>
        <w:t xml:space="preserve"> </w:t>
      </w:r>
      <w:r>
        <w:t>assigned to the school;</w:t>
      </w:r>
    </w:p>
    <w:p w:rsidR="003F5784" w14:paraId="5B55F5CA" w14:textId="77777777">
      <w:pPr>
        <w:pStyle w:val="BodyText"/>
        <w:spacing w:before="209" w:line="232" w:lineRule="auto"/>
        <w:ind w:left="631" w:right="239" w:hanging="209"/>
      </w:pPr>
      <w:r>
        <w:rPr>
          <w:noProof/>
          <w:position w:val="3"/>
        </w:rPr>
        <w:drawing>
          <wp:inline distT="0" distB="0" distL="0" distR="0">
            <wp:extent cx="41379" cy="41378"/>
            <wp:effectExtent l="0" t="0" r="0" b="0"/>
            <wp:docPr id="511" name="Image 511"/>
            <wp:cNvGraphicFramePr/>
            <a:graphic xmlns:a="http://schemas.openxmlformats.org/drawingml/2006/main">
              <a:graphicData uri="http://schemas.openxmlformats.org/drawingml/2006/picture">
                <pic:pic xmlns:pic="http://schemas.openxmlformats.org/drawingml/2006/picture">
                  <pic:nvPicPr>
                    <pic:cNvPr id="511" name="Image 511"/>
                    <pic:cNvPicPr/>
                  </pic:nvPicPr>
                  <pic:blipFill>
                    <a:blip xmlns:r="http://schemas.openxmlformats.org/officeDocument/2006/relationships" r:embed="rId406" cstate="print"/>
                    <a:stretch>
                      <a:fillRect/>
                    </a:stretch>
                  </pic:blipFill>
                  <pic:spPr>
                    <a:xfrm>
                      <a:off x="0" y="0"/>
                      <a:ext cx="41379" cy="41378"/>
                    </a:xfrm>
                    <a:prstGeom prst="rect">
                      <a:avLst/>
                    </a:prstGeom>
                  </pic:spPr>
                </pic:pic>
              </a:graphicData>
            </a:graphic>
          </wp:inline>
        </w:drawing>
      </w:r>
      <w:r>
        <w:rPr>
          <w:spacing w:val="78"/>
          <w:sz w:val="20"/>
        </w:rPr>
        <w:t xml:space="preserve"> </w:t>
      </w:r>
      <w:r>
        <w:t>\(WINSCHWT_{js}\)</w:t>
      </w:r>
      <w:r>
        <w:rPr>
          <w:spacing w:val="-7"/>
        </w:rPr>
        <w:t xml:space="preserve"> </w:t>
      </w:r>
      <w:r>
        <w:t>is</w:t>
      </w:r>
      <w:r>
        <w:rPr>
          <w:spacing w:val="-7"/>
        </w:rPr>
        <w:t xml:space="preserve"> </w:t>
      </w:r>
      <w:r>
        <w:t>the</w:t>
      </w:r>
      <w:r>
        <w:rPr>
          <w:spacing w:val="-7"/>
        </w:rPr>
        <w:t xml:space="preserve"> </w:t>
      </w:r>
      <w:r>
        <w:t>within-school</w:t>
      </w:r>
      <w:r>
        <w:rPr>
          <w:spacing w:val="-7"/>
        </w:rPr>
        <w:t xml:space="preserve"> </w:t>
      </w:r>
      <w:r>
        <w:t>student</w:t>
      </w:r>
      <w:r>
        <w:rPr>
          <w:spacing w:val="-7"/>
        </w:rPr>
        <w:t xml:space="preserve"> </w:t>
      </w:r>
      <w:r>
        <w:t>weight</w:t>
      </w:r>
      <w:r>
        <w:rPr>
          <w:spacing w:val="-7"/>
        </w:rPr>
        <w:t xml:space="preserve"> </w:t>
      </w:r>
      <w:r>
        <w:t>that</w:t>
      </w:r>
      <w:r>
        <w:rPr>
          <w:spacing w:val="-7"/>
        </w:rPr>
        <w:t xml:space="preserve"> </w:t>
      </w:r>
      <w:r>
        <w:t>reflects</w:t>
      </w:r>
      <w:r>
        <w:rPr>
          <w:spacing w:val="-7"/>
        </w:rPr>
        <w:t xml:space="preserve"> </w:t>
      </w:r>
      <w:r>
        <w:t>the</w:t>
      </w:r>
      <w:r>
        <w:rPr>
          <w:spacing w:val="-7"/>
        </w:rPr>
        <w:t xml:space="preserve"> </w:t>
      </w:r>
      <w:r>
        <w:t>conditional</w:t>
      </w:r>
      <w:r>
        <w:rPr>
          <w:spacing w:val="-7"/>
        </w:rPr>
        <w:t xml:space="preserve"> </w:t>
      </w:r>
      <w:r>
        <w:t>probability,</w:t>
      </w:r>
      <w:r>
        <w:rPr>
          <w:spacing w:val="-7"/>
        </w:rPr>
        <w:t xml:space="preserve"> </w:t>
      </w:r>
      <w:r>
        <w:t>given</w:t>
      </w:r>
      <w:r>
        <w:rPr>
          <w:spacing w:val="-7"/>
        </w:rPr>
        <w:t xml:space="preserve"> </w:t>
      </w:r>
      <w:r>
        <w:t>the</w:t>
      </w:r>
      <w:r>
        <w:rPr>
          <w:spacing w:val="-7"/>
        </w:rPr>
        <w:t xml:space="preserve"> </w:t>
      </w:r>
      <w:r>
        <w:t>school,</w:t>
      </w:r>
      <w:r>
        <w:rPr>
          <w:spacing w:val="-7"/>
        </w:rPr>
        <w:t xml:space="preserve"> </w:t>
      </w:r>
      <w:r>
        <w:t>that</w:t>
      </w:r>
      <w:r>
        <w:rPr>
          <w:spacing w:val="-7"/>
        </w:rPr>
        <w:t xml:space="preserve"> </w:t>
      </w:r>
      <w:r>
        <w:t>the</w:t>
      </w:r>
      <w:r>
        <w:rPr>
          <w:spacing w:val="-7"/>
        </w:rPr>
        <w:t xml:space="preserve"> </w:t>
      </w:r>
      <w:r>
        <w:t>student</w:t>
      </w:r>
      <w:r>
        <w:rPr>
          <w:spacing w:val="-7"/>
        </w:rPr>
        <w:t xml:space="preserve"> </w:t>
      </w:r>
      <w:r>
        <w:t>was</w:t>
      </w:r>
      <w:r>
        <w:rPr>
          <w:spacing w:val="-7"/>
        </w:rPr>
        <w:t xml:space="preserve"> </w:t>
      </w:r>
      <w:r>
        <w:t>selected</w:t>
      </w:r>
      <w:r>
        <w:rPr>
          <w:spacing w:val="-7"/>
        </w:rPr>
        <w:t xml:space="preserve"> </w:t>
      </w:r>
      <w:r>
        <w:t>for</w:t>
      </w:r>
      <w:r>
        <w:rPr>
          <w:spacing w:val="-7"/>
        </w:rPr>
        <w:t xml:space="preserve"> </w:t>
      </w:r>
      <w:r>
        <w:t>the</w:t>
      </w:r>
      <w:r>
        <w:rPr>
          <w:spacing w:val="-7"/>
        </w:rPr>
        <w:t xml:space="preserve"> </w:t>
      </w:r>
      <w:r>
        <w:t xml:space="preserve">NAEP </w:t>
      </w:r>
      <w:r>
        <w:rPr>
          <w:spacing w:val="-2"/>
        </w:rPr>
        <w:t>assessment;</w:t>
      </w:r>
    </w:p>
    <w:p w:rsidR="003F5784" w14:paraId="0BC34012" w14:textId="77777777">
      <w:pPr>
        <w:pStyle w:val="BodyText"/>
        <w:spacing w:before="210" w:line="232" w:lineRule="auto"/>
        <w:ind w:left="631" w:right="54" w:hanging="209"/>
      </w:pPr>
      <w:r>
        <w:rPr>
          <w:noProof/>
          <w:position w:val="3"/>
        </w:rPr>
        <w:drawing>
          <wp:inline distT="0" distB="0" distL="0" distR="0">
            <wp:extent cx="41379" cy="41378"/>
            <wp:effectExtent l="0" t="0" r="0" b="0"/>
            <wp:docPr id="512" name="Image 512"/>
            <wp:cNvGraphicFramePr/>
            <a:graphic xmlns:a="http://schemas.openxmlformats.org/drawingml/2006/main">
              <a:graphicData uri="http://schemas.openxmlformats.org/drawingml/2006/picture">
                <pic:pic xmlns:pic="http://schemas.openxmlformats.org/drawingml/2006/picture">
                  <pic:nvPicPr>
                    <pic:cNvPr id="512" name="Image 512"/>
                    <pic:cNvPicPr/>
                  </pic:nvPicPr>
                  <pic:blipFill>
                    <a:blip xmlns:r="http://schemas.openxmlformats.org/officeDocument/2006/relationships" r:embed="rId407" cstate="print"/>
                    <a:stretch>
                      <a:fillRect/>
                    </a:stretch>
                  </pic:blipFill>
                  <pic:spPr>
                    <a:xfrm>
                      <a:off x="0" y="0"/>
                      <a:ext cx="41379" cy="41378"/>
                    </a:xfrm>
                    <a:prstGeom prst="rect">
                      <a:avLst/>
                    </a:prstGeom>
                  </pic:spPr>
                </pic:pic>
              </a:graphicData>
            </a:graphic>
          </wp:inline>
        </w:drawing>
      </w:r>
      <w:r>
        <w:rPr>
          <w:spacing w:val="78"/>
          <w:sz w:val="20"/>
        </w:rPr>
        <w:t xml:space="preserve"> </w:t>
      </w:r>
      <w:r>
        <w:t>\(STUSESWT_{jsk}\)</w:t>
      </w:r>
      <w:r>
        <w:rPr>
          <w:spacing w:val="-7"/>
        </w:rPr>
        <w:t xml:space="preserve"> </w:t>
      </w:r>
      <w:r>
        <w:t>is</w:t>
      </w:r>
      <w:r>
        <w:rPr>
          <w:spacing w:val="-7"/>
        </w:rPr>
        <w:t xml:space="preserve"> </w:t>
      </w:r>
      <w:r>
        <w:t>the</w:t>
      </w:r>
      <w:r>
        <w:rPr>
          <w:spacing w:val="-7"/>
        </w:rPr>
        <w:t xml:space="preserve"> </w:t>
      </w:r>
      <w:r>
        <w:t>student-level</w:t>
      </w:r>
      <w:r>
        <w:rPr>
          <w:spacing w:val="-7"/>
        </w:rPr>
        <w:t xml:space="preserve"> </w:t>
      </w:r>
      <w:r>
        <w:t>session</w:t>
      </w:r>
      <w:r>
        <w:rPr>
          <w:spacing w:val="-7"/>
        </w:rPr>
        <w:t xml:space="preserve"> </w:t>
      </w:r>
      <w:r>
        <w:t>assignment</w:t>
      </w:r>
      <w:r>
        <w:rPr>
          <w:spacing w:val="-7"/>
        </w:rPr>
        <w:t xml:space="preserve"> </w:t>
      </w:r>
      <w:r>
        <w:t>weight</w:t>
      </w:r>
      <w:r>
        <w:rPr>
          <w:spacing w:val="-7"/>
        </w:rPr>
        <w:t xml:space="preserve"> </w:t>
      </w:r>
      <w:r>
        <w:t>that</w:t>
      </w:r>
      <w:r>
        <w:rPr>
          <w:spacing w:val="-7"/>
        </w:rPr>
        <w:t xml:space="preserve"> </w:t>
      </w:r>
      <w:r>
        <w:t>reflects</w:t>
      </w:r>
      <w:r>
        <w:rPr>
          <w:spacing w:val="-7"/>
        </w:rPr>
        <w:t xml:space="preserve"> </w:t>
      </w:r>
      <w:r>
        <w:t>the</w:t>
      </w:r>
      <w:r>
        <w:rPr>
          <w:spacing w:val="-7"/>
        </w:rPr>
        <w:t xml:space="preserve"> </w:t>
      </w:r>
      <w:r>
        <w:t>conditional</w:t>
      </w:r>
      <w:r>
        <w:rPr>
          <w:spacing w:val="-7"/>
        </w:rPr>
        <w:t xml:space="preserve"> </w:t>
      </w:r>
      <w:r>
        <w:t>probability,</w:t>
      </w:r>
      <w:r>
        <w:rPr>
          <w:spacing w:val="-7"/>
        </w:rPr>
        <w:t xml:space="preserve"> </w:t>
      </w:r>
      <w:r>
        <w:t>given</w:t>
      </w:r>
      <w:r>
        <w:rPr>
          <w:spacing w:val="-7"/>
        </w:rPr>
        <w:t xml:space="preserve"> </w:t>
      </w:r>
      <w:r>
        <w:t>that</w:t>
      </w:r>
      <w:r>
        <w:rPr>
          <w:spacing w:val="-7"/>
        </w:rPr>
        <w:t xml:space="preserve"> </w:t>
      </w:r>
      <w:r>
        <w:t>the</w:t>
      </w:r>
      <w:r>
        <w:rPr>
          <w:spacing w:val="-7"/>
        </w:rPr>
        <w:t xml:space="preserve"> </w:t>
      </w:r>
      <w:r>
        <w:t>particular</w:t>
      </w:r>
      <w:r>
        <w:rPr>
          <w:spacing w:val="-7"/>
        </w:rPr>
        <w:t xml:space="preserve"> </w:t>
      </w:r>
      <w:r>
        <w:t>session</w:t>
      </w:r>
      <w:r>
        <w:rPr>
          <w:spacing w:val="-7"/>
        </w:rPr>
        <w:t xml:space="preserve"> </w:t>
      </w:r>
      <w:r>
        <w:t>type</w:t>
      </w:r>
      <w:r>
        <w:rPr>
          <w:spacing w:val="-7"/>
        </w:rPr>
        <w:t xml:space="preserve"> </w:t>
      </w:r>
      <w:r>
        <w:t>was</w:t>
      </w:r>
      <w:r>
        <w:rPr>
          <w:spacing w:val="-7"/>
        </w:rPr>
        <w:t xml:space="preserve"> </w:t>
      </w:r>
      <w:r>
        <w:t>assigned</w:t>
      </w:r>
      <w:r>
        <w:rPr>
          <w:spacing w:val="-7"/>
        </w:rPr>
        <w:t xml:space="preserve"> </w:t>
      </w:r>
      <w:r>
        <w:t>to</w:t>
      </w:r>
      <w:r>
        <w:rPr>
          <w:spacing w:val="-7"/>
        </w:rPr>
        <w:t xml:space="preserve"> </w:t>
      </w:r>
      <w:r>
        <w:t>the school, that the student was assigned to the session type;</w:t>
      </w:r>
    </w:p>
    <w:p w:rsidR="003F5784" w14:paraId="5C7DA56A" w14:textId="77777777">
      <w:pPr>
        <w:pStyle w:val="BodyText"/>
        <w:spacing w:before="209" w:line="232" w:lineRule="auto"/>
        <w:ind w:left="631" w:right="54" w:hanging="209"/>
      </w:pPr>
      <w:r>
        <w:rPr>
          <w:noProof/>
          <w:position w:val="3"/>
        </w:rPr>
        <w:drawing>
          <wp:inline distT="0" distB="0" distL="0" distR="0">
            <wp:extent cx="41379" cy="41378"/>
            <wp:effectExtent l="0" t="0" r="0" b="0"/>
            <wp:docPr id="513" name="Image 513"/>
            <wp:cNvGraphicFramePr/>
            <a:graphic xmlns:a="http://schemas.openxmlformats.org/drawingml/2006/main">
              <a:graphicData uri="http://schemas.openxmlformats.org/drawingml/2006/picture">
                <pic:pic xmlns:pic="http://schemas.openxmlformats.org/drawingml/2006/picture">
                  <pic:nvPicPr>
                    <pic:cNvPr id="513" name="Image 513"/>
                    <pic:cNvPicPr/>
                  </pic:nvPicPr>
                  <pic:blipFill>
                    <a:blip xmlns:r="http://schemas.openxmlformats.org/officeDocument/2006/relationships" r:embed="rId408" cstate="print"/>
                    <a:stretch>
                      <a:fillRect/>
                    </a:stretch>
                  </pic:blipFill>
                  <pic:spPr>
                    <a:xfrm>
                      <a:off x="0" y="0"/>
                      <a:ext cx="41379" cy="41378"/>
                    </a:xfrm>
                    <a:prstGeom prst="rect">
                      <a:avLst/>
                    </a:prstGeom>
                  </pic:spPr>
                </pic:pic>
              </a:graphicData>
            </a:graphic>
          </wp:inline>
        </w:drawing>
      </w:r>
      <w:r>
        <w:rPr>
          <w:spacing w:val="77"/>
          <w:sz w:val="20"/>
        </w:rPr>
        <w:t xml:space="preserve"> </w:t>
      </w:r>
      <w:r>
        <w:t>\(SUBJFAC_{jsk}\)</w:t>
      </w:r>
      <w:r>
        <w:rPr>
          <w:spacing w:val="-7"/>
        </w:rPr>
        <w:t xml:space="preserve"> </w:t>
      </w:r>
      <w:r>
        <w:t>is</w:t>
      </w:r>
      <w:r>
        <w:rPr>
          <w:spacing w:val="-7"/>
        </w:rPr>
        <w:t xml:space="preserve"> </w:t>
      </w:r>
      <w:r>
        <w:t>Stu_factor</w:t>
      </w:r>
      <w:r>
        <w:rPr>
          <w:spacing w:val="-7"/>
        </w:rPr>
        <w:t xml:space="preserve"> </w:t>
      </w:r>
      <w:r>
        <w:t>the</w:t>
      </w:r>
      <w:r>
        <w:rPr>
          <w:spacing w:val="-7"/>
        </w:rPr>
        <w:t xml:space="preserve"> </w:t>
      </w:r>
      <w:r>
        <w:t>subject</w:t>
      </w:r>
      <w:r>
        <w:rPr>
          <w:spacing w:val="-7"/>
        </w:rPr>
        <w:t xml:space="preserve"> </w:t>
      </w:r>
      <w:r>
        <w:t>spiral</w:t>
      </w:r>
      <w:r>
        <w:rPr>
          <w:spacing w:val="-7"/>
        </w:rPr>
        <w:t xml:space="preserve"> </w:t>
      </w:r>
      <w:r>
        <w:t>adjustment</w:t>
      </w:r>
      <w:r>
        <w:rPr>
          <w:spacing w:val="-7"/>
        </w:rPr>
        <w:t xml:space="preserve"> </w:t>
      </w:r>
      <w:r>
        <w:t>factor</w:t>
      </w:r>
      <w:r>
        <w:rPr>
          <w:spacing w:val="-7"/>
        </w:rPr>
        <w:t xml:space="preserve"> </w:t>
      </w:r>
      <w:r>
        <w:t>that</w:t>
      </w:r>
      <w:r>
        <w:rPr>
          <w:spacing w:val="-7"/>
        </w:rPr>
        <w:t xml:space="preserve"> </w:t>
      </w:r>
      <w:r>
        <w:t>reflects</w:t>
      </w:r>
      <w:r>
        <w:rPr>
          <w:spacing w:val="-7"/>
        </w:rPr>
        <w:t xml:space="preserve"> </w:t>
      </w:r>
      <w:r>
        <w:t>the</w:t>
      </w:r>
      <w:r>
        <w:rPr>
          <w:spacing w:val="-7"/>
        </w:rPr>
        <w:t xml:space="preserve"> </w:t>
      </w:r>
      <w:r>
        <w:t>conditional</w:t>
      </w:r>
      <w:r>
        <w:rPr>
          <w:spacing w:val="-7"/>
        </w:rPr>
        <w:t xml:space="preserve"> </w:t>
      </w:r>
      <w:r>
        <w:t>probability,</w:t>
      </w:r>
      <w:r>
        <w:rPr>
          <w:spacing w:val="-7"/>
        </w:rPr>
        <w:t xml:space="preserve"> </w:t>
      </w:r>
      <w:r>
        <w:t>given</w:t>
      </w:r>
      <w:r>
        <w:rPr>
          <w:spacing w:val="-7"/>
        </w:rPr>
        <w:t xml:space="preserve"> </w:t>
      </w:r>
      <w:r>
        <w:t>that</w:t>
      </w:r>
      <w:r>
        <w:rPr>
          <w:spacing w:val="-7"/>
        </w:rPr>
        <w:t xml:space="preserve"> </w:t>
      </w:r>
      <w:r>
        <w:t>the</w:t>
      </w:r>
      <w:r>
        <w:rPr>
          <w:spacing w:val="-7"/>
        </w:rPr>
        <w:t xml:space="preserve"> </w:t>
      </w:r>
      <w:r>
        <w:t>student</w:t>
      </w:r>
      <w:r>
        <w:rPr>
          <w:spacing w:val="-7"/>
        </w:rPr>
        <w:t xml:space="preserve"> </w:t>
      </w:r>
      <w:r>
        <w:t>was</w:t>
      </w:r>
      <w:r>
        <w:rPr>
          <w:spacing w:val="-7"/>
        </w:rPr>
        <w:t xml:space="preserve"> </w:t>
      </w:r>
      <w:r>
        <w:t>assigned</w:t>
      </w:r>
      <w:r>
        <w:rPr>
          <w:spacing w:val="-7"/>
        </w:rPr>
        <w:t xml:space="preserve"> </w:t>
      </w:r>
      <w:r>
        <w:t>to</w:t>
      </w:r>
      <w:r>
        <w:rPr>
          <w:spacing w:val="-7"/>
        </w:rPr>
        <w:t xml:space="preserve"> </w:t>
      </w:r>
      <w:r>
        <w:t>a</w:t>
      </w:r>
      <w:r>
        <w:rPr>
          <w:spacing w:val="-7"/>
        </w:rPr>
        <w:t xml:space="preserve"> </w:t>
      </w:r>
      <w:r>
        <w:t>particular</w:t>
      </w:r>
      <w:r>
        <w:rPr>
          <w:spacing w:val="-7"/>
        </w:rPr>
        <w:t xml:space="preserve"> </w:t>
      </w:r>
      <w:r>
        <w:t>session type, that the student was assigned the specified subject;</w:t>
      </w:r>
    </w:p>
    <w:p w:rsidR="003F5784" w14:paraId="5B3FBA29" w14:textId="77777777">
      <w:pPr>
        <w:pStyle w:val="BodyText"/>
        <w:spacing w:before="203"/>
        <w:ind w:left="422"/>
      </w:pPr>
      <w:r>
        <w:rPr>
          <w:noProof/>
          <w:position w:val="3"/>
        </w:rPr>
        <w:drawing>
          <wp:inline distT="0" distB="0" distL="0" distR="0">
            <wp:extent cx="41379" cy="41378"/>
            <wp:effectExtent l="0" t="0" r="0" b="0"/>
            <wp:docPr id="514" name="Image 514"/>
            <wp:cNvGraphicFramePr/>
            <a:graphic xmlns:a="http://schemas.openxmlformats.org/drawingml/2006/main">
              <a:graphicData uri="http://schemas.openxmlformats.org/drawingml/2006/picture">
                <pic:pic xmlns:pic="http://schemas.openxmlformats.org/drawingml/2006/picture">
                  <pic:nvPicPr>
                    <pic:cNvPr id="514" name="Image 514"/>
                    <pic:cNvPicPr/>
                  </pic:nvPicPr>
                  <pic:blipFill>
                    <a:blip xmlns:r="http://schemas.openxmlformats.org/officeDocument/2006/relationships" r:embed="rId409" cstate="print"/>
                    <a:stretch>
                      <a:fillRect/>
                    </a:stretch>
                  </pic:blipFill>
                  <pic:spPr>
                    <a:xfrm>
                      <a:off x="0" y="0"/>
                      <a:ext cx="41379" cy="41378"/>
                    </a:xfrm>
                    <a:prstGeom prst="rect">
                      <a:avLst/>
                    </a:prstGeom>
                  </pic:spPr>
                </pic:pic>
              </a:graphicData>
            </a:graphic>
          </wp:inline>
        </w:drawing>
      </w:r>
      <w:r>
        <w:rPr>
          <w:spacing w:val="80"/>
          <w:sz w:val="20"/>
        </w:rPr>
        <w:t xml:space="preserve"> </w:t>
      </w:r>
      <w:r>
        <w:t>\(SUBADJ_{js}\)</w:t>
      </w:r>
      <w:r>
        <w:rPr>
          <w:spacing w:val="-2"/>
        </w:rPr>
        <w:t xml:space="preserve"> </w:t>
      </w:r>
      <w:r>
        <w:t>is</w:t>
      </w:r>
      <w:r>
        <w:rPr>
          <w:spacing w:val="-2"/>
        </w:rPr>
        <w:t xml:space="preserve"> </w:t>
      </w:r>
      <w:r>
        <w:t>the</w:t>
      </w:r>
      <w:r>
        <w:rPr>
          <w:spacing w:val="-2"/>
        </w:rPr>
        <w:t xml:space="preserve"> </w:t>
      </w:r>
      <w:r>
        <w:t>substitution</w:t>
      </w:r>
      <w:r>
        <w:rPr>
          <w:spacing w:val="-2"/>
        </w:rPr>
        <w:t xml:space="preserve"> </w:t>
      </w:r>
      <w:r>
        <w:t>adjustment</w:t>
      </w:r>
      <w:r>
        <w:rPr>
          <w:spacing w:val="-2"/>
        </w:rPr>
        <w:t xml:space="preserve"> </w:t>
      </w:r>
      <w:r>
        <w:t>factor</w:t>
      </w:r>
      <w:r>
        <w:rPr>
          <w:spacing w:val="-2"/>
        </w:rPr>
        <w:t xml:space="preserve"> </w:t>
      </w:r>
      <w:r>
        <w:t>to</w:t>
      </w:r>
      <w:r>
        <w:rPr>
          <w:spacing w:val="-2"/>
        </w:rPr>
        <w:t xml:space="preserve"> </w:t>
      </w:r>
      <w:r>
        <w:t>account</w:t>
      </w:r>
      <w:r>
        <w:rPr>
          <w:spacing w:val="-2"/>
        </w:rPr>
        <w:t xml:space="preserve"> </w:t>
      </w:r>
      <w:r>
        <w:t>for</w:t>
      </w:r>
      <w:r>
        <w:rPr>
          <w:spacing w:val="-2"/>
        </w:rPr>
        <w:t xml:space="preserve"> </w:t>
      </w:r>
      <w:r>
        <w:t>the</w:t>
      </w:r>
      <w:r>
        <w:rPr>
          <w:spacing w:val="-2"/>
        </w:rPr>
        <w:t xml:space="preserve"> </w:t>
      </w:r>
      <w:r>
        <w:t>difference</w:t>
      </w:r>
      <w:r>
        <w:rPr>
          <w:spacing w:val="-2"/>
        </w:rPr>
        <w:t xml:space="preserve"> </w:t>
      </w:r>
      <w:r>
        <w:t>in</w:t>
      </w:r>
      <w:r>
        <w:rPr>
          <w:spacing w:val="-2"/>
        </w:rPr>
        <w:t xml:space="preserve"> </w:t>
      </w:r>
      <w:r>
        <w:t>enrollment</w:t>
      </w:r>
      <w:r>
        <w:rPr>
          <w:spacing w:val="-2"/>
        </w:rPr>
        <w:t xml:space="preserve"> </w:t>
      </w:r>
      <w:r>
        <w:t>size</w:t>
      </w:r>
      <w:r>
        <w:rPr>
          <w:spacing w:val="-2"/>
        </w:rPr>
        <w:t xml:space="preserve"> </w:t>
      </w:r>
      <w:r>
        <w:t>between</w:t>
      </w:r>
      <w:r>
        <w:rPr>
          <w:spacing w:val="-2"/>
        </w:rPr>
        <w:t xml:space="preserve"> </w:t>
      </w:r>
      <w:r>
        <w:t>the</w:t>
      </w:r>
      <w:r>
        <w:rPr>
          <w:spacing w:val="-2"/>
        </w:rPr>
        <w:t xml:space="preserve"> </w:t>
      </w:r>
      <w:r>
        <w:t>substitute</w:t>
      </w:r>
      <w:r>
        <w:rPr>
          <w:spacing w:val="-2"/>
        </w:rPr>
        <w:t xml:space="preserve"> </w:t>
      </w:r>
      <w:r>
        <w:t>and</w:t>
      </w:r>
      <w:r>
        <w:rPr>
          <w:spacing w:val="-2"/>
        </w:rPr>
        <w:t xml:space="preserve"> </w:t>
      </w:r>
      <w:r>
        <w:t>original</w:t>
      </w:r>
      <w:r>
        <w:rPr>
          <w:spacing w:val="-2"/>
        </w:rPr>
        <w:t xml:space="preserve"> </w:t>
      </w:r>
      <w:r>
        <w:t>school;</w:t>
      </w:r>
      <w:r>
        <w:rPr>
          <w:spacing w:val="-2"/>
        </w:rPr>
        <w:t xml:space="preserve"> </w:t>
      </w:r>
      <w:r>
        <w:t>and</w:t>
      </w:r>
    </w:p>
    <w:p w:rsidR="003F5784" w14:paraId="36D58AE4" w14:textId="77777777">
      <w:pPr>
        <w:pStyle w:val="BodyText"/>
        <w:spacing w:before="208" w:line="232" w:lineRule="auto"/>
        <w:ind w:left="631" w:right="54" w:hanging="209"/>
      </w:pPr>
      <w:r>
        <w:rPr>
          <w:noProof/>
          <w:position w:val="3"/>
        </w:rPr>
        <w:drawing>
          <wp:inline distT="0" distB="0" distL="0" distR="0">
            <wp:extent cx="41379" cy="41378"/>
            <wp:effectExtent l="0" t="0" r="0" b="0"/>
            <wp:docPr id="515" name="Image 515"/>
            <wp:cNvGraphicFramePr/>
            <a:graphic xmlns:a="http://schemas.openxmlformats.org/drawingml/2006/main">
              <a:graphicData uri="http://schemas.openxmlformats.org/drawingml/2006/picture">
                <pic:pic xmlns:pic="http://schemas.openxmlformats.org/drawingml/2006/picture">
                  <pic:nvPicPr>
                    <pic:cNvPr id="515" name="Image 515"/>
                    <pic:cNvPicPr/>
                  </pic:nvPicPr>
                  <pic:blipFill>
                    <a:blip xmlns:r="http://schemas.openxmlformats.org/officeDocument/2006/relationships" r:embed="rId410" cstate="print"/>
                    <a:stretch>
                      <a:fillRect/>
                    </a:stretch>
                  </pic:blipFill>
                  <pic:spPr>
                    <a:xfrm>
                      <a:off x="0" y="0"/>
                      <a:ext cx="41379" cy="41378"/>
                    </a:xfrm>
                    <a:prstGeom prst="rect">
                      <a:avLst/>
                    </a:prstGeom>
                  </pic:spPr>
                </pic:pic>
              </a:graphicData>
            </a:graphic>
          </wp:inline>
        </w:drawing>
      </w:r>
      <w:r>
        <w:rPr>
          <w:spacing w:val="80"/>
          <w:sz w:val="20"/>
        </w:rPr>
        <w:t xml:space="preserve"> </w:t>
      </w:r>
      <w:r>
        <w:t>\(YRRND\_AF_{js}\)</w:t>
      </w:r>
      <w:r>
        <w:rPr>
          <w:spacing w:val="-6"/>
        </w:rPr>
        <w:t xml:space="preserve"> </w:t>
      </w:r>
      <w:r>
        <w:t>is</w:t>
      </w:r>
      <w:r>
        <w:rPr>
          <w:spacing w:val="-6"/>
        </w:rPr>
        <w:t xml:space="preserve"> </w:t>
      </w:r>
      <w:r>
        <w:t>the</w:t>
      </w:r>
      <w:r>
        <w:rPr>
          <w:spacing w:val="-6"/>
        </w:rPr>
        <w:t xml:space="preserve"> </w:t>
      </w:r>
      <w:r>
        <w:t>year-round</w:t>
      </w:r>
      <w:r>
        <w:rPr>
          <w:spacing w:val="-6"/>
        </w:rPr>
        <w:t xml:space="preserve"> </w:t>
      </w:r>
      <w:r>
        <w:t>adjustment</w:t>
      </w:r>
      <w:r>
        <w:rPr>
          <w:spacing w:val="-6"/>
        </w:rPr>
        <w:t xml:space="preserve"> </w:t>
      </w:r>
      <w:r>
        <w:t>factor</w:t>
      </w:r>
      <w:r>
        <w:rPr>
          <w:spacing w:val="-6"/>
        </w:rPr>
        <w:t xml:space="preserve"> </w:t>
      </w:r>
      <w:r>
        <w:t>to</w:t>
      </w:r>
      <w:r>
        <w:rPr>
          <w:spacing w:val="-6"/>
        </w:rPr>
        <w:t xml:space="preserve"> </w:t>
      </w:r>
      <w:r>
        <w:t>account</w:t>
      </w:r>
      <w:r>
        <w:rPr>
          <w:spacing w:val="-6"/>
        </w:rPr>
        <w:t xml:space="preserve"> </w:t>
      </w:r>
      <w:r>
        <w:t>for</w:t>
      </w:r>
      <w:r>
        <w:rPr>
          <w:spacing w:val="-6"/>
        </w:rPr>
        <w:t xml:space="preserve"> </w:t>
      </w:r>
      <w:r>
        <w:t>students</w:t>
      </w:r>
      <w:r>
        <w:rPr>
          <w:spacing w:val="-6"/>
        </w:rPr>
        <w:t xml:space="preserve"> </w:t>
      </w:r>
      <w:r>
        <w:t>in</w:t>
      </w:r>
      <w:r>
        <w:rPr>
          <w:spacing w:val="-6"/>
        </w:rPr>
        <w:t xml:space="preserve"> </w:t>
      </w:r>
      <w:r>
        <w:t>year-round</w:t>
      </w:r>
      <w:r>
        <w:rPr>
          <w:spacing w:val="-6"/>
        </w:rPr>
        <w:t xml:space="preserve"> </w:t>
      </w:r>
      <w:r>
        <w:t>schools</w:t>
      </w:r>
      <w:r>
        <w:rPr>
          <w:spacing w:val="-6"/>
        </w:rPr>
        <w:t xml:space="preserve"> </w:t>
      </w:r>
      <w:r>
        <w:t>on</w:t>
      </w:r>
      <w:r>
        <w:rPr>
          <w:spacing w:val="-6"/>
        </w:rPr>
        <w:t xml:space="preserve"> </w:t>
      </w:r>
      <w:r>
        <w:t>scheduled</w:t>
      </w:r>
      <w:r>
        <w:rPr>
          <w:spacing w:val="-6"/>
        </w:rPr>
        <w:t xml:space="preserve"> </w:t>
      </w:r>
      <w:r>
        <w:t>break</w:t>
      </w:r>
      <w:r>
        <w:rPr>
          <w:spacing w:val="-6"/>
        </w:rPr>
        <w:t xml:space="preserve"> </w:t>
      </w:r>
      <w:r>
        <w:t>at</w:t>
      </w:r>
      <w:r>
        <w:rPr>
          <w:spacing w:val="-6"/>
        </w:rPr>
        <w:t xml:space="preserve"> </w:t>
      </w:r>
      <w:r>
        <w:t>the</w:t>
      </w:r>
      <w:r>
        <w:rPr>
          <w:spacing w:val="-6"/>
        </w:rPr>
        <w:t xml:space="preserve"> </w:t>
      </w:r>
      <w:r>
        <w:t>time</w:t>
      </w:r>
      <w:r>
        <w:rPr>
          <w:spacing w:val="-6"/>
        </w:rPr>
        <w:t xml:space="preserve"> </w:t>
      </w:r>
      <w:r>
        <w:t>of</w:t>
      </w:r>
      <w:r>
        <w:rPr>
          <w:spacing w:val="-6"/>
        </w:rPr>
        <w:t xml:space="preserve"> </w:t>
      </w:r>
      <w:r>
        <w:t>the</w:t>
      </w:r>
      <w:r>
        <w:rPr>
          <w:spacing w:val="-6"/>
        </w:rPr>
        <w:t xml:space="preserve"> </w:t>
      </w:r>
      <w:r>
        <w:t>NAEP</w:t>
      </w:r>
      <w:r>
        <w:rPr>
          <w:spacing w:val="-13"/>
        </w:rPr>
        <w:t xml:space="preserve"> </w:t>
      </w:r>
      <w:r>
        <w:t>assessment</w:t>
      </w:r>
      <w:r>
        <w:rPr>
          <w:spacing w:val="-6"/>
        </w:rPr>
        <w:t xml:space="preserve"> </w:t>
      </w:r>
      <w:r>
        <w:t>and</w:t>
      </w:r>
      <w:r>
        <w:rPr>
          <w:spacing w:val="-6"/>
        </w:rPr>
        <w:t xml:space="preserve"> </w:t>
      </w:r>
      <w:r>
        <w:t>thus not available to be included in the sample.</w:t>
      </w:r>
    </w:p>
    <w:p w:rsidR="003F5784" w14:paraId="393E180F" w14:textId="77777777">
      <w:pPr>
        <w:pStyle w:val="BodyText"/>
        <w:spacing w:before="209" w:line="232" w:lineRule="auto"/>
        <w:ind w:left="109" w:right="179"/>
      </w:pPr>
      <w:r>
        <w:t>The</w:t>
      </w:r>
      <w:r>
        <w:rPr>
          <w:spacing w:val="-7"/>
        </w:rPr>
        <w:t xml:space="preserve"> </w:t>
      </w:r>
      <w:r>
        <w:rPr>
          <w:b/>
        </w:rPr>
        <w:t>within-school</w:t>
      </w:r>
      <w:r>
        <w:rPr>
          <w:b/>
          <w:spacing w:val="-7"/>
        </w:rPr>
        <w:t xml:space="preserve"> </w:t>
      </w:r>
      <w:r>
        <w:rPr>
          <w:b/>
        </w:rPr>
        <w:t>student</w:t>
      </w:r>
      <w:r>
        <w:rPr>
          <w:b/>
          <w:spacing w:val="-7"/>
        </w:rPr>
        <w:t xml:space="preserve"> </w:t>
      </w:r>
      <w:r>
        <w:rPr>
          <w:b/>
        </w:rPr>
        <w:t>weight</w:t>
      </w:r>
      <w:r>
        <w:rPr>
          <w:b/>
          <w:spacing w:val="-7"/>
        </w:rPr>
        <w:t xml:space="preserve"> </w:t>
      </w:r>
      <w:r>
        <w:t>\((WINSCHWT_{js})\)</w:t>
      </w:r>
      <w:r>
        <w:rPr>
          <w:spacing w:val="-7"/>
        </w:rPr>
        <w:t xml:space="preserve"> </w:t>
      </w:r>
      <w:r>
        <w:t>is</w:t>
      </w:r>
      <w:r>
        <w:rPr>
          <w:spacing w:val="-7"/>
        </w:rPr>
        <w:t xml:space="preserve"> </w:t>
      </w:r>
      <w:r>
        <w:t>the</w:t>
      </w:r>
      <w:r>
        <w:rPr>
          <w:spacing w:val="-7"/>
        </w:rPr>
        <w:t xml:space="preserve"> </w:t>
      </w:r>
      <w:r>
        <w:t>inverse</w:t>
      </w:r>
      <w:r>
        <w:rPr>
          <w:spacing w:val="-7"/>
        </w:rPr>
        <w:t xml:space="preserve"> </w:t>
      </w:r>
      <w:r>
        <w:t>of</w:t>
      </w:r>
      <w:r>
        <w:rPr>
          <w:spacing w:val="-7"/>
        </w:rPr>
        <w:t xml:space="preserve"> </w:t>
      </w:r>
      <w:r>
        <w:t>the</w:t>
      </w:r>
      <w:r>
        <w:rPr>
          <w:spacing w:val="-7"/>
        </w:rPr>
        <w:t xml:space="preserve"> </w:t>
      </w:r>
      <w:r>
        <w:t>student</w:t>
      </w:r>
      <w:r>
        <w:rPr>
          <w:spacing w:val="-7"/>
        </w:rPr>
        <w:t xml:space="preserve"> </w:t>
      </w:r>
      <w:r>
        <w:t>sampling</w:t>
      </w:r>
      <w:r>
        <w:rPr>
          <w:spacing w:val="-7"/>
        </w:rPr>
        <w:t xml:space="preserve"> </w:t>
      </w:r>
      <w:r>
        <w:t>rate</w:t>
      </w:r>
      <w:r>
        <w:rPr>
          <w:spacing w:val="-7"/>
        </w:rPr>
        <w:t xml:space="preserve"> </w:t>
      </w:r>
      <w:r>
        <w:t>in</w:t>
      </w:r>
      <w:r>
        <w:rPr>
          <w:spacing w:val="-7"/>
        </w:rPr>
        <w:t xml:space="preserve"> </w:t>
      </w:r>
      <w:r>
        <w:t>the</w:t>
      </w:r>
      <w:r>
        <w:rPr>
          <w:spacing w:val="-7"/>
        </w:rPr>
        <w:t xml:space="preserve"> </w:t>
      </w:r>
      <w:r>
        <w:t>school.</w:t>
      </w:r>
      <w:r>
        <w:rPr>
          <w:spacing w:val="-7"/>
        </w:rPr>
        <w:t xml:space="preserve"> </w:t>
      </w:r>
      <w:r>
        <w:t>For</w:t>
      </w:r>
      <w:r>
        <w:rPr>
          <w:spacing w:val="-7"/>
        </w:rPr>
        <w:t xml:space="preserve"> </w:t>
      </w:r>
      <w:r>
        <w:t>long-term</w:t>
      </w:r>
      <w:r>
        <w:rPr>
          <w:spacing w:val="-7"/>
        </w:rPr>
        <w:t xml:space="preserve"> </w:t>
      </w:r>
      <w:r>
        <w:t>trend</w:t>
      </w:r>
      <w:r>
        <w:rPr>
          <w:spacing w:val="-7"/>
        </w:rPr>
        <w:t xml:space="preserve"> </w:t>
      </w:r>
      <w:r>
        <w:t>(LTT),</w:t>
      </w:r>
      <w:r>
        <w:rPr>
          <w:spacing w:val="-7"/>
        </w:rPr>
        <w:t xml:space="preserve"> </w:t>
      </w:r>
      <w:r>
        <w:t>due</w:t>
      </w:r>
      <w:r>
        <w:rPr>
          <w:spacing w:val="-7"/>
        </w:rPr>
        <w:t xml:space="preserve"> </w:t>
      </w:r>
      <w:r>
        <w:t>to</w:t>
      </w:r>
      <w:r>
        <w:rPr>
          <w:spacing w:val="-7"/>
        </w:rPr>
        <w:t xml:space="preserve"> </w:t>
      </w:r>
      <w:r>
        <w:t>the</w:t>
      </w:r>
      <w:r>
        <w:rPr>
          <w:spacing w:val="-7"/>
        </w:rPr>
        <w:t xml:space="preserve"> </w:t>
      </w:r>
      <w:r>
        <w:t>oversampling</w:t>
      </w:r>
      <w:r>
        <w:rPr>
          <w:spacing w:val="-7"/>
        </w:rPr>
        <w:t xml:space="preserve"> </w:t>
      </w:r>
      <w:r>
        <w:t>of certain race/ethnicity student groups, some schools have two student sampling rates.</w:t>
      </w:r>
    </w:p>
    <w:p w:rsidR="003F5784" w14:paraId="1E2DB904" w14:textId="77777777">
      <w:pPr>
        <w:pStyle w:val="BodyText"/>
        <w:spacing w:before="203" w:line="238" w:lineRule="exact"/>
        <w:ind w:left="109"/>
      </w:pPr>
      <w:r>
        <w:t>The</w:t>
      </w:r>
      <w:r>
        <w:rPr>
          <w:spacing w:val="-8"/>
        </w:rPr>
        <w:t xml:space="preserve"> </w:t>
      </w:r>
      <w:r>
        <w:rPr>
          <w:b/>
        </w:rPr>
        <w:t>subject</w:t>
      </w:r>
      <w:r>
        <w:rPr>
          <w:b/>
          <w:spacing w:val="-8"/>
        </w:rPr>
        <w:t xml:space="preserve"> </w:t>
      </w:r>
      <w:r>
        <w:rPr>
          <w:b/>
        </w:rPr>
        <w:t>spiral</w:t>
      </w:r>
      <w:r>
        <w:rPr>
          <w:b/>
          <w:spacing w:val="-8"/>
        </w:rPr>
        <w:t xml:space="preserve"> </w:t>
      </w:r>
      <w:r>
        <w:rPr>
          <w:b/>
        </w:rPr>
        <w:t>adjustment</w:t>
      </w:r>
      <w:r>
        <w:rPr>
          <w:b/>
          <w:spacing w:val="-7"/>
        </w:rPr>
        <w:t xml:space="preserve"> </w:t>
      </w:r>
      <w:r>
        <w:rPr>
          <w:b/>
        </w:rPr>
        <w:t>factor</w:t>
      </w:r>
      <w:r>
        <w:rPr>
          <w:b/>
          <w:spacing w:val="-8"/>
        </w:rPr>
        <w:t xml:space="preserve"> </w:t>
      </w:r>
      <w:r>
        <w:t>\((SUBJFAC_{jsk})\)</w:t>
      </w:r>
      <w:r>
        <w:rPr>
          <w:spacing w:val="-8"/>
        </w:rPr>
        <w:t xml:space="preserve"> </w:t>
      </w:r>
      <w:r>
        <w:t>adjusts</w:t>
      </w:r>
      <w:r>
        <w:rPr>
          <w:spacing w:val="-7"/>
        </w:rPr>
        <w:t xml:space="preserve"> </w:t>
      </w:r>
      <w:r>
        <w:t>the</w:t>
      </w:r>
      <w:r>
        <w:rPr>
          <w:spacing w:val="-8"/>
        </w:rPr>
        <w:t xml:space="preserve"> </w:t>
      </w:r>
      <w:r>
        <w:t>student</w:t>
      </w:r>
      <w:r>
        <w:rPr>
          <w:spacing w:val="-8"/>
        </w:rPr>
        <w:t xml:space="preserve"> </w:t>
      </w:r>
      <w:r>
        <w:t>weight</w:t>
      </w:r>
      <w:r>
        <w:rPr>
          <w:spacing w:val="-7"/>
        </w:rPr>
        <w:t xml:space="preserve"> </w:t>
      </w:r>
      <w:r>
        <w:t>to</w:t>
      </w:r>
      <w:r>
        <w:rPr>
          <w:spacing w:val="-8"/>
        </w:rPr>
        <w:t xml:space="preserve"> </w:t>
      </w:r>
      <w:r>
        <w:t>account</w:t>
      </w:r>
      <w:r>
        <w:rPr>
          <w:spacing w:val="-8"/>
        </w:rPr>
        <w:t xml:space="preserve"> </w:t>
      </w:r>
      <w:r>
        <w:t>for</w:t>
      </w:r>
      <w:r>
        <w:rPr>
          <w:spacing w:val="-7"/>
        </w:rPr>
        <w:t xml:space="preserve"> </w:t>
      </w:r>
      <w:r>
        <w:t>the</w:t>
      </w:r>
      <w:r>
        <w:rPr>
          <w:spacing w:val="-8"/>
        </w:rPr>
        <w:t xml:space="preserve"> </w:t>
      </w:r>
      <w:r>
        <w:t>spiral</w:t>
      </w:r>
      <w:r>
        <w:rPr>
          <w:spacing w:val="-8"/>
        </w:rPr>
        <w:t xml:space="preserve"> </w:t>
      </w:r>
      <w:r>
        <w:t>pattern</w:t>
      </w:r>
      <w:r>
        <w:rPr>
          <w:spacing w:val="-8"/>
        </w:rPr>
        <w:t xml:space="preserve"> </w:t>
      </w:r>
      <w:r>
        <w:t>used</w:t>
      </w:r>
      <w:r>
        <w:rPr>
          <w:spacing w:val="-7"/>
        </w:rPr>
        <w:t xml:space="preserve"> </w:t>
      </w:r>
      <w:r>
        <w:t>in</w:t>
      </w:r>
      <w:r>
        <w:rPr>
          <w:spacing w:val="-8"/>
        </w:rPr>
        <w:t xml:space="preserve"> </w:t>
      </w:r>
      <w:r>
        <w:t>distributing</w:t>
      </w:r>
      <w:r>
        <w:rPr>
          <w:spacing w:val="-8"/>
        </w:rPr>
        <w:t xml:space="preserve"> </w:t>
      </w:r>
      <w:r>
        <w:t>civics,</w:t>
      </w:r>
      <w:r>
        <w:rPr>
          <w:spacing w:val="-7"/>
        </w:rPr>
        <w:t xml:space="preserve"> </w:t>
      </w:r>
      <w:r>
        <w:t>mathematics,</w:t>
      </w:r>
      <w:r>
        <w:rPr>
          <w:spacing w:val="-8"/>
        </w:rPr>
        <w:t xml:space="preserve"> </w:t>
      </w:r>
      <w:r>
        <w:t>reading,</w:t>
      </w:r>
      <w:r>
        <w:rPr>
          <w:spacing w:val="-8"/>
        </w:rPr>
        <w:t xml:space="preserve"> </w:t>
      </w:r>
      <w:r>
        <w:rPr>
          <w:spacing w:val="-5"/>
        </w:rPr>
        <w:t>or</w:t>
      </w:r>
    </w:p>
    <w:p w:rsidR="003F5784" w14:paraId="5B1F7F74" w14:textId="77777777">
      <w:pPr>
        <w:pStyle w:val="BodyText"/>
        <w:spacing w:before="3" w:line="232" w:lineRule="auto"/>
        <w:ind w:left="109"/>
      </w:pPr>
      <w:r>
        <w:t>U.S.</w:t>
      </w:r>
      <w:r>
        <w:rPr>
          <w:spacing w:val="-6"/>
        </w:rPr>
        <w:t xml:space="preserve"> </w:t>
      </w:r>
      <w:r>
        <w:t>history</w:t>
      </w:r>
      <w:r>
        <w:rPr>
          <w:spacing w:val="-6"/>
        </w:rPr>
        <w:t xml:space="preserve"> </w:t>
      </w:r>
      <w:r>
        <w:t>booklets</w:t>
      </w:r>
      <w:r>
        <w:rPr>
          <w:spacing w:val="-6"/>
        </w:rPr>
        <w:t xml:space="preserve"> </w:t>
      </w:r>
      <w:r>
        <w:t>to</w:t>
      </w:r>
      <w:r>
        <w:rPr>
          <w:spacing w:val="-6"/>
        </w:rPr>
        <w:t xml:space="preserve"> </w:t>
      </w:r>
      <w:r>
        <w:t>the</w:t>
      </w:r>
      <w:r>
        <w:rPr>
          <w:spacing w:val="-6"/>
        </w:rPr>
        <w:t xml:space="preserve"> </w:t>
      </w:r>
      <w:r>
        <w:t>students.</w:t>
      </w:r>
      <w:r>
        <w:rPr>
          <w:spacing w:val="-10"/>
        </w:rPr>
        <w:t xml:space="preserve"> </w:t>
      </w:r>
      <w:r>
        <w:t>The</w:t>
      </w:r>
      <w:r>
        <w:rPr>
          <w:spacing w:val="-6"/>
        </w:rPr>
        <w:t xml:space="preserve"> </w:t>
      </w:r>
      <w:r>
        <w:t>subject</w:t>
      </w:r>
      <w:r>
        <w:rPr>
          <w:spacing w:val="-6"/>
        </w:rPr>
        <w:t xml:space="preserve"> </w:t>
      </w:r>
      <w:r>
        <w:t>factor</w:t>
      </w:r>
      <w:r>
        <w:rPr>
          <w:spacing w:val="-6"/>
        </w:rPr>
        <w:t xml:space="preserve"> </w:t>
      </w:r>
      <w:r>
        <w:t>varies</w:t>
      </w:r>
      <w:r>
        <w:rPr>
          <w:spacing w:val="-6"/>
        </w:rPr>
        <w:t xml:space="preserve"> </w:t>
      </w:r>
      <w:r>
        <w:t>by</w:t>
      </w:r>
      <w:r>
        <w:rPr>
          <w:spacing w:val="-6"/>
        </w:rPr>
        <w:t xml:space="preserve"> </w:t>
      </w:r>
      <w:r>
        <w:t>grade</w:t>
      </w:r>
      <w:r>
        <w:rPr>
          <w:spacing w:val="-6"/>
        </w:rPr>
        <w:t xml:space="preserve"> </w:t>
      </w:r>
      <w:r>
        <w:t>(or</w:t>
      </w:r>
      <w:r>
        <w:rPr>
          <w:spacing w:val="-6"/>
        </w:rPr>
        <w:t xml:space="preserve"> </w:t>
      </w:r>
      <w:r>
        <w:t>age,</w:t>
      </w:r>
      <w:r>
        <w:rPr>
          <w:spacing w:val="-6"/>
        </w:rPr>
        <w:t xml:space="preserve"> </w:t>
      </w:r>
      <w:r>
        <w:t>for</w:t>
      </w:r>
      <w:r>
        <w:rPr>
          <w:spacing w:val="-6"/>
        </w:rPr>
        <w:t xml:space="preserve"> </w:t>
      </w:r>
      <w:r>
        <w:t>LTT)</w:t>
      </w:r>
      <w:r>
        <w:rPr>
          <w:spacing w:val="-6"/>
        </w:rPr>
        <w:t xml:space="preserve"> </w:t>
      </w:r>
      <w:r>
        <w:t>and</w:t>
      </w:r>
      <w:r>
        <w:rPr>
          <w:spacing w:val="-6"/>
        </w:rPr>
        <w:t xml:space="preserve"> </w:t>
      </w:r>
      <w:r>
        <w:t>subject;</w:t>
      </w:r>
      <w:r>
        <w:rPr>
          <w:spacing w:val="-6"/>
        </w:rPr>
        <w:t xml:space="preserve"> </w:t>
      </w:r>
      <w:r>
        <w:t>it</w:t>
      </w:r>
      <w:r>
        <w:rPr>
          <w:spacing w:val="-6"/>
        </w:rPr>
        <w:t xml:space="preserve"> </w:t>
      </w:r>
      <w:r>
        <w:t>is</w:t>
      </w:r>
      <w:r>
        <w:rPr>
          <w:spacing w:val="-6"/>
        </w:rPr>
        <w:t xml:space="preserve"> </w:t>
      </w:r>
      <w:r>
        <w:t>equal</w:t>
      </w:r>
      <w:r>
        <w:rPr>
          <w:spacing w:val="-6"/>
        </w:rPr>
        <w:t xml:space="preserve"> </w:t>
      </w:r>
      <w:r>
        <w:t>to</w:t>
      </w:r>
      <w:r>
        <w:rPr>
          <w:spacing w:val="-6"/>
        </w:rPr>
        <w:t xml:space="preserve"> </w:t>
      </w:r>
      <w:r>
        <w:t>the</w:t>
      </w:r>
      <w:r>
        <w:rPr>
          <w:spacing w:val="-6"/>
        </w:rPr>
        <w:t xml:space="preserve"> </w:t>
      </w:r>
      <w:r>
        <w:t>inverse</w:t>
      </w:r>
      <w:r>
        <w:rPr>
          <w:spacing w:val="-6"/>
        </w:rPr>
        <w:t xml:space="preserve"> </w:t>
      </w:r>
      <w:r>
        <w:t>of</w:t>
      </w:r>
      <w:r>
        <w:rPr>
          <w:spacing w:val="-6"/>
        </w:rPr>
        <w:t xml:space="preserve"> </w:t>
      </w:r>
      <w:r>
        <w:t>the</w:t>
      </w:r>
      <w:r>
        <w:rPr>
          <w:spacing w:val="-6"/>
        </w:rPr>
        <w:t xml:space="preserve"> </w:t>
      </w:r>
      <w:r>
        <w:t>booklet</w:t>
      </w:r>
      <w:r>
        <w:rPr>
          <w:spacing w:val="-6"/>
        </w:rPr>
        <w:t xml:space="preserve"> </w:t>
      </w:r>
      <w:r>
        <w:t>proportions</w:t>
      </w:r>
      <w:r>
        <w:rPr>
          <w:spacing w:val="-6"/>
        </w:rPr>
        <w:t xml:space="preserve"> </w:t>
      </w:r>
      <w:r>
        <w:t>(civics,</w:t>
      </w:r>
      <w:r>
        <w:rPr>
          <w:spacing w:val="-6"/>
        </w:rPr>
        <w:t xml:space="preserve"> </w:t>
      </w:r>
      <w:r>
        <w:t>mathematics, reading, or U.S. history) in the overall spiral for a specific sample.</w:t>
      </w:r>
    </w:p>
    <w:p w:rsidR="003F5784" w14:paraId="62697D66" w14:textId="77777777">
      <w:pPr>
        <w:spacing w:line="232" w:lineRule="auto"/>
        <w:sectPr>
          <w:pgSz w:w="15840" w:h="12240" w:orient="landscape"/>
          <w:pgMar w:top="480" w:right="440" w:bottom="460" w:left="460" w:header="284" w:footer="275" w:gutter="0"/>
          <w:cols w:space="720"/>
        </w:sectPr>
      </w:pPr>
    </w:p>
    <w:p w:rsidR="003F5784" w14:paraId="03FCA05A" w14:textId="77777777">
      <w:pPr>
        <w:pStyle w:val="BodyText"/>
        <w:spacing w:before="78" w:line="232" w:lineRule="auto"/>
        <w:ind w:left="109" w:right="293"/>
      </w:pPr>
      <w:r>
        <w:t>For</w:t>
      </w:r>
      <w:r>
        <w:rPr>
          <w:spacing w:val="-7"/>
        </w:rPr>
        <w:t xml:space="preserve"> </w:t>
      </w:r>
      <w:r>
        <w:t>cooperating</w:t>
      </w:r>
      <w:r>
        <w:rPr>
          <w:spacing w:val="-7"/>
        </w:rPr>
        <w:t xml:space="preserve"> </w:t>
      </w:r>
      <w:r>
        <w:t>substitutes</w:t>
      </w:r>
      <w:r>
        <w:rPr>
          <w:spacing w:val="-7"/>
        </w:rPr>
        <w:t xml:space="preserve"> </w:t>
      </w:r>
      <w:r>
        <w:t>of</w:t>
      </w:r>
      <w:r>
        <w:rPr>
          <w:spacing w:val="-7"/>
        </w:rPr>
        <w:t xml:space="preserve"> </w:t>
      </w:r>
      <w:r>
        <w:t>nonresponding</w:t>
      </w:r>
      <w:r>
        <w:rPr>
          <w:spacing w:val="-7"/>
        </w:rPr>
        <w:t xml:space="preserve"> </w:t>
      </w:r>
      <w:r>
        <w:t>original</w:t>
      </w:r>
      <w:r>
        <w:rPr>
          <w:spacing w:val="-7"/>
        </w:rPr>
        <w:t xml:space="preserve"> </w:t>
      </w:r>
      <w:r>
        <w:t>sampled</w:t>
      </w:r>
      <w:r>
        <w:rPr>
          <w:spacing w:val="-7"/>
        </w:rPr>
        <w:t xml:space="preserve"> </w:t>
      </w:r>
      <w:r>
        <w:t>schools,</w:t>
      </w:r>
      <w:r>
        <w:rPr>
          <w:spacing w:val="-7"/>
        </w:rPr>
        <w:t xml:space="preserve"> </w:t>
      </w:r>
      <w:r>
        <w:t>the</w:t>
      </w:r>
      <w:r>
        <w:rPr>
          <w:spacing w:val="-7"/>
        </w:rPr>
        <w:t xml:space="preserve"> </w:t>
      </w:r>
      <w:r>
        <w:rPr>
          <w:b/>
        </w:rPr>
        <w:t>substitution</w:t>
      </w:r>
      <w:r>
        <w:rPr>
          <w:b/>
          <w:spacing w:val="-7"/>
        </w:rPr>
        <w:t xml:space="preserve"> </w:t>
      </w:r>
      <w:r>
        <w:rPr>
          <w:b/>
        </w:rPr>
        <w:t>adjustment</w:t>
      </w:r>
      <w:r>
        <w:rPr>
          <w:b/>
          <w:spacing w:val="-7"/>
        </w:rPr>
        <w:t xml:space="preserve"> </w:t>
      </w:r>
      <w:r>
        <w:rPr>
          <w:b/>
        </w:rPr>
        <w:t>factor</w:t>
      </w:r>
      <w:r>
        <w:rPr>
          <w:b/>
          <w:spacing w:val="-7"/>
        </w:rPr>
        <w:t xml:space="preserve"> </w:t>
      </w:r>
      <w:r>
        <w:t>\((SUBADJ_{js})\)</w:t>
      </w:r>
      <w:r>
        <w:rPr>
          <w:spacing w:val="-7"/>
        </w:rPr>
        <w:t xml:space="preserve"> </w:t>
      </w:r>
      <w:r>
        <w:t>is</w:t>
      </w:r>
      <w:r>
        <w:rPr>
          <w:spacing w:val="-7"/>
        </w:rPr>
        <w:t xml:space="preserve"> </w:t>
      </w:r>
      <w:r>
        <w:t>equal</w:t>
      </w:r>
      <w:r>
        <w:rPr>
          <w:spacing w:val="-7"/>
        </w:rPr>
        <w:t xml:space="preserve"> </w:t>
      </w:r>
      <w:r>
        <w:t>to</w:t>
      </w:r>
      <w:r>
        <w:rPr>
          <w:spacing w:val="-7"/>
        </w:rPr>
        <w:t xml:space="preserve"> </w:t>
      </w:r>
      <w:r>
        <w:t>the</w:t>
      </w:r>
      <w:r>
        <w:rPr>
          <w:spacing w:val="-7"/>
        </w:rPr>
        <w:t xml:space="preserve"> </w:t>
      </w:r>
      <w:r>
        <w:t>ratio</w:t>
      </w:r>
      <w:r>
        <w:rPr>
          <w:spacing w:val="-7"/>
        </w:rPr>
        <w:t xml:space="preserve"> </w:t>
      </w:r>
      <w:r>
        <w:t>of</w:t>
      </w:r>
      <w:r>
        <w:rPr>
          <w:spacing w:val="-7"/>
        </w:rPr>
        <w:t xml:space="preserve"> </w:t>
      </w:r>
      <w:r>
        <w:t>the</w:t>
      </w:r>
      <w:r>
        <w:rPr>
          <w:spacing w:val="-7"/>
        </w:rPr>
        <w:t xml:space="preserve"> </w:t>
      </w:r>
      <w:r>
        <w:t>estimated</w:t>
      </w:r>
      <w:r>
        <w:rPr>
          <w:spacing w:val="-7"/>
        </w:rPr>
        <w:t xml:space="preserve"> </w:t>
      </w:r>
      <w:r>
        <w:t>grade</w:t>
      </w:r>
      <w:r>
        <w:rPr>
          <w:spacing w:val="-7"/>
        </w:rPr>
        <w:t xml:space="preserve"> </w:t>
      </w:r>
      <w:r>
        <w:t>(or age-specific) enrollment for the original sampled school to the estimated grade (or age-specific) enrollment for the substitute school.</w:t>
      </w:r>
      <w:r>
        <w:rPr>
          <w:spacing w:val="-3"/>
        </w:rPr>
        <w:t xml:space="preserve"> </w:t>
      </w:r>
      <w:r>
        <w:t>The student sample from the substitute school then "represents" the set of grade-eligible (or age-eligible) students from the original sampled school.</w:t>
      </w:r>
    </w:p>
    <w:p w:rsidR="003F5784" w14:paraId="0DA05E90" w14:textId="77777777">
      <w:pPr>
        <w:pStyle w:val="BodyText"/>
        <w:spacing w:before="210" w:line="232" w:lineRule="auto"/>
        <w:ind w:left="109"/>
      </w:pPr>
      <w:r>
        <w:t xml:space="preserve">The </w:t>
      </w:r>
      <w:r>
        <w:rPr>
          <w:b/>
        </w:rPr>
        <w:t xml:space="preserve">year-round adjustment factor </w:t>
      </w:r>
      <w:r>
        <w:t>\((YRRND\_AF_{js})\) adjusts the student weight for students in year-round schools who do not attend school during the time of the assessment.</w:t>
      </w:r>
      <w:r>
        <w:rPr>
          <w:spacing w:val="-7"/>
        </w:rPr>
        <w:t xml:space="preserve"> </w:t>
      </w:r>
      <w:r>
        <w:t>This</w:t>
      </w:r>
      <w:r>
        <w:rPr>
          <w:spacing w:val="-3"/>
        </w:rPr>
        <w:t xml:space="preserve"> </w:t>
      </w:r>
      <w:r>
        <w:t>situation</w:t>
      </w:r>
      <w:r>
        <w:rPr>
          <w:spacing w:val="-3"/>
        </w:rPr>
        <w:t xml:space="preserve"> </w:t>
      </w:r>
      <w:r>
        <w:t>typically</w:t>
      </w:r>
      <w:r>
        <w:rPr>
          <w:spacing w:val="-3"/>
        </w:rPr>
        <w:t xml:space="preserve"> </w:t>
      </w:r>
      <w:r>
        <w:t>arises</w:t>
      </w:r>
      <w:r>
        <w:rPr>
          <w:spacing w:val="-3"/>
        </w:rPr>
        <w:t xml:space="preserve"> </w:t>
      </w:r>
      <w:r>
        <w:t>in</w:t>
      </w:r>
      <w:r>
        <w:rPr>
          <w:spacing w:val="-3"/>
        </w:rPr>
        <w:t xml:space="preserve"> </w:t>
      </w:r>
      <w:r>
        <w:t>overcrowded</w:t>
      </w:r>
      <w:r>
        <w:rPr>
          <w:spacing w:val="-3"/>
        </w:rPr>
        <w:t xml:space="preserve"> </w:t>
      </w:r>
      <w:r>
        <w:t>schools.</w:t>
      </w:r>
      <w:r>
        <w:rPr>
          <w:spacing w:val="-3"/>
        </w:rPr>
        <w:t xml:space="preserve"> </w:t>
      </w:r>
      <w:r>
        <w:t>School</w:t>
      </w:r>
      <w:r>
        <w:rPr>
          <w:spacing w:val="-3"/>
        </w:rPr>
        <w:t xml:space="preserve"> </w:t>
      </w:r>
      <w:r>
        <w:t>administrators</w:t>
      </w:r>
      <w:r>
        <w:rPr>
          <w:spacing w:val="-3"/>
        </w:rPr>
        <w:t xml:space="preserve"> </w:t>
      </w:r>
      <w:r>
        <w:t>in</w:t>
      </w:r>
      <w:r>
        <w:rPr>
          <w:spacing w:val="-3"/>
        </w:rPr>
        <w:t xml:space="preserve"> </w:t>
      </w:r>
      <w:r>
        <w:t>year-round</w:t>
      </w:r>
      <w:r>
        <w:rPr>
          <w:spacing w:val="-3"/>
        </w:rPr>
        <w:t xml:space="preserve"> </w:t>
      </w:r>
      <w:r>
        <w:t>schools</w:t>
      </w:r>
      <w:r>
        <w:rPr>
          <w:spacing w:val="-3"/>
        </w:rPr>
        <w:t xml:space="preserve"> </w:t>
      </w:r>
      <w:r>
        <w:t>randomly</w:t>
      </w:r>
      <w:r>
        <w:rPr>
          <w:spacing w:val="-3"/>
        </w:rPr>
        <w:t xml:space="preserve"> </w:t>
      </w:r>
      <w:r>
        <w:t>assign</w:t>
      </w:r>
      <w:r>
        <w:rPr>
          <w:spacing w:val="-3"/>
        </w:rPr>
        <w:t xml:space="preserve"> </w:t>
      </w:r>
      <w:r>
        <w:t>students</w:t>
      </w:r>
      <w:r>
        <w:rPr>
          <w:spacing w:val="-3"/>
        </w:rPr>
        <w:t xml:space="preserve"> </w:t>
      </w:r>
      <w:r>
        <w:t>to</w:t>
      </w:r>
      <w:r>
        <w:rPr>
          <w:spacing w:val="-3"/>
        </w:rPr>
        <w:t xml:space="preserve"> </w:t>
      </w:r>
      <w:r>
        <w:t>portions</w:t>
      </w:r>
      <w:r>
        <w:rPr>
          <w:spacing w:val="-3"/>
        </w:rPr>
        <w:t xml:space="preserve"> </w:t>
      </w:r>
      <w:r>
        <w:t>of</w:t>
      </w:r>
      <w:r>
        <w:rPr>
          <w:spacing w:val="-3"/>
        </w:rPr>
        <w:t xml:space="preserve"> </w:t>
      </w:r>
      <w:r>
        <w:t>the</w:t>
      </w:r>
      <w:r>
        <w:rPr>
          <w:spacing w:val="-3"/>
        </w:rPr>
        <w:t xml:space="preserve"> </w:t>
      </w:r>
      <w:r>
        <w:t>year</w:t>
      </w:r>
      <w:r>
        <w:rPr>
          <w:spacing w:val="-3"/>
        </w:rPr>
        <w:t xml:space="preserve"> </w:t>
      </w:r>
      <w:r>
        <w:t>in</w:t>
      </w:r>
      <w:r>
        <w:rPr>
          <w:spacing w:val="-3"/>
        </w:rPr>
        <w:t xml:space="preserve"> </w:t>
      </w:r>
      <w:r>
        <w:t>which</w:t>
      </w:r>
      <w:r>
        <w:rPr>
          <w:spacing w:val="-3"/>
        </w:rPr>
        <w:t xml:space="preserve"> </w:t>
      </w:r>
      <w:r>
        <w:t>they attend</w:t>
      </w:r>
      <w:r>
        <w:rPr>
          <w:spacing w:val="-7"/>
        </w:rPr>
        <w:t xml:space="preserve"> </w:t>
      </w:r>
      <w:r>
        <w:t>school</w:t>
      </w:r>
      <w:r>
        <w:rPr>
          <w:spacing w:val="-5"/>
        </w:rPr>
        <w:t xml:space="preserve"> </w:t>
      </w:r>
      <w:r>
        <w:t>and</w:t>
      </w:r>
      <w:r>
        <w:rPr>
          <w:spacing w:val="-5"/>
        </w:rPr>
        <w:t xml:space="preserve"> </w:t>
      </w:r>
      <w:r>
        <w:t>portions</w:t>
      </w:r>
      <w:r>
        <w:rPr>
          <w:spacing w:val="-5"/>
        </w:rPr>
        <w:t xml:space="preserve"> </w:t>
      </w:r>
      <w:r>
        <w:t>of</w:t>
      </w:r>
      <w:r>
        <w:rPr>
          <w:spacing w:val="-5"/>
        </w:rPr>
        <w:t xml:space="preserve"> </w:t>
      </w:r>
      <w:r>
        <w:t>the</w:t>
      </w:r>
      <w:r>
        <w:rPr>
          <w:spacing w:val="-5"/>
        </w:rPr>
        <w:t xml:space="preserve"> </w:t>
      </w:r>
      <w:r>
        <w:t>year</w:t>
      </w:r>
      <w:r>
        <w:rPr>
          <w:spacing w:val="-5"/>
        </w:rPr>
        <w:t xml:space="preserve"> </w:t>
      </w:r>
      <w:r>
        <w:t>in</w:t>
      </w:r>
      <w:r>
        <w:rPr>
          <w:spacing w:val="-5"/>
        </w:rPr>
        <w:t xml:space="preserve"> </w:t>
      </w:r>
      <w:r>
        <w:t>which</w:t>
      </w:r>
      <w:r>
        <w:rPr>
          <w:spacing w:val="-5"/>
        </w:rPr>
        <w:t xml:space="preserve"> </w:t>
      </w:r>
      <w:r>
        <w:t>they</w:t>
      </w:r>
      <w:r>
        <w:rPr>
          <w:spacing w:val="-5"/>
        </w:rPr>
        <w:t xml:space="preserve"> </w:t>
      </w:r>
      <w:r>
        <w:t>do</w:t>
      </w:r>
      <w:r>
        <w:rPr>
          <w:spacing w:val="-5"/>
        </w:rPr>
        <w:t xml:space="preserve"> </w:t>
      </w:r>
      <w:r>
        <w:t>not</w:t>
      </w:r>
      <w:r>
        <w:rPr>
          <w:spacing w:val="-5"/>
        </w:rPr>
        <w:t xml:space="preserve"> </w:t>
      </w:r>
      <w:r>
        <w:t>attend.</w:t>
      </w:r>
      <w:r>
        <w:rPr>
          <w:spacing w:val="-14"/>
        </w:rPr>
        <w:t xml:space="preserve"> </w:t>
      </w:r>
      <w:r>
        <w:t>At</w:t>
      </w:r>
      <w:r>
        <w:rPr>
          <w:spacing w:val="-5"/>
        </w:rPr>
        <w:t xml:space="preserve"> </w:t>
      </w:r>
      <w:r>
        <w:t>the</w:t>
      </w:r>
      <w:r>
        <w:rPr>
          <w:spacing w:val="-5"/>
        </w:rPr>
        <w:t xml:space="preserve"> </w:t>
      </w:r>
      <w:r>
        <w:t>time</w:t>
      </w:r>
      <w:r>
        <w:rPr>
          <w:spacing w:val="-5"/>
        </w:rPr>
        <w:t xml:space="preserve"> </w:t>
      </w:r>
      <w:r>
        <w:t>of</w:t>
      </w:r>
      <w:r>
        <w:rPr>
          <w:spacing w:val="-5"/>
        </w:rPr>
        <w:t xml:space="preserve"> </w:t>
      </w:r>
      <w:r>
        <w:t>assessment,</w:t>
      </w:r>
      <w:r>
        <w:rPr>
          <w:spacing w:val="-5"/>
        </w:rPr>
        <w:t xml:space="preserve"> </w:t>
      </w:r>
      <w:r>
        <w:t>a</w:t>
      </w:r>
      <w:r>
        <w:rPr>
          <w:spacing w:val="-5"/>
        </w:rPr>
        <w:t xml:space="preserve"> </w:t>
      </w:r>
      <w:r>
        <w:t>certain</w:t>
      </w:r>
      <w:r>
        <w:rPr>
          <w:spacing w:val="-5"/>
        </w:rPr>
        <w:t xml:space="preserve"> </w:t>
      </w:r>
      <w:r>
        <w:t>percentage</w:t>
      </w:r>
      <w:r>
        <w:rPr>
          <w:spacing w:val="-5"/>
        </w:rPr>
        <w:t xml:space="preserve"> </w:t>
      </w:r>
      <w:r>
        <w:t>of</w:t>
      </w:r>
      <w:r>
        <w:rPr>
          <w:spacing w:val="-5"/>
        </w:rPr>
        <w:t xml:space="preserve"> </w:t>
      </w:r>
      <w:r>
        <w:t>students</w:t>
      </w:r>
      <w:r>
        <w:rPr>
          <w:spacing w:val="-5"/>
        </w:rPr>
        <w:t xml:space="preserve"> </w:t>
      </w:r>
      <w:r>
        <w:t>(designated</w:t>
      </w:r>
      <w:r>
        <w:rPr>
          <w:spacing w:val="-5"/>
        </w:rPr>
        <w:t xml:space="preserve"> </w:t>
      </w:r>
      <w:r>
        <w:t>as</w:t>
      </w:r>
      <w:r>
        <w:rPr>
          <w:spacing w:val="-5"/>
        </w:rPr>
        <w:t xml:space="preserve"> </w:t>
      </w:r>
      <w:r>
        <w:t>\(OFF_{js}\))</w:t>
      </w:r>
      <w:r>
        <w:rPr>
          <w:spacing w:val="-5"/>
        </w:rPr>
        <w:t xml:space="preserve"> </w:t>
      </w:r>
      <w:r>
        <w:t>do</w:t>
      </w:r>
      <w:r>
        <w:rPr>
          <w:spacing w:val="-5"/>
        </w:rPr>
        <w:t xml:space="preserve"> </w:t>
      </w:r>
      <w:r>
        <w:t>not</w:t>
      </w:r>
      <w:r>
        <w:rPr>
          <w:spacing w:val="-5"/>
        </w:rPr>
        <w:t xml:space="preserve"> </w:t>
      </w:r>
      <w:r>
        <w:t>attend</w:t>
      </w:r>
      <w:r>
        <w:rPr>
          <w:spacing w:val="-5"/>
        </w:rPr>
        <w:t xml:space="preserve"> </w:t>
      </w:r>
      <w:r>
        <w:t>school and thus cannot be assessed. The \(YRRND\_AF_{js}\) for a school is calculated as \(1/(1 - OFF_{js}/100)\).</w:t>
      </w:r>
    </w:p>
    <w:p w:rsidR="003F5784" w14:paraId="5C5860D3" w14:textId="77777777">
      <w:pPr>
        <w:pStyle w:val="BodyText"/>
      </w:pPr>
    </w:p>
    <w:p w:rsidR="003F5784" w14:paraId="4587666E" w14:textId="77777777">
      <w:pPr>
        <w:pStyle w:val="BodyText"/>
      </w:pPr>
    </w:p>
    <w:p w:rsidR="003F5784" w14:paraId="76715363" w14:textId="77777777">
      <w:pPr>
        <w:pStyle w:val="BodyText"/>
        <w:spacing w:before="146"/>
      </w:pPr>
    </w:p>
    <w:p w:rsidR="003F5784" w14:paraId="7498FD77" w14:textId="77777777">
      <w:pPr>
        <w:ind w:left="6438"/>
        <w:rPr>
          <w:sz w:val="18"/>
        </w:rPr>
      </w:pPr>
      <w:hyperlink r:id="rId411">
        <w:r>
          <w:rPr>
            <w:spacing w:val="-2"/>
            <w:w w:val="105"/>
            <w:sz w:val="18"/>
          </w:rPr>
          <w:t>http://nces.ed.gov/nationsreportcard/tdw/weighting/2022/student_base_weights_for_the_2022_assessment.aspx</w:t>
        </w:r>
      </w:hyperlink>
    </w:p>
    <w:p w:rsidR="003F5784" w14:paraId="2C40ABDA" w14:textId="77777777">
      <w:pPr>
        <w:pStyle w:val="BodyText"/>
        <w:rPr>
          <w:sz w:val="16"/>
        </w:rPr>
      </w:pPr>
      <w:r>
        <w:rPr>
          <w:noProof/>
        </w:rPr>
        <mc:AlternateContent>
          <mc:Choice Requires="wps">
            <w:drawing>
              <wp:anchor distT="0" distB="0" distL="0" distR="0" simplePos="0" relativeHeight="251976704" behindDoc="1" locked="0" layoutInCell="1" allowOverlap="1">
                <wp:simplePos x="0" y="0"/>
                <wp:positionH relativeFrom="page">
                  <wp:posOffset>361937</wp:posOffset>
                </wp:positionH>
                <wp:positionV relativeFrom="paragraph">
                  <wp:posOffset>132605</wp:posOffset>
                </wp:positionV>
                <wp:extent cx="9339580" cy="8890"/>
                <wp:effectExtent l="0" t="0" r="0" b="0"/>
                <wp:wrapTopAndBottom/>
                <wp:docPr id="516" name="Graphic 51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67"/>
                              </a:lnTo>
                              <a:lnTo>
                                <a:pt x="9335110" y="8293"/>
                              </a:lnTo>
                              <a:lnTo>
                                <a:pt x="9338970" y="8293"/>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16" o:spid="_x0000_s1170" style="width:735.4pt;height:0.7pt;margin-top:10.45pt;margin-left:28.5pt;mso-position-horizontal-relative:page;mso-wrap-distance-bottom:0;mso-wrap-distance-left:0;mso-wrap-distance-right:0;mso-wrap-distance-top:0;mso-wrap-style:square;position:absolute;visibility:visible;v-text-anchor:top;z-index:-251338752" coordsize="9339580,8890" path="m9338970,12l9335110,12l8280,12,,,,8267l9335110,8293l9338970,8293l9338970,12xe" fillcolor="gray" stroked="f">
                <v:path arrowok="t"/>
                <w10:wrap type="topAndBottom"/>
              </v:shape>
            </w:pict>
          </mc:Fallback>
        </mc:AlternateContent>
      </w:r>
    </w:p>
    <w:p w:rsidR="003F5784" w14:paraId="480D9A25" w14:textId="77777777">
      <w:pPr>
        <w:pStyle w:val="BodyText"/>
        <w:rPr>
          <w:sz w:val="18"/>
        </w:rPr>
      </w:pPr>
    </w:p>
    <w:p w:rsidR="003F5784" w14:paraId="4CDF5003" w14:textId="77777777">
      <w:pPr>
        <w:pStyle w:val="BodyText"/>
        <w:spacing w:before="193"/>
        <w:rPr>
          <w:sz w:val="18"/>
        </w:rPr>
      </w:pPr>
    </w:p>
    <w:p w:rsidR="003F5784" w14:paraId="2E0D6360" w14:textId="0488F5FB">
      <w:pPr>
        <w:pStyle w:val="Heading1"/>
        <w:spacing w:line="244" w:lineRule="auto"/>
      </w:pPr>
      <w:r>
        <w:t>NAEP</w:t>
      </w:r>
      <w:r>
        <w:rPr>
          <w:spacing w:val="-16"/>
        </w:rPr>
        <w:t xml:space="preserve"> </w:t>
      </w:r>
      <w:r>
        <w:t>Technical Documentation</w:t>
      </w:r>
      <w:r w:rsidR="00E3225D">
        <w:t xml:space="preserve"> </w:t>
      </w:r>
      <w:r>
        <w:t xml:space="preserve">School and Student Nonresponse Weight </w:t>
      </w:r>
      <w:r>
        <w:rPr>
          <w:spacing w:val="-2"/>
        </w:rPr>
        <w:t>Adjustments</w:t>
      </w:r>
    </w:p>
    <w:p w:rsidR="003F5784" w14:paraId="52AA1D03" w14:textId="77777777">
      <w:pPr>
        <w:pStyle w:val="BodyText"/>
        <w:spacing w:before="7"/>
        <w:rPr>
          <w:b/>
          <w:sz w:val="16"/>
        </w:rPr>
      </w:pPr>
    </w:p>
    <w:p w:rsidR="003F5784" w14:paraId="6327CC56" w14:textId="77777777">
      <w:pPr>
        <w:rPr>
          <w:sz w:val="16"/>
        </w:rPr>
        <w:sectPr>
          <w:pgSz w:w="15840" w:h="12240" w:orient="landscape"/>
          <w:pgMar w:top="480" w:right="440" w:bottom="460" w:left="460" w:header="284" w:footer="275" w:gutter="0"/>
          <w:cols w:space="720"/>
        </w:sectPr>
      </w:pPr>
    </w:p>
    <w:p w:rsidR="003F5784" w14:paraId="08D6EDB1" w14:textId="77777777">
      <w:pPr>
        <w:pStyle w:val="BodyText"/>
        <w:spacing w:before="96" w:line="232" w:lineRule="auto"/>
        <w:ind w:left="109" w:right="38"/>
      </w:pPr>
      <w:r>
        <w:t>Nonresponse is unavoidable in any voluntary survey of a human population. Nonresponse leads to the loss of sample data that must be compensated</w:t>
      </w:r>
      <w:r>
        <w:rPr>
          <w:spacing w:val="-3"/>
        </w:rPr>
        <w:t xml:space="preserve"> </w:t>
      </w:r>
      <w:r>
        <w:t>for</w:t>
      </w:r>
      <w:r>
        <w:rPr>
          <w:spacing w:val="-3"/>
        </w:rPr>
        <w:t xml:space="preserve"> </w:t>
      </w:r>
      <w:r>
        <w:t>in</w:t>
      </w:r>
      <w:r>
        <w:rPr>
          <w:spacing w:val="-3"/>
        </w:rPr>
        <w:t xml:space="preserve"> </w:t>
      </w:r>
      <w:r>
        <w:t>the</w:t>
      </w:r>
      <w:r>
        <w:rPr>
          <w:spacing w:val="-3"/>
        </w:rPr>
        <w:t xml:space="preserve"> </w:t>
      </w:r>
      <w:r>
        <w:t>weights</w:t>
      </w:r>
      <w:r>
        <w:rPr>
          <w:spacing w:val="-3"/>
        </w:rPr>
        <w:t xml:space="preserve"> </w:t>
      </w:r>
      <w:r>
        <w:t>of</w:t>
      </w:r>
      <w:r>
        <w:rPr>
          <w:spacing w:val="-3"/>
        </w:rPr>
        <w:t xml:space="preserve"> </w:t>
      </w:r>
      <w:r>
        <w:t>the</w:t>
      </w:r>
      <w:r>
        <w:rPr>
          <w:spacing w:val="-3"/>
        </w:rPr>
        <w:t xml:space="preserve"> </w:t>
      </w:r>
      <w:r>
        <w:t>responding</w:t>
      </w:r>
      <w:r>
        <w:rPr>
          <w:spacing w:val="-3"/>
        </w:rPr>
        <w:t xml:space="preserve"> </w:t>
      </w:r>
      <w:r>
        <w:t>sample</w:t>
      </w:r>
      <w:r>
        <w:rPr>
          <w:spacing w:val="-3"/>
        </w:rPr>
        <w:t xml:space="preserve"> </w:t>
      </w:r>
      <w:r>
        <w:t>members.</w:t>
      </w:r>
      <w:r>
        <w:rPr>
          <w:spacing w:val="-7"/>
        </w:rPr>
        <w:t xml:space="preserve"> </w:t>
      </w:r>
      <w:r>
        <w:t>This</w:t>
      </w:r>
      <w:r>
        <w:rPr>
          <w:spacing w:val="-3"/>
        </w:rPr>
        <w:t xml:space="preserve"> </w:t>
      </w:r>
      <w:r>
        <w:t>differs</w:t>
      </w:r>
      <w:r>
        <w:rPr>
          <w:spacing w:val="-3"/>
        </w:rPr>
        <w:t xml:space="preserve"> </w:t>
      </w:r>
      <w:r>
        <w:t>from</w:t>
      </w:r>
      <w:r>
        <w:rPr>
          <w:spacing w:val="-3"/>
        </w:rPr>
        <w:t xml:space="preserve"> </w:t>
      </w:r>
      <w:r>
        <w:t>ineligibility,</w:t>
      </w:r>
      <w:r>
        <w:rPr>
          <w:spacing w:val="-3"/>
        </w:rPr>
        <w:t xml:space="preserve"> </w:t>
      </w:r>
      <w:r>
        <w:t>for</w:t>
      </w:r>
      <w:r>
        <w:rPr>
          <w:spacing w:val="-3"/>
        </w:rPr>
        <w:t xml:space="preserve"> </w:t>
      </w:r>
      <w:r>
        <w:t>which</w:t>
      </w:r>
      <w:r>
        <w:rPr>
          <w:spacing w:val="-3"/>
        </w:rPr>
        <w:t xml:space="preserve"> </w:t>
      </w:r>
      <w:r>
        <w:t>no</w:t>
      </w:r>
      <w:r>
        <w:rPr>
          <w:spacing w:val="-3"/>
        </w:rPr>
        <w:t xml:space="preserve"> </w:t>
      </w:r>
      <w:r>
        <w:t>adjustments</w:t>
      </w:r>
      <w:r>
        <w:rPr>
          <w:spacing w:val="-3"/>
        </w:rPr>
        <w:t xml:space="preserve"> </w:t>
      </w:r>
      <w:r>
        <w:t>are</w:t>
      </w:r>
      <w:r>
        <w:rPr>
          <w:spacing w:val="-3"/>
        </w:rPr>
        <w:t xml:space="preserve"> </w:t>
      </w:r>
      <w:r>
        <w:t>necessary. The purpose of the nonresponse adjustments is to reduce the mean square error of survey estimates.</w:t>
      </w:r>
      <w:r>
        <w:rPr>
          <w:spacing w:val="-1"/>
        </w:rPr>
        <w:t xml:space="preserve"> </w:t>
      </w:r>
      <w:r>
        <w:t>While the nonresponse adjustment reduces</w:t>
      </w:r>
      <w:r>
        <w:rPr>
          <w:spacing w:val="-6"/>
        </w:rPr>
        <w:t xml:space="preserve"> </w:t>
      </w:r>
      <w:r>
        <w:t>the</w:t>
      </w:r>
      <w:r>
        <w:rPr>
          <w:spacing w:val="-6"/>
        </w:rPr>
        <w:t xml:space="preserve"> </w:t>
      </w:r>
      <w:r>
        <w:t>bias</w:t>
      </w:r>
      <w:r>
        <w:rPr>
          <w:spacing w:val="-6"/>
        </w:rPr>
        <w:t xml:space="preserve"> </w:t>
      </w:r>
      <w:r>
        <w:t>from</w:t>
      </w:r>
      <w:r>
        <w:rPr>
          <w:spacing w:val="-6"/>
        </w:rPr>
        <w:t xml:space="preserve"> </w:t>
      </w:r>
      <w:r>
        <w:t>the</w:t>
      </w:r>
      <w:r>
        <w:rPr>
          <w:spacing w:val="-6"/>
        </w:rPr>
        <w:t xml:space="preserve"> </w:t>
      </w:r>
      <w:r>
        <w:t>loss</w:t>
      </w:r>
      <w:r>
        <w:rPr>
          <w:spacing w:val="-6"/>
        </w:rPr>
        <w:t xml:space="preserve"> </w:t>
      </w:r>
      <w:r>
        <w:t>of</w:t>
      </w:r>
      <w:r>
        <w:rPr>
          <w:spacing w:val="-6"/>
        </w:rPr>
        <w:t xml:space="preserve"> </w:t>
      </w:r>
      <w:r>
        <w:t>sample,</w:t>
      </w:r>
      <w:r>
        <w:rPr>
          <w:spacing w:val="-6"/>
        </w:rPr>
        <w:t xml:space="preserve"> </w:t>
      </w:r>
      <w:r>
        <w:t>it</w:t>
      </w:r>
      <w:r>
        <w:rPr>
          <w:spacing w:val="-6"/>
        </w:rPr>
        <w:t xml:space="preserve"> </w:t>
      </w:r>
      <w:r>
        <w:t>also</w:t>
      </w:r>
      <w:r>
        <w:rPr>
          <w:spacing w:val="-6"/>
        </w:rPr>
        <w:t xml:space="preserve"> </w:t>
      </w:r>
      <w:r>
        <w:t>increases</w:t>
      </w:r>
      <w:r>
        <w:rPr>
          <w:spacing w:val="-6"/>
        </w:rPr>
        <w:t xml:space="preserve"> </w:t>
      </w:r>
      <w:r>
        <w:t>variability</w:t>
      </w:r>
      <w:r>
        <w:rPr>
          <w:spacing w:val="-6"/>
        </w:rPr>
        <w:t xml:space="preserve"> </w:t>
      </w:r>
      <w:r>
        <w:t>among</w:t>
      </w:r>
      <w:r>
        <w:rPr>
          <w:spacing w:val="-6"/>
        </w:rPr>
        <w:t xml:space="preserve"> </w:t>
      </w:r>
      <w:r>
        <w:t>the</w:t>
      </w:r>
      <w:r>
        <w:rPr>
          <w:spacing w:val="-6"/>
        </w:rPr>
        <w:t xml:space="preserve"> </w:t>
      </w:r>
      <w:r>
        <w:t>survey</w:t>
      </w:r>
      <w:r>
        <w:rPr>
          <w:spacing w:val="-6"/>
        </w:rPr>
        <w:t xml:space="preserve"> </w:t>
      </w:r>
      <w:r>
        <w:t>weights</w:t>
      </w:r>
      <w:r>
        <w:rPr>
          <w:spacing w:val="-6"/>
        </w:rPr>
        <w:t xml:space="preserve"> </w:t>
      </w:r>
      <w:r>
        <w:t>leading</w:t>
      </w:r>
      <w:r>
        <w:rPr>
          <w:spacing w:val="-6"/>
        </w:rPr>
        <w:t xml:space="preserve"> </w:t>
      </w:r>
      <w:r>
        <w:t>to</w:t>
      </w:r>
      <w:r>
        <w:rPr>
          <w:spacing w:val="-6"/>
        </w:rPr>
        <w:t xml:space="preserve"> </w:t>
      </w:r>
      <w:r>
        <w:t>increased</w:t>
      </w:r>
      <w:r>
        <w:rPr>
          <w:spacing w:val="-6"/>
        </w:rPr>
        <w:t xml:space="preserve"> </w:t>
      </w:r>
      <w:r>
        <w:t>variances</w:t>
      </w:r>
      <w:r>
        <w:rPr>
          <w:spacing w:val="-6"/>
        </w:rPr>
        <w:t xml:space="preserve"> </w:t>
      </w:r>
      <w:r>
        <w:t>of</w:t>
      </w:r>
      <w:r>
        <w:rPr>
          <w:spacing w:val="-6"/>
        </w:rPr>
        <w:t xml:space="preserve"> </w:t>
      </w:r>
      <w:r>
        <w:t>the</w:t>
      </w:r>
      <w:r>
        <w:rPr>
          <w:spacing w:val="-6"/>
        </w:rPr>
        <w:t xml:space="preserve"> </w:t>
      </w:r>
      <w:r>
        <w:t>sample estimates. However, it is presumed that the reduction in bias more than compensates for the increase in the variance, thereby reducing the mean square error and thus improving the accuracy of survey estimates. Nonresponse adjustments are made in the NAEP</w:t>
      </w:r>
      <w:r>
        <w:rPr>
          <w:spacing w:val="-6"/>
        </w:rPr>
        <w:t xml:space="preserve"> </w:t>
      </w:r>
      <w:r>
        <w:t>surveys at both the school and the student levels: the responding (original and substitute) schools receive a weighting adjustment to compensate for nonresponding schools, and responding students receive a weighting adjustment to compensate for nonresponding students.</w:t>
      </w:r>
    </w:p>
    <w:p w:rsidR="003F5784" w14:paraId="386948BD" w14:textId="77777777">
      <w:pPr>
        <w:pStyle w:val="BodyText"/>
        <w:spacing w:before="96" w:line="232" w:lineRule="auto"/>
        <w:ind w:left="109"/>
      </w:pPr>
      <w:r>
        <w:br w:type="column"/>
      </w:r>
      <w:r>
        <w:rPr>
          <w:spacing w:val="-2"/>
        </w:rPr>
        <w:t>School</w:t>
      </w:r>
      <w:r>
        <w:rPr>
          <w:spacing w:val="-12"/>
        </w:rPr>
        <w:t xml:space="preserve"> </w:t>
      </w:r>
      <w:r>
        <w:rPr>
          <w:spacing w:val="-2"/>
        </w:rPr>
        <w:t>Nonresponse</w:t>
      </w:r>
      <w:r>
        <w:rPr>
          <w:spacing w:val="-11"/>
        </w:rPr>
        <w:t xml:space="preserve"> </w:t>
      </w:r>
      <w:r>
        <w:rPr>
          <w:spacing w:val="-2"/>
        </w:rPr>
        <w:t>Weight Adjustment</w:t>
      </w:r>
    </w:p>
    <w:p w:rsidR="003F5784" w14:paraId="3A183F4C" w14:textId="77777777">
      <w:pPr>
        <w:pStyle w:val="BodyText"/>
        <w:spacing w:before="209" w:line="232" w:lineRule="auto"/>
        <w:ind w:left="109"/>
      </w:pPr>
      <w:r>
        <w:rPr>
          <w:spacing w:val="-2"/>
        </w:rPr>
        <w:t>Student</w:t>
      </w:r>
      <w:r>
        <w:rPr>
          <w:spacing w:val="-12"/>
        </w:rPr>
        <w:t xml:space="preserve"> </w:t>
      </w:r>
      <w:r>
        <w:rPr>
          <w:spacing w:val="-2"/>
        </w:rPr>
        <w:t>Nonresponse</w:t>
      </w:r>
      <w:r>
        <w:rPr>
          <w:spacing w:val="-11"/>
        </w:rPr>
        <w:t xml:space="preserve"> </w:t>
      </w:r>
      <w:r>
        <w:rPr>
          <w:spacing w:val="-2"/>
        </w:rPr>
        <w:t>Weight Adjustment</w:t>
      </w:r>
    </w:p>
    <w:p w:rsidR="003F5784" w14:paraId="4F4108C5" w14:textId="77777777">
      <w:pPr>
        <w:spacing w:line="232" w:lineRule="auto"/>
        <w:sectPr>
          <w:type w:val="continuous"/>
          <w:pgSz w:w="15840" w:h="12240" w:orient="landscape"/>
          <w:pgMar w:top="480" w:right="440" w:bottom="460" w:left="460" w:header="284" w:footer="275" w:gutter="0"/>
          <w:cols w:num="2" w:space="720" w:equalWidth="0">
            <w:col w:w="11795" w:space="417"/>
            <w:col w:w="2728"/>
          </w:cols>
        </w:sectPr>
      </w:pPr>
    </w:p>
    <w:p w:rsidR="003F5784" w14:paraId="0CFA5652" w14:textId="74229F57">
      <w:pPr>
        <w:pStyle w:val="BodyText"/>
        <w:spacing w:before="211" w:line="232" w:lineRule="auto"/>
        <w:ind w:left="109"/>
      </w:pPr>
      <w:r>
        <w:t>The paradigm used for nonresponse adjustment in NAEP</w:t>
      </w:r>
      <w:r>
        <w:rPr>
          <w:spacing w:val="-7"/>
        </w:rPr>
        <w:t xml:space="preserve"> </w:t>
      </w:r>
      <w:r>
        <w:t>is the quasi-randomization approach (Oh and Scheuren, 1983). In this approach, school response cells are based on characteristics</w:t>
      </w:r>
      <w:r>
        <w:rPr>
          <w:spacing w:val="-6"/>
        </w:rPr>
        <w:t xml:space="preserve"> </w:t>
      </w:r>
      <w:r>
        <w:t>of</w:t>
      </w:r>
      <w:r>
        <w:rPr>
          <w:spacing w:val="-6"/>
        </w:rPr>
        <w:t xml:space="preserve"> </w:t>
      </w:r>
      <w:r>
        <w:t>schools</w:t>
      </w:r>
      <w:r>
        <w:rPr>
          <w:spacing w:val="-6"/>
        </w:rPr>
        <w:t xml:space="preserve"> </w:t>
      </w:r>
      <w:r>
        <w:t>known</w:t>
      </w:r>
      <w:r>
        <w:rPr>
          <w:spacing w:val="-6"/>
        </w:rPr>
        <w:t xml:space="preserve"> </w:t>
      </w:r>
      <w:r>
        <w:t>to</w:t>
      </w:r>
      <w:r>
        <w:rPr>
          <w:spacing w:val="-6"/>
        </w:rPr>
        <w:t xml:space="preserve"> </w:t>
      </w:r>
      <w:r>
        <w:t>be</w:t>
      </w:r>
      <w:r>
        <w:rPr>
          <w:spacing w:val="-6"/>
        </w:rPr>
        <w:t xml:space="preserve"> </w:t>
      </w:r>
      <w:r>
        <w:t>related</w:t>
      </w:r>
      <w:r>
        <w:rPr>
          <w:spacing w:val="-6"/>
        </w:rPr>
        <w:t xml:space="preserve"> </w:t>
      </w:r>
      <w:r>
        <w:t>to</w:t>
      </w:r>
      <w:r>
        <w:rPr>
          <w:spacing w:val="-6"/>
        </w:rPr>
        <w:t xml:space="preserve"> </w:t>
      </w:r>
      <w:r>
        <w:t>both</w:t>
      </w:r>
      <w:r>
        <w:rPr>
          <w:spacing w:val="-6"/>
        </w:rPr>
        <w:t xml:space="preserve"> </w:t>
      </w:r>
      <w:r>
        <w:t>response</w:t>
      </w:r>
      <w:r>
        <w:rPr>
          <w:spacing w:val="-6"/>
        </w:rPr>
        <w:t xml:space="preserve"> </w:t>
      </w:r>
      <w:r>
        <w:t>propensity</w:t>
      </w:r>
      <w:r>
        <w:rPr>
          <w:spacing w:val="-6"/>
        </w:rPr>
        <w:t xml:space="preserve"> </w:t>
      </w:r>
      <w:r>
        <w:t>and</w:t>
      </w:r>
      <w:r>
        <w:rPr>
          <w:spacing w:val="-6"/>
        </w:rPr>
        <w:t xml:space="preserve"> </w:t>
      </w:r>
      <w:r>
        <w:t>achievement</w:t>
      </w:r>
      <w:r>
        <w:rPr>
          <w:spacing w:val="-6"/>
        </w:rPr>
        <w:t xml:space="preserve"> </w:t>
      </w:r>
      <w:r>
        <w:t>level,</w:t>
      </w:r>
      <w:r>
        <w:rPr>
          <w:spacing w:val="-6"/>
        </w:rPr>
        <w:t xml:space="preserve"> </w:t>
      </w:r>
      <w:r>
        <w:t>such</w:t>
      </w:r>
      <w:r>
        <w:rPr>
          <w:spacing w:val="-6"/>
        </w:rPr>
        <w:t xml:space="preserve"> </w:t>
      </w:r>
      <w:r>
        <w:t>as</w:t>
      </w:r>
      <w:r>
        <w:rPr>
          <w:spacing w:val="-6"/>
        </w:rPr>
        <w:t xml:space="preserve"> </w:t>
      </w:r>
      <w:r>
        <w:t>the</w:t>
      </w:r>
      <w:r>
        <w:rPr>
          <w:spacing w:val="-6"/>
        </w:rPr>
        <w:t xml:space="preserve"> </w:t>
      </w:r>
      <w:r>
        <w:t>locale</w:t>
      </w:r>
      <w:r>
        <w:rPr>
          <w:spacing w:val="-6"/>
        </w:rPr>
        <w:t xml:space="preserve"> </w:t>
      </w:r>
      <w:r>
        <w:t>type</w:t>
      </w:r>
      <w:r>
        <w:rPr>
          <w:spacing w:val="-6"/>
        </w:rPr>
        <w:t xml:space="preserve"> </w:t>
      </w:r>
      <w:r>
        <w:t>(e.g.,</w:t>
      </w:r>
      <w:r>
        <w:rPr>
          <w:spacing w:val="-6"/>
        </w:rPr>
        <w:t xml:space="preserve"> </w:t>
      </w:r>
      <w:r>
        <w:t>large</w:t>
      </w:r>
      <w:r>
        <w:rPr>
          <w:spacing w:val="-6"/>
        </w:rPr>
        <w:t xml:space="preserve"> </w:t>
      </w:r>
      <w:r>
        <w:t>principal</w:t>
      </w:r>
      <w:r>
        <w:rPr>
          <w:spacing w:val="-6"/>
        </w:rPr>
        <w:t xml:space="preserve"> </w:t>
      </w:r>
      <w:r>
        <w:t>city</w:t>
      </w:r>
      <w:r>
        <w:rPr>
          <w:spacing w:val="-6"/>
        </w:rPr>
        <w:t xml:space="preserve"> </w:t>
      </w:r>
      <w:r>
        <w:t>of</w:t>
      </w:r>
      <w:r>
        <w:rPr>
          <w:spacing w:val="-6"/>
        </w:rPr>
        <w:t xml:space="preserve"> </w:t>
      </w:r>
      <w:r>
        <w:t>a</w:t>
      </w:r>
      <w:r>
        <w:rPr>
          <w:spacing w:val="-6"/>
        </w:rPr>
        <w:t xml:space="preserve"> </w:t>
      </w:r>
      <w:r>
        <w:t>metropolitan</w:t>
      </w:r>
      <w:r>
        <w:rPr>
          <w:spacing w:val="-6"/>
        </w:rPr>
        <w:t xml:space="preserve"> </w:t>
      </w:r>
      <w:r>
        <w:t>area)</w:t>
      </w:r>
      <w:r>
        <w:rPr>
          <w:spacing w:val="-6"/>
        </w:rPr>
        <w:t xml:space="preserve"> </w:t>
      </w:r>
      <w:r>
        <w:t>of</w:t>
      </w:r>
      <w:r>
        <w:rPr>
          <w:spacing w:val="-6"/>
        </w:rPr>
        <w:t xml:space="preserve"> </w:t>
      </w:r>
      <w:r>
        <w:t xml:space="preserve">the school. Likewise, student response cells are based on characteristics of the schools containing the students and student characteristics that are known to be related to both response propensity and achievement level, such as student race/ethnicity, </w:t>
      </w:r>
      <w:r w:rsidR="00B4162D">
        <w:t>sex</w:t>
      </w:r>
      <w:r>
        <w:t>, and age.</w:t>
      </w:r>
    </w:p>
    <w:p w:rsidR="003F5784" w14:paraId="7ACE38B7" w14:textId="77777777">
      <w:pPr>
        <w:pStyle w:val="BodyText"/>
        <w:spacing w:before="210" w:line="232" w:lineRule="auto"/>
        <w:ind w:left="109" w:right="179"/>
      </w:pPr>
      <w:r>
        <w:t>Under this approach, sample members are assigned to mutually exclusive and exhaustive response cells based on predetermined characteristics.</w:t>
      </w:r>
      <w:r>
        <w:rPr>
          <w:spacing w:val="-10"/>
        </w:rPr>
        <w:t xml:space="preserve"> </w:t>
      </w:r>
      <w:r>
        <w:t>A</w:t>
      </w:r>
      <w:r>
        <w:rPr>
          <w:spacing w:val="-10"/>
        </w:rPr>
        <w:t xml:space="preserve"> </w:t>
      </w:r>
      <w:r>
        <w:t>nonresponse adjustment factor is calculated for each cell as the ratio of the sum of adjusted base weights for all eligible units to the sum of adjusted base weights for all responding units.</w:t>
      </w:r>
      <w:r>
        <w:rPr>
          <w:spacing w:val="-3"/>
        </w:rPr>
        <w:t xml:space="preserve"> </w:t>
      </w:r>
      <w:r>
        <w:t>The nonresponse</w:t>
      </w:r>
      <w:r>
        <w:rPr>
          <w:spacing w:val="-6"/>
        </w:rPr>
        <w:t xml:space="preserve"> </w:t>
      </w:r>
      <w:r>
        <w:t>adjustment</w:t>
      </w:r>
      <w:r>
        <w:rPr>
          <w:spacing w:val="-6"/>
        </w:rPr>
        <w:t xml:space="preserve"> </w:t>
      </w:r>
      <w:r>
        <w:t>factor</w:t>
      </w:r>
      <w:r>
        <w:rPr>
          <w:spacing w:val="-6"/>
        </w:rPr>
        <w:t xml:space="preserve"> </w:t>
      </w:r>
      <w:r>
        <w:t>is</w:t>
      </w:r>
      <w:r>
        <w:rPr>
          <w:spacing w:val="-6"/>
        </w:rPr>
        <w:t xml:space="preserve"> </w:t>
      </w:r>
      <w:r>
        <w:t>then</w:t>
      </w:r>
      <w:r>
        <w:rPr>
          <w:spacing w:val="-6"/>
        </w:rPr>
        <w:t xml:space="preserve"> </w:t>
      </w:r>
      <w:r>
        <w:t>applied</w:t>
      </w:r>
      <w:r>
        <w:rPr>
          <w:spacing w:val="-6"/>
        </w:rPr>
        <w:t xml:space="preserve"> </w:t>
      </w:r>
      <w:r>
        <w:t>to</w:t>
      </w:r>
      <w:r>
        <w:rPr>
          <w:spacing w:val="-6"/>
        </w:rPr>
        <w:t xml:space="preserve"> </w:t>
      </w:r>
      <w:r>
        <w:t>the</w:t>
      </w:r>
      <w:r>
        <w:rPr>
          <w:spacing w:val="-6"/>
        </w:rPr>
        <w:t xml:space="preserve"> </w:t>
      </w:r>
      <w:r>
        <w:t>base</w:t>
      </w:r>
      <w:r>
        <w:rPr>
          <w:spacing w:val="-6"/>
        </w:rPr>
        <w:t xml:space="preserve"> </w:t>
      </w:r>
      <w:r>
        <w:t>weight</w:t>
      </w:r>
      <w:r>
        <w:rPr>
          <w:spacing w:val="-6"/>
        </w:rPr>
        <w:t xml:space="preserve"> </w:t>
      </w:r>
      <w:r>
        <w:t>of</w:t>
      </w:r>
      <w:r>
        <w:rPr>
          <w:spacing w:val="-6"/>
        </w:rPr>
        <w:t xml:space="preserve"> </w:t>
      </w:r>
      <w:r>
        <w:t>each</w:t>
      </w:r>
      <w:r>
        <w:rPr>
          <w:spacing w:val="-6"/>
        </w:rPr>
        <w:t xml:space="preserve"> </w:t>
      </w:r>
      <w:r>
        <w:t>responding</w:t>
      </w:r>
      <w:r>
        <w:rPr>
          <w:spacing w:val="-6"/>
        </w:rPr>
        <w:t xml:space="preserve"> </w:t>
      </w:r>
      <w:r>
        <w:t>unit.</w:t>
      </w:r>
      <w:r>
        <w:rPr>
          <w:spacing w:val="-6"/>
        </w:rPr>
        <w:t xml:space="preserve"> </w:t>
      </w:r>
      <w:r>
        <w:t>In</w:t>
      </w:r>
      <w:r>
        <w:rPr>
          <w:spacing w:val="-6"/>
        </w:rPr>
        <w:t xml:space="preserve"> </w:t>
      </w:r>
      <w:r>
        <w:t>this</w:t>
      </w:r>
      <w:r>
        <w:rPr>
          <w:spacing w:val="-6"/>
        </w:rPr>
        <w:t xml:space="preserve"> </w:t>
      </w:r>
      <w:r>
        <w:t>way,</w:t>
      </w:r>
      <w:r>
        <w:rPr>
          <w:spacing w:val="-6"/>
        </w:rPr>
        <w:t xml:space="preserve"> </w:t>
      </w:r>
      <w:r>
        <w:t>the</w:t>
      </w:r>
      <w:r>
        <w:rPr>
          <w:spacing w:val="-6"/>
        </w:rPr>
        <w:t xml:space="preserve"> </w:t>
      </w:r>
      <w:r>
        <w:t>weights</w:t>
      </w:r>
      <w:r>
        <w:rPr>
          <w:spacing w:val="-6"/>
        </w:rPr>
        <w:t xml:space="preserve"> </w:t>
      </w:r>
      <w:r>
        <w:t>of</w:t>
      </w:r>
      <w:r>
        <w:rPr>
          <w:spacing w:val="-6"/>
        </w:rPr>
        <w:t xml:space="preserve"> </w:t>
      </w:r>
      <w:r>
        <w:t>responding</w:t>
      </w:r>
      <w:r>
        <w:rPr>
          <w:spacing w:val="-6"/>
        </w:rPr>
        <w:t xml:space="preserve"> </w:t>
      </w:r>
      <w:r>
        <w:t>units</w:t>
      </w:r>
      <w:r>
        <w:rPr>
          <w:spacing w:val="-6"/>
        </w:rPr>
        <w:t xml:space="preserve"> </w:t>
      </w:r>
      <w:r>
        <w:t>in</w:t>
      </w:r>
      <w:r>
        <w:rPr>
          <w:spacing w:val="-6"/>
        </w:rPr>
        <w:t xml:space="preserve"> </w:t>
      </w:r>
      <w:r>
        <w:t>the</w:t>
      </w:r>
      <w:r>
        <w:rPr>
          <w:spacing w:val="-6"/>
        </w:rPr>
        <w:t xml:space="preserve"> </w:t>
      </w:r>
      <w:r>
        <w:t>cell</w:t>
      </w:r>
      <w:r>
        <w:rPr>
          <w:spacing w:val="-6"/>
        </w:rPr>
        <w:t xml:space="preserve"> </w:t>
      </w:r>
      <w:r>
        <w:t>are</w:t>
      </w:r>
      <w:r>
        <w:rPr>
          <w:spacing w:val="-6"/>
        </w:rPr>
        <w:t xml:space="preserve"> </w:t>
      </w:r>
      <w:r>
        <w:t>"weighted</w:t>
      </w:r>
      <w:r>
        <w:rPr>
          <w:spacing w:val="-6"/>
        </w:rPr>
        <w:t xml:space="preserve"> </w:t>
      </w:r>
      <w:r>
        <w:t>up"</w:t>
      </w:r>
      <w:r>
        <w:rPr>
          <w:spacing w:val="-6"/>
        </w:rPr>
        <w:t xml:space="preserve"> </w:t>
      </w:r>
      <w:r>
        <w:t>to</w:t>
      </w:r>
      <w:r>
        <w:rPr>
          <w:spacing w:val="-6"/>
        </w:rPr>
        <w:t xml:space="preserve"> </w:t>
      </w:r>
      <w:r>
        <w:t>represent the full set of responding and nonresponding units in the response cell.</w:t>
      </w:r>
    </w:p>
    <w:p w:rsidR="003F5784" w14:paraId="5462B5C5" w14:textId="77777777">
      <w:pPr>
        <w:pStyle w:val="BodyText"/>
        <w:spacing w:before="210" w:line="232" w:lineRule="auto"/>
        <w:ind w:left="109"/>
      </w:pPr>
      <w:r>
        <w:t>The</w:t>
      </w:r>
      <w:r>
        <w:rPr>
          <w:spacing w:val="-7"/>
        </w:rPr>
        <w:t xml:space="preserve"> </w:t>
      </w:r>
      <w:r>
        <w:t>quasi-randomization</w:t>
      </w:r>
      <w:r>
        <w:rPr>
          <w:spacing w:val="-7"/>
        </w:rPr>
        <w:t xml:space="preserve"> </w:t>
      </w:r>
      <w:r>
        <w:t>paradigm</w:t>
      </w:r>
      <w:r>
        <w:rPr>
          <w:spacing w:val="-7"/>
        </w:rPr>
        <w:t xml:space="preserve"> </w:t>
      </w:r>
      <w:r>
        <w:t>views</w:t>
      </w:r>
      <w:r>
        <w:rPr>
          <w:spacing w:val="-7"/>
        </w:rPr>
        <w:t xml:space="preserve"> </w:t>
      </w:r>
      <w:r>
        <w:t>nonresponse</w:t>
      </w:r>
      <w:r>
        <w:rPr>
          <w:spacing w:val="-7"/>
        </w:rPr>
        <w:t xml:space="preserve"> </w:t>
      </w:r>
      <w:r>
        <w:t>as</w:t>
      </w:r>
      <w:r>
        <w:rPr>
          <w:spacing w:val="-7"/>
        </w:rPr>
        <w:t xml:space="preserve"> </w:t>
      </w:r>
      <w:r>
        <w:t>another</w:t>
      </w:r>
      <w:r>
        <w:rPr>
          <w:spacing w:val="-7"/>
        </w:rPr>
        <w:t xml:space="preserve"> </w:t>
      </w:r>
      <w:r>
        <w:t>stage</w:t>
      </w:r>
      <w:r>
        <w:rPr>
          <w:spacing w:val="-7"/>
        </w:rPr>
        <w:t xml:space="preserve"> </w:t>
      </w:r>
      <w:r>
        <w:t>of</w:t>
      </w:r>
      <w:r>
        <w:rPr>
          <w:spacing w:val="-7"/>
        </w:rPr>
        <w:t xml:space="preserve"> </w:t>
      </w:r>
      <w:r>
        <w:t>sampling.</w:t>
      </w:r>
      <w:r>
        <w:rPr>
          <w:spacing w:val="-11"/>
        </w:rPr>
        <w:t xml:space="preserve"> </w:t>
      </w:r>
      <w:r>
        <w:t>Within</w:t>
      </w:r>
      <w:r>
        <w:rPr>
          <w:spacing w:val="-7"/>
        </w:rPr>
        <w:t xml:space="preserve"> </w:t>
      </w:r>
      <w:r>
        <w:t>each</w:t>
      </w:r>
      <w:r>
        <w:rPr>
          <w:spacing w:val="-7"/>
        </w:rPr>
        <w:t xml:space="preserve"> </w:t>
      </w:r>
      <w:r>
        <w:t>nonresponse</w:t>
      </w:r>
      <w:r>
        <w:rPr>
          <w:spacing w:val="-7"/>
        </w:rPr>
        <w:t xml:space="preserve"> </w:t>
      </w:r>
      <w:r>
        <w:t>cell,</w:t>
      </w:r>
      <w:r>
        <w:rPr>
          <w:spacing w:val="-7"/>
        </w:rPr>
        <w:t xml:space="preserve"> </w:t>
      </w:r>
      <w:r>
        <w:t>the</w:t>
      </w:r>
      <w:r>
        <w:rPr>
          <w:spacing w:val="-7"/>
        </w:rPr>
        <w:t xml:space="preserve"> </w:t>
      </w:r>
      <w:r>
        <w:t>paradigm</w:t>
      </w:r>
      <w:r>
        <w:rPr>
          <w:spacing w:val="-7"/>
        </w:rPr>
        <w:t xml:space="preserve"> </w:t>
      </w:r>
      <w:r>
        <w:t>assumes</w:t>
      </w:r>
      <w:r>
        <w:rPr>
          <w:spacing w:val="-7"/>
        </w:rPr>
        <w:t xml:space="preserve"> </w:t>
      </w:r>
      <w:r>
        <w:t>that</w:t>
      </w:r>
      <w:r>
        <w:rPr>
          <w:spacing w:val="-7"/>
        </w:rPr>
        <w:t xml:space="preserve"> </w:t>
      </w:r>
      <w:r>
        <w:t>the</w:t>
      </w:r>
      <w:r>
        <w:rPr>
          <w:spacing w:val="-7"/>
        </w:rPr>
        <w:t xml:space="preserve"> </w:t>
      </w:r>
      <w:r>
        <w:t>responding</w:t>
      </w:r>
      <w:r>
        <w:rPr>
          <w:spacing w:val="-7"/>
        </w:rPr>
        <w:t xml:space="preserve"> </w:t>
      </w:r>
      <w:r>
        <w:t>sample</w:t>
      </w:r>
      <w:r>
        <w:rPr>
          <w:spacing w:val="-7"/>
        </w:rPr>
        <w:t xml:space="preserve"> </w:t>
      </w:r>
      <w:r>
        <w:t>units</w:t>
      </w:r>
      <w:r>
        <w:rPr>
          <w:spacing w:val="-7"/>
        </w:rPr>
        <w:t xml:space="preserve"> </w:t>
      </w:r>
      <w:r>
        <w:t>are</w:t>
      </w:r>
      <w:r>
        <w:rPr>
          <w:spacing w:val="-7"/>
        </w:rPr>
        <w:t xml:space="preserve"> </w:t>
      </w:r>
      <w:r>
        <w:t>a simple</w:t>
      </w:r>
      <w:r>
        <w:rPr>
          <w:spacing w:val="-5"/>
        </w:rPr>
        <w:t xml:space="preserve"> </w:t>
      </w:r>
      <w:r>
        <w:t>random</w:t>
      </w:r>
      <w:r>
        <w:rPr>
          <w:spacing w:val="-5"/>
        </w:rPr>
        <w:t xml:space="preserve"> </w:t>
      </w:r>
      <w:r>
        <w:t>sample</w:t>
      </w:r>
      <w:r>
        <w:rPr>
          <w:spacing w:val="-5"/>
        </w:rPr>
        <w:t xml:space="preserve"> </w:t>
      </w:r>
      <w:r>
        <w:t>from</w:t>
      </w:r>
      <w:r>
        <w:rPr>
          <w:spacing w:val="-5"/>
        </w:rPr>
        <w:t xml:space="preserve"> </w:t>
      </w:r>
      <w:r>
        <w:t>the</w:t>
      </w:r>
      <w:r>
        <w:rPr>
          <w:spacing w:val="-5"/>
        </w:rPr>
        <w:t xml:space="preserve"> </w:t>
      </w:r>
      <w:r>
        <w:t>total</w:t>
      </w:r>
      <w:r>
        <w:rPr>
          <w:spacing w:val="-5"/>
        </w:rPr>
        <w:t xml:space="preserve"> </w:t>
      </w:r>
      <w:r>
        <w:t>set</w:t>
      </w:r>
      <w:r>
        <w:rPr>
          <w:spacing w:val="-5"/>
        </w:rPr>
        <w:t xml:space="preserve"> </w:t>
      </w:r>
      <w:r>
        <w:t>of</w:t>
      </w:r>
      <w:r>
        <w:rPr>
          <w:spacing w:val="-5"/>
        </w:rPr>
        <w:t xml:space="preserve"> </w:t>
      </w:r>
      <w:r>
        <w:t>all</w:t>
      </w:r>
      <w:r>
        <w:rPr>
          <w:spacing w:val="-5"/>
        </w:rPr>
        <w:t xml:space="preserve"> </w:t>
      </w:r>
      <w:r>
        <w:t>sample</w:t>
      </w:r>
      <w:r>
        <w:rPr>
          <w:spacing w:val="-5"/>
        </w:rPr>
        <w:t xml:space="preserve"> </w:t>
      </w:r>
      <w:r>
        <w:t>units.</w:t>
      </w:r>
      <w:r>
        <w:rPr>
          <w:spacing w:val="-5"/>
        </w:rPr>
        <w:t xml:space="preserve"> </w:t>
      </w:r>
      <w:r>
        <w:t>If</w:t>
      </w:r>
      <w:r>
        <w:rPr>
          <w:spacing w:val="-5"/>
        </w:rPr>
        <w:t xml:space="preserve"> </w:t>
      </w:r>
      <w:r>
        <w:t>this</w:t>
      </w:r>
      <w:r>
        <w:rPr>
          <w:spacing w:val="-5"/>
        </w:rPr>
        <w:t xml:space="preserve"> </w:t>
      </w:r>
      <w:r>
        <w:t>model</w:t>
      </w:r>
      <w:r>
        <w:rPr>
          <w:spacing w:val="-5"/>
        </w:rPr>
        <w:t xml:space="preserve"> </w:t>
      </w:r>
      <w:r>
        <w:t>is</w:t>
      </w:r>
      <w:r>
        <w:rPr>
          <w:spacing w:val="-5"/>
        </w:rPr>
        <w:t xml:space="preserve"> </w:t>
      </w:r>
      <w:r>
        <w:t>valid,</w:t>
      </w:r>
      <w:r>
        <w:rPr>
          <w:spacing w:val="-5"/>
        </w:rPr>
        <w:t xml:space="preserve"> </w:t>
      </w:r>
      <w:r>
        <w:t>then</w:t>
      </w:r>
      <w:r>
        <w:rPr>
          <w:spacing w:val="-5"/>
        </w:rPr>
        <w:t xml:space="preserve"> </w:t>
      </w:r>
      <w:r>
        <w:t>the</w:t>
      </w:r>
      <w:r>
        <w:rPr>
          <w:spacing w:val="-5"/>
        </w:rPr>
        <w:t xml:space="preserve"> </w:t>
      </w:r>
      <w:r>
        <w:t>use</w:t>
      </w:r>
      <w:r>
        <w:rPr>
          <w:spacing w:val="-5"/>
        </w:rPr>
        <w:t xml:space="preserve"> </w:t>
      </w:r>
      <w:r>
        <w:t>of</w:t>
      </w:r>
      <w:r>
        <w:rPr>
          <w:spacing w:val="-5"/>
        </w:rPr>
        <w:t xml:space="preserve"> </w:t>
      </w:r>
      <w:r>
        <w:t>the</w:t>
      </w:r>
      <w:r>
        <w:rPr>
          <w:spacing w:val="-5"/>
        </w:rPr>
        <w:t xml:space="preserve"> </w:t>
      </w:r>
      <w:r>
        <w:t>quasi-randomization</w:t>
      </w:r>
      <w:r>
        <w:rPr>
          <w:spacing w:val="-5"/>
        </w:rPr>
        <w:t xml:space="preserve"> </w:t>
      </w:r>
      <w:r>
        <w:t>weighting</w:t>
      </w:r>
      <w:r>
        <w:rPr>
          <w:spacing w:val="-5"/>
        </w:rPr>
        <w:t xml:space="preserve"> </w:t>
      </w:r>
      <w:r>
        <w:t>adjustment</w:t>
      </w:r>
      <w:r>
        <w:rPr>
          <w:spacing w:val="-5"/>
        </w:rPr>
        <w:t xml:space="preserve"> </w:t>
      </w:r>
      <w:r>
        <w:t>will</w:t>
      </w:r>
      <w:r>
        <w:rPr>
          <w:spacing w:val="-5"/>
        </w:rPr>
        <w:t xml:space="preserve"> </w:t>
      </w:r>
      <w:r>
        <w:t>eliminate</w:t>
      </w:r>
      <w:r>
        <w:rPr>
          <w:spacing w:val="-5"/>
        </w:rPr>
        <w:t xml:space="preserve"> </w:t>
      </w:r>
      <w:r>
        <w:t>any</w:t>
      </w:r>
      <w:r>
        <w:rPr>
          <w:spacing w:val="-5"/>
        </w:rPr>
        <w:t xml:space="preserve"> </w:t>
      </w:r>
      <w:r>
        <w:t>nonresponse bias. Even if this model is not valid, the weighting adjustments can eliminate bias if the achievement scores are homogeneous within the response cells. See, for example, chapter 4 of Little and Rubin (1987).</w:t>
      </w:r>
    </w:p>
    <w:p w:rsidR="003F5784" w14:paraId="69E438FB" w14:textId="77777777">
      <w:pPr>
        <w:spacing w:line="232" w:lineRule="auto"/>
        <w:sectPr>
          <w:type w:val="continuous"/>
          <w:pgSz w:w="15840" w:h="12240" w:orient="landscape"/>
          <w:pgMar w:top="480" w:right="440" w:bottom="460" w:left="460" w:header="284" w:footer="275" w:gutter="0"/>
          <w:cols w:space="720"/>
        </w:sectPr>
      </w:pPr>
    </w:p>
    <w:p w:rsidR="003F5784" w14:paraId="736ADD08" w14:textId="77777777">
      <w:pPr>
        <w:spacing w:before="87"/>
        <w:ind w:left="3967"/>
        <w:rPr>
          <w:sz w:val="18"/>
        </w:rPr>
      </w:pPr>
      <w:hyperlink r:id="rId412">
        <w:r>
          <w:rPr>
            <w:spacing w:val="-2"/>
            <w:w w:val="105"/>
            <w:sz w:val="18"/>
          </w:rPr>
          <w:t>http://nces.ed.gov/nationsreportcard/tdw/weighting/2022/school_and_student_nonresponse_weight_adjustments_for_the_2022_assessment.aspx</w:t>
        </w:r>
      </w:hyperlink>
    </w:p>
    <w:p w:rsidR="003F5784" w14:paraId="65AE72AA" w14:textId="77777777">
      <w:pPr>
        <w:pStyle w:val="BodyText"/>
        <w:spacing w:before="11"/>
        <w:rPr>
          <w:sz w:val="14"/>
        </w:rPr>
      </w:pPr>
      <w:r>
        <w:rPr>
          <w:noProof/>
        </w:rPr>
        <mc:AlternateContent>
          <mc:Choice Requires="wps">
            <w:drawing>
              <wp:anchor distT="0" distB="0" distL="0" distR="0" simplePos="0" relativeHeight="251978752" behindDoc="1" locked="0" layoutInCell="1" allowOverlap="1">
                <wp:simplePos x="0" y="0"/>
                <wp:positionH relativeFrom="page">
                  <wp:posOffset>361937</wp:posOffset>
                </wp:positionH>
                <wp:positionV relativeFrom="paragraph">
                  <wp:posOffset>124581</wp:posOffset>
                </wp:positionV>
                <wp:extent cx="9339580" cy="8890"/>
                <wp:effectExtent l="0" t="0" r="0" b="0"/>
                <wp:wrapTopAndBottom/>
                <wp:docPr id="517" name="Graphic 517"/>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38"/>
                              </a:moveTo>
                              <a:lnTo>
                                <a:pt x="9335110" y="38"/>
                              </a:lnTo>
                              <a:lnTo>
                                <a:pt x="8280" y="38"/>
                              </a:lnTo>
                              <a:lnTo>
                                <a:pt x="0" y="0"/>
                              </a:lnTo>
                              <a:lnTo>
                                <a:pt x="0" y="8280"/>
                              </a:lnTo>
                              <a:lnTo>
                                <a:pt x="9335110" y="8318"/>
                              </a:lnTo>
                              <a:lnTo>
                                <a:pt x="9338970" y="8318"/>
                              </a:lnTo>
                              <a:lnTo>
                                <a:pt x="9338970" y="38"/>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17" o:spid="_x0000_s1171" style="width:735.4pt;height:0.7pt;margin-top:9.8pt;margin-left:28.5pt;mso-position-horizontal-relative:page;mso-wrap-distance-bottom:0;mso-wrap-distance-left:0;mso-wrap-distance-right:0;mso-wrap-distance-top:0;mso-wrap-style:square;position:absolute;visibility:visible;v-text-anchor:top;z-index:-251336704" coordsize="9339580,8890" path="m9338970,38l9335110,38l8280,38,,,,8280l9335110,8318l9338970,8318l9338970,38xe" fillcolor="gray" stroked="f">
                <v:path arrowok="t"/>
                <w10:wrap type="topAndBottom"/>
              </v:shape>
            </w:pict>
          </mc:Fallback>
        </mc:AlternateContent>
      </w:r>
    </w:p>
    <w:p w:rsidR="003F5784" w14:paraId="7071E036" w14:textId="77777777">
      <w:pPr>
        <w:pStyle w:val="BodyText"/>
        <w:rPr>
          <w:sz w:val="18"/>
        </w:rPr>
      </w:pPr>
    </w:p>
    <w:p w:rsidR="003F5784" w14:paraId="5BB36C81" w14:textId="77777777">
      <w:pPr>
        <w:pStyle w:val="BodyText"/>
        <w:spacing w:before="206"/>
        <w:rPr>
          <w:sz w:val="18"/>
        </w:rPr>
      </w:pPr>
    </w:p>
    <w:p w:rsidR="003F5784" w14:paraId="0D56787E" w14:textId="1551606C">
      <w:pPr>
        <w:pStyle w:val="Heading1"/>
      </w:pPr>
      <w:r>
        <w:t>NAEP</w:t>
      </w:r>
      <w:r>
        <w:rPr>
          <w:spacing w:val="-25"/>
        </w:rPr>
        <w:t xml:space="preserve"> </w:t>
      </w:r>
      <w:r>
        <w:t>Technical</w:t>
      </w:r>
      <w:r>
        <w:rPr>
          <w:spacing w:val="9"/>
        </w:rPr>
        <w:t xml:space="preserve"> </w:t>
      </w:r>
      <w:r>
        <w:t>Documentation</w:t>
      </w:r>
      <w:r w:rsidR="00E3225D">
        <w:t xml:space="preserve"> </w:t>
      </w:r>
      <w:r>
        <w:t>School</w:t>
      </w:r>
      <w:r>
        <w:rPr>
          <w:spacing w:val="8"/>
        </w:rPr>
        <w:t xml:space="preserve"> </w:t>
      </w:r>
      <w:r>
        <w:t>Nonresponse Weight</w:t>
      </w:r>
      <w:r>
        <w:rPr>
          <w:spacing w:val="-16"/>
        </w:rPr>
        <w:t xml:space="preserve"> </w:t>
      </w:r>
      <w:r>
        <w:rPr>
          <w:spacing w:val="-2"/>
        </w:rPr>
        <w:t>Adjustment</w:t>
      </w:r>
    </w:p>
    <w:p w:rsidR="003F5784" w14:paraId="49593544" w14:textId="77777777">
      <w:pPr>
        <w:pStyle w:val="BodyText"/>
        <w:spacing w:before="2"/>
        <w:rPr>
          <w:b/>
          <w:sz w:val="16"/>
        </w:rPr>
      </w:pPr>
    </w:p>
    <w:p w:rsidR="003F5784" w14:paraId="7E5D5415" w14:textId="77777777">
      <w:pPr>
        <w:rPr>
          <w:sz w:val="16"/>
        </w:rPr>
        <w:sectPr>
          <w:pgSz w:w="15840" w:h="12240" w:orient="landscape"/>
          <w:pgMar w:top="480" w:right="440" w:bottom="460" w:left="460" w:header="284" w:footer="275" w:gutter="0"/>
          <w:cols w:space="720"/>
        </w:sectPr>
      </w:pPr>
    </w:p>
    <w:p w:rsidR="003F5784" w14:paraId="5D6F966C" w14:textId="77777777">
      <w:pPr>
        <w:pStyle w:val="BodyText"/>
        <w:spacing w:before="96" w:line="232" w:lineRule="auto"/>
        <w:ind w:left="109"/>
      </w:pPr>
      <w:r>
        <w:t>The school nonresponse adjustment procedure inflates the weights of cooperating schools to account for eligible noncooperating schools for</w:t>
      </w:r>
      <w:r>
        <w:rPr>
          <w:spacing w:val="-7"/>
        </w:rPr>
        <w:t xml:space="preserve"> </w:t>
      </w:r>
      <w:r>
        <w:t>which</w:t>
      </w:r>
      <w:r>
        <w:rPr>
          <w:spacing w:val="-7"/>
        </w:rPr>
        <w:t xml:space="preserve"> </w:t>
      </w:r>
      <w:r>
        <w:t>no</w:t>
      </w:r>
      <w:r>
        <w:rPr>
          <w:spacing w:val="-7"/>
        </w:rPr>
        <w:t xml:space="preserve"> </w:t>
      </w:r>
      <w:r>
        <w:t>substitute</w:t>
      </w:r>
      <w:r>
        <w:rPr>
          <w:spacing w:val="-7"/>
        </w:rPr>
        <w:t xml:space="preserve"> </w:t>
      </w:r>
      <w:r>
        <w:t>schools</w:t>
      </w:r>
      <w:r>
        <w:rPr>
          <w:spacing w:val="-7"/>
        </w:rPr>
        <w:t xml:space="preserve"> </w:t>
      </w:r>
      <w:r>
        <w:t>participated.</w:t>
      </w:r>
      <w:r>
        <w:rPr>
          <w:spacing w:val="-10"/>
        </w:rPr>
        <w:t xml:space="preserve"> </w:t>
      </w:r>
      <w:r>
        <w:t>The</w:t>
      </w:r>
      <w:r>
        <w:rPr>
          <w:spacing w:val="-7"/>
        </w:rPr>
        <w:t xml:space="preserve"> </w:t>
      </w:r>
      <w:r>
        <w:t>adjustments</w:t>
      </w:r>
      <w:r>
        <w:rPr>
          <w:spacing w:val="-7"/>
        </w:rPr>
        <w:t xml:space="preserve"> </w:t>
      </w:r>
      <w:r>
        <w:t>are</w:t>
      </w:r>
      <w:r>
        <w:rPr>
          <w:spacing w:val="-7"/>
        </w:rPr>
        <w:t xml:space="preserve"> </w:t>
      </w:r>
      <w:r>
        <w:t>computed</w:t>
      </w:r>
      <w:r>
        <w:rPr>
          <w:spacing w:val="-7"/>
        </w:rPr>
        <w:t xml:space="preserve"> </w:t>
      </w:r>
      <w:r>
        <w:t>within</w:t>
      </w:r>
      <w:r>
        <w:rPr>
          <w:spacing w:val="-7"/>
        </w:rPr>
        <w:t xml:space="preserve"> </w:t>
      </w:r>
      <w:r>
        <w:t>nonresponse</w:t>
      </w:r>
      <w:r>
        <w:rPr>
          <w:spacing w:val="-7"/>
        </w:rPr>
        <w:t xml:space="preserve"> </w:t>
      </w:r>
      <w:r>
        <w:t>cells</w:t>
      </w:r>
      <w:r>
        <w:rPr>
          <w:spacing w:val="-7"/>
        </w:rPr>
        <w:t xml:space="preserve"> </w:t>
      </w:r>
      <w:r>
        <w:t>and</w:t>
      </w:r>
      <w:r>
        <w:rPr>
          <w:spacing w:val="-7"/>
        </w:rPr>
        <w:t xml:space="preserve"> </w:t>
      </w:r>
      <w:r>
        <w:t>are</w:t>
      </w:r>
      <w:r>
        <w:rPr>
          <w:spacing w:val="-7"/>
        </w:rPr>
        <w:t xml:space="preserve"> </w:t>
      </w:r>
      <w:r>
        <w:t>based</w:t>
      </w:r>
      <w:r>
        <w:rPr>
          <w:spacing w:val="-7"/>
        </w:rPr>
        <w:t xml:space="preserve"> </w:t>
      </w:r>
      <w:r>
        <w:t>on</w:t>
      </w:r>
      <w:r>
        <w:rPr>
          <w:spacing w:val="-7"/>
        </w:rPr>
        <w:t xml:space="preserve"> </w:t>
      </w:r>
      <w:r>
        <w:t>the</w:t>
      </w:r>
      <w:r>
        <w:rPr>
          <w:spacing w:val="-7"/>
        </w:rPr>
        <w:t xml:space="preserve"> </w:t>
      </w:r>
      <w:r>
        <w:t>assumption</w:t>
      </w:r>
      <w:r>
        <w:rPr>
          <w:spacing w:val="-7"/>
        </w:rPr>
        <w:t xml:space="preserve"> </w:t>
      </w:r>
      <w:r>
        <w:t>that the cooperating and noncooperating schools within the same cell are more similar to each other than to schools from different cells.</w:t>
      </w:r>
    </w:p>
    <w:p w:rsidR="003F5784" w14:paraId="1CEAA38C" w14:textId="77777777">
      <w:pPr>
        <w:pStyle w:val="BodyText"/>
        <w:spacing w:line="237" w:lineRule="exact"/>
        <w:ind w:left="109"/>
      </w:pPr>
      <w:r>
        <w:t>School</w:t>
      </w:r>
      <w:r>
        <w:rPr>
          <w:spacing w:val="-7"/>
        </w:rPr>
        <w:t xml:space="preserve"> </w:t>
      </w:r>
      <w:r>
        <w:t>nonresponse</w:t>
      </w:r>
      <w:r>
        <w:rPr>
          <w:spacing w:val="-7"/>
        </w:rPr>
        <w:t xml:space="preserve"> </w:t>
      </w:r>
      <w:r>
        <w:t>adjustments</w:t>
      </w:r>
      <w:r>
        <w:rPr>
          <w:spacing w:val="-6"/>
        </w:rPr>
        <w:t xml:space="preserve"> </w:t>
      </w:r>
      <w:r>
        <w:t>were</w:t>
      </w:r>
      <w:r>
        <w:rPr>
          <w:spacing w:val="-7"/>
        </w:rPr>
        <w:t xml:space="preserve"> </w:t>
      </w:r>
      <w:r>
        <w:t>carried</w:t>
      </w:r>
      <w:r>
        <w:rPr>
          <w:spacing w:val="-6"/>
        </w:rPr>
        <w:t xml:space="preserve"> </w:t>
      </w:r>
      <w:r>
        <w:t>out</w:t>
      </w:r>
      <w:r>
        <w:rPr>
          <w:spacing w:val="-7"/>
        </w:rPr>
        <w:t xml:space="preserve"> </w:t>
      </w:r>
      <w:r>
        <w:t>separately</w:t>
      </w:r>
      <w:r>
        <w:rPr>
          <w:spacing w:val="-6"/>
        </w:rPr>
        <w:t xml:space="preserve"> </w:t>
      </w:r>
      <w:r>
        <w:t>by</w:t>
      </w:r>
      <w:r>
        <w:rPr>
          <w:spacing w:val="-7"/>
        </w:rPr>
        <w:t xml:space="preserve"> </w:t>
      </w:r>
      <w:r>
        <w:t>sample;</w:t>
      </w:r>
      <w:r>
        <w:rPr>
          <w:spacing w:val="-7"/>
        </w:rPr>
        <w:t xml:space="preserve"> </w:t>
      </w:r>
      <w:r>
        <w:t>that</w:t>
      </w:r>
      <w:r>
        <w:rPr>
          <w:spacing w:val="-6"/>
        </w:rPr>
        <w:t xml:space="preserve"> </w:t>
      </w:r>
      <w:r>
        <w:t>is,</w:t>
      </w:r>
      <w:r>
        <w:rPr>
          <w:spacing w:val="-7"/>
        </w:rPr>
        <w:t xml:space="preserve"> </w:t>
      </w:r>
      <w:r>
        <w:rPr>
          <w:spacing w:val="-5"/>
        </w:rPr>
        <w:t>by</w:t>
      </w:r>
    </w:p>
    <w:p w:rsidR="003F5784" w14:paraId="7091046D" w14:textId="77777777">
      <w:pPr>
        <w:pStyle w:val="BodyText"/>
        <w:spacing w:before="207" w:line="232" w:lineRule="auto"/>
        <w:ind w:left="422" w:right="8583"/>
      </w:pPr>
      <w:r>
        <w:rPr>
          <w:noProof/>
          <w:position w:val="3"/>
        </w:rPr>
        <w:drawing>
          <wp:inline distT="0" distB="0" distL="0" distR="0">
            <wp:extent cx="41379" cy="41378"/>
            <wp:effectExtent l="0" t="0" r="0" b="0"/>
            <wp:docPr id="518" name="Image 518"/>
            <wp:cNvGraphicFramePr/>
            <a:graphic xmlns:a="http://schemas.openxmlformats.org/drawingml/2006/main">
              <a:graphicData uri="http://schemas.openxmlformats.org/drawingml/2006/picture">
                <pic:pic xmlns:pic="http://schemas.openxmlformats.org/drawingml/2006/picture">
                  <pic:nvPicPr>
                    <pic:cNvPr id="518" name="Image 518"/>
                    <pic:cNvPicPr/>
                  </pic:nvPicPr>
                  <pic:blipFill>
                    <a:blip xmlns:r="http://schemas.openxmlformats.org/officeDocument/2006/relationships" r:embed="rId413" cstate="print"/>
                    <a:stretch>
                      <a:fillRect/>
                    </a:stretch>
                  </pic:blipFill>
                  <pic:spPr>
                    <a:xfrm>
                      <a:off x="0" y="0"/>
                      <a:ext cx="41379" cy="41378"/>
                    </a:xfrm>
                    <a:prstGeom prst="rect">
                      <a:avLst/>
                    </a:prstGeom>
                  </pic:spPr>
                </pic:pic>
              </a:graphicData>
            </a:graphic>
          </wp:inline>
        </w:drawing>
      </w:r>
      <w:r>
        <w:rPr>
          <w:spacing w:val="69"/>
          <w:sz w:val="20"/>
        </w:rPr>
        <w:t xml:space="preserve"> </w:t>
      </w:r>
      <w:r>
        <w:t>sample</w:t>
      </w:r>
      <w:r>
        <w:rPr>
          <w:spacing w:val="-10"/>
        </w:rPr>
        <w:t xml:space="preserve"> </w:t>
      </w:r>
      <w:r>
        <w:t>level</w:t>
      </w:r>
      <w:r>
        <w:rPr>
          <w:spacing w:val="-10"/>
        </w:rPr>
        <w:t xml:space="preserve"> </w:t>
      </w:r>
      <w:r>
        <w:t>(state,</w:t>
      </w:r>
      <w:r>
        <w:rPr>
          <w:spacing w:val="-10"/>
        </w:rPr>
        <w:t xml:space="preserve"> </w:t>
      </w:r>
      <w:r>
        <w:t xml:space="preserve">national), </w:t>
      </w:r>
      <w:r>
        <w:rPr>
          <w:noProof/>
          <w:position w:val="3"/>
        </w:rPr>
        <w:drawing>
          <wp:inline distT="0" distB="0" distL="0" distR="0">
            <wp:extent cx="41379" cy="41378"/>
            <wp:effectExtent l="0" t="0" r="0" b="0"/>
            <wp:docPr id="519" name="Image 519"/>
            <wp:cNvGraphicFramePr/>
            <a:graphic xmlns:a="http://schemas.openxmlformats.org/drawingml/2006/main">
              <a:graphicData uri="http://schemas.openxmlformats.org/drawingml/2006/picture">
                <pic:pic xmlns:pic="http://schemas.openxmlformats.org/drawingml/2006/picture">
                  <pic:nvPicPr>
                    <pic:cNvPr id="519" name="Image 519"/>
                    <pic:cNvPicPr/>
                  </pic:nvPicPr>
                  <pic:blipFill>
                    <a:blip xmlns:r="http://schemas.openxmlformats.org/officeDocument/2006/relationships" r:embed="rId414" cstate="print"/>
                    <a:stretch>
                      <a:fillRect/>
                    </a:stretch>
                  </pic:blipFill>
                  <pic:spPr>
                    <a:xfrm>
                      <a:off x="0" y="0"/>
                      <a:ext cx="41379" cy="41378"/>
                    </a:xfrm>
                    <a:prstGeom prst="rect">
                      <a:avLst/>
                    </a:prstGeom>
                  </pic:spPr>
                </pic:pic>
              </a:graphicData>
            </a:graphic>
          </wp:inline>
        </w:drawing>
      </w:r>
      <w:r>
        <w:rPr>
          <w:spacing w:val="80"/>
        </w:rPr>
        <w:t xml:space="preserve"> </w:t>
      </w:r>
      <w:r>
        <w:t>school</w:t>
      </w:r>
      <w:r>
        <w:rPr>
          <w:spacing w:val="-2"/>
        </w:rPr>
        <w:t xml:space="preserve"> </w:t>
      </w:r>
      <w:r>
        <w:t>type</w:t>
      </w:r>
      <w:r>
        <w:rPr>
          <w:spacing w:val="-2"/>
        </w:rPr>
        <w:t xml:space="preserve"> </w:t>
      </w:r>
      <w:r>
        <w:t>(public,</w:t>
      </w:r>
      <w:r>
        <w:rPr>
          <w:spacing w:val="-2"/>
        </w:rPr>
        <w:t xml:space="preserve"> </w:t>
      </w:r>
      <w:r>
        <w:t>private),</w:t>
      </w:r>
    </w:p>
    <w:p w:rsidR="003F5784" w14:paraId="0663D03F" w14:textId="77777777">
      <w:pPr>
        <w:pStyle w:val="BodyText"/>
        <w:spacing w:line="233" w:lineRule="exact"/>
        <w:ind w:left="422"/>
      </w:pPr>
      <w:r>
        <w:rPr>
          <w:noProof/>
          <w:position w:val="3"/>
        </w:rPr>
        <w:drawing>
          <wp:inline distT="0" distB="0" distL="0" distR="0">
            <wp:extent cx="41379" cy="41378"/>
            <wp:effectExtent l="0" t="0" r="0" b="0"/>
            <wp:docPr id="520" name="Image 520"/>
            <wp:cNvGraphicFramePr/>
            <a:graphic xmlns:a="http://schemas.openxmlformats.org/drawingml/2006/main">
              <a:graphicData uri="http://schemas.openxmlformats.org/drawingml/2006/picture">
                <pic:pic xmlns:pic="http://schemas.openxmlformats.org/drawingml/2006/picture">
                  <pic:nvPicPr>
                    <pic:cNvPr id="520" name="Image 520"/>
                    <pic:cNvPicPr/>
                  </pic:nvPicPr>
                  <pic:blipFill>
                    <a:blip xmlns:r="http://schemas.openxmlformats.org/officeDocument/2006/relationships" r:embed="rId415" cstate="print"/>
                    <a:stretch>
                      <a:fillRect/>
                    </a:stretch>
                  </pic:blipFill>
                  <pic:spPr>
                    <a:xfrm>
                      <a:off x="0" y="0"/>
                      <a:ext cx="41379" cy="41378"/>
                    </a:xfrm>
                    <a:prstGeom prst="rect">
                      <a:avLst/>
                    </a:prstGeom>
                  </pic:spPr>
                </pic:pic>
              </a:graphicData>
            </a:graphic>
          </wp:inline>
        </w:drawing>
      </w:r>
      <w:r>
        <w:rPr>
          <w:spacing w:val="80"/>
          <w:sz w:val="20"/>
        </w:rPr>
        <w:t xml:space="preserve"> </w:t>
      </w:r>
      <w:r>
        <w:t>grade (4, 8) or age (9, 13), and</w:t>
      </w:r>
    </w:p>
    <w:p w:rsidR="003F5784" w14:paraId="3E38C419" w14:textId="77777777">
      <w:pPr>
        <w:pStyle w:val="BodyText"/>
        <w:spacing w:line="238" w:lineRule="exact"/>
        <w:ind w:left="422"/>
      </w:pPr>
      <w:r>
        <w:rPr>
          <w:noProof/>
          <w:position w:val="3"/>
        </w:rPr>
        <w:drawing>
          <wp:inline distT="0" distB="0" distL="0" distR="0">
            <wp:extent cx="41379" cy="41378"/>
            <wp:effectExtent l="0" t="0" r="0" b="0"/>
            <wp:docPr id="521" name="Image 521"/>
            <wp:cNvGraphicFramePr/>
            <a:graphic xmlns:a="http://schemas.openxmlformats.org/drawingml/2006/main">
              <a:graphicData uri="http://schemas.openxmlformats.org/drawingml/2006/picture">
                <pic:pic xmlns:pic="http://schemas.openxmlformats.org/drawingml/2006/picture">
                  <pic:nvPicPr>
                    <pic:cNvPr id="521" name="Image 521"/>
                    <pic:cNvPicPr/>
                  </pic:nvPicPr>
                  <pic:blipFill>
                    <a:blip xmlns:r="http://schemas.openxmlformats.org/officeDocument/2006/relationships" r:embed="rId416" cstate="print"/>
                    <a:stretch>
                      <a:fillRect/>
                    </a:stretch>
                  </pic:blipFill>
                  <pic:spPr>
                    <a:xfrm>
                      <a:off x="0" y="0"/>
                      <a:ext cx="41379" cy="41378"/>
                    </a:xfrm>
                    <a:prstGeom prst="rect">
                      <a:avLst/>
                    </a:prstGeom>
                  </pic:spPr>
                </pic:pic>
              </a:graphicData>
            </a:graphic>
          </wp:inline>
        </w:drawing>
      </w:r>
      <w:r>
        <w:rPr>
          <w:spacing w:val="80"/>
          <w:sz w:val="20"/>
        </w:rPr>
        <w:t xml:space="preserve"> </w:t>
      </w:r>
      <w:r>
        <w:t>assessment subject (civics, mathematics, reading, U.S. history).</w:t>
      </w:r>
    </w:p>
    <w:p w:rsidR="003F5784" w14:paraId="22C7CA4D" w14:textId="77777777">
      <w:pPr>
        <w:pStyle w:val="BodyText"/>
        <w:spacing w:before="96" w:line="232" w:lineRule="auto"/>
        <w:ind w:left="109"/>
      </w:pPr>
      <w:r>
        <w:br w:type="column"/>
        <w:t>Development</w:t>
      </w:r>
      <w:r>
        <w:rPr>
          <w:spacing w:val="-14"/>
        </w:rPr>
        <w:t xml:space="preserve"> </w:t>
      </w:r>
      <w:r>
        <w:t>of</w:t>
      </w:r>
      <w:r>
        <w:rPr>
          <w:spacing w:val="-13"/>
        </w:rPr>
        <w:t xml:space="preserve"> </w:t>
      </w:r>
      <w:r>
        <w:t>Initial</w:t>
      </w:r>
      <w:r>
        <w:rPr>
          <w:spacing w:val="-13"/>
        </w:rPr>
        <w:t xml:space="preserve"> </w:t>
      </w:r>
      <w:r>
        <w:t>School Nonresponse Cells</w:t>
      </w:r>
    </w:p>
    <w:p w:rsidR="003F5784" w14:paraId="65A8AFEE" w14:textId="77777777">
      <w:pPr>
        <w:pStyle w:val="BodyText"/>
        <w:spacing w:before="209" w:line="232" w:lineRule="auto"/>
        <w:ind w:left="109"/>
      </w:pPr>
      <w:r>
        <w:t>Development</w:t>
      </w:r>
      <w:r>
        <w:rPr>
          <w:spacing w:val="-14"/>
        </w:rPr>
        <w:t xml:space="preserve"> </w:t>
      </w:r>
      <w:r>
        <w:t>of</w:t>
      </w:r>
      <w:r>
        <w:rPr>
          <w:spacing w:val="-13"/>
        </w:rPr>
        <w:t xml:space="preserve"> </w:t>
      </w:r>
      <w:r>
        <w:t>Final</w:t>
      </w:r>
      <w:r>
        <w:rPr>
          <w:spacing w:val="-13"/>
        </w:rPr>
        <w:t xml:space="preserve"> </w:t>
      </w:r>
      <w:r>
        <w:t>School Nonresponse Cells</w:t>
      </w:r>
    </w:p>
    <w:p w:rsidR="003F5784" w14:paraId="13723400" w14:textId="77777777">
      <w:pPr>
        <w:pStyle w:val="BodyText"/>
        <w:spacing w:before="209" w:line="232" w:lineRule="auto"/>
        <w:ind w:left="109"/>
      </w:pPr>
      <w:r>
        <w:rPr>
          <w:spacing w:val="-2"/>
        </w:rPr>
        <w:t>School Nonresponse</w:t>
      </w:r>
      <w:r>
        <w:rPr>
          <w:spacing w:val="-12"/>
        </w:rPr>
        <w:t xml:space="preserve"> </w:t>
      </w:r>
      <w:r>
        <w:rPr>
          <w:spacing w:val="-2"/>
        </w:rPr>
        <w:t xml:space="preserve">Adjustment </w:t>
      </w:r>
      <w:r>
        <w:t>Factor Calculation</w:t>
      </w:r>
    </w:p>
    <w:p w:rsidR="003F5784" w14:paraId="1F41A51D" w14:textId="77777777">
      <w:pPr>
        <w:spacing w:line="232" w:lineRule="auto"/>
        <w:sectPr>
          <w:type w:val="continuous"/>
          <w:pgSz w:w="15840" w:h="12240" w:orient="landscape"/>
          <w:pgMar w:top="480" w:right="440" w:bottom="460" w:left="460" w:header="284" w:footer="275" w:gutter="0"/>
          <w:cols w:num="2" w:space="720" w:equalWidth="0">
            <w:col w:w="11671" w:space="125"/>
            <w:col w:w="3144"/>
          </w:cols>
        </w:sectPr>
      </w:pPr>
    </w:p>
    <w:p w:rsidR="003F5784" w14:paraId="34681D75" w14:textId="77777777">
      <w:pPr>
        <w:pStyle w:val="BodyText"/>
        <w:rPr>
          <w:sz w:val="18"/>
        </w:rPr>
      </w:pPr>
    </w:p>
    <w:p w:rsidR="003F5784" w14:paraId="193ED5C4" w14:textId="77777777">
      <w:pPr>
        <w:pStyle w:val="BodyText"/>
        <w:rPr>
          <w:sz w:val="18"/>
        </w:rPr>
      </w:pPr>
    </w:p>
    <w:p w:rsidR="003F5784" w14:paraId="1A9B85E4" w14:textId="77777777">
      <w:pPr>
        <w:pStyle w:val="BodyText"/>
        <w:rPr>
          <w:sz w:val="18"/>
        </w:rPr>
      </w:pPr>
    </w:p>
    <w:p w:rsidR="003F5784" w14:paraId="5B6C2C75" w14:textId="77777777">
      <w:pPr>
        <w:pStyle w:val="BodyText"/>
        <w:rPr>
          <w:sz w:val="18"/>
        </w:rPr>
      </w:pPr>
    </w:p>
    <w:p w:rsidR="003F5784" w14:paraId="5FF259EC" w14:textId="77777777">
      <w:pPr>
        <w:pStyle w:val="BodyText"/>
        <w:rPr>
          <w:sz w:val="18"/>
        </w:rPr>
      </w:pPr>
    </w:p>
    <w:p w:rsidR="003F5784" w14:paraId="6F708F45" w14:textId="77777777">
      <w:pPr>
        <w:pStyle w:val="BodyText"/>
        <w:spacing w:before="83"/>
        <w:rPr>
          <w:sz w:val="18"/>
        </w:rPr>
      </w:pPr>
    </w:p>
    <w:p w:rsidR="003F5784" w14:paraId="4C35306B" w14:textId="77777777">
      <w:pPr>
        <w:ind w:left="5041"/>
        <w:rPr>
          <w:sz w:val="18"/>
        </w:rPr>
      </w:pPr>
      <w:hyperlink r:id="rId417">
        <w:r>
          <w:rPr>
            <w:spacing w:val="-2"/>
            <w:w w:val="105"/>
            <w:sz w:val="18"/>
          </w:rPr>
          <w:t>http://nces.ed.gov/nationsreportcard/tdw/weighting/2022/school_nonresponse_weight_adjustment_for_the_2022_assessment.aspx</w:t>
        </w:r>
      </w:hyperlink>
    </w:p>
    <w:p w:rsidR="003F5784" w14:paraId="2F8F5782" w14:textId="77777777">
      <w:pPr>
        <w:pStyle w:val="BodyText"/>
        <w:spacing w:before="10"/>
        <w:rPr>
          <w:sz w:val="14"/>
        </w:rPr>
      </w:pPr>
      <w:r>
        <w:rPr>
          <w:noProof/>
        </w:rPr>
        <mc:AlternateContent>
          <mc:Choice Requires="wps">
            <w:drawing>
              <wp:anchor distT="0" distB="0" distL="0" distR="0" simplePos="0" relativeHeight="251980800" behindDoc="1" locked="0" layoutInCell="1" allowOverlap="1">
                <wp:simplePos x="0" y="0"/>
                <wp:positionH relativeFrom="page">
                  <wp:posOffset>361937</wp:posOffset>
                </wp:positionH>
                <wp:positionV relativeFrom="paragraph">
                  <wp:posOffset>124385</wp:posOffset>
                </wp:positionV>
                <wp:extent cx="9339580" cy="8890"/>
                <wp:effectExtent l="0" t="0" r="0" b="0"/>
                <wp:wrapTopAndBottom/>
                <wp:docPr id="522" name="Graphic 522"/>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67"/>
                              </a:lnTo>
                              <a:lnTo>
                                <a:pt x="9335110" y="8305"/>
                              </a:lnTo>
                              <a:lnTo>
                                <a:pt x="9338970" y="8305"/>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22" o:spid="_x0000_s1172" style="width:735.4pt;height:0.7pt;margin-top:9.8pt;margin-left:28.5pt;mso-position-horizontal-relative:page;mso-wrap-distance-bottom:0;mso-wrap-distance-left:0;mso-wrap-distance-right:0;mso-wrap-distance-top:0;mso-wrap-style:square;position:absolute;visibility:visible;v-text-anchor:top;z-index:-251334656" coordsize="9339580,8890" path="m9338970,25l9335110,25l8280,25,,,,8267l9335110,8305l9338970,8305l9338970,25xe" fillcolor="gray" stroked="f">
                <v:path arrowok="t"/>
                <w10:wrap type="topAndBottom"/>
              </v:shape>
            </w:pict>
          </mc:Fallback>
        </mc:AlternateContent>
      </w:r>
    </w:p>
    <w:p w:rsidR="003F5784" w14:paraId="291CD984" w14:textId="77777777">
      <w:pPr>
        <w:pStyle w:val="BodyText"/>
        <w:rPr>
          <w:sz w:val="18"/>
        </w:rPr>
      </w:pPr>
    </w:p>
    <w:p w:rsidR="003F5784" w14:paraId="52D154C6" w14:textId="77777777">
      <w:pPr>
        <w:pStyle w:val="BodyText"/>
        <w:spacing w:before="193"/>
        <w:rPr>
          <w:sz w:val="18"/>
        </w:rPr>
      </w:pPr>
    </w:p>
    <w:p w:rsidR="003F5784" w14:paraId="43AE1622" w14:textId="6DECD896">
      <w:pPr>
        <w:pStyle w:val="Heading1"/>
      </w:pPr>
      <w:r>
        <w:t>NAEP</w:t>
      </w:r>
      <w:r>
        <w:rPr>
          <w:spacing w:val="-21"/>
        </w:rPr>
        <w:t xml:space="preserve"> </w:t>
      </w:r>
      <w:r>
        <w:t>Technical</w:t>
      </w:r>
      <w:r>
        <w:rPr>
          <w:spacing w:val="12"/>
        </w:rPr>
        <w:t xml:space="preserve"> </w:t>
      </w:r>
      <w:r>
        <w:t>Documentation</w:t>
      </w:r>
      <w:r w:rsidR="00E3225D">
        <w:t xml:space="preserve"> </w:t>
      </w:r>
      <w:r>
        <w:t>Development</w:t>
      </w:r>
      <w:r>
        <w:rPr>
          <w:spacing w:val="13"/>
        </w:rPr>
        <w:t xml:space="preserve"> </w:t>
      </w:r>
      <w:r>
        <w:t>of</w:t>
      </w:r>
      <w:r>
        <w:rPr>
          <w:spacing w:val="13"/>
        </w:rPr>
        <w:t xml:space="preserve"> </w:t>
      </w:r>
      <w:r>
        <w:t>Final</w:t>
      </w:r>
      <w:r>
        <w:rPr>
          <w:spacing w:val="12"/>
        </w:rPr>
        <w:t xml:space="preserve"> </w:t>
      </w:r>
      <w:r>
        <w:t>School</w:t>
      </w:r>
      <w:r>
        <w:rPr>
          <w:spacing w:val="13"/>
        </w:rPr>
        <w:t xml:space="preserve"> </w:t>
      </w:r>
      <w:r>
        <w:t>Nonresponse</w:t>
      </w:r>
      <w:r>
        <w:rPr>
          <w:spacing w:val="12"/>
        </w:rPr>
        <w:t xml:space="preserve"> </w:t>
      </w:r>
      <w:r>
        <w:rPr>
          <w:spacing w:val="-2"/>
        </w:rPr>
        <w:t>Cells</w:t>
      </w:r>
    </w:p>
    <w:p w:rsidR="003F5784" w14:paraId="0893E6E7" w14:textId="77777777">
      <w:pPr>
        <w:pStyle w:val="BodyText"/>
        <w:spacing w:before="295" w:line="232" w:lineRule="auto"/>
        <w:ind w:left="109"/>
      </w:pPr>
      <w:r>
        <w:t>Limits were placed on the magnitude of cell sizes and adjustment factors to prevent unstable nonresponse adjustments and unacceptably large nonresponse factors.</w:t>
      </w:r>
      <w:r>
        <w:rPr>
          <w:spacing w:val="-11"/>
        </w:rPr>
        <w:t xml:space="preserve"> </w:t>
      </w:r>
      <w:r>
        <w:t>All initial weighting</w:t>
      </w:r>
      <w:r>
        <w:rPr>
          <w:spacing w:val="-6"/>
        </w:rPr>
        <w:t xml:space="preserve"> </w:t>
      </w:r>
      <w:r>
        <w:t>cells</w:t>
      </w:r>
      <w:r>
        <w:rPr>
          <w:spacing w:val="-6"/>
        </w:rPr>
        <w:t xml:space="preserve"> </w:t>
      </w:r>
      <w:r>
        <w:t>with</w:t>
      </w:r>
      <w:r>
        <w:rPr>
          <w:spacing w:val="-6"/>
        </w:rPr>
        <w:t xml:space="preserve"> </w:t>
      </w:r>
      <w:r>
        <w:t>fewer</w:t>
      </w:r>
      <w:r>
        <w:rPr>
          <w:spacing w:val="-6"/>
        </w:rPr>
        <w:t xml:space="preserve"> </w:t>
      </w:r>
      <w:r>
        <w:t>than</w:t>
      </w:r>
      <w:r>
        <w:rPr>
          <w:spacing w:val="-6"/>
        </w:rPr>
        <w:t xml:space="preserve"> </w:t>
      </w:r>
      <w:r>
        <w:t>six</w:t>
      </w:r>
      <w:r>
        <w:rPr>
          <w:spacing w:val="-6"/>
        </w:rPr>
        <w:t xml:space="preserve"> </w:t>
      </w:r>
      <w:r>
        <w:t>cooperating</w:t>
      </w:r>
      <w:r>
        <w:rPr>
          <w:spacing w:val="-6"/>
        </w:rPr>
        <w:t xml:space="preserve"> </w:t>
      </w:r>
      <w:r>
        <w:t>schools</w:t>
      </w:r>
      <w:r>
        <w:rPr>
          <w:spacing w:val="-6"/>
        </w:rPr>
        <w:t xml:space="preserve"> </w:t>
      </w:r>
      <w:r>
        <w:t>or</w:t>
      </w:r>
      <w:r>
        <w:rPr>
          <w:spacing w:val="-6"/>
        </w:rPr>
        <w:t xml:space="preserve"> </w:t>
      </w:r>
      <w:r>
        <w:t>adjustment</w:t>
      </w:r>
      <w:r>
        <w:rPr>
          <w:spacing w:val="-6"/>
        </w:rPr>
        <w:t xml:space="preserve"> </w:t>
      </w:r>
      <w:r>
        <w:t>factors</w:t>
      </w:r>
      <w:r>
        <w:rPr>
          <w:spacing w:val="-6"/>
        </w:rPr>
        <w:t xml:space="preserve"> </w:t>
      </w:r>
      <w:r>
        <w:t>greater</w:t>
      </w:r>
      <w:r>
        <w:rPr>
          <w:spacing w:val="-6"/>
        </w:rPr>
        <w:t xml:space="preserve"> </w:t>
      </w:r>
      <w:r>
        <w:t>than</w:t>
      </w:r>
      <w:r>
        <w:rPr>
          <w:spacing w:val="-6"/>
        </w:rPr>
        <w:t xml:space="preserve"> </w:t>
      </w:r>
      <w:r>
        <w:t>3.0</w:t>
      </w:r>
      <w:r>
        <w:rPr>
          <w:spacing w:val="-6"/>
        </w:rPr>
        <w:t xml:space="preserve"> </w:t>
      </w:r>
      <w:r>
        <w:t>(or</w:t>
      </w:r>
      <w:r>
        <w:rPr>
          <w:spacing w:val="-6"/>
        </w:rPr>
        <w:t xml:space="preserve"> </w:t>
      </w:r>
      <w:r>
        <w:t>4.0</w:t>
      </w:r>
      <w:r>
        <w:rPr>
          <w:spacing w:val="-6"/>
        </w:rPr>
        <w:t xml:space="preserve"> </w:t>
      </w:r>
      <w:r>
        <w:t>for</w:t>
      </w:r>
      <w:r>
        <w:rPr>
          <w:spacing w:val="-6"/>
        </w:rPr>
        <w:t xml:space="preserve"> </w:t>
      </w:r>
      <w:r>
        <w:t>long-term</w:t>
      </w:r>
      <w:r>
        <w:rPr>
          <w:spacing w:val="-6"/>
        </w:rPr>
        <w:t xml:space="preserve"> </w:t>
      </w:r>
      <w:r>
        <w:t>trend</w:t>
      </w:r>
      <w:r>
        <w:rPr>
          <w:spacing w:val="-6"/>
        </w:rPr>
        <w:t xml:space="preserve"> </w:t>
      </w:r>
      <w:r>
        <w:t>[LTT])</w:t>
      </w:r>
      <w:r>
        <w:rPr>
          <w:spacing w:val="-6"/>
        </w:rPr>
        <w:t xml:space="preserve"> </w:t>
      </w:r>
      <w:r>
        <w:t>for</w:t>
      </w:r>
      <w:r>
        <w:rPr>
          <w:spacing w:val="-6"/>
        </w:rPr>
        <w:t xml:space="preserve"> </w:t>
      </w:r>
      <w:r>
        <w:t>the</w:t>
      </w:r>
      <w:r>
        <w:rPr>
          <w:spacing w:val="-6"/>
        </w:rPr>
        <w:t xml:space="preserve"> </w:t>
      </w:r>
      <w:r>
        <w:t>full</w:t>
      </w:r>
      <w:r>
        <w:rPr>
          <w:spacing w:val="-6"/>
        </w:rPr>
        <w:t xml:space="preserve"> </w:t>
      </w:r>
      <w:r>
        <w:t>sample</w:t>
      </w:r>
      <w:r>
        <w:rPr>
          <w:spacing w:val="-6"/>
        </w:rPr>
        <w:t xml:space="preserve"> </w:t>
      </w:r>
      <w:r>
        <w:t>weight</w:t>
      </w:r>
      <w:r>
        <w:rPr>
          <w:spacing w:val="-6"/>
        </w:rPr>
        <w:t xml:space="preserve"> </w:t>
      </w:r>
      <w:r>
        <w:t>were</w:t>
      </w:r>
      <w:r>
        <w:rPr>
          <w:spacing w:val="-6"/>
        </w:rPr>
        <w:t xml:space="preserve"> </w:t>
      </w:r>
      <w:r>
        <w:t>collapsed</w:t>
      </w:r>
      <w:r>
        <w:rPr>
          <w:spacing w:val="-6"/>
        </w:rPr>
        <w:t xml:space="preserve"> </w:t>
      </w:r>
      <w:r>
        <w:t>with suitable</w:t>
      </w:r>
      <w:r>
        <w:rPr>
          <w:spacing w:val="-5"/>
        </w:rPr>
        <w:t xml:space="preserve"> </w:t>
      </w:r>
      <w:r>
        <w:t>adjacent</w:t>
      </w:r>
      <w:r>
        <w:rPr>
          <w:spacing w:val="-5"/>
        </w:rPr>
        <w:t xml:space="preserve"> </w:t>
      </w:r>
      <w:r>
        <w:t>cells.</w:t>
      </w:r>
      <w:r>
        <w:rPr>
          <w:spacing w:val="-5"/>
        </w:rPr>
        <w:t xml:space="preserve"> </w:t>
      </w:r>
      <w:r>
        <w:t>Simultaneously,</w:t>
      </w:r>
      <w:r>
        <w:rPr>
          <w:spacing w:val="-5"/>
        </w:rPr>
        <w:t xml:space="preserve"> </w:t>
      </w:r>
      <w:r>
        <w:t>all</w:t>
      </w:r>
      <w:r>
        <w:rPr>
          <w:spacing w:val="-5"/>
        </w:rPr>
        <w:t xml:space="preserve"> </w:t>
      </w:r>
      <w:r>
        <w:t>initial</w:t>
      </w:r>
      <w:r>
        <w:rPr>
          <w:spacing w:val="-5"/>
        </w:rPr>
        <w:t xml:space="preserve"> </w:t>
      </w:r>
      <w:r>
        <w:t>weighting</w:t>
      </w:r>
      <w:r>
        <w:rPr>
          <w:spacing w:val="-5"/>
        </w:rPr>
        <w:t xml:space="preserve"> </w:t>
      </w:r>
      <w:r>
        <w:t>cells</w:t>
      </w:r>
      <w:r>
        <w:rPr>
          <w:spacing w:val="-5"/>
        </w:rPr>
        <w:t xml:space="preserve"> </w:t>
      </w:r>
      <w:r>
        <w:t>for</w:t>
      </w:r>
      <w:r>
        <w:rPr>
          <w:spacing w:val="-5"/>
        </w:rPr>
        <w:t xml:space="preserve"> </w:t>
      </w:r>
      <w:r>
        <w:t>any</w:t>
      </w:r>
      <w:r>
        <w:rPr>
          <w:spacing w:val="-5"/>
        </w:rPr>
        <w:t xml:space="preserve"> </w:t>
      </w:r>
      <w:r>
        <w:t>replicate</w:t>
      </w:r>
      <w:r>
        <w:rPr>
          <w:spacing w:val="-5"/>
        </w:rPr>
        <w:t xml:space="preserve"> </w:t>
      </w:r>
      <w:r>
        <w:t>with</w:t>
      </w:r>
      <w:r>
        <w:rPr>
          <w:spacing w:val="-5"/>
        </w:rPr>
        <w:t xml:space="preserve"> </w:t>
      </w:r>
      <w:r>
        <w:t>fewer</w:t>
      </w:r>
      <w:r>
        <w:rPr>
          <w:spacing w:val="-5"/>
        </w:rPr>
        <w:t xml:space="preserve"> </w:t>
      </w:r>
      <w:r>
        <w:t>than</w:t>
      </w:r>
      <w:r>
        <w:rPr>
          <w:spacing w:val="-5"/>
        </w:rPr>
        <w:t xml:space="preserve"> </w:t>
      </w:r>
      <w:r>
        <w:t>four</w:t>
      </w:r>
      <w:r>
        <w:rPr>
          <w:spacing w:val="-5"/>
        </w:rPr>
        <w:t xml:space="preserve"> </w:t>
      </w:r>
      <w:r>
        <w:t>cooperating</w:t>
      </w:r>
      <w:r>
        <w:rPr>
          <w:spacing w:val="-5"/>
        </w:rPr>
        <w:t xml:space="preserve"> </w:t>
      </w:r>
      <w:r>
        <w:t>schools</w:t>
      </w:r>
      <w:r>
        <w:rPr>
          <w:spacing w:val="-5"/>
        </w:rPr>
        <w:t xml:space="preserve"> </w:t>
      </w:r>
      <w:r>
        <w:t>or</w:t>
      </w:r>
      <w:r>
        <w:rPr>
          <w:spacing w:val="-5"/>
        </w:rPr>
        <w:t xml:space="preserve"> </w:t>
      </w:r>
      <w:r>
        <w:t>adjustment</w:t>
      </w:r>
      <w:r>
        <w:rPr>
          <w:spacing w:val="-5"/>
        </w:rPr>
        <w:t xml:space="preserve"> </w:t>
      </w:r>
      <w:r>
        <w:t>factors</w:t>
      </w:r>
      <w:r>
        <w:rPr>
          <w:spacing w:val="-5"/>
        </w:rPr>
        <w:t xml:space="preserve"> </w:t>
      </w:r>
      <w:r>
        <w:t>greater</w:t>
      </w:r>
      <w:r>
        <w:rPr>
          <w:spacing w:val="-5"/>
        </w:rPr>
        <w:t xml:space="preserve"> </w:t>
      </w:r>
      <w:r>
        <w:t>than</w:t>
      </w:r>
      <w:r>
        <w:rPr>
          <w:spacing w:val="-5"/>
        </w:rPr>
        <w:t xml:space="preserve"> </w:t>
      </w:r>
      <w:r>
        <w:t>the</w:t>
      </w:r>
      <w:r>
        <w:rPr>
          <w:spacing w:val="-5"/>
        </w:rPr>
        <w:t xml:space="preserve"> </w:t>
      </w:r>
      <w:r>
        <w:t>maximum</w:t>
      </w:r>
      <w:r>
        <w:rPr>
          <w:spacing w:val="-5"/>
        </w:rPr>
        <w:t xml:space="preserve"> </w:t>
      </w:r>
      <w:r>
        <w:t>of</w:t>
      </w:r>
    </w:p>
    <w:p w:rsidR="003F5784" w14:paraId="2D0DE983" w14:textId="77777777">
      <w:pPr>
        <w:pStyle w:val="BodyText"/>
        <w:spacing w:before="1" w:line="232" w:lineRule="auto"/>
        <w:ind w:left="109" w:right="179"/>
      </w:pPr>
      <w:r>
        <w:t>3.0</w:t>
      </w:r>
      <w:r>
        <w:rPr>
          <w:spacing w:val="-6"/>
        </w:rPr>
        <w:t xml:space="preserve"> </w:t>
      </w:r>
      <w:r>
        <w:t>or</w:t>
      </w:r>
      <w:r>
        <w:rPr>
          <w:spacing w:val="-6"/>
        </w:rPr>
        <w:t xml:space="preserve"> </w:t>
      </w:r>
      <w:r>
        <w:t>two</w:t>
      </w:r>
      <w:r>
        <w:rPr>
          <w:spacing w:val="-6"/>
        </w:rPr>
        <w:t xml:space="preserve"> </w:t>
      </w:r>
      <w:r>
        <w:t>times</w:t>
      </w:r>
      <w:r>
        <w:rPr>
          <w:spacing w:val="-6"/>
        </w:rPr>
        <w:t xml:space="preserve"> </w:t>
      </w:r>
      <w:r>
        <w:t>the</w:t>
      </w:r>
      <w:r>
        <w:rPr>
          <w:spacing w:val="-6"/>
        </w:rPr>
        <w:t xml:space="preserve"> </w:t>
      </w:r>
      <w:r>
        <w:t>full</w:t>
      </w:r>
      <w:r>
        <w:rPr>
          <w:spacing w:val="-6"/>
        </w:rPr>
        <w:t xml:space="preserve"> </w:t>
      </w:r>
      <w:r>
        <w:t>sample</w:t>
      </w:r>
      <w:r>
        <w:rPr>
          <w:spacing w:val="-6"/>
        </w:rPr>
        <w:t xml:space="preserve"> </w:t>
      </w:r>
      <w:r>
        <w:t>nonresponse</w:t>
      </w:r>
      <w:r>
        <w:rPr>
          <w:spacing w:val="-6"/>
        </w:rPr>
        <w:t xml:space="preserve"> </w:t>
      </w:r>
      <w:r>
        <w:t>adjustment</w:t>
      </w:r>
      <w:r>
        <w:rPr>
          <w:spacing w:val="-6"/>
        </w:rPr>
        <w:t xml:space="preserve"> </w:t>
      </w:r>
      <w:r>
        <w:t>factor</w:t>
      </w:r>
      <w:r>
        <w:rPr>
          <w:spacing w:val="-6"/>
        </w:rPr>
        <w:t xml:space="preserve"> </w:t>
      </w:r>
      <w:r>
        <w:t>were</w:t>
      </w:r>
      <w:r>
        <w:rPr>
          <w:spacing w:val="-6"/>
        </w:rPr>
        <w:t xml:space="preserve"> </w:t>
      </w:r>
      <w:r>
        <w:t>collapsed</w:t>
      </w:r>
      <w:r>
        <w:rPr>
          <w:spacing w:val="-6"/>
        </w:rPr>
        <w:t xml:space="preserve"> </w:t>
      </w:r>
      <w:r>
        <w:t>with</w:t>
      </w:r>
      <w:r>
        <w:rPr>
          <w:spacing w:val="-6"/>
        </w:rPr>
        <w:t xml:space="preserve"> </w:t>
      </w:r>
      <w:r>
        <w:t>suitable</w:t>
      </w:r>
      <w:r>
        <w:rPr>
          <w:spacing w:val="-6"/>
        </w:rPr>
        <w:t xml:space="preserve"> </w:t>
      </w:r>
      <w:r>
        <w:t>adjacent</w:t>
      </w:r>
      <w:r>
        <w:rPr>
          <w:spacing w:val="-6"/>
        </w:rPr>
        <w:t xml:space="preserve"> </w:t>
      </w:r>
      <w:r>
        <w:t>cells.</w:t>
      </w:r>
      <w:r>
        <w:rPr>
          <w:spacing w:val="-6"/>
        </w:rPr>
        <w:t xml:space="preserve"> </w:t>
      </w:r>
      <w:r>
        <w:t>Initial</w:t>
      </w:r>
      <w:r>
        <w:rPr>
          <w:spacing w:val="-6"/>
        </w:rPr>
        <w:t xml:space="preserve"> </w:t>
      </w:r>
      <w:r>
        <w:t>weighting</w:t>
      </w:r>
      <w:r>
        <w:rPr>
          <w:spacing w:val="-6"/>
        </w:rPr>
        <w:t xml:space="preserve"> </w:t>
      </w:r>
      <w:r>
        <w:t>cells</w:t>
      </w:r>
      <w:r>
        <w:rPr>
          <w:spacing w:val="-6"/>
        </w:rPr>
        <w:t xml:space="preserve"> </w:t>
      </w:r>
      <w:r>
        <w:t>were</w:t>
      </w:r>
      <w:r>
        <w:rPr>
          <w:spacing w:val="-6"/>
        </w:rPr>
        <w:t xml:space="preserve"> </w:t>
      </w:r>
      <w:r>
        <w:t>generally</w:t>
      </w:r>
      <w:r>
        <w:rPr>
          <w:spacing w:val="-6"/>
        </w:rPr>
        <w:t xml:space="preserve"> </w:t>
      </w:r>
      <w:r>
        <w:t>collapsed</w:t>
      </w:r>
      <w:r>
        <w:rPr>
          <w:spacing w:val="-6"/>
        </w:rPr>
        <w:t xml:space="preserve"> </w:t>
      </w:r>
      <w:r>
        <w:t>in</w:t>
      </w:r>
      <w:r>
        <w:rPr>
          <w:spacing w:val="-6"/>
        </w:rPr>
        <w:t xml:space="preserve"> </w:t>
      </w:r>
      <w:r>
        <w:t>reverse</w:t>
      </w:r>
      <w:r>
        <w:rPr>
          <w:spacing w:val="-6"/>
        </w:rPr>
        <w:t xml:space="preserve"> </w:t>
      </w:r>
      <w:r>
        <w:t>order</w:t>
      </w:r>
      <w:r>
        <w:rPr>
          <w:spacing w:val="-6"/>
        </w:rPr>
        <w:t xml:space="preserve"> </w:t>
      </w:r>
      <w:r>
        <w:t>of the cell structure; that is, starting at the bottom of the nesting structure and working up toward the top level of the nesting structure.</w:t>
      </w:r>
    </w:p>
    <w:p w:rsidR="003F5784" w14:paraId="09C405E8" w14:textId="77777777">
      <w:pPr>
        <w:pStyle w:val="Heading2"/>
        <w:spacing w:before="203"/>
        <w:ind w:left="109"/>
      </w:pPr>
      <w:r>
        <w:t>State</w:t>
      </w:r>
      <w:r>
        <w:rPr>
          <w:spacing w:val="-11"/>
        </w:rPr>
        <w:t xml:space="preserve"> </w:t>
      </w:r>
      <w:r>
        <w:t>Public</w:t>
      </w:r>
      <w:r>
        <w:rPr>
          <w:spacing w:val="-6"/>
        </w:rPr>
        <w:t xml:space="preserve"> </w:t>
      </w:r>
      <w:r>
        <w:t>School</w:t>
      </w:r>
      <w:r>
        <w:rPr>
          <w:spacing w:val="-7"/>
        </w:rPr>
        <w:t xml:space="preserve"> </w:t>
      </w:r>
      <w:r>
        <w:t>Samples</w:t>
      </w:r>
      <w:r>
        <w:rPr>
          <w:spacing w:val="-7"/>
        </w:rPr>
        <w:t xml:space="preserve"> </w:t>
      </w:r>
      <w:r>
        <w:t>for</w:t>
      </w:r>
      <w:r>
        <w:rPr>
          <w:spacing w:val="-10"/>
        </w:rPr>
        <w:t xml:space="preserve"> </w:t>
      </w:r>
      <w:r>
        <w:t>Mathematics</w:t>
      </w:r>
      <w:r>
        <w:rPr>
          <w:spacing w:val="-7"/>
        </w:rPr>
        <w:t xml:space="preserve"> </w:t>
      </w:r>
      <w:r>
        <w:t>and</w:t>
      </w:r>
      <w:r>
        <w:rPr>
          <w:spacing w:val="-6"/>
        </w:rPr>
        <w:t xml:space="preserve"> </w:t>
      </w:r>
      <w:r>
        <w:t>Reading</w:t>
      </w:r>
      <w:r>
        <w:rPr>
          <w:spacing w:val="-14"/>
        </w:rPr>
        <w:t xml:space="preserve"> </w:t>
      </w:r>
      <w:r>
        <w:t>Assessments</w:t>
      </w:r>
      <w:r>
        <w:rPr>
          <w:spacing w:val="-6"/>
        </w:rPr>
        <w:t xml:space="preserve"> </w:t>
      </w:r>
      <w:r>
        <w:t>at</w:t>
      </w:r>
      <w:r>
        <w:rPr>
          <w:spacing w:val="-7"/>
        </w:rPr>
        <w:t xml:space="preserve"> </w:t>
      </w:r>
      <w:r>
        <w:t>Grades</w:t>
      </w:r>
      <w:r>
        <w:rPr>
          <w:spacing w:val="-7"/>
        </w:rPr>
        <w:t xml:space="preserve"> </w:t>
      </w:r>
      <w:r>
        <w:t>4</w:t>
      </w:r>
      <w:r>
        <w:rPr>
          <w:spacing w:val="-6"/>
        </w:rPr>
        <w:t xml:space="preserve"> </w:t>
      </w:r>
      <w:r>
        <w:t>and</w:t>
      </w:r>
      <w:r>
        <w:rPr>
          <w:spacing w:val="-7"/>
        </w:rPr>
        <w:t xml:space="preserve"> </w:t>
      </w:r>
      <w:r>
        <w:rPr>
          <w:spacing w:val="-10"/>
        </w:rPr>
        <w:t>8</w:t>
      </w:r>
    </w:p>
    <w:p w:rsidR="003F5784" w14:paraId="40235B6A" w14:textId="77777777">
      <w:pPr>
        <w:pStyle w:val="BodyText"/>
        <w:spacing w:before="208" w:line="232" w:lineRule="auto"/>
        <w:ind w:left="109"/>
      </w:pPr>
      <w:r>
        <w:t>For the grade 4 and 8 public school samples for mathematics and reading, cells with the most similar Black/Hispanic, achievement level, median income, or enrollment composition</w:t>
      </w:r>
      <w:r>
        <w:rPr>
          <w:spacing w:val="-11"/>
        </w:rPr>
        <w:t xml:space="preserve"> </w:t>
      </w:r>
      <w:r>
        <w:t>stratum</w:t>
      </w:r>
      <w:r>
        <w:rPr>
          <w:spacing w:val="-8"/>
        </w:rPr>
        <w:t xml:space="preserve"> </w:t>
      </w:r>
      <w:r>
        <w:t>within</w:t>
      </w:r>
      <w:r>
        <w:rPr>
          <w:spacing w:val="-8"/>
        </w:rPr>
        <w:t xml:space="preserve"> </w:t>
      </w:r>
      <w:r>
        <w:t>a</w:t>
      </w:r>
      <w:r>
        <w:rPr>
          <w:spacing w:val="-8"/>
        </w:rPr>
        <w:t xml:space="preserve"> </w:t>
      </w:r>
      <w:r>
        <w:t>given</w:t>
      </w:r>
      <w:r>
        <w:rPr>
          <w:spacing w:val="-8"/>
        </w:rPr>
        <w:t xml:space="preserve"> </w:t>
      </w:r>
      <w:r>
        <w:t>jurisdiction/Trial</w:t>
      </w:r>
      <w:r>
        <w:rPr>
          <w:spacing w:val="-8"/>
        </w:rPr>
        <w:t xml:space="preserve"> </w:t>
      </w:r>
      <w:r>
        <w:t>Urban</w:t>
      </w:r>
      <w:r>
        <w:rPr>
          <w:spacing w:val="-8"/>
        </w:rPr>
        <w:t xml:space="preserve"> </w:t>
      </w:r>
      <w:r>
        <w:t>District</w:t>
      </w:r>
      <w:r>
        <w:rPr>
          <w:spacing w:val="-14"/>
        </w:rPr>
        <w:t xml:space="preserve"> </w:t>
      </w:r>
      <w:r>
        <w:t>Assessment</w:t>
      </w:r>
      <w:r>
        <w:rPr>
          <w:spacing w:val="-7"/>
        </w:rPr>
        <w:t xml:space="preserve"> </w:t>
      </w:r>
      <w:r>
        <w:t>(TUDA)</w:t>
      </w:r>
      <w:r>
        <w:rPr>
          <w:spacing w:val="-8"/>
        </w:rPr>
        <w:t xml:space="preserve"> </w:t>
      </w:r>
      <w:r>
        <w:t>district</w:t>
      </w:r>
      <w:r>
        <w:rPr>
          <w:spacing w:val="-8"/>
        </w:rPr>
        <w:t xml:space="preserve"> </w:t>
      </w:r>
      <w:r>
        <w:t>and</w:t>
      </w:r>
      <w:r>
        <w:rPr>
          <w:spacing w:val="-8"/>
        </w:rPr>
        <w:t xml:space="preserve"> </w:t>
      </w:r>
      <w:r>
        <w:t>urbanicity</w:t>
      </w:r>
      <w:r>
        <w:rPr>
          <w:spacing w:val="-8"/>
        </w:rPr>
        <w:t xml:space="preserve"> </w:t>
      </w:r>
      <w:r>
        <w:t>(urban-centric</w:t>
      </w:r>
      <w:r>
        <w:rPr>
          <w:spacing w:val="-8"/>
        </w:rPr>
        <w:t xml:space="preserve"> </w:t>
      </w:r>
      <w:r>
        <w:t>locale)</w:t>
      </w:r>
      <w:r>
        <w:rPr>
          <w:spacing w:val="-8"/>
        </w:rPr>
        <w:t xml:space="preserve"> </w:t>
      </w:r>
      <w:r>
        <w:t>stratum</w:t>
      </w:r>
      <w:r>
        <w:rPr>
          <w:spacing w:val="-8"/>
        </w:rPr>
        <w:t xml:space="preserve"> </w:t>
      </w:r>
      <w:r>
        <w:t>were</w:t>
      </w:r>
      <w:r>
        <w:rPr>
          <w:spacing w:val="-8"/>
        </w:rPr>
        <w:t xml:space="preserve"> </w:t>
      </w:r>
      <w:r>
        <w:t>collapsed</w:t>
      </w:r>
      <w:r>
        <w:rPr>
          <w:spacing w:val="-8"/>
        </w:rPr>
        <w:t xml:space="preserve"> </w:t>
      </w:r>
      <w:r>
        <w:t>first.</w:t>
      </w:r>
      <w:r>
        <w:rPr>
          <w:spacing w:val="-8"/>
        </w:rPr>
        <w:t xml:space="preserve"> </w:t>
      </w:r>
      <w:r>
        <w:t>If</w:t>
      </w:r>
      <w:r>
        <w:rPr>
          <w:spacing w:val="-8"/>
        </w:rPr>
        <w:t xml:space="preserve"> </w:t>
      </w:r>
      <w:r>
        <w:t>further collapsing</w:t>
      </w:r>
      <w:r>
        <w:rPr>
          <w:spacing w:val="-6"/>
        </w:rPr>
        <w:t xml:space="preserve"> </w:t>
      </w:r>
      <w:r>
        <w:t>was</w:t>
      </w:r>
      <w:r>
        <w:rPr>
          <w:spacing w:val="-6"/>
        </w:rPr>
        <w:t xml:space="preserve"> </w:t>
      </w:r>
      <w:r>
        <w:t>required</w:t>
      </w:r>
      <w:r>
        <w:rPr>
          <w:spacing w:val="-6"/>
        </w:rPr>
        <w:t xml:space="preserve"> </w:t>
      </w:r>
      <w:r>
        <w:t>after</w:t>
      </w:r>
      <w:r>
        <w:rPr>
          <w:spacing w:val="-6"/>
        </w:rPr>
        <w:t xml:space="preserve"> </w:t>
      </w:r>
      <w:r>
        <w:t>all</w:t>
      </w:r>
      <w:r>
        <w:rPr>
          <w:spacing w:val="-6"/>
        </w:rPr>
        <w:t xml:space="preserve"> </w:t>
      </w:r>
      <w:r>
        <w:t>levels</w:t>
      </w:r>
      <w:r>
        <w:rPr>
          <w:spacing w:val="-6"/>
        </w:rPr>
        <w:t xml:space="preserve"> </w:t>
      </w:r>
      <w:r>
        <w:t>of</w:t>
      </w:r>
      <w:r>
        <w:rPr>
          <w:spacing w:val="-6"/>
        </w:rPr>
        <w:t xml:space="preserve"> </w:t>
      </w:r>
      <w:r>
        <w:t>the</w:t>
      </w:r>
      <w:r>
        <w:rPr>
          <w:spacing w:val="-6"/>
        </w:rPr>
        <w:t xml:space="preserve"> </w:t>
      </w:r>
      <w:r>
        <w:t>first</w:t>
      </w:r>
      <w:r>
        <w:rPr>
          <w:spacing w:val="-6"/>
        </w:rPr>
        <w:t xml:space="preserve"> </w:t>
      </w:r>
      <w:r>
        <w:t>variable</w:t>
      </w:r>
      <w:r>
        <w:rPr>
          <w:spacing w:val="-6"/>
        </w:rPr>
        <w:t xml:space="preserve"> </w:t>
      </w:r>
      <w:r>
        <w:t>were</w:t>
      </w:r>
      <w:r>
        <w:rPr>
          <w:spacing w:val="-6"/>
        </w:rPr>
        <w:t xml:space="preserve"> </w:t>
      </w:r>
      <w:r>
        <w:t>collapsed,</w:t>
      </w:r>
      <w:r>
        <w:rPr>
          <w:spacing w:val="-6"/>
        </w:rPr>
        <w:t xml:space="preserve"> </w:t>
      </w:r>
      <w:r>
        <w:t>cells</w:t>
      </w:r>
      <w:r>
        <w:rPr>
          <w:spacing w:val="-6"/>
        </w:rPr>
        <w:t xml:space="preserve"> </w:t>
      </w:r>
      <w:r>
        <w:t>with</w:t>
      </w:r>
      <w:r>
        <w:rPr>
          <w:spacing w:val="-6"/>
        </w:rPr>
        <w:t xml:space="preserve"> </w:t>
      </w:r>
      <w:r>
        <w:t>the</w:t>
      </w:r>
      <w:r>
        <w:rPr>
          <w:spacing w:val="-6"/>
        </w:rPr>
        <w:t xml:space="preserve"> </w:t>
      </w:r>
      <w:r>
        <w:t>most</w:t>
      </w:r>
      <w:r>
        <w:rPr>
          <w:spacing w:val="-6"/>
        </w:rPr>
        <w:t xml:space="preserve"> </w:t>
      </w:r>
      <w:r>
        <w:t>similar</w:t>
      </w:r>
      <w:r>
        <w:rPr>
          <w:spacing w:val="-6"/>
        </w:rPr>
        <w:t xml:space="preserve"> </w:t>
      </w:r>
      <w:r>
        <w:t>urbanicity</w:t>
      </w:r>
      <w:r>
        <w:rPr>
          <w:spacing w:val="-6"/>
        </w:rPr>
        <w:t xml:space="preserve"> </w:t>
      </w:r>
      <w:r>
        <w:t>strata</w:t>
      </w:r>
      <w:r>
        <w:rPr>
          <w:spacing w:val="-6"/>
        </w:rPr>
        <w:t xml:space="preserve"> </w:t>
      </w:r>
      <w:r>
        <w:t>were</w:t>
      </w:r>
      <w:r>
        <w:rPr>
          <w:spacing w:val="-6"/>
        </w:rPr>
        <w:t xml:space="preserve"> </w:t>
      </w:r>
      <w:r>
        <w:t>combined</w:t>
      </w:r>
      <w:r>
        <w:rPr>
          <w:spacing w:val="-6"/>
        </w:rPr>
        <w:t xml:space="preserve"> </w:t>
      </w:r>
      <w:r>
        <w:t>next.</w:t>
      </w:r>
      <w:r>
        <w:rPr>
          <w:spacing w:val="-6"/>
        </w:rPr>
        <w:t xml:space="preserve"> </w:t>
      </w:r>
      <w:r>
        <w:t>Cells</w:t>
      </w:r>
      <w:r>
        <w:rPr>
          <w:spacing w:val="-6"/>
        </w:rPr>
        <w:t xml:space="preserve"> </w:t>
      </w:r>
      <w:r>
        <w:t>were</w:t>
      </w:r>
      <w:r>
        <w:rPr>
          <w:spacing w:val="-6"/>
        </w:rPr>
        <w:t xml:space="preserve"> </w:t>
      </w:r>
      <w:r>
        <w:t>never</w:t>
      </w:r>
      <w:r>
        <w:rPr>
          <w:spacing w:val="-6"/>
        </w:rPr>
        <w:t xml:space="preserve"> </w:t>
      </w:r>
      <w:r>
        <w:t>permitted</w:t>
      </w:r>
      <w:r>
        <w:rPr>
          <w:spacing w:val="-6"/>
        </w:rPr>
        <w:t xml:space="preserve"> </w:t>
      </w:r>
      <w:r>
        <w:t>to</w:t>
      </w:r>
      <w:r>
        <w:rPr>
          <w:spacing w:val="-6"/>
        </w:rPr>
        <w:t xml:space="preserve"> </w:t>
      </w:r>
      <w:r>
        <w:t>be collapsed across jurisdictions or TUDA districts.</w:t>
      </w:r>
    </w:p>
    <w:p w:rsidR="003F5784" w14:paraId="2776CBF3" w14:textId="77777777">
      <w:pPr>
        <w:pStyle w:val="Heading2"/>
        <w:spacing w:before="204"/>
        <w:ind w:left="109"/>
      </w:pPr>
      <w:r>
        <w:t>National</w:t>
      </w:r>
      <w:r>
        <w:rPr>
          <w:spacing w:val="-11"/>
        </w:rPr>
        <w:t xml:space="preserve"> </w:t>
      </w:r>
      <w:r>
        <w:t>Public</w:t>
      </w:r>
      <w:r>
        <w:rPr>
          <w:spacing w:val="-6"/>
        </w:rPr>
        <w:t xml:space="preserve"> </w:t>
      </w:r>
      <w:r>
        <w:t>School</w:t>
      </w:r>
      <w:r>
        <w:rPr>
          <w:spacing w:val="-7"/>
        </w:rPr>
        <w:t xml:space="preserve"> </w:t>
      </w:r>
      <w:r>
        <w:t>Samples</w:t>
      </w:r>
      <w:r>
        <w:rPr>
          <w:spacing w:val="-7"/>
        </w:rPr>
        <w:t xml:space="preserve"> </w:t>
      </w:r>
      <w:r>
        <w:t>for</w:t>
      </w:r>
      <w:r>
        <w:rPr>
          <w:spacing w:val="-10"/>
        </w:rPr>
        <w:t xml:space="preserve"> </w:t>
      </w:r>
      <w:r>
        <w:t>Civics</w:t>
      </w:r>
      <w:r>
        <w:rPr>
          <w:spacing w:val="-7"/>
        </w:rPr>
        <w:t xml:space="preserve"> </w:t>
      </w:r>
      <w:r>
        <w:t>and</w:t>
      </w:r>
      <w:r>
        <w:rPr>
          <w:spacing w:val="-7"/>
        </w:rPr>
        <w:t xml:space="preserve"> </w:t>
      </w:r>
      <w:r>
        <w:t>U.S.</w:t>
      </w:r>
      <w:r>
        <w:rPr>
          <w:spacing w:val="-7"/>
        </w:rPr>
        <w:t xml:space="preserve"> </w:t>
      </w:r>
      <w:r>
        <w:t>History</w:t>
      </w:r>
      <w:r>
        <w:rPr>
          <w:spacing w:val="-13"/>
        </w:rPr>
        <w:t xml:space="preserve"> </w:t>
      </w:r>
      <w:r>
        <w:t>Assessments</w:t>
      </w:r>
      <w:r>
        <w:rPr>
          <w:spacing w:val="-6"/>
        </w:rPr>
        <w:t xml:space="preserve"> </w:t>
      </w:r>
      <w:r>
        <w:t>at</w:t>
      </w:r>
      <w:r>
        <w:rPr>
          <w:spacing w:val="-7"/>
        </w:rPr>
        <w:t xml:space="preserve"> </w:t>
      </w:r>
      <w:r>
        <w:t>Grade</w:t>
      </w:r>
      <w:r>
        <w:rPr>
          <w:spacing w:val="-7"/>
        </w:rPr>
        <w:t xml:space="preserve"> </w:t>
      </w:r>
      <w:r>
        <w:rPr>
          <w:spacing w:val="-10"/>
        </w:rPr>
        <w:t>8</w:t>
      </w:r>
    </w:p>
    <w:p w:rsidR="003F5784" w14:paraId="137AE5F9" w14:textId="77777777">
      <w:pPr>
        <w:pStyle w:val="BodyText"/>
        <w:spacing w:before="207" w:line="232" w:lineRule="auto"/>
        <w:ind w:left="109"/>
      </w:pPr>
      <w:r>
        <w:t>For the grade 8 public school civics and U.S. history sample, Black/Hispanic composition stratum cells within a given census division stratum and urbanicity stratum were collapsed</w:t>
      </w:r>
      <w:r>
        <w:rPr>
          <w:spacing w:val="-6"/>
        </w:rPr>
        <w:t xml:space="preserve"> </w:t>
      </w:r>
      <w:r>
        <w:t>first.</w:t>
      </w:r>
      <w:r>
        <w:rPr>
          <w:spacing w:val="-6"/>
        </w:rPr>
        <w:t xml:space="preserve"> </w:t>
      </w:r>
      <w:r>
        <w:t>If</w:t>
      </w:r>
      <w:r>
        <w:rPr>
          <w:spacing w:val="-6"/>
        </w:rPr>
        <w:t xml:space="preserve"> </w:t>
      </w:r>
      <w:r>
        <w:t>further</w:t>
      </w:r>
      <w:r>
        <w:rPr>
          <w:spacing w:val="-6"/>
        </w:rPr>
        <w:t xml:space="preserve"> </w:t>
      </w:r>
      <w:r>
        <w:t>collapsing</w:t>
      </w:r>
      <w:r>
        <w:rPr>
          <w:spacing w:val="-6"/>
        </w:rPr>
        <w:t xml:space="preserve"> </w:t>
      </w:r>
      <w:r>
        <w:t>was</w:t>
      </w:r>
      <w:r>
        <w:rPr>
          <w:spacing w:val="-6"/>
        </w:rPr>
        <w:t xml:space="preserve"> </w:t>
      </w:r>
      <w:r>
        <w:t>required</w:t>
      </w:r>
      <w:r>
        <w:rPr>
          <w:spacing w:val="-6"/>
        </w:rPr>
        <w:t xml:space="preserve"> </w:t>
      </w:r>
      <w:r>
        <w:t>after</w:t>
      </w:r>
      <w:r>
        <w:rPr>
          <w:spacing w:val="-6"/>
        </w:rPr>
        <w:t xml:space="preserve"> </w:t>
      </w:r>
      <w:r>
        <w:t>all</w:t>
      </w:r>
      <w:r>
        <w:rPr>
          <w:spacing w:val="-6"/>
        </w:rPr>
        <w:t xml:space="preserve"> </w:t>
      </w:r>
      <w:r>
        <w:t>levels</w:t>
      </w:r>
      <w:r>
        <w:rPr>
          <w:spacing w:val="-6"/>
        </w:rPr>
        <w:t xml:space="preserve"> </w:t>
      </w:r>
      <w:r>
        <w:t>of</w:t>
      </w:r>
      <w:r>
        <w:rPr>
          <w:spacing w:val="-6"/>
        </w:rPr>
        <w:t xml:space="preserve"> </w:t>
      </w:r>
      <w:r>
        <w:t>race/ethnicity</w:t>
      </w:r>
      <w:r>
        <w:rPr>
          <w:spacing w:val="-6"/>
        </w:rPr>
        <w:t xml:space="preserve"> </w:t>
      </w:r>
      <w:r>
        <w:t>classification</w:t>
      </w:r>
      <w:r>
        <w:rPr>
          <w:spacing w:val="-6"/>
        </w:rPr>
        <w:t xml:space="preserve"> </w:t>
      </w:r>
      <w:r>
        <w:t>were</w:t>
      </w:r>
      <w:r>
        <w:rPr>
          <w:spacing w:val="-6"/>
        </w:rPr>
        <w:t xml:space="preserve"> </w:t>
      </w:r>
      <w:r>
        <w:t>collapsed,</w:t>
      </w:r>
      <w:r>
        <w:rPr>
          <w:spacing w:val="-6"/>
        </w:rPr>
        <w:t xml:space="preserve"> </w:t>
      </w:r>
      <w:r>
        <w:t>cells</w:t>
      </w:r>
      <w:r>
        <w:rPr>
          <w:spacing w:val="-6"/>
        </w:rPr>
        <w:t xml:space="preserve"> </w:t>
      </w:r>
      <w:r>
        <w:t>with</w:t>
      </w:r>
      <w:r>
        <w:rPr>
          <w:spacing w:val="-6"/>
        </w:rPr>
        <w:t xml:space="preserve"> </w:t>
      </w:r>
      <w:r>
        <w:t>the</w:t>
      </w:r>
      <w:r>
        <w:rPr>
          <w:spacing w:val="-6"/>
        </w:rPr>
        <w:t xml:space="preserve"> </w:t>
      </w:r>
      <w:r>
        <w:t>most</w:t>
      </w:r>
      <w:r>
        <w:rPr>
          <w:spacing w:val="-6"/>
        </w:rPr>
        <w:t xml:space="preserve"> </w:t>
      </w:r>
      <w:r>
        <w:t>similar</w:t>
      </w:r>
      <w:r>
        <w:rPr>
          <w:spacing w:val="-6"/>
        </w:rPr>
        <w:t xml:space="preserve"> </w:t>
      </w:r>
      <w:r>
        <w:t>urbanicity</w:t>
      </w:r>
      <w:r>
        <w:rPr>
          <w:spacing w:val="-6"/>
        </w:rPr>
        <w:t xml:space="preserve"> </w:t>
      </w:r>
      <w:r>
        <w:t>strata</w:t>
      </w:r>
      <w:r>
        <w:rPr>
          <w:spacing w:val="-6"/>
        </w:rPr>
        <w:t xml:space="preserve"> </w:t>
      </w:r>
      <w:r>
        <w:t>were</w:t>
      </w:r>
      <w:r>
        <w:rPr>
          <w:spacing w:val="-6"/>
        </w:rPr>
        <w:t xml:space="preserve"> </w:t>
      </w:r>
      <w:r>
        <w:t>combined</w:t>
      </w:r>
      <w:r>
        <w:rPr>
          <w:spacing w:val="-6"/>
        </w:rPr>
        <w:t xml:space="preserve"> </w:t>
      </w:r>
      <w:r>
        <w:t>next. Any further collapsing occurred across census division strata but never across census regions.</w:t>
      </w:r>
    </w:p>
    <w:p w:rsidR="003F5784" w14:paraId="6CD539E0" w14:textId="77777777">
      <w:pPr>
        <w:spacing w:line="232" w:lineRule="auto"/>
        <w:sectPr>
          <w:type w:val="continuous"/>
          <w:pgSz w:w="15840" w:h="12240" w:orient="landscape"/>
          <w:pgMar w:top="480" w:right="440" w:bottom="460" w:left="460" w:header="284" w:footer="275" w:gutter="0"/>
          <w:cols w:space="720"/>
        </w:sectPr>
      </w:pPr>
    </w:p>
    <w:p w:rsidR="003F5784" w14:paraId="4B1A3DF6" w14:textId="77777777">
      <w:pPr>
        <w:pStyle w:val="Heading2"/>
        <w:spacing w:before="72"/>
        <w:ind w:left="109"/>
      </w:pPr>
      <w:r>
        <w:t>National</w:t>
      </w:r>
      <w:r>
        <w:rPr>
          <w:spacing w:val="-14"/>
        </w:rPr>
        <w:t xml:space="preserve"> </w:t>
      </w:r>
      <w:r>
        <w:t>Public</w:t>
      </w:r>
      <w:r>
        <w:rPr>
          <w:spacing w:val="-13"/>
        </w:rPr>
        <w:t xml:space="preserve"> </w:t>
      </w:r>
      <w:r>
        <w:t>School</w:t>
      </w:r>
      <w:r>
        <w:rPr>
          <w:spacing w:val="-8"/>
        </w:rPr>
        <w:t xml:space="preserve"> </w:t>
      </w:r>
      <w:r>
        <w:t>Samples</w:t>
      </w:r>
      <w:r>
        <w:rPr>
          <w:spacing w:val="-8"/>
        </w:rPr>
        <w:t xml:space="preserve"> </w:t>
      </w:r>
      <w:r>
        <w:t>for</w:t>
      </w:r>
      <w:r>
        <w:rPr>
          <w:spacing w:val="-12"/>
        </w:rPr>
        <w:t xml:space="preserve"> </w:t>
      </w:r>
      <w:r>
        <w:t>Mathematics</w:t>
      </w:r>
      <w:r>
        <w:rPr>
          <w:spacing w:val="-8"/>
        </w:rPr>
        <w:t xml:space="preserve"> </w:t>
      </w:r>
      <w:r>
        <w:t>and</w:t>
      </w:r>
      <w:r>
        <w:rPr>
          <w:spacing w:val="-9"/>
        </w:rPr>
        <w:t xml:space="preserve"> </w:t>
      </w:r>
      <w:r>
        <w:t>Reading</w:t>
      </w:r>
      <w:r>
        <w:rPr>
          <w:spacing w:val="-8"/>
        </w:rPr>
        <w:t xml:space="preserve"> </w:t>
      </w:r>
      <w:r>
        <w:t>LTT</w:t>
      </w:r>
      <w:r>
        <w:rPr>
          <w:spacing w:val="-16"/>
        </w:rPr>
        <w:t xml:space="preserve"> </w:t>
      </w:r>
      <w:r>
        <w:t>Assessments</w:t>
      </w:r>
      <w:r>
        <w:rPr>
          <w:spacing w:val="-8"/>
        </w:rPr>
        <w:t xml:space="preserve"> </w:t>
      </w:r>
      <w:r>
        <w:t>at</w:t>
      </w:r>
      <w:r>
        <w:rPr>
          <w:spacing w:val="-13"/>
        </w:rPr>
        <w:t xml:space="preserve"> </w:t>
      </w:r>
      <w:r>
        <w:t>Ages</w:t>
      </w:r>
      <w:r>
        <w:rPr>
          <w:spacing w:val="-9"/>
        </w:rPr>
        <w:t xml:space="preserve"> </w:t>
      </w:r>
      <w:r>
        <w:t>9</w:t>
      </w:r>
      <w:r>
        <w:rPr>
          <w:spacing w:val="-8"/>
        </w:rPr>
        <w:t xml:space="preserve"> </w:t>
      </w:r>
      <w:r>
        <w:t>and</w:t>
      </w:r>
      <w:r>
        <w:rPr>
          <w:spacing w:val="-8"/>
        </w:rPr>
        <w:t xml:space="preserve"> </w:t>
      </w:r>
      <w:r>
        <w:rPr>
          <w:spacing w:val="-5"/>
        </w:rPr>
        <w:t>13</w:t>
      </w:r>
    </w:p>
    <w:p w:rsidR="003F5784" w14:paraId="48C7DC4F" w14:textId="77777777">
      <w:pPr>
        <w:pStyle w:val="BodyText"/>
        <w:spacing w:before="208" w:line="232" w:lineRule="auto"/>
        <w:ind w:left="109"/>
      </w:pPr>
      <w:r>
        <w:t>For</w:t>
      </w:r>
      <w:r>
        <w:rPr>
          <w:spacing w:val="-7"/>
        </w:rPr>
        <w:t xml:space="preserve"> </w:t>
      </w:r>
      <w:r>
        <w:t>the</w:t>
      </w:r>
      <w:r>
        <w:rPr>
          <w:spacing w:val="-7"/>
        </w:rPr>
        <w:t xml:space="preserve"> </w:t>
      </w:r>
      <w:r>
        <w:t>LTT</w:t>
      </w:r>
      <w:r>
        <w:rPr>
          <w:spacing w:val="-11"/>
        </w:rPr>
        <w:t xml:space="preserve"> </w:t>
      </w:r>
      <w:r>
        <w:t>public</w:t>
      </w:r>
      <w:r>
        <w:rPr>
          <w:spacing w:val="-7"/>
        </w:rPr>
        <w:t xml:space="preserve"> </w:t>
      </w:r>
      <w:r>
        <w:t>school</w:t>
      </w:r>
      <w:r>
        <w:rPr>
          <w:spacing w:val="-7"/>
        </w:rPr>
        <w:t xml:space="preserve"> </w:t>
      </w:r>
      <w:r>
        <w:t>samples</w:t>
      </w:r>
      <w:r>
        <w:rPr>
          <w:spacing w:val="-7"/>
        </w:rPr>
        <w:t xml:space="preserve"> </w:t>
      </w:r>
      <w:r>
        <w:t>for</w:t>
      </w:r>
      <w:r>
        <w:rPr>
          <w:spacing w:val="-7"/>
        </w:rPr>
        <w:t xml:space="preserve"> </w:t>
      </w:r>
      <w:r>
        <w:t>mathematics</w:t>
      </w:r>
      <w:r>
        <w:rPr>
          <w:spacing w:val="-7"/>
        </w:rPr>
        <w:t xml:space="preserve"> </w:t>
      </w:r>
      <w:r>
        <w:t>and</w:t>
      </w:r>
      <w:r>
        <w:rPr>
          <w:spacing w:val="-7"/>
        </w:rPr>
        <w:t xml:space="preserve"> </w:t>
      </w:r>
      <w:r>
        <w:t>reading,</w:t>
      </w:r>
      <w:r>
        <w:rPr>
          <w:spacing w:val="-7"/>
        </w:rPr>
        <w:t xml:space="preserve"> </w:t>
      </w:r>
      <w:r>
        <w:t>race/ethnicity</w:t>
      </w:r>
      <w:r>
        <w:rPr>
          <w:spacing w:val="-7"/>
        </w:rPr>
        <w:t xml:space="preserve"> </w:t>
      </w:r>
      <w:r>
        <w:t>classification</w:t>
      </w:r>
      <w:r>
        <w:rPr>
          <w:spacing w:val="-7"/>
        </w:rPr>
        <w:t xml:space="preserve"> </w:t>
      </w:r>
      <w:r>
        <w:t>cells</w:t>
      </w:r>
      <w:r>
        <w:rPr>
          <w:spacing w:val="-7"/>
        </w:rPr>
        <w:t xml:space="preserve"> </w:t>
      </w:r>
      <w:r>
        <w:t>within</w:t>
      </w:r>
      <w:r>
        <w:rPr>
          <w:spacing w:val="-7"/>
        </w:rPr>
        <w:t xml:space="preserve"> </w:t>
      </w:r>
      <w:r>
        <w:t>a</w:t>
      </w:r>
      <w:r>
        <w:rPr>
          <w:spacing w:val="-7"/>
        </w:rPr>
        <w:t xml:space="preserve"> </w:t>
      </w:r>
      <w:r>
        <w:t>given</w:t>
      </w:r>
      <w:r>
        <w:rPr>
          <w:spacing w:val="-7"/>
        </w:rPr>
        <w:t xml:space="preserve"> </w:t>
      </w:r>
      <w:r>
        <w:t>census</w:t>
      </w:r>
      <w:r>
        <w:rPr>
          <w:spacing w:val="-7"/>
        </w:rPr>
        <w:t xml:space="preserve"> </w:t>
      </w:r>
      <w:r>
        <w:t>region</w:t>
      </w:r>
      <w:r>
        <w:rPr>
          <w:spacing w:val="-7"/>
        </w:rPr>
        <w:t xml:space="preserve"> </w:t>
      </w:r>
      <w:r>
        <w:t>stratum</w:t>
      </w:r>
      <w:r>
        <w:rPr>
          <w:spacing w:val="-7"/>
        </w:rPr>
        <w:t xml:space="preserve"> </w:t>
      </w:r>
      <w:r>
        <w:t>and</w:t>
      </w:r>
      <w:r>
        <w:rPr>
          <w:spacing w:val="-7"/>
        </w:rPr>
        <w:t xml:space="preserve"> </w:t>
      </w:r>
      <w:r>
        <w:t>urbanicity</w:t>
      </w:r>
      <w:r>
        <w:rPr>
          <w:spacing w:val="-7"/>
        </w:rPr>
        <w:t xml:space="preserve"> </w:t>
      </w:r>
      <w:r>
        <w:t>stratum</w:t>
      </w:r>
      <w:r>
        <w:rPr>
          <w:spacing w:val="-7"/>
        </w:rPr>
        <w:t xml:space="preserve"> </w:t>
      </w:r>
      <w:r>
        <w:t>were</w:t>
      </w:r>
      <w:r>
        <w:rPr>
          <w:spacing w:val="-7"/>
        </w:rPr>
        <w:t xml:space="preserve"> </w:t>
      </w:r>
      <w:r>
        <w:t>collapsed first.</w:t>
      </w:r>
      <w:r>
        <w:rPr>
          <w:spacing w:val="40"/>
        </w:rPr>
        <w:t xml:space="preserve"> </w:t>
      </w:r>
      <w:r>
        <w:t>Any further collapsing occurred across urbanicity strata but never across census regions.</w:t>
      </w:r>
    </w:p>
    <w:p w:rsidR="003F5784" w14:paraId="365BA9A7" w14:textId="77777777">
      <w:pPr>
        <w:pStyle w:val="Heading2"/>
        <w:spacing w:before="203"/>
        <w:ind w:left="109"/>
      </w:pPr>
      <w:r>
        <w:t>National</w:t>
      </w:r>
      <w:r>
        <w:rPr>
          <w:spacing w:val="-11"/>
        </w:rPr>
        <w:t xml:space="preserve"> </w:t>
      </w:r>
      <w:r>
        <w:t>Private</w:t>
      </w:r>
      <w:r>
        <w:rPr>
          <w:spacing w:val="-7"/>
        </w:rPr>
        <w:t xml:space="preserve"> </w:t>
      </w:r>
      <w:r>
        <w:t>School</w:t>
      </w:r>
      <w:r>
        <w:rPr>
          <w:spacing w:val="-7"/>
        </w:rPr>
        <w:t xml:space="preserve"> </w:t>
      </w:r>
      <w:r>
        <w:t>Samples</w:t>
      </w:r>
      <w:r>
        <w:rPr>
          <w:spacing w:val="-7"/>
        </w:rPr>
        <w:t xml:space="preserve"> </w:t>
      </w:r>
      <w:r>
        <w:t>for</w:t>
      </w:r>
      <w:r>
        <w:rPr>
          <w:spacing w:val="-11"/>
        </w:rPr>
        <w:t xml:space="preserve"> </w:t>
      </w:r>
      <w:r>
        <w:t>Mathematics</w:t>
      </w:r>
      <w:r>
        <w:rPr>
          <w:spacing w:val="-7"/>
        </w:rPr>
        <w:t xml:space="preserve"> </w:t>
      </w:r>
      <w:r>
        <w:t>and</w:t>
      </w:r>
      <w:r>
        <w:rPr>
          <w:spacing w:val="-7"/>
        </w:rPr>
        <w:t xml:space="preserve"> </w:t>
      </w:r>
      <w:r>
        <w:t>Reading</w:t>
      </w:r>
      <w:r>
        <w:rPr>
          <w:spacing w:val="-13"/>
        </w:rPr>
        <w:t xml:space="preserve"> </w:t>
      </w:r>
      <w:r>
        <w:t>Assessments</w:t>
      </w:r>
      <w:r>
        <w:rPr>
          <w:spacing w:val="-7"/>
        </w:rPr>
        <w:t xml:space="preserve"> </w:t>
      </w:r>
      <w:r>
        <w:t>at</w:t>
      </w:r>
      <w:r>
        <w:rPr>
          <w:spacing w:val="-7"/>
        </w:rPr>
        <w:t xml:space="preserve"> </w:t>
      </w:r>
      <w:r>
        <w:t>Grades</w:t>
      </w:r>
      <w:r>
        <w:rPr>
          <w:spacing w:val="-7"/>
        </w:rPr>
        <w:t xml:space="preserve"> </w:t>
      </w:r>
      <w:r>
        <w:t>4</w:t>
      </w:r>
      <w:r>
        <w:rPr>
          <w:spacing w:val="-7"/>
        </w:rPr>
        <w:t xml:space="preserve"> </w:t>
      </w:r>
      <w:r>
        <w:t>and</w:t>
      </w:r>
      <w:r>
        <w:rPr>
          <w:spacing w:val="-7"/>
        </w:rPr>
        <w:t xml:space="preserve"> </w:t>
      </w:r>
      <w:r>
        <w:rPr>
          <w:spacing w:val="-10"/>
        </w:rPr>
        <w:t>8</w:t>
      </w:r>
    </w:p>
    <w:p w:rsidR="003F5784" w14:paraId="7588352B" w14:textId="77777777">
      <w:pPr>
        <w:pStyle w:val="BodyText"/>
        <w:spacing w:before="207" w:line="232" w:lineRule="auto"/>
        <w:ind w:left="109"/>
      </w:pPr>
      <w:r>
        <w:t>For</w:t>
      </w:r>
      <w:r>
        <w:rPr>
          <w:spacing w:val="-6"/>
        </w:rPr>
        <w:t xml:space="preserve"> </w:t>
      </w:r>
      <w:r>
        <w:t>the</w:t>
      </w:r>
      <w:r>
        <w:rPr>
          <w:spacing w:val="-6"/>
        </w:rPr>
        <w:t xml:space="preserve"> </w:t>
      </w:r>
      <w:r>
        <w:t>grade</w:t>
      </w:r>
      <w:r>
        <w:rPr>
          <w:spacing w:val="-6"/>
        </w:rPr>
        <w:t xml:space="preserve"> </w:t>
      </w:r>
      <w:r>
        <w:t>4</w:t>
      </w:r>
      <w:r>
        <w:rPr>
          <w:spacing w:val="-6"/>
        </w:rPr>
        <w:t xml:space="preserve"> </w:t>
      </w:r>
      <w:r>
        <w:t>and</w:t>
      </w:r>
      <w:r>
        <w:rPr>
          <w:spacing w:val="-6"/>
        </w:rPr>
        <w:t xml:space="preserve"> </w:t>
      </w:r>
      <w:r>
        <w:t>8</w:t>
      </w:r>
      <w:r>
        <w:rPr>
          <w:spacing w:val="-6"/>
        </w:rPr>
        <w:t xml:space="preserve"> </w:t>
      </w:r>
      <w:r>
        <w:t>private</w:t>
      </w:r>
      <w:r>
        <w:rPr>
          <w:spacing w:val="-6"/>
        </w:rPr>
        <w:t xml:space="preserve"> </w:t>
      </w:r>
      <w:r>
        <w:t>school</w:t>
      </w:r>
      <w:r>
        <w:rPr>
          <w:spacing w:val="-6"/>
        </w:rPr>
        <w:t xml:space="preserve"> </w:t>
      </w:r>
      <w:r>
        <w:t>samples</w:t>
      </w:r>
      <w:r>
        <w:rPr>
          <w:spacing w:val="-6"/>
        </w:rPr>
        <w:t xml:space="preserve"> </w:t>
      </w:r>
      <w:r>
        <w:t>for</w:t>
      </w:r>
      <w:r>
        <w:rPr>
          <w:spacing w:val="-6"/>
        </w:rPr>
        <w:t xml:space="preserve"> </w:t>
      </w:r>
      <w:r>
        <w:t>mathematics</w:t>
      </w:r>
      <w:r>
        <w:rPr>
          <w:spacing w:val="-6"/>
        </w:rPr>
        <w:t xml:space="preserve"> </w:t>
      </w:r>
      <w:r>
        <w:t>and</w:t>
      </w:r>
      <w:r>
        <w:rPr>
          <w:spacing w:val="-6"/>
        </w:rPr>
        <w:t xml:space="preserve"> </w:t>
      </w:r>
      <w:r>
        <w:t>reading,</w:t>
      </w:r>
      <w:r>
        <w:rPr>
          <w:spacing w:val="-6"/>
        </w:rPr>
        <w:t xml:space="preserve"> </w:t>
      </w:r>
      <w:r>
        <w:t>cells</w:t>
      </w:r>
      <w:r>
        <w:rPr>
          <w:spacing w:val="-6"/>
        </w:rPr>
        <w:t xml:space="preserve"> </w:t>
      </w:r>
      <w:r>
        <w:t>with</w:t>
      </w:r>
      <w:r>
        <w:rPr>
          <w:spacing w:val="-6"/>
        </w:rPr>
        <w:t xml:space="preserve"> </w:t>
      </w:r>
      <w:r>
        <w:t>the</w:t>
      </w:r>
      <w:r>
        <w:rPr>
          <w:spacing w:val="-6"/>
        </w:rPr>
        <w:t xml:space="preserve"> </w:t>
      </w:r>
      <w:r>
        <w:t>most</w:t>
      </w:r>
      <w:r>
        <w:rPr>
          <w:spacing w:val="-6"/>
        </w:rPr>
        <w:t xml:space="preserve"> </w:t>
      </w:r>
      <w:r>
        <w:t>similar</w:t>
      </w:r>
      <w:r>
        <w:rPr>
          <w:spacing w:val="-6"/>
        </w:rPr>
        <w:t xml:space="preserve"> </w:t>
      </w:r>
      <w:r>
        <w:t>race/ethnicity</w:t>
      </w:r>
      <w:r>
        <w:rPr>
          <w:spacing w:val="-6"/>
        </w:rPr>
        <w:t xml:space="preserve"> </w:t>
      </w:r>
      <w:r>
        <w:t>classification</w:t>
      </w:r>
      <w:r>
        <w:rPr>
          <w:spacing w:val="-6"/>
        </w:rPr>
        <w:t xml:space="preserve"> </w:t>
      </w:r>
      <w:r>
        <w:t>within</w:t>
      </w:r>
      <w:r>
        <w:rPr>
          <w:spacing w:val="-6"/>
        </w:rPr>
        <w:t xml:space="preserve"> </w:t>
      </w:r>
      <w:r>
        <w:t>a</w:t>
      </w:r>
      <w:r>
        <w:rPr>
          <w:spacing w:val="-6"/>
        </w:rPr>
        <w:t xml:space="preserve"> </w:t>
      </w:r>
      <w:r>
        <w:t>given</w:t>
      </w:r>
      <w:r>
        <w:rPr>
          <w:spacing w:val="-6"/>
        </w:rPr>
        <w:t xml:space="preserve"> </w:t>
      </w:r>
      <w:r>
        <w:t>affiliation,</w:t>
      </w:r>
      <w:r>
        <w:rPr>
          <w:spacing w:val="-6"/>
        </w:rPr>
        <w:t xml:space="preserve"> </w:t>
      </w:r>
      <w:r>
        <w:t>census</w:t>
      </w:r>
      <w:r>
        <w:rPr>
          <w:spacing w:val="-6"/>
        </w:rPr>
        <w:t xml:space="preserve"> </w:t>
      </w:r>
      <w:r>
        <w:t>region,</w:t>
      </w:r>
      <w:r>
        <w:rPr>
          <w:spacing w:val="-6"/>
        </w:rPr>
        <w:t xml:space="preserve"> </w:t>
      </w:r>
      <w:r>
        <w:t>and urbanicity stratum were collapsed first. If further collapsing was required after all levels of race/ethnicity strata were collapsed, cells with the most similar urbanicity classification were combined.</w:t>
      </w:r>
      <w:r>
        <w:rPr>
          <w:spacing w:val="-7"/>
        </w:rPr>
        <w:t xml:space="preserve"> </w:t>
      </w:r>
      <w:r>
        <w:t>Any further collapsing occurred across census region strata but never across affiliations.</w:t>
      </w:r>
    </w:p>
    <w:p w:rsidR="003F5784" w14:paraId="056CBA18" w14:textId="77777777">
      <w:pPr>
        <w:pStyle w:val="Heading2"/>
        <w:spacing w:before="204"/>
        <w:ind w:left="109"/>
      </w:pPr>
      <w:r>
        <w:t>National</w:t>
      </w:r>
      <w:r>
        <w:rPr>
          <w:spacing w:val="-11"/>
        </w:rPr>
        <w:t xml:space="preserve"> </w:t>
      </w:r>
      <w:r>
        <w:t>Private</w:t>
      </w:r>
      <w:r>
        <w:rPr>
          <w:spacing w:val="-7"/>
        </w:rPr>
        <w:t xml:space="preserve"> </w:t>
      </w:r>
      <w:r>
        <w:t>School</w:t>
      </w:r>
      <w:r>
        <w:rPr>
          <w:spacing w:val="-6"/>
        </w:rPr>
        <w:t xml:space="preserve"> </w:t>
      </w:r>
      <w:r>
        <w:t>Samples</w:t>
      </w:r>
      <w:r>
        <w:rPr>
          <w:spacing w:val="-7"/>
        </w:rPr>
        <w:t xml:space="preserve"> </w:t>
      </w:r>
      <w:r>
        <w:t>for</w:t>
      </w:r>
      <w:r>
        <w:rPr>
          <w:spacing w:val="-11"/>
        </w:rPr>
        <w:t xml:space="preserve"> </w:t>
      </w:r>
      <w:r>
        <w:t>Civics</w:t>
      </w:r>
      <w:r>
        <w:rPr>
          <w:spacing w:val="-6"/>
        </w:rPr>
        <w:t xml:space="preserve"> </w:t>
      </w:r>
      <w:r>
        <w:t>and</w:t>
      </w:r>
      <w:r>
        <w:rPr>
          <w:spacing w:val="-7"/>
        </w:rPr>
        <w:t xml:space="preserve"> </w:t>
      </w:r>
      <w:r>
        <w:t>U.S.</w:t>
      </w:r>
      <w:r>
        <w:rPr>
          <w:spacing w:val="-7"/>
        </w:rPr>
        <w:t xml:space="preserve"> </w:t>
      </w:r>
      <w:r>
        <w:t>History</w:t>
      </w:r>
      <w:r>
        <w:rPr>
          <w:spacing w:val="-13"/>
        </w:rPr>
        <w:t xml:space="preserve"> </w:t>
      </w:r>
      <w:r>
        <w:t>Assessments</w:t>
      </w:r>
      <w:r>
        <w:rPr>
          <w:spacing w:val="-7"/>
        </w:rPr>
        <w:t xml:space="preserve"> </w:t>
      </w:r>
      <w:r>
        <w:t>at</w:t>
      </w:r>
      <w:r>
        <w:rPr>
          <w:spacing w:val="-7"/>
        </w:rPr>
        <w:t xml:space="preserve"> </w:t>
      </w:r>
      <w:r>
        <w:t>Grade</w:t>
      </w:r>
      <w:r>
        <w:rPr>
          <w:spacing w:val="-7"/>
        </w:rPr>
        <w:t xml:space="preserve"> </w:t>
      </w:r>
      <w:r>
        <w:rPr>
          <w:spacing w:val="-10"/>
        </w:rPr>
        <w:t>8</w:t>
      </w:r>
    </w:p>
    <w:p w:rsidR="003F5784" w14:paraId="372BEDC8" w14:textId="77777777">
      <w:pPr>
        <w:pStyle w:val="BodyText"/>
        <w:spacing w:before="208" w:line="232" w:lineRule="auto"/>
        <w:ind w:left="109" w:right="354"/>
        <w:jc w:val="both"/>
      </w:pPr>
      <w:r>
        <w:t>For</w:t>
      </w:r>
      <w:r>
        <w:rPr>
          <w:spacing w:val="-6"/>
        </w:rPr>
        <w:t xml:space="preserve"> </w:t>
      </w:r>
      <w:r>
        <w:t>the</w:t>
      </w:r>
      <w:r>
        <w:rPr>
          <w:spacing w:val="-6"/>
        </w:rPr>
        <w:t xml:space="preserve"> </w:t>
      </w:r>
      <w:r>
        <w:t>grade</w:t>
      </w:r>
      <w:r>
        <w:rPr>
          <w:spacing w:val="-6"/>
        </w:rPr>
        <w:t xml:space="preserve"> </w:t>
      </w:r>
      <w:r>
        <w:t>8</w:t>
      </w:r>
      <w:r>
        <w:rPr>
          <w:spacing w:val="-6"/>
        </w:rPr>
        <w:t xml:space="preserve"> </w:t>
      </w:r>
      <w:r>
        <w:t>private</w:t>
      </w:r>
      <w:r>
        <w:rPr>
          <w:spacing w:val="-6"/>
        </w:rPr>
        <w:t xml:space="preserve"> </w:t>
      </w:r>
      <w:r>
        <w:t>school</w:t>
      </w:r>
      <w:r>
        <w:rPr>
          <w:spacing w:val="-6"/>
        </w:rPr>
        <w:t xml:space="preserve"> </w:t>
      </w:r>
      <w:r>
        <w:t>civics</w:t>
      </w:r>
      <w:r>
        <w:rPr>
          <w:spacing w:val="-6"/>
        </w:rPr>
        <w:t xml:space="preserve"> </w:t>
      </w:r>
      <w:r>
        <w:t>and</w:t>
      </w:r>
      <w:r>
        <w:rPr>
          <w:spacing w:val="-6"/>
        </w:rPr>
        <w:t xml:space="preserve"> </w:t>
      </w:r>
      <w:r>
        <w:t>U.S.</w:t>
      </w:r>
      <w:r>
        <w:rPr>
          <w:spacing w:val="-6"/>
        </w:rPr>
        <w:t xml:space="preserve"> </w:t>
      </w:r>
      <w:r>
        <w:t>history</w:t>
      </w:r>
      <w:r>
        <w:rPr>
          <w:spacing w:val="-6"/>
        </w:rPr>
        <w:t xml:space="preserve"> </w:t>
      </w:r>
      <w:r>
        <w:t>samples,</w:t>
      </w:r>
      <w:r>
        <w:rPr>
          <w:spacing w:val="-6"/>
        </w:rPr>
        <w:t xml:space="preserve"> </w:t>
      </w:r>
      <w:r>
        <w:t>cells</w:t>
      </w:r>
      <w:r>
        <w:rPr>
          <w:spacing w:val="-6"/>
        </w:rPr>
        <w:t xml:space="preserve"> </w:t>
      </w:r>
      <w:r>
        <w:t>with</w:t>
      </w:r>
      <w:r>
        <w:rPr>
          <w:spacing w:val="-6"/>
        </w:rPr>
        <w:t xml:space="preserve"> </w:t>
      </w:r>
      <w:r>
        <w:t>the</w:t>
      </w:r>
      <w:r>
        <w:rPr>
          <w:spacing w:val="-6"/>
        </w:rPr>
        <w:t xml:space="preserve"> </w:t>
      </w:r>
      <w:r>
        <w:t>most</w:t>
      </w:r>
      <w:r>
        <w:rPr>
          <w:spacing w:val="-6"/>
        </w:rPr>
        <w:t xml:space="preserve"> </w:t>
      </w:r>
      <w:r>
        <w:t>similar</w:t>
      </w:r>
      <w:r>
        <w:rPr>
          <w:spacing w:val="-6"/>
        </w:rPr>
        <w:t xml:space="preserve"> </w:t>
      </w:r>
      <w:r>
        <w:t>race/ethnicity</w:t>
      </w:r>
      <w:r>
        <w:rPr>
          <w:spacing w:val="-6"/>
        </w:rPr>
        <w:t xml:space="preserve"> </w:t>
      </w:r>
      <w:r>
        <w:t>classification</w:t>
      </w:r>
      <w:r>
        <w:rPr>
          <w:spacing w:val="-6"/>
        </w:rPr>
        <w:t xml:space="preserve"> </w:t>
      </w:r>
      <w:r>
        <w:t>within</w:t>
      </w:r>
      <w:r>
        <w:rPr>
          <w:spacing w:val="-6"/>
        </w:rPr>
        <w:t xml:space="preserve"> </w:t>
      </w:r>
      <w:r>
        <w:t>a</w:t>
      </w:r>
      <w:r>
        <w:rPr>
          <w:spacing w:val="-6"/>
        </w:rPr>
        <w:t xml:space="preserve"> </w:t>
      </w:r>
      <w:r>
        <w:t>given</w:t>
      </w:r>
      <w:r>
        <w:rPr>
          <w:spacing w:val="-6"/>
        </w:rPr>
        <w:t xml:space="preserve"> </w:t>
      </w:r>
      <w:r>
        <w:t>affiliation,</w:t>
      </w:r>
      <w:r>
        <w:rPr>
          <w:spacing w:val="-6"/>
        </w:rPr>
        <w:t xml:space="preserve"> </w:t>
      </w:r>
      <w:r>
        <w:t>census</w:t>
      </w:r>
      <w:r>
        <w:rPr>
          <w:spacing w:val="-6"/>
        </w:rPr>
        <w:t xml:space="preserve"> </w:t>
      </w:r>
      <w:r>
        <w:t>region,</w:t>
      </w:r>
      <w:r>
        <w:rPr>
          <w:spacing w:val="-6"/>
        </w:rPr>
        <w:t xml:space="preserve"> </w:t>
      </w:r>
      <w:r>
        <w:t>and</w:t>
      </w:r>
      <w:r>
        <w:rPr>
          <w:spacing w:val="-6"/>
        </w:rPr>
        <w:t xml:space="preserve"> </w:t>
      </w:r>
      <w:r>
        <w:t>urbanicity stratum</w:t>
      </w:r>
      <w:r>
        <w:rPr>
          <w:spacing w:val="-6"/>
        </w:rPr>
        <w:t xml:space="preserve"> </w:t>
      </w:r>
      <w:r>
        <w:t>were</w:t>
      </w:r>
      <w:r>
        <w:rPr>
          <w:spacing w:val="-6"/>
        </w:rPr>
        <w:t xml:space="preserve"> </w:t>
      </w:r>
      <w:r>
        <w:t>collapsed</w:t>
      </w:r>
      <w:r>
        <w:rPr>
          <w:spacing w:val="-6"/>
        </w:rPr>
        <w:t xml:space="preserve"> </w:t>
      </w:r>
      <w:r>
        <w:t>first.</w:t>
      </w:r>
      <w:r>
        <w:rPr>
          <w:spacing w:val="-6"/>
        </w:rPr>
        <w:t xml:space="preserve"> </w:t>
      </w:r>
      <w:r>
        <w:t>If</w:t>
      </w:r>
      <w:r>
        <w:rPr>
          <w:spacing w:val="-6"/>
        </w:rPr>
        <w:t xml:space="preserve"> </w:t>
      </w:r>
      <w:r>
        <w:t>further</w:t>
      </w:r>
      <w:r>
        <w:rPr>
          <w:spacing w:val="-6"/>
        </w:rPr>
        <w:t xml:space="preserve"> </w:t>
      </w:r>
      <w:r>
        <w:t>collapsing</w:t>
      </w:r>
      <w:r>
        <w:rPr>
          <w:spacing w:val="-6"/>
        </w:rPr>
        <w:t xml:space="preserve"> </w:t>
      </w:r>
      <w:r>
        <w:t>was</w:t>
      </w:r>
      <w:r>
        <w:rPr>
          <w:spacing w:val="-6"/>
        </w:rPr>
        <w:t xml:space="preserve"> </w:t>
      </w:r>
      <w:r>
        <w:t>required</w:t>
      </w:r>
      <w:r>
        <w:rPr>
          <w:spacing w:val="-6"/>
        </w:rPr>
        <w:t xml:space="preserve"> </w:t>
      </w:r>
      <w:r>
        <w:t>after</w:t>
      </w:r>
      <w:r>
        <w:rPr>
          <w:spacing w:val="-6"/>
        </w:rPr>
        <w:t xml:space="preserve"> </w:t>
      </w:r>
      <w:r>
        <w:t>all</w:t>
      </w:r>
      <w:r>
        <w:rPr>
          <w:spacing w:val="-6"/>
        </w:rPr>
        <w:t xml:space="preserve"> </w:t>
      </w:r>
      <w:r>
        <w:t>levels</w:t>
      </w:r>
      <w:r>
        <w:rPr>
          <w:spacing w:val="-6"/>
        </w:rPr>
        <w:t xml:space="preserve"> </w:t>
      </w:r>
      <w:r>
        <w:t>of</w:t>
      </w:r>
      <w:r>
        <w:rPr>
          <w:spacing w:val="-6"/>
        </w:rPr>
        <w:t xml:space="preserve"> </w:t>
      </w:r>
      <w:r>
        <w:t>race/ethnicity</w:t>
      </w:r>
      <w:r>
        <w:rPr>
          <w:spacing w:val="-6"/>
        </w:rPr>
        <w:t xml:space="preserve"> </w:t>
      </w:r>
      <w:r>
        <w:t>strata</w:t>
      </w:r>
      <w:r>
        <w:rPr>
          <w:spacing w:val="-6"/>
        </w:rPr>
        <w:t xml:space="preserve"> </w:t>
      </w:r>
      <w:r>
        <w:t>were</w:t>
      </w:r>
      <w:r>
        <w:rPr>
          <w:spacing w:val="-6"/>
        </w:rPr>
        <w:t xml:space="preserve"> </w:t>
      </w:r>
      <w:r>
        <w:t>collapsed,</w:t>
      </w:r>
      <w:r>
        <w:rPr>
          <w:spacing w:val="-6"/>
        </w:rPr>
        <w:t xml:space="preserve"> </w:t>
      </w:r>
      <w:r>
        <w:t>cells</w:t>
      </w:r>
      <w:r>
        <w:rPr>
          <w:spacing w:val="-6"/>
        </w:rPr>
        <w:t xml:space="preserve"> </w:t>
      </w:r>
      <w:r>
        <w:t>with</w:t>
      </w:r>
      <w:r>
        <w:rPr>
          <w:spacing w:val="-6"/>
        </w:rPr>
        <w:t xml:space="preserve"> </w:t>
      </w:r>
      <w:r>
        <w:t>the</w:t>
      </w:r>
      <w:r>
        <w:rPr>
          <w:spacing w:val="-6"/>
        </w:rPr>
        <w:t xml:space="preserve"> </w:t>
      </w:r>
      <w:r>
        <w:t>most</w:t>
      </w:r>
      <w:r>
        <w:rPr>
          <w:spacing w:val="-6"/>
        </w:rPr>
        <w:t xml:space="preserve"> </w:t>
      </w:r>
      <w:r>
        <w:t>similar</w:t>
      </w:r>
      <w:r>
        <w:rPr>
          <w:spacing w:val="-6"/>
        </w:rPr>
        <w:t xml:space="preserve"> </w:t>
      </w:r>
      <w:r>
        <w:t>urbanicity</w:t>
      </w:r>
      <w:r>
        <w:rPr>
          <w:spacing w:val="-6"/>
        </w:rPr>
        <w:t xml:space="preserve"> </w:t>
      </w:r>
      <w:r>
        <w:t>classification</w:t>
      </w:r>
      <w:r>
        <w:rPr>
          <w:spacing w:val="-6"/>
        </w:rPr>
        <w:t xml:space="preserve"> </w:t>
      </w:r>
      <w:r>
        <w:t>were combined.</w:t>
      </w:r>
      <w:r>
        <w:rPr>
          <w:spacing w:val="-6"/>
        </w:rPr>
        <w:t xml:space="preserve"> </w:t>
      </w:r>
      <w:r>
        <w:t>Any further collapsing occurred across census region strata but never across affiliations.</w:t>
      </w:r>
    </w:p>
    <w:p w:rsidR="003F5784" w14:paraId="2B4DDAF0" w14:textId="77777777">
      <w:pPr>
        <w:pStyle w:val="Heading2"/>
        <w:spacing w:before="203"/>
        <w:ind w:left="109"/>
      </w:pPr>
      <w:r>
        <w:t>National</w:t>
      </w:r>
      <w:r>
        <w:rPr>
          <w:spacing w:val="-14"/>
        </w:rPr>
        <w:t xml:space="preserve"> </w:t>
      </w:r>
      <w:r>
        <w:t>Private</w:t>
      </w:r>
      <w:r>
        <w:rPr>
          <w:spacing w:val="-13"/>
        </w:rPr>
        <w:t xml:space="preserve"> </w:t>
      </w:r>
      <w:r>
        <w:t>School</w:t>
      </w:r>
      <w:r>
        <w:rPr>
          <w:spacing w:val="-8"/>
        </w:rPr>
        <w:t xml:space="preserve"> </w:t>
      </w:r>
      <w:r>
        <w:t>Samples</w:t>
      </w:r>
      <w:r>
        <w:rPr>
          <w:spacing w:val="-9"/>
        </w:rPr>
        <w:t xml:space="preserve"> </w:t>
      </w:r>
      <w:r>
        <w:t>for</w:t>
      </w:r>
      <w:r>
        <w:rPr>
          <w:spacing w:val="-12"/>
        </w:rPr>
        <w:t xml:space="preserve"> </w:t>
      </w:r>
      <w:r>
        <w:t>Mathematics</w:t>
      </w:r>
      <w:r>
        <w:rPr>
          <w:spacing w:val="-8"/>
        </w:rPr>
        <w:t xml:space="preserve"> </w:t>
      </w:r>
      <w:r>
        <w:t>and</w:t>
      </w:r>
      <w:r>
        <w:rPr>
          <w:spacing w:val="-8"/>
        </w:rPr>
        <w:t xml:space="preserve"> </w:t>
      </w:r>
      <w:r>
        <w:t>Reading</w:t>
      </w:r>
      <w:r>
        <w:rPr>
          <w:spacing w:val="-9"/>
        </w:rPr>
        <w:t xml:space="preserve"> </w:t>
      </w:r>
      <w:r>
        <w:t>LTT</w:t>
      </w:r>
      <w:r>
        <w:rPr>
          <w:spacing w:val="-16"/>
        </w:rPr>
        <w:t xml:space="preserve"> </w:t>
      </w:r>
      <w:r>
        <w:t>Assessments</w:t>
      </w:r>
      <w:r>
        <w:rPr>
          <w:spacing w:val="-8"/>
        </w:rPr>
        <w:t xml:space="preserve"> </w:t>
      </w:r>
      <w:r>
        <w:t>at</w:t>
      </w:r>
      <w:r>
        <w:rPr>
          <w:spacing w:val="-13"/>
        </w:rPr>
        <w:t xml:space="preserve"> </w:t>
      </w:r>
      <w:r>
        <w:t>Ages</w:t>
      </w:r>
      <w:r>
        <w:rPr>
          <w:spacing w:val="-8"/>
        </w:rPr>
        <w:t xml:space="preserve"> </w:t>
      </w:r>
      <w:r>
        <w:t>9</w:t>
      </w:r>
      <w:r>
        <w:rPr>
          <w:spacing w:val="-9"/>
        </w:rPr>
        <w:t xml:space="preserve"> </w:t>
      </w:r>
      <w:r>
        <w:t>and</w:t>
      </w:r>
      <w:r>
        <w:rPr>
          <w:spacing w:val="-8"/>
        </w:rPr>
        <w:t xml:space="preserve"> </w:t>
      </w:r>
      <w:r>
        <w:rPr>
          <w:spacing w:val="-5"/>
        </w:rPr>
        <w:t>13</w:t>
      </w:r>
    </w:p>
    <w:p w:rsidR="003F5784" w14:paraId="64D4F563" w14:textId="77777777">
      <w:pPr>
        <w:pStyle w:val="BodyText"/>
        <w:spacing w:before="208" w:line="232" w:lineRule="auto"/>
        <w:ind w:left="109"/>
      </w:pPr>
      <w:r>
        <w:t>For</w:t>
      </w:r>
      <w:r>
        <w:rPr>
          <w:spacing w:val="-11"/>
        </w:rPr>
        <w:t xml:space="preserve"> </w:t>
      </w:r>
      <w:r>
        <w:t>the</w:t>
      </w:r>
      <w:r>
        <w:rPr>
          <w:spacing w:val="-7"/>
        </w:rPr>
        <w:t xml:space="preserve"> </w:t>
      </w:r>
      <w:r>
        <w:t>LTT</w:t>
      </w:r>
      <w:r>
        <w:rPr>
          <w:spacing w:val="-11"/>
        </w:rPr>
        <w:t xml:space="preserve"> </w:t>
      </w:r>
      <w:r>
        <w:t>private</w:t>
      </w:r>
      <w:r>
        <w:rPr>
          <w:spacing w:val="-7"/>
        </w:rPr>
        <w:t xml:space="preserve"> </w:t>
      </w:r>
      <w:r>
        <w:t>school</w:t>
      </w:r>
      <w:r>
        <w:rPr>
          <w:spacing w:val="-7"/>
        </w:rPr>
        <w:t xml:space="preserve"> </w:t>
      </w:r>
      <w:r>
        <w:t>samples</w:t>
      </w:r>
      <w:r>
        <w:rPr>
          <w:spacing w:val="-7"/>
        </w:rPr>
        <w:t xml:space="preserve"> </w:t>
      </w:r>
      <w:r>
        <w:t>for</w:t>
      </w:r>
      <w:r>
        <w:rPr>
          <w:spacing w:val="-7"/>
        </w:rPr>
        <w:t xml:space="preserve"> </w:t>
      </w:r>
      <w:r>
        <w:t>mathematics</w:t>
      </w:r>
      <w:r>
        <w:rPr>
          <w:spacing w:val="-7"/>
        </w:rPr>
        <w:t xml:space="preserve"> </w:t>
      </w:r>
      <w:r>
        <w:t>and</w:t>
      </w:r>
      <w:r>
        <w:rPr>
          <w:spacing w:val="-7"/>
        </w:rPr>
        <w:t xml:space="preserve"> </w:t>
      </w:r>
      <w:r>
        <w:t>reading,</w:t>
      </w:r>
      <w:r>
        <w:rPr>
          <w:spacing w:val="-7"/>
        </w:rPr>
        <w:t xml:space="preserve"> </w:t>
      </w:r>
      <w:r>
        <w:t>urbanicity</w:t>
      </w:r>
      <w:r>
        <w:rPr>
          <w:spacing w:val="-7"/>
        </w:rPr>
        <w:t xml:space="preserve"> </w:t>
      </w:r>
      <w:r>
        <w:t>strata</w:t>
      </w:r>
      <w:r>
        <w:rPr>
          <w:spacing w:val="-7"/>
        </w:rPr>
        <w:t xml:space="preserve"> </w:t>
      </w:r>
      <w:r>
        <w:t>within</w:t>
      </w:r>
      <w:r>
        <w:rPr>
          <w:spacing w:val="-7"/>
        </w:rPr>
        <w:t xml:space="preserve"> </w:t>
      </w:r>
      <w:r>
        <w:t>a</w:t>
      </w:r>
      <w:r>
        <w:rPr>
          <w:spacing w:val="-7"/>
        </w:rPr>
        <w:t xml:space="preserve"> </w:t>
      </w:r>
      <w:r>
        <w:t>given</w:t>
      </w:r>
      <w:r>
        <w:rPr>
          <w:spacing w:val="-7"/>
        </w:rPr>
        <w:t xml:space="preserve"> </w:t>
      </w:r>
      <w:r>
        <w:t>affiliation</w:t>
      </w:r>
      <w:r>
        <w:rPr>
          <w:spacing w:val="-7"/>
        </w:rPr>
        <w:t xml:space="preserve"> </w:t>
      </w:r>
      <w:r>
        <w:t>and</w:t>
      </w:r>
      <w:r>
        <w:rPr>
          <w:spacing w:val="-7"/>
        </w:rPr>
        <w:t xml:space="preserve"> </w:t>
      </w:r>
      <w:r>
        <w:t>census</w:t>
      </w:r>
      <w:r>
        <w:rPr>
          <w:spacing w:val="-7"/>
        </w:rPr>
        <w:t xml:space="preserve"> </w:t>
      </w:r>
      <w:r>
        <w:t>region</w:t>
      </w:r>
      <w:r>
        <w:rPr>
          <w:spacing w:val="-7"/>
        </w:rPr>
        <w:t xml:space="preserve"> </w:t>
      </w:r>
      <w:r>
        <w:t>were</w:t>
      </w:r>
      <w:r>
        <w:rPr>
          <w:spacing w:val="-7"/>
        </w:rPr>
        <w:t xml:space="preserve"> </w:t>
      </w:r>
      <w:r>
        <w:t>collapsed</w:t>
      </w:r>
      <w:r>
        <w:rPr>
          <w:spacing w:val="-7"/>
        </w:rPr>
        <w:t xml:space="preserve"> </w:t>
      </w:r>
      <w:r>
        <w:t>first.</w:t>
      </w:r>
      <w:r>
        <w:rPr>
          <w:spacing w:val="-14"/>
        </w:rPr>
        <w:t xml:space="preserve"> </w:t>
      </w:r>
      <w:r>
        <w:t>Any</w:t>
      </w:r>
      <w:r>
        <w:rPr>
          <w:spacing w:val="-6"/>
        </w:rPr>
        <w:t xml:space="preserve"> </w:t>
      </w:r>
      <w:r>
        <w:t>further</w:t>
      </w:r>
      <w:r>
        <w:rPr>
          <w:spacing w:val="-7"/>
        </w:rPr>
        <w:t xml:space="preserve"> </w:t>
      </w:r>
      <w:r>
        <w:t>collapsing occurred across census region strata but never across affiliations.</w:t>
      </w:r>
    </w:p>
    <w:p w:rsidR="003F5784" w14:paraId="58D6CCC0" w14:textId="77777777">
      <w:pPr>
        <w:pStyle w:val="BodyText"/>
      </w:pPr>
    </w:p>
    <w:p w:rsidR="003F5784" w14:paraId="4379D045" w14:textId="77777777">
      <w:pPr>
        <w:pStyle w:val="BodyText"/>
        <w:spacing w:before="178"/>
      </w:pPr>
    </w:p>
    <w:p w:rsidR="003F5784" w14:paraId="3337BDD6" w14:textId="77777777">
      <w:pPr>
        <w:ind w:left="4374"/>
        <w:rPr>
          <w:sz w:val="18"/>
        </w:rPr>
      </w:pPr>
      <w:hyperlink r:id="rId418">
        <w:r>
          <w:rPr>
            <w:spacing w:val="-2"/>
            <w:w w:val="105"/>
            <w:sz w:val="18"/>
          </w:rPr>
          <w:t>http://nces.ed.gov/nationsreportcard/tdw/weighting/2022/development_of_final_school_nonresponse_cells_for_the_2022_assessment.aspx</w:t>
        </w:r>
      </w:hyperlink>
    </w:p>
    <w:p w:rsidR="003F5784" w14:paraId="7C7A7B41" w14:textId="77777777">
      <w:pPr>
        <w:pStyle w:val="BodyText"/>
        <w:spacing w:before="1"/>
        <w:rPr>
          <w:sz w:val="16"/>
        </w:rPr>
      </w:pPr>
      <w:r>
        <w:rPr>
          <w:noProof/>
        </w:rPr>
        <mc:AlternateContent>
          <mc:Choice Requires="wps">
            <w:drawing>
              <wp:anchor distT="0" distB="0" distL="0" distR="0" simplePos="0" relativeHeight="251982848" behindDoc="1" locked="0" layoutInCell="1" allowOverlap="1">
                <wp:simplePos x="0" y="0"/>
                <wp:positionH relativeFrom="page">
                  <wp:posOffset>361937</wp:posOffset>
                </wp:positionH>
                <wp:positionV relativeFrom="paragraph">
                  <wp:posOffset>132946</wp:posOffset>
                </wp:positionV>
                <wp:extent cx="9339580" cy="8890"/>
                <wp:effectExtent l="0" t="0" r="0" b="0"/>
                <wp:wrapTopAndBottom/>
                <wp:docPr id="523" name="Graphic 523"/>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63"/>
                              </a:moveTo>
                              <a:lnTo>
                                <a:pt x="9335110" y="63"/>
                              </a:lnTo>
                              <a:lnTo>
                                <a:pt x="8280" y="63"/>
                              </a:lnTo>
                              <a:lnTo>
                                <a:pt x="0" y="0"/>
                              </a:lnTo>
                              <a:lnTo>
                                <a:pt x="0" y="8280"/>
                              </a:lnTo>
                              <a:lnTo>
                                <a:pt x="9335110" y="8343"/>
                              </a:lnTo>
                              <a:lnTo>
                                <a:pt x="9338970" y="8343"/>
                              </a:lnTo>
                              <a:lnTo>
                                <a:pt x="9338970" y="63"/>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23" o:spid="_x0000_s1173" style="width:735.4pt;height:0.7pt;margin-top:10.45pt;margin-left:28.5pt;mso-position-horizontal-relative:page;mso-wrap-distance-bottom:0;mso-wrap-distance-left:0;mso-wrap-distance-right:0;mso-wrap-distance-top:0;mso-wrap-style:square;position:absolute;visibility:visible;v-text-anchor:top;z-index:-251332608" coordsize="9339580,8890" path="m9338970,63l9335110,63l8280,63,,,,8280l9335110,8343l9338970,8343l9338970,63xe" fillcolor="gray" stroked="f">
                <v:path arrowok="t"/>
                <w10:wrap type="topAndBottom"/>
              </v:shape>
            </w:pict>
          </mc:Fallback>
        </mc:AlternateContent>
      </w:r>
    </w:p>
    <w:p w:rsidR="003F5784" w14:paraId="01D75584" w14:textId="77777777">
      <w:pPr>
        <w:pStyle w:val="BodyText"/>
        <w:rPr>
          <w:sz w:val="18"/>
        </w:rPr>
      </w:pPr>
    </w:p>
    <w:p w:rsidR="003F5784" w14:paraId="3CF867D2" w14:textId="77777777">
      <w:pPr>
        <w:pStyle w:val="BodyText"/>
        <w:spacing w:before="193"/>
        <w:rPr>
          <w:sz w:val="18"/>
        </w:rPr>
      </w:pPr>
    </w:p>
    <w:p w:rsidR="003F5784" w14:paraId="20B3A5FB" w14:textId="323DEC07">
      <w:pPr>
        <w:pStyle w:val="Heading1"/>
        <w:jc w:val="both"/>
      </w:pPr>
      <w:r>
        <w:t>NAEP</w:t>
      </w:r>
      <w:r>
        <w:rPr>
          <w:spacing w:val="-21"/>
        </w:rPr>
        <w:t xml:space="preserve"> </w:t>
      </w:r>
      <w:r>
        <w:t>Technical</w:t>
      </w:r>
      <w:r>
        <w:rPr>
          <w:spacing w:val="13"/>
        </w:rPr>
        <w:t xml:space="preserve"> </w:t>
      </w:r>
      <w:r>
        <w:t>Documentation</w:t>
      </w:r>
      <w:r w:rsidR="00E3225D">
        <w:t xml:space="preserve"> </w:t>
      </w:r>
      <w:r>
        <w:t>Development</w:t>
      </w:r>
      <w:r>
        <w:rPr>
          <w:spacing w:val="13"/>
        </w:rPr>
        <w:t xml:space="preserve"> </w:t>
      </w:r>
      <w:r>
        <w:t>of</w:t>
      </w:r>
      <w:r>
        <w:rPr>
          <w:spacing w:val="12"/>
        </w:rPr>
        <w:t xml:space="preserve"> </w:t>
      </w:r>
      <w:r>
        <w:t>Initial</w:t>
      </w:r>
      <w:r>
        <w:rPr>
          <w:spacing w:val="13"/>
        </w:rPr>
        <w:t xml:space="preserve"> </w:t>
      </w:r>
      <w:r>
        <w:t>School</w:t>
      </w:r>
      <w:r>
        <w:rPr>
          <w:spacing w:val="13"/>
        </w:rPr>
        <w:t xml:space="preserve"> </w:t>
      </w:r>
      <w:r>
        <w:t>Nonresponse</w:t>
      </w:r>
      <w:r>
        <w:rPr>
          <w:spacing w:val="13"/>
        </w:rPr>
        <w:t xml:space="preserve"> </w:t>
      </w:r>
      <w:r>
        <w:rPr>
          <w:spacing w:val="-2"/>
        </w:rPr>
        <w:t>Cells</w:t>
      </w:r>
    </w:p>
    <w:p w:rsidR="003F5784" w14:paraId="26F34BA0" w14:textId="77777777">
      <w:pPr>
        <w:pStyle w:val="BodyText"/>
        <w:spacing w:before="295" w:line="232" w:lineRule="auto"/>
        <w:ind w:left="109" w:right="179"/>
      </w:pPr>
      <w:r>
        <w:t>The</w:t>
      </w:r>
      <w:r>
        <w:rPr>
          <w:spacing w:val="-5"/>
        </w:rPr>
        <w:t xml:space="preserve"> </w:t>
      </w:r>
      <w:r>
        <w:t>cells</w:t>
      </w:r>
      <w:r>
        <w:rPr>
          <w:spacing w:val="-5"/>
        </w:rPr>
        <w:t xml:space="preserve"> </w:t>
      </w:r>
      <w:r>
        <w:t>for</w:t>
      </w:r>
      <w:r>
        <w:rPr>
          <w:spacing w:val="-5"/>
        </w:rPr>
        <w:t xml:space="preserve"> </w:t>
      </w:r>
      <w:r>
        <w:t>nonresponse</w:t>
      </w:r>
      <w:r>
        <w:rPr>
          <w:spacing w:val="-5"/>
        </w:rPr>
        <w:t xml:space="preserve"> </w:t>
      </w:r>
      <w:r>
        <w:t>adjustments</w:t>
      </w:r>
      <w:r>
        <w:rPr>
          <w:spacing w:val="-5"/>
        </w:rPr>
        <w:t xml:space="preserve"> </w:t>
      </w:r>
      <w:r>
        <w:t>are</w:t>
      </w:r>
      <w:r>
        <w:rPr>
          <w:spacing w:val="-5"/>
        </w:rPr>
        <w:t xml:space="preserve"> </w:t>
      </w:r>
      <w:r>
        <w:t>generally</w:t>
      </w:r>
      <w:r>
        <w:rPr>
          <w:spacing w:val="-5"/>
        </w:rPr>
        <w:t xml:space="preserve"> </w:t>
      </w:r>
      <w:r>
        <w:t>functions</w:t>
      </w:r>
      <w:r>
        <w:rPr>
          <w:spacing w:val="-5"/>
        </w:rPr>
        <w:t xml:space="preserve"> </w:t>
      </w:r>
      <w:r>
        <w:t>of</w:t>
      </w:r>
      <w:r>
        <w:rPr>
          <w:spacing w:val="-5"/>
        </w:rPr>
        <w:t xml:space="preserve"> </w:t>
      </w:r>
      <w:r>
        <w:t>the</w:t>
      </w:r>
      <w:r>
        <w:rPr>
          <w:spacing w:val="-5"/>
        </w:rPr>
        <w:t xml:space="preserve"> </w:t>
      </w:r>
      <w:r>
        <w:t>school</w:t>
      </w:r>
      <w:r>
        <w:rPr>
          <w:spacing w:val="-5"/>
        </w:rPr>
        <w:t xml:space="preserve"> </w:t>
      </w:r>
      <w:r>
        <w:t>sampling</w:t>
      </w:r>
      <w:r>
        <w:rPr>
          <w:spacing w:val="-5"/>
        </w:rPr>
        <w:t xml:space="preserve"> </w:t>
      </w:r>
      <w:r>
        <w:t>strata</w:t>
      </w:r>
      <w:r>
        <w:rPr>
          <w:spacing w:val="-5"/>
        </w:rPr>
        <w:t xml:space="preserve"> </w:t>
      </w:r>
      <w:r>
        <w:t>for</w:t>
      </w:r>
      <w:r>
        <w:rPr>
          <w:spacing w:val="-5"/>
        </w:rPr>
        <w:t xml:space="preserve"> </w:t>
      </w:r>
      <w:r>
        <w:t>the</w:t>
      </w:r>
      <w:r>
        <w:rPr>
          <w:spacing w:val="-5"/>
        </w:rPr>
        <w:t xml:space="preserve"> </w:t>
      </w:r>
      <w:r>
        <w:t>individual</w:t>
      </w:r>
      <w:r>
        <w:rPr>
          <w:spacing w:val="-5"/>
        </w:rPr>
        <w:t xml:space="preserve"> </w:t>
      </w:r>
      <w:r>
        <w:t>samples.</w:t>
      </w:r>
      <w:r>
        <w:rPr>
          <w:spacing w:val="-5"/>
        </w:rPr>
        <w:t xml:space="preserve"> </w:t>
      </w:r>
      <w:r>
        <w:t>School</w:t>
      </w:r>
      <w:r>
        <w:rPr>
          <w:spacing w:val="-5"/>
        </w:rPr>
        <w:t xml:space="preserve"> </w:t>
      </w:r>
      <w:r>
        <w:t>sampling</w:t>
      </w:r>
      <w:r>
        <w:rPr>
          <w:spacing w:val="-5"/>
        </w:rPr>
        <w:t xml:space="preserve"> </w:t>
      </w:r>
      <w:r>
        <w:t>strata</w:t>
      </w:r>
      <w:r>
        <w:rPr>
          <w:spacing w:val="-5"/>
        </w:rPr>
        <w:t xml:space="preserve"> </w:t>
      </w:r>
      <w:r>
        <w:t>usually</w:t>
      </w:r>
      <w:r>
        <w:rPr>
          <w:spacing w:val="-5"/>
        </w:rPr>
        <w:t xml:space="preserve"> </w:t>
      </w:r>
      <w:r>
        <w:t>differ</w:t>
      </w:r>
      <w:r>
        <w:rPr>
          <w:spacing w:val="-5"/>
        </w:rPr>
        <w:t xml:space="preserve"> </w:t>
      </w:r>
      <w:r>
        <w:t>by</w:t>
      </w:r>
      <w:r>
        <w:rPr>
          <w:spacing w:val="-5"/>
        </w:rPr>
        <w:t xml:space="preserve"> </w:t>
      </w:r>
      <w:r>
        <w:t>assessment subject,</w:t>
      </w:r>
      <w:r>
        <w:rPr>
          <w:spacing w:val="-9"/>
        </w:rPr>
        <w:t xml:space="preserve"> </w:t>
      </w:r>
      <w:r>
        <w:t>grade</w:t>
      </w:r>
      <w:r>
        <w:rPr>
          <w:spacing w:val="-7"/>
        </w:rPr>
        <w:t xml:space="preserve"> </w:t>
      </w:r>
      <w:r>
        <w:t>(or</w:t>
      </w:r>
      <w:r>
        <w:rPr>
          <w:spacing w:val="-7"/>
        </w:rPr>
        <w:t xml:space="preserve"> </w:t>
      </w:r>
      <w:r>
        <w:t>age</w:t>
      </w:r>
      <w:r>
        <w:rPr>
          <w:spacing w:val="-7"/>
        </w:rPr>
        <w:t xml:space="preserve"> </w:t>
      </w:r>
      <w:r>
        <w:t>for</w:t>
      </w:r>
      <w:r>
        <w:rPr>
          <w:spacing w:val="-7"/>
        </w:rPr>
        <w:t xml:space="preserve"> </w:t>
      </w:r>
      <w:r>
        <w:t>long-term</w:t>
      </w:r>
      <w:r>
        <w:rPr>
          <w:spacing w:val="-7"/>
        </w:rPr>
        <w:t xml:space="preserve"> </w:t>
      </w:r>
      <w:r>
        <w:t>trend</w:t>
      </w:r>
      <w:r>
        <w:rPr>
          <w:spacing w:val="-7"/>
        </w:rPr>
        <w:t xml:space="preserve"> </w:t>
      </w:r>
      <w:r>
        <w:t>[LTT]),</w:t>
      </w:r>
      <w:r>
        <w:rPr>
          <w:spacing w:val="-7"/>
        </w:rPr>
        <w:t xml:space="preserve"> </w:t>
      </w:r>
      <w:r>
        <w:t>and</w:t>
      </w:r>
      <w:r>
        <w:rPr>
          <w:spacing w:val="-7"/>
        </w:rPr>
        <w:t xml:space="preserve"> </w:t>
      </w:r>
      <w:r>
        <w:t>school</w:t>
      </w:r>
      <w:r>
        <w:rPr>
          <w:spacing w:val="-7"/>
        </w:rPr>
        <w:t xml:space="preserve"> </w:t>
      </w:r>
      <w:r>
        <w:t>type</w:t>
      </w:r>
      <w:r>
        <w:rPr>
          <w:spacing w:val="-7"/>
        </w:rPr>
        <w:t xml:space="preserve"> </w:t>
      </w:r>
      <w:r>
        <w:t>(public</w:t>
      </w:r>
      <w:r>
        <w:rPr>
          <w:spacing w:val="-7"/>
        </w:rPr>
        <w:t xml:space="preserve"> </w:t>
      </w:r>
      <w:r>
        <w:t>or</w:t>
      </w:r>
      <w:r>
        <w:rPr>
          <w:spacing w:val="-7"/>
        </w:rPr>
        <w:t xml:space="preserve"> </w:t>
      </w:r>
      <w:r>
        <w:t>private).</w:t>
      </w:r>
      <w:r>
        <w:rPr>
          <w:spacing w:val="-14"/>
        </w:rPr>
        <w:t xml:space="preserve"> </w:t>
      </w:r>
      <w:r>
        <w:t>Assessment</w:t>
      </w:r>
      <w:r>
        <w:rPr>
          <w:spacing w:val="-6"/>
        </w:rPr>
        <w:t xml:space="preserve"> </w:t>
      </w:r>
      <w:r>
        <w:t>subjects</w:t>
      </w:r>
      <w:r>
        <w:rPr>
          <w:spacing w:val="-7"/>
        </w:rPr>
        <w:t xml:space="preserve"> </w:t>
      </w:r>
      <w:r>
        <w:t>that</w:t>
      </w:r>
      <w:r>
        <w:rPr>
          <w:spacing w:val="-7"/>
        </w:rPr>
        <w:t xml:space="preserve"> </w:t>
      </w:r>
      <w:r>
        <w:t>are</w:t>
      </w:r>
      <w:r>
        <w:rPr>
          <w:spacing w:val="-7"/>
        </w:rPr>
        <w:t xml:space="preserve"> </w:t>
      </w:r>
      <w:r>
        <w:t>administered</w:t>
      </w:r>
      <w:r>
        <w:rPr>
          <w:spacing w:val="-7"/>
        </w:rPr>
        <w:t xml:space="preserve"> </w:t>
      </w:r>
      <w:r>
        <w:t>together</w:t>
      </w:r>
      <w:r>
        <w:rPr>
          <w:spacing w:val="-7"/>
        </w:rPr>
        <w:t xml:space="preserve"> </w:t>
      </w:r>
      <w:r>
        <w:t>by</w:t>
      </w:r>
      <w:r>
        <w:rPr>
          <w:spacing w:val="-7"/>
        </w:rPr>
        <w:t xml:space="preserve"> </w:t>
      </w:r>
      <w:r>
        <w:t>way</w:t>
      </w:r>
      <w:r>
        <w:rPr>
          <w:spacing w:val="-7"/>
        </w:rPr>
        <w:t xml:space="preserve"> </w:t>
      </w:r>
      <w:r>
        <w:t>of</w:t>
      </w:r>
      <w:r>
        <w:rPr>
          <w:spacing w:val="-7"/>
        </w:rPr>
        <w:t xml:space="preserve"> </w:t>
      </w:r>
      <w:r>
        <w:t>spiraling</w:t>
      </w:r>
      <w:r>
        <w:rPr>
          <w:spacing w:val="-7"/>
        </w:rPr>
        <w:t xml:space="preserve"> </w:t>
      </w:r>
      <w:r>
        <w:t>have</w:t>
      </w:r>
      <w:r>
        <w:rPr>
          <w:spacing w:val="-7"/>
        </w:rPr>
        <w:t xml:space="preserve"> </w:t>
      </w:r>
      <w:r>
        <w:t>the</w:t>
      </w:r>
      <w:r>
        <w:rPr>
          <w:spacing w:val="-7"/>
        </w:rPr>
        <w:t xml:space="preserve"> </w:t>
      </w:r>
      <w:r>
        <w:t>same school samples and stratification schemes. Subjects that are not spiraled with any other subjects have their own separate school sample. In NAEP</w:t>
      </w:r>
      <w:r>
        <w:rPr>
          <w:spacing w:val="-7"/>
        </w:rPr>
        <w:t xml:space="preserve"> </w:t>
      </w:r>
      <w:r>
        <w:t>2022, the following assessments were spiraled together:</w:t>
      </w:r>
    </w:p>
    <w:p w:rsidR="003F5784" w14:paraId="5EA910DD" w14:textId="77777777">
      <w:pPr>
        <w:pStyle w:val="BodyText"/>
        <w:spacing w:before="210" w:line="232" w:lineRule="auto"/>
        <w:ind w:left="422" w:right="9636"/>
      </w:pPr>
      <w:r>
        <w:rPr>
          <w:noProof/>
          <w:position w:val="3"/>
        </w:rPr>
        <w:drawing>
          <wp:inline distT="0" distB="0" distL="0" distR="0">
            <wp:extent cx="41379" cy="41378"/>
            <wp:effectExtent l="0" t="0" r="0" b="0"/>
            <wp:docPr id="524" name="Image 524"/>
            <wp:cNvGraphicFramePr/>
            <a:graphic xmlns:a="http://schemas.openxmlformats.org/drawingml/2006/main">
              <a:graphicData uri="http://schemas.openxmlformats.org/drawingml/2006/picture">
                <pic:pic xmlns:pic="http://schemas.openxmlformats.org/drawingml/2006/picture">
                  <pic:nvPicPr>
                    <pic:cNvPr id="524" name="Image 524"/>
                    <pic:cNvPicPr/>
                  </pic:nvPicPr>
                  <pic:blipFill>
                    <a:blip xmlns:r="http://schemas.openxmlformats.org/officeDocument/2006/relationships" r:embed="rId419" cstate="print"/>
                    <a:stretch>
                      <a:fillRect/>
                    </a:stretch>
                  </pic:blipFill>
                  <pic:spPr>
                    <a:xfrm>
                      <a:off x="0" y="0"/>
                      <a:ext cx="41379" cy="41378"/>
                    </a:xfrm>
                    <a:prstGeom prst="rect">
                      <a:avLst/>
                    </a:prstGeom>
                  </pic:spPr>
                </pic:pic>
              </a:graphicData>
            </a:graphic>
          </wp:inline>
        </w:drawing>
      </w:r>
      <w:r>
        <w:rPr>
          <w:spacing w:val="77"/>
          <w:sz w:val="20"/>
        </w:rPr>
        <w:t xml:space="preserve"> </w:t>
      </w:r>
      <w:r>
        <w:t>mathematics</w:t>
      </w:r>
      <w:r>
        <w:rPr>
          <w:spacing w:val="-7"/>
        </w:rPr>
        <w:t xml:space="preserve"> </w:t>
      </w:r>
      <w:r>
        <w:t>and</w:t>
      </w:r>
      <w:r>
        <w:rPr>
          <w:spacing w:val="-7"/>
        </w:rPr>
        <w:t xml:space="preserve"> </w:t>
      </w:r>
      <w:r>
        <w:t>reading</w:t>
      </w:r>
      <w:r>
        <w:rPr>
          <w:spacing w:val="-7"/>
        </w:rPr>
        <w:t xml:space="preserve"> </w:t>
      </w:r>
      <w:r>
        <w:t>assessments</w:t>
      </w:r>
      <w:r>
        <w:rPr>
          <w:spacing w:val="-7"/>
        </w:rPr>
        <w:t xml:space="preserve"> </w:t>
      </w:r>
      <w:r>
        <w:t>at</w:t>
      </w:r>
      <w:r>
        <w:rPr>
          <w:spacing w:val="-7"/>
        </w:rPr>
        <w:t xml:space="preserve"> </w:t>
      </w:r>
      <w:r>
        <w:t>grades</w:t>
      </w:r>
      <w:r>
        <w:rPr>
          <w:spacing w:val="-7"/>
        </w:rPr>
        <w:t xml:space="preserve"> </w:t>
      </w:r>
      <w:r>
        <w:t>4</w:t>
      </w:r>
      <w:r>
        <w:rPr>
          <w:spacing w:val="-7"/>
        </w:rPr>
        <w:t xml:space="preserve"> </w:t>
      </w:r>
      <w:r>
        <w:t>and</w:t>
      </w:r>
      <w:r>
        <w:rPr>
          <w:spacing w:val="-7"/>
        </w:rPr>
        <w:t xml:space="preserve"> </w:t>
      </w:r>
      <w:r>
        <w:t xml:space="preserve">8; </w:t>
      </w:r>
      <w:r>
        <w:rPr>
          <w:noProof/>
          <w:position w:val="3"/>
        </w:rPr>
        <w:drawing>
          <wp:inline distT="0" distB="0" distL="0" distR="0">
            <wp:extent cx="41379" cy="41378"/>
            <wp:effectExtent l="0" t="0" r="0" b="0"/>
            <wp:docPr id="525" name="Image 525"/>
            <wp:cNvGraphicFramePr/>
            <a:graphic xmlns:a="http://schemas.openxmlformats.org/drawingml/2006/main">
              <a:graphicData uri="http://schemas.openxmlformats.org/drawingml/2006/picture">
                <pic:pic xmlns:pic="http://schemas.openxmlformats.org/drawingml/2006/picture">
                  <pic:nvPicPr>
                    <pic:cNvPr id="525" name="Image 525"/>
                    <pic:cNvPicPr/>
                  </pic:nvPicPr>
                  <pic:blipFill>
                    <a:blip xmlns:r="http://schemas.openxmlformats.org/officeDocument/2006/relationships" r:embed="rId420" cstate="print"/>
                    <a:stretch>
                      <a:fillRect/>
                    </a:stretch>
                  </pic:blipFill>
                  <pic:spPr>
                    <a:xfrm>
                      <a:off x="0" y="0"/>
                      <a:ext cx="41379" cy="41378"/>
                    </a:xfrm>
                    <a:prstGeom prst="rect">
                      <a:avLst/>
                    </a:prstGeom>
                  </pic:spPr>
                </pic:pic>
              </a:graphicData>
            </a:graphic>
          </wp:inline>
        </w:drawing>
      </w:r>
      <w:r>
        <w:rPr>
          <w:spacing w:val="80"/>
        </w:rPr>
        <w:t xml:space="preserve"> </w:t>
      </w:r>
      <w:r>
        <w:t>civics and U.S. history assessments at grade 8; and</w:t>
      </w:r>
    </w:p>
    <w:p w:rsidR="003F5784" w14:paraId="16F8E307" w14:textId="77777777">
      <w:pPr>
        <w:pStyle w:val="BodyText"/>
        <w:spacing w:line="236" w:lineRule="exact"/>
        <w:ind w:left="422"/>
      </w:pPr>
      <w:r>
        <w:rPr>
          <w:noProof/>
          <w:position w:val="3"/>
        </w:rPr>
        <w:drawing>
          <wp:inline distT="0" distB="0" distL="0" distR="0">
            <wp:extent cx="41379" cy="41378"/>
            <wp:effectExtent l="0" t="0" r="0" b="0"/>
            <wp:docPr id="526" name="Image 526"/>
            <wp:cNvGraphicFramePr/>
            <a:graphic xmlns:a="http://schemas.openxmlformats.org/drawingml/2006/main">
              <a:graphicData uri="http://schemas.openxmlformats.org/drawingml/2006/picture">
                <pic:pic xmlns:pic="http://schemas.openxmlformats.org/drawingml/2006/picture">
                  <pic:nvPicPr>
                    <pic:cNvPr id="526" name="Image 526"/>
                    <pic:cNvPicPr/>
                  </pic:nvPicPr>
                  <pic:blipFill>
                    <a:blip xmlns:r="http://schemas.openxmlformats.org/officeDocument/2006/relationships" r:embed="rId421" cstate="print"/>
                    <a:stretch>
                      <a:fillRect/>
                    </a:stretch>
                  </pic:blipFill>
                  <pic:spPr>
                    <a:xfrm>
                      <a:off x="0" y="0"/>
                      <a:ext cx="41379" cy="41378"/>
                    </a:xfrm>
                    <a:prstGeom prst="rect">
                      <a:avLst/>
                    </a:prstGeom>
                  </pic:spPr>
                </pic:pic>
              </a:graphicData>
            </a:graphic>
          </wp:inline>
        </w:drawing>
      </w:r>
      <w:r>
        <w:rPr>
          <w:spacing w:val="80"/>
          <w:sz w:val="20"/>
        </w:rPr>
        <w:t xml:space="preserve"> </w:t>
      </w:r>
      <w:r>
        <w:t>mathematics and reading LTT</w:t>
      </w:r>
      <w:r>
        <w:rPr>
          <w:spacing w:val="-2"/>
        </w:rPr>
        <w:t xml:space="preserve"> </w:t>
      </w:r>
      <w:r>
        <w:t>assessments at ages 9 and 13.</w:t>
      </w:r>
    </w:p>
    <w:p w:rsidR="003F5784" w14:paraId="652A36DE" w14:textId="77777777">
      <w:pPr>
        <w:pStyle w:val="BodyText"/>
        <w:spacing w:before="201"/>
        <w:ind w:left="109"/>
      </w:pPr>
      <w:r>
        <w:t>The</w:t>
      </w:r>
      <w:r>
        <w:rPr>
          <w:spacing w:val="-7"/>
        </w:rPr>
        <w:t xml:space="preserve"> </w:t>
      </w:r>
      <w:r>
        <w:t>initial</w:t>
      </w:r>
      <w:r>
        <w:rPr>
          <w:spacing w:val="-6"/>
        </w:rPr>
        <w:t xml:space="preserve"> </w:t>
      </w:r>
      <w:r>
        <w:t>nonresponse</w:t>
      </w:r>
      <w:r>
        <w:rPr>
          <w:spacing w:val="-6"/>
        </w:rPr>
        <w:t xml:space="preserve"> </w:t>
      </w:r>
      <w:r>
        <w:t>cells</w:t>
      </w:r>
      <w:r>
        <w:rPr>
          <w:spacing w:val="-6"/>
        </w:rPr>
        <w:t xml:space="preserve"> </w:t>
      </w:r>
      <w:r>
        <w:t>for</w:t>
      </w:r>
      <w:r>
        <w:rPr>
          <w:spacing w:val="-6"/>
        </w:rPr>
        <w:t xml:space="preserve"> </w:t>
      </w:r>
      <w:r>
        <w:t>the</w:t>
      </w:r>
      <w:r>
        <w:rPr>
          <w:spacing w:val="-6"/>
        </w:rPr>
        <w:t xml:space="preserve"> </w:t>
      </w:r>
      <w:r>
        <w:t>various</w:t>
      </w:r>
      <w:r>
        <w:rPr>
          <w:spacing w:val="-7"/>
        </w:rPr>
        <w:t xml:space="preserve"> </w:t>
      </w:r>
      <w:r>
        <w:t>NAEP</w:t>
      </w:r>
      <w:r>
        <w:rPr>
          <w:spacing w:val="-13"/>
        </w:rPr>
        <w:t xml:space="preserve"> </w:t>
      </w:r>
      <w:r>
        <w:t>2022</w:t>
      </w:r>
      <w:r>
        <w:rPr>
          <w:spacing w:val="-6"/>
        </w:rPr>
        <w:t xml:space="preserve"> </w:t>
      </w:r>
      <w:r>
        <w:t>samples</w:t>
      </w:r>
      <w:r>
        <w:rPr>
          <w:spacing w:val="-6"/>
        </w:rPr>
        <w:t xml:space="preserve"> </w:t>
      </w:r>
      <w:r>
        <w:t>are</w:t>
      </w:r>
      <w:r>
        <w:rPr>
          <w:spacing w:val="-6"/>
        </w:rPr>
        <w:t xml:space="preserve"> </w:t>
      </w:r>
      <w:r>
        <w:t>described</w:t>
      </w:r>
      <w:r>
        <w:rPr>
          <w:spacing w:val="-6"/>
        </w:rPr>
        <w:t xml:space="preserve"> </w:t>
      </w:r>
      <w:r>
        <w:rPr>
          <w:spacing w:val="-2"/>
        </w:rPr>
        <w:t>below.</w:t>
      </w:r>
    </w:p>
    <w:p w:rsidR="003F5784" w14:paraId="1F87CCC0" w14:textId="77777777">
      <w:pPr>
        <w:pStyle w:val="Heading2"/>
        <w:spacing w:before="202" w:line="238" w:lineRule="exact"/>
        <w:ind w:left="109"/>
        <w:jc w:val="both"/>
      </w:pPr>
      <w:r>
        <w:t>State</w:t>
      </w:r>
      <w:r>
        <w:rPr>
          <w:spacing w:val="-11"/>
        </w:rPr>
        <w:t xml:space="preserve"> </w:t>
      </w:r>
      <w:r>
        <w:t>Public</w:t>
      </w:r>
      <w:r>
        <w:rPr>
          <w:spacing w:val="-6"/>
        </w:rPr>
        <w:t xml:space="preserve"> </w:t>
      </w:r>
      <w:r>
        <w:t>School</w:t>
      </w:r>
      <w:r>
        <w:rPr>
          <w:spacing w:val="-7"/>
        </w:rPr>
        <w:t xml:space="preserve"> </w:t>
      </w:r>
      <w:r>
        <w:t>Samples</w:t>
      </w:r>
      <w:r>
        <w:rPr>
          <w:spacing w:val="-7"/>
        </w:rPr>
        <w:t xml:space="preserve"> </w:t>
      </w:r>
      <w:r>
        <w:t>for</w:t>
      </w:r>
      <w:r>
        <w:rPr>
          <w:spacing w:val="-10"/>
        </w:rPr>
        <w:t xml:space="preserve"> </w:t>
      </w:r>
      <w:r>
        <w:t>Mathematics</w:t>
      </w:r>
      <w:r>
        <w:rPr>
          <w:spacing w:val="-7"/>
        </w:rPr>
        <w:t xml:space="preserve"> </w:t>
      </w:r>
      <w:r>
        <w:t>and</w:t>
      </w:r>
      <w:r>
        <w:rPr>
          <w:spacing w:val="-6"/>
        </w:rPr>
        <w:t xml:space="preserve"> </w:t>
      </w:r>
      <w:r>
        <w:t>Reading</w:t>
      </w:r>
      <w:r>
        <w:rPr>
          <w:spacing w:val="-14"/>
        </w:rPr>
        <w:t xml:space="preserve"> </w:t>
      </w:r>
      <w:r>
        <w:t>Assessments</w:t>
      </w:r>
      <w:r>
        <w:rPr>
          <w:spacing w:val="-6"/>
        </w:rPr>
        <w:t xml:space="preserve"> </w:t>
      </w:r>
      <w:r>
        <w:t>at</w:t>
      </w:r>
      <w:r>
        <w:rPr>
          <w:spacing w:val="-7"/>
        </w:rPr>
        <w:t xml:space="preserve"> </w:t>
      </w:r>
      <w:r>
        <w:t>Grades</w:t>
      </w:r>
      <w:r>
        <w:rPr>
          <w:spacing w:val="-7"/>
        </w:rPr>
        <w:t xml:space="preserve"> </w:t>
      </w:r>
      <w:r>
        <w:t>4</w:t>
      </w:r>
      <w:r>
        <w:rPr>
          <w:spacing w:val="-6"/>
        </w:rPr>
        <w:t xml:space="preserve"> </w:t>
      </w:r>
      <w:r>
        <w:t>and</w:t>
      </w:r>
      <w:r>
        <w:rPr>
          <w:spacing w:val="-7"/>
        </w:rPr>
        <w:t xml:space="preserve"> </w:t>
      </w:r>
      <w:r>
        <w:rPr>
          <w:spacing w:val="-10"/>
        </w:rPr>
        <w:t>8</w:t>
      </w:r>
    </w:p>
    <w:p w:rsidR="003F5784" w14:paraId="37C69D05" w14:textId="77777777">
      <w:pPr>
        <w:pStyle w:val="BodyText"/>
        <w:spacing w:line="238" w:lineRule="exact"/>
        <w:ind w:left="109"/>
        <w:jc w:val="both"/>
      </w:pPr>
      <w:r>
        <w:t>For</w:t>
      </w:r>
      <w:r>
        <w:rPr>
          <w:spacing w:val="-7"/>
        </w:rPr>
        <w:t xml:space="preserve"> </w:t>
      </w:r>
      <w:r>
        <w:t>these</w:t>
      </w:r>
      <w:r>
        <w:rPr>
          <w:spacing w:val="-6"/>
        </w:rPr>
        <w:t xml:space="preserve"> </w:t>
      </w:r>
      <w:r>
        <w:t>samples,</w:t>
      </w:r>
      <w:r>
        <w:rPr>
          <w:spacing w:val="-6"/>
        </w:rPr>
        <w:t xml:space="preserve"> </w:t>
      </w:r>
      <w:r>
        <w:t>initial</w:t>
      </w:r>
      <w:r>
        <w:rPr>
          <w:spacing w:val="-6"/>
        </w:rPr>
        <w:t xml:space="preserve"> </w:t>
      </w:r>
      <w:r>
        <w:t>weighting</w:t>
      </w:r>
      <w:r>
        <w:rPr>
          <w:spacing w:val="-6"/>
        </w:rPr>
        <w:t xml:space="preserve"> </w:t>
      </w:r>
      <w:r>
        <w:t>cells</w:t>
      </w:r>
      <w:r>
        <w:rPr>
          <w:spacing w:val="-6"/>
        </w:rPr>
        <w:t xml:space="preserve"> </w:t>
      </w:r>
      <w:r>
        <w:t>were</w:t>
      </w:r>
      <w:r>
        <w:rPr>
          <w:spacing w:val="-7"/>
        </w:rPr>
        <w:t xml:space="preserve"> </w:t>
      </w:r>
      <w:r>
        <w:t>formed</w:t>
      </w:r>
      <w:r>
        <w:rPr>
          <w:spacing w:val="-6"/>
        </w:rPr>
        <w:t xml:space="preserve"> </w:t>
      </w:r>
      <w:r>
        <w:t>within</w:t>
      </w:r>
      <w:r>
        <w:rPr>
          <w:spacing w:val="-6"/>
        </w:rPr>
        <w:t xml:space="preserve"> </w:t>
      </w:r>
      <w:r>
        <w:t>each</w:t>
      </w:r>
      <w:r>
        <w:rPr>
          <w:spacing w:val="-6"/>
        </w:rPr>
        <w:t xml:space="preserve"> </w:t>
      </w:r>
      <w:r>
        <w:t>jurisdiction</w:t>
      </w:r>
      <w:r>
        <w:rPr>
          <w:spacing w:val="-6"/>
        </w:rPr>
        <w:t xml:space="preserve"> </w:t>
      </w:r>
      <w:r>
        <w:t>and</w:t>
      </w:r>
      <w:r>
        <w:rPr>
          <w:spacing w:val="-6"/>
        </w:rPr>
        <w:t xml:space="preserve"> </w:t>
      </w:r>
      <w:r>
        <w:t>grade</w:t>
      </w:r>
      <w:r>
        <w:rPr>
          <w:spacing w:val="-6"/>
        </w:rPr>
        <w:t xml:space="preserve"> </w:t>
      </w:r>
      <w:r>
        <w:t>using</w:t>
      </w:r>
      <w:r>
        <w:rPr>
          <w:spacing w:val="-7"/>
        </w:rPr>
        <w:t xml:space="preserve"> </w:t>
      </w:r>
      <w:r>
        <w:t>the</w:t>
      </w:r>
      <w:r>
        <w:rPr>
          <w:spacing w:val="-6"/>
        </w:rPr>
        <w:t xml:space="preserve"> </w:t>
      </w:r>
      <w:r>
        <w:t>following</w:t>
      </w:r>
      <w:r>
        <w:rPr>
          <w:spacing w:val="-6"/>
        </w:rPr>
        <w:t xml:space="preserve"> </w:t>
      </w:r>
      <w:r>
        <w:t>nesting</w:t>
      </w:r>
      <w:r>
        <w:rPr>
          <w:spacing w:val="-6"/>
        </w:rPr>
        <w:t xml:space="preserve"> </w:t>
      </w:r>
      <w:r>
        <w:t>cell</w:t>
      </w:r>
      <w:r>
        <w:rPr>
          <w:spacing w:val="-6"/>
        </w:rPr>
        <w:t xml:space="preserve"> </w:t>
      </w:r>
      <w:r>
        <w:rPr>
          <w:spacing w:val="-2"/>
        </w:rPr>
        <w:t>structure:</w:t>
      </w:r>
    </w:p>
    <w:p w:rsidR="003F5784" w14:paraId="5982964B" w14:textId="77777777">
      <w:pPr>
        <w:pStyle w:val="BodyText"/>
        <w:spacing w:before="208" w:line="232" w:lineRule="auto"/>
        <w:ind w:left="422" w:right="5360"/>
      </w:pPr>
      <w:r>
        <w:rPr>
          <w:noProof/>
          <w:position w:val="3"/>
        </w:rPr>
        <w:drawing>
          <wp:inline distT="0" distB="0" distL="0" distR="0">
            <wp:extent cx="41379" cy="41378"/>
            <wp:effectExtent l="0" t="0" r="0" b="0"/>
            <wp:docPr id="527" name="Image 527"/>
            <wp:cNvGraphicFramePr/>
            <a:graphic xmlns:a="http://schemas.openxmlformats.org/drawingml/2006/main">
              <a:graphicData uri="http://schemas.openxmlformats.org/drawingml/2006/picture">
                <pic:pic xmlns:pic="http://schemas.openxmlformats.org/drawingml/2006/picture">
                  <pic:nvPicPr>
                    <pic:cNvPr id="527" name="Image 527"/>
                    <pic:cNvPicPr/>
                  </pic:nvPicPr>
                  <pic:blipFill>
                    <a:blip xmlns:r="http://schemas.openxmlformats.org/officeDocument/2006/relationships" r:embed="rId422" cstate="print"/>
                    <a:stretch>
                      <a:fillRect/>
                    </a:stretch>
                  </pic:blipFill>
                  <pic:spPr>
                    <a:xfrm>
                      <a:off x="0" y="0"/>
                      <a:ext cx="41379" cy="41378"/>
                    </a:xfrm>
                    <a:prstGeom prst="rect">
                      <a:avLst/>
                    </a:prstGeom>
                  </pic:spPr>
                </pic:pic>
              </a:graphicData>
            </a:graphic>
          </wp:inline>
        </w:drawing>
      </w:r>
      <w:r>
        <w:rPr>
          <w:spacing w:val="72"/>
          <w:sz w:val="20"/>
        </w:rPr>
        <w:t xml:space="preserve"> </w:t>
      </w:r>
      <w:r>
        <w:t>Trial</w:t>
      </w:r>
      <w:r>
        <w:rPr>
          <w:spacing w:val="-7"/>
        </w:rPr>
        <w:t xml:space="preserve"> </w:t>
      </w:r>
      <w:r>
        <w:t>Urban</w:t>
      </w:r>
      <w:r>
        <w:rPr>
          <w:spacing w:val="-7"/>
        </w:rPr>
        <w:t xml:space="preserve"> </w:t>
      </w:r>
      <w:r>
        <w:t>District</w:t>
      </w:r>
      <w:r>
        <w:rPr>
          <w:spacing w:val="-14"/>
        </w:rPr>
        <w:t xml:space="preserve"> </w:t>
      </w:r>
      <w:r>
        <w:t>Assessment</w:t>
      </w:r>
      <w:r>
        <w:rPr>
          <w:spacing w:val="-6"/>
        </w:rPr>
        <w:t xml:space="preserve"> </w:t>
      </w:r>
      <w:r>
        <w:t>(TUDA)</w:t>
      </w:r>
      <w:r>
        <w:rPr>
          <w:spacing w:val="-7"/>
        </w:rPr>
        <w:t xml:space="preserve"> </w:t>
      </w:r>
      <w:r>
        <w:t>district</w:t>
      </w:r>
      <w:r>
        <w:rPr>
          <w:spacing w:val="-7"/>
        </w:rPr>
        <w:t xml:space="preserve"> </w:t>
      </w:r>
      <w:r>
        <w:t>vs.</w:t>
      </w:r>
      <w:r>
        <w:rPr>
          <w:spacing w:val="-7"/>
        </w:rPr>
        <w:t xml:space="preserve"> </w:t>
      </w:r>
      <w:r>
        <w:t>the</w:t>
      </w:r>
      <w:r>
        <w:rPr>
          <w:spacing w:val="-7"/>
        </w:rPr>
        <w:t xml:space="preserve"> </w:t>
      </w:r>
      <w:r>
        <w:t>balance</w:t>
      </w:r>
      <w:r>
        <w:rPr>
          <w:spacing w:val="-7"/>
        </w:rPr>
        <w:t xml:space="preserve"> </w:t>
      </w:r>
      <w:r>
        <w:t>of</w:t>
      </w:r>
      <w:r>
        <w:rPr>
          <w:spacing w:val="-7"/>
        </w:rPr>
        <w:t xml:space="preserve"> </w:t>
      </w:r>
      <w:r>
        <w:t>the</w:t>
      </w:r>
      <w:r>
        <w:rPr>
          <w:spacing w:val="-7"/>
        </w:rPr>
        <w:t xml:space="preserve"> </w:t>
      </w:r>
      <w:r>
        <w:t>state</w:t>
      </w:r>
      <w:r>
        <w:rPr>
          <w:spacing w:val="-7"/>
        </w:rPr>
        <w:t xml:space="preserve"> </w:t>
      </w:r>
      <w:r>
        <w:t>for</w:t>
      </w:r>
      <w:r>
        <w:rPr>
          <w:spacing w:val="-7"/>
        </w:rPr>
        <w:t xml:space="preserve"> </w:t>
      </w:r>
      <w:r>
        <w:t>states</w:t>
      </w:r>
      <w:r>
        <w:rPr>
          <w:spacing w:val="-7"/>
        </w:rPr>
        <w:t xml:space="preserve"> </w:t>
      </w:r>
      <w:r>
        <w:t>with</w:t>
      </w:r>
      <w:r>
        <w:rPr>
          <w:spacing w:val="-10"/>
        </w:rPr>
        <w:t xml:space="preserve"> </w:t>
      </w:r>
      <w:r>
        <w:t>TUDA</w:t>
      </w:r>
      <w:r>
        <w:rPr>
          <w:spacing w:val="-14"/>
        </w:rPr>
        <w:t xml:space="preserve"> </w:t>
      </w:r>
      <w:r>
        <w:t xml:space="preserve">districts; </w:t>
      </w:r>
      <w:r>
        <w:rPr>
          <w:noProof/>
          <w:position w:val="3"/>
        </w:rPr>
        <w:drawing>
          <wp:inline distT="0" distB="0" distL="0" distR="0">
            <wp:extent cx="41379" cy="41378"/>
            <wp:effectExtent l="0" t="0" r="0" b="0"/>
            <wp:docPr id="528" name="Image 528"/>
            <wp:cNvGraphicFramePr/>
            <a:graphic xmlns:a="http://schemas.openxmlformats.org/drawingml/2006/main">
              <a:graphicData uri="http://schemas.openxmlformats.org/drawingml/2006/picture">
                <pic:pic xmlns:pic="http://schemas.openxmlformats.org/drawingml/2006/picture">
                  <pic:nvPicPr>
                    <pic:cNvPr id="528" name="Image 528"/>
                    <pic:cNvPicPr/>
                  </pic:nvPicPr>
                  <pic:blipFill>
                    <a:blip xmlns:r="http://schemas.openxmlformats.org/officeDocument/2006/relationships" r:embed="rId423" cstate="print"/>
                    <a:stretch>
                      <a:fillRect/>
                    </a:stretch>
                  </pic:blipFill>
                  <pic:spPr>
                    <a:xfrm>
                      <a:off x="0" y="0"/>
                      <a:ext cx="41379" cy="41378"/>
                    </a:xfrm>
                    <a:prstGeom prst="rect">
                      <a:avLst/>
                    </a:prstGeom>
                  </pic:spPr>
                </pic:pic>
              </a:graphicData>
            </a:graphic>
          </wp:inline>
        </w:drawing>
      </w:r>
      <w:r>
        <w:rPr>
          <w:spacing w:val="80"/>
        </w:rPr>
        <w:t xml:space="preserve"> </w:t>
      </w:r>
      <w:r>
        <w:t>urbanicity (</w:t>
      </w:r>
      <w:r>
        <w:rPr>
          <w:color w:val="0066CC"/>
        </w:rPr>
        <w:t>urban-centric locale</w:t>
      </w:r>
      <w:r>
        <w:t>) stratum; and</w:t>
      </w:r>
    </w:p>
    <w:p w:rsidR="003F5784" w14:paraId="01CC8E0C" w14:textId="77777777">
      <w:pPr>
        <w:pStyle w:val="BodyText"/>
        <w:spacing w:line="236" w:lineRule="exact"/>
        <w:ind w:left="422"/>
      </w:pPr>
      <w:r>
        <w:rPr>
          <w:noProof/>
          <w:position w:val="3"/>
        </w:rPr>
        <w:drawing>
          <wp:inline distT="0" distB="0" distL="0" distR="0">
            <wp:extent cx="41379" cy="41378"/>
            <wp:effectExtent l="0" t="0" r="0" b="0"/>
            <wp:docPr id="529" name="Image 529"/>
            <wp:cNvGraphicFramePr/>
            <a:graphic xmlns:a="http://schemas.openxmlformats.org/drawingml/2006/main">
              <a:graphicData uri="http://schemas.openxmlformats.org/drawingml/2006/picture">
                <pic:pic xmlns:pic="http://schemas.openxmlformats.org/drawingml/2006/picture">
                  <pic:nvPicPr>
                    <pic:cNvPr id="529" name="Image 529"/>
                    <pic:cNvPicPr/>
                  </pic:nvPicPr>
                  <pic:blipFill>
                    <a:blip xmlns:r="http://schemas.openxmlformats.org/officeDocument/2006/relationships" r:embed="rId424" cstate="print"/>
                    <a:stretch>
                      <a:fillRect/>
                    </a:stretch>
                  </pic:blipFill>
                  <pic:spPr>
                    <a:xfrm>
                      <a:off x="0" y="0"/>
                      <a:ext cx="41379" cy="41378"/>
                    </a:xfrm>
                    <a:prstGeom prst="rect">
                      <a:avLst/>
                    </a:prstGeom>
                  </pic:spPr>
                </pic:pic>
              </a:graphicData>
            </a:graphic>
          </wp:inline>
        </w:drawing>
      </w:r>
      <w:r>
        <w:rPr>
          <w:spacing w:val="80"/>
          <w:sz w:val="20"/>
        </w:rPr>
        <w:t xml:space="preserve"> </w:t>
      </w:r>
      <w:r>
        <w:t>race/ethnicity classification stratum, achievement level, median income, or grade enrollment.</w:t>
      </w:r>
    </w:p>
    <w:p w:rsidR="003F5784" w14:paraId="1F720AD3" w14:textId="77777777">
      <w:pPr>
        <w:spacing w:line="236" w:lineRule="exact"/>
        <w:sectPr>
          <w:pgSz w:w="15840" w:h="12240" w:orient="landscape"/>
          <w:pgMar w:top="480" w:right="440" w:bottom="460" w:left="460" w:header="284" w:footer="275" w:gutter="0"/>
          <w:cols w:space="720"/>
        </w:sectPr>
      </w:pPr>
    </w:p>
    <w:p w:rsidR="003F5784" w14:paraId="7515F76D" w14:textId="77777777">
      <w:pPr>
        <w:pStyle w:val="BodyText"/>
        <w:spacing w:before="78" w:line="232" w:lineRule="auto"/>
        <w:ind w:left="109"/>
      </w:pPr>
      <w:r>
        <w:t>In</w:t>
      </w:r>
      <w:r>
        <w:rPr>
          <w:spacing w:val="-7"/>
        </w:rPr>
        <w:t xml:space="preserve"> </w:t>
      </w:r>
      <w:r>
        <w:t>general,</w:t>
      </w:r>
      <w:r>
        <w:rPr>
          <w:spacing w:val="-7"/>
        </w:rPr>
        <w:t xml:space="preserve"> </w:t>
      </w:r>
      <w:r>
        <w:t>the</w:t>
      </w:r>
      <w:r>
        <w:rPr>
          <w:spacing w:val="-7"/>
        </w:rPr>
        <w:t xml:space="preserve"> </w:t>
      </w:r>
      <w:r>
        <w:t>nonresponse</w:t>
      </w:r>
      <w:r>
        <w:rPr>
          <w:spacing w:val="-7"/>
        </w:rPr>
        <w:t xml:space="preserve"> </w:t>
      </w:r>
      <w:r>
        <w:t>cell</w:t>
      </w:r>
      <w:r>
        <w:rPr>
          <w:spacing w:val="-7"/>
        </w:rPr>
        <w:t xml:space="preserve"> </w:t>
      </w:r>
      <w:r>
        <w:t>structure</w:t>
      </w:r>
      <w:r>
        <w:rPr>
          <w:spacing w:val="-7"/>
        </w:rPr>
        <w:t xml:space="preserve"> </w:t>
      </w:r>
      <w:r>
        <w:t>used</w:t>
      </w:r>
      <w:r>
        <w:rPr>
          <w:spacing w:val="-7"/>
        </w:rPr>
        <w:t xml:space="preserve"> </w:t>
      </w:r>
      <w:r>
        <w:t>race/ethnicity</w:t>
      </w:r>
      <w:r>
        <w:rPr>
          <w:spacing w:val="-7"/>
        </w:rPr>
        <w:t xml:space="preserve"> </w:t>
      </w:r>
      <w:r>
        <w:t>classification</w:t>
      </w:r>
      <w:r>
        <w:rPr>
          <w:spacing w:val="-7"/>
        </w:rPr>
        <w:t xml:space="preserve"> </w:t>
      </w:r>
      <w:r>
        <w:t>stratum</w:t>
      </w:r>
      <w:r>
        <w:rPr>
          <w:spacing w:val="-7"/>
        </w:rPr>
        <w:t xml:space="preserve"> </w:t>
      </w:r>
      <w:r>
        <w:t>as</w:t>
      </w:r>
      <w:r>
        <w:rPr>
          <w:spacing w:val="-7"/>
        </w:rPr>
        <w:t xml:space="preserve"> </w:t>
      </w:r>
      <w:r>
        <w:t>the</w:t>
      </w:r>
      <w:r>
        <w:rPr>
          <w:spacing w:val="-7"/>
        </w:rPr>
        <w:t xml:space="preserve"> </w:t>
      </w:r>
      <w:r>
        <w:t>lowest</w:t>
      </w:r>
      <w:r>
        <w:rPr>
          <w:spacing w:val="-7"/>
        </w:rPr>
        <w:t xml:space="preserve"> </w:t>
      </w:r>
      <w:r>
        <w:t>level</w:t>
      </w:r>
      <w:r>
        <w:rPr>
          <w:spacing w:val="-7"/>
        </w:rPr>
        <w:t xml:space="preserve"> </w:t>
      </w:r>
      <w:r>
        <w:t>variable.</w:t>
      </w:r>
      <w:r>
        <w:rPr>
          <w:spacing w:val="-7"/>
        </w:rPr>
        <w:t xml:space="preserve"> </w:t>
      </w:r>
      <w:r>
        <w:t>However,</w:t>
      </w:r>
      <w:r>
        <w:rPr>
          <w:spacing w:val="-7"/>
        </w:rPr>
        <w:t xml:space="preserve"> </w:t>
      </w:r>
      <w:r>
        <w:t>where</w:t>
      </w:r>
      <w:r>
        <w:rPr>
          <w:spacing w:val="-7"/>
        </w:rPr>
        <w:t xml:space="preserve"> </w:t>
      </w:r>
      <w:r>
        <w:t>there</w:t>
      </w:r>
      <w:r>
        <w:rPr>
          <w:spacing w:val="-7"/>
        </w:rPr>
        <w:t xml:space="preserve"> </w:t>
      </w:r>
      <w:r>
        <w:t>was</w:t>
      </w:r>
      <w:r>
        <w:rPr>
          <w:spacing w:val="-7"/>
        </w:rPr>
        <w:t xml:space="preserve"> </w:t>
      </w:r>
      <w:r>
        <w:t>only</w:t>
      </w:r>
      <w:r>
        <w:rPr>
          <w:spacing w:val="-7"/>
        </w:rPr>
        <w:t xml:space="preserve"> </w:t>
      </w:r>
      <w:r>
        <w:t>one</w:t>
      </w:r>
      <w:r>
        <w:rPr>
          <w:spacing w:val="-7"/>
        </w:rPr>
        <w:t xml:space="preserve"> </w:t>
      </w:r>
      <w:r>
        <w:t>race/ethnicity</w:t>
      </w:r>
      <w:r>
        <w:rPr>
          <w:spacing w:val="-7"/>
        </w:rPr>
        <w:t xml:space="preserve"> </w:t>
      </w:r>
      <w:r>
        <w:t>classification stratum within a particular urbanicity stratum, then categorized achievement, median income, or enrollment data was used instead.</w:t>
      </w:r>
    </w:p>
    <w:p w:rsidR="003F5784" w14:paraId="66C1F8F9" w14:textId="77777777">
      <w:pPr>
        <w:pStyle w:val="BodyText"/>
        <w:spacing w:before="202"/>
      </w:pPr>
    </w:p>
    <w:p w:rsidR="003F5784" w14:paraId="3A794359" w14:textId="77777777">
      <w:pPr>
        <w:spacing w:line="232" w:lineRule="auto"/>
        <w:ind w:left="109" w:right="179"/>
        <w:rPr>
          <w:sz w:val="21"/>
        </w:rPr>
      </w:pPr>
      <w:r>
        <w:rPr>
          <w:b/>
          <w:sz w:val="21"/>
        </w:rPr>
        <w:t>National</w:t>
      </w:r>
      <w:r>
        <w:rPr>
          <w:b/>
          <w:spacing w:val="-9"/>
          <w:sz w:val="21"/>
        </w:rPr>
        <w:t xml:space="preserve"> </w:t>
      </w:r>
      <w:r>
        <w:rPr>
          <w:b/>
          <w:sz w:val="21"/>
        </w:rPr>
        <w:t>Public</w:t>
      </w:r>
      <w:r>
        <w:rPr>
          <w:b/>
          <w:spacing w:val="-6"/>
          <w:sz w:val="21"/>
        </w:rPr>
        <w:t xml:space="preserve"> </w:t>
      </w:r>
      <w:r>
        <w:rPr>
          <w:b/>
          <w:sz w:val="21"/>
        </w:rPr>
        <w:t>School</w:t>
      </w:r>
      <w:r>
        <w:rPr>
          <w:b/>
          <w:spacing w:val="-6"/>
          <w:sz w:val="21"/>
        </w:rPr>
        <w:t xml:space="preserve"> </w:t>
      </w:r>
      <w:r>
        <w:rPr>
          <w:b/>
          <w:sz w:val="21"/>
        </w:rPr>
        <w:t>Samples</w:t>
      </w:r>
      <w:r>
        <w:rPr>
          <w:b/>
          <w:spacing w:val="-6"/>
          <w:sz w:val="21"/>
        </w:rPr>
        <w:t xml:space="preserve"> </w:t>
      </w:r>
      <w:r>
        <w:rPr>
          <w:b/>
          <w:sz w:val="21"/>
        </w:rPr>
        <w:t>for</w:t>
      </w:r>
      <w:r>
        <w:rPr>
          <w:b/>
          <w:spacing w:val="-10"/>
          <w:sz w:val="21"/>
        </w:rPr>
        <w:t xml:space="preserve"> </w:t>
      </w:r>
      <w:r>
        <w:rPr>
          <w:b/>
          <w:sz w:val="21"/>
        </w:rPr>
        <w:t>Civics</w:t>
      </w:r>
      <w:r>
        <w:rPr>
          <w:b/>
          <w:spacing w:val="-6"/>
          <w:sz w:val="21"/>
        </w:rPr>
        <w:t xml:space="preserve"> </w:t>
      </w:r>
      <w:r>
        <w:rPr>
          <w:b/>
          <w:sz w:val="21"/>
        </w:rPr>
        <w:t>and</w:t>
      </w:r>
      <w:r>
        <w:rPr>
          <w:b/>
          <w:spacing w:val="-6"/>
          <w:sz w:val="21"/>
        </w:rPr>
        <w:t xml:space="preserve"> </w:t>
      </w:r>
      <w:r>
        <w:rPr>
          <w:b/>
          <w:sz w:val="21"/>
        </w:rPr>
        <w:t>U.S.</w:t>
      </w:r>
      <w:r>
        <w:rPr>
          <w:b/>
          <w:spacing w:val="-6"/>
          <w:sz w:val="21"/>
        </w:rPr>
        <w:t xml:space="preserve"> </w:t>
      </w:r>
      <w:r>
        <w:rPr>
          <w:b/>
          <w:sz w:val="21"/>
        </w:rPr>
        <w:t>History</w:t>
      </w:r>
      <w:r>
        <w:rPr>
          <w:b/>
          <w:spacing w:val="-14"/>
          <w:sz w:val="21"/>
        </w:rPr>
        <w:t xml:space="preserve"> </w:t>
      </w:r>
      <w:r>
        <w:rPr>
          <w:b/>
          <w:sz w:val="21"/>
        </w:rPr>
        <w:t>Assessments</w:t>
      </w:r>
      <w:r>
        <w:rPr>
          <w:b/>
          <w:spacing w:val="-5"/>
          <w:sz w:val="21"/>
        </w:rPr>
        <w:t xml:space="preserve"> </w:t>
      </w:r>
      <w:r>
        <w:rPr>
          <w:b/>
          <w:sz w:val="21"/>
        </w:rPr>
        <w:t>at</w:t>
      </w:r>
      <w:r>
        <w:rPr>
          <w:b/>
          <w:spacing w:val="-6"/>
          <w:sz w:val="21"/>
        </w:rPr>
        <w:t xml:space="preserve"> </w:t>
      </w:r>
      <w:r>
        <w:rPr>
          <w:b/>
          <w:sz w:val="21"/>
        </w:rPr>
        <w:t>Grade</w:t>
      </w:r>
      <w:r>
        <w:rPr>
          <w:b/>
          <w:spacing w:val="-6"/>
          <w:sz w:val="21"/>
        </w:rPr>
        <w:t xml:space="preserve"> </w:t>
      </w:r>
      <w:r>
        <w:rPr>
          <w:b/>
          <w:sz w:val="21"/>
        </w:rPr>
        <w:t>8</w:t>
      </w:r>
      <w:r>
        <w:rPr>
          <w:b/>
          <w:spacing w:val="-10"/>
          <w:sz w:val="21"/>
        </w:rPr>
        <w:t xml:space="preserve"> </w:t>
      </w:r>
      <w:r>
        <w:rPr>
          <w:sz w:val="21"/>
        </w:rPr>
        <w:t>The</w:t>
      </w:r>
      <w:r>
        <w:rPr>
          <w:spacing w:val="-6"/>
          <w:sz w:val="21"/>
        </w:rPr>
        <w:t xml:space="preserve"> </w:t>
      </w:r>
      <w:r>
        <w:rPr>
          <w:sz w:val="21"/>
        </w:rPr>
        <w:t>initial</w:t>
      </w:r>
      <w:r>
        <w:rPr>
          <w:spacing w:val="-6"/>
          <w:sz w:val="21"/>
        </w:rPr>
        <w:t xml:space="preserve"> </w:t>
      </w:r>
      <w:r>
        <w:rPr>
          <w:sz w:val="21"/>
        </w:rPr>
        <w:t>weighting</w:t>
      </w:r>
      <w:r>
        <w:rPr>
          <w:spacing w:val="-6"/>
          <w:sz w:val="21"/>
        </w:rPr>
        <w:t xml:space="preserve"> </w:t>
      </w:r>
      <w:r>
        <w:rPr>
          <w:sz w:val="21"/>
        </w:rPr>
        <w:t>cells</w:t>
      </w:r>
      <w:r>
        <w:rPr>
          <w:spacing w:val="-6"/>
          <w:sz w:val="21"/>
        </w:rPr>
        <w:t xml:space="preserve"> </w:t>
      </w:r>
      <w:r>
        <w:rPr>
          <w:sz w:val="21"/>
        </w:rPr>
        <w:t>for</w:t>
      </w:r>
      <w:r>
        <w:rPr>
          <w:spacing w:val="-6"/>
          <w:sz w:val="21"/>
        </w:rPr>
        <w:t xml:space="preserve"> </w:t>
      </w:r>
      <w:r>
        <w:rPr>
          <w:sz w:val="21"/>
        </w:rPr>
        <w:t>these</w:t>
      </w:r>
      <w:r>
        <w:rPr>
          <w:spacing w:val="-6"/>
          <w:sz w:val="21"/>
        </w:rPr>
        <w:t xml:space="preserve"> </w:t>
      </w:r>
      <w:r>
        <w:rPr>
          <w:sz w:val="21"/>
        </w:rPr>
        <w:t>samples</w:t>
      </w:r>
      <w:r>
        <w:rPr>
          <w:spacing w:val="-6"/>
          <w:sz w:val="21"/>
        </w:rPr>
        <w:t xml:space="preserve"> </w:t>
      </w:r>
      <w:r>
        <w:rPr>
          <w:sz w:val="21"/>
        </w:rPr>
        <w:t>were</w:t>
      </w:r>
      <w:r>
        <w:rPr>
          <w:spacing w:val="-6"/>
          <w:sz w:val="21"/>
        </w:rPr>
        <w:t xml:space="preserve"> </w:t>
      </w:r>
      <w:r>
        <w:rPr>
          <w:sz w:val="21"/>
        </w:rPr>
        <w:t>formed</w:t>
      </w:r>
      <w:r>
        <w:rPr>
          <w:spacing w:val="-6"/>
          <w:sz w:val="21"/>
        </w:rPr>
        <w:t xml:space="preserve"> </w:t>
      </w:r>
      <w:r>
        <w:rPr>
          <w:sz w:val="21"/>
        </w:rPr>
        <w:t>using</w:t>
      </w:r>
      <w:r>
        <w:rPr>
          <w:spacing w:val="-6"/>
          <w:sz w:val="21"/>
        </w:rPr>
        <w:t xml:space="preserve"> </w:t>
      </w:r>
      <w:r>
        <w:rPr>
          <w:sz w:val="21"/>
        </w:rPr>
        <w:t>the</w:t>
      </w:r>
      <w:r>
        <w:rPr>
          <w:spacing w:val="-6"/>
          <w:sz w:val="21"/>
        </w:rPr>
        <w:t xml:space="preserve"> </w:t>
      </w:r>
      <w:r>
        <w:rPr>
          <w:sz w:val="21"/>
        </w:rPr>
        <w:t>following</w:t>
      </w:r>
      <w:r>
        <w:rPr>
          <w:spacing w:val="-6"/>
          <w:sz w:val="21"/>
        </w:rPr>
        <w:t xml:space="preserve"> </w:t>
      </w:r>
      <w:r>
        <w:rPr>
          <w:sz w:val="21"/>
        </w:rPr>
        <w:t>nesting cell structure:</w:t>
      </w:r>
    </w:p>
    <w:p w:rsidR="003F5784" w14:paraId="59196D78" w14:textId="77777777">
      <w:pPr>
        <w:pStyle w:val="BodyText"/>
        <w:spacing w:before="204" w:line="238" w:lineRule="exact"/>
        <w:ind w:left="422"/>
      </w:pPr>
      <w:r>
        <w:rPr>
          <w:noProof/>
          <w:position w:val="3"/>
        </w:rPr>
        <w:drawing>
          <wp:inline distT="0" distB="0" distL="0" distR="0">
            <wp:extent cx="41379" cy="41378"/>
            <wp:effectExtent l="0" t="0" r="0" b="0"/>
            <wp:docPr id="530" name="Image 530"/>
            <wp:cNvGraphicFramePr/>
            <a:graphic xmlns:a="http://schemas.openxmlformats.org/drawingml/2006/main">
              <a:graphicData uri="http://schemas.openxmlformats.org/drawingml/2006/picture">
                <pic:pic xmlns:pic="http://schemas.openxmlformats.org/drawingml/2006/picture">
                  <pic:nvPicPr>
                    <pic:cNvPr id="530" name="Image 530"/>
                    <pic:cNvPicPr/>
                  </pic:nvPicPr>
                  <pic:blipFill>
                    <a:blip xmlns:r="http://schemas.openxmlformats.org/officeDocument/2006/relationships" r:embed="rId425" cstate="print"/>
                    <a:stretch>
                      <a:fillRect/>
                    </a:stretch>
                  </pic:blipFill>
                  <pic:spPr>
                    <a:xfrm>
                      <a:off x="0" y="0"/>
                      <a:ext cx="41379" cy="41378"/>
                    </a:xfrm>
                    <a:prstGeom prst="rect">
                      <a:avLst/>
                    </a:prstGeom>
                  </pic:spPr>
                </pic:pic>
              </a:graphicData>
            </a:graphic>
          </wp:inline>
        </w:drawing>
      </w:r>
      <w:r>
        <w:rPr>
          <w:spacing w:val="80"/>
          <w:sz w:val="20"/>
        </w:rPr>
        <w:t xml:space="preserve"> </w:t>
      </w:r>
      <w:r>
        <w:t>census division stratum;</w:t>
      </w:r>
    </w:p>
    <w:p w:rsidR="003F5784" w14:paraId="3F898104" w14:textId="77777777">
      <w:pPr>
        <w:pStyle w:val="BodyText"/>
        <w:spacing w:before="2" w:line="232" w:lineRule="auto"/>
        <w:ind w:left="422" w:right="10516"/>
      </w:pPr>
      <w:r>
        <w:rPr>
          <w:noProof/>
          <w:position w:val="3"/>
        </w:rPr>
        <w:drawing>
          <wp:inline distT="0" distB="0" distL="0" distR="0">
            <wp:extent cx="41379" cy="41378"/>
            <wp:effectExtent l="0" t="0" r="0" b="0"/>
            <wp:docPr id="531" name="Image 531"/>
            <wp:cNvGraphicFramePr/>
            <a:graphic xmlns:a="http://schemas.openxmlformats.org/drawingml/2006/main">
              <a:graphicData uri="http://schemas.openxmlformats.org/drawingml/2006/picture">
                <pic:pic xmlns:pic="http://schemas.openxmlformats.org/drawingml/2006/picture">
                  <pic:nvPicPr>
                    <pic:cNvPr id="531" name="Image 531"/>
                    <pic:cNvPicPr/>
                  </pic:nvPicPr>
                  <pic:blipFill>
                    <a:blip xmlns:r="http://schemas.openxmlformats.org/officeDocument/2006/relationships" r:embed="rId404" cstate="print"/>
                    <a:stretch>
                      <a:fillRect/>
                    </a:stretch>
                  </pic:blipFill>
                  <pic:spPr>
                    <a:xfrm>
                      <a:off x="0" y="0"/>
                      <a:ext cx="41379" cy="41378"/>
                    </a:xfrm>
                    <a:prstGeom prst="rect">
                      <a:avLst/>
                    </a:prstGeom>
                  </pic:spPr>
                </pic:pic>
              </a:graphicData>
            </a:graphic>
          </wp:inline>
        </w:drawing>
      </w:r>
      <w:r>
        <w:rPr>
          <w:spacing w:val="68"/>
          <w:sz w:val="20"/>
        </w:rPr>
        <w:t xml:space="preserve"> </w:t>
      </w:r>
      <w:r>
        <w:t>urbanicity</w:t>
      </w:r>
      <w:r>
        <w:rPr>
          <w:spacing w:val="-10"/>
        </w:rPr>
        <w:t xml:space="preserve"> </w:t>
      </w:r>
      <w:r>
        <w:t>stratum</w:t>
      </w:r>
      <w:r>
        <w:rPr>
          <w:spacing w:val="-10"/>
        </w:rPr>
        <w:t xml:space="preserve"> </w:t>
      </w:r>
      <w:r>
        <w:t>(urban-centric</w:t>
      </w:r>
      <w:r>
        <w:rPr>
          <w:spacing w:val="-10"/>
        </w:rPr>
        <w:t xml:space="preserve"> </w:t>
      </w:r>
      <w:r>
        <w:t>locale);</w:t>
      </w:r>
      <w:r>
        <w:rPr>
          <w:spacing w:val="-10"/>
        </w:rPr>
        <w:t xml:space="preserve"> </w:t>
      </w:r>
      <w:r>
        <w:t xml:space="preserve">and </w:t>
      </w:r>
      <w:r>
        <w:rPr>
          <w:noProof/>
          <w:position w:val="3"/>
        </w:rPr>
        <w:drawing>
          <wp:inline distT="0" distB="0" distL="0" distR="0">
            <wp:extent cx="41379" cy="41378"/>
            <wp:effectExtent l="0" t="0" r="0" b="0"/>
            <wp:docPr id="532" name="Image 532"/>
            <wp:cNvGraphicFramePr/>
            <a:graphic xmlns:a="http://schemas.openxmlformats.org/drawingml/2006/main">
              <a:graphicData uri="http://schemas.openxmlformats.org/drawingml/2006/picture">
                <pic:pic xmlns:pic="http://schemas.openxmlformats.org/drawingml/2006/picture">
                  <pic:nvPicPr>
                    <pic:cNvPr id="532" name="Image 532"/>
                    <pic:cNvPicPr/>
                  </pic:nvPicPr>
                  <pic:blipFill>
                    <a:blip xmlns:r="http://schemas.openxmlformats.org/officeDocument/2006/relationships" r:embed="rId426" cstate="print"/>
                    <a:stretch>
                      <a:fillRect/>
                    </a:stretch>
                  </pic:blipFill>
                  <pic:spPr>
                    <a:xfrm>
                      <a:off x="0" y="0"/>
                      <a:ext cx="41379" cy="41378"/>
                    </a:xfrm>
                    <a:prstGeom prst="rect">
                      <a:avLst/>
                    </a:prstGeom>
                  </pic:spPr>
                </pic:pic>
              </a:graphicData>
            </a:graphic>
          </wp:inline>
        </w:drawing>
      </w:r>
      <w:r>
        <w:rPr>
          <w:spacing w:val="80"/>
        </w:rPr>
        <w:t xml:space="preserve"> </w:t>
      </w:r>
      <w:r>
        <w:t>Black/Hispanic composition stratum.</w:t>
      </w:r>
    </w:p>
    <w:p w:rsidR="003F5784" w14:paraId="192749ED" w14:textId="77777777">
      <w:pPr>
        <w:pStyle w:val="Heading2"/>
        <w:spacing w:before="203" w:line="238" w:lineRule="exact"/>
        <w:ind w:left="109"/>
      </w:pPr>
      <w:r>
        <w:t>National</w:t>
      </w:r>
      <w:r>
        <w:rPr>
          <w:spacing w:val="-16"/>
        </w:rPr>
        <w:t xml:space="preserve"> </w:t>
      </w:r>
      <w:r>
        <w:t>Public</w:t>
      </w:r>
      <w:r>
        <w:rPr>
          <w:spacing w:val="-13"/>
        </w:rPr>
        <w:t xml:space="preserve"> </w:t>
      </w:r>
      <w:r>
        <w:t>School</w:t>
      </w:r>
      <w:r>
        <w:rPr>
          <w:spacing w:val="-8"/>
        </w:rPr>
        <w:t xml:space="preserve"> </w:t>
      </w:r>
      <w:r>
        <w:t>Sample</w:t>
      </w:r>
      <w:r>
        <w:rPr>
          <w:spacing w:val="-8"/>
        </w:rPr>
        <w:t xml:space="preserve"> </w:t>
      </w:r>
      <w:r>
        <w:t>for</w:t>
      </w:r>
      <w:r>
        <w:rPr>
          <w:spacing w:val="-12"/>
        </w:rPr>
        <w:t xml:space="preserve"> </w:t>
      </w:r>
      <w:r>
        <w:t>Mathematics</w:t>
      </w:r>
      <w:r>
        <w:rPr>
          <w:spacing w:val="-8"/>
        </w:rPr>
        <w:t xml:space="preserve"> </w:t>
      </w:r>
      <w:r>
        <w:t>and</w:t>
      </w:r>
      <w:r>
        <w:rPr>
          <w:spacing w:val="-8"/>
        </w:rPr>
        <w:t xml:space="preserve"> </w:t>
      </w:r>
      <w:r>
        <w:t>Reading</w:t>
      </w:r>
      <w:r>
        <w:rPr>
          <w:spacing w:val="-8"/>
        </w:rPr>
        <w:t xml:space="preserve"> </w:t>
      </w:r>
      <w:r>
        <w:t>LTT</w:t>
      </w:r>
      <w:r>
        <w:rPr>
          <w:spacing w:val="-16"/>
        </w:rPr>
        <w:t xml:space="preserve"> </w:t>
      </w:r>
      <w:r>
        <w:t>Assessments</w:t>
      </w:r>
      <w:r>
        <w:rPr>
          <w:spacing w:val="-9"/>
        </w:rPr>
        <w:t xml:space="preserve"> </w:t>
      </w:r>
      <w:r>
        <w:t>at</w:t>
      </w:r>
      <w:r>
        <w:rPr>
          <w:spacing w:val="-13"/>
        </w:rPr>
        <w:t xml:space="preserve"> </w:t>
      </w:r>
      <w:r>
        <w:t>Ages</w:t>
      </w:r>
      <w:r>
        <w:rPr>
          <w:spacing w:val="-8"/>
        </w:rPr>
        <w:t xml:space="preserve"> </w:t>
      </w:r>
      <w:r>
        <w:t>9</w:t>
      </w:r>
      <w:r>
        <w:rPr>
          <w:spacing w:val="-8"/>
        </w:rPr>
        <w:t xml:space="preserve"> </w:t>
      </w:r>
      <w:r>
        <w:t>and</w:t>
      </w:r>
      <w:r>
        <w:rPr>
          <w:spacing w:val="-8"/>
        </w:rPr>
        <w:t xml:space="preserve"> </w:t>
      </w:r>
      <w:r>
        <w:rPr>
          <w:spacing w:val="-5"/>
        </w:rPr>
        <w:t>13</w:t>
      </w:r>
    </w:p>
    <w:p w:rsidR="003F5784" w14:paraId="134BC9EA" w14:textId="77777777">
      <w:pPr>
        <w:pStyle w:val="BodyText"/>
        <w:spacing w:line="238" w:lineRule="exact"/>
        <w:ind w:left="109"/>
      </w:pPr>
      <w:r>
        <w:t>The</w:t>
      </w:r>
      <w:r>
        <w:rPr>
          <w:spacing w:val="-6"/>
        </w:rPr>
        <w:t xml:space="preserve"> </w:t>
      </w:r>
      <w:r>
        <w:t>initial</w:t>
      </w:r>
      <w:r>
        <w:rPr>
          <w:spacing w:val="-6"/>
        </w:rPr>
        <w:t xml:space="preserve"> </w:t>
      </w:r>
      <w:r>
        <w:t>weighting</w:t>
      </w:r>
      <w:r>
        <w:rPr>
          <w:spacing w:val="-6"/>
        </w:rPr>
        <w:t xml:space="preserve"> </w:t>
      </w:r>
      <w:r>
        <w:t>cells</w:t>
      </w:r>
      <w:r>
        <w:rPr>
          <w:spacing w:val="-6"/>
        </w:rPr>
        <w:t xml:space="preserve"> </w:t>
      </w:r>
      <w:r>
        <w:t>for</w:t>
      </w:r>
      <w:r>
        <w:rPr>
          <w:spacing w:val="-6"/>
        </w:rPr>
        <w:t xml:space="preserve"> </w:t>
      </w:r>
      <w:r>
        <w:t>these</w:t>
      </w:r>
      <w:r>
        <w:rPr>
          <w:spacing w:val="-6"/>
        </w:rPr>
        <w:t xml:space="preserve"> </w:t>
      </w:r>
      <w:r>
        <w:t>samples</w:t>
      </w:r>
      <w:r>
        <w:rPr>
          <w:spacing w:val="-6"/>
        </w:rPr>
        <w:t xml:space="preserve"> </w:t>
      </w:r>
      <w:r>
        <w:t>were</w:t>
      </w:r>
      <w:r>
        <w:rPr>
          <w:spacing w:val="-6"/>
        </w:rPr>
        <w:t xml:space="preserve"> </w:t>
      </w:r>
      <w:r>
        <w:t>formed</w:t>
      </w:r>
      <w:r>
        <w:rPr>
          <w:spacing w:val="-6"/>
        </w:rPr>
        <w:t xml:space="preserve"> </w:t>
      </w:r>
      <w:r>
        <w:t>using</w:t>
      </w:r>
      <w:r>
        <w:rPr>
          <w:spacing w:val="-5"/>
        </w:rPr>
        <w:t xml:space="preserve"> </w:t>
      </w:r>
      <w:r>
        <w:t>the</w:t>
      </w:r>
      <w:r>
        <w:rPr>
          <w:spacing w:val="-6"/>
        </w:rPr>
        <w:t xml:space="preserve"> </w:t>
      </w:r>
      <w:r>
        <w:t>following</w:t>
      </w:r>
      <w:r>
        <w:rPr>
          <w:spacing w:val="-6"/>
        </w:rPr>
        <w:t xml:space="preserve"> </w:t>
      </w:r>
      <w:r>
        <w:t>nesting</w:t>
      </w:r>
      <w:r>
        <w:rPr>
          <w:spacing w:val="-6"/>
        </w:rPr>
        <w:t xml:space="preserve"> </w:t>
      </w:r>
      <w:r>
        <w:t>cell</w:t>
      </w:r>
      <w:r>
        <w:rPr>
          <w:spacing w:val="-6"/>
        </w:rPr>
        <w:t xml:space="preserve"> </w:t>
      </w:r>
      <w:r>
        <w:rPr>
          <w:spacing w:val="-2"/>
        </w:rPr>
        <w:t>structure:</w:t>
      </w:r>
    </w:p>
    <w:p w:rsidR="003F5784" w14:paraId="5D8DCE0D" w14:textId="77777777">
      <w:pPr>
        <w:pStyle w:val="BodyText"/>
        <w:spacing w:before="202" w:line="238" w:lineRule="exact"/>
        <w:ind w:left="422"/>
      </w:pPr>
      <w:r>
        <w:rPr>
          <w:noProof/>
          <w:position w:val="3"/>
        </w:rPr>
        <w:drawing>
          <wp:inline distT="0" distB="0" distL="0" distR="0">
            <wp:extent cx="41379" cy="41378"/>
            <wp:effectExtent l="0" t="0" r="0" b="0"/>
            <wp:docPr id="533" name="Image 533"/>
            <wp:cNvGraphicFramePr/>
            <a:graphic xmlns:a="http://schemas.openxmlformats.org/drawingml/2006/main">
              <a:graphicData uri="http://schemas.openxmlformats.org/drawingml/2006/picture">
                <pic:pic xmlns:pic="http://schemas.openxmlformats.org/drawingml/2006/picture">
                  <pic:nvPicPr>
                    <pic:cNvPr id="533" name="Image 533"/>
                    <pic:cNvPicPr/>
                  </pic:nvPicPr>
                  <pic:blipFill>
                    <a:blip xmlns:r="http://schemas.openxmlformats.org/officeDocument/2006/relationships" r:embed="rId427" cstate="print"/>
                    <a:stretch>
                      <a:fillRect/>
                    </a:stretch>
                  </pic:blipFill>
                  <pic:spPr>
                    <a:xfrm>
                      <a:off x="0" y="0"/>
                      <a:ext cx="41379" cy="41378"/>
                    </a:xfrm>
                    <a:prstGeom prst="rect">
                      <a:avLst/>
                    </a:prstGeom>
                  </pic:spPr>
                </pic:pic>
              </a:graphicData>
            </a:graphic>
          </wp:inline>
        </w:drawing>
      </w:r>
      <w:r>
        <w:rPr>
          <w:spacing w:val="80"/>
          <w:sz w:val="20"/>
        </w:rPr>
        <w:t xml:space="preserve"> </w:t>
      </w:r>
      <w:r>
        <w:t>census division stratum;</w:t>
      </w:r>
    </w:p>
    <w:p w:rsidR="003F5784" w14:paraId="2426C3D5" w14:textId="77777777">
      <w:pPr>
        <w:pStyle w:val="BodyText"/>
        <w:spacing w:line="235" w:lineRule="exact"/>
        <w:ind w:left="422"/>
      </w:pPr>
      <w:r>
        <w:rPr>
          <w:noProof/>
          <w:position w:val="3"/>
        </w:rPr>
        <w:drawing>
          <wp:inline distT="0" distB="0" distL="0" distR="0">
            <wp:extent cx="41379" cy="41378"/>
            <wp:effectExtent l="0" t="0" r="0" b="0"/>
            <wp:docPr id="534" name="Image 534"/>
            <wp:cNvGraphicFramePr/>
            <a:graphic xmlns:a="http://schemas.openxmlformats.org/drawingml/2006/main">
              <a:graphicData uri="http://schemas.openxmlformats.org/drawingml/2006/picture">
                <pic:pic xmlns:pic="http://schemas.openxmlformats.org/drawingml/2006/picture">
                  <pic:nvPicPr>
                    <pic:cNvPr id="534" name="Image 534"/>
                    <pic:cNvPicPr/>
                  </pic:nvPicPr>
                  <pic:blipFill>
                    <a:blip xmlns:r="http://schemas.openxmlformats.org/officeDocument/2006/relationships" r:embed="rId428" cstate="print"/>
                    <a:stretch>
                      <a:fillRect/>
                    </a:stretch>
                  </pic:blipFill>
                  <pic:spPr>
                    <a:xfrm>
                      <a:off x="0" y="0"/>
                      <a:ext cx="41379" cy="41378"/>
                    </a:xfrm>
                    <a:prstGeom prst="rect">
                      <a:avLst/>
                    </a:prstGeom>
                  </pic:spPr>
                </pic:pic>
              </a:graphicData>
            </a:graphic>
          </wp:inline>
        </w:drawing>
      </w:r>
      <w:r>
        <w:rPr>
          <w:spacing w:val="80"/>
          <w:sz w:val="20"/>
        </w:rPr>
        <w:t xml:space="preserve"> </w:t>
      </w:r>
      <w:r>
        <w:t>urbanicity stratum (four categories based on urban-centric locale); and</w:t>
      </w:r>
    </w:p>
    <w:p w:rsidR="003F5784" w14:paraId="7E33868F" w14:textId="77777777">
      <w:pPr>
        <w:pStyle w:val="BodyText"/>
        <w:spacing w:line="238" w:lineRule="exact"/>
        <w:ind w:left="422"/>
      </w:pPr>
      <w:r>
        <w:rPr>
          <w:noProof/>
          <w:position w:val="3"/>
        </w:rPr>
        <w:drawing>
          <wp:inline distT="0" distB="0" distL="0" distR="0">
            <wp:extent cx="41379" cy="41378"/>
            <wp:effectExtent l="0" t="0" r="0" b="0"/>
            <wp:docPr id="535" name="Image 535"/>
            <wp:cNvGraphicFramePr/>
            <a:graphic xmlns:a="http://schemas.openxmlformats.org/drawingml/2006/main">
              <a:graphicData uri="http://schemas.openxmlformats.org/drawingml/2006/picture">
                <pic:pic xmlns:pic="http://schemas.openxmlformats.org/drawingml/2006/picture">
                  <pic:nvPicPr>
                    <pic:cNvPr id="535" name="Image 535"/>
                    <pic:cNvPicPr/>
                  </pic:nvPicPr>
                  <pic:blipFill>
                    <a:blip xmlns:r="http://schemas.openxmlformats.org/officeDocument/2006/relationships" r:embed="rId429" cstate="print"/>
                    <a:stretch>
                      <a:fillRect/>
                    </a:stretch>
                  </pic:blipFill>
                  <pic:spPr>
                    <a:xfrm>
                      <a:off x="0" y="0"/>
                      <a:ext cx="41379" cy="41378"/>
                    </a:xfrm>
                    <a:prstGeom prst="rect">
                      <a:avLst/>
                    </a:prstGeom>
                  </pic:spPr>
                </pic:pic>
              </a:graphicData>
            </a:graphic>
          </wp:inline>
        </w:drawing>
      </w:r>
      <w:r>
        <w:rPr>
          <w:spacing w:val="80"/>
          <w:sz w:val="20"/>
        </w:rPr>
        <w:t xml:space="preserve"> </w:t>
      </w:r>
      <w:r>
        <w:t>race/ethnicity</w:t>
      </w:r>
      <w:r>
        <w:rPr>
          <w:spacing w:val="-1"/>
        </w:rPr>
        <w:t xml:space="preserve"> </w:t>
      </w:r>
      <w:r>
        <w:t>classification</w:t>
      </w:r>
      <w:r>
        <w:rPr>
          <w:spacing w:val="-1"/>
        </w:rPr>
        <w:t xml:space="preserve"> </w:t>
      </w:r>
      <w:r>
        <w:t>(categories</w:t>
      </w:r>
      <w:r>
        <w:rPr>
          <w:spacing w:val="-1"/>
        </w:rPr>
        <w:t xml:space="preserve"> </w:t>
      </w:r>
      <w:r>
        <w:t>based</w:t>
      </w:r>
      <w:r>
        <w:rPr>
          <w:spacing w:val="-1"/>
        </w:rPr>
        <w:t xml:space="preserve"> </w:t>
      </w:r>
      <w:r>
        <w:t>on</w:t>
      </w:r>
      <w:r>
        <w:rPr>
          <w:spacing w:val="-1"/>
        </w:rPr>
        <w:t xml:space="preserve"> </w:t>
      </w:r>
      <w:r>
        <w:t>the</w:t>
      </w:r>
      <w:r>
        <w:rPr>
          <w:spacing w:val="-1"/>
        </w:rPr>
        <w:t xml:space="preserve"> </w:t>
      </w:r>
      <w:r>
        <w:t>total</w:t>
      </w:r>
      <w:r>
        <w:rPr>
          <w:spacing w:val="-1"/>
        </w:rPr>
        <w:t xml:space="preserve"> </w:t>
      </w:r>
      <w:r>
        <w:t>percentage</w:t>
      </w:r>
      <w:r>
        <w:rPr>
          <w:spacing w:val="-1"/>
        </w:rPr>
        <w:t xml:space="preserve"> </w:t>
      </w:r>
      <w:r>
        <w:t>of</w:t>
      </w:r>
      <w:r>
        <w:rPr>
          <w:spacing w:val="-1"/>
        </w:rPr>
        <w:t xml:space="preserve"> </w:t>
      </w:r>
      <w:r>
        <w:t>Black,</w:t>
      </w:r>
      <w:r>
        <w:rPr>
          <w:spacing w:val="-1"/>
        </w:rPr>
        <w:t xml:space="preserve"> </w:t>
      </w:r>
      <w:r>
        <w:t>Hispanic,</w:t>
      </w:r>
      <w:r>
        <w:rPr>
          <w:spacing w:val="-1"/>
        </w:rPr>
        <w:t xml:space="preserve"> </w:t>
      </w:r>
      <w:r>
        <w:t>and</w:t>
      </w:r>
      <w:r>
        <w:rPr>
          <w:spacing w:val="-12"/>
        </w:rPr>
        <w:t xml:space="preserve"> </w:t>
      </w:r>
      <w:r>
        <w:t>American</w:t>
      </w:r>
      <w:r>
        <w:rPr>
          <w:spacing w:val="-1"/>
        </w:rPr>
        <w:t xml:space="preserve"> </w:t>
      </w:r>
      <w:r>
        <w:t>Indian/Alaska</w:t>
      </w:r>
      <w:r>
        <w:rPr>
          <w:spacing w:val="-1"/>
        </w:rPr>
        <w:t xml:space="preserve"> </w:t>
      </w:r>
      <w:r>
        <w:t>Native</w:t>
      </w:r>
      <w:r>
        <w:rPr>
          <w:spacing w:val="-1"/>
        </w:rPr>
        <w:t xml:space="preserve"> </w:t>
      </w:r>
      <w:r>
        <w:t>students).</w:t>
      </w:r>
    </w:p>
    <w:p w:rsidR="003F5784" w14:paraId="19BE2765" w14:textId="77777777">
      <w:pPr>
        <w:pStyle w:val="Heading2"/>
        <w:spacing w:before="202" w:line="238" w:lineRule="exact"/>
        <w:ind w:left="109"/>
      </w:pPr>
      <w:r>
        <w:t>National</w:t>
      </w:r>
      <w:r>
        <w:rPr>
          <w:spacing w:val="-11"/>
        </w:rPr>
        <w:t xml:space="preserve"> </w:t>
      </w:r>
      <w:r>
        <w:t>Private</w:t>
      </w:r>
      <w:r>
        <w:rPr>
          <w:spacing w:val="-7"/>
        </w:rPr>
        <w:t xml:space="preserve"> </w:t>
      </w:r>
      <w:r>
        <w:t>School</w:t>
      </w:r>
      <w:r>
        <w:rPr>
          <w:spacing w:val="-7"/>
        </w:rPr>
        <w:t xml:space="preserve"> </w:t>
      </w:r>
      <w:r>
        <w:t>Samples</w:t>
      </w:r>
      <w:r>
        <w:rPr>
          <w:spacing w:val="-7"/>
        </w:rPr>
        <w:t xml:space="preserve"> </w:t>
      </w:r>
      <w:r>
        <w:t>for</w:t>
      </w:r>
      <w:r>
        <w:rPr>
          <w:spacing w:val="-11"/>
        </w:rPr>
        <w:t xml:space="preserve"> </w:t>
      </w:r>
      <w:r>
        <w:t>Mathematics</w:t>
      </w:r>
      <w:r>
        <w:rPr>
          <w:spacing w:val="-7"/>
        </w:rPr>
        <w:t xml:space="preserve"> </w:t>
      </w:r>
      <w:r>
        <w:t>and</w:t>
      </w:r>
      <w:r>
        <w:rPr>
          <w:spacing w:val="-7"/>
        </w:rPr>
        <w:t xml:space="preserve"> </w:t>
      </w:r>
      <w:r>
        <w:t>Reading</w:t>
      </w:r>
      <w:r>
        <w:rPr>
          <w:spacing w:val="-13"/>
        </w:rPr>
        <w:t xml:space="preserve"> </w:t>
      </w:r>
      <w:r>
        <w:t>Assessments</w:t>
      </w:r>
      <w:r>
        <w:rPr>
          <w:spacing w:val="-7"/>
        </w:rPr>
        <w:t xml:space="preserve"> </w:t>
      </w:r>
      <w:r>
        <w:t>at</w:t>
      </w:r>
      <w:r>
        <w:rPr>
          <w:spacing w:val="-7"/>
        </w:rPr>
        <w:t xml:space="preserve"> </w:t>
      </w:r>
      <w:r>
        <w:t>Grades</w:t>
      </w:r>
      <w:r>
        <w:rPr>
          <w:spacing w:val="-7"/>
        </w:rPr>
        <w:t xml:space="preserve"> </w:t>
      </w:r>
      <w:r>
        <w:t>4</w:t>
      </w:r>
      <w:r>
        <w:rPr>
          <w:spacing w:val="-7"/>
        </w:rPr>
        <w:t xml:space="preserve"> </w:t>
      </w:r>
      <w:r>
        <w:t>and</w:t>
      </w:r>
      <w:r>
        <w:rPr>
          <w:spacing w:val="-7"/>
        </w:rPr>
        <w:t xml:space="preserve"> </w:t>
      </w:r>
      <w:r>
        <w:rPr>
          <w:spacing w:val="-10"/>
        </w:rPr>
        <w:t>8</w:t>
      </w:r>
    </w:p>
    <w:p w:rsidR="003F5784" w14:paraId="2EFA0284" w14:textId="77777777">
      <w:pPr>
        <w:pStyle w:val="BodyText"/>
        <w:spacing w:line="238" w:lineRule="exact"/>
        <w:ind w:left="109"/>
      </w:pPr>
      <w:r>
        <w:t>The</w:t>
      </w:r>
      <w:r>
        <w:rPr>
          <w:spacing w:val="-6"/>
        </w:rPr>
        <w:t xml:space="preserve"> </w:t>
      </w:r>
      <w:r>
        <w:t>initial</w:t>
      </w:r>
      <w:r>
        <w:rPr>
          <w:spacing w:val="-6"/>
        </w:rPr>
        <w:t xml:space="preserve"> </w:t>
      </w:r>
      <w:r>
        <w:t>weighting</w:t>
      </w:r>
      <w:r>
        <w:rPr>
          <w:spacing w:val="-6"/>
        </w:rPr>
        <w:t xml:space="preserve"> </w:t>
      </w:r>
      <w:r>
        <w:t>cells</w:t>
      </w:r>
      <w:r>
        <w:rPr>
          <w:spacing w:val="-6"/>
        </w:rPr>
        <w:t xml:space="preserve"> </w:t>
      </w:r>
      <w:r>
        <w:t>for</w:t>
      </w:r>
      <w:r>
        <w:rPr>
          <w:spacing w:val="-6"/>
        </w:rPr>
        <w:t xml:space="preserve"> </w:t>
      </w:r>
      <w:r>
        <w:t>these</w:t>
      </w:r>
      <w:r>
        <w:rPr>
          <w:spacing w:val="-6"/>
        </w:rPr>
        <w:t xml:space="preserve"> </w:t>
      </w:r>
      <w:r>
        <w:t>samples</w:t>
      </w:r>
      <w:r>
        <w:rPr>
          <w:spacing w:val="-5"/>
        </w:rPr>
        <w:t xml:space="preserve"> </w:t>
      </w:r>
      <w:r>
        <w:t>were</w:t>
      </w:r>
      <w:r>
        <w:rPr>
          <w:spacing w:val="-6"/>
        </w:rPr>
        <w:t xml:space="preserve"> </w:t>
      </w:r>
      <w:r>
        <w:t>formed</w:t>
      </w:r>
      <w:r>
        <w:rPr>
          <w:spacing w:val="-6"/>
        </w:rPr>
        <w:t xml:space="preserve"> </w:t>
      </w:r>
      <w:r>
        <w:t>within</w:t>
      </w:r>
      <w:r>
        <w:rPr>
          <w:spacing w:val="-6"/>
        </w:rPr>
        <w:t xml:space="preserve"> </w:t>
      </w:r>
      <w:r>
        <w:t>each</w:t>
      </w:r>
      <w:r>
        <w:rPr>
          <w:spacing w:val="-6"/>
        </w:rPr>
        <w:t xml:space="preserve"> </w:t>
      </w:r>
      <w:r>
        <w:t>grade</w:t>
      </w:r>
      <w:r>
        <w:rPr>
          <w:spacing w:val="-6"/>
        </w:rPr>
        <w:t xml:space="preserve"> </w:t>
      </w:r>
      <w:r>
        <w:t>using</w:t>
      </w:r>
      <w:r>
        <w:rPr>
          <w:spacing w:val="-5"/>
        </w:rPr>
        <w:t xml:space="preserve"> </w:t>
      </w:r>
      <w:r>
        <w:t>the</w:t>
      </w:r>
      <w:r>
        <w:rPr>
          <w:spacing w:val="-6"/>
        </w:rPr>
        <w:t xml:space="preserve"> </w:t>
      </w:r>
      <w:r>
        <w:t>following</w:t>
      </w:r>
      <w:r>
        <w:rPr>
          <w:spacing w:val="-6"/>
        </w:rPr>
        <w:t xml:space="preserve"> </w:t>
      </w:r>
      <w:r>
        <w:t>nesting</w:t>
      </w:r>
      <w:r>
        <w:rPr>
          <w:spacing w:val="-6"/>
        </w:rPr>
        <w:t xml:space="preserve"> </w:t>
      </w:r>
      <w:r>
        <w:t>cell</w:t>
      </w:r>
      <w:r>
        <w:rPr>
          <w:spacing w:val="-6"/>
        </w:rPr>
        <w:t xml:space="preserve"> </w:t>
      </w:r>
      <w:r>
        <w:rPr>
          <w:spacing w:val="-2"/>
        </w:rPr>
        <w:t>structure:</w:t>
      </w:r>
    </w:p>
    <w:p w:rsidR="003F5784" w14:paraId="483F5DF7" w14:textId="77777777">
      <w:pPr>
        <w:pStyle w:val="BodyText"/>
        <w:spacing w:before="201" w:line="238" w:lineRule="exact"/>
        <w:ind w:left="422"/>
      </w:pPr>
      <w:r>
        <w:rPr>
          <w:noProof/>
          <w:position w:val="3"/>
        </w:rPr>
        <w:drawing>
          <wp:inline distT="0" distB="0" distL="0" distR="0">
            <wp:extent cx="41379" cy="41378"/>
            <wp:effectExtent l="0" t="0" r="0" b="0"/>
            <wp:docPr id="536" name="Image 536"/>
            <wp:cNvGraphicFramePr/>
            <a:graphic xmlns:a="http://schemas.openxmlformats.org/drawingml/2006/main">
              <a:graphicData uri="http://schemas.openxmlformats.org/drawingml/2006/picture">
                <pic:pic xmlns:pic="http://schemas.openxmlformats.org/drawingml/2006/picture">
                  <pic:nvPicPr>
                    <pic:cNvPr id="536" name="Image 536"/>
                    <pic:cNvPicPr/>
                  </pic:nvPicPr>
                  <pic:blipFill>
                    <a:blip xmlns:r="http://schemas.openxmlformats.org/officeDocument/2006/relationships" r:embed="rId430" cstate="print"/>
                    <a:stretch>
                      <a:fillRect/>
                    </a:stretch>
                  </pic:blipFill>
                  <pic:spPr>
                    <a:xfrm>
                      <a:off x="0" y="0"/>
                      <a:ext cx="41379" cy="41378"/>
                    </a:xfrm>
                    <a:prstGeom prst="rect">
                      <a:avLst/>
                    </a:prstGeom>
                  </pic:spPr>
                </pic:pic>
              </a:graphicData>
            </a:graphic>
          </wp:inline>
        </w:drawing>
      </w:r>
      <w:r>
        <w:rPr>
          <w:spacing w:val="80"/>
          <w:sz w:val="20"/>
        </w:rPr>
        <w:t xml:space="preserve"> </w:t>
      </w:r>
      <w:r>
        <w:t>affiliation;</w:t>
      </w:r>
    </w:p>
    <w:p w:rsidR="003F5784" w14:paraId="4204A8AB" w14:textId="77777777">
      <w:pPr>
        <w:pStyle w:val="BodyText"/>
        <w:spacing w:line="235" w:lineRule="exact"/>
        <w:ind w:left="422"/>
      </w:pPr>
      <w:r>
        <w:rPr>
          <w:noProof/>
          <w:position w:val="3"/>
        </w:rPr>
        <w:drawing>
          <wp:inline distT="0" distB="0" distL="0" distR="0">
            <wp:extent cx="41379" cy="41378"/>
            <wp:effectExtent l="0" t="0" r="0" b="0"/>
            <wp:docPr id="537" name="Image 537"/>
            <wp:cNvGraphicFramePr/>
            <a:graphic xmlns:a="http://schemas.openxmlformats.org/drawingml/2006/main">
              <a:graphicData uri="http://schemas.openxmlformats.org/drawingml/2006/picture">
                <pic:pic xmlns:pic="http://schemas.openxmlformats.org/drawingml/2006/picture">
                  <pic:nvPicPr>
                    <pic:cNvPr id="537" name="Image 537"/>
                    <pic:cNvPicPr/>
                  </pic:nvPicPr>
                  <pic:blipFill>
                    <a:blip xmlns:r="http://schemas.openxmlformats.org/officeDocument/2006/relationships" r:embed="rId427" cstate="print"/>
                    <a:stretch>
                      <a:fillRect/>
                    </a:stretch>
                  </pic:blipFill>
                  <pic:spPr>
                    <a:xfrm>
                      <a:off x="0" y="0"/>
                      <a:ext cx="41379" cy="41378"/>
                    </a:xfrm>
                    <a:prstGeom prst="rect">
                      <a:avLst/>
                    </a:prstGeom>
                  </pic:spPr>
                </pic:pic>
              </a:graphicData>
            </a:graphic>
          </wp:inline>
        </w:drawing>
      </w:r>
      <w:r>
        <w:rPr>
          <w:spacing w:val="80"/>
          <w:sz w:val="20"/>
        </w:rPr>
        <w:t xml:space="preserve"> </w:t>
      </w:r>
      <w:r>
        <w:t>census region stratum;</w:t>
      </w:r>
    </w:p>
    <w:p w:rsidR="003F5784" w14:paraId="47C77D17" w14:textId="77777777">
      <w:pPr>
        <w:pStyle w:val="BodyText"/>
        <w:spacing w:before="3" w:line="232" w:lineRule="auto"/>
        <w:ind w:left="422" w:right="10516"/>
      </w:pPr>
      <w:r>
        <w:rPr>
          <w:noProof/>
          <w:position w:val="3"/>
        </w:rPr>
        <w:drawing>
          <wp:inline distT="0" distB="0" distL="0" distR="0">
            <wp:extent cx="41379" cy="41378"/>
            <wp:effectExtent l="0" t="0" r="0" b="0"/>
            <wp:docPr id="538" name="Image 538"/>
            <wp:cNvGraphicFramePr/>
            <a:graphic xmlns:a="http://schemas.openxmlformats.org/drawingml/2006/main">
              <a:graphicData uri="http://schemas.openxmlformats.org/drawingml/2006/picture">
                <pic:pic xmlns:pic="http://schemas.openxmlformats.org/drawingml/2006/picture">
                  <pic:nvPicPr>
                    <pic:cNvPr id="538" name="Image 538"/>
                    <pic:cNvPicPr/>
                  </pic:nvPicPr>
                  <pic:blipFill>
                    <a:blip xmlns:r="http://schemas.openxmlformats.org/officeDocument/2006/relationships" r:embed="rId431" cstate="print"/>
                    <a:stretch>
                      <a:fillRect/>
                    </a:stretch>
                  </pic:blipFill>
                  <pic:spPr>
                    <a:xfrm>
                      <a:off x="0" y="0"/>
                      <a:ext cx="41379" cy="41378"/>
                    </a:xfrm>
                    <a:prstGeom prst="rect">
                      <a:avLst/>
                    </a:prstGeom>
                  </pic:spPr>
                </pic:pic>
              </a:graphicData>
            </a:graphic>
          </wp:inline>
        </w:drawing>
      </w:r>
      <w:r>
        <w:rPr>
          <w:spacing w:val="68"/>
          <w:sz w:val="20"/>
        </w:rPr>
        <w:t xml:space="preserve"> </w:t>
      </w:r>
      <w:r>
        <w:t>urbanicity</w:t>
      </w:r>
      <w:r>
        <w:rPr>
          <w:spacing w:val="-10"/>
        </w:rPr>
        <w:t xml:space="preserve"> </w:t>
      </w:r>
      <w:r>
        <w:t>stratum</w:t>
      </w:r>
      <w:r>
        <w:rPr>
          <w:spacing w:val="-10"/>
        </w:rPr>
        <w:t xml:space="preserve"> </w:t>
      </w:r>
      <w:r>
        <w:t>(urban-centric</w:t>
      </w:r>
      <w:r>
        <w:rPr>
          <w:spacing w:val="-10"/>
        </w:rPr>
        <w:t xml:space="preserve"> </w:t>
      </w:r>
      <w:r>
        <w:t>locale);</w:t>
      </w:r>
      <w:r>
        <w:rPr>
          <w:spacing w:val="-10"/>
        </w:rPr>
        <w:t xml:space="preserve"> </w:t>
      </w:r>
      <w:r>
        <w:t xml:space="preserve">and </w:t>
      </w:r>
      <w:r>
        <w:rPr>
          <w:noProof/>
          <w:position w:val="3"/>
        </w:rPr>
        <w:drawing>
          <wp:inline distT="0" distB="0" distL="0" distR="0">
            <wp:extent cx="41379" cy="41378"/>
            <wp:effectExtent l="0" t="0" r="0" b="0"/>
            <wp:docPr id="539" name="Image 539"/>
            <wp:cNvGraphicFramePr/>
            <a:graphic xmlns:a="http://schemas.openxmlformats.org/drawingml/2006/main">
              <a:graphicData uri="http://schemas.openxmlformats.org/drawingml/2006/picture">
                <pic:pic xmlns:pic="http://schemas.openxmlformats.org/drawingml/2006/picture">
                  <pic:nvPicPr>
                    <pic:cNvPr id="539" name="Image 539"/>
                    <pic:cNvPicPr/>
                  </pic:nvPicPr>
                  <pic:blipFill>
                    <a:blip xmlns:r="http://schemas.openxmlformats.org/officeDocument/2006/relationships" r:embed="rId425" cstate="print"/>
                    <a:stretch>
                      <a:fillRect/>
                    </a:stretch>
                  </pic:blipFill>
                  <pic:spPr>
                    <a:xfrm>
                      <a:off x="0" y="0"/>
                      <a:ext cx="41379" cy="41378"/>
                    </a:xfrm>
                    <a:prstGeom prst="rect">
                      <a:avLst/>
                    </a:prstGeom>
                  </pic:spPr>
                </pic:pic>
              </a:graphicData>
            </a:graphic>
          </wp:inline>
        </w:drawing>
      </w:r>
      <w:r>
        <w:rPr>
          <w:spacing w:val="80"/>
        </w:rPr>
        <w:t xml:space="preserve"> </w:t>
      </w:r>
      <w:r>
        <w:t>race/ethnicity classification stratum.</w:t>
      </w:r>
    </w:p>
    <w:p w:rsidR="003F5784" w14:paraId="4B16B472" w14:textId="77777777">
      <w:pPr>
        <w:spacing w:before="209" w:line="232" w:lineRule="auto"/>
        <w:ind w:left="109"/>
        <w:rPr>
          <w:sz w:val="21"/>
        </w:rPr>
      </w:pPr>
      <w:r>
        <w:rPr>
          <w:b/>
          <w:sz w:val="21"/>
        </w:rPr>
        <w:t>National</w:t>
      </w:r>
      <w:r>
        <w:rPr>
          <w:b/>
          <w:spacing w:val="-9"/>
          <w:sz w:val="21"/>
        </w:rPr>
        <w:t xml:space="preserve"> </w:t>
      </w:r>
      <w:r>
        <w:rPr>
          <w:b/>
          <w:sz w:val="21"/>
        </w:rPr>
        <w:t>Private</w:t>
      </w:r>
      <w:r>
        <w:rPr>
          <w:b/>
          <w:spacing w:val="-6"/>
          <w:sz w:val="21"/>
        </w:rPr>
        <w:t xml:space="preserve"> </w:t>
      </w:r>
      <w:r>
        <w:rPr>
          <w:b/>
          <w:sz w:val="21"/>
        </w:rPr>
        <w:t>School</w:t>
      </w:r>
      <w:r>
        <w:rPr>
          <w:b/>
          <w:spacing w:val="-6"/>
          <w:sz w:val="21"/>
        </w:rPr>
        <w:t xml:space="preserve"> </w:t>
      </w:r>
      <w:r>
        <w:rPr>
          <w:b/>
          <w:sz w:val="21"/>
        </w:rPr>
        <w:t>Samples</w:t>
      </w:r>
      <w:r>
        <w:rPr>
          <w:b/>
          <w:spacing w:val="-6"/>
          <w:sz w:val="21"/>
        </w:rPr>
        <w:t xml:space="preserve"> </w:t>
      </w:r>
      <w:r>
        <w:rPr>
          <w:b/>
          <w:sz w:val="21"/>
        </w:rPr>
        <w:t>for</w:t>
      </w:r>
      <w:r>
        <w:rPr>
          <w:b/>
          <w:spacing w:val="-10"/>
          <w:sz w:val="21"/>
        </w:rPr>
        <w:t xml:space="preserve"> </w:t>
      </w:r>
      <w:r>
        <w:rPr>
          <w:b/>
          <w:sz w:val="21"/>
        </w:rPr>
        <w:t>Civics</w:t>
      </w:r>
      <w:r>
        <w:rPr>
          <w:b/>
          <w:spacing w:val="-6"/>
          <w:sz w:val="21"/>
        </w:rPr>
        <w:t xml:space="preserve"> </w:t>
      </w:r>
      <w:r>
        <w:rPr>
          <w:b/>
          <w:sz w:val="21"/>
        </w:rPr>
        <w:t>and</w:t>
      </w:r>
      <w:r>
        <w:rPr>
          <w:b/>
          <w:spacing w:val="-6"/>
          <w:sz w:val="21"/>
        </w:rPr>
        <w:t xml:space="preserve"> </w:t>
      </w:r>
      <w:r>
        <w:rPr>
          <w:b/>
          <w:sz w:val="21"/>
        </w:rPr>
        <w:t>U.S.</w:t>
      </w:r>
      <w:r>
        <w:rPr>
          <w:b/>
          <w:spacing w:val="-6"/>
          <w:sz w:val="21"/>
        </w:rPr>
        <w:t xml:space="preserve"> </w:t>
      </w:r>
      <w:r>
        <w:rPr>
          <w:b/>
          <w:sz w:val="21"/>
        </w:rPr>
        <w:t>History</w:t>
      </w:r>
      <w:r>
        <w:rPr>
          <w:b/>
          <w:spacing w:val="-14"/>
          <w:sz w:val="21"/>
        </w:rPr>
        <w:t xml:space="preserve"> </w:t>
      </w:r>
      <w:r>
        <w:rPr>
          <w:b/>
          <w:sz w:val="21"/>
        </w:rPr>
        <w:t>Assessments</w:t>
      </w:r>
      <w:r>
        <w:rPr>
          <w:b/>
          <w:spacing w:val="-5"/>
          <w:sz w:val="21"/>
        </w:rPr>
        <w:t xml:space="preserve"> </w:t>
      </w:r>
      <w:r>
        <w:rPr>
          <w:b/>
          <w:sz w:val="21"/>
        </w:rPr>
        <w:t>at</w:t>
      </w:r>
      <w:r>
        <w:rPr>
          <w:b/>
          <w:spacing w:val="-6"/>
          <w:sz w:val="21"/>
        </w:rPr>
        <w:t xml:space="preserve"> </w:t>
      </w:r>
      <w:r>
        <w:rPr>
          <w:b/>
          <w:sz w:val="21"/>
        </w:rPr>
        <w:t>Grade</w:t>
      </w:r>
      <w:r>
        <w:rPr>
          <w:b/>
          <w:spacing w:val="-6"/>
          <w:sz w:val="21"/>
        </w:rPr>
        <w:t xml:space="preserve"> </w:t>
      </w:r>
      <w:r>
        <w:rPr>
          <w:b/>
          <w:sz w:val="21"/>
        </w:rPr>
        <w:t>8</w:t>
      </w:r>
      <w:r>
        <w:rPr>
          <w:b/>
          <w:spacing w:val="-10"/>
          <w:sz w:val="21"/>
        </w:rPr>
        <w:t xml:space="preserve"> </w:t>
      </w:r>
      <w:r>
        <w:rPr>
          <w:sz w:val="21"/>
        </w:rPr>
        <w:t>The</w:t>
      </w:r>
      <w:r>
        <w:rPr>
          <w:spacing w:val="-6"/>
          <w:sz w:val="21"/>
        </w:rPr>
        <w:t xml:space="preserve"> </w:t>
      </w:r>
      <w:r>
        <w:rPr>
          <w:sz w:val="21"/>
        </w:rPr>
        <w:t>initial</w:t>
      </w:r>
      <w:r>
        <w:rPr>
          <w:spacing w:val="-6"/>
          <w:sz w:val="21"/>
        </w:rPr>
        <w:t xml:space="preserve"> </w:t>
      </w:r>
      <w:r>
        <w:rPr>
          <w:sz w:val="21"/>
        </w:rPr>
        <w:t>weighting</w:t>
      </w:r>
      <w:r>
        <w:rPr>
          <w:spacing w:val="-6"/>
          <w:sz w:val="21"/>
        </w:rPr>
        <w:t xml:space="preserve"> </w:t>
      </w:r>
      <w:r>
        <w:rPr>
          <w:sz w:val="21"/>
        </w:rPr>
        <w:t>cells</w:t>
      </w:r>
      <w:r>
        <w:rPr>
          <w:spacing w:val="-6"/>
          <w:sz w:val="21"/>
        </w:rPr>
        <w:t xml:space="preserve"> </w:t>
      </w:r>
      <w:r>
        <w:rPr>
          <w:sz w:val="21"/>
        </w:rPr>
        <w:t>for</w:t>
      </w:r>
      <w:r>
        <w:rPr>
          <w:spacing w:val="-6"/>
          <w:sz w:val="21"/>
        </w:rPr>
        <w:t xml:space="preserve"> </w:t>
      </w:r>
      <w:r>
        <w:rPr>
          <w:sz w:val="21"/>
        </w:rPr>
        <w:t>these</w:t>
      </w:r>
      <w:r>
        <w:rPr>
          <w:spacing w:val="-6"/>
          <w:sz w:val="21"/>
        </w:rPr>
        <w:t xml:space="preserve"> </w:t>
      </w:r>
      <w:r>
        <w:rPr>
          <w:sz w:val="21"/>
        </w:rPr>
        <w:t>samples</w:t>
      </w:r>
      <w:r>
        <w:rPr>
          <w:spacing w:val="-6"/>
          <w:sz w:val="21"/>
        </w:rPr>
        <w:t xml:space="preserve"> </w:t>
      </w:r>
      <w:r>
        <w:rPr>
          <w:sz w:val="21"/>
        </w:rPr>
        <w:t>were</w:t>
      </w:r>
      <w:r>
        <w:rPr>
          <w:spacing w:val="-6"/>
          <w:sz w:val="21"/>
        </w:rPr>
        <w:t xml:space="preserve"> </w:t>
      </w:r>
      <w:r>
        <w:rPr>
          <w:sz w:val="21"/>
        </w:rPr>
        <w:t>formed</w:t>
      </w:r>
      <w:r>
        <w:rPr>
          <w:spacing w:val="-6"/>
          <w:sz w:val="21"/>
        </w:rPr>
        <w:t xml:space="preserve"> </w:t>
      </w:r>
      <w:r>
        <w:rPr>
          <w:sz w:val="21"/>
        </w:rPr>
        <w:t>using</w:t>
      </w:r>
      <w:r>
        <w:rPr>
          <w:spacing w:val="-6"/>
          <w:sz w:val="21"/>
        </w:rPr>
        <w:t xml:space="preserve"> </w:t>
      </w:r>
      <w:r>
        <w:rPr>
          <w:sz w:val="21"/>
        </w:rPr>
        <w:t>the</w:t>
      </w:r>
      <w:r>
        <w:rPr>
          <w:spacing w:val="-6"/>
          <w:sz w:val="21"/>
        </w:rPr>
        <w:t xml:space="preserve"> </w:t>
      </w:r>
      <w:r>
        <w:rPr>
          <w:sz w:val="21"/>
        </w:rPr>
        <w:t>following</w:t>
      </w:r>
      <w:r>
        <w:rPr>
          <w:spacing w:val="-6"/>
          <w:sz w:val="21"/>
        </w:rPr>
        <w:t xml:space="preserve"> </w:t>
      </w:r>
      <w:r>
        <w:rPr>
          <w:sz w:val="21"/>
        </w:rPr>
        <w:t>nesting cell structure:</w:t>
      </w:r>
    </w:p>
    <w:p w:rsidR="003F5784" w14:paraId="41155221" w14:textId="77777777">
      <w:pPr>
        <w:pStyle w:val="BodyText"/>
        <w:spacing w:before="203" w:line="238" w:lineRule="exact"/>
        <w:ind w:left="422"/>
      </w:pPr>
      <w:r>
        <w:rPr>
          <w:noProof/>
          <w:position w:val="3"/>
        </w:rPr>
        <w:drawing>
          <wp:inline distT="0" distB="0" distL="0" distR="0">
            <wp:extent cx="41379" cy="41378"/>
            <wp:effectExtent l="0" t="0" r="0" b="0"/>
            <wp:docPr id="540" name="Image 540"/>
            <wp:cNvGraphicFramePr/>
            <a:graphic xmlns:a="http://schemas.openxmlformats.org/drawingml/2006/main">
              <a:graphicData uri="http://schemas.openxmlformats.org/drawingml/2006/picture">
                <pic:pic xmlns:pic="http://schemas.openxmlformats.org/drawingml/2006/picture">
                  <pic:nvPicPr>
                    <pic:cNvPr id="540" name="Image 540"/>
                    <pic:cNvPicPr/>
                  </pic:nvPicPr>
                  <pic:blipFill>
                    <a:blip xmlns:r="http://schemas.openxmlformats.org/officeDocument/2006/relationships" r:embed="rId432" cstate="print"/>
                    <a:stretch>
                      <a:fillRect/>
                    </a:stretch>
                  </pic:blipFill>
                  <pic:spPr>
                    <a:xfrm>
                      <a:off x="0" y="0"/>
                      <a:ext cx="41379" cy="41378"/>
                    </a:xfrm>
                    <a:prstGeom prst="rect">
                      <a:avLst/>
                    </a:prstGeom>
                  </pic:spPr>
                </pic:pic>
              </a:graphicData>
            </a:graphic>
          </wp:inline>
        </w:drawing>
      </w:r>
      <w:r>
        <w:rPr>
          <w:spacing w:val="80"/>
          <w:sz w:val="20"/>
        </w:rPr>
        <w:t xml:space="preserve"> </w:t>
      </w:r>
      <w:r>
        <w:t>affiliation;</w:t>
      </w:r>
    </w:p>
    <w:p w:rsidR="003F5784" w14:paraId="69FC9839" w14:textId="77777777">
      <w:pPr>
        <w:pStyle w:val="BodyText"/>
        <w:spacing w:line="235" w:lineRule="exact"/>
        <w:ind w:left="422"/>
      </w:pPr>
      <w:r>
        <w:rPr>
          <w:noProof/>
          <w:position w:val="3"/>
        </w:rPr>
        <w:drawing>
          <wp:inline distT="0" distB="0" distL="0" distR="0">
            <wp:extent cx="41379" cy="41378"/>
            <wp:effectExtent l="0" t="0" r="0" b="0"/>
            <wp:docPr id="541" name="Image 541"/>
            <wp:cNvGraphicFramePr/>
            <a:graphic xmlns:a="http://schemas.openxmlformats.org/drawingml/2006/main">
              <a:graphicData uri="http://schemas.openxmlformats.org/drawingml/2006/picture">
                <pic:pic xmlns:pic="http://schemas.openxmlformats.org/drawingml/2006/picture">
                  <pic:nvPicPr>
                    <pic:cNvPr id="541" name="Image 541"/>
                    <pic:cNvPicPr/>
                  </pic:nvPicPr>
                  <pic:blipFill>
                    <a:blip xmlns:r="http://schemas.openxmlformats.org/officeDocument/2006/relationships" r:embed="rId433" cstate="print"/>
                    <a:stretch>
                      <a:fillRect/>
                    </a:stretch>
                  </pic:blipFill>
                  <pic:spPr>
                    <a:xfrm>
                      <a:off x="0" y="0"/>
                      <a:ext cx="41379" cy="41378"/>
                    </a:xfrm>
                    <a:prstGeom prst="rect">
                      <a:avLst/>
                    </a:prstGeom>
                  </pic:spPr>
                </pic:pic>
              </a:graphicData>
            </a:graphic>
          </wp:inline>
        </w:drawing>
      </w:r>
      <w:r>
        <w:rPr>
          <w:spacing w:val="80"/>
          <w:sz w:val="20"/>
        </w:rPr>
        <w:t xml:space="preserve"> </w:t>
      </w:r>
      <w:r>
        <w:t>census region stratum;</w:t>
      </w:r>
    </w:p>
    <w:p w:rsidR="003F5784" w14:paraId="1A68B38D" w14:textId="77777777">
      <w:pPr>
        <w:pStyle w:val="BodyText"/>
        <w:spacing w:before="3" w:line="232" w:lineRule="auto"/>
        <w:ind w:left="422" w:right="10516"/>
      </w:pPr>
      <w:r>
        <w:rPr>
          <w:noProof/>
          <w:position w:val="3"/>
        </w:rPr>
        <w:drawing>
          <wp:inline distT="0" distB="0" distL="0" distR="0">
            <wp:extent cx="41379" cy="41378"/>
            <wp:effectExtent l="0" t="0" r="0" b="0"/>
            <wp:docPr id="542" name="Image 542"/>
            <wp:cNvGraphicFramePr/>
            <a:graphic xmlns:a="http://schemas.openxmlformats.org/drawingml/2006/main">
              <a:graphicData uri="http://schemas.openxmlformats.org/drawingml/2006/picture">
                <pic:pic xmlns:pic="http://schemas.openxmlformats.org/drawingml/2006/picture">
                  <pic:nvPicPr>
                    <pic:cNvPr id="542" name="Image 542"/>
                    <pic:cNvPicPr/>
                  </pic:nvPicPr>
                  <pic:blipFill>
                    <a:blip xmlns:r="http://schemas.openxmlformats.org/officeDocument/2006/relationships" r:embed="rId428" cstate="print"/>
                    <a:stretch>
                      <a:fillRect/>
                    </a:stretch>
                  </pic:blipFill>
                  <pic:spPr>
                    <a:xfrm>
                      <a:off x="0" y="0"/>
                      <a:ext cx="41379" cy="41378"/>
                    </a:xfrm>
                    <a:prstGeom prst="rect">
                      <a:avLst/>
                    </a:prstGeom>
                  </pic:spPr>
                </pic:pic>
              </a:graphicData>
            </a:graphic>
          </wp:inline>
        </w:drawing>
      </w:r>
      <w:r>
        <w:rPr>
          <w:spacing w:val="68"/>
          <w:sz w:val="20"/>
        </w:rPr>
        <w:t xml:space="preserve"> </w:t>
      </w:r>
      <w:r>
        <w:t>urbanicity</w:t>
      </w:r>
      <w:r>
        <w:rPr>
          <w:spacing w:val="-10"/>
        </w:rPr>
        <w:t xml:space="preserve"> </w:t>
      </w:r>
      <w:r>
        <w:t>stratum</w:t>
      </w:r>
      <w:r>
        <w:rPr>
          <w:spacing w:val="-10"/>
        </w:rPr>
        <w:t xml:space="preserve"> </w:t>
      </w:r>
      <w:r>
        <w:t>(urban-centric</w:t>
      </w:r>
      <w:r>
        <w:rPr>
          <w:spacing w:val="-10"/>
        </w:rPr>
        <w:t xml:space="preserve"> </w:t>
      </w:r>
      <w:r>
        <w:t>locale);</w:t>
      </w:r>
      <w:r>
        <w:rPr>
          <w:spacing w:val="-10"/>
        </w:rPr>
        <w:t xml:space="preserve"> </w:t>
      </w:r>
      <w:r>
        <w:t xml:space="preserve">and </w:t>
      </w:r>
      <w:r>
        <w:rPr>
          <w:noProof/>
          <w:position w:val="3"/>
        </w:rPr>
        <w:drawing>
          <wp:inline distT="0" distB="0" distL="0" distR="0">
            <wp:extent cx="41379" cy="41378"/>
            <wp:effectExtent l="0" t="0" r="0" b="0"/>
            <wp:docPr id="543" name="Image 543"/>
            <wp:cNvGraphicFramePr/>
            <a:graphic xmlns:a="http://schemas.openxmlformats.org/drawingml/2006/main">
              <a:graphicData uri="http://schemas.openxmlformats.org/drawingml/2006/picture">
                <pic:pic xmlns:pic="http://schemas.openxmlformats.org/drawingml/2006/picture">
                  <pic:nvPicPr>
                    <pic:cNvPr id="543" name="Image 543"/>
                    <pic:cNvPicPr/>
                  </pic:nvPicPr>
                  <pic:blipFill>
                    <a:blip xmlns:r="http://schemas.openxmlformats.org/officeDocument/2006/relationships" r:embed="rId434" cstate="print"/>
                    <a:stretch>
                      <a:fillRect/>
                    </a:stretch>
                  </pic:blipFill>
                  <pic:spPr>
                    <a:xfrm>
                      <a:off x="0" y="0"/>
                      <a:ext cx="41379" cy="41378"/>
                    </a:xfrm>
                    <a:prstGeom prst="rect">
                      <a:avLst/>
                    </a:prstGeom>
                  </pic:spPr>
                </pic:pic>
              </a:graphicData>
            </a:graphic>
          </wp:inline>
        </w:drawing>
      </w:r>
      <w:r>
        <w:rPr>
          <w:spacing w:val="80"/>
        </w:rPr>
        <w:t xml:space="preserve"> </w:t>
      </w:r>
      <w:r>
        <w:t>race/ethnicity classification stratum.</w:t>
      </w:r>
    </w:p>
    <w:p w:rsidR="003F5784" w14:paraId="3DBCF0D4" w14:textId="77777777">
      <w:pPr>
        <w:pStyle w:val="Heading2"/>
        <w:spacing w:before="203" w:line="238" w:lineRule="exact"/>
        <w:ind w:left="109"/>
      </w:pPr>
      <w:r>
        <w:t>National</w:t>
      </w:r>
      <w:r>
        <w:rPr>
          <w:spacing w:val="-14"/>
        </w:rPr>
        <w:t xml:space="preserve"> </w:t>
      </w:r>
      <w:r>
        <w:t>Private</w:t>
      </w:r>
      <w:r>
        <w:rPr>
          <w:spacing w:val="-13"/>
        </w:rPr>
        <w:t xml:space="preserve"> </w:t>
      </w:r>
      <w:r>
        <w:t>School</w:t>
      </w:r>
      <w:r>
        <w:rPr>
          <w:spacing w:val="-8"/>
        </w:rPr>
        <w:t xml:space="preserve"> </w:t>
      </w:r>
      <w:r>
        <w:t>Samples</w:t>
      </w:r>
      <w:r>
        <w:rPr>
          <w:spacing w:val="-9"/>
        </w:rPr>
        <w:t xml:space="preserve"> </w:t>
      </w:r>
      <w:r>
        <w:t>for</w:t>
      </w:r>
      <w:r>
        <w:rPr>
          <w:spacing w:val="-12"/>
        </w:rPr>
        <w:t xml:space="preserve"> </w:t>
      </w:r>
      <w:r>
        <w:t>Mathematics</w:t>
      </w:r>
      <w:r>
        <w:rPr>
          <w:spacing w:val="-8"/>
        </w:rPr>
        <w:t xml:space="preserve"> </w:t>
      </w:r>
      <w:r>
        <w:t>and</w:t>
      </w:r>
      <w:r>
        <w:rPr>
          <w:spacing w:val="-8"/>
        </w:rPr>
        <w:t xml:space="preserve"> </w:t>
      </w:r>
      <w:r>
        <w:t>Reading</w:t>
      </w:r>
      <w:r>
        <w:rPr>
          <w:spacing w:val="-9"/>
        </w:rPr>
        <w:t xml:space="preserve"> </w:t>
      </w:r>
      <w:r>
        <w:t>LTT</w:t>
      </w:r>
      <w:r>
        <w:rPr>
          <w:spacing w:val="-16"/>
        </w:rPr>
        <w:t xml:space="preserve"> </w:t>
      </w:r>
      <w:r>
        <w:t>Assessments</w:t>
      </w:r>
      <w:r>
        <w:rPr>
          <w:spacing w:val="-8"/>
        </w:rPr>
        <w:t xml:space="preserve"> </w:t>
      </w:r>
      <w:r>
        <w:t>at</w:t>
      </w:r>
      <w:r>
        <w:rPr>
          <w:spacing w:val="-13"/>
        </w:rPr>
        <w:t xml:space="preserve"> </w:t>
      </w:r>
      <w:r>
        <w:t>Ages</w:t>
      </w:r>
      <w:r>
        <w:rPr>
          <w:spacing w:val="-8"/>
        </w:rPr>
        <w:t xml:space="preserve"> </w:t>
      </w:r>
      <w:r>
        <w:t>9</w:t>
      </w:r>
      <w:r>
        <w:rPr>
          <w:spacing w:val="-9"/>
        </w:rPr>
        <w:t xml:space="preserve"> </w:t>
      </w:r>
      <w:r>
        <w:t>and</w:t>
      </w:r>
      <w:r>
        <w:rPr>
          <w:spacing w:val="-8"/>
        </w:rPr>
        <w:t xml:space="preserve"> </w:t>
      </w:r>
      <w:r>
        <w:rPr>
          <w:spacing w:val="-5"/>
        </w:rPr>
        <w:t>13</w:t>
      </w:r>
    </w:p>
    <w:p w:rsidR="003F5784" w14:paraId="146FCF3B" w14:textId="77777777">
      <w:pPr>
        <w:pStyle w:val="BodyText"/>
        <w:spacing w:line="238" w:lineRule="exact"/>
        <w:ind w:left="109"/>
      </w:pPr>
      <w:r>
        <w:t>The</w:t>
      </w:r>
      <w:r>
        <w:rPr>
          <w:spacing w:val="-6"/>
        </w:rPr>
        <w:t xml:space="preserve"> </w:t>
      </w:r>
      <w:r>
        <w:t>initial</w:t>
      </w:r>
      <w:r>
        <w:rPr>
          <w:spacing w:val="-6"/>
        </w:rPr>
        <w:t xml:space="preserve"> </w:t>
      </w:r>
      <w:r>
        <w:t>weighting</w:t>
      </w:r>
      <w:r>
        <w:rPr>
          <w:spacing w:val="-6"/>
        </w:rPr>
        <w:t xml:space="preserve"> </w:t>
      </w:r>
      <w:r>
        <w:t>cells</w:t>
      </w:r>
      <w:r>
        <w:rPr>
          <w:spacing w:val="-6"/>
        </w:rPr>
        <w:t xml:space="preserve"> </w:t>
      </w:r>
      <w:r>
        <w:t>for</w:t>
      </w:r>
      <w:r>
        <w:rPr>
          <w:spacing w:val="-6"/>
        </w:rPr>
        <w:t xml:space="preserve"> </w:t>
      </w:r>
      <w:r>
        <w:t>these</w:t>
      </w:r>
      <w:r>
        <w:rPr>
          <w:spacing w:val="-6"/>
        </w:rPr>
        <w:t xml:space="preserve"> </w:t>
      </w:r>
      <w:r>
        <w:t>samples</w:t>
      </w:r>
      <w:r>
        <w:rPr>
          <w:spacing w:val="-6"/>
        </w:rPr>
        <w:t xml:space="preserve"> </w:t>
      </w:r>
      <w:r>
        <w:t>were</w:t>
      </w:r>
      <w:r>
        <w:rPr>
          <w:spacing w:val="-6"/>
        </w:rPr>
        <w:t xml:space="preserve"> </w:t>
      </w:r>
      <w:r>
        <w:t>formed</w:t>
      </w:r>
      <w:r>
        <w:rPr>
          <w:spacing w:val="-6"/>
        </w:rPr>
        <w:t xml:space="preserve"> </w:t>
      </w:r>
      <w:r>
        <w:t>using</w:t>
      </w:r>
      <w:r>
        <w:rPr>
          <w:spacing w:val="-5"/>
        </w:rPr>
        <w:t xml:space="preserve"> </w:t>
      </w:r>
      <w:r>
        <w:t>the</w:t>
      </w:r>
      <w:r>
        <w:rPr>
          <w:spacing w:val="-6"/>
        </w:rPr>
        <w:t xml:space="preserve"> </w:t>
      </w:r>
      <w:r>
        <w:t>following</w:t>
      </w:r>
      <w:r>
        <w:rPr>
          <w:spacing w:val="-6"/>
        </w:rPr>
        <w:t xml:space="preserve"> </w:t>
      </w:r>
      <w:r>
        <w:t>nesting</w:t>
      </w:r>
      <w:r>
        <w:rPr>
          <w:spacing w:val="-6"/>
        </w:rPr>
        <w:t xml:space="preserve"> </w:t>
      </w:r>
      <w:r>
        <w:t>cell</w:t>
      </w:r>
      <w:r>
        <w:rPr>
          <w:spacing w:val="-6"/>
        </w:rPr>
        <w:t xml:space="preserve"> </w:t>
      </w:r>
      <w:r>
        <w:rPr>
          <w:spacing w:val="-2"/>
        </w:rPr>
        <w:t>structure:</w:t>
      </w:r>
    </w:p>
    <w:p w:rsidR="003F5784" w14:paraId="206DD896" w14:textId="77777777">
      <w:pPr>
        <w:pStyle w:val="BodyText"/>
        <w:spacing w:before="202" w:line="238" w:lineRule="exact"/>
        <w:ind w:left="422"/>
      </w:pPr>
      <w:r>
        <w:rPr>
          <w:noProof/>
          <w:position w:val="3"/>
        </w:rPr>
        <w:drawing>
          <wp:inline distT="0" distB="0" distL="0" distR="0">
            <wp:extent cx="41379" cy="41378"/>
            <wp:effectExtent l="0" t="0" r="0" b="0"/>
            <wp:docPr id="544" name="Image 544"/>
            <wp:cNvGraphicFramePr/>
            <a:graphic xmlns:a="http://schemas.openxmlformats.org/drawingml/2006/main">
              <a:graphicData uri="http://schemas.openxmlformats.org/drawingml/2006/picture">
                <pic:pic xmlns:pic="http://schemas.openxmlformats.org/drawingml/2006/picture">
                  <pic:nvPicPr>
                    <pic:cNvPr id="544" name="Image 544"/>
                    <pic:cNvPicPr/>
                  </pic:nvPicPr>
                  <pic:blipFill>
                    <a:blip xmlns:r="http://schemas.openxmlformats.org/officeDocument/2006/relationships" r:embed="rId435" cstate="print"/>
                    <a:stretch>
                      <a:fillRect/>
                    </a:stretch>
                  </pic:blipFill>
                  <pic:spPr>
                    <a:xfrm>
                      <a:off x="0" y="0"/>
                      <a:ext cx="41379" cy="41378"/>
                    </a:xfrm>
                    <a:prstGeom prst="rect">
                      <a:avLst/>
                    </a:prstGeom>
                  </pic:spPr>
                </pic:pic>
              </a:graphicData>
            </a:graphic>
          </wp:inline>
        </w:drawing>
      </w:r>
      <w:r>
        <w:rPr>
          <w:spacing w:val="80"/>
          <w:sz w:val="20"/>
        </w:rPr>
        <w:t xml:space="preserve"> </w:t>
      </w:r>
      <w:r>
        <w:t>affiliation;</w:t>
      </w:r>
    </w:p>
    <w:p w:rsidR="003F5784" w14:paraId="311AB747" w14:textId="77777777">
      <w:pPr>
        <w:pStyle w:val="BodyText"/>
        <w:spacing w:line="235" w:lineRule="exact"/>
        <w:ind w:left="422"/>
      </w:pPr>
      <w:r>
        <w:rPr>
          <w:noProof/>
          <w:position w:val="3"/>
        </w:rPr>
        <w:drawing>
          <wp:inline distT="0" distB="0" distL="0" distR="0">
            <wp:extent cx="41379" cy="41378"/>
            <wp:effectExtent l="0" t="0" r="0" b="0"/>
            <wp:docPr id="545" name="Image 545"/>
            <wp:cNvGraphicFramePr/>
            <a:graphic xmlns:a="http://schemas.openxmlformats.org/drawingml/2006/main">
              <a:graphicData uri="http://schemas.openxmlformats.org/drawingml/2006/picture">
                <pic:pic xmlns:pic="http://schemas.openxmlformats.org/drawingml/2006/picture">
                  <pic:nvPicPr>
                    <pic:cNvPr id="545" name="Image 545"/>
                    <pic:cNvPicPr/>
                  </pic:nvPicPr>
                  <pic:blipFill>
                    <a:blip xmlns:r="http://schemas.openxmlformats.org/officeDocument/2006/relationships" r:embed="rId436" cstate="print"/>
                    <a:stretch>
                      <a:fillRect/>
                    </a:stretch>
                  </pic:blipFill>
                  <pic:spPr>
                    <a:xfrm>
                      <a:off x="0" y="0"/>
                      <a:ext cx="41379" cy="41378"/>
                    </a:xfrm>
                    <a:prstGeom prst="rect">
                      <a:avLst/>
                    </a:prstGeom>
                  </pic:spPr>
                </pic:pic>
              </a:graphicData>
            </a:graphic>
          </wp:inline>
        </w:drawing>
      </w:r>
      <w:r>
        <w:rPr>
          <w:spacing w:val="80"/>
          <w:sz w:val="20"/>
        </w:rPr>
        <w:t xml:space="preserve"> </w:t>
      </w:r>
      <w:r>
        <w:t>census region stratum; and</w:t>
      </w:r>
    </w:p>
    <w:p w:rsidR="003F5784" w14:paraId="68F5EEE4" w14:textId="77777777">
      <w:pPr>
        <w:pStyle w:val="BodyText"/>
        <w:spacing w:line="238" w:lineRule="exact"/>
        <w:ind w:left="422"/>
      </w:pPr>
      <w:r>
        <w:rPr>
          <w:noProof/>
          <w:position w:val="3"/>
        </w:rPr>
        <w:drawing>
          <wp:inline distT="0" distB="0" distL="0" distR="0">
            <wp:extent cx="41379" cy="41378"/>
            <wp:effectExtent l="0" t="0" r="0" b="0"/>
            <wp:docPr id="546" name="Image 546"/>
            <wp:cNvGraphicFramePr/>
            <a:graphic xmlns:a="http://schemas.openxmlformats.org/drawingml/2006/main">
              <a:graphicData uri="http://schemas.openxmlformats.org/drawingml/2006/picture">
                <pic:pic xmlns:pic="http://schemas.openxmlformats.org/drawingml/2006/picture">
                  <pic:nvPicPr>
                    <pic:cNvPr id="546" name="Image 546"/>
                    <pic:cNvPicPr/>
                  </pic:nvPicPr>
                  <pic:blipFill>
                    <a:blip xmlns:r="http://schemas.openxmlformats.org/officeDocument/2006/relationships" r:embed="rId437" cstate="print"/>
                    <a:stretch>
                      <a:fillRect/>
                    </a:stretch>
                  </pic:blipFill>
                  <pic:spPr>
                    <a:xfrm>
                      <a:off x="0" y="0"/>
                      <a:ext cx="41379" cy="41378"/>
                    </a:xfrm>
                    <a:prstGeom prst="rect">
                      <a:avLst/>
                    </a:prstGeom>
                  </pic:spPr>
                </pic:pic>
              </a:graphicData>
            </a:graphic>
          </wp:inline>
        </w:drawing>
      </w:r>
      <w:r>
        <w:rPr>
          <w:spacing w:val="80"/>
          <w:sz w:val="20"/>
        </w:rPr>
        <w:t xml:space="preserve"> </w:t>
      </w:r>
      <w:r>
        <w:t>urbanicity stratum (four categories based on urban-centric locale.</w:t>
      </w:r>
    </w:p>
    <w:p w:rsidR="003F5784" w14:paraId="3DDA8156" w14:textId="77777777">
      <w:pPr>
        <w:pStyle w:val="BodyText"/>
      </w:pPr>
    </w:p>
    <w:p w:rsidR="003F5784" w14:paraId="02A09849" w14:textId="77777777">
      <w:pPr>
        <w:pStyle w:val="BodyText"/>
      </w:pPr>
    </w:p>
    <w:p w:rsidR="003F5784" w14:paraId="65FEEC67" w14:textId="77777777">
      <w:pPr>
        <w:pStyle w:val="BodyText"/>
        <w:spacing w:before="143"/>
      </w:pPr>
    </w:p>
    <w:p w:rsidR="003F5784" w14:paraId="7FC01AFC" w14:textId="77777777">
      <w:pPr>
        <w:spacing w:before="1"/>
        <w:ind w:left="4280"/>
        <w:rPr>
          <w:sz w:val="18"/>
        </w:rPr>
      </w:pPr>
      <w:hyperlink r:id="rId438">
        <w:r>
          <w:rPr>
            <w:spacing w:val="-2"/>
            <w:w w:val="105"/>
            <w:sz w:val="18"/>
          </w:rPr>
          <w:t>http://nces.ed.gov/nationsreportcard/tdw/weighting/2022/development_of_initial_school_nonresponse_cells_for_the_2022_assessment.aspx</w:t>
        </w:r>
      </w:hyperlink>
    </w:p>
    <w:p w:rsidR="003F5784" w14:paraId="07D83827" w14:textId="77777777">
      <w:pPr>
        <w:pStyle w:val="BodyText"/>
        <w:rPr>
          <w:sz w:val="16"/>
        </w:rPr>
      </w:pPr>
      <w:r>
        <w:rPr>
          <w:noProof/>
        </w:rPr>
        <mc:AlternateContent>
          <mc:Choice Requires="wps">
            <w:drawing>
              <wp:anchor distT="0" distB="0" distL="0" distR="0" simplePos="0" relativeHeight="251984896" behindDoc="1" locked="0" layoutInCell="1" allowOverlap="1">
                <wp:simplePos x="0" y="0"/>
                <wp:positionH relativeFrom="page">
                  <wp:posOffset>361937</wp:posOffset>
                </wp:positionH>
                <wp:positionV relativeFrom="paragraph">
                  <wp:posOffset>132010</wp:posOffset>
                </wp:positionV>
                <wp:extent cx="9339580" cy="8890"/>
                <wp:effectExtent l="0" t="0" r="0" b="0"/>
                <wp:wrapTopAndBottom/>
                <wp:docPr id="547" name="Graphic 547"/>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293"/>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47" o:spid="_x0000_s1174" style="width:735.4pt;height:0.7pt;margin-top:10.4pt;margin-left:28.5pt;mso-position-horizontal-relative:page;mso-wrap-distance-bottom:0;mso-wrap-distance-left:0;mso-wrap-distance-right:0;mso-wrap-distance-top:0;mso-wrap-style:square;position:absolute;visibility:visible;v-text-anchor:top;z-index:-251330560" coordsize="9339580,8890" path="m9338970,l9335110,l,,,8280l8280,8293l9335110,8280l9338970,8280l9338970,xe" fillcolor="gray" stroked="f">
                <v:path arrowok="t"/>
                <w10:wrap type="topAndBottom"/>
              </v:shape>
            </w:pict>
          </mc:Fallback>
        </mc:AlternateContent>
      </w:r>
    </w:p>
    <w:p w:rsidR="003F5784" w14:paraId="0CEED45D" w14:textId="77777777">
      <w:pPr>
        <w:rPr>
          <w:sz w:val="16"/>
        </w:rPr>
        <w:sectPr>
          <w:pgSz w:w="15840" w:h="12240" w:orient="landscape"/>
          <w:pgMar w:top="480" w:right="440" w:bottom="460" w:left="460" w:header="284" w:footer="275" w:gutter="0"/>
          <w:cols w:space="720"/>
        </w:sectPr>
      </w:pPr>
    </w:p>
    <w:p w:rsidR="003F5784" w14:paraId="41559CFF" w14:textId="0C949400">
      <w:pPr>
        <w:pStyle w:val="Heading1"/>
        <w:spacing w:before="81" w:line="244" w:lineRule="auto"/>
        <w:ind w:right="1264"/>
      </w:pPr>
      <w:r>
        <w:t>NAEP</w:t>
      </w:r>
      <w:r>
        <w:rPr>
          <w:spacing w:val="-9"/>
        </w:rPr>
        <w:t xml:space="preserve"> </w:t>
      </w:r>
      <w:r>
        <w:t>Technical Documentation</w:t>
      </w:r>
      <w:r w:rsidR="00E3225D">
        <w:t xml:space="preserve"> </w:t>
      </w:r>
      <w:r>
        <w:t xml:space="preserve">School Nonresponse Adjustment Factor </w:t>
      </w:r>
      <w:r>
        <w:rPr>
          <w:spacing w:val="-2"/>
        </w:rPr>
        <w:t>Calculation</w:t>
      </w:r>
    </w:p>
    <w:p w:rsidR="003F5784" w14:paraId="0C74B8BC" w14:textId="77777777">
      <w:pPr>
        <w:pStyle w:val="BodyText"/>
        <w:spacing w:before="268"/>
        <w:ind w:left="109"/>
      </w:pPr>
      <w:r>
        <w:t>In</w:t>
      </w:r>
      <w:r>
        <w:rPr>
          <w:spacing w:val="-8"/>
        </w:rPr>
        <w:t xml:space="preserve"> </w:t>
      </w:r>
      <w:r>
        <w:t>each</w:t>
      </w:r>
      <w:r>
        <w:rPr>
          <w:spacing w:val="-7"/>
        </w:rPr>
        <w:t xml:space="preserve"> </w:t>
      </w:r>
      <w:r>
        <w:t>final</w:t>
      </w:r>
      <w:r>
        <w:rPr>
          <w:spacing w:val="-8"/>
        </w:rPr>
        <w:t xml:space="preserve"> </w:t>
      </w:r>
      <w:r>
        <w:t>school</w:t>
      </w:r>
      <w:r>
        <w:rPr>
          <w:spacing w:val="-7"/>
        </w:rPr>
        <w:t xml:space="preserve"> </w:t>
      </w:r>
      <w:r>
        <w:t>nonresponse</w:t>
      </w:r>
      <w:r>
        <w:rPr>
          <w:spacing w:val="-8"/>
        </w:rPr>
        <w:t xml:space="preserve"> </w:t>
      </w:r>
      <w:r>
        <w:t>adjustment</w:t>
      </w:r>
      <w:r>
        <w:rPr>
          <w:spacing w:val="-7"/>
        </w:rPr>
        <w:t xml:space="preserve"> </w:t>
      </w:r>
      <w:r>
        <w:t>cell</w:t>
      </w:r>
      <w:r>
        <w:rPr>
          <w:spacing w:val="-8"/>
        </w:rPr>
        <w:t xml:space="preserve"> </w:t>
      </w:r>
      <w:r>
        <w:t>\(c\),</w:t>
      </w:r>
      <w:r>
        <w:rPr>
          <w:spacing w:val="-7"/>
        </w:rPr>
        <w:t xml:space="preserve"> </w:t>
      </w:r>
      <w:r>
        <w:t>the</w:t>
      </w:r>
      <w:r>
        <w:rPr>
          <w:spacing w:val="-8"/>
        </w:rPr>
        <w:t xml:space="preserve"> </w:t>
      </w:r>
      <w:r>
        <w:t>school</w:t>
      </w:r>
      <w:r>
        <w:rPr>
          <w:spacing w:val="-7"/>
        </w:rPr>
        <w:t xml:space="preserve"> </w:t>
      </w:r>
      <w:r>
        <w:t>nonresponse</w:t>
      </w:r>
      <w:r>
        <w:rPr>
          <w:spacing w:val="-8"/>
        </w:rPr>
        <w:t xml:space="preserve"> </w:t>
      </w:r>
      <w:r>
        <w:t>adjustment</w:t>
      </w:r>
      <w:r>
        <w:rPr>
          <w:spacing w:val="-7"/>
        </w:rPr>
        <w:t xml:space="preserve"> </w:t>
      </w:r>
      <w:r>
        <w:t>factor</w:t>
      </w:r>
      <w:r>
        <w:rPr>
          <w:spacing w:val="-8"/>
        </w:rPr>
        <w:t xml:space="preserve"> </w:t>
      </w:r>
      <w:r>
        <w:t>\(SCH\_NRAF_{c}\)</w:t>
      </w:r>
      <w:r>
        <w:rPr>
          <w:spacing w:val="-7"/>
        </w:rPr>
        <w:t xml:space="preserve"> </w:t>
      </w:r>
      <w:r>
        <w:t>was</w:t>
      </w:r>
      <w:r>
        <w:rPr>
          <w:spacing w:val="-8"/>
        </w:rPr>
        <w:t xml:space="preserve"> </w:t>
      </w:r>
      <w:r>
        <w:t>computed</w:t>
      </w:r>
      <w:r>
        <w:rPr>
          <w:spacing w:val="-7"/>
        </w:rPr>
        <w:t xml:space="preserve"> </w:t>
      </w:r>
      <w:r>
        <w:rPr>
          <w:spacing w:val="-5"/>
        </w:rPr>
        <w:t>as</w:t>
      </w:r>
    </w:p>
    <w:p w:rsidR="003F5784" w14:paraId="74DFAC75" w14:textId="77777777">
      <w:pPr>
        <w:pStyle w:val="BodyText"/>
        <w:spacing w:before="201" w:line="238" w:lineRule="exact"/>
        <w:ind w:left="109"/>
      </w:pPr>
      <w:r>
        <w:t>\begin{equation}</w:t>
      </w:r>
      <w:r>
        <w:rPr>
          <w:spacing w:val="-7"/>
        </w:rPr>
        <w:t xml:space="preserve"> </w:t>
      </w:r>
      <w:r>
        <w:t>SCH\_NRAF_{c}</w:t>
      </w:r>
      <w:r>
        <w:rPr>
          <w:spacing w:val="-7"/>
        </w:rPr>
        <w:t xml:space="preserve"> </w:t>
      </w:r>
      <w:r>
        <w:t>=</w:t>
      </w:r>
      <w:r>
        <w:rPr>
          <w:spacing w:val="-7"/>
        </w:rPr>
        <w:t xml:space="preserve"> </w:t>
      </w:r>
      <w:r>
        <w:t>\dfrac</w:t>
      </w:r>
      <w:r>
        <w:rPr>
          <w:spacing w:val="-7"/>
        </w:rPr>
        <w:t xml:space="preserve"> </w:t>
      </w:r>
      <w:r>
        <w:t>{</w:t>
      </w:r>
      <w:r>
        <w:rPr>
          <w:spacing w:val="-7"/>
        </w:rPr>
        <w:t xml:space="preserve"> </w:t>
      </w:r>
      <w:r>
        <w:t>\sum_{</w:t>
      </w:r>
      <w:r>
        <w:rPr>
          <w:spacing w:val="-7"/>
        </w:rPr>
        <w:t xml:space="preserve"> </w:t>
      </w:r>
      <w:r>
        <w:t>s</w:t>
      </w:r>
      <w:r>
        <w:rPr>
          <w:spacing w:val="-7"/>
        </w:rPr>
        <w:t xml:space="preserve"> </w:t>
      </w:r>
      <w:r>
        <w:t>\in</w:t>
      </w:r>
      <w:r>
        <w:rPr>
          <w:spacing w:val="-7"/>
        </w:rPr>
        <w:t xml:space="preserve"> </w:t>
      </w:r>
      <w:r>
        <w:t>S_{c}}</w:t>
      </w:r>
      <w:r>
        <w:rPr>
          <w:spacing w:val="-7"/>
        </w:rPr>
        <w:t xml:space="preserve"> </w:t>
      </w:r>
      <w:r>
        <w:t>{</w:t>
      </w:r>
      <w:r>
        <w:rPr>
          <w:spacing w:val="-7"/>
        </w:rPr>
        <w:t xml:space="preserve"> </w:t>
      </w:r>
      <w:r>
        <w:t>SCH\_BWT_{s}</w:t>
      </w:r>
      <w:r>
        <w:rPr>
          <w:spacing w:val="-7"/>
        </w:rPr>
        <w:t xml:space="preserve"> </w:t>
      </w:r>
      <w:r>
        <w:t>\times</w:t>
      </w:r>
      <w:r>
        <w:rPr>
          <w:spacing w:val="-7"/>
        </w:rPr>
        <w:t xml:space="preserve"> </w:t>
      </w:r>
      <w:r>
        <w:t>SCH\_TRIM_{s}</w:t>
      </w:r>
      <w:r>
        <w:rPr>
          <w:spacing w:val="-6"/>
        </w:rPr>
        <w:t xml:space="preserve"> </w:t>
      </w:r>
      <w:r>
        <w:t>\times</w:t>
      </w:r>
      <w:r>
        <w:rPr>
          <w:spacing w:val="-7"/>
        </w:rPr>
        <w:t xml:space="preserve"> </w:t>
      </w:r>
      <w:r>
        <w:t>SCHSESWT_{s}</w:t>
      </w:r>
      <w:r>
        <w:rPr>
          <w:spacing w:val="-7"/>
        </w:rPr>
        <w:t xml:space="preserve"> </w:t>
      </w:r>
      <w:r>
        <w:t>\times</w:t>
      </w:r>
      <w:r>
        <w:rPr>
          <w:spacing w:val="-7"/>
        </w:rPr>
        <w:t xml:space="preserve"> </w:t>
      </w:r>
      <w:r>
        <w:t>X_{s}}</w:t>
      </w:r>
      <w:r>
        <w:rPr>
          <w:spacing w:val="-7"/>
        </w:rPr>
        <w:t xml:space="preserve"> </w:t>
      </w:r>
      <w:r>
        <w:t>}</w:t>
      </w:r>
      <w:r>
        <w:rPr>
          <w:spacing w:val="-7"/>
        </w:rPr>
        <w:t xml:space="preserve"> </w:t>
      </w:r>
      <w:r>
        <w:t>{</w:t>
      </w:r>
      <w:r>
        <w:rPr>
          <w:spacing w:val="-7"/>
        </w:rPr>
        <w:t xml:space="preserve"> </w:t>
      </w:r>
      <w:r>
        <w:t>\sum_{</w:t>
      </w:r>
      <w:r>
        <w:rPr>
          <w:spacing w:val="-7"/>
        </w:rPr>
        <w:t xml:space="preserve"> </w:t>
      </w:r>
      <w:r>
        <w:t>s</w:t>
      </w:r>
      <w:r>
        <w:rPr>
          <w:spacing w:val="-7"/>
        </w:rPr>
        <w:t xml:space="preserve"> </w:t>
      </w:r>
      <w:r>
        <w:t>\in</w:t>
      </w:r>
      <w:r>
        <w:rPr>
          <w:spacing w:val="-7"/>
        </w:rPr>
        <w:t xml:space="preserve"> </w:t>
      </w:r>
      <w:r>
        <w:rPr>
          <w:spacing w:val="-2"/>
        </w:rPr>
        <w:t>R_{c}}</w:t>
      </w:r>
    </w:p>
    <w:p w:rsidR="003F5784" w14:paraId="43E7EC21" w14:textId="77777777">
      <w:pPr>
        <w:pStyle w:val="BodyText"/>
        <w:spacing w:line="439" w:lineRule="auto"/>
        <w:ind w:left="109" w:right="6183"/>
      </w:pPr>
      <w:r>
        <w:t>{</w:t>
      </w:r>
      <w:r>
        <w:rPr>
          <w:spacing w:val="-11"/>
        </w:rPr>
        <w:t xml:space="preserve"> </w:t>
      </w:r>
      <w:r>
        <w:t>SCH\_BWT_{s}</w:t>
      </w:r>
      <w:r>
        <w:rPr>
          <w:spacing w:val="-11"/>
        </w:rPr>
        <w:t xml:space="preserve"> </w:t>
      </w:r>
      <w:r>
        <w:t>\times</w:t>
      </w:r>
      <w:r>
        <w:rPr>
          <w:spacing w:val="-11"/>
        </w:rPr>
        <w:t xml:space="preserve"> </w:t>
      </w:r>
      <w:r>
        <w:t>SCH\_TRIM_{s}</w:t>
      </w:r>
      <w:r>
        <w:rPr>
          <w:spacing w:val="-11"/>
        </w:rPr>
        <w:t xml:space="preserve"> </w:t>
      </w:r>
      <w:r>
        <w:t>\times</w:t>
      </w:r>
      <w:r>
        <w:rPr>
          <w:spacing w:val="-11"/>
        </w:rPr>
        <w:t xml:space="preserve"> </w:t>
      </w:r>
      <w:r>
        <w:t>SCHSESWT_{s}</w:t>
      </w:r>
      <w:r>
        <w:rPr>
          <w:spacing w:val="-11"/>
        </w:rPr>
        <w:t xml:space="preserve"> </w:t>
      </w:r>
      <w:r>
        <w:t>\times</w:t>
      </w:r>
      <w:r>
        <w:rPr>
          <w:spacing w:val="-11"/>
        </w:rPr>
        <w:t xml:space="preserve"> </w:t>
      </w:r>
      <w:r>
        <w:t>X_{s}}</w:t>
      </w:r>
      <w:r>
        <w:rPr>
          <w:spacing w:val="-11"/>
        </w:rPr>
        <w:t xml:space="preserve"> </w:t>
      </w:r>
      <w:r>
        <w:t>},</w:t>
      </w:r>
      <w:r>
        <w:rPr>
          <w:spacing w:val="-11"/>
        </w:rPr>
        <w:t xml:space="preserve"> </w:t>
      </w:r>
      <w:r>
        <w:t xml:space="preserve">\end{equation} </w:t>
      </w:r>
      <w:r>
        <w:rPr>
          <w:spacing w:val="-2"/>
        </w:rPr>
        <w:t>where</w:t>
      </w:r>
    </w:p>
    <w:p w:rsidR="003F5784" w14:paraId="335A8FEC" w14:textId="77777777">
      <w:pPr>
        <w:pStyle w:val="BodyText"/>
        <w:spacing w:before="240" w:line="232" w:lineRule="auto"/>
        <w:ind w:left="631" w:right="239" w:hanging="209"/>
      </w:pPr>
      <w:r>
        <w:rPr>
          <w:noProof/>
          <w:position w:val="3"/>
        </w:rPr>
        <w:drawing>
          <wp:inline distT="0" distB="0" distL="0" distR="0">
            <wp:extent cx="41379" cy="41378"/>
            <wp:effectExtent l="0" t="0" r="0" b="0"/>
            <wp:docPr id="548" name="Image 548"/>
            <wp:cNvGraphicFramePr/>
            <a:graphic xmlns:a="http://schemas.openxmlformats.org/drawingml/2006/main">
              <a:graphicData uri="http://schemas.openxmlformats.org/drawingml/2006/picture">
                <pic:pic xmlns:pic="http://schemas.openxmlformats.org/drawingml/2006/picture">
                  <pic:nvPicPr>
                    <pic:cNvPr id="548" name="Image 548"/>
                    <pic:cNvPicPr/>
                  </pic:nvPicPr>
                  <pic:blipFill>
                    <a:blip xmlns:r="http://schemas.openxmlformats.org/officeDocument/2006/relationships" r:embed="rId439" cstate="print"/>
                    <a:stretch>
                      <a:fillRect/>
                    </a:stretch>
                  </pic:blipFill>
                  <pic:spPr>
                    <a:xfrm>
                      <a:off x="0" y="0"/>
                      <a:ext cx="41379" cy="41378"/>
                    </a:xfrm>
                    <a:prstGeom prst="rect">
                      <a:avLst/>
                    </a:prstGeom>
                  </pic:spPr>
                </pic:pic>
              </a:graphicData>
            </a:graphic>
          </wp:inline>
        </w:drawing>
      </w:r>
      <w:r>
        <w:rPr>
          <w:spacing w:val="80"/>
          <w:sz w:val="20"/>
        </w:rPr>
        <w:t xml:space="preserve"> </w:t>
      </w:r>
      <w:r>
        <w:t>\(S_{c}\)</w:t>
      </w:r>
      <w:r>
        <w:rPr>
          <w:spacing w:val="-6"/>
        </w:rPr>
        <w:t xml:space="preserve"> </w:t>
      </w:r>
      <w:r>
        <w:t>is</w:t>
      </w:r>
      <w:r>
        <w:rPr>
          <w:spacing w:val="-6"/>
        </w:rPr>
        <w:t xml:space="preserve"> </w:t>
      </w:r>
      <w:r>
        <w:t>the</w:t>
      </w:r>
      <w:r>
        <w:rPr>
          <w:spacing w:val="-6"/>
        </w:rPr>
        <w:t xml:space="preserve"> </w:t>
      </w:r>
      <w:r>
        <w:t>set</w:t>
      </w:r>
      <w:r>
        <w:rPr>
          <w:spacing w:val="-6"/>
        </w:rPr>
        <w:t xml:space="preserve"> </w:t>
      </w:r>
      <w:r>
        <w:t>of</w:t>
      </w:r>
      <w:r>
        <w:rPr>
          <w:spacing w:val="-6"/>
        </w:rPr>
        <w:t xml:space="preserve"> </w:t>
      </w:r>
      <w:r>
        <w:t>all</w:t>
      </w:r>
      <w:r>
        <w:rPr>
          <w:spacing w:val="-6"/>
        </w:rPr>
        <w:t xml:space="preserve"> </w:t>
      </w:r>
      <w:r>
        <w:t>eligible</w:t>
      </w:r>
      <w:r>
        <w:rPr>
          <w:spacing w:val="-6"/>
        </w:rPr>
        <w:t xml:space="preserve"> </w:t>
      </w:r>
      <w:r>
        <w:t>sampled</w:t>
      </w:r>
      <w:r>
        <w:rPr>
          <w:spacing w:val="-6"/>
        </w:rPr>
        <w:t xml:space="preserve"> </w:t>
      </w:r>
      <w:r>
        <w:t>schools</w:t>
      </w:r>
      <w:r>
        <w:rPr>
          <w:spacing w:val="-6"/>
        </w:rPr>
        <w:t xml:space="preserve"> </w:t>
      </w:r>
      <w:r>
        <w:t>(cooperating</w:t>
      </w:r>
      <w:r>
        <w:rPr>
          <w:spacing w:val="-6"/>
        </w:rPr>
        <w:t xml:space="preserve"> </w:t>
      </w:r>
      <w:r>
        <w:t>original</w:t>
      </w:r>
      <w:r>
        <w:rPr>
          <w:spacing w:val="-6"/>
        </w:rPr>
        <w:t xml:space="preserve"> </w:t>
      </w:r>
      <w:r>
        <w:t>and</w:t>
      </w:r>
      <w:r>
        <w:rPr>
          <w:spacing w:val="-6"/>
        </w:rPr>
        <w:t xml:space="preserve"> </w:t>
      </w:r>
      <w:r>
        <w:t>substitute</w:t>
      </w:r>
      <w:r>
        <w:rPr>
          <w:spacing w:val="-6"/>
        </w:rPr>
        <w:t xml:space="preserve"> </w:t>
      </w:r>
      <w:r>
        <w:t>schools</w:t>
      </w:r>
      <w:r>
        <w:rPr>
          <w:spacing w:val="-6"/>
        </w:rPr>
        <w:t xml:space="preserve"> </w:t>
      </w:r>
      <w:r>
        <w:t>and</w:t>
      </w:r>
      <w:r>
        <w:rPr>
          <w:spacing w:val="-6"/>
        </w:rPr>
        <w:t xml:space="preserve"> </w:t>
      </w:r>
      <w:r>
        <w:t>refusing</w:t>
      </w:r>
      <w:r>
        <w:rPr>
          <w:spacing w:val="-6"/>
        </w:rPr>
        <w:t xml:space="preserve"> </w:t>
      </w:r>
      <w:r>
        <w:t>original</w:t>
      </w:r>
      <w:r>
        <w:rPr>
          <w:spacing w:val="-6"/>
        </w:rPr>
        <w:t xml:space="preserve"> </w:t>
      </w:r>
      <w:r>
        <w:t>schools</w:t>
      </w:r>
      <w:r>
        <w:rPr>
          <w:spacing w:val="-6"/>
        </w:rPr>
        <w:t xml:space="preserve"> </w:t>
      </w:r>
      <w:r>
        <w:t>with</w:t>
      </w:r>
      <w:r>
        <w:rPr>
          <w:spacing w:val="-6"/>
        </w:rPr>
        <w:t xml:space="preserve"> </w:t>
      </w:r>
      <w:r>
        <w:t>noncooperating</w:t>
      </w:r>
      <w:r>
        <w:rPr>
          <w:spacing w:val="-6"/>
        </w:rPr>
        <w:t xml:space="preserve"> </w:t>
      </w:r>
      <w:r>
        <w:t>or</w:t>
      </w:r>
      <w:r>
        <w:rPr>
          <w:spacing w:val="-6"/>
        </w:rPr>
        <w:t xml:space="preserve"> </w:t>
      </w:r>
      <w:r>
        <w:t>no</w:t>
      </w:r>
      <w:r>
        <w:rPr>
          <w:spacing w:val="-6"/>
        </w:rPr>
        <w:t xml:space="preserve"> </w:t>
      </w:r>
      <w:r>
        <w:t>assigned substitute) in cell \(c\),</w:t>
      </w:r>
    </w:p>
    <w:p w:rsidR="003F5784" w14:paraId="345013B9" w14:textId="77777777">
      <w:pPr>
        <w:pStyle w:val="BodyText"/>
        <w:spacing w:line="232" w:lineRule="auto"/>
        <w:ind w:left="422" w:right="9076"/>
      </w:pPr>
      <w:r>
        <w:rPr>
          <w:noProof/>
          <w:position w:val="3"/>
        </w:rPr>
        <w:drawing>
          <wp:inline distT="0" distB="0" distL="0" distR="0">
            <wp:extent cx="41379" cy="41378"/>
            <wp:effectExtent l="0" t="0" r="0" b="0"/>
            <wp:docPr id="549" name="Image 549"/>
            <wp:cNvGraphicFramePr/>
            <a:graphic xmlns:a="http://schemas.openxmlformats.org/drawingml/2006/main">
              <a:graphicData uri="http://schemas.openxmlformats.org/drawingml/2006/picture">
                <pic:pic xmlns:pic="http://schemas.openxmlformats.org/drawingml/2006/picture">
                  <pic:nvPicPr>
                    <pic:cNvPr id="549" name="Image 549"/>
                    <pic:cNvPicPr/>
                  </pic:nvPicPr>
                  <pic:blipFill>
                    <a:blip xmlns:r="http://schemas.openxmlformats.org/officeDocument/2006/relationships" r:embed="rId440" cstate="print"/>
                    <a:stretch>
                      <a:fillRect/>
                    </a:stretch>
                  </pic:blipFill>
                  <pic:spPr>
                    <a:xfrm>
                      <a:off x="0" y="0"/>
                      <a:ext cx="41379" cy="41378"/>
                    </a:xfrm>
                    <a:prstGeom prst="rect">
                      <a:avLst/>
                    </a:prstGeom>
                  </pic:spPr>
                </pic:pic>
              </a:graphicData>
            </a:graphic>
          </wp:inline>
        </w:drawing>
      </w:r>
      <w:r>
        <w:rPr>
          <w:spacing w:val="77"/>
          <w:sz w:val="20"/>
        </w:rPr>
        <w:t xml:space="preserve"> </w:t>
      </w:r>
      <w:r>
        <w:t>\(R_{c}\)</w:t>
      </w:r>
      <w:r>
        <w:rPr>
          <w:spacing w:val="-7"/>
        </w:rPr>
        <w:t xml:space="preserve"> </w:t>
      </w:r>
      <w:r>
        <w:t>is</w:t>
      </w:r>
      <w:r>
        <w:rPr>
          <w:spacing w:val="-7"/>
        </w:rPr>
        <w:t xml:space="preserve"> </w:t>
      </w:r>
      <w:r>
        <w:t>the</w:t>
      </w:r>
      <w:r>
        <w:rPr>
          <w:spacing w:val="-7"/>
        </w:rPr>
        <w:t xml:space="preserve"> </w:t>
      </w:r>
      <w:r>
        <w:t>set</w:t>
      </w:r>
      <w:r>
        <w:rPr>
          <w:spacing w:val="-7"/>
        </w:rPr>
        <w:t xml:space="preserve"> </w:t>
      </w:r>
      <w:r>
        <w:t>of</w:t>
      </w:r>
      <w:r>
        <w:rPr>
          <w:spacing w:val="-7"/>
        </w:rPr>
        <w:t xml:space="preserve"> </w:t>
      </w:r>
      <w:r>
        <w:t>all</w:t>
      </w:r>
      <w:r>
        <w:rPr>
          <w:spacing w:val="-7"/>
        </w:rPr>
        <w:t xml:space="preserve"> </w:t>
      </w:r>
      <w:r>
        <w:t>cooperating</w:t>
      </w:r>
      <w:r>
        <w:rPr>
          <w:spacing w:val="-7"/>
        </w:rPr>
        <w:t xml:space="preserve"> </w:t>
      </w:r>
      <w:r>
        <w:t>schools</w:t>
      </w:r>
      <w:r>
        <w:rPr>
          <w:spacing w:val="-7"/>
        </w:rPr>
        <w:t xml:space="preserve"> </w:t>
      </w:r>
      <w:r>
        <w:t>within</w:t>
      </w:r>
      <w:r>
        <w:rPr>
          <w:spacing w:val="-7"/>
        </w:rPr>
        <w:t xml:space="preserve"> </w:t>
      </w:r>
      <w:r>
        <w:t xml:space="preserve">\(S_{c}\), </w:t>
      </w:r>
      <w:r>
        <w:rPr>
          <w:noProof/>
          <w:position w:val="3"/>
        </w:rPr>
        <w:drawing>
          <wp:inline distT="0" distB="0" distL="0" distR="0">
            <wp:extent cx="41379" cy="41378"/>
            <wp:effectExtent l="0" t="0" r="0" b="0"/>
            <wp:docPr id="550" name="Image 550"/>
            <wp:cNvGraphicFramePr/>
            <a:graphic xmlns:a="http://schemas.openxmlformats.org/drawingml/2006/main">
              <a:graphicData uri="http://schemas.openxmlformats.org/drawingml/2006/picture">
                <pic:pic xmlns:pic="http://schemas.openxmlformats.org/drawingml/2006/picture">
                  <pic:nvPicPr>
                    <pic:cNvPr id="550" name="Image 550"/>
                    <pic:cNvPicPr/>
                  </pic:nvPicPr>
                  <pic:blipFill>
                    <a:blip xmlns:r="http://schemas.openxmlformats.org/officeDocument/2006/relationships" r:embed="rId441" cstate="print"/>
                    <a:stretch>
                      <a:fillRect/>
                    </a:stretch>
                  </pic:blipFill>
                  <pic:spPr>
                    <a:xfrm>
                      <a:off x="0" y="0"/>
                      <a:ext cx="41379" cy="41378"/>
                    </a:xfrm>
                    <a:prstGeom prst="rect">
                      <a:avLst/>
                    </a:prstGeom>
                  </pic:spPr>
                </pic:pic>
              </a:graphicData>
            </a:graphic>
          </wp:inline>
        </w:drawing>
      </w:r>
      <w:r>
        <w:rPr>
          <w:spacing w:val="80"/>
        </w:rPr>
        <w:t xml:space="preserve"> </w:t>
      </w:r>
      <w:r>
        <w:t>\(SCH\_BWT_{s}\) is the school base weight,</w:t>
      </w:r>
    </w:p>
    <w:p w:rsidR="003F5784" w14:paraId="7F116284" w14:textId="77777777">
      <w:pPr>
        <w:pStyle w:val="BodyText"/>
        <w:spacing w:line="233" w:lineRule="exact"/>
        <w:ind w:left="422"/>
      </w:pPr>
      <w:r>
        <w:rPr>
          <w:noProof/>
          <w:position w:val="3"/>
        </w:rPr>
        <w:drawing>
          <wp:inline distT="0" distB="0" distL="0" distR="0">
            <wp:extent cx="41379" cy="41378"/>
            <wp:effectExtent l="0" t="0" r="0" b="0"/>
            <wp:docPr id="551" name="Image 551"/>
            <wp:cNvGraphicFramePr/>
            <a:graphic xmlns:a="http://schemas.openxmlformats.org/drawingml/2006/main">
              <a:graphicData uri="http://schemas.openxmlformats.org/drawingml/2006/picture">
                <pic:pic xmlns:pic="http://schemas.openxmlformats.org/drawingml/2006/picture">
                  <pic:nvPicPr>
                    <pic:cNvPr id="551" name="Image 551"/>
                    <pic:cNvPicPr/>
                  </pic:nvPicPr>
                  <pic:blipFill>
                    <a:blip xmlns:r="http://schemas.openxmlformats.org/officeDocument/2006/relationships" r:embed="rId442" cstate="print"/>
                    <a:stretch>
                      <a:fillRect/>
                    </a:stretch>
                  </pic:blipFill>
                  <pic:spPr>
                    <a:xfrm>
                      <a:off x="0" y="0"/>
                      <a:ext cx="41379" cy="41378"/>
                    </a:xfrm>
                    <a:prstGeom prst="rect">
                      <a:avLst/>
                    </a:prstGeom>
                  </pic:spPr>
                </pic:pic>
              </a:graphicData>
            </a:graphic>
          </wp:inline>
        </w:drawing>
      </w:r>
      <w:r>
        <w:rPr>
          <w:spacing w:val="80"/>
          <w:sz w:val="20"/>
        </w:rPr>
        <w:t xml:space="preserve"> </w:t>
      </w:r>
      <w:r>
        <w:t>\(SCH\_TRIM_{s}\) is the school-level weight trimming factor,</w:t>
      </w:r>
    </w:p>
    <w:p w:rsidR="003F5784" w14:paraId="58FD58A3" w14:textId="77777777">
      <w:pPr>
        <w:pStyle w:val="BodyText"/>
        <w:spacing w:before="3" w:line="232" w:lineRule="auto"/>
        <w:ind w:left="631" w:right="54" w:hanging="209"/>
      </w:pPr>
      <w:r>
        <w:rPr>
          <w:noProof/>
          <w:position w:val="3"/>
        </w:rPr>
        <w:drawing>
          <wp:inline distT="0" distB="0" distL="0" distR="0">
            <wp:extent cx="41379" cy="41378"/>
            <wp:effectExtent l="0" t="0" r="0" b="0"/>
            <wp:docPr id="552" name="Image 552"/>
            <wp:cNvGraphicFramePr/>
            <a:graphic xmlns:a="http://schemas.openxmlformats.org/drawingml/2006/main">
              <a:graphicData uri="http://schemas.openxmlformats.org/drawingml/2006/picture">
                <pic:pic xmlns:pic="http://schemas.openxmlformats.org/drawingml/2006/picture">
                  <pic:nvPicPr>
                    <pic:cNvPr id="552" name="Image 552"/>
                    <pic:cNvPicPr/>
                  </pic:nvPicPr>
                  <pic:blipFill>
                    <a:blip xmlns:r="http://schemas.openxmlformats.org/officeDocument/2006/relationships" r:embed="rId443" cstate="print"/>
                    <a:stretch>
                      <a:fillRect/>
                    </a:stretch>
                  </pic:blipFill>
                  <pic:spPr>
                    <a:xfrm>
                      <a:off x="0" y="0"/>
                      <a:ext cx="41379" cy="41378"/>
                    </a:xfrm>
                    <a:prstGeom prst="rect">
                      <a:avLst/>
                    </a:prstGeom>
                  </pic:spPr>
                </pic:pic>
              </a:graphicData>
            </a:graphic>
          </wp:inline>
        </w:drawing>
      </w:r>
      <w:r>
        <w:rPr>
          <w:spacing w:val="77"/>
          <w:sz w:val="20"/>
        </w:rPr>
        <w:t xml:space="preserve"> </w:t>
      </w:r>
      <w:r>
        <w:t>\(SCHSESWT_{s}\)</w:t>
      </w:r>
      <w:r>
        <w:rPr>
          <w:spacing w:val="-7"/>
        </w:rPr>
        <w:t xml:space="preserve"> </w:t>
      </w:r>
      <w:r>
        <w:t>is</w:t>
      </w:r>
      <w:r>
        <w:rPr>
          <w:spacing w:val="-7"/>
        </w:rPr>
        <w:t xml:space="preserve"> </w:t>
      </w:r>
      <w:r>
        <w:t>the</w:t>
      </w:r>
      <w:r>
        <w:rPr>
          <w:spacing w:val="-7"/>
        </w:rPr>
        <w:t xml:space="preserve"> </w:t>
      </w:r>
      <w:r>
        <w:t>school-level</w:t>
      </w:r>
      <w:r>
        <w:rPr>
          <w:spacing w:val="-7"/>
        </w:rPr>
        <w:t xml:space="preserve"> </w:t>
      </w:r>
      <w:r>
        <w:t>session</w:t>
      </w:r>
      <w:r>
        <w:rPr>
          <w:spacing w:val="-7"/>
        </w:rPr>
        <w:t xml:space="preserve"> </w:t>
      </w:r>
      <w:r>
        <w:t>assignment</w:t>
      </w:r>
      <w:r>
        <w:rPr>
          <w:spacing w:val="-7"/>
        </w:rPr>
        <w:t xml:space="preserve"> </w:t>
      </w:r>
      <w:r>
        <w:t>weight</w:t>
      </w:r>
      <w:r>
        <w:rPr>
          <w:spacing w:val="-7"/>
        </w:rPr>
        <w:t xml:space="preserve"> </w:t>
      </w:r>
      <w:r>
        <w:t>that</w:t>
      </w:r>
      <w:r>
        <w:rPr>
          <w:spacing w:val="-7"/>
        </w:rPr>
        <w:t xml:space="preserve"> </w:t>
      </w:r>
      <w:r>
        <w:t>reflects</w:t>
      </w:r>
      <w:r>
        <w:rPr>
          <w:spacing w:val="-7"/>
        </w:rPr>
        <w:t xml:space="preserve"> </w:t>
      </w:r>
      <w:r>
        <w:t>the</w:t>
      </w:r>
      <w:r>
        <w:rPr>
          <w:spacing w:val="-7"/>
        </w:rPr>
        <w:t xml:space="preserve"> </w:t>
      </w:r>
      <w:r>
        <w:t>conditional</w:t>
      </w:r>
      <w:r>
        <w:rPr>
          <w:spacing w:val="-7"/>
        </w:rPr>
        <w:t xml:space="preserve"> </w:t>
      </w:r>
      <w:r>
        <w:t>probability,</w:t>
      </w:r>
      <w:r>
        <w:rPr>
          <w:spacing w:val="-7"/>
        </w:rPr>
        <w:t xml:space="preserve"> </w:t>
      </w:r>
      <w:r>
        <w:t>given</w:t>
      </w:r>
      <w:r>
        <w:rPr>
          <w:spacing w:val="-7"/>
        </w:rPr>
        <w:t xml:space="preserve"> </w:t>
      </w:r>
      <w:r>
        <w:t>the</w:t>
      </w:r>
      <w:r>
        <w:rPr>
          <w:spacing w:val="-7"/>
        </w:rPr>
        <w:t xml:space="preserve"> </w:t>
      </w:r>
      <w:r>
        <w:t>school,</w:t>
      </w:r>
      <w:r>
        <w:rPr>
          <w:spacing w:val="-7"/>
        </w:rPr>
        <w:t xml:space="preserve"> </w:t>
      </w:r>
      <w:r>
        <w:t>that</w:t>
      </w:r>
      <w:r>
        <w:rPr>
          <w:spacing w:val="-7"/>
        </w:rPr>
        <w:t xml:space="preserve"> </w:t>
      </w:r>
      <w:r>
        <w:t>the</w:t>
      </w:r>
      <w:r>
        <w:rPr>
          <w:spacing w:val="-7"/>
        </w:rPr>
        <w:t xml:space="preserve"> </w:t>
      </w:r>
      <w:r>
        <w:t>particular</w:t>
      </w:r>
      <w:r>
        <w:rPr>
          <w:spacing w:val="-7"/>
        </w:rPr>
        <w:t xml:space="preserve"> </w:t>
      </w:r>
      <w:r>
        <w:t>assessment</w:t>
      </w:r>
      <w:r>
        <w:rPr>
          <w:spacing w:val="-7"/>
        </w:rPr>
        <w:t xml:space="preserve"> </w:t>
      </w:r>
      <w:r>
        <w:t>type</w:t>
      </w:r>
      <w:r>
        <w:rPr>
          <w:spacing w:val="-7"/>
        </w:rPr>
        <w:t xml:space="preserve"> </w:t>
      </w:r>
      <w:r>
        <w:t>was assigned to the school, and</w:t>
      </w:r>
    </w:p>
    <w:p w:rsidR="003F5784" w14:paraId="0A3E5AA2" w14:textId="77777777">
      <w:pPr>
        <w:pStyle w:val="BodyText"/>
        <w:spacing w:line="236" w:lineRule="exact"/>
        <w:ind w:left="422"/>
      </w:pPr>
      <w:r>
        <w:rPr>
          <w:noProof/>
          <w:position w:val="3"/>
        </w:rPr>
        <w:drawing>
          <wp:inline distT="0" distB="0" distL="0" distR="0">
            <wp:extent cx="41379" cy="41378"/>
            <wp:effectExtent l="0" t="0" r="0" b="0"/>
            <wp:docPr id="553" name="Image 553"/>
            <wp:cNvGraphicFramePr/>
            <a:graphic xmlns:a="http://schemas.openxmlformats.org/drawingml/2006/main">
              <a:graphicData uri="http://schemas.openxmlformats.org/drawingml/2006/picture">
                <pic:pic xmlns:pic="http://schemas.openxmlformats.org/drawingml/2006/picture">
                  <pic:nvPicPr>
                    <pic:cNvPr id="553" name="Image 553"/>
                    <pic:cNvPicPr/>
                  </pic:nvPicPr>
                  <pic:blipFill>
                    <a:blip xmlns:r="http://schemas.openxmlformats.org/officeDocument/2006/relationships" r:embed="rId444" cstate="print"/>
                    <a:stretch>
                      <a:fillRect/>
                    </a:stretch>
                  </pic:blipFill>
                  <pic:spPr>
                    <a:xfrm>
                      <a:off x="0" y="0"/>
                      <a:ext cx="41379" cy="41378"/>
                    </a:xfrm>
                    <a:prstGeom prst="rect">
                      <a:avLst/>
                    </a:prstGeom>
                  </pic:spPr>
                </pic:pic>
              </a:graphicData>
            </a:graphic>
          </wp:inline>
        </w:drawing>
      </w:r>
      <w:r>
        <w:rPr>
          <w:spacing w:val="80"/>
          <w:sz w:val="20"/>
        </w:rPr>
        <w:t xml:space="preserve"> </w:t>
      </w:r>
      <w:r>
        <w:t>\(X_{s}\)</w:t>
      </w:r>
      <w:r>
        <w:rPr>
          <w:spacing w:val="-3"/>
        </w:rPr>
        <w:t xml:space="preserve"> </w:t>
      </w:r>
      <w:r>
        <w:t>is</w:t>
      </w:r>
      <w:r>
        <w:rPr>
          <w:spacing w:val="-3"/>
        </w:rPr>
        <w:t xml:space="preserve"> </w:t>
      </w:r>
      <w:r>
        <w:t>the</w:t>
      </w:r>
      <w:r>
        <w:rPr>
          <w:spacing w:val="-3"/>
        </w:rPr>
        <w:t xml:space="preserve"> </w:t>
      </w:r>
      <w:r>
        <w:t>estimated</w:t>
      </w:r>
      <w:r>
        <w:rPr>
          <w:spacing w:val="-3"/>
        </w:rPr>
        <w:t xml:space="preserve"> </w:t>
      </w:r>
      <w:r>
        <w:t>grade</w:t>
      </w:r>
      <w:r>
        <w:rPr>
          <w:spacing w:val="-3"/>
        </w:rPr>
        <w:t xml:space="preserve"> </w:t>
      </w:r>
      <w:r>
        <w:t>enrollment</w:t>
      </w:r>
      <w:r>
        <w:rPr>
          <w:spacing w:val="-3"/>
        </w:rPr>
        <w:t xml:space="preserve"> </w:t>
      </w:r>
      <w:r>
        <w:t>(or</w:t>
      </w:r>
      <w:r>
        <w:rPr>
          <w:spacing w:val="-3"/>
        </w:rPr>
        <w:t xml:space="preserve"> </w:t>
      </w:r>
      <w:r>
        <w:t>age-specific</w:t>
      </w:r>
      <w:r>
        <w:rPr>
          <w:spacing w:val="-3"/>
        </w:rPr>
        <w:t xml:space="preserve"> </w:t>
      </w:r>
      <w:r>
        <w:t>enrollment</w:t>
      </w:r>
      <w:r>
        <w:rPr>
          <w:spacing w:val="-3"/>
        </w:rPr>
        <w:t xml:space="preserve"> </w:t>
      </w:r>
      <w:r>
        <w:t>for</w:t>
      </w:r>
      <w:r>
        <w:rPr>
          <w:spacing w:val="-3"/>
        </w:rPr>
        <w:t xml:space="preserve"> </w:t>
      </w:r>
      <w:r>
        <w:t>long-term</w:t>
      </w:r>
      <w:r>
        <w:rPr>
          <w:spacing w:val="-3"/>
        </w:rPr>
        <w:t xml:space="preserve"> </w:t>
      </w:r>
      <w:r>
        <w:t>trend</w:t>
      </w:r>
      <w:r>
        <w:rPr>
          <w:spacing w:val="-3"/>
        </w:rPr>
        <w:t xml:space="preserve"> </w:t>
      </w:r>
      <w:r>
        <w:t>[LTT])</w:t>
      </w:r>
      <w:r>
        <w:rPr>
          <w:spacing w:val="-3"/>
        </w:rPr>
        <w:t xml:space="preserve"> </w:t>
      </w:r>
      <w:r>
        <w:t>corresponding</w:t>
      </w:r>
      <w:r>
        <w:rPr>
          <w:spacing w:val="-3"/>
        </w:rPr>
        <w:t xml:space="preserve"> </w:t>
      </w:r>
      <w:r>
        <w:t>to</w:t>
      </w:r>
      <w:r>
        <w:rPr>
          <w:spacing w:val="-3"/>
        </w:rPr>
        <w:t xml:space="preserve"> </w:t>
      </w:r>
      <w:r>
        <w:t>the</w:t>
      </w:r>
      <w:r>
        <w:rPr>
          <w:spacing w:val="-3"/>
        </w:rPr>
        <w:t xml:space="preserve"> </w:t>
      </w:r>
      <w:r>
        <w:t>original</w:t>
      </w:r>
      <w:r>
        <w:rPr>
          <w:spacing w:val="-3"/>
        </w:rPr>
        <w:t xml:space="preserve"> </w:t>
      </w:r>
      <w:r>
        <w:t>sampled</w:t>
      </w:r>
      <w:r>
        <w:rPr>
          <w:spacing w:val="-3"/>
        </w:rPr>
        <w:t xml:space="preserve"> </w:t>
      </w:r>
      <w:r>
        <w:t>school.</w:t>
      </w:r>
    </w:p>
    <w:p w:rsidR="003F5784" w14:paraId="15279E2B" w14:textId="77777777">
      <w:pPr>
        <w:pStyle w:val="BodyText"/>
      </w:pPr>
    </w:p>
    <w:p w:rsidR="003F5784" w14:paraId="2BEB9CA2" w14:textId="77777777">
      <w:pPr>
        <w:pStyle w:val="BodyText"/>
      </w:pPr>
    </w:p>
    <w:p w:rsidR="003F5784" w14:paraId="08E4B17F" w14:textId="77777777">
      <w:pPr>
        <w:pStyle w:val="BodyText"/>
        <w:spacing w:before="156"/>
      </w:pPr>
    </w:p>
    <w:p w:rsidR="003F5784" w14:paraId="487A02EB" w14:textId="77777777">
      <w:pPr>
        <w:spacing w:before="1"/>
        <w:ind w:left="4197"/>
        <w:rPr>
          <w:sz w:val="18"/>
        </w:rPr>
      </w:pPr>
      <w:hyperlink r:id="rId445">
        <w:r>
          <w:rPr>
            <w:spacing w:val="-2"/>
            <w:w w:val="105"/>
            <w:sz w:val="18"/>
          </w:rPr>
          <w:t>http://nces.ed.gov/nationsreportcard/tdw/weighting/2022/school_nonresponse_adjustment_factor_calculation_for_the_2022_assessment.aspx</w:t>
        </w:r>
      </w:hyperlink>
    </w:p>
    <w:p w:rsidR="003F5784" w14:paraId="0BCECA8A" w14:textId="77777777">
      <w:pPr>
        <w:pStyle w:val="BodyText"/>
        <w:spacing w:before="10"/>
        <w:rPr>
          <w:sz w:val="14"/>
        </w:rPr>
      </w:pPr>
      <w:r>
        <w:rPr>
          <w:noProof/>
        </w:rPr>
        <mc:AlternateContent>
          <mc:Choice Requires="wps">
            <w:drawing>
              <wp:anchor distT="0" distB="0" distL="0" distR="0" simplePos="0" relativeHeight="251986944" behindDoc="1" locked="0" layoutInCell="1" allowOverlap="1">
                <wp:simplePos x="0" y="0"/>
                <wp:positionH relativeFrom="page">
                  <wp:posOffset>361937</wp:posOffset>
                </wp:positionH>
                <wp:positionV relativeFrom="paragraph">
                  <wp:posOffset>124185</wp:posOffset>
                </wp:positionV>
                <wp:extent cx="9339580" cy="8890"/>
                <wp:effectExtent l="0" t="0" r="0" b="0"/>
                <wp:wrapTopAndBottom/>
                <wp:docPr id="554" name="Graphic 554"/>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63"/>
                              </a:moveTo>
                              <a:lnTo>
                                <a:pt x="9335110" y="63"/>
                              </a:lnTo>
                              <a:lnTo>
                                <a:pt x="8280" y="63"/>
                              </a:lnTo>
                              <a:lnTo>
                                <a:pt x="0" y="0"/>
                              </a:lnTo>
                              <a:lnTo>
                                <a:pt x="0" y="8267"/>
                              </a:lnTo>
                              <a:lnTo>
                                <a:pt x="9335110" y="8343"/>
                              </a:lnTo>
                              <a:lnTo>
                                <a:pt x="9338970" y="8343"/>
                              </a:lnTo>
                              <a:lnTo>
                                <a:pt x="9338970" y="63"/>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54" o:spid="_x0000_s1175" style="width:735.4pt;height:0.7pt;margin-top:9.8pt;margin-left:28.5pt;mso-position-horizontal-relative:page;mso-wrap-distance-bottom:0;mso-wrap-distance-left:0;mso-wrap-distance-right:0;mso-wrap-distance-top:0;mso-wrap-style:square;position:absolute;visibility:visible;v-text-anchor:top;z-index:-251328512" coordsize="9339580,8890" path="m9338970,63l9335110,63l8280,63,,,,8267l9335110,8343l9338970,8343l9338970,63xe" fillcolor="gray" stroked="f">
                <v:path arrowok="t"/>
                <w10:wrap type="topAndBottom"/>
              </v:shape>
            </w:pict>
          </mc:Fallback>
        </mc:AlternateContent>
      </w:r>
    </w:p>
    <w:p w:rsidR="003F5784" w14:paraId="173CC975" w14:textId="77777777">
      <w:pPr>
        <w:pStyle w:val="BodyText"/>
        <w:rPr>
          <w:sz w:val="18"/>
        </w:rPr>
      </w:pPr>
    </w:p>
    <w:p w:rsidR="003F5784" w14:paraId="12093F42" w14:textId="77777777">
      <w:pPr>
        <w:pStyle w:val="BodyText"/>
        <w:spacing w:before="206"/>
        <w:rPr>
          <w:sz w:val="18"/>
        </w:rPr>
      </w:pPr>
    </w:p>
    <w:p w:rsidR="003F5784" w14:paraId="07CC91D5" w14:textId="3AFE741B">
      <w:pPr>
        <w:pStyle w:val="Heading1"/>
      </w:pPr>
      <w:r>
        <w:t>NAEP</w:t>
      </w:r>
      <w:r>
        <w:rPr>
          <w:spacing w:val="-24"/>
        </w:rPr>
        <w:t xml:space="preserve"> </w:t>
      </w:r>
      <w:r>
        <w:t>Technical</w:t>
      </w:r>
      <w:r>
        <w:rPr>
          <w:spacing w:val="8"/>
        </w:rPr>
        <w:t xml:space="preserve"> </w:t>
      </w:r>
      <w:r>
        <w:t>Documentation</w:t>
      </w:r>
      <w:r w:rsidR="00E3225D">
        <w:t xml:space="preserve"> </w:t>
      </w:r>
      <w:r>
        <w:t>Student</w:t>
      </w:r>
      <w:r>
        <w:rPr>
          <w:spacing w:val="9"/>
        </w:rPr>
        <w:t xml:space="preserve"> </w:t>
      </w:r>
      <w:r>
        <w:t>Nonresponse</w:t>
      </w:r>
      <w:r>
        <w:rPr>
          <w:spacing w:val="1"/>
        </w:rPr>
        <w:t xml:space="preserve"> </w:t>
      </w:r>
      <w:r>
        <w:t>Weight</w:t>
      </w:r>
      <w:r>
        <w:rPr>
          <w:spacing w:val="-16"/>
        </w:rPr>
        <w:t xml:space="preserve"> </w:t>
      </w:r>
      <w:r>
        <w:rPr>
          <w:spacing w:val="-2"/>
        </w:rPr>
        <w:t>Adjustment</w:t>
      </w:r>
    </w:p>
    <w:p w:rsidR="003F5784" w14:paraId="4E035D76" w14:textId="77777777">
      <w:pPr>
        <w:pStyle w:val="BodyText"/>
        <w:spacing w:before="2"/>
        <w:rPr>
          <w:b/>
          <w:sz w:val="16"/>
        </w:rPr>
      </w:pPr>
    </w:p>
    <w:p w:rsidR="003F5784" w14:paraId="722563D6" w14:textId="77777777">
      <w:pPr>
        <w:rPr>
          <w:sz w:val="16"/>
        </w:rPr>
        <w:sectPr>
          <w:pgSz w:w="15840" w:h="12240" w:orient="landscape"/>
          <w:pgMar w:top="480" w:right="440" w:bottom="460" w:left="460" w:header="284" w:footer="275" w:gutter="0"/>
          <w:cols w:space="720"/>
        </w:sectPr>
      </w:pPr>
    </w:p>
    <w:p w:rsidR="003F5784" w14:paraId="1F73FF22" w14:textId="77777777">
      <w:pPr>
        <w:pStyle w:val="BodyText"/>
        <w:spacing w:before="96" w:line="232" w:lineRule="auto"/>
        <w:ind w:left="109"/>
      </w:pPr>
      <w:r>
        <w:t>The student nonresponse adjustment procedure inflates the weights of assessed students to account for eligible sampled students who did not participate in the assessment.</w:t>
      </w:r>
      <w:r>
        <w:rPr>
          <w:spacing w:val="-1"/>
        </w:rPr>
        <w:t xml:space="preserve"> </w:t>
      </w:r>
      <w:r>
        <w:t>These inflation factors offset the loss of data associated with absent students. The adjustments are computed within nonresponse cells and are based on the assumption that the assessed and absent students within the same cell are more similar to one another than to students from different cells. Like its counterpart at the school level, the student nonresponse adjustment is intended to reduce the mean square error and thus improve</w:t>
      </w:r>
      <w:r>
        <w:rPr>
          <w:spacing w:val="-12"/>
        </w:rPr>
        <w:t xml:space="preserve"> </w:t>
      </w:r>
      <w:r>
        <w:t>the</w:t>
      </w:r>
      <w:r>
        <w:rPr>
          <w:spacing w:val="-7"/>
        </w:rPr>
        <w:t xml:space="preserve"> </w:t>
      </w:r>
      <w:r>
        <w:t>accuracy</w:t>
      </w:r>
      <w:r>
        <w:rPr>
          <w:spacing w:val="-7"/>
        </w:rPr>
        <w:t xml:space="preserve"> </w:t>
      </w:r>
      <w:r>
        <w:t>of</w:t>
      </w:r>
      <w:r>
        <w:rPr>
          <w:spacing w:val="-7"/>
        </w:rPr>
        <w:t xml:space="preserve"> </w:t>
      </w:r>
      <w:r>
        <w:t>NAEP</w:t>
      </w:r>
      <w:r>
        <w:rPr>
          <w:spacing w:val="-14"/>
        </w:rPr>
        <w:t xml:space="preserve"> </w:t>
      </w:r>
      <w:r>
        <w:t>assessment</w:t>
      </w:r>
      <w:r>
        <w:rPr>
          <w:spacing w:val="-7"/>
        </w:rPr>
        <w:t xml:space="preserve"> </w:t>
      </w:r>
      <w:r>
        <w:t>estimates.</w:t>
      </w:r>
      <w:r>
        <w:rPr>
          <w:spacing w:val="-14"/>
        </w:rPr>
        <w:t xml:space="preserve"> </w:t>
      </w:r>
      <w:r>
        <w:t>Also,</w:t>
      </w:r>
      <w:r>
        <w:rPr>
          <w:spacing w:val="-7"/>
        </w:rPr>
        <w:t xml:space="preserve"> </w:t>
      </w:r>
      <w:r>
        <w:t>like</w:t>
      </w:r>
      <w:r>
        <w:rPr>
          <w:spacing w:val="-7"/>
        </w:rPr>
        <w:t xml:space="preserve"> </w:t>
      </w:r>
      <w:r>
        <w:t>their</w:t>
      </w:r>
      <w:r>
        <w:rPr>
          <w:spacing w:val="-7"/>
        </w:rPr>
        <w:t xml:space="preserve"> </w:t>
      </w:r>
      <w:r>
        <w:t>counterparts</w:t>
      </w:r>
      <w:r>
        <w:rPr>
          <w:spacing w:val="-7"/>
        </w:rPr>
        <w:t xml:space="preserve"> </w:t>
      </w:r>
      <w:r>
        <w:t>at</w:t>
      </w:r>
      <w:r>
        <w:rPr>
          <w:spacing w:val="-7"/>
        </w:rPr>
        <w:t xml:space="preserve"> </w:t>
      </w:r>
      <w:r>
        <w:t>the</w:t>
      </w:r>
      <w:r>
        <w:rPr>
          <w:spacing w:val="-7"/>
        </w:rPr>
        <w:t xml:space="preserve"> </w:t>
      </w:r>
      <w:r>
        <w:t>school</w:t>
      </w:r>
      <w:r>
        <w:rPr>
          <w:spacing w:val="-7"/>
        </w:rPr>
        <w:t xml:space="preserve"> </w:t>
      </w:r>
      <w:r>
        <w:t>level,</w:t>
      </w:r>
      <w:r>
        <w:rPr>
          <w:spacing w:val="-7"/>
        </w:rPr>
        <w:t xml:space="preserve"> </w:t>
      </w:r>
      <w:r>
        <w:t>student</w:t>
      </w:r>
      <w:r>
        <w:rPr>
          <w:spacing w:val="-7"/>
        </w:rPr>
        <w:t xml:space="preserve"> </w:t>
      </w:r>
      <w:r>
        <w:t>nonresponse adjustments were carried out separately by sample; that is, by</w:t>
      </w:r>
    </w:p>
    <w:p w:rsidR="003F5784" w14:paraId="400F6E87" w14:textId="77777777">
      <w:pPr>
        <w:pStyle w:val="BodyText"/>
        <w:spacing w:before="205" w:line="238" w:lineRule="exact"/>
        <w:ind w:left="422"/>
      </w:pPr>
      <w:r>
        <w:rPr>
          <w:noProof/>
          <w:position w:val="3"/>
        </w:rPr>
        <w:drawing>
          <wp:inline distT="0" distB="0" distL="0" distR="0">
            <wp:extent cx="41379" cy="41378"/>
            <wp:effectExtent l="0" t="0" r="0" b="0"/>
            <wp:docPr id="555" name="Image 555"/>
            <wp:cNvGraphicFramePr/>
            <a:graphic xmlns:a="http://schemas.openxmlformats.org/drawingml/2006/main">
              <a:graphicData uri="http://schemas.openxmlformats.org/drawingml/2006/picture">
                <pic:pic xmlns:pic="http://schemas.openxmlformats.org/drawingml/2006/picture">
                  <pic:nvPicPr>
                    <pic:cNvPr id="555" name="Image 555"/>
                    <pic:cNvPicPr/>
                  </pic:nvPicPr>
                  <pic:blipFill>
                    <a:blip xmlns:r="http://schemas.openxmlformats.org/officeDocument/2006/relationships" r:embed="rId446" cstate="print"/>
                    <a:stretch>
                      <a:fillRect/>
                    </a:stretch>
                  </pic:blipFill>
                  <pic:spPr>
                    <a:xfrm>
                      <a:off x="0" y="0"/>
                      <a:ext cx="41379" cy="41378"/>
                    </a:xfrm>
                    <a:prstGeom prst="rect">
                      <a:avLst/>
                    </a:prstGeom>
                  </pic:spPr>
                </pic:pic>
              </a:graphicData>
            </a:graphic>
          </wp:inline>
        </w:drawing>
      </w:r>
      <w:r>
        <w:rPr>
          <w:spacing w:val="80"/>
          <w:sz w:val="20"/>
        </w:rPr>
        <w:t xml:space="preserve"> </w:t>
      </w:r>
      <w:r>
        <w:t>grade (4, 8) or age (9, 13),</w:t>
      </w:r>
    </w:p>
    <w:p w:rsidR="003F5784" w14:paraId="2B100D35" w14:textId="77777777">
      <w:pPr>
        <w:pStyle w:val="BodyText"/>
        <w:spacing w:line="235" w:lineRule="exact"/>
        <w:ind w:left="422"/>
      </w:pPr>
      <w:r>
        <w:rPr>
          <w:noProof/>
          <w:position w:val="3"/>
        </w:rPr>
        <w:drawing>
          <wp:inline distT="0" distB="0" distL="0" distR="0">
            <wp:extent cx="41379" cy="41378"/>
            <wp:effectExtent l="0" t="0" r="0" b="0"/>
            <wp:docPr id="556" name="Image 556"/>
            <wp:cNvGraphicFramePr/>
            <a:graphic xmlns:a="http://schemas.openxmlformats.org/drawingml/2006/main">
              <a:graphicData uri="http://schemas.openxmlformats.org/drawingml/2006/picture">
                <pic:pic xmlns:pic="http://schemas.openxmlformats.org/drawingml/2006/picture">
                  <pic:nvPicPr>
                    <pic:cNvPr id="556" name="Image 556"/>
                    <pic:cNvPicPr/>
                  </pic:nvPicPr>
                  <pic:blipFill>
                    <a:blip xmlns:r="http://schemas.openxmlformats.org/officeDocument/2006/relationships" r:embed="rId447" cstate="print"/>
                    <a:stretch>
                      <a:fillRect/>
                    </a:stretch>
                  </pic:blipFill>
                  <pic:spPr>
                    <a:xfrm>
                      <a:off x="0" y="0"/>
                      <a:ext cx="41379" cy="41378"/>
                    </a:xfrm>
                    <a:prstGeom prst="rect">
                      <a:avLst/>
                    </a:prstGeom>
                  </pic:spPr>
                </pic:pic>
              </a:graphicData>
            </a:graphic>
          </wp:inline>
        </w:drawing>
      </w:r>
      <w:r>
        <w:rPr>
          <w:spacing w:val="80"/>
          <w:sz w:val="20"/>
        </w:rPr>
        <w:t xml:space="preserve"> </w:t>
      </w:r>
      <w:r>
        <w:t>school type (public, private), and</w:t>
      </w:r>
    </w:p>
    <w:p w:rsidR="003F5784" w14:paraId="21D76DC4" w14:textId="77777777">
      <w:pPr>
        <w:pStyle w:val="BodyText"/>
        <w:spacing w:line="238" w:lineRule="exact"/>
        <w:ind w:left="422"/>
      </w:pPr>
      <w:r>
        <w:rPr>
          <w:noProof/>
          <w:position w:val="3"/>
        </w:rPr>
        <w:drawing>
          <wp:inline distT="0" distB="0" distL="0" distR="0">
            <wp:extent cx="41379" cy="41378"/>
            <wp:effectExtent l="0" t="0" r="0" b="0"/>
            <wp:docPr id="557" name="Image 557"/>
            <wp:cNvGraphicFramePr/>
            <a:graphic xmlns:a="http://schemas.openxmlformats.org/drawingml/2006/main">
              <a:graphicData uri="http://schemas.openxmlformats.org/drawingml/2006/picture">
                <pic:pic xmlns:pic="http://schemas.openxmlformats.org/drawingml/2006/picture">
                  <pic:nvPicPr>
                    <pic:cNvPr id="557" name="Image 557"/>
                    <pic:cNvPicPr/>
                  </pic:nvPicPr>
                  <pic:blipFill>
                    <a:blip xmlns:r="http://schemas.openxmlformats.org/officeDocument/2006/relationships" r:embed="rId448" cstate="print"/>
                    <a:stretch>
                      <a:fillRect/>
                    </a:stretch>
                  </pic:blipFill>
                  <pic:spPr>
                    <a:xfrm>
                      <a:off x="0" y="0"/>
                      <a:ext cx="41379" cy="41378"/>
                    </a:xfrm>
                    <a:prstGeom prst="rect">
                      <a:avLst/>
                    </a:prstGeom>
                  </pic:spPr>
                </pic:pic>
              </a:graphicData>
            </a:graphic>
          </wp:inline>
        </w:drawing>
      </w:r>
      <w:r>
        <w:rPr>
          <w:spacing w:val="80"/>
          <w:sz w:val="20"/>
        </w:rPr>
        <w:t xml:space="preserve"> </w:t>
      </w:r>
      <w:r>
        <w:t>assessment subject (civics, mathematics, reading, U.S. history).</w:t>
      </w:r>
    </w:p>
    <w:p w:rsidR="003F5784" w14:paraId="609AC4EE" w14:textId="77777777">
      <w:pPr>
        <w:pStyle w:val="BodyText"/>
        <w:spacing w:before="96" w:line="232" w:lineRule="auto"/>
        <w:ind w:left="109" w:right="82"/>
      </w:pPr>
      <w:r>
        <w:br w:type="column"/>
        <w:t>Development</w:t>
      </w:r>
      <w:r>
        <w:rPr>
          <w:spacing w:val="-14"/>
        </w:rPr>
        <w:t xml:space="preserve"> </w:t>
      </w:r>
      <w:r>
        <w:t>of</w:t>
      </w:r>
      <w:r>
        <w:rPr>
          <w:spacing w:val="-13"/>
        </w:rPr>
        <w:t xml:space="preserve"> </w:t>
      </w:r>
      <w:r>
        <w:t>Initial</w:t>
      </w:r>
      <w:r>
        <w:rPr>
          <w:spacing w:val="-13"/>
        </w:rPr>
        <w:t xml:space="preserve"> </w:t>
      </w:r>
      <w:r>
        <w:t>Student</w:t>
      </w:r>
      <w:r>
        <w:rPr>
          <w:spacing w:val="-13"/>
        </w:rPr>
        <w:t xml:space="preserve"> </w:t>
      </w:r>
      <w:r>
        <w:t xml:space="preserve">Nonresponse </w:t>
      </w:r>
      <w:r>
        <w:rPr>
          <w:spacing w:val="-2"/>
        </w:rPr>
        <w:t>Cells</w:t>
      </w:r>
    </w:p>
    <w:p w:rsidR="003F5784" w14:paraId="2C81B84D" w14:textId="77777777">
      <w:pPr>
        <w:pStyle w:val="BodyText"/>
        <w:spacing w:before="209" w:line="232" w:lineRule="auto"/>
        <w:ind w:left="109" w:right="82"/>
      </w:pPr>
      <w:r>
        <w:t>Development</w:t>
      </w:r>
      <w:r>
        <w:rPr>
          <w:spacing w:val="-14"/>
        </w:rPr>
        <w:t xml:space="preserve"> </w:t>
      </w:r>
      <w:r>
        <w:t>of</w:t>
      </w:r>
      <w:r>
        <w:rPr>
          <w:spacing w:val="-13"/>
        </w:rPr>
        <w:t xml:space="preserve"> </w:t>
      </w:r>
      <w:r>
        <w:t>Final</w:t>
      </w:r>
      <w:r>
        <w:rPr>
          <w:spacing w:val="-13"/>
        </w:rPr>
        <w:t xml:space="preserve"> </w:t>
      </w:r>
      <w:r>
        <w:t>Student</w:t>
      </w:r>
      <w:r>
        <w:rPr>
          <w:spacing w:val="-13"/>
        </w:rPr>
        <w:t xml:space="preserve"> </w:t>
      </w:r>
      <w:r>
        <w:t xml:space="preserve">Nonresponse </w:t>
      </w:r>
      <w:r>
        <w:rPr>
          <w:spacing w:val="-2"/>
        </w:rPr>
        <w:t>Cells</w:t>
      </w:r>
    </w:p>
    <w:p w:rsidR="003F5784" w14:paraId="078833A6" w14:textId="77777777">
      <w:pPr>
        <w:pStyle w:val="BodyText"/>
        <w:spacing w:before="209" w:line="232" w:lineRule="auto"/>
        <w:ind w:left="109" w:right="82"/>
      </w:pPr>
      <w:r>
        <w:rPr>
          <w:spacing w:val="-2"/>
        </w:rPr>
        <w:t>Student Nonresponse</w:t>
      </w:r>
      <w:r>
        <w:rPr>
          <w:spacing w:val="-10"/>
        </w:rPr>
        <w:t xml:space="preserve"> </w:t>
      </w:r>
      <w:r>
        <w:rPr>
          <w:spacing w:val="-2"/>
        </w:rPr>
        <w:t>Adjustment Factor Calculation</w:t>
      </w:r>
    </w:p>
    <w:p w:rsidR="003F5784" w14:paraId="0F321A56" w14:textId="77777777">
      <w:pPr>
        <w:spacing w:line="232" w:lineRule="auto"/>
        <w:sectPr>
          <w:type w:val="continuous"/>
          <w:pgSz w:w="15840" w:h="12240" w:orient="landscape"/>
          <w:pgMar w:top="480" w:right="440" w:bottom="460" w:left="460" w:header="284" w:footer="275" w:gutter="0"/>
          <w:cols w:num="2" w:space="720" w:equalWidth="0">
            <w:col w:w="10352" w:space="362"/>
            <w:col w:w="4226"/>
          </w:cols>
        </w:sectPr>
      </w:pPr>
    </w:p>
    <w:p w:rsidR="003F5784" w14:paraId="1028FD1B" w14:textId="77777777">
      <w:pPr>
        <w:spacing w:before="87"/>
        <w:ind w:right="113"/>
        <w:jc w:val="right"/>
        <w:rPr>
          <w:sz w:val="18"/>
        </w:rPr>
      </w:pPr>
      <w:hyperlink r:id="rId449">
        <w:r>
          <w:rPr>
            <w:spacing w:val="-2"/>
            <w:w w:val="105"/>
            <w:sz w:val="18"/>
          </w:rPr>
          <w:t>http://nces.ed.gov/nationsreportcard/tdw/weighting/2022/student_nonresponse_weight_adjustment_for_the_2022_assessment.aspx</w:t>
        </w:r>
      </w:hyperlink>
    </w:p>
    <w:p w:rsidR="003F5784" w14:paraId="0F82C090" w14:textId="77777777">
      <w:pPr>
        <w:pStyle w:val="BodyText"/>
        <w:spacing w:before="11"/>
        <w:rPr>
          <w:sz w:val="14"/>
        </w:rPr>
      </w:pPr>
      <w:r>
        <w:rPr>
          <w:noProof/>
        </w:rPr>
        <mc:AlternateContent>
          <mc:Choice Requires="wps">
            <w:drawing>
              <wp:anchor distT="0" distB="0" distL="0" distR="0" simplePos="0" relativeHeight="251988992" behindDoc="1" locked="0" layoutInCell="1" allowOverlap="1">
                <wp:simplePos x="0" y="0"/>
                <wp:positionH relativeFrom="page">
                  <wp:posOffset>361937</wp:posOffset>
                </wp:positionH>
                <wp:positionV relativeFrom="paragraph">
                  <wp:posOffset>124442</wp:posOffset>
                </wp:positionV>
                <wp:extent cx="9339580" cy="8890"/>
                <wp:effectExtent l="0" t="0" r="0" b="0"/>
                <wp:wrapTopAndBottom/>
                <wp:docPr id="558" name="Graphic 55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67"/>
                              </a:lnTo>
                              <a:lnTo>
                                <a:pt x="8280" y="8293"/>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58" o:spid="_x0000_s1176" style="width:735.4pt;height:0.7pt;margin-top:9.8pt;margin-left:28.5pt;mso-position-horizontal-relative:page;mso-wrap-distance-bottom:0;mso-wrap-distance-left:0;mso-wrap-distance-right:0;mso-wrap-distance-top:0;mso-wrap-style:square;position:absolute;visibility:visible;v-text-anchor:top;z-index:-251326464" coordsize="9339580,8890" path="m9338970,l9335110,l,,,8267l8280,8293l9335110,8267l9338970,8267l9338970,xe" fillcolor="gray" stroked="f">
                <v:path arrowok="t"/>
                <w10:wrap type="topAndBottom"/>
              </v:shape>
            </w:pict>
          </mc:Fallback>
        </mc:AlternateContent>
      </w:r>
    </w:p>
    <w:p w:rsidR="003F5784" w14:paraId="2622204B" w14:textId="77777777">
      <w:pPr>
        <w:pStyle w:val="BodyText"/>
        <w:rPr>
          <w:sz w:val="18"/>
        </w:rPr>
      </w:pPr>
    </w:p>
    <w:p w:rsidR="003F5784" w14:paraId="063D97C5" w14:textId="77777777">
      <w:pPr>
        <w:pStyle w:val="BodyText"/>
        <w:spacing w:before="206"/>
        <w:rPr>
          <w:sz w:val="18"/>
        </w:rPr>
      </w:pPr>
    </w:p>
    <w:p w:rsidR="003F5784" w14:paraId="03F40EBA" w14:textId="4EB8FAD0">
      <w:pPr>
        <w:pStyle w:val="Heading1"/>
      </w:pPr>
      <w:r>
        <w:t>NAEP</w:t>
      </w:r>
      <w:r>
        <w:rPr>
          <w:spacing w:val="-21"/>
        </w:rPr>
        <w:t xml:space="preserve"> </w:t>
      </w:r>
      <w:r>
        <w:t>Technical</w:t>
      </w:r>
      <w:r>
        <w:rPr>
          <w:spacing w:val="13"/>
        </w:rPr>
        <w:t xml:space="preserve"> </w:t>
      </w:r>
      <w:r>
        <w:t>Documentation</w:t>
      </w:r>
      <w:r w:rsidR="00E3225D">
        <w:t xml:space="preserve"> </w:t>
      </w:r>
      <w:r>
        <w:t>Development</w:t>
      </w:r>
      <w:r>
        <w:rPr>
          <w:spacing w:val="13"/>
        </w:rPr>
        <w:t xml:space="preserve"> </w:t>
      </w:r>
      <w:r>
        <w:t>of</w:t>
      </w:r>
      <w:r>
        <w:rPr>
          <w:spacing w:val="13"/>
        </w:rPr>
        <w:t xml:space="preserve"> </w:t>
      </w:r>
      <w:r>
        <w:t>Final</w:t>
      </w:r>
      <w:r>
        <w:rPr>
          <w:spacing w:val="13"/>
        </w:rPr>
        <w:t xml:space="preserve"> </w:t>
      </w:r>
      <w:r>
        <w:t>Student</w:t>
      </w:r>
      <w:r>
        <w:rPr>
          <w:spacing w:val="12"/>
        </w:rPr>
        <w:t xml:space="preserve"> </w:t>
      </w:r>
      <w:r>
        <w:t>Nonresponse</w:t>
      </w:r>
      <w:r>
        <w:rPr>
          <w:spacing w:val="13"/>
        </w:rPr>
        <w:t xml:space="preserve"> </w:t>
      </w:r>
      <w:r>
        <w:rPr>
          <w:spacing w:val="-2"/>
        </w:rPr>
        <w:t>Cells</w:t>
      </w:r>
    </w:p>
    <w:p w:rsidR="003F5784" w14:paraId="44E5A4DA" w14:textId="77777777">
      <w:pPr>
        <w:pStyle w:val="BodyText"/>
        <w:spacing w:before="282" w:line="232" w:lineRule="auto"/>
        <w:ind w:left="109"/>
      </w:pPr>
      <w:r>
        <w:t>Similar to the school nonresponse adjustment, cell and adjustment factor size constraints are in place to prevent unstable nonresponse adjustments or unacceptably large adjustment</w:t>
      </w:r>
      <w:r>
        <w:rPr>
          <w:spacing w:val="-1"/>
        </w:rPr>
        <w:t xml:space="preserve"> </w:t>
      </w:r>
      <w:r>
        <w:t>factors.</w:t>
      </w:r>
      <w:r>
        <w:rPr>
          <w:spacing w:val="-12"/>
        </w:rPr>
        <w:t xml:space="preserve"> </w:t>
      </w:r>
      <w:r>
        <w:t>All</w:t>
      </w:r>
      <w:r>
        <w:rPr>
          <w:spacing w:val="-1"/>
        </w:rPr>
        <w:t xml:space="preserve"> </w:t>
      </w:r>
      <w:r>
        <w:t>initial</w:t>
      </w:r>
      <w:r>
        <w:rPr>
          <w:spacing w:val="-1"/>
        </w:rPr>
        <w:t xml:space="preserve"> </w:t>
      </w:r>
      <w:r>
        <w:t>weighting</w:t>
      </w:r>
      <w:r>
        <w:rPr>
          <w:spacing w:val="-1"/>
        </w:rPr>
        <w:t xml:space="preserve"> </w:t>
      </w:r>
      <w:r>
        <w:t>cells</w:t>
      </w:r>
      <w:r>
        <w:rPr>
          <w:spacing w:val="-1"/>
        </w:rPr>
        <w:t xml:space="preserve"> </w:t>
      </w:r>
      <w:r>
        <w:t>with</w:t>
      </w:r>
      <w:r>
        <w:rPr>
          <w:spacing w:val="-1"/>
        </w:rPr>
        <w:t xml:space="preserve"> </w:t>
      </w:r>
      <w:r>
        <w:t>either</w:t>
      </w:r>
      <w:r>
        <w:rPr>
          <w:spacing w:val="-1"/>
        </w:rPr>
        <w:t xml:space="preserve"> </w:t>
      </w:r>
      <w:r>
        <w:t>fewer</w:t>
      </w:r>
      <w:r>
        <w:rPr>
          <w:spacing w:val="-1"/>
        </w:rPr>
        <w:t xml:space="preserve"> </w:t>
      </w:r>
      <w:r>
        <w:t>than</w:t>
      </w:r>
      <w:r>
        <w:rPr>
          <w:spacing w:val="-1"/>
        </w:rPr>
        <w:t xml:space="preserve"> </w:t>
      </w:r>
      <w:r>
        <w:t>20</w:t>
      </w:r>
      <w:r>
        <w:rPr>
          <w:spacing w:val="-1"/>
        </w:rPr>
        <w:t xml:space="preserve"> </w:t>
      </w:r>
      <w:r>
        <w:t>participating</w:t>
      </w:r>
      <w:r>
        <w:rPr>
          <w:spacing w:val="-1"/>
        </w:rPr>
        <w:t xml:space="preserve"> </w:t>
      </w:r>
      <w:r>
        <w:t>students</w:t>
      </w:r>
      <w:r>
        <w:rPr>
          <w:spacing w:val="-1"/>
        </w:rPr>
        <w:t xml:space="preserve"> </w:t>
      </w:r>
      <w:r>
        <w:t>or</w:t>
      </w:r>
      <w:r>
        <w:rPr>
          <w:spacing w:val="-1"/>
        </w:rPr>
        <w:t xml:space="preserve"> </w:t>
      </w:r>
      <w:r>
        <w:t>adjustment</w:t>
      </w:r>
      <w:r>
        <w:rPr>
          <w:spacing w:val="-1"/>
        </w:rPr>
        <w:t xml:space="preserve"> </w:t>
      </w:r>
      <w:r>
        <w:t>factors</w:t>
      </w:r>
      <w:r>
        <w:rPr>
          <w:spacing w:val="-1"/>
        </w:rPr>
        <w:t xml:space="preserve"> </w:t>
      </w:r>
      <w:r>
        <w:t>greater</w:t>
      </w:r>
      <w:r>
        <w:rPr>
          <w:spacing w:val="-1"/>
        </w:rPr>
        <w:t xml:space="preserve"> </w:t>
      </w:r>
      <w:r>
        <w:t>than</w:t>
      </w:r>
      <w:r>
        <w:rPr>
          <w:spacing w:val="-1"/>
        </w:rPr>
        <w:t xml:space="preserve"> </w:t>
      </w:r>
      <w:r>
        <w:t>2.0</w:t>
      </w:r>
      <w:r>
        <w:rPr>
          <w:spacing w:val="-1"/>
        </w:rPr>
        <w:t xml:space="preserve"> </w:t>
      </w:r>
      <w:r>
        <w:t>for</w:t>
      </w:r>
      <w:r>
        <w:rPr>
          <w:spacing w:val="-1"/>
        </w:rPr>
        <w:t xml:space="preserve"> </w:t>
      </w:r>
      <w:r>
        <w:t>the</w:t>
      </w:r>
      <w:r>
        <w:rPr>
          <w:spacing w:val="-1"/>
        </w:rPr>
        <w:t xml:space="preserve"> </w:t>
      </w:r>
      <w:r>
        <w:t>full</w:t>
      </w:r>
      <w:r>
        <w:rPr>
          <w:spacing w:val="-1"/>
        </w:rPr>
        <w:t xml:space="preserve"> </w:t>
      </w:r>
      <w:r>
        <w:t>sample</w:t>
      </w:r>
      <w:r>
        <w:rPr>
          <w:spacing w:val="-1"/>
        </w:rPr>
        <w:t xml:space="preserve"> </w:t>
      </w:r>
      <w:r>
        <w:t>weight</w:t>
      </w:r>
      <w:r>
        <w:rPr>
          <w:spacing w:val="-1"/>
        </w:rPr>
        <w:t xml:space="preserve"> </w:t>
      </w:r>
      <w:r>
        <w:t>were</w:t>
      </w:r>
      <w:r>
        <w:rPr>
          <w:spacing w:val="-1"/>
        </w:rPr>
        <w:t xml:space="preserve"> </w:t>
      </w:r>
      <w:r>
        <w:t>collapsed with</w:t>
      </w:r>
      <w:r>
        <w:rPr>
          <w:spacing w:val="-7"/>
        </w:rPr>
        <w:t xml:space="preserve"> </w:t>
      </w:r>
      <w:r>
        <w:t>suitable</w:t>
      </w:r>
      <w:r>
        <w:rPr>
          <w:spacing w:val="-7"/>
        </w:rPr>
        <w:t xml:space="preserve"> </w:t>
      </w:r>
      <w:r>
        <w:t>adjacent</w:t>
      </w:r>
      <w:r>
        <w:rPr>
          <w:spacing w:val="-7"/>
        </w:rPr>
        <w:t xml:space="preserve"> </w:t>
      </w:r>
      <w:r>
        <w:t>cells.</w:t>
      </w:r>
      <w:r>
        <w:rPr>
          <w:spacing w:val="-7"/>
        </w:rPr>
        <w:t xml:space="preserve"> </w:t>
      </w:r>
      <w:r>
        <w:t>Simultaneously,</w:t>
      </w:r>
      <w:r>
        <w:rPr>
          <w:spacing w:val="-7"/>
        </w:rPr>
        <w:t xml:space="preserve"> </w:t>
      </w:r>
      <w:r>
        <w:t>all</w:t>
      </w:r>
      <w:r>
        <w:rPr>
          <w:spacing w:val="-7"/>
        </w:rPr>
        <w:t xml:space="preserve"> </w:t>
      </w:r>
      <w:r>
        <w:t>initial</w:t>
      </w:r>
      <w:r>
        <w:rPr>
          <w:spacing w:val="-7"/>
        </w:rPr>
        <w:t xml:space="preserve"> </w:t>
      </w:r>
      <w:r>
        <w:t>weighting</w:t>
      </w:r>
      <w:r>
        <w:rPr>
          <w:spacing w:val="-7"/>
        </w:rPr>
        <w:t xml:space="preserve"> </w:t>
      </w:r>
      <w:r>
        <w:t>cells</w:t>
      </w:r>
      <w:r>
        <w:rPr>
          <w:spacing w:val="-7"/>
        </w:rPr>
        <w:t xml:space="preserve"> </w:t>
      </w:r>
      <w:r>
        <w:t>for</w:t>
      </w:r>
      <w:r>
        <w:rPr>
          <w:spacing w:val="-7"/>
        </w:rPr>
        <w:t xml:space="preserve"> </w:t>
      </w:r>
      <w:r>
        <w:t>any</w:t>
      </w:r>
      <w:r>
        <w:rPr>
          <w:spacing w:val="-7"/>
        </w:rPr>
        <w:t xml:space="preserve"> </w:t>
      </w:r>
      <w:r>
        <w:t>replicate</w:t>
      </w:r>
      <w:r>
        <w:rPr>
          <w:spacing w:val="-7"/>
        </w:rPr>
        <w:t xml:space="preserve"> </w:t>
      </w:r>
      <w:r>
        <w:t>with</w:t>
      </w:r>
      <w:r>
        <w:rPr>
          <w:spacing w:val="-7"/>
        </w:rPr>
        <w:t xml:space="preserve"> </w:t>
      </w:r>
      <w:r>
        <w:t>either</w:t>
      </w:r>
      <w:r>
        <w:rPr>
          <w:spacing w:val="-7"/>
        </w:rPr>
        <w:t xml:space="preserve"> </w:t>
      </w:r>
      <w:r>
        <w:t>fewer</w:t>
      </w:r>
      <w:r>
        <w:rPr>
          <w:spacing w:val="-7"/>
        </w:rPr>
        <w:t xml:space="preserve"> </w:t>
      </w:r>
      <w:r>
        <w:t>than</w:t>
      </w:r>
      <w:r>
        <w:rPr>
          <w:spacing w:val="-7"/>
        </w:rPr>
        <w:t xml:space="preserve"> </w:t>
      </w:r>
      <w:r>
        <w:t>15</w:t>
      </w:r>
      <w:r>
        <w:rPr>
          <w:spacing w:val="-7"/>
        </w:rPr>
        <w:t xml:space="preserve"> </w:t>
      </w:r>
      <w:r>
        <w:t>participating</w:t>
      </w:r>
      <w:r>
        <w:rPr>
          <w:spacing w:val="-7"/>
        </w:rPr>
        <w:t xml:space="preserve"> </w:t>
      </w:r>
      <w:r>
        <w:t>students</w:t>
      </w:r>
      <w:r>
        <w:rPr>
          <w:spacing w:val="-7"/>
        </w:rPr>
        <w:t xml:space="preserve"> </w:t>
      </w:r>
      <w:r>
        <w:t>or</w:t>
      </w:r>
      <w:r>
        <w:rPr>
          <w:spacing w:val="-7"/>
        </w:rPr>
        <w:t xml:space="preserve"> </w:t>
      </w:r>
      <w:r>
        <w:t>an</w:t>
      </w:r>
      <w:r>
        <w:rPr>
          <w:spacing w:val="-7"/>
        </w:rPr>
        <w:t xml:space="preserve"> </w:t>
      </w:r>
      <w:r>
        <w:t>adjustment</w:t>
      </w:r>
      <w:r>
        <w:rPr>
          <w:spacing w:val="-7"/>
        </w:rPr>
        <w:t xml:space="preserve"> </w:t>
      </w:r>
      <w:r>
        <w:t>factor</w:t>
      </w:r>
      <w:r>
        <w:rPr>
          <w:spacing w:val="-7"/>
        </w:rPr>
        <w:t xml:space="preserve"> </w:t>
      </w:r>
      <w:r>
        <w:t>greater</w:t>
      </w:r>
      <w:r>
        <w:rPr>
          <w:spacing w:val="-7"/>
        </w:rPr>
        <w:t xml:space="preserve"> </w:t>
      </w:r>
      <w:r>
        <w:t>than</w:t>
      </w:r>
      <w:r>
        <w:rPr>
          <w:spacing w:val="-7"/>
        </w:rPr>
        <w:t xml:space="preserve"> </w:t>
      </w:r>
      <w:r>
        <w:t>the maximum of 2.0 or 1.5 times the full sample nonresponse adjustment factor were collapsed with suitable adjacent cells.</w:t>
      </w:r>
    </w:p>
    <w:p w:rsidR="003F5784" w14:paraId="38F20A46" w14:textId="001CD49A">
      <w:pPr>
        <w:pStyle w:val="BodyText"/>
        <w:spacing w:before="210" w:line="232" w:lineRule="auto"/>
        <w:ind w:left="109" w:right="117"/>
      </w:pPr>
      <w:r>
        <w:t>Initial weighting cells were generally collapsed in reverse order of the cell structure; that is, starting at the bottom of the nesting structure and working up toward the top level of</w:t>
      </w:r>
      <w:r>
        <w:rPr>
          <w:spacing w:val="-1"/>
        </w:rPr>
        <w:t xml:space="preserve"> </w:t>
      </w:r>
      <w:r>
        <w:t>the</w:t>
      </w:r>
      <w:r>
        <w:rPr>
          <w:spacing w:val="-1"/>
        </w:rPr>
        <w:t xml:space="preserve"> </w:t>
      </w:r>
      <w:r>
        <w:t>nesting</w:t>
      </w:r>
      <w:r>
        <w:rPr>
          <w:spacing w:val="-1"/>
        </w:rPr>
        <w:t xml:space="preserve"> </w:t>
      </w:r>
      <w:r>
        <w:t>structure.</w:t>
      </w:r>
      <w:r>
        <w:rPr>
          <w:spacing w:val="-1"/>
        </w:rPr>
        <w:t xml:space="preserve"> </w:t>
      </w:r>
      <w:r>
        <w:t>Race/ethnicity</w:t>
      </w:r>
      <w:r>
        <w:rPr>
          <w:spacing w:val="-1"/>
        </w:rPr>
        <w:t xml:space="preserve"> </w:t>
      </w:r>
      <w:r>
        <w:t>cells</w:t>
      </w:r>
      <w:r>
        <w:rPr>
          <w:spacing w:val="-1"/>
        </w:rPr>
        <w:t xml:space="preserve"> </w:t>
      </w:r>
      <w:r>
        <w:t>within</w:t>
      </w:r>
      <w:r>
        <w:rPr>
          <w:spacing w:val="-1"/>
        </w:rPr>
        <w:t xml:space="preserve"> </w:t>
      </w:r>
      <w:r>
        <w:t>students</w:t>
      </w:r>
      <w:r>
        <w:rPr>
          <w:spacing w:val="-1"/>
        </w:rPr>
        <w:t xml:space="preserve"> </w:t>
      </w:r>
      <w:r>
        <w:t>with</w:t>
      </w:r>
      <w:r>
        <w:rPr>
          <w:spacing w:val="-1"/>
        </w:rPr>
        <w:t xml:space="preserve"> </w:t>
      </w:r>
      <w:r>
        <w:t>disabilities</w:t>
      </w:r>
      <w:r>
        <w:rPr>
          <w:spacing w:val="-1"/>
        </w:rPr>
        <w:t xml:space="preserve"> </w:t>
      </w:r>
      <w:r>
        <w:t>(SD)</w:t>
      </w:r>
      <w:r>
        <w:rPr>
          <w:spacing w:val="-1"/>
        </w:rPr>
        <w:t xml:space="preserve"> </w:t>
      </w:r>
      <w:r>
        <w:t>and</w:t>
      </w:r>
      <w:r>
        <w:rPr>
          <w:spacing w:val="-1"/>
        </w:rPr>
        <w:t xml:space="preserve"> </w:t>
      </w:r>
      <w:r>
        <w:t>English</w:t>
      </w:r>
      <w:r>
        <w:rPr>
          <w:spacing w:val="-1"/>
        </w:rPr>
        <w:t xml:space="preserve"> </w:t>
      </w:r>
      <w:r>
        <w:t>learners</w:t>
      </w:r>
      <w:r>
        <w:rPr>
          <w:spacing w:val="-1"/>
        </w:rPr>
        <w:t xml:space="preserve"> </w:t>
      </w:r>
      <w:r>
        <w:t>(EL)</w:t>
      </w:r>
      <w:r>
        <w:rPr>
          <w:spacing w:val="-1"/>
        </w:rPr>
        <w:t xml:space="preserve"> </w:t>
      </w:r>
      <w:r>
        <w:t>groups,</w:t>
      </w:r>
      <w:r>
        <w:rPr>
          <w:spacing w:val="-1"/>
        </w:rPr>
        <w:t xml:space="preserve"> </w:t>
      </w:r>
      <w:r>
        <w:t>school</w:t>
      </w:r>
      <w:r>
        <w:rPr>
          <w:spacing w:val="-1"/>
        </w:rPr>
        <w:t xml:space="preserve"> </w:t>
      </w:r>
      <w:r>
        <w:t>nonresponse</w:t>
      </w:r>
      <w:r>
        <w:rPr>
          <w:spacing w:val="-1"/>
        </w:rPr>
        <w:t xml:space="preserve"> </w:t>
      </w:r>
      <w:r>
        <w:t>cell,</w:t>
      </w:r>
      <w:r>
        <w:rPr>
          <w:spacing w:val="-1"/>
        </w:rPr>
        <w:t xml:space="preserve"> </w:t>
      </w:r>
      <w:r>
        <w:t>age</w:t>
      </w:r>
      <w:r>
        <w:rPr>
          <w:spacing w:val="-1"/>
        </w:rPr>
        <w:t xml:space="preserve"> </w:t>
      </w:r>
      <w:r>
        <w:t>for</w:t>
      </w:r>
      <w:r>
        <w:rPr>
          <w:spacing w:val="-1"/>
        </w:rPr>
        <w:t xml:space="preserve"> </w:t>
      </w:r>
      <w:r>
        <w:t>grade-based</w:t>
      </w:r>
      <w:r>
        <w:rPr>
          <w:spacing w:val="-1"/>
        </w:rPr>
        <w:t xml:space="preserve"> </w:t>
      </w:r>
      <w:r>
        <w:t>assessments or</w:t>
      </w:r>
      <w:r>
        <w:rPr>
          <w:spacing w:val="-2"/>
        </w:rPr>
        <w:t xml:space="preserve"> </w:t>
      </w:r>
      <w:r>
        <w:t>grade</w:t>
      </w:r>
      <w:r>
        <w:rPr>
          <w:spacing w:val="-2"/>
        </w:rPr>
        <w:t xml:space="preserve"> </w:t>
      </w:r>
      <w:r>
        <w:t>for</w:t>
      </w:r>
      <w:r>
        <w:rPr>
          <w:spacing w:val="-2"/>
        </w:rPr>
        <w:t xml:space="preserve"> </w:t>
      </w:r>
      <w:r>
        <w:t>long-term</w:t>
      </w:r>
      <w:r>
        <w:rPr>
          <w:spacing w:val="-2"/>
        </w:rPr>
        <w:t xml:space="preserve"> </w:t>
      </w:r>
      <w:r>
        <w:t>trend</w:t>
      </w:r>
      <w:r>
        <w:rPr>
          <w:spacing w:val="-2"/>
        </w:rPr>
        <w:t xml:space="preserve"> </w:t>
      </w:r>
      <w:r>
        <w:t>(LTT)</w:t>
      </w:r>
      <w:r>
        <w:rPr>
          <w:spacing w:val="-2"/>
        </w:rPr>
        <w:t xml:space="preserve"> </w:t>
      </w:r>
      <w:r>
        <w:t>age-based</w:t>
      </w:r>
      <w:r>
        <w:rPr>
          <w:spacing w:val="-2"/>
        </w:rPr>
        <w:t xml:space="preserve"> </w:t>
      </w:r>
      <w:r>
        <w:t>assessments,</w:t>
      </w:r>
      <w:r>
        <w:rPr>
          <w:spacing w:val="-2"/>
        </w:rPr>
        <w:t xml:space="preserve"> </w:t>
      </w:r>
      <w:r>
        <w:t>and</w:t>
      </w:r>
      <w:r>
        <w:rPr>
          <w:spacing w:val="-2"/>
        </w:rPr>
        <w:t xml:space="preserve"> </w:t>
      </w:r>
      <w:r w:rsidR="00B4162D">
        <w:t>sex</w:t>
      </w:r>
      <w:r>
        <w:rPr>
          <w:spacing w:val="-2"/>
        </w:rPr>
        <w:t xml:space="preserve"> </w:t>
      </w:r>
      <w:r>
        <w:t>classes</w:t>
      </w:r>
      <w:r>
        <w:rPr>
          <w:spacing w:val="-2"/>
        </w:rPr>
        <w:t xml:space="preserve"> </w:t>
      </w:r>
      <w:r>
        <w:t>were</w:t>
      </w:r>
      <w:r>
        <w:rPr>
          <w:spacing w:val="-2"/>
        </w:rPr>
        <w:t xml:space="preserve"> </w:t>
      </w:r>
      <w:r>
        <w:t>collapsed</w:t>
      </w:r>
      <w:r>
        <w:rPr>
          <w:spacing w:val="-2"/>
        </w:rPr>
        <w:t xml:space="preserve"> </w:t>
      </w:r>
      <w:r>
        <w:t>first.</w:t>
      </w:r>
      <w:r>
        <w:rPr>
          <w:spacing w:val="-2"/>
        </w:rPr>
        <w:t xml:space="preserve"> </w:t>
      </w:r>
      <w:r>
        <w:t>If</w:t>
      </w:r>
      <w:r>
        <w:rPr>
          <w:spacing w:val="-2"/>
        </w:rPr>
        <w:t xml:space="preserve"> </w:t>
      </w:r>
      <w:r>
        <w:t>further</w:t>
      </w:r>
      <w:r>
        <w:rPr>
          <w:spacing w:val="-2"/>
        </w:rPr>
        <w:t xml:space="preserve"> </w:t>
      </w:r>
      <w:r>
        <w:t>collapsing</w:t>
      </w:r>
      <w:r>
        <w:rPr>
          <w:spacing w:val="-2"/>
        </w:rPr>
        <w:t xml:space="preserve"> </w:t>
      </w:r>
      <w:r>
        <w:t>was</w:t>
      </w:r>
      <w:r>
        <w:rPr>
          <w:spacing w:val="-2"/>
        </w:rPr>
        <w:t xml:space="preserve"> </w:t>
      </w:r>
      <w:r>
        <w:t>required</w:t>
      </w:r>
      <w:r>
        <w:rPr>
          <w:spacing w:val="-2"/>
        </w:rPr>
        <w:t xml:space="preserve"> </w:t>
      </w:r>
      <w:r>
        <w:t>after</w:t>
      </w:r>
      <w:r>
        <w:rPr>
          <w:spacing w:val="-2"/>
        </w:rPr>
        <w:t xml:space="preserve"> </w:t>
      </w:r>
      <w:r>
        <w:t>collapsing</w:t>
      </w:r>
      <w:r>
        <w:rPr>
          <w:spacing w:val="-2"/>
        </w:rPr>
        <w:t xml:space="preserve"> </w:t>
      </w:r>
      <w:r>
        <w:t>all</w:t>
      </w:r>
      <w:r>
        <w:rPr>
          <w:spacing w:val="-2"/>
        </w:rPr>
        <w:t xml:space="preserve"> </w:t>
      </w:r>
      <w:r>
        <w:t>race/ethnicity</w:t>
      </w:r>
      <w:r>
        <w:rPr>
          <w:spacing w:val="-2"/>
        </w:rPr>
        <w:t xml:space="preserve"> </w:t>
      </w:r>
      <w:r>
        <w:t>classes, cells</w:t>
      </w:r>
      <w:r>
        <w:rPr>
          <w:spacing w:val="-6"/>
        </w:rPr>
        <w:t xml:space="preserve"> </w:t>
      </w:r>
      <w:r>
        <w:t>were</w:t>
      </w:r>
      <w:r>
        <w:rPr>
          <w:spacing w:val="-6"/>
        </w:rPr>
        <w:t xml:space="preserve"> </w:t>
      </w:r>
      <w:r>
        <w:t>next</w:t>
      </w:r>
      <w:r>
        <w:rPr>
          <w:spacing w:val="-6"/>
        </w:rPr>
        <w:t xml:space="preserve"> </w:t>
      </w:r>
      <w:r>
        <w:t>combined</w:t>
      </w:r>
      <w:r>
        <w:rPr>
          <w:spacing w:val="-6"/>
        </w:rPr>
        <w:t xml:space="preserve"> </w:t>
      </w:r>
      <w:r>
        <w:t>across</w:t>
      </w:r>
      <w:r>
        <w:rPr>
          <w:spacing w:val="-6"/>
        </w:rPr>
        <w:t xml:space="preserve"> </w:t>
      </w:r>
      <w:r w:rsidR="00B4162D">
        <w:t>sex</w:t>
      </w:r>
      <w:r>
        <w:t>,</w:t>
      </w:r>
      <w:r>
        <w:rPr>
          <w:spacing w:val="-6"/>
        </w:rPr>
        <w:t xml:space="preserve"> </w:t>
      </w:r>
      <w:r>
        <w:t>then</w:t>
      </w:r>
      <w:r>
        <w:rPr>
          <w:spacing w:val="-6"/>
        </w:rPr>
        <w:t xml:space="preserve"> </w:t>
      </w:r>
      <w:r>
        <w:t>age</w:t>
      </w:r>
      <w:r>
        <w:rPr>
          <w:spacing w:val="-6"/>
        </w:rPr>
        <w:t xml:space="preserve"> </w:t>
      </w:r>
      <w:r>
        <w:t>for</w:t>
      </w:r>
      <w:r>
        <w:rPr>
          <w:spacing w:val="-6"/>
        </w:rPr>
        <w:t xml:space="preserve"> </w:t>
      </w:r>
      <w:r>
        <w:t>grade-based</w:t>
      </w:r>
      <w:r>
        <w:rPr>
          <w:spacing w:val="-6"/>
        </w:rPr>
        <w:t xml:space="preserve"> </w:t>
      </w:r>
      <w:r>
        <w:t>or</w:t>
      </w:r>
      <w:r>
        <w:rPr>
          <w:spacing w:val="-6"/>
        </w:rPr>
        <w:t xml:space="preserve"> </w:t>
      </w:r>
      <w:r>
        <w:t>grade</w:t>
      </w:r>
      <w:r>
        <w:rPr>
          <w:spacing w:val="-6"/>
        </w:rPr>
        <w:t xml:space="preserve"> </w:t>
      </w:r>
      <w:r>
        <w:t>for</w:t>
      </w:r>
      <w:r>
        <w:rPr>
          <w:spacing w:val="-6"/>
        </w:rPr>
        <w:t xml:space="preserve"> </w:t>
      </w:r>
      <w:r>
        <w:t>age-based</w:t>
      </w:r>
      <w:r>
        <w:rPr>
          <w:spacing w:val="-6"/>
        </w:rPr>
        <w:t xml:space="preserve"> </w:t>
      </w:r>
      <w:r>
        <w:t>assessments,</w:t>
      </w:r>
      <w:r>
        <w:rPr>
          <w:spacing w:val="-6"/>
        </w:rPr>
        <w:t xml:space="preserve"> </w:t>
      </w:r>
      <w:r>
        <w:t>and</w:t>
      </w:r>
      <w:r>
        <w:rPr>
          <w:spacing w:val="-6"/>
        </w:rPr>
        <w:t xml:space="preserve"> </w:t>
      </w:r>
      <w:r>
        <w:t>finally</w:t>
      </w:r>
      <w:r>
        <w:rPr>
          <w:spacing w:val="-6"/>
        </w:rPr>
        <w:t xml:space="preserve"> </w:t>
      </w:r>
      <w:r>
        <w:t>school</w:t>
      </w:r>
      <w:r>
        <w:rPr>
          <w:spacing w:val="-6"/>
        </w:rPr>
        <w:t xml:space="preserve"> </w:t>
      </w:r>
      <w:r>
        <w:t>nonresponse</w:t>
      </w:r>
      <w:r>
        <w:rPr>
          <w:spacing w:val="-6"/>
        </w:rPr>
        <w:t xml:space="preserve"> </w:t>
      </w:r>
      <w:r>
        <w:t>cells.</w:t>
      </w:r>
      <w:r>
        <w:rPr>
          <w:spacing w:val="-6"/>
        </w:rPr>
        <w:t xml:space="preserve"> </w:t>
      </w:r>
      <w:r>
        <w:t>Cells</w:t>
      </w:r>
      <w:r>
        <w:rPr>
          <w:spacing w:val="-6"/>
        </w:rPr>
        <w:t xml:space="preserve"> </w:t>
      </w:r>
      <w:r>
        <w:t>are</w:t>
      </w:r>
      <w:r>
        <w:rPr>
          <w:spacing w:val="-6"/>
        </w:rPr>
        <w:t xml:space="preserve"> </w:t>
      </w:r>
      <w:r>
        <w:t>never</w:t>
      </w:r>
      <w:r>
        <w:rPr>
          <w:spacing w:val="-6"/>
        </w:rPr>
        <w:t xml:space="preserve"> </w:t>
      </w:r>
      <w:r>
        <w:t>collapsed</w:t>
      </w:r>
      <w:r>
        <w:rPr>
          <w:spacing w:val="-6"/>
        </w:rPr>
        <w:t xml:space="preserve"> </w:t>
      </w:r>
      <w:r>
        <w:t>across</w:t>
      </w:r>
      <w:r>
        <w:rPr>
          <w:spacing w:val="-6"/>
        </w:rPr>
        <w:t xml:space="preserve"> </w:t>
      </w:r>
      <w:r>
        <w:t>SD and EL groups for any sample.</w:t>
      </w:r>
    </w:p>
    <w:p w:rsidR="003F5784" w14:paraId="3880F96B" w14:textId="77777777">
      <w:pPr>
        <w:pStyle w:val="BodyText"/>
      </w:pPr>
    </w:p>
    <w:p w:rsidR="003F5784" w14:paraId="46ED5D7B" w14:textId="77777777">
      <w:pPr>
        <w:pStyle w:val="BodyText"/>
      </w:pPr>
    </w:p>
    <w:p w:rsidR="003F5784" w14:paraId="1B2808D5" w14:textId="77777777">
      <w:pPr>
        <w:pStyle w:val="BodyText"/>
      </w:pPr>
    </w:p>
    <w:p w:rsidR="003F5784" w14:paraId="69E7A25A" w14:textId="77777777">
      <w:pPr>
        <w:pStyle w:val="BodyText"/>
        <w:spacing w:before="152"/>
      </w:pPr>
    </w:p>
    <w:p w:rsidR="003F5784" w14:paraId="764C41C4" w14:textId="77777777">
      <w:pPr>
        <w:spacing w:before="1"/>
        <w:ind w:right="113"/>
        <w:jc w:val="right"/>
        <w:rPr>
          <w:sz w:val="18"/>
        </w:rPr>
      </w:pPr>
      <w:hyperlink r:id="rId450">
        <w:r>
          <w:rPr>
            <w:spacing w:val="-2"/>
            <w:w w:val="105"/>
            <w:sz w:val="18"/>
          </w:rPr>
          <w:t>http://nces.ed.gov/nationsreportcard/tdw/weighting/2022/development_of_final_student_nonresponse_cells_for_the_2022_assessment.aspx</w:t>
        </w:r>
      </w:hyperlink>
    </w:p>
    <w:p w:rsidR="003F5784" w14:paraId="6683EBB2" w14:textId="77777777">
      <w:pPr>
        <w:pStyle w:val="BodyText"/>
        <w:spacing w:before="10"/>
        <w:rPr>
          <w:sz w:val="14"/>
        </w:rPr>
      </w:pPr>
      <w:r>
        <w:rPr>
          <w:noProof/>
        </w:rPr>
        <mc:AlternateContent>
          <mc:Choice Requires="wps">
            <w:drawing>
              <wp:anchor distT="0" distB="0" distL="0" distR="0" simplePos="0" relativeHeight="251991040" behindDoc="1" locked="0" layoutInCell="1" allowOverlap="1">
                <wp:simplePos x="0" y="0"/>
                <wp:positionH relativeFrom="page">
                  <wp:posOffset>361937</wp:posOffset>
                </wp:positionH>
                <wp:positionV relativeFrom="paragraph">
                  <wp:posOffset>124165</wp:posOffset>
                </wp:positionV>
                <wp:extent cx="9339580" cy="8890"/>
                <wp:effectExtent l="0" t="0" r="0" b="0"/>
                <wp:wrapTopAndBottom/>
                <wp:docPr id="559" name="Graphic 559"/>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293"/>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59" o:spid="_x0000_s1177" style="width:735.4pt;height:0.7pt;margin-top:9.8pt;margin-left:28.5pt;mso-position-horizontal-relative:page;mso-wrap-distance-bottom:0;mso-wrap-distance-left:0;mso-wrap-distance-right:0;mso-wrap-distance-top:0;mso-wrap-style:square;position:absolute;visibility:visible;v-text-anchor:top;z-index:-251324416" coordsize="9339580,8890" path="m9338970,l9335110,l,,,8280l8280,8293l9335110,8280l9338970,8280l9338970,xe" fillcolor="gray" stroked="f">
                <v:path arrowok="t"/>
                <w10:wrap type="topAndBottom"/>
              </v:shape>
            </w:pict>
          </mc:Fallback>
        </mc:AlternateContent>
      </w:r>
    </w:p>
    <w:p w:rsidR="003F5784" w14:paraId="6DF5F04A" w14:textId="77777777">
      <w:pPr>
        <w:pStyle w:val="BodyText"/>
        <w:rPr>
          <w:sz w:val="18"/>
        </w:rPr>
      </w:pPr>
    </w:p>
    <w:p w:rsidR="003F5784" w14:paraId="0F1044EA" w14:textId="77777777">
      <w:pPr>
        <w:pStyle w:val="BodyText"/>
        <w:spacing w:before="193"/>
        <w:rPr>
          <w:sz w:val="18"/>
        </w:rPr>
      </w:pPr>
    </w:p>
    <w:p w:rsidR="003F5784" w14:paraId="7E308C90" w14:textId="757F4613">
      <w:pPr>
        <w:pStyle w:val="Heading1"/>
      </w:pPr>
      <w:r>
        <w:t>NAEP</w:t>
      </w:r>
      <w:r>
        <w:rPr>
          <w:spacing w:val="-21"/>
        </w:rPr>
        <w:t xml:space="preserve"> </w:t>
      </w:r>
      <w:r>
        <w:t>Technical</w:t>
      </w:r>
      <w:r>
        <w:rPr>
          <w:spacing w:val="13"/>
        </w:rPr>
        <w:t xml:space="preserve"> </w:t>
      </w:r>
      <w:r>
        <w:t>Documentation</w:t>
      </w:r>
      <w:r w:rsidR="00ED683B">
        <w:t xml:space="preserve"> </w:t>
      </w:r>
      <w:r>
        <w:t>Development</w:t>
      </w:r>
      <w:r>
        <w:rPr>
          <w:spacing w:val="13"/>
        </w:rPr>
        <w:t xml:space="preserve"> </w:t>
      </w:r>
      <w:r>
        <w:t>of</w:t>
      </w:r>
      <w:r>
        <w:rPr>
          <w:spacing w:val="14"/>
        </w:rPr>
        <w:t xml:space="preserve"> </w:t>
      </w:r>
      <w:r>
        <w:t>Initial</w:t>
      </w:r>
      <w:r>
        <w:rPr>
          <w:spacing w:val="13"/>
        </w:rPr>
        <w:t xml:space="preserve"> </w:t>
      </w:r>
      <w:r>
        <w:t>Student</w:t>
      </w:r>
      <w:r>
        <w:rPr>
          <w:spacing w:val="13"/>
        </w:rPr>
        <w:t xml:space="preserve"> </w:t>
      </w:r>
      <w:r>
        <w:t>Nonresponse</w:t>
      </w:r>
      <w:r>
        <w:rPr>
          <w:spacing w:val="13"/>
        </w:rPr>
        <w:t xml:space="preserve"> </w:t>
      </w:r>
      <w:r>
        <w:rPr>
          <w:spacing w:val="-2"/>
        </w:rPr>
        <w:t>Cells</w:t>
      </w:r>
    </w:p>
    <w:p w:rsidR="003F5784" w14:paraId="278D5C10" w14:textId="77777777">
      <w:pPr>
        <w:pStyle w:val="BodyText"/>
        <w:spacing w:before="295" w:line="232" w:lineRule="auto"/>
        <w:ind w:left="109" w:right="671"/>
      </w:pPr>
      <w:r>
        <w:t>Initial student nonresponse cells are generally created within each sample as defined by grade (or age), school type (public or private), and assessment subject (civics, mathematics,</w:t>
      </w:r>
      <w:r>
        <w:rPr>
          <w:spacing w:val="-7"/>
        </w:rPr>
        <w:t xml:space="preserve"> </w:t>
      </w:r>
      <w:r>
        <w:t>reading,</w:t>
      </w:r>
      <w:r>
        <w:rPr>
          <w:spacing w:val="-7"/>
        </w:rPr>
        <w:t xml:space="preserve"> </w:t>
      </w:r>
      <w:r>
        <w:t>or</w:t>
      </w:r>
      <w:r>
        <w:rPr>
          <w:spacing w:val="-7"/>
        </w:rPr>
        <w:t xml:space="preserve"> </w:t>
      </w:r>
      <w:r>
        <w:t>U.S.</w:t>
      </w:r>
      <w:r>
        <w:rPr>
          <w:spacing w:val="-7"/>
        </w:rPr>
        <w:t xml:space="preserve"> </w:t>
      </w:r>
      <w:r>
        <w:t>history).</w:t>
      </w:r>
      <w:r>
        <w:rPr>
          <w:spacing w:val="-7"/>
        </w:rPr>
        <w:t xml:space="preserve"> </w:t>
      </w:r>
      <w:r>
        <w:t>However,</w:t>
      </w:r>
      <w:r>
        <w:rPr>
          <w:spacing w:val="-7"/>
        </w:rPr>
        <w:t xml:space="preserve"> </w:t>
      </w:r>
      <w:r>
        <w:t>when</w:t>
      </w:r>
      <w:r>
        <w:rPr>
          <w:spacing w:val="-7"/>
        </w:rPr>
        <w:t xml:space="preserve"> </w:t>
      </w:r>
      <w:r>
        <w:t>subjects</w:t>
      </w:r>
      <w:r>
        <w:rPr>
          <w:spacing w:val="-7"/>
        </w:rPr>
        <w:t xml:space="preserve"> </w:t>
      </w:r>
      <w:r>
        <w:t>are</w:t>
      </w:r>
      <w:r>
        <w:rPr>
          <w:spacing w:val="-7"/>
        </w:rPr>
        <w:t xml:space="preserve"> </w:t>
      </w:r>
      <w:r>
        <w:t>administered</w:t>
      </w:r>
      <w:r>
        <w:rPr>
          <w:spacing w:val="-7"/>
        </w:rPr>
        <w:t xml:space="preserve"> </w:t>
      </w:r>
      <w:r>
        <w:t>together</w:t>
      </w:r>
      <w:r>
        <w:rPr>
          <w:spacing w:val="-7"/>
        </w:rPr>
        <w:t xml:space="preserve"> </w:t>
      </w:r>
      <w:r>
        <w:t>by</w:t>
      </w:r>
      <w:r>
        <w:rPr>
          <w:spacing w:val="-7"/>
        </w:rPr>
        <w:t xml:space="preserve"> </w:t>
      </w:r>
      <w:r>
        <w:t>way</w:t>
      </w:r>
      <w:r>
        <w:rPr>
          <w:spacing w:val="-7"/>
        </w:rPr>
        <w:t xml:space="preserve"> </w:t>
      </w:r>
      <w:r>
        <w:t>of</w:t>
      </w:r>
      <w:r>
        <w:rPr>
          <w:spacing w:val="-7"/>
        </w:rPr>
        <w:t xml:space="preserve"> </w:t>
      </w:r>
      <w:r>
        <w:t>spiraling,</w:t>
      </w:r>
      <w:r>
        <w:rPr>
          <w:spacing w:val="-7"/>
        </w:rPr>
        <w:t xml:space="preserve"> </w:t>
      </w:r>
      <w:r>
        <w:t>the</w:t>
      </w:r>
      <w:r>
        <w:rPr>
          <w:spacing w:val="-7"/>
        </w:rPr>
        <w:t xml:space="preserve"> </w:t>
      </w:r>
      <w:r>
        <w:t>initial</w:t>
      </w:r>
      <w:r>
        <w:rPr>
          <w:spacing w:val="-7"/>
        </w:rPr>
        <w:t xml:space="preserve"> </w:t>
      </w:r>
      <w:r>
        <w:t>student</w:t>
      </w:r>
      <w:r>
        <w:rPr>
          <w:spacing w:val="-7"/>
        </w:rPr>
        <w:t xml:space="preserve"> </w:t>
      </w:r>
      <w:r>
        <w:t>nonresponse</w:t>
      </w:r>
      <w:r>
        <w:rPr>
          <w:spacing w:val="-7"/>
        </w:rPr>
        <w:t xml:space="preserve"> </w:t>
      </w:r>
      <w:r>
        <w:t>cells</w:t>
      </w:r>
      <w:r>
        <w:rPr>
          <w:spacing w:val="-7"/>
        </w:rPr>
        <w:t xml:space="preserve"> </w:t>
      </w:r>
      <w:r>
        <w:t>are</w:t>
      </w:r>
      <w:r>
        <w:rPr>
          <w:spacing w:val="-7"/>
        </w:rPr>
        <w:t xml:space="preserve"> </w:t>
      </w:r>
      <w:r>
        <w:t>created</w:t>
      </w:r>
      <w:r>
        <w:rPr>
          <w:spacing w:val="-7"/>
        </w:rPr>
        <w:t xml:space="preserve"> </w:t>
      </w:r>
      <w:r>
        <w:t>across</w:t>
      </w:r>
      <w:r>
        <w:rPr>
          <w:spacing w:val="-7"/>
        </w:rPr>
        <w:t xml:space="preserve"> </w:t>
      </w:r>
      <w:r>
        <w:t>the subjects</w:t>
      </w:r>
      <w:r>
        <w:rPr>
          <w:spacing w:val="-5"/>
        </w:rPr>
        <w:t xml:space="preserve"> </w:t>
      </w:r>
      <w:r>
        <w:t>in</w:t>
      </w:r>
      <w:r>
        <w:rPr>
          <w:spacing w:val="-5"/>
        </w:rPr>
        <w:t xml:space="preserve"> </w:t>
      </w:r>
      <w:r>
        <w:t>the</w:t>
      </w:r>
      <w:r>
        <w:rPr>
          <w:spacing w:val="-5"/>
        </w:rPr>
        <w:t xml:space="preserve"> </w:t>
      </w:r>
      <w:r>
        <w:t>same</w:t>
      </w:r>
      <w:r>
        <w:rPr>
          <w:spacing w:val="-5"/>
        </w:rPr>
        <w:t xml:space="preserve"> </w:t>
      </w:r>
      <w:r>
        <w:t>spiral.</w:t>
      </w:r>
      <w:r>
        <w:rPr>
          <w:spacing w:val="-9"/>
        </w:rPr>
        <w:t xml:space="preserve"> </w:t>
      </w:r>
      <w:r>
        <w:t>The</w:t>
      </w:r>
      <w:r>
        <w:rPr>
          <w:spacing w:val="-5"/>
        </w:rPr>
        <w:t xml:space="preserve"> </w:t>
      </w:r>
      <w:r>
        <w:t>rationale</w:t>
      </w:r>
      <w:r>
        <w:rPr>
          <w:spacing w:val="-5"/>
        </w:rPr>
        <w:t xml:space="preserve"> </w:t>
      </w:r>
      <w:r>
        <w:t>behind</w:t>
      </w:r>
      <w:r>
        <w:rPr>
          <w:spacing w:val="-5"/>
        </w:rPr>
        <w:t xml:space="preserve"> </w:t>
      </w:r>
      <w:r>
        <w:t>this</w:t>
      </w:r>
      <w:r>
        <w:rPr>
          <w:spacing w:val="-5"/>
        </w:rPr>
        <w:t xml:space="preserve"> </w:t>
      </w:r>
      <w:r>
        <w:t>decision</w:t>
      </w:r>
      <w:r>
        <w:rPr>
          <w:spacing w:val="-5"/>
        </w:rPr>
        <w:t xml:space="preserve"> </w:t>
      </w:r>
      <w:r>
        <w:t>is</w:t>
      </w:r>
      <w:r>
        <w:rPr>
          <w:spacing w:val="-5"/>
        </w:rPr>
        <w:t xml:space="preserve"> </w:t>
      </w:r>
      <w:r>
        <w:t>that</w:t>
      </w:r>
      <w:r>
        <w:rPr>
          <w:spacing w:val="-5"/>
        </w:rPr>
        <w:t xml:space="preserve"> </w:t>
      </w:r>
      <w:r>
        <w:t>spiraled</w:t>
      </w:r>
      <w:r>
        <w:rPr>
          <w:spacing w:val="-5"/>
        </w:rPr>
        <w:t xml:space="preserve"> </w:t>
      </w:r>
      <w:r>
        <w:t>subjects</w:t>
      </w:r>
      <w:r>
        <w:rPr>
          <w:spacing w:val="-5"/>
        </w:rPr>
        <w:t xml:space="preserve"> </w:t>
      </w:r>
      <w:r>
        <w:t>are</w:t>
      </w:r>
      <w:r>
        <w:rPr>
          <w:spacing w:val="-5"/>
        </w:rPr>
        <w:t xml:space="preserve"> </w:t>
      </w:r>
      <w:r>
        <w:t>in</w:t>
      </w:r>
      <w:r>
        <w:rPr>
          <w:spacing w:val="-5"/>
        </w:rPr>
        <w:t xml:space="preserve"> </w:t>
      </w:r>
      <w:r>
        <w:t>the</w:t>
      </w:r>
      <w:r>
        <w:rPr>
          <w:spacing w:val="-5"/>
        </w:rPr>
        <w:t xml:space="preserve"> </w:t>
      </w:r>
      <w:r>
        <w:t>same</w:t>
      </w:r>
      <w:r>
        <w:rPr>
          <w:spacing w:val="-5"/>
        </w:rPr>
        <w:t xml:space="preserve"> </w:t>
      </w:r>
      <w:r>
        <w:t>schools</w:t>
      </w:r>
      <w:r>
        <w:rPr>
          <w:spacing w:val="-5"/>
        </w:rPr>
        <w:t xml:space="preserve"> </w:t>
      </w:r>
      <w:r>
        <w:t>and</w:t>
      </w:r>
      <w:r>
        <w:rPr>
          <w:spacing w:val="-5"/>
        </w:rPr>
        <w:t xml:space="preserve"> </w:t>
      </w:r>
      <w:r>
        <w:t>the</w:t>
      </w:r>
      <w:r>
        <w:rPr>
          <w:spacing w:val="-5"/>
        </w:rPr>
        <w:t xml:space="preserve"> </w:t>
      </w:r>
      <w:r>
        <w:t>likelihood</w:t>
      </w:r>
      <w:r>
        <w:rPr>
          <w:spacing w:val="-5"/>
        </w:rPr>
        <w:t xml:space="preserve"> </w:t>
      </w:r>
      <w:r>
        <w:t>that</w:t>
      </w:r>
      <w:r>
        <w:rPr>
          <w:spacing w:val="-5"/>
        </w:rPr>
        <w:t xml:space="preserve"> </w:t>
      </w:r>
      <w:r>
        <w:t>an</w:t>
      </w:r>
      <w:r>
        <w:rPr>
          <w:spacing w:val="-5"/>
        </w:rPr>
        <w:t xml:space="preserve"> </w:t>
      </w:r>
      <w:r>
        <w:t>eligible</w:t>
      </w:r>
      <w:r>
        <w:rPr>
          <w:spacing w:val="-5"/>
        </w:rPr>
        <w:t xml:space="preserve"> </w:t>
      </w:r>
      <w:r>
        <w:t>student</w:t>
      </w:r>
      <w:r>
        <w:rPr>
          <w:spacing w:val="-5"/>
        </w:rPr>
        <w:t xml:space="preserve"> </w:t>
      </w:r>
      <w:r>
        <w:t>participates</w:t>
      </w:r>
      <w:r>
        <w:rPr>
          <w:spacing w:val="-5"/>
        </w:rPr>
        <w:t xml:space="preserve"> </w:t>
      </w:r>
      <w:r>
        <w:t>in</w:t>
      </w:r>
      <w:r>
        <w:rPr>
          <w:spacing w:val="-5"/>
        </w:rPr>
        <w:t xml:space="preserve"> </w:t>
      </w:r>
      <w:r>
        <w:t>an assessment is more related to its school than the assessment subject. Nonresponse adjustment procedures are not applied to excluded students or full-time remote students</w:t>
      </w:r>
      <w:r>
        <w:rPr>
          <w:spacing w:val="-4"/>
        </w:rPr>
        <w:t xml:space="preserve"> </w:t>
      </w:r>
      <w:r>
        <w:t>because</w:t>
      </w:r>
      <w:r>
        <w:rPr>
          <w:spacing w:val="-4"/>
        </w:rPr>
        <w:t xml:space="preserve"> </w:t>
      </w:r>
      <w:r>
        <w:t>they</w:t>
      </w:r>
      <w:r>
        <w:rPr>
          <w:spacing w:val="-4"/>
        </w:rPr>
        <w:t xml:space="preserve"> </w:t>
      </w:r>
      <w:r>
        <w:t>are</w:t>
      </w:r>
      <w:r>
        <w:rPr>
          <w:spacing w:val="-4"/>
        </w:rPr>
        <w:t xml:space="preserve"> </w:t>
      </w:r>
      <w:r>
        <w:t>not</w:t>
      </w:r>
      <w:r>
        <w:rPr>
          <w:spacing w:val="-4"/>
        </w:rPr>
        <w:t xml:space="preserve"> </w:t>
      </w:r>
      <w:r>
        <w:t>required</w:t>
      </w:r>
      <w:r>
        <w:rPr>
          <w:spacing w:val="-4"/>
        </w:rPr>
        <w:t xml:space="preserve"> </w:t>
      </w:r>
      <w:r>
        <w:t>to</w:t>
      </w:r>
      <w:r>
        <w:rPr>
          <w:spacing w:val="-4"/>
        </w:rPr>
        <w:t xml:space="preserve"> </w:t>
      </w:r>
      <w:r>
        <w:t>complete</w:t>
      </w:r>
      <w:r>
        <w:rPr>
          <w:spacing w:val="-4"/>
        </w:rPr>
        <w:t xml:space="preserve"> </w:t>
      </w:r>
      <w:r>
        <w:t>an</w:t>
      </w:r>
      <w:r>
        <w:rPr>
          <w:spacing w:val="-4"/>
        </w:rPr>
        <w:t xml:space="preserve"> </w:t>
      </w:r>
      <w:r>
        <w:t>assessment.</w:t>
      </w:r>
      <w:r>
        <w:rPr>
          <w:spacing w:val="-4"/>
        </w:rPr>
        <w:t xml:space="preserve"> </w:t>
      </w:r>
      <w:r>
        <w:t>Full-time</w:t>
      </w:r>
      <w:r>
        <w:rPr>
          <w:spacing w:val="-4"/>
        </w:rPr>
        <w:t xml:space="preserve"> </w:t>
      </w:r>
      <w:r>
        <w:t>remote</w:t>
      </w:r>
      <w:r>
        <w:rPr>
          <w:spacing w:val="-4"/>
        </w:rPr>
        <w:t xml:space="preserve"> </w:t>
      </w:r>
      <w:r>
        <w:t>students</w:t>
      </w:r>
      <w:r>
        <w:rPr>
          <w:spacing w:val="-4"/>
        </w:rPr>
        <w:t xml:space="preserve"> </w:t>
      </w:r>
      <w:r>
        <w:t>are</w:t>
      </w:r>
      <w:r>
        <w:rPr>
          <w:spacing w:val="-4"/>
        </w:rPr>
        <w:t xml:space="preserve"> </w:t>
      </w:r>
      <w:r>
        <w:t>enrolled</w:t>
      </w:r>
      <w:r>
        <w:rPr>
          <w:spacing w:val="-4"/>
        </w:rPr>
        <w:t xml:space="preserve"> </w:t>
      </w:r>
      <w:r>
        <w:t>in</w:t>
      </w:r>
      <w:r>
        <w:rPr>
          <w:spacing w:val="-4"/>
        </w:rPr>
        <w:t xml:space="preserve"> </w:t>
      </w:r>
      <w:r>
        <w:t>brick-and-mortar</w:t>
      </w:r>
      <w:r>
        <w:rPr>
          <w:spacing w:val="-4"/>
        </w:rPr>
        <w:t xml:space="preserve"> </w:t>
      </w:r>
      <w:r>
        <w:t>schools</w:t>
      </w:r>
      <w:r>
        <w:rPr>
          <w:spacing w:val="-4"/>
        </w:rPr>
        <w:t xml:space="preserve"> </w:t>
      </w:r>
      <w:r>
        <w:t>but</w:t>
      </w:r>
      <w:r>
        <w:rPr>
          <w:spacing w:val="-4"/>
        </w:rPr>
        <w:t xml:space="preserve"> </w:t>
      </w:r>
      <w:r>
        <w:t>do</w:t>
      </w:r>
      <w:r>
        <w:rPr>
          <w:spacing w:val="-4"/>
        </w:rPr>
        <w:t xml:space="preserve"> </w:t>
      </w:r>
      <w:r>
        <w:t>not</w:t>
      </w:r>
      <w:r>
        <w:rPr>
          <w:spacing w:val="-4"/>
        </w:rPr>
        <w:t xml:space="preserve"> </w:t>
      </w:r>
      <w:r>
        <w:t>attend</w:t>
      </w:r>
      <w:r>
        <w:rPr>
          <w:spacing w:val="-4"/>
        </w:rPr>
        <w:t xml:space="preserve"> </w:t>
      </w:r>
      <w:r>
        <w:t>school</w:t>
      </w:r>
      <w:r>
        <w:rPr>
          <w:spacing w:val="-4"/>
        </w:rPr>
        <w:t xml:space="preserve"> </w:t>
      </w:r>
      <w:r>
        <w:t>in</w:t>
      </w:r>
      <w:r>
        <w:rPr>
          <w:spacing w:val="-4"/>
        </w:rPr>
        <w:t xml:space="preserve"> </w:t>
      </w:r>
      <w:r>
        <w:t>person.</w:t>
      </w:r>
    </w:p>
    <w:p w:rsidR="003F5784" w14:paraId="75118D14" w14:textId="77777777">
      <w:pPr>
        <w:pStyle w:val="BodyText"/>
        <w:spacing w:before="204"/>
        <w:ind w:left="109"/>
      </w:pPr>
      <w:r>
        <w:t>The</w:t>
      </w:r>
      <w:r>
        <w:rPr>
          <w:spacing w:val="-7"/>
        </w:rPr>
        <w:t xml:space="preserve"> </w:t>
      </w:r>
      <w:r>
        <w:t>initial</w:t>
      </w:r>
      <w:r>
        <w:rPr>
          <w:spacing w:val="-6"/>
        </w:rPr>
        <w:t xml:space="preserve"> </w:t>
      </w:r>
      <w:r>
        <w:t>student</w:t>
      </w:r>
      <w:r>
        <w:rPr>
          <w:spacing w:val="-6"/>
        </w:rPr>
        <w:t xml:space="preserve"> </w:t>
      </w:r>
      <w:r>
        <w:t>nonresponse</w:t>
      </w:r>
      <w:r>
        <w:rPr>
          <w:spacing w:val="-7"/>
        </w:rPr>
        <w:t xml:space="preserve"> </w:t>
      </w:r>
      <w:r>
        <w:t>cells</w:t>
      </w:r>
      <w:r>
        <w:rPr>
          <w:spacing w:val="-6"/>
        </w:rPr>
        <w:t xml:space="preserve"> </w:t>
      </w:r>
      <w:r>
        <w:t>for</w:t>
      </w:r>
      <w:r>
        <w:rPr>
          <w:spacing w:val="-6"/>
        </w:rPr>
        <w:t xml:space="preserve"> </w:t>
      </w:r>
      <w:r>
        <w:t>the</w:t>
      </w:r>
      <w:r>
        <w:rPr>
          <w:spacing w:val="-6"/>
        </w:rPr>
        <w:t xml:space="preserve"> </w:t>
      </w:r>
      <w:r>
        <w:t>various</w:t>
      </w:r>
      <w:r>
        <w:rPr>
          <w:spacing w:val="-6"/>
        </w:rPr>
        <w:t xml:space="preserve"> </w:t>
      </w:r>
      <w:r>
        <w:t>NAEP</w:t>
      </w:r>
      <w:r>
        <w:rPr>
          <w:spacing w:val="-14"/>
        </w:rPr>
        <w:t xml:space="preserve"> </w:t>
      </w:r>
      <w:r>
        <w:t>2022</w:t>
      </w:r>
      <w:r>
        <w:rPr>
          <w:spacing w:val="-6"/>
        </w:rPr>
        <w:t xml:space="preserve"> </w:t>
      </w:r>
      <w:r>
        <w:t>samples</w:t>
      </w:r>
      <w:r>
        <w:rPr>
          <w:spacing w:val="-6"/>
        </w:rPr>
        <w:t xml:space="preserve"> </w:t>
      </w:r>
      <w:r>
        <w:t>are</w:t>
      </w:r>
      <w:r>
        <w:rPr>
          <w:spacing w:val="-6"/>
        </w:rPr>
        <w:t xml:space="preserve"> </w:t>
      </w:r>
      <w:r>
        <w:t>described</w:t>
      </w:r>
      <w:r>
        <w:rPr>
          <w:spacing w:val="-6"/>
        </w:rPr>
        <w:t xml:space="preserve"> </w:t>
      </w:r>
      <w:r>
        <w:rPr>
          <w:spacing w:val="-2"/>
        </w:rPr>
        <w:t>below.</w:t>
      </w:r>
    </w:p>
    <w:p w:rsidR="003F5784" w14:paraId="3D5E2C1B" w14:textId="77777777">
      <w:pPr>
        <w:pStyle w:val="Heading2"/>
        <w:spacing w:before="202"/>
        <w:ind w:left="109"/>
      </w:pPr>
      <w:r>
        <w:t>State</w:t>
      </w:r>
      <w:r>
        <w:rPr>
          <w:spacing w:val="-11"/>
        </w:rPr>
        <w:t xml:space="preserve"> </w:t>
      </w:r>
      <w:r>
        <w:t>Public</w:t>
      </w:r>
      <w:r>
        <w:rPr>
          <w:spacing w:val="-6"/>
        </w:rPr>
        <w:t xml:space="preserve"> </w:t>
      </w:r>
      <w:r>
        <w:t>School</w:t>
      </w:r>
      <w:r>
        <w:rPr>
          <w:spacing w:val="-7"/>
        </w:rPr>
        <w:t xml:space="preserve"> </w:t>
      </w:r>
      <w:r>
        <w:t>Samples</w:t>
      </w:r>
      <w:r>
        <w:rPr>
          <w:spacing w:val="-7"/>
        </w:rPr>
        <w:t xml:space="preserve"> </w:t>
      </w:r>
      <w:r>
        <w:t>for</w:t>
      </w:r>
      <w:r>
        <w:rPr>
          <w:spacing w:val="-10"/>
        </w:rPr>
        <w:t xml:space="preserve"> </w:t>
      </w:r>
      <w:r>
        <w:t>Mathematics</w:t>
      </w:r>
      <w:r>
        <w:rPr>
          <w:spacing w:val="-7"/>
        </w:rPr>
        <w:t xml:space="preserve"> </w:t>
      </w:r>
      <w:r>
        <w:t>and</w:t>
      </w:r>
      <w:r>
        <w:rPr>
          <w:spacing w:val="-6"/>
        </w:rPr>
        <w:t xml:space="preserve"> </w:t>
      </w:r>
      <w:r>
        <w:t>Reading</w:t>
      </w:r>
      <w:r>
        <w:rPr>
          <w:spacing w:val="-14"/>
        </w:rPr>
        <w:t xml:space="preserve"> </w:t>
      </w:r>
      <w:r>
        <w:t>Assessments</w:t>
      </w:r>
      <w:r>
        <w:rPr>
          <w:spacing w:val="-6"/>
        </w:rPr>
        <w:t xml:space="preserve"> </w:t>
      </w:r>
      <w:r>
        <w:t>at</w:t>
      </w:r>
      <w:r>
        <w:rPr>
          <w:spacing w:val="-7"/>
        </w:rPr>
        <w:t xml:space="preserve"> </w:t>
      </w:r>
      <w:r>
        <w:t>Grades</w:t>
      </w:r>
      <w:r>
        <w:rPr>
          <w:spacing w:val="-7"/>
        </w:rPr>
        <w:t xml:space="preserve"> </w:t>
      </w:r>
      <w:r>
        <w:t>4</w:t>
      </w:r>
      <w:r>
        <w:rPr>
          <w:spacing w:val="-6"/>
        </w:rPr>
        <w:t xml:space="preserve"> </w:t>
      </w:r>
      <w:r>
        <w:t>and</w:t>
      </w:r>
      <w:r>
        <w:rPr>
          <w:spacing w:val="-7"/>
        </w:rPr>
        <w:t xml:space="preserve"> </w:t>
      </w:r>
      <w:r>
        <w:rPr>
          <w:spacing w:val="-10"/>
        </w:rPr>
        <w:t>8</w:t>
      </w:r>
    </w:p>
    <w:p w:rsidR="003F5784" w14:paraId="60CEDAC1" w14:textId="77777777">
      <w:pPr>
        <w:pStyle w:val="BodyText"/>
        <w:spacing w:before="3" w:line="440" w:lineRule="atLeast"/>
        <w:ind w:left="422" w:right="304" w:hanging="313"/>
      </w:pPr>
      <w:r>
        <w:t>The</w:t>
      </w:r>
      <w:r>
        <w:rPr>
          <w:spacing w:val="-11"/>
        </w:rPr>
        <w:t xml:space="preserve"> </w:t>
      </w:r>
      <w:r>
        <w:t>initial</w:t>
      </w:r>
      <w:r>
        <w:rPr>
          <w:spacing w:val="-7"/>
        </w:rPr>
        <w:t xml:space="preserve"> </w:t>
      </w:r>
      <w:r>
        <w:t>student</w:t>
      </w:r>
      <w:r>
        <w:rPr>
          <w:spacing w:val="-7"/>
        </w:rPr>
        <w:t xml:space="preserve"> </w:t>
      </w:r>
      <w:r>
        <w:t>nonresponse</w:t>
      </w:r>
      <w:r>
        <w:rPr>
          <w:spacing w:val="-7"/>
        </w:rPr>
        <w:t xml:space="preserve"> </w:t>
      </w:r>
      <w:r>
        <w:t>cells</w:t>
      </w:r>
      <w:r>
        <w:rPr>
          <w:spacing w:val="-7"/>
        </w:rPr>
        <w:t xml:space="preserve"> </w:t>
      </w:r>
      <w:r>
        <w:t>for</w:t>
      </w:r>
      <w:r>
        <w:rPr>
          <w:spacing w:val="-7"/>
        </w:rPr>
        <w:t xml:space="preserve"> </w:t>
      </w:r>
      <w:r>
        <w:t>these</w:t>
      </w:r>
      <w:r>
        <w:rPr>
          <w:spacing w:val="-7"/>
        </w:rPr>
        <w:t xml:space="preserve"> </w:t>
      </w:r>
      <w:r>
        <w:t>samples</w:t>
      </w:r>
      <w:r>
        <w:rPr>
          <w:spacing w:val="-7"/>
        </w:rPr>
        <w:t xml:space="preserve"> </w:t>
      </w:r>
      <w:r>
        <w:t>were</w:t>
      </w:r>
      <w:r>
        <w:rPr>
          <w:spacing w:val="-7"/>
        </w:rPr>
        <w:t xml:space="preserve"> </w:t>
      </w:r>
      <w:r>
        <w:t>defined</w:t>
      </w:r>
      <w:r>
        <w:rPr>
          <w:spacing w:val="-7"/>
        </w:rPr>
        <w:t xml:space="preserve"> </w:t>
      </w:r>
      <w:r>
        <w:t>within</w:t>
      </w:r>
      <w:r>
        <w:rPr>
          <w:spacing w:val="-7"/>
        </w:rPr>
        <w:t xml:space="preserve"> </w:t>
      </w:r>
      <w:r>
        <w:t>grade,</w:t>
      </w:r>
      <w:r>
        <w:rPr>
          <w:spacing w:val="-7"/>
        </w:rPr>
        <w:t xml:space="preserve"> </w:t>
      </w:r>
      <w:r>
        <w:t>jurisdiction,</w:t>
      </w:r>
      <w:r>
        <w:rPr>
          <w:spacing w:val="-7"/>
        </w:rPr>
        <w:t xml:space="preserve"> </w:t>
      </w:r>
      <w:r>
        <w:t>and</w:t>
      </w:r>
      <w:r>
        <w:rPr>
          <w:spacing w:val="-11"/>
        </w:rPr>
        <w:t xml:space="preserve"> </w:t>
      </w:r>
      <w:r>
        <w:t>Trial</w:t>
      </w:r>
      <w:r>
        <w:rPr>
          <w:spacing w:val="-7"/>
        </w:rPr>
        <w:t xml:space="preserve"> </w:t>
      </w:r>
      <w:r>
        <w:t>Urban</w:t>
      </w:r>
      <w:r>
        <w:rPr>
          <w:spacing w:val="-7"/>
        </w:rPr>
        <w:t xml:space="preserve"> </w:t>
      </w:r>
      <w:r>
        <w:t>District</w:t>
      </w:r>
      <w:r>
        <w:rPr>
          <w:spacing w:val="-14"/>
        </w:rPr>
        <w:t xml:space="preserve"> </w:t>
      </w:r>
      <w:r>
        <w:t>Assessment</w:t>
      </w:r>
      <w:r>
        <w:rPr>
          <w:spacing w:val="-6"/>
        </w:rPr>
        <w:t xml:space="preserve"> </w:t>
      </w:r>
      <w:r>
        <w:t>(TUDA)</w:t>
      </w:r>
      <w:r>
        <w:rPr>
          <w:spacing w:val="-7"/>
        </w:rPr>
        <w:t xml:space="preserve"> </w:t>
      </w:r>
      <w:r>
        <w:t>district</w:t>
      </w:r>
      <w:r>
        <w:rPr>
          <w:spacing w:val="-7"/>
        </w:rPr>
        <w:t xml:space="preserve"> </w:t>
      </w:r>
      <w:r>
        <w:t>hierarchically</w:t>
      </w:r>
      <w:r>
        <w:rPr>
          <w:spacing w:val="-7"/>
        </w:rPr>
        <w:t xml:space="preserve"> </w:t>
      </w:r>
      <w:r>
        <w:t>as</w:t>
      </w:r>
      <w:r>
        <w:rPr>
          <w:spacing w:val="-7"/>
        </w:rPr>
        <w:t xml:space="preserve"> </w:t>
      </w:r>
      <w:r>
        <w:t xml:space="preserve">follows: </w:t>
      </w:r>
      <w:r>
        <w:rPr>
          <w:noProof/>
          <w:position w:val="3"/>
        </w:rPr>
        <w:drawing>
          <wp:inline distT="0" distB="0" distL="0" distR="0">
            <wp:extent cx="41379" cy="41378"/>
            <wp:effectExtent l="0" t="0" r="0" b="0"/>
            <wp:docPr id="560" name="Image 560"/>
            <wp:cNvGraphicFramePr/>
            <a:graphic xmlns:a="http://schemas.openxmlformats.org/drawingml/2006/main">
              <a:graphicData uri="http://schemas.openxmlformats.org/drawingml/2006/picture">
                <pic:pic xmlns:pic="http://schemas.openxmlformats.org/drawingml/2006/picture">
                  <pic:nvPicPr>
                    <pic:cNvPr id="560" name="Image 560"/>
                    <pic:cNvPicPr/>
                  </pic:nvPicPr>
                  <pic:blipFill>
                    <a:blip xmlns:r="http://schemas.openxmlformats.org/officeDocument/2006/relationships" r:embed="rId451" cstate="print"/>
                    <a:stretch>
                      <a:fillRect/>
                    </a:stretch>
                  </pic:blipFill>
                  <pic:spPr>
                    <a:xfrm>
                      <a:off x="0" y="0"/>
                      <a:ext cx="41379" cy="41378"/>
                    </a:xfrm>
                    <a:prstGeom prst="rect">
                      <a:avLst/>
                    </a:prstGeom>
                  </pic:spPr>
                </pic:pic>
              </a:graphicData>
            </a:graphic>
          </wp:inline>
        </w:drawing>
      </w:r>
      <w:r>
        <w:rPr>
          <w:spacing w:val="80"/>
        </w:rPr>
        <w:t xml:space="preserve"> </w:t>
      </w:r>
      <w:r>
        <w:t>Students with disabilities (SD)/English learners (EL) by subject;</w:t>
      </w:r>
    </w:p>
    <w:p w:rsidR="003F5784" w14:paraId="7AAAFADF" w14:textId="77777777">
      <w:pPr>
        <w:pStyle w:val="BodyText"/>
        <w:spacing w:line="238" w:lineRule="exact"/>
        <w:ind w:left="422"/>
      </w:pPr>
      <w:r>
        <w:rPr>
          <w:noProof/>
          <w:position w:val="3"/>
        </w:rPr>
        <w:drawing>
          <wp:inline distT="0" distB="0" distL="0" distR="0">
            <wp:extent cx="41379" cy="41378"/>
            <wp:effectExtent l="0" t="0" r="0" b="0"/>
            <wp:docPr id="561" name="Image 561"/>
            <wp:cNvGraphicFramePr/>
            <a:graphic xmlns:a="http://schemas.openxmlformats.org/drawingml/2006/main">
              <a:graphicData uri="http://schemas.openxmlformats.org/drawingml/2006/picture">
                <pic:pic xmlns:pic="http://schemas.openxmlformats.org/drawingml/2006/picture">
                  <pic:nvPicPr>
                    <pic:cNvPr id="561" name="Image 561"/>
                    <pic:cNvPicPr/>
                  </pic:nvPicPr>
                  <pic:blipFill>
                    <a:blip xmlns:r="http://schemas.openxmlformats.org/officeDocument/2006/relationships" r:embed="rId452" cstate="print"/>
                    <a:stretch>
                      <a:fillRect/>
                    </a:stretch>
                  </pic:blipFill>
                  <pic:spPr>
                    <a:xfrm>
                      <a:off x="0" y="0"/>
                      <a:ext cx="41379" cy="41378"/>
                    </a:xfrm>
                    <a:prstGeom prst="rect">
                      <a:avLst/>
                    </a:prstGeom>
                  </pic:spPr>
                </pic:pic>
              </a:graphicData>
            </a:graphic>
          </wp:inline>
        </w:drawing>
      </w:r>
      <w:r>
        <w:rPr>
          <w:spacing w:val="80"/>
          <w:sz w:val="20"/>
        </w:rPr>
        <w:t xml:space="preserve"> </w:t>
      </w:r>
      <w:r>
        <w:t>school nonresponse cell;</w:t>
      </w:r>
    </w:p>
    <w:p w:rsidR="003F5784" w14:paraId="0C673846" w14:textId="16297D8B">
      <w:pPr>
        <w:pStyle w:val="BodyText"/>
        <w:spacing w:before="17" w:line="228" w:lineRule="auto"/>
        <w:ind w:left="422" w:right="8168"/>
      </w:pPr>
      <w:r>
        <w:rPr>
          <w:noProof/>
          <w:position w:val="3"/>
        </w:rPr>
        <w:drawing>
          <wp:inline distT="0" distB="0" distL="0" distR="0">
            <wp:extent cx="41379" cy="41378"/>
            <wp:effectExtent l="0" t="0" r="0" b="0"/>
            <wp:docPr id="562" name="Image 562"/>
            <wp:cNvGraphicFramePr/>
            <a:graphic xmlns:a="http://schemas.openxmlformats.org/drawingml/2006/main">
              <a:graphicData uri="http://schemas.openxmlformats.org/drawingml/2006/picture">
                <pic:pic xmlns:pic="http://schemas.openxmlformats.org/drawingml/2006/picture">
                  <pic:nvPicPr>
                    <pic:cNvPr id="562" name="Image 562"/>
                    <pic:cNvPicPr/>
                  </pic:nvPicPr>
                  <pic:blipFill>
                    <a:blip xmlns:r="http://schemas.openxmlformats.org/officeDocument/2006/relationships" r:embed="rId453" cstate="print"/>
                    <a:stretch>
                      <a:fillRect/>
                    </a:stretch>
                  </pic:blipFill>
                  <pic:spPr>
                    <a:xfrm>
                      <a:off x="0" y="0"/>
                      <a:ext cx="41379" cy="41378"/>
                    </a:xfrm>
                    <a:prstGeom prst="rect">
                      <a:avLst/>
                    </a:prstGeom>
                  </pic:spPr>
                </pic:pic>
              </a:graphicData>
            </a:graphic>
          </wp:inline>
        </w:drawing>
      </w:r>
      <w:r>
        <w:rPr>
          <w:spacing w:val="78"/>
          <w:sz w:val="20"/>
        </w:rPr>
        <w:t xml:space="preserve"> </w:t>
      </w:r>
      <w:r>
        <w:t>age</w:t>
      </w:r>
      <w:r>
        <w:rPr>
          <w:spacing w:val="-7"/>
        </w:rPr>
        <w:t xml:space="preserve"> </w:t>
      </w:r>
      <w:r>
        <w:t>(classified</w:t>
      </w:r>
      <w:r>
        <w:rPr>
          <w:spacing w:val="-7"/>
        </w:rPr>
        <w:t xml:space="preserve"> </w:t>
      </w:r>
      <w:r>
        <w:t>into</w:t>
      </w:r>
      <w:r>
        <w:rPr>
          <w:spacing w:val="-7"/>
        </w:rPr>
        <w:t xml:space="preserve"> </w:t>
      </w:r>
      <w:r>
        <w:t>"older"</w:t>
      </w:r>
      <w:r>
        <w:rPr>
          <w:position w:val="8"/>
          <w:sz w:val="17"/>
        </w:rPr>
        <w:t xml:space="preserve">1 </w:t>
      </w:r>
      <w:r>
        <w:t>student</w:t>
      </w:r>
      <w:r>
        <w:rPr>
          <w:spacing w:val="-7"/>
        </w:rPr>
        <w:t xml:space="preserve"> </w:t>
      </w:r>
      <w:r>
        <w:t>and</w:t>
      </w:r>
      <w:r>
        <w:rPr>
          <w:spacing w:val="-7"/>
        </w:rPr>
        <w:t xml:space="preserve"> </w:t>
      </w:r>
      <w:r>
        <w:t>"modal</w:t>
      </w:r>
      <w:r>
        <w:rPr>
          <w:spacing w:val="-7"/>
        </w:rPr>
        <w:t xml:space="preserve"> </w:t>
      </w:r>
      <w:r>
        <w:t>age</w:t>
      </w:r>
      <w:r>
        <w:rPr>
          <w:spacing w:val="-7"/>
        </w:rPr>
        <w:t xml:space="preserve"> </w:t>
      </w:r>
      <w:r>
        <w:t>or</w:t>
      </w:r>
      <w:r>
        <w:rPr>
          <w:spacing w:val="-7"/>
        </w:rPr>
        <w:t xml:space="preserve"> </w:t>
      </w:r>
      <w:r>
        <w:t>younger"</w:t>
      </w:r>
      <w:r>
        <w:rPr>
          <w:spacing w:val="-7"/>
        </w:rPr>
        <w:t xml:space="preserve"> </w:t>
      </w:r>
      <w:r>
        <w:t xml:space="preserve">student); </w:t>
      </w:r>
      <w:r>
        <w:rPr>
          <w:noProof/>
          <w:position w:val="3"/>
        </w:rPr>
        <w:drawing>
          <wp:inline distT="0" distB="0" distL="0" distR="0">
            <wp:extent cx="41379" cy="41378"/>
            <wp:effectExtent l="0" t="0" r="0" b="0"/>
            <wp:docPr id="563" name="Image 563"/>
            <wp:cNvGraphicFramePr/>
            <a:graphic xmlns:a="http://schemas.openxmlformats.org/drawingml/2006/main">
              <a:graphicData uri="http://schemas.openxmlformats.org/drawingml/2006/picture">
                <pic:pic xmlns:pic="http://schemas.openxmlformats.org/drawingml/2006/picture">
                  <pic:nvPicPr>
                    <pic:cNvPr id="563" name="Image 563"/>
                    <pic:cNvPicPr/>
                  </pic:nvPicPr>
                  <pic:blipFill>
                    <a:blip xmlns:r="http://schemas.openxmlformats.org/officeDocument/2006/relationships" r:embed="rId454" cstate="print"/>
                    <a:stretch>
                      <a:fillRect/>
                    </a:stretch>
                  </pic:blipFill>
                  <pic:spPr>
                    <a:xfrm>
                      <a:off x="0" y="0"/>
                      <a:ext cx="41379" cy="41378"/>
                    </a:xfrm>
                    <a:prstGeom prst="rect">
                      <a:avLst/>
                    </a:prstGeom>
                  </pic:spPr>
                </pic:pic>
              </a:graphicData>
            </a:graphic>
          </wp:inline>
        </w:drawing>
      </w:r>
      <w:r>
        <w:rPr>
          <w:spacing w:val="80"/>
        </w:rPr>
        <w:t xml:space="preserve"> </w:t>
      </w:r>
      <w:r w:rsidR="00B4162D">
        <w:t>sex</w:t>
      </w:r>
      <w:r>
        <w:t>; and</w:t>
      </w:r>
    </w:p>
    <w:p w:rsidR="003F5784" w14:paraId="6EE68143" w14:textId="77777777">
      <w:pPr>
        <w:pStyle w:val="BodyText"/>
        <w:spacing w:line="238" w:lineRule="exact"/>
        <w:ind w:left="422"/>
      </w:pPr>
      <w:r>
        <w:rPr>
          <w:noProof/>
          <w:position w:val="3"/>
        </w:rPr>
        <w:drawing>
          <wp:inline distT="0" distB="0" distL="0" distR="0">
            <wp:extent cx="41379" cy="41378"/>
            <wp:effectExtent l="0" t="0" r="0" b="0"/>
            <wp:docPr id="564" name="Image 564"/>
            <wp:cNvGraphicFramePr/>
            <a:graphic xmlns:a="http://schemas.openxmlformats.org/drawingml/2006/main">
              <a:graphicData uri="http://schemas.openxmlformats.org/drawingml/2006/picture">
                <pic:pic xmlns:pic="http://schemas.openxmlformats.org/drawingml/2006/picture">
                  <pic:nvPicPr>
                    <pic:cNvPr id="564" name="Image 564"/>
                    <pic:cNvPicPr/>
                  </pic:nvPicPr>
                  <pic:blipFill>
                    <a:blip xmlns:r="http://schemas.openxmlformats.org/officeDocument/2006/relationships" r:embed="rId455" cstate="print"/>
                    <a:stretch>
                      <a:fillRect/>
                    </a:stretch>
                  </pic:blipFill>
                  <pic:spPr>
                    <a:xfrm>
                      <a:off x="0" y="0"/>
                      <a:ext cx="41379" cy="41378"/>
                    </a:xfrm>
                    <a:prstGeom prst="rect">
                      <a:avLst/>
                    </a:prstGeom>
                  </pic:spPr>
                </pic:pic>
              </a:graphicData>
            </a:graphic>
          </wp:inline>
        </w:drawing>
      </w:r>
      <w:r>
        <w:rPr>
          <w:spacing w:val="80"/>
          <w:sz w:val="20"/>
        </w:rPr>
        <w:t xml:space="preserve"> </w:t>
      </w:r>
      <w:r>
        <w:t>race/ethnicity.</w:t>
      </w:r>
    </w:p>
    <w:p w:rsidR="003F5784" w14:paraId="1BF9CB26" w14:textId="77777777">
      <w:pPr>
        <w:spacing w:line="238" w:lineRule="exact"/>
        <w:sectPr>
          <w:pgSz w:w="15840" w:h="12240" w:orient="landscape"/>
          <w:pgMar w:top="480" w:right="440" w:bottom="460" w:left="460" w:header="284" w:footer="275" w:gutter="0"/>
          <w:cols w:space="720"/>
        </w:sectPr>
      </w:pPr>
    </w:p>
    <w:p w:rsidR="003F5784" w14:paraId="58F3222E" w14:textId="77777777">
      <w:pPr>
        <w:pStyle w:val="BodyText"/>
        <w:spacing w:before="78" w:line="232" w:lineRule="auto"/>
        <w:ind w:left="109"/>
      </w:pPr>
      <w:r>
        <w:t>The highest level variable in the cell structure separates students who were classified either as SD or EL</w:t>
      </w:r>
      <w:r>
        <w:rPr>
          <w:spacing w:val="-8"/>
        </w:rPr>
        <w:t xml:space="preserve"> </w:t>
      </w:r>
      <w:r>
        <w:t>from those who are neither, since SD and EL</w:t>
      </w:r>
      <w:r>
        <w:rPr>
          <w:spacing w:val="-8"/>
        </w:rPr>
        <w:t xml:space="preserve"> </w:t>
      </w:r>
      <w:r>
        <w:t>students tend to score lower</w:t>
      </w:r>
      <w:r>
        <w:rPr>
          <w:spacing w:val="-6"/>
        </w:rPr>
        <w:t xml:space="preserve"> </w:t>
      </w:r>
      <w:r>
        <w:t>on</w:t>
      </w:r>
      <w:r>
        <w:rPr>
          <w:spacing w:val="-6"/>
        </w:rPr>
        <w:t xml:space="preserve"> </w:t>
      </w:r>
      <w:r>
        <w:t>assessment</w:t>
      </w:r>
      <w:r>
        <w:rPr>
          <w:spacing w:val="-6"/>
        </w:rPr>
        <w:t xml:space="preserve"> </w:t>
      </w:r>
      <w:r>
        <w:t>tests</w:t>
      </w:r>
      <w:r>
        <w:rPr>
          <w:spacing w:val="-6"/>
        </w:rPr>
        <w:t xml:space="preserve"> </w:t>
      </w:r>
      <w:r>
        <w:t>than</w:t>
      </w:r>
      <w:r>
        <w:rPr>
          <w:spacing w:val="-6"/>
        </w:rPr>
        <w:t xml:space="preserve"> </w:t>
      </w:r>
      <w:r>
        <w:t>non-SD/non-EL</w:t>
      </w:r>
      <w:r>
        <w:rPr>
          <w:spacing w:val="-13"/>
        </w:rPr>
        <w:t xml:space="preserve"> </w:t>
      </w:r>
      <w:r>
        <w:t>students.</w:t>
      </w:r>
      <w:r>
        <w:rPr>
          <w:spacing w:val="-6"/>
        </w:rPr>
        <w:t xml:space="preserve"> </w:t>
      </w:r>
      <w:r>
        <w:t>In</w:t>
      </w:r>
      <w:r>
        <w:rPr>
          <w:spacing w:val="-6"/>
        </w:rPr>
        <w:t xml:space="preserve"> </w:t>
      </w:r>
      <w:r>
        <w:t>addition,</w:t>
      </w:r>
      <w:r>
        <w:rPr>
          <w:spacing w:val="-6"/>
        </w:rPr>
        <w:t xml:space="preserve"> </w:t>
      </w:r>
      <w:r>
        <w:t>the</w:t>
      </w:r>
      <w:r>
        <w:rPr>
          <w:spacing w:val="-6"/>
        </w:rPr>
        <w:t xml:space="preserve"> </w:t>
      </w:r>
      <w:r>
        <w:t>students</w:t>
      </w:r>
      <w:r>
        <w:rPr>
          <w:spacing w:val="-6"/>
        </w:rPr>
        <w:t xml:space="preserve"> </w:t>
      </w:r>
      <w:r>
        <w:t>in</w:t>
      </w:r>
      <w:r>
        <w:rPr>
          <w:spacing w:val="-6"/>
        </w:rPr>
        <w:t xml:space="preserve"> </w:t>
      </w:r>
      <w:r>
        <w:t>the</w:t>
      </w:r>
      <w:r>
        <w:rPr>
          <w:spacing w:val="-6"/>
        </w:rPr>
        <w:t xml:space="preserve"> </w:t>
      </w:r>
      <w:r>
        <w:t>SD</w:t>
      </w:r>
      <w:r>
        <w:rPr>
          <w:spacing w:val="-6"/>
        </w:rPr>
        <w:t xml:space="preserve"> </w:t>
      </w:r>
      <w:r>
        <w:t>or</w:t>
      </w:r>
      <w:r>
        <w:rPr>
          <w:spacing w:val="-6"/>
        </w:rPr>
        <w:t xml:space="preserve"> </w:t>
      </w:r>
      <w:r>
        <w:t>EL</w:t>
      </w:r>
      <w:r>
        <w:rPr>
          <w:spacing w:val="-13"/>
        </w:rPr>
        <w:t xml:space="preserve"> </w:t>
      </w:r>
      <w:r>
        <w:t>groups</w:t>
      </w:r>
      <w:r>
        <w:rPr>
          <w:spacing w:val="-6"/>
        </w:rPr>
        <w:t xml:space="preserve"> </w:t>
      </w:r>
      <w:r>
        <w:t>are</w:t>
      </w:r>
      <w:r>
        <w:rPr>
          <w:spacing w:val="-6"/>
        </w:rPr>
        <w:t xml:space="preserve"> </w:t>
      </w:r>
      <w:r>
        <w:t>further</w:t>
      </w:r>
      <w:r>
        <w:rPr>
          <w:spacing w:val="-6"/>
        </w:rPr>
        <w:t xml:space="preserve"> </w:t>
      </w:r>
      <w:r>
        <w:t>broken</w:t>
      </w:r>
      <w:r>
        <w:rPr>
          <w:spacing w:val="-6"/>
        </w:rPr>
        <w:t xml:space="preserve"> </w:t>
      </w:r>
      <w:r>
        <w:t>down</w:t>
      </w:r>
      <w:r>
        <w:rPr>
          <w:spacing w:val="-6"/>
        </w:rPr>
        <w:t xml:space="preserve"> </w:t>
      </w:r>
      <w:r>
        <w:t>by</w:t>
      </w:r>
      <w:r>
        <w:rPr>
          <w:spacing w:val="-6"/>
        </w:rPr>
        <w:t xml:space="preserve"> </w:t>
      </w:r>
      <w:r>
        <w:t>subject,</w:t>
      </w:r>
      <w:r>
        <w:rPr>
          <w:spacing w:val="-6"/>
        </w:rPr>
        <w:t xml:space="preserve"> </w:t>
      </w:r>
      <w:r>
        <w:t>since</w:t>
      </w:r>
      <w:r>
        <w:rPr>
          <w:spacing w:val="-6"/>
        </w:rPr>
        <w:t xml:space="preserve"> </w:t>
      </w:r>
      <w:r>
        <w:t>rules</w:t>
      </w:r>
      <w:r>
        <w:rPr>
          <w:spacing w:val="-6"/>
        </w:rPr>
        <w:t xml:space="preserve"> </w:t>
      </w:r>
      <w:r>
        <w:t>for</w:t>
      </w:r>
      <w:r>
        <w:rPr>
          <w:spacing w:val="-6"/>
        </w:rPr>
        <w:t xml:space="preserve"> </w:t>
      </w:r>
      <w:r>
        <w:t>excluding</w:t>
      </w:r>
      <w:r>
        <w:rPr>
          <w:spacing w:val="-6"/>
        </w:rPr>
        <w:t xml:space="preserve"> </w:t>
      </w:r>
      <w:r>
        <w:t>students from the assessment generally differ by subject. Non-SD and non-EL</w:t>
      </w:r>
      <w:r>
        <w:rPr>
          <w:spacing w:val="-7"/>
        </w:rPr>
        <w:t xml:space="preserve"> </w:t>
      </w:r>
      <w:r>
        <w:t>students are not broken down by subject, since the exclusion rules do not apply to them.</w:t>
      </w:r>
    </w:p>
    <w:p w:rsidR="003F5784" w14:paraId="02733374" w14:textId="77777777">
      <w:pPr>
        <w:pStyle w:val="Heading2"/>
        <w:spacing w:before="204"/>
        <w:ind w:left="109"/>
      </w:pPr>
      <w:r>
        <w:t>National</w:t>
      </w:r>
      <w:r>
        <w:rPr>
          <w:spacing w:val="-11"/>
        </w:rPr>
        <w:t xml:space="preserve"> </w:t>
      </w:r>
      <w:r>
        <w:t>Public</w:t>
      </w:r>
      <w:r>
        <w:rPr>
          <w:spacing w:val="-6"/>
        </w:rPr>
        <w:t xml:space="preserve"> </w:t>
      </w:r>
      <w:r>
        <w:t>School</w:t>
      </w:r>
      <w:r>
        <w:rPr>
          <w:spacing w:val="-7"/>
        </w:rPr>
        <w:t xml:space="preserve"> </w:t>
      </w:r>
      <w:r>
        <w:t>Samples</w:t>
      </w:r>
      <w:r>
        <w:rPr>
          <w:spacing w:val="-7"/>
        </w:rPr>
        <w:t xml:space="preserve"> </w:t>
      </w:r>
      <w:r>
        <w:t>for</w:t>
      </w:r>
      <w:r>
        <w:rPr>
          <w:spacing w:val="-10"/>
        </w:rPr>
        <w:t xml:space="preserve"> </w:t>
      </w:r>
      <w:r>
        <w:t>Civics</w:t>
      </w:r>
      <w:r>
        <w:rPr>
          <w:spacing w:val="-7"/>
        </w:rPr>
        <w:t xml:space="preserve"> </w:t>
      </w:r>
      <w:r>
        <w:t>and</w:t>
      </w:r>
      <w:r>
        <w:rPr>
          <w:spacing w:val="-7"/>
        </w:rPr>
        <w:t xml:space="preserve"> </w:t>
      </w:r>
      <w:r>
        <w:t>U.S.</w:t>
      </w:r>
      <w:r>
        <w:rPr>
          <w:spacing w:val="-7"/>
        </w:rPr>
        <w:t xml:space="preserve"> </w:t>
      </w:r>
      <w:r>
        <w:t>History</w:t>
      </w:r>
      <w:r>
        <w:rPr>
          <w:spacing w:val="-13"/>
        </w:rPr>
        <w:t xml:space="preserve"> </w:t>
      </w:r>
      <w:r>
        <w:t>Assessments</w:t>
      </w:r>
      <w:r>
        <w:rPr>
          <w:spacing w:val="-6"/>
        </w:rPr>
        <w:t xml:space="preserve"> </w:t>
      </w:r>
      <w:r>
        <w:t>at</w:t>
      </w:r>
      <w:r>
        <w:rPr>
          <w:spacing w:val="-7"/>
        </w:rPr>
        <w:t xml:space="preserve"> </w:t>
      </w:r>
      <w:r>
        <w:t>Grade</w:t>
      </w:r>
      <w:r>
        <w:rPr>
          <w:spacing w:val="-7"/>
        </w:rPr>
        <w:t xml:space="preserve"> </w:t>
      </w:r>
      <w:r>
        <w:rPr>
          <w:spacing w:val="-10"/>
        </w:rPr>
        <w:t>8</w:t>
      </w:r>
    </w:p>
    <w:p w:rsidR="003F5784" w14:paraId="18899C78" w14:textId="77777777">
      <w:pPr>
        <w:pStyle w:val="BodyText"/>
        <w:spacing w:before="3" w:line="440" w:lineRule="atLeast"/>
        <w:ind w:left="422" w:right="5979" w:hanging="313"/>
      </w:pPr>
      <w:r>
        <w:t>The</w:t>
      </w:r>
      <w:r>
        <w:rPr>
          <w:spacing w:val="-8"/>
        </w:rPr>
        <w:t xml:space="preserve"> </w:t>
      </w:r>
      <w:r>
        <w:t>initial</w:t>
      </w:r>
      <w:r>
        <w:rPr>
          <w:spacing w:val="-8"/>
        </w:rPr>
        <w:t xml:space="preserve"> </w:t>
      </w:r>
      <w:r>
        <w:t>student</w:t>
      </w:r>
      <w:r>
        <w:rPr>
          <w:spacing w:val="-8"/>
        </w:rPr>
        <w:t xml:space="preserve"> </w:t>
      </w:r>
      <w:r>
        <w:t>nonresponse</w:t>
      </w:r>
      <w:r>
        <w:rPr>
          <w:spacing w:val="-8"/>
        </w:rPr>
        <w:t xml:space="preserve"> </w:t>
      </w:r>
      <w:r>
        <w:t>cells</w:t>
      </w:r>
      <w:r>
        <w:rPr>
          <w:spacing w:val="-8"/>
        </w:rPr>
        <w:t xml:space="preserve"> </w:t>
      </w:r>
      <w:r>
        <w:t>for</w:t>
      </w:r>
      <w:r>
        <w:rPr>
          <w:spacing w:val="-8"/>
        </w:rPr>
        <w:t xml:space="preserve"> </w:t>
      </w:r>
      <w:r>
        <w:t>these</w:t>
      </w:r>
      <w:r>
        <w:rPr>
          <w:spacing w:val="-8"/>
        </w:rPr>
        <w:t xml:space="preserve"> </w:t>
      </w:r>
      <w:r>
        <w:t>samples</w:t>
      </w:r>
      <w:r>
        <w:rPr>
          <w:spacing w:val="-8"/>
        </w:rPr>
        <w:t xml:space="preserve"> </w:t>
      </w:r>
      <w:r>
        <w:t>were</w:t>
      </w:r>
      <w:r>
        <w:rPr>
          <w:spacing w:val="-8"/>
        </w:rPr>
        <w:t xml:space="preserve"> </w:t>
      </w:r>
      <w:r>
        <w:t>defined</w:t>
      </w:r>
      <w:r>
        <w:rPr>
          <w:spacing w:val="-8"/>
        </w:rPr>
        <w:t xml:space="preserve"> </w:t>
      </w:r>
      <w:r>
        <w:t>using</w:t>
      </w:r>
      <w:r>
        <w:rPr>
          <w:spacing w:val="-8"/>
        </w:rPr>
        <w:t xml:space="preserve"> </w:t>
      </w:r>
      <w:r>
        <w:t>the</w:t>
      </w:r>
      <w:r>
        <w:rPr>
          <w:spacing w:val="-8"/>
        </w:rPr>
        <w:t xml:space="preserve"> </w:t>
      </w:r>
      <w:r>
        <w:t>following</w:t>
      </w:r>
      <w:r>
        <w:rPr>
          <w:spacing w:val="-8"/>
        </w:rPr>
        <w:t xml:space="preserve"> </w:t>
      </w:r>
      <w:r>
        <w:t>nesting</w:t>
      </w:r>
      <w:r>
        <w:rPr>
          <w:spacing w:val="-8"/>
        </w:rPr>
        <w:t xml:space="preserve"> </w:t>
      </w:r>
      <w:r>
        <w:t xml:space="preserve">structure: </w:t>
      </w:r>
      <w:r>
        <w:rPr>
          <w:noProof/>
          <w:position w:val="3"/>
        </w:rPr>
        <w:drawing>
          <wp:inline distT="0" distB="0" distL="0" distR="0">
            <wp:extent cx="41379" cy="41378"/>
            <wp:effectExtent l="0" t="0" r="0" b="0"/>
            <wp:docPr id="565" name="Image 565"/>
            <wp:cNvGraphicFramePr/>
            <a:graphic xmlns:a="http://schemas.openxmlformats.org/drawingml/2006/main">
              <a:graphicData uri="http://schemas.openxmlformats.org/drawingml/2006/picture">
                <pic:pic xmlns:pic="http://schemas.openxmlformats.org/drawingml/2006/picture">
                  <pic:nvPicPr>
                    <pic:cNvPr id="565" name="Image 565"/>
                    <pic:cNvPicPr/>
                  </pic:nvPicPr>
                  <pic:blipFill>
                    <a:blip xmlns:r="http://schemas.openxmlformats.org/officeDocument/2006/relationships" r:embed="rId456" cstate="print"/>
                    <a:stretch>
                      <a:fillRect/>
                    </a:stretch>
                  </pic:blipFill>
                  <pic:spPr>
                    <a:xfrm>
                      <a:off x="0" y="0"/>
                      <a:ext cx="41379" cy="41378"/>
                    </a:xfrm>
                    <a:prstGeom prst="rect">
                      <a:avLst/>
                    </a:prstGeom>
                  </pic:spPr>
                </pic:pic>
              </a:graphicData>
            </a:graphic>
          </wp:inline>
        </w:drawing>
      </w:r>
      <w:r>
        <w:rPr>
          <w:spacing w:val="80"/>
        </w:rPr>
        <w:t xml:space="preserve"> </w:t>
      </w:r>
      <w:r>
        <w:t>SD/EL by subject;</w:t>
      </w:r>
    </w:p>
    <w:p w:rsidR="003F5784" w14:paraId="72446B54" w14:textId="77777777">
      <w:pPr>
        <w:pStyle w:val="BodyText"/>
        <w:spacing w:line="234" w:lineRule="exact"/>
        <w:ind w:left="422"/>
      </w:pPr>
      <w:r>
        <w:rPr>
          <w:noProof/>
          <w:position w:val="3"/>
        </w:rPr>
        <w:drawing>
          <wp:inline distT="0" distB="0" distL="0" distR="0">
            <wp:extent cx="41379" cy="41378"/>
            <wp:effectExtent l="0" t="0" r="0" b="0"/>
            <wp:docPr id="566" name="Image 566"/>
            <wp:cNvGraphicFramePr/>
            <a:graphic xmlns:a="http://schemas.openxmlformats.org/drawingml/2006/main">
              <a:graphicData uri="http://schemas.openxmlformats.org/drawingml/2006/picture">
                <pic:pic xmlns:pic="http://schemas.openxmlformats.org/drawingml/2006/picture">
                  <pic:nvPicPr>
                    <pic:cNvPr id="566" name="Image 566"/>
                    <pic:cNvPicPr/>
                  </pic:nvPicPr>
                  <pic:blipFill>
                    <a:blip xmlns:r="http://schemas.openxmlformats.org/officeDocument/2006/relationships" r:embed="rId457" cstate="print"/>
                    <a:stretch>
                      <a:fillRect/>
                    </a:stretch>
                  </pic:blipFill>
                  <pic:spPr>
                    <a:xfrm>
                      <a:off x="0" y="0"/>
                      <a:ext cx="41379" cy="41378"/>
                    </a:xfrm>
                    <a:prstGeom prst="rect">
                      <a:avLst/>
                    </a:prstGeom>
                  </pic:spPr>
                </pic:pic>
              </a:graphicData>
            </a:graphic>
          </wp:inline>
        </w:drawing>
      </w:r>
      <w:r>
        <w:rPr>
          <w:spacing w:val="80"/>
          <w:sz w:val="20"/>
        </w:rPr>
        <w:t xml:space="preserve"> </w:t>
      </w:r>
      <w:r>
        <w:t>school nonresponse cell;</w:t>
      </w:r>
    </w:p>
    <w:p w:rsidR="003F5784" w14:paraId="45D66E26" w14:textId="3247808A">
      <w:pPr>
        <w:pStyle w:val="BodyText"/>
        <w:spacing w:before="2" w:line="232" w:lineRule="auto"/>
        <w:ind w:left="422" w:right="8245"/>
      </w:pPr>
      <w:r>
        <w:rPr>
          <w:noProof/>
          <w:position w:val="3"/>
        </w:rPr>
        <w:drawing>
          <wp:inline distT="0" distB="0" distL="0" distR="0">
            <wp:extent cx="41379" cy="41378"/>
            <wp:effectExtent l="0" t="0" r="0" b="0"/>
            <wp:docPr id="567" name="Image 567"/>
            <wp:cNvGraphicFramePr/>
            <a:graphic xmlns:a="http://schemas.openxmlformats.org/drawingml/2006/main">
              <a:graphicData uri="http://schemas.openxmlformats.org/drawingml/2006/picture">
                <pic:pic xmlns:pic="http://schemas.openxmlformats.org/drawingml/2006/picture">
                  <pic:nvPicPr>
                    <pic:cNvPr id="567" name="Image 567"/>
                    <pic:cNvPicPr/>
                  </pic:nvPicPr>
                  <pic:blipFill>
                    <a:blip xmlns:r="http://schemas.openxmlformats.org/officeDocument/2006/relationships" r:embed="rId458" cstate="print"/>
                    <a:stretch>
                      <a:fillRect/>
                    </a:stretch>
                  </pic:blipFill>
                  <pic:spPr>
                    <a:xfrm>
                      <a:off x="0" y="0"/>
                      <a:ext cx="41379" cy="41378"/>
                    </a:xfrm>
                    <a:prstGeom prst="rect">
                      <a:avLst/>
                    </a:prstGeom>
                  </pic:spPr>
                </pic:pic>
              </a:graphicData>
            </a:graphic>
          </wp:inline>
        </w:drawing>
      </w:r>
      <w:r>
        <w:rPr>
          <w:spacing w:val="77"/>
          <w:sz w:val="20"/>
        </w:rPr>
        <w:t xml:space="preserve"> </w:t>
      </w:r>
      <w:r>
        <w:t>age</w:t>
      </w:r>
      <w:r>
        <w:rPr>
          <w:spacing w:val="-7"/>
        </w:rPr>
        <w:t xml:space="preserve"> </w:t>
      </w:r>
      <w:r>
        <w:t>(classified</w:t>
      </w:r>
      <w:r>
        <w:rPr>
          <w:spacing w:val="-7"/>
        </w:rPr>
        <w:t xml:space="preserve"> </w:t>
      </w:r>
      <w:r>
        <w:t>into</w:t>
      </w:r>
      <w:r>
        <w:rPr>
          <w:spacing w:val="-7"/>
        </w:rPr>
        <w:t xml:space="preserve"> </w:t>
      </w:r>
      <w:r>
        <w:t>"older"</w:t>
      </w:r>
      <w:r>
        <w:rPr>
          <w:spacing w:val="-7"/>
        </w:rPr>
        <w:t xml:space="preserve"> </w:t>
      </w:r>
      <w:r>
        <w:t>student</w:t>
      </w:r>
      <w:r>
        <w:rPr>
          <w:spacing w:val="-7"/>
        </w:rPr>
        <w:t xml:space="preserve"> </w:t>
      </w:r>
      <w:r>
        <w:t>and</w:t>
      </w:r>
      <w:r>
        <w:rPr>
          <w:spacing w:val="-7"/>
        </w:rPr>
        <w:t xml:space="preserve"> </w:t>
      </w:r>
      <w:r>
        <w:t>"modal</w:t>
      </w:r>
      <w:r>
        <w:rPr>
          <w:spacing w:val="-7"/>
        </w:rPr>
        <w:t xml:space="preserve"> </w:t>
      </w:r>
      <w:r>
        <w:t>age</w:t>
      </w:r>
      <w:r>
        <w:rPr>
          <w:spacing w:val="-7"/>
        </w:rPr>
        <w:t xml:space="preserve"> </w:t>
      </w:r>
      <w:r>
        <w:t>or</w:t>
      </w:r>
      <w:r>
        <w:rPr>
          <w:spacing w:val="-7"/>
        </w:rPr>
        <w:t xml:space="preserve"> </w:t>
      </w:r>
      <w:r>
        <w:t>younger"</w:t>
      </w:r>
      <w:r>
        <w:rPr>
          <w:spacing w:val="-7"/>
        </w:rPr>
        <w:t xml:space="preserve"> </w:t>
      </w:r>
      <w:r>
        <w:t xml:space="preserve">student); </w:t>
      </w:r>
      <w:r>
        <w:rPr>
          <w:noProof/>
          <w:position w:val="3"/>
        </w:rPr>
        <w:drawing>
          <wp:inline distT="0" distB="0" distL="0" distR="0">
            <wp:extent cx="41379" cy="41378"/>
            <wp:effectExtent l="0" t="0" r="0" b="0"/>
            <wp:docPr id="568" name="Image 568"/>
            <wp:cNvGraphicFramePr/>
            <a:graphic xmlns:a="http://schemas.openxmlformats.org/drawingml/2006/main">
              <a:graphicData uri="http://schemas.openxmlformats.org/drawingml/2006/picture">
                <pic:pic xmlns:pic="http://schemas.openxmlformats.org/drawingml/2006/picture">
                  <pic:nvPicPr>
                    <pic:cNvPr id="568" name="Image 568"/>
                    <pic:cNvPicPr/>
                  </pic:nvPicPr>
                  <pic:blipFill>
                    <a:blip xmlns:r="http://schemas.openxmlformats.org/officeDocument/2006/relationships" r:embed="rId459" cstate="print"/>
                    <a:stretch>
                      <a:fillRect/>
                    </a:stretch>
                  </pic:blipFill>
                  <pic:spPr>
                    <a:xfrm>
                      <a:off x="0" y="0"/>
                      <a:ext cx="41379" cy="41378"/>
                    </a:xfrm>
                    <a:prstGeom prst="rect">
                      <a:avLst/>
                    </a:prstGeom>
                  </pic:spPr>
                </pic:pic>
              </a:graphicData>
            </a:graphic>
          </wp:inline>
        </w:drawing>
      </w:r>
      <w:r>
        <w:rPr>
          <w:spacing w:val="80"/>
        </w:rPr>
        <w:t xml:space="preserve"> </w:t>
      </w:r>
      <w:r w:rsidR="00B4162D">
        <w:t>sex</w:t>
      </w:r>
      <w:r>
        <w:t>; and</w:t>
      </w:r>
    </w:p>
    <w:p w:rsidR="003F5784" w14:paraId="4E4C92BA" w14:textId="77777777">
      <w:pPr>
        <w:pStyle w:val="BodyText"/>
        <w:spacing w:line="236" w:lineRule="exact"/>
        <w:ind w:left="422"/>
      </w:pPr>
      <w:r>
        <w:rPr>
          <w:noProof/>
          <w:position w:val="3"/>
        </w:rPr>
        <w:drawing>
          <wp:inline distT="0" distB="0" distL="0" distR="0">
            <wp:extent cx="41379" cy="41378"/>
            <wp:effectExtent l="0" t="0" r="0" b="0"/>
            <wp:docPr id="569" name="Image 569"/>
            <wp:cNvGraphicFramePr/>
            <a:graphic xmlns:a="http://schemas.openxmlformats.org/drawingml/2006/main">
              <a:graphicData uri="http://schemas.openxmlformats.org/drawingml/2006/picture">
                <pic:pic xmlns:pic="http://schemas.openxmlformats.org/drawingml/2006/picture">
                  <pic:nvPicPr>
                    <pic:cNvPr id="569" name="Image 569"/>
                    <pic:cNvPicPr/>
                  </pic:nvPicPr>
                  <pic:blipFill>
                    <a:blip xmlns:r="http://schemas.openxmlformats.org/officeDocument/2006/relationships" r:embed="rId460" cstate="print"/>
                    <a:stretch>
                      <a:fillRect/>
                    </a:stretch>
                  </pic:blipFill>
                  <pic:spPr>
                    <a:xfrm>
                      <a:off x="0" y="0"/>
                      <a:ext cx="41379" cy="41378"/>
                    </a:xfrm>
                    <a:prstGeom prst="rect">
                      <a:avLst/>
                    </a:prstGeom>
                  </pic:spPr>
                </pic:pic>
              </a:graphicData>
            </a:graphic>
          </wp:inline>
        </w:drawing>
      </w:r>
      <w:r>
        <w:rPr>
          <w:spacing w:val="80"/>
          <w:sz w:val="20"/>
        </w:rPr>
        <w:t xml:space="preserve"> </w:t>
      </w:r>
      <w:r>
        <w:t>race/ethnicity.</w:t>
      </w:r>
    </w:p>
    <w:p w:rsidR="003F5784" w14:paraId="6AA5CB20" w14:textId="77777777">
      <w:pPr>
        <w:pStyle w:val="Heading2"/>
        <w:spacing w:before="202"/>
        <w:ind w:left="109"/>
      </w:pPr>
      <w:r>
        <w:t>National</w:t>
      </w:r>
      <w:r>
        <w:rPr>
          <w:spacing w:val="-14"/>
        </w:rPr>
        <w:t xml:space="preserve"> </w:t>
      </w:r>
      <w:r>
        <w:t>Public</w:t>
      </w:r>
      <w:r>
        <w:rPr>
          <w:spacing w:val="-13"/>
        </w:rPr>
        <w:t xml:space="preserve"> </w:t>
      </w:r>
      <w:r>
        <w:t>School</w:t>
      </w:r>
      <w:r>
        <w:rPr>
          <w:spacing w:val="-8"/>
        </w:rPr>
        <w:t xml:space="preserve"> </w:t>
      </w:r>
      <w:r>
        <w:t>Samples</w:t>
      </w:r>
      <w:r>
        <w:rPr>
          <w:spacing w:val="-8"/>
        </w:rPr>
        <w:t xml:space="preserve"> </w:t>
      </w:r>
      <w:r>
        <w:t>for</w:t>
      </w:r>
      <w:r>
        <w:rPr>
          <w:spacing w:val="-12"/>
        </w:rPr>
        <w:t xml:space="preserve"> </w:t>
      </w:r>
      <w:r>
        <w:t>Mathematics</w:t>
      </w:r>
      <w:r>
        <w:rPr>
          <w:spacing w:val="-8"/>
        </w:rPr>
        <w:t xml:space="preserve"> </w:t>
      </w:r>
      <w:r>
        <w:t>and</w:t>
      </w:r>
      <w:r>
        <w:rPr>
          <w:spacing w:val="-9"/>
        </w:rPr>
        <w:t xml:space="preserve"> </w:t>
      </w:r>
      <w:r>
        <w:t>Reading</w:t>
      </w:r>
      <w:r>
        <w:rPr>
          <w:spacing w:val="-8"/>
        </w:rPr>
        <w:t xml:space="preserve"> </w:t>
      </w:r>
      <w:r>
        <w:t>LTT</w:t>
      </w:r>
      <w:r>
        <w:rPr>
          <w:spacing w:val="-16"/>
        </w:rPr>
        <w:t xml:space="preserve"> </w:t>
      </w:r>
      <w:r>
        <w:t>Assessments</w:t>
      </w:r>
      <w:r>
        <w:rPr>
          <w:spacing w:val="-8"/>
        </w:rPr>
        <w:t xml:space="preserve"> </w:t>
      </w:r>
      <w:r>
        <w:t>at</w:t>
      </w:r>
      <w:r>
        <w:rPr>
          <w:spacing w:val="-13"/>
        </w:rPr>
        <w:t xml:space="preserve"> </w:t>
      </w:r>
      <w:r>
        <w:t>Ages</w:t>
      </w:r>
      <w:r>
        <w:rPr>
          <w:spacing w:val="-9"/>
        </w:rPr>
        <w:t xml:space="preserve"> </w:t>
      </w:r>
      <w:r>
        <w:t>9</w:t>
      </w:r>
      <w:r>
        <w:rPr>
          <w:spacing w:val="-8"/>
        </w:rPr>
        <w:t xml:space="preserve"> </w:t>
      </w:r>
      <w:r>
        <w:t>and</w:t>
      </w:r>
      <w:r>
        <w:rPr>
          <w:spacing w:val="-8"/>
        </w:rPr>
        <w:t xml:space="preserve"> </w:t>
      </w:r>
      <w:r>
        <w:rPr>
          <w:spacing w:val="-5"/>
        </w:rPr>
        <w:t>13</w:t>
      </w:r>
    </w:p>
    <w:p w:rsidR="003F5784" w14:paraId="756E777E" w14:textId="77777777">
      <w:pPr>
        <w:pStyle w:val="BodyText"/>
        <w:spacing w:before="3" w:line="440" w:lineRule="atLeast"/>
        <w:ind w:left="422" w:right="5979" w:hanging="313"/>
      </w:pPr>
      <w:r>
        <w:t>The</w:t>
      </w:r>
      <w:r>
        <w:rPr>
          <w:spacing w:val="-8"/>
        </w:rPr>
        <w:t xml:space="preserve"> </w:t>
      </w:r>
      <w:r>
        <w:t>initial</w:t>
      </w:r>
      <w:r>
        <w:rPr>
          <w:spacing w:val="-8"/>
        </w:rPr>
        <w:t xml:space="preserve"> </w:t>
      </w:r>
      <w:r>
        <w:t>student</w:t>
      </w:r>
      <w:r>
        <w:rPr>
          <w:spacing w:val="-8"/>
        </w:rPr>
        <w:t xml:space="preserve"> </w:t>
      </w:r>
      <w:r>
        <w:t>nonresponse</w:t>
      </w:r>
      <w:r>
        <w:rPr>
          <w:spacing w:val="-8"/>
        </w:rPr>
        <w:t xml:space="preserve"> </w:t>
      </w:r>
      <w:r>
        <w:t>cells</w:t>
      </w:r>
      <w:r>
        <w:rPr>
          <w:spacing w:val="-8"/>
        </w:rPr>
        <w:t xml:space="preserve"> </w:t>
      </w:r>
      <w:r>
        <w:t>for</w:t>
      </w:r>
      <w:r>
        <w:rPr>
          <w:spacing w:val="-8"/>
        </w:rPr>
        <w:t xml:space="preserve"> </w:t>
      </w:r>
      <w:r>
        <w:t>these</w:t>
      </w:r>
      <w:r>
        <w:rPr>
          <w:spacing w:val="-8"/>
        </w:rPr>
        <w:t xml:space="preserve"> </w:t>
      </w:r>
      <w:r>
        <w:t>samples</w:t>
      </w:r>
      <w:r>
        <w:rPr>
          <w:spacing w:val="-8"/>
        </w:rPr>
        <w:t xml:space="preserve"> </w:t>
      </w:r>
      <w:r>
        <w:t>were</w:t>
      </w:r>
      <w:r>
        <w:rPr>
          <w:spacing w:val="-8"/>
        </w:rPr>
        <w:t xml:space="preserve"> </w:t>
      </w:r>
      <w:r>
        <w:t>defined</w:t>
      </w:r>
      <w:r>
        <w:rPr>
          <w:spacing w:val="-8"/>
        </w:rPr>
        <w:t xml:space="preserve"> </w:t>
      </w:r>
      <w:r>
        <w:t>using</w:t>
      </w:r>
      <w:r>
        <w:rPr>
          <w:spacing w:val="-8"/>
        </w:rPr>
        <w:t xml:space="preserve"> </w:t>
      </w:r>
      <w:r>
        <w:t>the</w:t>
      </w:r>
      <w:r>
        <w:rPr>
          <w:spacing w:val="-8"/>
        </w:rPr>
        <w:t xml:space="preserve"> </w:t>
      </w:r>
      <w:r>
        <w:t>following</w:t>
      </w:r>
      <w:r>
        <w:rPr>
          <w:spacing w:val="-8"/>
        </w:rPr>
        <w:t xml:space="preserve"> </w:t>
      </w:r>
      <w:r>
        <w:t>nesting</w:t>
      </w:r>
      <w:r>
        <w:rPr>
          <w:spacing w:val="-8"/>
        </w:rPr>
        <w:t xml:space="preserve"> </w:t>
      </w:r>
      <w:r>
        <w:t xml:space="preserve">structure: </w:t>
      </w:r>
      <w:r>
        <w:rPr>
          <w:noProof/>
          <w:position w:val="3"/>
        </w:rPr>
        <w:drawing>
          <wp:inline distT="0" distB="0" distL="0" distR="0">
            <wp:extent cx="41379" cy="41378"/>
            <wp:effectExtent l="0" t="0" r="0" b="0"/>
            <wp:docPr id="570" name="Image 570"/>
            <wp:cNvGraphicFramePr/>
            <a:graphic xmlns:a="http://schemas.openxmlformats.org/drawingml/2006/main">
              <a:graphicData uri="http://schemas.openxmlformats.org/drawingml/2006/picture">
                <pic:pic xmlns:pic="http://schemas.openxmlformats.org/drawingml/2006/picture">
                  <pic:nvPicPr>
                    <pic:cNvPr id="570" name="Image 570"/>
                    <pic:cNvPicPr/>
                  </pic:nvPicPr>
                  <pic:blipFill>
                    <a:blip xmlns:r="http://schemas.openxmlformats.org/officeDocument/2006/relationships" r:embed="rId461" cstate="print"/>
                    <a:stretch>
                      <a:fillRect/>
                    </a:stretch>
                  </pic:blipFill>
                  <pic:spPr>
                    <a:xfrm>
                      <a:off x="0" y="0"/>
                      <a:ext cx="41379" cy="41378"/>
                    </a:xfrm>
                    <a:prstGeom prst="rect">
                      <a:avLst/>
                    </a:prstGeom>
                  </pic:spPr>
                </pic:pic>
              </a:graphicData>
            </a:graphic>
          </wp:inline>
        </w:drawing>
      </w:r>
      <w:r>
        <w:rPr>
          <w:spacing w:val="80"/>
        </w:rPr>
        <w:t xml:space="preserve"> </w:t>
      </w:r>
      <w:r>
        <w:t>SD/EL by subject;</w:t>
      </w:r>
    </w:p>
    <w:p w:rsidR="003F5784" w14:paraId="29EB1A0E" w14:textId="77777777">
      <w:pPr>
        <w:pStyle w:val="BodyText"/>
        <w:spacing w:line="234" w:lineRule="exact"/>
        <w:ind w:left="422"/>
      </w:pPr>
      <w:r>
        <w:rPr>
          <w:noProof/>
          <w:position w:val="3"/>
        </w:rPr>
        <w:drawing>
          <wp:inline distT="0" distB="0" distL="0" distR="0">
            <wp:extent cx="41379" cy="41378"/>
            <wp:effectExtent l="0" t="0" r="0" b="0"/>
            <wp:docPr id="571" name="Image 571"/>
            <wp:cNvGraphicFramePr/>
            <a:graphic xmlns:a="http://schemas.openxmlformats.org/drawingml/2006/main">
              <a:graphicData uri="http://schemas.openxmlformats.org/drawingml/2006/picture">
                <pic:pic xmlns:pic="http://schemas.openxmlformats.org/drawingml/2006/picture">
                  <pic:nvPicPr>
                    <pic:cNvPr id="571" name="Image 571"/>
                    <pic:cNvPicPr/>
                  </pic:nvPicPr>
                  <pic:blipFill>
                    <a:blip xmlns:r="http://schemas.openxmlformats.org/officeDocument/2006/relationships" r:embed="rId462" cstate="print"/>
                    <a:stretch>
                      <a:fillRect/>
                    </a:stretch>
                  </pic:blipFill>
                  <pic:spPr>
                    <a:xfrm>
                      <a:off x="0" y="0"/>
                      <a:ext cx="41379" cy="41378"/>
                    </a:xfrm>
                    <a:prstGeom prst="rect">
                      <a:avLst/>
                    </a:prstGeom>
                  </pic:spPr>
                </pic:pic>
              </a:graphicData>
            </a:graphic>
          </wp:inline>
        </w:drawing>
      </w:r>
      <w:r>
        <w:rPr>
          <w:spacing w:val="80"/>
          <w:sz w:val="20"/>
        </w:rPr>
        <w:t xml:space="preserve"> </w:t>
      </w:r>
      <w:r>
        <w:t>school nonresponse cell;</w:t>
      </w:r>
    </w:p>
    <w:p w:rsidR="003F5784" w14:paraId="3B535989" w14:textId="177C13E9">
      <w:pPr>
        <w:pStyle w:val="BodyText"/>
        <w:spacing w:before="3" w:line="232" w:lineRule="auto"/>
        <w:ind w:left="422" w:right="9151"/>
      </w:pPr>
      <w:r>
        <w:rPr>
          <w:noProof/>
          <w:position w:val="3"/>
        </w:rPr>
        <w:drawing>
          <wp:inline distT="0" distB="0" distL="0" distR="0">
            <wp:extent cx="41379" cy="41378"/>
            <wp:effectExtent l="0" t="0" r="0" b="0"/>
            <wp:docPr id="572" name="Image 572"/>
            <wp:cNvGraphicFramePr/>
            <a:graphic xmlns:a="http://schemas.openxmlformats.org/drawingml/2006/main">
              <a:graphicData uri="http://schemas.openxmlformats.org/drawingml/2006/picture">
                <pic:pic xmlns:pic="http://schemas.openxmlformats.org/drawingml/2006/picture">
                  <pic:nvPicPr>
                    <pic:cNvPr id="572" name="Image 572"/>
                    <pic:cNvPicPr/>
                  </pic:nvPicPr>
                  <pic:blipFill>
                    <a:blip xmlns:r="http://schemas.openxmlformats.org/officeDocument/2006/relationships" r:embed="rId463" cstate="print"/>
                    <a:stretch>
                      <a:fillRect/>
                    </a:stretch>
                  </pic:blipFill>
                  <pic:spPr>
                    <a:xfrm>
                      <a:off x="0" y="0"/>
                      <a:ext cx="41379" cy="41378"/>
                    </a:xfrm>
                    <a:prstGeom prst="rect">
                      <a:avLst/>
                    </a:prstGeom>
                  </pic:spPr>
                </pic:pic>
              </a:graphicData>
            </a:graphic>
          </wp:inline>
        </w:drawing>
      </w:r>
      <w:r>
        <w:rPr>
          <w:spacing w:val="74"/>
          <w:sz w:val="20"/>
        </w:rPr>
        <w:t xml:space="preserve"> </w:t>
      </w:r>
      <w:r>
        <w:t>categorized</w:t>
      </w:r>
      <w:r>
        <w:rPr>
          <w:spacing w:val="-8"/>
        </w:rPr>
        <w:t xml:space="preserve"> </w:t>
      </w:r>
      <w:r>
        <w:t>grade</w:t>
      </w:r>
      <w:r>
        <w:rPr>
          <w:spacing w:val="-8"/>
        </w:rPr>
        <w:t xml:space="preserve"> </w:t>
      </w:r>
      <w:r>
        <w:t>(classified</w:t>
      </w:r>
      <w:r>
        <w:rPr>
          <w:spacing w:val="-8"/>
        </w:rPr>
        <w:t xml:space="preserve"> </w:t>
      </w:r>
      <w:r>
        <w:t>into</w:t>
      </w:r>
      <w:r>
        <w:rPr>
          <w:spacing w:val="-8"/>
        </w:rPr>
        <w:t xml:space="preserve"> </w:t>
      </w:r>
      <w:r>
        <w:t>"lower"</w:t>
      </w:r>
      <w:r>
        <w:rPr>
          <w:spacing w:val="-8"/>
        </w:rPr>
        <w:t xml:space="preserve"> </w:t>
      </w:r>
      <w:r>
        <w:t>and</w:t>
      </w:r>
      <w:r>
        <w:rPr>
          <w:spacing w:val="-8"/>
        </w:rPr>
        <w:t xml:space="preserve"> </w:t>
      </w:r>
      <w:r>
        <w:t>"upper"</w:t>
      </w:r>
      <w:r>
        <w:rPr>
          <w:spacing w:val="-8"/>
        </w:rPr>
        <w:t xml:space="preserve"> </w:t>
      </w:r>
      <w:r>
        <w:t xml:space="preserve">grade); </w:t>
      </w:r>
      <w:r>
        <w:rPr>
          <w:noProof/>
          <w:position w:val="3"/>
        </w:rPr>
        <w:drawing>
          <wp:inline distT="0" distB="0" distL="0" distR="0">
            <wp:extent cx="41379" cy="41378"/>
            <wp:effectExtent l="0" t="0" r="0" b="0"/>
            <wp:docPr id="573" name="Image 573"/>
            <wp:cNvGraphicFramePr/>
            <a:graphic xmlns:a="http://schemas.openxmlformats.org/drawingml/2006/main">
              <a:graphicData uri="http://schemas.openxmlformats.org/drawingml/2006/picture">
                <pic:pic xmlns:pic="http://schemas.openxmlformats.org/drawingml/2006/picture">
                  <pic:nvPicPr>
                    <pic:cNvPr id="573" name="Image 573"/>
                    <pic:cNvPicPr/>
                  </pic:nvPicPr>
                  <pic:blipFill>
                    <a:blip xmlns:r="http://schemas.openxmlformats.org/officeDocument/2006/relationships" r:embed="rId464" cstate="print"/>
                    <a:stretch>
                      <a:fillRect/>
                    </a:stretch>
                  </pic:blipFill>
                  <pic:spPr>
                    <a:xfrm>
                      <a:off x="0" y="0"/>
                      <a:ext cx="41379" cy="41378"/>
                    </a:xfrm>
                    <a:prstGeom prst="rect">
                      <a:avLst/>
                    </a:prstGeom>
                  </pic:spPr>
                </pic:pic>
              </a:graphicData>
            </a:graphic>
          </wp:inline>
        </w:drawing>
      </w:r>
      <w:r>
        <w:rPr>
          <w:spacing w:val="80"/>
        </w:rPr>
        <w:t xml:space="preserve"> </w:t>
      </w:r>
      <w:r w:rsidR="00B4162D">
        <w:t>sex</w:t>
      </w:r>
      <w:r>
        <w:t>; and</w:t>
      </w:r>
    </w:p>
    <w:p w:rsidR="003F5784" w14:paraId="079EBD6E" w14:textId="77777777">
      <w:pPr>
        <w:pStyle w:val="BodyText"/>
        <w:spacing w:line="236" w:lineRule="exact"/>
        <w:ind w:left="422"/>
      </w:pPr>
      <w:r>
        <w:rPr>
          <w:noProof/>
          <w:position w:val="3"/>
        </w:rPr>
        <w:drawing>
          <wp:inline distT="0" distB="0" distL="0" distR="0">
            <wp:extent cx="41379" cy="41378"/>
            <wp:effectExtent l="0" t="0" r="0" b="0"/>
            <wp:docPr id="574" name="Image 574"/>
            <wp:cNvGraphicFramePr/>
            <a:graphic xmlns:a="http://schemas.openxmlformats.org/drawingml/2006/main">
              <a:graphicData uri="http://schemas.openxmlformats.org/drawingml/2006/picture">
                <pic:pic xmlns:pic="http://schemas.openxmlformats.org/drawingml/2006/picture">
                  <pic:nvPicPr>
                    <pic:cNvPr id="574" name="Image 574"/>
                    <pic:cNvPicPr/>
                  </pic:nvPicPr>
                  <pic:blipFill>
                    <a:blip xmlns:r="http://schemas.openxmlformats.org/officeDocument/2006/relationships" r:embed="rId465" cstate="print"/>
                    <a:stretch>
                      <a:fillRect/>
                    </a:stretch>
                  </pic:blipFill>
                  <pic:spPr>
                    <a:xfrm>
                      <a:off x="0" y="0"/>
                      <a:ext cx="41379" cy="41378"/>
                    </a:xfrm>
                    <a:prstGeom prst="rect">
                      <a:avLst/>
                    </a:prstGeom>
                  </pic:spPr>
                </pic:pic>
              </a:graphicData>
            </a:graphic>
          </wp:inline>
        </w:drawing>
      </w:r>
      <w:r>
        <w:rPr>
          <w:spacing w:val="80"/>
          <w:sz w:val="20"/>
        </w:rPr>
        <w:t xml:space="preserve"> </w:t>
      </w:r>
      <w:r>
        <w:t>race/ethnicity.</w:t>
      </w:r>
    </w:p>
    <w:p w:rsidR="003F5784" w14:paraId="6FD5E493" w14:textId="77777777">
      <w:pPr>
        <w:pStyle w:val="Heading2"/>
        <w:spacing w:before="201"/>
        <w:ind w:left="109"/>
      </w:pPr>
      <w:r>
        <w:t>National</w:t>
      </w:r>
      <w:r>
        <w:rPr>
          <w:spacing w:val="-11"/>
        </w:rPr>
        <w:t xml:space="preserve"> </w:t>
      </w:r>
      <w:r>
        <w:t>Private</w:t>
      </w:r>
      <w:r>
        <w:rPr>
          <w:spacing w:val="-7"/>
        </w:rPr>
        <w:t xml:space="preserve"> </w:t>
      </w:r>
      <w:r>
        <w:t>School</w:t>
      </w:r>
      <w:r>
        <w:rPr>
          <w:spacing w:val="-7"/>
        </w:rPr>
        <w:t xml:space="preserve"> </w:t>
      </w:r>
      <w:r>
        <w:t>Samples</w:t>
      </w:r>
      <w:r>
        <w:rPr>
          <w:spacing w:val="-7"/>
        </w:rPr>
        <w:t xml:space="preserve"> </w:t>
      </w:r>
      <w:r>
        <w:t>for</w:t>
      </w:r>
      <w:r>
        <w:rPr>
          <w:spacing w:val="-11"/>
        </w:rPr>
        <w:t xml:space="preserve"> </w:t>
      </w:r>
      <w:r>
        <w:t>Mathematics</w:t>
      </w:r>
      <w:r>
        <w:rPr>
          <w:spacing w:val="-7"/>
        </w:rPr>
        <w:t xml:space="preserve"> </w:t>
      </w:r>
      <w:r>
        <w:t>and</w:t>
      </w:r>
      <w:r>
        <w:rPr>
          <w:spacing w:val="-7"/>
        </w:rPr>
        <w:t xml:space="preserve"> </w:t>
      </w:r>
      <w:r>
        <w:t>Reading</w:t>
      </w:r>
      <w:r>
        <w:rPr>
          <w:spacing w:val="-13"/>
        </w:rPr>
        <w:t xml:space="preserve"> </w:t>
      </w:r>
      <w:r>
        <w:t>Assessments</w:t>
      </w:r>
      <w:r>
        <w:rPr>
          <w:spacing w:val="-7"/>
        </w:rPr>
        <w:t xml:space="preserve"> </w:t>
      </w:r>
      <w:r>
        <w:t>at</w:t>
      </w:r>
      <w:r>
        <w:rPr>
          <w:spacing w:val="-7"/>
        </w:rPr>
        <w:t xml:space="preserve"> </w:t>
      </w:r>
      <w:r>
        <w:t>Grades</w:t>
      </w:r>
      <w:r>
        <w:rPr>
          <w:spacing w:val="-7"/>
        </w:rPr>
        <w:t xml:space="preserve"> </w:t>
      </w:r>
      <w:r>
        <w:t>4</w:t>
      </w:r>
      <w:r>
        <w:rPr>
          <w:spacing w:val="-7"/>
        </w:rPr>
        <w:t xml:space="preserve"> </w:t>
      </w:r>
      <w:r>
        <w:t>and</w:t>
      </w:r>
      <w:r>
        <w:rPr>
          <w:spacing w:val="-7"/>
        </w:rPr>
        <w:t xml:space="preserve"> </w:t>
      </w:r>
      <w:r>
        <w:rPr>
          <w:spacing w:val="-10"/>
        </w:rPr>
        <w:t>8</w:t>
      </w:r>
    </w:p>
    <w:p w:rsidR="003F5784" w14:paraId="7BAEBD68" w14:textId="77777777">
      <w:pPr>
        <w:pStyle w:val="BodyText"/>
        <w:spacing w:before="3" w:line="440" w:lineRule="atLeast"/>
        <w:ind w:left="422" w:right="4537" w:hanging="313"/>
      </w:pPr>
      <w:r>
        <w:t>The</w:t>
      </w:r>
      <w:r>
        <w:rPr>
          <w:spacing w:val="-7"/>
        </w:rPr>
        <w:t xml:space="preserve"> </w:t>
      </w:r>
      <w:r>
        <w:t>initial</w:t>
      </w:r>
      <w:r>
        <w:rPr>
          <w:spacing w:val="-7"/>
        </w:rPr>
        <w:t xml:space="preserve"> </w:t>
      </w:r>
      <w:r>
        <w:t>weighting</w:t>
      </w:r>
      <w:r>
        <w:rPr>
          <w:spacing w:val="-7"/>
        </w:rPr>
        <w:t xml:space="preserve"> </w:t>
      </w:r>
      <w:r>
        <w:t>cells</w:t>
      </w:r>
      <w:r>
        <w:rPr>
          <w:spacing w:val="-7"/>
        </w:rPr>
        <w:t xml:space="preserve"> </w:t>
      </w:r>
      <w:r>
        <w:t>for</w:t>
      </w:r>
      <w:r>
        <w:rPr>
          <w:spacing w:val="-7"/>
        </w:rPr>
        <w:t xml:space="preserve"> </w:t>
      </w:r>
      <w:r>
        <w:t>these</w:t>
      </w:r>
      <w:r>
        <w:rPr>
          <w:spacing w:val="-7"/>
        </w:rPr>
        <w:t xml:space="preserve"> </w:t>
      </w:r>
      <w:r>
        <w:t>private</w:t>
      </w:r>
      <w:r>
        <w:rPr>
          <w:spacing w:val="-7"/>
        </w:rPr>
        <w:t xml:space="preserve"> </w:t>
      </w:r>
      <w:r>
        <w:t>school</w:t>
      </w:r>
      <w:r>
        <w:rPr>
          <w:spacing w:val="-7"/>
        </w:rPr>
        <w:t xml:space="preserve"> </w:t>
      </w:r>
      <w:r>
        <w:t>samples</w:t>
      </w:r>
      <w:r>
        <w:rPr>
          <w:spacing w:val="-7"/>
        </w:rPr>
        <w:t xml:space="preserve"> </w:t>
      </w:r>
      <w:r>
        <w:t>were</w:t>
      </w:r>
      <w:r>
        <w:rPr>
          <w:spacing w:val="-7"/>
        </w:rPr>
        <w:t xml:space="preserve"> </w:t>
      </w:r>
      <w:r>
        <w:t>formed</w:t>
      </w:r>
      <w:r>
        <w:rPr>
          <w:spacing w:val="-7"/>
        </w:rPr>
        <w:t xml:space="preserve"> </w:t>
      </w:r>
      <w:r>
        <w:t>using</w:t>
      </w:r>
      <w:r>
        <w:rPr>
          <w:spacing w:val="-7"/>
        </w:rPr>
        <w:t xml:space="preserve"> </w:t>
      </w:r>
      <w:r>
        <w:t>the</w:t>
      </w:r>
      <w:r>
        <w:rPr>
          <w:spacing w:val="-7"/>
        </w:rPr>
        <w:t xml:space="preserve"> </w:t>
      </w:r>
      <w:r>
        <w:t>following</w:t>
      </w:r>
      <w:r>
        <w:rPr>
          <w:spacing w:val="-7"/>
        </w:rPr>
        <w:t xml:space="preserve"> </w:t>
      </w:r>
      <w:r>
        <w:t>nesting</w:t>
      </w:r>
      <w:r>
        <w:rPr>
          <w:spacing w:val="-7"/>
        </w:rPr>
        <w:t xml:space="preserve"> </w:t>
      </w:r>
      <w:r>
        <w:t>structure</w:t>
      </w:r>
      <w:r>
        <w:rPr>
          <w:spacing w:val="-7"/>
        </w:rPr>
        <w:t xml:space="preserve"> </w:t>
      </w:r>
      <w:r>
        <w:t>within</w:t>
      </w:r>
      <w:r>
        <w:rPr>
          <w:spacing w:val="-7"/>
        </w:rPr>
        <w:t xml:space="preserve"> </w:t>
      </w:r>
      <w:r>
        <w:t xml:space="preserve">grade: </w:t>
      </w:r>
      <w:r>
        <w:rPr>
          <w:noProof/>
          <w:position w:val="3"/>
        </w:rPr>
        <w:drawing>
          <wp:inline distT="0" distB="0" distL="0" distR="0">
            <wp:extent cx="41379" cy="41378"/>
            <wp:effectExtent l="0" t="0" r="0" b="0"/>
            <wp:docPr id="575" name="Image 575"/>
            <wp:cNvGraphicFramePr/>
            <a:graphic xmlns:a="http://schemas.openxmlformats.org/drawingml/2006/main">
              <a:graphicData uri="http://schemas.openxmlformats.org/drawingml/2006/picture">
                <pic:pic xmlns:pic="http://schemas.openxmlformats.org/drawingml/2006/picture">
                  <pic:nvPicPr>
                    <pic:cNvPr id="575" name="Image 575"/>
                    <pic:cNvPicPr/>
                  </pic:nvPicPr>
                  <pic:blipFill>
                    <a:blip xmlns:r="http://schemas.openxmlformats.org/officeDocument/2006/relationships" r:embed="rId466" cstate="print"/>
                    <a:stretch>
                      <a:fillRect/>
                    </a:stretch>
                  </pic:blipFill>
                  <pic:spPr>
                    <a:xfrm>
                      <a:off x="0" y="0"/>
                      <a:ext cx="41379" cy="41378"/>
                    </a:xfrm>
                    <a:prstGeom prst="rect">
                      <a:avLst/>
                    </a:prstGeom>
                  </pic:spPr>
                </pic:pic>
              </a:graphicData>
            </a:graphic>
          </wp:inline>
        </w:drawing>
      </w:r>
      <w:r>
        <w:rPr>
          <w:spacing w:val="40"/>
        </w:rPr>
        <w:t xml:space="preserve"> </w:t>
      </w:r>
      <w:r>
        <w:t>SD/EL;</w:t>
      </w:r>
    </w:p>
    <w:p w:rsidR="003F5784" w14:paraId="79A52F18" w14:textId="77777777">
      <w:pPr>
        <w:pStyle w:val="BodyText"/>
        <w:spacing w:line="234" w:lineRule="exact"/>
        <w:ind w:left="422"/>
      </w:pPr>
      <w:r>
        <w:rPr>
          <w:noProof/>
          <w:position w:val="3"/>
        </w:rPr>
        <w:drawing>
          <wp:inline distT="0" distB="0" distL="0" distR="0">
            <wp:extent cx="41379" cy="41378"/>
            <wp:effectExtent l="0" t="0" r="0" b="0"/>
            <wp:docPr id="576" name="Image 576"/>
            <wp:cNvGraphicFramePr/>
            <a:graphic xmlns:a="http://schemas.openxmlformats.org/drawingml/2006/main">
              <a:graphicData uri="http://schemas.openxmlformats.org/drawingml/2006/picture">
                <pic:pic xmlns:pic="http://schemas.openxmlformats.org/drawingml/2006/picture">
                  <pic:nvPicPr>
                    <pic:cNvPr id="576" name="Image 576"/>
                    <pic:cNvPicPr/>
                  </pic:nvPicPr>
                  <pic:blipFill>
                    <a:blip xmlns:r="http://schemas.openxmlformats.org/officeDocument/2006/relationships" r:embed="rId467" cstate="print"/>
                    <a:stretch>
                      <a:fillRect/>
                    </a:stretch>
                  </pic:blipFill>
                  <pic:spPr>
                    <a:xfrm>
                      <a:off x="0" y="0"/>
                      <a:ext cx="41379" cy="41378"/>
                    </a:xfrm>
                    <a:prstGeom prst="rect">
                      <a:avLst/>
                    </a:prstGeom>
                  </pic:spPr>
                </pic:pic>
              </a:graphicData>
            </a:graphic>
          </wp:inline>
        </w:drawing>
      </w:r>
      <w:r>
        <w:rPr>
          <w:spacing w:val="80"/>
          <w:sz w:val="20"/>
        </w:rPr>
        <w:t xml:space="preserve"> </w:t>
      </w:r>
      <w:r>
        <w:t>school nonresponse cell;</w:t>
      </w:r>
    </w:p>
    <w:p w:rsidR="003F5784" w14:paraId="510CB6B6" w14:textId="665696E6">
      <w:pPr>
        <w:pStyle w:val="BodyText"/>
        <w:spacing w:before="3" w:line="232" w:lineRule="auto"/>
        <w:ind w:left="422" w:right="8245"/>
      </w:pPr>
      <w:r>
        <w:rPr>
          <w:noProof/>
          <w:position w:val="3"/>
        </w:rPr>
        <w:drawing>
          <wp:inline distT="0" distB="0" distL="0" distR="0">
            <wp:extent cx="41379" cy="41378"/>
            <wp:effectExtent l="0" t="0" r="0" b="0"/>
            <wp:docPr id="577" name="Image 577"/>
            <wp:cNvGraphicFramePr/>
            <a:graphic xmlns:a="http://schemas.openxmlformats.org/drawingml/2006/main">
              <a:graphicData uri="http://schemas.openxmlformats.org/drawingml/2006/picture">
                <pic:pic xmlns:pic="http://schemas.openxmlformats.org/drawingml/2006/picture">
                  <pic:nvPicPr>
                    <pic:cNvPr id="577" name="Image 577"/>
                    <pic:cNvPicPr/>
                  </pic:nvPicPr>
                  <pic:blipFill>
                    <a:blip xmlns:r="http://schemas.openxmlformats.org/officeDocument/2006/relationships" r:embed="rId464" cstate="print"/>
                    <a:stretch>
                      <a:fillRect/>
                    </a:stretch>
                  </pic:blipFill>
                  <pic:spPr>
                    <a:xfrm>
                      <a:off x="0" y="0"/>
                      <a:ext cx="41379" cy="41378"/>
                    </a:xfrm>
                    <a:prstGeom prst="rect">
                      <a:avLst/>
                    </a:prstGeom>
                  </pic:spPr>
                </pic:pic>
              </a:graphicData>
            </a:graphic>
          </wp:inline>
        </w:drawing>
      </w:r>
      <w:r>
        <w:rPr>
          <w:spacing w:val="77"/>
          <w:sz w:val="20"/>
        </w:rPr>
        <w:t xml:space="preserve"> </w:t>
      </w:r>
      <w:r>
        <w:t>age</w:t>
      </w:r>
      <w:r>
        <w:rPr>
          <w:spacing w:val="-7"/>
        </w:rPr>
        <w:t xml:space="preserve"> </w:t>
      </w:r>
      <w:r>
        <w:t>(classified</w:t>
      </w:r>
      <w:r>
        <w:rPr>
          <w:spacing w:val="-7"/>
        </w:rPr>
        <w:t xml:space="preserve"> </w:t>
      </w:r>
      <w:r>
        <w:t>into</w:t>
      </w:r>
      <w:r>
        <w:rPr>
          <w:spacing w:val="-7"/>
        </w:rPr>
        <w:t xml:space="preserve"> </w:t>
      </w:r>
      <w:r>
        <w:t>"older"</w:t>
      </w:r>
      <w:r>
        <w:rPr>
          <w:spacing w:val="-7"/>
        </w:rPr>
        <w:t xml:space="preserve"> </w:t>
      </w:r>
      <w:r>
        <w:t>student</w:t>
      </w:r>
      <w:r>
        <w:rPr>
          <w:spacing w:val="-7"/>
        </w:rPr>
        <w:t xml:space="preserve"> </w:t>
      </w:r>
      <w:r>
        <w:t>and</w:t>
      </w:r>
      <w:r>
        <w:rPr>
          <w:spacing w:val="-7"/>
        </w:rPr>
        <w:t xml:space="preserve"> </w:t>
      </w:r>
      <w:r>
        <w:t>"modal</w:t>
      </w:r>
      <w:r>
        <w:rPr>
          <w:spacing w:val="-7"/>
        </w:rPr>
        <w:t xml:space="preserve"> </w:t>
      </w:r>
      <w:r>
        <w:t>age</w:t>
      </w:r>
      <w:r>
        <w:rPr>
          <w:spacing w:val="-7"/>
        </w:rPr>
        <w:t xml:space="preserve"> </w:t>
      </w:r>
      <w:r>
        <w:t>or</w:t>
      </w:r>
      <w:r>
        <w:rPr>
          <w:spacing w:val="-7"/>
        </w:rPr>
        <w:t xml:space="preserve"> </w:t>
      </w:r>
      <w:r>
        <w:t>younger"</w:t>
      </w:r>
      <w:r>
        <w:rPr>
          <w:spacing w:val="-7"/>
        </w:rPr>
        <w:t xml:space="preserve"> </w:t>
      </w:r>
      <w:r>
        <w:t xml:space="preserve">student); </w:t>
      </w:r>
      <w:r>
        <w:rPr>
          <w:noProof/>
          <w:position w:val="3"/>
        </w:rPr>
        <w:drawing>
          <wp:inline distT="0" distB="0" distL="0" distR="0">
            <wp:extent cx="41379" cy="41378"/>
            <wp:effectExtent l="0" t="0" r="0" b="0"/>
            <wp:docPr id="578" name="Image 578"/>
            <wp:cNvGraphicFramePr/>
            <a:graphic xmlns:a="http://schemas.openxmlformats.org/drawingml/2006/main">
              <a:graphicData uri="http://schemas.openxmlformats.org/drawingml/2006/picture">
                <pic:pic xmlns:pic="http://schemas.openxmlformats.org/drawingml/2006/picture">
                  <pic:nvPicPr>
                    <pic:cNvPr id="578" name="Image 578"/>
                    <pic:cNvPicPr/>
                  </pic:nvPicPr>
                  <pic:blipFill>
                    <a:blip xmlns:r="http://schemas.openxmlformats.org/officeDocument/2006/relationships" r:embed="rId468" cstate="print"/>
                    <a:stretch>
                      <a:fillRect/>
                    </a:stretch>
                  </pic:blipFill>
                  <pic:spPr>
                    <a:xfrm>
                      <a:off x="0" y="0"/>
                      <a:ext cx="41379" cy="41378"/>
                    </a:xfrm>
                    <a:prstGeom prst="rect">
                      <a:avLst/>
                    </a:prstGeom>
                  </pic:spPr>
                </pic:pic>
              </a:graphicData>
            </a:graphic>
          </wp:inline>
        </w:drawing>
      </w:r>
      <w:r>
        <w:rPr>
          <w:spacing w:val="80"/>
        </w:rPr>
        <w:t xml:space="preserve"> </w:t>
      </w:r>
      <w:r w:rsidR="00B4162D">
        <w:t>sex</w:t>
      </w:r>
      <w:r>
        <w:t>; and</w:t>
      </w:r>
    </w:p>
    <w:p w:rsidR="003F5784" w14:paraId="6FCA3BDB" w14:textId="77777777">
      <w:pPr>
        <w:pStyle w:val="BodyText"/>
        <w:spacing w:line="236" w:lineRule="exact"/>
        <w:ind w:left="422"/>
      </w:pPr>
      <w:r>
        <w:rPr>
          <w:noProof/>
          <w:position w:val="3"/>
        </w:rPr>
        <w:drawing>
          <wp:inline distT="0" distB="0" distL="0" distR="0">
            <wp:extent cx="41379" cy="41378"/>
            <wp:effectExtent l="0" t="0" r="0" b="0"/>
            <wp:docPr id="579" name="Image 579"/>
            <wp:cNvGraphicFramePr/>
            <a:graphic xmlns:a="http://schemas.openxmlformats.org/drawingml/2006/main">
              <a:graphicData uri="http://schemas.openxmlformats.org/drawingml/2006/picture">
                <pic:pic xmlns:pic="http://schemas.openxmlformats.org/drawingml/2006/picture">
                  <pic:nvPicPr>
                    <pic:cNvPr id="579" name="Image 579"/>
                    <pic:cNvPicPr/>
                  </pic:nvPicPr>
                  <pic:blipFill>
                    <a:blip xmlns:r="http://schemas.openxmlformats.org/officeDocument/2006/relationships" r:embed="rId469" cstate="print"/>
                    <a:stretch>
                      <a:fillRect/>
                    </a:stretch>
                  </pic:blipFill>
                  <pic:spPr>
                    <a:xfrm>
                      <a:off x="0" y="0"/>
                      <a:ext cx="41379" cy="41378"/>
                    </a:xfrm>
                    <a:prstGeom prst="rect">
                      <a:avLst/>
                    </a:prstGeom>
                  </pic:spPr>
                </pic:pic>
              </a:graphicData>
            </a:graphic>
          </wp:inline>
        </w:drawing>
      </w:r>
      <w:r>
        <w:rPr>
          <w:spacing w:val="80"/>
          <w:sz w:val="20"/>
        </w:rPr>
        <w:t xml:space="preserve"> </w:t>
      </w:r>
      <w:r>
        <w:t>race/ethnicity.</w:t>
      </w:r>
    </w:p>
    <w:p w:rsidR="003F5784" w14:paraId="3C67354C" w14:textId="77777777">
      <w:pPr>
        <w:pStyle w:val="BodyText"/>
        <w:spacing w:before="201"/>
        <w:ind w:left="109"/>
      </w:pPr>
      <w:r>
        <w:t>Although</w:t>
      </w:r>
      <w:r>
        <w:rPr>
          <w:spacing w:val="-6"/>
        </w:rPr>
        <w:t xml:space="preserve"> </w:t>
      </w:r>
      <w:r>
        <w:t>exclusion</w:t>
      </w:r>
      <w:r>
        <w:rPr>
          <w:spacing w:val="-5"/>
        </w:rPr>
        <w:t xml:space="preserve"> </w:t>
      </w:r>
      <w:r>
        <w:t>rules</w:t>
      </w:r>
      <w:r>
        <w:rPr>
          <w:spacing w:val="-5"/>
        </w:rPr>
        <w:t xml:space="preserve"> </w:t>
      </w:r>
      <w:r>
        <w:t>differ</w:t>
      </w:r>
      <w:r>
        <w:rPr>
          <w:spacing w:val="-6"/>
        </w:rPr>
        <w:t xml:space="preserve"> </w:t>
      </w:r>
      <w:r>
        <w:t>by</w:t>
      </w:r>
      <w:r>
        <w:rPr>
          <w:spacing w:val="-5"/>
        </w:rPr>
        <w:t xml:space="preserve"> </w:t>
      </w:r>
      <w:r>
        <w:t>subject,</w:t>
      </w:r>
      <w:r>
        <w:rPr>
          <w:spacing w:val="-5"/>
        </w:rPr>
        <w:t xml:space="preserve"> </w:t>
      </w:r>
      <w:r>
        <w:t>there</w:t>
      </w:r>
      <w:r>
        <w:rPr>
          <w:spacing w:val="-6"/>
        </w:rPr>
        <w:t xml:space="preserve"> </w:t>
      </w:r>
      <w:r>
        <w:t>were</w:t>
      </w:r>
      <w:r>
        <w:rPr>
          <w:spacing w:val="-5"/>
        </w:rPr>
        <w:t xml:space="preserve"> </w:t>
      </w:r>
      <w:r>
        <w:t>not</w:t>
      </w:r>
      <w:r>
        <w:rPr>
          <w:spacing w:val="-5"/>
        </w:rPr>
        <w:t xml:space="preserve"> </w:t>
      </w:r>
      <w:r>
        <w:t>enough</w:t>
      </w:r>
      <w:r>
        <w:rPr>
          <w:spacing w:val="-6"/>
        </w:rPr>
        <w:t xml:space="preserve"> </w:t>
      </w:r>
      <w:r>
        <w:t>SD</w:t>
      </w:r>
      <w:r>
        <w:rPr>
          <w:spacing w:val="-5"/>
        </w:rPr>
        <w:t xml:space="preserve"> </w:t>
      </w:r>
      <w:r>
        <w:t>or</w:t>
      </w:r>
      <w:r>
        <w:rPr>
          <w:spacing w:val="-5"/>
        </w:rPr>
        <w:t xml:space="preserve"> </w:t>
      </w:r>
      <w:r>
        <w:t>EL</w:t>
      </w:r>
      <w:r>
        <w:rPr>
          <w:spacing w:val="-13"/>
        </w:rPr>
        <w:t xml:space="preserve"> </w:t>
      </w:r>
      <w:r>
        <w:t>private</w:t>
      </w:r>
      <w:r>
        <w:rPr>
          <w:spacing w:val="-5"/>
        </w:rPr>
        <w:t xml:space="preserve"> </w:t>
      </w:r>
      <w:r>
        <w:t>school</w:t>
      </w:r>
      <w:r>
        <w:rPr>
          <w:spacing w:val="-6"/>
        </w:rPr>
        <w:t xml:space="preserve"> </w:t>
      </w:r>
      <w:r>
        <w:t>students</w:t>
      </w:r>
      <w:r>
        <w:rPr>
          <w:spacing w:val="-5"/>
        </w:rPr>
        <w:t xml:space="preserve"> </w:t>
      </w:r>
      <w:r>
        <w:t>to</w:t>
      </w:r>
      <w:r>
        <w:rPr>
          <w:spacing w:val="-5"/>
        </w:rPr>
        <w:t xml:space="preserve"> </w:t>
      </w:r>
      <w:r>
        <w:t>break</w:t>
      </w:r>
      <w:r>
        <w:rPr>
          <w:spacing w:val="-6"/>
        </w:rPr>
        <w:t xml:space="preserve"> </w:t>
      </w:r>
      <w:r>
        <w:t>out</w:t>
      </w:r>
      <w:r>
        <w:rPr>
          <w:spacing w:val="-5"/>
        </w:rPr>
        <w:t xml:space="preserve"> </w:t>
      </w:r>
      <w:r>
        <w:t>by</w:t>
      </w:r>
      <w:r>
        <w:rPr>
          <w:spacing w:val="-5"/>
        </w:rPr>
        <w:t xml:space="preserve"> </w:t>
      </w:r>
      <w:r>
        <w:t>subject</w:t>
      </w:r>
      <w:r>
        <w:rPr>
          <w:spacing w:val="-6"/>
        </w:rPr>
        <w:t xml:space="preserve"> </w:t>
      </w:r>
      <w:r>
        <w:t>as</w:t>
      </w:r>
      <w:r>
        <w:rPr>
          <w:spacing w:val="-5"/>
        </w:rPr>
        <w:t xml:space="preserve"> </w:t>
      </w:r>
      <w:r>
        <w:t>was</w:t>
      </w:r>
      <w:r>
        <w:rPr>
          <w:spacing w:val="-5"/>
        </w:rPr>
        <w:t xml:space="preserve"> </w:t>
      </w:r>
      <w:r>
        <w:t>done</w:t>
      </w:r>
      <w:r>
        <w:rPr>
          <w:spacing w:val="-6"/>
        </w:rPr>
        <w:t xml:space="preserve"> </w:t>
      </w:r>
      <w:r>
        <w:t>for</w:t>
      </w:r>
      <w:r>
        <w:rPr>
          <w:spacing w:val="-5"/>
        </w:rPr>
        <w:t xml:space="preserve"> </w:t>
      </w:r>
      <w:r>
        <w:t>the</w:t>
      </w:r>
      <w:r>
        <w:rPr>
          <w:spacing w:val="-5"/>
        </w:rPr>
        <w:t xml:space="preserve"> </w:t>
      </w:r>
      <w:r>
        <w:t>public</w:t>
      </w:r>
      <w:r>
        <w:rPr>
          <w:spacing w:val="-6"/>
        </w:rPr>
        <w:t xml:space="preserve"> </w:t>
      </w:r>
      <w:r>
        <w:rPr>
          <w:spacing w:val="-2"/>
        </w:rPr>
        <w:t>schools.</w:t>
      </w:r>
    </w:p>
    <w:p w:rsidR="003F5784" w14:paraId="5E747E72" w14:textId="77777777">
      <w:pPr>
        <w:pStyle w:val="Heading2"/>
        <w:spacing w:before="202"/>
        <w:ind w:left="109"/>
      </w:pPr>
      <w:r>
        <w:t>National</w:t>
      </w:r>
      <w:r>
        <w:rPr>
          <w:spacing w:val="-11"/>
        </w:rPr>
        <w:t xml:space="preserve"> </w:t>
      </w:r>
      <w:r>
        <w:t>Private</w:t>
      </w:r>
      <w:r>
        <w:rPr>
          <w:spacing w:val="-7"/>
        </w:rPr>
        <w:t xml:space="preserve"> </w:t>
      </w:r>
      <w:r>
        <w:t>School</w:t>
      </w:r>
      <w:r>
        <w:rPr>
          <w:spacing w:val="-6"/>
        </w:rPr>
        <w:t xml:space="preserve"> </w:t>
      </w:r>
      <w:r>
        <w:t>Samples</w:t>
      </w:r>
      <w:r>
        <w:rPr>
          <w:spacing w:val="-7"/>
        </w:rPr>
        <w:t xml:space="preserve"> </w:t>
      </w:r>
      <w:r>
        <w:t>for</w:t>
      </w:r>
      <w:r>
        <w:rPr>
          <w:spacing w:val="-11"/>
        </w:rPr>
        <w:t xml:space="preserve"> </w:t>
      </w:r>
      <w:r>
        <w:t>Civics</w:t>
      </w:r>
      <w:r>
        <w:rPr>
          <w:spacing w:val="-6"/>
        </w:rPr>
        <w:t xml:space="preserve"> </w:t>
      </w:r>
      <w:r>
        <w:t>and</w:t>
      </w:r>
      <w:r>
        <w:rPr>
          <w:spacing w:val="-7"/>
        </w:rPr>
        <w:t xml:space="preserve"> </w:t>
      </w:r>
      <w:r>
        <w:t>U.S.</w:t>
      </w:r>
      <w:r>
        <w:rPr>
          <w:spacing w:val="-7"/>
        </w:rPr>
        <w:t xml:space="preserve"> </w:t>
      </w:r>
      <w:r>
        <w:t>History</w:t>
      </w:r>
      <w:r>
        <w:rPr>
          <w:spacing w:val="-13"/>
        </w:rPr>
        <w:t xml:space="preserve"> </w:t>
      </w:r>
      <w:r>
        <w:t>Assessments</w:t>
      </w:r>
      <w:r>
        <w:rPr>
          <w:spacing w:val="-7"/>
        </w:rPr>
        <w:t xml:space="preserve"> </w:t>
      </w:r>
      <w:r>
        <w:t>at</w:t>
      </w:r>
      <w:r>
        <w:rPr>
          <w:spacing w:val="-7"/>
        </w:rPr>
        <w:t xml:space="preserve"> </w:t>
      </w:r>
      <w:r>
        <w:t>Grade</w:t>
      </w:r>
      <w:r>
        <w:rPr>
          <w:spacing w:val="-7"/>
        </w:rPr>
        <w:t xml:space="preserve"> </w:t>
      </w:r>
      <w:r>
        <w:rPr>
          <w:spacing w:val="-10"/>
        </w:rPr>
        <w:t>8</w:t>
      </w:r>
    </w:p>
    <w:p w:rsidR="003F5784" w14:paraId="3623D373" w14:textId="77777777">
      <w:pPr>
        <w:pStyle w:val="BodyText"/>
        <w:spacing w:before="3" w:line="440" w:lineRule="atLeast"/>
        <w:ind w:left="422" w:right="5635" w:hanging="313"/>
      </w:pPr>
      <w:r>
        <w:t>The</w:t>
      </w:r>
      <w:r>
        <w:rPr>
          <w:spacing w:val="-7"/>
        </w:rPr>
        <w:t xml:space="preserve"> </w:t>
      </w:r>
      <w:r>
        <w:t>initial</w:t>
      </w:r>
      <w:r>
        <w:rPr>
          <w:spacing w:val="-7"/>
        </w:rPr>
        <w:t xml:space="preserve"> </w:t>
      </w:r>
      <w:r>
        <w:t>weighting</w:t>
      </w:r>
      <w:r>
        <w:rPr>
          <w:spacing w:val="-7"/>
        </w:rPr>
        <w:t xml:space="preserve"> </w:t>
      </w:r>
      <w:r>
        <w:t>cells</w:t>
      </w:r>
      <w:r>
        <w:rPr>
          <w:spacing w:val="-7"/>
        </w:rPr>
        <w:t xml:space="preserve"> </w:t>
      </w:r>
      <w:r>
        <w:t>for</w:t>
      </w:r>
      <w:r>
        <w:rPr>
          <w:spacing w:val="-7"/>
        </w:rPr>
        <w:t xml:space="preserve"> </w:t>
      </w:r>
      <w:r>
        <w:t>these</w:t>
      </w:r>
      <w:r>
        <w:rPr>
          <w:spacing w:val="-7"/>
        </w:rPr>
        <w:t xml:space="preserve"> </w:t>
      </w:r>
      <w:r>
        <w:t>private</w:t>
      </w:r>
      <w:r>
        <w:rPr>
          <w:spacing w:val="-7"/>
        </w:rPr>
        <w:t xml:space="preserve"> </w:t>
      </w:r>
      <w:r>
        <w:t>school</w:t>
      </w:r>
      <w:r>
        <w:rPr>
          <w:spacing w:val="-7"/>
        </w:rPr>
        <w:t xml:space="preserve"> </w:t>
      </w:r>
      <w:r>
        <w:t>samples</w:t>
      </w:r>
      <w:r>
        <w:rPr>
          <w:spacing w:val="-7"/>
        </w:rPr>
        <w:t xml:space="preserve"> </w:t>
      </w:r>
      <w:r>
        <w:t>were</w:t>
      </w:r>
      <w:r>
        <w:rPr>
          <w:spacing w:val="-7"/>
        </w:rPr>
        <w:t xml:space="preserve"> </w:t>
      </w:r>
      <w:r>
        <w:t>formed</w:t>
      </w:r>
      <w:r>
        <w:rPr>
          <w:spacing w:val="-7"/>
        </w:rPr>
        <w:t xml:space="preserve"> </w:t>
      </w:r>
      <w:r>
        <w:t>using</w:t>
      </w:r>
      <w:r>
        <w:rPr>
          <w:spacing w:val="-7"/>
        </w:rPr>
        <w:t xml:space="preserve"> </w:t>
      </w:r>
      <w:r>
        <w:t>the</w:t>
      </w:r>
      <w:r>
        <w:rPr>
          <w:spacing w:val="-7"/>
        </w:rPr>
        <w:t xml:space="preserve"> </w:t>
      </w:r>
      <w:r>
        <w:t>following</w:t>
      </w:r>
      <w:r>
        <w:rPr>
          <w:spacing w:val="-7"/>
        </w:rPr>
        <w:t xml:space="preserve"> </w:t>
      </w:r>
      <w:r>
        <w:t>nesting</w:t>
      </w:r>
      <w:r>
        <w:rPr>
          <w:spacing w:val="-7"/>
        </w:rPr>
        <w:t xml:space="preserve"> </w:t>
      </w:r>
      <w:r>
        <w:t xml:space="preserve">structure: </w:t>
      </w:r>
      <w:r>
        <w:rPr>
          <w:noProof/>
          <w:position w:val="3"/>
        </w:rPr>
        <w:drawing>
          <wp:inline distT="0" distB="0" distL="0" distR="0">
            <wp:extent cx="41379" cy="41378"/>
            <wp:effectExtent l="0" t="0" r="0" b="0"/>
            <wp:docPr id="580" name="Image 580"/>
            <wp:cNvGraphicFramePr/>
            <a:graphic xmlns:a="http://schemas.openxmlformats.org/drawingml/2006/main">
              <a:graphicData uri="http://schemas.openxmlformats.org/drawingml/2006/picture">
                <pic:pic xmlns:pic="http://schemas.openxmlformats.org/drawingml/2006/picture">
                  <pic:nvPicPr>
                    <pic:cNvPr id="580" name="Image 580"/>
                    <pic:cNvPicPr/>
                  </pic:nvPicPr>
                  <pic:blipFill>
                    <a:blip xmlns:r="http://schemas.openxmlformats.org/officeDocument/2006/relationships" r:embed="rId470" cstate="print"/>
                    <a:stretch>
                      <a:fillRect/>
                    </a:stretch>
                  </pic:blipFill>
                  <pic:spPr>
                    <a:xfrm>
                      <a:off x="0" y="0"/>
                      <a:ext cx="41379" cy="41378"/>
                    </a:xfrm>
                    <a:prstGeom prst="rect">
                      <a:avLst/>
                    </a:prstGeom>
                  </pic:spPr>
                </pic:pic>
              </a:graphicData>
            </a:graphic>
          </wp:inline>
        </w:drawing>
      </w:r>
      <w:r>
        <w:rPr>
          <w:spacing w:val="40"/>
        </w:rPr>
        <w:t xml:space="preserve"> </w:t>
      </w:r>
      <w:r>
        <w:t>SD/EL;</w:t>
      </w:r>
    </w:p>
    <w:p w:rsidR="003F5784" w14:paraId="1773BC2B" w14:textId="77777777">
      <w:pPr>
        <w:pStyle w:val="BodyText"/>
        <w:spacing w:line="234" w:lineRule="exact"/>
        <w:ind w:left="422"/>
      </w:pPr>
      <w:r>
        <w:rPr>
          <w:noProof/>
          <w:position w:val="3"/>
        </w:rPr>
        <w:drawing>
          <wp:inline distT="0" distB="0" distL="0" distR="0">
            <wp:extent cx="41379" cy="41378"/>
            <wp:effectExtent l="0" t="0" r="0" b="0"/>
            <wp:docPr id="581" name="Image 581"/>
            <wp:cNvGraphicFramePr/>
            <a:graphic xmlns:a="http://schemas.openxmlformats.org/drawingml/2006/main">
              <a:graphicData uri="http://schemas.openxmlformats.org/drawingml/2006/picture">
                <pic:pic xmlns:pic="http://schemas.openxmlformats.org/drawingml/2006/picture">
                  <pic:nvPicPr>
                    <pic:cNvPr id="581" name="Image 581"/>
                    <pic:cNvPicPr/>
                  </pic:nvPicPr>
                  <pic:blipFill>
                    <a:blip xmlns:r="http://schemas.openxmlformats.org/officeDocument/2006/relationships" r:embed="rId471" cstate="print"/>
                    <a:stretch>
                      <a:fillRect/>
                    </a:stretch>
                  </pic:blipFill>
                  <pic:spPr>
                    <a:xfrm>
                      <a:off x="0" y="0"/>
                      <a:ext cx="41379" cy="41378"/>
                    </a:xfrm>
                    <a:prstGeom prst="rect">
                      <a:avLst/>
                    </a:prstGeom>
                  </pic:spPr>
                </pic:pic>
              </a:graphicData>
            </a:graphic>
          </wp:inline>
        </w:drawing>
      </w:r>
      <w:r>
        <w:rPr>
          <w:spacing w:val="80"/>
          <w:sz w:val="20"/>
        </w:rPr>
        <w:t xml:space="preserve"> </w:t>
      </w:r>
      <w:r>
        <w:t>school nonresponse cell;</w:t>
      </w:r>
    </w:p>
    <w:p w:rsidR="003F5784" w14:paraId="4E068BD8" w14:textId="1C775C69">
      <w:pPr>
        <w:pStyle w:val="BodyText"/>
        <w:spacing w:before="3" w:line="232" w:lineRule="auto"/>
        <w:ind w:left="422" w:right="8245"/>
      </w:pPr>
      <w:r>
        <w:rPr>
          <w:noProof/>
          <w:position w:val="3"/>
        </w:rPr>
        <w:drawing>
          <wp:inline distT="0" distB="0" distL="0" distR="0">
            <wp:extent cx="41379" cy="41378"/>
            <wp:effectExtent l="0" t="0" r="0" b="0"/>
            <wp:docPr id="582" name="Image 582"/>
            <wp:cNvGraphicFramePr/>
            <a:graphic xmlns:a="http://schemas.openxmlformats.org/drawingml/2006/main">
              <a:graphicData uri="http://schemas.openxmlformats.org/drawingml/2006/picture">
                <pic:pic xmlns:pic="http://schemas.openxmlformats.org/drawingml/2006/picture">
                  <pic:nvPicPr>
                    <pic:cNvPr id="582" name="Image 582"/>
                    <pic:cNvPicPr/>
                  </pic:nvPicPr>
                  <pic:blipFill>
                    <a:blip xmlns:r="http://schemas.openxmlformats.org/officeDocument/2006/relationships" r:embed="rId472" cstate="print"/>
                    <a:stretch>
                      <a:fillRect/>
                    </a:stretch>
                  </pic:blipFill>
                  <pic:spPr>
                    <a:xfrm>
                      <a:off x="0" y="0"/>
                      <a:ext cx="41379" cy="41378"/>
                    </a:xfrm>
                    <a:prstGeom prst="rect">
                      <a:avLst/>
                    </a:prstGeom>
                  </pic:spPr>
                </pic:pic>
              </a:graphicData>
            </a:graphic>
          </wp:inline>
        </w:drawing>
      </w:r>
      <w:r>
        <w:rPr>
          <w:spacing w:val="77"/>
          <w:sz w:val="20"/>
        </w:rPr>
        <w:t xml:space="preserve"> </w:t>
      </w:r>
      <w:r>
        <w:t>age</w:t>
      </w:r>
      <w:r>
        <w:rPr>
          <w:spacing w:val="-7"/>
        </w:rPr>
        <w:t xml:space="preserve"> </w:t>
      </w:r>
      <w:r>
        <w:t>(classified</w:t>
      </w:r>
      <w:r>
        <w:rPr>
          <w:spacing w:val="-7"/>
        </w:rPr>
        <w:t xml:space="preserve"> </w:t>
      </w:r>
      <w:r>
        <w:t>into</w:t>
      </w:r>
      <w:r>
        <w:rPr>
          <w:spacing w:val="-7"/>
        </w:rPr>
        <w:t xml:space="preserve"> </w:t>
      </w:r>
      <w:r>
        <w:t>"older"</w:t>
      </w:r>
      <w:r>
        <w:rPr>
          <w:spacing w:val="-7"/>
        </w:rPr>
        <w:t xml:space="preserve"> </w:t>
      </w:r>
      <w:r>
        <w:t>student</w:t>
      </w:r>
      <w:r>
        <w:rPr>
          <w:spacing w:val="-7"/>
        </w:rPr>
        <w:t xml:space="preserve"> </w:t>
      </w:r>
      <w:r>
        <w:t>and</w:t>
      </w:r>
      <w:r>
        <w:rPr>
          <w:spacing w:val="-7"/>
        </w:rPr>
        <w:t xml:space="preserve"> </w:t>
      </w:r>
      <w:r>
        <w:t>"modal</w:t>
      </w:r>
      <w:r>
        <w:rPr>
          <w:spacing w:val="-7"/>
        </w:rPr>
        <w:t xml:space="preserve"> </w:t>
      </w:r>
      <w:r>
        <w:t>age</w:t>
      </w:r>
      <w:r>
        <w:rPr>
          <w:spacing w:val="-7"/>
        </w:rPr>
        <w:t xml:space="preserve"> </w:t>
      </w:r>
      <w:r>
        <w:t>or</w:t>
      </w:r>
      <w:r>
        <w:rPr>
          <w:spacing w:val="-7"/>
        </w:rPr>
        <w:t xml:space="preserve"> </w:t>
      </w:r>
      <w:r>
        <w:t>younger"</w:t>
      </w:r>
      <w:r>
        <w:rPr>
          <w:spacing w:val="-7"/>
        </w:rPr>
        <w:t xml:space="preserve"> </w:t>
      </w:r>
      <w:r>
        <w:t xml:space="preserve">student); </w:t>
      </w:r>
      <w:r>
        <w:rPr>
          <w:noProof/>
          <w:position w:val="3"/>
        </w:rPr>
        <w:drawing>
          <wp:inline distT="0" distB="0" distL="0" distR="0">
            <wp:extent cx="41379" cy="41378"/>
            <wp:effectExtent l="0" t="0" r="0" b="0"/>
            <wp:docPr id="583" name="Image 583"/>
            <wp:cNvGraphicFramePr/>
            <a:graphic xmlns:a="http://schemas.openxmlformats.org/drawingml/2006/main">
              <a:graphicData uri="http://schemas.openxmlformats.org/drawingml/2006/picture">
                <pic:pic xmlns:pic="http://schemas.openxmlformats.org/drawingml/2006/picture">
                  <pic:nvPicPr>
                    <pic:cNvPr id="583" name="Image 583"/>
                    <pic:cNvPicPr/>
                  </pic:nvPicPr>
                  <pic:blipFill>
                    <a:blip xmlns:r="http://schemas.openxmlformats.org/officeDocument/2006/relationships" r:embed="rId473" cstate="print"/>
                    <a:stretch>
                      <a:fillRect/>
                    </a:stretch>
                  </pic:blipFill>
                  <pic:spPr>
                    <a:xfrm>
                      <a:off x="0" y="0"/>
                      <a:ext cx="41379" cy="41378"/>
                    </a:xfrm>
                    <a:prstGeom prst="rect">
                      <a:avLst/>
                    </a:prstGeom>
                  </pic:spPr>
                </pic:pic>
              </a:graphicData>
            </a:graphic>
          </wp:inline>
        </w:drawing>
      </w:r>
      <w:r>
        <w:rPr>
          <w:spacing w:val="80"/>
        </w:rPr>
        <w:t xml:space="preserve"> </w:t>
      </w:r>
      <w:r w:rsidR="00B4162D">
        <w:t>sex</w:t>
      </w:r>
      <w:r>
        <w:t>; and</w:t>
      </w:r>
    </w:p>
    <w:p w:rsidR="003F5784" w14:paraId="6C2FCF95" w14:textId="77777777">
      <w:pPr>
        <w:pStyle w:val="BodyText"/>
        <w:spacing w:line="236" w:lineRule="exact"/>
        <w:ind w:left="422"/>
      </w:pPr>
      <w:r>
        <w:rPr>
          <w:noProof/>
          <w:position w:val="3"/>
        </w:rPr>
        <w:drawing>
          <wp:inline distT="0" distB="0" distL="0" distR="0">
            <wp:extent cx="41379" cy="41378"/>
            <wp:effectExtent l="0" t="0" r="0" b="0"/>
            <wp:docPr id="584" name="Image 584"/>
            <wp:cNvGraphicFramePr/>
            <a:graphic xmlns:a="http://schemas.openxmlformats.org/drawingml/2006/main">
              <a:graphicData uri="http://schemas.openxmlformats.org/drawingml/2006/picture">
                <pic:pic xmlns:pic="http://schemas.openxmlformats.org/drawingml/2006/picture">
                  <pic:nvPicPr>
                    <pic:cNvPr id="584" name="Image 584"/>
                    <pic:cNvPicPr/>
                  </pic:nvPicPr>
                  <pic:blipFill>
                    <a:blip xmlns:r="http://schemas.openxmlformats.org/officeDocument/2006/relationships" r:embed="rId474" cstate="print"/>
                    <a:stretch>
                      <a:fillRect/>
                    </a:stretch>
                  </pic:blipFill>
                  <pic:spPr>
                    <a:xfrm>
                      <a:off x="0" y="0"/>
                      <a:ext cx="41379" cy="41378"/>
                    </a:xfrm>
                    <a:prstGeom prst="rect">
                      <a:avLst/>
                    </a:prstGeom>
                  </pic:spPr>
                </pic:pic>
              </a:graphicData>
            </a:graphic>
          </wp:inline>
        </w:drawing>
      </w:r>
      <w:r>
        <w:rPr>
          <w:spacing w:val="80"/>
          <w:sz w:val="20"/>
        </w:rPr>
        <w:t xml:space="preserve"> </w:t>
      </w:r>
      <w:r>
        <w:t>race/ethnicity.</w:t>
      </w:r>
    </w:p>
    <w:p w:rsidR="003F5784" w14:paraId="013B7979" w14:textId="77777777">
      <w:pPr>
        <w:pStyle w:val="Heading2"/>
        <w:spacing w:before="201"/>
        <w:ind w:left="109"/>
      </w:pPr>
      <w:r>
        <w:t>National</w:t>
      </w:r>
      <w:r>
        <w:rPr>
          <w:spacing w:val="-14"/>
        </w:rPr>
        <w:t xml:space="preserve"> </w:t>
      </w:r>
      <w:r>
        <w:t>Private</w:t>
      </w:r>
      <w:r>
        <w:rPr>
          <w:spacing w:val="-13"/>
        </w:rPr>
        <w:t xml:space="preserve"> </w:t>
      </w:r>
      <w:r>
        <w:t>School</w:t>
      </w:r>
      <w:r>
        <w:rPr>
          <w:spacing w:val="-8"/>
        </w:rPr>
        <w:t xml:space="preserve"> </w:t>
      </w:r>
      <w:r>
        <w:t>Samples</w:t>
      </w:r>
      <w:r>
        <w:rPr>
          <w:spacing w:val="-9"/>
        </w:rPr>
        <w:t xml:space="preserve"> </w:t>
      </w:r>
      <w:r>
        <w:t>for</w:t>
      </w:r>
      <w:r>
        <w:rPr>
          <w:spacing w:val="-12"/>
        </w:rPr>
        <w:t xml:space="preserve"> </w:t>
      </w:r>
      <w:r>
        <w:t>Mathematics</w:t>
      </w:r>
      <w:r>
        <w:rPr>
          <w:spacing w:val="-8"/>
        </w:rPr>
        <w:t xml:space="preserve"> </w:t>
      </w:r>
      <w:r>
        <w:t>and</w:t>
      </w:r>
      <w:r>
        <w:rPr>
          <w:spacing w:val="-8"/>
        </w:rPr>
        <w:t xml:space="preserve"> </w:t>
      </w:r>
      <w:r>
        <w:t>Reading</w:t>
      </w:r>
      <w:r>
        <w:rPr>
          <w:spacing w:val="-9"/>
        </w:rPr>
        <w:t xml:space="preserve"> </w:t>
      </w:r>
      <w:r>
        <w:t>LTT</w:t>
      </w:r>
      <w:r>
        <w:rPr>
          <w:spacing w:val="-16"/>
        </w:rPr>
        <w:t xml:space="preserve"> </w:t>
      </w:r>
      <w:r>
        <w:t>Assessments</w:t>
      </w:r>
      <w:r>
        <w:rPr>
          <w:spacing w:val="-8"/>
        </w:rPr>
        <w:t xml:space="preserve"> </w:t>
      </w:r>
      <w:r>
        <w:t>at</w:t>
      </w:r>
      <w:r>
        <w:rPr>
          <w:spacing w:val="-13"/>
        </w:rPr>
        <w:t xml:space="preserve"> </w:t>
      </w:r>
      <w:r>
        <w:t>Ages</w:t>
      </w:r>
      <w:r>
        <w:rPr>
          <w:spacing w:val="-8"/>
        </w:rPr>
        <w:t xml:space="preserve"> </w:t>
      </w:r>
      <w:r>
        <w:t>9</w:t>
      </w:r>
      <w:r>
        <w:rPr>
          <w:spacing w:val="-9"/>
        </w:rPr>
        <w:t xml:space="preserve"> </w:t>
      </w:r>
      <w:r>
        <w:t>and</w:t>
      </w:r>
      <w:r>
        <w:rPr>
          <w:spacing w:val="-8"/>
        </w:rPr>
        <w:t xml:space="preserve"> </w:t>
      </w:r>
      <w:r>
        <w:rPr>
          <w:spacing w:val="-5"/>
        </w:rPr>
        <w:t>13</w:t>
      </w:r>
    </w:p>
    <w:p w:rsidR="003F5784" w14:paraId="61AFD1A0" w14:textId="77777777">
      <w:pPr>
        <w:pStyle w:val="BodyText"/>
        <w:spacing w:before="202"/>
        <w:ind w:left="109"/>
      </w:pPr>
      <w:r>
        <w:t>The</w:t>
      </w:r>
      <w:r>
        <w:rPr>
          <w:spacing w:val="-7"/>
        </w:rPr>
        <w:t xml:space="preserve"> </w:t>
      </w:r>
      <w:r>
        <w:t>initial</w:t>
      </w:r>
      <w:r>
        <w:rPr>
          <w:spacing w:val="-6"/>
        </w:rPr>
        <w:t xml:space="preserve"> </w:t>
      </w:r>
      <w:r>
        <w:t>weighting</w:t>
      </w:r>
      <w:r>
        <w:rPr>
          <w:spacing w:val="-6"/>
        </w:rPr>
        <w:t xml:space="preserve"> </w:t>
      </w:r>
      <w:r>
        <w:t>cells</w:t>
      </w:r>
      <w:r>
        <w:rPr>
          <w:spacing w:val="-6"/>
        </w:rPr>
        <w:t xml:space="preserve"> </w:t>
      </w:r>
      <w:r>
        <w:t>for</w:t>
      </w:r>
      <w:r>
        <w:rPr>
          <w:spacing w:val="-6"/>
        </w:rPr>
        <w:t xml:space="preserve"> </w:t>
      </w:r>
      <w:r>
        <w:t>these</w:t>
      </w:r>
      <w:r>
        <w:rPr>
          <w:spacing w:val="-6"/>
        </w:rPr>
        <w:t xml:space="preserve"> </w:t>
      </w:r>
      <w:r>
        <w:t>private</w:t>
      </w:r>
      <w:r>
        <w:rPr>
          <w:spacing w:val="-6"/>
        </w:rPr>
        <w:t xml:space="preserve"> </w:t>
      </w:r>
      <w:r>
        <w:t>school</w:t>
      </w:r>
      <w:r>
        <w:rPr>
          <w:spacing w:val="-6"/>
        </w:rPr>
        <w:t xml:space="preserve"> </w:t>
      </w:r>
      <w:r>
        <w:t>samples</w:t>
      </w:r>
      <w:r>
        <w:rPr>
          <w:spacing w:val="-7"/>
        </w:rPr>
        <w:t xml:space="preserve"> </w:t>
      </w:r>
      <w:r>
        <w:t>were</w:t>
      </w:r>
      <w:r>
        <w:rPr>
          <w:spacing w:val="-6"/>
        </w:rPr>
        <w:t xml:space="preserve"> </w:t>
      </w:r>
      <w:r>
        <w:t>formed</w:t>
      </w:r>
      <w:r>
        <w:rPr>
          <w:spacing w:val="-6"/>
        </w:rPr>
        <w:t xml:space="preserve"> </w:t>
      </w:r>
      <w:r>
        <w:t>using</w:t>
      </w:r>
      <w:r>
        <w:rPr>
          <w:spacing w:val="-6"/>
        </w:rPr>
        <w:t xml:space="preserve"> </w:t>
      </w:r>
      <w:r>
        <w:t>the</w:t>
      </w:r>
      <w:r>
        <w:rPr>
          <w:spacing w:val="-6"/>
        </w:rPr>
        <w:t xml:space="preserve"> </w:t>
      </w:r>
      <w:r>
        <w:t>following</w:t>
      </w:r>
      <w:r>
        <w:rPr>
          <w:spacing w:val="-6"/>
        </w:rPr>
        <w:t xml:space="preserve"> </w:t>
      </w:r>
      <w:r>
        <w:t>nesting</w:t>
      </w:r>
      <w:r>
        <w:rPr>
          <w:spacing w:val="-6"/>
        </w:rPr>
        <w:t xml:space="preserve"> </w:t>
      </w:r>
      <w:r>
        <w:rPr>
          <w:spacing w:val="-2"/>
        </w:rPr>
        <w:t>structure:</w:t>
      </w:r>
    </w:p>
    <w:p w:rsidR="003F5784" w14:paraId="3109C995" w14:textId="77777777">
      <w:pPr>
        <w:sectPr>
          <w:pgSz w:w="15840" w:h="12240" w:orient="landscape"/>
          <w:pgMar w:top="480" w:right="440" w:bottom="460" w:left="460" w:header="284" w:footer="275" w:gutter="0"/>
          <w:cols w:space="720"/>
        </w:sectPr>
      </w:pPr>
    </w:p>
    <w:p w:rsidR="003F5784" w14:paraId="5F8731FE" w14:textId="77777777">
      <w:pPr>
        <w:pStyle w:val="BodyText"/>
        <w:spacing w:before="72" w:line="238" w:lineRule="exact"/>
        <w:ind w:left="631"/>
      </w:pPr>
      <w:r>
        <w:rPr>
          <w:noProof/>
        </w:rPr>
        <mc:AlternateContent>
          <mc:Choice Requires="wps">
            <w:drawing>
              <wp:anchor distT="0" distB="0" distL="0" distR="0" simplePos="0" relativeHeight="251680768" behindDoc="0" locked="0" layoutInCell="1" allowOverlap="1">
                <wp:simplePos x="0" y="0"/>
                <wp:positionH relativeFrom="page">
                  <wp:posOffset>560569</wp:posOffset>
                </wp:positionH>
                <wp:positionV relativeFrom="paragraph">
                  <wp:posOffset>112659</wp:posOffset>
                </wp:positionV>
                <wp:extent cx="41910" cy="41910"/>
                <wp:effectExtent l="0" t="0" r="0" b="0"/>
                <wp:wrapNone/>
                <wp:docPr id="585" name="Graphic 585"/>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0" y="23403"/>
                              </a:lnTo>
                              <a:lnTo>
                                <a:pt x="0" y="17842"/>
                              </a:lnTo>
                              <a:lnTo>
                                <a:pt x="17945" y="0"/>
                              </a:lnTo>
                              <a:lnTo>
                                <a:pt x="23433" y="0"/>
                              </a:lnTo>
                              <a:lnTo>
                                <a:pt x="41379" y="20689"/>
                              </a:lnTo>
                              <a:lnTo>
                                <a:pt x="41378" y="23403"/>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585" o:spid="_x0000_s1178" style="width:3.3pt;height:3.3pt;margin-top:8.85pt;margin-left:44.15pt;mso-position-horizontal-relative:page;mso-wrap-distance-bottom:0;mso-wrap-distance-left:0;mso-wrap-distance-right:0;mso-wrap-distance-top:0;mso-wrap-style:square;position:absolute;visibility:visible;v-text-anchor:top;z-index:251681792" coordsize="41910,41910" path="m20689,41378l,23403,,17842,17945,l23433,l41379,20689l41378,23403l20689,41378xe" fillcolor="black" stroked="f">
                <v:path arrowok="t"/>
              </v:shape>
            </w:pict>
          </mc:Fallback>
        </mc:AlternateContent>
      </w:r>
      <w:r>
        <w:t>school</w:t>
      </w:r>
      <w:r>
        <w:rPr>
          <w:spacing w:val="-9"/>
        </w:rPr>
        <w:t xml:space="preserve"> </w:t>
      </w:r>
      <w:r>
        <w:t>nonresponse</w:t>
      </w:r>
      <w:r>
        <w:rPr>
          <w:spacing w:val="-9"/>
        </w:rPr>
        <w:t xml:space="preserve"> </w:t>
      </w:r>
      <w:r>
        <w:rPr>
          <w:spacing w:val="-2"/>
        </w:rPr>
        <w:t>cell;</w:t>
      </w:r>
    </w:p>
    <w:p w:rsidR="003F5784" w14:paraId="6095C772" w14:textId="485AFCEE">
      <w:pPr>
        <w:pStyle w:val="BodyText"/>
        <w:spacing w:before="3" w:line="232" w:lineRule="auto"/>
        <w:ind w:left="631" w:right="9048"/>
      </w:pPr>
      <w:r>
        <w:rPr>
          <w:noProof/>
        </w:rPr>
        <mc:AlternateContent>
          <mc:Choice Requires="wps">
            <w:drawing>
              <wp:anchor distT="0" distB="0" distL="0" distR="0" simplePos="0" relativeHeight="251682816" behindDoc="0" locked="0" layoutInCell="1" allowOverlap="1">
                <wp:simplePos x="0" y="0"/>
                <wp:positionH relativeFrom="page">
                  <wp:posOffset>560569</wp:posOffset>
                </wp:positionH>
                <wp:positionV relativeFrom="paragraph">
                  <wp:posOffset>64751</wp:posOffset>
                </wp:positionV>
                <wp:extent cx="41910" cy="41910"/>
                <wp:effectExtent l="0" t="0" r="0" b="0"/>
                <wp:wrapNone/>
                <wp:docPr id="586" name="Graphic 586"/>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0" y="23279"/>
                              </a:lnTo>
                              <a:lnTo>
                                <a:pt x="0" y="17842"/>
                              </a:lnTo>
                              <a:lnTo>
                                <a:pt x="17945" y="0"/>
                              </a:lnTo>
                              <a:lnTo>
                                <a:pt x="23433" y="0"/>
                              </a:lnTo>
                              <a:lnTo>
                                <a:pt x="41379" y="20689"/>
                              </a:lnTo>
                              <a:lnTo>
                                <a:pt x="41378" y="23279"/>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586" o:spid="_x0000_s1179" style="width:3.3pt;height:3.3pt;margin-top:5.1pt;margin-left:44.15pt;mso-position-horizontal-relative:page;mso-wrap-distance-bottom:0;mso-wrap-distance-left:0;mso-wrap-distance-right:0;mso-wrap-distance-top:0;mso-wrap-style:square;position:absolute;visibility:visible;v-text-anchor:top;z-index:251683840" coordsize="41910,41910" path="m20689,41378l,23279,,17842,17945,l23433,l41379,20689l41378,23279l20689,41378xe" fillcolor="black" stroked="f">
                <v:path arrowok="t"/>
              </v:shape>
            </w:pict>
          </mc:Fallback>
        </mc:AlternateContent>
      </w:r>
      <w:r>
        <w:rPr>
          <w:noProof/>
        </w:rPr>
        <mc:AlternateContent>
          <mc:Choice Requires="wps">
            <w:drawing>
              <wp:anchor distT="0" distB="0" distL="0" distR="0" simplePos="0" relativeHeight="251684864" behindDoc="0" locked="0" layoutInCell="1" allowOverlap="1">
                <wp:simplePos x="0" y="0"/>
                <wp:positionH relativeFrom="page">
                  <wp:posOffset>560569</wp:posOffset>
                </wp:positionH>
                <wp:positionV relativeFrom="paragraph">
                  <wp:posOffset>213716</wp:posOffset>
                </wp:positionV>
                <wp:extent cx="41910" cy="41910"/>
                <wp:effectExtent l="0" t="0" r="0" b="0"/>
                <wp:wrapNone/>
                <wp:docPr id="587" name="Graphic 587"/>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0" y="23403"/>
                              </a:lnTo>
                              <a:lnTo>
                                <a:pt x="0" y="17975"/>
                              </a:lnTo>
                              <a:lnTo>
                                <a:pt x="524" y="15260"/>
                              </a:lnTo>
                              <a:lnTo>
                                <a:pt x="2624" y="9955"/>
                              </a:lnTo>
                              <a:lnTo>
                                <a:pt x="4119" y="7762"/>
                              </a:lnTo>
                              <a:lnTo>
                                <a:pt x="6059" y="5950"/>
                              </a:lnTo>
                              <a:lnTo>
                                <a:pt x="7999" y="4005"/>
                              </a:lnTo>
                              <a:lnTo>
                                <a:pt x="10237" y="2590"/>
                              </a:lnTo>
                              <a:lnTo>
                                <a:pt x="12771" y="1423"/>
                              </a:lnTo>
                              <a:lnTo>
                                <a:pt x="15306" y="521"/>
                              </a:lnTo>
                              <a:lnTo>
                                <a:pt x="17945" y="0"/>
                              </a:lnTo>
                              <a:lnTo>
                                <a:pt x="23433" y="0"/>
                              </a:lnTo>
                              <a:lnTo>
                                <a:pt x="35319" y="5950"/>
                              </a:lnTo>
                              <a:lnTo>
                                <a:pt x="37259" y="7762"/>
                              </a:lnTo>
                              <a:lnTo>
                                <a:pt x="38754" y="9955"/>
                              </a:lnTo>
                              <a:lnTo>
                                <a:pt x="40854" y="15260"/>
                              </a:lnTo>
                              <a:lnTo>
                                <a:pt x="41378" y="17975"/>
                              </a:lnTo>
                              <a:lnTo>
                                <a:pt x="41379" y="20689"/>
                              </a:lnTo>
                              <a:lnTo>
                                <a:pt x="41378" y="23403"/>
                              </a:lnTo>
                              <a:lnTo>
                                <a:pt x="23433" y="41246"/>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587" o:spid="_x0000_s1180" style="width:3.3pt;height:3.3pt;margin-top:16.85pt;margin-left:44.15pt;mso-position-horizontal-relative:page;mso-wrap-distance-bottom:0;mso-wrap-distance-left:0;mso-wrap-distance-right:0;mso-wrap-distance-top:0;mso-wrap-style:square;position:absolute;visibility:visible;v-text-anchor:top;z-index:251685888" coordsize="41910,41910" path="m20689,41378l,23403,,17975,524,15260,2624,9955,4119,7762,6059,5950,7999,4005,10237,2590,12771,1423,15306,521,17945,l23433,l35319,5950l37259,7762l38754,9955l40854,15260l41378,17975l41379,20689l41378,23403,23433,41246l20689,41378xe" fillcolor="black" stroked="f">
                <v:path arrowok="t"/>
              </v:shape>
            </w:pict>
          </mc:Fallback>
        </mc:AlternateContent>
      </w:r>
      <w:r>
        <w:t>categorized</w:t>
      </w:r>
      <w:r>
        <w:rPr>
          <w:spacing w:val="-11"/>
        </w:rPr>
        <w:t xml:space="preserve"> </w:t>
      </w:r>
      <w:r>
        <w:t>grade</w:t>
      </w:r>
      <w:r>
        <w:rPr>
          <w:spacing w:val="-11"/>
        </w:rPr>
        <w:t xml:space="preserve"> </w:t>
      </w:r>
      <w:r>
        <w:t>(classified</w:t>
      </w:r>
      <w:r>
        <w:rPr>
          <w:spacing w:val="-11"/>
        </w:rPr>
        <w:t xml:space="preserve"> </w:t>
      </w:r>
      <w:r>
        <w:t>into</w:t>
      </w:r>
      <w:r>
        <w:rPr>
          <w:spacing w:val="-11"/>
        </w:rPr>
        <w:t xml:space="preserve"> </w:t>
      </w:r>
      <w:r>
        <w:t>"lower"</w:t>
      </w:r>
      <w:r>
        <w:rPr>
          <w:spacing w:val="-11"/>
        </w:rPr>
        <w:t xml:space="preserve"> </w:t>
      </w:r>
      <w:r>
        <w:t>and</w:t>
      </w:r>
      <w:r>
        <w:rPr>
          <w:spacing w:val="-11"/>
        </w:rPr>
        <w:t xml:space="preserve"> </w:t>
      </w:r>
      <w:r>
        <w:t>"upper"</w:t>
      </w:r>
      <w:r>
        <w:rPr>
          <w:spacing w:val="-11"/>
        </w:rPr>
        <w:t xml:space="preserve"> </w:t>
      </w:r>
      <w:r>
        <w:t xml:space="preserve">grade); </w:t>
      </w:r>
      <w:r w:rsidR="00B4162D">
        <w:t>sex</w:t>
      </w:r>
      <w:r>
        <w:t>; and</w:t>
      </w:r>
    </w:p>
    <w:p w:rsidR="003F5784" w14:paraId="6D114903" w14:textId="77777777">
      <w:pPr>
        <w:pStyle w:val="BodyText"/>
        <w:spacing w:line="236" w:lineRule="exact"/>
        <w:ind w:left="631"/>
      </w:pPr>
      <w:r>
        <w:rPr>
          <w:noProof/>
        </w:rPr>
        <mc:AlternateContent>
          <mc:Choice Requires="wps">
            <w:drawing>
              <wp:anchor distT="0" distB="0" distL="0" distR="0" simplePos="0" relativeHeight="251686912" behindDoc="0" locked="0" layoutInCell="1" allowOverlap="1">
                <wp:simplePos x="0" y="0"/>
                <wp:positionH relativeFrom="page">
                  <wp:posOffset>560569</wp:posOffset>
                </wp:positionH>
                <wp:positionV relativeFrom="paragraph">
                  <wp:posOffset>63297</wp:posOffset>
                </wp:positionV>
                <wp:extent cx="41910" cy="41910"/>
                <wp:effectExtent l="0" t="0" r="0" b="0"/>
                <wp:wrapNone/>
                <wp:docPr id="588" name="Graphic 588"/>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0" y="23403"/>
                              </a:lnTo>
                              <a:lnTo>
                                <a:pt x="0" y="17975"/>
                              </a:lnTo>
                              <a:lnTo>
                                <a:pt x="17945" y="0"/>
                              </a:lnTo>
                              <a:lnTo>
                                <a:pt x="23433" y="0"/>
                              </a:lnTo>
                              <a:lnTo>
                                <a:pt x="41379" y="20689"/>
                              </a:lnTo>
                              <a:lnTo>
                                <a:pt x="41378" y="23403"/>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588" o:spid="_x0000_s1181" style="width:3.3pt;height:3.3pt;margin-top:5pt;margin-left:44.15pt;mso-position-horizontal-relative:page;mso-wrap-distance-bottom:0;mso-wrap-distance-left:0;mso-wrap-distance-right:0;mso-wrap-distance-top:0;mso-wrap-style:square;position:absolute;visibility:visible;v-text-anchor:top;z-index:251687936" coordsize="41910,41910" path="m20689,41378l,23403,,17975,17945,l23433,l41379,20689l41378,23403l20689,41378xe" fillcolor="black" stroked="f">
                <v:path arrowok="t"/>
              </v:shape>
            </w:pict>
          </mc:Fallback>
        </mc:AlternateContent>
      </w:r>
      <w:r>
        <w:rPr>
          <w:spacing w:val="-2"/>
        </w:rPr>
        <w:t>race/ethnicity.</w:t>
      </w:r>
    </w:p>
    <w:p w:rsidR="003F5784" w14:paraId="4B2AE7CF" w14:textId="77777777">
      <w:pPr>
        <w:pStyle w:val="BodyText"/>
        <w:spacing w:before="184"/>
        <w:rPr>
          <w:sz w:val="20"/>
        </w:rPr>
      </w:pPr>
      <w:r>
        <w:rPr>
          <w:noProof/>
        </w:rPr>
        <mc:AlternateContent>
          <mc:Choice Requires="wps">
            <w:drawing>
              <wp:anchor distT="0" distB="0" distL="0" distR="0" simplePos="0" relativeHeight="251993088" behindDoc="1" locked="0" layoutInCell="1" allowOverlap="1">
                <wp:simplePos x="0" y="0"/>
                <wp:positionH relativeFrom="page">
                  <wp:posOffset>361949</wp:posOffset>
                </wp:positionH>
                <wp:positionV relativeFrom="paragraph">
                  <wp:posOffset>278467</wp:posOffset>
                </wp:positionV>
                <wp:extent cx="1655445" cy="1270"/>
                <wp:effectExtent l="0" t="0" r="0" b="0"/>
                <wp:wrapTopAndBottom/>
                <wp:docPr id="589" name="Graphic 589"/>
                <wp:cNvGraphicFramePr/>
                <a:graphic xmlns:a="http://schemas.openxmlformats.org/drawingml/2006/main">
                  <a:graphicData uri="http://schemas.microsoft.com/office/word/2010/wordprocessingShape">
                    <wps:wsp xmlns:wps="http://schemas.microsoft.com/office/word/2010/wordprocessingShape">
                      <wps:cNvSpPr/>
                      <wps:spPr>
                        <a:xfrm>
                          <a:off x="0" y="0"/>
                          <a:ext cx="1655445" cy="1270"/>
                        </a:xfrm>
                        <a:custGeom>
                          <a:avLst/>
                          <a:gdLst/>
                          <a:rect l="l" t="t" r="r" b="b"/>
                          <a:pathLst>
                            <a:path fill="norm" w="1655445" stroke="1">
                              <a:moveTo>
                                <a:pt x="0" y="0"/>
                              </a:moveTo>
                              <a:lnTo>
                                <a:pt x="1655160" y="0"/>
                              </a:lnTo>
                            </a:path>
                          </a:pathLst>
                        </a:custGeom>
                        <a:ln w="5296">
                          <a:solidFill>
                            <a:srgbClr val="000000"/>
                          </a:solidFill>
                          <a:prstDash val="solid"/>
                        </a:ln>
                      </wps:spPr>
                      <wps:bodyPr wrap="square" lIns="0" tIns="0" rIns="0" bIns="0" rtlCol="0">
                        <a:prstTxWarp prst="textNoShape">
                          <a:avLst/>
                        </a:prstTxWarp>
                      </wps:bodyPr>
                    </wps:wsp>
                  </a:graphicData>
                </a:graphic>
              </wp:anchor>
            </w:drawing>
          </mc:Choice>
          <mc:Fallback>
            <w:pict>
              <v:shape id="Graphic 589" o:spid="_x0000_s1182" style="width:130.35pt;height:0.1pt;margin-top:21.95pt;margin-left:28.5pt;mso-position-horizontal-relative:page;mso-wrap-distance-bottom:0;mso-wrap-distance-left:0;mso-wrap-distance-right:0;mso-wrap-distance-top:0;mso-wrap-style:square;position:absolute;visibility:visible;v-text-anchor:top;z-index:-251322368" coordsize="1655445,1270" path="m,l1655160,e" filled="f" strokeweight="0.42pt">
                <v:path arrowok="t"/>
                <w10:wrap type="topAndBottom"/>
              </v:shape>
            </w:pict>
          </mc:Fallback>
        </mc:AlternateContent>
      </w:r>
    </w:p>
    <w:p w:rsidR="003F5784" w14:paraId="480BC372" w14:textId="77777777">
      <w:pPr>
        <w:pStyle w:val="BodyText"/>
        <w:spacing w:before="211"/>
        <w:ind w:left="109"/>
      </w:pPr>
      <w:r>
        <w:t>1</w:t>
      </w:r>
      <w:r>
        <w:rPr>
          <w:spacing w:val="-6"/>
        </w:rPr>
        <w:t xml:space="preserve"> </w:t>
      </w:r>
      <w:r>
        <w:rPr>
          <w:position w:val="8"/>
          <w:sz w:val="17"/>
        </w:rPr>
        <w:t>1</w:t>
      </w:r>
      <w:r>
        <w:rPr>
          <w:spacing w:val="5"/>
          <w:position w:val="8"/>
          <w:sz w:val="17"/>
        </w:rPr>
        <w:t xml:space="preserve"> </w:t>
      </w:r>
      <w:r>
        <w:t>Older</w:t>
      </w:r>
      <w:r>
        <w:rPr>
          <w:spacing w:val="-5"/>
        </w:rPr>
        <w:t xml:space="preserve"> </w:t>
      </w:r>
      <w:r>
        <w:t>students</w:t>
      </w:r>
      <w:r>
        <w:rPr>
          <w:spacing w:val="-5"/>
        </w:rPr>
        <w:t xml:space="preserve"> </w:t>
      </w:r>
      <w:r>
        <w:t>are</w:t>
      </w:r>
      <w:r>
        <w:rPr>
          <w:spacing w:val="-5"/>
        </w:rPr>
        <w:t xml:space="preserve"> </w:t>
      </w:r>
      <w:r>
        <w:t>those</w:t>
      </w:r>
      <w:r>
        <w:rPr>
          <w:spacing w:val="-5"/>
        </w:rPr>
        <w:t xml:space="preserve"> </w:t>
      </w:r>
      <w:r>
        <w:t>born</w:t>
      </w:r>
      <w:r>
        <w:rPr>
          <w:spacing w:val="-5"/>
        </w:rPr>
        <w:t xml:space="preserve"> </w:t>
      </w:r>
      <w:r>
        <w:t>before</w:t>
      </w:r>
      <w:r>
        <w:rPr>
          <w:spacing w:val="-5"/>
        </w:rPr>
        <w:t xml:space="preserve"> </w:t>
      </w:r>
      <w:r>
        <w:t>October</w:t>
      </w:r>
      <w:r>
        <w:rPr>
          <w:spacing w:val="-5"/>
        </w:rPr>
        <w:t xml:space="preserve"> </w:t>
      </w:r>
      <w:r>
        <w:t>1,</w:t>
      </w:r>
      <w:r>
        <w:rPr>
          <w:spacing w:val="-5"/>
        </w:rPr>
        <w:t xml:space="preserve"> </w:t>
      </w:r>
      <w:r>
        <w:t>2011</w:t>
      </w:r>
      <w:r>
        <w:rPr>
          <w:spacing w:val="-5"/>
        </w:rPr>
        <w:t xml:space="preserve"> </w:t>
      </w:r>
      <w:r>
        <w:t>for</w:t>
      </w:r>
      <w:r>
        <w:rPr>
          <w:spacing w:val="-5"/>
        </w:rPr>
        <w:t xml:space="preserve"> </w:t>
      </w:r>
      <w:r>
        <w:t>grade</w:t>
      </w:r>
      <w:r>
        <w:rPr>
          <w:spacing w:val="-5"/>
        </w:rPr>
        <w:t xml:space="preserve"> </w:t>
      </w:r>
      <w:r>
        <w:t>4</w:t>
      </w:r>
      <w:r>
        <w:rPr>
          <w:spacing w:val="-5"/>
        </w:rPr>
        <w:t xml:space="preserve"> </w:t>
      </w:r>
      <w:r>
        <w:t>and</w:t>
      </w:r>
      <w:r>
        <w:rPr>
          <w:spacing w:val="-5"/>
        </w:rPr>
        <w:t xml:space="preserve"> </w:t>
      </w:r>
      <w:r>
        <w:t>before</w:t>
      </w:r>
      <w:r>
        <w:rPr>
          <w:spacing w:val="-5"/>
        </w:rPr>
        <w:t xml:space="preserve"> </w:t>
      </w:r>
      <w:r>
        <w:t>October</w:t>
      </w:r>
      <w:r>
        <w:rPr>
          <w:spacing w:val="-5"/>
        </w:rPr>
        <w:t xml:space="preserve"> </w:t>
      </w:r>
      <w:r>
        <w:t>1,</w:t>
      </w:r>
      <w:r>
        <w:rPr>
          <w:spacing w:val="-5"/>
        </w:rPr>
        <w:t xml:space="preserve"> </w:t>
      </w:r>
      <w:r>
        <w:t>2007,</w:t>
      </w:r>
      <w:r>
        <w:rPr>
          <w:spacing w:val="-5"/>
        </w:rPr>
        <w:t xml:space="preserve"> </w:t>
      </w:r>
      <w:r>
        <w:t>for</w:t>
      </w:r>
      <w:r>
        <w:rPr>
          <w:spacing w:val="-5"/>
        </w:rPr>
        <w:t xml:space="preserve"> </w:t>
      </w:r>
      <w:r>
        <w:t>grade</w:t>
      </w:r>
      <w:r>
        <w:rPr>
          <w:spacing w:val="-5"/>
        </w:rPr>
        <w:t xml:space="preserve"> 8.</w:t>
      </w:r>
    </w:p>
    <w:p w:rsidR="003F5784" w14:paraId="0655BEB0" w14:textId="77777777">
      <w:pPr>
        <w:pStyle w:val="BodyText"/>
      </w:pPr>
    </w:p>
    <w:p w:rsidR="003F5784" w14:paraId="22812A59" w14:textId="77777777">
      <w:pPr>
        <w:pStyle w:val="BodyText"/>
      </w:pPr>
    </w:p>
    <w:p w:rsidR="003F5784" w14:paraId="50426BF4" w14:textId="77777777">
      <w:pPr>
        <w:pStyle w:val="BodyText"/>
        <w:spacing w:before="157"/>
      </w:pPr>
    </w:p>
    <w:p w:rsidR="003F5784" w14:paraId="1F343E65" w14:textId="77777777">
      <w:pPr>
        <w:ind w:left="4228"/>
        <w:rPr>
          <w:sz w:val="18"/>
        </w:rPr>
      </w:pPr>
      <w:hyperlink r:id="rId475">
        <w:r>
          <w:rPr>
            <w:spacing w:val="-2"/>
            <w:w w:val="105"/>
            <w:sz w:val="18"/>
          </w:rPr>
          <w:t>http://nces.ed.gov/nationsreportcard/tdw/weighting/2022/development_of_initial_student_nonresponse_cells_for_the_2022_assessment.aspx</w:t>
        </w:r>
      </w:hyperlink>
    </w:p>
    <w:p w:rsidR="003F5784" w14:paraId="324A587F" w14:textId="77777777">
      <w:pPr>
        <w:pStyle w:val="BodyText"/>
        <w:spacing w:before="11"/>
        <w:rPr>
          <w:sz w:val="14"/>
        </w:rPr>
      </w:pPr>
      <w:r>
        <w:rPr>
          <w:noProof/>
        </w:rPr>
        <mc:AlternateContent>
          <mc:Choice Requires="wps">
            <w:drawing>
              <wp:anchor distT="0" distB="0" distL="0" distR="0" simplePos="0" relativeHeight="251995136" behindDoc="1" locked="0" layoutInCell="1" allowOverlap="1">
                <wp:simplePos x="0" y="0"/>
                <wp:positionH relativeFrom="page">
                  <wp:posOffset>361937</wp:posOffset>
                </wp:positionH>
                <wp:positionV relativeFrom="paragraph">
                  <wp:posOffset>124424</wp:posOffset>
                </wp:positionV>
                <wp:extent cx="9339580" cy="8890"/>
                <wp:effectExtent l="0" t="0" r="0" b="0"/>
                <wp:wrapTopAndBottom/>
                <wp:docPr id="590" name="Graphic 590"/>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90" o:spid="_x0000_s1183" style="width:735.4pt;height:0.7pt;margin-top:9.8pt;margin-left:28.5pt;mso-position-horizontal-relative:page;mso-wrap-distance-bottom:0;mso-wrap-distance-left:0;mso-wrap-distance-right:0;mso-wrap-distance-top:0;mso-wrap-style:square;position:absolute;visibility:visible;v-text-anchor:top;z-index:-251320320" coordsize="9339580,8890" path="m9338970,l9335110,l8280,,,,,8280l8280,8280l9335110,8280l9338970,8280l9338970,xe" fillcolor="gray" stroked="f">
                <v:path arrowok="t"/>
                <w10:wrap type="topAndBottom"/>
              </v:shape>
            </w:pict>
          </mc:Fallback>
        </mc:AlternateContent>
      </w:r>
    </w:p>
    <w:p w:rsidR="003F5784" w14:paraId="6931D5A1" w14:textId="77777777">
      <w:pPr>
        <w:pStyle w:val="BodyText"/>
        <w:rPr>
          <w:sz w:val="18"/>
        </w:rPr>
      </w:pPr>
    </w:p>
    <w:p w:rsidR="003F5784" w14:paraId="37DD64FE" w14:textId="77777777">
      <w:pPr>
        <w:pStyle w:val="BodyText"/>
        <w:spacing w:before="206"/>
        <w:rPr>
          <w:sz w:val="18"/>
        </w:rPr>
      </w:pPr>
    </w:p>
    <w:p w:rsidR="003F5784" w14:paraId="43784681" w14:textId="2EB0477B">
      <w:pPr>
        <w:pStyle w:val="Heading1"/>
        <w:spacing w:line="244" w:lineRule="auto"/>
      </w:pPr>
      <w:r>
        <w:t>NAEP</w:t>
      </w:r>
      <w:r>
        <w:rPr>
          <w:spacing w:val="-8"/>
        </w:rPr>
        <w:t xml:space="preserve"> </w:t>
      </w:r>
      <w:r>
        <w:t>Technical Documentation</w:t>
      </w:r>
      <w:r w:rsidR="00ED683B">
        <w:t xml:space="preserve"> </w:t>
      </w:r>
      <w:r>
        <w:t xml:space="preserve">Student Nonresponse Adjustment Factor </w:t>
      </w:r>
      <w:r>
        <w:rPr>
          <w:spacing w:val="-2"/>
        </w:rPr>
        <w:t>Calculation</w:t>
      </w:r>
    </w:p>
    <w:p w:rsidR="003F5784" w14:paraId="7835A1B8" w14:textId="77777777">
      <w:pPr>
        <w:pStyle w:val="BodyText"/>
        <w:spacing w:before="268"/>
        <w:ind w:left="109"/>
      </w:pPr>
      <w:r>
        <w:t>In</w:t>
      </w:r>
      <w:r>
        <w:rPr>
          <w:spacing w:val="-7"/>
        </w:rPr>
        <w:t xml:space="preserve"> </w:t>
      </w:r>
      <w:r>
        <w:t>each</w:t>
      </w:r>
      <w:r>
        <w:rPr>
          <w:spacing w:val="-7"/>
        </w:rPr>
        <w:t xml:space="preserve"> </w:t>
      </w:r>
      <w:r>
        <w:t>final</w:t>
      </w:r>
      <w:r>
        <w:rPr>
          <w:spacing w:val="-7"/>
        </w:rPr>
        <w:t xml:space="preserve"> </w:t>
      </w:r>
      <w:r>
        <w:t>student</w:t>
      </w:r>
      <w:r>
        <w:rPr>
          <w:spacing w:val="-7"/>
        </w:rPr>
        <w:t xml:space="preserve"> </w:t>
      </w:r>
      <w:r>
        <w:t>nonresponse</w:t>
      </w:r>
      <w:r>
        <w:rPr>
          <w:spacing w:val="-7"/>
        </w:rPr>
        <w:t xml:space="preserve"> </w:t>
      </w:r>
      <w:r>
        <w:t>adjustment</w:t>
      </w:r>
      <w:r>
        <w:rPr>
          <w:spacing w:val="-7"/>
        </w:rPr>
        <w:t xml:space="preserve"> </w:t>
      </w:r>
      <w:r>
        <w:t>cell</w:t>
      </w:r>
      <w:r>
        <w:rPr>
          <w:spacing w:val="-7"/>
        </w:rPr>
        <w:t xml:space="preserve"> </w:t>
      </w:r>
      <w:r>
        <w:t>\(c\)</w:t>
      </w:r>
      <w:r>
        <w:rPr>
          <w:spacing w:val="-7"/>
        </w:rPr>
        <w:t xml:space="preserve"> </w:t>
      </w:r>
      <w:r>
        <w:t>for</w:t>
      </w:r>
      <w:r>
        <w:rPr>
          <w:spacing w:val="-7"/>
        </w:rPr>
        <w:t xml:space="preserve"> </w:t>
      </w:r>
      <w:r>
        <w:t>a</w:t>
      </w:r>
      <w:r>
        <w:rPr>
          <w:spacing w:val="-7"/>
        </w:rPr>
        <w:t xml:space="preserve"> </w:t>
      </w:r>
      <w:r>
        <w:t>given</w:t>
      </w:r>
      <w:r>
        <w:rPr>
          <w:spacing w:val="-7"/>
        </w:rPr>
        <w:t xml:space="preserve"> </w:t>
      </w:r>
      <w:r>
        <w:t>sample,</w:t>
      </w:r>
      <w:r>
        <w:rPr>
          <w:spacing w:val="-7"/>
        </w:rPr>
        <w:t xml:space="preserve"> </w:t>
      </w:r>
      <w:r>
        <w:t>the</w:t>
      </w:r>
      <w:r>
        <w:rPr>
          <w:spacing w:val="-7"/>
        </w:rPr>
        <w:t xml:space="preserve"> </w:t>
      </w:r>
      <w:r>
        <w:t>student</w:t>
      </w:r>
      <w:r>
        <w:rPr>
          <w:spacing w:val="-7"/>
        </w:rPr>
        <w:t xml:space="preserve"> </w:t>
      </w:r>
      <w:r>
        <w:t>nonresponse</w:t>
      </w:r>
      <w:r>
        <w:rPr>
          <w:spacing w:val="-7"/>
        </w:rPr>
        <w:t xml:space="preserve"> </w:t>
      </w:r>
      <w:r>
        <w:t>adjustment</w:t>
      </w:r>
      <w:r>
        <w:rPr>
          <w:spacing w:val="-7"/>
        </w:rPr>
        <w:t xml:space="preserve"> </w:t>
      </w:r>
      <w:r>
        <w:t>factor</w:t>
      </w:r>
      <w:r>
        <w:rPr>
          <w:spacing w:val="-6"/>
        </w:rPr>
        <w:t xml:space="preserve"> </w:t>
      </w:r>
      <w:r>
        <w:t>\(STU\_NRAF_{c}\)</w:t>
      </w:r>
      <w:r>
        <w:rPr>
          <w:spacing w:val="-7"/>
        </w:rPr>
        <w:t xml:space="preserve"> </w:t>
      </w:r>
      <w:r>
        <w:t>was</w:t>
      </w:r>
      <w:r>
        <w:rPr>
          <w:spacing w:val="-7"/>
        </w:rPr>
        <w:t xml:space="preserve"> </w:t>
      </w:r>
      <w:r>
        <w:t>computed</w:t>
      </w:r>
      <w:r>
        <w:rPr>
          <w:spacing w:val="-7"/>
        </w:rPr>
        <w:t xml:space="preserve"> </w:t>
      </w:r>
      <w:r>
        <w:rPr>
          <w:spacing w:val="-5"/>
        </w:rPr>
        <w:t>as</w:t>
      </w:r>
    </w:p>
    <w:p w:rsidR="003F5784" w14:paraId="3C8A0E66" w14:textId="77777777">
      <w:pPr>
        <w:pStyle w:val="BodyText"/>
        <w:spacing w:before="208" w:line="232" w:lineRule="auto"/>
        <w:ind w:left="109" w:right="117"/>
      </w:pPr>
      <w:r>
        <w:t>\begin{equation}</w:t>
      </w:r>
      <w:r>
        <w:rPr>
          <w:spacing w:val="-8"/>
        </w:rPr>
        <w:t xml:space="preserve"> </w:t>
      </w:r>
      <w:r>
        <w:t>STU\_NRAF_{c}</w:t>
      </w:r>
      <w:r>
        <w:rPr>
          <w:spacing w:val="-8"/>
        </w:rPr>
        <w:t xml:space="preserve"> </w:t>
      </w:r>
      <w:r>
        <w:t>=</w:t>
      </w:r>
      <w:r>
        <w:rPr>
          <w:spacing w:val="-8"/>
        </w:rPr>
        <w:t xml:space="preserve"> </w:t>
      </w:r>
      <w:r>
        <w:t>\dfrac</w:t>
      </w:r>
      <w:r>
        <w:rPr>
          <w:spacing w:val="-8"/>
        </w:rPr>
        <w:t xml:space="preserve"> </w:t>
      </w:r>
      <w:r>
        <w:t>{</w:t>
      </w:r>
      <w:r>
        <w:rPr>
          <w:spacing w:val="-8"/>
        </w:rPr>
        <w:t xml:space="preserve"> </w:t>
      </w:r>
      <w:r>
        <w:t>\sum_{</w:t>
      </w:r>
      <w:r>
        <w:rPr>
          <w:spacing w:val="-8"/>
        </w:rPr>
        <w:t xml:space="preserve"> </w:t>
      </w:r>
      <w:r>
        <w:t>k</w:t>
      </w:r>
      <w:r>
        <w:rPr>
          <w:spacing w:val="-8"/>
        </w:rPr>
        <w:t xml:space="preserve"> </w:t>
      </w:r>
      <w:r>
        <w:t>\in</w:t>
      </w:r>
      <w:r>
        <w:rPr>
          <w:spacing w:val="-8"/>
        </w:rPr>
        <w:t xml:space="preserve"> </w:t>
      </w:r>
      <w:r>
        <w:t>S_{c}}</w:t>
      </w:r>
      <w:r>
        <w:rPr>
          <w:spacing w:val="-8"/>
        </w:rPr>
        <w:t xml:space="preserve"> </w:t>
      </w:r>
      <w:r>
        <w:t>\dfrac</w:t>
      </w:r>
      <w:r>
        <w:rPr>
          <w:spacing w:val="-8"/>
        </w:rPr>
        <w:t xml:space="preserve"> </w:t>
      </w:r>
      <w:r>
        <w:t>{</w:t>
      </w:r>
      <w:r>
        <w:rPr>
          <w:spacing w:val="-8"/>
        </w:rPr>
        <w:t xml:space="preserve"> </w:t>
      </w:r>
      <w:r>
        <w:t>STU\_BWT_{k}</w:t>
      </w:r>
      <w:r>
        <w:rPr>
          <w:spacing w:val="-8"/>
        </w:rPr>
        <w:t xml:space="preserve"> </w:t>
      </w:r>
      <w:r>
        <w:t>\times</w:t>
      </w:r>
      <w:r>
        <w:rPr>
          <w:spacing w:val="-8"/>
        </w:rPr>
        <w:t xml:space="preserve"> </w:t>
      </w:r>
      <w:r>
        <w:t>SCH\_TRIM_{k}</w:t>
      </w:r>
      <w:r>
        <w:rPr>
          <w:spacing w:val="-8"/>
        </w:rPr>
        <w:t xml:space="preserve"> </w:t>
      </w:r>
      <w:r>
        <w:t>\times</w:t>
      </w:r>
      <w:r>
        <w:rPr>
          <w:spacing w:val="-8"/>
        </w:rPr>
        <w:t xml:space="preserve"> </w:t>
      </w:r>
      <w:r>
        <w:t>SCH\_NRAF_{k}</w:t>
      </w:r>
      <w:r>
        <w:rPr>
          <w:spacing w:val="-8"/>
        </w:rPr>
        <w:t xml:space="preserve"> </w:t>
      </w:r>
      <w:r>
        <w:t>}</w:t>
      </w:r>
      <w:r>
        <w:rPr>
          <w:spacing w:val="-8"/>
        </w:rPr>
        <w:t xml:space="preserve"> </w:t>
      </w:r>
      <w:r>
        <w:t>{SUBJFAC_{k}}</w:t>
      </w:r>
      <w:r>
        <w:rPr>
          <w:spacing w:val="-8"/>
        </w:rPr>
        <w:t xml:space="preserve"> </w:t>
      </w:r>
      <w:r>
        <w:t>}</w:t>
      </w:r>
      <w:r>
        <w:rPr>
          <w:spacing w:val="-8"/>
        </w:rPr>
        <w:t xml:space="preserve"> </w:t>
      </w:r>
      <w:r>
        <w:t>{</w:t>
      </w:r>
      <w:r>
        <w:rPr>
          <w:spacing w:val="-8"/>
        </w:rPr>
        <w:t xml:space="preserve"> </w:t>
      </w:r>
      <w:r>
        <w:t>\sum_{ k \in R_{c}} \dfrac { STU\_BWT_{k} \times SCH\_TRIM_{k} \times SCH\_NRAF_{k} } {SUBJFAC_{k}} }, \end{equation}</w:t>
      </w:r>
    </w:p>
    <w:p w:rsidR="003F5784" w14:paraId="175730F4" w14:textId="77777777">
      <w:pPr>
        <w:pStyle w:val="BodyText"/>
        <w:spacing w:before="203"/>
        <w:ind w:left="109"/>
      </w:pPr>
      <w:r>
        <w:rPr>
          <w:spacing w:val="-2"/>
        </w:rPr>
        <w:t>where</w:t>
      </w:r>
    </w:p>
    <w:p w:rsidR="003F5784" w14:paraId="06FDC893" w14:textId="77777777">
      <w:pPr>
        <w:pStyle w:val="BodyText"/>
        <w:spacing w:before="201" w:line="439" w:lineRule="auto"/>
        <w:ind w:left="422" w:right="7496"/>
      </w:pPr>
      <w:r>
        <w:rPr>
          <w:noProof/>
          <w:position w:val="3"/>
        </w:rPr>
        <w:drawing>
          <wp:inline distT="0" distB="0" distL="0" distR="0">
            <wp:extent cx="41379" cy="41378"/>
            <wp:effectExtent l="0" t="0" r="0" b="0"/>
            <wp:docPr id="591" name="Image 591"/>
            <wp:cNvGraphicFramePr/>
            <a:graphic xmlns:a="http://schemas.openxmlformats.org/drawingml/2006/main">
              <a:graphicData uri="http://schemas.openxmlformats.org/drawingml/2006/picture">
                <pic:pic xmlns:pic="http://schemas.openxmlformats.org/drawingml/2006/picture">
                  <pic:nvPicPr>
                    <pic:cNvPr id="591" name="Image 591"/>
                    <pic:cNvPicPr/>
                  </pic:nvPicPr>
                  <pic:blipFill>
                    <a:blip xmlns:r="http://schemas.openxmlformats.org/officeDocument/2006/relationships" r:embed="rId476" cstate="print"/>
                    <a:stretch>
                      <a:fillRect/>
                    </a:stretch>
                  </pic:blipFill>
                  <pic:spPr>
                    <a:xfrm>
                      <a:off x="0" y="0"/>
                      <a:ext cx="41379" cy="41378"/>
                    </a:xfrm>
                    <a:prstGeom prst="rect">
                      <a:avLst/>
                    </a:prstGeom>
                  </pic:spPr>
                </pic:pic>
              </a:graphicData>
            </a:graphic>
          </wp:inline>
        </w:drawing>
      </w:r>
      <w:r>
        <w:rPr>
          <w:spacing w:val="80"/>
          <w:sz w:val="20"/>
        </w:rPr>
        <w:t xml:space="preserve"> </w:t>
      </w:r>
      <w:r>
        <w:t>\(S_{c}\)</w:t>
      </w:r>
      <w:r>
        <w:rPr>
          <w:spacing w:val="-5"/>
        </w:rPr>
        <w:t xml:space="preserve"> </w:t>
      </w:r>
      <w:r>
        <w:t>is</w:t>
      </w:r>
      <w:r>
        <w:rPr>
          <w:spacing w:val="-5"/>
        </w:rPr>
        <w:t xml:space="preserve"> </w:t>
      </w:r>
      <w:r>
        <w:t>the</w:t>
      </w:r>
      <w:r>
        <w:rPr>
          <w:spacing w:val="-5"/>
        </w:rPr>
        <w:t xml:space="preserve"> </w:t>
      </w:r>
      <w:r>
        <w:t>set</w:t>
      </w:r>
      <w:r>
        <w:rPr>
          <w:spacing w:val="-5"/>
        </w:rPr>
        <w:t xml:space="preserve"> </w:t>
      </w:r>
      <w:r>
        <w:t>of</w:t>
      </w:r>
      <w:r>
        <w:rPr>
          <w:spacing w:val="-5"/>
        </w:rPr>
        <w:t xml:space="preserve"> </w:t>
      </w:r>
      <w:r>
        <w:t>all</w:t>
      </w:r>
      <w:r>
        <w:rPr>
          <w:spacing w:val="-5"/>
        </w:rPr>
        <w:t xml:space="preserve"> </w:t>
      </w:r>
      <w:r>
        <w:t>eligible</w:t>
      </w:r>
      <w:r>
        <w:rPr>
          <w:spacing w:val="-5"/>
        </w:rPr>
        <w:t xml:space="preserve"> </w:t>
      </w:r>
      <w:r>
        <w:t>sampled</w:t>
      </w:r>
      <w:r>
        <w:rPr>
          <w:spacing w:val="-5"/>
        </w:rPr>
        <w:t xml:space="preserve"> </w:t>
      </w:r>
      <w:r>
        <w:t>students</w:t>
      </w:r>
      <w:r>
        <w:rPr>
          <w:spacing w:val="-5"/>
        </w:rPr>
        <w:t xml:space="preserve"> </w:t>
      </w:r>
      <w:r>
        <w:t>in</w:t>
      </w:r>
      <w:r>
        <w:rPr>
          <w:spacing w:val="-5"/>
        </w:rPr>
        <w:t xml:space="preserve"> </w:t>
      </w:r>
      <w:r>
        <w:t>cell</w:t>
      </w:r>
      <w:r>
        <w:rPr>
          <w:spacing w:val="-5"/>
        </w:rPr>
        <w:t xml:space="preserve"> </w:t>
      </w:r>
      <w:r>
        <w:t>\(s\)</w:t>
      </w:r>
      <w:r>
        <w:rPr>
          <w:spacing w:val="-5"/>
        </w:rPr>
        <w:t xml:space="preserve"> </w:t>
      </w:r>
      <w:r>
        <w:t>for</w:t>
      </w:r>
      <w:r>
        <w:rPr>
          <w:spacing w:val="-5"/>
        </w:rPr>
        <w:t xml:space="preserve"> </w:t>
      </w:r>
      <w:r>
        <w:t>a</w:t>
      </w:r>
      <w:r>
        <w:rPr>
          <w:spacing w:val="-5"/>
        </w:rPr>
        <w:t xml:space="preserve"> </w:t>
      </w:r>
      <w:r>
        <w:t>given</w:t>
      </w:r>
      <w:r>
        <w:rPr>
          <w:spacing w:val="-5"/>
        </w:rPr>
        <w:t xml:space="preserve"> </w:t>
      </w:r>
      <w:r>
        <w:t xml:space="preserve">sample; </w:t>
      </w:r>
      <w:r>
        <w:rPr>
          <w:noProof/>
          <w:position w:val="3"/>
        </w:rPr>
        <w:drawing>
          <wp:inline distT="0" distB="0" distL="0" distR="0">
            <wp:extent cx="41379" cy="41378"/>
            <wp:effectExtent l="0" t="0" r="0" b="0"/>
            <wp:docPr id="592" name="Image 592"/>
            <wp:cNvGraphicFramePr/>
            <a:graphic xmlns:a="http://schemas.openxmlformats.org/drawingml/2006/main">
              <a:graphicData uri="http://schemas.openxmlformats.org/drawingml/2006/picture">
                <pic:pic xmlns:pic="http://schemas.openxmlformats.org/drawingml/2006/picture">
                  <pic:nvPicPr>
                    <pic:cNvPr id="592" name="Image 592"/>
                    <pic:cNvPicPr/>
                  </pic:nvPicPr>
                  <pic:blipFill>
                    <a:blip xmlns:r="http://schemas.openxmlformats.org/officeDocument/2006/relationships" r:embed="rId477" cstate="print"/>
                    <a:stretch>
                      <a:fillRect/>
                    </a:stretch>
                  </pic:blipFill>
                  <pic:spPr>
                    <a:xfrm>
                      <a:off x="0" y="0"/>
                      <a:ext cx="41379" cy="41378"/>
                    </a:xfrm>
                    <a:prstGeom prst="rect">
                      <a:avLst/>
                    </a:prstGeom>
                  </pic:spPr>
                </pic:pic>
              </a:graphicData>
            </a:graphic>
          </wp:inline>
        </w:drawing>
      </w:r>
      <w:r>
        <w:rPr>
          <w:spacing w:val="80"/>
        </w:rPr>
        <w:t xml:space="preserve"> </w:t>
      </w:r>
      <w:r>
        <w:t>\(R_{c}\) is the set of all assessed students within \(S_{c}\);</w:t>
      </w:r>
    </w:p>
    <w:p w:rsidR="003F5784" w14:paraId="51047143" w14:textId="77777777">
      <w:pPr>
        <w:pStyle w:val="BodyText"/>
        <w:spacing w:before="3"/>
        <w:ind w:left="422"/>
      </w:pPr>
      <w:r>
        <w:rPr>
          <w:noProof/>
          <w:position w:val="3"/>
        </w:rPr>
        <w:drawing>
          <wp:inline distT="0" distB="0" distL="0" distR="0">
            <wp:extent cx="41379" cy="41378"/>
            <wp:effectExtent l="0" t="0" r="0" b="0"/>
            <wp:docPr id="593" name="Image 593"/>
            <wp:cNvGraphicFramePr/>
            <a:graphic xmlns:a="http://schemas.openxmlformats.org/drawingml/2006/main">
              <a:graphicData uri="http://schemas.openxmlformats.org/drawingml/2006/picture">
                <pic:pic xmlns:pic="http://schemas.openxmlformats.org/drawingml/2006/picture">
                  <pic:nvPicPr>
                    <pic:cNvPr id="593" name="Image 593"/>
                    <pic:cNvPicPr/>
                  </pic:nvPicPr>
                  <pic:blipFill>
                    <a:blip xmlns:r="http://schemas.openxmlformats.org/officeDocument/2006/relationships" r:embed="rId478" cstate="print"/>
                    <a:stretch>
                      <a:fillRect/>
                    </a:stretch>
                  </pic:blipFill>
                  <pic:spPr>
                    <a:xfrm>
                      <a:off x="0" y="0"/>
                      <a:ext cx="41379" cy="41378"/>
                    </a:xfrm>
                    <a:prstGeom prst="rect">
                      <a:avLst/>
                    </a:prstGeom>
                  </pic:spPr>
                </pic:pic>
              </a:graphicData>
            </a:graphic>
          </wp:inline>
        </w:drawing>
      </w:r>
      <w:r>
        <w:rPr>
          <w:spacing w:val="80"/>
          <w:sz w:val="20"/>
        </w:rPr>
        <w:t xml:space="preserve"> </w:t>
      </w:r>
      <w:r>
        <w:t>\(STU\_BWT_{k}\) is the student base weight for a given student \(k\);</w:t>
      </w:r>
    </w:p>
    <w:p w:rsidR="003F5784" w14:paraId="327A0A95" w14:textId="77777777">
      <w:pPr>
        <w:pStyle w:val="BodyText"/>
        <w:spacing w:before="202"/>
        <w:ind w:left="422"/>
      </w:pPr>
      <w:r>
        <w:rPr>
          <w:noProof/>
          <w:position w:val="3"/>
        </w:rPr>
        <w:drawing>
          <wp:inline distT="0" distB="0" distL="0" distR="0">
            <wp:extent cx="41379" cy="41378"/>
            <wp:effectExtent l="0" t="0" r="0" b="0"/>
            <wp:docPr id="594" name="Image 594"/>
            <wp:cNvGraphicFramePr/>
            <a:graphic xmlns:a="http://schemas.openxmlformats.org/drawingml/2006/main">
              <a:graphicData uri="http://schemas.openxmlformats.org/drawingml/2006/picture">
                <pic:pic xmlns:pic="http://schemas.openxmlformats.org/drawingml/2006/picture">
                  <pic:nvPicPr>
                    <pic:cNvPr id="594" name="Image 594"/>
                    <pic:cNvPicPr/>
                  </pic:nvPicPr>
                  <pic:blipFill>
                    <a:blip xmlns:r="http://schemas.openxmlformats.org/officeDocument/2006/relationships" r:embed="rId479" cstate="print"/>
                    <a:stretch>
                      <a:fillRect/>
                    </a:stretch>
                  </pic:blipFill>
                  <pic:spPr>
                    <a:xfrm>
                      <a:off x="0" y="0"/>
                      <a:ext cx="41379" cy="41378"/>
                    </a:xfrm>
                    <a:prstGeom prst="rect">
                      <a:avLst/>
                    </a:prstGeom>
                  </pic:spPr>
                </pic:pic>
              </a:graphicData>
            </a:graphic>
          </wp:inline>
        </w:drawing>
      </w:r>
      <w:r>
        <w:rPr>
          <w:spacing w:val="80"/>
          <w:sz w:val="20"/>
        </w:rPr>
        <w:t xml:space="preserve"> </w:t>
      </w:r>
      <w:r>
        <w:t>\(SCH\_TRIM_{k}\) is the school-level weight trimming factor for the school associated with student \(k\);</w:t>
      </w:r>
    </w:p>
    <w:p w:rsidR="003F5784" w14:paraId="0EF4B78B" w14:textId="77777777">
      <w:pPr>
        <w:pStyle w:val="BodyText"/>
        <w:spacing w:before="201" w:line="439" w:lineRule="auto"/>
        <w:ind w:left="422" w:right="4342"/>
      </w:pPr>
      <w:r>
        <w:rPr>
          <w:noProof/>
          <w:position w:val="3"/>
        </w:rPr>
        <w:drawing>
          <wp:inline distT="0" distB="0" distL="0" distR="0">
            <wp:extent cx="41379" cy="41378"/>
            <wp:effectExtent l="0" t="0" r="0" b="0"/>
            <wp:docPr id="595" name="Image 595"/>
            <wp:cNvGraphicFramePr/>
            <a:graphic xmlns:a="http://schemas.openxmlformats.org/drawingml/2006/main">
              <a:graphicData uri="http://schemas.openxmlformats.org/drawingml/2006/picture">
                <pic:pic xmlns:pic="http://schemas.openxmlformats.org/drawingml/2006/picture">
                  <pic:nvPicPr>
                    <pic:cNvPr id="595" name="Image 595"/>
                    <pic:cNvPicPr/>
                  </pic:nvPicPr>
                  <pic:blipFill>
                    <a:blip xmlns:r="http://schemas.openxmlformats.org/officeDocument/2006/relationships" r:embed="rId480" cstate="print"/>
                    <a:stretch>
                      <a:fillRect/>
                    </a:stretch>
                  </pic:blipFill>
                  <pic:spPr>
                    <a:xfrm>
                      <a:off x="0" y="0"/>
                      <a:ext cx="41379" cy="41378"/>
                    </a:xfrm>
                    <a:prstGeom prst="rect">
                      <a:avLst/>
                    </a:prstGeom>
                  </pic:spPr>
                </pic:pic>
              </a:graphicData>
            </a:graphic>
          </wp:inline>
        </w:drawing>
      </w:r>
      <w:r>
        <w:rPr>
          <w:spacing w:val="77"/>
          <w:sz w:val="20"/>
        </w:rPr>
        <w:t xml:space="preserve"> </w:t>
      </w:r>
      <w:r>
        <w:t>\(SCH\_NRAF_{k}\)</w:t>
      </w:r>
      <w:r>
        <w:rPr>
          <w:spacing w:val="-7"/>
        </w:rPr>
        <w:t xml:space="preserve"> </w:t>
      </w:r>
      <w:r>
        <w:t>is</w:t>
      </w:r>
      <w:r>
        <w:rPr>
          <w:spacing w:val="-7"/>
        </w:rPr>
        <w:t xml:space="preserve"> </w:t>
      </w:r>
      <w:r>
        <w:t>the</w:t>
      </w:r>
      <w:r>
        <w:rPr>
          <w:spacing w:val="-7"/>
        </w:rPr>
        <w:t xml:space="preserve"> </w:t>
      </w:r>
      <w:r>
        <w:t>school-level</w:t>
      </w:r>
      <w:r>
        <w:rPr>
          <w:spacing w:val="-7"/>
        </w:rPr>
        <w:t xml:space="preserve"> </w:t>
      </w:r>
      <w:r>
        <w:t>nonresponse</w:t>
      </w:r>
      <w:r>
        <w:rPr>
          <w:spacing w:val="-7"/>
        </w:rPr>
        <w:t xml:space="preserve"> </w:t>
      </w:r>
      <w:r>
        <w:t>adjustment</w:t>
      </w:r>
      <w:r>
        <w:rPr>
          <w:spacing w:val="-7"/>
        </w:rPr>
        <w:t xml:space="preserve"> </w:t>
      </w:r>
      <w:r>
        <w:t>factor</w:t>
      </w:r>
      <w:r>
        <w:rPr>
          <w:spacing w:val="-7"/>
        </w:rPr>
        <w:t xml:space="preserve"> </w:t>
      </w:r>
      <w:r>
        <w:t>for</w:t>
      </w:r>
      <w:r>
        <w:rPr>
          <w:spacing w:val="-7"/>
        </w:rPr>
        <w:t xml:space="preserve"> </w:t>
      </w:r>
      <w:r>
        <w:t>the</w:t>
      </w:r>
      <w:r>
        <w:rPr>
          <w:spacing w:val="-7"/>
        </w:rPr>
        <w:t xml:space="preserve"> </w:t>
      </w:r>
      <w:r>
        <w:t>school</w:t>
      </w:r>
      <w:r>
        <w:rPr>
          <w:spacing w:val="-7"/>
        </w:rPr>
        <w:t xml:space="preserve"> </w:t>
      </w:r>
      <w:r>
        <w:t>associated</w:t>
      </w:r>
      <w:r>
        <w:rPr>
          <w:spacing w:val="-7"/>
        </w:rPr>
        <w:t xml:space="preserve"> </w:t>
      </w:r>
      <w:r>
        <w:t>with</w:t>
      </w:r>
      <w:r>
        <w:rPr>
          <w:spacing w:val="-7"/>
        </w:rPr>
        <w:t xml:space="preserve"> </w:t>
      </w:r>
      <w:r>
        <w:t>student</w:t>
      </w:r>
      <w:r>
        <w:rPr>
          <w:spacing w:val="-7"/>
        </w:rPr>
        <w:t xml:space="preserve"> </w:t>
      </w:r>
      <w:r>
        <w:t>\(k\);</w:t>
      </w:r>
      <w:r>
        <w:rPr>
          <w:spacing w:val="-7"/>
        </w:rPr>
        <w:t xml:space="preserve"> </w:t>
      </w:r>
      <w:r>
        <w:t xml:space="preserve">and </w:t>
      </w:r>
      <w:r>
        <w:rPr>
          <w:noProof/>
          <w:position w:val="3"/>
        </w:rPr>
        <w:drawing>
          <wp:inline distT="0" distB="0" distL="0" distR="0">
            <wp:extent cx="41379" cy="41378"/>
            <wp:effectExtent l="0" t="0" r="0" b="0"/>
            <wp:docPr id="596" name="Image 596"/>
            <wp:cNvGraphicFramePr/>
            <a:graphic xmlns:a="http://schemas.openxmlformats.org/drawingml/2006/main">
              <a:graphicData uri="http://schemas.openxmlformats.org/drawingml/2006/picture">
                <pic:pic xmlns:pic="http://schemas.openxmlformats.org/drawingml/2006/picture">
                  <pic:nvPicPr>
                    <pic:cNvPr id="596" name="Image 596"/>
                    <pic:cNvPicPr/>
                  </pic:nvPicPr>
                  <pic:blipFill>
                    <a:blip xmlns:r="http://schemas.openxmlformats.org/officeDocument/2006/relationships" r:embed="rId481" cstate="print"/>
                    <a:stretch>
                      <a:fillRect/>
                    </a:stretch>
                  </pic:blipFill>
                  <pic:spPr>
                    <a:xfrm>
                      <a:off x="0" y="0"/>
                      <a:ext cx="41379" cy="41378"/>
                    </a:xfrm>
                    <a:prstGeom prst="rect">
                      <a:avLst/>
                    </a:prstGeom>
                  </pic:spPr>
                </pic:pic>
              </a:graphicData>
            </a:graphic>
          </wp:inline>
        </w:drawing>
      </w:r>
      <w:r>
        <w:rPr>
          <w:spacing w:val="80"/>
        </w:rPr>
        <w:t xml:space="preserve"> </w:t>
      </w:r>
      <w:r>
        <w:t>\(SUBJFAC_{k}\) is the subject factor for student \(k\).</w:t>
      </w:r>
    </w:p>
    <w:p w:rsidR="003F5784" w14:paraId="5D3218ED" w14:textId="77777777">
      <w:pPr>
        <w:pStyle w:val="BodyText"/>
        <w:spacing w:before="3"/>
        <w:ind w:left="109"/>
      </w:pPr>
      <w:r>
        <w:t>The</w:t>
      </w:r>
      <w:r>
        <w:rPr>
          <w:spacing w:val="-6"/>
        </w:rPr>
        <w:t xml:space="preserve"> </w:t>
      </w:r>
      <w:r>
        <w:t>student</w:t>
      </w:r>
      <w:r>
        <w:rPr>
          <w:spacing w:val="-6"/>
        </w:rPr>
        <w:t xml:space="preserve"> </w:t>
      </w:r>
      <w:r>
        <w:t>weight</w:t>
      </w:r>
      <w:r>
        <w:rPr>
          <w:spacing w:val="-6"/>
        </w:rPr>
        <w:t xml:space="preserve"> </w:t>
      </w:r>
      <w:r>
        <w:t>used</w:t>
      </w:r>
      <w:r>
        <w:rPr>
          <w:spacing w:val="-6"/>
        </w:rPr>
        <w:t xml:space="preserve"> </w:t>
      </w:r>
      <w:r>
        <w:t>in</w:t>
      </w:r>
      <w:r>
        <w:rPr>
          <w:spacing w:val="-6"/>
        </w:rPr>
        <w:t xml:space="preserve"> </w:t>
      </w:r>
      <w:r>
        <w:t>the</w:t>
      </w:r>
      <w:r>
        <w:rPr>
          <w:spacing w:val="-6"/>
        </w:rPr>
        <w:t xml:space="preserve"> </w:t>
      </w:r>
      <w:r>
        <w:t>calculation</w:t>
      </w:r>
      <w:r>
        <w:rPr>
          <w:spacing w:val="-5"/>
        </w:rPr>
        <w:t xml:space="preserve"> </w:t>
      </w:r>
      <w:r>
        <w:t>above</w:t>
      </w:r>
      <w:r>
        <w:rPr>
          <w:spacing w:val="-6"/>
        </w:rPr>
        <w:t xml:space="preserve"> </w:t>
      </w:r>
      <w:r>
        <w:t>is</w:t>
      </w:r>
      <w:r>
        <w:rPr>
          <w:spacing w:val="-6"/>
        </w:rPr>
        <w:t xml:space="preserve"> </w:t>
      </w:r>
      <w:r>
        <w:t>the</w:t>
      </w:r>
      <w:r>
        <w:rPr>
          <w:spacing w:val="-6"/>
        </w:rPr>
        <w:t xml:space="preserve"> </w:t>
      </w:r>
      <w:r>
        <w:t>adjusted</w:t>
      </w:r>
      <w:r>
        <w:rPr>
          <w:spacing w:val="-6"/>
        </w:rPr>
        <w:t xml:space="preserve"> </w:t>
      </w:r>
      <w:r>
        <w:t>student</w:t>
      </w:r>
      <w:r>
        <w:rPr>
          <w:spacing w:val="-6"/>
        </w:rPr>
        <w:t xml:space="preserve"> </w:t>
      </w:r>
      <w:r>
        <w:t>base</w:t>
      </w:r>
      <w:r>
        <w:rPr>
          <w:spacing w:val="-6"/>
        </w:rPr>
        <w:t xml:space="preserve"> </w:t>
      </w:r>
      <w:r>
        <w:t>weight,</w:t>
      </w:r>
      <w:r>
        <w:rPr>
          <w:spacing w:val="-5"/>
        </w:rPr>
        <w:t xml:space="preserve"> </w:t>
      </w:r>
      <w:r>
        <w:t>without</w:t>
      </w:r>
      <w:r>
        <w:rPr>
          <w:spacing w:val="-6"/>
        </w:rPr>
        <w:t xml:space="preserve"> </w:t>
      </w:r>
      <w:r>
        <w:t>regard</w:t>
      </w:r>
      <w:r>
        <w:rPr>
          <w:spacing w:val="-6"/>
        </w:rPr>
        <w:t xml:space="preserve"> </w:t>
      </w:r>
      <w:r>
        <w:t>to</w:t>
      </w:r>
      <w:r>
        <w:rPr>
          <w:spacing w:val="-6"/>
        </w:rPr>
        <w:t xml:space="preserve"> </w:t>
      </w:r>
      <w:r>
        <w:t>subject,</w:t>
      </w:r>
      <w:r>
        <w:rPr>
          <w:spacing w:val="-6"/>
        </w:rPr>
        <w:t xml:space="preserve"> </w:t>
      </w:r>
      <w:r>
        <w:t>adjusted</w:t>
      </w:r>
      <w:r>
        <w:rPr>
          <w:spacing w:val="-6"/>
        </w:rPr>
        <w:t xml:space="preserve"> </w:t>
      </w:r>
      <w:r>
        <w:t>for</w:t>
      </w:r>
      <w:r>
        <w:rPr>
          <w:spacing w:val="-5"/>
        </w:rPr>
        <w:t xml:space="preserve"> </w:t>
      </w:r>
      <w:r>
        <w:t>school</w:t>
      </w:r>
      <w:r>
        <w:rPr>
          <w:spacing w:val="-6"/>
        </w:rPr>
        <w:t xml:space="preserve"> </w:t>
      </w:r>
      <w:r>
        <w:t>weight</w:t>
      </w:r>
      <w:r>
        <w:rPr>
          <w:spacing w:val="-6"/>
        </w:rPr>
        <w:t xml:space="preserve"> </w:t>
      </w:r>
      <w:r>
        <w:t>trimming</w:t>
      </w:r>
      <w:r>
        <w:rPr>
          <w:spacing w:val="-6"/>
        </w:rPr>
        <w:t xml:space="preserve"> </w:t>
      </w:r>
      <w:r>
        <w:t>and</w:t>
      </w:r>
      <w:r>
        <w:rPr>
          <w:spacing w:val="-6"/>
        </w:rPr>
        <w:t xml:space="preserve"> </w:t>
      </w:r>
      <w:r>
        <w:t>school</w:t>
      </w:r>
      <w:r>
        <w:rPr>
          <w:spacing w:val="-6"/>
        </w:rPr>
        <w:t xml:space="preserve"> </w:t>
      </w:r>
      <w:r>
        <w:rPr>
          <w:spacing w:val="-2"/>
        </w:rPr>
        <w:t>nonresponse.</w:t>
      </w:r>
    </w:p>
    <w:p w:rsidR="003F5784" w14:paraId="65F3163C" w14:textId="77777777">
      <w:pPr>
        <w:pStyle w:val="BodyText"/>
        <w:spacing w:before="207" w:line="232" w:lineRule="auto"/>
        <w:ind w:left="109" w:right="179"/>
      </w:pPr>
      <w:r>
        <w:t>Nonresponse adjustment procedures are not applied to excluded students or full-time remote students because these students are not required to complete an assessment. In effect,</w:t>
      </w:r>
      <w:r>
        <w:rPr>
          <w:spacing w:val="-6"/>
        </w:rPr>
        <w:t xml:space="preserve"> </w:t>
      </w:r>
      <w:r>
        <w:t>these</w:t>
      </w:r>
      <w:r>
        <w:rPr>
          <w:spacing w:val="-6"/>
        </w:rPr>
        <w:t xml:space="preserve"> </w:t>
      </w:r>
      <w:r>
        <w:t>students</w:t>
      </w:r>
      <w:r>
        <w:rPr>
          <w:spacing w:val="-6"/>
        </w:rPr>
        <w:t xml:space="preserve"> </w:t>
      </w:r>
      <w:r>
        <w:t>were</w:t>
      </w:r>
      <w:r>
        <w:rPr>
          <w:spacing w:val="-6"/>
        </w:rPr>
        <w:t xml:space="preserve"> </w:t>
      </w:r>
      <w:r>
        <w:t>placed</w:t>
      </w:r>
      <w:r>
        <w:rPr>
          <w:spacing w:val="-6"/>
        </w:rPr>
        <w:t xml:space="preserve"> </w:t>
      </w:r>
      <w:r>
        <w:t>in</w:t>
      </w:r>
      <w:r>
        <w:rPr>
          <w:spacing w:val="-6"/>
        </w:rPr>
        <w:t xml:space="preserve"> </w:t>
      </w:r>
      <w:r>
        <w:t>a</w:t>
      </w:r>
      <w:r>
        <w:rPr>
          <w:spacing w:val="-6"/>
        </w:rPr>
        <w:t xml:space="preserve"> </w:t>
      </w:r>
      <w:r>
        <w:t>separate</w:t>
      </w:r>
      <w:r>
        <w:rPr>
          <w:spacing w:val="-6"/>
        </w:rPr>
        <w:t xml:space="preserve"> </w:t>
      </w:r>
      <w:r>
        <w:t>nonresponse</w:t>
      </w:r>
      <w:r>
        <w:rPr>
          <w:spacing w:val="-6"/>
        </w:rPr>
        <w:t xml:space="preserve"> </w:t>
      </w:r>
      <w:r>
        <w:t>cell</w:t>
      </w:r>
      <w:r>
        <w:rPr>
          <w:spacing w:val="-6"/>
        </w:rPr>
        <w:t xml:space="preserve"> </w:t>
      </w:r>
      <w:r>
        <w:t>by</w:t>
      </w:r>
      <w:r>
        <w:rPr>
          <w:spacing w:val="-6"/>
        </w:rPr>
        <w:t xml:space="preserve"> </w:t>
      </w:r>
      <w:r>
        <w:t>themselves,</w:t>
      </w:r>
      <w:r>
        <w:rPr>
          <w:spacing w:val="-6"/>
        </w:rPr>
        <w:t xml:space="preserve"> </w:t>
      </w:r>
      <w:r>
        <w:t>and</w:t>
      </w:r>
      <w:r>
        <w:rPr>
          <w:spacing w:val="-6"/>
        </w:rPr>
        <w:t xml:space="preserve"> </w:t>
      </w:r>
      <w:r>
        <w:t>all</w:t>
      </w:r>
      <w:r>
        <w:rPr>
          <w:spacing w:val="-6"/>
        </w:rPr>
        <w:t xml:space="preserve"> </w:t>
      </w:r>
      <w:r>
        <w:t>received</w:t>
      </w:r>
      <w:r>
        <w:rPr>
          <w:spacing w:val="-6"/>
        </w:rPr>
        <w:t xml:space="preserve"> </w:t>
      </w:r>
      <w:r>
        <w:t>an</w:t>
      </w:r>
      <w:r>
        <w:rPr>
          <w:spacing w:val="-6"/>
        </w:rPr>
        <w:t xml:space="preserve"> </w:t>
      </w:r>
      <w:r>
        <w:t>adjustment</w:t>
      </w:r>
      <w:r>
        <w:rPr>
          <w:spacing w:val="-6"/>
        </w:rPr>
        <w:t xml:space="preserve"> </w:t>
      </w:r>
      <w:r>
        <w:t>factor</w:t>
      </w:r>
      <w:r>
        <w:rPr>
          <w:spacing w:val="-6"/>
        </w:rPr>
        <w:t xml:space="preserve"> </w:t>
      </w:r>
      <w:r>
        <w:t>of</w:t>
      </w:r>
      <w:r>
        <w:rPr>
          <w:spacing w:val="-6"/>
        </w:rPr>
        <w:t xml:space="preserve"> </w:t>
      </w:r>
      <w:r>
        <w:t>1.</w:t>
      </w:r>
      <w:r>
        <w:rPr>
          <w:spacing w:val="-9"/>
        </w:rPr>
        <w:t xml:space="preserve"> </w:t>
      </w:r>
      <w:r>
        <w:t>While</w:t>
      </w:r>
      <w:r>
        <w:rPr>
          <w:spacing w:val="-6"/>
        </w:rPr>
        <w:t xml:space="preserve"> </w:t>
      </w:r>
      <w:r>
        <w:t>these</w:t>
      </w:r>
      <w:r>
        <w:rPr>
          <w:spacing w:val="-6"/>
        </w:rPr>
        <w:t xml:space="preserve"> </w:t>
      </w:r>
      <w:r>
        <w:t>students</w:t>
      </w:r>
      <w:r>
        <w:rPr>
          <w:spacing w:val="-6"/>
        </w:rPr>
        <w:t xml:space="preserve"> </w:t>
      </w:r>
      <w:r>
        <w:t>are</w:t>
      </w:r>
      <w:r>
        <w:rPr>
          <w:spacing w:val="-6"/>
        </w:rPr>
        <w:t xml:space="preserve"> </w:t>
      </w:r>
      <w:r>
        <w:t>not</w:t>
      </w:r>
      <w:r>
        <w:rPr>
          <w:spacing w:val="-6"/>
        </w:rPr>
        <w:t xml:space="preserve"> </w:t>
      </w:r>
      <w:r>
        <w:t>included</w:t>
      </w:r>
      <w:r>
        <w:rPr>
          <w:spacing w:val="-6"/>
        </w:rPr>
        <w:t xml:space="preserve"> </w:t>
      </w:r>
      <w:r>
        <w:t>in</w:t>
      </w:r>
      <w:r>
        <w:rPr>
          <w:spacing w:val="-6"/>
        </w:rPr>
        <w:t xml:space="preserve"> </w:t>
      </w:r>
      <w:r>
        <w:t>the</w:t>
      </w:r>
      <w:r>
        <w:rPr>
          <w:spacing w:val="-6"/>
        </w:rPr>
        <w:t xml:space="preserve"> </w:t>
      </w:r>
      <w:r>
        <w:t>analysis of the NAEP</w:t>
      </w:r>
      <w:r>
        <w:rPr>
          <w:spacing w:val="-6"/>
        </w:rPr>
        <w:t xml:space="preserve"> </w:t>
      </w:r>
      <w:r>
        <w:t>scores, weights are provided for them in order to estimate the sizes of these groups and their population characteristics.</w:t>
      </w:r>
    </w:p>
    <w:p w:rsidR="003F5784" w14:paraId="39A8E958" w14:textId="77777777">
      <w:pPr>
        <w:spacing w:line="232" w:lineRule="auto"/>
        <w:sectPr>
          <w:pgSz w:w="15840" w:h="12240" w:orient="landscape"/>
          <w:pgMar w:top="480" w:right="440" w:bottom="460" w:left="460" w:header="284" w:footer="275" w:gutter="0"/>
          <w:cols w:space="720"/>
        </w:sectPr>
      </w:pPr>
    </w:p>
    <w:p w:rsidR="003F5784" w14:paraId="200C9DE0" w14:textId="77777777">
      <w:pPr>
        <w:spacing w:before="87"/>
        <w:ind w:left="4145"/>
        <w:rPr>
          <w:sz w:val="18"/>
        </w:rPr>
      </w:pPr>
      <w:hyperlink r:id="rId482">
        <w:r>
          <w:rPr>
            <w:spacing w:val="-2"/>
            <w:w w:val="105"/>
            <w:sz w:val="18"/>
          </w:rPr>
          <w:t>http://nces.ed.gov/nationsreportcard/tdw/weighting/2022/student_nonresponse_adjustment_factor_calculation_for_the_2022_assessment.aspx</w:t>
        </w:r>
      </w:hyperlink>
    </w:p>
    <w:p w:rsidR="003F5784" w14:paraId="1F116A1A" w14:textId="77777777">
      <w:pPr>
        <w:pStyle w:val="BodyText"/>
        <w:spacing w:before="11"/>
        <w:rPr>
          <w:sz w:val="14"/>
        </w:rPr>
      </w:pPr>
      <w:r>
        <w:rPr>
          <w:noProof/>
        </w:rPr>
        <mc:AlternateContent>
          <mc:Choice Requires="wps">
            <w:drawing>
              <wp:anchor distT="0" distB="0" distL="0" distR="0" simplePos="0" relativeHeight="251997184" behindDoc="1" locked="0" layoutInCell="1" allowOverlap="1">
                <wp:simplePos x="0" y="0"/>
                <wp:positionH relativeFrom="page">
                  <wp:posOffset>361937</wp:posOffset>
                </wp:positionH>
                <wp:positionV relativeFrom="paragraph">
                  <wp:posOffset>124543</wp:posOffset>
                </wp:positionV>
                <wp:extent cx="9339580" cy="8890"/>
                <wp:effectExtent l="0" t="0" r="0" b="0"/>
                <wp:wrapTopAndBottom/>
                <wp:docPr id="597" name="Graphic 597"/>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63"/>
                              </a:moveTo>
                              <a:lnTo>
                                <a:pt x="9335110" y="63"/>
                              </a:lnTo>
                              <a:lnTo>
                                <a:pt x="8280" y="63"/>
                              </a:lnTo>
                              <a:lnTo>
                                <a:pt x="0" y="0"/>
                              </a:lnTo>
                              <a:lnTo>
                                <a:pt x="0" y="8267"/>
                              </a:lnTo>
                              <a:lnTo>
                                <a:pt x="9335110" y="8343"/>
                              </a:lnTo>
                              <a:lnTo>
                                <a:pt x="9338970" y="8343"/>
                              </a:lnTo>
                              <a:lnTo>
                                <a:pt x="9338970" y="63"/>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97" o:spid="_x0000_s1184" style="width:735.4pt;height:0.7pt;margin-top:9.8pt;margin-left:28.5pt;mso-position-horizontal-relative:page;mso-wrap-distance-bottom:0;mso-wrap-distance-left:0;mso-wrap-distance-right:0;mso-wrap-distance-top:0;mso-wrap-style:square;position:absolute;visibility:visible;v-text-anchor:top;z-index:-251318272" coordsize="9339580,8890" path="m9338970,63l9335110,63l8280,63,,,,8267l9335110,8343l9338970,8343l9338970,63xe" fillcolor="gray" stroked="f">
                <v:path arrowok="t"/>
                <w10:wrap type="topAndBottom"/>
              </v:shape>
            </w:pict>
          </mc:Fallback>
        </mc:AlternateContent>
      </w:r>
    </w:p>
    <w:p w:rsidR="003F5784" w14:paraId="7A20251C" w14:textId="77777777">
      <w:pPr>
        <w:pStyle w:val="BodyText"/>
        <w:rPr>
          <w:sz w:val="18"/>
        </w:rPr>
      </w:pPr>
    </w:p>
    <w:p w:rsidR="003F5784" w14:paraId="3E3C8FD1" w14:textId="77777777">
      <w:pPr>
        <w:pStyle w:val="BodyText"/>
        <w:spacing w:before="206"/>
        <w:rPr>
          <w:sz w:val="18"/>
        </w:rPr>
      </w:pPr>
    </w:p>
    <w:p w:rsidR="003F5784" w14:paraId="34662D74" w14:textId="3BB307D6">
      <w:pPr>
        <w:pStyle w:val="Heading1"/>
        <w:spacing w:line="244" w:lineRule="auto"/>
        <w:ind w:right="1264"/>
      </w:pPr>
      <w:r>
        <w:t>NAEP</w:t>
      </w:r>
      <w:r>
        <w:rPr>
          <w:spacing w:val="-20"/>
        </w:rPr>
        <w:t xml:space="preserve"> </w:t>
      </w:r>
      <w:r>
        <w:t>Technical Documentation</w:t>
      </w:r>
      <w:r w:rsidR="00ED683B">
        <w:t xml:space="preserve"> </w:t>
      </w:r>
      <w:r>
        <w:t xml:space="preserve">School and Student Weight Trimming </w:t>
      </w:r>
      <w:r>
        <w:rPr>
          <w:spacing w:val="-2"/>
        </w:rPr>
        <w:t>Adjustments</w:t>
      </w:r>
    </w:p>
    <w:p w:rsidR="003F5784" w14:paraId="4EEA7D87" w14:textId="77777777">
      <w:pPr>
        <w:pStyle w:val="BodyText"/>
        <w:spacing w:before="5"/>
        <w:rPr>
          <w:b/>
          <w:sz w:val="15"/>
        </w:rPr>
      </w:pPr>
    </w:p>
    <w:p w:rsidR="003F5784" w14:paraId="14DE7B56" w14:textId="77777777">
      <w:pPr>
        <w:rPr>
          <w:sz w:val="15"/>
        </w:rPr>
        <w:sectPr>
          <w:pgSz w:w="15840" w:h="12240" w:orient="landscape"/>
          <w:pgMar w:top="480" w:right="440" w:bottom="460" w:left="460" w:header="284" w:footer="275" w:gutter="0"/>
          <w:cols w:space="720"/>
        </w:sectPr>
      </w:pPr>
    </w:p>
    <w:p w:rsidR="003F5784" w14:paraId="362E5D2C" w14:textId="77777777">
      <w:pPr>
        <w:pStyle w:val="BodyText"/>
        <w:spacing w:before="90" w:line="238" w:lineRule="exact"/>
        <w:ind w:left="109"/>
      </w:pPr>
      <w:r>
        <w:t>Weight</w:t>
      </w:r>
      <w:r>
        <w:rPr>
          <w:spacing w:val="-9"/>
        </w:rPr>
        <w:t xml:space="preserve"> </w:t>
      </w:r>
      <w:r>
        <w:t>trimming</w:t>
      </w:r>
      <w:r>
        <w:rPr>
          <w:spacing w:val="-9"/>
        </w:rPr>
        <w:t xml:space="preserve"> </w:t>
      </w:r>
      <w:r>
        <w:t>is</w:t>
      </w:r>
      <w:r>
        <w:rPr>
          <w:spacing w:val="-8"/>
        </w:rPr>
        <w:t xml:space="preserve"> </w:t>
      </w:r>
      <w:r>
        <w:t>an</w:t>
      </w:r>
      <w:r>
        <w:rPr>
          <w:spacing w:val="-9"/>
        </w:rPr>
        <w:t xml:space="preserve"> </w:t>
      </w:r>
      <w:r>
        <w:t>adjustment</w:t>
      </w:r>
      <w:r>
        <w:rPr>
          <w:spacing w:val="-9"/>
        </w:rPr>
        <w:t xml:space="preserve"> </w:t>
      </w:r>
      <w:r>
        <w:t>procedure</w:t>
      </w:r>
      <w:r>
        <w:rPr>
          <w:spacing w:val="-8"/>
        </w:rPr>
        <w:t xml:space="preserve"> </w:t>
      </w:r>
      <w:r>
        <w:t>that</w:t>
      </w:r>
      <w:r>
        <w:rPr>
          <w:spacing w:val="-9"/>
        </w:rPr>
        <w:t xml:space="preserve"> </w:t>
      </w:r>
      <w:r>
        <w:t>involves</w:t>
      </w:r>
      <w:r>
        <w:rPr>
          <w:spacing w:val="-8"/>
        </w:rPr>
        <w:t xml:space="preserve"> </w:t>
      </w:r>
      <w:r>
        <w:t>detecting</w:t>
      </w:r>
      <w:r>
        <w:rPr>
          <w:spacing w:val="-9"/>
        </w:rPr>
        <w:t xml:space="preserve"> </w:t>
      </w:r>
      <w:r>
        <w:t>and</w:t>
      </w:r>
      <w:r>
        <w:rPr>
          <w:spacing w:val="-9"/>
        </w:rPr>
        <w:t xml:space="preserve"> </w:t>
      </w:r>
      <w:r>
        <w:t>reducing</w:t>
      </w:r>
      <w:r>
        <w:rPr>
          <w:spacing w:val="-8"/>
        </w:rPr>
        <w:t xml:space="preserve"> </w:t>
      </w:r>
      <w:r>
        <w:t>extremely</w:t>
      </w:r>
      <w:r>
        <w:rPr>
          <w:spacing w:val="-9"/>
        </w:rPr>
        <w:t xml:space="preserve"> </w:t>
      </w:r>
      <w:r>
        <w:t>large</w:t>
      </w:r>
      <w:r>
        <w:rPr>
          <w:spacing w:val="-8"/>
        </w:rPr>
        <w:t xml:space="preserve"> </w:t>
      </w:r>
      <w:r>
        <w:t>weights.</w:t>
      </w:r>
      <w:r>
        <w:rPr>
          <w:spacing w:val="-9"/>
        </w:rPr>
        <w:t xml:space="preserve"> </w:t>
      </w:r>
      <w:r>
        <w:t>"Extremely</w:t>
      </w:r>
      <w:r>
        <w:rPr>
          <w:spacing w:val="-9"/>
        </w:rPr>
        <w:t xml:space="preserve"> </w:t>
      </w:r>
      <w:r>
        <w:t>large</w:t>
      </w:r>
      <w:r>
        <w:rPr>
          <w:spacing w:val="-8"/>
        </w:rPr>
        <w:t xml:space="preserve"> </w:t>
      </w:r>
      <w:r>
        <w:rPr>
          <w:spacing w:val="-2"/>
        </w:rPr>
        <w:t>weights"</w:t>
      </w:r>
    </w:p>
    <w:p w:rsidR="003F5784" w14:paraId="2BB92D0A" w14:textId="77777777">
      <w:pPr>
        <w:pStyle w:val="BodyText"/>
        <w:spacing w:before="3" w:line="232" w:lineRule="auto"/>
        <w:ind w:left="109"/>
      </w:pPr>
      <w:r>
        <w:t>generally</w:t>
      </w:r>
      <w:r>
        <w:rPr>
          <w:spacing w:val="-3"/>
        </w:rPr>
        <w:t xml:space="preserve"> </w:t>
      </w:r>
      <w:r>
        <w:t>refer</w:t>
      </w:r>
      <w:r>
        <w:rPr>
          <w:spacing w:val="-3"/>
        </w:rPr>
        <w:t xml:space="preserve"> </w:t>
      </w:r>
      <w:r>
        <w:t>to</w:t>
      </w:r>
      <w:r>
        <w:rPr>
          <w:spacing w:val="-3"/>
        </w:rPr>
        <w:t xml:space="preserve"> </w:t>
      </w:r>
      <w:r>
        <w:t>large</w:t>
      </w:r>
      <w:r>
        <w:rPr>
          <w:spacing w:val="-3"/>
        </w:rPr>
        <w:t xml:space="preserve"> </w:t>
      </w:r>
      <w:r>
        <w:t>sampling</w:t>
      </w:r>
      <w:r>
        <w:rPr>
          <w:spacing w:val="-3"/>
        </w:rPr>
        <w:t xml:space="preserve"> </w:t>
      </w:r>
      <w:r>
        <w:t>weights</w:t>
      </w:r>
      <w:r>
        <w:rPr>
          <w:spacing w:val="-3"/>
        </w:rPr>
        <w:t xml:space="preserve"> </w:t>
      </w:r>
      <w:r>
        <w:t>that</w:t>
      </w:r>
      <w:r>
        <w:rPr>
          <w:spacing w:val="-3"/>
        </w:rPr>
        <w:t xml:space="preserve"> </w:t>
      </w:r>
      <w:r>
        <w:t>were</w:t>
      </w:r>
      <w:r>
        <w:rPr>
          <w:spacing w:val="-3"/>
        </w:rPr>
        <w:t xml:space="preserve"> </w:t>
      </w:r>
      <w:r>
        <w:t>not</w:t>
      </w:r>
      <w:r>
        <w:rPr>
          <w:spacing w:val="-3"/>
        </w:rPr>
        <w:t xml:space="preserve"> </w:t>
      </w:r>
      <w:r>
        <w:t>anticipated</w:t>
      </w:r>
      <w:r>
        <w:rPr>
          <w:spacing w:val="-3"/>
        </w:rPr>
        <w:t xml:space="preserve"> </w:t>
      </w:r>
      <w:r>
        <w:t>in</w:t>
      </w:r>
      <w:r>
        <w:rPr>
          <w:spacing w:val="-3"/>
        </w:rPr>
        <w:t xml:space="preserve"> </w:t>
      </w:r>
      <w:r>
        <w:t>the</w:t>
      </w:r>
      <w:r>
        <w:rPr>
          <w:spacing w:val="-3"/>
        </w:rPr>
        <w:t xml:space="preserve"> </w:t>
      </w:r>
      <w:r>
        <w:t>design</w:t>
      </w:r>
      <w:r>
        <w:rPr>
          <w:spacing w:val="-3"/>
        </w:rPr>
        <w:t xml:space="preserve"> </w:t>
      </w:r>
      <w:r>
        <w:t>of</w:t>
      </w:r>
      <w:r>
        <w:rPr>
          <w:spacing w:val="-3"/>
        </w:rPr>
        <w:t xml:space="preserve"> </w:t>
      </w:r>
      <w:r>
        <w:t>the</w:t>
      </w:r>
      <w:r>
        <w:rPr>
          <w:spacing w:val="-3"/>
        </w:rPr>
        <w:t xml:space="preserve"> </w:t>
      </w:r>
      <w:r>
        <w:t>sample.</w:t>
      </w:r>
      <w:r>
        <w:rPr>
          <w:spacing w:val="-3"/>
        </w:rPr>
        <w:t xml:space="preserve"> </w:t>
      </w:r>
      <w:r>
        <w:t>Unusually</w:t>
      </w:r>
      <w:r>
        <w:rPr>
          <w:spacing w:val="-3"/>
        </w:rPr>
        <w:t xml:space="preserve"> </w:t>
      </w:r>
      <w:r>
        <w:t>large</w:t>
      </w:r>
      <w:r>
        <w:rPr>
          <w:spacing w:val="-3"/>
        </w:rPr>
        <w:t xml:space="preserve"> </w:t>
      </w:r>
      <w:r>
        <w:t>weights</w:t>
      </w:r>
      <w:r>
        <w:rPr>
          <w:spacing w:val="-3"/>
        </w:rPr>
        <w:t xml:space="preserve"> </w:t>
      </w:r>
      <w:r>
        <w:t>are</w:t>
      </w:r>
      <w:r>
        <w:rPr>
          <w:spacing w:val="-3"/>
        </w:rPr>
        <w:t xml:space="preserve"> </w:t>
      </w:r>
      <w:r>
        <w:t>likely</w:t>
      </w:r>
      <w:r>
        <w:rPr>
          <w:spacing w:val="-3"/>
        </w:rPr>
        <w:t xml:space="preserve"> </w:t>
      </w:r>
      <w:r>
        <w:t>to</w:t>
      </w:r>
      <w:r>
        <w:rPr>
          <w:spacing w:val="-3"/>
        </w:rPr>
        <w:t xml:space="preserve"> </w:t>
      </w:r>
      <w:r>
        <w:t>produce</w:t>
      </w:r>
      <w:r>
        <w:rPr>
          <w:spacing w:val="-3"/>
        </w:rPr>
        <w:t xml:space="preserve"> </w:t>
      </w:r>
      <w:r>
        <w:t>large sampling variances for statistics of interest, especially when the large weights are associated with sample cases reflective of rare or atypical characteristics.</w:t>
      </w:r>
      <w:r>
        <w:rPr>
          <w:spacing w:val="-11"/>
        </w:rPr>
        <w:t xml:space="preserve"> </w:t>
      </w:r>
      <w:r>
        <w:t>To</w:t>
      </w:r>
      <w:r>
        <w:rPr>
          <w:spacing w:val="-8"/>
        </w:rPr>
        <w:t xml:space="preserve"> </w:t>
      </w:r>
      <w:r>
        <w:t>reduce</w:t>
      </w:r>
      <w:r>
        <w:rPr>
          <w:spacing w:val="-8"/>
        </w:rPr>
        <w:t xml:space="preserve"> </w:t>
      </w:r>
      <w:r>
        <w:t>the</w:t>
      </w:r>
      <w:r>
        <w:rPr>
          <w:spacing w:val="-8"/>
        </w:rPr>
        <w:t xml:space="preserve"> </w:t>
      </w:r>
      <w:r>
        <w:t>impact</w:t>
      </w:r>
      <w:r>
        <w:rPr>
          <w:spacing w:val="-8"/>
        </w:rPr>
        <w:t xml:space="preserve"> </w:t>
      </w:r>
      <w:r>
        <w:t>of</w:t>
      </w:r>
      <w:r>
        <w:rPr>
          <w:spacing w:val="-8"/>
        </w:rPr>
        <w:t xml:space="preserve"> </w:t>
      </w:r>
      <w:r>
        <w:t>these</w:t>
      </w:r>
      <w:r>
        <w:rPr>
          <w:spacing w:val="-8"/>
        </w:rPr>
        <w:t xml:space="preserve"> </w:t>
      </w:r>
      <w:r>
        <w:t>large</w:t>
      </w:r>
      <w:r>
        <w:rPr>
          <w:spacing w:val="-8"/>
        </w:rPr>
        <w:t xml:space="preserve"> </w:t>
      </w:r>
      <w:r>
        <w:t>weights</w:t>
      </w:r>
      <w:r>
        <w:rPr>
          <w:spacing w:val="-8"/>
        </w:rPr>
        <w:t xml:space="preserve"> </w:t>
      </w:r>
      <w:r>
        <w:t>on</w:t>
      </w:r>
      <w:r>
        <w:rPr>
          <w:spacing w:val="-8"/>
        </w:rPr>
        <w:t xml:space="preserve"> </w:t>
      </w:r>
      <w:r>
        <w:t>variances,</w:t>
      </w:r>
      <w:r>
        <w:rPr>
          <w:spacing w:val="-8"/>
        </w:rPr>
        <w:t xml:space="preserve"> </w:t>
      </w:r>
      <w:r>
        <w:t>weight</w:t>
      </w:r>
      <w:r>
        <w:rPr>
          <w:spacing w:val="-8"/>
        </w:rPr>
        <w:t xml:space="preserve"> </w:t>
      </w:r>
      <w:r>
        <w:t>reduction</w:t>
      </w:r>
      <w:r>
        <w:rPr>
          <w:spacing w:val="-8"/>
        </w:rPr>
        <w:t xml:space="preserve"> </w:t>
      </w:r>
      <w:r>
        <w:t>methods</w:t>
      </w:r>
      <w:r>
        <w:rPr>
          <w:spacing w:val="-8"/>
        </w:rPr>
        <w:t xml:space="preserve"> </w:t>
      </w:r>
      <w:r>
        <w:t>are</w:t>
      </w:r>
      <w:r>
        <w:rPr>
          <w:spacing w:val="-8"/>
        </w:rPr>
        <w:t xml:space="preserve"> </w:t>
      </w:r>
      <w:r>
        <w:t>typically</w:t>
      </w:r>
      <w:r>
        <w:rPr>
          <w:spacing w:val="-8"/>
        </w:rPr>
        <w:t xml:space="preserve"> </w:t>
      </w:r>
      <w:r>
        <w:t>employed.</w:t>
      </w:r>
      <w:r>
        <w:rPr>
          <w:spacing w:val="-11"/>
        </w:rPr>
        <w:t xml:space="preserve"> </w:t>
      </w:r>
      <w:r>
        <w:t>The</w:t>
      </w:r>
      <w:r>
        <w:rPr>
          <w:spacing w:val="-8"/>
        </w:rPr>
        <w:t xml:space="preserve"> </w:t>
      </w:r>
      <w:r>
        <w:t>goal</w:t>
      </w:r>
      <w:r>
        <w:rPr>
          <w:spacing w:val="-8"/>
        </w:rPr>
        <w:t xml:space="preserve"> </w:t>
      </w:r>
      <w:r>
        <w:t>of</w:t>
      </w:r>
      <w:r>
        <w:rPr>
          <w:spacing w:val="-8"/>
        </w:rPr>
        <w:t xml:space="preserve"> </w:t>
      </w:r>
      <w:r>
        <w:t>employing weight reduction methods is to reduce the mean square error of survey estimates.</w:t>
      </w:r>
      <w:r>
        <w:rPr>
          <w:spacing w:val="-2"/>
        </w:rPr>
        <w:t xml:space="preserve"> </w:t>
      </w:r>
      <w:r>
        <w:t>While the trimming of large weights reduces variances, it also introduces some bias. However, it is presumed that the reduction in the variances more than compensates for the increase in the bias, thereby reducing the mean square error and thus improving the accuracy of survey estimates (Potter, 1988). NAEP</w:t>
      </w:r>
      <w:r>
        <w:rPr>
          <w:spacing w:val="-6"/>
        </w:rPr>
        <w:t xml:space="preserve"> </w:t>
      </w:r>
      <w:r>
        <w:t>employs weight trimming at both</w:t>
      </w:r>
    </w:p>
    <w:p w:rsidR="003F5784" w14:paraId="7A019A1E" w14:textId="77777777">
      <w:pPr>
        <w:pStyle w:val="BodyText"/>
        <w:spacing w:line="238" w:lineRule="exact"/>
        <w:ind w:left="109"/>
      </w:pPr>
      <w:r>
        <w:t>the</w:t>
      </w:r>
      <w:r>
        <w:rPr>
          <w:spacing w:val="-6"/>
        </w:rPr>
        <w:t xml:space="preserve"> </w:t>
      </w:r>
      <w:r>
        <w:t>school</w:t>
      </w:r>
      <w:r>
        <w:rPr>
          <w:spacing w:val="-5"/>
        </w:rPr>
        <w:t xml:space="preserve"> </w:t>
      </w:r>
      <w:r>
        <w:t>and</w:t>
      </w:r>
      <w:r>
        <w:rPr>
          <w:spacing w:val="-5"/>
        </w:rPr>
        <w:t xml:space="preserve"> </w:t>
      </w:r>
      <w:r>
        <w:t>student</w:t>
      </w:r>
      <w:r>
        <w:rPr>
          <w:spacing w:val="-6"/>
        </w:rPr>
        <w:t xml:space="preserve"> </w:t>
      </w:r>
      <w:r>
        <w:rPr>
          <w:spacing w:val="-2"/>
        </w:rPr>
        <w:t>levels.</w:t>
      </w:r>
    </w:p>
    <w:p w:rsidR="003F5784" w14:paraId="2A8267A9" w14:textId="77777777">
      <w:pPr>
        <w:pStyle w:val="BodyText"/>
        <w:spacing w:before="96" w:line="232" w:lineRule="auto"/>
        <w:ind w:left="109" w:right="324"/>
      </w:pPr>
      <w:r>
        <w:br w:type="column"/>
        <w:t>Trimming</w:t>
      </w:r>
      <w:r>
        <w:rPr>
          <w:spacing w:val="-14"/>
        </w:rPr>
        <w:t xml:space="preserve"> </w:t>
      </w:r>
      <w:r>
        <w:t>of</w:t>
      </w:r>
      <w:r>
        <w:rPr>
          <w:spacing w:val="-13"/>
        </w:rPr>
        <w:t xml:space="preserve"> </w:t>
      </w:r>
      <w:r>
        <w:t>School Base Weights</w:t>
      </w:r>
    </w:p>
    <w:p w:rsidR="003F5784" w14:paraId="67CF947C" w14:textId="77777777">
      <w:pPr>
        <w:pStyle w:val="BodyText"/>
        <w:spacing w:before="210" w:line="232" w:lineRule="auto"/>
        <w:ind w:left="109" w:right="265"/>
      </w:pPr>
      <w:r>
        <w:t>Trimming</w:t>
      </w:r>
      <w:r>
        <w:rPr>
          <w:spacing w:val="-14"/>
        </w:rPr>
        <w:t xml:space="preserve"> </w:t>
      </w:r>
      <w:r>
        <w:t>of</w:t>
      </w:r>
      <w:r>
        <w:rPr>
          <w:spacing w:val="-13"/>
        </w:rPr>
        <w:t xml:space="preserve"> </w:t>
      </w:r>
      <w:r>
        <w:t xml:space="preserve">Student </w:t>
      </w:r>
      <w:r>
        <w:rPr>
          <w:spacing w:val="-2"/>
        </w:rPr>
        <w:t>Weights</w:t>
      </w:r>
    </w:p>
    <w:p w:rsidR="003F5784" w14:paraId="21804DF0" w14:textId="77777777">
      <w:pPr>
        <w:spacing w:line="232" w:lineRule="auto"/>
        <w:sectPr>
          <w:type w:val="continuous"/>
          <w:pgSz w:w="15840" w:h="12240" w:orient="landscape"/>
          <w:pgMar w:top="480" w:right="440" w:bottom="460" w:left="460" w:header="284" w:footer="275" w:gutter="0"/>
          <w:cols w:num="2" w:space="720" w:equalWidth="0">
            <w:col w:w="12406" w:space="393"/>
            <w:col w:w="2141"/>
          </w:cols>
        </w:sectPr>
      </w:pPr>
    </w:p>
    <w:p w:rsidR="003F5784" w14:paraId="523AB173" w14:textId="77777777">
      <w:pPr>
        <w:pStyle w:val="BodyText"/>
        <w:rPr>
          <w:sz w:val="18"/>
        </w:rPr>
      </w:pPr>
    </w:p>
    <w:p w:rsidR="003F5784" w14:paraId="30B66AA3" w14:textId="77777777">
      <w:pPr>
        <w:pStyle w:val="BodyText"/>
        <w:rPr>
          <w:sz w:val="18"/>
        </w:rPr>
      </w:pPr>
    </w:p>
    <w:p w:rsidR="003F5784" w14:paraId="6125AB3B" w14:textId="77777777">
      <w:pPr>
        <w:pStyle w:val="BodyText"/>
        <w:rPr>
          <w:sz w:val="18"/>
        </w:rPr>
      </w:pPr>
    </w:p>
    <w:p w:rsidR="003F5784" w14:paraId="7D26E33A" w14:textId="77777777">
      <w:pPr>
        <w:pStyle w:val="BodyText"/>
        <w:spacing w:before="53"/>
        <w:rPr>
          <w:sz w:val="18"/>
        </w:rPr>
      </w:pPr>
    </w:p>
    <w:p w:rsidR="003F5784" w14:paraId="57E81E62" w14:textId="77777777">
      <w:pPr>
        <w:ind w:left="4207"/>
        <w:rPr>
          <w:sz w:val="18"/>
        </w:rPr>
      </w:pPr>
      <w:hyperlink r:id="rId483">
        <w:r>
          <w:rPr>
            <w:spacing w:val="-2"/>
            <w:w w:val="105"/>
            <w:sz w:val="18"/>
          </w:rPr>
          <w:t>http://nces.ed.gov/nationsreportcard/tdw/weighting/2022/school_and_student_weight_trimming_adjustments_for_the_2022_assessment.aspx</w:t>
        </w:r>
      </w:hyperlink>
    </w:p>
    <w:p w:rsidR="003F5784" w14:paraId="7EE2683E" w14:textId="77777777">
      <w:pPr>
        <w:pStyle w:val="BodyText"/>
        <w:spacing w:before="11"/>
        <w:rPr>
          <w:sz w:val="14"/>
        </w:rPr>
      </w:pPr>
      <w:r>
        <w:rPr>
          <w:noProof/>
        </w:rPr>
        <mc:AlternateContent>
          <mc:Choice Requires="wps">
            <w:drawing>
              <wp:anchor distT="0" distB="0" distL="0" distR="0" simplePos="0" relativeHeight="251999232" behindDoc="1" locked="0" layoutInCell="1" allowOverlap="1">
                <wp:simplePos x="0" y="0"/>
                <wp:positionH relativeFrom="page">
                  <wp:posOffset>361937</wp:posOffset>
                </wp:positionH>
                <wp:positionV relativeFrom="paragraph">
                  <wp:posOffset>124526</wp:posOffset>
                </wp:positionV>
                <wp:extent cx="9339580" cy="8890"/>
                <wp:effectExtent l="0" t="0" r="0" b="0"/>
                <wp:wrapTopAndBottom/>
                <wp:docPr id="598" name="Graphic 59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63"/>
                              </a:moveTo>
                              <a:lnTo>
                                <a:pt x="9335110" y="63"/>
                              </a:lnTo>
                              <a:lnTo>
                                <a:pt x="8280" y="63"/>
                              </a:lnTo>
                              <a:lnTo>
                                <a:pt x="0" y="0"/>
                              </a:lnTo>
                              <a:lnTo>
                                <a:pt x="0" y="8267"/>
                              </a:lnTo>
                              <a:lnTo>
                                <a:pt x="9335110" y="8343"/>
                              </a:lnTo>
                              <a:lnTo>
                                <a:pt x="9338970" y="8343"/>
                              </a:lnTo>
                              <a:lnTo>
                                <a:pt x="9338970" y="63"/>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98" o:spid="_x0000_s1185" style="width:735.4pt;height:0.7pt;margin-top:9.8pt;margin-left:28.5pt;mso-position-horizontal-relative:page;mso-wrap-distance-bottom:0;mso-wrap-distance-left:0;mso-wrap-distance-right:0;mso-wrap-distance-top:0;mso-wrap-style:square;position:absolute;visibility:visible;v-text-anchor:top;z-index:-251316224" coordsize="9339580,8890" path="m9338970,63l9335110,63l8280,63,,,,8267l9335110,8343l9338970,8343l9338970,63xe" fillcolor="gray" stroked="f">
                <v:path arrowok="t"/>
                <w10:wrap type="topAndBottom"/>
              </v:shape>
            </w:pict>
          </mc:Fallback>
        </mc:AlternateContent>
      </w:r>
    </w:p>
    <w:p w:rsidR="003F5784" w14:paraId="4EC62023" w14:textId="77777777">
      <w:pPr>
        <w:pStyle w:val="BodyText"/>
        <w:rPr>
          <w:sz w:val="18"/>
        </w:rPr>
      </w:pPr>
    </w:p>
    <w:p w:rsidR="003F5784" w14:paraId="21CBC43F" w14:textId="77777777">
      <w:pPr>
        <w:pStyle w:val="BodyText"/>
        <w:spacing w:before="193"/>
        <w:rPr>
          <w:sz w:val="18"/>
        </w:rPr>
      </w:pPr>
    </w:p>
    <w:p w:rsidR="003F5784" w14:paraId="21345D16" w14:textId="5E406186">
      <w:pPr>
        <w:pStyle w:val="Heading1"/>
      </w:pPr>
      <w:r>
        <w:t>NAEP</w:t>
      </w:r>
      <w:r>
        <w:rPr>
          <w:spacing w:val="-26"/>
        </w:rPr>
        <w:t xml:space="preserve"> </w:t>
      </w:r>
      <w:r>
        <w:t>Technical</w:t>
      </w:r>
      <w:r>
        <w:rPr>
          <w:spacing w:val="5"/>
        </w:rPr>
        <w:t xml:space="preserve"> </w:t>
      </w:r>
      <w:r>
        <w:t>Documentation</w:t>
      </w:r>
      <w:r w:rsidR="00ED683B">
        <w:t xml:space="preserve"> </w:t>
      </w:r>
      <w:r>
        <w:t>Trimming</w:t>
      </w:r>
      <w:r>
        <w:rPr>
          <w:spacing w:val="6"/>
        </w:rPr>
        <w:t xml:space="preserve"> </w:t>
      </w:r>
      <w:r>
        <w:t>of</w:t>
      </w:r>
      <w:r>
        <w:rPr>
          <w:spacing w:val="6"/>
        </w:rPr>
        <w:t xml:space="preserve"> </w:t>
      </w:r>
      <w:r>
        <w:t>School</w:t>
      </w:r>
      <w:r>
        <w:rPr>
          <w:spacing w:val="6"/>
        </w:rPr>
        <w:t xml:space="preserve"> </w:t>
      </w:r>
      <w:r>
        <w:t>Base</w:t>
      </w:r>
      <w:r>
        <w:rPr>
          <w:spacing w:val="-2"/>
        </w:rPr>
        <w:t xml:space="preserve"> Weights</w:t>
      </w:r>
    </w:p>
    <w:p w:rsidR="003F5784" w14:paraId="70E3D14F" w14:textId="77777777">
      <w:pPr>
        <w:pStyle w:val="BodyText"/>
        <w:spacing w:before="289"/>
        <w:ind w:left="109"/>
      </w:pPr>
      <w:r>
        <w:t>Unusually</w:t>
      </w:r>
      <w:r>
        <w:rPr>
          <w:spacing w:val="-7"/>
        </w:rPr>
        <w:t xml:space="preserve"> </w:t>
      </w:r>
      <w:r>
        <w:t>large</w:t>
      </w:r>
      <w:r>
        <w:rPr>
          <w:spacing w:val="-7"/>
        </w:rPr>
        <w:t xml:space="preserve"> </w:t>
      </w:r>
      <w:r>
        <w:t>school</w:t>
      </w:r>
      <w:r>
        <w:rPr>
          <w:spacing w:val="-7"/>
        </w:rPr>
        <w:t xml:space="preserve"> </w:t>
      </w:r>
      <w:r>
        <w:t>weights</w:t>
      </w:r>
      <w:r>
        <w:rPr>
          <w:spacing w:val="-6"/>
        </w:rPr>
        <w:t xml:space="preserve"> </w:t>
      </w:r>
      <w:r>
        <w:t>can</w:t>
      </w:r>
      <w:r>
        <w:rPr>
          <w:spacing w:val="-7"/>
        </w:rPr>
        <w:t xml:space="preserve"> </w:t>
      </w:r>
      <w:r>
        <w:t>occur</w:t>
      </w:r>
      <w:r>
        <w:rPr>
          <w:spacing w:val="-7"/>
        </w:rPr>
        <w:t xml:space="preserve"> </w:t>
      </w:r>
      <w:r>
        <w:t>under</w:t>
      </w:r>
      <w:r>
        <w:rPr>
          <w:spacing w:val="-6"/>
        </w:rPr>
        <w:t xml:space="preserve"> </w:t>
      </w:r>
      <w:r>
        <w:t>three</w:t>
      </w:r>
      <w:r>
        <w:rPr>
          <w:spacing w:val="-7"/>
        </w:rPr>
        <w:t xml:space="preserve"> </w:t>
      </w:r>
      <w:r>
        <w:rPr>
          <w:spacing w:val="-2"/>
        </w:rPr>
        <w:t>circumstances:</w:t>
      </w:r>
    </w:p>
    <w:p w:rsidR="003F5784" w14:paraId="6EE1A601" w14:textId="77777777">
      <w:pPr>
        <w:pStyle w:val="ListParagraph"/>
        <w:numPr>
          <w:ilvl w:val="0"/>
          <w:numId w:val="1"/>
        </w:numPr>
        <w:tabs>
          <w:tab w:val="left" w:pos="629"/>
          <w:tab w:val="left" w:pos="631"/>
        </w:tabs>
        <w:spacing w:before="208" w:line="232" w:lineRule="auto"/>
        <w:ind w:right="617"/>
        <w:rPr>
          <w:sz w:val="21"/>
        </w:rPr>
      </w:pPr>
      <w:r>
        <w:rPr>
          <w:b/>
          <w:sz w:val="21"/>
        </w:rPr>
        <w:t>New</w:t>
      </w:r>
      <w:r>
        <w:rPr>
          <w:b/>
          <w:spacing w:val="-6"/>
          <w:sz w:val="21"/>
        </w:rPr>
        <w:t xml:space="preserve"> </w:t>
      </w:r>
      <w:r>
        <w:rPr>
          <w:b/>
          <w:sz w:val="21"/>
        </w:rPr>
        <w:t>Schools:</w:t>
      </w:r>
      <w:r>
        <w:rPr>
          <w:b/>
          <w:spacing w:val="-6"/>
          <w:sz w:val="21"/>
        </w:rPr>
        <w:t xml:space="preserve"> </w:t>
      </w:r>
      <w:r>
        <w:rPr>
          <w:sz w:val="21"/>
        </w:rPr>
        <w:t>When</w:t>
      </w:r>
      <w:r>
        <w:rPr>
          <w:spacing w:val="-6"/>
          <w:sz w:val="21"/>
        </w:rPr>
        <w:t xml:space="preserve"> </w:t>
      </w:r>
      <w:r>
        <w:rPr>
          <w:sz w:val="21"/>
        </w:rPr>
        <w:t>a</w:t>
      </w:r>
      <w:r>
        <w:rPr>
          <w:spacing w:val="-6"/>
          <w:sz w:val="21"/>
        </w:rPr>
        <w:t xml:space="preserve"> </w:t>
      </w:r>
      <w:r>
        <w:rPr>
          <w:sz w:val="21"/>
        </w:rPr>
        <w:t>school</w:t>
      </w:r>
      <w:r>
        <w:rPr>
          <w:spacing w:val="-6"/>
          <w:sz w:val="21"/>
        </w:rPr>
        <w:t xml:space="preserve"> </w:t>
      </w:r>
      <w:r>
        <w:rPr>
          <w:sz w:val="21"/>
        </w:rPr>
        <w:t>selected</w:t>
      </w:r>
      <w:r>
        <w:rPr>
          <w:spacing w:val="-6"/>
          <w:sz w:val="21"/>
        </w:rPr>
        <w:t xml:space="preserve"> </w:t>
      </w:r>
      <w:r>
        <w:rPr>
          <w:sz w:val="21"/>
        </w:rPr>
        <w:t>from</w:t>
      </w:r>
      <w:r>
        <w:rPr>
          <w:spacing w:val="-6"/>
          <w:sz w:val="21"/>
        </w:rPr>
        <w:t xml:space="preserve"> </w:t>
      </w:r>
      <w:r>
        <w:rPr>
          <w:sz w:val="21"/>
        </w:rPr>
        <w:t>the</w:t>
      </w:r>
      <w:r>
        <w:rPr>
          <w:spacing w:val="-6"/>
          <w:sz w:val="21"/>
        </w:rPr>
        <w:t xml:space="preserve"> </w:t>
      </w:r>
      <w:r>
        <w:rPr>
          <w:sz w:val="21"/>
        </w:rPr>
        <w:t>NAEP</w:t>
      </w:r>
      <w:r>
        <w:rPr>
          <w:spacing w:val="-13"/>
          <w:sz w:val="21"/>
        </w:rPr>
        <w:t xml:space="preserve"> </w:t>
      </w:r>
      <w:r>
        <w:rPr>
          <w:sz w:val="21"/>
        </w:rPr>
        <w:t>new-school</w:t>
      </w:r>
      <w:r>
        <w:rPr>
          <w:spacing w:val="-6"/>
          <w:sz w:val="21"/>
        </w:rPr>
        <w:t xml:space="preserve"> </w:t>
      </w:r>
      <w:r>
        <w:rPr>
          <w:sz w:val="21"/>
        </w:rPr>
        <w:t>sampling</w:t>
      </w:r>
      <w:r>
        <w:rPr>
          <w:spacing w:val="-6"/>
          <w:sz w:val="21"/>
        </w:rPr>
        <w:t xml:space="preserve"> </w:t>
      </w:r>
      <w:r>
        <w:rPr>
          <w:sz w:val="21"/>
        </w:rPr>
        <w:t>frame</w:t>
      </w:r>
      <w:r>
        <w:rPr>
          <w:spacing w:val="-6"/>
          <w:sz w:val="21"/>
        </w:rPr>
        <w:t xml:space="preserve"> </w:t>
      </w:r>
      <w:r>
        <w:rPr>
          <w:sz w:val="21"/>
        </w:rPr>
        <w:t>has</w:t>
      </w:r>
      <w:r>
        <w:rPr>
          <w:spacing w:val="-6"/>
          <w:sz w:val="21"/>
        </w:rPr>
        <w:t xml:space="preserve"> </w:t>
      </w:r>
      <w:r>
        <w:rPr>
          <w:sz w:val="21"/>
        </w:rPr>
        <w:t>an</w:t>
      </w:r>
      <w:r>
        <w:rPr>
          <w:spacing w:val="-6"/>
          <w:sz w:val="21"/>
        </w:rPr>
        <w:t xml:space="preserve"> </w:t>
      </w:r>
      <w:r>
        <w:rPr>
          <w:sz w:val="21"/>
        </w:rPr>
        <w:t>enrollment</w:t>
      </w:r>
      <w:r>
        <w:rPr>
          <w:spacing w:val="-6"/>
          <w:sz w:val="21"/>
        </w:rPr>
        <w:t xml:space="preserve"> </w:t>
      </w:r>
      <w:r>
        <w:rPr>
          <w:sz w:val="21"/>
        </w:rPr>
        <w:t>that</w:t>
      </w:r>
      <w:r>
        <w:rPr>
          <w:spacing w:val="-6"/>
          <w:sz w:val="21"/>
        </w:rPr>
        <w:t xml:space="preserve"> </w:t>
      </w:r>
      <w:r>
        <w:rPr>
          <w:sz w:val="21"/>
        </w:rPr>
        <w:t>is</w:t>
      </w:r>
      <w:r>
        <w:rPr>
          <w:spacing w:val="-6"/>
          <w:sz w:val="21"/>
        </w:rPr>
        <w:t xml:space="preserve"> </w:t>
      </w:r>
      <w:r>
        <w:rPr>
          <w:sz w:val="21"/>
        </w:rPr>
        <w:t>disproportionately</w:t>
      </w:r>
      <w:r>
        <w:rPr>
          <w:spacing w:val="-6"/>
          <w:sz w:val="21"/>
        </w:rPr>
        <w:t xml:space="preserve"> </w:t>
      </w:r>
      <w:r>
        <w:rPr>
          <w:sz w:val="21"/>
        </w:rPr>
        <w:t>large</w:t>
      </w:r>
      <w:r>
        <w:rPr>
          <w:spacing w:val="-6"/>
          <w:sz w:val="21"/>
        </w:rPr>
        <w:t xml:space="preserve"> </w:t>
      </w:r>
      <w:r>
        <w:rPr>
          <w:sz w:val="21"/>
        </w:rPr>
        <w:t>relative</w:t>
      </w:r>
      <w:r>
        <w:rPr>
          <w:spacing w:val="-6"/>
          <w:sz w:val="21"/>
        </w:rPr>
        <w:t xml:space="preserve"> </w:t>
      </w:r>
      <w:r>
        <w:rPr>
          <w:sz w:val="21"/>
        </w:rPr>
        <w:t>to</w:t>
      </w:r>
      <w:r>
        <w:rPr>
          <w:spacing w:val="-6"/>
          <w:sz w:val="21"/>
        </w:rPr>
        <w:t xml:space="preserve"> </w:t>
      </w:r>
      <w:r>
        <w:rPr>
          <w:sz w:val="21"/>
        </w:rPr>
        <w:t>the</w:t>
      </w:r>
      <w:r>
        <w:rPr>
          <w:spacing w:val="-6"/>
          <w:sz w:val="21"/>
        </w:rPr>
        <w:t xml:space="preserve"> </w:t>
      </w:r>
      <w:r>
        <w:rPr>
          <w:sz w:val="21"/>
        </w:rPr>
        <w:t>enrollment</w:t>
      </w:r>
      <w:r>
        <w:rPr>
          <w:spacing w:val="-6"/>
          <w:sz w:val="21"/>
        </w:rPr>
        <w:t xml:space="preserve"> </w:t>
      </w:r>
      <w:r>
        <w:rPr>
          <w:sz w:val="21"/>
        </w:rPr>
        <w:t>of</w:t>
      </w:r>
      <w:r>
        <w:rPr>
          <w:spacing w:val="-6"/>
          <w:sz w:val="21"/>
        </w:rPr>
        <w:t xml:space="preserve"> </w:t>
      </w:r>
      <w:r>
        <w:rPr>
          <w:sz w:val="21"/>
        </w:rPr>
        <w:t>its corresponding school district or Catholic diocese. In other words, when a large new school is selected from a small school district or Catholic diocese.</w:t>
      </w:r>
    </w:p>
    <w:p w:rsidR="003F5784" w14:paraId="61AA5A30" w14:textId="77777777">
      <w:pPr>
        <w:pStyle w:val="ListParagraph"/>
        <w:numPr>
          <w:ilvl w:val="0"/>
          <w:numId w:val="1"/>
        </w:numPr>
        <w:tabs>
          <w:tab w:val="left" w:pos="629"/>
          <w:tab w:val="left" w:pos="631"/>
        </w:tabs>
        <w:spacing w:before="209" w:line="232" w:lineRule="auto"/>
        <w:ind w:right="375"/>
        <w:rPr>
          <w:sz w:val="21"/>
        </w:rPr>
      </w:pPr>
      <w:r>
        <w:rPr>
          <w:b/>
          <w:sz w:val="21"/>
        </w:rPr>
        <w:t>Private</w:t>
      </w:r>
      <w:r>
        <w:rPr>
          <w:b/>
          <w:spacing w:val="-6"/>
          <w:sz w:val="21"/>
        </w:rPr>
        <w:t xml:space="preserve"> </w:t>
      </w:r>
      <w:r>
        <w:rPr>
          <w:b/>
          <w:sz w:val="21"/>
        </w:rPr>
        <w:t>Schools:</w:t>
      </w:r>
      <w:r>
        <w:rPr>
          <w:b/>
          <w:spacing w:val="-6"/>
          <w:sz w:val="21"/>
        </w:rPr>
        <w:t xml:space="preserve"> </w:t>
      </w:r>
      <w:r>
        <w:rPr>
          <w:sz w:val="21"/>
        </w:rPr>
        <w:t>When</w:t>
      </w:r>
      <w:r>
        <w:rPr>
          <w:spacing w:val="-6"/>
          <w:sz w:val="21"/>
        </w:rPr>
        <w:t xml:space="preserve"> </w:t>
      </w:r>
      <w:r>
        <w:rPr>
          <w:sz w:val="21"/>
        </w:rPr>
        <w:t>a</w:t>
      </w:r>
      <w:r>
        <w:rPr>
          <w:spacing w:val="-6"/>
          <w:sz w:val="21"/>
        </w:rPr>
        <w:t xml:space="preserve"> </w:t>
      </w:r>
      <w:r>
        <w:rPr>
          <w:sz w:val="21"/>
        </w:rPr>
        <w:t>school</w:t>
      </w:r>
      <w:r>
        <w:rPr>
          <w:spacing w:val="-6"/>
          <w:sz w:val="21"/>
        </w:rPr>
        <w:t xml:space="preserve"> </w:t>
      </w:r>
      <w:r>
        <w:rPr>
          <w:sz w:val="21"/>
        </w:rPr>
        <w:t>from</w:t>
      </w:r>
      <w:r>
        <w:rPr>
          <w:spacing w:val="-6"/>
          <w:sz w:val="21"/>
        </w:rPr>
        <w:t xml:space="preserve"> </w:t>
      </w:r>
      <w:r>
        <w:rPr>
          <w:sz w:val="21"/>
        </w:rPr>
        <w:t>the</w:t>
      </w:r>
      <w:r>
        <w:rPr>
          <w:spacing w:val="-6"/>
          <w:sz w:val="21"/>
        </w:rPr>
        <w:t xml:space="preserve"> </w:t>
      </w:r>
      <w:r>
        <w:rPr>
          <w:sz w:val="21"/>
        </w:rPr>
        <w:t>private</w:t>
      </w:r>
      <w:r>
        <w:rPr>
          <w:spacing w:val="-6"/>
          <w:sz w:val="21"/>
        </w:rPr>
        <w:t xml:space="preserve"> </w:t>
      </w:r>
      <w:r>
        <w:rPr>
          <w:sz w:val="21"/>
        </w:rPr>
        <w:t>school</w:t>
      </w:r>
      <w:r>
        <w:rPr>
          <w:spacing w:val="-6"/>
          <w:sz w:val="21"/>
        </w:rPr>
        <w:t xml:space="preserve"> </w:t>
      </w:r>
      <w:r>
        <w:rPr>
          <w:sz w:val="21"/>
        </w:rPr>
        <w:t>frame</w:t>
      </w:r>
      <w:r>
        <w:rPr>
          <w:spacing w:val="-6"/>
          <w:sz w:val="21"/>
        </w:rPr>
        <w:t xml:space="preserve"> </w:t>
      </w:r>
      <w:r>
        <w:rPr>
          <w:sz w:val="21"/>
        </w:rPr>
        <w:t>participates</w:t>
      </w:r>
      <w:r>
        <w:rPr>
          <w:spacing w:val="-6"/>
          <w:sz w:val="21"/>
        </w:rPr>
        <w:t xml:space="preserve"> </w:t>
      </w:r>
      <w:r>
        <w:rPr>
          <w:sz w:val="21"/>
        </w:rPr>
        <w:t>in</w:t>
      </w:r>
      <w:r>
        <w:rPr>
          <w:spacing w:val="-6"/>
          <w:sz w:val="21"/>
        </w:rPr>
        <w:t xml:space="preserve"> </w:t>
      </w:r>
      <w:r>
        <w:rPr>
          <w:sz w:val="21"/>
        </w:rPr>
        <w:t>NAEP</w:t>
      </w:r>
      <w:r>
        <w:rPr>
          <w:spacing w:val="-13"/>
          <w:sz w:val="21"/>
        </w:rPr>
        <w:t xml:space="preserve"> </w:t>
      </w:r>
      <w:r>
        <w:rPr>
          <w:sz w:val="21"/>
        </w:rPr>
        <w:t>but</w:t>
      </w:r>
      <w:r>
        <w:rPr>
          <w:spacing w:val="-6"/>
          <w:sz w:val="21"/>
        </w:rPr>
        <w:t xml:space="preserve"> </w:t>
      </w:r>
      <w:r>
        <w:rPr>
          <w:sz w:val="21"/>
        </w:rPr>
        <w:t>did</w:t>
      </w:r>
      <w:r>
        <w:rPr>
          <w:spacing w:val="-6"/>
          <w:sz w:val="21"/>
        </w:rPr>
        <w:t xml:space="preserve"> </w:t>
      </w:r>
      <w:r>
        <w:rPr>
          <w:sz w:val="21"/>
        </w:rPr>
        <w:t>not</w:t>
      </w:r>
      <w:r>
        <w:rPr>
          <w:spacing w:val="-6"/>
          <w:sz w:val="21"/>
        </w:rPr>
        <w:t xml:space="preserve"> </w:t>
      </w:r>
      <w:r>
        <w:rPr>
          <w:sz w:val="21"/>
        </w:rPr>
        <w:t>participate</w:t>
      </w:r>
      <w:r>
        <w:rPr>
          <w:spacing w:val="-6"/>
          <w:sz w:val="21"/>
        </w:rPr>
        <w:t xml:space="preserve"> </w:t>
      </w:r>
      <w:r>
        <w:rPr>
          <w:sz w:val="21"/>
        </w:rPr>
        <w:t>in</w:t>
      </w:r>
      <w:r>
        <w:rPr>
          <w:spacing w:val="-6"/>
          <w:sz w:val="21"/>
        </w:rPr>
        <w:t xml:space="preserve"> </w:t>
      </w:r>
      <w:r>
        <w:rPr>
          <w:sz w:val="21"/>
        </w:rPr>
        <w:t>the</w:t>
      </w:r>
      <w:r>
        <w:rPr>
          <w:spacing w:val="-6"/>
          <w:sz w:val="21"/>
        </w:rPr>
        <w:t xml:space="preserve"> </w:t>
      </w:r>
      <w:r>
        <w:rPr>
          <w:color w:val="0066CC"/>
          <w:sz w:val="21"/>
        </w:rPr>
        <w:t>Private</w:t>
      </w:r>
      <w:r>
        <w:rPr>
          <w:color w:val="0066CC"/>
          <w:spacing w:val="-6"/>
          <w:sz w:val="21"/>
        </w:rPr>
        <w:t xml:space="preserve"> </w:t>
      </w:r>
      <w:r>
        <w:rPr>
          <w:color w:val="0066CC"/>
          <w:sz w:val="21"/>
        </w:rPr>
        <w:t>School</w:t>
      </w:r>
      <w:r>
        <w:rPr>
          <w:color w:val="0066CC"/>
          <w:spacing w:val="-6"/>
          <w:sz w:val="21"/>
        </w:rPr>
        <w:t xml:space="preserve"> </w:t>
      </w:r>
      <w:r>
        <w:rPr>
          <w:color w:val="0066CC"/>
          <w:sz w:val="21"/>
        </w:rPr>
        <w:t>Universe</w:t>
      </w:r>
      <w:r>
        <w:rPr>
          <w:color w:val="0066CC"/>
          <w:spacing w:val="-6"/>
          <w:sz w:val="21"/>
        </w:rPr>
        <w:t xml:space="preserve"> </w:t>
      </w:r>
      <w:r>
        <w:rPr>
          <w:color w:val="0066CC"/>
          <w:sz w:val="21"/>
        </w:rPr>
        <w:t>Survey</w:t>
      </w:r>
      <w:r>
        <w:rPr>
          <w:color w:val="0066CC"/>
          <w:spacing w:val="-6"/>
          <w:sz w:val="21"/>
        </w:rPr>
        <w:t xml:space="preserve"> </w:t>
      </w:r>
      <w:r>
        <w:rPr>
          <w:color w:val="0066CC"/>
          <w:sz w:val="21"/>
        </w:rPr>
        <w:t>(PSS)</w:t>
      </w:r>
      <w:r>
        <w:rPr>
          <w:sz w:val="21"/>
        </w:rPr>
        <w:t>,</w:t>
      </w:r>
      <w:r>
        <w:rPr>
          <w:spacing w:val="-6"/>
          <w:sz w:val="21"/>
        </w:rPr>
        <w:t xml:space="preserve"> </w:t>
      </w:r>
      <w:r>
        <w:rPr>
          <w:sz w:val="21"/>
        </w:rPr>
        <w:t>the</w:t>
      </w:r>
      <w:r>
        <w:rPr>
          <w:spacing w:val="-6"/>
          <w:sz w:val="21"/>
        </w:rPr>
        <w:t xml:space="preserve"> </w:t>
      </w:r>
      <w:r>
        <w:rPr>
          <w:sz w:val="21"/>
        </w:rPr>
        <w:t>source</w:t>
      </w:r>
      <w:r>
        <w:rPr>
          <w:spacing w:val="-6"/>
          <w:sz w:val="21"/>
        </w:rPr>
        <w:t xml:space="preserve"> </w:t>
      </w:r>
      <w:r>
        <w:rPr>
          <w:sz w:val="21"/>
        </w:rPr>
        <w:t>of the NAEP</w:t>
      </w:r>
      <w:r>
        <w:rPr>
          <w:spacing w:val="-6"/>
          <w:sz w:val="21"/>
        </w:rPr>
        <w:t xml:space="preserve"> </w:t>
      </w:r>
      <w:r>
        <w:rPr>
          <w:sz w:val="21"/>
        </w:rPr>
        <w:t>private school frame. Schools that fall into this category are referred to as PSS nonrespondents and have small probabilities of selection.</w:t>
      </w:r>
    </w:p>
    <w:p w:rsidR="003F5784" w14:paraId="5F52DDF2" w14:textId="77777777">
      <w:pPr>
        <w:pStyle w:val="ListParagraph"/>
        <w:numPr>
          <w:ilvl w:val="0"/>
          <w:numId w:val="1"/>
        </w:numPr>
        <w:tabs>
          <w:tab w:val="left" w:pos="629"/>
          <w:tab w:val="left" w:pos="631"/>
        </w:tabs>
        <w:spacing w:before="209" w:line="232" w:lineRule="auto"/>
        <w:ind w:right="975"/>
        <w:rPr>
          <w:sz w:val="21"/>
        </w:rPr>
      </w:pPr>
      <w:r>
        <w:rPr>
          <w:b/>
          <w:sz w:val="21"/>
        </w:rPr>
        <w:t>Schools</w:t>
      </w:r>
      <w:r>
        <w:rPr>
          <w:b/>
          <w:spacing w:val="-6"/>
          <w:sz w:val="21"/>
        </w:rPr>
        <w:t xml:space="preserve"> </w:t>
      </w:r>
      <w:r>
        <w:rPr>
          <w:b/>
          <w:sz w:val="21"/>
        </w:rPr>
        <w:t>with</w:t>
      </w:r>
      <w:r>
        <w:rPr>
          <w:b/>
          <w:spacing w:val="-6"/>
          <w:sz w:val="21"/>
        </w:rPr>
        <w:t xml:space="preserve"> </w:t>
      </w:r>
      <w:r>
        <w:rPr>
          <w:b/>
          <w:sz w:val="21"/>
        </w:rPr>
        <w:t>Large</w:t>
      </w:r>
      <w:r>
        <w:rPr>
          <w:b/>
          <w:spacing w:val="-6"/>
          <w:sz w:val="21"/>
        </w:rPr>
        <w:t xml:space="preserve"> </w:t>
      </w:r>
      <w:r>
        <w:rPr>
          <w:b/>
          <w:sz w:val="21"/>
        </w:rPr>
        <w:t>Enrollment</w:t>
      </w:r>
      <w:r>
        <w:rPr>
          <w:b/>
          <w:spacing w:val="-6"/>
          <w:sz w:val="21"/>
        </w:rPr>
        <w:t xml:space="preserve"> </w:t>
      </w:r>
      <w:r>
        <w:rPr>
          <w:b/>
          <w:sz w:val="21"/>
        </w:rPr>
        <w:t>Increases:</w:t>
      </w:r>
      <w:r>
        <w:rPr>
          <w:b/>
          <w:spacing w:val="-6"/>
          <w:sz w:val="21"/>
        </w:rPr>
        <w:t xml:space="preserve"> </w:t>
      </w:r>
      <w:r>
        <w:rPr>
          <w:sz w:val="21"/>
        </w:rPr>
        <w:t>When</w:t>
      </w:r>
      <w:r>
        <w:rPr>
          <w:spacing w:val="-6"/>
          <w:sz w:val="21"/>
        </w:rPr>
        <w:t xml:space="preserve"> </w:t>
      </w:r>
      <w:r>
        <w:rPr>
          <w:sz w:val="21"/>
        </w:rPr>
        <w:t>the</w:t>
      </w:r>
      <w:r>
        <w:rPr>
          <w:spacing w:val="-6"/>
          <w:sz w:val="21"/>
        </w:rPr>
        <w:t xml:space="preserve"> </w:t>
      </w:r>
      <w:r>
        <w:rPr>
          <w:sz w:val="21"/>
        </w:rPr>
        <w:t>actual</w:t>
      </w:r>
      <w:r>
        <w:rPr>
          <w:spacing w:val="-6"/>
          <w:sz w:val="21"/>
        </w:rPr>
        <w:t xml:space="preserve"> </w:t>
      </w:r>
      <w:r>
        <w:rPr>
          <w:sz w:val="21"/>
        </w:rPr>
        <w:t>grade</w:t>
      </w:r>
      <w:r>
        <w:rPr>
          <w:spacing w:val="-6"/>
          <w:sz w:val="21"/>
        </w:rPr>
        <w:t xml:space="preserve"> </w:t>
      </w:r>
      <w:r>
        <w:rPr>
          <w:sz w:val="21"/>
        </w:rPr>
        <w:t>enrollment</w:t>
      </w:r>
      <w:r>
        <w:rPr>
          <w:spacing w:val="-6"/>
          <w:sz w:val="21"/>
        </w:rPr>
        <w:t xml:space="preserve"> </w:t>
      </w:r>
      <w:r>
        <w:rPr>
          <w:sz w:val="21"/>
        </w:rPr>
        <w:t>of</w:t>
      </w:r>
      <w:r>
        <w:rPr>
          <w:spacing w:val="-6"/>
          <w:sz w:val="21"/>
        </w:rPr>
        <w:t xml:space="preserve"> </w:t>
      </w:r>
      <w:r>
        <w:rPr>
          <w:sz w:val="21"/>
        </w:rPr>
        <w:t>a</w:t>
      </w:r>
      <w:r>
        <w:rPr>
          <w:spacing w:val="-6"/>
          <w:sz w:val="21"/>
        </w:rPr>
        <w:t xml:space="preserve"> </w:t>
      </w:r>
      <w:r>
        <w:rPr>
          <w:sz w:val="21"/>
        </w:rPr>
        <w:t>school,</w:t>
      </w:r>
      <w:r>
        <w:rPr>
          <w:spacing w:val="-6"/>
          <w:sz w:val="21"/>
        </w:rPr>
        <w:t xml:space="preserve"> </w:t>
      </w:r>
      <w:r>
        <w:rPr>
          <w:sz w:val="21"/>
        </w:rPr>
        <w:t>determined</w:t>
      </w:r>
      <w:r>
        <w:rPr>
          <w:spacing w:val="-6"/>
          <w:sz w:val="21"/>
        </w:rPr>
        <w:t xml:space="preserve"> </w:t>
      </w:r>
      <w:r>
        <w:rPr>
          <w:sz w:val="21"/>
        </w:rPr>
        <w:t>at</w:t>
      </w:r>
      <w:r>
        <w:rPr>
          <w:spacing w:val="-6"/>
          <w:sz w:val="21"/>
        </w:rPr>
        <w:t xml:space="preserve"> </w:t>
      </w:r>
      <w:r>
        <w:rPr>
          <w:sz w:val="21"/>
        </w:rPr>
        <w:t>the</w:t>
      </w:r>
      <w:r>
        <w:rPr>
          <w:spacing w:val="-6"/>
          <w:sz w:val="21"/>
        </w:rPr>
        <w:t xml:space="preserve"> </w:t>
      </w:r>
      <w:r>
        <w:rPr>
          <w:sz w:val="21"/>
        </w:rPr>
        <w:t>time</w:t>
      </w:r>
      <w:r>
        <w:rPr>
          <w:spacing w:val="-6"/>
          <w:sz w:val="21"/>
        </w:rPr>
        <w:t xml:space="preserve"> </w:t>
      </w:r>
      <w:r>
        <w:rPr>
          <w:sz w:val="21"/>
        </w:rPr>
        <w:t>of</w:t>
      </w:r>
      <w:r>
        <w:rPr>
          <w:spacing w:val="-6"/>
          <w:sz w:val="21"/>
        </w:rPr>
        <w:t xml:space="preserve"> </w:t>
      </w:r>
      <w:r>
        <w:rPr>
          <w:sz w:val="21"/>
        </w:rPr>
        <w:t>student</w:t>
      </w:r>
      <w:r>
        <w:rPr>
          <w:spacing w:val="-6"/>
          <w:sz w:val="21"/>
        </w:rPr>
        <w:t xml:space="preserve"> </w:t>
      </w:r>
      <w:r>
        <w:rPr>
          <w:sz w:val="21"/>
        </w:rPr>
        <w:t>sampling,</w:t>
      </w:r>
      <w:r>
        <w:rPr>
          <w:spacing w:val="-6"/>
          <w:sz w:val="21"/>
        </w:rPr>
        <w:t xml:space="preserve"> </w:t>
      </w:r>
      <w:r>
        <w:rPr>
          <w:sz w:val="21"/>
        </w:rPr>
        <w:t>is</w:t>
      </w:r>
      <w:r>
        <w:rPr>
          <w:spacing w:val="-6"/>
          <w:sz w:val="21"/>
        </w:rPr>
        <w:t xml:space="preserve"> </w:t>
      </w:r>
      <w:r>
        <w:rPr>
          <w:sz w:val="21"/>
        </w:rPr>
        <w:t>grossly</w:t>
      </w:r>
      <w:r>
        <w:rPr>
          <w:spacing w:val="-6"/>
          <w:sz w:val="21"/>
        </w:rPr>
        <w:t xml:space="preserve"> </w:t>
      </w:r>
      <w:r>
        <w:rPr>
          <w:sz w:val="21"/>
        </w:rPr>
        <w:t>larger</w:t>
      </w:r>
      <w:r>
        <w:rPr>
          <w:spacing w:val="-6"/>
          <w:sz w:val="21"/>
        </w:rPr>
        <w:t xml:space="preserve"> </w:t>
      </w:r>
      <w:r>
        <w:rPr>
          <w:sz w:val="21"/>
        </w:rPr>
        <w:t>than</w:t>
      </w:r>
      <w:r>
        <w:rPr>
          <w:spacing w:val="-6"/>
          <w:sz w:val="21"/>
        </w:rPr>
        <w:t xml:space="preserve"> </w:t>
      </w:r>
      <w:r>
        <w:rPr>
          <w:sz w:val="21"/>
        </w:rPr>
        <w:t>its enrollment used for school sampling.</w:t>
      </w:r>
    </w:p>
    <w:p w:rsidR="003F5784" w14:paraId="09196615" w14:textId="77777777">
      <w:pPr>
        <w:pStyle w:val="BodyText"/>
        <w:spacing w:before="209" w:line="232" w:lineRule="auto"/>
        <w:ind w:left="109" w:right="179"/>
      </w:pPr>
      <w:r>
        <w:t xml:space="preserve">If a school's base weight was determined to be too large, the school weight was </w:t>
      </w:r>
      <w:r>
        <w:rPr>
          <w:color w:val="0066CC"/>
        </w:rPr>
        <w:t>trimmed</w:t>
      </w:r>
      <w:r>
        <w:t>. Recall schools were sampled for NAEP</w:t>
      </w:r>
      <w:r>
        <w:rPr>
          <w:spacing w:val="-7"/>
        </w:rPr>
        <w:t xml:space="preserve"> </w:t>
      </w:r>
      <w:r>
        <w:t>with probability proportional to size where size</w:t>
      </w:r>
      <w:r>
        <w:rPr>
          <w:spacing w:val="-3"/>
        </w:rPr>
        <w:t xml:space="preserve"> </w:t>
      </w:r>
      <w:r>
        <w:t>was</w:t>
      </w:r>
      <w:r>
        <w:rPr>
          <w:spacing w:val="-3"/>
        </w:rPr>
        <w:t xml:space="preserve"> </w:t>
      </w:r>
      <w:r>
        <w:t>based</w:t>
      </w:r>
      <w:r>
        <w:rPr>
          <w:spacing w:val="-3"/>
        </w:rPr>
        <w:t xml:space="preserve"> </w:t>
      </w:r>
      <w:r>
        <w:t>on</w:t>
      </w:r>
      <w:r>
        <w:rPr>
          <w:spacing w:val="-3"/>
        </w:rPr>
        <w:t xml:space="preserve"> </w:t>
      </w:r>
      <w:r>
        <w:t>student</w:t>
      </w:r>
      <w:r>
        <w:rPr>
          <w:spacing w:val="-3"/>
        </w:rPr>
        <w:t xml:space="preserve"> </w:t>
      </w:r>
      <w:r>
        <w:t>grade</w:t>
      </w:r>
      <w:r>
        <w:rPr>
          <w:spacing w:val="-3"/>
        </w:rPr>
        <w:t xml:space="preserve"> </w:t>
      </w:r>
      <w:r>
        <w:t>enrollment.</w:t>
      </w:r>
      <w:r>
        <w:rPr>
          <w:spacing w:val="-3"/>
        </w:rPr>
        <w:t xml:space="preserve"> </w:t>
      </w:r>
      <w:r>
        <w:t>If</w:t>
      </w:r>
      <w:r>
        <w:rPr>
          <w:spacing w:val="-3"/>
        </w:rPr>
        <w:t xml:space="preserve"> </w:t>
      </w:r>
      <w:r>
        <w:t>a</w:t>
      </w:r>
      <w:r>
        <w:rPr>
          <w:spacing w:val="-3"/>
        </w:rPr>
        <w:t xml:space="preserve"> </w:t>
      </w:r>
      <w:r>
        <w:t>sampled</w:t>
      </w:r>
      <w:r>
        <w:rPr>
          <w:spacing w:val="-3"/>
        </w:rPr>
        <w:t xml:space="preserve"> </w:t>
      </w:r>
      <w:r>
        <w:t>school</w:t>
      </w:r>
      <w:r>
        <w:rPr>
          <w:spacing w:val="-3"/>
        </w:rPr>
        <w:t xml:space="preserve"> </w:t>
      </w:r>
      <w:r>
        <w:t>had</w:t>
      </w:r>
      <w:r>
        <w:rPr>
          <w:spacing w:val="-3"/>
        </w:rPr>
        <w:t xml:space="preserve"> </w:t>
      </w:r>
      <w:r>
        <w:t>a</w:t>
      </w:r>
      <w:r>
        <w:rPr>
          <w:spacing w:val="-3"/>
        </w:rPr>
        <w:t xml:space="preserve"> </w:t>
      </w:r>
      <w:r>
        <w:t>small</w:t>
      </w:r>
      <w:r>
        <w:rPr>
          <w:spacing w:val="-3"/>
        </w:rPr>
        <w:t xml:space="preserve"> </w:t>
      </w:r>
      <w:r>
        <w:t>grade</w:t>
      </w:r>
      <w:r>
        <w:rPr>
          <w:spacing w:val="-3"/>
        </w:rPr>
        <w:t xml:space="preserve"> </w:t>
      </w:r>
      <w:r>
        <w:t>enrollment,</w:t>
      </w:r>
      <w:r>
        <w:rPr>
          <w:spacing w:val="-3"/>
        </w:rPr>
        <w:t xml:space="preserve"> </w:t>
      </w:r>
      <w:r>
        <w:t>its</w:t>
      </w:r>
      <w:r>
        <w:rPr>
          <w:spacing w:val="-3"/>
        </w:rPr>
        <w:t xml:space="preserve"> </w:t>
      </w:r>
      <w:r>
        <w:t>school</w:t>
      </w:r>
      <w:r>
        <w:rPr>
          <w:spacing w:val="-3"/>
        </w:rPr>
        <w:t xml:space="preserve"> </w:t>
      </w:r>
      <w:r>
        <w:t>base</w:t>
      </w:r>
      <w:r>
        <w:rPr>
          <w:spacing w:val="-3"/>
        </w:rPr>
        <w:t xml:space="preserve"> </w:t>
      </w:r>
      <w:r>
        <w:t>weight</w:t>
      </w:r>
      <w:r>
        <w:rPr>
          <w:spacing w:val="-3"/>
        </w:rPr>
        <w:t xml:space="preserve"> </w:t>
      </w:r>
      <w:r>
        <w:t>was</w:t>
      </w:r>
      <w:r>
        <w:rPr>
          <w:spacing w:val="-3"/>
        </w:rPr>
        <w:t xml:space="preserve"> </w:t>
      </w:r>
      <w:r>
        <w:t>large.</w:t>
      </w:r>
      <w:r>
        <w:rPr>
          <w:spacing w:val="-7"/>
        </w:rPr>
        <w:t xml:space="preserve"> </w:t>
      </w:r>
      <w:r>
        <w:t>To</w:t>
      </w:r>
      <w:r>
        <w:rPr>
          <w:spacing w:val="-3"/>
        </w:rPr>
        <w:t xml:space="preserve"> </w:t>
      </w:r>
      <w:r>
        <w:t>determine</w:t>
      </w:r>
      <w:r>
        <w:rPr>
          <w:spacing w:val="-3"/>
        </w:rPr>
        <w:t xml:space="preserve"> </w:t>
      </w:r>
      <w:r>
        <w:t>if</w:t>
      </w:r>
      <w:r>
        <w:rPr>
          <w:spacing w:val="-3"/>
        </w:rPr>
        <w:t xml:space="preserve"> </w:t>
      </w:r>
      <w:r>
        <w:t>a</w:t>
      </w:r>
      <w:r>
        <w:rPr>
          <w:spacing w:val="-3"/>
        </w:rPr>
        <w:t xml:space="preserve"> </w:t>
      </w:r>
      <w:r>
        <w:t>school's</w:t>
      </w:r>
      <w:r>
        <w:rPr>
          <w:spacing w:val="-3"/>
        </w:rPr>
        <w:t xml:space="preserve"> </w:t>
      </w:r>
      <w:r>
        <w:t>base</w:t>
      </w:r>
      <w:r>
        <w:rPr>
          <w:spacing w:val="-3"/>
        </w:rPr>
        <w:t xml:space="preserve"> </w:t>
      </w:r>
      <w:r>
        <w:t>weight</w:t>
      </w:r>
      <w:r>
        <w:rPr>
          <w:spacing w:val="-3"/>
        </w:rPr>
        <w:t xml:space="preserve"> </w:t>
      </w:r>
      <w:r>
        <w:t>was</w:t>
      </w:r>
      <w:r>
        <w:rPr>
          <w:spacing w:val="-3"/>
        </w:rPr>
        <w:t xml:space="preserve"> </w:t>
      </w:r>
      <w:r>
        <w:t>too large, a comparison was made between a school's base weight and its ideal weight (described below). If a school's base weight was more than three times its ideal weight, the school's</w:t>
      </w:r>
      <w:r>
        <w:rPr>
          <w:spacing w:val="-6"/>
        </w:rPr>
        <w:t xml:space="preserve"> </w:t>
      </w:r>
      <w:r>
        <w:t>base</w:t>
      </w:r>
      <w:r>
        <w:rPr>
          <w:spacing w:val="-6"/>
        </w:rPr>
        <w:t xml:space="preserve"> </w:t>
      </w:r>
      <w:r>
        <w:t>weight</w:t>
      </w:r>
      <w:r>
        <w:rPr>
          <w:spacing w:val="-6"/>
        </w:rPr>
        <w:t xml:space="preserve"> </w:t>
      </w:r>
      <w:r>
        <w:t>was</w:t>
      </w:r>
      <w:r>
        <w:rPr>
          <w:spacing w:val="-6"/>
        </w:rPr>
        <w:t xml:space="preserve"> </w:t>
      </w:r>
      <w:r>
        <w:t>scaled</w:t>
      </w:r>
      <w:r>
        <w:rPr>
          <w:spacing w:val="-6"/>
        </w:rPr>
        <w:t xml:space="preserve"> </w:t>
      </w:r>
      <w:r>
        <w:t>back</w:t>
      </w:r>
      <w:r>
        <w:rPr>
          <w:spacing w:val="-6"/>
        </w:rPr>
        <w:t xml:space="preserve"> </w:t>
      </w:r>
      <w:r>
        <w:t>or</w:t>
      </w:r>
      <w:r>
        <w:rPr>
          <w:spacing w:val="-6"/>
        </w:rPr>
        <w:t xml:space="preserve"> </w:t>
      </w:r>
      <w:r>
        <w:t>trimmed</w:t>
      </w:r>
      <w:r>
        <w:rPr>
          <w:spacing w:val="-6"/>
        </w:rPr>
        <w:t xml:space="preserve"> </w:t>
      </w:r>
      <w:r>
        <w:t>to</w:t>
      </w:r>
      <w:r>
        <w:rPr>
          <w:spacing w:val="-6"/>
        </w:rPr>
        <w:t xml:space="preserve"> </w:t>
      </w:r>
      <w:r>
        <w:t>three</w:t>
      </w:r>
      <w:r>
        <w:rPr>
          <w:spacing w:val="-6"/>
        </w:rPr>
        <w:t xml:space="preserve"> </w:t>
      </w:r>
      <w:r>
        <w:t>times</w:t>
      </w:r>
      <w:r>
        <w:rPr>
          <w:spacing w:val="-6"/>
        </w:rPr>
        <w:t xml:space="preserve"> </w:t>
      </w:r>
      <w:r>
        <w:t>the</w:t>
      </w:r>
      <w:r>
        <w:rPr>
          <w:spacing w:val="-6"/>
        </w:rPr>
        <w:t xml:space="preserve"> </w:t>
      </w:r>
      <w:r>
        <w:t>ideal</w:t>
      </w:r>
      <w:r>
        <w:rPr>
          <w:spacing w:val="-6"/>
        </w:rPr>
        <w:t xml:space="preserve"> </w:t>
      </w:r>
      <w:r>
        <w:t>weight.</w:t>
      </w:r>
      <w:r>
        <w:rPr>
          <w:spacing w:val="-9"/>
        </w:rPr>
        <w:t xml:space="preserve"> </w:t>
      </w:r>
      <w:r>
        <w:t>The</w:t>
      </w:r>
      <w:r>
        <w:rPr>
          <w:spacing w:val="-6"/>
        </w:rPr>
        <w:t xml:space="preserve"> </w:t>
      </w:r>
      <w:r>
        <w:t>trimming</w:t>
      </w:r>
      <w:r>
        <w:rPr>
          <w:spacing w:val="-6"/>
        </w:rPr>
        <w:t xml:space="preserve"> </w:t>
      </w:r>
      <w:r>
        <w:t>was</w:t>
      </w:r>
      <w:r>
        <w:rPr>
          <w:spacing w:val="-6"/>
        </w:rPr>
        <w:t xml:space="preserve"> </w:t>
      </w:r>
      <w:r>
        <w:t>accomplished</w:t>
      </w:r>
      <w:r>
        <w:rPr>
          <w:spacing w:val="-6"/>
        </w:rPr>
        <w:t xml:space="preserve"> </w:t>
      </w:r>
      <w:r>
        <w:t>by</w:t>
      </w:r>
      <w:r>
        <w:rPr>
          <w:spacing w:val="-6"/>
        </w:rPr>
        <w:t xml:space="preserve"> </w:t>
      </w:r>
      <w:r>
        <w:t>way</w:t>
      </w:r>
      <w:r>
        <w:rPr>
          <w:spacing w:val="-6"/>
        </w:rPr>
        <w:t xml:space="preserve"> </w:t>
      </w:r>
      <w:r>
        <w:t>of</w:t>
      </w:r>
      <w:r>
        <w:rPr>
          <w:spacing w:val="-6"/>
        </w:rPr>
        <w:t xml:space="preserve"> </w:t>
      </w:r>
      <w:r>
        <w:t>a</w:t>
      </w:r>
      <w:r>
        <w:rPr>
          <w:spacing w:val="-6"/>
        </w:rPr>
        <w:t xml:space="preserve"> </w:t>
      </w:r>
      <w:r>
        <w:t>trimming</w:t>
      </w:r>
      <w:r>
        <w:rPr>
          <w:spacing w:val="-6"/>
        </w:rPr>
        <w:t xml:space="preserve"> </w:t>
      </w:r>
      <w:r>
        <w:t>factor.</w:t>
      </w:r>
      <w:r>
        <w:rPr>
          <w:spacing w:val="-9"/>
        </w:rPr>
        <w:t xml:space="preserve"> </w:t>
      </w:r>
      <w:r>
        <w:t>The</w:t>
      </w:r>
      <w:r>
        <w:rPr>
          <w:spacing w:val="-6"/>
        </w:rPr>
        <w:t xml:space="preserve"> </w:t>
      </w:r>
      <w:r>
        <w:t>trimming</w:t>
      </w:r>
      <w:r>
        <w:rPr>
          <w:spacing w:val="-6"/>
        </w:rPr>
        <w:t xml:space="preserve"> </w:t>
      </w:r>
      <w:r>
        <w:t>factor</w:t>
      </w:r>
      <w:r>
        <w:rPr>
          <w:spacing w:val="-6"/>
        </w:rPr>
        <w:t xml:space="preserve"> </w:t>
      </w:r>
      <w:r>
        <w:t>for</w:t>
      </w:r>
      <w:r>
        <w:rPr>
          <w:spacing w:val="-6"/>
        </w:rPr>
        <w:t xml:space="preserve"> </w:t>
      </w:r>
      <w:r>
        <w:t>school</w:t>
      </w:r>
      <w:r>
        <w:rPr>
          <w:spacing w:val="-6"/>
        </w:rPr>
        <w:t xml:space="preserve"> </w:t>
      </w:r>
      <w:r>
        <w:t>\ (s\) was calculated using the formula</w:t>
      </w:r>
    </w:p>
    <w:p w:rsidR="003F5784" w14:paraId="2E6DECF3" w14:textId="77777777">
      <w:pPr>
        <w:spacing w:line="232" w:lineRule="auto"/>
        <w:sectPr>
          <w:type w:val="continuous"/>
          <w:pgSz w:w="15840" w:h="12240" w:orient="landscape"/>
          <w:pgMar w:top="480" w:right="440" w:bottom="460" w:left="460" w:header="284" w:footer="275" w:gutter="0"/>
          <w:cols w:space="720"/>
        </w:sectPr>
      </w:pPr>
    </w:p>
    <w:p w:rsidR="003F5784" w14:paraId="4A27FE65" w14:textId="77777777">
      <w:pPr>
        <w:pStyle w:val="BodyText"/>
        <w:spacing w:before="72" w:line="238" w:lineRule="exact"/>
        <w:ind w:left="109"/>
      </w:pPr>
      <w:r>
        <w:t>\begin{equation}</w:t>
      </w:r>
      <w:r>
        <w:rPr>
          <w:spacing w:val="-10"/>
        </w:rPr>
        <w:t xml:space="preserve"> </w:t>
      </w:r>
      <w:r>
        <w:t>SCH\_TRIM_{s}</w:t>
      </w:r>
      <w:r>
        <w:rPr>
          <w:spacing w:val="-10"/>
        </w:rPr>
        <w:t xml:space="preserve"> </w:t>
      </w:r>
      <w:r>
        <w:t>=</w:t>
      </w:r>
      <w:r>
        <w:rPr>
          <w:spacing w:val="-10"/>
        </w:rPr>
        <w:t xml:space="preserve"> </w:t>
      </w:r>
      <w:r>
        <w:t>\left\{\begin{array}{llll}</w:t>
      </w:r>
      <w:r>
        <w:rPr>
          <w:spacing w:val="-10"/>
        </w:rPr>
        <w:t xml:space="preserve"> </w:t>
      </w:r>
      <w:r>
        <w:t>\dfrac{3</w:t>
      </w:r>
      <w:r>
        <w:rPr>
          <w:spacing w:val="-10"/>
        </w:rPr>
        <w:t xml:space="preserve"> </w:t>
      </w:r>
      <w:r>
        <w:t>\times</w:t>
      </w:r>
      <w:r>
        <w:rPr>
          <w:spacing w:val="-10"/>
        </w:rPr>
        <w:t xml:space="preserve"> </w:t>
      </w:r>
      <w:r>
        <w:t>EXP\_WT_{s}}</w:t>
      </w:r>
      <w:r>
        <w:rPr>
          <w:spacing w:val="-10"/>
        </w:rPr>
        <w:t xml:space="preserve"> </w:t>
      </w:r>
      <w:r>
        <w:t>{SCH\_BWT_{s}}</w:t>
      </w:r>
      <w:r>
        <w:rPr>
          <w:spacing w:val="-10"/>
        </w:rPr>
        <w:t xml:space="preserve"> </w:t>
      </w:r>
      <w:r>
        <w:t>&amp;</w:t>
      </w:r>
      <w:r>
        <w:rPr>
          <w:spacing w:val="-9"/>
        </w:rPr>
        <w:t xml:space="preserve"> </w:t>
      </w:r>
      <w:r>
        <w:t>\text{if</w:t>
      </w:r>
      <w:r>
        <w:rPr>
          <w:spacing w:val="-10"/>
        </w:rPr>
        <w:t xml:space="preserve"> </w:t>
      </w:r>
      <w:r>
        <w:t>}</w:t>
      </w:r>
      <w:r>
        <w:rPr>
          <w:spacing w:val="-10"/>
        </w:rPr>
        <w:t xml:space="preserve"> </w:t>
      </w:r>
      <w:r>
        <w:t>\dfrac{</w:t>
      </w:r>
      <w:r>
        <w:rPr>
          <w:spacing w:val="-10"/>
        </w:rPr>
        <w:t xml:space="preserve"> </w:t>
      </w:r>
      <w:r>
        <w:t>SCH\_BWT_{s}}</w:t>
      </w:r>
      <w:r>
        <w:rPr>
          <w:spacing w:val="-10"/>
        </w:rPr>
        <w:t xml:space="preserve"> </w:t>
      </w:r>
      <w:r>
        <w:t>{</w:t>
      </w:r>
      <w:r>
        <w:rPr>
          <w:spacing w:val="-10"/>
        </w:rPr>
        <w:t xml:space="preserve"> </w:t>
      </w:r>
      <w:r>
        <w:rPr>
          <w:spacing w:val="-2"/>
        </w:rPr>
        <w:t>EXP\_WT_{s}}</w:t>
      </w:r>
    </w:p>
    <w:p w:rsidR="003F5784" w14:paraId="7B57338B" w14:textId="77777777">
      <w:pPr>
        <w:pStyle w:val="BodyText"/>
        <w:spacing w:line="439" w:lineRule="auto"/>
        <w:ind w:left="109" w:right="9048"/>
      </w:pPr>
      <w:r>
        <w:t>&gt;3</w:t>
      </w:r>
      <w:r>
        <w:rPr>
          <w:spacing w:val="-9"/>
        </w:rPr>
        <w:t xml:space="preserve"> </w:t>
      </w:r>
      <w:r>
        <w:t>\\</w:t>
      </w:r>
      <w:r>
        <w:rPr>
          <w:spacing w:val="-9"/>
        </w:rPr>
        <w:t xml:space="preserve"> </w:t>
      </w:r>
      <w:r>
        <w:t>1</w:t>
      </w:r>
      <w:r>
        <w:rPr>
          <w:spacing w:val="-9"/>
        </w:rPr>
        <w:t xml:space="preserve"> </w:t>
      </w:r>
      <w:r>
        <w:t>&amp;</w:t>
      </w:r>
      <w:r>
        <w:rPr>
          <w:spacing w:val="-9"/>
        </w:rPr>
        <w:t xml:space="preserve"> </w:t>
      </w:r>
      <w:r>
        <w:t>\text{otherwise</w:t>
      </w:r>
      <w:r>
        <w:rPr>
          <w:spacing w:val="-9"/>
        </w:rPr>
        <w:t xml:space="preserve"> </w:t>
      </w:r>
      <w:r>
        <w:t>}</w:t>
      </w:r>
      <w:r>
        <w:rPr>
          <w:spacing w:val="-9"/>
        </w:rPr>
        <w:t xml:space="preserve"> </w:t>
      </w:r>
      <w:r>
        <w:t>\\</w:t>
      </w:r>
      <w:r>
        <w:rPr>
          <w:spacing w:val="-9"/>
        </w:rPr>
        <w:t xml:space="preserve"> </w:t>
      </w:r>
      <w:r>
        <w:t>\end{array}\right.</w:t>
      </w:r>
      <w:r>
        <w:rPr>
          <w:spacing w:val="-9"/>
        </w:rPr>
        <w:t xml:space="preserve"> </w:t>
      </w:r>
      <w:r>
        <w:t>,</w:t>
      </w:r>
      <w:r>
        <w:rPr>
          <w:spacing w:val="-9"/>
        </w:rPr>
        <w:t xml:space="preserve"> </w:t>
      </w:r>
      <w:r>
        <w:t xml:space="preserve">\end{equation} </w:t>
      </w:r>
      <w:r>
        <w:rPr>
          <w:spacing w:val="-2"/>
        </w:rPr>
        <w:t>where</w:t>
      </w:r>
    </w:p>
    <w:p w:rsidR="003F5784" w14:paraId="5B6146F1" w14:textId="77777777">
      <w:pPr>
        <w:pStyle w:val="BodyText"/>
        <w:spacing w:line="241" w:lineRule="exact"/>
        <w:ind w:left="422"/>
      </w:pPr>
      <w:r>
        <w:rPr>
          <w:noProof/>
          <w:position w:val="3"/>
        </w:rPr>
        <w:drawing>
          <wp:inline distT="0" distB="0" distL="0" distR="0">
            <wp:extent cx="41379" cy="41378"/>
            <wp:effectExtent l="0" t="0" r="0" b="0"/>
            <wp:docPr id="599" name="Image 599"/>
            <wp:cNvGraphicFramePr/>
            <a:graphic xmlns:a="http://schemas.openxmlformats.org/drawingml/2006/main">
              <a:graphicData uri="http://schemas.openxmlformats.org/drawingml/2006/picture">
                <pic:pic xmlns:pic="http://schemas.openxmlformats.org/drawingml/2006/picture">
                  <pic:nvPicPr>
                    <pic:cNvPr id="599" name="Image 599"/>
                    <pic:cNvPicPr/>
                  </pic:nvPicPr>
                  <pic:blipFill>
                    <a:blip xmlns:r="http://schemas.openxmlformats.org/officeDocument/2006/relationships" r:embed="rId484" cstate="print"/>
                    <a:stretch>
                      <a:fillRect/>
                    </a:stretch>
                  </pic:blipFill>
                  <pic:spPr>
                    <a:xfrm>
                      <a:off x="0" y="0"/>
                      <a:ext cx="41379" cy="41378"/>
                    </a:xfrm>
                    <a:prstGeom prst="rect">
                      <a:avLst/>
                    </a:prstGeom>
                  </pic:spPr>
                </pic:pic>
              </a:graphicData>
            </a:graphic>
          </wp:inline>
        </w:drawing>
      </w:r>
      <w:r>
        <w:rPr>
          <w:spacing w:val="80"/>
          <w:sz w:val="20"/>
        </w:rPr>
        <w:t xml:space="preserve"> </w:t>
      </w:r>
      <w:r>
        <w:t>\(EXP\_WT_{s}\) is the ideal base weight for school \(s\); and</w:t>
      </w:r>
    </w:p>
    <w:p w:rsidR="003F5784" w14:paraId="3DEB77AC" w14:textId="77777777">
      <w:pPr>
        <w:pStyle w:val="BodyText"/>
        <w:spacing w:before="201"/>
        <w:ind w:left="422"/>
      </w:pPr>
      <w:r>
        <w:rPr>
          <w:noProof/>
          <w:position w:val="3"/>
        </w:rPr>
        <w:drawing>
          <wp:inline distT="0" distB="0" distL="0" distR="0">
            <wp:extent cx="41379" cy="41378"/>
            <wp:effectExtent l="0" t="0" r="0" b="0"/>
            <wp:docPr id="600" name="Image 600"/>
            <wp:cNvGraphicFramePr/>
            <a:graphic xmlns:a="http://schemas.openxmlformats.org/drawingml/2006/main">
              <a:graphicData uri="http://schemas.openxmlformats.org/drawingml/2006/picture">
                <pic:pic xmlns:pic="http://schemas.openxmlformats.org/drawingml/2006/picture">
                  <pic:nvPicPr>
                    <pic:cNvPr id="600" name="Image 600"/>
                    <pic:cNvPicPr/>
                  </pic:nvPicPr>
                  <pic:blipFill>
                    <a:blip xmlns:r="http://schemas.openxmlformats.org/officeDocument/2006/relationships" r:embed="rId485" cstate="print"/>
                    <a:stretch>
                      <a:fillRect/>
                    </a:stretch>
                  </pic:blipFill>
                  <pic:spPr>
                    <a:xfrm>
                      <a:off x="0" y="0"/>
                      <a:ext cx="41379" cy="41378"/>
                    </a:xfrm>
                    <a:prstGeom prst="rect">
                      <a:avLst/>
                    </a:prstGeom>
                  </pic:spPr>
                </pic:pic>
              </a:graphicData>
            </a:graphic>
          </wp:inline>
        </w:drawing>
      </w:r>
      <w:r>
        <w:rPr>
          <w:spacing w:val="80"/>
          <w:sz w:val="20"/>
        </w:rPr>
        <w:t xml:space="preserve"> </w:t>
      </w:r>
      <w:r>
        <w:t xml:space="preserve">\(SCH\_BWT_{s}\) is the actual </w:t>
      </w:r>
      <w:r>
        <w:rPr>
          <w:color w:val="0066CC"/>
        </w:rPr>
        <w:t xml:space="preserve">school base weight </w:t>
      </w:r>
      <w:r>
        <w:t>for school \(s\).</w:t>
      </w:r>
    </w:p>
    <w:p w:rsidR="003F5784" w14:paraId="0D5ADF73" w14:textId="77777777">
      <w:pPr>
        <w:pStyle w:val="BodyText"/>
        <w:spacing w:before="208" w:line="232" w:lineRule="auto"/>
        <w:ind w:left="109"/>
      </w:pPr>
      <w:r>
        <w:t>The</w:t>
      </w:r>
      <w:r>
        <w:rPr>
          <w:spacing w:val="-5"/>
        </w:rPr>
        <w:t xml:space="preserve"> </w:t>
      </w:r>
      <w:r>
        <w:t>ideal</w:t>
      </w:r>
      <w:r>
        <w:rPr>
          <w:spacing w:val="-5"/>
        </w:rPr>
        <w:t xml:space="preserve"> </w:t>
      </w:r>
      <w:r>
        <w:t>weight</w:t>
      </w:r>
      <w:r>
        <w:rPr>
          <w:spacing w:val="-5"/>
        </w:rPr>
        <w:t xml:space="preserve"> </w:t>
      </w:r>
      <w:r>
        <w:t>for</w:t>
      </w:r>
      <w:r>
        <w:rPr>
          <w:spacing w:val="-5"/>
        </w:rPr>
        <w:t xml:space="preserve"> </w:t>
      </w:r>
      <w:r>
        <w:t>a</w:t>
      </w:r>
      <w:r>
        <w:rPr>
          <w:spacing w:val="-5"/>
        </w:rPr>
        <w:t xml:space="preserve"> </w:t>
      </w:r>
      <w:r>
        <w:t>school</w:t>
      </w:r>
      <w:r>
        <w:rPr>
          <w:spacing w:val="-5"/>
        </w:rPr>
        <w:t xml:space="preserve"> </w:t>
      </w:r>
      <w:r>
        <w:t>depends</w:t>
      </w:r>
      <w:r>
        <w:rPr>
          <w:spacing w:val="-5"/>
        </w:rPr>
        <w:t xml:space="preserve"> </w:t>
      </w:r>
      <w:r>
        <w:t>on</w:t>
      </w:r>
      <w:r>
        <w:rPr>
          <w:spacing w:val="-5"/>
        </w:rPr>
        <w:t xml:space="preserve"> </w:t>
      </w:r>
      <w:r>
        <w:t>the</w:t>
      </w:r>
      <w:r>
        <w:rPr>
          <w:spacing w:val="-5"/>
        </w:rPr>
        <w:t xml:space="preserve"> </w:t>
      </w:r>
      <w:r>
        <w:t>type</w:t>
      </w:r>
      <w:r>
        <w:rPr>
          <w:spacing w:val="-5"/>
        </w:rPr>
        <w:t xml:space="preserve"> </w:t>
      </w:r>
      <w:r>
        <w:t>of</w:t>
      </w:r>
      <w:r>
        <w:rPr>
          <w:spacing w:val="-5"/>
        </w:rPr>
        <w:t xml:space="preserve"> </w:t>
      </w:r>
      <w:r>
        <w:t>circumstance:</w:t>
      </w:r>
      <w:r>
        <w:rPr>
          <w:spacing w:val="-5"/>
        </w:rPr>
        <w:t xml:space="preserve"> </w:t>
      </w:r>
      <w:r>
        <w:t>whether</w:t>
      </w:r>
      <w:r>
        <w:rPr>
          <w:spacing w:val="-5"/>
        </w:rPr>
        <w:t xml:space="preserve"> </w:t>
      </w:r>
      <w:r>
        <w:t>it</w:t>
      </w:r>
      <w:r>
        <w:rPr>
          <w:spacing w:val="-5"/>
        </w:rPr>
        <w:t xml:space="preserve"> </w:t>
      </w:r>
      <w:r>
        <w:t>was</w:t>
      </w:r>
      <w:r>
        <w:rPr>
          <w:spacing w:val="-5"/>
        </w:rPr>
        <w:t xml:space="preserve"> </w:t>
      </w:r>
      <w:r>
        <w:t>a</w:t>
      </w:r>
      <w:r>
        <w:rPr>
          <w:spacing w:val="-5"/>
        </w:rPr>
        <w:t xml:space="preserve"> </w:t>
      </w:r>
      <w:r>
        <w:t>new</w:t>
      </w:r>
      <w:r>
        <w:rPr>
          <w:spacing w:val="-5"/>
        </w:rPr>
        <w:t xml:space="preserve"> </w:t>
      </w:r>
      <w:r>
        <w:t>school,</w:t>
      </w:r>
      <w:r>
        <w:rPr>
          <w:spacing w:val="-5"/>
        </w:rPr>
        <w:t xml:space="preserve"> </w:t>
      </w:r>
      <w:r>
        <w:t>private</w:t>
      </w:r>
      <w:r>
        <w:rPr>
          <w:spacing w:val="-5"/>
        </w:rPr>
        <w:t xml:space="preserve"> </w:t>
      </w:r>
      <w:r>
        <w:t>school,</w:t>
      </w:r>
      <w:r>
        <w:rPr>
          <w:spacing w:val="-5"/>
        </w:rPr>
        <w:t xml:space="preserve"> </w:t>
      </w:r>
      <w:r>
        <w:t>or</w:t>
      </w:r>
      <w:r>
        <w:rPr>
          <w:spacing w:val="-5"/>
        </w:rPr>
        <w:t xml:space="preserve"> </w:t>
      </w:r>
      <w:r>
        <w:t>school</w:t>
      </w:r>
      <w:r>
        <w:rPr>
          <w:spacing w:val="-5"/>
        </w:rPr>
        <w:t xml:space="preserve"> </w:t>
      </w:r>
      <w:r>
        <w:t>with</w:t>
      </w:r>
      <w:r>
        <w:rPr>
          <w:spacing w:val="-5"/>
        </w:rPr>
        <w:t xml:space="preserve"> </w:t>
      </w:r>
      <w:r>
        <w:t>large</w:t>
      </w:r>
      <w:r>
        <w:rPr>
          <w:spacing w:val="-5"/>
        </w:rPr>
        <w:t xml:space="preserve"> </w:t>
      </w:r>
      <w:r>
        <w:t>grade</w:t>
      </w:r>
      <w:r>
        <w:rPr>
          <w:spacing w:val="-5"/>
        </w:rPr>
        <w:t xml:space="preserve"> </w:t>
      </w:r>
      <w:r>
        <w:t>enrollment</w:t>
      </w:r>
      <w:r>
        <w:rPr>
          <w:spacing w:val="-5"/>
        </w:rPr>
        <w:t xml:space="preserve"> </w:t>
      </w:r>
      <w:r>
        <w:t>increase.</w:t>
      </w:r>
      <w:r>
        <w:rPr>
          <w:spacing w:val="-5"/>
        </w:rPr>
        <w:t xml:space="preserve"> </w:t>
      </w:r>
      <w:r>
        <w:t>Details</w:t>
      </w:r>
      <w:r>
        <w:rPr>
          <w:spacing w:val="-5"/>
        </w:rPr>
        <w:t xml:space="preserve"> </w:t>
      </w:r>
      <w:r>
        <w:t>of</w:t>
      </w:r>
      <w:r>
        <w:rPr>
          <w:spacing w:val="-5"/>
        </w:rPr>
        <w:t xml:space="preserve"> </w:t>
      </w:r>
      <w:r>
        <w:t>the trimming procedure by type of circumstance are described below.</w:t>
      </w:r>
    </w:p>
    <w:p w:rsidR="003F5784" w14:paraId="723AE9B5" w14:textId="77777777">
      <w:pPr>
        <w:pStyle w:val="Heading2"/>
        <w:spacing w:before="203"/>
        <w:ind w:left="109"/>
      </w:pPr>
      <w:r>
        <w:t>New</w:t>
      </w:r>
      <w:r>
        <w:rPr>
          <w:spacing w:val="-5"/>
        </w:rPr>
        <w:t xml:space="preserve"> </w:t>
      </w:r>
      <w:r>
        <w:rPr>
          <w:spacing w:val="-2"/>
        </w:rPr>
        <w:t>Schools</w:t>
      </w:r>
    </w:p>
    <w:p w:rsidR="003F5784" w14:paraId="5924C807" w14:textId="77777777">
      <w:pPr>
        <w:pStyle w:val="BodyText"/>
        <w:spacing w:before="208" w:line="232" w:lineRule="auto"/>
        <w:ind w:left="109"/>
      </w:pPr>
      <w:r>
        <w:t>New schools with a disproportionately large student enrollment in a particular grade from a school district (or Catholic diocese) that was selected with a small probability of selection</w:t>
      </w:r>
      <w:r>
        <w:rPr>
          <w:spacing w:val="-5"/>
        </w:rPr>
        <w:t xml:space="preserve"> </w:t>
      </w:r>
      <w:r>
        <w:t>were</w:t>
      </w:r>
      <w:r>
        <w:rPr>
          <w:spacing w:val="-5"/>
        </w:rPr>
        <w:t xml:space="preserve"> </w:t>
      </w:r>
      <w:r>
        <w:t>likely</w:t>
      </w:r>
      <w:r>
        <w:rPr>
          <w:spacing w:val="-5"/>
        </w:rPr>
        <w:t xml:space="preserve"> </w:t>
      </w:r>
      <w:r>
        <w:t>candidates</w:t>
      </w:r>
      <w:r>
        <w:rPr>
          <w:spacing w:val="-5"/>
        </w:rPr>
        <w:t xml:space="preserve"> </w:t>
      </w:r>
      <w:r>
        <w:t>to</w:t>
      </w:r>
      <w:r>
        <w:rPr>
          <w:spacing w:val="-5"/>
        </w:rPr>
        <w:t xml:space="preserve"> </w:t>
      </w:r>
      <w:r>
        <w:t>have</w:t>
      </w:r>
      <w:r>
        <w:rPr>
          <w:spacing w:val="-5"/>
        </w:rPr>
        <w:t xml:space="preserve"> </w:t>
      </w:r>
      <w:r>
        <w:t>their</w:t>
      </w:r>
      <w:r>
        <w:rPr>
          <w:spacing w:val="-5"/>
        </w:rPr>
        <w:t xml:space="preserve"> </w:t>
      </w:r>
      <w:r>
        <w:t>school</w:t>
      </w:r>
      <w:r>
        <w:rPr>
          <w:spacing w:val="-5"/>
        </w:rPr>
        <w:t xml:space="preserve"> </w:t>
      </w:r>
      <w:r>
        <w:t>weights</w:t>
      </w:r>
      <w:r>
        <w:rPr>
          <w:spacing w:val="-5"/>
        </w:rPr>
        <w:t xml:space="preserve"> </w:t>
      </w:r>
      <w:r>
        <w:t>trimmed.</w:t>
      </w:r>
      <w:r>
        <w:rPr>
          <w:spacing w:val="-9"/>
        </w:rPr>
        <w:t xml:space="preserve"> </w:t>
      </w:r>
      <w:r>
        <w:t>The</w:t>
      </w:r>
      <w:r>
        <w:rPr>
          <w:spacing w:val="-5"/>
        </w:rPr>
        <w:t xml:space="preserve"> </w:t>
      </w:r>
      <w:r>
        <w:t>school</w:t>
      </w:r>
      <w:r>
        <w:rPr>
          <w:spacing w:val="-5"/>
        </w:rPr>
        <w:t xml:space="preserve"> </w:t>
      </w:r>
      <w:r>
        <w:t>base</w:t>
      </w:r>
      <w:r>
        <w:rPr>
          <w:spacing w:val="-5"/>
        </w:rPr>
        <w:t xml:space="preserve"> </w:t>
      </w:r>
      <w:r>
        <w:t>weights</w:t>
      </w:r>
      <w:r>
        <w:rPr>
          <w:spacing w:val="-5"/>
        </w:rPr>
        <w:t xml:space="preserve"> </w:t>
      </w:r>
      <w:r>
        <w:t>for</w:t>
      </w:r>
      <w:r>
        <w:rPr>
          <w:spacing w:val="-5"/>
        </w:rPr>
        <w:t xml:space="preserve"> </w:t>
      </w:r>
      <w:r>
        <w:t>such</w:t>
      </w:r>
      <w:r>
        <w:rPr>
          <w:spacing w:val="-5"/>
        </w:rPr>
        <w:t xml:space="preserve"> </w:t>
      </w:r>
      <w:r>
        <w:t>schools</w:t>
      </w:r>
      <w:r>
        <w:rPr>
          <w:spacing w:val="-5"/>
        </w:rPr>
        <w:t xml:space="preserve"> </w:t>
      </w:r>
      <w:r>
        <w:t>may</w:t>
      </w:r>
      <w:r>
        <w:rPr>
          <w:spacing w:val="-5"/>
        </w:rPr>
        <w:t xml:space="preserve"> </w:t>
      </w:r>
      <w:r>
        <w:t>be</w:t>
      </w:r>
      <w:r>
        <w:rPr>
          <w:spacing w:val="-5"/>
        </w:rPr>
        <w:t xml:space="preserve"> </w:t>
      </w:r>
      <w:r>
        <w:t>large</w:t>
      </w:r>
      <w:r>
        <w:rPr>
          <w:spacing w:val="-5"/>
        </w:rPr>
        <w:t xml:space="preserve"> </w:t>
      </w:r>
      <w:r>
        <w:t>relative</w:t>
      </w:r>
      <w:r>
        <w:rPr>
          <w:spacing w:val="-5"/>
        </w:rPr>
        <w:t xml:space="preserve"> </w:t>
      </w:r>
      <w:r>
        <w:t>to</w:t>
      </w:r>
      <w:r>
        <w:rPr>
          <w:spacing w:val="-5"/>
        </w:rPr>
        <w:t xml:space="preserve"> </w:t>
      </w:r>
      <w:r>
        <w:t>what</w:t>
      </w:r>
      <w:r>
        <w:rPr>
          <w:spacing w:val="-5"/>
        </w:rPr>
        <w:t xml:space="preserve"> </w:t>
      </w:r>
      <w:r>
        <w:t>they</w:t>
      </w:r>
      <w:r>
        <w:rPr>
          <w:spacing w:val="-5"/>
        </w:rPr>
        <w:t xml:space="preserve"> </w:t>
      </w:r>
      <w:r>
        <w:t>would</w:t>
      </w:r>
      <w:r>
        <w:rPr>
          <w:spacing w:val="-5"/>
        </w:rPr>
        <w:t xml:space="preserve"> </w:t>
      </w:r>
      <w:r>
        <w:t>have</w:t>
      </w:r>
      <w:r>
        <w:rPr>
          <w:spacing w:val="-5"/>
        </w:rPr>
        <w:t xml:space="preserve"> </w:t>
      </w:r>
      <w:r>
        <w:t>been</w:t>
      </w:r>
      <w:r>
        <w:rPr>
          <w:spacing w:val="-5"/>
        </w:rPr>
        <w:t xml:space="preserve"> </w:t>
      </w:r>
      <w:r>
        <w:t>if</w:t>
      </w:r>
      <w:r>
        <w:rPr>
          <w:spacing w:val="-5"/>
        </w:rPr>
        <w:t xml:space="preserve"> </w:t>
      </w:r>
      <w:r>
        <w:t>they</w:t>
      </w:r>
      <w:r>
        <w:rPr>
          <w:spacing w:val="-5"/>
        </w:rPr>
        <w:t xml:space="preserve"> </w:t>
      </w:r>
      <w:r>
        <w:t>had been selected from the NAEP</w:t>
      </w:r>
      <w:r>
        <w:rPr>
          <w:spacing w:val="-5"/>
        </w:rPr>
        <w:t xml:space="preserve"> </w:t>
      </w:r>
      <w:r>
        <w:t>public or private school sampling frame.</w:t>
      </w:r>
      <w:r>
        <w:rPr>
          <w:spacing w:val="-1"/>
        </w:rPr>
        <w:t xml:space="preserve"> </w:t>
      </w:r>
      <w:r>
        <w:t>The ideal weight for a new school was as follows:</w:t>
      </w:r>
    </w:p>
    <w:p w:rsidR="003F5784" w14:paraId="731A975F" w14:textId="77777777">
      <w:pPr>
        <w:pStyle w:val="BodyText"/>
        <w:spacing w:before="203"/>
        <w:ind w:left="422"/>
      </w:pPr>
      <w:r>
        <w:rPr>
          <w:noProof/>
          <w:position w:val="3"/>
        </w:rPr>
        <w:drawing>
          <wp:inline distT="0" distB="0" distL="0" distR="0">
            <wp:extent cx="41379" cy="41378"/>
            <wp:effectExtent l="0" t="0" r="0" b="0"/>
            <wp:docPr id="601" name="Image 601"/>
            <wp:cNvGraphicFramePr/>
            <a:graphic xmlns:a="http://schemas.openxmlformats.org/drawingml/2006/main">
              <a:graphicData uri="http://schemas.openxmlformats.org/drawingml/2006/picture">
                <pic:pic xmlns:pic="http://schemas.openxmlformats.org/drawingml/2006/picture">
                  <pic:nvPicPr>
                    <pic:cNvPr id="601" name="Image 601"/>
                    <pic:cNvPicPr/>
                  </pic:nvPicPr>
                  <pic:blipFill>
                    <a:blip xmlns:r="http://schemas.openxmlformats.org/officeDocument/2006/relationships" r:embed="rId486" cstate="print"/>
                    <a:stretch>
                      <a:fillRect/>
                    </a:stretch>
                  </pic:blipFill>
                  <pic:spPr>
                    <a:xfrm>
                      <a:off x="0" y="0"/>
                      <a:ext cx="41379" cy="41378"/>
                    </a:xfrm>
                    <a:prstGeom prst="rect">
                      <a:avLst/>
                    </a:prstGeom>
                  </pic:spPr>
                </pic:pic>
              </a:graphicData>
            </a:graphic>
          </wp:inline>
        </w:drawing>
      </w:r>
      <w:r>
        <w:rPr>
          <w:spacing w:val="80"/>
          <w:sz w:val="20"/>
        </w:rPr>
        <w:t xml:space="preserve"> </w:t>
      </w:r>
      <w:r>
        <w:t>\(EXP\_WT_{s}\)</w:t>
      </w:r>
      <w:r>
        <w:rPr>
          <w:spacing w:val="-1"/>
        </w:rPr>
        <w:t xml:space="preserve"> </w:t>
      </w:r>
      <w:r>
        <w:t>is</w:t>
      </w:r>
      <w:r>
        <w:rPr>
          <w:spacing w:val="-1"/>
        </w:rPr>
        <w:t xml:space="preserve"> </w:t>
      </w:r>
      <w:r>
        <w:t>the</w:t>
      </w:r>
      <w:r>
        <w:rPr>
          <w:spacing w:val="-1"/>
        </w:rPr>
        <w:t xml:space="preserve"> </w:t>
      </w:r>
      <w:r>
        <w:t>ideal</w:t>
      </w:r>
      <w:r>
        <w:rPr>
          <w:spacing w:val="-1"/>
        </w:rPr>
        <w:t xml:space="preserve"> </w:t>
      </w:r>
      <w:r>
        <w:t>base</w:t>
      </w:r>
      <w:r>
        <w:rPr>
          <w:spacing w:val="-1"/>
        </w:rPr>
        <w:t xml:space="preserve"> </w:t>
      </w:r>
      <w:r>
        <w:t>weight</w:t>
      </w:r>
      <w:r>
        <w:rPr>
          <w:spacing w:val="-1"/>
        </w:rPr>
        <w:t xml:space="preserve"> </w:t>
      </w:r>
      <w:r>
        <w:t>the</w:t>
      </w:r>
      <w:r>
        <w:rPr>
          <w:spacing w:val="-1"/>
        </w:rPr>
        <w:t xml:space="preserve"> </w:t>
      </w:r>
      <w:r>
        <w:t>school</w:t>
      </w:r>
      <w:r>
        <w:rPr>
          <w:spacing w:val="-1"/>
        </w:rPr>
        <w:t xml:space="preserve"> </w:t>
      </w:r>
      <w:r>
        <w:t>would</w:t>
      </w:r>
      <w:r>
        <w:rPr>
          <w:spacing w:val="-1"/>
        </w:rPr>
        <w:t xml:space="preserve"> </w:t>
      </w:r>
      <w:r>
        <w:t>have</w:t>
      </w:r>
      <w:r>
        <w:rPr>
          <w:spacing w:val="-1"/>
        </w:rPr>
        <w:t xml:space="preserve"> </w:t>
      </w:r>
      <w:r>
        <w:t>received</w:t>
      </w:r>
      <w:r>
        <w:rPr>
          <w:spacing w:val="-1"/>
        </w:rPr>
        <w:t xml:space="preserve"> </w:t>
      </w:r>
      <w:r>
        <w:t>if</w:t>
      </w:r>
      <w:r>
        <w:rPr>
          <w:spacing w:val="-1"/>
        </w:rPr>
        <w:t xml:space="preserve"> </w:t>
      </w:r>
      <w:r>
        <w:t>it</w:t>
      </w:r>
      <w:r>
        <w:rPr>
          <w:spacing w:val="-1"/>
        </w:rPr>
        <w:t xml:space="preserve"> </w:t>
      </w:r>
      <w:r>
        <w:t>had</w:t>
      </w:r>
      <w:r>
        <w:rPr>
          <w:spacing w:val="-1"/>
        </w:rPr>
        <w:t xml:space="preserve"> </w:t>
      </w:r>
      <w:r>
        <w:t>been</w:t>
      </w:r>
      <w:r>
        <w:rPr>
          <w:spacing w:val="-1"/>
        </w:rPr>
        <w:t xml:space="preserve"> </w:t>
      </w:r>
      <w:r>
        <w:t>on</w:t>
      </w:r>
      <w:r>
        <w:rPr>
          <w:spacing w:val="-1"/>
        </w:rPr>
        <w:t xml:space="preserve"> </w:t>
      </w:r>
      <w:r>
        <w:t>the</w:t>
      </w:r>
      <w:r>
        <w:rPr>
          <w:spacing w:val="-1"/>
        </w:rPr>
        <w:t xml:space="preserve"> </w:t>
      </w:r>
      <w:r>
        <w:t>NAEP</w:t>
      </w:r>
      <w:r>
        <w:rPr>
          <w:spacing w:val="-9"/>
        </w:rPr>
        <w:t xml:space="preserve"> </w:t>
      </w:r>
      <w:r>
        <w:t>public</w:t>
      </w:r>
      <w:r>
        <w:rPr>
          <w:spacing w:val="-1"/>
        </w:rPr>
        <w:t xml:space="preserve"> </w:t>
      </w:r>
      <w:r>
        <w:t>or</w:t>
      </w:r>
      <w:r>
        <w:rPr>
          <w:spacing w:val="-1"/>
        </w:rPr>
        <w:t xml:space="preserve"> </w:t>
      </w:r>
      <w:r>
        <w:t>private</w:t>
      </w:r>
      <w:r>
        <w:rPr>
          <w:spacing w:val="-1"/>
        </w:rPr>
        <w:t xml:space="preserve"> </w:t>
      </w:r>
      <w:r>
        <w:t>school</w:t>
      </w:r>
      <w:r>
        <w:rPr>
          <w:spacing w:val="-1"/>
        </w:rPr>
        <w:t xml:space="preserve"> </w:t>
      </w:r>
      <w:r>
        <w:t>sampling</w:t>
      </w:r>
      <w:r>
        <w:rPr>
          <w:spacing w:val="-1"/>
        </w:rPr>
        <w:t xml:space="preserve"> </w:t>
      </w:r>
      <w:r>
        <w:t>frame.</w:t>
      </w:r>
    </w:p>
    <w:p w:rsidR="003F5784" w14:paraId="5E2E07C1" w14:textId="77777777">
      <w:pPr>
        <w:pStyle w:val="BodyText"/>
        <w:spacing w:before="202"/>
        <w:ind w:left="109"/>
      </w:pPr>
      <w:r>
        <w:t>For</w:t>
      </w:r>
      <w:r>
        <w:rPr>
          <w:spacing w:val="-6"/>
        </w:rPr>
        <w:t xml:space="preserve"> </w:t>
      </w:r>
      <w:r>
        <w:t>the</w:t>
      </w:r>
      <w:r>
        <w:rPr>
          <w:spacing w:val="-6"/>
        </w:rPr>
        <w:t xml:space="preserve"> </w:t>
      </w:r>
      <w:r>
        <w:t>2022</w:t>
      </w:r>
      <w:r>
        <w:rPr>
          <w:spacing w:val="-6"/>
        </w:rPr>
        <w:t xml:space="preserve"> </w:t>
      </w:r>
      <w:r>
        <w:t>NAEP</w:t>
      </w:r>
      <w:r>
        <w:rPr>
          <w:spacing w:val="-13"/>
        </w:rPr>
        <w:t xml:space="preserve"> </w:t>
      </w:r>
      <w:r>
        <w:t>assessment,</w:t>
      </w:r>
      <w:r>
        <w:rPr>
          <w:spacing w:val="-6"/>
        </w:rPr>
        <w:t xml:space="preserve"> </w:t>
      </w:r>
      <w:r>
        <w:t>two</w:t>
      </w:r>
      <w:r>
        <w:rPr>
          <w:spacing w:val="-6"/>
        </w:rPr>
        <w:t xml:space="preserve"> </w:t>
      </w:r>
      <w:r>
        <w:t>grade</w:t>
      </w:r>
      <w:r>
        <w:rPr>
          <w:spacing w:val="-6"/>
        </w:rPr>
        <w:t xml:space="preserve"> </w:t>
      </w:r>
      <w:r>
        <w:t>8</w:t>
      </w:r>
      <w:r>
        <w:rPr>
          <w:spacing w:val="-6"/>
        </w:rPr>
        <w:t xml:space="preserve"> </w:t>
      </w:r>
      <w:r>
        <w:t>schools</w:t>
      </w:r>
      <w:r>
        <w:rPr>
          <w:spacing w:val="-6"/>
        </w:rPr>
        <w:t xml:space="preserve"> </w:t>
      </w:r>
      <w:r>
        <w:t>out</w:t>
      </w:r>
      <w:r>
        <w:rPr>
          <w:spacing w:val="-6"/>
        </w:rPr>
        <w:t xml:space="preserve"> </w:t>
      </w:r>
      <w:r>
        <w:t>of</w:t>
      </w:r>
      <w:r>
        <w:rPr>
          <w:spacing w:val="-6"/>
        </w:rPr>
        <w:t xml:space="preserve"> </w:t>
      </w:r>
      <w:r>
        <w:t>73</w:t>
      </w:r>
      <w:r>
        <w:rPr>
          <w:spacing w:val="-6"/>
        </w:rPr>
        <w:t xml:space="preserve"> </w:t>
      </w:r>
      <w:r>
        <w:t>participating</w:t>
      </w:r>
      <w:r>
        <w:rPr>
          <w:spacing w:val="-6"/>
        </w:rPr>
        <w:t xml:space="preserve"> </w:t>
      </w:r>
      <w:r>
        <w:t>schools</w:t>
      </w:r>
      <w:r>
        <w:rPr>
          <w:spacing w:val="-6"/>
        </w:rPr>
        <w:t xml:space="preserve"> </w:t>
      </w:r>
      <w:r>
        <w:t>selected</w:t>
      </w:r>
      <w:r>
        <w:rPr>
          <w:spacing w:val="-6"/>
        </w:rPr>
        <w:t xml:space="preserve"> </w:t>
      </w:r>
      <w:r>
        <w:t>from</w:t>
      </w:r>
      <w:r>
        <w:rPr>
          <w:spacing w:val="-6"/>
        </w:rPr>
        <w:t xml:space="preserve"> </w:t>
      </w:r>
      <w:r>
        <w:t>the</w:t>
      </w:r>
      <w:r>
        <w:rPr>
          <w:spacing w:val="-6"/>
        </w:rPr>
        <w:t xml:space="preserve"> </w:t>
      </w:r>
      <w:r>
        <w:t>new-school</w:t>
      </w:r>
      <w:r>
        <w:rPr>
          <w:spacing w:val="-6"/>
        </w:rPr>
        <w:t xml:space="preserve"> </w:t>
      </w:r>
      <w:r>
        <w:t>sampling</w:t>
      </w:r>
      <w:r>
        <w:rPr>
          <w:spacing w:val="-5"/>
        </w:rPr>
        <w:t xml:space="preserve"> </w:t>
      </w:r>
      <w:r>
        <w:t>frame</w:t>
      </w:r>
      <w:r>
        <w:rPr>
          <w:spacing w:val="-6"/>
        </w:rPr>
        <w:t xml:space="preserve"> </w:t>
      </w:r>
      <w:r>
        <w:t>had</w:t>
      </w:r>
      <w:r>
        <w:rPr>
          <w:spacing w:val="-6"/>
        </w:rPr>
        <w:t xml:space="preserve"> </w:t>
      </w:r>
      <w:r>
        <w:t>their</w:t>
      </w:r>
      <w:r>
        <w:rPr>
          <w:spacing w:val="-6"/>
        </w:rPr>
        <w:t xml:space="preserve"> </w:t>
      </w:r>
      <w:r>
        <w:t>weights</w:t>
      </w:r>
      <w:r>
        <w:rPr>
          <w:spacing w:val="-6"/>
        </w:rPr>
        <w:t xml:space="preserve"> </w:t>
      </w:r>
      <w:r>
        <w:rPr>
          <w:spacing w:val="-2"/>
        </w:rPr>
        <w:t>trimmed.</w:t>
      </w:r>
    </w:p>
    <w:p w:rsidR="003F5784" w14:paraId="26EC54DA" w14:textId="77777777">
      <w:pPr>
        <w:pStyle w:val="Heading2"/>
        <w:spacing w:before="202"/>
        <w:ind w:left="109"/>
      </w:pPr>
      <w:r>
        <w:t>Private</w:t>
      </w:r>
      <w:r>
        <w:rPr>
          <w:spacing w:val="-8"/>
        </w:rPr>
        <w:t xml:space="preserve"> </w:t>
      </w:r>
      <w:r>
        <w:rPr>
          <w:spacing w:val="-2"/>
        </w:rPr>
        <w:t>Schools</w:t>
      </w:r>
    </w:p>
    <w:p w:rsidR="003F5784" w14:paraId="537FEB96" w14:textId="77777777">
      <w:pPr>
        <w:pStyle w:val="BodyText"/>
        <w:spacing w:before="207" w:line="232" w:lineRule="auto"/>
        <w:ind w:left="109"/>
      </w:pPr>
      <w:r>
        <w:t>Private</w:t>
      </w:r>
      <w:r>
        <w:rPr>
          <w:spacing w:val="-6"/>
        </w:rPr>
        <w:t xml:space="preserve"> </w:t>
      </w:r>
      <w:r>
        <w:t>school</w:t>
      </w:r>
      <w:r>
        <w:rPr>
          <w:spacing w:val="-6"/>
        </w:rPr>
        <w:t xml:space="preserve"> </w:t>
      </w:r>
      <w:r>
        <w:t>PSS</w:t>
      </w:r>
      <w:r>
        <w:rPr>
          <w:spacing w:val="-6"/>
        </w:rPr>
        <w:t xml:space="preserve"> </w:t>
      </w:r>
      <w:r>
        <w:t>nonrespondents</w:t>
      </w:r>
      <w:r>
        <w:rPr>
          <w:spacing w:val="-6"/>
        </w:rPr>
        <w:t xml:space="preserve"> </w:t>
      </w:r>
      <w:r>
        <w:t>who</w:t>
      </w:r>
      <w:r>
        <w:rPr>
          <w:spacing w:val="-6"/>
        </w:rPr>
        <w:t xml:space="preserve"> </w:t>
      </w:r>
      <w:r>
        <w:t>participated</w:t>
      </w:r>
      <w:r>
        <w:rPr>
          <w:spacing w:val="-6"/>
        </w:rPr>
        <w:t xml:space="preserve"> </w:t>
      </w:r>
      <w:r>
        <w:t>in</w:t>
      </w:r>
      <w:r>
        <w:rPr>
          <w:spacing w:val="-6"/>
        </w:rPr>
        <w:t xml:space="preserve"> </w:t>
      </w:r>
      <w:r>
        <w:t>NAEP</w:t>
      </w:r>
      <w:r>
        <w:rPr>
          <w:spacing w:val="-13"/>
        </w:rPr>
        <w:t xml:space="preserve"> </w:t>
      </w:r>
      <w:r>
        <w:t>and</w:t>
      </w:r>
      <w:r>
        <w:rPr>
          <w:spacing w:val="-6"/>
        </w:rPr>
        <w:t xml:space="preserve"> </w:t>
      </w:r>
      <w:r>
        <w:t>were</w:t>
      </w:r>
      <w:r>
        <w:rPr>
          <w:spacing w:val="-6"/>
        </w:rPr>
        <w:t xml:space="preserve"> </w:t>
      </w:r>
      <w:r>
        <w:t>found</w:t>
      </w:r>
      <w:r>
        <w:rPr>
          <w:spacing w:val="-6"/>
        </w:rPr>
        <w:t xml:space="preserve"> </w:t>
      </w:r>
      <w:r>
        <w:t>subsequently</w:t>
      </w:r>
      <w:r>
        <w:rPr>
          <w:spacing w:val="-6"/>
        </w:rPr>
        <w:t xml:space="preserve"> </w:t>
      </w:r>
      <w:r>
        <w:t>to</w:t>
      </w:r>
      <w:r>
        <w:rPr>
          <w:spacing w:val="-6"/>
        </w:rPr>
        <w:t xml:space="preserve"> </w:t>
      </w:r>
      <w:r>
        <w:t>have</w:t>
      </w:r>
      <w:r>
        <w:rPr>
          <w:spacing w:val="-6"/>
        </w:rPr>
        <w:t xml:space="preserve"> </w:t>
      </w:r>
      <w:r>
        <w:t>either</w:t>
      </w:r>
      <w:r>
        <w:rPr>
          <w:spacing w:val="-6"/>
        </w:rPr>
        <w:t xml:space="preserve"> </w:t>
      </w:r>
      <w:r>
        <w:t>larger</w:t>
      </w:r>
      <w:r>
        <w:rPr>
          <w:spacing w:val="-6"/>
        </w:rPr>
        <w:t xml:space="preserve"> </w:t>
      </w:r>
      <w:r>
        <w:t>enrollments</w:t>
      </w:r>
      <w:r>
        <w:rPr>
          <w:spacing w:val="-6"/>
        </w:rPr>
        <w:t xml:space="preserve"> </w:t>
      </w:r>
      <w:r>
        <w:t>than</w:t>
      </w:r>
      <w:r>
        <w:rPr>
          <w:spacing w:val="-6"/>
        </w:rPr>
        <w:t xml:space="preserve"> </w:t>
      </w:r>
      <w:r>
        <w:t>assumed</w:t>
      </w:r>
      <w:r>
        <w:rPr>
          <w:spacing w:val="-6"/>
        </w:rPr>
        <w:t xml:space="preserve"> </w:t>
      </w:r>
      <w:r>
        <w:t>at</w:t>
      </w:r>
      <w:r>
        <w:rPr>
          <w:spacing w:val="-6"/>
        </w:rPr>
        <w:t xml:space="preserve"> </w:t>
      </w:r>
      <w:r>
        <w:t>the</w:t>
      </w:r>
      <w:r>
        <w:rPr>
          <w:spacing w:val="-6"/>
        </w:rPr>
        <w:t xml:space="preserve"> </w:t>
      </w:r>
      <w:r>
        <w:t>time</w:t>
      </w:r>
      <w:r>
        <w:rPr>
          <w:spacing w:val="-6"/>
        </w:rPr>
        <w:t xml:space="preserve"> </w:t>
      </w:r>
      <w:r>
        <w:t>of</w:t>
      </w:r>
      <w:r>
        <w:rPr>
          <w:spacing w:val="-6"/>
        </w:rPr>
        <w:t xml:space="preserve"> </w:t>
      </w:r>
      <w:r>
        <w:t>school</w:t>
      </w:r>
      <w:r>
        <w:rPr>
          <w:spacing w:val="-6"/>
        </w:rPr>
        <w:t xml:space="preserve"> </w:t>
      </w:r>
      <w:r>
        <w:t>sampling</w:t>
      </w:r>
      <w:r>
        <w:rPr>
          <w:spacing w:val="-6"/>
        </w:rPr>
        <w:t xml:space="preserve"> </w:t>
      </w:r>
      <w:r>
        <w:t>or</w:t>
      </w:r>
      <w:r>
        <w:rPr>
          <w:spacing w:val="-6"/>
        </w:rPr>
        <w:t xml:space="preserve"> </w:t>
      </w:r>
      <w:r>
        <w:t>an atypical</w:t>
      </w:r>
      <w:r>
        <w:rPr>
          <w:spacing w:val="-1"/>
        </w:rPr>
        <w:t xml:space="preserve"> </w:t>
      </w:r>
      <w:r>
        <w:t>probability</w:t>
      </w:r>
      <w:r>
        <w:rPr>
          <w:spacing w:val="-1"/>
        </w:rPr>
        <w:t xml:space="preserve"> </w:t>
      </w:r>
      <w:r>
        <w:t>of</w:t>
      </w:r>
      <w:r>
        <w:rPr>
          <w:spacing w:val="-1"/>
        </w:rPr>
        <w:t xml:space="preserve"> </w:t>
      </w:r>
      <w:r>
        <w:t>selection</w:t>
      </w:r>
      <w:r>
        <w:rPr>
          <w:spacing w:val="-1"/>
        </w:rPr>
        <w:t xml:space="preserve"> </w:t>
      </w:r>
      <w:r>
        <w:t>given</w:t>
      </w:r>
      <w:r>
        <w:rPr>
          <w:spacing w:val="-1"/>
        </w:rPr>
        <w:t xml:space="preserve"> </w:t>
      </w:r>
      <w:r>
        <w:t>their</w:t>
      </w:r>
      <w:r>
        <w:rPr>
          <w:spacing w:val="-1"/>
        </w:rPr>
        <w:t xml:space="preserve"> </w:t>
      </w:r>
      <w:r>
        <w:t>affiliation,</w:t>
      </w:r>
      <w:r>
        <w:rPr>
          <w:spacing w:val="-1"/>
        </w:rPr>
        <w:t xml:space="preserve"> </w:t>
      </w:r>
      <w:r>
        <w:t>the</w:t>
      </w:r>
      <w:r>
        <w:rPr>
          <w:spacing w:val="-1"/>
        </w:rPr>
        <w:t xml:space="preserve"> </w:t>
      </w:r>
      <w:r>
        <w:t>latter</w:t>
      </w:r>
      <w:r>
        <w:rPr>
          <w:spacing w:val="-1"/>
        </w:rPr>
        <w:t xml:space="preserve"> </w:t>
      </w:r>
      <w:r>
        <w:t>being</w:t>
      </w:r>
      <w:r>
        <w:rPr>
          <w:spacing w:val="-1"/>
        </w:rPr>
        <w:t xml:space="preserve"> </w:t>
      </w:r>
      <w:r>
        <w:t>unknown</w:t>
      </w:r>
      <w:r>
        <w:rPr>
          <w:spacing w:val="-1"/>
        </w:rPr>
        <w:t xml:space="preserve"> </w:t>
      </w:r>
      <w:r>
        <w:t>at</w:t>
      </w:r>
      <w:r>
        <w:rPr>
          <w:spacing w:val="-1"/>
        </w:rPr>
        <w:t xml:space="preserve"> </w:t>
      </w:r>
      <w:r>
        <w:t>the</w:t>
      </w:r>
      <w:r>
        <w:rPr>
          <w:spacing w:val="-1"/>
        </w:rPr>
        <w:t xml:space="preserve"> </w:t>
      </w:r>
      <w:r>
        <w:t>time</w:t>
      </w:r>
      <w:r>
        <w:rPr>
          <w:spacing w:val="-1"/>
        </w:rPr>
        <w:t xml:space="preserve"> </w:t>
      </w:r>
      <w:r>
        <w:t>of</w:t>
      </w:r>
      <w:r>
        <w:rPr>
          <w:spacing w:val="-1"/>
        </w:rPr>
        <w:t xml:space="preserve"> </w:t>
      </w:r>
      <w:r>
        <w:t>sampling,</w:t>
      </w:r>
      <w:r>
        <w:rPr>
          <w:spacing w:val="-1"/>
        </w:rPr>
        <w:t xml:space="preserve"> </w:t>
      </w:r>
      <w:r>
        <w:t>were</w:t>
      </w:r>
      <w:r>
        <w:rPr>
          <w:spacing w:val="-1"/>
        </w:rPr>
        <w:t xml:space="preserve"> </w:t>
      </w:r>
      <w:r>
        <w:t>also</w:t>
      </w:r>
      <w:r>
        <w:rPr>
          <w:spacing w:val="-1"/>
        </w:rPr>
        <w:t xml:space="preserve"> </w:t>
      </w:r>
      <w:r>
        <w:t>likely</w:t>
      </w:r>
      <w:r>
        <w:rPr>
          <w:spacing w:val="-1"/>
        </w:rPr>
        <w:t xml:space="preserve"> </w:t>
      </w:r>
      <w:r>
        <w:t>candidates</w:t>
      </w:r>
      <w:r>
        <w:rPr>
          <w:spacing w:val="-1"/>
        </w:rPr>
        <w:t xml:space="preserve"> </w:t>
      </w:r>
      <w:r>
        <w:t>to</w:t>
      </w:r>
      <w:r>
        <w:rPr>
          <w:spacing w:val="-1"/>
        </w:rPr>
        <w:t xml:space="preserve"> </w:t>
      </w:r>
      <w:r>
        <w:t>have</w:t>
      </w:r>
      <w:r>
        <w:rPr>
          <w:spacing w:val="-1"/>
        </w:rPr>
        <w:t xml:space="preserve"> </w:t>
      </w:r>
      <w:r>
        <w:t>their</w:t>
      </w:r>
      <w:r>
        <w:rPr>
          <w:spacing w:val="-1"/>
        </w:rPr>
        <w:t xml:space="preserve"> </w:t>
      </w:r>
      <w:r>
        <w:t>school</w:t>
      </w:r>
      <w:r>
        <w:rPr>
          <w:spacing w:val="-1"/>
        </w:rPr>
        <w:t xml:space="preserve"> </w:t>
      </w:r>
      <w:r>
        <w:t>weights</w:t>
      </w:r>
      <w:r>
        <w:rPr>
          <w:spacing w:val="-1"/>
        </w:rPr>
        <w:t xml:space="preserve"> </w:t>
      </w:r>
      <w:r>
        <w:t>trimmed.</w:t>
      </w:r>
      <w:r>
        <w:rPr>
          <w:spacing w:val="-5"/>
        </w:rPr>
        <w:t xml:space="preserve"> </w:t>
      </w:r>
      <w:r>
        <w:t>The ideal weight for a PSS nonresponding private school was as follows:</w:t>
      </w:r>
    </w:p>
    <w:p w:rsidR="003F5784" w14:paraId="6D7DC2C4" w14:textId="77777777">
      <w:pPr>
        <w:pStyle w:val="BodyText"/>
        <w:spacing w:before="210" w:line="232" w:lineRule="auto"/>
        <w:ind w:left="631" w:right="54" w:hanging="209"/>
      </w:pPr>
      <w:r>
        <w:rPr>
          <w:noProof/>
          <w:position w:val="3"/>
        </w:rPr>
        <w:drawing>
          <wp:inline distT="0" distB="0" distL="0" distR="0">
            <wp:extent cx="41379" cy="41378"/>
            <wp:effectExtent l="0" t="0" r="0" b="0"/>
            <wp:docPr id="602" name="Image 602"/>
            <wp:cNvGraphicFramePr/>
            <a:graphic xmlns:a="http://schemas.openxmlformats.org/drawingml/2006/main">
              <a:graphicData uri="http://schemas.openxmlformats.org/drawingml/2006/picture">
                <pic:pic xmlns:pic="http://schemas.openxmlformats.org/drawingml/2006/picture">
                  <pic:nvPicPr>
                    <pic:cNvPr id="602" name="Image 602"/>
                    <pic:cNvPicPr/>
                  </pic:nvPicPr>
                  <pic:blipFill>
                    <a:blip xmlns:r="http://schemas.openxmlformats.org/officeDocument/2006/relationships" r:embed="rId487" cstate="print"/>
                    <a:stretch>
                      <a:fillRect/>
                    </a:stretch>
                  </pic:blipFill>
                  <pic:spPr>
                    <a:xfrm>
                      <a:off x="0" y="0"/>
                      <a:ext cx="41379" cy="41378"/>
                    </a:xfrm>
                    <a:prstGeom prst="rect">
                      <a:avLst/>
                    </a:prstGeom>
                  </pic:spPr>
                </pic:pic>
              </a:graphicData>
            </a:graphic>
          </wp:inline>
        </w:drawing>
      </w:r>
      <w:r>
        <w:rPr>
          <w:spacing w:val="80"/>
          <w:sz w:val="20"/>
        </w:rPr>
        <w:t xml:space="preserve"> </w:t>
      </w:r>
      <w:r>
        <w:t>\(EXP\_WT_{s}\)</w:t>
      </w:r>
      <w:r>
        <w:rPr>
          <w:spacing w:val="-5"/>
        </w:rPr>
        <w:t xml:space="preserve"> </w:t>
      </w:r>
      <w:r>
        <w:t>is</w:t>
      </w:r>
      <w:r>
        <w:rPr>
          <w:spacing w:val="-5"/>
        </w:rPr>
        <w:t xml:space="preserve"> </w:t>
      </w:r>
      <w:r>
        <w:t>the</w:t>
      </w:r>
      <w:r>
        <w:rPr>
          <w:spacing w:val="-5"/>
        </w:rPr>
        <w:t xml:space="preserve"> </w:t>
      </w:r>
      <w:r>
        <w:t>ideal</w:t>
      </w:r>
      <w:r>
        <w:rPr>
          <w:spacing w:val="-5"/>
        </w:rPr>
        <w:t xml:space="preserve"> </w:t>
      </w:r>
      <w:r>
        <w:t>base</w:t>
      </w:r>
      <w:r>
        <w:rPr>
          <w:spacing w:val="-5"/>
        </w:rPr>
        <w:t xml:space="preserve"> </w:t>
      </w:r>
      <w:r>
        <w:t>weight</w:t>
      </w:r>
      <w:r>
        <w:rPr>
          <w:spacing w:val="-5"/>
        </w:rPr>
        <w:t xml:space="preserve"> </w:t>
      </w:r>
      <w:r>
        <w:t>the</w:t>
      </w:r>
      <w:r>
        <w:rPr>
          <w:spacing w:val="-5"/>
        </w:rPr>
        <w:t xml:space="preserve"> </w:t>
      </w:r>
      <w:r>
        <w:t>school</w:t>
      </w:r>
      <w:r>
        <w:rPr>
          <w:spacing w:val="-5"/>
        </w:rPr>
        <w:t xml:space="preserve"> </w:t>
      </w:r>
      <w:r>
        <w:t>would</w:t>
      </w:r>
      <w:r>
        <w:rPr>
          <w:spacing w:val="-5"/>
        </w:rPr>
        <w:t xml:space="preserve"> </w:t>
      </w:r>
      <w:r>
        <w:t>have</w:t>
      </w:r>
      <w:r>
        <w:rPr>
          <w:spacing w:val="-5"/>
        </w:rPr>
        <w:t xml:space="preserve"> </w:t>
      </w:r>
      <w:r>
        <w:t>received</w:t>
      </w:r>
      <w:r>
        <w:rPr>
          <w:spacing w:val="-5"/>
        </w:rPr>
        <w:t xml:space="preserve"> </w:t>
      </w:r>
      <w:r>
        <w:t>if</w:t>
      </w:r>
      <w:r>
        <w:rPr>
          <w:spacing w:val="-5"/>
        </w:rPr>
        <w:t xml:space="preserve"> </w:t>
      </w:r>
      <w:r>
        <w:t>it</w:t>
      </w:r>
      <w:r>
        <w:rPr>
          <w:spacing w:val="-5"/>
        </w:rPr>
        <w:t xml:space="preserve"> </w:t>
      </w:r>
      <w:r>
        <w:t>had</w:t>
      </w:r>
      <w:r>
        <w:rPr>
          <w:spacing w:val="-5"/>
        </w:rPr>
        <w:t xml:space="preserve"> </w:t>
      </w:r>
      <w:r>
        <w:t>been</w:t>
      </w:r>
      <w:r>
        <w:rPr>
          <w:spacing w:val="-5"/>
        </w:rPr>
        <w:t xml:space="preserve"> </w:t>
      </w:r>
      <w:r>
        <w:t>on</w:t>
      </w:r>
      <w:r>
        <w:rPr>
          <w:spacing w:val="-5"/>
        </w:rPr>
        <w:t xml:space="preserve"> </w:t>
      </w:r>
      <w:r>
        <w:t>the</w:t>
      </w:r>
      <w:r>
        <w:rPr>
          <w:spacing w:val="-5"/>
        </w:rPr>
        <w:t xml:space="preserve"> </w:t>
      </w:r>
      <w:r>
        <w:t>NAEP</w:t>
      </w:r>
      <w:r>
        <w:rPr>
          <w:spacing w:val="-13"/>
        </w:rPr>
        <w:t xml:space="preserve"> </w:t>
      </w:r>
      <w:r>
        <w:t>private</w:t>
      </w:r>
      <w:r>
        <w:rPr>
          <w:spacing w:val="-5"/>
        </w:rPr>
        <w:t xml:space="preserve"> </w:t>
      </w:r>
      <w:r>
        <w:t>school</w:t>
      </w:r>
      <w:r>
        <w:rPr>
          <w:spacing w:val="-5"/>
        </w:rPr>
        <w:t xml:space="preserve"> </w:t>
      </w:r>
      <w:r>
        <w:t>sampling</w:t>
      </w:r>
      <w:r>
        <w:rPr>
          <w:spacing w:val="-5"/>
        </w:rPr>
        <w:t xml:space="preserve"> </w:t>
      </w:r>
      <w:r>
        <w:t>frame</w:t>
      </w:r>
      <w:r>
        <w:rPr>
          <w:spacing w:val="-5"/>
        </w:rPr>
        <w:t xml:space="preserve"> </w:t>
      </w:r>
      <w:r>
        <w:t>with</w:t>
      </w:r>
      <w:r>
        <w:rPr>
          <w:spacing w:val="-5"/>
        </w:rPr>
        <w:t xml:space="preserve"> </w:t>
      </w:r>
      <w:r>
        <w:t>accurate</w:t>
      </w:r>
      <w:r>
        <w:rPr>
          <w:spacing w:val="-5"/>
        </w:rPr>
        <w:t xml:space="preserve"> </w:t>
      </w:r>
      <w:r>
        <w:t>enrollment</w:t>
      </w:r>
      <w:r>
        <w:rPr>
          <w:spacing w:val="-5"/>
        </w:rPr>
        <w:t xml:space="preserve"> </w:t>
      </w:r>
      <w:r>
        <w:t>and</w:t>
      </w:r>
      <w:r>
        <w:rPr>
          <w:spacing w:val="-5"/>
        </w:rPr>
        <w:t xml:space="preserve"> </w:t>
      </w:r>
      <w:r>
        <w:t xml:space="preserve">known </w:t>
      </w:r>
      <w:r>
        <w:rPr>
          <w:spacing w:val="-2"/>
        </w:rPr>
        <w:t>affiliation.</w:t>
      </w:r>
    </w:p>
    <w:p w:rsidR="003F5784" w14:paraId="0CA5BAEA" w14:textId="77777777">
      <w:pPr>
        <w:pStyle w:val="BodyText"/>
        <w:spacing w:before="203"/>
        <w:ind w:left="109"/>
      </w:pPr>
      <w:r>
        <w:t>For</w:t>
      </w:r>
      <w:r>
        <w:rPr>
          <w:spacing w:val="-9"/>
        </w:rPr>
        <w:t xml:space="preserve"> </w:t>
      </w:r>
      <w:r>
        <w:t>the</w:t>
      </w:r>
      <w:r>
        <w:rPr>
          <w:spacing w:val="-7"/>
        </w:rPr>
        <w:t xml:space="preserve"> </w:t>
      </w:r>
      <w:r>
        <w:t>2022</w:t>
      </w:r>
      <w:r>
        <w:rPr>
          <w:spacing w:val="-7"/>
        </w:rPr>
        <w:t xml:space="preserve"> </w:t>
      </w:r>
      <w:r>
        <w:t>NAEP</w:t>
      </w:r>
      <w:r>
        <w:rPr>
          <w:spacing w:val="-14"/>
        </w:rPr>
        <w:t xml:space="preserve"> </w:t>
      </w:r>
      <w:r>
        <w:t>assessment,</w:t>
      </w:r>
      <w:r>
        <w:rPr>
          <w:spacing w:val="-7"/>
        </w:rPr>
        <w:t xml:space="preserve"> </w:t>
      </w:r>
      <w:r>
        <w:t>there</w:t>
      </w:r>
      <w:r>
        <w:rPr>
          <w:spacing w:val="-7"/>
        </w:rPr>
        <w:t xml:space="preserve"> </w:t>
      </w:r>
      <w:r>
        <w:t>were</w:t>
      </w:r>
      <w:r>
        <w:rPr>
          <w:spacing w:val="-7"/>
        </w:rPr>
        <w:t xml:space="preserve"> </w:t>
      </w:r>
      <w:r>
        <w:t>three</w:t>
      </w:r>
      <w:r>
        <w:rPr>
          <w:spacing w:val="-8"/>
        </w:rPr>
        <w:t xml:space="preserve"> </w:t>
      </w:r>
      <w:r>
        <w:t>private</w:t>
      </w:r>
      <w:r>
        <w:rPr>
          <w:spacing w:val="-7"/>
        </w:rPr>
        <w:t xml:space="preserve"> </w:t>
      </w:r>
      <w:r>
        <w:t>school</w:t>
      </w:r>
      <w:r>
        <w:rPr>
          <w:spacing w:val="-7"/>
        </w:rPr>
        <w:t xml:space="preserve"> </w:t>
      </w:r>
      <w:r>
        <w:t>PSS</w:t>
      </w:r>
      <w:r>
        <w:rPr>
          <w:spacing w:val="-8"/>
        </w:rPr>
        <w:t xml:space="preserve"> </w:t>
      </w:r>
      <w:r>
        <w:t>nonrespondents</w:t>
      </w:r>
      <w:r>
        <w:rPr>
          <w:spacing w:val="-7"/>
        </w:rPr>
        <w:t xml:space="preserve"> </w:t>
      </w:r>
      <w:r>
        <w:t>that</w:t>
      </w:r>
      <w:r>
        <w:rPr>
          <w:spacing w:val="-7"/>
        </w:rPr>
        <w:t xml:space="preserve"> </w:t>
      </w:r>
      <w:r>
        <w:t>participated</w:t>
      </w:r>
      <w:r>
        <w:rPr>
          <w:spacing w:val="-7"/>
        </w:rPr>
        <w:t xml:space="preserve"> </w:t>
      </w:r>
      <w:r>
        <w:t>in</w:t>
      </w:r>
      <w:r>
        <w:rPr>
          <w:spacing w:val="-8"/>
        </w:rPr>
        <w:t xml:space="preserve"> </w:t>
      </w:r>
      <w:r>
        <w:t>NAEP,</w:t>
      </w:r>
      <w:r>
        <w:rPr>
          <w:spacing w:val="-7"/>
        </w:rPr>
        <w:t xml:space="preserve"> </w:t>
      </w:r>
      <w:r>
        <w:t>and</w:t>
      </w:r>
      <w:r>
        <w:rPr>
          <w:spacing w:val="-7"/>
        </w:rPr>
        <w:t xml:space="preserve"> </w:t>
      </w:r>
      <w:r>
        <w:t>none</w:t>
      </w:r>
      <w:r>
        <w:rPr>
          <w:spacing w:val="-7"/>
        </w:rPr>
        <w:t xml:space="preserve"> </w:t>
      </w:r>
      <w:r>
        <w:t>had</w:t>
      </w:r>
      <w:r>
        <w:rPr>
          <w:spacing w:val="-8"/>
        </w:rPr>
        <w:t xml:space="preserve"> </w:t>
      </w:r>
      <w:r>
        <w:t>their</w:t>
      </w:r>
      <w:r>
        <w:rPr>
          <w:spacing w:val="-7"/>
        </w:rPr>
        <w:t xml:space="preserve"> </w:t>
      </w:r>
      <w:r>
        <w:t>weights</w:t>
      </w:r>
      <w:r>
        <w:rPr>
          <w:spacing w:val="-7"/>
        </w:rPr>
        <w:t xml:space="preserve"> </w:t>
      </w:r>
      <w:r>
        <w:rPr>
          <w:spacing w:val="-2"/>
        </w:rPr>
        <w:t>trimmed.</w:t>
      </w:r>
    </w:p>
    <w:p w:rsidR="003F5784" w14:paraId="4D005117" w14:textId="77777777">
      <w:pPr>
        <w:pStyle w:val="Heading2"/>
        <w:spacing w:before="202"/>
        <w:ind w:left="109"/>
      </w:pPr>
      <w:r>
        <w:t>Schools</w:t>
      </w:r>
      <w:r>
        <w:rPr>
          <w:spacing w:val="-9"/>
        </w:rPr>
        <w:t xml:space="preserve"> </w:t>
      </w:r>
      <w:r>
        <w:t>with</w:t>
      </w:r>
      <w:r>
        <w:rPr>
          <w:spacing w:val="-9"/>
        </w:rPr>
        <w:t xml:space="preserve"> </w:t>
      </w:r>
      <w:r>
        <w:t>Large</w:t>
      </w:r>
      <w:r>
        <w:rPr>
          <w:spacing w:val="-8"/>
        </w:rPr>
        <w:t xml:space="preserve"> </w:t>
      </w:r>
      <w:r>
        <w:t>Enrollment</w:t>
      </w:r>
      <w:r>
        <w:rPr>
          <w:spacing w:val="-9"/>
        </w:rPr>
        <w:t xml:space="preserve"> </w:t>
      </w:r>
      <w:r>
        <w:rPr>
          <w:spacing w:val="-2"/>
        </w:rPr>
        <w:t>Increases</w:t>
      </w:r>
    </w:p>
    <w:p w:rsidR="003F5784" w14:paraId="2033AE08" w14:textId="77777777">
      <w:pPr>
        <w:pStyle w:val="BodyText"/>
        <w:spacing w:before="207" w:line="232" w:lineRule="auto"/>
        <w:ind w:left="109" w:right="117"/>
      </w:pPr>
      <w:r>
        <w:t>Schools,</w:t>
      </w:r>
      <w:r>
        <w:rPr>
          <w:spacing w:val="-6"/>
        </w:rPr>
        <w:t xml:space="preserve"> </w:t>
      </w:r>
      <w:r>
        <w:t>other</w:t>
      </w:r>
      <w:r>
        <w:rPr>
          <w:spacing w:val="-6"/>
        </w:rPr>
        <w:t xml:space="preserve"> </w:t>
      </w:r>
      <w:r>
        <w:t>than</w:t>
      </w:r>
      <w:r>
        <w:rPr>
          <w:spacing w:val="-6"/>
        </w:rPr>
        <w:t xml:space="preserve"> </w:t>
      </w:r>
      <w:r>
        <w:t>the</w:t>
      </w:r>
      <w:r>
        <w:rPr>
          <w:spacing w:val="-6"/>
        </w:rPr>
        <w:t xml:space="preserve"> </w:t>
      </w:r>
      <w:r>
        <w:t>PSS</w:t>
      </w:r>
      <w:r>
        <w:rPr>
          <w:spacing w:val="-6"/>
        </w:rPr>
        <w:t xml:space="preserve"> </w:t>
      </w:r>
      <w:r>
        <w:t>nonrespondents</w:t>
      </w:r>
      <w:r>
        <w:rPr>
          <w:spacing w:val="-6"/>
        </w:rPr>
        <w:t xml:space="preserve"> </w:t>
      </w:r>
      <w:r>
        <w:t>described</w:t>
      </w:r>
      <w:r>
        <w:rPr>
          <w:spacing w:val="-6"/>
        </w:rPr>
        <w:t xml:space="preserve"> </w:t>
      </w:r>
      <w:r>
        <w:t>above,</w:t>
      </w:r>
      <w:r>
        <w:rPr>
          <w:spacing w:val="-6"/>
        </w:rPr>
        <w:t xml:space="preserve"> </w:t>
      </w:r>
      <w:r>
        <w:t>whose</w:t>
      </w:r>
      <w:r>
        <w:rPr>
          <w:spacing w:val="-6"/>
        </w:rPr>
        <w:t xml:space="preserve"> </w:t>
      </w:r>
      <w:r>
        <w:t>enrollments</w:t>
      </w:r>
      <w:r>
        <w:rPr>
          <w:spacing w:val="-6"/>
        </w:rPr>
        <w:t xml:space="preserve"> </w:t>
      </w:r>
      <w:r>
        <w:t>determined</w:t>
      </w:r>
      <w:r>
        <w:rPr>
          <w:spacing w:val="-6"/>
        </w:rPr>
        <w:t xml:space="preserve"> </w:t>
      </w:r>
      <w:r>
        <w:t>at</w:t>
      </w:r>
      <w:r>
        <w:rPr>
          <w:spacing w:val="-6"/>
        </w:rPr>
        <w:t xml:space="preserve"> </w:t>
      </w:r>
      <w:r>
        <w:t>the</w:t>
      </w:r>
      <w:r>
        <w:rPr>
          <w:spacing w:val="-6"/>
        </w:rPr>
        <w:t xml:space="preserve"> </w:t>
      </w:r>
      <w:r>
        <w:t>time</w:t>
      </w:r>
      <w:r>
        <w:rPr>
          <w:spacing w:val="-6"/>
        </w:rPr>
        <w:t xml:space="preserve"> </w:t>
      </w:r>
      <w:r>
        <w:t>of</w:t>
      </w:r>
      <w:r>
        <w:rPr>
          <w:spacing w:val="-6"/>
        </w:rPr>
        <w:t xml:space="preserve"> </w:t>
      </w:r>
      <w:r>
        <w:t>student</w:t>
      </w:r>
      <w:r>
        <w:rPr>
          <w:spacing w:val="-6"/>
        </w:rPr>
        <w:t xml:space="preserve"> </w:t>
      </w:r>
      <w:r>
        <w:t>sampling</w:t>
      </w:r>
      <w:r>
        <w:rPr>
          <w:spacing w:val="-6"/>
        </w:rPr>
        <w:t xml:space="preserve"> </w:t>
      </w:r>
      <w:r>
        <w:t>were</w:t>
      </w:r>
      <w:r>
        <w:rPr>
          <w:spacing w:val="-6"/>
        </w:rPr>
        <w:t xml:space="preserve"> </w:t>
      </w:r>
      <w:r>
        <w:t>much</w:t>
      </w:r>
      <w:r>
        <w:rPr>
          <w:spacing w:val="-6"/>
        </w:rPr>
        <w:t xml:space="preserve"> </w:t>
      </w:r>
      <w:r>
        <w:t>larger</w:t>
      </w:r>
      <w:r>
        <w:rPr>
          <w:spacing w:val="-6"/>
        </w:rPr>
        <w:t xml:space="preserve"> </w:t>
      </w:r>
      <w:r>
        <w:t>than</w:t>
      </w:r>
      <w:r>
        <w:rPr>
          <w:spacing w:val="-6"/>
        </w:rPr>
        <w:t xml:space="preserve"> </w:t>
      </w:r>
      <w:r>
        <w:t>those</w:t>
      </w:r>
      <w:r>
        <w:rPr>
          <w:spacing w:val="-6"/>
        </w:rPr>
        <w:t xml:space="preserve"> </w:t>
      </w:r>
      <w:r>
        <w:t>assumed</w:t>
      </w:r>
      <w:r>
        <w:rPr>
          <w:spacing w:val="-6"/>
        </w:rPr>
        <w:t xml:space="preserve"> </w:t>
      </w:r>
      <w:r>
        <w:t>at</w:t>
      </w:r>
      <w:r>
        <w:rPr>
          <w:spacing w:val="-6"/>
        </w:rPr>
        <w:t xml:space="preserve"> </w:t>
      </w:r>
      <w:r>
        <w:t>the</w:t>
      </w:r>
      <w:r>
        <w:rPr>
          <w:spacing w:val="-6"/>
        </w:rPr>
        <w:t xml:space="preserve"> </w:t>
      </w:r>
      <w:r>
        <w:t>time</w:t>
      </w:r>
      <w:r>
        <w:rPr>
          <w:spacing w:val="-6"/>
        </w:rPr>
        <w:t xml:space="preserve"> </w:t>
      </w:r>
      <w:r>
        <w:t>of school sampling were also candidates to have their school weights trimmed.</w:t>
      </w:r>
      <w:r>
        <w:rPr>
          <w:spacing w:val="-3"/>
        </w:rPr>
        <w:t xml:space="preserve"> </w:t>
      </w:r>
      <w:r>
        <w:t>These schools have large relative school weights because their school probabilities of selection were artificially low.</w:t>
      </w:r>
      <w:r>
        <w:rPr>
          <w:spacing w:val="-1"/>
        </w:rPr>
        <w:t xml:space="preserve"> </w:t>
      </w:r>
      <w:r>
        <w:t>The ideal weight for a school with a large grade enrollment increase was as follows:</w:t>
      </w:r>
    </w:p>
    <w:p w:rsidR="003F5784" w14:paraId="79A8381A" w14:textId="77777777">
      <w:pPr>
        <w:pStyle w:val="BodyText"/>
        <w:spacing w:before="210" w:line="232" w:lineRule="auto"/>
        <w:ind w:left="631" w:right="54" w:hanging="209"/>
      </w:pPr>
      <w:r>
        <w:rPr>
          <w:noProof/>
          <w:position w:val="3"/>
        </w:rPr>
        <w:drawing>
          <wp:inline distT="0" distB="0" distL="0" distR="0">
            <wp:extent cx="41379" cy="41378"/>
            <wp:effectExtent l="0" t="0" r="0" b="0"/>
            <wp:docPr id="603" name="Image 603"/>
            <wp:cNvGraphicFramePr/>
            <a:graphic xmlns:a="http://schemas.openxmlformats.org/drawingml/2006/main">
              <a:graphicData uri="http://schemas.openxmlformats.org/drawingml/2006/picture">
                <pic:pic xmlns:pic="http://schemas.openxmlformats.org/drawingml/2006/picture">
                  <pic:nvPicPr>
                    <pic:cNvPr id="603" name="Image 603"/>
                    <pic:cNvPicPr/>
                  </pic:nvPicPr>
                  <pic:blipFill>
                    <a:blip xmlns:r="http://schemas.openxmlformats.org/officeDocument/2006/relationships" r:embed="rId488" cstate="print"/>
                    <a:stretch>
                      <a:fillRect/>
                    </a:stretch>
                  </pic:blipFill>
                  <pic:spPr>
                    <a:xfrm>
                      <a:off x="0" y="0"/>
                      <a:ext cx="41379" cy="41378"/>
                    </a:xfrm>
                    <a:prstGeom prst="rect">
                      <a:avLst/>
                    </a:prstGeom>
                  </pic:spPr>
                </pic:pic>
              </a:graphicData>
            </a:graphic>
          </wp:inline>
        </w:drawing>
      </w:r>
      <w:r>
        <w:rPr>
          <w:spacing w:val="80"/>
          <w:sz w:val="20"/>
        </w:rPr>
        <w:t xml:space="preserve"> </w:t>
      </w:r>
      <w:r>
        <w:t>\(EXP\_WT_{s}\)</w:t>
      </w:r>
      <w:r>
        <w:rPr>
          <w:spacing w:val="-5"/>
        </w:rPr>
        <w:t xml:space="preserve"> </w:t>
      </w:r>
      <w:r>
        <w:t>is</w:t>
      </w:r>
      <w:r>
        <w:rPr>
          <w:spacing w:val="-5"/>
        </w:rPr>
        <w:t xml:space="preserve"> </w:t>
      </w:r>
      <w:r>
        <w:t>the</w:t>
      </w:r>
      <w:r>
        <w:rPr>
          <w:spacing w:val="-5"/>
        </w:rPr>
        <w:t xml:space="preserve"> </w:t>
      </w:r>
      <w:r>
        <w:t>ideal</w:t>
      </w:r>
      <w:r>
        <w:rPr>
          <w:spacing w:val="-5"/>
        </w:rPr>
        <w:t xml:space="preserve"> </w:t>
      </w:r>
      <w:r>
        <w:t>base</w:t>
      </w:r>
      <w:r>
        <w:rPr>
          <w:spacing w:val="-5"/>
        </w:rPr>
        <w:t xml:space="preserve"> </w:t>
      </w:r>
      <w:r>
        <w:t>weight</w:t>
      </w:r>
      <w:r>
        <w:rPr>
          <w:spacing w:val="-5"/>
        </w:rPr>
        <w:t xml:space="preserve"> </w:t>
      </w:r>
      <w:r>
        <w:t>the</w:t>
      </w:r>
      <w:r>
        <w:rPr>
          <w:spacing w:val="-5"/>
        </w:rPr>
        <w:t xml:space="preserve"> </w:t>
      </w:r>
      <w:r>
        <w:t>school</w:t>
      </w:r>
      <w:r>
        <w:rPr>
          <w:spacing w:val="-5"/>
        </w:rPr>
        <w:t xml:space="preserve"> </w:t>
      </w:r>
      <w:r>
        <w:t>would</w:t>
      </w:r>
      <w:r>
        <w:rPr>
          <w:spacing w:val="-5"/>
        </w:rPr>
        <w:t xml:space="preserve"> </w:t>
      </w:r>
      <w:r>
        <w:t>have</w:t>
      </w:r>
      <w:r>
        <w:rPr>
          <w:spacing w:val="-5"/>
        </w:rPr>
        <w:t xml:space="preserve"> </w:t>
      </w:r>
      <w:r>
        <w:t>received</w:t>
      </w:r>
      <w:r>
        <w:rPr>
          <w:spacing w:val="-5"/>
        </w:rPr>
        <w:t xml:space="preserve"> </w:t>
      </w:r>
      <w:r>
        <w:t>if</w:t>
      </w:r>
      <w:r>
        <w:rPr>
          <w:spacing w:val="-5"/>
        </w:rPr>
        <w:t xml:space="preserve"> </w:t>
      </w:r>
      <w:r>
        <w:t>it</w:t>
      </w:r>
      <w:r>
        <w:rPr>
          <w:spacing w:val="-5"/>
        </w:rPr>
        <w:t xml:space="preserve"> </w:t>
      </w:r>
      <w:r>
        <w:t>had</w:t>
      </w:r>
      <w:r>
        <w:rPr>
          <w:spacing w:val="-5"/>
        </w:rPr>
        <w:t xml:space="preserve"> </w:t>
      </w:r>
      <w:r>
        <w:t>been</w:t>
      </w:r>
      <w:r>
        <w:rPr>
          <w:spacing w:val="-5"/>
        </w:rPr>
        <w:t xml:space="preserve"> </w:t>
      </w:r>
      <w:r>
        <w:t>on</w:t>
      </w:r>
      <w:r>
        <w:rPr>
          <w:spacing w:val="-5"/>
        </w:rPr>
        <w:t xml:space="preserve"> </w:t>
      </w:r>
      <w:r>
        <w:t>the</w:t>
      </w:r>
      <w:r>
        <w:rPr>
          <w:spacing w:val="-5"/>
        </w:rPr>
        <w:t xml:space="preserve"> </w:t>
      </w:r>
      <w:r>
        <w:t>relevant</w:t>
      </w:r>
      <w:r>
        <w:rPr>
          <w:spacing w:val="-5"/>
        </w:rPr>
        <w:t xml:space="preserve"> </w:t>
      </w:r>
      <w:r>
        <w:t>NAEP</w:t>
      </w:r>
      <w:r>
        <w:rPr>
          <w:spacing w:val="-13"/>
        </w:rPr>
        <w:t xml:space="preserve"> </w:t>
      </w:r>
      <w:r>
        <w:t>public</w:t>
      </w:r>
      <w:r>
        <w:rPr>
          <w:spacing w:val="-5"/>
        </w:rPr>
        <w:t xml:space="preserve"> </w:t>
      </w:r>
      <w:r>
        <w:t>or</w:t>
      </w:r>
      <w:r>
        <w:rPr>
          <w:spacing w:val="-5"/>
        </w:rPr>
        <w:t xml:space="preserve"> </w:t>
      </w:r>
      <w:r>
        <w:t>private</w:t>
      </w:r>
      <w:r>
        <w:rPr>
          <w:spacing w:val="-5"/>
        </w:rPr>
        <w:t xml:space="preserve"> </w:t>
      </w:r>
      <w:r>
        <w:t>school</w:t>
      </w:r>
      <w:r>
        <w:rPr>
          <w:spacing w:val="-5"/>
        </w:rPr>
        <w:t xml:space="preserve"> </w:t>
      </w:r>
      <w:r>
        <w:t>sampling</w:t>
      </w:r>
      <w:r>
        <w:rPr>
          <w:spacing w:val="-5"/>
        </w:rPr>
        <w:t xml:space="preserve"> </w:t>
      </w:r>
      <w:r>
        <w:t>frame</w:t>
      </w:r>
      <w:r>
        <w:rPr>
          <w:spacing w:val="-5"/>
        </w:rPr>
        <w:t xml:space="preserve"> </w:t>
      </w:r>
      <w:r>
        <w:t>with</w:t>
      </w:r>
      <w:r>
        <w:rPr>
          <w:spacing w:val="-5"/>
        </w:rPr>
        <w:t xml:space="preserve"> </w:t>
      </w:r>
      <w:r>
        <w:t>the</w:t>
      </w:r>
      <w:r>
        <w:rPr>
          <w:spacing w:val="-5"/>
        </w:rPr>
        <w:t xml:space="preserve"> </w:t>
      </w:r>
      <w:r>
        <w:t>updated enrollment figure from student sampling.</w:t>
      </w:r>
    </w:p>
    <w:p w:rsidR="003F5784" w14:paraId="457D3D6C" w14:textId="77777777">
      <w:pPr>
        <w:pStyle w:val="BodyText"/>
        <w:spacing w:before="203"/>
        <w:ind w:left="109"/>
      </w:pPr>
      <w:r>
        <w:t>For</w:t>
      </w:r>
      <w:r>
        <w:rPr>
          <w:spacing w:val="-8"/>
        </w:rPr>
        <w:t xml:space="preserve"> </w:t>
      </w:r>
      <w:r>
        <w:t>the</w:t>
      </w:r>
      <w:r>
        <w:rPr>
          <w:spacing w:val="-6"/>
        </w:rPr>
        <w:t xml:space="preserve"> </w:t>
      </w:r>
      <w:r>
        <w:t>2022</w:t>
      </w:r>
      <w:r>
        <w:rPr>
          <w:spacing w:val="-5"/>
        </w:rPr>
        <w:t xml:space="preserve"> </w:t>
      </w:r>
      <w:r>
        <w:t>NAEP</w:t>
      </w:r>
      <w:r>
        <w:rPr>
          <w:spacing w:val="-13"/>
        </w:rPr>
        <w:t xml:space="preserve"> </w:t>
      </w:r>
      <w:r>
        <w:t>assessment,</w:t>
      </w:r>
      <w:r>
        <w:rPr>
          <w:spacing w:val="-5"/>
        </w:rPr>
        <w:t xml:space="preserve"> </w:t>
      </w:r>
      <w:r>
        <w:t>one</w:t>
      </w:r>
      <w:r>
        <w:rPr>
          <w:spacing w:val="-6"/>
        </w:rPr>
        <w:t xml:space="preserve"> </w:t>
      </w:r>
      <w:r>
        <w:t>school</w:t>
      </w:r>
      <w:r>
        <w:rPr>
          <w:spacing w:val="-5"/>
        </w:rPr>
        <w:t xml:space="preserve"> </w:t>
      </w:r>
      <w:r>
        <w:t>at</w:t>
      </w:r>
      <w:r>
        <w:rPr>
          <w:spacing w:val="-6"/>
        </w:rPr>
        <w:t xml:space="preserve"> </w:t>
      </w:r>
      <w:r>
        <w:t>grade</w:t>
      </w:r>
      <w:r>
        <w:rPr>
          <w:spacing w:val="-5"/>
        </w:rPr>
        <w:t xml:space="preserve"> </w:t>
      </w:r>
      <w:r>
        <w:t>8</w:t>
      </w:r>
      <w:r>
        <w:rPr>
          <w:spacing w:val="-6"/>
        </w:rPr>
        <w:t xml:space="preserve"> </w:t>
      </w:r>
      <w:r>
        <w:t>with</w:t>
      </w:r>
      <w:r>
        <w:rPr>
          <w:spacing w:val="-5"/>
        </w:rPr>
        <w:t xml:space="preserve"> </w:t>
      </w:r>
      <w:r>
        <w:t>a</w:t>
      </w:r>
      <w:r>
        <w:rPr>
          <w:spacing w:val="-6"/>
        </w:rPr>
        <w:t xml:space="preserve"> </w:t>
      </w:r>
      <w:r>
        <w:t>large</w:t>
      </w:r>
      <w:r>
        <w:rPr>
          <w:spacing w:val="-5"/>
        </w:rPr>
        <w:t xml:space="preserve"> </w:t>
      </w:r>
      <w:r>
        <w:t>grade</w:t>
      </w:r>
      <w:r>
        <w:rPr>
          <w:spacing w:val="-6"/>
        </w:rPr>
        <w:t xml:space="preserve"> </w:t>
      </w:r>
      <w:r>
        <w:t>enrollment</w:t>
      </w:r>
      <w:r>
        <w:rPr>
          <w:spacing w:val="-5"/>
        </w:rPr>
        <w:t xml:space="preserve"> </w:t>
      </w:r>
      <w:r>
        <w:t>increase</w:t>
      </w:r>
      <w:r>
        <w:rPr>
          <w:spacing w:val="-6"/>
        </w:rPr>
        <w:t xml:space="preserve"> </w:t>
      </w:r>
      <w:r>
        <w:t>had</w:t>
      </w:r>
      <w:r>
        <w:rPr>
          <w:spacing w:val="-5"/>
        </w:rPr>
        <w:t xml:space="preserve"> </w:t>
      </w:r>
      <w:r>
        <w:t>its</w:t>
      </w:r>
      <w:r>
        <w:rPr>
          <w:spacing w:val="-6"/>
        </w:rPr>
        <w:t xml:space="preserve"> </w:t>
      </w:r>
      <w:r>
        <w:t>weight</w:t>
      </w:r>
      <w:r>
        <w:rPr>
          <w:spacing w:val="-5"/>
        </w:rPr>
        <w:t xml:space="preserve"> </w:t>
      </w:r>
      <w:r>
        <w:rPr>
          <w:spacing w:val="-2"/>
        </w:rPr>
        <w:t>trimmed.</w:t>
      </w:r>
    </w:p>
    <w:p w:rsidR="003F5784" w14:paraId="70AA3B5D" w14:textId="77777777">
      <w:pPr>
        <w:pStyle w:val="BodyText"/>
        <w:spacing w:before="208" w:line="232" w:lineRule="auto"/>
        <w:ind w:left="109" w:right="318"/>
      </w:pPr>
      <w:r>
        <w:t>Note</w:t>
      </w:r>
      <w:r>
        <w:rPr>
          <w:spacing w:val="-8"/>
        </w:rPr>
        <w:t xml:space="preserve"> </w:t>
      </w:r>
      <w:r>
        <w:t>that</w:t>
      </w:r>
      <w:r>
        <w:rPr>
          <w:spacing w:val="-8"/>
        </w:rPr>
        <w:t xml:space="preserve"> </w:t>
      </w:r>
      <w:r>
        <w:t>for</w:t>
      </w:r>
      <w:r>
        <w:rPr>
          <w:spacing w:val="-8"/>
        </w:rPr>
        <w:t xml:space="preserve"> </w:t>
      </w:r>
      <w:r>
        <w:t>the</w:t>
      </w:r>
      <w:r>
        <w:rPr>
          <w:spacing w:val="-8"/>
        </w:rPr>
        <w:t xml:space="preserve"> </w:t>
      </w:r>
      <w:r>
        <w:t>long-term</w:t>
      </w:r>
      <w:r>
        <w:rPr>
          <w:spacing w:val="-8"/>
        </w:rPr>
        <w:t xml:space="preserve"> </w:t>
      </w:r>
      <w:r>
        <w:t>trend</w:t>
      </w:r>
      <w:r>
        <w:rPr>
          <w:spacing w:val="-8"/>
        </w:rPr>
        <w:t xml:space="preserve"> </w:t>
      </w:r>
      <w:r>
        <w:t>(LTT)</w:t>
      </w:r>
      <w:r>
        <w:rPr>
          <w:spacing w:val="-8"/>
        </w:rPr>
        <w:t xml:space="preserve"> </w:t>
      </w:r>
      <w:r>
        <w:t>assessments,</w:t>
      </w:r>
      <w:r>
        <w:rPr>
          <w:spacing w:val="-8"/>
        </w:rPr>
        <w:t xml:space="preserve"> </w:t>
      </w:r>
      <w:r>
        <w:t>age-specific</w:t>
      </w:r>
      <w:r>
        <w:rPr>
          <w:spacing w:val="-8"/>
        </w:rPr>
        <w:t xml:space="preserve"> </w:t>
      </w:r>
      <w:r>
        <w:t>enrollment</w:t>
      </w:r>
      <w:r>
        <w:rPr>
          <w:spacing w:val="-8"/>
        </w:rPr>
        <w:t xml:space="preserve"> </w:t>
      </w:r>
      <w:r>
        <w:t>was</w:t>
      </w:r>
      <w:r>
        <w:rPr>
          <w:spacing w:val="-8"/>
        </w:rPr>
        <w:t xml:space="preserve"> </w:t>
      </w:r>
      <w:r>
        <w:t>used</w:t>
      </w:r>
      <w:r>
        <w:rPr>
          <w:spacing w:val="-8"/>
        </w:rPr>
        <w:t xml:space="preserve"> </w:t>
      </w:r>
      <w:r>
        <w:t>in</w:t>
      </w:r>
      <w:r>
        <w:rPr>
          <w:spacing w:val="-8"/>
        </w:rPr>
        <w:t xml:space="preserve"> </w:t>
      </w:r>
      <w:r>
        <w:t>the</w:t>
      </w:r>
      <w:r>
        <w:rPr>
          <w:spacing w:val="-8"/>
        </w:rPr>
        <w:t xml:space="preserve"> </w:t>
      </w:r>
      <w:r>
        <w:t>trimming</w:t>
      </w:r>
      <w:r>
        <w:rPr>
          <w:spacing w:val="-8"/>
        </w:rPr>
        <w:t xml:space="preserve"> </w:t>
      </w:r>
      <w:r>
        <w:t>procedure</w:t>
      </w:r>
      <w:r>
        <w:rPr>
          <w:spacing w:val="-8"/>
        </w:rPr>
        <w:t xml:space="preserve"> </w:t>
      </w:r>
      <w:r>
        <w:t>instead</w:t>
      </w:r>
      <w:r>
        <w:rPr>
          <w:spacing w:val="-8"/>
        </w:rPr>
        <w:t xml:space="preserve"> </w:t>
      </w:r>
      <w:r>
        <w:t>of</w:t>
      </w:r>
      <w:r>
        <w:rPr>
          <w:spacing w:val="-8"/>
        </w:rPr>
        <w:t xml:space="preserve"> </w:t>
      </w:r>
      <w:r>
        <w:t>grade</w:t>
      </w:r>
      <w:r>
        <w:rPr>
          <w:spacing w:val="-8"/>
        </w:rPr>
        <w:t xml:space="preserve"> </w:t>
      </w:r>
      <w:r>
        <w:t>enrollment.</w:t>
      </w:r>
      <w:r>
        <w:rPr>
          <w:spacing w:val="-8"/>
        </w:rPr>
        <w:t xml:space="preserve"> </w:t>
      </w:r>
      <w:r>
        <w:t>No</w:t>
      </w:r>
      <w:r>
        <w:rPr>
          <w:spacing w:val="-8"/>
        </w:rPr>
        <w:t xml:space="preserve"> </w:t>
      </w:r>
      <w:r>
        <w:t>LTT</w:t>
      </w:r>
      <w:r>
        <w:rPr>
          <w:spacing w:val="-11"/>
        </w:rPr>
        <w:t xml:space="preserve"> </w:t>
      </w:r>
      <w:r>
        <w:t>schools</w:t>
      </w:r>
      <w:r>
        <w:rPr>
          <w:spacing w:val="-8"/>
        </w:rPr>
        <w:t xml:space="preserve"> </w:t>
      </w:r>
      <w:r>
        <w:t>had</w:t>
      </w:r>
      <w:r>
        <w:rPr>
          <w:spacing w:val="-8"/>
        </w:rPr>
        <w:t xml:space="preserve"> </w:t>
      </w:r>
      <w:r>
        <w:t>their weights trimmed.</w:t>
      </w:r>
    </w:p>
    <w:p w:rsidR="003F5784" w14:paraId="4DB4448A" w14:textId="77777777">
      <w:pPr>
        <w:spacing w:line="232" w:lineRule="auto"/>
        <w:sectPr>
          <w:pgSz w:w="15840" w:h="12240" w:orient="landscape"/>
          <w:pgMar w:top="480" w:right="440" w:bottom="460" w:left="460" w:header="284" w:footer="275" w:gutter="0"/>
          <w:cols w:space="720"/>
        </w:sectPr>
      </w:pPr>
    </w:p>
    <w:p w:rsidR="003F5784" w14:paraId="17B62F63" w14:textId="77777777">
      <w:pPr>
        <w:spacing w:before="87"/>
        <w:ind w:left="5448"/>
        <w:rPr>
          <w:sz w:val="18"/>
        </w:rPr>
      </w:pPr>
      <w:hyperlink r:id="rId489">
        <w:r>
          <w:rPr>
            <w:spacing w:val="-2"/>
            <w:w w:val="105"/>
            <w:sz w:val="18"/>
          </w:rPr>
          <w:t>http://nces.ed.gov/nationsreportcard/tdw/weighting/2022/trimming_of_school_base_weights_for_the_2022_assessment.aspx</w:t>
        </w:r>
      </w:hyperlink>
    </w:p>
    <w:p w:rsidR="003F5784" w14:paraId="4344A6DB" w14:textId="77777777">
      <w:pPr>
        <w:pStyle w:val="BodyText"/>
        <w:spacing w:before="11"/>
        <w:rPr>
          <w:sz w:val="14"/>
        </w:rPr>
      </w:pPr>
      <w:r>
        <w:rPr>
          <w:noProof/>
        </w:rPr>
        <mc:AlternateContent>
          <mc:Choice Requires="wps">
            <w:drawing>
              <wp:anchor distT="0" distB="0" distL="0" distR="0" simplePos="0" relativeHeight="252001280" behindDoc="1" locked="0" layoutInCell="1" allowOverlap="1">
                <wp:simplePos x="0" y="0"/>
                <wp:positionH relativeFrom="page">
                  <wp:posOffset>361937</wp:posOffset>
                </wp:positionH>
                <wp:positionV relativeFrom="paragraph">
                  <wp:posOffset>124505</wp:posOffset>
                </wp:positionV>
                <wp:extent cx="9339580" cy="8890"/>
                <wp:effectExtent l="0" t="0" r="0" b="0"/>
                <wp:wrapTopAndBottom/>
                <wp:docPr id="604" name="Graphic 604"/>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38"/>
                              </a:moveTo>
                              <a:lnTo>
                                <a:pt x="9335110" y="38"/>
                              </a:lnTo>
                              <a:lnTo>
                                <a:pt x="8280" y="38"/>
                              </a:lnTo>
                              <a:lnTo>
                                <a:pt x="0" y="0"/>
                              </a:lnTo>
                              <a:lnTo>
                                <a:pt x="0" y="8280"/>
                              </a:lnTo>
                              <a:lnTo>
                                <a:pt x="9335110" y="8305"/>
                              </a:lnTo>
                              <a:lnTo>
                                <a:pt x="9338970" y="8305"/>
                              </a:lnTo>
                              <a:lnTo>
                                <a:pt x="9338970" y="38"/>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604" o:spid="_x0000_s1186" style="width:735.4pt;height:0.7pt;margin-top:9.8pt;margin-left:28.5pt;mso-position-horizontal-relative:page;mso-wrap-distance-bottom:0;mso-wrap-distance-left:0;mso-wrap-distance-right:0;mso-wrap-distance-top:0;mso-wrap-style:square;position:absolute;visibility:visible;v-text-anchor:top;z-index:-251314176" coordsize="9339580,8890" path="m9338970,38l9335110,38l8280,38,,,,8280l9335110,8305l9338970,8305l9338970,38xe" fillcolor="gray" stroked="f">
                <v:path arrowok="t"/>
                <w10:wrap type="topAndBottom"/>
              </v:shape>
            </w:pict>
          </mc:Fallback>
        </mc:AlternateContent>
      </w:r>
    </w:p>
    <w:p w:rsidR="003F5784" w14:paraId="3BC1FABF" w14:textId="77777777">
      <w:pPr>
        <w:pStyle w:val="BodyText"/>
        <w:rPr>
          <w:sz w:val="18"/>
        </w:rPr>
      </w:pPr>
    </w:p>
    <w:p w:rsidR="003F5784" w14:paraId="1BBD4D67" w14:textId="77777777">
      <w:pPr>
        <w:pStyle w:val="BodyText"/>
        <w:spacing w:before="206"/>
        <w:rPr>
          <w:sz w:val="18"/>
        </w:rPr>
      </w:pPr>
    </w:p>
    <w:p w:rsidR="003F5784" w14:paraId="484F1DFE" w14:textId="66EA4824">
      <w:pPr>
        <w:pStyle w:val="Heading1"/>
      </w:pPr>
      <w:r>
        <w:t>NAEP</w:t>
      </w:r>
      <w:r>
        <w:rPr>
          <w:spacing w:val="-26"/>
        </w:rPr>
        <w:t xml:space="preserve"> </w:t>
      </w:r>
      <w:r>
        <w:t>Technical</w:t>
      </w:r>
      <w:r>
        <w:rPr>
          <w:spacing w:val="5"/>
        </w:rPr>
        <w:t xml:space="preserve"> </w:t>
      </w:r>
      <w:r>
        <w:t>Documentation</w:t>
      </w:r>
      <w:r w:rsidR="00ED683B">
        <w:t xml:space="preserve"> </w:t>
      </w:r>
      <w:r>
        <w:t>Trimming</w:t>
      </w:r>
      <w:r>
        <w:rPr>
          <w:spacing w:val="5"/>
        </w:rPr>
        <w:t xml:space="preserve"> </w:t>
      </w:r>
      <w:r>
        <w:t>of</w:t>
      </w:r>
      <w:r>
        <w:rPr>
          <w:spacing w:val="6"/>
        </w:rPr>
        <w:t xml:space="preserve"> </w:t>
      </w:r>
      <w:r>
        <w:t>Student</w:t>
      </w:r>
      <w:r>
        <w:rPr>
          <w:spacing w:val="-2"/>
        </w:rPr>
        <w:t xml:space="preserve"> Weights</w:t>
      </w:r>
    </w:p>
    <w:p w:rsidR="003F5784" w14:paraId="1E3E6E3F" w14:textId="77777777">
      <w:pPr>
        <w:pStyle w:val="BodyText"/>
        <w:spacing w:before="282" w:line="232" w:lineRule="auto"/>
        <w:ind w:left="109" w:right="179"/>
      </w:pPr>
      <w:r>
        <w:t>Large</w:t>
      </w:r>
      <w:r>
        <w:rPr>
          <w:spacing w:val="-7"/>
        </w:rPr>
        <w:t xml:space="preserve"> </w:t>
      </w:r>
      <w:r>
        <w:t>student</w:t>
      </w:r>
      <w:r>
        <w:rPr>
          <w:spacing w:val="-7"/>
        </w:rPr>
        <w:t xml:space="preserve"> </w:t>
      </w:r>
      <w:r>
        <w:t>weights</w:t>
      </w:r>
      <w:r>
        <w:rPr>
          <w:spacing w:val="-7"/>
        </w:rPr>
        <w:t xml:space="preserve"> </w:t>
      </w:r>
      <w:r>
        <w:t>generally</w:t>
      </w:r>
      <w:r>
        <w:rPr>
          <w:spacing w:val="-7"/>
        </w:rPr>
        <w:t xml:space="preserve"> </w:t>
      </w:r>
      <w:r>
        <w:t>come</w:t>
      </w:r>
      <w:r>
        <w:rPr>
          <w:spacing w:val="-7"/>
        </w:rPr>
        <w:t xml:space="preserve"> </w:t>
      </w:r>
      <w:r>
        <w:t>from</w:t>
      </w:r>
      <w:r>
        <w:rPr>
          <w:spacing w:val="-7"/>
        </w:rPr>
        <w:t xml:space="preserve"> </w:t>
      </w:r>
      <w:r>
        <w:t>compounding</w:t>
      </w:r>
      <w:r>
        <w:rPr>
          <w:spacing w:val="-7"/>
        </w:rPr>
        <w:t xml:space="preserve"> </w:t>
      </w:r>
      <w:r>
        <w:t>nonresponse</w:t>
      </w:r>
      <w:r>
        <w:rPr>
          <w:spacing w:val="-7"/>
        </w:rPr>
        <w:t xml:space="preserve"> </w:t>
      </w:r>
      <w:r>
        <w:t>adjustments</w:t>
      </w:r>
      <w:r>
        <w:rPr>
          <w:spacing w:val="-7"/>
        </w:rPr>
        <w:t xml:space="preserve"> </w:t>
      </w:r>
      <w:r>
        <w:t>at</w:t>
      </w:r>
      <w:r>
        <w:rPr>
          <w:spacing w:val="-7"/>
        </w:rPr>
        <w:t xml:space="preserve"> </w:t>
      </w:r>
      <w:r>
        <w:t>the</w:t>
      </w:r>
      <w:r>
        <w:rPr>
          <w:spacing w:val="-7"/>
        </w:rPr>
        <w:t xml:space="preserve"> </w:t>
      </w:r>
      <w:r>
        <w:t>school</w:t>
      </w:r>
      <w:r>
        <w:rPr>
          <w:spacing w:val="-7"/>
        </w:rPr>
        <w:t xml:space="preserve"> </w:t>
      </w:r>
      <w:r>
        <w:t>and</w:t>
      </w:r>
      <w:r>
        <w:rPr>
          <w:spacing w:val="-7"/>
        </w:rPr>
        <w:t xml:space="preserve"> </w:t>
      </w:r>
      <w:r>
        <w:t>student</w:t>
      </w:r>
      <w:r>
        <w:rPr>
          <w:spacing w:val="-7"/>
        </w:rPr>
        <w:t xml:space="preserve"> </w:t>
      </w:r>
      <w:r>
        <w:t>levels</w:t>
      </w:r>
      <w:r>
        <w:rPr>
          <w:spacing w:val="-7"/>
        </w:rPr>
        <w:t xml:space="preserve"> </w:t>
      </w:r>
      <w:r>
        <w:t>with</w:t>
      </w:r>
      <w:r>
        <w:rPr>
          <w:spacing w:val="-7"/>
        </w:rPr>
        <w:t xml:space="preserve"> </w:t>
      </w:r>
      <w:r>
        <w:t>artificially</w:t>
      </w:r>
      <w:r>
        <w:rPr>
          <w:spacing w:val="-7"/>
        </w:rPr>
        <w:t xml:space="preserve"> </w:t>
      </w:r>
      <w:r>
        <w:t>low</w:t>
      </w:r>
      <w:r>
        <w:rPr>
          <w:spacing w:val="-7"/>
        </w:rPr>
        <w:t xml:space="preserve"> </w:t>
      </w:r>
      <w:r>
        <w:t>school</w:t>
      </w:r>
      <w:r>
        <w:rPr>
          <w:spacing w:val="-7"/>
        </w:rPr>
        <w:t xml:space="preserve"> </w:t>
      </w:r>
      <w:r>
        <w:t>selection</w:t>
      </w:r>
      <w:r>
        <w:rPr>
          <w:spacing w:val="-7"/>
        </w:rPr>
        <w:t xml:space="preserve"> </w:t>
      </w:r>
      <w:r>
        <w:t>probabilities,</w:t>
      </w:r>
      <w:r>
        <w:rPr>
          <w:spacing w:val="-7"/>
        </w:rPr>
        <w:t xml:space="preserve"> </w:t>
      </w:r>
      <w:r>
        <w:t>which can result from inaccurate enrollment data on the school frame used to define the school size measure. Even though measures are in place to limit the number and size of excessively</w:t>
      </w:r>
      <w:r>
        <w:rPr>
          <w:spacing w:val="-5"/>
        </w:rPr>
        <w:t xml:space="preserve"> </w:t>
      </w:r>
      <w:r>
        <w:t>large</w:t>
      </w:r>
      <w:r>
        <w:rPr>
          <w:spacing w:val="-5"/>
        </w:rPr>
        <w:t xml:space="preserve"> </w:t>
      </w:r>
      <w:r>
        <w:t>weights—such</w:t>
      </w:r>
      <w:r>
        <w:rPr>
          <w:spacing w:val="-5"/>
        </w:rPr>
        <w:t xml:space="preserve"> </w:t>
      </w:r>
      <w:r>
        <w:t>as</w:t>
      </w:r>
      <w:r>
        <w:rPr>
          <w:spacing w:val="-5"/>
        </w:rPr>
        <w:t xml:space="preserve"> </w:t>
      </w:r>
      <w:r>
        <w:t>the</w:t>
      </w:r>
      <w:r>
        <w:rPr>
          <w:spacing w:val="-5"/>
        </w:rPr>
        <w:t xml:space="preserve"> </w:t>
      </w:r>
      <w:r>
        <w:t>implementation</w:t>
      </w:r>
      <w:r>
        <w:rPr>
          <w:spacing w:val="-5"/>
        </w:rPr>
        <w:t xml:space="preserve"> </w:t>
      </w:r>
      <w:r>
        <w:t>of</w:t>
      </w:r>
      <w:r>
        <w:rPr>
          <w:spacing w:val="-5"/>
        </w:rPr>
        <w:t xml:space="preserve"> </w:t>
      </w:r>
      <w:r>
        <w:t>adjustment</w:t>
      </w:r>
      <w:r>
        <w:rPr>
          <w:spacing w:val="-5"/>
        </w:rPr>
        <w:t xml:space="preserve"> </w:t>
      </w:r>
      <w:r>
        <w:t>factor</w:t>
      </w:r>
      <w:r>
        <w:rPr>
          <w:spacing w:val="-5"/>
        </w:rPr>
        <w:t xml:space="preserve"> </w:t>
      </w:r>
      <w:r>
        <w:t>size</w:t>
      </w:r>
      <w:r>
        <w:rPr>
          <w:spacing w:val="-5"/>
        </w:rPr>
        <w:t xml:space="preserve"> </w:t>
      </w:r>
      <w:r>
        <w:t>constraints</w:t>
      </w:r>
      <w:r>
        <w:rPr>
          <w:spacing w:val="-5"/>
        </w:rPr>
        <w:t xml:space="preserve"> </w:t>
      </w:r>
      <w:r>
        <w:t>in</w:t>
      </w:r>
      <w:r>
        <w:rPr>
          <w:spacing w:val="-5"/>
        </w:rPr>
        <w:t xml:space="preserve"> </w:t>
      </w:r>
      <w:r>
        <w:t>both</w:t>
      </w:r>
      <w:r>
        <w:rPr>
          <w:spacing w:val="-5"/>
        </w:rPr>
        <w:t xml:space="preserve"> </w:t>
      </w:r>
      <w:r>
        <w:t>the</w:t>
      </w:r>
      <w:r>
        <w:rPr>
          <w:spacing w:val="-5"/>
        </w:rPr>
        <w:t xml:space="preserve"> </w:t>
      </w:r>
      <w:r>
        <w:t>school</w:t>
      </w:r>
      <w:r>
        <w:rPr>
          <w:spacing w:val="-5"/>
        </w:rPr>
        <w:t xml:space="preserve"> </w:t>
      </w:r>
      <w:r>
        <w:t>and</w:t>
      </w:r>
      <w:r>
        <w:rPr>
          <w:spacing w:val="-5"/>
        </w:rPr>
        <w:t xml:space="preserve"> </w:t>
      </w:r>
      <w:r>
        <w:t>student</w:t>
      </w:r>
      <w:r>
        <w:rPr>
          <w:spacing w:val="-5"/>
        </w:rPr>
        <w:t xml:space="preserve"> </w:t>
      </w:r>
      <w:r>
        <w:t>nonresponse</w:t>
      </w:r>
      <w:r>
        <w:rPr>
          <w:spacing w:val="-5"/>
        </w:rPr>
        <w:t xml:space="preserve"> </w:t>
      </w:r>
      <w:r>
        <w:t>procedures</w:t>
      </w:r>
      <w:r>
        <w:rPr>
          <w:spacing w:val="-5"/>
        </w:rPr>
        <w:t xml:space="preserve"> </w:t>
      </w:r>
      <w:r>
        <w:t>and</w:t>
      </w:r>
      <w:r>
        <w:rPr>
          <w:spacing w:val="-5"/>
        </w:rPr>
        <w:t xml:space="preserve"> </w:t>
      </w:r>
      <w:r>
        <w:t>the</w:t>
      </w:r>
      <w:r>
        <w:rPr>
          <w:spacing w:val="-5"/>
        </w:rPr>
        <w:t xml:space="preserve"> </w:t>
      </w:r>
      <w:r>
        <w:t>use</w:t>
      </w:r>
      <w:r>
        <w:rPr>
          <w:spacing w:val="-5"/>
        </w:rPr>
        <w:t xml:space="preserve"> </w:t>
      </w:r>
      <w:r>
        <w:t>of</w:t>
      </w:r>
      <w:r>
        <w:rPr>
          <w:spacing w:val="-5"/>
        </w:rPr>
        <w:t xml:space="preserve"> </w:t>
      </w:r>
      <w:r>
        <w:t>the</w:t>
      </w:r>
      <w:r>
        <w:rPr>
          <w:spacing w:val="-5"/>
        </w:rPr>
        <w:t xml:space="preserve"> </w:t>
      </w:r>
      <w:r>
        <w:t>school trimming procedure—large student weights can occur due to compounding effects of the various weighting components.</w:t>
      </w:r>
    </w:p>
    <w:p w:rsidR="003F5784" w14:paraId="5C18199D" w14:textId="77777777">
      <w:pPr>
        <w:pStyle w:val="BodyText"/>
        <w:spacing w:before="210" w:line="232" w:lineRule="auto"/>
        <w:ind w:left="109" w:right="179"/>
      </w:pPr>
      <w:r>
        <w:t>The</w:t>
      </w:r>
      <w:r>
        <w:rPr>
          <w:spacing w:val="-9"/>
        </w:rPr>
        <w:t xml:space="preserve"> </w:t>
      </w:r>
      <w:r>
        <w:t>student</w:t>
      </w:r>
      <w:r>
        <w:rPr>
          <w:spacing w:val="-6"/>
        </w:rPr>
        <w:t xml:space="preserve"> </w:t>
      </w:r>
      <w:r>
        <w:t>weight</w:t>
      </w:r>
      <w:r>
        <w:rPr>
          <w:spacing w:val="-6"/>
        </w:rPr>
        <w:t xml:space="preserve"> </w:t>
      </w:r>
      <w:r>
        <w:t>trimming</w:t>
      </w:r>
      <w:r>
        <w:rPr>
          <w:spacing w:val="-6"/>
        </w:rPr>
        <w:t xml:space="preserve"> </w:t>
      </w:r>
      <w:r>
        <w:t>procedure</w:t>
      </w:r>
      <w:r>
        <w:rPr>
          <w:spacing w:val="-6"/>
        </w:rPr>
        <w:t xml:space="preserve"> </w:t>
      </w:r>
      <w:r>
        <w:t>uses</w:t>
      </w:r>
      <w:r>
        <w:rPr>
          <w:spacing w:val="-6"/>
        </w:rPr>
        <w:t xml:space="preserve"> </w:t>
      </w:r>
      <w:r>
        <w:t>a</w:t>
      </w:r>
      <w:r>
        <w:rPr>
          <w:spacing w:val="-6"/>
        </w:rPr>
        <w:t xml:space="preserve"> </w:t>
      </w:r>
      <w:r>
        <w:t>multiple</w:t>
      </w:r>
      <w:r>
        <w:rPr>
          <w:spacing w:val="-6"/>
        </w:rPr>
        <w:t xml:space="preserve"> </w:t>
      </w:r>
      <w:r>
        <w:t>median</w:t>
      </w:r>
      <w:r>
        <w:rPr>
          <w:spacing w:val="-6"/>
        </w:rPr>
        <w:t xml:space="preserve"> </w:t>
      </w:r>
      <w:r>
        <w:t>rule</w:t>
      </w:r>
      <w:r>
        <w:rPr>
          <w:spacing w:val="-6"/>
        </w:rPr>
        <w:t xml:space="preserve"> </w:t>
      </w:r>
      <w:r>
        <w:t>to</w:t>
      </w:r>
      <w:r>
        <w:rPr>
          <w:spacing w:val="-6"/>
        </w:rPr>
        <w:t xml:space="preserve"> </w:t>
      </w:r>
      <w:r>
        <w:t>detect</w:t>
      </w:r>
      <w:r>
        <w:rPr>
          <w:spacing w:val="-6"/>
        </w:rPr>
        <w:t xml:space="preserve"> </w:t>
      </w:r>
      <w:r>
        <w:t>excessively</w:t>
      </w:r>
      <w:r>
        <w:rPr>
          <w:spacing w:val="-6"/>
        </w:rPr>
        <w:t xml:space="preserve"> </w:t>
      </w:r>
      <w:r>
        <w:t>large</w:t>
      </w:r>
      <w:r>
        <w:rPr>
          <w:spacing w:val="-6"/>
        </w:rPr>
        <w:t xml:space="preserve"> </w:t>
      </w:r>
      <w:r>
        <w:t>student</w:t>
      </w:r>
      <w:r>
        <w:rPr>
          <w:spacing w:val="-6"/>
        </w:rPr>
        <w:t xml:space="preserve"> </w:t>
      </w:r>
      <w:r>
        <w:t>weights.</w:t>
      </w:r>
      <w:r>
        <w:rPr>
          <w:spacing w:val="-14"/>
        </w:rPr>
        <w:t xml:space="preserve"> </w:t>
      </w:r>
      <w:r>
        <w:t>Any</w:t>
      </w:r>
      <w:r>
        <w:rPr>
          <w:spacing w:val="-5"/>
        </w:rPr>
        <w:t xml:space="preserve"> </w:t>
      </w:r>
      <w:r>
        <w:t>student</w:t>
      </w:r>
      <w:r>
        <w:rPr>
          <w:spacing w:val="-6"/>
        </w:rPr>
        <w:t xml:space="preserve"> </w:t>
      </w:r>
      <w:r>
        <w:t>weight</w:t>
      </w:r>
      <w:r>
        <w:rPr>
          <w:spacing w:val="-6"/>
        </w:rPr>
        <w:t xml:space="preserve"> </w:t>
      </w:r>
      <w:r>
        <w:t>within</w:t>
      </w:r>
      <w:r>
        <w:rPr>
          <w:spacing w:val="-6"/>
        </w:rPr>
        <w:t xml:space="preserve"> </w:t>
      </w:r>
      <w:r>
        <w:t>a</w:t>
      </w:r>
      <w:r>
        <w:rPr>
          <w:spacing w:val="-6"/>
        </w:rPr>
        <w:t xml:space="preserve"> </w:t>
      </w:r>
      <w:r>
        <w:t>given</w:t>
      </w:r>
      <w:r>
        <w:rPr>
          <w:spacing w:val="-6"/>
        </w:rPr>
        <w:t xml:space="preserve"> </w:t>
      </w:r>
      <w:r>
        <w:t>trimming</w:t>
      </w:r>
      <w:r>
        <w:rPr>
          <w:spacing w:val="-6"/>
        </w:rPr>
        <w:t xml:space="preserve"> </w:t>
      </w:r>
      <w:r>
        <w:t>group</w:t>
      </w:r>
      <w:r>
        <w:rPr>
          <w:spacing w:val="-6"/>
        </w:rPr>
        <w:t xml:space="preserve"> </w:t>
      </w:r>
      <w:r>
        <w:t>greater</w:t>
      </w:r>
      <w:r>
        <w:rPr>
          <w:spacing w:val="-6"/>
        </w:rPr>
        <w:t xml:space="preserve"> </w:t>
      </w:r>
      <w:r>
        <w:t>than a</w:t>
      </w:r>
      <w:r>
        <w:rPr>
          <w:spacing w:val="-5"/>
        </w:rPr>
        <w:t xml:space="preserve"> </w:t>
      </w:r>
      <w:r>
        <w:t>specified</w:t>
      </w:r>
      <w:r>
        <w:rPr>
          <w:spacing w:val="-5"/>
        </w:rPr>
        <w:t xml:space="preserve"> </w:t>
      </w:r>
      <w:r>
        <w:t>multiple</w:t>
      </w:r>
      <w:r>
        <w:rPr>
          <w:spacing w:val="-5"/>
        </w:rPr>
        <w:t xml:space="preserve"> </w:t>
      </w:r>
      <w:r>
        <w:t>of</w:t>
      </w:r>
      <w:r>
        <w:rPr>
          <w:spacing w:val="-5"/>
        </w:rPr>
        <w:t xml:space="preserve"> </w:t>
      </w:r>
      <w:r>
        <w:t>the</w:t>
      </w:r>
      <w:r>
        <w:rPr>
          <w:spacing w:val="-5"/>
        </w:rPr>
        <w:t xml:space="preserve"> </w:t>
      </w:r>
      <w:r>
        <w:t>median</w:t>
      </w:r>
      <w:r>
        <w:rPr>
          <w:spacing w:val="-5"/>
        </w:rPr>
        <w:t xml:space="preserve"> </w:t>
      </w:r>
      <w:r>
        <w:t>weight</w:t>
      </w:r>
      <w:r>
        <w:rPr>
          <w:spacing w:val="-5"/>
        </w:rPr>
        <w:t xml:space="preserve"> </w:t>
      </w:r>
      <w:r>
        <w:t>value</w:t>
      </w:r>
      <w:r>
        <w:rPr>
          <w:spacing w:val="-5"/>
        </w:rPr>
        <w:t xml:space="preserve"> </w:t>
      </w:r>
      <w:r>
        <w:t>of</w:t>
      </w:r>
      <w:r>
        <w:rPr>
          <w:spacing w:val="-5"/>
        </w:rPr>
        <w:t xml:space="preserve"> </w:t>
      </w:r>
      <w:r>
        <w:t>the</w:t>
      </w:r>
      <w:r>
        <w:rPr>
          <w:spacing w:val="-5"/>
        </w:rPr>
        <w:t xml:space="preserve"> </w:t>
      </w:r>
      <w:r>
        <w:t>given</w:t>
      </w:r>
      <w:r>
        <w:rPr>
          <w:spacing w:val="-5"/>
        </w:rPr>
        <w:t xml:space="preserve"> </w:t>
      </w:r>
      <w:r>
        <w:t>trimming</w:t>
      </w:r>
      <w:r>
        <w:rPr>
          <w:spacing w:val="-5"/>
        </w:rPr>
        <w:t xml:space="preserve"> </w:t>
      </w:r>
      <w:r>
        <w:t>group</w:t>
      </w:r>
      <w:r>
        <w:rPr>
          <w:spacing w:val="-5"/>
        </w:rPr>
        <w:t xml:space="preserve"> </w:t>
      </w:r>
      <w:r>
        <w:t>has</w:t>
      </w:r>
      <w:r>
        <w:rPr>
          <w:spacing w:val="-5"/>
        </w:rPr>
        <w:t xml:space="preserve"> </w:t>
      </w:r>
      <w:r>
        <w:t>its</w:t>
      </w:r>
      <w:r>
        <w:rPr>
          <w:spacing w:val="-5"/>
        </w:rPr>
        <w:t xml:space="preserve"> </w:t>
      </w:r>
      <w:r>
        <w:t>weight</w:t>
      </w:r>
      <w:r>
        <w:rPr>
          <w:spacing w:val="-5"/>
        </w:rPr>
        <w:t xml:space="preserve"> </w:t>
      </w:r>
      <w:r>
        <w:t>scaled</w:t>
      </w:r>
      <w:r>
        <w:rPr>
          <w:spacing w:val="-5"/>
        </w:rPr>
        <w:t xml:space="preserve"> </w:t>
      </w:r>
      <w:r>
        <w:t>back</w:t>
      </w:r>
      <w:r>
        <w:rPr>
          <w:spacing w:val="-5"/>
        </w:rPr>
        <w:t xml:space="preserve"> </w:t>
      </w:r>
      <w:r>
        <w:t>to</w:t>
      </w:r>
      <w:r>
        <w:rPr>
          <w:spacing w:val="-5"/>
        </w:rPr>
        <w:t xml:space="preserve"> </w:t>
      </w:r>
      <w:r>
        <w:t>that</w:t>
      </w:r>
      <w:r>
        <w:rPr>
          <w:spacing w:val="-5"/>
        </w:rPr>
        <w:t xml:space="preserve"> </w:t>
      </w:r>
      <w:r>
        <w:t>threshold.</w:t>
      </w:r>
      <w:r>
        <w:rPr>
          <w:spacing w:val="-5"/>
        </w:rPr>
        <w:t xml:space="preserve"> </w:t>
      </w:r>
      <w:r>
        <w:t>Student</w:t>
      </w:r>
      <w:r>
        <w:rPr>
          <w:spacing w:val="-5"/>
        </w:rPr>
        <w:t xml:space="preserve"> </w:t>
      </w:r>
      <w:r>
        <w:t>weight</w:t>
      </w:r>
      <w:r>
        <w:rPr>
          <w:spacing w:val="-5"/>
        </w:rPr>
        <w:t xml:space="preserve"> </w:t>
      </w:r>
      <w:r>
        <w:t>trimming</w:t>
      </w:r>
      <w:r>
        <w:rPr>
          <w:spacing w:val="-5"/>
        </w:rPr>
        <w:t xml:space="preserve"> </w:t>
      </w:r>
      <w:r>
        <w:t>was</w:t>
      </w:r>
      <w:r>
        <w:rPr>
          <w:spacing w:val="-5"/>
        </w:rPr>
        <w:t xml:space="preserve"> </w:t>
      </w:r>
      <w:r>
        <w:t>implemented</w:t>
      </w:r>
      <w:r>
        <w:rPr>
          <w:spacing w:val="-5"/>
        </w:rPr>
        <w:t xml:space="preserve"> </w:t>
      </w:r>
      <w:r>
        <w:t>separately by grade (or age, in the case of long-term trend [LTT]), school type (public or private), and subject. Initially, the threshold was set to 3.5. If too many student weights were being trimmed for a particular sample, the threshold was increased to reduce the number of records trimmed.</w:t>
      </w:r>
      <w:r>
        <w:rPr>
          <w:spacing w:val="-3"/>
        </w:rPr>
        <w:t xml:space="preserve"> </w:t>
      </w:r>
      <w:r>
        <w:t>The multiples and the trimming groups are defined for each sample below. Note that because in the initial runs of the national private school samples for mathematics and reading at grades 4 and 8 too many records were getting their weights trimmed, the threshold in those samples was increased to 4.5.</w:t>
      </w:r>
    </w:p>
    <w:p w:rsidR="003F5784" w14:paraId="239B74C1" w14:textId="77777777">
      <w:pPr>
        <w:pStyle w:val="Heading2"/>
        <w:spacing w:before="205"/>
        <w:ind w:left="109"/>
      </w:pPr>
      <w:r>
        <w:t>State</w:t>
      </w:r>
      <w:r>
        <w:rPr>
          <w:spacing w:val="-7"/>
        </w:rPr>
        <w:t xml:space="preserve"> </w:t>
      </w:r>
      <w:r>
        <w:t>Public</w:t>
      </w:r>
      <w:r>
        <w:rPr>
          <w:spacing w:val="-6"/>
        </w:rPr>
        <w:t xml:space="preserve"> </w:t>
      </w:r>
      <w:r>
        <w:t>School</w:t>
      </w:r>
      <w:r>
        <w:rPr>
          <w:spacing w:val="-6"/>
        </w:rPr>
        <w:t xml:space="preserve"> </w:t>
      </w:r>
      <w:r>
        <w:t>Samples</w:t>
      </w:r>
      <w:r>
        <w:rPr>
          <w:spacing w:val="-6"/>
        </w:rPr>
        <w:t xml:space="preserve"> </w:t>
      </w:r>
      <w:r>
        <w:t>for</w:t>
      </w:r>
      <w:r>
        <w:rPr>
          <w:spacing w:val="-10"/>
        </w:rPr>
        <w:t xml:space="preserve"> </w:t>
      </w:r>
      <w:r>
        <w:t>Mathematics</w:t>
      </w:r>
      <w:r>
        <w:rPr>
          <w:spacing w:val="-6"/>
        </w:rPr>
        <w:t xml:space="preserve"> </w:t>
      </w:r>
      <w:r>
        <w:t>and</w:t>
      </w:r>
      <w:r>
        <w:rPr>
          <w:spacing w:val="-6"/>
        </w:rPr>
        <w:t xml:space="preserve"> </w:t>
      </w:r>
      <w:r>
        <w:t>Reading</w:t>
      </w:r>
      <w:r>
        <w:rPr>
          <w:spacing w:val="-6"/>
        </w:rPr>
        <w:t xml:space="preserve"> </w:t>
      </w:r>
      <w:r>
        <w:t>at</w:t>
      </w:r>
      <w:r>
        <w:rPr>
          <w:spacing w:val="-7"/>
        </w:rPr>
        <w:t xml:space="preserve"> </w:t>
      </w:r>
      <w:r>
        <w:t>Grades</w:t>
      </w:r>
      <w:r>
        <w:rPr>
          <w:spacing w:val="-6"/>
        </w:rPr>
        <w:t xml:space="preserve"> </w:t>
      </w:r>
      <w:r>
        <w:t>4</w:t>
      </w:r>
      <w:r>
        <w:rPr>
          <w:spacing w:val="-6"/>
        </w:rPr>
        <w:t xml:space="preserve"> </w:t>
      </w:r>
      <w:r>
        <w:t>and</w:t>
      </w:r>
      <w:r>
        <w:rPr>
          <w:spacing w:val="-6"/>
        </w:rPr>
        <w:t xml:space="preserve"> </w:t>
      </w:r>
      <w:r>
        <w:rPr>
          <w:spacing w:val="-10"/>
        </w:rPr>
        <w:t>8</w:t>
      </w:r>
    </w:p>
    <w:p w:rsidR="003F5784" w14:paraId="1DDAC5FD" w14:textId="77777777">
      <w:pPr>
        <w:pStyle w:val="BodyText"/>
        <w:spacing w:before="207" w:line="232" w:lineRule="auto"/>
        <w:ind w:left="109"/>
      </w:pPr>
      <w:r>
        <w:t>For</w:t>
      </w:r>
      <w:r>
        <w:rPr>
          <w:spacing w:val="-9"/>
        </w:rPr>
        <w:t xml:space="preserve"> </w:t>
      </w:r>
      <w:r>
        <w:t>these</w:t>
      </w:r>
      <w:r>
        <w:rPr>
          <w:spacing w:val="-6"/>
        </w:rPr>
        <w:t xml:space="preserve"> </w:t>
      </w:r>
      <w:r>
        <w:t>samples,</w:t>
      </w:r>
      <w:r>
        <w:rPr>
          <w:spacing w:val="-6"/>
        </w:rPr>
        <w:t xml:space="preserve"> </w:t>
      </w:r>
      <w:r>
        <w:t>the</w:t>
      </w:r>
      <w:r>
        <w:rPr>
          <w:spacing w:val="-6"/>
        </w:rPr>
        <w:t xml:space="preserve"> </w:t>
      </w:r>
      <w:r>
        <w:t>initial</w:t>
      </w:r>
      <w:r>
        <w:rPr>
          <w:spacing w:val="-6"/>
        </w:rPr>
        <w:t xml:space="preserve"> </w:t>
      </w:r>
      <w:r>
        <w:t>multiple</w:t>
      </w:r>
      <w:r>
        <w:rPr>
          <w:spacing w:val="-6"/>
        </w:rPr>
        <w:t xml:space="preserve"> </w:t>
      </w:r>
      <w:r>
        <w:t>used</w:t>
      </w:r>
      <w:r>
        <w:rPr>
          <w:spacing w:val="-6"/>
        </w:rPr>
        <w:t xml:space="preserve"> </w:t>
      </w:r>
      <w:r>
        <w:t>was</w:t>
      </w:r>
      <w:r>
        <w:rPr>
          <w:spacing w:val="-6"/>
        </w:rPr>
        <w:t xml:space="preserve"> </w:t>
      </w:r>
      <w:r>
        <w:t>3.5,</w:t>
      </w:r>
      <w:r>
        <w:rPr>
          <w:spacing w:val="-6"/>
        </w:rPr>
        <w:t xml:space="preserve"> </w:t>
      </w:r>
      <w:r>
        <w:t>and</w:t>
      </w:r>
      <w:r>
        <w:rPr>
          <w:spacing w:val="-6"/>
        </w:rPr>
        <w:t xml:space="preserve"> </w:t>
      </w:r>
      <w:r>
        <w:t>the</w:t>
      </w:r>
      <w:r>
        <w:rPr>
          <w:spacing w:val="-6"/>
        </w:rPr>
        <w:t xml:space="preserve"> </w:t>
      </w:r>
      <w:r>
        <w:t>trimming</w:t>
      </w:r>
      <w:r>
        <w:rPr>
          <w:spacing w:val="-6"/>
        </w:rPr>
        <w:t xml:space="preserve"> </w:t>
      </w:r>
      <w:r>
        <w:t>groups</w:t>
      </w:r>
      <w:r>
        <w:rPr>
          <w:spacing w:val="-6"/>
        </w:rPr>
        <w:t xml:space="preserve"> </w:t>
      </w:r>
      <w:r>
        <w:t>were</w:t>
      </w:r>
      <w:r>
        <w:rPr>
          <w:spacing w:val="-6"/>
        </w:rPr>
        <w:t xml:space="preserve"> </w:t>
      </w:r>
      <w:r>
        <w:t>formed</w:t>
      </w:r>
      <w:r>
        <w:rPr>
          <w:spacing w:val="-6"/>
        </w:rPr>
        <w:t xml:space="preserve"> </w:t>
      </w:r>
      <w:r>
        <w:t>within</w:t>
      </w:r>
      <w:r>
        <w:rPr>
          <w:spacing w:val="-6"/>
        </w:rPr>
        <w:t xml:space="preserve"> </w:t>
      </w:r>
      <w:r>
        <w:t>each</w:t>
      </w:r>
      <w:r>
        <w:rPr>
          <w:spacing w:val="-6"/>
        </w:rPr>
        <w:t xml:space="preserve"> </w:t>
      </w:r>
      <w:r>
        <w:t>jurisdiction</w:t>
      </w:r>
      <w:r>
        <w:rPr>
          <w:spacing w:val="-6"/>
        </w:rPr>
        <w:t xml:space="preserve"> </w:t>
      </w:r>
      <w:r>
        <w:t>by</w:t>
      </w:r>
      <w:r>
        <w:rPr>
          <w:spacing w:val="-10"/>
        </w:rPr>
        <w:t xml:space="preserve"> </w:t>
      </w:r>
      <w:r>
        <w:rPr>
          <w:color w:val="0066CC"/>
        </w:rPr>
        <w:t>Trial</w:t>
      </w:r>
      <w:r>
        <w:rPr>
          <w:color w:val="0066CC"/>
          <w:spacing w:val="-6"/>
        </w:rPr>
        <w:t xml:space="preserve"> </w:t>
      </w:r>
      <w:r>
        <w:rPr>
          <w:color w:val="0066CC"/>
        </w:rPr>
        <w:t>Urban</w:t>
      </w:r>
      <w:r>
        <w:rPr>
          <w:color w:val="0066CC"/>
          <w:spacing w:val="-6"/>
        </w:rPr>
        <w:t xml:space="preserve"> </w:t>
      </w:r>
      <w:r>
        <w:rPr>
          <w:color w:val="0066CC"/>
        </w:rPr>
        <w:t>District</w:t>
      </w:r>
      <w:r>
        <w:rPr>
          <w:color w:val="0066CC"/>
          <w:spacing w:val="-14"/>
        </w:rPr>
        <w:t xml:space="preserve"> </w:t>
      </w:r>
      <w:r>
        <w:rPr>
          <w:color w:val="0066CC"/>
        </w:rPr>
        <w:t>Assessment</w:t>
      </w:r>
      <w:r>
        <w:rPr>
          <w:color w:val="0066CC"/>
          <w:spacing w:val="-5"/>
        </w:rPr>
        <w:t xml:space="preserve"> </w:t>
      </w:r>
      <w:r>
        <w:rPr>
          <w:color w:val="0066CC"/>
        </w:rPr>
        <w:t>(TUDA)</w:t>
      </w:r>
      <w:r>
        <w:rPr>
          <w:color w:val="0066CC"/>
          <w:spacing w:val="-6"/>
        </w:rPr>
        <w:t xml:space="preserve"> </w:t>
      </w:r>
      <w:r>
        <w:t>district</w:t>
      </w:r>
      <w:r>
        <w:rPr>
          <w:spacing w:val="-6"/>
        </w:rPr>
        <w:t xml:space="preserve"> </w:t>
      </w:r>
      <w:r>
        <w:t>vs.</w:t>
      </w:r>
      <w:r>
        <w:rPr>
          <w:spacing w:val="-6"/>
        </w:rPr>
        <w:t xml:space="preserve"> </w:t>
      </w:r>
      <w:r>
        <w:t>the balance of the state for states with TUDA districts.</w:t>
      </w:r>
    </w:p>
    <w:p w:rsidR="003F5784" w14:paraId="6CEA4563" w14:textId="77777777">
      <w:pPr>
        <w:pStyle w:val="Heading2"/>
        <w:spacing w:before="204"/>
        <w:ind w:left="109"/>
      </w:pPr>
      <w:r>
        <w:t>National</w:t>
      </w:r>
      <w:r>
        <w:rPr>
          <w:spacing w:val="-7"/>
        </w:rPr>
        <w:t xml:space="preserve"> </w:t>
      </w:r>
      <w:r>
        <w:t>Private</w:t>
      </w:r>
      <w:r>
        <w:rPr>
          <w:spacing w:val="-6"/>
        </w:rPr>
        <w:t xml:space="preserve"> </w:t>
      </w:r>
      <w:r>
        <w:t>School</w:t>
      </w:r>
      <w:r>
        <w:rPr>
          <w:spacing w:val="-7"/>
        </w:rPr>
        <w:t xml:space="preserve"> </w:t>
      </w:r>
      <w:r>
        <w:t>Samples</w:t>
      </w:r>
      <w:r>
        <w:rPr>
          <w:spacing w:val="-6"/>
        </w:rPr>
        <w:t xml:space="preserve"> </w:t>
      </w:r>
      <w:r>
        <w:t>for</w:t>
      </w:r>
      <w:r>
        <w:rPr>
          <w:spacing w:val="-11"/>
        </w:rPr>
        <w:t xml:space="preserve"> </w:t>
      </w:r>
      <w:r>
        <w:t>Mathematics</w:t>
      </w:r>
      <w:r>
        <w:rPr>
          <w:spacing w:val="-6"/>
        </w:rPr>
        <w:t xml:space="preserve"> </w:t>
      </w:r>
      <w:r>
        <w:t>and</w:t>
      </w:r>
      <w:r>
        <w:rPr>
          <w:spacing w:val="-7"/>
        </w:rPr>
        <w:t xml:space="preserve"> </w:t>
      </w:r>
      <w:r>
        <w:t>Reading</w:t>
      </w:r>
      <w:r>
        <w:rPr>
          <w:spacing w:val="-6"/>
        </w:rPr>
        <w:t xml:space="preserve"> </w:t>
      </w:r>
      <w:r>
        <w:t>at</w:t>
      </w:r>
      <w:r>
        <w:rPr>
          <w:spacing w:val="-7"/>
        </w:rPr>
        <w:t xml:space="preserve"> </w:t>
      </w:r>
      <w:r>
        <w:t>Grades</w:t>
      </w:r>
      <w:r>
        <w:rPr>
          <w:spacing w:val="-6"/>
        </w:rPr>
        <w:t xml:space="preserve"> </w:t>
      </w:r>
      <w:r>
        <w:t>4</w:t>
      </w:r>
      <w:r>
        <w:rPr>
          <w:spacing w:val="-7"/>
        </w:rPr>
        <w:t xml:space="preserve"> </w:t>
      </w:r>
      <w:r>
        <w:t>and</w:t>
      </w:r>
      <w:r>
        <w:rPr>
          <w:spacing w:val="-6"/>
        </w:rPr>
        <w:t xml:space="preserve"> </w:t>
      </w:r>
      <w:r>
        <w:rPr>
          <w:spacing w:val="-10"/>
        </w:rPr>
        <w:t>8</w:t>
      </w:r>
    </w:p>
    <w:p w:rsidR="003F5784" w14:paraId="7274D5EE" w14:textId="77777777">
      <w:pPr>
        <w:pStyle w:val="BodyText"/>
        <w:spacing w:before="201"/>
        <w:ind w:left="109"/>
      </w:pPr>
      <w:r>
        <w:t>For</w:t>
      </w:r>
      <w:r>
        <w:rPr>
          <w:spacing w:val="-7"/>
        </w:rPr>
        <w:t xml:space="preserve"> </w:t>
      </w:r>
      <w:r>
        <w:t>these</w:t>
      </w:r>
      <w:r>
        <w:rPr>
          <w:spacing w:val="-6"/>
        </w:rPr>
        <w:t xml:space="preserve"> </w:t>
      </w:r>
      <w:r>
        <w:t>samples,</w:t>
      </w:r>
      <w:r>
        <w:rPr>
          <w:spacing w:val="-6"/>
        </w:rPr>
        <w:t xml:space="preserve"> </w:t>
      </w:r>
      <w:r>
        <w:t>the</w:t>
      </w:r>
      <w:r>
        <w:rPr>
          <w:spacing w:val="-7"/>
        </w:rPr>
        <w:t xml:space="preserve"> </w:t>
      </w:r>
      <w:r>
        <w:t>initial</w:t>
      </w:r>
      <w:r>
        <w:rPr>
          <w:spacing w:val="-6"/>
        </w:rPr>
        <w:t xml:space="preserve"> </w:t>
      </w:r>
      <w:r>
        <w:t>multiple</w:t>
      </w:r>
      <w:r>
        <w:rPr>
          <w:spacing w:val="-6"/>
        </w:rPr>
        <w:t xml:space="preserve"> </w:t>
      </w:r>
      <w:r>
        <w:t>used</w:t>
      </w:r>
      <w:r>
        <w:rPr>
          <w:spacing w:val="-7"/>
        </w:rPr>
        <w:t xml:space="preserve"> </w:t>
      </w:r>
      <w:r>
        <w:t>was</w:t>
      </w:r>
      <w:r>
        <w:rPr>
          <w:spacing w:val="-6"/>
        </w:rPr>
        <w:t xml:space="preserve"> </w:t>
      </w:r>
      <w:r>
        <w:t>4.5,</w:t>
      </w:r>
      <w:r>
        <w:rPr>
          <w:spacing w:val="-6"/>
        </w:rPr>
        <w:t xml:space="preserve"> </w:t>
      </w:r>
      <w:r>
        <w:t>and</w:t>
      </w:r>
      <w:r>
        <w:rPr>
          <w:spacing w:val="-7"/>
        </w:rPr>
        <w:t xml:space="preserve"> </w:t>
      </w:r>
      <w:r>
        <w:t>the</w:t>
      </w:r>
      <w:r>
        <w:rPr>
          <w:spacing w:val="-6"/>
        </w:rPr>
        <w:t xml:space="preserve"> </w:t>
      </w:r>
      <w:r>
        <w:t>trimming</w:t>
      </w:r>
      <w:r>
        <w:rPr>
          <w:spacing w:val="-6"/>
        </w:rPr>
        <w:t xml:space="preserve"> </w:t>
      </w:r>
      <w:r>
        <w:t>groups</w:t>
      </w:r>
      <w:r>
        <w:rPr>
          <w:spacing w:val="-7"/>
        </w:rPr>
        <w:t xml:space="preserve"> </w:t>
      </w:r>
      <w:r>
        <w:t>were</w:t>
      </w:r>
      <w:r>
        <w:rPr>
          <w:spacing w:val="-6"/>
        </w:rPr>
        <w:t xml:space="preserve"> </w:t>
      </w:r>
      <w:r>
        <w:t>formed</w:t>
      </w:r>
      <w:r>
        <w:rPr>
          <w:spacing w:val="-6"/>
        </w:rPr>
        <w:t xml:space="preserve"> </w:t>
      </w:r>
      <w:r>
        <w:t>by</w:t>
      </w:r>
      <w:r>
        <w:rPr>
          <w:spacing w:val="-6"/>
        </w:rPr>
        <w:t xml:space="preserve"> </w:t>
      </w:r>
      <w:r>
        <w:t>affiliation</w:t>
      </w:r>
      <w:r>
        <w:rPr>
          <w:spacing w:val="-7"/>
        </w:rPr>
        <w:t xml:space="preserve"> </w:t>
      </w:r>
      <w:r>
        <w:t>(Catholic,</w:t>
      </w:r>
      <w:r>
        <w:rPr>
          <w:spacing w:val="-6"/>
        </w:rPr>
        <w:t xml:space="preserve"> </w:t>
      </w:r>
      <w:r>
        <w:t>Non-</w:t>
      </w:r>
      <w:r>
        <w:rPr>
          <w:spacing w:val="-2"/>
        </w:rPr>
        <w:t>Catholic).</w:t>
      </w:r>
    </w:p>
    <w:p w:rsidR="003F5784" w14:paraId="07400C1E" w14:textId="77777777">
      <w:pPr>
        <w:pStyle w:val="Heading2"/>
        <w:spacing w:before="202"/>
        <w:ind w:left="109"/>
      </w:pPr>
      <w:r>
        <w:t>National</w:t>
      </w:r>
      <w:r>
        <w:rPr>
          <w:spacing w:val="-7"/>
        </w:rPr>
        <w:t xml:space="preserve"> </w:t>
      </w:r>
      <w:r>
        <w:t>Public</w:t>
      </w:r>
      <w:r>
        <w:rPr>
          <w:spacing w:val="-6"/>
        </w:rPr>
        <w:t xml:space="preserve"> </w:t>
      </w:r>
      <w:r>
        <w:t>School</w:t>
      </w:r>
      <w:r>
        <w:rPr>
          <w:spacing w:val="-6"/>
        </w:rPr>
        <w:t xml:space="preserve"> </w:t>
      </w:r>
      <w:r>
        <w:t>Samples</w:t>
      </w:r>
      <w:r>
        <w:rPr>
          <w:spacing w:val="-6"/>
        </w:rPr>
        <w:t xml:space="preserve"> </w:t>
      </w:r>
      <w:r>
        <w:t>for</w:t>
      </w:r>
      <w:r>
        <w:rPr>
          <w:spacing w:val="-10"/>
        </w:rPr>
        <w:t xml:space="preserve"> </w:t>
      </w:r>
      <w:r>
        <w:t>Civics</w:t>
      </w:r>
      <w:r>
        <w:rPr>
          <w:spacing w:val="-6"/>
        </w:rPr>
        <w:t xml:space="preserve"> </w:t>
      </w:r>
      <w:r>
        <w:t>and</w:t>
      </w:r>
      <w:r>
        <w:rPr>
          <w:spacing w:val="-6"/>
        </w:rPr>
        <w:t xml:space="preserve"> </w:t>
      </w:r>
      <w:r>
        <w:t>U.S.</w:t>
      </w:r>
      <w:r>
        <w:rPr>
          <w:spacing w:val="-6"/>
        </w:rPr>
        <w:t xml:space="preserve"> </w:t>
      </w:r>
      <w:r>
        <w:t>History</w:t>
      </w:r>
      <w:r>
        <w:rPr>
          <w:spacing w:val="-7"/>
        </w:rPr>
        <w:t xml:space="preserve"> </w:t>
      </w:r>
      <w:r>
        <w:t>at</w:t>
      </w:r>
      <w:r>
        <w:rPr>
          <w:spacing w:val="-6"/>
        </w:rPr>
        <w:t xml:space="preserve"> </w:t>
      </w:r>
      <w:r>
        <w:t>Grade</w:t>
      </w:r>
      <w:r>
        <w:rPr>
          <w:spacing w:val="-6"/>
        </w:rPr>
        <w:t xml:space="preserve"> </w:t>
      </w:r>
      <w:r>
        <w:rPr>
          <w:spacing w:val="-10"/>
        </w:rPr>
        <w:t>8</w:t>
      </w:r>
    </w:p>
    <w:p w:rsidR="003F5784" w14:paraId="3F1D89BB" w14:textId="77777777">
      <w:pPr>
        <w:pStyle w:val="BodyText"/>
        <w:spacing w:before="207" w:line="232" w:lineRule="auto"/>
        <w:ind w:left="109" w:right="318"/>
      </w:pPr>
      <w:r>
        <w:t>For</w:t>
      </w:r>
      <w:r>
        <w:rPr>
          <w:spacing w:val="-9"/>
        </w:rPr>
        <w:t xml:space="preserve"> </w:t>
      </w:r>
      <w:r>
        <w:t>these</w:t>
      </w:r>
      <w:r>
        <w:rPr>
          <w:spacing w:val="-6"/>
        </w:rPr>
        <w:t xml:space="preserve"> </w:t>
      </w:r>
      <w:r>
        <w:t>samples,</w:t>
      </w:r>
      <w:r>
        <w:rPr>
          <w:spacing w:val="-6"/>
        </w:rPr>
        <w:t xml:space="preserve"> </w:t>
      </w:r>
      <w:r>
        <w:t>the</w:t>
      </w:r>
      <w:r>
        <w:rPr>
          <w:spacing w:val="-6"/>
        </w:rPr>
        <w:t xml:space="preserve"> </w:t>
      </w:r>
      <w:r>
        <w:t>initial</w:t>
      </w:r>
      <w:r>
        <w:rPr>
          <w:spacing w:val="-6"/>
        </w:rPr>
        <w:t xml:space="preserve"> </w:t>
      </w:r>
      <w:r>
        <w:t>multiple</w:t>
      </w:r>
      <w:r>
        <w:rPr>
          <w:spacing w:val="-6"/>
        </w:rPr>
        <w:t xml:space="preserve"> </w:t>
      </w:r>
      <w:r>
        <w:t>used</w:t>
      </w:r>
      <w:r>
        <w:rPr>
          <w:spacing w:val="-6"/>
        </w:rPr>
        <w:t xml:space="preserve"> </w:t>
      </w:r>
      <w:r>
        <w:t>was</w:t>
      </w:r>
      <w:r>
        <w:rPr>
          <w:spacing w:val="-6"/>
        </w:rPr>
        <w:t xml:space="preserve"> </w:t>
      </w:r>
      <w:r>
        <w:t>3.5,</w:t>
      </w:r>
      <w:r>
        <w:rPr>
          <w:spacing w:val="-6"/>
        </w:rPr>
        <w:t xml:space="preserve"> </w:t>
      </w:r>
      <w:r>
        <w:t>and</w:t>
      </w:r>
      <w:r>
        <w:rPr>
          <w:spacing w:val="-6"/>
        </w:rPr>
        <w:t xml:space="preserve"> </w:t>
      </w:r>
      <w:r>
        <w:t>the</w:t>
      </w:r>
      <w:r>
        <w:rPr>
          <w:spacing w:val="-6"/>
        </w:rPr>
        <w:t xml:space="preserve"> </w:t>
      </w:r>
      <w:r>
        <w:t>trimming</w:t>
      </w:r>
      <w:r>
        <w:rPr>
          <w:spacing w:val="-6"/>
        </w:rPr>
        <w:t xml:space="preserve"> </w:t>
      </w:r>
      <w:r>
        <w:t>groups</w:t>
      </w:r>
      <w:r>
        <w:rPr>
          <w:spacing w:val="-6"/>
        </w:rPr>
        <w:t xml:space="preserve"> </w:t>
      </w:r>
      <w:r>
        <w:t>were</w:t>
      </w:r>
      <w:r>
        <w:rPr>
          <w:spacing w:val="-6"/>
        </w:rPr>
        <w:t xml:space="preserve"> </w:t>
      </w:r>
      <w:r>
        <w:t>formed</w:t>
      </w:r>
      <w:r>
        <w:rPr>
          <w:spacing w:val="-6"/>
        </w:rPr>
        <w:t xml:space="preserve"> </w:t>
      </w:r>
      <w:r>
        <w:t>by</w:t>
      </w:r>
      <w:r>
        <w:rPr>
          <w:spacing w:val="-6"/>
        </w:rPr>
        <w:t xml:space="preserve"> </w:t>
      </w:r>
      <w:r>
        <w:t>dichotomies</w:t>
      </w:r>
      <w:r>
        <w:rPr>
          <w:spacing w:val="-6"/>
        </w:rPr>
        <w:t xml:space="preserve"> </w:t>
      </w:r>
      <w:r>
        <w:t>of</w:t>
      </w:r>
      <w:r>
        <w:rPr>
          <w:spacing w:val="-6"/>
        </w:rPr>
        <w:t xml:space="preserve"> </w:t>
      </w:r>
      <w:r>
        <w:t>low/high</w:t>
      </w:r>
      <w:r>
        <w:rPr>
          <w:spacing w:val="-6"/>
        </w:rPr>
        <w:t xml:space="preserve"> </w:t>
      </w:r>
      <w:r>
        <w:t>percentage</w:t>
      </w:r>
      <w:r>
        <w:rPr>
          <w:spacing w:val="-6"/>
        </w:rPr>
        <w:t xml:space="preserve"> </w:t>
      </w:r>
      <w:r>
        <w:t>of</w:t>
      </w:r>
      <w:r>
        <w:rPr>
          <w:spacing w:val="-14"/>
        </w:rPr>
        <w:t xml:space="preserve"> </w:t>
      </w:r>
      <w:r>
        <w:t>American</w:t>
      </w:r>
      <w:r>
        <w:rPr>
          <w:spacing w:val="-6"/>
        </w:rPr>
        <w:t xml:space="preserve"> </w:t>
      </w:r>
      <w:r>
        <w:t>Indian/Alaska</w:t>
      </w:r>
      <w:r>
        <w:rPr>
          <w:spacing w:val="-6"/>
        </w:rPr>
        <w:t xml:space="preserve"> </w:t>
      </w:r>
      <w:r>
        <w:t>Native</w:t>
      </w:r>
      <w:r>
        <w:rPr>
          <w:spacing w:val="-6"/>
        </w:rPr>
        <w:t xml:space="preserve"> </w:t>
      </w:r>
      <w:r>
        <w:t>students (5 percent and below, above 5 percent) and Black and Hispanic students (15 percent and below, above 15 percent).</w:t>
      </w:r>
    </w:p>
    <w:p w:rsidR="003F5784" w14:paraId="6B399290" w14:textId="77777777">
      <w:pPr>
        <w:pStyle w:val="Heading2"/>
        <w:spacing w:before="204"/>
        <w:ind w:left="109"/>
      </w:pPr>
      <w:r>
        <w:t>National</w:t>
      </w:r>
      <w:r>
        <w:rPr>
          <w:spacing w:val="-7"/>
        </w:rPr>
        <w:t xml:space="preserve"> </w:t>
      </w:r>
      <w:r>
        <w:t>Private</w:t>
      </w:r>
      <w:r>
        <w:rPr>
          <w:spacing w:val="-6"/>
        </w:rPr>
        <w:t xml:space="preserve"> </w:t>
      </w:r>
      <w:r>
        <w:t>School</w:t>
      </w:r>
      <w:r>
        <w:rPr>
          <w:spacing w:val="-6"/>
        </w:rPr>
        <w:t xml:space="preserve"> </w:t>
      </w:r>
      <w:r>
        <w:t>Samples</w:t>
      </w:r>
      <w:r>
        <w:rPr>
          <w:spacing w:val="-6"/>
        </w:rPr>
        <w:t xml:space="preserve"> </w:t>
      </w:r>
      <w:r>
        <w:t>for</w:t>
      </w:r>
      <w:r>
        <w:rPr>
          <w:spacing w:val="-10"/>
        </w:rPr>
        <w:t xml:space="preserve"> </w:t>
      </w:r>
      <w:r>
        <w:t>Civics</w:t>
      </w:r>
      <w:r>
        <w:rPr>
          <w:spacing w:val="-6"/>
        </w:rPr>
        <w:t xml:space="preserve"> </w:t>
      </w:r>
      <w:r>
        <w:t>and</w:t>
      </w:r>
      <w:r>
        <w:rPr>
          <w:spacing w:val="-7"/>
        </w:rPr>
        <w:t xml:space="preserve"> </w:t>
      </w:r>
      <w:r>
        <w:t>U.S.</w:t>
      </w:r>
      <w:r>
        <w:rPr>
          <w:spacing w:val="-6"/>
        </w:rPr>
        <w:t xml:space="preserve"> </w:t>
      </w:r>
      <w:r>
        <w:t>History</w:t>
      </w:r>
      <w:r>
        <w:rPr>
          <w:spacing w:val="-6"/>
        </w:rPr>
        <w:t xml:space="preserve"> </w:t>
      </w:r>
      <w:r>
        <w:t>at</w:t>
      </w:r>
      <w:r>
        <w:rPr>
          <w:spacing w:val="-6"/>
        </w:rPr>
        <w:t xml:space="preserve"> </w:t>
      </w:r>
      <w:r>
        <w:t>Grade</w:t>
      </w:r>
      <w:r>
        <w:rPr>
          <w:spacing w:val="-7"/>
        </w:rPr>
        <w:t xml:space="preserve"> </w:t>
      </w:r>
      <w:r>
        <w:rPr>
          <w:spacing w:val="-10"/>
        </w:rPr>
        <w:t>8</w:t>
      </w:r>
    </w:p>
    <w:p w:rsidR="003F5784" w14:paraId="1AB89108" w14:textId="77777777">
      <w:pPr>
        <w:pStyle w:val="BodyText"/>
        <w:spacing w:before="201"/>
        <w:ind w:left="109"/>
      </w:pPr>
      <w:r>
        <w:t>For</w:t>
      </w:r>
      <w:r>
        <w:rPr>
          <w:spacing w:val="-7"/>
        </w:rPr>
        <w:t xml:space="preserve"> </w:t>
      </w:r>
      <w:r>
        <w:t>these</w:t>
      </w:r>
      <w:r>
        <w:rPr>
          <w:spacing w:val="-6"/>
        </w:rPr>
        <w:t xml:space="preserve"> </w:t>
      </w:r>
      <w:r>
        <w:t>samples,</w:t>
      </w:r>
      <w:r>
        <w:rPr>
          <w:spacing w:val="-6"/>
        </w:rPr>
        <w:t xml:space="preserve"> </w:t>
      </w:r>
      <w:r>
        <w:t>the</w:t>
      </w:r>
      <w:r>
        <w:rPr>
          <w:spacing w:val="-7"/>
        </w:rPr>
        <w:t xml:space="preserve"> </w:t>
      </w:r>
      <w:r>
        <w:t>initial</w:t>
      </w:r>
      <w:r>
        <w:rPr>
          <w:spacing w:val="-6"/>
        </w:rPr>
        <w:t xml:space="preserve"> </w:t>
      </w:r>
      <w:r>
        <w:t>multiple</w:t>
      </w:r>
      <w:r>
        <w:rPr>
          <w:spacing w:val="-6"/>
        </w:rPr>
        <w:t xml:space="preserve"> </w:t>
      </w:r>
      <w:r>
        <w:t>used</w:t>
      </w:r>
      <w:r>
        <w:rPr>
          <w:spacing w:val="-7"/>
        </w:rPr>
        <w:t xml:space="preserve"> </w:t>
      </w:r>
      <w:r>
        <w:t>was</w:t>
      </w:r>
      <w:r>
        <w:rPr>
          <w:spacing w:val="-6"/>
        </w:rPr>
        <w:t xml:space="preserve"> </w:t>
      </w:r>
      <w:r>
        <w:t>3.5,</w:t>
      </w:r>
      <w:r>
        <w:rPr>
          <w:spacing w:val="-6"/>
        </w:rPr>
        <w:t xml:space="preserve"> </w:t>
      </w:r>
      <w:r>
        <w:t>and</w:t>
      </w:r>
      <w:r>
        <w:rPr>
          <w:spacing w:val="-7"/>
        </w:rPr>
        <w:t xml:space="preserve"> </w:t>
      </w:r>
      <w:r>
        <w:t>the</w:t>
      </w:r>
      <w:r>
        <w:rPr>
          <w:spacing w:val="-6"/>
        </w:rPr>
        <w:t xml:space="preserve"> </w:t>
      </w:r>
      <w:r>
        <w:t>trimming</w:t>
      </w:r>
      <w:r>
        <w:rPr>
          <w:spacing w:val="-6"/>
        </w:rPr>
        <w:t xml:space="preserve"> </w:t>
      </w:r>
      <w:r>
        <w:t>groups</w:t>
      </w:r>
      <w:r>
        <w:rPr>
          <w:spacing w:val="-7"/>
        </w:rPr>
        <w:t xml:space="preserve"> </w:t>
      </w:r>
      <w:r>
        <w:t>were</w:t>
      </w:r>
      <w:r>
        <w:rPr>
          <w:spacing w:val="-6"/>
        </w:rPr>
        <w:t xml:space="preserve"> </w:t>
      </w:r>
      <w:r>
        <w:t>formed</w:t>
      </w:r>
      <w:r>
        <w:rPr>
          <w:spacing w:val="-6"/>
        </w:rPr>
        <w:t xml:space="preserve"> </w:t>
      </w:r>
      <w:r>
        <w:t>by</w:t>
      </w:r>
      <w:r>
        <w:rPr>
          <w:spacing w:val="-6"/>
        </w:rPr>
        <w:t xml:space="preserve"> </w:t>
      </w:r>
      <w:r>
        <w:t>affiliation</w:t>
      </w:r>
      <w:r>
        <w:rPr>
          <w:spacing w:val="-7"/>
        </w:rPr>
        <w:t xml:space="preserve"> </w:t>
      </w:r>
      <w:r>
        <w:t>(Catholic,</w:t>
      </w:r>
      <w:r>
        <w:rPr>
          <w:spacing w:val="-6"/>
        </w:rPr>
        <w:t xml:space="preserve"> </w:t>
      </w:r>
      <w:r>
        <w:t>Non-</w:t>
      </w:r>
      <w:r>
        <w:rPr>
          <w:spacing w:val="-2"/>
        </w:rPr>
        <w:t>Catholic).</w:t>
      </w:r>
    </w:p>
    <w:p w:rsidR="003F5784" w14:paraId="35A096FB" w14:textId="77777777">
      <w:pPr>
        <w:pStyle w:val="Heading2"/>
        <w:spacing w:before="202"/>
        <w:ind w:left="109"/>
      </w:pPr>
      <w:r>
        <w:t>National</w:t>
      </w:r>
      <w:r>
        <w:rPr>
          <w:spacing w:val="-14"/>
        </w:rPr>
        <w:t xml:space="preserve"> </w:t>
      </w:r>
      <w:r>
        <w:t>Public</w:t>
      </w:r>
      <w:r>
        <w:rPr>
          <w:spacing w:val="-13"/>
        </w:rPr>
        <w:t xml:space="preserve"> </w:t>
      </w:r>
      <w:r>
        <w:t>School</w:t>
      </w:r>
      <w:r>
        <w:rPr>
          <w:spacing w:val="-8"/>
        </w:rPr>
        <w:t xml:space="preserve"> </w:t>
      </w:r>
      <w:r>
        <w:t>Samples</w:t>
      </w:r>
      <w:r>
        <w:rPr>
          <w:spacing w:val="-8"/>
        </w:rPr>
        <w:t xml:space="preserve"> </w:t>
      </w:r>
      <w:r>
        <w:t>for</w:t>
      </w:r>
      <w:r>
        <w:rPr>
          <w:spacing w:val="-12"/>
        </w:rPr>
        <w:t xml:space="preserve"> </w:t>
      </w:r>
      <w:r>
        <w:t>Mathematics</w:t>
      </w:r>
      <w:r>
        <w:rPr>
          <w:spacing w:val="-8"/>
        </w:rPr>
        <w:t xml:space="preserve"> </w:t>
      </w:r>
      <w:r>
        <w:t>and</w:t>
      </w:r>
      <w:r>
        <w:rPr>
          <w:spacing w:val="-9"/>
        </w:rPr>
        <w:t xml:space="preserve"> </w:t>
      </w:r>
      <w:r>
        <w:t>Reading</w:t>
      </w:r>
      <w:r>
        <w:rPr>
          <w:spacing w:val="-8"/>
        </w:rPr>
        <w:t xml:space="preserve"> </w:t>
      </w:r>
      <w:r>
        <w:t>LTT</w:t>
      </w:r>
      <w:r>
        <w:rPr>
          <w:spacing w:val="-16"/>
        </w:rPr>
        <w:t xml:space="preserve"> </w:t>
      </w:r>
      <w:r>
        <w:t>Assessments</w:t>
      </w:r>
      <w:r>
        <w:rPr>
          <w:spacing w:val="-8"/>
        </w:rPr>
        <w:t xml:space="preserve"> </w:t>
      </w:r>
      <w:r>
        <w:t>at</w:t>
      </w:r>
      <w:r>
        <w:rPr>
          <w:spacing w:val="-13"/>
        </w:rPr>
        <w:t xml:space="preserve"> </w:t>
      </w:r>
      <w:r>
        <w:t>Ages</w:t>
      </w:r>
      <w:r>
        <w:rPr>
          <w:spacing w:val="-9"/>
        </w:rPr>
        <w:t xml:space="preserve"> </w:t>
      </w:r>
      <w:r>
        <w:t>9</w:t>
      </w:r>
      <w:r>
        <w:rPr>
          <w:spacing w:val="-8"/>
        </w:rPr>
        <w:t xml:space="preserve"> </w:t>
      </w:r>
      <w:r>
        <w:t>and</w:t>
      </w:r>
      <w:r>
        <w:rPr>
          <w:spacing w:val="-8"/>
        </w:rPr>
        <w:t xml:space="preserve"> </w:t>
      </w:r>
      <w:r>
        <w:rPr>
          <w:spacing w:val="-5"/>
        </w:rPr>
        <w:t>13</w:t>
      </w:r>
    </w:p>
    <w:p w:rsidR="003F5784" w14:paraId="6CCCE210" w14:textId="77777777">
      <w:pPr>
        <w:pStyle w:val="BodyText"/>
        <w:spacing w:before="207" w:line="232" w:lineRule="auto"/>
        <w:ind w:left="109"/>
      </w:pPr>
      <w:r>
        <w:t xml:space="preserve">For these samples, the initial multiple used was 3.5, and the trimming groups were defined by </w:t>
      </w:r>
      <w:r>
        <w:rPr>
          <w:color w:val="0066CC"/>
        </w:rPr>
        <w:t xml:space="preserve">region </w:t>
      </w:r>
      <w:r>
        <w:t>and school oversampling factor for public schools.</w:t>
      </w:r>
      <w:r>
        <w:rPr>
          <w:spacing w:val="-3"/>
        </w:rPr>
        <w:t xml:space="preserve"> </w:t>
      </w:r>
      <w:r>
        <w:t>The school oversampling</w:t>
      </w:r>
      <w:r>
        <w:rPr>
          <w:spacing w:val="-6"/>
        </w:rPr>
        <w:t xml:space="preserve"> </w:t>
      </w:r>
      <w:r>
        <w:t>factor</w:t>
      </w:r>
      <w:r>
        <w:rPr>
          <w:spacing w:val="-6"/>
        </w:rPr>
        <w:t xml:space="preserve"> </w:t>
      </w:r>
      <w:r>
        <w:t>separated,</w:t>
      </w:r>
      <w:r>
        <w:rPr>
          <w:spacing w:val="-6"/>
        </w:rPr>
        <w:t xml:space="preserve"> </w:t>
      </w:r>
      <w:r>
        <w:t>into</w:t>
      </w:r>
      <w:r>
        <w:rPr>
          <w:spacing w:val="-6"/>
        </w:rPr>
        <w:t xml:space="preserve"> </w:t>
      </w:r>
      <w:r>
        <w:t>different</w:t>
      </w:r>
      <w:r>
        <w:rPr>
          <w:spacing w:val="-6"/>
        </w:rPr>
        <w:t xml:space="preserve"> </w:t>
      </w:r>
      <w:r>
        <w:t>trimming</w:t>
      </w:r>
      <w:r>
        <w:rPr>
          <w:spacing w:val="-6"/>
        </w:rPr>
        <w:t xml:space="preserve"> </w:t>
      </w:r>
      <w:r>
        <w:t>groups,</w:t>
      </w:r>
      <w:r>
        <w:rPr>
          <w:spacing w:val="-6"/>
        </w:rPr>
        <w:t xml:space="preserve"> </w:t>
      </w:r>
      <w:r>
        <w:t>schools</w:t>
      </w:r>
      <w:r>
        <w:rPr>
          <w:spacing w:val="-6"/>
        </w:rPr>
        <w:t xml:space="preserve"> </w:t>
      </w:r>
      <w:r>
        <w:t>that</w:t>
      </w:r>
      <w:r>
        <w:rPr>
          <w:spacing w:val="-6"/>
        </w:rPr>
        <w:t xml:space="preserve"> </w:t>
      </w:r>
      <w:r>
        <w:t>had</w:t>
      </w:r>
      <w:r>
        <w:rPr>
          <w:spacing w:val="-6"/>
        </w:rPr>
        <w:t xml:space="preserve"> </w:t>
      </w:r>
      <w:r>
        <w:t>different</w:t>
      </w:r>
      <w:r>
        <w:rPr>
          <w:spacing w:val="-6"/>
        </w:rPr>
        <w:t xml:space="preserve"> </w:t>
      </w:r>
      <w:r>
        <w:t>probabilities</w:t>
      </w:r>
      <w:r>
        <w:rPr>
          <w:spacing w:val="-6"/>
        </w:rPr>
        <w:t xml:space="preserve"> </w:t>
      </w:r>
      <w:r>
        <w:t>of</w:t>
      </w:r>
      <w:r>
        <w:rPr>
          <w:spacing w:val="-6"/>
        </w:rPr>
        <w:t xml:space="preserve"> </w:t>
      </w:r>
      <w:r>
        <w:t>selection</w:t>
      </w:r>
      <w:r>
        <w:rPr>
          <w:spacing w:val="-6"/>
        </w:rPr>
        <w:t xml:space="preserve"> </w:t>
      </w:r>
      <w:r>
        <w:t>by</w:t>
      </w:r>
      <w:r>
        <w:rPr>
          <w:spacing w:val="-6"/>
        </w:rPr>
        <w:t xml:space="preserve"> </w:t>
      </w:r>
      <w:r>
        <w:t>design</w:t>
      </w:r>
      <w:r>
        <w:rPr>
          <w:spacing w:val="-6"/>
        </w:rPr>
        <w:t xml:space="preserve"> </w:t>
      </w:r>
      <w:r>
        <w:t>due</w:t>
      </w:r>
      <w:r>
        <w:rPr>
          <w:spacing w:val="-6"/>
        </w:rPr>
        <w:t xml:space="preserve"> </w:t>
      </w:r>
      <w:r>
        <w:t>to</w:t>
      </w:r>
      <w:r>
        <w:rPr>
          <w:spacing w:val="-6"/>
        </w:rPr>
        <w:t xml:space="preserve"> </w:t>
      </w:r>
      <w:r>
        <w:t>the</w:t>
      </w:r>
      <w:r>
        <w:rPr>
          <w:spacing w:val="-6"/>
        </w:rPr>
        <w:t xml:space="preserve"> </w:t>
      </w:r>
      <w:r>
        <w:t>desire</w:t>
      </w:r>
      <w:r>
        <w:rPr>
          <w:spacing w:val="-6"/>
        </w:rPr>
        <w:t xml:space="preserve"> </w:t>
      </w:r>
      <w:r>
        <w:t>to</w:t>
      </w:r>
      <w:r>
        <w:rPr>
          <w:spacing w:val="-6"/>
        </w:rPr>
        <w:t xml:space="preserve"> </w:t>
      </w:r>
      <w:r>
        <w:t>increase</w:t>
      </w:r>
      <w:r>
        <w:rPr>
          <w:spacing w:val="-6"/>
        </w:rPr>
        <w:t xml:space="preserve"> </w:t>
      </w:r>
      <w:r>
        <w:t>the</w:t>
      </w:r>
      <w:r>
        <w:rPr>
          <w:spacing w:val="-6"/>
        </w:rPr>
        <w:t xml:space="preserve"> </w:t>
      </w:r>
      <w:r>
        <w:t>numbers</w:t>
      </w:r>
      <w:r>
        <w:rPr>
          <w:spacing w:val="-6"/>
        </w:rPr>
        <w:t xml:space="preserve"> </w:t>
      </w:r>
      <w:r>
        <w:t>of</w:t>
      </w:r>
      <w:r>
        <w:rPr>
          <w:spacing w:val="-6"/>
        </w:rPr>
        <w:t xml:space="preserve"> </w:t>
      </w:r>
      <w:r>
        <w:t>Black, Hispanic, and American Indian/Alaska Native students in the sample.</w:t>
      </w:r>
    </w:p>
    <w:p w:rsidR="003F5784" w14:paraId="0B097993" w14:textId="77777777">
      <w:pPr>
        <w:pStyle w:val="Heading2"/>
        <w:spacing w:before="204"/>
        <w:ind w:left="109"/>
      </w:pPr>
      <w:r>
        <w:t>National</w:t>
      </w:r>
      <w:r>
        <w:rPr>
          <w:spacing w:val="-14"/>
        </w:rPr>
        <w:t xml:space="preserve"> </w:t>
      </w:r>
      <w:r>
        <w:t>Private</w:t>
      </w:r>
      <w:r>
        <w:rPr>
          <w:spacing w:val="-13"/>
        </w:rPr>
        <w:t xml:space="preserve"> </w:t>
      </w:r>
      <w:r>
        <w:t>School</w:t>
      </w:r>
      <w:r>
        <w:rPr>
          <w:spacing w:val="-8"/>
        </w:rPr>
        <w:t xml:space="preserve"> </w:t>
      </w:r>
      <w:r>
        <w:t>Samples</w:t>
      </w:r>
      <w:r>
        <w:rPr>
          <w:spacing w:val="-9"/>
        </w:rPr>
        <w:t xml:space="preserve"> </w:t>
      </w:r>
      <w:r>
        <w:t>for</w:t>
      </w:r>
      <w:r>
        <w:rPr>
          <w:spacing w:val="-12"/>
        </w:rPr>
        <w:t xml:space="preserve"> </w:t>
      </w:r>
      <w:r>
        <w:t>Mathematics</w:t>
      </w:r>
      <w:r>
        <w:rPr>
          <w:spacing w:val="-8"/>
        </w:rPr>
        <w:t xml:space="preserve"> </w:t>
      </w:r>
      <w:r>
        <w:t>and</w:t>
      </w:r>
      <w:r>
        <w:rPr>
          <w:spacing w:val="-8"/>
        </w:rPr>
        <w:t xml:space="preserve"> </w:t>
      </w:r>
      <w:r>
        <w:t>Reading</w:t>
      </w:r>
      <w:r>
        <w:rPr>
          <w:spacing w:val="-9"/>
        </w:rPr>
        <w:t xml:space="preserve"> </w:t>
      </w:r>
      <w:r>
        <w:t>LTT</w:t>
      </w:r>
      <w:r>
        <w:rPr>
          <w:spacing w:val="-16"/>
        </w:rPr>
        <w:t xml:space="preserve"> </w:t>
      </w:r>
      <w:r>
        <w:t>Assessments</w:t>
      </w:r>
      <w:r>
        <w:rPr>
          <w:spacing w:val="-8"/>
        </w:rPr>
        <w:t xml:space="preserve"> </w:t>
      </w:r>
      <w:r>
        <w:t>at</w:t>
      </w:r>
      <w:r>
        <w:rPr>
          <w:spacing w:val="-13"/>
        </w:rPr>
        <w:t xml:space="preserve"> </w:t>
      </w:r>
      <w:r>
        <w:t>Ages</w:t>
      </w:r>
      <w:r>
        <w:rPr>
          <w:spacing w:val="-8"/>
        </w:rPr>
        <w:t xml:space="preserve"> </w:t>
      </w:r>
      <w:r>
        <w:t>9</w:t>
      </w:r>
      <w:r>
        <w:rPr>
          <w:spacing w:val="-9"/>
        </w:rPr>
        <w:t xml:space="preserve"> </w:t>
      </w:r>
      <w:r>
        <w:t>and</w:t>
      </w:r>
      <w:r>
        <w:rPr>
          <w:spacing w:val="-8"/>
        </w:rPr>
        <w:t xml:space="preserve"> </w:t>
      </w:r>
      <w:r>
        <w:rPr>
          <w:spacing w:val="-5"/>
        </w:rPr>
        <w:t>13</w:t>
      </w:r>
    </w:p>
    <w:p w:rsidR="003F5784" w14:paraId="0589B653" w14:textId="77777777">
      <w:pPr>
        <w:pStyle w:val="BodyText"/>
        <w:spacing w:before="202"/>
        <w:ind w:left="109"/>
      </w:pPr>
      <w:r>
        <w:t>For</w:t>
      </w:r>
      <w:r>
        <w:rPr>
          <w:spacing w:val="-7"/>
        </w:rPr>
        <w:t xml:space="preserve"> </w:t>
      </w:r>
      <w:r>
        <w:t>these</w:t>
      </w:r>
      <w:r>
        <w:rPr>
          <w:spacing w:val="-6"/>
        </w:rPr>
        <w:t xml:space="preserve"> </w:t>
      </w:r>
      <w:r>
        <w:t>samples,</w:t>
      </w:r>
      <w:r>
        <w:rPr>
          <w:spacing w:val="-6"/>
        </w:rPr>
        <w:t xml:space="preserve"> </w:t>
      </w:r>
      <w:r>
        <w:t>the</w:t>
      </w:r>
      <w:r>
        <w:rPr>
          <w:spacing w:val="-7"/>
        </w:rPr>
        <w:t xml:space="preserve"> </w:t>
      </w:r>
      <w:r>
        <w:t>initial</w:t>
      </w:r>
      <w:r>
        <w:rPr>
          <w:spacing w:val="-6"/>
        </w:rPr>
        <w:t xml:space="preserve"> </w:t>
      </w:r>
      <w:r>
        <w:t>multiple</w:t>
      </w:r>
      <w:r>
        <w:rPr>
          <w:spacing w:val="-6"/>
        </w:rPr>
        <w:t xml:space="preserve"> </w:t>
      </w:r>
      <w:r>
        <w:t>used</w:t>
      </w:r>
      <w:r>
        <w:rPr>
          <w:spacing w:val="-7"/>
        </w:rPr>
        <w:t xml:space="preserve"> </w:t>
      </w:r>
      <w:r>
        <w:t>was</w:t>
      </w:r>
      <w:r>
        <w:rPr>
          <w:spacing w:val="-6"/>
        </w:rPr>
        <w:t xml:space="preserve"> </w:t>
      </w:r>
      <w:r>
        <w:t>3.5,</w:t>
      </w:r>
      <w:r>
        <w:rPr>
          <w:spacing w:val="-6"/>
        </w:rPr>
        <w:t xml:space="preserve"> </w:t>
      </w:r>
      <w:r>
        <w:t>and</w:t>
      </w:r>
      <w:r>
        <w:rPr>
          <w:spacing w:val="-7"/>
        </w:rPr>
        <w:t xml:space="preserve"> </w:t>
      </w:r>
      <w:r>
        <w:t>the</w:t>
      </w:r>
      <w:r>
        <w:rPr>
          <w:spacing w:val="-6"/>
        </w:rPr>
        <w:t xml:space="preserve"> </w:t>
      </w:r>
      <w:r>
        <w:t>trimming</w:t>
      </w:r>
      <w:r>
        <w:rPr>
          <w:spacing w:val="-6"/>
        </w:rPr>
        <w:t xml:space="preserve"> </w:t>
      </w:r>
      <w:r>
        <w:t>groups</w:t>
      </w:r>
      <w:r>
        <w:rPr>
          <w:spacing w:val="-7"/>
        </w:rPr>
        <w:t xml:space="preserve"> </w:t>
      </w:r>
      <w:r>
        <w:t>were</w:t>
      </w:r>
      <w:r>
        <w:rPr>
          <w:spacing w:val="-6"/>
        </w:rPr>
        <w:t xml:space="preserve"> </w:t>
      </w:r>
      <w:r>
        <w:t>formed</w:t>
      </w:r>
      <w:r>
        <w:rPr>
          <w:spacing w:val="-6"/>
        </w:rPr>
        <w:t xml:space="preserve"> </w:t>
      </w:r>
      <w:r>
        <w:t>by</w:t>
      </w:r>
      <w:r>
        <w:rPr>
          <w:spacing w:val="-6"/>
        </w:rPr>
        <w:t xml:space="preserve"> </w:t>
      </w:r>
      <w:r>
        <w:t>affiliation</w:t>
      </w:r>
      <w:r>
        <w:rPr>
          <w:spacing w:val="-7"/>
        </w:rPr>
        <w:t xml:space="preserve"> </w:t>
      </w:r>
      <w:r>
        <w:t>(Catholic,</w:t>
      </w:r>
      <w:r>
        <w:rPr>
          <w:spacing w:val="-6"/>
        </w:rPr>
        <w:t xml:space="preserve"> </w:t>
      </w:r>
      <w:r>
        <w:t>Non-</w:t>
      </w:r>
      <w:r>
        <w:rPr>
          <w:spacing w:val="-2"/>
        </w:rPr>
        <w:t>Catholic).</w:t>
      </w:r>
    </w:p>
    <w:p w:rsidR="003F5784" w14:paraId="0F24514B" w14:textId="77777777">
      <w:pPr>
        <w:sectPr>
          <w:pgSz w:w="15840" w:h="12240" w:orient="landscape"/>
          <w:pgMar w:top="480" w:right="440" w:bottom="460" w:left="460" w:header="284" w:footer="275" w:gutter="0"/>
          <w:cols w:space="720"/>
        </w:sectPr>
      </w:pPr>
    </w:p>
    <w:p w:rsidR="003F5784" w14:paraId="7F4F5421" w14:textId="77777777">
      <w:pPr>
        <w:pStyle w:val="BodyText"/>
        <w:spacing w:before="78" w:line="232" w:lineRule="auto"/>
        <w:ind w:left="109" w:right="179"/>
      </w:pPr>
      <w:r>
        <w:t>The</w:t>
      </w:r>
      <w:r>
        <w:rPr>
          <w:spacing w:val="-8"/>
        </w:rPr>
        <w:t xml:space="preserve"> </w:t>
      </w:r>
      <w:r>
        <w:t>procedure</w:t>
      </w:r>
      <w:r>
        <w:rPr>
          <w:spacing w:val="-6"/>
        </w:rPr>
        <w:t xml:space="preserve"> </w:t>
      </w:r>
      <w:r>
        <w:t>computes</w:t>
      </w:r>
      <w:r>
        <w:rPr>
          <w:spacing w:val="-6"/>
        </w:rPr>
        <w:t xml:space="preserve"> </w:t>
      </w:r>
      <w:r>
        <w:t>the</w:t>
      </w:r>
      <w:r>
        <w:rPr>
          <w:spacing w:val="-6"/>
        </w:rPr>
        <w:t xml:space="preserve"> </w:t>
      </w:r>
      <w:r>
        <w:t>median</w:t>
      </w:r>
      <w:r>
        <w:rPr>
          <w:spacing w:val="-6"/>
        </w:rPr>
        <w:t xml:space="preserve"> </w:t>
      </w:r>
      <w:r>
        <w:t>of</w:t>
      </w:r>
      <w:r>
        <w:rPr>
          <w:spacing w:val="-6"/>
        </w:rPr>
        <w:t xml:space="preserve"> </w:t>
      </w:r>
      <w:r>
        <w:t>the</w:t>
      </w:r>
      <w:r>
        <w:rPr>
          <w:spacing w:val="-6"/>
        </w:rPr>
        <w:t xml:space="preserve"> </w:t>
      </w:r>
      <w:r>
        <w:t>nonresponse-adjusted</w:t>
      </w:r>
      <w:r>
        <w:rPr>
          <w:spacing w:val="-6"/>
        </w:rPr>
        <w:t xml:space="preserve"> </w:t>
      </w:r>
      <w:r>
        <w:t>student</w:t>
      </w:r>
      <w:r>
        <w:rPr>
          <w:spacing w:val="-6"/>
        </w:rPr>
        <w:t xml:space="preserve"> </w:t>
      </w:r>
      <w:r>
        <w:t>weights</w:t>
      </w:r>
      <w:r>
        <w:rPr>
          <w:spacing w:val="-6"/>
        </w:rPr>
        <w:t xml:space="preserve"> </w:t>
      </w:r>
      <w:r>
        <w:t>in</w:t>
      </w:r>
      <w:r>
        <w:rPr>
          <w:spacing w:val="-6"/>
        </w:rPr>
        <w:t xml:space="preserve"> </w:t>
      </w:r>
      <w:r>
        <w:t>the</w:t>
      </w:r>
      <w:r>
        <w:rPr>
          <w:spacing w:val="-6"/>
        </w:rPr>
        <w:t xml:space="preserve"> </w:t>
      </w:r>
      <w:r>
        <w:t>trimming</w:t>
      </w:r>
      <w:r>
        <w:rPr>
          <w:spacing w:val="-6"/>
        </w:rPr>
        <w:t xml:space="preserve"> </w:t>
      </w:r>
      <w:r>
        <w:t>group</w:t>
      </w:r>
      <w:r>
        <w:rPr>
          <w:spacing w:val="-6"/>
        </w:rPr>
        <w:t xml:space="preserve"> </w:t>
      </w:r>
      <w:r>
        <w:t>\(g\)</w:t>
      </w:r>
      <w:r>
        <w:rPr>
          <w:spacing w:val="-6"/>
        </w:rPr>
        <w:t xml:space="preserve"> </w:t>
      </w:r>
      <w:r>
        <w:t>for</w:t>
      </w:r>
      <w:r>
        <w:rPr>
          <w:spacing w:val="-6"/>
        </w:rPr>
        <w:t xml:space="preserve"> </w:t>
      </w:r>
      <w:r>
        <w:t>a</w:t>
      </w:r>
      <w:r>
        <w:rPr>
          <w:spacing w:val="-6"/>
        </w:rPr>
        <w:t xml:space="preserve"> </w:t>
      </w:r>
      <w:r>
        <w:t>given</w:t>
      </w:r>
      <w:r>
        <w:rPr>
          <w:spacing w:val="-6"/>
        </w:rPr>
        <w:t xml:space="preserve"> </w:t>
      </w:r>
      <w:r>
        <w:t>grade</w:t>
      </w:r>
      <w:r>
        <w:rPr>
          <w:spacing w:val="-6"/>
        </w:rPr>
        <w:t xml:space="preserve"> </w:t>
      </w:r>
      <w:r>
        <w:t>(or</w:t>
      </w:r>
      <w:r>
        <w:rPr>
          <w:spacing w:val="-6"/>
        </w:rPr>
        <w:t xml:space="preserve"> </w:t>
      </w:r>
      <w:r>
        <w:t>age)</w:t>
      </w:r>
      <w:r>
        <w:rPr>
          <w:spacing w:val="-6"/>
        </w:rPr>
        <w:t xml:space="preserve"> </w:t>
      </w:r>
      <w:r>
        <w:t>and</w:t>
      </w:r>
      <w:r>
        <w:rPr>
          <w:spacing w:val="-6"/>
        </w:rPr>
        <w:t xml:space="preserve"> </w:t>
      </w:r>
      <w:r>
        <w:t>subject</w:t>
      </w:r>
      <w:r>
        <w:rPr>
          <w:spacing w:val="-6"/>
        </w:rPr>
        <w:t xml:space="preserve"> </w:t>
      </w:r>
      <w:r>
        <w:t>sample.</w:t>
      </w:r>
      <w:r>
        <w:rPr>
          <w:spacing w:val="-14"/>
        </w:rPr>
        <w:t xml:space="preserve"> </w:t>
      </w:r>
      <w:r>
        <w:t>Any</w:t>
      </w:r>
      <w:r>
        <w:rPr>
          <w:spacing w:val="-5"/>
        </w:rPr>
        <w:t xml:space="preserve"> </w:t>
      </w:r>
      <w:r>
        <w:t>student</w:t>
      </w:r>
      <w:r>
        <w:rPr>
          <w:spacing w:val="-6"/>
        </w:rPr>
        <w:t xml:space="preserve"> </w:t>
      </w:r>
      <w:r>
        <w:t>\(k\) with a weight more than \(M\) times the median received a trimming factor calculated as</w:t>
      </w:r>
    </w:p>
    <w:p w:rsidR="003F5784" w14:paraId="215B646F" w14:textId="77777777">
      <w:pPr>
        <w:pStyle w:val="BodyText"/>
        <w:spacing w:before="209" w:line="232" w:lineRule="auto"/>
        <w:ind w:left="109" w:right="117"/>
      </w:pPr>
      <w:r>
        <w:t>\begin{equation}</w:t>
      </w:r>
      <w:r>
        <w:rPr>
          <w:spacing w:val="-9"/>
        </w:rPr>
        <w:t xml:space="preserve"> </w:t>
      </w:r>
      <w:r>
        <w:t>STU\_TRIM_{gk}</w:t>
      </w:r>
      <w:r>
        <w:rPr>
          <w:spacing w:val="-9"/>
        </w:rPr>
        <w:t xml:space="preserve"> </w:t>
      </w:r>
      <w:r>
        <w:t>=</w:t>
      </w:r>
      <w:r>
        <w:rPr>
          <w:spacing w:val="-9"/>
        </w:rPr>
        <w:t xml:space="preserve"> </w:t>
      </w:r>
      <w:r>
        <w:t>\left\{\begin{array}{llll}</w:t>
      </w:r>
      <w:r>
        <w:rPr>
          <w:spacing w:val="-9"/>
        </w:rPr>
        <w:t xml:space="preserve"> </w:t>
      </w:r>
      <w:r>
        <w:t>\dfrac{M</w:t>
      </w:r>
      <w:r>
        <w:rPr>
          <w:spacing w:val="-9"/>
        </w:rPr>
        <w:t xml:space="preserve"> </w:t>
      </w:r>
      <w:r>
        <w:t>\times</w:t>
      </w:r>
      <w:r>
        <w:rPr>
          <w:spacing w:val="-9"/>
        </w:rPr>
        <w:t xml:space="preserve"> </w:t>
      </w:r>
      <w:r>
        <w:t>MEDIAN_{g}}</w:t>
      </w:r>
      <w:r>
        <w:rPr>
          <w:spacing w:val="-9"/>
        </w:rPr>
        <w:t xml:space="preserve"> </w:t>
      </w:r>
      <w:r>
        <w:t>{STUWGT_{gk}}</w:t>
      </w:r>
      <w:r>
        <w:rPr>
          <w:spacing w:val="-9"/>
        </w:rPr>
        <w:t xml:space="preserve"> </w:t>
      </w:r>
      <w:r>
        <w:t>&amp;</w:t>
      </w:r>
      <w:r>
        <w:rPr>
          <w:spacing w:val="-9"/>
        </w:rPr>
        <w:t xml:space="preserve"> </w:t>
      </w:r>
      <w:r>
        <w:t>\text{if</w:t>
      </w:r>
      <w:r>
        <w:rPr>
          <w:spacing w:val="-9"/>
        </w:rPr>
        <w:t xml:space="preserve"> </w:t>
      </w:r>
      <w:r>
        <w:t>}</w:t>
      </w:r>
      <w:r>
        <w:rPr>
          <w:spacing w:val="-9"/>
        </w:rPr>
        <w:t xml:space="preserve"> </w:t>
      </w:r>
      <w:r>
        <w:t>STUWGT_{gk}</w:t>
      </w:r>
      <w:r>
        <w:rPr>
          <w:spacing w:val="-9"/>
        </w:rPr>
        <w:t xml:space="preserve"> </w:t>
      </w:r>
      <w:r>
        <w:t>&lt;</w:t>
      </w:r>
      <w:r>
        <w:rPr>
          <w:spacing w:val="-9"/>
        </w:rPr>
        <w:t xml:space="preserve"> </w:t>
      </w:r>
      <w:r>
        <w:t>M</w:t>
      </w:r>
      <w:r>
        <w:rPr>
          <w:spacing w:val="-9"/>
        </w:rPr>
        <w:t xml:space="preserve"> </w:t>
      </w:r>
      <w:r>
        <w:t>\times</w:t>
      </w:r>
      <w:r>
        <w:rPr>
          <w:spacing w:val="-9"/>
        </w:rPr>
        <w:t xml:space="preserve"> </w:t>
      </w:r>
      <w:r>
        <w:t>MEDIAN_{g}</w:t>
      </w:r>
      <w:r>
        <w:rPr>
          <w:spacing w:val="-9"/>
        </w:rPr>
        <w:t xml:space="preserve"> </w:t>
      </w:r>
      <w:r>
        <w:t>\\ 1 &amp; \text{otherwise } \\ \end{array}\right. , \end{equation}</w:t>
      </w:r>
    </w:p>
    <w:p w:rsidR="003F5784" w14:paraId="4A28C646" w14:textId="77777777">
      <w:pPr>
        <w:pStyle w:val="BodyText"/>
        <w:spacing w:before="204"/>
        <w:ind w:left="109"/>
      </w:pPr>
      <w:r>
        <w:rPr>
          <w:spacing w:val="-2"/>
        </w:rPr>
        <w:t>where</w:t>
      </w:r>
    </w:p>
    <w:p w:rsidR="003F5784" w14:paraId="194B3E01" w14:textId="77777777">
      <w:pPr>
        <w:pStyle w:val="BodyText"/>
        <w:spacing w:before="201" w:line="238" w:lineRule="exact"/>
        <w:ind w:left="422"/>
      </w:pPr>
      <w:r>
        <w:rPr>
          <w:noProof/>
          <w:position w:val="3"/>
        </w:rPr>
        <w:drawing>
          <wp:inline distT="0" distB="0" distL="0" distR="0">
            <wp:extent cx="41379" cy="41378"/>
            <wp:effectExtent l="0" t="0" r="0" b="0"/>
            <wp:docPr id="605" name="Image 605"/>
            <wp:cNvGraphicFramePr/>
            <a:graphic xmlns:a="http://schemas.openxmlformats.org/drawingml/2006/main">
              <a:graphicData uri="http://schemas.openxmlformats.org/drawingml/2006/picture">
                <pic:pic xmlns:pic="http://schemas.openxmlformats.org/drawingml/2006/picture">
                  <pic:nvPicPr>
                    <pic:cNvPr id="605" name="Image 605"/>
                    <pic:cNvPicPr/>
                  </pic:nvPicPr>
                  <pic:blipFill>
                    <a:blip xmlns:r="http://schemas.openxmlformats.org/officeDocument/2006/relationships" r:embed="rId490" cstate="print"/>
                    <a:stretch>
                      <a:fillRect/>
                    </a:stretch>
                  </pic:blipFill>
                  <pic:spPr>
                    <a:xfrm>
                      <a:off x="0" y="0"/>
                      <a:ext cx="41379" cy="41378"/>
                    </a:xfrm>
                    <a:prstGeom prst="rect">
                      <a:avLst/>
                    </a:prstGeom>
                  </pic:spPr>
                </pic:pic>
              </a:graphicData>
            </a:graphic>
          </wp:inline>
        </w:drawing>
      </w:r>
      <w:r>
        <w:rPr>
          <w:spacing w:val="80"/>
          <w:sz w:val="20"/>
        </w:rPr>
        <w:t xml:space="preserve"> </w:t>
      </w:r>
      <w:r>
        <w:t>\(M\) is the trimming multiple,</w:t>
      </w:r>
    </w:p>
    <w:p w:rsidR="003F5784" w14:paraId="76966648" w14:textId="77777777">
      <w:pPr>
        <w:pStyle w:val="BodyText"/>
        <w:spacing w:line="235" w:lineRule="exact"/>
        <w:ind w:left="422"/>
      </w:pPr>
      <w:r>
        <w:rPr>
          <w:noProof/>
          <w:position w:val="3"/>
        </w:rPr>
        <w:drawing>
          <wp:inline distT="0" distB="0" distL="0" distR="0">
            <wp:extent cx="41379" cy="41378"/>
            <wp:effectExtent l="0" t="0" r="0" b="0"/>
            <wp:docPr id="606" name="Image 606"/>
            <wp:cNvGraphicFramePr/>
            <a:graphic xmlns:a="http://schemas.openxmlformats.org/drawingml/2006/main">
              <a:graphicData uri="http://schemas.openxmlformats.org/drawingml/2006/picture">
                <pic:pic xmlns:pic="http://schemas.openxmlformats.org/drawingml/2006/picture">
                  <pic:nvPicPr>
                    <pic:cNvPr id="606" name="Image 606"/>
                    <pic:cNvPicPr/>
                  </pic:nvPicPr>
                  <pic:blipFill>
                    <a:blip xmlns:r="http://schemas.openxmlformats.org/officeDocument/2006/relationships" r:embed="rId491" cstate="print"/>
                    <a:stretch>
                      <a:fillRect/>
                    </a:stretch>
                  </pic:blipFill>
                  <pic:spPr>
                    <a:xfrm>
                      <a:off x="0" y="0"/>
                      <a:ext cx="41379" cy="41378"/>
                    </a:xfrm>
                    <a:prstGeom prst="rect">
                      <a:avLst/>
                    </a:prstGeom>
                  </pic:spPr>
                </pic:pic>
              </a:graphicData>
            </a:graphic>
          </wp:inline>
        </w:drawing>
      </w:r>
      <w:r>
        <w:rPr>
          <w:spacing w:val="80"/>
          <w:sz w:val="20"/>
        </w:rPr>
        <w:t xml:space="preserve"> </w:t>
      </w:r>
      <w:r>
        <w:t>\(MEDIAN_{g}\) is the median of nonresponse-adjusted student weights in trimming group \(g\), and</w:t>
      </w:r>
    </w:p>
    <w:p w:rsidR="003F5784" w14:paraId="02DEC1A9" w14:textId="77777777">
      <w:pPr>
        <w:pStyle w:val="BodyText"/>
        <w:spacing w:line="238" w:lineRule="exact"/>
        <w:ind w:left="422"/>
      </w:pPr>
      <w:r>
        <w:rPr>
          <w:noProof/>
          <w:position w:val="3"/>
        </w:rPr>
        <w:drawing>
          <wp:inline distT="0" distB="0" distL="0" distR="0">
            <wp:extent cx="41379" cy="41378"/>
            <wp:effectExtent l="0" t="0" r="0" b="0"/>
            <wp:docPr id="607" name="Image 607"/>
            <wp:cNvGraphicFramePr/>
            <a:graphic xmlns:a="http://schemas.openxmlformats.org/drawingml/2006/main">
              <a:graphicData uri="http://schemas.openxmlformats.org/drawingml/2006/picture">
                <pic:pic xmlns:pic="http://schemas.openxmlformats.org/drawingml/2006/picture">
                  <pic:nvPicPr>
                    <pic:cNvPr id="607" name="Image 607"/>
                    <pic:cNvPicPr/>
                  </pic:nvPicPr>
                  <pic:blipFill>
                    <a:blip xmlns:r="http://schemas.openxmlformats.org/officeDocument/2006/relationships" r:embed="rId492" cstate="print"/>
                    <a:stretch>
                      <a:fillRect/>
                    </a:stretch>
                  </pic:blipFill>
                  <pic:spPr>
                    <a:xfrm>
                      <a:off x="0" y="0"/>
                      <a:ext cx="41379" cy="41378"/>
                    </a:xfrm>
                    <a:prstGeom prst="rect">
                      <a:avLst/>
                    </a:prstGeom>
                  </pic:spPr>
                </pic:pic>
              </a:graphicData>
            </a:graphic>
          </wp:inline>
        </w:drawing>
      </w:r>
      <w:r>
        <w:rPr>
          <w:spacing w:val="80"/>
          <w:sz w:val="20"/>
        </w:rPr>
        <w:t xml:space="preserve"> </w:t>
      </w:r>
      <w:r>
        <w:t>\(STUWGT_{gk}\) is the weight after student nonresponse adjustment for student in trimming group \(g\).</w:t>
      </w:r>
    </w:p>
    <w:p w:rsidR="003F5784" w14:paraId="36B81A48" w14:textId="77777777">
      <w:pPr>
        <w:pStyle w:val="BodyText"/>
        <w:spacing w:before="208" w:line="232" w:lineRule="auto"/>
        <w:ind w:left="109" w:right="1264"/>
      </w:pPr>
      <w:r>
        <w:t>In</w:t>
      </w:r>
      <w:r>
        <w:rPr>
          <w:spacing w:val="-7"/>
        </w:rPr>
        <w:t xml:space="preserve"> </w:t>
      </w:r>
      <w:r>
        <w:t>the</w:t>
      </w:r>
      <w:r>
        <w:rPr>
          <w:spacing w:val="-7"/>
        </w:rPr>
        <w:t xml:space="preserve"> </w:t>
      </w:r>
      <w:r>
        <w:t>2022</w:t>
      </w:r>
      <w:r>
        <w:rPr>
          <w:spacing w:val="-7"/>
        </w:rPr>
        <w:t xml:space="preserve"> </w:t>
      </w:r>
      <w:r>
        <w:t>assessment,</w:t>
      </w:r>
      <w:r>
        <w:rPr>
          <w:spacing w:val="-7"/>
        </w:rPr>
        <w:t xml:space="preserve"> </w:t>
      </w:r>
      <w:r>
        <w:t>very</w:t>
      </w:r>
      <w:r>
        <w:rPr>
          <w:spacing w:val="-7"/>
        </w:rPr>
        <w:t xml:space="preserve"> </w:t>
      </w:r>
      <w:r>
        <w:t>few</w:t>
      </w:r>
      <w:r>
        <w:rPr>
          <w:spacing w:val="-7"/>
        </w:rPr>
        <w:t xml:space="preserve"> </w:t>
      </w:r>
      <w:r>
        <w:t>students</w:t>
      </w:r>
      <w:r>
        <w:rPr>
          <w:spacing w:val="-7"/>
        </w:rPr>
        <w:t xml:space="preserve"> </w:t>
      </w:r>
      <w:r>
        <w:t>had</w:t>
      </w:r>
      <w:r>
        <w:rPr>
          <w:spacing w:val="-7"/>
        </w:rPr>
        <w:t xml:space="preserve"> </w:t>
      </w:r>
      <w:r>
        <w:t>weights</w:t>
      </w:r>
      <w:r>
        <w:rPr>
          <w:spacing w:val="-7"/>
        </w:rPr>
        <w:t xml:space="preserve"> </w:t>
      </w:r>
      <w:r>
        <w:t>considered</w:t>
      </w:r>
      <w:r>
        <w:rPr>
          <w:spacing w:val="-7"/>
        </w:rPr>
        <w:t xml:space="preserve"> </w:t>
      </w:r>
      <w:r>
        <w:t>excessively</w:t>
      </w:r>
      <w:r>
        <w:rPr>
          <w:spacing w:val="-7"/>
        </w:rPr>
        <w:t xml:space="preserve"> </w:t>
      </w:r>
      <w:r>
        <w:t>large.</w:t>
      </w:r>
      <w:r>
        <w:rPr>
          <w:spacing w:val="-7"/>
        </w:rPr>
        <w:t xml:space="preserve"> </w:t>
      </w:r>
      <w:r>
        <w:t>Out</w:t>
      </w:r>
      <w:r>
        <w:rPr>
          <w:spacing w:val="-7"/>
        </w:rPr>
        <w:t xml:space="preserve"> </w:t>
      </w:r>
      <w:r>
        <w:t>of</w:t>
      </w:r>
      <w:r>
        <w:rPr>
          <w:spacing w:val="-7"/>
        </w:rPr>
        <w:t xml:space="preserve"> </w:t>
      </w:r>
      <w:r>
        <w:t>the</w:t>
      </w:r>
      <w:r>
        <w:rPr>
          <w:spacing w:val="-7"/>
        </w:rPr>
        <w:t xml:space="preserve"> </w:t>
      </w:r>
      <w:r>
        <w:t>approximately</w:t>
      </w:r>
      <w:r>
        <w:rPr>
          <w:spacing w:val="-7"/>
        </w:rPr>
        <w:t xml:space="preserve"> </w:t>
      </w:r>
      <w:r>
        <w:t>483,700</w:t>
      </w:r>
      <w:r>
        <w:rPr>
          <w:spacing w:val="-7"/>
        </w:rPr>
        <w:t xml:space="preserve"> </w:t>
      </w:r>
      <w:r>
        <w:t>students</w:t>
      </w:r>
      <w:r>
        <w:rPr>
          <w:spacing w:val="-7"/>
        </w:rPr>
        <w:t xml:space="preserve"> </w:t>
      </w:r>
      <w:r>
        <w:t>included</w:t>
      </w:r>
      <w:r>
        <w:rPr>
          <w:spacing w:val="-7"/>
        </w:rPr>
        <w:t xml:space="preserve"> </w:t>
      </w:r>
      <w:r>
        <w:t>in</w:t>
      </w:r>
      <w:r>
        <w:rPr>
          <w:spacing w:val="-7"/>
        </w:rPr>
        <w:t xml:space="preserve"> </w:t>
      </w:r>
      <w:r>
        <w:t>the</w:t>
      </w:r>
      <w:r>
        <w:rPr>
          <w:spacing w:val="-7"/>
        </w:rPr>
        <w:t xml:space="preserve"> </w:t>
      </w:r>
      <w:r>
        <w:t>combined</w:t>
      </w:r>
      <w:r>
        <w:rPr>
          <w:spacing w:val="-7"/>
        </w:rPr>
        <w:t xml:space="preserve"> </w:t>
      </w:r>
      <w:r>
        <w:t>grade- based 2022 assessment samples, 35 students had their weights trimmed. None of the approximately 33,500 LTT</w:t>
      </w:r>
      <w:r>
        <w:rPr>
          <w:spacing w:val="-3"/>
        </w:rPr>
        <w:t xml:space="preserve"> </w:t>
      </w:r>
      <w:r>
        <w:t>students had their weights trimmed.</w:t>
      </w:r>
    </w:p>
    <w:p w:rsidR="003F5784" w14:paraId="4FD5043D" w14:textId="77777777">
      <w:pPr>
        <w:pStyle w:val="BodyText"/>
      </w:pPr>
    </w:p>
    <w:p w:rsidR="003F5784" w14:paraId="3A107EF6" w14:textId="77777777">
      <w:pPr>
        <w:pStyle w:val="BodyText"/>
        <w:spacing w:before="178"/>
      </w:pPr>
    </w:p>
    <w:p w:rsidR="003F5784" w14:paraId="25E3854D" w14:textId="77777777">
      <w:pPr>
        <w:ind w:left="5823"/>
        <w:rPr>
          <w:sz w:val="18"/>
        </w:rPr>
      </w:pPr>
      <w:hyperlink r:id="rId493">
        <w:r>
          <w:rPr>
            <w:spacing w:val="-2"/>
            <w:w w:val="105"/>
            <w:sz w:val="18"/>
          </w:rPr>
          <w:t>http://nces.ed.gov/nationsreportcard/tdw/weighting/2022/trimming_of_student_weights_for_the_2022_assessment.aspx</w:t>
        </w:r>
      </w:hyperlink>
    </w:p>
    <w:p w:rsidR="003F5784" w14:paraId="247D9DF6" w14:textId="77777777">
      <w:pPr>
        <w:pStyle w:val="BodyText"/>
        <w:spacing w:before="1"/>
        <w:rPr>
          <w:sz w:val="16"/>
        </w:rPr>
      </w:pPr>
      <w:r>
        <w:rPr>
          <w:noProof/>
        </w:rPr>
        <mc:AlternateContent>
          <mc:Choice Requires="wps">
            <w:drawing>
              <wp:anchor distT="0" distB="0" distL="0" distR="0" simplePos="0" relativeHeight="252003328" behindDoc="1" locked="0" layoutInCell="1" allowOverlap="1">
                <wp:simplePos x="0" y="0"/>
                <wp:positionH relativeFrom="page">
                  <wp:posOffset>361937</wp:posOffset>
                </wp:positionH>
                <wp:positionV relativeFrom="paragraph">
                  <wp:posOffset>132857</wp:posOffset>
                </wp:positionV>
                <wp:extent cx="9339580" cy="8890"/>
                <wp:effectExtent l="0" t="0" r="0" b="0"/>
                <wp:wrapTopAndBottom/>
                <wp:docPr id="608" name="Graphic 60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80"/>
                              </a:lnTo>
                              <a:lnTo>
                                <a:pt x="9335110" y="8305"/>
                              </a:lnTo>
                              <a:lnTo>
                                <a:pt x="9338970" y="8305"/>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608" o:spid="_x0000_s1187" style="width:735.4pt;height:0.7pt;margin-top:10.45pt;margin-left:28.5pt;mso-position-horizontal-relative:page;mso-wrap-distance-bottom:0;mso-wrap-distance-left:0;mso-wrap-distance-right:0;mso-wrap-distance-top:0;mso-wrap-style:square;position:absolute;visibility:visible;v-text-anchor:top;z-index:-251312128" coordsize="9339580,8890" path="m9338970,25l9335110,25l8280,25,,,,8280l9335110,8305l9338970,8305l9338970,25xe" fillcolor="gray" stroked="f">
                <v:path arrowok="t"/>
                <w10:wrap type="topAndBottom"/>
              </v:shape>
            </w:pict>
          </mc:Fallback>
        </mc:AlternateContent>
      </w:r>
    </w:p>
    <w:p w:rsidR="003F5784" w14:paraId="0221A8AF" w14:textId="77777777">
      <w:pPr>
        <w:pStyle w:val="BodyText"/>
        <w:rPr>
          <w:sz w:val="18"/>
        </w:rPr>
      </w:pPr>
    </w:p>
    <w:p w:rsidR="003F5784" w14:paraId="6050EB88" w14:textId="77777777">
      <w:pPr>
        <w:pStyle w:val="BodyText"/>
        <w:spacing w:before="193"/>
        <w:rPr>
          <w:sz w:val="18"/>
        </w:rPr>
      </w:pPr>
    </w:p>
    <w:p w:rsidR="003F5784" w14:paraId="1B68B5D3" w14:textId="44DE6D96">
      <w:pPr>
        <w:pStyle w:val="Heading1"/>
      </w:pPr>
      <w:r>
        <w:t>NAEP</w:t>
      </w:r>
      <w:r>
        <w:rPr>
          <w:spacing w:val="-24"/>
        </w:rPr>
        <w:t xml:space="preserve"> </w:t>
      </w:r>
      <w:r>
        <w:t>Technical</w:t>
      </w:r>
      <w:r>
        <w:rPr>
          <w:spacing w:val="8"/>
        </w:rPr>
        <w:t xml:space="preserve"> </w:t>
      </w:r>
      <w:r>
        <w:t>Documentation</w:t>
      </w:r>
      <w:r w:rsidR="00ED683B">
        <w:t xml:space="preserve"> </w:t>
      </w:r>
      <w:r>
        <w:t>Student Weight</w:t>
      </w:r>
      <w:r>
        <w:rPr>
          <w:spacing w:val="8"/>
        </w:rPr>
        <w:t xml:space="preserve"> </w:t>
      </w:r>
      <w:r>
        <w:t>Raking</w:t>
      </w:r>
      <w:r>
        <w:rPr>
          <w:spacing w:val="-16"/>
        </w:rPr>
        <w:t xml:space="preserve"> </w:t>
      </w:r>
      <w:r>
        <w:rPr>
          <w:spacing w:val="-2"/>
        </w:rPr>
        <w:t>Adjustment</w:t>
      </w:r>
    </w:p>
    <w:p w:rsidR="003F5784" w14:paraId="1B141BF9" w14:textId="77777777">
      <w:pPr>
        <w:pStyle w:val="BodyText"/>
        <w:spacing w:before="4"/>
        <w:rPr>
          <w:b/>
          <w:sz w:val="17"/>
        </w:rPr>
      </w:pPr>
    </w:p>
    <w:p w:rsidR="003F5784" w14:paraId="6D81DB66" w14:textId="77777777">
      <w:pPr>
        <w:rPr>
          <w:sz w:val="17"/>
        </w:rPr>
        <w:sectPr>
          <w:pgSz w:w="15840" w:h="12240" w:orient="landscape"/>
          <w:pgMar w:top="480" w:right="440" w:bottom="460" w:left="460" w:header="284" w:footer="275" w:gutter="0"/>
          <w:cols w:space="720"/>
        </w:sectPr>
      </w:pPr>
    </w:p>
    <w:p w:rsidR="003F5784" w14:paraId="29CABDE2" w14:textId="77777777">
      <w:pPr>
        <w:pStyle w:val="BodyText"/>
        <w:spacing w:before="95" w:line="232" w:lineRule="auto"/>
        <w:ind w:left="109" w:right="38"/>
      </w:pPr>
      <w:r>
        <w:t>Weighted</w:t>
      </w:r>
      <w:r>
        <w:rPr>
          <w:spacing w:val="-8"/>
        </w:rPr>
        <w:t xml:space="preserve"> </w:t>
      </w:r>
      <w:r>
        <w:t>estimates</w:t>
      </w:r>
      <w:r>
        <w:rPr>
          <w:spacing w:val="-8"/>
        </w:rPr>
        <w:t xml:space="preserve"> </w:t>
      </w:r>
      <w:r>
        <w:t>of</w:t>
      </w:r>
      <w:r>
        <w:rPr>
          <w:spacing w:val="-8"/>
        </w:rPr>
        <w:t xml:space="preserve"> </w:t>
      </w:r>
      <w:r>
        <w:t>population</w:t>
      </w:r>
      <w:r>
        <w:rPr>
          <w:spacing w:val="-8"/>
        </w:rPr>
        <w:t xml:space="preserve"> </w:t>
      </w:r>
      <w:r>
        <w:t>totals</w:t>
      </w:r>
      <w:r>
        <w:rPr>
          <w:spacing w:val="-8"/>
        </w:rPr>
        <w:t xml:space="preserve"> </w:t>
      </w:r>
      <w:r>
        <w:t>for</w:t>
      </w:r>
      <w:r>
        <w:rPr>
          <w:spacing w:val="-8"/>
        </w:rPr>
        <w:t xml:space="preserve"> </w:t>
      </w:r>
      <w:r>
        <w:t>student-level</w:t>
      </w:r>
      <w:r>
        <w:rPr>
          <w:spacing w:val="-8"/>
        </w:rPr>
        <w:t xml:space="preserve"> </w:t>
      </w:r>
      <w:r>
        <w:t>subgroups</w:t>
      </w:r>
      <w:r>
        <w:rPr>
          <w:spacing w:val="-8"/>
        </w:rPr>
        <w:t xml:space="preserve"> </w:t>
      </w:r>
      <w:r>
        <w:t>for</w:t>
      </w:r>
      <w:r>
        <w:rPr>
          <w:spacing w:val="-8"/>
        </w:rPr>
        <w:t xml:space="preserve"> </w:t>
      </w:r>
      <w:r>
        <w:t>a</w:t>
      </w:r>
      <w:r>
        <w:rPr>
          <w:spacing w:val="-8"/>
        </w:rPr>
        <w:t xml:space="preserve"> </w:t>
      </w:r>
      <w:r>
        <w:t>given</w:t>
      </w:r>
      <w:r>
        <w:rPr>
          <w:spacing w:val="-8"/>
        </w:rPr>
        <w:t xml:space="preserve"> </w:t>
      </w:r>
      <w:r>
        <w:t>grade</w:t>
      </w:r>
      <w:r>
        <w:rPr>
          <w:spacing w:val="-8"/>
        </w:rPr>
        <w:t xml:space="preserve"> </w:t>
      </w:r>
      <w:r>
        <w:t>will</w:t>
      </w:r>
      <w:r>
        <w:rPr>
          <w:spacing w:val="-8"/>
        </w:rPr>
        <w:t xml:space="preserve"> </w:t>
      </w:r>
      <w:r>
        <w:t>vary</w:t>
      </w:r>
      <w:r>
        <w:rPr>
          <w:spacing w:val="-8"/>
        </w:rPr>
        <w:t xml:space="preserve"> </w:t>
      </w:r>
      <w:r>
        <w:t>across</w:t>
      </w:r>
      <w:r>
        <w:rPr>
          <w:spacing w:val="-8"/>
        </w:rPr>
        <w:t xml:space="preserve"> </w:t>
      </w:r>
      <w:r>
        <w:t>subjects</w:t>
      </w:r>
      <w:r>
        <w:rPr>
          <w:spacing w:val="-8"/>
        </w:rPr>
        <w:t xml:space="preserve"> </w:t>
      </w:r>
      <w:r>
        <w:t>even</w:t>
      </w:r>
      <w:r>
        <w:rPr>
          <w:spacing w:val="-8"/>
        </w:rPr>
        <w:t xml:space="preserve"> </w:t>
      </w:r>
      <w:r>
        <w:t>though the student samples for each subject generally come from the same schools.</w:t>
      </w:r>
      <w:r>
        <w:rPr>
          <w:spacing w:val="-1"/>
        </w:rPr>
        <w:t xml:space="preserve"> </w:t>
      </w:r>
      <w:r>
        <w:t>These differences are the result of sampling error associated with the random assignment of subjects to students through a process known as spiraling. For state assessments in particular, any difference in demographic estimates between subjects, no matter how small, may raise concerns about data quality.</w:t>
      </w:r>
      <w:r>
        <w:rPr>
          <w:spacing w:val="-3"/>
        </w:rPr>
        <w:t xml:space="preserve"> </w:t>
      </w:r>
      <w:r>
        <w:t>To remove these random differences and potential data quality concerns, a step was added to the NAEP</w:t>
      </w:r>
      <w:r>
        <w:rPr>
          <w:spacing w:val="-5"/>
        </w:rPr>
        <w:t xml:space="preserve"> </w:t>
      </w:r>
      <w:r>
        <w:t>weighting procedure in 2009.</w:t>
      </w:r>
      <w:r>
        <w:rPr>
          <w:spacing w:val="-1"/>
        </w:rPr>
        <w:t xml:space="preserve"> </w:t>
      </w:r>
      <w:r>
        <w:t>This step adjusts the student weights in such a way that the weighted sums of</w:t>
      </w:r>
    </w:p>
    <w:p w:rsidR="003F5784" w14:paraId="61E35B3F" w14:textId="77777777">
      <w:pPr>
        <w:pStyle w:val="BodyText"/>
        <w:spacing w:before="90" w:line="439" w:lineRule="auto"/>
        <w:ind w:left="109" w:right="531"/>
      </w:pPr>
      <w:r>
        <w:br w:type="column"/>
      </w:r>
      <w:r>
        <w:rPr>
          <w:u w:val="single"/>
        </w:rPr>
        <w:t>Development</w:t>
      </w:r>
      <w:r>
        <w:rPr>
          <w:spacing w:val="-14"/>
          <w:u w:val="single"/>
        </w:rPr>
        <w:t xml:space="preserve"> </w:t>
      </w:r>
      <w:r>
        <w:rPr>
          <w:u w:val="single"/>
        </w:rPr>
        <w:t>of</w:t>
      </w:r>
      <w:r>
        <w:rPr>
          <w:spacing w:val="-13"/>
          <w:u w:val="single"/>
        </w:rPr>
        <w:t xml:space="preserve"> </w:t>
      </w:r>
      <w:r>
        <w:rPr>
          <w:u w:val="single"/>
        </w:rPr>
        <w:t>Final</w:t>
      </w:r>
      <w:r>
        <w:rPr>
          <w:spacing w:val="-13"/>
          <w:u w:val="single"/>
        </w:rPr>
        <w:t xml:space="preserve"> </w:t>
      </w:r>
      <w:r>
        <w:rPr>
          <w:u w:val="single"/>
        </w:rPr>
        <w:t>Raking</w:t>
      </w:r>
      <w:r>
        <w:rPr>
          <w:spacing w:val="-37"/>
        </w:rPr>
        <w:t xml:space="preserve"> </w:t>
      </w:r>
      <w:r>
        <w:rPr>
          <w:spacing w:val="-16"/>
          <w:u w:val="single"/>
        </w:rPr>
        <w:t xml:space="preserve"> </w:t>
      </w:r>
      <w:r>
        <w:rPr>
          <w:u w:val="single"/>
        </w:rPr>
        <w:t>Dimensions</w:t>
      </w:r>
      <w:r>
        <w:t xml:space="preserve"> </w:t>
      </w:r>
      <w:r>
        <w:rPr>
          <w:u w:val="single"/>
        </w:rPr>
        <w:t>Raking</w:t>
      </w:r>
      <w:r>
        <w:t xml:space="preserve"> </w:t>
      </w:r>
      <w:r>
        <w:rPr>
          <w:u w:val="single"/>
        </w:rPr>
        <w:t>Adjustment Control Totals</w:t>
      </w:r>
    </w:p>
    <w:p w:rsidR="003F5784" w14:paraId="6A30590D" w14:textId="77777777">
      <w:pPr>
        <w:pStyle w:val="BodyText"/>
        <w:spacing w:before="2"/>
        <w:ind w:left="109"/>
      </w:pPr>
      <w:r>
        <w:rPr>
          <w:u w:val="single"/>
        </w:rPr>
        <w:t>Raking</w:t>
      </w:r>
      <w:r>
        <w:rPr>
          <w:spacing w:val="-14"/>
        </w:rPr>
        <w:t xml:space="preserve"> </w:t>
      </w:r>
      <w:r>
        <w:rPr>
          <w:u w:val="single"/>
        </w:rPr>
        <w:t>Adjustment</w:t>
      </w:r>
      <w:r>
        <w:rPr>
          <w:spacing w:val="-13"/>
          <w:u w:val="single"/>
        </w:rPr>
        <w:t xml:space="preserve"> </w:t>
      </w:r>
      <w:r>
        <w:rPr>
          <w:u w:val="single"/>
        </w:rPr>
        <w:t>Factor</w:t>
      </w:r>
      <w:r>
        <w:rPr>
          <w:spacing w:val="-9"/>
          <w:u w:val="single"/>
        </w:rPr>
        <w:t xml:space="preserve"> </w:t>
      </w:r>
      <w:r>
        <w:rPr>
          <w:spacing w:val="-2"/>
          <w:u w:val="single"/>
        </w:rPr>
        <w:t>Calculation</w:t>
      </w:r>
    </w:p>
    <w:p w:rsidR="003F5784" w14:paraId="5BD52768" w14:textId="77777777">
      <w:pPr>
        <w:sectPr>
          <w:type w:val="continuous"/>
          <w:pgSz w:w="15840" w:h="12240" w:orient="landscape"/>
          <w:pgMar w:top="480" w:right="440" w:bottom="460" w:left="460" w:header="284" w:footer="275" w:gutter="0"/>
          <w:cols w:num="2" w:space="720" w:equalWidth="0">
            <w:col w:w="10424" w:space="339"/>
            <w:col w:w="4177"/>
          </w:cols>
        </w:sectPr>
      </w:pPr>
    </w:p>
    <w:p w:rsidR="003F5784" w14:paraId="1B5598E6" w14:textId="77777777">
      <w:pPr>
        <w:pStyle w:val="BodyText"/>
        <w:spacing w:line="238" w:lineRule="exact"/>
        <w:ind w:left="109"/>
      </w:pPr>
      <w:r>
        <w:t>population</w:t>
      </w:r>
      <w:r>
        <w:rPr>
          <w:spacing w:val="-6"/>
        </w:rPr>
        <w:t xml:space="preserve"> </w:t>
      </w:r>
      <w:r>
        <w:t>totals</w:t>
      </w:r>
      <w:r>
        <w:rPr>
          <w:spacing w:val="-6"/>
        </w:rPr>
        <w:t xml:space="preserve"> </w:t>
      </w:r>
      <w:r>
        <w:t>for</w:t>
      </w:r>
      <w:r>
        <w:rPr>
          <w:spacing w:val="-6"/>
        </w:rPr>
        <w:t xml:space="preserve"> </w:t>
      </w:r>
      <w:r>
        <w:t>specific</w:t>
      </w:r>
      <w:r>
        <w:rPr>
          <w:spacing w:val="-5"/>
        </w:rPr>
        <w:t xml:space="preserve"> </w:t>
      </w:r>
      <w:r>
        <w:t>student</w:t>
      </w:r>
      <w:r>
        <w:rPr>
          <w:spacing w:val="-6"/>
        </w:rPr>
        <w:t xml:space="preserve"> </w:t>
      </w:r>
      <w:r>
        <w:t>groups</w:t>
      </w:r>
      <w:r>
        <w:rPr>
          <w:spacing w:val="-6"/>
        </w:rPr>
        <w:t xml:space="preserve"> </w:t>
      </w:r>
      <w:r>
        <w:t>are</w:t>
      </w:r>
      <w:r>
        <w:rPr>
          <w:spacing w:val="-6"/>
        </w:rPr>
        <w:t xml:space="preserve"> </w:t>
      </w:r>
      <w:r>
        <w:t>the</w:t>
      </w:r>
      <w:r>
        <w:rPr>
          <w:spacing w:val="-5"/>
        </w:rPr>
        <w:t xml:space="preserve"> </w:t>
      </w:r>
      <w:r>
        <w:t>same</w:t>
      </w:r>
      <w:r>
        <w:rPr>
          <w:spacing w:val="-6"/>
        </w:rPr>
        <w:t xml:space="preserve"> </w:t>
      </w:r>
      <w:r>
        <w:t>across</w:t>
      </w:r>
      <w:r>
        <w:rPr>
          <w:spacing w:val="-6"/>
        </w:rPr>
        <w:t xml:space="preserve"> </w:t>
      </w:r>
      <w:r>
        <w:t>all</w:t>
      </w:r>
      <w:r>
        <w:rPr>
          <w:spacing w:val="-6"/>
        </w:rPr>
        <w:t xml:space="preserve"> </w:t>
      </w:r>
      <w:r>
        <w:t>subjects.</w:t>
      </w:r>
      <w:r>
        <w:rPr>
          <w:spacing w:val="-5"/>
        </w:rPr>
        <w:t xml:space="preserve"> </w:t>
      </w:r>
      <w:r>
        <w:t>It</w:t>
      </w:r>
      <w:r>
        <w:rPr>
          <w:spacing w:val="-6"/>
        </w:rPr>
        <w:t xml:space="preserve"> </w:t>
      </w:r>
      <w:r>
        <w:t>was</w:t>
      </w:r>
      <w:r>
        <w:rPr>
          <w:spacing w:val="-6"/>
        </w:rPr>
        <w:t xml:space="preserve"> </w:t>
      </w:r>
      <w:r>
        <w:t>implemented</w:t>
      </w:r>
      <w:r>
        <w:rPr>
          <w:spacing w:val="-6"/>
        </w:rPr>
        <w:t xml:space="preserve"> </w:t>
      </w:r>
      <w:r>
        <w:t>using</w:t>
      </w:r>
      <w:r>
        <w:rPr>
          <w:spacing w:val="-5"/>
        </w:rPr>
        <w:t xml:space="preserve"> </w:t>
      </w:r>
      <w:r>
        <w:t>a</w:t>
      </w:r>
      <w:r>
        <w:rPr>
          <w:spacing w:val="-6"/>
        </w:rPr>
        <w:t xml:space="preserve"> </w:t>
      </w:r>
      <w:r>
        <w:t>raking</w:t>
      </w:r>
      <w:r>
        <w:rPr>
          <w:spacing w:val="-6"/>
        </w:rPr>
        <w:t xml:space="preserve"> </w:t>
      </w:r>
      <w:r>
        <w:t>procedure</w:t>
      </w:r>
      <w:r>
        <w:rPr>
          <w:spacing w:val="-6"/>
        </w:rPr>
        <w:t xml:space="preserve"> </w:t>
      </w:r>
      <w:r>
        <w:t>and</w:t>
      </w:r>
      <w:r>
        <w:rPr>
          <w:spacing w:val="-5"/>
        </w:rPr>
        <w:t xml:space="preserve"> </w:t>
      </w:r>
      <w:r>
        <w:t>applied</w:t>
      </w:r>
      <w:r>
        <w:rPr>
          <w:spacing w:val="-6"/>
        </w:rPr>
        <w:t xml:space="preserve"> </w:t>
      </w:r>
      <w:r>
        <w:t>only</w:t>
      </w:r>
      <w:r>
        <w:rPr>
          <w:spacing w:val="-6"/>
        </w:rPr>
        <w:t xml:space="preserve"> </w:t>
      </w:r>
      <w:r>
        <w:t>to</w:t>
      </w:r>
      <w:r>
        <w:rPr>
          <w:spacing w:val="-5"/>
        </w:rPr>
        <w:t xml:space="preserve"> </w:t>
      </w:r>
      <w:r>
        <w:t>public</w:t>
      </w:r>
      <w:r>
        <w:rPr>
          <w:spacing w:val="-6"/>
        </w:rPr>
        <w:t xml:space="preserve"> </w:t>
      </w:r>
      <w:r>
        <w:t>school</w:t>
      </w:r>
      <w:r>
        <w:rPr>
          <w:spacing w:val="-6"/>
        </w:rPr>
        <w:t xml:space="preserve"> </w:t>
      </w:r>
      <w:r>
        <w:rPr>
          <w:spacing w:val="-2"/>
        </w:rPr>
        <w:t>assessments.</w:t>
      </w:r>
    </w:p>
    <w:p w:rsidR="003F5784" w14:paraId="3DD77A69" w14:textId="77777777">
      <w:pPr>
        <w:pStyle w:val="BodyText"/>
        <w:spacing w:before="207" w:line="232" w:lineRule="auto"/>
        <w:ind w:left="109" w:right="207"/>
      </w:pPr>
      <w:r>
        <w:t>Raking is a weighting procedure based on the iterative proportional fitting process developed by Deming and Stephan (1940) and involves simultaneous ratio adjustments to two</w:t>
      </w:r>
      <w:r>
        <w:rPr>
          <w:spacing w:val="-6"/>
        </w:rPr>
        <w:t xml:space="preserve"> </w:t>
      </w:r>
      <w:r>
        <w:t>or</w:t>
      </w:r>
      <w:r>
        <w:rPr>
          <w:spacing w:val="-6"/>
        </w:rPr>
        <w:t xml:space="preserve"> </w:t>
      </w:r>
      <w:r>
        <w:t>more</w:t>
      </w:r>
      <w:r>
        <w:rPr>
          <w:spacing w:val="-6"/>
        </w:rPr>
        <w:t xml:space="preserve"> </w:t>
      </w:r>
      <w:r>
        <w:t>marginal</w:t>
      </w:r>
      <w:r>
        <w:rPr>
          <w:spacing w:val="-6"/>
        </w:rPr>
        <w:t xml:space="preserve"> </w:t>
      </w:r>
      <w:r>
        <w:t>distributions</w:t>
      </w:r>
      <w:r>
        <w:rPr>
          <w:spacing w:val="-6"/>
        </w:rPr>
        <w:t xml:space="preserve"> </w:t>
      </w:r>
      <w:r>
        <w:t>of</w:t>
      </w:r>
      <w:r>
        <w:rPr>
          <w:spacing w:val="-6"/>
        </w:rPr>
        <w:t xml:space="preserve"> </w:t>
      </w:r>
      <w:r>
        <w:t>population</w:t>
      </w:r>
      <w:r>
        <w:rPr>
          <w:spacing w:val="-6"/>
        </w:rPr>
        <w:t xml:space="preserve"> </w:t>
      </w:r>
      <w:r>
        <w:t>totals.</w:t>
      </w:r>
      <w:r>
        <w:rPr>
          <w:spacing w:val="-6"/>
        </w:rPr>
        <w:t xml:space="preserve"> </w:t>
      </w:r>
      <w:r>
        <w:t>Each</w:t>
      </w:r>
      <w:r>
        <w:rPr>
          <w:spacing w:val="-6"/>
        </w:rPr>
        <w:t xml:space="preserve"> </w:t>
      </w:r>
      <w:r>
        <w:t>set</w:t>
      </w:r>
      <w:r>
        <w:rPr>
          <w:spacing w:val="-6"/>
        </w:rPr>
        <w:t xml:space="preserve"> </w:t>
      </w:r>
      <w:r>
        <w:t>of</w:t>
      </w:r>
      <w:r>
        <w:rPr>
          <w:spacing w:val="-6"/>
        </w:rPr>
        <w:t xml:space="preserve"> </w:t>
      </w:r>
      <w:r>
        <w:t>marginal</w:t>
      </w:r>
      <w:r>
        <w:rPr>
          <w:spacing w:val="-6"/>
        </w:rPr>
        <w:t xml:space="preserve"> </w:t>
      </w:r>
      <w:r>
        <w:t>population</w:t>
      </w:r>
      <w:r>
        <w:rPr>
          <w:spacing w:val="-6"/>
        </w:rPr>
        <w:t xml:space="preserve"> </w:t>
      </w:r>
      <w:r>
        <w:t>totals</w:t>
      </w:r>
      <w:r>
        <w:rPr>
          <w:spacing w:val="-6"/>
        </w:rPr>
        <w:t xml:space="preserve"> </w:t>
      </w:r>
      <w:r>
        <w:t>is</w:t>
      </w:r>
      <w:r>
        <w:rPr>
          <w:spacing w:val="-6"/>
        </w:rPr>
        <w:t xml:space="preserve"> </w:t>
      </w:r>
      <w:r>
        <w:t>known</w:t>
      </w:r>
      <w:r>
        <w:rPr>
          <w:spacing w:val="-6"/>
        </w:rPr>
        <w:t xml:space="preserve"> </w:t>
      </w:r>
      <w:r>
        <w:t>as</w:t>
      </w:r>
      <w:r>
        <w:rPr>
          <w:spacing w:val="-6"/>
        </w:rPr>
        <w:t xml:space="preserve"> </w:t>
      </w:r>
      <w:r>
        <w:t>a</w:t>
      </w:r>
      <w:r>
        <w:rPr>
          <w:spacing w:val="-6"/>
        </w:rPr>
        <w:t xml:space="preserve"> </w:t>
      </w:r>
      <w:r>
        <w:t>dimension,</w:t>
      </w:r>
      <w:r>
        <w:rPr>
          <w:spacing w:val="-6"/>
        </w:rPr>
        <w:t xml:space="preserve"> </w:t>
      </w:r>
      <w:r>
        <w:t>and</w:t>
      </w:r>
      <w:r>
        <w:rPr>
          <w:spacing w:val="-6"/>
        </w:rPr>
        <w:t xml:space="preserve"> </w:t>
      </w:r>
      <w:r>
        <w:t>each</w:t>
      </w:r>
      <w:r>
        <w:rPr>
          <w:spacing w:val="-6"/>
        </w:rPr>
        <w:t xml:space="preserve"> </w:t>
      </w:r>
      <w:r>
        <w:t>population</w:t>
      </w:r>
      <w:r>
        <w:rPr>
          <w:spacing w:val="-6"/>
        </w:rPr>
        <w:t xml:space="preserve"> </w:t>
      </w:r>
      <w:r>
        <w:t>total</w:t>
      </w:r>
      <w:r>
        <w:rPr>
          <w:spacing w:val="-6"/>
        </w:rPr>
        <w:t xml:space="preserve"> </w:t>
      </w:r>
      <w:r>
        <w:t>in</w:t>
      </w:r>
      <w:r>
        <w:rPr>
          <w:spacing w:val="-6"/>
        </w:rPr>
        <w:t xml:space="preserve"> </w:t>
      </w:r>
      <w:r>
        <w:t>a</w:t>
      </w:r>
      <w:r>
        <w:rPr>
          <w:spacing w:val="-6"/>
        </w:rPr>
        <w:t xml:space="preserve"> </w:t>
      </w:r>
      <w:r>
        <w:t>dimension</w:t>
      </w:r>
      <w:r>
        <w:rPr>
          <w:spacing w:val="-6"/>
        </w:rPr>
        <w:t xml:space="preserve"> </w:t>
      </w:r>
      <w:r>
        <w:t>is</w:t>
      </w:r>
      <w:r>
        <w:rPr>
          <w:spacing w:val="-6"/>
        </w:rPr>
        <w:t xml:space="preserve"> </w:t>
      </w:r>
      <w:r>
        <w:t>referred</w:t>
      </w:r>
      <w:r>
        <w:rPr>
          <w:spacing w:val="-6"/>
        </w:rPr>
        <w:t xml:space="preserve"> </w:t>
      </w:r>
      <w:r>
        <w:t>to as</w:t>
      </w:r>
      <w:r>
        <w:rPr>
          <w:spacing w:val="-3"/>
        </w:rPr>
        <w:t xml:space="preserve"> </w:t>
      </w:r>
      <w:r>
        <w:t>a</w:t>
      </w:r>
      <w:r>
        <w:rPr>
          <w:spacing w:val="-3"/>
        </w:rPr>
        <w:t xml:space="preserve"> </w:t>
      </w:r>
      <w:r>
        <w:t>control</w:t>
      </w:r>
      <w:r>
        <w:rPr>
          <w:spacing w:val="-3"/>
        </w:rPr>
        <w:t xml:space="preserve"> </w:t>
      </w:r>
      <w:r>
        <w:t>total.</w:t>
      </w:r>
      <w:r>
        <w:rPr>
          <w:spacing w:val="-3"/>
        </w:rPr>
        <w:t xml:space="preserve"> </w:t>
      </w:r>
      <w:r>
        <w:t>Raking</w:t>
      </w:r>
      <w:r>
        <w:rPr>
          <w:spacing w:val="-3"/>
        </w:rPr>
        <w:t xml:space="preserve"> </w:t>
      </w:r>
      <w:r>
        <w:t>is</w:t>
      </w:r>
      <w:r>
        <w:rPr>
          <w:spacing w:val="-3"/>
        </w:rPr>
        <w:t xml:space="preserve"> </w:t>
      </w:r>
      <w:r>
        <w:t>carried</w:t>
      </w:r>
      <w:r>
        <w:rPr>
          <w:spacing w:val="-3"/>
        </w:rPr>
        <w:t xml:space="preserve"> </w:t>
      </w:r>
      <w:r>
        <w:t>out</w:t>
      </w:r>
      <w:r>
        <w:rPr>
          <w:spacing w:val="-3"/>
        </w:rPr>
        <w:t xml:space="preserve"> </w:t>
      </w:r>
      <w:r>
        <w:t>in</w:t>
      </w:r>
      <w:r>
        <w:rPr>
          <w:spacing w:val="-3"/>
        </w:rPr>
        <w:t xml:space="preserve"> </w:t>
      </w:r>
      <w:r>
        <w:t>a</w:t>
      </w:r>
      <w:r>
        <w:rPr>
          <w:spacing w:val="-3"/>
        </w:rPr>
        <w:t xml:space="preserve"> </w:t>
      </w:r>
      <w:r>
        <w:t>sequence</w:t>
      </w:r>
      <w:r>
        <w:rPr>
          <w:spacing w:val="-3"/>
        </w:rPr>
        <w:t xml:space="preserve"> </w:t>
      </w:r>
      <w:r>
        <w:t>of</w:t>
      </w:r>
      <w:r>
        <w:rPr>
          <w:spacing w:val="-3"/>
        </w:rPr>
        <w:t xml:space="preserve"> </w:t>
      </w:r>
      <w:r>
        <w:t>adjustments.</w:t>
      </w:r>
      <w:r>
        <w:rPr>
          <w:spacing w:val="-3"/>
        </w:rPr>
        <w:t xml:space="preserve"> </w:t>
      </w:r>
      <w:r>
        <w:t>Sampling</w:t>
      </w:r>
      <w:r>
        <w:rPr>
          <w:spacing w:val="-3"/>
        </w:rPr>
        <w:t xml:space="preserve"> </w:t>
      </w:r>
      <w:r>
        <w:t>weights</w:t>
      </w:r>
      <w:r>
        <w:rPr>
          <w:spacing w:val="-3"/>
        </w:rPr>
        <w:t xml:space="preserve"> </w:t>
      </w:r>
      <w:r>
        <w:t>are</w:t>
      </w:r>
      <w:r>
        <w:rPr>
          <w:spacing w:val="-3"/>
        </w:rPr>
        <w:t xml:space="preserve"> </w:t>
      </w:r>
      <w:r>
        <w:t>adjusted</w:t>
      </w:r>
      <w:r>
        <w:rPr>
          <w:spacing w:val="-3"/>
        </w:rPr>
        <w:t xml:space="preserve"> </w:t>
      </w:r>
      <w:r>
        <w:t>to</w:t>
      </w:r>
      <w:r>
        <w:rPr>
          <w:spacing w:val="-3"/>
        </w:rPr>
        <w:t xml:space="preserve"> </w:t>
      </w:r>
      <w:r>
        <w:t>one</w:t>
      </w:r>
      <w:r>
        <w:rPr>
          <w:spacing w:val="-3"/>
        </w:rPr>
        <w:t xml:space="preserve"> </w:t>
      </w:r>
      <w:r>
        <w:t>marginal</w:t>
      </w:r>
      <w:r>
        <w:rPr>
          <w:spacing w:val="-3"/>
        </w:rPr>
        <w:t xml:space="preserve"> </w:t>
      </w:r>
      <w:r>
        <w:t>distribution</w:t>
      </w:r>
      <w:r>
        <w:rPr>
          <w:spacing w:val="-3"/>
        </w:rPr>
        <w:t xml:space="preserve"> </w:t>
      </w:r>
      <w:r>
        <w:t>and</w:t>
      </w:r>
      <w:r>
        <w:rPr>
          <w:spacing w:val="-3"/>
        </w:rPr>
        <w:t xml:space="preserve"> </w:t>
      </w:r>
      <w:r>
        <w:t>then</w:t>
      </w:r>
      <w:r>
        <w:rPr>
          <w:spacing w:val="-3"/>
        </w:rPr>
        <w:t xml:space="preserve"> </w:t>
      </w:r>
      <w:r>
        <w:t>to</w:t>
      </w:r>
      <w:r>
        <w:rPr>
          <w:spacing w:val="-3"/>
        </w:rPr>
        <w:t xml:space="preserve"> </w:t>
      </w:r>
      <w:r>
        <w:t>the</w:t>
      </w:r>
      <w:r>
        <w:rPr>
          <w:spacing w:val="-3"/>
        </w:rPr>
        <w:t xml:space="preserve"> </w:t>
      </w:r>
      <w:r>
        <w:t>second</w:t>
      </w:r>
      <w:r>
        <w:rPr>
          <w:spacing w:val="-3"/>
        </w:rPr>
        <w:t xml:space="preserve"> </w:t>
      </w:r>
      <w:r>
        <w:t>marginal</w:t>
      </w:r>
      <w:r>
        <w:rPr>
          <w:spacing w:val="-3"/>
        </w:rPr>
        <w:t xml:space="preserve"> </w:t>
      </w:r>
      <w:r>
        <w:t>distribution, and so on. One cycle of sequential adjustments to the marginal distributions is called an iteration.</w:t>
      </w:r>
      <w:r>
        <w:rPr>
          <w:spacing w:val="-3"/>
        </w:rPr>
        <w:t xml:space="preserve"> </w:t>
      </w:r>
      <w:r>
        <w:t>The procedure is repeated until convergence is achieved.</w:t>
      </w:r>
      <w:r>
        <w:rPr>
          <w:spacing w:val="-3"/>
        </w:rPr>
        <w:t xml:space="preserve"> </w:t>
      </w:r>
      <w:r>
        <w:t>The criterion for convergence</w:t>
      </w:r>
      <w:r>
        <w:rPr>
          <w:spacing w:val="-5"/>
        </w:rPr>
        <w:t xml:space="preserve"> </w:t>
      </w:r>
      <w:r>
        <w:t>can</w:t>
      </w:r>
      <w:r>
        <w:rPr>
          <w:spacing w:val="-5"/>
        </w:rPr>
        <w:t xml:space="preserve"> </w:t>
      </w:r>
      <w:r>
        <w:t>be</w:t>
      </w:r>
      <w:r>
        <w:rPr>
          <w:spacing w:val="-5"/>
        </w:rPr>
        <w:t xml:space="preserve"> </w:t>
      </w:r>
      <w:r>
        <w:t>specified</w:t>
      </w:r>
      <w:r>
        <w:rPr>
          <w:spacing w:val="-5"/>
        </w:rPr>
        <w:t xml:space="preserve"> </w:t>
      </w:r>
      <w:r>
        <w:t>either</w:t>
      </w:r>
      <w:r>
        <w:rPr>
          <w:spacing w:val="-5"/>
        </w:rPr>
        <w:t xml:space="preserve"> </w:t>
      </w:r>
      <w:r>
        <w:t>as</w:t>
      </w:r>
      <w:r>
        <w:rPr>
          <w:spacing w:val="-5"/>
        </w:rPr>
        <w:t xml:space="preserve"> </w:t>
      </w:r>
      <w:r>
        <w:t>the</w:t>
      </w:r>
      <w:r>
        <w:rPr>
          <w:spacing w:val="-5"/>
        </w:rPr>
        <w:t xml:space="preserve"> </w:t>
      </w:r>
      <w:r>
        <w:t>maximum</w:t>
      </w:r>
      <w:r>
        <w:rPr>
          <w:spacing w:val="-5"/>
        </w:rPr>
        <w:t xml:space="preserve"> </w:t>
      </w:r>
      <w:r>
        <w:t>number</w:t>
      </w:r>
      <w:r>
        <w:rPr>
          <w:spacing w:val="-5"/>
        </w:rPr>
        <w:t xml:space="preserve"> </w:t>
      </w:r>
      <w:r>
        <w:t>of</w:t>
      </w:r>
      <w:r>
        <w:rPr>
          <w:spacing w:val="-5"/>
        </w:rPr>
        <w:t xml:space="preserve"> </w:t>
      </w:r>
      <w:r>
        <w:t>iterations</w:t>
      </w:r>
      <w:r>
        <w:rPr>
          <w:spacing w:val="-5"/>
        </w:rPr>
        <w:t xml:space="preserve"> </w:t>
      </w:r>
      <w:r>
        <w:t>or</w:t>
      </w:r>
      <w:r>
        <w:rPr>
          <w:spacing w:val="-5"/>
        </w:rPr>
        <w:t xml:space="preserve"> </w:t>
      </w:r>
      <w:r>
        <w:t>an</w:t>
      </w:r>
      <w:r>
        <w:rPr>
          <w:spacing w:val="-5"/>
        </w:rPr>
        <w:t xml:space="preserve"> </w:t>
      </w:r>
      <w:r>
        <w:t>absolute</w:t>
      </w:r>
      <w:r>
        <w:rPr>
          <w:spacing w:val="-5"/>
        </w:rPr>
        <w:t xml:space="preserve"> </w:t>
      </w:r>
      <w:r>
        <w:t>difference</w:t>
      </w:r>
      <w:r>
        <w:rPr>
          <w:spacing w:val="-5"/>
        </w:rPr>
        <w:t xml:space="preserve"> </w:t>
      </w:r>
      <w:r>
        <w:t>(or</w:t>
      </w:r>
      <w:r>
        <w:rPr>
          <w:spacing w:val="-5"/>
        </w:rPr>
        <w:t xml:space="preserve"> </w:t>
      </w:r>
      <w:r>
        <w:t>relative</w:t>
      </w:r>
      <w:r>
        <w:rPr>
          <w:spacing w:val="-5"/>
        </w:rPr>
        <w:t xml:space="preserve"> </w:t>
      </w:r>
      <w:r>
        <w:t>absolute</w:t>
      </w:r>
      <w:r>
        <w:rPr>
          <w:spacing w:val="-5"/>
        </w:rPr>
        <w:t xml:space="preserve"> </w:t>
      </w:r>
      <w:r>
        <w:t>difference)</w:t>
      </w:r>
      <w:r>
        <w:rPr>
          <w:spacing w:val="-5"/>
        </w:rPr>
        <w:t xml:space="preserve"> </w:t>
      </w:r>
      <w:r>
        <w:t>from</w:t>
      </w:r>
      <w:r>
        <w:rPr>
          <w:spacing w:val="-5"/>
        </w:rPr>
        <w:t xml:space="preserve"> </w:t>
      </w:r>
      <w:r>
        <w:t>the</w:t>
      </w:r>
      <w:r>
        <w:rPr>
          <w:spacing w:val="-5"/>
        </w:rPr>
        <w:t xml:space="preserve"> </w:t>
      </w:r>
      <w:r>
        <w:t>marginal</w:t>
      </w:r>
      <w:r>
        <w:rPr>
          <w:spacing w:val="-5"/>
        </w:rPr>
        <w:t xml:space="preserve"> </w:t>
      </w:r>
      <w:r>
        <w:t>population</w:t>
      </w:r>
      <w:r>
        <w:rPr>
          <w:spacing w:val="-5"/>
        </w:rPr>
        <w:t xml:space="preserve"> </w:t>
      </w:r>
      <w:r>
        <w:t>totals.</w:t>
      </w:r>
      <w:r>
        <w:rPr>
          <w:spacing w:val="-5"/>
        </w:rPr>
        <w:t xml:space="preserve"> </w:t>
      </w:r>
      <w:r>
        <w:t>More discussion on raking can be found in Oh and Scheuren (1987).</w:t>
      </w:r>
    </w:p>
    <w:p w:rsidR="003F5784" w14:paraId="0E7FD33B" w14:textId="66EEE903">
      <w:pPr>
        <w:pStyle w:val="BodyText"/>
        <w:spacing w:before="211" w:line="232" w:lineRule="auto"/>
        <w:ind w:left="109" w:right="117"/>
      </w:pPr>
      <w:r>
        <w:t>For</w:t>
      </w:r>
      <w:r>
        <w:rPr>
          <w:spacing w:val="-5"/>
        </w:rPr>
        <w:t xml:space="preserve"> </w:t>
      </w:r>
      <w:r>
        <w:t>NAEP</w:t>
      </w:r>
      <w:r>
        <w:rPr>
          <w:spacing w:val="-12"/>
        </w:rPr>
        <w:t xml:space="preserve"> </w:t>
      </w:r>
      <w:r>
        <w:t>2022,</w:t>
      </w:r>
      <w:r>
        <w:rPr>
          <w:spacing w:val="-5"/>
        </w:rPr>
        <w:t xml:space="preserve"> </w:t>
      </w:r>
      <w:r>
        <w:t>the</w:t>
      </w:r>
      <w:r>
        <w:rPr>
          <w:spacing w:val="-5"/>
        </w:rPr>
        <w:t xml:space="preserve"> </w:t>
      </w:r>
      <w:r>
        <w:t>student</w:t>
      </w:r>
      <w:r>
        <w:rPr>
          <w:spacing w:val="-5"/>
        </w:rPr>
        <w:t xml:space="preserve"> </w:t>
      </w:r>
      <w:r>
        <w:t>raking</w:t>
      </w:r>
      <w:r>
        <w:rPr>
          <w:spacing w:val="-5"/>
        </w:rPr>
        <w:t xml:space="preserve"> </w:t>
      </w:r>
      <w:r>
        <w:t>adjustment</w:t>
      </w:r>
      <w:r>
        <w:rPr>
          <w:spacing w:val="-5"/>
        </w:rPr>
        <w:t xml:space="preserve"> </w:t>
      </w:r>
      <w:r>
        <w:t>was</w:t>
      </w:r>
      <w:r>
        <w:rPr>
          <w:spacing w:val="-5"/>
        </w:rPr>
        <w:t xml:space="preserve"> </w:t>
      </w:r>
      <w:r>
        <w:t>carried</w:t>
      </w:r>
      <w:r>
        <w:rPr>
          <w:spacing w:val="-5"/>
        </w:rPr>
        <w:t xml:space="preserve"> </w:t>
      </w:r>
      <w:r>
        <w:t>out</w:t>
      </w:r>
      <w:r>
        <w:rPr>
          <w:spacing w:val="-5"/>
        </w:rPr>
        <w:t xml:space="preserve"> </w:t>
      </w:r>
      <w:r>
        <w:t>for</w:t>
      </w:r>
      <w:r>
        <w:rPr>
          <w:spacing w:val="-5"/>
        </w:rPr>
        <w:t xml:space="preserve"> </w:t>
      </w:r>
      <w:r>
        <w:t>each</w:t>
      </w:r>
      <w:r>
        <w:rPr>
          <w:spacing w:val="-5"/>
        </w:rPr>
        <w:t xml:space="preserve"> </w:t>
      </w:r>
      <w:r>
        <w:t>public</w:t>
      </w:r>
      <w:r>
        <w:rPr>
          <w:spacing w:val="-5"/>
        </w:rPr>
        <w:t xml:space="preserve"> </w:t>
      </w:r>
      <w:r>
        <w:t>student</w:t>
      </w:r>
      <w:r>
        <w:rPr>
          <w:spacing w:val="-5"/>
        </w:rPr>
        <w:t xml:space="preserve"> </w:t>
      </w:r>
      <w:r>
        <w:t>sample.</w:t>
      </w:r>
      <w:r>
        <w:rPr>
          <w:spacing w:val="-5"/>
        </w:rPr>
        <w:t xml:space="preserve"> </w:t>
      </w:r>
      <w:r>
        <w:t>Similar</w:t>
      </w:r>
      <w:r>
        <w:rPr>
          <w:spacing w:val="-5"/>
        </w:rPr>
        <w:t xml:space="preserve"> </w:t>
      </w:r>
      <w:r>
        <w:t>to</w:t>
      </w:r>
      <w:r>
        <w:rPr>
          <w:spacing w:val="-5"/>
        </w:rPr>
        <w:t xml:space="preserve"> </w:t>
      </w:r>
      <w:r>
        <w:t>previous</w:t>
      </w:r>
      <w:r>
        <w:rPr>
          <w:spacing w:val="-5"/>
        </w:rPr>
        <w:t xml:space="preserve"> </w:t>
      </w:r>
      <w:r>
        <w:t>years,</w:t>
      </w:r>
      <w:r>
        <w:rPr>
          <w:spacing w:val="-5"/>
        </w:rPr>
        <w:t xml:space="preserve"> </w:t>
      </w:r>
      <w:r>
        <w:t>raking</w:t>
      </w:r>
      <w:r>
        <w:rPr>
          <w:spacing w:val="-5"/>
        </w:rPr>
        <w:t xml:space="preserve"> </w:t>
      </w:r>
      <w:r>
        <w:t>was</w:t>
      </w:r>
      <w:r>
        <w:rPr>
          <w:spacing w:val="-5"/>
        </w:rPr>
        <w:t xml:space="preserve"> </w:t>
      </w:r>
      <w:r>
        <w:t>not</w:t>
      </w:r>
      <w:r>
        <w:rPr>
          <w:spacing w:val="-5"/>
        </w:rPr>
        <w:t xml:space="preserve"> </w:t>
      </w:r>
      <w:r>
        <w:t>performed</w:t>
      </w:r>
      <w:r>
        <w:rPr>
          <w:spacing w:val="-5"/>
        </w:rPr>
        <w:t xml:space="preserve"> </w:t>
      </w:r>
      <w:r>
        <w:t>for</w:t>
      </w:r>
      <w:r>
        <w:rPr>
          <w:spacing w:val="-5"/>
        </w:rPr>
        <w:t xml:space="preserve"> </w:t>
      </w:r>
      <w:r>
        <w:t>any</w:t>
      </w:r>
      <w:r>
        <w:rPr>
          <w:spacing w:val="-5"/>
        </w:rPr>
        <w:t xml:space="preserve"> </w:t>
      </w:r>
      <w:r>
        <w:t>of</w:t>
      </w:r>
      <w:r>
        <w:rPr>
          <w:spacing w:val="-5"/>
        </w:rPr>
        <w:t xml:space="preserve"> </w:t>
      </w:r>
      <w:r>
        <w:t>the</w:t>
      </w:r>
      <w:r>
        <w:rPr>
          <w:spacing w:val="-5"/>
        </w:rPr>
        <w:t xml:space="preserve"> </w:t>
      </w:r>
      <w:r>
        <w:t>private</w:t>
      </w:r>
      <w:r>
        <w:rPr>
          <w:spacing w:val="-5"/>
        </w:rPr>
        <w:t xml:space="preserve"> </w:t>
      </w:r>
      <w:r>
        <w:t>school student</w:t>
      </w:r>
      <w:r>
        <w:rPr>
          <w:spacing w:val="-6"/>
        </w:rPr>
        <w:t xml:space="preserve"> </w:t>
      </w:r>
      <w:r>
        <w:t>samples</w:t>
      </w:r>
      <w:r>
        <w:rPr>
          <w:spacing w:val="-6"/>
        </w:rPr>
        <w:t xml:space="preserve"> </w:t>
      </w:r>
      <w:r>
        <w:t>or</w:t>
      </w:r>
      <w:r>
        <w:rPr>
          <w:spacing w:val="-6"/>
        </w:rPr>
        <w:t xml:space="preserve"> </w:t>
      </w:r>
      <w:r>
        <w:t>for</w:t>
      </w:r>
      <w:r>
        <w:rPr>
          <w:spacing w:val="-6"/>
        </w:rPr>
        <w:t xml:space="preserve"> </w:t>
      </w:r>
      <w:r>
        <w:t>student</w:t>
      </w:r>
      <w:r>
        <w:rPr>
          <w:spacing w:val="-6"/>
        </w:rPr>
        <w:t xml:space="preserve"> </w:t>
      </w:r>
      <w:r>
        <w:t>samples</w:t>
      </w:r>
      <w:r>
        <w:rPr>
          <w:spacing w:val="-6"/>
        </w:rPr>
        <w:t xml:space="preserve"> </w:t>
      </w:r>
      <w:r>
        <w:t>in</w:t>
      </w:r>
      <w:r>
        <w:rPr>
          <w:spacing w:val="-6"/>
        </w:rPr>
        <w:t xml:space="preserve"> </w:t>
      </w:r>
      <w:r>
        <w:t>the</w:t>
      </w:r>
      <w:r>
        <w:rPr>
          <w:spacing w:val="-6"/>
        </w:rPr>
        <w:t xml:space="preserve"> </w:t>
      </w:r>
      <w:r>
        <w:t>long-term</w:t>
      </w:r>
      <w:r>
        <w:rPr>
          <w:spacing w:val="-6"/>
        </w:rPr>
        <w:t xml:space="preserve"> </w:t>
      </w:r>
      <w:r>
        <w:t>trend</w:t>
      </w:r>
      <w:r>
        <w:rPr>
          <w:spacing w:val="-6"/>
        </w:rPr>
        <w:t xml:space="preserve"> </w:t>
      </w:r>
      <w:r>
        <w:t>(LTT)</w:t>
      </w:r>
      <w:r>
        <w:rPr>
          <w:spacing w:val="-6"/>
        </w:rPr>
        <w:t xml:space="preserve"> </w:t>
      </w:r>
      <w:r>
        <w:t>assessments</w:t>
      </w:r>
      <w:r>
        <w:rPr>
          <w:spacing w:val="-6"/>
        </w:rPr>
        <w:t xml:space="preserve"> </w:t>
      </w:r>
      <w:r>
        <w:t>at</w:t>
      </w:r>
      <w:r>
        <w:rPr>
          <w:spacing w:val="-6"/>
        </w:rPr>
        <w:t xml:space="preserve"> </w:t>
      </w:r>
      <w:r>
        <w:t>age</w:t>
      </w:r>
      <w:r>
        <w:rPr>
          <w:spacing w:val="-6"/>
        </w:rPr>
        <w:t xml:space="preserve"> </w:t>
      </w:r>
      <w:r>
        <w:t>9.</w:t>
      </w:r>
      <w:r>
        <w:rPr>
          <w:spacing w:val="-10"/>
        </w:rPr>
        <w:t xml:space="preserve"> </w:t>
      </w:r>
      <w:r>
        <w:t>The</w:t>
      </w:r>
      <w:r>
        <w:rPr>
          <w:spacing w:val="-6"/>
        </w:rPr>
        <w:t xml:space="preserve"> </w:t>
      </w:r>
      <w:r>
        <w:t>dimensions</w:t>
      </w:r>
      <w:r>
        <w:rPr>
          <w:spacing w:val="-6"/>
        </w:rPr>
        <w:t xml:space="preserve"> </w:t>
      </w:r>
      <w:r>
        <w:t>used</w:t>
      </w:r>
      <w:r>
        <w:rPr>
          <w:spacing w:val="-6"/>
        </w:rPr>
        <w:t xml:space="preserve"> </w:t>
      </w:r>
      <w:r>
        <w:t>in</w:t>
      </w:r>
      <w:r>
        <w:rPr>
          <w:spacing w:val="-6"/>
        </w:rPr>
        <w:t xml:space="preserve"> </w:t>
      </w:r>
      <w:r>
        <w:t>the</w:t>
      </w:r>
      <w:r>
        <w:rPr>
          <w:spacing w:val="-6"/>
        </w:rPr>
        <w:t xml:space="preserve"> </w:t>
      </w:r>
      <w:r>
        <w:t>raking</w:t>
      </w:r>
      <w:r>
        <w:rPr>
          <w:spacing w:val="-6"/>
        </w:rPr>
        <w:t xml:space="preserve"> </w:t>
      </w:r>
      <w:r>
        <w:t>process</w:t>
      </w:r>
      <w:r>
        <w:rPr>
          <w:spacing w:val="-6"/>
        </w:rPr>
        <w:t xml:space="preserve"> </w:t>
      </w:r>
      <w:r>
        <w:t>for</w:t>
      </w:r>
      <w:r>
        <w:rPr>
          <w:spacing w:val="-6"/>
        </w:rPr>
        <w:t xml:space="preserve"> </w:t>
      </w:r>
      <w:r>
        <w:t>each</w:t>
      </w:r>
      <w:r>
        <w:rPr>
          <w:spacing w:val="-6"/>
        </w:rPr>
        <w:t xml:space="preserve"> </w:t>
      </w:r>
      <w:r>
        <w:t>public</w:t>
      </w:r>
      <w:r>
        <w:rPr>
          <w:spacing w:val="-6"/>
        </w:rPr>
        <w:t xml:space="preserve"> </w:t>
      </w:r>
      <w:r>
        <w:t>school</w:t>
      </w:r>
      <w:r>
        <w:rPr>
          <w:spacing w:val="-6"/>
        </w:rPr>
        <w:t xml:space="preserve"> </w:t>
      </w:r>
      <w:r>
        <w:t>student</w:t>
      </w:r>
      <w:r>
        <w:rPr>
          <w:spacing w:val="-6"/>
        </w:rPr>
        <w:t xml:space="preserve"> </w:t>
      </w:r>
      <w:r>
        <w:t>sample</w:t>
      </w:r>
      <w:r>
        <w:rPr>
          <w:spacing w:val="-6"/>
        </w:rPr>
        <w:t xml:space="preserve"> </w:t>
      </w:r>
      <w:r>
        <w:t xml:space="preserve">were race/ethnicity, </w:t>
      </w:r>
      <w:r w:rsidR="00B4162D">
        <w:t>sex</w:t>
      </w:r>
      <w:r>
        <w:t>, and student disability (SD) and English learner (EL) status. (Since 2013, National School Lunch Program [NSLP] eligibility has not been used as a raking dimension because of the instability of these data in many states.)</w:t>
      </w:r>
    </w:p>
    <w:p w:rsidR="003F5784" w14:paraId="58D7440A" w14:textId="77777777">
      <w:pPr>
        <w:pStyle w:val="BodyText"/>
        <w:spacing w:before="210" w:line="232" w:lineRule="auto"/>
        <w:ind w:left="109" w:right="179"/>
      </w:pPr>
      <w:r>
        <w:t>For</w:t>
      </w:r>
      <w:r>
        <w:rPr>
          <w:spacing w:val="-8"/>
        </w:rPr>
        <w:t xml:space="preserve"> </w:t>
      </w:r>
      <w:r>
        <w:t>the</w:t>
      </w:r>
      <w:r>
        <w:rPr>
          <w:spacing w:val="-6"/>
        </w:rPr>
        <w:t xml:space="preserve"> </w:t>
      </w:r>
      <w:r>
        <w:t>public</w:t>
      </w:r>
      <w:r>
        <w:rPr>
          <w:spacing w:val="-6"/>
        </w:rPr>
        <w:t xml:space="preserve"> </w:t>
      </w:r>
      <w:r>
        <w:t>school</w:t>
      </w:r>
      <w:r>
        <w:rPr>
          <w:spacing w:val="-6"/>
        </w:rPr>
        <w:t xml:space="preserve"> </w:t>
      </w:r>
      <w:r>
        <w:t>student</w:t>
      </w:r>
      <w:r>
        <w:rPr>
          <w:spacing w:val="-6"/>
        </w:rPr>
        <w:t xml:space="preserve"> </w:t>
      </w:r>
      <w:r>
        <w:t>samples</w:t>
      </w:r>
      <w:r>
        <w:rPr>
          <w:spacing w:val="-6"/>
        </w:rPr>
        <w:t xml:space="preserve"> </w:t>
      </w:r>
      <w:r>
        <w:t>in</w:t>
      </w:r>
      <w:r>
        <w:rPr>
          <w:spacing w:val="-6"/>
        </w:rPr>
        <w:t xml:space="preserve"> </w:t>
      </w:r>
      <w:r>
        <w:t>mathematics</w:t>
      </w:r>
      <w:r>
        <w:rPr>
          <w:spacing w:val="-6"/>
        </w:rPr>
        <w:t xml:space="preserve"> </w:t>
      </w:r>
      <w:r>
        <w:t>and</w:t>
      </w:r>
      <w:r>
        <w:rPr>
          <w:spacing w:val="-6"/>
        </w:rPr>
        <w:t xml:space="preserve"> </w:t>
      </w:r>
      <w:r>
        <w:t>reading</w:t>
      </w:r>
      <w:r>
        <w:rPr>
          <w:spacing w:val="-6"/>
        </w:rPr>
        <w:t xml:space="preserve"> </w:t>
      </w:r>
      <w:r>
        <w:t>at</w:t>
      </w:r>
      <w:r>
        <w:rPr>
          <w:spacing w:val="-6"/>
        </w:rPr>
        <w:t xml:space="preserve"> </w:t>
      </w:r>
      <w:r>
        <w:t>grades</w:t>
      </w:r>
      <w:r>
        <w:rPr>
          <w:spacing w:val="-6"/>
        </w:rPr>
        <w:t xml:space="preserve"> </w:t>
      </w:r>
      <w:r>
        <w:t>4</w:t>
      </w:r>
      <w:r>
        <w:rPr>
          <w:spacing w:val="-6"/>
        </w:rPr>
        <w:t xml:space="preserve"> </w:t>
      </w:r>
      <w:r>
        <w:t>and</w:t>
      </w:r>
      <w:r>
        <w:rPr>
          <w:spacing w:val="-6"/>
        </w:rPr>
        <w:t xml:space="preserve"> </w:t>
      </w:r>
      <w:r>
        <w:t>8,</w:t>
      </w:r>
      <w:r>
        <w:rPr>
          <w:spacing w:val="-6"/>
        </w:rPr>
        <w:t xml:space="preserve"> </w:t>
      </w:r>
      <w:r>
        <w:t>the</w:t>
      </w:r>
      <w:r>
        <w:rPr>
          <w:spacing w:val="-6"/>
        </w:rPr>
        <w:t xml:space="preserve"> </w:t>
      </w:r>
      <w:r>
        <w:t>student</w:t>
      </w:r>
      <w:r>
        <w:rPr>
          <w:spacing w:val="-6"/>
        </w:rPr>
        <w:t xml:space="preserve"> </w:t>
      </w:r>
      <w:r>
        <w:t>raking</w:t>
      </w:r>
      <w:r>
        <w:rPr>
          <w:spacing w:val="-6"/>
        </w:rPr>
        <w:t xml:space="preserve"> </w:t>
      </w:r>
      <w:r>
        <w:t>adjustment</w:t>
      </w:r>
      <w:r>
        <w:rPr>
          <w:spacing w:val="-6"/>
        </w:rPr>
        <w:t xml:space="preserve"> </w:t>
      </w:r>
      <w:r>
        <w:t>was</w:t>
      </w:r>
      <w:r>
        <w:rPr>
          <w:spacing w:val="-6"/>
        </w:rPr>
        <w:t xml:space="preserve"> </w:t>
      </w:r>
      <w:r>
        <w:t>carried</w:t>
      </w:r>
      <w:r>
        <w:rPr>
          <w:spacing w:val="-6"/>
        </w:rPr>
        <w:t xml:space="preserve"> </w:t>
      </w:r>
      <w:r>
        <w:t>out</w:t>
      </w:r>
      <w:r>
        <w:rPr>
          <w:spacing w:val="-6"/>
        </w:rPr>
        <w:t xml:space="preserve"> </w:t>
      </w:r>
      <w:r>
        <w:t>separately</w:t>
      </w:r>
      <w:r>
        <w:rPr>
          <w:spacing w:val="-6"/>
        </w:rPr>
        <w:t xml:space="preserve"> </w:t>
      </w:r>
      <w:r>
        <w:t>in</w:t>
      </w:r>
      <w:r>
        <w:rPr>
          <w:spacing w:val="-6"/>
        </w:rPr>
        <w:t xml:space="preserve"> </w:t>
      </w:r>
      <w:r>
        <w:t>each</w:t>
      </w:r>
      <w:r>
        <w:rPr>
          <w:spacing w:val="-6"/>
        </w:rPr>
        <w:t xml:space="preserve"> </w:t>
      </w:r>
      <w:r>
        <w:t>state</w:t>
      </w:r>
      <w:r>
        <w:rPr>
          <w:spacing w:val="-6"/>
        </w:rPr>
        <w:t xml:space="preserve"> </w:t>
      </w:r>
      <w:r>
        <w:t>and</w:t>
      </w:r>
      <w:r>
        <w:rPr>
          <w:spacing w:val="-9"/>
        </w:rPr>
        <w:t xml:space="preserve"> </w:t>
      </w:r>
      <w:r>
        <w:t>TUDA</w:t>
      </w:r>
      <w:r>
        <w:rPr>
          <w:spacing w:val="-14"/>
        </w:rPr>
        <w:t xml:space="preserve"> </w:t>
      </w:r>
      <w:r>
        <w:t>district. The</w:t>
      </w:r>
      <w:r>
        <w:rPr>
          <w:spacing w:val="-1"/>
        </w:rPr>
        <w:t xml:space="preserve"> </w:t>
      </w:r>
      <w:r>
        <w:t>control</w:t>
      </w:r>
      <w:r>
        <w:rPr>
          <w:spacing w:val="-1"/>
        </w:rPr>
        <w:t xml:space="preserve"> </w:t>
      </w:r>
      <w:r>
        <w:t>totals</w:t>
      </w:r>
      <w:r>
        <w:rPr>
          <w:spacing w:val="-1"/>
        </w:rPr>
        <w:t xml:space="preserve"> </w:t>
      </w:r>
      <w:r>
        <w:t>for</w:t>
      </w:r>
      <w:r>
        <w:rPr>
          <w:spacing w:val="-1"/>
        </w:rPr>
        <w:t xml:space="preserve"> </w:t>
      </w:r>
      <w:r>
        <w:t>the</w:t>
      </w:r>
      <w:r>
        <w:rPr>
          <w:spacing w:val="-1"/>
        </w:rPr>
        <w:t xml:space="preserve"> </w:t>
      </w:r>
      <w:r>
        <w:t>raking</w:t>
      </w:r>
      <w:r>
        <w:rPr>
          <w:spacing w:val="-1"/>
        </w:rPr>
        <w:t xml:space="preserve"> </w:t>
      </w:r>
      <w:r>
        <w:t>dimensions</w:t>
      </w:r>
      <w:r>
        <w:rPr>
          <w:spacing w:val="-1"/>
        </w:rPr>
        <w:t xml:space="preserve"> </w:t>
      </w:r>
      <w:r>
        <w:t>for</w:t>
      </w:r>
      <w:r>
        <w:rPr>
          <w:spacing w:val="-1"/>
        </w:rPr>
        <w:t xml:space="preserve"> </w:t>
      </w:r>
      <w:r>
        <w:t>these</w:t>
      </w:r>
      <w:r>
        <w:rPr>
          <w:spacing w:val="-1"/>
        </w:rPr>
        <w:t xml:space="preserve"> </w:t>
      </w:r>
      <w:r>
        <w:t>student</w:t>
      </w:r>
      <w:r>
        <w:rPr>
          <w:spacing w:val="-1"/>
        </w:rPr>
        <w:t xml:space="preserve"> </w:t>
      </w:r>
      <w:r>
        <w:t>samples</w:t>
      </w:r>
      <w:r>
        <w:rPr>
          <w:spacing w:val="-1"/>
        </w:rPr>
        <w:t xml:space="preserve"> </w:t>
      </w:r>
      <w:r>
        <w:t>were</w:t>
      </w:r>
      <w:r>
        <w:rPr>
          <w:spacing w:val="-1"/>
        </w:rPr>
        <w:t xml:space="preserve"> </w:t>
      </w:r>
      <w:r>
        <w:t>obtained</w:t>
      </w:r>
      <w:r>
        <w:rPr>
          <w:spacing w:val="-1"/>
        </w:rPr>
        <w:t xml:space="preserve"> </w:t>
      </w:r>
      <w:r>
        <w:t>from</w:t>
      </w:r>
      <w:r>
        <w:rPr>
          <w:spacing w:val="-1"/>
        </w:rPr>
        <w:t xml:space="preserve"> </w:t>
      </w:r>
      <w:r>
        <w:t>the</w:t>
      </w:r>
      <w:r>
        <w:rPr>
          <w:spacing w:val="-1"/>
        </w:rPr>
        <w:t xml:space="preserve"> </w:t>
      </w:r>
      <w:r>
        <w:t>NAEP</w:t>
      </w:r>
      <w:r>
        <w:rPr>
          <w:spacing w:val="-9"/>
        </w:rPr>
        <w:t xml:space="preserve"> </w:t>
      </w:r>
      <w:r>
        <w:t>student</w:t>
      </w:r>
      <w:r>
        <w:rPr>
          <w:spacing w:val="-1"/>
        </w:rPr>
        <w:t xml:space="preserve"> </w:t>
      </w:r>
      <w:r>
        <w:t>sample</w:t>
      </w:r>
      <w:r>
        <w:rPr>
          <w:spacing w:val="-1"/>
        </w:rPr>
        <w:t xml:space="preserve"> </w:t>
      </w:r>
      <w:r>
        <w:t>weights</w:t>
      </w:r>
      <w:r>
        <w:rPr>
          <w:spacing w:val="-1"/>
        </w:rPr>
        <w:t xml:space="preserve"> </w:t>
      </w:r>
      <w:r>
        <w:t>of</w:t>
      </w:r>
      <w:r>
        <w:rPr>
          <w:spacing w:val="-1"/>
        </w:rPr>
        <w:t xml:space="preserve"> </w:t>
      </w:r>
      <w:r>
        <w:t>the</w:t>
      </w:r>
      <w:r>
        <w:rPr>
          <w:spacing w:val="-1"/>
        </w:rPr>
        <w:t xml:space="preserve"> </w:t>
      </w:r>
      <w:r>
        <w:t>mathematics</w:t>
      </w:r>
      <w:r>
        <w:rPr>
          <w:spacing w:val="-1"/>
        </w:rPr>
        <w:t xml:space="preserve"> </w:t>
      </w:r>
      <w:r>
        <w:t>and</w:t>
      </w:r>
      <w:r>
        <w:rPr>
          <w:spacing w:val="-1"/>
        </w:rPr>
        <w:t xml:space="preserve"> </w:t>
      </w:r>
      <w:r>
        <w:t>reading</w:t>
      </w:r>
      <w:r>
        <w:rPr>
          <w:spacing w:val="-1"/>
        </w:rPr>
        <w:t xml:space="preserve"> </w:t>
      </w:r>
      <w:r>
        <w:t>public</w:t>
      </w:r>
      <w:r>
        <w:rPr>
          <w:spacing w:val="-1"/>
        </w:rPr>
        <w:t xml:space="preserve"> </w:t>
      </w:r>
      <w:r>
        <w:t xml:space="preserve">samples </w:t>
      </w:r>
      <w:r>
        <w:rPr>
          <w:spacing w:val="-2"/>
        </w:rPr>
        <w:t>combined.</w:t>
      </w:r>
    </w:p>
    <w:p w:rsidR="003F5784" w14:paraId="555A2A05" w14:textId="77777777">
      <w:pPr>
        <w:spacing w:line="232" w:lineRule="auto"/>
        <w:sectPr>
          <w:type w:val="continuous"/>
          <w:pgSz w:w="15840" w:h="12240" w:orient="landscape"/>
          <w:pgMar w:top="480" w:right="440" w:bottom="460" w:left="460" w:header="284" w:footer="275" w:gutter="0"/>
          <w:cols w:space="720"/>
        </w:sectPr>
      </w:pPr>
    </w:p>
    <w:p w:rsidR="003F5784" w14:paraId="7F0ADB5A" w14:textId="77777777">
      <w:pPr>
        <w:pStyle w:val="BodyText"/>
        <w:spacing w:before="78" w:line="232" w:lineRule="auto"/>
        <w:ind w:left="109"/>
      </w:pPr>
      <w:r>
        <w:t>For</w:t>
      </w:r>
      <w:r>
        <w:rPr>
          <w:spacing w:val="-5"/>
        </w:rPr>
        <w:t xml:space="preserve"> </w:t>
      </w:r>
      <w:r>
        <w:t>the</w:t>
      </w:r>
      <w:r>
        <w:rPr>
          <w:spacing w:val="-5"/>
        </w:rPr>
        <w:t xml:space="preserve"> </w:t>
      </w:r>
      <w:r>
        <w:t>public</w:t>
      </w:r>
      <w:r>
        <w:rPr>
          <w:spacing w:val="-5"/>
        </w:rPr>
        <w:t xml:space="preserve"> </w:t>
      </w:r>
      <w:r>
        <w:t>school</w:t>
      </w:r>
      <w:r>
        <w:rPr>
          <w:spacing w:val="-5"/>
        </w:rPr>
        <w:t xml:space="preserve"> </w:t>
      </w:r>
      <w:r>
        <w:t>student</w:t>
      </w:r>
      <w:r>
        <w:rPr>
          <w:spacing w:val="-5"/>
        </w:rPr>
        <w:t xml:space="preserve"> </w:t>
      </w:r>
      <w:r>
        <w:t>samples</w:t>
      </w:r>
      <w:r>
        <w:rPr>
          <w:spacing w:val="-5"/>
        </w:rPr>
        <w:t xml:space="preserve"> </w:t>
      </w:r>
      <w:r>
        <w:t>in</w:t>
      </w:r>
      <w:r>
        <w:rPr>
          <w:spacing w:val="-5"/>
        </w:rPr>
        <w:t xml:space="preserve"> </w:t>
      </w:r>
      <w:r>
        <w:t>civics</w:t>
      </w:r>
      <w:r>
        <w:rPr>
          <w:spacing w:val="-5"/>
        </w:rPr>
        <w:t xml:space="preserve"> </w:t>
      </w:r>
      <w:r>
        <w:t>and</w:t>
      </w:r>
      <w:r>
        <w:rPr>
          <w:spacing w:val="-5"/>
        </w:rPr>
        <w:t xml:space="preserve"> </w:t>
      </w:r>
      <w:r>
        <w:t>U.S.</w:t>
      </w:r>
      <w:r>
        <w:rPr>
          <w:spacing w:val="-5"/>
        </w:rPr>
        <w:t xml:space="preserve"> </w:t>
      </w:r>
      <w:r>
        <w:t>history</w:t>
      </w:r>
      <w:r>
        <w:rPr>
          <w:spacing w:val="-5"/>
        </w:rPr>
        <w:t xml:space="preserve"> </w:t>
      </w:r>
      <w:r>
        <w:t>at</w:t>
      </w:r>
      <w:r>
        <w:rPr>
          <w:spacing w:val="-5"/>
        </w:rPr>
        <w:t xml:space="preserve"> </w:t>
      </w:r>
      <w:r>
        <w:t>grade</w:t>
      </w:r>
      <w:r>
        <w:rPr>
          <w:spacing w:val="-5"/>
        </w:rPr>
        <w:t xml:space="preserve"> </w:t>
      </w:r>
      <w:r>
        <w:t>8,</w:t>
      </w:r>
      <w:r>
        <w:rPr>
          <w:spacing w:val="-5"/>
        </w:rPr>
        <w:t xml:space="preserve"> </w:t>
      </w:r>
      <w:r>
        <w:t>the</w:t>
      </w:r>
      <w:r>
        <w:rPr>
          <w:spacing w:val="-5"/>
        </w:rPr>
        <w:t xml:space="preserve"> </w:t>
      </w:r>
      <w:r>
        <w:t>student</w:t>
      </w:r>
      <w:r>
        <w:rPr>
          <w:spacing w:val="-5"/>
        </w:rPr>
        <w:t xml:space="preserve"> </w:t>
      </w:r>
      <w:r>
        <w:t>raking</w:t>
      </w:r>
      <w:r>
        <w:rPr>
          <w:spacing w:val="-5"/>
        </w:rPr>
        <w:t xml:space="preserve"> </w:t>
      </w:r>
      <w:r>
        <w:t>adjustment</w:t>
      </w:r>
      <w:r>
        <w:rPr>
          <w:spacing w:val="-5"/>
        </w:rPr>
        <w:t xml:space="preserve"> </w:t>
      </w:r>
      <w:r>
        <w:t>was</w:t>
      </w:r>
      <w:r>
        <w:rPr>
          <w:spacing w:val="-5"/>
        </w:rPr>
        <w:t xml:space="preserve"> </w:t>
      </w:r>
      <w:r>
        <w:t>carried</w:t>
      </w:r>
      <w:r>
        <w:rPr>
          <w:spacing w:val="-5"/>
        </w:rPr>
        <w:t xml:space="preserve"> </w:t>
      </w:r>
      <w:r>
        <w:t>out</w:t>
      </w:r>
      <w:r>
        <w:rPr>
          <w:spacing w:val="-5"/>
        </w:rPr>
        <w:t xml:space="preserve"> </w:t>
      </w:r>
      <w:r>
        <w:t>at</w:t>
      </w:r>
      <w:r>
        <w:rPr>
          <w:spacing w:val="-5"/>
        </w:rPr>
        <w:t xml:space="preserve"> </w:t>
      </w:r>
      <w:r>
        <w:t>the</w:t>
      </w:r>
      <w:r>
        <w:rPr>
          <w:spacing w:val="-5"/>
        </w:rPr>
        <w:t xml:space="preserve"> </w:t>
      </w:r>
      <w:r>
        <w:t>national</w:t>
      </w:r>
      <w:r>
        <w:rPr>
          <w:spacing w:val="-5"/>
        </w:rPr>
        <w:t xml:space="preserve"> </w:t>
      </w:r>
      <w:r>
        <w:t>level.</w:t>
      </w:r>
      <w:r>
        <w:rPr>
          <w:spacing w:val="-9"/>
        </w:rPr>
        <w:t xml:space="preserve"> </w:t>
      </w:r>
      <w:r>
        <w:t>The</w:t>
      </w:r>
      <w:r>
        <w:rPr>
          <w:spacing w:val="-5"/>
        </w:rPr>
        <w:t xml:space="preserve"> </w:t>
      </w:r>
      <w:r>
        <w:t>control</w:t>
      </w:r>
      <w:r>
        <w:rPr>
          <w:spacing w:val="-5"/>
        </w:rPr>
        <w:t xml:space="preserve"> </w:t>
      </w:r>
      <w:r>
        <w:t>totals</w:t>
      </w:r>
      <w:r>
        <w:rPr>
          <w:spacing w:val="-5"/>
        </w:rPr>
        <w:t xml:space="preserve"> </w:t>
      </w:r>
      <w:r>
        <w:t>for</w:t>
      </w:r>
      <w:r>
        <w:rPr>
          <w:spacing w:val="-5"/>
        </w:rPr>
        <w:t xml:space="preserve"> </w:t>
      </w:r>
      <w:r>
        <w:t>the</w:t>
      </w:r>
      <w:r>
        <w:rPr>
          <w:spacing w:val="-5"/>
        </w:rPr>
        <w:t xml:space="preserve"> </w:t>
      </w:r>
      <w:r>
        <w:t>raking dimensions for these samples were obtained by summing the NAEP</w:t>
      </w:r>
      <w:r>
        <w:rPr>
          <w:spacing w:val="-7"/>
        </w:rPr>
        <w:t xml:space="preserve"> </w:t>
      </w:r>
      <w:r>
        <w:t>grade 8 student sample weights of the mathematics and reading public samples combined.</w:t>
      </w:r>
    </w:p>
    <w:p w:rsidR="003F5784" w14:paraId="5E8E0E38" w14:textId="77777777">
      <w:pPr>
        <w:pStyle w:val="BodyText"/>
      </w:pPr>
    </w:p>
    <w:p w:rsidR="003F5784" w14:paraId="0AC4645F" w14:textId="77777777">
      <w:pPr>
        <w:pStyle w:val="BodyText"/>
      </w:pPr>
    </w:p>
    <w:p w:rsidR="003F5784" w14:paraId="2B4B44D0" w14:textId="77777777">
      <w:pPr>
        <w:pStyle w:val="BodyText"/>
        <w:spacing w:before="145"/>
      </w:pPr>
    </w:p>
    <w:p w:rsidR="003F5784" w14:paraId="019BB12A" w14:textId="77777777">
      <w:pPr>
        <w:spacing w:before="1"/>
        <w:ind w:left="5448"/>
        <w:rPr>
          <w:sz w:val="18"/>
        </w:rPr>
      </w:pPr>
      <w:hyperlink r:id="rId494">
        <w:r>
          <w:rPr>
            <w:spacing w:val="-2"/>
            <w:w w:val="105"/>
            <w:sz w:val="18"/>
          </w:rPr>
          <w:t>http://nces.ed.gov/nationsreportcard/tdw/weighting/2022/student_weight_raking_adjustment_for_the_2022_assessment.aspx</w:t>
        </w:r>
      </w:hyperlink>
    </w:p>
    <w:p w:rsidR="003F5784" w14:paraId="4CE84451" w14:textId="77777777">
      <w:pPr>
        <w:pStyle w:val="BodyText"/>
        <w:rPr>
          <w:sz w:val="16"/>
        </w:rPr>
      </w:pPr>
      <w:r>
        <w:rPr>
          <w:noProof/>
        </w:rPr>
        <mc:AlternateContent>
          <mc:Choice Requires="wps">
            <w:drawing>
              <wp:anchor distT="0" distB="0" distL="0" distR="0" simplePos="0" relativeHeight="252005376" behindDoc="1" locked="0" layoutInCell="1" allowOverlap="1">
                <wp:simplePos x="0" y="0"/>
                <wp:positionH relativeFrom="page">
                  <wp:posOffset>361937</wp:posOffset>
                </wp:positionH>
                <wp:positionV relativeFrom="paragraph">
                  <wp:posOffset>132412</wp:posOffset>
                </wp:positionV>
                <wp:extent cx="9339580" cy="8890"/>
                <wp:effectExtent l="0" t="0" r="0" b="0"/>
                <wp:wrapTopAndBottom/>
                <wp:docPr id="609" name="Graphic 609"/>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38"/>
                              </a:moveTo>
                              <a:lnTo>
                                <a:pt x="9335110" y="38"/>
                              </a:lnTo>
                              <a:lnTo>
                                <a:pt x="8280" y="38"/>
                              </a:lnTo>
                              <a:lnTo>
                                <a:pt x="0" y="0"/>
                              </a:lnTo>
                              <a:lnTo>
                                <a:pt x="0" y="8280"/>
                              </a:lnTo>
                              <a:lnTo>
                                <a:pt x="9335110" y="8305"/>
                              </a:lnTo>
                              <a:lnTo>
                                <a:pt x="9338970" y="8305"/>
                              </a:lnTo>
                              <a:lnTo>
                                <a:pt x="9338970" y="38"/>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609" o:spid="_x0000_s1188" style="width:735.4pt;height:0.7pt;margin-top:10.45pt;margin-left:28.5pt;mso-position-horizontal-relative:page;mso-wrap-distance-bottom:0;mso-wrap-distance-left:0;mso-wrap-distance-right:0;mso-wrap-distance-top:0;mso-wrap-style:square;position:absolute;visibility:visible;v-text-anchor:top;z-index:-251310080" coordsize="9339580,8890" path="m9338970,38l9335110,38l8280,38,,,,8280l9335110,8305l9338970,8305l9338970,38xe" fillcolor="gray" stroked="f">
                <v:path arrowok="t"/>
                <w10:wrap type="topAndBottom"/>
              </v:shape>
            </w:pict>
          </mc:Fallback>
        </mc:AlternateContent>
      </w:r>
    </w:p>
    <w:p w:rsidR="003F5784" w14:paraId="0591A9C7" w14:textId="77777777">
      <w:pPr>
        <w:pStyle w:val="BodyText"/>
        <w:rPr>
          <w:sz w:val="18"/>
        </w:rPr>
      </w:pPr>
    </w:p>
    <w:p w:rsidR="003F5784" w14:paraId="402AE7C6" w14:textId="77777777">
      <w:pPr>
        <w:pStyle w:val="BodyText"/>
        <w:spacing w:before="193"/>
        <w:rPr>
          <w:sz w:val="18"/>
        </w:rPr>
      </w:pPr>
    </w:p>
    <w:p w:rsidR="003F5784" w14:paraId="490A5E69" w14:textId="77777777">
      <w:pPr>
        <w:pStyle w:val="Heading1"/>
      </w:pPr>
      <w:r>
        <w:t>NAEP</w:t>
      </w:r>
      <w:r>
        <w:rPr>
          <w:spacing w:val="-23"/>
        </w:rPr>
        <w:t xml:space="preserve"> </w:t>
      </w:r>
      <w:r>
        <w:t>Technical</w:t>
      </w:r>
      <w:r>
        <w:rPr>
          <w:spacing w:val="11"/>
        </w:rPr>
        <w:t xml:space="preserve"> </w:t>
      </w:r>
      <w:r>
        <w:t>Documentation</w:t>
      </w:r>
      <w:r>
        <w:rPr>
          <w:spacing w:val="11"/>
        </w:rPr>
        <w:t xml:space="preserve"> </w:t>
      </w:r>
      <w:r>
        <w:t>Development</w:t>
      </w:r>
      <w:r>
        <w:rPr>
          <w:spacing w:val="10"/>
        </w:rPr>
        <w:t xml:space="preserve"> </w:t>
      </w:r>
      <w:r>
        <w:t>of</w:t>
      </w:r>
      <w:r>
        <w:rPr>
          <w:spacing w:val="11"/>
        </w:rPr>
        <w:t xml:space="preserve"> </w:t>
      </w:r>
      <w:r>
        <w:t>Final</w:t>
      </w:r>
      <w:r>
        <w:rPr>
          <w:spacing w:val="10"/>
        </w:rPr>
        <w:t xml:space="preserve"> </w:t>
      </w:r>
      <w:r>
        <w:t>Raking</w:t>
      </w:r>
      <w:r>
        <w:rPr>
          <w:spacing w:val="11"/>
        </w:rPr>
        <w:t xml:space="preserve"> </w:t>
      </w:r>
      <w:r>
        <w:rPr>
          <w:spacing w:val="-2"/>
        </w:rPr>
        <w:t>Dimensions</w:t>
      </w:r>
    </w:p>
    <w:p w:rsidR="003F5784" w14:paraId="2DD4C6ED" w14:textId="77777777">
      <w:pPr>
        <w:pStyle w:val="BodyText"/>
        <w:spacing w:before="295" w:line="232" w:lineRule="auto"/>
        <w:ind w:left="109" w:right="179"/>
      </w:pPr>
      <w:r>
        <w:t>The</w:t>
      </w:r>
      <w:r>
        <w:rPr>
          <w:spacing w:val="-6"/>
        </w:rPr>
        <w:t xml:space="preserve"> </w:t>
      </w:r>
      <w:r>
        <w:t>raking</w:t>
      </w:r>
      <w:r>
        <w:rPr>
          <w:spacing w:val="-6"/>
        </w:rPr>
        <w:t xml:space="preserve"> </w:t>
      </w:r>
      <w:r>
        <w:t>procedure</w:t>
      </w:r>
      <w:r>
        <w:rPr>
          <w:spacing w:val="-6"/>
        </w:rPr>
        <w:t xml:space="preserve"> </w:t>
      </w:r>
      <w:r>
        <w:t>involved</w:t>
      </w:r>
      <w:r>
        <w:rPr>
          <w:spacing w:val="-6"/>
        </w:rPr>
        <w:t xml:space="preserve"> </w:t>
      </w:r>
      <w:r>
        <w:t>three</w:t>
      </w:r>
      <w:r>
        <w:rPr>
          <w:spacing w:val="-6"/>
        </w:rPr>
        <w:t xml:space="preserve"> </w:t>
      </w:r>
      <w:r>
        <w:t>dimensions.</w:t>
      </w:r>
      <w:r>
        <w:rPr>
          <w:spacing w:val="-10"/>
        </w:rPr>
        <w:t xml:space="preserve"> </w:t>
      </w:r>
      <w:r>
        <w:t>The</w:t>
      </w:r>
      <w:r>
        <w:rPr>
          <w:spacing w:val="-6"/>
        </w:rPr>
        <w:t xml:space="preserve"> </w:t>
      </w:r>
      <w:r>
        <w:t>variables</w:t>
      </w:r>
      <w:r>
        <w:rPr>
          <w:spacing w:val="-6"/>
        </w:rPr>
        <w:t xml:space="preserve"> </w:t>
      </w:r>
      <w:r>
        <w:t>used</w:t>
      </w:r>
      <w:r>
        <w:rPr>
          <w:spacing w:val="-6"/>
        </w:rPr>
        <w:t xml:space="preserve"> </w:t>
      </w:r>
      <w:r>
        <w:t>to</w:t>
      </w:r>
      <w:r>
        <w:rPr>
          <w:spacing w:val="-6"/>
        </w:rPr>
        <w:t xml:space="preserve"> </w:t>
      </w:r>
      <w:r>
        <w:t>define</w:t>
      </w:r>
      <w:r>
        <w:rPr>
          <w:spacing w:val="-6"/>
        </w:rPr>
        <w:t xml:space="preserve"> </w:t>
      </w:r>
      <w:r>
        <w:t>the</w:t>
      </w:r>
      <w:r>
        <w:rPr>
          <w:spacing w:val="-6"/>
        </w:rPr>
        <w:t xml:space="preserve"> </w:t>
      </w:r>
      <w:r>
        <w:t>dimensions</w:t>
      </w:r>
      <w:r>
        <w:rPr>
          <w:spacing w:val="-6"/>
        </w:rPr>
        <w:t xml:space="preserve"> </w:t>
      </w:r>
      <w:r>
        <w:t>are</w:t>
      </w:r>
      <w:r>
        <w:rPr>
          <w:spacing w:val="-6"/>
        </w:rPr>
        <w:t xml:space="preserve"> </w:t>
      </w:r>
      <w:r>
        <w:t>listed</w:t>
      </w:r>
      <w:r>
        <w:rPr>
          <w:spacing w:val="-6"/>
        </w:rPr>
        <w:t xml:space="preserve"> </w:t>
      </w:r>
      <w:r>
        <w:t>below</w:t>
      </w:r>
      <w:r>
        <w:rPr>
          <w:spacing w:val="-6"/>
        </w:rPr>
        <w:t xml:space="preserve"> </w:t>
      </w:r>
      <w:r>
        <w:t>along</w:t>
      </w:r>
      <w:r>
        <w:rPr>
          <w:spacing w:val="-6"/>
        </w:rPr>
        <w:t xml:space="preserve"> </w:t>
      </w:r>
      <w:r>
        <w:t>with</w:t>
      </w:r>
      <w:r>
        <w:rPr>
          <w:spacing w:val="-6"/>
        </w:rPr>
        <w:t xml:space="preserve"> </w:t>
      </w:r>
      <w:r>
        <w:t>the</w:t>
      </w:r>
      <w:r>
        <w:rPr>
          <w:spacing w:val="-6"/>
        </w:rPr>
        <w:t xml:space="preserve"> </w:t>
      </w:r>
      <w:r>
        <w:t>categories</w:t>
      </w:r>
      <w:r>
        <w:rPr>
          <w:spacing w:val="-6"/>
        </w:rPr>
        <w:t xml:space="preserve"> </w:t>
      </w:r>
      <w:r>
        <w:t>making</w:t>
      </w:r>
      <w:r>
        <w:rPr>
          <w:spacing w:val="-6"/>
        </w:rPr>
        <w:t xml:space="preserve"> </w:t>
      </w:r>
      <w:r>
        <w:t>up</w:t>
      </w:r>
      <w:r>
        <w:rPr>
          <w:spacing w:val="-6"/>
        </w:rPr>
        <w:t xml:space="preserve"> </w:t>
      </w:r>
      <w:r>
        <w:t>the</w:t>
      </w:r>
      <w:r>
        <w:rPr>
          <w:spacing w:val="-6"/>
        </w:rPr>
        <w:t xml:space="preserve"> </w:t>
      </w:r>
      <w:r>
        <w:t>initial</w:t>
      </w:r>
      <w:r>
        <w:rPr>
          <w:spacing w:val="-6"/>
        </w:rPr>
        <w:t xml:space="preserve"> </w:t>
      </w:r>
      <w:r>
        <w:t>raking</w:t>
      </w:r>
      <w:r>
        <w:rPr>
          <w:spacing w:val="-6"/>
        </w:rPr>
        <w:t xml:space="preserve"> </w:t>
      </w:r>
      <w:r>
        <w:t>cells</w:t>
      </w:r>
      <w:r>
        <w:rPr>
          <w:spacing w:val="-6"/>
        </w:rPr>
        <w:t xml:space="preserve"> </w:t>
      </w:r>
      <w:r>
        <w:t>for each dimension.</w:t>
      </w:r>
    </w:p>
    <w:p w:rsidR="003F5784" w14:paraId="56E03156" w14:textId="77777777">
      <w:pPr>
        <w:pStyle w:val="Heading2"/>
        <w:spacing w:before="203"/>
        <w:ind w:left="109"/>
      </w:pPr>
      <w:r>
        <w:rPr>
          <w:spacing w:val="-2"/>
        </w:rPr>
        <w:t>Race/Ethnicity</w:t>
      </w:r>
    </w:p>
    <w:p w:rsidR="003F5784" w14:paraId="71D195C4" w14:textId="77777777">
      <w:pPr>
        <w:pStyle w:val="ListParagraph"/>
        <w:numPr>
          <w:ilvl w:val="0"/>
          <w:numId w:val="4"/>
        </w:numPr>
        <w:tabs>
          <w:tab w:val="left" w:pos="629"/>
        </w:tabs>
        <w:spacing w:before="202" w:line="238" w:lineRule="exact"/>
        <w:ind w:left="629" w:hanging="207"/>
        <w:rPr>
          <w:sz w:val="21"/>
        </w:rPr>
      </w:pPr>
      <w:r>
        <w:rPr>
          <w:sz w:val="21"/>
        </w:rPr>
        <w:t>White,</w:t>
      </w:r>
      <w:r>
        <w:rPr>
          <w:spacing w:val="-6"/>
          <w:sz w:val="21"/>
        </w:rPr>
        <w:t xml:space="preserve"> </w:t>
      </w:r>
      <w:r>
        <w:rPr>
          <w:sz w:val="21"/>
        </w:rPr>
        <w:t>not</w:t>
      </w:r>
      <w:r>
        <w:rPr>
          <w:spacing w:val="-5"/>
          <w:sz w:val="21"/>
        </w:rPr>
        <w:t xml:space="preserve"> </w:t>
      </w:r>
      <w:r>
        <w:rPr>
          <w:spacing w:val="-2"/>
          <w:sz w:val="21"/>
        </w:rPr>
        <w:t>Hispanic</w:t>
      </w:r>
    </w:p>
    <w:p w:rsidR="003F5784" w14:paraId="106B8521" w14:textId="77777777">
      <w:pPr>
        <w:pStyle w:val="ListParagraph"/>
        <w:numPr>
          <w:ilvl w:val="0"/>
          <w:numId w:val="4"/>
        </w:numPr>
        <w:tabs>
          <w:tab w:val="left" w:pos="629"/>
        </w:tabs>
        <w:ind w:left="629" w:hanging="207"/>
        <w:rPr>
          <w:sz w:val="21"/>
        </w:rPr>
      </w:pPr>
      <w:r>
        <w:rPr>
          <w:sz w:val="21"/>
        </w:rPr>
        <w:t>Black,</w:t>
      </w:r>
      <w:r>
        <w:rPr>
          <w:spacing w:val="-6"/>
          <w:sz w:val="21"/>
        </w:rPr>
        <w:t xml:space="preserve"> </w:t>
      </w:r>
      <w:r>
        <w:rPr>
          <w:sz w:val="21"/>
        </w:rPr>
        <w:t>not</w:t>
      </w:r>
      <w:r>
        <w:rPr>
          <w:spacing w:val="-5"/>
          <w:sz w:val="21"/>
        </w:rPr>
        <w:t xml:space="preserve"> </w:t>
      </w:r>
      <w:r>
        <w:rPr>
          <w:spacing w:val="-2"/>
          <w:sz w:val="21"/>
        </w:rPr>
        <w:t>Hispanic</w:t>
      </w:r>
    </w:p>
    <w:p w:rsidR="003F5784" w14:paraId="07DEFF76" w14:textId="77777777">
      <w:pPr>
        <w:pStyle w:val="ListParagraph"/>
        <w:numPr>
          <w:ilvl w:val="0"/>
          <w:numId w:val="4"/>
        </w:numPr>
        <w:tabs>
          <w:tab w:val="left" w:pos="629"/>
        </w:tabs>
        <w:ind w:left="629" w:hanging="207"/>
        <w:rPr>
          <w:sz w:val="21"/>
        </w:rPr>
      </w:pPr>
      <w:r>
        <w:rPr>
          <w:spacing w:val="-2"/>
          <w:sz w:val="21"/>
        </w:rPr>
        <w:t>Hispanic</w:t>
      </w:r>
    </w:p>
    <w:p w:rsidR="003F5784" w14:paraId="10FAF563" w14:textId="77777777">
      <w:pPr>
        <w:pStyle w:val="ListParagraph"/>
        <w:numPr>
          <w:ilvl w:val="0"/>
          <w:numId w:val="4"/>
        </w:numPr>
        <w:tabs>
          <w:tab w:val="left" w:pos="629"/>
        </w:tabs>
        <w:ind w:left="629" w:hanging="207"/>
        <w:rPr>
          <w:sz w:val="21"/>
        </w:rPr>
      </w:pPr>
      <w:r>
        <w:rPr>
          <w:spacing w:val="-2"/>
          <w:sz w:val="21"/>
        </w:rPr>
        <w:t>Asian</w:t>
      </w:r>
    </w:p>
    <w:p w:rsidR="003F5784" w14:paraId="06A48E31" w14:textId="77777777">
      <w:pPr>
        <w:pStyle w:val="ListParagraph"/>
        <w:numPr>
          <w:ilvl w:val="0"/>
          <w:numId w:val="4"/>
        </w:numPr>
        <w:tabs>
          <w:tab w:val="left" w:pos="629"/>
        </w:tabs>
        <w:ind w:left="629" w:hanging="207"/>
        <w:rPr>
          <w:sz w:val="21"/>
        </w:rPr>
      </w:pPr>
      <w:r>
        <w:rPr>
          <w:sz w:val="21"/>
        </w:rPr>
        <w:t>American</w:t>
      </w:r>
      <w:r>
        <w:rPr>
          <w:spacing w:val="-12"/>
          <w:sz w:val="21"/>
        </w:rPr>
        <w:t xml:space="preserve"> </w:t>
      </w:r>
      <w:r>
        <w:rPr>
          <w:sz w:val="21"/>
        </w:rPr>
        <w:t>Indian/Alaska</w:t>
      </w:r>
      <w:r>
        <w:rPr>
          <w:spacing w:val="-11"/>
          <w:sz w:val="21"/>
        </w:rPr>
        <w:t xml:space="preserve"> </w:t>
      </w:r>
      <w:r>
        <w:rPr>
          <w:spacing w:val="-2"/>
          <w:sz w:val="21"/>
        </w:rPr>
        <w:t>Native</w:t>
      </w:r>
    </w:p>
    <w:p w:rsidR="003F5784" w14:paraId="71EF9C41" w14:textId="77777777">
      <w:pPr>
        <w:pStyle w:val="ListParagraph"/>
        <w:numPr>
          <w:ilvl w:val="0"/>
          <w:numId w:val="4"/>
        </w:numPr>
        <w:tabs>
          <w:tab w:val="left" w:pos="629"/>
        </w:tabs>
        <w:ind w:left="629" w:hanging="207"/>
        <w:rPr>
          <w:sz w:val="21"/>
        </w:rPr>
      </w:pPr>
      <w:r>
        <w:rPr>
          <w:sz w:val="21"/>
        </w:rPr>
        <w:t>Native</w:t>
      </w:r>
      <w:r>
        <w:rPr>
          <w:spacing w:val="-12"/>
          <w:sz w:val="21"/>
        </w:rPr>
        <w:t xml:space="preserve"> </w:t>
      </w:r>
      <w:r>
        <w:rPr>
          <w:sz w:val="21"/>
        </w:rPr>
        <w:t>Hawaiian/Pacific</w:t>
      </w:r>
      <w:r>
        <w:rPr>
          <w:spacing w:val="-11"/>
          <w:sz w:val="21"/>
        </w:rPr>
        <w:t xml:space="preserve"> </w:t>
      </w:r>
      <w:r>
        <w:rPr>
          <w:spacing w:val="-2"/>
          <w:sz w:val="21"/>
        </w:rPr>
        <w:t>Islander</w:t>
      </w:r>
    </w:p>
    <w:p w:rsidR="003F5784" w14:paraId="104A5B22" w14:textId="77777777">
      <w:pPr>
        <w:pStyle w:val="ListParagraph"/>
        <w:numPr>
          <w:ilvl w:val="0"/>
          <w:numId w:val="4"/>
        </w:numPr>
        <w:tabs>
          <w:tab w:val="left" w:pos="629"/>
        </w:tabs>
        <w:spacing w:line="238" w:lineRule="exact"/>
        <w:ind w:left="629" w:hanging="207"/>
        <w:rPr>
          <w:sz w:val="21"/>
        </w:rPr>
      </w:pPr>
      <w:r>
        <w:rPr>
          <w:sz w:val="21"/>
        </w:rPr>
        <w:t>Two</w:t>
      </w:r>
      <w:r>
        <w:rPr>
          <w:spacing w:val="-10"/>
          <w:sz w:val="21"/>
        </w:rPr>
        <w:t xml:space="preserve"> </w:t>
      </w:r>
      <w:r>
        <w:rPr>
          <w:sz w:val="21"/>
        </w:rPr>
        <w:t>or</w:t>
      </w:r>
      <w:r>
        <w:rPr>
          <w:spacing w:val="-9"/>
          <w:sz w:val="21"/>
        </w:rPr>
        <w:t xml:space="preserve"> </w:t>
      </w:r>
      <w:r>
        <w:rPr>
          <w:sz w:val="21"/>
        </w:rPr>
        <w:t>More</w:t>
      </w:r>
      <w:r>
        <w:rPr>
          <w:spacing w:val="-10"/>
          <w:sz w:val="21"/>
        </w:rPr>
        <w:t xml:space="preserve"> </w:t>
      </w:r>
      <w:r>
        <w:rPr>
          <w:spacing w:val="-2"/>
          <w:sz w:val="21"/>
        </w:rPr>
        <w:t>Races</w:t>
      </w:r>
    </w:p>
    <w:p w:rsidR="003F5784" w14:paraId="0F96E206" w14:textId="77777777">
      <w:pPr>
        <w:pStyle w:val="Heading2"/>
        <w:spacing w:before="202"/>
        <w:ind w:left="109"/>
      </w:pPr>
      <w:r>
        <w:t>Student</w:t>
      </w:r>
      <w:r>
        <w:rPr>
          <w:spacing w:val="-9"/>
        </w:rPr>
        <w:t xml:space="preserve"> </w:t>
      </w:r>
      <w:r>
        <w:t>disability</w:t>
      </w:r>
      <w:r>
        <w:rPr>
          <w:spacing w:val="-9"/>
        </w:rPr>
        <w:t xml:space="preserve"> </w:t>
      </w:r>
      <w:r>
        <w:t>(SD)/English</w:t>
      </w:r>
      <w:r>
        <w:rPr>
          <w:spacing w:val="-8"/>
        </w:rPr>
        <w:t xml:space="preserve"> </w:t>
      </w:r>
      <w:r>
        <w:t>learner</w:t>
      </w:r>
      <w:r>
        <w:rPr>
          <w:spacing w:val="-12"/>
        </w:rPr>
        <w:t xml:space="preserve"> </w:t>
      </w:r>
      <w:r>
        <w:t>(EL)</w:t>
      </w:r>
      <w:r>
        <w:rPr>
          <w:spacing w:val="-9"/>
        </w:rPr>
        <w:t xml:space="preserve"> </w:t>
      </w:r>
      <w:r>
        <w:rPr>
          <w:spacing w:val="-2"/>
        </w:rPr>
        <w:t>status</w:t>
      </w:r>
    </w:p>
    <w:p w:rsidR="003F5784" w14:paraId="2A69BC46" w14:textId="77777777">
      <w:pPr>
        <w:pStyle w:val="ListParagraph"/>
        <w:numPr>
          <w:ilvl w:val="0"/>
          <w:numId w:val="3"/>
        </w:numPr>
        <w:tabs>
          <w:tab w:val="left" w:pos="629"/>
        </w:tabs>
        <w:spacing w:before="201" w:line="238" w:lineRule="exact"/>
        <w:ind w:left="629" w:hanging="207"/>
        <w:rPr>
          <w:sz w:val="21"/>
        </w:rPr>
      </w:pPr>
      <w:r>
        <w:rPr>
          <w:sz w:val="21"/>
        </w:rPr>
        <w:t>SD,</w:t>
      </w:r>
      <w:r>
        <w:rPr>
          <w:spacing w:val="-4"/>
          <w:sz w:val="21"/>
        </w:rPr>
        <w:t xml:space="preserve"> </w:t>
      </w:r>
      <w:r>
        <w:rPr>
          <w:sz w:val="21"/>
        </w:rPr>
        <w:t>but</w:t>
      </w:r>
      <w:r>
        <w:rPr>
          <w:spacing w:val="-4"/>
          <w:sz w:val="21"/>
        </w:rPr>
        <w:t xml:space="preserve"> </w:t>
      </w:r>
      <w:r>
        <w:rPr>
          <w:sz w:val="21"/>
        </w:rPr>
        <w:t>not</w:t>
      </w:r>
      <w:r>
        <w:rPr>
          <w:spacing w:val="-4"/>
          <w:sz w:val="21"/>
        </w:rPr>
        <w:t xml:space="preserve"> </w:t>
      </w:r>
      <w:r>
        <w:rPr>
          <w:spacing w:val="-7"/>
          <w:sz w:val="21"/>
        </w:rPr>
        <w:t>EL</w:t>
      </w:r>
    </w:p>
    <w:p w:rsidR="003F5784" w14:paraId="356896D5" w14:textId="77777777">
      <w:pPr>
        <w:pStyle w:val="ListParagraph"/>
        <w:numPr>
          <w:ilvl w:val="0"/>
          <w:numId w:val="3"/>
        </w:numPr>
        <w:tabs>
          <w:tab w:val="left" w:pos="629"/>
        </w:tabs>
        <w:ind w:left="629" w:hanging="207"/>
        <w:rPr>
          <w:sz w:val="21"/>
        </w:rPr>
      </w:pPr>
      <w:r>
        <w:rPr>
          <w:sz w:val="21"/>
        </w:rPr>
        <w:t>EL,</w:t>
      </w:r>
      <w:r>
        <w:rPr>
          <w:spacing w:val="-4"/>
          <w:sz w:val="21"/>
        </w:rPr>
        <w:t xml:space="preserve"> </w:t>
      </w:r>
      <w:r>
        <w:rPr>
          <w:sz w:val="21"/>
        </w:rPr>
        <w:t>but</w:t>
      </w:r>
      <w:r>
        <w:rPr>
          <w:spacing w:val="-4"/>
          <w:sz w:val="21"/>
        </w:rPr>
        <w:t xml:space="preserve"> </w:t>
      </w:r>
      <w:r>
        <w:rPr>
          <w:sz w:val="21"/>
        </w:rPr>
        <w:t>not</w:t>
      </w:r>
      <w:r>
        <w:rPr>
          <w:spacing w:val="-4"/>
          <w:sz w:val="21"/>
        </w:rPr>
        <w:t xml:space="preserve"> </w:t>
      </w:r>
      <w:r>
        <w:rPr>
          <w:spacing w:val="-7"/>
          <w:sz w:val="21"/>
        </w:rPr>
        <w:t>SD</w:t>
      </w:r>
    </w:p>
    <w:p w:rsidR="003F5784" w14:paraId="086F3536" w14:textId="77777777">
      <w:pPr>
        <w:pStyle w:val="ListParagraph"/>
        <w:numPr>
          <w:ilvl w:val="0"/>
          <w:numId w:val="3"/>
        </w:numPr>
        <w:tabs>
          <w:tab w:val="left" w:pos="629"/>
        </w:tabs>
        <w:ind w:left="629" w:hanging="207"/>
        <w:rPr>
          <w:sz w:val="21"/>
        </w:rPr>
      </w:pPr>
      <w:r>
        <w:rPr>
          <w:sz w:val="21"/>
        </w:rPr>
        <w:t>SD</w:t>
      </w:r>
      <w:r>
        <w:rPr>
          <w:spacing w:val="-4"/>
          <w:sz w:val="21"/>
        </w:rPr>
        <w:t xml:space="preserve"> </w:t>
      </w:r>
      <w:r>
        <w:rPr>
          <w:sz w:val="21"/>
        </w:rPr>
        <w:t>and</w:t>
      </w:r>
      <w:r>
        <w:rPr>
          <w:spacing w:val="-4"/>
          <w:sz w:val="21"/>
        </w:rPr>
        <w:t xml:space="preserve"> </w:t>
      </w:r>
      <w:r>
        <w:rPr>
          <w:spacing w:val="-5"/>
          <w:sz w:val="21"/>
        </w:rPr>
        <w:t>EL</w:t>
      </w:r>
    </w:p>
    <w:p w:rsidR="003F5784" w14:paraId="2D590533" w14:textId="77777777">
      <w:pPr>
        <w:pStyle w:val="ListParagraph"/>
        <w:numPr>
          <w:ilvl w:val="0"/>
          <w:numId w:val="3"/>
        </w:numPr>
        <w:tabs>
          <w:tab w:val="left" w:pos="629"/>
        </w:tabs>
        <w:spacing w:line="238" w:lineRule="exact"/>
        <w:ind w:left="629" w:hanging="207"/>
        <w:rPr>
          <w:sz w:val="21"/>
        </w:rPr>
      </w:pPr>
      <w:r>
        <w:rPr>
          <w:sz w:val="21"/>
        </w:rPr>
        <w:t>Neither</w:t>
      </w:r>
      <w:r>
        <w:rPr>
          <w:spacing w:val="-5"/>
          <w:sz w:val="21"/>
        </w:rPr>
        <w:t xml:space="preserve"> </w:t>
      </w:r>
      <w:r>
        <w:rPr>
          <w:sz w:val="21"/>
        </w:rPr>
        <w:t>SD</w:t>
      </w:r>
      <w:r>
        <w:rPr>
          <w:spacing w:val="-5"/>
          <w:sz w:val="21"/>
        </w:rPr>
        <w:t xml:space="preserve"> </w:t>
      </w:r>
      <w:r>
        <w:rPr>
          <w:sz w:val="21"/>
        </w:rPr>
        <w:t>nor</w:t>
      </w:r>
      <w:r>
        <w:rPr>
          <w:spacing w:val="-5"/>
          <w:sz w:val="21"/>
        </w:rPr>
        <w:t xml:space="preserve"> EL</w:t>
      </w:r>
    </w:p>
    <w:p w:rsidR="003F5784" w14:paraId="4B29524A" w14:textId="4C9F6638">
      <w:pPr>
        <w:pStyle w:val="Heading2"/>
        <w:spacing w:before="202"/>
        <w:ind w:left="109"/>
      </w:pPr>
      <w:r>
        <w:rPr>
          <w:spacing w:val="-2"/>
        </w:rPr>
        <w:t>Sex</w:t>
      </w:r>
    </w:p>
    <w:p w:rsidR="003F5784" w14:paraId="0B46B5C8" w14:textId="77777777">
      <w:pPr>
        <w:pStyle w:val="ListParagraph"/>
        <w:numPr>
          <w:ilvl w:val="0"/>
          <w:numId w:val="2"/>
        </w:numPr>
        <w:tabs>
          <w:tab w:val="left" w:pos="629"/>
        </w:tabs>
        <w:spacing w:before="201" w:line="238" w:lineRule="exact"/>
        <w:ind w:left="629" w:hanging="207"/>
        <w:rPr>
          <w:sz w:val="21"/>
        </w:rPr>
      </w:pPr>
      <w:r>
        <w:rPr>
          <w:spacing w:val="-4"/>
          <w:sz w:val="21"/>
        </w:rPr>
        <w:t>Male</w:t>
      </w:r>
    </w:p>
    <w:p w:rsidR="003F5784" w14:paraId="32B8656A" w14:textId="77777777">
      <w:pPr>
        <w:pStyle w:val="ListParagraph"/>
        <w:numPr>
          <w:ilvl w:val="0"/>
          <w:numId w:val="2"/>
        </w:numPr>
        <w:tabs>
          <w:tab w:val="left" w:pos="629"/>
        </w:tabs>
        <w:spacing w:line="238" w:lineRule="exact"/>
        <w:ind w:left="629" w:hanging="207"/>
        <w:rPr>
          <w:sz w:val="21"/>
        </w:rPr>
      </w:pPr>
      <w:r>
        <w:rPr>
          <w:spacing w:val="-2"/>
          <w:sz w:val="21"/>
        </w:rPr>
        <w:t>Female</w:t>
      </w:r>
    </w:p>
    <w:p w:rsidR="003F5784" w14:paraId="67177058" w14:textId="77777777">
      <w:pPr>
        <w:pStyle w:val="BodyText"/>
      </w:pPr>
    </w:p>
    <w:p w:rsidR="003F5784" w14:paraId="093DBBD6" w14:textId="77777777">
      <w:pPr>
        <w:pStyle w:val="BodyText"/>
        <w:spacing w:before="168"/>
      </w:pPr>
    </w:p>
    <w:p w:rsidR="003F5784" w14:paraId="205BA862" w14:textId="77777777">
      <w:pPr>
        <w:pStyle w:val="BodyText"/>
        <w:spacing w:line="232" w:lineRule="auto"/>
        <w:ind w:left="109"/>
      </w:pPr>
      <w:r>
        <w:t>For the reading and mathematics samples, in states containing districts that participated in</w:t>
      </w:r>
      <w:r>
        <w:rPr>
          <w:spacing w:val="-3"/>
        </w:rPr>
        <w:t xml:space="preserve"> </w:t>
      </w:r>
      <w:r>
        <w:t>Trial Urban District</w:t>
      </w:r>
      <w:r>
        <w:rPr>
          <w:spacing w:val="-11"/>
        </w:rPr>
        <w:t xml:space="preserve"> </w:t>
      </w:r>
      <w:r>
        <w:t>Assessments (TUDA) at grades 4 and 8, the initial cells were created separately for each</w:t>
      </w:r>
      <w:r>
        <w:rPr>
          <w:spacing w:val="-3"/>
        </w:rPr>
        <w:t xml:space="preserve"> </w:t>
      </w:r>
      <w:r>
        <w:t>TUDA</w:t>
      </w:r>
      <w:r>
        <w:rPr>
          <w:spacing w:val="-11"/>
        </w:rPr>
        <w:t xml:space="preserve"> </w:t>
      </w:r>
      <w:r>
        <w:t>district and the balance of the state. For the civics and U.S. history samples at grade 8, the initial cells were created at the national level. Similar</w:t>
      </w:r>
      <w:r>
        <w:rPr>
          <w:spacing w:val="-1"/>
        </w:rPr>
        <w:t xml:space="preserve"> </w:t>
      </w:r>
      <w:r>
        <w:t>to</w:t>
      </w:r>
      <w:r>
        <w:rPr>
          <w:spacing w:val="-1"/>
        </w:rPr>
        <w:t xml:space="preserve"> </w:t>
      </w:r>
      <w:r>
        <w:t>the</w:t>
      </w:r>
      <w:r>
        <w:rPr>
          <w:spacing w:val="-1"/>
        </w:rPr>
        <w:t xml:space="preserve"> </w:t>
      </w:r>
      <w:r>
        <w:t>procedure</w:t>
      </w:r>
      <w:r>
        <w:rPr>
          <w:spacing w:val="-1"/>
        </w:rPr>
        <w:t xml:space="preserve"> </w:t>
      </w:r>
      <w:r>
        <w:t>used</w:t>
      </w:r>
      <w:r>
        <w:rPr>
          <w:spacing w:val="-1"/>
        </w:rPr>
        <w:t xml:space="preserve"> </w:t>
      </w:r>
      <w:r>
        <w:t>for</w:t>
      </w:r>
      <w:r>
        <w:rPr>
          <w:spacing w:val="-1"/>
        </w:rPr>
        <w:t xml:space="preserve"> </w:t>
      </w:r>
      <w:r>
        <w:t>school</w:t>
      </w:r>
      <w:r>
        <w:rPr>
          <w:spacing w:val="-1"/>
        </w:rPr>
        <w:t xml:space="preserve"> </w:t>
      </w:r>
      <w:r>
        <w:t>and</w:t>
      </w:r>
      <w:r>
        <w:rPr>
          <w:spacing w:val="-1"/>
        </w:rPr>
        <w:t xml:space="preserve"> </w:t>
      </w:r>
      <w:r>
        <w:t>student</w:t>
      </w:r>
      <w:r>
        <w:rPr>
          <w:spacing w:val="-1"/>
        </w:rPr>
        <w:t xml:space="preserve"> </w:t>
      </w:r>
      <w:r>
        <w:t>nonresponse</w:t>
      </w:r>
      <w:r>
        <w:rPr>
          <w:spacing w:val="-1"/>
        </w:rPr>
        <w:t xml:space="preserve"> </w:t>
      </w:r>
      <w:r>
        <w:t>adjustments,</w:t>
      </w:r>
      <w:r>
        <w:rPr>
          <w:spacing w:val="-1"/>
        </w:rPr>
        <w:t xml:space="preserve"> </w:t>
      </w:r>
      <w:r>
        <w:t>limits</w:t>
      </w:r>
      <w:r>
        <w:rPr>
          <w:spacing w:val="-1"/>
        </w:rPr>
        <w:t xml:space="preserve"> </w:t>
      </w:r>
      <w:r>
        <w:t>were</w:t>
      </w:r>
      <w:r>
        <w:rPr>
          <w:spacing w:val="-1"/>
        </w:rPr>
        <w:t xml:space="preserve"> </w:t>
      </w:r>
      <w:r>
        <w:t>placed</w:t>
      </w:r>
      <w:r>
        <w:rPr>
          <w:spacing w:val="-1"/>
        </w:rPr>
        <w:t xml:space="preserve"> </w:t>
      </w:r>
      <w:r>
        <w:t>on</w:t>
      </w:r>
      <w:r>
        <w:rPr>
          <w:spacing w:val="-1"/>
        </w:rPr>
        <w:t xml:space="preserve"> </w:t>
      </w:r>
      <w:r>
        <w:t>the</w:t>
      </w:r>
      <w:r>
        <w:rPr>
          <w:spacing w:val="-1"/>
        </w:rPr>
        <w:t xml:space="preserve"> </w:t>
      </w:r>
      <w:r>
        <w:t>magnitude</w:t>
      </w:r>
      <w:r>
        <w:rPr>
          <w:spacing w:val="-1"/>
        </w:rPr>
        <w:t xml:space="preserve"> </w:t>
      </w:r>
      <w:r>
        <w:t>of</w:t>
      </w:r>
      <w:r>
        <w:rPr>
          <w:spacing w:val="-1"/>
        </w:rPr>
        <w:t xml:space="preserve"> </w:t>
      </w:r>
      <w:r>
        <w:t>the</w:t>
      </w:r>
      <w:r>
        <w:rPr>
          <w:spacing w:val="-1"/>
        </w:rPr>
        <w:t xml:space="preserve"> </w:t>
      </w:r>
      <w:r>
        <w:t>cell</w:t>
      </w:r>
      <w:r>
        <w:rPr>
          <w:spacing w:val="-1"/>
        </w:rPr>
        <w:t xml:space="preserve"> </w:t>
      </w:r>
      <w:r>
        <w:t>sizes</w:t>
      </w:r>
      <w:r>
        <w:rPr>
          <w:spacing w:val="-1"/>
        </w:rPr>
        <w:t xml:space="preserve"> </w:t>
      </w:r>
      <w:r>
        <w:t>and</w:t>
      </w:r>
      <w:r>
        <w:rPr>
          <w:spacing w:val="-1"/>
        </w:rPr>
        <w:t xml:space="preserve"> </w:t>
      </w:r>
      <w:r>
        <w:t>adjustment</w:t>
      </w:r>
      <w:r>
        <w:rPr>
          <w:spacing w:val="-1"/>
        </w:rPr>
        <w:t xml:space="preserve"> </w:t>
      </w:r>
      <w:r>
        <w:t>factors</w:t>
      </w:r>
      <w:r>
        <w:rPr>
          <w:spacing w:val="-1"/>
        </w:rPr>
        <w:t xml:space="preserve"> </w:t>
      </w:r>
      <w:r>
        <w:t>to</w:t>
      </w:r>
      <w:r>
        <w:rPr>
          <w:spacing w:val="-1"/>
        </w:rPr>
        <w:t xml:space="preserve"> </w:t>
      </w:r>
      <w:r>
        <w:t>prevent</w:t>
      </w:r>
      <w:r>
        <w:rPr>
          <w:spacing w:val="-1"/>
        </w:rPr>
        <w:t xml:space="preserve"> </w:t>
      </w:r>
      <w:r>
        <w:t>unstable raking adjustments that could have resulted in unacceptably large or small adjustment factors. Levels of a dimension were combined whenever 1) there were fewer than 30 assessed,</w:t>
      </w:r>
      <w:r>
        <w:rPr>
          <w:spacing w:val="-6"/>
        </w:rPr>
        <w:t xml:space="preserve"> </w:t>
      </w:r>
      <w:r>
        <w:t>excluded,</w:t>
      </w:r>
      <w:r>
        <w:rPr>
          <w:spacing w:val="-6"/>
        </w:rPr>
        <w:t xml:space="preserve"> </w:t>
      </w:r>
      <w:r>
        <w:t>or</w:t>
      </w:r>
      <w:r>
        <w:rPr>
          <w:spacing w:val="-6"/>
        </w:rPr>
        <w:t xml:space="preserve"> </w:t>
      </w:r>
      <w:r>
        <w:t>full-time</w:t>
      </w:r>
      <w:r>
        <w:rPr>
          <w:spacing w:val="-6"/>
        </w:rPr>
        <w:t xml:space="preserve"> </w:t>
      </w:r>
      <w:r>
        <w:t>remote</w:t>
      </w:r>
      <w:r>
        <w:rPr>
          <w:spacing w:val="-6"/>
        </w:rPr>
        <w:t xml:space="preserve"> </w:t>
      </w:r>
      <w:r>
        <w:t>students</w:t>
      </w:r>
      <w:r>
        <w:rPr>
          <w:spacing w:val="-6"/>
        </w:rPr>
        <w:t xml:space="preserve"> </w:t>
      </w:r>
      <w:r>
        <w:t>(20</w:t>
      </w:r>
      <w:r>
        <w:rPr>
          <w:spacing w:val="-6"/>
        </w:rPr>
        <w:t xml:space="preserve"> </w:t>
      </w:r>
      <w:r>
        <w:t>for</w:t>
      </w:r>
      <w:r>
        <w:rPr>
          <w:spacing w:val="-6"/>
        </w:rPr>
        <w:t xml:space="preserve"> </w:t>
      </w:r>
      <w:r>
        <w:t>any</w:t>
      </w:r>
      <w:r>
        <w:rPr>
          <w:spacing w:val="-6"/>
        </w:rPr>
        <w:t xml:space="preserve"> </w:t>
      </w:r>
      <w:r>
        <w:t>of</w:t>
      </w:r>
      <w:r>
        <w:rPr>
          <w:spacing w:val="-6"/>
        </w:rPr>
        <w:t xml:space="preserve"> </w:t>
      </w:r>
      <w:r>
        <w:t>the</w:t>
      </w:r>
      <w:r>
        <w:rPr>
          <w:spacing w:val="-6"/>
        </w:rPr>
        <w:t xml:space="preserve"> </w:t>
      </w:r>
      <w:r>
        <w:t>replicates)</w:t>
      </w:r>
      <w:r>
        <w:rPr>
          <w:spacing w:val="-6"/>
        </w:rPr>
        <w:t xml:space="preserve"> </w:t>
      </w:r>
      <w:r>
        <w:t>in</w:t>
      </w:r>
      <w:r>
        <w:rPr>
          <w:spacing w:val="-6"/>
        </w:rPr>
        <w:t xml:space="preserve"> </w:t>
      </w:r>
      <w:r>
        <w:t>a</w:t>
      </w:r>
      <w:r>
        <w:rPr>
          <w:spacing w:val="-6"/>
        </w:rPr>
        <w:t xml:space="preserve"> </w:t>
      </w:r>
      <w:r>
        <w:t>category,</w:t>
      </w:r>
      <w:r>
        <w:rPr>
          <w:spacing w:val="-6"/>
        </w:rPr>
        <w:t xml:space="preserve"> </w:t>
      </w:r>
      <w:r>
        <w:t>2)</w:t>
      </w:r>
      <w:r>
        <w:rPr>
          <w:spacing w:val="-6"/>
        </w:rPr>
        <w:t xml:space="preserve"> </w:t>
      </w:r>
      <w:r>
        <w:t>the</w:t>
      </w:r>
      <w:r>
        <w:rPr>
          <w:spacing w:val="-6"/>
        </w:rPr>
        <w:t xml:space="preserve"> </w:t>
      </w:r>
      <w:r>
        <w:t>smallest</w:t>
      </w:r>
      <w:r>
        <w:rPr>
          <w:spacing w:val="-6"/>
        </w:rPr>
        <w:t xml:space="preserve"> </w:t>
      </w:r>
      <w:r>
        <w:t>adjustment</w:t>
      </w:r>
      <w:r>
        <w:rPr>
          <w:spacing w:val="-6"/>
        </w:rPr>
        <w:t xml:space="preserve"> </w:t>
      </w:r>
      <w:r>
        <w:t>was</w:t>
      </w:r>
      <w:r>
        <w:rPr>
          <w:spacing w:val="-6"/>
        </w:rPr>
        <w:t xml:space="preserve"> </w:t>
      </w:r>
      <w:r>
        <w:t>less</w:t>
      </w:r>
      <w:r>
        <w:rPr>
          <w:spacing w:val="-6"/>
        </w:rPr>
        <w:t xml:space="preserve"> </w:t>
      </w:r>
      <w:r>
        <w:t>than</w:t>
      </w:r>
      <w:r>
        <w:rPr>
          <w:spacing w:val="-6"/>
        </w:rPr>
        <w:t xml:space="preserve"> </w:t>
      </w:r>
      <w:r>
        <w:t>0.5,</w:t>
      </w:r>
      <w:r>
        <w:rPr>
          <w:spacing w:val="-6"/>
        </w:rPr>
        <w:t xml:space="preserve"> </w:t>
      </w:r>
      <w:r>
        <w:t>or</w:t>
      </w:r>
      <w:r>
        <w:rPr>
          <w:spacing w:val="-6"/>
        </w:rPr>
        <w:t xml:space="preserve"> </w:t>
      </w:r>
      <w:r>
        <w:t>3)</w:t>
      </w:r>
      <w:r>
        <w:rPr>
          <w:spacing w:val="-6"/>
        </w:rPr>
        <w:t xml:space="preserve"> </w:t>
      </w:r>
      <w:r>
        <w:t>the</w:t>
      </w:r>
      <w:r>
        <w:rPr>
          <w:spacing w:val="-6"/>
        </w:rPr>
        <w:t xml:space="preserve"> </w:t>
      </w:r>
      <w:r>
        <w:t>largest</w:t>
      </w:r>
      <w:r>
        <w:rPr>
          <w:spacing w:val="-6"/>
        </w:rPr>
        <w:t xml:space="preserve"> </w:t>
      </w:r>
      <w:r>
        <w:t>adjustment</w:t>
      </w:r>
      <w:r>
        <w:rPr>
          <w:spacing w:val="-6"/>
        </w:rPr>
        <w:t xml:space="preserve"> </w:t>
      </w:r>
      <w:r>
        <w:t>was</w:t>
      </w:r>
      <w:r>
        <w:rPr>
          <w:spacing w:val="-6"/>
        </w:rPr>
        <w:t xml:space="preserve"> </w:t>
      </w:r>
      <w:r>
        <w:t>greater than 2 for the full sample or for any replicate.</w:t>
      </w:r>
    </w:p>
    <w:p w:rsidR="003F5784" w14:paraId="77576E72" w14:textId="77777777">
      <w:pPr>
        <w:spacing w:line="232" w:lineRule="auto"/>
        <w:sectPr>
          <w:pgSz w:w="15840" w:h="12240" w:orient="landscape"/>
          <w:pgMar w:top="480" w:right="440" w:bottom="460" w:left="460" w:header="284" w:footer="275" w:gutter="0"/>
          <w:cols w:space="720"/>
        </w:sectPr>
      </w:pPr>
    </w:p>
    <w:p w:rsidR="003F5784" w14:paraId="70350A1D" w14:textId="77777777">
      <w:pPr>
        <w:pStyle w:val="BodyText"/>
        <w:spacing w:before="78" w:line="232" w:lineRule="auto"/>
        <w:ind w:left="109"/>
      </w:pPr>
      <w:r>
        <w:t>If</w:t>
      </w:r>
      <w:r>
        <w:rPr>
          <w:spacing w:val="-8"/>
        </w:rPr>
        <w:t xml:space="preserve"> </w:t>
      </w:r>
      <w:r>
        <w:t>collapsing</w:t>
      </w:r>
      <w:r>
        <w:rPr>
          <w:spacing w:val="-8"/>
        </w:rPr>
        <w:t xml:space="preserve"> </w:t>
      </w:r>
      <w:r>
        <w:t>was</w:t>
      </w:r>
      <w:r>
        <w:rPr>
          <w:spacing w:val="-8"/>
        </w:rPr>
        <w:t xml:space="preserve"> </w:t>
      </w:r>
      <w:r>
        <w:t>necessary</w:t>
      </w:r>
      <w:r>
        <w:rPr>
          <w:spacing w:val="-8"/>
        </w:rPr>
        <w:t xml:space="preserve"> </w:t>
      </w:r>
      <w:r>
        <w:t>for</w:t>
      </w:r>
      <w:r>
        <w:rPr>
          <w:spacing w:val="-8"/>
        </w:rPr>
        <w:t xml:space="preserve"> </w:t>
      </w:r>
      <w:r>
        <w:t>the</w:t>
      </w:r>
      <w:r>
        <w:rPr>
          <w:spacing w:val="-8"/>
        </w:rPr>
        <w:t xml:space="preserve"> </w:t>
      </w:r>
      <w:r>
        <w:t>race/ethnicity</w:t>
      </w:r>
      <w:r>
        <w:rPr>
          <w:spacing w:val="-8"/>
        </w:rPr>
        <w:t xml:space="preserve"> </w:t>
      </w:r>
      <w:r>
        <w:t>dimension,</w:t>
      </w:r>
      <w:r>
        <w:rPr>
          <w:spacing w:val="-8"/>
        </w:rPr>
        <w:t xml:space="preserve"> </w:t>
      </w:r>
      <w:r>
        <w:t>individual</w:t>
      </w:r>
      <w:r>
        <w:rPr>
          <w:spacing w:val="-8"/>
        </w:rPr>
        <w:t xml:space="preserve"> </w:t>
      </w:r>
      <w:r>
        <w:t>groups</w:t>
      </w:r>
      <w:r>
        <w:rPr>
          <w:spacing w:val="-8"/>
        </w:rPr>
        <w:t xml:space="preserve"> </w:t>
      </w:r>
      <w:r>
        <w:t>with</w:t>
      </w:r>
      <w:r>
        <w:rPr>
          <w:spacing w:val="-8"/>
        </w:rPr>
        <w:t xml:space="preserve"> </w:t>
      </w:r>
      <w:r>
        <w:t>similar</w:t>
      </w:r>
      <w:r>
        <w:rPr>
          <w:spacing w:val="-8"/>
        </w:rPr>
        <w:t xml:space="preserve"> </w:t>
      </w:r>
      <w:r>
        <w:t>student</w:t>
      </w:r>
      <w:r>
        <w:rPr>
          <w:spacing w:val="-8"/>
        </w:rPr>
        <w:t xml:space="preserve"> </w:t>
      </w:r>
      <w:r>
        <w:t>achievement</w:t>
      </w:r>
      <w:r>
        <w:rPr>
          <w:spacing w:val="-8"/>
        </w:rPr>
        <w:t xml:space="preserve"> </w:t>
      </w:r>
      <w:r>
        <w:t>levels</w:t>
      </w:r>
      <w:r>
        <w:rPr>
          <w:spacing w:val="-8"/>
        </w:rPr>
        <w:t xml:space="preserve"> </w:t>
      </w:r>
      <w:r>
        <w:t>were</w:t>
      </w:r>
      <w:r>
        <w:rPr>
          <w:spacing w:val="-8"/>
        </w:rPr>
        <w:t xml:space="preserve"> </w:t>
      </w:r>
      <w:r>
        <w:t>combined</w:t>
      </w:r>
      <w:r>
        <w:rPr>
          <w:spacing w:val="-8"/>
        </w:rPr>
        <w:t xml:space="preserve"> </w:t>
      </w:r>
      <w:r>
        <w:t>first.</w:t>
      </w:r>
      <w:r>
        <w:rPr>
          <w:spacing w:val="-8"/>
        </w:rPr>
        <w:t xml:space="preserve"> </w:t>
      </w:r>
      <w:r>
        <w:t>If</w:t>
      </w:r>
      <w:r>
        <w:rPr>
          <w:spacing w:val="-8"/>
        </w:rPr>
        <w:t xml:space="preserve"> </w:t>
      </w:r>
      <w:r>
        <w:t>further</w:t>
      </w:r>
      <w:r>
        <w:rPr>
          <w:spacing w:val="-8"/>
        </w:rPr>
        <w:t xml:space="preserve"> </w:t>
      </w:r>
      <w:r>
        <w:t>collapsing</w:t>
      </w:r>
      <w:r>
        <w:rPr>
          <w:spacing w:val="-8"/>
        </w:rPr>
        <w:t xml:space="preserve"> </w:t>
      </w:r>
      <w:r>
        <w:t>was</w:t>
      </w:r>
      <w:r>
        <w:rPr>
          <w:spacing w:val="-8"/>
        </w:rPr>
        <w:t xml:space="preserve"> </w:t>
      </w:r>
      <w:r>
        <w:t>necessary, the next closest race/ethnicity group was combined as well, and so on until all collapsing rules were satisfied. In some instances, all seven categories had to be collapsed.</w:t>
      </w:r>
    </w:p>
    <w:p w:rsidR="003F5784" w14:paraId="3DD200BB" w14:textId="77777777">
      <w:pPr>
        <w:pStyle w:val="BodyText"/>
        <w:spacing w:before="209" w:line="232" w:lineRule="auto"/>
        <w:ind w:left="109"/>
      </w:pPr>
      <w:r>
        <w:t>If</w:t>
      </w:r>
      <w:r>
        <w:rPr>
          <w:spacing w:val="-7"/>
        </w:rPr>
        <w:t xml:space="preserve"> </w:t>
      </w:r>
      <w:r>
        <w:t>collapsing</w:t>
      </w:r>
      <w:r>
        <w:rPr>
          <w:spacing w:val="-6"/>
        </w:rPr>
        <w:t xml:space="preserve"> </w:t>
      </w:r>
      <w:r>
        <w:t>was</w:t>
      </w:r>
      <w:r>
        <w:rPr>
          <w:spacing w:val="-6"/>
        </w:rPr>
        <w:t xml:space="preserve"> </w:t>
      </w:r>
      <w:r>
        <w:t>necessary</w:t>
      </w:r>
      <w:r>
        <w:rPr>
          <w:spacing w:val="-6"/>
        </w:rPr>
        <w:t xml:space="preserve"> </w:t>
      </w:r>
      <w:r>
        <w:t>for</w:t>
      </w:r>
      <w:r>
        <w:rPr>
          <w:spacing w:val="-6"/>
        </w:rPr>
        <w:t xml:space="preserve"> </w:t>
      </w:r>
      <w:r>
        <w:t>the</w:t>
      </w:r>
      <w:r>
        <w:rPr>
          <w:spacing w:val="-6"/>
        </w:rPr>
        <w:t xml:space="preserve"> </w:t>
      </w:r>
      <w:r>
        <w:t>SD/EL</w:t>
      </w:r>
      <w:r>
        <w:rPr>
          <w:spacing w:val="-14"/>
        </w:rPr>
        <w:t xml:space="preserve"> </w:t>
      </w:r>
      <w:r>
        <w:t>dimension,</w:t>
      </w:r>
      <w:r>
        <w:rPr>
          <w:spacing w:val="-6"/>
        </w:rPr>
        <w:t xml:space="preserve"> </w:t>
      </w:r>
      <w:r>
        <w:t>the</w:t>
      </w:r>
      <w:r>
        <w:rPr>
          <w:spacing w:val="-6"/>
        </w:rPr>
        <w:t xml:space="preserve"> </w:t>
      </w:r>
      <w:r>
        <w:t>SD/not</w:t>
      </w:r>
      <w:r>
        <w:rPr>
          <w:spacing w:val="-6"/>
        </w:rPr>
        <w:t xml:space="preserve"> </w:t>
      </w:r>
      <w:r>
        <w:t>EL</w:t>
      </w:r>
      <w:r>
        <w:rPr>
          <w:spacing w:val="-14"/>
        </w:rPr>
        <w:t xml:space="preserve"> </w:t>
      </w:r>
      <w:r>
        <w:t>and</w:t>
      </w:r>
      <w:r>
        <w:rPr>
          <w:spacing w:val="-6"/>
        </w:rPr>
        <w:t xml:space="preserve"> </w:t>
      </w:r>
      <w:r>
        <w:t>SD/EL</w:t>
      </w:r>
      <w:r>
        <w:rPr>
          <w:spacing w:val="-14"/>
        </w:rPr>
        <w:t xml:space="preserve"> </w:t>
      </w:r>
      <w:r>
        <w:t>categories</w:t>
      </w:r>
      <w:r>
        <w:rPr>
          <w:spacing w:val="-6"/>
        </w:rPr>
        <w:t xml:space="preserve"> </w:t>
      </w:r>
      <w:r>
        <w:t>were</w:t>
      </w:r>
      <w:r>
        <w:rPr>
          <w:spacing w:val="-6"/>
        </w:rPr>
        <w:t xml:space="preserve"> </w:t>
      </w:r>
      <w:r>
        <w:t>combined</w:t>
      </w:r>
      <w:r>
        <w:rPr>
          <w:spacing w:val="-6"/>
        </w:rPr>
        <w:t xml:space="preserve"> </w:t>
      </w:r>
      <w:r>
        <w:t>first,</w:t>
      </w:r>
      <w:r>
        <w:rPr>
          <w:spacing w:val="-6"/>
        </w:rPr>
        <w:t xml:space="preserve"> </w:t>
      </w:r>
      <w:r>
        <w:t>followed</w:t>
      </w:r>
      <w:r>
        <w:rPr>
          <w:spacing w:val="-6"/>
        </w:rPr>
        <w:t xml:space="preserve"> </w:t>
      </w:r>
      <w:r>
        <w:t>by</w:t>
      </w:r>
      <w:r>
        <w:rPr>
          <w:spacing w:val="-6"/>
        </w:rPr>
        <w:t xml:space="preserve"> </w:t>
      </w:r>
      <w:r>
        <w:t>EL/not</w:t>
      </w:r>
      <w:r>
        <w:rPr>
          <w:spacing w:val="-6"/>
        </w:rPr>
        <w:t xml:space="preserve"> </w:t>
      </w:r>
      <w:r>
        <w:t>SD</w:t>
      </w:r>
      <w:r>
        <w:rPr>
          <w:spacing w:val="-6"/>
        </w:rPr>
        <w:t xml:space="preserve"> </w:t>
      </w:r>
      <w:r>
        <w:t>if</w:t>
      </w:r>
      <w:r>
        <w:rPr>
          <w:spacing w:val="-6"/>
        </w:rPr>
        <w:t xml:space="preserve"> </w:t>
      </w:r>
      <w:r>
        <w:t>further</w:t>
      </w:r>
      <w:r>
        <w:rPr>
          <w:spacing w:val="-6"/>
        </w:rPr>
        <w:t xml:space="preserve"> </w:t>
      </w:r>
      <w:r>
        <w:t>collapsing</w:t>
      </w:r>
      <w:r>
        <w:rPr>
          <w:spacing w:val="-6"/>
        </w:rPr>
        <w:t xml:space="preserve"> </w:t>
      </w:r>
      <w:r>
        <w:t>was</w:t>
      </w:r>
      <w:r>
        <w:rPr>
          <w:spacing w:val="-6"/>
        </w:rPr>
        <w:t xml:space="preserve"> </w:t>
      </w:r>
      <w:r>
        <w:t>necessary.</w:t>
      </w:r>
      <w:r>
        <w:rPr>
          <w:spacing w:val="-6"/>
        </w:rPr>
        <w:t xml:space="preserve"> </w:t>
      </w:r>
      <w:r>
        <w:t>In some instances, all four categories had to be collapsed.</w:t>
      </w:r>
    </w:p>
    <w:p w:rsidR="003F5784" w14:paraId="3C72EC10" w14:textId="05CA4A7F">
      <w:pPr>
        <w:pStyle w:val="BodyText"/>
        <w:spacing w:before="204"/>
        <w:ind w:left="109"/>
      </w:pPr>
      <w:r>
        <w:t>Collapsing</w:t>
      </w:r>
      <w:r>
        <w:rPr>
          <w:spacing w:val="-7"/>
        </w:rPr>
        <w:t xml:space="preserve"> </w:t>
      </w:r>
      <w:r w:rsidR="00B4162D">
        <w:t>sex</w:t>
      </w:r>
      <w:r>
        <w:rPr>
          <w:spacing w:val="-7"/>
        </w:rPr>
        <w:t xml:space="preserve"> </w:t>
      </w:r>
      <w:r>
        <w:t>is</w:t>
      </w:r>
      <w:r>
        <w:rPr>
          <w:spacing w:val="-7"/>
        </w:rPr>
        <w:t xml:space="preserve"> </w:t>
      </w:r>
      <w:r>
        <w:t>generally</w:t>
      </w:r>
      <w:r>
        <w:rPr>
          <w:spacing w:val="-7"/>
        </w:rPr>
        <w:t xml:space="preserve"> </w:t>
      </w:r>
      <w:r>
        <w:t>not</w:t>
      </w:r>
      <w:r>
        <w:rPr>
          <w:spacing w:val="-6"/>
        </w:rPr>
        <w:t xml:space="preserve"> </w:t>
      </w:r>
      <w:r>
        <w:t>expected.</w:t>
      </w:r>
      <w:r>
        <w:rPr>
          <w:spacing w:val="-7"/>
        </w:rPr>
        <w:t xml:space="preserve"> </w:t>
      </w:r>
      <w:r>
        <w:t>However,</w:t>
      </w:r>
      <w:r>
        <w:rPr>
          <w:spacing w:val="-7"/>
        </w:rPr>
        <w:t xml:space="preserve"> </w:t>
      </w:r>
      <w:r>
        <w:t>in</w:t>
      </w:r>
      <w:r>
        <w:rPr>
          <w:spacing w:val="-7"/>
        </w:rPr>
        <w:t xml:space="preserve"> </w:t>
      </w:r>
      <w:r>
        <w:t>the</w:t>
      </w:r>
      <w:r>
        <w:rPr>
          <w:spacing w:val="-6"/>
        </w:rPr>
        <w:t xml:space="preserve"> </w:t>
      </w:r>
      <w:r>
        <w:t>rare</w:t>
      </w:r>
      <w:r>
        <w:rPr>
          <w:spacing w:val="-7"/>
        </w:rPr>
        <w:t xml:space="preserve"> </w:t>
      </w:r>
      <w:r>
        <w:t>event</w:t>
      </w:r>
      <w:r>
        <w:rPr>
          <w:spacing w:val="-7"/>
        </w:rPr>
        <w:t xml:space="preserve"> </w:t>
      </w:r>
      <w:r>
        <w:t>that</w:t>
      </w:r>
      <w:r>
        <w:rPr>
          <w:spacing w:val="-7"/>
        </w:rPr>
        <w:t xml:space="preserve"> </w:t>
      </w:r>
      <w:r>
        <w:t>it</w:t>
      </w:r>
      <w:r>
        <w:rPr>
          <w:spacing w:val="-6"/>
        </w:rPr>
        <w:t xml:space="preserve"> </w:t>
      </w:r>
      <w:r>
        <w:t>is</w:t>
      </w:r>
      <w:r>
        <w:rPr>
          <w:spacing w:val="-7"/>
        </w:rPr>
        <w:t xml:space="preserve"> </w:t>
      </w:r>
      <w:r>
        <w:t>necessary,</w:t>
      </w:r>
      <w:r>
        <w:rPr>
          <w:spacing w:val="-7"/>
        </w:rPr>
        <w:t xml:space="preserve"> </w:t>
      </w:r>
      <w:r>
        <w:t>male</w:t>
      </w:r>
      <w:r>
        <w:rPr>
          <w:spacing w:val="-7"/>
        </w:rPr>
        <w:t xml:space="preserve"> </w:t>
      </w:r>
      <w:r>
        <w:t>and</w:t>
      </w:r>
      <w:r>
        <w:rPr>
          <w:spacing w:val="-6"/>
        </w:rPr>
        <w:t xml:space="preserve"> </w:t>
      </w:r>
      <w:r>
        <w:t>female</w:t>
      </w:r>
      <w:r>
        <w:rPr>
          <w:spacing w:val="-7"/>
        </w:rPr>
        <w:t xml:space="preserve"> </w:t>
      </w:r>
      <w:r>
        <w:t>categories</w:t>
      </w:r>
      <w:r>
        <w:rPr>
          <w:spacing w:val="-7"/>
        </w:rPr>
        <w:t xml:space="preserve"> </w:t>
      </w:r>
      <w:r>
        <w:t>would</w:t>
      </w:r>
      <w:r>
        <w:rPr>
          <w:spacing w:val="-7"/>
        </w:rPr>
        <w:t xml:space="preserve"> </w:t>
      </w:r>
      <w:r>
        <w:t>be</w:t>
      </w:r>
      <w:r>
        <w:rPr>
          <w:spacing w:val="-6"/>
        </w:rPr>
        <w:t xml:space="preserve"> </w:t>
      </w:r>
      <w:r>
        <w:rPr>
          <w:spacing w:val="-2"/>
        </w:rPr>
        <w:t>collapsed.</w:t>
      </w:r>
    </w:p>
    <w:p w:rsidR="003F5784" w14:paraId="1FD6EB65" w14:textId="77777777">
      <w:pPr>
        <w:pStyle w:val="BodyText"/>
      </w:pPr>
    </w:p>
    <w:p w:rsidR="003F5784" w14:paraId="13114368" w14:textId="77777777">
      <w:pPr>
        <w:pStyle w:val="BodyText"/>
      </w:pPr>
    </w:p>
    <w:p w:rsidR="003F5784" w14:paraId="1853ABB9" w14:textId="77777777">
      <w:pPr>
        <w:pStyle w:val="BodyText"/>
        <w:spacing w:before="143"/>
      </w:pPr>
    </w:p>
    <w:p w:rsidR="003F5784" w14:paraId="5CEFA1DC" w14:textId="77777777">
      <w:pPr>
        <w:ind w:left="4906"/>
        <w:rPr>
          <w:sz w:val="18"/>
        </w:rPr>
      </w:pPr>
      <w:hyperlink r:id="rId495">
        <w:r>
          <w:rPr>
            <w:spacing w:val="-2"/>
            <w:w w:val="105"/>
            <w:sz w:val="18"/>
          </w:rPr>
          <w:t>http://nces.ed.gov/nationsreportcard/tdw/weighting/2022/development_of_final_raking_dimensions_for_the_2022_assessment.aspx</w:t>
        </w:r>
      </w:hyperlink>
    </w:p>
    <w:p w:rsidR="003F5784" w14:paraId="702163F7" w14:textId="77777777">
      <w:pPr>
        <w:pStyle w:val="BodyText"/>
        <w:spacing w:before="1"/>
        <w:rPr>
          <w:sz w:val="16"/>
        </w:rPr>
      </w:pPr>
      <w:r>
        <w:rPr>
          <w:noProof/>
        </w:rPr>
        <mc:AlternateContent>
          <mc:Choice Requires="wps">
            <w:drawing>
              <wp:anchor distT="0" distB="0" distL="0" distR="0" simplePos="0" relativeHeight="252007424" behindDoc="1" locked="0" layoutInCell="1" allowOverlap="1">
                <wp:simplePos x="0" y="0"/>
                <wp:positionH relativeFrom="page">
                  <wp:posOffset>361937</wp:posOffset>
                </wp:positionH>
                <wp:positionV relativeFrom="paragraph">
                  <wp:posOffset>132965</wp:posOffset>
                </wp:positionV>
                <wp:extent cx="9339580" cy="8890"/>
                <wp:effectExtent l="0" t="0" r="0" b="0"/>
                <wp:wrapTopAndBottom/>
                <wp:docPr id="610" name="Graphic 610"/>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80"/>
                              </a:lnTo>
                              <a:lnTo>
                                <a:pt x="9335110" y="8305"/>
                              </a:lnTo>
                              <a:lnTo>
                                <a:pt x="9338970" y="8305"/>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610" o:spid="_x0000_s1189" style="width:735.4pt;height:0.7pt;margin-top:10.45pt;margin-left:28.5pt;mso-position-horizontal-relative:page;mso-wrap-distance-bottom:0;mso-wrap-distance-left:0;mso-wrap-distance-right:0;mso-wrap-distance-top:0;mso-wrap-style:square;position:absolute;visibility:visible;v-text-anchor:top;z-index:-251308032" coordsize="9339580,8890" path="m9338970,25l9335110,25l8280,25,,,,8280l9335110,8305l9338970,8305l9338970,25xe" fillcolor="gray" stroked="f">
                <v:path arrowok="t"/>
                <w10:wrap type="topAndBottom"/>
              </v:shape>
            </w:pict>
          </mc:Fallback>
        </mc:AlternateContent>
      </w:r>
    </w:p>
    <w:p w:rsidR="003F5784" w14:paraId="4C04DBE9" w14:textId="77777777">
      <w:pPr>
        <w:pStyle w:val="BodyText"/>
        <w:rPr>
          <w:sz w:val="18"/>
        </w:rPr>
      </w:pPr>
    </w:p>
    <w:p w:rsidR="003F5784" w14:paraId="71756A1C" w14:textId="77777777">
      <w:pPr>
        <w:pStyle w:val="BodyText"/>
        <w:spacing w:before="193"/>
        <w:rPr>
          <w:sz w:val="18"/>
        </w:rPr>
      </w:pPr>
    </w:p>
    <w:p w:rsidR="003F5784" w14:paraId="4074A6AA" w14:textId="241EEB89">
      <w:pPr>
        <w:pStyle w:val="Heading1"/>
      </w:pPr>
      <w:r>
        <w:t>NAEP</w:t>
      </w:r>
      <w:r>
        <w:rPr>
          <w:spacing w:val="-21"/>
        </w:rPr>
        <w:t xml:space="preserve"> </w:t>
      </w:r>
      <w:r>
        <w:t>Technical</w:t>
      </w:r>
      <w:r>
        <w:rPr>
          <w:spacing w:val="14"/>
        </w:rPr>
        <w:t xml:space="preserve"> </w:t>
      </w:r>
      <w:r>
        <w:t>Documentation</w:t>
      </w:r>
      <w:r w:rsidR="00ED683B">
        <w:t xml:space="preserve"> </w:t>
      </w:r>
      <w:r>
        <w:t>Raking</w:t>
      </w:r>
      <w:r>
        <w:rPr>
          <w:spacing w:val="-12"/>
        </w:rPr>
        <w:t xml:space="preserve"> </w:t>
      </w:r>
      <w:r>
        <w:t>Adjustment</w:t>
      </w:r>
      <w:r>
        <w:rPr>
          <w:spacing w:val="13"/>
        </w:rPr>
        <w:t xml:space="preserve"> </w:t>
      </w:r>
      <w:r>
        <w:t>Control</w:t>
      </w:r>
      <w:r>
        <w:rPr>
          <w:spacing w:val="6"/>
        </w:rPr>
        <w:t xml:space="preserve"> </w:t>
      </w:r>
      <w:r>
        <w:rPr>
          <w:spacing w:val="-2"/>
        </w:rPr>
        <w:t>Totals</w:t>
      </w:r>
    </w:p>
    <w:p w:rsidR="003F5784" w14:paraId="562A9036" w14:textId="77777777">
      <w:pPr>
        <w:pStyle w:val="BodyText"/>
        <w:spacing w:before="295" w:line="232" w:lineRule="auto"/>
        <w:ind w:left="109" w:right="179"/>
      </w:pPr>
      <w:r>
        <w:t>The</w:t>
      </w:r>
      <w:r>
        <w:rPr>
          <w:spacing w:val="-5"/>
        </w:rPr>
        <w:t xml:space="preserve"> </w:t>
      </w:r>
      <w:r>
        <w:t>control</w:t>
      </w:r>
      <w:r>
        <w:rPr>
          <w:spacing w:val="-5"/>
        </w:rPr>
        <w:t xml:space="preserve"> </w:t>
      </w:r>
      <w:r>
        <w:t>totals</w:t>
      </w:r>
      <w:r>
        <w:rPr>
          <w:spacing w:val="-5"/>
        </w:rPr>
        <w:t xml:space="preserve"> </w:t>
      </w:r>
      <w:r>
        <w:t>used</w:t>
      </w:r>
      <w:r>
        <w:rPr>
          <w:spacing w:val="-5"/>
        </w:rPr>
        <w:t xml:space="preserve"> </w:t>
      </w:r>
      <w:r>
        <w:t>in</w:t>
      </w:r>
      <w:r>
        <w:rPr>
          <w:spacing w:val="-5"/>
        </w:rPr>
        <w:t xml:space="preserve"> </w:t>
      </w:r>
      <w:r>
        <w:t>the</w:t>
      </w:r>
      <w:r>
        <w:rPr>
          <w:spacing w:val="-5"/>
        </w:rPr>
        <w:t xml:space="preserve"> </w:t>
      </w:r>
      <w:r>
        <w:t>raking</w:t>
      </w:r>
      <w:r>
        <w:rPr>
          <w:spacing w:val="-5"/>
        </w:rPr>
        <w:t xml:space="preserve"> </w:t>
      </w:r>
      <w:r>
        <w:t>procedure</w:t>
      </w:r>
      <w:r>
        <w:rPr>
          <w:spacing w:val="-5"/>
        </w:rPr>
        <w:t xml:space="preserve"> </w:t>
      </w:r>
      <w:r>
        <w:t>for</w:t>
      </w:r>
      <w:r>
        <w:rPr>
          <w:spacing w:val="-5"/>
        </w:rPr>
        <w:t xml:space="preserve"> </w:t>
      </w:r>
      <w:r>
        <w:t>NAEP</w:t>
      </w:r>
      <w:r>
        <w:rPr>
          <w:spacing w:val="-13"/>
        </w:rPr>
        <w:t xml:space="preserve"> </w:t>
      </w:r>
      <w:r>
        <w:t>2022</w:t>
      </w:r>
      <w:r>
        <w:rPr>
          <w:spacing w:val="-5"/>
        </w:rPr>
        <w:t xml:space="preserve"> </w:t>
      </w:r>
      <w:r>
        <w:t>at</w:t>
      </w:r>
      <w:r>
        <w:rPr>
          <w:spacing w:val="-5"/>
        </w:rPr>
        <w:t xml:space="preserve"> </w:t>
      </w:r>
      <w:r>
        <w:t>grades</w:t>
      </w:r>
      <w:r>
        <w:rPr>
          <w:spacing w:val="-5"/>
        </w:rPr>
        <w:t xml:space="preserve"> </w:t>
      </w:r>
      <w:r>
        <w:t>4</w:t>
      </w:r>
      <w:r>
        <w:rPr>
          <w:spacing w:val="-5"/>
        </w:rPr>
        <w:t xml:space="preserve"> </w:t>
      </w:r>
      <w:r>
        <w:t>and</w:t>
      </w:r>
      <w:r>
        <w:rPr>
          <w:spacing w:val="-5"/>
        </w:rPr>
        <w:t xml:space="preserve"> </w:t>
      </w:r>
      <w:r>
        <w:t>8</w:t>
      </w:r>
      <w:r>
        <w:rPr>
          <w:spacing w:val="-5"/>
        </w:rPr>
        <w:t xml:space="preserve"> </w:t>
      </w:r>
      <w:r>
        <w:t>were</w:t>
      </w:r>
      <w:r>
        <w:rPr>
          <w:spacing w:val="-5"/>
        </w:rPr>
        <w:t xml:space="preserve"> </w:t>
      </w:r>
      <w:r>
        <w:t>estimates</w:t>
      </w:r>
      <w:r>
        <w:rPr>
          <w:spacing w:val="-5"/>
        </w:rPr>
        <w:t xml:space="preserve"> </w:t>
      </w:r>
      <w:r>
        <w:t>of</w:t>
      </w:r>
      <w:r>
        <w:rPr>
          <w:spacing w:val="-5"/>
        </w:rPr>
        <w:t xml:space="preserve"> </w:t>
      </w:r>
      <w:r>
        <w:t>the</w:t>
      </w:r>
      <w:r>
        <w:rPr>
          <w:spacing w:val="-5"/>
        </w:rPr>
        <w:t xml:space="preserve"> </w:t>
      </w:r>
      <w:r>
        <w:t>student</w:t>
      </w:r>
      <w:r>
        <w:rPr>
          <w:spacing w:val="-5"/>
        </w:rPr>
        <w:t xml:space="preserve"> </w:t>
      </w:r>
      <w:r>
        <w:t>population</w:t>
      </w:r>
      <w:r>
        <w:rPr>
          <w:spacing w:val="-5"/>
        </w:rPr>
        <w:t xml:space="preserve"> </w:t>
      </w:r>
      <w:r>
        <w:t>derived</w:t>
      </w:r>
      <w:r>
        <w:rPr>
          <w:spacing w:val="-5"/>
        </w:rPr>
        <w:t xml:space="preserve"> </w:t>
      </w:r>
      <w:r>
        <w:t>from</w:t>
      </w:r>
      <w:r>
        <w:rPr>
          <w:spacing w:val="-5"/>
        </w:rPr>
        <w:t xml:space="preserve"> </w:t>
      </w:r>
      <w:r>
        <w:t>the</w:t>
      </w:r>
      <w:r>
        <w:rPr>
          <w:spacing w:val="-5"/>
        </w:rPr>
        <w:t xml:space="preserve"> </w:t>
      </w:r>
      <w:r>
        <w:t>set</w:t>
      </w:r>
      <w:r>
        <w:rPr>
          <w:spacing w:val="-5"/>
        </w:rPr>
        <w:t xml:space="preserve"> </w:t>
      </w:r>
      <w:r>
        <w:t>of</w:t>
      </w:r>
      <w:r>
        <w:rPr>
          <w:spacing w:val="-5"/>
        </w:rPr>
        <w:t xml:space="preserve"> </w:t>
      </w:r>
      <w:r>
        <w:t>assessed,</w:t>
      </w:r>
      <w:r>
        <w:rPr>
          <w:spacing w:val="-5"/>
        </w:rPr>
        <w:t xml:space="preserve"> </w:t>
      </w:r>
      <w:r>
        <w:t>excluded,</w:t>
      </w:r>
      <w:r>
        <w:rPr>
          <w:spacing w:val="-5"/>
        </w:rPr>
        <w:t xml:space="preserve"> </w:t>
      </w:r>
      <w:r>
        <w:t>and</w:t>
      </w:r>
      <w:r>
        <w:rPr>
          <w:spacing w:val="-5"/>
        </w:rPr>
        <w:t xml:space="preserve"> </w:t>
      </w:r>
      <w:r>
        <w:t>full- time remote students pooled across subjects (mathematics and reading).</w:t>
      </w:r>
      <w:r>
        <w:rPr>
          <w:spacing w:val="-2"/>
        </w:rPr>
        <w:t xml:space="preserve"> </w:t>
      </w:r>
      <w:r>
        <w:t>The control totals for category \(c\) within dimension \(d\) were computed as</w:t>
      </w:r>
    </w:p>
    <w:p w:rsidR="003F5784" w14:paraId="39EB5A42" w14:textId="77777777">
      <w:pPr>
        <w:pStyle w:val="BodyText"/>
        <w:spacing w:before="203" w:line="238" w:lineRule="exact"/>
        <w:ind w:left="109"/>
      </w:pPr>
      <w:r>
        <w:t>\begin{equation}</w:t>
      </w:r>
      <w:r>
        <w:rPr>
          <w:spacing w:val="-14"/>
        </w:rPr>
        <w:t xml:space="preserve"> </w:t>
      </w:r>
      <w:r>
        <w:t>TOTAL_{c(d)}</w:t>
      </w:r>
      <w:r>
        <w:rPr>
          <w:spacing w:val="-12"/>
        </w:rPr>
        <w:t xml:space="preserve"> </w:t>
      </w:r>
      <w:r>
        <w:t>=</w:t>
      </w:r>
      <w:r>
        <w:rPr>
          <w:spacing w:val="-11"/>
        </w:rPr>
        <w:t xml:space="preserve"> </w:t>
      </w:r>
      <w:r>
        <w:t>\sum_{</w:t>
      </w:r>
      <w:r>
        <w:rPr>
          <w:spacing w:val="-11"/>
        </w:rPr>
        <w:t xml:space="preserve"> </w:t>
      </w:r>
      <w:r>
        <w:t>R_{c(d)}</w:t>
      </w:r>
      <w:r>
        <w:rPr>
          <w:spacing w:val="-11"/>
        </w:rPr>
        <w:t xml:space="preserve"> </w:t>
      </w:r>
      <w:r>
        <w:t>\smile</w:t>
      </w:r>
      <w:r>
        <w:rPr>
          <w:spacing w:val="-11"/>
        </w:rPr>
        <w:t xml:space="preserve"> </w:t>
      </w:r>
      <w:r>
        <w:t>E_{c(d)}}</w:t>
      </w:r>
      <w:r>
        <w:rPr>
          <w:spacing w:val="-11"/>
        </w:rPr>
        <w:t xml:space="preserve"> </w:t>
      </w:r>
      <w:r>
        <w:t>\dfrac</w:t>
      </w:r>
      <w:r>
        <w:rPr>
          <w:spacing w:val="-11"/>
        </w:rPr>
        <w:t xml:space="preserve"> </w:t>
      </w:r>
      <w:r>
        <w:t>{</w:t>
      </w:r>
      <w:r>
        <w:rPr>
          <w:spacing w:val="-11"/>
        </w:rPr>
        <w:t xml:space="preserve"> </w:t>
      </w:r>
      <w:r>
        <w:t>STU\_BWT_{k}</w:t>
      </w:r>
      <w:r>
        <w:rPr>
          <w:spacing w:val="-11"/>
        </w:rPr>
        <w:t xml:space="preserve"> </w:t>
      </w:r>
      <w:r>
        <w:t>\times</w:t>
      </w:r>
      <w:r>
        <w:rPr>
          <w:spacing w:val="-11"/>
        </w:rPr>
        <w:t xml:space="preserve"> </w:t>
      </w:r>
      <w:r>
        <w:t>SCH\_TRIM_{k}</w:t>
      </w:r>
      <w:r>
        <w:rPr>
          <w:spacing w:val="-11"/>
        </w:rPr>
        <w:t xml:space="preserve"> </w:t>
      </w:r>
      <w:r>
        <w:t>\times</w:t>
      </w:r>
      <w:r>
        <w:rPr>
          <w:spacing w:val="-11"/>
        </w:rPr>
        <w:t xml:space="preserve"> </w:t>
      </w:r>
      <w:r>
        <w:t>SCH\_NRAF_{k}</w:t>
      </w:r>
      <w:r>
        <w:rPr>
          <w:spacing w:val="-11"/>
        </w:rPr>
        <w:t xml:space="preserve"> </w:t>
      </w:r>
      <w:r>
        <w:t>\times</w:t>
      </w:r>
      <w:r>
        <w:rPr>
          <w:spacing w:val="-11"/>
        </w:rPr>
        <w:t xml:space="preserve"> </w:t>
      </w:r>
      <w:r>
        <w:t>STU\_NRAF_{k}</w:t>
      </w:r>
      <w:r>
        <w:rPr>
          <w:spacing w:val="-11"/>
        </w:rPr>
        <w:t xml:space="preserve"> </w:t>
      </w:r>
      <w:r>
        <w:rPr>
          <w:spacing w:val="-10"/>
        </w:rPr>
        <w:t>}</w:t>
      </w:r>
    </w:p>
    <w:p w:rsidR="003F5784" w14:paraId="14F26C5F" w14:textId="77777777">
      <w:pPr>
        <w:pStyle w:val="BodyText"/>
        <w:spacing w:before="3" w:line="232" w:lineRule="auto"/>
        <w:ind w:left="109" w:right="11512"/>
      </w:pPr>
      <w:r>
        <w:rPr>
          <w:spacing w:val="-2"/>
        </w:rPr>
        <w:t>{SUBJFAC_{k}},</w:t>
      </w:r>
      <w:r>
        <w:rPr>
          <w:spacing w:val="-12"/>
        </w:rPr>
        <w:t xml:space="preserve"> </w:t>
      </w:r>
      <w:r>
        <w:rPr>
          <w:spacing w:val="-2"/>
        </w:rPr>
        <w:t>\end{equation} where</w:t>
      </w:r>
    </w:p>
    <w:p w:rsidR="003F5784" w14:paraId="33343C8C" w14:textId="77777777">
      <w:pPr>
        <w:pStyle w:val="BodyText"/>
        <w:spacing w:before="203"/>
        <w:ind w:left="422"/>
      </w:pPr>
      <w:r>
        <w:rPr>
          <w:noProof/>
          <w:position w:val="3"/>
        </w:rPr>
        <w:drawing>
          <wp:inline distT="0" distB="0" distL="0" distR="0">
            <wp:extent cx="41379" cy="41378"/>
            <wp:effectExtent l="0" t="0" r="0" b="0"/>
            <wp:docPr id="611" name="Image 611"/>
            <wp:cNvGraphicFramePr/>
            <a:graphic xmlns:a="http://schemas.openxmlformats.org/drawingml/2006/main">
              <a:graphicData uri="http://schemas.openxmlformats.org/drawingml/2006/picture">
                <pic:pic xmlns:pic="http://schemas.openxmlformats.org/drawingml/2006/picture">
                  <pic:nvPicPr>
                    <pic:cNvPr id="611" name="Image 611"/>
                    <pic:cNvPicPr/>
                  </pic:nvPicPr>
                  <pic:blipFill>
                    <a:blip xmlns:r="http://schemas.openxmlformats.org/officeDocument/2006/relationships" r:embed="rId496" cstate="print"/>
                    <a:stretch>
                      <a:fillRect/>
                    </a:stretch>
                  </pic:blipFill>
                  <pic:spPr>
                    <a:xfrm>
                      <a:off x="0" y="0"/>
                      <a:ext cx="41379" cy="41378"/>
                    </a:xfrm>
                    <a:prstGeom prst="rect">
                      <a:avLst/>
                    </a:prstGeom>
                  </pic:spPr>
                </pic:pic>
              </a:graphicData>
            </a:graphic>
          </wp:inline>
        </w:drawing>
      </w:r>
      <w:r>
        <w:rPr>
          <w:spacing w:val="80"/>
          <w:sz w:val="20"/>
        </w:rPr>
        <w:t xml:space="preserve"> </w:t>
      </w:r>
      <w:r>
        <w:t>\(R_{c(d)}\) is the set of all assessed students in category \(c\) of dimension \(d\);</w:t>
      </w:r>
    </w:p>
    <w:p w:rsidR="003F5784" w14:paraId="76039DFF" w14:textId="77777777">
      <w:pPr>
        <w:pStyle w:val="BodyText"/>
        <w:spacing w:before="202" w:line="439" w:lineRule="auto"/>
        <w:ind w:left="422" w:right="5837"/>
      </w:pPr>
      <w:r>
        <w:rPr>
          <w:noProof/>
          <w:position w:val="3"/>
        </w:rPr>
        <w:drawing>
          <wp:inline distT="0" distB="0" distL="0" distR="0">
            <wp:extent cx="41379" cy="41378"/>
            <wp:effectExtent l="0" t="0" r="0" b="0"/>
            <wp:docPr id="612" name="Image 612"/>
            <wp:cNvGraphicFramePr/>
            <a:graphic xmlns:a="http://schemas.openxmlformats.org/drawingml/2006/main">
              <a:graphicData uri="http://schemas.openxmlformats.org/drawingml/2006/picture">
                <pic:pic xmlns:pic="http://schemas.openxmlformats.org/drawingml/2006/picture">
                  <pic:nvPicPr>
                    <pic:cNvPr id="612" name="Image 612"/>
                    <pic:cNvPicPr/>
                  </pic:nvPicPr>
                  <pic:blipFill>
                    <a:blip xmlns:r="http://schemas.openxmlformats.org/officeDocument/2006/relationships" r:embed="rId497" cstate="print"/>
                    <a:stretch>
                      <a:fillRect/>
                    </a:stretch>
                  </pic:blipFill>
                  <pic:spPr>
                    <a:xfrm>
                      <a:off x="0" y="0"/>
                      <a:ext cx="41379" cy="41378"/>
                    </a:xfrm>
                    <a:prstGeom prst="rect">
                      <a:avLst/>
                    </a:prstGeom>
                  </pic:spPr>
                </pic:pic>
              </a:graphicData>
            </a:graphic>
          </wp:inline>
        </w:drawing>
      </w:r>
      <w:r>
        <w:rPr>
          <w:spacing w:val="80"/>
          <w:sz w:val="20"/>
        </w:rPr>
        <w:t xml:space="preserve"> </w:t>
      </w:r>
      <w:r>
        <w:t>\(E_{c(d)}\)</w:t>
      </w:r>
      <w:r>
        <w:rPr>
          <w:spacing w:val="-6"/>
        </w:rPr>
        <w:t xml:space="preserve"> </w:t>
      </w:r>
      <w:r>
        <w:t>is</w:t>
      </w:r>
      <w:r>
        <w:rPr>
          <w:spacing w:val="-6"/>
        </w:rPr>
        <w:t xml:space="preserve"> </w:t>
      </w:r>
      <w:r>
        <w:t>the</w:t>
      </w:r>
      <w:r>
        <w:rPr>
          <w:spacing w:val="-6"/>
        </w:rPr>
        <w:t xml:space="preserve"> </w:t>
      </w:r>
      <w:r>
        <w:t>set</w:t>
      </w:r>
      <w:r>
        <w:rPr>
          <w:spacing w:val="-6"/>
        </w:rPr>
        <w:t xml:space="preserve"> </w:t>
      </w:r>
      <w:r>
        <w:t>of</w:t>
      </w:r>
      <w:r>
        <w:rPr>
          <w:spacing w:val="-6"/>
        </w:rPr>
        <w:t xml:space="preserve"> </w:t>
      </w:r>
      <w:r>
        <w:t>all</w:t>
      </w:r>
      <w:r>
        <w:rPr>
          <w:spacing w:val="-6"/>
        </w:rPr>
        <w:t xml:space="preserve"> </w:t>
      </w:r>
      <w:r>
        <w:t>excluded</w:t>
      </w:r>
      <w:r>
        <w:rPr>
          <w:spacing w:val="-6"/>
        </w:rPr>
        <w:t xml:space="preserve"> </w:t>
      </w:r>
      <w:r>
        <w:t>or</w:t>
      </w:r>
      <w:r>
        <w:rPr>
          <w:spacing w:val="-6"/>
        </w:rPr>
        <w:t xml:space="preserve"> </w:t>
      </w:r>
      <w:r>
        <w:t>full-time</w:t>
      </w:r>
      <w:r>
        <w:rPr>
          <w:spacing w:val="-6"/>
        </w:rPr>
        <w:t xml:space="preserve"> </w:t>
      </w:r>
      <w:r>
        <w:t>remote</w:t>
      </w:r>
      <w:r>
        <w:rPr>
          <w:spacing w:val="-6"/>
        </w:rPr>
        <w:t xml:space="preserve"> </w:t>
      </w:r>
      <w:r>
        <w:t>students</w:t>
      </w:r>
      <w:r>
        <w:rPr>
          <w:spacing w:val="-6"/>
        </w:rPr>
        <w:t xml:space="preserve"> </w:t>
      </w:r>
      <w:r>
        <w:t>in</w:t>
      </w:r>
      <w:r>
        <w:rPr>
          <w:spacing w:val="-6"/>
        </w:rPr>
        <w:t xml:space="preserve"> </w:t>
      </w:r>
      <w:r>
        <w:t>category</w:t>
      </w:r>
      <w:r>
        <w:rPr>
          <w:spacing w:val="-6"/>
        </w:rPr>
        <w:t xml:space="preserve"> </w:t>
      </w:r>
      <w:r>
        <w:t>\(c\)</w:t>
      </w:r>
      <w:r>
        <w:rPr>
          <w:spacing w:val="-6"/>
        </w:rPr>
        <w:t xml:space="preserve"> </w:t>
      </w:r>
      <w:r>
        <w:t>of</w:t>
      </w:r>
      <w:r>
        <w:rPr>
          <w:spacing w:val="-6"/>
        </w:rPr>
        <w:t xml:space="preserve"> </w:t>
      </w:r>
      <w:r>
        <w:t>dimension</w:t>
      </w:r>
      <w:r>
        <w:rPr>
          <w:spacing w:val="-6"/>
        </w:rPr>
        <w:t xml:space="preserve"> </w:t>
      </w:r>
      <w:r>
        <w:t xml:space="preserve">\(d\); </w:t>
      </w:r>
      <w:r>
        <w:rPr>
          <w:noProof/>
          <w:position w:val="3"/>
        </w:rPr>
        <w:drawing>
          <wp:inline distT="0" distB="0" distL="0" distR="0">
            <wp:extent cx="41379" cy="41378"/>
            <wp:effectExtent l="0" t="0" r="0" b="0"/>
            <wp:docPr id="613" name="Image 613"/>
            <wp:cNvGraphicFramePr/>
            <a:graphic xmlns:a="http://schemas.openxmlformats.org/drawingml/2006/main">
              <a:graphicData uri="http://schemas.openxmlformats.org/drawingml/2006/picture">
                <pic:pic xmlns:pic="http://schemas.openxmlformats.org/drawingml/2006/picture">
                  <pic:nvPicPr>
                    <pic:cNvPr id="613" name="Image 613"/>
                    <pic:cNvPicPr/>
                  </pic:nvPicPr>
                  <pic:blipFill>
                    <a:blip xmlns:r="http://schemas.openxmlformats.org/officeDocument/2006/relationships" r:embed="rId498" cstate="print"/>
                    <a:stretch>
                      <a:fillRect/>
                    </a:stretch>
                  </pic:blipFill>
                  <pic:spPr>
                    <a:xfrm>
                      <a:off x="0" y="0"/>
                      <a:ext cx="41379" cy="41378"/>
                    </a:xfrm>
                    <a:prstGeom prst="rect">
                      <a:avLst/>
                    </a:prstGeom>
                  </pic:spPr>
                </pic:pic>
              </a:graphicData>
            </a:graphic>
          </wp:inline>
        </w:drawing>
      </w:r>
      <w:r>
        <w:rPr>
          <w:spacing w:val="80"/>
        </w:rPr>
        <w:t xml:space="preserve"> </w:t>
      </w:r>
      <w:r>
        <w:t>\(STU\_BWT_{k}\) is the student base weight for a given student \(k\);</w:t>
      </w:r>
    </w:p>
    <w:p w:rsidR="003F5784" w14:paraId="03D1495C" w14:textId="77777777">
      <w:pPr>
        <w:pStyle w:val="BodyText"/>
        <w:spacing w:before="2"/>
        <w:ind w:left="422"/>
      </w:pPr>
      <w:r>
        <w:rPr>
          <w:noProof/>
          <w:position w:val="3"/>
        </w:rPr>
        <w:drawing>
          <wp:inline distT="0" distB="0" distL="0" distR="0">
            <wp:extent cx="41379" cy="41378"/>
            <wp:effectExtent l="0" t="0" r="0" b="0"/>
            <wp:docPr id="614" name="Image 614"/>
            <wp:cNvGraphicFramePr/>
            <a:graphic xmlns:a="http://schemas.openxmlformats.org/drawingml/2006/main">
              <a:graphicData uri="http://schemas.openxmlformats.org/drawingml/2006/picture">
                <pic:pic xmlns:pic="http://schemas.openxmlformats.org/drawingml/2006/picture">
                  <pic:nvPicPr>
                    <pic:cNvPr id="614" name="Image 614"/>
                    <pic:cNvPicPr/>
                  </pic:nvPicPr>
                  <pic:blipFill>
                    <a:blip xmlns:r="http://schemas.openxmlformats.org/officeDocument/2006/relationships" r:embed="rId499" cstate="print"/>
                    <a:stretch>
                      <a:fillRect/>
                    </a:stretch>
                  </pic:blipFill>
                  <pic:spPr>
                    <a:xfrm>
                      <a:off x="0" y="0"/>
                      <a:ext cx="41379" cy="41378"/>
                    </a:xfrm>
                    <a:prstGeom prst="rect">
                      <a:avLst/>
                    </a:prstGeom>
                  </pic:spPr>
                </pic:pic>
              </a:graphicData>
            </a:graphic>
          </wp:inline>
        </w:drawing>
      </w:r>
      <w:r>
        <w:rPr>
          <w:spacing w:val="80"/>
          <w:sz w:val="20"/>
        </w:rPr>
        <w:t xml:space="preserve"> </w:t>
      </w:r>
      <w:r>
        <w:t>\(SCH\_TRIM_{k}\) is the school-level weight trimming factor for the school associated with student \(k\);</w:t>
      </w:r>
    </w:p>
    <w:p w:rsidR="003F5784" w14:paraId="0EF7FC82" w14:textId="77777777">
      <w:pPr>
        <w:pStyle w:val="BodyText"/>
        <w:spacing w:before="202" w:line="439" w:lineRule="auto"/>
        <w:ind w:left="422" w:right="4693"/>
      </w:pPr>
      <w:r>
        <w:rPr>
          <w:noProof/>
          <w:position w:val="3"/>
        </w:rPr>
        <w:drawing>
          <wp:inline distT="0" distB="0" distL="0" distR="0">
            <wp:extent cx="41379" cy="41378"/>
            <wp:effectExtent l="0" t="0" r="0" b="0"/>
            <wp:docPr id="615" name="Image 615"/>
            <wp:cNvGraphicFramePr/>
            <a:graphic xmlns:a="http://schemas.openxmlformats.org/drawingml/2006/main">
              <a:graphicData uri="http://schemas.openxmlformats.org/drawingml/2006/picture">
                <pic:pic xmlns:pic="http://schemas.openxmlformats.org/drawingml/2006/picture">
                  <pic:nvPicPr>
                    <pic:cNvPr id="615" name="Image 615"/>
                    <pic:cNvPicPr/>
                  </pic:nvPicPr>
                  <pic:blipFill>
                    <a:blip xmlns:r="http://schemas.openxmlformats.org/officeDocument/2006/relationships" r:embed="rId500" cstate="print"/>
                    <a:stretch>
                      <a:fillRect/>
                    </a:stretch>
                  </pic:blipFill>
                  <pic:spPr>
                    <a:xfrm>
                      <a:off x="0" y="0"/>
                      <a:ext cx="41379" cy="41378"/>
                    </a:xfrm>
                    <a:prstGeom prst="rect">
                      <a:avLst/>
                    </a:prstGeom>
                  </pic:spPr>
                </pic:pic>
              </a:graphicData>
            </a:graphic>
          </wp:inline>
        </w:drawing>
      </w:r>
      <w:r>
        <w:rPr>
          <w:spacing w:val="76"/>
          <w:sz w:val="20"/>
        </w:rPr>
        <w:t xml:space="preserve"> </w:t>
      </w:r>
      <w:r>
        <w:t>\(SCH\_NRAF_{k}\)</w:t>
      </w:r>
      <w:r>
        <w:rPr>
          <w:spacing w:val="-7"/>
        </w:rPr>
        <w:t xml:space="preserve"> </w:t>
      </w:r>
      <w:r>
        <w:t>is</w:t>
      </w:r>
      <w:r>
        <w:rPr>
          <w:spacing w:val="-7"/>
        </w:rPr>
        <w:t xml:space="preserve"> </w:t>
      </w:r>
      <w:r>
        <w:t>the</w:t>
      </w:r>
      <w:r>
        <w:rPr>
          <w:spacing w:val="-7"/>
        </w:rPr>
        <w:t xml:space="preserve"> </w:t>
      </w:r>
      <w:r>
        <w:t>school-level</w:t>
      </w:r>
      <w:r>
        <w:rPr>
          <w:spacing w:val="-7"/>
        </w:rPr>
        <w:t xml:space="preserve"> </w:t>
      </w:r>
      <w:r>
        <w:t>nonresponse</w:t>
      </w:r>
      <w:r>
        <w:rPr>
          <w:spacing w:val="-7"/>
        </w:rPr>
        <w:t xml:space="preserve"> </w:t>
      </w:r>
      <w:r>
        <w:t>adjustment</w:t>
      </w:r>
      <w:r>
        <w:rPr>
          <w:spacing w:val="-7"/>
        </w:rPr>
        <w:t xml:space="preserve"> </w:t>
      </w:r>
      <w:r>
        <w:t>factor</w:t>
      </w:r>
      <w:r>
        <w:rPr>
          <w:spacing w:val="-7"/>
        </w:rPr>
        <w:t xml:space="preserve"> </w:t>
      </w:r>
      <w:r>
        <w:t>for</w:t>
      </w:r>
      <w:r>
        <w:rPr>
          <w:spacing w:val="-7"/>
        </w:rPr>
        <w:t xml:space="preserve"> </w:t>
      </w:r>
      <w:r>
        <w:t>the</w:t>
      </w:r>
      <w:r>
        <w:rPr>
          <w:spacing w:val="-7"/>
        </w:rPr>
        <w:t xml:space="preserve"> </w:t>
      </w:r>
      <w:r>
        <w:t>school</w:t>
      </w:r>
      <w:r>
        <w:rPr>
          <w:spacing w:val="-7"/>
        </w:rPr>
        <w:t xml:space="preserve"> </w:t>
      </w:r>
      <w:r>
        <w:t>associated</w:t>
      </w:r>
      <w:r>
        <w:rPr>
          <w:spacing w:val="-7"/>
        </w:rPr>
        <w:t xml:space="preserve"> </w:t>
      </w:r>
      <w:r>
        <w:t>with</w:t>
      </w:r>
      <w:r>
        <w:rPr>
          <w:spacing w:val="-7"/>
        </w:rPr>
        <w:t xml:space="preserve"> </w:t>
      </w:r>
      <w:r>
        <w:t>student</w:t>
      </w:r>
      <w:r>
        <w:rPr>
          <w:spacing w:val="-7"/>
        </w:rPr>
        <w:t xml:space="preserve"> </w:t>
      </w:r>
      <w:r>
        <w:t xml:space="preserve">\(k\); </w:t>
      </w:r>
      <w:r>
        <w:rPr>
          <w:noProof/>
          <w:position w:val="3"/>
        </w:rPr>
        <w:drawing>
          <wp:inline distT="0" distB="0" distL="0" distR="0">
            <wp:extent cx="41379" cy="41378"/>
            <wp:effectExtent l="0" t="0" r="0" b="0"/>
            <wp:docPr id="616" name="Image 616"/>
            <wp:cNvGraphicFramePr/>
            <a:graphic xmlns:a="http://schemas.openxmlformats.org/drawingml/2006/main">
              <a:graphicData uri="http://schemas.openxmlformats.org/drawingml/2006/picture">
                <pic:pic xmlns:pic="http://schemas.openxmlformats.org/drawingml/2006/picture">
                  <pic:nvPicPr>
                    <pic:cNvPr id="616" name="Image 616"/>
                    <pic:cNvPicPr/>
                  </pic:nvPicPr>
                  <pic:blipFill>
                    <a:blip xmlns:r="http://schemas.openxmlformats.org/officeDocument/2006/relationships" r:embed="rId501" cstate="print"/>
                    <a:stretch>
                      <a:fillRect/>
                    </a:stretch>
                  </pic:blipFill>
                  <pic:spPr>
                    <a:xfrm>
                      <a:off x="0" y="0"/>
                      <a:ext cx="41379" cy="41378"/>
                    </a:xfrm>
                    <a:prstGeom prst="rect">
                      <a:avLst/>
                    </a:prstGeom>
                  </pic:spPr>
                </pic:pic>
              </a:graphicData>
            </a:graphic>
          </wp:inline>
        </w:drawing>
      </w:r>
      <w:r>
        <w:rPr>
          <w:spacing w:val="80"/>
        </w:rPr>
        <w:t xml:space="preserve"> </w:t>
      </w:r>
      <w:r>
        <w:t>\(STU\_NRAF_{k}\) is the student-level nonresponse adjustment factor for student \(k\); and</w:t>
      </w:r>
    </w:p>
    <w:p w:rsidR="003F5784" w14:paraId="5A9EAF89" w14:textId="77777777">
      <w:pPr>
        <w:pStyle w:val="BodyText"/>
        <w:spacing w:before="2"/>
        <w:ind w:left="422"/>
      </w:pPr>
      <w:r>
        <w:rPr>
          <w:noProof/>
          <w:position w:val="3"/>
        </w:rPr>
        <w:drawing>
          <wp:inline distT="0" distB="0" distL="0" distR="0">
            <wp:extent cx="41379" cy="41378"/>
            <wp:effectExtent l="0" t="0" r="0" b="0"/>
            <wp:docPr id="617" name="Image 617"/>
            <wp:cNvGraphicFramePr/>
            <a:graphic xmlns:a="http://schemas.openxmlformats.org/drawingml/2006/main">
              <a:graphicData uri="http://schemas.openxmlformats.org/drawingml/2006/picture">
                <pic:pic xmlns:pic="http://schemas.openxmlformats.org/drawingml/2006/picture">
                  <pic:nvPicPr>
                    <pic:cNvPr id="617" name="Image 617"/>
                    <pic:cNvPicPr/>
                  </pic:nvPicPr>
                  <pic:blipFill>
                    <a:blip xmlns:r="http://schemas.openxmlformats.org/officeDocument/2006/relationships" r:embed="rId502" cstate="print"/>
                    <a:stretch>
                      <a:fillRect/>
                    </a:stretch>
                  </pic:blipFill>
                  <pic:spPr>
                    <a:xfrm>
                      <a:off x="0" y="0"/>
                      <a:ext cx="41379" cy="41378"/>
                    </a:xfrm>
                    <a:prstGeom prst="rect">
                      <a:avLst/>
                    </a:prstGeom>
                  </pic:spPr>
                </pic:pic>
              </a:graphicData>
            </a:graphic>
          </wp:inline>
        </w:drawing>
      </w:r>
      <w:r>
        <w:rPr>
          <w:spacing w:val="80"/>
          <w:sz w:val="20"/>
        </w:rPr>
        <w:t xml:space="preserve"> </w:t>
      </w:r>
      <w:r>
        <w:t>\(SUBJFAC_{k}\) is the subject factor for student \(k\).</w:t>
      </w:r>
    </w:p>
    <w:p w:rsidR="003F5784" w14:paraId="14C11056" w14:textId="77777777">
      <w:pPr>
        <w:pStyle w:val="BodyText"/>
        <w:spacing w:before="208" w:line="232" w:lineRule="auto"/>
        <w:ind w:left="109"/>
      </w:pPr>
      <w:r>
        <w:t>The</w:t>
      </w:r>
      <w:r>
        <w:rPr>
          <w:spacing w:val="-6"/>
        </w:rPr>
        <w:t xml:space="preserve"> </w:t>
      </w:r>
      <w:r>
        <w:t>student</w:t>
      </w:r>
      <w:r>
        <w:rPr>
          <w:spacing w:val="-6"/>
        </w:rPr>
        <w:t xml:space="preserve"> </w:t>
      </w:r>
      <w:r>
        <w:t>weight</w:t>
      </w:r>
      <w:r>
        <w:rPr>
          <w:spacing w:val="-6"/>
        </w:rPr>
        <w:t xml:space="preserve"> </w:t>
      </w:r>
      <w:r>
        <w:t>used</w:t>
      </w:r>
      <w:r>
        <w:rPr>
          <w:spacing w:val="-6"/>
        </w:rPr>
        <w:t xml:space="preserve"> </w:t>
      </w:r>
      <w:r>
        <w:t>in</w:t>
      </w:r>
      <w:r>
        <w:rPr>
          <w:spacing w:val="-6"/>
        </w:rPr>
        <w:t xml:space="preserve"> </w:t>
      </w:r>
      <w:r>
        <w:t>the</w:t>
      </w:r>
      <w:r>
        <w:rPr>
          <w:spacing w:val="-6"/>
        </w:rPr>
        <w:t xml:space="preserve"> </w:t>
      </w:r>
      <w:r>
        <w:t>calculation</w:t>
      </w:r>
      <w:r>
        <w:rPr>
          <w:spacing w:val="-6"/>
        </w:rPr>
        <w:t xml:space="preserve"> </w:t>
      </w:r>
      <w:r>
        <w:t>of</w:t>
      </w:r>
      <w:r>
        <w:rPr>
          <w:spacing w:val="-6"/>
        </w:rPr>
        <w:t xml:space="preserve"> </w:t>
      </w:r>
      <w:r>
        <w:t>the</w:t>
      </w:r>
      <w:r>
        <w:rPr>
          <w:spacing w:val="-6"/>
        </w:rPr>
        <w:t xml:space="preserve"> </w:t>
      </w:r>
      <w:r>
        <w:t>control</w:t>
      </w:r>
      <w:r>
        <w:rPr>
          <w:spacing w:val="-6"/>
        </w:rPr>
        <w:t xml:space="preserve"> </w:t>
      </w:r>
      <w:r>
        <w:t>totals</w:t>
      </w:r>
      <w:r>
        <w:rPr>
          <w:spacing w:val="-6"/>
        </w:rPr>
        <w:t xml:space="preserve"> </w:t>
      </w:r>
      <w:r>
        <w:t>above</w:t>
      </w:r>
      <w:r>
        <w:rPr>
          <w:spacing w:val="-6"/>
        </w:rPr>
        <w:t xml:space="preserve"> </w:t>
      </w:r>
      <w:r>
        <w:t>is</w:t>
      </w:r>
      <w:r>
        <w:rPr>
          <w:spacing w:val="-6"/>
        </w:rPr>
        <w:t xml:space="preserve"> </w:t>
      </w:r>
      <w:r>
        <w:t>the</w:t>
      </w:r>
      <w:r>
        <w:rPr>
          <w:spacing w:val="-6"/>
        </w:rPr>
        <w:t xml:space="preserve"> </w:t>
      </w:r>
      <w:r>
        <w:t>student</w:t>
      </w:r>
      <w:r>
        <w:rPr>
          <w:spacing w:val="-6"/>
        </w:rPr>
        <w:t xml:space="preserve"> </w:t>
      </w:r>
      <w:r>
        <w:t>base</w:t>
      </w:r>
      <w:r>
        <w:rPr>
          <w:spacing w:val="-6"/>
        </w:rPr>
        <w:t xml:space="preserve"> </w:t>
      </w:r>
      <w:r>
        <w:t>weight,</w:t>
      </w:r>
      <w:r>
        <w:rPr>
          <w:spacing w:val="-6"/>
        </w:rPr>
        <w:t xml:space="preserve"> </w:t>
      </w:r>
      <w:r>
        <w:t>without</w:t>
      </w:r>
      <w:r>
        <w:rPr>
          <w:spacing w:val="-6"/>
        </w:rPr>
        <w:t xml:space="preserve"> </w:t>
      </w:r>
      <w:r>
        <w:t>regard</w:t>
      </w:r>
      <w:r>
        <w:rPr>
          <w:spacing w:val="-6"/>
        </w:rPr>
        <w:t xml:space="preserve"> </w:t>
      </w:r>
      <w:r>
        <w:t>to</w:t>
      </w:r>
      <w:r>
        <w:rPr>
          <w:spacing w:val="-6"/>
        </w:rPr>
        <w:t xml:space="preserve"> </w:t>
      </w:r>
      <w:r>
        <w:t>subject,</w:t>
      </w:r>
      <w:r>
        <w:rPr>
          <w:spacing w:val="-6"/>
        </w:rPr>
        <w:t xml:space="preserve"> </w:t>
      </w:r>
      <w:r>
        <w:t>adjusted</w:t>
      </w:r>
      <w:r>
        <w:rPr>
          <w:spacing w:val="-6"/>
        </w:rPr>
        <w:t xml:space="preserve"> </w:t>
      </w:r>
      <w:r>
        <w:t>for</w:t>
      </w:r>
      <w:r>
        <w:rPr>
          <w:spacing w:val="-6"/>
        </w:rPr>
        <w:t xml:space="preserve"> </w:t>
      </w:r>
      <w:r>
        <w:t>school</w:t>
      </w:r>
      <w:r>
        <w:rPr>
          <w:spacing w:val="-6"/>
        </w:rPr>
        <w:t xml:space="preserve"> </w:t>
      </w:r>
      <w:r>
        <w:t>weight</w:t>
      </w:r>
      <w:r>
        <w:rPr>
          <w:spacing w:val="-6"/>
        </w:rPr>
        <w:t xml:space="preserve"> </w:t>
      </w:r>
      <w:r>
        <w:t>trimming,</w:t>
      </w:r>
      <w:r>
        <w:rPr>
          <w:spacing w:val="-6"/>
        </w:rPr>
        <w:t xml:space="preserve"> </w:t>
      </w:r>
      <w:r>
        <w:t>school nonresponse, and student nonresponse. Control totals were computed for the full sample and for each replicate independently.</w:t>
      </w:r>
    </w:p>
    <w:p w:rsidR="003F5784" w14:paraId="4D9C667E" w14:textId="77777777">
      <w:pPr>
        <w:pStyle w:val="BodyText"/>
      </w:pPr>
    </w:p>
    <w:p w:rsidR="003F5784" w14:paraId="0414D2E8" w14:textId="77777777">
      <w:pPr>
        <w:pStyle w:val="BodyText"/>
      </w:pPr>
    </w:p>
    <w:p w:rsidR="003F5784" w14:paraId="2DEBCDAC" w14:textId="77777777">
      <w:pPr>
        <w:pStyle w:val="BodyText"/>
        <w:spacing w:before="145"/>
      </w:pPr>
    </w:p>
    <w:p w:rsidR="003F5784" w14:paraId="4A3E0C96" w14:textId="77777777">
      <w:pPr>
        <w:ind w:left="5562"/>
        <w:rPr>
          <w:sz w:val="18"/>
        </w:rPr>
      </w:pPr>
      <w:hyperlink r:id="rId503">
        <w:r>
          <w:rPr>
            <w:spacing w:val="-2"/>
            <w:w w:val="105"/>
            <w:sz w:val="18"/>
          </w:rPr>
          <w:t>http://nces.ed.gov/nationsreportcard/tdw/weighting/2022/raking_adjustment_control_totals_for_the_2022_assessment.aspx</w:t>
        </w:r>
      </w:hyperlink>
    </w:p>
    <w:p w:rsidR="003F5784" w14:paraId="4975ACCF" w14:textId="77777777">
      <w:pPr>
        <w:pStyle w:val="BodyText"/>
        <w:spacing w:before="11"/>
        <w:rPr>
          <w:sz w:val="14"/>
        </w:rPr>
      </w:pPr>
      <w:r>
        <w:rPr>
          <w:noProof/>
        </w:rPr>
        <mc:AlternateContent>
          <mc:Choice Requires="wps">
            <w:drawing>
              <wp:anchor distT="0" distB="0" distL="0" distR="0" simplePos="0" relativeHeight="252009472" behindDoc="1" locked="0" layoutInCell="1" allowOverlap="1">
                <wp:simplePos x="0" y="0"/>
                <wp:positionH relativeFrom="page">
                  <wp:posOffset>361937</wp:posOffset>
                </wp:positionH>
                <wp:positionV relativeFrom="paragraph">
                  <wp:posOffset>124395</wp:posOffset>
                </wp:positionV>
                <wp:extent cx="9339580" cy="8890"/>
                <wp:effectExtent l="0" t="0" r="0" b="0"/>
                <wp:wrapTopAndBottom/>
                <wp:docPr id="618" name="Graphic 61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67"/>
                              </a:lnTo>
                              <a:lnTo>
                                <a:pt x="9335110" y="8305"/>
                              </a:lnTo>
                              <a:lnTo>
                                <a:pt x="9338970" y="8305"/>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618" o:spid="_x0000_s1190" style="width:735.4pt;height:0.7pt;margin-top:9.8pt;margin-left:28.5pt;mso-position-horizontal-relative:page;mso-wrap-distance-bottom:0;mso-wrap-distance-left:0;mso-wrap-distance-right:0;mso-wrap-distance-top:0;mso-wrap-style:square;position:absolute;visibility:visible;v-text-anchor:top;z-index:-251305984" coordsize="9339580,8890" path="m9338970,25l9335110,25l8280,25,,,,8267l9335110,8305l9338970,8305l9338970,25xe" fillcolor="gray" stroked="f">
                <v:path arrowok="t"/>
                <w10:wrap type="topAndBottom"/>
              </v:shape>
            </w:pict>
          </mc:Fallback>
        </mc:AlternateContent>
      </w:r>
    </w:p>
    <w:p w:rsidR="003F5784" w14:paraId="427364A1" w14:textId="77777777">
      <w:pPr>
        <w:rPr>
          <w:sz w:val="14"/>
        </w:rPr>
        <w:sectPr>
          <w:pgSz w:w="15840" w:h="12240" w:orient="landscape"/>
          <w:pgMar w:top="480" w:right="440" w:bottom="460" w:left="460" w:header="284" w:footer="275" w:gutter="0"/>
          <w:cols w:space="720"/>
        </w:sectPr>
      </w:pPr>
    </w:p>
    <w:p w:rsidR="003F5784" w14:paraId="5FE84FC0" w14:textId="513EAAA7">
      <w:pPr>
        <w:pStyle w:val="Heading1"/>
        <w:spacing w:before="81"/>
      </w:pPr>
      <w:r>
        <w:t>NAEP</w:t>
      </w:r>
      <w:r>
        <w:rPr>
          <w:spacing w:val="-20"/>
        </w:rPr>
        <w:t xml:space="preserve"> </w:t>
      </w:r>
      <w:r>
        <w:t>Technical</w:t>
      </w:r>
      <w:r>
        <w:rPr>
          <w:spacing w:val="15"/>
        </w:rPr>
        <w:t xml:space="preserve"> </w:t>
      </w:r>
      <w:r>
        <w:t>Documentation</w:t>
      </w:r>
      <w:r w:rsidR="00ED683B">
        <w:t xml:space="preserve"> </w:t>
      </w:r>
      <w:r>
        <w:t>Raking</w:t>
      </w:r>
      <w:r>
        <w:rPr>
          <w:spacing w:val="-11"/>
        </w:rPr>
        <w:t xml:space="preserve"> </w:t>
      </w:r>
      <w:r>
        <w:t>Adjustment</w:t>
      </w:r>
      <w:r>
        <w:rPr>
          <w:spacing w:val="15"/>
        </w:rPr>
        <w:t xml:space="preserve"> </w:t>
      </w:r>
      <w:r>
        <w:t>Factor</w:t>
      </w:r>
      <w:r>
        <w:rPr>
          <w:spacing w:val="7"/>
        </w:rPr>
        <w:t xml:space="preserve"> </w:t>
      </w:r>
      <w:r>
        <w:rPr>
          <w:spacing w:val="-2"/>
        </w:rPr>
        <w:t>Calculation</w:t>
      </w:r>
    </w:p>
    <w:p w:rsidR="003F5784" w14:paraId="6E485BBA" w14:textId="77777777">
      <w:pPr>
        <w:pStyle w:val="BodyText"/>
        <w:spacing w:before="276" w:line="439" w:lineRule="auto"/>
        <w:ind w:left="109" w:right="2245"/>
      </w:pPr>
      <w:r>
        <w:t>For</w:t>
      </w:r>
      <w:r>
        <w:rPr>
          <w:spacing w:val="-8"/>
        </w:rPr>
        <w:t xml:space="preserve"> </w:t>
      </w:r>
      <w:r>
        <w:t>assessed,</w:t>
      </w:r>
      <w:r>
        <w:rPr>
          <w:spacing w:val="-8"/>
        </w:rPr>
        <w:t xml:space="preserve"> </w:t>
      </w:r>
      <w:r>
        <w:t>excluded,</w:t>
      </w:r>
      <w:r>
        <w:rPr>
          <w:spacing w:val="-8"/>
        </w:rPr>
        <w:t xml:space="preserve"> </w:t>
      </w:r>
      <w:r>
        <w:t>and</w:t>
      </w:r>
      <w:r>
        <w:rPr>
          <w:spacing w:val="-8"/>
        </w:rPr>
        <w:t xml:space="preserve"> </w:t>
      </w:r>
      <w:r>
        <w:t>full-time</w:t>
      </w:r>
      <w:r>
        <w:rPr>
          <w:spacing w:val="-8"/>
        </w:rPr>
        <w:t xml:space="preserve"> </w:t>
      </w:r>
      <w:r>
        <w:t>remote</w:t>
      </w:r>
      <w:r>
        <w:rPr>
          <w:spacing w:val="-8"/>
        </w:rPr>
        <w:t xml:space="preserve"> </w:t>
      </w:r>
      <w:r>
        <w:t>students</w:t>
      </w:r>
      <w:r>
        <w:rPr>
          <w:spacing w:val="-8"/>
        </w:rPr>
        <w:t xml:space="preserve"> </w:t>
      </w:r>
      <w:r>
        <w:t>in</w:t>
      </w:r>
      <w:r>
        <w:rPr>
          <w:spacing w:val="-8"/>
        </w:rPr>
        <w:t xml:space="preserve"> </w:t>
      </w:r>
      <w:r>
        <w:t>a</w:t>
      </w:r>
      <w:r>
        <w:rPr>
          <w:spacing w:val="-8"/>
        </w:rPr>
        <w:t xml:space="preserve"> </w:t>
      </w:r>
      <w:r>
        <w:t>given</w:t>
      </w:r>
      <w:r>
        <w:rPr>
          <w:spacing w:val="-8"/>
        </w:rPr>
        <w:t xml:space="preserve"> </w:t>
      </w:r>
      <w:r>
        <w:t>subject,</w:t>
      </w:r>
      <w:r>
        <w:rPr>
          <w:spacing w:val="-8"/>
        </w:rPr>
        <w:t xml:space="preserve"> </w:t>
      </w:r>
      <w:r>
        <w:t>the</w:t>
      </w:r>
      <w:r>
        <w:rPr>
          <w:spacing w:val="-8"/>
        </w:rPr>
        <w:t xml:space="preserve"> </w:t>
      </w:r>
      <w:r>
        <w:t>raking</w:t>
      </w:r>
      <w:r>
        <w:rPr>
          <w:spacing w:val="-8"/>
        </w:rPr>
        <w:t xml:space="preserve"> </w:t>
      </w:r>
      <w:r>
        <w:t>adjustment</w:t>
      </w:r>
      <w:r>
        <w:rPr>
          <w:spacing w:val="-8"/>
        </w:rPr>
        <w:t xml:space="preserve"> </w:t>
      </w:r>
      <w:r>
        <w:t>factor</w:t>
      </w:r>
      <w:r>
        <w:rPr>
          <w:spacing w:val="-8"/>
        </w:rPr>
        <w:t xml:space="preserve"> </w:t>
      </w:r>
      <w:r>
        <w:t>\(STU\_RAKE_{k}\)</w:t>
      </w:r>
      <w:r>
        <w:rPr>
          <w:spacing w:val="-8"/>
        </w:rPr>
        <w:t xml:space="preserve"> </w:t>
      </w:r>
      <w:r>
        <w:t>was</w:t>
      </w:r>
      <w:r>
        <w:rPr>
          <w:spacing w:val="-8"/>
        </w:rPr>
        <w:t xml:space="preserve"> </w:t>
      </w:r>
      <w:r>
        <w:t>computed</w:t>
      </w:r>
      <w:r>
        <w:rPr>
          <w:spacing w:val="-8"/>
        </w:rPr>
        <w:t xml:space="preserve"> </w:t>
      </w:r>
      <w:r>
        <w:t>as</w:t>
      </w:r>
      <w:r>
        <w:rPr>
          <w:spacing w:val="-8"/>
        </w:rPr>
        <w:t xml:space="preserve"> </w:t>
      </w:r>
      <w:r>
        <w:t>below. First, the weight for student \(k\) was initialized as</w:t>
      </w:r>
    </w:p>
    <w:p w:rsidR="003F5784" w14:paraId="68F3ECBF" w14:textId="77777777">
      <w:pPr>
        <w:pStyle w:val="BodyText"/>
        <w:spacing w:before="2" w:line="238" w:lineRule="exact"/>
        <w:ind w:left="109"/>
      </w:pPr>
      <w:r>
        <w:rPr>
          <w:spacing w:val="-2"/>
        </w:rPr>
        <w:t>\begin{equation}</w:t>
      </w:r>
      <w:r>
        <w:rPr>
          <w:spacing w:val="5"/>
        </w:rPr>
        <w:t xml:space="preserve"> </w:t>
      </w:r>
      <w:r>
        <w:rPr>
          <w:spacing w:val="-2"/>
        </w:rPr>
        <w:t>STUSAWT_{k}^{adj(0)}</w:t>
      </w:r>
      <w:r>
        <w:rPr>
          <w:spacing w:val="6"/>
        </w:rPr>
        <w:t xml:space="preserve"> </w:t>
      </w:r>
      <w:r>
        <w:rPr>
          <w:spacing w:val="-2"/>
        </w:rPr>
        <w:t>=</w:t>
      </w:r>
      <w:r>
        <w:rPr>
          <w:spacing w:val="6"/>
        </w:rPr>
        <w:t xml:space="preserve"> </w:t>
      </w:r>
      <w:r>
        <w:rPr>
          <w:spacing w:val="-2"/>
        </w:rPr>
        <w:t>STU\_BWT_{k}</w:t>
      </w:r>
      <w:r>
        <w:rPr>
          <w:spacing w:val="6"/>
        </w:rPr>
        <w:t xml:space="preserve"> </w:t>
      </w:r>
      <w:r>
        <w:rPr>
          <w:spacing w:val="-2"/>
        </w:rPr>
        <w:t>\times</w:t>
      </w:r>
      <w:r>
        <w:rPr>
          <w:spacing w:val="5"/>
        </w:rPr>
        <w:t xml:space="preserve"> </w:t>
      </w:r>
      <w:r>
        <w:rPr>
          <w:spacing w:val="-2"/>
        </w:rPr>
        <w:t>SCH\_TRIM_{k}</w:t>
      </w:r>
      <w:r>
        <w:rPr>
          <w:spacing w:val="6"/>
        </w:rPr>
        <w:t xml:space="preserve"> </w:t>
      </w:r>
      <w:r>
        <w:rPr>
          <w:spacing w:val="-2"/>
        </w:rPr>
        <w:t>\times</w:t>
      </w:r>
      <w:r>
        <w:rPr>
          <w:spacing w:val="6"/>
        </w:rPr>
        <w:t xml:space="preserve"> </w:t>
      </w:r>
      <w:r>
        <w:rPr>
          <w:spacing w:val="-2"/>
        </w:rPr>
        <w:t>SCH\_NRAF_{k}</w:t>
      </w:r>
      <w:r>
        <w:rPr>
          <w:spacing w:val="6"/>
        </w:rPr>
        <w:t xml:space="preserve"> </w:t>
      </w:r>
      <w:r>
        <w:rPr>
          <w:spacing w:val="-2"/>
        </w:rPr>
        <w:t>\times</w:t>
      </w:r>
      <w:r>
        <w:rPr>
          <w:spacing w:val="6"/>
        </w:rPr>
        <w:t xml:space="preserve"> </w:t>
      </w:r>
      <w:r>
        <w:rPr>
          <w:spacing w:val="-2"/>
        </w:rPr>
        <w:t>STU\_NRAF_{k}</w:t>
      </w:r>
      <w:r>
        <w:rPr>
          <w:spacing w:val="5"/>
        </w:rPr>
        <w:t xml:space="preserve"> </w:t>
      </w:r>
      <w:r>
        <w:rPr>
          <w:spacing w:val="-2"/>
        </w:rPr>
        <w:t>\times</w:t>
      </w:r>
      <w:r>
        <w:rPr>
          <w:spacing w:val="6"/>
        </w:rPr>
        <w:t xml:space="preserve"> </w:t>
      </w:r>
      <w:r>
        <w:rPr>
          <w:spacing w:val="-2"/>
        </w:rPr>
        <w:t>SUBJFAC_{k}</w:t>
      </w:r>
      <w:r>
        <w:rPr>
          <w:spacing w:val="6"/>
        </w:rPr>
        <w:t xml:space="preserve"> </w:t>
      </w:r>
      <w:r>
        <w:rPr>
          <w:spacing w:val="-10"/>
        </w:rPr>
        <w:t>,</w:t>
      </w:r>
    </w:p>
    <w:p w:rsidR="003F5784" w14:paraId="70CE5717" w14:textId="77777777">
      <w:pPr>
        <w:pStyle w:val="BodyText"/>
        <w:spacing w:line="439" w:lineRule="auto"/>
        <w:ind w:left="109" w:right="13089"/>
      </w:pPr>
      <w:r>
        <w:rPr>
          <w:spacing w:val="-2"/>
        </w:rPr>
        <w:t>\end{equation} where</w:t>
      </w:r>
    </w:p>
    <w:p w:rsidR="003F5784" w14:paraId="36F0094A" w14:textId="77777777">
      <w:pPr>
        <w:pStyle w:val="BodyText"/>
        <w:spacing w:line="237" w:lineRule="exact"/>
        <w:ind w:left="422"/>
      </w:pPr>
      <w:r>
        <w:rPr>
          <w:noProof/>
          <w:position w:val="3"/>
        </w:rPr>
        <w:drawing>
          <wp:inline distT="0" distB="0" distL="0" distR="0">
            <wp:extent cx="41379" cy="41378"/>
            <wp:effectExtent l="0" t="0" r="0" b="0"/>
            <wp:docPr id="619" name="Image 619"/>
            <wp:cNvGraphicFramePr/>
            <a:graphic xmlns:a="http://schemas.openxmlformats.org/drawingml/2006/main">
              <a:graphicData uri="http://schemas.openxmlformats.org/drawingml/2006/picture">
                <pic:pic xmlns:pic="http://schemas.openxmlformats.org/drawingml/2006/picture">
                  <pic:nvPicPr>
                    <pic:cNvPr id="619" name="Image 619"/>
                    <pic:cNvPicPr/>
                  </pic:nvPicPr>
                  <pic:blipFill>
                    <a:blip xmlns:r="http://schemas.openxmlformats.org/officeDocument/2006/relationships" r:embed="rId504" cstate="print"/>
                    <a:stretch>
                      <a:fillRect/>
                    </a:stretch>
                  </pic:blipFill>
                  <pic:spPr>
                    <a:xfrm>
                      <a:off x="0" y="0"/>
                      <a:ext cx="41379" cy="41378"/>
                    </a:xfrm>
                    <a:prstGeom prst="rect">
                      <a:avLst/>
                    </a:prstGeom>
                  </pic:spPr>
                </pic:pic>
              </a:graphicData>
            </a:graphic>
          </wp:inline>
        </w:drawing>
      </w:r>
      <w:r>
        <w:rPr>
          <w:spacing w:val="40"/>
          <w:sz w:val="20"/>
        </w:rPr>
        <w:t xml:space="preserve">  </w:t>
      </w:r>
      <w:r>
        <w:t>\(STU\_BWT_{k}\) is the student base weight for a given student \(k\);</w:t>
      </w:r>
    </w:p>
    <w:p w:rsidR="003F5784" w14:paraId="31A12025" w14:textId="77777777">
      <w:pPr>
        <w:pStyle w:val="BodyText"/>
        <w:spacing w:line="235" w:lineRule="exact"/>
        <w:ind w:left="422"/>
      </w:pPr>
      <w:r>
        <w:rPr>
          <w:noProof/>
          <w:position w:val="3"/>
        </w:rPr>
        <w:drawing>
          <wp:inline distT="0" distB="0" distL="0" distR="0">
            <wp:extent cx="41379" cy="41378"/>
            <wp:effectExtent l="0" t="0" r="0" b="0"/>
            <wp:docPr id="620" name="Image 620"/>
            <wp:cNvGraphicFramePr/>
            <a:graphic xmlns:a="http://schemas.openxmlformats.org/drawingml/2006/main">
              <a:graphicData uri="http://schemas.openxmlformats.org/drawingml/2006/picture">
                <pic:pic xmlns:pic="http://schemas.openxmlformats.org/drawingml/2006/picture">
                  <pic:nvPicPr>
                    <pic:cNvPr id="620" name="Image 620"/>
                    <pic:cNvPicPr/>
                  </pic:nvPicPr>
                  <pic:blipFill>
                    <a:blip xmlns:r="http://schemas.openxmlformats.org/officeDocument/2006/relationships" r:embed="rId505" cstate="print"/>
                    <a:stretch>
                      <a:fillRect/>
                    </a:stretch>
                  </pic:blipFill>
                  <pic:spPr>
                    <a:xfrm>
                      <a:off x="0" y="0"/>
                      <a:ext cx="41379" cy="41378"/>
                    </a:xfrm>
                    <a:prstGeom prst="rect">
                      <a:avLst/>
                    </a:prstGeom>
                  </pic:spPr>
                </pic:pic>
              </a:graphicData>
            </a:graphic>
          </wp:inline>
        </w:drawing>
      </w:r>
      <w:r>
        <w:rPr>
          <w:spacing w:val="80"/>
          <w:sz w:val="20"/>
        </w:rPr>
        <w:t xml:space="preserve"> </w:t>
      </w:r>
      <w:r>
        <w:t>\(SCH\_TRIM_{k}\) is the school-level weight trimming factor for the school associated with student \(k\);</w:t>
      </w:r>
    </w:p>
    <w:p w:rsidR="003F5784" w14:paraId="0D5AF121" w14:textId="77777777">
      <w:pPr>
        <w:pStyle w:val="BodyText"/>
        <w:spacing w:before="2" w:line="232" w:lineRule="auto"/>
        <w:ind w:left="422" w:right="4693"/>
      </w:pPr>
      <w:r>
        <w:rPr>
          <w:noProof/>
          <w:position w:val="3"/>
        </w:rPr>
        <w:drawing>
          <wp:inline distT="0" distB="0" distL="0" distR="0">
            <wp:extent cx="41379" cy="41378"/>
            <wp:effectExtent l="0" t="0" r="0" b="0"/>
            <wp:docPr id="621" name="Image 621"/>
            <wp:cNvGraphicFramePr/>
            <a:graphic xmlns:a="http://schemas.openxmlformats.org/drawingml/2006/main">
              <a:graphicData uri="http://schemas.openxmlformats.org/drawingml/2006/picture">
                <pic:pic xmlns:pic="http://schemas.openxmlformats.org/drawingml/2006/picture">
                  <pic:nvPicPr>
                    <pic:cNvPr id="621" name="Image 621"/>
                    <pic:cNvPicPr/>
                  </pic:nvPicPr>
                  <pic:blipFill>
                    <a:blip xmlns:r="http://schemas.openxmlformats.org/officeDocument/2006/relationships" r:embed="rId506" cstate="print"/>
                    <a:stretch>
                      <a:fillRect/>
                    </a:stretch>
                  </pic:blipFill>
                  <pic:spPr>
                    <a:xfrm>
                      <a:off x="0" y="0"/>
                      <a:ext cx="41379" cy="41378"/>
                    </a:xfrm>
                    <a:prstGeom prst="rect">
                      <a:avLst/>
                    </a:prstGeom>
                  </pic:spPr>
                </pic:pic>
              </a:graphicData>
            </a:graphic>
          </wp:inline>
        </w:drawing>
      </w:r>
      <w:r>
        <w:rPr>
          <w:spacing w:val="76"/>
          <w:sz w:val="20"/>
        </w:rPr>
        <w:t xml:space="preserve"> </w:t>
      </w:r>
      <w:r>
        <w:t>\(SCH\_NRAF_{k}\)</w:t>
      </w:r>
      <w:r>
        <w:rPr>
          <w:spacing w:val="-7"/>
        </w:rPr>
        <w:t xml:space="preserve"> </w:t>
      </w:r>
      <w:r>
        <w:t>is</w:t>
      </w:r>
      <w:r>
        <w:rPr>
          <w:spacing w:val="-7"/>
        </w:rPr>
        <w:t xml:space="preserve"> </w:t>
      </w:r>
      <w:r>
        <w:t>the</w:t>
      </w:r>
      <w:r>
        <w:rPr>
          <w:spacing w:val="-7"/>
        </w:rPr>
        <w:t xml:space="preserve"> </w:t>
      </w:r>
      <w:r>
        <w:t>school-level</w:t>
      </w:r>
      <w:r>
        <w:rPr>
          <w:spacing w:val="-7"/>
        </w:rPr>
        <w:t xml:space="preserve"> </w:t>
      </w:r>
      <w:r>
        <w:t>nonresponse</w:t>
      </w:r>
      <w:r>
        <w:rPr>
          <w:spacing w:val="-7"/>
        </w:rPr>
        <w:t xml:space="preserve"> </w:t>
      </w:r>
      <w:r>
        <w:t>adjustment</w:t>
      </w:r>
      <w:r>
        <w:rPr>
          <w:spacing w:val="-7"/>
        </w:rPr>
        <w:t xml:space="preserve"> </w:t>
      </w:r>
      <w:r>
        <w:t>factor</w:t>
      </w:r>
      <w:r>
        <w:rPr>
          <w:spacing w:val="-7"/>
        </w:rPr>
        <w:t xml:space="preserve"> </w:t>
      </w:r>
      <w:r>
        <w:t>for</w:t>
      </w:r>
      <w:r>
        <w:rPr>
          <w:spacing w:val="-7"/>
        </w:rPr>
        <w:t xml:space="preserve"> </w:t>
      </w:r>
      <w:r>
        <w:t>the</w:t>
      </w:r>
      <w:r>
        <w:rPr>
          <w:spacing w:val="-7"/>
        </w:rPr>
        <w:t xml:space="preserve"> </w:t>
      </w:r>
      <w:r>
        <w:t>school</w:t>
      </w:r>
      <w:r>
        <w:rPr>
          <w:spacing w:val="-7"/>
        </w:rPr>
        <w:t xml:space="preserve"> </w:t>
      </w:r>
      <w:r>
        <w:t>associated</w:t>
      </w:r>
      <w:r>
        <w:rPr>
          <w:spacing w:val="-7"/>
        </w:rPr>
        <w:t xml:space="preserve"> </w:t>
      </w:r>
      <w:r>
        <w:t>with</w:t>
      </w:r>
      <w:r>
        <w:rPr>
          <w:spacing w:val="-7"/>
        </w:rPr>
        <w:t xml:space="preserve"> </w:t>
      </w:r>
      <w:r>
        <w:t>student</w:t>
      </w:r>
      <w:r>
        <w:rPr>
          <w:spacing w:val="-7"/>
        </w:rPr>
        <w:t xml:space="preserve"> </w:t>
      </w:r>
      <w:r>
        <w:t xml:space="preserve">\(k\); </w:t>
      </w:r>
      <w:r>
        <w:rPr>
          <w:noProof/>
          <w:position w:val="3"/>
        </w:rPr>
        <w:drawing>
          <wp:inline distT="0" distB="0" distL="0" distR="0">
            <wp:extent cx="41379" cy="41378"/>
            <wp:effectExtent l="0" t="0" r="0" b="0"/>
            <wp:docPr id="622" name="Image 622"/>
            <wp:cNvGraphicFramePr/>
            <a:graphic xmlns:a="http://schemas.openxmlformats.org/drawingml/2006/main">
              <a:graphicData uri="http://schemas.openxmlformats.org/drawingml/2006/picture">
                <pic:pic xmlns:pic="http://schemas.openxmlformats.org/drawingml/2006/picture">
                  <pic:nvPicPr>
                    <pic:cNvPr id="622" name="Image 622"/>
                    <pic:cNvPicPr/>
                  </pic:nvPicPr>
                  <pic:blipFill>
                    <a:blip xmlns:r="http://schemas.openxmlformats.org/officeDocument/2006/relationships" r:embed="rId507" cstate="print"/>
                    <a:stretch>
                      <a:fillRect/>
                    </a:stretch>
                  </pic:blipFill>
                  <pic:spPr>
                    <a:xfrm>
                      <a:off x="0" y="0"/>
                      <a:ext cx="41379" cy="41378"/>
                    </a:xfrm>
                    <a:prstGeom prst="rect">
                      <a:avLst/>
                    </a:prstGeom>
                  </pic:spPr>
                </pic:pic>
              </a:graphicData>
            </a:graphic>
          </wp:inline>
        </w:drawing>
      </w:r>
      <w:r>
        <w:rPr>
          <w:spacing w:val="80"/>
        </w:rPr>
        <w:t xml:space="preserve"> </w:t>
      </w:r>
      <w:r>
        <w:t>\(STU\_NRAF_{k}\) is the student-level nonresponse adjustment factor for student \(k\); and</w:t>
      </w:r>
    </w:p>
    <w:p w:rsidR="003F5784" w14:paraId="74E12F9D" w14:textId="77777777">
      <w:pPr>
        <w:pStyle w:val="BodyText"/>
        <w:spacing w:line="236" w:lineRule="exact"/>
        <w:ind w:left="422"/>
      </w:pPr>
      <w:r>
        <w:rPr>
          <w:noProof/>
          <w:position w:val="3"/>
        </w:rPr>
        <w:drawing>
          <wp:inline distT="0" distB="0" distL="0" distR="0">
            <wp:extent cx="41379" cy="41378"/>
            <wp:effectExtent l="0" t="0" r="0" b="0"/>
            <wp:docPr id="623" name="Image 623"/>
            <wp:cNvGraphicFramePr/>
            <a:graphic xmlns:a="http://schemas.openxmlformats.org/drawingml/2006/main">
              <a:graphicData uri="http://schemas.openxmlformats.org/drawingml/2006/picture">
                <pic:pic xmlns:pic="http://schemas.openxmlformats.org/drawingml/2006/picture">
                  <pic:nvPicPr>
                    <pic:cNvPr id="623" name="Image 623"/>
                    <pic:cNvPicPr/>
                  </pic:nvPicPr>
                  <pic:blipFill>
                    <a:blip xmlns:r="http://schemas.openxmlformats.org/officeDocument/2006/relationships" r:embed="rId508" cstate="print"/>
                    <a:stretch>
                      <a:fillRect/>
                    </a:stretch>
                  </pic:blipFill>
                  <pic:spPr>
                    <a:xfrm>
                      <a:off x="0" y="0"/>
                      <a:ext cx="41379" cy="41378"/>
                    </a:xfrm>
                    <a:prstGeom prst="rect">
                      <a:avLst/>
                    </a:prstGeom>
                  </pic:spPr>
                </pic:pic>
              </a:graphicData>
            </a:graphic>
          </wp:inline>
        </w:drawing>
      </w:r>
      <w:r>
        <w:rPr>
          <w:spacing w:val="80"/>
          <w:sz w:val="20"/>
        </w:rPr>
        <w:t xml:space="preserve"> </w:t>
      </w:r>
      <w:r>
        <w:t>\(SUBJFAC_{k}\) is the subject factor for student \(k\).</w:t>
      </w:r>
    </w:p>
    <w:p w:rsidR="003F5784" w14:paraId="7DEC95D0" w14:textId="77777777">
      <w:pPr>
        <w:pStyle w:val="BodyText"/>
        <w:spacing w:before="202"/>
        <w:ind w:left="109"/>
      </w:pPr>
      <w:r>
        <w:t>Then,</w:t>
      </w:r>
      <w:r>
        <w:rPr>
          <w:spacing w:val="-6"/>
        </w:rPr>
        <w:t xml:space="preserve"> </w:t>
      </w:r>
      <w:r>
        <w:t>the</w:t>
      </w:r>
      <w:r>
        <w:rPr>
          <w:spacing w:val="-5"/>
        </w:rPr>
        <w:t xml:space="preserve"> </w:t>
      </w:r>
      <w:r>
        <w:t>sequence</w:t>
      </w:r>
      <w:r>
        <w:rPr>
          <w:spacing w:val="-6"/>
        </w:rPr>
        <w:t xml:space="preserve"> </w:t>
      </w:r>
      <w:r>
        <w:t>of</w:t>
      </w:r>
      <w:r>
        <w:rPr>
          <w:spacing w:val="-5"/>
        </w:rPr>
        <w:t xml:space="preserve"> </w:t>
      </w:r>
      <w:r>
        <w:t>weights</w:t>
      </w:r>
      <w:r>
        <w:rPr>
          <w:spacing w:val="-6"/>
        </w:rPr>
        <w:t xml:space="preserve"> </w:t>
      </w:r>
      <w:r>
        <w:t>for</w:t>
      </w:r>
      <w:r>
        <w:rPr>
          <w:spacing w:val="-5"/>
        </w:rPr>
        <w:t xml:space="preserve"> </w:t>
      </w:r>
      <w:r>
        <w:t>the</w:t>
      </w:r>
      <w:r>
        <w:rPr>
          <w:spacing w:val="-6"/>
        </w:rPr>
        <w:t xml:space="preserve"> </w:t>
      </w:r>
      <w:r>
        <w:t>first</w:t>
      </w:r>
      <w:r>
        <w:rPr>
          <w:spacing w:val="-5"/>
        </w:rPr>
        <w:t xml:space="preserve"> </w:t>
      </w:r>
      <w:r>
        <w:t>iteration</w:t>
      </w:r>
      <w:r>
        <w:rPr>
          <w:spacing w:val="-6"/>
        </w:rPr>
        <w:t xml:space="preserve"> </w:t>
      </w:r>
      <w:r>
        <w:t>was</w:t>
      </w:r>
      <w:r>
        <w:rPr>
          <w:spacing w:val="-5"/>
        </w:rPr>
        <w:t xml:space="preserve"> </w:t>
      </w:r>
      <w:r>
        <w:t>calculated</w:t>
      </w:r>
      <w:r>
        <w:rPr>
          <w:spacing w:val="-6"/>
        </w:rPr>
        <w:t xml:space="preserve"> </w:t>
      </w:r>
      <w:r>
        <w:t>as</w:t>
      </w:r>
      <w:r>
        <w:rPr>
          <w:spacing w:val="-5"/>
        </w:rPr>
        <w:t xml:space="preserve"> </w:t>
      </w:r>
      <w:r>
        <w:t>follows</w:t>
      </w:r>
      <w:r>
        <w:rPr>
          <w:spacing w:val="-5"/>
        </w:rPr>
        <w:t xml:space="preserve"> </w:t>
      </w:r>
      <w:r>
        <w:t>for</w:t>
      </w:r>
      <w:r>
        <w:rPr>
          <w:spacing w:val="-6"/>
        </w:rPr>
        <w:t xml:space="preserve"> </w:t>
      </w:r>
      <w:r>
        <w:t>student</w:t>
      </w:r>
      <w:r>
        <w:rPr>
          <w:spacing w:val="-5"/>
        </w:rPr>
        <w:t xml:space="preserve"> </w:t>
      </w:r>
      <w:r>
        <w:t>\(k\)</w:t>
      </w:r>
      <w:r>
        <w:rPr>
          <w:spacing w:val="-6"/>
        </w:rPr>
        <w:t xml:space="preserve"> </w:t>
      </w:r>
      <w:r>
        <w:t>in</w:t>
      </w:r>
      <w:r>
        <w:rPr>
          <w:spacing w:val="-5"/>
        </w:rPr>
        <w:t xml:space="preserve"> </w:t>
      </w:r>
      <w:r>
        <w:t>category</w:t>
      </w:r>
      <w:r>
        <w:rPr>
          <w:spacing w:val="-6"/>
        </w:rPr>
        <w:t xml:space="preserve"> </w:t>
      </w:r>
      <w:r>
        <w:t>\(c\)</w:t>
      </w:r>
      <w:r>
        <w:rPr>
          <w:spacing w:val="-5"/>
        </w:rPr>
        <w:t xml:space="preserve"> </w:t>
      </w:r>
      <w:r>
        <w:t>of</w:t>
      </w:r>
      <w:r>
        <w:rPr>
          <w:spacing w:val="-6"/>
        </w:rPr>
        <w:t xml:space="preserve"> </w:t>
      </w:r>
      <w:r>
        <w:t>dimension</w:t>
      </w:r>
      <w:r>
        <w:rPr>
          <w:spacing w:val="-5"/>
        </w:rPr>
        <w:t xml:space="preserve"> </w:t>
      </w:r>
      <w:r>
        <w:rPr>
          <w:spacing w:val="-2"/>
        </w:rPr>
        <w:t>\(d\):</w:t>
      </w:r>
    </w:p>
    <w:p w:rsidR="003F5784" w14:paraId="783C4F76" w14:textId="77777777">
      <w:pPr>
        <w:pStyle w:val="BodyText"/>
        <w:spacing w:before="207" w:line="232" w:lineRule="auto"/>
        <w:ind w:left="109"/>
      </w:pPr>
      <w:r>
        <w:t>for</w:t>
      </w:r>
      <w:r>
        <w:rPr>
          <w:spacing w:val="-12"/>
        </w:rPr>
        <w:t xml:space="preserve"> </w:t>
      </w:r>
      <w:r>
        <w:t>dimension</w:t>
      </w:r>
      <w:r>
        <w:rPr>
          <w:spacing w:val="-12"/>
        </w:rPr>
        <w:t xml:space="preserve"> </w:t>
      </w:r>
      <w:r>
        <w:t>1:</w:t>
      </w:r>
      <w:r>
        <w:rPr>
          <w:spacing w:val="-12"/>
        </w:rPr>
        <w:t xml:space="preserve"> </w:t>
      </w:r>
      <w:r>
        <w:t>\begin{equation}</w:t>
      </w:r>
      <w:r>
        <w:rPr>
          <w:spacing w:val="-12"/>
        </w:rPr>
        <w:t xml:space="preserve"> </w:t>
      </w:r>
      <w:r>
        <w:t>STUSAWT_{k}^{adj(1)}</w:t>
      </w:r>
      <w:r>
        <w:rPr>
          <w:spacing w:val="-12"/>
        </w:rPr>
        <w:t xml:space="preserve"> </w:t>
      </w:r>
      <w:r>
        <w:t>=</w:t>
      </w:r>
      <w:r>
        <w:rPr>
          <w:spacing w:val="-12"/>
        </w:rPr>
        <w:t xml:space="preserve"> </w:t>
      </w:r>
      <w:r>
        <w:t>\dfrac</w:t>
      </w:r>
      <w:r>
        <w:rPr>
          <w:spacing w:val="-12"/>
        </w:rPr>
        <w:t xml:space="preserve"> </w:t>
      </w:r>
      <w:r>
        <w:t>{TOTAL_{c(1)}}</w:t>
      </w:r>
      <w:r>
        <w:rPr>
          <w:spacing w:val="-12"/>
        </w:rPr>
        <w:t xml:space="preserve"> </w:t>
      </w:r>
      <w:r>
        <w:t>{</w:t>
      </w:r>
      <w:r>
        <w:rPr>
          <w:spacing w:val="-12"/>
        </w:rPr>
        <w:t xml:space="preserve"> </w:t>
      </w:r>
      <w:r>
        <w:t>\sum_{</w:t>
      </w:r>
      <w:r>
        <w:rPr>
          <w:spacing w:val="-12"/>
        </w:rPr>
        <w:t xml:space="preserve"> </w:t>
      </w:r>
      <w:r>
        <w:t>R_{c(1)}</w:t>
      </w:r>
      <w:r>
        <w:rPr>
          <w:spacing w:val="-12"/>
        </w:rPr>
        <w:t xml:space="preserve"> </w:t>
      </w:r>
      <w:r>
        <w:t>\smile</w:t>
      </w:r>
      <w:r>
        <w:rPr>
          <w:spacing w:val="-12"/>
        </w:rPr>
        <w:t xml:space="preserve"> </w:t>
      </w:r>
      <w:r>
        <w:t>E_{c(1)}}</w:t>
      </w:r>
      <w:r>
        <w:rPr>
          <w:spacing w:val="-12"/>
        </w:rPr>
        <w:t xml:space="preserve"> </w:t>
      </w:r>
      <w:r>
        <w:t>{STUSAWT_{k}^{adj(0)}</w:t>
      </w:r>
      <w:r>
        <w:rPr>
          <w:spacing w:val="-12"/>
        </w:rPr>
        <w:t xml:space="preserve"> </w:t>
      </w:r>
      <w:r>
        <w:t>}</w:t>
      </w:r>
      <w:r>
        <w:rPr>
          <w:spacing w:val="-12"/>
        </w:rPr>
        <w:t xml:space="preserve"> </w:t>
      </w:r>
      <w:r>
        <w:t>}</w:t>
      </w:r>
      <w:r>
        <w:rPr>
          <w:spacing w:val="-12"/>
        </w:rPr>
        <w:t xml:space="preserve"> </w:t>
      </w:r>
      <w:r>
        <w:t>\times STUSAWT_{k}^{adj(0)} , \end{equation}</w:t>
      </w:r>
    </w:p>
    <w:p w:rsidR="003F5784" w14:paraId="3CC1484B" w14:textId="77777777">
      <w:pPr>
        <w:pStyle w:val="BodyText"/>
        <w:spacing w:before="210" w:line="232" w:lineRule="auto"/>
        <w:ind w:left="109"/>
      </w:pPr>
      <w:r>
        <w:t>for</w:t>
      </w:r>
      <w:r>
        <w:rPr>
          <w:spacing w:val="-12"/>
        </w:rPr>
        <w:t xml:space="preserve"> </w:t>
      </w:r>
      <w:r>
        <w:t>dimension</w:t>
      </w:r>
      <w:r>
        <w:rPr>
          <w:spacing w:val="-12"/>
        </w:rPr>
        <w:t xml:space="preserve"> </w:t>
      </w:r>
      <w:r>
        <w:t>2:</w:t>
      </w:r>
      <w:r>
        <w:rPr>
          <w:spacing w:val="-12"/>
        </w:rPr>
        <w:t xml:space="preserve"> </w:t>
      </w:r>
      <w:r>
        <w:t>\begin{equation}</w:t>
      </w:r>
      <w:r>
        <w:rPr>
          <w:spacing w:val="-12"/>
        </w:rPr>
        <w:t xml:space="preserve"> </w:t>
      </w:r>
      <w:r>
        <w:t>STUSAWT_{k}^{adj(2)}</w:t>
      </w:r>
      <w:r>
        <w:rPr>
          <w:spacing w:val="-12"/>
        </w:rPr>
        <w:t xml:space="preserve"> </w:t>
      </w:r>
      <w:r>
        <w:t>=</w:t>
      </w:r>
      <w:r>
        <w:rPr>
          <w:spacing w:val="-12"/>
        </w:rPr>
        <w:t xml:space="preserve"> </w:t>
      </w:r>
      <w:r>
        <w:t>\dfrac</w:t>
      </w:r>
      <w:r>
        <w:rPr>
          <w:spacing w:val="-12"/>
        </w:rPr>
        <w:t xml:space="preserve"> </w:t>
      </w:r>
      <w:r>
        <w:t>{TOTAL_{c(2)}}</w:t>
      </w:r>
      <w:r>
        <w:rPr>
          <w:spacing w:val="-12"/>
        </w:rPr>
        <w:t xml:space="preserve"> </w:t>
      </w:r>
      <w:r>
        <w:t>{</w:t>
      </w:r>
      <w:r>
        <w:rPr>
          <w:spacing w:val="-12"/>
        </w:rPr>
        <w:t xml:space="preserve"> </w:t>
      </w:r>
      <w:r>
        <w:t>\sum_{</w:t>
      </w:r>
      <w:r>
        <w:rPr>
          <w:spacing w:val="-12"/>
        </w:rPr>
        <w:t xml:space="preserve"> </w:t>
      </w:r>
      <w:r>
        <w:t>R_{c(2)}</w:t>
      </w:r>
      <w:r>
        <w:rPr>
          <w:spacing w:val="-12"/>
        </w:rPr>
        <w:t xml:space="preserve"> </w:t>
      </w:r>
      <w:r>
        <w:t>\smile</w:t>
      </w:r>
      <w:r>
        <w:rPr>
          <w:spacing w:val="-12"/>
        </w:rPr>
        <w:t xml:space="preserve"> </w:t>
      </w:r>
      <w:r>
        <w:t>E_{c(2)}}</w:t>
      </w:r>
      <w:r>
        <w:rPr>
          <w:spacing w:val="-12"/>
        </w:rPr>
        <w:t xml:space="preserve"> </w:t>
      </w:r>
      <w:r>
        <w:t>{STUSAWT_{k}^{adj(1)}</w:t>
      </w:r>
      <w:r>
        <w:rPr>
          <w:spacing w:val="-12"/>
        </w:rPr>
        <w:t xml:space="preserve"> </w:t>
      </w:r>
      <w:r>
        <w:t>}</w:t>
      </w:r>
      <w:r>
        <w:rPr>
          <w:spacing w:val="-12"/>
        </w:rPr>
        <w:t xml:space="preserve"> </w:t>
      </w:r>
      <w:r>
        <w:t>}</w:t>
      </w:r>
      <w:r>
        <w:rPr>
          <w:spacing w:val="-12"/>
        </w:rPr>
        <w:t xml:space="preserve"> </w:t>
      </w:r>
      <w:r>
        <w:t>\times STUSAWT_{k}^{adj(1)} , \end{equation}</w:t>
      </w:r>
    </w:p>
    <w:p w:rsidR="003F5784" w14:paraId="5DFF4AC6" w14:textId="77777777">
      <w:pPr>
        <w:pStyle w:val="BodyText"/>
        <w:spacing w:before="209" w:line="232" w:lineRule="auto"/>
        <w:ind w:left="109"/>
      </w:pPr>
      <w:r>
        <w:t>for</w:t>
      </w:r>
      <w:r>
        <w:rPr>
          <w:spacing w:val="-12"/>
        </w:rPr>
        <w:t xml:space="preserve"> </w:t>
      </w:r>
      <w:r>
        <w:t>dimension</w:t>
      </w:r>
      <w:r>
        <w:rPr>
          <w:spacing w:val="-12"/>
        </w:rPr>
        <w:t xml:space="preserve"> </w:t>
      </w:r>
      <w:r>
        <w:t>3:</w:t>
      </w:r>
      <w:r>
        <w:rPr>
          <w:spacing w:val="-12"/>
        </w:rPr>
        <w:t xml:space="preserve"> </w:t>
      </w:r>
      <w:r>
        <w:t>\begin{equation}</w:t>
      </w:r>
      <w:r>
        <w:rPr>
          <w:spacing w:val="-12"/>
        </w:rPr>
        <w:t xml:space="preserve"> </w:t>
      </w:r>
      <w:r>
        <w:t>STUSAWT_{k}^{adj(3)}</w:t>
      </w:r>
      <w:r>
        <w:rPr>
          <w:spacing w:val="-12"/>
        </w:rPr>
        <w:t xml:space="preserve"> </w:t>
      </w:r>
      <w:r>
        <w:t>=</w:t>
      </w:r>
      <w:r>
        <w:rPr>
          <w:spacing w:val="-12"/>
        </w:rPr>
        <w:t xml:space="preserve"> </w:t>
      </w:r>
      <w:r>
        <w:t>\dfrac</w:t>
      </w:r>
      <w:r>
        <w:rPr>
          <w:spacing w:val="-12"/>
        </w:rPr>
        <w:t xml:space="preserve"> </w:t>
      </w:r>
      <w:r>
        <w:t>{TOTAL_{c(3)}}</w:t>
      </w:r>
      <w:r>
        <w:rPr>
          <w:spacing w:val="-12"/>
        </w:rPr>
        <w:t xml:space="preserve"> </w:t>
      </w:r>
      <w:r>
        <w:t>{</w:t>
      </w:r>
      <w:r>
        <w:rPr>
          <w:spacing w:val="-12"/>
        </w:rPr>
        <w:t xml:space="preserve"> </w:t>
      </w:r>
      <w:r>
        <w:t>\sum_{</w:t>
      </w:r>
      <w:r>
        <w:rPr>
          <w:spacing w:val="-12"/>
        </w:rPr>
        <w:t xml:space="preserve"> </w:t>
      </w:r>
      <w:r>
        <w:t>R_{c(3)}</w:t>
      </w:r>
      <w:r>
        <w:rPr>
          <w:spacing w:val="-12"/>
        </w:rPr>
        <w:t xml:space="preserve"> </w:t>
      </w:r>
      <w:r>
        <w:t>\smile</w:t>
      </w:r>
      <w:r>
        <w:rPr>
          <w:spacing w:val="-12"/>
        </w:rPr>
        <w:t xml:space="preserve"> </w:t>
      </w:r>
      <w:r>
        <w:t>E_{c(3)}}</w:t>
      </w:r>
      <w:r>
        <w:rPr>
          <w:spacing w:val="-12"/>
        </w:rPr>
        <w:t xml:space="preserve"> </w:t>
      </w:r>
      <w:r>
        <w:t>{STUSAWT_{k}^{adj(2)}</w:t>
      </w:r>
      <w:r>
        <w:rPr>
          <w:spacing w:val="-12"/>
        </w:rPr>
        <w:t xml:space="preserve"> </w:t>
      </w:r>
      <w:r>
        <w:t>}</w:t>
      </w:r>
      <w:r>
        <w:rPr>
          <w:spacing w:val="-12"/>
        </w:rPr>
        <w:t xml:space="preserve"> </w:t>
      </w:r>
      <w:r>
        <w:t>}</w:t>
      </w:r>
      <w:r>
        <w:rPr>
          <w:spacing w:val="-12"/>
        </w:rPr>
        <w:t xml:space="preserve"> </w:t>
      </w:r>
      <w:r>
        <w:t>\times STUSAWT_{k}^{adj(2)} , \end{equation}</w:t>
      </w:r>
    </w:p>
    <w:p w:rsidR="003F5784" w14:paraId="25E46C7E" w14:textId="77777777">
      <w:pPr>
        <w:pStyle w:val="BodyText"/>
        <w:spacing w:before="203"/>
        <w:ind w:left="109"/>
      </w:pPr>
      <w:r>
        <w:rPr>
          <w:spacing w:val="-2"/>
        </w:rPr>
        <w:t>where</w:t>
      </w:r>
    </w:p>
    <w:p w:rsidR="003F5784" w14:paraId="4722DA17" w14:textId="77777777">
      <w:pPr>
        <w:pStyle w:val="BodyText"/>
        <w:spacing w:before="202" w:line="238" w:lineRule="exact"/>
        <w:ind w:left="422"/>
      </w:pPr>
      <w:r>
        <w:rPr>
          <w:noProof/>
          <w:position w:val="3"/>
        </w:rPr>
        <w:drawing>
          <wp:inline distT="0" distB="0" distL="0" distR="0">
            <wp:extent cx="41379" cy="41378"/>
            <wp:effectExtent l="0" t="0" r="0" b="0"/>
            <wp:docPr id="624" name="Image 624"/>
            <wp:cNvGraphicFramePr/>
            <a:graphic xmlns:a="http://schemas.openxmlformats.org/drawingml/2006/main">
              <a:graphicData uri="http://schemas.openxmlformats.org/drawingml/2006/picture">
                <pic:pic xmlns:pic="http://schemas.openxmlformats.org/drawingml/2006/picture">
                  <pic:nvPicPr>
                    <pic:cNvPr id="624" name="Image 624"/>
                    <pic:cNvPicPr/>
                  </pic:nvPicPr>
                  <pic:blipFill>
                    <a:blip xmlns:r="http://schemas.openxmlformats.org/officeDocument/2006/relationships" r:embed="rId505" cstate="print"/>
                    <a:stretch>
                      <a:fillRect/>
                    </a:stretch>
                  </pic:blipFill>
                  <pic:spPr>
                    <a:xfrm>
                      <a:off x="0" y="0"/>
                      <a:ext cx="41379" cy="41378"/>
                    </a:xfrm>
                    <a:prstGeom prst="rect">
                      <a:avLst/>
                    </a:prstGeom>
                  </pic:spPr>
                </pic:pic>
              </a:graphicData>
            </a:graphic>
          </wp:inline>
        </w:drawing>
      </w:r>
      <w:r>
        <w:rPr>
          <w:spacing w:val="80"/>
          <w:sz w:val="20"/>
        </w:rPr>
        <w:t xml:space="preserve"> </w:t>
      </w:r>
      <w:r>
        <w:t>\(R_{c(d)}\) is the set of all assessed students in category \(c\) of dimension \(d\);</w:t>
      </w:r>
    </w:p>
    <w:p w:rsidR="003F5784" w14:paraId="1F1586AA" w14:textId="77777777">
      <w:pPr>
        <w:pStyle w:val="BodyText"/>
        <w:spacing w:before="2" w:line="232" w:lineRule="auto"/>
        <w:ind w:left="422" w:right="5484"/>
      </w:pPr>
      <w:r>
        <w:rPr>
          <w:noProof/>
          <w:position w:val="3"/>
        </w:rPr>
        <w:drawing>
          <wp:inline distT="0" distB="0" distL="0" distR="0">
            <wp:extent cx="41379" cy="41378"/>
            <wp:effectExtent l="0" t="0" r="0" b="0"/>
            <wp:docPr id="625" name="Image 625"/>
            <wp:cNvGraphicFramePr/>
            <a:graphic xmlns:a="http://schemas.openxmlformats.org/drawingml/2006/main">
              <a:graphicData uri="http://schemas.openxmlformats.org/drawingml/2006/picture">
                <pic:pic xmlns:pic="http://schemas.openxmlformats.org/drawingml/2006/picture">
                  <pic:nvPicPr>
                    <pic:cNvPr id="625" name="Image 625"/>
                    <pic:cNvPicPr/>
                  </pic:nvPicPr>
                  <pic:blipFill>
                    <a:blip xmlns:r="http://schemas.openxmlformats.org/officeDocument/2006/relationships" r:embed="rId509" cstate="print"/>
                    <a:stretch>
                      <a:fillRect/>
                    </a:stretch>
                  </pic:blipFill>
                  <pic:spPr>
                    <a:xfrm>
                      <a:off x="0" y="0"/>
                      <a:ext cx="41379" cy="41378"/>
                    </a:xfrm>
                    <a:prstGeom prst="rect">
                      <a:avLst/>
                    </a:prstGeom>
                  </pic:spPr>
                </pic:pic>
              </a:graphicData>
            </a:graphic>
          </wp:inline>
        </w:drawing>
      </w:r>
      <w:r>
        <w:rPr>
          <w:spacing w:val="80"/>
          <w:sz w:val="20"/>
        </w:rPr>
        <w:t xml:space="preserve"> </w:t>
      </w:r>
      <w:r>
        <w:t>\(E_{c(d)}\)</w:t>
      </w:r>
      <w:r>
        <w:rPr>
          <w:spacing w:val="-6"/>
        </w:rPr>
        <w:t xml:space="preserve"> </w:t>
      </w:r>
      <w:r>
        <w:t>is</w:t>
      </w:r>
      <w:r>
        <w:rPr>
          <w:spacing w:val="-6"/>
        </w:rPr>
        <w:t xml:space="preserve"> </w:t>
      </w:r>
      <w:r>
        <w:t>the</w:t>
      </w:r>
      <w:r>
        <w:rPr>
          <w:spacing w:val="-6"/>
        </w:rPr>
        <w:t xml:space="preserve"> </w:t>
      </w:r>
      <w:r>
        <w:t>set</w:t>
      </w:r>
      <w:r>
        <w:rPr>
          <w:spacing w:val="-6"/>
        </w:rPr>
        <w:t xml:space="preserve"> </w:t>
      </w:r>
      <w:r>
        <w:t>of</w:t>
      </w:r>
      <w:r>
        <w:rPr>
          <w:spacing w:val="-6"/>
        </w:rPr>
        <w:t xml:space="preserve"> </w:t>
      </w:r>
      <w:r>
        <w:t>all</w:t>
      </w:r>
      <w:r>
        <w:rPr>
          <w:spacing w:val="-6"/>
        </w:rPr>
        <w:t xml:space="preserve"> </w:t>
      </w:r>
      <w:r>
        <w:t>excluded</w:t>
      </w:r>
      <w:r>
        <w:rPr>
          <w:spacing w:val="-6"/>
        </w:rPr>
        <w:t xml:space="preserve"> </w:t>
      </w:r>
      <w:r>
        <w:t>or</w:t>
      </w:r>
      <w:r>
        <w:rPr>
          <w:spacing w:val="-6"/>
        </w:rPr>
        <w:t xml:space="preserve"> </w:t>
      </w:r>
      <w:r>
        <w:t>full-time</w:t>
      </w:r>
      <w:r>
        <w:rPr>
          <w:spacing w:val="-6"/>
        </w:rPr>
        <w:t xml:space="preserve"> </w:t>
      </w:r>
      <w:r>
        <w:t>remote</w:t>
      </w:r>
      <w:r>
        <w:rPr>
          <w:spacing w:val="-6"/>
        </w:rPr>
        <w:t xml:space="preserve"> </w:t>
      </w:r>
      <w:r>
        <w:t>students</w:t>
      </w:r>
      <w:r>
        <w:rPr>
          <w:spacing w:val="-6"/>
        </w:rPr>
        <w:t xml:space="preserve"> </w:t>
      </w:r>
      <w:r>
        <w:t>in</w:t>
      </w:r>
      <w:r>
        <w:rPr>
          <w:spacing w:val="-6"/>
        </w:rPr>
        <w:t xml:space="preserve"> </w:t>
      </w:r>
      <w:r>
        <w:t>category</w:t>
      </w:r>
      <w:r>
        <w:rPr>
          <w:spacing w:val="-6"/>
        </w:rPr>
        <w:t xml:space="preserve"> </w:t>
      </w:r>
      <w:r>
        <w:t>\(c\)</w:t>
      </w:r>
      <w:r>
        <w:rPr>
          <w:spacing w:val="-6"/>
        </w:rPr>
        <w:t xml:space="preserve"> </w:t>
      </w:r>
      <w:r>
        <w:t>of</w:t>
      </w:r>
      <w:r>
        <w:rPr>
          <w:spacing w:val="-6"/>
        </w:rPr>
        <w:t xml:space="preserve"> </w:t>
      </w:r>
      <w:r>
        <w:t>dimension</w:t>
      </w:r>
      <w:r>
        <w:rPr>
          <w:spacing w:val="-6"/>
        </w:rPr>
        <w:t xml:space="preserve"> </w:t>
      </w:r>
      <w:r>
        <w:t>\(d\);</w:t>
      </w:r>
      <w:r>
        <w:rPr>
          <w:spacing w:val="-6"/>
        </w:rPr>
        <w:t xml:space="preserve"> </w:t>
      </w:r>
      <w:r>
        <w:t xml:space="preserve">and </w:t>
      </w:r>
      <w:r>
        <w:rPr>
          <w:noProof/>
          <w:position w:val="3"/>
        </w:rPr>
        <w:drawing>
          <wp:inline distT="0" distB="0" distL="0" distR="0">
            <wp:extent cx="41379" cy="41378"/>
            <wp:effectExtent l="0" t="0" r="0" b="0"/>
            <wp:docPr id="626" name="Image 626"/>
            <wp:cNvGraphicFramePr/>
            <a:graphic xmlns:a="http://schemas.openxmlformats.org/drawingml/2006/main">
              <a:graphicData uri="http://schemas.openxmlformats.org/drawingml/2006/picture">
                <pic:pic xmlns:pic="http://schemas.openxmlformats.org/drawingml/2006/picture">
                  <pic:nvPicPr>
                    <pic:cNvPr id="626" name="Image 626"/>
                    <pic:cNvPicPr/>
                  </pic:nvPicPr>
                  <pic:blipFill>
                    <a:blip xmlns:r="http://schemas.openxmlformats.org/officeDocument/2006/relationships" r:embed="rId510" cstate="print"/>
                    <a:stretch>
                      <a:fillRect/>
                    </a:stretch>
                  </pic:blipFill>
                  <pic:spPr>
                    <a:xfrm>
                      <a:off x="0" y="0"/>
                      <a:ext cx="41379" cy="41378"/>
                    </a:xfrm>
                    <a:prstGeom prst="rect">
                      <a:avLst/>
                    </a:prstGeom>
                  </pic:spPr>
                </pic:pic>
              </a:graphicData>
            </a:graphic>
          </wp:inline>
        </w:drawing>
      </w:r>
      <w:r>
        <w:rPr>
          <w:spacing w:val="80"/>
        </w:rPr>
        <w:t xml:space="preserve"> </w:t>
      </w:r>
      <w:r>
        <w:t>\(TOTAL_{c(d)}\) is the control total for category \(c\) of dimension \(d\).</w:t>
      </w:r>
    </w:p>
    <w:p w:rsidR="003F5784" w14:paraId="17DBE73A" w14:textId="77777777">
      <w:pPr>
        <w:pStyle w:val="BodyText"/>
        <w:spacing w:before="209" w:line="232" w:lineRule="auto"/>
        <w:ind w:left="109"/>
      </w:pPr>
      <w:r>
        <w:t>The process is said to converge if the maximum difference between the sum of adjusted weights and the control totals is 1.0 for each category in each dimension. If after the sequence</w:t>
      </w:r>
      <w:r>
        <w:rPr>
          <w:spacing w:val="-6"/>
        </w:rPr>
        <w:t xml:space="preserve"> </w:t>
      </w:r>
      <w:r>
        <w:t>of</w:t>
      </w:r>
      <w:r>
        <w:rPr>
          <w:spacing w:val="-6"/>
        </w:rPr>
        <w:t xml:space="preserve"> </w:t>
      </w:r>
      <w:r>
        <w:t>adjustments</w:t>
      </w:r>
      <w:r>
        <w:rPr>
          <w:spacing w:val="-6"/>
        </w:rPr>
        <w:t xml:space="preserve"> </w:t>
      </w:r>
      <w:r>
        <w:t>the</w:t>
      </w:r>
      <w:r>
        <w:rPr>
          <w:spacing w:val="-6"/>
        </w:rPr>
        <w:t xml:space="preserve"> </w:t>
      </w:r>
      <w:r>
        <w:t>maximum</w:t>
      </w:r>
      <w:r>
        <w:rPr>
          <w:spacing w:val="-6"/>
        </w:rPr>
        <w:t xml:space="preserve"> </w:t>
      </w:r>
      <w:r>
        <w:t>difference</w:t>
      </w:r>
      <w:r>
        <w:rPr>
          <w:spacing w:val="-6"/>
        </w:rPr>
        <w:t xml:space="preserve"> </w:t>
      </w:r>
      <w:r>
        <w:t>was</w:t>
      </w:r>
      <w:r>
        <w:rPr>
          <w:spacing w:val="-6"/>
        </w:rPr>
        <w:t xml:space="preserve"> </w:t>
      </w:r>
      <w:r>
        <w:t>greater</w:t>
      </w:r>
      <w:r>
        <w:rPr>
          <w:spacing w:val="-6"/>
        </w:rPr>
        <w:t xml:space="preserve"> </w:t>
      </w:r>
      <w:r>
        <w:t>than</w:t>
      </w:r>
      <w:r>
        <w:rPr>
          <w:spacing w:val="-6"/>
        </w:rPr>
        <w:t xml:space="preserve"> </w:t>
      </w:r>
      <w:r>
        <w:t>1.0,</w:t>
      </w:r>
      <w:r>
        <w:rPr>
          <w:spacing w:val="-6"/>
        </w:rPr>
        <w:t xml:space="preserve"> </w:t>
      </w:r>
      <w:r>
        <w:t>the</w:t>
      </w:r>
      <w:r>
        <w:rPr>
          <w:spacing w:val="-6"/>
        </w:rPr>
        <w:t xml:space="preserve"> </w:t>
      </w:r>
      <w:r>
        <w:t>process</w:t>
      </w:r>
      <w:r>
        <w:rPr>
          <w:spacing w:val="-6"/>
        </w:rPr>
        <w:t xml:space="preserve"> </w:t>
      </w:r>
      <w:r>
        <w:t>continues</w:t>
      </w:r>
      <w:r>
        <w:rPr>
          <w:spacing w:val="-6"/>
        </w:rPr>
        <w:t xml:space="preserve"> </w:t>
      </w:r>
      <w:r>
        <w:t>to</w:t>
      </w:r>
      <w:r>
        <w:rPr>
          <w:spacing w:val="-6"/>
        </w:rPr>
        <w:t xml:space="preserve"> </w:t>
      </w:r>
      <w:r>
        <w:t>the</w:t>
      </w:r>
      <w:r>
        <w:rPr>
          <w:spacing w:val="-6"/>
        </w:rPr>
        <w:t xml:space="preserve"> </w:t>
      </w:r>
      <w:r>
        <w:t>next</w:t>
      </w:r>
      <w:r>
        <w:rPr>
          <w:spacing w:val="-6"/>
        </w:rPr>
        <w:t xml:space="preserve"> </w:t>
      </w:r>
      <w:r>
        <w:t>iteration,</w:t>
      </w:r>
      <w:r>
        <w:rPr>
          <w:spacing w:val="-6"/>
        </w:rPr>
        <w:t xml:space="preserve"> </w:t>
      </w:r>
      <w:r>
        <w:t>cycling</w:t>
      </w:r>
      <w:r>
        <w:rPr>
          <w:spacing w:val="-6"/>
        </w:rPr>
        <w:t xml:space="preserve"> </w:t>
      </w:r>
      <w:r>
        <w:t>back</w:t>
      </w:r>
      <w:r>
        <w:rPr>
          <w:spacing w:val="-6"/>
        </w:rPr>
        <w:t xml:space="preserve"> </w:t>
      </w:r>
      <w:r>
        <w:t>to</w:t>
      </w:r>
      <w:r>
        <w:rPr>
          <w:spacing w:val="-6"/>
        </w:rPr>
        <w:t xml:space="preserve"> </w:t>
      </w:r>
      <w:r>
        <w:t>the</w:t>
      </w:r>
      <w:r>
        <w:rPr>
          <w:spacing w:val="-6"/>
        </w:rPr>
        <w:t xml:space="preserve"> </w:t>
      </w:r>
      <w:r>
        <w:t>first</w:t>
      </w:r>
      <w:r>
        <w:rPr>
          <w:spacing w:val="-6"/>
        </w:rPr>
        <w:t xml:space="preserve"> </w:t>
      </w:r>
      <w:r>
        <w:t>dimension</w:t>
      </w:r>
      <w:r>
        <w:rPr>
          <w:spacing w:val="-6"/>
        </w:rPr>
        <w:t xml:space="preserve"> </w:t>
      </w:r>
      <w:r>
        <w:t>with</w:t>
      </w:r>
      <w:r>
        <w:rPr>
          <w:spacing w:val="-6"/>
        </w:rPr>
        <w:t xml:space="preserve"> </w:t>
      </w:r>
      <w:r>
        <w:t>the</w:t>
      </w:r>
      <w:r>
        <w:rPr>
          <w:spacing w:val="-6"/>
        </w:rPr>
        <w:t xml:space="preserve"> </w:t>
      </w:r>
      <w:r>
        <w:t>initial</w:t>
      </w:r>
      <w:r>
        <w:rPr>
          <w:spacing w:val="-6"/>
        </w:rPr>
        <w:t xml:space="preserve"> </w:t>
      </w:r>
      <w:r>
        <w:t>weight</w:t>
      </w:r>
      <w:r>
        <w:rPr>
          <w:spacing w:val="-6"/>
        </w:rPr>
        <w:t xml:space="preserve"> </w:t>
      </w:r>
      <w:r>
        <w:t>for student \(k\) equaling \(STUSAWT_{k}^{adj(3)}\) from the previous iteration.</w:t>
      </w:r>
      <w:r>
        <w:rPr>
          <w:spacing w:val="-1"/>
        </w:rPr>
        <w:t xml:space="preserve"> </w:t>
      </w:r>
      <w:r>
        <w:t>The process continued until convergence was reached.</w:t>
      </w:r>
    </w:p>
    <w:p w:rsidR="003F5784" w14:paraId="6A4249C6" w14:textId="77777777">
      <w:pPr>
        <w:pStyle w:val="BodyText"/>
        <w:spacing w:before="204"/>
        <w:ind w:left="109"/>
      </w:pPr>
      <w:r>
        <w:t>Once</w:t>
      </w:r>
      <w:r>
        <w:rPr>
          <w:spacing w:val="-8"/>
        </w:rPr>
        <w:t xml:space="preserve"> </w:t>
      </w:r>
      <w:r>
        <w:t>the</w:t>
      </w:r>
      <w:r>
        <w:rPr>
          <w:spacing w:val="-7"/>
        </w:rPr>
        <w:t xml:space="preserve"> </w:t>
      </w:r>
      <w:r>
        <w:t>process</w:t>
      </w:r>
      <w:r>
        <w:rPr>
          <w:spacing w:val="-7"/>
        </w:rPr>
        <w:t xml:space="preserve"> </w:t>
      </w:r>
      <w:r>
        <w:t>converged,</w:t>
      </w:r>
      <w:r>
        <w:rPr>
          <w:spacing w:val="-7"/>
        </w:rPr>
        <w:t xml:space="preserve"> </w:t>
      </w:r>
      <w:r>
        <w:t>the</w:t>
      </w:r>
      <w:r>
        <w:rPr>
          <w:spacing w:val="-7"/>
        </w:rPr>
        <w:t xml:space="preserve"> </w:t>
      </w:r>
      <w:r>
        <w:t>adjustment</w:t>
      </w:r>
      <w:r>
        <w:rPr>
          <w:spacing w:val="-7"/>
        </w:rPr>
        <w:t xml:space="preserve"> </w:t>
      </w:r>
      <w:r>
        <w:t>factor</w:t>
      </w:r>
      <w:r>
        <w:rPr>
          <w:spacing w:val="-7"/>
        </w:rPr>
        <w:t xml:space="preserve"> </w:t>
      </w:r>
      <w:r>
        <w:t>was</w:t>
      </w:r>
      <w:r>
        <w:rPr>
          <w:spacing w:val="-7"/>
        </w:rPr>
        <w:t xml:space="preserve"> </w:t>
      </w:r>
      <w:r>
        <w:t>computed</w:t>
      </w:r>
      <w:r>
        <w:rPr>
          <w:spacing w:val="-7"/>
        </w:rPr>
        <w:t xml:space="preserve"> </w:t>
      </w:r>
      <w:r>
        <w:rPr>
          <w:spacing w:val="-5"/>
        </w:rPr>
        <w:t>as</w:t>
      </w:r>
    </w:p>
    <w:p w:rsidR="003F5784" w14:paraId="0C15297E" w14:textId="77777777">
      <w:pPr>
        <w:pStyle w:val="BodyText"/>
        <w:spacing w:before="208" w:line="232" w:lineRule="auto"/>
        <w:ind w:left="109"/>
      </w:pPr>
      <w:r>
        <w:t>\begin{equation}</w:t>
      </w:r>
      <w:r>
        <w:rPr>
          <w:spacing w:val="-12"/>
        </w:rPr>
        <w:t xml:space="preserve"> </w:t>
      </w:r>
      <w:r>
        <w:t>STU\_RAKE_{k}</w:t>
      </w:r>
      <w:r>
        <w:rPr>
          <w:spacing w:val="-12"/>
        </w:rPr>
        <w:t xml:space="preserve"> </w:t>
      </w:r>
      <w:r>
        <w:t>=</w:t>
      </w:r>
      <w:r>
        <w:rPr>
          <w:spacing w:val="-12"/>
        </w:rPr>
        <w:t xml:space="preserve"> </w:t>
      </w:r>
      <w:r>
        <w:t>\dfrac</w:t>
      </w:r>
      <w:r>
        <w:rPr>
          <w:spacing w:val="-12"/>
        </w:rPr>
        <w:t xml:space="preserve"> </w:t>
      </w:r>
      <w:r>
        <w:t>{STUSAWT_{k}}</w:t>
      </w:r>
      <w:r>
        <w:rPr>
          <w:spacing w:val="-12"/>
        </w:rPr>
        <w:t xml:space="preserve"> </w:t>
      </w:r>
      <w:r>
        <w:t>{</w:t>
      </w:r>
      <w:r>
        <w:rPr>
          <w:spacing w:val="-12"/>
        </w:rPr>
        <w:t xml:space="preserve"> </w:t>
      </w:r>
      <w:r>
        <w:t>STU\_BWT_{k}</w:t>
      </w:r>
      <w:r>
        <w:rPr>
          <w:spacing w:val="-12"/>
        </w:rPr>
        <w:t xml:space="preserve"> </w:t>
      </w:r>
      <w:r>
        <w:t>\times</w:t>
      </w:r>
      <w:r>
        <w:rPr>
          <w:spacing w:val="-12"/>
        </w:rPr>
        <w:t xml:space="preserve"> </w:t>
      </w:r>
      <w:r>
        <w:t>SCH\_TRIM_{k}</w:t>
      </w:r>
      <w:r>
        <w:rPr>
          <w:spacing w:val="-12"/>
        </w:rPr>
        <w:t xml:space="preserve"> </w:t>
      </w:r>
      <w:r>
        <w:t>\times</w:t>
      </w:r>
      <w:r>
        <w:rPr>
          <w:spacing w:val="-12"/>
        </w:rPr>
        <w:t xml:space="preserve"> </w:t>
      </w:r>
      <w:r>
        <w:t>SCH\_NRAF_{k}</w:t>
      </w:r>
      <w:r>
        <w:rPr>
          <w:spacing w:val="-12"/>
        </w:rPr>
        <w:t xml:space="preserve"> </w:t>
      </w:r>
      <w:r>
        <w:t>\times</w:t>
      </w:r>
      <w:r>
        <w:rPr>
          <w:spacing w:val="-12"/>
        </w:rPr>
        <w:t xml:space="preserve"> </w:t>
      </w:r>
      <w:r>
        <w:t>STU\_NRAF_{k}</w:t>
      </w:r>
      <w:r>
        <w:rPr>
          <w:spacing w:val="-12"/>
        </w:rPr>
        <w:t xml:space="preserve"> </w:t>
      </w:r>
      <w:r>
        <w:t>\times SUBJFAC_{k} } , \end{equation}</w:t>
      </w:r>
    </w:p>
    <w:p w:rsidR="003F5784" w14:paraId="22E58437" w14:textId="77777777">
      <w:pPr>
        <w:pStyle w:val="BodyText"/>
        <w:spacing w:before="203"/>
        <w:ind w:left="109"/>
      </w:pPr>
      <w:r>
        <w:rPr>
          <w:spacing w:val="-2"/>
        </w:rPr>
        <w:t>where</w:t>
      </w:r>
    </w:p>
    <w:p w:rsidR="003F5784" w14:paraId="5A0E09B8" w14:textId="77777777">
      <w:pPr>
        <w:pStyle w:val="BodyText"/>
        <w:spacing w:before="202"/>
        <w:ind w:left="631"/>
      </w:pPr>
      <w:r>
        <w:rPr>
          <w:noProof/>
        </w:rPr>
        <mc:AlternateContent>
          <mc:Choice Requires="wps">
            <w:drawing>
              <wp:anchor distT="0" distB="0" distL="0" distR="0" simplePos="0" relativeHeight="251688960" behindDoc="0" locked="0" layoutInCell="1" allowOverlap="1">
                <wp:simplePos x="0" y="0"/>
                <wp:positionH relativeFrom="page">
                  <wp:posOffset>560569</wp:posOffset>
                </wp:positionH>
                <wp:positionV relativeFrom="paragraph">
                  <wp:posOffset>194817</wp:posOffset>
                </wp:positionV>
                <wp:extent cx="41910" cy="41910"/>
                <wp:effectExtent l="0" t="0" r="0" b="0"/>
                <wp:wrapNone/>
                <wp:docPr id="627" name="Graphic 627"/>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0" y="23279"/>
                              </a:lnTo>
                              <a:lnTo>
                                <a:pt x="0" y="17842"/>
                              </a:lnTo>
                              <a:lnTo>
                                <a:pt x="12771" y="1555"/>
                              </a:lnTo>
                              <a:lnTo>
                                <a:pt x="15306" y="521"/>
                              </a:lnTo>
                              <a:lnTo>
                                <a:pt x="17945" y="0"/>
                              </a:lnTo>
                              <a:lnTo>
                                <a:pt x="23433" y="0"/>
                              </a:lnTo>
                              <a:lnTo>
                                <a:pt x="26072" y="521"/>
                              </a:lnTo>
                              <a:lnTo>
                                <a:pt x="28606" y="1555"/>
                              </a:lnTo>
                              <a:lnTo>
                                <a:pt x="31141" y="2457"/>
                              </a:lnTo>
                              <a:lnTo>
                                <a:pt x="41379" y="20689"/>
                              </a:lnTo>
                              <a:lnTo>
                                <a:pt x="41378" y="23279"/>
                              </a:lnTo>
                              <a:lnTo>
                                <a:pt x="23433" y="41246"/>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27" o:spid="_x0000_s1191" style="width:3.3pt;height:3.3pt;margin-top:15.35pt;margin-left:44.15pt;mso-position-horizontal-relative:page;mso-wrap-distance-bottom:0;mso-wrap-distance-left:0;mso-wrap-distance-right:0;mso-wrap-distance-top:0;mso-wrap-style:square;position:absolute;visibility:visible;v-text-anchor:top;z-index:251689984" coordsize="41910,41910" path="m20689,41378l,23279,,17842,12771,1555,15306,521,17945,l23433,l26072,521l28606,1555l31141,2457,41379,20689l41378,23279l23433,41246l20689,41378xe" fillcolor="black" stroked="f">
                <v:path arrowok="t"/>
              </v:shape>
            </w:pict>
          </mc:Fallback>
        </mc:AlternateContent>
      </w:r>
      <w:r>
        <w:t>\(STUSAWT_{k}\)</w:t>
      </w:r>
      <w:r>
        <w:rPr>
          <w:spacing w:val="-9"/>
        </w:rPr>
        <w:t xml:space="preserve"> </w:t>
      </w:r>
      <w:r>
        <w:t>is</w:t>
      </w:r>
      <w:r>
        <w:rPr>
          <w:spacing w:val="-8"/>
        </w:rPr>
        <w:t xml:space="preserve"> </w:t>
      </w:r>
      <w:r>
        <w:t>the</w:t>
      </w:r>
      <w:r>
        <w:rPr>
          <w:spacing w:val="-9"/>
        </w:rPr>
        <w:t xml:space="preserve"> </w:t>
      </w:r>
      <w:r>
        <w:t>weight</w:t>
      </w:r>
      <w:r>
        <w:rPr>
          <w:spacing w:val="-8"/>
        </w:rPr>
        <w:t xml:space="preserve"> </w:t>
      </w:r>
      <w:r>
        <w:t>for</w:t>
      </w:r>
      <w:r>
        <w:rPr>
          <w:spacing w:val="-9"/>
        </w:rPr>
        <w:t xml:space="preserve"> </w:t>
      </w:r>
      <w:r>
        <w:t>student</w:t>
      </w:r>
      <w:r>
        <w:rPr>
          <w:spacing w:val="-8"/>
        </w:rPr>
        <w:t xml:space="preserve"> </w:t>
      </w:r>
      <w:r>
        <w:t>\(k\)</w:t>
      </w:r>
      <w:r>
        <w:rPr>
          <w:spacing w:val="-8"/>
        </w:rPr>
        <w:t xml:space="preserve"> </w:t>
      </w:r>
      <w:r>
        <w:t>after</w:t>
      </w:r>
      <w:r>
        <w:rPr>
          <w:spacing w:val="-9"/>
        </w:rPr>
        <w:t xml:space="preserve"> </w:t>
      </w:r>
      <w:r>
        <w:rPr>
          <w:spacing w:val="-2"/>
        </w:rPr>
        <w:t>convergence.</w:t>
      </w:r>
    </w:p>
    <w:p w:rsidR="003F5784" w14:paraId="6797CC94" w14:textId="77777777">
      <w:pPr>
        <w:sectPr>
          <w:pgSz w:w="15840" w:h="12240" w:orient="landscape"/>
          <w:pgMar w:top="480" w:right="440" w:bottom="460" w:left="460" w:header="284" w:footer="275" w:gutter="0"/>
          <w:cols w:space="720"/>
        </w:sectPr>
      </w:pPr>
    </w:p>
    <w:p w:rsidR="003F5784" w14:paraId="459049D1" w14:textId="77777777">
      <w:pPr>
        <w:pStyle w:val="BodyText"/>
        <w:spacing w:before="72"/>
        <w:ind w:left="109"/>
      </w:pPr>
      <w:r>
        <w:t>The</w:t>
      </w:r>
      <w:r>
        <w:rPr>
          <w:spacing w:val="-6"/>
        </w:rPr>
        <w:t xml:space="preserve"> </w:t>
      </w:r>
      <w:r>
        <w:t>process</w:t>
      </w:r>
      <w:r>
        <w:rPr>
          <w:spacing w:val="-5"/>
        </w:rPr>
        <w:t xml:space="preserve"> </w:t>
      </w:r>
      <w:r>
        <w:t>was</w:t>
      </w:r>
      <w:r>
        <w:rPr>
          <w:spacing w:val="-5"/>
        </w:rPr>
        <w:t xml:space="preserve"> </w:t>
      </w:r>
      <w:r>
        <w:t>done</w:t>
      </w:r>
      <w:r>
        <w:rPr>
          <w:spacing w:val="-6"/>
        </w:rPr>
        <w:t xml:space="preserve"> </w:t>
      </w:r>
      <w:r>
        <w:t>independently</w:t>
      </w:r>
      <w:r>
        <w:rPr>
          <w:spacing w:val="-5"/>
        </w:rPr>
        <w:t xml:space="preserve"> </w:t>
      </w:r>
      <w:r>
        <w:t>for</w:t>
      </w:r>
      <w:r>
        <w:rPr>
          <w:spacing w:val="-5"/>
        </w:rPr>
        <w:t xml:space="preserve"> </w:t>
      </w:r>
      <w:r>
        <w:t>the</w:t>
      </w:r>
      <w:r>
        <w:rPr>
          <w:spacing w:val="-6"/>
        </w:rPr>
        <w:t xml:space="preserve"> </w:t>
      </w:r>
      <w:r>
        <w:t>full</w:t>
      </w:r>
      <w:r>
        <w:rPr>
          <w:spacing w:val="-5"/>
        </w:rPr>
        <w:t xml:space="preserve"> </w:t>
      </w:r>
      <w:r>
        <w:t>sample</w:t>
      </w:r>
      <w:r>
        <w:rPr>
          <w:spacing w:val="-5"/>
        </w:rPr>
        <w:t xml:space="preserve"> </w:t>
      </w:r>
      <w:r>
        <w:t>and</w:t>
      </w:r>
      <w:r>
        <w:rPr>
          <w:spacing w:val="-6"/>
        </w:rPr>
        <w:t xml:space="preserve"> </w:t>
      </w:r>
      <w:r>
        <w:t>for</w:t>
      </w:r>
      <w:r>
        <w:rPr>
          <w:spacing w:val="-5"/>
        </w:rPr>
        <w:t xml:space="preserve"> </w:t>
      </w:r>
      <w:r>
        <w:t>each</w:t>
      </w:r>
      <w:r>
        <w:rPr>
          <w:spacing w:val="-6"/>
        </w:rPr>
        <w:t xml:space="preserve"> </w:t>
      </w:r>
      <w:r>
        <w:rPr>
          <w:spacing w:val="-2"/>
        </w:rPr>
        <w:t>replicate.</w:t>
      </w:r>
    </w:p>
    <w:p w:rsidR="003F5784" w14:paraId="4B6CC106" w14:textId="77777777">
      <w:pPr>
        <w:pStyle w:val="BodyText"/>
      </w:pPr>
    </w:p>
    <w:p w:rsidR="003F5784" w14:paraId="2635E4D0" w14:textId="77777777">
      <w:pPr>
        <w:pStyle w:val="BodyText"/>
      </w:pPr>
    </w:p>
    <w:p w:rsidR="003F5784" w14:paraId="7C97CD09" w14:textId="77777777">
      <w:pPr>
        <w:pStyle w:val="BodyText"/>
      </w:pPr>
    </w:p>
    <w:p w:rsidR="003F5784" w14:paraId="66A1CB6D" w14:textId="77777777">
      <w:pPr>
        <w:pStyle w:val="BodyText"/>
      </w:pPr>
    </w:p>
    <w:p w:rsidR="003F5784" w14:paraId="680609DC" w14:textId="77777777">
      <w:pPr>
        <w:pStyle w:val="BodyText"/>
        <w:spacing w:before="130"/>
      </w:pPr>
    </w:p>
    <w:p w:rsidR="003F5784" w14:paraId="4AB52107" w14:textId="77777777">
      <w:pPr>
        <w:ind w:left="5240"/>
        <w:rPr>
          <w:sz w:val="18"/>
        </w:rPr>
      </w:pPr>
      <w:hyperlink r:id="rId511">
        <w:r>
          <w:rPr>
            <w:spacing w:val="-2"/>
            <w:w w:val="105"/>
            <w:sz w:val="18"/>
          </w:rPr>
          <w:t>http://nces.ed.gov/nationsreportcard/tdw/weighting/2022/raking_adjustment_factor_calculation_for_the_2022_assessment.aspx</w:t>
        </w:r>
      </w:hyperlink>
    </w:p>
    <w:p w:rsidR="003F5784" w14:paraId="21C0D6CC" w14:textId="77777777">
      <w:pPr>
        <w:pStyle w:val="BodyText"/>
        <w:spacing w:before="1"/>
        <w:rPr>
          <w:sz w:val="16"/>
        </w:rPr>
      </w:pPr>
      <w:r>
        <w:rPr>
          <w:noProof/>
        </w:rPr>
        <mc:AlternateContent>
          <mc:Choice Requires="wps">
            <w:drawing>
              <wp:anchor distT="0" distB="0" distL="0" distR="0" simplePos="0" relativeHeight="252011520" behindDoc="1" locked="0" layoutInCell="1" allowOverlap="1">
                <wp:simplePos x="0" y="0"/>
                <wp:positionH relativeFrom="page">
                  <wp:posOffset>361937</wp:posOffset>
                </wp:positionH>
                <wp:positionV relativeFrom="paragraph">
                  <wp:posOffset>132889</wp:posOffset>
                </wp:positionV>
                <wp:extent cx="9339580" cy="8890"/>
                <wp:effectExtent l="0" t="0" r="0" b="0"/>
                <wp:wrapTopAndBottom/>
                <wp:docPr id="628" name="Graphic 62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50"/>
                              </a:moveTo>
                              <a:lnTo>
                                <a:pt x="9335110" y="50"/>
                              </a:lnTo>
                              <a:lnTo>
                                <a:pt x="8280" y="50"/>
                              </a:lnTo>
                              <a:lnTo>
                                <a:pt x="0" y="0"/>
                              </a:lnTo>
                              <a:lnTo>
                                <a:pt x="0" y="8280"/>
                              </a:lnTo>
                              <a:lnTo>
                                <a:pt x="9335110" y="8318"/>
                              </a:lnTo>
                              <a:lnTo>
                                <a:pt x="9338970" y="8318"/>
                              </a:lnTo>
                              <a:lnTo>
                                <a:pt x="9338970" y="5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628" o:spid="_x0000_s1192" style="width:735.4pt;height:0.7pt;margin-top:10.45pt;margin-left:28.5pt;mso-position-horizontal-relative:page;mso-wrap-distance-bottom:0;mso-wrap-distance-left:0;mso-wrap-distance-right:0;mso-wrap-distance-top:0;mso-wrap-style:square;position:absolute;visibility:visible;v-text-anchor:top;z-index:-251303936" coordsize="9339580,8890" path="m9338970,50l9335110,50l8280,50,,,,8280l9335110,8318l9338970,8318l9338970,50xe" fillcolor="gray" stroked="f">
                <v:path arrowok="t"/>
                <w10:wrap type="topAndBottom"/>
              </v:shape>
            </w:pict>
          </mc:Fallback>
        </mc:AlternateContent>
      </w:r>
    </w:p>
    <w:p w:rsidR="003F5784" w14:paraId="7DFD0DFF" w14:textId="77777777">
      <w:pPr>
        <w:pStyle w:val="BodyText"/>
        <w:rPr>
          <w:sz w:val="18"/>
        </w:rPr>
      </w:pPr>
    </w:p>
    <w:p w:rsidR="003F5784" w14:paraId="700EF12F" w14:textId="77777777">
      <w:pPr>
        <w:pStyle w:val="BodyText"/>
        <w:spacing w:before="193"/>
        <w:rPr>
          <w:sz w:val="18"/>
        </w:rPr>
      </w:pPr>
    </w:p>
    <w:p w:rsidR="003F5784" w14:paraId="08479A87" w14:textId="5D5F1B99">
      <w:pPr>
        <w:pStyle w:val="Heading1"/>
      </w:pPr>
      <w:r>
        <w:t>NAEP</w:t>
      </w:r>
      <w:r>
        <w:rPr>
          <w:spacing w:val="-21"/>
        </w:rPr>
        <w:t xml:space="preserve"> </w:t>
      </w:r>
      <w:r>
        <w:t>Technical</w:t>
      </w:r>
      <w:r>
        <w:rPr>
          <w:spacing w:val="14"/>
        </w:rPr>
        <w:t xml:space="preserve"> </w:t>
      </w:r>
      <w:r>
        <w:t>Documentation</w:t>
      </w:r>
      <w:r w:rsidR="00C94150">
        <w:t xml:space="preserve"> </w:t>
      </w:r>
      <w:r>
        <w:t>Computation</w:t>
      </w:r>
      <w:r>
        <w:rPr>
          <w:spacing w:val="14"/>
        </w:rPr>
        <w:t xml:space="preserve"> </w:t>
      </w:r>
      <w:r>
        <w:t>of</w:t>
      </w:r>
      <w:r>
        <w:rPr>
          <w:spacing w:val="13"/>
        </w:rPr>
        <w:t xml:space="preserve"> </w:t>
      </w:r>
      <w:r>
        <w:t>Replicate</w:t>
      </w:r>
      <w:r>
        <w:rPr>
          <w:spacing w:val="14"/>
        </w:rPr>
        <w:t xml:space="preserve"> </w:t>
      </w:r>
      <w:r>
        <w:t>School</w:t>
      </w:r>
      <w:r>
        <w:rPr>
          <w:spacing w:val="5"/>
        </w:rPr>
        <w:t xml:space="preserve"> </w:t>
      </w:r>
      <w:r>
        <w:rPr>
          <w:spacing w:val="-2"/>
        </w:rPr>
        <w:t>Weights</w:t>
      </w:r>
    </w:p>
    <w:p w:rsidR="003F5784" w14:paraId="3DFFE9A9" w14:textId="77777777">
      <w:pPr>
        <w:pStyle w:val="BodyText"/>
        <w:spacing w:before="4"/>
        <w:rPr>
          <w:b/>
          <w:sz w:val="17"/>
        </w:rPr>
      </w:pPr>
    </w:p>
    <w:p w:rsidR="003F5784" w14:paraId="1DB3D037" w14:textId="77777777">
      <w:pPr>
        <w:rPr>
          <w:sz w:val="17"/>
        </w:rPr>
        <w:sectPr>
          <w:pgSz w:w="15840" w:h="12240" w:orient="landscape"/>
          <w:pgMar w:top="480" w:right="440" w:bottom="460" w:left="460" w:header="284" w:footer="275" w:gutter="0"/>
          <w:cols w:space="720"/>
        </w:sectPr>
      </w:pPr>
    </w:p>
    <w:p w:rsidR="003F5784" w14:paraId="16477CF7" w14:textId="77777777">
      <w:pPr>
        <w:pStyle w:val="BodyText"/>
        <w:spacing w:before="95" w:line="232" w:lineRule="auto"/>
        <w:ind w:left="109" w:right="81"/>
      </w:pPr>
      <w:r>
        <w:t>In addition to the full-sample weight, a set of 62 replicate weights was provided for each school.</w:t>
      </w:r>
      <w:r>
        <w:rPr>
          <w:spacing w:val="-1"/>
        </w:rPr>
        <w:t xml:space="preserve"> </w:t>
      </w:r>
      <w:r>
        <w:t>These replicate weights are used</w:t>
      </w:r>
      <w:r>
        <w:rPr>
          <w:spacing w:val="-7"/>
        </w:rPr>
        <w:t xml:space="preserve"> </w:t>
      </w:r>
      <w:r>
        <w:t>in</w:t>
      </w:r>
      <w:r>
        <w:rPr>
          <w:spacing w:val="-7"/>
        </w:rPr>
        <w:t xml:space="preserve"> </w:t>
      </w:r>
      <w:r>
        <w:t>calculating</w:t>
      </w:r>
      <w:r>
        <w:rPr>
          <w:spacing w:val="-7"/>
        </w:rPr>
        <w:t xml:space="preserve"> </w:t>
      </w:r>
      <w:r>
        <w:t>the</w:t>
      </w:r>
      <w:r>
        <w:rPr>
          <w:spacing w:val="-7"/>
        </w:rPr>
        <w:t xml:space="preserve"> </w:t>
      </w:r>
      <w:r>
        <w:t>sampling</w:t>
      </w:r>
      <w:r>
        <w:rPr>
          <w:spacing w:val="-7"/>
        </w:rPr>
        <w:t xml:space="preserve"> </w:t>
      </w:r>
      <w:r>
        <w:t>variance</w:t>
      </w:r>
      <w:r>
        <w:rPr>
          <w:spacing w:val="-7"/>
        </w:rPr>
        <w:t xml:space="preserve"> </w:t>
      </w:r>
      <w:r>
        <w:t>of</w:t>
      </w:r>
      <w:r>
        <w:rPr>
          <w:spacing w:val="-7"/>
        </w:rPr>
        <w:t xml:space="preserve"> </w:t>
      </w:r>
      <w:r>
        <w:t>estimates</w:t>
      </w:r>
      <w:r>
        <w:rPr>
          <w:spacing w:val="-7"/>
        </w:rPr>
        <w:t xml:space="preserve"> </w:t>
      </w:r>
      <w:r>
        <w:t>obtained</w:t>
      </w:r>
      <w:r>
        <w:rPr>
          <w:spacing w:val="-7"/>
        </w:rPr>
        <w:t xml:space="preserve"> </w:t>
      </w:r>
      <w:r>
        <w:t>from</w:t>
      </w:r>
      <w:r>
        <w:rPr>
          <w:spacing w:val="-7"/>
        </w:rPr>
        <w:t xml:space="preserve"> </w:t>
      </w:r>
      <w:r>
        <w:t>the</w:t>
      </w:r>
      <w:r>
        <w:rPr>
          <w:spacing w:val="-7"/>
        </w:rPr>
        <w:t xml:space="preserve"> </w:t>
      </w:r>
      <w:r>
        <w:t>data,</w:t>
      </w:r>
      <w:r>
        <w:rPr>
          <w:spacing w:val="-7"/>
        </w:rPr>
        <w:t xml:space="preserve"> </w:t>
      </w:r>
      <w:r>
        <w:t>using</w:t>
      </w:r>
      <w:r>
        <w:rPr>
          <w:spacing w:val="-7"/>
        </w:rPr>
        <w:t xml:space="preserve"> </w:t>
      </w:r>
      <w:r>
        <w:t>the</w:t>
      </w:r>
      <w:r>
        <w:rPr>
          <w:spacing w:val="-7"/>
        </w:rPr>
        <w:t xml:space="preserve"> </w:t>
      </w:r>
      <w:r>
        <w:t>jackknife</w:t>
      </w:r>
      <w:r>
        <w:rPr>
          <w:spacing w:val="-7"/>
        </w:rPr>
        <w:t xml:space="preserve"> </w:t>
      </w:r>
      <w:r>
        <w:t>repeated</w:t>
      </w:r>
      <w:r>
        <w:rPr>
          <w:spacing w:val="-7"/>
        </w:rPr>
        <w:t xml:space="preserve"> </w:t>
      </w:r>
      <w:r>
        <w:t>replication</w:t>
      </w:r>
      <w:r>
        <w:rPr>
          <w:spacing w:val="-7"/>
        </w:rPr>
        <w:t xml:space="preserve"> </w:t>
      </w:r>
      <w:r>
        <w:t>method. The</w:t>
      </w:r>
      <w:r>
        <w:rPr>
          <w:spacing w:val="-5"/>
        </w:rPr>
        <w:t xml:space="preserve"> </w:t>
      </w:r>
      <w:r>
        <w:t>method</w:t>
      </w:r>
      <w:r>
        <w:rPr>
          <w:spacing w:val="-5"/>
        </w:rPr>
        <w:t xml:space="preserve"> </w:t>
      </w:r>
      <w:r>
        <w:t>of</w:t>
      </w:r>
      <w:r>
        <w:rPr>
          <w:spacing w:val="-5"/>
        </w:rPr>
        <w:t xml:space="preserve"> </w:t>
      </w:r>
      <w:r>
        <w:t>deriving</w:t>
      </w:r>
      <w:r>
        <w:rPr>
          <w:spacing w:val="-5"/>
        </w:rPr>
        <w:t xml:space="preserve"> </w:t>
      </w:r>
      <w:r>
        <w:t>these</w:t>
      </w:r>
      <w:r>
        <w:rPr>
          <w:spacing w:val="-5"/>
        </w:rPr>
        <w:t xml:space="preserve"> </w:t>
      </w:r>
      <w:r>
        <w:t>weights</w:t>
      </w:r>
      <w:r>
        <w:rPr>
          <w:spacing w:val="-5"/>
        </w:rPr>
        <w:t xml:space="preserve"> </w:t>
      </w:r>
      <w:r>
        <w:t>was</w:t>
      </w:r>
      <w:r>
        <w:rPr>
          <w:spacing w:val="-5"/>
        </w:rPr>
        <w:t xml:space="preserve"> </w:t>
      </w:r>
      <w:r>
        <w:t>aimed</w:t>
      </w:r>
      <w:r>
        <w:rPr>
          <w:spacing w:val="-5"/>
        </w:rPr>
        <w:t xml:space="preserve"> </w:t>
      </w:r>
      <w:r>
        <w:t>at</w:t>
      </w:r>
      <w:r>
        <w:rPr>
          <w:spacing w:val="-5"/>
        </w:rPr>
        <w:t xml:space="preserve"> </w:t>
      </w:r>
      <w:r>
        <w:t>reflecting</w:t>
      </w:r>
      <w:r>
        <w:rPr>
          <w:spacing w:val="-5"/>
        </w:rPr>
        <w:t xml:space="preserve"> </w:t>
      </w:r>
      <w:r>
        <w:t>the</w:t>
      </w:r>
      <w:r>
        <w:rPr>
          <w:spacing w:val="-5"/>
        </w:rPr>
        <w:t xml:space="preserve"> </w:t>
      </w:r>
      <w:r>
        <w:t>features</w:t>
      </w:r>
      <w:r>
        <w:rPr>
          <w:spacing w:val="-5"/>
        </w:rPr>
        <w:t xml:space="preserve"> </w:t>
      </w:r>
      <w:r>
        <w:t>of</w:t>
      </w:r>
      <w:r>
        <w:rPr>
          <w:spacing w:val="-5"/>
        </w:rPr>
        <w:t xml:space="preserve"> </w:t>
      </w:r>
      <w:r>
        <w:t>the</w:t>
      </w:r>
      <w:r>
        <w:rPr>
          <w:spacing w:val="-5"/>
        </w:rPr>
        <w:t xml:space="preserve"> </w:t>
      </w:r>
      <w:r>
        <w:t>sample</w:t>
      </w:r>
      <w:r>
        <w:rPr>
          <w:spacing w:val="-5"/>
        </w:rPr>
        <w:t xml:space="preserve"> </w:t>
      </w:r>
      <w:r>
        <w:t>design</w:t>
      </w:r>
      <w:r>
        <w:rPr>
          <w:spacing w:val="-5"/>
        </w:rPr>
        <w:t xml:space="preserve"> </w:t>
      </w:r>
      <w:r>
        <w:t>appropriately</w:t>
      </w:r>
      <w:r>
        <w:rPr>
          <w:spacing w:val="-5"/>
        </w:rPr>
        <w:t xml:space="preserve"> </w:t>
      </w:r>
      <w:r>
        <w:t>for</w:t>
      </w:r>
      <w:r>
        <w:rPr>
          <w:spacing w:val="-5"/>
        </w:rPr>
        <w:t xml:space="preserve"> </w:t>
      </w:r>
      <w:r>
        <w:t>each</w:t>
      </w:r>
      <w:r>
        <w:rPr>
          <w:spacing w:val="-5"/>
        </w:rPr>
        <w:t xml:space="preserve"> </w:t>
      </w:r>
      <w:r>
        <w:t>sample, so that when the jackknife variance estimation procedure is implemented, approximately unbiased estimates of sampling variance are obtained. This section gives the specifics for generating the replicate weights for the 2022 assessment samples.</w:t>
      </w:r>
    </w:p>
    <w:p w:rsidR="003F5784" w14:paraId="4F91BEEF" w14:textId="77777777">
      <w:pPr>
        <w:pStyle w:val="BodyText"/>
        <w:spacing w:before="2" w:line="232" w:lineRule="auto"/>
        <w:ind w:left="109" w:right="81"/>
      </w:pPr>
      <w:r>
        <w:t>The</w:t>
      </w:r>
      <w:r>
        <w:rPr>
          <w:spacing w:val="-9"/>
        </w:rPr>
        <w:t xml:space="preserve"> </w:t>
      </w:r>
      <w:r>
        <w:t>theory</w:t>
      </w:r>
      <w:r>
        <w:rPr>
          <w:spacing w:val="-8"/>
        </w:rPr>
        <w:t xml:space="preserve"> </w:t>
      </w:r>
      <w:r>
        <w:t>that</w:t>
      </w:r>
      <w:r>
        <w:rPr>
          <w:spacing w:val="-8"/>
        </w:rPr>
        <w:t xml:space="preserve"> </w:t>
      </w:r>
      <w:r>
        <w:t>underlies</w:t>
      </w:r>
      <w:r>
        <w:rPr>
          <w:spacing w:val="-8"/>
        </w:rPr>
        <w:t xml:space="preserve"> </w:t>
      </w:r>
      <w:r>
        <w:t>the</w:t>
      </w:r>
      <w:r>
        <w:rPr>
          <w:spacing w:val="-8"/>
        </w:rPr>
        <w:t xml:space="preserve"> </w:t>
      </w:r>
      <w:r>
        <w:t>jackknife</w:t>
      </w:r>
      <w:r>
        <w:rPr>
          <w:spacing w:val="-8"/>
        </w:rPr>
        <w:t xml:space="preserve"> </w:t>
      </w:r>
      <w:r>
        <w:t>variance</w:t>
      </w:r>
      <w:r>
        <w:rPr>
          <w:spacing w:val="-8"/>
        </w:rPr>
        <w:t xml:space="preserve"> </w:t>
      </w:r>
      <w:r>
        <w:t>estimators</w:t>
      </w:r>
      <w:r>
        <w:rPr>
          <w:spacing w:val="-8"/>
        </w:rPr>
        <w:t xml:space="preserve"> </w:t>
      </w:r>
      <w:r>
        <w:t>used</w:t>
      </w:r>
      <w:r>
        <w:rPr>
          <w:spacing w:val="-8"/>
        </w:rPr>
        <w:t xml:space="preserve"> </w:t>
      </w:r>
      <w:r>
        <w:t>in</w:t>
      </w:r>
      <w:r>
        <w:rPr>
          <w:spacing w:val="-8"/>
        </w:rPr>
        <w:t xml:space="preserve"> </w:t>
      </w:r>
      <w:r>
        <w:t>NAEP</w:t>
      </w:r>
      <w:r>
        <w:rPr>
          <w:spacing w:val="-14"/>
        </w:rPr>
        <w:t xml:space="preserve"> </w:t>
      </w:r>
      <w:r>
        <w:t>studies</w:t>
      </w:r>
      <w:r>
        <w:rPr>
          <w:spacing w:val="-7"/>
        </w:rPr>
        <w:t xml:space="preserve"> </w:t>
      </w:r>
      <w:r>
        <w:t>is</w:t>
      </w:r>
      <w:r>
        <w:rPr>
          <w:spacing w:val="-8"/>
        </w:rPr>
        <w:t xml:space="preserve"> </w:t>
      </w:r>
      <w:r>
        <w:t>discussed</w:t>
      </w:r>
      <w:r>
        <w:rPr>
          <w:spacing w:val="-8"/>
        </w:rPr>
        <w:t xml:space="preserve"> </w:t>
      </w:r>
      <w:r>
        <w:t>in</w:t>
      </w:r>
      <w:r>
        <w:rPr>
          <w:spacing w:val="-8"/>
        </w:rPr>
        <w:t xml:space="preserve"> </w:t>
      </w:r>
      <w:r>
        <w:t>the</w:t>
      </w:r>
      <w:r>
        <w:rPr>
          <w:spacing w:val="-8"/>
        </w:rPr>
        <w:t xml:space="preserve"> </w:t>
      </w:r>
      <w:r>
        <w:t>section</w:t>
      </w:r>
      <w:r>
        <w:rPr>
          <w:spacing w:val="-8"/>
        </w:rPr>
        <w:t xml:space="preserve"> </w:t>
      </w:r>
      <w:r>
        <w:t>Replicate</w:t>
      </w:r>
      <w:r>
        <w:rPr>
          <w:spacing w:val="-11"/>
        </w:rPr>
        <w:t xml:space="preserve"> </w:t>
      </w:r>
      <w:r>
        <w:t xml:space="preserve">Variance </w:t>
      </w:r>
      <w:r>
        <w:rPr>
          <w:spacing w:val="-2"/>
        </w:rPr>
        <w:t>Estimation.</w:t>
      </w:r>
    </w:p>
    <w:p w:rsidR="003F5784" w14:paraId="2556C14D" w14:textId="77777777">
      <w:pPr>
        <w:pStyle w:val="BodyText"/>
        <w:spacing w:before="209" w:line="232" w:lineRule="auto"/>
        <w:ind w:left="109" w:right="81"/>
      </w:pPr>
      <w:r>
        <w:t>For each sample, replicates were formed in two steps. First, each school was assigned to one or more of 62 replicate strata. This</w:t>
      </w:r>
      <w:r>
        <w:rPr>
          <w:spacing w:val="-3"/>
        </w:rPr>
        <w:t xml:space="preserve"> </w:t>
      </w:r>
      <w:r>
        <w:t>step</w:t>
      </w:r>
      <w:r>
        <w:rPr>
          <w:spacing w:val="-3"/>
        </w:rPr>
        <w:t xml:space="preserve"> </w:t>
      </w:r>
      <w:r>
        <w:t>differed</w:t>
      </w:r>
      <w:r>
        <w:rPr>
          <w:spacing w:val="-3"/>
        </w:rPr>
        <w:t xml:space="preserve"> </w:t>
      </w:r>
      <w:r>
        <w:t>for</w:t>
      </w:r>
      <w:r>
        <w:rPr>
          <w:spacing w:val="-3"/>
        </w:rPr>
        <w:t xml:space="preserve"> </w:t>
      </w:r>
      <w:r>
        <w:t>the</w:t>
      </w:r>
      <w:r>
        <w:rPr>
          <w:spacing w:val="-3"/>
        </w:rPr>
        <w:t xml:space="preserve"> </w:t>
      </w:r>
      <w:r>
        <w:t>age-based</w:t>
      </w:r>
      <w:r>
        <w:rPr>
          <w:spacing w:val="-3"/>
        </w:rPr>
        <w:t xml:space="preserve"> </w:t>
      </w:r>
      <w:r>
        <w:t>long-term</w:t>
      </w:r>
      <w:r>
        <w:rPr>
          <w:spacing w:val="-3"/>
        </w:rPr>
        <w:t xml:space="preserve"> </w:t>
      </w:r>
      <w:r>
        <w:t>trend</w:t>
      </w:r>
      <w:r>
        <w:rPr>
          <w:spacing w:val="-3"/>
        </w:rPr>
        <w:t xml:space="preserve"> </w:t>
      </w:r>
      <w:r>
        <w:t>(LTT)</w:t>
      </w:r>
      <w:r>
        <w:rPr>
          <w:spacing w:val="-3"/>
        </w:rPr>
        <w:t xml:space="preserve"> </w:t>
      </w:r>
      <w:r>
        <w:t>samples</w:t>
      </w:r>
      <w:r>
        <w:rPr>
          <w:spacing w:val="-3"/>
        </w:rPr>
        <w:t xml:space="preserve"> </w:t>
      </w:r>
      <w:r>
        <w:t>and</w:t>
      </w:r>
      <w:r>
        <w:rPr>
          <w:spacing w:val="-3"/>
        </w:rPr>
        <w:t xml:space="preserve"> </w:t>
      </w:r>
      <w:r>
        <w:t>the</w:t>
      </w:r>
      <w:r>
        <w:rPr>
          <w:spacing w:val="-3"/>
        </w:rPr>
        <w:t xml:space="preserve"> </w:t>
      </w:r>
      <w:r>
        <w:t>grade-based</w:t>
      </w:r>
      <w:r>
        <w:rPr>
          <w:spacing w:val="-3"/>
        </w:rPr>
        <w:t xml:space="preserve"> </w:t>
      </w:r>
      <w:r>
        <w:t>samples</w:t>
      </w:r>
      <w:r>
        <w:rPr>
          <w:spacing w:val="-3"/>
        </w:rPr>
        <w:t xml:space="preserve"> </w:t>
      </w:r>
      <w:r>
        <w:t>as</w:t>
      </w:r>
      <w:r>
        <w:rPr>
          <w:spacing w:val="-3"/>
        </w:rPr>
        <w:t xml:space="preserve"> </w:t>
      </w:r>
      <w:r>
        <w:t>described</w:t>
      </w:r>
      <w:r>
        <w:rPr>
          <w:spacing w:val="-3"/>
        </w:rPr>
        <w:t xml:space="preserve"> </w:t>
      </w:r>
      <w:r>
        <w:t>in</w:t>
      </w:r>
      <w:r>
        <w:rPr>
          <w:spacing w:val="-3"/>
        </w:rPr>
        <w:t xml:space="preserve"> </w:t>
      </w:r>
      <w:r>
        <w:t>the</w:t>
      </w:r>
      <w:r>
        <w:rPr>
          <w:spacing w:val="-3"/>
        </w:rPr>
        <w:t xml:space="preserve"> </w:t>
      </w:r>
      <w:r>
        <w:t>separate "Defining</w:t>
      </w:r>
      <w:r>
        <w:rPr>
          <w:spacing w:val="-11"/>
        </w:rPr>
        <w:t xml:space="preserve"> </w:t>
      </w:r>
      <w:r>
        <w:t>Variance</w:t>
      </w:r>
      <w:r>
        <w:rPr>
          <w:spacing w:val="-8"/>
        </w:rPr>
        <w:t xml:space="preserve"> </w:t>
      </w:r>
      <w:r>
        <w:t>Strata</w:t>
      </w:r>
      <w:r>
        <w:rPr>
          <w:spacing w:val="-8"/>
        </w:rPr>
        <w:t xml:space="preserve"> </w:t>
      </w:r>
      <w:r>
        <w:t>and</w:t>
      </w:r>
      <w:r>
        <w:rPr>
          <w:spacing w:val="-8"/>
        </w:rPr>
        <w:t xml:space="preserve"> </w:t>
      </w:r>
      <w:r>
        <w:t>Forming</w:t>
      </w:r>
      <w:r>
        <w:rPr>
          <w:spacing w:val="-8"/>
        </w:rPr>
        <w:t xml:space="preserve"> </w:t>
      </w:r>
      <w:r>
        <w:t>Replicates"</w:t>
      </w:r>
      <w:r>
        <w:rPr>
          <w:spacing w:val="-8"/>
        </w:rPr>
        <w:t xml:space="preserve"> </w:t>
      </w:r>
      <w:r>
        <w:t>links</w:t>
      </w:r>
      <w:r>
        <w:rPr>
          <w:spacing w:val="-8"/>
        </w:rPr>
        <w:t xml:space="preserve"> </w:t>
      </w:r>
      <w:r>
        <w:t>above.</w:t>
      </w:r>
      <w:r>
        <w:rPr>
          <w:spacing w:val="-8"/>
        </w:rPr>
        <w:t xml:space="preserve"> </w:t>
      </w:r>
      <w:r>
        <w:t>In</w:t>
      </w:r>
      <w:r>
        <w:rPr>
          <w:spacing w:val="-8"/>
        </w:rPr>
        <w:t xml:space="preserve"> </w:t>
      </w:r>
      <w:r>
        <w:t>the</w:t>
      </w:r>
      <w:r>
        <w:rPr>
          <w:spacing w:val="-8"/>
        </w:rPr>
        <w:t xml:space="preserve"> </w:t>
      </w:r>
      <w:r>
        <w:t>next</w:t>
      </w:r>
      <w:r>
        <w:rPr>
          <w:spacing w:val="-8"/>
        </w:rPr>
        <w:t xml:space="preserve"> </w:t>
      </w:r>
      <w:r>
        <w:t>step,</w:t>
      </w:r>
      <w:r>
        <w:rPr>
          <w:spacing w:val="-8"/>
        </w:rPr>
        <w:t xml:space="preserve"> </w:t>
      </w:r>
      <w:r>
        <w:t>a</w:t>
      </w:r>
      <w:r>
        <w:rPr>
          <w:spacing w:val="-8"/>
        </w:rPr>
        <w:t xml:space="preserve"> </w:t>
      </w:r>
      <w:r>
        <w:t>random</w:t>
      </w:r>
      <w:r>
        <w:rPr>
          <w:spacing w:val="-8"/>
        </w:rPr>
        <w:t xml:space="preserve"> </w:t>
      </w:r>
      <w:r>
        <w:t>subset</w:t>
      </w:r>
      <w:r>
        <w:rPr>
          <w:spacing w:val="-8"/>
        </w:rPr>
        <w:t xml:space="preserve"> </w:t>
      </w:r>
      <w:r>
        <w:t>of</w:t>
      </w:r>
      <w:r>
        <w:rPr>
          <w:spacing w:val="-8"/>
        </w:rPr>
        <w:t xml:space="preserve"> </w:t>
      </w:r>
      <w:r>
        <w:t>schools</w:t>
      </w:r>
      <w:r>
        <w:rPr>
          <w:spacing w:val="-8"/>
        </w:rPr>
        <w:t xml:space="preserve"> </w:t>
      </w:r>
      <w:r>
        <w:t>in</w:t>
      </w:r>
      <w:r>
        <w:rPr>
          <w:spacing w:val="-8"/>
        </w:rPr>
        <w:t xml:space="preserve"> </w:t>
      </w:r>
      <w:r>
        <w:t>each</w:t>
      </w:r>
      <w:r>
        <w:rPr>
          <w:spacing w:val="-8"/>
        </w:rPr>
        <w:t xml:space="preserve"> </w:t>
      </w:r>
      <w:r>
        <w:t>replicate</w:t>
      </w:r>
    </w:p>
    <w:p w:rsidR="003F5784" w14:paraId="0C425EB9" w14:textId="77777777">
      <w:pPr>
        <w:pStyle w:val="BodyText"/>
        <w:spacing w:line="237" w:lineRule="exact"/>
        <w:ind w:left="109"/>
      </w:pPr>
      <w:r>
        <w:t>stratum</w:t>
      </w:r>
      <w:r>
        <w:rPr>
          <w:spacing w:val="-6"/>
        </w:rPr>
        <w:t xml:space="preserve"> </w:t>
      </w:r>
      <w:r>
        <w:t>was</w:t>
      </w:r>
      <w:r>
        <w:rPr>
          <w:spacing w:val="-5"/>
        </w:rPr>
        <w:t xml:space="preserve"> </w:t>
      </w:r>
      <w:r>
        <w:t>excluded.</w:t>
      </w:r>
      <w:r>
        <w:rPr>
          <w:spacing w:val="-10"/>
        </w:rPr>
        <w:t xml:space="preserve"> </w:t>
      </w:r>
      <w:r>
        <w:t>The</w:t>
      </w:r>
      <w:r>
        <w:rPr>
          <w:spacing w:val="-5"/>
        </w:rPr>
        <w:t xml:space="preserve"> </w:t>
      </w:r>
      <w:r>
        <w:t>remaining</w:t>
      </w:r>
      <w:r>
        <w:rPr>
          <w:spacing w:val="-5"/>
        </w:rPr>
        <w:t xml:space="preserve"> </w:t>
      </w:r>
      <w:r>
        <w:t>subset</w:t>
      </w:r>
      <w:r>
        <w:rPr>
          <w:spacing w:val="-6"/>
        </w:rPr>
        <w:t xml:space="preserve"> </w:t>
      </w:r>
      <w:r>
        <w:t>and</w:t>
      </w:r>
      <w:r>
        <w:rPr>
          <w:spacing w:val="-5"/>
        </w:rPr>
        <w:t xml:space="preserve"> </w:t>
      </w:r>
      <w:r>
        <w:t>all</w:t>
      </w:r>
      <w:r>
        <w:rPr>
          <w:spacing w:val="-6"/>
        </w:rPr>
        <w:t xml:space="preserve"> </w:t>
      </w:r>
      <w:r>
        <w:t>schools</w:t>
      </w:r>
      <w:r>
        <w:rPr>
          <w:spacing w:val="-5"/>
        </w:rPr>
        <w:t xml:space="preserve"> </w:t>
      </w:r>
      <w:r>
        <w:t>in</w:t>
      </w:r>
      <w:r>
        <w:rPr>
          <w:spacing w:val="-6"/>
        </w:rPr>
        <w:t xml:space="preserve"> </w:t>
      </w:r>
      <w:r>
        <w:t>the</w:t>
      </w:r>
      <w:r>
        <w:rPr>
          <w:spacing w:val="-5"/>
        </w:rPr>
        <w:t xml:space="preserve"> </w:t>
      </w:r>
      <w:r>
        <w:t>other</w:t>
      </w:r>
      <w:r>
        <w:rPr>
          <w:spacing w:val="-6"/>
        </w:rPr>
        <w:t xml:space="preserve"> </w:t>
      </w:r>
      <w:r>
        <w:t>replicate</w:t>
      </w:r>
      <w:r>
        <w:rPr>
          <w:spacing w:val="-5"/>
        </w:rPr>
        <w:t xml:space="preserve"> </w:t>
      </w:r>
      <w:r>
        <w:t>strata</w:t>
      </w:r>
      <w:r>
        <w:rPr>
          <w:spacing w:val="-5"/>
        </w:rPr>
        <w:t xml:space="preserve"> </w:t>
      </w:r>
      <w:r>
        <w:t>then</w:t>
      </w:r>
      <w:r>
        <w:rPr>
          <w:spacing w:val="-6"/>
        </w:rPr>
        <w:t xml:space="preserve"> </w:t>
      </w:r>
      <w:r>
        <w:t>constituted</w:t>
      </w:r>
      <w:r>
        <w:rPr>
          <w:spacing w:val="-5"/>
        </w:rPr>
        <w:t xml:space="preserve"> </w:t>
      </w:r>
      <w:r>
        <w:t>one</w:t>
      </w:r>
      <w:r>
        <w:rPr>
          <w:spacing w:val="-6"/>
        </w:rPr>
        <w:t xml:space="preserve"> </w:t>
      </w:r>
      <w:r>
        <w:t>of</w:t>
      </w:r>
      <w:r>
        <w:rPr>
          <w:spacing w:val="-5"/>
        </w:rPr>
        <w:t xml:space="preserve"> </w:t>
      </w:r>
      <w:r>
        <w:t>the</w:t>
      </w:r>
      <w:r>
        <w:rPr>
          <w:spacing w:val="-6"/>
        </w:rPr>
        <w:t xml:space="preserve"> </w:t>
      </w:r>
      <w:r>
        <w:t>62</w:t>
      </w:r>
      <w:r>
        <w:rPr>
          <w:spacing w:val="-5"/>
        </w:rPr>
        <w:t xml:space="preserve"> </w:t>
      </w:r>
      <w:r>
        <w:rPr>
          <w:spacing w:val="-2"/>
        </w:rPr>
        <w:t>replicates.</w:t>
      </w:r>
    </w:p>
    <w:p w:rsidR="003F5784" w14:paraId="69389813" w14:textId="77777777">
      <w:pPr>
        <w:spacing w:before="36"/>
        <w:rPr>
          <w:sz w:val="21"/>
        </w:rPr>
      </w:pPr>
      <w:r>
        <w:br w:type="column"/>
      </w:r>
    </w:p>
    <w:p w:rsidR="003F5784" w14:paraId="3B2F0BEF" w14:textId="77777777">
      <w:pPr>
        <w:pStyle w:val="BodyText"/>
        <w:spacing w:line="232" w:lineRule="auto"/>
        <w:ind w:left="109"/>
      </w:pPr>
      <w:r>
        <w:rPr>
          <w:spacing w:val="-2"/>
        </w:rPr>
        <w:t>Defining</w:t>
      </w:r>
      <w:r>
        <w:rPr>
          <w:spacing w:val="-9"/>
        </w:rPr>
        <w:t xml:space="preserve"> </w:t>
      </w:r>
      <w:r>
        <w:rPr>
          <w:spacing w:val="-2"/>
        </w:rPr>
        <w:t>Variance</w:t>
      </w:r>
      <w:r>
        <w:rPr>
          <w:spacing w:val="-5"/>
        </w:rPr>
        <w:t xml:space="preserve"> </w:t>
      </w:r>
      <w:r>
        <w:rPr>
          <w:spacing w:val="-2"/>
        </w:rPr>
        <w:t>Strata</w:t>
      </w:r>
      <w:r>
        <w:rPr>
          <w:spacing w:val="-5"/>
        </w:rPr>
        <w:t xml:space="preserve"> </w:t>
      </w:r>
      <w:r>
        <w:rPr>
          <w:spacing w:val="-2"/>
        </w:rPr>
        <w:t>and</w:t>
      </w:r>
      <w:r>
        <w:rPr>
          <w:spacing w:val="-5"/>
        </w:rPr>
        <w:t xml:space="preserve"> </w:t>
      </w:r>
      <w:r>
        <w:rPr>
          <w:spacing w:val="-2"/>
        </w:rPr>
        <w:t xml:space="preserve">Forming </w:t>
      </w:r>
      <w:r>
        <w:t>Replicates (age-based samples)</w:t>
      </w:r>
    </w:p>
    <w:p w:rsidR="003F5784" w14:paraId="16E9B368" w14:textId="77777777">
      <w:pPr>
        <w:pStyle w:val="BodyText"/>
        <w:spacing w:before="203"/>
      </w:pPr>
    </w:p>
    <w:p w:rsidR="003F5784" w14:paraId="1E945F9F" w14:textId="77777777">
      <w:pPr>
        <w:pStyle w:val="BodyText"/>
        <w:spacing w:line="232" w:lineRule="auto"/>
        <w:ind w:left="109"/>
      </w:pPr>
      <w:r>
        <w:rPr>
          <w:spacing w:val="-2"/>
        </w:rPr>
        <w:t>Defining</w:t>
      </w:r>
      <w:r>
        <w:rPr>
          <w:spacing w:val="-9"/>
        </w:rPr>
        <w:t xml:space="preserve"> </w:t>
      </w:r>
      <w:r>
        <w:rPr>
          <w:spacing w:val="-2"/>
        </w:rPr>
        <w:t>Variance</w:t>
      </w:r>
      <w:r>
        <w:rPr>
          <w:spacing w:val="-5"/>
        </w:rPr>
        <w:t xml:space="preserve"> </w:t>
      </w:r>
      <w:r>
        <w:rPr>
          <w:spacing w:val="-2"/>
        </w:rPr>
        <w:t>Strata</w:t>
      </w:r>
      <w:r>
        <w:rPr>
          <w:spacing w:val="-5"/>
        </w:rPr>
        <w:t xml:space="preserve"> </w:t>
      </w:r>
      <w:r>
        <w:rPr>
          <w:spacing w:val="-2"/>
        </w:rPr>
        <w:t>and</w:t>
      </w:r>
      <w:r>
        <w:rPr>
          <w:spacing w:val="-5"/>
        </w:rPr>
        <w:t xml:space="preserve"> </w:t>
      </w:r>
      <w:r>
        <w:rPr>
          <w:spacing w:val="-2"/>
        </w:rPr>
        <w:t xml:space="preserve">Forming </w:t>
      </w:r>
      <w:r>
        <w:t>Replicates (grade-based samples)</w:t>
      </w:r>
    </w:p>
    <w:p w:rsidR="003F5784" w14:paraId="3D250B23" w14:textId="77777777">
      <w:pPr>
        <w:pStyle w:val="BodyText"/>
        <w:spacing w:before="203"/>
        <w:ind w:left="109"/>
      </w:pPr>
      <w:r>
        <w:rPr>
          <w:spacing w:val="-2"/>
        </w:rPr>
        <w:t>Replicate</w:t>
      </w:r>
      <w:r>
        <w:rPr>
          <w:spacing w:val="-8"/>
        </w:rPr>
        <w:t xml:space="preserve"> </w:t>
      </w:r>
      <w:r>
        <w:rPr>
          <w:spacing w:val="-2"/>
        </w:rPr>
        <w:t>Variance</w:t>
      </w:r>
      <w:r>
        <w:rPr>
          <w:spacing w:val="-4"/>
        </w:rPr>
        <w:t xml:space="preserve"> </w:t>
      </w:r>
      <w:r>
        <w:rPr>
          <w:spacing w:val="-2"/>
        </w:rPr>
        <w:t>Estimation</w:t>
      </w:r>
    </w:p>
    <w:p w:rsidR="003F5784" w14:paraId="51291648" w14:textId="77777777">
      <w:pPr>
        <w:sectPr>
          <w:type w:val="continuous"/>
          <w:pgSz w:w="15840" w:h="12240" w:orient="landscape"/>
          <w:pgMar w:top="480" w:right="440" w:bottom="460" w:left="460" w:header="284" w:footer="275" w:gutter="0"/>
          <w:cols w:num="2" w:space="720" w:equalWidth="0">
            <w:col w:w="10848" w:space="192"/>
            <w:col w:w="3900"/>
          </w:cols>
        </w:sectPr>
      </w:pPr>
    </w:p>
    <w:p w:rsidR="003F5784" w14:paraId="30489675" w14:textId="77777777">
      <w:pPr>
        <w:pStyle w:val="BodyText"/>
        <w:spacing w:before="208" w:line="232" w:lineRule="auto"/>
        <w:ind w:left="109"/>
      </w:pPr>
      <w:r>
        <w:t>For</w:t>
      </w:r>
      <w:r>
        <w:rPr>
          <w:spacing w:val="-6"/>
        </w:rPr>
        <w:t xml:space="preserve"> </w:t>
      </w:r>
      <w:r>
        <w:t>the</w:t>
      </w:r>
      <w:r>
        <w:rPr>
          <w:spacing w:val="-6"/>
        </w:rPr>
        <w:t xml:space="preserve"> </w:t>
      </w:r>
      <w:r>
        <w:t>2022</w:t>
      </w:r>
      <w:r>
        <w:rPr>
          <w:spacing w:val="-6"/>
        </w:rPr>
        <w:t xml:space="preserve"> </w:t>
      </w:r>
      <w:r>
        <w:t>LTT</w:t>
      </w:r>
      <w:r>
        <w:rPr>
          <w:spacing w:val="-9"/>
        </w:rPr>
        <w:t xml:space="preserve"> </w:t>
      </w:r>
      <w:r>
        <w:t>assessments,</w:t>
      </w:r>
      <w:r>
        <w:rPr>
          <w:spacing w:val="-6"/>
        </w:rPr>
        <w:t xml:space="preserve"> </w:t>
      </w:r>
      <w:r>
        <w:t>the</w:t>
      </w:r>
      <w:r>
        <w:rPr>
          <w:spacing w:val="-6"/>
        </w:rPr>
        <w:t xml:space="preserve"> </w:t>
      </w:r>
      <w:r>
        <w:t>same</w:t>
      </w:r>
      <w:r>
        <w:rPr>
          <w:spacing w:val="-6"/>
        </w:rPr>
        <w:t xml:space="preserve"> </w:t>
      </w:r>
      <w:r>
        <w:t>PSUs</w:t>
      </w:r>
      <w:r>
        <w:rPr>
          <w:spacing w:val="-6"/>
        </w:rPr>
        <w:t xml:space="preserve"> </w:t>
      </w:r>
      <w:r>
        <w:t>were</w:t>
      </w:r>
      <w:r>
        <w:rPr>
          <w:spacing w:val="-6"/>
        </w:rPr>
        <w:t xml:space="preserve"> </w:t>
      </w:r>
      <w:r>
        <w:t>sampled</w:t>
      </w:r>
      <w:r>
        <w:rPr>
          <w:spacing w:val="-6"/>
        </w:rPr>
        <w:t xml:space="preserve"> </w:t>
      </w:r>
      <w:r>
        <w:t>in</w:t>
      </w:r>
      <w:r>
        <w:rPr>
          <w:spacing w:val="-6"/>
        </w:rPr>
        <w:t xml:space="preserve"> </w:t>
      </w:r>
      <w:r>
        <w:t>2022</w:t>
      </w:r>
      <w:r>
        <w:rPr>
          <w:spacing w:val="-6"/>
        </w:rPr>
        <w:t xml:space="preserve"> </w:t>
      </w:r>
      <w:r>
        <w:t>and</w:t>
      </w:r>
      <w:r>
        <w:rPr>
          <w:spacing w:val="-6"/>
        </w:rPr>
        <w:t xml:space="preserve"> </w:t>
      </w:r>
      <w:r>
        <w:t>2020.</w:t>
      </w:r>
      <w:r>
        <w:rPr>
          <w:spacing w:val="-6"/>
        </w:rPr>
        <w:t xml:space="preserve"> </w:t>
      </w:r>
      <w:r>
        <w:t>In</w:t>
      </w:r>
      <w:r>
        <w:rPr>
          <w:spacing w:val="-6"/>
        </w:rPr>
        <w:t xml:space="preserve"> </w:t>
      </w:r>
      <w:r>
        <w:t>fact,</w:t>
      </w:r>
      <w:r>
        <w:rPr>
          <w:spacing w:val="-6"/>
        </w:rPr>
        <w:t xml:space="preserve"> </w:t>
      </w:r>
      <w:r>
        <w:t>any</w:t>
      </w:r>
      <w:r>
        <w:rPr>
          <w:spacing w:val="-6"/>
        </w:rPr>
        <w:t xml:space="preserve"> </w:t>
      </w:r>
      <w:r>
        <w:t>comparison</w:t>
      </w:r>
      <w:r>
        <w:rPr>
          <w:spacing w:val="-6"/>
        </w:rPr>
        <w:t xml:space="preserve"> </w:t>
      </w:r>
      <w:r>
        <w:t>of</w:t>
      </w:r>
      <w:r>
        <w:rPr>
          <w:spacing w:val="-6"/>
        </w:rPr>
        <w:t xml:space="preserve"> </w:t>
      </w:r>
      <w:r>
        <w:t>the</w:t>
      </w:r>
      <w:r>
        <w:rPr>
          <w:spacing w:val="-6"/>
        </w:rPr>
        <w:t xml:space="preserve"> </w:t>
      </w:r>
      <w:r>
        <w:t>2022</w:t>
      </w:r>
      <w:r>
        <w:rPr>
          <w:spacing w:val="-6"/>
        </w:rPr>
        <w:t xml:space="preserve"> </w:t>
      </w:r>
      <w:r>
        <w:t>and</w:t>
      </w:r>
      <w:r>
        <w:rPr>
          <w:spacing w:val="-6"/>
        </w:rPr>
        <w:t xml:space="preserve"> </w:t>
      </w:r>
      <w:r>
        <w:t>2020</w:t>
      </w:r>
      <w:r>
        <w:rPr>
          <w:spacing w:val="-6"/>
        </w:rPr>
        <w:t xml:space="preserve"> </w:t>
      </w:r>
      <w:r>
        <w:t>estimates</w:t>
      </w:r>
      <w:r>
        <w:rPr>
          <w:spacing w:val="-6"/>
        </w:rPr>
        <w:t xml:space="preserve"> </w:t>
      </w:r>
      <w:r>
        <w:t>is</w:t>
      </w:r>
      <w:r>
        <w:rPr>
          <w:spacing w:val="-6"/>
        </w:rPr>
        <w:t xml:space="preserve"> </w:t>
      </w:r>
      <w:r>
        <w:t>a</w:t>
      </w:r>
      <w:r>
        <w:rPr>
          <w:spacing w:val="-6"/>
        </w:rPr>
        <w:t xml:space="preserve"> </w:t>
      </w:r>
      <w:r>
        <w:t>comparison</w:t>
      </w:r>
      <w:r>
        <w:rPr>
          <w:spacing w:val="-6"/>
        </w:rPr>
        <w:t xml:space="preserve"> </w:t>
      </w:r>
      <w:r>
        <w:t>of</w:t>
      </w:r>
      <w:r>
        <w:rPr>
          <w:spacing w:val="-6"/>
        </w:rPr>
        <w:t xml:space="preserve"> </w:t>
      </w:r>
      <w:r>
        <w:t>the</w:t>
      </w:r>
      <w:r>
        <w:rPr>
          <w:spacing w:val="-6"/>
        </w:rPr>
        <w:t xml:space="preserve"> </w:t>
      </w:r>
      <w:r>
        <w:t>same</w:t>
      </w:r>
      <w:r>
        <w:rPr>
          <w:spacing w:val="-6"/>
        </w:rPr>
        <w:t xml:space="preserve"> </w:t>
      </w:r>
      <w:r>
        <w:t>schools,</w:t>
      </w:r>
      <w:r>
        <w:rPr>
          <w:spacing w:val="-6"/>
        </w:rPr>
        <w:t xml:space="preserve"> </w:t>
      </w:r>
      <w:r>
        <w:t>so each school must be in the same variance stratum and variance unit in the two years so that the jackknife variance estimation will correctly reflect this dependence.</w:t>
      </w:r>
      <w:r>
        <w:rPr>
          <w:spacing w:val="-4"/>
        </w:rPr>
        <w:t xml:space="preserve"> </w:t>
      </w:r>
      <w:r>
        <w:t>To ensure that standard errors for trend would be calculated appropriately, each noncertainty PSU was assigned the same variance stratum and variance unit as in 2020. Likewise,</w:t>
      </w:r>
    </w:p>
    <w:p w:rsidR="003F5784" w14:paraId="6BC0D939" w14:textId="77777777">
      <w:pPr>
        <w:pStyle w:val="BodyText"/>
        <w:spacing w:line="237" w:lineRule="exact"/>
        <w:ind w:left="109"/>
      </w:pPr>
      <w:r>
        <w:t>in</w:t>
      </w:r>
      <w:r>
        <w:rPr>
          <w:spacing w:val="-6"/>
        </w:rPr>
        <w:t xml:space="preserve"> </w:t>
      </w:r>
      <w:r>
        <w:t>certainty</w:t>
      </w:r>
      <w:r>
        <w:rPr>
          <w:spacing w:val="-5"/>
        </w:rPr>
        <w:t xml:space="preserve"> </w:t>
      </w:r>
      <w:r>
        <w:t>PSUs,</w:t>
      </w:r>
      <w:r>
        <w:rPr>
          <w:spacing w:val="-6"/>
        </w:rPr>
        <w:t xml:space="preserve"> </w:t>
      </w:r>
      <w:r>
        <w:t>schools</w:t>
      </w:r>
      <w:r>
        <w:rPr>
          <w:spacing w:val="-5"/>
        </w:rPr>
        <w:t xml:space="preserve"> </w:t>
      </w:r>
      <w:r>
        <w:t>that</w:t>
      </w:r>
      <w:r>
        <w:rPr>
          <w:spacing w:val="-5"/>
        </w:rPr>
        <w:t xml:space="preserve"> </w:t>
      </w:r>
      <w:r>
        <w:t>were</w:t>
      </w:r>
      <w:r>
        <w:rPr>
          <w:spacing w:val="-6"/>
        </w:rPr>
        <w:t xml:space="preserve"> </w:t>
      </w:r>
      <w:r>
        <w:t>retained</w:t>
      </w:r>
      <w:r>
        <w:rPr>
          <w:spacing w:val="-5"/>
        </w:rPr>
        <w:t xml:space="preserve"> </w:t>
      </w:r>
      <w:r>
        <w:t>in</w:t>
      </w:r>
      <w:r>
        <w:rPr>
          <w:spacing w:val="-6"/>
        </w:rPr>
        <w:t xml:space="preserve"> </w:t>
      </w:r>
      <w:r>
        <w:t>2022</w:t>
      </w:r>
      <w:r>
        <w:rPr>
          <w:spacing w:val="-5"/>
        </w:rPr>
        <w:t xml:space="preserve"> </w:t>
      </w:r>
      <w:r>
        <w:t>from</w:t>
      </w:r>
      <w:r>
        <w:rPr>
          <w:spacing w:val="-5"/>
        </w:rPr>
        <w:t xml:space="preserve"> </w:t>
      </w:r>
      <w:r>
        <w:t>the</w:t>
      </w:r>
      <w:r>
        <w:rPr>
          <w:spacing w:val="-6"/>
        </w:rPr>
        <w:t xml:space="preserve"> </w:t>
      </w:r>
      <w:r>
        <w:t>2020</w:t>
      </w:r>
      <w:r>
        <w:rPr>
          <w:spacing w:val="-5"/>
        </w:rPr>
        <w:t xml:space="preserve"> </w:t>
      </w:r>
      <w:r>
        <w:t>sample</w:t>
      </w:r>
      <w:r>
        <w:rPr>
          <w:spacing w:val="-6"/>
        </w:rPr>
        <w:t xml:space="preserve"> </w:t>
      </w:r>
      <w:r>
        <w:t>were</w:t>
      </w:r>
      <w:r>
        <w:rPr>
          <w:spacing w:val="-5"/>
        </w:rPr>
        <w:t xml:space="preserve"> </w:t>
      </w:r>
      <w:r>
        <w:t>assigned</w:t>
      </w:r>
      <w:r>
        <w:rPr>
          <w:spacing w:val="-5"/>
        </w:rPr>
        <w:t xml:space="preserve"> </w:t>
      </w:r>
      <w:r>
        <w:t>the</w:t>
      </w:r>
      <w:r>
        <w:rPr>
          <w:spacing w:val="-6"/>
        </w:rPr>
        <w:t xml:space="preserve"> </w:t>
      </w:r>
      <w:r>
        <w:t>same</w:t>
      </w:r>
      <w:r>
        <w:rPr>
          <w:spacing w:val="-5"/>
        </w:rPr>
        <w:t xml:space="preserve"> </w:t>
      </w:r>
      <w:r>
        <w:t>variance</w:t>
      </w:r>
      <w:r>
        <w:rPr>
          <w:spacing w:val="-6"/>
        </w:rPr>
        <w:t xml:space="preserve"> </w:t>
      </w:r>
      <w:r>
        <w:t>stratum</w:t>
      </w:r>
      <w:r>
        <w:rPr>
          <w:spacing w:val="-5"/>
        </w:rPr>
        <w:t xml:space="preserve"> </w:t>
      </w:r>
      <w:r>
        <w:t>and</w:t>
      </w:r>
      <w:r>
        <w:rPr>
          <w:spacing w:val="-5"/>
        </w:rPr>
        <w:t xml:space="preserve"> </w:t>
      </w:r>
      <w:r>
        <w:t>variance</w:t>
      </w:r>
      <w:r>
        <w:rPr>
          <w:spacing w:val="-6"/>
        </w:rPr>
        <w:t xml:space="preserve"> </w:t>
      </w:r>
      <w:r>
        <w:t>unit</w:t>
      </w:r>
      <w:r>
        <w:rPr>
          <w:spacing w:val="-5"/>
        </w:rPr>
        <w:t xml:space="preserve"> </w:t>
      </w:r>
      <w:r>
        <w:t>as</w:t>
      </w:r>
      <w:r>
        <w:rPr>
          <w:spacing w:val="-6"/>
        </w:rPr>
        <w:t xml:space="preserve"> </w:t>
      </w:r>
      <w:r>
        <w:t>in</w:t>
      </w:r>
      <w:r>
        <w:rPr>
          <w:spacing w:val="-5"/>
        </w:rPr>
        <w:t xml:space="preserve"> </w:t>
      </w:r>
      <w:r>
        <w:rPr>
          <w:spacing w:val="-2"/>
        </w:rPr>
        <w:t>2020.</w:t>
      </w:r>
    </w:p>
    <w:p w:rsidR="003F5784" w14:paraId="605A4DED" w14:textId="77777777">
      <w:pPr>
        <w:pStyle w:val="BodyText"/>
        <w:spacing w:before="207" w:line="232" w:lineRule="auto"/>
        <w:ind w:left="109" w:right="179"/>
      </w:pPr>
      <w:r>
        <w:t>A</w:t>
      </w:r>
      <w:r>
        <w:rPr>
          <w:spacing w:val="-14"/>
        </w:rPr>
        <w:t xml:space="preserve"> </w:t>
      </w:r>
      <w:r>
        <w:t>replicate</w:t>
      </w:r>
      <w:r>
        <w:rPr>
          <w:spacing w:val="-8"/>
        </w:rPr>
        <w:t xml:space="preserve"> </w:t>
      </w:r>
      <w:r>
        <w:t>weight</w:t>
      </w:r>
      <w:r>
        <w:rPr>
          <w:spacing w:val="-6"/>
        </w:rPr>
        <w:t xml:space="preserve"> </w:t>
      </w:r>
      <w:r>
        <w:t>was</w:t>
      </w:r>
      <w:r>
        <w:rPr>
          <w:spacing w:val="-6"/>
        </w:rPr>
        <w:t xml:space="preserve"> </w:t>
      </w:r>
      <w:r>
        <w:t>calculated</w:t>
      </w:r>
      <w:r>
        <w:rPr>
          <w:spacing w:val="-6"/>
        </w:rPr>
        <w:t xml:space="preserve"> </w:t>
      </w:r>
      <w:r>
        <w:t>for</w:t>
      </w:r>
      <w:r>
        <w:rPr>
          <w:spacing w:val="-6"/>
        </w:rPr>
        <w:t xml:space="preserve"> </w:t>
      </w:r>
      <w:r>
        <w:t>each</w:t>
      </w:r>
      <w:r>
        <w:rPr>
          <w:spacing w:val="-6"/>
        </w:rPr>
        <w:t xml:space="preserve"> </w:t>
      </w:r>
      <w:r>
        <w:t>of</w:t>
      </w:r>
      <w:r>
        <w:rPr>
          <w:spacing w:val="-6"/>
        </w:rPr>
        <w:t xml:space="preserve"> </w:t>
      </w:r>
      <w:r>
        <w:t>the</w:t>
      </w:r>
      <w:r>
        <w:rPr>
          <w:spacing w:val="-6"/>
        </w:rPr>
        <w:t xml:space="preserve"> </w:t>
      </w:r>
      <w:r>
        <w:t>62</w:t>
      </w:r>
      <w:r>
        <w:rPr>
          <w:spacing w:val="-6"/>
        </w:rPr>
        <w:t xml:space="preserve"> </w:t>
      </w:r>
      <w:r>
        <w:t>replicates</w:t>
      </w:r>
      <w:r>
        <w:rPr>
          <w:spacing w:val="-6"/>
        </w:rPr>
        <w:t xml:space="preserve"> </w:t>
      </w:r>
      <w:r>
        <w:t>using</w:t>
      </w:r>
      <w:r>
        <w:rPr>
          <w:spacing w:val="-6"/>
        </w:rPr>
        <w:t xml:space="preserve"> </w:t>
      </w:r>
      <w:r>
        <w:t>weighting</w:t>
      </w:r>
      <w:r>
        <w:rPr>
          <w:spacing w:val="-6"/>
        </w:rPr>
        <w:t xml:space="preserve"> </w:t>
      </w:r>
      <w:r>
        <w:t>procedures</w:t>
      </w:r>
      <w:r>
        <w:rPr>
          <w:spacing w:val="-6"/>
        </w:rPr>
        <w:t xml:space="preserve"> </w:t>
      </w:r>
      <w:r>
        <w:t>similar</w:t>
      </w:r>
      <w:r>
        <w:rPr>
          <w:spacing w:val="-6"/>
        </w:rPr>
        <w:t xml:space="preserve"> </w:t>
      </w:r>
      <w:r>
        <w:t>to</w:t>
      </w:r>
      <w:r>
        <w:rPr>
          <w:spacing w:val="-6"/>
        </w:rPr>
        <w:t xml:space="preserve"> </w:t>
      </w:r>
      <w:r>
        <w:t>those</w:t>
      </w:r>
      <w:r>
        <w:rPr>
          <w:spacing w:val="-6"/>
        </w:rPr>
        <w:t xml:space="preserve"> </w:t>
      </w:r>
      <w:r>
        <w:t>used</w:t>
      </w:r>
      <w:r>
        <w:rPr>
          <w:spacing w:val="-6"/>
        </w:rPr>
        <w:t xml:space="preserve"> </w:t>
      </w:r>
      <w:r>
        <w:t>for</w:t>
      </w:r>
      <w:r>
        <w:rPr>
          <w:spacing w:val="-6"/>
        </w:rPr>
        <w:t xml:space="preserve"> </w:t>
      </w:r>
      <w:r>
        <w:t>the</w:t>
      </w:r>
      <w:r>
        <w:rPr>
          <w:spacing w:val="-6"/>
        </w:rPr>
        <w:t xml:space="preserve"> </w:t>
      </w:r>
      <w:r>
        <w:t>full-sample</w:t>
      </w:r>
      <w:r>
        <w:rPr>
          <w:spacing w:val="-6"/>
        </w:rPr>
        <w:t xml:space="preserve"> </w:t>
      </w:r>
      <w:r>
        <w:t>weight.</w:t>
      </w:r>
      <w:r>
        <w:rPr>
          <w:spacing w:val="-6"/>
        </w:rPr>
        <w:t xml:space="preserve"> </w:t>
      </w:r>
      <w:r>
        <w:t>Each</w:t>
      </w:r>
      <w:r>
        <w:rPr>
          <w:spacing w:val="-6"/>
        </w:rPr>
        <w:t xml:space="preserve"> </w:t>
      </w:r>
      <w:r>
        <w:t>replicate</w:t>
      </w:r>
      <w:r>
        <w:rPr>
          <w:spacing w:val="-6"/>
        </w:rPr>
        <w:t xml:space="preserve"> </w:t>
      </w:r>
      <w:r>
        <w:t>base</w:t>
      </w:r>
      <w:r>
        <w:rPr>
          <w:spacing w:val="-6"/>
        </w:rPr>
        <w:t xml:space="preserve"> </w:t>
      </w:r>
      <w:r>
        <w:t>weight</w:t>
      </w:r>
      <w:r>
        <w:rPr>
          <w:spacing w:val="-6"/>
        </w:rPr>
        <w:t xml:space="preserve"> </w:t>
      </w:r>
      <w:r>
        <w:t>contains an</w:t>
      </w:r>
      <w:r>
        <w:rPr>
          <w:spacing w:val="-2"/>
        </w:rPr>
        <w:t xml:space="preserve"> </w:t>
      </w:r>
      <w:r>
        <w:t>additional</w:t>
      </w:r>
      <w:r>
        <w:rPr>
          <w:spacing w:val="-2"/>
        </w:rPr>
        <w:t xml:space="preserve"> </w:t>
      </w:r>
      <w:r>
        <w:t>component,</w:t>
      </w:r>
      <w:r>
        <w:rPr>
          <w:spacing w:val="-2"/>
        </w:rPr>
        <w:t xml:space="preserve"> </w:t>
      </w:r>
      <w:r>
        <w:t>known</w:t>
      </w:r>
      <w:r>
        <w:rPr>
          <w:spacing w:val="-2"/>
        </w:rPr>
        <w:t xml:space="preserve"> </w:t>
      </w:r>
      <w:r>
        <w:t>as</w:t>
      </w:r>
      <w:r>
        <w:rPr>
          <w:spacing w:val="-2"/>
        </w:rPr>
        <w:t xml:space="preserve"> </w:t>
      </w:r>
      <w:r>
        <w:t>a</w:t>
      </w:r>
      <w:r>
        <w:rPr>
          <w:spacing w:val="-2"/>
        </w:rPr>
        <w:t xml:space="preserve"> </w:t>
      </w:r>
      <w:r>
        <w:t>replicate</w:t>
      </w:r>
      <w:r>
        <w:rPr>
          <w:spacing w:val="-2"/>
        </w:rPr>
        <w:t xml:space="preserve"> </w:t>
      </w:r>
      <w:r>
        <w:t>factor,</w:t>
      </w:r>
      <w:r>
        <w:rPr>
          <w:spacing w:val="-2"/>
        </w:rPr>
        <w:t xml:space="preserve"> </w:t>
      </w:r>
      <w:r>
        <w:t>to</w:t>
      </w:r>
      <w:r>
        <w:rPr>
          <w:spacing w:val="-2"/>
        </w:rPr>
        <w:t xml:space="preserve"> </w:t>
      </w:r>
      <w:r>
        <w:t>account</w:t>
      </w:r>
      <w:r>
        <w:rPr>
          <w:spacing w:val="-2"/>
        </w:rPr>
        <w:t xml:space="preserve"> </w:t>
      </w:r>
      <w:r>
        <w:t>for</w:t>
      </w:r>
      <w:r>
        <w:rPr>
          <w:spacing w:val="-2"/>
        </w:rPr>
        <w:t xml:space="preserve"> </w:t>
      </w:r>
      <w:r>
        <w:t>the</w:t>
      </w:r>
      <w:r>
        <w:rPr>
          <w:spacing w:val="-2"/>
        </w:rPr>
        <w:t xml:space="preserve"> </w:t>
      </w:r>
      <w:r>
        <w:t>subsetting</w:t>
      </w:r>
      <w:r>
        <w:rPr>
          <w:spacing w:val="-2"/>
        </w:rPr>
        <w:t xml:space="preserve"> </w:t>
      </w:r>
      <w:r>
        <w:t>of</w:t>
      </w:r>
      <w:r>
        <w:rPr>
          <w:spacing w:val="-2"/>
        </w:rPr>
        <w:t xml:space="preserve"> </w:t>
      </w:r>
      <w:r>
        <w:t>the</w:t>
      </w:r>
      <w:r>
        <w:rPr>
          <w:spacing w:val="-2"/>
        </w:rPr>
        <w:t xml:space="preserve"> </w:t>
      </w:r>
      <w:r>
        <w:t>sample</w:t>
      </w:r>
      <w:r>
        <w:rPr>
          <w:spacing w:val="-2"/>
        </w:rPr>
        <w:t xml:space="preserve"> </w:t>
      </w:r>
      <w:r>
        <w:t>to</w:t>
      </w:r>
      <w:r>
        <w:rPr>
          <w:spacing w:val="-2"/>
        </w:rPr>
        <w:t xml:space="preserve"> </w:t>
      </w:r>
      <w:r>
        <w:t>form</w:t>
      </w:r>
      <w:r>
        <w:rPr>
          <w:spacing w:val="-2"/>
        </w:rPr>
        <w:t xml:space="preserve"> </w:t>
      </w:r>
      <w:r>
        <w:t>the</w:t>
      </w:r>
      <w:r>
        <w:rPr>
          <w:spacing w:val="-2"/>
        </w:rPr>
        <w:t xml:space="preserve"> </w:t>
      </w:r>
      <w:r>
        <w:t>replicate.</w:t>
      </w:r>
      <w:r>
        <w:rPr>
          <w:spacing w:val="-2"/>
        </w:rPr>
        <w:t xml:space="preserve"> </w:t>
      </w:r>
      <w:r>
        <w:t>By</w:t>
      </w:r>
      <w:r>
        <w:rPr>
          <w:spacing w:val="-2"/>
        </w:rPr>
        <w:t xml:space="preserve"> </w:t>
      </w:r>
      <w:r>
        <w:t>repeating</w:t>
      </w:r>
      <w:r>
        <w:rPr>
          <w:spacing w:val="-2"/>
        </w:rPr>
        <w:t xml:space="preserve"> </w:t>
      </w:r>
      <w:r>
        <w:t>the</w:t>
      </w:r>
      <w:r>
        <w:rPr>
          <w:spacing w:val="-2"/>
        </w:rPr>
        <w:t xml:space="preserve"> </w:t>
      </w:r>
      <w:r>
        <w:t>various</w:t>
      </w:r>
      <w:r>
        <w:rPr>
          <w:spacing w:val="-2"/>
        </w:rPr>
        <w:t xml:space="preserve"> </w:t>
      </w:r>
      <w:r>
        <w:t>weighting</w:t>
      </w:r>
      <w:r>
        <w:rPr>
          <w:spacing w:val="-2"/>
        </w:rPr>
        <w:t xml:space="preserve"> </w:t>
      </w:r>
      <w:r>
        <w:t>procedures</w:t>
      </w:r>
      <w:r>
        <w:rPr>
          <w:spacing w:val="-2"/>
        </w:rPr>
        <w:t xml:space="preserve"> </w:t>
      </w:r>
      <w:r>
        <w:t>on</w:t>
      </w:r>
      <w:r>
        <w:rPr>
          <w:spacing w:val="-2"/>
        </w:rPr>
        <w:t xml:space="preserve"> </w:t>
      </w:r>
      <w:r>
        <w:t>each set of replicate base weights, the impact of these procedures on the sampling variance of an estimate is appropriately reflected in the variance estimate.</w:t>
      </w:r>
    </w:p>
    <w:p w:rsidR="003F5784" w14:paraId="036C5E6F" w14:textId="77777777">
      <w:pPr>
        <w:pStyle w:val="BodyText"/>
        <w:spacing w:before="204"/>
        <w:ind w:left="109"/>
      </w:pPr>
      <w:r>
        <w:t>Each</w:t>
      </w:r>
      <w:r>
        <w:rPr>
          <w:spacing w:val="-5"/>
        </w:rPr>
        <w:t xml:space="preserve"> </w:t>
      </w:r>
      <w:r>
        <w:t>of</w:t>
      </w:r>
      <w:r>
        <w:rPr>
          <w:spacing w:val="-5"/>
        </w:rPr>
        <w:t xml:space="preserve"> </w:t>
      </w:r>
      <w:r>
        <w:t>the</w:t>
      </w:r>
      <w:r>
        <w:rPr>
          <w:spacing w:val="-4"/>
        </w:rPr>
        <w:t xml:space="preserve"> </w:t>
      </w:r>
      <w:r>
        <w:t>62</w:t>
      </w:r>
      <w:r>
        <w:rPr>
          <w:spacing w:val="-5"/>
        </w:rPr>
        <w:t xml:space="preserve"> </w:t>
      </w:r>
      <w:r>
        <w:t>replicate</w:t>
      </w:r>
      <w:r>
        <w:rPr>
          <w:spacing w:val="-4"/>
        </w:rPr>
        <w:t xml:space="preserve"> </w:t>
      </w:r>
      <w:r>
        <w:t>weights</w:t>
      </w:r>
      <w:r>
        <w:rPr>
          <w:spacing w:val="-5"/>
        </w:rPr>
        <w:t xml:space="preserve"> </w:t>
      </w:r>
      <w:r>
        <w:t>for</w:t>
      </w:r>
      <w:r>
        <w:rPr>
          <w:spacing w:val="-4"/>
        </w:rPr>
        <w:t xml:space="preserve"> </w:t>
      </w:r>
      <w:r>
        <w:t>school</w:t>
      </w:r>
      <w:r>
        <w:rPr>
          <w:spacing w:val="-5"/>
        </w:rPr>
        <w:t xml:space="preserve"> </w:t>
      </w:r>
      <w:r>
        <w:rPr>
          <w:i/>
        </w:rPr>
        <w:t>s</w:t>
      </w:r>
      <w:r>
        <w:rPr>
          <w:i/>
          <w:spacing w:val="-4"/>
        </w:rPr>
        <w:t xml:space="preserve"> </w:t>
      </w:r>
      <w:r>
        <w:t>in</w:t>
      </w:r>
      <w:r>
        <w:rPr>
          <w:spacing w:val="-5"/>
        </w:rPr>
        <w:t xml:space="preserve"> </w:t>
      </w:r>
      <w:r>
        <w:t>stratum</w:t>
      </w:r>
      <w:r>
        <w:rPr>
          <w:spacing w:val="-4"/>
        </w:rPr>
        <w:t xml:space="preserve"> </w:t>
      </w:r>
      <w:r>
        <w:rPr>
          <w:i/>
        </w:rPr>
        <w:t>j</w:t>
      </w:r>
      <w:r>
        <w:rPr>
          <w:i/>
          <w:spacing w:val="-5"/>
        </w:rPr>
        <w:t xml:space="preserve"> </w:t>
      </w:r>
      <w:r>
        <w:t>can</w:t>
      </w:r>
      <w:r>
        <w:rPr>
          <w:spacing w:val="-4"/>
        </w:rPr>
        <w:t xml:space="preserve"> </w:t>
      </w:r>
      <w:r>
        <w:t>be</w:t>
      </w:r>
      <w:r>
        <w:rPr>
          <w:spacing w:val="-5"/>
        </w:rPr>
        <w:t xml:space="preserve"> </w:t>
      </w:r>
      <w:r>
        <w:t>expressed</w:t>
      </w:r>
      <w:r>
        <w:rPr>
          <w:spacing w:val="-5"/>
        </w:rPr>
        <w:t xml:space="preserve"> </w:t>
      </w:r>
      <w:r>
        <w:t>as</w:t>
      </w:r>
      <w:r>
        <w:rPr>
          <w:spacing w:val="-4"/>
        </w:rPr>
        <w:t xml:space="preserve"> </w:t>
      </w:r>
      <w:r>
        <w:rPr>
          <w:spacing w:val="-2"/>
        </w:rPr>
        <w:t>follows:</w:t>
      </w:r>
    </w:p>
    <w:p w:rsidR="003F5784" w14:paraId="6F6F79ED" w14:textId="77777777">
      <w:pPr>
        <w:pStyle w:val="BodyText"/>
        <w:spacing w:before="201"/>
      </w:pPr>
    </w:p>
    <w:p w:rsidR="003F5784" w14:paraId="22A55C61" w14:textId="77777777">
      <w:pPr>
        <w:pStyle w:val="BodyText"/>
        <w:spacing w:line="232" w:lineRule="auto"/>
        <w:ind w:left="109"/>
      </w:pPr>
      <w:r>
        <w:t>\begin{equation}</w:t>
      </w:r>
      <w:r>
        <w:rPr>
          <w:spacing w:val="-12"/>
        </w:rPr>
        <w:t xml:space="preserve"> </w:t>
      </w:r>
      <w:r>
        <w:t>\begin{aligned}</w:t>
      </w:r>
      <w:r>
        <w:rPr>
          <w:spacing w:val="-12"/>
        </w:rPr>
        <w:t xml:space="preserve"> </w:t>
      </w:r>
      <w:r>
        <w:t>SCH\_WGT_{js}(r)=</w:t>
      </w:r>
      <w:r>
        <w:rPr>
          <w:spacing w:val="-12"/>
        </w:rPr>
        <w:t xml:space="preserve"> </w:t>
      </w:r>
      <w:r>
        <w:t>{}</w:t>
      </w:r>
      <w:r>
        <w:rPr>
          <w:spacing w:val="-12"/>
        </w:rPr>
        <w:t xml:space="preserve"> </w:t>
      </w:r>
      <w:r>
        <w:t>&amp;</w:t>
      </w:r>
      <w:r>
        <w:rPr>
          <w:spacing w:val="-12"/>
        </w:rPr>
        <w:t xml:space="preserve"> </w:t>
      </w:r>
      <w:r>
        <w:t>SCH\_BWT_{js}(r)</w:t>
      </w:r>
      <w:r>
        <w:rPr>
          <w:spacing w:val="-12"/>
        </w:rPr>
        <w:t xml:space="preserve"> </w:t>
      </w:r>
      <w:r>
        <w:t>\times</w:t>
      </w:r>
      <w:r>
        <w:rPr>
          <w:spacing w:val="-12"/>
        </w:rPr>
        <w:t xml:space="preserve"> </w:t>
      </w:r>
      <w:r>
        <w:t>SCH\_NRAF_{js}(r)</w:t>
      </w:r>
      <w:r>
        <w:rPr>
          <w:spacing w:val="-12"/>
        </w:rPr>
        <w:t xml:space="preserve"> </w:t>
      </w:r>
      <w:r>
        <w:t>\times\\</w:t>
      </w:r>
      <w:r>
        <w:rPr>
          <w:spacing w:val="-12"/>
        </w:rPr>
        <w:t xml:space="preserve"> </w:t>
      </w:r>
      <w:r>
        <w:t>&amp;SCH\_TRIM_{js}</w:t>
      </w:r>
      <w:r>
        <w:rPr>
          <w:spacing w:val="-12"/>
        </w:rPr>
        <w:t xml:space="preserve"> </w:t>
      </w:r>
      <w:r>
        <w:t>\times</w:t>
      </w:r>
      <w:r>
        <w:rPr>
          <w:spacing w:val="-12"/>
        </w:rPr>
        <w:t xml:space="preserve"> </w:t>
      </w:r>
      <w:r>
        <w:t>SCHSESWT_{js}</w:t>
      </w:r>
      <w:r>
        <w:rPr>
          <w:spacing w:val="-12"/>
        </w:rPr>
        <w:t xml:space="preserve"> </w:t>
      </w:r>
      <w:r>
        <w:t>\times SCH\_SUBJ\_AF_{js} \end{aligned} \end{equation}</w:t>
      </w:r>
    </w:p>
    <w:p w:rsidR="003F5784" w14:paraId="3CD5C2A4" w14:textId="77777777">
      <w:pPr>
        <w:pStyle w:val="BodyText"/>
        <w:spacing w:before="203"/>
        <w:ind w:left="109"/>
      </w:pPr>
      <w:r>
        <w:rPr>
          <w:spacing w:val="-2"/>
        </w:rPr>
        <w:t>where</w:t>
      </w:r>
    </w:p>
    <w:p w:rsidR="003F5784" w14:paraId="6F98D967" w14:textId="77777777">
      <w:pPr>
        <w:pStyle w:val="BodyText"/>
        <w:spacing w:before="202"/>
        <w:ind w:left="631"/>
      </w:pPr>
      <w:r>
        <w:rPr>
          <w:noProof/>
        </w:rPr>
        <mc:AlternateContent>
          <mc:Choice Requires="wps">
            <w:drawing>
              <wp:anchor distT="0" distB="0" distL="0" distR="0" simplePos="0" relativeHeight="251691008" behindDoc="0" locked="0" layoutInCell="1" allowOverlap="1">
                <wp:simplePos x="0" y="0"/>
                <wp:positionH relativeFrom="page">
                  <wp:posOffset>560569</wp:posOffset>
                </wp:positionH>
                <wp:positionV relativeFrom="paragraph">
                  <wp:posOffset>194922</wp:posOffset>
                </wp:positionV>
                <wp:extent cx="41910" cy="41910"/>
                <wp:effectExtent l="0" t="0" r="0" b="0"/>
                <wp:wrapNone/>
                <wp:docPr id="629" name="Graphic 629"/>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17945" y="41246"/>
                              </a:lnTo>
                              <a:lnTo>
                                <a:pt x="15306" y="40733"/>
                              </a:lnTo>
                              <a:lnTo>
                                <a:pt x="12771" y="39566"/>
                              </a:lnTo>
                              <a:lnTo>
                                <a:pt x="10237" y="38664"/>
                              </a:lnTo>
                              <a:lnTo>
                                <a:pt x="0" y="23403"/>
                              </a:lnTo>
                              <a:lnTo>
                                <a:pt x="0" y="17842"/>
                              </a:lnTo>
                              <a:lnTo>
                                <a:pt x="12771" y="1555"/>
                              </a:lnTo>
                              <a:lnTo>
                                <a:pt x="15306" y="521"/>
                              </a:lnTo>
                              <a:lnTo>
                                <a:pt x="17945" y="0"/>
                              </a:lnTo>
                              <a:lnTo>
                                <a:pt x="23433" y="0"/>
                              </a:lnTo>
                              <a:lnTo>
                                <a:pt x="26072" y="521"/>
                              </a:lnTo>
                              <a:lnTo>
                                <a:pt x="28606" y="1555"/>
                              </a:lnTo>
                              <a:lnTo>
                                <a:pt x="31141" y="2457"/>
                              </a:lnTo>
                              <a:lnTo>
                                <a:pt x="41379" y="20689"/>
                              </a:lnTo>
                              <a:lnTo>
                                <a:pt x="41378" y="23403"/>
                              </a:lnTo>
                              <a:lnTo>
                                <a:pt x="28607" y="39566"/>
                              </a:lnTo>
                              <a:lnTo>
                                <a:pt x="26072" y="40733"/>
                              </a:lnTo>
                              <a:lnTo>
                                <a:pt x="23433" y="41246"/>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29" o:spid="_x0000_s1193" style="width:3.3pt;height:3.3pt;margin-top:15.35pt;margin-left:44.15pt;mso-position-horizontal-relative:page;mso-wrap-distance-bottom:0;mso-wrap-distance-left:0;mso-wrap-distance-right:0;mso-wrap-distance-top:0;mso-wrap-style:square;position:absolute;visibility:visible;v-text-anchor:top;z-index:251692032" coordsize="41910,41910" path="m20689,41378l17945,41246l15306,40733,12771,39566l10237,38664l,23403,,17842,12771,1555,15306,521,17945,l23433,l26072,521l28606,1555l31141,2457,41379,20689l41378,23403l28607,39566l26072,40733l23433,41246l20689,41378xe" fillcolor="black" stroked="f">
                <v:path arrowok="t"/>
              </v:shape>
            </w:pict>
          </mc:Fallback>
        </mc:AlternateContent>
      </w:r>
      <w:r>
        <w:t>\(SCH\_BWT_{js}(r)\)</w:t>
      </w:r>
      <w:r>
        <w:rPr>
          <w:spacing w:val="-8"/>
        </w:rPr>
        <w:t xml:space="preserve"> </w:t>
      </w:r>
      <w:r>
        <w:t>is</w:t>
      </w:r>
      <w:r>
        <w:rPr>
          <w:spacing w:val="-7"/>
        </w:rPr>
        <w:t xml:space="preserve"> </w:t>
      </w:r>
      <w:r>
        <w:t>the</w:t>
      </w:r>
      <w:r>
        <w:rPr>
          <w:spacing w:val="-7"/>
        </w:rPr>
        <w:t xml:space="preserve"> </w:t>
      </w:r>
      <w:r>
        <w:t>replicate</w:t>
      </w:r>
      <w:r>
        <w:rPr>
          <w:spacing w:val="-7"/>
        </w:rPr>
        <w:t xml:space="preserve"> </w:t>
      </w:r>
      <w:r>
        <w:t>school</w:t>
      </w:r>
      <w:r>
        <w:rPr>
          <w:spacing w:val="-7"/>
        </w:rPr>
        <w:t xml:space="preserve"> </w:t>
      </w:r>
      <w:r>
        <w:t>base</w:t>
      </w:r>
      <w:r>
        <w:rPr>
          <w:spacing w:val="-7"/>
        </w:rPr>
        <w:t xml:space="preserve"> </w:t>
      </w:r>
      <w:r>
        <w:t>weight</w:t>
      </w:r>
      <w:r>
        <w:rPr>
          <w:spacing w:val="-8"/>
        </w:rPr>
        <w:t xml:space="preserve"> </w:t>
      </w:r>
      <w:r>
        <w:t>for</w:t>
      </w:r>
      <w:r>
        <w:rPr>
          <w:spacing w:val="-7"/>
        </w:rPr>
        <w:t xml:space="preserve"> </w:t>
      </w:r>
      <w:r>
        <w:t>replicate</w:t>
      </w:r>
      <w:r>
        <w:rPr>
          <w:spacing w:val="-7"/>
        </w:rPr>
        <w:t xml:space="preserve"> </w:t>
      </w:r>
      <w:r>
        <w:rPr>
          <w:spacing w:val="-2"/>
        </w:rPr>
        <w:t>\(r\);</w:t>
      </w:r>
    </w:p>
    <w:p w:rsidR="003F5784" w14:paraId="55D93DBA" w14:textId="77777777">
      <w:pPr>
        <w:pStyle w:val="BodyText"/>
        <w:spacing w:before="227"/>
        <w:ind w:left="631"/>
      </w:pPr>
      <w:r>
        <w:rPr>
          <w:noProof/>
        </w:rPr>
        <mc:AlternateContent>
          <mc:Choice Requires="wps">
            <w:drawing>
              <wp:anchor distT="0" distB="0" distL="0" distR="0" simplePos="0" relativeHeight="251693056" behindDoc="0" locked="0" layoutInCell="1" allowOverlap="1">
                <wp:simplePos x="0" y="0"/>
                <wp:positionH relativeFrom="page">
                  <wp:posOffset>560569</wp:posOffset>
                </wp:positionH>
                <wp:positionV relativeFrom="paragraph">
                  <wp:posOffset>211241</wp:posOffset>
                </wp:positionV>
                <wp:extent cx="41910" cy="41910"/>
                <wp:effectExtent l="0" t="0" r="0" b="0"/>
                <wp:wrapNone/>
                <wp:docPr id="630" name="Graphic 630"/>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0" y="23279"/>
                              </a:lnTo>
                              <a:lnTo>
                                <a:pt x="0" y="17842"/>
                              </a:lnTo>
                              <a:lnTo>
                                <a:pt x="12771" y="1555"/>
                              </a:lnTo>
                              <a:lnTo>
                                <a:pt x="15306" y="521"/>
                              </a:lnTo>
                              <a:lnTo>
                                <a:pt x="17945" y="0"/>
                              </a:lnTo>
                              <a:lnTo>
                                <a:pt x="23433" y="0"/>
                              </a:lnTo>
                              <a:lnTo>
                                <a:pt x="26072" y="521"/>
                              </a:lnTo>
                              <a:lnTo>
                                <a:pt x="28606" y="1555"/>
                              </a:lnTo>
                              <a:lnTo>
                                <a:pt x="31141" y="2457"/>
                              </a:lnTo>
                              <a:lnTo>
                                <a:pt x="41379" y="20689"/>
                              </a:lnTo>
                              <a:lnTo>
                                <a:pt x="41378" y="23279"/>
                              </a:lnTo>
                              <a:lnTo>
                                <a:pt x="23433" y="41246"/>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30" o:spid="_x0000_s1194" style="width:3.3pt;height:3.3pt;margin-top:16.65pt;margin-left:44.15pt;mso-position-horizontal-relative:page;mso-wrap-distance-bottom:0;mso-wrap-distance-left:0;mso-wrap-distance-right:0;mso-wrap-distance-top:0;mso-wrap-style:square;position:absolute;visibility:visible;v-text-anchor:top;z-index:251694080" coordsize="41910,41910" path="m20689,41378l,23279,,17842,12771,1555,15306,521,17945,l23433,l26072,521l28606,1555l31141,2457,41379,20689l41378,23279l23433,41246l20689,41378xe" fillcolor="black" stroked="f">
                <v:path arrowok="t"/>
              </v:shape>
            </w:pict>
          </mc:Fallback>
        </mc:AlternateContent>
      </w:r>
      <w:r>
        <w:t>\(SCH\_NRAF_{js}(r)\)</w:t>
      </w:r>
      <w:r>
        <w:rPr>
          <w:spacing w:val="-9"/>
        </w:rPr>
        <w:t xml:space="preserve"> </w:t>
      </w:r>
      <w:r>
        <w:t>is</w:t>
      </w:r>
      <w:r>
        <w:rPr>
          <w:spacing w:val="-9"/>
        </w:rPr>
        <w:t xml:space="preserve"> </w:t>
      </w:r>
      <w:r>
        <w:t>the</w:t>
      </w:r>
      <w:r>
        <w:rPr>
          <w:spacing w:val="-8"/>
        </w:rPr>
        <w:t xml:space="preserve"> </w:t>
      </w:r>
      <w:r>
        <w:t>school-level</w:t>
      </w:r>
      <w:r>
        <w:rPr>
          <w:spacing w:val="-9"/>
        </w:rPr>
        <w:t xml:space="preserve"> </w:t>
      </w:r>
      <w:r>
        <w:t>nonresponse</w:t>
      </w:r>
      <w:r>
        <w:rPr>
          <w:spacing w:val="-9"/>
        </w:rPr>
        <w:t xml:space="preserve"> </w:t>
      </w:r>
      <w:r>
        <w:t>adjustment</w:t>
      </w:r>
      <w:r>
        <w:rPr>
          <w:spacing w:val="-8"/>
        </w:rPr>
        <w:t xml:space="preserve"> </w:t>
      </w:r>
      <w:r>
        <w:t>factor</w:t>
      </w:r>
      <w:r>
        <w:rPr>
          <w:spacing w:val="-9"/>
        </w:rPr>
        <w:t xml:space="preserve"> </w:t>
      </w:r>
      <w:r>
        <w:t>for</w:t>
      </w:r>
      <w:r>
        <w:rPr>
          <w:spacing w:val="-9"/>
        </w:rPr>
        <w:t xml:space="preserve"> </w:t>
      </w:r>
      <w:r>
        <w:t>replicate</w:t>
      </w:r>
      <w:r>
        <w:rPr>
          <w:spacing w:val="-8"/>
        </w:rPr>
        <w:t xml:space="preserve"> </w:t>
      </w:r>
      <w:r>
        <w:rPr>
          <w:spacing w:val="-2"/>
        </w:rPr>
        <w:t>\(r\);</w:t>
      </w:r>
    </w:p>
    <w:p w:rsidR="003F5784" w14:paraId="0A21E569" w14:textId="77777777">
      <w:pPr>
        <w:sectPr>
          <w:type w:val="continuous"/>
          <w:pgSz w:w="15840" w:h="12240" w:orient="landscape"/>
          <w:pgMar w:top="480" w:right="440" w:bottom="460" w:left="460" w:header="284" w:footer="275" w:gutter="0"/>
          <w:cols w:space="720"/>
        </w:sectPr>
      </w:pPr>
    </w:p>
    <w:p w:rsidR="003F5784" w14:paraId="516AA2A5" w14:textId="77777777">
      <w:pPr>
        <w:pStyle w:val="BodyText"/>
        <w:spacing w:before="65"/>
      </w:pPr>
    </w:p>
    <w:p w:rsidR="003F5784" w14:paraId="02EE61F2" w14:textId="77777777">
      <w:pPr>
        <w:pStyle w:val="BodyText"/>
        <w:ind w:left="631"/>
      </w:pPr>
      <w:r>
        <w:rPr>
          <w:noProof/>
        </w:rPr>
        <mc:AlternateContent>
          <mc:Choice Requires="wps">
            <w:drawing>
              <wp:anchor distT="0" distB="0" distL="0" distR="0" simplePos="0" relativeHeight="251695104" behindDoc="0" locked="0" layoutInCell="1" allowOverlap="1">
                <wp:simplePos x="0" y="0"/>
                <wp:positionH relativeFrom="page">
                  <wp:posOffset>560569</wp:posOffset>
                </wp:positionH>
                <wp:positionV relativeFrom="paragraph">
                  <wp:posOffset>66963</wp:posOffset>
                </wp:positionV>
                <wp:extent cx="41910" cy="41910"/>
                <wp:effectExtent l="0" t="0" r="0" b="0"/>
                <wp:wrapNone/>
                <wp:docPr id="631" name="Graphic 631"/>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1574" y="28452"/>
                              </a:lnTo>
                              <a:lnTo>
                                <a:pt x="524" y="25994"/>
                              </a:lnTo>
                              <a:lnTo>
                                <a:pt x="0" y="23403"/>
                              </a:lnTo>
                              <a:lnTo>
                                <a:pt x="0" y="17975"/>
                              </a:lnTo>
                              <a:lnTo>
                                <a:pt x="17945" y="0"/>
                              </a:lnTo>
                              <a:lnTo>
                                <a:pt x="23433" y="0"/>
                              </a:lnTo>
                              <a:lnTo>
                                <a:pt x="41379" y="20689"/>
                              </a:lnTo>
                              <a:lnTo>
                                <a:pt x="41378" y="23403"/>
                              </a:lnTo>
                              <a:lnTo>
                                <a:pt x="40854" y="25994"/>
                              </a:lnTo>
                              <a:lnTo>
                                <a:pt x="39804" y="28452"/>
                              </a:lnTo>
                              <a:lnTo>
                                <a:pt x="38754" y="31166"/>
                              </a:lnTo>
                              <a:lnTo>
                                <a:pt x="23433" y="41246"/>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31" o:spid="_x0000_s1195" style="width:3.3pt;height:3.3pt;margin-top:5.25pt;margin-left:44.15pt;mso-position-horizontal-relative:page;mso-wrap-distance-bottom:0;mso-wrap-distance-left:0;mso-wrap-distance-right:0;mso-wrap-distance-top:0;mso-wrap-style:square;position:absolute;visibility:visible;v-text-anchor:top;z-index:251696128" coordsize="41910,41910" path="m20689,41378l1574,28452,524,25994,,23403,,17975,17945,l23433,l41379,20689l41378,23403l40854,25994l39804,28452l38754,31166,23433,41246l20689,41378xe" fillcolor="black" stroked="f">
                <v:path arrowok="t"/>
              </v:shape>
            </w:pict>
          </mc:Fallback>
        </mc:AlternateContent>
      </w:r>
      <w:r>
        <w:t>\(SCH\_TRIM_{js}\)</w:t>
      </w:r>
      <w:r>
        <w:rPr>
          <w:spacing w:val="-9"/>
        </w:rPr>
        <w:t xml:space="preserve"> </w:t>
      </w:r>
      <w:r>
        <w:t>is</w:t>
      </w:r>
      <w:r>
        <w:rPr>
          <w:spacing w:val="-9"/>
        </w:rPr>
        <w:t xml:space="preserve"> </w:t>
      </w:r>
      <w:r>
        <w:t>the</w:t>
      </w:r>
      <w:r>
        <w:rPr>
          <w:spacing w:val="-9"/>
        </w:rPr>
        <w:t xml:space="preserve"> </w:t>
      </w:r>
      <w:r>
        <w:t>school-level</w:t>
      </w:r>
      <w:r>
        <w:rPr>
          <w:spacing w:val="-9"/>
        </w:rPr>
        <w:t xml:space="preserve"> </w:t>
      </w:r>
      <w:r>
        <w:t>weight</w:t>
      </w:r>
      <w:r>
        <w:rPr>
          <w:spacing w:val="-9"/>
        </w:rPr>
        <w:t xml:space="preserve"> </w:t>
      </w:r>
      <w:r>
        <w:t>trimming</w:t>
      </w:r>
      <w:r>
        <w:rPr>
          <w:spacing w:val="-9"/>
        </w:rPr>
        <w:t xml:space="preserve"> </w:t>
      </w:r>
      <w:r>
        <w:t>adjustment</w:t>
      </w:r>
      <w:r>
        <w:rPr>
          <w:spacing w:val="-8"/>
        </w:rPr>
        <w:t xml:space="preserve"> </w:t>
      </w:r>
      <w:r>
        <w:rPr>
          <w:spacing w:val="-2"/>
        </w:rPr>
        <w:t>factor;</w:t>
      </w:r>
    </w:p>
    <w:p w:rsidR="003F5784" w14:paraId="0E3037C4" w14:textId="77777777">
      <w:pPr>
        <w:pStyle w:val="BodyText"/>
        <w:spacing w:before="228"/>
        <w:ind w:left="631"/>
      </w:pPr>
      <w:r>
        <w:rPr>
          <w:noProof/>
        </w:rPr>
        <mc:AlternateContent>
          <mc:Choice Requires="wps">
            <w:drawing>
              <wp:anchor distT="0" distB="0" distL="0" distR="0" simplePos="0" relativeHeight="251697152" behindDoc="0" locked="0" layoutInCell="1" allowOverlap="1">
                <wp:simplePos x="0" y="0"/>
                <wp:positionH relativeFrom="page">
                  <wp:posOffset>560569</wp:posOffset>
                </wp:positionH>
                <wp:positionV relativeFrom="paragraph">
                  <wp:posOffset>211552</wp:posOffset>
                </wp:positionV>
                <wp:extent cx="41910" cy="41910"/>
                <wp:effectExtent l="0" t="0" r="0" b="0"/>
                <wp:wrapNone/>
                <wp:docPr id="632" name="Graphic 632"/>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17945" y="41246"/>
                              </a:lnTo>
                              <a:lnTo>
                                <a:pt x="15306" y="40733"/>
                              </a:lnTo>
                              <a:lnTo>
                                <a:pt x="12771" y="39566"/>
                              </a:lnTo>
                              <a:lnTo>
                                <a:pt x="10237" y="38532"/>
                              </a:lnTo>
                              <a:lnTo>
                                <a:pt x="0" y="23403"/>
                              </a:lnTo>
                              <a:lnTo>
                                <a:pt x="0" y="17975"/>
                              </a:lnTo>
                              <a:lnTo>
                                <a:pt x="524" y="15260"/>
                              </a:lnTo>
                              <a:lnTo>
                                <a:pt x="2624" y="9955"/>
                              </a:lnTo>
                              <a:lnTo>
                                <a:pt x="4119" y="7762"/>
                              </a:lnTo>
                              <a:lnTo>
                                <a:pt x="6059" y="5950"/>
                              </a:lnTo>
                              <a:lnTo>
                                <a:pt x="7999" y="4005"/>
                              </a:lnTo>
                              <a:lnTo>
                                <a:pt x="10237" y="2590"/>
                              </a:lnTo>
                              <a:lnTo>
                                <a:pt x="12771" y="1423"/>
                              </a:lnTo>
                              <a:lnTo>
                                <a:pt x="15306" y="521"/>
                              </a:lnTo>
                              <a:lnTo>
                                <a:pt x="17945" y="0"/>
                              </a:lnTo>
                              <a:lnTo>
                                <a:pt x="23433" y="0"/>
                              </a:lnTo>
                              <a:lnTo>
                                <a:pt x="35319" y="5950"/>
                              </a:lnTo>
                              <a:lnTo>
                                <a:pt x="37259" y="7762"/>
                              </a:lnTo>
                              <a:lnTo>
                                <a:pt x="38754" y="9955"/>
                              </a:lnTo>
                              <a:lnTo>
                                <a:pt x="40854" y="15260"/>
                              </a:lnTo>
                              <a:lnTo>
                                <a:pt x="41378" y="17975"/>
                              </a:lnTo>
                              <a:lnTo>
                                <a:pt x="41379" y="20689"/>
                              </a:lnTo>
                              <a:lnTo>
                                <a:pt x="41378" y="23403"/>
                              </a:lnTo>
                              <a:lnTo>
                                <a:pt x="28607" y="39566"/>
                              </a:lnTo>
                              <a:lnTo>
                                <a:pt x="26072" y="40733"/>
                              </a:lnTo>
                              <a:lnTo>
                                <a:pt x="23433" y="41246"/>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32" o:spid="_x0000_s1196" style="width:3.3pt;height:3.3pt;margin-top:16.65pt;margin-left:44.15pt;mso-position-horizontal-relative:page;mso-wrap-distance-bottom:0;mso-wrap-distance-left:0;mso-wrap-distance-right:0;mso-wrap-distance-top:0;mso-wrap-style:square;position:absolute;visibility:visible;v-text-anchor:top;z-index:251698176" coordsize="41910,41910" path="m20689,41378l17945,41246l15306,40733,12771,39566,10237,38532,,23403,,17975,524,15260,2624,9955,4119,7762,6059,5950,7999,4005,10237,2590,12771,1423,15306,521,17945,l23433,l35319,5950l37259,7762l38754,9955l40854,15260l41378,17975l41379,20689l41378,23403,28607,39566l26072,40733l23433,41246l20689,41378xe" fillcolor="black" stroked="f">
                <v:path arrowok="t"/>
              </v:shape>
            </w:pict>
          </mc:Fallback>
        </mc:AlternateContent>
      </w:r>
      <w:r>
        <w:t>\(SCHSESWT_{js}\)</w:t>
      </w:r>
      <w:r>
        <w:rPr>
          <w:spacing w:val="-9"/>
        </w:rPr>
        <w:t xml:space="preserve"> </w:t>
      </w:r>
      <w:r>
        <w:t>is</w:t>
      </w:r>
      <w:r>
        <w:rPr>
          <w:spacing w:val="-9"/>
        </w:rPr>
        <w:t xml:space="preserve"> </w:t>
      </w:r>
      <w:r>
        <w:t>the</w:t>
      </w:r>
      <w:r>
        <w:rPr>
          <w:spacing w:val="-9"/>
        </w:rPr>
        <w:t xml:space="preserve"> </w:t>
      </w:r>
      <w:r>
        <w:t>school-level</w:t>
      </w:r>
      <w:r>
        <w:rPr>
          <w:spacing w:val="-8"/>
        </w:rPr>
        <w:t xml:space="preserve"> </w:t>
      </w:r>
      <w:r>
        <w:t>session</w:t>
      </w:r>
      <w:r>
        <w:rPr>
          <w:spacing w:val="-9"/>
        </w:rPr>
        <w:t xml:space="preserve"> </w:t>
      </w:r>
      <w:r>
        <w:t>assignment</w:t>
      </w:r>
      <w:r>
        <w:rPr>
          <w:spacing w:val="-9"/>
        </w:rPr>
        <w:t xml:space="preserve"> </w:t>
      </w:r>
      <w:r>
        <w:t>weight;</w:t>
      </w:r>
      <w:r>
        <w:rPr>
          <w:spacing w:val="-9"/>
        </w:rPr>
        <w:t xml:space="preserve"> </w:t>
      </w:r>
      <w:r>
        <w:rPr>
          <w:spacing w:val="-5"/>
        </w:rPr>
        <w:t>and</w:t>
      </w:r>
    </w:p>
    <w:p w:rsidR="003F5784" w14:paraId="6AD80C2E" w14:textId="77777777">
      <w:pPr>
        <w:pStyle w:val="BodyText"/>
        <w:spacing w:before="228"/>
        <w:ind w:left="422"/>
      </w:pPr>
      <w:r>
        <w:rPr>
          <w:noProof/>
          <w:position w:val="3"/>
        </w:rPr>
        <w:drawing>
          <wp:inline distT="0" distB="0" distL="0" distR="0">
            <wp:extent cx="41379" cy="41378"/>
            <wp:effectExtent l="0" t="0" r="0" b="0"/>
            <wp:docPr id="633" name="Image 633"/>
            <wp:cNvGraphicFramePr/>
            <a:graphic xmlns:a="http://schemas.openxmlformats.org/drawingml/2006/main">
              <a:graphicData uri="http://schemas.openxmlformats.org/drawingml/2006/picture">
                <pic:pic xmlns:pic="http://schemas.openxmlformats.org/drawingml/2006/picture">
                  <pic:nvPicPr>
                    <pic:cNvPr id="633" name="Image 633"/>
                    <pic:cNvPicPr/>
                  </pic:nvPicPr>
                  <pic:blipFill>
                    <a:blip xmlns:r="http://schemas.openxmlformats.org/officeDocument/2006/relationships" r:embed="rId512" cstate="print"/>
                    <a:stretch>
                      <a:fillRect/>
                    </a:stretch>
                  </pic:blipFill>
                  <pic:spPr>
                    <a:xfrm>
                      <a:off x="0" y="0"/>
                      <a:ext cx="41379" cy="41378"/>
                    </a:xfrm>
                    <a:prstGeom prst="rect">
                      <a:avLst/>
                    </a:prstGeom>
                  </pic:spPr>
                </pic:pic>
              </a:graphicData>
            </a:graphic>
          </wp:inline>
        </w:drawing>
      </w:r>
      <w:r>
        <w:rPr>
          <w:spacing w:val="80"/>
          <w:sz w:val="20"/>
        </w:rPr>
        <w:t xml:space="preserve"> </w:t>
      </w:r>
      <w:r>
        <w:t>\(SCH\_SUBJ\_AF_{js}\) is the small-school subject adjustment factor.</w:t>
      </w:r>
    </w:p>
    <w:p w:rsidR="003F5784" w14:paraId="7D583778" w14:textId="77777777">
      <w:pPr>
        <w:pStyle w:val="BodyText"/>
        <w:spacing w:before="207" w:line="232" w:lineRule="auto"/>
        <w:ind w:left="109" w:right="179"/>
      </w:pPr>
      <w:r>
        <w:t>Specific</w:t>
      </w:r>
      <w:r>
        <w:rPr>
          <w:spacing w:val="-6"/>
        </w:rPr>
        <w:t xml:space="preserve"> </w:t>
      </w:r>
      <w:r>
        <w:t>school</w:t>
      </w:r>
      <w:r>
        <w:rPr>
          <w:spacing w:val="-6"/>
        </w:rPr>
        <w:t xml:space="preserve"> </w:t>
      </w:r>
      <w:r>
        <w:t>nonresponse</w:t>
      </w:r>
      <w:r>
        <w:rPr>
          <w:spacing w:val="-6"/>
        </w:rPr>
        <w:t xml:space="preserve"> </w:t>
      </w:r>
      <w:r>
        <w:t>adjustment</w:t>
      </w:r>
      <w:r>
        <w:rPr>
          <w:spacing w:val="-6"/>
        </w:rPr>
        <w:t xml:space="preserve"> </w:t>
      </w:r>
      <w:r>
        <w:t>factors</w:t>
      </w:r>
      <w:r>
        <w:rPr>
          <w:spacing w:val="-6"/>
        </w:rPr>
        <w:t xml:space="preserve"> </w:t>
      </w:r>
      <w:r>
        <w:t>were</w:t>
      </w:r>
      <w:r>
        <w:rPr>
          <w:spacing w:val="-6"/>
        </w:rPr>
        <w:t xml:space="preserve"> </w:t>
      </w:r>
      <w:r>
        <w:t>calculated</w:t>
      </w:r>
      <w:r>
        <w:rPr>
          <w:spacing w:val="-6"/>
        </w:rPr>
        <w:t xml:space="preserve"> </w:t>
      </w:r>
      <w:r>
        <w:t>separately</w:t>
      </w:r>
      <w:r>
        <w:rPr>
          <w:spacing w:val="-6"/>
        </w:rPr>
        <w:t xml:space="preserve"> </w:t>
      </w:r>
      <w:r>
        <w:t>for</w:t>
      </w:r>
      <w:r>
        <w:rPr>
          <w:spacing w:val="-6"/>
        </w:rPr>
        <w:t xml:space="preserve"> </w:t>
      </w:r>
      <w:r>
        <w:t>each</w:t>
      </w:r>
      <w:r>
        <w:rPr>
          <w:spacing w:val="-6"/>
        </w:rPr>
        <w:t xml:space="preserve"> </w:t>
      </w:r>
      <w:r>
        <w:t>replicate,</w:t>
      </w:r>
      <w:r>
        <w:rPr>
          <w:spacing w:val="-6"/>
        </w:rPr>
        <w:t xml:space="preserve"> </w:t>
      </w:r>
      <w:r>
        <w:t>as</w:t>
      </w:r>
      <w:r>
        <w:rPr>
          <w:spacing w:val="-6"/>
        </w:rPr>
        <w:t xml:space="preserve"> </w:t>
      </w:r>
      <w:r>
        <w:t>indicated</w:t>
      </w:r>
      <w:r>
        <w:rPr>
          <w:spacing w:val="-6"/>
        </w:rPr>
        <w:t xml:space="preserve"> </w:t>
      </w:r>
      <w:r>
        <w:t>by</w:t>
      </w:r>
      <w:r>
        <w:rPr>
          <w:spacing w:val="-6"/>
        </w:rPr>
        <w:t xml:space="preserve"> </w:t>
      </w:r>
      <w:r>
        <w:t>the</w:t>
      </w:r>
      <w:r>
        <w:rPr>
          <w:spacing w:val="-6"/>
        </w:rPr>
        <w:t xml:space="preserve"> </w:t>
      </w:r>
      <w:r>
        <w:t>index</w:t>
      </w:r>
      <w:r>
        <w:rPr>
          <w:spacing w:val="-6"/>
        </w:rPr>
        <w:t xml:space="preserve"> </w:t>
      </w:r>
      <w:r>
        <w:rPr>
          <w:i/>
        </w:rPr>
        <w:t>(r)</w:t>
      </w:r>
      <w:r>
        <w:rPr>
          <w:i/>
          <w:spacing w:val="-6"/>
        </w:rPr>
        <w:t xml:space="preserve"> </w:t>
      </w:r>
      <w:r>
        <w:t>in</w:t>
      </w:r>
      <w:r>
        <w:rPr>
          <w:spacing w:val="-6"/>
        </w:rPr>
        <w:t xml:space="preserve"> </w:t>
      </w:r>
      <w:r>
        <w:t>the</w:t>
      </w:r>
      <w:r>
        <w:rPr>
          <w:spacing w:val="-6"/>
        </w:rPr>
        <w:t xml:space="preserve"> </w:t>
      </w:r>
      <w:r>
        <w:t>formula,</w:t>
      </w:r>
      <w:r>
        <w:rPr>
          <w:spacing w:val="-6"/>
        </w:rPr>
        <w:t xml:space="preserve"> </w:t>
      </w:r>
      <w:r>
        <w:t>and</w:t>
      </w:r>
      <w:r>
        <w:rPr>
          <w:spacing w:val="-6"/>
        </w:rPr>
        <w:t xml:space="preserve"> </w:t>
      </w:r>
      <w:r>
        <w:t>applied</w:t>
      </w:r>
      <w:r>
        <w:rPr>
          <w:spacing w:val="-6"/>
        </w:rPr>
        <w:t xml:space="preserve"> </w:t>
      </w:r>
      <w:r>
        <w:t>to</w:t>
      </w:r>
      <w:r>
        <w:rPr>
          <w:spacing w:val="-6"/>
        </w:rPr>
        <w:t xml:space="preserve"> </w:t>
      </w:r>
      <w:r>
        <w:t>the</w:t>
      </w:r>
      <w:r>
        <w:rPr>
          <w:spacing w:val="-6"/>
        </w:rPr>
        <w:t xml:space="preserve"> </w:t>
      </w:r>
      <w:r>
        <w:t>replicate</w:t>
      </w:r>
      <w:r>
        <w:rPr>
          <w:spacing w:val="-6"/>
        </w:rPr>
        <w:t xml:space="preserve"> </w:t>
      </w:r>
      <w:r>
        <w:t>school base weights. Computing separate nonresponse adjustment factors for each replicate allows resulting variances from the use of the final school replicate weights to reflect components of variance due to this weight adjustment.</w:t>
      </w:r>
    </w:p>
    <w:p w:rsidR="003F5784" w14:paraId="3C54F30D" w14:textId="77777777">
      <w:pPr>
        <w:pStyle w:val="BodyText"/>
        <w:spacing w:before="210" w:line="232" w:lineRule="auto"/>
        <w:ind w:left="109" w:right="114"/>
        <w:jc w:val="both"/>
      </w:pPr>
      <w:r>
        <w:t>School</w:t>
      </w:r>
      <w:r>
        <w:rPr>
          <w:spacing w:val="-7"/>
        </w:rPr>
        <w:t xml:space="preserve"> </w:t>
      </w:r>
      <w:r>
        <w:t>weight</w:t>
      </w:r>
      <w:r>
        <w:rPr>
          <w:spacing w:val="-7"/>
        </w:rPr>
        <w:t xml:space="preserve"> </w:t>
      </w:r>
      <w:r>
        <w:t>trimming</w:t>
      </w:r>
      <w:r>
        <w:rPr>
          <w:spacing w:val="-7"/>
        </w:rPr>
        <w:t xml:space="preserve"> </w:t>
      </w:r>
      <w:r>
        <w:t>adjustments</w:t>
      </w:r>
      <w:r>
        <w:rPr>
          <w:spacing w:val="-7"/>
        </w:rPr>
        <w:t xml:space="preserve"> </w:t>
      </w:r>
      <w:r>
        <w:t>were</w:t>
      </w:r>
      <w:r>
        <w:rPr>
          <w:spacing w:val="-7"/>
        </w:rPr>
        <w:t xml:space="preserve"> </w:t>
      </w:r>
      <w:r>
        <w:t>not</w:t>
      </w:r>
      <w:r>
        <w:rPr>
          <w:spacing w:val="-7"/>
        </w:rPr>
        <w:t xml:space="preserve"> </w:t>
      </w:r>
      <w:r>
        <w:t>replicated,</w:t>
      </w:r>
      <w:r>
        <w:rPr>
          <w:spacing w:val="-7"/>
        </w:rPr>
        <w:t xml:space="preserve"> </w:t>
      </w:r>
      <w:r>
        <w:t>that</w:t>
      </w:r>
      <w:r>
        <w:rPr>
          <w:spacing w:val="-7"/>
        </w:rPr>
        <w:t xml:space="preserve"> </w:t>
      </w:r>
      <w:r>
        <w:t>is,</w:t>
      </w:r>
      <w:r>
        <w:rPr>
          <w:spacing w:val="-7"/>
        </w:rPr>
        <w:t xml:space="preserve"> </w:t>
      </w:r>
      <w:r>
        <w:t>not</w:t>
      </w:r>
      <w:r>
        <w:rPr>
          <w:spacing w:val="-7"/>
        </w:rPr>
        <w:t xml:space="preserve"> </w:t>
      </w:r>
      <w:r>
        <w:t>calculated</w:t>
      </w:r>
      <w:r>
        <w:rPr>
          <w:spacing w:val="-7"/>
        </w:rPr>
        <w:t xml:space="preserve"> </w:t>
      </w:r>
      <w:r>
        <w:t>separately</w:t>
      </w:r>
      <w:r>
        <w:rPr>
          <w:spacing w:val="-7"/>
        </w:rPr>
        <w:t xml:space="preserve"> </w:t>
      </w:r>
      <w:r>
        <w:t>for</w:t>
      </w:r>
      <w:r>
        <w:rPr>
          <w:spacing w:val="-7"/>
        </w:rPr>
        <w:t xml:space="preserve"> </w:t>
      </w:r>
      <w:r>
        <w:t>each</w:t>
      </w:r>
      <w:r>
        <w:rPr>
          <w:spacing w:val="-7"/>
        </w:rPr>
        <w:t xml:space="preserve"> </w:t>
      </w:r>
      <w:r>
        <w:t>replicate.</w:t>
      </w:r>
      <w:r>
        <w:rPr>
          <w:spacing w:val="-7"/>
        </w:rPr>
        <w:t xml:space="preserve"> </w:t>
      </w:r>
      <w:r>
        <w:t>Instead,</w:t>
      </w:r>
      <w:r>
        <w:rPr>
          <w:spacing w:val="-7"/>
        </w:rPr>
        <w:t xml:space="preserve"> </w:t>
      </w:r>
      <w:r>
        <w:t>each</w:t>
      </w:r>
      <w:r>
        <w:rPr>
          <w:spacing w:val="-7"/>
        </w:rPr>
        <w:t xml:space="preserve"> </w:t>
      </w:r>
      <w:r>
        <w:t>replicate</w:t>
      </w:r>
      <w:r>
        <w:rPr>
          <w:spacing w:val="-7"/>
        </w:rPr>
        <w:t xml:space="preserve"> </w:t>
      </w:r>
      <w:r>
        <w:t>used</w:t>
      </w:r>
      <w:r>
        <w:rPr>
          <w:spacing w:val="-7"/>
        </w:rPr>
        <w:t xml:space="preserve"> </w:t>
      </w:r>
      <w:r>
        <w:t>the</w:t>
      </w:r>
      <w:r>
        <w:rPr>
          <w:spacing w:val="-7"/>
        </w:rPr>
        <w:t xml:space="preserve"> </w:t>
      </w:r>
      <w:r>
        <w:t>school</w:t>
      </w:r>
      <w:r>
        <w:rPr>
          <w:spacing w:val="-7"/>
        </w:rPr>
        <w:t xml:space="preserve"> </w:t>
      </w:r>
      <w:r>
        <w:t>trimming</w:t>
      </w:r>
      <w:r>
        <w:rPr>
          <w:spacing w:val="-7"/>
        </w:rPr>
        <w:t xml:space="preserve"> </w:t>
      </w:r>
      <w:r>
        <w:t>adjustment</w:t>
      </w:r>
      <w:r>
        <w:rPr>
          <w:spacing w:val="-7"/>
        </w:rPr>
        <w:t xml:space="preserve"> </w:t>
      </w:r>
      <w:r>
        <w:t>factors derived</w:t>
      </w:r>
      <w:r>
        <w:rPr>
          <w:spacing w:val="-5"/>
        </w:rPr>
        <w:t xml:space="preserve"> </w:t>
      </w:r>
      <w:r>
        <w:t>for</w:t>
      </w:r>
      <w:r>
        <w:rPr>
          <w:spacing w:val="-5"/>
        </w:rPr>
        <w:t xml:space="preserve"> </w:t>
      </w:r>
      <w:r>
        <w:t>the</w:t>
      </w:r>
      <w:r>
        <w:rPr>
          <w:spacing w:val="-5"/>
        </w:rPr>
        <w:t xml:space="preserve"> </w:t>
      </w:r>
      <w:r>
        <w:t>full</w:t>
      </w:r>
      <w:r>
        <w:rPr>
          <w:spacing w:val="-5"/>
        </w:rPr>
        <w:t xml:space="preserve"> </w:t>
      </w:r>
      <w:r>
        <w:t>sample.</w:t>
      </w:r>
      <w:r>
        <w:rPr>
          <w:spacing w:val="-5"/>
        </w:rPr>
        <w:t xml:space="preserve"> </w:t>
      </w:r>
      <w:r>
        <w:t>Statistical</w:t>
      </w:r>
      <w:r>
        <w:rPr>
          <w:spacing w:val="-5"/>
        </w:rPr>
        <w:t xml:space="preserve"> </w:t>
      </w:r>
      <w:r>
        <w:t>theory</w:t>
      </w:r>
      <w:r>
        <w:rPr>
          <w:spacing w:val="-5"/>
        </w:rPr>
        <w:t xml:space="preserve"> </w:t>
      </w:r>
      <w:r>
        <w:t>for</w:t>
      </w:r>
      <w:r>
        <w:rPr>
          <w:spacing w:val="-5"/>
        </w:rPr>
        <w:t xml:space="preserve"> </w:t>
      </w:r>
      <w:r>
        <w:t>replicating</w:t>
      </w:r>
      <w:r>
        <w:rPr>
          <w:spacing w:val="-5"/>
        </w:rPr>
        <w:t xml:space="preserve"> </w:t>
      </w:r>
      <w:r>
        <w:t>trimming</w:t>
      </w:r>
      <w:r>
        <w:rPr>
          <w:spacing w:val="-5"/>
        </w:rPr>
        <w:t xml:space="preserve"> </w:t>
      </w:r>
      <w:r>
        <w:t>adjustments</w:t>
      </w:r>
      <w:r>
        <w:rPr>
          <w:spacing w:val="-5"/>
        </w:rPr>
        <w:t xml:space="preserve"> </w:t>
      </w:r>
      <w:r>
        <w:t>under</w:t>
      </w:r>
      <w:r>
        <w:rPr>
          <w:spacing w:val="-5"/>
        </w:rPr>
        <w:t xml:space="preserve"> </w:t>
      </w:r>
      <w:r>
        <w:t>the</w:t>
      </w:r>
      <w:r>
        <w:rPr>
          <w:spacing w:val="-5"/>
        </w:rPr>
        <w:t xml:space="preserve"> </w:t>
      </w:r>
      <w:r>
        <w:t>jackknife</w:t>
      </w:r>
      <w:r>
        <w:rPr>
          <w:spacing w:val="-5"/>
        </w:rPr>
        <w:t xml:space="preserve"> </w:t>
      </w:r>
      <w:r>
        <w:t>approach</w:t>
      </w:r>
      <w:r>
        <w:rPr>
          <w:spacing w:val="-5"/>
        </w:rPr>
        <w:t xml:space="preserve"> </w:t>
      </w:r>
      <w:r>
        <w:t>has</w:t>
      </w:r>
      <w:r>
        <w:rPr>
          <w:spacing w:val="-5"/>
        </w:rPr>
        <w:t xml:space="preserve"> </w:t>
      </w:r>
      <w:r>
        <w:t>not</w:t>
      </w:r>
      <w:r>
        <w:rPr>
          <w:spacing w:val="-5"/>
        </w:rPr>
        <w:t xml:space="preserve"> </w:t>
      </w:r>
      <w:r>
        <w:t>been</w:t>
      </w:r>
      <w:r>
        <w:rPr>
          <w:spacing w:val="-5"/>
        </w:rPr>
        <w:t xml:space="preserve"> </w:t>
      </w:r>
      <w:r>
        <w:t>developed</w:t>
      </w:r>
      <w:r>
        <w:rPr>
          <w:spacing w:val="-5"/>
        </w:rPr>
        <w:t xml:space="preserve"> </w:t>
      </w:r>
      <w:r>
        <w:t>in</w:t>
      </w:r>
      <w:r>
        <w:rPr>
          <w:spacing w:val="-5"/>
        </w:rPr>
        <w:t xml:space="preserve"> </w:t>
      </w:r>
      <w:r>
        <w:t>the</w:t>
      </w:r>
      <w:r>
        <w:rPr>
          <w:spacing w:val="-5"/>
        </w:rPr>
        <w:t xml:space="preserve"> </w:t>
      </w:r>
      <w:r>
        <w:t>literature.</w:t>
      </w:r>
      <w:r>
        <w:rPr>
          <w:spacing w:val="-5"/>
        </w:rPr>
        <w:t xml:space="preserve"> </w:t>
      </w:r>
      <w:r>
        <w:t>Due</w:t>
      </w:r>
      <w:r>
        <w:rPr>
          <w:spacing w:val="-5"/>
        </w:rPr>
        <w:t xml:space="preserve"> </w:t>
      </w:r>
      <w:r>
        <w:t>to</w:t>
      </w:r>
      <w:r>
        <w:rPr>
          <w:spacing w:val="-5"/>
        </w:rPr>
        <w:t xml:space="preserve"> </w:t>
      </w:r>
      <w:r>
        <w:t>the</w:t>
      </w:r>
      <w:r>
        <w:rPr>
          <w:spacing w:val="-5"/>
        </w:rPr>
        <w:t xml:space="preserve"> </w:t>
      </w:r>
      <w:r>
        <w:t>absence</w:t>
      </w:r>
      <w:r>
        <w:rPr>
          <w:spacing w:val="-5"/>
        </w:rPr>
        <w:t xml:space="preserve"> </w:t>
      </w:r>
      <w:r>
        <w:t>of</w:t>
      </w:r>
      <w:r>
        <w:rPr>
          <w:spacing w:val="-5"/>
        </w:rPr>
        <w:t xml:space="preserve"> </w:t>
      </w:r>
      <w:r>
        <w:t>a statistical framework, and since relatively few school weights in NAEP</w:t>
      </w:r>
      <w:r>
        <w:rPr>
          <w:spacing w:val="-6"/>
        </w:rPr>
        <w:t xml:space="preserve"> </w:t>
      </w:r>
      <w:r>
        <w:t>require trimming, the weight trimming adjustments were not replicated.</w:t>
      </w:r>
    </w:p>
    <w:p w:rsidR="003F5784" w14:paraId="21FD0853" w14:textId="77777777">
      <w:pPr>
        <w:pStyle w:val="BodyText"/>
        <w:spacing w:before="203"/>
        <w:ind w:left="109"/>
        <w:jc w:val="both"/>
      </w:pPr>
      <w:r>
        <w:t>In</w:t>
      </w:r>
      <w:r>
        <w:rPr>
          <w:spacing w:val="-7"/>
        </w:rPr>
        <w:t xml:space="preserve"> </w:t>
      </w:r>
      <w:r>
        <w:t>addition,</w:t>
      </w:r>
      <w:r>
        <w:rPr>
          <w:spacing w:val="-6"/>
        </w:rPr>
        <w:t xml:space="preserve"> </w:t>
      </w:r>
      <w:r>
        <w:t>the</w:t>
      </w:r>
      <w:r>
        <w:rPr>
          <w:spacing w:val="-6"/>
        </w:rPr>
        <w:t xml:space="preserve"> </w:t>
      </w:r>
      <w:r>
        <w:t>school-level</w:t>
      </w:r>
      <w:r>
        <w:rPr>
          <w:spacing w:val="-6"/>
        </w:rPr>
        <w:t xml:space="preserve"> </w:t>
      </w:r>
      <w:r>
        <w:t>session</w:t>
      </w:r>
      <w:r>
        <w:rPr>
          <w:spacing w:val="-6"/>
        </w:rPr>
        <w:t xml:space="preserve"> </w:t>
      </w:r>
      <w:r>
        <w:t>assignment</w:t>
      </w:r>
      <w:r>
        <w:rPr>
          <w:spacing w:val="-6"/>
        </w:rPr>
        <w:t xml:space="preserve"> </w:t>
      </w:r>
      <w:r>
        <w:t>weight</w:t>
      </w:r>
      <w:r>
        <w:rPr>
          <w:spacing w:val="-7"/>
        </w:rPr>
        <w:t xml:space="preserve"> </w:t>
      </w:r>
      <w:r>
        <w:t>and</w:t>
      </w:r>
      <w:r>
        <w:rPr>
          <w:spacing w:val="-6"/>
        </w:rPr>
        <w:t xml:space="preserve"> </w:t>
      </w:r>
      <w:r>
        <w:t>the</w:t>
      </w:r>
      <w:r>
        <w:rPr>
          <w:spacing w:val="-6"/>
        </w:rPr>
        <w:t xml:space="preserve"> </w:t>
      </w:r>
      <w:r>
        <w:t>small-school</w:t>
      </w:r>
      <w:r>
        <w:rPr>
          <w:spacing w:val="-6"/>
        </w:rPr>
        <w:t xml:space="preserve"> </w:t>
      </w:r>
      <w:r>
        <w:t>subject</w:t>
      </w:r>
      <w:r>
        <w:rPr>
          <w:spacing w:val="-6"/>
        </w:rPr>
        <w:t xml:space="preserve"> </w:t>
      </w:r>
      <w:r>
        <w:t>adjustment</w:t>
      </w:r>
      <w:r>
        <w:rPr>
          <w:spacing w:val="-6"/>
        </w:rPr>
        <w:t xml:space="preserve"> </w:t>
      </w:r>
      <w:r>
        <w:t>factor</w:t>
      </w:r>
      <w:r>
        <w:rPr>
          <w:spacing w:val="-7"/>
        </w:rPr>
        <w:t xml:space="preserve"> </w:t>
      </w:r>
      <w:r>
        <w:t>also</w:t>
      </w:r>
      <w:r>
        <w:rPr>
          <w:spacing w:val="-6"/>
        </w:rPr>
        <w:t xml:space="preserve"> </w:t>
      </w:r>
      <w:r>
        <w:t>used</w:t>
      </w:r>
      <w:r>
        <w:rPr>
          <w:spacing w:val="-6"/>
        </w:rPr>
        <w:t xml:space="preserve"> </w:t>
      </w:r>
      <w:r>
        <w:t>the</w:t>
      </w:r>
      <w:r>
        <w:rPr>
          <w:spacing w:val="-6"/>
        </w:rPr>
        <w:t xml:space="preserve"> </w:t>
      </w:r>
      <w:r>
        <w:t>same</w:t>
      </w:r>
      <w:r>
        <w:rPr>
          <w:spacing w:val="-6"/>
        </w:rPr>
        <w:t xml:space="preserve"> </w:t>
      </w:r>
      <w:r>
        <w:t>factors</w:t>
      </w:r>
      <w:r>
        <w:rPr>
          <w:spacing w:val="-6"/>
        </w:rPr>
        <w:t xml:space="preserve"> </w:t>
      </w:r>
      <w:r>
        <w:t>derived</w:t>
      </w:r>
      <w:r>
        <w:rPr>
          <w:spacing w:val="-7"/>
        </w:rPr>
        <w:t xml:space="preserve"> </w:t>
      </w:r>
      <w:r>
        <w:t>for</w:t>
      </w:r>
      <w:r>
        <w:rPr>
          <w:spacing w:val="-6"/>
        </w:rPr>
        <w:t xml:space="preserve"> </w:t>
      </w:r>
      <w:r>
        <w:t>the</w:t>
      </w:r>
      <w:r>
        <w:rPr>
          <w:spacing w:val="-6"/>
        </w:rPr>
        <w:t xml:space="preserve"> </w:t>
      </w:r>
      <w:r>
        <w:t>full</w:t>
      </w:r>
      <w:r>
        <w:rPr>
          <w:spacing w:val="-6"/>
        </w:rPr>
        <w:t xml:space="preserve"> </w:t>
      </w:r>
      <w:r>
        <w:rPr>
          <w:spacing w:val="-2"/>
        </w:rPr>
        <w:t>sample.</w:t>
      </w:r>
    </w:p>
    <w:p w:rsidR="003F5784" w14:paraId="03352063" w14:textId="77777777">
      <w:pPr>
        <w:pStyle w:val="BodyText"/>
      </w:pPr>
    </w:p>
    <w:p w:rsidR="003F5784" w14:paraId="28282D57" w14:textId="77777777">
      <w:pPr>
        <w:pStyle w:val="BodyText"/>
      </w:pPr>
    </w:p>
    <w:p w:rsidR="003F5784" w14:paraId="28601F00" w14:textId="77777777">
      <w:pPr>
        <w:pStyle w:val="BodyText"/>
        <w:spacing w:before="144"/>
      </w:pPr>
    </w:p>
    <w:p w:rsidR="003F5784" w14:paraId="0A921CEB" w14:textId="77777777">
      <w:pPr>
        <w:ind w:left="2978"/>
        <w:rPr>
          <w:sz w:val="18"/>
        </w:rPr>
      </w:pPr>
      <w:hyperlink r:id="rId513">
        <w:r>
          <w:rPr>
            <w:spacing w:val="-2"/>
            <w:w w:val="105"/>
            <w:sz w:val="18"/>
          </w:rPr>
          <w:t>http://nces.ed.gov/nationsreportcard/tdw/weighting/2022/computation_of_replicate_school_weights_for_variance_estimation_for_the_2022_assessment.aspx</w:t>
        </w:r>
      </w:hyperlink>
    </w:p>
    <w:p w:rsidR="003F5784" w14:paraId="226C15A6" w14:textId="77777777">
      <w:pPr>
        <w:pStyle w:val="BodyText"/>
        <w:spacing w:before="1"/>
        <w:rPr>
          <w:sz w:val="16"/>
        </w:rPr>
      </w:pPr>
      <w:r>
        <w:rPr>
          <w:noProof/>
        </w:rPr>
        <mc:AlternateContent>
          <mc:Choice Requires="wps">
            <w:drawing>
              <wp:anchor distT="0" distB="0" distL="0" distR="0" simplePos="0" relativeHeight="252013568" behindDoc="1" locked="0" layoutInCell="1" allowOverlap="1">
                <wp:simplePos x="0" y="0"/>
                <wp:positionH relativeFrom="page">
                  <wp:posOffset>361937</wp:posOffset>
                </wp:positionH>
                <wp:positionV relativeFrom="paragraph">
                  <wp:posOffset>132858</wp:posOffset>
                </wp:positionV>
                <wp:extent cx="9339580" cy="8890"/>
                <wp:effectExtent l="0" t="0" r="0" b="0"/>
                <wp:wrapTopAndBottom/>
                <wp:docPr id="634" name="Graphic 634"/>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80"/>
                              </a:lnTo>
                              <a:lnTo>
                                <a:pt x="9335110" y="8305"/>
                              </a:lnTo>
                              <a:lnTo>
                                <a:pt x="9338970" y="8305"/>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634" o:spid="_x0000_s1197" style="width:735.4pt;height:0.7pt;margin-top:10.45pt;margin-left:28.5pt;mso-position-horizontal-relative:page;mso-wrap-distance-bottom:0;mso-wrap-distance-left:0;mso-wrap-distance-right:0;mso-wrap-distance-top:0;mso-wrap-style:square;position:absolute;visibility:visible;v-text-anchor:top;z-index:-251301888" coordsize="9339580,8890" path="m9338970,25l9335110,25l8280,25,,,,8280l9335110,8305l9338970,8305l9338970,25xe" fillcolor="gray" stroked="f">
                <v:path arrowok="t"/>
                <w10:wrap type="topAndBottom"/>
              </v:shape>
            </w:pict>
          </mc:Fallback>
        </mc:AlternateContent>
      </w:r>
    </w:p>
    <w:p w:rsidR="003F5784" w14:paraId="27875693" w14:textId="77777777">
      <w:pPr>
        <w:pStyle w:val="BodyText"/>
        <w:rPr>
          <w:sz w:val="18"/>
        </w:rPr>
      </w:pPr>
    </w:p>
    <w:p w:rsidR="003F5784" w14:paraId="0E111401" w14:textId="77777777">
      <w:pPr>
        <w:pStyle w:val="BodyText"/>
        <w:spacing w:before="193"/>
        <w:rPr>
          <w:sz w:val="18"/>
        </w:rPr>
      </w:pPr>
    </w:p>
    <w:p w:rsidR="003F5784" w14:paraId="40393298" w14:textId="24B2B6F1">
      <w:pPr>
        <w:pStyle w:val="Heading1"/>
        <w:spacing w:line="244" w:lineRule="auto"/>
      </w:pPr>
      <w:r>
        <w:t>NAEP</w:t>
      </w:r>
      <w:r>
        <w:rPr>
          <w:spacing w:val="-15"/>
        </w:rPr>
        <w:t xml:space="preserve"> </w:t>
      </w:r>
      <w:r>
        <w:t>Technical Documentation</w:t>
      </w:r>
      <w:r w:rsidR="00C94150">
        <w:t xml:space="preserve"> </w:t>
      </w:r>
      <w:r>
        <w:t>Computation of Replicate Student Weights for Variance Estimation</w:t>
      </w:r>
    </w:p>
    <w:p w:rsidR="003F5784" w14:paraId="6D56CEF4" w14:textId="77777777">
      <w:pPr>
        <w:pStyle w:val="BodyText"/>
        <w:spacing w:before="7"/>
        <w:rPr>
          <w:b/>
          <w:sz w:val="16"/>
        </w:rPr>
      </w:pPr>
    </w:p>
    <w:p w:rsidR="003F5784" w14:paraId="364E4966" w14:textId="77777777">
      <w:pPr>
        <w:rPr>
          <w:sz w:val="16"/>
        </w:rPr>
        <w:sectPr>
          <w:pgSz w:w="15840" w:h="12240" w:orient="landscape"/>
          <w:pgMar w:top="480" w:right="440" w:bottom="460" w:left="460" w:header="284" w:footer="275" w:gutter="0"/>
          <w:cols w:space="720"/>
        </w:sectPr>
      </w:pPr>
    </w:p>
    <w:p w:rsidR="003F5784" w14:paraId="7462911D" w14:textId="77777777">
      <w:pPr>
        <w:pStyle w:val="BodyText"/>
        <w:spacing w:before="96" w:line="232" w:lineRule="auto"/>
        <w:ind w:left="109"/>
      </w:pPr>
      <w:r>
        <w:t>In addition to the full-sample weight, a set of 62 replicate weights was provided for each student.</w:t>
      </w:r>
      <w:r>
        <w:rPr>
          <w:spacing w:val="-3"/>
        </w:rPr>
        <w:t xml:space="preserve"> </w:t>
      </w:r>
      <w:r>
        <w:t>These replicate weights are used</w:t>
      </w:r>
      <w:r>
        <w:rPr>
          <w:spacing w:val="-7"/>
        </w:rPr>
        <w:t xml:space="preserve"> </w:t>
      </w:r>
      <w:r>
        <w:t>in</w:t>
      </w:r>
      <w:r>
        <w:rPr>
          <w:spacing w:val="-7"/>
        </w:rPr>
        <w:t xml:space="preserve"> </w:t>
      </w:r>
      <w:r>
        <w:t>calculating</w:t>
      </w:r>
      <w:r>
        <w:rPr>
          <w:spacing w:val="-7"/>
        </w:rPr>
        <w:t xml:space="preserve"> </w:t>
      </w:r>
      <w:r>
        <w:t>the</w:t>
      </w:r>
      <w:r>
        <w:rPr>
          <w:spacing w:val="-7"/>
        </w:rPr>
        <w:t xml:space="preserve"> </w:t>
      </w:r>
      <w:r>
        <w:t>sampling</w:t>
      </w:r>
      <w:r>
        <w:rPr>
          <w:spacing w:val="-7"/>
        </w:rPr>
        <w:t xml:space="preserve"> </w:t>
      </w:r>
      <w:r>
        <w:t>variance</w:t>
      </w:r>
      <w:r>
        <w:rPr>
          <w:spacing w:val="-7"/>
        </w:rPr>
        <w:t xml:space="preserve"> </w:t>
      </w:r>
      <w:r>
        <w:t>of</w:t>
      </w:r>
      <w:r>
        <w:rPr>
          <w:spacing w:val="-7"/>
        </w:rPr>
        <w:t xml:space="preserve"> </w:t>
      </w:r>
      <w:r>
        <w:t>estimates</w:t>
      </w:r>
      <w:r>
        <w:rPr>
          <w:spacing w:val="-7"/>
        </w:rPr>
        <w:t xml:space="preserve"> </w:t>
      </w:r>
      <w:r>
        <w:t>obtained</w:t>
      </w:r>
      <w:r>
        <w:rPr>
          <w:spacing w:val="-7"/>
        </w:rPr>
        <w:t xml:space="preserve"> </w:t>
      </w:r>
      <w:r>
        <w:t>from</w:t>
      </w:r>
      <w:r>
        <w:rPr>
          <w:spacing w:val="-7"/>
        </w:rPr>
        <w:t xml:space="preserve"> </w:t>
      </w:r>
      <w:r>
        <w:t>the</w:t>
      </w:r>
      <w:r>
        <w:rPr>
          <w:spacing w:val="-7"/>
        </w:rPr>
        <w:t xml:space="preserve"> </w:t>
      </w:r>
      <w:r>
        <w:t>data,</w:t>
      </w:r>
      <w:r>
        <w:rPr>
          <w:spacing w:val="-7"/>
        </w:rPr>
        <w:t xml:space="preserve"> </w:t>
      </w:r>
      <w:r>
        <w:t>using</w:t>
      </w:r>
      <w:r>
        <w:rPr>
          <w:spacing w:val="-7"/>
        </w:rPr>
        <w:t xml:space="preserve"> </w:t>
      </w:r>
      <w:r>
        <w:t>the</w:t>
      </w:r>
      <w:r>
        <w:rPr>
          <w:spacing w:val="-7"/>
        </w:rPr>
        <w:t xml:space="preserve"> </w:t>
      </w:r>
      <w:r>
        <w:t>jackknife</w:t>
      </w:r>
      <w:r>
        <w:rPr>
          <w:spacing w:val="-7"/>
        </w:rPr>
        <w:t xml:space="preserve"> </w:t>
      </w:r>
      <w:r>
        <w:t>repeated</w:t>
      </w:r>
      <w:r>
        <w:rPr>
          <w:spacing w:val="-7"/>
        </w:rPr>
        <w:t xml:space="preserve"> </w:t>
      </w:r>
      <w:r>
        <w:t>replication</w:t>
      </w:r>
      <w:r>
        <w:rPr>
          <w:spacing w:val="-7"/>
        </w:rPr>
        <w:t xml:space="preserve"> </w:t>
      </w:r>
      <w:r>
        <w:t>method. The</w:t>
      </w:r>
      <w:r>
        <w:rPr>
          <w:spacing w:val="-5"/>
        </w:rPr>
        <w:t xml:space="preserve"> </w:t>
      </w:r>
      <w:r>
        <w:t>method</w:t>
      </w:r>
      <w:r>
        <w:rPr>
          <w:spacing w:val="-5"/>
        </w:rPr>
        <w:t xml:space="preserve"> </w:t>
      </w:r>
      <w:r>
        <w:t>of</w:t>
      </w:r>
      <w:r>
        <w:rPr>
          <w:spacing w:val="-5"/>
        </w:rPr>
        <w:t xml:space="preserve"> </w:t>
      </w:r>
      <w:r>
        <w:t>deriving</w:t>
      </w:r>
      <w:r>
        <w:rPr>
          <w:spacing w:val="-5"/>
        </w:rPr>
        <w:t xml:space="preserve"> </w:t>
      </w:r>
      <w:r>
        <w:t>these</w:t>
      </w:r>
      <w:r>
        <w:rPr>
          <w:spacing w:val="-5"/>
        </w:rPr>
        <w:t xml:space="preserve"> </w:t>
      </w:r>
      <w:r>
        <w:t>weights</w:t>
      </w:r>
      <w:r>
        <w:rPr>
          <w:spacing w:val="-5"/>
        </w:rPr>
        <w:t xml:space="preserve"> </w:t>
      </w:r>
      <w:r>
        <w:t>was</w:t>
      </w:r>
      <w:r>
        <w:rPr>
          <w:spacing w:val="-5"/>
        </w:rPr>
        <w:t xml:space="preserve"> </w:t>
      </w:r>
      <w:r>
        <w:t>aimed</w:t>
      </w:r>
      <w:r>
        <w:rPr>
          <w:spacing w:val="-5"/>
        </w:rPr>
        <w:t xml:space="preserve"> </w:t>
      </w:r>
      <w:r>
        <w:t>at</w:t>
      </w:r>
      <w:r>
        <w:rPr>
          <w:spacing w:val="-5"/>
        </w:rPr>
        <w:t xml:space="preserve"> </w:t>
      </w:r>
      <w:r>
        <w:t>reflecting</w:t>
      </w:r>
      <w:r>
        <w:rPr>
          <w:spacing w:val="-5"/>
        </w:rPr>
        <w:t xml:space="preserve"> </w:t>
      </w:r>
      <w:r>
        <w:t>the</w:t>
      </w:r>
      <w:r>
        <w:rPr>
          <w:spacing w:val="-5"/>
        </w:rPr>
        <w:t xml:space="preserve"> </w:t>
      </w:r>
      <w:r>
        <w:t>features</w:t>
      </w:r>
      <w:r>
        <w:rPr>
          <w:spacing w:val="-5"/>
        </w:rPr>
        <w:t xml:space="preserve"> </w:t>
      </w:r>
      <w:r>
        <w:t>of</w:t>
      </w:r>
      <w:r>
        <w:rPr>
          <w:spacing w:val="-5"/>
        </w:rPr>
        <w:t xml:space="preserve"> </w:t>
      </w:r>
      <w:r>
        <w:t>the</w:t>
      </w:r>
      <w:r>
        <w:rPr>
          <w:spacing w:val="-5"/>
        </w:rPr>
        <w:t xml:space="preserve"> </w:t>
      </w:r>
      <w:r>
        <w:t>sample</w:t>
      </w:r>
      <w:r>
        <w:rPr>
          <w:spacing w:val="-5"/>
        </w:rPr>
        <w:t xml:space="preserve"> </w:t>
      </w:r>
      <w:r>
        <w:t>design</w:t>
      </w:r>
      <w:r>
        <w:rPr>
          <w:spacing w:val="-5"/>
        </w:rPr>
        <w:t xml:space="preserve"> </w:t>
      </w:r>
      <w:r>
        <w:t>appropriately</w:t>
      </w:r>
      <w:r>
        <w:rPr>
          <w:spacing w:val="-5"/>
        </w:rPr>
        <w:t xml:space="preserve"> </w:t>
      </w:r>
      <w:r>
        <w:t>for</w:t>
      </w:r>
      <w:r>
        <w:rPr>
          <w:spacing w:val="-5"/>
        </w:rPr>
        <w:t xml:space="preserve"> </w:t>
      </w:r>
      <w:r>
        <w:t>each</w:t>
      </w:r>
      <w:r>
        <w:rPr>
          <w:spacing w:val="-5"/>
        </w:rPr>
        <w:t xml:space="preserve"> </w:t>
      </w:r>
      <w:r>
        <w:t>sample, so that when the jackknife variance estimation procedure is implemented, approximately unbiased estimates of sampling variance are obtained. This section gives the specifics for generating the replicate weights for the 2022 assessment samples.</w:t>
      </w:r>
    </w:p>
    <w:p w:rsidR="003F5784" w14:paraId="0465F52F" w14:textId="77777777">
      <w:pPr>
        <w:pStyle w:val="BodyText"/>
        <w:spacing w:before="2" w:line="232" w:lineRule="auto"/>
        <w:ind w:left="109"/>
      </w:pPr>
      <w:r>
        <w:t>The</w:t>
      </w:r>
      <w:r>
        <w:rPr>
          <w:spacing w:val="-9"/>
        </w:rPr>
        <w:t xml:space="preserve"> </w:t>
      </w:r>
      <w:r>
        <w:t>theory</w:t>
      </w:r>
      <w:r>
        <w:rPr>
          <w:spacing w:val="-8"/>
        </w:rPr>
        <w:t xml:space="preserve"> </w:t>
      </w:r>
      <w:r>
        <w:t>that</w:t>
      </w:r>
      <w:r>
        <w:rPr>
          <w:spacing w:val="-8"/>
        </w:rPr>
        <w:t xml:space="preserve"> </w:t>
      </w:r>
      <w:r>
        <w:t>underlies</w:t>
      </w:r>
      <w:r>
        <w:rPr>
          <w:spacing w:val="-8"/>
        </w:rPr>
        <w:t xml:space="preserve"> </w:t>
      </w:r>
      <w:r>
        <w:t>the</w:t>
      </w:r>
      <w:r>
        <w:rPr>
          <w:spacing w:val="-8"/>
        </w:rPr>
        <w:t xml:space="preserve"> </w:t>
      </w:r>
      <w:r>
        <w:t>jackknife</w:t>
      </w:r>
      <w:r>
        <w:rPr>
          <w:spacing w:val="-8"/>
        </w:rPr>
        <w:t xml:space="preserve"> </w:t>
      </w:r>
      <w:r>
        <w:t>variance</w:t>
      </w:r>
      <w:r>
        <w:rPr>
          <w:spacing w:val="-8"/>
        </w:rPr>
        <w:t xml:space="preserve"> </w:t>
      </w:r>
      <w:r>
        <w:t>estimators</w:t>
      </w:r>
      <w:r>
        <w:rPr>
          <w:spacing w:val="-8"/>
        </w:rPr>
        <w:t xml:space="preserve"> </w:t>
      </w:r>
      <w:r>
        <w:t>used</w:t>
      </w:r>
      <w:r>
        <w:rPr>
          <w:spacing w:val="-8"/>
        </w:rPr>
        <w:t xml:space="preserve"> </w:t>
      </w:r>
      <w:r>
        <w:t>in</w:t>
      </w:r>
      <w:r>
        <w:rPr>
          <w:spacing w:val="-8"/>
        </w:rPr>
        <w:t xml:space="preserve"> </w:t>
      </w:r>
      <w:r>
        <w:t>NAEP</w:t>
      </w:r>
      <w:r>
        <w:rPr>
          <w:spacing w:val="-14"/>
        </w:rPr>
        <w:t xml:space="preserve"> </w:t>
      </w:r>
      <w:r>
        <w:t>studies</w:t>
      </w:r>
      <w:r>
        <w:rPr>
          <w:spacing w:val="-7"/>
        </w:rPr>
        <w:t xml:space="preserve"> </w:t>
      </w:r>
      <w:r>
        <w:t>is</w:t>
      </w:r>
      <w:r>
        <w:rPr>
          <w:spacing w:val="-8"/>
        </w:rPr>
        <w:t xml:space="preserve"> </w:t>
      </w:r>
      <w:r>
        <w:t>discussed</w:t>
      </w:r>
      <w:r>
        <w:rPr>
          <w:spacing w:val="-8"/>
        </w:rPr>
        <w:t xml:space="preserve"> </w:t>
      </w:r>
      <w:r>
        <w:t>in</w:t>
      </w:r>
      <w:r>
        <w:rPr>
          <w:spacing w:val="-8"/>
        </w:rPr>
        <w:t xml:space="preserve"> </w:t>
      </w:r>
      <w:r>
        <w:t>the</w:t>
      </w:r>
      <w:r>
        <w:rPr>
          <w:spacing w:val="-8"/>
        </w:rPr>
        <w:t xml:space="preserve"> </w:t>
      </w:r>
      <w:r>
        <w:t>section</w:t>
      </w:r>
      <w:r>
        <w:rPr>
          <w:spacing w:val="-8"/>
        </w:rPr>
        <w:t xml:space="preserve"> </w:t>
      </w:r>
      <w:r>
        <w:t>Replicate</w:t>
      </w:r>
      <w:r>
        <w:rPr>
          <w:spacing w:val="-12"/>
        </w:rPr>
        <w:t xml:space="preserve"> </w:t>
      </w:r>
      <w:r>
        <w:t xml:space="preserve">Variance </w:t>
      </w:r>
      <w:r>
        <w:rPr>
          <w:spacing w:val="-2"/>
        </w:rPr>
        <w:t>Estimation.</w:t>
      </w:r>
    </w:p>
    <w:p w:rsidR="003F5784" w14:paraId="567BB210" w14:textId="77777777">
      <w:pPr>
        <w:pStyle w:val="BodyText"/>
        <w:spacing w:before="209" w:line="232" w:lineRule="auto"/>
        <w:ind w:left="109" w:right="67"/>
      </w:pPr>
      <w:r>
        <w:t>In general, the process of creating jackknife replicate weights takes place at both the school and student level.</w:t>
      </w:r>
      <w:r>
        <w:rPr>
          <w:spacing w:val="-1"/>
        </w:rPr>
        <w:t xml:space="preserve"> </w:t>
      </w:r>
      <w:r>
        <w:t>The precise implementation</w:t>
      </w:r>
      <w:r>
        <w:rPr>
          <w:spacing w:val="-8"/>
        </w:rPr>
        <w:t xml:space="preserve"> </w:t>
      </w:r>
      <w:r>
        <w:t>differs</w:t>
      </w:r>
      <w:r>
        <w:rPr>
          <w:spacing w:val="-8"/>
        </w:rPr>
        <w:t xml:space="preserve"> </w:t>
      </w:r>
      <w:r>
        <w:t>between</w:t>
      </w:r>
      <w:r>
        <w:rPr>
          <w:spacing w:val="-8"/>
        </w:rPr>
        <w:t xml:space="preserve"> </w:t>
      </w:r>
      <w:r>
        <w:t>those</w:t>
      </w:r>
      <w:r>
        <w:rPr>
          <w:spacing w:val="-8"/>
        </w:rPr>
        <w:t xml:space="preserve"> </w:t>
      </w:r>
      <w:r>
        <w:t>samples</w:t>
      </w:r>
      <w:r>
        <w:rPr>
          <w:spacing w:val="-8"/>
        </w:rPr>
        <w:t xml:space="preserve"> </w:t>
      </w:r>
      <w:r>
        <w:t>that</w:t>
      </w:r>
      <w:r>
        <w:rPr>
          <w:spacing w:val="-8"/>
        </w:rPr>
        <w:t xml:space="preserve"> </w:t>
      </w:r>
      <w:r>
        <w:t>involve</w:t>
      </w:r>
      <w:r>
        <w:rPr>
          <w:spacing w:val="-8"/>
        </w:rPr>
        <w:t xml:space="preserve"> </w:t>
      </w:r>
      <w:r>
        <w:t>the</w:t>
      </w:r>
      <w:r>
        <w:rPr>
          <w:spacing w:val="-8"/>
        </w:rPr>
        <w:t xml:space="preserve"> </w:t>
      </w:r>
      <w:r>
        <w:t>selection</w:t>
      </w:r>
      <w:r>
        <w:rPr>
          <w:spacing w:val="-8"/>
        </w:rPr>
        <w:t xml:space="preserve"> </w:t>
      </w:r>
      <w:r>
        <w:t>of</w:t>
      </w:r>
      <w:r>
        <w:rPr>
          <w:spacing w:val="-8"/>
        </w:rPr>
        <w:t xml:space="preserve"> </w:t>
      </w:r>
      <w:r>
        <w:t>Primary</w:t>
      </w:r>
      <w:r>
        <w:rPr>
          <w:spacing w:val="-8"/>
        </w:rPr>
        <w:t xml:space="preserve"> </w:t>
      </w:r>
      <w:r>
        <w:t>Sampling</w:t>
      </w:r>
      <w:r>
        <w:rPr>
          <w:spacing w:val="-8"/>
        </w:rPr>
        <w:t xml:space="preserve"> </w:t>
      </w:r>
      <w:r>
        <w:t>Units</w:t>
      </w:r>
      <w:r>
        <w:rPr>
          <w:spacing w:val="-8"/>
        </w:rPr>
        <w:t xml:space="preserve"> </w:t>
      </w:r>
      <w:r>
        <w:t>(PSUs)</w:t>
      </w:r>
      <w:r>
        <w:rPr>
          <w:spacing w:val="-8"/>
        </w:rPr>
        <w:t xml:space="preserve"> </w:t>
      </w:r>
      <w:r>
        <w:t>and</w:t>
      </w:r>
      <w:r>
        <w:rPr>
          <w:spacing w:val="-8"/>
        </w:rPr>
        <w:t xml:space="preserve"> </w:t>
      </w:r>
      <w:r>
        <w:t>those</w:t>
      </w:r>
      <w:r>
        <w:rPr>
          <w:spacing w:val="-8"/>
        </w:rPr>
        <w:t xml:space="preserve"> </w:t>
      </w:r>
      <w:r>
        <w:t>where the</w:t>
      </w:r>
      <w:r>
        <w:rPr>
          <w:spacing w:val="-3"/>
        </w:rPr>
        <w:t xml:space="preserve"> </w:t>
      </w:r>
      <w:r>
        <w:t>school</w:t>
      </w:r>
      <w:r>
        <w:rPr>
          <w:spacing w:val="-3"/>
        </w:rPr>
        <w:t xml:space="preserve"> </w:t>
      </w:r>
      <w:r>
        <w:t>is</w:t>
      </w:r>
      <w:r>
        <w:rPr>
          <w:spacing w:val="-3"/>
        </w:rPr>
        <w:t xml:space="preserve"> </w:t>
      </w:r>
      <w:r>
        <w:t>the</w:t>
      </w:r>
      <w:r>
        <w:rPr>
          <w:spacing w:val="-3"/>
        </w:rPr>
        <w:t xml:space="preserve"> </w:t>
      </w:r>
      <w:r>
        <w:t>first</w:t>
      </w:r>
      <w:r>
        <w:rPr>
          <w:spacing w:val="-3"/>
        </w:rPr>
        <w:t xml:space="preserve"> </w:t>
      </w:r>
      <w:r>
        <w:t>stage</w:t>
      </w:r>
      <w:r>
        <w:rPr>
          <w:spacing w:val="-3"/>
        </w:rPr>
        <w:t xml:space="preserve"> </w:t>
      </w:r>
      <w:r>
        <w:t>of</w:t>
      </w:r>
      <w:r>
        <w:rPr>
          <w:spacing w:val="-3"/>
        </w:rPr>
        <w:t xml:space="preserve"> </w:t>
      </w:r>
      <w:r>
        <w:t>sampling.</w:t>
      </w:r>
      <w:r>
        <w:rPr>
          <w:spacing w:val="-7"/>
        </w:rPr>
        <w:t xml:space="preserve"> </w:t>
      </w:r>
      <w:r>
        <w:t>The</w:t>
      </w:r>
      <w:r>
        <w:rPr>
          <w:spacing w:val="-3"/>
        </w:rPr>
        <w:t xml:space="preserve"> </w:t>
      </w:r>
      <w:r>
        <w:t>procedure</w:t>
      </w:r>
      <w:r>
        <w:rPr>
          <w:spacing w:val="-3"/>
        </w:rPr>
        <w:t xml:space="preserve"> </w:t>
      </w:r>
      <w:r>
        <w:t>for</w:t>
      </w:r>
      <w:r>
        <w:rPr>
          <w:spacing w:val="-3"/>
        </w:rPr>
        <w:t xml:space="preserve"> </w:t>
      </w:r>
      <w:r>
        <w:t>this</w:t>
      </w:r>
      <w:r>
        <w:rPr>
          <w:spacing w:val="-3"/>
        </w:rPr>
        <w:t xml:space="preserve"> </w:t>
      </w:r>
      <w:r>
        <w:t>second</w:t>
      </w:r>
      <w:r>
        <w:rPr>
          <w:spacing w:val="-3"/>
        </w:rPr>
        <w:t xml:space="preserve"> </w:t>
      </w:r>
      <w:r>
        <w:t>kind</w:t>
      </w:r>
      <w:r>
        <w:rPr>
          <w:spacing w:val="-3"/>
        </w:rPr>
        <w:t xml:space="preserve"> </w:t>
      </w:r>
      <w:r>
        <w:t>of</w:t>
      </w:r>
      <w:r>
        <w:rPr>
          <w:spacing w:val="-3"/>
        </w:rPr>
        <w:t xml:space="preserve"> </w:t>
      </w:r>
      <w:r>
        <w:t>sample</w:t>
      </w:r>
      <w:r>
        <w:rPr>
          <w:spacing w:val="-3"/>
        </w:rPr>
        <w:t xml:space="preserve"> </w:t>
      </w:r>
      <w:r>
        <w:t>also</w:t>
      </w:r>
      <w:r>
        <w:rPr>
          <w:spacing w:val="-3"/>
        </w:rPr>
        <w:t xml:space="preserve"> </w:t>
      </w:r>
      <w:r>
        <w:t>differed</w:t>
      </w:r>
      <w:r>
        <w:rPr>
          <w:spacing w:val="-3"/>
        </w:rPr>
        <w:t xml:space="preserve"> </w:t>
      </w:r>
      <w:r>
        <w:t>starting</w:t>
      </w:r>
      <w:r>
        <w:rPr>
          <w:spacing w:val="-3"/>
        </w:rPr>
        <w:t xml:space="preserve"> </w:t>
      </w:r>
      <w:r>
        <w:t>in</w:t>
      </w:r>
      <w:r>
        <w:rPr>
          <w:spacing w:val="-3"/>
        </w:rPr>
        <w:t xml:space="preserve"> </w:t>
      </w:r>
      <w:r>
        <w:t>2011</w:t>
      </w:r>
      <w:r>
        <w:rPr>
          <w:spacing w:val="-3"/>
        </w:rPr>
        <w:t xml:space="preserve"> </w:t>
      </w:r>
      <w:r>
        <w:t>from</w:t>
      </w:r>
      <w:r>
        <w:rPr>
          <w:spacing w:val="-3"/>
        </w:rPr>
        <w:t xml:space="preserve"> </w:t>
      </w:r>
      <w:r>
        <w:t>all</w:t>
      </w:r>
    </w:p>
    <w:p w:rsidR="003F5784" w14:paraId="626AED2C" w14:textId="77777777">
      <w:pPr>
        <w:pStyle w:val="BodyText"/>
        <w:spacing w:before="96" w:line="232" w:lineRule="auto"/>
        <w:ind w:left="109"/>
      </w:pPr>
      <w:r>
        <w:br w:type="column"/>
      </w:r>
      <w:r>
        <w:rPr>
          <w:spacing w:val="-2"/>
        </w:rPr>
        <w:t>Defining</w:t>
      </w:r>
      <w:r>
        <w:rPr>
          <w:spacing w:val="-9"/>
        </w:rPr>
        <w:t xml:space="preserve"> </w:t>
      </w:r>
      <w:r>
        <w:rPr>
          <w:spacing w:val="-2"/>
        </w:rPr>
        <w:t>Variance</w:t>
      </w:r>
      <w:r>
        <w:rPr>
          <w:spacing w:val="-5"/>
        </w:rPr>
        <w:t xml:space="preserve"> </w:t>
      </w:r>
      <w:r>
        <w:rPr>
          <w:spacing w:val="-2"/>
        </w:rPr>
        <w:t>Strata</w:t>
      </w:r>
      <w:r>
        <w:rPr>
          <w:spacing w:val="-5"/>
        </w:rPr>
        <w:t xml:space="preserve"> </w:t>
      </w:r>
      <w:r>
        <w:rPr>
          <w:spacing w:val="-2"/>
        </w:rPr>
        <w:t>and</w:t>
      </w:r>
      <w:r>
        <w:rPr>
          <w:spacing w:val="-5"/>
        </w:rPr>
        <w:t xml:space="preserve"> </w:t>
      </w:r>
      <w:r>
        <w:rPr>
          <w:spacing w:val="-2"/>
        </w:rPr>
        <w:t>Forming Replicates</w:t>
      </w:r>
    </w:p>
    <w:p w:rsidR="003F5784" w14:paraId="3B199743" w14:textId="77777777">
      <w:pPr>
        <w:pStyle w:val="BodyText"/>
        <w:spacing w:before="203"/>
        <w:ind w:left="109"/>
      </w:pPr>
      <w:r>
        <w:t>Computing</w:t>
      </w:r>
      <w:r>
        <w:rPr>
          <w:spacing w:val="-11"/>
        </w:rPr>
        <w:t xml:space="preserve"> </w:t>
      </w:r>
      <w:r>
        <w:t>School-Level</w:t>
      </w:r>
      <w:r>
        <w:rPr>
          <w:spacing w:val="-11"/>
        </w:rPr>
        <w:t xml:space="preserve"> </w:t>
      </w:r>
      <w:r>
        <w:t>Replicate</w:t>
      </w:r>
      <w:r>
        <w:rPr>
          <w:spacing w:val="-10"/>
        </w:rPr>
        <w:t xml:space="preserve"> </w:t>
      </w:r>
      <w:r>
        <w:rPr>
          <w:spacing w:val="-2"/>
        </w:rPr>
        <w:t>Factors</w:t>
      </w:r>
    </w:p>
    <w:p w:rsidR="003F5784" w14:paraId="5FCCBCDB" w14:textId="77777777">
      <w:pPr>
        <w:pStyle w:val="BodyText"/>
        <w:spacing w:before="208" w:line="232" w:lineRule="auto"/>
        <w:ind w:left="109" w:right="776"/>
      </w:pPr>
      <w:r>
        <w:rPr>
          <w:spacing w:val="-2"/>
        </w:rPr>
        <w:t>Computing Student-Level Replicate Factors</w:t>
      </w:r>
    </w:p>
    <w:p w:rsidR="003F5784" w14:paraId="4C75FD64" w14:textId="77777777">
      <w:pPr>
        <w:pStyle w:val="BodyText"/>
        <w:spacing w:before="203"/>
        <w:ind w:left="109"/>
      </w:pPr>
      <w:r>
        <w:rPr>
          <w:spacing w:val="-2"/>
        </w:rPr>
        <w:t>Replicate</w:t>
      </w:r>
      <w:r>
        <w:rPr>
          <w:spacing w:val="-8"/>
        </w:rPr>
        <w:t xml:space="preserve"> </w:t>
      </w:r>
      <w:r>
        <w:rPr>
          <w:spacing w:val="-2"/>
        </w:rPr>
        <w:t>Variance</w:t>
      </w:r>
      <w:r>
        <w:rPr>
          <w:spacing w:val="-4"/>
        </w:rPr>
        <w:t xml:space="preserve"> </w:t>
      </w:r>
      <w:r>
        <w:rPr>
          <w:spacing w:val="-2"/>
        </w:rPr>
        <w:t>Estimation</w:t>
      </w:r>
    </w:p>
    <w:p w:rsidR="003F5784" w14:paraId="6586CB61" w14:textId="77777777">
      <w:pPr>
        <w:sectPr>
          <w:type w:val="continuous"/>
          <w:pgSz w:w="15840" w:h="12240" w:orient="landscape"/>
          <w:pgMar w:top="480" w:right="440" w:bottom="460" w:left="460" w:header="284" w:footer="275" w:gutter="0"/>
          <w:cols w:num="2" w:space="720" w:equalWidth="0">
            <w:col w:w="10736" w:space="304"/>
            <w:col w:w="3900"/>
          </w:cols>
        </w:sectPr>
      </w:pPr>
    </w:p>
    <w:p w:rsidR="003F5784" w14:paraId="7F353136" w14:textId="77777777">
      <w:pPr>
        <w:pStyle w:val="BodyText"/>
        <w:spacing w:before="1" w:line="232" w:lineRule="auto"/>
        <w:ind w:left="109"/>
      </w:pPr>
      <w:r>
        <w:t>previous</w:t>
      </w:r>
      <w:r>
        <w:rPr>
          <w:spacing w:val="-2"/>
        </w:rPr>
        <w:t xml:space="preserve"> </w:t>
      </w:r>
      <w:r>
        <w:t>NAEP</w:t>
      </w:r>
      <w:r>
        <w:rPr>
          <w:spacing w:val="-10"/>
        </w:rPr>
        <w:t xml:space="preserve"> </w:t>
      </w:r>
      <w:r>
        <w:t>assessments.</w:t>
      </w:r>
      <w:r>
        <w:rPr>
          <w:spacing w:val="-6"/>
        </w:rPr>
        <w:t xml:space="preserve"> </w:t>
      </w:r>
      <w:r>
        <w:t>The</w:t>
      </w:r>
      <w:r>
        <w:rPr>
          <w:spacing w:val="-2"/>
        </w:rPr>
        <w:t xml:space="preserve"> </w:t>
      </w:r>
      <w:r>
        <w:t>change</w:t>
      </w:r>
      <w:r>
        <w:rPr>
          <w:spacing w:val="-2"/>
        </w:rPr>
        <w:t xml:space="preserve"> </w:t>
      </w:r>
      <w:r>
        <w:t>that</w:t>
      </w:r>
      <w:r>
        <w:rPr>
          <w:spacing w:val="-2"/>
        </w:rPr>
        <w:t xml:space="preserve"> </w:t>
      </w:r>
      <w:r>
        <w:t>was</w:t>
      </w:r>
      <w:r>
        <w:rPr>
          <w:spacing w:val="-2"/>
        </w:rPr>
        <w:t xml:space="preserve"> </w:t>
      </w:r>
      <w:r>
        <w:t>implemented</w:t>
      </w:r>
      <w:r>
        <w:rPr>
          <w:spacing w:val="-2"/>
        </w:rPr>
        <w:t xml:space="preserve"> </w:t>
      </w:r>
      <w:r>
        <w:t>permitted</w:t>
      </w:r>
      <w:r>
        <w:rPr>
          <w:spacing w:val="-2"/>
        </w:rPr>
        <w:t xml:space="preserve"> </w:t>
      </w:r>
      <w:r>
        <w:t>the</w:t>
      </w:r>
      <w:r>
        <w:rPr>
          <w:spacing w:val="-2"/>
        </w:rPr>
        <w:t xml:space="preserve"> </w:t>
      </w:r>
      <w:r>
        <w:t>introduction</w:t>
      </w:r>
      <w:r>
        <w:rPr>
          <w:spacing w:val="-2"/>
        </w:rPr>
        <w:t xml:space="preserve"> </w:t>
      </w:r>
      <w:r>
        <w:t>of</w:t>
      </w:r>
      <w:r>
        <w:rPr>
          <w:spacing w:val="-2"/>
        </w:rPr>
        <w:t xml:space="preserve"> </w:t>
      </w:r>
      <w:r>
        <w:t>a</w:t>
      </w:r>
      <w:r>
        <w:rPr>
          <w:spacing w:val="-2"/>
        </w:rPr>
        <w:t xml:space="preserve"> </w:t>
      </w:r>
      <w:r>
        <w:t>finite</w:t>
      </w:r>
      <w:r>
        <w:rPr>
          <w:spacing w:val="-2"/>
        </w:rPr>
        <w:t xml:space="preserve"> </w:t>
      </w:r>
      <w:r>
        <w:t>population</w:t>
      </w:r>
      <w:r>
        <w:rPr>
          <w:spacing w:val="-2"/>
        </w:rPr>
        <w:t xml:space="preserve"> </w:t>
      </w:r>
      <w:r>
        <w:t>correction</w:t>
      </w:r>
      <w:r>
        <w:rPr>
          <w:spacing w:val="-2"/>
        </w:rPr>
        <w:t xml:space="preserve"> </w:t>
      </w:r>
      <w:r>
        <w:t>factor</w:t>
      </w:r>
      <w:r>
        <w:rPr>
          <w:spacing w:val="-2"/>
        </w:rPr>
        <w:t xml:space="preserve"> </w:t>
      </w:r>
      <w:r>
        <w:t>at</w:t>
      </w:r>
      <w:r>
        <w:rPr>
          <w:spacing w:val="-2"/>
        </w:rPr>
        <w:t xml:space="preserve"> </w:t>
      </w:r>
      <w:r>
        <w:t>the</w:t>
      </w:r>
      <w:r>
        <w:rPr>
          <w:spacing w:val="-2"/>
        </w:rPr>
        <w:t xml:space="preserve"> </w:t>
      </w:r>
      <w:r>
        <w:t>school</w:t>
      </w:r>
      <w:r>
        <w:rPr>
          <w:spacing w:val="-2"/>
        </w:rPr>
        <w:t xml:space="preserve"> </w:t>
      </w:r>
      <w:r>
        <w:t>sampling</w:t>
      </w:r>
      <w:r>
        <w:rPr>
          <w:spacing w:val="-2"/>
        </w:rPr>
        <w:t xml:space="preserve"> </w:t>
      </w:r>
      <w:r>
        <w:t>stage,</w:t>
      </w:r>
      <w:r>
        <w:rPr>
          <w:spacing w:val="-2"/>
        </w:rPr>
        <w:t xml:space="preserve"> </w:t>
      </w:r>
      <w:r>
        <w:t>developed</w:t>
      </w:r>
      <w:r>
        <w:rPr>
          <w:spacing w:val="-2"/>
        </w:rPr>
        <w:t xml:space="preserve"> </w:t>
      </w:r>
      <w:r>
        <w:t xml:space="preserve">by </w:t>
      </w:r>
      <w:r>
        <w:rPr>
          <w:color w:val="0066CC"/>
        </w:rPr>
        <w:t>Rizzo</w:t>
      </w:r>
      <w:r>
        <w:rPr>
          <w:color w:val="0066CC"/>
          <w:spacing w:val="-6"/>
        </w:rPr>
        <w:t xml:space="preserve"> </w:t>
      </w:r>
      <w:r>
        <w:rPr>
          <w:color w:val="0066CC"/>
        </w:rPr>
        <w:t>and</w:t>
      </w:r>
      <w:r>
        <w:rPr>
          <w:color w:val="0066CC"/>
          <w:spacing w:val="-6"/>
        </w:rPr>
        <w:t xml:space="preserve"> </w:t>
      </w:r>
      <w:r>
        <w:rPr>
          <w:color w:val="0066CC"/>
        </w:rPr>
        <w:t>Rust</w:t>
      </w:r>
      <w:r>
        <w:rPr>
          <w:color w:val="0066CC"/>
          <w:spacing w:val="-6"/>
        </w:rPr>
        <w:t xml:space="preserve"> </w:t>
      </w:r>
      <w:r>
        <w:rPr>
          <w:color w:val="0066CC"/>
        </w:rPr>
        <w:t>(2011)</w:t>
      </w:r>
      <w:r>
        <w:t>.</w:t>
      </w:r>
      <w:r>
        <w:rPr>
          <w:spacing w:val="-6"/>
        </w:rPr>
        <w:t xml:space="preserve"> </w:t>
      </w:r>
      <w:r>
        <w:t>In</w:t>
      </w:r>
      <w:r>
        <w:rPr>
          <w:spacing w:val="-6"/>
        </w:rPr>
        <w:t xml:space="preserve"> </w:t>
      </w:r>
      <w:r>
        <w:t>assessments</w:t>
      </w:r>
      <w:r>
        <w:rPr>
          <w:spacing w:val="-6"/>
        </w:rPr>
        <w:t xml:space="preserve"> </w:t>
      </w:r>
      <w:r>
        <w:t>prior</w:t>
      </w:r>
      <w:r>
        <w:rPr>
          <w:spacing w:val="-6"/>
        </w:rPr>
        <w:t xml:space="preserve"> </w:t>
      </w:r>
      <w:r>
        <w:t>to</w:t>
      </w:r>
      <w:r>
        <w:rPr>
          <w:spacing w:val="-6"/>
        </w:rPr>
        <w:t xml:space="preserve"> </w:t>
      </w:r>
      <w:r>
        <w:t>2011,</w:t>
      </w:r>
      <w:r>
        <w:rPr>
          <w:spacing w:val="-6"/>
        </w:rPr>
        <w:t xml:space="preserve"> </w:t>
      </w:r>
      <w:r>
        <w:t>this</w:t>
      </w:r>
      <w:r>
        <w:rPr>
          <w:spacing w:val="-6"/>
        </w:rPr>
        <w:t xml:space="preserve"> </w:t>
      </w:r>
      <w:r>
        <w:t>adjustment</w:t>
      </w:r>
      <w:r>
        <w:rPr>
          <w:spacing w:val="-6"/>
        </w:rPr>
        <w:t xml:space="preserve"> </w:t>
      </w:r>
      <w:r>
        <w:t>factor</w:t>
      </w:r>
      <w:r>
        <w:rPr>
          <w:spacing w:val="-6"/>
        </w:rPr>
        <w:t xml:space="preserve"> </w:t>
      </w:r>
      <w:r>
        <w:t>has</w:t>
      </w:r>
      <w:r>
        <w:rPr>
          <w:spacing w:val="-6"/>
        </w:rPr>
        <w:t xml:space="preserve"> </w:t>
      </w:r>
      <w:r>
        <w:t>always</w:t>
      </w:r>
      <w:r>
        <w:rPr>
          <w:spacing w:val="-6"/>
        </w:rPr>
        <w:t xml:space="preserve"> </w:t>
      </w:r>
      <w:r>
        <w:t>been</w:t>
      </w:r>
      <w:r>
        <w:rPr>
          <w:spacing w:val="-6"/>
        </w:rPr>
        <w:t xml:space="preserve"> </w:t>
      </w:r>
      <w:r>
        <w:t>implicitly</w:t>
      </w:r>
      <w:r>
        <w:rPr>
          <w:spacing w:val="-6"/>
        </w:rPr>
        <w:t xml:space="preserve"> </w:t>
      </w:r>
      <w:r>
        <w:t>assumed</w:t>
      </w:r>
      <w:r>
        <w:rPr>
          <w:spacing w:val="-6"/>
        </w:rPr>
        <w:t xml:space="preserve"> </w:t>
      </w:r>
      <w:r>
        <w:t>equal</w:t>
      </w:r>
      <w:r>
        <w:rPr>
          <w:spacing w:val="-6"/>
        </w:rPr>
        <w:t xml:space="preserve"> </w:t>
      </w:r>
      <w:r>
        <w:t>to</w:t>
      </w:r>
      <w:r>
        <w:rPr>
          <w:spacing w:val="-6"/>
        </w:rPr>
        <w:t xml:space="preserve"> </w:t>
      </w:r>
      <w:r>
        <w:t>1.0,</w:t>
      </w:r>
      <w:r>
        <w:rPr>
          <w:spacing w:val="-6"/>
        </w:rPr>
        <w:t xml:space="preserve"> </w:t>
      </w:r>
      <w:r>
        <w:t>resulting</w:t>
      </w:r>
      <w:r>
        <w:rPr>
          <w:spacing w:val="-6"/>
        </w:rPr>
        <w:t xml:space="preserve"> </w:t>
      </w:r>
      <w:r>
        <w:t>in</w:t>
      </w:r>
      <w:r>
        <w:rPr>
          <w:spacing w:val="-6"/>
        </w:rPr>
        <w:t xml:space="preserve"> </w:t>
      </w:r>
      <w:r>
        <w:t>some</w:t>
      </w:r>
      <w:r>
        <w:rPr>
          <w:spacing w:val="-6"/>
        </w:rPr>
        <w:t xml:space="preserve"> </w:t>
      </w:r>
      <w:r>
        <w:t>overestimation</w:t>
      </w:r>
      <w:r>
        <w:rPr>
          <w:spacing w:val="-6"/>
        </w:rPr>
        <w:t xml:space="preserve"> </w:t>
      </w:r>
      <w:r>
        <w:t>of</w:t>
      </w:r>
      <w:r>
        <w:rPr>
          <w:spacing w:val="-6"/>
        </w:rPr>
        <w:t xml:space="preserve"> </w:t>
      </w:r>
      <w:r>
        <w:t>the</w:t>
      </w:r>
      <w:r>
        <w:rPr>
          <w:spacing w:val="-6"/>
        </w:rPr>
        <w:t xml:space="preserve"> </w:t>
      </w:r>
      <w:r>
        <w:t xml:space="preserve">sampling </w:t>
      </w:r>
      <w:r>
        <w:rPr>
          <w:spacing w:val="-2"/>
        </w:rPr>
        <w:t>variance.</w:t>
      </w:r>
    </w:p>
    <w:p w:rsidR="003F5784" w14:paraId="36ADD0D1" w14:textId="77777777">
      <w:pPr>
        <w:pStyle w:val="Heading2"/>
        <w:spacing w:before="204"/>
        <w:ind w:left="109"/>
      </w:pPr>
      <w:r>
        <w:t>PSU-Based</w:t>
      </w:r>
      <w:r>
        <w:rPr>
          <w:spacing w:val="-14"/>
        </w:rPr>
        <w:t xml:space="preserve"> </w:t>
      </w:r>
      <w:r>
        <w:t>(i.e.,</w:t>
      </w:r>
      <w:r>
        <w:rPr>
          <w:spacing w:val="-13"/>
        </w:rPr>
        <w:t xml:space="preserve"> </w:t>
      </w:r>
      <w:r>
        <w:t>Age-Based)</w:t>
      </w:r>
      <w:r>
        <w:rPr>
          <w:spacing w:val="-12"/>
        </w:rPr>
        <w:t xml:space="preserve"> </w:t>
      </w:r>
      <w:r>
        <w:rPr>
          <w:spacing w:val="-2"/>
        </w:rPr>
        <w:t>Samples</w:t>
      </w:r>
    </w:p>
    <w:p w:rsidR="003F5784" w14:paraId="4530A07E" w14:textId="77777777">
      <w:pPr>
        <w:sectPr>
          <w:type w:val="continuous"/>
          <w:pgSz w:w="15840" w:h="12240" w:orient="landscape"/>
          <w:pgMar w:top="480" w:right="440" w:bottom="460" w:left="460" w:header="284" w:footer="275" w:gutter="0"/>
          <w:cols w:space="720"/>
        </w:sectPr>
      </w:pPr>
    </w:p>
    <w:p w:rsidR="003F5784" w14:paraId="7589CEF2" w14:textId="77777777">
      <w:pPr>
        <w:pStyle w:val="BodyText"/>
        <w:spacing w:before="78" w:line="232" w:lineRule="auto"/>
        <w:ind w:left="109"/>
      </w:pPr>
      <w:r>
        <w:t>For</w:t>
      </w:r>
      <w:r>
        <w:rPr>
          <w:spacing w:val="-7"/>
        </w:rPr>
        <w:t xml:space="preserve"> </w:t>
      </w:r>
      <w:r>
        <w:t>the</w:t>
      </w:r>
      <w:r>
        <w:rPr>
          <w:spacing w:val="-7"/>
        </w:rPr>
        <w:t xml:space="preserve"> </w:t>
      </w:r>
      <w:r>
        <w:t>2022</w:t>
      </w:r>
      <w:r>
        <w:rPr>
          <w:spacing w:val="-7"/>
        </w:rPr>
        <w:t xml:space="preserve"> </w:t>
      </w:r>
      <w:r>
        <w:t>long-term</w:t>
      </w:r>
      <w:r>
        <w:rPr>
          <w:spacing w:val="-7"/>
        </w:rPr>
        <w:t xml:space="preserve"> </w:t>
      </w:r>
      <w:r>
        <w:t>trend</w:t>
      </w:r>
      <w:r>
        <w:rPr>
          <w:spacing w:val="-7"/>
        </w:rPr>
        <w:t xml:space="preserve"> </w:t>
      </w:r>
      <w:r>
        <w:t>(LTT)</w:t>
      </w:r>
      <w:r>
        <w:rPr>
          <w:spacing w:val="-7"/>
        </w:rPr>
        <w:t xml:space="preserve"> </w:t>
      </w:r>
      <w:r>
        <w:t>samples,</w:t>
      </w:r>
      <w:r>
        <w:rPr>
          <w:spacing w:val="-7"/>
        </w:rPr>
        <w:t xml:space="preserve"> </w:t>
      </w:r>
      <w:r>
        <w:t>which</w:t>
      </w:r>
      <w:r>
        <w:rPr>
          <w:spacing w:val="-7"/>
        </w:rPr>
        <w:t xml:space="preserve"> </w:t>
      </w:r>
      <w:r>
        <w:t>involve</w:t>
      </w:r>
      <w:r>
        <w:rPr>
          <w:spacing w:val="-7"/>
        </w:rPr>
        <w:t xml:space="preserve"> </w:t>
      </w:r>
      <w:r>
        <w:t>the</w:t>
      </w:r>
      <w:r>
        <w:rPr>
          <w:spacing w:val="-7"/>
        </w:rPr>
        <w:t xml:space="preserve"> </w:t>
      </w:r>
      <w:r>
        <w:t>selection</w:t>
      </w:r>
      <w:r>
        <w:rPr>
          <w:spacing w:val="-7"/>
        </w:rPr>
        <w:t xml:space="preserve"> </w:t>
      </w:r>
      <w:r>
        <w:t>of</w:t>
      </w:r>
      <w:r>
        <w:rPr>
          <w:spacing w:val="-7"/>
        </w:rPr>
        <w:t xml:space="preserve"> </w:t>
      </w:r>
      <w:r>
        <w:t>PSUs,</w:t>
      </w:r>
      <w:r>
        <w:rPr>
          <w:spacing w:val="-7"/>
        </w:rPr>
        <w:t xml:space="preserve"> </w:t>
      </w:r>
      <w:r>
        <w:t>the</w:t>
      </w:r>
      <w:r>
        <w:rPr>
          <w:spacing w:val="-7"/>
        </w:rPr>
        <w:t xml:space="preserve"> </w:t>
      </w:r>
      <w:r>
        <w:t>process</w:t>
      </w:r>
      <w:r>
        <w:rPr>
          <w:spacing w:val="-7"/>
        </w:rPr>
        <w:t xml:space="preserve"> </w:t>
      </w:r>
      <w:r>
        <w:t>for</w:t>
      </w:r>
      <w:r>
        <w:rPr>
          <w:spacing w:val="-7"/>
        </w:rPr>
        <w:t xml:space="preserve"> </w:t>
      </w:r>
      <w:r>
        <w:t>computing</w:t>
      </w:r>
      <w:r>
        <w:rPr>
          <w:spacing w:val="-7"/>
        </w:rPr>
        <w:t xml:space="preserve"> </w:t>
      </w:r>
      <w:r>
        <w:t>replicate</w:t>
      </w:r>
      <w:r>
        <w:rPr>
          <w:spacing w:val="-7"/>
        </w:rPr>
        <w:t xml:space="preserve"> </w:t>
      </w:r>
      <w:r>
        <w:t>student</w:t>
      </w:r>
      <w:r>
        <w:rPr>
          <w:spacing w:val="-7"/>
        </w:rPr>
        <w:t xml:space="preserve"> </w:t>
      </w:r>
      <w:r>
        <w:t>weights</w:t>
      </w:r>
      <w:r>
        <w:rPr>
          <w:spacing w:val="-7"/>
        </w:rPr>
        <w:t xml:space="preserve"> </w:t>
      </w:r>
      <w:r>
        <w:t>for</w:t>
      </w:r>
      <w:r>
        <w:rPr>
          <w:spacing w:val="-7"/>
        </w:rPr>
        <w:t xml:space="preserve"> </w:t>
      </w:r>
      <w:r>
        <w:t>variance</w:t>
      </w:r>
      <w:r>
        <w:rPr>
          <w:spacing w:val="-7"/>
        </w:rPr>
        <w:t xml:space="preserve"> </w:t>
      </w:r>
      <w:r>
        <w:t>estimation</w:t>
      </w:r>
      <w:r>
        <w:rPr>
          <w:spacing w:val="-7"/>
        </w:rPr>
        <w:t xml:space="preserve"> </w:t>
      </w:r>
      <w:r>
        <w:t>is</w:t>
      </w:r>
      <w:r>
        <w:rPr>
          <w:spacing w:val="-7"/>
        </w:rPr>
        <w:t xml:space="preserve"> </w:t>
      </w:r>
      <w:r>
        <w:t>very</w:t>
      </w:r>
      <w:r>
        <w:rPr>
          <w:spacing w:val="-7"/>
        </w:rPr>
        <w:t xml:space="preserve"> </w:t>
      </w:r>
      <w:r>
        <w:t>similar</w:t>
      </w:r>
      <w:r>
        <w:rPr>
          <w:spacing w:val="-7"/>
        </w:rPr>
        <w:t xml:space="preserve"> </w:t>
      </w:r>
      <w:r>
        <w:t>to the</w:t>
      </w:r>
      <w:r>
        <w:rPr>
          <w:spacing w:val="-5"/>
        </w:rPr>
        <w:t xml:space="preserve"> </w:t>
      </w:r>
      <w:r>
        <w:t>one</w:t>
      </w:r>
      <w:r>
        <w:rPr>
          <w:spacing w:val="-5"/>
        </w:rPr>
        <w:t xml:space="preserve"> </w:t>
      </w:r>
      <w:r>
        <w:t>that</w:t>
      </w:r>
      <w:r>
        <w:rPr>
          <w:spacing w:val="-5"/>
        </w:rPr>
        <w:t xml:space="preserve"> </w:t>
      </w:r>
      <w:r>
        <w:t>was</w:t>
      </w:r>
      <w:r>
        <w:rPr>
          <w:spacing w:val="-5"/>
        </w:rPr>
        <w:t xml:space="preserve"> </w:t>
      </w:r>
      <w:r>
        <w:t>used</w:t>
      </w:r>
      <w:r>
        <w:rPr>
          <w:spacing w:val="-5"/>
        </w:rPr>
        <w:t xml:space="preserve"> </w:t>
      </w:r>
      <w:r>
        <w:t>in</w:t>
      </w:r>
      <w:r>
        <w:rPr>
          <w:spacing w:val="-5"/>
        </w:rPr>
        <w:t xml:space="preserve"> </w:t>
      </w:r>
      <w:r>
        <w:t>2020.</w:t>
      </w:r>
      <w:r>
        <w:rPr>
          <w:spacing w:val="-8"/>
        </w:rPr>
        <w:t xml:space="preserve"> </w:t>
      </w:r>
      <w:r>
        <w:t>The</w:t>
      </w:r>
      <w:r>
        <w:rPr>
          <w:spacing w:val="-5"/>
        </w:rPr>
        <w:t xml:space="preserve"> </w:t>
      </w:r>
      <w:r>
        <w:t>same</w:t>
      </w:r>
      <w:r>
        <w:rPr>
          <w:spacing w:val="-5"/>
        </w:rPr>
        <w:t xml:space="preserve"> </w:t>
      </w:r>
      <w:r>
        <w:t>PSUs</w:t>
      </w:r>
      <w:r>
        <w:rPr>
          <w:spacing w:val="-5"/>
        </w:rPr>
        <w:t xml:space="preserve"> </w:t>
      </w:r>
      <w:r>
        <w:t>were</w:t>
      </w:r>
      <w:r>
        <w:rPr>
          <w:spacing w:val="-5"/>
        </w:rPr>
        <w:t xml:space="preserve"> </w:t>
      </w:r>
      <w:r>
        <w:t>sampled</w:t>
      </w:r>
      <w:r>
        <w:rPr>
          <w:spacing w:val="-5"/>
        </w:rPr>
        <w:t xml:space="preserve"> </w:t>
      </w:r>
      <w:r>
        <w:t>in</w:t>
      </w:r>
      <w:r>
        <w:rPr>
          <w:spacing w:val="-5"/>
        </w:rPr>
        <w:t xml:space="preserve"> </w:t>
      </w:r>
      <w:r>
        <w:t>2022</w:t>
      </w:r>
      <w:r>
        <w:rPr>
          <w:spacing w:val="-5"/>
        </w:rPr>
        <w:t xml:space="preserve"> </w:t>
      </w:r>
      <w:r>
        <w:t>and</w:t>
      </w:r>
      <w:r>
        <w:rPr>
          <w:spacing w:val="-5"/>
        </w:rPr>
        <w:t xml:space="preserve"> </w:t>
      </w:r>
      <w:r>
        <w:t>2020.</w:t>
      </w:r>
      <w:r>
        <w:rPr>
          <w:spacing w:val="-5"/>
        </w:rPr>
        <w:t xml:space="preserve"> </w:t>
      </w:r>
      <w:r>
        <w:t>In</w:t>
      </w:r>
      <w:r>
        <w:rPr>
          <w:spacing w:val="-5"/>
        </w:rPr>
        <w:t xml:space="preserve"> </w:t>
      </w:r>
      <w:r>
        <w:t>fact,</w:t>
      </w:r>
      <w:r>
        <w:rPr>
          <w:spacing w:val="-5"/>
        </w:rPr>
        <w:t xml:space="preserve"> </w:t>
      </w:r>
      <w:r>
        <w:t>any</w:t>
      </w:r>
      <w:r>
        <w:rPr>
          <w:spacing w:val="-5"/>
        </w:rPr>
        <w:t xml:space="preserve"> </w:t>
      </w:r>
      <w:r>
        <w:t>comparison</w:t>
      </w:r>
      <w:r>
        <w:rPr>
          <w:spacing w:val="-5"/>
        </w:rPr>
        <w:t xml:space="preserve"> </w:t>
      </w:r>
      <w:r>
        <w:t>of</w:t>
      </w:r>
      <w:r>
        <w:rPr>
          <w:spacing w:val="-5"/>
        </w:rPr>
        <w:t xml:space="preserve"> </w:t>
      </w:r>
      <w:r>
        <w:t>the</w:t>
      </w:r>
      <w:r>
        <w:rPr>
          <w:spacing w:val="-5"/>
        </w:rPr>
        <w:t xml:space="preserve"> </w:t>
      </w:r>
      <w:r>
        <w:t>2022</w:t>
      </w:r>
      <w:r>
        <w:rPr>
          <w:spacing w:val="-5"/>
        </w:rPr>
        <w:t xml:space="preserve"> </w:t>
      </w:r>
      <w:r>
        <w:t>and</w:t>
      </w:r>
      <w:r>
        <w:rPr>
          <w:spacing w:val="-5"/>
        </w:rPr>
        <w:t xml:space="preserve"> </w:t>
      </w:r>
      <w:r>
        <w:t>2020</w:t>
      </w:r>
      <w:r>
        <w:rPr>
          <w:spacing w:val="-5"/>
        </w:rPr>
        <w:t xml:space="preserve"> </w:t>
      </w:r>
      <w:r>
        <w:t>estimates</w:t>
      </w:r>
      <w:r>
        <w:rPr>
          <w:spacing w:val="-5"/>
        </w:rPr>
        <w:t xml:space="preserve"> </w:t>
      </w:r>
      <w:r>
        <w:t>is</w:t>
      </w:r>
      <w:r>
        <w:rPr>
          <w:spacing w:val="-5"/>
        </w:rPr>
        <w:t xml:space="preserve"> </w:t>
      </w:r>
      <w:r>
        <w:t>a</w:t>
      </w:r>
      <w:r>
        <w:rPr>
          <w:spacing w:val="-5"/>
        </w:rPr>
        <w:t xml:space="preserve"> </w:t>
      </w:r>
      <w:r>
        <w:t>comparison</w:t>
      </w:r>
      <w:r>
        <w:rPr>
          <w:spacing w:val="-5"/>
        </w:rPr>
        <w:t xml:space="preserve"> </w:t>
      </w:r>
      <w:r>
        <w:t>of</w:t>
      </w:r>
      <w:r>
        <w:rPr>
          <w:spacing w:val="-5"/>
        </w:rPr>
        <w:t xml:space="preserve"> </w:t>
      </w:r>
      <w:r>
        <w:t>the</w:t>
      </w:r>
      <w:r>
        <w:rPr>
          <w:spacing w:val="-5"/>
        </w:rPr>
        <w:t xml:space="preserve"> </w:t>
      </w:r>
      <w:r>
        <w:t>same</w:t>
      </w:r>
      <w:r>
        <w:rPr>
          <w:spacing w:val="-5"/>
        </w:rPr>
        <w:t xml:space="preserve"> </w:t>
      </w:r>
      <w:r>
        <w:t>schools,</w:t>
      </w:r>
      <w:r>
        <w:rPr>
          <w:spacing w:val="-5"/>
        </w:rPr>
        <w:t xml:space="preserve"> </w:t>
      </w:r>
      <w:r>
        <w:t>so each</w:t>
      </w:r>
      <w:r>
        <w:rPr>
          <w:spacing w:val="-1"/>
        </w:rPr>
        <w:t xml:space="preserve"> </w:t>
      </w:r>
      <w:r>
        <w:t>school</w:t>
      </w:r>
      <w:r>
        <w:rPr>
          <w:spacing w:val="-1"/>
        </w:rPr>
        <w:t xml:space="preserve"> </w:t>
      </w:r>
      <w:r>
        <w:t>must</w:t>
      </w:r>
      <w:r>
        <w:rPr>
          <w:spacing w:val="-1"/>
        </w:rPr>
        <w:t xml:space="preserve"> </w:t>
      </w:r>
      <w:r>
        <w:t>be</w:t>
      </w:r>
      <w:r>
        <w:rPr>
          <w:spacing w:val="-1"/>
        </w:rPr>
        <w:t xml:space="preserve"> </w:t>
      </w:r>
      <w:r>
        <w:t>in</w:t>
      </w:r>
      <w:r>
        <w:rPr>
          <w:spacing w:val="-1"/>
        </w:rPr>
        <w:t xml:space="preserve"> </w:t>
      </w:r>
      <w:r>
        <w:t>the</w:t>
      </w:r>
      <w:r>
        <w:rPr>
          <w:spacing w:val="-1"/>
        </w:rPr>
        <w:t xml:space="preserve"> </w:t>
      </w:r>
      <w:r>
        <w:t>same</w:t>
      </w:r>
      <w:r>
        <w:rPr>
          <w:spacing w:val="-1"/>
        </w:rPr>
        <w:t xml:space="preserve"> </w:t>
      </w:r>
      <w:r>
        <w:t>variance</w:t>
      </w:r>
      <w:r>
        <w:rPr>
          <w:spacing w:val="-1"/>
        </w:rPr>
        <w:t xml:space="preserve"> </w:t>
      </w:r>
      <w:r>
        <w:t>stratum</w:t>
      </w:r>
      <w:r>
        <w:rPr>
          <w:spacing w:val="-1"/>
        </w:rPr>
        <w:t xml:space="preserve"> </w:t>
      </w:r>
      <w:r>
        <w:t>and</w:t>
      </w:r>
      <w:r>
        <w:rPr>
          <w:spacing w:val="-1"/>
        </w:rPr>
        <w:t xml:space="preserve"> </w:t>
      </w:r>
      <w:r>
        <w:t>variance</w:t>
      </w:r>
      <w:r>
        <w:rPr>
          <w:spacing w:val="-1"/>
        </w:rPr>
        <w:t xml:space="preserve"> </w:t>
      </w:r>
      <w:r>
        <w:t>unit</w:t>
      </w:r>
      <w:r>
        <w:rPr>
          <w:spacing w:val="-1"/>
        </w:rPr>
        <w:t xml:space="preserve"> </w:t>
      </w:r>
      <w:r>
        <w:t>in</w:t>
      </w:r>
      <w:r>
        <w:rPr>
          <w:spacing w:val="-1"/>
        </w:rPr>
        <w:t xml:space="preserve"> </w:t>
      </w:r>
      <w:r>
        <w:t>the</w:t>
      </w:r>
      <w:r>
        <w:rPr>
          <w:spacing w:val="-1"/>
        </w:rPr>
        <w:t xml:space="preserve"> </w:t>
      </w:r>
      <w:r>
        <w:t>two</w:t>
      </w:r>
      <w:r>
        <w:rPr>
          <w:spacing w:val="-1"/>
        </w:rPr>
        <w:t xml:space="preserve"> </w:t>
      </w:r>
      <w:r>
        <w:t>years</w:t>
      </w:r>
      <w:r>
        <w:rPr>
          <w:spacing w:val="-1"/>
        </w:rPr>
        <w:t xml:space="preserve"> </w:t>
      </w:r>
      <w:r>
        <w:t>so</w:t>
      </w:r>
      <w:r>
        <w:rPr>
          <w:spacing w:val="-1"/>
        </w:rPr>
        <w:t xml:space="preserve"> </w:t>
      </w:r>
      <w:r>
        <w:t>that</w:t>
      </w:r>
      <w:r>
        <w:rPr>
          <w:spacing w:val="-1"/>
        </w:rPr>
        <w:t xml:space="preserve"> </w:t>
      </w:r>
      <w:r>
        <w:t>the</w:t>
      </w:r>
      <w:r>
        <w:rPr>
          <w:spacing w:val="-1"/>
        </w:rPr>
        <w:t xml:space="preserve"> </w:t>
      </w:r>
      <w:r>
        <w:t>jackknife</w:t>
      </w:r>
      <w:r>
        <w:rPr>
          <w:spacing w:val="-1"/>
        </w:rPr>
        <w:t xml:space="preserve"> </w:t>
      </w:r>
      <w:r>
        <w:t>variance</w:t>
      </w:r>
      <w:r>
        <w:rPr>
          <w:spacing w:val="-1"/>
        </w:rPr>
        <w:t xml:space="preserve"> </w:t>
      </w:r>
      <w:r>
        <w:t>estimation</w:t>
      </w:r>
      <w:r>
        <w:rPr>
          <w:spacing w:val="-1"/>
        </w:rPr>
        <w:t xml:space="preserve"> </w:t>
      </w:r>
      <w:r>
        <w:t>will</w:t>
      </w:r>
      <w:r>
        <w:rPr>
          <w:spacing w:val="-1"/>
        </w:rPr>
        <w:t xml:space="preserve"> </w:t>
      </w:r>
      <w:r>
        <w:t>correctly</w:t>
      </w:r>
      <w:r>
        <w:rPr>
          <w:spacing w:val="-1"/>
        </w:rPr>
        <w:t xml:space="preserve"> </w:t>
      </w:r>
      <w:r>
        <w:t>reflect</w:t>
      </w:r>
      <w:r>
        <w:rPr>
          <w:spacing w:val="-1"/>
        </w:rPr>
        <w:t xml:space="preserve"> </w:t>
      </w:r>
      <w:r>
        <w:t>this</w:t>
      </w:r>
      <w:r>
        <w:rPr>
          <w:spacing w:val="-1"/>
        </w:rPr>
        <w:t xml:space="preserve"> </w:t>
      </w:r>
      <w:r>
        <w:t>dependence.</w:t>
      </w:r>
      <w:r>
        <w:rPr>
          <w:spacing w:val="40"/>
        </w:rPr>
        <w:t xml:space="preserve"> </w:t>
      </w:r>
      <w:r>
        <w:t>To</w:t>
      </w:r>
      <w:r>
        <w:rPr>
          <w:spacing w:val="-1"/>
        </w:rPr>
        <w:t xml:space="preserve"> </w:t>
      </w:r>
      <w:r>
        <w:t>ensure that standard errors for trend would be calculated appropriately, each noncertainty PSU was assigned the same variance stratum and variance unit as in 2020. Likewise, in certainty PSUs, schools that were retained in 2022 from the 2020 sample were assigned the same variance stratum and variance unit as in 2020. For more information about computing replicate student weights for the LTT samples see here.</w:t>
      </w:r>
    </w:p>
    <w:p w:rsidR="003F5784" w14:paraId="42D51D90" w14:textId="77777777">
      <w:pPr>
        <w:pStyle w:val="Heading2"/>
        <w:spacing w:before="205"/>
        <w:ind w:left="109"/>
      </w:pPr>
      <w:r>
        <w:t>Grade-Based</w:t>
      </w:r>
      <w:r>
        <w:rPr>
          <w:spacing w:val="-13"/>
        </w:rPr>
        <w:t xml:space="preserve"> </w:t>
      </w:r>
      <w:r>
        <w:rPr>
          <w:spacing w:val="-2"/>
        </w:rPr>
        <w:t>Samples</w:t>
      </w:r>
    </w:p>
    <w:p w:rsidR="003F5784" w14:paraId="04DBFCB3" w14:textId="77777777">
      <w:pPr>
        <w:pStyle w:val="BodyText"/>
        <w:spacing w:before="195"/>
        <w:rPr>
          <w:b/>
        </w:rPr>
      </w:pPr>
    </w:p>
    <w:p w:rsidR="003F5784" w14:paraId="067A1B46" w14:textId="77777777">
      <w:pPr>
        <w:pStyle w:val="BodyText"/>
        <w:ind w:left="109"/>
      </w:pPr>
      <w:r>
        <w:t>The</w:t>
      </w:r>
      <w:r>
        <w:rPr>
          <w:spacing w:val="-7"/>
        </w:rPr>
        <w:t xml:space="preserve"> </w:t>
      </w:r>
      <w:r>
        <w:t>process</w:t>
      </w:r>
      <w:r>
        <w:rPr>
          <w:spacing w:val="-6"/>
        </w:rPr>
        <w:t xml:space="preserve"> </w:t>
      </w:r>
      <w:r>
        <w:t>for</w:t>
      </w:r>
      <w:r>
        <w:rPr>
          <w:spacing w:val="-6"/>
        </w:rPr>
        <w:t xml:space="preserve"> </w:t>
      </w:r>
      <w:r>
        <w:t>computing</w:t>
      </w:r>
      <w:r>
        <w:rPr>
          <w:spacing w:val="-6"/>
        </w:rPr>
        <w:t xml:space="preserve"> </w:t>
      </w:r>
      <w:r>
        <w:t>replicate</w:t>
      </w:r>
      <w:r>
        <w:rPr>
          <w:spacing w:val="-6"/>
        </w:rPr>
        <w:t xml:space="preserve"> </w:t>
      </w:r>
      <w:r>
        <w:t>student</w:t>
      </w:r>
      <w:r>
        <w:rPr>
          <w:spacing w:val="-7"/>
        </w:rPr>
        <w:t xml:space="preserve"> </w:t>
      </w:r>
      <w:r>
        <w:t>weights</w:t>
      </w:r>
      <w:r>
        <w:rPr>
          <w:spacing w:val="-6"/>
        </w:rPr>
        <w:t xml:space="preserve"> </w:t>
      </w:r>
      <w:r>
        <w:t>for</w:t>
      </w:r>
      <w:r>
        <w:rPr>
          <w:spacing w:val="-6"/>
        </w:rPr>
        <w:t xml:space="preserve"> </w:t>
      </w:r>
      <w:r>
        <w:t>variance</w:t>
      </w:r>
      <w:r>
        <w:rPr>
          <w:spacing w:val="-6"/>
        </w:rPr>
        <w:t xml:space="preserve"> </w:t>
      </w:r>
      <w:r>
        <w:t>estimation</w:t>
      </w:r>
      <w:r>
        <w:rPr>
          <w:spacing w:val="-6"/>
        </w:rPr>
        <w:t xml:space="preserve"> </w:t>
      </w:r>
      <w:r>
        <w:t>for</w:t>
      </w:r>
      <w:r>
        <w:rPr>
          <w:spacing w:val="-7"/>
        </w:rPr>
        <w:t xml:space="preserve"> </w:t>
      </w:r>
      <w:r>
        <w:t>the</w:t>
      </w:r>
      <w:r>
        <w:rPr>
          <w:spacing w:val="-6"/>
        </w:rPr>
        <w:t xml:space="preserve"> </w:t>
      </w:r>
      <w:r>
        <w:t>2022</w:t>
      </w:r>
      <w:r>
        <w:rPr>
          <w:spacing w:val="-6"/>
        </w:rPr>
        <w:t xml:space="preserve"> </w:t>
      </w:r>
      <w:r>
        <w:t>grade-based</w:t>
      </w:r>
      <w:r>
        <w:rPr>
          <w:spacing w:val="-6"/>
        </w:rPr>
        <w:t xml:space="preserve"> </w:t>
      </w:r>
      <w:r>
        <w:t>samples</w:t>
      </w:r>
      <w:r>
        <w:rPr>
          <w:spacing w:val="-6"/>
        </w:rPr>
        <w:t xml:space="preserve"> </w:t>
      </w:r>
      <w:r>
        <w:t>is</w:t>
      </w:r>
      <w:r>
        <w:rPr>
          <w:spacing w:val="-7"/>
        </w:rPr>
        <w:t xml:space="preserve"> </w:t>
      </w:r>
      <w:r>
        <w:t>as</w:t>
      </w:r>
      <w:r>
        <w:rPr>
          <w:spacing w:val="-6"/>
        </w:rPr>
        <w:t xml:space="preserve"> </w:t>
      </w:r>
      <w:r>
        <w:rPr>
          <w:spacing w:val="-2"/>
        </w:rPr>
        <w:t>follows:</w:t>
      </w:r>
    </w:p>
    <w:p w:rsidR="003F5784" w14:paraId="15750168" w14:textId="77777777">
      <w:pPr>
        <w:pStyle w:val="BodyText"/>
        <w:spacing w:before="207" w:line="232" w:lineRule="auto"/>
        <w:ind w:left="109" w:right="179"/>
      </w:pPr>
      <w:r>
        <w:t>For each sample, the calculation of replicate weighting factors at the school level was conducted in a series of steps. First, each school was assigned to one of 62 variance estimation strata.</w:t>
      </w:r>
      <w:r>
        <w:rPr>
          <w:spacing w:val="-3"/>
        </w:rPr>
        <w:t xml:space="preserve"> </w:t>
      </w:r>
      <w:r>
        <w:t>Then, a random subset of schools in each variance estimation stratum was assigned a replicate factor of between 0 and 1. Next, the remaining subset of schools</w:t>
      </w:r>
      <w:r>
        <w:rPr>
          <w:spacing w:val="-8"/>
        </w:rPr>
        <w:t xml:space="preserve"> </w:t>
      </w:r>
      <w:r>
        <w:t>in</w:t>
      </w:r>
      <w:r>
        <w:rPr>
          <w:spacing w:val="-6"/>
        </w:rPr>
        <w:t xml:space="preserve"> </w:t>
      </w:r>
      <w:r>
        <w:t>the</w:t>
      </w:r>
      <w:r>
        <w:rPr>
          <w:spacing w:val="-6"/>
        </w:rPr>
        <w:t xml:space="preserve"> </w:t>
      </w:r>
      <w:r>
        <w:t>same</w:t>
      </w:r>
      <w:r>
        <w:rPr>
          <w:spacing w:val="-6"/>
        </w:rPr>
        <w:t xml:space="preserve"> </w:t>
      </w:r>
      <w:r>
        <w:t>variance</w:t>
      </w:r>
      <w:r>
        <w:rPr>
          <w:spacing w:val="-6"/>
        </w:rPr>
        <w:t xml:space="preserve"> </w:t>
      </w:r>
      <w:r>
        <w:t>stratum</w:t>
      </w:r>
      <w:r>
        <w:rPr>
          <w:spacing w:val="-6"/>
        </w:rPr>
        <w:t xml:space="preserve"> </w:t>
      </w:r>
      <w:r>
        <w:t>was</w:t>
      </w:r>
      <w:r>
        <w:rPr>
          <w:spacing w:val="-6"/>
        </w:rPr>
        <w:t xml:space="preserve"> </w:t>
      </w:r>
      <w:r>
        <w:t>assigned</w:t>
      </w:r>
      <w:r>
        <w:rPr>
          <w:spacing w:val="-6"/>
        </w:rPr>
        <w:t xml:space="preserve"> </w:t>
      </w:r>
      <w:r>
        <w:t>a</w:t>
      </w:r>
      <w:r>
        <w:rPr>
          <w:spacing w:val="-6"/>
        </w:rPr>
        <w:t xml:space="preserve"> </w:t>
      </w:r>
      <w:r>
        <w:t>complementary</w:t>
      </w:r>
      <w:r>
        <w:rPr>
          <w:spacing w:val="-6"/>
        </w:rPr>
        <w:t xml:space="preserve"> </w:t>
      </w:r>
      <w:r>
        <w:t>replicate</w:t>
      </w:r>
      <w:r>
        <w:rPr>
          <w:spacing w:val="-6"/>
        </w:rPr>
        <w:t xml:space="preserve"> </w:t>
      </w:r>
      <w:r>
        <w:t>factor</w:t>
      </w:r>
      <w:r>
        <w:rPr>
          <w:spacing w:val="-6"/>
        </w:rPr>
        <w:t xml:space="preserve"> </w:t>
      </w:r>
      <w:r>
        <w:t>greater</w:t>
      </w:r>
      <w:r>
        <w:rPr>
          <w:spacing w:val="-6"/>
        </w:rPr>
        <w:t xml:space="preserve"> </w:t>
      </w:r>
      <w:r>
        <w:t>than</w:t>
      </w:r>
      <w:r>
        <w:rPr>
          <w:spacing w:val="-6"/>
        </w:rPr>
        <w:t xml:space="preserve"> </w:t>
      </w:r>
      <w:r>
        <w:t>1.</w:t>
      </w:r>
      <w:r>
        <w:rPr>
          <w:spacing w:val="-14"/>
        </w:rPr>
        <w:t xml:space="preserve"> </w:t>
      </w:r>
      <w:r>
        <w:t>All</w:t>
      </w:r>
      <w:r>
        <w:rPr>
          <w:spacing w:val="-5"/>
        </w:rPr>
        <w:t xml:space="preserve"> </w:t>
      </w:r>
      <w:r>
        <w:t>schools</w:t>
      </w:r>
      <w:r>
        <w:rPr>
          <w:spacing w:val="-6"/>
        </w:rPr>
        <w:t xml:space="preserve"> </w:t>
      </w:r>
      <w:r>
        <w:t>in</w:t>
      </w:r>
      <w:r>
        <w:rPr>
          <w:spacing w:val="-6"/>
        </w:rPr>
        <w:t xml:space="preserve"> </w:t>
      </w:r>
      <w:r>
        <w:t>the</w:t>
      </w:r>
      <w:r>
        <w:rPr>
          <w:spacing w:val="-6"/>
        </w:rPr>
        <w:t xml:space="preserve"> </w:t>
      </w:r>
      <w:r>
        <w:t>other</w:t>
      </w:r>
      <w:r>
        <w:rPr>
          <w:spacing w:val="-6"/>
        </w:rPr>
        <w:t xml:space="preserve"> </w:t>
      </w:r>
      <w:r>
        <w:t>variance</w:t>
      </w:r>
      <w:r>
        <w:rPr>
          <w:spacing w:val="-6"/>
        </w:rPr>
        <w:t xml:space="preserve"> </w:t>
      </w:r>
      <w:r>
        <w:t>estimation</w:t>
      </w:r>
      <w:r>
        <w:rPr>
          <w:spacing w:val="-6"/>
        </w:rPr>
        <w:t xml:space="preserve"> </w:t>
      </w:r>
      <w:r>
        <w:t>strata</w:t>
      </w:r>
      <w:r>
        <w:rPr>
          <w:spacing w:val="-6"/>
        </w:rPr>
        <w:t xml:space="preserve"> </w:t>
      </w:r>
      <w:r>
        <w:t>were</w:t>
      </w:r>
      <w:r>
        <w:rPr>
          <w:spacing w:val="-6"/>
        </w:rPr>
        <w:t xml:space="preserve"> </w:t>
      </w:r>
      <w:r>
        <w:t>assigned</w:t>
      </w:r>
      <w:r>
        <w:rPr>
          <w:spacing w:val="-6"/>
        </w:rPr>
        <w:t xml:space="preserve"> </w:t>
      </w:r>
      <w:r>
        <w:t>a</w:t>
      </w:r>
      <w:r>
        <w:rPr>
          <w:spacing w:val="-6"/>
        </w:rPr>
        <w:t xml:space="preserve"> </w:t>
      </w:r>
      <w:r>
        <w:t>replicate factor of exactly 1.</w:t>
      </w:r>
      <w:r>
        <w:rPr>
          <w:spacing w:val="-3"/>
        </w:rPr>
        <w:t xml:space="preserve"> </w:t>
      </w:r>
      <w:r>
        <w:t>This process was repeated for each of the 62 variance estimation strata so that 62 distinct replicate factors were assigned to each school in the sample.</w:t>
      </w:r>
    </w:p>
    <w:p w:rsidR="003F5784" w14:paraId="44C3B65E" w14:textId="77777777">
      <w:pPr>
        <w:pStyle w:val="BodyText"/>
        <w:spacing w:before="210" w:line="232" w:lineRule="auto"/>
        <w:ind w:left="109" w:right="179"/>
      </w:pPr>
      <w:r>
        <w:t>This</w:t>
      </w:r>
      <w:r>
        <w:rPr>
          <w:spacing w:val="-6"/>
        </w:rPr>
        <w:t xml:space="preserve"> </w:t>
      </w:r>
      <w:r>
        <w:t>process</w:t>
      </w:r>
      <w:r>
        <w:rPr>
          <w:spacing w:val="-6"/>
        </w:rPr>
        <w:t xml:space="preserve"> </w:t>
      </w:r>
      <w:r>
        <w:t>was</w:t>
      </w:r>
      <w:r>
        <w:rPr>
          <w:spacing w:val="-6"/>
        </w:rPr>
        <w:t xml:space="preserve"> </w:t>
      </w:r>
      <w:r>
        <w:t>then</w:t>
      </w:r>
      <w:r>
        <w:rPr>
          <w:spacing w:val="-6"/>
        </w:rPr>
        <w:t xml:space="preserve"> </w:t>
      </w:r>
      <w:r>
        <w:t>repeated</w:t>
      </w:r>
      <w:r>
        <w:rPr>
          <w:spacing w:val="-6"/>
        </w:rPr>
        <w:t xml:space="preserve"> </w:t>
      </w:r>
      <w:r>
        <w:t>at</w:t>
      </w:r>
      <w:r>
        <w:rPr>
          <w:spacing w:val="-6"/>
        </w:rPr>
        <w:t xml:space="preserve"> </w:t>
      </w:r>
      <w:r>
        <w:t>the</w:t>
      </w:r>
      <w:r>
        <w:rPr>
          <w:spacing w:val="-6"/>
        </w:rPr>
        <w:t xml:space="preserve"> </w:t>
      </w:r>
      <w:r>
        <w:t>student</w:t>
      </w:r>
      <w:r>
        <w:rPr>
          <w:spacing w:val="-6"/>
        </w:rPr>
        <w:t xml:space="preserve"> </w:t>
      </w:r>
      <w:r>
        <w:t>level.</w:t>
      </w:r>
      <w:r>
        <w:rPr>
          <w:spacing w:val="-6"/>
        </w:rPr>
        <w:t xml:space="preserve"> </w:t>
      </w:r>
      <w:r>
        <w:t>Here,</w:t>
      </w:r>
      <w:r>
        <w:rPr>
          <w:spacing w:val="-6"/>
        </w:rPr>
        <w:t xml:space="preserve"> </w:t>
      </w:r>
      <w:r>
        <w:t>each</w:t>
      </w:r>
      <w:r>
        <w:rPr>
          <w:spacing w:val="-6"/>
        </w:rPr>
        <w:t xml:space="preserve"> </w:t>
      </w:r>
      <w:r>
        <w:t>individual</w:t>
      </w:r>
      <w:r>
        <w:rPr>
          <w:spacing w:val="-6"/>
        </w:rPr>
        <w:t xml:space="preserve"> </w:t>
      </w:r>
      <w:r>
        <w:t>sampled</w:t>
      </w:r>
      <w:r>
        <w:rPr>
          <w:spacing w:val="-6"/>
        </w:rPr>
        <w:t xml:space="preserve"> </w:t>
      </w:r>
      <w:r>
        <w:t>student</w:t>
      </w:r>
      <w:r>
        <w:rPr>
          <w:spacing w:val="-6"/>
        </w:rPr>
        <w:t xml:space="preserve"> </w:t>
      </w:r>
      <w:r>
        <w:t>was</w:t>
      </w:r>
      <w:r>
        <w:rPr>
          <w:spacing w:val="-6"/>
        </w:rPr>
        <w:t xml:space="preserve"> </w:t>
      </w:r>
      <w:r>
        <w:t>assigned</w:t>
      </w:r>
      <w:r>
        <w:rPr>
          <w:spacing w:val="-6"/>
        </w:rPr>
        <w:t xml:space="preserve"> </w:t>
      </w:r>
      <w:r>
        <w:t>to</w:t>
      </w:r>
      <w:r>
        <w:rPr>
          <w:spacing w:val="-6"/>
        </w:rPr>
        <w:t xml:space="preserve"> </w:t>
      </w:r>
      <w:r>
        <w:t>one</w:t>
      </w:r>
      <w:r>
        <w:rPr>
          <w:spacing w:val="-6"/>
        </w:rPr>
        <w:t xml:space="preserve"> </w:t>
      </w:r>
      <w:r>
        <w:t>of</w:t>
      </w:r>
      <w:r>
        <w:rPr>
          <w:spacing w:val="-6"/>
        </w:rPr>
        <w:t xml:space="preserve"> </w:t>
      </w:r>
      <w:r>
        <w:t>62</w:t>
      </w:r>
      <w:r>
        <w:rPr>
          <w:spacing w:val="-6"/>
        </w:rPr>
        <w:t xml:space="preserve"> </w:t>
      </w:r>
      <w:r>
        <w:t>variance</w:t>
      </w:r>
      <w:r>
        <w:rPr>
          <w:spacing w:val="-6"/>
        </w:rPr>
        <w:t xml:space="preserve"> </w:t>
      </w:r>
      <w:r>
        <w:t>estimation</w:t>
      </w:r>
      <w:r>
        <w:rPr>
          <w:spacing w:val="-6"/>
        </w:rPr>
        <w:t xml:space="preserve"> </w:t>
      </w:r>
      <w:r>
        <w:t>strata,</w:t>
      </w:r>
      <w:r>
        <w:rPr>
          <w:spacing w:val="-6"/>
        </w:rPr>
        <w:t xml:space="preserve"> </w:t>
      </w:r>
      <w:r>
        <w:t>and</w:t>
      </w:r>
      <w:r>
        <w:rPr>
          <w:spacing w:val="-6"/>
        </w:rPr>
        <w:t xml:space="preserve"> </w:t>
      </w:r>
      <w:r>
        <w:t>62</w:t>
      </w:r>
      <w:r>
        <w:rPr>
          <w:spacing w:val="-6"/>
        </w:rPr>
        <w:t xml:space="preserve"> </w:t>
      </w:r>
      <w:r>
        <w:t>replicate</w:t>
      </w:r>
      <w:r>
        <w:rPr>
          <w:spacing w:val="-6"/>
        </w:rPr>
        <w:t xml:space="preserve"> </w:t>
      </w:r>
      <w:r>
        <w:t>factors</w:t>
      </w:r>
      <w:r>
        <w:rPr>
          <w:spacing w:val="-6"/>
        </w:rPr>
        <w:t xml:space="preserve"> </w:t>
      </w:r>
      <w:r>
        <w:t>with values either between 0 and 1, greater than 1, or exactly equal to 1 were assigned to each student.</w:t>
      </w:r>
    </w:p>
    <w:p w:rsidR="003F5784" w14:paraId="233807D8" w14:textId="77777777">
      <w:pPr>
        <w:pStyle w:val="BodyText"/>
        <w:spacing w:before="209" w:line="232" w:lineRule="auto"/>
        <w:ind w:left="109" w:right="179"/>
      </w:pPr>
      <w:r>
        <w:t>For</w:t>
      </w:r>
      <w:r>
        <w:rPr>
          <w:spacing w:val="-6"/>
        </w:rPr>
        <w:t xml:space="preserve"> </w:t>
      </w:r>
      <w:r>
        <w:t>example,</w:t>
      </w:r>
      <w:r>
        <w:rPr>
          <w:spacing w:val="-6"/>
        </w:rPr>
        <w:t xml:space="preserve"> </w:t>
      </w:r>
      <w:r>
        <w:t>consider</w:t>
      </w:r>
      <w:r>
        <w:rPr>
          <w:spacing w:val="-6"/>
        </w:rPr>
        <w:t xml:space="preserve"> </w:t>
      </w:r>
      <w:r>
        <w:t>a</w:t>
      </w:r>
      <w:r>
        <w:rPr>
          <w:spacing w:val="-6"/>
        </w:rPr>
        <w:t xml:space="preserve"> </w:t>
      </w:r>
      <w:r>
        <w:t>single</w:t>
      </w:r>
      <w:r>
        <w:rPr>
          <w:spacing w:val="-6"/>
        </w:rPr>
        <w:t xml:space="preserve"> </w:t>
      </w:r>
      <w:r>
        <w:t>hypothetical</w:t>
      </w:r>
      <w:r>
        <w:rPr>
          <w:spacing w:val="-6"/>
        </w:rPr>
        <w:t xml:space="preserve"> </w:t>
      </w:r>
      <w:r>
        <w:t>student.</w:t>
      </w:r>
      <w:r>
        <w:rPr>
          <w:spacing w:val="-6"/>
        </w:rPr>
        <w:t xml:space="preserve"> </w:t>
      </w:r>
      <w:r>
        <w:t>For</w:t>
      </w:r>
      <w:r>
        <w:rPr>
          <w:spacing w:val="-6"/>
        </w:rPr>
        <w:t xml:space="preserve"> </w:t>
      </w:r>
      <w:r>
        <w:t>replicate</w:t>
      </w:r>
      <w:r>
        <w:rPr>
          <w:spacing w:val="-6"/>
        </w:rPr>
        <w:t xml:space="preserve"> </w:t>
      </w:r>
      <w:r>
        <w:t>37,</w:t>
      </w:r>
      <w:r>
        <w:rPr>
          <w:spacing w:val="-6"/>
        </w:rPr>
        <w:t xml:space="preserve"> </w:t>
      </w:r>
      <w:r>
        <w:t>that</w:t>
      </w:r>
      <w:r>
        <w:rPr>
          <w:spacing w:val="-6"/>
        </w:rPr>
        <w:t xml:space="preserve"> </w:t>
      </w:r>
      <w:r>
        <w:t>student’s</w:t>
      </w:r>
      <w:r>
        <w:rPr>
          <w:spacing w:val="-6"/>
        </w:rPr>
        <w:t xml:space="preserve"> </w:t>
      </w:r>
      <w:r>
        <w:t>student</w:t>
      </w:r>
      <w:r>
        <w:rPr>
          <w:spacing w:val="-6"/>
        </w:rPr>
        <w:t xml:space="preserve"> </w:t>
      </w:r>
      <w:r>
        <w:t>replicate</w:t>
      </w:r>
      <w:r>
        <w:rPr>
          <w:spacing w:val="-6"/>
        </w:rPr>
        <w:t xml:space="preserve"> </w:t>
      </w:r>
      <w:r>
        <w:t>factor</w:t>
      </w:r>
      <w:r>
        <w:rPr>
          <w:spacing w:val="-6"/>
        </w:rPr>
        <w:t xml:space="preserve"> </w:t>
      </w:r>
      <w:r>
        <w:t>might</w:t>
      </w:r>
      <w:r>
        <w:rPr>
          <w:spacing w:val="-6"/>
        </w:rPr>
        <w:t xml:space="preserve"> </w:t>
      </w:r>
      <w:r>
        <w:t>be</w:t>
      </w:r>
      <w:r>
        <w:rPr>
          <w:spacing w:val="-6"/>
        </w:rPr>
        <w:t xml:space="preserve"> </w:t>
      </w:r>
      <w:r>
        <w:t>0.8,</w:t>
      </w:r>
      <w:r>
        <w:rPr>
          <w:spacing w:val="-6"/>
        </w:rPr>
        <w:t xml:space="preserve"> </w:t>
      </w:r>
      <w:r>
        <w:t>while</w:t>
      </w:r>
      <w:r>
        <w:rPr>
          <w:spacing w:val="-6"/>
        </w:rPr>
        <w:t xml:space="preserve"> </w:t>
      </w:r>
      <w:r>
        <w:t>for</w:t>
      </w:r>
      <w:r>
        <w:rPr>
          <w:spacing w:val="-6"/>
        </w:rPr>
        <w:t xml:space="preserve"> </w:t>
      </w:r>
      <w:r>
        <w:t>the</w:t>
      </w:r>
      <w:r>
        <w:rPr>
          <w:spacing w:val="-6"/>
        </w:rPr>
        <w:t xml:space="preserve"> </w:t>
      </w:r>
      <w:r>
        <w:t>school</w:t>
      </w:r>
      <w:r>
        <w:rPr>
          <w:spacing w:val="-6"/>
        </w:rPr>
        <w:t xml:space="preserve"> </w:t>
      </w:r>
      <w:r>
        <w:t>to</w:t>
      </w:r>
      <w:r>
        <w:rPr>
          <w:spacing w:val="-6"/>
        </w:rPr>
        <w:t xml:space="preserve"> </w:t>
      </w:r>
      <w:r>
        <w:t>which</w:t>
      </w:r>
      <w:r>
        <w:rPr>
          <w:spacing w:val="-6"/>
        </w:rPr>
        <w:t xml:space="preserve"> </w:t>
      </w:r>
      <w:r>
        <w:t>the</w:t>
      </w:r>
      <w:r>
        <w:rPr>
          <w:spacing w:val="-6"/>
        </w:rPr>
        <w:t xml:space="preserve"> </w:t>
      </w:r>
      <w:r>
        <w:t>student</w:t>
      </w:r>
      <w:r>
        <w:rPr>
          <w:spacing w:val="-6"/>
        </w:rPr>
        <w:t xml:space="preserve"> </w:t>
      </w:r>
      <w:r>
        <w:t>belongs,</w:t>
      </w:r>
      <w:r>
        <w:rPr>
          <w:spacing w:val="-6"/>
        </w:rPr>
        <w:t xml:space="preserve"> </w:t>
      </w:r>
      <w:r>
        <w:t>for replicate 37, the school replicate factor might be 1.6. Of course, for a given student, for most replicates, either the student replicate factor, the school replicate factor, or (usually) both, is equal to 1.0.</w:t>
      </w:r>
    </w:p>
    <w:p w:rsidR="003F5784" w14:paraId="3791BF30" w14:textId="77777777">
      <w:pPr>
        <w:pStyle w:val="BodyText"/>
        <w:spacing w:before="210" w:line="232" w:lineRule="auto"/>
        <w:ind w:left="109" w:right="179"/>
      </w:pPr>
      <w:r>
        <w:t>A</w:t>
      </w:r>
      <w:r>
        <w:rPr>
          <w:spacing w:val="-14"/>
        </w:rPr>
        <w:t xml:space="preserve"> </w:t>
      </w:r>
      <w:r>
        <w:t>replicate</w:t>
      </w:r>
      <w:r>
        <w:rPr>
          <w:spacing w:val="-7"/>
        </w:rPr>
        <w:t xml:space="preserve"> </w:t>
      </w:r>
      <w:r>
        <w:t>weight</w:t>
      </w:r>
      <w:r>
        <w:rPr>
          <w:spacing w:val="-6"/>
        </w:rPr>
        <w:t xml:space="preserve"> </w:t>
      </w:r>
      <w:r>
        <w:t>was</w:t>
      </w:r>
      <w:r>
        <w:rPr>
          <w:spacing w:val="-6"/>
        </w:rPr>
        <w:t xml:space="preserve"> </w:t>
      </w:r>
      <w:r>
        <w:t>calculated</w:t>
      </w:r>
      <w:r>
        <w:rPr>
          <w:spacing w:val="-6"/>
        </w:rPr>
        <w:t xml:space="preserve"> </w:t>
      </w:r>
      <w:r>
        <w:t>for</w:t>
      </w:r>
      <w:r>
        <w:rPr>
          <w:spacing w:val="-6"/>
        </w:rPr>
        <w:t xml:space="preserve"> </w:t>
      </w:r>
      <w:r>
        <w:t>each</w:t>
      </w:r>
      <w:r>
        <w:rPr>
          <w:spacing w:val="-6"/>
        </w:rPr>
        <w:t xml:space="preserve"> </w:t>
      </w:r>
      <w:r>
        <w:t>student,</w:t>
      </w:r>
      <w:r>
        <w:rPr>
          <w:spacing w:val="-6"/>
        </w:rPr>
        <w:t xml:space="preserve"> </w:t>
      </w:r>
      <w:r>
        <w:t>for</w:t>
      </w:r>
      <w:r>
        <w:rPr>
          <w:spacing w:val="-6"/>
        </w:rPr>
        <w:t xml:space="preserve"> </w:t>
      </w:r>
      <w:r>
        <w:t>each</w:t>
      </w:r>
      <w:r>
        <w:rPr>
          <w:spacing w:val="-6"/>
        </w:rPr>
        <w:t xml:space="preserve"> </w:t>
      </w:r>
      <w:r>
        <w:t>of</w:t>
      </w:r>
      <w:r>
        <w:rPr>
          <w:spacing w:val="-6"/>
        </w:rPr>
        <w:t xml:space="preserve"> </w:t>
      </w:r>
      <w:r>
        <w:t>the</w:t>
      </w:r>
      <w:r>
        <w:rPr>
          <w:spacing w:val="-6"/>
        </w:rPr>
        <w:t xml:space="preserve"> </w:t>
      </w:r>
      <w:r>
        <w:t>62</w:t>
      </w:r>
      <w:r>
        <w:rPr>
          <w:spacing w:val="-6"/>
        </w:rPr>
        <w:t xml:space="preserve"> </w:t>
      </w:r>
      <w:r>
        <w:t>replicates,</w:t>
      </w:r>
      <w:r>
        <w:rPr>
          <w:spacing w:val="-6"/>
        </w:rPr>
        <w:t xml:space="preserve"> </w:t>
      </w:r>
      <w:r>
        <w:t>using</w:t>
      </w:r>
      <w:r>
        <w:rPr>
          <w:spacing w:val="-6"/>
        </w:rPr>
        <w:t xml:space="preserve"> </w:t>
      </w:r>
      <w:r>
        <w:t>weighting</w:t>
      </w:r>
      <w:r>
        <w:rPr>
          <w:spacing w:val="-6"/>
        </w:rPr>
        <w:t xml:space="preserve"> </w:t>
      </w:r>
      <w:r>
        <w:t>procedures</w:t>
      </w:r>
      <w:r>
        <w:rPr>
          <w:spacing w:val="-6"/>
        </w:rPr>
        <w:t xml:space="preserve"> </w:t>
      </w:r>
      <w:r>
        <w:t>similar</w:t>
      </w:r>
      <w:r>
        <w:rPr>
          <w:spacing w:val="-6"/>
        </w:rPr>
        <w:t xml:space="preserve"> </w:t>
      </w:r>
      <w:r>
        <w:t>to</w:t>
      </w:r>
      <w:r>
        <w:rPr>
          <w:spacing w:val="-6"/>
        </w:rPr>
        <w:t xml:space="preserve"> </w:t>
      </w:r>
      <w:r>
        <w:t>those</w:t>
      </w:r>
      <w:r>
        <w:rPr>
          <w:spacing w:val="-6"/>
        </w:rPr>
        <w:t xml:space="preserve"> </w:t>
      </w:r>
      <w:r>
        <w:t>used</w:t>
      </w:r>
      <w:r>
        <w:rPr>
          <w:spacing w:val="-6"/>
        </w:rPr>
        <w:t xml:space="preserve"> </w:t>
      </w:r>
      <w:r>
        <w:t>for</w:t>
      </w:r>
      <w:r>
        <w:rPr>
          <w:spacing w:val="-6"/>
        </w:rPr>
        <w:t xml:space="preserve"> </w:t>
      </w:r>
      <w:r>
        <w:t>the</w:t>
      </w:r>
      <w:r>
        <w:rPr>
          <w:spacing w:val="-6"/>
        </w:rPr>
        <w:t xml:space="preserve"> </w:t>
      </w:r>
      <w:r>
        <w:t>full-sample</w:t>
      </w:r>
      <w:r>
        <w:rPr>
          <w:spacing w:val="-6"/>
        </w:rPr>
        <w:t xml:space="preserve"> </w:t>
      </w:r>
      <w:r>
        <w:t>weight.</w:t>
      </w:r>
      <w:r>
        <w:rPr>
          <w:spacing w:val="-6"/>
        </w:rPr>
        <w:t xml:space="preserve"> </w:t>
      </w:r>
      <w:r>
        <w:t>Each</w:t>
      </w:r>
      <w:r>
        <w:rPr>
          <w:spacing w:val="-6"/>
        </w:rPr>
        <w:t xml:space="preserve"> </w:t>
      </w:r>
      <w:r>
        <w:t>replicate weight contains the school and student replicate factors described above. By repeating the various weighting procedures on each set of replicates, the impact of these procedures on the sampling variance of an estimate is appropriately reflected in the variance estimate.</w:t>
      </w:r>
    </w:p>
    <w:p w:rsidR="003F5784" w14:paraId="6D60667B" w14:textId="77777777">
      <w:pPr>
        <w:pStyle w:val="BodyText"/>
        <w:spacing w:before="204"/>
        <w:ind w:left="109"/>
      </w:pPr>
      <w:r>
        <w:t>Each</w:t>
      </w:r>
      <w:r>
        <w:rPr>
          <w:spacing w:val="-5"/>
        </w:rPr>
        <w:t xml:space="preserve"> </w:t>
      </w:r>
      <w:r>
        <w:t>of</w:t>
      </w:r>
      <w:r>
        <w:rPr>
          <w:spacing w:val="-5"/>
        </w:rPr>
        <w:t xml:space="preserve"> </w:t>
      </w:r>
      <w:r>
        <w:t>the</w:t>
      </w:r>
      <w:r>
        <w:rPr>
          <w:spacing w:val="-5"/>
        </w:rPr>
        <w:t xml:space="preserve"> </w:t>
      </w:r>
      <w:r>
        <w:t>62</w:t>
      </w:r>
      <w:r>
        <w:rPr>
          <w:spacing w:val="-5"/>
        </w:rPr>
        <w:t xml:space="preserve"> </w:t>
      </w:r>
      <w:r>
        <w:t>replicate</w:t>
      </w:r>
      <w:r>
        <w:rPr>
          <w:spacing w:val="-5"/>
        </w:rPr>
        <w:t xml:space="preserve"> </w:t>
      </w:r>
      <w:r>
        <w:t>weights</w:t>
      </w:r>
      <w:r>
        <w:rPr>
          <w:spacing w:val="-5"/>
        </w:rPr>
        <w:t xml:space="preserve"> </w:t>
      </w:r>
      <w:r>
        <w:t>for</w:t>
      </w:r>
      <w:r>
        <w:rPr>
          <w:spacing w:val="-5"/>
        </w:rPr>
        <w:t xml:space="preserve"> </w:t>
      </w:r>
      <w:r>
        <w:t>student</w:t>
      </w:r>
      <w:r>
        <w:rPr>
          <w:spacing w:val="-5"/>
        </w:rPr>
        <w:t xml:space="preserve"> </w:t>
      </w:r>
      <w:r>
        <w:t>\(k\)</w:t>
      </w:r>
      <w:r>
        <w:rPr>
          <w:spacing w:val="-5"/>
        </w:rPr>
        <w:t xml:space="preserve"> </w:t>
      </w:r>
      <w:r>
        <w:t>in</w:t>
      </w:r>
      <w:r>
        <w:rPr>
          <w:spacing w:val="-5"/>
        </w:rPr>
        <w:t xml:space="preserve"> </w:t>
      </w:r>
      <w:r>
        <w:t>school</w:t>
      </w:r>
      <w:r>
        <w:rPr>
          <w:spacing w:val="-5"/>
        </w:rPr>
        <w:t xml:space="preserve"> </w:t>
      </w:r>
      <w:r>
        <w:t>\(s\)</w:t>
      </w:r>
      <w:r>
        <w:rPr>
          <w:spacing w:val="-5"/>
        </w:rPr>
        <w:t xml:space="preserve"> </w:t>
      </w:r>
      <w:r>
        <w:t>in</w:t>
      </w:r>
      <w:r>
        <w:rPr>
          <w:spacing w:val="-5"/>
        </w:rPr>
        <w:t xml:space="preserve"> </w:t>
      </w:r>
      <w:r>
        <w:t>stratum</w:t>
      </w:r>
      <w:r>
        <w:rPr>
          <w:spacing w:val="-5"/>
        </w:rPr>
        <w:t xml:space="preserve"> </w:t>
      </w:r>
      <w:r>
        <w:t>\(j\)</w:t>
      </w:r>
      <w:r>
        <w:rPr>
          <w:spacing w:val="-5"/>
        </w:rPr>
        <w:t xml:space="preserve"> </w:t>
      </w:r>
      <w:r>
        <w:t>can</w:t>
      </w:r>
      <w:r>
        <w:rPr>
          <w:spacing w:val="-5"/>
        </w:rPr>
        <w:t xml:space="preserve"> </w:t>
      </w:r>
      <w:r>
        <w:t>be</w:t>
      </w:r>
      <w:r>
        <w:rPr>
          <w:spacing w:val="-5"/>
        </w:rPr>
        <w:t xml:space="preserve"> </w:t>
      </w:r>
      <w:r>
        <w:t>expressed</w:t>
      </w:r>
      <w:r>
        <w:rPr>
          <w:spacing w:val="-5"/>
        </w:rPr>
        <w:t xml:space="preserve"> as</w:t>
      </w:r>
    </w:p>
    <w:p w:rsidR="003F5784" w14:paraId="264878EB" w14:textId="77777777">
      <w:pPr>
        <w:pStyle w:val="BodyText"/>
        <w:spacing w:before="207" w:line="232" w:lineRule="auto"/>
        <w:ind w:left="109"/>
      </w:pPr>
      <w:r>
        <w:t>\begin{equation} \begin{aligned} FSTUWGT_{jsk}(r) = {} &amp; STU\_BWT_{jks} \times SCH\_REPFAC_{js}(r) \times SCH\_NRAF_{js}(r) \times \\ &amp; STU\_REPFAC_{jsk}(r)</w:t>
      </w:r>
      <w:r>
        <w:rPr>
          <w:spacing w:val="-13"/>
        </w:rPr>
        <w:t xml:space="preserve"> </w:t>
      </w:r>
      <w:r>
        <w:t>\times</w:t>
      </w:r>
      <w:r>
        <w:rPr>
          <w:spacing w:val="-13"/>
        </w:rPr>
        <w:t xml:space="preserve"> </w:t>
      </w:r>
      <w:r>
        <w:t>STU\_NRAF_{jsk}(r)</w:t>
      </w:r>
      <w:r>
        <w:rPr>
          <w:spacing w:val="-13"/>
        </w:rPr>
        <w:t xml:space="preserve"> </w:t>
      </w:r>
      <w:r>
        <w:t>\times</w:t>
      </w:r>
      <w:r>
        <w:rPr>
          <w:spacing w:val="-13"/>
        </w:rPr>
        <w:t xml:space="preserve"> </w:t>
      </w:r>
      <w:r>
        <w:t>\\</w:t>
      </w:r>
      <w:r>
        <w:rPr>
          <w:spacing w:val="-13"/>
        </w:rPr>
        <w:t xml:space="preserve"> </w:t>
      </w:r>
      <w:r>
        <w:t>&amp;</w:t>
      </w:r>
      <w:r>
        <w:rPr>
          <w:spacing w:val="-13"/>
        </w:rPr>
        <w:t xml:space="preserve"> </w:t>
      </w:r>
      <w:r>
        <w:t>SCH\_TRIM_{js}</w:t>
      </w:r>
      <w:r>
        <w:rPr>
          <w:spacing w:val="-13"/>
        </w:rPr>
        <w:t xml:space="preserve"> </w:t>
      </w:r>
      <w:r>
        <w:t>\times</w:t>
      </w:r>
      <w:r>
        <w:rPr>
          <w:spacing w:val="-13"/>
        </w:rPr>
        <w:t xml:space="preserve"> </w:t>
      </w:r>
      <w:r>
        <w:t>STU\_TRIM_{jsk}</w:t>
      </w:r>
      <w:r>
        <w:rPr>
          <w:spacing w:val="-13"/>
        </w:rPr>
        <w:t xml:space="preserve"> </w:t>
      </w:r>
      <w:r>
        <w:t>\times</w:t>
      </w:r>
      <w:r>
        <w:rPr>
          <w:spacing w:val="-13"/>
        </w:rPr>
        <w:t xml:space="preserve"> </w:t>
      </w:r>
      <w:r>
        <w:t>STU\_RAKE_{jsk}(r)</w:t>
      </w:r>
      <w:r>
        <w:rPr>
          <w:spacing w:val="-13"/>
        </w:rPr>
        <w:t xml:space="preserve"> </w:t>
      </w:r>
      <w:r>
        <w:t>\end{aligned},</w:t>
      </w:r>
      <w:r>
        <w:rPr>
          <w:spacing w:val="-13"/>
        </w:rPr>
        <w:t xml:space="preserve"> </w:t>
      </w:r>
      <w:r>
        <w:t xml:space="preserve">\end{equation} </w:t>
      </w:r>
      <w:r>
        <w:rPr>
          <w:spacing w:val="-2"/>
        </w:rPr>
        <w:t>where</w:t>
      </w:r>
    </w:p>
    <w:p w:rsidR="003F5784" w14:paraId="45538924" w14:textId="77777777">
      <w:pPr>
        <w:pStyle w:val="BodyText"/>
        <w:spacing w:before="204"/>
        <w:ind w:left="631"/>
      </w:pPr>
      <w:r>
        <w:rPr>
          <w:noProof/>
        </w:rPr>
        <mc:AlternateContent>
          <mc:Choice Requires="wps">
            <w:drawing>
              <wp:anchor distT="0" distB="0" distL="0" distR="0" simplePos="0" relativeHeight="251699200" behindDoc="0" locked="0" layoutInCell="1" allowOverlap="1">
                <wp:simplePos x="0" y="0"/>
                <wp:positionH relativeFrom="page">
                  <wp:posOffset>560569</wp:posOffset>
                </wp:positionH>
                <wp:positionV relativeFrom="paragraph">
                  <wp:posOffset>196269</wp:posOffset>
                </wp:positionV>
                <wp:extent cx="41910" cy="41910"/>
                <wp:effectExtent l="0" t="0" r="0" b="0"/>
                <wp:wrapNone/>
                <wp:docPr id="635" name="Graphic 635"/>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0" y="23403"/>
                              </a:lnTo>
                              <a:lnTo>
                                <a:pt x="0" y="17842"/>
                              </a:lnTo>
                              <a:lnTo>
                                <a:pt x="17945" y="0"/>
                              </a:lnTo>
                              <a:lnTo>
                                <a:pt x="23433" y="0"/>
                              </a:lnTo>
                              <a:lnTo>
                                <a:pt x="41379" y="20689"/>
                              </a:lnTo>
                              <a:lnTo>
                                <a:pt x="41378" y="23403"/>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35" o:spid="_x0000_s1198" style="width:3.3pt;height:3.3pt;margin-top:15.45pt;margin-left:44.15pt;mso-position-horizontal-relative:page;mso-wrap-distance-bottom:0;mso-wrap-distance-left:0;mso-wrap-distance-right:0;mso-wrap-distance-top:0;mso-wrap-style:square;position:absolute;visibility:visible;v-text-anchor:top;z-index:251700224" coordsize="41910,41910" path="m20689,41378l,23403,,17842,17945,l23433,l41379,20689l41378,23403l20689,41378xe" fillcolor="black" stroked="f">
                <v:path arrowok="t"/>
              </v:shape>
            </w:pict>
          </mc:Fallback>
        </mc:AlternateContent>
      </w:r>
      <w:r>
        <w:t>\(STU\_BWT_{jks}\)</w:t>
      </w:r>
      <w:r>
        <w:rPr>
          <w:spacing w:val="-8"/>
        </w:rPr>
        <w:t xml:space="preserve"> </w:t>
      </w:r>
      <w:r>
        <w:t>is</w:t>
      </w:r>
      <w:r>
        <w:rPr>
          <w:spacing w:val="-7"/>
        </w:rPr>
        <w:t xml:space="preserve"> </w:t>
      </w:r>
      <w:r>
        <w:t>the</w:t>
      </w:r>
      <w:r>
        <w:rPr>
          <w:spacing w:val="-8"/>
        </w:rPr>
        <w:t xml:space="preserve"> </w:t>
      </w:r>
      <w:r>
        <w:t>student</w:t>
      </w:r>
      <w:r>
        <w:rPr>
          <w:spacing w:val="-7"/>
        </w:rPr>
        <w:t xml:space="preserve"> </w:t>
      </w:r>
      <w:r>
        <w:t>base</w:t>
      </w:r>
      <w:r>
        <w:rPr>
          <w:spacing w:val="-8"/>
        </w:rPr>
        <w:t xml:space="preserve"> </w:t>
      </w:r>
      <w:r>
        <w:rPr>
          <w:spacing w:val="-2"/>
        </w:rPr>
        <w:t>weight;</w:t>
      </w:r>
    </w:p>
    <w:p w:rsidR="003F5784" w14:paraId="30C105A4" w14:textId="77777777">
      <w:pPr>
        <w:pStyle w:val="BodyText"/>
        <w:spacing w:before="202"/>
        <w:ind w:left="631"/>
      </w:pPr>
      <w:r>
        <w:rPr>
          <w:noProof/>
        </w:rPr>
        <mc:AlternateContent>
          <mc:Choice Requires="wps">
            <w:drawing>
              <wp:anchor distT="0" distB="0" distL="0" distR="0" simplePos="0" relativeHeight="251701248" behindDoc="0" locked="0" layoutInCell="1" allowOverlap="1">
                <wp:simplePos x="0" y="0"/>
                <wp:positionH relativeFrom="page">
                  <wp:posOffset>560569</wp:posOffset>
                </wp:positionH>
                <wp:positionV relativeFrom="paragraph">
                  <wp:posOffset>194767</wp:posOffset>
                </wp:positionV>
                <wp:extent cx="41910" cy="41910"/>
                <wp:effectExtent l="0" t="0" r="0" b="0"/>
                <wp:wrapNone/>
                <wp:docPr id="636" name="Graphic 636"/>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0" y="23403"/>
                              </a:lnTo>
                              <a:lnTo>
                                <a:pt x="0" y="17975"/>
                              </a:lnTo>
                              <a:lnTo>
                                <a:pt x="6059" y="6074"/>
                              </a:lnTo>
                              <a:lnTo>
                                <a:pt x="7999" y="4137"/>
                              </a:lnTo>
                              <a:lnTo>
                                <a:pt x="10237" y="2590"/>
                              </a:lnTo>
                              <a:lnTo>
                                <a:pt x="12771" y="1423"/>
                              </a:lnTo>
                              <a:lnTo>
                                <a:pt x="15306" y="521"/>
                              </a:lnTo>
                              <a:lnTo>
                                <a:pt x="17945" y="0"/>
                              </a:lnTo>
                              <a:lnTo>
                                <a:pt x="23433" y="0"/>
                              </a:lnTo>
                              <a:lnTo>
                                <a:pt x="35319" y="6074"/>
                              </a:lnTo>
                              <a:lnTo>
                                <a:pt x="37259" y="7886"/>
                              </a:lnTo>
                              <a:lnTo>
                                <a:pt x="41379" y="20689"/>
                              </a:lnTo>
                              <a:lnTo>
                                <a:pt x="41378" y="23403"/>
                              </a:lnTo>
                              <a:lnTo>
                                <a:pt x="23433" y="41246"/>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36" o:spid="_x0000_s1199" style="width:3.3pt;height:3.3pt;margin-top:15.35pt;margin-left:44.15pt;mso-position-horizontal-relative:page;mso-wrap-distance-bottom:0;mso-wrap-distance-left:0;mso-wrap-distance-right:0;mso-wrap-distance-top:0;mso-wrap-style:square;position:absolute;visibility:visible;v-text-anchor:top;z-index:251702272" coordsize="41910,41910" path="m20689,41378l,23403,,17975,6059,6074,7999,4137,10237,2590,12771,1423,15306,521,17945,l23433,l35319,6074l37259,7886l41379,20689l41378,23403l23433,41246l20689,41378xe" fillcolor="black" stroked="f">
                <v:path arrowok="t"/>
              </v:shape>
            </w:pict>
          </mc:Fallback>
        </mc:AlternateContent>
      </w:r>
      <w:r>
        <w:t>\(SCH\_REPFAC_{js}(r)\)</w:t>
      </w:r>
      <w:r>
        <w:rPr>
          <w:spacing w:val="-11"/>
        </w:rPr>
        <w:t xml:space="preserve"> </w:t>
      </w:r>
      <w:r>
        <w:t>is</w:t>
      </w:r>
      <w:r>
        <w:rPr>
          <w:spacing w:val="-10"/>
        </w:rPr>
        <w:t xml:space="preserve"> </w:t>
      </w:r>
      <w:r>
        <w:t>the</w:t>
      </w:r>
      <w:r>
        <w:rPr>
          <w:spacing w:val="-11"/>
        </w:rPr>
        <w:t xml:space="preserve"> </w:t>
      </w:r>
      <w:r>
        <w:t>school-level</w:t>
      </w:r>
      <w:r>
        <w:rPr>
          <w:spacing w:val="-10"/>
        </w:rPr>
        <w:t xml:space="preserve"> </w:t>
      </w:r>
      <w:r>
        <w:t>replicate</w:t>
      </w:r>
      <w:r>
        <w:rPr>
          <w:spacing w:val="-10"/>
        </w:rPr>
        <w:t xml:space="preserve"> </w:t>
      </w:r>
      <w:r>
        <w:t>factor</w:t>
      </w:r>
      <w:r>
        <w:rPr>
          <w:spacing w:val="-11"/>
        </w:rPr>
        <w:t xml:space="preserve"> </w:t>
      </w:r>
      <w:r>
        <w:t>for</w:t>
      </w:r>
      <w:r>
        <w:rPr>
          <w:spacing w:val="-10"/>
        </w:rPr>
        <w:t xml:space="preserve"> </w:t>
      </w:r>
      <w:r>
        <w:t>replicate</w:t>
      </w:r>
      <w:r>
        <w:rPr>
          <w:spacing w:val="-10"/>
        </w:rPr>
        <w:t xml:space="preserve"> </w:t>
      </w:r>
      <w:r>
        <w:rPr>
          <w:spacing w:val="-2"/>
        </w:rPr>
        <w:t>\(r\);</w:t>
      </w:r>
    </w:p>
    <w:p w:rsidR="003F5784" w14:paraId="78023D11" w14:textId="77777777">
      <w:pPr>
        <w:pStyle w:val="BodyText"/>
        <w:spacing w:before="201"/>
        <w:ind w:left="631"/>
      </w:pPr>
      <w:r>
        <w:rPr>
          <w:noProof/>
        </w:rPr>
        <mc:AlternateContent>
          <mc:Choice Requires="wps">
            <w:drawing>
              <wp:anchor distT="0" distB="0" distL="0" distR="0" simplePos="0" relativeHeight="251703296" behindDoc="0" locked="0" layoutInCell="1" allowOverlap="1">
                <wp:simplePos x="0" y="0"/>
                <wp:positionH relativeFrom="page">
                  <wp:posOffset>560569</wp:posOffset>
                </wp:positionH>
                <wp:positionV relativeFrom="paragraph">
                  <wp:posOffset>194535</wp:posOffset>
                </wp:positionV>
                <wp:extent cx="41910" cy="41910"/>
                <wp:effectExtent l="0" t="0" r="0" b="0"/>
                <wp:wrapNone/>
                <wp:docPr id="637" name="Graphic 637"/>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17945" y="41246"/>
                              </a:lnTo>
                              <a:lnTo>
                                <a:pt x="15306" y="40733"/>
                              </a:lnTo>
                              <a:lnTo>
                                <a:pt x="12771" y="39566"/>
                              </a:lnTo>
                              <a:lnTo>
                                <a:pt x="10237" y="38532"/>
                              </a:lnTo>
                              <a:lnTo>
                                <a:pt x="0" y="23403"/>
                              </a:lnTo>
                              <a:lnTo>
                                <a:pt x="0" y="17842"/>
                              </a:lnTo>
                              <a:lnTo>
                                <a:pt x="12771" y="1555"/>
                              </a:lnTo>
                              <a:lnTo>
                                <a:pt x="15306" y="521"/>
                              </a:lnTo>
                              <a:lnTo>
                                <a:pt x="17945" y="0"/>
                              </a:lnTo>
                              <a:lnTo>
                                <a:pt x="23433" y="0"/>
                              </a:lnTo>
                              <a:lnTo>
                                <a:pt x="26072" y="521"/>
                              </a:lnTo>
                              <a:lnTo>
                                <a:pt x="28606" y="1555"/>
                              </a:lnTo>
                              <a:lnTo>
                                <a:pt x="31141" y="2457"/>
                              </a:lnTo>
                              <a:lnTo>
                                <a:pt x="41379" y="20689"/>
                              </a:lnTo>
                              <a:lnTo>
                                <a:pt x="41378" y="23403"/>
                              </a:lnTo>
                              <a:lnTo>
                                <a:pt x="28607" y="39566"/>
                              </a:lnTo>
                              <a:lnTo>
                                <a:pt x="26072" y="40733"/>
                              </a:lnTo>
                              <a:lnTo>
                                <a:pt x="23433" y="41246"/>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37" o:spid="_x0000_s1200" style="width:3.3pt;height:3.3pt;margin-top:15.3pt;margin-left:44.15pt;mso-position-horizontal-relative:page;mso-wrap-distance-bottom:0;mso-wrap-distance-left:0;mso-wrap-distance-right:0;mso-wrap-distance-top:0;mso-wrap-style:square;position:absolute;visibility:visible;v-text-anchor:top;z-index:251704320" coordsize="41910,41910" path="m20689,41378l17945,41246l15306,40733,12771,39566,10237,38532,,23403,,17842,12771,1555,15306,521,17945,l23433,l26072,521l28606,1555l31141,2457,41379,20689l41378,23403l28607,39566l26072,40733l23433,41246l20689,41378xe" fillcolor="black" stroked="f">
                <v:path arrowok="t"/>
              </v:shape>
            </w:pict>
          </mc:Fallback>
        </mc:AlternateContent>
      </w:r>
      <w:r>
        <w:t>\(SCH\_NRAF_{js}(r)\)</w:t>
      </w:r>
      <w:r>
        <w:rPr>
          <w:spacing w:val="-9"/>
        </w:rPr>
        <w:t xml:space="preserve"> </w:t>
      </w:r>
      <w:r>
        <w:t>is</w:t>
      </w:r>
      <w:r>
        <w:rPr>
          <w:spacing w:val="-9"/>
        </w:rPr>
        <w:t xml:space="preserve"> </w:t>
      </w:r>
      <w:r>
        <w:t>the</w:t>
      </w:r>
      <w:r>
        <w:rPr>
          <w:spacing w:val="-8"/>
        </w:rPr>
        <w:t xml:space="preserve"> </w:t>
      </w:r>
      <w:r>
        <w:t>school-level</w:t>
      </w:r>
      <w:r>
        <w:rPr>
          <w:spacing w:val="-9"/>
        </w:rPr>
        <w:t xml:space="preserve"> </w:t>
      </w:r>
      <w:r>
        <w:t>nonresponse</w:t>
      </w:r>
      <w:r>
        <w:rPr>
          <w:spacing w:val="-9"/>
        </w:rPr>
        <w:t xml:space="preserve"> </w:t>
      </w:r>
      <w:r>
        <w:t>adjustment</w:t>
      </w:r>
      <w:r>
        <w:rPr>
          <w:spacing w:val="-8"/>
        </w:rPr>
        <w:t xml:space="preserve"> </w:t>
      </w:r>
      <w:r>
        <w:t>factor</w:t>
      </w:r>
      <w:r>
        <w:rPr>
          <w:spacing w:val="-9"/>
        </w:rPr>
        <w:t xml:space="preserve"> </w:t>
      </w:r>
      <w:r>
        <w:t>for</w:t>
      </w:r>
      <w:r>
        <w:rPr>
          <w:spacing w:val="-9"/>
        </w:rPr>
        <w:t xml:space="preserve"> </w:t>
      </w:r>
      <w:r>
        <w:t>replicate</w:t>
      </w:r>
      <w:r>
        <w:rPr>
          <w:spacing w:val="-8"/>
        </w:rPr>
        <w:t xml:space="preserve"> </w:t>
      </w:r>
      <w:r>
        <w:rPr>
          <w:spacing w:val="-2"/>
        </w:rPr>
        <w:t>\(r\);</w:t>
      </w:r>
    </w:p>
    <w:p w:rsidR="003F5784" w14:paraId="08EDA2E0" w14:textId="77777777">
      <w:pPr>
        <w:pStyle w:val="BodyText"/>
        <w:spacing w:before="202"/>
        <w:ind w:left="631"/>
      </w:pPr>
      <w:r>
        <w:rPr>
          <w:noProof/>
        </w:rPr>
        <mc:AlternateContent>
          <mc:Choice Requires="wps">
            <w:drawing>
              <wp:anchor distT="0" distB="0" distL="0" distR="0" simplePos="0" relativeHeight="251705344" behindDoc="0" locked="0" layoutInCell="1" allowOverlap="1">
                <wp:simplePos x="0" y="0"/>
                <wp:positionH relativeFrom="page">
                  <wp:posOffset>560569</wp:posOffset>
                </wp:positionH>
                <wp:positionV relativeFrom="paragraph">
                  <wp:posOffset>194938</wp:posOffset>
                </wp:positionV>
                <wp:extent cx="41910" cy="41910"/>
                <wp:effectExtent l="0" t="0" r="0" b="0"/>
                <wp:wrapNone/>
                <wp:docPr id="638" name="Graphic 638"/>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0" y="23403"/>
                              </a:lnTo>
                              <a:lnTo>
                                <a:pt x="0" y="17842"/>
                              </a:lnTo>
                              <a:lnTo>
                                <a:pt x="17945" y="0"/>
                              </a:lnTo>
                              <a:lnTo>
                                <a:pt x="23433" y="0"/>
                              </a:lnTo>
                              <a:lnTo>
                                <a:pt x="41379" y="20689"/>
                              </a:lnTo>
                              <a:lnTo>
                                <a:pt x="41378" y="23403"/>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38" o:spid="_x0000_s1201" style="width:3.3pt;height:3.3pt;margin-top:15.35pt;margin-left:44.15pt;mso-position-horizontal-relative:page;mso-wrap-distance-bottom:0;mso-wrap-distance-left:0;mso-wrap-distance-right:0;mso-wrap-distance-top:0;mso-wrap-style:square;position:absolute;visibility:visible;v-text-anchor:top;z-index:251706368" coordsize="41910,41910" path="m20689,41378l,23403,,17842,17945,l23433,l41379,20689l41378,23403l20689,41378xe" fillcolor="black" stroked="f">
                <v:path arrowok="t"/>
              </v:shape>
            </w:pict>
          </mc:Fallback>
        </mc:AlternateContent>
      </w:r>
      <w:r>
        <w:t>\(STU\_REPFAC_{jsk}(r)\)</w:t>
      </w:r>
      <w:r>
        <w:rPr>
          <w:spacing w:val="-11"/>
        </w:rPr>
        <w:t xml:space="preserve"> </w:t>
      </w:r>
      <w:r>
        <w:t>is</w:t>
      </w:r>
      <w:r>
        <w:rPr>
          <w:spacing w:val="-11"/>
        </w:rPr>
        <w:t xml:space="preserve"> </w:t>
      </w:r>
      <w:r>
        <w:t>the</w:t>
      </w:r>
      <w:r>
        <w:rPr>
          <w:spacing w:val="-10"/>
        </w:rPr>
        <w:t xml:space="preserve"> </w:t>
      </w:r>
      <w:r>
        <w:t>student-level</w:t>
      </w:r>
      <w:r>
        <w:rPr>
          <w:spacing w:val="-11"/>
        </w:rPr>
        <w:t xml:space="preserve"> </w:t>
      </w:r>
      <w:r>
        <w:t>replicate</w:t>
      </w:r>
      <w:r>
        <w:rPr>
          <w:spacing w:val="-10"/>
        </w:rPr>
        <w:t xml:space="preserve"> </w:t>
      </w:r>
      <w:r>
        <w:t>factor</w:t>
      </w:r>
      <w:r>
        <w:rPr>
          <w:spacing w:val="-11"/>
        </w:rPr>
        <w:t xml:space="preserve"> </w:t>
      </w:r>
      <w:r>
        <w:t>for</w:t>
      </w:r>
      <w:r>
        <w:rPr>
          <w:spacing w:val="-10"/>
        </w:rPr>
        <w:t xml:space="preserve"> </w:t>
      </w:r>
      <w:r>
        <w:t>replicate</w:t>
      </w:r>
      <w:r>
        <w:rPr>
          <w:spacing w:val="-11"/>
        </w:rPr>
        <w:t xml:space="preserve"> </w:t>
      </w:r>
      <w:r>
        <w:rPr>
          <w:spacing w:val="-2"/>
        </w:rPr>
        <w:t>\(r\);</w:t>
      </w:r>
    </w:p>
    <w:p w:rsidR="003F5784" w14:paraId="1F8E1BDB" w14:textId="77777777">
      <w:pPr>
        <w:pStyle w:val="BodyText"/>
        <w:spacing w:before="201"/>
        <w:ind w:left="631"/>
      </w:pPr>
      <w:r>
        <w:rPr>
          <w:noProof/>
        </w:rPr>
        <mc:AlternateContent>
          <mc:Choice Requires="wps">
            <w:drawing>
              <wp:anchor distT="0" distB="0" distL="0" distR="0" simplePos="0" relativeHeight="251707392" behindDoc="0" locked="0" layoutInCell="1" allowOverlap="1">
                <wp:simplePos x="0" y="0"/>
                <wp:positionH relativeFrom="page">
                  <wp:posOffset>560569</wp:posOffset>
                </wp:positionH>
                <wp:positionV relativeFrom="paragraph">
                  <wp:posOffset>194705</wp:posOffset>
                </wp:positionV>
                <wp:extent cx="41910" cy="41910"/>
                <wp:effectExtent l="0" t="0" r="0" b="0"/>
                <wp:wrapNone/>
                <wp:docPr id="639" name="Graphic 639"/>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0" y="23279"/>
                              </a:lnTo>
                              <a:lnTo>
                                <a:pt x="0" y="17842"/>
                              </a:lnTo>
                              <a:lnTo>
                                <a:pt x="524" y="15128"/>
                              </a:lnTo>
                              <a:lnTo>
                                <a:pt x="2624" y="10088"/>
                              </a:lnTo>
                              <a:lnTo>
                                <a:pt x="4119" y="7886"/>
                              </a:lnTo>
                              <a:lnTo>
                                <a:pt x="6059" y="6074"/>
                              </a:lnTo>
                              <a:lnTo>
                                <a:pt x="7999" y="4137"/>
                              </a:lnTo>
                              <a:lnTo>
                                <a:pt x="10237" y="2590"/>
                              </a:lnTo>
                              <a:lnTo>
                                <a:pt x="15306" y="521"/>
                              </a:lnTo>
                              <a:lnTo>
                                <a:pt x="17945" y="0"/>
                              </a:lnTo>
                              <a:lnTo>
                                <a:pt x="23433" y="0"/>
                              </a:lnTo>
                              <a:lnTo>
                                <a:pt x="26072" y="521"/>
                              </a:lnTo>
                              <a:lnTo>
                                <a:pt x="31141" y="2590"/>
                              </a:lnTo>
                              <a:lnTo>
                                <a:pt x="33379" y="4137"/>
                              </a:lnTo>
                              <a:lnTo>
                                <a:pt x="35319" y="6074"/>
                              </a:lnTo>
                              <a:lnTo>
                                <a:pt x="37259" y="7886"/>
                              </a:lnTo>
                              <a:lnTo>
                                <a:pt x="38754" y="10088"/>
                              </a:lnTo>
                              <a:lnTo>
                                <a:pt x="40854" y="15128"/>
                              </a:lnTo>
                              <a:lnTo>
                                <a:pt x="41378" y="17842"/>
                              </a:lnTo>
                              <a:lnTo>
                                <a:pt x="41379" y="20689"/>
                              </a:lnTo>
                              <a:lnTo>
                                <a:pt x="41378" y="23279"/>
                              </a:lnTo>
                              <a:lnTo>
                                <a:pt x="23433" y="41246"/>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39" o:spid="_x0000_s1202" style="width:3.3pt;height:3.3pt;margin-top:15.35pt;margin-left:44.15pt;mso-position-horizontal-relative:page;mso-wrap-distance-bottom:0;mso-wrap-distance-left:0;mso-wrap-distance-right:0;mso-wrap-distance-top:0;mso-wrap-style:square;position:absolute;visibility:visible;v-text-anchor:top;z-index:251708416" coordsize="41910,41910" path="m20689,41378l,23279,,17842,524,15128,2624,10088,4119,7886,6059,6074,7999,4137,10237,2590,15306,521,17945,l23433,l26072,521l31141,2590l33379,4137l35319,6074l37259,7886l38754,10088l40854,15128l41378,17842l41379,20689l41378,23279l23433,41246l20689,41378xe" fillcolor="black" stroked="f">
                <v:path arrowok="t"/>
              </v:shape>
            </w:pict>
          </mc:Fallback>
        </mc:AlternateContent>
      </w:r>
      <w:r>
        <w:t>\(STU\_NRAF_{jsk}(r)\)</w:t>
      </w:r>
      <w:r>
        <w:rPr>
          <w:spacing w:val="-9"/>
        </w:rPr>
        <w:t xml:space="preserve"> </w:t>
      </w:r>
      <w:r>
        <w:t>is</w:t>
      </w:r>
      <w:r>
        <w:rPr>
          <w:spacing w:val="-9"/>
        </w:rPr>
        <w:t xml:space="preserve"> </w:t>
      </w:r>
      <w:r>
        <w:t>the</w:t>
      </w:r>
      <w:r>
        <w:rPr>
          <w:spacing w:val="-9"/>
        </w:rPr>
        <w:t xml:space="preserve"> </w:t>
      </w:r>
      <w:r>
        <w:t>student-level</w:t>
      </w:r>
      <w:r>
        <w:rPr>
          <w:spacing w:val="-9"/>
        </w:rPr>
        <w:t xml:space="preserve"> </w:t>
      </w:r>
      <w:r>
        <w:t>nonresponse</w:t>
      </w:r>
      <w:r>
        <w:rPr>
          <w:spacing w:val="-9"/>
        </w:rPr>
        <w:t xml:space="preserve"> </w:t>
      </w:r>
      <w:r>
        <w:t>adjustment</w:t>
      </w:r>
      <w:r>
        <w:rPr>
          <w:spacing w:val="-8"/>
        </w:rPr>
        <w:t xml:space="preserve"> </w:t>
      </w:r>
      <w:r>
        <w:t>factor</w:t>
      </w:r>
      <w:r>
        <w:rPr>
          <w:spacing w:val="-9"/>
        </w:rPr>
        <w:t xml:space="preserve"> </w:t>
      </w:r>
      <w:r>
        <w:t>for</w:t>
      </w:r>
      <w:r>
        <w:rPr>
          <w:spacing w:val="-9"/>
        </w:rPr>
        <w:t xml:space="preserve"> </w:t>
      </w:r>
      <w:r>
        <w:t>replicate</w:t>
      </w:r>
      <w:r>
        <w:rPr>
          <w:spacing w:val="-9"/>
        </w:rPr>
        <w:t xml:space="preserve"> </w:t>
      </w:r>
      <w:r>
        <w:rPr>
          <w:spacing w:val="-2"/>
        </w:rPr>
        <w:t>\(r\);</w:t>
      </w:r>
    </w:p>
    <w:p w:rsidR="003F5784" w14:paraId="29CF680B" w14:textId="77777777">
      <w:pPr>
        <w:pStyle w:val="BodyText"/>
        <w:spacing w:before="202"/>
        <w:ind w:left="631"/>
      </w:pPr>
      <w:r>
        <w:rPr>
          <w:noProof/>
        </w:rPr>
        <mc:AlternateContent>
          <mc:Choice Requires="wps">
            <w:drawing>
              <wp:anchor distT="0" distB="0" distL="0" distR="0" simplePos="0" relativeHeight="251709440" behindDoc="0" locked="0" layoutInCell="1" allowOverlap="1">
                <wp:simplePos x="0" y="0"/>
                <wp:positionH relativeFrom="page">
                  <wp:posOffset>560569</wp:posOffset>
                </wp:positionH>
                <wp:positionV relativeFrom="paragraph">
                  <wp:posOffset>195108</wp:posOffset>
                </wp:positionV>
                <wp:extent cx="41910" cy="41910"/>
                <wp:effectExtent l="0" t="0" r="0" b="0"/>
                <wp:wrapNone/>
                <wp:docPr id="640" name="Graphic 640"/>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0" y="23403"/>
                              </a:lnTo>
                              <a:lnTo>
                                <a:pt x="0" y="17842"/>
                              </a:lnTo>
                              <a:lnTo>
                                <a:pt x="17945" y="0"/>
                              </a:lnTo>
                              <a:lnTo>
                                <a:pt x="23433" y="0"/>
                              </a:lnTo>
                              <a:lnTo>
                                <a:pt x="41379" y="20689"/>
                              </a:lnTo>
                              <a:lnTo>
                                <a:pt x="41378" y="23403"/>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40" o:spid="_x0000_s1203" style="width:3.3pt;height:3.3pt;margin-top:15.35pt;margin-left:44.15pt;mso-position-horizontal-relative:page;mso-wrap-distance-bottom:0;mso-wrap-distance-left:0;mso-wrap-distance-right:0;mso-wrap-distance-top:0;mso-wrap-style:square;position:absolute;visibility:visible;v-text-anchor:top;z-index:251710464" coordsize="41910,41910" path="m20689,41378l,23403,,17842,17945,l23433,l41379,20689l41378,23403l20689,41378xe" fillcolor="black" stroked="f">
                <v:path arrowok="t"/>
              </v:shape>
            </w:pict>
          </mc:Fallback>
        </mc:AlternateContent>
      </w:r>
      <w:r>
        <w:t>\(SCH\_TRIM_{js}\)</w:t>
      </w:r>
      <w:r>
        <w:rPr>
          <w:spacing w:val="-9"/>
        </w:rPr>
        <w:t xml:space="preserve"> </w:t>
      </w:r>
      <w:r>
        <w:t>is</w:t>
      </w:r>
      <w:r>
        <w:rPr>
          <w:spacing w:val="-9"/>
        </w:rPr>
        <w:t xml:space="preserve"> </w:t>
      </w:r>
      <w:r>
        <w:t>the</w:t>
      </w:r>
      <w:r>
        <w:rPr>
          <w:spacing w:val="-9"/>
        </w:rPr>
        <w:t xml:space="preserve"> </w:t>
      </w:r>
      <w:r>
        <w:t>school-level</w:t>
      </w:r>
      <w:r>
        <w:rPr>
          <w:spacing w:val="-9"/>
        </w:rPr>
        <w:t xml:space="preserve"> </w:t>
      </w:r>
      <w:r>
        <w:t>weight</w:t>
      </w:r>
      <w:r>
        <w:rPr>
          <w:spacing w:val="-9"/>
        </w:rPr>
        <w:t xml:space="preserve"> </w:t>
      </w:r>
      <w:r>
        <w:t>trimming</w:t>
      </w:r>
      <w:r>
        <w:rPr>
          <w:spacing w:val="-9"/>
        </w:rPr>
        <w:t xml:space="preserve"> </w:t>
      </w:r>
      <w:r>
        <w:t>adjustment</w:t>
      </w:r>
      <w:r>
        <w:rPr>
          <w:spacing w:val="-8"/>
        </w:rPr>
        <w:t xml:space="preserve"> </w:t>
      </w:r>
      <w:r>
        <w:rPr>
          <w:spacing w:val="-2"/>
        </w:rPr>
        <w:t>factor;</w:t>
      </w:r>
    </w:p>
    <w:p w:rsidR="003F5784" w14:paraId="14D72C6A" w14:textId="77777777">
      <w:pPr>
        <w:pStyle w:val="BodyText"/>
        <w:spacing w:before="202"/>
        <w:ind w:left="631"/>
      </w:pPr>
      <w:r>
        <w:rPr>
          <w:noProof/>
        </w:rPr>
        <mc:AlternateContent>
          <mc:Choice Requires="wps">
            <w:drawing>
              <wp:anchor distT="0" distB="0" distL="0" distR="0" simplePos="0" relativeHeight="251711488" behindDoc="0" locked="0" layoutInCell="1" allowOverlap="1">
                <wp:simplePos x="0" y="0"/>
                <wp:positionH relativeFrom="page">
                  <wp:posOffset>560569</wp:posOffset>
                </wp:positionH>
                <wp:positionV relativeFrom="paragraph">
                  <wp:posOffset>194876</wp:posOffset>
                </wp:positionV>
                <wp:extent cx="41910" cy="41910"/>
                <wp:effectExtent l="0" t="0" r="0" b="0"/>
                <wp:wrapNone/>
                <wp:docPr id="641" name="Graphic 641"/>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17945" y="41246"/>
                              </a:lnTo>
                              <a:lnTo>
                                <a:pt x="15306" y="40733"/>
                              </a:lnTo>
                              <a:lnTo>
                                <a:pt x="12771" y="39566"/>
                              </a:lnTo>
                              <a:lnTo>
                                <a:pt x="10237" y="38532"/>
                              </a:lnTo>
                              <a:lnTo>
                                <a:pt x="0" y="23403"/>
                              </a:lnTo>
                              <a:lnTo>
                                <a:pt x="0" y="17975"/>
                              </a:lnTo>
                              <a:lnTo>
                                <a:pt x="524" y="15260"/>
                              </a:lnTo>
                              <a:lnTo>
                                <a:pt x="2624" y="9955"/>
                              </a:lnTo>
                              <a:lnTo>
                                <a:pt x="4119" y="7762"/>
                              </a:lnTo>
                              <a:lnTo>
                                <a:pt x="6059" y="5950"/>
                              </a:lnTo>
                              <a:lnTo>
                                <a:pt x="7999" y="4005"/>
                              </a:lnTo>
                              <a:lnTo>
                                <a:pt x="10237" y="2590"/>
                              </a:lnTo>
                              <a:lnTo>
                                <a:pt x="12771" y="1423"/>
                              </a:lnTo>
                              <a:lnTo>
                                <a:pt x="15306" y="521"/>
                              </a:lnTo>
                              <a:lnTo>
                                <a:pt x="17945" y="0"/>
                              </a:lnTo>
                              <a:lnTo>
                                <a:pt x="23433" y="0"/>
                              </a:lnTo>
                              <a:lnTo>
                                <a:pt x="35319" y="5950"/>
                              </a:lnTo>
                              <a:lnTo>
                                <a:pt x="37259" y="7762"/>
                              </a:lnTo>
                              <a:lnTo>
                                <a:pt x="38754" y="9955"/>
                              </a:lnTo>
                              <a:lnTo>
                                <a:pt x="40854" y="15260"/>
                              </a:lnTo>
                              <a:lnTo>
                                <a:pt x="41378" y="17975"/>
                              </a:lnTo>
                              <a:lnTo>
                                <a:pt x="41379" y="20689"/>
                              </a:lnTo>
                              <a:lnTo>
                                <a:pt x="41378" y="23403"/>
                              </a:lnTo>
                              <a:lnTo>
                                <a:pt x="28607" y="39566"/>
                              </a:lnTo>
                              <a:lnTo>
                                <a:pt x="26072" y="40733"/>
                              </a:lnTo>
                              <a:lnTo>
                                <a:pt x="23433" y="41246"/>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41" o:spid="_x0000_s1204" style="width:3.3pt;height:3.3pt;margin-top:15.35pt;margin-left:44.15pt;mso-position-horizontal-relative:page;mso-wrap-distance-bottom:0;mso-wrap-distance-left:0;mso-wrap-distance-right:0;mso-wrap-distance-top:0;mso-wrap-style:square;position:absolute;visibility:visible;v-text-anchor:top;z-index:251712512" coordsize="41910,41910" path="m20689,41378l17945,41246l15306,40733,12771,39566,10237,38532,,23403,,17975,524,15260,2624,9955,4119,7762,6059,5950,7999,4005,10237,2590,12771,1423,15306,521,17945,l23433,l35319,5950l37259,7762l38754,9955l40854,15260l41378,17975l41379,20689l41378,23403,28607,39566l26072,40733l23433,41246l20689,41378xe" fillcolor="black" stroked="f">
                <v:path arrowok="t"/>
              </v:shape>
            </w:pict>
          </mc:Fallback>
        </mc:AlternateContent>
      </w:r>
      <w:r>
        <w:t>\(STU\_TRIM_{jsk}\)</w:t>
      </w:r>
      <w:r>
        <w:rPr>
          <w:spacing w:val="-9"/>
        </w:rPr>
        <w:t xml:space="preserve"> </w:t>
      </w:r>
      <w:r>
        <w:t>is</w:t>
      </w:r>
      <w:r>
        <w:rPr>
          <w:spacing w:val="-9"/>
        </w:rPr>
        <w:t xml:space="preserve"> </w:t>
      </w:r>
      <w:r>
        <w:t>the</w:t>
      </w:r>
      <w:r>
        <w:rPr>
          <w:spacing w:val="-9"/>
        </w:rPr>
        <w:t xml:space="preserve"> </w:t>
      </w:r>
      <w:r>
        <w:t>student-level</w:t>
      </w:r>
      <w:r>
        <w:rPr>
          <w:spacing w:val="-8"/>
        </w:rPr>
        <w:t xml:space="preserve"> </w:t>
      </w:r>
      <w:r>
        <w:t>weight</w:t>
      </w:r>
      <w:r>
        <w:rPr>
          <w:spacing w:val="-9"/>
        </w:rPr>
        <w:t xml:space="preserve"> </w:t>
      </w:r>
      <w:r>
        <w:t>trimming</w:t>
      </w:r>
      <w:r>
        <w:rPr>
          <w:spacing w:val="-9"/>
        </w:rPr>
        <w:t xml:space="preserve"> </w:t>
      </w:r>
      <w:r>
        <w:t>adjustment</w:t>
      </w:r>
      <w:r>
        <w:rPr>
          <w:spacing w:val="-9"/>
        </w:rPr>
        <w:t xml:space="preserve"> </w:t>
      </w:r>
      <w:r>
        <w:t>factor;</w:t>
      </w:r>
      <w:r>
        <w:rPr>
          <w:spacing w:val="-8"/>
        </w:rPr>
        <w:t xml:space="preserve"> </w:t>
      </w:r>
      <w:r>
        <w:rPr>
          <w:spacing w:val="-5"/>
        </w:rPr>
        <w:t>and</w:t>
      </w:r>
    </w:p>
    <w:p w:rsidR="003F5784" w14:paraId="1DCF9DC0" w14:textId="77777777">
      <w:pPr>
        <w:pStyle w:val="BodyText"/>
        <w:spacing w:before="201"/>
        <w:ind w:left="631"/>
      </w:pPr>
      <w:r>
        <w:rPr>
          <w:noProof/>
        </w:rPr>
        <mc:AlternateContent>
          <mc:Choice Requires="wps">
            <w:drawing>
              <wp:anchor distT="0" distB="0" distL="0" distR="0" simplePos="0" relativeHeight="251713536" behindDoc="0" locked="0" layoutInCell="1" allowOverlap="1">
                <wp:simplePos x="0" y="0"/>
                <wp:positionH relativeFrom="page">
                  <wp:posOffset>560569</wp:posOffset>
                </wp:positionH>
                <wp:positionV relativeFrom="paragraph">
                  <wp:posOffset>194643</wp:posOffset>
                </wp:positionV>
                <wp:extent cx="41910" cy="41910"/>
                <wp:effectExtent l="0" t="0" r="0" b="0"/>
                <wp:wrapNone/>
                <wp:docPr id="642" name="Graphic 642"/>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3433" y="41378"/>
                              </a:moveTo>
                              <a:lnTo>
                                <a:pt x="17945" y="41378"/>
                              </a:lnTo>
                              <a:lnTo>
                                <a:pt x="15306" y="40865"/>
                              </a:lnTo>
                              <a:lnTo>
                                <a:pt x="12771" y="39699"/>
                              </a:lnTo>
                              <a:lnTo>
                                <a:pt x="10237" y="38664"/>
                              </a:lnTo>
                              <a:lnTo>
                                <a:pt x="0" y="23403"/>
                              </a:lnTo>
                              <a:lnTo>
                                <a:pt x="0" y="17842"/>
                              </a:lnTo>
                              <a:lnTo>
                                <a:pt x="524" y="15128"/>
                              </a:lnTo>
                              <a:lnTo>
                                <a:pt x="2624" y="10088"/>
                              </a:lnTo>
                              <a:lnTo>
                                <a:pt x="4119" y="7886"/>
                              </a:lnTo>
                              <a:lnTo>
                                <a:pt x="6059" y="6074"/>
                              </a:lnTo>
                              <a:lnTo>
                                <a:pt x="7999" y="4137"/>
                              </a:lnTo>
                              <a:lnTo>
                                <a:pt x="10237" y="2714"/>
                              </a:lnTo>
                              <a:lnTo>
                                <a:pt x="12771" y="1555"/>
                              </a:lnTo>
                              <a:lnTo>
                                <a:pt x="15306" y="521"/>
                              </a:lnTo>
                              <a:lnTo>
                                <a:pt x="17945" y="0"/>
                              </a:lnTo>
                              <a:lnTo>
                                <a:pt x="23433" y="0"/>
                              </a:lnTo>
                              <a:lnTo>
                                <a:pt x="35319" y="6074"/>
                              </a:lnTo>
                              <a:lnTo>
                                <a:pt x="37259" y="7886"/>
                              </a:lnTo>
                              <a:lnTo>
                                <a:pt x="38754" y="10088"/>
                              </a:lnTo>
                              <a:lnTo>
                                <a:pt x="40854" y="15128"/>
                              </a:lnTo>
                              <a:lnTo>
                                <a:pt x="41378" y="17842"/>
                              </a:lnTo>
                              <a:lnTo>
                                <a:pt x="41379" y="20689"/>
                              </a:lnTo>
                              <a:lnTo>
                                <a:pt x="41378" y="23403"/>
                              </a:lnTo>
                              <a:lnTo>
                                <a:pt x="28607" y="39699"/>
                              </a:lnTo>
                              <a:lnTo>
                                <a:pt x="26072" y="40865"/>
                              </a:lnTo>
                              <a:lnTo>
                                <a:pt x="23433"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42" o:spid="_x0000_s1205" style="width:3.3pt;height:3.3pt;margin-top:15.35pt;margin-left:44.15pt;mso-position-horizontal-relative:page;mso-wrap-distance-bottom:0;mso-wrap-distance-left:0;mso-wrap-distance-right:0;mso-wrap-distance-top:0;mso-wrap-style:square;position:absolute;visibility:visible;v-text-anchor:top;z-index:251714560" coordsize="41910,41910" path="m23433,41378l17945,41378l15306,40865,12771,39699,10237,38664,,23403,,17842,524,15128,2624,10088,4119,7886,6059,6074,7999,4137,10237,2714,12771,1555,15306,521,17945,l23433,l35319,6074l37259,7886l38754,10088l40854,15128l41378,17842l41379,20689l41378,23403,28607,39699l26072,40865l23433,41378xe" fillcolor="black" stroked="f">
                <v:path arrowok="t"/>
              </v:shape>
            </w:pict>
          </mc:Fallback>
        </mc:AlternateContent>
      </w:r>
      <w:r>
        <w:t>\(STU\_RAKE_{jsk}(r)\)</w:t>
      </w:r>
      <w:r>
        <w:rPr>
          <w:spacing w:val="-9"/>
        </w:rPr>
        <w:t xml:space="preserve"> </w:t>
      </w:r>
      <w:r>
        <w:t>is</w:t>
      </w:r>
      <w:r>
        <w:rPr>
          <w:spacing w:val="-8"/>
        </w:rPr>
        <w:t xml:space="preserve"> </w:t>
      </w:r>
      <w:r>
        <w:t>the</w:t>
      </w:r>
      <w:r>
        <w:rPr>
          <w:spacing w:val="-8"/>
        </w:rPr>
        <w:t xml:space="preserve"> </w:t>
      </w:r>
      <w:r>
        <w:t>student-level</w:t>
      </w:r>
      <w:r>
        <w:rPr>
          <w:spacing w:val="-9"/>
        </w:rPr>
        <w:t xml:space="preserve"> </w:t>
      </w:r>
      <w:r>
        <w:t>raking</w:t>
      </w:r>
      <w:r>
        <w:rPr>
          <w:spacing w:val="-8"/>
        </w:rPr>
        <w:t xml:space="preserve"> </w:t>
      </w:r>
      <w:r>
        <w:t>adjustment</w:t>
      </w:r>
      <w:r>
        <w:rPr>
          <w:spacing w:val="-8"/>
        </w:rPr>
        <w:t xml:space="preserve"> </w:t>
      </w:r>
      <w:r>
        <w:t>factor</w:t>
      </w:r>
      <w:r>
        <w:rPr>
          <w:spacing w:val="-8"/>
        </w:rPr>
        <w:t xml:space="preserve"> </w:t>
      </w:r>
      <w:r>
        <w:t>for</w:t>
      </w:r>
      <w:r>
        <w:rPr>
          <w:spacing w:val="-9"/>
        </w:rPr>
        <w:t xml:space="preserve"> </w:t>
      </w:r>
      <w:r>
        <w:t>replicate</w:t>
      </w:r>
      <w:r>
        <w:rPr>
          <w:spacing w:val="-8"/>
        </w:rPr>
        <w:t xml:space="preserve"> </w:t>
      </w:r>
      <w:r>
        <w:rPr>
          <w:spacing w:val="-2"/>
        </w:rPr>
        <w:t>\(r\).</w:t>
      </w:r>
    </w:p>
    <w:p w:rsidR="003F5784" w14:paraId="40E38DEA" w14:textId="77777777">
      <w:pPr>
        <w:sectPr>
          <w:pgSz w:w="15840" w:h="12240" w:orient="landscape"/>
          <w:pgMar w:top="480" w:right="440" w:bottom="460" w:left="460" w:header="284" w:footer="275" w:gutter="0"/>
          <w:cols w:space="720"/>
        </w:sectPr>
      </w:pPr>
    </w:p>
    <w:p w:rsidR="003F5784" w14:paraId="74C82890" w14:textId="77777777">
      <w:pPr>
        <w:pStyle w:val="BodyText"/>
        <w:spacing w:before="45"/>
      </w:pPr>
    </w:p>
    <w:p w:rsidR="003F5784" w14:paraId="3DC9255B" w14:textId="77777777">
      <w:pPr>
        <w:pStyle w:val="BodyText"/>
        <w:spacing w:line="232" w:lineRule="auto"/>
        <w:ind w:left="109" w:right="179"/>
      </w:pPr>
      <w:r>
        <w:t>Specific</w:t>
      </w:r>
      <w:r>
        <w:rPr>
          <w:spacing w:val="-6"/>
        </w:rPr>
        <w:t xml:space="preserve"> </w:t>
      </w:r>
      <w:r>
        <w:t>school</w:t>
      </w:r>
      <w:r>
        <w:rPr>
          <w:spacing w:val="-6"/>
        </w:rPr>
        <w:t xml:space="preserve"> </w:t>
      </w:r>
      <w:r>
        <w:t>and</w:t>
      </w:r>
      <w:r>
        <w:rPr>
          <w:spacing w:val="-6"/>
        </w:rPr>
        <w:t xml:space="preserve"> </w:t>
      </w:r>
      <w:r>
        <w:t>student</w:t>
      </w:r>
      <w:r>
        <w:rPr>
          <w:spacing w:val="-6"/>
        </w:rPr>
        <w:t xml:space="preserve"> </w:t>
      </w:r>
      <w:r>
        <w:t>nonresponse</w:t>
      </w:r>
      <w:r>
        <w:rPr>
          <w:spacing w:val="-6"/>
        </w:rPr>
        <w:t xml:space="preserve"> </w:t>
      </w:r>
      <w:r>
        <w:t>and</w:t>
      </w:r>
      <w:r>
        <w:rPr>
          <w:spacing w:val="-6"/>
        </w:rPr>
        <w:t xml:space="preserve"> </w:t>
      </w:r>
      <w:r>
        <w:t>student-level</w:t>
      </w:r>
      <w:r>
        <w:rPr>
          <w:spacing w:val="-6"/>
        </w:rPr>
        <w:t xml:space="preserve"> </w:t>
      </w:r>
      <w:r>
        <w:t>raking</w:t>
      </w:r>
      <w:r>
        <w:rPr>
          <w:spacing w:val="-6"/>
        </w:rPr>
        <w:t xml:space="preserve"> </w:t>
      </w:r>
      <w:r>
        <w:t>adjustment</w:t>
      </w:r>
      <w:r>
        <w:rPr>
          <w:spacing w:val="-6"/>
        </w:rPr>
        <w:t xml:space="preserve"> </w:t>
      </w:r>
      <w:r>
        <w:t>factors</w:t>
      </w:r>
      <w:r>
        <w:rPr>
          <w:spacing w:val="-6"/>
        </w:rPr>
        <w:t xml:space="preserve"> </w:t>
      </w:r>
      <w:r>
        <w:t>were</w:t>
      </w:r>
      <w:r>
        <w:rPr>
          <w:spacing w:val="-6"/>
        </w:rPr>
        <w:t xml:space="preserve"> </w:t>
      </w:r>
      <w:r>
        <w:t>calculated</w:t>
      </w:r>
      <w:r>
        <w:rPr>
          <w:spacing w:val="-6"/>
        </w:rPr>
        <w:t xml:space="preserve"> </w:t>
      </w:r>
      <w:r>
        <w:t>separately</w:t>
      </w:r>
      <w:r>
        <w:rPr>
          <w:spacing w:val="-6"/>
        </w:rPr>
        <w:t xml:space="preserve"> </w:t>
      </w:r>
      <w:r>
        <w:t>for</w:t>
      </w:r>
      <w:r>
        <w:rPr>
          <w:spacing w:val="-6"/>
        </w:rPr>
        <w:t xml:space="preserve"> </w:t>
      </w:r>
      <w:r>
        <w:t>each</w:t>
      </w:r>
      <w:r>
        <w:rPr>
          <w:spacing w:val="-6"/>
        </w:rPr>
        <w:t xml:space="preserve"> </w:t>
      </w:r>
      <w:r>
        <w:t>replicate,</w:t>
      </w:r>
      <w:r>
        <w:rPr>
          <w:spacing w:val="-6"/>
        </w:rPr>
        <w:t xml:space="preserve"> </w:t>
      </w:r>
      <w:r>
        <w:t>as</w:t>
      </w:r>
      <w:r>
        <w:rPr>
          <w:spacing w:val="-6"/>
        </w:rPr>
        <w:t xml:space="preserve"> </w:t>
      </w:r>
      <w:r>
        <w:t>indicated</w:t>
      </w:r>
      <w:r>
        <w:rPr>
          <w:spacing w:val="-6"/>
        </w:rPr>
        <w:t xml:space="preserve"> </w:t>
      </w:r>
      <w:r>
        <w:t>by</w:t>
      </w:r>
      <w:r>
        <w:rPr>
          <w:spacing w:val="-6"/>
        </w:rPr>
        <w:t xml:space="preserve"> </w:t>
      </w:r>
      <w:r>
        <w:t>the</w:t>
      </w:r>
      <w:r>
        <w:rPr>
          <w:spacing w:val="-6"/>
        </w:rPr>
        <w:t xml:space="preserve"> </w:t>
      </w:r>
      <w:r>
        <w:t>index</w:t>
      </w:r>
      <w:r>
        <w:rPr>
          <w:spacing w:val="-6"/>
        </w:rPr>
        <w:t xml:space="preserve"> </w:t>
      </w:r>
      <w:r>
        <w:t>\(r\)</w:t>
      </w:r>
      <w:r>
        <w:rPr>
          <w:spacing w:val="-6"/>
        </w:rPr>
        <w:t xml:space="preserve"> </w:t>
      </w:r>
      <w:r>
        <w:t>in</w:t>
      </w:r>
      <w:r>
        <w:rPr>
          <w:spacing w:val="-6"/>
        </w:rPr>
        <w:t xml:space="preserve"> </w:t>
      </w:r>
      <w:r>
        <w:t>the</w:t>
      </w:r>
      <w:r>
        <w:rPr>
          <w:spacing w:val="-6"/>
        </w:rPr>
        <w:t xml:space="preserve"> </w:t>
      </w:r>
      <w:r>
        <w:t>formula, and applied to the replicate student base weights. Computing separate nonresponse and raking adjustment factors for each replicate allows resulting variances from the use of the final student replicate weights to reflect components of variance due to these various weight adjustments.</w:t>
      </w:r>
    </w:p>
    <w:p w:rsidR="003F5784" w14:paraId="68AAF670" w14:textId="77777777">
      <w:pPr>
        <w:pStyle w:val="BodyText"/>
        <w:spacing w:before="210" w:line="232" w:lineRule="auto"/>
        <w:ind w:left="109" w:right="179"/>
      </w:pPr>
      <w:r>
        <w:t>School and student weight trimming adjustments were not replicated, that is, not calculated separately for each replicate. Instead, each replicate used the school and student trimming adjustment factors derived for the full sample. Statistical theory for replicating trimming adjustments under the jackknife approach has not been developed in the literature.</w:t>
      </w:r>
      <w:r>
        <w:rPr>
          <w:spacing w:val="-6"/>
        </w:rPr>
        <w:t xml:space="preserve"> </w:t>
      </w:r>
      <w:r>
        <w:t>Due</w:t>
      </w:r>
      <w:r>
        <w:rPr>
          <w:spacing w:val="-6"/>
        </w:rPr>
        <w:t xml:space="preserve"> </w:t>
      </w:r>
      <w:r>
        <w:t>to</w:t>
      </w:r>
      <w:r>
        <w:rPr>
          <w:spacing w:val="-6"/>
        </w:rPr>
        <w:t xml:space="preserve"> </w:t>
      </w:r>
      <w:r>
        <w:t>the</w:t>
      </w:r>
      <w:r>
        <w:rPr>
          <w:spacing w:val="-6"/>
        </w:rPr>
        <w:t xml:space="preserve"> </w:t>
      </w:r>
      <w:r>
        <w:t>absence</w:t>
      </w:r>
      <w:r>
        <w:rPr>
          <w:spacing w:val="-6"/>
        </w:rPr>
        <w:t xml:space="preserve"> </w:t>
      </w:r>
      <w:r>
        <w:t>of</w:t>
      </w:r>
      <w:r>
        <w:rPr>
          <w:spacing w:val="-6"/>
        </w:rPr>
        <w:t xml:space="preserve"> </w:t>
      </w:r>
      <w:r>
        <w:t>a</w:t>
      </w:r>
      <w:r>
        <w:rPr>
          <w:spacing w:val="-6"/>
        </w:rPr>
        <w:t xml:space="preserve"> </w:t>
      </w:r>
      <w:r>
        <w:t>statistical</w:t>
      </w:r>
      <w:r>
        <w:rPr>
          <w:spacing w:val="-6"/>
        </w:rPr>
        <w:t xml:space="preserve"> </w:t>
      </w:r>
      <w:r>
        <w:t>framework,</w:t>
      </w:r>
      <w:r>
        <w:rPr>
          <w:spacing w:val="-6"/>
        </w:rPr>
        <w:t xml:space="preserve"> </w:t>
      </w:r>
      <w:r>
        <w:t>and</w:t>
      </w:r>
      <w:r>
        <w:rPr>
          <w:spacing w:val="-6"/>
        </w:rPr>
        <w:t xml:space="preserve"> </w:t>
      </w:r>
      <w:r>
        <w:t>since</w:t>
      </w:r>
      <w:r>
        <w:rPr>
          <w:spacing w:val="-6"/>
        </w:rPr>
        <w:t xml:space="preserve"> </w:t>
      </w:r>
      <w:r>
        <w:t>relatively</w:t>
      </w:r>
      <w:r>
        <w:rPr>
          <w:spacing w:val="-6"/>
        </w:rPr>
        <w:t xml:space="preserve"> </w:t>
      </w:r>
      <w:r>
        <w:t>few</w:t>
      </w:r>
      <w:r>
        <w:rPr>
          <w:spacing w:val="-6"/>
        </w:rPr>
        <w:t xml:space="preserve"> </w:t>
      </w:r>
      <w:r>
        <w:t>school</w:t>
      </w:r>
      <w:r>
        <w:rPr>
          <w:spacing w:val="-6"/>
        </w:rPr>
        <w:t xml:space="preserve"> </w:t>
      </w:r>
      <w:r>
        <w:t>and</w:t>
      </w:r>
      <w:r>
        <w:rPr>
          <w:spacing w:val="-6"/>
        </w:rPr>
        <w:t xml:space="preserve"> </w:t>
      </w:r>
      <w:r>
        <w:t>student</w:t>
      </w:r>
      <w:r>
        <w:rPr>
          <w:spacing w:val="-6"/>
        </w:rPr>
        <w:t xml:space="preserve"> </w:t>
      </w:r>
      <w:r>
        <w:t>weights</w:t>
      </w:r>
      <w:r>
        <w:rPr>
          <w:spacing w:val="-6"/>
        </w:rPr>
        <w:t xml:space="preserve"> </w:t>
      </w:r>
      <w:r>
        <w:t>in</w:t>
      </w:r>
      <w:r>
        <w:rPr>
          <w:spacing w:val="-6"/>
        </w:rPr>
        <w:t xml:space="preserve"> </w:t>
      </w:r>
      <w:r>
        <w:t>NAEP</w:t>
      </w:r>
      <w:r>
        <w:rPr>
          <w:spacing w:val="-13"/>
        </w:rPr>
        <w:t xml:space="preserve"> </w:t>
      </w:r>
      <w:r>
        <w:t>require</w:t>
      </w:r>
      <w:r>
        <w:rPr>
          <w:spacing w:val="-6"/>
        </w:rPr>
        <w:t xml:space="preserve"> </w:t>
      </w:r>
      <w:r>
        <w:t>trimming,</w:t>
      </w:r>
      <w:r>
        <w:rPr>
          <w:spacing w:val="-6"/>
        </w:rPr>
        <w:t xml:space="preserve"> </w:t>
      </w:r>
      <w:r>
        <w:t>the</w:t>
      </w:r>
      <w:r>
        <w:rPr>
          <w:spacing w:val="-6"/>
        </w:rPr>
        <w:t xml:space="preserve"> </w:t>
      </w:r>
      <w:r>
        <w:t>weight</w:t>
      </w:r>
      <w:r>
        <w:rPr>
          <w:spacing w:val="-6"/>
        </w:rPr>
        <w:t xml:space="preserve"> </w:t>
      </w:r>
      <w:r>
        <w:t>trimming</w:t>
      </w:r>
      <w:r>
        <w:rPr>
          <w:spacing w:val="-6"/>
        </w:rPr>
        <w:t xml:space="preserve"> </w:t>
      </w:r>
      <w:r>
        <w:t>adjustments</w:t>
      </w:r>
      <w:r>
        <w:rPr>
          <w:spacing w:val="-6"/>
        </w:rPr>
        <w:t xml:space="preserve"> </w:t>
      </w:r>
      <w:r>
        <w:t>were not replicated.</w:t>
      </w:r>
    </w:p>
    <w:p w:rsidR="003F5784" w14:paraId="01BD137D" w14:textId="77777777">
      <w:pPr>
        <w:pStyle w:val="BodyText"/>
      </w:pPr>
    </w:p>
    <w:p w:rsidR="003F5784" w14:paraId="4DA14BFF" w14:textId="77777777">
      <w:pPr>
        <w:pStyle w:val="BodyText"/>
      </w:pPr>
    </w:p>
    <w:p w:rsidR="003F5784" w14:paraId="3FED4836" w14:textId="77777777">
      <w:pPr>
        <w:pStyle w:val="BodyText"/>
        <w:spacing w:before="146"/>
      </w:pPr>
    </w:p>
    <w:p w:rsidR="003F5784" w14:paraId="0CF8108B" w14:textId="77777777">
      <w:pPr>
        <w:ind w:left="2926"/>
        <w:rPr>
          <w:sz w:val="18"/>
        </w:rPr>
      </w:pPr>
      <w:hyperlink r:id="rId514">
        <w:r>
          <w:rPr>
            <w:spacing w:val="-2"/>
            <w:w w:val="105"/>
            <w:sz w:val="18"/>
          </w:rPr>
          <w:t>http://nces.ed.gov/nationsreportcard/tdw/weighting/2022/computation_of_replicate_student_weights_for_variance_estimation_for_the_2022_assessment.aspx</w:t>
        </w:r>
      </w:hyperlink>
    </w:p>
    <w:p w:rsidR="003F5784" w14:paraId="239F5E91" w14:textId="77777777">
      <w:pPr>
        <w:pStyle w:val="BodyText"/>
        <w:rPr>
          <w:sz w:val="16"/>
        </w:rPr>
      </w:pPr>
      <w:r>
        <w:rPr>
          <w:noProof/>
        </w:rPr>
        <mc:AlternateContent>
          <mc:Choice Requires="wps">
            <w:drawing>
              <wp:anchor distT="0" distB="0" distL="0" distR="0" simplePos="0" relativeHeight="252015616" behindDoc="1" locked="0" layoutInCell="1" allowOverlap="1">
                <wp:simplePos x="0" y="0"/>
                <wp:positionH relativeFrom="page">
                  <wp:posOffset>361937</wp:posOffset>
                </wp:positionH>
                <wp:positionV relativeFrom="paragraph">
                  <wp:posOffset>132593</wp:posOffset>
                </wp:positionV>
                <wp:extent cx="9339580" cy="8890"/>
                <wp:effectExtent l="0" t="0" r="0" b="0"/>
                <wp:wrapTopAndBottom/>
                <wp:docPr id="643" name="Graphic 643"/>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63"/>
                              </a:moveTo>
                              <a:lnTo>
                                <a:pt x="9335110" y="63"/>
                              </a:lnTo>
                              <a:lnTo>
                                <a:pt x="8280" y="63"/>
                              </a:lnTo>
                              <a:lnTo>
                                <a:pt x="0" y="0"/>
                              </a:lnTo>
                              <a:lnTo>
                                <a:pt x="0" y="8267"/>
                              </a:lnTo>
                              <a:lnTo>
                                <a:pt x="9335110" y="8343"/>
                              </a:lnTo>
                              <a:lnTo>
                                <a:pt x="9338970" y="8343"/>
                              </a:lnTo>
                              <a:lnTo>
                                <a:pt x="9338970" y="63"/>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643" o:spid="_x0000_s1206" style="width:735.4pt;height:0.7pt;margin-top:10.45pt;margin-left:28.5pt;mso-position-horizontal-relative:page;mso-wrap-distance-bottom:0;mso-wrap-distance-left:0;mso-wrap-distance-right:0;mso-wrap-distance-top:0;mso-wrap-style:square;position:absolute;visibility:visible;v-text-anchor:top;z-index:-251299840" coordsize="9339580,8890" path="m9338970,63l9335110,63l8280,63,,,,8267l9335110,8343l9338970,8343l9338970,63xe" fillcolor="gray" stroked="f">
                <v:path arrowok="t"/>
                <w10:wrap type="topAndBottom"/>
              </v:shape>
            </w:pict>
          </mc:Fallback>
        </mc:AlternateContent>
      </w:r>
    </w:p>
    <w:p w:rsidR="003F5784" w14:paraId="33FBB1C0" w14:textId="77777777">
      <w:pPr>
        <w:pStyle w:val="BodyText"/>
        <w:rPr>
          <w:sz w:val="18"/>
        </w:rPr>
      </w:pPr>
    </w:p>
    <w:p w:rsidR="003F5784" w14:paraId="59DEDAC1" w14:textId="77777777">
      <w:pPr>
        <w:pStyle w:val="BodyText"/>
        <w:spacing w:before="193"/>
        <w:rPr>
          <w:sz w:val="18"/>
        </w:rPr>
      </w:pPr>
    </w:p>
    <w:p w:rsidR="003F5784" w14:paraId="557B0D4E" w14:textId="490DE838">
      <w:pPr>
        <w:pStyle w:val="Heading1"/>
      </w:pPr>
      <w:r>
        <w:t>NAEP</w:t>
      </w:r>
      <w:r>
        <w:rPr>
          <w:spacing w:val="-18"/>
        </w:rPr>
        <w:t xml:space="preserve"> </w:t>
      </w:r>
      <w:r>
        <w:t>Technical</w:t>
      </w:r>
      <w:r>
        <w:rPr>
          <w:spacing w:val="17"/>
        </w:rPr>
        <w:t xml:space="preserve"> </w:t>
      </w:r>
      <w:r>
        <w:t>Documentation</w:t>
      </w:r>
      <w:r w:rsidR="00C94150">
        <w:t xml:space="preserve"> </w:t>
      </w:r>
      <w:r>
        <w:t>Computing</w:t>
      </w:r>
      <w:r>
        <w:rPr>
          <w:spacing w:val="17"/>
        </w:rPr>
        <w:t xml:space="preserve"> </w:t>
      </w:r>
      <w:r>
        <w:t>School-Level</w:t>
      </w:r>
      <w:r>
        <w:rPr>
          <w:spacing w:val="16"/>
        </w:rPr>
        <w:t xml:space="preserve"> </w:t>
      </w:r>
      <w:r>
        <w:t>Replicate</w:t>
      </w:r>
      <w:r>
        <w:rPr>
          <w:spacing w:val="17"/>
        </w:rPr>
        <w:t xml:space="preserve"> </w:t>
      </w:r>
      <w:r>
        <w:rPr>
          <w:spacing w:val="-2"/>
        </w:rPr>
        <w:t>Factors</w:t>
      </w:r>
    </w:p>
    <w:p w:rsidR="003F5784" w14:paraId="6CBA5874" w14:textId="77777777">
      <w:pPr>
        <w:pStyle w:val="BodyText"/>
        <w:spacing w:before="289"/>
        <w:ind w:left="109"/>
      </w:pPr>
      <w:r>
        <w:t>The</w:t>
      </w:r>
      <w:r>
        <w:rPr>
          <w:spacing w:val="-8"/>
        </w:rPr>
        <w:t xml:space="preserve"> </w:t>
      </w:r>
      <w:r>
        <w:t>school-level</w:t>
      </w:r>
      <w:r>
        <w:rPr>
          <w:spacing w:val="-7"/>
        </w:rPr>
        <w:t xml:space="preserve"> </w:t>
      </w:r>
      <w:r>
        <w:t>replication</w:t>
      </w:r>
      <w:r>
        <w:rPr>
          <w:spacing w:val="-8"/>
        </w:rPr>
        <w:t xml:space="preserve"> </w:t>
      </w:r>
      <w:r>
        <w:t>procedures</w:t>
      </w:r>
      <w:r>
        <w:rPr>
          <w:spacing w:val="-7"/>
        </w:rPr>
        <w:t xml:space="preserve"> </w:t>
      </w:r>
      <w:r>
        <w:t>differed</w:t>
      </w:r>
      <w:r>
        <w:rPr>
          <w:spacing w:val="-7"/>
        </w:rPr>
        <w:t xml:space="preserve"> </w:t>
      </w:r>
      <w:r>
        <w:t>for</w:t>
      </w:r>
      <w:r>
        <w:rPr>
          <w:spacing w:val="-8"/>
        </w:rPr>
        <w:t xml:space="preserve"> </w:t>
      </w:r>
      <w:r>
        <w:t>the</w:t>
      </w:r>
      <w:r>
        <w:rPr>
          <w:spacing w:val="-7"/>
        </w:rPr>
        <w:t xml:space="preserve"> </w:t>
      </w:r>
      <w:r>
        <w:t>age-based</w:t>
      </w:r>
      <w:r>
        <w:rPr>
          <w:spacing w:val="-8"/>
        </w:rPr>
        <w:t xml:space="preserve"> </w:t>
      </w:r>
      <w:r>
        <w:t>samples</w:t>
      </w:r>
      <w:r>
        <w:rPr>
          <w:spacing w:val="-7"/>
        </w:rPr>
        <w:t xml:space="preserve"> </w:t>
      </w:r>
      <w:r>
        <w:t>and</w:t>
      </w:r>
      <w:r>
        <w:rPr>
          <w:spacing w:val="-7"/>
        </w:rPr>
        <w:t xml:space="preserve"> </w:t>
      </w:r>
      <w:r>
        <w:t>the</w:t>
      </w:r>
      <w:r>
        <w:rPr>
          <w:spacing w:val="-8"/>
        </w:rPr>
        <w:t xml:space="preserve"> </w:t>
      </w:r>
      <w:r>
        <w:t>grade-based</w:t>
      </w:r>
      <w:r>
        <w:rPr>
          <w:spacing w:val="-7"/>
        </w:rPr>
        <w:t xml:space="preserve"> </w:t>
      </w:r>
      <w:r>
        <w:t>samples</w:t>
      </w:r>
      <w:r>
        <w:rPr>
          <w:spacing w:val="-8"/>
        </w:rPr>
        <w:t xml:space="preserve"> </w:t>
      </w:r>
      <w:r>
        <w:t>because</w:t>
      </w:r>
      <w:r>
        <w:rPr>
          <w:spacing w:val="-7"/>
        </w:rPr>
        <w:t xml:space="preserve"> </w:t>
      </w:r>
      <w:r>
        <w:t>the</w:t>
      </w:r>
      <w:r>
        <w:rPr>
          <w:spacing w:val="-7"/>
        </w:rPr>
        <w:t xml:space="preserve"> </w:t>
      </w:r>
      <w:r>
        <w:t>latter</w:t>
      </w:r>
      <w:r>
        <w:rPr>
          <w:spacing w:val="-8"/>
        </w:rPr>
        <w:t xml:space="preserve"> </w:t>
      </w:r>
      <w:r>
        <w:t>incorporate</w:t>
      </w:r>
      <w:r>
        <w:rPr>
          <w:spacing w:val="-7"/>
        </w:rPr>
        <w:t xml:space="preserve"> </w:t>
      </w:r>
      <w:r>
        <w:t>finite</w:t>
      </w:r>
      <w:r>
        <w:rPr>
          <w:spacing w:val="-8"/>
        </w:rPr>
        <w:t xml:space="preserve"> </w:t>
      </w:r>
      <w:r>
        <w:t>population</w:t>
      </w:r>
      <w:r>
        <w:rPr>
          <w:spacing w:val="-7"/>
        </w:rPr>
        <w:t xml:space="preserve"> </w:t>
      </w:r>
      <w:r>
        <w:rPr>
          <w:spacing w:val="-2"/>
        </w:rPr>
        <w:t>corrections.</w:t>
      </w:r>
    </w:p>
    <w:p w:rsidR="003F5784" w14:paraId="43E0424B" w14:textId="77777777">
      <w:pPr>
        <w:pStyle w:val="Heading2"/>
        <w:spacing w:before="202"/>
        <w:ind w:left="109"/>
      </w:pPr>
      <w:r>
        <w:t>Age-Based</w:t>
      </w:r>
      <w:r>
        <w:rPr>
          <w:spacing w:val="-11"/>
        </w:rPr>
        <w:t xml:space="preserve"> </w:t>
      </w:r>
      <w:r>
        <w:rPr>
          <w:spacing w:val="-2"/>
        </w:rPr>
        <w:t>Samples</w:t>
      </w:r>
    </w:p>
    <w:p w:rsidR="003F5784" w14:paraId="0D5BFD4F" w14:textId="77777777">
      <w:pPr>
        <w:pStyle w:val="BodyText"/>
        <w:spacing w:before="207" w:line="232" w:lineRule="auto"/>
        <w:ind w:left="109" w:right="179"/>
      </w:pPr>
      <w:r>
        <w:t>For</w:t>
      </w:r>
      <w:r>
        <w:rPr>
          <w:spacing w:val="-11"/>
        </w:rPr>
        <w:t xml:space="preserve"> </w:t>
      </w:r>
      <w:r>
        <w:t>the</w:t>
      </w:r>
      <w:r>
        <w:rPr>
          <w:spacing w:val="-9"/>
        </w:rPr>
        <w:t xml:space="preserve"> </w:t>
      </w:r>
      <w:r>
        <w:t>NAEP</w:t>
      </w:r>
      <w:r>
        <w:rPr>
          <w:spacing w:val="-14"/>
        </w:rPr>
        <w:t xml:space="preserve"> </w:t>
      </w:r>
      <w:r>
        <w:t>2022</w:t>
      </w:r>
      <w:r>
        <w:rPr>
          <w:spacing w:val="-8"/>
        </w:rPr>
        <w:t xml:space="preserve"> </w:t>
      </w:r>
      <w:r>
        <w:t>age-based</w:t>
      </w:r>
      <w:r>
        <w:rPr>
          <w:spacing w:val="-9"/>
        </w:rPr>
        <w:t xml:space="preserve"> </w:t>
      </w:r>
      <w:r>
        <w:t>long-term</w:t>
      </w:r>
      <w:r>
        <w:rPr>
          <w:spacing w:val="-9"/>
        </w:rPr>
        <w:t xml:space="preserve"> </w:t>
      </w:r>
      <w:r>
        <w:t>trend</w:t>
      </w:r>
      <w:r>
        <w:rPr>
          <w:spacing w:val="-9"/>
        </w:rPr>
        <w:t xml:space="preserve"> </w:t>
      </w:r>
      <w:r>
        <w:t>(LTT)</w:t>
      </w:r>
      <w:r>
        <w:rPr>
          <w:spacing w:val="-9"/>
        </w:rPr>
        <w:t xml:space="preserve"> </w:t>
      </w:r>
      <w:r>
        <w:t>assessments,</w:t>
      </w:r>
      <w:r>
        <w:rPr>
          <w:spacing w:val="-9"/>
        </w:rPr>
        <w:t xml:space="preserve"> </w:t>
      </w:r>
      <w:r>
        <w:t>the</w:t>
      </w:r>
      <w:r>
        <w:rPr>
          <w:spacing w:val="-9"/>
        </w:rPr>
        <w:t xml:space="preserve"> </w:t>
      </w:r>
      <w:r>
        <w:t>school-level</w:t>
      </w:r>
      <w:r>
        <w:rPr>
          <w:spacing w:val="-9"/>
        </w:rPr>
        <w:t xml:space="preserve"> </w:t>
      </w:r>
      <w:r>
        <w:t>replication</w:t>
      </w:r>
      <w:r>
        <w:rPr>
          <w:spacing w:val="-9"/>
        </w:rPr>
        <w:t xml:space="preserve"> </w:t>
      </w:r>
      <w:r>
        <w:t>was</w:t>
      </w:r>
      <w:r>
        <w:rPr>
          <w:spacing w:val="-9"/>
        </w:rPr>
        <w:t xml:space="preserve"> </w:t>
      </w:r>
      <w:r>
        <w:t>carried</w:t>
      </w:r>
      <w:r>
        <w:rPr>
          <w:spacing w:val="-9"/>
        </w:rPr>
        <w:t xml:space="preserve"> </w:t>
      </w:r>
      <w:r>
        <w:t>out</w:t>
      </w:r>
      <w:r>
        <w:rPr>
          <w:spacing w:val="-9"/>
        </w:rPr>
        <w:t xml:space="preserve"> </w:t>
      </w:r>
      <w:r>
        <w:t>using</w:t>
      </w:r>
      <w:r>
        <w:rPr>
          <w:spacing w:val="-9"/>
        </w:rPr>
        <w:t xml:space="preserve"> </w:t>
      </w:r>
      <w:r>
        <w:t>the</w:t>
      </w:r>
      <w:r>
        <w:rPr>
          <w:spacing w:val="-9"/>
        </w:rPr>
        <w:t xml:space="preserve"> </w:t>
      </w:r>
      <w:r>
        <w:t>same</w:t>
      </w:r>
      <w:r>
        <w:rPr>
          <w:spacing w:val="-9"/>
        </w:rPr>
        <w:t xml:space="preserve"> </w:t>
      </w:r>
      <w:r>
        <w:t>procedures</w:t>
      </w:r>
      <w:r>
        <w:rPr>
          <w:spacing w:val="-9"/>
        </w:rPr>
        <w:t xml:space="preserve"> </w:t>
      </w:r>
      <w:r>
        <w:t>used</w:t>
      </w:r>
      <w:r>
        <w:rPr>
          <w:spacing w:val="-9"/>
        </w:rPr>
        <w:t xml:space="preserve"> </w:t>
      </w:r>
      <w:r>
        <w:t>for</w:t>
      </w:r>
      <w:r>
        <w:rPr>
          <w:spacing w:val="-9"/>
        </w:rPr>
        <w:t xml:space="preserve"> </w:t>
      </w:r>
      <w:r>
        <w:t>2020</w:t>
      </w:r>
      <w:r>
        <w:rPr>
          <w:spacing w:val="-9"/>
        </w:rPr>
        <w:t xml:space="preserve"> </w:t>
      </w:r>
      <w:r>
        <w:t>LTT.</w:t>
      </w:r>
      <w:r>
        <w:rPr>
          <w:spacing w:val="-12"/>
        </w:rPr>
        <w:t xml:space="preserve"> </w:t>
      </w:r>
      <w:r>
        <w:t>Those</w:t>
      </w:r>
      <w:r>
        <w:rPr>
          <w:spacing w:val="-9"/>
        </w:rPr>
        <w:t xml:space="preserve"> </w:t>
      </w:r>
      <w:r>
        <w:t>procedures are described here.</w:t>
      </w:r>
    </w:p>
    <w:p w:rsidR="003F5784" w14:paraId="1D116CCF" w14:textId="77777777">
      <w:pPr>
        <w:pStyle w:val="BodyText"/>
      </w:pPr>
    </w:p>
    <w:p w:rsidR="003F5784" w14:paraId="40880203" w14:textId="77777777">
      <w:pPr>
        <w:pStyle w:val="BodyText"/>
        <w:spacing w:before="163"/>
      </w:pPr>
    </w:p>
    <w:p w:rsidR="003F5784" w14:paraId="3CC20B80" w14:textId="77777777">
      <w:pPr>
        <w:pStyle w:val="Heading2"/>
        <w:spacing w:before="1"/>
        <w:ind w:left="109"/>
      </w:pPr>
      <w:r>
        <w:t>Grade-Based</w:t>
      </w:r>
      <w:r>
        <w:rPr>
          <w:spacing w:val="-13"/>
        </w:rPr>
        <w:t xml:space="preserve"> </w:t>
      </w:r>
      <w:r>
        <w:rPr>
          <w:spacing w:val="-2"/>
        </w:rPr>
        <w:t>Samples</w:t>
      </w:r>
    </w:p>
    <w:p w:rsidR="003F5784" w14:paraId="7B40023E" w14:textId="77777777">
      <w:pPr>
        <w:pStyle w:val="BodyText"/>
        <w:spacing w:before="207" w:line="232" w:lineRule="auto"/>
        <w:ind w:left="109" w:right="317"/>
      </w:pPr>
      <w:r>
        <w:t>The</w:t>
      </w:r>
      <w:r>
        <w:rPr>
          <w:spacing w:val="-7"/>
        </w:rPr>
        <w:t xml:space="preserve"> </w:t>
      </w:r>
      <w:r>
        <w:t>replicate</w:t>
      </w:r>
      <w:r>
        <w:rPr>
          <w:spacing w:val="-7"/>
        </w:rPr>
        <w:t xml:space="preserve"> </w:t>
      </w:r>
      <w:r>
        <w:t>variance</w:t>
      </w:r>
      <w:r>
        <w:rPr>
          <w:spacing w:val="-7"/>
        </w:rPr>
        <w:t xml:space="preserve"> </w:t>
      </w:r>
      <w:r>
        <w:t>estimation</w:t>
      </w:r>
      <w:r>
        <w:rPr>
          <w:spacing w:val="-7"/>
        </w:rPr>
        <w:t xml:space="preserve"> </w:t>
      </w:r>
      <w:r>
        <w:t>approach</w:t>
      </w:r>
      <w:r>
        <w:rPr>
          <w:spacing w:val="-7"/>
        </w:rPr>
        <w:t xml:space="preserve"> </w:t>
      </w:r>
      <w:r>
        <w:t>for</w:t>
      </w:r>
      <w:r>
        <w:rPr>
          <w:spacing w:val="-7"/>
        </w:rPr>
        <w:t xml:space="preserve"> </w:t>
      </w:r>
      <w:r>
        <w:t>the</w:t>
      </w:r>
      <w:r>
        <w:rPr>
          <w:spacing w:val="-7"/>
        </w:rPr>
        <w:t xml:space="preserve"> </w:t>
      </w:r>
      <w:r>
        <w:t>grade-based</w:t>
      </w:r>
      <w:r>
        <w:rPr>
          <w:spacing w:val="-7"/>
        </w:rPr>
        <w:t xml:space="preserve"> </w:t>
      </w:r>
      <w:r>
        <w:t>civics,</w:t>
      </w:r>
      <w:r>
        <w:rPr>
          <w:spacing w:val="-7"/>
        </w:rPr>
        <w:t xml:space="preserve"> </w:t>
      </w:r>
      <w:r>
        <w:t>mathematics,</w:t>
      </w:r>
      <w:r>
        <w:rPr>
          <w:spacing w:val="-7"/>
        </w:rPr>
        <w:t xml:space="preserve"> </w:t>
      </w:r>
      <w:r>
        <w:t>reading,</w:t>
      </w:r>
      <w:r>
        <w:rPr>
          <w:spacing w:val="-7"/>
        </w:rPr>
        <w:t xml:space="preserve"> </w:t>
      </w:r>
      <w:r>
        <w:t>and</w:t>
      </w:r>
      <w:r>
        <w:rPr>
          <w:spacing w:val="-7"/>
        </w:rPr>
        <w:t xml:space="preserve"> </w:t>
      </w:r>
      <w:r>
        <w:t>U.S.</w:t>
      </w:r>
      <w:r>
        <w:rPr>
          <w:spacing w:val="-7"/>
        </w:rPr>
        <w:t xml:space="preserve"> </w:t>
      </w:r>
      <w:r>
        <w:t>history</w:t>
      </w:r>
      <w:r>
        <w:rPr>
          <w:spacing w:val="-7"/>
        </w:rPr>
        <w:t xml:space="preserve"> </w:t>
      </w:r>
      <w:r>
        <w:t>assessments</w:t>
      </w:r>
      <w:r>
        <w:rPr>
          <w:spacing w:val="-7"/>
        </w:rPr>
        <w:t xml:space="preserve"> </w:t>
      </w:r>
      <w:r>
        <w:t>involved</w:t>
      </w:r>
      <w:r>
        <w:rPr>
          <w:spacing w:val="-7"/>
        </w:rPr>
        <w:t xml:space="preserve"> </w:t>
      </w:r>
      <w:r>
        <w:t>finite</w:t>
      </w:r>
      <w:r>
        <w:rPr>
          <w:spacing w:val="-7"/>
        </w:rPr>
        <w:t xml:space="preserve"> </w:t>
      </w:r>
      <w:r>
        <w:t>population</w:t>
      </w:r>
      <w:r>
        <w:rPr>
          <w:spacing w:val="-7"/>
        </w:rPr>
        <w:t xml:space="preserve"> </w:t>
      </w:r>
      <w:r>
        <w:t>corrections</w:t>
      </w:r>
      <w:r>
        <w:rPr>
          <w:spacing w:val="-7"/>
        </w:rPr>
        <w:t xml:space="preserve"> </w:t>
      </w:r>
      <w:r>
        <w:t>at</w:t>
      </w:r>
      <w:r>
        <w:rPr>
          <w:spacing w:val="-7"/>
        </w:rPr>
        <w:t xml:space="preserve"> </w:t>
      </w:r>
      <w:r>
        <w:t>the</w:t>
      </w:r>
      <w:r>
        <w:rPr>
          <w:spacing w:val="-7"/>
        </w:rPr>
        <w:t xml:space="preserve"> </w:t>
      </w:r>
      <w:r>
        <w:t>school level.</w:t>
      </w:r>
      <w:r>
        <w:rPr>
          <w:spacing w:val="-3"/>
        </w:rPr>
        <w:t xml:space="preserve"> </w:t>
      </w:r>
      <w:r>
        <w:t>The calculation of school-level replicate factors for these assessments depended upon whether or not a school was selected with certainty. For certainty schools, the school-level</w:t>
      </w:r>
      <w:r>
        <w:rPr>
          <w:spacing w:val="-6"/>
        </w:rPr>
        <w:t xml:space="preserve"> </w:t>
      </w:r>
      <w:r>
        <w:t>replicate</w:t>
      </w:r>
      <w:r>
        <w:rPr>
          <w:spacing w:val="-6"/>
        </w:rPr>
        <w:t xml:space="preserve"> </w:t>
      </w:r>
      <w:r>
        <w:t>factors</w:t>
      </w:r>
      <w:r>
        <w:rPr>
          <w:spacing w:val="-6"/>
        </w:rPr>
        <w:t xml:space="preserve"> </w:t>
      </w:r>
      <w:r>
        <w:t>for</w:t>
      </w:r>
      <w:r>
        <w:rPr>
          <w:spacing w:val="-6"/>
        </w:rPr>
        <w:t xml:space="preserve"> </w:t>
      </w:r>
      <w:r>
        <w:t>all</w:t>
      </w:r>
      <w:r>
        <w:rPr>
          <w:spacing w:val="-6"/>
        </w:rPr>
        <w:t xml:space="preserve"> </w:t>
      </w:r>
      <w:r>
        <w:t>replicates</w:t>
      </w:r>
      <w:r>
        <w:rPr>
          <w:spacing w:val="-6"/>
        </w:rPr>
        <w:t xml:space="preserve"> </w:t>
      </w:r>
      <w:r>
        <w:t>are</w:t>
      </w:r>
      <w:r>
        <w:rPr>
          <w:spacing w:val="-6"/>
        </w:rPr>
        <w:t xml:space="preserve"> </w:t>
      </w:r>
      <w:r>
        <w:t>set</w:t>
      </w:r>
      <w:r>
        <w:rPr>
          <w:spacing w:val="-6"/>
        </w:rPr>
        <w:t xml:space="preserve"> </w:t>
      </w:r>
      <w:r>
        <w:t>to</w:t>
      </w:r>
      <w:r>
        <w:rPr>
          <w:spacing w:val="-6"/>
        </w:rPr>
        <w:t xml:space="preserve"> </w:t>
      </w:r>
      <w:r>
        <w:t>unity–this</w:t>
      </w:r>
      <w:r>
        <w:rPr>
          <w:spacing w:val="-6"/>
        </w:rPr>
        <w:t xml:space="preserve"> </w:t>
      </w:r>
      <w:r>
        <w:t>is</w:t>
      </w:r>
      <w:r>
        <w:rPr>
          <w:spacing w:val="-6"/>
        </w:rPr>
        <w:t xml:space="preserve"> </w:t>
      </w:r>
      <w:r>
        <w:t>true</w:t>
      </w:r>
      <w:r>
        <w:rPr>
          <w:spacing w:val="-6"/>
        </w:rPr>
        <w:t xml:space="preserve"> </w:t>
      </w:r>
      <w:r>
        <w:t>regardless</w:t>
      </w:r>
      <w:r>
        <w:rPr>
          <w:spacing w:val="-6"/>
        </w:rPr>
        <w:t xml:space="preserve"> </w:t>
      </w:r>
      <w:r>
        <w:t>of</w:t>
      </w:r>
      <w:r>
        <w:rPr>
          <w:spacing w:val="-6"/>
        </w:rPr>
        <w:t xml:space="preserve"> </w:t>
      </w:r>
      <w:r>
        <w:t>whether</w:t>
      </w:r>
      <w:r>
        <w:rPr>
          <w:spacing w:val="-6"/>
        </w:rPr>
        <w:t xml:space="preserve"> </w:t>
      </w:r>
      <w:r>
        <w:t>or</w:t>
      </w:r>
      <w:r>
        <w:rPr>
          <w:spacing w:val="-6"/>
        </w:rPr>
        <w:t xml:space="preserve"> </w:t>
      </w:r>
      <w:r>
        <w:t>not</w:t>
      </w:r>
      <w:r>
        <w:rPr>
          <w:spacing w:val="-6"/>
        </w:rPr>
        <w:t xml:space="preserve"> </w:t>
      </w:r>
      <w:r>
        <w:t>the</w:t>
      </w:r>
      <w:r>
        <w:rPr>
          <w:spacing w:val="-6"/>
        </w:rPr>
        <w:t xml:space="preserve"> </w:t>
      </w:r>
      <w:r>
        <w:t>variance</w:t>
      </w:r>
      <w:r>
        <w:rPr>
          <w:spacing w:val="-6"/>
        </w:rPr>
        <w:t xml:space="preserve"> </w:t>
      </w:r>
      <w:r>
        <w:t>replication</w:t>
      </w:r>
      <w:r>
        <w:rPr>
          <w:spacing w:val="-6"/>
        </w:rPr>
        <w:t xml:space="preserve"> </w:t>
      </w:r>
      <w:r>
        <w:t>method</w:t>
      </w:r>
      <w:r>
        <w:rPr>
          <w:spacing w:val="-6"/>
        </w:rPr>
        <w:t xml:space="preserve"> </w:t>
      </w:r>
      <w:r>
        <w:t>uses</w:t>
      </w:r>
      <w:r>
        <w:rPr>
          <w:spacing w:val="-6"/>
        </w:rPr>
        <w:t xml:space="preserve"> </w:t>
      </w:r>
      <w:r>
        <w:t>finite</w:t>
      </w:r>
      <w:r>
        <w:rPr>
          <w:spacing w:val="-6"/>
        </w:rPr>
        <w:t xml:space="preserve"> </w:t>
      </w:r>
      <w:r>
        <w:t>population</w:t>
      </w:r>
      <w:r>
        <w:rPr>
          <w:spacing w:val="-6"/>
        </w:rPr>
        <w:t xml:space="preserve"> </w:t>
      </w:r>
      <w:r>
        <w:t>corrections–since certainty schools are not subject to sampling variability.</w:t>
      </w:r>
      <w:r>
        <w:rPr>
          <w:spacing w:val="-11"/>
        </w:rPr>
        <w:t xml:space="preserve"> </w:t>
      </w:r>
      <w:r>
        <w:t>Alternatively, one can view the finite population correction factor for such schools as being equal to zero.</w:t>
      </w:r>
      <w:r>
        <w:rPr>
          <w:spacing w:val="-4"/>
        </w:rPr>
        <w:t xml:space="preserve"> </w:t>
      </w:r>
      <w:r>
        <w:t>Thus, for each certainty school in a given assessment, the school-level replicate factor for each of the 62 replicates (\(r=1, ..., 62\)) was assigned as</w:t>
      </w:r>
    </w:p>
    <w:p w:rsidR="003F5784" w14:paraId="61A2EF12" w14:textId="77777777">
      <w:pPr>
        <w:pStyle w:val="BodyText"/>
        <w:spacing w:before="205"/>
        <w:ind w:left="109"/>
      </w:pPr>
      <w:r>
        <w:rPr>
          <w:spacing w:val="-2"/>
        </w:rPr>
        <w:t>\begin{equation}</w:t>
      </w:r>
      <w:r>
        <w:rPr>
          <w:spacing w:val="8"/>
        </w:rPr>
        <w:t xml:space="preserve"> </w:t>
      </w:r>
      <w:r>
        <w:rPr>
          <w:spacing w:val="-2"/>
        </w:rPr>
        <w:t>SCH\_REPFAC_{js}(r)=1</w:t>
      </w:r>
      <w:r>
        <w:rPr>
          <w:spacing w:val="8"/>
        </w:rPr>
        <w:t xml:space="preserve"> </w:t>
      </w:r>
      <w:r>
        <w:rPr>
          <w:spacing w:val="-2"/>
        </w:rPr>
        <w:t>,</w:t>
      </w:r>
      <w:r>
        <w:rPr>
          <w:spacing w:val="9"/>
        </w:rPr>
        <w:t xml:space="preserve"> </w:t>
      </w:r>
      <w:r>
        <w:rPr>
          <w:spacing w:val="-2"/>
        </w:rPr>
        <w:t>\displaystyle</w:t>
      </w:r>
      <w:r>
        <w:rPr>
          <w:spacing w:val="8"/>
        </w:rPr>
        <w:t xml:space="preserve"> </w:t>
      </w:r>
      <w:r>
        <w:rPr>
          <w:spacing w:val="-2"/>
        </w:rPr>
        <w:t>\end{equation}</w:t>
      </w:r>
    </w:p>
    <w:p w:rsidR="003F5784" w14:paraId="42BA6AC4" w14:textId="77777777">
      <w:pPr>
        <w:pStyle w:val="BodyText"/>
        <w:spacing w:before="201"/>
        <w:ind w:left="109"/>
      </w:pPr>
      <w:r>
        <w:t>where</w:t>
      </w:r>
      <w:r>
        <w:rPr>
          <w:spacing w:val="-8"/>
        </w:rPr>
        <w:t xml:space="preserve"> </w:t>
      </w:r>
      <w:r>
        <w:t>\(SCH\_REPFAC_{js}(r)\)</w:t>
      </w:r>
      <w:r>
        <w:rPr>
          <w:spacing w:val="-7"/>
        </w:rPr>
        <w:t xml:space="preserve"> </w:t>
      </w:r>
      <w:r>
        <w:t>is</w:t>
      </w:r>
      <w:r>
        <w:rPr>
          <w:spacing w:val="-8"/>
        </w:rPr>
        <w:t xml:space="preserve"> </w:t>
      </w:r>
      <w:r>
        <w:t>the</w:t>
      </w:r>
      <w:r>
        <w:rPr>
          <w:spacing w:val="-7"/>
        </w:rPr>
        <w:t xml:space="preserve"> </w:t>
      </w:r>
      <w:r>
        <w:t>school-level</w:t>
      </w:r>
      <w:r>
        <w:rPr>
          <w:spacing w:val="-8"/>
        </w:rPr>
        <w:t xml:space="preserve"> </w:t>
      </w:r>
      <w:r>
        <w:t>replicate</w:t>
      </w:r>
      <w:r>
        <w:rPr>
          <w:spacing w:val="-7"/>
        </w:rPr>
        <w:t xml:space="preserve"> </w:t>
      </w:r>
      <w:r>
        <w:t>factor</w:t>
      </w:r>
      <w:r>
        <w:rPr>
          <w:spacing w:val="-8"/>
        </w:rPr>
        <w:t xml:space="preserve"> </w:t>
      </w:r>
      <w:r>
        <w:t>for</w:t>
      </w:r>
      <w:r>
        <w:rPr>
          <w:spacing w:val="-7"/>
        </w:rPr>
        <w:t xml:space="preserve"> </w:t>
      </w:r>
      <w:r>
        <w:t>school</w:t>
      </w:r>
      <w:r>
        <w:rPr>
          <w:spacing w:val="-8"/>
        </w:rPr>
        <w:t xml:space="preserve"> </w:t>
      </w:r>
      <w:r>
        <w:t>\(s\)</w:t>
      </w:r>
      <w:r>
        <w:rPr>
          <w:spacing w:val="-7"/>
        </w:rPr>
        <w:t xml:space="preserve"> </w:t>
      </w:r>
      <w:r>
        <w:t>in</w:t>
      </w:r>
      <w:r>
        <w:rPr>
          <w:spacing w:val="-8"/>
        </w:rPr>
        <w:t xml:space="preserve"> </w:t>
      </w:r>
      <w:r>
        <w:t>primary</w:t>
      </w:r>
      <w:r>
        <w:rPr>
          <w:spacing w:val="-7"/>
        </w:rPr>
        <w:t xml:space="preserve"> </w:t>
      </w:r>
      <w:r>
        <w:t>stratum</w:t>
      </w:r>
      <w:r>
        <w:rPr>
          <w:spacing w:val="-8"/>
        </w:rPr>
        <w:t xml:space="preserve"> </w:t>
      </w:r>
      <w:r>
        <w:t>\(j\)</w:t>
      </w:r>
      <w:r>
        <w:rPr>
          <w:spacing w:val="-7"/>
        </w:rPr>
        <w:t xml:space="preserve"> </w:t>
      </w:r>
      <w:r>
        <w:t>for</w:t>
      </w:r>
      <w:r>
        <w:rPr>
          <w:spacing w:val="-7"/>
        </w:rPr>
        <w:t xml:space="preserve"> </w:t>
      </w:r>
      <w:r>
        <w:t>the</w:t>
      </w:r>
      <w:r>
        <w:rPr>
          <w:spacing w:val="-8"/>
        </w:rPr>
        <w:t xml:space="preserve"> </w:t>
      </w:r>
      <w:r>
        <w:t>\(r\)-th</w:t>
      </w:r>
      <w:r>
        <w:rPr>
          <w:spacing w:val="-7"/>
        </w:rPr>
        <w:t xml:space="preserve"> </w:t>
      </w:r>
      <w:r>
        <w:rPr>
          <w:spacing w:val="-2"/>
        </w:rPr>
        <w:t>replicate.</w:t>
      </w:r>
    </w:p>
    <w:p w:rsidR="003F5784" w14:paraId="049ECA42" w14:textId="77777777">
      <w:pPr>
        <w:pStyle w:val="BodyText"/>
        <w:spacing w:before="208" w:line="232" w:lineRule="auto"/>
        <w:ind w:left="109" w:right="179"/>
      </w:pPr>
      <w:r>
        <w:t>For</w:t>
      </w:r>
      <w:r>
        <w:rPr>
          <w:spacing w:val="-6"/>
        </w:rPr>
        <w:t xml:space="preserve"> </w:t>
      </w:r>
      <w:r>
        <w:t>noncertainty</w:t>
      </w:r>
      <w:r>
        <w:rPr>
          <w:spacing w:val="-6"/>
        </w:rPr>
        <w:t xml:space="preserve"> </w:t>
      </w:r>
      <w:r>
        <w:t>schools,</w:t>
      </w:r>
      <w:r>
        <w:rPr>
          <w:spacing w:val="-6"/>
        </w:rPr>
        <w:t xml:space="preserve"> </w:t>
      </w:r>
      <w:r>
        <w:t>where</w:t>
      </w:r>
      <w:r>
        <w:rPr>
          <w:spacing w:val="-6"/>
        </w:rPr>
        <w:t xml:space="preserve"> </w:t>
      </w:r>
      <w:r>
        <w:t>preliminary</w:t>
      </w:r>
      <w:r>
        <w:rPr>
          <w:spacing w:val="-6"/>
        </w:rPr>
        <w:t xml:space="preserve"> </w:t>
      </w:r>
      <w:r>
        <w:t>variance</w:t>
      </w:r>
      <w:r>
        <w:rPr>
          <w:spacing w:val="-6"/>
        </w:rPr>
        <w:t xml:space="preserve"> </w:t>
      </w:r>
      <w:r>
        <w:t>strata</w:t>
      </w:r>
      <w:r>
        <w:rPr>
          <w:spacing w:val="-6"/>
        </w:rPr>
        <w:t xml:space="preserve"> </w:t>
      </w:r>
      <w:r>
        <w:t>were</w:t>
      </w:r>
      <w:r>
        <w:rPr>
          <w:spacing w:val="-6"/>
        </w:rPr>
        <w:t xml:space="preserve"> </w:t>
      </w:r>
      <w:r>
        <w:t>formed</w:t>
      </w:r>
      <w:r>
        <w:rPr>
          <w:spacing w:val="-6"/>
        </w:rPr>
        <w:t xml:space="preserve"> </w:t>
      </w:r>
      <w:r>
        <w:t>by</w:t>
      </w:r>
      <w:r>
        <w:rPr>
          <w:spacing w:val="-6"/>
        </w:rPr>
        <w:t xml:space="preserve"> </w:t>
      </w:r>
      <w:r>
        <w:t>grouping</w:t>
      </w:r>
      <w:r>
        <w:rPr>
          <w:spacing w:val="-6"/>
        </w:rPr>
        <w:t xml:space="preserve"> </w:t>
      </w:r>
      <w:r>
        <w:t>schools</w:t>
      </w:r>
      <w:r>
        <w:rPr>
          <w:spacing w:val="-6"/>
        </w:rPr>
        <w:t xml:space="preserve"> </w:t>
      </w:r>
      <w:r>
        <w:t>into</w:t>
      </w:r>
      <w:r>
        <w:rPr>
          <w:spacing w:val="-6"/>
        </w:rPr>
        <w:t xml:space="preserve"> </w:t>
      </w:r>
      <w:r>
        <w:t>pairs</w:t>
      </w:r>
      <w:r>
        <w:rPr>
          <w:spacing w:val="-6"/>
        </w:rPr>
        <w:t xml:space="preserve"> </w:t>
      </w:r>
      <w:r>
        <w:t>or</w:t>
      </w:r>
      <w:r>
        <w:rPr>
          <w:spacing w:val="-6"/>
        </w:rPr>
        <w:t xml:space="preserve"> </w:t>
      </w:r>
      <w:r>
        <w:t>triplets,</w:t>
      </w:r>
      <w:r>
        <w:rPr>
          <w:spacing w:val="-6"/>
        </w:rPr>
        <w:t xml:space="preserve"> </w:t>
      </w:r>
      <w:r>
        <w:t>school-level</w:t>
      </w:r>
      <w:r>
        <w:rPr>
          <w:spacing w:val="-6"/>
        </w:rPr>
        <w:t xml:space="preserve"> </w:t>
      </w:r>
      <w:r>
        <w:t>replicate</w:t>
      </w:r>
      <w:r>
        <w:rPr>
          <w:spacing w:val="-6"/>
        </w:rPr>
        <w:t xml:space="preserve"> </w:t>
      </w:r>
      <w:r>
        <w:t>factors</w:t>
      </w:r>
      <w:r>
        <w:rPr>
          <w:spacing w:val="-6"/>
        </w:rPr>
        <w:t xml:space="preserve"> </w:t>
      </w:r>
      <w:r>
        <w:t>were</w:t>
      </w:r>
      <w:r>
        <w:rPr>
          <w:spacing w:val="-6"/>
        </w:rPr>
        <w:t xml:space="preserve"> </w:t>
      </w:r>
      <w:r>
        <w:t>calculated</w:t>
      </w:r>
      <w:r>
        <w:rPr>
          <w:spacing w:val="-6"/>
        </w:rPr>
        <w:t xml:space="preserve"> </w:t>
      </w:r>
      <w:r>
        <w:t>for</w:t>
      </w:r>
      <w:r>
        <w:rPr>
          <w:spacing w:val="-6"/>
        </w:rPr>
        <w:t xml:space="preserve"> </w:t>
      </w:r>
      <w:r>
        <w:t>each</w:t>
      </w:r>
      <w:r>
        <w:rPr>
          <w:spacing w:val="-6"/>
        </w:rPr>
        <w:t xml:space="preserve"> </w:t>
      </w:r>
      <w:r>
        <w:t>of</w:t>
      </w:r>
      <w:r>
        <w:rPr>
          <w:spacing w:val="-6"/>
        </w:rPr>
        <w:t xml:space="preserve"> </w:t>
      </w:r>
      <w:r>
        <w:t>the 62 replicates based on this grouping. For schools in variance strata comprising pairs of schools, the school-level replicate factors, \(SCH\_REPFAC_{js}(r) = 1,..., 62\), were calculated as</w:t>
      </w:r>
    </w:p>
    <w:p w:rsidR="003F5784" w14:paraId="5AC1EC6A" w14:textId="77777777">
      <w:pPr>
        <w:pStyle w:val="BodyText"/>
        <w:spacing w:before="203" w:line="238" w:lineRule="exact"/>
        <w:ind w:left="109"/>
      </w:pPr>
      <w:r>
        <w:t>\begin{equation}</w:t>
      </w:r>
      <w:r>
        <w:rPr>
          <w:spacing w:val="-9"/>
        </w:rPr>
        <w:t xml:space="preserve"> </w:t>
      </w:r>
      <w:r>
        <w:t>SCH\_REPFAC_{js}(r)</w:t>
      </w:r>
      <w:r>
        <w:rPr>
          <w:spacing w:val="-8"/>
        </w:rPr>
        <w:t xml:space="preserve"> </w:t>
      </w:r>
      <w:r>
        <w:t>=</w:t>
      </w:r>
      <w:r>
        <w:rPr>
          <w:spacing w:val="-8"/>
        </w:rPr>
        <w:t xml:space="preserve"> </w:t>
      </w:r>
      <w:r>
        <w:t>\left\{\begin{array}{llll}</w:t>
      </w:r>
      <w:r>
        <w:rPr>
          <w:spacing w:val="-8"/>
        </w:rPr>
        <w:t xml:space="preserve"> </w:t>
      </w:r>
      <w:r>
        <w:t>1</w:t>
      </w:r>
      <w:r>
        <w:rPr>
          <w:spacing w:val="-8"/>
        </w:rPr>
        <w:t xml:space="preserve"> </w:t>
      </w:r>
      <w:r>
        <w:t>+</w:t>
      </w:r>
      <w:r>
        <w:rPr>
          <w:spacing w:val="-8"/>
        </w:rPr>
        <w:t xml:space="preserve"> </w:t>
      </w:r>
      <w:r>
        <w:t>\sqrt{(1-min(\pi_{j1},</w:t>
      </w:r>
      <w:r>
        <w:rPr>
          <w:spacing w:val="-8"/>
        </w:rPr>
        <w:t xml:space="preserve"> </w:t>
      </w:r>
      <w:r>
        <w:t>\pi_{j2}))},</w:t>
      </w:r>
      <w:r>
        <w:rPr>
          <w:spacing w:val="-8"/>
        </w:rPr>
        <w:t xml:space="preserve"> </w:t>
      </w:r>
      <w:r>
        <w:t>&amp;</w:t>
      </w:r>
      <w:r>
        <w:rPr>
          <w:spacing w:val="-8"/>
        </w:rPr>
        <w:t xml:space="preserve"> </w:t>
      </w:r>
      <w:r>
        <w:t>\text{for</w:t>
      </w:r>
      <w:r>
        <w:rPr>
          <w:spacing w:val="-8"/>
        </w:rPr>
        <w:t xml:space="preserve"> </w:t>
      </w:r>
      <w:r>
        <w:t>}</w:t>
      </w:r>
      <w:r>
        <w:rPr>
          <w:spacing w:val="-8"/>
        </w:rPr>
        <w:t xml:space="preserve"> </w:t>
      </w:r>
      <w:r>
        <w:t>js</w:t>
      </w:r>
      <w:r>
        <w:rPr>
          <w:spacing w:val="-8"/>
        </w:rPr>
        <w:t xml:space="preserve"> </w:t>
      </w:r>
      <w:r>
        <w:t>\in</w:t>
      </w:r>
      <w:r>
        <w:rPr>
          <w:spacing w:val="-8"/>
        </w:rPr>
        <w:t xml:space="preserve"> </w:t>
      </w:r>
      <w:r>
        <w:t>R_{jr},</w:t>
      </w:r>
      <w:r>
        <w:rPr>
          <w:spacing w:val="-9"/>
        </w:rPr>
        <w:t xml:space="preserve"> </w:t>
      </w:r>
      <w:r>
        <w:t>U_{js}</w:t>
      </w:r>
      <w:r>
        <w:rPr>
          <w:spacing w:val="-8"/>
        </w:rPr>
        <w:t xml:space="preserve"> </w:t>
      </w:r>
      <w:r>
        <w:t>=</w:t>
      </w:r>
      <w:r>
        <w:rPr>
          <w:spacing w:val="-8"/>
        </w:rPr>
        <w:t xml:space="preserve"> </w:t>
      </w:r>
      <w:r>
        <w:t>1</w:t>
      </w:r>
      <w:r>
        <w:rPr>
          <w:spacing w:val="-8"/>
        </w:rPr>
        <w:t xml:space="preserve"> </w:t>
      </w:r>
      <w:r>
        <w:t>\\</w:t>
      </w:r>
      <w:r>
        <w:rPr>
          <w:spacing w:val="-8"/>
        </w:rPr>
        <w:t xml:space="preserve"> </w:t>
      </w:r>
      <w:r>
        <w:t>1</w:t>
      </w:r>
      <w:r>
        <w:rPr>
          <w:spacing w:val="-8"/>
        </w:rPr>
        <w:t xml:space="preserve"> </w:t>
      </w:r>
      <w:r>
        <w:t>-</w:t>
      </w:r>
      <w:r>
        <w:rPr>
          <w:spacing w:val="-8"/>
        </w:rPr>
        <w:t xml:space="preserve"> </w:t>
      </w:r>
      <w:r>
        <w:t>\sqrt{(1-</w:t>
      </w:r>
      <w:r>
        <w:rPr>
          <w:spacing w:val="-2"/>
        </w:rPr>
        <w:t>min(\pi_{j1},</w:t>
      </w:r>
    </w:p>
    <w:p w:rsidR="003F5784" w14:paraId="5C977F50" w14:textId="77777777">
      <w:pPr>
        <w:pStyle w:val="BodyText"/>
        <w:spacing w:line="238" w:lineRule="exact"/>
        <w:ind w:left="109"/>
      </w:pPr>
      <w:r>
        <w:t>\pi_{j2}))},</w:t>
      </w:r>
      <w:r>
        <w:rPr>
          <w:spacing w:val="-5"/>
        </w:rPr>
        <w:t xml:space="preserve"> </w:t>
      </w:r>
      <w:r>
        <w:t>&amp;</w:t>
      </w:r>
      <w:r>
        <w:rPr>
          <w:spacing w:val="-5"/>
        </w:rPr>
        <w:t xml:space="preserve"> </w:t>
      </w:r>
      <w:r>
        <w:t>\text{for</w:t>
      </w:r>
      <w:r>
        <w:rPr>
          <w:spacing w:val="-5"/>
        </w:rPr>
        <w:t xml:space="preserve"> </w:t>
      </w:r>
      <w:r>
        <w:t>}</w:t>
      </w:r>
      <w:r>
        <w:rPr>
          <w:spacing w:val="-5"/>
        </w:rPr>
        <w:t xml:space="preserve"> </w:t>
      </w:r>
      <w:r>
        <w:t>js</w:t>
      </w:r>
      <w:r>
        <w:rPr>
          <w:spacing w:val="-5"/>
        </w:rPr>
        <w:t xml:space="preserve"> </w:t>
      </w:r>
      <w:r>
        <w:t>\in</w:t>
      </w:r>
      <w:r>
        <w:rPr>
          <w:spacing w:val="-5"/>
        </w:rPr>
        <w:t xml:space="preserve"> </w:t>
      </w:r>
      <w:r>
        <w:t>R_{jr},</w:t>
      </w:r>
      <w:r>
        <w:rPr>
          <w:spacing w:val="-5"/>
        </w:rPr>
        <w:t xml:space="preserve"> </w:t>
      </w:r>
      <w:r>
        <w:t>U_{js}</w:t>
      </w:r>
      <w:r>
        <w:rPr>
          <w:spacing w:val="-5"/>
        </w:rPr>
        <w:t xml:space="preserve"> </w:t>
      </w:r>
      <w:r>
        <w:t>=</w:t>
      </w:r>
      <w:r>
        <w:rPr>
          <w:spacing w:val="-5"/>
        </w:rPr>
        <w:t xml:space="preserve"> </w:t>
      </w:r>
      <w:r>
        <w:t>2</w:t>
      </w:r>
      <w:r>
        <w:rPr>
          <w:spacing w:val="-4"/>
        </w:rPr>
        <w:t xml:space="preserve"> </w:t>
      </w:r>
      <w:r>
        <w:t>\\</w:t>
      </w:r>
      <w:r>
        <w:rPr>
          <w:spacing w:val="-5"/>
        </w:rPr>
        <w:t xml:space="preserve"> </w:t>
      </w:r>
      <w:r>
        <w:t>1,</w:t>
      </w:r>
      <w:r>
        <w:rPr>
          <w:spacing w:val="-5"/>
        </w:rPr>
        <w:t xml:space="preserve"> </w:t>
      </w:r>
      <w:r>
        <w:t>&amp;</w:t>
      </w:r>
      <w:r>
        <w:rPr>
          <w:spacing w:val="-5"/>
        </w:rPr>
        <w:t xml:space="preserve"> </w:t>
      </w:r>
      <w:r>
        <w:t>\text{for</w:t>
      </w:r>
      <w:r>
        <w:rPr>
          <w:spacing w:val="-5"/>
        </w:rPr>
        <w:t xml:space="preserve"> </w:t>
      </w:r>
      <w:r>
        <w:t>}</w:t>
      </w:r>
      <w:r>
        <w:rPr>
          <w:spacing w:val="-5"/>
        </w:rPr>
        <w:t xml:space="preserve"> </w:t>
      </w:r>
      <w:r>
        <w:t>js</w:t>
      </w:r>
      <w:r>
        <w:rPr>
          <w:spacing w:val="-5"/>
        </w:rPr>
        <w:t xml:space="preserve"> </w:t>
      </w:r>
      <w:r>
        <w:t>\notin</w:t>
      </w:r>
      <w:r>
        <w:rPr>
          <w:spacing w:val="-5"/>
        </w:rPr>
        <w:t xml:space="preserve"> </w:t>
      </w:r>
      <w:r>
        <w:t>R_{jr}</w:t>
      </w:r>
      <w:r>
        <w:rPr>
          <w:spacing w:val="-5"/>
        </w:rPr>
        <w:t xml:space="preserve"> </w:t>
      </w:r>
      <w:r>
        <w:t>\end{array}\right.</w:t>
      </w:r>
      <w:r>
        <w:rPr>
          <w:spacing w:val="-5"/>
        </w:rPr>
        <w:t xml:space="preserve"> </w:t>
      </w:r>
      <w:r>
        <w:t>,</w:t>
      </w:r>
      <w:r>
        <w:rPr>
          <w:spacing w:val="-4"/>
        </w:rPr>
        <w:t xml:space="preserve"> </w:t>
      </w:r>
      <w:r>
        <w:rPr>
          <w:spacing w:val="-2"/>
        </w:rPr>
        <w:t>\end{equation}</w:t>
      </w:r>
    </w:p>
    <w:p w:rsidR="003F5784" w14:paraId="3AFC13FA" w14:textId="77777777">
      <w:pPr>
        <w:spacing w:line="238" w:lineRule="exact"/>
        <w:sectPr>
          <w:pgSz w:w="15840" w:h="12240" w:orient="landscape"/>
          <w:pgMar w:top="480" w:right="440" w:bottom="460" w:left="460" w:header="284" w:footer="275" w:gutter="0"/>
          <w:cols w:space="720"/>
        </w:sectPr>
      </w:pPr>
    </w:p>
    <w:p w:rsidR="003F5784" w14:paraId="73973795" w14:textId="77777777">
      <w:pPr>
        <w:pStyle w:val="BodyText"/>
        <w:spacing w:before="72"/>
        <w:ind w:left="109"/>
      </w:pPr>
      <w:r>
        <w:rPr>
          <w:spacing w:val="-4"/>
        </w:rPr>
        <w:t>where</w:t>
      </w:r>
    </w:p>
    <w:p w:rsidR="003F5784" w14:paraId="0B3C4033" w14:textId="77777777">
      <w:pPr>
        <w:pStyle w:val="BodyText"/>
        <w:spacing w:before="52"/>
        <w:rPr>
          <w:sz w:val="20"/>
        </w:rPr>
      </w:pPr>
      <w:r>
        <w:rPr>
          <w:noProof/>
        </w:rPr>
        <mc:AlternateContent>
          <mc:Choice Requires="wps">
            <w:drawing>
              <wp:anchor distT="0" distB="0" distL="0" distR="0" simplePos="0" relativeHeight="252017664" behindDoc="1" locked="0" layoutInCell="1" allowOverlap="1">
                <wp:simplePos x="0" y="0"/>
                <wp:positionH relativeFrom="page">
                  <wp:posOffset>560569</wp:posOffset>
                </wp:positionH>
                <wp:positionV relativeFrom="paragraph">
                  <wp:posOffset>194895</wp:posOffset>
                </wp:positionV>
                <wp:extent cx="41910" cy="41910"/>
                <wp:effectExtent l="0" t="0" r="0" b="0"/>
                <wp:wrapTopAndBottom/>
                <wp:docPr id="644" name="Graphic 644"/>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0" y="23403"/>
                              </a:lnTo>
                              <a:lnTo>
                                <a:pt x="0" y="17842"/>
                              </a:lnTo>
                              <a:lnTo>
                                <a:pt x="12771" y="1555"/>
                              </a:lnTo>
                              <a:lnTo>
                                <a:pt x="15306" y="521"/>
                              </a:lnTo>
                              <a:lnTo>
                                <a:pt x="17945" y="0"/>
                              </a:lnTo>
                              <a:lnTo>
                                <a:pt x="23433" y="0"/>
                              </a:lnTo>
                              <a:lnTo>
                                <a:pt x="26072" y="521"/>
                              </a:lnTo>
                              <a:lnTo>
                                <a:pt x="28606" y="1555"/>
                              </a:lnTo>
                              <a:lnTo>
                                <a:pt x="31141" y="2457"/>
                              </a:lnTo>
                              <a:lnTo>
                                <a:pt x="41379" y="20689"/>
                              </a:lnTo>
                              <a:lnTo>
                                <a:pt x="41378" y="23403"/>
                              </a:lnTo>
                              <a:lnTo>
                                <a:pt x="23433" y="41246"/>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44" o:spid="_x0000_s1207" style="width:3.3pt;height:3.3pt;margin-top:15.35pt;margin-left:44.15pt;mso-position-horizontal-relative:page;mso-wrap-distance-bottom:0;mso-wrap-distance-left:0;mso-wrap-distance-right:0;mso-wrap-distance-top:0;mso-wrap-style:square;position:absolute;visibility:visible;v-text-anchor:top;z-index:-251297792" coordsize="41910,41910" path="m20689,41378l,23403,,17842,12771,1555,15306,521,17945,l23433,l26072,521l28606,1555l31141,2457,41379,20689l41378,23403l23433,41246l20689,41378xe" fillcolor="black" stroked="f">
                <v:path arrowok="t"/>
                <w10:wrap type="topAndBottom"/>
              </v:shape>
            </w:pict>
          </mc:Fallback>
        </mc:AlternateContent>
      </w:r>
      <w:r>
        <w:rPr>
          <w:noProof/>
        </w:rPr>
        <mc:AlternateContent>
          <mc:Choice Requires="wps">
            <w:drawing>
              <wp:anchor distT="0" distB="0" distL="0" distR="0" simplePos="0" relativeHeight="252019712" behindDoc="1" locked="0" layoutInCell="1" allowOverlap="1">
                <wp:simplePos x="0" y="0"/>
                <wp:positionH relativeFrom="page">
                  <wp:posOffset>560569</wp:posOffset>
                </wp:positionH>
                <wp:positionV relativeFrom="paragraph">
                  <wp:posOffset>343859</wp:posOffset>
                </wp:positionV>
                <wp:extent cx="41910" cy="41910"/>
                <wp:effectExtent l="0" t="0" r="0" b="0"/>
                <wp:wrapTopAndBottom/>
                <wp:docPr id="645" name="Graphic 645"/>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0" y="23279"/>
                              </a:lnTo>
                              <a:lnTo>
                                <a:pt x="0" y="17975"/>
                              </a:lnTo>
                              <a:lnTo>
                                <a:pt x="17945" y="0"/>
                              </a:lnTo>
                              <a:lnTo>
                                <a:pt x="23433" y="0"/>
                              </a:lnTo>
                              <a:lnTo>
                                <a:pt x="41379" y="20689"/>
                              </a:lnTo>
                              <a:lnTo>
                                <a:pt x="41378" y="23279"/>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45" o:spid="_x0000_s1208" style="width:3.3pt;height:3.3pt;margin-top:27.1pt;margin-left:44.15pt;mso-position-horizontal-relative:page;mso-wrap-distance-bottom:0;mso-wrap-distance-left:0;mso-wrap-distance-right:0;mso-wrap-distance-top:0;mso-wrap-style:square;position:absolute;visibility:visible;v-text-anchor:top;z-index:-251295744" coordsize="41910,41910" path="m20689,41378l,23279,,17975,17945,l23433,l41379,20689l41378,23279l20689,41378xe" fillcolor="black" stroked="f">
                <v:path arrowok="t"/>
                <w10:wrap type="topAndBottom"/>
              </v:shape>
            </w:pict>
          </mc:Fallback>
        </mc:AlternateContent>
      </w:r>
      <w:r>
        <w:rPr>
          <w:noProof/>
        </w:rPr>
        <mc:AlternateContent>
          <mc:Choice Requires="wps">
            <w:drawing>
              <wp:anchor distT="0" distB="0" distL="0" distR="0" simplePos="0" relativeHeight="252021760" behindDoc="1" locked="0" layoutInCell="1" allowOverlap="1">
                <wp:simplePos x="0" y="0"/>
                <wp:positionH relativeFrom="page">
                  <wp:posOffset>560569</wp:posOffset>
                </wp:positionH>
                <wp:positionV relativeFrom="paragraph">
                  <wp:posOffset>492823</wp:posOffset>
                </wp:positionV>
                <wp:extent cx="41910" cy="41910"/>
                <wp:effectExtent l="0" t="0" r="0" b="0"/>
                <wp:wrapTopAndBottom/>
                <wp:docPr id="646" name="Graphic 646"/>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0" y="23279"/>
                              </a:lnTo>
                              <a:lnTo>
                                <a:pt x="0" y="17975"/>
                              </a:lnTo>
                              <a:lnTo>
                                <a:pt x="17945" y="0"/>
                              </a:lnTo>
                              <a:lnTo>
                                <a:pt x="23433" y="0"/>
                              </a:lnTo>
                              <a:lnTo>
                                <a:pt x="41379" y="20689"/>
                              </a:lnTo>
                              <a:lnTo>
                                <a:pt x="41378" y="23279"/>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46" o:spid="_x0000_s1209" style="width:3.3pt;height:3.3pt;margin-top:38.8pt;margin-left:44.15pt;mso-position-horizontal-relative:page;mso-wrap-distance-bottom:0;mso-wrap-distance-left:0;mso-wrap-distance-right:0;mso-wrap-distance-top:0;mso-wrap-style:square;position:absolute;visibility:visible;v-text-anchor:top;z-index:-251293696" coordsize="41910,41910" path="m20689,41378l,23279,,17975,17945,l23433,l41379,20689l41378,23279l20689,41378xe" fillcolor="black" stroked="f">
                <v:path arrowok="t"/>
                <w10:wrap type="topAndBottom"/>
              </v:shape>
            </w:pict>
          </mc:Fallback>
        </mc:AlternateContent>
      </w:r>
    </w:p>
    <w:p w:rsidR="003F5784" w14:paraId="21779BC0" w14:textId="77777777">
      <w:pPr>
        <w:pStyle w:val="BodyText"/>
        <w:spacing w:before="7"/>
        <w:rPr>
          <w:sz w:val="12"/>
        </w:rPr>
      </w:pPr>
    </w:p>
    <w:p w:rsidR="003F5784" w14:paraId="049EE993" w14:textId="77777777">
      <w:pPr>
        <w:pStyle w:val="BodyText"/>
        <w:spacing w:before="7"/>
        <w:rPr>
          <w:sz w:val="12"/>
        </w:rPr>
      </w:pPr>
    </w:p>
    <w:p w:rsidR="003F5784" w14:paraId="5F735131" w14:textId="77777777">
      <w:pPr>
        <w:rPr>
          <w:sz w:val="21"/>
        </w:rPr>
      </w:pPr>
      <w:r>
        <w:br w:type="column"/>
      </w:r>
    </w:p>
    <w:p w:rsidR="003F5784" w14:paraId="65FEA5C2" w14:textId="77777777">
      <w:pPr>
        <w:pStyle w:val="BodyText"/>
        <w:spacing w:before="32"/>
      </w:pPr>
    </w:p>
    <w:p w:rsidR="003F5784" w14:paraId="7529DEF6" w14:textId="77777777">
      <w:pPr>
        <w:pStyle w:val="BodyText"/>
        <w:spacing w:line="238" w:lineRule="exact"/>
      </w:pPr>
      <w:r>
        <w:t>\(min(\pi_{j1},</w:t>
      </w:r>
      <w:r>
        <w:rPr>
          <w:spacing w:val="-8"/>
        </w:rPr>
        <w:t xml:space="preserve"> </w:t>
      </w:r>
      <w:r>
        <w:t>\pi_{j2})\)</w:t>
      </w:r>
      <w:r>
        <w:rPr>
          <w:spacing w:val="-7"/>
        </w:rPr>
        <w:t xml:space="preserve"> </w:t>
      </w:r>
      <w:r>
        <w:t>is</w:t>
      </w:r>
      <w:r>
        <w:rPr>
          <w:spacing w:val="-7"/>
        </w:rPr>
        <w:t xml:space="preserve"> </w:t>
      </w:r>
      <w:r>
        <w:t>the</w:t>
      </w:r>
      <w:r>
        <w:rPr>
          <w:spacing w:val="-8"/>
        </w:rPr>
        <w:t xml:space="preserve"> </w:t>
      </w:r>
      <w:r>
        <w:t>smallest</w:t>
      </w:r>
      <w:r>
        <w:rPr>
          <w:spacing w:val="-7"/>
        </w:rPr>
        <w:t xml:space="preserve"> </w:t>
      </w:r>
      <w:r>
        <w:t>school</w:t>
      </w:r>
      <w:r>
        <w:rPr>
          <w:spacing w:val="-7"/>
        </w:rPr>
        <w:t xml:space="preserve"> </w:t>
      </w:r>
      <w:r>
        <w:t>probability</w:t>
      </w:r>
      <w:r>
        <w:rPr>
          <w:spacing w:val="-8"/>
        </w:rPr>
        <w:t xml:space="preserve"> </w:t>
      </w:r>
      <w:r>
        <w:t>between</w:t>
      </w:r>
      <w:r>
        <w:rPr>
          <w:spacing w:val="-7"/>
        </w:rPr>
        <w:t xml:space="preserve"> </w:t>
      </w:r>
      <w:r>
        <w:t>the</w:t>
      </w:r>
      <w:r>
        <w:rPr>
          <w:spacing w:val="-7"/>
        </w:rPr>
        <w:t xml:space="preserve"> </w:t>
      </w:r>
      <w:r>
        <w:t>two</w:t>
      </w:r>
      <w:r>
        <w:rPr>
          <w:spacing w:val="-7"/>
        </w:rPr>
        <w:t xml:space="preserve"> </w:t>
      </w:r>
      <w:r>
        <w:t>schools</w:t>
      </w:r>
      <w:r>
        <w:rPr>
          <w:spacing w:val="-8"/>
        </w:rPr>
        <w:t xml:space="preserve"> </w:t>
      </w:r>
      <w:r>
        <w:t>comprising</w:t>
      </w:r>
      <w:r>
        <w:rPr>
          <w:spacing w:val="-7"/>
        </w:rPr>
        <w:t xml:space="preserve"> </w:t>
      </w:r>
      <w:r>
        <w:rPr>
          <w:spacing w:val="-2"/>
        </w:rPr>
        <w:t>\(R_{jr}\);</w:t>
      </w:r>
    </w:p>
    <w:p w:rsidR="003F5784" w14:paraId="625B7B40" w14:textId="77777777">
      <w:pPr>
        <w:pStyle w:val="BodyText"/>
        <w:spacing w:line="235" w:lineRule="exact"/>
      </w:pPr>
      <w:r>
        <w:t>\(R_{jr}\)</w:t>
      </w:r>
      <w:r>
        <w:rPr>
          <w:spacing w:val="-6"/>
        </w:rPr>
        <w:t xml:space="preserve"> </w:t>
      </w:r>
      <w:r>
        <w:t>is</w:t>
      </w:r>
      <w:r>
        <w:rPr>
          <w:spacing w:val="-6"/>
        </w:rPr>
        <w:t xml:space="preserve"> </w:t>
      </w:r>
      <w:r>
        <w:t>the</w:t>
      </w:r>
      <w:r>
        <w:rPr>
          <w:spacing w:val="-5"/>
        </w:rPr>
        <w:t xml:space="preserve"> </w:t>
      </w:r>
      <w:r>
        <w:t>set</w:t>
      </w:r>
      <w:r>
        <w:rPr>
          <w:spacing w:val="-6"/>
        </w:rPr>
        <w:t xml:space="preserve"> </w:t>
      </w:r>
      <w:r>
        <w:t>of</w:t>
      </w:r>
      <w:r>
        <w:rPr>
          <w:spacing w:val="-5"/>
        </w:rPr>
        <w:t xml:space="preserve"> </w:t>
      </w:r>
      <w:r>
        <w:t>schools</w:t>
      </w:r>
      <w:r>
        <w:rPr>
          <w:spacing w:val="-6"/>
        </w:rPr>
        <w:t xml:space="preserve"> </w:t>
      </w:r>
      <w:r>
        <w:t>within</w:t>
      </w:r>
      <w:r>
        <w:rPr>
          <w:spacing w:val="-6"/>
        </w:rPr>
        <w:t xml:space="preserve"> </w:t>
      </w:r>
      <w:r>
        <w:t>the</w:t>
      </w:r>
      <w:r>
        <w:rPr>
          <w:spacing w:val="-5"/>
        </w:rPr>
        <w:t xml:space="preserve"> </w:t>
      </w:r>
      <w:r>
        <w:t>\(r\)-th</w:t>
      </w:r>
      <w:r>
        <w:rPr>
          <w:spacing w:val="-6"/>
        </w:rPr>
        <w:t xml:space="preserve"> </w:t>
      </w:r>
      <w:r>
        <w:t>variance</w:t>
      </w:r>
      <w:r>
        <w:rPr>
          <w:spacing w:val="-5"/>
        </w:rPr>
        <w:t xml:space="preserve"> </w:t>
      </w:r>
      <w:r>
        <w:t>stratum</w:t>
      </w:r>
      <w:r>
        <w:rPr>
          <w:spacing w:val="-6"/>
        </w:rPr>
        <w:t xml:space="preserve"> </w:t>
      </w:r>
      <w:r>
        <w:t>for</w:t>
      </w:r>
      <w:r>
        <w:rPr>
          <w:spacing w:val="-5"/>
        </w:rPr>
        <w:t xml:space="preserve"> </w:t>
      </w:r>
      <w:r>
        <w:t>primary</w:t>
      </w:r>
      <w:r>
        <w:rPr>
          <w:spacing w:val="-6"/>
        </w:rPr>
        <w:t xml:space="preserve"> </w:t>
      </w:r>
      <w:r>
        <w:t>stratum</w:t>
      </w:r>
      <w:r>
        <w:rPr>
          <w:spacing w:val="-6"/>
        </w:rPr>
        <w:t xml:space="preserve"> </w:t>
      </w:r>
      <w:r>
        <w:t>\(j\);</w:t>
      </w:r>
      <w:r>
        <w:rPr>
          <w:spacing w:val="-5"/>
        </w:rPr>
        <w:t xml:space="preserve"> and</w:t>
      </w:r>
    </w:p>
    <w:p w:rsidR="003F5784" w14:paraId="6A943810" w14:textId="77777777">
      <w:pPr>
        <w:pStyle w:val="BodyText"/>
        <w:spacing w:line="238" w:lineRule="exact"/>
        <w:ind w:left="52"/>
      </w:pPr>
      <w:r>
        <w:t>\(U_{js}\)</w:t>
      </w:r>
      <w:r>
        <w:rPr>
          <w:spacing w:val="-5"/>
        </w:rPr>
        <w:t xml:space="preserve"> </w:t>
      </w:r>
      <w:r>
        <w:t>is</w:t>
      </w:r>
      <w:r>
        <w:rPr>
          <w:spacing w:val="-5"/>
        </w:rPr>
        <w:t xml:space="preserve"> </w:t>
      </w:r>
      <w:r>
        <w:t>the</w:t>
      </w:r>
      <w:r>
        <w:rPr>
          <w:spacing w:val="-5"/>
        </w:rPr>
        <w:t xml:space="preserve"> </w:t>
      </w:r>
      <w:r>
        <w:t>variance</w:t>
      </w:r>
      <w:r>
        <w:rPr>
          <w:spacing w:val="-5"/>
        </w:rPr>
        <w:t xml:space="preserve"> </w:t>
      </w:r>
      <w:r>
        <w:t>unit</w:t>
      </w:r>
      <w:r>
        <w:rPr>
          <w:spacing w:val="-5"/>
        </w:rPr>
        <w:t xml:space="preserve"> </w:t>
      </w:r>
      <w:r>
        <w:t>(1</w:t>
      </w:r>
      <w:r>
        <w:rPr>
          <w:spacing w:val="-5"/>
        </w:rPr>
        <w:t xml:space="preserve"> </w:t>
      </w:r>
      <w:r>
        <w:t>or</w:t>
      </w:r>
      <w:r>
        <w:rPr>
          <w:spacing w:val="-5"/>
        </w:rPr>
        <w:t xml:space="preserve"> </w:t>
      </w:r>
      <w:r>
        <w:t>2)</w:t>
      </w:r>
      <w:r>
        <w:rPr>
          <w:spacing w:val="-4"/>
        </w:rPr>
        <w:t xml:space="preserve"> </w:t>
      </w:r>
      <w:r>
        <w:t>for</w:t>
      </w:r>
      <w:r>
        <w:rPr>
          <w:spacing w:val="-5"/>
        </w:rPr>
        <w:t xml:space="preserve"> </w:t>
      </w:r>
      <w:r>
        <w:t>school</w:t>
      </w:r>
      <w:r>
        <w:rPr>
          <w:spacing w:val="-5"/>
        </w:rPr>
        <w:t xml:space="preserve"> </w:t>
      </w:r>
      <w:r>
        <w:t>\(s\)</w:t>
      </w:r>
      <w:r>
        <w:rPr>
          <w:spacing w:val="-5"/>
        </w:rPr>
        <w:t xml:space="preserve"> </w:t>
      </w:r>
      <w:r>
        <w:t>in</w:t>
      </w:r>
      <w:r>
        <w:rPr>
          <w:spacing w:val="-5"/>
        </w:rPr>
        <w:t xml:space="preserve"> </w:t>
      </w:r>
      <w:r>
        <w:t>primary</w:t>
      </w:r>
      <w:r>
        <w:rPr>
          <w:spacing w:val="-5"/>
        </w:rPr>
        <w:t xml:space="preserve"> </w:t>
      </w:r>
      <w:r>
        <w:t>stratum</w:t>
      </w:r>
      <w:r>
        <w:rPr>
          <w:spacing w:val="-5"/>
        </w:rPr>
        <w:t xml:space="preserve"> </w:t>
      </w:r>
      <w:r>
        <w:rPr>
          <w:spacing w:val="-2"/>
        </w:rPr>
        <w:t>\(j\).</w:t>
      </w:r>
    </w:p>
    <w:p w:rsidR="003F5784" w14:paraId="5337BAA4" w14:textId="77777777">
      <w:pPr>
        <w:spacing w:line="238" w:lineRule="exact"/>
        <w:sectPr>
          <w:pgSz w:w="15840" w:h="12240" w:orient="landscape"/>
          <w:pgMar w:top="480" w:right="440" w:bottom="460" w:left="460" w:header="284" w:footer="275" w:gutter="0"/>
          <w:cols w:num="2" w:space="720" w:equalWidth="0">
            <w:col w:w="620" w:space="11"/>
            <w:col w:w="14309"/>
          </w:cols>
        </w:sectPr>
      </w:pPr>
    </w:p>
    <w:p w:rsidR="003F5784" w14:paraId="1C0016F2" w14:textId="77777777">
      <w:pPr>
        <w:pStyle w:val="BodyText"/>
      </w:pPr>
    </w:p>
    <w:p w:rsidR="003F5784" w14:paraId="4A7D14EF" w14:textId="77777777">
      <w:pPr>
        <w:pStyle w:val="BodyText"/>
        <w:spacing w:before="168"/>
      </w:pPr>
    </w:p>
    <w:p w:rsidR="003F5784" w14:paraId="3B98F88E" w14:textId="77777777">
      <w:pPr>
        <w:pStyle w:val="BodyText"/>
        <w:spacing w:line="232" w:lineRule="auto"/>
        <w:ind w:left="109" w:right="179"/>
      </w:pPr>
      <w:r>
        <w:t>For triples (i.e., variance strata comprising 3 schools), the replicate factors are perturbed to something other than 1.0 for two different variance strata, rather than just for one stratum as in the case of pairs (i.e., variance strata comprising 2 schools).</w:t>
      </w:r>
      <w:r>
        <w:rPr>
          <w:spacing w:val="-3"/>
        </w:rPr>
        <w:t xml:space="preserve"> </w:t>
      </w:r>
      <w:r>
        <w:t>The replicate factors are perturbed in variance stratum \(r\) and variance stratum \(r'\), where \(r'\) is furthest away from variance stratum \(r\) in either direction (i.e., before or after stratum \(r\)). Because there are 62 replicates, the stratum furthest away from stratum \(r\) would be the stratum whose number is the number of stratum \(r\) plus or minus half of 62, depending on whether \(r\) is greater or less than 31. In other words, \(r'=r+31\) \ (mod\)</w:t>
      </w:r>
      <w:r>
        <w:rPr>
          <w:spacing w:val="-6"/>
        </w:rPr>
        <w:t xml:space="preserve"> </w:t>
      </w:r>
      <w:r>
        <w:t>\(62\).</w:t>
      </w:r>
      <w:r>
        <w:rPr>
          <w:spacing w:val="-6"/>
        </w:rPr>
        <w:t xml:space="preserve"> </w:t>
      </w:r>
      <w:r>
        <w:t>For</w:t>
      </w:r>
      <w:r>
        <w:rPr>
          <w:spacing w:val="-6"/>
        </w:rPr>
        <w:t xml:space="preserve"> </w:t>
      </w:r>
      <w:r>
        <w:t>example,</w:t>
      </w:r>
      <w:r>
        <w:rPr>
          <w:spacing w:val="-6"/>
        </w:rPr>
        <w:t xml:space="preserve"> </w:t>
      </w:r>
      <w:r>
        <w:t>if</w:t>
      </w:r>
      <w:r>
        <w:rPr>
          <w:spacing w:val="-6"/>
        </w:rPr>
        <w:t xml:space="preserve"> </w:t>
      </w:r>
      <w:r>
        <w:t>variance</w:t>
      </w:r>
      <w:r>
        <w:rPr>
          <w:spacing w:val="-6"/>
        </w:rPr>
        <w:t xml:space="preserve"> </w:t>
      </w:r>
      <w:r>
        <w:t>stratum</w:t>
      </w:r>
      <w:r>
        <w:rPr>
          <w:spacing w:val="-6"/>
        </w:rPr>
        <w:t xml:space="preserve"> </w:t>
      </w:r>
      <w:r>
        <w:t>40</w:t>
      </w:r>
      <w:r>
        <w:rPr>
          <w:spacing w:val="-6"/>
        </w:rPr>
        <w:t xml:space="preserve"> </w:t>
      </w:r>
      <w:r>
        <w:t>has</w:t>
      </w:r>
      <w:r>
        <w:rPr>
          <w:spacing w:val="-6"/>
        </w:rPr>
        <w:t xml:space="preserve"> </w:t>
      </w:r>
      <w:r>
        <w:t>three</w:t>
      </w:r>
      <w:r>
        <w:rPr>
          <w:spacing w:val="-6"/>
        </w:rPr>
        <w:t xml:space="preserve"> </w:t>
      </w:r>
      <w:r>
        <w:t>schools,</w:t>
      </w:r>
      <w:r>
        <w:rPr>
          <w:spacing w:val="-6"/>
        </w:rPr>
        <w:t xml:space="preserve"> </w:t>
      </w:r>
      <w:r>
        <w:t>replicate</w:t>
      </w:r>
      <w:r>
        <w:rPr>
          <w:spacing w:val="-6"/>
        </w:rPr>
        <w:t xml:space="preserve"> </w:t>
      </w:r>
      <w:r>
        <w:t>factors</w:t>
      </w:r>
      <w:r>
        <w:rPr>
          <w:spacing w:val="-6"/>
        </w:rPr>
        <w:t xml:space="preserve"> </w:t>
      </w:r>
      <w:r>
        <w:t>are</w:t>
      </w:r>
      <w:r>
        <w:rPr>
          <w:spacing w:val="-6"/>
        </w:rPr>
        <w:t xml:space="preserve"> </w:t>
      </w:r>
      <w:r>
        <w:t>perturbed</w:t>
      </w:r>
      <w:r>
        <w:rPr>
          <w:spacing w:val="-6"/>
        </w:rPr>
        <w:t xml:space="preserve"> </w:t>
      </w:r>
      <w:r>
        <w:t>in</w:t>
      </w:r>
      <w:r>
        <w:rPr>
          <w:spacing w:val="-6"/>
        </w:rPr>
        <w:t xml:space="preserve"> </w:t>
      </w:r>
      <w:r>
        <w:t>variance</w:t>
      </w:r>
      <w:r>
        <w:rPr>
          <w:spacing w:val="-6"/>
        </w:rPr>
        <w:t xml:space="preserve"> </w:t>
      </w:r>
      <w:r>
        <w:t>stratum</w:t>
      </w:r>
      <w:r>
        <w:rPr>
          <w:spacing w:val="-6"/>
        </w:rPr>
        <w:t xml:space="preserve"> </w:t>
      </w:r>
      <w:r>
        <w:t>40</w:t>
      </w:r>
      <w:r>
        <w:rPr>
          <w:spacing w:val="-6"/>
        </w:rPr>
        <w:t xml:space="preserve"> </w:t>
      </w:r>
      <w:r>
        <w:t>(\(r\))</w:t>
      </w:r>
      <w:r>
        <w:rPr>
          <w:spacing w:val="-6"/>
        </w:rPr>
        <w:t xml:space="preserve"> </w:t>
      </w:r>
      <w:r>
        <w:t>and</w:t>
      </w:r>
      <w:r>
        <w:rPr>
          <w:spacing w:val="-6"/>
        </w:rPr>
        <w:t xml:space="preserve"> </w:t>
      </w:r>
      <w:r>
        <w:t>variance</w:t>
      </w:r>
      <w:r>
        <w:rPr>
          <w:spacing w:val="-6"/>
        </w:rPr>
        <w:t xml:space="preserve"> </w:t>
      </w:r>
      <w:r>
        <w:t>stratum</w:t>
      </w:r>
      <w:r>
        <w:rPr>
          <w:spacing w:val="-6"/>
        </w:rPr>
        <w:t xml:space="preserve"> </w:t>
      </w:r>
      <w:r>
        <w:t>9</w:t>
      </w:r>
      <w:r>
        <w:rPr>
          <w:spacing w:val="-6"/>
        </w:rPr>
        <w:t xml:space="preserve"> </w:t>
      </w:r>
      <w:r>
        <w:t>(\(r'\)).</w:t>
      </w:r>
      <w:r>
        <w:rPr>
          <w:spacing w:val="-10"/>
        </w:rPr>
        <w:t xml:space="preserve"> </w:t>
      </w:r>
      <w:r>
        <w:t>The</w:t>
      </w:r>
      <w:r>
        <w:rPr>
          <w:spacing w:val="-6"/>
        </w:rPr>
        <w:t xml:space="preserve"> </w:t>
      </w:r>
      <w:r>
        <w:t>school-level replicate factors \(SCH\_REPFAC_{js}(r)\), \(r = 1,..., 62\), were calculated as follows:</w:t>
      </w:r>
    </w:p>
    <w:p w:rsidR="003F5784" w14:paraId="7684305B" w14:textId="77777777">
      <w:pPr>
        <w:pStyle w:val="BodyText"/>
        <w:spacing w:before="205"/>
        <w:ind w:left="109"/>
      </w:pPr>
      <w:r>
        <w:t>For</w:t>
      </w:r>
      <w:r>
        <w:rPr>
          <w:spacing w:val="-7"/>
        </w:rPr>
        <w:t xml:space="preserve"> </w:t>
      </w:r>
      <w:r>
        <w:t>school</w:t>
      </w:r>
      <w:r>
        <w:rPr>
          <w:spacing w:val="-6"/>
        </w:rPr>
        <w:t xml:space="preserve"> </w:t>
      </w:r>
      <w:r>
        <w:t>\(s\)</w:t>
      </w:r>
      <w:r>
        <w:rPr>
          <w:spacing w:val="-6"/>
        </w:rPr>
        <w:t xml:space="preserve"> </w:t>
      </w:r>
      <w:r>
        <w:t>from</w:t>
      </w:r>
      <w:r>
        <w:rPr>
          <w:spacing w:val="-6"/>
        </w:rPr>
        <w:t xml:space="preserve"> </w:t>
      </w:r>
      <w:r>
        <w:t>primary</w:t>
      </w:r>
      <w:r>
        <w:rPr>
          <w:spacing w:val="-6"/>
        </w:rPr>
        <w:t xml:space="preserve"> </w:t>
      </w:r>
      <w:r>
        <w:t>stratum</w:t>
      </w:r>
      <w:r>
        <w:rPr>
          <w:spacing w:val="-6"/>
        </w:rPr>
        <w:t xml:space="preserve"> </w:t>
      </w:r>
      <w:r>
        <w:t>\(j\)</w:t>
      </w:r>
      <w:r>
        <w:rPr>
          <w:spacing w:val="-6"/>
        </w:rPr>
        <w:t xml:space="preserve"> </w:t>
      </w:r>
      <w:r>
        <w:t>variance</w:t>
      </w:r>
      <w:r>
        <w:rPr>
          <w:spacing w:val="-6"/>
        </w:rPr>
        <w:t xml:space="preserve"> </w:t>
      </w:r>
      <w:r>
        <w:t>stratum</w:t>
      </w:r>
      <w:r>
        <w:rPr>
          <w:spacing w:val="-6"/>
        </w:rPr>
        <w:t xml:space="preserve"> </w:t>
      </w:r>
      <w:r>
        <w:rPr>
          <w:spacing w:val="-2"/>
        </w:rPr>
        <w:t>\(r\),</w:t>
      </w:r>
    </w:p>
    <w:p w:rsidR="003F5784" w14:paraId="48400BEB" w14:textId="77777777">
      <w:pPr>
        <w:pStyle w:val="BodyText"/>
        <w:spacing w:before="201" w:line="238" w:lineRule="exact"/>
        <w:ind w:left="109"/>
      </w:pPr>
      <w:r>
        <w:t>\begin{equation}</w:t>
      </w:r>
      <w:r>
        <w:rPr>
          <w:spacing w:val="-8"/>
        </w:rPr>
        <w:t xml:space="preserve"> </w:t>
      </w:r>
      <w:r>
        <w:t>SCH\_REPFAC_{js}(r)</w:t>
      </w:r>
      <w:r>
        <w:rPr>
          <w:spacing w:val="-8"/>
        </w:rPr>
        <w:t xml:space="preserve"> </w:t>
      </w:r>
      <w:r>
        <w:t>=</w:t>
      </w:r>
      <w:r>
        <w:rPr>
          <w:spacing w:val="-8"/>
        </w:rPr>
        <w:t xml:space="preserve"> </w:t>
      </w:r>
      <w:r>
        <w:t>\left\{\begin{array}{llll}</w:t>
      </w:r>
      <w:r>
        <w:rPr>
          <w:spacing w:val="-8"/>
        </w:rPr>
        <w:t xml:space="preserve"> </w:t>
      </w:r>
      <w:r>
        <w:t>1</w:t>
      </w:r>
      <w:r>
        <w:rPr>
          <w:spacing w:val="-8"/>
        </w:rPr>
        <w:t xml:space="preserve"> </w:t>
      </w:r>
      <w:r>
        <w:t>+</w:t>
      </w:r>
      <w:r>
        <w:rPr>
          <w:spacing w:val="-8"/>
        </w:rPr>
        <w:t xml:space="preserve"> </w:t>
      </w:r>
      <w:r>
        <w:t>\dfrac</w:t>
      </w:r>
      <w:r>
        <w:rPr>
          <w:spacing w:val="-8"/>
        </w:rPr>
        <w:t xml:space="preserve"> </w:t>
      </w:r>
      <w:r>
        <w:t>{\sqrt{(1-min(\pi_{j1},</w:t>
      </w:r>
      <w:r>
        <w:rPr>
          <w:spacing w:val="-7"/>
        </w:rPr>
        <w:t xml:space="preserve"> </w:t>
      </w:r>
      <w:r>
        <w:t>\pi_{j2},</w:t>
      </w:r>
      <w:r>
        <w:rPr>
          <w:spacing w:val="-8"/>
        </w:rPr>
        <w:t xml:space="preserve"> </w:t>
      </w:r>
      <w:r>
        <w:t>\pi_{j3}))}}</w:t>
      </w:r>
      <w:r>
        <w:rPr>
          <w:spacing w:val="-8"/>
        </w:rPr>
        <w:t xml:space="preserve"> </w:t>
      </w:r>
      <w:r>
        <w:t>{2},</w:t>
      </w:r>
      <w:r>
        <w:rPr>
          <w:spacing w:val="-8"/>
        </w:rPr>
        <w:t xml:space="preserve"> </w:t>
      </w:r>
      <w:r>
        <w:t>&amp;</w:t>
      </w:r>
      <w:r>
        <w:rPr>
          <w:spacing w:val="-8"/>
        </w:rPr>
        <w:t xml:space="preserve"> </w:t>
      </w:r>
      <w:r>
        <w:t>\text{for</w:t>
      </w:r>
      <w:r>
        <w:rPr>
          <w:spacing w:val="-8"/>
        </w:rPr>
        <w:t xml:space="preserve"> </w:t>
      </w:r>
      <w:r>
        <w:t>}</w:t>
      </w:r>
      <w:r>
        <w:rPr>
          <w:spacing w:val="-8"/>
        </w:rPr>
        <w:t xml:space="preserve"> </w:t>
      </w:r>
      <w:r>
        <w:t>js</w:t>
      </w:r>
      <w:r>
        <w:rPr>
          <w:spacing w:val="-7"/>
        </w:rPr>
        <w:t xml:space="preserve"> </w:t>
      </w:r>
      <w:r>
        <w:t>\in</w:t>
      </w:r>
      <w:r>
        <w:rPr>
          <w:spacing w:val="-8"/>
        </w:rPr>
        <w:t xml:space="preserve"> </w:t>
      </w:r>
      <w:r>
        <w:t>R_{jr},</w:t>
      </w:r>
      <w:r>
        <w:rPr>
          <w:spacing w:val="-8"/>
        </w:rPr>
        <w:t xml:space="preserve"> </w:t>
      </w:r>
      <w:r>
        <w:t>U_{js}</w:t>
      </w:r>
      <w:r>
        <w:rPr>
          <w:spacing w:val="-8"/>
        </w:rPr>
        <w:t xml:space="preserve"> </w:t>
      </w:r>
      <w:r>
        <w:t>=</w:t>
      </w:r>
      <w:r>
        <w:rPr>
          <w:spacing w:val="-8"/>
        </w:rPr>
        <w:t xml:space="preserve"> </w:t>
      </w:r>
      <w:r>
        <w:t>1</w:t>
      </w:r>
      <w:r>
        <w:rPr>
          <w:spacing w:val="-8"/>
        </w:rPr>
        <w:t xml:space="preserve"> </w:t>
      </w:r>
      <w:r>
        <w:t>\\</w:t>
      </w:r>
      <w:r>
        <w:rPr>
          <w:spacing w:val="-8"/>
        </w:rPr>
        <w:t xml:space="preserve"> </w:t>
      </w:r>
      <w:r>
        <w:t>1</w:t>
      </w:r>
      <w:r>
        <w:rPr>
          <w:spacing w:val="-8"/>
        </w:rPr>
        <w:t xml:space="preserve"> </w:t>
      </w:r>
      <w:r>
        <w:rPr>
          <w:spacing w:val="-10"/>
        </w:rPr>
        <w:t>+</w:t>
      </w:r>
    </w:p>
    <w:p w:rsidR="003F5784" w14:paraId="5C160FC2" w14:textId="77777777">
      <w:pPr>
        <w:pStyle w:val="BodyText"/>
        <w:spacing w:before="3" w:line="232" w:lineRule="auto"/>
        <w:ind w:left="109"/>
      </w:pPr>
      <w:r>
        <w:t>\dfrac</w:t>
      </w:r>
      <w:r>
        <w:rPr>
          <w:spacing w:val="-6"/>
        </w:rPr>
        <w:t xml:space="preserve"> </w:t>
      </w:r>
      <w:r>
        <w:t>{\sqrt{(1-min(\pi_{j1},</w:t>
      </w:r>
      <w:r>
        <w:rPr>
          <w:spacing w:val="-6"/>
        </w:rPr>
        <w:t xml:space="preserve"> </w:t>
      </w:r>
      <w:r>
        <w:t>\pi_{j2},</w:t>
      </w:r>
      <w:r>
        <w:rPr>
          <w:spacing w:val="-6"/>
        </w:rPr>
        <w:t xml:space="preserve"> </w:t>
      </w:r>
      <w:r>
        <w:t>\pi_{j3}))}}</w:t>
      </w:r>
      <w:r>
        <w:rPr>
          <w:spacing w:val="-6"/>
        </w:rPr>
        <w:t xml:space="preserve"> </w:t>
      </w:r>
      <w:r>
        <w:t>{2},</w:t>
      </w:r>
      <w:r>
        <w:rPr>
          <w:spacing w:val="-6"/>
        </w:rPr>
        <w:t xml:space="preserve"> </w:t>
      </w:r>
      <w:r>
        <w:t>&amp;</w:t>
      </w:r>
      <w:r>
        <w:rPr>
          <w:spacing w:val="-6"/>
        </w:rPr>
        <w:t xml:space="preserve"> </w:t>
      </w:r>
      <w:r>
        <w:t>\text{for</w:t>
      </w:r>
      <w:r>
        <w:rPr>
          <w:spacing w:val="-6"/>
        </w:rPr>
        <w:t xml:space="preserve"> </w:t>
      </w:r>
      <w:r>
        <w:t>}</w:t>
      </w:r>
      <w:r>
        <w:rPr>
          <w:spacing w:val="-6"/>
        </w:rPr>
        <w:t xml:space="preserve"> </w:t>
      </w:r>
      <w:r>
        <w:t>js</w:t>
      </w:r>
      <w:r>
        <w:rPr>
          <w:spacing w:val="-6"/>
        </w:rPr>
        <w:t xml:space="preserve"> </w:t>
      </w:r>
      <w:r>
        <w:t>\in</w:t>
      </w:r>
      <w:r>
        <w:rPr>
          <w:spacing w:val="-6"/>
        </w:rPr>
        <w:t xml:space="preserve"> </w:t>
      </w:r>
      <w:r>
        <w:t>R_{jr},</w:t>
      </w:r>
      <w:r>
        <w:rPr>
          <w:spacing w:val="-6"/>
        </w:rPr>
        <w:t xml:space="preserve"> </w:t>
      </w:r>
      <w:r>
        <w:t>U_{js}</w:t>
      </w:r>
      <w:r>
        <w:rPr>
          <w:spacing w:val="-6"/>
        </w:rPr>
        <w:t xml:space="preserve"> </w:t>
      </w:r>
      <w:r>
        <w:t>=</w:t>
      </w:r>
      <w:r>
        <w:rPr>
          <w:spacing w:val="-6"/>
        </w:rPr>
        <w:t xml:space="preserve"> </w:t>
      </w:r>
      <w:r>
        <w:t>2</w:t>
      </w:r>
      <w:r>
        <w:rPr>
          <w:spacing w:val="-6"/>
        </w:rPr>
        <w:t xml:space="preserve"> </w:t>
      </w:r>
      <w:r>
        <w:t>\\</w:t>
      </w:r>
      <w:r>
        <w:rPr>
          <w:spacing w:val="-6"/>
        </w:rPr>
        <w:t xml:space="preserve"> </w:t>
      </w:r>
      <w:r>
        <w:t>1</w:t>
      </w:r>
      <w:r>
        <w:rPr>
          <w:spacing w:val="-6"/>
        </w:rPr>
        <w:t xml:space="preserve"> </w:t>
      </w:r>
      <w:r>
        <w:t>-</w:t>
      </w:r>
      <w:r>
        <w:rPr>
          <w:spacing w:val="-6"/>
        </w:rPr>
        <w:t xml:space="preserve"> </w:t>
      </w:r>
      <w:r>
        <w:t>\sqrt{(1-min(\pi_{j1},</w:t>
      </w:r>
      <w:r>
        <w:rPr>
          <w:spacing w:val="-6"/>
        </w:rPr>
        <w:t xml:space="preserve"> </w:t>
      </w:r>
      <w:r>
        <w:t>\pi_{j2},</w:t>
      </w:r>
      <w:r>
        <w:rPr>
          <w:spacing w:val="-6"/>
        </w:rPr>
        <w:t xml:space="preserve"> </w:t>
      </w:r>
      <w:r>
        <w:t>\pi_{j3}))},</w:t>
      </w:r>
      <w:r>
        <w:rPr>
          <w:spacing w:val="-6"/>
        </w:rPr>
        <w:t xml:space="preserve"> </w:t>
      </w:r>
      <w:r>
        <w:t>&amp;</w:t>
      </w:r>
      <w:r>
        <w:rPr>
          <w:spacing w:val="-6"/>
        </w:rPr>
        <w:t xml:space="preserve"> </w:t>
      </w:r>
      <w:r>
        <w:t>\text{for</w:t>
      </w:r>
      <w:r>
        <w:rPr>
          <w:spacing w:val="-6"/>
        </w:rPr>
        <w:t xml:space="preserve"> </w:t>
      </w:r>
      <w:r>
        <w:t>}</w:t>
      </w:r>
      <w:r>
        <w:rPr>
          <w:spacing w:val="-6"/>
        </w:rPr>
        <w:t xml:space="preserve"> </w:t>
      </w:r>
      <w:r>
        <w:t>js</w:t>
      </w:r>
      <w:r>
        <w:rPr>
          <w:spacing w:val="-6"/>
        </w:rPr>
        <w:t xml:space="preserve"> </w:t>
      </w:r>
      <w:r>
        <w:t>\in</w:t>
      </w:r>
      <w:r>
        <w:rPr>
          <w:spacing w:val="-6"/>
        </w:rPr>
        <w:t xml:space="preserve"> </w:t>
      </w:r>
      <w:r>
        <w:t>R_{jr}, U_{js} = 3 \end{array}\right. , \end{equation}</w:t>
      </w:r>
    </w:p>
    <w:p w:rsidR="003F5784" w14:paraId="55677A10" w14:textId="77777777">
      <w:pPr>
        <w:pStyle w:val="BodyText"/>
        <w:spacing w:before="203"/>
        <w:ind w:left="109"/>
      </w:pPr>
      <w:r>
        <w:t>while</w:t>
      </w:r>
      <w:r>
        <w:rPr>
          <w:spacing w:val="-7"/>
        </w:rPr>
        <w:t xml:space="preserve"> </w:t>
      </w:r>
      <w:r>
        <w:t>for</w:t>
      </w:r>
      <w:r>
        <w:rPr>
          <w:spacing w:val="-6"/>
        </w:rPr>
        <w:t xml:space="preserve"> </w:t>
      </w:r>
      <w:r>
        <w:t>variance</w:t>
      </w:r>
      <w:r>
        <w:rPr>
          <w:spacing w:val="-6"/>
        </w:rPr>
        <w:t xml:space="preserve"> </w:t>
      </w:r>
      <w:r>
        <w:t>stratum</w:t>
      </w:r>
      <w:r>
        <w:rPr>
          <w:spacing w:val="-6"/>
        </w:rPr>
        <w:t xml:space="preserve"> </w:t>
      </w:r>
      <w:r>
        <w:rPr>
          <w:spacing w:val="-2"/>
        </w:rPr>
        <w:t>\(r'\),</w:t>
      </w:r>
    </w:p>
    <w:p w:rsidR="003F5784" w14:paraId="7DC2A9ED" w14:textId="77777777">
      <w:pPr>
        <w:pStyle w:val="BodyText"/>
        <w:spacing w:before="202" w:line="238" w:lineRule="exact"/>
        <w:ind w:left="109"/>
      </w:pPr>
      <w:r>
        <w:t>\begin{equation}</w:t>
      </w:r>
      <w:r>
        <w:rPr>
          <w:spacing w:val="-8"/>
        </w:rPr>
        <w:t xml:space="preserve"> </w:t>
      </w:r>
      <w:r>
        <w:t>SCH\_REPFAC_{js}(r’)</w:t>
      </w:r>
      <w:r>
        <w:rPr>
          <w:spacing w:val="-8"/>
        </w:rPr>
        <w:t xml:space="preserve"> </w:t>
      </w:r>
      <w:r>
        <w:t>=</w:t>
      </w:r>
      <w:r>
        <w:rPr>
          <w:spacing w:val="-7"/>
        </w:rPr>
        <w:t xml:space="preserve"> </w:t>
      </w:r>
      <w:r>
        <w:t>\left\{\begin{array}{llll}</w:t>
      </w:r>
      <w:r>
        <w:rPr>
          <w:spacing w:val="-8"/>
        </w:rPr>
        <w:t xml:space="preserve"> </w:t>
      </w:r>
      <w:r>
        <w:t>1</w:t>
      </w:r>
      <w:r>
        <w:rPr>
          <w:spacing w:val="-7"/>
        </w:rPr>
        <w:t xml:space="preserve"> </w:t>
      </w:r>
      <w:r>
        <w:t>+</w:t>
      </w:r>
      <w:r>
        <w:rPr>
          <w:spacing w:val="-8"/>
        </w:rPr>
        <w:t xml:space="preserve"> </w:t>
      </w:r>
      <w:r>
        <w:t>\dfrac</w:t>
      </w:r>
      <w:r>
        <w:rPr>
          <w:spacing w:val="-8"/>
        </w:rPr>
        <w:t xml:space="preserve"> </w:t>
      </w:r>
      <w:r>
        <w:t>{\sqrt{(1-min(\pi_{j1},</w:t>
      </w:r>
      <w:r>
        <w:rPr>
          <w:spacing w:val="-7"/>
        </w:rPr>
        <w:t xml:space="preserve"> </w:t>
      </w:r>
      <w:r>
        <w:t>\pi_{j2},</w:t>
      </w:r>
      <w:r>
        <w:rPr>
          <w:spacing w:val="-8"/>
        </w:rPr>
        <w:t xml:space="preserve"> </w:t>
      </w:r>
      <w:r>
        <w:t>\pi_{j3}))}}</w:t>
      </w:r>
      <w:r>
        <w:rPr>
          <w:spacing w:val="-7"/>
        </w:rPr>
        <w:t xml:space="preserve"> </w:t>
      </w:r>
      <w:r>
        <w:t>{2},</w:t>
      </w:r>
      <w:r>
        <w:rPr>
          <w:spacing w:val="-8"/>
        </w:rPr>
        <w:t xml:space="preserve"> </w:t>
      </w:r>
      <w:r>
        <w:t>&amp;</w:t>
      </w:r>
      <w:r>
        <w:rPr>
          <w:spacing w:val="-7"/>
        </w:rPr>
        <w:t xml:space="preserve"> </w:t>
      </w:r>
      <w:r>
        <w:t>\text{for</w:t>
      </w:r>
      <w:r>
        <w:rPr>
          <w:spacing w:val="-8"/>
        </w:rPr>
        <w:t xml:space="preserve"> </w:t>
      </w:r>
      <w:r>
        <w:t>}</w:t>
      </w:r>
      <w:r>
        <w:rPr>
          <w:spacing w:val="-8"/>
        </w:rPr>
        <w:t xml:space="preserve"> </w:t>
      </w:r>
      <w:r>
        <w:t>js</w:t>
      </w:r>
      <w:r>
        <w:rPr>
          <w:spacing w:val="-7"/>
        </w:rPr>
        <w:t xml:space="preserve"> </w:t>
      </w:r>
      <w:r>
        <w:t>\in</w:t>
      </w:r>
      <w:r>
        <w:rPr>
          <w:spacing w:val="-8"/>
        </w:rPr>
        <w:t xml:space="preserve"> </w:t>
      </w:r>
      <w:r>
        <w:t>R_{jr},</w:t>
      </w:r>
      <w:r>
        <w:rPr>
          <w:spacing w:val="-7"/>
        </w:rPr>
        <w:t xml:space="preserve"> </w:t>
      </w:r>
      <w:r>
        <w:t>U_{js}</w:t>
      </w:r>
      <w:r>
        <w:rPr>
          <w:spacing w:val="-8"/>
        </w:rPr>
        <w:t xml:space="preserve"> </w:t>
      </w:r>
      <w:r>
        <w:t>=</w:t>
      </w:r>
      <w:r>
        <w:rPr>
          <w:spacing w:val="-8"/>
        </w:rPr>
        <w:t xml:space="preserve"> </w:t>
      </w:r>
      <w:r>
        <w:t>1</w:t>
      </w:r>
      <w:r>
        <w:rPr>
          <w:spacing w:val="-7"/>
        </w:rPr>
        <w:t xml:space="preserve"> </w:t>
      </w:r>
      <w:r>
        <w:t>\\</w:t>
      </w:r>
      <w:r>
        <w:rPr>
          <w:spacing w:val="-8"/>
        </w:rPr>
        <w:t xml:space="preserve"> </w:t>
      </w:r>
      <w:r>
        <w:t>1</w:t>
      </w:r>
      <w:r>
        <w:rPr>
          <w:spacing w:val="-7"/>
        </w:rPr>
        <w:t xml:space="preserve"> </w:t>
      </w:r>
      <w:r>
        <w:rPr>
          <w:spacing w:val="-10"/>
        </w:rPr>
        <w:t>-</w:t>
      </w:r>
    </w:p>
    <w:p w:rsidR="003F5784" w14:paraId="2FFDDB71" w14:textId="77777777">
      <w:pPr>
        <w:pStyle w:val="BodyText"/>
        <w:spacing w:before="2" w:line="232" w:lineRule="auto"/>
        <w:ind w:left="109"/>
      </w:pPr>
      <w:r>
        <w:t>\sqrt{(1-min(\pi_{j1},</w:t>
      </w:r>
      <w:r>
        <w:rPr>
          <w:spacing w:val="-6"/>
        </w:rPr>
        <w:t xml:space="preserve"> </w:t>
      </w:r>
      <w:r>
        <w:t>\pi_{j2},</w:t>
      </w:r>
      <w:r>
        <w:rPr>
          <w:spacing w:val="-6"/>
        </w:rPr>
        <w:t xml:space="preserve"> </w:t>
      </w:r>
      <w:r>
        <w:t>\pi_{j3}))},</w:t>
      </w:r>
      <w:r>
        <w:rPr>
          <w:spacing w:val="-6"/>
        </w:rPr>
        <w:t xml:space="preserve"> </w:t>
      </w:r>
      <w:r>
        <w:t>&amp;</w:t>
      </w:r>
      <w:r>
        <w:rPr>
          <w:spacing w:val="-6"/>
        </w:rPr>
        <w:t xml:space="preserve"> </w:t>
      </w:r>
      <w:r>
        <w:t>\text{for</w:t>
      </w:r>
      <w:r>
        <w:rPr>
          <w:spacing w:val="-6"/>
        </w:rPr>
        <w:t xml:space="preserve"> </w:t>
      </w:r>
      <w:r>
        <w:t>}</w:t>
      </w:r>
      <w:r>
        <w:rPr>
          <w:spacing w:val="-6"/>
        </w:rPr>
        <w:t xml:space="preserve"> </w:t>
      </w:r>
      <w:r>
        <w:t>js</w:t>
      </w:r>
      <w:r>
        <w:rPr>
          <w:spacing w:val="-6"/>
        </w:rPr>
        <w:t xml:space="preserve"> </w:t>
      </w:r>
      <w:r>
        <w:t>\in</w:t>
      </w:r>
      <w:r>
        <w:rPr>
          <w:spacing w:val="-6"/>
        </w:rPr>
        <w:t xml:space="preserve"> </w:t>
      </w:r>
      <w:r>
        <w:t>R_{jr},</w:t>
      </w:r>
      <w:r>
        <w:rPr>
          <w:spacing w:val="-6"/>
        </w:rPr>
        <w:t xml:space="preserve"> </w:t>
      </w:r>
      <w:r>
        <w:t>U_{js}</w:t>
      </w:r>
      <w:r>
        <w:rPr>
          <w:spacing w:val="-6"/>
        </w:rPr>
        <w:t xml:space="preserve"> </w:t>
      </w:r>
      <w:r>
        <w:t>=</w:t>
      </w:r>
      <w:r>
        <w:rPr>
          <w:spacing w:val="-6"/>
        </w:rPr>
        <w:t xml:space="preserve"> </w:t>
      </w:r>
      <w:r>
        <w:t>2</w:t>
      </w:r>
      <w:r>
        <w:rPr>
          <w:spacing w:val="-6"/>
        </w:rPr>
        <w:t xml:space="preserve"> </w:t>
      </w:r>
      <w:r>
        <w:t>\\</w:t>
      </w:r>
      <w:r>
        <w:rPr>
          <w:spacing w:val="-6"/>
        </w:rPr>
        <w:t xml:space="preserve"> </w:t>
      </w:r>
      <w:r>
        <w:t>1</w:t>
      </w:r>
      <w:r>
        <w:rPr>
          <w:spacing w:val="-6"/>
        </w:rPr>
        <w:t xml:space="preserve"> </w:t>
      </w:r>
      <w:r>
        <w:t>+</w:t>
      </w:r>
      <w:r>
        <w:rPr>
          <w:spacing w:val="-6"/>
        </w:rPr>
        <w:t xml:space="preserve"> </w:t>
      </w:r>
      <w:r>
        <w:t>\dfrac</w:t>
      </w:r>
      <w:r>
        <w:rPr>
          <w:spacing w:val="-6"/>
        </w:rPr>
        <w:t xml:space="preserve"> </w:t>
      </w:r>
      <w:r>
        <w:t>{\sqrt{(1-min(\pi_{j1},</w:t>
      </w:r>
      <w:r>
        <w:rPr>
          <w:spacing w:val="-6"/>
        </w:rPr>
        <w:t xml:space="preserve"> </w:t>
      </w:r>
      <w:r>
        <w:t>\pi_{j2},</w:t>
      </w:r>
      <w:r>
        <w:rPr>
          <w:spacing w:val="-6"/>
        </w:rPr>
        <w:t xml:space="preserve"> </w:t>
      </w:r>
      <w:r>
        <w:t>\pi_{j3}))}}</w:t>
      </w:r>
      <w:r>
        <w:rPr>
          <w:spacing w:val="-6"/>
        </w:rPr>
        <w:t xml:space="preserve"> </w:t>
      </w:r>
      <w:r>
        <w:t>{2},</w:t>
      </w:r>
      <w:r>
        <w:rPr>
          <w:spacing w:val="-6"/>
        </w:rPr>
        <w:t xml:space="preserve"> </w:t>
      </w:r>
      <w:r>
        <w:t>&amp;</w:t>
      </w:r>
      <w:r>
        <w:rPr>
          <w:spacing w:val="-6"/>
        </w:rPr>
        <w:t xml:space="preserve"> </w:t>
      </w:r>
      <w:r>
        <w:t>\text{for</w:t>
      </w:r>
      <w:r>
        <w:rPr>
          <w:spacing w:val="-6"/>
        </w:rPr>
        <w:t xml:space="preserve"> </w:t>
      </w:r>
      <w:r>
        <w:t>}</w:t>
      </w:r>
      <w:r>
        <w:rPr>
          <w:spacing w:val="-6"/>
        </w:rPr>
        <w:t xml:space="preserve"> </w:t>
      </w:r>
      <w:r>
        <w:t>js</w:t>
      </w:r>
      <w:r>
        <w:rPr>
          <w:spacing w:val="-6"/>
        </w:rPr>
        <w:t xml:space="preserve"> </w:t>
      </w:r>
      <w:r>
        <w:t>\in</w:t>
      </w:r>
      <w:r>
        <w:rPr>
          <w:spacing w:val="-6"/>
        </w:rPr>
        <w:t xml:space="preserve"> </w:t>
      </w:r>
      <w:r>
        <w:t>R_{jr}, U_{js} = 3 \\ \end{array}\right. , \end{equation}</w:t>
      </w:r>
    </w:p>
    <w:p w:rsidR="003F5784" w14:paraId="38D838B8" w14:textId="77777777">
      <w:pPr>
        <w:pStyle w:val="BodyText"/>
        <w:spacing w:before="204"/>
        <w:ind w:left="109"/>
      </w:pPr>
      <w:r>
        <w:t>and</w:t>
      </w:r>
      <w:r>
        <w:rPr>
          <w:spacing w:val="-6"/>
        </w:rPr>
        <w:t xml:space="preserve"> </w:t>
      </w:r>
      <w:r>
        <w:t>for</w:t>
      </w:r>
      <w:r>
        <w:rPr>
          <w:spacing w:val="-5"/>
        </w:rPr>
        <w:t xml:space="preserve"> </w:t>
      </w:r>
      <w:r>
        <w:t>all</w:t>
      </w:r>
      <w:r>
        <w:rPr>
          <w:spacing w:val="-5"/>
        </w:rPr>
        <w:t xml:space="preserve"> </w:t>
      </w:r>
      <w:r>
        <w:t>other</w:t>
      </w:r>
      <w:r>
        <w:rPr>
          <w:spacing w:val="-5"/>
        </w:rPr>
        <w:t xml:space="preserve"> </w:t>
      </w:r>
      <w:r>
        <w:t>variance</w:t>
      </w:r>
      <w:r>
        <w:rPr>
          <w:spacing w:val="-6"/>
        </w:rPr>
        <w:t xml:space="preserve"> </w:t>
      </w:r>
      <w:r>
        <w:t>strata,</w:t>
      </w:r>
      <w:r>
        <w:rPr>
          <w:spacing w:val="-5"/>
        </w:rPr>
        <w:t xml:space="preserve"> </w:t>
      </w:r>
      <w:r>
        <w:t>further</w:t>
      </w:r>
      <w:r>
        <w:rPr>
          <w:spacing w:val="-5"/>
        </w:rPr>
        <w:t xml:space="preserve"> </w:t>
      </w:r>
      <w:r>
        <w:t>called</w:t>
      </w:r>
      <w:r>
        <w:rPr>
          <w:spacing w:val="-5"/>
        </w:rPr>
        <w:t xml:space="preserve"> </w:t>
      </w:r>
      <w:r>
        <w:t>\(r\)</w:t>
      </w:r>
      <w:r>
        <w:rPr>
          <w:spacing w:val="-6"/>
        </w:rPr>
        <w:t xml:space="preserve"> </w:t>
      </w:r>
      <w:r>
        <w:t>with</w:t>
      </w:r>
      <w:r>
        <w:rPr>
          <w:spacing w:val="-5"/>
        </w:rPr>
        <w:t xml:space="preserve"> </w:t>
      </w:r>
      <w:r>
        <w:t>an</w:t>
      </w:r>
      <w:r>
        <w:rPr>
          <w:spacing w:val="-5"/>
        </w:rPr>
        <w:t xml:space="preserve"> </w:t>
      </w:r>
      <w:r>
        <w:t>asterisk</w:t>
      </w:r>
      <w:r>
        <w:rPr>
          <w:spacing w:val="-5"/>
        </w:rPr>
        <w:t xml:space="preserve"> </w:t>
      </w:r>
      <w:r>
        <w:t>(\(r^*\))</w:t>
      </w:r>
      <w:r>
        <w:rPr>
          <w:spacing w:val="-6"/>
        </w:rPr>
        <w:t xml:space="preserve"> </w:t>
      </w:r>
      <w:r>
        <w:t>(that</w:t>
      </w:r>
      <w:r>
        <w:rPr>
          <w:spacing w:val="-5"/>
        </w:rPr>
        <w:t xml:space="preserve"> </w:t>
      </w:r>
      <w:r>
        <w:t>is,</w:t>
      </w:r>
      <w:r>
        <w:rPr>
          <w:spacing w:val="-5"/>
        </w:rPr>
        <w:t xml:space="preserve"> </w:t>
      </w:r>
      <w:r>
        <w:t>strata</w:t>
      </w:r>
      <w:r>
        <w:rPr>
          <w:spacing w:val="-5"/>
        </w:rPr>
        <w:t xml:space="preserve"> </w:t>
      </w:r>
      <w:r>
        <w:t>other</w:t>
      </w:r>
      <w:r>
        <w:rPr>
          <w:spacing w:val="-5"/>
        </w:rPr>
        <w:t xml:space="preserve"> </w:t>
      </w:r>
      <w:r>
        <w:t>than</w:t>
      </w:r>
      <w:r>
        <w:rPr>
          <w:spacing w:val="-6"/>
        </w:rPr>
        <w:t xml:space="preserve"> </w:t>
      </w:r>
      <w:r>
        <w:t>variance</w:t>
      </w:r>
      <w:r>
        <w:rPr>
          <w:spacing w:val="-5"/>
        </w:rPr>
        <w:t xml:space="preserve"> </w:t>
      </w:r>
      <w:r>
        <w:t>strata</w:t>
      </w:r>
      <w:r>
        <w:rPr>
          <w:spacing w:val="-5"/>
        </w:rPr>
        <w:t xml:space="preserve"> </w:t>
      </w:r>
      <w:r>
        <w:t>\(r\)</w:t>
      </w:r>
      <w:r>
        <w:rPr>
          <w:spacing w:val="-5"/>
        </w:rPr>
        <w:t xml:space="preserve"> </w:t>
      </w:r>
      <w:r>
        <w:t>and</w:t>
      </w:r>
      <w:r>
        <w:rPr>
          <w:spacing w:val="-6"/>
        </w:rPr>
        <w:t xml:space="preserve"> </w:t>
      </w:r>
      <w:r>
        <w:rPr>
          <w:spacing w:val="-2"/>
        </w:rPr>
        <w:t>\(r'\)),</w:t>
      </w:r>
    </w:p>
    <w:p w:rsidR="003F5784" w14:paraId="5A04CD4C" w14:textId="77777777">
      <w:pPr>
        <w:pStyle w:val="BodyText"/>
        <w:spacing w:before="201" w:line="439" w:lineRule="auto"/>
        <w:ind w:left="109" w:right="9377"/>
      </w:pPr>
      <w:r>
        <w:t>\begin{equation}</w:t>
      </w:r>
      <w:r>
        <w:rPr>
          <w:spacing w:val="-14"/>
        </w:rPr>
        <w:t xml:space="preserve"> </w:t>
      </w:r>
      <w:r>
        <w:t>SCH\_REPFAC_{js}(r^*)</w:t>
      </w:r>
      <w:r>
        <w:rPr>
          <w:spacing w:val="-13"/>
        </w:rPr>
        <w:t xml:space="preserve"> </w:t>
      </w:r>
      <w:r>
        <w:t>=</w:t>
      </w:r>
      <w:r>
        <w:rPr>
          <w:spacing w:val="-13"/>
        </w:rPr>
        <w:t xml:space="preserve"> </w:t>
      </w:r>
      <w:r>
        <w:t>1</w:t>
      </w:r>
      <w:r>
        <w:rPr>
          <w:spacing w:val="-13"/>
        </w:rPr>
        <w:t xml:space="preserve"> </w:t>
      </w:r>
      <w:r>
        <w:t>,</w:t>
      </w:r>
      <w:r>
        <w:rPr>
          <w:spacing w:val="-13"/>
        </w:rPr>
        <w:t xml:space="preserve"> </w:t>
      </w:r>
      <w:r>
        <w:t xml:space="preserve">\end{equation} </w:t>
      </w:r>
      <w:r>
        <w:rPr>
          <w:spacing w:val="-2"/>
        </w:rPr>
        <w:t>where</w:t>
      </w:r>
    </w:p>
    <w:p w:rsidR="003F5784" w14:paraId="0544D061" w14:textId="77777777">
      <w:pPr>
        <w:pStyle w:val="BodyText"/>
        <w:spacing w:before="8" w:line="232" w:lineRule="auto"/>
        <w:ind w:left="422" w:right="4520"/>
      </w:pPr>
      <w:r>
        <w:rPr>
          <w:noProof/>
          <w:position w:val="3"/>
        </w:rPr>
        <w:drawing>
          <wp:inline distT="0" distB="0" distL="0" distR="0">
            <wp:extent cx="41379" cy="41378"/>
            <wp:effectExtent l="0" t="0" r="0" b="0"/>
            <wp:docPr id="647" name="Image 647"/>
            <wp:cNvGraphicFramePr/>
            <a:graphic xmlns:a="http://schemas.openxmlformats.org/drawingml/2006/main">
              <a:graphicData uri="http://schemas.openxmlformats.org/drawingml/2006/picture">
                <pic:pic xmlns:pic="http://schemas.openxmlformats.org/drawingml/2006/picture">
                  <pic:nvPicPr>
                    <pic:cNvPr id="647" name="Image 647"/>
                    <pic:cNvPicPr/>
                  </pic:nvPicPr>
                  <pic:blipFill>
                    <a:blip xmlns:r="http://schemas.openxmlformats.org/officeDocument/2006/relationships" r:embed="rId515" cstate="print"/>
                    <a:stretch>
                      <a:fillRect/>
                    </a:stretch>
                  </pic:blipFill>
                  <pic:spPr>
                    <a:xfrm>
                      <a:off x="0" y="0"/>
                      <a:ext cx="41379" cy="41378"/>
                    </a:xfrm>
                    <a:prstGeom prst="rect">
                      <a:avLst/>
                    </a:prstGeom>
                  </pic:spPr>
                </pic:pic>
              </a:graphicData>
            </a:graphic>
          </wp:inline>
        </w:drawing>
      </w:r>
      <w:r>
        <w:rPr>
          <w:spacing w:val="76"/>
          <w:sz w:val="20"/>
        </w:rPr>
        <w:t xml:space="preserve"> </w:t>
      </w:r>
      <w:r>
        <w:t>\(min(\pi_{j1},</w:t>
      </w:r>
      <w:r>
        <w:rPr>
          <w:spacing w:val="-7"/>
        </w:rPr>
        <w:t xml:space="preserve"> </w:t>
      </w:r>
      <w:r>
        <w:t>\pi_{j2},</w:t>
      </w:r>
      <w:r>
        <w:rPr>
          <w:spacing w:val="-7"/>
        </w:rPr>
        <w:t xml:space="preserve"> </w:t>
      </w:r>
      <w:r>
        <w:t>\pi_{j3})\)</w:t>
      </w:r>
      <w:r>
        <w:rPr>
          <w:spacing w:val="-7"/>
        </w:rPr>
        <w:t xml:space="preserve"> </w:t>
      </w:r>
      <w:r>
        <w:t>is</w:t>
      </w:r>
      <w:r>
        <w:rPr>
          <w:spacing w:val="-7"/>
        </w:rPr>
        <w:t xml:space="preserve"> </w:t>
      </w:r>
      <w:r>
        <w:t>the</w:t>
      </w:r>
      <w:r>
        <w:rPr>
          <w:spacing w:val="-7"/>
        </w:rPr>
        <w:t xml:space="preserve"> </w:t>
      </w:r>
      <w:r>
        <w:t>smallest</w:t>
      </w:r>
      <w:r>
        <w:rPr>
          <w:spacing w:val="-7"/>
        </w:rPr>
        <w:t xml:space="preserve"> </w:t>
      </w:r>
      <w:r>
        <w:t>school</w:t>
      </w:r>
      <w:r>
        <w:rPr>
          <w:spacing w:val="-7"/>
        </w:rPr>
        <w:t xml:space="preserve"> </w:t>
      </w:r>
      <w:r>
        <w:t>probability</w:t>
      </w:r>
      <w:r>
        <w:rPr>
          <w:spacing w:val="-7"/>
        </w:rPr>
        <w:t xml:space="preserve"> </w:t>
      </w:r>
      <w:r>
        <w:t>among</w:t>
      </w:r>
      <w:r>
        <w:rPr>
          <w:spacing w:val="-7"/>
        </w:rPr>
        <w:t xml:space="preserve"> </w:t>
      </w:r>
      <w:r>
        <w:t>the</w:t>
      </w:r>
      <w:r>
        <w:rPr>
          <w:spacing w:val="-7"/>
        </w:rPr>
        <w:t xml:space="preserve"> </w:t>
      </w:r>
      <w:r>
        <w:t>three</w:t>
      </w:r>
      <w:r>
        <w:rPr>
          <w:spacing w:val="-7"/>
        </w:rPr>
        <w:t xml:space="preserve"> </w:t>
      </w:r>
      <w:r>
        <w:t>schools</w:t>
      </w:r>
      <w:r>
        <w:rPr>
          <w:spacing w:val="-7"/>
        </w:rPr>
        <w:t xml:space="preserve"> </w:t>
      </w:r>
      <w:r>
        <w:t>comprising</w:t>
      </w:r>
      <w:r>
        <w:rPr>
          <w:spacing w:val="-7"/>
        </w:rPr>
        <w:t xml:space="preserve"> </w:t>
      </w:r>
      <w:r>
        <w:t xml:space="preserve">\(R_{jr}\); </w:t>
      </w:r>
      <w:r>
        <w:rPr>
          <w:noProof/>
          <w:position w:val="3"/>
        </w:rPr>
        <w:drawing>
          <wp:inline distT="0" distB="0" distL="0" distR="0">
            <wp:extent cx="41379" cy="41378"/>
            <wp:effectExtent l="0" t="0" r="0" b="0"/>
            <wp:docPr id="648" name="Image 648"/>
            <wp:cNvGraphicFramePr/>
            <a:graphic xmlns:a="http://schemas.openxmlformats.org/drawingml/2006/main">
              <a:graphicData uri="http://schemas.openxmlformats.org/drawingml/2006/picture">
                <pic:pic xmlns:pic="http://schemas.openxmlformats.org/drawingml/2006/picture">
                  <pic:nvPicPr>
                    <pic:cNvPr id="648" name="Image 648"/>
                    <pic:cNvPicPr/>
                  </pic:nvPicPr>
                  <pic:blipFill>
                    <a:blip xmlns:r="http://schemas.openxmlformats.org/officeDocument/2006/relationships" r:embed="rId516" cstate="print"/>
                    <a:stretch>
                      <a:fillRect/>
                    </a:stretch>
                  </pic:blipFill>
                  <pic:spPr>
                    <a:xfrm>
                      <a:off x="0" y="0"/>
                      <a:ext cx="41379" cy="41378"/>
                    </a:xfrm>
                    <a:prstGeom prst="rect">
                      <a:avLst/>
                    </a:prstGeom>
                  </pic:spPr>
                </pic:pic>
              </a:graphicData>
            </a:graphic>
          </wp:inline>
        </w:drawing>
      </w:r>
      <w:r>
        <w:rPr>
          <w:spacing w:val="80"/>
        </w:rPr>
        <w:t xml:space="preserve"> </w:t>
      </w:r>
      <w:r>
        <w:t>\(R_{jr}\) is the set of schools within the \(r\)-th variance stratum for primary stratum \(r\); and</w:t>
      </w:r>
    </w:p>
    <w:p w:rsidR="003F5784" w14:paraId="3BFABEB4" w14:textId="77777777">
      <w:pPr>
        <w:pStyle w:val="BodyText"/>
        <w:spacing w:line="236" w:lineRule="exact"/>
        <w:ind w:left="422"/>
      </w:pPr>
      <w:r>
        <w:rPr>
          <w:noProof/>
          <w:position w:val="3"/>
        </w:rPr>
        <w:drawing>
          <wp:inline distT="0" distB="0" distL="0" distR="0">
            <wp:extent cx="41379" cy="41378"/>
            <wp:effectExtent l="0" t="0" r="0" b="0"/>
            <wp:docPr id="649" name="Image 649"/>
            <wp:cNvGraphicFramePr/>
            <a:graphic xmlns:a="http://schemas.openxmlformats.org/drawingml/2006/main">
              <a:graphicData uri="http://schemas.openxmlformats.org/drawingml/2006/picture">
                <pic:pic xmlns:pic="http://schemas.openxmlformats.org/drawingml/2006/picture">
                  <pic:nvPicPr>
                    <pic:cNvPr id="649" name="Image 649"/>
                    <pic:cNvPicPr/>
                  </pic:nvPicPr>
                  <pic:blipFill>
                    <a:blip xmlns:r="http://schemas.openxmlformats.org/officeDocument/2006/relationships" r:embed="rId517" cstate="print"/>
                    <a:stretch>
                      <a:fillRect/>
                    </a:stretch>
                  </pic:blipFill>
                  <pic:spPr>
                    <a:xfrm>
                      <a:off x="0" y="0"/>
                      <a:ext cx="41379" cy="41378"/>
                    </a:xfrm>
                    <a:prstGeom prst="rect">
                      <a:avLst/>
                    </a:prstGeom>
                  </pic:spPr>
                </pic:pic>
              </a:graphicData>
            </a:graphic>
          </wp:inline>
        </w:drawing>
      </w:r>
      <w:r>
        <w:rPr>
          <w:spacing w:val="80"/>
          <w:sz w:val="20"/>
        </w:rPr>
        <w:t xml:space="preserve"> </w:t>
      </w:r>
      <w:r>
        <w:t>\(U_{js}\) is the variance unit (1, 2, or 3) for school \(s\) in primary stratum \(j\).</w:t>
      </w:r>
    </w:p>
    <w:p w:rsidR="003F5784" w14:paraId="1D72D257" w14:textId="77777777">
      <w:pPr>
        <w:pStyle w:val="BodyText"/>
        <w:spacing w:before="208" w:line="232" w:lineRule="auto"/>
        <w:ind w:left="109"/>
      </w:pPr>
      <w:r>
        <w:t>In</w:t>
      </w:r>
      <w:r>
        <w:rPr>
          <w:spacing w:val="-5"/>
        </w:rPr>
        <w:t xml:space="preserve"> </w:t>
      </w:r>
      <w:r>
        <w:t>primary</w:t>
      </w:r>
      <w:r>
        <w:rPr>
          <w:spacing w:val="-5"/>
        </w:rPr>
        <w:t xml:space="preserve"> </w:t>
      </w:r>
      <w:r>
        <w:t>strata</w:t>
      </w:r>
      <w:r>
        <w:rPr>
          <w:spacing w:val="-5"/>
        </w:rPr>
        <w:t xml:space="preserve"> </w:t>
      </w:r>
      <w:r>
        <w:t>with</w:t>
      </w:r>
      <w:r>
        <w:rPr>
          <w:spacing w:val="-5"/>
        </w:rPr>
        <w:t xml:space="preserve"> </w:t>
      </w:r>
      <w:r>
        <w:t>fewer</w:t>
      </w:r>
      <w:r>
        <w:rPr>
          <w:spacing w:val="-5"/>
        </w:rPr>
        <w:t xml:space="preserve"> </w:t>
      </w:r>
      <w:r>
        <w:t>than</w:t>
      </w:r>
      <w:r>
        <w:rPr>
          <w:spacing w:val="-5"/>
        </w:rPr>
        <w:t xml:space="preserve"> </w:t>
      </w:r>
      <w:r>
        <w:t>62</w:t>
      </w:r>
      <w:r>
        <w:rPr>
          <w:spacing w:val="-5"/>
        </w:rPr>
        <w:t xml:space="preserve"> </w:t>
      </w:r>
      <w:r>
        <w:t>variance</w:t>
      </w:r>
      <w:r>
        <w:rPr>
          <w:spacing w:val="-5"/>
        </w:rPr>
        <w:t xml:space="preserve"> </w:t>
      </w:r>
      <w:r>
        <w:t>strata,</w:t>
      </w:r>
      <w:r>
        <w:rPr>
          <w:spacing w:val="-5"/>
        </w:rPr>
        <w:t xml:space="preserve"> </w:t>
      </w:r>
      <w:r>
        <w:t>the</w:t>
      </w:r>
      <w:r>
        <w:rPr>
          <w:spacing w:val="-5"/>
        </w:rPr>
        <w:t xml:space="preserve"> </w:t>
      </w:r>
      <w:r>
        <w:t>replicate</w:t>
      </w:r>
      <w:r>
        <w:rPr>
          <w:spacing w:val="-5"/>
        </w:rPr>
        <w:t xml:space="preserve"> </w:t>
      </w:r>
      <w:r>
        <w:t>weights</w:t>
      </w:r>
      <w:r>
        <w:rPr>
          <w:spacing w:val="-5"/>
        </w:rPr>
        <w:t xml:space="preserve"> </w:t>
      </w:r>
      <w:r>
        <w:t>for</w:t>
      </w:r>
      <w:r>
        <w:rPr>
          <w:spacing w:val="-5"/>
        </w:rPr>
        <w:t xml:space="preserve"> </w:t>
      </w:r>
      <w:r>
        <w:t>the</w:t>
      </w:r>
      <w:r>
        <w:rPr>
          <w:spacing w:val="-5"/>
        </w:rPr>
        <w:t xml:space="preserve"> </w:t>
      </w:r>
      <w:r>
        <w:t>“unused”</w:t>
      </w:r>
      <w:r>
        <w:rPr>
          <w:spacing w:val="-5"/>
        </w:rPr>
        <w:t xml:space="preserve"> </w:t>
      </w:r>
      <w:r>
        <w:t>variance</w:t>
      </w:r>
      <w:r>
        <w:rPr>
          <w:spacing w:val="-5"/>
        </w:rPr>
        <w:t xml:space="preserve"> </w:t>
      </w:r>
      <w:r>
        <w:t>strata</w:t>
      </w:r>
      <w:r>
        <w:rPr>
          <w:spacing w:val="-5"/>
        </w:rPr>
        <w:t xml:space="preserve"> </w:t>
      </w:r>
      <w:r>
        <w:t>(the</w:t>
      </w:r>
      <w:r>
        <w:rPr>
          <w:spacing w:val="-5"/>
        </w:rPr>
        <w:t xml:space="preserve"> </w:t>
      </w:r>
      <w:r>
        <w:t>remaining</w:t>
      </w:r>
      <w:r>
        <w:rPr>
          <w:spacing w:val="-5"/>
        </w:rPr>
        <w:t xml:space="preserve"> </w:t>
      </w:r>
      <w:r>
        <w:t>ones</w:t>
      </w:r>
      <w:r>
        <w:rPr>
          <w:spacing w:val="-5"/>
        </w:rPr>
        <w:t xml:space="preserve"> </w:t>
      </w:r>
      <w:r>
        <w:t>up</w:t>
      </w:r>
      <w:r>
        <w:rPr>
          <w:spacing w:val="-5"/>
        </w:rPr>
        <w:t xml:space="preserve"> </w:t>
      </w:r>
      <w:r>
        <w:t>to</w:t>
      </w:r>
      <w:r>
        <w:rPr>
          <w:spacing w:val="-5"/>
        </w:rPr>
        <w:t xml:space="preserve"> </w:t>
      </w:r>
      <w:r>
        <w:t>62)</w:t>
      </w:r>
      <w:r>
        <w:rPr>
          <w:spacing w:val="-5"/>
        </w:rPr>
        <w:t xml:space="preserve"> </w:t>
      </w:r>
      <w:r>
        <w:t>for</w:t>
      </w:r>
      <w:r>
        <w:rPr>
          <w:spacing w:val="-5"/>
        </w:rPr>
        <w:t xml:space="preserve"> </w:t>
      </w:r>
      <w:r>
        <w:t>these</w:t>
      </w:r>
      <w:r>
        <w:rPr>
          <w:spacing w:val="-5"/>
        </w:rPr>
        <w:t xml:space="preserve"> </w:t>
      </w:r>
      <w:r>
        <w:t>schools</w:t>
      </w:r>
      <w:r>
        <w:rPr>
          <w:spacing w:val="-5"/>
        </w:rPr>
        <w:t xml:space="preserve"> </w:t>
      </w:r>
      <w:r>
        <w:t>were</w:t>
      </w:r>
      <w:r>
        <w:rPr>
          <w:spacing w:val="-5"/>
        </w:rPr>
        <w:t xml:space="preserve"> </w:t>
      </w:r>
      <w:r>
        <w:t>set</w:t>
      </w:r>
      <w:r>
        <w:rPr>
          <w:spacing w:val="-5"/>
        </w:rPr>
        <w:t xml:space="preserve"> </w:t>
      </w:r>
      <w:r>
        <w:t>equal</w:t>
      </w:r>
      <w:r>
        <w:rPr>
          <w:spacing w:val="-5"/>
        </w:rPr>
        <w:t xml:space="preserve"> </w:t>
      </w:r>
      <w:r>
        <w:t>to</w:t>
      </w:r>
      <w:r>
        <w:rPr>
          <w:spacing w:val="-5"/>
        </w:rPr>
        <w:t xml:space="preserve"> </w:t>
      </w:r>
      <w:r>
        <w:t>the school base weight (so that those replicates contribute nothing to the variance estimate).</w:t>
      </w:r>
    </w:p>
    <w:p w:rsidR="003F5784" w14:paraId="58FC0A01" w14:textId="77777777">
      <w:pPr>
        <w:pStyle w:val="BodyText"/>
      </w:pPr>
    </w:p>
    <w:p w:rsidR="003F5784" w14:paraId="58189D42" w14:textId="77777777">
      <w:pPr>
        <w:pStyle w:val="BodyText"/>
      </w:pPr>
    </w:p>
    <w:p w:rsidR="003F5784" w14:paraId="4355BF19" w14:textId="77777777">
      <w:pPr>
        <w:pStyle w:val="BodyText"/>
        <w:spacing w:before="145"/>
      </w:pPr>
    </w:p>
    <w:p w:rsidR="003F5784" w14:paraId="4B90FEEB" w14:textId="77777777">
      <w:pPr>
        <w:spacing w:before="1"/>
        <w:ind w:left="4896"/>
        <w:rPr>
          <w:sz w:val="18"/>
        </w:rPr>
      </w:pPr>
      <w:hyperlink r:id="rId518">
        <w:r>
          <w:rPr>
            <w:spacing w:val="-2"/>
            <w:w w:val="105"/>
            <w:sz w:val="18"/>
          </w:rPr>
          <w:t>http://nces.ed.gov/nationsreportcard/tdw/weighting/2022/computing_school_level_replicate_factors_for_the_2022_assessment.aspx</w:t>
        </w:r>
      </w:hyperlink>
    </w:p>
    <w:p w:rsidR="003F5784" w14:paraId="1490593C" w14:textId="77777777">
      <w:pPr>
        <w:pStyle w:val="BodyText"/>
        <w:rPr>
          <w:sz w:val="16"/>
        </w:rPr>
      </w:pPr>
      <w:r>
        <w:rPr>
          <w:noProof/>
        </w:rPr>
        <mc:AlternateContent>
          <mc:Choice Requires="wps">
            <w:drawing>
              <wp:anchor distT="0" distB="0" distL="0" distR="0" simplePos="0" relativeHeight="252023808" behindDoc="1" locked="0" layoutInCell="1" allowOverlap="1">
                <wp:simplePos x="0" y="0"/>
                <wp:positionH relativeFrom="page">
                  <wp:posOffset>361937</wp:posOffset>
                </wp:positionH>
                <wp:positionV relativeFrom="paragraph">
                  <wp:posOffset>132003</wp:posOffset>
                </wp:positionV>
                <wp:extent cx="9339580" cy="8890"/>
                <wp:effectExtent l="0" t="0" r="0" b="0"/>
                <wp:wrapTopAndBottom/>
                <wp:docPr id="650" name="Graphic 650"/>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293"/>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650" o:spid="_x0000_s1210" style="width:735.4pt;height:0.7pt;margin-top:10.4pt;margin-left:28.5pt;mso-position-horizontal-relative:page;mso-wrap-distance-bottom:0;mso-wrap-distance-left:0;mso-wrap-distance-right:0;mso-wrap-distance-top:0;mso-wrap-style:square;position:absolute;visibility:visible;v-text-anchor:top;z-index:-251291648" coordsize="9339580,8890" path="m9338970,l9335110,l,,,8280l8280,8293l9335110,8280l9338970,8280l9338970,xe" fillcolor="gray" stroked="f">
                <v:path arrowok="t"/>
                <w10:wrap type="topAndBottom"/>
              </v:shape>
            </w:pict>
          </mc:Fallback>
        </mc:AlternateContent>
      </w:r>
    </w:p>
    <w:p w:rsidR="003F5784" w14:paraId="00BC20CD" w14:textId="77777777">
      <w:pPr>
        <w:rPr>
          <w:sz w:val="16"/>
        </w:rPr>
        <w:sectPr>
          <w:type w:val="continuous"/>
          <w:pgSz w:w="15840" w:h="12240" w:orient="landscape"/>
          <w:pgMar w:top="480" w:right="440" w:bottom="460" w:left="460" w:header="284" w:footer="275" w:gutter="0"/>
          <w:cols w:space="720"/>
        </w:sectPr>
      </w:pPr>
    </w:p>
    <w:p w:rsidR="003F5784" w14:paraId="4C430F52" w14:textId="52345E46">
      <w:pPr>
        <w:pStyle w:val="Heading1"/>
        <w:spacing w:before="81"/>
      </w:pPr>
      <w:r>
        <w:t>NAEP</w:t>
      </w:r>
      <w:r>
        <w:rPr>
          <w:spacing w:val="-18"/>
        </w:rPr>
        <w:t xml:space="preserve"> </w:t>
      </w:r>
      <w:r>
        <w:t>Technical</w:t>
      </w:r>
      <w:r>
        <w:rPr>
          <w:spacing w:val="17"/>
        </w:rPr>
        <w:t xml:space="preserve"> </w:t>
      </w:r>
      <w:r>
        <w:t>Documentation</w:t>
      </w:r>
      <w:r w:rsidR="00C94150">
        <w:t xml:space="preserve"> </w:t>
      </w:r>
      <w:r>
        <w:t>Computing</w:t>
      </w:r>
      <w:r>
        <w:rPr>
          <w:spacing w:val="18"/>
        </w:rPr>
        <w:t xml:space="preserve"> </w:t>
      </w:r>
      <w:r>
        <w:t>Student-Level</w:t>
      </w:r>
      <w:r>
        <w:rPr>
          <w:spacing w:val="17"/>
        </w:rPr>
        <w:t xml:space="preserve"> </w:t>
      </w:r>
      <w:r>
        <w:t>Replicate</w:t>
      </w:r>
      <w:r>
        <w:rPr>
          <w:spacing w:val="17"/>
        </w:rPr>
        <w:t xml:space="preserve"> </w:t>
      </w:r>
      <w:r>
        <w:rPr>
          <w:spacing w:val="-2"/>
        </w:rPr>
        <w:t>Factors</w:t>
      </w:r>
    </w:p>
    <w:p w:rsidR="003F5784" w14:paraId="43AF9521" w14:textId="77777777">
      <w:pPr>
        <w:pStyle w:val="BodyText"/>
        <w:spacing w:before="276"/>
        <w:ind w:left="109"/>
      </w:pPr>
      <w:r>
        <w:t>The</w:t>
      </w:r>
      <w:r>
        <w:rPr>
          <w:spacing w:val="-8"/>
        </w:rPr>
        <w:t xml:space="preserve"> </w:t>
      </w:r>
      <w:r>
        <w:t>student-level</w:t>
      </w:r>
      <w:r>
        <w:rPr>
          <w:spacing w:val="-7"/>
        </w:rPr>
        <w:t xml:space="preserve"> </w:t>
      </w:r>
      <w:r>
        <w:t>replication</w:t>
      </w:r>
      <w:r>
        <w:rPr>
          <w:spacing w:val="-8"/>
        </w:rPr>
        <w:t xml:space="preserve"> </w:t>
      </w:r>
      <w:r>
        <w:t>procedures</w:t>
      </w:r>
      <w:r>
        <w:rPr>
          <w:spacing w:val="-7"/>
        </w:rPr>
        <w:t xml:space="preserve"> </w:t>
      </w:r>
      <w:r>
        <w:t>differed</w:t>
      </w:r>
      <w:r>
        <w:rPr>
          <w:spacing w:val="-8"/>
        </w:rPr>
        <w:t xml:space="preserve"> </w:t>
      </w:r>
      <w:r>
        <w:t>for</w:t>
      </w:r>
      <w:r>
        <w:rPr>
          <w:spacing w:val="-7"/>
        </w:rPr>
        <w:t xml:space="preserve"> </w:t>
      </w:r>
      <w:r>
        <w:t>the</w:t>
      </w:r>
      <w:r>
        <w:rPr>
          <w:spacing w:val="-7"/>
        </w:rPr>
        <w:t xml:space="preserve"> </w:t>
      </w:r>
      <w:r>
        <w:t>age-based</w:t>
      </w:r>
      <w:r>
        <w:rPr>
          <w:spacing w:val="-8"/>
        </w:rPr>
        <w:t xml:space="preserve"> </w:t>
      </w:r>
      <w:r>
        <w:t>samples</w:t>
      </w:r>
      <w:r>
        <w:rPr>
          <w:spacing w:val="-7"/>
        </w:rPr>
        <w:t xml:space="preserve"> </w:t>
      </w:r>
      <w:r>
        <w:t>and</w:t>
      </w:r>
      <w:r>
        <w:rPr>
          <w:spacing w:val="-8"/>
        </w:rPr>
        <w:t xml:space="preserve"> </w:t>
      </w:r>
      <w:r>
        <w:t>the</w:t>
      </w:r>
      <w:r>
        <w:rPr>
          <w:spacing w:val="-7"/>
        </w:rPr>
        <w:t xml:space="preserve"> </w:t>
      </w:r>
      <w:r>
        <w:t>grade-based</w:t>
      </w:r>
      <w:r>
        <w:rPr>
          <w:spacing w:val="-8"/>
        </w:rPr>
        <w:t xml:space="preserve"> </w:t>
      </w:r>
      <w:r>
        <w:t>samples</w:t>
      </w:r>
      <w:r>
        <w:rPr>
          <w:spacing w:val="-7"/>
        </w:rPr>
        <w:t xml:space="preserve"> </w:t>
      </w:r>
      <w:r>
        <w:t>because</w:t>
      </w:r>
      <w:r>
        <w:rPr>
          <w:spacing w:val="-7"/>
        </w:rPr>
        <w:t xml:space="preserve"> </w:t>
      </w:r>
      <w:r>
        <w:t>the</w:t>
      </w:r>
      <w:r>
        <w:rPr>
          <w:spacing w:val="-8"/>
        </w:rPr>
        <w:t xml:space="preserve"> </w:t>
      </w:r>
      <w:r>
        <w:t>latter</w:t>
      </w:r>
      <w:r>
        <w:rPr>
          <w:spacing w:val="-7"/>
        </w:rPr>
        <w:t xml:space="preserve"> </w:t>
      </w:r>
      <w:r>
        <w:t>incorporate</w:t>
      </w:r>
      <w:r>
        <w:rPr>
          <w:spacing w:val="-8"/>
        </w:rPr>
        <w:t xml:space="preserve"> </w:t>
      </w:r>
      <w:r>
        <w:t>finite</w:t>
      </w:r>
      <w:r>
        <w:rPr>
          <w:spacing w:val="-7"/>
        </w:rPr>
        <w:t xml:space="preserve"> </w:t>
      </w:r>
      <w:r>
        <w:t>population</w:t>
      </w:r>
      <w:r>
        <w:rPr>
          <w:spacing w:val="-8"/>
        </w:rPr>
        <w:t xml:space="preserve"> </w:t>
      </w:r>
      <w:r>
        <w:rPr>
          <w:spacing w:val="-2"/>
        </w:rPr>
        <w:t>corrections.</w:t>
      </w:r>
    </w:p>
    <w:p w:rsidR="003F5784" w14:paraId="41F8FE36" w14:textId="77777777">
      <w:pPr>
        <w:pStyle w:val="Heading2"/>
        <w:spacing w:before="201"/>
        <w:ind w:left="109"/>
      </w:pPr>
      <w:r>
        <w:t>Age-Based</w:t>
      </w:r>
      <w:r>
        <w:rPr>
          <w:spacing w:val="-11"/>
        </w:rPr>
        <w:t xml:space="preserve"> </w:t>
      </w:r>
      <w:r>
        <w:rPr>
          <w:spacing w:val="-2"/>
        </w:rPr>
        <w:t>Samples</w:t>
      </w:r>
    </w:p>
    <w:p w:rsidR="003F5784" w14:paraId="083D34B0" w14:textId="77777777">
      <w:pPr>
        <w:pStyle w:val="BodyText"/>
        <w:spacing w:before="208" w:line="232" w:lineRule="auto"/>
        <w:ind w:left="109"/>
      </w:pPr>
      <w:r>
        <w:t>For</w:t>
      </w:r>
      <w:r>
        <w:rPr>
          <w:spacing w:val="-11"/>
        </w:rPr>
        <w:t xml:space="preserve"> </w:t>
      </w:r>
      <w:r>
        <w:t>the</w:t>
      </w:r>
      <w:r>
        <w:rPr>
          <w:spacing w:val="-9"/>
        </w:rPr>
        <w:t xml:space="preserve"> </w:t>
      </w:r>
      <w:r>
        <w:t>NAEP</w:t>
      </w:r>
      <w:r>
        <w:rPr>
          <w:spacing w:val="-14"/>
        </w:rPr>
        <w:t xml:space="preserve"> </w:t>
      </w:r>
      <w:r>
        <w:t>2022</w:t>
      </w:r>
      <w:r>
        <w:rPr>
          <w:spacing w:val="-8"/>
        </w:rPr>
        <w:t xml:space="preserve"> </w:t>
      </w:r>
      <w:r>
        <w:t>age-based</w:t>
      </w:r>
      <w:r>
        <w:rPr>
          <w:spacing w:val="-9"/>
        </w:rPr>
        <w:t xml:space="preserve"> </w:t>
      </w:r>
      <w:r>
        <w:t>long-term</w:t>
      </w:r>
      <w:r>
        <w:rPr>
          <w:spacing w:val="-9"/>
        </w:rPr>
        <w:t xml:space="preserve"> </w:t>
      </w:r>
      <w:r>
        <w:t>trend</w:t>
      </w:r>
      <w:r>
        <w:rPr>
          <w:spacing w:val="-9"/>
        </w:rPr>
        <w:t xml:space="preserve"> </w:t>
      </w:r>
      <w:r>
        <w:t>(LTT)</w:t>
      </w:r>
      <w:r>
        <w:rPr>
          <w:spacing w:val="-9"/>
        </w:rPr>
        <w:t xml:space="preserve"> </w:t>
      </w:r>
      <w:r>
        <w:t>assessments,</w:t>
      </w:r>
      <w:r>
        <w:rPr>
          <w:spacing w:val="-9"/>
        </w:rPr>
        <w:t xml:space="preserve"> </w:t>
      </w:r>
      <w:r>
        <w:t>the</w:t>
      </w:r>
      <w:r>
        <w:rPr>
          <w:spacing w:val="-9"/>
        </w:rPr>
        <w:t xml:space="preserve"> </w:t>
      </w:r>
      <w:r>
        <w:t>student-level</w:t>
      </w:r>
      <w:r>
        <w:rPr>
          <w:spacing w:val="-9"/>
        </w:rPr>
        <w:t xml:space="preserve"> </w:t>
      </w:r>
      <w:r>
        <w:t>replication</w:t>
      </w:r>
      <w:r>
        <w:rPr>
          <w:spacing w:val="-9"/>
        </w:rPr>
        <w:t xml:space="preserve"> </w:t>
      </w:r>
      <w:r>
        <w:t>was</w:t>
      </w:r>
      <w:r>
        <w:rPr>
          <w:spacing w:val="-9"/>
        </w:rPr>
        <w:t xml:space="preserve"> </w:t>
      </w:r>
      <w:r>
        <w:t>carried</w:t>
      </w:r>
      <w:r>
        <w:rPr>
          <w:spacing w:val="-9"/>
        </w:rPr>
        <w:t xml:space="preserve"> </w:t>
      </w:r>
      <w:r>
        <w:t>out</w:t>
      </w:r>
      <w:r>
        <w:rPr>
          <w:spacing w:val="-9"/>
        </w:rPr>
        <w:t xml:space="preserve"> </w:t>
      </w:r>
      <w:r>
        <w:t>using</w:t>
      </w:r>
      <w:r>
        <w:rPr>
          <w:spacing w:val="-9"/>
        </w:rPr>
        <w:t xml:space="preserve"> </w:t>
      </w:r>
      <w:r>
        <w:t>the</w:t>
      </w:r>
      <w:r>
        <w:rPr>
          <w:spacing w:val="-9"/>
        </w:rPr>
        <w:t xml:space="preserve"> </w:t>
      </w:r>
      <w:r>
        <w:t>same</w:t>
      </w:r>
      <w:r>
        <w:rPr>
          <w:spacing w:val="-9"/>
        </w:rPr>
        <w:t xml:space="preserve"> </w:t>
      </w:r>
      <w:r>
        <w:t>procedures</w:t>
      </w:r>
      <w:r>
        <w:rPr>
          <w:spacing w:val="-9"/>
        </w:rPr>
        <w:t xml:space="preserve"> </w:t>
      </w:r>
      <w:r>
        <w:t>used</w:t>
      </w:r>
      <w:r>
        <w:rPr>
          <w:spacing w:val="-9"/>
        </w:rPr>
        <w:t xml:space="preserve"> </w:t>
      </w:r>
      <w:r>
        <w:t>for</w:t>
      </w:r>
      <w:r>
        <w:rPr>
          <w:spacing w:val="-9"/>
        </w:rPr>
        <w:t xml:space="preserve"> </w:t>
      </w:r>
      <w:r>
        <w:t>2020</w:t>
      </w:r>
      <w:r>
        <w:rPr>
          <w:spacing w:val="-9"/>
        </w:rPr>
        <w:t xml:space="preserve"> </w:t>
      </w:r>
      <w:r>
        <w:t>LTT.</w:t>
      </w:r>
      <w:r>
        <w:rPr>
          <w:spacing w:val="-12"/>
        </w:rPr>
        <w:t xml:space="preserve"> </w:t>
      </w:r>
      <w:r>
        <w:t>Those</w:t>
      </w:r>
      <w:r>
        <w:rPr>
          <w:spacing w:val="-9"/>
        </w:rPr>
        <w:t xml:space="preserve"> </w:t>
      </w:r>
      <w:r>
        <w:t>procedures are described here.</w:t>
      </w:r>
    </w:p>
    <w:p w:rsidR="003F5784" w14:paraId="2F1AF9F6" w14:textId="77777777">
      <w:pPr>
        <w:pStyle w:val="Heading2"/>
        <w:spacing w:before="203"/>
        <w:ind w:left="109"/>
      </w:pPr>
      <w:r>
        <w:t>Grade-Based</w:t>
      </w:r>
      <w:r>
        <w:rPr>
          <w:spacing w:val="-13"/>
        </w:rPr>
        <w:t xml:space="preserve"> </w:t>
      </w:r>
      <w:r>
        <w:rPr>
          <w:spacing w:val="-2"/>
        </w:rPr>
        <w:t>Samples</w:t>
      </w:r>
    </w:p>
    <w:p w:rsidR="003F5784" w14:paraId="38F42AC9" w14:textId="77777777">
      <w:pPr>
        <w:pStyle w:val="BodyText"/>
        <w:spacing w:before="208" w:line="232" w:lineRule="auto"/>
        <w:ind w:left="109"/>
      </w:pPr>
      <w:r>
        <w:t>For</w:t>
      </w:r>
      <w:r>
        <w:rPr>
          <w:spacing w:val="-8"/>
        </w:rPr>
        <w:t xml:space="preserve"> </w:t>
      </w:r>
      <w:r>
        <w:t>the</w:t>
      </w:r>
      <w:r>
        <w:rPr>
          <w:spacing w:val="-8"/>
        </w:rPr>
        <w:t xml:space="preserve"> </w:t>
      </w:r>
      <w:r>
        <w:t>grade-based</w:t>
      </w:r>
      <w:r>
        <w:rPr>
          <w:spacing w:val="-8"/>
        </w:rPr>
        <w:t xml:space="preserve"> </w:t>
      </w:r>
      <w:r>
        <w:t>civics,</w:t>
      </w:r>
      <w:r>
        <w:rPr>
          <w:spacing w:val="-8"/>
        </w:rPr>
        <w:t xml:space="preserve"> </w:t>
      </w:r>
      <w:r>
        <w:t>mathematics,</w:t>
      </w:r>
      <w:r>
        <w:rPr>
          <w:spacing w:val="-8"/>
        </w:rPr>
        <w:t xml:space="preserve"> </w:t>
      </w:r>
      <w:r>
        <w:t>reading,</w:t>
      </w:r>
      <w:r>
        <w:rPr>
          <w:spacing w:val="-8"/>
        </w:rPr>
        <w:t xml:space="preserve"> </w:t>
      </w:r>
      <w:r>
        <w:t>and</w:t>
      </w:r>
      <w:r>
        <w:rPr>
          <w:spacing w:val="-8"/>
        </w:rPr>
        <w:t xml:space="preserve"> </w:t>
      </w:r>
      <w:r>
        <w:t>U.S.</w:t>
      </w:r>
      <w:r>
        <w:rPr>
          <w:spacing w:val="-8"/>
        </w:rPr>
        <w:t xml:space="preserve"> </w:t>
      </w:r>
      <w:r>
        <w:t>history</w:t>
      </w:r>
      <w:r>
        <w:rPr>
          <w:spacing w:val="-8"/>
        </w:rPr>
        <w:t xml:space="preserve"> </w:t>
      </w:r>
      <w:r>
        <w:t>assessment</w:t>
      </w:r>
      <w:r>
        <w:rPr>
          <w:spacing w:val="-8"/>
        </w:rPr>
        <w:t xml:space="preserve"> </w:t>
      </w:r>
      <w:r>
        <w:t>samples,</w:t>
      </w:r>
      <w:r>
        <w:rPr>
          <w:spacing w:val="-8"/>
        </w:rPr>
        <w:t xml:space="preserve"> </w:t>
      </w:r>
      <w:r>
        <w:t>which</w:t>
      </w:r>
      <w:r>
        <w:rPr>
          <w:spacing w:val="-8"/>
        </w:rPr>
        <w:t xml:space="preserve"> </w:t>
      </w:r>
      <w:r>
        <w:t>involved</w:t>
      </w:r>
      <w:r>
        <w:rPr>
          <w:spacing w:val="-8"/>
        </w:rPr>
        <w:t xml:space="preserve"> </w:t>
      </w:r>
      <w:r>
        <w:t>school-level</w:t>
      </w:r>
      <w:r>
        <w:rPr>
          <w:spacing w:val="-8"/>
        </w:rPr>
        <w:t xml:space="preserve"> </w:t>
      </w:r>
      <w:r>
        <w:t>finite</w:t>
      </w:r>
      <w:r>
        <w:rPr>
          <w:spacing w:val="-8"/>
        </w:rPr>
        <w:t xml:space="preserve"> </w:t>
      </w:r>
      <w:r>
        <w:t>population</w:t>
      </w:r>
      <w:r>
        <w:rPr>
          <w:spacing w:val="-8"/>
        </w:rPr>
        <w:t xml:space="preserve"> </w:t>
      </w:r>
      <w:r>
        <w:t>corrections,</w:t>
      </w:r>
      <w:r>
        <w:rPr>
          <w:spacing w:val="-8"/>
        </w:rPr>
        <w:t xml:space="preserve"> </w:t>
      </w:r>
      <w:r>
        <w:t>the</w:t>
      </w:r>
      <w:r>
        <w:rPr>
          <w:spacing w:val="-8"/>
        </w:rPr>
        <w:t xml:space="preserve"> </w:t>
      </w:r>
      <w:r>
        <w:t>student-level</w:t>
      </w:r>
      <w:r>
        <w:rPr>
          <w:spacing w:val="-8"/>
        </w:rPr>
        <w:t xml:space="preserve"> </w:t>
      </w:r>
      <w:r>
        <w:t>replication factors were calculated the same way regardless of whether or not the student was in a certainty school.</w:t>
      </w:r>
    </w:p>
    <w:p w:rsidR="003F5784" w14:paraId="0A1A2163" w14:textId="77777777">
      <w:pPr>
        <w:pStyle w:val="BodyText"/>
        <w:spacing w:before="203"/>
        <w:ind w:left="109"/>
      </w:pPr>
      <w:r>
        <w:t>For</w:t>
      </w:r>
      <w:r>
        <w:rPr>
          <w:spacing w:val="-8"/>
        </w:rPr>
        <w:t xml:space="preserve"> </w:t>
      </w:r>
      <w:r>
        <w:t>students</w:t>
      </w:r>
      <w:r>
        <w:rPr>
          <w:spacing w:val="-8"/>
        </w:rPr>
        <w:t xml:space="preserve"> </w:t>
      </w:r>
      <w:r>
        <w:t>in</w:t>
      </w:r>
      <w:r>
        <w:rPr>
          <w:spacing w:val="-9"/>
        </w:rPr>
        <w:t xml:space="preserve"> </w:t>
      </w:r>
      <w:r>
        <w:t>student-level</w:t>
      </w:r>
      <w:r>
        <w:rPr>
          <w:spacing w:val="-8"/>
        </w:rPr>
        <w:t xml:space="preserve"> </w:t>
      </w:r>
      <w:r>
        <w:t>variance</w:t>
      </w:r>
      <w:r>
        <w:rPr>
          <w:spacing w:val="-8"/>
        </w:rPr>
        <w:t xml:space="preserve"> </w:t>
      </w:r>
      <w:r>
        <w:t>strata</w:t>
      </w:r>
      <w:r>
        <w:rPr>
          <w:spacing w:val="-8"/>
        </w:rPr>
        <w:t xml:space="preserve"> </w:t>
      </w:r>
      <w:r>
        <w:t>comprising</w:t>
      </w:r>
      <w:r>
        <w:rPr>
          <w:spacing w:val="-8"/>
        </w:rPr>
        <w:t xml:space="preserve"> </w:t>
      </w:r>
      <w:r>
        <w:t>pairs</w:t>
      </w:r>
      <w:r>
        <w:rPr>
          <w:spacing w:val="-8"/>
        </w:rPr>
        <w:t xml:space="preserve"> </w:t>
      </w:r>
      <w:r>
        <w:t>of</w:t>
      </w:r>
      <w:r>
        <w:rPr>
          <w:spacing w:val="-8"/>
        </w:rPr>
        <w:t xml:space="preserve"> </w:t>
      </w:r>
      <w:r>
        <w:t>students,</w:t>
      </w:r>
      <w:r>
        <w:rPr>
          <w:spacing w:val="-8"/>
        </w:rPr>
        <w:t xml:space="preserve"> </w:t>
      </w:r>
      <w:r>
        <w:t>the</w:t>
      </w:r>
      <w:r>
        <w:rPr>
          <w:spacing w:val="-8"/>
        </w:rPr>
        <w:t xml:space="preserve"> </w:t>
      </w:r>
      <w:r>
        <w:t>student-level</w:t>
      </w:r>
      <w:r>
        <w:rPr>
          <w:spacing w:val="-8"/>
        </w:rPr>
        <w:t xml:space="preserve"> </w:t>
      </w:r>
      <w:r>
        <w:t>replicate</w:t>
      </w:r>
      <w:r>
        <w:rPr>
          <w:spacing w:val="-8"/>
        </w:rPr>
        <w:t xml:space="preserve"> </w:t>
      </w:r>
      <w:r>
        <w:t>factors,</w:t>
      </w:r>
      <w:r>
        <w:rPr>
          <w:spacing w:val="-8"/>
        </w:rPr>
        <w:t xml:space="preserve"> </w:t>
      </w:r>
      <w:r>
        <w:t>\(STU\_REPFAC_{jsk}(r)\),</w:t>
      </w:r>
      <w:r>
        <w:rPr>
          <w:spacing w:val="-8"/>
        </w:rPr>
        <w:t xml:space="preserve"> </w:t>
      </w:r>
      <w:r>
        <w:t>\(r</w:t>
      </w:r>
      <w:r>
        <w:rPr>
          <w:spacing w:val="-8"/>
        </w:rPr>
        <w:t xml:space="preserve"> </w:t>
      </w:r>
      <w:r>
        <w:t>=</w:t>
      </w:r>
      <w:r>
        <w:rPr>
          <w:spacing w:val="-8"/>
        </w:rPr>
        <w:t xml:space="preserve"> </w:t>
      </w:r>
      <w:r>
        <w:t>1,...,</w:t>
      </w:r>
      <w:r>
        <w:rPr>
          <w:spacing w:val="-8"/>
        </w:rPr>
        <w:t xml:space="preserve"> </w:t>
      </w:r>
      <w:r>
        <w:t>62\),</w:t>
      </w:r>
      <w:r>
        <w:rPr>
          <w:spacing w:val="-8"/>
        </w:rPr>
        <w:t xml:space="preserve"> </w:t>
      </w:r>
      <w:r>
        <w:t>were</w:t>
      </w:r>
      <w:r>
        <w:rPr>
          <w:spacing w:val="-8"/>
        </w:rPr>
        <w:t xml:space="preserve"> </w:t>
      </w:r>
      <w:r>
        <w:t>calculated</w:t>
      </w:r>
      <w:r>
        <w:rPr>
          <w:spacing w:val="-8"/>
        </w:rPr>
        <w:t xml:space="preserve"> </w:t>
      </w:r>
      <w:r>
        <w:rPr>
          <w:spacing w:val="-5"/>
        </w:rPr>
        <w:t>as</w:t>
      </w:r>
    </w:p>
    <w:p w:rsidR="003F5784" w14:paraId="277F8791" w14:textId="77777777">
      <w:pPr>
        <w:pStyle w:val="BodyText"/>
        <w:spacing w:before="208" w:line="232" w:lineRule="auto"/>
        <w:ind w:left="109"/>
      </w:pPr>
      <w:r>
        <w:t>\begin{equation}</w:t>
      </w:r>
      <w:r>
        <w:rPr>
          <w:spacing w:val="-6"/>
        </w:rPr>
        <w:t xml:space="preserve"> </w:t>
      </w:r>
      <w:r>
        <w:t>STU\_REPFAC_{jsk}(r)</w:t>
      </w:r>
      <w:r>
        <w:rPr>
          <w:spacing w:val="-6"/>
        </w:rPr>
        <w:t xml:space="preserve"> </w:t>
      </w:r>
      <w:r>
        <w:t>=</w:t>
      </w:r>
      <w:r>
        <w:rPr>
          <w:spacing w:val="-6"/>
        </w:rPr>
        <w:t xml:space="preserve"> </w:t>
      </w:r>
      <w:r>
        <w:t>\left\{\begin{array}{llll}</w:t>
      </w:r>
      <w:r>
        <w:rPr>
          <w:spacing w:val="-6"/>
        </w:rPr>
        <w:t xml:space="preserve"> </w:t>
      </w:r>
      <w:r>
        <w:t>1</w:t>
      </w:r>
      <w:r>
        <w:rPr>
          <w:spacing w:val="-6"/>
        </w:rPr>
        <w:t xml:space="preserve"> </w:t>
      </w:r>
      <w:r>
        <w:t>+</w:t>
      </w:r>
      <w:r>
        <w:rPr>
          <w:spacing w:val="-6"/>
        </w:rPr>
        <w:t xml:space="preserve"> </w:t>
      </w:r>
      <w:r>
        <w:t>\sqrt</w:t>
      </w:r>
      <w:r>
        <w:rPr>
          <w:spacing w:val="-6"/>
        </w:rPr>
        <w:t xml:space="preserve"> </w:t>
      </w:r>
      <w:r>
        <w:t>{\pi_{s}},</w:t>
      </w:r>
      <w:r>
        <w:rPr>
          <w:spacing w:val="-6"/>
        </w:rPr>
        <w:t xml:space="preserve"> </w:t>
      </w:r>
      <w:r>
        <w:t>&amp;</w:t>
      </w:r>
      <w:r>
        <w:rPr>
          <w:spacing w:val="-6"/>
        </w:rPr>
        <w:t xml:space="preserve"> </w:t>
      </w:r>
      <w:r>
        <w:t>\text{for</w:t>
      </w:r>
      <w:r>
        <w:rPr>
          <w:spacing w:val="-6"/>
        </w:rPr>
        <w:t xml:space="preserve"> </w:t>
      </w:r>
      <w:r>
        <w:t>}</w:t>
      </w:r>
      <w:r>
        <w:rPr>
          <w:spacing w:val="-6"/>
        </w:rPr>
        <w:t xml:space="preserve"> </w:t>
      </w:r>
      <w:r>
        <w:t>jsk</w:t>
      </w:r>
      <w:r>
        <w:rPr>
          <w:spacing w:val="-6"/>
        </w:rPr>
        <w:t xml:space="preserve"> </w:t>
      </w:r>
      <w:r>
        <w:t>\in</w:t>
      </w:r>
      <w:r>
        <w:rPr>
          <w:spacing w:val="-6"/>
        </w:rPr>
        <w:t xml:space="preserve"> </w:t>
      </w:r>
      <w:r>
        <w:t>R_{jsr},</w:t>
      </w:r>
      <w:r>
        <w:rPr>
          <w:spacing w:val="-6"/>
        </w:rPr>
        <w:t xml:space="preserve"> </w:t>
      </w:r>
      <w:r>
        <w:t>U_{jsk}</w:t>
      </w:r>
      <w:r>
        <w:rPr>
          <w:spacing w:val="-6"/>
        </w:rPr>
        <w:t xml:space="preserve"> </w:t>
      </w:r>
      <w:r>
        <w:t>=</w:t>
      </w:r>
      <w:r>
        <w:rPr>
          <w:spacing w:val="-6"/>
        </w:rPr>
        <w:t xml:space="preserve"> </w:t>
      </w:r>
      <w:r>
        <w:t>1</w:t>
      </w:r>
      <w:r>
        <w:rPr>
          <w:spacing w:val="-6"/>
        </w:rPr>
        <w:t xml:space="preserve"> </w:t>
      </w:r>
      <w:r>
        <w:t>\\</w:t>
      </w:r>
      <w:r>
        <w:rPr>
          <w:spacing w:val="-6"/>
        </w:rPr>
        <w:t xml:space="preserve"> </w:t>
      </w:r>
      <w:r>
        <w:t>1</w:t>
      </w:r>
      <w:r>
        <w:rPr>
          <w:spacing w:val="-6"/>
        </w:rPr>
        <w:t xml:space="preserve"> </w:t>
      </w:r>
      <w:r>
        <w:t>-</w:t>
      </w:r>
      <w:r>
        <w:rPr>
          <w:spacing w:val="-6"/>
        </w:rPr>
        <w:t xml:space="preserve"> </w:t>
      </w:r>
      <w:r>
        <w:t>\sqrt</w:t>
      </w:r>
      <w:r>
        <w:rPr>
          <w:spacing w:val="-6"/>
        </w:rPr>
        <w:t xml:space="preserve"> </w:t>
      </w:r>
      <w:r>
        <w:t>{\pi_{s}},</w:t>
      </w:r>
      <w:r>
        <w:rPr>
          <w:spacing w:val="-6"/>
        </w:rPr>
        <w:t xml:space="preserve"> </w:t>
      </w:r>
      <w:r>
        <w:t>&amp;</w:t>
      </w:r>
      <w:r>
        <w:rPr>
          <w:spacing w:val="-6"/>
        </w:rPr>
        <w:t xml:space="preserve"> </w:t>
      </w:r>
      <w:r>
        <w:t>\text{for</w:t>
      </w:r>
      <w:r>
        <w:rPr>
          <w:spacing w:val="-6"/>
        </w:rPr>
        <w:t xml:space="preserve"> </w:t>
      </w:r>
      <w:r>
        <w:t>}</w:t>
      </w:r>
      <w:r>
        <w:rPr>
          <w:spacing w:val="-6"/>
        </w:rPr>
        <w:t xml:space="preserve"> </w:t>
      </w:r>
      <w:r>
        <w:t>jsk</w:t>
      </w:r>
      <w:r>
        <w:rPr>
          <w:spacing w:val="-6"/>
        </w:rPr>
        <w:t xml:space="preserve"> </w:t>
      </w:r>
      <w:r>
        <w:t>\in R_{jsr}, U_{jsk} = 2 \\ 1, &amp; \text{for } jsk \notin R_{jsr} \end{array}\right. , \end{equation}</w:t>
      </w:r>
    </w:p>
    <w:p w:rsidR="003F5784" w14:paraId="62808CC8" w14:textId="77777777">
      <w:pPr>
        <w:pStyle w:val="BodyText"/>
        <w:spacing w:before="203"/>
        <w:ind w:left="109"/>
      </w:pPr>
      <w:r>
        <w:rPr>
          <w:spacing w:val="-2"/>
        </w:rPr>
        <w:t>where</w:t>
      </w:r>
    </w:p>
    <w:p w:rsidR="003F5784" w14:paraId="78A5BCF4" w14:textId="77777777">
      <w:pPr>
        <w:pStyle w:val="BodyText"/>
        <w:spacing w:before="202" w:line="238" w:lineRule="exact"/>
        <w:ind w:left="422"/>
      </w:pPr>
      <w:r>
        <w:rPr>
          <w:noProof/>
          <w:position w:val="3"/>
        </w:rPr>
        <w:drawing>
          <wp:inline distT="0" distB="0" distL="0" distR="0">
            <wp:extent cx="41379" cy="41378"/>
            <wp:effectExtent l="0" t="0" r="0" b="0"/>
            <wp:docPr id="651" name="Image 651"/>
            <wp:cNvGraphicFramePr/>
            <a:graphic xmlns:a="http://schemas.openxmlformats.org/drawingml/2006/main">
              <a:graphicData uri="http://schemas.openxmlformats.org/drawingml/2006/picture">
                <pic:pic xmlns:pic="http://schemas.openxmlformats.org/drawingml/2006/picture">
                  <pic:nvPicPr>
                    <pic:cNvPr id="651" name="Image 651"/>
                    <pic:cNvPicPr/>
                  </pic:nvPicPr>
                  <pic:blipFill>
                    <a:blip xmlns:r="http://schemas.openxmlformats.org/officeDocument/2006/relationships" r:embed="rId519" cstate="print"/>
                    <a:stretch>
                      <a:fillRect/>
                    </a:stretch>
                  </pic:blipFill>
                  <pic:spPr>
                    <a:xfrm>
                      <a:off x="0" y="0"/>
                      <a:ext cx="41379" cy="41378"/>
                    </a:xfrm>
                    <a:prstGeom prst="rect">
                      <a:avLst/>
                    </a:prstGeom>
                  </pic:spPr>
                </pic:pic>
              </a:graphicData>
            </a:graphic>
          </wp:inline>
        </w:drawing>
      </w:r>
      <w:r>
        <w:rPr>
          <w:spacing w:val="80"/>
          <w:sz w:val="20"/>
        </w:rPr>
        <w:t xml:space="preserve"> </w:t>
      </w:r>
      <w:r>
        <w:t>\(\pi_{s}\) is the probability of selection for school \(s\);</w:t>
      </w:r>
    </w:p>
    <w:p w:rsidR="003F5784" w14:paraId="094ED6DA" w14:textId="77777777">
      <w:pPr>
        <w:pStyle w:val="BodyText"/>
        <w:spacing w:before="2" w:line="232" w:lineRule="auto"/>
        <w:ind w:left="422" w:right="5060"/>
      </w:pPr>
      <w:r>
        <w:rPr>
          <w:noProof/>
          <w:position w:val="3"/>
        </w:rPr>
        <w:drawing>
          <wp:inline distT="0" distB="0" distL="0" distR="0">
            <wp:extent cx="41379" cy="41378"/>
            <wp:effectExtent l="0" t="0" r="0" b="0"/>
            <wp:docPr id="652" name="Image 652"/>
            <wp:cNvGraphicFramePr/>
            <a:graphic xmlns:a="http://schemas.openxmlformats.org/drawingml/2006/main">
              <a:graphicData uri="http://schemas.openxmlformats.org/drawingml/2006/picture">
                <pic:pic xmlns:pic="http://schemas.openxmlformats.org/drawingml/2006/picture">
                  <pic:nvPicPr>
                    <pic:cNvPr id="652" name="Image 652"/>
                    <pic:cNvPicPr/>
                  </pic:nvPicPr>
                  <pic:blipFill>
                    <a:blip xmlns:r="http://schemas.openxmlformats.org/officeDocument/2006/relationships" r:embed="rId520" cstate="print"/>
                    <a:stretch>
                      <a:fillRect/>
                    </a:stretch>
                  </pic:blipFill>
                  <pic:spPr>
                    <a:xfrm>
                      <a:off x="0" y="0"/>
                      <a:ext cx="41379" cy="41378"/>
                    </a:xfrm>
                    <a:prstGeom prst="rect">
                      <a:avLst/>
                    </a:prstGeom>
                  </pic:spPr>
                </pic:pic>
              </a:graphicData>
            </a:graphic>
          </wp:inline>
        </w:drawing>
      </w:r>
      <w:r>
        <w:rPr>
          <w:spacing w:val="80"/>
          <w:sz w:val="20"/>
        </w:rPr>
        <w:t xml:space="preserve"> </w:t>
      </w:r>
      <w:r>
        <w:t>\(R_{jsr}\)</w:t>
      </w:r>
      <w:r>
        <w:rPr>
          <w:spacing w:val="-6"/>
        </w:rPr>
        <w:t xml:space="preserve"> </w:t>
      </w:r>
      <w:r>
        <w:t>is</w:t>
      </w:r>
      <w:r>
        <w:rPr>
          <w:spacing w:val="-6"/>
        </w:rPr>
        <w:t xml:space="preserve"> </w:t>
      </w:r>
      <w:r>
        <w:t>the</w:t>
      </w:r>
      <w:r>
        <w:rPr>
          <w:spacing w:val="-6"/>
        </w:rPr>
        <w:t xml:space="preserve"> </w:t>
      </w:r>
      <w:r>
        <w:t>set</w:t>
      </w:r>
      <w:r>
        <w:rPr>
          <w:spacing w:val="-6"/>
        </w:rPr>
        <w:t xml:space="preserve"> </w:t>
      </w:r>
      <w:r>
        <w:t>of</w:t>
      </w:r>
      <w:r>
        <w:rPr>
          <w:spacing w:val="-6"/>
        </w:rPr>
        <w:t xml:space="preserve"> </w:t>
      </w:r>
      <w:r>
        <w:t>students</w:t>
      </w:r>
      <w:r>
        <w:rPr>
          <w:spacing w:val="-6"/>
        </w:rPr>
        <w:t xml:space="preserve"> </w:t>
      </w:r>
      <w:r>
        <w:t>within</w:t>
      </w:r>
      <w:r>
        <w:rPr>
          <w:spacing w:val="-6"/>
        </w:rPr>
        <w:t xml:space="preserve"> </w:t>
      </w:r>
      <w:r>
        <w:t>the</w:t>
      </w:r>
      <w:r>
        <w:rPr>
          <w:spacing w:val="-6"/>
        </w:rPr>
        <w:t xml:space="preserve"> </w:t>
      </w:r>
      <w:r>
        <w:t>\(r\)-th</w:t>
      </w:r>
      <w:r>
        <w:rPr>
          <w:spacing w:val="-6"/>
        </w:rPr>
        <w:t xml:space="preserve"> </w:t>
      </w:r>
      <w:r>
        <w:t>variance</w:t>
      </w:r>
      <w:r>
        <w:rPr>
          <w:spacing w:val="-6"/>
        </w:rPr>
        <w:t xml:space="preserve"> </w:t>
      </w:r>
      <w:r>
        <w:t>stratum</w:t>
      </w:r>
      <w:r>
        <w:rPr>
          <w:spacing w:val="-6"/>
        </w:rPr>
        <w:t xml:space="preserve"> </w:t>
      </w:r>
      <w:r>
        <w:t>for</w:t>
      </w:r>
      <w:r>
        <w:rPr>
          <w:spacing w:val="-6"/>
        </w:rPr>
        <w:t xml:space="preserve"> </w:t>
      </w:r>
      <w:r>
        <w:t>school</w:t>
      </w:r>
      <w:r>
        <w:rPr>
          <w:spacing w:val="-6"/>
        </w:rPr>
        <w:t xml:space="preserve"> </w:t>
      </w:r>
      <w:r>
        <w:t>\(s\)</w:t>
      </w:r>
      <w:r>
        <w:rPr>
          <w:spacing w:val="-6"/>
        </w:rPr>
        <w:t xml:space="preserve"> </w:t>
      </w:r>
      <w:r>
        <w:t>in</w:t>
      </w:r>
      <w:r>
        <w:rPr>
          <w:spacing w:val="-6"/>
        </w:rPr>
        <w:t xml:space="preserve"> </w:t>
      </w:r>
      <w:r>
        <w:t>primary</w:t>
      </w:r>
      <w:r>
        <w:rPr>
          <w:spacing w:val="-6"/>
        </w:rPr>
        <w:t xml:space="preserve"> </w:t>
      </w:r>
      <w:r>
        <w:t>stratum</w:t>
      </w:r>
      <w:r>
        <w:rPr>
          <w:spacing w:val="-6"/>
        </w:rPr>
        <w:t xml:space="preserve"> </w:t>
      </w:r>
      <w:r>
        <w:t>\(j\);</w:t>
      </w:r>
      <w:r>
        <w:rPr>
          <w:spacing w:val="-6"/>
        </w:rPr>
        <w:t xml:space="preserve"> </w:t>
      </w:r>
      <w:r>
        <w:t xml:space="preserve">and </w:t>
      </w:r>
      <w:r>
        <w:rPr>
          <w:noProof/>
          <w:position w:val="3"/>
        </w:rPr>
        <w:drawing>
          <wp:inline distT="0" distB="0" distL="0" distR="0">
            <wp:extent cx="41379" cy="41378"/>
            <wp:effectExtent l="0" t="0" r="0" b="0"/>
            <wp:docPr id="653" name="Image 653"/>
            <wp:cNvGraphicFramePr/>
            <a:graphic xmlns:a="http://schemas.openxmlformats.org/drawingml/2006/main">
              <a:graphicData uri="http://schemas.openxmlformats.org/drawingml/2006/picture">
                <pic:pic xmlns:pic="http://schemas.openxmlformats.org/drawingml/2006/picture">
                  <pic:nvPicPr>
                    <pic:cNvPr id="653" name="Image 653"/>
                    <pic:cNvPicPr/>
                  </pic:nvPicPr>
                  <pic:blipFill>
                    <a:blip xmlns:r="http://schemas.openxmlformats.org/officeDocument/2006/relationships" r:embed="rId521" cstate="print"/>
                    <a:stretch>
                      <a:fillRect/>
                    </a:stretch>
                  </pic:blipFill>
                  <pic:spPr>
                    <a:xfrm>
                      <a:off x="0" y="0"/>
                      <a:ext cx="41379" cy="41378"/>
                    </a:xfrm>
                    <a:prstGeom prst="rect">
                      <a:avLst/>
                    </a:prstGeom>
                  </pic:spPr>
                </pic:pic>
              </a:graphicData>
            </a:graphic>
          </wp:inline>
        </w:drawing>
      </w:r>
      <w:r>
        <w:rPr>
          <w:spacing w:val="80"/>
        </w:rPr>
        <w:t xml:space="preserve"> </w:t>
      </w:r>
      <w:r>
        <w:t>\(U_{jsk}\) is the variance unit (1 or 2) for student \(k\) in school \(s\) in stratum \(j\).</w:t>
      </w:r>
    </w:p>
    <w:p w:rsidR="003F5784" w14:paraId="30952690" w14:textId="77777777">
      <w:pPr>
        <w:pStyle w:val="BodyText"/>
        <w:spacing w:before="209" w:line="232" w:lineRule="auto"/>
        <w:ind w:left="109" w:right="117"/>
      </w:pPr>
      <w:r>
        <w:t>For triples (i.e., variance strata comprising three students), the replicate factors are perturbed to something other than 1.0 for two different variance strata, rather than just for one</w:t>
      </w:r>
      <w:r>
        <w:rPr>
          <w:spacing w:val="-6"/>
        </w:rPr>
        <w:t xml:space="preserve"> </w:t>
      </w:r>
      <w:r>
        <w:t>stratum</w:t>
      </w:r>
      <w:r>
        <w:rPr>
          <w:spacing w:val="-6"/>
        </w:rPr>
        <w:t xml:space="preserve"> </w:t>
      </w:r>
      <w:r>
        <w:t>as</w:t>
      </w:r>
      <w:r>
        <w:rPr>
          <w:spacing w:val="-6"/>
        </w:rPr>
        <w:t xml:space="preserve"> </w:t>
      </w:r>
      <w:r>
        <w:t>in</w:t>
      </w:r>
      <w:r>
        <w:rPr>
          <w:spacing w:val="-6"/>
        </w:rPr>
        <w:t xml:space="preserve"> </w:t>
      </w:r>
      <w:r>
        <w:t>the</w:t>
      </w:r>
      <w:r>
        <w:rPr>
          <w:spacing w:val="-6"/>
        </w:rPr>
        <w:t xml:space="preserve"> </w:t>
      </w:r>
      <w:r>
        <w:t>case</w:t>
      </w:r>
      <w:r>
        <w:rPr>
          <w:spacing w:val="-6"/>
        </w:rPr>
        <w:t xml:space="preserve"> </w:t>
      </w:r>
      <w:r>
        <w:t>of</w:t>
      </w:r>
      <w:r>
        <w:rPr>
          <w:spacing w:val="-6"/>
        </w:rPr>
        <w:t xml:space="preserve"> </w:t>
      </w:r>
      <w:r>
        <w:t>pairs</w:t>
      </w:r>
      <w:r>
        <w:rPr>
          <w:spacing w:val="-6"/>
        </w:rPr>
        <w:t xml:space="preserve"> </w:t>
      </w:r>
      <w:r>
        <w:t>(i.e.,</w:t>
      </w:r>
      <w:r>
        <w:rPr>
          <w:spacing w:val="-6"/>
        </w:rPr>
        <w:t xml:space="preserve"> </w:t>
      </w:r>
      <w:r>
        <w:t>variance</w:t>
      </w:r>
      <w:r>
        <w:rPr>
          <w:spacing w:val="-6"/>
        </w:rPr>
        <w:t xml:space="preserve"> </w:t>
      </w:r>
      <w:r>
        <w:t>strata</w:t>
      </w:r>
      <w:r>
        <w:rPr>
          <w:spacing w:val="-6"/>
        </w:rPr>
        <w:t xml:space="preserve"> </w:t>
      </w:r>
      <w:r>
        <w:t>comprising</w:t>
      </w:r>
      <w:r>
        <w:rPr>
          <w:spacing w:val="-6"/>
        </w:rPr>
        <w:t xml:space="preserve"> </w:t>
      </w:r>
      <w:r>
        <w:t>2</w:t>
      </w:r>
      <w:r>
        <w:rPr>
          <w:spacing w:val="-6"/>
        </w:rPr>
        <w:t xml:space="preserve"> </w:t>
      </w:r>
      <w:r>
        <w:t>students).</w:t>
      </w:r>
      <w:r>
        <w:rPr>
          <w:spacing w:val="-9"/>
        </w:rPr>
        <w:t xml:space="preserve"> </w:t>
      </w:r>
      <w:r>
        <w:t>The</w:t>
      </w:r>
      <w:r>
        <w:rPr>
          <w:spacing w:val="-6"/>
        </w:rPr>
        <w:t xml:space="preserve"> </w:t>
      </w:r>
      <w:r>
        <w:t>replicate</w:t>
      </w:r>
      <w:r>
        <w:rPr>
          <w:spacing w:val="-6"/>
        </w:rPr>
        <w:t xml:space="preserve"> </w:t>
      </w:r>
      <w:r>
        <w:t>factors</w:t>
      </w:r>
      <w:r>
        <w:rPr>
          <w:spacing w:val="-6"/>
        </w:rPr>
        <w:t xml:space="preserve"> </w:t>
      </w:r>
      <w:r>
        <w:t>are</w:t>
      </w:r>
      <w:r>
        <w:rPr>
          <w:spacing w:val="-6"/>
        </w:rPr>
        <w:t xml:space="preserve"> </w:t>
      </w:r>
      <w:r>
        <w:t>perturbed</w:t>
      </w:r>
      <w:r>
        <w:rPr>
          <w:spacing w:val="-6"/>
        </w:rPr>
        <w:t xml:space="preserve"> </w:t>
      </w:r>
      <w:r>
        <w:t>in</w:t>
      </w:r>
      <w:r>
        <w:rPr>
          <w:spacing w:val="-6"/>
        </w:rPr>
        <w:t xml:space="preserve"> </w:t>
      </w:r>
      <w:r>
        <w:t>variance</w:t>
      </w:r>
      <w:r>
        <w:rPr>
          <w:spacing w:val="-6"/>
        </w:rPr>
        <w:t xml:space="preserve"> </w:t>
      </w:r>
      <w:r>
        <w:t>stratum</w:t>
      </w:r>
      <w:r>
        <w:rPr>
          <w:spacing w:val="-6"/>
        </w:rPr>
        <w:t xml:space="preserve"> </w:t>
      </w:r>
      <w:r>
        <w:t>\(r\)</w:t>
      </w:r>
      <w:r>
        <w:rPr>
          <w:spacing w:val="-6"/>
        </w:rPr>
        <w:t xml:space="preserve"> </w:t>
      </w:r>
      <w:r>
        <w:t>and</w:t>
      </w:r>
      <w:r>
        <w:rPr>
          <w:spacing w:val="-6"/>
        </w:rPr>
        <w:t xml:space="preserve"> </w:t>
      </w:r>
      <w:r>
        <w:t>variance</w:t>
      </w:r>
      <w:r>
        <w:rPr>
          <w:spacing w:val="-6"/>
        </w:rPr>
        <w:t xml:space="preserve"> </w:t>
      </w:r>
      <w:r>
        <w:t>stratum</w:t>
      </w:r>
      <w:r>
        <w:rPr>
          <w:spacing w:val="-6"/>
        </w:rPr>
        <w:t xml:space="preserve"> </w:t>
      </w:r>
      <w:r>
        <w:t>\(r'\),</w:t>
      </w:r>
      <w:r>
        <w:rPr>
          <w:spacing w:val="-6"/>
        </w:rPr>
        <w:t xml:space="preserve"> </w:t>
      </w:r>
      <w:r>
        <w:t>where</w:t>
      </w:r>
      <w:r>
        <w:rPr>
          <w:spacing w:val="-6"/>
        </w:rPr>
        <w:t xml:space="preserve"> </w:t>
      </w:r>
      <w:r>
        <w:t>\(r'\) is furthest away from variance stratum \(r\) in either direction (i.e., before or after stratum \(r\)). Because there are 62 replicates, the stratum furthest away from stratum \(r\) would be the stratum whose number is the number of stratum \(r\) plus or minus half of 62, depending on whether \(r\) is greater or less than 31. In other words, \(r'=r+31\) \ (mod\)</w:t>
      </w:r>
      <w:r>
        <w:rPr>
          <w:spacing w:val="-5"/>
        </w:rPr>
        <w:t xml:space="preserve"> </w:t>
      </w:r>
      <w:r>
        <w:t>\(62\).</w:t>
      </w:r>
      <w:r>
        <w:rPr>
          <w:spacing w:val="-5"/>
        </w:rPr>
        <w:t xml:space="preserve"> </w:t>
      </w:r>
      <w:r>
        <w:t>For</w:t>
      </w:r>
      <w:r>
        <w:rPr>
          <w:spacing w:val="-5"/>
        </w:rPr>
        <w:t xml:space="preserve"> </w:t>
      </w:r>
      <w:r>
        <w:t>example,</w:t>
      </w:r>
      <w:r>
        <w:rPr>
          <w:spacing w:val="-5"/>
        </w:rPr>
        <w:t xml:space="preserve"> </w:t>
      </w:r>
      <w:r>
        <w:t>if</w:t>
      </w:r>
      <w:r>
        <w:rPr>
          <w:spacing w:val="-5"/>
        </w:rPr>
        <w:t xml:space="preserve"> </w:t>
      </w:r>
      <w:r>
        <w:t>variance</w:t>
      </w:r>
      <w:r>
        <w:rPr>
          <w:spacing w:val="-5"/>
        </w:rPr>
        <w:t xml:space="preserve"> </w:t>
      </w:r>
      <w:r>
        <w:t>stratum</w:t>
      </w:r>
      <w:r>
        <w:rPr>
          <w:spacing w:val="-5"/>
        </w:rPr>
        <w:t xml:space="preserve"> </w:t>
      </w:r>
      <w:r>
        <w:t>1</w:t>
      </w:r>
      <w:r>
        <w:rPr>
          <w:spacing w:val="-5"/>
        </w:rPr>
        <w:t xml:space="preserve"> </w:t>
      </w:r>
      <w:r>
        <w:t>has</w:t>
      </w:r>
      <w:r>
        <w:rPr>
          <w:spacing w:val="-5"/>
        </w:rPr>
        <w:t xml:space="preserve"> </w:t>
      </w:r>
      <w:r>
        <w:t>three</w:t>
      </w:r>
      <w:r>
        <w:rPr>
          <w:spacing w:val="-5"/>
        </w:rPr>
        <w:t xml:space="preserve"> </w:t>
      </w:r>
      <w:r>
        <w:t>students,</w:t>
      </w:r>
      <w:r>
        <w:rPr>
          <w:spacing w:val="-5"/>
        </w:rPr>
        <w:t xml:space="preserve"> </w:t>
      </w:r>
      <w:r>
        <w:t>replicate</w:t>
      </w:r>
      <w:r>
        <w:rPr>
          <w:spacing w:val="-5"/>
        </w:rPr>
        <w:t xml:space="preserve"> </w:t>
      </w:r>
      <w:r>
        <w:t>factors</w:t>
      </w:r>
      <w:r>
        <w:rPr>
          <w:spacing w:val="-5"/>
        </w:rPr>
        <w:t xml:space="preserve"> </w:t>
      </w:r>
      <w:r>
        <w:t>are</w:t>
      </w:r>
      <w:r>
        <w:rPr>
          <w:spacing w:val="-5"/>
        </w:rPr>
        <w:t xml:space="preserve"> </w:t>
      </w:r>
      <w:r>
        <w:t>perturbed</w:t>
      </w:r>
      <w:r>
        <w:rPr>
          <w:spacing w:val="-5"/>
        </w:rPr>
        <w:t xml:space="preserve"> </w:t>
      </w:r>
      <w:r>
        <w:t>in</w:t>
      </w:r>
      <w:r>
        <w:rPr>
          <w:spacing w:val="-5"/>
        </w:rPr>
        <w:t xml:space="preserve"> </w:t>
      </w:r>
      <w:r>
        <w:t>variance</w:t>
      </w:r>
      <w:r>
        <w:rPr>
          <w:spacing w:val="-5"/>
        </w:rPr>
        <w:t xml:space="preserve"> </w:t>
      </w:r>
      <w:r>
        <w:t>stratum</w:t>
      </w:r>
      <w:r>
        <w:rPr>
          <w:spacing w:val="-5"/>
        </w:rPr>
        <w:t xml:space="preserve"> </w:t>
      </w:r>
      <w:r>
        <w:t>1</w:t>
      </w:r>
      <w:r>
        <w:rPr>
          <w:spacing w:val="-5"/>
        </w:rPr>
        <w:t xml:space="preserve"> </w:t>
      </w:r>
      <w:r>
        <w:t>(\(r\))</w:t>
      </w:r>
      <w:r>
        <w:rPr>
          <w:spacing w:val="-5"/>
        </w:rPr>
        <w:t xml:space="preserve"> </w:t>
      </w:r>
      <w:r>
        <w:t>and</w:t>
      </w:r>
      <w:r>
        <w:rPr>
          <w:spacing w:val="-5"/>
        </w:rPr>
        <w:t xml:space="preserve"> </w:t>
      </w:r>
      <w:r>
        <w:t>variance</w:t>
      </w:r>
      <w:r>
        <w:rPr>
          <w:spacing w:val="-5"/>
        </w:rPr>
        <w:t xml:space="preserve"> </w:t>
      </w:r>
      <w:r>
        <w:t>stratum</w:t>
      </w:r>
      <w:r>
        <w:rPr>
          <w:spacing w:val="-5"/>
        </w:rPr>
        <w:t xml:space="preserve"> </w:t>
      </w:r>
      <w:r>
        <w:t>32</w:t>
      </w:r>
      <w:r>
        <w:rPr>
          <w:spacing w:val="-5"/>
        </w:rPr>
        <w:t xml:space="preserve"> </w:t>
      </w:r>
      <w:r>
        <w:t>(\(r'\)).</w:t>
      </w:r>
      <w:r>
        <w:rPr>
          <w:spacing w:val="-9"/>
        </w:rPr>
        <w:t xml:space="preserve"> </w:t>
      </w:r>
      <w:r>
        <w:t>The</w:t>
      </w:r>
      <w:r>
        <w:rPr>
          <w:spacing w:val="-5"/>
        </w:rPr>
        <w:t xml:space="preserve"> </w:t>
      </w:r>
      <w:r>
        <w:t>student-level replicate factors \(STU\_REPFAC_{jsk}(r)\), \(r = 1,..., 62\), were calculated as follows:</w:t>
      </w:r>
    </w:p>
    <w:p w:rsidR="003F5784" w14:paraId="64F53315" w14:textId="77777777">
      <w:pPr>
        <w:pStyle w:val="BodyText"/>
        <w:spacing w:before="205" w:line="238" w:lineRule="exact"/>
        <w:ind w:left="109"/>
      </w:pPr>
      <w:r>
        <w:t>\begin{equation}</w:t>
      </w:r>
      <w:r>
        <w:rPr>
          <w:spacing w:val="-7"/>
        </w:rPr>
        <w:t xml:space="preserve"> </w:t>
      </w:r>
      <w:r>
        <w:t>STU\_REPFAC_{jsk}(r)</w:t>
      </w:r>
      <w:r>
        <w:rPr>
          <w:spacing w:val="-7"/>
        </w:rPr>
        <w:t xml:space="preserve"> </w:t>
      </w:r>
      <w:r>
        <w:t>=</w:t>
      </w:r>
      <w:r>
        <w:rPr>
          <w:spacing w:val="-7"/>
        </w:rPr>
        <w:t xml:space="preserve"> </w:t>
      </w:r>
      <w:r>
        <w:t>\left\{\begin{array}{llll}</w:t>
      </w:r>
      <w:r>
        <w:rPr>
          <w:spacing w:val="-7"/>
        </w:rPr>
        <w:t xml:space="preserve"> </w:t>
      </w:r>
      <w:r>
        <w:t>1</w:t>
      </w:r>
      <w:r>
        <w:rPr>
          <w:spacing w:val="-7"/>
        </w:rPr>
        <w:t xml:space="preserve"> </w:t>
      </w:r>
      <w:r>
        <w:t>+</w:t>
      </w:r>
      <w:r>
        <w:rPr>
          <w:spacing w:val="-7"/>
        </w:rPr>
        <w:t xml:space="preserve"> </w:t>
      </w:r>
      <w:r>
        <w:t>\dfrac</w:t>
      </w:r>
      <w:r>
        <w:rPr>
          <w:spacing w:val="-7"/>
        </w:rPr>
        <w:t xml:space="preserve"> </w:t>
      </w:r>
      <w:r>
        <w:t>{\sqrt</w:t>
      </w:r>
      <w:r>
        <w:rPr>
          <w:spacing w:val="-7"/>
        </w:rPr>
        <w:t xml:space="preserve"> </w:t>
      </w:r>
      <w:r>
        <w:t>{\pi_{s}}}</w:t>
      </w:r>
      <w:r>
        <w:rPr>
          <w:spacing w:val="-7"/>
        </w:rPr>
        <w:t xml:space="preserve"> </w:t>
      </w:r>
      <w:r>
        <w:t>{2},</w:t>
      </w:r>
      <w:r>
        <w:rPr>
          <w:spacing w:val="-7"/>
        </w:rPr>
        <w:t xml:space="preserve"> </w:t>
      </w:r>
      <w:r>
        <w:t>&amp;</w:t>
      </w:r>
      <w:r>
        <w:rPr>
          <w:spacing w:val="-7"/>
        </w:rPr>
        <w:t xml:space="preserve"> </w:t>
      </w:r>
      <w:r>
        <w:t>\text{for</w:t>
      </w:r>
      <w:r>
        <w:rPr>
          <w:spacing w:val="-7"/>
        </w:rPr>
        <w:t xml:space="preserve"> </w:t>
      </w:r>
      <w:r>
        <w:t>}</w:t>
      </w:r>
      <w:r>
        <w:rPr>
          <w:spacing w:val="-7"/>
        </w:rPr>
        <w:t xml:space="preserve"> </w:t>
      </w:r>
      <w:r>
        <w:t>jsk</w:t>
      </w:r>
      <w:r>
        <w:rPr>
          <w:spacing w:val="-6"/>
        </w:rPr>
        <w:t xml:space="preserve"> </w:t>
      </w:r>
      <w:r>
        <w:t>\in</w:t>
      </w:r>
      <w:r>
        <w:rPr>
          <w:spacing w:val="-7"/>
        </w:rPr>
        <w:t xml:space="preserve"> </w:t>
      </w:r>
      <w:r>
        <w:t>R_{jsr},</w:t>
      </w:r>
      <w:r>
        <w:rPr>
          <w:spacing w:val="-7"/>
        </w:rPr>
        <w:t xml:space="preserve"> </w:t>
      </w:r>
      <w:r>
        <w:t>U_{jsk}</w:t>
      </w:r>
      <w:r>
        <w:rPr>
          <w:spacing w:val="-7"/>
        </w:rPr>
        <w:t xml:space="preserve"> </w:t>
      </w:r>
      <w:r>
        <w:t>=</w:t>
      </w:r>
      <w:r>
        <w:rPr>
          <w:spacing w:val="-7"/>
        </w:rPr>
        <w:t xml:space="preserve"> </w:t>
      </w:r>
      <w:r>
        <w:t>1</w:t>
      </w:r>
      <w:r>
        <w:rPr>
          <w:spacing w:val="-7"/>
        </w:rPr>
        <w:t xml:space="preserve"> </w:t>
      </w:r>
      <w:r>
        <w:t>\\</w:t>
      </w:r>
      <w:r>
        <w:rPr>
          <w:spacing w:val="-7"/>
        </w:rPr>
        <w:t xml:space="preserve"> </w:t>
      </w:r>
      <w:r>
        <w:t>1</w:t>
      </w:r>
      <w:r>
        <w:rPr>
          <w:spacing w:val="-7"/>
        </w:rPr>
        <w:t xml:space="preserve"> </w:t>
      </w:r>
      <w:r>
        <w:t>+</w:t>
      </w:r>
      <w:r>
        <w:rPr>
          <w:spacing w:val="-7"/>
        </w:rPr>
        <w:t xml:space="preserve"> </w:t>
      </w:r>
      <w:r>
        <w:t>\dfrac</w:t>
      </w:r>
      <w:r>
        <w:rPr>
          <w:spacing w:val="-7"/>
        </w:rPr>
        <w:t xml:space="preserve"> </w:t>
      </w:r>
      <w:r>
        <w:t>{\sqrt</w:t>
      </w:r>
      <w:r>
        <w:rPr>
          <w:spacing w:val="-7"/>
        </w:rPr>
        <w:t xml:space="preserve"> </w:t>
      </w:r>
      <w:r>
        <w:rPr>
          <w:spacing w:val="-2"/>
        </w:rPr>
        <w:t>{\pi_{s}}}</w:t>
      </w:r>
    </w:p>
    <w:p w:rsidR="003F5784" w14:paraId="2DB5A57D" w14:textId="77777777">
      <w:pPr>
        <w:pStyle w:val="BodyText"/>
        <w:spacing w:line="439" w:lineRule="auto"/>
        <w:ind w:left="109" w:right="2249"/>
      </w:pPr>
      <w:r>
        <w:t>{2},</w:t>
      </w:r>
      <w:r>
        <w:rPr>
          <w:spacing w:val="-5"/>
        </w:rPr>
        <w:t xml:space="preserve"> </w:t>
      </w:r>
      <w:r>
        <w:t>&amp;</w:t>
      </w:r>
      <w:r>
        <w:rPr>
          <w:spacing w:val="-5"/>
        </w:rPr>
        <w:t xml:space="preserve"> </w:t>
      </w:r>
      <w:r>
        <w:t>\text{for</w:t>
      </w:r>
      <w:r>
        <w:rPr>
          <w:spacing w:val="-5"/>
        </w:rPr>
        <w:t xml:space="preserve"> </w:t>
      </w:r>
      <w:r>
        <w:t>}</w:t>
      </w:r>
      <w:r>
        <w:rPr>
          <w:spacing w:val="-5"/>
        </w:rPr>
        <w:t xml:space="preserve"> </w:t>
      </w:r>
      <w:r>
        <w:t>jsk</w:t>
      </w:r>
      <w:r>
        <w:rPr>
          <w:spacing w:val="-5"/>
        </w:rPr>
        <w:t xml:space="preserve"> </w:t>
      </w:r>
      <w:r>
        <w:t>\in</w:t>
      </w:r>
      <w:r>
        <w:rPr>
          <w:spacing w:val="-5"/>
        </w:rPr>
        <w:t xml:space="preserve"> </w:t>
      </w:r>
      <w:r>
        <w:t>R_{jsr},</w:t>
      </w:r>
      <w:r>
        <w:rPr>
          <w:spacing w:val="-5"/>
        </w:rPr>
        <w:t xml:space="preserve"> </w:t>
      </w:r>
      <w:r>
        <w:t>U_{jsk}</w:t>
      </w:r>
      <w:r>
        <w:rPr>
          <w:spacing w:val="-5"/>
        </w:rPr>
        <w:t xml:space="preserve"> </w:t>
      </w:r>
      <w:r>
        <w:t>=</w:t>
      </w:r>
      <w:r>
        <w:rPr>
          <w:spacing w:val="-5"/>
        </w:rPr>
        <w:t xml:space="preserve"> </w:t>
      </w:r>
      <w:r>
        <w:t>2</w:t>
      </w:r>
      <w:r>
        <w:rPr>
          <w:spacing w:val="-5"/>
        </w:rPr>
        <w:t xml:space="preserve"> </w:t>
      </w:r>
      <w:r>
        <w:t>\\</w:t>
      </w:r>
      <w:r>
        <w:rPr>
          <w:spacing w:val="-5"/>
        </w:rPr>
        <w:t xml:space="preserve"> </w:t>
      </w:r>
      <w:r>
        <w:t>1</w:t>
      </w:r>
      <w:r>
        <w:rPr>
          <w:spacing w:val="-5"/>
        </w:rPr>
        <w:t xml:space="preserve"> </w:t>
      </w:r>
      <w:r>
        <w:t>-</w:t>
      </w:r>
      <w:r>
        <w:rPr>
          <w:spacing w:val="-5"/>
        </w:rPr>
        <w:t xml:space="preserve"> </w:t>
      </w:r>
      <w:r>
        <w:t>\sqrt</w:t>
      </w:r>
      <w:r>
        <w:rPr>
          <w:spacing w:val="-5"/>
        </w:rPr>
        <w:t xml:space="preserve"> </w:t>
      </w:r>
      <w:r>
        <w:t>{\pi_{s}},</w:t>
      </w:r>
      <w:r>
        <w:rPr>
          <w:spacing w:val="-5"/>
        </w:rPr>
        <w:t xml:space="preserve"> </w:t>
      </w:r>
      <w:r>
        <w:t>&amp;</w:t>
      </w:r>
      <w:r>
        <w:rPr>
          <w:spacing w:val="-5"/>
        </w:rPr>
        <w:t xml:space="preserve"> </w:t>
      </w:r>
      <w:r>
        <w:t>\text{for</w:t>
      </w:r>
      <w:r>
        <w:rPr>
          <w:spacing w:val="-5"/>
        </w:rPr>
        <w:t xml:space="preserve"> </w:t>
      </w:r>
      <w:r>
        <w:t>}</w:t>
      </w:r>
      <w:r>
        <w:rPr>
          <w:spacing w:val="-5"/>
        </w:rPr>
        <w:t xml:space="preserve"> </w:t>
      </w:r>
      <w:r>
        <w:t>jsk</w:t>
      </w:r>
      <w:r>
        <w:rPr>
          <w:spacing w:val="-5"/>
        </w:rPr>
        <w:t xml:space="preserve"> </w:t>
      </w:r>
      <w:r>
        <w:t>\in</w:t>
      </w:r>
      <w:r>
        <w:rPr>
          <w:spacing w:val="-5"/>
        </w:rPr>
        <w:t xml:space="preserve"> </w:t>
      </w:r>
      <w:r>
        <w:t>R_{jsr},</w:t>
      </w:r>
      <w:r>
        <w:rPr>
          <w:spacing w:val="-5"/>
        </w:rPr>
        <w:t xml:space="preserve"> </w:t>
      </w:r>
      <w:r>
        <w:t>U_{jsk}</w:t>
      </w:r>
      <w:r>
        <w:rPr>
          <w:spacing w:val="-5"/>
        </w:rPr>
        <w:t xml:space="preserve"> </w:t>
      </w:r>
      <w:r>
        <w:t>=</w:t>
      </w:r>
      <w:r>
        <w:rPr>
          <w:spacing w:val="-5"/>
        </w:rPr>
        <w:t xml:space="preserve"> </w:t>
      </w:r>
      <w:r>
        <w:t>3</w:t>
      </w:r>
      <w:r>
        <w:rPr>
          <w:spacing w:val="-5"/>
        </w:rPr>
        <w:t xml:space="preserve"> </w:t>
      </w:r>
      <w:r>
        <w:t>\end{array}\right.</w:t>
      </w:r>
      <w:r>
        <w:rPr>
          <w:spacing w:val="-5"/>
        </w:rPr>
        <w:t xml:space="preserve"> </w:t>
      </w:r>
      <w:r>
        <w:t>,</w:t>
      </w:r>
      <w:r>
        <w:rPr>
          <w:spacing w:val="-5"/>
        </w:rPr>
        <w:t xml:space="preserve"> </w:t>
      </w:r>
      <w:r>
        <w:t>\end{equation} while for variance stratum \(r' = r + 31\) \(mod\) \(62\),</w:t>
      </w:r>
    </w:p>
    <w:p w:rsidR="003F5784" w14:paraId="2C9A85BA" w14:textId="77777777">
      <w:pPr>
        <w:pStyle w:val="BodyText"/>
        <w:spacing w:line="238" w:lineRule="exact"/>
        <w:ind w:left="109"/>
      </w:pPr>
      <w:r>
        <w:t>\begin{equation}</w:t>
      </w:r>
      <w:r>
        <w:rPr>
          <w:spacing w:val="-8"/>
        </w:rPr>
        <w:t xml:space="preserve"> </w:t>
      </w:r>
      <w:r>
        <w:t>STU\_REPFAC_{jsk}(r')</w:t>
      </w:r>
      <w:r>
        <w:rPr>
          <w:spacing w:val="-7"/>
        </w:rPr>
        <w:t xml:space="preserve"> </w:t>
      </w:r>
      <w:r>
        <w:t>=</w:t>
      </w:r>
      <w:r>
        <w:rPr>
          <w:spacing w:val="-7"/>
        </w:rPr>
        <w:t xml:space="preserve"> </w:t>
      </w:r>
      <w:r>
        <w:t>\left\{\begin{array}{llll}</w:t>
      </w:r>
      <w:r>
        <w:rPr>
          <w:spacing w:val="-7"/>
        </w:rPr>
        <w:t xml:space="preserve"> </w:t>
      </w:r>
      <w:r>
        <w:t>1</w:t>
      </w:r>
      <w:r>
        <w:rPr>
          <w:spacing w:val="-7"/>
        </w:rPr>
        <w:t xml:space="preserve"> </w:t>
      </w:r>
      <w:r>
        <w:t>+</w:t>
      </w:r>
      <w:r>
        <w:rPr>
          <w:spacing w:val="-7"/>
        </w:rPr>
        <w:t xml:space="preserve"> </w:t>
      </w:r>
      <w:r>
        <w:t>\dfrac</w:t>
      </w:r>
      <w:r>
        <w:rPr>
          <w:spacing w:val="-7"/>
        </w:rPr>
        <w:t xml:space="preserve"> </w:t>
      </w:r>
      <w:r>
        <w:t>{\sqrt</w:t>
      </w:r>
      <w:r>
        <w:rPr>
          <w:spacing w:val="-7"/>
        </w:rPr>
        <w:t xml:space="preserve"> </w:t>
      </w:r>
      <w:r>
        <w:t>{\pi_{s}}}</w:t>
      </w:r>
      <w:r>
        <w:rPr>
          <w:spacing w:val="-7"/>
        </w:rPr>
        <w:t xml:space="preserve"> </w:t>
      </w:r>
      <w:r>
        <w:t>{2},</w:t>
      </w:r>
      <w:r>
        <w:rPr>
          <w:spacing w:val="-7"/>
        </w:rPr>
        <w:t xml:space="preserve"> </w:t>
      </w:r>
      <w:r>
        <w:t>&amp;</w:t>
      </w:r>
      <w:r>
        <w:rPr>
          <w:spacing w:val="-7"/>
        </w:rPr>
        <w:t xml:space="preserve"> </w:t>
      </w:r>
      <w:r>
        <w:t>\text{for</w:t>
      </w:r>
      <w:r>
        <w:rPr>
          <w:spacing w:val="-7"/>
        </w:rPr>
        <w:t xml:space="preserve"> </w:t>
      </w:r>
      <w:r>
        <w:t>}</w:t>
      </w:r>
      <w:r>
        <w:rPr>
          <w:spacing w:val="-7"/>
        </w:rPr>
        <w:t xml:space="preserve"> </w:t>
      </w:r>
      <w:r>
        <w:t>jsk</w:t>
      </w:r>
      <w:r>
        <w:rPr>
          <w:spacing w:val="-7"/>
        </w:rPr>
        <w:t xml:space="preserve"> </w:t>
      </w:r>
      <w:r>
        <w:t>\in</w:t>
      </w:r>
      <w:r>
        <w:rPr>
          <w:spacing w:val="-7"/>
        </w:rPr>
        <w:t xml:space="preserve"> </w:t>
      </w:r>
      <w:r>
        <w:t>R_{jsr},</w:t>
      </w:r>
      <w:r>
        <w:rPr>
          <w:spacing w:val="-7"/>
        </w:rPr>
        <w:t xml:space="preserve"> </w:t>
      </w:r>
      <w:r>
        <w:t>U_{jsk}</w:t>
      </w:r>
      <w:r>
        <w:rPr>
          <w:spacing w:val="-7"/>
        </w:rPr>
        <w:t xml:space="preserve"> </w:t>
      </w:r>
      <w:r>
        <w:t>=</w:t>
      </w:r>
      <w:r>
        <w:rPr>
          <w:spacing w:val="-7"/>
        </w:rPr>
        <w:t xml:space="preserve"> </w:t>
      </w:r>
      <w:r>
        <w:t>1</w:t>
      </w:r>
      <w:r>
        <w:rPr>
          <w:spacing w:val="-7"/>
        </w:rPr>
        <w:t xml:space="preserve"> </w:t>
      </w:r>
      <w:r>
        <w:t>\\</w:t>
      </w:r>
      <w:r>
        <w:rPr>
          <w:spacing w:val="-7"/>
        </w:rPr>
        <w:t xml:space="preserve"> </w:t>
      </w:r>
      <w:r>
        <w:t>1</w:t>
      </w:r>
      <w:r>
        <w:rPr>
          <w:spacing w:val="-7"/>
        </w:rPr>
        <w:t xml:space="preserve"> </w:t>
      </w:r>
      <w:r>
        <w:t>-</w:t>
      </w:r>
      <w:r>
        <w:rPr>
          <w:spacing w:val="-7"/>
        </w:rPr>
        <w:t xml:space="preserve"> </w:t>
      </w:r>
      <w:r>
        <w:t>\sqrt</w:t>
      </w:r>
      <w:r>
        <w:rPr>
          <w:spacing w:val="-7"/>
        </w:rPr>
        <w:t xml:space="preserve"> </w:t>
      </w:r>
      <w:r>
        <w:t>{\pi_{s}},</w:t>
      </w:r>
      <w:r>
        <w:rPr>
          <w:spacing w:val="-7"/>
        </w:rPr>
        <w:t xml:space="preserve"> </w:t>
      </w:r>
      <w:r>
        <w:rPr>
          <w:spacing w:val="-10"/>
        </w:rPr>
        <w:t>&amp;</w:t>
      </w:r>
    </w:p>
    <w:p w:rsidR="003F5784" w14:paraId="3F08F7D4" w14:textId="77777777">
      <w:pPr>
        <w:pStyle w:val="BodyText"/>
        <w:spacing w:line="439" w:lineRule="auto"/>
        <w:ind w:left="109" w:right="2047"/>
      </w:pPr>
      <w:r>
        <w:t>\text{for</w:t>
      </w:r>
      <w:r>
        <w:rPr>
          <w:spacing w:val="-5"/>
        </w:rPr>
        <w:t xml:space="preserve"> </w:t>
      </w:r>
      <w:r>
        <w:t>}</w:t>
      </w:r>
      <w:r>
        <w:rPr>
          <w:spacing w:val="-5"/>
        </w:rPr>
        <w:t xml:space="preserve"> </w:t>
      </w:r>
      <w:r>
        <w:t>jsk</w:t>
      </w:r>
      <w:r>
        <w:rPr>
          <w:spacing w:val="-5"/>
        </w:rPr>
        <w:t xml:space="preserve"> </w:t>
      </w:r>
      <w:r>
        <w:t>\in</w:t>
      </w:r>
      <w:r>
        <w:rPr>
          <w:spacing w:val="-5"/>
        </w:rPr>
        <w:t xml:space="preserve"> </w:t>
      </w:r>
      <w:r>
        <w:t>R_{jsr},</w:t>
      </w:r>
      <w:r>
        <w:rPr>
          <w:spacing w:val="-5"/>
        </w:rPr>
        <w:t xml:space="preserve"> </w:t>
      </w:r>
      <w:r>
        <w:t>U_{jsk}</w:t>
      </w:r>
      <w:r>
        <w:rPr>
          <w:spacing w:val="-5"/>
        </w:rPr>
        <w:t xml:space="preserve"> </w:t>
      </w:r>
      <w:r>
        <w:t>=</w:t>
      </w:r>
      <w:r>
        <w:rPr>
          <w:spacing w:val="-5"/>
        </w:rPr>
        <w:t xml:space="preserve"> </w:t>
      </w:r>
      <w:r>
        <w:t>2</w:t>
      </w:r>
      <w:r>
        <w:rPr>
          <w:spacing w:val="-5"/>
        </w:rPr>
        <w:t xml:space="preserve"> </w:t>
      </w:r>
      <w:r>
        <w:t>\\</w:t>
      </w:r>
      <w:r>
        <w:rPr>
          <w:spacing w:val="-5"/>
        </w:rPr>
        <w:t xml:space="preserve"> </w:t>
      </w:r>
      <w:r>
        <w:t>1</w:t>
      </w:r>
      <w:r>
        <w:rPr>
          <w:spacing w:val="-5"/>
        </w:rPr>
        <w:t xml:space="preserve"> </w:t>
      </w:r>
      <w:r>
        <w:t>+</w:t>
      </w:r>
      <w:r>
        <w:rPr>
          <w:spacing w:val="-5"/>
        </w:rPr>
        <w:t xml:space="preserve"> </w:t>
      </w:r>
      <w:r>
        <w:t>\dfrac</w:t>
      </w:r>
      <w:r>
        <w:rPr>
          <w:spacing w:val="-5"/>
        </w:rPr>
        <w:t xml:space="preserve"> </w:t>
      </w:r>
      <w:r>
        <w:t>{\sqrt</w:t>
      </w:r>
      <w:r>
        <w:rPr>
          <w:spacing w:val="-5"/>
        </w:rPr>
        <w:t xml:space="preserve"> </w:t>
      </w:r>
      <w:r>
        <w:t>{\pi_{s}}}</w:t>
      </w:r>
      <w:r>
        <w:rPr>
          <w:spacing w:val="-5"/>
        </w:rPr>
        <w:t xml:space="preserve"> </w:t>
      </w:r>
      <w:r>
        <w:t>{2},</w:t>
      </w:r>
      <w:r>
        <w:rPr>
          <w:spacing w:val="-5"/>
        </w:rPr>
        <w:t xml:space="preserve"> </w:t>
      </w:r>
      <w:r>
        <w:t>&amp;</w:t>
      </w:r>
      <w:r>
        <w:rPr>
          <w:spacing w:val="-5"/>
        </w:rPr>
        <w:t xml:space="preserve"> </w:t>
      </w:r>
      <w:r>
        <w:t>\text{for</w:t>
      </w:r>
      <w:r>
        <w:rPr>
          <w:spacing w:val="-5"/>
        </w:rPr>
        <w:t xml:space="preserve"> </w:t>
      </w:r>
      <w:r>
        <w:t>}</w:t>
      </w:r>
      <w:r>
        <w:rPr>
          <w:spacing w:val="-5"/>
        </w:rPr>
        <w:t xml:space="preserve"> </w:t>
      </w:r>
      <w:r>
        <w:t>jsk</w:t>
      </w:r>
      <w:r>
        <w:rPr>
          <w:spacing w:val="-5"/>
        </w:rPr>
        <w:t xml:space="preserve"> </w:t>
      </w:r>
      <w:r>
        <w:t>\in</w:t>
      </w:r>
      <w:r>
        <w:rPr>
          <w:spacing w:val="-5"/>
        </w:rPr>
        <w:t xml:space="preserve"> </w:t>
      </w:r>
      <w:r>
        <w:t>R_{jsr},</w:t>
      </w:r>
      <w:r>
        <w:rPr>
          <w:spacing w:val="-5"/>
        </w:rPr>
        <w:t xml:space="preserve"> </w:t>
      </w:r>
      <w:r>
        <w:t>U_{jsk}</w:t>
      </w:r>
      <w:r>
        <w:rPr>
          <w:spacing w:val="-5"/>
        </w:rPr>
        <w:t xml:space="preserve"> </w:t>
      </w:r>
      <w:r>
        <w:t>=</w:t>
      </w:r>
      <w:r>
        <w:rPr>
          <w:spacing w:val="-5"/>
        </w:rPr>
        <w:t xml:space="preserve"> </w:t>
      </w:r>
      <w:r>
        <w:t>3</w:t>
      </w:r>
      <w:r>
        <w:rPr>
          <w:spacing w:val="-5"/>
        </w:rPr>
        <w:t xml:space="preserve"> </w:t>
      </w:r>
      <w:r>
        <w:t>\end{array}\right.</w:t>
      </w:r>
      <w:r>
        <w:rPr>
          <w:spacing w:val="-5"/>
        </w:rPr>
        <w:t xml:space="preserve"> </w:t>
      </w:r>
      <w:r>
        <w:t>,</w:t>
      </w:r>
      <w:r>
        <w:rPr>
          <w:spacing w:val="40"/>
        </w:rPr>
        <w:t xml:space="preserve"> </w:t>
      </w:r>
      <w:r>
        <w:t>\end{equation} and for all other variance strata, further called \(r\) with an asterisk (\(r^*\)), (that is, variance strata other than strata \(r\) and \(r'\)),</w:t>
      </w:r>
    </w:p>
    <w:p w:rsidR="003F5784" w14:paraId="56184FE3" w14:textId="77777777">
      <w:pPr>
        <w:pStyle w:val="BodyText"/>
        <w:spacing w:line="439" w:lineRule="auto"/>
        <w:ind w:left="109" w:right="9284"/>
      </w:pPr>
      <w:r>
        <w:t>\begin{equation}</w:t>
      </w:r>
      <w:r>
        <w:rPr>
          <w:spacing w:val="-14"/>
        </w:rPr>
        <w:t xml:space="preserve"> </w:t>
      </w:r>
      <w:r>
        <w:t>STU\_REPFAC_{jsk}(r^*)</w:t>
      </w:r>
      <w:r>
        <w:rPr>
          <w:spacing w:val="-13"/>
        </w:rPr>
        <w:t xml:space="preserve"> </w:t>
      </w:r>
      <w:r>
        <w:t>=</w:t>
      </w:r>
      <w:r>
        <w:rPr>
          <w:spacing w:val="-13"/>
        </w:rPr>
        <w:t xml:space="preserve"> </w:t>
      </w:r>
      <w:r>
        <w:t>1</w:t>
      </w:r>
      <w:r>
        <w:rPr>
          <w:spacing w:val="-13"/>
        </w:rPr>
        <w:t xml:space="preserve"> </w:t>
      </w:r>
      <w:r>
        <w:t>,</w:t>
      </w:r>
      <w:r>
        <w:rPr>
          <w:spacing w:val="-13"/>
        </w:rPr>
        <w:t xml:space="preserve"> </w:t>
      </w:r>
      <w:r>
        <w:t xml:space="preserve">\end{equation} </w:t>
      </w:r>
      <w:r>
        <w:rPr>
          <w:spacing w:val="-2"/>
        </w:rPr>
        <w:t>where</w:t>
      </w:r>
    </w:p>
    <w:p w:rsidR="003F5784" w14:paraId="7DBDA96D" w14:textId="77777777">
      <w:pPr>
        <w:pStyle w:val="BodyText"/>
        <w:ind w:left="631"/>
      </w:pPr>
      <w:r>
        <w:rPr>
          <w:noProof/>
        </w:rPr>
        <mc:AlternateContent>
          <mc:Choice Requires="wps">
            <w:drawing>
              <wp:anchor distT="0" distB="0" distL="0" distR="0" simplePos="0" relativeHeight="251715584" behindDoc="0" locked="0" layoutInCell="1" allowOverlap="1">
                <wp:simplePos x="0" y="0"/>
                <wp:positionH relativeFrom="page">
                  <wp:posOffset>560569</wp:posOffset>
                </wp:positionH>
                <wp:positionV relativeFrom="paragraph">
                  <wp:posOffset>67008</wp:posOffset>
                </wp:positionV>
                <wp:extent cx="41910" cy="41910"/>
                <wp:effectExtent l="0" t="0" r="0" b="0"/>
                <wp:wrapNone/>
                <wp:docPr id="654" name="Graphic 654"/>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17945" y="41246"/>
                              </a:lnTo>
                              <a:lnTo>
                                <a:pt x="15306" y="40733"/>
                              </a:lnTo>
                              <a:lnTo>
                                <a:pt x="12771" y="39566"/>
                              </a:lnTo>
                              <a:lnTo>
                                <a:pt x="10237" y="38532"/>
                              </a:lnTo>
                              <a:lnTo>
                                <a:pt x="0" y="23403"/>
                              </a:lnTo>
                              <a:lnTo>
                                <a:pt x="0" y="17975"/>
                              </a:lnTo>
                              <a:lnTo>
                                <a:pt x="524" y="15260"/>
                              </a:lnTo>
                              <a:lnTo>
                                <a:pt x="2624" y="9955"/>
                              </a:lnTo>
                              <a:lnTo>
                                <a:pt x="4119" y="7762"/>
                              </a:lnTo>
                              <a:lnTo>
                                <a:pt x="6059" y="5950"/>
                              </a:lnTo>
                              <a:lnTo>
                                <a:pt x="7999" y="4005"/>
                              </a:lnTo>
                              <a:lnTo>
                                <a:pt x="10237" y="2590"/>
                              </a:lnTo>
                              <a:lnTo>
                                <a:pt x="12771" y="1423"/>
                              </a:lnTo>
                              <a:lnTo>
                                <a:pt x="15306" y="521"/>
                              </a:lnTo>
                              <a:lnTo>
                                <a:pt x="17945" y="0"/>
                              </a:lnTo>
                              <a:lnTo>
                                <a:pt x="23433" y="0"/>
                              </a:lnTo>
                              <a:lnTo>
                                <a:pt x="35319" y="5950"/>
                              </a:lnTo>
                              <a:lnTo>
                                <a:pt x="37259" y="7762"/>
                              </a:lnTo>
                              <a:lnTo>
                                <a:pt x="38754" y="9955"/>
                              </a:lnTo>
                              <a:lnTo>
                                <a:pt x="40854" y="15260"/>
                              </a:lnTo>
                              <a:lnTo>
                                <a:pt x="41378" y="17975"/>
                              </a:lnTo>
                              <a:lnTo>
                                <a:pt x="41379" y="20689"/>
                              </a:lnTo>
                              <a:lnTo>
                                <a:pt x="41378" y="23403"/>
                              </a:lnTo>
                              <a:lnTo>
                                <a:pt x="28607" y="39566"/>
                              </a:lnTo>
                              <a:lnTo>
                                <a:pt x="26072" y="40733"/>
                              </a:lnTo>
                              <a:lnTo>
                                <a:pt x="23433" y="41246"/>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54" o:spid="_x0000_s1211" style="width:3.3pt;height:3.3pt;margin-top:5.3pt;margin-left:44.15pt;mso-position-horizontal-relative:page;mso-wrap-distance-bottom:0;mso-wrap-distance-left:0;mso-wrap-distance-right:0;mso-wrap-distance-top:0;mso-wrap-style:square;position:absolute;visibility:visible;v-text-anchor:top;z-index:251716608" coordsize="41910,41910" path="m20689,41378l17945,41246l15306,40733,12771,39566,10237,38532,,23403,,17975,524,15260,2624,9955,4119,7762,6059,5950,7999,4005,10237,2590,12771,1423,15306,521,17945,l23433,l35319,5950l37259,7762l38754,9955l40854,15260l41378,17975l41379,20689l41378,23403,28607,39566l26072,40733l23433,41246l20689,41378xe" fillcolor="black" stroked="f">
                <v:path arrowok="t"/>
              </v:shape>
            </w:pict>
          </mc:Fallback>
        </mc:AlternateContent>
      </w:r>
      <w:r>
        <w:t>\(\pi_{s}\)</w:t>
      </w:r>
      <w:r>
        <w:rPr>
          <w:spacing w:val="-6"/>
        </w:rPr>
        <w:t xml:space="preserve"> </w:t>
      </w:r>
      <w:r>
        <w:t>is</w:t>
      </w:r>
      <w:r>
        <w:rPr>
          <w:spacing w:val="-6"/>
        </w:rPr>
        <w:t xml:space="preserve"> </w:t>
      </w:r>
      <w:r>
        <w:t>the</w:t>
      </w:r>
      <w:r>
        <w:rPr>
          <w:spacing w:val="-6"/>
        </w:rPr>
        <w:t xml:space="preserve"> </w:t>
      </w:r>
      <w:r>
        <w:t>probability</w:t>
      </w:r>
      <w:r>
        <w:rPr>
          <w:spacing w:val="-6"/>
        </w:rPr>
        <w:t xml:space="preserve"> </w:t>
      </w:r>
      <w:r>
        <w:t>of</w:t>
      </w:r>
      <w:r>
        <w:rPr>
          <w:spacing w:val="-6"/>
        </w:rPr>
        <w:t xml:space="preserve"> </w:t>
      </w:r>
      <w:r>
        <w:t>selection</w:t>
      </w:r>
      <w:r>
        <w:rPr>
          <w:spacing w:val="-6"/>
        </w:rPr>
        <w:t xml:space="preserve"> </w:t>
      </w:r>
      <w:r>
        <w:t>for</w:t>
      </w:r>
      <w:r>
        <w:rPr>
          <w:spacing w:val="-6"/>
        </w:rPr>
        <w:t xml:space="preserve"> </w:t>
      </w:r>
      <w:r>
        <w:t>school</w:t>
      </w:r>
      <w:r>
        <w:rPr>
          <w:spacing w:val="-5"/>
        </w:rPr>
        <w:t xml:space="preserve"> </w:t>
      </w:r>
      <w:r>
        <w:rPr>
          <w:spacing w:val="-2"/>
        </w:rPr>
        <w:t>\(s\);</w:t>
      </w:r>
    </w:p>
    <w:p w:rsidR="003F5784" w14:paraId="7019C55D" w14:textId="77777777">
      <w:pPr>
        <w:sectPr>
          <w:pgSz w:w="15840" w:h="12240" w:orient="landscape"/>
          <w:pgMar w:top="480" w:right="440" w:bottom="460" w:left="460" w:header="284" w:footer="275" w:gutter="0"/>
          <w:cols w:space="720"/>
        </w:sectPr>
      </w:pPr>
    </w:p>
    <w:p w:rsidR="003F5784" w14:paraId="27B569E9" w14:textId="77777777">
      <w:pPr>
        <w:pStyle w:val="BodyText"/>
        <w:spacing w:before="78" w:line="232" w:lineRule="auto"/>
        <w:ind w:left="422" w:right="5761"/>
      </w:pPr>
      <w:r>
        <w:rPr>
          <w:noProof/>
          <w:position w:val="3"/>
        </w:rPr>
        <w:drawing>
          <wp:inline distT="0" distB="0" distL="0" distR="0">
            <wp:extent cx="41379" cy="41378"/>
            <wp:effectExtent l="0" t="0" r="0" b="0"/>
            <wp:docPr id="655" name="Image 655"/>
            <wp:cNvGraphicFramePr/>
            <a:graphic xmlns:a="http://schemas.openxmlformats.org/drawingml/2006/main">
              <a:graphicData uri="http://schemas.openxmlformats.org/drawingml/2006/picture">
                <pic:pic xmlns:pic="http://schemas.openxmlformats.org/drawingml/2006/picture">
                  <pic:nvPicPr>
                    <pic:cNvPr id="655" name="Image 655"/>
                    <pic:cNvPicPr/>
                  </pic:nvPicPr>
                  <pic:blipFill>
                    <a:blip xmlns:r="http://schemas.openxmlformats.org/officeDocument/2006/relationships" r:embed="rId522" cstate="print"/>
                    <a:stretch>
                      <a:fillRect/>
                    </a:stretch>
                  </pic:blipFill>
                  <pic:spPr>
                    <a:xfrm>
                      <a:off x="0" y="0"/>
                      <a:ext cx="41379" cy="41378"/>
                    </a:xfrm>
                    <a:prstGeom prst="rect">
                      <a:avLst/>
                    </a:prstGeom>
                  </pic:spPr>
                </pic:pic>
              </a:graphicData>
            </a:graphic>
          </wp:inline>
        </w:drawing>
      </w:r>
      <w:r>
        <w:rPr>
          <w:spacing w:val="80"/>
          <w:sz w:val="20"/>
        </w:rPr>
        <w:t xml:space="preserve"> </w:t>
      </w:r>
      <w:r>
        <w:t>\(R_{jsr}\)</w:t>
      </w:r>
      <w:r>
        <w:rPr>
          <w:spacing w:val="-6"/>
        </w:rPr>
        <w:t xml:space="preserve"> </w:t>
      </w:r>
      <w:r>
        <w:t>is</w:t>
      </w:r>
      <w:r>
        <w:rPr>
          <w:spacing w:val="-6"/>
        </w:rPr>
        <w:t xml:space="preserve"> </w:t>
      </w:r>
      <w:r>
        <w:t>the</w:t>
      </w:r>
      <w:r>
        <w:rPr>
          <w:spacing w:val="-6"/>
        </w:rPr>
        <w:t xml:space="preserve"> </w:t>
      </w:r>
      <w:r>
        <w:t>set</w:t>
      </w:r>
      <w:r>
        <w:rPr>
          <w:spacing w:val="-6"/>
        </w:rPr>
        <w:t xml:space="preserve"> </w:t>
      </w:r>
      <w:r>
        <w:t>of</w:t>
      </w:r>
      <w:r>
        <w:rPr>
          <w:spacing w:val="-6"/>
        </w:rPr>
        <w:t xml:space="preserve"> </w:t>
      </w:r>
      <w:r>
        <w:t>students</w:t>
      </w:r>
      <w:r>
        <w:rPr>
          <w:spacing w:val="-6"/>
        </w:rPr>
        <w:t xml:space="preserve"> </w:t>
      </w:r>
      <w:r>
        <w:t>within</w:t>
      </w:r>
      <w:r>
        <w:rPr>
          <w:spacing w:val="-6"/>
        </w:rPr>
        <w:t xml:space="preserve"> </w:t>
      </w:r>
      <w:r>
        <w:t>the</w:t>
      </w:r>
      <w:r>
        <w:rPr>
          <w:spacing w:val="-6"/>
        </w:rPr>
        <w:t xml:space="preserve"> </w:t>
      </w:r>
      <w:r>
        <w:t>\(r\)-th</w:t>
      </w:r>
      <w:r>
        <w:rPr>
          <w:spacing w:val="-6"/>
        </w:rPr>
        <w:t xml:space="preserve"> </w:t>
      </w:r>
      <w:r>
        <w:t>replicate</w:t>
      </w:r>
      <w:r>
        <w:rPr>
          <w:spacing w:val="-6"/>
        </w:rPr>
        <w:t xml:space="preserve"> </w:t>
      </w:r>
      <w:r>
        <w:t>stratum</w:t>
      </w:r>
      <w:r>
        <w:rPr>
          <w:spacing w:val="-6"/>
        </w:rPr>
        <w:t xml:space="preserve"> </w:t>
      </w:r>
      <w:r>
        <w:t>for</w:t>
      </w:r>
      <w:r>
        <w:rPr>
          <w:spacing w:val="-6"/>
        </w:rPr>
        <w:t xml:space="preserve"> </w:t>
      </w:r>
      <w:r>
        <w:t>school</w:t>
      </w:r>
      <w:r>
        <w:rPr>
          <w:spacing w:val="-6"/>
        </w:rPr>
        <w:t xml:space="preserve"> </w:t>
      </w:r>
      <w:r>
        <w:t>\(s\)</w:t>
      </w:r>
      <w:r>
        <w:rPr>
          <w:spacing w:val="-6"/>
        </w:rPr>
        <w:t xml:space="preserve"> </w:t>
      </w:r>
      <w:r>
        <w:t>in</w:t>
      </w:r>
      <w:r>
        <w:rPr>
          <w:spacing w:val="-6"/>
        </w:rPr>
        <w:t xml:space="preserve"> </w:t>
      </w:r>
      <w:r>
        <w:t>stratum</w:t>
      </w:r>
      <w:r>
        <w:rPr>
          <w:spacing w:val="-6"/>
        </w:rPr>
        <w:t xml:space="preserve"> </w:t>
      </w:r>
      <w:r>
        <w:t>\(j\);</w:t>
      </w:r>
      <w:r>
        <w:rPr>
          <w:spacing w:val="-6"/>
        </w:rPr>
        <w:t xml:space="preserve"> </w:t>
      </w:r>
      <w:r>
        <w:t xml:space="preserve">and </w:t>
      </w:r>
      <w:r>
        <w:rPr>
          <w:noProof/>
          <w:position w:val="3"/>
        </w:rPr>
        <w:drawing>
          <wp:inline distT="0" distB="0" distL="0" distR="0">
            <wp:extent cx="41379" cy="41378"/>
            <wp:effectExtent l="0" t="0" r="0" b="0"/>
            <wp:docPr id="656" name="Image 656"/>
            <wp:cNvGraphicFramePr/>
            <a:graphic xmlns:a="http://schemas.openxmlformats.org/drawingml/2006/main">
              <a:graphicData uri="http://schemas.openxmlformats.org/drawingml/2006/picture">
                <pic:pic xmlns:pic="http://schemas.openxmlformats.org/drawingml/2006/picture">
                  <pic:nvPicPr>
                    <pic:cNvPr id="656" name="Image 656"/>
                    <pic:cNvPicPr/>
                  </pic:nvPicPr>
                  <pic:blipFill>
                    <a:blip xmlns:r="http://schemas.openxmlformats.org/officeDocument/2006/relationships" r:embed="rId523" cstate="print"/>
                    <a:stretch>
                      <a:fillRect/>
                    </a:stretch>
                  </pic:blipFill>
                  <pic:spPr>
                    <a:xfrm>
                      <a:off x="0" y="0"/>
                      <a:ext cx="41379" cy="41378"/>
                    </a:xfrm>
                    <a:prstGeom prst="rect">
                      <a:avLst/>
                    </a:prstGeom>
                  </pic:spPr>
                </pic:pic>
              </a:graphicData>
            </a:graphic>
          </wp:inline>
        </w:drawing>
      </w:r>
      <w:r>
        <w:rPr>
          <w:spacing w:val="80"/>
        </w:rPr>
        <w:t xml:space="preserve"> </w:t>
      </w:r>
      <w:r>
        <w:t>\(U_{jsk}\) is the variance unit (1, 2, or 3) for student \(k\) in school \(s\) in stratum \(j\).</w:t>
      </w:r>
    </w:p>
    <w:p w:rsidR="003F5784" w14:paraId="75ACE37D" w14:textId="77777777">
      <w:pPr>
        <w:pStyle w:val="BodyText"/>
        <w:spacing w:before="203"/>
        <w:ind w:left="109"/>
      </w:pPr>
      <w:r>
        <w:t>Note,</w:t>
      </w:r>
      <w:r>
        <w:rPr>
          <w:spacing w:val="-5"/>
        </w:rPr>
        <w:t xml:space="preserve"> </w:t>
      </w:r>
      <w:r>
        <w:t>for</w:t>
      </w:r>
      <w:r>
        <w:rPr>
          <w:spacing w:val="-5"/>
        </w:rPr>
        <w:t xml:space="preserve"> </w:t>
      </w:r>
      <w:r>
        <w:t>students</w:t>
      </w:r>
      <w:r>
        <w:rPr>
          <w:spacing w:val="-5"/>
        </w:rPr>
        <w:t xml:space="preserve"> </w:t>
      </w:r>
      <w:r>
        <w:t>in</w:t>
      </w:r>
      <w:r>
        <w:rPr>
          <w:spacing w:val="-5"/>
        </w:rPr>
        <w:t xml:space="preserve"> </w:t>
      </w:r>
      <w:r>
        <w:t>certainty</w:t>
      </w:r>
      <w:r>
        <w:rPr>
          <w:spacing w:val="-4"/>
        </w:rPr>
        <w:t xml:space="preserve"> </w:t>
      </w:r>
      <w:r>
        <w:t>schools,</w:t>
      </w:r>
      <w:r>
        <w:rPr>
          <w:spacing w:val="-5"/>
        </w:rPr>
        <w:t xml:space="preserve"> </w:t>
      </w:r>
      <w:r>
        <w:t>where</w:t>
      </w:r>
      <w:r>
        <w:rPr>
          <w:spacing w:val="-5"/>
        </w:rPr>
        <w:t xml:space="preserve"> </w:t>
      </w:r>
      <w:r>
        <w:t>\(\pi_{s}=1\),</w:t>
      </w:r>
      <w:r>
        <w:rPr>
          <w:spacing w:val="-5"/>
        </w:rPr>
        <w:t xml:space="preserve"> </w:t>
      </w:r>
      <w:r>
        <w:t>the</w:t>
      </w:r>
      <w:r>
        <w:rPr>
          <w:spacing w:val="-4"/>
        </w:rPr>
        <w:t xml:space="preserve"> </w:t>
      </w:r>
      <w:r>
        <w:t>student</w:t>
      </w:r>
      <w:r>
        <w:rPr>
          <w:spacing w:val="-5"/>
        </w:rPr>
        <w:t xml:space="preserve"> </w:t>
      </w:r>
      <w:r>
        <w:t>replicate</w:t>
      </w:r>
      <w:r>
        <w:rPr>
          <w:spacing w:val="-5"/>
        </w:rPr>
        <w:t xml:space="preserve"> </w:t>
      </w:r>
      <w:r>
        <w:t>factors</w:t>
      </w:r>
      <w:r>
        <w:rPr>
          <w:spacing w:val="-5"/>
        </w:rPr>
        <w:t xml:space="preserve"> </w:t>
      </w:r>
      <w:r>
        <w:t>are</w:t>
      </w:r>
      <w:r>
        <w:rPr>
          <w:spacing w:val="-4"/>
        </w:rPr>
        <w:t xml:space="preserve"> </w:t>
      </w:r>
      <w:r>
        <w:t>2</w:t>
      </w:r>
      <w:r>
        <w:rPr>
          <w:spacing w:val="-5"/>
        </w:rPr>
        <w:t xml:space="preserve"> </w:t>
      </w:r>
      <w:r>
        <w:t>and</w:t>
      </w:r>
      <w:r>
        <w:rPr>
          <w:spacing w:val="-5"/>
        </w:rPr>
        <w:t xml:space="preserve"> </w:t>
      </w:r>
      <w:r>
        <w:t>0</w:t>
      </w:r>
      <w:r>
        <w:rPr>
          <w:spacing w:val="-5"/>
        </w:rPr>
        <w:t xml:space="preserve"> </w:t>
      </w:r>
      <w:r>
        <w:t>in</w:t>
      </w:r>
      <w:r>
        <w:rPr>
          <w:spacing w:val="-4"/>
        </w:rPr>
        <w:t xml:space="preserve"> </w:t>
      </w:r>
      <w:r>
        <w:t>the</w:t>
      </w:r>
      <w:r>
        <w:rPr>
          <w:spacing w:val="-5"/>
        </w:rPr>
        <w:t xml:space="preserve"> </w:t>
      </w:r>
      <w:r>
        <w:t>case</w:t>
      </w:r>
      <w:r>
        <w:rPr>
          <w:spacing w:val="-5"/>
        </w:rPr>
        <w:t xml:space="preserve"> </w:t>
      </w:r>
      <w:r>
        <w:t>of</w:t>
      </w:r>
      <w:r>
        <w:rPr>
          <w:spacing w:val="-5"/>
        </w:rPr>
        <w:t xml:space="preserve"> </w:t>
      </w:r>
      <w:r>
        <w:t>pairs,</w:t>
      </w:r>
      <w:r>
        <w:rPr>
          <w:spacing w:val="-4"/>
        </w:rPr>
        <w:t xml:space="preserve"> </w:t>
      </w:r>
      <w:r>
        <w:t>and</w:t>
      </w:r>
      <w:r>
        <w:rPr>
          <w:spacing w:val="-5"/>
        </w:rPr>
        <w:t xml:space="preserve"> </w:t>
      </w:r>
      <w:r>
        <w:t>1.5,</w:t>
      </w:r>
      <w:r>
        <w:rPr>
          <w:spacing w:val="-5"/>
        </w:rPr>
        <w:t xml:space="preserve"> </w:t>
      </w:r>
      <w:r>
        <w:t>1.5,</w:t>
      </w:r>
      <w:r>
        <w:rPr>
          <w:spacing w:val="-5"/>
        </w:rPr>
        <w:t xml:space="preserve"> </w:t>
      </w:r>
      <w:r>
        <w:t>and</w:t>
      </w:r>
      <w:r>
        <w:rPr>
          <w:spacing w:val="-4"/>
        </w:rPr>
        <w:t xml:space="preserve"> </w:t>
      </w:r>
      <w:r>
        <w:t>0</w:t>
      </w:r>
      <w:r>
        <w:rPr>
          <w:spacing w:val="-5"/>
        </w:rPr>
        <w:t xml:space="preserve"> </w:t>
      </w:r>
      <w:r>
        <w:t>in</w:t>
      </w:r>
      <w:r>
        <w:rPr>
          <w:spacing w:val="-5"/>
        </w:rPr>
        <w:t xml:space="preserve"> </w:t>
      </w:r>
      <w:r>
        <w:t>the</w:t>
      </w:r>
      <w:r>
        <w:rPr>
          <w:spacing w:val="-5"/>
        </w:rPr>
        <w:t xml:space="preserve"> </w:t>
      </w:r>
      <w:r>
        <w:t>case</w:t>
      </w:r>
      <w:r>
        <w:rPr>
          <w:spacing w:val="-4"/>
        </w:rPr>
        <w:t xml:space="preserve"> </w:t>
      </w:r>
      <w:r>
        <w:t>of</w:t>
      </w:r>
      <w:r>
        <w:rPr>
          <w:spacing w:val="-5"/>
        </w:rPr>
        <w:t xml:space="preserve"> </w:t>
      </w:r>
      <w:r>
        <w:rPr>
          <w:spacing w:val="-2"/>
        </w:rPr>
        <w:t>triples.</w:t>
      </w:r>
    </w:p>
    <w:p w:rsidR="003F5784" w14:paraId="04A01612" w14:textId="77777777">
      <w:pPr>
        <w:pStyle w:val="BodyText"/>
      </w:pPr>
    </w:p>
    <w:p w:rsidR="003F5784" w14:paraId="0C7B5422" w14:textId="77777777">
      <w:pPr>
        <w:pStyle w:val="BodyText"/>
      </w:pPr>
    </w:p>
    <w:p w:rsidR="003F5784" w14:paraId="72575A8A" w14:textId="77777777">
      <w:pPr>
        <w:pStyle w:val="BodyText"/>
        <w:spacing w:before="144"/>
      </w:pPr>
    </w:p>
    <w:p w:rsidR="003F5784" w14:paraId="1C395732" w14:textId="77777777">
      <w:pPr>
        <w:ind w:left="4844"/>
        <w:rPr>
          <w:sz w:val="18"/>
        </w:rPr>
      </w:pPr>
      <w:hyperlink r:id="rId524">
        <w:r>
          <w:rPr>
            <w:spacing w:val="-2"/>
            <w:w w:val="105"/>
            <w:sz w:val="18"/>
          </w:rPr>
          <w:t>http://nces.ed.gov/nationsreportcard/tdw/weighting/2022/computing_student_level_replicate_factors_for_the_2022_assessment.aspx</w:t>
        </w:r>
      </w:hyperlink>
    </w:p>
    <w:p w:rsidR="003F5784" w14:paraId="5ED2E4C4" w14:textId="77777777">
      <w:pPr>
        <w:pStyle w:val="BodyText"/>
        <w:spacing w:before="1"/>
        <w:rPr>
          <w:sz w:val="16"/>
        </w:rPr>
      </w:pPr>
      <w:r>
        <w:rPr>
          <w:noProof/>
        </w:rPr>
        <mc:AlternateContent>
          <mc:Choice Requires="wps">
            <w:drawing>
              <wp:anchor distT="0" distB="0" distL="0" distR="0" simplePos="0" relativeHeight="252025856" behindDoc="1" locked="0" layoutInCell="1" allowOverlap="1">
                <wp:simplePos x="0" y="0"/>
                <wp:positionH relativeFrom="page">
                  <wp:posOffset>361937</wp:posOffset>
                </wp:positionH>
                <wp:positionV relativeFrom="paragraph">
                  <wp:posOffset>132768</wp:posOffset>
                </wp:positionV>
                <wp:extent cx="9339580" cy="8890"/>
                <wp:effectExtent l="0" t="0" r="0" b="0"/>
                <wp:wrapTopAndBottom/>
                <wp:docPr id="657" name="Graphic 657"/>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63"/>
                              </a:moveTo>
                              <a:lnTo>
                                <a:pt x="9335110" y="63"/>
                              </a:lnTo>
                              <a:lnTo>
                                <a:pt x="8280" y="63"/>
                              </a:lnTo>
                              <a:lnTo>
                                <a:pt x="0" y="0"/>
                              </a:lnTo>
                              <a:lnTo>
                                <a:pt x="0" y="8280"/>
                              </a:lnTo>
                              <a:lnTo>
                                <a:pt x="9335110" y="8343"/>
                              </a:lnTo>
                              <a:lnTo>
                                <a:pt x="9338970" y="8343"/>
                              </a:lnTo>
                              <a:lnTo>
                                <a:pt x="9338970" y="63"/>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657" o:spid="_x0000_s1212" style="width:735.4pt;height:0.7pt;margin-top:10.45pt;margin-left:28.5pt;mso-position-horizontal-relative:page;mso-wrap-distance-bottom:0;mso-wrap-distance-left:0;mso-wrap-distance-right:0;mso-wrap-distance-top:0;mso-wrap-style:square;position:absolute;visibility:visible;v-text-anchor:top;z-index:-251289600" coordsize="9339580,8890" path="m9338970,63l9335110,63l8280,63,,,,8280l9335110,8343l9338970,8343l9338970,63xe" fillcolor="gray" stroked="f">
                <v:path arrowok="t"/>
                <w10:wrap type="topAndBottom"/>
              </v:shape>
            </w:pict>
          </mc:Fallback>
        </mc:AlternateContent>
      </w:r>
    </w:p>
    <w:p w:rsidR="003F5784" w14:paraId="5B9F179B" w14:textId="77777777">
      <w:pPr>
        <w:pStyle w:val="BodyText"/>
        <w:rPr>
          <w:sz w:val="18"/>
        </w:rPr>
      </w:pPr>
    </w:p>
    <w:p w:rsidR="003F5784" w14:paraId="01597E70" w14:textId="77777777">
      <w:pPr>
        <w:pStyle w:val="BodyText"/>
        <w:spacing w:before="193"/>
        <w:rPr>
          <w:sz w:val="18"/>
        </w:rPr>
      </w:pPr>
    </w:p>
    <w:p w:rsidR="003F5784" w14:paraId="61543C18" w14:textId="3E118C08">
      <w:pPr>
        <w:pStyle w:val="Heading1"/>
      </w:pPr>
      <w:r>
        <w:t>NAEP</w:t>
      </w:r>
      <w:r>
        <w:rPr>
          <w:spacing w:val="-25"/>
        </w:rPr>
        <w:t xml:space="preserve"> </w:t>
      </w:r>
      <w:r>
        <w:t>Technical</w:t>
      </w:r>
      <w:r>
        <w:rPr>
          <w:spacing w:val="7"/>
        </w:rPr>
        <w:t xml:space="preserve"> </w:t>
      </w:r>
      <w:r>
        <w:t>Documentation</w:t>
      </w:r>
      <w:r w:rsidR="00C94150">
        <w:t xml:space="preserve"> </w:t>
      </w:r>
      <w:r>
        <w:t>Defining Variance</w:t>
      </w:r>
      <w:r>
        <w:rPr>
          <w:spacing w:val="7"/>
        </w:rPr>
        <w:t xml:space="preserve"> </w:t>
      </w:r>
      <w:r>
        <w:t>Strata</w:t>
      </w:r>
      <w:r>
        <w:rPr>
          <w:spacing w:val="7"/>
        </w:rPr>
        <w:t xml:space="preserve"> </w:t>
      </w:r>
      <w:r>
        <w:t>and</w:t>
      </w:r>
      <w:r>
        <w:rPr>
          <w:spacing w:val="7"/>
        </w:rPr>
        <w:t xml:space="preserve"> </w:t>
      </w:r>
      <w:r>
        <w:t>Forming</w:t>
      </w:r>
      <w:r>
        <w:rPr>
          <w:spacing w:val="7"/>
        </w:rPr>
        <w:t xml:space="preserve"> </w:t>
      </w:r>
      <w:r>
        <w:rPr>
          <w:spacing w:val="-2"/>
        </w:rPr>
        <w:t>Replicates</w:t>
      </w:r>
    </w:p>
    <w:p w:rsidR="003F5784" w14:paraId="77924167" w14:textId="77777777">
      <w:pPr>
        <w:pStyle w:val="BodyText"/>
        <w:spacing w:before="289"/>
        <w:ind w:left="109"/>
      </w:pPr>
      <w:r>
        <w:t>For</w:t>
      </w:r>
      <w:r>
        <w:rPr>
          <w:spacing w:val="-7"/>
        </w:rPr>
        <w:t xml:space="preserve"> </w:t>
      </w:r>
      <w:r>
        <w:t>NAEP</w:t>
      </w:r>
      <w:r>
        <w:rPr>
          <w:spacing w:val="-13"/>
        </w:rPr>
        <w:t xml:space="preserve"> </w:t>
      </w:r>
      <w:r>
        <w:t>2022,</w:t>
      </w:r>
      <w:r>
        <w:rPr>
          <w:spacing w:val="-6"/>
        </w:rPr>
        <w:t xml:space="preserve"> </w:t>
      </w:r>
      <w:r>
        <w:t>the</w:t>
      </w:r>
      <w:r>
        <w:rPr>
          <w:spacing w:val="-6"/>
        </w:rPr>
        <w:t xml:space="preserve"> </w:t>
      </w:r>
      <w:r>
        <w:t>procedure</w:t>
      </w:r>
      <w:r>
        <w:rPr>
          <w:spacing w:val="-7"/>
        </w:rPr>
        <w:t xml:space="preserve"> </w:t>
      </w:r>
      <w:r>
        <w:t>used</w:t>
      </w:r>
      <w:r>
        <w:rPr>
          <w:spacing w:val="-6"/>
        </w:rPr>
        <w:t xml:space="preserve"> </w:t>
      </w:r>
      <w:r>
        <w:t>to</w:t>
      </w:r>
      <w:r>
        <w:rPr>
          <w:spacing w:val="-6"/>
        </w:rPr>
        <w:t xml:space="preserve"> </w:t>
      </w:r>
      <w:r>
        <w:t>define</w:t>
      </w:r>
      <w:r>
        <w:rPr>
          <w:spacing w:val="-6"/>
        </w:rPr>
        <w:t xml:space="preserve"> </w:t>
      </w:r>
      <w:r>
        <w:t>variance</w:t>
      </w:r>
      <w:r>
        <w:rPr>
          <w:spacing w:val="-6"/>
        </w:rPr>
        <w:t xml:space="preserve"> </w:t>
      </w:r>
      <w:r>
        <w:t>strata</w:t>
      </w:r>
      <w:r>
        <w:rPr>
          <w:spacing w:val="-7"/>
        </w:rPr>
        <w:t xml:space="preserve"> </w:t>
      </w:r>
      <w:r>
        <w:t>and</w:t>
      </w:r>
      <w:r>
        <w:rPr>
          <w:spacing w:val="-6"/>
        </w:rPr>
        <w:t xml:space="preserve"> </w:t>
      </w:r>
      <w:r>
        <w:t>form</w:t>
      </w:r>
      <w:r>
        <w:rPr>
          <w:spacing w:val="-6"/>
        </w:rPr>
        <w:t xml:space="preserve"> </w:t>
      </w:r>
      <w:r>
        <w:t>replicates</w:t>
      </w:r>
      <w:r>
        <w:rPr>
          <w:spacing w:val="-6"/>
        </w:rPr>
        <w:t xml:space="preserve"> </w:t>
      </w:r>
      <w:r>
        <w:t>differed</w:t>
      </w:r>
      <w:r>
        <w:rPr>
          <w:spacing w:val="-6"/>
        </w:rPr>
        <w:t xml:space="preserve"> </w:t>
      </w:r>
      <w:r>
        <w:t>for</w:t>
      </w:r>
      <w:r>
        <w:rPr>
          <w:spacing w:val="-7"/>
        </w:rPr>
        <w:t xml:space="preserve"> </w:t>
      </w:r>
      <w:r>
        <w:t>the</w:t>
      </w:r>
      <w:r>
        <w:rPr>
          <w:spacing w:val="-6"/>
        </w:rPr>
        <w:t xml:space="preserve"> </w:t>
      </w:r>
      <w:r>
        <w:t>age-based</w:t>
      </w:r>
      <w:r>
        <w:rPr>
          <w:spacing w:val="-6"/>
        </w:rPr>
        <w:t xml:space="preserve"> </w:t>
      </w:r>
      <w:r>
        <w:t>samples</w:t>
      </w:r>
      <w:r>
        <w:rPr>
          <w:spacing w:val="-6"/>
        </w:rPr>
        <w:t xml:space="preserve"> </w:t>
      </w:r>
      <w:r>
        <w:t>and</w:t>
      </w:r>
      <w:r>
        <w:rPr>
          <w:spacing w:val="-6"/>
        </w:rPr>
        <w:t xml:space="preserve"> </w:t>
      </w:r>
      <w:r>
        <w:t>the</w:t>
      </w:r>
      <w:r>
        <w:rPr>
          <w:spacing w:val="-6"/>
        </w:rPr>
        <w:t xml:space="preserve"> </w:t>
      </w:r>
      <w:r>
        <w:t>grade-based</w:t>
      </w:r>
      <w:r>
        <w:rPr>
          <w:spacing w:val="-7"/>
        </w:rPr>
        <w:t xml:space="preserve"> </w:t>
      </w:r>
      <w:r>
        <w:rPr>
          <w:spacing w:val="-2"/>
        </w:rPr>
        <w:t>samples.</w:t>
      </w:r>
    </w:p>
    <w:p w:rsidR="003F5784" w14:paraId="40E40C2C" w14:textId="77777777">
      <w:pPr>
        <w:pStyle w:val="Heading2"/>
        <w:spacing w:before="202"/>
        <w:ind w:left="109"/>
      </w:pPr>
      <w:r>
        <w:t>Age-Based</w:t>
      </w:r>
      <w:r>
        <w:rPr>
          <w:spacing w:val="-11"/>
        </w:rPr>
        <w:t xml:space="preserve"> </w:t>
      </w:r>
      <w:r>
        <w:rPr>
          <w:spacing w:val="-2"/>
        </w:rPr>
        <w:t>Samples</w:t>
      </w:r>
    </w:p>
    <w:p w:rsidR="003F5784" w14:paraId="07B3C24A" w14:textId="77777777">
      <w:pPr>
        <w:pStyle w:val="BodyText"/>
        <w:spacing w:before="207" w:line="232" w:lineRule="auto"/>
        <w:ind w:left="109"/>
      </w:pPr>
      <w:r>
        <w:t>In</w:t>
      </w:r>
      <w:r>
        <w:rPr>
          <w:spacing w:val="-7"/>
        </w:rPr>
        <w:t xml:space="preserve"> </w:t>
      </w:r>
      <w:r>
        <w:t>the</w:t>
      </w:r>
      <w:r>
        <w:rPr>
          <w:spacing w:val="-7"/>
        </w:rPr>
        <w:t xml:space="preserve"> </w:t>
      </w:r>
      <w:r>
        <w:t>NAEP</w:t>
      </w:r>
      <w:r>
        <w:rPr>
          <w:spacing w:val="-14"/>
        </w:rPr>
        <w:t xml:space="preserve"> </w:t>
      </w:r>
      <w:r>
        <w:t>2022</w:t>
      </w:r>
      <w:r>
        <w:rPr>
          <w:spacing w:val="-6"/>
        </w:rPr>
        <w:t xml:space="preserve"> </w:t>
      </w:r>
      <w:r>
        <w:t>age-based</w:t>
      </w:r>
      <w:r>
        <w:rPr>
          <w:spacing w:val="-7"/>
        </w:rPr>
        <w:t xml:space="preserve"> </w:t>
      </w:r>
      <w:r>
        <w:t>assessments</w:t>
      </w:r>
      <w:r>
        <w:rPr>
          <w:spacing w:val="-7"/>
        </w:rPr>
        <w:t xml:space="preserve"> </w:t>
      </w:r>
      <w:r>
        <w:t>for</w:t>
      </w:r>
      <w:r>
        <w:rPr>
          <w:spacing w:val="-7"/>
        </w:rPr>
        <w:t xml:space="preserve"> </w:t>
      </w:r>
      <w:r>
        <w:t>long-term</w:t>
      </w:r>
      <w:r>
        <w:rPr>
          <w:spacing w:val="-7"/>
        </w:rPr>
        <w:t xml:space="preserve"> </w:t>
      </w:r>
      <w:r>
        <w:t>trend</w:t>
      </w:r>
      <w:r>
        <w:rPr>
          <w:spacing w:val="-7"/>
        </w:rPr>
        <w:t xml:space="preserve"> </w:t>
      </w:r>
      <w:r>
        <w:t>(LTT),</w:t>
      </w:r>
      <w:r>
        <w:rPr>
          <w:spacing w:val="-7"/>
        </w:rPr>
        <w:t xml:space="preserve"> </w:t>
      </w:r>
      <w:r>
        <w:t>the</w:t>
      </w:r>
      <w:r>
        <w:rPr>
          <w:spacing w:val="-7"/>
        </w:rPr>
        <w:t xml:space="preserve"> </w:t>
      </w:r>
      <w:r>
        <w:t>procedure</w:t>
      </w:r>
      <w:r>
        <w:rPr>
          <w:spacing w:val="-7"/>
        </w:rPr>
        <w:t xml:space="preserve"> </w:t>
      </w:r>
      <w:r>
        <w:t>used</w:t>
      </w:r>
      <w:r>
        <w:rPr>
          <w:spacing w:val="-7"/>
        </w:rPr>
        <w:t xml:space="preserve"> </w:t>
      </w:r>
      <w:r>
        <w:t>to</w:t>
      </w:r>
      <w:r>
        <w:rPr>
          <w:spacing w:val="-7"/>
        </w:rPr>
        <w:t xml:space="preserve"> </w:t>
      </w:r>
      <w:r>
        <w:t>define</w:t>
      </w:r>
      <w:r>
        <w:rPr>
          <w:spacing w:val="-7"/>
        </w:rPr>
        <w:t xml:space="preserve"> </w:t>
      </w:r>
      <w:r>
        <w:t>variance</w:t>
      </w:r>
      <w:r>
        <w:rPr>
          <w:spacing w:val="-7"/>
        </w:rPr>
        <w:t xml:space="preserve"> </w:t>
      </w:r>
      <w:r>
        <w:t>strata</w:t>
      </w:r>
      <w:r>
        <w:rPr>
          <w:spacing w:val="-7"/>
        </w:rPr>
        <w:t xml:space="preserve"> </w:t>
      </w:r>
      <w:r>
        <w:t>and</w:t>
      </w:r>
      <w:r>
        <w:rPr>
          <w:spacing w:val="-7"/>
        </w:rPr>
        <w:t xml:space="preserve"> </w:t>
      </w:r>
      <w:r>
        <w:t>form</w:t>
      </w:r>
      <w:r>
        <w:rPr>
          <w:spacing w:val="-7"/>
        </w:rPr>
        <w:t xml:space="preserve"> </w:t>
      </w:r>
      <w:r>
        <w:t>replicates</w:t>
      </w:r>
      <w:r>
        <w:rPr>
          <w:spacing w:val="-7"/>
        </w:rPr>
        <w:t xml:space="preserve"> </w:t>
      </w:r>
      <w:r>
        <w:t>was</w:t>
      </w:r>
      <w:r>
        <w:rPr>
          <w:spacing w:val="-7"/>
        </w:rPr>
        <w:t xml:space="preserve"> </w:t>
      </w:r>
      <w:r>
        <w:t>the</w:t>
      </w:r>
      <w:r>
        <w:rPr>
          <w:spacing w:val="-7"/>
        </w:rPr>
        <w:t xml:space="preserve"> </w:t>
      </w:r>
      <w:r>
        <w:t>same</w:t>
      </w:r>
      <w:r>
        <w:rPr>
          <w:spacing w:val="-7"/>
        </w:rPr>
        <w:t xml:space="preserve"> </w:t>
      </w:r>
      <w:r>
        <w:t>one</w:t>
      </w:r>
      <w:r>
        <w:rPr>
          <w:spacing w:val="-7"/>
        </w:rPr>
        <w:t xml:space="preserve"> </w:t>
      </w:r>
      <w:r>
        <w:t>used</w:t>
      </w:r>
      <w:r>
        <w:rPr>
          <w:spacing w:val="-7"/>
        </w:rPr>
        <w:t xml:space="preserve"> </w:t>
      </w:r>
      <w:r>
        <w:t>for</w:t>
      </w:r>
      <w:r>
        <w:rPr>
          <w:spacing w:val="-7"/>
        </w:rPr>
        <w:t xml:space="preserve"> </w:t>
      </w:r>
      <w:r>
        <w:t>the</w:t>
      </w:r>
      <w:r>
        <w:rPr>
          <w:spacing w:val="-7"/>
        </w:rPr>
        <w:t xml:space="preserve"> </w:t>
      </w:r>
      <w:r>
        <w:t>2020</w:t>
      </w:r>
      <w:r>
        <w:rPr>
          <w:spacing w:val="-7"/>
        </w:rPr>
        <w:t xml:space="preserve"> </w:t>
      </w:r>
      <w:r>
        <w:t>LTT assessments. That procedure is described here .</w:t>
      </w:r>
    </w:p>
    <w:p w:rsidR="003F5784" w14:paraId="16313D3E" w14:textId="77777777">
      <w:pPr>
        <w:pStyle w:val="Heading2"/>
        <w:spacing w:before="203"/>
        <w:ind w:left="109"/>
      </w:pPr>
      <w:r>
        <w:t>Grade-Based</w:t>
      </w:r>
      <w:r>
        <w:rPr>
          <w:spacing w:val="-13"/>
        </w:rPr>
        <w:t xml:space="preserve"> </w:t>
      </w:r>
      <w:r>
        <w:rPr>
          <w:spacing w:val="-2"/>
        </w:rPr>
        <w:t>Samples</w:t>
      </w:r>
    </w:p>
    <w:p w:rsidR="003F5784" w14:paraId="7A073B60" w14:textId="77777777">
      <w:pPr>
        <w:pStyle w:val="BodyText"/>
        <w:spacing w:before="208" w:line="232" w:lineRule="auto"/>
        <w:ind w:left="109" w:right="179"/>
      </w:pPr>
      <w:r>
        <w:t>In</w:t>
      </w:r>
      <w:r>
        <w:rPr>
          <w:spacing w:val="-6"/>
        </w:rPr>
        <w:t xml:space="preserve"> </w:t>
      </w:r>
      <w:r>
        <w:t>the</w:t>
      </w:r>
      <w:r>
        <w:rPr>
          <w:spacing w:val="-6"/>
        </w:rPr>
        <w:t xml:space="preserve"> </w:t>
      </w:r>
      <w:r>
        <w:t>NAEP</w:t>
      </w:r>
      <w:r>
        <w:rPr>
          <w:spacing w:val="-13"/>
        </w:rPr>
        <w:t xml:space="preserve"> </w:t>
      </w:r>
      <w:r>
        <w:t>2022</w:t>
      </w:r>
      <w:r>
        <w:rPr>
          <w:spacing w:val="-6"/>
        </w:rPr>
        <w:t xml:space="preserve"> </w:t>
      </w:r>
      <w:r>
        <w:t>grade-based</w:t>
      </w:r>
      <w:r>
        <w:rPr>
          <w:spacing w:val="-6"/>
        </w:rPr>
        <w:t xml:space="preserve"> </w:t>
      </w:r>
      <w:r>
        <w:t>assessments,</w:t>
      </w:r>
      <w:r>
        <w:rPr>
          <w:spacing w:val="-6"/>
        </w:rPr>
        <w:t xml:space="preserve"> </w:t>
      </w:r>
      <w:r>
        <w:t>replicates</w:t>
      </w:r>
      <w:r>
        <w:rPr>
          <w:spacing w:val="-6"/>
        </w:rPr>
        <w:t xml:space="preserve"> </w:t>
      </w:r>
      <w:r>
        <w:t>were</w:t>
      </w:r>
      <w:r>
        <w:rPr>
          <w:spacing w:val="-6"/>
        </w:rPr>
        <w:t xml:space="preserve"> </w:t>
      </w:r>
      <w:r>
        <w:t>formed</w:t>
      </w:r>
      <w:r>
        <w:rPr>
          <w:spacing w:val="-6"/>
        </w:rPr>
        <w:t xml:space="preserve"> </w:t>
      </w:r>
      <w:r>
        <w:t>separately</w:t>
      </w:r>
      <w:r>
        <w:rPr>
          <w:spacing w:val="-6"/>
        </w:rPr>
        <w:t xml:space="preserve"> </w:t>
      </w:r>
      <w:r>
        <w:t>for</w:t>
      </w:r>
      <w:r>
        <w:rPr>
          <w:spacing w:val="-6"/>
        </w:rPr>
        <w:t xml:space="preserve"> </w:t>
      </w:r>
      <w:r>
        <w:t>each</w:t>
      </w:r>
      <w:r>
        <w:rPr>
          <w:spacing w:val="-6"/>
        </w:rPr>
        <w:t xml:space="preserve"> </w:t>
      </w:r>
      <w:r>
        <w:t>sample</w:t>
      </w:r>
      <w:r>
        <w:rPr>
          <w:spacing w:val="-6"/>
        </w:rPr>
        <w:t xml:space="preserve"> </w:t>
      </w:r>
      <w:r>
        <w:t>indicated</w:t>
      </w:r>
      <w:r>
        <w:rPr>
          <w:spacing w:val="-6"/>
        </w:rPr>
        <w:t xml:space="preserve"> </w:t>
      </w:r>
      <w:r>
        <w:t>by</w:t>
      </w:r>
      <w:r>
        <w:rPr>
          <w:spacing w:val="-6"/>
        </w:rPr>
        <w:t xml:space="preserve"> </w:t>
      </w:r>
      <w:r>
        <w:t>grade</w:t>
      </w:r>
      <w:r>
        <w:rPr>
          <w:spacing w:val="-6"/>
        </w:rPr>
        <w:t xml:space="preserve"> </w:t>
      </w:r>
      <w:r>
        <w:t>(4</w:t>
      </w:r>
      <w:r>
        <w:rPr>
          <w:spacing w:val="-6"/>
        </w:rPr>
        <w:t xml:space="preserve"> </w:t>
      </w:r>
      <w:r>
        <w:t>or</w:t>
      </w:r>
      <w:r>
        <w:rPr>
          <w:spacing w:val="-6"/>
        </w:rPr>
        <w:t xml:space="preserve"> </w:t>
      </w:r>
      <w:r>
        <w:t>8),</w:t>
      </w:r>
      <w:r>
        <w:rPr>
          <w:spacing w:val="-6"/>
        </w:rPr>
        <w:t xml:space="preserve"> </w:t>
      </w:r>
      <w:r>
        <w:t>school</w:t>
      </w:r>
      <w:r>
        <w:rPr>
          <w:spacing w:val="-6"/>
        </w:rPr>
        <w:t xml:space="preserve"> </w:t>
      </w:r>
      <w:r>
        <w:t>type</w:t>
      </w:r>
      <w:r>
        <w:rPr>
          <w:spacing w:val="-6"/>
        </w:rPr>
        <w:t xml:space="preserve"> </w:t>
      </w:r>
      <w:r>
        <w:t>(public</w:t>
      </w:r>
      <w:r>
        <w:rPr>
          <w:spacing w:val="-6"/>
        </w:rPr>
        <w:t xml:space="preserve"> </w:t>
      </w:r>
      <w:r>
        <w:t>or</w:t>
      </w:r>
      <w:r>
        <w:rPr>
          <w:spacing w:val="-6"/>
        </w:rPr>
        <w:t xml:space="preserve"> </w:t>
      </w:r>
      <w:r>
        <w:t>private),</w:t>
      </w:r>
      <w:r>
        <w:rPr>
          <w:spacing w:val="-6"/>
        </w:rPr>
        <w:t xml:space="preserve"> </w:t>
      </w:r>
      <w:r>
        <w:t>and</w:t>
      </w:r>
      <w:r>
        <w:rPr>
          <w:spacing w:val="-6"/>
        </w:rPr>
        <w:t xml:space="preserve"> </w:t>
      </w:r>
      <w:r>
        <w:t>assessment subject (civics, mathematics, reading, and U.S. history).</w:t>
      </w:r>
      <w:r>
        <w:rPr>
          <w:spacing w:val="-3"/>
        </w:rPr>
        <w:t xml:space="preserve"> </w:t>
      </w:r>
      <w:r>
        <w:t>To reflect the school-level finite population corrections in the variance estimators for these two-stage samples, replication was carried out at both the school and student levels.</w:t>
      </w:r>
    </w:p>
    <w:p w:rsidR="003F5784" w14:paraId="027DD980" w14:textId="77777777">
      <w:pPr>
        <w:pStyle w:val="BodyText"/>
        <w:spacing w:before="210" w:line="232" w:lineRule="auto"/>
        <w:ind w:left="109" w:right="117"/>
      </w:pPr>
      <w:r>
        <w:t>The</w:t>
      </w:r>
      <w:r>
        <w:rPr>
          <w:spacing w:val="-6"/>
        </w:rPr>
        <w:t xml:space="preserve"> </w:t>
      </w:r>
      <w:r>
        <w:t>first</w:t>
      </w:r>
      <w:r>
        <w:rPr>
          <w:spacing w:val="-6"/>
        </w:rPr>
        <w:t xml:space="preserve"> </w:t>
      </w:r>
      <w:r>
        <w:t>step</w:t>
      </w:r>
      <w:r>
        <w:rPr>
          <w:spacing w:val="-6"/>
        </w:rPr>
        <w:t xml:space="preserve"> </w:t>
      </w:r>
      <w:r>
        <w:t>in</w:t>
      </w:r>
      <w:r>
        <w:rPr>
          <w:spacing w:val="-6"/>
        </w:rPr>
        <w:t xml:space="preserve"> </w:t>
      </w:r>
      <w:r>
        <w:t>forming</w:t>
      </w:r>
      <w:r>
        <w:rPr>
          <w:spacing w:val="-6"/>
        </w:rPr>
        <w:t xml:space="preserve"> </w:t>
      </w:r>
      <w:r>
        <w:t>replicates</w:t>
      </w:r>
      <w:r>
        <w:rPr>
          <w:spacing w:val="-6"/>
        </w:rPr>
        <w:t xml:space="preserve"> </w:t>
      </w:r>
      <w:r>
        <w:t>was</w:t>
      </w:r>
      <w:r>
        <w:rPr>
          <w:spacing w:val="-6"/>
        </w:rPr>
        <w:t xml:space="preserve"> </w:t>
      </w:r>
      <w:r>
        <w:t>to</w:t>
      </w:r>
      <w:r>
        <w:rPr>
          <w:spacing w:val="-6"/>
        </w:rPr>
        <w:t xml:space="preserve"> </w:t>
      </w:r>
      <w:r>
        <w:t>create</w:t>
      </w:r>
      <w:r>
        <w:rPr>
          <w:spacing w:val="-6"/>
        </w:rPr>
        <w:t xml:space="preserve"> </w:t>
      </w:r>
      <w:r>
        <w:t>preliminary</w:t>
      </w:r>
      <w:r>
        <w:rPr>
          <w:spacing w:val="-6"/>
        </w:rPr>
        <w:t xml:space="preserve"> </w:t>
      </w:r>
      <w:r>
        <w:t>variance</w:t>
      </w:r>
      <w:r>
        <w:rPr>
          <w:spacing w:val="-6"/>
        </w:rPr>
        <w:t xml:space="preserve"> </w:t>
      </w:r>
      <w:r>
        <w:t>strata</w:t>
      </w:r>
      <w:r>
        <w:rPr>
          <w:spacing w:val="-6"/>
        </w:rPr>
        <w:t xml:space="preserve"> </w:t>
      </w:r>
      <w:r>
        <w:t>in</w:t>
      </w:r>
      <w:r>
        <w:rPr>
          <w:spacing w:val="-6"/>
        </w:rPr>
        <w:t xml:space="preserve"> </w:t>
      </w:r>
      <w:r>
        <w:t>each</w:t>
      </w:r>
      <w:r>
        <w:rPr>
          <w:spacing w:val="-6"/>
        </w:rPr>
        <w:t xml:space="preserve"> </w:t>
      </w:r>
      <w:r>
        <w:t>primary</w:t>
      </w:r>
      <w:r>
        <w:rPr>
          <w:spacing w:val="-6"/>
        </w:rPr>
        <w:t xml:space="preserve"> </w:t>
      </w:r>
      <w:r>
        <w:t>stratum.</w:t>
      </w:r>
      <w:r>
        <w:rPr>
          <w:spacing w:val="-9"/>
        </w:rPr>
        <w:t xml:space="preserve"> </w:t>
      </w:r>
      <w:r>
        <w:t>This</w:t>
      </w:r>
      <w:r>
        <w:rPr>
          <w:spacing w:val="-6"/>
        </w:rPr>
        <w:t xml:space="preserve"> </w:t>
      </w:r>
      <w:r>
        <w:t>was</w:t>
      </w:r>
      <w:r>
        <w:rPr>
          <w:spacing w:val="-6"/>
        </w:rPr>
        <w:t xml:space="preserve"> </w:t>
      </w:r>
      <w:r>
        <w:t>done</w:t>
      </w:r>
      <w:r>
        <w:rPr>
          <w:spacing w:val="-6"/>
        </w:rPr>
        <w:t xml:space="preserve"> </w:t>
      </w:r>
      <w:r>
        <w:t>by</w:t>
      </w:r>
      <w:r>
        <w:rPr>
          <w:spacing w:val="-6"/>
        </w:rPr>
        <w:t xml:space="preserve"> </w:t>
      </w:r>
      <w:r>
        <w:t>sorting</w:t>
      </w:r>
      <w:r>
        <w:rPr>
          <w:spacing w:val="-6"/>
        </w:rPr>
        <w:t xml:space="preserve"> </w:t>
      </w:r>
      <w:r>
        <w:t>the</w:t>
      </w:r>
      <w:r>
        <w:rPr>
          <w:spacing w:val="-6"/>
        </w:rPr>
        <w:t xml:space="preserve"> </w:t>
      </w:r>
      <w:r>
        <w:t>appropriate</w:t>
      </w:r>
      <w:r>
        <w:rPr>
          <w:spacing w:val="-6"/>
        </w:rPr>
        <w:t xml:space="preserve"> </w:t>
      </w:r>
      <w:r>
        <w:t>sampling</w:t>
      </w:r>
      <w:r>
        <w:rPr>
          <w:spacing w:val="-6"/>
        </w:rPr>
        <w:t xml:space="preserve"> </w:t>
      </w:r>
      <w:r>
        <w:t>unit</w:t>
      </w:r>
      <w:r>
        <w:rPr>
          <w:spacing w:val="-6"/>
        </w:rPr>
        <w:t xml:space="preserve"> </w:t>
      </w:r>
      <w:r>
        <w:t>(school</w:t>
      </w:r>
      <w:r>
        <w:rPr>
          <w:spacing w:val="-6"/>
        </w:rPr>
        <w:t xml:space="preserve"> </w:t>
      </w:r>
      <w:r>
        <w:t>or</w:t>
      </w:r>
      <w:r>
        <w:rPr>
          <w:spacing w:val="-6"/>
        </w:rPr>
        <w:t xml:space="preserve"> </w:t>
      </w:r>
      <w:r>
        <w:t>student) in the order of its selection within the primary stratum and then pair off adjacent sampling units into preliminary variance strata. Sorting sample units by their order of sample selection reflects the implicit stratification and systematic sampling features of the sample design.</w:t>
      </w:r>
      <w:r>
        <w:rPr>
          <w:spacing w:val="-3"/>
        </w:rPr>
        <w:t xml:space="preserve"> </w:t>
      </w:r>
      <w:r>
        <w:t>Within each primary stratum with an even number of sampling units, all of the</w:t>
      </w:r>
      <w:r>
        <w:rPr>
          <w:spacing w:val="-2"/>
        </w:rPr>
        <w:t xml:space="preserve"> </w:t>
      </w:r>
      <w:r>
        <w:t>preliminary</w:t>
      </w:r>
      <w:r>
        <w:rPr>
          <w:spacing w:val="-2"/>
        </w:rPr>
        <w:t xml:space="preserve"> </w:t>
      </w:r>
      <w:r>
        <w:t>variance</w:t>
      </w:r>
      <w:r>
        <w:rPr>
          <w:spacing w:val="-2"/>
        </w:rPr>
        <w:t xml:space="preserve"> </w:t>
      </w:r>
      <w:r>
        <w:t>strata</w:t>
      </w:r>
      <w:r>
        <w:rPr>
          <w:spacing w:val="-2"/>
        </w:rPr>
        <w:t xml:space="preserve"> </w:t>
      </w:r>
      <w:r>
        <w:t>consisted</w:t>
      </w:r>
      <w:r>
        <w:rPr>
          <w:spacing w:val="-2"/>
        </w:rPr>
        <w:t xml:space="preserve"> </w:t>
      </w:r>
      <w:r>
        <w:t>of</w:t>
      </w:r>
      <w:r>
        <w:rPr>
          <w:spacing w:val="-2"/>
        </w:rPr>
        <w:t xml:space="preserve"> </w:t>
      </w:r>
      <w:r>
        <w:t>pairs</w:t>
      </w:r>
      <w:r>
        <w:rPr>
          <w:spacing w:val="-2"/>
        </w:rPr>
        <w:t xml:space="preserve"> </w:t>
      </w:r>
      <w:r>
        <w:t>of</w:t>
      </w:r>
      <w:r>
        <w:rPr>
          <w:spacing w:val="-2"/>
        </w:rPr>
        <w:t xml:space="preserve"> </w:t>
      </w:r>
      <w:r>
        <w:t>sampling</w:t>
      </w:r>
      <w:r>
        <w:rPr>
          <w:spacing w:val="-2"/>
        </w:rPr>
        <w:t xml:space="preserve"> </w:t>
      </w:r>
      <w:r>
        <w:t>units.</w:t>
      </w:r>
      <w:r>
        <w:rPr>
          <w:spacing w:val="-2"/>
        </w:rPr>
        <w:t xml:space="preserve"> </w:t>
      </w:r>
      <w:r>
        <w:t>However,</w:t>
      </w:r>
      <w:r>
        <w:rPr>
          <w:spacing w:val="-2"/>
        </w:rPr>
        <w:t xml:space="preserve"> </w:t>
      </w:r>
      <w:r>
        <w:t>within</w:t>
      </w:r>
      <w:r>
        <w:rPr>
          <w:spacing w:val="-2"/>
        </w:rPr>
        <w:t xml:space="preserve"> </w:t>
      </w:r>
      <w:r>
        <w:t>primary</w:t>
      </w:r>
      <w:r>
        <w:rPr>
          <w:spacing w:val="-2"/>
        </w:rPr>
        <w:t xml:space="preserve"> </w:t>
      </w:r>
      <w:r>
        <w:t>strata</w:t>
      </w:r>
      <w:r>
        <w:rPr>
          <w:spacing w:val="-2"/>
        </w:rPr>
        <w:t xml:space="preserve"> </w:t>
      </w:r>
      <w:r>
        <w:t>with</w:t>
      </w:r>
      <w:r>
        <w:rPr>
          <w:spacing w:val="-2"/>
        </w:rPr>
        <w:t xml:space="preserve"> </w:t>
      </w:r>
      <w:r>
        <w:t>an</w:t>
      </w:r>
      <w:r>
        <w:rPr>
          <w:spacing w:val="-2"/>
        </w:rPr>
        <w:t xml:space="preserve"> </w:t>
      </w:r>
      <w:r>
        <w:t>odd</w:t>
      </w:r>
      <w:r>
        <w:rPr>
          <w:spacing w:val="-2"/>
        </w:rPr>
        <w:t xml:space="preserve"> </w:t>
      </w:r>
      <w:r>
        <w:t>number</w:t>
      </w:r>
      <w:r>
        <w:rPr>
          <w:spacing w:val="-2"/>
        </w:rPr>
        <w:t xml:space="preserve"> </w:t>
      </w:r>
      <w:r>
        <w:t>of</w:t>
      </w:r>
      <w:r>
        <w:rPr>
          <w:spacing w:val="-2"/>
        </w:rPr>
        <w:t xml:space="preserve"> </w:t>
      </w:r>
      <w:r>
        <w:t>sampling</w:t>
      </w:r>
      <w:r>
        <w:rPr>
          <w:spacing w:val="-2"/>
        </w:rPr>
        <w:t xml:space="preserve"> </w:t>
      </w:r>
      <w:r>
        <w:t>units,</w:t>
      </w:r>
      <w:r>
        <w:rPr>
          <w:spacing w:val="-2"/>
        </w:rPr>
        <w:t xml:space="preserve"> </w:t>
      </w:r>
      <w:r>
        <w:t>all</w:t>
      </w:r>
      <w:r>
        <w:rPr>
          <w:spacing w:val="-2"/>
        </w:rPr>
        <w:t xml:space="preserve"> </w:t>
      </w:r>
      <w:r>
        <w:t>but</w:t>
      </w:r>
      <w:r>
        <w:rPr>
          <w:spacing w:val="-2"/>
        </w:rPr>
        <w:t xml:space="preserve"> </w:t>
      </w:r>
      <w:r>
        <w:t>one</w:t>
      </w:r>
      <w:r>
        <w:rPr>
          <w:spacing w:val="-2"/>
        </w:rPr>
        <w:t xml:space="preserve"> </w:t>
      </w:r>
      <w:r>
        <w:t>variance</w:t>
      </w:r>
      <w:r>
        <w:rPr>
          <w:spacing w:val="-2"/>
        </w:rPr>
        <w:t xml:space="preserve"> </w:t>
      </w:r>
      <w:r>
        <w:t>strata</w:t>
      </w:r>
      <w:r>
        <w:rPr>
          <w:spacing w:val="-2"/>
        </w:rPr>
        <w:t xml:space="preserve"> </w:t>
      </w:r>
      <w:r>
        <w:t>consisted of pairs of sampling units, while the last one consisted of three sampling units.</w:t>
      </w:r>
    </w:p>
    <w:p w:rsidR="003F5784" w14:paraId="310DAE49" w14:textId="77777777">
      <w:pPr>
        <w:pStyle w:val="BodyText"/>
        <w:spacing w:before="210" w:line="232" w:lineRule="auto"/>
        <w:ind w:left="109" w:right="117"/>
      </w:pPr>
      <w:r>
        <w:t>The</w:t>
      </w:r>
      <w:r>
        <w:rPr>
          <w:spacing w:val="-5"/>
        </w:rPr>
        <w:t xml:space="preserve"> </w:t>
      </w:r>
      <w:r>
        <w:t>next</w:t>
      </w:r>
      <w:r>
        <w:rPr>
          <w:spacing w:val="-6"/>
        </w:rPr>
        <w:t xml:space="preserve"> </w:t>
      </w:r>
      <w:r>
        <w:t>step</w:t>
      </w:r>
      <w:r>
        <w:rPr>
          <w:spacing w:val="-5"/>
        </w:rPr>
        <w:t xml:space="preserve"> </w:t>
      </w:r>
      <w:r>
        <w:t>is</w:t>
      </w:r>
      <w:r>
        <w:rPr>
          <w:spacing w:val="-6"/>
        </w:rPr>
        <w:t xml:space="preserve"> </w:t>
      </w:r>
      <w:r>
        <w:t>to</w:t>
      </w:r>
      <w:r>
        <w:rPr>
          <w:spacing w:val="-5"/>
        </w:rPr>
        <w:t xml:space="preserve"> </w:t>
      </w:r>
      <w:r>
        <w:t>form</w:t>
      </w:r>
      <w:r>
        <w:rPr>
          <w:spacing w:val="-6"/>
        </w:rPr>
        <w:t xml:space="preserve"> </w:t>
      </w:r>
      <w:r>
        <w:t>the</w:t>
      </w:r>
      <w:r>
        <w:rPr>
          <w:spacing w:val="-5"/>
        </w:rPr>
        <w:t xml:space="preserve"> </w:t>
      </w:r>
      <w:r>
        <w:t>final</w:t>
      </w:r>
      <w:r>
        <w:rPr>
          <w:spacing w:val="-6"/>
        </w:rPr>
        <w:t xml:space="preserve"> </w:t>
      </w:r>
      <w:r>
        <w:t>variance</w:t>
      </w:r>
      <w:r>
        <w:rPr>
          <w:spacing w:val="-5"/>
        </w:rPr>
        <w:t xml:space="preserve"> </w:t>
      </w:r>
      <w:r>
        <w:t>strata</w:t>
      </w:r>
      <w:r>
        <w:rPr>
          <w:spacing w:val="-6"/>
        </w:rPr>
        <w:t xml:space="preserve"> </w:t>
      </w:r>
      <w:r>
        <w:t>by</w:t>
      </w:r>
      <w:r>
        <w:rPr>
          <w:spacing w:val="-5"/>
        </w:rPr>
        <w:t xml:space="preserve"> </w:t>
      </w:r>
      <w:r>
        <w:t>combining</w:t>
      </w:r>
      <w:r>
        <w:rPr>
          <w:spacing w:val="-6"/>
        </w:rPr>
        <w:t xml:space="preserve"> </w:t>
      </w:r>
      <w:r>
        <w:t>preliminary</w:t>
      </w:r>
      <w:r>
        <w:rPr>
          <w:spacing w:val="-5"/>
        </w:rPr>
        <w:t xml:space="preserve"> </w:t>
      </w:r>
      <w:r>
        <w:t>strata</w:t>
      </w:r>
      <w:r>
        <w:rPr>
          <w:spacing w:val="-6"/>
        </w:rPr>
        <w:t xml:space="preserve"> </w:t>
      </w:r>
      <w:r>
        <w:t>if</w:t>
      </w:r>
      <w:r>
        <w:rPr>
          <w:spacing w:val="-5"/>
        </w:rPr>
        <w:t xml:space="preserve"> </w:t>
      </w:r>
      <w:r>
        <w:t>appropriate.</w:t>
      </w:r>
      <w:r>
        <w:rPr>
          <w:spacing w:val="-6"/>
        </w:rPr>
        <w:t xml:space="preserve"> </w:t>
      </w:r>
      <w:r>
        <w:t>If</w:t>
      </w:r>
      <w:r>
        <w:rPr>
          <w:spacing w:val="-5"/>
        </w:rPr>
        <w:t xml:space="preserve"> </w:t>
      </w:r>
      <w:r>
        <w:t>there</w:t>
      </w:r>
      <w:r>
        <w:rPr>
          <w:spacing w:val="-6"/>
        </w:rPr>
        <w:t xml:space="preserve"> </w:t>
      </w:r>
      <w:r>
        <w:t>were</w:t>
      </w:r>
      <w:r>
        <w:rPr>
          <w:spacing w:val="-5"/>
        </w:rPr>
        <w:t xml:space="preserve"> </w:t>
      </w:r>
      <w:r>
        <w:t>more</w:t>
      </w:r>
      <w:r>
        <w:rPr>
          <w:spacing w:val="-6"/>
        </w:rPr>
        <w:t xml:space="preserve"> </w:t>
      </w:r>
      <w:r>
        <w:t>than</w:t>
      </w:r>
      <w:r>
        <w:rPr>
          <w:spacing w:val="-5"/>
        </w:rPr>
        <w:t xml:space="preserve"> </w:t>
      </w:r>
      <w:r>
        <w:t>62</w:t>
      </w:r>
      <w:r>
        <w:rPr>
          <w:spacing w:val="-6"/>
        </w:rPr>
        <w:t xml:space="preserve"> </w:t>
      </w:r>
      <w:r>
        <w:t>preliminary</w:t>
      </w:r>
      <w:r>
        <w:rPr>
          <w:spacing w:val="-5"/>
        </w:rPr>
        <w:t xml:space="preserve"> </w:t>
      </w:r>
      <w:r>
        <w:t>variance</w:t>
      </w:r>
      <w:r>
        <w:rPr>
          <w:spacing w:val="-6"/>
        </w:rPr>
        <w:t xml:space="preserve"> </w:t>
      </w:r>
      <w:r>
        <w:t>strata</w:t>
      </w:r>
      <w:r>
        <w:rPr>
          <w:spacing w:val="-5"/>
        </w:rPr>
        <w:t xml:space="preserve"> </w:t>
      </w:r>
      <w:r>
        <w:t>within</w:t>
      </w:r>
      <w:r>
        <w:rPr>
          <w:spacing w:val="-6"/>
        </w:rPr>
        <w:t xml:space="preserve"> </w:t>
      </w:r>
      <w:r>
        <w:t>a</w:t>
      </w:r>
      <w:r>
        <w:rPr>
          <w:spacing w:val="-5"/>
        </w:rPr>
        <w:t xml:space="preserve"> </w:t>
      </w:r>
      <w:r>
        <w:t>primary</w:t>
      </w:r>
      <w:r>
        <w:rPr>
          <w:spacing w:val="-6"/>
        </w:rPr>
        <w:t xml:space="preserve"> </w:t>
      </w:r>
      <w:r>
        <w:t>stratum, the preliminary variance strata were grouped to form 62 final variance strata.</w:t>
      </w:r>
      <w:r>
        <w:rPr>
          <w:spacing w:val="-3"/>
        </w:rPr>
        <w:t xml:space="preserve"> </w:t>
      </w:r>
      <w:r>
        <w:t>This grouping effectively maximized the distance in the sort order between grouped preliminary variance strata.</w:t>
      </w:r>
      <w:r>
        <w:rPr>
          <w:spacing w:val="-3"/>
        </w:rPr>
        <w:t xml:space="preserve"> </w:t>
      </w:r>
      <w:r>
        <w:t>The first 62 preliminary variance strata, for example, were assigned to 62 different final variance strata in order (1 through 62), with the next 62 preliminary variance strata assigned to final variance strata 1 through 62, so that, for example, preliminary variance stratum 1, preliminary variance stratum 63, preliminary variance stratum 125 (if in fact there were that many), etc., were all assigned to the first final variance stratum.</w:t>
      </w:r>
    </w:p>
    <w:p w:rsidR="003F5784" w14:paraId="74E3F57E" w14:textId="77777777">
      <w:pPr>
        <w:pStyle w:val="BodyText"/>
        <w:spacing w:before="210" w:line="232" w:lineRule="auto"/>
        <w:ind w:left="109" w:right="179"/>
      </w:pPr>
      <w:r>
        <w:t>If, on the other hand, there were fewer than 62 preliminary variance strata within a primary stratum, then the number of final variance strata was set equal to the number of preliminary</w:t>
      </w:r>
      <w:r>
        <w:rPr>
          <w:spacing w:val="-6"/>
        </w:rPr>
        <w:t xml:space="preserve"> </w:t>
      </w:r>
      <w:r>
        <w:t>variance</w:t>
      </w:r>
      <w:r>
        <w:rPr>
          <w:spacing w:val="-6"/>
        </w:rPr>
        <w:t xml:space="preserve"> </w:t>
      </w:r>
      <w:r>
        <w:t>strata.</w:t>
      </w:r>
      <w:r>
        <w:rPr>
          <w:spacing w:val="-6"/>
        </w:rPr>
        <w:t xml:space="preserve"> </w:t>
      </w:r>
      <w:r>
        <w:t>For</w:t>
      </w:r>
      <w:r>
        <w:rPr>
          <w:spacing w:val="-6"/>
        </w:rPr>
        <w:t xml:space="preserve"> </w:t>
      </w:r>
      <w:r>
        <w:t>example,</w:t>
      </w:r>
      <w:r>
        <w:rPr>
          <w:spacing w:val="-6"/>
        </w:rPr>
        <w:t xml:space="preserve"> </w:t>
      </w:r>
      <w:r>
        <w:t>consider</w:t>
      </w:r>
      <w:r>
        <w:rPr>
          <w:spacing w:val="-6"/>
        </w:rPr>
        <w:t xml:space="preserve"> </w:t>
      </w:r>
      <w:r>
        <w:t>a</w:t>
      </w:r>
      <w:r>
        <w:rPr>
          <w:spacing w:val="-6"/>
        </w:rPr>
        <w:t xml:space="preserve"> </w:t>
      </w:r>
      <w:r>
        <w:t>primary</w:t>
      </w:r>
      <w:r>
        <w:rPr>
          <w:spacing w:val="-6"/>
        </w:rPr>
        <w:t xml:space="preserve"> </w:t>
      </w:r>
      <w:r>
        <w:t>stratum</w:t>
      </w:r>
      <w:r>
        <w:rPr>
          <w:spacing w:val="-6"/>
        </w:rPr>
        <w:t xml:space="preserve"> </w:t>
      </w:r>
      <w:r>
        <w:t>with</w:t>
      </w:r>
      <w:r>
        <w:rPr>
          <w:spacing w:val="-6"/>
        </w:rPr>
        <w:t xml:space="preserve"> </w:t>
      </w:r>
      <w:r>
        <w:t>111</w:t>
      </w:r>
      <w:r>
        <w:rPr>
          <w:spacing w:val="-6"/>
        </w:rPr>
        <w:t xml:space="preserve"> </w:t>
      </w:r>
      <w:r>
        <w:t>sampled</w:t>
      </w:r>
      <w:r>
        <w:rPr>
          <w:spacing w:val="-6"/>
        </w:rPr>
        <w:t xml:space="preserve"> </w:t>
      </w:r>
      <w:r>
        <w:t>units</w:t>
      </w:r>
      <w:r>
        <w:rPr>
          <w:spacing w:val="-6"/>
        </w:rPr>
        <w:t xml:space="preserve"> </w:t>
      </w:r>
      <w:r>
        <w:t>sorted</w:t>
      </w:r>
      <w:r>
        <w:rPr>
          <w:spacing w:val="-6"/>
        </w:rPr>
        <w:t xml:space="preserve"> </w:t>
      </w:r>
      <w:r>
        <w:t>in</w:t>
      </w:r>
      <w:r>
        <w:rPr>
          <w:spacing w:val="-6"/>
        </w:rPr>
        <w:t xml:space="preserve"> </w:t>
      </w:r>
      <w:r>
        <w:t>their</w:t>
      </w:r>
      <w:r>
        <w:rPr>
          <w:spacing w:val="-6"/>
        </w:rPr>
        <w:t xml:space="preserve"> </w:t>
      </w:r>
      <w:r>
        <w:t>order</w:t>
      </w:r>
      <w:r>
        <w:rPr>
          <w:spacing w:val="-6"/>
        </w:rPr>
        <w:t xml:space="preserve"> </w:t>
      </w:r>
      <w:r>
        <w:t>of</w:t>
      </w:r>
      <w:r>
        <w:rPr>
          <w:spacing w:val="-6"/>
        </w:rPr>
        <w:t xml:space="preserve"> </w:t>
      </w:r>
      <w:r>
        <w:t>selection.</w:t>
      </w:r>
      <w:r>
        <w:rPr>
          <w:spacing w:val="-10"/>
        </w:rPr>
        <w:t xml:space="preserve"> </w:t>
      </w:r>
      <w:r>
        <w:t>The</w:t>
      </w:r>
      <w:r>
        <w:rPr>
          <w:spacing w:val="-6"/>
        </w:rPr>
        <w:t xml:space="preserve"> </w:t>
      </w:r>
      <w:r>
        <w:t>first</w:t>
      </w:r>
      <w:r>
        <w:rPr>
          <w:spacing w:val="-6"/>
        </w:rPr>
        <w:t xml:space="preserve"> </w:t>
      </w:r>
      <w:r>
        <w:t>two</w:t>
      </w:r>
      <w:r>
        <w:rPr>
          <w:spacing w:val="-6"/>
        </w:rPr>
        <w:t xml:space="preserve"> </w:t>
      </w:r>
      <w:r>
        <w:t>units</w:t>
      </w:r>
      <w:r>
        <w:rPr>
          <w:spacing w:val="-6"/>
        </w:rPr>
        <w:t xml:space="preserve"> </w:t>
      </w:r>
      <w:r>
        <w:t>were</w:t>
      </w:r>
      <w:r>
        <w:rPr>
          <w:spacing w:val="-6"/>
        </w:rPr>
        <w:t xml:space="preserve"> </w:t>
      </w:r>
      <w:r>
        <w:t>in</w:t>
      </w:r>
      <w:r>
        <w:rPr>
          <w:spacing w:val="-6"/>
        </w:rPr>
        <w:t xml:space="preserve"> </w:t>
      </w:r>
      <w:r>
        <w:t>the</w:t>
      </w:r>
      <w:r>
        <w:rPr>
          <w:spacing w:val="-6"/>
        </w:rPr>
        <w:t xml:space="preserve"> </w:t>
      </w:r>
      <w:r>
        <w:t>first</w:t>
      </w:r>
      <w:r>
        <w:rPr>
          <w:spacing w:val="-6"/>
        </w:rPr>
        <w:t xml:space="preserve"> </w:t>
      </w:r>
      <w:r>
        <w:t>preliminary variance stratum; the next two units were in the second preliminary variance stratum, and so on, resulting in 54 preliminary variance strata with two sample units each (doublets).</w:t>
      </w:r>
      <w:r>
        <w:rPr>
          <w:spacing w:val="-9"/>
        </w:rPr>
        <w:t xml:space="preserve"> </w:t>
      </w:r>
      <w:r>
        <w:t>The</w:t>
      </w:r>
      <w:r>
        <w:rPr>
          <w:spacing w:val="-6"/>
        </w:rPr>
        <w:t xml:space="preserve"> </w:t>
      </w:r>
      <w:r>
        <w:t>last</w:t>
      </w:r>
      <w:r>
        <w:rPr>
          <w:spacing w:val="-6"/>
        </w:rPr>
        <w:t xml:space="preserve"> </w:t>
      </w:r>
      <w:r>
        <w:t>three</w:t>
      </w:r>
      <w:r>
        <w:rPr>
          <w:spacing w:val="-6"/>
        </w:rPr>
        <w:t xml:space="preserve"> </w:t>
      </w:r>
      <w:r>
        <w:t>sample</w:t>
      </w:r>
      <w:r>
        <w:rPr>
          <w:spacing w:val="-6"/>
        </w:rPr>
        <w:t xml:space="preserve"> </w:t>
      </w:r>
      <w:r>
        <w:t>units</w:t>
      </w:r>
      <w:r>
        <w:rPr>
          <w:spacing w:val="-6"/>
        </w:rPr>
        <w:t xml:space="preserve"> </w:t>
      </w:r>
      <w:r>
        <w:t>were</w:t>
      </w:r>
      <w:r>
        <w:rPr>
          <w:spacing w:val="-6"/>
        </w:rPr>
        <w:t xml:space="preserve"> </w:t>
      </w:r>
      <w:r>
        <w:t>in</w:t>
      </w:r>
      <w:r>
        <w:rPr>
          <w:spacing w:val="-6"/>
        </w:rPr>
        <w:t xml:space="preserve"> </w:t>
      </w:r>
      <w:r>
        <w:t>the</w:t>
      </w:r>
      <w:r>
        <w:rPr>
          <w:spacing w:val="-6"/>
        </w:rPr>
        <w:t xml:space="preserve"> </w:t>
      </w:r>
      <w:r>
        <w:t>55th</w:t>
      </w:r>
      <w:r>
        <w:rPr>
          <w:spacing w:val="-6"/>
        </w:rPr>
        <w:t xml:space="preserve"> </w:t>
      </w:r>
      <w:r>
        <w:t>preliminary</w:t>
      </w:r>
      <w:r>
        <w:rPr>
          <w:spacing w:val="-6"/>
        </w:rPr>
        <w:t xml:space="preserve"> </w:t>
      </w:r>
      <w:r>
        <w:t>variance</w:t>
      </w:r>
      <w:r>
        <w:rPr>
          <w:spacing w:val="-6"/>
        </w:rPr>
        <w:t xml:space="preserve"> </w:t>
      </w:r>
      <w:r>
        <w:t>stratum</w:t>
      </w:r>
      <w:r>
        <w:rPr>
          <w:spacing w:val="-6"/>
        </w:rPr>
        <w:t xml:space="preserve"> </w:t>
      </w:r>
      <w:r>
        <w:t>(triplet).</w:t>
      </w:r>
      <w:r>
        <w:rPr>
          <w:spacing w:val="-6"/>
        </w:rPr>
        <w:t xml:space="preserve"> </w:t>
      </w:r>
      <w:r>
        <w:t>Since</w:t>
      </w:r>
      <w:r>
        <w:rPr>
          <w:spacing w:val="-6"/>
        </w:rPr>
        <w:t xml:space="preserve"> </w:t>
      </w:r>
      <w:r>
        <w:t>there</w:t>
      </w:r>
      <w:r>
        <w:rPr>
          <w:spacing w:val="-6"/>
        </w:rPr>
        <w:t xml:space="preserve"> </w:t>
      </w:r>
      <w:r>
        <w:t>are</w:t>
      </w:r>
      <w:r>
        <w:rPr>
          <w:spacing w:val="-6"/>
        </w:rPr>
        <w:t xml:space="preserve"> </w:t>
      </w:r>
      <w:r>
        <w:t>no</w:t>
      </w:r>
      <w:r>
        <w:rPr>
          <w:spacing w:val="-6"/>
        </w:rPr>
        <w:t xml:space="preserve"> </w:t>
      </w:r>
      <w:r>
        <w:t>more</w:t>
      </w:r>
      <w:r>
        <w:rPr>
          <w:spacing w:val="-6"/>
        </w:rPr>
        <w:t xml:space="preserve"> </w:t>
      </w:r>
      <w:r>
        <w:t>than</w:t>
      </w:r>
      <w:r>
        <w:rPr>
          <w:spacing w:val="-6"/>
        </w:rPr>
        <w:t xml:space="preserve"> </w:t>
      </w:r>
      <w:r>
        <w:t>62</w:t>
      </w:r>
      <w:r>
        <w:rPr>
          <w:spacing w:val="-6"/>
        </w:rPr>
        <w:t xml:space="preserve"> </w:t>
      </w:r>
      <w:r>
        <w:t>preliminary</w:t>
      </w:r>
      <w:r>
        <w:rPr>
          <w:spacing w:val="-6"/>
        </w:rPr>
        <w:t xml:space="preserve"> </w:t>
      </w:r>
      <w:r>
        <w:t>variance</w:t>
      </w:r>
      <w:r>
        <w:rPr>
          <w:spacing w:val="-6"/>
        </w:rPr>
        <w:t xml:space="preserve"> </w:t>
      </w:r>
      <w:r>
        <w:t>strata,</w:t>
      </w:r>
      <w:r>
        <w:rPr>
          <w:spacing w:val="-6"/>
        </w:rPr>
        <w:t xml:space="preserve"> </w:t>
      </w:r>
      <w:r>
        <w:t>these</w:t>
      </w:r>
      <w:r>
        <w:rPr>
          <w:spacing w:val="-6"/>
        </w:rPr>
        <w:t xml:space="preserve"> </w:t>
      </w:r>
      <w:r>
        <w:t>were</w:t>
      </w:r>
      <w:r>
        <w:rPr>
          <w:spacing w:val="-6"/>
        </w:rPr>
        <w:t xml:space="preserve"> </w:t>
      </w:r>
      <w:r>
        <w:t>also</w:t>
      </w:r>
      <w:r>
        <w:rPr>
          <w:spacing w:val="-6"/>
        </w:rPr>
        <w:t xml:space="preserve"> </w:t>
      </w:r>
      <w:r>
        <w:t>the final variance strata.</w:t>
      </w:r>
    </w:p>
    <w:p w:rsidR="003F5784" w14:paraId="684DE4D9" w14:textId="77777777">
      <w:pPr>
        <w:pStyle w:val="BodyText"/>
        <w:spacing w:before="210" w:line="232" w:lineRule="auto"/>
        <w:ind w:left="109"/>
      </w:pPr>
      <w:r>
        <w:t>Within</w:t>
      </w:r>
      <w:r>
        <w:rPr>
          <w:spacing w:val="-6"/>
        </w:rPr>
        <w:t xml:space="preserve"> </w:t>
      </w:r>
      <w:r>
        <w:t>each</w:t>
      </w:r>
      <w:r>
        <w:rPr>
          <w:spacing w:val="-6"/>
        </w:rPr>
        <w:t xml:space="preserve"> </w:t>
      </w:r>
      <w:r>
        <w:t>preliminary</w:t>
      </w:r>
      <w:r>
        <w:rPr>
          <w:spacing w:val="-6"/>
        </w:rPr>
        <w:t xml:space="preserve"> </w:t>
      </w:r>
      <w:r>
        <w:t>variance</w:t>
      </w:r>
      <w:r>
        <w:rPr>
          <w:spacing w:val="-6"/>
        </w:rPr>
        <w:t xml:space="preserve"> </w:t>
      </w:r>
      <w:r>
        <w:t>stratum</w:t>
      </w:r>
      <w:r>
        <w:rPr>
          <w:spacing w:val="-6"/>
        </w:rPr>
        <w:t xml:space="preserve"> </w:t>
      </w:r>
      <w:r>
        <w:t>containing</w:t>
      </w:r>
      <w:r>
        <w:rPr>
          <w:spacing w:val="-6"/>
        </w:rPr>
        <w:t xml:space="preserve"> </w:t>
      </w:r>
      <w:r>
        <w:t>a</w:t>
      </w:r>
      <w:r>
        <w:rPr>
          <w:spacing w:val="-6"/>
        </w:rPr>
        <w:t xml:space="preserve"> </w:t>
      </w:r>
      <w:r>
        <w:t>pair</w:t>
      </w:r>
      <w:r>
        <w:rPr>
          <w:spacing w:val="-6"/>
        </w:rPr>
        <w:t xml:space="preserve"> </w:t>
      </w:r>
      <w:r>
        <w:t>of</w:t>
      </w:r>
      <w:r>
        <w:rPr>
          <w:spacing w:val="-6"/>
        </w:rPr>
        <w:t xml:space="preserve"> </w:t>
      </w:r>
      <w:r>
        <w:t>sampling</w:t>
      </w:r>
      <w:r>
        <w:rPr>
          <w:spacing w:val="-6"/>
        </w:rPr>
        <w:t xml:space="preserve"> </w:t>
      </w:r>
      <w:r>
        <w:t>units,</w:t>
      </w:r>
      <w:r>
        <w:rPr>
          <w:spacing w:val="-6"/>
        </w:rPr>
        <w:t xml:space="preserve"> </w:t>
      </w:r>
      <w:r>
        <w:t>one</w:t>
      </w:r>
      <w:r>
        <w:rPr>
          <w:spacing w:val="-6"/>
        </w:rPr>
        <w:t xml:space="preserve"> </w:t>
      </w:r>
      <w:r>
        <w:t>sampling</w:t>
      </w:r>
      <w:r>
        <w:rPr>
          <w:spacing w:val="-6"/>
        </w:rPr>
        <w:t xml:space="preserve"> </w:t>
      </w:r>
      <w:r>
        <w:t>unit</w:t>
      </w:r>
      <w:r>
        <w:rPr>
          <w:spacing w:val="-6"/>
        </w:rPr>
        <w:t xml:space="preserve"> </w:t>
      </w:r>
      <w:r>
        <w:t>was</w:t>
      </w:r>
      <w:r>
        <w:rPr>
          <w:spacing w:val="-6"/>
        </w:rPr>
        <w:t xml:space="preserve"> </w:t>
      </w:r>
      <w:r>
        <w:t>randomly</w:t>
      </w:r>
      <w:r>
        <w:rPr>
          <w:spacing w:val="-6"/>
        </w:rPr>
        <w:t xml:space="preserve"> </w:t>
      </w:r>
      <w:r>
        <w:t>assigned</w:t>
      </w:r>
      <w:r>
        <w:rPr>
          <w:spacing w:val="-6"/>
        </w:rPr>
        <w:t xml:space="preserve"> </w:t>
      </w:r>
      <w:r>
        <w:t>as</w:t>
      </w:r>
      <w:r>
        <w:rPr>
          <w:spacing w:val="-6"/>
        </w:rPr>
        <w:t xml:space="preserve"> </w:t>
      </w:r>
      <w:r>
        <w:t>the</w:t>
      </w:r>
      <w:r>
        <w:rPr>
          <w:spacing w:val="-6"/>
        </w:rPr>
        <w:t xml:space="preserve"> </w:t>
      </w:r>
      <w:r>
        <w:t>first</w:t>
      </w:r>
      <w:r>
        <w:rPr>
          <w:spacing w:val="-6"/>
        </w:rPr>
        <w:t xml:space="preserve"> </w:t>
      </w:r>
      <w:r>
        <w:t>variance</w:t>
      </w:r>
      <w:r>
        <w:rPr>
          <w:spacing w:val="-6"/>
        </w:rPr>
        <w:t xml:space="preserve"> </w:t>
      </w:r>
      <w:r>
        <w:t>unit</w:t>
      </w:r>
      <w:r>
        <w:rPr>
          <w:spacing w:val="-6"/>
        </w:rPr>
        <w:t xml:space="preserve"> </w:t>
      </w:r>
      <w:r>
        <w:t>and</w:t>
      </w:r>
      <w:r>
        <w:rPr>
          <w:spacing w:val="-6"/>
        </w:rPr>
        <w:t xml:space="preserve"> </w:t>
      </w:r>
      <w:r>
        <w:t>the</w:t>
      </w:r>
      <w:r>
        <w:rPr>
          <w:spacing w:val="-6"/>
        </w:rPr>
        <w:t xml:space="preserve"> </w:t>
      </w:r>
      <w:r>
        <w:t>other</w:t>
      </w:r>
      <w:r>
        <w:rPr>
          <w:spacing w:val="-6"/>
        </w:rPr>
        <w:t xml:space="preserve"> </w:t>
      </w:r>
      <w:r>
        <w:t>as</w:t>
      </w:r>
      <w:r>
        <w:rPr>
          <w:spacing w:val="-6"/>
        </w:rPr>
        <w:t xml:space="preserve"> </w:t>
      </w:r>
      <w:r>
        <w:t>the</w:t>
      </w:r>
      <w:r>
        <w:rPr>
          <w:spacing w:val="-6"/>
        </w:rPr>
        <w:t xml:space="preserve"> </w:t>
      </w:r>
      <w:r>
        <w:t>second variance unit.</w:t>
      </w:r>
      <w:r>
        <w:rPr>
          <w:spacing w:val="-3"/>
        </w:rPr>
        <w:t xml:space="preserve"> </w:t>
      </w:r>
      <w:r>
        <w:t>Within each preliminary variance stratum containing three sampling units, the three first-stage units were randomly assigned variance units 1 through 3.</w:t>
      </w:r>
    </w:p>
    <w:p w:rsidR="003F5784" w14:paraId="0F513F43" w14:textId="77777777">
      <w:pPr>
        <w:spacing w:line="232" w:lineRule="auto"/>
        <w:sectPr>
          <w:pgSz w:w="15840" w:h="12240" w:orient="landscape"/>
          <w:pgMar w:top="480" w:right="440" w:bottom="460" w:left="460" w:header="284" w:footer="275" w:gutter="0"/>
          <w:cols w:space="720"/>
        </w:sectPr>
      </w:pPr>
    </w:p>
    <w:p w:rsidR="003F5784" w14:paraId="3AF4AC6E" w14:textId="77777777">
      <w:pPr>
        <w:pStyle w:val="Heading2"/>
        <w:spacing w:before="72"/>
        <w:ind w:left="109"/>
        <w:jc w:val="both"/>
      </w:pPr>
      <w:r>
        <w:t>Mathematics</w:t>
      </w:r>
      <w:r>
        <w:rPr>
          <w:spacing w:val="-12"/>
        </w:rPr>
        <w:t xml:space="preserve"> </w:t>
      </w:r>
      <w:r>
        <w:t>and</w:t>
      </w:r>
      <w:r>
        <w:rPr>
          <w:spacing w:val="-8"/>
        </w:rPr>
        <w:t xml:space="preserve"> </w:t>
      </w:r>
      <w:r>
        <w:t>Reading</w:t>
      </w:r>
      <w:r>
        <w:rPr>
          <w:spacing w:val="-13"/>
        </w:rPr>
        <w:t xml:space="preserve"> </w:t>
      </w:r>
      <w:r>
        <w:t>Assessments</w:t>
      </w:r>
      <w:r>
        <w:rPr>
          <w:spacing w:val="-8"/>
        </w:rPr>
        <w:t xml:space="preserve"> </w:t>
      </w:r>
      <w:r>
        <w:t>(Grades</w:t>
      </w:r>
      <w:r>
        <w:rPr>
          <w:spacing w:val="-7"/>
        </w:rPr>
        <w:t xml:space="preserve"> </w:t>
      </w:r>
      <w:r>
        <w:t>4</w:t>
      </w:r>
      <w:r>
        <w:rPr>
          <w:spacing w:val="-8"/>
        </w:rPr>
        <w:t xml:space="preserve"> </w:t>
      </w:r>
      <w:r>
        <w:t>and</w:t>
      </w:r>
      <w:r>
        <w:rPr>
          <w:spacing w:val="-8"/>
        </w:rPr>
        <w:t xml:space="preserve"> </w:t>
      </w:r>
      <w:r>
        <w:rPr>
          <w:spacing w:val="-5"/>
        </w:rPr>
        <w:t>8)</w:t>
      </w:r>
    </w:p>
    <w:p w:rsidR="003F5784" w14:paraId="5787CF8D" w14:textId="77777777">
      <w:pPr>
        <w:pStyle w:val="BodyText"/>
        <w:spacing w:before="208" w:line="232" w:lineRule="auto"/>
        <w:ind w:left="109" w:right="231"/>
        <w:jc w:val="both"/>
      </w:pPr>
      <w:r>
        <w:t>At</w:t>
      </w:r>
      <w:r>
        <w:rPr>
          <w:spacing w:val="-6"/>
        </w:rPr>
        <w:t xml:space="preserve"> </w:t>
      </w:r>
      <w:r>
        <w:t>the</w:t>
      </w:r>
      <w:r>
        <w:rPr>
          <w:spacing w:val="-6"/>
        </w:rPr>
        <w:t xml:space="preserve"> </w:t>
      </w:r>
      <w:r>
        <w:t>school</w:t>
      </w:r>
      <w:r>
        <w:rPr>
          <w:spacing w:val="-6"/>
        </w:rPr>
        <w:t xml:space="preserve"> </w:t>
      </w:r>
      <w:r>
        <w:t>level</w:t>
      </w:r>
      <w:r>
        <w:rPr>
          <w:spacing w:val="-6"/>
        </w:rPr>
        <w:t xml:space="preserve"> </w:t>
      </w:r>
      <w:r>
        <w:t>for</w:t>
      </w:r>
      <w:r>
        <w:rPr>
          <w:spacing w:val="-6"/>
        </w:rPr>
        <w:t xml:space="preserve"> </w:t>
      </w:r>
      <w:r>
        <w:t>these</w:t>
      </w:r>
      <w:r>
        <w:rPr>
          <w:spacing w:val="-6"/>
        </w:rPr>
        <w:t xml:space="preserve"> </w:t>
      </w:r>
      <w:r>
        <w:t>samples,</w:t>
      </w:r>
      <w:r>
        <w:rPr>
          <w:spacing w:val="-6"/>
        </w:rPr>
        <w:t xml:space="preserve"> </w:t>
      </w:r>
      <w:r>
        <w:t>formation</w:t>
      </w:r>
      <w:r>
        <w:rPr>
          <w:spacing w:val="-6"/>
        </w:rPr>
        <w:t xml:space="preserve"> </w:t>
      </w:r>
      <w:r>
        <w:t>of</w:t>
      </w:r>
      <w:r>
        <w:rPr>
          <w:spacing w:val="-6"/>
        </w:rPr>
        <w:t xml:space="preserve"> </w:t>
      </w:r>
      <w:r>
        <w:t>preliminary</w:t>
      </w:r>
      <w:r>
        <w:rPr>
          <w:spacing w:val="-6"/>
        </w:rPr>
        <w:t xml:space="preserve"> </w:t>
      </w:r>
      <w:r>
        <w:t>variance</w:t>
      </w:r>
      <w:r>
        <w:rPr>
          <w:spacing w:val="-6"/>
        </w:rPr>
        <w:t xml:space="preserve"> </w:t>
      </w:r>
      <w:r>
        <w:t>strata</w:t>
      </w:r>
      <w:r>
        <w:rPr>
          <w:spacing w:val="-6"/>
        </w:rPr>
        <w:t xml:space="preserve"> </w:t>
      </w:r>
      <w:r>
        <w:t>did</w:t>
      </w:r>
      <w:r>
        <w:rPr>
          <w:spacing w:val="-6"/>
        </w:rPr>
        <w:t xml:space="preserve"> </w:t>
      </w:r>
      <w:r>
        <w:t>not</w:t>
      </w:r>
      <w:r>
        <w:rPr>
          <w:spacing w:val="-6"/>
        </w:rPr>
        <w:t xml:space="preserve"> </w:t>
      </w:r>
      <w:r>
        <w:t>pertain</w:t>
      </w:r>
      <w:r>
        <w:rPr>
          <w:spacing w:val="-6"/>
        </w:rPr>
        <w:t xml:space="preserve"> </w:t>
      </w:r>
      <w:r>
        <w:t>to</w:t>
      </w:r>
      <w:r>
        <w:rPr>
          <w:spacing w:val="-6"/>
        </w:rPr>
        <w:t xml:space="preserve"> </w:t>
      </w:r>
      <w:r>
        <w:t>certainty</w:t>
      </w:r>
      <w:r>
        <w:rPr>
          <w:spacing w:val="-6"/>
        </w:rPr>
        <w:t xml:space="preserve"> </w:t>
      </w:r>
      <w:r>
        <w:t>schools,</w:t>
      </w:r>
      <w:r>
        <w:rPr>
          <w:spacing w:val="-6"/>
        </w:rPr>
        <w:t xml:space="preserve"> </w:t>
      </w:r>
      <w:r>
        <w:t>since</w:t>
      </w:r>
      <w:r>
        <w:rPr>
          <w:spacing w:val="-6"/>
        </w:rPr>
        <w:t xml:space="preserve"> </w:t>
      </w:r>
      <w:r>
        <w:t>they</w:t>
      </w:r>
      <w:r>
        <w:rPr>
          <w:spacing w:val="-6"/>
        </w:rPr>
        <w:t xml:space="preserve"> </w:t>
      </w:r>
      <w:r>
        <w:t>are</w:t>
      </w:r>
      <w:r>
        <w:rPr>
          <w:spacing w:val="-6"/>
        </w:rPr>
        <w:t xml:space="preserve"> </w:t>
      </w:r>
      <w:r>
        <w:t>not</w:t>
      </w:r>
      <w:r>
        <w:rPr>
          <w:spacing w:val="-6"/>
        </w:rPr>
        <w:t xml:space="preserve"> </w:t>
      </w:r>
      <w:r>
        <w:t>subject</w:t>
      </w:r>
      <w:r>
        <w:rPr>
          <w:spacing w:val="-6"/>
        </w:rPr>
        <w:t xml:space="preserve"> </w:t>
      </w:r>
      <w:r>
        <w:t>to</w:t>
      </w:r>
      <w:r>
        <w:rPr>
          <w:spacing w:val="-6"/>
        </w:rPr>
        <w:t xml:space="preserve"> </w:t>
      </w:r>
      <w:r>
        <w:t>sampling</w:t>
      </w:r>
      <w:r>
        <w:rPr>
          <w:spacing w:val="-6"/>
        </w:rPr>
        <w:t xml:space="preserve"> </w:t>
      </w:r>
      <w:r>
        <w:t>variability,</w:t>
      </w:r>
      <w:r>
        <w:rPr>
          <w:spacing w:val="-6"/>
        </w:rPr>
        <w:t xml:space="preserve"> </w:t>
      </w:r>
      <w:r>
        <w:t>but</w:t>
      </w:r>
      <w:r>
        <w:rPr>
          <w:spacing w:val="-6"/>
        </w:rPr>
        <w:t xml:space="preserve"> </w:t>
      </w:r>
      <w:r>
        <w:t>only</w:t>
      </w:r>
      <w:r>
        <w:rPr>
          <w:spacing w:val="-6"/>
        </w:rPr>
        <w:t xml:space="preserve"> </w:t>
      </w:r>
      <w:r>
        <w:t>to noncertainty</w:t>
      </w:r>
      <w:r>
        <w:rPr>
          <w:spacing w:val="-5"/>
        </w:rPr>
        <w:t xml:space="preserve"> </w:t>
      </w:r>
      <w:r>
        <w:t>schools.</w:t>
      </w:r>
      <w:r>
        <w:rPr>
          <w:spacing w:val="-9"/>
        </w:rPr>
        <w:t xml:space="preserve"> </w:t>
      </w:r>
      <w:r>
        <w:t>The</w:t>
      </w:r>
      <w:r>
        <w:rPr>
          <w:spacing w:val="-5"/>
        </w:rPr>
        <w:t xml:space="preserve"> </w:t>
      </w:r>
      <w:r>
        <w:t>primary</w:t>
      </w:r>
      <w:r>
        <w:rPr>
          <w:spacing w:val="-5"/>
        </w:rPr>
        <w:t xml:space="preserve"> </w:t>
      </w:r>
      <w:r>
        <w:t>stratum</w:t>
      </w:r>
      <w:r>
        <w:rPr>
          <w:spacing w:val="-5"/>
        </w:rPr>
        <w:t xml:space="preserve"> </w:t>
      </w:r>
      <w:r>
        <w:t>for</w:t>
      </w:r>
      <w:r>
        <w:rPr>
          <w:spacing w:val="-5"/>
        </w:rPr>
        <w:t xml:space="preserve"> </w:t>
      </w:r>
      <w:r>
        <w:t>noncertainty</w:t>
      </w:r>
      <w:r>
        <w:rPr>
          <w:spacing w:val="-5"/>
        </w:rPr>
        <w:t xml:space="preserve"> </w:t>
      </w:r>
      <w:r>
        <w:t>schools</w:t>
      </w:r>
      <w:r>
        <w:rPr>
          <w:spacing w:val="-5"/>
        </w:rPr>
        <w:t xml:space="preserve"> </w:t>
      </w:r>
      <w:r>
        <w:t>was</w:t>
      </w:r>
      <w:r>
        <w:rPr>
          <w:spacing w:val="-5"/>
        </w:rPr>
        <w:t xml:space="preserve"> </w:t>
      </w:r>
      <w:r>
        <w:t>the</w:t>
      </w:r>
      <w:r>
        <w:rPr>
          <w:spacing w:val="-5"/>
        </w:rPr>
        <w:t xml:space="preserve"> </w:t>
      </w:r>
      <w:r>
        <w:t>highest</w:t>
      </w:r>
      <w:r>
        <w:rPr>
          <w:spacing w:val="-5"/>
        </w:rPr>
        <w:t xml:space="preserve"> </w:t>
      </w:r>
      <w:r>
        <w:t>school-level</w:t>
      </w:r>
      <w:r>
        <w:rPr>
          <w:spacing w:val="-5"/>
        </w:rPr>
        <w:t xml:space="preserve"> </w:t>
      </w:r>
      <w:r>
        <w:t>sampling</w:t>
      </w:r>
      <w:r>
        <w:rPr>
          <w:spacing w:val="-5"/>
        </w:rPr>
        <w:t xml:space="preserve"> </w:t>
      </w:r>
      <w:r>
        <w:t>stratum</w:t>
      </w:r>
      <w:r>
        <w:rPr>
          <w:spacing w:val="-5"/>
        </w:rPr>
        <w:t xml:space="preserve"> </w:t>
      </w:r>
      <w:r>
        <w:t>variable</w:t>
      </w:r>
      <w:r>
        <w:rPr>
          <w:spacing w:val="-5"/>
        </w:rPr>
        <w:t xml:space="preserve"> </w:t>
      </w:r>
      <w:r>
        <w:t>listed</w:t>
      </w:r>
      <w:r>
        <w:rPr>
          <w:spacing w:val="-5"/>
        </w:rPr>
        <w:t xml:space="preserve"> </w:t>
      </w:r>
      <w:r>
        <w:t>below,</w:t>
      </w:r>
      <w:r>
        <w:rPr>
          <w:spacing w:val="-5"/>
        </w:rPr>
        <w:t xml:space="preserve"> </w:t>
      </w:r>
      <w:r>
        <w:t>and</w:t>
      </w:r>
      <w:r>
        <w:rPr>
          <w:spacing w:val="-5"/>
        </w:rPr>
        <w:t xml:space="preserve"> </w:t>
      </w:r>
      <w:r>
        <w:t>the</w:t>
      </w:r>
      <w:r>
        <w:rPr>
          <w:spacing w:val="-5"/>
        </w:rPr>
        <w:t xml:space="preserve"> </w:t>
      </w:r>
      <w:r>
        <w:t>order</w:t>
      </w:r>
      <w:r>
        <w:rPr>
          <w:spacing w:val="-5"/>
        </w:rPr>
        <w:t xml:space="preserve"> </w:t>
      </w:r>
      <w:r>
        <w:t>of</w:t>
      </w:r>
      <w:r>
        <w:rPr>
          <w:spacing w:val="-5"/>
        </w:rPr>
        <w:t xml:space="preserve"> </w:t>
      </w:r>
      <w:r>
        <w:t>selection</w:t>
      </w:r>
      <w:r>
        <w:rPr>
          <w:spacing w:val="-5"/>
        </w:rPr>
        <w:t xml:space="preserve"> </w:t>
      </w:r>
      <w:r>
        <w:t>was</w:t>
      </w:r>
      <w:r>
        <w:rPr>
          <w:spacing w:val="-5"/>
        </w:rPr>
        <w:t xml:space="preserve"> </w:t>
      </w:r>
      <w:r>
        <w:t>defined by sort order on the school sampling frame.</w:t>
      </w:r>
    </w:p>
    <w:p w:rsidR="003F5784" w14:paraId="10323B07" w14:textId="77777777">
      <w:pPr>
        <w:pStyle w:val="BodyText"/>
        <w:spacing w:before="203" w:line="439" w:lineRule="auto"/>
        <w:ind w:left="422" w:right="686"/>
        <w:jc w:val="both"/>
      </w:pPr>
      <w:r>
        <w:rPr>
          <w:noProof/>
          <w:position w:val="3"/>
        </w:rPr>
        <w:drawing>
          <wp:inline distT="0" distB="0" distL="0" distR="0">
            <wp:extent cx="41379" cy="41378"/>
            <wp:effectExtent l="0" t="0" r="0" b="0"/>
            <wp:docPr id="658" name="Image 658"/>
            <wp:cNvGraphicFramePr/>
            <a:graphic xmlns:a="http://schemas.openxmlformats.org/drawingml/2006/main">
              <a:graphicData uri="http://schemas.openxmlformats.org/drawingml/2006/picture">
                <pic:pic xmlns:pic="http://schemas.openxmlformats.org/drawingml/2006/picture">
                  <pic:nvPicPr>
                    <pic:cNvPr id="658" name="Image 658"/>
                    <pic:cNvPicPr/>
                  </pic:nvPicPr>
                  <pic:blipFill>
                    <a:blip xmlns:r="http://schemas.openxmlformats.org/officeDocument/2006/relationships" r:embed="rId525" cstate="print"/>
                    <a:stretch>
                      <a:fillRect/>
                    </a:stretch>
                  </pic:blipFill>
                  <pic:spPr>
                    <a:xfrm>
                      <a:off x="0" y="0"/>
                      <a:ext cx="41379" cy="41378"/>
                    </a:xfrm>
                    <a:prstGeom prst="rect">
                      <a:avLst/>
                    </a:prstGeom>
                  </pic:spPr>
                </pic:pic>
              </a:graphicData>
            </a:graphic>
          </wp:inline>
        </w:drawing>
      </w:r>
      <w:r>
        <w:rPr>
          <w:spacing w:val="79"/>
          <w:sz w:val="20"/>
        </w:rPr>
        <w:t xml:space="preserve"> </w:t>
      </w:r>
      <w:r>
        <w:t>Trial</w:t>
      </w:r>
      <w:r>
        <w:rPr>
          <w:spacing w:val="-6"/>
        </w:rPr>
        <w:t xml:space="preserve"> </w:t>
      </w:r>
      <w:r>
        <w:t>Urban</w:t>
      </w:r>
      <w:r>
        <w:rPr>
          <w:spacing w:val="-6"/>
        </w:rPr>
        <w:t xml:space="preserve"> </w:t>
      </w:r>
      <w:r>
        <w:t>District</w:t>
      </w:r>
      <w:r>
        <w:rPr>
          <w:spacing w:val="-14"/>
        </w:rPr>
        <w:t xml:space="preserve"> </w:t>
      </w:r>
      <w:r>
        <w:t>Assessment</w:t>
      </w:r>
      <w:r>
        <w:rPr>
          <w:spacing w:val="-5"/>
        </w:rPr>
        <w:t xml:space="preserve"> </w:t>
      </w:r>
      <w:r>
        <w:t>(TUDA)</w:t>
      </w:r>
      <w:r>
        <w:rPr>
          <w:spacing w:val="-6"/>
        </w:rPr>
        <w:t xml:space="preserve"> </w:t>
      </w:r>
      <w:r>
        <w:t>districts,</w:t>
      </w:r>
      <w:r>
        <w:rPr>
          <w:spacing w:val="-6"/>
        </w:rPr>
        <w:t xml:space="preserve"> </w:t>
      </w:r>
      <w:r>
        <w:t>remainder</w:t>
      </w:r>
      <w:r>
        <w:rPr>
          <w:spacing w:val="-6"/>
        </w:rPr>
        <w:t xml:space="preserve"> </w:t>
      </w:r>
      <w:r>
        <w:t>of</w:t>
      </w:r>
      <w:r>
        <w:rPr>
          <w:spacing w:val="-6"/>
        </w:rPr>
        <w:t xml:space="preserve"> </w:t>
      </w:r>
      <w:r>
        <w:t>states</w:t>
      </w:r>
      <w:r>
        <w:rPr>
          <w:spacing w:val="-6"/>
        </w:rPr>
        <w:t xml:space="preserve"> </w:t>
      </w:r>
      <w:r>
        <w:t>(for</w:t>
      </w:r>
      <w:r>
        <w:rPr>
          <w:spacing w:val="-6"/>
        </w:rPr>
        <w:t xml:space="preserve"> </w:t>
      </w:r>
      <w:r>
        <w:t>states</w:t>
      </w:r>
      <w:r>
        <w:rPr>
          <w:spacing w:val="-6"/>
        </w:rPr>
        <w:t xml:space="preserve"> </w:t>
      </w:r>
      <w:r>
        <w:t>with</w:t>
      </w:r>
      <w:r>
        <w:rPr>
          <w:spacing w:val="-9"/>
        </w:rPr>
        <w:t xml:space="preserve"> </w:t>
      </w:r>
      <w:r>
        <w:t>TUDAs),</w:t>
      </w:r>
      <w:r>
        <w:rPr>
          <w:spacing w:val="-6"/>
        </w:rPr>
        <w:t xml:space="preserve"> </w:t>
      </w:r>
      <w:r>
        <w:t>or</w:t>
      </w:r>
      <w:r>
        <w:rPr>
          <w:spacing w:val="-6"/>
        </w:rPr>
        <w:t xml:space="preserve"> </w:t>
      </w:r>
      <w:r>
        <w:t>entire</w:t>
      </w:r>
      <w:r>
        <w:rPr>
          <w:spacing w:val="-6"/>
        </w:rPr>
        <w:t xml:space="preserve"> </w:t>
      </w:r>
      <w:r>
        <w:t>states</w:t>
      </w:r>
      <w:r>
        <w:rPr>
          <w:spacing w:val="-6"/>
        </w:rPr>
        <w:t xml:space="preserve"> </w:t>
      </w:r>
      <w:r>
        <w:t>for</w:t>
      </w:r>
      <w:r>
        <w:rPr>
          <w:spacing w:val="-6"/>
        </w:rPr>
        <w:t xml:space="preserve"> </w:t>
      </w:r>
      <w:r>
        <w:t>the</w:t>
      </w:r>
      <w:r>
        <w:rPr>
          <w:spacing w:val="-6"/>
        </w:rPr>
        <w:t xml:space="preserve"> </w:t>
      </w:r>
      <w:r>
        <w:t>public</w:t>
      </w:r>
      <w:r>
        <w:rPr>
          <w:spacing w:val="-6"/>
        </w:rPr>
        <w:t xml:space="preserve"> </w:t>
      </w:r>
      <w:r>
        <w:t>school</w:t>
      </w:r>
      <w:r>
        <w:rPr>
          <w:spacing w:val="-6"/>
        </w:rPr>
        <w:t xml:space="preserve"> </w:t>
      </w:r>
      <w:r>
        <w:t>samples</w:t>
      </w:r>
      <w:r>
        <w:rPr>
          <w:spacing w:val="-6"/>
        </w:rPr>
        <w:t xml:space="preserve"> </w:t>
      </w:r>
      <w:r>
        <w:t>at</w:t>
      </w:r>
      <w:r>
        <w:rPr>
          <w:spacing w:val="-6"/>
        </w:rPr>
        <w:t xml:space="preserve"> </w:t>
      </w:r>
      <w:r>
        <w:t>grades</w:t>
      </w:r>
      <w:r>
        <w:rPr>
          <w:spacing w:val="-6"/>
        </w:rPr>
        <w:t xml:space="preserve"> </w:t>
      </w:r>
      <w:r>
        <w:t>4</w:t>
      </w:r>
      <w:r>
        <w:rPr>
          <w:spacing w:val="-6"/>
        </w:rPr>
        <w:t xml:space="preserve"> </w:t>
      </w:r>
      <w:r>
        <w:t>and</w:t>
      </w:r>
      <w:r>
        <w:rPr>
          <w:spacing w:val="-6"/>
        </w:rPr>
        <w:t xml:space="preserve"> </w:t>
      </w:r>
      <w:r>
        <w:t>8;</w:t>
      </w:r>
      <w:r>
        <w:rPr>
          <w:spacing w:val="-6"/>
        </w:rPr>
        <w:t xml:space="preserve"> </w:t>
      </w:r>
      <w:r>
        <w:t xml:space="preserve">and </w:t>
      </w:r>
      <w:r>
        <w:rPr>
          <w:noProof/>
          <w:position w:val="3"/>
        </w:rPr>
        <w:drawing>
          <wp:inline distT="0" distB="0" distL="0" distR="0">
            <wp:extent cx="41379" cy="41378"/>
            <wp:effectExtent l="0" t="0" r="0" b="0"/>
            <wp:docPr id="659" name="Image 659"/>
            <wp:cNvGraphicFramePr/>
            <a:graphic xmlns:a="http://schemas.openxmlformats.org/drawingml/2006/main">
              <a:graphicData uri="http://schemas.openxmlformats.org/drawingml/2006/picture">
                <pic:pic xmlns:pic="http://schemas.openxmlformats.org/drawingml/2006/picture">
                  <pic:nvPicPr>
                    <pic:cNvPr id="659" name="Image 659"/>
                    <pic:cNvPicPr/>
                  </pic:nvPicPr>
                  <pic:blipFill>
                    <a:blip xmlns:r="http://schemas.openxmlformats.org/officeDocument/2006/relationships" r:embed="rId526" cstate="print"/>
                    <a:stretch>
                      <a:fillRect/>
                    </a:stretch>
                  </pic:blipFill>
                  <pic:spPr>
                    <a:xfrm>
                      <a:off x="0" y="0"/>
                      <a:ext cx="41379" cy="41378"/>
                    </a:xfrm>
                    <a:prstGeom prst="rect">
                      <a:avLst/>
                    </a:prstGeom>
                  </pic:spPr>
                </pic:pic>
              </a:graphicData>
            </a:graphic>
          </wp:inline>
        </w:drawing>
      </w:r>
      <w:r>
        <w:rPr>
          <w:spacing w:val="80"/>
        </w:rPr>
        <w:t xml:space="preserve"> </w:t>
      </w:r>
      <w:r>
        <w:t>Private school affiliation (Catholic, non-Catholic) for the private school samples at grades 4 and 8.</w:t>
      </w:r>
    </w:p>
    <w:p w:rsidR="003F5784" w14:paraId="720F371C" w14:textId="77777777">
      <w:pPr>
        <w:pStyle w:val="BodyText"/>
        <w:spacing w:before="9" w:line="232" w:lineRule="auto"/>
        <w:ind w:left="109" w:right="134"/>
        <w:jc w:val="both"/>
      </w:pPr>
      <w:r>
        <w:t>At</w:t>
      </w:r>
      <w:r>
        <w:rPr>
          <w:spacing w:val="-5"/>
        </w:rPr>
        <w:t xml:space="preserve"> </w:t>
      </w:r>
      <w:r>
        <w:t>the</w:t>
      </w:r>
      <w:r>
        <w:rPr>
          <w:spacing w:val="-5"/>
        </w:rPr>
        <w:t xml:space="preserve"> </w:t>
      </w:r>
      <w:r>
        <w:t>student</w:t>
      </w:r>
      <w:r>
        <w:rPr>
          <w:spacing w:val="-5"/>
        </w:rPr>
        <w:t xml:space="preserve"> </w:t>
      </w:r>
      <w:r>
        <w:t>level,</w:t>
      </w:r>
      <w:r>
        <w:rPr>
          <w:spacing w:val="-5"/>
        </w:rPr>
        <w:t xml:space="preserve"> </w:t>
      </w:r>
      <w:r>
        <w:t>all</w:t>
      </w:r>
      <w:r>
        <w:rPr>
          <w:spacing w:val="-5"/>
        </w:rPr>
        <w:t xml:space="preserve"> </w:t>
      </w:r>
      <w:r>
        <w:t>students</w:t>
      </w:r>
      <w:r>
        <w:rPr>
          <w:spacing w:val="-5"/>
        </w:rPr>
        <w:t xml:space="preserve"> </w:t>
      </w:r>
      <w:r>
        <w:t>were</w:t>
      </w:r>
      <w:r>
        <w:rPr>
          <w:spacing w:val="-5"/>
        </w:rPr>
        <w:t xml:space="preserve"> </w:t>
      </w:r>
      <w:r>
        <w:t>assigned</w:t>
      </w:r>
      <w:r>
        <w:rPr>
          <w:spacing w:val="-5"/>
        </w:rPr>
        <w:t xml:space="preserve"> </w:t>
      </w:r>
      <w:r>
        <w:t>to</w:t>
      </w:r>
      <w:r>
        <w:rPr>
          <w:spacing w:val="-5"/>
        </w:rPr>
        <w:t xml:space="preserve"> </w:t>
      </w:r>
      <w:r>
        <w:t>variance</w:t>
      </w:r>
      <w:r>
        <w:rPr>
          <w:spacing w:val="-5"/>
        </w:rPr>
        <w:t xml:space="preserve"> </w:t>
      </w:r>
      <w:r>
        <w:t>strata.</w:t>
      </w:r>
      <w:r>
        <w:rPr>
          <w:spacing w:val="-9"/>
        </w:rPr>
        <w:t xml:space="preserve"> </w:t>
      </w:r>
      <w:r>
        <w:t>The</w:t>
      </w:r>
      <w:r>
        <w:rPr>
          <w:spacing w:val="-5"/>
        </w:rPr>
        <w:t xml:space="preserve"> </w:t>
      </w:r>
      <w:r>
        <w:t>primary</w:t>
      </w:r>
      <w:r>
        <w:rPr>
          <w:spacing w:val="-5"/>
        </w:rPr>
        <w:t xml:space="preserve"> </w:t>
      </w:r>
      <w:r>
        <w:t>stratum</w:t>
      </w:r>
      <w:r>
        <w:rPr>
          <w:spacing w:val="-5"/>
        </w:rPr>
        <w:t xml:space="preserve"> </w:t>
      </w:r>
      <w:r>
        <w:t>was</w:t>
      </w:r>
      <w:r>
        <w:rPr>
          <w:spacing w:val="-5"/>
        </w:rPr>
        <w:t xml:space="preserve"> </w:t>
      </w:r>
      <w:r>
        <w:t>school,</w:t>
      </w:r>
      <w:r>
        <w:rPr>
          <w:spacing w:val="-5"/>
        </w:rPr>
        <w:t xml:space="preserve"> </w:t>
      </w:r>
      <w:r>
        <w:t>and</w:t>
      </w:r>
      <w:r>
        <w:rPr>
          <w:spacing w:val="-5"/>
        </w:rPr>
        <w:t xml:space="preserve"> </w:t>
      </w:r>
      <w:r>
        <w:t>the</w:t>
      </w:r>
      <w:r>
        <w:rPr>
          <w:spacing w:val="-5"/>
        </w:rPr>
        <w:t xml:space="preserve"> </w:t>
      </w:r>
      <w:r>
        <w:t>order</w:t>
      </w:r>
      <w:r>
        <w:rPr>
          <w:spacing w:val="-5"/>
        </w:rPr>
        <w:t xml:space="preserve"> </w:t>
      </w:r>
      <w:r>
        <w:t>of</w:t>
      </w:r>
      <w:r>
        <w:rPr>
          <w:spacing w:val="-5"/>
        </w:rPr>
        <w:t xml:space="preserve"> </w:t>
      </w:r>
      <w:r>
        <w:t>selection</w:t>
      </w:r>
      <w:r>
        <w:rPr>
          <w:spacing w:val="-5"/>
        </w:rPr>
        <w:t xml:space="preserve"> </w:t>
      </w:r>
      <w:r>
        <w:t>was</w:t>
      </w:r>
      <w:r>
        <w:rPr>
          <w:spacing w:val="-5"/>
        </w:rPr>
        <w:t xml:space="preserve"> </w:t>
      </w:r>
      <w:r>
        <w:t>defined</w:t>
      </w:r>
      <w:r>
        <w:rPr>
          <w:spacing w:val="-5"/>
        </w:rPr>
        <w:t xml:space="preserve"> </w:t>
      </w:r>
      <w:r>
        <w:t>by</w:t>
      </w:r>
      <w:r>
        <w:rPr>
          <w:spacing w:val="-5"/>
        </w:rPr>
        <w:t xml:space="preserve"> </w:t>
      </w:r>
      <w:r>
        <w:t>session</w:t>
      </w:r>
      <w:r>
        <w:rPr>
          <w:spacing w:val="-5"/>
        </w:rPr>
        <w:t xml:space="preserve"> </w:t>
      </w:r>
      <w:r>
        <w:t>number</w:t>
      </w:r>
      <w:r>
        <w:rPr>
          <w:spacing w:val="-5"/>
        </w:rPr>
        <w:t xml:space="preserve"> </w:t>
      </w:r>
      <w:r>
        <w:t>and</w:t>
      </w:r>
      <w:r>
        <w:rPr>
          <w:spacing w:val="-5"/>
        </w:rPr>
        <w:t xml:space="preserve"> </w:t>
      </w:r>
      <w:r>
        <w:t>position</w:t>
      </w:r>
      <w:r>
        <w:rPr>
          <w:spacing w:val="-5"/>
        </w:rPr>
        <w:t xml:space="preserve"> </w:t>
      </w:r>
      <w:r>
        <w:t>on</w:t>
      </w:r>
      <w:r>
        <w:rPr>
          <w:spacing w:val="-5"/>
        </w:rPr>
        <w:t xml:space="preserve"> </w:t>
      </w:r>
      <w:r>
        <w:t>the administration schedule.</w:t>
      </w:r>
    </w:p>
    <w:p w:rsidR="003F5784" w14:paraId="4CC21685" w14:textId="77777777">
      <w:pPr>
        <w:pStyle w:val="BodyText"/>
        <w:spacing w:before="209" w:line="232" w:lineRule="auto"/>
        <w:ind w:left="109"/>
      </w:pPr>
      <w:r>
        <w:t>Within</w:t>
      </w:r>
      <w:r>
        <w:rPr>
          <w:spacing w:val="-6"/>
        </w:rPr>
        <w:t xml:space="preserve"> </w:t>
      </w:r>
      <w:r>
        <w:t>each</w:t>
      </w:r>
      <w:r>
        <w:rPr>
          <w:spacing w:val="-6"/>
        </w:rPr>
        <w:t xml:space="preserve"> </w:t>
      </w:r>
      <w:r>
        <w:t>pair</w:t>
      </w:r>
      <w:r>
        <w:rPr>
          <w:spacing w:val="-6"/>
        </w:rPr>
        <w:t xml:space="preserve"> </w:t>
      </w:r>
      <w:r>
        <w:t>of</w:t>
      </w:r>
      <w:r>
        <w:rPr>
          <w:spacing w:val="-6"/>
        </w:rPr>
        <w:t xml:space="preserve"> </w:t>
      </w:r>
      <w:r>
        <w:t>preliminary</w:t>
      </w:r>
      <w:r>
        <w:rPr>
          <w:spacing w:val="-6"/>
        </w:rPr>
        <w:t xml:space="preserve"> </w:t>
      </w:r>
      <w:r>
        <w:t>variance</w:t>
      </w:r>
      <w:r>
        <w:rPr>
          <w:spacing w:val="-6"/>
        </w:rPr>
        <w:t xml:space="preserve"> </w:t>
      </w:r>
      <w:r>
        <w:t>strata,</w:t>
      </w:r>
      <w:r>
        <w:rPr>
          <w:spacing w:val="-6"/>
        </w:rPr>
        <w:t xml:space="preserve"> </w:t>
      </w:r>
      <w:r>
        <w:t>one</w:t>
      </w:r>
      <w:r>
        <w:rPr>
          <w:spacing w:val="-6"/>
        </w:rPr>
        <w:t xml:space="preserve"> </w:t>
      </w:r>
      <w:r>
        <w:t>first-stage</w:t>
      </w:r>
      <w:r>
        <w:rPr>
          <w:spacing w:val="-6"/>
        </w:rPr>
        <w:t xml:space="preserve"> </w:t>
      </w:r>
      <w:r>
        <w:t>unit,</w:t>
      </w:r>
      <w:r>
        <w:rPr>
          <w:spacing w:val="-6"/>
        </w:rPr>
        <w:t xml:space="preserve"> </w:t>
      </w:r>
      <w:r>
        <w:t>designated</w:t>
      </w:r>
      <w:r>
        <w:rPr>
          <w:spacing w:val="-6"/>
        </w:rPr>
        <w:t xml:space="preserve"> </w:t>
      </w:r>
      <w:r>
        <w:t>at</w:t>
      </w:r>
      <w:r>
        <w:rPr>
          <w:spacing w:val="-6"/>
        </w:rPr>
        <w:t xml:space="preserve"> </w:t>
      </w:r>
      <w:r>
        <w:t>random,</w:t>
      </w:r>
      <w:r>
        <w:rPr>
          <w:spacing w:val="-6"/>
        </w:rPr>
        <w:t xml:space="preserve"> </w:t>
      </w:r>
      <w:r>
        <w:t>was</w:t>
      </w:r>
      <w:r>
        <w:rPr>
          <w:spacing w:val="-6"/>
        </w:rPr>
        <w:t xml:space="preserve"> </w:t>
      </w:r>
      <w:r>
        <w:t>assigned</w:t>
      </w:r>
      <w:r>
        <w:rPr>
          <w:spacing w:val="-6"/>
        </w:rPr>
        <w:t xml:space="preserve"> </w:t>
      </w:r>
      <w:r>
        <w:t>as</w:t>
      </w:r>
      <w:r>
        <w:rPr>
          <w:spacing w:val="-6"/>
        </w:rPr>
        <w:t xml:space="preserve"> </w:t>
      </w:r>
      <w:r>
        <w:t>the</w:t>
      </w:r>
      <w:r>
        <w:rPr>
          <w:spacing w:val="-6"/>
        </w:rPr>
        <w:t xml:space="preserve"> </w:t>
      </w:r>
      <w:r>
        <w:t>first</w:t>
      </w:r>
      <w:r>
        <w:rPr>
          <w:spacing w:val="-6"/>
        </w:rPr>
        <w:t xml:space="preserve"> </w:t>
      </w:r>
      <w:r>
        <w:t>variance</w:t>
      </w:r>
      <w:r>
        <w:rPr>
          <w:spacing w:val="-6"/>
        </w:rPr>
        <w:t xml:space="preserve"> </w:t>
      </w:r>
      <w:r>
        <w:t>unit</w:t>
      </w:r>
      <w:r>
        <w:rPr>
          <w:spacing w:val="-6"/>
        </w:rPr>
        <w:t xml:space="preserve"> </w:t>
      </w:r>
      <w:r>
        <w:t>and</w:t>
      </w:r>
      <w:r>
        <w:rPr>
          <w:spacing w:val="-6"/>
        </w:rPr>
        <w:t xml:space="preserve"> </w:t>
      </w:r>
      <w:r>
        <w:t>the</w:t>
      </w:r>
      <w:r>
        <w:rPr>
          <w:spacing w:val="-6"/>
        </w:rPr>
        <w:t xml:space="preserve"> </w:t>
      </w:r>
      <w:r>
        <w:t>other</w:t>
      </w:r>
      <w:r>
        <w:rPr>
          <w:spacing w:val="-6"/>
        </w:rPr>
        <w:t xml:space="preserve"> </w:t>
      </w:r>
      <w:r>
        <w:t>first-stage</w:t>
      </w:r>
      <w:r>
        <w:rPr>
          <w:spacing w:val="-6"/>
        </w:rPr>
        <w:t xml:space="preserve"> </w:t>
      </w:r>
      <w:r>
        <w:t>unit</w:t>
      </w:r>
      <w:r>
        <w:rPr>
          <w:spacing w:val="-6"/>
        </w:rPr>
        <w:t xml:space="preserve"> </w:t>
      </w:r>
      <w:r>
        <w:t>as</w:t>
      </w:r>
      <w:r>
        <w:rPr>
          <w:spacing w:val="-6"/>
        </w:rPr>
        <w:t xml:space="preserve"> </w:t>
      </w:r>
      <w:r>
        <w:t>the</w:t>
      </w:r>
      <w:r>
        <w:rPr>
          <w:spacing w:val="-6"/>
        </w:rPr>
        <w:t xml:space="preserve"> </w:t>
      </w:r>
      <w:r>
        <w:t>second variance unit.</w:t>
      </w:r>
      <w:r>
        <w:rPr>
          <w:spacing w:val="-1"/>
        </w:rPr>
        <w:t xml:space="preserve"> </w:t>
      </w:r>
      <w:r>
        <w:t>Within each triplet preliminary variance stratum, the three schools were randomly assigned variance units 1 through 3.</w:t>
      </w:r>
    </w:p>
    <w:p w:rsidR="003F5784" w14:paraId="4CE6D524" w14:textId="77777777">
      <w:pPr>
        <w:pStyle w:val="Heading2"/>
        <w:spacing w:before="203"/>
        <w:ind w:left="109"/>
      </w:pPr>
      <w:r>
        <w:t>Civics</w:t>
      </w:r>
      <w:r>
        <w:rPr>
          <w:spacing w:val="-12"/>
        </w:rPr>
        <w:t xml:space="preserve"> </w:t>
      </w:r>
      <w:r>
        <w:t>and</w:t>
      </w:r>
      <w:r>
        <w:rPr>
          <w:spacing w:val="-7"/>
        </w:rPr>
        <w:t xml:space="preserve"> </w:t>
      </w:r>
      <w:r>
        <w:t>U.S.</w:t>
      </w:r>
      <w:r>
        <w:rPr>
          <w:spacing w:val="-7"/>
        </w:rPr>
        <w:t xml:space="preserve"> </w:t>
      </w:r>
      <w:r>
        <w:t>History</w:t>
      </w:r>
      <w:r>
        <w:rPr>
          <w:spacing w:val="-14"/>
        </w:rPr>
        <w:t xml:space="preserve"> </w:t>
      </w:r>
      <w:r>
        <w:t>Assessments</w:t>
      </w:r>
      <w:r>
        <w:rPr>
          <w:spacing w:val="-7"/>
        </w:rPr>
        <w:t xml:space="preserve"> </w:t>
      </w:r>
      <w:r>
        <w:t>(Grade</w:t>
      </w:r>
      <w:r>
        <w:rPr>
          <w:spacing w:val="-7"/>
        </w:rPr>
        <w:t xml:space="preserve"> </w:t>
      </w:r>
      <w:r>
        <w:rPr>
          <w:spacing w:val="-5"/>
        </w:rPr>
        <w:t>8)</w:t>
      </w:r>
    </w:p>
    <w:p w:rsidR="003F5784" w14:paraId="4E8BA456" w14:textId="77777777">
      <w:pPr>
        <w:pStyle w:val="BodyText"/>
        <w:spacing w:before="208" w:line="232" w:lineRule="auto"/>
        <w:ind w:left="109" w:right="231"/>
        <w:jc w:val="both"/>
      </w:pPr>
      <w:r>
        <w:t>At</w:t>
      </w:r>
      <w:r>
        <w:rPr>
          <w:spacing w:val="-6"/>
        </w:rPr>
        <w:t xml:space="preserve"> </w:t>
      </w:r>
      <w:r>
        <w:t>the</w:t>
      </w:r>
      <w:r>
        <w:rPr>
          <w:spacing w:val="-6"/>
        </w:rPr>
        <w:t xml:space="preserve"> </w:t>
      </w:r>
      <w:r>
        <w:t>school</w:t>
      </w:r>
      <w:r>
        <w:rPr>
          <w:spacing w:val="-6"/>
        </w:rPr>
        <w:t xml:space="preserve"> </w:t>
      </w:r>
      <w:r>
        <w:t>level</w:t>
      </w:r>
      <w:r>
        <w:rPr>
          <w:spacing w:val="-6"/>
        </w:rPr>
        <w:t xml:space="preserve"> </w:t>
      </w:r>
      <w:r>
        <w:t>for</w:t>
      </w:r>
      <w:r>
        <w:rPr>
          <w:spacing w:val="-6"/>
        </w:rPr>
        <w:t xml:space="preserve"> </w:t>
      </w:r>
      <w:r>
        <w:t>these</w:t>
      </w:r>
      <w:r>
        <w:rPr>
          <w:spacing w:val="-6"/>
        </w:rPr>
        <w:t xml:space="preserve"> </w:t>
      </w:r>
      <w:r>
        <w:t>samples,</w:t>
      </w:r>
      <w:r>
        <w:rPr>
          <w:spacing w:val="-6"/>
        </w:rPr>
        <w:t xml:space="preserve"> </w:t>
      </w:r>
      <w:r>
        <w:t>formation</w:t>
      </w:r>
      <w:r>
        <w:rPr>
          <w:spacing w:val="-6"/>
        </w:rPr>
        <w:t xml:space="preserve"> </w:t>
      </w:r>
      <w:r>
        <w:t>of</w:t>
      </w:r>
      <w:r>
        <w:rPr>
          <w:spacing w:val="-6"/>
        </w:rPr>
        <w:t xml:space="preserve"> </w:t>
      </w:r>
      <w:r>
        <w:t>preliminary</w:t>
      </w:r>
      <w:r>
        <w:rPr>
          <w:spacing w:val="-6"/>
        </w:rPr>
        <w:t xml:space="preserve"> </w:t>
      </w:r>
      <w:r>
        <w:t>variance</w:t>
      </w:r>
      <w:r>
        <w:rPr>
          <w:spacing w:val="-6"/>
        </w:rPr>
        <w:t xml:space="preserve"> </w:t>
      </w:r>
      <w:r>
        <w:t>strata</w:t>
      </w:r>
      <w:r>
        <w:rPr>
          <w:spacing w:val="-6"/>
        </w:rPr>
        <w:t xml:space="preserve"> </w:t>
      </w:r>
      <w:r>
        <w:t>did</w:t>
      </w:r>
      <w:r>
        <w:rPr>
          <w:spacing w:val="-6"/>
        </w:rPr>
        <w:t xml:space="preserve"> </w:t>
      </w:r>
      <w:r>
        <w:t>not</w:t>
      </w:r>
      <w:r>
        <w:rPr>
          <w:spacing w:val="-6"/>
        </w:rPr>
        <w:t xml:space="preserve"> </w:t>
      </w:r>
      <w:r>
        <w:t>pertain</w:t>
      </w:r>
      <w:r>
        <w:rPr>
          <w:spacing w:val="-6"/>
        </w:rPr>
        <w:t xml:space="preserve"> </w:t>
      </w:r>
      <w:r>
        <w:t>to</w:t>
      </w:r>
      <w:r>
        <w:rPr>
          <w:spacing w:val="-6"/>
        </w:rPr>
        <w:t xml:space="preserve"> </w:t>
      </w:r>
      <w:r>
        <w:rPr>
          <w:color w:val="0066CC"/>
        </w:rPr>
        <w:t>certainty</w:t>
      </w:r>
      <w:r>
        <w:rPr>
          <w:color w:val="0066CC"/>
          <w:spacing w:val="-6"/>
        </w:rPr>
        <w:t xml:space="preserve"> </w:t>
      </w:r>
      <w:r>
        <w:t>schools,</w:t>
      </w:r>
      <w:r>
        <w:rPr>
          <w:spacing w:val="-6"/>
        </w:rPr>
        <w:t xml:space="preserve"> </w:t>
      </w:r>
      <w:r>
        <w:t>since</w:t>
      </w:r>
      <w:r>
        <w:rPr>
          <w:spacing w:val="-6"/>
        </w:rPr>
        <w:t xml:space="preserve"> </w:t>
      </w:r>
      <w:r>
        <w:t>they</w:t>
      </w:r>
      <w:r>
        <w:rPr>
          <w:spacing w:val="-6"/>
        </w:rPr>
        <w:t xml:space="preserve"> </w:t>
      </w:r>
      <w:r>
        <w:t>are</w:t>
      </w:r>
      <w:r>
        <w:rPr>
          <w:spacing w:val="-6"/>
        </w:rPr>
        <w:t xml:space="preserve"> </w:t>
      </w:r>
      <w:r>
        <w:t>not</w:t>
      </w:r>
      <w:r>
        <w:rPr>
          <w:spacing w:val="-6"/>
        </w:rPr>
        <w:t xml:space="preserve"> </w:t>
      </w:r>
      <w:r>
        <w:t>subject</w:t>
      </w:r>
      <w:r>
        <w:rPr>
          <w:spacing w:val="-6"/>
        </w:rPr>
        <w:t xml:space="preserve"> </w:t>
      </w:r>
      <w:r>
        <w:t>to</w:t>
      </w:r>
      <w:r>
        <w:rPr>
          <w:spacing w:val="-6"/>
        </w:rPr>
        <w:t xml:space="preserve"> </w:t>
      </w:r>
      <w:r>
        <w:t>sampling</w:t>
      </w:r>
      <w:r>
        <w:rPr>
          <w:spacing w:val="-6"/>
        </w:rPr>
        <w:t xml:space="preserve"> </w:t>
      </w:r>
      <w:r>
        <w:t>variability,</w:t>
      </w:r>
      <w:r>
        <w:rPr>
          <w:spacing w:val="-6"/>
        </w:rPr>
        <w:t xml:space="preserve"> </w:t>
      </w:r>
      <w:r>
        <w:t>but</w:t>
      </w:r>
      <w:r>
        <w:rPr>
          <w:spacing w:val="-6"/>
        </w:rPr>
        <w:t xml:space="preserve"> </w:t>
      </w:r>
      <w:r>
        <w:t>only</w:t>
      </w:r>
      <w:r>
        <w:rPr>
          <w:spacing w:val="-6"/>
        </w:rPr>
        <w:t xml:space="preserve"> </w:t>
      </w:r>
      <w:r>
        <w:t xml:space="preserve">to </w:t>
      </w:r>
      <w:r>
        <w:rPr>
          <w:color w:val="0066CC"/>
        </w:rPr>
        <w:t>noncertainty</w:t>
      </w:r>
      <w:r>
        <w:rPr>
          <w:color w:val="0066CC"/>
          <w:spacing w:val="-5"/>
        </w:rPr>
        <w:t xml:space="preserve"> </w:t>
      </w:r>
      <w:r>
        <w:t>schools.</w:t>
      </w:r>
      <w:r>
        <w:rPr>
          <w:spacing w:val="-9"/>
        </w:rPr>
        <w:t xml:space="preserve"> </w:t>
      </w:r>
      <w:r>
        <w:t>The</w:t>
      </w:r>
      <w:r>
        <w:rPr>
          <w:spacing w:val="-5"/>
        </w:rPr>
        <w:t xml:space="preserve"> </w:t>
      </w:r>
      <w:r>
        <w:t>primary</w:t>
      </w:r>
      <w:r>
        <w:rPr>
          <w:spacing w:val="-5"/>
        </w:rPr>
        <w:t xml:space="preserve"> </w:t>
      </w:r>
      <w:r>
        <w:t>stratum</w:t>
      </w:r>
      <w:r>
        <w:rPr>
          <w:spacing w:val="-5"/>
        </w:rPr>
        <w:t xml:space="preserve"> </w:t>
      </w:r>
      <w:r>
        <w:t>for</w:t>
      </w:r>
      <w:r>
        <w:rPr>
          <w:spacing w:val="-5"/>
        </w:rPr>
        <w:t xml:space="preserve"> </w:t>
      </w:r>
      <w:r>
        <w:t>noncertainty</w:t>
      </w:r>
      <w:r>
        <w:rPr>
          <w:spacing w:val="-5"/>
        </w:rPr>
        <w:t xml:space="preserve"> </w:t>
      </w:r>
      <w:r>
        <w:t>schools</w:t>
      </w:r>
      <w:r>
        <w:rPr>
          <w:spacing w:val="-5"/>
        </w:rPr>
        <w:t xml:space="preserve"> </w:t>
      </w:r>
      <w:r>
        <w:t>was</w:t>
      </w:r>
      <w:r>
        <w:rPr>
          <w:spacing w:val="-5"/>
        </w:rPr>
        <w:t xml:space="preserve"> </w:t>
      </w:r>
      <w:r>
        <w:t>the</w:t>
      </w:r>
      <w:r>
        <w:rPr>
          <w:spacing w:val="-5"/>
        </w:rPr>
        <w:t xml:space="preserve"> </w:t>
      </w:r>
      <w:r>
        <w:t>highest</w:t>
      </w:r>
      <w:r>
        <w:rPr>
          <w:spacing w:val="-5"/>
        </w:rPr>
        <w:t xml:space="preserve"> </w:t>
      </w:r>
      <w:r>
        <w:t>school-level</w:t>
      </w:r>
      <w:r>
        <w:rPr>
          <w:spacing w:val="-5"/>
        </w:rPr>
        <w:t xml:space="preserve"> </w:t>
      </w:r>
      <w:r>
        <w:t>sampling</w:t>
      </w:r>
      <w:r>
        <w:rPr>
          <w:spacing w:val="-5"/>
        </w:rPr>
        <w:t xml:space="preserve"> </w:t>
      </w:r>
      <w:r>
        <w:t>stratum</w:t>
      </w:r>
      <w:r>
        <w:rPr>
          <w:spacing w:val="-5"/>
        </w:rPr>
        <w:t xml:space="preserve"> </w:t>
      </w:r>
      <w:r>
        <w:t>variable</w:t>
      </w:r>
      <w:r>
        <w:rPr>
          <w:spacing w:val="-5"/>
        </w:rPr>
        <w:t xml:space="preserve"> </w:t>
      </w:r>
      <w:r>
        <w:t>listed</w:t>
      </w:r>
      <w:r>
        <w:rPr>
          <w:spacing w:val="-5"/>
        </w:rPr>
        <w:t xml:space="preserve"> </w:t>
      </w:r>
      <w:r>
        <w:t>below,</w:t>
      </w:r>
      <w:r>
        <w:rPr>
          <w:spacing w:val="-5"/>
        </w:rPr>
        <w:t xml:space="preserve"> </w:t>
      </w:r>
      <w:r>
        <w:t>and</w:t>
      </w:r>
      <w:r>
        <w:rPr>
          <w:spacing w:val="-5"/>
        </w:rPr>
        <w:t xml:space="preserve"> </w:t>
      </w:r>
      <w:r>
        <w:t>the</w:t>
      </w:r>
      <w:r>
        <w:rPr>
          <w:spacing w:val="-5"/>
        </w:rPr>
        <w:t xml:space="preserve"> </w:t>
      </w:r>
      <w:r>
        <w:t>order</w:t>
      </w:r>
      <w:r>
        <w:rPr>
          <w:spacing w:val="-5"/>
        </w:rPr>
        <w:t xml:space="preserve"> </w:t>
      </w:r>
      <w:r>
        <w:t>of</w:t>
      </w:r>
      <w:r>
        <w:rPr>
          <w:spacing w:val="-5"/>
        </w:rPr>
        <w:t xml:space="preserve"> </w:t>
      </w:r>
      <w:r>
        <w:t>selection</w:t>
      </w:r>
      <w:r>
        <w:rPr>
          <w:spacing w:val="-5"/>
        </w:rPr>
        <w:t xml:space="preserve"> </w:t>
      </w:r>
      <w:r>
        <w:t>was</w:t>
      </w:r>
      <w:r>
        <w:rPr>
          <w:spacing w:val="-5"/>
        </w:rPr>
        <w:t xml:space="preserve"> </w:t>
      </w:r>
      <w:r>
        <w:t>defined by sort order on the school sampling frame.</w:t>
      </w:r>
    </w:p>
    <w:p w:rsidR="003F5784" w14:paraId="5E2C6469" w14:textId="77777777">
      <w:pPr>
        <w:pStyle w:val="BodyText"/>
        <w:spacing w:before="204" w:line="439" w:lineRule="auto"/>
        <w:ind w:left="422" w:right="6274"/>
        <w:jc w:val="both"/>
      </w:pPr>
      <w:r>
        <w:rPr>
          <w:noProof/>
          <w:position w:val="3"/>
        </w:rPr>
        <w:drawing>
          <wp:inline distT="0" distB="0" distL="0" distR="0">
            <wp:extent cx="41379" cy="41378"/>
            <wp:effectExtent l="0" t="0" r="0" b="0"/>
            <wp:docPr id="660" name="Image 660"/>
            <wp:cNvGraphicFramePr/>
            <a:graphic xmlns:a="http://schemas.openxmlformats.org/drawingml/2006/main">
              <a:graphicData uri="http://schemas.openxmlformats.org/drawingml/2006/picture">
                <pic:pic xmlns:pic="http://schemas.openxmlformats.org/drawingml/2006/picture">
                  <pic:nvPicPr>
                    <pic:cNvPr id="660" name="Image 660"/>
                    <pic:cNvPicPr/>
                  </pic:nvPicPr>
                  <pic:blipFill>
                    <a:blip xmlns:r="http://schemas.openxmlformats.org/officeDocument/2006/relationships" r:embed="rId527" cstate="print"/>
                    <a:stretch>
                      <a:fillRect/>
                    </a:stretch>
                  </pic:blipFill>
                  <pic:spPr>
                    <a:xfrm>
                      <a:off x="0" y="0"/>
                      <a:ext cx="41379" cy="41378"/>
                    </a:xfrm>
                    <a:prstGeom prst="rect">
                      <a:avLst/>
                    </a:prstGeom>
                  </pic:spPr>
                </pic:pic>
              </a:graphicData>
            </a:graphic>
          </wp:inline>
        </w:drawing>
      </w:r>
      <w:r>
        <w:rPr>
          <w:spacing w:val="80"/>
          <w:sz w:val="20"/>
        </w:rPr>
        <w:t xml:space="preserve"> </w:t>
      </w:r>
      <w:r>
        <w:t>The</w:t>
      </w:r>
      <w:r>
        <w:rPr>
          <w:spacing w:val="-5"/>
        </w:rPr>
        <w:t xml:space="preserve"> </w:t>
      </w:r>
      <w:r>
        <w:t>nation</w:t>
      </w:r>
      <w:r>
        <w:rPr>
          <w:spacing w:val="-5"/>
        </w:rPr>
        <w:t xml:space="preserve"> </w:t>
      </w:r>
      <w:r>
        <w:t>(50</w:t>
      </w:r>
      <w:r>
        <w:rPr>
          <w:spacing w:val="-5"/>
        </w:rPr>
        <w:t xml:space="preserve"> </w:t>
      </w:r>
      <w:r>
        <w:t>states</w:t>
      </w:r>
      <w:r>
        <w:rPr>
          <w:spacing w:val="-5"/>
        </w:rPr>
        <w:t xml:space="preserve"> </w:t>
      </w:r>
      <w:r>
        <w:t>and</w:t>
      </w:r>
      <w:r>
        <w:rPr>
          <w:spacing w:val="-5"/>
        </w:rPr>
        <w:t xml:space="preserve"> </w:t>
      </w:r>
      <w:r>
        <w:t>the</w:t>
      </w:r>
      <w:r>
        <w:rPr>
          <w:spacing w:val="-5"/>
        </w:rPr>
        <w:t xml:space="preserve"> </w:t>
      </w:r>
      <w:r>
        <w:t>District</w:t>
      </w:r>
      <w:r>
        <w:rPr>
          <w:spacing w:val="-5"/>
        </w:rPr>
        <w:t xml:space="preserve"> </w:t>
      </w:r>
      <w:r>
        <w:t>of</w:t>
      </w:r>
      <w:r>
        <w:rPr>
          <w:spacing w:val="-5"/>
        </w:rPr>
        <w:t xml:space="preserve"> </w:t>
      </w:r>
      <w:r>
        <w:t>Columbia)</w:t>
      </w:r>
      <w:r>
        <w:rPr>
          <w:spacing w:val="-5"/>
        </w:rPr>
        <w:t xml:space="preserve"> </w:t>
      </w:r>
      <w:r>
        <w:t>for</w:t>
      </w:r>
      <w:r>
        <w:rPr>
          <w:spacing w:val="-5"/>
        </w:rPr>
        <w:t xml:space="preserve"> </w:t>
      </w:r>
      <w:r>
        <w:t>the</w:t>
      </w:r>
      <w:r>
        <w:rPr>
          <w:spacing w:val="-5"/>
        </w:rPr>
        <w:t xml:space="preserve"> </w:t>
      </w:r>
      <w:r>
        <w:t>public</w:t>
      </w:r>
      <w:r>
        <w:rPr>
          <w:spacing w:val="-5"/>
        </w:rPr>
        <w:t xml:space="preserve"> </w:t>
      </w:r>
      <w:r>
        <w:t>school</w:t>
      </w:r>
      <w:r>
        <w:rPr>
          <w:spacing w:val="-5"/>
        </w:rPr>
        <w:t xml:space="preserve"> </w:t>
      </w:r>
      <w:r>
        <w:t>samples</w:t>
      </w:r>
      <w:r>
        <w:rPr>
          <w:spacing w:val="-5"/>
        </w:rPr>
        <w:t xml:space="preserve"> </w:t>
      </w:r>
      <w:r>
        <w:t>at</w:t>
      </w:r>
      <w:r>
        <w:rPr>
          <w:spacing w:val="-5"/>
        </w:rPr>
        <w:t xml:space="preserve"> </w:t>
      </w:r>
      <w:r>
        <w:t>grade</w:t>
      </w:r>
      <w:r>
        <w:rPr>
          <w:spacing w:val="-5"/>
        </w:rPr>
        <w:t xml:space="preserve"> </w:t>
      </w:r>
      <w:r>
        <w:t>8;</w:t>
      </w:r>
      <w:r>
        <w:rPr>
          <w:spacing w:val="-5"/>
        </w:rPr>
        <w:t xml:space="preserve"> </w:t>
      </w:r>
      <w:r>
        <w:t xml:space="preserve">and </w:t>
      </w:r>
      <w:r>
        <w:rPr>
          <w:noProof/>
          <w:position w:val="3"/>
        </w:rPr>
        <w:drawing>
          <wp:inline distT="0" distB="0" distL="0" distR="0">
            <wp:extent cx="41379" cy="41378"/>
            <wp:effectExtent l="0" t="0" r="0" b="0"/>
            <wp:docPr id="661" name="Image 661"/>
            <wp:cNvGraphicFramePr/>
            <a:graphic xmlns:a="http://schemas.openxmlformats.org/drawingml/2006/main">
              <a:graphicData uri="http://schemas.openxmlformats.org/drawingml/2006/picture">
                <pic:pic xmlns:pic="http://schemas.openxmlformats.org/drawingml/2006/picture">
                  <pic:nvPicPr>
                    <pic:cNvPr id="661" name="Image 661"/>
                    <pic:cNvPicPr/>
                  </pic:nvPicPr>
                  <pic:blipFill>
                    <a:blip xmlns:r="http://schemas.openxmlformats.org/officeDocument/2006/relationships" r:embed="rId528" cstate="print"/>
                    <a:stretch>
                      <a:fillRect/>
                    </a:stretch>
                  </pic:blipFill>
                  <pic:spPr>
                    <a:xfrm>
                      <a:off x="0" y="0"/>
                      <a:ext cx="41379" cy="41378"/>
                    </a:xfrm>
                    <a:prstGeom prst="rect">
                      <a:avLst/>
                    </a:prstGeom>
                  </pic:spPr>
                </pic:pic>
              </a:graphicData>
            </a:graphic>
          </wp:inline>
        </w:drawing>
      </w:r>
      <w:r>
        <w:rPr>
          <w:spacing w:val="80"/>
        </w:rPr>
        <w:t xml:space="preserve"> </w:t>
      </w:r>
      <w:r>
        <w:t>Private school affiliation (Catholic, non-Catholic) for the private school samples at grade 8.</w:t>
      </w:r>
    </w:p>
    <w:p w:rsidR="003F5784" w14:paraId="681502EF" w14:textId="77777777">
      <w:pPr>
        <w:pStyle w:val="BodyText"/>
        <w:spacing w:before="8" w:line="232" w:lineRule="auto"/>
        <w:ind w:left="109" w:right="134"/>
        <w:jc w:val="both"/>
      </w:pPr>
      <w:r>
        <w:t>At</w:t>
      </w:r>
      <w:r>
        <w:rPr>
          <w:spacing w:val="-5"/>
        </w:rPr>
        <w:t xml:space="preserve"> </w:t>
      </w:r>
      <w:r>
        <w:t>the</w:t>
      </w:r>
      <w:r>
        <w:rPr>
          <w:spacing w:val="-5"/>
        </w:rPr>
        <w:t xml:space="preserve"> </w:t>
      </w:r>
      <w:r>
        <w:t>student</w:t>
      </w:r>
      <w:r>
        <w:rPr>
          <w:spacing w:val="-5"/>
        </w:rPr>
        <w:t xml:space="preserve"> </w:t>
      </w:r>
      <w:r>
        <w:t>level,</w:t>
      </w:r>
      <w:r>
        <w:rPr>
          <w:spacing w:val="-5"/>
        </w:rPr>
        <w:t xml:space="preserve"> </w:t>
      </w:r>
      <w:r>
        <w:t>all</w:t>
      </w:r>
      <w:r>
        <w:rPr>
          <w:spacing w:val="-5"/>
        </w:rPr>
        <w:t xml:space="preserve"> </w:t>
      </w:r>
      <w:r>
        <w:t>students</w:t>
      </w:r>
      <w:r>
        <w:rPr>
          <w:spacing w:val="-5"/>
        </w:rPr>
        <w:t xml:space="preserve"> </w:t>
      </w:r>
      <w:r>
        <w:t>were</w:t>
      </w:r>
      <w:r>
        <w:rPr>
          <w:spacing w:val="-5"/>
        </w:rPr>
        <w:t xml:space="preserve"> </w:t>
      </w:r>
      <w:r>
        <w:t>assigned</w:t>
      </w:r>
      <w:r>
        <w:rPr>
          <w:spacing w:val="-5"/>
        </w:rPr>
        <w:t xml:space="preserve"> </w:t>
      </w:r>
      <w:r>
        <w:t>to</w:t>
      </w:r>
      <w:r>
        <w:rPr>
          <w:spacing w:val="-5"/>
        </w:rPr>
        <w:t xml:space="preserve"> </w:t>
      </w:r>
      <w:r>
        <w:t>variance</w:t>
      </w:r>
      <w:r>
        <w:rPr>
          <w:spacing w:val="-5"/>
        </w:rPr>
        <w:t xml:space="preserve"> </w:t>
      </w:r>
      <w:r>
        <w:t>strata.</w:t>
      </w:r>
      <w:r>
        <w:rPr>
          <w:spacing w:val="-9"/>
        </w:rPr>
        <w:t xml:space="preserve"> </w:t>
      </w:r>
      <w:r>
        <w:t>The</w:t>
      </w:r>
      <w:r>
        <w:rPr>
          <w:spacing w:val="-5"/>
        </w:rPr>
        <w:t xml:space="preserve"> </w:t>
      </w:r>
      <w:r>
        <w:t>primary</w:t>
      </w:r>
      <w:r>
        <w:rPr>
          <w:spacing w:val="-5"/>
        </w:rPr>
        <w:t xml:space="preserve"> </w:t>
      </w:r>
      <w:r>
        <w:t>stratum</w:t>
      </w:r>
      <w:r>
        <w:rPr>
          <w:spacing w:val="-5"/>
        </w:rPr>
        <w:t xml:space="preserve"> </w:t>
      </w:r>
      <w:r>
        <w:t>was</w:t>
      </w:r>
      <w:r>
        <w:rPr>
          <w:spacing w:val="-5"/>
        </w:rPr>
        <w:t xml:space="preserve"> </w:t>
      </w:r>
      <w:r>
        <w:t>school,</w:t>
      </w:r>
      <w:r>
        <w:rPr>
          <w:spacing w:val="-5"/>
        </w:rPr>
        <w:t xml:space="preserve"> </w:t>
      </w:r>
      <w:r>
        <w:t>and</w:t>
      </w:r>
      <w:r>
        <w:rPr>
          <w:spacing w:val="-5"/>
        </w:rPr>
        <w:t xml:space="preserve"> </w:t>
      </w:r>
      <w:r>
        <w:t>the</w:t>
      </w:r>
      <w:r>
        <w:rPr>
          <w:spacing w:val="-5"/>
        </w:rPr>
        <w:t xml:space="preserve"> </w:t>
      </w:r>
      <w:r>
        <w:t>order</w:t>
      </w:r>
      <w:r>
        <w:rPr>
          <w:spacing w:val="-5"/>
        </w:rPr>
        <w:t xml:space="preserve"> </w:t>
      </w:r>
      <w:r>
        <w:t>of</w:t>
      </w:r>
      <w:r>
        <w:rPr>
          <w:spacing w:val="-5"/>
        </w:rPr>
        <w:t xml:space="preserve"> </w:t>
      </w:r>
      <w:r>
        <w:t>selection</w:t>
      </w:r>
      <w:r>
        <w:rPr>
          <w:spacing w:val="-5"/>
        </w:rPr>
        <w:t xml:space="preserve"> </w:t>
      </w:r>
      <w:r>
        <w:t>was</w:t>
      </w:r>
      <w:r>
        <w:rPr>
          <w:spacing w:val="-5"/>
        </w:rPr>
        <w:t xml:space="preserve"> </w:t>
      </w:r>
      <w:r>
        <w:t>defined</w:t>
      </w:r>
      <w:r>
        <w:rPr>
          <w:spacing w:val="-5"/>
        </w:rPr>
        <w:t xml:space="preserve"> </w:t>
      </w:r>
      <w:r>
        <w:t>by</w:t>
      </w:r>
      <w:r>
        <w:rPr>
          <w:spacing w:val="-5"/>
        </w:rPr>
        <w:t xml:space="preserve"> </w:t>
      </w:r>
      <w:r>
        <w:rPr>
          <w:color w:val="0066CC"/>
        </w:rPr>
        <w:t>session</w:t>
      </w:r>
      <w:r>
        <w:rPr>
          <w:color w:val="0066CC"/>
          <w:spacing w:val="-5"/>
        </w:rPr>
        <w:t xml:space="preserve"> </w:t>
      </w:r>
      <w:r>
        <w:t>number</w:t>
      </w:r>
      <w:r>
        <w:rPr>
          <w:spacing w:val="-5"/>
        </w:rPr>
        <w:t xml:space="preserve"> </w:t>
      </w:r>
      <w:r>
        <w:t>and</w:t>
      </w:r>
      <w:r>
        <w:rPr>
          <w:spacing w:val="-5"/>
        </w:rPr>
        <w:t xml:space="preserve"> </w:t>
      </w:r>
      <w:r>
        <w:t>position</w:t>
      </w:r>
      <w:r>
        <w:rPr>
          <w:spacing w:val="-5"/>
        </w:rPr>
        <w:t xml:space="preserve"> </w:t>
      </w:r>
      <w:r>
        <w:t>on</w:t>
      </w:r>
      <w:r>
        <w:rPr>
          <w:spacing w:val="-5"/>
        </w:rPr>
        <w:t xml:space="preserve"> </w:t>
      </w:r>
      <w:r>
        <w:t xml:space="preserve">the </w:t>
      </w:r>
      <w:r>
        <w:rPr>
          <w:color w:val="0066CC"/>
        </w:rPr>
        <w:t>administration schedule</w:t>
      </w:r>
      <w:r>
        <w:t>.</w:t>
      </w:r>
    </w:p>
    <w:p w:rsidR="003F5784" w14:paraId="091E6F28" w14:textId="77777777">
      <w:pPr>
        <w:pStyle w:val="BodyText"/>
        <w:spacing w:before="209" w:line="232" w:lineRule="auto"/>
        <w:ind w:left="109"/>
      </w:pPr>
      <w:r>
        <w:t>Within</w:t>
      </w:r>
      <w:r>
        <w:rPr>
          <w:spacing w:val="-6"/>
        </w:rPr>
        <w:t xml:space="preserve"> </w:t>
      </w:r>
      <w:r>
        <w:t>each</w:t>
      </w:r>
      <w:r>
        <w:rPr>
          <w:spacing w:val="-6"/>
        </w:rPr>
        <w:t xml:space="preserve"> </w:t>
      </w:r>
      <w:r>
        <w:t>pair</w:t>
      </w:r>
      <w:r>
        <w:rPr>
          <w:spacing w:val="-6"/>
        </w:rPr>
        <w:t xml:space="preserve"> </w:t>
      </w:r>
      <w:r>
        <w:t>of</w:t>
      </w:r>
      <w:r>
        <w:rPr>
          <w:spacing w:val="-6"/>
        </w:rPr>
        <w:t xml:space="preserve"> </w:t>
      </w:r>
      <w:r>
        <w:t>preliminary</w:t>
      </w:r>
      <w:r>
        <w:rPr>
          <w:spacing w:val="-6"/>
        </w:rPr>
        <w:t xml:space="preserve"> </w:t>
      </w:r>
      <w:r>
        <w:t>variance</w:t>
      </w:r>
      <w:r>
        <w:rPr>
          <w:spacing w:val="-6"/>
        </w:rPr>
        <w:t xml:space="preserve"> </w:t>
      </w:r>
      <w:r>
        <w:t>strata,</w:t>
      </w:r>
      <w:r>
        <w:rPr>
          <w:spacing w:val="-6"/>
        </w:rPr>
        <w:t xml:space="preserve"> </w:t>
      </w:r>
      <w:r>
        <w:t>one</w:t>
      </w:r>
      <w:r>
        <w:rPr>
          <w:spacing w:val="-6"/>
        </w:rPr>
        <w:t xml:space="preserve"> </w:t>
      </w:r>
      <w:r>
        <w:t>first-stage</w:t>
      </w:r>
      <w:r>
        <w:rPr>
          <w:spacing w:val="-6"/>
        </w:rPr>
        <w:t xml:space="preserve"> </w:t>
      </w:r>
      <w:r>
        <w:t>unit,</w:t>
      </w:r>
      <w:r>
        <w:rPr>
          <w:spacing w:val="-6"/>
        </w:rPr>
        <w:t xml:space="preserve"> </w:t>
      </w:r>
      <w:r>
        <w:t>designated</w:t>
      </w:r>
      <w:r>
        <w:rPr>
          <w:spacing w:val="-6"/>
        </w:rPr>
        <w:t xml:space="preserve"> </w:t>
      </w:r>
      <w:r>
        <w:t>at</w:t>
      </w:r>
      <w:r>
        <w:rPr>
          <w:spacing w:val="-6"/>
        </w:rPr>
        <w:t xml:space="preserve"> </w:t>
      </w:r>
      <w:r>
        <w:t>random,</w:t>
      </w:r>
      <w:r>
        <w:rPr>
          <w:spacing w:val="-6"/>
        </w:rPr>
        <w:t xml:space="preserve"> </w:t>
      </w:r>
      <w:r>
        <w:t>was</w:t>
      </w:r>
      <w:r>
        <w:rPr>
          <w:spacing w:val="-6"/>
        </w:rPr>
        <w:t xml:space="preserve"> </w:t>
      </w:r>
      <w:r>
        <w:t>assigned</w:t>
      </w:r>
      <w:r>
        <w:rPr>
          <w:spacing w:val="-6"/>
        </w:rPr>
        <w:t xml:space="preserve"> </w:t>
      </w:r>
      <w:r>
        <w:t>as</w:t>
      </w:r>
      <w:r>
        <w:rPr>
          <w:spacing w:val="-6"/>
        </w:rPr>
        <w:t xml:space="preserve"> </w:t>
      </w:r>
      <w:r>
        <w:t>the</w:t>
      </w:r>
      <w:r>
        <w:rPr>
          <w:spacing w:val="-6"/>
        </w:rPr>
        <w:t xml:space="preserve"> </w:t>
      </w:r>
      <w:r>
        <w:t>first</w:t>
      </w:r>
      <w:r>
        <w:rPr>
          <w:spacing w:val="-6"/>
        </w:rPr>
        <w:t xml:space="preserve"> </w:t>
      </w:r>
      <w:r>
        <w:t>variance</w:t>
      </w:r>
      <w:r>
        <w:rPr>
          <w:spacing w:val="-6"/>
        </w:rPr>
        <w:t xml:space="preserve"> </w:t>
      </w:r>
      <w:r>
        <w:t>unit</w:t>
      </w:r>
      <w:r>
        <w:rPr>
          <w:spacing w:val="-6"/>
        </w:rPr>
        <w:t xml:space="preserve"> </w:t>
      </w:r>
      <w:r>
        <w:t>and</w:t>
      </w:r>
      <w:r>
        <w:rPr>
          <w:spacing w:val="-6"/>
        </w:rPr>
        <w:t xml:space="preserve"> </w:t>
      </w:r>
      <w:r>
        <w:t>the</w:t>
      </w:r>
      <w:r>
        <w:rPr>
          <w:spacing w:val="-6"/>
        </w:rPr>
        <w:t xml:space="preserve"> </w:t>
      </w:r>
      <w:r>
        <w:t>other</w:t>
      </w:r>
      <w:r>
        <w:rPr>
          <w:spacing w:val="-6"/>
        </w:rPr>
        <w:t xml:space="preserve"> </w:t>
      </w:r>
      <w:r>
        <w:t>first-stage</w:t>
      </w:r>
      <w:r>
        <w:rPr>
          <w:spacing w:val="-6"/>
        </w:rPr>
        <w:t xml:space="preserve"> </w:t>
      </w:r>
      <w:r>
        <w:t>unit</w:t>
      </w:r>
      <w:r>
        <w:rPr>
          <w:spacing w:val="-6"/>
        </w:rPr>
        <w:t xml:space="preserve"> </w:t>
      </w:r>
      <w:r>
        <w:t>as</w:t>
      </w:r>
      <w:r>
        <w:rPr>
          <w:spacing w:val="-6"/>
        </w:rPr>
        <w:t xml:space="preserve"> </w:t>
      </w:r>
      <w:r>
        <w:t>the</w:t>
      </w:r>
      <w:r>
        <w:rPr>
          <w:spacing w:val="-6"/>
        </w:rPr>
        <w:t xml:space="preserve"> </w:t>
      </w:r>
      <w:r>
        <w:t>second variance unit.</w:t>
      </w:r>
      <w:r>
        <w:rPr>
          <w:spacing w:val="-1"/>
        </w:rPr>
        <w:t xml:space="preserve"> </w:t>
      </w:r>
      <w:r>
        <w:t>Within each triplet preliminary variance stratum, the three schools were randomly assigned variance units 1 through 3.</w:t>
      </w:r>
    </w:p>
    <w:p w:rsidR="003F5784" w14:paraId="6F9B0D52" w14:textId="77777777">
      <w:pPr>
        <w:pStyle w:val="BodyText"/>
      </w:pPr>
    </w:p>
    <w:p w:rsidR="003F5784" w14:paraId="2A5B010B" w14:textId="77777777">
      <w:pPr>
        <w:pStyle w:val="BodyText"/>
      </w:pPr>
    </w:p>
    <w:p w:rsidR="003F5784" w14:paraId="0043DF63" w14:textId="77777777">
      <w:pPr>
        <w:pStyle w:val="BodyText"/>
        <w:spacing w:before="145"/>
      </w:pPr>
    </w:p>
    <w:p w:rsidR="003F5784" w14:paraId="46DD8B04" w14:textId="77777777">
      <w:pPr>
        <w:spacing w:before="1"/>
        <w:ind w:left="4354"/>
        <w:rPr>
          <w:sz w:val="18"/>
        </w:rPr>
      </w:pPr>
      <w:hyperlink r:id="rId529">
        <w:r>
          <w:rPr>
            <w:spacing w:val="-2"/>
            <w:w w:val="105"/>
            <w:sz w:val="18"/>
          </w:rPr>
          <w:t>http://nces.ed.gov/nationsreportcard/tdw/weighting/2022/defining_variance_strata_and_forming_replicates_for_the_2022_assessment.aspx</w:t>
        </w:r>
      </w:hyperlink>
    </w:p>
    <w:p w:rsidR="003F5784" w14:paraId="3C2AFF2F" w14:textId="77777777">
      <w:pPr>
        <w:pStyle w:val="BodyText"/>
        <w:rPr>
          <w:sz w:val="16"/>
        </w:rPr>
      </w:pPr>
      <w:r>
        <w:rPr>
          <w:noProof/>
        </w:rPr>
        <mc:AlternateContent>
          <mc:Choice Requires="wps">
            <w:drawing>
              <wp:anchor distT="0" distB="0" distL="0" distR="0" simplePos="0" relativeHeight="252027904" behindDoc="1" locked="0" layoutInCell="1" allowOverlap="1">
                <wp:simplePos x="0" y="0"/>
                <wp:positionH relativeFrom="page">
                  <wp:posOffset>361937</wp:posOffset>
                </wp:positionH>
                <wp:positionV relativeFrom="paragraph">
                  <wp:posOffset>132431</wp:posOffset>
                </wp:positionV>
                <wp:extent cx="9339580" cy="8890"/>
                <wp:effectExtent l="0" t="0" r="0" b="0"/>
                <wp:wrapTopAndBottom/>
                <wp:docPr id="662" name="Graphic 662"/>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662" o:spid="_x0000_s1213" style="width:735.4pt;height:0.7pt;margin-top:10.45pt;margin-left:28.5pt;mso-position-horizontal-relative:page;mso-wrap-distance-bottom:0;mso-wrap-distance-left:0;mso-wrap-distance-right:0;mso-wrap-distance-top:0;mso-wrap-style:square;position:absolute;visibility:visible;v-text-anchor:top;z-index:-251287552" coordsize="9339580,8890" path="m9338970,l9335110,l8280,,,,,8280l8280,8280l9335110,8280l9338970,8280l9338970,xe" fillcolor="gray" stroked="f">
                <v:path arrowok="t"/>
                <w10:wrap type="topAndBottom"/>
              </v:shape>
            </w:pict>
          </mc:Fallback>
        </mc:AlternateContent>
      </w:r>
    </w:p>
    <w:p w:rsidR="003F5784" w14:paraId="588C710F" w14:textId="77777777">
      <w:pPr>
        <w:pStyle w:val="BodyText"/>
        <w:rPr>
          <w:sz w:val="18"/>
        </w:rPr>
      </w:pPr>
    </w:p>
    <w:p w:rsidR="003F5784" w14:paraId="1EDA3520" w14:textId="77777777">
      <w:pPr>
        <w:pStyle w:val="BodyText"/>
        <w:spacing w:before="193"/>
        <w:rPr>
          <w:sz w:val="18"/>
        </w:rPr>
      </w:pPr>
    </w:p>
    <w:p w:rsidR="003F5784" w14:paraId="3434DCF3" w14:textId="4235D843">
      <w:pPr>
        <w:pStyle w:val="Heading1"/>
      </w:pPr>
      <w:r>
        <w:t>NAEP</w:t>
      </w:r>
      <w:r>
        <w:rPr>
          <w:spacing w:val="-28"/>
        </w:rPr>
        <w:t xml:space="preserve"> </w:t>
      </w:r>
      <w:r>
        <w:t>Technical</w:t>
      </w:r>
      <w:r>
        <w:rPr>
          <w:spacing w:val="4"/>
        </w:rPr>
        <w:t xml:space="preserve"> </w:t>
      </w:r>
      <w:r>
        <w:t>Documentation</w:t>
      </w:r>
      <w:r w:rsidR="00C94150">
        <w:t xml:space="preserve"> </w:t>
      </w:r>
      <w:r>
        <w:t>Replicate</w:t>
      </w:r>
      <w:r>
        <w:rPr>
          <w:spacing w:val="-4"/>
        </w:rPr>
        <w:t xml:space="preserve"> </w:t>
      </w:r>
      <w:r>
        <w:t>Variance</w:t>
      </w:r>
      <w:r>
        <w:rPr>
          <w:spacing w:val="4"/>
        </w:rPr>
        <w:t xml:space="preserve"> </w:t>
      </w:r>
      <w:r>
        <w:rPr>
          <w:spacing w:val="-2"/>
        </w:rPr>
        <w:t>Estimation</w:t>
      </w:r>
    </w:p>
    <w:p w:rsidR="003F5784" w14:paraId="6B0D2553" w14:textId="77777777">
      <w:pPr>
        <w:pStyle w:val="BodyText"/>
        <w:spacing w:before="295" w:line="232" w:lineRule="auto"/>
        <w:ind w:left="109" w:right="179"/>
      </w:pPr>
      <w:r>
        <w:t>Variances</w:t>
      </w:r>
      <w:r>
        <w:rPr>
          <w:spacing w:val="-9"/>
        </w:rPr>
        <w:t xml:space="preserve"> </w:t>
      </w:r>
      <w:r>
        <w:t>for</w:t>
      </w:r>
      <w:r>
        <w:rPr>
          <w:spacing w:val="-8"/>
        </w:rPr>
        <w:t xml:space="preserve"> </w:t>
      </w:r>
      <w:r>
        <w:t>NAEP</w:t>
      </w:r>
      <w:r>
        <w:rPr>
          <w:spacing w:val="-14"/>
        </w:rPr>
        <w:t xml:space="preserve"> </w:t>
      </w:r>
      <w:r>
        <w:t>assessment</w:t>
      </w:r>
      <w:r>
        <w:rPr>
          <w:spacing w:val="-7"/>
        </w:rPr>
        <w:t xml:space="preserve"> </w:t>
      </w:r>
      <w:r>
        <w:t>estimates</w:t>
      </w:r>
      <w:r>
        <w:rPr>
          <w:spacing w:val="-8"/>
        </w:rPr>
        <w:t xml:space="preserve"> </w:t>
      </w:r>
      <w:r>
        <w:t>are</w:t>
      </w:r>
      <w:r>
        <w:rPr>
          <w:spacing w:val="-8"/>
        </w:rPr>
        <w:t xml:space="preserve"> </w:t>
      </w:r>
      <w:r>
        <w:t>computed</w:t>
      </w:r>
      <w:r>
        <w:rPr>
          <w:spacing w:val="-8"/>
        </w:rPr>
        <w:t xml:space="preserve"> </w:t>
      </w:r>
      <w:r>
        <w:t>using</w:t>
      </w:r>
      <w:r>
        <w:rPr>
          <w:spacing w:val="-8"/>
        </w:rPr>
        <w:t xml:space="preserve"> </w:t>
      </w:r>
      <w:r>
        <w:t>the</w:t>
      </w:r>
      <w:r>
        <w:rPr>
          <w:spacing w:val="-8"/>
        </w:rPr>
        <w:t xml:space="preserve"> </w:t>
      </w:r>
      <w:r>
        <w:t>paired</w:t>
      </w:r>
      <w:r>
        <w:rPr>
          <w:spacing w:val="-8"/>
        </w:rPr>
        <w:t xml:space="preserve"> </w:t>
      </w:r>
      <w:r>
        <w:t>jackknife</w:t>
      </w:r>
      <w:r>
        <w:rPr>
          <w:spacing w:val="-8"/>
        </w:rPr>
        <w:t xml:space="preserve"> </w:t>
      </w:r>
      <w:r>
        <w:t>replicate</w:t>
      </w:r>
      <w:r>
        <w:rPr>
          <w:spacing w:val="-8"/>
        </w:rPr>
        <w:t xml:space="preserve"> </w:t>
      </w:r>
      <w:r>
        <w:t>variance</w:t>
      </w:r>
      <w:r>
        <w:rPr>
          <w:spacing w:val="-8"/>
        </w:rPr>
        <w:t xml:space="preserve"> </w:t>
      </w:r>
      <w:r>
        <w:t>procedure.</w:t>
      </w:r>
      <w:r>
        <w:rPr>
          <w:spacing w:val="-11"/>
        </w:rPr>
        <w:t xml:space="preserve"> </w:t>
      </w:r>
      <w:r>
        <w:t>This</w:t>
      </w:r>
      <w:r>
        <w:rPr>
          <w:spacing w:val="-8"/>
        </w:rPr>
        <w:t xml:space="preserve"> </w:t>
      </w:r>
      <w:r>
        <w:t>technique</w:t>
      </w:r>
      <w:r>
        <w:rPr>
          <w:spacing w:val="-8"/>
        </w:rPr>
        <w:t xml:space="preserve"> </w:t>
      </w:r>
      <w:r>
        <w:t>is</w:t>
      </w:r>
      <w:r>
        <w:rPr>
          <w:spacing w:val="-8"/>
        </w:rPr>
        <w:t xml:space="preserve"> </w:t>
      </w:r>
      <w:r>
        <w:t>applicable</w:t>
      </w:r>
      <w:r>
        <w:rPr>
          <w:spacing w:val="-8"/>
        </w:rPr>
        <w:t xml:space="preserve"> </w:t>
      </w:r>
      <w:r>
        <w:t>for</w:t>
      </w:r>
      <w:r>
        <w:rPr>
          <w:spacing w:val="-8"/>
        </w:rPr>
        <w:t xml:space="preserve"> </w:t>
      </w:r>
      <w:r>
        <w:t>common</w:t>
      </w:r>
      <w:r>
        <w:rPr>
          <w:spacing w:val="-8"/>
        </w:rPr>
        <w:t xml:space="preserve"> </w:t>
      </w:r>
      <w:r>
        <w:t>statistics,</w:t>
      </w:r>
      <w:r>
        <w:rPr>
          <w:spacing w:val="-8"/>
        </w:rPr>
        <w:t xml:space="preserve"> </w:t>
      </w:r>
      <w:r>
        <w:t>such</w:t>
      </w:r>
      <w:r>
        <w:rPr>
          <w:spacing w:val="-8"/>
        </w:rPr>
        <w:t xml:space="preserve"> </w:t>
      </w:r>
      <w:r>
        <w:t>as means and ratios, and differences between these for different subgroups, as well as for more complex statistics such as linear or logistic regression coefficients.</w:t>
      </w:r>
    </w:p>
    <w:p w:rsidR="003F5784" w14:paraId="725DD331" w14:textId="77777777">
      <w:pPr>
        <w:pStyle w:val="BodyText"/>
        <w:spacing w:before="209" w:line="232" w:lineRule="auto"/>
        <w:ind w:left="109"/>
      </w:pPr>
      <w:r>
        <w:t>In</w:t>
      </w:r>
      <w:r>
        <w:rPr>
          <w:spacing w:val="-6"/>
        </w:rPr>
        <w:t xml:space="preserve"> </w:t>
      </w:r>
      <w:r>
        <w:t>general,</w:t>
      </w:r>
      <w:r>
        <w:rPr>
          <w:spacing w:val="-6"/>
        </w:rPr>
        <w:t xml:space="preserve"> </w:t>
      </w:r>
      <w:r>
        <w:t>the</w:t>
      </w:r>
      <w:r>
        <w:rPr>
          <w:spacing w:val="-6"/>
        </w:rPr>
        <w:t xml:space="preserve"> </w:t>
      </w:r>
      <w:r>
        <w:t>paired</w:t>
      </w:r>
      <w:r>
        <w:rPr>
          <w:spacing w:val="-6"/>
        </w:rPr>
        <w:t xml:space="preserve"> </w:t>
      </w:r>
      <w:r>
        <w:t>jackknife</w:t>
      </w:r>
      <w:r>
        <w:rPr>
          <w:spacing w:val="-6"/>
        </w:rPr>
        <w:t xml:space="preserve"> </w:t>
      </w:r>
      <w:r>
        <w:t>replicate</w:t>
      </w:r>
      <w:r>
        <w:rPr>
          <w:spacing w:val="-6"/>
        </w:rPr>
        <w:t xml:space="preserve"> </w:t>
      </w:r>
      <w:r>
        <w:t>variance</w:t>
      </w:r>
      <w:r>
        <w:rPr>
          <w:spacing w:val="-6"/>
        </w:rPr>
        <w:t xml:space="preserve"> </w:t>
      </w:r>
      <w:r>
        <w:t>procedure</w:t>
      </w:r>
      <w:r>
        <w:rPr>
          <w:spacing w:val="-6"/>
        </w:rPr>
        <w:t xml:space="preserve"> </w:t>
      </w:r>
      <w:r>
        <w:t>involves</w:t>
      </w:r>
      <w:r>
        <w:rPr>
          <w:spacing w:val="-6"/>
        </w:rPr>
        <w:t xml:space="preserve"> </w:t>
      </w:r>
      <w:r>
        <w:t>initially</w:t>
      </w:r>
      <w:r>
        <w:rPr>
          <w:spacing w:val="-6"/>
        </w:rPr>
        <w:t xml:space="preserve"> </w:t>
      </w:r>
      <w:r>
        <w:t>pairing</w:t>
      </w:r>
      <w:r>
        <w:rPr>
          <w:spacing w:val="-6"/>
        </w:rPr>
        <w:t xml:space="preserve"> </w:t>
      </w:r>
      <w:r>
        <w:t>clusters</w:t>
      </w:r>
      <w:r>
        <w:rPr>
          <w:spacing w:val="-6"/>
        </w:rPr>
        <w:t xml:space="preserve"> </w:t>
      </w:r>
      <w:r>
        <w:t>of</w:t>
      </w:r>
      <w:r>
        <w:rPr>
          <w:spacing w:val="-6"/>
        </w:rPr>
        <w:t xml:space="preserve"> </w:t>
      </w:r>
      <w:r>
        <w:t>first-stage</w:t>
      </w:r>
      <w:r>
        <w:rPr>
          <w:spacing w:val="-6"/>
        </w:rPr>
        <w:t xml:space="preserve"> </w:t>
      </w:r>
      <w:r>
        <w:t>sampling</w:t>
      </w:r>
      <w:r>
        <w:rPr>
          <w:spacing w:val="-6"/>
        </w:rPr>
        <w:t xml:space="preserve"> </w:t>
      </w:r>
      <w:r>
        <w:t>units</w:t>
      </w:r>
      <w:r>
        <w:rPr>
          <w:spacing w:val="-6"/>
        </w:rPr>
        <w:t xml:space="preserve"> </w:t>
      </w:r>
      <w:r>
        <w:t>to</w:t>
      </w:r>
      <w:r>
        <w:rPr>
          <w:spacing w:val="-6"/>
        </w:rPr>
        <w:t xml:space="preserve"> </w:t>
      </w:r>
      <w:r>
        <w:t>form</w:t>
      </w:r>
      <w:r>
        <w:rPr>
          <w:spacing w:val="-6"/>
        </w:rPr>
        <w:t xml:space="preserve"> </w:t>
      </w:r>
      <w:r>
        <w:t>\(H\)</w:t>
      </w:r>
      <w:r>
        <w:rPr>
          <w:spacing w:val="-6"/>
        </w:rPr>
        <w:t xml:space="preserve"> </w:t>
      </w:r>
      <w:r>
        <w:t>variance</w:t>
      </w:r>
      <w:r>
        <w:rPr>
          <w:spacing w:val="-6"/>
        </w:rPr>
        <w:t xml:space="preserve"> </w:t>
      </w:r>
      <w:r>
        <w:t>strata</w:t>
      </w:r>
      <w:r>
        <w:rPr>
          <w:spacing w:val="-6"/>
        </w:rPr>
        <w:t xml:space="preserve"> </w:t>
      </w:r>
      <w:r>
        <w:t>\(h</w:t>
      </w:r>
      <w:r>
        <w:rPr>
          <w:spacing w:val="-6"/>
        </w:rPr>
        <w:t xml:space="preserve"> </w:t>
      </w:r>
      <w:r>
        <w:t>=</w:t>
      </w:r>
      <w:r>
        <w:rPr>
          <w:spacing w:val="-6"/>
        </w:rPr>
        <w:t xml:space="preserve"> </w:t>
      </w:r>
      <w:r>
        <w:t>1,</w:t>
      </w:r>
      <w:r>
        <w:rPr>
          <w:spacing w:val="-6"/>
        </w:rPr>
        <w:t xml:space="preserve"> </w:t>
      </w:r>
      <w:r>
        <w:t>2,</w:t>
      </w:r>
      <w:r>
        <w:rPr>
          <w:spacing w:val="-6"/>
        </w:rPr>
        <w:t xml:space="preserve"> </w:t>
      </w:r>
      <w:r>
        <w:t>3,</w:t>
      </w:r>
      <w:r>
        <w:rPr>
          <w:spacing w:val="-6"/>
        </w:rPr>
        <w:t xml:space="preserve"> </w:t>
      </w:r>
      <w:r>
        <w:t>...,</w:t>
      </w:r>
      <w:r>
        <w:rPr>
          <w:spacing w:val="-6"/>
        </w:rPr>
        <w:t xml:space="preserve"> </w:t>
      </w:r>
      <w:r>
        <w:t>H\)</w:t>
      </w:r>
      <w:r>
        <w:rPr>
          <w:spacing w:val="-6"/>
        </w:rPr>
        <w:t xml:space="preserve"> </w:t>
      </w:r>
      <w:r>
        <w:t>with two units per stratum.</w:t>
      </w:r>
      <w:r>
        <w:rPr>
          <w:spacing w:val="-3"/>
        </w:rPr>
        <w:t xml:space="preserve"> </w:t>
      </w:r>
      <w:r>
        <w:t>The first replicate is formed by assigning, to one unit at random from the first variance stratum, a replicate weighting factor of less than 1.0, while</w:t>
      </w:r>
    </w:p>
    <w:p w:rsidR="003F5784" w14:paraId="147BEA53" w14:textId="77777777">
      <w:pPr>
        <w:spacing w:line="232" w:lineRule="auto"/>
        <w:sectPr>
          <w:pgSz w:w="15840" w:h="12240" w:orient="landscape"/>
          <w:pgMar w:top="480" w:right="440" w:bottom="460" w:left="460" w:header="284" w:footer="275" w:gutter="0"/>
          <w:cols w:space="720"/>
        </w:sectPr>
      </w:pPr>
    </w:p>
    <w:p w:rsidR="003F5784" w14:paraId="70D93ECD" w14:textId="77777777">
      <w:pPr>
        <w:pStyle w:val="BodyText"/>
        <w:spacing w:before="78" w:line="232" w:lineRule="auto"/>
        <w:ind w:left="109" w:right="179"/>
      </w:pPr>
      <w:r>
        <w:t>assigning</w:t>
      </w:r>
      <w:r>
        <w:rPr>
          <w:spacing w:val="-5"/>
        </w:rPr>
        <w:t xml:space="preserve"> </w:t>
      </w:r>
      <w:r>
        <w:t>the</w:t>
      </w:r>
      <w:r>
        <w:rPr>
          <w:spacing w:val="-5"/>
        </w:rPr>
        <w:t xml:space="preserve"> </w:t>
      </w:r>
      <w:r>
        <w:t>remaining</w:t>
      </w:r>
      <w:r>
        <w:rPr>
          <w:spacing w:val="-5"/>
        </w:rPr>
        <w:t xml:space="preserve"> </w:t>
      </w:r>
      <w:r>
        <w:t>unit</w:t>
      </w:r>
      <w:r>
        <w:rPr>
          <w:spacing w:val="-5"/>
        </w:rPr>
        <w:t xml:space="preserve"> </w:t>
      </w:r>
      <w:r>
        <w:t>a</w:t>
      </w:r>
      <w:r>
        <w:rPr>
          <w:spacing w:val="-5"/>
        </w:rPr>
        <w:t xml:space="preserve"> </w:t>
      </w:r>
      <w:r>
        <w:t>complementary</w:t>
      </w:r>
      <w:r>
        <w:rPr>
          <w:spacing w:val="-5"/>
        </w:rPr>
        <w:t xml:space="preserve"> </w:t>
      </w:r>
      <w:r>
        <w:t>replicate</w:t>
      </w:r>
      <w:r>
        <w:rPr>
          <w:spacing w:val="-5"/>
        </w:rPr>
        <w:t xml:space="preserve"> </w:t>
      </w:r>
      <w:r>
        <w:t>factor</w:t>
      </w:r>
      <w:r>
        <w:rPr>
          <w:spacing w:val="-5"/>
        </w:rPr>
        <w:t xml:space="preserve"> </w:t>
      </w:r>
      <w:r>
        <w:t>greater</w:t>
      </w:r>
      <w:r>
        <w:rPr>
          <w:spacing w:val="-5"/>
        </w:rPr>
        <w:t xml:space="preserve"> </w:t>
      </w:r>
      <w:r>
        <w:t>than</w:t>
      </w:r>
      <w:r>
        <w:rPr>
          <w:spacing w:val="-5"/>
        </w:rPr>
        <w:t xml:space="preserve"> </w:t>
      </w:r>
      <w:r>
        <w:t>1.0,</w:t>
      </w:r>
      <w:r>
        <w:rPr>
          <w:spacing w:val="-5"/>
        </w:rPr>
        <w:t xml:space="preserve"> </w:t>
      </w:r>
      <w:r>
        <w:t>and</w:t>
      </w:r>
      <w:r>
        <w:rPr>
          <w:spacing w:val="-5"/>
        </w:rPr>
        <w:t xml:space="preserve"> </w:t>
      </w:r>
      <w:r>
        <w:t>assigning</w:t>
      </w:r>
      <w:r>
        <w:rPr>
          <w:spacing w:val="-5"/>
        </w:rPr>
        <w:t xml:space="preserve"> </w:t>
      </w:r>
      <w:r>
        <w:t>all</w:t>
      </w:r>
      <w:r>
        <w:rPr>
          <w:spacing w:val="-5"/>
        </w:rPr>
        <w:t xml:space="preserve"> </w:t>
      </w:r>
      <w:r>
        <w:t>other</w:t>
      </w:r>
      <w:r>
        <w:rPr>
          <w:spacing w:val="-5"/>
        </w:rPr>
        <w:t xml:space="preserve"> </w:t>
      </w:r>
      <w:r>
        <w:t>units</w:t>
      </w:r>
      <w:r>
        <w:rPr>
          <w:spacing w:val="-5"/>
        </w:rPr>
        <w:t xml:space="preserve"> </w:t>
      </w:r>
      <w:r>
        <w:t>from</w:t>
      </w:r>
      <w:r>
        <w:rPr>
          <w:spacing w:val="-5"/>
        </w:rPr>
        <w:t xml:space="preserve"> </w:t>
      </w:r>
      <w:r>
        <w:t>the</w:t>
      </w:r>
      <w:r>
        <w:rPr>
          <w:spacing w:val="-5"/>
        </w:rPr>
        <w:t xml:space="preserve"> </w:t>
      </w:r>
      <w:r>
        <w:t>other</w:t>
      </w:r>
      <w:r>
        <w:rPr>
          <w:spacing w:val="-5"/>
        </w:rPr>
        <w:t xml:space="preserve"> </w:t>
      </w:r>
      <w:r>
        <w:t>\(H</w:t>
      </w:r>
      <w:r>
        <w:rPr>
          <w:spacing w:val="-5"/>
        </w:rPr>
        <w:t xml:space="preserve"> </w:t>
      </w:r>
      <w:r>
        <w:t>-</w:t>
      </w:r>
      <w:r>
        <w:rPr>
          <w:spacing w:val="-5"/>
        </w:rPr>
        <w:t xml:space="preserve"> </w:t>
      </w:r>
      <w:r>
        <w:t>1\)</w:t>
      </w:r>
      <w:r>
        <w:rPr>
          <w:spacing w:val="-5"/>
        </w:rPr>
        <w:t xml:space="preserve"> </w:t>
      </w:r>
      <w:r>
        <w:t>strata</w:t>
      </w:r>
      <w:r>
        <w:rPr>
          <w:spacing w:val="-5"/>
        </w:rPr>
        <w:t xml:space="preserve"> </w:t>
      </w:r>
      <w:r>
        <w:t>a</w:t>
      </w:r>
      <w:r>
        <w:rPr>
          <w:spacing w:val="-5"/>
        </w:rPr>
        <w:t xml:space="preserve"> </w:t>
      </w:r>
      <w:r>
        <w:t>replicate</w:t>
      </w:r>
      <w:r>
        <w:rPr>
          <w:spacing w:val="-5"/>
        </w:rPr>
        <w:t xml:space="preserve"> </w:t>
      </w:r>
      <w:r>
        <w:t>factor</w:t>
      </w:r>
      <w:r>
        <w:rPr>
          <w:spacing w:val="-5"/>
        </w:rPr>
        <w:t xml:space="preserve"> </w:t>
      </w:r>
      <w:r>
        <w:t>of</w:t>
      </w:r>
      <w:r>
        <w:rPr>
          <w:spacing w:val="-5"/>
        </w:rPr>
        <w:t xml:space="preserve"> </w:t>
      </w:r>
      <w:r>
        <w:t>1.0.</w:t>
      </w:r>
      <w:r>
        <w:rPr>
          <w:spacing w:val="-9"/>
        </w:rPr>
        <w:t xml:space="preserve"> </w:t>
      </w:r>
      <w:r>
        <w:t>This procedure is carried out for each variance stratum resulting in \(H\) replicates, each of which provides an estimate of the population total.</w:t>
      </w:r>
    </w:p>
    <w:p w:rsidR="003F5784" w14:paraId="594B37B5" w14:textId="77777777">
      <w:pPr>
        <w:pStyle w:val="BodyText"/>
        <w:spacing w:before="209" w:line="232" w:lineRule="auto"/>
        <w:ind w:left="109" w:right="179"/>
      </w:pPr>
      <w:r>
        <w:t>In general, this process is repeated for subsequent levels of sampling. In practice, this is not practicable for a design with three or more stages of sampling, and the marginal improvement in precision of the variance estimates would be negligible in all such cases in the NAEP</w:t>
      </w:r>
      <w:r>
        <w:rPr>
          <w:spacing w:val="-8"/>
        </w:rPr>
        <w:t xml:space="preserve"> </w:t>
      </w:r>
      <w:r>
        <w:t>setting.</w:t>
      </w:r>
      <w:r>
        <w:rPr>
          <w:spacing w:val="-4"/>
        </w:rPr>
        <w:t xml:space="preserve"> </w:t>
      </w:r>
      <w:r>
        <w:t>Thus in NAEP, when a two-stage design is used–sampling schools</w:t>
      </w:r>
      <w:r>
        <w:rPr>
          <w:spacing w:val="-4"/>
        </w:rPr>
        <w:t xml:space="preserve"> </w:t>
      </w:r>
      <w:r>
        <w:t>and</w:t>
      </w:r>
      <w:r>
        <w:rPr>
          <w:spacing w:val="-4"/>
        </w:rPr>
        <w:t xml:space="preserve"> </w:t>
      </w:r>
      <w:r>
        <w:t>then</w:t>
      </w:r>
      <w:r>
        <w:rPr>
          <w:spacing w:val="-4"/>
        </w:rPr>
        <w:t xml:space="preserve"> </w:t>
      </w:r>
      <w:r>
        <w:t>students–beginning</w:t>
      </w:r>
      <w:r>
        <w:rPr>
          <w:spacing w:val="-4"/>
        </w:rPr>
        <w:t xml:space="preserve"> </w:t>
      </w:r>
      <w:r>
        <w:t>in</w:t>
      </w:r>
      <w:r>
        <w:rPr>
          <w:spacing w:val="-4"/>
        </w:rPr>
        <w:t xml:space="preserve"> </w:t>
      </w:r>
      <w:r>
        <w:t>2011</w:t>
      </w:r>
      <w:r>
        <w:rPr>
          <w:spacing w:val="-4"/>
        </w:rPr>
        <w:t xml:space="preserve"> </w:t>
      </w:r>
      <w:r>
        <w:t>replication</w:t>
      </w:r>
      <w:r>
        <w:rPr>
          <w:spacing w:val="-4"/>
        </w:rPr>
        <w:t xml:space="preserve"> </w:t>
      </w:r>
      <w:r>
        <w:t>is</w:t>
      </w:r>
      <w:r>
        <w:rPr>
          <w:spacing w:val="-4"/>
        </w:rPr>
        <w:t xml:space="preserve"> </w:t>
      </w:r>
      <w:r>
        <w:t>carried</w:t>
      </w:r>
      <w:r>
        <w:rPr>
          <w:spacing w:val="-4"/>
        </w:rPr>
        <w:t xml:space="preserve"> </w:t>
      </w:r>
      <w:r>
        <w:t>out</w:t>
      </w:r>
      <w:r>
        <w:rPr>
          <w:spacing w:val="-4"/>
        </w:rPr>
        <w:t xml:space="preserve"> </w:t>
      </w:r>
      <w:r>
        <w:t>at</w:t>
      </w:r>
      <w:r>
        <w:rPr>
          <w:spacing w:val="-4"/>
        </w:rPr>
        <w:t xml:space="preserve"> </w:t>
      </w:r>
      <w:r>
        <w:t>both</w:t>
      </w:r>
      <w:r>
        <w:rPr>
          <w:spacing w:val="-4"/>
        </w:rPr>
        <w:t xml:space="preserve"> </w:t>
      </w:r>
      <w:r>
        <w:t>stages</w:t>
      </w:r>
      <w:r>
        <w:rPr>
          <w:spacing w:val="-4"/>
        </w:rPr>
        <w:t xml:space="preserve"> </w:t>
      </w:r>
      <w:r>
        <w:t>for</w:t>
      </w:r>
      <w:r>
        <w:rPr>
          <w:spacing w:val="-4"/>
        </w:rPr>
        <w:t xml:space="preserve"> </w:t>
      </w:r>
      <w:r>
        <w:t>the</w:t>
      </w:r>
      <w:r>
        <w:rPr>
          <w:spacing w:val="-4"/>
        </w:rPr>
        <w:t xml:space="preserve"> </w:t>
      </w:r>
      <w:r>
        <w:t>purpose</w:t>
      </w:r>
      <w:r>
        <w:rPr>
          <w:spacing w:val="-4"/>
        </w:rPr>
        <w:t xml:space="preserve"> </w:t>
      </w:r>
      <w:r>
        <w:t>of</w:t>
      </w:r>
      <w:r>
        <w:rPr>
          <w:spacing w:val="-4"/>
        </w:rPr>
        <w:t xml:space="preserve"> </w:t>
      </w:r>
      <w:r>
        <w:t>computing</w:t>
      </w:r>
      <w:r>
        <w:rPr>
          <w:spacing w:val="-4"/>
        </w:rPr>
        <w:t xml:space="preserve"> </w:t>
      </w:r>
      <w:r>
        <w:t>replicate</w:t>
      </w:r>
      <w:r>
        <w:rPr>
          <w:spacing w:val="-4"/>
        </w:rPr>
        <w:t xml:space="preserve"> </w:t>
      </w:r>
      <w:r>
        <w:t>student</w:t>
      </w:r>
      <w:r>
        <w:rPr>
          <w:spacing w:val="-4"/>
        </w:rPr>
        <w:t xml:space="preserve"> </w:t>
      </w:r>
      <w:r>
        <w:t>weights.</w:t>
      </w:r>
      <w:r>
        <w:rPr>
          <w:spacing w:val="-8"/>
        </w:rPr>
        <w:t xml:space="preserve"> </w:t>
      </w:r>
      <w:r>
        <w:t>The</w:t>
      </w:r>
      <w:r>
        <w:rPr>
          <w:spacing w:val="-4"/>
        </w:rPr>
        <w:t xml:space="preserve"> </w:t>
      </w:r>
      <w:r>
        <w:t>change</w:t>
      </w:r>
      <w:r>
        <w:rPr>
          <w:spacing w:val="-4"/>
        </w:rPr>
        <w:t xml:space="preserve"> </w:t>
      </w:r>
      <w:r>
        <w:t>implemented</w:t>
      </w:r>
      <w:r>
        <w:rPr>
          <w:spacing w:val="-4"/>
        </w:rPr>
        <w:t xml:space="preserve"> </w:t>
      </w:r>
      <w:r>
        <w:t>in</w:t>
      </w:r>
      <w:r>
        <w:rPr>
          <w:spacing w:val="-4"/>
        </w:rPr>
        <w:t xml:space="preserve"> </w:t>
      </w:r>
      <w:r>
        <w:t>2011 permitted</w:t>
      </w:r>
      <w:r>
        <w:rPr>
          <w:spacing w:val="-6"/>
        </w:rPr>
        <w:t xml:space="preserve"> </w:t>
      </w:r>
      <w:r>
        <w:t>the</w:t>
      </w:r>
      <w:r>
        <w:rPr>
          <w:spacing w:val="-6"/>
        </w:rPr>
        <w:t xml:space="preserve"> </w:t>
      </w:r>
      <w:r>
        <w:t>introduction</w:t>
      </w:r>
      <w:r>
        <w:rPr>
          <w:spacing w:val="-6"/>
        </w:rPr>
        <w:t xml:space="preserve"> </w:t>
      </w:r>
      <w:r>
        <w:t>of</w:t>
      </w:r>
      <w:r>
        <w:rPr>
          <w:spacing w:val="-6"/>
        </w:rPr>
        <w:t xml:space="preserve"> </w:t>
      </w:r>
      <w:r>
        <w:t>a</w:t>
      </w:r>
      <w:r>
        <w:rPr>
          <w:spacing w:val="-6"/>
        </w:rPr>
        <w:t xml:space="preserve"> </w:t>
      </w:r>
      <w:r>
        <w:t>finite</w:t>
      </w:r>
      <w:r>
        <w:rPr>
          <w:spacing w:val="-6"/>
        </w:rPr>
        <w:t xml:space="preserve"> </w:t>
      </w:r>
      <w:r>
        <w:t>population</w:t>
      </w:r>
      <w:r>
        <w:rPr>
          <w:spacing w:val="-6"/>
        </w:rPr>
        <w:t xml:space="preserve"> </w:t>
      </w:r>
      <w:r>
        <w:t>correction</w:t>
      </w:r>
      <w:r>
        <w:rPr>
          <w:spacing w:val="-6"/>
        </w:rPr>
        <w:t xml:space="preserve"> </w:t>
      </w:r>
      <w:r>
        <w:t>factor</w:t>
      </w:r>
      <w:r>
        <w:rPr>
          <w:spacing w:val="-6"/>
        </w:rPr>
        <w:t xml:space="preserve"> </w:t>
      </w:r>
      <w:r>
        <w:t>at</w:t>
      </w:r>
      <w:r>
        <w:rPr>
          <w:spacing w:val="-6"/>
        </w:rPr>
        <w:t xml:space="preserve"> </w:t>
      </w:r>
      <w:r>
        <w:t>the</w:t>
      </w:r>
      <w:r>
        <w:rPr>
          <w:spacing w:val="-6"/>
        </w:rPr>
        <w:t xml:space="preserve"> </w:t>
      </w:r>
      <w:r>
        <w:t>school</w:t>
      </w:r>
      <w:r>
        <w:rPr>
          <w:spacing w:val="-6"/>
        </w:rPr>
        <w:t xml:space="preserve"> </w:t>
      </w:r>
      <w:r>
        <w:t>sampling</w:t>
      </w:r>
      <w:r>
        <w:rPr>
          <w:spacing w:val="-6"/>
        </w:rPr>
        <w:t xml:space="preserve"> </w:t>
      </w:r>
      <w:r>
        <w:t>stage.</w:t>
      </w:r>
      <w:r>
        <w:rPr>
          <w:spacing w:val="-6"/>
        </w:rPr>
        <w:t xml:space="preserve"> </w:t>
      </w:r>
      <w:r>
        <w:t>Prior</w:t>
      </w:r>
      <w:r>
        <w:rPr>
          <w:spacing w:val="-6"/>
        </w:rPr>
        <w:t xml:space="preserve"> </w:t>
      </w:r>
      <w:r>
        <w:t>to</w:t>
      </w:r>
      <w:r>
        <w:rPr>
          <w:spacing w:val="-6"/>
        </w:rPr>
        <w:t xml:space="preserve"> </w:t>
      </w:r>
      <w:r>
        <w:t>2011,</w:t>
      </w:r>
      <w:r>
        <w:rPr>
          <w:spacing w:val="-6"/>
        </w:rPr>
        <w:t xml:space="preserve"> </w:t>
      </w:r>
      <w:r>
        <w:t>replication</w:t>
      </w:r>
      <w:r>
        <w:rPr>
          <w:spacing w:val="-6"/>
        </w:rPr>
        <w:t xml:space="preserve"> </w:t>
      </w:r>
      <w:r>
        <w:t>was</w:t>
      </w:r>
      <w:r>
        <w:rPr>
          <w:spacing w:val="-6"/>
        </w:rPr>
        <w:t xml:space="preserve"> </w:t>
      </w:r>
      <w:r>
        <w:t>only</w:t>
      </w:r>
      <w:r>
        <w:rPr>
          <w:spacing w:val="-6"/>
        </w:rPr>
        <w:t xml:space="preserve"> </w:t>
      </w:r>
      <w:r>
        <w:t>carried</w:t>
      </w:r>
      <w:r>
        <w:rPr>
          <w:spacing w:val="-6"/>
        </w:rPr>
        <w:t xml:space="preserve"> </w:t>
      </w:r>
      <w:r>
        <w:t>out</w:t>
      </w:r>
      <w:r>
        <w:rPr>
          <w:spacing w:val="-6"/>
        </w:rPr>
        <w:t xml:space="preserve"> </w:t>
      </w:r>
      <w:r>
        <w:t>at</w:t>
      </w:r>
      <w:r>
        <w:rPr>
          <w:spacing w:val="-6"/>
        </w:rPr>
        <w:t xml:space="preserve"> </w:t>
      </w:r>
      <w:r>
        <w:t>the</w:t>
      </w:r>
      <w:r>
        <w:rPr>
          <w:spacing w:val="-6"/>
        </w:rPr>
        <w:t xml:space="preserve"> </w:t>
      </w:r>
      <w:r>
        <w:t>first</w:t>
      </w:r>
      <w:r>
        <w:rPr>
          <w:spacing w:val="-6"/>
        </w:rPr>
        <w:t xml:space="preserve"> </w:t>
      </w:r>
      <w:r>
        <w:t>stage</w:t>
      </w:r>
      <w:r>
        <w:rPr>
          <w:spacing w:val="-6"/>
        </w:rPr>
        <w:t xml:space="preserve"> </w:t>
      </w:r>
      <w:r>
        <w:t>of</w:t>
      </w:r>
      <w:r>
        <w:rPr>
          <w:spacing w:val="-6"/>
        </w:rPr>
        <w:t xml:space="preserve"> </w:t>
      </w:r>
      <w:r>
        <w:t>selection.</w:t>
      </w:r>
      <w:r>
        <w:rPr>
          <w:spacing w:val="-6"/>
        </w:rPr>
        <w:t xml:space="preserve"> </w:t>
      </w:r>
      <w:r>
        <w:t xml:space="preserve">See </w:t>
      </w:r>
      <w:r>
        <w:rPr>
          <w:color w:val="0066CC"/>
        </w:rPr>
        <w:t xml:space="preserve">Rizzo and Rust (2011) </w:t>
      </w:r>
      <w:r>
        <w:t>for a description of the methodology.</w:t>
      </w:r>
    </w:p>
    <w:p w:rsidR="003F5784" w14:paraId="35A4F0B3" w14:textId="77777777">
      <w:pPr>
        <w:pStyle w:val="BodyText"/>
        <w:spacing w:before="211" w:line="232" w:lineRule="auto"/>
        <w:ind w:left="109"/>
      </w:pPr>
      <w:r>
        <w:t>When</w:t>
      </w:r>
      <w:r>
        <w:rPr>
          <w:spacing w:val="-2"/>
        </w:rPr>
        <w:t xml:space="preserve"> </w:t>
      </w:r>
      <w:r>
        <w:t>a</w:t>
      </w:r>
      <w:r>
        <w:rPr>
          <w:spacing w:val="-2"/>
        </w:rPr>
        <w:t xml:space="preserve"> </w:t>
      </w:r>
      <w:r>
        <w:t>three-stage</w:t>
      </w:r>
      <w:r>
        <w:rPr>
          <w:spacing w:val="-2"/>
        </w:rPr>
        <w:t xml:space="preserve"> </w:t>
      </w:r>
      <w:r>
        <w:t>design</w:t>
      </w:r>
      <w:r>
        <w:rPr>
          <w:spacing w:val="-2"/>
        </w:rPr>
        <w:t xml:space="preserve"> </w:t>
      </w:r>
      <w:r>
        <w:t>is</w:t>
      </w:r>
      <w:r>
        <w:rPr>
          <w:spacing w:val="-2"/>
        </w:rPr>
        <w:t xml:space="preserve"> </w:t>
      </w:r>
      <w:r>
        <w:t>used,</w:t>
      </w:r>
      <w:r>
        <w:rPr>
          <w:spacing w:val="-2"/>
        </w:rPr>
        <w:t xml:space="preserve"> </w:t>
      </w:r>
      <w:r>
        <w:t>involving</w:t>
      </w:r>
      <w:r>
        <w:rPr>
          <w:spacing w:val="-2"/>
        </w:rPr>
        <w:t xml:space="preserve"> </w:t>
      </w:r>
      <w:r>
        <w:t>the</w:t>
      </w:r>
      <w:r>
        <w:rPr>
          <w:spacing w:val="-2"/>
        </w:rPr>
        <w:t xml:space="preserve"> </w:t>
      </w:r>
      <w:r>
        <w:t>selection</w:t>
      </w:r>
      <w:r>
        <w:rPr>
          <w:spacing w:val="-2"/>
        </w:rPr>
        <w:t xml:space="preserve"> </w:t>
      </w:r>
      <w:r>
        <w:t>of</w:t>
      </w:r>
      <w:r>
        <w:rPr>
          <w:spacing w:val="-2"/>
        </w:rPr>
        <w:t xml:space="preserve"> </w:t>
      </w:r>
      <w:r>
        <w:t>geographic</w:t>
      </w:r>
      <w:r>
        <w:rPr>
          <w:spacing w:val="-2"/>
        </w:rPr>
        <w:t xml:space="preserve"> </w:t>
      </w:r>
      <w:r>
        <w:t>Primary</w:t>
      </w:r>
      <w:r>
        <w:rPr>
          <w:spacing w:val="-2"/>
        </w:rPr>
        <w:t xml:space="preserve"> </w:t>
      </w:r>
      <w:r>
        <w:t>Sampling</w:t>
      </w:r>
      <w:r>
        <w:rPr>
          <w:spacing w:val="-2"/>
        </w:rPr>
        <w:t xml:space="preserve"> </w:t>
      </w:r>
      <w:r>
        <w:t>Units</w:t>
      </w:r>
      <w:r>
        <w:rPr>
          <w:spacing w:val="-2"/>
        </w:rPr>
        <w:t xml:space="preserve"> </w:t>
      </w:r>
      <w:r>
        <w:t>(PSUs),</w:t>
      </w:r>
      <w:r>
        <w:rPr>
          <w:spacing w:val="-2"/>
        </w:rPr>
        <w:t xml:space="preserve"> </w:t>
      </w:r>
      <w:r>
        <w:t>then</w:t>
      </w:r>
      <w:r>
        <w:rPr>
          <w:spacing w:val="-2"/>
        </w:rPr>
        <w:t xml:space="preserve"> </w:t>
      </w:r>
      <w:r>
        <w:t>schools,</w:t>
      </w:r>
      <w:r>
        <w:rPr>
          <w:spacing w:val="-2"/>
        </w:rPr>
        <w:t xml:space="preserve"> </w:t>
      </w:r>
      <w:r>
        <w:t>and</w:t>
      </w:r>
      <w:r>
        <w:rPr>
          <w:spacing w:val="-2"/>
        </w:rPr>
        <w:t xml:space="preserve"> </w:t>
      </w:r>
      <w:r>
        <w:t>then</w:t>
      </w:r>
      <w:r>
        <w:rPr>
          <w:spacing w:val="-2"/>
        </w:rPr>
        <w:t xml:space="preserve"> </w:t>
      </w:r>
      <w:r>
        <w:t>students,</w:t>
      </w:r>
      <w:r>
        <w:rPr>
          <w:spacing w:val="-2"/>
        </w:rPr>
        <w:t xml:space="preserve"> </w:t>
      </w:r>
      <w:r>
        <w:t>the</w:t>
      </w:r>
      <w:r>
        <w:rPr>
          <w:spacing w:val="-2"/>
        </w:rPr>
        <w:t xml:space="preserve"> </w:t>
      </w:r>
      <w:r>
        <w:t>replication</w:t>
      </w:r>
      <w:r>
        <w:rPr>
          <w:spacing w:val="-2"/>
        </w:rPr>
        <w:t xml:space="preserve"> </w:t>
      </w:r>
      <w:r>
        <w:t>procedure</w:t>
      </w:r>
      <w:r>
        <w:rPr>
          <w:spacing w:val="-2"/>
        </w:rPr>
        <w:t xml:space="preserve"> </w:t>
      </w:r>
      <w:r>
        <w:t>is</w:t>
      </w:r>
      <w:r>
        <w:rPr>
          <w:spacing w:val="-2"/>
        </w:rPr>
        <w:t xml:space="preserve"> </w:t>
      </w:r>
      <w:r>
        <w:t>only carried</w:t>
      </w:r>
      <w:r>
        <w:rPr>
          <w:spacing w:val="-5"/>
        </w:rPr>
        <w:t xml:space="preserve"> </w:t>
      </w:r>
      <w:r>
        <w:t>out</w:t>
      </w:r>
      <w:r>
        <w:rPr>
          <w:spacing w:val="-5"/>
        </w:rPr>
        <w:t xml:space="preserve"> </w:t>
      </w:r>
      <w:r>
        <w:t>at</w:t>
      </w:r>
      <w:r>
        <w:rPr>
          <w:spacing w:val="-5"/>
        </w:rPr>
        <w:t xml:space="preserve"> </w:t>
      </w:r>
      <w:r>
        <w:t>the</w:t>
      </w:r>
      <w:r>
        <w:rPr>
          <w:spacing w:val="-5"/>
        </w:rPr>
        <w:t xml:space="preserve"> </w:t>
      </w:r>
      <w:r>
        <w:t>first</w:t>
      </w:r>
      <w:r>
        <w:rPr>
          <w:spacing w:val="-5"/>
        </w:rPr>
        <w:t xml:space="preserve"> </w:t>
      </w:r>
      <w:r>
        <w:t>stage</w:t>
      </w:r>
      <w:r>
        <w:rPr>
          <w:spacing w:val="-5"/>
        </w:rPr>
        <w:t xml:space="preserve"> </w:t>
      </w:r>
      <w:r>
        <w:t>of</w:t>
      </w:r>
      <w:r>
        <w:rPr>
          <w:spacing w:val="-5"/>
        </w:rPr>
        <w:t xml:space="preserve"> </w:t>
      </w:r>
      <w:r>
        <w:t>sampling</w:t>
      </w:r>
      <w:r>
        <w:rPr>
          <w:spacing w:val="-5"/>
        </w:rPr>
        <w:t xml:space="preserve"> </w:t>
      </w:r>
      <w:r>
        <w:t>(the</w:t>
      </w:r>
      <w:r>
        <w:rPr>
          <w:spacing w:val="-5"/>
        </w:rPr>
        <w:t xml:space="preserve"> </w:t>
      </w:r>
      <w:r>
        <w:t>PSU</w:t>
      </w:r>
      <w:r>
        <w:rPr>
          <w:spacing w:val="-5"/>
        </w:rPr>
        <w:t xml:space="preserve"> </w:t>
      </w:r>
      <w:r>
        <w:t>stage</w:t>
      </w:r>
      <w:r>
        <w:rPr>
          <w:spacing w:val="-5"/>
        </w:rPr>
        <w:t xml:space="preserve"> </w:t>
      </w:r>
      <w:r>
        <w:t>for</w:t>
      </w:r>
      <w:r>
        <w:rPr>
          <w:spacing w:val="-5"/>
        </w:rPr>
        <w:t xml:space="preserve"> </w:t>
      </w:r>
      <w:r>
        <w:t>noncertainty</w:t>
      </w:r>
      <w:r>
        <w:rPr>
          <w:spacing w:val="-5"/>
        </w:rPr>
        <w:t xml:space="preserve"> </w:t>
      </w:r>
      <w:r>
        <w:t>PSUs,</w:t>
      </w:r>
      <w:r>
        <w:rPr>
          <w:spacing w:val="-5"/>
        </w:rPr>
        <w:t xml:space="preserve"> </w:t>
      </w:r>
      <w:r>
        <w:t>and</w:t>
      </w:r>
      <w:r>
        <w:rPr>
          <w:spacing w:val="-5"/>
        </w:rPr>
        <w:t xml:space="preserve"> </w:t>
      </w:r>
      <w:r>
        <w:t>the</w:t>
      </w:r>
      <w:r>
        <w:rPr>
          <w:spacing w:val="-5"/>
        </w:rPr>
        <w:t xml:space="preserve"> </w:t>
      </w:r>
      <w:r>
        <w:t>school</w:t>
      </w:r>
      <w:r>
        <w:rPr>
          <w:spacing w:val="-5"/>
        </w:rPr>
        <w:t xml:space="preserve"> </w:t>
      </w:r>
      <w:r>
        <w:t>stage</w:t>
      </w:r>
      <w:r>
        <w:rPr>
          <w:spacing w:val="-5"/>
        </w:rPr>
        <w:t xml:space="preserve"> </w:t>
      </w:r>
      <w:r>
        <w:t>within</w:t>
      </w:r>
      <w:r>
        <w:rPr>
          <w:spacing w:val="-5"/>
        </w:rPr>
        <w:t xml:space="preserve"> </w:t>
      </w:r>
      <w:r>
        <w:t>certainty</w:t>
      </w:r>
      <w:r>
        <w:rPr>
          <w:spacing w:val="-5"/>
        </w:rPr>
        <w:t xml:space="preserve"> </w:t>
      </w:r>
      <w:r>
        <w:t>PSUs).</w:t>
      </w:r>
      <w:r>
        <w:rPr>
          <w:spacing w:val="-5"/>
        </w:rPr>
        <w:t xml:space="preserve"> </w:t>
      </w:r>
      <w:r>
        <w:t>In</w:t>
      </w:r>
      <w:r>
        <w:rPr>
          <w:spacing w:val="-5"/>
        </w:rPr>
        <w:t xml:space="preserve"> </w:t>
      </w:r>
      <w:r>
        <w:t>this</w:t>
      </w:r>
      <w:r>
        <w:rPr>
          <w:spacing w:val="-5"/>
        </w:rPr>
        <w:t xml:space="preserve"> </w:t>
      </w:r>
      <w:r>
        <w:t>situation,</w:t>
      </w:r>
      <w:r>
        <w:rPr>
          <w:spacing w:val="-5"/>
        </w:rPr>
        <w:t xml:space="preserve"> </w:t>
      </w:r>
      <w:r>
        <w:t>the</w:t>
      </w:r>
      <w:r>
        <w:rPr>
          <w:spacing w:val="-5"/>
        </w:rPr>
        <w:t xml:space="preserve"> </w:t>
      </w:r>
      <w:r>
        <w:t>school</w:t>
      </w:r>
      <w:r>
        <w:rPr>
          <w:spacing w:val="-5"/>
        </w:rPr>
        <w:t xml:space="preserve"> </w:t>
      </w:r>
      <w:r>
        <w:t>and</w:t>
      </w:r>
      <w:r>
        <w:rPr>
          <w:spacing w:val="-5"/>
        </w:rPr>
        <w:t xml:space="preserve"> </w:t>
      </w:r>
      <w:r>
        <w:t>student</w:t>
      </w:r>
      <w:r>
        <w:rPr>
          <w:spacing w:val="-5"/>
        </w:rPr>
        <w:t xml:space="preserve"> </w:t>
      </w:r>
      <w:r>
        <w:t>variance components are correctly estimated, and the overstatement of the between-PSU variance component is relatively very small.</w:t>
      </w:r>
    </w:p>
    <w:p w:rsidR="003F5784" w14:paraId="13B2C39E" w14:textId="77777777">
      <w:pPr>
        <w:pStyle w:val="BodyText"/>
        <w:spacing w:before="203"/>
        <w:ind w:left="109"/>
      </w:pPr>
      <w:r>
        <w:t>The</w:t>
      </w:r>
      <w:r>
        <w:rPr>
          <w:spacing w:val="-6"/>
        </w:rPr>
        <w:t xml:space="preserve"> </w:t>
      </w:r>
      <w:r>
        <w:t>jackknife</w:t>
      </w:r>
      <w:r>
        <w:rPr>
          <w:spacing w:val="-5"/>
        </w:rPr>
        <w:t xml:space="preserve"> </w:t>
      </w:r>
      <w:r>
        <w:t>estimate</w:t>
      </w:r>
      <w:r>
        <w:rPr>
          <w:spacing w:val="-5"/>
        </w:rPr>
        <w:t xml:space="preserve"> </w:t>
      </w:r>
      <w:r>
        <w:t>of</w:t>
      </w:r>
      <w:r>
        <w:rPr>
          <w:spacing w:val="-6"/>
        </w:rPr>
        <w:t xml:space="preserve"> </w:t>
      </w:r>
      <w:r>
        <w:t>the</w:t>
      </w:r>
      <w:r>
        <w:rPr>
          <w:spacing w:val="-5"/>
        </w:rPr>
        <w:t xml:space="preserve"> </w:t>
      </w:r>
      <w:r>
        <w:t>variance</w:t>
      </w:r>
      <w:r>
        <w:rPr>
          <w:spacing w:val="-5"/>
        </w:rPr>
        <w:t xml:space="preserve"> </w:t>
      </w:r>
      <w:r>
        <w:t>for</w:t>
      </w:r>
      <w:r>
        <w:rPr>
          <w:spacing w:val="-6"/>
        </w:rPr>
        <w:t xml:space="preserve"> </w:t>
      </w:r>
      <w:r>
        <w:t>any</w:t>
      </w:r>
      <w:r>
        <w:rPr>
          <w:spacing w:val="-5"/>
        </w:rPr>
        <w:t xml:space="preserve"> </w:t>
      </w:r>
      <w:r>
        <w:t>given</w:t>
      </w:r>
      <w:r>
        <w:rPr>
          <w:spacing w:val="-5"/>
        </w:rPr>
        <w:t xml:space="preserve"> </w:t>
      </w:r>
      <w:r>
        <w:t>statistic</w:t>
      </w:r>
      <w:r>
        <w:rPr>
          <w:spacing w:val="-6"/>
        </w:rPr>
        <w:t xml:space="preserve"> </w:t>
      </w:r>
      <w:r>
        <w:t>is</w:t>
      </w:r>
      <w:r>
        <w:rPr>
          <w:spacing w:val="-5"/>
        </w:rPr>
        <w:t xml:space="preserve"> </w:t>
      </w:r>
      <w:r>
        <w:t>given</w:t>
      </w:r>
      <w:r>
        <w:rPr>
          <w:spacing w:val="-5"/>
        </w:rPr>
        <w:t xml:space="preserve"> </w:t>
      </w:r>
      <w:r>
        <w:t>by</w:t>
      </w:r>
      <w:r>
        <w:rPr>
          <w:spacing w:val="-6"/>
        </w:rPr>
        <w:t xml:space="preserve"> </w:t>
      </w:r>
      <w:r>
        <w:t>the</w:t>
      </w:r>
      <w:r>
        <w:rPr>
          <w:spacing w:val="-5"/>
        </w:rPr>
        <w:t xml:space="preserve"> </w:t>
      </w:r>
      <w:r>
        <w:t>following</w:t>
      </w:r>
      <w:r>
        <w:rPr>
          <w:spacing w:val="-5"/>
        </w:rPr>
        <w:t xml:space="preserve"> </w:t>
      </w:r>
      <w:r>
        <w:rPr>
          <w:spacing w:val="-2"/>
        </w:rPr>
        <w:t>formula:</w:t>
      </w:r>
    </w:p>
    <w:p w:rsidR="003F5784" w14:paraId="4C074DE7" w14:textId="77777777">
      <w:pPr>
        <w:pStyle w:val="BodyText"/>
        <w:spacing w:before="202" w:line="439" w:lineRule="auto"/>
        <w:ind w:left="109" w:right="6889"/>
      </w:pPr>
      <w:r>
        <w:rPr>
          <w:spacing w:val="-2"/>
        </w:rPr>
        <w:t>\begin{equation} \nu(\hat{t}) =\sum_{h=1}^{H} {(\hat{t}_{h}-\hat{t})^2}, \end{equation} where</w:t>
      </w:r>
    </w:p>
    <w:p w:rsidR="003F5784" w14:paraId="4F447806" w14:textId="77777777">
      <w:pPr>
        <w:pStyle w:val="BodyText"/>
        <w:spacing w:before="8" w:line="232" w:lineRule="auto"/>
        <w:ind w:left="422" w:right="8347"/>
      </w:pPr>
      <w:r>
        <w:rPr>
          <w:noProof/>
          <w:position w:val="3"/>
        </w:rPr>
        <w:drawing>
          <wp:inline distT="0" distB="0" distL="0" distR="0">
            <wp:extent cx="41379" cy="41378"/>
            <wp:effectExtent l="0" t="0" r="0" b="0"/>
            <wp:docPr id="663" name="Image 663"/>
            <wp:cNvGraphicFramePr/>
            <a:graphic xmlns:a="http://schemas.openxmlformats.org/drawingml/2006/main">
              <a:graphicData uri="http://schemas.openxmlformats.org/drawingml/2006/picture">
                <pic:pic xmlns:pic="http://schemas.openxmlformats.org/drawingml/2006/picture">
                  <pic:nvPicPr>
                    <pic:cNvPr id="663" name="Image 663"/>
                    <pic:cNvPicPr/>
                  </pic:nvPicPr>
                  <pic:blipFill>
                    <a:blip xmlns:r="http://schemas.openxmlformats.org/officeDocument/2006/relationships" r:embed="rId530" cstate="print"/>
                    <a:stretch>
                      <a:fillRect/>
                    </a:stretch>
                  </pic:blipFill>
                  <pic:spPr>
                    <a:xfrm>
                      <a:off x="0" y="0"/>
                      <a:ext cx="41379" cy="41378"/>
                    </a:xfrm>
                    <a:prstGeom prst="rect">
                      <a:avLst/>
                    </a:prstGeom>
                  </pic:spPr>
                </pic:pic>
              </a:graphicData>
            </a:graphic>
          </wp:inline>
        </w:drawing>
      </w:r>
      <w:r>
        <w:rPr>
          <w:spacing w:val="80"/>
          <w:sz w:val="20"/>
        </w:rPr>
        <w:t xml:space="preserve"> </w:t>
      </w:r>
      <w:r>
        <w:t>\(\hat{t}\)</w:t>
      </w:r>
      <w:r>
        <w:rPr>
          <w:spacing w:val="-3"/>
        </w:rPr>
        <w:t xml:space="preserve"> </w:t>
      </w:r>
      <w:r>
        <w:t>represents</w:t>
      </w:r>
      <w:r>
        <w:rPr>
          <w:spacing w:val="-3"/>
        </w:rPr>
        <w:t xml:space="preserve"> </w:t>
      </w:r>
      <w:r>
        <w:t>the</w:t>
      </w:r>
      <w:r>
        <w:rPr>
          <w:spacing w:val="-3"/>
        </w:rPr>
        <w:t xml:space="preserve"> </w:t>
      </w:r>
      <w:r>
        <w:t>full</w:t>
      </w:r>
      <w:r>
        <w:rPr>
          <w:spacing w:val="-3"/>
        </w:rPr>
        <w:t xml:space="preserve"> </w:t>
      </w:r>
      <w:r>
        <w:t>sample</w:t>
      </w:r>
      <w:r>
        <w:rPr>
          <w:spacing w:val="-3"/>
        </w:rPr>
        <w:t xml:space="preserve"> </w:t>
      </w:r>
      <w:r>
        <w:t>estimate</w:t>
      </w:r>
      <w:r>
        <w:rPr>
          <w:spacing w:val="-3"/>
        </w:rPr>
        <w:t xml:space="preserve"> </w:t>
      </w:r>
      <w:r>
        <w:t>of</w:t>
      </w:r>
      <w:r>
        <w:rPr>
          <w:spacing w:val="-3"/>
        </w:rPr>
        <w:t xml:space="preserve"> </w:t>
      </w:r>
      <w:r>
        <w:t>the</w:t>
      </w:r>
      <w:r>
        <w:rPr>
          <w:spacing w:val="-3"/>
        </w:rPr>
        <w:t xml:space="preserve"> </w:t>
      </w:r>
      <w:r>
        <w:t>given</w:t>
      </w:r>
      <w:r>
        <w:rPr>
          <w:spacing w:val="-3"/>
        </w:rPr>
        <w:t xml:space="preserve"> </w:t>
      </w:r>
      <w:r>
        <w:t>statistic;</w:t>
      </w:r>
      <w:r>
        <w:rPr>
          <w:spacing w:val="-3"/>
        </w:rPr>
        <w:t xml:space="preserve"> </w:t>
      </w:r>
      <w:r>
        <w:t xml:space="preserve">and </w:t>
      </w:r>
      <w:r>
        <w:rPr>
          <w:noProof/>
          <w:position w:val="3"/>
        </w:rPr>
        <w:drawing>
          <wp:inline distT="0" distB="0" distL="0" distR="0">
            <wp:extent cx="41379" cy="41378"/>
            <wp:effectExtent l="0" t="0" r="0" b="0"/>
            <wp:docPr id="664" name="Image 664"/>
            <wp:cNvGraphicFramePr/>
            <a:graphic xmlns:a="http://schemas.openxmlformats.org/drawingml/2006/main">
              <a:graphicData uri="http://schemas.openxmlformats.org/drawingml/2006/picture">
                <pic:pic xmlns:pic="http://schemas.openxmlformats.org/drawingml/2006/picture">
                  <pic:nvPicPr>
                    <pic:cNvPr id="664" name="Image 664"/>
                    <pic:cNvPicPr/>
                  </pic:nvPicPr>
                  <pic:blipFill>
                    <a:blip xmlns:r="http://schemas.openxmlformats.org/officeDocument/2006/relationships" r:embed="rId531" cstate="print"/>
                    <a:stretch>
                      <a:fillRect/>
                    </a:stretch>
                  </pic:blipFill>
                  <pic:spPr>
                    <a:xfrm>
                      <a:off x="0" y="0"/>
                      <a:ext cx="41379" cy="41378"/>
                    </a:xfrm>
                    <a:prstGeom prst="rect">
                      <a:avLst/>
                    </a:prstGeom>
                  </pic:spPr>
                </pic:pic>
              </a:graphicData>
            </a:graphic>
          </wp:inline>
        </w:drawing>
      </w:r>
      <w:r>
        <w:rPr>
          <w:spacing w:val="68"/>
        </w:rPr>
        <w:t xml:space="preserve"> </w:t>
      </w:r>
      <w:r>
        <w:t>\(\hat{t}_{h}\)</w:t>
      </w:r>
      <w:r>
        <w:rPr>
          <w:spacing w:val="-9"/>
        </w:rPr>
        <w:t xml:space="preserve"> </w:t>
      </w:r>
      <w:r>
        <w:t>represents</w:t>
      </w:r>
      <w:r>
        <w:rPr>
          <w:spacing w:val="-9"/>
        </w:rPr>
        <w:t xml:space="preserve"> </w:t>
      </w:r>
      <w:r>
        <w:t>the</w:t>
      </w:r>
      <w:r>
        <w:rPr>
          <w:spacing w:val="-9"/>
        </w:rPr>
        <w:t xml:space="preserve"> </w:t>
      </w:r>
      <w:r>
        <w:t>corresponding</w:t>
      </w:r>
      <w:r>
        <w:rPr>
          <w:spacing w:val="-9"/>
        </w:rPr>
        <w:t xml:space="preserve"> </w:t>
      </w:r>
      <w:r>
        <w:t>estimate</w:t>
      </w:r>
      <w:r>
        <w:rPr>
          <w:spacing w:val="-9"/>
        </w:rPr>
        <w:t xml:space="preserve"> </w:t>
      </w:r>
      <w:r>
        <w:t>for</w:t>
      </w:r>
      <w:r>
        <w:rPr>
          <w:spacing w:val="-9"/>
        </w:rPr>
        <w:t xml:space="preserve"> </w:t>
      </w:r>
      <w:r>
        <w:t>replicate</w:t>
      </w:r>
      <w:r>
        <w:rPr>
          <w:spacing w:val="-9"/>
        </w:rPr>
        <w:t xml:space="preserve"> </w:t>
      </w:r>
      <w:r>
        <w:t>\(h\).</w:t>
      </w:r>
    </w:p>
    <w:p w:rsidR="003F5784" w14:paraId="10BD679B" w14:textId="77777777">
      <w:pPr>
        <w:pStyle w:val="BodyText"/>
        <w:spacing w:before="210" w:line="232" w:lineRule="auto"/>
        <w:ind w:left="109" w:right="318"/>
      </w:pPr>
      <w:r>
        <w:t>Each</w:t>
      </w:r>
      <w:r>
        <w:rPr>
          <w:spacing w:val="-6"/>
        </w:rPr>
        <w:t xml:space="preserve"> </w:t>
      </w:r>
      <w:r>
        <w:t>replicate</w:t>
      </w:r>
      <w:r>
        <w:rPr>
          <w:spacing w:val="-6"/>
        </w:rPr>
        <w:t xml:space="preserve"> </w:t>
      </w:r>
      <w:r>
        <w:t>undergoes</w:t>
      </w:r>
      <w:r>
        <w:rPr>
          <w:spacing w:val="-6"/>
        </w:rPr>
        <w:t xml:space="preserve"> </w:t>
      </w:r>
      <w:r>
        <w:t>the</w:t>
      </w:r>
      <w:r>
        <w:rPr>
          <w:spacing w:val="-6"/>
        </w:rPr>
        <w:t xml:space="preserve"> </w:t>
      </w:r>
      <w:r>
        <w:t>same</w:t>
      </w:r>
      <w:r>
        <w:rPr>
          <w:spacing w:val="-6"/>
        </w:rPr>
        <w:t xml:space="preserve"> </w:t>
      </w:r>
      <w:r>
        <w:t>weighting</w:t>
      </w:r>
      <w:r>
        <w:rPr>
          <w:spacing w:val="-6"/>
        </w:rPr>
        <w:t xml:space="preserve"> </w:t>
      </w:r>
      <w:r>
        <w:t>procedure</w:t>
      </w:r>
      <w:r>
        <w:rPr>
          <w:spacing w:val="-6"/>
        </w:rPr>
        <w:t xml:space="preserve"> </w:t>
      </w:r>
      <w:r>
        <w:t>as</w:t>
      </w:r>
      <w:r>
        <w:rPr>
          <w:spacing w:val="-6"/>
        </w:rPr>
        <w:t xml:space="preserve"> </w:t>
      </w:r>
      <w:r>
        <w:t>the</w:t>
      </w:r>
      <w:r>
        <w:rPr>
          <w:spacing w:val="-6"/>
        </w:rPr>
        <w:t xml:space="preserve"> </w:t>
      </w:r>
      <w:r>
        <w:t>full</w:t>
      </w:r>
      <w:r>
        <w:rPr>
          <w:spacing w:val="-6"/>
        </w:rPr>
        <w:t xml:space="preserve"> </w:t>
      </w:r>
      <w:r>
        <w:t>sample</w:t>
      </w:r>
      <w:r>
        <w:rPr>
          <w:spacing w:val="-6"/>
        </w:rPr>
        <w:t xml:space="preserve"> </w:t>
      </w:r>
      <w:r>
        <w:t>so</w:t>
      </w:r>
      <w:r>
        <w:rPr>
          <w:spacing w:val="-6"/>
        </w:rPr>
        <w:t xml:space="preserve"> </w:t>
      </w:r>
      <w:r>
        <w:t>that</w:t>
      </w:r>
      <w:r>
        <w:rPr>
          <w:spacing w:val="-6"/>
        </w:rPr>
        <w:t xml:space="preserve"> </w:t>
      </w:r>
      <w:r>
        <w:t>the</w:t>
      </w:r>
      <w:r>
        <w:rPr>
          <w:spacing w:val="-6"/>
        </w:rPr>
        <w:t xml:space="preserve"> </w:t>
      </w:r>
      <w:r>
        <w:t>jackknife</w:t>
      </w:r>
      <w:r>
        <w:rPr>
          <w:spacing w:val="-6"/>
        </w:rPr>
        <w:t xml:space="preserve"> </w:t>
      </w:r>
      <w:r>
        <w:t>variance</w:t>
      </w:r>
      <w:r>
        <w:rPr>
          <w:spacing w:val="-6"/>
        </w:rPr>
        <w:t xml:space="preserve"> </w:t>
      </w:r>
      <w:r>
        <w:t>estimator</w:t>
      </w:r>
      <w:r>
        <w:rPr>
          <w:spacing w:val="-6"/>
        </w:rPr>
        <w:t xml:space="preserve"> </w:t>
      </w:r>
      <w:r>
        <w:t>reflects</w:t>
      </w:r>
      <w:r>
        <w:rPr>
          <w:spacing w:val="-6"/>
        </w:rPr>
        <w:t xml:space="preserve"> </w:t>
      </w:r>
      <w:r>
        <w:t>the</w:t>
      </w:r>
      <w:r>
        <w:rPr>
          <w:spacing w:val="-6"/>
        </w:rPr>
        <w:t xml:space="preserve"> </w:t>
      </w:r>
      <w:r>
        <w:t>contributions</w:t>
      </w:r>
      <w:r>
        <w:rPr>
          <w:spacing w:val="-6"/>
        </w:rPr>
        <w:t xml:space="preserve"> </w:t>
      </w:r>
      <w:r>
        <w:t>to</w:t>
      </w:r>
      <w:r>
        <w:rPr>
          <w:spacing w:val="-6"/>
        </w:rPr>
        <w:t xml:space="preserve"> </w:t>
      </w:r>
      <w:r>
        <w:t>or</w:t>
      </w:r>
      <w:r>
        <w:rPr>
          <w:spacing w:val="-6"/>
        </w:rPr>
        <w:t xml:space="preserve"> </w:t>
      </w:r>
      <w:r>
        <w:t>reductions</w:t>
      </w:r>
      <w:r>
        <w:rPr>
          <w:spacing w:val="-6"/>
        </w:rPr>
        <w:t xml:space="preserve"> </w:t>
      </w:r>
      <w:r>
        <w:t>in</w:t>
      </w:r>
      <w:r>
        <w:rPr>
          <w:spacing w:val="-6"/>
        </w:rPr>
        <w:t xml:space="preserve"> </w:t>
      </w:r>
      <w:r>
        <w:t>variance resulting from the various weighting adjustments.</w:t>
      </w:r>
    </w:p>
    <w:p w:rsidR="003F5784" w14:paraId="4D3C6E97" w14:textId="77777777">
      <w:pPr>
        <w:pStyle w:val="BodyText"/>
        <w:spacing w:before="203"/>
        <w:ind w:left="109"/>
      </w:pPr>
      <w:r>
        <w:t>The</w:t>
      </w:r>
      <w:r>
        <w:rPr>
          <w:spacing w:val="-6"/>
        </w:rPr>
        <w:t xml:space="preserve"> </w:t>
      </w:r>
      <w:r>
        <w:t>NAEP</w:t>
      </w:r>
      <w:r>
        <w:rPr>
          <w:spacing w:val="-13"/>
        </w:rPr>
        <w:t xml:space="preserve"> </w:t>
      </w:r>
      <w:r>
        <w:t>jackknife</w:t>
      </w:r>
      <w:r>
        <w:rPr>
          <w:spacing w:val="-5"/>
        </w:rPr>
        <w:t xml:space="preserve"> </w:t>
      </w:r>
      <w:r>
        <w:t>variance</w:t>
      </w:r>
      <w:r>
        <w:rPr>
          <w:spacing w:val="-5"/>
        </w:rPr>
        <w:t xml:space="preserve"> </w:t>
      </w:r>
      <w:r>
        <w:t>estimator</w:t>
      </w:r>
      <w:r>
        <w:rPr>
          <w:spacing w:val="-6"/>
        </w:rPr>
        <w:t xml:space="preserve"> </w:t>
      </w:r>
      <w:r>
        <w:t>is</w:t>
      </w:r>
      <w:r>
        <w:rPr>
          <w:spacing w:val="-5"/>
        </w:rPr>
        <w:t xml:space="preserve"> </w:t>
      </w:r>
      <w:r>
        <w:t>based</w:t>
      </w:r>
      <w:r>
        <w:rPr>
          <w:spacing w:val="-6"/>
        </w:rPr>
        <w:t xml:space="preserve"> </w:t>
      </w:r>
      <w:r>
        <w:t>on</w:t>
      </w:r>
      <w:r>
        <w:rPr>
          <w:spacing w:val="-5"/>
        </w:rPr>
        <w:t xml:space="preserve"> </w:t>
      </w:r>
      <w:r>
        <w:t>62</w:t>
      </w:r>
      <w:r>
        <w:rPr>
          <w:spacing w:val="-5"/>
        </w:rPr>
        <w:t xml:space="preserve"> </w:t>
      </w:r>
      <w:r>
        <w:t>variance</w:t>
      </w:r>
      <w:r>
        <w:rPr>
          <w:spacing w:val="-6"/>
        </w:rPr>
        <w:t xml:space="preserve"> </w:t>
      </w:r>
      <w:r>
        <w:t>strata</w:t>
      </w:r>
      <w:r>
        <w:rPr>
          <w:spacing w:val="-5"/>
        </w:rPr>
        <w:t xml:space="preserve"> </w:t>
      </w:r>
      <w:r>
        <w:t>resulting</w:t>
      </w:r>
      <w:r>
        <w:rPr>
          <w:spacing w:val="-5"/>
        </w:rPr>
        <w:t xml:space="preserve"> </w:t>
      </w:r>
      <w:r>
        <w:t>in</w:t>
      </w:r>
      <w:r>
        <w:rPr>
          <w:spacing w:val="-6"/>
        </w:rPr>
        <w:t xml:space="preserve"> </w:t>
      </w:r>
      <w:r>
        <w:t>a</w:t>
      </w:r>
      <w:r>
        <w:rPr>
          <w:spacing w:val="-5"/>
        </w:rPr>
        <w:t xml:space="preserve"> </w:t>
      </w:r>
      <w:r>
        <w:t>set</w:t>
      </w:r>
      <w:r>
        <w:rPr>
          <w:spacing w:val="-6"/>
        </w:rPr>
        <w:t xml:space="preserve"> </w:t>
      </w:r>
      <w:r>
        <w:t>of</w:t>
      </w:r>
      <w:r>
        <w:rPr>
          <w:spacing w:val="-5"/>
        </w:rPr>
        <w:t xml:space="preserve"> </w:t>
      </w:r>
      <w:r>
        <w:t>62</w:t>
      </w:r>
      <w:r>
        <w:rPr>
          <w:spacing w:val="-5"/>
        </w:rPr>
        <w:t xml:space="preserve"> </w:t>
      </w:r>
      <w:r>
        <w:t>replicate</w:t>
      </w:r>
      <w:r>
        <w:rPr>
          <w:spacing w:val="-6"/>
        </w:rPr>
        <w:t xml:space="preserve"> </w:t>
      </w:r>
      <w:r>
        <w:t>weights</w:t>
      </w:r>
      <w:r>
        <w:rPr>
          <w:spacing w:val="-5"/>
        </w:rPr>
        <w:t xml:space="preserve"> </w:t>
      </w:r>
      <w:r>
        <w:t>assigned</w:t>
      </w:r>
      <w:r>
        <w:rPr>
          <w:spacing w:val="-6"/>
        </w:rPr>
        <w:t xml:space="preserve"> </w:t>
      </w:r>
      <w:r>
        <w:t>to</w:t>
      </w:r>
      <w:r>
        <w:rPr>
          <w:spacing w:val="-5"/>
        </w:rPr>
        <w:t xml:space="preserve"> </w:t>
      </w:r>
      <w:r>
        <w:t>each</w:t>
      </w:r>
      <w:r>
        <w:rPr>
          <w:spacing w:val="-5"/>
        </w:rPr>
        <w:t xml:space="preserve"> </w:t>
      </w:r>
      <w:r>
        <w:t>school</w:t>
      </w:r>
      <w:r>
        <w:rPr>
          <w:spacing w:val="-6"/>
        </w:rPr>
        <w:t xml:space="preserve"> </w:t>
      </w:r>
      <w:r>
        <w:t>and</w:t>
      </w:r>
      <w:r>
        <w:rPr>
          <w:spacing w:val="-5"/>
        </w:rPr>
        <w:t xml:space="preserve"> </w:t>
      </w:r>
      <w:r>
        <w:rPr>
          <w:spacing w:val="-2"/>
        </w:rPr>
        <w:t>student.</w:t>
      </w:r>
    </w:p>
    <w:p w:rsidR="003F5784" w14:paraId="226B630F" w14:textId="77777777">
      <w:pPr>
        <w:pStyle w:val="BodyText"/>
        <w:spacing w:before="207" w:line="232" w:lineRule="auto"/>
        <w:ind w:left="109"/>
      </w:pPr>
      <w:r>
        <w:t>The basic idea of the paired jackknife variance estimator is to create the replicate weights so that use of the jackknife procedure results in an unbiased variance estimator for totals</w:t>
      </w:r>
      <w:r>
        <w:rPr>
          <w:spacing w:val="-2"/>
        </w:rPr>
        <w:t xml:space="preserve"> </w:t>
      </w:r>
      <w:r>
        <w:t>and</w:t>
      </w:r>
      <w:r>
        <w:rPr>
          <w:spacing w:val="-2"/>
        </w:rPr>
        <w:t xml:space="preserve"> </w:t>
      </w:r>
      <w:r>
        <w:t>means,</w:t>
      </w:r>
      <w:r>
        <w:rPr>
          <w:spacing w:val="-2"/>
        </w:rPr>
        <w:t xml:space="preserve"> </w:t>
      </w:r>
      <w:r>
        <w:t>which</w:t>
      </w:r>
      <w:r>
        <w:rPr>
          <w:spacing w:val="-2"/>
        </w:rPr>
        <w:t xml:space="preserve"> </w:t>
      </w:r>
      <w:r>
        <w:t>is</w:t>
      </w:r>
      <w:r>
        <w:rPr>
          <w:spacing w:val="-2"/>
        </w:rPr>
        <w:t xml:space="preserve"> </w:t>
      </w:r>
      <w:r>
        <w:t>also</w:t>
      </w:r>
      <w:r>
        <w:rPr>
          <w:spacing w:val="-2"/>
        </w:rPr>
        <w:t xml:space="preserve"> </w:t>
      </w:r>
      <w:r>
        <w:t>reasonably</w:t>
      </w:r>
      <w:r>
        <w:rPr>
          <w:spacing w:val="-2"/>
        </w:rPr>
        <w:t xml:space="preserve"> </w:t>
      </w:r>
      <w:r>
        <w:t>efficient</w:t>
      </w:r>
      <w:r>
        <w:rPr>
          <w:spacing w:val="-2"/>
        </w:rPr>
        <w:t xml:space="preserve"> </w:t>
      </w:r>
      <w:r>
        <w:t>(i.e.,</w:t>
      </w:r>
      <w:r>
        <w:rPr>
          <w:spacing w:val="-2"/>
        </w:rPr>
        <w:t xml:space="preserve"> </w:t>
      </w:r>
      <w:r>
        <w:t>has</w:t>
      </w:r>
      <w:r>
        <w:rPr>
          <w:spacing w:val="-2"/>
        </w:rPr>
        <w:t xml:space="preserve"> </w:t>
      </w:r>
      <w:r>
        <w:t>a</w:t>
      </w:r>
      <w:r>
        <w:rPr>
          <w:spacing w:val="-2"/>
        </w:rPr>
        <w:t xml:space="preserve"> </w:t>
      </w:r>
      <w:r>
        <w:t>low</w:t>
      </w:r>
      <w:r>
        <w:rPr>
          <w:spacing w:val="-2"/>
        </w:rPr>
        <w:t xml:space="preserve"> </w:t>
      </w:r>
      <w:r>
        <w:t>variance</w:t>
      </w:r>
      <w:r>
        <w:rPr>
          <w:spacing w:val="-2"/>
        </w:rPr>
        <w:t xml:space="preserve"> </w:t>
      </w:r>
      <w:r>
        <w:t>as</w:t>
      </w:r>
      <w:r>
        <w:rPr>
          <w:spacing w:val="-2"/>
        </w:rPr>
        <w:t xml:space="preserve"> </w:t>
      </w:r>
      <w:r>
        <w:t>a</w:t>
      </w:r>
      <w:r>
        <w:rPr>
          <w:spacing w:val="-2"/>
        </w:rPr>
        <w:t xml:space="preserve"> </w:t>
      </w:r>
      <w:r>
        <w:t>variance</w:t>
      </w:r>
      <w:r>
        <w:rPr>
          <w:spacing w:val="-2"/>
        </w:rPr>
        <w:t xml:space="preserve"> </w:t>
      </w:r>
      <w:r>
        <w:t>estimator).</w:t>
      </w:r>
      <w:r>
        <w:rPr>
          <w:spacing w:val="-6"/>
        </w:rPr>
        <w:t xml:space="preserve"> </w:t>
      </w:r>
      <w:r>
        <w:t>The</w:t>
      </w:r>
      <w:r>
        <w:rPr>
          <w:spacing w:val="-2"/>
        </w:rPr>
        <w:t xml:space="preserve"> </w:t>
      </w:r>
      <w:r>
        <w:t>jackknife</w:t>
      </w:r>
      <w:r>
        <w:rPr>
          <w:spacing w:val="-2"/>
        </w:rPr>
        <w:t xml:space="preserve"> </w:t>
      </w:r>
      <w:r>
        <w:t>variance</w:t>
      </w:r>
      <w:r>
        <w:rPr>
          <w:spacing w:val="-2"/>
        </w:rPr>
        <w:t xml:space="preserve"> </w:t>
      </w:r>
      <w:r>
        <w:t>estimator</w:t>
      </w:r>
      <w:r>
        <w:rPr>
          <w:spacing w:val="-2"/>
        </w:rPr>
        <w:t xml:space="preserve"> </w:t>
      </w:r>
      <w:r>
        <w:t>will</w:t>
      </w:r>
      <w:r>
        <w:rPr>
          <w:spacing w:val="-2"/>
        </w:rPr>
        <w:t xml:space="preserve"> </w:t>
      </w:r>
      <w:r>
        <w:t>then</w:t>
      </w:r>
      <w:r>
        <w:rPr>
          <w:spacing w:val="-2"/>
        </w:rPr>
        <w:t xml:space="preserve"> </w:t>
      </w:r>
      <w:r>
        <w:t>produce</w:t>
      </w:r>
      <w:r>
        <w:rPr>
          <w:spacing w:val="-2"/>
        </w:rPr>
        <w:t xml:space="preserve"> </w:t>
      </w:r>
      <w:r>
        <w:t>a</w:t>
      </w:r>
      <w:r>
        <w:rPr>
          <w:spacing w:val="-2"/>
        </w:rPr>
        <w:t xml:space="preserve"> </w:t>
      </w:r>
      <w:r>
        <w:t>consistent</w:t>
      </w:r>
      <w:r>
        <w:rPr>
          <w:spacing w:val="-2"/>
        </w:rPr>
        <w:t xml:space="preserve"> </w:t>
      </w:r>
      <w:r>
        <w:t>(but</w:t>
      </w:r>
      <w:r>
        <w:rPr>
          <w:spacing w:val="-2"/>
        </w:rPr>
        <w:t xml:space="preserve"> </w:t>
      </w:r>
      <w:r>
        <w:t>not fully</w:t>
      </w:r>
      <w:r>
        <w:rPr>
          <w:spacing w:val="-7"/>
        </w:rPr>
        <w:t xml:space="preserve"> </w:t>
      </w:r>
      <w:r>
        <w:t>unbiased)</w:t>
      </w:r>
      <w:r>
        <w:rPr>
          <w:spacing w:val="-7"/>
        </w:rPr>
        <w:t xml:space="preserve"> </w:t>
      </w:r>
      <w:r>
        <w:t>estimate</w:t>
      </w:r>
      <w:r>
        <w:rPr>
          <w:spacing w:val="-7"/>
        </w:rPr>
        <w:t xml:space="preserve"> </w:t>
      </w:r>
      <w:r>
        <w:t>of</w:t>
      </w:r>
      <w:r>
        <w:rPr>
          <w:spacing w:val="-7"/>
        </w:rPr>
        <w:t xml:space="preserve"> </w:t>
      </w:r>
      <w:r>
        <w:t>variance</w:t>
      </w:r>
      <w:r>
        <w:rPr>
          <w:spacing w:val="-7"/>
        </w:rPr>
        <w:t xml:space="preserve"> </w:t>
      </w:r>
      <w:r>
        <w:t>for</w:t>
      </w:r>
      <w:r>
        <w:rPr>
          <w:spacing w:val="-7"/>
        </w:rPr>
        <w:t xml:space="preserve"> </w:t>
      </w:r>
      <w:r>
        <w:t>(sufficiently</w:t>
      </w:r>
      <w:r>
        <w:rPr>
          <w:spacing w:val="-7"/>
        </w:rPr>
        <w:t xml:space="preserve"> </w:t>
      </w:r>
      <w:r>
        <w:t>smooth)</w:t>
      </w:r>
      <w:r>
        <w:rPr>
          <w:spacing w:val="-7"/>
        </w:rPr>
        <w:t xml:space="preserve"> </w:t>
      </w:r>
      <w:r>
        <w:t>nonlinear</w:t>
      </w:r>
      <w:r>
        <w:rPr>
          <w:spacing w:val="-7"/>
        </w:rPr>
        <w:t xml:space="preserve"> </w:t>
      </w:r>
      <w:r>
        <w:t>functions</w:t>
      </w:r>
      <w:r>
        <w:rPr>
          <w:spacing w:val="-7"/>
        </w:rPr>
        <w:t xml:space="preserve"> </w:t>
      </w:r>
      <w:r>
        <w:t>of</w:t>
      </w:r>
      <w:r>
        <w:rPr>
          <w:spacing w:val="-7"/>
        </w:rPr>
        <w:t xml:space="preserve"> </w:t>
      </w:r>
      <w:r>
        <w:t>total</w:t>
      </w:r>
      <w:r>
        <w:rPr>
          <w:spacing w:val="-7"/>
        </w:rPr>
        <w:t xml:space="preserve"> </w:t>
      </w:r>
      <w:r>
        <w:t>and</w:t>
      </w:r>
      <w:r>
        <w:rPr>
          <w:spacing w:val="-7"/>
        </w:rPr>
        <w:t xml:space="preserve"> </w:t>
      </w:r>
      <w:r>
        <w:t>mean</w:t>
      </w:r>
      <w:r>
        <w:rPr>
          <w:spacing w:val="-7"/>
        </w:rPr>
        <w:t xml:space="preserve"> </w:t>
      </w:r>
      <w:r>
        <w:t>estimates</w:t>
      </w:r>
      <w:r>
        <w:rPr>
          <w:spacing w:val="-7"/>
        </w:rPr>
        <w:t xml:space="preserve"> </w:t>
      </w:r>
      <w:r>
        <w:t>such</w:t>
      </w:r>
      <w:r>
        <w:rPr>
          <w:spacing w:val="-7"/>
        </w:rPr>
        <w:t xml:space="preserve"> </w:t>
      </w:r>
      <w:r>
        <w:t>as</w:t>
      </w:r>
      <w:r>
        <w:rPr>
          <w:spacing w:val="-7"/>
        </w:rPr>
        <w:t xml:space="preserve"> </w:t>
      </w:r>
      <w:r>
        <w:t>ratios,</w:t>
      </w:r>
      <w:r>
        <w:rPr>
          <w:spacing w:val="-7"/>
        </w:rPr>
        <w:t xml:space="preserve"> </w:t>
      </w:r>
      <w:r>
        <w:t>regression</w:t>
      </w:r>
      <w:r>
        <w:rPr>
          <w:spacing w:val="-7"/>
        </w:rPr>
        <w:t xml:space="preserve"> </w:t>
      </w:r>
      <w:r>
        <w:t>coefficients,</w:t>
      </w:r>
      <w:r>
        <w:rPr>
          <w:spacing w:val="-7"/>
        </w:rPr>
        <w:t xml:space="preserve"> </w:t>
      </w:r>
      <w:r>
        <w:t>and</w:t>
      </w:r>
      <w:r>
        <w:rPr>
          <w:spacing w:val="-7"/>
        </w:rPr>
        <w:t xml:space="preserve"> </w:t>
      </w:r>
      <w:r>
        <w:t>so</w:t>
      </w:r>
      <w:r>
        <w:rPr>
          <w:spacing w:val="-7"/>
        </w:rPr>
        <w:t xml:space="preserve"> </w:t>
      </w:r>
      <w:r>
        <w:t>forth</w:t>
      </w:r>
      <w:r>
        <w:rPr>
          <w:spacing w:val="-7"/>
        </w:rPr>
        <w:t xml:space="preserve"> </w:t>
      </w:r>
      <w:r>
        <w:t>(Shao</w:t>
      </w:r>
      <w:r>
        <w:rPr>
          <w:spacing w:val="-7"/>
        </w:rPr>
        <w:t xml:space="preserve"> </w:t>
      </w:r>
      <w:r>
        <w:t>and</w:t>
      </w:r>
      <w:r>
        <w:rPr>
          <w:spacing w:val="-10"/>
        </w:rPr>
        <w:t xml:space="preserve"> </w:t>
      </w:r>
      <w:r>
        <w:t xml:space="preserve">Tu </w:t>
      </w:r>
      <w:r>
        <w:rPr>
          <w:spacing w:val="-2"/>
        </w:rPr>
        <w:t>1995).</w:t>
      </w:r>
    </w:p>
    <w:p w:rsidR="003F5784" w14:paraId="0CC405E0" w14:textId="77777777">
      <w:pPr>
        <w:pStyle w:val="BodyText"/>
        <w:spacing w:before="210" w:line="232" w:lineRule="auto"/>
        <w:ind w:left="109"/>
      </w:pPr>
      <w:r>
        <w:t>The development below shows why the NAEP</w:t>
      </w:r>
      <w:r>
        <w:rPr>
          <w:spacing w:val="-7"/>
        </w:rPr>
        <w:t xml:space="preserve"> </w:t>
      </w:r>
      <w:r>
        <w:t>jackknife variance estimator returns an unbiased variance estimator for totals and means, which is the cornerstone to the asymptotic</w:t>
      </w:r>
      <w:r>
        <w:rPr>
          <w:spacing w:val="-6"/>
        </w:rPr>
        <w:t xml:space="preserve"> </w:t>
      </w:r>
      <w:r>
        <w:t>results</w:t>
      </w:r>
      <w:r>
        <w:rPr>
          <w:spacing w:val="-6"/>
        </w:rPr>
        <w:t xml:space="preserve"> </w:t>
      </w:r>
      <w:r>
        <w:t>for</w:t>
      </w:r>
      <w:r>
        <w:rPr>
          <w:spacing w:val="-6"/>
        </w:rPr>
        <w:t xml:space="preserve"> </w:t>
      </w:r>
      <w:r>
        <w:t>nonlinear</w:t>
      </w:r>
      <w:r>
        <w:rPr>
          <w:spacing w:val="-6"/>
        </w:rPr>
        <w:t xml:space="preserve"> </w:t>
      </w:r>
      <w:r>
        <w:t>estimators.</w:t>
      </w:r>
      <w:r>
        <w:rPr>
          <w:spacing w:val="-6"/>
        </w:rPr>
        <w:t xml:space="preserve"> </w:t>
      </w:r>
      <w:r>
        <w:t>See</w:t>
      </w:r>
      <w:r>
        <w:rPr>
          <w:spacing w:val="-6"/>
        </w:rPr>
        <w:t xml:space="preserve"> </w:t>
      </w:r>
      <w:r>
        <w:t>for</w:t>
      </w:r>
      <w:r>
        <w:rPr>
          <w:spacing w:val="-6"/>
        </w:rPr>
        <w:t xml:space="preserve"> </w:t>
      </w:r>
      <w:r>
        <w:t>example</w:t>
      </w:r>
      <w:r>
        <w:rPr>
          <w:spacing w:val="-6"/>
        </w:rPr>
        <w:t xml:space="preserve"> </w:t>
      </w:r>
      <w:r>
        <w:t>Rust</w:t>
      </w:r>
      <w:r>
        <w:rPr>
          <w:spacing w:val="-6"/>
        </w:rPr>
        <w:t xml:space="preserve"> </w:t>
      </w:r>
      <w:r>
        <w:t>(1985).</w:t>
      </w:r>
      <w:r>
        <w:rPr>
          <w:spacing w:val="-10"/>
        </w:rPr>
        <w:t xml:space="preserve"> </w:t>
      </w:r>
      <w:r>
        <w:t>This</w:t>
      </w:r>
      <w:r>
        <w:rPr>
          <w:spacing w:val="-6"/>
        </w:rPr>
        <w:t xml:space="preserve"> </w:t>
      </w:r>
      <w:r>
        <w:t>paper</w:t>
      </w:r>
      <w:r>
        <w:rPr>
          <w:spacing w:val="-6"/>
        </w:rPr>
        <w:t xml:space="preserve"> </w:t>
      </w:r>
      <w:r>
        <w:t>also</w:t>
      </w:r>
      <w:r>
        <w:rPr>
          <w:spacing w:val="-6"/>
        </w:rPr>
        <w:t xml:space="preserve"> </w:t>
      </w:r>
      <w:r>
        <w:t>discusses</w:t>
      </w:r>
      <w:r>
        <w:rPr>
          <w:spacing w:val="-6"/>
        </w:rPr>
        <w:t xml:space="preserve"> </w:t>
      </w:r>
      <w:r>
        <w:t>why</w:t>
      </w:r>
      <w:r>
        <w:rPr>
          <w:spacing w:val="-6"/>
        </w:rPr>
        <w:t xml:space="preserve"> </w:t>
      </w:r>
      <w:r>
        <w:t>this</w:t>
      </w:r>
      <w:r>
        <w:rPr>
          <w:spacing w:val="-6"/>
        </w:rPr>
        <w:t xml:space="preserve"> </w:t>
      </w:r>
      <w:r>
        <w:t>variance</w:t>
      </w:r>
      <w:r>
        <w:rPr>
          <w:spacing w:val="-6"/>
        </w:rPr>
        <w:t xml:space="preserve"> </w:t>
      </w:r>
      <w:r>
        <w:t>estimator</w:t>
      </w:r>
      <w:r>
        <w:rPr>
          <w:spacing w:val="-6"/>
        </w:rPr>
        <w:t xml:space="preserve"> </w:t>
      </w:r>
      <w:r>
        <w:t>is</w:t>
      </w:r>
      <w:r>
        <w:rPr>
          <w:spacing w:val="-6"/>
        </w:rPr>
        <w:t xml:space="preserve"> </w:t>
      </w:r>
      <w:r>
        <w:t>generally</w:t>
      </w:r>
      <w:r>
        <w:rPr>
          <w:spacing w:val="-6"/>
        </w:rPr>
        <w:t xml:space="preserve"> </w:t>
      </w:r>
      <w:r>
        <w:t>efficient</w:t>
      </w:r>
      <w:r>
        <w:rPr>
          <w:spacing w:val="-6"/>
        </w:rPr>
        <w:t xml:space="preserve"> </w:t>
      </w:r>
      <w:r>
        <w:t>(i.e.,</w:t>
      </w:r>
      <w:r>
        <w:rPr>
          <w:spacing w:val="-6"/>
        </w:rPr>
        <w:t xml:space="preserve"> </w:t>
      </w:r>
      <w:r>
        <w:t>more</w:t>
      </w:r>
      <w:r>
        <w:rPr>
          <w:spacing w:val="-6"/>
        </w:rPr>
        <w:t xml:space="preserve"> </w:t>
      </w:r>
      <w:r>
        <w:t>reliable</w:t>
      </w:r>
      <w:r>
        <w:rPr>
          <w:spacing w:val="-6"/>
        </w:rPr>
        <w:t xml:space="preserve"> </w:t>
      </w:r>
      <w:r>
        <w:t>than alternative approaches requiring similar computational resources).</w:t>
      </w:r>
    </w:p>
    <w:p w:rsidR="003F5784" w14:paraId="57222A88" w14:textId="77777777">
      <w:pPr>
        <w:pStyle w:val="BodyText"/>
        <w:spacing w:before="210" w:line="232" w:lineRule="auto"/>
        <w:ind w:left="109"/>
      </w:pPr>
      <w:r>
        <w:t>The</w:t>
      </w:r>
      <w:r>
        <w:rPr>
          <w:spacing w:val="-5"/>
        </w:rPr>
        <w:t xml:space="preserve"> </w:t>
      </w:r>
      <w:r>
        <w:t>development</w:t>
      </w:r>
      <w:r>
        <w:rPr>
          <w:spacing w:val="-5"/>
        </w:rPr>
        <w:t xml:space="preserve"> </w:t>
      </w:r>
      <w:r>
        <w:t>is</w:t>
      </w:r>
      <w:r>
        <w:rPr>
          <w:spacing w:val="-5"/>
        </w:rPr>
        <w:t xml:space="preserve"> </w:t>
      </w:r>
      <w:r>
        <w:t>done</w:t>
      </w:r>
      <w:r>
        <w:rPr>
          <w:spacing w:val="-5"/>
        </w:rPr>
        <w:t xml:space="preserve"> </w:t>
      </w:r>
      <w:r>
        <w:t>for</w:t>
      </w:r>
      <w:r>
        <w:rPr>
          <w:spacing w:val="-5"/>
        </w:rPr>
        <w:t xml:space="preserve"> </w:t>
      </w:r>
      <w:r>
        <w:t>an</w:t>
      </w:r>
      <w:r>
        <w:rPr>
          <w:spacing w:val="-5"/>
        </w:rPr>
        <w:t xml:space="preserve"> </w:t>
      </w:r>
      <w:r>
        <w:t>estimate</w:t>
      </w:r>
      <w:r>
        <w:rPr>
          <w:spacing w:val="-5"/>
        </w:rPr>
        <w:t xml:space="preserve"> </w:t>
      </w:r>
      <w:r>
        <w:t>of</w:t>
      </w:r>
      <w:r>
        <w:rPr>
          <w:spacing w:val="-5"/>
        </w:rPr>
        <w:t xml:space="preserve"> </w:t>
      </w:r>
      <w:r>
        <w:t>a</w:t>
      </w:r>
      <w:r>
        <w:rPr>
          <w:spacing w:val="-5"/>
        </w:rPr>
        <w:t xml:space="preserve"> </w:t>
      </w:r>
      <w:r>
        <w:t>mean</w:t>
      </w:r>
      <w:r>
        <w:rPr>
          <w:spacing w:val="-5"/>
        </w:rPr>
        <w:t xml:space="preserve"> </w:t>
      </w:r>
      <w:r>
        <w:t>based</w:t>
      </w:r>
      <w:r>
        <w:rPr>
          <w:spacing w:val="-5"/>
        </w:rPr>
        <w:t xml:space="preserve"> </w:t>
      </w:r>
      <w:r>
        <w:t>on</w:t>
      </w:r>
      <w:r>
        <w:rPr>
          <w:spacing w:val="-5"/>
        </w:rPr>
        <w:t xml:space="preserve"> </w:t>
      </w:r>
      <w:r>
        <w:t>a</w:t>
      </w:r>
      <w:r>
        <w:rPr>
          <w:spacing w:val="-5"/>
        </w:rPr>
        <w:t xml:space="preserve"> </w:t>
      </w:r>
      <w:r>
        <w:t>simplified</w:t>
      </w:r>
      <w:r>
        <w:rPr>
          <w:spacing w:val="-5"/>
        </w:rPr>
        <w:t xml:space="preserve"> </w:t>
      </w:r>
      <w:r>
        <w:t>sample</w:t>
      </w:r>
      <w:r>
        <w:rPr>
          <w:spacing w:val="-5"/>
        </w:rPr>
        <w:t xml:space="preserve"> </w:t>
      </w:r>
      <w:r>
        <w:t>design</w:t>
      </w:r>
      <w:r>
        <w:rPr>
          <w:spacing w:val="-5"/>
        </w:rPr>
        <w:t xml:space="preserve"> </w:t>
      </w:r>
      <w:r>
        <w:t>that</w:t>
      </w:r>
      <w:r>
        <w:rPr>
          <w:spacing w:val="-5"/>
        </w:rPr>
        <w:t xml:space="preserve"> </w:t>
      </w:r>
      <w:r>
        <w:t>closely</w:t>
      </w:r>
      <w:r>
        <w:rPr>
          <w:spacing w:val="-5"/>
        </w:rPr>
        <w:t xml:space="preserve"> </w:t>
      </w:r>
      <w:r>
        <w:t>approximates</w:t>
      </w:r>
      <w:r>
        <w:rPr>
          <w:spacing w:val="-5"/>
        </w:rPr>
        <w:t xml:space="preserve"> </w:t>
      </w:r>
      <w:r>
        <w:t>the</w:t>
      </w:r>
      <w:r>
        <w:rPr>
          <w:spacing w:val="-5"/>
        </w:rPr>
        <w:t xml:space="preserve"> </w:t>
      </w:r>
      <w:r>
        <w:t>sample</w:t>
      </w:r>
      <w:r>
        <w:rPr>
          <w:spacing w:val="-5"/>
        </w:rPr>
        <w:t xml:space="preserve"> </w:t>
      </w:r>
      <w:r>
        <w:t>design</w:t>
      </w:r>
      <w:r>
        <w:rPr>
          <w:spacing w:val="-5"/>
        </w:rPr>
        <w:t xml:space="preserve"> </w:t>
      </w:r>
      <w:r>
        <w:t>for</w:t>
      </w:r>
      <w:r>
        <w:rPr>
          <w:spacing w:val="-5"/>
        </w:rPr>
        <w:t xml:space="preserve"> </w:t>
      </w:r>
      <w:r>
        <w:t>first-stage</w:t>
      </w:r>
      <w:r>
        <w:rPr>
          <w:spacing w:val="-5"/>
        </w:rPr>
        <w:t xml:space="preserve"> </w:t>
      </w:r>
      <w:r>
        <w:t>units</w:t>
      </w:r>
      <w:r>
        <w:rPr>
          <w:spacing w:val="-5"/>
        </w:rPr>
        <w:t xml:space="preserve"> </w:t>
      </w:r>
      <w:r>
        <w:t>used</w:t>
      </w:r>
      <w:r>
        <w:rPr>
          <w:spacing w:val="-5"/>
        </w:rPr>
        <w:t xml:space="preserve"> </w:t>
      </w:r>
      <w:r>
        <w:t>in</w:t>
      </w:r>
      <w:r>
        <w:rPr>
          <w:spacing w:val="-5"/>
        </w:rPr>
        <w:t xml:space="preserve"> </w:t>
      </w:r>
      <w:r>
        <w:t>the</w:t>
      </w:r>
      <w:r>
        <w:rPr>
          <w:spacing w:val="-5"/>
        </w:rPr>
        <w:t xml:space="preserve"> </w:t>
      </w:r>
      <w:r>
        <w:t>NAEP studies.</w:t>
      </w:r>
      <w:r>
        <w:rPr>
          <w:spacing w:val="-5"/>
        </w:rPr>
        <w:t xml:space="preserve"> </w:t>
      </w:r>
      <w:r>
        <w:t>The</w:t>
      </w:r>
      <w:r>
        <w:rPr>
          <w:spacing w:val="-1"/>
        </w:rPr>
        <w:t xml:space="preserve"> </w:t>
      </w:r>
      <w:r>
        <w:t>sample</w:t>
      </w:r>
      <w:r>
        <w:rPr>
          <w:spacing w:val="-1"/>
        </w:rPr>
        <w:t xml:space="preserve"> </w:t>
      </w:r>
      <w:r>
        <w:t>design</w:t>
      </w:r>
      <w:r>
        <w:rPr>
          <w:spacing w:val="-1"/>
        </w:rPr>
        <w:t xml:space="preserve"> </w:t>
      </w:r>
      <w:r>
        <w:t>is</w:t>
      </w:r>
      <w:r>
        <w:rPr>
          <w:spacing w:val="-1"/>
        </w:rPr>
        <w:t xml:space="preserve"> </w:t>
      </w:r>
      <w:r>
        <w:t>a</w:t>
      </w:r>
      <w:r>
        <w:rPr>
          <w:spacing w:val="-1"/>
        </w:rPr>
        <w:t xml:space="preserve"> </w:t>
      </w:r>
      <w:r>
        <w:t>stratified</w:t>
      </w:r>
      <w:r>
        <w:rPr>
          <w:spacing w:val="-1"/>
        </w:rPr>
        <w:t xml:space="preserve"> </w:t>
      </w:r>
      <w:r>
        <w:t>random</w:t>
      </w:r>
      <w:r>
        <w:rPr>
          <w:spacing w:val="-1"/>
        </w:rPr>
        <w:t xml:space="preserve"> </w:t>
      </w:r>
      <w:r>
        <w:t>sample</w:t>
      </w:r>
      <w:r>
        <w:rPr>
          <w:spacing w:val="-1"/>
        </w:rPr>
        <w:t xml:space="preserve"> </w:t>
      </w:r>
      <w:r>
        <w:t>with</w:t>
      </w:r>
      <w:r>
        <w:rPr>
          <w:spacing w:val="-1"/>
        </w:rPr>
        <w:t xml:space="preserve"> </w:t>
      </w:r>
      <w:r>
        <w:t>\(H\)</w:t>
      </w:r>
      <w:r>
        <w:rPr>
          <w:spacing w:val="-1"/>
        </w:rPr>
        <w:t xml:space="preserve"> </w:t>
      </w:r>
      <w:r>
        <w:t>strata</w:t>
      </w:r>
      <w:r>
        <w:rPr>
          <w:spacing w:val="-1"/>
        </w:rPr>
        <w:t xml:space="preserve"> </w:t>
      </w:r>
      <w:r>
        <w:t>with</w:t>
      </w:r>
      <w:r>
        <w:rPr>
          <w:spacing w:val="-1"/>
        </w:rPr>
        <w:t xml:space="preserve"> </w:t>
      </w:r>
      <w:r>
        <w:t>population</w:t>
      </w:r>
      <w:r>
        <w:rPr>
          <w:spacing w:val="-1"/>
        </w:rPr>
        <w:t xml:space="preserve"> </w:t>
      </w:r>
      <w:r>
        <w:t>weights</w:t>
      </w:r>
      <w:r>
        <w:rPr>
          <w:spacing w:val="-1"/>
        </w:rPr>
        <w:t xml:space="preserve"> </w:t>
      </w:r>
      <w:r>
        <w:t>\(W_{h}\),</w:t>
      </w:r>
      <w:r>
        <w:rPr>
          <w:spacing w:val="-1"/>
        </w:rPr>
        <w:t xml:space="preserve"> </w:t>
      </w:r>
      <w:r>
        <w:t>stratum</w:t>
      </w:r>
      <w:r>
        <w:rPr>
          <w:spacing w:val="-1"/>
        </w:rPr>
        <w:t xml:space="preserve"> </w:t>
      </w:r>
      <w:r>
        <w:t>sample</w:t>
      </w:r>
      <w:r>
        <w:rPr>
          <w:spacing w:val="-1"/>
        </w:rPr>
        <w:t xml:space="preserve"> </w:t>
      </w:r>
      <w:r>
        <w:t>sizes</w:t>
      </w:r>
      <w:r>
        <w:rPr>
          <w:spacing w:val="-1"/>
        </w:rPr>
        <w:t xml:space="preserve"> </w:t>
      </w:r>
      <w:r>
        <w:t>\(n_{h}\),</w:t>
      </w:r>
      <w:r>
        <w:rPr>
          <w:spacing w:val="-1"/>
        </w:rPr>
        <w:t xml:space="preserve"> </w:t>
      </w:r>
      <w:r>
        <w:t>and</w:t>
      </w:r>
      <w:r>
        <w:rPr>
          <w:spacing w:val="-1"/>
        </w:rPr>
        <w:t xml:space="preserve"> </w:t>
      </w:r>
      <w:r>
        <w:t>stratum</w:t>
      </w:r>
      <w:r>
        <w:rPr>
          <w:spacing w:val="-1"/>
        </w:rPr>
        <w:t xml:space="preserve"> </w:t>
      </w:r>
      <w:r>
        <w:t>sample</w:t>
      </w:r>
      <w:r>
        <w:rPr>
          <w:spacing w:val="-1"/>
        </w:rPr>
        <w:t xml:space="preserve"> </w:t>
      </w:r>
      <w:r>
        <w:t>means</w:t>
      </w:r>
      <w:r>
        <w:rPr>
          <w:spacing w:val="-1"/>
        </w:rPr>
        <w:t xml:space="preserve"> </w:t>
      </w:r>
      <w:r>
        <w:t>\ (\overline{y}_{h}\). The population estimator \(\hat{\overline{Y}}\) and the standard unbiased variance estimator \(\nu(\hat{\overline{Y}})\) are</w:t>
      </w:r>
    </w:p>
    <w:p w:rsidR="003F5784" w14:paraId="54C67A2C" w14:textId="77777777">
      <w:pPr>
        <w:pStyle w:val="BodyText"/>
        <w:spacing w:before="204"/>
        <w:ind w:left="109"/>
      </w:pPr>
      <w:r>
        <w:rPr>
          <w:spacing w:val="-2"/>
        </w:rPr>
        <w:t>\begin{equation}</w:t>
      </w:r>
      <w:r>
        <w:rPr>
          <w:spacing w:val="17"/>
        </w:rPr>
        <w:t xml:space="preserve"> </w:t>
      </w:r>
      <w:r>
        <w:rPr>
          <w:spacing w:val="-2"/>
        </w:rPr>
        <w:t>\hat{\overline{Y}}</w:t>
      </w:r>
      <w:r>
        <w:rPr>
          <w:spacing w:val="18"/>
        </w:rPr>
        <w:t xml:space="preserve"> </w:t>
      </w:r>
      <w:r>
        <w:rPr>
          <w:spacing w:val="-2"/>
        </w:rPr>
        <w:t>=\sum_{h=1}^{H}</w:t>
      </w:r>
      <w:r>
        <w:rPr>
          <w:spacing w:val="13"/>
        </w:rPr>
        <w:t xml:space="preserve"> </w:t>
      </w:r>
      <w:r>
        <w:rPr>
          <w:spacing w:val="-2"/>
        </w:rPr>
        <w:t>W_{h}\overline{y}_{h},</w:t>
      </w:r>
      <w:r>
        <w:rPr>
          <w:spacing w:val="17"/>
        </w:rPr>
        <w:t xml:space="preserve"> </w:t>
      </w:r>
      <w:r>
        <w:rPr>
          <w:spacing w:val="-2"/>
        </w:rPr>
        <w:t>\end{equation}</w:t>
      </w:r>
    </w:p>
    <w:p w:rsidR="003F5784" w14:paraId="5D49D0DC" w14:textId="77777777">
      <w:pPr>
        <w:pStyle w:val="BodyText"/>
        <w:spacing w:before="201"/>
        <w:ind w:left="109"/>
      </w:pPr>
      <w:r>
        <w:t>\begin{equation}</w:t>
      </w:r>
      <w:r>
        <w:rPr>
          <w:spacing w:val="-14"/>
        </w:rPr>
        <w:t xml:space="preserve"> </w:t>
      </w:r>
      <w:r>
        <w:t>\nu</w:t>
      </w:r>
      <w:r>
        <w:rPr>
          <w:spacing w:val="-12"/>
        </w:rPr>
        <w:t xml:space="preserve"> </w:t>
      </w:r>
      <w:r>
        <w:t>\left(\hat{\overline{Y}}</w:t>
      </w:r>
      <w:r>
        <w:rPr>
          <w:spacing w:val="-12"/>
        </w:rPr>
        <w:t xml:space="preserve"> </w:t>
      </w:r>
      <w:r>
        <w:t>\right)</w:t>
      </w:r>
      <w:r>
        <w:rPr>
          <w:spacing w:val="-11"/>
        </w:rPr>
        <w:t xml:space="preserve"> </w:t>
      </w:r>
      <w:r>
        <w:t>=</w:t>
      </w:r>
      <w:r>
        <w:rPr>
          <w:spacing w:val="-12"/>
        </w:rPr>
        <w:t xml:space="preserve"> </w:t>
      </w:r>
      <w:r>
        <w:t>\sum_{h=1}^{H}</w:t>
      </w:r>
      <w:r>
        <w:rPr>
          <w:spacing w:val="-13"/>
        </w:rPr>
        <w:t xml:space="preserve"> </w:t>
      </w:r>
      <w:r>
        <w:t>W_{h}^2</w:t>
      </w:r>
      <w:r>
        <w:rPr>
          <w:spacing w:val="-12"/>
        </w:rPr>
        <w:t xml:space="preserve"> </w:t>
      </w:r>
      <w:r>
        <w:t>\frac{s_h^2}{n_{h}},</w:t>
      </w:r>
      <w:r>
        <w:rPr>
          <w:spacing w:val="-12"/>
        </w:rPr>
        <w:t xml:space="preserve"> </w:t>
      </w:r>
      <w:r>
        <w:rPr>
          <w:spacing w:val="-2"/>
        </w:rPr>
        <w:t>\end{equation}</w:t>
      </w:r>
    </w:p>
    <w:p w:rsidR="003F5784" w14:paraId="73DE70D2" w14:textId="77777777">
      <w:pPr>
        <w:pStyle w:val="BodyText"/>
        <w:spacing w:before="202"/>
        <w:ind w:right="3"/>
        <w:jc w:val="center"/>
      </w:pPr>
      <w:r>
        <w:rPr>
          <w:spacing w:val="-4"/>
        </w:rPr>
        <w:t>with</w:t>
      </w:r>
    </w:p>
    <w:p w:rsidR="003F5784" w14:paraId="379B0D85" w14:textId="77777777">
      <w:pPr>
        <w:pStyle w:val="BodyText"/>
        <w:spacing w:before="202"/>
        <w:ind w:left="109"/>
      </w:pPr>
      <w:r>
        <w:rPr>
          <w:spacing w:val="-2"/>
        </w:rPr>
        <w:t>\begin{equation}</w:t>
      </w:r>
      <w:r>
        <w:rPr>
          <w:spacing w:val="22"/>
        </w:rPr>
        <w:t xml:space="preserve"> </w:t>
      </w:r>
      <w:r>
        <w:rPr>
          <w:spacing w:val="-2"/>
        </w:rPr>
        <w:t>s^2_h=\frac{1}{n_{h}-1}</w:t>
      </w:r>
      <w:r>
        <w:rPr>
          <w:spacing w:val="23"/>
        </w:rPr>
        <w:t xml:space="preserve"> </w:t>
      </w:r>
      <w:r>
        <w:rPr>
          <w:spacing w:val="-2"/>
        </w:rPr>
        <w:t>\sum_{i=1}^{n_{h}}</w:t>
      </w:r>
      <w:r>
        <w:rPr>
          <w:spacing w:val="23"/>
        </w:rPr>
        <w:t xml:space="preserve"> </w:t>
      </w:r>
      <w:r>
        <w:rPr>
          <w:spacing w:val="-2"/>
        </w:rPr>
        <w:t>{(y_{h_{i}}-\overline{y}_{h})^2}.</w:t>
      </w:r>
      <w:r>
        <w:rPr>
          <w:spacing w:val="23"/>
        </w:rPr>
        <w:t xml:space="preserve"> </w:t>
      </w:r>
      <w:r>
        <w:rPr>
          <w:spacing w:val="-2"/>
        </w:rPr>
        <w:t>\end{equation}</w:t>
      </w:r>
    </w:p>
    <w:p w:rsidR="003F5784" w14:paraId="52626A14" w14:textId="77777777">
      <w:pPr>
        <w:sectPr>
          <w:pgSz w:w="15840" w:h="12240" w:orient="landscape"/>
          <w:pgMar w:top="480" w:right="440" w:bottom="460" w:left="460" w:header="284" w:footer="275" w:gutter="0"/>
          <w:cols w:space="720"/>
        </w:sectPr>
      </w:pPr>
    </w:p>
    <w:p w:rsidR="003F5784" w14:paraId="248C550A" w14:textId="77777777">
      <w:pPr>
        <w:pStyle w:val="BodyText"/>
        <w:spacing w:before="78" w:line="232" w:lineRule="auto"/>
        <w:ind w:left="109" w:right="179"/>
      </w:pPr>
      <w:r>
        <w:t>The paired jackknife replicate variance estimator assigns one replicate \(h=1,…,H\) to each stratum, so that the number of replicates equals \(H\). In NAEP, the replicates correspond</w:t>
      </w:r>
      <w:r>
        <w:rPr>
          <w:spacing w:val="-4"/>
        </w:rPr>
        <w:t xml:space="preserve"> </w:t>
      </w:r>
      <w:r>
        <w:t>generally</w:t>
      </w:r>
      <w:r>
        <w:rPr>
          <w:spacing w:val="-4"/>
        </w:rPr>
        <w:t xml:space="preserve"> </w:t>
      </w:r>
      <w:r>
        <w:t>to</w:t>
      </w:r>
      <w:r>
        <w:rPr>
          <w:spacing w:val="-4"/>
        </w:rPr>
        <w:t xml:space="preserve"> </w:t>
      </w:r>
      <w:r>
        <w:t>pairs</w:t>
      </w:r>
      <w:r>
        <w:rPr>
          <w:spacing w:val="-4"/>
        </w:rPr>
        <w:t xml:space="preserve"> </w:t>
      </w:r>
      <w:r>
        <w:t>and</w:t>
      </w:r>
      <w:r>
        <w:rPr>
          <w:spacing w:val="-4"/>
        </w:rPr>
        <w:t xml:space="preserve"> </w:t>
      </w:r>
      <w:r>
        <w:t>triplets</w:t>
      </w:r>
      <w:r>
        <w:rPr>
          <w:spacing w:val="-4"/>
        </w:rPr>
        <w:t xml:space="preserve"> </w:t>
      </w:r>
      <w:r>
        <w:t>(with</w:t>
      </w:r>
      <w:r>
        <w:rPr>
          <w:spacing w:val="-4"/>
        </w:rPr>
        <w:t xml:space="preserve"> </w:t>
      </w:r>
      <w:r>
        <w:t>the</w:t>
      </w:r>
      <w:r>
        <w:rPr>
          <w:spacing w:val="-4"/>
        </w:rPr>
        <w:t xml:space="preserve"> </w:t>
      </w:r>
      <w:r>
        <w:t>latter</w:t>
      </w:r>
      <w:r>
        <w:rPr>
          <w:spacing w:val="-4"/>
        </w:rPr>
        <w:t xml:space="preserve"> </w:t>
      </w:r>
      <w:r>
        <w:t>only</w:t>
      </w:r>
      <w:r>
        <w:rPr>
          <w:spacing w:val="-4"/>
        </w:rPr>
        <w:t xml:space="preserve"> </w:t>
      </w:r>
      <w:r>
        <w:t>being</w:t>
      </w:r>
      <w:r>
        <w:rPr>
          <w:spacing w:val="-4"/>
        </w:rPr>
        <w:t xml:space="preserve"> </w:t>
      </w:r>
      <w:r>
        <w:t>used</w:t>
      </w:r>
      <w:r>
        <w:rPr>
          <w:spacing w:val="-4"/>
        </w:rPr>
        <w:t xml:space="preserve"> </w:t>
      </w:r>
      <w:r>
        <w:t>if</w:t>
      </w:r>
      <w:r>
        <w:rPr>
          <w:spacing w:val="-4"/>
        </w:rPr>
        <w:t xml:space="preserve"> </w:t>
      </w:r>
      <w:r>
        <w:t>there</w:t>
      </w:r>
      <w:r>
        <w:rPr>
          <w:spacing w:val="-4"/>
        </w:rPr>
        <w:t xml:space="preserve"> </w:t>
      </w:r>
      <w:r>
        <w:t>are</w:t>
      </w:r>
      <w:r>
        <w:rPr>
          <w:spacing w:val="-4"/>
        </w:rPr>
        <w:t xml:space="preserve"> </w:t>
      </w:r>
      <w:r>
        <w:t>an</w:t>
      </w:r>
      <w:r>
        <w:rPr>
          <w:spacing w:val="-4"/>
        </w:rPr>
        <w:t xml:space="preserve"> </w:t>
      </w:r>
      <w:r>
        <w:t>odd</w:t>
      </w:r>
      <w:r>
        <w:rPr>
          <w:spacing w:val="-4"/>
        </w:rPr>
        <w:t xml:space="preserve"> </w:t>
      </w:r>
      <w:r>
        <w:t>number</w:t>
      </w:r>
      <w:r>
        <w:rPr>
          <w:spacing w:val="-4"/>
        </w:rPr>
        <w:t xml:space="preserve"> </w:t>
      </w:r>
      <w:r>
        <w:t>of</w:t>
      </w:r>
      <w:r>
        <w:rPr>
          <w:spacing w:val="-4"/>
        </w:rPr>
        <w:t xml:space="preserve"> </w:t>
      </w:r>
      <w:r>
        <w:t>sample</w:t>
      </w:r>
      <w:r>
        <w:rPr>
          <w:spacing w:val="-4"/>
        </w:rPr>
        <w:t xml:space="preserve"> </w:t>
      </w:r>
      <w:r>
        <w:t>units</w:t>
      </w:r>
      <w:r>
        <w:rPr>
          <w:spacing w:val="-4"/>
        </w:rPr>
        <w:t xml:space="preserve"> </w:t>
      </w:r>
      <w:r>
        <w:t>within</w:t>
      </w:r>
      <w:r>
        <w:rPr>
          <w:spacing w:val="-4"/>
        </w:rPr>
        <w:t xml:space="preserve"> </w:t>
      </w:r>
      <w:r>
        <w:t>a</w:t>
      </w:r>
      <w:r>
        <w:rPr>
          <w:spacing w:val="-4"/>
        </w:rPr>
        <w:t xml:space="preserve"> </w:t>
      </w:r>
      <w:r>
        <w:t>particular</w:t>
      </w:r>
      <w:r>
        <w:rPr>
          <w:spacing w:val="-4"/>
        </w:rPr>
        <w:t xml:space="preserve"> </w:t>
      </w:r>
      <w:r>
        <w:t>primary</w:t>
      </w:r>
      <w:r>
        <w:rPr>
          <w:spacing w:val="-4"/>
        </w:rPr>
        <w:t xml:space="preserve"> </w:t>
      </w:r>
      <w:r>
        <w:t>stratum</w:t>
      </w:r>
      <w:r>
        <w:rPr>
          <w:spacing w:val="-4"/>
        </w:rPr>
        <w:t xml:space="preserve"> </w:t>
      </w:r>
      <w:r>
        <w:t>generating</w:t>
      </w:r>
      <w:r>
        <w:rPr>
          <w:spacing w:val="-4"/>
        </w:rPr>
        <w:t xml:space="preserve"> </w:t>
      </w:r>
      <w:r>
        <w:t>replicate strata). For pairs, the process of generating replicates can be viewed as taking a simple random sample \(J\) of size \(\frac{n_{h}}{2}\) within the replicate stratum, and assigning an increased weight to the sampled elements, and a decreased weight to the unsampled elements. In certain applications, the increased weight is double the full sample</w:t>
      </w:r>
      <w:r>
        <w:rPr>
          <w:spacing w:val="-7"/>
        </w:rPr>
        <w:t xml:space="preserve"> </w:t>
      </w:r>
      <w:r>
        <w:t>weight,</w:t>
      </w:r>
      <w:r>
        <w:rPr>
          <w:spacing w:val="-7"/>
        </w:rPr>
        <w:t xml:space="preserve"> </w:t>
      </w:r>
      <w:r>
        <w:t>while</w:t>
      </w:r>
      <w:r>
        <w:rPr>
          <w:spacing w:val="-7"/>
        </w:rPr>
        <w:t xml:space="preserve"> </w:t>
      </w:r>
      <w:r>
        <w:t>the</w:t>
      </w:r>
      <w:r>
        <w:rPr>
          <w:spacing w:val="-7"/>
        </w:rPr>
        <w:t xml:space="preserve"> </w:t>
      </w:r>
      <w:r>
        <w:t>decreased</w:t>
      </w:r>
      <w:r>
        <w:rPr>
          <w:spacing w:val="-7"/>
        </w:rPr>
        <w:t xml:space="preserve"> </w:t>
      </w:r>
      <w:r>
        <w:t>weight</w:t>
      </w:r>
      <w:r>
        <w:rPr>
          <w:spacing w:val="-7"/>
        </w:rPr>
        <w:t xml:space="preserve"> </w:t>
      </w:r>
      <w:r>
        <w:t>is</w:t>
      </w:r>
      <w:r>
        <w:rPr>
          <w:spacing w:val="-7"/>
        </w:rPr>
        <w:t xml:space="preserve"> </w:t>
      </w:r>
      <w:r>
        <w:t>in</w:t>
      </w:r>
      <w:r>
        <w:rPr>
          <w:spacing w:val="-7"/>
        </w:rPr>
        <w:t xml:space="preserve"> </w:t>
      </w:r>
      <w:r>
        <w:t>fact</w:t>
      </w:r>
      <w:r>
        <w:rPr>
          <w:spacing w:val="-7"/>
        </w:rPr>
        <w:t xml:space="preserve"> </w:t>
      </w:r>
      <w:r>
        <w:t>equal</w:t>
      </w:r>
      <w:r>
        <w:rPr>
          <w:spacing w:val="-7"/>
        </w:rPr>
        <w:t xml:space="preserve"> </w:t>
      </w:r>
      <w:r>
        <w:t>to</w:t>
      </w:r>
      <w:r>
        <w:rPr>
          <w:spacing w:val="-7"/>
        </w:rPr>
        <w:t xml:space="preserve"> </w:t>
      </w:r>
      <w:r>
        <w:t>zero.</w:t>
      </w:r>
      <w:r>
        <w:rPr>
          <w:spacing w:val="-7"/>
        </w:rPr>
        <w:t xml:space="preserve"> </w:t>
      </w:r>
      <w:r>
        <w:t>In</w:t>
      </w:r>
      <w:r>
        <w:rPr>
          <w:spacing w:val="-7"/>
        </w:rPr>
        <w:t xml:space="preserve"> </w:t>
      </w:r>
      <w:r>
        <w:t>this</w:t>
      </w:r>
      <w:r>
        <w:rPr>
          <w:spacing w:val="-7"/>
        </w:rPr>
        <w:t xml:space="preserve"> </w:t>
      </w:r>
      <w:r>
        <w:t>simplified</w:t>
      </w:r>
      <w:r>
        <w:rPr>
          <w:spacing w:val="-7"/>
        </w:rPr>
        <w:t xml:space="preserve"> </w:t>
      </w:r>
      <w:r>
        <w:t>case,</w:t>
      </w:r>
      <w:r>
        <w:rPr>
          <w:spacing w:val="-7"/>
        </w:rPr>
        <w:t xml:space="preserve"> </w:t>
      </w:r>
      <w:r>
        <w:t>this</w:t>
      </w:r>
      <w:r>
        <w:rPr>
          <w:spacing w:val="-7"/>
        </w:rPr>
        <w:t xml:space="preserve"> </w:t>
      </w:r>
      <w:r>
        <w:t>assignment</w:t>
      </w:r>
      <w:r>
        <w:rPr>
          <w:spacing w:val="-7"/>
        </w:rPr>
        <w:t xml:space="preserve"> </w:t>
      </w:r>
      <w:r>
        <w:t>reduces</w:t>
      </w:r>
      <w:r>
        <w:rPr>
          <w:spacing w:val="-7"/>
        </w:rPr>
        <w:t xml:space="preserve"> </w:t>
      </w:r>
      <w:r>
        <w:t>to</w:t>
      </w:r>
      <w:r>
        <w:rPr>
          <w:spacing w:val="-7"/>
        </w:rPr>
        <w:t xml:space="preserve"> </w:t>
      </w:r>
      <w:r>
        <w:t>replacing</w:t>
      </w:r>
      <w:r>
        <w:rPr>
          <w:spacing w:val="-7"/>
        </w:rPr>
        <w:t xml:space="preserve"> </w:t>
      </w:r>
      <w:r>
        <w:t>\(\overline{y}_{h}\)</w:t>
      </w:r>
      <w:r>
        <w:rPr>
          <w:spacing w:val="-7"/>
        </w:rPr>
        <w:t xml:space="preserve"> </w:t>
      </w:r>
      <w:r>
        <w:t>with</w:t>
      </w:r>
      <w:r>
        <w:rPr>
          <w:spacing w:val="-7"/>
        </w:rPr>
        <w:t xml:space="preserve"> </w:t>
      </w:r>
      <w:r>
        <w:t>\(\overline{y}_{h} (J)\), the latter being the sample mean of the sampled \(\frac{n_{h}}{2}\) units.</w:t>
      </w:r>
      <w:r>
        <w:rPr>
          <w:spacing w:val="-2"/>
        </w:rPr>
        <w:t xml:space="preserve"> </w:t>
      </w:r>
      <w:r>
        <w:t>Then the replicate estimator corresponding to stratum \(r\) is</w:t>
      </w:r>
    </w:p>
    <w:p w:rsidR="003F5784" w14:paraId="36A716F5" w14:textId="77777777">
      <w:pPr>
        <w:pStyle w:val="BodyText"/>
        <w:spacing w:before="205" w:line="439" w:lineRule="auto"/>
        <w:ind w:left="109" w:right="3991"/>
      </w:pPr>
      <w:r>
        <w:t>\begin{equation}</w:t>
      </w:r>
      <w:r>
        <w:rPr>
          <w:spacing w:val="-14"/>
        </w:rPr>
        <w:t xml:space="preserve"> </w:t>
      </w:r>
      <w:r>
        <w:t>\hat{\overline{Y}}(r)=\sum_{h</w:t>
      </w:r>
      <w:r>
        <w:rPr>
          <w:spacing w:val="-13"/>
        </w:rPr>
        <w:t xml:space="preserve"> </w:t>
      </w:r>
      <w:r>
        <w:t>\ne</w:t>
      </w:r>
      <w:r>
        <w:rPr>
          <w:spacing w:val="-13"/>
        </w:rPr>
        <w:t xml:space="preserve"> </w:t>
      </w:r>
      <w:r>
        <w:t>r}^{H}</w:t>
      </w:r>
      <w:r>
        <w:rPr>
          <w:spacing w:val="-13"/>
        </w:rPr>
        <w:t xml:space="preserve"> </w:t>
      </w:r>
      <w:r>
        <w:t>W_{h}</w:t>
      </w:r>
      <w:r>
        <w:rPr>
          <w:spacing w:val="-13"/>
        </w:rPr>
        <w:t xml:space="preserve"> </w:t>
      </w:r>
      <w:r>
        <w:t>\overline{y}_h</w:t>
      </w:r>
      <w:r>
        <w:rPr>
          <w:spacing w:val="-13"/>
        </w:rPr>
        <w:t xml:space="preserve"> </w:t>
      </w:r>
      <w:r>
        <w:t>+</w:t>
      </w:r>
      <w:r>
        <w:rPr>
          <w:spacing w:val="-13"/>
        </w:rPr>
        <w:t xml:space="preserve"> </w:t>
      </w:r>
      <w:r>
        <w:t>W_r</w:t>
      </w:r>
      <w:r>
        <w:rPr>
          <w:spacing w:val="-13"/>
        </w:rPr>
        <w:t xml:space="preserve"> </w:t>
      </w:r>
      <w:r>
        <w:t>\overline{y}_h(J).</w:t>
      </w:r>
      <w:r>
        <w:rPr>
          <w:spacing w:val="-14"/>
        </w:rPr>
        <w:t xml:space="preserve"> </w:t>
      </w:r>
      <w:r>
        <w:t>\end{equation} The \(r\)-th term in the sum of squares for \(\nu_{j} \left( \hat{\overline{Y}}\right)\) is thus</w:t>
      </w:r>
    </w:p>
    <w:p w:rsidR="003F5784" w14:paraId="432882EE" w14:textId="77777777">
      <w:pPr>
        <w:pStyle w:val="BodyText"/>
        <w:spacing w:before="2"/>
        <w:ind w:left="109"/>
      </w:pPr>
      <w:r>
        <w:t>\begin{equation}</w:t>
      </w:r>
      <w:r>
        <w:rPr>
          <w:spacing w:val="-12"/>
        </w:rPr>
        <w:t xml:space="preserve"> </w:t>
      </w:r>
      <w:r>
        <w:t>\left(</w:t>
      </w:r>
      <w:r>
        <w:rPr>
          <w:spacing w:val="-11"/>
        </w:rPr>
        <w:t xml:space="preserve"> </w:t>
      </w:r>
      <w:r>
        <w:t>\hat{\overline{Y}}(r)-</w:t>
      </w:r>
      <w:r>
        <w:rPr>
          <w:spacing w:val="-11"/>
        </w:rPr>
        <w:t xml:space="preserve"> </w:t>
      </w:r>
      <w:r>
        <w:t>\hat{\overline{Y}}</w:t>
      </w:r>
      <w:r>
        <w:rPr>
          <w:spacing w:val="-11"/>
        </w:rPr>
        <w:t xml:space="preserve"> </w:t>
      </w:r>
      <w:r>
        <w:t>\right)^2</w:t>
      </w:r>
      <w:r>
        <w:rPr>
          <w:spacing w:val="-11"/>
        </w:rPr>
        <w:t xml:space="preserve"> </w:t>
      </w:r>
      <w:r>
        <w:t>=</w:t>
      </w:r>
      <w:r>
        <w:rPr>
          <w:spacing w:val="-13"/>
        </w:rPr>
        <w:t xml:space="preserve"> </w:t>
      </w:r>
      <w:r>
        <w:t>W_r^2</w:t>
      </w:r>
      <w:r>
        <w:rPr>
          <w:spacing w:val="-10"/>
        </w:rPr>
        <w:t xml:space="preserve"> </w:t>
      </w:r>
      <w:r>
        <w:t>\left(</w:t>
      </w:r>
      <w:r>
        <w:rPr>
          <w:spacing w:val="-11"/>
        </w:rPr>
        <w:t xml:space="preserve"> </w:t>
      </w:r>
      <w:r>
        <w:t>\overline{y}_r(J)-</w:t>
      </w:r>
      <w:r>
        <w:rPr>
          <w:spacing w:val="-11"/>
        </w:rPr>
        <w:t xml:space="preserve"> </w:t>
      </w:r>
      <w:r>
        <w:t>\overline{y}_r</w:t>
      </w:r>
      <w:r>
        <w:rPr>
          <w:spacing w:val="-11"/>
        </w:rPr>
        <w:t xml:space="preserve"> </w:t>
      </w:r>
      <w:r>
        <w:t>\right)^2.</w:t>
      </w:r>
      <w:r>
        <w:rPr>
          <w:spacing w:val="-11"/>
        </w:rPr>
        <w:t xml:space="preserve"> </w:t>
      </w:r>
      <w:r>
        <w:rPr>
          <w:spacing w:val="-2"/>
        </w:rPr>
        <w:t>\end{equation}</w:t>
      </w:r>
    </w:p>
    <w:p w:rsidR="003F5784" w14:paraId="0433BAB5" w14:textId="77777777">
      <w:pPr>
        <w:pStyle w:val="BodyText"/>
        <w:spacing w:before="202"/>
        <w:ind w:left="109"/>
      </w:pPr>
      <w:r>
        <w:t>In</w:t>
      </w:r>
      <w:r>
        <w:rPr>
          <w:spacing w:val="-7"/>
        </w:rPr>
        <w:t xml:space="preserve"> </w:t>
      </w:r>
      <w:r>
        <w:t>stratified</w:t>
      </w:r>
      <w:r>
        <w:rPr>
          <w:spacing w:val="-6"/>
        </w:rPr>
        <w:t xml:space="preserve"> </w:t>
      </w:r>
      <w:r>
        <w:t>random</w:t>
      </w:r>
      <w:r>
        <w:rPr>
          <w:spacing w:val="-6"/>
        </w:rPr>
        <w:t xml:space="preserve"> </w:t>
      </w:r>
      <w:r>
        <w:t>sampling,</w:t>
      </w:r>
      <w:r>
        <w:rPr>
          <w:spacing w:val="-6"/>
        </w:rPr>
        <w:t xml:space="preserve"> </w:t>
      </w:r>
      <w:r>
        <w:t>when</w:t>
      </w:r>
      <w:r>
        <w:rPr>
          <w:spacing w:val="-7"/>
        </w:rPr>
        <w:t xml:space="preserve"> </w:t>
      </w:r>
      <w:r>
        <w:t>a</w:t>
      </w:r>
      <w:r>
        <w:rPr>
          <w:spacing w:val="-6"/>
        </w:rPr>
        <w:t xml:space="preserve"> </w:t>
      </w:r>
      <w:r>
        <w:t>sample</w:t>
      </w:r>
      <w:r>
        <w:rPr>
          <w:spacing w:val="-6"/>
        </w:rPr>
        <w:t xml:space="preserve"> </w:t>
      </w:r>
      <w:r>
        <w:t>of</w:t>
      </w:r>
      <w:r>
        <w:rPr>
          <w:spacing w:val="-6"/>
        </w:rPr>
        <w:t xml:space="preserve"> </w:t>
      </w:r>
      <w:r>
        <w:t>size</w:t>
      </w:r>
      <w:r>
        <w:rPr>
          <w:spacing w:val="-7"/>
        </w:rPr>
        <w:t xml:space="preserve"> </w:t>
      </w:r>
      <w:r>
        <w:t>\(\frac{n_r}{2}\)</w:t>
      </w:r>
      <w:r>
        <w:rPr>
          <w:spacing w:val="-6"/>
        </w:rPr>
        <w:t xml:space="preserve"> </w:t>
      </w:r>
      <w:r>
        <w:t>is</w:t>
      </w:r>
      <w:r>
        <w:rPr>
          <w:spacing w:val="-6"/>
        </w:rPr>
        <w:t xml:space="preserve"> </w:t>
      </w:r>
      <w:r>
        <w:t>drawn</w:t>
      </w:r>
      <w:r>
        <w:rPr>
          <w:spacing w:val="-6"/>
        </w:rPr>
        <w:t xml:space="preserve"> </w:t>
      </w:r>
      <w:r>
        <w:t>without</w:t>
      </w:r>
      <w:r>
        <w:rPr>
          <w:spacing w:val="-6"/>
        </w:rPr>
        <w:t xml:space="preserve"> </w:t>
      </w:r>
      <w:r>
        <w:t>replacement</w:t>
      </w:r>
      <w:r>
        <w:rPr>
          <w:spacing w:val="-7"/>
        </w:rPr>
        <w:t xml:space="preserve"> </w:t>
      </w:r>
      <w:r>
        <w:t>from</w:t>
      </w:r>
      <w:r>
        <w:rPr>
          <w:spacing w:val="-6"/>
        </w:rPr>
        <w:t xml:space="preserve"> </w:t>
      </w:r>
      <w:r>
        <w:t>a</w:t>
      </w:r>
      <w:r>
        <w:rPr>
          <w:spacing w:val="-6"/>
        </w:rPr>
        <w:t xml:space="preserve"> </w:t>
      </w:r>
      <w:r>
        <w:t>population</w:t>
      </w:r>
      <w:r>
        <w:rPr>
          <w:spacing w:val="-6"/>
        </w:rPr>
        <w:t xml:space="preserve"> </w:t>
      </w:r>
      <w:r>
        <w:t>of</w:t>
      </w:r>
      <w:r>
        <w:rPr>
          <w:spacing w:val="-7"/>
        </w:rPr>
        <w:t xml:space="preserve"> </w:t>
      </w:r>
      <w:r>
        <w:t>size</w:t>
      </w:r>
      <w:r>
        <w:rPr>
          <w:spacing w:val="-6"/>
        </w:rPr>
        <w:t xml:space="preserve"> </w:t>
      </w:r>
      <w:r>
        <w:t>\(n_r\),</w:t>
      </w:r>
      <w:r>
        <w:rPr>
          <w:spacing w:val="-6"/>
        </w:rPr>
        <w:t xml:space="preserve"> </w:t>
      </w:r>
      <w:r>
        <w:t>the</w:t>
      </w:r>
      <w:r>
        <w:rPr>
          <w:spacing w:val="-6"/>
        </w:rPr>
        <w:t xml:space="preserve"> </w:t>
      </w:r>
      <w:r>
        <w:t>sampling</w:t>
      </w:r>
      <w:r>
        <w:rPr>
          <w:spacing w:val="-6"/>
        </w:rPr>
        <w:t xml:space="preserve"> </w:t>
      </w:r>
      <w:r>
        <w:t>variance</w:t>
      </w:r>
      <w:r>
        <w:rPr>
          <w:spacing w:val="-7"/>
        </w:rPr>
        <w:t xml:space="preserve"> </w:t>
      </w:r>
      <w:r>
        <w:rPr>
          <w:spacing w:val="-5"/>
        </w:rPr>
        <w:t>is</w:t>
      </w:r>
    </w:p>
    <w:p w:rsidR="003F5784" w14:paraId="4F8E67DA" w14:textId="77777777">
      <w:pPr>
        <w:pStyle w:val="BodyText"/>
        <w:spacing w:before="201" w:line="238" w:lineRule="exact"/>
        <w:ind w:left="109"/>
      </w:pPr>
      <w:r>
        <w:t>\begin{equation}</w:t>
      </w:r>
      <w:r>
        <w:rPr>
          <w:spacing w:val="-9"/>
        </w:rPr>
        <w:t xml:space="preserve"> </w:t>
      </w:r>
      <w:r>
        <w:t>\begin{aligned}</w:t>
      </w:r>
      <w:r>
        <w:rPr>
          <w:spacing w:val="-9"/>
        </w:rPr>
        <w:t xml:space="preserve"> </w:t>
      </w:r>
      <w:r>
        <w:t>E</w:t>
      </w:r>
      <w:r>
        <w:rPr>
          <w:spacing w:val="-8"/>
        </w:rPr>
        <w:t xml:space="preserve"> </w:t>
      </w:r>
      <w:r>
        <w:t>\left(</w:t>
      </w:r>
      <w:r>
        <w:rPr>
          <w:spacing w:val="-9"/>
        </w:rPr>
        <w:t xml:space="preserve"> </w:t>
      </w:r>
      <w:r>
        <w:t>\overline{y}_{r’}(J)-\overline{y}_r</w:t>
      </w:r>
      <w:r>
        <w:rPr>
          <w:spacing w:val="-8"/>
        </w:rPr>
        <w:t xml:space="preserve"> </w:t>
      </w:r>
      <w:r>
        <w:t>\right)^2</w:t>
      </w:r>
      <w:r>
        <w:rPr>
          <w:spacing w:val="-9"/>
        </w:rPr>
        <w:t xml:space="preserve"> </w:t>
      </w:r>
      <w:r>
        <w:t>=</w:t>
      </w:r>
      <w:r>
        <w:rPr>
          <w:spacing w:val="-8"/>
        </w:rPr>
        <w:t xml:space="preserve"> </w:t>
      </w:r>
      <w:r>
        <w:t>\frac</w:t>
      </w:r>
      <w:r>
        <w:rPr>
          <w:spacing w:val="-9"/>
        </w:rPr>
        <w:t xml:space="preserve"> </w:t>
      </w:r>
      <w:r>
        <w:t>{1}</w:t>
      </w:r>
      <w:r>
        <w:rPr>
          <w:spacing w:val="-8"/>
        </w:rPr>
        <w:t xml:space="preserve"> </w:t>
      </w:r>
      <w:r>
        <w:t>{\frac{n_r}{2}</w:t>
      </w:r>
      <w:r>
        <w:rPr>
          <w:spacing w:val="-9"/>
        </w:rPr>
        <w:t xml:space="preserve"> </w:t>
      </w:r>
      <w:r>
        <w:t>}</w:t>
      </w:r>
      <w:r>
        <w:rPr>
          <w:spacing w:val="-8"/>
        </w:rPr>
        <w:t xml:space="preserve"> </w:t>
      </w:r>
      <w:r>
        <w:t>\frac{</w:t>
      </w:r>
      <w:r>
        <w:rPr>
          <w:spacing w:val="-9"/>
        </w:rPr>
        <w:t xml:space="preserve"> </w:t>
      </w:r>
      <w:r>
        <w:t>n_r</w:t>
      </w:r>
      <w:r>
        <w:rPr>
          <w:spacing w:val="-8"/>
        </w:rPr>
        <w:t xml:space="preserve"> </w:t>
      </w:r>
      <w:r>
        <w:t>-</w:t>
      </w:r>
      <w:r>
        <w:rPr>
          <w:spacing w:val="-9"/>
        </w:rPr>
        <w:t xml:space="preserve"> </w:t>
      </w:r>
      <w:r>
        <w:t>\frac{n_r}{2}}</w:t>
      </w:r>
      <w:r>
        <w:rPr>
          <w:spacing w:val="-8"/>
        </w:rPr>
        <w:t xml:space="preserve"> </w:t>
      </w:r>
      <w:r>
        <w:t>{n_r}</w:t>
      </w:r>
      <w:r>
        <w:rPr>
          <w:spacing w:val="-9"/>
        </w:rPr>
        <w:t xml:space="preserve"> </w:t>
      </w:r>
      <w:r>
        <w:t>\frac</w:t>
      </w:r>
      <w:r>
        <w:rPr>
          <w:spacing w:val="-8"/>
        </w:rPr>
        <w:t xml:space="preserve"> </w:t>
      </w:r>
      <w:r>
        <w:t>{1}{n_r-</w:t>
      </w:r>
      <w:r>
        <w:rPr>
          <w:spacing w:val="-5"/>
        </w:rPr>
        <w:t>1}</w:t>
      </w:r>
    </w:p>
    <w:p w:rsidR="003F5784" w14:paraId="2532F595" w14:textId="77777777">
      <w:pPr>
        <w:pStyle w:val="BodyText"/>
        <w:spacing w:line="235" w:lineRule="exact"/>
        <w:ind w:left="109"/>
      </w:pPr>
      <w:r>
        <w:t>\sum_{i=1}^{n_r}</w:t>
      </w:r>
      <w:r>
        <w:rPr>
          <w:spacing w:val="-7"/>
        </w:rPr>
        <w:t xml:space="preserve"> </w:t>
      </w:r>
      <w:r>
        <w:t>\left(</w:t>
      </w:r>
      <w:r>
        <w:rPr>
          <w:spacing w:val="-7"/>
        </w:rPr>
        <w:t xml:space="preserve"> </w:t>
      </w:r>
      <w:r>
        <w:t>y_{r_{i}}</w:t>
      </w:r>
      <w:r>
        <w:rPr>
          <w:spacing w:val="-7"/>
        </w:rPr>
        <w:t xml:space="preserve"> </w:t>
      </w:r>
      <w:r>
        <w:t>-</w:t>
      </w:r>
      <w:r>
        <w:rPr>
          <w:spacing w:val="-7"/>
        </w:rPr>
        <w:t xml:space="preserve"> </w:t>
      </w:r>
      <w:r>
        <w:t>\overline{y}_r</w:t>
      </w:r>
      <w:r>
        <w:rPr>
          <w:spacing w:val="-7"/>
        </w:rPr>
        <w:t xml:space="preserve"> </w:t>
      </w:r>
      <w:r>
        <w:t>\right)^2</w:t>
      </w:r>
      <w:r>
        <w:rPr>
          <w:spacing w:val="-7"/>
        </w:rPr>
        <w:t xml:space="preserve"> </w:t>
      </w:r>
      <w:r>
        <w:t>\\</w:t>
      </w:r>
      <w:r>
        <w:rPr>
          <w:spacing w:val="-7"/>
        </w:rPr>
        <w:t xml:space="preserve"> </w:t>
      </w:r>
      <w:r>
        <w:t>=</w:t>
      </w:r>
      <w:r>
        <w:rPr>
          <w:spacing w:val="-7"/>
        </w:rPr>
        <w:t xml:space="preserve"> </w:t>
      </w:r>
      <w:r>
        <w:t>\frac</w:t>
      </w:r>
      <w:r>
        <w:rPr>
          <w:spacing w:val="-7"/>
        </w:rPr>
        <w:t xml:space="preserve"> </w:t>
      </w:r>
      <w:r>
        <w:t>{1}</w:t>
      </w:r>
      <w:r>
        <w:rPr>
          <w:spacing w:val="-7"/>
        </w:rPr>
        <w:t xml:space="preserve"> </w:t>
      </w:r>
      <w:r>
        <w:t>{n_r</w:t>
      </w:r>
      <w:r>
        <w:rPr>
          <w:spacing w:val="-7"/>
        </w:rPr>
        <w:t xml:space="preserve"> </w:t>
      </w:r>
      <w:r>
        <w:t>\left(</w:t>
      </w:r>
      <w:r>
        <w:rPr>
          <w:spacing w:val="-7"/>
        </w:rPr>
        <w:t xml:space="preserve"> </w:t>
      </w:r>
      <w:r>
        <w:t>n_r-1</w:t>
      </w:r>
      <w:r>
        <w:rPr>
          <w:spacing w:val="-7"/>
        </w:rPr>
        <w:t xml:space="preserve"> </w:t>
      </w:r>
      <w:r>
        <w:t>\right)</w:t>
      </w:r>
      <w:r>
        <w:rPr>
          <w:spacing w:val="-7"/>
        </w:rPr>
        <w:t xml:space="preserve"> </w:t>
      </w:r>
      <w:r>
        <w:t>}</w:t>
      </w:r>
      <w:r>
        <w:rPr>
          <w:spacing w:val="-7"/>
        </w:rPr>
        <w:t xml:space="preserve"> </w:t>
      </w:r>
      <w:r>
        <w:t>\sum_{i=1}^{n_r}</w:t>
      </w:r>
      <w:r>
        <w:rPr>
          <w:spacing w:val="-7"/>
        </w:rPr>
        <w:t xml:space="preserve"> </w:t>
      </w:r>
      <w:r>
        <w:t>\left(</w:t>
      </w:r>
      <w:r>
        <w:rPr>
          <w:spacing w:val="-7"/>
        </w:rPr>
        <w:t xml:space="preserve"> </w:t>
      </w:r>
      <w:r>
        <w:t>y_{r_{i}}</w:t>
      </w:r>
      <w:r>
        <w:rPr>
          <w:spacing w:val="-7"/>
        </w:rPr>
        <w:t xml:space="preserve"> </w:t>
      </w:r>
      <w:r>
        <w:t>-</w:t>
      </w:r>
      <w:r>
        <w:rPr>
          <w:spacing w:val="-7"/>
        </w:rPr>
        <w:t xml:space="preserve"> </w:t>
      </w:r>
      <w:r>
        <w:t>\overline{y}_r</w:t>
      </w:r>
      <w:r>
        <w:rPr>
          <w:spacing w:val="-7"/>
        </w:rPr>
        <w:t xml:space="preserve"> </w:t>
      </w:r>
      <w:r>
        <w:t>\right)^2</w:t>
      </w:r>
      <w:r>
        <w:rPr>
          <w:spacing w:val="-7"/>
        </w:rPr>
        <w:t xml:space="preserve"> </w:t>
      </w:r>
      <w:r>
        <w:t>=</w:t>
      </w:r>
      <w:r>
        <w:rPr>
          <w:spacing w:val="-7"/>
        </w:rPr>
        <w:t xml:space="preserve"> </w:t>
      </w:r>
      <w:r>
        <w:rPr>
          <w:spacing w:val="-2"/>
        </w:rPr>
        <w:t>\frac</w:t>
      </w:r>
    </w:p>
    <w:p w:rsidR="003F5784" w14:paraId="2F04115F" w14:textId="77777777">
      <w:pPr>
        <w:pStyle w:val="BodyText"/>
        <w:spacing w:line="238" w:lineRule="exact"/>
        <w:ind w:left="109"/>
      </w:pPr>
      <w:r>
        <w:t>{s^2_r}{n_r}.</w:t>
      </w:r>
      <w:r>
        <w:rPr>
          <w:spacing w:val="-13"/>
        </w:rPr>
        <w:t xml:space="preserve"> </w:t>
      </w:r>
      <w:r>
        <w:t>\end{aligned}</w:t>
      </w:r>
      <w:r>
        <w:rPr>
          <w:spacing w:val="-13"/>
        </w:rPr>
        <w:t xml:space="preserve"> </w:t>
      </w:r>
      <w:r>
        <w:rPr>
          <w:spacing w:val="-2"/>
        </w:rPr>
        <w:t>\end{equation}</w:t>
      </w:r>
    </w:p>
    <w:p w:rsidR="003F5784" w14:paraId="4A1B44D9" w14:textId="77777777">
      <w:pPr>
        <w:pStyle w:val="BodyText"/>
        <w:spacing w:before="208" w:line="232" w:lineRule="auto"/>
        <w:ind w:left="109"/>
      </w:pPr>
      <w:r>
        <w:t>See</w:t>
      </w:r>
      <w:r>
        <w:rPr>
          <w:spacing w:val="-6"/>
        </w:rPr>
        <w:t xml:space="preserve"> </w:t>
      </w:r>
      <w:r>
        <w:t>for</w:t>
      </w:r>
      <w:r>
        <w:rPr>
          <w:spacing w:val="-6"/>
        </w:rPr>
        <w:t xml:space="preserve"> </w:t>
      </w:r>
      <w:r>
        <w:t>example</w:t>
      </w:r>
      <w:r>
        <w:rPr>
          <w:spacing w:val="-6"/>
        </w:rPr>
        <w:t xml:space="preserve"> </w:t>
      </w:r>
      <w:r>
        <w:t>Cochran</w:t>
      </w:r>
      <w:r>
        <w:rPr>
          <w:spacing w:val="-6"/>
        </w:rPr>
        <w:t xml:space="preserve"> </w:t>
      </w:r>
      <w:r>
        <w:t>(1977),</w:t>
      </w:r>
      <w:r>
        <w:rPr>
          <w:spacing w:val="-10"/>
        </w:rPr>
        <w:t xml:space="preserve"> </w:t>
      </w:r>
      <w:r>
        <w:t>Theorem</w:t>
      </w:r>
      <w:r>
        <w:rPr>
          <w:spacing w:val="-6"/>
        </w:rPr>
        <w:t xml:space="preserve"> </w:t>
      </w:r>
      <w:r>
        <w:t>5.3,</w:t>
      </w:r>
      <w:r>
        <w:rPr>
          <w:spacing w:val="-6"/>
        </w:rPr>
        <w:t xml:space="preserve"> </w:t>
      </w:r>
      <w:r>
        <w:t>using</w:t>
      </w:r>
      <w:r>
        <w:rPr>
          <w:spacing w:val="-6"/>
        </w:rPr>
        <w:t xml:space="preserve"> </w:t>
      </w:r>
      <w:r>
        <w:t>\(n_r\),</w:t>
      </w:r>
      <w:r>
        <w:rPr>
          <w:spacing w:val="-6"/>
        </w:rPr>
        <w:t xml:space="preserve"> </w:t>
      </w:r>
      <w:r>
        <w:t>as</w:t>
      </w:r>
      <w:r>
        <w:rPr>
          <w:spacing w:val="-6"/>
        </w:rPr>
        <w:t xml:space="preserve"> </w:t>
      </w:r>
      <w:r>
        <w:t>the</w:t>
      </w:r>
      <w:r>
        <w:rPr>
          <w:spacing w:val="-6"/>
        </w:rPr>
        <w:t xml:space="preserve"> </w:t>
      </w:r>
      <w:r>
        <w:t>“population</w:t>
      </w:r>
      <w:r>
        <w:rPr>
          <w:spacing w:val="-6"/>
        </w:rPr>
        <w:t xml:space="preserve"> </w:t>
      </w:r>
      <w:r>
        <w:t>size,”</w:t>
      </w:r>
      <w:r>
        <w:rPr>
          <w:spacing w:val="-6"/>
        </w:rPr>
        <w:t xml:space="preserve"> </w:t>
      </w:r>
      <w:r>
        <w:t>\(\frac{n_r}{2}\)as</w:t>
      </w:r>
      <w:r>
        <w:rPr>
          <w:spacing w:val="-6"/>
        </w:rPr>
        <w:t xml:space="preserve"> </w:t>
      </w:r>
      <w:r>
        <w:t>the</w:t>
      </w:r>
      <w:r>
        <w:rPr>
          <w:spacing w:val="-6"/>
        </w:rPr>
        <w:t xml:space="preserve"> </w:t>
      </w:r>
      <w:r>
        <w:t>“sample</w:t>
      </w:r>
      <w:r>
        <w:rPr>
          <w:spacing w:val="-6"/>
        </w:rPr>
        <w:t xml:space="preserve"> </w:t>
      </w:r>
      <w:r>
        <w:t>size,”</w:t>
      </w:r>
      <w:r>
        <w:rPr>
          <w:spacing w:val="-6"/>
        </w:rPr>
        <w:t xml:space="preserve"> </w:t>
      </w:r>
      <w:r>
        <w:t>and</w:t>
      </w:r>
      <w:r>
        <w:rPr>
          <w:spacing w:val="-6"/>
        </w:rPr>
        <w:t xml:space="preserve"> </w:t>
      </w:r>
      <w:r>
        <w:t>\(s^2_r\)</w:t>
      </w:r>
      <w:r>
        <w:rPr>
          <w:spacing w:val="-6"/>
        </w:rPr>
        <w:t xml:space="preserve"> </w:t>
      </w:r>
      <w:r>
        <w:t>as</w:t>
      </w:r>
      <w:r>
        <w:rPr>
          <w:spacing w:val="-6"/>
        </w:rPr>
        <w:t xml:space="preserve"> </w:t>
      </w:r>
      <w:r>
        <w:t>the</w:t>
      </w:r>
      <w:r>
        <w:rPr>
          <w:spacing w:val="-6"/>
        </w:rPr>
        <w:t xml:space="preserve"> </w:t>
      </w:r>
      <w:r>
        <w:t>“population</w:t>
      </w:r>
      <w:r>
        <w:rPr>
          <w:spacing w:val="-6"/>
        </w:rPr>
        <w:t xml:space="preserve"> </w:t>
      </w:r>
      <w:r>
        <w:t>variance”</w:t>
      </w:r>
      <w:r>
        <w:rPr>
          <w:spacing w:val="-6"/>
        </w:rPr>
        <w:t xml:space="preserve"> </w:t>
      </w:r>
      <w:r>
        <w:t>in</w:t>
      </w:r>
      <w:r>
        <w:rPr>
          <w:spacing w:val="-6"/>
        </w:rPr>
        <w:t xml:space="preserve"> </w:t>
      </w:r>
      <w:r>
        <w:t>the given formula. Thus,</w:t>
      </w:r>
    </w:p>
    <w:p w:rsidR="003F5784" w14:paraId="132D22C9" w14:textId="77777777">
      <w:pPr>
        <w:pStyle w:val="BodyText"/>
        <w:spacing w:before="203" w:line="439" w:lineRule="auto"/>
        <w:ind w:left="109" w:right="2975"/>
      </w:pPr>
      <w:r>
        <w:t>\begin{equation}</w:t>
      </w:r>
      <w:r>
        <w:rPr>
          <w:spacing w:val="-11"/>
        </w:rPr>
        <w:t xml:space="preserve"> </w:t>
      </w:r>
      <w:r>
        <w:t>E</w:t>
      </w:r>
      <w:r>
        <w:rPr>
          <w:spacing w:val="-10"/>
        </w:rPr>
        <w:t xml:space="preserve"> </w:t>
      </w:r>
      <w:r>
        <w:t>\left\{</w:t>
      </w:r>
      <w:r>
        <w:rPr>
          <w:spacing w:val="-14"/>
        </w:rPr>
        <w:t xml:space="preserve"> </w:t>
      </w:r>
      <w:r>
        <w:t>W_r^2</w:t>
      </w:r>
      <w:r>
        <w:rPr>
          <w:spacing w:val="-10"/>
        </w:rPr>
        <w:t xml:space="preserve"> </w:t>
      </w:r>
      <w:r>
        <w:t>\left(</w:t>
      </w:r>
      <w:r>
        <w:rPr>
          <w:spacing w:val="-10"/>
        </w:rPr>
        <w:t xml:space="preserve"> </w:t>
      </w:r>
      <w:r>
        <w:t>\overline{y}_{r}(J)-</w:t>
      </w:r>
      <w:r>
        <w:rPr>
          <w:spacing w:val="-10"/>
        </w:rPr>
        <w:t xml:space="preserve"> </w:t>
      </w:r>
      <w:r>
        <w:t>\overline{y}_r</w:t>
      </w:r>
      <w:r>
        <w:rPr>
          <w:spacing w:val="-10"/>
        </w:rPr>
        <w:t xml:space="preserve"> </w:t>
      </w:r>
      <w:r>
        <w:t>\right)^2</w:t>
      </w:r>
      <w:r>
        <w:rPr>
          <w:spacing w:val="-10"/>
        </w:rPr>
        <w:t xml:space="preserve"> </w:t>
      </w:r>
      <w:r>
        <w:t>\right\}</w:t>
      </w:r>
      <w:r>
        <w:rPr>
          <w:spacing w:val="-10"/>
        </w:rPr>
        <w:t xml:space="preserve"> </w:t>
      </w:r>
      <w:r>
        <w:t>=</w:t>
      </w:r>
      <w:r>
        <w:rPr>
          <w:spacing w:val="-14"/>
        </w:rPr>
        <w:t xml:space="preserve"> </w:t>
      </w:r>
      <w:r>
        <w:t>W_r^2</w:t>
      </w:r>
      <w:r>
        <w:rPr>
          <w:spacing w:val="-10"/>
        </w:rPr>
        <w:t xml:space="preserve"> </w:t>
      </w:r>
      <w:r>
        <w:t>\frac{s_r^2}{n_r}.</w:t>
      </w:r>
      <w:r>
        <w:rPr>
          <w:spacing w:val="-10"/>
        </w:rPr>
        <w:t xml:space="preserve"> </w:t>
      </w:r>
      <w:r>
        <w:t>\end{equation} Taking the expectation over all of these stratified samples of size \(\frac{n_r}{2}\), it is found that</w:t>
      </w:r>
    </w:p>
    <w:p w:rsidR="003F5784" w14:paraId="459C265A" w14:textId="77777777">
      <w:pPr>
        <w:pStyle w:val="BodyText"/>
        <w:spacing w:before="3"/>
        <w:ind w:left="109"/>
      </w:pPr>
      <w:r>
        <w:t>\begin{equation}</w:t>
      </w:r>
      <w:r>
        <w:rPr>
          <w:spacing w:val="-9"/>
        </w:rPr>
        <w:t xml:space="preserve"> </w:t>
      </w:r>
      <w:r>
        <w:t>E</w:t>
      </w:r>
      <w:r>
        <w:rPr>
          <w:spacing w:val="-9"/>
        </w:rPr>
        <w:t xml:space="preserve"> </w:t>
      </w:r>
      <w:r>
        <w:t>\left(</w:t>
      </w:r>
      <w:r>
        <w:rPr>
          <w:spacing w:val="-9"/>
        </w:rPr>
        <w:t xml:space="preserve"> </w:t>
      </w:r>
      <w:r>
        <w:t>\nu_j</w:t>
      </w:r>
      <w:r>
        <w:rPr>
          <w:spacing w:val="-8"/>
        </w:rPr>
        <w:t xml:space="preserve"> </w:t>
      </w:r>
      <w:r>
        <w:t>\left(</w:t>
      </w:r>
      <w:r>
        <w:rPr>
          <w:spacing w:val="-9"/>
        </w:rPr>
        <w:t xml:space="preserve"> </w:t>
      </w:r>
      <w:r>
        <w:t>\hat{\overline{Y}}</w:t>
      </w:r>
      <w:r>
        <w:rPr>
          <w:spacing w:val="-9"/>
        </w:rPr>
        <w:t xml:space="preserve"> </w:t>
      </w:r>
      <w:r>
        <w:t>\right)</w:t>
      </w:r>
      <w:r>
        <w:rPr>
          <w:spacing w:val="-8"/>
        </w:rPr>
        <w:t xml:space="preserve"> </w:t>
      </w:r>
      <w:r>
        <w:t>\right)</w:t>
      </w:r>
      <w:r>
        <w:rPr>
          <w:spacing w:val="-9"/>
        </w:rPr>
        <w:t xml:space="preserve"> </w:t>
      </w:r>
      <w:r>
        <w:t>=\nu</w:t>
      </w:r>
      <w:r>
        <w:rPr>
          <w:spacing w:val="-9"/>
        </w:rPr>
        <w:t xml:space="preserve"> </w:t>
      </w:r>
      <w:r>
        <w:t>\left(</w:t>
      </w:r>
      <w:r>
        <w:rPr>
          <w:spacing w:val="-9"/>
        </w:rPr>
        <w:t xml:space="preserve"> </w:t>
      </w:r>
      <w:r>
        <w:t>\hat{\overline{Y}}\right).</w:t>
      </w:r>
      <w:r>
        <w:rPr>
          <w:spacing w:val="-8"/>
        </w:rPr>
        <w:t xml:space="preserve"> </w:t>
      </w:r>
      <w:r>
        <w:rPr>
          <w:spacing w:val="-2"/>
        </w:rPr>
        <w:t>\end{equation}</w:t>
      </w:r>
    </w:p>
    <w:p w:rsidR="003F5784" w14:paraId="1278206B" w14:textId="77777777">
      <w:pPr>
        <w:pStyle w:val="BodyText"/>
        <w:spacing w:before="201"/>
        <w:ind w:left="109"/>
      </w:pPr>
      <w:r>
        <w:t>In</w:t>
      </w:r>
      <w:r>
        <w:rPr>
          <w:spacing w:val="-6"/>
        </w:rPr>
        <w:t xml:space="preserve"> </w:t>
      </w:r>
      <w:r>
        <w:t>this</w:t>
      </w:r>
      <w:r>
        <w:rPr>
          <w:spacing w:val="-6"/>
        </w:rPr>
        <w:t xml:space="preserve"> </w:t>
      </w:r>
      <w:r>
        <w:t>sense,</w:t>
      </w:r>
      <w:r>
        <w:rPr>
          <w:spacing w:val="-6"/>
        </w:rPr>
        <w:t xml:space="preserve"> </w:t>
      </w:r>
      <w:r>
        <w:t>the</w:t>
      </w:r>
      <w:r>
        <w:rPr>
          <w:spacing w:val="-5"/>
        </w:rPr>
        <w:t xml:space="preserve"> </w:t>
      </w:r>
      <w:r>
        <w:t>jackknife</w:t>
      </w:r>
      <w:r>
        <w:rPr>
          <w:spacing w:val="-6"/>
        </w:rPr>
        <w:t xml:space="preserve"> </w:t>
      </w:r>
      <w:r>
        <w:t>variance</w:t>
      </w:r>
      <w:r>
        <w:rPr>
          <w:spacing w:val="-6"/>
        </w:rPr>
        <w:t xml:space="preserve"> </w:t>
      </w:r>
      <w:r>
        <w:t>estimator</w:t>
      </w:r>
      <w:r>
        <w:rPr>
          <w:spacing w:val="-6"/>
        </w:rPr>
        <w:t xml:space="preserve"> </w:t>
      </w:r>
      <w:r>
        <w:t>"gives</w:t>
      </w:r>
      <w:r>
        <w:rPr>
          <w:spacing w:val="-5"/>
        </w:rPr>
        <w:t xml:space="preserve"> </w:t>
      </w:r>
      <w:r>
        <w:t>back"</w:t>
      </w:r>
      <w:r>
        <w:rPr>
          <w:spacing w:val="-6"/>
        </w:rPr>
        <w:t xml:space="preserve"> </w:t>
      </w:r>
      <w:r>
        <w:t>the</w:t>
      </w:r>
      <w:r>
        <w:rPr>
          <w:spacing w:val="-6"/>
        </w:rPr>
        <w:t xml:space="preserve"> </w:t>
      </w:r>
      <w:r>
        <w:t>sample</w:t>
      </w:r>
      <w:r>
        <w:rPr>
          <w:spacing w:val="-5"/>
        </w:rPr>
        <w:t xml:space="preserve"> </w:t>
      </w:r>
      <w:r>
        <w:t>variance</w:t>
      </w:r>
      <w:r>
        <w:rPr>
          <w:spacing w:val="-6"/>
        </w:rPr>
        <w:t xml:space="preserve"> </w:t>
      </w:r>
      <w:r>
        <w:t>estimator</w:t>
      </w:r>
      <w:r>
        <w:rPr>
          <w:spacing w:val="-6"/>
        </w:rPr>
        <w:t xml:space="preserve"> </w:t>
      </w:r>
      <w:r>
        <w:t>for</w:t>
      </w:r>
      <w:r>
        <w:rPr>
          <w:spacing w:val="-6"/>
        </w:rPr>
        <w:t xml:space="preserve"> </w:t>
      </w:r>
      <w:r>
        <w:t>means</w:t>
      </w:r>
      <w:r>
        <w:rPr>
          <w:spacing w:val="-5"/>
        </w:rPr>
        <w:t xml:space="preserve"> </w:t>
      </w:r>
      <w:r>
        <w:t>and</w:t>
      </w:r>
      <w:r>
        <w:rPr>
          <w:spacing w:val="-6"/>
        </w:rPr>
        <w:t xml:space="preserve"> </w:t>
      </w:r>
      <w:r>
        <w:t>totals</w:t>
      </w:r>
      <w:r>
        <w:rPr>
          <w:spacing w:val="-6"/>
        </w:rPr>
        <w:t xml:space="preserve"> </w:t>
      </w:r>
      <w:r>
        <w:t>as</w:t>
      </w:r>
      <w:r>
        <w:rPr>
          <w:spacing w:val="-6"/>
        </w:rPr>
        <w:t xml:space="preserve"> </w:t>
      </w:r>
      <w:r>
        <w:t>desired</w:t>
      </w:r>
      <w:r>
        <w:rPr>
          <w:spacing w:val="-5"/>
        </w:rPr>
        <w:t xml:space="preserve"> </w:t>
      </w:r>
      <w:r>
        <w:t>under</w:t>
      </w:r>
      <w:r>
        <w:rPr>
          <w:spacing w:val="-6"/>
        </w:rPr>
        <w:t xml:space="preserve"> </w:t>
      </w:r>
      <w:r>
        <w:t>the</w:t>
      </w:r>
      <w:r>
        <w:rPr>
          <w:spacing w:val="-6"/>
        </w:rPr>
        <w:t xml:space="preserve"> </w:t>
      </w:r>
      <w:r>
        <w:rPr>
          <w:spacing w:val="-2"/>
        </w:rPr>
        <w:t>theory.</w:t>
      </w:r>
    </w:p>
    <w:p w:rsidR="003F5784" w14:paraId="2580548E" w14:textId="77777777">
      <w:pPr>
        <w:pStyle w:val="BodyText"/>
        <w:spacing w:before="208" w:line="232" w:lineRule="auto"/>
        <w:ind w:left="109"/>
      </w:pPr>
      <w:r>
        <w:t>In</w:t>
      </w:r>
      <w:r>
        <w:rPr>
          <w:spacing w:val="-5"/>
        </w:rPr>
        <w:t xml:space="preserve"> </w:t>
      </w:r>
      <w:r>
        <w:t>cases</w:t>
      </w:r>
      <w:r>
        <w:rPr>
          <w:spacing w:val="-5"/>
        </w:rPr>
        <w:t xml:space="preserve"> </w:t>
      </w:r>
      <w:r>
        <w:t>where,</w:t>
      </w:r>
      <w:r>
        <w:rPr>
          <w:spacing w:val="-5"/>
        </w:rPr>
        <w:t xml:space="preserve"> </w:t>
      </w:r>
      <w:r>
        <w:t>rather</w:t>
      </w:r>
      <w:r>
        <w:rPr>
          <w:spacing w:val="-5"/>
        </w:rPr>
        <w:t xml:space="preserve"> </w:t>
      </w:r>
      <w:r>
        <w:t>than</w:t>
      </w:r>
      <w:r>
        <w:rPr>
          <w:spacing w:val="-5"/>
        </w:rPr>
        <w:t xml:space="preserve"> </w:t>
      </w:r>
      <w:r>
        <w:t>doubling</w:t>
      </w:r>
      <w:r>
        <w:rPr>
          <w:spacing w:val="-5"/>
        </w:rPr>
        <w:t xml:space="preserve"> </w:t>
      </w:r>
      <w:r>
        <w:t>the</w:t>
      </w:r>
      <w:r>
        <w:rPr>
          <w:spacing w:val="-5"/>
        </w:rPr>
        <w:t xml:space="preserve"> </w:t>
      </w:r>
      <w:r>
        <w:t>weight</w:t>
      </w:r>
      <w:r>
        <w:rPr>
          <w:spacing w:val="-5"/>
        </w:rPr>
        <w:t xml:space="preserve"> </w:t>
      </w:r>
      <w:r>
        <w:t>of</w:t>
      </w:r>
      <w:r>
        <w:rPr>
          <w:spacing w:val="-5"/>
        </w:rPr>
        <w:t xml:space="preserve"> </w:t>
      </w:r>
      <w:r>
        <w:t>one</w:t>
      </w:r>
      <w:r>
        <w:rPr>
          <w:spacing w:val="-5"/>
        </w:rPr>
        <w:t xml:space="preserve"> </w:t>
      </w:r>
      <w:r>
        <w:t>half</w:t>
      </w:r>
      <w:r>
        <w:rPr>
          <w:spacing w:val="-5"/>
        </w:rPr>
        <w:t xml:space="preserve"> </w:t>
      </w:r>
      <w:r>
        <w:t>of</w:t>
      </w:r>
      <w:r>
        <w:rPr>
          <w:spacing w:val="-5"/>
        </w:rPr>
        <w:t xml:space="preserve"> </w:t>
      </w:r>
      <w:r>
        <w:t>one</w:t>
      </w:r>
      <w:r>
        <w:rPr>
          <w:spacing w:val="-5"/>
        </w:rPr>
        <w:t xml:space="preserve"> </w:t>
      </w:r>
      <w:r>
        <w:t>variance</w:t>
      </w:r>
      <w:r>
        <w:rPr>
          <w:spacing w:val="-5"/>
        </w:rPr>
        <w:t xml:space="preserve"> </w:t>
      </w:r>
      <w:r>
        <w:t>stratum</w:t>
      </w:r>
      <w:r>
        <w:rPr>
          <w:spacing w:val="-5"/>
        </w:rPr>
        <w:t xml:space="preserve"> </w:t>
      </w:r>
      <w:r>
        <w:t>and</w:t>
      </w:r>
      <w:r>
        <w:rPr>
          <w:spacing w:val="-5"/>
        </w:rPr>
        <w:t xml:space="preserve"> </w:t>
      </w:r>
      <w:r>
        <w:t>assigning</w:t>
      </w:r>
      <w:r>
        <w:rPr>
          <w:spacing w:val="-5"/>
        </w:rPr>
        <w:t xml:space="preserve"> </w:t>
      </w:r>
      <w:r>
        <w:t>a</w:t>
      </w:r>
      <w:r>
        <w:rPr>
          <w:spacing w:val="-5"/>
        </w:rPr>
        <w:t xml:space="preserve"> </w:t>
      </w:r>
      <w:r>
        <w:t>zero</w:t>
      </w:r>
      <w:r>
        <w:rPr>
          <w:spacing w:val="-5"/>
        </w:rPr>
        <w:t xml:space="preserve"> </w:t>
      </w:r>
      <w:r>
        <w:t>weight</w:t>
      </w:r>
      <w:r>
        <w:rPr>
          <w:spacing w:val="-5"/>
        </w:rPr>
        <w:t xml:space="preserve"> </w:t>
      </w:r>
      <w:r>
        <w:t>to</w:t>
      </w:r>
      <w:r>
        <w:rPr>
          <w:spacing w:val="-5"/>
        </w:rPr>
        <w:t xml:space="preserve"> </w:t>
      </w:r>
      <w:r>
        <w:t>the</w:t>
      </w:r>
      <w:r>
        <w:rPr>
          <w:spacing w:val="-5"/>
        </w:rPr>
        <w:t xml:space="preserve"> </w:t>
      </w:r>
      <w:r>
        <w:t>other,</w:t>
      </w:r>
      <w:r>
        <w:rPr>
          <w:spacing w:val="-5"/>
        </w:rPr>
        <w:t xml:space="preserve"> </w:t>
      </w:r>
      <w:r>
        <w:t>the</w:t>
      </w:r>
      <w:r>
        <w:rPr>
          <w:spacing w:val="-5"/>
        </w:rPr>
        <w:t xml:space="preserve"> </w:t>
      </w:r>
      <w:r>
        <w:t>weight</w:t>
      </w:r>
      <w:r>
        <w:rPr>
          <w:spacing w:val="-5"/>
        </w:rPr>
        <w:t xml:space="preserve"> </w:t>
      </w:r>
      <w:r>
        <w:t>of</w:t>
      </w:r>
      <w:r>
        <w:rPr>
          <w:spacing w:val="-5"/>
        </w:rPr>
        <w:t xml:space="preserve"> </w:t>
      </w:r>
      <w:r>
        <w:t>one</w:t>
      </w:r>
      <w:r>
        <w:rPr>
          <w:spacing w:val="-5"/>
        </w:rPr>
        <w:t xml:space="preserve"> </w:t>
      </w:r>
      <w:r>
        <w:t>unit</w:t>
      </w:r>
      <w:r>
        <w:rPr>
          <w:spacing w:val="-5"/>
        </w:rPr>
        <w:t xml:space="preserve"> </w:t>
      </w:r>
      <w:r>
        <w:t>is</w:t>
      </w:r>
      <w:r>
        <w:rPr>
          <w:spacing w:val="-5"/>
        </w:rPr>
        <w:t xml:space="preserve"> </w:t>
      </w:r>
      <w:r>
        <w:t>multiplied</w:t>
      </w:r>
      <w:r>
        <w:rPr>
          <w:spacing w:val="-5"/>
        </w:rPr>
        <w:t xml:space="preserve"> </w:t>
      </w:r>
      <w:r>
        <w:t>by</w:t>
      </w:r>
      <w:r>
        <w:rPr>
          <w:spacing w:val="-5"/>
        </w:rPr>
        <w:t xml:space="preserve"> </w:t>
      </w:r>
      <w:r>
        <w:t>a</w:t>
      </w:r>
      <w:r>
        <w:rPr>
          <w:spacing w:val="-5"/>
        </w:rPr>
        <w:t xml:space="preserve"> </w:t>
      </w:r>
      <w:r>
        <w:t>replicate factor of \((1+\delta)\), while the other is multiplied by \((1-\delta)\), the result is that</w:t>
      </w:r>
    </w:p>
    <w:p w:rsidR="003F5784" w14:paraId="4738A174" w14:textId="77777777">
      <w:pPr>
        <w:pStyle w:val="BodyText"/>
        <w:spacing w:before="203"/>
        <w:ind w:left="109"/>
      </w:pPr>
      <w:r>
        <w:t>\begin{equation}</w:t>
      </w:r>
      <w:r>
        <w:rPr>
          <w:spacing w:val="-11"/>
        </w:rPr>
        <w:t xml:space="preserve"> </w:t>
      </w:r>
      <w:r>
        <w:t>E</w:t>
      </w:r>
      <w:r>
        <w:rPr>
          <w:spacing w:val="-10"/>
        </w:rPr>
        <w:t xml:space="preserve"> </w:t>
      </w:r>
      <w:r>
        <w:t>\left(</w:t>
      </w:r>
      <w:r>
        <w:rPr>
          <w:spacing w:val="-10"/>
        </w:rPr>
        <w:t xml:space="preserve"> </w:t>
      </w:r>
      <w:r>
        <w:t>\hat{\overline{y}}(r)-</w:t>
      </w:r>
      <w:r>
        <w:rPr>
          <w:spacing w:val="-10"/>
        </w:rPr>
        <w:t xml:space="preserve"> </w:t>
      </w:r>
      <w:r>
        <w:t>\hat{\overline{y}}</w:t>
      </w:r>
      <w:r>
        <w:rPr>
          <w:spacing w:val="-11"/>
        </w:rPr>
        <w:t xml:space="preserve"> </w:t>
      </w:r>
      <w:r>
        <w:t>\right)^2</w:t>
      </w:r>
      <w:r>
        <w:rPr>
          <w:spacing w:val="-10"/>
        </w:rPr>
        <w:t xml:space="preserve"> </w:t>
      </w:r>
      <w:r>
        <w:t>=</w:t>
      </w:r>
      <w:r>
        <w:rPr>
          <w:spacing w:val="-13"/>
        </w:rPr>
        <w:t xml:space="preserve"> </w:t>
      </w:r>
      <w:r>
        <w:t>W^2_r</w:t>
      </w:r>
      <w:r>
        <w:rPr>
          <w:spacing w:val="-10"/>
        </w:rPr>
        <w:t xml:space="preserve"> </w:t>
      </w:r>
      <w:r>
        <w:t>\delta^2</w:t>
      </w:r>
      <w:r>
        <w:rPr>
          <w:spacing w:val="-10"/>
        </w:rPr>
        <w:t xml:space="preserve"> </w:t>
      </w:r>
      <w:r>
        <w:t>\frac{s^2_r}{n_r}.</w:t>
      </w:r>
      <w:r>
        <w:rPr>
          <w:spacing w:val="-10"/>
        </w:rPr>
        <w:t xml:space="preserve"> </w:t>
      </w:r>
      <w:r>
        <w:rPr>
          <w:spacing w:val="-2"/>
        </w:rPr>
        <w:t>\end{equation}</w:t>
      </w:r>
    </w:p>
    <w:p w:rsidR="003F5784" w14:paraId="6296BF1F" w14:textId="77777777">
      <w:pPr>
        <w:pStyle w:val="BodyText"/>
        <w:spacing w:before="208" w:line="232" w:lineRule="auto"/>
        <w:ind w:left="109"/>
      </w:pPr>
      <w:r>
        <w:t>In</w:t>
      </w:r>
      <w:r>
        <w:rPr>
          <w:spacing w:val="-6"/>
        </w:rPr>
        <w:t xml:space="preserve"> </w:t>
      </w:r>
      <w:r>
        <w:t>this</w:t>
      </w:r>
      <w:r>
        <w:rPr>
          <w:spacing w:val="-6"/>
        </w:rPr>
        <w:t xml:space="preserve"> </w:t>
      </w:r>
      <w:r>
        <w:t>way,</w:t>
      </w:r>
      <w:r>
        <w:rPr>
          <w:spacing w:val="-6"/>
        </w:rPr>
        <w:t xml:space="preserve"> </w:t>
      </w:r>
      <w:r>
        <w:t>by</w:t>
      </w:r>
      <w:r>
        <w:rPr>
          <w:spacing w:val="-6"/>
        </w:rPr>
        <w:t xml:space="preserve"> </w:t>
      </w:r>
      <w:r>
        <w:t>setting</w:t>
      </w:r>
      <w:r>
        <w:rPr>
          <w:spacing w:val="-6"/>
        </w:rPr>
        <w:t xml:space="preserve"> </w:t>
      </w:r>
      <w:r>
        <w:t>\(\delta\)</w:t>
      </w:r>
      <w:r>
        <w:rPr>
          <w:spacing w:val="-6"/>
        </w:rPr>
        <w:t xml:space="preserve"> </w:t>
      </w:r>
      <w:r>
        <w:t>equal</w:t>
      </w:r>
      <w:r>
        <w:rPr>
          <w:spacing w:val="-6"/>
        </w:rPr>
        <w:t xml:space="preserve"> </w:t>
      </w:r>
      <w:r>
        <w:t>to</w:t>
      </w:r>
      <w:r>
        <w:rPr>
          <w:spacing w:val="-6"/>
        </w:rPr>
        <w:t xml:space="preserve"> </w:t>
      </w:r>
      <w:r>
        <w:t>the</w:t>
      </w:r>
      <w:r>
        <w:rPr>
          <w:spacing w:val="-6"/>
        </w:rPr>
        <w:t xml:space="preserve"> </w:t>
      </w:r>
      <w:r>
        <w:t>square</w:t>
      </w:r>
      <w:r>
        <w:rPr>
          <w:spacing w:val="-6"/>
        </w:rPr>
        <w:t xml:space="preserve"> </w:t>
      </w:r>
      <w:r>
        <w:t>root</w:t>
      </w:r>
      <w:r>
        <w:rPr>
          <w:spacing w:val="-6"/>
        </w:rPr>
        <w:t xml:space="preserve"> </w:t>
      </w:r>
      <w:r>
        <w:t>of</w:t>
      </w:r>
      <w:r>
        <w:rPr>
          <w:spacing w:val="-6"/>
        </w:rPr>
        <w:t xml:space="preserve"> </w:t>
      </w:r>
      <w:r>
        <w:t>the</w:t>
      </w:r>
      <w:r>
        <w:rPr>
          <w:spacing w:val="-6"/>
        </w:rPr>
        <w:t xml:space="preserve"> </w:t>
      </w:r>
      <w:r>
        <w:t>finite</w:t>
      </w:r>
      <w:r>
        <w:rPr>
          <w:spacing w:val="-6"/>
        </w:rPr>
        <w:t xml:space="preserve"> </w:t>
      </w:r>
      <w:r>
        <w:t>population</w:t>
      </w:r>
      <w:r>
        <w:rPr>
          <w:spacing w:val="-6"/>
        </w:rPr>
        <w:t xml:space="preserve"> </w:t>
      </w:r>
      <w:r>
        <w:t>correction</w:t>
      </w:r>
      <w:r>
        <w:rPr>
          <w:spacing w:val="-6"/>
        </w:rPr>
        <w:t xml:space="preserve"> </w:t>
      </w:r>
      <w:r>
        <w:t>factor,</w:t>
      </w:r>
      <w:r>
        <w:rPr>
          <w:spacing w:val="-6"/>
        </w:rPr>
        <w:t xml:space="preserve"> </w:t>
      </w:r>
      <w:r>
        <w:t>the</w:t>
      </w:r>
      <w:r>
        <w:rPr>
          <w:spacing w:val="-6"/>
        </w:rPr>
        <w:t xml:space="preserve"> </w:t>
      </w:r>
      <w:r>
        <w:t>jackknife</w:t>
      </w:r>
      <w:r>
        <w:rPr>
          <w:spacing w:val="-6"/>
        </w:rPr>
        <w:t xml:space="preserve"> </w:t>
      </w:r>
      <w:r>
        <w:t>variance</w:t>
      </w:r>
      <w:r>
        <w:rPr>
          <w:spacing w:val="-6"/>
        </w:rPr>
        <w:t xml:space="preserve"> </w:t>
      </w:r>
      <w:r>
        <w:t>estimator</w:t>
      </w:r>
      <w:r>
        <w:rPr>
          <w:spacing w:val="-6"/>
        </w:rPr>
        <w:t xml:space="preserve"> </w:t>
      </w:r>
      <w:r>
        <w:t>is</w:t>
      </w:r>
      <w:r>
        <w:rPr>
          <w:spacing w:val="-6"/>
        </w:rPr>
        <w:t xml:space="preserve"> </w:t>
      </w:r>
      <w:r>
        <w:t>able</w:t>
      </w:r>
      <w:r>
        <w:rPr>
          <w:spacing w:val="-6"/>
        </w:rPr>
        <w:t xml:space="preserve"> </w:t>
      </w:r>
      <w:r>
        <w:t>to</w:t>
      </w:r>
      <w:r>
        <w:rPr>
          <w:spacing w:val="-6"/>
        </w:rPr>
        <w:t xml:space="preserve"> </w:t>
      </w:r>
      <w:r>
        <w:t>incorporate</w:t>
      </w:r>
      <w:r>
        <w:rPr>
          <w:spacing w:val="-6"/>
        </w:rPr>
        <w:t xml:space="preserve"> </w:t>
      </w:r>
      <w:r>
        <w:t>a</w:t>
      </w:r>
      <w:r>
        <w:rPr>
          <w:spacing w:val="-6"/>
        </w:rPr>
        <w:t xml:space="preserve"> </w:t>
      </w:r>
      <w:r>
        <w:t>finite</w:t>
      </w:r>
      <w:r>
        <w:rPr>
          <w:spacing w:val="-6"/>
        </w:rPr>
        <w:t xml:space="preserve"> </w:t>
      </w:r>
      <w:r>
        <w:t>population correction factor into the variance estimator.</w:t>
      </w:r>
    </w:p>
    <w:p w:rsidR="003F5784" w14:paraId="4C2EFC40" w14:textId="77777777">
      <w:pPr>
        <w:pStyle w:val="BodyText"/>
        <w:spacing w:before="209" w:line="232" w:lineRule="auto"/>
        <w:ind w:left="109"/>
      </w:pPr>
      <w:r>
        <w:t>In</w:t>
      </w:r>
      <w:r>
        <w:rPr>
          <w:spacing w:val="-5"/>
        </w:rPr>
        <w:t xml:space="preserve"> </w:t>
      </w:r>
      <w:r>
        <w:t>practice,</w:t>
      </w:r>
      <w:r>
        <w:rPr>
          <w:spacing w:val="-5"/>
        </w:rPr>
        <w:t xml:space="preserve"> </w:t>
      </w:r>
      <w:r>
        <w:t>variance</w:t>
      </w:r>
      <w:r>
        <w:rPr>
          <w:spacing w:val="-5"/>
        </w:rPr>
        <w:t xml:space="preserve"> </w:t>
      </w:r>
      <w:r>
        <w:t>strata</w:t>
      </w:r>
      <w:r>
        <w:rPr>
          <w:spacing w:val="-5"/>
        </w:rPr>
        <w:t xml:space="preserve"> </w:t>
      </w:r>
      <w:r>
        <w:t>are</w:t>
      </w:r>
      <w:r>
        <w:rPr>
          <w:spacing w:val="-5"/>
        </w:rPr>
        <w:t xml:space="preserve"> </w:t>
      </w:r>
      <w:r>
        <w:t>also</w:t>
      </w:r>
      <w:r>
        <w:rPr>
          <w:spacing w:val="-5"/>
        </w:rPr>
        <w:t xml:space="preserve"> </w:t>
      </w:r>
      <w:r>
        <w:t>grouped</w:t>
      </w:r>
      <w:r>
        <w:rPr>
          <w:spacing w:val="-5"/>
        </w:rPr>
        <w:t xml:space="preserve"> </w:t>
      </w:r>
      <w:r>
        <w:t>to</w:t>
      </w:r>
      <w:r>
        <w:rPr>
          <w:spacing w:val="-5"/>
        </w:rPr>
        <w:t xml:space="preserve"> </w:t>
      </w:r>
      <w:r>
        <w:t>make</w:t>
      </w:r>
      <w:r>
        <w:rPr>
          <w:spacing w:val="-5"/>
        </w:rPr>
        <w:t xml:space="preserve"> </w:t>
      </w:r>
      <w:r>
        <w:t>sure</w:t>
      </w:r>
      <w:r>
        <w:rPr>
          <w:spacing w:val="-5"/>
        </w:rPr>
        <w:t xml:space="preserve"> </w:t>
      </w:r>
      <w:r>
        <w:t>that</w:t>
      </w:r>
      <w:r>
        <w:rPr>
          <w:spacing w:val="-5"/>
        </w:rPr>
        <w:t xml:space="preserve"> </w:t>
      </w:r>
      <w:r>
        <w:t>the</w:t>
      </w:r>
      <w:r>
        <w:rPr>
          <w:spacing w:val="-5"/>
        </w:rPr>
        <w:t xml:space="preserve"> </w:t>
      </w:r>
      <w:r>
        <w:t>number</w:t>
      </w:r>
      <w:r>
        <w:rPr>
          <w:spacing w:val="-5"/>
        </w:rPr>
        <w:t xml:space="preserve"> </w:t>
      </w:r>
      <w:r>
        <w:t>of</w:t>
      </w:r>
      <w:r>
        <w:rPr>
          <w:spacing w:val="-5"/>
        </w:rPr>
        <w:t xml:space="preserve"> </w:t>
      </w:r>
      <w:r>
        <w:t>replicates</w:t>
      </w:r>
      <w:r>
        <w:rPr>
          <w:spacing w:val="-5"/>
        </w:rPr>
        <w:t xml:space="preserve"> </w:t>
      </w:r>
      <w:r>
        <w:t>is</w:t>
      </w:r>
      <w:r>
        <w:rPr>
          <w:spacing w:val="-5"/>
        </w:rPr>
        <w:t xml:space="preserve"> </w:t>
      </w:r>
      <w:r>
        <w:t>not</w:t>
      </w:r>
      <w:r>
        <w:rPr>
          <w:spacing w:val="-5"/>
        </w:rPr>
        <w:t xml:space="preserve"> </w:t>
      </w:r>
      <w:r>
        <w:t>too</w:t>
      </w:r>
      <w:r>
        <w:rPr>
          <w:spacing w:val="-5"/>
        </w:rPr>
        <w:t xml:space="preserve"> </w:t>
      </w:r>
      <w:r>
        <w:t>large</w:t>
      </w:r>
      <w:r>
        <w:rPr>
          <w:spacing w:val="-5"/>
        </w:rPr>
        <w:t xml:space="preserve"> </w:t>
      </w:r>
      <w:r>
        <w:t>(the</w:t>
      </w:r>
      <w:r>
        <w:rPr>
          <w:spacing w:val="-5"/>
        </w:rPr>
        <w:t xml:space="preserve"> </w:t>
      </w:r>
      <w:r>
        <w:t>total</w:t>
      </w:r>
      <w:r>
        <w:rPr>
          <w:spacing w:val="-5"/>
        </w:rPr>
        <w:t xml:space="preserve"> </w:t>
      </w:r>
      <w:r>
        <w:t>number</w:t>
      </w:r>
      <w:r>
        <w:rPr>
          <w:spacing w:val="-5"/>
        </w:rPr>
        <w:t xml:space="preserve"> </w:t>
      </w:r>
      <w:r>
        <w:t>of</w:t>
      </w:r>
      <w:r>
        <w:rPr>
          <w:spacing w:val="-5"/>
        </w:rPr>
        <w:t xml:space="preserve"> </w:t>
      </w:r>
      <w:r>
        <w:t>variance</w:t>
      </w:r>
      <w:r>
        <w:rPr>
          <w:spacing w:val="-5"/>
        </w:rPr>
        <w:t xml:space="preserve"> </w:t>
      </w:r>
      <w:r>
        <w:t>strata</w:t>
      </w:r>
      <w:r>
        <w:rPr>
          <w:spacing w:val="-5"/>
        </w:rPr>
        <w:t xml:space="preserve"> </w:t>
      </w:r>
      <w:r>
        <w:t>is</w:t>
      </w:r>
      <w:r>
        <w:rPr>
          <w:spacing w:val="-5"/>
        </w:rPr>
        <w:t xml:space="preserve"> </w:t>
      </w:r>
      <w:r>
        <w:t>usually</w:t>
      </w:r>
      <w:r>
        <w:rPr>
          <w:spacing w:val="-5"/>
        </w:rPr>
        <w:t xml:space="preserve"> </w:t>
      </w:r>
      <w:r>
        <w:t>62</w:t>
      </w:r>
      <w:r>
        <w:rPr>
          <w:spacing w:val="-5"/>
        </w:rPr>
        <w:t xml:space="preserve"> </w:t>
      </w:r>
      <w:r>
        <w:t>for</w:t>
      </w:r>
      <w:r>
        <w:rPr>
          <w:spacing w:val="-5"/>
        </w:rPr>
        <w:t xml:space="preserve"> </w:t>
      </w:r>
      <w:r>
        <w:t>NAEP).</w:t>
      </w:r>
      <w:r>
        <w:rPr>
          <w:spacing w:val="-9"/>
        </w:rPr>
        <w:t xml:space="preserve"> </w:t>
      </w:r>
      <w:r>
        <w:t>The randomization from the original sample distribution guarantees that the sum of squares contributed by each replicate will be close to the target expected value.</w:t>
      </w:r>
    </w:p>
    <w:p w:rsidR="003F5784" w14:paraId="419003FC" w14:textId="77777777">
      <w:pPr>
        <w:pStyle w:val="BodyText"/>
        <w:spacing w:before="209" w:line="232" w:lineRule="auto"/>
        <w:ind w:left="109"/>
      </w:pPr>
      <w:r>
        <w:t>For</w:t>
      </w:r>
      <w:r>
        <w:rPr>
          <w:spacing w:val="-7"/>
        </w:rPr>
        <w:t xml:space="preserve"> </w:t>
      </w:r>
      <w:r>
        <w:t>triples,</w:t>
      </w:r>
      <w:r>
        <w:rPr>
          <w:spacing w:val="-5"/>
        </w:rPr>
        <w:t xml:space="preserve"> </w:t>
      </w:r>
      <w:r>
        <w:t>the</w:t>
      </w:r>
      <w:r>
        <w:rPr>
          <w:spacing w:val="-5"/>
        </w:rPr>
        <w:t xml:space="preserve"> </w:t>
      </w:r>
      <w:r>
        <w:t>replicate</w:t>
      </w:r>
      <w:r>
        <w:rPr>
          <w:spacing w:val="-5"/>
        </w:rPr>
        <w:t xml:space="preserve"> </w:t>
      </w:r>
      <w:r>
        <w:t>factors</w:t>
      </w:r>
      <w:r>
        <w:rPr>
          <w:spacing w:val="-5"/>
        </w:rPr>
        <w:t xml:space="preserve"> </w:t>
      </w:r>
      <w:r>
        <w:t>are</w:t>
      </w:r>
      <w:r>
        <w:rPr>
          <w:spacing w:val="-5"/>
        </w:rPr>
        <w:t xml:space="preserve"> </w:t>
      </w:r>
      <w:r>
        <w:t>perturbed</w:t>
      </w:r>
      <w:r>
        <w:rPr>
          <w:spacing w:val="-5"/>
        </w:rPr>
        <w:t xml:space="preserve"> </w:t>
      </w:r>
      <w:r>
        <w:t>to</w:t>
      </w:r>
      <w:r>
        <w:rPr>
          <w:spacing w:val="-5"/>
        </w:rPr>
        <w:t xml:space="preserve"> </w:t>
      </w:r>
      <w:r>
        <w:t>something</w:t>
      </w:r>
      <w:r>
        <w:rPr>
          <w:spacing w:val="-5"/>
        </w:rPr>
        <w:t xml:space="preserve"> </w:t>
      </w:r>
      <w:r>
        <w:t>other</w:t>
      </w:r>
      <w:r>
        <w:rPr>
          <w:spacing w:val="-5"/>
        </w:rPr>
        <w:t xml:space="preserve"> </w:t>
      </w:r>
      <w:r>
        <w:t>than</w:t>
      </w:r>
      <w:r>
        <w:rPr>
          <w:spacing w:val="-5"/>
        </w:rPr>
        <w:t xml:space="preserve"> </w:t>
      </w:r>
      <w:r>
        <w:t>1.0</w:t>
      </w:r>
      <w:r>
        <w:rPr>
          <w:spacing w:val="-5"/>
        </w:rPr>
        <w:t xml:space="preserve"> </w:t>
      </w:r>
      <w:r>
        <w:t>for</w:t>
      </w:r>
      <w:r>
        <w:rPr>
          <w:spacing w:val="-5"/>
        </w:rPr>
        <w:t xml:space="preserve"> </w:t>
      </w:r>
      <w:r>
        <w:t>two</w:t>
      </w:r>
      <w:r>
        <w:rPr>
          <w:spacing w:val="-5"/>
        </w:rPr>
        <w:t xml:space="preserve"> </w:t>
      </w:r>
      <w:r>
        <w:t>different</w:t>
      </w:r>
      <w:r>
        <w:rPr>
          <w:spacing w:val="-5"/>
        </w:rPr>
        <w:t xml:space="preserve"> </w:t>
      </w:r>
      <w:r>
        <w:t>replicate</w:t>
      </w:r>
      <w:r>
        <w:rPr>
          <w:spacing w:val="-5"/>
        </w:rPr>
        <w:t xml:space="preserve"> </w:t>
      </w:r>
      <w:r>
        <w:t>factors,</w:t>
      </w:r>
      <w:r>
        <w:rPr>
          <w:spacing w:val="-5"/>
        </w:rPr>
        <w:t xml:space="preserve"> </w:t>
      </w:r>
      <w:r>
        <w:t>rather</w:t>
      </w:r>
      <w:r>
        <w:rPr>
          <w:spacing w:val="-5"/>
        </w:rPr>
        <w:t xml:space="preserve"> </w:t>
      </w:r>
      <w:r>
        <w:t>than</w:t>
      </w:r>
      <w:r>
        <w:rPr>
          <w:spacing w:val="-5"/>
        </w:rPr>
        <w:t xml:space="preserve"> </w:t>
      </w:r>
      <w:r>
        <w:t>just</w:t>
      </w:r>
      <w:r>
        <w:rPr>
          <w:spacing w:val="-5"/>
        </w:rPr>
        <w:t xml:space="preserve"> </w:t>
      </w:r>
      <w:r>
        <w:t>one</w:t>
      </w:r>
      <w:r>
        <w:rPr>
          <w:spacing w:val="-5"/>
        </w:rPr>
        <w:t xml:space="preserve"> </w:t>
      </w:r>
      <w:r>
        <w:t>as</w:t>
      </w:r>
      <w:r>
        <w:rPr>
          <w:spacing w:val="-5"/>
        </w:rPr>
        <w:t xml:space="preserve"> </w:t>
      </w:r>
      <w:r>
        <w:t>in</w:t>
      </w:r>
      <w:r>
        <w:rPr>
          <w:spacing w:val="-5"/>
        </w:rPr>
        <w:t xml:space="preserve"> </w:t>
      </w:r>
      <w:r>
        <w:t>the</w:t>
      </w:r>
      <w:r>
        <w:rPr>
          <w:spacing w:val="-5"/>
        </w:rPr>
        <w:t xml:space="preserve"> </w:t>
      </w:r>
      <w:r>
        <w:t>case</w:t>
      </w:r>
      <w:r>
        <w:rPr>
          <w:spacing w:val="-5"/>
        </w:rPr>
        <w:t xml:space="preserve"> </w:t>
      </w:r>
      <w:r>
        <w:t>of</w:t>
      </w:r>
      <w:r>
        <w:rPr>
          <w:spacing w:val="-5"/>
        </w:rPr>
        <w:t xml:space="preserve"> </w:t>
      </w:r>
      <w:r>
        <w:t>pairs.</w:t>
      </w:r>
      <w:r>
        <w:rPr>
          <w:spacing w:val="-14"/>
        </w:rPr>
        <w:t xml:space="preserve"> </w:t>
      </w:r>
      <w:r>
        <w:t>Again</w:t>
      </w:r>
      <w:r>
        <w:rPr>
          <w:spacing w:val="-4"/>
        </w:rPr>
        <w:t xml:space="preserve"> </w:t>
      </w:r>
      <w:r>
        <w:t>in</w:t>
      </w:r>
      <w:r>
        <w:rPr>
          <w:spacing w:val="-5"/>
        </w:rPr>
        <w:t xml:space="preserve"> </w:t>
      </w:r>
      <w:r>
        <w:t>the</w:t>
      </w:r>
      <w:r>
        <w:rPr>
          <w:spacing w:val="-5"/>
        </w:rPr>
        <w:t xml:space="preserve"> </w:t>
      </w:r>
      <w:r>
        <w:t>simple</w:t>
      </w:r>
      <w:r>
        <w:rPr>
          <w:spacing w:val="-5"/>
        </w:rPr>
        <w:t xml:space="preserve"> </w:t>
      </w:r>
      <w:r>
        <w:t>case where replicate factors that are less than 1 are all set to 0, the replicate weight factors are calculated as follows.</w:t>
      </w:r>
    </w:p>
    <w:p w:rsidR="003F5784" w14:paraId="4CF5A121" w14:textId="77777777">
      <w:pPr>
        <w:pStyle w:val="BodyText"/>
        <w:spacing w:before="204"/>
        <w:ind w:left="109"/>
      </w:pPr>
      <w:r>
        <w:t>For</w:t>
      </w:r>
      <w:r>
        <w:rPr>
          <w:spacing w:val="-6"/>
        </w:rPr>
        <w:t xml:space="preserve"> </w:t>
      </w:r>
      <w:r>
        <w:t>unit</w:t>
      </w:r>
      <w:r>
        <w:rPr>
          <w:spacing w:val="-5"/>
        </w:rPr>
        <w:t xml:space="preserve"> </w:t>
      </w:r>
      <w:r>
        <w:t>\(i\)</w:t>
      </w:r>
      <w:r>
        <w:rPr>
          <w:spacing w:val="-5"/>
        </w:rPr>
        <w:t xml:space="preserve"> </w:t>
      </w:r>
      <w:r>
        <w:t>in</w:t>
      </w:r>
      <w:r>
        <w:rPr>
          <w:spacing w:val="-5"/>
        </w:rPr>
        <w:t xml:space="preserve"> </w:t>
      </w:r>
      <w:r>
        <w:t>variance</w:t>
      </w:r>
      <w:r>
        <w:rPr>
          <w:spacing w:val="-5"/>
        </w:rPr>
        <w:t xml:space="preserve"> </w:t>
      </w:r>
      <w:r>
        <w:t>stratum</w:t>
      </w:r>
      <w:r>
        <w:rPr>
          <w:spacing w:val="-5"/>
        </w:rPr>
        <w:t xml:space="preserve"> </w:t>
      </w:r>
      <w:r>
        <w:rPr>
          <w:spacing w:val="-2"/>
        </w:rPr>
        <w:t>\(r\)</w:t>
      </w:r>
    </w:p>
    <w:p w:rsidR="003F5784" w14:paraId="06334CE1" w14:textId="77777777">
      <w:pPr>
        <w:pStyle w:val="BodyText"/>
        <w:spacing w:before="201" w:line="238" w:lineRule="exact"/>
        <w:ind w:left="109"/>
      </w:pPr>
      <w:r>
        <w:t>\begin{equation}</w:t>
      </w:r>
      <w:r>
        <w:rPr>
          <w:spacing w:val="-7"/>
        </w:rPr>
        <w:t xml:space="preserve"> </w:t>
      </w:r>
      <w:r>
        <w:t>w_i(r)</w:t>
      </w:r>
      <w:r>
        <w:rPr>
          <w:spacing w:val="-6"/>
        </w:rPr>
        <w:t xml:space="preserve"> </w:t>
      </w:r>
      <w:r>
        <w:t>=</w:t>
      </w:r>
      <w:r>
        <w:rPr>
          <w:spacing w:val="-7"/>
        </w:rPr>
        <w:t xml:space="preserve"> </w:t>
      </w:r>
      <w:r>
        <w:t>\left\{\begin{array}{lll}</w:t>
      </w:r>
      <w:r>
        <w:rPr>
          <w:spacing w:val="-6"/>
        </w:rPr>
        <w:t xml:space="preserve"> </w:t>
      </w:r>
      <w:r>
        <w:t>1.5w_i</w:t>
      </w:r>
      <w:r>
        <w:rPr>
          <w:spacing w:val="-6"/>
        </w:rPr>
        <w:t xml:space="preserve"> </w:t>
      </w:r>
      <w:r>
        <w:t>&amp;</w:t>
      </w:r>
      <w:r>
        <w:rPr>
          <w:spacing w:val="-7"/>
        </w:rPr>
        <w:t xml:space="preserve"> </w:t>
      </w:r>
      <w:r>
        <w:t>i=</w:t>
      </w:r>
      <w:r>
        <w:rPr>
          <w:spacing w:val="-6"/>
        </w:rPr>
        <w:t xml:space="preserve"> </w:t>
      </w:r>
      <w:r>
        <w:t>\text{variance</w:t>
      </w:r>
      <w:r>
        <w:rPr>
          <w:spacing w:val="-6"/>
        </w:rPr>
        <w:t xml:space="preserve"> </w:t>
      </w:r>
      <w:r>
        <w:t>unit</w:t>
      </w:r>
      <w:r>
        <w:rPr>
          <w:spacing w:val="-7"/>
        </w:rPr>
        <w:t xml:space="preserve"> </w:t>
      </w:r>
      <w:r>
        <w:t>1}\\</w:t>
      </w:r>
      <w:r>
        <w:rPr>
          <w:spacing w:val="-6"/>
        </w:rPr>
        <w:t xml:space="preserve"> </w:t>
      </w:r>
      <w:r>
        <w:t>1.5w_i</w:t>
      </w:r>
      <w:r>
        <w:rPr>
          <w:spacing w:val="-6"/>
        </w:rPr>
        <w:t xml:space="preserve"> </w:t>
      </w:r>
      <w:r>
        <w:t>&amp;</w:t>
      </w:r>
      <w:r>
        <w:rPr>
          <w:spacing w:val="-7"/>
        </w:rPr>
        <w:t xml:space="preserve"> </w:t>
      </w:r>
      <w:r>
        <w:t>i=</w:t>
      </w:r>
      <w:r>
        <w:rPr>
          <w:spacing w:val="-6"/>
        </w:rPr>
        <w:t xml:space="preserve"> </w:t>
      </w:r>
      <w:r>
        <w:t>\text{variance</w:t>
      </w:r>
      <w:r>
        <w:rPr>
          <w:spacing w:val="-7"/>
        </w:rPr>
        <w:t xml:space="preserve"> </w:t>
      </w:r>
      <w:r>
        <w:t>unit</w:t>
      </w:r>
      <w:r>
        <w:rPr>
          <w:spacing w:val="-6"/>
        </w:rPr>
        <w:t xml:space="preserve"> </w:t>
      </w:r>
      <w:r>
        <w:t>2}\\</w:t>
      </w:r>
      <w:r>
        <w:rPr>
          <w:spacing w:val="-6"/>
        </w:rPr>
        <w:t xml:space="preserve"> </w:t>
      </w:r>
      <w:r>
        <w:t>0</w:t>
      </w:r>
      <w:r>
        <w:rPr>
          <w:spacing w:val="-7"/>
        </w:rPr>
        <w:t xml:space="preserve"> </w:t>
      </w:r>
      <w:r>
        <w:t>&amp;</w:t>
      </w:r>
      <w:r>
        <w:rPr>
          <w:spacing w:val="-6"/>
        </w:rPr>
        <w:t xml:space="preserve"> </w:t>
      </w:r>
      <w:r>
        <w:t>i=</w:t>
      </w:r>
      <w:r>
        <w:rPr>
          <w:spacing w:val="-6"/>
        </w:rPr>
        <w:t xml:space="preserve"> </w:t>
      </w:r>
      <w:r>
        <w:t>\text{variance</w:t>
      </w:r>
      <w:r>
        <w:rPr>
          <w:spacing w:val="-7"/>
        </w:rPr>
        <w:t xml:space="preserve"> </w:t>
      </w:r>
      <w:r>
        <w:t>unit</w:t>
      </w:r>
      <w:r>
        <w:rPr>
          <w:spacing w:val="-6"/>
        </w:rPr>
        <w:t xml:space="preserve"> </w:t>
      </w:r>
      <w:r>
        <w:t>3}</w:t>
      </w:r>
      <w:r>
        <w:rPr>
          <w:spacing w:val="-6"/>
        </w:rPr>
        <w:t xml:space="preserve"> </w:t>
      </w:r>
      <w:r>
        <w:rPr>
          <w:spacing w:val="-2"/>
        </w:rPr>
        <w:t>\end{array}\right.</w:t>
      </w:r>
    </w:p>
    <w:p w:rsidR="003F5784" w14:paraId="7918F7B3" w14:textId="77777777">
      <w:pPr>
        <w:pStyle w:val="BodyText"/>
        <w:spacing w:line="238" w:lineRule="exact"/>
        <w:ind w:left="109"/>
      </w:pPr>
      <w:r>
        <w:rPr>
          <w:spacing w:val="-2"/>
        </w:rPr>
        <w:t>\end{equation}</w:t>
      </w:r>
    </w:p>
    <w:p w:rsidR="003F5784" w14:paraId="4DE3956C" w14:textId="77777777">
      <w:pPr>
        <w:spacing w:line="238" w:lineRule="exact"/>
        <w:sectPr>
          <w:pgSz w:w="15840" w:h="12240" w:orient="landscape"/>
          <w:pgMar w:top="480" w:right="440" w:bottom="460" w:left="460" w:header="284" w:footer="275" w:gutter="0"/>
          <w:cols w:space="720"/>
        </w:sectPr>
      </w:pPr>
    </w:p>
    <w:p w:rsidR="003F5784" w14:paraId="2EE832C4" w14:textId="77777777">
      <w:pPr>
        <w:pStyle w:val="BodyText"/>
        <w:spacing w:before="72" w:line="439" w:lineRule="auto"/>
        <w:ind w:left="109" w:right="9881"/>
      </w:pPr>
      <w:r>
        <w:t>where</w:t>
      </w:r>
      <w:r>
        <w:rPr>
          <w:spacing w:val="-9"/>
        </w:rPr>
        <w:t xml:space="preserve"> </w:t>
      </w:r>
      <w:r>
        <w:t>weight</w:t>
      </w:r>
      <w:r>
        <w:rPr>
          <w:spacing w:val="-9"/>
        </w:rPr>
        <w:t xml:space="preserve"> </w:t>
      </w:r>
      <w:r>
        <w:t>\(w_i\)</w:t>
      </w:r>
      <w:r>
        <w:rPr>
          <w:spacing w:val="-9"/>
        </w:rPr>
        <w:t xml:space="preserve"> </w:t>
      </w:r>
      <w:r>
        <w:t>is</w:t>
      </w:r>
      <w:r>
        <w:rPr>
          <w:spacing w:val="-9"/>
        </w:rPr>
        <w:t xml:space="preserve"> </w:t>
      </w:r>
      <w:r>
        <w:t>the</w:t>
      </w:r>
      <w:r>
        <w:rPr>
          <w:spacing w:val="-9"/>
        </w:rPr>
        <w:t xml:space="preserve"> </w:t>
      </w:r>
      <w:r>
        <w:t>full</w:t>
      </w:r>
      <w:r>
        <w:rPr>
          <w:spacing w:val="-9"/>
        </w:rPr>
        <w:t xml:space="preserve"> </w:t>
      </w:r>
      <w:r>
        <w:t>sample</w:t>
      </w:r>
      <w:r>
        <w:rPr>
          <w:spacing w:val="-9"/>
        </w:rPr>
        <w:t xml:space="preserve"> </w:t>
      </w:r>
      <w:r>
        <w:t>base</w:t>
      </w:r>
      <w:r>
        <w:rPr>
          <w:spacing w:val="-9"/>
        </w:rPr>
        <w:t xml:space="preserve"> </w:t>
      </w:r>
      <w:r>
        <w:t>weight. Furthermore, for \(r'=r+31\) \(mod\) \(62\)</w:t>
      </w:r>
    </w:p>
    <w:p w:rsidR="003F5784" w14:paraId="1CF05D93" w14:textId="77777777">
      <w:pPr>
        <w:pStyle w:val="BodyText"/>
        <w:spacing w:before="3" w:line="238" w:lineRule="exact"/>
        <w:ind w:left="109"/>
      </w:pPr>
      <w:r>
        <w:t>\begin{equation}</w:t>
      </w:r>
      <w:r>
        <w:rPr>
          <w:spacing w:val="-7"/>
        </w:rPr>
        <w:t xml:space="preserve"> </w:t>
      </w:r>
      <w:r>
        <w:t>w_i(r')</w:t>
      </w:r>
      <w:r>
        <w:rPr>
          <w:spacing w:val="-6"/>
        </w:rPr>
        <w:t xml:space="preserve"> </w:t>
      </w:r>
      <w:r>
        <w:t>=</w:t>
      </w:r>
      <w:r>
        <w:rPr>
          <w:spacing w:val="-6"/>
        </w:rPr>
        <w:t xml:space="preserve"> </w:t>
      </w:r>
      <w:r>
        <w:t>\left\{</w:t>
      </w:r>
      <w:r>
        <w:rPr>
          <w:spacing w:val="-6"/>
        </w:rPr>
        <w:t xml:space="preserve"> </w:t>
      </w:r>
      <w:r>
        <w:t>\begin{array}{llll}</w:t>
      </w:r>
      <w:r>
        <w:rPr>
          <w:spacing w:val="-6"/>
        </w:rPr>
        <w:t xml:space="preserve"> </w:t>
      </w:r>
      <w:r>
        <w:t>1.5w_i</w:t>
      </w:r>
      <w:r>
        <w:rPr>
          <w:spacing w:val="-7"/>
        </w:rPr>
        <w:t xml:space="preserve"> </w:t>
      </w:r>
      <w:r>
        <w:t>&amp;</w:t>
      </w:r>
      <w:r>
        <w:rPr>
          <w:spacing w:val="-6"/>
        </w:rPr>
        <w:t xml:space="preserve"> </w:t>
      </w:r>
      <w:r>
        <w:t>i=</w:t>
      </w:r>
      <w:r>
        <w:rPr>
          <w:spacing w:val="-6"/>
        </w:rPr>
        <w:t xml:space="preserve"> </w:t>
      </w:r>
      <w:r>
        <w:t>\text{variance</w:t>
      </w:r>
      <w:r>
        <w:rPr>
          <w:spacing w:val="-6"/>
        </w:rPr>
        <w:t xml:space="preserve"> </w:t>
      </w:r>
      <w:r>
        <w:t>unit</w:t>
      </w:r>
      <w:r>
        <w:rPr>
          <w:spacing w:val="-6"/>
        </w:rPr>
        <w:t xml:space="preserve"> </w:t>
      </w:r>
      <w:r>
        <w:t>1}\\</w:t>
      </w:r>
      <w:r>
        <w:rPr>
          <w:spacing w:val="-6"/>
        </w:rPr>
        <w:t xml:space="preserve"> </w:t>
      </w:r>
      <w:r>
        <w:t>0</w:t>
      </w:r>
      <w:r>
        <w:rPr>
          <w:spacing w:val="-7"/>
        </w:rPr>
        <w:t xml:space="preserve"> </w:t>
      </w:r>
      <w:r>
        <w:t>&amp;</w:t>
      </w:r>
      <w:r>
        <w:rPr>
          <w:spacing w:val="-6"/>
        </w:rPr>
        <w:t xml:space="preserve"> </w:t>
      </w:r>
      <w:r>
        <w:t>i=</w:t>
      </w:r>
      <w:r>
        <w:rPr>
          <w:spacing w:val="-6"/>
        </w:rPr>
        <w:t xml:space="preserve"> </w:t>
      </w:r>
      <w:r>
        <w:t>\text{variance</w:t>
      </w:r>
      <w:r>
        <w:rPr>
          <w:spacing w:val="-6"/>
        </w:rPr>
        <w:t xml:space="preserve"> </w:t>
      </w:r>
      <w:r>
        <w:t>unit</w:t>
      </w:r>
      <w:r>
        <w:rPr>
          <w:spacing w:val="-6"/>
        </w:rPr>
        <w:t xml:space="preserve"> </w:t>
      </w:r>
      <w:r>
        <w:t>2}\\</w:t>
      </w:r>
      <w:r>
        <w:rPr>
          <w:spacing w:val="-6"/>
        </w:rPr>
        <w:t xml:space="preserve"> </w:t>
      </w:r>
      <w:r>
        <w:t>1.5w_i</w:t>
      </w:r>
      <w:r>
        <w:rPr>
          <w:spacing w:val="-7"/>
        </w:rPr>
        <w:t xml:space="preserve"> </w:t>
      </w:r>
      <w:r>
        <w:t>&amp;</w:t>
      </w:r>
      <w:r>
        <w:rPr>
          <w:spacing w:val="-6"/>
        </w:rPr>
        <w:t xml:space="preserve"> </w:t>
      </w:r>
      <w:r>
        <w:t>i=</w:t>
      </w:r>
      <w:r>
        <w:rPr>
          <w:spacing w:val="-6"/>
        </w:rPr>
        <w:t xml:space="preserve"> </w:t>
      </w:r>
      <w:r>
        <w:t>\text{variance</w:t>
      </w:r>
      <w:r>
        <w:rPr>
          <w:spacing w:val="-6"/>
        </w:rPr>
        <w:t xml:space="preserve"> </w:t>
      </w:r>
      <w:r>
        <w:t>unit</w:t>
      </w:r>
      <w:r>
        <w:rPr>
          <w:spacing w:val="-6"/>
        </w:rPr>
        <w:t xml:space="preserve"> </w:t>
      </w:r>
      <w:r>
        <w:t>3}</w:t>
      </w:r>
      <w:r>
        <w:rPr>
          <w:spacing w:val="-6"/>
        </w:rPr>
        <w:t xml:space="preserve"> </w:t>
      </w:r>
      <w:r>
        <w:rPr>
          <w:spacing w:val="-2"/>
        </w:rPr>
        <w:t>\end{array}\right.</w:t>
      </w:r>
    </w:p>
    <w:p w:rsidR="003F5784" w14:paraId="4C42981C" w14:textId="77777777">
      <w:pPr>
        <w:pStyle w:val="BodyText"/>
        <w:spacing w:line="238" w:lineRule="exact"/>
        <w:ind w:left="109"/>
      </w:pPr>
      <w:r>
        <w:rPr>
          <w:spacing w:val="-2"/>
        </w:rPr>
        <w:t>\end{equation}</w:t>
      </w:r>
    </w:p>
    <w:p w:rsidR="003F5784" w14:paraId="31D23D7E" w14:textId="77777777">
      <w:pPr>
        <w:pStyle w:val="BodyText"/>
        <w:spacing w:before="201"/>
        <w:ind w:left="109"/>
      </w:pPr>
      <w:r>
        <w:t>And</w:t>
      </w:r>
      <w:r>
        <w:rPr>
          <w:spacing w:val="-5"/>
        </w:rPr>
        <w:t xml:space="preserve"> </w:t>
      </w:r>
      <w:r>
        <w:t>for</w:t>
      </w:r>
      <w:r>
        <w:rPr>
          <w:spacing w:val="-5"/>
        </w:rPr>
        <w:t xml:space="preserve"> </w:t>
      </w:r>
      <w:r>
        <w:t>all</w:t>
      </w:r>
      <w:r>
        <w:rPr>
          <w:spacing w:val="-5"/>
        </w:rPr>
        <w:t xml:space="preserve"> </w:t>
      </w:r>
      <w:r>
        <w:t>other</w:t>
      </w:r>
      <w:r>
        <w:rPr>
          <w:spacing w:val="-5"/>
        </w:rPr>
        <w:t xml:space="preserve"> </w:t>
      </w:r>
      <w:r>
        <w:t>values</w:t>
      </w:r>
      <w:r>
        <w:rPr>
          <w:spacing w:val="-5"/>
        </w:rPr>
        <w:t xml:space="preserve"> </w:t>
      </w:r>
      <w:r>
        <w:t>\(r^*\),</w:t>
      </w:r>
      <w:r>
        <w:rPr>
          <w:spacing w:val="-5"/>
        </w:rPr>
        <w:t xml:space="preserve"> </w:t>
      </w:r>
      <w:r>
        <w:t>other</w:t>
      </w:r>
      <w:r>
        <w:rPr>
          <w:spacing w:val="-5"/>
        </w:rPr>
        <w:t xml:space="preserve"> </w:t>
      </w:r>
      <w:r>
        <w:t>than</w:t>
      </w:r>
      <w:r>
        <w:rPr>
          <w:spacing w:val="-4"/>
        </w:rPr>
        <w:t xml:space="preserve"> </w:t>
      </w:r>
      <w:r>
        <w:t>\(r\)</w:t>
      </w:r>
      <w:r>
        <w:rPr>
          <w:spacing w:val="-5"/>
        </w:rPr>
        <w:t xml:space="preserve"> </w:t>
      </w:r>
      <w:r>
        <w:t>and</w:t>
      </w:r>
      <w:r>
        <w:rPr>
          <w:spacing w:val="-5"/>
        </w:rPr>
        <w:t xml:space="preserve"> </w:t>
      </w:r>
      <w:r>
        <w:t>\(r'\),</w:t>
      </w:r>
      <w:r>
        <w:rPr>
          <w:spacing w:val="-5"/>
        </w:rPr>
        <w:t xml:space="preserve"> </w:t>
      </w:r>
      <w:r>
        <w:t>\(w_i</w:t>
      </w:r>
      <w:r>
        <w:rPr>
          <w:spacing w:val="-5"/>
        </w:rPr>
        <w:t xml:space="preserve"> </w:t>
      </w:r>
      <w:r>
        <w:rPr>
          <w:spacing w:val="-2"/>
        </w:rPr>
        <w:t>\left(r^*\right)=1\).</w:t>
      </w:r>
    </w:p>
    <w:p w:rsidR="003F5784" w14:paraId="698DE403" w14:textId="77777777">
      <w:pPr>
        <w:pStyle w:val="BodyText"/>
        <w:spacing w:before="208" w:line="232" w:lineRule="auto"/>
        <w:ind w:left="109" w:right="179"/>
      </w:pPr>
      <w:r>
        <w:t>In the case of stratified random sampling, this formula reduces to replacing \(\overline{y}_r\) with \(\overline{y}_r(J)\) for replicate \(r\), where \(\overline{y}_r(J)\) is the sample</w:t>
      </w:r>
      <w:r>
        <w:rPr>
          <w:spacing w:val="-7"/>
        </w:rPr>
        <w:t xml:space="preserve"> </w:t>
      </w:r>
      <w:r>
        <w:t>mean</w:t>
      </w:r>
      <w:r>
        <w:rPr>
          <w:spacing w:val="-7"/>
        </w:rPr>
        <w:t xml:space="preserve"> </w:t>
      </w:r>
      <w:r>
        <w:t>from</w:t>
      </w:r>
      <w:r>
        <w:rPr>
          <w:spacing w:val="-7"/>
        </w:rPr>
        <w:t xml:space="preserve"> </w:t>
      </w:r>
      <w:r>
        <w:t>a</w:t>
      </w:r>
      <w:r>
        <w:rPr>
          <w:spacing w:val="-7"/>
        </w:rPr>
        <w:t xml:space="preserve"> </w:t>
      </w:r>
      <w:r>
        <w:t>"\(2/3\)"</w:t>
      </w:r>
      <w:r>
        <w:rPr>
          <w:spacing w:val="-7"/>
        </w:rPr>
        <w:t xml:space="preserve"> </w:t>
      </w:r>
      <w:r>
        <w:t>sample</w:t>
      </w:r>
      <w:r>
        <w:rPr>
          <w:spacing w:val="-7"/>
        </w:rPr>
        <w:t xml:space="preserve"> </w:t>
      </w:r>
      <w:r>
        <w:t>of</w:t>
      </w:r>
      <w:r>
        <w:rPr>
          <w:spacing w:val="-7"/>
        </w:rPr>
        <w:t xml:space="preserve"> </w:t>
      </w:r>
      <w:r>
        <w:t>\(\frac{2n_r}{3}\)</w:t>
      </w:r>
      <w:r>
        <w:rPr>
          <w:spacing w:val="-7"/>
        </w:rPr>
        <w:t xml:space="preserve"> </w:t>
      </w:r>
      <w:r>
        <w:t>units</w:t>
      </w:r>
      <w:r>
        <w:rPr>
          <w:spacing w:val="-7"/>
        </w:rPr>
        <w:t xml:space="preserve"> </w:t>
      </w:r>
      <w:r>
        <w:t>from</w:t>
      </w:r>
      <w:r>
        <w:rPr>
          <w:spacing w:val="-7"/>
        </w:rPr>
        <w:t xml:space="preserve"> </w:t>
      </w:r>
      <w:r>
        <w:t>the</w:t>
      </w:r>
      <w:r>
        <w:rPr>
          <w:spacing w:val="-7"/>
        </w:rPr>
        <w:t xml:space="preserve"> </w:t>
      </w:r>
      <w:r>
        <w:t>\(n_r\)</w:t>
      </w:r>
      <w:r>
        <w:rPr>
          <w:spacing w:val="-7"/>
        </w:rPr>
        <w:t xml:space="preserve"> </w:t>
      </w:r>
      <w:r>
        <w:t>sample</w:t>
      </w:r>
      <w:r>
        <w:rPr>
          <w:spacing w:val="-7"/>
        </w:rPr>
        <w:t xml:space="preserve"> </w:t>
      </w:r>
      <w:r>
        <w:t>units</w:t>
      </w:r>
      <w:r>
        <w:rPr>
          <w:spacing w:val="-7"/>
        </w:rPr>
        <w:t xml:space="preserve"> </w:t>
      </w:r>
      <w:r>
        <w:t>in</w:t>
      </w:r>
      <w:r>
        <w:rPr>
          <w:spacing w:val="-7"/>
        </w:rPr>
        <w:t xml:space="preserve"> </w:t>
      </w:r>
      <w:r>
        <w:t>the</w:t>
      </w:r>
      <w:r>
        <w:rPr>
          <w:spacing w:val="-7"/>
        </w:rPr>
        <w:t xml:space="preserve"> </w:t>
      </w:r>
      <w:r>
        <w:t>replicate</w:t>
      </w:r>
      <w:r>
        <w:rPr>
          <w:spacing w:val="-7"/>
        </w:rPr>
        <w:t xml:space="preserve"> </w:t>
      </w:r>
      <w:r>
        <w:t>stratum,</w:t>
      </w:r>
      <w:r>
        <w:rPr>
          <w:spacing w:val="-7"/>
        </w:rPr>
        <w:t xml:space="preserve"> </w:t>
      </w:r>
      <w:r>
        <w:t>and</w:t>
      </w:r>
      <w:r>
        <w:rPr>
          <w:spacing w:val="-7"/>
        </w:rPr>
        <w:t xml:space="preserve"> </w:t>
      </w:r>
      <w:r>
        <w:t>replacing</w:t>
      </w:r>
      <w:r>
        <w:rPr>
          <w:spacing w:val="-7"/>
        </w:rPr>
        <w:t xml:space="preserve"> </w:t>
      </w:r>
      <w:r>
        <w:t>\(\overline{y}_r\)</w:t>
      </w:r>
      <w:r>
        <w:rPr>
          <w:spacing w:val="-7"/>
        </w:rPr>
        <w:t xml:space="preserve"> </w:t>
      </w:r>
      <w:r>
        <w:t>with</w:t>
      </w:r>
      <w:r>
        <w:rPr>
          <w:spacing w:val="-7"/>
        </w:rPr>
        <w:t xml:space="preserve"> </w:t>
      </w:r>
      <w:r>
        <w:t>\(\overline{y}_{r'} (J)\)</w:t>
      </w:r>
      <w:r>
        <w:rPr>
          <w:spacing w:val="-6"/>
        </w:rPr>
        <w:t xml:space="preserve"> </w:t>
      </w:r>
      <w:r>
        <w:t>for</w:t>
      </w:r>
      <w:r>
        <w:rPr>
          <w:spacing w:val="-6"/>
        </w:rPr>
        <w:t xml:space="preserve"> </w:t>
      </w:r>
      <w:r>
        <w:t>replicate</w:t>
      </w:r>
      <w:r>
        <w:rPr>
          <w:spacing w:val="-6"/>
        </w:rPr>
        <w:t xml:space="preserve"> </w:t>
      </w:r>
      <w:r>
        <w:t>\(r'\),</w:t>
      </w:r>
      <w:r>
        <w:rPr>
          <w:spacing w:val="-6"/>
        </w:rPr>
        <w:t xml:space="preserve"> </w:t>
      </w:r>
      <w:r>
        <w:t>where</w:t>
      </w:r>
      <w:r>
        <w:rPr>
          <w:spacing w:val="-6"/>
        </w:rPr>
        <w:t xml:space="preserve"> </w:t>
      </w:r>
      <w:r>
        <w:t>\(\overline{y}_{r'}(J)\)</w:t>
      </w:r>
      <w:r>
        <w:rPr>
          <w:spacing w:val="-6"/>
        </w:rPr>
        <w:t xml:space="preserve"> </w:t>
      </w:r>
      <w:r>
        <w:t>is</w:t>
      </w:r>
      <w:r>
        <w:rPr>
          <w:spacing w:val="-6"/>
        </w:rPr>
        <w:t xml:space="preserve"> </w:t>
      </w:r>
      <w:r>
        <w:t>the</w:t>
      </w:r>
      <w:r>
        <w:rPr>
          <w:spacing w:val="-6"/>
        </w:rPr>
        <w:t xml:space="preserve"> </w:t>
      </w:r>
      <w:r>
        <w:t>sample</w:t>
      </w:r>
      <w:r>
        <w:rPr>
          <w:spacing w:val="-6"/>
        </w:rPr>
        <w:t xml:space="preserve"> </w:t>
      </w:r>
      <w:r>
        <w:t>mean</w:t>
      </w:r>
      <w:r>
        <w:rPr>
          <w:spacing w:val="-6"/>
        </w:rPr>
        <w:t xml:space="preserve"> </w:t>
      </w:r>
      <w:r>
        <w:t>from</w:t>
      </w:r>
      <w:r>
        <w:rPr>
          <w:spacing w:val="-6"/>
        </w:rPr>
        <w:t xml:space="preserve"> </w:t>
      </w:r>
      <w:r>
        <w:t>another</w:t>
      </w:r>
      <w:r>
        <w:rPr>
          <w:spacing w:val="-6"/>
        </w:rPr>
        <w:t xml:space="preserve"> </w:t>
      </w:r>
      <w:r>
        <w:t>overlapping</w:t>
      </w:r>
      <w:r>
        <w:rPr>
          <w:spacing w:val="-6"/>
        </w:rPr>
        <w:t xml:space="preserve"> </w:t>
      </w:r>
      <w:r>
        <w:t>"\(2/3\)"</w:t>
      </w:r>
      <w:r>
        <w:rPr>
          <w:spacing w:val="-6"/>
        </w:rPr>
        <w:t xml:space="preserve"> </w:t>
      </w:r>
      <w:r>
        <w:t>sample</w:t>
      </w:r>
      <w:r>
        <w:rPr>
          <w:spacing w:val="-6"/>
        </w:rPr>
        <w:t xml:space="preserve"> </w:t>
      </w:r>
      <w:r>
        <w:t>of</w:t>
      </w:r>
      <w:r>
        <w:rPr>
          <w:spacing w:val="-6"/>
        </w:rPr>
        <w:t xml:space="preserve"> </w:t>
      </w:r>
      <w:r>
        <w:t>\(\frac{2n_r}{3}\)</w:t>
      </w:r>
      <w:r>
        <w:rPr>
          <w:spacing w:val="-6"/>
        </w:rPr>
        <w:t xml:space="preserve"> </w:t>
      </w:r>
      <w:r>
        <w:t>units</w:t>
      </w:r>
      <w:r>
        <w:rPr>
          <w:spacing w:val="-6"/>
        </w:rPr>
        <w:t xml:space="preserve"> </w:t>
      </w:r>
      <w:r>
        <w:t>from</w:t>
      </w:r>
      <w:r>
        <w:rPr>
          <w:spacing w:val="-6"/>
        </w:rPr>
        <w:t xml:space="preserve"> </w:t>
      </w:r>
      <w:r>
        <w:t>the</w:t>
      </w:r>
      <w:r>
        <w:rPr>
          <w:spacing w:val="-6"/>
        </w:rPr>
        <w:t xml:space="preserve"> </w:t>
      </w:r>
      <w:r>
        <w:t>\(n_r\)</w:t>
      </w:r>
      <w:r>
        <w:rPr>
          <w:spacing w:val="-6"/>
        </w:rPr>
        <w:t xml:space="preserve"> </w:t>
      </w:r>
      <w:r>
        <w:t>sample</w:t>
      </w:r>
      <w:r>
        <w:rPr>
          <w:spacing w:val="-6"/>
        </w:rPr>
        <w:t xml:space="preserve"> </w:t>
      </w:r>
      <w:r>
        <w:t>units</w:t>
      </w:r>
      <w:r>
        <w:rPr>
          <w:spacing w:val="-6"/>
        </w:rPr>
        <w:t xml:space="preserve"> </w:t>
      </w:r>
      <w:r>
        <w:t>in the replicate stratum.</w:t>
      </w:r>
    </w:p>
    <w:p w:rsidR="003F5784" w14:paraId="03712DBF" w14:textId="77777777">
      <w:pPr>
        <w:pStyle w:val="BodyText"/>
        <w:spacing w:before="204"/>
        <w:ind w:left="109"/>
      </w:pPr>
      <w:r>
        <w:t>The</w:t>
      </w:r>
      <w:r>
        <w:rPr>
          <w:spacing w:val="-6"/>
        </w:rPr>
        <w:t xml:space="preserve"> </w:t>
      </w:r>
      <w:r>
        <w:t>\(r\)-th</w:t>
      </w:r>
      <w:r>
        <w:rPr>
          <w:spacing w:val="-6"/>
        </w:rPr>
        <w:t xml:space="preserve"> </w:t>
      </w:r>
      <w:r>
        <w:t>and</w:t>
      </w:r>
      <w:r>
        <w:rPr>
          <w:spacing w:val="-5"/>
        </w:rPr>
        <w:t xml:space="preserve"> </w:t>
      </w:r>
      <w:r>
        <w:t>\(r'\)-th</w:t>
      </w:r>
      <w:r>
        <w:rPr>
          <w:spacing w:val="-6"/>
        </w:rPr>
        <w:t xml:space="preserve"> </w:t>
      </w:r>
      <w:r>
        <w:t>replicates</w:t>
      </w:r>
      <w:r>
        <w:rPr>
          <w:spacing w:val="-5"/>
        </w:rPr>
        <w:t xml:space="preserve"> </w:t>
      </w:r>
      <w:r>
        <w:t>can</w:t>
      </w:r>
      <w:r>
        <w:rPr>
          <w:spacing w:val="-6"/>
        </w:rPr>
        <w:t xml:space="preserve"> </w:t>
      </w:r>
      <w:r>
        <w:t>be</w:t>
      </w:r>
      <w:r>
        <w:rPr>
          <w:spacing w:val="-6"/>
        </w:rPr>
        <w:t xml:space="preserve"> </w:t>
      </w:r>
      <w:r>
        <w:t>written</w:t>
      </w:r>
      <w:r>
        <w:rPr>
          <w:spacing w:val="-5"/>
        </w:rPr>
        <w:t xml:space="preserve"> as</w:t>
      </w:r>
    </w:p>
    <w:p w:rsidR="003F5784" w14:paraId="27F4A605" w14:textId="77777777">
      <w:pPr>
        <w:pStyle w:val="BodyText"/>
        <w:spacing w:before="201"/>
        <w:ind w:left="109"/>
      </w:pPr>
      <w:r>
        <w:t>\begin{equation}</w:t>
      </w:r>
      <w:r>
        <w:rPr>
          <w:spacing w:val="-14"/>
        </w:rPr>
        <w:t xml:space="preserve"> </w:t>
      </w:r>
      <w:r>
        <w:t>\hat{\overline{Y}}(r)=\sum_{h</w:t>
      </w:r>
      <w:r>
        <w:rPr>
          <w:spacing w:val="-11"/>
        </w:rPr>
        <w:t xml:space="preserve"> </w:t>
      </w:r>
      <w:r>
        <w:t>\ne</w:t>
      </w:r>
      <w:r>
        <w:rPr>
          <w:spacing w:val="-11"/>
        </w:rPr>
        <w:t xml:space="preserve"> </w:t>
      </w:r>
      <w:r>
        <w:t>r}^{H}</w:t>
      </w:r>
      <w:r>
        <w:rPr>
          <w:spacing w:val="-13"/>
        </w:rPr>
        <w:t xml:space="preserve"> </w:t>
      </w:r>
      <w:r>
        <w:t>W_{h}</w:t>
      </w:r>
      <w:r>
        <w:rPr>
          <w:spacing w:val="-11"/>
        </w:rPr>
        <w:t xml:space="preserve"> </w:t>
      </w:r>
      <w:r>
        <w:t>\overline{y}_h</w:t>
      </w:r>
      <w:r>
        <w:rPr>
          <w:spacing w:val="-11"/>
        </w:rPr>
        <w:t xml:space="preserve"> </w:t>
      </w:r>
      <w:r>
        <w:t>+</w:t>
      </w:r>
      <w:r>
        <w:rPr>
          <w:spacing w:val="-13"/>
        </w:rPr>
        <w:t xml:space="preserve"> </w:t>
      </w:r>
      <w:r>
        <w:t>W_r</w:t>
      </w:r>
      <w:r>
        <w:rPr>
          <w:spacing w:val="-11"/>
        </w:rPr>
        <w:t xml:space="preserve"> </w:t>
      </w:r>
      <w:r>
        <w:t>\overline{y}_r(J),</w:t>
      </w:r>
      <w:r>
        <w:rPr>
          <w:spacing w:val="-11"/>
        </w:rPr>
        <w:t xml:space="preserve"> </w:t>
      </w:r>
      <w:r>
        <w:rPr>
          <w:spacing w:val="-2"/>
        </w:rPr>
        <w:t>\end{equation}</w:t>
      </w:r>
    </w:p>
    <w:p w:rsidR="003F5784" w14:paraId="6F91D90B" w14:textId="77777777">
      <w:pPr>
        <w:pStyle w:val="BodyText"/>
        <w:spacing w:before="202"/>
        <w:ind w:left="109"/>
      </w:pPr>
      <w:r>
        <w:t>\begin{equation}</w:t>
      </w:r>
      <w:r>
        <w:rPr>
          <w:spacing w:val="-14"/>
        </w:rPr>
        <w:t xml:space="preserve"> </w:t>
      </w:r>
      <w:r>
        <w:t>\hat{\overline{Y}}(r')=\sum_{h</w:t>
      </w:r>
      <w:r>
        <w:rPr>
          <w:spacing w:val="-12"/>
        </w:rPr>
        <w:t xml:space="preserve"> </w:t>
      </w:r>
      <w:r>
        <w:t>\ne</w:t>
      </w:r>
      <w:r>
        <w:rPr>
          <w:spacing w:val="-11"/>
        </w:rPr>
        <w:t xml:space="preserve"> </w:t>
      </w:r>
      <w:r>
        <w:t>r}^{H}</w:t>
      </w:r>
      <w:r>
        <w:rPr>
          <w:spacing w:val="-13"/>
        </w:rPr>
        <w:t xml:space="preserve"> </w:t>
      </w:r>
      <w:r>
        <w:t>W_{h}</w:t>
      </w:r>
      <w:r>
        <w:rPr>
          <w:spacing w:val="-12"/>
        </w:rPr>
        <w:t xml:space="preserve"> </w:t>
      </w:r>
      <w:r>
        <w:t>\overline{y}_h</w:t>
      </w:r>
      <w:r>
        <w:rPr>
          <w:spacing w:val="-11"/>
        </w:rPr>
        <w:t xml:space="preserve"> </w:t>
      </w:r>
      <w:r>
        <w:t>+</w:t>
      </w:r>
      <w:r>
        <w:rPr>
          <w:spacing w:val="-13"/>
        </w:rPr>
        <w:t xml:space="preserve"> </w:t>
      </w:r>
      <w:r>
        <w:t>W_r</w:t>
      </w:r>
      <w:r>
        <w:rPr>
          <w:spacing w:val="-12"/>
        </w:rPr>
        <w:t xml:space="preserve"> </w:t>
      </w:r>
      <w:r>
        <w:t>\overline{y}_{r'}(J).</w:t>
      </w:r>
      <w:r>
        <w:rPr>
          <w:spacing w:val="-11"/>
        </w:rPr>
        <w:t xml:space="preserve"> </w:t>
      </w:r>
      <w:r>
        <w:rPr>
          <w:spacing w:val="-2"/>
        </w:rPr>
        <w:t>\end{equation}</w:t>
      </w:r>
    </w:p>
    <w:p w:rsidR="003F5784" w14:paraId="494062EC" w14:textId="77777777">
      <w:pPr>
        <w:pStyle w:val="BodyText"/>
        <w:spacing w:before="208" w:line="232" w:lineRule="auto"/>
        <w:ind w:left="109"/>
      </w:pPr>
      <w:r>
        <w:t>From</w:t>
      </w:r>
      <w:r>
        <w:rPr>
          <w:spacing w:val="-6"/>
        </w:rPr>
        <w:t xml:space="preserve"> </w:t>
      </w:r>
      <w:r>
        <w:t>these</w:t>
      </w:r>
      <w:r>
        <w:rPr>
          <w:spacing w:val="-6"/>
        </w:rPr>
        <w:t xml:space="preserve"> </w:t>
      </w:r>
      <w:r>
        <w:t>formulas,</w:t>
      </w:r>
      <w:r>
        <w:rPr>
          <w:spacing w:val="-6"/>
        </w:rPr>
        <w:t xml:space="preserve"> </w:t>
      </w:r>
      <w:r>
        <w:t>expressions</w:t>
      </w:r>
      <w:r>
        <w:rPr>
          <w:spacing w:val="-6"/>
        </w:rPr>
        <w:t xml:space="preserve"> </w:t>
      </w:r>
      <w:r>
        <w:t>for</w:t>
      </w:r>
      <w:r>
        <w:rPr>
          <w:spacing w:val="-6"/>
        </w:rPr>
        <w:t xml:space="preserve"> </w:t>
      </w:r>
      <w:r>
        <w:t>the</w:t>
      </w:r>
      <w:r>
        <w:rPr>
          <w:spacing w:val="-6"/>
        </w:rPr>
        <w:t xml:space="preserve"> </w:t>
      </w:r>
      <w:r>
        <w:t>\(r\)-th</w:t>
      </w:r>
      <w:r>
        <w:rPr>
          <w:spacing w:val="-6"/>
        </w:rPr>
        <w:t xml:space="preserve"> </w:t>
      </w:r>
      <w:r>
        <w:t>and</w:t>
      </w:r>
      <w:r>
        <w:rPr>
          <w:spacing w:val="-6"/>
        </w:rPr>
        <w:t xml:space="preserve"> </w:t>
      </w:r>
      <w:r>
        <w:t>\(r'\)-th</w:t>
      </w:r>
      <w:r>
        <w:rPr>
          <w:spacing w:val="-6"/>
        </w:rPr>
        <w:t xml:space="preserve"> </w:t>
      </w:r>
      <w:r>
        <w:t>components</w:t>
      </w:r>
      <w:r>
        <w:rPr>
          <w:spacing w:val="-6"/>
        </w:rPr>
        <w:t xml:space="preserve"> </w:t>
      </w:r>
      <w:r>
        <w:t>of</w:t>
      </w:r>
      <w:r>
        <w:rPr>
          <w:spacing w:val="-6"/>
        </w:rPr>
        <w:t xml:space="preserve"> </w:t>
      </w:r>
      <w:r>
        <w:t>the</w:t>
      </w:r>
      <w:r>
        <w:rPr>
          <w:spacing w:val="-6"/>
        </w:rPr>
        <w:t xml:space="preserve"> </w:t>
      </w:r>
      <w:r>
        <w:t>jackknife</w:t>
      </w:r>
      <w:r>
        <w:rPr>
          <w:spacing w:val="-6"/>
        </w:rPr>
        <w:t xml:space="preserve"> </w:t>
      </w:r>
      <w:r>
        <w:t>variance</w:t>
      </w:r>
      <w:r>
        <w:rPr>
          <w:spacing w:val="-6"/>
        </w:rPr>
        <w:t xml:space="preserve"> </w:t>
      </w:r>
      <w:r>
        <w:t>estimator</w:t>
      </w:r>
      <w:r>
        <w:rPr>
          <w:spacing w:val="-6"/>
        </w:rPr>
        <w:t xml:space="preserve"> </w:t>
      </w:r>
      <w:r>
        <w:t>are</w:t>
      </w:r>
      <w:r>
        <w:rPr>
          <w:spacing w:val="-6"/>
        </w:rPr>
        <w:t xml:space="preserve"> </w:t>
      </w:r>
      <w:r>
        <w:t>obtained</w:t>
      </w:r>
      <w:r>
        <w:rPr>
          <w:spacing w:val="-6"/>
        </w:rPr>
        <w:t xml:space="preserve"> </w:t>
      </w:r>
      <w:r>
        <w:t>(ignoring</w:t>
      </w:r>
      <w:r>
        <w:rPr>
          <w:spacing w:val="-6"/>
        </w:rPr>
        <w:t xml:space="preserve"> </w:t>
      </w:r>
      <w:r>
        <w:t>other</w:t>
      </w:r>
      <w:r>
        <w:rPr>
          <w:spacing w:val="-6"/>
        </w:rPr>
        <w:t xml:space="preserve"> </w:t>
      </w:r>
      <w:r>
        <w:t>sums</w:t>
      </w:r>
      <w:r>
        <w:rPr>
          <w:spacing w:val="-6"/>
        </w:rPr>
        <w:t xml:space="preserve"> </w:t>
      </w:r>
      <w:r>
        <w:t>of</w:t>
      </w:r>
      <w:r>
        <w:rPr>
          <w:spacing w:val="-6"/>
        </w:rPr>
        <w:t xml:space="preserve"> </w:t>
      </w:r>
      <w:r>
        <w:t>squares</w:t>
      </w:r>
      <w:r>
        <w:rPr>
          <w:spacing w:val="-6"/>
        </w:rPr>
        <w:t xml:space="preserve"> </w:t>
      </w:r>
      <w:r>
        <w:t>from</w:t>
      </w:r>
      <w:r>
        <w:rPr>
          <w:spacing w:val="-6"/>
        </w:rPr>
        <w:t xml:space="preserve"> </w:t>
      </w:r>
      <w:r>
        <w:t>other</w:t>
      </w:r>
      <w:r>
        <w:rPr>
          <w:spacing w:val="-6"/>
        </w:rPr>
        <w:t xml:space="preserve"> </w:t>
      </w:r>
      <w:r>
        <w:t>grouped components attached to those replicates):</w:t>
      </w:r>
    </w:p>
    <w:p w:rsidR="003F5784" w14:paraId="461FCF2D" w14:textId="77777777">
      <w:pPr>
        <w:pStyle w:val="BodyText"/>
        <w:spacing w:before="203"/>
        <w:ind w:left="109"/>
      </w:pPr>
      <w:r>
        <w:rPr>
          <w:spacing w:val="-2"/>
        </w:rPr>
        <w:t>\begin{equation}</w:t>
      </w:r>
      <w:r>
        <w:rPr>
          <w:spacing w:val="17"/>
        </w:rPr>
        <w:t xml:space="preserve"> </w:t>
      </w:r>
      <w:r>
        <w:rPr>
          <w:spacing w:val="-2"/>
        </w:rPr>
        <w:t>\left(</w:t>
      </w:r>
      <w:r>
        <w:rPr>
          <w:spacing w:val="17"/>
        </w:rPr>
        <w:t xml:space="preserve"> </w:t>
      </w:r>
      <w:r>
        <w:rPr>
          <w:spacing w:val="-2"/>
        </w:rPr>
        <w:t>\hat{\overline{Y}}(r)-</w:t>
      </w:r>
      <w:r>
        <w:rPr>
          <w:spacing w:val="17"/>
        </w:rPr>
        <w:t xml:space="preserve"> </w:t>
      </w:r>
      <w:r>
        <w:rPr>
          <w:spacing w:val="-2"/>
        </w:rPr>
        <w:t>\hat{\overline{Y}}\right)^2=</w:t>
      </w:r>
      <w:r>
        <w:rPr>
          <w:spacing w:val="12"/>
        </w:rPr>
        <w:t xml:space="preserve"> </w:t>
      </w:r>
      <w:r>
        <w:rPr>
          <w:spacing w:val="-2"/>
        </w:rPr>
        <w:t>W^2_r</w:t>
      </w:r>
      <w:r>
        <w:rPr>
          <w:spacing w:val="17"/>
        </w:rPr>
        <w:t xml:space="preserve"> </w:t>
      </w:r>
      <w:r>
        <w:rPr>
          <w:spacing w:val="-2"/>
        </w:rPr>
        <w:t>\left(</w:t>
      </w:r>
      <w:r>
        <w:rPr>
          <w:spacing w:val="18"/>
        </w:rPr>
        <w:t xml:space="preserve"> </w:t>
      </w:r>
      <w:r>
        <w:rPr>
          <w:spacing w:val="-2"/>
        </w:rPr>
        <w:t>\overline{y}_r(J)-</w:t>
      </w:r>
      <w:r>
        <w:rPr>
          <w:spacing w:val="17"/>
        </w:rPr>
        <w:t xml:space="preserve"> </w:t>
      </w:r>
      <w:r>
        <w:rPr>
          <w:spacing w:val="-2"/>
        </w:rPr>
        <w:t>\overline{y}_{r}\right)^2,</w:t>
      </w:r>
      <w:r>
        <w:rPr>
          <w:spacing w:val="17"/>
        </w:rPr>
        <w:t xml:space="preserve"> </w:t>
      </w:r>
      <w:r>
        <w:rPr>
          <w:spacing w:val="-2"/>
        </w:rPr>
        <w:t>\end{equation}</w:t>
      </w:r>
    </w:p>
    <w:p w:rsidR="003F5784" w14:paraId="4D5BCA36" w14:textId="77777777">
      <w:pPr>
        <w:pStyle w:val="BodyText"/>
        <w:spacing w:before="202" w:line="439" w:lineRule="auto"/>
        <w:ind w:left="109" w:right="1862"/>
      </w:pPr>
      <w:r>
        <w:t>\begin{equation}</w:t>
      </w:r>
      <w:r>
        <w:rPr>
          <w:spacing w:val="-16"/>
        </w:rPr>
        <w:t xml:space="preserve"> </w:t>
      </w:r>
      <w:r>
        <w:t>\left(</w:t>
      </w:r>
      <w:r>
        <w:rPr>
          <w:spacing w:val="-13"/>
        </w:rPr>
        <w:t xml:space="preserve"> </w:t>
      </w:r>
      <w:r>
        <w:t>\hat{\overline{Y}}(r’)-</w:t>
      </w:r>
      <w:r>
        <w:rPr>
          <w:spacing w:val="-13"/>
        </w:rPr>
        <w:t xml:space="preserve"> </w:t>
      </w:r>
      <w:r>
        <w:t>\hat{\overline{Y}}\right)^2=</w:t>
      </w:r>
      <w:r>
        <w:rPr>
          <w:spacing w:val="-13"/>
        </w:rPr>
        <w:t xml:space="preserve"> </w:t>
      </w:r>
      <w:r>
        <w:t>W^2_r</w:t>
      </w:r>
      <w:r>
        <w:rPr>
          <w:spacing w:val="-13"/>
        </w:rPr>
        <w:t xml:space="preserve"> </w:t>
      </w:r>
      <w:r>
        <w:t>\left(</w:t>
      </w:r>
      <w:r>
        <w:rPr>
          <w:spacing w:val="-13"/>
        </w:rPr>
        <w:t xml:space="preserve"> </w:t>
      </w:r>
      <w:r>
        <w:t>\overline{y}_{r’}(J)-</w:t>
      </w:r>
      <w:r>
        <w:rPr>
          <w:spacing w:val="-13"/>
        </w:rPr>
        <w:t xml:space="preserve"> </w:t>
      </w:r>
      <w:r>
        <w:t>\overline{y}_{r}\right)^2.</w:t>
      </w:r>
      <w:r>
        <w:rPr>
          <w:spacing w:val="-13"/>
        </w:rPr>
        <w:t xml:space="preserve"> </w:t>
      </w:r>
      <w:r>
        <w:t>\end{equation} These sums of squares have expectations as follows, using the general formula for sampling variances:</w:t>
      </w:r>
    </w:p>
    <w:p w:rsidR="003F5784" w14:paraId="556963CA" w14:textId="77777777">
      <w:pPr>
        <w:pStyle w:val="BodyText"/>
        <w:spacing w:before="2" w:line="238" w:lineRule="exact"/>
        <w:ind w:left="109"/>
      </w:pPr>
      <w:r>
        <w:t>\begin{equation}</w:t>
      </w:r>
      <w:r>
        <w:rPr>
          <w:spacing w:val="-13"/>
        </w:rPr>
        <w:t xml:space="preserve"> </w:t>
      </w:r>
      <w:r>
        <w:t>\begin{aligned}</w:t>
      </w:r>
      <w:r>
        <w:rPr>
          <w:spacing w:val="-13"/>
        </w:rPr>
        <w:t xml:space="preserve"> </w:t>
      </w:r>
      <w:r>
        <w:t>E\left(</w:t>
      </w:r>
      <w:r>
        <w:rPr>
          <w:spacing w:val="-12"/>
        </w:rPr>
        <w:t xml:space="preserve"> </w:t>
      </w:r>
      <w:r>
        <w:t>\overline{y}_r(J)-</w:t>
      </w:r>
      <w:r>
        <w:rPr>
          <w:spacing w:val="-13"/>
        </w:rPr>
        <w:t xml:space="preserve"> </w:t>
      </w:r>
      <w:r>
        <w:t>\overline{Y}_r\right)^2=</w:t>
      </w:r>
      <w:r>
        <w:rPr>
          <w:spacing w:val="-13"/>
        </w:rPr>
        <w:t xml:space="preserve"> </w:t>
      </w:r>
      <w:r>
        <w:t>\frac</w:t>
      </w:r>
      <w:r>
        <w:rPr>
          <w:spacing w:val="-12"/>
        </w:rPr>
        <w:t xml:space="preserve"> </w:t>
      </w:r>
      <w:r>
        <w:t>{1}{\frac{2n_r}{3}}</w:t>
      </w:r>
      <w:r>
        <w:rPr>
          <w:spacing w:val="-13"/>
        </w:rPr>
        <w:t xml:space="preserve"> </w:t>
      </w:r>
      <w:r>
        <w:t>\frac</w:t>
      </w:r>
      <w:r>
        <w:rPr>
          <w:spacing w:val="-13"/>
        </w:rPr>
        <w:t xml:space="preserve"> </w:t>
      </w:r>
      <w:r>
        <w:t>{n_r-</w:t>
      </w:r>
      <w:r>
        <w:rPr>
          <w:spacing w:val="-12"/>
        </w:rPr>
        <w:t xml:space="preserve"> </w:t>
      </w:r>
      <w:r>
        <w:t>\frac{2n_r}{3}</w:t>
      </w:r>
      <w:r>
        <w:rPr>
          <w:spacing w:val="-13"/>
        </w:rPr>
        <w:t xml:space="preserve"> </w:t>
      </w:r>
      <w:r>
        <w:t>}{n_r}</w:t>
      </w:r>
      <w:r>
        <w:rPr>
          <w:spacing w:val="-13"/>
        </w:rPr>
        <w:t xml:space="preserve"> </w:t>
      </w:r>
      <w:r>
        <w:t>\frac</w:t>
      </w:r>
      <w:r>
        <w:rPr>
          <w:spacing w:val="-12"/>
        </w:rPr>
        <w:t xml:space="preserve"> </w:t>
      </w:r>
      <w:r>
        <w:t>{1}{n_r-</w:t>
      </w:r>
      <w:r>
        <w:rPr>
          <w:spacing w:val="-5"/>
        </w:rPr>
        <w:t>1}</w:t>
      </w:r>
    </w:p>
    <w:p w:rsidR="003F5784" w14:paraId="472624FC" w14:textId="77777777">
      <w:pPr>
        <w:pStyle w:val="BodyText"/>
        <w:spacing w:line="235" w:lineRule="exact"/>
        <w:ind w:left="109"/>
      </w:pPr>
      <w:r>
        <w:t>\sum_{i=1}^{n_r}</w:t>
      </w:r>
      <w:r>
        <w:rPr>
          <w:spacing w:val="-9"/>
        </w:rPr>
        <w:t xml:space="preserve"> </w:t>
      </w:r>
      <w:r>
        <w:t>\left(</w:t>
      </w:r>
      <w:r>
        <w:rPr>
          <w:spacing w:val="-9"/>
        </w:rPr>
        <w:t xml:space="preserve"> </w:t>
      </w:r>
      <w:r>
        <w:t>y_{r_{i}}</w:t>
      </w:r>
      <w:r>
        <w:rPr>
          <w:spacing w:val="-9"/>
        </w:rPr>
        <w:t xml:space="preserve"> </w:t>
      </w:r>
      <w:r>
        <w:t>-</w:t>
      </w:r>
      <w:r>
        <w:rPr>
          <w:spacing w:val="-9"/>
        </w:rPr>
        <w:t xml:space="preserve"> </w:t>
      </w:r>
      <w:r>
        <w:t>\overline{y}_r</w:t>
      </w:r>
      <w:r>
        <w:rPr>
          <w:spacing w:val="-8"/>
        </w:rPr>
        <w:t xml:space="preserve"> </w:t>
      </w:r>
      <w:r>
        <w:t>\right)^2</w:t>
      </w:r>
      <w:r>
        <w:rPr>
          <w:spacing w:val="-9"/>
        </w:rPr>
        <w:t xml:space="preserve"> </w:t>
      </w:r>
      <w:r>
        <w:t>\\</w:t>
      </w:r>
      <w:r>
        <w:rPr>
          <w:spacing w:val="-9"/>
        </w:rPr>
        <w:t xml:space="preserve"> </w:t>
      </w:r>
      <w:r>
        <w:t>=\frac{1}{2n_r</w:t>
      </w:r>
      <w:r>
        <w:rPr>
          <w:spacing w:val="-9"/>
        </w:rPr>
        <w:t xml:space="preserve"> </w:t>
      </w:r>
      <w:r>
        <w:t>\left(</w:t>
      </w:r>
      <w:r>
        <w:rPr>
          <w:spacing w:val="-9"/>
        </w:rPr>
        <w:t xml:space="preserve"> </w:t>
      </w:r>
      <w:r>
        <w:t>n_r-1\right)}</w:t>
      </w:r>
      <w:r>
        <w:rPr>
          <w:spacing w:val="-8"/>
        </w:rPr>
        <w:t xml:space="preserve"> </w:t>
      </w:r>
      <w:r>
        <w:t>\sum_{i=1}^{n_r}</w:t>
      </w:r>
      <w:r>
        <w:rPr>
          <w:spacing w:val="-9"/>
        </w:rPr>
        <w:t xml:space="preserve"> </w:t>
      </w:r>
      <w:r>
        <w:t>\left(</w:t>
      </w:r>
      <w:r>
        <w:rPr>
          <w:spacing w:val="-9"/>
        </w:rPr>
        <w:t xml:space="preserve"> </w:t>
      </w:r>
      <w:r>
        <w:t>y_{r_{i}}</w:t>
      </w:r>
      <w:r>
        <w:rPr>
          <w:spacing w:val="-9"/>
        </w:rPr>
        <w:t xml:space="preserve"> </w:t>
      </w:r>
      <w:r>
        <w:t>-</w:t>
      </w:r>
      <w:r>
        <w:rPr>
          <w:spacing w:val="-8"/>
        </w:rPr>
        <w:t xml:space="preserve"> </w:t>
      </w:r>
      <w:r>
        <w:t>\overline{y}_r</w:t>
      </w:r>
      <w:r>
        <w:rPr>
          <w:spacing w:val="-9"/>
        </w:rPr>
        <w:t xml:space="preserve"> </w:t>
      </w:r>
      <w:r>
        <w:t>\right)^2</w:t>
      </w:r>
      <w:r>
        <w:rPr>
          <w:spacing w:val="-9"/>
        </w:rPr>
        <w:t xml:space="preserve"> </w:t>
      </w:r>
      <w:r>
        <w:t>\\</w:t>
      </w:r>
      <w:r>
        <w:rPr>
          <w:spacing w:val="-9"/>
        </w:rPr>
        <w:t xml:space="preserve"> </w:t>
      </w:r>
      <w:r>
        <w:rPr>
          <w:spacing w:val="-2"/>
        </w:rPr>
        <w:t>=\frac</w:t>
      </w:r>
    </w:p>
    <w:p w:rsidR="003F5784" w14:paraId="1D65A0E7" w14:textId="77777777">
      <w:pPr>
        <w:pStyle w:val="BodyText"/>
        <w:spacing w:line="238" w:lineRule="exact"/>
        <w:ind w:left="109"/>
      </w:pPr>
      <w:r>
        <w:rPr>
          <w:spacing w:val="-2"/>
        </w:rPr>
        <w:t>{s^2_r}{2n_r},</w:t>
      </w:r>
      <w:r>
        <w:rPr>
          <w:spacing w:val="13"/>
        </w:rPr>
        <w:t xml:space="preserve"> </w:t>
      </w:r>
      <w:r>
        <w:rPr>
          <w:spacing w:val="-2"/>
        </w:rPr>
        <w:t>\end{aligned}</w:t>
      </w:r>
      <w:r>
        <w:rPr>
          <w:spacing w:val="14"/>
        </w:rPr>
        <w:t xml:space="preserve"> </w:t>
      </w:r>
      <w:r>
        <w:rPr>
          <w:spacing w:val="-2"/>
        </w:rPr>
        <w:t>\end{equation}</w:t>
      </w:r>
    </w:p>
    <w:p w:rsidR="003F5784" w14:paraId="5EDA9116" w14:textId="77777777">
      <w:pPr>
        <w:pStyle w:val="BodyText"/>
        <w:spacing w:before="202" w:line="238" w:lineRule="exact"/>
        <w:ind w:left="109"/>
      </w:pPr>
      <w:r>
        <w:t>\begin{equation}</w:t>
      </w:r>
      <w:r>
        <w:rPr>
          <w:spacing w:val="-13"/>
        </w:rPr>
        <w:t xml:space="preserve"> </w:t>
      </w:r>
      <w:r>
        <w:t>\begin{aligned}</w:t>
      </w:r>
      <w:r>
        <w:rPr>
          <w:spacing w:val="-12"/>
        </w:rPr>
        <w:t xml:space="preserve"> </w:t>
      </w:r>
      <w:r>
        <w:t>E\left(</w:t>
      </w:r>
      <w:r>
        <w:rPr>
          <w:spacing w:val="-12"/>
        </w:rPr>
        <w:t xml:space="preserve"> </w:t>
      </w:r>
      <w:r>
        <w:t>\overline{y}_{r’}(J)-</w:t>
      </w:r>
      <w:r>
        <w:rPr>
          <w:spacing w:val="-13"/>
        </w:rPr>
        <w:t xml:space="preserve"> </w:t>
      </w:r>
      <w:r>
        <w:t>\overline{Y}_r\right)^2=</w:t>
      </w:r>
      <w:r>
        <w:rPr>
          <w:spacing w:val="-12"/>
        </w:rPr>
        <w:t xml:space="preserve"> </w:t>
      </w:r>
      <w:r>
        <w:t>\frac</w:t>
      </w:r>
      <w:r>
        <w:rPr>
          <w:spacing w:val="-12"/>
        </w:rPr>
        <w:t xml:space="preserve"> </w:t>
      </w:r>
      <w:r>
        <w:t>{1}{\frac{2n_r}{3}}</w:t>
      </w:r>
      <w:r>
        <w:rPr>
          <w:spacing w:val="-13"/>
        </w:rPr>
        <w:t xml:space="preserve"> </w:t>
      </w:r>
      <w:r>
        <w:t>\frac</w:t>
      </w:r>
      <w:r>
        <w:rPr>
          <w:spacing w:val="-12"/>
        </w:rPr>
        <w:t xml:space="preserve"> </w:t>
      </w:r>
      <w:r>
        <w:t>{n_r-</w:t>
      </w:r>
      <w:r>
        <w:rPr>
          <w:spacing w:val="-12"/>
        </w:rPr>
        <w:t xml:space="preserve"> </w:t>
      </w:r>
      <w:r>
        <w:t>\frac{2n_r}{3}</w:t>
      </w:r>
      <w:r>
        <w:rPr>
          <w:spacing w:val="-12"/>
        </w:rPr>
        <w:t xml:space="preserve"> </w:t>
      </w:r>
      <w:r>
        <w:t>}{n_r}</w:t>
      </w:r>
      <w:r>
        <w:rPr>
          <w:spacing w:val="-13"/>
        </w:rPr>
        <w:t xml:space="preserve"> </w:t>
      </w:r>
      <w:r>
        <w:t>\frac</w:t>
      </w:r>
      <w:r>
        <w:rPr>
          <w:spacing w:val="-12"/>
        </w:rPr>
        <w:t xml:space="preserve"> </w:t>
      </w:r>
      <w:r>
        <w:t>{1}{n_r-</w:t>
      </w:r>
      <w:r>
        <w:rPr>
          <w:spacing w:val="-5"/>
        </w:rPr>
        <w:t>1}</w:t>
      </w:r>
    </w:p>
    <w:p w:rsidR="003F5784" w14:paraId="01FCEAAA" w14:textId="77777777">
      <w:pPr>
        <w:pStyle w:val="BodyText"/>
        <w:spacing w:line="235" w:lineRule="exact"/>
        <w:ind w:left="109"/>
      </w:pPr>
      <w:r>
        <w:t>\sum_{i=1}^{n_r}</w:t>
      </w:r>
      <w:r>
        <w:rPr>
          <w:spacing w:val="-9"/>
        </w:rPr>
        <w:t xml:space="preserve"> </w:t>
      </w:r>
      <w:r>
        <w:t>\left(</w:t>
      </w:r>
      <w:r>
        <w:rPr>
          <w:spacing w:val="-9"/>
        </w:rPr>
        <w:t xml:space="preserve"> </w:t>
      </w:r>
      <w:r>
        <w:t>y_{r_{i}}</w:t>
      </w:r>
      <w:r>
        <w:rPr>
          <w:spacing w:val="-9"/>
        </w:rPr>
        <w:t xml:space="preserve"> </w:t>
      </w:r>
      <w:r>
        <w:t>-</w:t>
      </w:r>
      <w:r>
        <w:rPr>
          <w:spacing w:val="-9"/>
        </w:rPr>
        <w:t xml:space="preserve"> </w:t>
      </w:r>
      <w:r>
        <w:t>\overline{y}_r</w:t>
      </w:r>
      <w:r>
        <w:rPr>
          <w:spacing w:val="-8"/>
        </w:rPr>
        <w:t xml:space="preserve"> </w:t>
      </w:r>
      <w:r>
        <w:t>\right)^2</w:t>
      </w:r>
      <w:r>
        <w:rPr>
          <w:spacing w:val="-9"/>
        </w:rPr>
        <w:t xml:space="preserve"> </w:t>
      </w:r>
      <w:r>
        <w:t>\\</w:t>
      </w:r>
      <w:r>
        <w:rPr>
          <w:spacing w:val="-9"/>
        </w:rPr>
        <w:t xml:space="preserve"> </w:t>
      </w:r>
      <w:r>
        <w:t>=\frac{1}{2n_r</w:t>
      </w:r>
      <w:r>
        <w:rPr>
          <w:spacing w:val="-9"/>
        </w:rPr>
        <w:t xml:space="preserve"> </w:t>
      </w:r>
      <w:r>
        <w:t>\left(</w:t>
      </w:r>
      <w:r>
        <w:rPr>
          <w:spacing w:val="-9"/>
        </w:rPr>
        <w:t xml:space="preserve"> </w:t>
      </w:r>
      <w:r>
        <w:t>n_r-1\right)}</w:t>
      </w:r>
      <w:r>
        <w:rPr>
          <w:spacing w:val="-8"/>
        </w:rPr>
        <w:t xml:space="preserve"> </w:t>
      </w:r>
      <w:r>
        <w:t>\sum_{i=1}^{n_r}</w:t>
      </w:r>
      <w:r>
        <w:rPr>
          <w:spacing w:val="-9"/>
        </w:rPr>
        <w:t xml:space="preserve"> </w:t>
      </w:r>
      <w:r>
        <w:t>\left(</w:t>
      </w:r>
      <w:r>
        <w:rPr>
          <w:spacing w:val="-9"/>
        </w:rPr>
        <w:t xml:space="preserve"> </w:t>
      </w:r>
      <w:r>
        <w:t>y_{r_{i}}</w:t>
      </w:r>
      <w:r>
        <w:rPr>
          <w:spacing w:val="-9"/>
        </w:rPr>
        <w:t xml:space="preserve"> </w:t>
      </w:r>
      <w:r>
        <w:t>-</w:t>
      </w:r>
      <w:r>
        <w:rPr>
          <w:spacing w:val="-8"/>
        </w:rPr>
        <w:t xml:space="preserve"> </w:t>
      </w:r>
      <w:r>
        <w:t>\overline{y}_r</w:t>
      </w:r>
      <w:r>
        <w:rPr>
          <w:spacing w:val="-9"/>
        </w:rPr>
        <w:t xml:space="preserve"> </w:t>
      </w:r>
      <w:r>
        <w:t>\right)^2</w:t>
      </w:r>
      <w:r>
        <w:rPr>
          <w:spacing w:val="-9"/>
        </w:rPr>
        <w:t xml:space="preserve"> </w:t>
      </w:r>
      <w:r>
        <w:t>\\</w:t>
      </w:r>
      <w:r>
        <w:rPr>
          <w:spacing w:val="-9"/>
        </w:rPr>
        <w:t xml:space="preserve"> </w:t>
      </w:r>
      <w:r>
        <w:rPr>
          <w:spacing w:val="-2"/>
        </w:rPr>
        <w:t>=\frac</w:t>
      </w:r>
    </w:p>
    <w:p w:rsidR="003F5784" w14:paraId="5EC31DEC" w14:textId="77777777">
      <w:pPr>
        <w:pStyle w:val="BodyText"/>
        <w:spacing w:line="439" w:lineRule="auto"/>
        <w:ind w:left="109" w:right="10739"/>
      </w:pPr>
      <w:r>
        <w:rPr>
          <w:spacing w:val="-2"/>
        </w:rPr>
        <w:t>{s^2_r}{2n_r}. \end{aligned} \end{equation} Thus,</w:t>
      </w:r>
    </w:p>
    <w:p w:rsidR="003F5784" w14:paraId="7E5FE058" w14:textId="77777777">
      <w:pPr>
        <w:pStyle w:val="BodyText"/>
        <w:spacing w:before="5" w:line="232" w:lineRule="auto"/>
        <w:ind w:left="109"/>
      </w:pPr>
      <w:r>
        <w:t>\begin{equation}</w:t>
      </w:r>
      <w:r>
        <w:rPr>
          <w:spacing w:val="-8"/>
        </w:rPr>
        <w:t xml:space="preserve"> </w:t>
      </w:r>
      <w:r>
        <w:t>\begin{aligned}</w:t>
      </w:r>
      <w:r>
        <w:rPr>
          <w:spacing w:val="-8"/>
        </w:rPr>
        <w:t xml:space="preserve"> </w:t>
      </w:r>
      <w:r>
        <w:t>E</w:t>
      </w:r>
      <w:r>
        <w:rPr>
          <w:spacing w:val="-8"/>
        </w:rPr>
        <w:t xml:space="preserve"> </w:t>
      </w:r>
      <w:r>
        <w:t>\left\{</w:t>
      </w:r>
      <w:r>
        <w:rPr>
          <w:spacing w:val="-12"/>
        </w:rPr>
        <w:t xml:space="preserve"> </w:t>
      </w:r>
      <w:r>
        <w:t>W_r^2</w:t>
      </w:r>
      <w:r>
        <w:rPr>
          <w:spacing w:val="-8"/>
        </w:rPr>
        <w:t xml:space="preserve"> </w:t>
      </w:r>
      <w:r>
        <w:t>\left(</w:t>
      </w:r>
      <w:r>
        <w:rPr>
          <w:spacing w:val="-8"/>
        </w:rPr>
        <w:t xml:space="preserve"> </w:t>
      </w:r>
      <w:r>
        <w:t>\overline{y}_r(J)-</w:t>
      </w:r>
      <w:r>
        <w:rPr>
          <w:spacing w:val="-8"/>
        </w:rPr>
        <w:t xml:space="preserve"> </w:t>
      </w:r>
      <w:r>
        <w:t>\overline{y}_r</w:t>
      </w:r>
      <w:r>
        <w:rPr>
          <w:spacing w:val="-8"/>
        </w:rPr>
        <w:t xml:space="preserve"> </w:t>
      </w:r>
      <w:r>
        <w:t>\right)^2</w:t>
      </w:r>
      <w:r>
        <w:rPr>
          <w:spacing w:val="-8"/>
        </w:rPr>
        <w:t xml:space="preserve"> </w:t>
      </w:r>
      <w:r>
        <w:t>+</w:t>
      </w:r>
      <w:r>
        <w:rPr>
          <w:spacing w:val="-12"/>
        </w:rPr>
        <w:t xml:space="preserve"> </w:t>
      </w:r>
      <w:r>
        <w:t>W_r^2</w:t>
      </w:r>
      <w:r>
        <w:rPr>
          <w:spacing w:val="-8"/>
        </w:rPr>
        <w:t xml:space="preserve"> </w:t>
      </w:r>
      <w:r>
        <w:t>\left(</w:t>
      </w:r>
      <w:r>
        <w:rPr>
          <w:spacing w:val="-8"/>
        </w:rPr>
        <w:t xml:space="preserve"> </w:t>
      </w:r>
      <w:r>
        <w:t>\overline{y}_{r’}(J)-</w:t>
      </w:r>
      <w:r>
        <w:rPr>
          <w:spacing w:val="-8"/>
        </w:rPr>
        <w:t xml:space="preserve"> </w:t>
      </w:r>
      <w:r>
        <w:t>\overline{y}_r</w:t>
      </w:r>
      <w:r>
        <w:rPr>
          <w:spacing w:val="-8"/>
        </w:rPr>
        <w:t xml:space="preserve"> </w:t>
      </w:r>
      <w:r>
        <w:t>\right)^2</w:t>
      </w:r>
      <w:r>
        <w:rPr>
          <w:spacing w:val="-8"/>
        </w:rPr>
        <w:t xml:space="preserve"> </w:t>
      </w:r>
      <w:r>
        <w:t>\right\}</w:t>
      </w:r>
      <w:r>
        <w:rPr>
          <w:spacing w:val="-8"/>
        </w:rPr>
        <w:t xml:space="preserve"> </w:t>
      </w:r>
      <w:r>
        <w:t>\\</w:t>
      </w:r>
      <w:r>
        <w:rPr>
          <w:spacing w:val="-8"/>
        </w:rPr>
        <w:t xml:space="preserve"> </w:t>
      </w:r>
      <w:r>
        <w:t>= W_r^2 \left( \frac {s^2_r}{2n_r} + \frac {s^2_r}{2n_r} \right) \\ = W_r^2 \frac {s^2_r}{n_r}, \end{aligned} \end{equation}</w:t>
      </w:r>
    </w:p>
    <w:p w:rsidR="003F5784" w14:paraId="3F2E793E" w14:textId="77777777">
      <w:pPr>
        <w:pStyle w:val="BodyText"/>
        <w:spacing w:before="203"/>
        <w:ind w:left="109"/>
      </w:pPr>
      <w:r>
        <w:t>as</w:t>
      </w:r>
      <w:r>
        <w:rPr>
          <w:spacing w:val="-5"/>
        </w:rPr>
        <w:t xml:space="preserve"> </w:t>
      </w:r>
      <w:r>
        <w:t>desired</w:t>
      </w:r>
      <w:r>
        <w:rPr>
          <w:spacing w:val="-5"/>
        </w:rPr>
        <w:t xml:space="preserve"> </w:t>
      </w:r>
      <w:r>
        <w:rPr>
          <w:spacing w:val="-2"/>
        </w:rPr>
        <w:t>again.</w:t>
      </w:r>
    </w:p>
    <w:p w:rsidR="003F5784" w14:paraId="74EE214D" w14:textId="77777777">
      <w:pPr>
        <w:pStyle w:val="BodyText"/>
      </w:pPr>
    </w:p>
    <w:p w:rsidR="003F5784" w14:paraId="6E8088BF" w14:textId="77777777">
      <w:pPr>
        <w:pStyle w:val="BodyText"/>
      </w:pPr>
    </w:p>
    <w:p w:rsidR="003F5784" w14:paraId="540AF84E" w14:textId="77777777">
      <w:pPr>
        <w:pStyle w:val="BodyText"/>
      </w:pPr>
    </w:p>
    <w:p w:rsidR="003F5784" w14:paraId="43E497FC" w14:textId="77777777">
      <w:pPr>
        <w:pStyle w:val="BodyText"/>
        <w:spacing w:before="137"/>
      </w:pPr>
    </w:p>
    <w:p w:rsidR="003F5784" w14:paraId="33A77B9C" w14:textId="77777777">
      <w:pPr>
        <w:ind w:left="5834"/>
        <w:rPr>
          <w:sz w:val="18"/>
        </w:rPr>
      </w:pPr>
      <w:hyperlink r:id="rId532">
        <w:r>
          <w:rPr>
            <w:spacing w:val="-2"/>
            <w:w w:val="105"/>
            <w:sz w:val="18"/>
          </w:rPr>
          <w:t>http://nces.ed.gov/nationsreportcard/tdw/weighting/2022/replicate_variance_estimation_for_the_2022_assessment.aspx</w:t>
        </w:r>
      </w:hyperlink>
    </w:p>
    <w:p w:rsidR="003F5784" w14:paraId="3B3DDA14" w14:textId="77777777">
      <w:pPr>
        <w:rPr>
          <w:sz w:val="18"/>
        </w:rPr>
        <w:sectPr>
          <w:pgSz w:w="15840" w:h="12240" w:orient="landscape"/>
          <w:pgMar w:top="480" w:right="440" w:bottom="460" w:left="460" w:header="284" w:footer="275" w:gutter="0"/>
          <w:cols w:space="720"/>
        </w:sectPr>
      </w:pPr>
    </w:p>
    <w:p w:rsidR="003F5784" w14:paraId="4EE3F2E7" w14:textId="77777777">
      <w:pPr>
        <w:pStyle w:val="BodyText"/>
        <w:spacing w:before="5"/>
        <w:rPr>
          <w:sz w:val="7"/>
        </w:rPr>
      </w:pPr>
    </w:p>
    <w:p w:rsidR="003F5784" w14:paraId="19EA6641" w14:textId="77777777">
      <w:pPr>
        <w:pStyle w:val="BodyText"/>
        <w:spacing w:line="20" w:lineRule="exact"/>
        <w:ind w:left="110"/>
        <w:rPr>
          <w:sz w:val="2"/>
        </w:rPr>
      </w:pPr>
      <w:r>
        <w:rPr>
          <w:noProof/>
          <w:sz w:val="2"/>
        </w:rPr>
        <mc:AlternateContent>
          <mc:Choice Requires="wpg">
            <w:drawing>
              <wp:inline distT="0" distB="0" distL="0" distR="0">
                <wp:extent cx="9339580" cy="8890"/>
                <wp:effectExtent l="0" t="0" r="0" b="0"/>
                <wp:docPr id="665" name="Group 665"/>
                <wp:cNvGraphicFramePr/>
                <a:graphic xmlns:a="http://schemas.openxmlformats.org/drawingml/2006/main">
                  <a:graphicData uri="http://schemas.microsoft.com/office/word/2010/wordprocessingGroup">
                    <wpg:wgp xmlns:wpg="http://schemas.microsoft.com/office/word/2010/wordprocessingGroup">
                      <wpg:cNvGrpSpPr/>
                      <wpg:grpSpPr>
                        <a:xfrm>
                          <a:off x="0" y="0"/>
                          <a:ext cx="9339580" cy="8890"/>
                          <a:chOff x="0" y="0"/>
                          <a:chExt cx="9339580" cy="8890"/>
                        </a:xfrm>
                      </wpg:grpSpPr>
                      <wps:wsp xmlns:wps="http://schemas.microsoft.com/office/word/2010/wordprocessingShape">
                        <wps:cNvPr id="666" name="Graphic 666"/>
                        <wps:cNvSpPr/>
                        <wps:spPr>
                          <a:xfrm>
                            <a:off x="-12" y="-69"/>
                            <a:ext cx="9339580" cy="8890"/>
                          </a:xfrm>
                          <a:custGeom>
                            <a:avLst/>
                            <a:gdLst/>
                            <a:rect l="l" t="t" r="r" b="b"/>
                            <a:pathLst>
                              <a:path fill="norm" h="8890" w="9339580" stroke="1">
                                <a:moveTo>
                                  <a:pt x="9338970" y="25"/>
                                </a:moveTo>
                                <a:lnTo>
                                  <a:pt x="9335110" y="0"/>
                                </a:lnTo>
                                <a:lnTo>
                                  <a:pt x="0" y="0"/>
                                </a:lnTo>
                                <a:lnTo>
                                  <a:pt x="0" y="8318"/>
                                </a:lnTo>
                                <a:lnTo>
                                  <a:pt x="8280" y="8331"/>
                                </a:lnTo>
                                <a:lnTo>
                                  <a:pt x="9335110" y="8318"/>
                                </a:lnTo>
                                <a:lnTo>
                                  <a:pt x="9338970" y="8318"/>
                                </a:lnTo>
                                <a:lnTo>
                                  <a:pt x="9338970" y="50"/>
                                </a:lnTo>
                                <a:close/>
                              </a:path>
                            </a:pathLst>
                          </a:custGeom>
                          <a:solidFill>
                            <a:srgbClr val="808080"/>
                          </a:solidFill>
                        </wps:spPr>
                        <wps:bodyPr wrap="square" lIns="0" tIns="0" rIns="0" bIns="0" rtlCol="0">
                          <a:prstTxWarp prst="textNoShape">
                            <a:avLst/>
                          </a:prstTxWarp>
                        </wps:bodyPr>
                      </wps:wsp>
                    </wpg:wgp>
                  </a:graphicData>
                </a:graphic>
              </wp:inline>
            </w:drawing>
          </mc:Choice>
          <mc:Fallback>
            <w:pict>
              <v:group id="Group 665" o:spid="_x0000_i1214" style="width:735.4pt;height:0.7pt;mso-position-horizontal-relative:char;mso-position-vertical-relative:line" coordsize="93395,88">
                <v:shape id="Graphic 666" o:spid="_x0000_s1215" style="width:93395;height:88;mso-wrap-style:square;position:absolute;visibility:visible;v-text-anchor:top" coordsize="9339580,8890" path="m9338970,25l9335110,,,,,8318l8280,8331l9335110,8318l9338970,8318l9338970,50l9338970,25xe" fillcolor="gray" stroked="f">
                  <v:path arrowok="t"/>
                </v:shape>
                <w10:wrap type="none"/>
                <w10:anchorlock/>
              </v:group>
            </w:pict>
          </mc:Fallback>
        </mc:AlternateContent>
      </w:r>
    </w:p>
    <w:p w:rsidR="003F5784" w14:paraId="50619963" w14:textId="77777777">
      <w:pPr>
        <w:pStyle w:val="BodyText"/>
        <w:spacing w:before="129"/>
        <w:rPr>
          <w:sz w:val="41"/>
        </w:rPr>
      </w:pPr>
    </w:p>
    <w:p w:rsidR="003F5784" w14:paraId="4B4659A2" w14:textId="26B65583">
      <w:pPr>
        <w:pStyle w:val="Heading1"/>
      </w:pPr>
      <w:r>
        <w:t>NAEP</w:t>
      </w:r>
      <w:r>
        <w:rPr>
          <w:spacing w:val="-25"/>
        </w:rPr>
        <w:t xml:space="preserve"> </w:t>
      </w:r>
      <w:r>
        <w:t>Technical</w:t>
      </w:r>
      <w:r>
        <w:rPr>
          <w:spacing w:val="7"/>
        </w:rPr>
        <w:t xml:space="preserve"> </w:t>
      </w:r>
      <w:r>
        <w:t>Documentation</w:t>
      </w:r>
      <w:r w:rsidR="00C94150">
        <w:t xml:space="preserve"> </w:t>
      </w:r>
      <w:r>
        <w:t>Quality</w:t>
      </w:r>
      <w:r>
        <w:rPr>
          <w:spacing w:val="7"/>
        </w:rPr>
        <w:t xml:space="preserve"> </w:t>
      </w:r>
      <w:r>
        <w:t>Control</w:t>
      </w:r>
      <w:r>
        <w:rPr>
          <w:spacing w:val="7"/>
        </w:rPr>
        <w:t xml:space="preserve"> </w:t>
      </w:r>
      <w:r>
        <w:t>on</w:t>
      </w:r>
      <w:r>
        <w:rPr>
          <w:spacing w:val="-1"/>
        </w:rPr>
        <w:t xml:space="preserve"> </w:t>
      </w:r>
      <w:r>
        <w:t>Weighting</w:t>
      </w:r>
      <w:r>
        <w:rPr>
          <w:spacing w:val="7"/>
        </w:rPr>
        <w:t xml:space="preserve"> </w:t>
      </w:r>
      <w:r>
        <w:rPr>
          <w:spacing w:val="-2"/>
        </w:rPr>
        <w:t>Procedures</w:t>
      </w:r>
    </w:p>
    <w:p w:rsidR="003F5784" w14:paraId="64E9808E" w14:textId="77777777">
      <w:pPr>
        <w:pStyle w:val="BodyText"/>
        <w:spacing w:before="3"/>
        <w:rPr>
          <w:b/>
          <w:sz w:val="17"/>
        </w:rPr>
      </w:pPr>
    </w:p>
    <w:p w:rsidR="003F5784" w14:paraId="6CF5A638" w14:textId="77777777">
      <w:pPr>
        <w:rPr>
          <w:sz w:val="17"/>
        </w:rPr>
        <w:sectPr>
          <w:pgSz w:w="15840" w:h="12240" w:orient="landscape"/>
          <w:pgMar w:top="480" w:right="440" w:bottom="460" w:left="460" w:header="284" w:footer="275" w:gutter="0"/>
          <w:cols w:space="720"/>
        </w:sectPr>
      </w:pPr>
    </w:p>
    <w:p w:rsidR="003F5784" w14:paraId="26F69BFF" w14:textId="77777777">
      <w:pPr>
        <w:pStyle w:val="BodyText"/>
        <w:spacing w:before="96" w:line="232" w:lineRule="auto"/>
        <w:ind w:left="109"/>
      </w:pPr>
      <w:r>
        <w:t>Given</w:t>
      </w:r>
      <w:r>
        <w:rPr>
          <w:spacing w:val="-8"/>
        </w:rPr>
        <w:t xml:space="preserve"> </w:t>
      </w:r>
      <w:r>
        <w:t>the</w:t>
      </w:r>
      <w:r>
        <w:rPr>
          <w:spacing w:val="-8"/>
        </w:rPr>
        <w:t xml:space="preserve"> </w:t>
      </w:r>
      <w:r>
        <w:t>complexity</w:t>
      </w:r>
      <w:r>
        <w:rPr>
          <w:spacing w:val="-8"/>
        </w:rPr>
        <w:t xml:space="preserve"> </w:t>
      </w:r>
      <w:r>
        <w:t>of</w:t>
      </w:r>
      <w:r>
        <w:rPr>
          <w:spacing w:val="-8"/>
        </w:rPr>
        <w:t xml:space="preserve"> </w:t>
      </w:r>
      <w:r>
        <w:t>the</w:t>
      </w:r>
      <w:r>
        <w:rPr>
          <w:spacing w:val="-8"/>
        </w:rPr>
        <w:t xml:space="preserve"> </w:t>
      </w:r>
      <w:r>
        <w:t>weighting</w:t>
      </w:r>
      <w:r>
        <w:rPr>
          <w:spacing w:val="-8"/>
        </w:rPr>
        <w:t xml:space="preserve"> </w:t>
      </w:r>
      <w:r>
        <w:t>procedures</w:t>
      </w:r>
      <w:r>
        <w:rPr>
          <w:spacing w:val="-8"/>
        </w:rPr>
        <w:t xml:space="preserve"> </w:t>
      </w:r>
      <w:r>
        <w:t>utilized</w:t>
      </w:r>
      <w:r>
        <w:rPr>
          <w:spacing w:val="-8"/>
        </w:rPr>
        <w:t xml:space="preserve"> </w:t>
      </w:r>
      <w:r>
        <w:t>in</w:t>
      </w:r>
      <w:r>
        <w:rPr>
          <w:spacing w:val="-8"/>
        </w:rPr>
        <w:t xml:space="preserve"> </w:t>
      </w:r>
      <w:r>
        <w:t>NAEP,</w:t>
      </w:r>
      <w:r>
        <w:rPr>
          <w:spacing w:val="-8"/>
        </w:rPr>
        <w:t xml:space="preserve"> </w:t>
      </w:r>
      <w:r>
        <w:t>a</w:t>
      </w:r>
      <w:r>
        <w:rPr>
          <w:spacing w:val="-8"/>
        </w:rPr>
        <w:t xml:space="preserve"> </w:t>
      </w:r>
      <w:r>
        <w:t>range</w:t>
      </w:r>
      <w:r>
        <w:rPr>
          <w:spacing w:val="-8"/>
        </w:rPr>
        <w:t xml:space="preserve"> </w:t>
      </w:r>
      <w:r>
        <w:t>of</w:t>
      </w:r>
      <w:r>
        <w:rPr>
          <w:spacing w:val="-8"/>
        </w:rPr>
        <w:t xml:space="preserve"> </w:t>
      </w:r>
      <w:r>
        <w:t>quality</w:t>
      </w:r>
      <w:r>
        <w:rPr>
          <w:spacing w:val="-8"/>
        </w:rPr>
        <w:t xml:space="preserve"> </w:t>
      </w:r>
      <w:r>
        <w:t>control</w:t>
      </w:r>
      <w:r>
        <w:rPr>
          <w:spacing w:val="-8"/>
        </w:rPr>
        <w:t xml:space="preserve"> </w:t>
      </w:r>
      <w:r>
        <w:t>(QC)</w:t>
      </w:r>
      <w:r>
        <w:rPr>
          <w:spacing w:val="-8"/>
        </w:rPr>
        <w:t xml:space="preserve"> </w:t>
      </w:r>
      <w:r>
        <w:t>checks</w:t>
      </w:r>
      <w:r>
        <w:rPr>
          <w:spacing w:val="-8"/>
        </w:rPr>
        <w:t xml:space="preserve"> </w:t>
      </w:r>
      <w:r>
        <w:t>was</w:t>
      </w:r>
      <w:r>
        <w:rPr>
          <w:spacing w:val="-8"/>
        </w:rPr>
        <w:t xml:space="preserve"> </w:t>
      </w:r>
      <w:r>
        <w:t>conducted</w:t>
      </w:r>
      <w:r>
        <w:rPr>
          <w:spacing w:val="-8"/>
        </w:rPr>
        <w:t xml:space="preserve"> </w:t>
      </w:r>
      <w:r>
        <w:t>throughout the weighting process to identify potential problems with collected student-level demographic data or with specific weighting procedures. The QC processes included:</w:t>
      </w:r>
    </w:p>
    <w:p w:rsidR="003F5784" w14:paraId="5DCB3D9B" w14:textId="77777777">
      <w:pPr>
        <w:pStyle w:val="BodyText"/>
        <w:spacing w:before="204"/>
        <w:ind w:left="422"/>
      </w:pPr>
      <w:r>
        <w:rPr>
          <w:noProof/>
          <w:position w:val="3"/>
        </w:rPr>
        <w:drawing>
          <wp:inline distT="0" distB="0" distL="0" distR="0">
            <wp:extent cx="41379" cy="41378"/>
            <wp:effectExtent l="0" t="0" r="0" b="0"/>
            <wp:docPr id="667" name="Image 667"/>
            <wp:cNvGraphicFramePr/>
            <a:graphic xmlns:a="http://schemas.openxmlformats.org/drawingml/2006/main">
              <a:graphicData uri="http://schemas.openxmlformats.org/drawingml/2006/picture">
                <pic:pic xmlns:pic="http://schemas.openxmlformats.org/drawingml/2006/picture">
                  <pic:nvPicPr>
                    <pic:cNvPr id="667" name="Image 667"/>
                    <pic:cNvPicPr/>
                  </pic:nvPicPr>
                  <pic:blipFill>
                    <a:blip xmlns:r="http://schemas.openxmlformats.org/officeDocument/2006/relationships" r:embed="rId533" cstate="print"/>
                    <a:stretch>
                      <a:fillRect/>
                    </a:stretch>
                  </pic:blipFill>
                  <pic:spPr>
                    <a:xfrm>
                      <a:off x="0" y="0"/>
                      <a:ext cx="41379" cy="41378"/>
                    </a:xfrm>
                    <a:prstGeom prst="rect">
                      <a:avLst/>
                    </a:prstGeom>
                  </pic:spPr>
                </pic:pic>
              </a:graphicData>
            </a:graphic>
          </wp:inline>
        </w:drawing>
      </w:r>
      <w:r>
        <w:rPr>
          <w:spacing w:val="80"/>
          <w:sz w:val="20"/>
        </w:rPr>
        <w:t xml:space="preserve"> </w:t>
      </w:r>
      <w:r>
        <w:t>checks performed within each step of the weighting process;</w:t>
      </w:r>
    </w:p>
    <w:p w:rsidR="003F5784" w14:paraId="59075772" w14:textId="77777777">
      <w:pPr>
        <w:pStyle w:val="BodyText"/>
        <w:spacing w:before="201" w:line="439" w:lineRule="auto"/>
        <w:ind w:left="422" w:right="5308"/>
      </w:pPr>
      <w:r>
        <w:rPr>
          <w:noProof/>
          <w:position w:val="3"/>
        </w:rPr>
        <w:drawing>
          <wp:inline distT="0" distB="0" distL="0" distR="0">
            <wp:extent cx="41379" cy="41378"/>
            <wp:effectExtent l="0" t="0" r="0" b="0"/>
            <wp:docPr id="668" name="Image 668"/>
            <wp:cNvGraphicFramePr/>
            <a:graphic xmlns:a="http://schemas.openxmlformats.org/drawingml/2006/main">
              <a:graphicData uri="http://schemas.openxmlformats.org/drawingml/2006/picture">
                <pic:pic xmlns:pic="http://schemas.openxmlformats.org/drawingml/2006/picture">
                  <pic:nvPicPr>
                    <pic:cNvPr id="668" name="Image 668"/>
                    <pic:cNvPicPr/>
                  </pic:nvPicPr>
                  <pic:blipFill>
                    <a:blip xmlns:r="http://schemas.openxmlformats.org/officeDocument/2006/relationships" r:embed="rId534" cstate="print"/>
                    <a:stretch>
                      <a:fillRect/>
                    </a:stretch>
                  </pic:blipFill>
                  <pic:spPr>
                    <a:xfrm>
                      <a:off x="0" y="0"/>
                      <a:ext cx="41379" cy="41378"/>
                    </a:xfrm>
                    <a:prstGeom prst="rect">
                      <a:avLst/>
                    </a:prstGeom>
                  </pic:spPr>
                </pic:pic>
              </a:graphicData>
            </a:graphic>
          </wp:inline>
        </w:drawing>
      </w:r>
      <w:r>
        <w:rPr>
          <w:spacing w:val="75"/>
          <w:sz w:val="20"/>
        </w:rPr>
        <w:t xml:space="preserve"> </w:t>
      </w:r>
      <w:r>
        <w:t>checks</w:t>
      </w:r>
      <w:r>
        <w:rPr>
          <w:spacing w:val="-8"/>
        </w:rPr>
        <w:t xml:space="preserve"> </w:t>
      </w:r>
      <w:r>
        <w:t>performed</w:t>
      </w:r>
      <w:r>
        <w:rPr>
          <w:spacing w:val="-8"/>
        </w:rPr>
        <w:t xml:space="preserve"> </w:t>
      </w:r>
      <w:r>
        <w:t>across</w:t>
      </w:r>
      <w:r>
        <w:rPr>
          <w:spacing w:val="-8"/>
        </w:rPr>
        <w:t xml:space="preserve"> </w:t>
      </w:r>
      <w:r>
        <w:t>adjacent</w:t>
      </w:r>
      <w:r>
        <w:rPr>
          <w:spacing w:val="-8"/>
        </w:rPr>
        <w:t xml:space="preserve"> </w:t>
      </w:r>
      <w:r>
        <w:t>steps</w:t>
      </w:r>
      <w:r>
        <w:rPr>
          <w:spacing w:val="-8"/>
        </w:rPr>
        <w:t xml:space="preserve"> </w:t>
      </w:r>
      <w:r>
        <w:t>of</w:t>
      </w:r>
      <w:r>
        <w:rPr>
          <w:spacing w:val="-8"/>
        </w:rPr>
        <w:t xml:space="preserve"> </w:t>
      </w:r>
      <w:r>
        <w:t>the</w:t>
      </w:r>
      <w:r>
        <w:rPr>
          <w:spacing w:val="-8"/>
        </w:rPr>
        <w:t xml:space="preserve"> </w:t>
      </w:r>
      <w:r>
        <w:t>weighting</w:t>
      </w:r>
      <w:r>
        <w:rPr>
          <w:spacing w:val="-8"/>
        </w:rPr>
        <w:t xml:space="preserve"> </w:t>
      </w:r>
      <w:r>
        <w:t xml:space="preserve">process; </w:t>
      </w:r>
      <w:r>
        <w:rPr>
          <w:noProof/>
          <w:position w:val="3"/>
        </w:rPr>
        <w:drawing>
          <wp:inline distT="0" distB="0" distL="0" distR="0">
            <wp:extent cx="41379" cy="41378"/>
            <wp:effectExtent l="0" t="0" r="0" b="0"/>
            <wp:docPr id="669" name="Image 669"/>
            <wp:cNvGraphicFramePr/>
            <a:graphic xmlns:a="http://schemas.openxmlformats.org/drawingml/2006/main">
              <a:graphicData uri="http://schemas.openxmlformats.org/drawingml/2006/picture">
                <pic:pic xmlns:pic="http://schemas.openxmlformats.org/drawingml/2006/picture">
                  <pic:nvPicPr>
                    <pic:cNvPr id="669" name="Image 669"/>
                    <pic:cNvPicPr/>
                  </pic:nvPicPr>
                  <pic:blipFill>
                    <a:blip xmlns:r="http://schemas.openxmlformats.org/officeDocument/2006/relationships" r:embed="rId454" cstate="print"/>
                    <a:stretch>
                      <a:fillRect/>
                    </a:stretch>
                  </pic:blipFill>
                  <pic:spPr>
                    <a:xfrm>
                      <a:off x="0" y="0"/>
                      <a:ext cx="41379" cy="41378"/>
                    </a:xfrm>
                    <a:prstGeom prst="rect">
                      <a:avLst/>
                    </a:prstGeom>
                  </pic:spPr>
                </pic:pic>
              </a:graphicData>
            </a:graphic>
          </wp:inline>
        </w:drawing>
      </w:r>
      <w:r>
        <w:rPr>
          <w:spacing w:val="80"/>
        </w:rPr>
        <w:t xml:space="preserve"> </w:t>
      </w:r>
      <w:r>
        <w:t>review of participation, exclusion, and accommodation rates;</w:t>
      </w:r>
    </w:p>
    <w:p w:rsidR="003F5784" w14:paraId="09B29F16" w14:textId="77777777">
      <w:pPr>
        <w:pStyle w:val="BodyText"/>
        <w:spacing w:before="3"/>
        <w:ind w:left="422"/>
      </w:pPr>
      <w:r>
        <w:rPr>
          <w:noProof/>
          <w:position w:val="3"/>
        </w:rPr>
        <w:drawing>
          <wp:inline distT="0" distB="0" distL="0" distR="0">
            <wp:extent cx="41379" cy="41378"/>
            <wp:effectExtent l="0" t="0" r="0" b="0"/>
            <wp:docPr id="670" name="Image 670"/>
            <wp:cNvGraphicFramePr/>
            <a:graphic xmlns:a="http://schemas.openxmlformats.org/drawingml/2006/main">
              <a:graphicData uri="http://schemas.openxmlformats.org/drawingml/2006/picture">
                <pic:pic xmlns:pic="http://schemas.openxmlformats.org/drawingml/2006/picture">
                  <pic:nvPicPr>
                    <pic:cNvPr id="670" name="Image 670"/>
                    <pic:cNvPicPr/>
                  </pic:nvPicPr>
                  <pic:blipFill>
                    <a:blip xmlns:r="http://schemas.openxmlformats.org/officeDocument/2006/relationships" r:embed="rId535" cstate="print"/>
                    <a:stretch>
                      <a:fillRect/>
                    </a:stretch>
                  </pic:blipFill>
                  <pic:spPr>
                    <a:xfrm>
                      <a:off x="0" y="0"/>
                      <a:ext cx="41379" cy="41378"/>
                    </a:xfrm>
                    <a:prstGeom prst="rect">
                      <a:avLst/>
                    </a:prstGeom>
                  </pic:spPr>
                </pic:pic>
              </a:graphicData>
            </a:graphic>
          </wp:inline>
        </w:drawing>
      </w:r>
      <w:r>
        <w:rPr>
          <w:spacing w:val="80"/>
          <w:sz w:val="20"/>
        </w:rPr>
        <w:t xml:space="preserve"> </w:t>
      </w:r>
      <w:r>
        <w:t>checks of demographic data of individual schools and students;</w:t>
      </w:r>
    </w:p>
    <w:p w:rsidR="003F5784" w14:paraId="248DCD56" w14:textId="77777777">
      <w:pPr>
        <w:pStyle w:val="BodyText"/>
        <w:spacing w:before="201" w:line="439" w:lineRule="auto"/>
        <w:ind w:left="422" w:right="1401"/>
      </w:pPr>
      <w:r>
        <w:rPr>
          <w:noProof/>
          <w:position w:val="3"/>
        </w:rPr>
        <w:drawing>
          <wp:inline distT="0" distB="0" distL="0" distR="0">
            <wp:extent cx="41379" cy="41378"/>
            <wp:effectExtent l="0" t="0" r="0" b="0"/>
            <wp:docPr id="671" name="Image 671"/>
            <wp:cNvGraphicFramePr/>
            <a:graphic xmlns:a="http://schemas.openxmlformats.org/drawingml/2006/main">
              <a:graphicData uri="http://schemas.openxmlformats.org/drawingml/2006/picture">
                <pic:pic xmlns:pic="http://schemas.openxmlformats.org/drawingml/2006/picture">
                  <pic:nvPicPr>
                    <pic:cNvPr id="671" name="Image 671"/>
                    <pic:cNvPicPr/>
                  </pic:nvPicPr>
                  <pic:blipFill>
                    <a:blip xmlns:r="http://schemas.openxmlformats.org/officeDocument/2006/relationships" r:embed="rId536" cstate="print"/>
                    <a:stretch>
                      <a:fillRect/>
                    </a:stretch>
                  </pic:blipFill>
                  <pic:spPr>
                    <a:xfrm>
                      <a:off x="0" y="0"/>
                      <a:ext cx="41379" cy="41378"/>
                    </a:xfrm>
                    <a:prstGeom prst="rect">
                      <a:avLst/>
                    </a:prstGeom>
                  </pic:spPr>
                </pic:pic>
              </a:graphicData>
            </a:graphic>
          </wp:inline>
        </w:drawing>
      </w:r>
      <w:r>
        <w:rPr>
          <w:spacing w:val="77"/>
          <w:sz w:val="20"/>
        </w:rPr>
        <w:t xml:space="preserve"> </w:t>
      </w:r>
      <w:r>
        <w:t>comparisons</w:t>
      </w:r>
      <w:r>
        <w:rPr>
          <w:spacing w:val="-7"/>
        </w:rPr>
        <w:t xml:space="preserve"> </w:t>
      </w:r>
      <w:r>
        <w:t>with</w:t>
      </w:r>
      <w:r>
        <w:rPr>
          <w:spacing w:val="-7"/>
        </w:rPr>
        <w:t xml:space="preserve"> </w:t>
      </w:r>
      <w:r>
        <w:t>2019</w:t>
      </w:r>
      <w:r>
        <w:rPr>
          <w:spacing w:val="-7"/>
        </w:rPr>
        <w:t xml:space="preserve"> </w:t>
      </w:r>
      <w:r>
        <w:t>demographic</w:t>
      </w:r>
      <w:r>
        <w:rPr>
          <w:spacing w:val="-7"/>
        </w:rPr>
        <w:t xml:space="preserve"> </w:t>
      </w:r>
      <w:r>
        <w:t>data</w:t>
      </w:r>
      <w:r>
        <w:rPr>
          <w:spacing w:val="-7"/>
        </w:rPr>
        <w:t xml:space="preserve"> </w:t>
      </w:r>
      <w:r>
        <w:t>(or</w:t>
      </w:r>
      <w:r>
        <w:rPr>
          <w:spacing w:val="-7"/>
        </w:rPr>
        <w:t xml:space="preserve"> </w:t>
      </w:r>
      <w:r>
        <w:t>2020</w:t>
      </w:r>
      <w:r>
        <w:rPr>
          <w:spacing w:val="-7"/>
        </w:rPr>
        <w:t xml:space="preserve"> </w:t>
      </w:r>
      <w:r>
        <w:t>demographic</w:t>
      </w:r>
      <w:r>
        <w:rPr>
          <w:spacing w:val="-7"/>
        </w:rPr>
        <w:t xml:space="preserve"> </w:t>
      </w:r>
      <w:r>
        <w:t>data</w:t>
      </w:r>
      <w:r>
        <w:rPr>
          <w:spacing w:val="-7"/>
        </w:rPr>
        <w:t xml:space="preserve"> </w:t>
      </w:r>
      <w:r>
        <w:t>in</w:t>
      </w:r>
      <w:r>
        <w:rPr>
          <w:spacing w:val="-7"/>
        </w:rPr>
        <w:t xml:space="preserve"> </w:t>
      </w:r>
      <w:r>
        <w:t>the</w:t>
      </w:r>
      <w:r>
        <w:rPr>
          <w:spacing w:val="-7"/>
        </w:rPr>
        <w:t xml:space="preserve"> </w:t>
      </w:r>
      <w:r>
        <w:t>case</w:t>
      </w:r>
      <w:r>
        <w:rPr>
          <w:spacing w:val="-7"/>
        </w:rPr>
        <w:t xml:space="preserve"> </w:t>
      </w:r>
      <w:r>
        <w:t>of</w:t>
      </w:r>
      <w:r>
        <w:rPr>
          <w:spacing w:val="-7"/>
        </w:rPr>
        <w:t xml:space="preserve"> </w:t>
      </w:r>
      <w:r>
        <w:t>long-term</w:t>
      </w:r>
      <w:r>
        <w:rPr>
          <w:spacing w:val="-7"/>
        </w:rPr>
        <w:t xml:space="preserve"> </w:t>
      </w:r>
      <w:r>
        <w:t>trend</w:t>
      </w:r>
      <w:r>
        <w:rPr>
          <w:spacing w:val="-7"/>
        </w:rPr>
        <w:t xml:space="preserve"> </w:t>
      </w:r>
      <w:r>
        <w:t>[LTT]);</w:t>
      </w:r>
      <w:r>
        <w:rPr>
          <w:spacing w:val="-7"/>
        </w:rPr>
        <w:t xml:space="preserve"> </w:t>
      </w:r>
      <w:r>
        <w:t xml:space="preserve">and </w:t>
      </w:r>
      <w:r>
        <w:rPr>
          <w:noProof/>
          <w:position w:val="3"/>
        </w:rPr>
        <w:drawing>
          <wp:inline distT="0" distB="0" distL="0" distR="0">
            <wp:extent cx="41379" cy="41378"/>
            <wp:effectExtent l="0" t="0" r="0" b="0"/>
            <wp:docPr id="672" name="Image 672"/>
            <wp:cNvGraphicFramePr/>
            <a:graphic xmlns:a="http://schemas.openxmlformats.org/drawingml/2006/main">
              <a:graphicData uri="http://schemas.openxmlformats.org/drawingml/2006/picture">
                <pic:pic xmlns:pic="http://schemas.openxmlformats.org/drawingml/2006/picture">
                  <pic:nvPicPr>
                    <pic:cNvPr id="672" name="Image 672"/>
                    <pic:cNvPicPr/>
                  </pic:nvPicPr>
                  <pic:blipFill>
                    <a:blip xmlns:r="http://schemas.openxmlformats.org/officeDocument/2006/relationships" r:embed="rId537" cstate="print"/>
                    <a:stretch>
                      <a:fillRect/>
                    </a:stretch>
                  </pic:blipFill>
                  <pic:spPr>
                    <a:xfrm>
                      <a:off x="0" y="0"/>
                      <a:ext cx="41379" cy="41378"/>
                    </a:xfrm>
                    <a:prstGeom prst="rect">
                      <a:avLst/>
                    </a:prstGeom>
                  </pic:spPr>
                </pic:pic>
              </a:graphicData>
            </a:graphic>
          </wp:inline>
        </w:drawing>
      </w:r>
      <w:r>
        <w:rPr>
          <w:spacing w:val="80"/>
        </w:rPr>
        <w:t xml:space="preserve"> </w:t>
      </w:r>
      <w:r>
        <w:t>nonresponse bias analyses.</w:t>
      </w:r>
    </w:p>
    <w:p w:rsidR="003F5784" w14:paraId="6F0B1483" w14:textId="77777777">
      <w:pPr>
        <w:pStyle w:val="BodyText"/>
        <w:spacing w:before="122" w:line="232" w:lineRule="auto"/>
        <w:ind w:left="109"/>
      </w:pPr>
      <w:r>
        <w:br w:type="column"/>
        <w:t>Final</w:t>
      </w:r>
      <w:r>
        <w:rPr>
          <w:spacing w:val="-14"/>
        </w:rPr>
        <w:t xml:space="preserve"> </w:t>
      </w:r>
      <w:r>
        <w:t>Participation,</w:t>
      </w:r>
      <w:r>
        <w:rPr>
          <w:spacing w:val="-13"/>
        </w:rPr>
        <w:t xml:space="preserve"> </w:t>
      </w:r>
      <w:r>
        <w:t>Exclusion,</w:t>
      </w:r>
      <w:r>
        <w:rPr>
          <w:spacing w:val="-13"/>
        </w:rPr>
        <w:t xml:space="preserve"> </w:t>
      </w:r>
      <w:r>
        <w:t>and Accommodation Rates</w:t>
      </w:r>
    </w:p>
    <w:p w:rsidR="003F5784" w14:paraId="171ECF3E" w14:textId="77777777">
      <w:pPr>
        <w:pStyle w:val="BodyText"/>
        <w:spacing w:before="204"/>
        <w:ind w:left="109"/>
      </w:pPr>
      <w:r>
        <w:rPr>
          <w:spacing w:val="-2"/>
        </w:rPr>
        <w:t>Nonresponse</w:t>
      </w:r>
      <w:r>
        <w:rPr>
          <w:spacing w:val="7"/>
        </w:rPr>
        <w:t xml:space="preserve"> </w:t>
      </w:r>
      <w:r>
        <w:rPr>
          <w:spacing w:val="-2"/>
        </w:rPr>
        <w:t>Bias</w:t>
      </w:r>
      <w:r>
        <w:rPr>
          <w:spacing w:val="-5"/>
        </w:rPr>
        <w:t xml:space="preserve"> </w:t>
      </w:r>
      <w:r>
        <w:rPr>
          <w:spacing w:val="-2"/>
        </w:rPr>
        <w:t>Analyses</w:t>
      </w:r>
    </w:p>
    <w:p w:rsidR="003F5784" w14:paraId="1401357F" w14:textId="77777777">
      <w:pPr>
        <w:sectPr>
          <w:type w:val="continuous"/>
          <w:pgSz w:w="15840" w:h="12240" w:orient="landscape"/>
          <w:pgMar w:top="480" w:right="440" w:bottom="460" w:left="460" w:header="284" w:footer="275" w:gutter="0"/>
          <w:cols w:num="2" w:space="720" w:equalWidth="0">
            <w:col w:w="11373" w:space="214"/>
            <w:col w:w="3353"/>
          </w:cols>
        </w:sectPr>
      </w:pPr>
    </w:p>
    <w:p w:rsidR="003F5784" w14:paraId="0D6E16EA" w14:textId="155AC159">
      <w:pPr>
        <w:pStyle w:val="BodyText"/>
        <w:spacing w:before="9" w:line="232" w:lineRule="auto"/>
        <w:ind w:left="109"/>
      </w:pPr>
      <w:r>
        <w:t>To validate the weighting process, extensive tabulations of various school and student characteristics at different stages of the process were conducted.</w:t>
      </w:r>
      <w:r>
        <w:rPr>
          <w:spacing w:val="-3"/>
        </w:rPr>
        <w:t xml:space="preserve"> </w:t>
      </w:r>
      <w:r>
        <w:t>The school-level characteristics</w:t>
      </w:r>
      <w:r>
        <w:rPr>
          <w:spacing w:val="-9"/>
        </w:rPr>
        <w:t xml:space="preserve"> </w:t>
      </w:r>
      <w:r>
        <w:t>included</w:t>
      </w:r>
      <w:r>
        <w:rPr>
          <w:spacing w:val="-6"/>
        </w:rPr>
        <w:t xml:space="preserve"> </w:t>
      </w:r>
      <w:r>
        <w:t>in</w:t>
      </w:r>
      <w:r>
        <w:rPr>
          <w:spacing w:val="-6"/>
        </w:rPr>
        <w:t xml:space="preserve"> </w:t>
      </w:r>
      <w:r>
        <w:t>the</w:t>
      </w:r>
      <w:r>
        <w:rPr>
          <w:spacing w:val="-6"/>
        </w:rPr>
        <w:t xml:space="preserve"> </w:t>
      </w:r>
      <w:r>
        <w:t>tabulations</w:t>
      </w:r>
      <w:r>
        <w:rPr>
          <w:spacing w:val="-6"/>
        </w:rPr>
        <w:t xml:space="preserve"> </w:t>
      </w:r>
      <w:r>
        <w:t>were</w:t>
      </w:r>
      <w:r>
        <w:rPr>
          <w:spacing w:val="-6"/>
        </w:rPr>
        <w:t xml:space="preserve"> </w:t>
      </w:r>
      <w:r>
        <w:t>racial/ethnic</w:t>
      </w:r>
      <w:r>
        <w:rPr>
          <w:spacing w:val="-6"/>
        </w:rPr>
        <w:t xml:space="preserve"> </w:t>
      </w:r>
      <w:r>
        <w:t>enrollment,</w:t>
      </w:r>
      <w:r>
        <w:rPr>
          <w:spacing w:val="-6"/>
        </w:rPr>
        <w:t xml:space="preserve"> </w:t>
      </w:r>
      <w:r>
        <w:t>median</w:t>
      </w:r>
      <w:r>
        <w:rPr>
          <w:spacing w:val="-6"/>
        </w:rPr>
        <w:t xml:space="preserve"> </w:t>
      </w:r>
      <w:r>
        <w:t>income</w:t>
      </w:r>
      <w:r>
        <w:rPr>
          <w:spacing w:val="-6"/>
        </w:rPr>
        <w:t xml:space="preserve"> </w:t>
      </w:r>
      <w:r>
        <w:t>(based</w:t>
      </w:r>
      <w:r>
        <w:rPr>
          <w:spacing w:val="-6"/>
        </w:rPr>
        <w:t xml:space="preserve"> </w:t>
      </w:r>
      <w:r>
        <w:t>on</w:t>
      </w:r>
      <w:r>
        <w:rPr>
          <w:spacing w:val="-6"/>
        </w:rPr>
        <w:t xml:space="preserve"> </w:t>
      </w:r>
      <w:r>
        <w:t>the</w:t>
      </w:r>
      <w:r>
        <w:rPr>
          <w:spacing w:val="-6"/>
        </w:rPr>
        <w:t xml:space="preserve"> </w:t>
      </w:r>
      <w:r>
        <w:t>school</w:t>
      </w:r>
      <w:r>
        <w:rPr>
          <w:spacing w:val="-6"/>
        </w:rPr>
        <w:t xml:space="preserve"> </w:t>
      </w:r>
      <w:r>
        <w:t>ZIP</w:t>
      </w:r>
      <w:r>
        <w:rPr>
          <w:spacing w:val="-14"/>
        </w:rPr>
        <w:t xml:space="preserve"> </w:t>
      </w:r>
      <w:r>
        <w:t>code</w:t>
      </w:r>
      <w:r>
        <w:rPr>
          <w:spacing w:val="-6"/>
        </w:rPr>
        <w:t xml:space="preserve"> </w:t>
      </w:r>
      <w:r>
        <w:t>area),</w:t>
      </w:r>
      <w:r>
        <w:rPr>
          <w:spacing w:val="-6"/>
        </w:rPr>
        <w:t xml:space="preserve"> </w:t>
      </w:r>
      <w:r>
        <w:t>and</w:t>
      </w:r>
      <w:r>
        <w:rPr>
          <w:spacing w:val="-6"/>
        </w:rPr>
        <w:t xml:space="preserve"> </w:t>
      </w:r>
      <w:r>
        <w:t>urban-centric</w:t>
      </w:r>
      <w:r>
        <w:rPr>
          <w:spacing w:val="-6"/>
        </w:rPr>
        <w:t xml:space="preserve"> </w:t>
      </w:r>
      <w:r>
        <w:t>locale.</w:t>
      </w:r>
      <w:r>
        <w:rPr>
          <w:spacing w:val="-14"/>
        </w:rPr>
        <w:t xml:space="preserve"> </w:t>
      </w:r>
      <w:r>
        <w:t>At</w:t>
      </w:r>
      <w:r>
        <w:rPr>
          <w:spacing w:val="-6"/>
        </w:rPr>
        <w:t xml:space="preserve"> </w:t>
      </w:r>
      <w:r>
        <w:t>the</w:t>
      </w:r>
      <w:r>
        <w:rPr>
          <w:spacing w:val="-6"/>
        </w:rPr>
        <w:t xml:space="preserve"> </w:t>
      </w:r>
      <w:r>
        <w:t>student</w:t>
      </w:r>
      <w:r>
        <w:rPr>
          <w:spacing w:val="-6"/>
        </w:rPr>
        <w:t xml:space="preserve"> </w:t>
      </w:r>
      <w:r>
        <w:t>level,</w:t>
      </w:r>
      <w:r>
        <w:rPr>
          <w:spacing w:val="-6"/>
        </w:rPr>
        <w:t xml:space="preserve"> </w:t>
      </w:r>
      <w:r>
        <w:t>the tabulations</w:t>
      </w:r>
      <w:r>
        <w:rPr>
          <w:spacing w:val="-4"/>
        </w:rPr>
        <w:t xml:space="preserve"> </w:t>
      </w:r>
      <w:r>
        <w:t>included</w:t>
      </w:r>
      <w:r>
        <w:rPr>
          <w:spacing w:val="-4"/>
        </w:rPr>
        <w:t xml:space="preserve"> </w:t>
      </w:r>
      <w:r>
        <w:t>race/ethnicity,</w:t>
      </w:r>
      <w:r>
        <w:rPr>
          <w:spacing w:val="-4"/>
        </w:rPr>
        <w:t xml:space="preserve"> </w:t>
      </w:r>
      <w:r w:rsidR="00B4162D">
        <w:t>sex</w:t>
      </w:r>
      <w:r>
        <w:t>,</w:t>
      </w:r>
      <w:r>
        <w:rPr>
          <w:spacing w:val="-4"/>
        </w:rPr>
        <w:t xml:space="preserve"> </w:t>
      </w:r>
      <w:r>
        <w:t>relative</w:t>
      </w:r>
      <w:r>
        <w:rPr>
          <w:spacing w:val="-4"/>
        </w:rPr>
        <w:t xml:space="preserve"> </w:t>
      </w:r>
      <w:r>
        <w:t>age,</w:t>
      </w:r>
      <w:r>
        <w:rPr>
          <w:spacing w:val="-4"/>
        </w:rPr>
        <w:t xml:space="preserve"> </w:t>
      </w:r>
      <w:r>
        <w:t>student</w:t>
      </w:r>
      <w:r>
        <w:rPr>
          <w:spacing w:val="-4"/>
        </w:rPr>
        <w:t xml:space="preserve"> </w:t>
      </w:r>
      <w:r>
        <w:t>disability</w:t>
      </w:r>
      <w:r>
        <w:rPr>
          <w:spacing w:val="-4"/>
        </w:rPr>
        <w:t xml:space="preserve"> </w:t>
      </w:r>
      <w:r>
        <w:t>(SD)</w:t>
      </w:r>
      <w:r>
        <w:rPr>
          <w:spacing w:val="-4"/>
        </w:rPr>
        <w:t xml:space="preserve"> </w:t>
      </w:r>
      <w:r>
        <w:t>status,</w:t>
      </w:r>
      <w:r>
        <w:rPr>
          <w:spacing w:val="-4"/>
        </w:rPr>
        <w:t xml:space="preserve"> </w:t>
      </w:r>
      <w:r>
        <w:t>English</w:t>
      </w:r>
      <w:r>
        <w:rPr>
          <w:spacing w:val="-4"/>
        </w:rPr>
        <w:t xml:space="preserve"> </w:t>
      </w:r>
      <w:r>
        <w:t>learner</w:t>
      </w:r>
      <w:r>
        <w:rPr>
          <w:spacing w:val="-4"/>
        </w:rPr>
        <w:t xml:space="preserve"> </w:t>
      </w:r>
      <w:r>
        <w:t>(EL)</w:t>
      </w:r>
      <w:r>
        <w:rPr>
          <w:spacing w:val="-4"/>
        </w:rPr>
        <w:t xml:space="preserve"> </w:t>
      </w:r>
      <w:r>
        <w:t>status,</w:t>
      </w:r>
      <w:r>
        <w:rPr>
          <w:spacing w:val="-4"/>
        </w:rPr>
        <w:t xml:space="preserve"> </w:t>
      </w:r>
      <w:r>
        <w:t>and</w:t>
      </w:r>
      <w:r>
        <w:rPr>
          <w:spacing w:val="-4"/>
        </w:rPr>
        <w:t xml:space="preserve"> </w:t>
      </w:r>
      <w:r>
        <w:t>participation</w:t>
      </w:r>
      <w:r>
        <w:rPr>
          <w:spacing w:val="-4"/>
        </w:rPr>
        <w:t xml:space="preserve"> </w:t>
      </w:r>
      <w:r>
        <w:t>status</w:t>
      </w:r>
      <w:r>
        <w:rPr>
          <w:spacing w:val="-4"/>
        </w:rPr>
        <w:t xml:space="preserve"> </w:t>
      </w:r>
      <w:r>
        <w:t>in</w:t>
      </w:r>
      <w:r>
        <w:rPr>
          <w:spacing w:val="-4"/>
        </w:rPr>
        <w:t xml:space="preserve"> </w:t>
      </w:r>
      <w:r>
        <w:t>National</w:t>
      </w:r>
      <w:r>
        <w:rPr>
          <w:spacing w:val="-4"/>
        </w:rPr>
        <w:t xml:space="preserve"> </w:t>
      </w:r>
      <w:r>
        <w:t>School</w:t>
      </w:r>
      <w:r>
        <w:rPr>
          <w:spacing w:val="-4"/>
        </w:rPr>
        <w:t xml:space="preserve"> </w:t>
      </w:r>
      <w:r>
        <w:t>Lunch</w:t>
      </w:r>
      <w:r>
        <w:rPr>
          <w:spacing w:val="-4"/>
        </w:rPr>
        <w:t xml:space="preserve"> </w:t>
      </w:r>
      <w:r>
        <w:t xml:space="preserve">Program </w:t>
      </w:r>
      <w:r>
        <w:rPr>
          <w:spacing w:val="-2"/>
        </w:rPr>
        <w:t>(NSLP).</w:t>
      </w:r>
    </w:p>
    <w:p w:rsidR="003F5784" w14:paraId="5371D750" w14:textId="77777777">
      <w:pPr>
        <w:pStyle w:val="BodyText"/>
      </w:pPr>
    </w:p>
    <w:p w:rsidR="003F5784" w14:paraId="515DFCC4" w14:textId="77777777">
      <w:pPr>
        <w:pStyle w:val="BodyText"/>
      </w:pPr>
    </w:p>
    <w:p w:rsidR="003F5784" w14:paraId="1DB6C9D7" w14:textId="77777777">
      <w:pPr>
        <w:pStyle w:val="BodyText"/>
        <w:spacing w:before="146"/>
      </w:pPr>
    </w:p>
    <w:p w:rsidR="003F5784" w14:paraId="086A0065" w14:textId="77777777">
      <w:pPr>
        <w:ind w:left="4895"/>
        <w:rPr>
          <w:sz w:val="18"/>
        </w:rPr>
      </w:pPr>
      <w:hyperlink r:id="rId538">
        <w:r>
          <w:rPr>
            <w:spacing w:val="-2"/>
            <w:w w:val="105"/>
            <w:sz w:val="18"/>
          </w:rPr>
          <w:t>http://nces.ed.gov/nationsreportcard/tdw/weighting/2022/quality_control_on_weighting_procedures_for_the_2022_assessment.aspx</w:t>
        </w:r>
      </w:hyperlink>
    </w:p>
    <w:p w:rsidR="003F5784" w14:paraId="659DDA83" w14:textId="77777777">
      <w:pPr>
        <w:pStyle w:val="BodyText"/>
        <w:spacing w:before="1"/>
        <w:rPr>
          <w:sz w:val="16"/>
        </w:rPr>
      </w:pPr>
      <w:r>
        <w:rPr>
          <w:noProof/>
        </w:rPr>
        <mc:AlternateContent>
          <mc:Choice Requires="wps">
            <w:drawing>
              <wp:anchor distT="0" distB="0" distL="0" distR="0" simplePos="0" relativeHeight="252029952" behindDoc="1" locked="0" layoutInCell="1" allowOverlap="1">
                <wp:simplePos x="0" y="0"/>
                <wp:positionH relativeFrom="page">
                  <wp:posOffset>361937</wp:posOffset>
                </wp:positionH>
                <wp:positionV relativeFrom="paragraph">
                  <wp:posOffset>132684</wp:posOffset>
                </wp:positionV>
                <wp:extent cx="9339580" cy="8890"/>
                <wp:effectExtent l="0" t="0" r="0" b="0"/>
                <wp:wrapTopAndBottom/>
                <wp:docPr id="673" name="Graphic 673"/>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673" o:spid="_x0000_s1216" style="width:735.4pt;height:0.7pt;margin-top:10.45pt;margin-left:28.5pt;mso-position-horizontal-relative:page;mso-wrap-distance-bottom:0;mso-wrap-distance-left:0;mso-wrap-distance-right:0;mso-wrap-distance-top:0;mso-wrap-style:square;position:absolute;visibility:visible;v-text-anchor:top;z-index:-251285504" coordsize="9339580,8890" path="m9338970,l9335110,l,,,8280l8280,8280l9335110,8280l9338970,8280l9338970,xe" fillcolor="gray" stroked="f">
                <v:path arrowok="t"/>
                <w10:wrap type="topAndBottom"/>
              </v:shape>
            </w:pict>
          </mc:Fallback>
        </mc:AlternateContent>
      </w:r>
    </w:p>
    <w:p w:rsidR="003F5784" w14:paraId="73D4B9CA" w14:textId="77777777">
      <w:pPr>
        <w:pStyle w:val="BodyText"/>
        <w:rPr>
          <w:sz w:val="18"/>
        </w:rPr>
      </w:pPr>
    </w:p>
    <w:p w:rsidR="003F5784" w14:paraId="42E8714B" w14:textId="77777777">
      <w:pPr>
        <w:pStyle w:val="BodyText"/>
        <w:spacing w:before="193"/>
        <w:rPr>
          <w:sz w:val="18"/>
        </w:rPr>
      </w:pPr>
    </w:p>
    <w:p w:rsidR="003F5784" w14:paraId="6A4F2E46" w14:textId="7CA9BBC5">
      <w:pPr>
        <w:pStyle w:val="Heading1"/>
        <w:spacing w:line="244" w:lineRule="auto"/>
        <w:ind w:right="1264"/>
      </w:pPr>
      <w:r>
        <w:t>NAEP</w:t>
      </w:r>
      <w:r>
        <w:rPr>
          <w:spacing w:val="-11"/>
        </w:rPr>
        <w:t xml:space="preserve"> </w:t>
      </w:r>
      <w:r>
        <w:t>Technical Documentation</w:t>
      </w:r>
      <w:r w:rsidR="00C94150">
        <w:t xml:space="preserve"> </w:t>
      </w:r>
      <w:r>
        <w:t>Final Participation, Exclusion, and Accommodation Rates</w:t>
      </w:r>
    </w:p>
    <w:p w:rsidR="003F5784" w14:paraId="7AAF2013" w14:textId="77777777">
      <w:pPr>
        <w:pStyle w:val="BodyText"/>
        <w:spacing w:before="7"/>
        <w:rPr>
          <w:b/>
          <w:sz w:val="16"/>
        </w:rPr>
      </w:pPr>
    </w:p>
    <w:p w:rsidR="003F5784" w14:paraId="2B6E6147" w14:textId="77777777">
      <w:pPr>
        <w:rPr>
          <w:sz w:val="16"/>
        </w:rPr>
        <w:sectPr>
          <w:type w:val="continuous"/>
          <w:pgSz w:w="15840" w:h="12240" w:orient="landscape"/>
          <w:pgMar w:top="480" w:right="440" w:bottom="460" w:left="460" w:header="284" w:footer="275" w:gutter="0"/>
          <w:cols w:space="720"/>
        </w:sectPr>
      </w:pPr>
    </w:p>
    <w:p w:rsidR="003F5784" w14:paraId="4496BBAE" w14:textId="77777777">
      <w:pPr>
        <w:pStyle w:val="BodyText"/>
        <w:spacing w:before="96" w:line="232" w:lineRule="auto"/>
        <w:ind w:left="109" w:right="38"/>
        <w:jc w:val="both"/>
      </w:pPr>
      <w:r>
        <w:t>Final</w:t>
      </w:r>
      <w:r>
        <w:rPr>
          <w:spacing w:val="-7"/>
        </w:rPr>
        <w:t xml:space="preserve"> </w:t>
      </w:r>
      <w:r>
        <w:t>participation,</w:t>
      </w:r>
      <w:r>
        <w:rPr>
          <w:spacing w:val="-7"/>
        </w:rPr>
        <w:t xml:space="preserve"> </w:t>
      </w:r>
      <w:r>
        <w:t>exclusion,</w:t>
      </w:r>
      <w:r>
        <w:rPr>
          <w:spacing w:val="-7"/>
        </w:rPr>
        <w:t xml:space="preserve"> </w:t>
      </w:r>
      <w:r>
        <w:t>and</w:t>
      </w:r>
      <w:r>
        <w:rPr>
          <w:spacing w:val="-7"/>
        </w:rPr>
        <w:t xml:space="preserve"> </w:t>
      </w:r>
      <w:r>
        <w:t>accommodation</w:t>
      </w:r>
      <w:r>
        <w:rPr>
          <w:spacing w:val="-7"/>
        </w:rPr>
        <w:t xml:space="preserve"> </w:t>
      </w:r>
      <w:r>
        <w:t>rates</w:t>
      </w:r>
      <w:r>
        <w:rPr>
          <w:spacing w:val="-7"/>
        </w:rPr>
        <w:t xml:space="preserve"> </w:t>
      </w:r>
      <w:r>
        <w:t>are</w:t>
      </w:r>
      <w:r>
        <w:rPr>
          <w:spacing w:val="-7"/>
        </w:rPr>
        <w:t xml:space="preserve"> </w:t>
      </w:r>
      <w:r>
        <w:t>presented</w:t>
      </w:r>
      <w:r>
        <w:rPr>
          <w:spacing w:val="-7"/>
        </w:rPr>
        <w:t xml:space="preserve"> </w:t>
      </w:r>
      <w:r>
        <w:t>in</w:t>
      </w:r>
      <w:r>
        <w:rPr>
          <w:spacing w:val="-7"/>
        </w:rPr>
        <w:t xml:space="preserve"> </w:t>
      </w:r>
      <w:r>
        <w:t>quality</w:t>
      </w:r>
      <w:r>
        <w:rPr>
          <w:spacing w:val="-7"/>
        </w:rPr>
        <w:t xml:space="preserve"> </w:t>
      </w:r>
      <w:r>
        <w:t>control</w:t>
      </w:r>
      <w:r>
        <w:rPr>
          <w:spacing w:val="-7"/>
        </w:rPr>
        <w:t xml:space="preserve"> </w:t>
      </w:r>
      <w:r>
        <w:t>tables</w:t>
      </w:r>
      <w:r>
        <w:rPr>
          <w:spacing w:val="-7"/>
        </w:rPr>
        <w:t xml:space="preserve"> </w:t>
      </w:r>
      <w:r>
        <w:t>for</w:t>
      </w:r>
      <w:r>
        <w:rPr>
          <w:spacing w:val="-7"/>
        </w:rPr>
        <w:t xml:space="preserve"> </w:t>
      </w:r>
      <w:r>
        <w:t>each</w:t>
      </w:r>
      <w:r>
        <w:rPr>
          <w:spacing w:val="-7"/>
        </w:rPr>
        <w:t xml:space="preserve"> </w:t>
      </w:r>
      <w:r>
        <w:t>grade</w:t>
      </w:r>
      <w:r>
        <w:rPr>
          <w:spacing w:val="-7"/>
        </w:rPr>
        <w:t xml:space="preserve"> </w:t>
      </w:r>
      <w:r>
        <w:t>(or</w:t>
      </w:r>
      <w:r>
        <w:rPr>
          <w:spacing w:val="-7"/>
        </w:rPr>
        <w:t xml:space="preserve"> </w:t>
      </w:r>
      <w:r>
        <w:t>age)</w:t>
      </w:r>
      <w:r>
        <w:rPr>
          <w:spacing w:val="-7"/>
        </w:rPr>
        <w:t xml:space="preserve"> </w:t>
      </w:r>
      <w:r>
        <w:t>and</w:t>
      </w:r>
      <w:r>
        <w:rPr>
          <w:spacing w:val="-7"/>
        </w:rPr>
        <w:t xml:space="preserve"> </w:t>
      </w:r>
      <w:r>
        <w:t>subject</w:t>
      </w:r>
      <w:r>
        <w:rPr>
          <w:spacing w:val="-7"/>
        </w:rPr>
        <w:t xml:space="preserve"> </w:t>
      </w:r>
      <w:r>
        <w:t>by geographic</w:t>
      </w:r>
      <w:r>
        <w:rPr>
          <w:spacing w:val="-4"/>
        </w:rPr>
        <w:t xml:space="preserve"> </w:t>
      </w:r>
      <w:r>
        <w:t>domain</w:t>
      </w:r>
      <w:r>
        <w:rPr>
          <w:spacing w:val="-4"/>
        </w:rPr>
        <w:t xml:space="preserve"> </w:t>
      </w:r>
      <w:r>
        <w:t>and</w:t>
      </w:r>
      <w:r>
        <w:rPr>
          <w:spacing w:val="-4"/>
        </w:rPr>
        <w:t xml:space="preserve"> </w:t>
      </w:r>
      <w:r>
        <w:t>school</w:t>
      </w:r>
      <w:r>
        <w:rPr>
          <w:spacing w:val="-4"/>
        </w:rPr>
        <w:t xml:space="preserve"> </w:t>
      </w:r>
      <w:r>
        <w:t>type.</w:t>
      </w:r>
      <w:r>
        <w:rPr>
          <w:spacing w:val="-4"/>
        </w:rPr>
        <w:t xml:space="preserve"> </w:t>
      </w:r>
      <w:r>
        <w:t>School-</w:t>
      </w:r>
      <w:r>
        <w:rPr>
          <w:spacing w:val="-4"/>
        </w:rPr>
        <w:t xml:space="preserve"> </w:t>
      </w:r>
      <w:r>
        <w:t>and</w:t>
      </w:r>
      <w:r>
        <w:rPr>
          <w:spacing w:val="-4"/>
        </w:rPr>
        <w:t xml:space="preserve"> </w:t>
      </w:r>
      <w:r>
        <w:t>student-level</w:t>
      </w:r>
      <w:r>
        <w:rPr>
          <w:spacing w:val="-4"/>
        </w:rPr>
        <w:t xml:space="preserve"> </w:t>
      </w:r>
      <w:r>
        <w:t>participation</w:t>
      </w:r>
      <w:r>
        <w:rPr>
          <w:spacing w:val="-4"/>
        </w:rPr>
        <w:t xml:space="preserve"> </w:t>
      </w:r>
      <w:r>
        <w:t>rates</w:t>
      </w:r>
      <w:r>
        <w:rPr>
          <w:spacing w:val="-4"/>
        </w:rPr>
        <w:t xml:space="preserve"> </w:t>
      </w:r>
      <w:r>
        <w:t>have</w:t>
      </w:r>
      <w:r>
        <w:rPr>
          <w:spacing w:val="-4"/>
        </w:rPr>
        <w:t xml:space="preserve"> </w:t>
      </w:r>
      <w:r>
        <w:t>been</w:t>
      </w:r>
      <w:r>
        <w:rPr>
          <w:spacing w:val="-4"/>
        </w:rPr>
        <w:t xml:space="preserve"> </w:t>
      </w:r>
      <w:r>
        <w:t>calculated</w:t>
      </w:r>
      <w:r>
        <w:rPr>
          <w:spacing w:val="-4"/>
        </w:rPr>
        <w:t xml:space="preserve"> </w:t>
      </w:r>
      <w:r>
        <w:t>according</w:t>
      </w:r>
      <w:r>
        <w:rPr>
          <w:spacing w:val="-4"/>
        </w:rPr>
        <w:t xml:space="preserve"> </w:t>
      </w:r>
      <w:r>
        <w:t>to</w:t>
      </w:r>
      <w:r>
        <w:rPr>
          <w:spacing w:val="-4"/>
        </w:rPr>
        <w:t xml:space="preserve"> </w:t>
      </w:r>
      <w:r>
        <w:t>National</w:t>
      </w:r>
      <w:r>
        <w:rPr>
          <w:spacing w:val="-4"/>
        </w:rPr>
        <w:t xml:space="preserve"> </w:t>
      </w:r>
      <w:r>
        <w:t>Center for Education Statistics (NCES) standards as they have been for previous assessments.</w:t>
      </w:r>
    </w:p>
    <w:p w:rsidR="003F5784" w14:paraId="65AAE8B6" w14:textId="77777777">
      <w:pPr>
        <w:pStyle w:val="BodyText"/>
        <w:spacing w:before="209" w:line="232" w:lineRule="auto"/>
        <w:ind w:left="109" w:right="72"/>
        <w:jc w:val="both"/>
      </w:pPr>
      <w:r>
        <w:t>At</w:t>
      </w:r>
      <w:r>
        <w:rPr>
          <w:spacing w:val="-8"/>
        </w:rPr>
        <w:t xml:space="preserve"> </w:t>
      </w:r>
      <w:r>
        <w:t>the</w:t>
      </w:r>
      <w:r>
        <w:rPr>
          <w:spacing w:val="-6"/>
        </w:rPr>
        <w:t xml:space="preserve"> </w:t>
      </w:r>
      <w:r>
        <w:t>school</w:t>
      </w:r>
      <w:r>
        <w:rPr>
          <w:spacing w:val="-6"/>
        </w:rPr>
        <w:t xml:space="preserve"> </w:t>
      </w:r>
      <w:r>
        <w:t>level,</w:t>
      </w:r>
      <w:r>
        <w:rPr>
          <w:spacing w:val="-6"/>
        </w:rPr>
        <w:t xml:space="preserve"> </w:t>
      </w:r>
      <w:r>
        <w:t>private</w:t>
      </w:r>
      <w:r>
        <w:rPr>
          <w:spacing w:val="-6"/>
        </w:rPr>
        <w:t xml:space="preserve"> </w:t>
      </w:r>
      <w:r>
        <w:t>schools</w:t>
      </w:r>
      <w:r>
        <w:rPr>
          <w:spacing w:val="-6"/>
        </w:rPr>
        <w:t xml:space="preserve"> </w:t>
      </w:r>
      <w:r>
        <w:t>had</w:t>
      </w:r>
      <w:r>
        <w:rPr>
          <w:spacing w:val="-6"/>
        </w:rPr>
        <w:t xml:space="preserve"> </w:t>
      </w:r>
      <w:r>
        <w:t>participation</w:t>
      </w:r>
      <w:r>
        <w:rPr>
          <w:spacing w:val="-6"/>
        </w:rPr>
        <w:t xml:space="preserve"> </w:t>
      </w:r>
      <w:r>
        <w:t>rates</w:t>
      </w:r>
      <w:r>
        <w:rPr>
          <w:spacing w:val="-6"/>
        </w:rPr>
        <w:t xml:space="preserve"> </w:t>
      </w:r>
      <w:r>
        <w:t>below</w:t>
      </w:r>
      <w:r>
        <w:rPr>
          <w:spacing w:val="-6"/>
        </w:rPr>
        <w:t xml:space="preserve"> </w:t>
      </w:r>
      <w:r>
        <w:t>85</w:t>
      </w:r>
      <w:r>
        <w:rPr>
          <w:spacing w:val="-6"/>
        </w:rPr>
        <w:t xml:space="preserve"> </w:t>
      </w:r>
      <w:r>
        <w:t>percent</w:t>
      </w:r>
      <w:r>
        <w:rPr>
          <w:spacing w:val="-6"/>
        </w:rPr>
        <w:t xml:space="preserve"> </w:t>
      </w:r>
      <w:r>
        <w:t>in</w:t>
      </w:r>
      <w:r>
        <w:rPr>
          <w:spacing w:val="-6"/>
        </w:rPr>
        <w:t xml:space="preserve"> </w:t>
      </w:r>
      <w:r>
        <w:t>all</w:t>
      </w:r>
      <w:r>
        <w:rPr>
          <w:spacing w:val="-6"/>
        </w:rPr>
        <w:t xml:space="preserve"> </w:t>
      </w:r>
      <w:r>
        <w:t>grades</w:t>
      </w:r>
      <w:r>
        <w:rPr>
          <w:spacing w:val="-6"/>
        </w:rPr>
        <w:t xml:space="preserve"> </w:t>
      </w:r>
      <w:r>
        <w:t>(or</w:t>
      </w:r>
      <w:r>
        <w:rPr>
          <w:spacing w:val="-6"/>
        </w:rPr>
        <w:t xml:space="preserve"> </w:t>
      </w:r>
      <w:r>
        <w:t>ages)</w:t>
      </w:r>
      <w:r>
        <w:rPr>
          <w:spacing w:val="-6"/>
        </w:rPr>
        <w:t xml:space="preserve"> </w:t>
      </w:r>
      <w:r>
        <w:t>and</w:t>
      </w:r>
      <w:r>
        <w:rPr>
          <w:spacing w:val="-6"/>
        </w:rPr>
        <w:t xml:space="preserve"> </w:t>
      </w:r>
      <w:r>
        <w:t>subjects.</w:t>
      </w:r>
      <w:r>
        <w:rPr>
          <w:spacing w:val="-14"/>
        </w:rPr>
        <w:t xml:space="preserve"> </w:t>
      </w:r>
      <w:r>
        <w:t>At</w:t>
      </w:r>
      <w:r>
        <w:rPr>
          <w:spacing w:val="-5"/>
        </w:rPr>
        <w:t xml:space="preserve"> </w:t>
      </w:r>
      <w:r>
        <w:t>the</w:t>
      </w:r>
      <w:r>
        <w:rPr>
          <w:spacing w:val="-6"/>
        </w:rPr>
        <w:t xml:space="preserve"> </w:t>
      </w:r>
      <w:r>
        <w:t>student</w:t>
      </w:r>
      <w:r>
        <w:rPr>
          <w:spacing w:val="-6"/>
        </w:rPr>
        <w:t xml:space="preserve"> </w:t>
      </w:r>
      <w:r>
        <w:t>level, response</w:t>
      </w:r>
      <w:r>
        <w:rPr>
          <w:spacing w:val="-5"/>
        </w:rPr>
        <w:t xml:space="preserve"> </w:t>
      </w:r>
      <w:r>
        <w:t>rates</w:t>
      </w:r>
      <w:r>
        <w:rPr>
          <w:spacing w:val="-4"/>
        </w:rPr>
        <w:t xml:space="preserve"> </w:t>
      </w:r>
      <w:r>
        <w:t>at</w:t>
      </w:r>
      <w:r>
        <w:rPr>
          <w:spacing w:val="-4"/>
        </w:rPr>
        <w:t xml:space="preserve"> </w:t>
      </w:r>
      <w:r>
        <w:t>grade</w:t>
      </w:r>
      <w:r>
        <w:rPr>
          <w:spacing w:val="-4"/>
        </w:rPr>
        <w:t xml:space="preserve"> </w:t>
      </w:r>
      <w:r>
        <w:t>8</w:t>
      </w:r>
      <w:r>
        <w:rPr>
          <w:spacing w:val="-4"/>
        </w:rPr>
        <w:t xml:space="preserve"> </w:t>
      </w:r>
      <w:r>
        <w:t>fell</w:t>
      </w:r>
      <w:r>
        <w:rPr>
          <w:spacing w:val="-4"/>
        </w:rPr>
        <w:t xml:space="preserve"> </w:t>
      </w:r>
      <w:r>
        <w:t>below</w:t>
      </w:r>
      <w:r>
        <w:rPr>
          <w:spacing w:val="-4"/>
        </w:rPr>
        <w:t xml:space="preserve"> </w:t>
      </w:r>
      <w:r>
        <w:t>85</w:t>
      </w:r>
      <w:r>
        <w:rPr>
          <w:spacing w:val="-4"/>
        </w:rPr>
        <w:t xml:space="preserve"> </w:t>
      </w:r>
      <w:r>
        <w:t>percent</w:t>
      </w:r>
      <w:r>
        <w:rPr>
          <w:spacing w:val="-4"/>
        </w:rPr>
        <w:t xml:space="preserve"> </w:t>
      </w:r>
      <w:r>
        <w:t>for</w:t>
      </w:r>
      <w:r>
        <w:rPr>
          <w:spacing w:val="-4"/>
        </w:rPr>
        <w:t xml:space="preserve"> </w:t>
      </w:r>
      <w:r>
        <w:t>mathematics,</w:t>
      </w:r>
      <w:r>
        <w:rPr>
          <w:spacing w:val="-4"/>
        </w:rPr>
        <w:t xml:space="preserve"> </w:t>
      </w:r>
      <w:r>
        <w:t>reading,</w:t>
      </w:r>
      <w:r>
        <w:rPr>
          <w:spacing w:val="-4"/>
        </w:rPr>
        <w:t xml:space="preserve"> </w:t>
      </w:r>
      <w:r>
        <w:t>or</w:t>
      </w:r>
      <w:r>
        <w:rPr>
          <w:spacing w:val="-4"/>
        </w:rPr>
        <w:t xml:space="preserve"> </w:t>
      </w:r>
      <w:r>
        <w:t>both</w:t>
      </w:r>
      <w:r>
        <w:rPr>
          <w:spacing w:val="-4"/>
        </w:rPr>
        <w:t xml:space="preserve"> </w:t>
      </w:r>
      <w:r>
        <w:t>for</w:t>
      </w:r>
      <w:r>
        <w:rPr>
          <w:spacing w:val="-4"/>
        </w:rPr>
        <w:t xml:space="preserve"> </w:t>
      </w:r>
      <w:r>
        <w:t>the</w:t>
      </w:r>
      <w:r>
        <w:rPr>
          <w:spacing w:val="-4"/>
        </w:rPr>
        <w:t xml:space="preserve"> </w:t>
      </w:r>
      <w:r>
        <w:t>following</w:t>
      </w:r>
      <w:r>
        <w:rPr>
          <w:spacing w:val="-4"/>
        </w:rPr>
        <w:t xml:space="preserve"> </w:t>
      </w:r>
      <w:r>
        <w:t>state</w:t>
      </w:r>
      <w:r>
        <w:rPr>
          <w:spacing w:val="-4"/>
        </w:rPr>
        <w:t xml:space="preserve"> </w:t>
      </w:r>
      <w:r>
        <w:t>domains:</w:t>
      </w:r>
      <w:r>
        <w:rPr>
          <w:spacing w:val="-14"/>
        </w:rPr>
        <w:t xml:space="preserve"> </w:t>
      </w:r>
      <w:r>
        <w:t>Alaska,</w:t>
      </w:r>
      <w:r>
        <w:rPr>
          <w:spacing w:val="-3"/>
        </w:rPr>
        <w:t xml:space="preserve"> </w:t>
      </w:r>
      <w:r>
        <w:t>District</w:t>
      </w:r>
      <w:r>
        <w:rPr>
          <w:spacing w:val="-4"/>
        </w:rPr>
        <w:t xml:space="preserve"> </w:t>
      </w:r>
      <w:r>
        <w:t>of Columbia, Hawaii, New Hampshire, and New</w:t>
      </w:r>
      <w:r>
        <w:rPr>
          <w:spacing w:val="-8"/>
        </w:rPr>
        <w:t xml:space="preserve"> </w:t>
      </w:r>
      <w:r>
        <w:t>York; and the following</w:t>
      </w:r>
      <w:r>
        <w:rPr>
          <w:spacing w:val="-4"/>
        </w:rPr>
        <w:t xml:space="preserve"> </w:t>
      </w:r>
      <w:r>
        <w:t>TUDA</w:t>
      </w:r>
      <w:r>
        <w:rPr>
          <w:spacing w:val="-11"/>
        </w:rPr>
        <w:t xml:space="preserve"> </w:t>
      </w:r>
      <w:r>
        <w:t>domains: District of Columbia Public Schools, New</w:t>
      </w:r>
    </w:p>
    <w:p w:rsidR="003F5784" w14:paraId="68AE7A89" w14:textId="77777777">
      <w:pPr>
        <w:pStyle w:val="BodyText"/>
        <w:spacing w:before="90" w:line="238" w:lineRule="exact"/>
        <w:ind w:left="109"/>
      </w:pPr>
      <w:r>
        <w:br w:type="column"/>
        <w:t>Grade</w:t>
      </w:r>
      <w:r>
        <w:rPr>
          <w:spacing w:val="-5"/>
        </w:rPr>
        <w:t xml:space="preserve"> </w:t>
      </w:r>
      <w:r>
        <w:t>4</w:t>
      </w:r>
      <w:r>
        <w:rPr>
          <w:spacing w:val="-4"/>
        </w:rPr>
        <w:t xml:space="preserve"> </w:t>
      </w:r>
      <w:r>
        <w:rPr>
          <w:spacing w:val="-2"/>
        </w:rPr>
        <w:t>Mathematics</w:t>
      </w:r>
    </w:p>
    <w:p w:rsidR="003F5784" w14:paraId="089FD39B" w14:textId="77777777">
      <w:pPr>
        <w:pStyle w:val="BodyText"/>
        <w:spacing w:line="238" w:lineRule="exact"/>
        <w:ind w:left="109"/>
      </w:pPr>
      <w:r>
        <w:t>Grade</w:t>
      </w:r>
      <w:r>
        <w:rPr>
          <w:spacing w:val="-5"/>
        </w:rPr>
        <w:t xml:space="preserve"> </w:t>
      </w:r>
      <w:r>
        <w:t>4</w:t>
      </w:r>
      <w:r>
        <w:rPr>
          <w:spacing w:val="-4"/>
        </w:rPr>
        <w:t xml:space="preserve"> </w:t>
      </w:r>
      <w:r>
        <w:rPr>
          <w:spacing w:val="-2"/>
        </w:rPr>
        <w:t>Reading</w:t>
      </w:r>
    </w:p>
    <w:p w:rsidR="003F5784" w14:paraId="7685A21E" w14:textId="77777777">
      <w:pPr>
        <w:pStyle w:val="BodyText"/>
        <w:spacing w:before="202" w:line="238" w:lineRule="exact"/>
        <w:ind w:left="109"/>
      </w:pPr>
      <w:r>
        <w:t>Grade</w:t>
      </w:r>
      <w:r>
        <w:rPr>
          <w:spacing w:val="-5"/>
        </w:rPr>
        <w:t xml:space="preserve"> </w:t>
      </w:r>
      <w:r>
        <w:t>8</w:t>
      </w:r>
      <w:r>
        <w:rPr>
          <w:spacing w:val="-4"/>
        </w:rPr>
        <w:t xml:space="preserve"> </w:t>
      </w:r>
      <w:r>
        <w:rPr>
          <w:spacing w:val="-2"/>
        </w:rPr>
        <w:t>Mathematics</w:t>
      </w:r>
    </w:p>
    <w:p w:rsidR="003F5784" w14:paraId="7FA95DAB" w14:textId="77777777">
      <w:pPr>
        <w:pStyle w:val="BodyText"/>
        <w:spacing w:line="235" w:lineRule="exact"/>
        <w:ind w:left="109"/>
      </w:pPr>
      <w:r>
        <w:t>Grade</w:t>
      </w:r>
      <w:r>
        <w:rPr>
          <w:spacing w:val="-5"/>
        </w:rPr>
        <w:t xml:space="preserve"> </w:t>
      </w:r>
      <w:r>
        <w:t>8</w:t>
      </w:r>
      <w:r>
        <w:rPr>
          <w:spacing w:val="-4"/>
        </w:rPr>
        <w:t xml:space="preserve"> </w:t>
      </w:r>
      <w:r>
        <w:rPr>
          <w:spacing w:val="-2"/>
        </w:rPr>
        <w:t>Reading</w:t>
      </w:r>
    </w:p>
    <w:p w:rsidR="003F5784" w14:paraId="1F7B643B" w14:textId="77777777">
      <w:pPr>
        <w:pStyle w:val="BodyText"/>
        <w:spacing w:before="2" w:line="232" w:lineRule="auto"/>
        <w:ind w:left="109" w:right="1276"/>
      </w:pPr>
      <w:r>
        <w:t>Grade 8 Civics Grade</w:t>
      </w:r>
      <w:r>
        <w:rPr>
          <w:spacing w:val="-14"/>
        </w:rPr>
        <w:t xml:space="preserve"> </w:t>
      </w:r>
      <w:r>
        <w:t>8</w:t>
      </w:r>
      <w:r>
        <w:rPr>
          <w:spacing w:val="-13"/>
        </w:rPr>
        <w:t xml:space="preserve"> </w:t>
      </w:r>
      <w:r>
        <w:t>U.S.</w:t>
      </w:r>
      <w:r>
        <w:rPr>
          <w:spacing w:val="-13"/>
        </w:rPr>
        <w:t xml:space="preserve"> </w:t>
      </w:r>
      <w:r>
        <w:t>History</w:t>
      </w:r>
    </w:p>
    <w:p w:rsidR="003F5784" w14:paraId="5BC0EFB1" w14:textId="77777777">
      <w:pPr>
        <w:spacing w:line="232" w:lineRule="auto"/>
        <w:sectPr>
          <w:type w:val="continuous"/>
          <w:pgSz w:w="15840" w:h="12240" w:orient="landscape"/>
          <w:pgMar w:top="480" w:right="440" w:bottom="460" w:left="460" w:header="284" w:footer="275" w:gutter="0"/>
          <w:cols w:num="2" w:space="720" w:equalWidth="0">
            <w:col w:w="11216" w:space="569"/>
            <w:col w:w="3155"/>
          </w:cols>
        </w:sectPr>
      </w:pPr>
    </w:p>
    <w:p w:rsidR="003F5784" w14:paraId="13B8455A" w14:textId="77777777">
      <w:pPr>
        <w:pStyle w:val="BodyText"/>
        <w:spacing w:before="78" w:line="232" w:lineRule="auto"/>
        <w:ind w:left="109" w:right="147"/>
      </w:pPr>
      <w:r>
        <w:t>York</w:t>
      </w:r>
      <w:r>
        <w:rPr>
          <w:spacing w:val="-14"/>
        </w:rPr>
        <w:t xml:space="preserve"> </w:t>
      </w:r>
      <w:r>
        <w:t>City,</w:t>
      </w:r>
      <w:r>
        <w:rPr>
          <w:spacing w:val="-9"/>
        </w:rPr>
        <w:t xml:space="preserve"> </w:t>
      </w:r>
      <w:r>
        <w:t>and</w:t>
      </w:r>
      <w:r>
        <w:rPr>
          <w:spacing w:val="-9"/>
        </w:rPr>
        <w:t xml:space="preserve"> </w:t>
      </w:r>
      <w:r>
        <w:t>Milwaukee.</w:t>
      </w:r>
      <w:r>
        <w:rPr>
          <w:spacing w:val="-14"/>
        </w:rPr>
        <w:t xml:space="preserve"> </w:t>
      </w:r>
      <w:r>
        <w:t>As</w:t>
      </w:r>
      <w:r>
        <w:rPr>
          <w:spacing w:val="-8"/>
        </w:rPr>
        <w:t xml:space="preserve"> </w:t>
      </w:r>
      <w:r>
        <w:t>required</w:t>
      </w:r>
      <w:r>
        <w:rPr>
          <w:spacing w:val="-9"/>
        </w:rPr>
        <w:t xml:space="preserve"> </w:t>
      </w:r>
      <w:r>
        <w:t>by</w:t>
      </w:r>
      <w:r>
        <w:rPr>
          <w:spacing w:val="-9"/>
        </w:rPr>
        <w:t xml:space="preserve"> </w:t>
      </w:r>
      <w:r>
        <w:t>NCES</w:t>
      </w:r>
      <w:r>
        <w:rPr>
          <w:spacing w:val="-9"/>
        </w:rPr>
        <w:t xml:space="preserve"> </w:t>
      </w:r>
      <w:r>
        <w:t>standards,</w:t>
      </w:r>
      <w:r>
        <w:rPr>
          <w:spacing w:val="-9"/>
        </w:rPr>
        <w:t xml:space="preserve"> </w:t>
      </w:r>
      <w:r>
        <w:t>nonresponse</w:t>
      </w:r>
      <w:r>
        <w:rPr>
          <w:spacing w:val="-9"/>
        </w:rPr>
        <w:t xml:space="preserve"> </w:t>
      </w:r>
      <w:r>
        <w:t>bias</w:t>
      </w:r>
      <w:r>
        <w:rPr>
          <w:spacing w:val="-9"/>
        </w:rPr>
        <w:t xml:space="preserve"> </w:t>
      </w:r>
      <w:r>
        <w:t>analyses</w:t>
      </w:r>
      <w:r>
        <w:rPr>
          <w:spacing w:val="-9"/>
        </w:rPr>
        <w:t xml:space="preserve"> </w:t>
      </w:r>
      <w:r>
        <w:t>were</w:t>
      </w:r>
      <w:r>
        <w:rPr>
          <w:spacing w:val="-9"/>
        </w:rPr>
        <w:t xml:space="preserve"> </w:t>
      </w:r>
      <w:r>
        <w:t>conducted</w:t>
      </w:r>
      <w:r>
        <w:rPr>
          <w:spacing w:val="-9"/>
        </w:rPr>
        <w:t xml:space="preserve"> </w:t>
      </w:r>
      <w:r>
        <w:t>on</w:t>
      </w:r>
      <w:r>
        <w:rPr>
          <w:spacing w:val="-9"/>
        </w:rPr>
        <w:t xml:space="preserve"> </w:t>
      </w:r>
      <w:r>
        <w:t>each</w:t>
      </w:r>
      <w:r>
        <w:rPr>
          <w:spacing w:val="-9"/>
        </w:rPr>
        <w:t xml:space="preserve"> </w:t>
      </w:r>
      <w:r>
        <w:t>reporting</w:t>
      </w:r>
      <w:r>
        <w:rPr>
          <w:spacing w:val="-9"/>
        </w:rPr>
        <w:t xml:space="preserve"> </w:t>
      </w:r>
      <w:r>
        <w:t>group falling below the 85 percent participation threshold.</w:t>
      </w:r>
    </w:p>
    <w:p w:rsidR="003F5784" w14:paraId="1F493E53" w14:textId="77777777">
      <w:pPr>
        <w:pStyle w:val="BodyText"/>
      </w:pPr>
    </w:p>
    <w:p w:rsidR="003F5784" w14:paraId="57E8CB92" w14:textId="77777777">
      <w:pPr>
        <w:pStyle w:val="BodyText"/>
      </w:pPr>
    </w:p>
    <w:p w:rsidR="003F5784" w14:paraId="18D67C94" w14:textId="77777777">
      <w:pPr>
        <w:pStyle w:val="BodyText"/>
        <w:spacing w:before="145"/>
      </w:pPr>
    </w:p>
    <w:p w:rsidR="003F5784" w14:paraId="7775F9C0" w14:textId="77777777">
      <w:pPr>
        <w:ind w:left="327"/>
        <w:rPr>
          <w:sz w:val="18"/>
        </w:rPr>
      </w:pPr>
      <w:hyperlink r:id="rId539">
        <w:r>
          <w:rPr>
            <w:spacing w:val="-2"/>
            <w:sz w:val="18"/>
          </w:rPr>
          <w:t>http://nces.ed.gov/nationsreportcard/tdw/weighting/2022/final_participation_exclusion_and_accommodation_rates_for_the_2022_assessment.aspx</w:t>
        </w:r>
      </w:hyperlink>
    </w:p>
    <w:p w:rsidR="003F5784" w14:paraId="03FB3F9A" w14:textId="77777777">
      <w:pPr>
        <w:pStyle w:val="BodyText"/>
        <w:spacing w:before="72" w:line="238" w:lineRule="exact"/>
        <w:ind w:left="109"/>
      </w:pPr>
      <w:r>
        <w:br w:type="column"/>
        <w:t>Age</w:t>
      </w:r>
      <w:r>
        <w:rPr>
          <w:spacing w:val="-4"/>
        </w:rPr>
        <w:t xml:space="preserve"> </w:t>
      </w:r>
      <w:r>
        <w:t>9</w:t>
      </w:r>
      <w:r>
        <w:rPr>
          <w:spacing w:val="-3"/>
        </w:rPr>
        <w:t xml:space="preserve"> </w:t>
      </w:r>
      <w:r>
        <w:rPr>
          <w:spacing w:val="-2"/>
        </w:rPr>
        <w:t>Mathematics</w:t>
      </w:r>
    </w:p>
    <w:p w:rsidR="003F5784" w14:paraId="58C3AC5E" w14:textId="77777777">
      <w:pPr>
        <w:pStyle w:val="BodyText"/>
        <w:spacing w:line="235" w:lineRule="exact"/>
        <w:ind w:left="109"/>
      </w:pPr>
      <w:r>
        <w:t>Age</w:t>
      </w:r>
      <w:r>
        <w:rPr>
          <w:spacing w:val="-4"/>
        </w:rPr>
        <w:t xml:space="preserve"> </w:t>
      </w:r>
      <w:r>
        <w:t>9</w:t>
      </w:r>
      <w:r>
        <w:rPr>
          <w:spacing w:val="-3"/>
        </w:rPr>
        <w:t xml:space="preserve"> </w:t>
      </w:r>
      <w:r>
        <w:rPr>
          <w:spacing w:val="-2"/>
        </w:rPr>
        <w:t>Reading</w:t>
      </w:r>
    </w:p>
    <w:p w:rsidR="003F5784" w14:paraId="65B87F8B" w14:textId="77777777">
      <w:pPr>
        <w:pStyle w:val="BodyText"/>
        <w:spacing w:line="235" w:lineRule="exact"/>
        <w:ind w:left="109"/>
      </w:pPr>
      <w:r>
        <w:t>Age</w:t>
      </w:r>
      <w:r>
        <w:rPr>
          <w:spacing w:val="-4"/>
        </w:rPr>
        <w:t xml:space="preserve"> </w:t>
      </w:r>
      <w:r>
        <w:t>13</w:t>
      </w:r>
      <w:r>
        <w:rPr>
          <w:spacing w:val="-4"/>
        </w:rPr>
        <w:t xml:space="preserve"> </w:t>
      </w:r>
      <w:r>
        <w:rPr>
          <w:spacing w:val="-2"/>
        </w:rPr>
        <w:t>Mathematics</w:t>
      </w:r>
    </w:p>
    <w:p w:rsidR="003F5784" w14:paraId="7201D8D3" w14:textId="77777777">
      <w:pPr>
        <w:pStyle w:val="BodyText"/>
        <w:spacing w:line="238" w:lineRule="exact"/>
        <w:ind w:left="109"/>
      </w:pPr>
      <w:r>
        <w:t>Age</w:t>
      </w:r>
      <w:r>
        <w:rPr>
          <w:spacing w:val="-4"/>
        </w:rPr>
        <w:t xml:space="preserve"> </w:t>
      </w:r>
      <w:r>
        <w:t>13</w:t>
      </w:r>
      <w:r>
        <w:rPr>
          <w:spacing w:val="-4"/>
        </w:rPr>
        <w:t xml:space="preserve"> </w:t>
      </w:r>
      <w:r>
        <w:rPr>
          <w:spacing w:val="-2"/>
        </w:rPr>
        <w:t>Reading</w:t>
      </w:r>
    </w:p>
    <w:p w:rsidR="003F5784" w14:paraId="4BE814FB" w14:textId="77777777">
      <w:pPr>
        <w:spacing w:line="238" w:lineRule="exact"/>
        <w:sectPr>
          <w:pgSz w:w="15840" w:h="12240" w:orient="landscape"/>
          <w:pgMar w:top="480" w:right="440" w:bottom="460" w:left="460" w:header="284" w:footer="275" w:gutter="0"/>
          <w:cols w:num="2" w:space="720" w:equalWidth="0">
            <w:col w:w="11412" w:space="373"/>
            <w:col w:w="3155"/>
          </w:cols>
        </w:sectPr>
      </w:pPr>
    </w:p>
    <w:p w:rsidR="003F5784" w14:paraId="2179C49E" w14:textId="77777777">
      <w:pPr>
        <w:pStyle w:val="BodyText"/>
        <w:spacing w:before="2"/>
        <w:rPr>
          <w:sz w:val="18"/>
        </w:rPr>
      </w:pPr>
    </w:p>
    <w:p w:rsidR="003F5784" w14:paraId="5778964C" w14:textId="77777777">
      <w:pPr>
        <w:pStyle w:val="BodyText"/>
        <w:spacing w:line="20" w:lineRule="exact"/>
        <w:ind w:left="110"/>
        <w:rPr>
          <w:sz w:val="2"/>
        </w:rPr>
      </w:pPr>
      <w:r>
        <w:rPr>
          <w:noProof/>
          <w:sz w:val="2"/>
        </w:rPr>
        <mc:AlternateContent>
          <mc:Choice Requires="wpg">
            <w:drawing>
              <wp:inline distT="0" distB="0" distL="0" distR="0">
                <wp:extent cx="9339580" cy="8890"/>
                <wp:effectExtent l="0" t="0" r="0" b="0"/>
                <wp:docPr id="674" name="Group 674"/>
                <wp:cNvGraphicFramePr/>
                <a:graphic xmlns:a="http://schemas.openxmlformats.org/drawingml/2006/main">
                  <a:graphicData uri="http://schemas.microsoft.com/office/word/2010/wordprocessingGroup">
                    <wpg:wgp xmlns:wpg="http://schemas.microsoft.com/office/word/2010/wordprocessingGroup">
                      <wpg:cNvGrpSpPr/>
                      <wpg:grpSpPr>
                        <a:xfrm>
                          <a:off x="0" y="0"/>
                          <a:ext cx="9339580" cy="8890"/>
                          <a:chOff x="0" y="0"/>
                          <a:chExt cx="9339580" cy="8890"/>
                        </a:xfrm>
                      </wpg:grpSpPr>
                      <wps:wsp xmlns:wps="http://schemas.microsoft.com/office/word/2010/wordprocessingShape">
                        <wps:cNvPr id="675" name="Graphic 675"/>
                        <wps:cNvSpPr/>
                        <wps:spPr>
                          <a:xfrm>
                            <a:off x="-12" y="-64"/>
                            <a:ext cx="9339580" cy="8890"/>
                          </a:xfrm>
                          <a:custGeom>
                            <a:avLst/>
                            <a:gdLst/>
                            <a:rect l="l" t="t" r="r" b="b"/>
                            <a:pathLst>
                              <a:path fill="norm" h="8890" w="9339580" stroke="1">
                                <a:moveTo>
                                  <a:pt x="9338970" y="25"/>
                                </a:moveTo>
                                <a:lnTo>
                                  <a:pt x="9335110" y="25"/>
                                </a:lnTo>
                                <a:lnTo>
                                  <a:pt x="8280" y="25"/>
                                </a:lnTo>
                                <a:lnTo>
                                  <a:pt x="0" y="0"/>
                                </a:lnTo>
                                <a:lnTo>
                                  <a:pt x="0" y="8280"/>
                                </a:lnTo>
                                <a:lnTo>
                                  <a:pt x="9335110" y="8293"/>
                                </a:lnTo>
                                <a:lnTo>
                                  <a:pt x="9338970" y="8293"/>
                                </a:lnTo>
                                <a:lnTo>
                                  <a:pt x="9338970" y="25"/>
                                </a:lnTo>
                                <a:close/>
                              </a:path>
                            </a:pathLst>
                          </a:custGeom>
                          <a:solidFill>
                            <a:srgbClr val="808080"/>
                          </a:solidFill>
                        </wps:spPr>
                        <wps:bodyPr wrap="square" lIns="0" tIns="0" rIns="0" bIns="0" rtlCol="0">
                          <a:prstTxWarp prst="textNoShape">
                            <a:avLst/>
                          </a:prstTxWarp>
                        </wps:bodyPr>
                      </wps:wsp>
                    </wpg:wgp>
                  </a:graphicData>
                </a:graphic>
              </wp:inline>
            </w:drawing>
          </mc:Choice>
          <mc:Fallback>
            <w:pict>
              <v:group id="Group 674" o:spid="_x0000_i1217" style="width:735.4pt;height:0.7pt;mso-position-horizontal-relative:char;mso-position-vertical-relative:line" coordsize="93395,88">
                <v:shape id="Graphic 675" o:spid="_x0000_s1218" style="width:93395;height:88;mso-wrap-style:square;position:absolute;visibility:visible;v-text-anchor:top" coordsize="9339580,8890" path="m9338970,25l9335110,25l8280,25,,,,8280l9335110,8293l9338970,8293l9338970,25xe" fillcolor="gray" stroked="f">
                  <v:path arrowok="t"/>
                </v:shape>
                <w10:wrap type="none"/>
                <w10:anchorlock/>
              </v:group>
            </w:pict>
          </mc:Fallback>
        </mc:AlternateContent>
      </w:r>
    </w:p>
    <w:p w:rsidR="003F5784" w14:paraId="482AC497" w14:textId="77777777">
      <w:pPr>
        <w:pStyle w:val="BodyText"/>
        <w:spacing w:before="129"/>
        <w:rPr>
          <w:sz w:val="41"/>
        </w:rPr>
      </w:pPr>
    </w:p>
    <w:p w:rsidR="003F5784" w14:paraId="2BC4ACAC" w14:textId="16956303">
      <w:pPr>
        <w:pStyle w:val="Heading1"/>
        <w:spacing w:line="244" w:lineRule="auto"/>
        <w:ind w:right="179"/>
      </w:pPr>
      <w:r>
        <w:t>NAEP</w:t>
      </w:r>
      <w:r>
        <w:rPr>
          <w:spacing w:val="-5"/>
        </w:rPr>
        <w:t xml:space="preserve"> </w:t>
      </w:r>
      <w:r>
        <w:t>Technical Documentation</w:t>
      </w:r>
      <w:r w:rsidR="00C94150">
        <w:t xml:space="preserve"> </w:t>
      </w:r>
      <w:r>
        <w:t>Participation, Exclusion, and Accommodation Rates for Age 13 Mathematics</w:t>
      </w:r>
    </w:p>
    <w:p w:rsidR="003F5784" w14:paraId="332117D4" w14:textId="77777777">
      <w:pPr>
        <w:pStyle w:val="BodyText"/>
        <w:spacing w:before="286" w:line="232" w:lineRule="auto"/>
        <w:ind w:left="109"/>
      </w:pPr>
      <w:r>
        <w:t>The</w:t>
      </w:r>
      <w:r>
        <w:rPr>
          <w:spacing w:val="-7"/>
        </w:rPr>
        <w:t xml:space="preserve"> </w:t>
      </w:r>
      <w:r>
        <w:t>following</w:t>
      </w:r>
      <w:r>
        <w:rPr>
          <w:spacing w:val="-7"/>
        </w:rPr>
        <w:t xml:space="preserve"> </w:t>
      </w:r>
      <w:r>
        <w:t>table</w:t>
      </w:r>
      <w:r>
        <w:rPr>
          <w:spacing w:val="-7"/>
        </w:rPr>
        <w:t xml:space="preserve"> </w:t>
      </w:r>
      <w:r>
        <w:t>displays</w:t>
      </w:r>
      <w:r>
        <w:rPr>
          <w:spacing w:val="-7"/>
        </w:rPr>
        <w:t xml:space="preserve"> </w:t>
      </w:r>
      <w:r>
        <w:t>the</w:t>
      </w:r>
      <w:r>
        <w:rPr>
          <w:spacing w:val="-7"/>
        </w:rPr>
        <w:t xml:space="preserve"> </w:t>
      </w:r>
      <w:r>
        <w:t>school-level</w:t>
      </w:r>
      <w:r>
        <w:rPr>
          <w:spacing w:val="-7"/>
        </w:rPr>
        <w:t xml:space="preserve"> </w:t>
      </w:r>
      <w:r>
        <w:t>participation</w:t>
      </w:r>
      <w:r>
        <w:rPr>
          <w:spacing w:val="-7"/>
        </w:rPr>
        <w:t xml:space="preserve"> </w:t>
      </w:r>
      <w:r>
        <w:t>rates</w:t>
      </w:r>
      <w:r>
        <w:rPr>
          <w:spacing w:val="-7"/>
        </w:rPr>
        <w:t xml:space="preserve"> </w:t>
      </w:r>
      <w:r>
        <w:t>and</w:t>
      </w:r>
      <w:r>
        <w:rPr>
          <w:spacing w:val="-7"/>
        </w:rPr>
        <w:t xml:space="preserve"> </w:t>
      </w:r>
      <w:r>
        <w:t>student-level</w:t>
      </w:r>
      <w:r>
        <w:rPr>
          <w:spacing w:val="-7"/>
        </w:rPr>
        <w:t xml:space="preserve"> </w:t>
      </w:r>
      <w:r>
        <w:t>participation,</w:t>
      </w:r>
      <w:r>
        <w:rPr>
          <w:spacing w:val="-7"/>
        </w:rPr>
        <w:t xml:space="preserve"> </w:t>
      </w:r>
      <w:r>
        <w:t>exclusion,</w:t>
      </w:r>
      <w:r>
        <w:rPr>
          <w:spacing w:val="-7"/>
        </w:rPr>
        <w:t xml:space="preserve"> </w:t>
      </w:r>
      <w:r>
        <w:t>and</w:t>
      </w:r>
      <w:r>
        <w:rPr>
          <w:spacing w:val="-7"/>
        </w:rPr>
        <w:t xml:space="preserve"> </w:t>
      </w:r>
      <w:r>
        <w:t>accommodation</w:t>
      </w:r>
      <w:r>
        <w:rPr>
          <w:spacing w:val="-7"/>
        </w:rPr>
        <w:t xml:space="preserve"> </w:t>
      </w:r>
      <w:r>
        <w:t>rates</w:t>
      </w:r>
      <w:r>
        <w:rPr>
          <w:spacing w:val="-7"/>
        </w:rPr>
        <w:t xml:space="preserve"> </w:t>
      </w:r>
      <w:r>
        <w:t>for</w:t>
      </w:r>
      <w:r>
        <w:rPr>
          <w:spacing w:val="-7"/>
        </w:rPr>
        <w:t xml:space="preserve"> </w:t>
      </w:r>
      <w:r>
        <w:t>the</w:t>
      </w:r>
      <w:r>
        <w:rPr>
          <w:spacing w:val="-7"/>
        </w:rPr>
        <w:t xml:space="preserve"> </w:t>
      </w:r>
      <w:r>
        <w:t>age</w:t>
      </w:r>
      <w:r>
        <w:rPr>
          <w:spacing w:val="-7"/>
        </w:rPr>
        <w:t xml:space="preserve"> </w:t>
      </w:r>
      <w:r>
        <w:t>13</w:t>
      </w:r>
      <w:r>
        <w:rPr>
          <w:spacing w:val="-7"/>
        </w:rPr>
        <w:t xml:space="preserve"> </w:t>
      </w:r>
      <w:r>
        <w:t>long-term</w:t>
      </w:r>
      <w:r>
        <w:rPr>
          <w:spacing w:val="-7"/>
        </w:rPr>
        <w:t xml:space="preserve"> </w:t>
      </w:r>
      <w:r>
        <w:t>trend</w:t>
      </w:r>
      <w:r>
        <w:rPr>
          <w:spacing w:val="-7"/>
        </w:rPr>
        <w:t xml:space="preserve"> </w:t>
      </w:r>
      <w:r>
        <w:t>mathematics assessment.</w:t>
      </w:r>
      <w:r>
        <w:rPr>
          <w:spacing w:val="-4"/>
        </w:rPr>
        <w:t xml:space="preserve"> </w:t>
      </w:r>
      <w:r>
        <w:t>Various weights were used in the calculation of the school rates, as indicated in the column headings of the table. For the student participation rates, student base weights were used. For the student exclusion rates and accommodation rates, student base weights with adjustment for school nonresponse were used. Different weights were used at the student level because the student participation rates are conditional on (i.e., computed within) the participating schools, whereas the exclusion and accommodation rates are population estimates.</w:t>
      </w:r>
    </w:p>
    <w:p w:rsidR="003F5784" w14:paraId="179BF596" w14:textId="77777777">
      <w:pPr>
        <w:pStyle w:val="BodyText"/>
        <w:spacing w:before="211" w:line="232" w:lineRule="auto"/>
        <w:ind w:left="109" w:right="117"/>
      </w:pPr>
      <w:r>
        <w:t>The school participation rates reflect the participation of the original sampled schools only and do not reflect any effect of substitution.</w:t>
      </w:r>
      <w:r>
        <w:rPr>
          <w:spacing w:val="-3"/>
        </w:rPr>
        <w:t xml:space="preserve"> </w:t>
      </w:r>
      <w:r>
        <w:t>The rates weighted by the school base weight</w:t>
      </w:r>
      <w:r>
        <w:rPr>
          <w:spacing w:val="-6"/>
        </w:rPr>
        <w:t xml:space="preserve"> </w:t>
      </w:r>
      <w:r>
        <w:t>and</w:t>
      </w:r>
      <w:r>
        <w:rPr>
          <w:spacing w:val="-6"/>
        </w:rPr>
        <w:t xml:space="preserve"> </w:t>
      </w:r>
      <w:r>
        <w:t>enrollment</w:t>
      </w:r>
      <w:r>
        <w:rPr>
          <w:spacing w:val="-6"/>
        </w:rPr>
        <w:t xml:space="preserve"> </w:t>
      </w:r>
      <w:r>
        <w:t>show</w:t>
      </w:r>
      <w:r>
        <w:rPr>
          <w:spacing w:val="-6"/>
        </w:rPr>
        <w:t xml:space="preserve"> </w:t>
      </w:r>
      <w:r>
        <w:t>the</w:t>
      </w:r>
      <w:r>
        <w:rPr>
          <w:spacing w:val="-6"/>
        </w:rPr>
        <w:t xml:space="preserve"> </w:t>
      </w:r>
      <w:r>
        <w:t>approximate</w:t>
      </w:r>
      <w:r>
        <w:rPr>
          <w:spacing w:val="-6"/>
        </w:rPr>
        <w:t xml:space="preserve"> </w:t>
      </w:r>
      <w:r>
        <w:t>proportion</w:t>
      </w:r>
      <w:r>
        <w:rPr>
          <w:spacing w:val="-6"/>
        </w:rPr>
        <w:t xml:space="preserve"> </w:t>
      </w:r>
      <w:r>
        <w:t>of</w:t>
      </w:r>
      <w:r>
        <w:rPr>
          <w:spacing w:val="-6"/>
        </w:rPr>
        <w:t xml:space="preserve"> </w:t>
      </w:r>
      <w:r>
        <w:t>the</w:t>
      </w:r>
      <w:r>
        <w:rPr>
          <w:spacing w:val="-6"/>
        </w:rPr>
        <w:t xml:space="preserve"> </w:t>
      </w:r>
      <w:r>
        <w:t>student</w:t>
      </w:r>
      <w:r>
        <w:rPr>
          <w:spacing w:val="-6"/>
        </w:rPr>
        <w:t xml:space="preserve"> </w:t>
      </w:r>
      <w:r>
        <w:t>population</w:t>
      </w:r>
      <w:r>
        <w:rPr>
          <w:spacing w:val="-6"/>
        </w:rPr>
        <w:t xml:space="preserve"> </w:t>
      </w:r>
      <w:r>
        <w:t>in</w:t>
      </w:r>
      <w:r>
        <w:rPr>
          <w:spacing w:val="-6"/>
        </w:rPr>
        <w:t xml:space="preserve"> </w:t>
      </w:r>
      <w:r>
        <w:t>the</w:t>
      </w:r>
      <w:r>
        <w:rPr>
          <w:spacing w:val="-6"/>
        </w:rPr>
        <w:t xml:space="preserve"> </w:t>
      </w:r>
      <w:r>
        <w:t>domain</w:t>
      </w:r>
      <w:r>
        <w:rPr>
          <w:spacing w:val="-6"/>
        </w:rPr>
        <w:t xml:space="preserve"> </w:t>
      </w:r>
      <w:r>
        <w:t>that</w:t>
      </w:r>
      <w:r>
        <w:rPr>
          <w:spacing w:val="-6"/>
        </w:rPr>
        <w:t xml:space="preserve"> </w:t>
      </w:r>
      <w:r>
        <w:t>is</w:t>
      </w:r>
      <w:r>
        <w:rPr>
          <w:spacing w:val="-6"/>
        </w:rPr>
        <w:t xml:space="preserve"> </w:t>
      </w:r>
      <w:r>
        <w:t>represented</w:t>
      </w:r>
      <w:r>
        <w:rPr>
          <w:spacing w:val="-6"/>
        </w:rPr>
        <w:t xml:space="preserve"> </w:t>
      </w:r>
      <w:r>
        <w:t>by</w:t>
      </w:r>
      <w:r>
        <w:rPr>
          <w:spacing w:val="-6"/>
        </w:rPr>
        <w:t xml:space="preserve"> </w:t>
      </w:r>
      <w:r>
        <w:t>the</w:t>
      </w:r>
      <w:r>
        <w:rPr>
          <w:spacing w:val="-6"/>
        </w:rPr>
        <w:t xml:space="preserve"> </w:t>
      </w:r>
      <w:r>
        <w:t>responding</w:t>
      </w:r>
      <w:r>
        <w:rPr>
          <w:spacing w:val="-6"/>
        </w:rPr>
        <w:t xml:space="preserve"> </w:t>
      </w:r>
      <w:r>
        <w:t>schools</w:t>
      </w:r>
      <w:r>
        <w:rPr>
          <w:spacing w:val="-6"/>
        </w:rPr>
        <w:t xml:space="preserve"> </w:t>
      </w:r>
      <w:r>
        <w:t>in</w:t>
      </w:r>
      <w:r>
        <w:rPr>
          <w:spacing w:val="-6"/>
        </w:rPr>
        <w:t xml:space="preserve"> </w:t>
      </w:r>
      <w:r>
        <w:t>the</w:t>
      </w:r>
      <w:r>
        <w:rPr>
          <w:spacing w:val="-6"/>
        </w:rPr>
        <w:t xml:space="preserve"> </w:t>
      </w:r>
      <w:r>
        <w:t>sample.</w:t>
      </w:r>
      <w:r>
        <w:rPr>
          <w:spacing w:val="-10"/>
        </w:rPr>
        <w:t xml:space="preserve"> </w:t>
      </w:r>
      <w:r>
        <w:t>The</w:t>
      </w:r>
      <w:r>
        <w:rPr>
          <w:spacing w:val="-6"/>
        </w:rPr>
        <w:t xml:space="preserve"> </w:t>
      </w:r>
      <w:r>
        <w:t>rates</w:t>
      </w:r>
      <w:r>
        <w:rPr>
          <w:spacing w:val="-6"/>
        </w:rPr>
        <w:t xml:space="preserve"> </w:t>
      </w:r>
      <w:r>
        <w:t>weighted by just the base weight show the proportion of the school population that is represented by the responding schools in the sample.</w:t>
      </w:r>
      <w:r>
        <w:rPr>
          <w:spacing w:val="-3"/>
        </w:rPr>
        <w:t xml:space="preserve"> </w:t>
      </w:r>
      <w:r>
        <w:t xml:space="preserve">These rates differ because schools differ in </w:t>
      </w:r>
      <w:r>
        <w:rPr>
          <w:spacing w:val="-2"/>
        </w:rPr>
        <w:t>size.</w:t>
      </w:r>
    </w:p>
    <w:p w:rsidR="003F5784" w14:paraId="55293F9A" w14:textId="77777777">
      <w:pPr>
        <w:pStyle w:val="BodyText"/>
      </w:pPr>
    </w:p>
    <w:p w:rsidR="003F5784" w14:paraId="2A79D50F" w14:textId="77777777">
      <w:pPr>
        <w:pStyle w:val="BodyText"/>
        <w:spacing w:before="86"/>
      </w:pPr>
    </w:p>
    <w:p w:rsidR="003F5784" w14:paraId="1EEF5952" w14:textId="77777777">
      <w:pPr>
        <w:pStyle w:val="Heading2"/>
      </w:pPr>
      <w:r>
        <w:t>Participation,</w:t>
      </w:r>
      <w:r>
        <w:rPr>
          <w:spacing w:val="-9"/>
        </w:rPr>
        <w:t xml:space="preserve"> </w:t>
      </w:r>
      <w:r>
        <w:t>exclusion,</w:t>
      </w:r>
      <w:r>
        <w:rPr>
          <w:spacing w:val="-8"/>
        </w:rPr>
        <w:t xml:space="preserve"> </w:t>
      </w:r>
      <w:r>
        <w:t>and</w:t>
      </w:r>
      <w:r>
        <w:rPr>
          <w:spacing w:val="-8"/>
        </w:rPr>
        <w:t xml:space="preserve"> </w:t>
      </w:r>
      <w:r>
        <w:t>accommodation</w:t>
      </w:r>
      <w:r>
        <w:rPr>
          <w:spacing w:val="-9"/>
        </w:rPr>
        <w:t xml:space="preserve"> </w:t>
      </w:r>
      <w:r>
        <w:t>rates,</w:t>
      </w:r>
      <w:r>
        <w:rPr>
          <w:spacing w:val="-8"/>
        </w:rPr>
        <w:t xml:space="preserve"> </w:t>
      </w:r>
      <w:r>
        <w:t>age</w:t>
      </w:r>
      <w:r>
        <w:rPr>
          <w:spacing w:val="-8"/>
        </w:rPr>
        <w:t xml:space="preserve"> </w:t>
      </w:r>
      <w:r>
        <w:t>13</w:t>
      </w:r>
      <w:r>
        <w:rPr>
          <w:spacing w:val="-8"/>
        </w:rPr>
        <w:t xml:space="preserve"> </w:t>
      </w:r>
      <w:r>
        <w:t>long-term</w:t>
      </w:r>
      <w:r>
        <w:rPr>
          <w:spacing w:val="-9"/>
        </w:rPr>
        <w:t xml:space="preserve"> </w:t>
      </w:r>
      <w:r>
        <w:t>trend</w:t>
      </w:r>
      <w:r>
        <w:rPr>
          <w:spacing w:val="-8"/>
        </w:rPr>
        <w:t xml:space="preserve"> </w:t>
      </w:r>
      <w:r>
        <w:t>mathematics</w:t>
      </w:r>
      <w:r>
        <w:rPr>
          <w:spacing w:val="-8"/>
        </w:rPr>
        <w:t xml:space="preserve"> </w:t>
      </w:r>
      <w:r>
        <w:t>assessment,</w:t>
      </w:r>
      <w:r>
        <w:rPr>
          <w:spacing w:val="-9"/>
        </w:rPr>
        <w:t xml:space="preserve"> </w:t>
      </w:r>
      <w:r>
        <w:t>by</w:t>
      </w:r>
      <w:r>
        <w:rPr>
          <w:spacing w:val="-8"/>
        </w:rPr>
        <w:t xml:space="preserve"> </w:t>
      </w:r>
      <w:r>
        <w:t>school</w:t>
      </w:r>
      <w:r>
        <w:rPr>
          <w:spacing w:val="-8"/>
        </w:rPr>
        <w:t xml:space="preserve"> </w:t>
      </w:r>
      <w:r>
        <w:t>type</w:t>
      </w:r>
      <w:r>
        <w:rPr>
          <w:spacing w:val="-8"/>
        </w:rPr>
        <w:t xml:space="preserve"> </w:t>
      </w:r>
      <w:r>
        <w:t>and</w:t>
      </w:r>
      <w:r>
        <w:rPr>
          <w:spacing w:val="-9"/>
        </w:rPr>
        <w:t xml:space="preserve"> </w:t>
      </w:r>
      <w:r>
        <w:t>geographic</w:t>
      </w:r>
      <w:r>
        <w:rPr>
          <w:spacing w:val="-8"/>
        </w:rPr>
        <w:t xml:space="preserve"> </w:t>
      </w:r>
      <w:r>
        <w:t>region:</w:t>
      </w:r>
      <w:r>
        <w:rPr>
          <w:spacing w:val="-8"/>
        </w:rPr>
        <w:t xml:space="preserve"> </w:t>
      </w:r>
      <w:r>
        <w:rPr>
          <w:spacing w:val="-4"/>
        </w:rPr>
        <w:t>2022</w:t>
      </w:r>
    </w:p>
    <w:p w:rsidR="003F5784" w14:paraId="5F427375"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3181"/>
        <w:gridCol w:w="1188"/>
        <w:gridCol w:w="1979"/>
        <w:gridCol w:w="1834"/>
        <w:gridCol w:w="1264"/>
        <w:gridCol w:w="1274"/>
        <w:gridCol w:w="1559"/>
        <w:gridCol w:w="1712"/>
      </w:tblGrid>
      <w:tr w14:paraId="145769F4" w14:textId="77777777">
        <w:tblPrEx>
          <w:tblW w:w="0" w:type="auto"/>
          <w:tblInd w:w="482" w:type="dxa"/>
          <w:tblLayout w:type="fixed"/>
          <w:tblCellMar>
            <w:left w:w="0" w:type="dxa"/>
            <w:right w:w="0" w:type="dxa"/>
          </w:tblCellMar>
          <w:tblLook w:val="01E0"/>
        </w:tblPrEx>
        <w:trPr>
          <w:trHeight w:val="1440"/>
        </w:trPr>
        <w:tc>
          <w:tcPr>
            <w:tcW w:w="3181" w:type="dxa"/>
            <w:tcBorders>
              <w:top w:val="single" w:sz="18" w:space="0" w:color="800000"/>
              <w:bottom w:val="single" w:sz="18" w:space="0" w:color="800000"/>
            </w:tcBorders>
          </w:tcPr>
          <w:p w:rsidR="003F5784" w14:paraId="13543316" w14:textId="77777777">
            <w:pPr>
              <w:pStyle w:val="TableParagraph"/>
              <w:spacing w:before="0"/>
              <w:jc w:val="left"/>
              <w:rPr>
                <w:b/>
                <w:sz w:val="21"/>
              </w:rPr>
            </w:pPr>
          </w:p>
          <w:p w:rsidR="003F5784" w14:paraId="203895D5" w14:textId="77777777">
            <w:pPr>
              <w:pStyle w:val="TableParagraph"/>
              <w:spacing w:before="0"/>
              <w:jc w:val="left"/>
              <w:rPr>
                <w:b/>
                <w:sz w:val="21"/>
              </w:rPr>
            </w:pPr>
          </w:p>
          <w:p w:rsidR="003F5784" w14:paraId="35D8C0C1" w14:textId="77777777">
            <w:pPr>
              <w:pStyle w:val="TableParagraph"/>
              <w:spacing w:before="0"/>
              <w:jc w:val="left"/>
              <w:rPr>
                <w:b/>
                <w:sz w:val="21"/>
              </w:rPr>
            </w:pPr>
          </w:p>
          <w:p w:rsidR="003F5784" w14:paraId="576784AD" w14:textId="77777777">
            <w:pPr>
              <w:pStyle w:val="TableParagraph"/>
              <w:spacing w:before="216"/>
              <w:jc w:val="left"/>
              <w:rPr>
                <w:b/>
                <w:sz w:val="21"/>
              </w:rPr>
            </w:pPr>
          </w:p>
          <w:p w:rsidR="003F5784" w14:paraId="3959D583" w14:textId="77777777">
            <w:pPr>
              <w:pStyle w:val="TableParagraph"/>
              <w:spacing w:before="0" w:line="238" w:lineRule="exact"/>
              <w:ind w:left="120"/>
              <w:jc w:val="left"/>
              <w:rPr>
                <w:sz w:val="21"/>
              </w:rPr>
            </w:pPr>
            <w:r>
              <w:rPr>
                <w:sz w:val="21"/>
              </w:rPr>
              <w:t>School</w:t>
            </w:r>
            <w:r>
              <w:rPr>
                <w:spacing w:val="-7"/>
                <w:sz w:val="21"/>
              </w:rPr>
              <w:t xml:space="preserve"> </w:t>
            </w:r>
            <w:r>
              <w:rPr>
                <w:sz w:val="21"/>
              </w:rPr>
              <w:t>type</w:t>
            </w:r>
            <w:r>
              <w:rPr>
                <w:spacing w:val="-6"/>
                <w:sz w:val="21"/>
              </w:rPr>
              <w:t xml:space="preserve"> </w:t>
            </w:r>
            <w:r>
              <w:rPr>
                <w:sz w:val="21"/>
              </w:rPr>
              <w:t>and</w:t>
            </w:r>
            <w:r>
              <w:rPr>
                <w:spacing w:val="-7"/>
                <w:sz w:val="21"/>
              </w:rPr>
              <w:t xml:space="preserve"> </w:t>
            </w:r>
            <w:r>
              <w:rPr>
                <w:sz w:val="21"/>
              </w:rPr>
              <w:t>geographic</w:t>
            </w:r>
            <w:r>
              <w:rPr>
                <w:spacing w:val="-6"/>
                <w:sz w:val="21"/>
              </w:rPr>
              <w:t xml:space="preserve"> </w:t>
            </w:r>
            <w:r>
              <w:rPr>
                <w:spacing w:val="-2"/>
                <w:sz w:val="21"/>
              </w:rPr>
              <w:t>region</w:t>
            </w:r>
          </w:p>
        </w:tc>
        <w:tc>
          <w:tcPr>
            <w:tcW w:w="1188" w:type="dxa"/>
            <w:tcBorders>
              <w:top w:val="single" w:sz="18" w:space="0" w:color="800000"/>
              <w:bottom w:val="single" w:sz="18" w:space="0" w:color="800000"/>
            </w:tcBorders>
          </w:tcPr>
          <w:p w:rsidR="003F5784" w14:paraId="4660D550" w14:textId="77777777">
            <w:pPr>
              <w:pStyle w:val="TableParagraph"/>
              <w:spacing w:before="9"/>
              <w:jc w:val="left"/>
              <w:rPr>
                <w:b/>
                <w:sz w:val="21"/>
              </w:rPr>
            </w:pPr>
          </w:p>
          <w:p w:rsidR="003F5784" w14:paraId="0BE425EC" w14:textId="77777777">
            <w:pPr>
              <w:pStyle w:val="TableParagraph"/>
              <w:spacing w:before="0" w:line="234" w:lineRule="exact"/>
              <w:ind w:left="221" w:right="124" w:hanging="70"/>
              <w:rPr>
                <w:sz w:val="21"/>
              </w:rPr>
            </w:pPr>
            <w:r>
              <w:rPr>
                <w:sz w:val="21"/>
              </w:rPr>
              <w:t>Number</w:t>
            </w:r>
            <w:r>
              <w:rPr>
                <w:spacing w:val="-14"/>
                <w:sz w:val="21"/>
              </w:rPr>
              <w:t xml:space="preserve"> </w:t>
            </w:r>
            <w:r>
              <w:rPr>
                <w:sz w:val="21"/>
              </w:rPr>
              <w:t>of schools</w:t>
            </w:r>
            <w:r>
              <w:rPr>
                <w:spacing w:val="-14"/>
                <w:sz w:val="21"/>
              </w:rPr>
              <w:t xml:space="preserve"> </w:t>
            </w:r>
            <w:r>
              <w:rPr>
                <w:sz w:val="21"/>
              </w:rPr>
              <w:t xml:space="preserve">in </w:t>
            </w:r>
            <w:r>
              <w:rPr>
                <w:spacing w:val="-2"/>
                <w:sz w:val="21"/>
              </w:rPr>
              <w:t>original sample, rounded</w:t>
            </w:r>
          </w:p>
        </w:tc>
        <w:tc>
          <w:tcPr>
            <w:tcW w:w="1979" w:type="dxa"/>
            <w:tcBorders>
              <w:top w:val="single" w:sz="18" w:space="0" w:color="800000"/>
              <w:bottom w:val="single" w:sz="18" w:space="0" w:color="800000"/>
            </w:tcBorders>
          </w:tcPr>
          <w:p w:rsidR="003F5784" w14:paraId="4A8F89A1" w14:textId="77777777">
            <w:pPr>
              <w:pStyle w:val="TableParagraph"/>
              <w:spacing w:before="15" w:line="232" w:lineRule="auto"/>
              <w:ind w:left="251" w:right="167" w:hanging="128"/>
              <w:rPr>
                <w:sz w:val="21"/>
              </w:rPr>
            </w:pPr>
            <w:r>
              <w:rPr>
                <w:spacing w:val="-2"/>
                <w:sz w:val="21"/>
              </w:rPr>
              <w:t>School</w:t>
            </w:r>
            <w:r>
              <w:rPr>
                <w:spacing w:val="-11"/>
                <w:sz w:val="21"/>
              </w:rPr>
              <w:t xml:space="preserve"> </w:t>
            </w:r>
            <w:r>
              <w:rPr>
                <w:spacing w:val="-2"/>
                <w:sz w:val="21"/>
              </w:rPr>
              <w:t xml:space="preserve">participation </w:t>
            </w:r>
            <w:r>
              <w:rPr>
                <w:sz w:val="21"/>
              </w:rPr>
              <w:t xml:space="preserve">rates (percent) </w:t>
            </w:r>
            <w:r>
              <w:rPr>
                <w:spacing w:val="-2"/>
                <w:sz w:val="21"/>
              </w:rPr>
              <w:t>before</w:t>
            </w:r>
            <w:r>
              <w:rPr>
                <w:spacing w:val="-12"/>
                <w:sz w:val="21"/>
              </w:rPr>
              <w:t xml:space="preserve"> </w:t>
            </w:r>
            <w:r>
              <w:rPr>
                <w:spacing w:val="-2"/>
                <w:sz w:val="21"/>
              </w:rPr>
              <w:t xml:space="preserve">substitution </w:t>
            </w:r>
            <w:r>
              <w:rPr>
                <w:sz w:val="21"/>
              </w:rPr>
              <w:t>(weighted</w:t>
            </w:r>
            <w:r>
              <w:rPr>
                <w:spacing w:val="-7"/>
                <w:sz w:val="21"/>
              </w:rPr>
              <w:t xml:space="preserve"> </w:t>
            </w:r>
            <w:r>
              <w:rPr>
                <w:sz w:val="21"/>
              </w:rPr>
              <w:t>by</w:t>
            </w:r>
            <w:r>
              <w:rPr>
                <w:spacing w:val="-6"/>
                <w:sz w:val="21"/>
              </w:rPr>
              <w:t xml:space="preserve"> </w:t>
            </w:r>
            <w:r>
              <w:rPr>
                <w:spacing w:val="-4"/>
                <w:sz w:val="21"/>
              </w:rPr>
              <w:t>base</w:t>
            </w:r>
          </w:p>
          <w:p w:rsidR="003F5784" w14:paraId="7F9FB67B" w14:textId="77777777">
            <w:pPr>
              <w:pStyle w:val="TableParagraph"/>
              <w:spacing w:before="0" w:line="234" w:lineRule="exact"/>
              <w:ind w:left="836" w:right="167" w:firstLine="51"/>
              <w:rPr>
                <w:sz w:val="21"/>
              </w:rPr>
            </w:pPr>
            <w:r>
              <w:rPr>
                <w:sz w:val="21"/>
              </w:rPr>
              <w:t>weight</w:t>
            </w:r>
            <w:r>
              <w:rPr>
                <w:spacing w:val="-14"/>
                <w:sz w:val="21"/>
              </w:rPr>
              <w:t xml:space="preserve"> </w:t>
            </w:r>
            <w:r>
              <w:rPr>
                <w:sz w:val="21"/>
              </w:rPr>
              <w:t xml:space="preserve">and </w:t>
            </w:r>
            <w:r>
              <w:rPr>
                <w:spacing w:val="-2"/>
                <w:sz w:val="21"/>
              </w:rPr>
              <w:t>enrollment)</w:t>
            </w:r>
          </w:p>
        </w:tc>
        <w:tc>
          <w:tcPr>
            <w:tcW w:w="1834" w:type="dxa"/>
            <w:tcBorders>
              <w:top w:val="single" w:sz="18" w:space="0" w:color="800000"/>
              <w:bottom w:val="single" w:sz="18" w:space="0" w:color="800000"/>
            </w:tcBorders>
          </w:tcPr>
          <w:p w:rsidR="003F5784" w14:paraId="2D289A73" w14:textId="77777777">
            <w:pPr>
              <w:pStyle w:val="TableParagraph"/>
              <w:spacing w:before="15" w:line="232" w:lineRule="auto"/>
              <w:ind w:left="167" w:right="147" w:firstLine="937"/>
              <w:rPr>
                <w:sz w:val="21"/>
              </w:rPr>
            </w:pPr>
            <w:r>
              <w:rPr>
                <w:spacing w:val="-2"/>
                <w:sz w:val="21"/>
              </w:rPr>
              <w:t xml:space="preserve">School </w:t>
            </w:r>
            <w:r>
              <w:rPr>
                <w:sz w:val="21"/>
              </w:rPr>
              <w:t>participation</w:t>
            </w:r>
            <w:r>
              <w:rPr>
                <w:spacing w:val="-14"/>
                <w:sz w:val="21"/>
              </w:rPr>
              <w:t xml:space="preserve"> </w:t>
            </w:r>
            <w:r>
              <w:rPr>
                <w:sz w:val="21"/>
              </w:rPr>
              <w:t xml:space="preserve">rates (percent) before </w:t>
            </w:r>
            <w:r>
              <w:rPr>
                <w:spacing w:val="-2"/>
                <w:sz w:val="21"/>
              </w:rPr>
              <w:t xml:space="preserve">substitution </w:t>
            </w:r>
            <w:r>
              <w:rPr>
                <w:sz w:val="21"/>
              </w:rPr>
              <w:t>(weighted</w:t>
            </w:r>
            <w:r>
              <w:rPr>
                <w:spacing w:val="-7"/>
                <w:sz w:val="21"/>
              </w:rPr>
              <w:t xml:space="preserve"> </w:t>
            </w:r>
            <w:r>
              <w:rPr>
                <w:sz w:val="21"/>
              </w:rPr>
              <w:t>by</w:t>
            </w:r>
            <w:r>
              <w:rPr>
                <w:spacing w:val="-6"/>
                <w:sz w:val="21"/>
              </w:rPr>
              <w:t xml:space="preserve"> </w:t>
            </w:r>
            <w:r>
              <w:rPr>
                <w:spacing w:val="-4"/>
                <w:sz w:val="21"/>
              </w:rPr>
              <w:t>base</w:t>
            </w:r>
          </w:p>
          <w:p w:rsidR="003F5784" w14:paraId="09B9FABB" w14:textId="77777777">
            <w:pPr>
              <w:pStyle w:val="TableParagraph"/>
              <w:spacing w:before="0" w:line="234" w:lineRule="exact"/>
              <w:ind w:left="-26" w:right="147"/>
              <w:rPr>
                <w:sz w:val="21"/>
              </w:rPr>
            </w:pPr>
            <w:r>
              <w:rPr>
                <w:sz w:val="21"/>
              </w:rPr>
              <w:t>weight</w:t>
            </w:r>
            <w:r>
              <w:rPr>
                <w:spacing w:val="-7"/>
                <w:sz w:val="21"/>
              </w:rPr>
              <w:t xml:space="preserve"> </w:t>
            </w:r>
            <w:r>
              <w:rPr>
                <w:spacing w:val="-2"/>
                <w:sz w:val="21"/>
              </w:rPr>
              <w:t>only)</w:t>
            </w:r>
          </w:p>
        </w:tc>
        <w:tc>
          <w:tcPr>
            <w:tcW w:w="1264" w:type="dxa"/>
            <w:tcBorders>
              <w:top w:val="single" w:sz="18" w:space="0" w:color="800000"/>
              <w:bottom w:val="single" w:sz="18" w:space="0" w:color="800000"/>
            </w:tcBorders>
          </w:tcPr>
          <w:p w:rsidR="003F5784" w14:paraId="3ED4A051" w14:textId="77777777">
            <w:pPr>
              <w:pStyle w:val="TableParagraph"/>
              <w:spacing w:before="0"/>
              <w:jc w:val="left"/>
              <w:rPr>
                <w:b/>
                <w:sz w:val="21"/>
              </w:rPr>
            </w:pPr>
          </w:p>
          <w:p w:rsidR="003F5784" w14:paraId="7E1708BB" w14:textId="77777777">
            <w:pPr>
              <w:pStyle w:val="TableParagraph"/>
              <w:spacing w:before="1"/>
              <w:jc w:val="left"/>
              <w:rPr>
                <w:b/>
                <w:sz w:val="21"/>
              </w:rPr>
            </w:pPr>
          </w:p>
          <w:p w:rsidR="003F5784" w14:paraId="54B6EECF" w14:textId="77777777">
            <w:pPr>
              <w:pStyle w:val="TableParagraph"/>
              <w:spacing w:before="0" w:line="234" w:lineRule="exact"/>
              <w:ind w:left="307" w:right="207" w:hanging="163"/>
              <w:jc w:val="both"/>
              <w:rPr>
                <w:sz w:val="21"/>
              </w:rPr>
            </w:pPr>
            <w:r>
              <w:rPr>
                <w:sz w:val="21"/>
              </w:rPr>
              <w:t>Number</w:t>
            </w:r>
            <w:r>
              <w:rPr>
                <w:spacing w:val="-14"/>
                <w:sz w:val="21"/>
              </w:rPr>
              <w:t xml:space="preserve"> </w:t>
            </w:r>
            <w:r>
              <w:rPr>
                <w:sz w:val="21"/>
              </w:rPr>
              <w:t xml:space="preserve">of </w:t>
            </w:r>
            <w:r>
              <w:rPr>
                <w:spacing w:val="-2"/>
                <w:sz w:val="21"/>
              </w:rPr>
              <w:t>students sampled, rounded</w:t>
            </w:r>
          </w:p>
        </w:tc>
        <w:tc>
          <w:tcPr>
            <w:tcW w:w="1274" w:type="dxa"/>
            <w:tcBorders>
              <w:top w:val="single" w:sz="18" w:space="0" w:color="800000"/>
              <w:bottom w:val="single" w:sz="18" w:space="0" w:color="800000"/>
            </w:tcBorders>
          </w:tcPr>
          <w:p w:rsidR="003F5784" w14:paraId="08F4653A" w14:textId="77777777">
            <w:pPr>
              <w:pStyle w:val="TableParagraph"/>
              <w:spacing w:before="0"/>
              <w:jc w:val="left"/>
              <w:rPr>
                <w:b/>
                <w:sz w:val="21"/>
              </w:rPr>
            </w:pPr>
          </w:p>
          <w:p w:rsidR="003F5784" w14:paraId="22DC165F" w14:textId="77777777">
            <w:pPr>
              <w:pStyle w:val="TableParagraph"/>
              <w:spacing w:before="1"/>
              <w:jc w:val="left"/>
              <w:rPr>
                <w:b/>
                <w:sz w:val="21"/>
              </w:rPr>
            </w:pPr>
          </w:p>
          <w:p w:rsidR="003F5784" w14:paraId="70530C1B" w14:textId="77777777">
            <w:pPr>
              <w:pStyle w:val="TableParagraph"/>
              <w:spacing w:before="0" w:line="234" w:lineRule="exact"/>
              <w:ind w:left="202" w:right="229" w:firstLine="45"/>
              <w:rPr>
                <w:sz w:val="21"/>
              </w:rPr>
            </w:pPr>
            <w:r>
              <w:rPr>
                <w:spacing w:val="-4"/>
                <w:sz w:val="21"/>
              </w:rPr>
              <w:t xml:space="preserve">Weighted </w:t>
            </w:r>
            <w:r>
              <w:rPr>
                <w:sz w:val="21"/>
              </w:rPr>
              <w:t>percent</w:t>
            </w:r>
            <w:r>
              <w:rPr>
                <w:spacing w:val="-14"/>
                <w:sz w:val="21"/>
              </w:rPr>
              <w:t xml:space="preserve"> </w:t>
            </w:r>
            <w:r>
              <w:rPr>
                <w:sz w:val="21"/>
              </w:rPr>
              <w:t xml:space="preserve">of </w:t>
            </w:r>
            <w:r>
              <w:rPr>
                <w:spacing w:val="-2"/>
                <w:sz w:val="21"/>
              </w:rPr>
              <w:t>students excluded</w:t>
            </w:r>
          </w:p>
        </w:tc>
        <w:tc>
          <w:tcPr>
            <w:tcW w:w="1559" w:type="dxa"/>
            <w:tcBorders>
              <w:top w:val="single" w:sz="18" w:space="0" w:color="800000"/>
              <w:bottom w:val="single" w:sz="18" w:space="0" w:color="800000"/>
            </w:tcBorders>
          </w:tcPr>
          <w:p w:rsidR="003F5784" w14:paraId="3D046098" w14:textId="77777777">
            <w:pPr>
              <w:pStyle w:val="TableParagraph"/>
              <w:spacing w:before="9"/>
              <w:jc w:val="left"/>
              <w:rPr>
                <w:b/>
                <w:sz w:val="21"/>
              </w:rPr>
            </w:pPr>
          </w:p>
          <w:p w:rsidR="003F5784" w14:paraId="6BFA7990" w14:textId="77777777">
            <w:pPr>
              <w:pStyle w:val="TableParagraph"/>
              <w:spacing w:before="0" w:line="234" w:lineRule="exact"/>
              <w:ind w:left="222" w:right="135" w:firstLine="404"/>
              <w:rPr>
                <w:sz w:val="21"/>
              </w:rPr>
            </w:pPr>
            <w:r>
              <w:rPr>
                <w:spacing w:val="-4"/>
                <w:sz w:val="21"/>
              </w:rPr>
              <w:t xml:space="preserve">Weighted </w:t>
            </w:r>
            <w:r>
              <w:rPr>
                <w:spacing w:val="-2"/>
                <w:sz w:val="21"/>
              </w:rPr>
              <w:t>student participation rates</w:t>
            </w:r>
            <w:r>
              <w:rPr>
                <w:spacing w:val="-12"/>
                <w:sz w:val="21"/>
              </w:rPr>
              <w:t xml:space="preserve"> </w:t>
            </w:r>
            <w:r>
              <w:rPr>
                <w:spacing w:val="-2"/>
                <w:sz w:val="21"/>
              </w:rPr>
              <w:t xml:space="preserve">(percent) </w:t>
            </w:r>
            <w:r>
              <w:rPr>
                <w:sz w:val="21"/>
              </w:rPr>
              <w:t>after</w:t>
            </w:r>
            <w:r>
              <w:rPr>
                <w:spacing w:val="-5"/>
                <w:sz w:val="21"/>
              </w:rPr>
              <w:t xml:space="preserve"> </w:t>
            </w:r>
            <w:r>
              <w:rPr>
                <w:spacing w:val="-2"/>
                <w:sz w:val="21"/>
              </w:rPr>
              <w:t>makeups</w:t>
            </w:r>
          </w:p>
        </w:tc>
        <w:tc>
          <w:tcPr>
            <w:tcW w:w="1712" w:type="dxa"/>
            <w:tcBorders>
              <w:top w:val="single" w:sz="18" w:space="0" w:color="800000"/>
              <w:bottom w:val="single" w:sz="18" w:space="0" w:color="800000"/>
            </w:tcBorders>
          </w:tcPr>
          <w:p w:rsidR="003F5784" w14:paraId="03167B0F" w14:textId="77777777">
            <w:pPr>
              <w:pStyle w:val="TableParagraph"/>
              <w:spacing w:before="0"/>
              <w:jc w:val="left"/>
              <w:rPr>
                <w:b/>
                <w:sz w:val="21"/>
              </w:rPr>
            </w:pPr>
          </w:p>
          <w:p w:rsidR="003F5784" w14:paraId="107B97BD" w14:textId="77777777">
            <w:pPr>
              <w:pStyle w:val="TableParagraph"/>
              <w:spacing w:before="230"/>
              <w:jc w:val="left"/>
              <w:rPr>
                <w:b/>
                <w:sz w:val="21"/>
              </w:rPr>
            </w:pPr>
          </w:p>
          <w:p w:rsidR="003F5784" w14:paraId="7078E45C" w14:textId="77777777">
            <w:pPr>
              <w:pStyle w:val="TableParagraph"/>
              <w:spacing w:before="0" w:line="238" w:lineRule="exact"/>
              <w:ind w:right="124"/>
              <w:rPr>
                <w:sz w:val="21"/>
              </w:rPr>
            </w:pPr>
            <w:r>
              <w:rPr>
                <w:spacing w:val="-2"/>
                <w:sz w:val="21"/>
              </w:rPr>
              <w:t>Weighted</w:t>
            </w:r>
            <w:r>
              <w:rPr>
                <w:spacing w:val="-11"/>
                <w:sz w:val="21"/>
              </w:rPr>
              <w:t xml:space="preserve"> </w:t>
            </w:r>
            <w:r>
              <w:rPr>
                <w:spacing w:val="-2"/>
                <w:sz w:val="21"/>
              </w:rPr>
              <w:t>percent</w:t>
            </w:r>
          </w:p>
          <w:p w:rsidR="003F5784" w14:paraId="68DD7ED4" w14:textId="77777777">
            <w:pPr>
              <w:pStyle w:val="TableParagraph"/>
              <w:spacing w:before="1" w:line="234" w:lineRule="exact"/>
              <w:ind w:left="323" w:right="124" w:firstLine="352"/>
              <w:rPr>
                <w:sz w:val="21"/>
              </w:rPr>
            </w:pPr>
            <w:r>
              <w:rPr>
                <w:sz w:val="21"/>
              </w:rPr>
              <w:t>of</w:t>
            </w:r>
            <w:r>
              <w:rPr>
                <w:spacing w:val="-14"/>
                <w:sz w:val="21"/>
              </w:rPr>
              <w:t xml:space="preserve"> </w:t>
            </w:r>
            <w:r>
              <w:rPr>
                <w:sz w:val="21"/>
              </w:rPr>
              <w:t xml:space="preserve">students </w:t>
            </w:r>
            <w:r>
              <w:rPr>
                <w:spacing w:val="-2"/>
                <w:sz w:val="21"/>
              </w:rPr>
              <w:t>accommodated</w:t>
            </w:r>
          </w:p>
        </w:tc>
      </w:tr>
      <w:tr w14:paraId="3ECCAC18" w14:textId="77777777">
        <w:tblPrEx>
          <w:tblW w:w="0" w:type="auto"/>
          <w:tblInd w:w="482" w:type="dxa"/>
          <w:tblLayout w:type="fixed"/>
          <w:tblCellMar>
            <w:left w:w="0" w:type="dxa"/>
            <w:right w:w="0" w:type="dxa"/>
          </w:tblCellMar>
          <w:tblLook w:val="01E0"/>
        </w:tblPrEx>
        <w:trPr>
          <w:trHeight w:val="332"/>
        </w:trPr>
        <w:tc>
          <w:tcPr>
            <w:tcW w:w="3181" w:type="dxa"/>
            <w:tcBorders>
              <w:top w:val="single" w:sz="18" w:space="0" w:color="800000"/>
            </w:tcBorders>
          </w:tcPr>
          <w:p w:rsidR="003F5784" w14:paraId="78886E6F" w14:textId="77777777">
            <w:pPr>
              <w:pStyle w:val="TableParagraph"/>
              <w:spacing w:before="23"/>
              <w:ind w:left="526"/>
              <w:jc w:val="left"/>
              <w:rPr>
                <w:b/>
                <w:sz w:val="17"/>
              </w:rPr>
            </w:pPr>
            <w:r>
              <w:rPr>
                <w:b/>
                <w:sz w:val="21"/>
              </w:rPr>
              <w:t>National</w:t>
            </w:r>
            <w:r>
              <w:rPr>
                <w:b/>
                <w:spacing w:val="-9"/>
                <w:sz w:val="21"/>
              </w:rPr>
              <w:t xml:space="preserve"> </w:t>
            </w:r>
            <w:r>
              <w:rPr>
                <w:b/>
                <w:spacing w:val="-4"/>
                <w:sz w:val="21"/>
              </w:rPr>
              <w:t>all</w:t>
            </w:r>
            <w:r>
              <w:rPr>
                <w:b/>
                <w:spacing w:val="-4"/>
                <w:position w:val="8"/>
                <w:sz w:val="17"/>
              </w:rPr>
              <w:t>1</w:t>
            </w:r>
          </w:p>
        </w:tc>
        <w:tc>
          <w:tcPr>
            <w:tcW w:w="1188" w:type="dxa"/>
            <w:tcBorders>
              <w:top w:val="single" w:sz="18" w:space="0" w:color="800000"/>
            </w:tcBorders>
          </w:tcPr>
          <w:p w:rsidR="003F5784" w14:paraId="25018C64" w14:textId="77777777">
            <w:pPr>
              <w:pStyle w:val="TableParagraph"/>
              <w:spacing w:before="9"/>
              <w:ind w:right="124"/>
              <w:rPr>
                <w:b/>
                <w:sz w:val="21"/>
              </w:rPr>
            </w:pPr>
            <w:r>
              <w:rPr>
                <w:b/>
                <w:spacing w:val="-5"/>
                <w:sz w:val="21"/>
              </w:rPr>
              <w:t>660</w:t>
            </w:r>
          </w:p>
        </w:tc>
        <w:tc>
          <w:tcPr>
            <w:tcW w:w="1979" w:type="dxa"/>
            <w:tcBorders>
              <w:top w:val="single" w:sz="18" w:space="0" w:color="800000"/>
            </w:tcBorders>
          </w:tcPr>
          <w:p w:rsidR="003F5784" w14:paraId="477399BE" w14:textId="77777777">
            <w:pPr>
              <w:pStyle w:val="TableParagraph"/>
              <w:spacing w:before="9"/>
              <w:ind w:right="167"/>
              <w:rPr>
                <w:b/>
                <w:sz w:val="21"/>
              </w:rPr>
            </w:pPr>
            <w:r>
              <w:rPr>
                <w:b/>
                <w:spacing w:val="-2"/>
                <w:sz w:val="21"/>
              </w:rPr>
              <w:t>85.98</w:t>
            </w:r>
          </w:p>
        </w:tc>
        <w:tc>
          <w:tcPr>
            <w:tcW w:w="1834" w:type="dxa"/>
            <w:tcBorders>
              <w:top w:val="single" w:sz="18" w:space="0" w:color="800000"/>
            </w:tcBorders>
          </w:tcPr>
          <w:p w:rsidR="003F5784" w14:paraId="38DDD774" w14:textId="77777777">
            <w:pPr>
              <w:pStyle w:val="TableParagraph"/>
              <w:spacing w:before="9"/>
              <w:ind w:left="-26" w:right="147"/>
              <w:rPr>
                <w:b/>
                <w:sz w:val="21"/>
              </w:rPr>
            </w:pPr>
            <w:r>
              <w:rPr>
                <w:b/>
                <w:spacing w:val="-2"/>
                <w:sz w:val="21"/>
              </w:rPr>
              <w:t>70.79</w:t>
            </w:r>
          </w:p>
        </w:tc>
        <w:tc>
          <w:tcPr>
            <w:tcW w:w="1264" w:type="dxa"/>
            <w:tcBorders>
              <w:top w:val="single" w:sz="18" w:space="0" w:color="800000"/>
            </w:tcBorders>
          </w:tcPr>
          <w:p w:rsidR="003F5784" w14:paraId="319F5748" w14:textId="77777777">
            <w:pPr>
              <w:pStyle w:val="TableParagraph"/>
              <w:spacing w:before="9"/>
              <w:ind w:right="207"/>
              <w:rPr>
                <w:b/>
                <w:sz w:val="21"/>
              </w:rPr>
            </w:pPr>
            <w:r>
              <w:rPr>
                <w:b/>
                <w:spacing w:val="-2"/>
                <w:sz w:val="21"/>
              </w:rPr>
              <w:t>10,500</w:t>
            </w:r>
          </w:p>
        </w:tc>
        <w:tc>
          <w:tcPr>
            <w:tcW w:w="1274" w:type="dxa"/>
            <w:tcBorders>
              <w:top w:val="single" w:sz="18" w:space="0" w:color="800000"/>
            </w:tcBorders>
          </w:tcPr>
          <w:p w:rsidR="003F5784" w14:paraId="48E42C57" w14:textId="77777777">
            <w:pPr>
              <w:pStyle w:val="TableParagraph"/>
              <w:spacing w:before="9"/>
              <w:ind w:right="229"/>
              <w:rPr>
                <w:b/>
                <w:sz w:val="21"/>
              </w:rPr>
            </w:pPr>
            <w:r>
              <w:rPr>
                <w:b/>
                <w:spacing w:val="-4"/>
                <w:sz w:val="21"/>
              </w:rPr>
              <w:t>2.31</w:t>
            </w:r>
          </w:p>
        </w:tc>
        <w:tc>
          <w:tcPr>
            <w:tcW w:w="1559" w:type="dxa"/>
            <w:tcBorders>
              <w:top w:val="single" w:sz="18" w:space="0" w:color="800000"/>
            </w:tcBorders>
          </w:tcPr>
          <w:p w:rsidR="003F5784" w14:paraId="7485CE82" w14:textId="77777777">
            <w:pPr>
              <w:pStyle w:val="TableParagraph"/>
              <w:spacing w:before="9"/>
              <w:ind w:right="136"/>
              <w:rPr>
                <w:b/>
                <w:sz w:val="21"/>
              </w:rPr>
            </w:pPr>
            <w:r>
              <w:rPr>
                <w:b/>
                <w:spacing w:val="-2"/>
                <w:sz w:val="21"/>
              </w:rPr>
              <w:t>89.11</w:t>
            </w:r>
          </w:p>
        </w:tc>
        <w:tc>
          <w:tcPr>
            <w:tcW w:w="1712" w:type="dxa"/>
            <w:tcBorders>
              <w:top w:val="single" w:sz="18" w:space="0" w:color="800000"/>
            </w:tcBorders>
          </w:tcPr>
          <w:p w:rsidR="003F5784" w14:paraId="4C504750" w14:textId="77777777">
            <w:pPr>
              <w:pStyle w:val="TableParagraph"/>
              <w:spacing w:before="9"/>
              <w:ind w:right="124"/>
              <w:rPr>
                <w:b/>
                <w:sz w:val="21"/>
              </w:rPr>
            </w:pPr>
            <w:r>
              <w:rPr>
                <w:b/>
                <w:spacing w:val="-2"/>
                <w:sz w:val="21"/>
              </w:rPr>
              <w:t>14.23</w:t>
            </w:r>
          </w:p>
        </w:tc>
      </w:tr>
      <w:tr w14:paraId="1949D647" w14:textId="77777777">
        <w:tblPrEx>
          <w:tblW w:w="0" w:type="auto"/>
          <w:tblInd w:w="482" w:type="dxa"/>
          <w:tblLayout w:type="fixed"/>
          <w:tblCellMar>
            <w:left w:w="0" w:type="dxa"/>
            <w:right w:w="0" w:type="dxa"/>
          </w:tblCellMar>
          <w:tblLook w:val="01E0"/>
        </w:tblPrEx>
        <w:trPr>
          <w:trHeight w:val="284"/>
        </w:trPr>
        <w:tc>
          <w:tcPr>
            <w:tcW w:w="3181" w:type="dxa"/>
          </w:tcPr>
          <w:p w:rsidR="003F5784" w14:paraId="4CF2DB00" w14:textId="77777777">
            <w:pPr>
              <w:pStyle w:val="TableParagraph"/>
              <w:spacing w:before="15"/>
              <w:ind w:left="120"/>
              <w:jc w:val="left"/>
              <w:rPr>
                <w:sz w:val="21"/>
              </w:rPr>
            </w:pPr>
            <w:r>
              <w:rPr>
                <w:sz w:val="21"/>
              </w:rPr>
              <w:t>Northeast</w:t>
            </w:r>
            <w:r>
              <w:rPr>
                <w:spacing w:val="-10"/>
                <w:sz w:val="21"/>
              </w:rPr>
              <w:t xml:space="preserve"> </w:t>
            </w:r>
            <w:r>
              <w:rPr>
                <w:spacing w:val="-5"/>
                <w:sz w:val="21"/>
              </w:rPr>
              <w:t>all</w:t>
            </w:r>
          </w:p>
        </w:tc>
        <w:tc>
          <w:tcPr>
            <w:tcW w:w="1188" w:type="dxa"/>
          </w:tcPr>
          <w:p w:rsidR="003F5784" w14:paraId="1BC87761" w14:textId="77777777">
            <w:pPr>
              <w:pStyle w:val="TableParagraph"/>
              <w:spacing w:before="15"/>
              <w:ind w:right="124"/>
              <w:rPr>
                <w:sz w:val="21"/>
              </w:rPr>
            </w:pPr>
            <w:r>
              <w:rPr>
                <w:spacing w:val="-5"/>
                <w:sz w:val="21"/>
              </w:rPr>
              <w:t>110</w:t>
            </w:r>
          </w:p>
        </w:tc>
        <w:tc>
          <w:tcPr>
            <w:tcW w:w="1979" w:type="dxa"/>
          </w:tcPr>
          <w:p w:rsidR="003F5784" w14:paraId="749878AF" w14:textId="77777777">
            <w:pPr>
              <w:pStyle w:val="TableParagraph"/>
              <w:spacing w:before="15"/>
              <w:ind w:right="167"/>
              <w:rPr>
                <w:sz w:val="21"/>
              </w:rPr>
            </w:pPr>
            <w:r>
              <w:rPr>
                <w:spacing w:val="-2"/>
                <w:sz w:val="21"/>
              </w:rPr>
              <w:t>79.16</w:t>
            </w:r>
          </w:p>
        </w:tc>
        <w:tc>
          <w:tcPr>
            <w:tcW w:w="1834" w:type="dxa"/>
          </w:tcPr>
          <w:p w:rsidR="003F5784" w14:paraId="185AD779" w14:textId="77777777">
            <w:pPr>
              <w:pStyle w:val="TableParagraph"/>
              <w:spacing w:before="15"/>
              <w:ind w:left="-26" w:right="147"/>
              <w:rPr>
                <w:sz w:val="21"/>
              </w:rPr>
            </w:pPr>
            <w:r>
              <w:rPr>
                <w:spacing w:val="-2"/>
                <w:sz w:val="21"/>
              </w:rPr>
              <w:t>55.37</w:t>
            </w:r>
          </w:p>
        </w:tc>
        <w:tc>
          <w:tcPr>
            <w:tcW w:w="1264" w:type="dxa"/>
          </w:tcPr>
          <w:p w:rsidR="003F5784" w14:paraId="70090735" w14:textId="77777777">
            <w:pPr>
              <w:pStyle w:val="TableParagraph"/>
              <w:spacing w:before="15"/>
              <w:ind w:right="207"/>
              <w:rPr>
                <w:sz w:val="21"/>
              </w:rPr>
            </w:pPr>
            <w:r>
              <w:rPr>
                <w:spacing w:val="-2"/>
                <w:sz w:val="21"/>
              </w:rPr>
              <w:t>1,300</w:t>
            </w:r>
          </w:p>
        </w:tc>
        <w:tc>
          <w:tcPr>
            <w:tcW w:w="1274" w:type="dxa"/>
          </w:tcPr>
          <w:p w:rsidR="003F5784" w14:paraId="25667CAF" w14:textId="77777777">
            <w:pPr>
              <w:pStyle w:val="TableParagraph"/>
              <w:spacing w:before="15"/>
              <w:ind w:right="229"/>
              <w:rPr>
                <w:sz w:val="21"/>
              </w:rPr>
            </w:pPr>
            <w:r>
              <w:rPr>
                <w:spacing w:val="-4"/>
                <w:sz w:val="21"/>
              </w:rPr>
              <w:t>2.28</w:t>
            </w:r>
          </w:p>
        </w:tc>
        <w:tc>
          <w:tcPr>
            <w:tcW w:w="1559" w:type="dxa"/>
          </w:tcPr>
          <w:p w:rsidR="003F5784" w14:paraId="67CA05EF" w14:textId="77777777">
            <w:pPr>
              <w:pStyle w:val="TableParagraph"/>
              <w:spacing w:before="15"/>
              <w:ind w:right="135"/>
              <w:rPr>
                <w:sz w:val="21"/>
              </w:rPr>
            </w:pPr>
            <w:r>
              <w:rPr>
                <w:spacing w:val="-2"/>
                <w:sz w:val="21"/>
              </w:rPr>
              <w:t>84.99</w:t>
            </w:r>
          </w:p>
        </w:tc>
        <w:tc>
          <w:tcPr>
            <w:tcW w:w="1712" w:type="dxa"/>
          </w:tcPr>
          <w:p w:rsidR="003F5784" w14:paraId="4C52A326" w14:textId="77777777">
            <w:pPr>
              <w:pStyle w:val="TableParagraph"/>
              <w:spacing w:before="15"/>
              <w:ind w:right="124"/>
              <w:rPr>
                <w:sz w:val="21"/>
              </w:rPr>
            </w:pPr>
            <w:r>
              <w:rPr>
                <w:spacing w:val="-2"/>
                <w:sz w:val="21"/>
              </w:rPr>
              <w:t>18.15</w:t>
            </w:r>
          </w:p>
        </w:tc>
      </w:tr>
      <w:tr w14:paraId="32EC0FFC" w14:textId="77777777">
        <w:tblPrEx>
          <w:tblW w:w="0" w:type="auto"/>
          <w:tblInd w:w="482" w:type="dxa"/>
          <w:tblLayout w:type="fixed"/>
          <w:tblCellMar>
            <w:left w:w="0" w:type="dxa"/>
            <w:right w:w="0" w:type="dxa"/>
          </w:tblCellMar>
          <w:tblLook w:val="01E0"/>
        </w:tblPrEx>
        <w:trPr>
          <w:trHeight w:val="286"/>
        </w:trPr>
        <w:tc>
          <w:tcPr>
            <w:tcW w:w="3181" w:type="dxa"/>
          </w:tcPr>
          <w:p w:rsidR="003F5784" w14:paraId="40AE23BB" w14:textId="77777777">
            <w:pPr>
              <w:pStyle w:val="TableParagraph"/>
              <w:ind w:left="120"/>
              <w:jc w:val="left"/>
              <w:rPr>
                <w:sz w:val="21"/>
              </w:rPr>
            </w:pPr>
            <w:r>
              <w:rPr>
                <w:sz w:val="21"/>
              </w:rPr>
              <w:t>Midwest</w:t>
            </w:r>
            <w:r>
              <w:rPr>
                <w:spacing w:val="-9"/>
                <w:sz w:val="21"/>
              </w:rPr>
              <w:t xml:space="preserve"> </w:t>
            </w:r>
            <w:r>
              <w:rPr>
                <w:spacing w:val="-5"/>
                <w:sz w:val="21"/>
              </w:rPr>
              <w:t>all</w:t>
            </w:r>
          </w:p>
        </w:tc>
        <w:tc>
          <w:tcPr>
            <w:tcW w:w="1188" w:type="dxa"/>
          </w:tcPr>
          <w:p w:rsidR="003F5784" w14:paraId="739D90C7" w14:textId="77777777">
            <w:pPr>
              <w:pStyle w:val="TableParagraph"/>
              <w:ind w:right="124"/>
              <w:rPr>
                <w:sz w:val="21"/>
              </w:rPr>
            </w:pPr>
            <w:r>
              <w:rPr>
                <w:spacing w:val="-5"/>
                <w:sz w:val="21"/>
              </w:rPr>
              <w:t>130</w:t>
            </w:r>
          </w:p>
        </w:tc>
        <w:tc>
          <w:tcPr>
            <w:tcW w:w="1979" w:type="dxa"/>
          </w:tcPr>
          <w:p w:rsidR="003F5784" w14:paraId="7EC805F2" w14:textId="77777777">
            <w:pPr>
              <w:pStyle w:val="TableParagraph"/>
              <w:ind w:right="167"/>
              <w:rPr>
                <w:sz w:val="21"/>
              </w:rPr>
            </w:pPr>
            <w:r>
              <w:rPr>
                <w:spacing w:val="-2"/>
                <w:sz w:val="21"/>
              </w:rPr>
              <w:t>85.27</w:t>
            </w:r>
          </w:p>
        </w:tc>
        <w:tc>
          <w:tcPr>
            <w:tcW w:w="1834" w:type="dxa"/>
          </w:tcPr>
          <w:p w:rsidR="003F5784" w14:paraId="5A99053B" w14:textId="77777777">
            <w:pPr>
              <w:pStyle w:val="TableParagraph"/>
              <w:ind w:left="-26" w:right="147"/>
              <w:rPr>
                <w:sz w:val="21"/>
              </w:rPr>
            </w:pPr>
            <w:r>
              <w:rPr>
                <w:spacing w:val="-2"/>
                <w:sz w:val="21"/>
              </w:rPr>
              <w:t>74.53</w:t>
            </w:r>
          </w:p>
        </w:tc>
        <w:tc>
          <w:tcPr>
            <w:tcW w:w="1264" w:type="dxa"/>
          </w:tcPr>
          <w:p w:rsidR="003F5784" w14:paraId="3B6A8D10" w14:textId="77777777">
            <w:pPr>
              <w:pStyle w:val="TableParagraph"/>
              <w:ind w:right="207"/>
              <w:rPr>
                <w:sz w:val="21"/>
              </w:rPr>
            </w:pPr>
            <w:r>
              <w:rPr>
                <w:spacing w:val="-2"/>
                <w:sz w:val="21"/>
              </w:rPr>
              <w:t>1,900</w:t>
            </w:r>
          </w:p>
        </w:tc>
        <w:tc>
          <w:tcPr>
            <w:tcW w:w="1274" w:type="dxa"/>
          </w:tcPr>
          <w:p w:rsidR="003F5784" w14:paraId="01B2767C" w14:textId="77777777">
            <w:pPr>
              <w:pStyle w:val="TableParagraph"/>
              <w:ind w:right="229"/>
              <w:rPr>
                <w:sz w:val="21"/>
              </w:rPr>
            </w:pPr>
            <w:r>
              <w:rPr>
                <w:spacing w:val="-4"/>
                <w:sz w:val="21"/>
              </w:rPr>
              <w:t>2.33</w:t>
            </w:r>
          </w:p>
        </w:tc>
        <w:tc>
          <w:tcPr>
            <w:tcW w:w="1559" w:type="dxa"/>
          </w:tcPr>
          <w:p w:rsidR="003F5784" w14:paraId="36781417" w14:textId="77777777">
            <w:pPr>
              <w:pStyle w:val="TableParagraph"/>
              <w:ind w:right="135"/>
              <w:rPr>
                <w:sz w:val="21"/>
              </w:rPr>
            </w:pPr>
            <w:r>
              <w:rPr>
                <w:spacing w:val="-2"/>
                <w:sz w:val="21"/>
              </w:rPr>
              <w:t>89.53</w:t>
            </w:r>
          </w:p>
        </w:tc>
        <w:tc>
          <w:tcPr>
            <w:tcW w:w="1712" w:type="dxa"/>
          </w:tcPr>
          <w:p w:rsidR="003F5784" w14:paraId="37A7942B" w14:textId="77777777">
            <w:pPr>
              <w:pStyle w:val="TableParagraph"/>
              <w:ind w:right="124"/>
              <w:rPr>
                <w:sz w:val="21"/>
              </w:rPr>
            </w:pPr>
            <w:r>
              <w:rPr>
                <w:spacing w:val="-2"/>
                <w:sz w:val="21"/>
              </w:rPr>
              <w:t>12.97</w:t>
            </w:r>
          </w:p>
        </w:tc>
      </w:tr>
      <w:tr w14:paraId="008ACB88" w14:textId="77777777">
        <w:tblPrEx>
          <w:tblW w:w="0" w:type="auto"/>
          <w:tblInd w:w="482" w:type="dxa"/>
          <w:tblLayout w:type="fixed"/>
          <w:tblCellMar>
            <w:left w:w="0" w:type="dxa"/>
            <w:right w:w="0" w:type="dxa"/>
          </w:tblCellMar>
          <w:tblLook w:val="01E0"/>
        </w:tblPrEx>
        <w:trPr>
          <w:trHeight w:val="286"/>
        </w:trPr>
        <w:tc>
          <w:tcPr>
            <w:tcW w:w="3181" w:type="dxa"/>
          </w:tcPr>
          <w:p w:rsidR="003F5784" w14:paraId="252E12A3" w14:textId="77777777">
            <w:pPr>
              <w:pStyle w:val="TableParagraph"/>
              <w:ind w:left="120"/>
              <w:jc w:val="left"/>
              <w:rPr>
                <w:sz w:val="21"/>
              </w:rPr>
            </w:pPr>
            <w:r>
              <w:rPr>
                <w:sz w:val="21"/>
              </w:rPr>
              <w:t>South</w:t>
            </w:r>
            <w:r>
              <w:rPr>
                <w:spacing w:val="-6"/>
                <w:sz w:val="21"/>
              </w:rPr>
              <w:t xml:space="preserve"> </w:t>
            </w:r>
            <w:r>
              <w:rPr>
                <w:spacing w:val="-5"/>
                <w:sz w:val="21"/>
              </w:rPr>
              <w:t>all</w:t>
            </w:r>
          </w:p>
        </w:tc>
        <w:tc>
          <w:tcPr>
            <w:tcW w:w="1188" w:type="dxa"/>
          </w:tcPr>
          <w:p w:rsidR="003F5784" w14:paraId="738DB3C1" w14:textId="77777777">
            <w:pPr>
              <w:pStyle w:val="TableParagraph"/>
              <w:ind w:right="124"/>
              <w:rPr>
                <w:sz w:val="21"/>
              </w:rPr>
            </w:pPr>
            <w:r>
              <w:rPr>
                <w:spacing w:val="-5"/>
                <w:sz w:val="21"/>
              </w:rPr>
              <w:t>260</w:t>
            </w:r>
          </w:p>
        </w:tc>
        <w:tc>
          <w:tcPr>
            <w:tcW w:w="1979" w:type="dxa"/>
          </w:tcPr>
          <w:p w:rsidR="003F5784" w14:paraId="1E35EA54" w14:textId="77777777">
            <w:pPr>
              <w:pStyle w:val="TableParagraph"/>
              <w:ind w:right="167"/>
              <w:rPr>
                <w:sz w:val="21"/>
              </w:rPr>
            </w:pPr>
            <w:r>
              <w:rPr>
                <w:spacing w:val="-2"/>
                <w:sz w:val="21"/>
              </w:rPr>
              <w:t>87.71</w:t>
            </w:r>
          </w:p>
        </w:tc>
        <w:tc>
          <w:tcPr>
            <w:tcW w:w="1834" w:type="dxa"/>
          </w:tcPr>
          <w:p w:rsidR="003F5784" w14:paraId="156B4BB2" w14:textId="77777777">
            <w:pPr>
              <w:pStyle w:val="TableParagraph"/>
              <w:ind w:left="-26" w:right="147"/>
              <w:rPr>
                <w:sz w:val="21"/>
              </w:rPr>
            </w:pPr>
            <w:r>
              <w:rPr>
                <w:spacing w:val="-2"/>
                <w:sz w:val="21"/>
              </w:rPr>
              <w:t>72.78</w:t>
            </w:r>
          </w:p>
        </w:tc>
        <w:tc>
          <w:tcPr>
            <w:tcW w:w="1264" w:type="dxa"/>
          </w:tcPr>
          <w:p w:rsidR="003F5784" w14:paraId="5043A176" w14:textId="77777777">
            <w:pPr>
              <w:pStyle w:val="TableParagraph"/>
              <w:ind w:right="207"/>
              <w:rPr>
                <w:sz w:val="21"/>
              </w:rPr>
            </w:pPr>
            <w:r>
              <w:rPr>
                <w:spacing w:val="-2"/>
                <w:sz w:val="21"/>
              </w:rPr>
              <w:t>4,500</w:t>
            </w:r>
          </w:p>
        </w:tc>
        <w:tc>
          <w:tcPr>
            <w:tcW w:w="1274" w:type="dxa"/>
          </w:tcPr>
          <w:p w:rsidR="003F5784" w14:paraId="4D9615BE" w14:textId="77777777">
            <w:pPr>
              <w:pStyle w:val="TableParagraph"/>
              <w:ind w:right="229"/>
              <w:rPr>
                <w:sz w:val="21"/>
              </w:rPr>
            </w:pPr>
            <w:r>
              <w:rPr>
                <w:spacing w:val="-4"/>
                <w:sz w:val="21"/>
              </w:rPr>
              <w:t>1.79</w:t>
            </w:r>
          </w:p>
        </w:tc>
        <w:tc>
          <w:tcPr>
            <w:tcW w:w="1559" w:type="dxa"/>
          </w:tcPr>
          <w:p w:rsidR="003F5784" w14:paraId="11CCE6C1" w14:textId="77777777">
            <w:pPr>
              <w:pStyle w:val="TableParagraph"/>
              <w:ind w:right="135"/>
              <w:rPr>
                <w:sz w:val="21"/>
              </w:rPr>
            </w:pPr>
            <w:r>
              <w:rPr>
                <w:spacing w:val="-2"/>
                <w:sz w:val="21"/>
              </w:rPr>
              <w:t>90.17</w:t>
            </w:r>
          </w:p>
        </w:tc>
        <w:tc>
          <w:tcPr>
            <w:tcW w:w="1712" w:type="dxa"/>
          </w:tcPr>
          <w:p w:rsidR="003F5784" w14:paraId="7CBD2D96" w14:textId="77777777">
            <w:pPr>
              <w:pStyle w:val="TableParagraph"/>
              <w:ind w:right="124"/>
              <w:rPr>
                <w:sz w:val="21"/>
              </w:rPr>
            </w:pPr>
            <w:r>
              <w:rPr>
                <w:spacing w:val="-2"/>
                <w:sz w:val="21"/>
              </w:rPr>
              <w:t>16.62</w:t>
            </w:r>
          </w:p>
        </w:tc>
      </w:tr>
      <w:tr w14:paraId="5B4FB5BD" w14:textId="77777777">
        <w:tblPrEx>
          <w:tblW w:w="0" w:type="auto"/>
          <w:tblInd w:w="482" w:type="dxa"/>
          <w:tblLayout w:type="fixed"/>
          <w:tblCellMar>
            <w:left w:w="0" w:type="dxa"/>
            <w:right w:w="0" w:type="dxa"/>
          </w:tblCellMar>
          <w:tblLook w:val="01E0"/>
        </w:tblPrEx>
        <w:trPr>
          <w:trHeight w:val="289"/>
        </w:trPr>
        <w:tc>
          <w:tcPr>
            <w:tcW w:w="3181" w:type="dxa"/>
            <w:tcBorders>
              <w:bottom w:val="single" w:sz="18" w:space="0" w:color="800000"/>
            </w:tcBorders>
          </w:tcPr>
          <w:p w:rsidR="003F5784" w14:paraId="67AED395" w14:textId="77777777">
            <w:pPr>
              <w:pStyle w:val="TableParagraph"/>
              <w:ind w:left="120"/>
              <w:jc w:val="left"/>
              <w:rPr>
                <w:sz w:val="21"/>
              </w:rPr>
            </w:pPr>
            <w:r>
              <w:rPr>
                <w:spacing w:val="-4"/>
                <w:sz w:val="21"/>
              </w:rPr>
              <w:t>West</w:t>
            </w:r>
            <w:r>
              <w:rPr>
                <w:spacing w:val="-7"/>
                <w:sz w:val="21"/>
              </w:rPr>
              <w:t xml:space="preserve"> </w:t>
            </w:r>
            <w:r>
              <w:rPr>
                <w:spacing w:val="-5"/>
                <w:sz w:val="21"/>
              </w:rPr>
              <w:t>all</w:t>
            </w:r>
          </w:p>
        </w:tc>
        <w:tc>
          <w:tcPr>
            <w:tcW w:w="1188" w:type="dxa"/>
            <w:tcBorders>
              <w:bottom w:val="single" w:sz="18" w:space="0" w:color="800000"/>
            </w:tcBorders>
          </w:tcPr>
          <w:p w:rsidR="003F5784" w14:paraId="38F7D74B" w14:textId="77777777">
            <w:pPr>
              <w:pStyle w:val="TableParagraph"/>
              <w:ind w:right="124"/>
              <w:rPr>
                <w:sz w:val="21"/>
              </w:rPr>
            </w:pPr>
            <w:r>
              <w:rPr>
                <w:spacing w:val="-5"/>
                <w:sz w:val="21"/>
              </w:rPr>
              <w:t>160</w:t>
            </w:r>
          </w:p>
        </w:tc>
        <w:tc>
          <w:tcPr>
            <w:tcW w:w="1979" w:type="dxa"/>
            <w:tcBorders>
              <w:bottom w:val="single" w:sz="18" w:space="0" w:color="800000"/>
            </w:tcBorders>
          </w:tcPr>
          <w:p w:rsidR="003F5784" w14:paraId="170B2739" w14:textId="77777777">
            <w:pPr>
              <w:pStyle w:val="TableParagraph"/>
              <w:ind w:right="167"/>
              <w:rPr>
                <w:sz w:val="21"/>
              </w:rPr>
            </w:pPr>
            <w:r>
              <w:rPr>
                <w:spacing w:val="-2"/>
                <w:sz w:val="21"/>
              </w:rPr>
              <w:t>88.04</w:t>
            </w:r>
          </w:p>
        </w:tc>
        <w:tc>
          <w:tcPr>
            <w:tcW w:w="1834" w:type="dxa"/>
            <w:tcBorders>
              <w:bottom w:val="single" w:sz="18" w:space="0" w:color="800000"/>
            </w:tcBorders>
          </w:tcPr>
          <w:p w:rsidR="003F5784" w14:paraId="21EC7A6B" w14:textId="77777777">
            <w:pPr>
              <w:pStyle w:val="TableParagraph"/>
              <w:ind w:left="-26" w:right="147"/>
              <w:rPr>
                <w:sz w:val="21"/>
              </w:rPr>
            </w:pPr>
            <w:r>
              <w:rPr>
                <w:spacing w:val="-2"/>
                <w:sz w:val="21"/>
              </w:rPr>
              <w:t>78.49</w:t>
            </w:r>
          </w:p>
        </w:tc>
        <w:tc>
          <w:tcPr>
            <w:tcW w:w="1264" w:type="dxa"/>
            <w:tcBorders>
              <w:bottom w:val="single" w:sz="18" w:space="0" w:color="800000"/>
            </w:tcBorders>
          </w:tcPr>
          <w:p w:rsidR="003F5784" w14:paraId="08212401" w14:textId="77777777">
            <w:pPr>
              <w:pStyle w:val="TableParagraph"/>
              <w:ind w:right="207"/>
              <w:rPr>
                <w:sz w:val="21"/>
              </w:rPr>
            </w:pPr>
            <w:r>
              <w:rPr>
                <w:spacing w:val="-2"/>
                <w:sz w:val="21"/>
              </w:rPr>
              <w:t>2,700</w:t>
            </w:r>
          </w:p>
        </w:tc>
        <w:tc>
          <w:tcPr>
            <w:tcW w:w="1274" w:type="dxa"/>
            <w:tcBorders>
              <w:bottom w:val="single" w:sz="18" w:space="0" w:color="800000"/>
            </w:tcBorders>
          </w:tcPr>
          <w:p w:rsidR="003F5784" w14:paraId="7A6EF8A0" w14:textId="77777777">
            <w:pPr>
              <w:pStyle w:val="TableParagraph"/>
              <w:ind w:right="229"/>
              <w:rPr>
                <w:sz w:val="21"/>
              </w:rPr>
            </w:pPr>
            <w:r>
              <w:rPr>
                <w:spacing w:val="-4"/>
                <w:sz w:val="21"/>
              </w:rPr>
              <w:t>3.20</w:t>
            </w:r>
          </w:p>
        </w:tc>
        <w:tc>
          <w:tcPr>
            <w:tcW w:w="1559" w:type="dxa"/>
            <w:tcBorders>
              <w:bottom w:val="single" w:sz="18" w:space="0" w:color="800000"/>
            </w:tcBorders>
          </w:tcPr>
          <w:p w:rsidR="003F5784" w14:paraId="0E451028" w14:textId="77777777">
            <w:pPr>
              <w:pStyle w:val="TableParagraph"/>
              <w:ind w:right="135"/>
              <w:rPr>
                <w:sz w:val="21"/>
              </w:rPr>
            </w:pPr>
            <w:r>
              <w:rPr>
                <w:spacing w:val="-2"/>
                <w:sz w:val="21"/>
              </w:rPr>
              <w:t>89.31</w:t>
            </w:r>
          </w:p>
        </w:tc>
        <w:tc>
          <w:tcPr>
            <w:tcW w:w="1712" w:type="dxa"/>
            <w:tcBorders>
              <w:bottom w:val="single" w:sz="18" w:space="0" w:color="800000"/>
            </w:tcBorders>
          </w:tcPr>
          <w:p w:rsidR="003F5784" w14:paraId="0A899617" w14:textId="77777777">
            <w:pPr>
              <w:pStyle w:val="TableParagraph"/>
              <w:ind w:right="124"/>
              <w:rPr>
                <w:sz w:val="21"/>
              </w:rPr>
            </w:pPr>
            <w:r>
              <w:rPr>
                <w:spacing w:val="-4"/>
                <w:sz w:val="21"/>
              </w:rPr>
              <w:t>8.67</w:t>
            </w:r>
          </w:p>
        </w:tc>
      </w:tr>
      <w:tr w14:paraId="2BF84BFB" w14:textId="77777777">
        <w:tblPrEx>
          <w:tblW w:w="0" w:type="auto"/>
          <w:tblInd w:w="482" w:type="dxa"/>
          <w:tblLayout w:type="fixed"/>
          <w:tblCellMar>
            <w:left w:w="0" w:type="dxa"/>
            <w:right w:w="0" w:type="dxa"/>
          </w:tblCellMar>
          <w:tblLook w:val="01E0"/>
        </w:tblPrEx>
        <w:trPr>
          <w:trHeight w:val="203"/>
        </w:trPr>
        <w:tc>
          <w:tcPr>
            <w:tcW w:w="13991" w:type="dxa"/>
            <w:gridSpan w:val="8"/>
            <w:tcBorders>
              <w:top w:val="single" w:sz="18" w:space="0" w:color="800000"/>
            </w:tcBorders>
          </w:tcPr>
          <w:p w:rsidR="003F5784" w14:paraId="1BFBF525" w14:textId="77777777">
            <w:pPr>
              <w:pStyle w:val="TableParagraph"/>
              <w:spacing w:before="10" w:line="174" w:lineRule="exact"/>
              <w:ind w:left="120"/>
              <w:jc w:val="left"/>
              <w:rPr>
                <w:sz w:val="21"/>
              </w:rPr>
            </w:pPr>
            <w:r>
              <w:rPr>
                <w:position w:val="8"/>
                <w:sz w:val="17"/>
              </w:rPr>
              <w:t>1</w:t>
            </w:r>
            <w:r>
              <w:rPr>
                <w:sz w:val="21"/>
              </w:rPr>
              <w:t>1</w:t>
            </w:r>
            <w:r>
              <w:rPr>
                <w:position w:val="8"/>
                <w:sz w:val="17"/>
              </w:rPr>
              <w:t xml:space="preserve">1 </w:t>
            </w:r>
            <w:r>
              <w:rPr>
                <w:sz w:val="21"/>
              </w:rPr>
              <w:t>National</w:t>
            </w:r>
            <w:r>
              <w:rPr>
                <w:spacing w:val="-6"/>
                <w:sz w:val="21"/>
              </w:rPr>
              <w:t xml:space="preserve"> </w:t>
            </w:r>
            <w:r>
              <w:rPr>
                <w:sz w:val="21"/>
              </w:rPr>
              <w:t>all</w:t>
            </w:r>
            <w:r>
              <w:rPr>
                <w:spacing w:val="-6"/>
                <w:sz w:val="21"/>
              </w:rPr>
              <w:t xml:space="preserve"> </w:t>
            </w:r>
            <w:r>
              <w:rPr>
                <w:sz w:val="21"/>
              </w:rPr>
              <w:t>includes</w:t>
            </w:r>
            <w:r>
              <w:rPr>
                <w:spacing w:val="-6"/>
                <w:sz w:val="21"/>
              </w:rPr>
              <w:t xml:space="preserve"> </w:t>
            </w:r>
            <w:r>
              <w:rPr>
                <w:sz w:val="21"/>
              </w:rPr>
              <w:t>national</w:t>
            </w:r>
            <w:r>
              <w:rPr>
                <w:spacing w:val="-6"/>
                <w:sz w:val="21"/>
              </w:rPr>
              <w:t xml:space="preserve"> </w:t>
            </w:r>
            <w:r>
              <w:rPr>
                <w:sz w:val="21"/>
              </w:rPr>
              <w:t>public,</w:t>
            </w:r>
            <w:r>
              <w:rPr>
                <w:spacing w:val="-7"/>
                <w:sz w:val="21"/>
              </w:rPr>
              <w:t xml:space="preserve"> </w:t>
            </w:r>
            <w:r>
              <w:rPr>
                <w:sz w:val="21"/>
              </w:rPr>
              <w:t>national</w:t>
            </w:r>
            <w:r>
              <w:rPr>
                <w:spacing w:val="-6"/>
                <w:sz w:val="21"/>
              </w:rPr>
              <w:t xml:space="preserve"> </w:t>
            </w:r>
            <w:r>
              <w:rPr>
                <w:sz w:val="21"/>
              </w:rPr>
              <w:t>private,</w:t>
            </w:r>
            <w:r>
              <w:rPr>
                <w:spacing w:val="-6"/>
                <w:sz w:val="21"/>
              </w:rPr>
              <w:t xml:space="preserve"> </w:t>
            </w:r>
            <w:r>
              <w:rPr>
                <w:sz w:val="21"/>
              </w:rPr>
              <w:t>and</w:t>
            </w:r>
            <w:r>
              <w:rPr>
                <w:spacing w:val="-6"/>
                <w:sz w:val="21"/>
              </w:rPr>
              <w:t xml:space="preserve"> </w:t>
            </w:r>
            <w:r>
              <w:rPr>
                <w:sz w:val="21"/>
              </w:rPr>
              <w:t>Department</w:t>
            </w:r>
            <w:r>
              <w:rPr>
                <w:spacing w:val="-6"/>
                <w:sz w:val="21"/>
              </w:rPr>
              <w:t xml:space="preserve"> </w:t>
            </w:r>
            <w:r>
              <w:rPr>
                <w:sz w:val="21"/>
              </w:rPr>
              <w:t>of</w:t>
            </w:r>
            <w:r>
              <w:rPr>
                <w:spacing w:val="-6"/>
                <w:sz w:val="21"/>
              </w:rPr>
              <w:t xml:space="preserve"> </w:t>
            </w:r>
            <w:r>
              <w:rPr>
                <w:sz w:val="21"/>
              </w:rPr>
              <w:t>Defense</w:t>
            </w:r>
            <w:r>
              <w:rPr>
                <w:spacing w:val="-7"/>
                <w:sz w:val="21"/>
              </w:rPr>
              <w:t xml:space="preserve"> </w:t>
            </w:r>
            <w:r>
              <w:rPr>
                <w:sz w:val="21"/>
              </w:rPr>
              <w:t>Education</w:t>
            </w:r>
            <w:r>
              <w:rPr>
                <w:spacing w:val="-13"/>
                <w:sz w:val="21"/>
              </w:rPr>
              <w:t xml:space="preserve"> </w:t>
            </w:r>
            <w:r>
              <w:rPr>
                <w:sz w:val="21"/>
              </w:rPr>
              <w:t>Activity</w:t>
            </w:r>
            <w:r>
              <w:rPr>
                <w:spacing w:val="-6"/>
                <w:sz w:val="21"/>
              </w:rPr>
              <w:t xml:space="preserve"> </w:t>
            </w:r>
            <w:r>
              <w:rPr>
                <w:sz w:val="21"/>
              </w:rPr>
              <w:t>(DoDEA)</w:t>
            </w:r>
            <w:r>
              <w:rPr>
                <w:spacing w:val="-6"/>
                <w:sz w:val="21"/>
              </w:rPr>
              <w:t xml:space="preserve"> </w:t>
            </w:r>
            <w:r>
              <w:rPr>
                <w:sz w:val="21"/>
              </w:rPr>
              <w:t>schools</w:t>
            </w:r>
            <w:r>
              <w:rPr>
                <w:spacing w:val="-6"/>
                <w:sz w:val="21"/>
              </w:rPr>
              <w:t xml:space="preserve"> </w:t>
            </w:r>
            <w:r>
              <w:rPr>
                <w:sz w:val="21"/>
              </w:rPr>
              <w:t>that</w:t>
            </w:r>
            <w:r>
              <w:rPr>
                <w:spacing w:val="-6"/>
                <w:sz w:val="21"/>
              </w:rPr>
              <w:t xml:space="preserve"> </w:t>
            </w:r>
            <w:r>
              <w:rPr>
                <w:sz w:val="21"/>
              </w:rPr>
              <w:t>are</w:t>
            </w:r>
            <w:r>
              <w:rPr>
                <w:spacing w:val="-7"/>
                <w:sz w:val="21"/>
              </w:rPr>
              <w:t xml:space="preserve"> </w:t>
            </w:r>
            <w:r>
              <w:rPr>
                <w:sz w:val="21"/>
              </w:rPr>
              <w:t>located</w:t>
            </w:r>
            <w:r>
              <w:rPr>
                <w:spacing w:val="-6"/>
                <w:sz w:val="21"/>
              </w:rPr>
              <w:t xml:space="preserve"> </w:t>
            </w:r>
            <w:r>
              <w:rPr>
                <w:sz w:val="21"/>
              </w:rPr>
              <w:t>in</w:t>
            </w:r>
            <w:r>
              <w:rPr>
                <w:spacing w:val="-6"/>
                <w:sz w:val="21"/>
              </w:rPr>
              <w:t xml:space="preserve"> </w:t>
            </w:r>
            <w:r>
              <w:rPr>
                <w:sz w:val="21"/>
              </w:rPr>
              <w:t>the</w:t>
            </w:r>
            <w:r>
              <w:rPr>
                <w:spacing w:val="-6"/>
                <w:sz w:val="21"/>
              </w:rPr>
              <w:t xml:space="preserve"> </w:t>
            </w:r>
            <w:r>
              <w:rPr>
                <w:sz w:val="21"/>
              </w:rPr>
              <w:t>United</w:t>
            </w:r>
            <w:r>
              <w:rPr>
                <w:spacing w:val="-6"/>
                <w:sz w:val="21"/>
              </w:rPr>
              <w:t xml:space="preserve"> </w:t>
            </w:r>
            <w:r>
              <w:rPr>
                <w:spacing w:val="-2"/>
                <w:sz w:val="21"/>
              </w:rPr>
              <w:t>States.</w:t>
            </w:r>
          </w:p>
        </w:tc>
      </w:tr>
    </w:tbl>
    <w:p w:rsidR="003F5784" w14:paraId="6F87B738" w14:textId="77777777">
      <w:pPr>
        <w:pStyle w:val="BodyText"/>
        <w:spacing w:before="80" w:line="238" w:lineRule="exact"/>
        <w:ind w:left="595"/>
      </w:pPr>
      <w:r>
        <w:t>NOTE:</w:t>
      </w:r>
      <w:r>
        <w:rPr>
          <w:spacing w:val="-6"/>
        </w:rPr>
        <w:t xml:space="preserve"> </w:t>
      </w:r>
      <w:r>
        <w:t>School</w:t>
      </w:r>
      <w:r>
        <w:rPr>
          <w:spacing w:val="-5"/>
        </w:rPr>
        <w:t xml:space="preserve"> </w:t>
      </w:r>
      <w:r>
        <w:t>counts</w:t>
      </w:r>
      <w:r>
        <w:rPr>
          <w:spacing w:val="-6"/>
        </w:rPr>
        <w:t xml:space="preserve"> </w:t>
      </w:r>
      <w:r>
        <w:t>are</w:t>
      </w:r>
      <w:r>
        <w:rPr>
          <w:spacing w:val="-5"/>
        </w:rPr>
        <w:t xml:space="preserve"> </w:t>
      </w:r>
      <w:r>
        <w:t>rounded</w:t>
      </w:r>
      <w:r>
        <w:rPr>
          <w:spacing w:val="-5"/>
        </w:rPr>
        <w:t xml:space="preserve"> </w:t>
      </w:r>
      <w:r>
        <w:t>to</w:t>
      </w:r>
      <w:r>
        <w:rPr>
          <w:spacing w:val="-6"/>
        </w:rPr>
        <w:t xml:space="preserve"> </w:t>
      </w:r>
      <w:r>
        <w:t>nearest</w:t>
      </w:r>
      <w:r>
        <w:rPr>
          <w:spacing w:val="-5"/>
        </w:rPr>
        <w:t xml:space="preserve"> </w:t>
      </w:r>
      <w:r>
        <w:t>ten</w:t>
      </w:r>
      <w:r>
        <w:rPr>
          <w:spacing w:val="-6"/>
        </w:rPr>
        <w:t xml:space="preserve"> </w:t>
      </w:r>
      <w:r>
        <w:t>and</w:t>
      </w:r>
      <w:r>
        <w:rPr>
          <w:spacing w:val="-5"/>
        </w:rPr>
        <w:t xml:space="preserve"> </w:t>
      </w:r>
      <w:r>
        <w:t>student</w:t>
      </w:r>
      <w:r>
        <w:rPr>
          <w:spacing w:val="-5"/>
        </w:rPr>
        <w:t xml:space="preserve"> </w:t>
      </w:r>
      <w:r>
        <w:t>counts</w:t>
      </w:r>
      <w:r>
        <w:rPr>
          <w:spacing w:val="-6"/>
        </w:rPr>
        <w:t xml:space="preserve"> </w:t>
      </w:r>
      <w:r>
        <w:t>are</w:t>
      </w:r>
      <w:r>
        <w:rPr>
          <w:spacing w:val="-5"/>
        </w:rPr>
        <w:t xml:space="preserve"> </w:t>
      </w:r>
      <w:r>
        <w:t>rounded</w:t>
      </w:r>
      <w:r>
        <w:rPr>
          <w:spacing w:val="-6"/>
        </w:rPr>
        <w:t xml:space="preserve"> </w:t>
      </w:r>
      <w:r>
        <w:t>to</w:t>
      </w:r>
      <w:r>
        <w:rPr>
          <w:spacing w:val="-5"/>
        </w:rPr>
        <w:t xml:space="preserve"> </w:t>
      </w:r>
      <w:r>
        <w:t>nearest</w:t>
      </w:r>
      <w:r>
        <w:rPr>
          <w:spacing w:val="-5"/>
        </w:rPr>
        <w:t xml:space="preserve"> </w:t>
      </w:r>
      <w:r>
        <w:t>hundred.</w:t>
      </w:r>
      <w:r>
        <w:rPr>
          <w:spacing w:val="-6"/>
        </w:rPr>
        <w:t xml:space="preserve"> </w:t>
      </w:r>
      <w:r>
        <w:t>Detail</w:t>
      </w:r>
      <w:r>
        <w:rPr>
          <w:spacing w:val="-5"/>
        </w:rPr>
        <w:t xml:space="preserve"> </w:t>
      </w:r>
      <w:r>
        <w:t>may</w:t>
      </w:r>
      <w:r>
        <w:rPr>
          <w:spacing w:val="-6"/>
        </w:rPr>
        <w:t xml:space="preserve"> </w:t>
      </w:r>
      <w:r>
        <w:t>not</w:t>
      </w:r>
      <w:r>
        <w:rPr>
          <w:spacing w:val="-5"/>
        </w:rPr>
        <w:t xml:space="preserve"> </w:t>
      </w:r>
      <w:r>
        <w:t>sum</w:t>
      </w:r>
      <w:r>
        <w:rPr>
          <w:spacing w:val="-5"/>
        </w:rPr>
        <w:t xml:space="preserve"> </w:t>
      </w:r>
      <w:r>
        <w:t>to</w:t>
      </w:r>
      <w:r>
        <w:rPr>
          <w:spacing w:val="-6"/>
        </w:rPr>
        <w:t xml:space="preserve"> </w:t>
      </w:r>
      <w:r>
        <w:t>totals</w:t>
      </w:r>
      <w:r>
        <w:rPr>
          <w:spacing w:val="-5"/>
        </w:rPr>
        <w:t xml:space="preserve"> </w:t>
      </w:r>
      <w:r>
        <w:t>because</w:t>
      </w:r>
      <w:r>
        <w:rPr>
          <w:spacing w:val="-6"/>
        </w:rPr>
        <w:t xml:space="preserve"> </w:t>
      </w:r>
      <w:r>
        <w:t>of</w:t>
      </w:r>
      <w:r>
        <w:rPr>
          <w:spacing w:val="-5"/>
        </w:rPr>
        <w:t xml:space="preserve"> </w:t>
      </w:r>
      <w:r>
        <w:rPr>
          <w:spacing w:val="-2"/>
        </w:rPr>
        <w:t>rounding.</w:t>
      </w:r>
    </w:p>
    <w:p w:rsidR="003F5784" w14:paraId="448CD3C8" w14:textId="77777777">
      <w:pPr>
        <w:pStyle w:val="BodyText"/>
        <w:spacing w:before="3"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Mathematics Assessment.</w:t>
      </w:r>
    </w:p>
    <w:p w:rsidR="003F5784" w14:paraId="69A583FC" w14:textId="77777777">
      <w:pPr>
        <w:spacing w:line="232" w:lineRule="auto"/>
        <w:sectPr>
          <w:type w:val="continuous"/>
          <w:pgSz w:w="15840" w:h="12240" w:orient="landscape"/>
          <w:pgMar w:top="480" w:right="440" w:bottom="460" w:left="460" w:header="284" w:footer="275" w:gutter="0"/>
          <w:cols w:space="720"/>
        </w:sectPr>
      </w:pPr>
    </w:p>
    <w:p w:rsidR="003F5784" w14:paraId="0DC53CB5" w14:textId="77777777">
      <w:pPr>
        <w:pStyle w:val="BodyText"/>
        <w:spacing w:before="5"/>
        <w:rPr>
          <w:sz w:val="9"/>
        </w:rPr>
      </w:pPr>
    </w:p>
    <w:tbl>
      <w:tblPr>
        <w:tblW w:w="0" w:type="auto"/>
        <w:tblInd w:w="552" w:type="dxa"/>
        <w:tblLayout w:type="fixed"/>
        <w:tblCellMar>
          <w:left w:w="0" w:type="dxa"/>
          <w:right w:w="0" w:type="dxa"/>
        </w:tblCellMar>
        <w:tblLook w:val="01E0"/>
      </w:tblPr>
      <w:tblGrid>
        <w:gridCol w:w="2723"/>
        <w:gridCol w:w="1575"/>
        <w:gridCol w:w="10"/>
        <w:gridCol w:w="1969"/>
        <w:gridCol w:w="11"/>
        <w:gridCol w:w="1800"/>
        <w:gridCol w:w="23"/>
        <w:gridCol w:w="1237"/>
        <w:gridCol w:w="27"/>
        <w:gridCol w:w="1233"/>
        <w:gridCol w:w="41"/>
        <w:gridCol w:w="1559"/>
        <w:gridCol w:w="20"/>
        <w:gridCol w:w="1760"/>
        <w:gridCol w:w="40"/>
      </w:tblGrid>
      <w:tr w14:paraId="12072B6D" w14:textId="77777777" w:rsidTr="008C4D83">
        <w:tblPrEx>
          <w:tblW w:w="0" w:type="auto"/>
          <w:tblInd w:w="552" w:type="dxa"/>
          <w:tblLayout w:type="fixed"/>
          <w:tblCellMar>
            <w:left w:w="0" w:type="dxa"/>
            <w:right w:w="0" w:type="dxa"/>
          </w:tblCellMar>
          <w:tblLook w:val="01E0"/>
        </w:tblPrEx>
        <w:trPr>
          <w:trHeight w:val="232"/>
        </w:trPr>
        <w:tc>
          <w:tcPr>
            <w:tcW w:w="4298" w:type="dxa"/>
            <w:gridSpan w:val="2"/>
          </w:tcPr>
          <w:p w:rsidR="003F5784" w14:paraId="62B69D48" w14:textId="77777777">
            <w:pPr>
              <w:pStyle w:val="TableParagraph"/>
              <w:spacing w:before="0"/>
              <w:jc w:val="left"/>
              <w:rPr>
                <w:sz w:val="16"/>
              </w:rPr>
            </w:pPr>
          </w:p>
        </w:tc>
        <w:tc>
          <w:tcPr>
            <w:tcW w:w="1979" w:type="dxa"/>
            <w:gridSpan w:val="2"/>
          </w:tcPr>
          <w:p w:rsidR="003F5784" w14:paraId="12BCAF79" w14:textId="77777777">
            <w:pPr>
              <w:pStyle w:val="TableParagraph"/>
              <w:spacing w:before="0" w:line="213" w:lineRule="exact"/>
              <w:ind w:right="167"/>
              <w:rPr>
                <w:sz w:val="21"/>
              </w:rPr>
            </w:pPr>
            <w:r>
              <w:rPr>
                <w:sz w:val="21"/>
              </w:rPr>
              <w:t>School</w:t>
            </w:r>
            <w:r>
              <w:rPr>
                <w:spacing w:val="-7"/>
                <w:sz w:val="21"/>
              </w:rPr>
              <w:t xml:space="preserve"> </w:t>
            </w:r>
            <w:r>
              <w:rPr>
                <w:spacing w:val="-2"/>
                <w:sz w:val="21"/>
              </w:rPr>
              <w:t>participation</w:t>
            </w:r>
          </w:p>
        </w:tc>
        <w:tc>
          <w:tcPr>
            <w:tcW w:w="1834" w:type="dxa"/>
            <w:gridSpan w:val="3"/>
          </w:tcPr>
          <w:p w:rsidR="003F5784" w14:paraId="6BA4600A" w14:textId="77777777">
            <w:pPr>
              <w:pStyle w:val="TableParagraph"/>
              <w:spacing w:before="0" w:line="213" w:lineRule="exact"/>
              <w:ind w:left="-26" w:right="147"/>
              <w:rPr>
                <w:sz w:val="21"/>
              </w:rPr>
            </w:pPr>
            <w:r>
              <w:rPr>
                <w:spacing w:val="-2"/>
                <w:sz w:val="21"/>
              </w:rPr>
              <w:t>School</w:t>
            </w:r>
          </w:p>
        </w:tc>
        <w:tc>
          <w:tcPr>
            <w:tcW w:w="5917" w:type="dxa"/>
            <w:gridSpan w:val="8"/>
          </w:tcPr>
          <w:p w:rsidR="003F5784" w14:paraId="1C054A7C" w14:textId="77777777">
            <w:pPr>
              <w:pStyle w:val="TableParagraph"/>
              <w:spacing w:before="0"/>
              <w:jc w:val="left"/>
              <w:rPr>
                <w:sz w:val="16"/>
              </w:rPr>
            </w:pPr>
          </w:p>
        </w:tc>
      </w:tr>
      <w:tr w14:paraId="775E5845" w14:textId="77777777" w:rsidTr="008C4D83">
        <w:tblPrEx>
          <w:tblW w:w="0" w:type="auto"/>
          <w:tblInd w:w="552" w:type="dxa"/>
          <w:tblLayout w:type="fixed"/>
          <w:tblCellMar>
            <w:left w:w="0" w:type="dxa"/>
            <w:right w:w="0" w:type="dxa"/>
          </w:tblCellMar>
          <w:tblLook w:val="01E0"/>
        </w:tblPrEx>
        <w:trPr>
          <w:trHeight w:val="234"/>
        </w:trPr>
        <w:tc>
          <w:tcPr>
            <w:tcW w:w="4298" w:type="dxa"/>
            <w:gridSpan w:val="2"/>
          </w:tcPr>
          <w:p w:rsidR="003F5784" w14:paraId="3819A6CD" w14:textId="77777777">
            <w:pPr>
              <w:pStyle w:val="TableParagraph"/>
              <w:spacing w:before="0" w:line="215" w:lineRule="exact"/>
              <w:ind w:right="123"/>
              <w:rPr>
                <w:sz w:val="21"/>
              </w:rPr>
            </w:pPr>
            <w:r>
              <w:rPr>
                <w:sz w:val="21"/>
              </w:rPr>
              <w:t>Number</w:t>
            </w:r>
            <w:r>
              <w:rPr>
                <w:spacing w:val="-8"/>
                <w:sz w:val="21"/>
              </w:rPr>
              <w:t xml:space="preserve"> </w:t>
            </w:r>
            <w:r>
              <w:rPr>
                <w:spacing w:val="-5"/>
                <w:sz w:val="21"/>
              </w:rPr>
              <w:t>of</w:t>
            </w:r>
          </w:p>
        </w:tc>
        <w:tc>
          <w:tcPr>
            <w:tcW w:w="1979" w:type="dxa"/>
            <w:gridSpan w:val="2"/>
          </w:tcPr>
          <w:p w:rsidR="003F5784" w14:paraId="4B20D4C6" w14:textId="77777777">
            <w:pPr>
              <w:pStyle w:val="TableParagraph"/>
              <w:spacing w:before="0" w:line="215" w:lineRule="exact"/>
              <w:ind w:right="167"/>
              <w:rPr>
                <w:sz w:val="21"/>
              </w:rPr>
            </w:pPr>
            <w:r>
              <w:rPr>
                <w:sz w:val="21"/>
              </w:rPr>
              <w:t>rates</w:t>
            </w:r>
            <w:r>
              <w:rPr>
                <w:spacing w:val="-5"/>
                <w:sz w:val="21"/>
              </w:rPr>
              <w:t xml:space="preserve"> </w:t>
            </w:r>
            <w:r>
              <w:rPr>
                <w:spacing w:val="-2"/>
                <w:sz w:val="21"/>
              </w:rPr>
              <w:t>(percent)</w:t>
            </w:r>
          </w:p>
        </w:tc>
        <w:tc>
          <w:tcPr>
            <w:tcW w:w="1834" w:type="dxa"/>
            <w:gridSpan w:val="3"/>
          </w:tcPr>
          <w:p w:rsidR="003F5784" w14:paraId="458F82A7" w14:textId="77777777">
            <w:pPr>
              <w:pStyle w:val="TableParagraph"/>
              <w:spacing w:before="0" w:line="215" w:lineRule="exact"/>
              <w:ind w:left="-26" w:right="147"/>
              <w:rPr>
                <w:sz w:val="21"/>
              </w:rPr>
            </w:pPr>
            <w:r>
              <w:rPr>
                <w:sz w:val="21"/>
              </w:rPr>
              <w:t>participation</w:t>
            </w:r>
            <w:r>
              <w:rPr>
                <w:spacing w:val="-12"/>
                <w:sz w:val="21"/>
              </w:rPr>
              <w:t xml:space="preserve"> </w:t>
            </w:r>
            <w:r>
              <w:rPr>
                <w:spacing w:val="-2"/>
                <w:sz w:val="21"/>
              </w:rPr>
              <w:t>rates</w:t>
            </w:r>
          </w:p>
        </w:tc>
        <w:tc>
          <w:tcPr>
            <w:tcW w:w="1264" w:type="dxa"/>
            <w:gridSpan w:val="2"/>
          </w:tcPr>
          <w:p w:rsidR="003F5784" w14:paraId="2D940887" w14:textId="77777777">
            <w:pPr>
              <w:pStyle w:val="TableParagraph"/>
              <w:spacing w:before="0"/>
              <w:jc w:val="left"/>
              <w:rPr>
                <w:sz w:val="16"/>
              </w:rPr>
            </w:pPr>
          </w:p>
        </w:tc>
        <w:tc>
          <w:tcPr>
            <w:tcW w:w="1274" w:type="dxa"/>
            <w:gridSpan w:val="2"/>
          </w:tcPr>
          <w:p w:rsidR="003F5784" w14:paraId="2317DDF0" w14:textId="77777777">
            <w:pPr>
              <w:pStyle w:val="TableParagraph"/>
              <w:spacing w:before="0"/>
              <w:jc w:val="left"/>
              <w:rPr>
                <w:sz w:val="16"/>
              </w:rPr>
            </w:pPr>
          </w:p>
        </w:tc>
        <w:tc>
          <w:tcPr>
            <w:tcW w:w="1559" w:type="dxa"/>
          </w:tcPr>
          <w:p w:rsidR="003F5784" w14:paraId="65AA112F" w14:textId="77777777">
            <w:pPr>
              <w:pStyle w:val="TableParagraph"/>
              <w:spacing w:before="0" w:line="215" w:lineRule="exact"/>
              <w:ind w:right="135"/>
              <w:rPr>
                <w:sz w:val="21"/>
              </w:rPr>
            </w:pPr>
            <w:r>
              <w:rPr>
                <w:spacing w:val="-2"/>
                <w:sz w:val="21"/>
              </w:rPr>
              <w:t>Weighted</w:t>
            </w:r>
          </w:p>
        </w:tc>
        <w:tc>
          <w:tcPr>
            <w:tcW w:w="1820" w:type="dxa"/>
            <w:gridSpan w:val="3"/>
          </w:tcPr>
          <w:p w:rsidR="003F5784" w14:paraId="48621F7A" w14:textId="77777777">
            <w:pPr>
              <w:pStyle w:val="TableParagraph"/>
              <w:spacing w:before="0"/>
              <w:jc w:val="left"/>
              <w:rPr>
                <w:sz w:val="16"/>
              </w:rPr>
            </w:pPr>
          </w:p>
        </w:tc>
      </w:tr>
      <w:tr w14:paraId="321680C5" w14:textId="77777777" w:rsidTr="008C4D83">
        <w:tblPrEx>
          <w:tblW w:w="0" w:type="auto"/>
          <w:tblInd w:w="552" w:type="dxa"/>
          <w:tblLayout w:type="fixed"/>
          <w:tblCellMar>
            <w:left w:w="0" w:type="dxa"/>
            <w:right w:w="0" w:type="dxa"/>
          </w:tblCellMar>
          <w:tblLook w:val="01E0"/>
        </w:tblPrEx>
        <w:trPr>
          <w:trHeight w:val="234"/>
        </w:trPr>
        <w:tc>
          <w:tcPr>
            <w:tcW w:w="4298" w:type="dxa"/>
            <w:gridSpan w:val="2"/>
          </w:tcPr>
          <w:p w:rsidR="003F5784" w14:paraId="796D3DCF" w14:textId="77777777">
            <w:pPr>
              <w:pStyle w:val="TableParagraph"/>
              <w:spacing w:before="0" w:line="215" w:lineRule="exact"/>
              <w:ind w:right="123"/>
              <w:rPr>
                <w:sz w:val="21"/>
              </w:rPr>
            </w:pPr>
            <w:r>
              <w:rPr>
                <w:sz w:val="21"/>
              </w:rPr>
              <w:t>schools</w:t>
            </w:r>
            <w:r>
              <w:rPr>
                <w:spacing w:val="-8"/>
                <w:sz w:val="21"/>
              </w:rPr>
              <w:t xml:space="preserve"> </w:t>
            </w:r>
            <w:r>
              <w:rPr>
                <w:spacing w:val="-5"/>
                <w:sz w:val="21"/>
              </w:rPr>
              <w:t>in</w:t>
            </w:r>
          </w:p>
        </w:tc>
        <w:tc>
          <w:tcPr>
            <w:tcW w:w="1979" w:type="dxa"/>
            <w:gridSpan w:val="2"/>
          </w:tcPr>
          <w:p w:rsidR="003F5784" w14:paraId="6EE91A05" w14:textId="77777777">
            <w:pPr>
              <w:pStyle w:val="TableParagraph"/>
              <w:spacing w:before="0" w:line="215" w:lineRule="exact"/>
              <w:ind w:right="167"/>
              <w:rPr>
                <w:sz w:val="21"/>
              </w:rPr>
            </w:pPr>
            <w:r>
              <w:rPr>
                <w:sz w:val="21"/>
              </w:rPr>
              <w:t>before</w:t>
            </w:r>
            <w:r>
              <w:rPr>
                <w:spacing w:val="-7"/>
                <w:sz w:val="21"/>
              </w:rPr>
              <w:t xml:space="preserve"> </w:t>
            </w:r>
            <w:r>
              <w:rPr>
                <w:spacing w:val="-2"/>
                <w:sz w:val="21"/>
              </w:rPr>
              <w:t>substitution</w:t>
            </w:r>
          </w:p>
        </w:tc>
        <w:tc>
          <w:tcPr>
            <w:tcW w:w="1834" w:type="dxa"/>
            <w:gridSpan w:val="3"/>
          </w:tcPr>
          <w:p w:rsidR="003F5784" w14:paraId="7F981A56" w14:textId="77777777">
            <w:pPr>
              <w:pStyle w:val="TableParagraph"/>
              <w:spacing w:before="0" w:line="215" w:lineRule="exact"/>
              <w:ind w:left="-26" w:right="147"/>
              <w:rPr>
                <w:sz w:val="21"/>
              </w:rPr>
            </w:pPr>
            <w:r>
              <w:rPr>
                <w:sz w:val="21"/>
              </w:rPr>
              <w:t>(percent)</w:t>
            </w:r>
            <w:r>
              <w:rPr>
                <w:spacing w:val="-9"/>
                <w:sz w:val="21"/>
              </w:rPr>
              <w:t xml:space="preserve"> </w:t>
            </w:r>
            <w:r>
              <w:rPr>
                <w:spacing w:val="-2"/>
                <w:sz w:val="21"/>
              </w:rPr>
              <w:t>before</w:t>
            </w:r>
          </w:p>
        </w:tc>
        <w:tc>
          <w:tcPr>
            <w:tcW w:w="1264" w:type="dxa"/>
            <w:gridSpan w:val="2"/>
          </w:tcPr>
          <w:p w:rsidR="003F5784" w14:paraId="0937646F" w14:textId="77777777">
            <w:pPr>
              <w:pStyle w:val="TableParagraph"/>
              <w:spacing w:before="0" w:line="215" w:lineRule="exact"/>
              <w:ind w:right="206"/>
              <w:rPr>
                <w:sz w:val="21"/>
              </w:rPr>
            </w:pPr>
            <w:r>
              <w:rPr>
                <w:sz w:val="21"/>
              </w:rPr>
              <w:t>Number</w:t>
            </w:r>
            <w:r>
              <w:rPr>
                <w:spacing w:val="-8"/>
                <w:sz w:val="21"/>
              </w:rPr>
              <w:t xml:space="preserve"> </w:t>
            </w:r>
            <w:r>
              <w:rPr>
                <w:spacing w:val="-5"/>
                <w:sz w:val="21"/>
              </w:rPr>
              <w:t>of</w:t>
            </w:r>
          </w:p>
        </w:tc>
        <w:tc>
          <w:tcPr>
            <w:tcW w:w="1274" w:type="dxa"/>
            <w:gridSpan w:val="2"/>
          </w:tcPr>
          <w:p w:rsidR="003F5784" w14:paraId="2D14AE4C" w14:textId="77777777">
            <w:pPr>
              <w:pStyle w:val="TableParagraph"/>
              <w:spacing w:before="0" w:line="215" w:lineRule="exact"/>
              <w:ind w:left="127" w:right="110"/>
              <w:jc w:val="center"/>
              <w:rPr>
                <w:sz w:val="21"/>
              </w:rPr>
            </w:pPr>
            <w:r>
              <w:rPr>
                <w:spacing w:val="-2"/>
                <w:sz w:val="21"/>
              </w:rPr>
              <w:t>Weighted</w:t>
            </w:r>
          </w:p>
        </w:tc>
        <w:tc>
          <w:tcPr>
            <w:tcW w:w="1559" w:type="dxa"/>
          </w:tcPr>
          <w:p w:rsidR="003F5784" w14:paraId="0D6F6763" w14:textId="77777777">
            <w:pPr>
              <w:pStyle w:val="TableParagraph"/>
              <w:spacing w:before="0" w:line="215" w:lineRule="exact"/>
              <w:ind w:right="135"/>
              <w:rPr>
                <w:sz w:val="21"/>
              </w:rPr>
            </w:pPr>
            <w:r>
              <w:rPr>
                <w:spacing w:val="-2"/>
                <w:sz w:val="21"/>
              </w:rPr>
              <w:t>student</w:t>
            </w:r>
          </w:p>
        </w:tc>
        <w:tc>
          <w:tcPr>
            <w:tcW w:w="1820" w:type="dxa"/>
            <w:gridSpan w:val="3"/>
          </w:tcPr>
          <w:p w:rsidR="003F5784" w14:paraId="05DE0946" w14:textId="77777777">
            <w:pPr>
              <w:pStyle w:val="TableParagraph"/>
              <w:spacing w:before="0"/>
              <w:jc w:val="left"/>
              <w:rPr>
                <w:sz w:val="16"/>
              </w:rPr>
            </w:pPr>
          </w:p>
        </w:tc>
      </w:tr>
      <w:tr w14:paraId="43ECD404" w14:textId="77777777" w:rsidTr="008C4D83">
        <w:tblPrEx>
          <w:tblW w:w="0" w:type="auto"/>
          <w:tblInd w:w="552" w:type="dxa"/>
          <w:tblLayout w:type="fixed"/>
          <w:tblCellMar>
            <w:left w:w="0" w:type="dxa"/>
            <w:right w:w="0" w:type="dxa"/>
          </w:tblCellMar>
          <w:tblLook w:val="01E0"/>
        </w:tblPrEx>
        <w:trPr>
          <w:trHeight w:val="234"/>
        </w:trPr>
        <w:tc>
          <w:tcPr>
            <w:tcW w:w="4298" w:type="dxa"/>
            <w:gridSpan w:val="2"/>
          </w:tcPr>
          <w:p w:rsidR="003F5784" w14:paraId="2456E434" w14:textId="77777777">
            <w:pPr>
              <w:pStyle w:val="TableParagraph"/>
              <w:spacing w:before="0" w:line="215" w:lineRule="exact"/>
              <w:ind w:right="123"/>
              <w:rPr>
                <w:sz w:val="21"/>
              </w:rPr>
            </w:pPr>
            <w:r>
              <w:rPr>
                <w:spacing w:val="-2"/>
                <w:sz w:val="21"/>
              </w:rPr>
              <w:t>original</w:t>
            </w:r>
          </w:p>
        </w:tc>
        <w:tc>
          <w:tcPr>
            <w:tcW w:w="1979" w:type="dxa"/>
            <w:gridSpan w:val="2"/>
          </w:tcPr>
          <w:p w:rsidR="003F5784" w14:paraId="347D622D" w14:textId="77777777">
            <w:pPr>
              <w:pStyle w:val="TableParagraph"/>
              <w:spacing w:before="0" w:line="215" w:lineRule="exact"/>
              <w:ind w:right="167"/>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834" w:type="dxa"/>
            <w:gridSpan w:val="3"/>
          </w:tcPr>
          <w:p w:rsidR="003F5784" w14:paraId="492C3688" w14:textId="77777777">
            <w:pPr>
              <w:pStyle w:val="TableParagraph"/>
              <w:spacing w:before="0" w:line="215" w:lineRule="exact"/>
              <w:ind w:left="-26" w:right="147"/>
              <w:rPr>
                <w:sz w:val="21"/>
              </w:rPr>
            </w:pPr>
            <w:r>
              <w:rPr>
                <w:spacing w:val="-2"/>
                <w:sz w:val="21"/>
              </w:rPr>
              <w:t>substitution</w:t>
            </w:r>
          </w:p>
        </w:tc>
        <w:tc>
          <w:tcPr>
            <w:tcW w:w="1264" w:type="dxa"/>
            <w:gridSpan w:val="2"/>
          </w:tcPr>
          <w:p w:rsidR="003F5784" w14:paraId="4034E59C" w14:textId="77777777">
            <w:pPr>
              <w:pStyle w:val="TableParagraph"/>
              <w:spacing w:before="0" w:line="215" w:lineRule="exact"/>
              <w:ind w:right="206"/>
              <w:rPr>
                <w:sz w:val="21"/>
              </w:rPr>
            </w:pPr>
            <w:r>
              <w:rPr>
                <w:spacing w:val="-2"/>
                <w:sz w:val="21"/>
              </w:rPr>
              <w:t>students</w:t>
            </w:r>
          </w:p>
        </w:tc>
        <w:tc>
          <w:tcPr>
            <w:tcW w:w="1274" w:type="dxa"/>
            <w:gridSpan w:val="2"/>
          </w:tcPr>
          <w:p w:rsidR="003F5784" w14:paraId="48596238" w14:textId="77777777">
            <w:pPr>
              <w:pStyle w:val="TableParagraph"/>
              <w:spacing w:before="0" w:line="215" w:lineRule="exact"/>
              <w:ind w:left="127" w:right="152"/>
              <w:jc w:val="center"/>
              <w:rPr>
                <w:sz w:val="21"/>
              </w:rPr>
            </w:pPr>
            <w:r>
              <w:rPr>
                <w:sz w:val="21"/>
              </w:rPr>
              <w:t>percent</w:t>
            </w:r>
            <w:r>
              <w:rPr>
                <w:spacing w:val="-8"/>
                <w:sz w:val="21"/>
              </w:rPr>
              <w:t xml:space="preserve"> </w:t>
            </w:r>
            <w:r>
              <w:rPr>
                <w:spacing w:val="-5"/>
                <w:sz w:val="21"/>
              </w:rPr>
              <w:t>of</w:t>
            </w:r>
          </w:p>
        </w:tc>
        <w:tc>
          <w:tcPr>
            <w:tcW w:w="1559" w:type="dxa"/>
          </w:tcPr>
          <w:p w:rsidR="003F5784" w14:paraId="2819E24D" w14:textId="77777777">
            <w:pPr>
              <w:pStyle w:val="TableParagraph"/>
              <w:spacing w:before="0" w:line="215" w:lineRule="exact"/>
              <w:ind w:right="135"/>
              <w:rPr>
                <w:sz w:val="21"/>
              </w:rPr>
            </w:pPr>
            <w:r>
              <w:rPr>
                <w:spacing w:val="-2"/>
                <w:sz w:val="21"/>
              </w:rPr>
              <w:t>participation</w:t>
            </w:r>
          </w:p>
        </w:tc>
        <w:tc>
          <w:tcPr>
            <w:tcW w:w="1820" w:type="dxa"/>
            <w:gridSpan w:val="3"/>
          </w:tcPr>
          <w:p w:rsidR="003F5784" w14:paraId="040B634B" w14:textId="77777777">
            <w:pPr>
              <w:pStyle w:val="TableParagraph"/>
              <w:spacing w:before="0" w:line="215" w:lineRule="exact"/>
              <w:ind w:right="54"/>
              <w:rPr>
                <w:sz w:val="21"/>
              </w:rPr>
            </w:pPr>
            <w:r>
              <w:rPr>
                <w:spacing w:val="-2"/>
                <w:sz w:val="21"/>
              </w:rPr>
              <w:t>Weighted</w:t>
            </w:r>
            <w:r>
              <w:rPr>
                <w:spacing w:val="-11"/>
                <w:sz w:val="21"/>
              </w:rPr>
              <w:t xml:space="preserve"> </w:t>
            </w:r>
            <w:r>
              <w:rPr>
                <w:spacing w:val="-2"/>
                <w:sz w:val="21"/>
              </w:rPr>
              <w:t>percent</w:t>
            </w:r>
          </w:p>
        </w:tc>
      </w:tr>
      <w:tr w14:paraId="093A08C2" w14:textId="77777777" w:rsidTr="008C4D83">
        <w:tblPrEx>
          <w:tblW w:w="0" w:type="auto"/>
          <w:tblInd w:w="552" w:type="dxa"/>
          <w:tblLayout w:type="fixed"/>
          <w:tblCellMar>
            <w:left w:w="0" w:type="dxa"/>
            <w:right w:w="0" w:type="dxa"/>
          </w:tblCellMar>
          <w:tblLook w:val="01E0"/>
        </w:tblPrEx>
        <w:trPr>
          <w:trHeight w:val="234"/>
        </w:trPr>
        <w:tc>
          <w:tcPr>
            <w:tcW w:w="4298" w:type="dxa"/>
            <w:gridSpan w:val="2"/>
          </w:tcPr>
          <w:p w:rsidR="003F5784" w14:paraId="6F8E77E4" w14:textId="77777777">
            <w:pPr>
              <w:pStyle w:val="TableParagraph"/>
              <w:spacing w:before="0" w:line="215" w:lineRule="exact"/>
              <w:ind w:right="123"/>
              <w:rPr>
                <w:sz w:val="21"/>
              </w:rPr>
            </w:pPr>
            <w:r>
              <w:rPr>
                <w:spacing w:val="-2"/>
                <w:sz w:val="21"/>
              </w:rPr>
              <w:t>sample,</w:t>
            </w:r>
          </w:p>
        </w:tc>
        <w:tc>
          <w:tcPr>
            <w:tcW w:w="1979" w:type="dxa"/>
            <w:gridSpan w:val="2"/>
          </w:tcPr>
          <w:p w:rsidR="003F5784" w14:paraId="479A48E2" w14:textId="77777777">
            <w:pPr>
              <w:pStyle w:val="TableParagraph"/>
              <w:spacing w:before="0" w:line="215" w:lineRule="exact"/>
              <w:ind w:right="167"/>
              <w:rPr>
                <w:sz w:val="21"/>
              </w:rPr>
            </w:pPr>
            <w:r>
              <w:rPr>
                <w:sz w:val="21"/>
              </w:rPr>
              <w:t>weight</w:t>
            </w:r>
            <w:r>
              <w:rPr>
                <w:spacing w:val="-7"/>
                <w:sz w:val="21"/>
              </w:rPr>
              <w:t xml:space="preserve"> </w:t>
            </w:r>
            <w:r>
              <w:rPr>
                <w:spacing w:val="-5"/>
                <w:sz w:val="21"/>
              </w:rPr>
              <w:t>and</w:t>
            </w:r>
          </w:p>
        </w:tc>
        <w:tc>
          <w:tcPr>
            <w:tcW w:w="1834" w:type="dxa"/>
            <w:gridSpan w:val="3"/>
          </w:tcPr>
          <w:p w:rsidR="003F5784" w14:paraId="04EAE50A" w14:textId="77777777">
            <w:pPr>
              <w:pStyle w:val="TableParagraph"/>
              <w:spacing w:before="0" w:line="215" w:lineRule="exact"/>
              <w:ind w:left="-26" w:right="147"/>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264" w:type="dxa"/>
            <w:gridSpan w:val="2"/>
          </w:tcPr>
          <w:p w:rsidR="003F5784" w14:paraId="4261696E" w14:textId="77777777">
            <w:pPr>
              <w:pStyle w:val="TableParagraph"/>
              <w:spacing w:before="0" w:line="215" w:lineRule="exact"/>
              <w:ind w:right="206"/>
              <w:rPr>
                <w:sz w:val="21"/>
              </w:rPr>
            </w:pPr>
            <w:r>
              <w:rPr>
                <w:spacing w:val="-2"/>
                <w:sz w:val="21"/>
              </w:rPr>
              <w:t>sampled,</w:t>
            </w:r>
          </w:p>
        </w:tc>
        <w:tc>
          <w:tcPr>
            <w:tcW w:w="1274" w:type="dxa"/>
            <w:gridSpan w:val="2"/>
          </w:tcPr>
          <w:p w:rsidR="003F5784" w14:paraId="2E166EAA" w14:textId="77777777">
            <w:pPr>
              <w:pStyle w:val="TableParagraph"/>
              <w:spacing w:before="0" w:line="215" w:lineRule="exact"/>
              <w:ind w:left="152" w:right="25"/>
              <w:jc w:val="center"/>
              <w:rPr>
                <w:sz w:val="21"/>
              </w:rPr>
            </w:pPr>
            <w:r>
              <w:rPr>
                <w:spacing w:val="-2"/>
                <w:sz w:val="21"/>
              </w:rPr>
              <w:t>students</w:t>
            </w:r>
          </w:p>
        </w:tc>
        <w:tc>
          <w:tcPr>
            <w:tcW w:w="1559" w:type="dxa"/>
          </w:tcPr>
          <w:p w:rsidR="003F5784" w14:paraId="2DA03119" w14:textId="77777777">
            <w:pPr>
              <w:pStyle w:val="TableParagraph"/>
              <w:spacing w:before="0" w:line="215" w:lineRule="exact"/>
              <w:ind w:right="135"/>
              <w:rPr>
                <w:sz w:val="21"/>
              </w:rPr>
            </w:pPr>
            <w:r>
              <w:rPr>
                <w:sz w:val="21"/>
              </w:rPr>
              <w:t>rates</w:t>
            </w:r>
            <w:r>
              <w:rPr>
                <w:spacing w:val="-5"/>
                <w:sz w:val="21"/>
              </w:rPr>
              <w:t xml:space="preserve"> </w:t>
            </w:r>
            <w:r>
              <w:rPr>
                <w:spacing w:val="-2"/>
                <w:sz w:val="21"/>
              </w:rPr>
              <w:t>(percent)</w:t>
            </w:r>
          </w:p>
        </w:tc>
        <w:tc>
          <w:tcPr>
            <w:tcW w:w="1820" w:type="dxa"/>
            <w:gridSpan w:val="3"/>
          </w:tcPr>
          <w:p w:rsidR="003F5784" w14:paraId="75884E8A" w14:textId="77777777">
            <w:pPr>
              <w:pStyle w:val="TableParagraph"/>
              <w:spacing w:before="0" w:line="215" w:lineRule="exact"/>
              <w:ind w:right="54"/>
              <w:rPr>
                <w:sz w:val="21"/>
              </w:rPr>
            </w:pPr>
            <w:r>
              <w:rPr>
                <w:sz w:val="21"/>
              </w:rPr>
              <w:t>of</w:t>
            </w:r>
            <w:r>
              <w:rPr>
                <w:spacing w:val="-3"/>
                <w:sz w:val="21"/>
              </w:rPr>
              <w:t xml:space="preserve"> </w:t>
            </w:r>
            <w:r>
              <w:rPr>
                <w:spacing w:val="-2"/>
                <w:sz w:val="21"/>
              </w:rPr>
              <w:t>students</w:t>
            </w:r>
          </w:p>
        </w:tc>
      </w:tr>
      <w:tr w14:paraId="4E9E5E81" w14:textId="77777777" w:rsidTr="008C4D83">
        <w:tblPrEx>
          <w:tblW w:w="0" w:type="auto"/>
          <w:tblInd w:w="552" w:type="dxa"/>
          <w:tblLayout w:type="fixed"/>
          <w:tblCellMar>
            <w:left w:w="0" w:type="dxa"/>
            <w:right w:w="0" w:type="dxa"/>
          </w:tblCellMar>
          <w:tblLook w:val="01E0"/>
        </w:tblPrEx>
        <w:trPr>
          <w:trHeight w:val="232"/>
        </w:trPr>
        <w:tc>
          <w:tcPr>
            <w:tcW w:w="4298" w:type="dxa"/>
            <w:gridSpan w:val="2"/>
          </w:tcPr>
          <w:p w:rsidR="003F5784" w14:paraId="126EC170" w14:textId="77777777">
            <w:pPr>
              <w:pStyle w:val="TableParagraph"/>
              <w:tabs>
                <w:tab w:val="left" w:pos="3439"/>
              </w:tabs>
              <w:spacing w:before="0" w:line="213" w:lineRule="exact"/>
              <w:ind w:right="123"/>
              <w:rPr>
                <w:sz w:val="21"/>
              </w:rPr>
            </w:pPr>
            <w:r>
              <w:rPr>
                <w:sz w:val="21"/>
              </w:rPr>
              <w:t>School</w:t>
            </w:r>
            <w:r>
              <w:rPr>
                <w:spacing w:val="-7"/>
                <w:sz w:val="21"/>
              </w:rPr>
              <w:t xml:space="preserve"> </w:t>
            </w:r>
            <w:r>
              <w:rPr>
                <w:sz w:val="21"/>
              </w:rPr>
              <w:t>type</w:t>
            </w:r>
            <w:r>
              <w:rPr>
                <w:spacing w:val="-6"/>
                <w:sz w:val="21"/>
              </w:rPr>
              <w:t xml:space="preserve"> </w:t>
            </w:r>
            <w:r>
              <w:rPr>
                <w:sz w:val="21"/>
              </w:rPr>
              <w:t>and</w:t>
            </w:r>
            <w:r>
              <w:rPr>
                <w:spacing w:val="-7"/>
                <w:sz w:val="21"/>
              </w:rPr>
              <w:t xml:space="preserve"> </w:t>
            </w:r>
            <w:r>
              <w:rPr>
                <w:sz w:val="21"/>
              </w:rPr>
              <w:t>geographic</w:t>
            </w:r>
            <w:r>
              <w:rPr>
                <w:spacing w:val="-6"/>
                <w:sz w:val="21"/>
              </w:rPr>
              <w:t xml:space="preserve"> </w:t>
            </w:r>
            <w:r>
              <w:rPr>
                <w:spacing w:val="-2"/>
                <w:sz w:val="21"/>
              </w:rPr>
              <w:t>region</w:t>
            </w:r>
            <w:r>
              <w:rPr>
                <w:sz w:val="21"/>
              </w:rPr>
              <w:tab/>
            </w:r>
            <w:r>
              <w:rPr>
                <w:spacing w:val="-2"/>
                <w:sz w:val="21"/>
              </w:rPr>
              <w:t>rounded</w:t>
            </w:r>
          </w:p>
        </w:tc>
        <w:tc>
          <w:tcPr>
            <w:tcW w:w="1979" w:type="dxa"/>
            <w:gridSpan w:val="2"/>
          </w:tcPr>
          <w:p w:rsidR="003F5784" w14:paraId="3DFF99B0" w14:textId="77777777">
            <w:pPr>
              <w:pStyle w:val="TableParagraph"/>
              <w:spacing w:before="0" w:line="213" w:lineRule="exact"/>
              <w:ind w:right="167"/>
              <w:rPr>
                <w:sz w:val="21"/>
              </w:rPr>
            </w:pPr>
            <w:r>
              <w:rPr>
                <w:spacing w:val="-2"/>
                <w:sz w:val="21"/>
              </w:rPr>
              <w:t>enrollment)</w:t>
            </w:r>
          </w:p>
        </w:tc>
        <w:tc>
          <w:tcPr>
            <w:tcW w:w="1834" w:type="dxa"/>
            <w:gridSpan w:val="3"/>
          </w:tcPr>
          <w:p w:rsidR="003F5784" w14:paraId="11B7D107" w14:textId="77777777">
            <w:pPr>
              <w:pStyle w:val="TableParagraph"/>
              <w:spacing w:before="0" w:line="213" w:lineRule="exact"/>
              <w:ind w:left="-26" w:right="147"/>
              <w:rPr>
                <w:sz w:val="21"/>
              </w:rPr>
            </w:pPr>
            <w:r>
              <w:rPr>
                <w:sz w:val="21"/>
              </w:rPr>
              <w:t>weight</w:t>
            </w:r>
            <w:r>
              <w:rPr>
                <w:spacing w:val="-7"/>
                <w:sz w:val="21"/>
              </w:rPr>
              <w:t xml:space="preserve"> </w:t>
            </w:r>
            <w:r>
              <w:rPr>
                <w:spacing w:val="-2"/>
                <w:sz w:val="21"/>
              </w:rPr>
              <w:t>only)</w:t>
            </w:r>
          </w:p>
        </w:tc>
        <w:tc>
          <w:tcPr>
            <w:tcW w:w="1264" w:type="dxa"/>
            <w:gridSpan w:val="2"/>
          </w:tcPr>
          <w:p w:rsidR="003F5784" w14:paraId="53DAB616" w14:textId="77777777">
            <w:pPr>
              <w:pStyle w:val="TableParagraph"/>
              <w:spacing w:before="0" w:line="213" w:lineRule="exact"/>
              <w:ind w:right="206"/>
              <w:rPr>
                <w:sz w:val="21"/>
              </w:rPr>
            </w:pPr>
            <w:r>
              <w:rPr>
                <w:spacing w:val="-2"/>
                <w:sz w:val="21"/>
              </w:rPr>
              <w:t>rounded</w:t>
            </w:r>
          </w:p>
        </w:tc>
        <w:tc>
          <w:tcPr>
            <w:tcW w:w="1274" w:type="dxa"/>
            <w:gridSpan w:val="2"/>
          </w:tcPr>
          <w:p w:rsidR="003F5784" w14:paraId="08883AD8" w14:textId="77777777">
            <w:pPr>
              <w:pStyle w:val="TableParagraph"/>
              <w:spacing w:before="0" w:line="213" w:lineRule="exact"/>
              <w:ind w:left="127" w:right="69"/>
              <w:jc w:val="center"/>
              <w:rPr>
                <w:sz w:val="21"/>
              </w:rPr>
            </w:pPr>
            <w:r>
              <w:rPr>
                <w:spacing w:val="-2"/>
                <w:sz w:val="21"/>
              </w:rPr>
              <w:t>excluded</w:t>
            </w:r>
          </w:p>
        </w:tc>
        <w:tc>
          <w:tcPr>
            <w:tcW w:w="1559" w:type="dxa"/>
          </w:tcPr>
          <w:p w:rsidR="003F5784" w14:paraId="6D462391" w14:textId="77777777">
            <w:pPr>
              <w:pStyle w:val="TableParagraph"/>
              <w:spacing w:before="0" w:line="213" w:lineRule="exact"/>
              <w:ind w:right="135"/>
              <w:rPr>
                <w:sz w:val="21"/>
              </w:rPr>
            </w:pPr>
            <w:r>
              <w:rPr>
                <w:sz w:val="21"/>
              </w:rPr>
              <w:t>after</w:t>
            </w:r>
            <w:r>
              <w:rPr>
                <w:spacing w:val="-5"/>
                <w:sz w:val="21"/>
              </w:rPr>
              <w:t xml:space="preserve"> </w:t>
            </w:r>
            <w:r>
              <w:rPr>
                <w:spacing w:val="-2"/>
                <w:sz w:val="21"/>
              </w:rPr>
              <w:t>makeups</w:t>
            </w:r>
          </w:p>
        </w:tc>
        <w:tc>
          <w:tcPr>
            <w:tcW w:w="1820" w:type="dxa"/>
            <w:gridSpan w:val="3"/>
          </w:tcPr>
          <w:p w:rsidR="003F5784" w14:paraId="36CF6D3C" w14:textId="77777777">
            <w:pPr>
              <w:pStyle w:val="TableParagraph"/>
              <w:spacing w:before="0" w:line="213" w:lineRule="exact"/>
              <w:ind w:right="54"/>
              <w:rPr>
                <w:sz w:val="21"/>
              </w:rPr>
            </w:pPr>
            <w:r>
              <w:rPr>
                <w:spacing w:val="-2"/>
                <w:sz w:val="21"/>
              </w:rPr>
              <w:t>accommodated</w:t>
            </w:r>
          </w:p>
        </w:tc>
      </w:tr>
      <w:tr w14:paraId="5E484983" w14:textId="77777777" w:rsidTr="008C4D83">
        <w:tblPrEx>
          <w:tblW w:w="0" w:type="auto"/>
          <w:tblInd w:w="552" w:type="dxa"/>
          <w:tblLayout w:type="fixed"/>
          <w:tblCellMar>
            <w:left w:w="0" w:type="dxa"/>
            <w:right w:w="0" w:type="dxa"/>
          </w:tblCellMar>
          <w:tblLook w:val="01E0"/>
        </w:tblPrEx>
        <w:trPr>
          <w:gridAfter w:val="1"/>
          <w:wAfter w:w="40" w:type="dxa"/>
          <w:trHeight w:val="278"/>
        </w:trPr>
        <w:tc>
          <w:tcPr>
            <w:tcW w:w="2723" w:type="dxa"/>
            <w:tcBorders>
              <w:top w:val="single" w:sz="18" w:space="0" w:color="800000"/>
            </w:tcBorders>
          </w:tcPr>
          <w:p w:rsidR="003F5784" w14:paraId="2C9C4E2F" w14:textId="77777777">
            <w:pPr>
              <w:pStyle w:val="TableParagraph"/>
              <w:spacing w:before="9"/>
              <w:ind w:left="120"/>
              <w:jc w:val="left"/>
              <w:rPr>
                <w:sz w:val="21"/>
              </w:rPr>
            </w:pPr>
            <w:r>
              <w:rPr>
                <w:sz w:val="21"/>
              </w:rPr>
              <w:t>National</w:t>
            </w:r>
            <w:r>
              <w:rPr>
                <w:spacing w:val="-9"/>
                <w:sz w:val="21"/>
              </w:rPr>
              <w:t xml:space="preserve"> </w:t>
            </w:r>
            <w:r>
              <w:rPr>
                <w:spacing w:val="-2"/>
                <w:sz w:val="21"/>
              </w:rPr>
              <w:t>public</w:t>
            </w:r>
          </w:p>
        </w:tc>
        <w:tc>
          <w:tcPr>
            <w:tcW w:w="1585" w:type="dxa"/>
            <w:gridSpan w:val="2"/>
            <w:tcBorders>
              <w:top w:val="single" w:sz="18" w:space="0" w:color="800000"/>
            </w:tcBorders>
          </w:tcPr>
          <w:p w:rsidR="003F5784" w14:paraId="03703A51" w14:textId="77777777">
            <w:pPr>
              <w:pStyle w:val="TableParagraph"/>
              <w:spacing w:before="9"/>
              <w:ind w:right="731"/>
              <w:rPr>
                <w:sz w:val="21"/>
              </w:rPr>
            </w:pPr>
            <w:r>
              <w:rPr>
                <w:spacing w:val="-5"/>
                <w:sz w:val="21"/>
              </w:rPr>
              <w:t>480</w:t>
            </w:r>
          </w:p>
        </w:tc>
        <w:tc>
          <w:tcPr>
            <w:tcW w:w="1980" w:type="dxa"/>
            <w:gridSpan w:val="2"/>
            <w:tcBorders>
              <w:top w:val="single" w:sz="18" w:space="0" w:color="800000"/>
            </w:tcBorders>
          </w:tcPr>
          <w:p w:rsidR="003F5784" w14:paraId="0379F5B8" w14:textId="77777777">
            <w:pPr>
              <w:pStyle w:val="TableParagraph"/>
              <w:spacing w:before="9"/>
              <w:ind w:left="40"/>
              <w:jc w:val="center"/>
              <w:rPr>
                <w:sz w:val="21"/>
              </w:rPr>
            </w:pPr>
            <w:r>
              <w:rPr>
                <w:spacing w:val="-2"/>
                <w:sz w:val="21"/>
              </w:rPr>
              <w:t>89.81</w:t>
            </w:r>
          </w:p>
        </w:tc>
        <w:tc>
          <w:tcPr>
            <w:tcW w:w="1800" w:type="dxa"/>
            <w:tcBorders>
              <w:top w:val="single" w:sz="18" w:space="0" w:color="800000"/>
            </w:tcBorders>
          </w:tcPr>
          <w:p w:rsidR="003F5784" w14:paraId="78D44179" w14:textId="77777777">
            <w:pPr>
              <w:pStyle w:val="TableParagraph"/>
              <w:spacing w:before="9"/>
              <w:ind w:right="366"/>
              <w:rPr>
                <w:sz w:val="21"/>
              </w:rPr>
            </w:pPr>
            <w:r>
              <w:rPr>
                <w:spacing w:val="-2"/>
                <w:sz w:val="21"/>
              </w:rPr>
              <w:t>91.10</w:t>
            </w:r>
          </w:p>
        </w:tc>
        <w:tc>
          <w:tcPr>
            <w:tcW w:w="1260" w:type="dxa"/>
            <w:gridSpan w:val="2"/>
            <w:tcBorders>
              <w:top w:val="single" w:sz="18" w:space="0" w:color="800000"/>
            </w:tcBorders>
          </w:tcPr>
          <w:p w:rsidR="003F5784" w14:paraId="01E0B08D" w14:textId="77777777">
            <w:pPr>
              <w:pStyle w:val="TableParagraph"/>
              <w:spacing w:before="9"/>
              <w:ind w:right="443"/>
              <w:rPr>
                <w:sz w:val="21"/>
              </w:rPr>
            </w:pPr>
            <w:r>
              <w:rPr>
                <w:spacing w:val="-2"/>
                <w:sz w:val="21"/>
              </w:rPr>
              <w:t>9,700</w:t>
            </w:r>
          </w:p>
        </w:tc>
        <w:tc>
          <w:tcPr>
            <w:tcW w:w="1260" w:type="dxa"/>
            <w:gridSpan w:val="2"/>
            <w:tcBorders>
              <w:top w:val="single" w:sz="18" w:space="0" w:color="800000"/>
            </w:tcBorders>
          </w:tcPr>
          <w:p w:rsidR="003F5784" w14:paraId="23E1D2C9" w14:textId="77777777">
            <w:pPr>
              <w:pStyle w:val="TableParagraph"/>
              <w:spacing w:before="9"/>
              <w:ind w:left="441"/>
              <w:jc w:val="left"/>
              <w:rPr>
                <w:sz w:val="21"/>
              </w:rPr>
            </w:pPr>
            <w:r>
              <w:rPr>
                <w:spacing w:val="-4"/>
                <w:sz w:val="21"/>
              </w:rPr>
              <w:t>2.48</w:t>
            </w:r>
          </w:p>
        </w:tc>
        <w:tc>
          <w:tcPr>
            <w:tcW w:w="1620" w:type="dxa"/>
            <w:gridSpan w:val="3"/>
            <w:tcBorders>
              <w:top w:val="single" w:sz="18" w:space="0" w:color="800000"/>
            </w:tcBorders>
          </w:tcPr>
          <w:p w:rsidR="003F5784" w14:paraId="29604064" w14:textId="77777777">
            <w:pPr>
              <w:pStyle w:val="TableParagraph"/>
              <w:spacing w:before="9"/>
              <w:ind w:right="40"/>
              <w:jc w:val="center"/>
              <w:rPr>
                <w:sz w:val="21"/>
              </w:rPr>
            </w:pPr>
            <w:r>
              <w:rPr>
                <w:spacing w:val="-2"/>
                <w:sz w:val="21"/>
              </w:rPr>
              <w:t>89.25</w:t>
            </w:r>
          </w:p>
        </w:tc>
        <w:tc>
          <w:tcPr>
            <w:tcW w:w="1760" w:type="dxa"/>
            <w:tcBorders>
              <w:top w:val="single" w:sz="18" w:space="0" w:color="800000"/>
            </w:tcBorders>
          </w:tcPr>
          <w:p w:rsidR="003F5784" w14:paraId="6C92FEDD" w14:textId="77777777">
            <w:pPr>
              <w:pStyle w:val="TableParagraph"/>
              <w:spacing w:before="9"/>
              <w:ind w:right="121"/>
              <w:rPr>
                <w:sz w:val="21"/>
              </w:rPr>
            </w:pPr>
            <w:r>
              <w:rPr>
                <w:spacing w:val="-2"/>
                <w:sz w:val="21"/>
              </w:rPr>
              <w:t>15.08</w:t>
            </w:r>
          </w:p>
        </w:tc>
      </w:tr>
      <w:tr w14:paraId="65D24890" w14:textId="77777777" w:rsidTr="008C4D83">
        <w:tblPrEx>
          <w:tblW w:w="0" w:type="auto"/>
          <w:tblInd w:w="552" w:type="dxa"/>
          <w:tblLayout w:type="fixed"/>
          <w:tblCellMar>
            <w:left w:w="0" w:type="dxa"/>
            <w:right w:w="0" w:type="dxa"/>
          </w:tblCellMar>
          <w:tblLook w:val="01E0"/>
        </w:tblPrEx>
        <w:trPr>
          <w:gridAfter w:val="1"/>
          <w:wAfter w:w="40" w:type="dxa"/>
          <w:trHeight w:val="286"/>
        </w:trPr>
        <w:tc>
          <w:tcPr>
            <w:tcW w:w="2723" w:type="dxa"/>
          </w:tcPr>
          <w:p w:rsidR="003F5784" w14:paraId="16390FB8" w14:textId="77777777">
            <w:pPr>
              <w:pStyle w:val="TableParagraph"/>
              <w:ind w:left="120"/>
              <w:jc w:val="left"/>
              <w:rPr>
                <w:sz w:val="21"/>
              </w:rPr>
            </w:pPr>
            <w:r>
              <w:rPr>
                <w:sz w:val="21"/>
              </w:rPr>
              <w:t>National</w:t>
            </w:r>
            <w:r>
              <w:rPr>
                <w:spacing w:val="-9"/>
                <w:sz w:val="21"/>
              </w:rPr>
              <w:t xml:space="preserve"> </w:t>
            </w:r>
            <w:r>
              <w:rPr>
                <w:spacing w:val="-2"/>
                <w:sz w:val="21"/>
              </w:rPr>
              <w:t>private</w:t>
            </w:r>
          </w:p>
        </w:tc>
        <w:tc>
          <w:tcPr>
            <w:tcW w:w="1585" w:type="dxa"/>
            <w:gridSpan w:val="2"/>
          </w:tcPr>
          <w:p w:rsidR="003F5784" w14:paraId="261CB341" w14:textId="77777777">
            <w:pPr>
              <w:pStyle w:val="TableParagraph"/>
              <w:ind w:right="731"/>
              <w:rPr>
                <w:sz w:val="21"/>
              </w:rPr>
            </w:pPr>
            <w:r>
              <w:rPr>
                <w:spacing w:val="-5"/>
                <w:sz w:val="21"/>
              </w:rPr>
              <w:t>180</w:t>
            </w:r>
          </w:p>
        </w:tc>
        <w:tc>
          <w:tcPr>
            <w:tcW w:w="1980" w:type="dxa"/>
            <w:gridSpan w:val="2"/>
          </w:tcPr>
          <w:p w:rsidR="003F5784" w14:paraId="36157AF0" w14:textId="77777777">
            <w:pPr>
              <w:pStyle w:val="TableParagraph"/>
              <w:ind w:left="40"/>
              <w:jc w:val="center"/>
              <w:rPr>
                <w:sz w:val="21"/>
              </w:rPr>
            </w:pPr>
            <w:r>
              <w:rPr>
                <w:spacing w:val="-2"/>
                <w:sz w:val="21"/>
              </w:rPr>
              <w:t>40.35</w:t>
            </w:r>
          </w:p>
        </w:tc>
        <w:tc>
          <w:tcPr>
            <w:tcW w:w="1800" w:type="dxa"/>
          </w:tcPr>
          <w:p w:rsidR="003F5784" w14:paraId="711A171C" w14:textId="77777777">
            <w:pPr>
              <w:pStyle w:val="TableParagraph"/>
              <w:ind w:right="366"/>
              <w:rPr>
                <w:sz w:val="21"/>
              </w:rPr>
            </w:pPr>
            <w:r>
              <w:rPr>
                <w:spacing w:val="-2"/>
                <w:sz w:val="21"/>
              </w:rPr>
              <w:t>33.24</w:t>
            </w:r>
          </w:p>
        </w:tc>
        <w:tc>
          <w:tcPr>
            <w:tcW w:w="1260" w:type="dxa"/>
            <w:gridSpan w:val="2"/>
          </w:tcPr>
          <w:p w:rsidR="003F5784" w14:paraId="10F589C8" w14:textId="77777777">
            <w:pPr>
              <w:pStyle w:val="TableParagraph"/>
              <w:ind w:right="443"/>
              <w:rPr>
                <w:sz w:val="21"/>
              </w:rPr>
            </w:pPr>
            <w:r>
              <w:rPr>
                <w:spacing w:val="-5"/>
                <w:sz w:val="21"/>
              </w:rPr>
              <w:t>800</w:t>
            </w:r>
          </w:p>
        </w:tc>
        <w:tc>
          <w:tcPr>
            <w:tcW w:w="1260" w:type="dxa"/>
            <w:gridSpan w:val="2"/>
          </w:tcPr>
          <w:p w:rsidR="003F5784" w14:paraId="36B373D5" w14:textId="77777777">
            <w:pPr>
              <w:pStyle w:val="TableParagraph"/>
              <w:ind w:left="441"/>
              <w:jc w:val="left"/>
              <w:rPr>
                <w:sz w:val="21"/>
              </w:rPr>
            </w:pPr>
            <w:r>
              <w:rPr>
                <w:spacing w:val="-4"/>
                <w:sz w:val="21"/>
              </w:rPr>
              <w:t>0.29</w:t>
            </w:r>
          </w:p>
        </w:tc>
        <w:tc>
          <w:tcPr>
            <w:tcW w:w="1620" w:type="dxa"/>
            <w:gridSpan w:val="3"/>
          </w:tcPr>
          <w:p w:rsidR="003F5784" w14:paraId="1D6F725F" w14:textId="77777777">
            <w:pPr>
              <w:pStyle w:val="TableParagraph"/>
              <w:ind w:right="40"/>
              <w:jc w:val="center"/>
              <w:rPr>
                <w:sz w:val="21"/>
              </w:rPr>
            </w:pPr>
            <w:r>
              <w:rPr>
                <w:spacing w:val="-2"/>
                <w:sz w:val="21"/>
              </w:rPr>
              <w:t>85.77</w:t>
            </w:r>
          </w:p>
        </w:tc>
        <w:tc>
          <w:tcPr>
            <w:tcW w:w="1760" w:type="dxa"/>
          </w:tcPr>
          <w:p w:rsidR="003F5784" w14:paraId="57835EA2" w14:textId="77777777">
            <w:pPr>
              <w:pStyle w:val="TableParagraph"/>
              <w:ind w:right="121"/>
              <w:rPr>
                <w:sz w:val="21"/>
              </w:rPr>
            </w:pPr>
            <w:r>
              <w:rPr>
                <w:spacing w:val="-4"/>
                <w:sz w:val="21"/>
              </w:rPr>
              <w:t>4.21</w:t>
            </w:r>
          </w:p>
        </w:tc>
      </w:tr>
      <w:tr w14:paraId="069D0344" w14:textId="77777777" w:rsidTr="008C4D83">
        <w:tblPrEx>
          <w:tblW w:w="0" w:type="auto"/>
          <w:tblInd w:w="552" w:type="dxa"/>
          <w:tblLayout w:type="fixed"/>
          <w:tblCellMar>
            <w:left w:w="0" w:type="dxa"/>
            <w:right w:w="0" w:type="dxa"/>
          </w:tblCellMar>
          <w:tblLook w:val="01E0"/>
        </w:tblPrEx>
        <w:trPr>
          <w:gridAfter w:val="1"/>
          <w:wAfter w:w="40" w:type="dxa"/>
          <w:trHeight w:val="286"/>
        </w:trPr>
        <w:tc>
          <w:tcPr>
            <w:tcW w:w="2723" w:type="dxa"/>
          </w:tcPr>
          <w:p w:rsidR="003F5784" w14:paraId="4F36A2BD" w14:textId="77777777">
            <w:pPr>
              <w:pStyle w:val="TableParagraph"/>
              <w:ind w:left="381"/>
              <w:jc w:val="left"/>
              <w:rPr>
                <w:sz w:val="21"/>
              </w:rPr>
            </w:pPr>
            <w:r>
              <w:rPr>
                <w:spacing w:val="-2"/>
                <w:sz w:val="21"/>
              </w:rPr>
              <w:t>Catholic</w:t>
            </w:r>
          </w:p>
        </w:tc>
        <w:tc>
          <w:tcPr>
            <w:tcW w:w="1585" w:type="dxa"/>
            <w:gridSpan w:val="2"/>
          </w:tcPr>
          <w:p w:rsidR="003F5784" w14:paraId="7E0E121C" w14:textId="77777777">
            <w:pPr>
              <w:pStyle w:val="TableParagraph"/>
              <w:ind w:right="731"/>
              <w:rPr>
                <w:sz w:val="21"/>
              </w:rPr>
            </w:pPr>
            <w:r>
              <w:rPr>
                <w:spacing w:val="-5"/>
                <w:sz w:val="21"/>
              </w:rPr>
              <w:t>60</w:t>
            </w:r>
          </w:p>
        </w:tc>
        <w:tc>
          <w:tcPr>
            <w:tcW w:w="1980" w:type="dxa"/>
            <w:gridSpan w:val="2"/>
          </w:tcPr>
          <w:p w:rsidR="003F5784" w14:paraId="7CD9BA1F" w14:textId="77777777">
            <w:pPr>
              <w:pStyle w:val="TableParagraph"/>
              <w:ind w:left="40"/>
              <w:jc w:val="center"/>
              <w:rPr>
                <w:sz w:val="21"/>
              </w:rPr>
            </w:pPr>
            <w:r>
              <w:rPr>
                <w:spacing w:val="-2"/>
                <w:sz w:val="21"/>
              </w:rPr>
              <w:t>82.98</w:t>
            </w:r>
          </w:p>
        </w:tc>
        <w:tc>
          <w:tcPr>
            <w:tcW w:w="1800" w:type="dxa"/>
          </w:tcPr>
          <w:p w:rsidR="003F5784" w14:paraId="47C64480" w14:textId="77777777">
            <w:pPr>
              <w:pStyle w:val="TableParagraph"/>
              <w:ind w:right="366"/>
              <w:rPr>
                <w:sz w:val="21"/>
              </w:rPr>
            </w:pPr>
            <w:r>
              <w:rPr>
                <w:spacing w:val="-2"/>
                <w:sz w:val="21"/>
              </w:rPr>
              <w:t>80.17</w:t>
            </w:r>
          </w:p>
        </w:tc>
        <w:tc>
          <w:tcPr>
            <w:tcW w:w="1260" w:type="dxa"/>
            <w:gridSpan w:val="2"/>
          </w:tcPr>
          <w:p w:rsidR="003F5784" w14:paraId="1C3ECB7A" w14:textId="77777777">
            <w:pPr>
              <w:pStyle w:val="TableParagraph"/>
              <w:ind w:right="443"/>
              <w:rPr>
                <w:sz w:val="21"/>
              </w:rPr>
            </w:pPr>
            <w:r>
              <w:rPr>
                <w:spacing w:val="-5"/>
                <w:sz w:val="21"/>
              </w:rPr>
              <w:t>700</w:t>
            </w:r>
          </w:p>
        </w:tc>
        <w:tc>
          <w:tcPr>
            <w:tcW w:w="1260" w:type="dxa"/>
            <w:gridSpan w:val="2"/>
          </w:tcPr>
          <w:p w:rsidR="003F5784" w14:paraId="3010CD28" w14:textId="77777777">
            <w:pPr>
              <w:pStyle w:val="TableParagraph"/>
              <w:ind w:left="441"/>
              <w:jc w:val="left"/>
              <w:rPr>
                <w:sz w:val="21"/>
              </w:rPr>
            </w:pPr>
            <w:r>
              <w:rPr>
                <w:spacing w:val="-4"/>
                <w:sz w:val="21"/>
              </w:rPr>
              <w:t>0.73</w:t>
            </w:r>
          </w:p>
        </w:tc>
        <w:tc>
          <w:tcPr>
            <w:tcW w:w="1620" w:type="dxa"/>
            <w:gridSpan w:val="3"/>
          </w:tcPr>
          <w:p w:rsidR="003F5784" w14:paraId="0F9B361A" w14:textId="77777777">
            <w:pPr>
              <w:pStyle w:val="TableParagraph"/>
              <w:ind w:right="40"/>
              <w:jc w:val="center"/>
              <w:rPr>
                <w:sz w:val="21"/>
              </w:rPr>
            </w:pPr>
            <w:r>
              <w:rPr>
                <w:spacing w:val="-2"/>
                <w:sz w:val="21"/>
              </w:rPr>
              <w:t>85.77</w:t>
            </w:r>
          </w:p>
        </w:tc>
        <w:tc>
          <w:tcPr>
            <w:tcW w:w="1760" w:type="dxa"/>
          </w:tcPr>
          <w:p w:rsidR="003F5784" w14:paraId="50772A42" w14:textId="77777777">
            <w:pPr>
              <w:pStyle w:val="TableParagraph"/>
              <w:ind w:right="121"/>
              <w:rPr>
                <w:sz w:val="21"/>
              </w:rPr>
            </w:pPr>
            <w:r>
              <w:rPr>
                <w:spacing w:val="-4"/>
                <w:sz w:val="21"/>
              </w:rPr>
              <w:t>6.34</w:t>
            </w:r>
          </w:p>
        </w:tc>
      </w:tr>
      <w:tr w14:paraId="75EAD355" w14:textId="77777777" w:rsidTr="008C4D83">
        <w:tblPrEx>
          <w:tblW w:w="0" w:type="auto"/>
          <w:tblInd w:w="552" w:type="dxa"/>
          <w:tblLayout w:type="fixed"/>
          <w:tblCellMar>
            <w:left w:w="0" w:type="dxa"/>
            <w:right w:w="0" w:type="dxa"/>
          </w:tblCellMar>
          <w:tblLook w:val="01E0"/>
        </w:tblPrEx>
        <w:trPr>
          <w:gridAfter w:val="1"/>
          <w:wAfter w:w="40" w:type="dxa"/>
          <w:trHeight w:val="289"/>
        </w:trPr>
        <w:tc>
          <w:tcPr>
            <w:tcW w:w="2723" w:type="dxa"/>
            <w:tcBorders>
              <w:bottom w:val="single" w:sz="18" w:space="0" w:color="800000"/>
            </w:tcBorders>
          </w:tcPr>
          <w:p w:rsidR="003F5784" w14:paraId="509300A6" w14:textId="77777777">
            <w:pPr>
              <w:pStyle w:val="TableParagraph"/>
              <w:ind w:left="381"/>
              <w:jc w:val="left"/>
              <w:rPr>
                <w:sz w:val="21"/>
              </w:rPr>
            </w:pPr>
            <w:r>
              <w:rPr>
                <w:spacing w:val="-2"/>
                <w:sz w:val="21"/>
              </w:rPr>
              <w:t>Non-Catholic</w:t>
            </w:r>
          </w:p>
        </w:tc>
        <w:tc>
          <w:tcPr>
            <w:tcW w:w="1585" w:type="dxa"/>
            <w:gridSpan w:val="2"/>
            <w:tcBorders>
              <w:bottom w:val="single" w:sz="18" w:space="0" w:color="800000"/>
            </w:tcBorders>
          </w:tcPr>
          <w:p w:rsidR="003F5784" w14:paraId="328CBBF1" w14:textId="77777777">
            <w:pPr>
              <w:pStyle w:val="TableParagraph"/>
              <w:ind w:right="731"/>
              <w:rPr>
                <w:sz w:val="21"/>
              </w:rPr>
            </w:pPr>
            <w:r>
              <w:rPr>
                <w:spacing w:val="-5"/>
                <w:sz w:val="21"/>
              </w:rPr>
              <w:t>120</w:t>
            </w:r>
          </w:p>
        </w:tc>
        <w:tc>
          <w:tcPr>
            <w:tcW w:w="1980" w:type="dxa"/>
            <w:gridSpan w:val="2"/>
            <w:tcBorders>
              <w:bottom w:val="single" w:sz="18" w:space="0" w:color="800000"/>
            </w:tcBorders>
          </w:tcPr>
          <w:p w:rsidR="003F5784" w14:paraId="5C12EC02" w14:textId="77777777">
            <w:pPr>
              <w:pStyle w:val="TableParagraph"/>
              <w:ind w:left="40"/>
              <w:jc w:val="center"/>
              <w:rPr>
                <w:sz w:val="21"/>
              </w:rPr>
            </w:pPr>
            <w:r>
              <w:rPr>
                <w:spacing w:val="-2"/>
                <w:sz w:val="21"/>
              </w:rPr>
              <w:t>12.54</w:t>
            </w:r>
          </w:p>
        </w:tc>
        <w:tc>
          <w:tcPr>
            <w:tcW w:w="1800" w:type="dxa"/>
            <w:tcBorders>
              <w:bottom w:val="single" w:sz="18" w:space="0" w:color="800000"/>
            </w:tcBorders>
          </w:tcPr>
          <w:p w:rsidR="003F5784" w14:paraId="5CF4F24D" w14:textId="77777777">
            <w:pPr>
              <w:pStyle w:val="TableParagraph"/>
              <w:ind w:right="366"/>
              <w:rPr>
                <w:sz w:val="21"/>
              </w:rPr>
            </w:pPr>
            <w:r>
              <w:rPr>
                <w:spacing w:val="-2"/>
                <w:sz w:val="21"/>
              </w:rPr>
              <w:t>17.27</w:t>
            </w:r>
          </w:p>
        </w:tc>
        <w:tc>
          <w:tcPr>
            <w:tcW w:w="1260" w:type="dxa"/>
            <w:gridSpan w:val="2"/>
            <w:tcBorders>
              <w:bottom w:val="single" w:sz="18" w:space="0" w:color="800000"/>
            </w:tcBorders>
          </w:tcPr>
          <w:p w:rsidR="003F5784" w14:paraId="3C004B31" w14:textId="77777777">
            <w:pPr>
              <w:pStyle w:val="TableParagraph"/>
              <w:ind w:right="443"/>
              <w:rPr>
                <w:sz w:val="21"/>
              </w:rPr>
            </w:pPr>
            <w:r>
              <w:rPr>
                <w:spacing w:val="-5"/>
                <w:sz w:val="21"/>
              </w:rPr>
              <w:t>100</w:t>
            </w:r>
          </w:p>
        </w:tc>
        <w:tc>
          <w:tcPr>
            <w:tcW w:w="1260" w:type="dxa"/>
            <w:gridSpan w:val="2"/>
            <w:tcBorders>
              <w:bottom w:val="single" w:sz="18" w:space="0" w:color="800000"/>
            </w:tcBorders>
          </w:tcPr>
          <w:p w:rsidR="003F5784" w14:paraId="72515AC2" w14:textId="77777777">
            <w:pPr>
              <w:pStyle w:val="TableParagraph"/>
              <w:ind w:left="441"/>
              <w:jc w:val="left"/>
              <w:rPr>
                <w:sz w:val="21"/>
              </w:rPr>
            </w:pPr>
            <w:r>
              <w:rPr>
                <w:spacing w:val="-4"/>
                <w:sz w:val="21"/>
              </w:rPr>
              <w:t>0.00</w:t>
            </w:r>
          </w:p>
        </w:tc>
        <w:tc>
          <w:tcPr>
            <w:tcW w:w="1620" w:type="dxa"/>
            <w:gridSpan w:val="3"/>
            <w:tcBorders>
              <w:bottom w:val="single" w:sz="18" w:space="0" w:color="800000"/>
            </w:tcBorders>
          </w:tcPr>
          <w:p w:rsidR="003F5784" w14:paraId="3613BB04" w14:textId="77777777">
            <w:pPr>
              <w:pStyle w:val="TableParagraph"/>
              <w:ind w:right="40"/>
              <w:jc w:val="center"/>
              <w:rPr>
                <w:sz w:val="21"/>
              </w:rPr>
            </w:pPr>
            <w:r>
              <w:rPr>
                <w:spacing w:val="-2"/>
                <w:sz w:val="21"/>
              </w:rPr>
              <w:t>85.76</w:t>
            </w:r>
          </w:p>
        </w:tc>
        <w:tc>
          <w:tcPr>
            <w:tcW w:w="1760" w:type="dxa"/>
            <w:tcBorders>
              <w:bottom w:val="single" w:sz="18" w:space="0" w:color="800000"/>
            </w:tcBorders>
          </w:tcPr>
          <w:p w:rsidR="003F5784" w14:paraId="2DFA49B8" w14:textId="77777777">
            <w:pPr>
              <w:pStyle w:val="TableParagraph"/>
              <w:ind w:right="121"/>
              <w:rPr>
                <w:sz w:val="21"/>
              </w:rPr>
            </w:pPr>
            <w:r>
              <w:rPr>
                <w:spacing w:val="-4"/>
                <w:sz w:val="21"/>
              </w:rPr>
              <w:t>2.83</w:t>
            </w:r>
          </w:p>
        </w:tc>
      </w:tr>
    </w:tbl>
    <w:p w:rsidR="003F5784" w14:paraId="4CBA6C9F" w14:textId="77777777">
      <w:pPr>
        <w:pStyle w:val="BodyText"/>
        <w:spacing w:before="43" w:line="228" w:lineRule="auto"/>
        <w:ind w:left="595" w:right="588"/>
      </w:pPr>
      <w:r>
        <w:rPr>
          <w:position w:val="8"/>
          <w:sz w:val="17"/>
        </w:rPr>
        <w:t>1</w:t>
      </w:r>
      <w:r>
        <w:t>1</w:t>
      </w:r>
      <w:r>
        <w:rPr>
          <w:position w:val="8"/>
          <w:sz w:val="17"/>
        </w:rPr>
        <w:t xml:space="preserve">1 </w:t>
      </w:r>
      <w:r>
        <w:t>National</w:t>
      </w:r>
      <w:r>
        <w:rPr>
          <w:spacing w:val="-6"/>
        </w:rPr>
        <w:t xml:space="preserve"> </w:t>
      </w:r>
      <w:r>
        <w:t>all</w:t>
      </w:r>
      <w:r>
        <w:rPr>
          <w:spacing w:val="-6"/>
        </w:rPr>
        <w:t xml:space="preserve"> </w:t>
      </w:r>
      <w:r>
        <w:t>includes</w:t>
      </w:r>
      <w:r>
        <w:rPr>
          <w:spacing w:val="-6"/>
        </w:rPr>
        <w:t xml:space="preserve"> </w:t>
      </w:r>
      <w:r>
        <w:t>national</w:t>
      </w:r>
      <w:r>
        <w:rPr>
          <w:spacing w:val="-6"/>
        </w:rPr>
        <w:t xml:space="preserve"> </w:t>
      </w:r>
      <w:r>
        <w:t>public,</w:t>
      </w:r>
      <w:r>
        <w:rPr>
          <w:spacing w:val="-6"/>
        </w:rPr>
        <w:t xml:space="preserve"> </w:t>
      </w:r>
      <w:r>
        <w:t>national</w:t>
      </w:r>
      <w:r>
        <w:rPr>
          <w:spacing w:val="-6"/>
        </w:rPr>
        <w:t xml:space="preserve"> </w:t>
      </w:r>
      <w:r>
        <w:t>private,</w:t>
      </w:r>
      <w:r>
        <w:rPr>
          <w:spacing w:val="-6"/>
        </w:rPr>
        <w:t xml:space="preserve"> </w:t>
      </w:r>
      <w:r>
        <w:t>and</w:t>
      </w:r>
      <w:r>
        <w:rPr>
          <w:spacing w:val="-6"/>
        </w:rPr>
        <w:t xml:space="preserve"> </w:t>
      </w:r>
      <w:r>
        <w:t>Department</w:t>
      </w:r>
      <w:r>
        <w:rPr>
          <w:spacing w:val="-6"/>
        </w:rPr>
        <w:t xml:space="preserve"> </w:t>
      </w:r>
      <w:r>
        <w:t>of</w:t>
      </w:r>
      <w:r>
        <w:rPr>
          <w:spacing w:val="-6"/>
        </w:rPr>
        <w:t xml:space="preserve"> </w:t>
      </w:r>
      <w:r>
        <w:t>Defense</w:t>
      </w:r>
      <w:r>
        <w:rPr>
          <w:spacing w:val="-6"/>
        </w:rPr>
        <w:t xml:space="preserve"> </w:t>
      </w:r>
      <w:r>
        <w:t>Education</w:t>
      </w:r>
      <w:r>
        <w:rPr>
          <w:spacing w:val="-14"/>
        </w:rPr>
        <w:t xml:space="preserve"> </w:t>
      </w:r>
      <w:r>
        <w:t>Activity</w:t>
      </w:r>
      <w:r>
        <w:rPr>
          <w:spacing w:val="-5"/>
        </w:rPr>
        <w:t xml:space="preserve"> </w:t>
      </w:r>
      <w:r>
        <w:t>(DoDEA)</w:t>
      </w:r>
      <w:r>
        <w:rPr>
          <w:spacing w:val="-6"/>
        </w:rPr>
        <w:t xml:space="preserve"> </w:t>
      </w:r>
      <w:r>
        <w:t>schools</w:t>
      </w:r>
      <w:r>
        <w:rPr>
          <w:spacing w:val="-6"/>
        </w:rPr>
        <w:t xml:space="preserve"> </w:t>
      </w:r>
      <w:r>
        <w:t>that</w:t>
      </w:r>
      <w:r>
        <w:rPr>
          <w:spacing w:val="-6"/>
        </w:rPr>
        <w:t xml:space="preserve"> </w:t>
      </w:r>
      <w:r>
        <w:t>are</w:t>
      </w:r>
      <w:r>
        <w:rPr>
          <w:spacing w:val="-6"/>
        </w:rPr>
        <w:t xml:space="preserve"> </w:t>
      </w:r>
      <w:r>
        <w:t>located</w:t>
      </w:r>
      <w:r>
        <w:rPr>
          <w:spacing w:val="-6"/>
        </w:rPr>
        <w:t xml:space="preserve"> </w:t>
      </w:r>
      <w:r>
        <w:t>in</w:t>
      </w:r>
      <w:r>
        <w:rPr>
          <w:spacing w:val="-6"/>
        </w:rPr>
        <w:t xml:space="preserve"> </w:t>
      </w:r>
      <w:r>
        <w:t>the</w:t>
      </w:r>
      <w:r>
        <w:rPr>
          <w:spacing w:val="-6"/>
        </w:rPr>
        <w:t xml:space="preserve"> </w:t>
      </w:r>
      <w:r>
        <w:t>United</w:t>
      </w:r>
      <w:r>
        <w:rPr>
          <w:spacing w:val="-6"/>
        </w:rPr>
        <w:t xml:space="preserve"> </w:t>
      </w:r>
      <w:r>
        <w:t>States. NOTE: School counts are rounded to nearest ten and student counts are rounded to nearest hundred. Detail may not sum to totals because of rounding.</w:t>
      </w:r>
    </w:p>
    <w:p w:rsidR="003F5784" w14:paraId="26E5FCA2"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Mathematics Assessment.</w:t>
      </w:r>
    </w:p>
    <w:p w:rsidR="003F5784" w14:paraId="6019A9C4" w14:textId="77777777">
      <w:pPr>
        <w:pStyle w:val="BodyText"/>
      </w:pPr>
    </w:p>
    <w:p w:rsidR="003F5784" w14:paraId="5392B904" w14:textId="77777777">
      <w:pPr>
        <w:pStyle w:val="BodyText"/>
      </w:pPr>
    </w:p>
    <w:p w:rsidR="003F5784" w14:paraId="3ED0AF1C" w14:textId="77777777">
      <w:pPr>
        <w:pStyle w:val="BodyText"/>
        <w:spacing w:before="210"/>
      </w:pPr>
    </w:p>
    <w:p w:rsidR="003F5784" w14:paraId="66DAAB26" w14:textId="77777777">
      <w:pPr>
        <w:spacing w:before="1"/>
        <w:ind w:left="4260"/>
        <w:rPr>
          <w:sz w:val="18"/>
        </w:rPr>
      </w:pPr>
      <w:hyperlink r:id="rId540">
        <w:r>
          <w:rPr>
            <w:spacing w:val="-2"/>
            <w:w w:val="105"/>
            <w:sz w:val="18"/>
          </w:rPr>
          <w:t>http://nces.ed.gov/nationsreportcard/tdw/weighting/2022/participation_exclusion_and_accommodation_rates_for_age_13_mathematics.aspx</w:t>
        </w:r>
      </w:hyperlink>
    </w:p>
    <w:p w:rsidR="003F5784" w14:paraId="6DE4B2CF" w14:textId="77777777">
      <w:pPr>
        <w:pStyle w:val="BodyText"/>
        <w:spacing w:before="10"/>
        <w:rPr>
          <w:sz w:val="14"/>
        </w:rPr>
      </w:pPr>
      <w:r>
        <w:rPr>
          <w:noProof/>
        </w:rPr>
        <mc:AlternateContent>
          <mc:Choice Requires="wps">
            <w:drawing>
              <wp:anchor distT="0" distB="0" distL="0" distR="0" simplePos="0" relativeHeight="252032000" behindDoc="1" locked="0" layoutInCell="1" allowOverlap="1">
                <wp:simplePos x="0" y="0"/>
                <wp:positionH relativeFrom="page">
                  <wp:posOffset>361937</wp:posOffset>
                </wp:positionH>
                <wp:positionV relativeFrom="paragraph">
                  <wp:posOffset>124081</wp:posOffset>
                </wp:positionV>
                <wp:extent cx="9339580" cy="8890"/>
                <wp:effectExtent l="0" t="0" r="0" b="0"/>
                <wp:wrapTopAndBottom/>
                <wp:docPr id="676" name="Graphic 67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318"/>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676" o:spid="_x0000_s1219" style="width:735.4pt;height:0.7pt;margin-top:9.75pt;margin-left:28.5pt;mso-position-horizontal-relative:page;mso-wrap-distance-bottom:0;mso-wrap-distance-left:0;mso-wrap-distance-right:0;mso-wrap-distance-top:0;mso-wrap-style:square;position:absolute;visibility:visible;v-text-anchor:top;z-index:-251283456" coordsize="9339580,8890" path="m9338970,l9335110,l,,,8280l8280,8318l9335110,8280l9338970,8280l9338970,xe" fillcolor="gray" stroked="f">
                <v:path arrowok="t"/>
                <w10:wrap type="topAndBottom"/>
              </v:shape>
            </w:pict>
          </mc:Fallback>
        </mc:AlternateContent>
      </w:r>
    </w:p>
    <w:p w:rsidR="003F5784" w14:paraId="79AC9F83" w14:textId="77777777">
      <w:pPr>
        <w:pStyle w:val="BodyText"/>
        <w:rPr>
          <w:sz w:val="18"/>
        </w:rPr>
      </w:pPr>
    </w:p>
    <w:p w:rsidR="003F5784" w14:paraId="6E706F94" w14:textId="77777777">
      <w:pPr>
        <w:pStyle w:val="BodyText"/>
        <w:spacing w:before="206"/>
        <w:rPr>
          <w:sz w:val="18"/>
        </w:rPr>
      </w:pPr>
    </w:p>
    <w:p w:rsidR="003F5784" w14:paraId="6A757EDE" w14:textId="7C043A09">
      <w:pPr>
        <w:pStyle w:val="Heading1"/>
        <w:spacing w:line="244" w:lineRule="auto"/>
        <w:ind w:right="179"/>
      </w:pPr>
      <w:r>
        <w:t>NAEP</w:t>
      </w:r>
      <w:r>
        <w:rPr>
          <w:spacing w:val="-5"/>
        </w:rPr>
        <w:t xml:space="preserve"> </w:t>
      </w:r>
      <w:r>
        <w:t>Technical Documentation</w:t>
      </w:r>
      <w:r w:rsidR="00C94150">
        <w:t xml:space="preserve"> </w:t>
      </w:r>
      <w:r>
        <w:t>Participation, Exclusion, and Accommodation Rates for Age 13 Reading</w:t>
      </w:r>
    </w:p>
    <w:p w:rsidR="003F5784" w14:paraId="3890FF76" w14:textId="77777777">
      <w:pPr>
        <w:pStyle w:val="BodyText"/>
        <w:spacing w:before="274" w:line="232" w:lineRule="auto"/>
        <w:ind w:left="109" w:right="179"/>
      </w:pPr>
      <w:r>
        <w:t>The following table displays the school-level participation rates and student-level participation, exclusion, and accommodation rates for the age 13 long-term trend reading assessment.</w:t>
      </w:r>
      <w:r>
        <w:rPr>
          <w:spacing w:val="-5"/>
        </w:rPr>
        <w:t xml:space="preserve"> </w:t>
      </w:r>
      <w:r>
        <w:t>Various</w:t>
      </w:r>
      <w:r>
        <w:rPr>
          <w:spacing w:val="-1"/>
        </w:rPr>
        <w:t xml:space="preserve"> </w:t>
      </w:r>
      <w:r>
        <w:t>weights</w:t>
      </w:r>
      <w:r>
        <w:rPr>
          <w:spacing w:val="-1"/>
        </w:rPr>
        <w:t xml:space="preserve"> </w:t>
      </w:r>
      <w:r>
        <w:t>were</w:t>
      </w:r>
      <w:r>
        <w:rPr>
          <w:spacing w:val="-1"/>
        </w:rPr>
        <w:t xml:space="preserve"> </w:t>
      </w:r>
      <w:r>
        <w:t>used</w:t>
      </w:r>
      <w:r>
        <w:rPr>
          <w:spacing w:val="-1"/>
        </w:rPr>
        <w:t xml:space="preserve"> </w:t>
      </w:r>
      <w:r>
        <w:t>in</w:t>
      </w:r>
      <w:r>
        <w:rPr>
          <w:spacing w:val="-1"/>
        </w:rPr>
        <w:t xml:space="preserve"> </w:t>
      </w:r>
      <w:r>
        <w:t>the</w:t>
      </w:r>
      <w:r>
        <w:rPr>
          <w:spacing w:val="-1"/>
        </w:rPr>
        <w:t xml:space="preserve"> </w:t>
      </w:r>
      <w:r>
        <w:t>calculation</w:t>
      </w:r>
      <w:r>
        <w:rPr>
          <w:spacing w:val="-1"/>
        </w:rPr>
        <w:t xml:space="preserve"> </w:t>
      </w:r>
      <w:r>
        <w:t>of</w:t>
      </w:r>
      <w:r>
        <w:rPr>
          <w:spacing w:val="-1"/>
        </w:rPr>
        <w:t xml:space="preserve"> </w:t>
      </w:r>
      <w:r>
        <w:t>the</w:t>
      </w:r>
      <w:r>
        <w:rPr>
          <w:spacing w:val="-1"/>
        </w:rPr>
        <w:t xml:space="preserve"> </w:t>
      </w:r>
      <w:r>
        <w:t>school</w:t>
      </w:r>
      <w:r>
        <w:rPr>
          <w:spacing w:val="-1"/>
        </w:rPr>
        <w:t xml:space="preserve"> </w:t>
      </w:r>
      <w:r>
        <w:t>rates,</w:t>
      </w:r>
      <w:r>
        <w:rPr>
          <w:spacing w:val="-1"/>
        </w:rPr>
        <w:t xml:space="preserve"> </w:t>
      </w:r>
      <w:r>
        <w:t>as</w:t>
      </w:r>
      <w:r>
        <w:rPr>
          <w:spacing w:val="-1"/>
        </w:rPr>
        <w:t xml:space="preserve"> </w:t>
      </w:r>
      <w:r>
        <w:t>indicated</w:t>
      </w:r>
      <w:r>
        <w:rPr>
          <w:spacing w:val="-1"/>
        </w:rPr>
        <w:t xml:space="preserve"> </w:t>
      </w:r>
      <w:r>
        <w:t>in</w:t>
      </w:r>
      <w:r>
        <w:rPr>
          <w:spacing w:val="-1"/>
        </w:rPr>
        <w:t xml:space="preserve"> </w:t>
      </w:r>
      <w:r>
        <w:t>the</w:t>
      </w:r>
      <w:r>
        <w:rPr>
          <w:spacing w:val="-1"/>
        </w:rPr>
        <w:t xml:space="preserve"> </w:t>
      </w:r>
      <w:r>
        <w:t>column</w:t>
      </w:r>
      <w:r>
        <w:rPr>
          <w:spacing w:val="-1"/>
        </w:rPr>
        <w:t xml:space="preserve"> </w:t>
      </w:r>
      <w:r>
        <w:t>headings</w:t>
      </w:r>
      <w:r>
        <w:rPr>
          <w:spacing w:val="-1"/>
        </w:rPr>
        <w:t xml:space="preserve"> </w:t>
      </w:r>
      <w:r>
        <w:t>of</w:t>
      </w:r>
      <w:r>
        <w:rPr>
          <w:spacing w:val="-1"/>
        </w:rPr>
        <w:t xml:space="preserve"> </w:t>
      </w:r>
      <w:r>
        <w:t>the</w:t>
      </w:r>
      <w:r>
        <w:rPr>
          <w:spacing w:val="-1"/>
        </w:rPr>
        <w:t xml:space="preserve"> </w:t>
      </w:r>
      <w:r>
        <w:t>table.</w:t>
      </w:r>
      <w:r>
        <w:rPr>
          <w:spacing w:val="-1"/>
        </w:rPr>
        <w:t xml:space="preserve"> </w:t>
      </w:r>
      <w:r>
        <w:t>For</w:t>
      </w:r>
      <w:r>
        <w:rPr>
          <w:spacing w:val="-1"/>
        </w:rPr>
        <w:t xml:space="preserve"> </w:t>
      </w:r>
      <w:r>
        <w:t>the</w:t>
      </w:r>
      <w:r>
        <w:rPr>
          <w:spacing w:val="-1"/>
        </w:rPr>
        <w:t xml:space="preserve"> </w:t>
      </w:r>
      <w:r>
        <w:t>student</w:t>
      </w:r>
      <w:r>
        <w:rPr>
          <w:spacing w:val="-1"/>
        </w:rPr>
        <w:t xml:space="preserve"> </w:t>
      </w:r>
      <w:r>
        <w:t>participation</w:t>
      </w:r>
      <w:r>
        <w:rPr>
          <w:spacing w:val="-1"/>
        </w:rPr>
        <w:t xml:space="preserve"> </w:t>
      </w:r>
      <w:r>
        <w:t>rates</w:t>
      </w:r>
      <w:r>
        <w:rPr>
          <w:spacing w:val="-1"/>
        </w:rPr>
        <w:t xml:space="preserve"> </w:t>
      </w:r>
      <w:r>
        <w:t>student</w:t>
      </w:r>
      <w:r>
        <w:rPr>
          <w:spacing w:val="-1"/>
        </w:rPr>
        <w:t xml:space="preserve"> </w:t>
      </w:r>
      <w:r>
        <w:t>base weights</w:t>
      </w:r>
      <w:r>
        <w:rPr>
          <w:spacing w:val="-6"/>
        </w:rPr>
        <w:t xml:space="preserve"> </w:t>
      </w:r>
      <w:r>
        <w:t>were</w:t>
      </w:r>
      <w:r>
        <w:rPr>
          <w:spacing w:val="-6"/>
        </w:rPr>
        <w:t xml:space="preserve"> </w:t>
      </w:r>
      <w:r>
        <w:t>used.</w:t>
      </w:r>
      <w:r>
        <w:rPr>
          <w:spacing w:val="-6"/>
        </w:rPr>
        <w:t xml:space="preserve"> </w:t>
      </w:r>
      <w:r>
        <w:t>For</w:t>
      </w:r>
      <w:r>
        <w:rPr>
          <w:spacing w:val="-6"/>
        </w:rPr>
        <w:t xml:space="preserve"> </w:t>
      </w:r>
      <w:r>
        <w:t>the</w:t>
      </w:r>
      <w:r>
        <w:rPr>
          <w:spacing w:val="-6"/>
        </w:rPr>
        <w:t xml:space="preserve"> </w:t>
      </w:r>
      <w:r>
        <w:t>student</w:t>
      </w:r>
      <w:r>
        <w:rPr>
          <w:spacing w:val="-6"/>
        </w:rPr>
        <w:t xml:space="preserve"> </w:t>
      </w:r>
      <w:r>
        <w:t>exclusion</w:t>
      </w:r>
      <w:r>
        <w:rPr>
          <w:spacing w:val="-6"/>
        </w:rPr>
        <w:t xml:space="preserve"> </w:t>
      </w:r>
      <w:r>
        <w:t>rates</w:t>
      </w:r>
      <w:r>
        <w:rPr>
          <w:spacing w:val="-6"/>
        </w:rPr>
        <w:t xml:space="preserve"> </w:t>
      </w:r>
      <w:r>
        <w:t>and</w:t>
      </w:r>
      <w:r>
        <w:rPr>
          <w:spacing w:val="-6"/>
        </w:rPr>
        <w:t xml:space="preserve"> </w:t>
      </w:r>
      <w:r>
        <w:t>accommodation</w:t>
      </w:r>
      <w:r>
        <w:rPr>
          <w:spacing w:val="-6"/>
        </w:rPr>
        <w:t xml:space="preserve"> </w:t>
      </w:r>
      <w:r>
        <w:t>rates,</w:t>
      </w:r>
      <w:r>
        <w:rPr>
          <w:spacing w:val="-6"/>
        </w:rPr>
        <w:t xml:space="preserve"> </w:t>
      </w:r>
      <w:r>
        <w:t>student</w:t>
      </w:r>
      <w:r>
        <w:rPr>
          <w:spacing w:val="-6"/>
        </w:rPr>
        <w:t xml:space="preserve"> </w:t>
      </w:r>
      <w:r>
        <w:t>base</w:t>
      </w:r>
      <w:r>
        <w:rPr>
          <w:spacing w:val="-6"/>
        </w:rPr>
        <w:t xml:space="preserve"> </w:t>
      </w:r>
      <w:r>
        <w:t>weights</w:t>
      </w:r>
      <w:r>
        <w:rPr>
          <w:spacing w:val="-6"/>
        </w:rPr>
        <w:t xml:space="preserve"> </w:t>
      </w:r>
      <w:r>
        <w:t>with</w:t>
      </w:r>
      <w:r>
        <w:rPr>
          <w:spacing w:val="-6"/>
        </w:rPr>
        <w:t xml:space="preserve"> </w:t>
      </w:r>
      <w:r>
        <w:t>adjustment</w:t>
      </w:r>
      <w:r>
        <w:rPr>
          <w:spacing w:val="-6"/>
        </w:rPr>
        <w:t xml:space="preserve"> </w:t>
      </w:r>
      <w:r>
        <w:t>for</w:t>
      </w:r>
      <w:r>
        <w:rPr>
          <w:spacing w:val="-6"/>
        </w:rPr>
        <w:t xml:space="preserve"> </w:t>
      </w:r>
      <w:r>
        <w:t>school</w:t>
      </w:r>
      <w:r>
        <w:rPr>
          <w:spacing w:val="-6"/>
        </w:rPr>
        <w:t xml:space="preserve"> </w:t>
      </w:r>
      <w:r>
        <w:t>nonresponse</w:t>
      </w:r>
      <w:r>
        <w:rPr>
          <w:spacing w:val="-6"/>
        </w:rPr>
        <w:t xml:space="preserve"> </w:t>
      </w:r>
      <w:r>
        <w:t>were</w:t>
      </w:r>
      <w:r>
        <w:rPr>
          <w:spacing w:val="-6"/>
        </w:rPr>
        <w:t xml:space="preserve"> </w:t>
      </w:r>
      <w:r>
        <w:t>used.</w:t>
      </w:r>
      <w:r>
        <w:rPr>
          <w:spacing w:val="-6"/>
        </w:rPr>
        <w:t xml:space="preserve"> </w:t>
      </w:r>
      <w:r>
        <w:t>Different</w:t>
      </w:r>
      <w:r>
        <w:rPr>
          <w:spacing w:val="-6"/>
        </w:rPr>
        <w:t xml:space="preserve"> </w:t>
      </w:r>
      <w:r>
        <w:t>weights</w:t>
      </w:r>
      <w:r>
        <w:rPr>
          <w:spacing w:val="-6"/>
        </w:rPr>
        <w:t xml:space="preserve"> </w:t>
      </w:r>
      <w:r>
        <w:t>were used</w:t>
      </w:r>
      <w:r>
        <w:rPr>
          <w:spacing w:val="-7"/>
        </w:rPr>
        <w:t xml:space="preserve"> </w:t>
      </w:r>
      <w:r>
        <w:t>at</w:t>
      </w:r>
      <w:r>
        <w:rPr>
          <w:spacing w:val="-7"/>
        </w:rPr>
        <w:t xml:space="preserve"> </w:t>
      </w:r>
      <w:r>
        <w:t>the</w:t>
      </w:r>
      <w:r>
        <w:rPr>
          <w:spacing w:val="-7"/>
        </w:rPr>
        <w:t xml:space="preserve"> </w:t>
      </w:r>
      <w:r>
        <w:t>student</w:t>
      </w:r>
      <w:r>
        <w:rPr>
          <w:spacing w:val="-7"/>
        </w:rPr>
        <w:t xml:space="preserve"> </w:t>
      </w:r>
      <w:r>
        <w:t>level</w:t>
      </w:r>
      <w:r>
        <w:rPr>
          <w:spacing w:val="-7"/>
        </w:rPr>
        <w:t xml:space="preserve"> </w:t>
      </w:r>
      <w:r>
        <w:t>because</w:t>
      </w:r>
      <w:r>
        <w:rPr>
          <w:spacing w:val="-7"/>
        </w:rPr>
        <w:t xml:space="preserve"> </w:t>
      </w:r>
      <w:r>
        <w:t>the</w:t>
      </w:r>
      <w:r>
        <w:rPr>
          <w:spacing w:val="-7"/>
        </w:rPr>
        <w:t xml:space="preserve"> </w:t>
      </w:r>
      <w:r>
        <w:t>student</w:t>
      </w:r>
      <w:r>
        <w:rPr>
          <w:spacing w:val="-7"/>
        </w:rPr>
        <w:t xml:space="preserve"> </w:t>
      </w:r>
      <w:r>
        <w:t>participation</w:t>
      </w:r>
      <w:r>
        <w:rPr>
          <w:spacing w:val="-7"/>
        </w:rPr>
        <w:t xml:space="preserve"> </w:t>
      </w:r>
      <w:r>
        <w:t>rates</w:t>
      </w:r>
      <w:r>
        <w:rPr>
          <w:spacing w:val="-7"/>
        </w:rPr>
        <w:t xml:space="preserve"> </w:t>
      </w:r>
      <w:r>
        <w:t>are</w:t>
      </w:r>
      <w:r>
        <w:rPr>
          <w:spacing w:val="-7"/>
        </w:rPr>
        <w:t xml:space="preserve"> </w:t>
      </w:r>
      <w:r>
        <w:t>conditional</w:t>
      </w:r>
      <w:r>
        <w:rPr>
          <w:spacing w:val="-7"/>
        </w:rPr>
        <w:t xml:space="preserve"> </w:t>
      </w:r>
      <w:r>
        <w:t>on</w:t>
      </w:r>
      <w:r>
        <w:rPr>
          <w:spacing w:val="-7"/>
        </w:rPr>
        <w:t xml:space="preserve"> </w:t>
      </w:r>
      <w:r>
        <w:t>(i.e.,</w:t>
      </w:r>
      <w:r>
        <w:rPr>
          <w:spacing w:val="-7"/>
        </w:rPr>
        <w:t xml:space="preserve"> </w:t>
      </w:r>
      <w:r>
        <w:t>computed</w:t>
      </w:r>
      <w:r>
        <w:rPr>
          <w:spacing w:val="-7"/>
        </w:rPr>
        <w:t xml:space="preserve"> </w:t>
      </w:r>
      <w:r>
        <w:t>within)</w:t>
      </w:r>
      <w:r>
        <w:rPr>
          <w:spacing w:val="-7"/>
        </w:rPr>
        <w:t xml:space="preserve"> </w:t>
      </w:r>
      <w:r>
        <w:t>the</w:t>
      </w:r>
      <w:r>
        <w:rPr>
          <w:spacing w:val="-7"/>
        </w:rPr>
        <w:t xml:space="preserve"> </w:t>
      </w:r>
      <w:r>
        <w:t>participating</w:t>
      </w:r>
      <w:r>
        <w:rPr>
          <w:spacing w:val="-7"/>
        </w:rPr>
        <w:t xml:space="preserve"> </w:t>
      </w:r>
      <w:r>
        <w:t>schools,</w:t>
      </w:r>
      <w:r>
        <w:rPr>
          <w:spacing w:val="-7"/>
        </w:rPr>
        <w:t xml:space="preserve"> </w:t>
      </w:r>
      <w:r>
        <w:t>whereas</w:t>
      </w:r>
      <w:r>
        <w:rPr>
          <w:spacing w:val="-7"/>
        </w:rPr>
        <w:t xml:space="preserve"> </w:t>
      </w:r>
      <w:r>
        <w:t>the</w:t>
      </w:r>
      <w:r>
        <w:rPr>
          <w:spacing w:val="-7"/>
        </w:rPr>
        <w:t xml:space="preserve"> </w:t>
      </w:r>
      <w:r>
        <w:t>exclusion</w:t>
      </w:r>
      <w:r>
        <w:rPr>
          <w:spacing w:val="-7"/>
        </w:rPr>
        <w:t xml:space="preserve"> </w:t>
      </w:r>
      <w:r>
        <w:t>and</w:t>
      </w:r>
      <w:r>
        <w:rPr>
          <w:spacing w:val="-7"/>
        </w:rPr>
        <w:t xml:space="preserve"> </w:t>
      </w:r>
      <w:r>
        <w:t>accommodation rates are population estimates.</w:t>
      </w:r>
    </w:p>
    <w:p w:rsidR="003F5784" w14:paraId="2DA53287" w14:textId="77777777">
      <w:pPr>
        <w:pStyle w:val="BodyText"/>
        <w:spacing w:before="210" w:line="232" w:lineRule="auto"/>
        <w:ind w:left="109" w:right="117"/>
      </w:pPr>
      <w:r>
        <w:t>The school participation rates reflect the participation of the original sampled schools only and do not reflect any effect of substitution.</w:t>
      </w:r>
      <w:r>
        <w:rPr>
          <w:spacing w:val="-3"/>
        </w:rPr>
        <w:t xml:space="preserve"> </w:t>
      </w:r>
      <w:r>
        <w:t>The rates weighted by the school base weight</w:t>
      </w:r>
      <w:r>
        <w:rPr>
          <w:spacing w:val="-6"/>
        </w:rPr>
        <w:t xml:space="preserve"> </w:t>
      </w:r>
      <w:r>
        <w:t>and</w:t>
      </w:r>
      <w:r>
        <w:rPr>
          <w:spacing w:val="-6"/>
        </w:rPr>
        <w:t xml:space="preserve"> </w:t>
      </w:r>
      <w:r>
        <w:t>enrollment</w:t>
      </w:r>
      <w:r>
        <w:rPr>
          <w:spacing w:val="-6"/>
        </w:rPr>
        <w:t xml:space="preserve"> </w:t>
      </w:r>
      <w:r>
        <w:t>show</w:t>
      </w:r>
      <w:r>
        <w:rPr>
          <w:spacing w:val="-6"/>
        </w:rPr>
        <w:t xml:space="preserve"> </w:t>
      </w:r>
      <w:r>
        <w:t>the</w:t>
      </w:r>
      <w:r>
        <w:rPr>
          <w:spacing w:val="-6"/>
        </w:rPr>
        <w:t xml:space="preserve"> </w:t>
      </w:r>
      <w:r>
        <w:t>approximate</w:t>
      </w:r>
      <w:r>
        <w:rPr>
          <w:spacing w:val="-6"/>
        </w:rPr>
        <w:t xml:space="preserve"> </w:t>
      </w:r>
      <w:r>
        <w:t>proportion</w:t>
      </w:r>
      <w:r>
        <w:rPr>
          <w:spacing w:val="-6"/>
        </w:rPr>
        <w:t xml:space="preserve"> </w:t>
      </w:r>
      <w:r>
        <w:t>of</w:t>
      </w:r>
      <w:r>
        <w:rPr>
          <w:spacing w:val="-6"/>
        </w:rPr>
        <w:t xml:space="preserve"> </w:t>
      </w:r>
      <w:r>
        <w:t>the</w:t>
      </w:r>
      <w:r>
        <w:rPr>
          <w:spacing w:val="-6"/>
        </w:rPr>
        <w:t xml:space="preserve"> </w:t>
      </w:r>
      <w:r>
        <w:t>student</w:t>
      </w:r>
      <w:r>
        <w:rPr>
          <w:spacing w:val="-6"/>
        </w:rPr>
        <w:t xml:space="preserve"> </w:t>
      </w:r>
      <w:r>
        <w:t>population</w:t>
      </w:r>
      <w:r>
        <w:rPr>
          <w:spacing w:val="-6"/>
        </w:rPr>
        <w:t xml:space="preserve"> </w:t>
      </w:r>
      <w:r>
        <w:t>in</w:t>
      </w:r>
      <w:r>
        <w:rPr>
          <w:spacing w:val="-6"/>
        </w:rPr>
        <w:t xml:space="preserve"> </w:t>
      </w:r>
      <w:r>
        <w:t>the</w:t>
      </w:r>
      <w:r>
        <w:rPr>
          <w:spacing w:val="-6"/>
        </w:rPr>
        <w:t xml:space="preserve"> </w:t>
      </w:r>
      <w:r>
        <w:t>domain</w:t>
      </w:r>
      <w:r>
        <w:rPr>
          <w:spacing w:val="-6"/>
        </w:rPr>
        <w:t xml:space="preserve"> </w:t>
      </w:r>
      <w:r>
        <w:t>that</w:t>
      </w:r>
      <w:r>
        <w:rPr>
          <w:spacing w:val="-6"/>
        </w:rPr>
        <w:t xml:space="preserve"> </w:t>
      </w:r>
      <w:r>
        <w:t>is</w:t>
      </w:r>
      <w:r>
        <w:rPr>
          <w:spacing w:val="-6"/>
        </w:rPr>
        <w:t xml:space="preserve"> </w:t>
      </w:r>
      <w:r>
        <w:t>represented</w:t>
      </w:r>
      <w:r>
        <w:rPr>
          <w:spacing w:val="-6"/>
        </w:rPr>
        <w:t xml:space="preserve"> </w:t>
      </w:r>
      <w:r>
        <w:t>by</w:t>
      </w:r>
      <w:r>
        <w:rPr>
          <w:spacing w:val="-6"/>
        </w:rPr>
        <w:t xml:space="preserve"> </w:t>
      </w:r>
      <w:r>
        <w:t>the</w:t>
      </w:r>
      <w:r>
        <w:rPr>
          <w:spacing w:val="-6"/>
        </w:rPr>
        <w:t xml:space="preserve"> </w:t>
      </w:r>
      <w:r>
        <w:t>responding</w:t>
      </w:r>
      <w:r>
        <w:rPr>
          <w:spacing w:val="-6"/>
        </w:rPr>
        <w:t xml:space="preserve"> </w:t>
      </w:r>
      <w:r>
        <w:t>schools</w:t>
      </w:r>
      <w:r>
        <w:rPr>
          <w:spacing w:val="-6"/>
        </w:rPr>
        <w:t xml:space="preserve"> </w:t>
      </w:r>
      <w:r>
        <w:t>in</w:t>
      </w:r>
      <w:r>
        <w:rPr>
          <w:spacing w:val="-6"/>
        </w:rPr>
        <w:t xml:space="preserve"> </w:t>
      </w:r>
      <w:r>
        <w:t>the</w:t>
      </w:r>
      <w:r>
        <w:rPr>
          <w:spacing w:val="-6"/>
        </w:rPr>
        <w:t xml:space="preserve"> </w:t>
      </w:r>
      <w:r>
        <w:t>sample.</w:t>
      </w:r>
      <w:r>
        <w:rPr>
          <w:spacing w:val="-10"/>
        </w:rPr>
        <w:t xml:space="preserve"> </w:t>
      </w:r>
      <w:r>
        <w:t>The</w:t>
      </w:r>
      <w:r>
        <w:rPr>
          <w:spacing w:val="-6"/>
        </w:rPr>
        <w:t xml:space="preserve"> </w:t>
      </w:r>
      <w:r>
        <w:t>rates</w:t>
      </w:r>
      <w:r>
        <w:rPr>
          <w:spacing w:val="-6"/>
        </w:rPr>
        <w:t xml:space="preserve"> </w:t>
      </w:r>
      <w:r>
        <w:t>weighted by just the base weight show the proportion of the school population that is represented by the responding schools in the sample.</w:t>
      </w:r>
      <w:r>
        <w:rPr>
          <w:spacing w:val="-3"/>
        </w:rPr>
        <w:t xml:space="preserve"> </w:t>
      </w:r>
      <w:r>
        <w:t xml:space="preserve">These rates differ because schools differ in </w:t>
      </w:r>
      <w:r>
        <w:rPr>
          <w:spacing w:val="-2"/>
        </w:rPr>
        <w:t>size.</w:t>
      </w:r>
    </w:p>
    <w:p w:rsidR="003F5784" w14:paraId="359024A8" w14:textId="77777777">
      <w:pPr>
        <w:pStyle w:val="BodyText"/>
        <w:spacing w:before="93"/>
      </w:pPr>
    </w:p>
    <w:p w:rsidR="003F5784" w14:paraId="75DB2309" w14:textId="77777777">
      <w:pPr>
        <w:pStyle w:val="Heading2"/>
      </w:pPr>
      <w:r>
        <w:t>Participation,</w:t>
      </w:r>
      <w:r>
        <w:rPr>
          <w:spacing w:val="-9"/>
        </w:rPr>
        <w:t xml:space="preserve"> </w:t>
      </w:r>
      <w:r>
        <w:t>exclusion,</w:t>
      </w:r>
      <w:r>
        <w:rPr>
          <w:spacing w:val="-8"/>
        </w:rPr>
        <w:t xml:space="preserve"> </w:t>
      </w:r>
      <w:r>
        <w:t>and</w:t>
      </w:r>
      <w:r>
        <w:rPr>
          <w:spacing w:val="-8"/>
        </w:rPr>
        <w:t xml:space="preserve"> </w:t>
      </w:r>
      <w:r>
        <w:t>accommodation</w:t>
      </w:r>
      <w:r>
        <w:rPr>
          <w:spacing w:val="-8"/>
        </w:rPr>
        <w:t xml:space="preserve"> </w:t>
      </w:r>
      <w:r>
        <w:t>rates,</w:t>
      </w:r>
      <w:r>
        <w:rPr>
          <w:spacing w:val="-9"/>
        </w:rPr>
        <w:t xml:space="preserve"> </w:t>
      </w:r>
      <w:r>
        <w:t>age</w:t>
      </w:r>
      <w:r>
        <w:rPr>
          <w:spacing w:val="-8"/>
        </w:rPr>
        <w:t xml:space="preserve"> </w:t>
      </w:r>
      <w:r>
        <w:t>13</w:t>
      </w:r>
      <w:r>
        <w:rPr>
          <w:spacing w:val="-8"/>
        </w:rPr>
        <w:t xml:space="preserve"> </w:t>
      </w:r>
      <w:r>
        <w:t>long-term</w:t>
      </w:r>
      <w:r>
        <w:rPr>
          <w:spacing w:val="-8"/>
        </w:rPr>
        <w:t xml:space="preserve"> </w:t>
      </w:r>
      <w:r>
        <w:t>trend</w:t>
      </w:r>
      <w:r>
        <w:rPr>
          <w:spacing w:val="-9"/>
        </w:rPr>
        <w:t xml:space="preserve"> </w:t>
      </w:r>
      <w:r>
        <w:t>reading</w:t>
      </w:r>
      <w:r>
        <w:rPr>
          <w:spacing w:val="-8"/>
        </w:rPr>
        <w:t xml:space="preserve"> </w:t>
      </w:r>
      <w:r>
        <w:t>assessment,</w:t>
      </w:r>
      <w:r>
        <w:rPr>
          <w:spacing w:val="-8"/>
        </w:rPr>
        <w:t xml:space="preserve"> </w:t>
      </w:r>
      <w:r>
        <w:t>by</w:t>
      </w:r>
      <w:r>
        <w:rPr>
          <w:spacing w:val="-8"/>
        </w:rPr>
        <w:t xml:space="preserve"> </w:t>
      </w:r>
      <w:r>
        <w:t>school</w:t>
      </w:r>
      <w:r>
        <w:rPr>
          <w:spacing w:val="-9"/>
        </w:rPr>
        <w:t xml:space="preserve"> </w:t>
      </w:r>
      <w:r>
        <w:t>type</w:t>
      </w:r>
      <w:r>
        <w:rPr>
          <w:spacing w:val="-8"/>
        </w:rPr>
        <w:t xml:space="preserve"> </w:t>
      </w:r>
      <w:r>
        <w:t>and</w:t>
      </w:r>
      <w:r>
        <w:rPr>
          <w:spacing w:val="-8"/>
        </w:rPr>
        <w:t xml:space="preserve"> </w:t>
      </w:r>
      <w:r>
        <w:t>geographic</w:t>
      </w:r>
      <w:r>
        <w:rPr>
          <w:spacing w:val="-8"/>
        </w:rPr>
        <w:t xml:space="preserve"> </w:t>
      </w:r>
      <w:r>
        <w:t>region:</w:t>
      </w:r>
      <w:r>
        <w:rPr>
          <w:spacing w:val="-9"/>
        </w:rPr>
        <w:t xml:space="preserve"> </w:t>
      </w:r>
      <w:r>
        <w:rPr>
          <w:spacing w:val="-4"/>
        </w:rPr>
        <w:t>2022</w:t>
      </w:r>
    </w:p>
    <w:p w:rsidR="003F5784" w14:paraId="72DC0096" w14:textId="77777777">
      <w:pPr>
        <w:sectPr>
          <w:pgSz w:w="15840" w:h="12240" w:orient="landscape"/>
          <w:pgMar w:top="480" w:right="440" w:bottom="460" w:left="460" w:header="284" w:footer="275" w:gutter="0"/>
          <w:cols w:space="720"/>
        </w:sectPr>
      </w:pPr>
    </w:p>
    <w:p w:rsidR="003F5784" w14:paraId="7D0F5F1E" w14:textId="77777777">
      <w:pPr>
        <w:pStyle w:val="BodyText"/>
        <w:spacing w:before="5"/>
        <w:rPr>
          <w:b/>
          <w:sz w:val="7"/>
        </w:rPr>
      </w:pPr>
    </w:p>
    <w:tbl>
      <w:tblPr>
        <w:tblW w:w="0" w:type="auto"/>
        <w:tblInd w:w="482" w:type="dxa"/>
        <w:tblLayout w:type="fixed"/>
        <w:tblCellMar>
          <w:left w:w="0" w:type="dxa"/>
          <w:right w:w="0" w:type="dxa"/>
        </w:tblCellMar>
        <w:tblLook w:val="01E0"/>
      </w:tblPr>
      <w:tblGrid>
        <w:gridCol w:w="3181"/>
        <w:gridCol w:w="1188"/>
        <w:gridCol w:w="1979"/>
        <w:gridCol w:w="1834"/>
        <w:gridCol w:w="1264"/>
        <w:gridCol w:w="1274"/>
        <w:gridCol w:w="1559"/>
        <w:gridCol w:w="1712"/>
      </w:tblGrid>
      <w:tr w14:paraId="54A8F1C1" w14:textId="77777777">
        <w:tblPrEx>
          <w:tblW w:w="0" w:type="auto"/>
          <w:tblInd w:w="482" w:type="dxa"/>
          <w:tblLayout w:type="fixed"/>
          <w:tblCellMar>
            <w:left w:w="0" w:type="dxa"/>
            <w:right w:w="0" w:type="dxa"/>
          </w:tblCellMar>
          <w:tblLook w:val="01E0"/>
        </w:tblPrEx>
        <w:trPr>
          <w:trHeight w:val="1440"/>
        </w:trPr>
        <w:tc>
          <w:tcPr>
            <w:tcW w:w="3181" w:type="dxa"/>
            <w:tcBorders>
              <w:top w:val="single" w:sz="18" w:space="0" w:color="800000"/>
              <w:bottom w:val="single" w:sz="18" w:space="0" w:color="800000"/>
            </w:tcBorders>
          </w:tcPr>
          <w:p w:rsidR="003F5784" w14:paraId="51C10001" w14:textId="77777777">
            <w:pPr>
              <w:pStyle w:val="TableParagraph"/>
              <w:spacing w:before="0"/>
              <w:jc w:val="left"/>
              <w:rPr>
                <w:b/>
                <w:sz w:val="21"/>
              </w:rPr>
            </w:pPr>
          </w:p>
          <w:p w:rsidR="003F5784" w14:paraId="7429F4CF" w14:textId="77777777">
            <w:pPr>
              <w:pStyle w:val="TableParagraph"/>
              <w:spacing w:before="0"/>
              <w:jc w:val="left"/>
              <w:rPr>
                <w:b/>
                <w:sz w:val="21"/>
              </w:rPr>
            </w:pPr>
          </w:p>
          <w:p w:rsidR="003F5784" w14:paraId="08A1B039" w14:textId="77777777">
            <w:pPr>
              <w:pStyle w:val="TableParagraph"/>
              <w:spacing w:before="0"/>
              <w:jc w:val="left"/>
              <w:rPr>
                <w:b/>
                <w:sz w:val="21"/>
              </w:rPr>
            </w:pPr>
          </w:p>
          <w:p w:rsidR="003F5784" w14:paraId="3DF23A79" w14:textId="77777777">
            <w:pPr>
              <w:pStyle w:val="TableParagraph"/>
              <w:spacing w:before="216"/>
              <w:jc w:val="left"/>
              <w:rPr>
                <w:b/>
                <w:sz w:val="21"/>
              </w:rPr>
            </w:pPr>
          </w:p>
          <w:p w:rsidR="003F5784" w14:paraId="10B9FD8A" w14:textId="77777777">
            <w:pPr>
              <w:pStyle w:val="TableParagraph"/>
              <w:spacing w:before="0" w:line="238" w:lineRule="exact"/>
              <w:ind w:left="120"/>
              <w:jc w:val="left"/>
              <w:rPr>
                <w:sz w:val="21"/>
              </w:rPr>
            </w:pPr>
            <w:r>
              <w:rPr>
                <w:sz w:val="21"/>
              </w:rPr>
              <w:t>School</w:t>
            </w:r>
            <w:r>
              <w:rPr>
                <w:spacing w:val="-7"/>
                <w:sz w:val="21"/>
              </w:rPr>
              <w:t xml:space="preserve"> </w:t>
            </w:r>
            <w:r>
              <w:rPr>
                <w:sz w:val="21"/>
              </w:rPr>
              <w:t>type</w:t>
            </w:r>
            <w:r>
              <w:rPr>
                <w:spacing w:val="-6"/>
                <w:sz w:val="21"/>
              </w:rPr>
              <w:t xml:space="preserve"> </w:t>
            </w:r>
            <w:r>
              <w:rPr>
                <w:sz w:val="21"/>
              </w:rPr>
              <w:t>and</w:t>
            </w:r>
            <w:r>
              <w:rPr>
                <w:spacing w:val="-7"/>
                <w:sz w:val="21"/>
              </w:rPr>
              <w:t xml:space="preserve"> </w:t>
            </w:r>
            <w:r>
              <w:rPr>
                <w:sz w:val="21"/>
              </w:rPr>
              <w:t>geographic</w:t>
            </w:r>
            <w:r>
              <w:rPr>
                <w:spacing w:val="-6"/>
                <w:sz w:val="21"/>
              </w:rPr>
              <w:t xml:space="preserve"> </w:t>
            </w:r>
            <w:r>
              <w:rPr>
                <w:spacing w:val="-2"/>
                <w:sz w:val="21"/>
              </w:rPr>
              <w:t>region</w:t>
            </w:r>
          </w:p>
        </w:tc>
        <w:tc>
          <w:tcPr>
            <w:tcW w:w="1188" w:type="dxa"/>
            <w:tcBorders>
              <w:top w:val="single" w:sz="18" w:space="0" w:color="800000"/>
              <w:bottom w:val="single" w:sz="18" w:space="0" w:color="800000"/>
            </w:tcBorders>
          </w:tcPr>
          <w:p w:rsidR="003F5784" w14:paraId="4A4058D8" w14:textId="77777777">
            <w:pPr>
              <w:pStyle w:val="TableParagraph"/>
              <w:spacing w:before="9"/>
              <w:jc w:val="left"/>
              <w:rPr>
                <w:b/>
                <w:sz w:val="21"/>
              </w:rPr>
            </w:pPr>
          </w:p>
          <w:p w:rsidR="003F5784" w14:paraId="219D3BC6" w14:textId="77777777">
            <w:pPr>
              <w:pStyle w:val="TableParagraph"/>
              <w:spacing w:before="0" w:line="234" w:lineRule="exact"/>
              <w:ind w:left="221" w:right="124" w:hanging="70"/>
              <w:rPr>
                <w:sz w:val="21"/>
              </w:rPr>
            </w:pPr>
            <w:r>
              <w:rPr>
                <w:sz w:val="21"/>
              </w:rPr>
              <w:t>Number</w:t>
            </w:r>
            <w:r>
              <w:rPr>
                <w:spacing w:val="-14"/>
                <w:sz w:val="21"/>
              </w:rPr>
              <w:t xml:space="preserve"> </w:t>
            </w:r>
            <w:r>
              <w:rPr>
                <w:sz w:val="21"/>
              </w:rPr>
              <w:t>of schools</w:t>
            </w:r>
            <w:r>
              <w:rPr>
                <w:spacing w:val="-14"/>
                <w:sz w:val="21"/>
              </w:rPr>
              <w:t xml:space="preserve"> </w:t>
            </w:r>
            <w:r>
              <w:rPr>
                <w:sz w:val="21"/>
              </w:rPr>
              <w:t xml:space="preserve">in </w:t>
            </w:r>
            <w:r>
              <w:rPr>
                <w:spacing w:val="-2"/>
                <w:sz w:val="21"/>
              </w:rPr>
              <w:t>original sample, rounded</w:t>
            </w:r>
          </w:p>
        </w:tc>
        <w:tc>
          <w:tcPr>
            <w:tcW w:w="1979" w:type="dxa"/>
            <w:tcBorders>
              <w:top w:val="single" w:sz="18" w:space="0" w:color="800000"/>
              <w:bottom w:val="single" w:sz="18" w:space="0" w:color="800000"/>
            </w:tcBorders>
          </w:tcPr>
          <w:p w:rsidR="003F5784" w14:paraId="280AE496" w14:textId="77777777">
            <w:pPr>
              <w:pStyle w:val="TableParagraph"/>
              <w:spacing w:before="15" w:line="232" w:lineRule="auto"/>
              <w:ind w:left="251" w:right="167" w:hanging="128"/>
              <w:rPr>
                <w:sz w:val="21"/>
              </w:rPr>
            </w:pPr>
            <w:r>
              <w:rPr>
                <w:spacing w:val="-2"/>
                <w:sz w:val="21"/>
              </w:rPr>
              <w:t>School</w:t>
            </w:r>
            <w:r>
              <w:rPr>
                <w:spacing w:val="-11"/>
                <w:sz w:val="21"/>
              </w:rPr>
              <w:t xml:space="preserve"> </w:t>
            </w:r>
            <w:r>
              <w:rPr>
                <w:spacing w:val="-2"/>
                <w:sz w:val="21"/>
              </w:rPr>
              <w:t xml:space="preserve">participation </w:t>
            </w:r>
            <w:r>
              <w:rPr>
                <w:sz w:val="21"/>
              </w:rPr>
              <w:t xml:space="preserve">rates (percent) </w:t>
            </w:r>
            <w:r>
              <w:rPr>
                <w:spacing w:val="-2"/>
                <w:sz w:val="21"/>
              </w:rPr>
              <w:t>before</w:t>
            </w:r>
            <w:r>
              <w:rPr>
                <w:spacing w:val="-12"/>
                <w:sz w:val="21"/>
              </w:rPr>
              <w:t xml:space="preserve"> </w:t>
            </w:r>
            <w:r>
              <w:rPr>
                <w:spacing w:val="-2"/>
                <w:sz w:val="21"/>
              </w:rPr>
              <w:t xml:space="preserve">substitution </w:t>
            </w:r>
            <w:r>
              <w:rPr>
                <w:sz w:val="21"/>
              </w:rPr>
              <w:t>(weighted</w:t>
            </w:r>
            <w:r>
              <w:rPr>
                <w:spacing w:val="-7"/>
                <w:sz w:val="21"/>
              </w:rPr>
              <w:t xml:space="preserve"> </w:t>
            </w:r>
            <w:r>
              <w:rPr>
                <w:sz w:val="21"/>
              </w:rPr>
              <w:t>by</w:t>
            </w:r>
            <w:r>
              <w:rPr>
                <w:spacing w:val="-6"/>
                <w:sz w:val="21"/>
              </w:rPr>
              <w:t xml:space="preserve"> </w:t>
            </w:r>
            <w:r>
              <w:rPr>
                <w:spacing w:val="-4"/>
                <w:sz w:val="21"/>
              </w:rPr>
              <w:t>base</w:t>
            </w:r>
          </w:p>
          <w:p w:rsidR="003F5784" w14:paraId="44F0172C" w14:textId="77777777">
            <w:pPr>
              <w:pStyle w:val="TableParagraph"/>
              <w:spacing w:before="0" w:line="234" w:lineRule="exact"/>
              <w:ind w:left="836" w:right="167" w:firstLine="51"/>
              <w:rPr>
                <w:sz w:val="21"/>
              </w:rPr>
            </w:pPr>
            <w:r>
              <w:rPr>
                <w:sz w:val="21"/>
              </w:rPr>
              <w:t>weight</w:t>
            </w:r>
            <w:r>
              <w:rPr>
                <w:spacing w:val="-14"/>
                <w:sz w:val="21"/>
              </w:rPr>
              <w:t xml:space="preserve"> </w:t>
            </w:r>
            <w:r>
              <w:rPr>
                <w:sz w:val="21"/>
              </w:rPr>
              <w:t xml:space="preserve">and </w:t>
            </w:r>
            <w:r>
              <w:rPr>
                <w:spacing w:val="-2"/>
                <w:sz w:val="21"/>
              </w:rPr>
              <w:t>enrollment)</w:t>
            </w:r>
          </w:p>
        </w:tc>
        <w:tc>
          <w:tcPr>
            <w:tcW w:w="1834" w:type="dxa"/>
            <w:tcBorders>
              <w:top w:val="single" w:sz="18" w:space="0" w:color="800000"/>
              <w:bottom w:val="single" w:sz="18" w:space="0" w:color="800000"/>
            </w:tcBorders>
          </w:tcPr>
          <w:p w:rsidR="003F5784" w14:paraId="49B5D42B" w14:textId="77777777">
            <w:pPr>
              <w:pStyle w:val="TableParagraph"/>
              <w:spacing w:before="15" w:line="232" w:lineRule="auto"/>
              <w:ind w:left="167" w:right="147" w:firstLine="937"/>
              <w:rPr>
                <w:sz w:val="21"/>
              </w:rPr>
            </w:pPr>
            <w:r>
              <w:rPr>
                <w:spacing w:val="-2"/>
                <w:sz w:val="21"/>
              </w:rPr>
              <w:t xml:space="preserve">School </w:t>
            </w:r>
            <w:r>
              <w:rPr>
                <w:sz w:val="21"/>
              </w:rPr>
              <w:t>participation</w:t>
            </w:r>
            <w:r>
              <w:rPr>
                <w:spacing w:val="-14"/>
                <w:sz w:val="21"/>
              </w:rPr>
              <w:t xml:space="preserve"> </w:t>
            </w:r>
            <w:r>
              <w:rPr>
                <w:sz w:val="21"/>
              </w:rPr>
              <w:t xml:space="preserve">rates (percent) before </w:t>
            </w:r>
            <w:r>
              <w:rPr>
                <w:spacing w:val="-2"/>
                <w:sz w:val="21"/>
              </w:rPr>
              <w:t xml:space="preserve">substitution </w:t>
            </w:r>
            <w:r>
              <w:rPr>
                <w:sz w:val="21"/>
              </w:rPr>
              <w:t>(weighted</w:t>
            </w:r>
            <w:r>
              <w:rPr>
                <w:spacing w:val="-7"/>
                <w:sz w:val="21"/>
              </w:rPr>
              <w:t xml:space="preserve"> </w:t>
            </w:r>
            <w:r>
              <w:rPr>
                <w:sz w:val="21"/>
              </w:rPr>
              <w:t>by</w:t>
            </w:r>
            <w:r>
              <w:rPr>
                <w:spacing w:val="-6"/>
                <w:sz w:val="21"/>
              </w:rPr>
              <w:t xml:space="preserve"> </w:t>
            </w:r>
            <w:r>
              <w:rPr>
                <w:spacing w:val="-4"/>
                <w:sz w:val="21"/>
              </w:rPr>
              <w:t>base</w:t>
            </w:r>
          </w:p>
          <w:p w:rsidR="003F5784" w14:paraId="5F993FA6" w14:textId="77777777">
            <w:pPr>
              <w:pStyle w:val="TableParagraph"/>
              <w:spacing w:before="0" w:line="234" w:lineRule="exact"/>
              <w:ind w:left="-26" w:right="147"/>
              <w:rPr>
                <w:sz w:val="21"/>
              </w:rPr>
            </w:pPr>
            <w:r>
              <w:rPr>
                <w:sz w:val="21"/>
              </w:rPr>
              <w:t>weight</w:t>
            </w:r>
            <w:r>
              <w:rPr>
                <w:spacing w:val="-7"/>
                <w:sz w:val="21"/>
              </w:rPr>
              <w:t xml:space="preserve"> </w:t>
            </w:r>
            <w:r>
              <w:rPr>
                <w:spacing w:val="-2"/>
                <w:sz w:val="21"/>
              </w:rPr>
              <w:t>only)</w:t>
            </w:r>
          </w:p>
        </w:tc>
        <w:tc>
          <w:tcPr>
            <w:tcW w:w="1264" w:type="dxa"/>
            <w:tcBorders>
              <w:top w:val="single" w:sz="18" w:space="0" w:color="800000"/>
              <w:bottom w:val="single" w:sz="18" w:space="0" w:color="800000"/>
            </w:tcBorders>
          </w:tcPr>
          <w:p w:rsidR="003F5784" w14:paraId="152BAED4" w14:textId="77777777">
            <w:pPr>
              <w:pStyle w:val="TableParagraph"/>
              <w:spacing w:before="0"/>
              <w:jc w:val="left"/>
              <w:rPr>
                <w:b/>
                <w:sz w:val="21"/>
              </w:rPr>
            </w:pPr>
          </w:p>
          <w:p w:rsidR="003F5784" w14:paraId="47DEC798" w14:textId="77777777">
            <w:pPr>
              <w:pStyle w:val="TableParagraph"/>
              <w:spacing w:before="1"/>
              <w:jc w:val="left"/>
              <w:rPr>
                <w:b/>
                <w:sz w:val="21"/>
              </w:rPr>
            </w:pPr>
          </w:p>
          <w:p w:rsidR="003F5784" w14:paraId="489BDE1F" w14:textId="77777777">
            <w:pPr>
              <w:pStyle w:val="TableParagraph"/>
              <w:spacing w:before="0" w:line="234" w:lineRule="exact"/>
              <w:ind w:left="307" w:right="207" w:hanging="163"/>
              <w:jc w:val="both"/>
              <w:rPr>
                <w:sz w:val="21"/>
              </w:rPr>
            </w:pPr>
            <w:r>
              <w:rPr>
                <w:sz w:val="21"/>
              </w:rPr>
              <w:t>Number</w:t>
            </w:r>
            <w:r>
              <w:rPr>
                <w:spacing w:val="-14"/>
                <w:sz w:val="21"/>
              </w:rPr>
              <w:t xml:space="preserve"> </w:t>
            </w:r>
            <w:r>
              <w:rPr>
                <w:sz w:val="21"/>
              </w:rPr>
              <w:t xml:space="preserve">of </w:t>
            </w:r>
            <w:r>
              <w:rPr>
                <w:spacing w:val="-2"/>
                <w:sz w:val="21"/>
              </w:rPr>
              <w:t>students sampled, rounded</w:t>
            </w:r>
          </w:p>
        </w:tc>
        <w:tc>
          <w:tcPr>
            <w:tcW w:w="1274" w:type="dxa"/>
            <w:tcBorders>
              <w:top w:val="single" w:sz="18" w:space="0" w:color="800000"/>
              <w:bottom w:val="single" w:sz="18" w:space="0" w:color="800000"/>
            </w:tcBorders>
          </w:tcPr>
          <w:p w:rsidR="003F5784" w14:paraId="1EA5252E" w14:textId="77777777">
            <w:pPr>
              <w:pStyle w:val="TableParagraph"/>
              <w:spacing w:before="0"/>
              <w:jc w:val="left"/>
              <w:rPr>
                <w:b/>
                <w:sz w:val="21"/>
              </w:rPr>
            </w:pPr>
          </w:p>
          <w:p w:rsidR="003F5784" w14:paraId="409007FD" w14:textId="77777777">
            <w:pPr>
              <w:pStyle w:val="TableParagraph"/>
              <w:spacing w:before="1"/>
              <w:jc w:val="left"/>
              <w:rPr>
                <w:b/>
                <w:sz w:val="21"/>
              </w:rPr>
            </w:pPr>
          </w:p>
          <w:p w:rsidR="003F5784" w14:paraId="708F4A2D" w14:textId="77777777">
            <w:pPr>
              <w:pStyle w:val="TableParagraph"/>
              <w:spacing w:before="0" w:line="234" w:lineRule="exact"/>
              <w:ind w:left="202" w:right="229" w:firstLine="45"/>
              <w:rPr>
                <w:sz w:val="21"/>
              </w:rPr>
            </w:pPr>
            <w:r>
              <w:rPr>
                <w:spacing w:val="-4"/>
                <w:sz w:val="21"/>
              </w:rPr>
              <w:t xml:space="preserve">Weighted </w:t>
            </w:r>
            <w:r>
              <w:rPr>
                <w:sz w:val="21"/>
              </w:rPr>
              <w:t>percent</w:t>
            </w:r>
            <w:r>
              <w:rPr>
                <w:spacing w:val="-14"/>
                <w:sz w:val="21"/>
              </w:rPr>
              <w:t xml:space="preserve"> </w:t>
            </w:r>
            <w:r>
              <w:rPr>
                <w:sz w:val="21"/>
              </w:rPr>
              <w:t xml:space="preserve">of </w:t>
            </w:r>
            <w:r>
              <w:rPr>
                <w:spacing w:val="-2"/>
                <w:sz w:val="21"/>
              </w:rPr>
              <w:t>students excluded</w:t>
            </w:r>
          </w:p>
        </w:tc>
        <w:tc>
          <w:tcPr>
            <w:tcW w:w="1559" w:type="dxa"/>
            <w:tcBorders>
              <w:top w:val="single" w:sz="18" w:space="0" w:color="800000"/>
              <w:bottom w:val="single" w:sz="18" w:space="0" w:color="800000"/>
            </w:tcBorders>
          </w:tcPr>
          <w:p w:rsidR="003F5784" w14:paraId="441D9550" w14:textId="77777777">
            <w:pPr>
              <w:pStyle w:val="TableParagraph"/>
              <w:spacing w:before="9"/>
              <w:jc w:val="left"/>
              <w:rPr>
                <w:b/>
                <w:sz w:val="21"/>
              </w:rPr>
            </w:pPr>
          </w:p>
          <w:p w:rsidR="003F5784" w14:paraId="3DF5E65E" w14:textId="77777777">
            <w:pPr>
              <w:pStyle w:val="TableParagraph"/>
              <w:spacing w:before="0" w:line="234" w:lineRule="exact"/>
              <w:ind w:left="222" w:right="135" w:firstLine="404"/>
              <w:rPr>
                <w:sz w:val="21"/>
              </w:rPr>
            </w:pPr>
            <w:r>
              <w:rPr>
                <w:spacing w:val="-4"/>
                <w:sz w:val="21"/>
              </w:rPr>
              <w:t xml:space="preserve">Weighted </w:t>
            </w:r>
            <w:r>
              <w:rPr>
                <w:spacing w:val="-2"/>
                <w:sz w:val="21"/>
              </w:rPr>
              <w:t>student participation rates</w:t>
            </w:r>
            <w:r>
              <w:rPr>
                <w:spacing w:val="-12"/>
                <w:sz w:val="21"/>
              </w:rPr>
              <w:t xml:space="preserve"> </w:t>
            </w:r>
            <w:r>
              <w:rPr>
                <w:spacing w:val="-2"/>
                <w:sz w:val="21"/>
              </w:rPr>
              <w:t xml:space="preserve">(percent) </w:t>
            </w:r>
            <w:r>
              <w:rPr>
                <w:sz w:val="21"/>
              </w:rPr>
              <w:t>after</w:t>
            </w:r>
            <w:r>
              <w:rPr>
                <w:spacing w:val="-5"/>
                <w:sz w:val="21"/>
              </w:rPr>
              <w:t xml:space="preserve"> </w:t>
            </w:r>
            <w:r>
              <w:rPr>
                <w:spacing w:val="-2"/>
                <w:sz w:val="21"/>
              </w:rPr>
              <w:t>makeups</w:t>
            </w:r>
          </w:p>
        </w:tc>
        <w:tc>
          <w:tcPr>
            <w:tcW w:w="1712" w:type="dxa"/>
            <w:tcBorders>
              <w:top w:val="single" w:sz="18" w:space="0" w:color="800000"/>
              <w:bottom w:val="single" w:sz="18" w:space="0" w:color="800000"/>
            </w:tcBorders>
          </w:tcPr>
          <w:p w:rsidR="003F5784" w14:paraId="1D9388DB" w14:textId="77777777">
            <w:pPr>
              <w:pStyle w:val="TableParagraph"/>
              <w:spacing w:before="0"/>
              <w:jc w:val="left"/>
              <w:rPr>
                <w:b/>
                <w:sz w:val="21"/>
              </w:rPr>
            </w:pPr>
          </w:p>
          <w:p w:rsidR="003F5784" w14:paraId="3FF5F1D4" w14:textId="77777777">
            <w:pPr>
              <w:pStyle w:val="TableParagraph"/>
              <w:spacing w:before="230"/>
              <w:jc w:val="left"/>
              <w:rPr>
                <w:b/>
                <w:sz w:val="21"/>
              </w:rPr>
            </w:pPr>
          </w:p>
          <w:p w:rsidR="003F5784" w14:paraId="594B3BAA" w14:textId="77777777">
            <w:pPr>
              <w:pStyle w:val="TableParagraph"/>
              <w:spacing w:before="0" w:line="238" w:lineRule="exact"/>
              <w:ind w:right="124"/>
              <w:rPr>
                <w:sz w:val="21"/>
              </w:rPr>
            </w:pPr>
            <w:r>
              <w:rPr>
                <w:spacing w:val="-2"/>
                <w:sz w:val="21"/>
              </w:rPr>
              <w:t>Weighted</w:t>
            </w:r>
            <w:r>
              <w:rPr>
                <w:spacing w:val="-11"/>
                <w:sz w:val="21"/>
              </w:rPr>
              <w:t xml:space="preserve"> </w:t>
            </w:r>
            <w:r>
              <w:rPr>
                <w:spacing w:val="-2"/>
                <w:sz w:val="21"/>
              </w:rPr>
              <w:t>percent</w:t>
            </w:r>
          </w:p>
          <w:p w:rsidR="003F5784" w14:paraId="363CC6F2" w14:textId="77777777">
            <w:pPr>
              <w:pStyle w:val="TableParagraph"/>
              <w:spacing w:before="1" w:line="234" w:lineRule="exact"/>
              <w:ind w:left="323" w:right="124" w:firstLine="352"/>
              <w:rPr>
                <w:sz w:val="21"/>
              </w:rPr>
            </w:pPr>
            <w:r>
              <w:rPr>
                <w:sz w:val="21"/>
              </w:rPr>
              <w:t>of</w:t>
            </w:r>
            <w:r>
              <w:rPr>
                <w:spacing w:val="-14"/>
                <w:sz w:val="21"/>
              </w:rPr>
              <w:t xml:space="preserve"> </w:t>
            </w:r>
            <w:r>
              <w:rPr>
                <w:sz w:val="21"/>
              </w:rPr>
              <w:t xml:space="preserve">students </w:t>
            </w:r>
            <w:r>
              <w:rPr>
                <w:spacing w:val="-2"/>
                <w:sz w:val="21"/>
              </w:rPr>
              <w:t>accommodated</w:t>
            </w:r>
          </w:p>
        </w:tc>
      </w:tr>
      <w:tr w14:paraId="09EA0142" w14:textId="77777777">
        <w:tblPrEx>
          <w:tblW w:w="0" w:type="auto"/>
          <w:tblInd w:w="482" w:type="dxa"/>
          <w:tblLayout w:type="fixed"/>
          <w:tblCellMar>
            <w:left w:w="0" w:type="dxa"/>
            <w:right w:w="0" w:type="dxa"/>
          </w:tblCellMar>
          <w:tblLook w:val="01E0"/>
        </w:tblPrEx>
        <w:trPr>
          <w:trHeight w:val="332"/>
        </w:trPr>
        <w:tc>
          <w:tcPr>
            <w:tcW w:w="3181" w:type="dxa"/>
            <w:tcBorders>
              <w:top w:val="single" w:sz="18" w:space="0" w:color="800000"/>
            </w:tcBorders>
          </w:tcPr>
          <w:p w:rsidR="003F5784" w14:paraId="704F49A9" w14:textId="77777777">
            <w:pPr>
              <w:pStyle w:val="TableParagraph"/>
              <w:spacing w:before="23"/>
              <w:ind w:left="526"/>
              <w:jc w:val="left"/>
              <w:rPr>
                <w:b/>
                <w:sz w:val="17"/>
              </w:rPr>
            </w:pPr>
            <w:r>
              <w:rPr>
                <w:b/>
                <w:sz w:val="21"/>
              </w:rPr>
              <w:t>National</w:t>
            </w:r>
            <w:r>
              <w:rPr>
                <w:b/>
                <w:spacing w:val="-9"/>
                <w:sz w:val="21"/>
              </w:rPr>
              <w:t xml:space="preserve"> </w:t>
            </w:r>
            <w:r>
              <w:rPr>
                <w:b/>
                <w:spacing w:val="-4"/>
                <w:sz w:val="21"/>
              </w:rPr>
              <w:t>all</w:t>
            </w:r>
            <w:r>
              <w:rPr>
                <w:b/>
                <w:spacing w:val="-4"/>
                <w:position w:val="8"/>
                <w:sz w:val="17"/>
              </w:rPr>
              <w:t>1</w:t>
            </w:r>
          </w:p>
        </w:tc>
        <w:tc>
          <w:tcPr>
            <w:tcW w:w="1188" w:type="dxa"/>
            <w:tcBorders>
              <w:top w:val="single" w:sz="18" w:space="0" w:color="800000"/>
            </w:tcBorders>
          </w:tcPr>
          <w:p w:rsidR="003F5784" w14:paraId="2CC9BC5A" w14:textId="77777777">
            <w:pPr>
              <w:pStyle w:val="TableParagraph"/>
              <w:spacing w:before="9"/>
              <w:ind w:left="749"/>
              <w:jc w:val="left"/>
              <w:rPr>
                <w:b/>
                <w:sz w:val="21"/>
              </w:rPr>
            </w:pPr>
            <w:r>
              <w:rPr>
                <w:b/>
                <w:spacing w:val="-5"/>
                <w:sz w:val="21"/>
              </w:rPr>
              <w:t>660</w:t>
            </w:r>
          </w:p>
        </w:tc>
        <w:tc>
          <w:tcPr>
            <w:tcW w:w="1979" w:type="dxa"/>
            <w:tcBorders>
              <w:top w:val="single" w:sz="18" w:space="0" w:color="800000"/>
            </w:tcBorders>
          </w:tcPr>
          <w:p w:rsidR="003F5784" w14:paraId="524B8829" w14:textId="77777777">
            <w:pPr>
              <w:pStyle w:val="TableParagraph"/>
              <w:spacing w:before="9"/>
              <w:ind w:right="167"/>
              <w:rPr>
                <w:b/>
                <w:sz w:val="21"/>
              </w:rPr>
            </w:pPr>
            <w:r>
              <w:rPr>
                <w:b/>
                <w:spacing w:val="-2"/>
                <w:sz w:val="21"/>
              </w:rPr>
              <w:t>85.98</w:t>
            </w:r>
          </w:p>
        </w:tc>
        <w:tc>
          <w:tcPr>
            <w:tcW w:w="1834" w:type="dxa"/>
            <w:tcBorders>
              <w:top w:val="single" w:sz="18" w:space="0" w:color="800000"/>
            </w:tcBorders>
          </w:tcPr>
          <w:p w:rsidR="003F5784" w14:paraId="36B360F7" w14:textId="77777777">
            <w:pPr>
              <w:pStyle w:val="TableParagraph"/>
              <w:spacing w:before="9"/>
              <w:ind w:left="1215"/>
              <w:jc w:val="left"/>
              <w:rPr>
                <w:b/>
                <w:sz w:val="21"/>
              </w:rPr>
            </w:pPr>
            <w:r>
              <w:rPr>
                <w:b/>
                <w:spacing w:val="-2"/>
                <w:sz w:val="21"/>
              </w:rPr>
              <w:t>70.79</w:t>
            </w:r>
          </w:p>
        </w:tc>
        <w:tc>
          <w:tcPr>
            <w:tcW w:w="1264" w:type="dxa"/>
            <w:tcBorders>
              <w:top w:val="single" w:sz="18" w:space="0" w:color="800000"/>
            </w:tcBorders>
          </w:tcPr>
          <w:p w:rsidR="003F5784" w14:paraId="1A9BB5EE" w14:textId="77777777">
            <w:pPr>
              <w:pStyle w:val="TableParagraph"/>
              <w:spacing w:before="9"/>
              <w:ind w:left="481"/>
              <w:jc w:val="left"/>
              <w:rPr>
                <w:b/>
                <w:sz w:val="21"/>
              </w:rPr>
            </w:pPr>
            <w:r>
              <w:rPr>
                <w:b/>
                <w:spacing w:val="-2"/>
                <w:sz w:val="21"/>
              </w:rPr>
              <w:t>10,500</w:t>
            </w:r>
          </w:p>
        </w:tc>
        <w:tc>
          <w:tcPr>
            <w:tcW w:w="1274" w:type="dxa"/>
            <w:tcBorders>
              <w:top w:val="single" w:sz="18" w:space="0" w:color="800000"/>
            </w:tcBorders>
          </w:tcPr>
          <w:p w:rsidR="003F5784" w14:paraId="629F28E6" w14:textId="77777777">
            <w:pPr>
              <w:pStyle w:val="TableParagraph"/>
              <w:spacing w:before="9"/>
              <w:ind w:left="677"/>
              <w:jc w:val="left"/>
              <w:rPr>
                <w:b/>
                <w:sz w:val="21"/>
              </w:rPr>
            </w:pPr>
            <w:r>
              <w:rPr>
                <w:b/>
                <w:spacing w:val="-4"/>
                <w:sz w:val="21"/>
              </w:rPr>
              <w:t>3.08</w:t>
            </w:r>
          </w:p>
        </w:tc>
        <w:tc>
          <w:tcPr>
            <w:tcW w:w="1559" w:type="dxa"/>
            <w:tcBorders>
              <w:top w:val="single" w:sz="18" w:space="0" w:color="800000"/>
            </w:tcBorders>
          </w:tcPr>
          <w:p w:rsidR="003F5784" w14:paraId="0EF0FDAA" w14:textId="77777777">
            <w:pPr>
              <w:pStyle w:val="TableParagraph"/>
              <w:spacing w:before="9"/>
              <w:ind w:left="951"/>
              <w:jc w:val="left"/>
              <w:rPr>
                <w:b/>
                <w:sz w:val="21"/>
              </w:rPr>
            </w:pPr>
            <w:r>
              <w:rPr>
                <w:b/>
                <w:spacing w:val="-2"/>
                <w:sz w:val="21"/>
              </w:rPr>
              <w:t>89.22</w:t>
            </w:r>
          </w:p>
        </w:tc>
        <w:tc>
          <w:tcPr>
            <w:tcW w:w="1712" w:type="dxa"/>
            <w:tcBorders>
              <w:top w:val="single" w:sz="18" w:space="0" w:color="800000"/>
            </w:tcBorders>
          </w:tcPr>
          <w:p w:rsidR="003F5784" w14:paraId="4E400AC5" w14:textId="77777777">
            <w:pPr>
              <w:pStyle w:val="TableParagraph"/>
              <w:spacing w:before="9"/>
              <w:ind w:right="124"/>
              <w:rPr>
                <w:b/>
                <w:sz w:val="21"/>
              </w:rPr>
            </w:pPr>
            <w:r>
              <w:rPr>
                <w:b/>
                <w:spacing w:val="-2"/>
                <w:sz w:val="21"/>
              </w:rPr>
              <w:t>13.08</w:t>
            </w:r>
          </w:p>
        </w:tc>
      </w:tr>
      <w:tr w14:paraId="72583BDC" w14:textId="77777777">
        <w:tblPrEx>
          <w:tblW w:w="0" w:type="auto"/>
          <w:tblInd w:w="482" w:type="dxa"/>
          <w:tblLayout w:type="fixed"/>
          <w:tblCellMar>
            <w:left w:w="0" w:type="dxa"/>
            <w:right w:w="0" w:type="dxa"/>
          </w:tblCellMar>
          <w:tblLook w:val="01E0"/>
        </w:tblPrEx>
        <w:trPr>
          <w:trHeight w:val="284"/>
        </w:trPr>
        <w:tc>
          <w:tcPr>
            <w:tcW w:w="3181" w:type="dxa"/>
          </w:tcPr>
          <w:p w:rsidR="003F5784" w14:paraId="713F04B6" w14:textId="77777777">
            <w:pPr>
              <w:pStyle w:val="TableParagraph"/>
              <w:spacing w:before="15"/>
              <w:ind w:left="120"/>
              <w:jc w:val="left"/>
              <w:rPr>
                <w:sz w:val="21"/>
              </w:rPr>
            </w:pPr>
            <w:r>
              <w:rPr>
                <w:sz w:val="21"/>
              </w:rPr>
              <w:t>Northeast</w:t>
            </w:r>
            <w:r>
              <w:rPr>
                <w:spacing w:val="-10"/>
                <w:sz w:val="21"/>
              </w:rPr>
              <w:t xml:space="preserve"> </w:t>
            </w:r>
            <w:r>
              <w:rPr>
                <w:spacing w:val="-5"/>
                <w:sz w:val="21"/>
              </w:rPr>
              <w:t>all</w:t>
            </w:r>
          </w:p>
        </w:tc>
        <w:tc>
          <w:tcPr>
            <w:tcW w:w="1188" w:type="dxa"/>
          </w:tcPr>
          <w:p w:rsidR="003F5784" w14:paraId="19A49BC0" w14:textId="77777777">
            <w:pPr>
              <w:pStyle w:val="TableParagraph"/>
              <w:spacing w:before="15"/>
              <w:ind w:left="756"/>
              <w:jc w:val="left"/>
              <w:rPr>
                <w:sz w:val="21"/>
              </w:rPr>
            </w:pPr>
            <w:r>
              <w:rPr>
                <w:spacing w:val="-5"/>
                <w:sz w:val="21"/>
              </w:rPr>
              <w:t>110</w:t>
            </w:r>
          </w:p>
        </w:tc>
        <w:tc>
          <w:tcPr>
            <w:tcW w:w="1979" w:type="dxa"/>
          </w:tcPr>
          <w:p w:rsidR="003F5784" w14:paraId="5AF7E24D" w14:textId="77777777">
            <w:pPr>
              <w:pStyle w:val="TableParagraph"/>
              <w:spacing w:before="15"/>
              <w:ind w:right="167"/>
              <w:rPr>
                <w:sz w:val="21"/>
              </w:rPr>
            </w:pPr>
            <w:r>
              <w:rPr>
                <w:spacing w:val="-2"/>
                <w:sz w:val="21"/>
              </w:rPr>
              <w:t>79.16</w:t>
            </w:r>
          </w:p>
        </w:tc>
        <w:tc>
          <w:tcPr>
            <w:tcW w:w="1834" w:type="dxa"/>
          </w:tcPr>
          <w:p w:rsidR="003F5784" w14:paraId="72B17DBC" w14:textId="77777777">
            <w:pPr>
              <w:pStyle w:val="TableParagraph"/>
              <w:spacing w:before="15"/>
              <w:ind w:left="1215"/>
              <w:jc w:val="left"/>
              <w:rPr>
                <w:sz w:val="21"/>
              </w:rPr>
            </w:pPr>
            <w:r>
              <w:rPr>
                <w:spacing w:val="-2"/>
                <w:sz w:val="21"/>
              </w:rPr>
              <w:t>55.37</w:t>
            </w:r>
          </w:p>
        </w:tc>
        <w:tc>
          <w:tcPr>
            <w:tcW w:w="1264" w:type="dxa"/>
          </w:tcPr>
          <w:p w:rsidR="003F5784" w14:paraId="1E31865E" w14:textId="77777777">
            <w:pPr>
              <w:pStyle w:val="TableParagraph"/>
              <w:spacing w:before="15"/>
              <w:ind w:left="585"/>
              <w:jc w:val="left"/>
              <w:rPr>
                <w:sz w:val="21"/>
              </w:rPr>
            </w:pPr>
            <w:r>
              <w:rPr>
                <w:spacing w:val="-2"/>
                <w:sz w:val="21"/>
              </w:rPr>
              <w:t>1,300</w:t>
            </w:r>
          </w:p>
        </w:tc>
        <w:tc>
          <w:tcPr>
            <w:tcW w:w="1274" w:type="dxa"/>
          </w:tcPr>
          <w:p w:rsidR="003F5784" w14:paraId="6CFC7B5E" w14:textId="77777777">
            <w:pPr>
              <w:pStyle w:val="TableParagraph"/>
              <w:spacing w:before="15"/>
              <w:ind w:left="677"/>
              <w:jc w:val="left"/>
              <w:rPr>
                <w:sz w:val="21"/>
              </w:rPr>
            </w:pPr>
            <w:r>
              <w:rPr>
                <w:spacing w:val="-4"/>
                <w:sz w:val="21"/>
              </w:rPr>
              <w:t>4.64</w:t>
            </w:r>
          </w:p>
        </w:tc>
        <w:tc>
          <w:tcPr>
            <w:tcW w:w="1559" w:type="dxa"/>
          </w:tcPr>
          <w:p w:rsidR="003F5784" w14:paraId="2D15C055" w14:textId="77777777">
            <w:pPr>
              <w:pStyle w:val="TableParagraph"/>
              <w:spacing w:before="15"/>
              <w:ind w:left="951"/>
              <w:jc w:val="left"/>
              <w:rPr>
                <w:sz w:val="21"/>
              </w:rPr>
            </w:pPr>
            <w:r>
              <w:rPr>
                <w:spacing w:val="-2"/>
                <w:sz w:val="21"/>
              </w:rPr>
              <w:t>83.90</w:t>
            </w:r>
          </w:p>
        </w:tc>
        <w:tc>
          <w:tcPr>
            <w:tcW w:w="1712" w:type="dxa"/>
          </w:tcPr>
          <w:p w:rsidR="003F5784" w14:paraId="36804808" w14:textId="77777777">
            <w:pPr>
              <w:pStyle w:val="TableParagraph"/>
              <w:spacing w:before="15"/>
              <w:ind w:right="124"/>
              <w:rPr>
                <w:sz w:val="21"/>
              </w:rPr>
            </w:pPr>
            <w:r>
              <w:rPr>
                <w:spacing w:val="-2"/>
                <w:sz w:val="21"/>
              </w:rPr>
              <w:t>14.83</w:t>
            </w:r>
          </w:p>
        </w:tc>
      </w:tr>
      <w:tr w14:paraId="56970C06" w14:textId="77777777">
        <w:tblPrEx>
          <w:tblW w:w="0" w:type="auto"/>
          <w:tblInd w:w="482" w:type="dxa"/>
          <w:tblLayout w:type="fixed"/>
          <w:tblCellMar>
            <w:left w:w="0" w:type="dxa"/>
            <w:right w:w="0" w:type="dxa"/>
          </w:tblCellMar>
          <w:tblLook w:val="01E0"/>
        </w:tblPrEx>
        <w:trPr>
          <w:trHeight w:val="286"/>
        </w:trPr>
        <w:tc>
          <w:tcPr>
            <w:tcW w:w="3181" w:type="dxa"/>
          </w:tcPr>
          <w:p w:rsidR="003F5784" w14:paraId="3DFD68C6" w14:textId="77777777">
            <w:pPr>
              <w:pStyle w:val="TableParagraph"/>
              <w:ind w:left="120"/>
              <w:jc w:val="left"/>
              <w:rPr>
                <w:sz w:val="21"/>
              </w:rPr>
            </w:pPr>
            <w:r>
              <w:rPr>
                <w:sz w:val="21"/>
              </w:rPr>
              <w:t>Midwest</w:t>
            </w:r>
            <w:r>
              <w:rPr>
                <w:spacing w:val="-9"/>
                <w:sz w:val="21"/>
              </w:rPr>
              <w:t xml:space="preserve"> </w:t>
            </w:r>
            <w:r>
              <w:rPr>
                <w:spacing w:val="-5"/>
                <w:sz w:val="21"/>
              </w:rPr>
              <w:t>all</w:t>
            </w:r>
          </w:p>
        </w:tc>
        <w:tc>
          <w:tcPr>
            <w:tcW w:w="1188" w:type="dxa"/>
          </w:tcPr>
          <w:p w:rsidR="003F5784" w14:paraId="3DA94587" w14:textId="77777777">
            <w:pPr>
              <w:pStyle w:val="TableParagraph"/>
              <w:ind w:left="749"/>
              <w:jc w:val="left"/>
              <w:rPr>
                <w:sz w:val="21"/>
              </w:rPr>
            </w:pPr>
            <w:r>
              <w:rPr>
                <w:spacing w:val="-5"/>
                <w:sz w:val="21"/>
              </w:rPr>
              <w:t>130</w:t>
            </w:r>
          </w:p>
        </w:tc>
        <w:tc>
          <w:tcPr>
            <w:tcW w:w="1979" w:type="dxa"/>
          </w:tcPr>
          <w:p w:rsidR="003F5784" w14:paraId="21DD1E77" w14:textId="77777777">
            <w:pPr>
              <w:pStyle w:val="TableParagraph"/>
              <w:ind w:right="167"/>
              <w:rPr>
                <w:sz w:val="21"/>
              </w:rPr>
            </w:pPr>
            <w:r>
              <w:rPr>
                <w:spacing w:val="-2"/>
                <w:sz w:val="21"/>
              </w:rPr>
              <w:t>85.27</w:t>
            </w:r>
          </w:p>
        </w:tc>
        <w:tc>
          <w:tcPr>
            <w:tcW w:w="1834" w:type="dxa"/>
          </w:tcPr>
          <w:p w:rsidR="003F5784" w14:paraId="3AE68D94" w14:textId="77777777">
            <w:pPr>
              <w:pStyle w:val="TableParagraph"/>
              <w:ind w:left="1215"/>
              <w:jc w:val="left"/>
              <w:rPr>
                <w:sz w:val="21"/>
              </w:rPr>
            </w:pPr>
            <w:r>
              <w:rPr>
                <w:spacing w:val="-2"/>
                <w:sz w:val="21"/>
              </w:rPr>
              <w:t>74.53</w:t>
            </w:r>
          </w:p>
        </w:tc>
        <w:tc>
          <w:tcPr>
            <w:tcW w:w="1264" w:type="dxa"/>
          </w:tcPr>
          <w:p w:rsidR="003F5784" w14:paraId="39D23225" w14:textId="77777777">
            <w:pPr>
              <w:pStyle w:val="TableParagraph"/>
              <w:ind w:left="585"/>
              <w:jc w:val="left"/>
              <w:rPr>
                <w:sz w:val="21"/>
              </w:rPr>
            </w:pPr>
            <w:r>
              <w:rPr>
                <w:spacing w:val="-2"/>
                <w:sz w:val="21"/>
              </w:rPr>
              <w:t>1,900</w:t>
            </w:r>
          </w:p>
        </w:tc>
        <w:tc>
          <w:tcPr>
            <w:tcW w:w="1274" w:type="dxa"/>
          </w:tcPr>
          <w:p w:rsidR="003F5784" w14:paraId="4FDA84F1" w14:textId="77777777">
            <w:pPr>
              <w:pStyle w:val="TableParagraph"/>
              <w:ind w:left="677"/>
              <w:jc w:val="left"/>
              <w:rPr>
                <w:sz w:val="21"/>
              </w:rPr>
            </w:pPr>
            <w:r>
              <w:rPr>
                <w:spacing w:val="-4"/>
                <w:sz w:val="21"/>
              </w:rPr>
              <w:t>1.61</w:t>
            </w:r>
          </w:p>
        </w:tc>
        <w:tc>
          <w:tcPr>
            <w:tcW w:w="1559" w:type="dxa"/>
          </w:tcPr>
          <w:p w:rsidR="003F5784" w14:paraId="0D2AE0AE" w14:textId="77777777">
            <w:pPr>
              <w:pStyle w:val="TableParagraph"/>
              <w:ind w:left="951"/>
              <w:jc w:val="left"/>
              <w:rPr>
                <w:sz w:val="21"/>
              </w:rPr>
            </w:pPr>
            <w:r>
              <w:rPr>
                <w:spacing w:val="-2"/>
                <w:sz w:val="21"/>
              </w:rPr>
              <w:t>89.71</w:t>
            </w:r>
          </w:p>
        </w:tc>
        <w:tc>
          <w:tcPr>
            <w:tcW w:w="1712" w:type="dxa"/>
          </w:tcPr>
          <w:p w:rsidR="003F5784" w14:paraId="40FA1F7E" w14:textId="77777777">
            <w:pPr>
              <w:pStyle w:val="TableParagraph"/>
              <w:ind w:right="124"/>
              <w:rPr>
                <w:sz w:val="21"/>
              </w:rPr>
            </w:pPr>
            <w:r>
              <w:rPr>
                <w:spacing w:val="-2"/>
                <w:sz w:val="21"/>
              </w:rPr>
              <w:t>13.16</w:t>
            </w:r>
          </w:p>
        </w:tc>
      </w:tr>
      <w:tr w14:paraId="41E1853B" w14:textId="77777777">
        <w:tblPrEx>
          <w:tblW w:w="0" w:type="auto"/>
          <w:tblInd w:w="482" w:type="dxa"/>
          <w:tblLayout w:type="fixed"/>
          <w:tblCellMar>
            <w:left w:w="0" w:type="dxa"/>
            <w:right w:w="0" w:type="dxa"/>
          </w:tblCellMar>
          <w:tblLook w:val="01E0"/>
        </w:tblPrEx>
        <w:trPr>
          <w:trHeight w:val="286"/>
        </w:trPr>
        <w:tc>
          <w:tcPr>
            <w:tcW w:w="3181" w:type="dxa"/>
          </w:tcPr>
          <w:p w:rsidR="003F5784" w14:paraId="7BB5278E" w14:textId="77777777">
            <w:pPr>
              <w:pStyle w:val="TableParagraph"/>
              <w:ind w:left="120"/>
              <w:jc w:val="left"/>
              <w:rPr>
                <w:sz w:val="21"/>
              </w:rPr>
            </w:pPr>
            <w:r>
              <w:rPr>
                <w:sz w:val="21"/>
              </w:rPr>
              <w:t>South</w:t>
            </w:r>
            <w:r>
              <w:rPr>
                <w:spacing w:val="-6"/>
                <w:sz w:val="21"/>
              </w:rPr>
              <w:t xml:space="preserve"> </w:t>
            </w:r>
            <w:r>
              <w:rPr>
                <w:spacing w:val="-5"/>
                <w:sz w:val="21"/>
              </w:rPr>
              <w:t>all</w:t>
            </w:r>
          </w:p>
        </w:tc>
        <w:tc>
          <w:tcPr>
            <w:tcW w:w="1188" w:type="dxa"/>
          </w:tcPr>
          <w:p w:rsidR="003F5784" w14:paraId="6FBB6992" w14:textId="77777777">
            <w:pPr>
              <w:pStyle w:val="TableParagraph"/>
              <w:ind w:left="749"/>
              <w:jc w:val="left"/>
              <w:rPr>
                <w:sz w:val="21"/>
              </w:rPr>
            </w:pPr>
            <w:r>
              <w:rPr>
                <w:spacing w:val="-5"/>
                <w:sz w:val="21"/>
              </w:rPr>
              <w:t>260</w:t>
            </w:r>
          </w:p>
        </w:tc>
        <w:tc>
          <w:tcPr>
            <w:tcW w:w="1979" w:type="dxa"/>
          </w:tcPr>
          <w:p w:rsidR="003F5784" w14:paraId="03CDF0F7" w14:textId="77777777">
            <w:pPr>
              <w:pStyle w:val="TableParagraph"/>
              <w:ind w:right="167"/>
              <w:rPr>
                <w:sz w:val="21"/>
              </w:rPr>
            </w:pPr>
            <w:r>
              <w:rPr>
                <w:spacing w:val="-2"/>
                <w:sz w:val="21"/>
              </w:rPr>
              <w:t>87.71</w:t>
            </w:r>
          </w:p>
        </w:tc>
        <w:tc>
          <w:tcPr>
            <w:tcW w:w="1834" w:type="dxa"/>
          </w:tcPr>
          <w:p w:rsidR="003F5784" w14:paraId="0EA1EF01" w14:textId="77777777">
            <w:pPr>
              <w:pStyle w:val="TableParagraph"/>
              <w:ind w:left="1215"/>
              <w:jc w:val="left"/>
              <w:rPr>
                <w:sz w:val="21"/>
              </w:rPr>
            </w:pPr>
            <w:r>
              <w:rPr>
                <w:spacing w:val="-2"/>
                <w:sz w:val="21"/>
              </w:rPr>
              <w:t>72.78</w:t>
            </w:r>
          </w:p>
        </w:tc>
        <w:tc>
          <w:tcPr>
            <w:tcW w:w="1264" w:type="dxa"/>
          </w:tcPr>
          <w:p w:rsidR="003F5784" w14:paraId="755AA079" w14:textId="77777777">
            <w:pPr>
              <w:pStyle w:val="TableParagraph"/>
              <w:ind w:left="585"/>
              <w:jc w:val="left"/>
              <w:rPr>
                <w:sz w:val="21"/>
              </w:rPr>
            </w:pPr>
            <w:r>
              <w:rPr>
                <w:spacing w:val="-2"/>
                <w:sz w:val="21"/>
              </w:rPr>
              <w:t>4,600</w:t>
            </w:r>
          </w:p>
        </w:tc>
        <w:tc>
          <w:tcPr>
            <w:tcW w:w="1274" w:type="dxa"/>
          </w:tcPr>
          <w:p w:rsidR="003F5784" w14:paraId="30CB3B1E" w14:textId="77777777">
            <w:pPr>
              <w:pStyle w:val="TableParagraph"/>
              <w:ind w:left="677"/>
              <w:jc w:val="left"/>
              <w:rPr>
                <w:sz w:val="21"/>
              </w:rPr>
            </w:pPr>
            <w:r>
              <w:rPr>
                <w:spacing w:val="-4"/>
                <w:sz w:val="21"/>
              </w:rPr>
              <w:t>2.85</w:t>
            </w:r>
          </w:p>
        </w:tc>
        <w:tc>
          <w:tcPr>
            <w:tcW w:w="1559" w:type="dxa"/>
          </w:tcPr>
          <w:p w:rsidR="003F5784" w14:paraId="7FA7BCCB" w14:textId="77777777">
            <w:pPr>
              <w:pStyle w:val="TableParagraph"/>
              <w:ind w:left="951"/>
              <w:jc w:val="left"/>
              <w:rPr>
                <w:sz w:val="21"/>
              </w:rPr>
            </w:pPr>
            <w:r>
              <w:rPr>
                <w:spacing w:val="-2"/>
                <w:sz w:val="21"/>
              </w:rPr>
              <w:t>91.05</w:t>
            </w:r>
          </w:p>
        </w:tc>
        <w:tc>
          <w:tcPr>
            <w:tcW w:w="1712" w:type="dxa"/>
          </w:tcPr>
          <w:p w:rsidR="003F5784" w14:paraId="6102C236" w14:textId="77777777">
            <w:pPr>
              <w:pStyle w:val="TableParagraph"/>
              <w:ind w:right="124"/>
              <w:rPr>
                <w:sz w:val="21"/>
              </w:rPr>
            </w:pPr>
            <w:r>
              <w:rPr>
                <w:spacing w:val="-2"/>
                <w:sz w:val="21"/>
              </w:rPr>
              <w:t>15.39</w:t>
            </w:r>
          </w:p>
        </w:tc>
      </w:tr>
      <w:tr w14:paraId="1165723D" w14:textId="77777777">
        <w:tblPrEx>
          <w:tblW w:w="0" w:type="auto"/>
          <w:tblInd w:w="482" w:type="dxa"/>
          <w:tblLayout w:type="fixed"/>
          <w:tblCellMar>
            <w:left w:w="0" w:type="dxa"/>
            <w:right w:w="0" w:type="dxa"/>
          </w:tblCellMar>
          <w:tblLook w:val="01E0"/>
        </w:tblPrEx>
        <w:trPr>
          <w:trHeight w:val="286"/>
        </w:trPr>
        <w:tc>
          <w:tcPr>
            <w:tcW w:w="3181" w:type="dxa"/>
          </w:tcPr>
          <w:p w:rsidR="003F5784" w14:paraId="03C10CB1" w14:textId="77777777">
            <w:pPr>
              <w:pStyle w:val="TableParagraph"/>
              <w:ind w:left="120"/>
              <w:jc w:val="left"/>
              <w:rPr>
                <w:sz w:val="21"/>
              </w:rPr>
            </w:pPr>
            <w:r>
              <w:rPr>
                <w:spacing w:val="-4"/>
                <w:sz w:val="21"/>
              </w:rPr>
              <w:t>West</w:t>
            </w:r>
            <w:r>
              <w:rPr>
                <w:spacing w:val="-7"/>
                <w:sz w:val="21"/>
              </w:rPr>
              <w:t xml:space="preserve"> </w:t>
            </w:r>
            <w:r>
              <w:rPr>
                <w:spacing w:val="-5"/>
                <w:sz w:val="21"/>
              </w:rPr>
              <w:t>all</w:t>
            </w:r>
          </w:p>
        </w:tc>
        <w:tc>
          <w:tcPr>
            <w:tcW w:w="1188" w:type="dxa"/>
          </w:tcPr>
          <w:p w:rsidR="003F5784" w14:paraId="20109721" w14:textId="77777777">
            <w:pPr>
              <w:pStyle w:val="TableParagraph"/>
              <w:ind w:left="749"/>
              <w:jc w:val="left"/>
              <w:rPr>
                <w:sz w:val="21"/>
              </w:rPr>
            </w:pPr>
            <w:r>
              <w:rPr>
                <w:spacing w:val="-5"/>
                <w:sz w:val="21"/>
              </w:rPr>
              <w:t>160</w:t>
            </w:r>
          </w:p>
        </w:tc>
        <w:tc>
          <w:tcPr>
            <w:tcW w:w="1979" w:type="dxa"/>
          </w:tcPr>
          <w:p w:rsidR="003F5784" w14:paraId="378282A3" w14:textId="77777777">
            <w:pPr>
              <w:pStyle w:val="TableParagraph"/>
              <w:ind w:right="167"/>
              <w:rPr>
                <w:sz w:val="21"/>
              </w:rPr>
            </w:pPr>
            <w:r>
              <w:rPr>
                <w:spacing w:val="-2"/>
                <w:sz w:val="21"/>
              </w:rPr>
              <w:t>88.04</w:t>
            </w:r>
          </w:p>
        </w:tc>
        <w:tc>
          <w:tcPr>
            <w:tcW w:w="1834" w:type="dxa"/>
          </w:tcPr>
          <w:p w:rsidR="003F5784" w14:paraId="24DA8327" w14:textId="77777777">
            <w:pPr>
              <w:pStyle w:val="TableParagraph"/>
              <w:ind w:left="1215"/>
              <w:jc w:val="left"/>
              <w:rPr>
                <w:sz w:val="21"/>
              </w:rPr>
            </w:pPr>
            <w:r>
              <w:rPr>
                <w:spacing w:val="-2"/>
                <w:sz w:val="21"/>
              </w:rPr>
              <w:t>78.49</w:t>
            </w:r>
          </w:p>
        </w:tc>
        <w:tc>
          <w:tcPr>
            <w:tcW w:w="1264" w:type="dxa"/>
          </w:tcPr>
          <w:p w:rsidR="003F5784" w14:paraId="6DE64422" w14:textId="77777777">
            <w:pPr>
              <w:pStyle w:val="TableParagraph"/>
              <w:ind w:left="585"/>
              <w:jc w:val="left"/>
              <w:rPr>
                <w:sz w:val="21"/>
              </w:rPr>
            </w:pPr>
            <w:r>
              <w:rPr>
                <w:spacing w:val="-2"/>
                <w:sz w:val="21"/>
              </w:rPr>
              <w:t>2,700</w:t>
            </w:r>
          </w:p>
        </w:tc>
        <w:tc>
          <w:tcPr>
            <w:tcW w:w="1274" w:type="dxa"/>
          </w:tcPr>
          <w:p w:rsidR="003F5784" w14:paraId="35D0CBCE" w14:textId="77777777">
            <w:pPr>
              <w:pStyle w:val="TableParagraph"/>
              <w:ind w:left="677"/>
              <w:jc w:val="left"/>
              <w:rPr>
                <w:sz w:val="21"/>
              </w:rPr>
            </w:pPr>
            <w:r>
              <w:rPr>
                <w:spacing w:val="-4"/>
                <w:sz w:val="21"/>
              </w:rPr>
              <w:t>3.91</w:t>
            </w:r>
          </w:p>
        </w:tc>
        <w:tc>
          <w:tcPr>
            <w:tcW w:w="1559" w:type="dxa"/>
          </w:tcPr>
          <w:p w:rsidR="003F5784" w14:paraId="262776A1" w14:textId="77777777">
            <w:pPr>
              <w:pStyle w:val="TableParagraph"/>
              <w:ind w:left="951"/>
              <w:jc w:val="left"/>
              <w:rPr>
                <w:sz w:val="21"/>
              </w:rPr>
            </w:pPr>
            <w:r>
              <w:rPr>
                <w:spacing w:val="-2"/>
                <w:sz w:val="21"/>
              </w:rPr>
              <w:t>88.66</w:t>
            </w:r>
          </w:p>
        </w:tc>
        <w:tc>
          <w:tcPr>
            <w:tcW w:w="1712" w:type="dxa"/>
          </w:tcPr>
          <w:p w:rsidR="003F5784" w14:paraId="52FEBB54" w14:textId="77777777">
            <w:pPr>
              <w:pStyle w:val="TableParagraph"/>
              <w:ind w:right="124"/>
              <w:rPr>
                <w:sz w:val="21"/>
              </w:rPr>
            </w:pPr>
            <w:r>
              <w:rPr>
                <w:spacing w:val="-4"/>
                <w:sz w:val="21"/>
              </w:rPr>
              <w:t>7.65</w:t>
            </w:r>
          </w:p>
        </w:tc>
      </w:tr>
      <w:tr w14:paraId="04D9D3F1" w14:textId="77777777">
        <w:tblPrEx>
          <w:tblW w:w="0" w:type="auto"/>
          <w:tblInd w:w="482" w:type="dxa"/>
          <w:tblLayout w:type="fixed"/>
          <w:tblCellMar>
            <w:left w:w="0" w:type="dxa"/>
            <w:right w:w="0" w:type="dxa"/>
          </w:tblCellMar>
          <w:tblLook w:val="01E0"/>
        </w:tblPrEx>
        <w:trPr>
          <w:trHeight w:val="286"/>
        </w:trPr>
        <w:tc>
          <w:tcPr>
            <w:tcW w:w="3181" w:type="dxa"/>
          </w:tcPr>
          <w:p w:rsidR="003F5784" w14:paraId="7BDC5723" w14:textId="77777777">
            <w:pPr>
              <w:pStyle w:val="TableParagraph"/>
              <w:ind w:left="120"/>
              <w:jc w:val="left"/>
              <w:rPr>
                <w:sz w:val="21"/>
              </w:rPr>
            </w:pPr>
            <w:r>
              <w:rPr>
                <w:sz w:val="21"/>
              </w:rPr>
              <w:t>National</w:t>
            </w:r>
            <w:r>
              <w:rPr>
                <w:spacing w:val="-9"/>
                <w:sz w:val="21"/>
              </w:rPr>
              <w:t xml:space="preserve"> </w:t>
            </w:r>
            <w:r>
              <w:rPr>
                <w:spacing w:val="-2"/>
                <w:sz w:val="21"/>
              </w:rPr>
              <w:t>public</w:t>
            </w:r>
          </w:p>
        </w:tc>
        <w:tc>
          <w:tcPr>
            <w:tcW w:w="1188" w:type="dxa"/>
          </w:tcPr>
          <w:p w:rsidR="003F5784" w14:paraId="4F07D6C5" w14:textId="77777777">
            <w:pPr>
              <w:pStyle w:val="TableParagraph"/>
              <w:ind w:left="749"/>
              <w:jc w:val="left"/>
              <w:rPr>
                <w:sz w:val="21"/>
              </w:rPr>
            </w:pPr>
            <w:r>
              <w:rPr>
                <w:spacing w:val="-5"/>
                <w:sz w:val="21"/>
              </w:rPr>
              <w:t>480</w:t>
            </w:r>
          </w:p>
        </w:tc>
        <w:tc>
          <w:tcPr>
            <w:tcW w:w="1979" w:type="dxa"/>
          </w:tcPr>
          <w:p w:rsidR="003F5784" w14:paraId="7AC7238C" w14:textId="77777777">
            <w:pPr>
              <w:pStyle w:val="TableParagraph"/>
              <w:ind w:right="167"/>
              <w:rPr>
                <w:sz w:val="21"/>
              </w:rPr>
            </w:pPr>
            <w:r>
              <w:rPr>
                <w:spacing w:val="-2"/>
                <w:sz w:val="21"/>
              </w:rPr>
              <w:t>89.81</w:t>
            </w:r>
          </w:p>
        </w:tc>
        <w:tc>
          <w:tcPr>
            <w:tcW w:w="1834" w:type="dxa"/>
          </w:tcPr>
          <w:p w:rsidR="003F5784" w14:paraId="44ABA5D9" w14:textId="77777777">
            <w:pPr>
              <w:pStyle w:val="TableParagraph"/>
              <w:ind w:left="1215"/>
              <w:jc w:val="left"/>
              <w:rPr>
                <w:sz w:val="21"/>
              </w:rPr>
            </w:pPr>
            <w:r>
              <w:rPr>
                <w:spacing w:val="-2"/>
                <w:sz w:val="21"/>
              </w:rPr>
              <w:t>91.10</w:t>
            </w:r>
          </w:p>
        </w:tc>
        <w:tc>
          <w:tcPr>
            <w:tcW w:w="1264" w:type="dxa"/>
          </w:tcPr>
          <w:p w:rsidR="003F5784" w14:paraId="08065691" w14:textId="77777777">
            <w:pPr>
              <w:pStyle w:val="TableParagraph"/>
              <w:ind w:left="585"/>
              <w:jc w:val="left"/>
              <w:rPr>
                <w:sz w:val="21"/>
              </w:rPr>
            </w:pPr>
            <w:r>
              <w:rPr>
                <w:spacing w:val="-2"/>
                <w:sz w:val="21"/>
              </w:rPr>
              <w:t>9,700</w:t>
            </w:r>
          </w:p>
        </w:tc>
        <w:tc>
          <w:tcPr>
            <w:tcW w:w="1274" w:type="dxa"/>
          </w:tcPr>
          <w:p w:rsidR="003F5784" w14:paraId="7633BF41" w14:textId="77777777">
            <w:pPr>
              <w:pStyle w:val="TableParagraph"/>
              <w:ind w:left="677"/>
              <w:jc w:val="left"/>
              <w:rPr>
                <w:sz w:val="21"/>
              </w:rPr>
            </w:pPr>
            <w:r>
              <w:rPr>
                <w:spacing w:val="-4"/>
                <w:sz w:val="21"/>
              </w:rPr>
              <w:t>3.29</w:t>
            </w:r>
          </w:p>
        </w:tc>
        <w:tc>
          <w:tcPr>
            <w:tcW w:w="1559" w:type="dxa"/>
          </w:tcPr>
          <w:p w:rsidR="003F5784" w14:paraId="3A3D24DD" w14:textId="77777777">
            <w:pPr>
              <w:pStyle w:val="TableParagraph"/>
              <w:ind w:left="951"/>
              <w:jc w:val="left"/>
              <w:rPr>
                <w:sz w:val="21"/>
              </w:rPr>
            </w:pPr>
            <w:r>
              <w:rPr>
                <w:spacing w:val="-2"/>
                <w:sz w:val="21"/>
              </w:rPr>
              <w:t>89.28</w:t>
            </w:r>
          </w:p>
        </w:tc>
        <w:tc>
          <w:tcPr>
            <w:tcW w:w="1712" w:type="dxa"/>
          </w:tcPr>
          <w:p w:rsidR="003F5784" w14:paraId="56BBFCB0" w14:textId="77777777">
            <w:pPr>
              <w:pStyle w:val="TableParagraph"/>
              <w:ind w:right="124"/>
              <w:rPr>
                <w:sz w:val="21"/>
              </w:rPr>
            </w:pPr>
            <w:r>
              <w:rPr>
                <w:spacing w:val="-2"/>
                <w:sz w:val="21"/>
              </w:rPr>
              <w:t>13.53</w:t>
            </w:r>
          </w:p>
        </w:tc>
      </w:tr>
      <w:tr w14:paraId="76F504B1" w14:textId="77777777">
        <w:tblPrEx>
          <w:tblW w:w="0" w:type="auto"/>
          <w:tblInd w:w="482" w:type="dxa"/>
          <w:tblLayout w:type="fixed"/>
          <w:tblCellMar>
            <w:left w:w="0" w:type="dxa"/>
            <w:right w:w="0" w:type="dxa"/>
          </w:tblCellMar>
          <w:tblLook w:val="01E0"/>
        </w:tblPrEx>
        <w:trPr>
          <w:trHeight w:val="286"/>
        </w:trPr>
        <w:tc>
          <w:tcPr>
            <w:tcW w:w="3181" w:type="dxa"/>
          </w:tcPr>
          <w:p w:rsidR="003F5784" w14:paraId="33A47C86" w14:textId="77777777">
            <w:pPr>
              <w:pStyle w:val="TableParagraph"/>
              <w:ind w:left="120"/>
              <w:jc w:val="left"/>
              <w:rPr>
                <w:sz w:val="21"/>
              </w:rPr>
            </w:pPr>
            <w:r>
              <w:rPr>
                <w:sz w:val="21"/>
              </w:rPr>
              <w:t>National</w:t>
            </w:r>
            <w:r>
              <w:rPr>
                <w:spacing w:val="-9"/>
                <w:sz w:val="21"/>
              </w:rPr>
              <w:t xml:space="preserve"> </w:t>
            </w:r>
            <w:r>
              <w:rPr>
                <w:spacing w:val="-2"/>
                <w:sz w:val="21"/>
              </w:rPr>
              <w:t>private</w:t>
            </w:r>
          </w:p>
        </w:tc>
        <w:tc>
          <w:tcPr>
            <w:tcW w:w="1188" w:type="dxa"/>
          </w:tcPr>
          <w:p w:rsidR="003F5784" w14:paraId="4849EE74" w14:textId="77777777">
            <w:pPr>
              <w:pStyle w:val="TableParagraph"/>
              <w:ind w:left="749"/>
              <w:jc w:val="left"/>
              <w:rPr>
                <w:sz w:val="21"/>
              </w:rPr>
            </w:pPr>
            <w:r>
              <w:rPr>
                <w:spacing w:val="-5"/>
                <w:sz w:val="21"/>
              </w:rPr>
              <w:t>180</w:t>
            </w:r>
          </w:p>
        </w:tc>
        <w:tc>
          <w:tcPr>
            <w:tcW w:w="1979" w:type="dxa"/>
          </w:tcPr>
          <w:p w:rsidR="003F5784" w14:paraId="574DC6CF" w14:textId="77777777">
            <w:pPr>
              <w:pStyle w:val="TableParagraph"/>
              <w:ind w:right="167"/>
              <w:rPr>
                <w:sz w:val="21"/>
              </w:rPr>
            </w:pPr>
            <w:r>
              <w:rPr>
                <w:spacing w:val="-2"/>
                <w:sz w:val="21"/>
              </w:rPr>
              <w:t>40.35</w:t>
            </w:r>
          </w:p>
        </w:tc>
        <w:tc>
          <w:tcPr>
            <w:tcW w:w="1834" w:type="dxa"/>
          </w:tcPr>
          <w:p w:rsidR="003F5784" w14:paraId="5DD0D7E7" w14:textId="77777777">
            <w:pPr>
              <w:pStyle w:val="TableParagraph"/>
              <w:ind w:left="1215"/>
              <w:jc w:val="left"/>
              <w:rPr>
                <w:sz w:val="21"/>
              </w:rPr>
            </w:pPr>
            <w:r>
              <w:rPr>
                <w:spacing w:val="-2"/>
                <w:sz w:val="21"/>
              </w:rPr>
              <w:t>33.24</w:t>
            </w:r>
          </w:p>
        </w:tc>
        <w:tc>
          <w:tcPr>
            <w:tcW w:w="1264" w:type="dxa"/>
          </w:tcPr>
          <w:p w:rsidR="003F5784" w14:paraId="2FF7978E" w14:textId="77777777">
            <w:pPr>
              <w:pStyle w:val="TableParagraph"/>
              <w:ind w:left="741"/>
              <w:jc w:val="left"/>
              <w:rPr>
                <w:sz w:val="21"/>
              </w:rPr>
            </w:pPr>
            <w:r>
              <w:rPr>
                <w:spacing w:val="-5"/>
                <w:sz w:val="21"/>
              </w:rPr>
              <w:t>800</w:t>
            </w:r>
          </w:p>
        </w:tc>
        <w:tc>
          <w:tcPr>
            <w:tcW w:w="1274" w:type="dxa"/>
          </w:tcPr>
          <w:p w:rsidR="003F5784" w14:paraId="487DE5DF" w14:textId="77777777">
            <w:pPr>
              <w:pStyle w:val="TableParagraph"/>
              <w:ind w:left="677"/>
              <w:jc w:val="left"/>
              <w:rPr>
                <w:sz w:val="21"/>
              </w:rPr>
            </w:pPr>
            <w:r>
              <w:rPr>
                <w:spacing w:val="-4"/>
                <w:sz w:val="21"/>
              </w:rPr>
              <w:t>0.66</w:t>
            </w:r>
          </w:p>
        </w:tc>
        <w:tc>
          <w:tcPr>
            <w:tcW w:w="1559" w:type="dxa"/>
          </w:tcPr>
          <w:p w:rsidR="003F5784" w14:paraId="20E87A33" w14:textId="77777777">
            <w:pPr>
              <w:pStyle w:val="TableParagraph"/>
              <w:ind w:left="951"/>
              <w:jc w:val="left"/>
              <w:rPr>
                <w:sz w:val="21"/>
              </w:rPr>
            </w:pPr>
            <w:r>
              <w:rPr>
                <w:spacing w:val="-2"/>
                <w:sz w:val="21"/>
              </w:rPr>
              <w:t>87.68</w:t>
            </w:r>
          </w:p>
        </w:tc>
        <w:tc>
          <w:tcPr>
            <w:tcW w:w="1712" w:type="dxa"/>
          </w:tcPr>
          <w:p w:rsidR="003F5784" w14:paraId="11A4B65F" w14:textId="77777777">
            <w:pPr>
              <w:pStyle w:val="TableParagraph"/>
              <w:ind w:right="124"/>
              <w:rPr>
                <w:sz w:val="21"/>
              </w:rPr>
            </w:pPr>
            <w:r>
              <w:rPr>
                <w:spacing w:val="-4"/>
                <w:sz w:val="21"/>
              </w:rPr>
              <w:t>7.92</w:t>
            </w:r>
          </w:p>
        </w:tc>
      </w:tr>
      <w:tr w14:paraId="685BB02E" w14:textId="77777777">
        <w:tblPrEx>
          <w:tblW w:w="0" w:type="auto"/>
          <w:tblInd w:w="482" w:type="dxa"/>
          <w:tblLayout w:type="fixed"/>
          <w:tblCellMar>
            <w:left w:w="0" w:type="dxa"/>
            <w:right w:w="0" w:type="dxa"/>
          </w:tblCellMar>
          <w:tblLook w:val="01E0"/>
        </w:tblPrEx>
        <w:trPr>
          <w:trHeight w:val="286"/>
        </w:trPr>
        <w:tc>
          <w:tcPr>
            <w:tcW w:w="3181" w:type="dxa"/>
          </w:tcPr>
          <w:p w:rsidR="003F5784" w14:paraId="30C2049F" w14:textId="77777777">
            <w:pPr>
              <w:pStyle w:val="TableParagraph"/>
              <w:ind w:left="381"/>
              <w:jc w:val="left"/>
              <w:rPr>
                <w:sz w:val="21"/>
              </w:rPr>
            </w:pPr>
            <w:r>
              <w:rPr>
                <w:spacing w:val="-2"/>
                <w:sz w:val="21"/>
              </w:rPr>
              <w:t>Catholic</w:t>
            </w:r>
          </w:p>
        </w:tc>
        <w:tc>
          <w:tcPr>
            <w:tcW w:w="1188" w:type="dxa"/>
          </w:tcPr>
          <w:p w:rsidR="003F5784" w14:paraId="1E38073A" w14:textId="77777777">
            <w:pPr>
              <w:pStyle w:val="TableParagraph"/>
              <w:ind w:right="124"/>
              <w:rPr>
                <w:sz w:val="21"/>
              </w:rPr>
            </w:pPr>
            <w:r>
              <w:rPr>
                <w:spacing w:val="-5"/>
                <w:sz w:val="21"/>
              </w:rPr>
              <w:t>60</w:t>
            </w:r>
          </w:p>
        </w:tc>
        <w:tc>
          <w:tcPr>
            <w:tcW w:w="1979" w:type="dxa"/>
          </w:tcPr>
          <w:p w:rsidR="003F5784" w14:paraId="667A1023" w14:textId="77777777">
            <w:pPr>
              <w:pStyle w:val="TableParagraph"/>
              <w:ind w:right="167"/>
              <w:rPr>
                <w:sz w:val="21"/>
              </w:rPr>
            </w:pPr>
            <w:r>
              <w:rPr>
                <w:spacing w:val="-2"/>
                <w:sz w:val="21"/>
              </w:rPr>
              <w:t>82.98</w:t>
            </w:r>
          </w:p>
        </w:tc>
        <w:tc>
          <w:tcPr>
            <w:tcW w:w="1834" w:type="dxa"/>
          </w:tcPr>
          <w:p w:rsidR="003F5784" w14:paraId="73CA0746" w14:textId="77777777">
            <w:pPr>
              <w:pStyle w:val="TableParagraph"/>
              <w:ind w:left="1215"/>
              <w:jc w:val="left"/>
              <w:rPr>
                <w:sz w:val="21"/>
              </w:rPr>
            </w:pPr>
            <w:r>
              <w:rPr>
                <w:spacing w:val="-2"/>
                <w:sz w:val="21"/>
              </w:rPr>
              <w:t>80.17</w:t>
            </w:r>
          </w:p>
        </w:tc>
        <w:tc>
          <w:tcPr>
            <w:tcW w:w="1264" w:type="dxa"/>
          </w:tcPr>
          <w:p w:rsidR="003F5784" w14:paraId="2885EC3C" w14:textId="77777777">
            <w:pPr>
              <w:pStyle w:val="TableParagraph"/>
              <w:ind w:left="741"/>
              <w:jc w:val="left"/>
              <w:rPr>
                <w:sz w:val="21"/>
              </w:rPr>
            </w:pPr>
            <w:r>
              <w:rPr>
                <w:spacing w:val="-5"/>
                <w:sz w:val="21"/>
              </w:rPr>
              <w:t>700</w:t>
            </w:r>
          </w:p>
        </w:tc>
        <w:tc>
          <w:tcPr>
            <w:tcW w:w="1274" w:type="dxa"/>
          </w:tcPr>
          <w:p w:rsidR="003F5784" w14:paraId="34C4918A" w14:textId="77777777">
            <w:pPr>
              <w:pStyle w:val="TableParagraph"/>
              <w:ind w:left="677"/>
              <w:jc w:val="left"/>
              <w:rPr>
                <w:sz w:val="21"/>
              </w:rPr>
            </w:pPr>
            <w:r>
              <w:rPr>
                <w:spacing w:val="-4"/>
                <w:sz w:val="21"/>
              </w:rPr>
              <w:t>0.42</w:t>
            </w:r>
          </w:p>
        </w:tc>
        <w:tc>
          <w:tcPr>
            <w:tcW w:w="1559" w:type="dxa"/>
          </w:tcPr>
          <w:p w:rsidR="003F5784" w14:paraId="74102981" w14:textId="77777777">
            <w:pPr>
              <w:pStyle w:val="TableParagraph"/>
              <w:ind w:left="951"/>
              <w:jc w:val="left"/>
              <w:rPr>
                <w:sz w:val="21"/>
              </w:rPr>
            </w:pPr>
            <w:r>
              <w:rPr>
                <w:spacing w:val="-2"/>
                <w:sz w:val="21"/>
              </w:rPr>
              <w:t>87.16</w:t>
            </w:r>
          </w:p>
        </w:tc>
        <w:tc>
          <w:tcPr>
            <w:tcW w:w="1712" w:type="dxa"/>
          </w:tcPr>
          <w:p w:rsidR="003F5784" w14:paraId="2B1539EB" w14:textId="77777777">
            <w:pPr>
              <w:pStyle w:val="TableParagraph"/>
              <w:ind w:right="124"/>
              <w:rPr>
                <w:sz w:val="21"/>
              </w:rPr>
            </w:pPr>
            <w:r>
              <w:rPr>
                <w:spacing w:val="-4"/>
                <w:sz w:val="21"/>
              </w:rPr>
              <w:t>4.50</w:t>
            </w:r>
          </w:p>
        </w:tc>
      </w:tr>
      <w:tr w14:paraId="25035946" w14:textId="77777777">
        <w:tblPrEx>
          <w:tblW w:w="0" w:type="auto"/>
          <w:tblInd w:w="482" w:type="dxa"/>
          <w:tblLayout w:type="fixed"/>
          <w:tblCellMar>
            <w:left w:w="0" w:type="dxa"/>
            <w:right w:w="0" w:type="dxa"/>
          </w:tblCellMar>
          <w:tblLook w:val="01E0"/>
        </w:tblPrEx>
        <w:trPr>
          <w:trHeight w:val="289"/>
        </w:trPr>
        <w:tc>
          <w:tcPr>
            <w:tcW w:w="3181" w:type="dxa"/>
            <w:tcBorders>
              <w:bottom w:val="single" w:sz="18" w:space="0" w:color="800000"/>
            </w:tcBorders>
          </w:tcPr>
          <w:p w:rsidR="003F5784" w14:paraId="2082BD50" w14:textId="77777777">
            <w:pPr>
              <w:pStyle w:val="TableParagraph"/>
              <w:ind w:left="381"/>
              <w:jc w:val="left"/>
              <w:rPr>
                <w:sz w:val="21"/>
              </w:rPr>
            </w:pPr>
            <w:r>
              <w:rPr>
                <w:spacing w:val="-2"/>
                <w:sz w:val="21"/>
              </w:rPr>
              <w:t>Non-Catholic</w:t>
            </w:r>
          </w:p>
        </w:tc>
        <w:tc>
          <w:tcPr>
            <w:tcW w:w="1188" w:type="dxa"/>
            <w:tcBorders>
              <w:bottom w:val="single" w:sz="18" w:space="0" w:color="800000"/>
            </w:tcBorders>
          </w:tcPr>
          <w:p w:rsidR="003F5784" w14:paraId="52A56F6B" w14:textId="77777777">
            <w:pPr>
              <w:pStyle w:val="TableParagraph"/>
              <w:ind w:left="749"/>
              <w:jc w:val="left"/>
              <w:rPr>
                <w:sz w:val="21"/>
              </w:rPr>
            </w:pPr>
            <w:r>
              <w:rPr>
                <w:spacing w:val="-5"/>
                <w:sz w:val="21"/>
              </w:rPr>
              <w:t>120</w:t>
            </w:r>
          </w:p>
        </w:tc>
        <w:tc>
          <w:tcPr>
            <w:tcW w:w="1979" w:type="dxa"/>
            <w:tcBorders>
              <w:bottom w:val="single" w:sz="18" w:space="0" w:color="800000"/>
            </w:tcBorders>
          </w:tcPr>
          <w:p w:rsidR="003F5784" w14:paraId="2FB02F0B" w14:textId="77777777">
            <w:pPr>
              <w:pStyle w:val="TableParagraph"/>
              <w:ind w:right="167"/>
              <w:rPr>
                <w:sz w:val="21"/>
              </w:rPr>
            </w:pPr>
            <w:r>
              <w:rPr>
                <w:spacing w:val="-2"/>
                <w:sz w:val="21"/>
              </w:rPr>
              <w:t>12.54</w:t>
            </w:r>
          </w:p>
        </w:tc>
        <w:tc>
          <w:tcPr>
            <w:tcW w:w="1834" w:type="dxa"/>
            <w:tcBorders>
              <w:bottom w:val="single" w:sz="18" w:space="0" w:color="800000"/>
            </w:tcBorders>
          </w:tcPr>
          <w:p w:rsidR="003F5784" w14:paraId="1509844D" w14:textId="77777777">
            <w:pPr>
              <w:pStyle w:val="TableParagraph"/>
              <w:ind w:left="1215"/>
              <w:jc w:val="left"/>
              <w:rPr>
                <w:sz w:val="21"/>
              </w:rPr>
            </w:pPr>
            <w:r>
              <w:rPr>
                <w:spacing w:val="-2"/>
                <w:sz w:val="21"/>
              </w:rPr>
              <w:t>17.27</w:t>
            </w:r>
          </w:p>
        </w:tc>
        <w:tc>
          <w:tcPr>
            <w:tcW w:w="1264" w:type="dxa"/>
            <w:tcBorders>
              <w:bottom w:val="single" w:sz="18" w:space="0" w:color="800000"/>
            </w:tcBorders>
          </w:tcPr>
          <w:p w:rsidR="003F5784" w14:paraId="29254681" w14:textId="77777777">
            <w:pPr>
              <w:pStyle w:val="TableParagraph"/>
              <w:ind w:left="741"/>
              <w:jc w:val="left"/>
              <w:rPr>
                <w:sz w:val="21"/>
              </w:rPr>
            </w:pPr>
            <w:r>
              <w:rPr>
                <w:spacing w:val="-5"/>
                <w:sz w:val="21"/>
              </w:rPr>
              <w:t>100</w:t>
            </w:r>
          </w:p>
        </w:tc>
        <w:tc>
          <w:tcPr>
            <w:tcW w:w="1274" w:type="dxa"/>
            <w:tcBorders>
              <w:bottom w:val="single" w:sz="18" w:space="0" w:color="800000"/>
            </w:tcBorders>
          </w:tcPr>
          <w:p w:rsidR="003F5784" w14:paraId="160E961D" w14:textId="77777777">
            <w:pPr>
              <w:pStyle w:val="TableParagraph"/>
              <w:ind w:left="677"/>
              <w:jc w:val="left"/>
              <w:rPr>
                <w:sz w:val="21"/>
              </w:rPr>
            </w:pPr>
            <w:r>
              <w:rPr>
                <w:spacing w:val="-4"/>
                <w:sz w:val="21"/>
              </w:rPr>
              <w:t>0.83</w:t>
            </w:r>
          </w:p>
        </w:tc>
        <w:tc>
          <w:tcPr>
            <w:tcW w:w="1559" w:type="dxa"/>
            <w:tcBorders>
              <w:bottom w:val="single" w:sz="18" w:space="0" w:color="800000"/>
            </w:tcBorders>
          </w:tcPr>
          <w:p w:rsidR="003F5784" w14:paraId="48A18271" w14:textId="77777777">
            <w:pPr>
              <w:pStyle w:val="TableParagraph"/>
              <w:ind w:left="951"/>
              <w:jc w:val="left"/>
              <w:rPr>
                <w:sz w:val="21"/>
              </w:rPr>
            </w:pPr>
            <w:r>
              <w:rPr>
                <w:spacing w:val="-2"/>
                <w:sz w:val="21"/>
              </w:rPr>
              <w:t>89.97</w:t>
            </w:r>
          </w:p>
        </w:tc>
        <w:tc>
          <w:tcPr>
            <w:tcW w:w="1712" w:type="dxa"/>
            <w:tcBorders>
              <w:bottom w:val="single" w:sz="18" w:space="0" w:color="800000"/>
            </w:tcBorders>
          </w:tcPr>
          <w:p w:rsidR="003F5784" w14:paraId="771613D2" w14:textId="77777777">
            <w:pPr>
              <w:pStyle w:val="TableParagraph"/>
              <w:ind w:right="124"/>
              <w:rPr>
                <w:sz w:val="21"/>
              </w:rPr>
            </w:pPr>
            <w:r>
              <w:rPr>
                <w:spacing w:val="-2"/>
                <w:sz w:val="21"/>
              </w:rPr>
              <w:t>10.18</w:t>
            </w:r>
          </w:p>
        </w:tc>
      </w:tr>
      <w:tr w14:paraId="681D79BD" w14:textId="77777777">
        <w:tblPrEx>
          <w:tblW w:w="0" w:type="auto"/>
          <w:tblInd w:w="482" w:type="dxa"/>
          <w:tblLayout w:type="fixed"/>
          <w:tblCellMar>
            <w:left w:w="0" w:type="dxa"/>
            <w:right w:w="0" w:type="dxa"/>
          </w:tblCellMar>
          <w:tblLook w:val="01E0"/>
        </w:tblPrEx>
        <w:trPr>
          <w:trHeight w:val="203"/>
        </w:trPr>
        <w:tc>
          <w:tcPr>
            <w:tcW w:w="3181" w:type="dxa"/>
            <w:tcBorders>
              <w:top w:val="single" w:sz="18" w:space="0" w:color="800000"/>
            </w:tcBorders>
          </w:tcPr>
          <w:p w:rsidR="003F5784" w14:paraId="0C84A12F" w14:textId="77777777">
            <w:pPr>
              <w:pStyle w:val="TableParagraph"/>
              <w:spacing w:before="10" w:line="174" w:lineRule="exact"/>
              <w:ind w:left="120" w:right="-58"/>
              <w:jc w:val="left"/>
              <w:rPr>
                <w:sz w:val="21"/>
              </w:rPr>
            </w:pPr>
            <w:r>
              <w:rPr>
                <w:position w:val="8"/>
                <w:sz w:val="17"/>
              </w:rPr>
              <w:t>1</w:t>
            </w:r>
            <w:r>
              <w:rPr>
                <w:sz w:val="21"/>
              </w:rPr>
              <w:t>National</w:t>
            </w:r>
            <w:r>
              <w:rPr>
                <w:spacing w:val="-7"/>
                <w:sz w:val="21"/>
              </w:rPr>
              <w:t xml:space="preserve"> </w:t>
            </w:r>
            <w:r>
              <w:rPr>
                <w:sz w:val="21"/>
              </w:rPr>
              <w:t>all</w:t>
            </w:r>
            <w:r>
              <w:rPr>
                <w:spacing w:val="-6"/>
                <w:sz w:val="21"/>
              </w:rPr>
              <w:t xml:space="preserve"> </w:t>
            </w:r>
            <w:r>
              <w:rPr>
                <w:sz w:val="21"/>
              </w:rPr>
              <w:t>includes</w:t>
            </w:r>
            <w:r>
              <w:rPr>
                <w:spacing w:val="-7"/>
                <w:sz w:val="21"/>
              </w:rPr>
              <w:t xml:space="preserve"> </w:t>
            </w:r>
            <w:r>
              <w:rPr>
                <w:sz w:val="21"/>
              </w:rPr>
              <w:t>national</w:t>
            </w:r>
            <w:r>
              <w:rPr>
                <w:spacing w:val="-6"/>
                <w:sz w:val="21"/>
              </w:rPr>
              <w:t xml:space="preserve"> </w:t>
            </w:r>
            <w:r>
              <w:rPr>
                <w:spacing w:val="-2"/>
                <w:sz w:val="21"/>
              </w:rPr>
              <w:t>public</w:t>
            </w:r>
          </w:p>
        </w:tc>
        <w:tc>
          <w:tcPr>
            <w:tcW w:w="1188" w:type="dxa"/>
            <w:tcBorders>
              <w:top w:val="single" w:sz="18" w:space="0" w:color="800000"/>
            </w:tcBorders>
          </w:tcPr>
          <w:p w:rsidR="003F5784" w14:paraId="572837E1" w14:textId="77777777">
            <w:pPr>
              <w:pStyle w:val="TableParagraph"/>
              <w:spacing w:before="53" w:line="131" w:lineRule="exact"/>
              <w:ind w:left="49" w:right="-130"/>
              <w:jc w:val="left"/>
              <w:rPr>
                <w:sz w:val="21"/>
              </w:rPr>
            </w:pPr>
            <w:r>
              <w:rPr>
                <w:sz w:val="21"/>
              </w:rPr>
              <w:t>,</w:t>
            </w:r>
            <w:r>
              <w:rPr>
                <w:spacing w:val="-5"/>
                <w:sz w:val="21"/>
              </w:rPr>
              <w:t xml:space="preserve"> </w:t>
            </w:r>
            <w:r>
              <w:rPr>
                <w:sz w:val="21"/>
              </w:rPr>
              <w:t>national</w:t>
            </w:r>
            <w:r>
              <w:rPr>
                <w:spacing w:val="-5"/>
                <w:sz w:val="21"/>
              </w:rPr>
              <w:t xml:space="preserve"> </w:t>
            </w:r>
            <w:r>
              <w:rPr>
                <w:spacing w:val="-2"/>
                <w:sz w:val="21"/>
              </w:rPr>
              <w:t>priva</w:t>
            </w:r>
          </w:p>
        </w:tc>
        <w:tc>
          <w:tcPr>
            <w:tcW w:w="1979" w:type="dxa"/>
            <w:tcBorders>
              <w:top w:val="single" w:sz="18" w:space="0" w:color="800000"/>
            </w:tcBorders>
          </w:tcPr>
          <w:p w:rsidR="003F5784" w14:paraId="3CF4883B" w14:textId="77777777">
            <w:pPr>
              <w:pStyle w:val="TableParagraph"/>
              <w:spacing w:before="53" w:line="131" w:lineRule="exact"/>
              <w:ind w:right="41"/>
              <w:rPr>
                <w:sz w:val="21"/>
              </w:rPr>
            </w:pPr>
            <w:r>
              <w:rPr>
                <w:sz w:val="21"/>
              </w:rPr>
              <w:t>te,</w:t>
            </w:r>
            <w:r>
              <w:rPr>
                <w:spacing w:val="-6"/>
                <w:sz w:val="21"/>
              </w:rPr>
              <w:t xml:space="preserve"> </w:t>
            </w:r>
            <w:r>
              <w:rPr>
                <w:sz w:val="21"/>
              </w:rPr>
              <w:t>and</w:t>
            </w:r>
            <w:r>
              <w:rPr>
                <w:spacing w:val="-6"/>
                <w:sz w:val="21"/>
              </w:rPr>
              <w:t xml:space="preserve"> </w:t>
            </w:r>
            <w:r>
              <w:rPr>
                <w:sz w:val="21"/>
              </w:rPr>
              <w:t>Department</w:t>
            </w:r>
            <w:r>
              <w:rPr>
                <w:spacing w:val="-6"/>
                <w:sz w:val="21"/>
              </w:rPr>
              <w:t xml:space="preserve"> </w:t>
            </w:r>
            <w:r>
              <w:rPr>
                <w:spacing w:val="-5"/>
                <w:sz w:val="21"/>
              </w:rPr>
              <w:t>of</w:t>
            </w:r>
          </w:p>
        </w:tc>
        <w:tc>
          <w:tcPr>
            <w:tcW w:w="1834" w:type="dxa"/>
            <w:tcBorders>
              <w:top w:val="single" w:sz="18" w:space="0" w:color="800000"/>
            </w:tcBorders>
          </w:tcPr>
          <w:p w:rsidR="003F5784" w14:paraId="0C1B22F1" w14:textId="77777777">
            <w:pPr>
              <w:pStyle w:val="TableParagraph"/>
              <w:spacing w:before="53" w:line="131" w:lineRule="exact"/>
              <w:ind w:left="8" w:right="-44"/>
              <w:jc w:val="left"/>
              <w:rPr>
                <w:sz w:val="21"/>
              </w:rPr>
            </w:pPr>
            <w:r>
              <w:rPr>
                <w:spacing w:val="-2"/>
                <w:sz w:val="21"/>
              </w:rPr>
              <w:t>Defense</w:t>
            </w:r>
            <w:r>
              <w:rPr>
                <w:spacing w:val="8"/>
                <w:sz w:val="21"/>
              </w:rPr>
              <w:t xml:space="preserve"> </w:t>
            </w:r>
            <w:r>
              <w:rPr>
                <w:spacing w:val="-2"/>
                <w:sz w:val="21"/>
              </w:rPr>
              <w:t>Education</w:t>
            </w:r>
            <w:r>
              <w:rPr>
                <w:spacing w:val="-5"/>
                <w:sz w:val="21"/>
              </w:rPr>
              <w:t xml:space="preserve"> Ac</w:t>
            </w:r>
          </w:p>
        </w:tc>
        <w:tc>
          <w:tcPr>
            <w:tcW w:w="1264" w:type="dxa"/>
            <w:tcBorders>
              <w:top w:val="single" w:sz="18" w:space="0" w:color="800000"/>
            </w:tcBorders>
          </w:tcPr>
          <w:p w:rsidR="003F5784" w14:paraId="0818336C" w14:textId="77777777">
            <w:pPr>
              <w:pStyle w:val="TableParagraph"/>
              <w:spacing w:before="53" w:line="131" w:lineRule="exact"/>
              <w:ind w:left="39" w:right="-101"/>
              <w:jc w:val="left"/>
              <w:rPr>
                <w:sz w:val="21"/>
              </w:rPr>
            </w:pPr>
            <w:r>
              <w:rPr>
                <w:sz w:val="21"/>
              </w:rPr>
              <w:t>tivity</w:t>
            </w:r>
            <w:r>
              <w:rPr>
                <w:spacing w:val="-6"/>
                <w:sz w:val="21"/>
              </w:rPr>
              <w:t xml:space="preserve"> </w:t>
            </w:r>
            <w:r>
              <w:rPr>
                <w:spacing w:val="-2"/>
                <w:sz w:val="21"/>
              </w:rPr>
              <w:t>(DoDEA)</w:t>
            </w:r>
          </w:p>
        </w:tc>
        <w:tc>
          <w:tcPr>
            <w:tcW w:w="1274" w:type="dxa"/>
            <w:tcBorders>
              <w:top w:val="single" w:sz="18" w:space="0" w:color="800000"/>
            </w:tcBorders>
          </w:tcPr>
          <w:p w:rsidR="003F5784" w14:paraId="23796EBB" w14:textId="77777777">
            <w:pPr>
              <w:pStyle w:val="TableParagraph"/>
              <w:spacing w:before="53" w:line="131" w:lineRule="exact"/>
              <w:ind w:left="142" w:right="-87"/>
              <w:jc w:val="left"/>
              <w:rPr>
                <w:sz w:val="21"/>
              </w:rPr>
            </w:pPr>
            <w:r>
              <w:rPr>
                <w:sz w:val="21"/>
              </w:rPr>
              <w:t>schools</w:t>
            </w:r>
            <w:r>
              <w:rPr>
                <w:spacing w:val="-6"/>
                <w:sz w:val="21"/>
              </w:rPr>
              <w:t xml:space="preserve"> </w:t>
            </w:r>
            <w:r>
              <w:rPr>
                <w:sz w:val="21"/>
              </w:rPr>
              <w:t>that</w:t>
            </w:r>
            <w:r>
              <w:rPr>
                <w:spacing w:val="-6"/>
                <w:sz w:val="21"/>
              </w:rPr>
              <w:t xml:space="preserve"> </w:t>
            </w:r>
            <w:r>
              <w:rPr>
                <w:spacing w:val="-5"/>
                <w:sz w:val="21"/>
              </w:rPr>
              <w:t>ar</w:t>
            </w:r>
          </w:p>
        </w:tc>
        <w:tc>
          <w:tcPr>
            <w:tcW w:w="1559" w:type="dxa"/>
            <w:tcBorders>
              <w:top w:val="single" w:sz="18" w:space="0" w:color="800000"/>
            </w:tcBorders>
          </w:tcPr>
          <w:p w:rsidR="003F5784" w14:paraId="0499D421" w14:textId="77777777">
            <w:pPr>
              <w:pStyle w:val="TableParagraph"/>
              <w:spacing w:before="53" w:line="131" w:lineRule="exact"/>
              <w:ind w:left="72" w:right="-101"/>
              <w:jc w:val="left"/>
              <w:rPr>
                <w:sz w:val="21"/>
              </w:rPr>
            </w:pPr>
            <w:r>
              <w:rPr>
                <w:sz w:val="21"/>
              </w:rPr>
              <w:t>e</w:t>
            </w:r>
            <w:r>
              <w:rPr>
                <w:spacing w:val="-4"/>
                <w:sz w:val="21"/>
              </w:rPr>
              <w:t xml:space="preserve"> </w:t>
            </w:r>
            <w:r>
              <w:rPr>
                <w:sz w:val="21"/>
              </w:rPr>
              <w:t>located</w:t>
            </w:r>
            <w:r>
              <w:rPr>
                <w:spacing w:val="-4"/>
                <w:sz w:val="21"/>
              </w:rPr>
              <w:t xml:space="preserve"> </w:t>
            </w:r>
            <w:r>
              <w:rPr>
                <w:sz w:val="21"/>
              </w:rPr>
              <w:t>in</w:t>
            </w:r>
            <w:r>
              <w:rPr>
                <w:spacing w:val="-4"/>
                <w:sz w:val="21"/>
              </w:rPr>
              <w:t xml:space="preserve"> </w:t>
            </w:r>
            <w:r>
              <w:rPr>
                <w:sz w:val="21"/>
              </w:rPr>
              <w:t>the</w:t>
            </w:r>
            <w:r>
              <w:rPr>
                <w:spacing w:val="-4"/>
                <w:sz w:val="21"/>
              </w:rPr>
              <w:t xml:space="preserve"> </w:t>
            </w:r>
            <w:r>
              <w:rPr>
                <w:spacing w:val="-5"/>
                <w:sz w:val="21"/>
              </w:rPr>
              <w:t>Un</w:t>
            </w:r>
          </w:p>
        </w:tc>
        <w:tc>
          <w:tcPr>
            <w:tcW w:w="1712" w:type="dxa"/>
            <w:tcBorders>
              <w:top w:val="single" w:sz="18" w:space="0" w:color="800000"/>
            </w:tcBorders>
          </w:tcPr>
          <w:p w:rsidR="003F5784" w14:paraId="1C6BA173" w14:textId="77777777">
            <w:pPr>
              <w:pStyle w:val="TableParagraph"/>
              <w:spacing w:before="53" w:line="131" w:lineRule="exact"/>
              <w:ind w:left="88"/>
              <w:jc w:val="left"/>
              <w:rPr>
                <w:sz w:val="21"/>
              </w:rPr>
            </w:pPr>
            <w:r>
              <w:rPr>
                <w:sz w:val="21"/>
              </w:rPr>
              <w:t>ited</w:t>
            </w:r>
            <w:r>
              <w:rPr>
                <w:spacing w:val="-5"/>
                <w:sz w:val="21"/>
              </w:rPr>
              <w:t xml:space="preserve"> </w:t>
            </w:r>
            <w:r>
              <w:rPr>
                <w:spacing w:val="-2"/>
                <w:sz w:val="21"/>
              </w:rPr>
              <w:t>States.</w:t>
            </w:r>
          </w:p>
        </w:tc>
      </w:tr>
    </w:tbl>
    <w:p w:rsidR="003F5784" w14:paraId="4DD43402" w14:textId="77777777">
      <w:pPr>
        <w:pStyle w:val="BodyText"/>
        <w:spacing w:before="96" w:line="238" w:lineRule="exact"/>
        <w:ind w:left="595"/>
      </w:pPr>
      <w:r>
        <w:t>NOTE:</w:t>
      </w:r>
      <w:r>
        <w:rPr>
          <w:spacing w:val="-6"/>
        </w:rPr>
        <w:t xml:space="preserve"> </w:t>
      </w:r>
      <w:r>
        <w:t>School</w:t>
      </w:r>
      <w:r>
        <w:rPr>
          <w:spacing w:val="-5"/>
        </w:rPr>
        <w:t xml:space="preserve"> </w:t>
      </w:r>
      <w:r>
        <w:t>counts</w:t>
      </w:r>
      <w:r>
        <w:rPr>
          <w:spacing w:val="-6"/>
        </w:rPr>
        <w:t xml:space="preserve"> </w:t>
      </w:r>
      <w:r>
        <w:t>are</w:t>
      </w:r>
      <w:r>
        <w:rPr>
          <w:spacing w:val="-5"/>
        </w:rPr>
        <w:t xml:space="preserve"> </w:t>
      </w:r>
      <w:r>
        <w:t>rounded</w:t>
      </w:r>
      <w:r>
        <w:rPr>
          <w:spacing w:val="-5"/>
        </w:rPr>
        <w:t xml:space="preserve"> </w:t>
      </w:r>
      <w:r>
        <w:t>to</w:t>
      </w:r>
      <w:r>
        <w:rPr>
          <w:spacing w:val="-6"/>
        </w:rPr>
        <w:t xml:space="preserve"> </w:t>
      </w:r>
      <w:r>
        <w:t>nearest</w:t>
      </w:r>
      <w:r>
        <w:rPr>
          <w:spacing w:val="-5"/>
        </w:rPr>
        <w:t xml:space="preserve"> </w:t>
      </w:r>
      <w:r>
        <w:t>ten</w:t>
      </w:r>
      <w:r>
        <w:rPr>
          <w:spacing w:val="-6"/>
        </w:rPr>
        <w:t xml:space="preserve"> </w:t>
      </w:r>
      <w:r>
        <w:t>and</w:t>
      </w:r>
      <w:r>
        <w:rPr>
          <w:spacing w:val="-5"/>
        </w:rPr>
        <w:t xml:space="preserve"> </w:t>
      </w:r>
      <w:r>
        <w:t>student</w:t>
      </w:r>
      <w:r>
        <w:rPr>
          <w:spacing w:val="-5"/>
        </w:rPr>
        <w:t xml:space="preserve"> </w:t>
      </w:r>
      <w:r>
        <w:t>counts</w:t>
      </w:r>
      <w:r>
        <w:rPr>
          <w:spacing w:val="-6"/>
        </w:rPr>
        <w:t xml:space="preserve"> </w:t>
      </w:r>
      <w:r>
        <w:t>are</w:t>
      </w:r>
      <w:r>
        <w:rPr>
          <w:spacing w:val="-5"/>
        </w:rPr>
        <w:t xml:space="preserve"> </w:t>
      </w:r>
      <w:r>
        <w:t>rounded</w:t>
      </w:r>
      <w:r>
        <w:rPr>
          <w:spacing w:val="-6"/>
        </w:rPr>
        <w:t xml:space="preserve"> </w:t>
      </w:r>
      <w:r>
        <w:t>to</w:t>
      </w:r>
      <w:r>
        <w:rPr>
          <w:spacing w:val="-5"/>
        </w:rPr>
        <w:t xml:space="preserve"> </w:t>
      </w:r>
      <w:r>
        <w:t>nearest</w:t>
      </w:r>
      <w:r>
        <w:rPr>
          <w:spacing w:val="-5"/>
        </w:rPr>
        <w:t xml:space="preserve"> </w:t>
      </w:r>
      <w:r>
        <w:t>hundred.</w:t>
      </w:r>
      <w:r>
        <w:rPr>
          <w:spacing w:val="-6"/>
        </w:rPr>
        <w:t xml:space="preserve"> </w:t>
      </w:r>
      <w:r>
        <w:t>Detail</w:t>
      </w:r>
      <w:r>
        <w:rPr>
          <w:spacing w:val="-5"/>
        </w:rPr>
        <w:t xml:space="preserve"> </w:t>
      </w:r>
      <w:r>
        <w:t>may</w:t>
      </w:r>
      <w:r>
        <w:rPr>
          <w:spacing w:val="-6"/>
        </w:rPr>
        <w:t xml:space="preserve"> </w:t>
      </w:r>
      <w:r>
        <w:t>not</w:t>
      </w:r>
      <w:r>
        <w:rPr>
          <w:spacing w:val="-5"/>
        </w:rPr>
        <w:t xml:space="preserve"> </w:t>
      </w:r>
      <w:r>
        <w:t>sum</w:t>
      </w:r>
      <w:r>
        <w:rPr>
          <w:spacing w:val="-5"/>
        </w:rPr>
        <w:t xml:space="preserve"> </w:t>
      </w:r>
      <w:r>
        <w:t>to</w:t>
      </w:r>
      <w:r>
        <w:rPr>
          <w:spacing w:val="-6"/>
        </w:rPr>
        <w:t xml:space="preserve"> </w:t>
      </w:r>
      <w:r>
        <w:t>totals</w:t>
      </w:r>
      <w:r>
        <w:rPr>
          <w:spacing w:val="-5"/>
        </w:rPr>
        <w:t xml:space="preserve"> </w:t>
      </w:r>
      <w:r>
        <w:t>because</w:t>
      </w:r>
      <w:r>
        <w:rPr>
          <w:spacing w:val="-6"/>
        </w:rPr>
        <w:t xml:space="preserve"> </w:t>
      </w:r>
      <w:r>
        <w:t>of</w:t>
      </w:r>
      <w:r>
        <w:rPr>
          <w:spacing w:val="-5"/>
        </w:rPr>
        <w:t xml:space="preserve"> </w:t>
      </w:r>
      <w:r>
        <w:rPr>
          <w:spacing w:val="-2"/>
        </w:rPr>
        <w:t>rounding.</w:t>
      </w:r>
    </w:p>
    <w:p w:rsidR="003F5784" w14:paraId="60DBFD3A" w14:textId="77777777">
      <w:pPr>
        <w:pStyle w:val="BodyText"/>
        <w:spacing w:before="3"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Reading Assessment.</w:t>
      </w:r>
    </w:p>
    <w:p w:rsidR="003F5784" w14:paraId="728E855D" w14:textId="77777777">
      <w:pPr>
        <w:pStyle w:val="BodyText"/>
      </w:pPr>
    </w:p>
    <w:p w:rsidR="003F5784" w14:paraId="609F452F" w14:textId="77777777">
      <w:pPr>
        <w:pStyle w:val="BodyText"/>
      </w:pPr>
    </w:p>
    <w:p w:rsidR="003F5784" w14:paraId="592DF46A" w14:textId="77777777">
      <w:pPr>
        <w:pStyle w:val="BodyText"/>
        <w:spacing w:before="197"/>
      </w:pPr>
    </w:p>
    <w:p w:rsidR="003F5784" w14:paraId="53066644" w14:textId="77777777">
      <w:pPr>
        <w:ind w:left="4646"/>
        <w:rPr>
          <w:sz w:val="18"/>
        </w:rPr>
      </w:pPr>
      <w:hyperlink r:id="rId541">
        <w:r>
          <w:rPr>
            <w:spacing w:val="-2"/>
            <w:w w:val="105"/>
            <w:sz w:val="18"/>
          </w:rPr>
          <w:t>http://nces.ed.gov/nationsreportcard/tdw/weighting/2022/participation_exclusion_and_accommodation_rates_for_age_13_reading.aspx</w:t>
        </w:r>
      </w:hyperlink>
    </w:p>
    <w:p w:rsidR="003F5784" w14:paraId="378E1DCA" w14:textId="77777777">
      <w:pPr>
        <w:pStyle w:val="BodyText"/>
        <w:spacing w:before="11"/>
        <w:rPr>
          <w:sz w:val="14"/>
        </w:rPr>
      </w:pPr>
      <w:r>
        <w:rPr>
          <w:noProof/>
        </w:rPr>
        <mc:AlternateContent>
          <mc:Choice Requires="wps">
            <w:drawing>
              <wp:anchor distT="0" distB="0" distL="0" distR="0" simplePos="0" relativeHeight="252034048" behindDoc="1" locked="0" layoutInCell="1" allowOverlap="1">
                <wp:simplePos x="0" y="0"/>
                <wp:positionH relativeFrom="page">
                  <wp:posOffset>361937</wp:posOffset>
                </wp:positionH>
                <wp:positionV relativeFrom="paragraph">
                  <wp:posOffset>124703</wp:posOffset>
                </wp:positionV>
                <wp:extent cx="9339580" cy="8890"/>
                <wp:effectExtent l="0" t="0" r="0" b="0"/>
                <wp:wrapTopAndBottom/>
                <wp:docPr id="677" name="Graphic 677"/>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14"/>
                              </a:moveTo>
                              <a:lnTo>
                                <a:pt x="9335110" y="114"/>
                              </a:lnTo>
                              <a:lnTo>
                                <a:pt x="8280" y="114"/>
                              </a:lnTo>
                              <a:lnTo>
                                <a:pt x="0" y="0"/>
                              </a:lnTo>
                              <a:lnTo>
                                <a:pt x="0" y="8267"/>
                              </a:lnTo>
                              <a:lnTo>
                                <a:pt x="9335110" y="8382"/>
                              </a:lnTo>
                              <a:lnTo>
                                <a:pt x="9338970" y="8382"/>
                              </a:lnTo>
                              <a:lnTo>
                                <a:pt x="9338970" y="114"/>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677" o:spid="_x0000_s1220" style="width:735.4pt;height:0.7pt;margin-top:9.8pt;margin-left:28.5pt;mso-position-horizontal-relative:page;mso-wrap-distance-bottom:0;mso-wrap-distance-left:0;mso-wrap-distance-right:0;mso-wrap-distance-top:0;mso-wrap-style:square;position:absolute;visibility:visible;v-text-anchor:top;z-index:-251281408" coordsize="9339580,8890" path="m9338970,114l9335110,114l8280,114,,,,8267l9335110,8382l9338970,8382l9338970,114xe" fillcolor="gray" stroked="f">
                <v:path arrowok="t"/>
                <w10:wrap type="topAndBottom"/>
              </v:shape>
            </w:pict>
          </mc:Fallback>
        </mc:AlternateContent>
      </w:r>
    </w:p>
    <w:p w:rsidR="003F5784" w14:paraId="6219951D" w14:textId="77777777">
      <w:pPr>
        <w:pStyle w:val="BodyText"/>
        <w:rPr>
          <w:sz w:val="18"/>
        </w:rPr>
      </w:pPr>
    </w:p>
    <w:p w:rsidR="003F5784" w14:paraId="0A7A655C" w14:textId="77777777">
      <w:pPr>
        <w:pStyle w:val="BodyText"/>
        <w:spacing w:before="206"/>
        <w:rPr>
          <w:sz w:val="18"/>
        </w:rPr>
      </w:pPr>
    </w:p>
    <w:p w:rsidR="003F5784" w14:paraId="148F3C83" w14:textId="49336434">
      <w:pPr>
        <w:pStyle w:val="Heading1"/>
        <w:spacing w:line="244" w:lineRule="auto"/>
        <w:ind w:right="179"/>
      </w:pPr>
      <w:r>
        <w:t>NAEP</w:t>
      </w:r>
      <w:r>
        <w:rPr>
          <w:spacing w:val="-5"/>
        </w:rPr>
        <w:t xml:space="preserve"> </w:t>
      </w:r>
      <w:r>
        <w:t>Technical Documentation</w:t>
      </w:r>
      <w:r w:rsidR="00C94150">
        <w:t xml:space="preserve"> </w:t>
      </w:r>
      <w:r>
        <w:t>Participation, Exclusion, and Accommodation Rates for Age 9 Mathematics</w:t>
      </w:r>
    </w:p>
    <w:p w:rsidR="003F5784" w14:paraId="56112902" w14:textId="77777777">
      <w:pPr>
        <w:pStyle w:val="BodyText"/>
        <w:spacing w:before="274" w:line="232" w:lineRule="auto"/>
        <w:ind w:left="109"/>
      </w:pPr>
      <w:r>
        <w:t>The</w:t>
      </w:r>
      <w:r>
        <w:rPr>
          <w:spacing w:val="-7"/>
        </w:rPr>
        <w:t xml:space="preserve"> </w:t>
      </w:r>
      <w:r>
        <w:t>following</w:t>
      </w:r>
      <w:r>
        <w:rPr>
          <w:spacing w:val="-7"/>
        </w:rPr>
        <w:t xml:space="preserve"> </w:t>
      </w:r>
      <w:r>
        <w:t>table</w:t>
      </w:r>
      <w:r>
        <w:rPr>
          <w:spacing w:val="-7"/>
        </w:rPr>
        <w:t xml:space="preserve"> </w:t>
      </w:r>
      <w:r>
        <w:t>displays</w:t>
      </w:r>
      <w:r>
        <w:rPr>
          <w:spacing w:val="-7"/>
        </w:rPr>
        <w:t xml:space="preserve"> </w:t>
      </w:r>
      <w:r>
        <w:t>the</w:t>
      </w:r>
      <w:r>
        <w:rPr>
          <w:spacing w:val="-7"/>
        </w:rPr>
        <w:t xml:space="preserve"> </w:t>
      </w:r>
      <w:r>
        <w:t>school-level</w:t>
      </w:r>
      <w:r>
        <w:rPr>
          <w:spacing w:val="-7"/>
        </w:rPr>
        <w:t xml:space="preserve"> </w:t>
      </w:r>
      <w:r>
        <w:t>participation</w:t>
      </w:r>
      <w:r>
        <w:rPr>
          <w:spacing w:val="-7"/>
        </w:rPr>
        <w:t xml:space="preserve"> </w:t>
      </w:r>
      <w:r>
        <w:t>rates</w:t>
      </w:r>
      <w:r>
        <w:rPr>
          <w:spacing w:val="-7"/>
        </w:rPr>
        <w:t xml:space="preserve"> </w:t>
      </w:r>
      <w:r>
        <w:t>and</w:t>
      </w:r>
      <w:r>
        <w:rPr>
          <w:spacing w:val="-7"/>
        </w:rPr>
        <w:t xml:space="preserve"> </w:t>
      </w:r>
      <w:r>
        <w:t>student-level</w:t>
      </w:r>
      <w:r>
        <w:rPr>
          <w:spacing w:val="-7"/>
        </w:rPr>
        <w:t xml:space="preserve"> </w:t>
      </w:r>
      <w:r>
        <w:t>participation,</w:t>
      </w:r>
      <w:r>
        <w:rPr>
          <w:spacing w:val="-7"/>
        </w:rPr>
        <w:t xml:space="preserve"> </w:t>
      </w:r>
      <w:r>
        <w:t>exclusion,</w:t>
      </w:r>
      <w:r>
        <w:rPr>
          <w:spacing w:val="-7"/>
        </w:rPr>
        <w:t xml:space="preserve"> </w:t>
      </w:r>
      <w:r>
        <w:t>and</w:t>
      </w:r>
      <w:r>
        <w:rPr>
          <w:spacing w:val="-7"/>
        </w:rPr>
        <w:t xml:space="preserve"> </w:t>
      </w:r>
      <w:r>
        <w:t>accommodation</w:t>
      </w:r>
      <w:r>
        <w:rPr>
          <w:spacing w:val="-7"/>
        </w:rPr>
        <w:t xml:space="preserve"> </w:t>
      </w:r>
      <w:r>
        <w:t>rates</w:t>
      </w:r>
      <w:r>
        <w:rPr>
          <w:spacing w:val="-7"/>
        </w:rPr>
        <w:t xml:space="preserve"> </w:t>
      </w:r>
      <w:r>
        <w:t>for</w:t>
      </w:r>
      <w:r>
        <w:rPr>
          <w:spacing w:val="-7"/>
        </w:rPr>
        <w:t xml:space="preserve"> </w:t>
      </w:r>
      <w:r>
        <w:t>the</w:t>
      </w:r>
      <w:r>
        <w:rPr>
          <w:spacing w:val="-7"/>
        </w:rPr>
        <w:t xml:space="preserve"> </w:t>
      </w:r>
      <w:r>
        <w:t>age</w:t>
      </w:r>
      <w:r>
        <w:rPr>
          <w:spacing w:val="-7"/>
        </w:rPr>
        <w:t xml:space="preserve"> </w:t>
      </w:r>
      <w:r>
        <w:t>9</w:t>
      </w:r>
      <w:r>
        <w:rPr>
          <w:spacing w:val="-7"/>
        </w:rPr>
        <w:t xml:space="preserve"> </w:t>
      </w:r>
      <w:r>
        <w:t>long-term</w:t>
      </w:r>
      <w:r>
        <w:rPr>
          <w:spacing w:val="-7"/>
        </w:rPr>
        <w:t xml:space="preserve"> </w:t>
      </w:r>
      <w:r>
        <w:t>trend</w:t>
      </w:r>
      <w:r>
        <w:rPr>
          <w:spacing w:val="-7"/>
        </w:rPr>
        <w:t xml:space="preserve"> </w:t>
      </w:r>
      <w:r>
        <w:t>mathematics assessment.</w:t>
      </w:r>
      <w:r>
        <w:rPr>
          <w:spacing w:val="-4"/>
        </w:rPr>
        <w:t xml:space="preserve"> </w:t>
      </w:r>
      <w:r>
        <w:t>Various weights were used in the calculation of the school rates, as indicated in the column headings of the table. For the student participation rates, student base weights</w:t>
      </w:r>
      <w:r>
        <w:rPr>
          <w:spacing w:val="-2"/>
        </w:rPr>
        <w:t xml:space="preserve"> </w:t>
      </w:r>
      <w:r>
        <w:t>were</w:t>
      </w:r>
      <w:r>
        <w:rPr>
          <w:spacing w:val="-2"/>
        </w:rPr>
        <w:t xml:space="preserve"> </w:t>
      </w:r>
      <w:r>
        <w:t>used.</w:t>
      </w:r>
      <w:r>
        <w:rPr>
          <w:spacing w:val="-2"/>
        </w:rPr>
        <w:t xml:space="preserve"> </w:t>
      </w:r>
      <w:r>
        <w:t>For</w:t>
      </w:r>
      <w:r>
        <w:rPr>
          <w:spacing w:val="-2"/>
        </w:rPr>
        <w:t xml:space="preserve"> </w:t>
      </w:r>
      <w:r>
        <w:t>the</w:t>
      </w:r>
      <w:r>
        <w:rPr>
          <w:spacing w:val="-2"/>
        </w:rPr>
        <w:t xml:space="preserve"> </w:t>
      </w:r>
      <w:r>
        <w:t>student</w:t>
      </w:r>
      <w:r>
        <w:rPr>
          <w:spacing w:val="-2"/>
        </w:rPr>
        <w:t xml:space="preserve"> </w:t>
      </w:r>
      <w:r>
        <w:t>exclusion</w:t>
      </w:r>
      <w:r>
        <w:rPr>
          <w:spacing w:val="-2"/>
        </w:rPr>
        <w:t xml:space="preserve"> </w:t>
      </w:r>
      <w:r>
        <w:t>rates</w:t>
      </w:r>
      <w:r>
        <w:rPr>
          <w:spacing w:val="-2"/>
        </w:rPr>
        <w:t xml:space="preserve"> </w:t>
      </w:r>
      <w:r>
        <w:t>and</w:t>
      </w:r>
      <w:r>
        <w:rPr>
          <w:spacing w:val="-2"/>
        </w:rPr>
        <w:t xml:space="preserve"> </w:t>
      </w:r>
      <w:r>
        <w:t>accommodation</w:t>
      </w:r>
      <w:r>
        <w:rPr>
          <w:spacing w:val="-2"/>
        </w:rPr>
        <w:t xml:space="preserve"> </w:t>
      </w:r>
      <w:r>
        <w:t>rates,</w:t>
      </w:r>
      <w:r>
        <w:rPr>
          <w:spacing w:val="-2"/>
        </w:rPr>
        <w:t xml:space="preserve"> </w:t>
      </w:r>
      <w:r>
        <w:t>student</w:t>
      </w:r>
      <w:r>
        <w:rPr>
          <w:spacing w:val="-2"/>
        </w:rPr>
        <w:t xml:space="preserve"> </w:t>
      </w:r>
      <w:r>
        <w:t>base</w:t>
      </w:r>
      <w:r>
        <w:rPr>
          <w:spacing w:val="-2"/>
        </w:rPr>
        <w:t xml:space="preserve"> </w:t>
      </w:r>
      <w:r>
        <w:t>weights</w:t>
      </w:r>
      <w:r>
        <w:rPr>
          <w:spacing w:val="-2"/>
        </w:rPr>
        <w:t xml:space="preserve"> </w:t>
      </w:r>
      <w:r>
        <w:t>with</w:t>
      </w:r>
      <w:r>
        <w:rPr>
          <w:spacing w:val="-2"/>
        </w:rPr>
        <w:t xml:space="preserve"> </w:t>
      </w:r>
      <w:r>
        <w:t>adjustment</w:t>
      </w:r>
      <w:r>
        <w:rPr>
          <w:spacing w:val="-2"/>
        </w:rPr>
        <w:t xml:space="preserve"> </w:t>
      </w:r>
      <w:r>
        <w:t>for</w:t>
      </w:r>
      <w:r>
        <w:rPr>
          <w:spacing w:val="-2"/>
        </w:rPr>
        <w:t xml:space="preserve"> </w:t>
      </w:r>
      <w:r>
        <w:t>school</w:t>
      </w:r>
      <w:r>
        <w:rPr>
          <w:spacing w:val="-2"/>
        </w:rPr>
        <w:t xml:space="preserve"> </w:t>
      </w:r>
      <w:r>
        <w:t>nonresponse</w:t>
      </w:r>
      <w:r>
        <w:rPr>
          <w:spacing w:val="-2"/>
        </w:rPr>
        <w:t xml:space="preserve"> </w:t>
      </w:r>
      <w:r>
        <w:t>were</w:t>
      </w:r>
      <w:r>
        <w:rPr>
          <w:spacing w:val="-2"/>
        </w:rPr>
        <w:t xml:space="preserve"> </w:t>
      </w:r>
      <w:r>
        <w:t>used.</w:t>
      </w:r>
      <w:r>
        <w:rPr>
          <w:spacing w:val="-2"/>
        </w:rPr>
        <w:t xml:space="preserve"> </w:t>
      </w:r>
      <w:r>
        <w:t>Different</w:t>
      </w:r>
      <w:r>
        <w:rPr>
          <w:spacing w:val="-2"/>
        </w:rPr>
        <w:t xml:space="preserve"> </w:t>
      </w:r>
      <w:r>
        <w:t>weights</w:t>
      </w:r>
      <w:r>
        <w:rPr>
          <w:spacing w:val="-2"/>
        </w:rPr>
        <w:t xml:space="preserve"> </w:t>
      </w:r>
      <w:r>
        <w:t>were used</w:t>
      </w:r>
      <w:r>
        <w:rPr>
          <w:spacing w:val="-3"/>
        </w:rPr>
        <w:t xml:space="preserve"> </w:t>
      </w:r>
      <w:r>
        <w:t>at</w:t>
      </w:r>
      <w:r>
        <w:rPr>
          <w:spacing w:val="-3"/>
        </w:rPr>
        <w:t xml:space="preserve"> </w:t>
      </w:r>
      <w:r>
        <w:t>the</w:t>
      </w:r>
      <w:r>
        <w:rPr>
          <w:spacing w:val="-3"/>
        </w:rPr>
        <w:t xml:space="preserve"> </w:t>
      </w:r>
      <w:r>
        <w:t>student</w:t>
      </w:r>
      <w:r>
        <w:rPr>
          <w:spacing w:val="-3"/>
        </w:rPr>
        <w:t xml:space="preserve"> </w:t>
      </w:r>
      <w:r>
        <w:t>level</w:t>
      </w:r>
      <w:r>
        <w:rPr>
          <w:spacing w:val="-3"/>
        </w:rPr>
        <w:t xml:space="preserve"> </w:t>
      </w:r>
      <w:r>
        <w:t>because</w:t>
      </w:r>
      <w:r>
        <w:rPr>
          <w:spacing w:val="-3"/>
        </w:rPr>
        <w:t xml:space="preserve"> </w:t>
      </w:r>
      <w:r>
        <w:t>the</w:t>
      </w:r>
      <w:r>
        <w:rPr>
          <w:spacing w:val="-3"/>
        </w:rPr>
        <w:t xml:space="preserve"> </w:t>
      </w:r>
      <w:r>
        <w:t>student</w:t>
      </w:r>
      <w:r>
        <w:rPr>
          <w:spacing w:val="-3"/>
        </w:rPr>
        <w:t xml:space="preserve"> </w:t>
      </w:r>
      <w:r>
        <w:t>participation</w:t>
      </w:r>
      <w:r>
        <w:rPr>
          <w:spacing w:val="-3"/>
        </w:rPr>
        <w:t xml:space="preserve"> </w:t>
      </w:r>
      <w:r>
        <w:t>rates</w:t>
      </w:r>
      <w:r>
        <w:rPr>
          <w:spacing w:val="-3"/>
        </w:rPr>
        <w:t xml:space="preserve"> </w:t>
      </w:r>
      <w:r>
        <w:t>are</w:t>
      </w:r>
      <w:r>
        <w:rPr>
          <w:spacing w:val="-3"/>
        </w:rPr>
        <w:t xml:space="preserve"> </w:t>
      </w:r>
      <w:r>
        <w:t>conditional</w:t>
      </w:r>
      <w:r>
        <w:rPr>
          <w:spacing w:val="-3"/>
        </w:rPr>
        <w:t xml:space="preserve"> </w:t>
      </w:r>
      <w:r>
        <w:t>on</w:t>
      </w:r>
      <w:r>
        <w:rPr>
          <w:spacing w:val="-3"/>
        </w:rPr>
        <w:t xml:space="preserve"> </w:t>
      </w:r>
      <w:r>
        <w:t>(i.e.,</w:t>
      </w:r>
      <w:r>
        <w:rPr>
          <w:spacing w:val="-3"/>
        </w:rPr>
        <w:t xml:space="preserve"> </w:t>
      </w:r>
      <w:r>
        <w:t>computed</w:t>
      </w:r>
      <w:r>
        <w:rPr>
          <w:spacing w:val="-3"/>
        </w:rPr>
        <w:t xml:space="preserve"> </w:t>
      </w:r>
      <w:r>
        <w:t>within)</w:t>
      </w:r>
      <w:r>
        <w:rPr>
          <w:spacing w:val="-3"/>
        </w:rPr>
        <w:t xml:space="preserve"> </w:t>
      </w:r>
      <w:r>
        <w:t>the</w:t>
      </w:r>
      <w:r>
        <w:rPr>
          <w:spacing w:val="-3"/>
        </w:rPr>
        <w:t xml:space="preserve"> </w:t>
      </w:r>
      <w:r>
        <w:t>participating</w:t>
      </w:r>
      <w:r>
        <w:rPr>
          <w:spacing w:val="-3"/>
        </w:rPr>
        <w:t xml:space="preserve"> </w:t>
      </w:r>
      <w:r>
        <w:t>schools,</w:t>
      </w:r>
      <w:r>
        <w:rPr>
          <w:spacing w:val="-3"/>
        </w:rPr>
        <w:t xml:space="preserve"> </w:t>
      </w:r>
      <w:r>
        <w:t>whereas</w:t>
      </w:r>
      <w:r>
        <w:rPr>
          <w:spacing w:val="-3"/>
        </w:rPr>
        <w:t xml:space="preserve"> </w:t>
      </w:r>
      <w:r>
        <w:t>the</w:t>
      </w:r>
      <w:r>
        <w:rPr>
          <w:spacing w:val="-3"/>
        </w:rPr>
        <w:t xml:space="preserve"> </w:t>
      </w:r>
      <w:r>
        <w:t>exclusion</w:t>
      </w:r>
      <w:r>
        <w:rPr>
          <w:spacing w:val="-3"/>
        </w:rPr>
        <w:t xml:space="preserve"> </w:t>
      </w:r>
      <w:r>
        <w:t>and</w:t>
      </w:r>
      <w:r>
        <w:rPr>
          <w:spacing w:val="-3"/>
        </w:rPr>
        <w:t xml:space="preserve"> </w:t>
      </w:r>
      <w:r>
        <w:t>accommodation rates are population estimates.</w:t>
      </w:r>
    </w:p>
    <w:p w:rsidR="003F5784" w14:paraId="6B5F0D23" w14:textId="77777777">
      <w:pPr>
        <w:pStyle w:val="BodyText"/>
        <w:spacing w:before="210" w:line="232" w:lineRule="auto"/>
        <w:ind w:left="109" w:right="117"/>
      </w:pPr>
      <w:r>
        <w:t>The school participation rates reflect the participation of the original sampled schools only and do not reflect any effect of substitution.</w:t>
      </w:r>
      <w:r>
        <w:rPr>
          <w:spacing w:val="-3"/>
        </w:rPr>
        <w:t xml:space="preserve"> </w:t>
      </w:r>
      <w:r>
        <w:t>The rates weighted by the school base weight</w:t>
      </w:r>
      <w:r>
        <w:rPr>
          <w:spacing w:val="-6"/>
        </w:rPr>
        <w:t xml:space="preserve"> </w:t>
      </w:r>
      <w:r>
        <w:t>and</w:t>
      </w:r>
      <w:r>
        <w:rPr>
          <w:spacing w:val="-6"/>
        </w:rPr>
        <w:t xml:space="preserve"> </w:t>
      </w:r>
      <w:r>
        <w:t>enrollment</w:t>
      </w:r>
      <w:r>
        <w:rPr>
          <w:spacing w:val="-6"/>
        </w:rPr>
        <w:t xml:space="preserve"> </w:t>
      </w:r>
      <w:r>
        <w:t>show</w:t>
      </w:r>
      <w:r>
        <w:rPr>
          <w:spacing w:val="-6"/>
        </w:rPr>
        <w:t xml:space="preserve"> </w:t>
      </w:r>
      <w:r>
        <w:t>the</w:t>
      </w:r>
      <w:r>
        <w:rPr>
          <w:spacing w:val="-6"/>
        </w:rPr>
        <w:t xml:space="preserve"> </w:t>
      </w:r>
      <w:r>
        <w:t>approximate</w:t>
      </w:r>
      <w:r>
        <w:rPr>
          <w:spacing w:val="-6"/>
        </w:rPr>
        <w:t xml:space="preserve"> </w:t>
      </w:r>
      <w:r>
        <w:t>proportion</w:t>
      </w:r>
      <w:r>
        <w:rPr>
          <w:spacing w:val="-6"/>
        </w:rPr>
        <w:t xml:space="preserve"> </w:t>
      </w:r>
      <w:r>
        <w:t>of</w:t>
      </w:r>
      <w:r>
        <w:rPr>
          <w:spacing w:val="-6"/>
        </w:rPr>
        <w:t xml:space="preserve"> </w:t>
      </w:r>
      <w:r>
        <w:t>the</w:t>
      </w:r>
      <w:r>
        <w:rPr>
          <w:spacing w:val="-6"/>
        </w:rPr>
        <w:t xml:space="preserve"> </w:t>
      </w:r>
      <w:r>
        <w:t>student</w:t>
      </w:r>
      <w:r>
        <w:rPr>
          <w:spacing w:val="-6"/>
        </w:rPr>
        <w:t xml:space="preserve"> </w:t>
      </w:r>
      <w:r>
        <w:t>population</w:t>
      </w:r>
      <w:r>
        <w:rPr>
          <w:spacing w:val="-6"/>
        </w:rPr>
        <w:t xml:space="preserve"> </w:t>
      </w:r>
      <w:r>
        <w:t>in</w:t>
      </w:r>
      <w:r>
        <w:rPr>
          <w:spacing w:val="-6"/>
        </w:rPr>
        <w:t xml:space="preserve"> </w:t>
      </w:r>
      <w:r>
        <w:t>the</w:t>
      </w:r>
      <w:r>
        <w:rPr>
          <w:spacing w:val="-6"/>
        </w:rPr>
        <w:t xml:space="preserve"> </w:t>
      </w:r>
      <w:r>
        <w:t>domain</w:t>
      </w:r>
      <w:r>
        <w:rPr>
          <w:spacing w:val="-6"/>
        </w:rPr>
        <w:t xml:space="preserve"> </w:t>
      </w:r>
      <w:r>
        <w:t>that</w:t>
      </w:r>
      <w:r>
        <w:rPr>
          <w:spacing w:val="-6"/>
        </w:rPr>
        <w:t xml:space="preserve"> </w:t>
      </w:r>
      <w:r>
        <w:t>is</w:t>
      </w:r>
      <w:r>
        <w:rPr>
          <w:spacing w:val="-6"/>
        </w:rPr>
        <w:t xml:space="preserve"> </w:t>
      </w:r>
      <w:r>
        <w:t>represented</w:t>
      </w:r>
      <w:r>
        <w:rPr>
          <w:spacing w:val="-6"/>
        </w:rPr>
        <w:t xml:space="preserve"> </w:t>
      </w:r>
      <w:r>
        <w:t>by</w:t>
      </w:r>
      <w:r>
        <w:rPr>
          <w:spacing w:val="-6"/>
        </w:rPr>
        <w:t xml:space="preserve"> </w:t>
      </w:r>
      <w:r>
        <w:t>the</w:t>
      </w:r>
      <w:r>
        <w:rPr>
          <w:spacing w:val="-6"/>
        </w:rPr>
        <w:t xml:space="preserve"> </w:t>
      </w:r>
      <w:r>
        <w:t>responding</w:t>
      </w:r>
      <w:r>
        <w:rPr>
          <w:spacing w:val="-6"/>
        </w:rPr>
        <w:t xml:space="preserve"> </w:t>
      </w:r>
      <w:r>
        <w:t>schools</w:t>
      </w:r>
      <w:r>
        <w:rPr>
          <w:spacing w:val="-6"/>
        </w:rPr>
        <w:t xml:space="preserve"> </w:t>
      </w:r>
      <w:r>
        <w:t>in</w:t>
      </w:r>
      <w:r>
        <w:rPr>
          <w:spacing w:val="-6"/>
        </w:rPr>
        <w:t xml:space="preserve"> </w:t>
      </w:r>
      <w:r>
        <w:t>the</w:t>
      </w:r>
      <w:r>
        <w:rPr>
          <w:spacing w:val="-6"/>
        </w:rPr>
        <w:t xml:space="preserve"> </w:t>
      </w:r>
      <w:r>
        <w:t>sample.</w:t>
      </w:r>
      <w:r>
        <w:rPr>
          <w:spacing w:val="-10"/>
        </w:rPr>
        <w:t xml:space="preserve"> </w:t>
      </w:r>
      <w:r>
        <w:t>The</w:t>
      </w:r>
      <w:r>
        <w:rPr>
          <w:spacing w:val="-6"/>
        </w:rPr>
        <w:t xml:space="preserve"> </w:t>
      </w:r>
      <w:r>
        <w:t>rates</w:t>
      </w:r>
      <w:r>
        <w:rPr>
          <w:spacing w:val="-6"/>
        </w:rPr>
        <w:t xml:space="preserve"> </w:t>
      </w:r>
      <w:r>
        <w:t>weighted by just the base weight show the proportion of the school population that is represented by the responding schools in the sample.</w:t>
      </w:r>
      <w:r>
        <w:rPr>
          <w:spacing w:val="-3"/>
        </w:rPr>
        <w:t xml:space="preserve"> </w:t>
      </w:r>
      <w:r>
        <w:t xml:space="preserve">These rates differ because schools differ in </w:t>
      </w:r>
      <w:r>
        <w:rPr>
          <w:spacing w:val="-2"/>
        </w:rPr>
        <w:t>size.</w:t>
      </w:r>
    </w:p>
    <w:p w:rsidR="003F5784" w14:paraId="3887E8A2" w14:textId="77777777">
      <w:pPr>
        <w:spacing w:line="232" w:lineRule="auto"/>
        <w:sectPr>
          <w:pgSz w:w="15840" w:h="12240" w:orient="landscape"/>
          <w:pgMar w:top="480" w:right="440" w:bottom="460" w:left="460" w:header="284" w:footer="275" w:gutter="0"/>
          <w:cols w:space="720"/>
        </w:sectPr>
      </w:pPr>
    </w:p>
    <w:p w:rsidR="003F5784" w14:paraId="50F45E80" w14:textId="77777777">
      <w:pPr>
        <w:pStyle w:val="Heading2"/>
        <w:spacing w:before="203"/>
      </w:pPr>
      <w:r>
        <w:t>Participation,</w:t>
      </w:r>
      <w:r>
        <w:rPr>
          <w:spacing w:val="-9"/>
        </w:rPr>
        <w:t xml:space="preserve"> </w:t>
      </w:r>
      <w:r>
        <w:t>exclusion,</w:t>
      </w:r>
      <w:r>
        <w:rPr>
          <w:spacing w:val="-8"/>
        </w:rPr>
        <w:t xml:space="preserve"> </w:t>
      </w:r>
      <w:r>
        <w:t>and</w:t>
      </w:r>
      <w:r>
        <w:rPr>
          <w:spacing w:val="-8"/>
        </w:rPr>
        <w:t xml:space="preserve"> </w:t>
      </w:r>
      <w:r>
        <w:t>accommodation</w:t>
      </w:r>
      <w:r>
        <w:rPr>
          <w:spacing w:val="-8"/>
        </w:rPr>
        <w:t xml:space="preserve"> </w:t>
      </w:r>
      <w:r>
        <w:t>rates,</w:t>
      </w:r>
      <w:r>
        <w:rPr>
          <w:spacing w:val="-9"/>
        </w:rPr>
        <w:t xml:space="preserve"> </w:t>
      </w:r>
      <w:r>
        <w:t>age</w:t>
      </w:r>
      <w:r>
        <w:rPr>
          <w:spacing w:val="-8"/>
        </w:rPr>
        <w:t xml:space="preserve"> </w:t>
      </w:r>
      <w:r>
        <w:t>9</w:t>
      </w:r>
      <w:r>
        <w:rPr>
          <w:spacing w:val="-8"/>
        </w:rPr>
        <w:t xml:space="preserve"> </w:t>
      </w:r>
      <w:r>
        <w:t>long-term</w:t>
      </w:r>
      <w:r>
        <w:rPr>
          <w:spacing w:val="-8"/>
        </w:rPr>
        <w:t xml:space="preserve"> </w:t>
      </w:r>
      <w:r>
        <w:t>trend</w:t>
      </w:r>
      <w:r>
        <w:rPr>
          <w:spacing w:val="-8"/>
        </w:rPr>
        <w:t xml:space="preserve"> </w:t>
      </w:r>
      <w:r>
        <w:t>mathematics</w:t>
      </w:r>
      <w:r>
        <w:rPr>
          <w:spacing w:val="-9"/>
        </w:rPr>
        <w:t xml:space="preserve"> </w:t>
      </w:r>
      <w:r>
        <w:t>assessment,</w:t>
      </w:r>
      <w:r>
        <w:rPr>
          <w:spacing w:val="-8"/>
        </w:rPr>
        <w:t xml:space="preserve"> </w:t>
      </w:r>
      <w:r>
        <w:t>by</w:t>
      </w:r>
      <w:r>
        <w:rPr>
          <w:spacing w:val="-8"/>
        </w:rPr>
        <w:t xml:space="preserve"> </w:t>
      </w:r>
      <w:r>
        <w:t>school</w:t>
      </w:r>
      <w:r>
        <w:rPr>
          <w:spacing w:val="-8"/>
        </w:rPr>
        <w:t xml:space="preserve"> </w:t>
      </w:r>
      <w:r>
        <w:t>type</w:t>
      </w:r>
      <w:r>
        <w:rPr>
          <w:spacing w:val="-9"/>
        </w:rPr>
        <w:t xml:space="preserve"> </w:t>
      </w:r>
      <w:r>
        <w:t>and</w:t>
      </w:r>
      <w:r>
        <w:rPr>
          <w:spacing w:val="-8"/>
        </w:rPr>
        <w:t xml:space="preserve"> </w:t>
      </w:r>
      <w:r>
        <w:t>geographic</w:t>
      </w:r>
      <w:r>
        <w:rPr>
          <w:spacing w:val="-8"/>
        </w:rPr>
        <w:t xml:space="preserve"> </w:t>
      </w:r>
      <w:r>
        <w:t>region:</w:t>
      </w:r>
      <w:r>
        <w:rPr>
          <w:spacing w:val="-8"/>
        </w:rPr>
        <w:t xml:space="preserve"> </w:t>
      </w:r>
      <w:r>
        <w:rPr>
          <w:spacing w:val="-4"/>
        </w:rPr>
        <w:t>2022</w:t>
      </w:r>
    </w:p>
    <w:p w:rsidR="003F5784" w14:paraId="49DA3190"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3181"/>
        <w:gridCol w:w="1188"/>
        <w:gridCol w:w="1979"/>
        <w:gridCol w:w="1834"/>
        <w:gridCol w:w="1264"/>
        <w:gridCol w:w="1274"/>
        <w:gridCol w:w="1559"/>
        <w:gridCol w:w="1712"/>
      </w:tblGrid>
      <w:tr w14:paraId="29372ED1" w14:textId="77777777">
        <w:tblPrEx>
          <w:tblW w:w="0" w:type="auto"/>
          <w:tblInd w:w="482" w:type="dxa"/>
          <w:tblLayout w:type="fixed"/>
          <w:tblCellMar>
            <w:left w:w="0" w:type="dxa"/>
            <w:right w:w="0" w:type="dxa"/>
          </w:tblCellMar>
          <w:tblLook w:val="01E0"/>
        </w:tblPrEx>
        <w:trPr>
          <w:trHeight w:val="1440"/>
        </w:trPr>
        <w:tc>
          <w:tcPr>
            <w:tcW w:w="3181" w:type="dxa"/>
            <w:tcBorders>
              <w:top w:val="single" w:sz="18" w:space="0" w:color="800000"/>
              <w:bottom w:val="single" w:sz="18" w:space="0" w:color="800000"/>
            </w:tcBorders>
          </w:tcPr>
          <w:p w:rsidR="003F5784" w14:paraId="52AC2BB7" w14:textId="77777777">
            <w:pPr>
              <w:pStyle w:val="TableParagraph"/>
              <w:spacing w:before="0"/>
              <w:jc w:val="left"/>
              <w:rPr>
                <w:b/>
                <w:sz w:val="21"/>
              </w:rPr>
            </w:pPr>
          </w:p>
          <w:p w:rsidR="003F5784" w14:paraId="3215F37B" w14:textId="77777777">
            <w:pPr>
              <w:pStyle w:val="TableParagraph"/>
              <w:spacing w:before="0"/>
              <w:jc w:val="left"/>
              <w:rPr>
                <w:b/>
                <w:sz w:val="21"/>
              </w:rPr>
            </w:pPr>
          </w:p>
          <w:p w:rsidR="003F5784" w14:paraId="0F2A9406" w14:textId="77777777">
            <w:pPr>
              <w:pStyle w:val="TableParagraph"/>
              <w:spacing w:before="0"/>
              <w:jc w:val="left"/>
              <w:rPr>
                <w:b/>
                <w:sz w:val="21"/>
              </w:rPr>
            </w:pPr>
          </w:p>
          <w:p w:rsidR="003F5784" w14:paraId="6F7D5197" w14:textId="77777777">
            <w:pPr>
              <w:pStyle w:val="TableParagraph"/>
              <w:spacing w:before="216"/>
              <w:jc w:val="left"/>
              <w:rPr>
                <w:b/>
                <w:sz w:val="21"/>
              </w:rPr>
            </w:pPr>
          </w:p>
          <w:p w:rsidR="003F5784" w14:paraId="35AFFC87" w14:textId="77777777">
            <w:pPr>
              <w:pStyle w:val="TableParagraph"/>
              <w:spacing w:before="0" w:line="238" w:lineRule="exact"/>
              <w:ind w:left="120"/>
              <w:jc w:val="left"/>
              <w:rPr>
                <w:sz w:val="21"/>
              </w:rPr>
            </w:pPr>
            <w:r>
              <w:rPr>
                <w:sz w:val="21"/>
              </w:rPr>
              <w:t>School</w:t>
            </w:r>
            <w:r>
              <w:rPr>
                <w:spacing w:val="-7"/>
                <w:sz w:val="21"/>
              </w:rPr>
              <w:t xml:space="preserve"> </w:t>
            </w:r>
            <w:r>
              <w:rPr>
                <w:sz w:val="21"/>
              </w:rPr>
              <w:t>type</w:t>
            </w:r>
            <w:r>
              <w:rPr>
                <w:spacing w:val="-6"/>
                <w:sz w:val="21"/>
              </w:rPr>
              <w:t xml:space="preserve"> </w:t>
            </w:r>
            <w:r>
              <w:rPr>
                <w:sz w:val="21"/>
              </w:rPr>
              <w:t>and</w:t>
            </w:r>
            <w:r>
              <w:rPr>
                <w:spacing w:val="-7"/>
                <w:sz w:val="21"/>
              </w:rPr>
              <w:t xml:space="preserve"> </w:t>
            </w:r>
            <w:r>
              <w:rPr>
                <w:sz w:val="21"/>
              </w:rPr>
              <w:t>geographic</w:t>
            </w:r>
            <w:r>
              <w:rPr>
                <w:spacing w:val="-6"/>
                <w:sz w:val="21"/>
              </w:rPr>
              <w:t xml:space="preserve"> </w:t>
            </w:r>
            <w:r>
              <w:rPr>
                <w:spacing w:val="-2"/>
                <w:sz w:val="21"/>
              </w:rPr>
              <w:t>region</w:t>
            </w:r>
          </w:p>
        </w:tc>
        <w:tc>
          <w:tcPr>
            <w:tcW w:w="1188" w:type="dxa"/>
            <w:tcBorders>
              <w:top w:val="single" w:sz="18" w:space="0" w:color="800000"/>
              <w:bottom w:val="single" w:sz="18" w:space="0" w:color="800000"/>
            </w:tcBorders>
          </w:tcPr>
          <w:p w:rsidR="003F5784" w14:paraId="3B778575" w14:textId="77777777">
            <w:pPr>
              <w:pStyle w:val="TableParagraph"/>
              <w:spacing w:before="9"/>
              <w:jc w:val="left"/>
              <w:rPr>
                <w:b/>
                <w:sz w:val="21"/>
              </w:rPr>
            </w:pPr>
          </w:p>
          <w:p w:rsidR="003F5784" w14:paraId="7347BF1B" w14:textId="77777777">
            <w:pPr>
              <w:pStyle w:val="TableParagraph"/>
              <w:spacing w:before="0" w:line="234" w:lineRule="exact"/>
              <w:ind w:left="221" w:right="124" w:hanging="70"/>
              <w:rPr>
                <w:sz w:val="21"/>
              </w:rPr>
            </w:pPr>
            <w:r>
              <w:rPr>
                <w:sz w:val="21"/>
              </w:rPr>
              <w:t>Number</w:t>
            </w:r>
            <w:r>
              <w:rPr>
                <w:spacing w:val="-14"/>
                <w:sz w:val="21"/>
              </w:rPr>
              <w:t xml:space="preserve"> </w:t>
            </w:r>
            <w:r>
              <w:rPr>
                <w:sz w:val="21"/>
              </w:rPr>
              <w:t>of schools</w:t>
            </w:r>
            <w:r>
              <w:rPr>
                <w:spacing w:val="-14"/>
                <w:sz w:val="21"/>
              </w:rPr>
              <w:t xml:space="preserve"> </w:t>
            </w:r>
            <w:r>
              <w:rPr>
                <w:sz w:val="21"/>
              </w:rPr>
              <w:t xml:space="preserve">in </w:t>
            </w:r>
            <w:r>
              <w:rPr>
                <w:spacing w:val="-2"/>
                <w:sz w:val="21"/>
              </w:rPr>
              <w:t>original sample, rounded</w:t>
            </w:r>
          </w:p>
        </w:tc>
        <w:tc>
          <w:tcPr>
            <w:tcW w:w="1979" w:type="dxa"/>
            <w:tcBorders>
              <w:top w:val="single" w:sz="18" w:space="0" w:color="800000"/>
              <w:bottom w:val="single" w:sz="18" w:space="0" w:color="800000"/>
            </w:tcBorders>
          </w:tcPr>
          <w:p w:rsidR="003F5784" w14:paraId="227B5457" w14:textId="77777777">
            <w:pPr>
              <w:pStyle w:val="TableParagraph"/>
              <w:spacing w:before="15" w:line="232" w:lineRule="auto"/>
              <w:ind w:left="251" w:right="167" w:hanging="128"/>
              <w:rPr>
                <w:sz w:val="21"/>
              </w:rPr>
            </w:pPr>
            <w:r>
              <w:rPr>
                <w:spacing w:val="-2"/>
                <w:sz w:val="21"/>
              </w:rPr>
              <w:t>School</w:t>
            </w:r>
            <w:r>
              <w:rPr>
                <w:spacing w:val="-11"/>
                <w:sz w:val="21"/>
              </w:rPr>
              <w:t xml:space="preserve"> </w:t>
            </w:r>
            <w:r>
              <w:rPr>
                <w:spacing w:val="-2"/>
                <w:sz w:val="21"/>
              </w:rPr>
              <w:t xml:space="preserve">participation </w:t>
            </w:r>
            <w:r>
              <w:rPr>
                <w:sz w:val="21"/>
              </w:rPr>
              <w:t xml:space="preserve">rates (percent) </w:t>
            </w:r>
            <w:r>
              <w:rPr>
                <w:spacing w:val="-2"/>
                <w:sz w:val="21"/>
              </w:rPr>
              <w:t>before</w:t>
            </w:r>
            <w:r>
              <w:rPr>
                <w:spacing w:val="-12"/>
                <w:sz w:val="21"/>
              </w:rPr>
              <w:t xml:space="preserve"> </w:t>
            </w:r>
            <w:r>
              <w:rPr>
                <w:spacing w:val="-2"/>
                <w:sz w:val="21"/>
              </w:rPr>
              <w:t xml:space="preserve">substitution </w:t>
            </w:r>
            <w:r>
              <w:rPr>
                <w:sz w:val="21"/>
              </w:rPr>
              <w:t>(weighted</w:t>
            </w:r>
            <w:r>
              <w:rPr>
                <w:spacing w:val="-7"/>
                <w:sz w:val="21"/>
              </w:rPr>
              <w:t xml:space="preserve"> </w:t>
            </w:r>
            <w:r>
              <w:rPr>
                <w:sz w:val="21"/>
              </w:rPr>
              <w:t>by</w:t>
            </w:r>
            <w:r>
              <w:rPr>
                <w:spacing w:val="-6"/>
                <w:sz w:val="21"/>
              </w:rPr>
              <w:t xml:space="preserve"> </w:t>
            </w:r>
            <w:r>
              <w:rPr>
                <w:spacing w:val="-4"/>
                <w:sz w:val="21"/>
              </w:rPr>
              <w:t>base</w:t>
            </w:r>
          </w:p>
          <w:p w:rsidR="003F5784" w14:paraId="705F45E0" w14:textId="77777777">
            <w:pPr>
              <w:pStyle w:val="TableParagraph"/>
              <w:spacing w:before="0" w:line="234" w:lineRule="exact"/>
              <w:ind w:left="836" w:right="167" w:firstLine="51"/>
              <w:rPr>
                <w:sz w:val="21"/>
              </w:rPr>
            </w:pPr>
            <w:r>
              <w:rPr>
                <w:sz w:val="21"/>
              </w:rPr>
              <w:t>weight</w:t>
            </w:r>
            <w:r>
              <w:rPr>
                <w:spacing w:val="-14"/>
                <w:sz w:val="21"/>
              </w:rPr>
              <w:t xml:space="preserve"> </w:t>
            </w:r>
            <w:r>
              <w:rPr>
                <w:sz w:val="21"/>
              </w:rPr>
              <w:t xml:space="preserve">and </w:t>
            </w:r>
            <w:r>
              <w:rPr>
                <w:spacing w:val="-2"/>
                <w:sz w:val="21"/>
              </w:rPr>
              <w:t>enrollment)</w:t>
            </w:r>
          </w:p>
        </w:tc>
        <w:tc>
          <w:tcPr>
            <w:tcW w:w="1834" w:type="dxa"/>
            <w:tcBorders>
              <w:top w:val="single" w:sz="18" w:space="0" w:color="800000"/>
              <w:bottom w:val="single" w:sz="18" w:space="0" w:color="800000"/>
            </w:tcBorders>
          </w:tcPr>
          <w:p w:rsidR="003F5784" w14:paraId="12088C07" w14:textId="77777777">
            <w:pPr>
              <w:pStyle w:val="TableParagraph"/>
              <w:spacing w:before="15" w:line="232" w:lineRule="auto"/>
              <w:ind w:left="167" w:right="147" w:firstLine="937"/>
              <w:rPr>
                <w:sz w:val="21"/>
              </w:rPr>
            </w:pPr>
            <w:r>
              <w:rPr>
                <w:spacing w:val="-2"/>
                <w:sz w:val="21"/>
              </w:rPr>
              <w:t xml:space="preserve">School </w:t>
            </w:r>
            <w:r>
              <w:rPr>
                <w:sz w:val="21"/>
              </w:rPr>
              <w:t>participation</w:t>
            </w:r>
            <w:r>
              <w:rPr>
                <w:spacing w:val="-14"/>
                <w:sz w:val="21"/>
              </w:rPr>
              <w:t xml:space="preserve"> </w:t>
            </w:r>
            <w:r>
              <w:rPr>
                <w:sz w:val="21"/>
              </w:rPr>
              <w:t xml:space="preserve">rates (percent) before </w:t>
            </w:r>
            <w:r>
              <w:rPr>
                <w:spacing w:val="-2"/>
                <w:sz w:val="21"/>
              </w:rPr>
              <w:t xml:space="preserve">substitution </w:t>
            </w:r>
            <w:r>
              <w:rPr>
                <w:sz w:val="21"/>
              </w:rPr>
              <w:t>(weighted</w:t>
            </w:r>
            <w:r>
              <w:rPr>
                <w:spacing w:val="-7"/>
                <w:sz w:val="21"/>
              </w:rPr>
              <w:t xml:space="preserve"> </w:t>
            </w:r>
            <w:r>
              <w:rPr>
                <w:sz w:val="21"/>
              </w:rPr>
              <w:t>by</w:t>
            </w:r>
            <w:r>
              <w:rPr>
                <w:spacing w:val="-6"/>
                <w:sz w:val="21"/>
              </w:rPr>
              <w:t xml:space="preserve"> </w:t>
            </w:r>
            <w:r>
              <w:rPr>
                <w:spacing w:val="-4"/>
                <w:sz w:val="21"/>
              </w:rPr>
              <w:t>base</w:t>
            </w:r>
          </w:p>
          <w:p w:rsidR="003F5784" w14:paraId="6CF0A083" w14:textId="77777777">
            <w:pPr>
              <w:pStyle w:val="TableParagraph"/>
              <w:spacing w:before="0" w:line="234" w:lineRule="exact"/>
              <w:ind w:left="-26" w:right="147"/>
              <w:rPr>
                <w:sz w:val="21"/>
              </w:rPr>
            </w:pPr>
            <w:r>
              <w:rPr>
                <w:sz w:val="21"/>
              </w:rPr>
              <w:t>weight</w:t>
            </w:r>
            <w:r>
              <w:rPr>
                <w:spacing w:val="-7"/>
                <w:sz w:val="21"/>
              </w:rPr>
              <w:t xml:space="preserve"> </w:t>
            </w:r>
            <w:r>
              <w:rPr>
                <w:spacing w:val="-2"/>
                <w:sz w:val="21"/>
              </w:rPr>
              <w:t>only)</w:t>
            </w:r>
          </w:p>
        </w:tc>
        <w:tc>
          <w:tcPr>
            <w:tcW w:w="1264" w:type="dxa"/>
            <w:tcBorders>
              <w:top w:val="single" w:sz="18" w:space="0" w:color="800000"/>
              <w:bottom w:val="single" w:sz="18" w:space="0" w:color="800000"/>
            </w:tcBorders>
          </w:tcPr>
          <w:p w:rsidR="003F5784" w14:paraId="664AB5BA" w14:textId="77777777">
            <w:pPr>
              <w:pStyle w:val="TableParagraph"/>
              <w:spacing w:before="0"/>
              <w:jc w:val="left"/>
              <w:rPr>
                <w:b/>
                <w:sz w:val="21"/>
              </w:rPr>
            </w:pPr>
          </w:p>
          <w:p w:rsidR="003F5784" w14:paraId="5B2A8F63" w14:textId="77777777">
            <w:pPr>
              <w:pStyle w:val="TableParagraph"/>
              <w:spacing w:before="1"/>
              <w:jc w:val="left"/>
              <w:rPr>
                <w:b/>
                <w:sz w:val="21"/>
              </w:rPr>
            </w:pPr>
          </w:p>
          <w:p w:rsidR="003F5784" w14:paraId="0ACBBB9C" w14:textId="77777777">
            <w:pPr>
              <w:pStyle w:val="TableParagraph"/>
              <w:spacing w:before="0" w:line="234" w:lineRule="exact"/>
              <w:ind w:left="307" w:right="207" w:hanging="163"/>
              <w:jc w:val="both"/>
              <w:rPr>
                <w:sz w:val="21"/>
              </w:rPr>
            </w:pPr>
            <w:r>
              <w:rPr>
                <w:sz w:val="21"/>
              </w:rPr>
              <w:t>Number</w:t>
            </w:r>
            <w:r>
              <w:rPr>
                <w:spacing w:val="-14"/>
                <w:sz w:val="21"/>
              </w:rPr>
              <w:t xml:space="preserve"> </w:t>
            </w:r>
            <w:r>
              <w:rPr>
                <w:sz w:val="21"/>
              </w:rPr>
              <w:t xml:space="preserve">of </w:t>
            </w:r>
            <w:r>
              <w:rPr>
                <w:spacing w:val="-2"/>
                <w:sz w:val="21"/>
              </w:rPr>
              <w:t>students sampled, rounded</w:t>
            </w:r>
          </w:p>
        </w:tc>
        <w:tc>
          <w:tcPr>
            <w:tcW w:w="1274" w:type="dxa"/>
            <w:tcBorders>
              <w:top w:val="single" w:sz="18" w:space="0" w:color="800000"/>
              <w:bottom w:val="single" w:sz="18" w:space="0" w:color="800000"/>
            </w:tcBorders>
          </w:tcPr>
          <w:p w:rsidR="003F5784" w14:paraId="44E8FFB3" w14:textId="77777777">
            <w:pPr>
              <w:pStyle w:val="TableParagraph"/>
              <w:spacing w:before="0"/>
              <w:jc w:val="left"/>
              <w:rPr>
                <w:b/>
                <w:sz w:val="21"/>
              </w:rPr>
            </w:pPr>
          </w:p>
          <w:p w:rsidR="003F5784" w14:paraId="39A6606D" w14:textId="77777777">
            <w:pPr>
              <w:pStyle w:val="TableParagraph"/>
              <w:spacing w:before="1"/>
              <w:jc w:val="left"/>
              <w:rPr>
                <w:b/>
                <w:sz w:val="21"/>
              </w:rPr>
            </w:pPr>
          </w:p>
          <w:p w:rsidR="003F5784" w14:paraId="3ECE0CBD" w14:textId="77777777">
            <w:pPr>
              <w:pStyle w:val="TableParagraph"/>
              <w:spacing w:before="0" w:line="234" w:lineRule="exact"/>
              <w:ind w:left="202" w:right="229" w:firstLine="45"/>
              <w:rPr>
                <w:sz w:val="21"/>
              </w:rPr>
            </w:pPr>
            <w:r>
              <w:rPr>
                <w:spacing w:val="-4"/>
                <w:sz w:val="21"/>
              </w:rPr>
              <w:t xml:space="preserve">Weighted </w:t>
            </w:r>
            <w:r>
              <w:rPr>
                <w:sz w:val="21"/>
              </w:rPr>
              <w:t>percent</w:t>
            </w:r>
            <w:r>
              <w:rPr>
                <w:spacing w:val="-14"/>
                <w:sz w:val="21"/>
              </w:rPr>
              <w:t xml:space="preserve"> </w:t>
            </w:r>
            <w:r>
              <w:rPr>
                <w:sz w:val="21"/>
              </w:rPr>
              <w:t xml:space="preserve">of </w:t>
            </w:r>
            <w:r>
              <w:rPr>
                <w:spacing w:val="-2"/>
                <w:sz w:val="21"/>
              </w:rPr>
              <w:t>students excluded</w:t>
            </w:r>
          </w:p>
        </w:tc>
        <w:tc>
          <w:tcPr>
            <w:tcW w:w="1559" w:type="dxa"/>
            <w:tcBorders>
              <w:top w:val="single" w:sz="18" w:space="0" w:color="800000"/>
              <w:bottom w:val="single" w:sz="18" w:space="0" w:color="800000"/>
            </w:tcBorders>
          </w:tcPr>
          <w:p w:rsidR="003F5784" w14:paraId="01CB9205" w14:textId="77777777">
            <w:pPr>
              <w:pStyle w:val="TableParagraph"/>
              <w:spacing w:before="9"/>
              <w:jc w:val="left"/>
              <w:rPr>
                <w:b/>
                <w:sz w:val="21"/>
              </w:rPr>
            </w:pPr>
          </w:p>
          <w:p w:rsidR="003F5784" w14:paraId="79AD77BF" w14:textId="77777777">
            <w:pPr>
              <w:pStyle w:val="TableParagraph"/>
              <w:spacing w:before="0" w:line="234" w:lineRule="exact"/>
              <w:ind w:left="222" w:right="135" w:firstLine="404"/>
              <w:rPr>
                <w:sz w:val="21"/>
              </w:rPr>
            </w:pPr>
            <w:r>
              <w:rPr>
                <w:spacing w:val="-4"/>
                <w:sz w:val="21"/>
              </w:rPr>
              <w:t xml:space="preserve">Weighted </w:t>
            </w:r>
            <w:r>
              <w:rPr>
                <w:spacing w:val="-2"/>
                <w:sz w:val="21"/>
              </w:rPr>
              <w:t>student participation rates</w:t>
            </w:r>
            <w:r>
              <w:rPr>
                <w:spacing w:val="-12"/>
                <w:sz w:val="21"/>
              </w:rPr>
              <w:t xml:space="preserve"> </w:t>
            </w:r>
            <w:r>
              <w:rPr>
                <w:spacing w:val="-2"/>
                <w:sz w:val="21"/>
              </w:rPr>
              <w:t xml:space="preserve">(percent) </w:t>
            </w:r>
            <w:r>
              <w:rPr>
                <w:sz w:val="21"/>
              </w:rPr>
              <w:t>after</w:t>
            </w:r>
            <w:r>
              <w:rPr>
                <w:spacing w:val="-5"/>
                <w:sz w:val="21"/>
              </w:rPr>
              <w:t xml:space="preserve"> </w:t>
            </w:r>
            <w:r>
              <w:rPr>
                <w:spacing w:val="-2"/>
                <w:sz w:val="21"/>
              </w:rPr>
              <w:t>makeups</w:t>
            </w:r>
          </w:p>
        </w:tc>
        <w:tc>
          <w:tcPr>
            <w:tcW w:w="1712" w:type="dxa"/>
            <w:tcBorders>
              <w:top w:val="single" w:sz="18" w:space="0" w:color="800000"/>
              <w:bottom w:val="single" w:sz="18" w:space="0" w:color="800000"/>
            </w:tcBorders>
          </w:tcPr>
          <w:p w:rsidR="003F5784" w14:paraId="0ED7C17E" w14:textId="77777777">
            <w:pPr>
              <w:pStyle w:val="TableParagraph"/>
              <w:spacing w:before="0"/>
              <w:jc w:val="left"/>
              <w:rPr>
                <w:b/>
                <w:sz w:val="21"/>
              </w:rPr>
            </w:pPr>
          </w:p>
          <w:p w:rsidR="003F5784" w14:paraId="0626C6EF" w14:textId="77777777">
            <w:pPr>
              <w:pStyle w:val="TableParagraph"/>
              <w:spacing w:before="230"/>
              <w:jc w:val="left"/>
              <w:rPr>
                <w:b/>
                <w:sz w:val="21"/>
              </w:rPr>
            </w:pPr>
          </w:p>
          <w:p w:rsidR="003F5784" w14:paraId="18AA6F3B" w14:textId="77777777">
            <w:pPr>
              <w:pStyle w:val="TableParagraph"/>
              <w:spacing w:before="0" w:line="238" w:lineRule="exact"/>
              <w:ind w:right="124"/>
              <w:rPr>
                <w:sz w:val="21"/>
              </w:rPr>
            </w:pPr>
            <w:r>
              <w:rPr>
                <w:spacing w:val="-2"/>
                <w:sz w:val="21"/>
              </w:rPr>
              <w:t>Weighted</w:t>
            </w:r>
            <w:r>
              <w:rPr>
                <w:spacing w:val="-11"/>
                <w:sz w:val="21"/>
              </w:rPr>
              <w:t xml:space="preserve"> </w:t>
            </w:r>
            <w:r>
              <w:rPr>
                <w:spacing w:val="-2"/>
                <w:sz w:val="21"/>
              </w:rPr>
              <w:t>percent</w:t>
            </w:r>
          </w:p>
          <w:p w:rsidR="003F5784" w14:paraId="5D79EAF2" w14:textId="77777777">
            <w:pPr>
              <w:pStyle w:val="TableParagraph"/>
              <w:spacing w:before="1" w:line="234" w:lineRule="exact"/>
              <w:ind w:left="323" w:right="124" w:firstLine="352"/>
              <w:rPr>
                <w:sz w:val="21"/>
              </w:rPr>
            </w:pPr>
            <w:r>
              <w:rPr>
                <w:sz w:val="21"/>
              </w:rPr>
              <w:t>of</w:t>
            </w:r>
            <w:r>
              <w:rPr>
                <w:spacing w:val="-14"/>
                <w:sz w:val="21"/>
              </w:rPr>
              <w:t xml:space="preserve"> </w:t>
            </w:r>
            <w:r>
              <w:rPr>
                <w:sz w:val="21"/>
              </w:rPr>
              <w:t xml:space="preserve">students </w:t>
            </w:r>
            <w:r>
              <w:rPr>
                <w:spacing w:val="-2"/>
                <w:sz w:val="21"/>
              </w:rPr>
              <w:t>accommodated</w:t>
            </w:r>
          </w:p>
        </w:tc>
      </w:tr>
      <w:tr w14:paraId="0E2EA66C" w14:textId="77777777">
        <w:tblPrEx>
          <w:tblW w:w="0" w:type="auto"/>
          <w:tblInd w:w="482" w:type="dxa"/>
          <w:tblLayout w:type="fixed"/>
          <w:tblCellMar>
            <w:left w:w="0" w:type="dxa"/>
            <w:right w:w="0" w:type="dxa"/>
          </w:tblCellMar>
          <w:tblLook w:val="01E0"/>
        </w:tblPrEx>
        <w:trPr>
          <w:trHeight w:val="332"/>
        </w:trPr>
        <w:tc>
          <w:tcPr>
            <w:tcW w:w="3181" w:type="dxa"/>
            <w:tcBorders>
              <w:top w:val="single" w:sz="18" w:space="0" w:color="800000"/>
            </w:tcBorders>
          </w:tcPr>
          <w:p w:rsidR="003F5784" w14:paraId="450BC6CA" w14:textId="77777777">
            <w:pPr>
              <w:pStyle w:val="TableParagraph"/>
              <w:spacing w:before="23"/>
              <w:ind w:left="526"/>
              <w:jc w:val="left"/>
              <w:rPr>
                <w:b/>
                <w:sz w:val="17"/>
              </w:rPr>
            </w:pPr>
            <w:r>
              <w:rPr>
                <w:b/>
                <w:sz w:val="21"/>
              </w:rPr>
              <w:t>National</w:t>
            </w:r>
            <w:r>
              <w:rPr>
                <w:b/>
                <w:spacing w:val="-9"/>
                <w:sz w:val="21"/>
              </w:rPr>
              <w:t xml:space="preserve"> </w:t>
            </w:r>
            <w:r>
              <w:rPr>
                <w:b/>
                <w:spacing w:val="-4"/>
                <w:sz w:val="21"/>
              </w:rPr>
              <w:t>all</w:t>
            </w:r>
            <w:r>
              <w:rPr>
                <w:b/>
                <w:spacing w:val="-4"/>
                <w:position w:val="8"/>
                <w:sz w:val="17"/>
              </w:rPr>
              <w:t>1</w:t>
            </w:r>
          </w:p>
        </w:tc>
        <w:tc>
          <w:tcPr>
            <w:tcW w:w="1188" w:type="dxa"/>
            <w:tcBorders>
              <w:top w:val="single" w:sz="18" w:space="0" w:color="800000"/>
            </w:tcBorders>
          </w:tcPr>
          <w:p w:rsidR="003F5784" w14:paraId="6FD61C6E" w14:textId="77777777">
            <w:pPr>
              <w:pStyle w:val="TableParagraph"/>
              <w:spacing w:before="9"/>
              <w:ind w:right="124"/>
              <w:rPr>
                <w:b/>
                <w:sz w:val="21"/>
              </w:rPr>
            </w:pPr>
            <w:r>
              <w:rPr>
                <w:b/>
                <w:spacing w:val="-5"/>
                <w:sz w:val="21"/>
              </w:rPr>
              <w:t>580</w:t>
            </w:r>
          </w:p>
        </w:tc>
        <w:tc>
          <w:tcPr>
            <w:tcW w:w="1979" w:type="dxa"/>
            <w:tcBorders>
              <w:top w:val="single" w:sz="18" w:space="0" w:color="800000"/>
            </w:tcBorders>
          </w:tcPr>
          <w:p w:rsidR="003F5784" w14:paraId="040D9B21" w14:textId="77777777">
            <w:pPr>
              <w:pStyle w:val="TableParagraph"/>
              <w:spacing w:before="9"/>
              <w:ind w:right="167"/>
              <w:rPr>
                <w:b/>
                <w:sz w:val="21"/>
              </w:rPr>
            </w:pPr>
            <w:r>
              <w:rPr>
                <w:b/>
                <w:spacing w:val="-2"/>
                <w:sz w:val="21"/>
              </w:rPr>
              <w:t>85.93</w:t>
            </w:r>
          </w:p>
        </w:tc>
        <w:tc>
          <w:tcPr>
            <w:tcW w:w="1834" w:type="dxa"/>
            <w:tcBorders>
              <w:top w:val="single" w:sz="18" w:space="0" w:color="800000"/>
            </w:tcBorders>
          </w:tcPr>
          <w:p w:rsidR="003F5784" w14:paraId="1904FB83" w14:textId="77777777">
            <w:pPr>
              <w:pStyle w:val="TableParagraph"/>
              <w:spacing w:before="9"/>
              <w:ind w:left="-26" w:right="147"/>
              <w:rPr>
                <w:b/>
                <w:sz w:val="21"/>
              </w:rPr>
            </w:pPr>
            <w:r>
              <w:rPr>
                <w:b/>
                <w:spacing w:val="-2"/>
                <w:sz w:val="21"/>
              </w:rPr>
              <w:t>72.56</w:t>
            </w:r>
          </w:p>
        </w:tc>
        <w:tc>
          <w:tcPr>
            <w:tcW w:w="1264" w:type="dxa"/>
            <w:tcBorders>
              <w:top w:val="single" w:sz="18" w:space="0" w:color="800000"/>
            </w:tcBorders>
          </w:tcPr>
          <w:p w:rsidR="003F5784" w14:paraId="6F317EBE" w14:textId="77777777">
            <w:pPr>
              <w:pStyle w:val="TableParagraph"/>
              <w:spacing w:before="9"/>
              <w:ind w:right="207"/>
              <w:rPr>
                <w:b/>
                <w:sz w:val="21"/>
              </w:rPr>
            </w:pPr>
            <w:r>
              <w:rPr>
                <w:b/>
                <w:spacing w:val="-2"/>
                <w:sz w:val="21"/>
              </w:rPr>
              <w:t>9,200</w:t>
            </w:r>
          </w:p>
        </w:tc>
        <w:tc>
          <w:tcPr>
            <w:tcW w:w="1274" w:type="dxa"/>
            <w:tcBorders>
              <w:top w:val="single" w:sz="18" w:space="0" w:color="800000"/>
            </w:tcBorders>
          </w:tcPr>
          <w:p w:rsidR="003F5784" w14:paraId="58D83B07" w14:textId="77777777">
            <w:pPr>
              <w:pStyle w:val="TableParagraph"/>
              <w:spacing w:before="9"/>
              <w:ind w:right="229"/>
              <w:rPr>
                <w:b/>
                <w:sz w:val="21"/>
              </w:rPr>
            </w:pPr>
            <w:r>
              <w:rPr>
                <w:b/>
                <w:spacing w:val="-4"/>
                <w:sz w:val="21"/>
              </w:rPr>
              <w:t>1.87</w:t>
            </w:r>
          </w:p>
        </w:tc>
        <w:tc>
          <w:tcPr>
            <w:tcW w:w="1559" w:type="dxa"/>
            <w:tcBorders>
              <w:top w:val="single" w:sz="18" w:space="0" w:color="800000"/>
            </w:tcBorders>
          </w:tcPr>
          <w:p w:rsidR="003F5784" w14:paraId="7A5D6D0E" w14:textId="77777777">
            <w:pPr>
              <w:pStyle w:val="TableParagraph"/>
              <w:spacing w:before="9"/>
              <w:ind w:right="135"/>
              <w:rPr>
                <w:b/>
                <w:sz w:val="21"/>
              </w:rPr>
            </w:pPr>
            <w:r>
              <w:rPr>
                <w:b/>
                <w:spacing w:val="-2"/>
                <w:sz w:val="21"/>
              </w:rPr>
              <w:t>87.08</w:t>
            </w:r>
          </w:p>
        </w:tc>
        <w:tc>
          <w:tcPr>
            <w:tcW w:w="1712" w:type="dxa"/>
            <w:tcBorders>
              <w:top w:val="single" w:sz="18" w:space="0" w:color="800000"/>
            </w:tcBorders>
          </w:tcPr>
          <w:p w:rsidR="003F5784" w14:paraId="6D2DB967" w14:textId="77777777">
            <w:pPr>
              <w:pStyle w:val="TableParagraph"/>
              <w:spacing w:before="9"/>
              <w:ind w:right="124"/>
              <w:rPr>
                <w:b/>
                <w:sz w:val="21"/>
              </w:rPr>
            </w:pPr>
            <w:r>
              <w:rPr>
                <w:b/>
                <w:spacing w:val="-2"/>
                <w:sz w:val="21"/>
              </w:rPr>
              <w:t>14.95</w:t>
            </w:r>
          </w:p>
        </w:tc>
      </w:tr>
      <w:tr w14:paraId="32B03B06" w14:textId="77777777">
        <w:tblPrEx>
          <w:tblW w:w="0" w:type="auto"/>
          <w:tblInd w:w="482" w:type="dxa"/>
          <w:tblLayout w:type="fixed"/>
          <w:tblCellMar>
            <w:left w:w="0" w:type="dxa"/>
            <w:right w:w="0" w:type="dxa"/>
          </w:tblCellMar>
          <w:tblLook w:val="01E0"/>
        </w:tblPrEx>
        <w:trPr>
          <w:trHeight w:val="284"/>
        </w:trPr>
        <w:tc>
          <w:tcPr>
            <w:tcW w:w="3181" w:type="dxa"/>
          </w:tcPr>
          <w:p w:rsidR="003F5784" w14:paraId="2EB33668" w14:textId="77777777">
            <w:pPr>
              <w:pStyle w:val="TableParagraph"/>
              <w:spacing w:before="15"/>
              <w:ind w:left="120"/>
              <w:jc w:val="left"/>
              <w:rPr>
                <w:sz w:val="21"/>
              </w:rPr>
            </w:pPr>
            <w:r>
              <w:rPr>
                <w:sz w:val="21"/>
              </w:rPr>
              <w:t>Northeast</w:t>
            </w:r>
            <w:r>
              <w:rPr>
                <w:spacing w:val="-10"/>
                <w:sz w:val="21"/>
              </w:rPr>
              <w:t xml:space="preserve"> </w:t>
            </w:r>
            <w:r>
              <w:rPr>
                <w:spacing w:val="-5"/>
                <w:sz w:val="21"/>
              </w:rPr>
              <w:t>all</w:t>
            </w:r>
          </w:p>
        </w:tc>
        <w:tc>
          <w:tcPr>
            <w:tcW w:w="1188" w:type="dxa"/>
          </w:tcPr>
          <w:p w:rsidR="003F5784" w14:paraId="2C3AFDF6" w14:textId="77777777">
            <w:pPr>
              <w:pStyle w:val="TableParagraph"/>
              <w:spacing w:before="15"/>
              <w:ind w:right="124"/>
              <w:rPr>
                <w:sz w:val="21"/>
              </w:rPr>
            </w:pPr>
            <w:r>
              <w:rPr>
                <w:spacing w:val="-5"/>
                <w:sz w:val="21"/>
              </w:rPr>
              <w:t>90</w:t>
            </w:r>
          </w:p>
        </w:tc>
        <w:tc>
          <w:tcPr>
            <w:tcW w:w="1979" w:type="dxa"/>
          </w:tcPr>
          <w:p w:rsidR="003F5784" w14:paraId="6E2D9976" w14:textId="77777777">
            <w:pPr>
              <w:pStyle w:val="TableParagraph"/>
              <w:spacing w:before="15"/>
              <w:ind w:right="167"/>
              <w:rPr>
                <w:sz w:val="21"/>
              </w:rPr>
            </w:pPr>
            <w:r>
              <w:rPr>
                <w:spacing w:val="-2"/>
                <w:sz w:val="21"/>
              </w:rPr>
              <w:t>86.73</w:t>
            </w:r>
          </w:p>
        </w:tc>
        <w:tc>
          <w:tcPr>
            <w:tcW w:w="1834" w:type="dxa"/>
          </w:tcPr>
          <w:p w:rsidR="003F5784" w14:paraId="66652E90" w14:textId="77777777">
            <w:pPr>
              <w:pStyle w:val="TableParagraph"/>
              <w:spacing w:before="15"/>
              <w:ind w:left="-26" w:right="147"/>
              <w:rPr>
                <w:sz w:val="21"/>
              </w:rPr>
            </w:pPr>
            <w:r>
              <w:rPr>
                <w:spacing w:val="-2"/>
                <w:sz w:val="21"/>
              </w:rPr>
              <w:t>63.95</w:t>
            </w:r>
          </w:p>
        </w:tc>
        <w:tc>
          <w:tcPr>
            <w:tcW w:w="1264" w:type="dxa"/>
          </w:tcPr>
          <w:p w:rsidR="003F5784" w14:paraId="52B83D54" w14:textId="77777777">
            <w:pPr>
              <w:pStyle w:val="TableParagraph"/>
              <w:spacing w:before="15"/>
              <w:ind w:right="207"/>
              <w:rPr>
                <w:sz w:val="21"/>
              </w:rPr>
            </w:pPr>
            <w:r>
              <w:rPr>
                <w:spacing w:val="-2"/>
                <w:sz w:val="21"/>
              </w:rPr>
              <w:t>1,300</w:t>
            </w:r>
          </w:p>
        </w:tc>
        <w:tc>
          <w:tcPr>
            <w:tcW w:w="1274" w:type="dxa"/>
          </w:tcPr>
          <w:p w:rsidR="003F5784" w14:paraId="01159264" w14:textId="77777777">
            <w:pPr>
              <w:pStyle w:val="TableParagraph"/>
              <w:spacing w:before="15"/>
              <w:ind w:right="229"/>
              <w:rPr>
                <w:sz w:val="21"/>
              </w:rPr>
            </w:pPr>
            <w:r>
              <w:rPr>
                <w:spacing w:val="-4"/>
                <w:sz w:val="21"/>
              </w:rPr>
              <w:t>2.93</w:t>
            </w:r>
          </w:p>
        </w:tc>
        <w:tc>
          <w:tcPr>
            <w:tcW w:w="1559" w:type="dxa"/>
          </w:tcPr>
          <w:p w:rsidR="003F5784" w14:paraId="339DB5C2" w14:textId="77777777">
            <w:pPr>
              <w:pStyle w:val="TableParagraph"/>
              <w:spacing w:before="15"/>
              <w:ind w:right="135"/>
              <w:rPr>
                <w:sz w:val="21"/>
              </w:rPr>
            </w:pPr>
            <w:r>
              <w:rPr>
                <w:spacing w:val="-2"/>
                <w:sz w:val="21"/>
              </w:rPr>
              <w:t>83.10</w:t>
            </w:r>
          </w:p>
        </w:tc>
        <w:tc>
          <w:tcPr>
            <w:tcW w:w="1712" w:type="dxa"/>
          </w:tcPr>
          <w:p w:rsidR="003F5784" w14:paraId="4452AC7E" w14:textId="77777777">
            <w:pPr>
              <w:pStyle w:val="TableParagraph"/>
              <w:spacing w:before="15"/>
              <w:ind w:right="124"/>
              <w:rPr>
                <w:sz w:val="21"/>
              </w:rPr>
            </w:pPr>
            <w:r>
              <w:rPr>
                <w:spacing w:val="-2"/>
                <w:sz w:val="21"/>
              </w:rPr>
              <w:t>16.41</w:t>
            </w:r>
          </w:p>
        </w:tc>
      </w:tr>
      <w:tr w14:paraId="496CFEDE" w14:textId="77777777">
        <w:tblPrEx>
          <w:tblW w:w="0" w:type="auto"/>
          <w:tblInd w:w="482" w:type="dxa"/>
          <w:tblLayout w:type="fixed"/>
          <w:tblCellMar>
            <w:left w:w="0" w:type="dxa"/>
            <w:right w:w="0" w:type="dxa"/>
          </w:tblCellMar>
          <w:tblLook w:val="01E0"/>
        </w:tblPrEx>
        <w:trPr>
          <w:trHeight w:val="286"/>
        </w:trPr>
        <w:tc>
          <w:tcPr>
            <w:tcW w:w="3181" w:type="dxa"/>
          </w:tcPr>
          <w:p w:rsidR="003F5784" w14:paraId="2DD51DDD" w14:textId="77777777">
            <w:pPr>
              <w:pStyle w:val="TableParagraph"/>
              <w:ind w:left="120"/>
              <w:jc w:val="left"/>
              <w:rPr>
                <w:sz w:val="21"/>
              </w:rPr>
            </w:pPr>
            <w:r>
              <w:rPr>
                <w:sz w:val="21"/>
              </w:rPr>
              <w:t>Midwest</w:t>
            </w:r>
            <w:r>
              <w:rPr>
                <w:spacing w:val="-9"/>
                <w:sz w:val="21"/>
              </w:rPr>
              <w:t xml:space="preserve"> </w:t>
            </w:r>
            <w:r>
              <w:rPr>
                <w:spacing w:val="-5"/>
                <w:sz w:val="21"/>
              </w:rPr>
              <w:t>all</w:t>
            </w:r>
          </w:p>
        </w:tc>
        <w:tc>
          <w:tcPr>
            <w:tcW w:w="1188" w:type="dxa"/>
          </w:tcPr>
          <w:p w:rsidR="003F5784" w14:paraId="63E7621A" w14:textId="77777777">
            <w:pPr>
              <w:pStyle w:val="TableParagraph"/>
              <w:ind w:right="124"/>
              <w:rPr>
                <w:sz w:val="21"/>
              </w:rPr>
            </w:pPr>
            <w:r>
              <w:rPr>
                <w:spacing w:val="-5"/>
                <w:sz w:val="21"/>
              </w:rPr>
              <w:t>110</w:t>
            </w:r>
          </w:p>
        </w:tc>
        <w:tc>
          <w:tcPr>
            <w:tcW w:w="1979" w:type="dxa"/>
          </w:tcPr>
          <w:p w:rsidR="003F5784" w14:paraId="3EAB6FD7" w14:textId="77777777">
            <w:pPr>
              <w:pStyle w:val="TableParagraph"/>
              <w:ind w:right="167"/>
              <w:rPr>
                <w:sz w:val="21"/>
              </w:rPr>
            </w:pPr>
            <w:r>
              <w:rPr>
                <w:spacing w:val="-2"/>
                <w:sz w:val="21"/>
              </w:rPr>
              <w:t>74.94</w:t>
            </w:r>
          </w:p>
        </w:tc>
        <w:tc>
          <w:tcPr>
            <w:tcW w:w="1834" w:type="dxa"/>
          </w:tcPr>
          <w:p w:rsidR="003F5784" w14:paraId="51EE5043" w14:textId="77777777">
            <w:pPr>
              <w:pStyle w:val="TableParagraph"/>
              <w:ind w:left="-26" w:right="147"/>
              <w:rPr>
                <w:sz w:val="21"/>
              </w:rPr>
            </w:pPr>
            <w:r>
              <w:rPr>
                <w:spacing w:val="-2"/>
                <w:sz w:val="21"/>
              </w:rPr>
              <w:t>72.78</w:t>
            </w:r>
          </w:p>
        </w:tc>
        <w:tc>
          <w:tcPr>
            <w:tcW w:w="1264" w:type="dxa"/>
          </w:tcPr>
          <w:p w:rsidR="003F5784" w14:paraId="3E8A0D48" w14:textId="77777777">
            <w:pPr>
              <w:pStyle w:val="TableParagraph"/>
              <w:ind w:right="207"/>
              <w:rPr>
                <w:sz w:val="21"/>
              </w:rPr>
            </w:pPr>
            <w:r>
              <w:rPr>
                <w:spacing w:val="-2"/>
                <w:sz w:val="21"/>
              </w:rPr>
              <w:t>1,500</w:t>
            </w:r>
          </w:p>
        </w:tc>
        <w:tc>
          <w:tcPr>
            <w:tcW w:w="1274" w:type="dxa"/>
          </w:tcPr>
          <w:p w:rsidR="003F5784" w14:paraId="512C4F0F" w14:textId="77777777">
            <w:pPr>
              <w:pStyle w:val="TableParagraph"/>
              <w:ind w:right="229"/>
              <w:rPr>
                <w:sz w:val="21"/>
              </w:rPr>
            </w:pPr>
            <w:r>
              <w:rPr>
                <w:spacing w:val="-4"/>
                <w:sz w:val="21"/>
              </w:rPr>
              <w:t>1.37</w:t>
            </w:r>
          </w:p>
        </w:tc>
        <w:tc>
          <w:tcPr>
            <w:tcW w:w="1559" w:type="dxa"/>
          </w:tcPr>
          <w:p w:rsidR="003F5784" w14:paraId="2BE1CC5D" w14:textId="77777777">
            <w:pPr>
              <w:pStyle w:val="TableParagraph"/>
              <w:ind w:right="135"/>
              <w:rPr>
                <w:sz w:val="21"/>
              </w:rPr>
            </w:pPr>
            <w:r>
              <w:rPr>
                <w:spacing w:val="-2"/>
                <w:sz w:val="21"/>
              </w:rPr>
              <w:t>87.78</w:t>
            </w:r>
          </w:p>
        </w:tc>
        <w:tc>
          <w:tcPr>
            <w:tcW w:w="1712" w:type="dxa"/>
          </w:tcPr>
          <w:p w:rsidR="003F5784" w14:paraId="1069E46E" w14:textId="77777777">
            <w:pPr>
              <w:pStyle w:val="TableParagraph"/>
              <w:ind w:right="124"/>
              <w:rPr>
                <w:sz w:val="21"/>
              </w:rPr>
            </w:pPr>
            <w:r>
              <w:rPr>
                <w:spacing w:val="-2"/>
                <w:sz w:val="21"/>
              </w:rPr>
              <w:t>13.55</w:t>
            </w:r>
          </w:p>
        </w:tc>
      </w:tr>
      <w:tr w14:paraId="4C4FE12B" w14:textId="77777777">
        <w:tblPrEx>
          <w:tblW w:w="0" w:type="auto"/>
          <w:tblInd w:w="482" w:type="dxa"/>
          <w:tblLayout w:type="fixed"/>
          <w:tblCellMar>
            <w:left w:w="0" w:type="dxa"/>
            <w:right w:w="0" w:type="dxa"/>
          </w:tblCellMar>
          <w:tblLook w:val="01E0"/>
        </w:tblPrEx>
        <w:trPr>
          <w:trHeight w:val="286"/>
        </w:trPr>
        <w:tc>
          <w:tcPr>
            <w:tcW w:w="3181" w:type="dxa"/>
          </w:tcPr>
          <w:p w:rsidR="003F5784" w14:paraId="757A593F" w14:textId="77777777">
            <w:pPr>
              <w:pStyle w:val="TableParagraph"/>
              <w:ind w:left="120"/>
              <w:jc w:val="left"/>
              <w:rPr>
                <w:sz w:val="21"/>
              </w:rPr>
            </w:pPr>
            <w:r>
              <w:rPr>
                <w:sz w:val="21"/>
              </w:rPr>
              <w:t>South</w:t>
            </w:r>
            <w:r>
              <w:rPr>
                <w:spacing w:val="-6"/>
                <w:sz w:val="21"/>
              </w:rPr>
              <w:t xml:space="preserve"> </w:t>
            </w:r>
            <w:r>
              <w:rPr>
                <w:spacing w:val="-5"/>
                <w:sz w:val="21"/>
              </w:rPr>
              <w:t>all</w:t>
            </w:r>
          </w:p>
        </w:tc>
        <w:tc>
          <w:tcPr>
            <w:tcW w:w="1188" w:type="dxa"/>
          </w:tcPr>
          <w:p w:rsidR="003F5784" w14:paraId="71BEB47A" w14:textId="77777777">
            <w:pPr>
              <w:pStyle w:val="TableParagraph"/>
              <w:ind w:right="124"/>
              <w:rPr>
                <w:sz w:val="21"/>
              </w:rPr>
            </w:pPr>
            <w:r>
              <w:rPr>
                <w:spacing w:val="-5"/>
                <w:sz w:val="21"/>
              </w:rPr>
              <w:t>240</w:t>
            </w:r>
          </w:p>
        </w:tc>
        <w:tc>
          <w:tcPr>
            <w:tcW w:w="1979" w:type="dxa"/>
          </w:tcPr>
          <w:p w:rsidR="003F5784" w14:paraId="3C1EB06B" w14:textId="77777777">
            <w:pPr>
              <w:pStyle w:val="TableParagraph"/>
              <w:ind w:right="167"/>
              <w:rPr>
                <w:sz w:val="21"/>
              </w:rPr>
            </w:pPr>
            <w:r>
              <w:rPr>
                <w:spacing w:val="-2"/>
                <w:sz w:val="21"/>
              </w:rPr>
              <w:t>93.22</w:t>
            </w:r>
          </w:p>
        </w:tc>
        <w:tc>
          <w:tcPr>
            <w:tcW w:w="1834" w:type="dxa"/>
          </w:tcPr>
          <w:p w:rsidR="003F5784" w14:paraId="0062DBB5" w14:textId="77777777">
            <w:pPr>
              <w:pStyle w:val="TableParagraph"/>
              <w:ind w:left="-26" w:right="147"/>
              <w:rPr>
                <w:sz w:val="21"/>
              </w:rPr>
            </w:pPr>
            <w:r>
              <w:rPr>
                <w:spacing w:val="-2"/>
                <w:sz w:val="21"/>
              </w:rPr>
              <w:t>79.44</w:t>
            </w:r>
          </w:p>
        </w:tc>
        <w:tc>
          <w:tcPr>
            <w:tcW w:w="1264" w:type="dxa"/>
          </w:tcPr>
          <w:p w:rsidR="003F5784" w14:paraId="6B935245" w14:textId="77777777">
            <w:pPr>
              <w:pStyle w:val="TableParagraph"/>
              <w:ind w:right="207"/>
              <w:rPr>
                <w:sz w:val="21"/>
              </w:rPr>
            </w:pPr>
            <w:r>
              <w:rPr>
                <w:spacing w:val="-2"/>
                <w:sz w:val="21"/>
              </w:rPr>
              <w:t>4,300</w:t>
            </w:r>
          </w:p>
        </w:tc>
        <w:tc>
          <w:tcPr>
            <w:tcW w:w="1274" w:type="dxa"/>
          </w:tcPr>
          <w:p w:rsidR="003F5784" w14:paraId="0DC7FEA8" w14:textId="77777777">
            <w:pPr>
              <w:pStyle w:val="TableParagraph"/>
              <w:ind w:right="229"/>
              <w:rPr>
                <w:sz w:val="21"/>
              </w:rPr>
            </w:pPr>
            <w:r>
              <w:rPr>
                <w:spacing w:val="-4"/>
                <w:sz w:val="21"/>
              </w:rPr>
              <w:t>1.59</w:t>
            </w:r>
          </w:p>
        </w:tc>
        <w:tc>
          <w:tcPr>
            <w:tcW w:w="1559" w:type="dxa"/>
          </w:tcPr>
          <w:p w:rsidR="003F5784" w14:paraId="4C812FF3" w14:textId="77777777">
            <w:pPr>
              <w:pStyle w:val="TableParagraph"/>
              <w:ind w:right="135"/>
              <w:rPr>
                <w:sz w:val="21"/>
              </w:rPr>
            </w:pPr>
            <w:r>
              <w:rPr>
                <w:spacing w:val="-2"/>
                <w:sz w:val="21"/>
              </w:rPr>
              <w:t>88.44</w:t>
            </w:r>
          </w:p>
        </w:tc>
        <w:tc>
          <w:tcPr>
            <w:tcW w:w="1712" w:type="dxa"/>
          </w:tcPr>
          <w:p w:rsidR="003F5784" w14:paraId="13194A9B" w14:textId="77777777">
            <w:pPr>
              <w:pStyle w:val="TableParagraph"/>
              <w:ind w:right="124"/>
              <w:rPr>
                <w:sz w:val="21"/>
              </w:rPr>
            </w:pPr>
            <w:r>
              <w:rPr>
                <w:spacing w:val="-2"/>
                <w:sz w:val="21"/>
              </w:rPr>
              <w:t>19.57</w:t>
            </w:r>
          </w:p>
        </w:tc>
      </w:tr>
      <w:tr w14:paraId="5B325749" w14:textId="77777777">
        <w:tblPrEx>
          <w:tblW w:w="0" w:type="auto"/>
          <w:tblInd w:w="482" w:type="dxa"/>
          <w:tblLayout w:type="fixed"/>
          <w:tblCellMar>
            <w:left w:w="0" w:type="dxa"/>
            <w:right w:w="0" w:type="dxa"/>
          </w:tblCellMar>
          <w:tblLook w:val="01E0"/>
        </w:tblPrEx>
        <w:trPr>
          <w:trHeight w:val="286"/>
        </w:trPr>
        <w:tc>
          <w:tcPr>
            <w:tcW w:w="3181" w:type="dxa"/>
          </w:tcPr>
          <w:p w:rsidR="003F5784" w14:paraId="2F7E05B0" w14:textId="77777777">
            <w:pPr>
              <w:pStyle w:val="TableParagraph"/>
              <w:ind w:left="120"/>
              <w:jc w:val="left"/>
              <w:rPr>
                <w:sz w:val="21"/>
              </w:rPr>
            </w:pPr>
            <w:r>
              <w:rPr>
                <w:spacing w:val="-4"/>
                <w:sz w:val="21"/>
              </w:rPr>
              <w:t>West</w:t>
            </w:r>
            <w:r>
              <w:rPr>
                <w:spacing w:val="-7"/>
                <w:sz w:val="21"/>
              </w:rPr>
              <w:t xml:space="preserve"> </w:t>
            </w:r>
            <w:r>
              <w:rPr>
                <w:spacing w:val="-5"/>
                <w:sz w:val="21"/>
              </w:rPr>
              <w:t>all</w:t>
            </w:r>
          </w:p>
        </w:tc>
        <w:tc>
          <w:tcPr>
            <w:tcW w:w="1188" w:type="dxa"/>
          </w:tcPr>
          <w:p w:rsidR="003F5784" w14:paraId="10AD0D54" w14:textId="77777777">
            <w:pPr>
              <w:pStyle w:val="TableParagraph"/>
              <w:ind w:right="124"/>
              <w:rPr>
                <w:sz w:val="21"/>
              </w:rPr>
            </w:pPr>
            <w:r>
              <w:rPr>
                <w:spacing w:val="-5"/>
                <w:sz w:val="21"/>
              </w:rPr>
              <w:t>140</w:t>
            </w:r>
          </w:p>
        </w:tc>
        <w:tc>
          <w:tcPr>
            <w:tcW w:w="1979" w:type="dxa"/>
          </w:tcPr>
          <w:p w:rsidR="003F5784" w14:paraId="59E50191" w14:textId="77777777">
            <w:pPr>
              <w:pStyle w:val="TableParagraph"/>
              <w:ind w:right="167"/>
              <w:rPr>
                <w:sz w:val="21"/>
              </w:rPr>
            </w:pPr>
            <w:r>
              <w:rPr>
                <w:spacing w:val="-2"/>
                <w:sz w:val="21"/>
              </w:rPr>
              <w:t>82.42</w:t>
            </w:r>
          </w:p>
        </w:tc>
        <w:tc>
          <w:tcPr>
            <w:tcW w:w="1834" w:type="dxa"/>
          </w:tcPr>
          <w:p w:rsidR="003F5784" w14:paraId="4179FE67" w14:textId="77777777">
            <w:pPr>
              <w:pStyle w:val="TableParagraph"/>
              <w:ind w:left="-26" w:right="147"/>
              <w:rPr>
                <w:sz w:val="21"/>
              </w:rPr>
            </w:pPr>
            <w:r>
              <w:rPr>
                <w:spacing w:val="-2"/>
                <w:sz w:val="21"/>
              </w:rPr>
              <w:t>68.64</w:t>
            </w:r>
          </w:p>
        </w:tc>
        <w:tc>
          <w:tcPr>
            <w:tcW w:w="1264" w:type="dxa"/>
          </w:tcPr>
          <w:p w:rsidR="003F5784" w14:paraId="00219063" w14:textId="77777777">
            <w:pPr>
              <w:pStyle w:val="TableParagraph"/>
              <w:ind w:right="207"/>
              <w:rPr>
                <w:sz w:val="21"/>
              </w:rPr>
            </w:pPr>
            <w:r>
              <w:rPr>
                <w:spacing w:val="-2"/>
                <w:sz w:val="21"/>
              </w:rPr>
              <w:t>2,200</w:t>
            </w:r>
          </w:p>
        </w:tc>
        <w:tc>
          <w:tcPr>
            <w:tcW w:w="1274" w:type="dxa"/>
          </w:tcPr>
          <w:p w:rsidR="003F5784" w14:paraId="22ACC6B6" w14:textId="77777777">
            <w:pPr>
              <w:pStyle w:val="TableParagraph"/>
              <w:ind w:right="229"/>
              <w:rPr>
                <w:sz w:val="21"/>
              </w:rPr>
            </w:pPr>
            <w:r>
              <w:rPr>
                <w:spacing w:val="-4"/>
                <w:sz w:val="21"/>
              </w:rPr>
              <w:t>2.11</w:t>
            </w:r>
          </w:p>
        </w:tc>
        <w:tc>
          <w:tcPr>
            <w:tcW w:w="1559" w:type="dxa"/>
          </w:tcPr>
          <w:p w:rsidR="003F5784" w14:paraId="594FF60E" w14:textId="77777777">
            <w:pPr>
              <w:pStyle w:val="TableParagraph"/>
              <w:ind w:right="135"/>
              <w:rPr>
                <w:sz w:val="21"/>
              </w:rPr>
            </w:pPr>
            <w:r>
              <w:rPr>
                <w:spacing w:val="-2"/>
                <w:sz w:val="21"/>
              </w:rPr>
              <w:t>86.69</w:t>
            </w:r>
          </w:p>
        </w:tc>
        <w:tc>
          <w:tcPr>
            <w:tcW w:w="1712" w:type="dxa"/>
          </w:tcPr>
          <w:p w:rsidR="003F5784" w14:paraId="6B9F5951" w14:textId="77777777">
            <w:pPr>
              <w:pStyle w:val="TableParagraph"/>
              <w:ind w:right="124"/>
              <w:rPr>
                <w:sz w:val="21"/>
              </w:rPr>
            </w:pPr>
            <w:r>
              <w:rPr>
                <w:spacing w:val="-4"/>
                <w:sz w:val="21"/>
              </w:rPr>
              <w:t>7.81</w:t>
            </w:r>
          </w:p>
        </w:tc>
      </w:tr>
      <w:tr w14:paraId="66420342" w14:textId="77777777">
        <w:tblPrEx>
          <w:tblW w:w="0" w:type="auto"/>
          <w:tblInd w:w="482" w:type="dxa"/>
          <w:tblLayout w:type="fixed"/>
          <w:tblCellMar>
            <w:left w:w="0" w:type="dxa"/>
            <w:right w:w="0" w:type="dxa"/>
          </w:tblCellMar>
          <w:tblLook w:val="01E0"/>
        </w:tblPrEx>
        <w:trPr>
          <w:trHeight w:val="286"/>
        </w:trPr>
        <w:tc>
          <w:tcPr>
            <w:tcW w:w="3181" w:type="dxa"/>
          </w:tcPr>
          <w:p w:rsidR="003F5784" w14:paraId="354B63DC" w14:textId="77777777">
            <w:pPr>
              <w:pStyle w:val="TableParagraph"/>
              <w:ind w:left="120"/>
              <w:jc w:val="left"/>
              <w:rPr>
                <w:sz w:val="21"/>
              </w:rPr>
            </w:pPr>
            <w:r>
              <w:rPr>
                <w:sz w:val="21"/>
              </w:rPr>
              <w:t>National</w:t>
            </w:r>
            <w:r>
              <w:rPr>
                <w:spacing w:val="-9"/>
                <w:sz w:val="21"/>
              </w:rPr>
              <w:t xml:space="preserve"> </w:t>
            </w:r>
            <w:r>
              <w:rPr>
                <w:spacing w:val="-2"/>
                <w:sz w:val="21"/>
              </w:rPr>
              <w:t>public</w:t>
            </w:r>
          </w:p>
        </w:tc>
        <w:tc>
          <w:tcPr>
            <w:tcW w:w="1188" w:type="dxa"/>
          </w:tcPr>
          <w:p w:rsidR="003F5784" w14:paraId="2842CEAF" w14:textId="77777777">
            <w:pPr>
              <w:pStyle w:val="TableParagraph"/>
              <w:ind w:right="124"/>
              <w:rPr>
                <w:sz w:val="21"/>
              </w:rPr>
            </w:pPr>
            <w:r>
              <w:rPr>
                <w:spacing w:val="-5"/>
                <w:sz w:val="21"/>
              </w:rPr>
              <w:t>410</w:t>
            </w:r>
          </w:p>
        </w:tc>
        <w:tc>
          <w:tcPr>
            <w:tcW w:w="1979" w:type="dxa"/>
          </w:tcPr>
          <w:p w:rsidR="003F5784" w14:paraId="25FFC84C" w14:textId="77777777">
            <w:pPr>
              <w:pStyle w:val="TableParagraph"/>
              <w:ind w:right="167"/>
              <w:rPr>
                <w:sz w:val="21"/>
              </w:rPr>
            </w:pPr>
            <w:r>
              <w:rPr>
                <w:spacing w:val="-2"/>
                <w:sz w:val="21"/>
              </w:rPr>
              <w:t>90.45</w:t>
            </w:r>
          </w:p>
        </w:tc>
        <w:tc>
          <w:tcPr>
            <w:tcW w:w="1834" w:type="dxa"/>
          </w:tcPr>
          <w:p w:rsidR="003F5784" w14:paraId="60B3D257" w14:textId="77777777">
            <w:pPr>
              <w:pStyle w:val="TableParagraph"/>
              <w:ind w:left="-26" w:right="147"/>
              <w:rPr>
                <w:sz w:val="21"/>
              </w:rPr>
            </w:pPr>
            <w:r>
              <w:rPr>
                <w:spacing w:val="-2"/>
                <w:sz w:val="21"/>
              </w:rPr>
              <w:t>88.79</w:t>
            </w:r>
          </w:p>
        </w:tc>
        <w:tc>
          <w:tcPr>
            <w:tcW w:w="1264" w:type="dxa"/>
          </w:tcPr>
          <w:p w:rsidR="003F5784" w14:paraId="6D993F6D" w14:textId="77777777">
            <w:pPr>
              <w:pStyle w:val="TableParagraph"/>
              <w:ind w:right="207"/>
              <w:rPr>
                <w:sz w:val="21"/>
              </w:rPr>
            </w:pPr>
            <w:r>
              <w:rPr>
                <w:spacing w:val="-2"/>
                <w:sz w:val="21"/>
              </w:rPr>
              <w:t>8,700</w:t>
            </w:r>
          </w:p>
        </w:tc>
        <w:tc>
          <w:tcPr>
            <w:tcW w:w="1274" w:type="dxa"/>
          </w:tcPr>
          <w:p w:rsidR="003F5784" w14:paraId="2B23210D" w14:textId="77777777">
            <w:pPr>
              <w:pStyle w:val="TableParagraph"/>
              <w:ind w:right="229"/>
              <w:rPr>
                <w:sz w:val="21"/>
              </w:rPr>
            </w:pPr>
            <w:r>
              <w:rPr>
                <w:spacing w:val="-4"/>
                <w:sz w:val="21"/>
              </w:rPr>
              <w:t>2.02</w:t>
            </w:r>
          </w:p>
        </w:tc>
        <w:tc>
          <w:tcPr>
            <w:tcW w:w="1559" w:type="dxa"/>
          </w:tcPr>
          <w:p w:rsidR="003F5784" w14:paraId="7DB7AB4A" w14:textId="77777777">
            <w:pPr>
              <w:pStyle w:val="TableParagraph"/>
              <w:ind w:right="135"/>
              <w:rPr>
                <w:sz w:val="21"/>
              </w:rPr>
            </w:pPr>
            <w:r>
              <w:rPr>
                <w:spacing w:val="-2"/>
                <w:sz w:val="21"/>
              </w:rPr>
              <w:t>86.96</w:t>
            </w:r>
          </w:p>
        </w:tc>
        <w:tc>
          <w:tcPr>
            <w:tcW w:w="1712" w:type="dxa"/>
          </w:tcPr>
          <w:p w:rsidR="003F5784" w14:paraId="0A331F3C" w14:textId="77777777">
            <w:pPr>
              <w:pStyle w:val="TableParagraph"/>
              <w:ind w:right="124"/>
              <w:rPr>
                <w:sz w:val="21"/>
              </w:rPr>
            </w:pPr>
            <w:r>
              <w:rPr>
                <w:spacing w:val="-2"/>
                <w:sz w:val="21"/>
              </w:rPr>
              <w:t>16.00</w:t>
            </w:r>
          </w:p>
        </w:tc>
      </w:tr>
      <w:tr w14:paraId="1295E9F1" w14:textId="77777777">
        <w:tblPrEx>
          <w:tblW w:w="0" w:type="auto"/>
          <w:tblInd w:w="482" w:type="dxa"/>
          <w:tblLayout w:type="fixed"/>
          <w:tblCellMar>
            <w:left w:w="0" w:type="dxa"/>
            <w:right w:w="0" w:type="dxa"/>
          </w:tblCellMar>
          <w:tblLook w:val="01E0"/>
        </w:tblPrEx>
        <w:trPr>
          <w:trHeight w:val="286"/>
        </w:trPr>
        <w:tc>
          <w:tcPr>
            <w:tcW w:w="3181" w:type="dxa"/>
          </w:tcPr>
          <w:p w:rsidR="003F5784" w14:paraId="0D83D93D" w14:textId="77777777">
            <w:pPr>
              <w:pStyle w:val="TableParagraph"/>
              <w:ind w:left="120"/>
              <w:jc w:val="left"/>
              <w:rPr>
                <w:sz w:val="21"/>
              </w:rPr>
            </w:pPr>
            <w:r>
              <w:rPr>
                <w:sz w:val="21"/>
              </w:rPr>
              <w:t>National</w:t>
            </w:r>
            <w:r>
              <w:rPr>
                <w:spacing w:val="-9"/>
                <w:sz w:val="21"/>
              </w:rPr>
              <w:t xml:space="preserve"> </w:t>
            </w:r>
            <w:r>
              <w:rPr>
                <w:spacing w:val="-2"/>
                <w:sz w:val="21"/>
              </w:rPr>
              <w:t>private</w:t>
            </w:r>
          </w:p>
        </w:tc>
        <w:tc>
          <w:tcPr>
            <w:tcW w:w="1188" w:type="dxa"/>
          </w:tcPr>
          <w:p w:rsidR="003F5784" w14:paraId="1631BFF8" w14:textId="77777777">
            <w:pPr>
              <w:pStyle w:val="TableParagraph"/>
              <w:ind w:right="124"/>
              <w:rPr>
                <w:sz w:val="21"/>
              </w:rPr>
            </w:pPr>
            <w:r>
              <w:rPr>
                <w:spacing w:val="-5"/>
                <w:sz w:val="21"/>
              </w:rPr>
              <w:t>160</w:t>
            </w:r>
          </w:p>
        </w:tc>
        <w:tc>
          <w:tcPr>
            <w:tcW w:w="1979" w:type="dxa"/>
          </w:tcPr>
          <w:p w:rsidR="003F5784" w14:paraId="0D9E5986" w14:textId="77777777">
            <w:pPr>
              <w:pStyle w:val="TableParagraph"/>
              <w:ind w:right="167"/>
              <w:rPr>
                <w:sz w:val="21"/>
              </w:rPr>
            </w:pPr>
            <w:r>
              <w:rPr>
                <w:spacing w:val="-2"/>
                <w:sz w:val="21"/>
              </w:rPr>
              <w:t>32.02</w:t>
            </w:r>
          </w:p>
        </w:tc>
        <w:tc>
          <w:tcPr>
            <w:tcW w:w="1834" w:type="dxa"/>
          </w:tcPr>
          <w:p w:rsidR="003F5784" w14:paraId="0EDD27A6" w14:textId="77777777">
            <w:pPr>
              <w:pStyle w:val="TableParagraph"/>
              <w:ind w:left="-26" w:right="147"/>
              <w:rPr>
                <w:sz w:val="21"/>
              </w:rPr>
            </w:pPr>
            <w:r>
              <w:rPr>
                <w:spacing w:val="-2"/>
                <w:sz w:val="21"/>
              </w:rPr>
              <w:t>28.98</w:t>
            </w:r>
          </w:p>
        </w:tc>
        <w:tc>
          <w:tcPr>
            <w:tcW w:w="1264" w:type="dxa"/>
          </w:tcPr>
          <w:p w:rsidR="003F5784" w14:paraId="5546C719" w14:textId="77777777">
            <w:pPr>
              <w:pStyle w:val="TableParagraph"/>
              <w:ind w:right="207"/>
              <w:rPr>
                <w:sz w:val="21"/>
              </w:rPr>
            </w:pPr>
            <w:r>
              <w:rPr>
                <w:spacing w:val="-5"/>
                <w:sz w:val="21"/>
              </w:rPr>
              <w:t>500</w:t>
            </w:r>
          </w:p>
        </w:tc>
        <w:tc>
          <w:tcPr>
            <w:tcW w:w="1274" w:type="dxa"/>
          </w:tcPr>
          <w:p w:rsidR="003F5784" w14:paraId="1750E1FA" w14:textId="77777777">
            <w:pPr>
              <w:pStyle w:val="TableParagraph"/>
              <w:ind w:right="229"/>
              <w:rPr>
                <w:sz w:val="21"/>
              </w:rPr>
            </w:pPr>
            <w:r>
              <w:rPr>
                <w:spacing w:val="-4"/>
                <w:sz w:val="21"/>
              </w:rPr>
              <w:t>0.12</w:t>
            </w:r>
          </w:p>
        </w:tc>
        <w:tc>
          <w:tcPr>
            <w:tcW w:w="1559" w:type="dxa"/>
          </w:tcPr>
          <w:p w:rsidR="003F5784" w14:paraId="14F9E9C6" w14:textId="77777777">
            <w:pPr>
              <w:pStyle w:val="TableParagraph"/>
              <w:ind w:right="135"/>
              <w:rPr>
                <w:sz w:val="21"/>
              </w:rPr>
            </w:pPr>
            <w:r>
              <w:rPr>
                <w:spacing w:val="-2"/>
                <w:sz w:val="21"/>
              </w:rPr>
              <w:t>90.42</w:t>
            </w:r>
          </w:p>
        </w:tc>
        <w:tc>
          <w:tcPr>
            <w:tcW w:w="1712" w:type="dxa"/>
          </w:tcPr>
          <w:p w:rsidR="003F5784" w14:paraId="5289FC03" w14:textId="77777777">
            <w:pPr>
              <w:pStyle w:val="TableParagraph"/>
              <w:ind w:right="124"/>
              <w:rPr>
                <w:sz w:val="21"/>
              </w:rPr>
            </w:pPr>
            <w:r>
              <w:rPr>
                <w:spacing w:val="-4"/>
                <w:sz w:val="21"/>
              </w:rPr>
              <w:t>2.82</w:t>
            </w:r>
          </w:p>
        </w:tc>
      </w:tr>
      <w:tr w14:paraId="08B6E0CF" w14:textId="77777777">
        <w:tblPrEx>
          <w:tblW w:w="0" w:type="auto"/>
          <w:tblInd w:w="482" w:type="dxa"/>
          <w:tblLayout w:type="fixed"/>
          <w:tblCellMar>
            <w:left w:w="0" w:type="dxa"/>
            <w:right w:w="0" w:type="dxa"/>
          </w:tblCellMar>
          <w:tblLook w:val="01E0"/>
        </w:tblPrEx>
        <w:trPr>
          <w:trHeight w:val="286"/>
        </w:trPr>
        <w:tc>
          <w:tcPr>
            <w:tcW w:w="3181" w:type="dxa"/>
          </w:tcPr>
          <w:p w:rsidR="003F5784" w14:paraId="1C3C76C7" w14:textId="77777777">
            <w:pPr>
              <w:pStyle w:val="TableParagraph"/>
              <w:ind w:left="381"/>
              <w:jc w:val="left"/>
              <w:rPr>
                <w:sz w:val="21"/>
              </w:rPr>
            </w:pPr>
            <w:r>
              <w:rPr>
                <w:spacing w:val="-2"/>
                <w:sz w:val="21"/>
              </w:rPr>
              <w:t>Catholic</w:t>
            </w:r>
          </w:p>
        </w:tc>
        <w:tc>
          <w:tcPr>
            <w:tcW w:w="1188" w:type="dxa"/>
          </w:tcPr>
          <w:p w:rsidR="003F5784" w14:paraId="56A57AEC" w14:textId="77777777">
            <w:pPr>
              <w:pStyle w:val="TableParagraph"/>
              <w:ind w:right="124"/>
              <w:rPr>
                <w:sz w:val="21"/>
              </w:rPr>
            </w:pPr>
            <w:r>
              <w:rPr>
                <w:spacing w:val="-5"/>
                <w:sz w:val="21"/>
              </w:rPr>
              <w:t>50</w:t>
            </w:r>
          </w:p>
        </w:tc>
        <w:tc>
          <w:tcPr>
            <w:tcW w:w="1979" w:type="dxa"/>
          </w:tcPr>
          <w:p w:rsidR="003F5784" w14:paraId="25698647" w14:textId="77777777">
            <w:pPr>
              <w:pStyle w:val="TableParagraph"/>
              <w:ind w:right="167"/>
              <w:rPr>
                <w:sz w:val="21"/>
              </w:rPr>
            </w:pPr>
            <w:r>
              <w:rPr>
                <w:spacing w:val="-2"/>
                <w:sz w:val="21"/>
              </w:rPr>
              <w:t>62.73</w:t>
            </w:r>
          </w:p>
        </w:tc>
        <w:tc>
          <w:tcPr>
            <w:tcW w:w="1834" w:type="dxa"/>
          </w:tcPr>
          <w:p w:rsidR="003F5784" w14:paraId="5C5123C3" w14:textId="77777777">
            <w:pPr>
              <w:pStyle w:val="TableParagraph"/>
              <w:ind w:left="-26" w:right="147"/>
              <w:rPr>
                <w:sz w:val="21"/>
              </w:rPr>
            </w:pPr>
            <w:r>
              <w:rPr>
                <w:spacing w:val="-2"/>
                <w:sz w:val="21"/>
              </w:rPr>
              <w:t>60.99</w:t>
            </w:r>
          </w:p>
        </w:tc>
        <w:tc>
          <w:tcPr>
            <w:tcW w:w="1264" w:type="dxa"/>
          </w:tcPr>
          <w:p w:rsidR="003F5784" w14:paraId="2FD5E51B" w14:textId="77777777">
            <w:pPr>
              <w:pStyle w:val="TableParagraph"/>
              <w:ind w:right="207"/>
              <w:rPr>
                <w:sz w:val="21"/>
              </w:rPr>
            </w:pPr>
            <w:r>
              <w:rPr>
                <w:spacing w:val="-5"/>
                <w:sz w:val="21"/>
              </w:rPr>
              <w:t>400</w:t>
            </w:r>
          </w:p>
        </w:tc>
        <w:tc>
          <w:tcPr>
            <w:tcW w:w="1274" w:type="dxa"/>
          </w:tcPr>
          <w:p w:rsidR="003F5784" w14:paraId="3BC2FA8D" w14:textId="77777777">
            <w:pPr>
              <w:pStyle w:val="TableParagraph"/>
              <w:ind w:right="229"/>
              <w:rPr>
                <w:sz w:val="21"/>
              </w:rPr>
            </w:pPr>
            <w:r>
              <w:rPr>
                <w:spacing w:val="-4"/>
                <w:sz w:val="21"/>
              </w:rPr>
              <w:t>0.31</w:t>
            </w:r>
          </w:p>
        </w:tc>
        <w:tc>
          <w:tcPr>
            <w:tcW w:w="1559" w:type="dxa"/>
          </w:tcPr>
          <w:p w:rsidR="003F5784" w14:paraId="4212C079" w14:textId="77777777">
            <w:pPr>
              <w:pStyle w:val="TableParagraph"/>
              <w:ind w:right="135"/>
              <w:rPr>
                <w:sz w:val="21"/>
              </w:rPr>
            </w:pPr>
            <w:r>
              <w:rPr>
                <w:spacing w:val="-2"/>
                <w:sz w:val="21"/>
              </w:rPr>
              <w:t>93.25</w:t>
            </w:r>
          </w:p>
        </w:tc>
        <w:tc>
          <w:tcPr>
            <w:tcW w:w="1712" w:type="dxa"/>
          </w:tcPr>
          <w:p w:rsidR="003F5784" w14:paraId="646EC636" w14:textId="77777777">
            <w:pPr>
              <w:pStyle w:val="TableParagraph"/>
              <w:ind w:right="124"/>
              <w:rPr>
                <w:sz w:val="21"/>
              </w:rPr>
            </w:pPr>
            <w:r>
              <w:rPr>
                <w:spacing w:val="-4"/>
                <w:sz w:val="21"/>
              </w:rPr>
              <w:t>2.37</w:t>
            </w:r>
          </w:p>
        </w:tc>
      </w:tr>
      <w:tr w14:paraId="0BCD4C6D" w14:textId="77777777">
        <w:tblPrEx>
          <w:tblW w:w="0" w:type="auto"/>
          <w:tblInd w:w="482" w:type="dxa"/>
          <w:tblLayout w:type="fixed"/>
          <w:tblCellMar>
            <w:left w:w="0" w:type="dxa"/>
            <w:right w:w="0" w:type="dxa"/>
          </w:tblCellMar>
          <w:tblLook w:val="01E0"/>
        </w:tblPrEx>
        <w:trPr>
          <w:trHeight w:val="289"/>
        </w:trPr>
        <w:tc>
          <w:tcPr>
            <w:tcW w:w="3181" w:type="dxa"/>
            <w:tcBorders>
              <w:bottom w:val="single" w:sz="18" w:space="0" w:color="800000"/>
            </w:tcBorders>
          </w:tcPr>
          <w:p w:rsidR="003F5784" w14:paraId="6ADB1AD8" w14:textId="77777777">
            <w:pPr>
              <w:pStyle w:val="TableParagraph"/>
              <w:ind w:left="381"/>
              <w:jc w:val="left"/>
              <w:rPr>
                <w:sz w:val="21"/>
              </w:rPr>
            </w:pPr>
            <w:r>
              <w:rPr>
                <w:spacing w:val="-2"/>
                <w:sz w:val="21"/>
              </w:rPr>
              <w:t>Non-Catholic</w:t>
            </w:r>
          </w:p>
        </w:tc>
        <w:tc>
          <w:tcPr>
            <w:tcW w:w="1188" w:type="dxa"/>
            <w:tcBorders>
              <w:bottom w:val="single" w:sz="18" w:space="0" w:color="800000"/>
            </w:tcBorders>
          </w:tcPr>
          <w:p w:rsidR="003F5784" w14:paraId="72A1D2C4" w14:textId="77777777">
            <w:pPr>
              <w:pStyle w:val="TableParagraph"/>
              <w:ind w:right="124"/>
              <w:rPr>
                <w:sz w:val="21"/>
              </w:rPr>
            </w:pPr>
            <w:r>
              <w:rPr>
                <w:spacing w:val="-5"/>
                <w:sz w:val="21"/>
              </w:rPr>
              <w:t>120</w:t>
            </w:r>
          </w:p>
        </w:tc>
        <w:tc>
          <w:tcPr>
            <w:tcW w:w="1979" w:type="dxa"/>
            <w:tcBorders>
              <w:bottom w:val="single" w:sz="18" w:space="0" w:color="800000"/>
            </w:tcBorders>
          </w:tcPr>
          <w:p w:rsidR="003F5784" w14:paraId="451FA49C" w14:textId="77777777">
            <w:pPr>
              <w:pStyle w:val="TableParagraph"/>
              <w:ind w:right="167"/>
              <w:rPr>
                <w:sz w:val="21"/>
              </w:rPr>
            </w:pPr>
            <w:r>
              <w:rPr>
                <w:spacing w:val="-2"/>
                <w:sz w:val="21"/>
              </w:rPr>
              <w:t>13.88</w:t>
            </w:r>
          </w:p>
        </w:tc>
        <w:tc>
          <w:tcPr>
            <w:tcW w:w="1834" w:type="dxa"/>
            <w:tcBorders>
              <w:bottom w:val="single" w:sz="18" w:space="0" w:color="800000"/>
            </w:tcBorders>
          </w:tcPr>
          <w:p w:rsidR="003F5784" w14:paraId="69FAD4CD" w14:textId="77777777">
            <w:pPr>
              <w:pStyle w:val="TableParagraph"/>
              <w:ind w:left="-26" w:right="147"/>
              <w:rPr>
                <w:sz w:val="21"/>
              </w:rPr>
            </w:pPr>
            <w:r>
              <w:rPr>
                <w:spacing w:val="-2"/>
                <w:sz w:val="21"/>
              </w:rPr>
              <w:t>19.13</w:t>
            </w:r>
          </w:p>
        </w:tc>
        <w:tc>
          <w:tcPr>
            <w:tcW w:w="1264" w:type="dxa"/>
            <w:tcBorders>
              <w:bottom w:val="single" w:sz="18" w:space="0" w:color="800000"/>
            </w:tcBorders>
          </w:tcPr>
          <w:p w:rsidR="003F5784" w14:paraId="56C2BE66" w14:textId="77777777">
            <w:pPr>
              <w:pStyle w:val="TableParagraph"/>
              <w:ind w:right="207"/>
              <w:rPr>
                <w:sz w:val="21"/>
              </w:rPr>
            </w:pPr>
            <w:r>
              <w:rPr>
                <w:spacing w:val="-5"/>
                <w:sz w:val="21"/>
              </w:rPr>
              <w:t>100</w:t>
            </w:r>
          </w:p>
        </w:tc>
        <w:tc>
          <w:tcPr>
            <w:tcW w:w="1274" w:type="dxa"/>
            <w:tcBorders>
              <w:bottom w:val="single" w:sz="18" w:space="0" w:color="800000"/>
            </w:tcBorders>
          </w:tcPr>
          <w:p w:rsidR="003F5784" w14:paraId="080F278C" w14:textId="77777777">
            <w:pPr>
              <w:pStyle w:val="TableParagraph"/>
              <w:ind w:right="229"/>
              <w:rPr>
                <w:sz w:val="21"/>
              </w:rPr>
            </w:pPr>
            <w:r>
              <w:rPr>
                <w:spacing w:val="-4"/>
                <w:sz w:val="21"/>
              </w:rPr>
              <w:t>0.00</w:t>
            </w:r>
          </w:p>
        </w:tc>
        <w:tc>
          <w:tcPr>
            <w:tcW w:w="1559" w:type="dxa"/>
            <w:tcBorders>
              <w:bottom w:val="single" w:sz="18" w:space="0" w:color="800000"/>
            </w:tcBorders>
          </w:tcPr>
          <w:p w:rsidR="003F5784" w14:paraId="486CED31" w14:textId="77777777">
            <w:pPr>
              <w:pStyle w:val="TableParagraph"/>
              <w:ind w:right="135"/>
              <w:rPr>
                <w:sz w:val="21"/>
              </w:rPr>
            </w:pPr>
            <w:r>
              <w:rPr>
                <w:spacing w:val="-2"/>
                <w:sz w:val="21"/>
              </w:rPr>
              <w:t>84.02</w:t>
            </w:r>
          </w:p>
        </w:tc>
        <w:tc>
          <w:tcPr>
            <w:tcW w:w="1712" w:type="dxa"/>
            <w:tcBorders>
              <w:bottom w:val="single" w:sz="18" w:space="0" w:color="800000"/>
            </w:tcBorders>
          </w:tcPr>
          <w:p w:rsidR="003F5784" w14:paraId="15D447A5" w14:textId="77777777">
            <w:pPr>
              <w:pStyle w:val="TableParagraph"/>
              <w:ind w:right="124"/>
              <w:rPr>
                <w:sz w:val="21"/>
              </w:rPr>
            </w:pPr>
            <w:r>
              <w:rPr>
                <w:spacing w:val="-4"/>
                <w:sz w:val="21"/>
              </w:rPr>
              <w:t>3.09</w:t>
            </w:r>
          </w:p>
        </w:tc>
      </w:tr>
      <w:tr w14:paraId="4EE248B1" w14:textId="77777777">
        <w:tblPrEx>
          <w:tblW w:w="0" w:type="auto"/>
          <w:tblInd w:w="482" w:type="dxa"/>
          <w:tblLayout w:type="fixed"/>
          <w:tblCellMar>
            <w:left w:w="0" w:type="dxa"/>
            <w:right w:w="0" w:type="dxa"/>
          </w:tblCellMar>
          <w:tblLook w:val="01E0"/>
        </w:tblPrEx>
        <w:trPr>
          <w:trHeight w:val="203"/>
        </w:trPr>
        <w:tc>
          <w:tcPr>
            <w:tcW w:w="13991" w:type="dxa"/>
            <w:gridSpan w:val="8"/>
            <w:tcBorders>
              <w:top w:val="single" w:sz="18" w:space="0" w:color="800000"/>
            </w:tcBorders>
          </w:tcPr>
          <w:p w:rsidR="003F5784" w14:paraId="5DF9B003" w14:textId="77777777">
            <w:pPr>
              <w:pStyle w:val="TableParagraph"/>
              <w:spacing w:before="9" w:line="175" w:lineRule="exact"/>
              <w:ind w:left="120"/>
              <w:jc w:val="left"/>
              <w:rPr>
                <w:sz w:val="21"/>
              </w:rPr>
            </w:pPr>
            <w:r>
              <w:rPr>
                <w:position w:val="9"/>
                <w:sz w:val="17"/>
              </w:rPr>
              <w:t>1</w:t>
            </w:r>
            <w:r>
              <w:rPr>
                <w:sz w:val="21"/>
              </w:rPr>
              <w:t>1</w:t>
            </w:r>
            <w:r>
              <w:rPr>
                <w:position w:val="9"/>
                <w:sz w:val="17"/>
              </w:rPr>
              <w:t>1</w:t>
            </w:r>
            <w:r>
              <w:rPr>
                <w:position w:val="1"/>
                <w:sz w:val="21"/>
              </w:rPr>
              <w:t>National</w:t>
            </w:r>
            <w:r>
              <w:rPr>
                <w:spacing w:val="-10"/>
                <w:position w:val="1"/>
                <w:sz w:val="21"/>
              </w:rPr>
              <w:t xml:space="preserve"> </w:t>
            </w:r>
            <w:r>
              <w:rPr>
                <w:position w:val="1"/>
                <w:sz w:val="21"/>
              </w:rPr>
              <w:t>all</w:t>
            </w:r>
            <w:r>
              <w:rPr>
                <w:spacing w:val="-6"/>
                <w:position w:val="1"/>
                <w:sz w:val="21"/>
              </w:rPr>
              <w:t xml:space="preserve"> </w:t>
            </w:r>
            <w:r>
              <w:rPr>
                <w:position w:val="1"/>
                <w:sz w:val="21"/>
              </w:rPr>
              <w:t>includes</w:t>
            </w:r>
            <w:r>
              <w:rPr>
                <w:spacing w:val="-7"/>
                <w:position w:val="1"/>
                <w:sz w:val="21"/>
              </w:rPr>
              <w:t xml:space="preserve"> </w:t>
            </w:r>
            <w:r>
              <w:rPr>
                <w:position w:val="1"/>
                <w:sz w:val="21"/>
              </w:rPr>
              <w:t>national</w:t>
            </w:r>
            <w:r>
              <w:rPr>
                <w:spacing w:val="-6"/>
                <w:position w:val="1"/>
                <w:sz w:val="21"/>
              </w:rPr>
              <w:t xml:space="preserve"> </w:t>
            </w:r>
            <w:r>
              <w:rPr>
                <w:position w:val="1"/>
                <w:sz w:val="21"/>
              </w:rPr>
              <w:t>public,</w:t>
            </w:r>
            <w:r>
              <w:rPr>
                <w:spacing w:val="-7"/>
                <w:position w:val="1"/>
                <w:sz w:val="21"/>
              </w:rPr>
              <w:t xml:space="preserve"> </w:t>
            </w:r>
            <w:r>
              <w:rPr>
                <w:position w:val="1"/>
                <w:sz w:val="21"/>
              </w:rPr>
              <w:t>national</w:t>
            </w:r>
            <w:r>
              <w:rPr>
                <w:spacing w:val="-6"/>
                <w:position w:val="1"/>
                <w:sz w:val="21"/>
              </w:rPr>
              <w:t xml:space="preserve"> </w:t>
            </w:r>
            <w:r>
              <w:rPr>
                <w:position w:val="1"/>
                <w:sz w:val="21"/>
              </w:rPr>
              <w:t>private,</w:t>
            </w:r>
            <w:r>
              <w:rPr>
                <w:spacing w:val="-7"/>
                <w:position w:val="1"/>
                <w:sz w:val="21"/>
              </w:rPr>
              <w:t xml:space="preserve"> </w:t>
            </w:r>
            <w:r>
              <w:rPr>
                <w:position w:val="1"/>
                <w:sz w:val="21"/>
              </w:rPr>
              <w:t>and</w:t>
            </w:r>
            <w:r>
              <w:rPr>
                <w:spacing w:val="-6"/>
                <w:position w:val="1"/>
                <w:sz w:val="21"/>
              </w:rPr>
              <w:t xml:space="preserve"> </w:t>
            </w:r>
            <w:r>
              <w:rPr>
                <w:position w:val="1"/>
                <w:sz w:val="21"/>
              </w:rPr>
              <w:t>Department</w:t>
            </w:r>
            <w:r>
              <w:rPr>
                <w:spacing w:val="-7"/>
                <w:position w:val="1"/>
                <w:sz w:val="21"/>
              </w:rPr>
              <w:t xml:space="preserve"> </w:t>
            </w:r>
            <w:r>
              <w:rPr>
                <w:position w:val="1"/>
                <w:sz w:val="21"/>
              </w:rPr>
              <w:t>of</w:t>
            </w:r>
            <w:r>
              <w:rPr>
                <w:spacing w:val="-6"/>
                <w:position w:val="1"/>
                <w:sz w:val="21"/>
              </w:rPr>
              <w:t xml:space="preserve"> </w:t>
            </w:r>
            <w:r>
              <w:rPr>
                <w:position w:val="1"/>
                <w:sz w:val="21"/>
              </w:rPr>
              <w:t>Defense</w:t>
            </w:r>
            <w:r>
              <w:rPr>
                <w:spacing w:val="-6"/>
                <w:position w:val="1"/>
                <w:sz w:val="21"/>
              </w:rPr>
              <w:t xml:space="preserve"> </w:t>
            </w:r>
            <w:r>
              <w:rPr>
                <w:position w:val="1"/>
                <w:sz w:val="21"/>
              </w:rPr>
              <w:t>Education</w:t>
            </w:r>
            <w:r>
              <w:rPr>
                <w:spacing w:val="-13"/>
                <w:position w:val="1"/>
                <w:sz w:val="21"/>
              </w:rPr>
              <w:t xml:space="preserve"> </w:t>
            </w:r>
            <w:r>
              <w:rPr>
                <w:position w:val="1"/>
                <w:sz w:val="21"/>
              </w:rPr>
              <w:t>Activity</w:t>
            </w:r>
            <w:r>
              <w:rPr>
                <w:spacing w:val="-7"/>
                <w:position w:val="1"/>
                <w:sz w:val="21"/>
              </w:rPr>
              <w:t xml:space="preserve"> </w:t>
            </w:r>
            <w:r>
              <w:rPr>
                <w:position w:val="1"/>
                <w:sz w:val="21"/>
              </w:rPr>
              <w:t>(DoDEA)</w:t>
            </w:r>
            <w:r>
              <w:rPr>
                <w:spacing w:val="-6"/>
                <w:position w:val="1"/>
                <w:sz w:val="21"/>
              </w:rPr>
              <w:t xml:space="preserve"> </w:t>
            </w:r>
            <w:r>
              <w:rPr>
                <w:position w:val="1"/>
                <w:sz w:val="21"/>
              </w:rPr>
              <w:t>schools</w:t>
            </w:r>
            <w:r>
              <w:rPr>
                <w:spacing w:val="-7"/>
                <w:position w:val="1"/>
                <w:sz w:val="21"/>
              </w:rPr>
              <w:t xml:space="preserve"> </w:t>
            </w:r>
            <w:r>
              <w:rPr>
                <w:position w:val="1"/>
                <w:sz w:val="21"/>
              </w:rPr>
              <w:t>that</w:t>
            </w:r>
            <w:r>
              <w:rPr>
                <w:spacing w:val="-6"/>
                <w:position w:val="1"/>
                <w:sz w:val="21"/>
              </w:rPr>
              <w:t xml:space="preserve"> </w:t>
            </w:r>
            <w:r>
              <w:rPr>
                <w:position w:val="1"/>
                <w:sz w:val="21"/>
              </w:rPr>
              <w:t>are</w:t>
            </w:r>
            <w:r>
              <w:rPr>
                <w:spacing w:val="-7"/>
                <w:position w:val="1"/>
                <w:sz w:val="21"/>
              </w:rPr>
              <w:t xml:space="preserve"> </w:t>
            </w:r>
            <w:r>
              <w:rPr>
                <w:position w:val="1"/>
                <w:sz w:val="21"/>
              </w:rPr>
              <w:t>located</w:t>
            </w:r>
            <w:r>
              <w:rPr>
                <w:spacing w:val="-6"/>
                <w:position w:val="1"/>
                <w:sz w:val="21"/>
              </w:rPr>
              <w:t xml:space="preserve"> </w:t>
            </w:r>
            <w:r>
              <w:rPr>
                <w:position w:val="1"/>
                <w:sz w:val="21"/>
              </w:rPr>
              <w:t>in</w:t>
            </w:r>
            <w:r>
              <w:rPr>
                <w:spacing w:val="-7"/>
                <w:position w:val="1"/>
                <w:sz w:val="21"/>
              </w:rPr>
              <w:t xml:space="preserve"> </w:t>
            </w:r>
            <w:r>
              <w:rPr>
                <w:position w:val="1"/>
                <w:sz w:val="21"/>
              </w:rPr>
              <w:t>the</w:t>
            </w:r>
            <w:r>
              <w:rPr>
                <w:spacing w:val="-6"/>
                <w:position w:val="1"/>
                <w:sz w:val="21"/>
              </w:rPr>
              <w:t xml:space="preserve"> </w:t>
            </w:r>
            <w:r>
              <w:rPr>
                <w:position w:val="1"/>
                <w:sz w:val="21"/>
              </w:rPr>
              <w:t>United</w:t>
            </w:r>
            <w:r>
              <w:rPr>
                <w:spacing w:val="-6"/>
                <w:position w:val="1"/>
                <w:sz w:val="21"/>
              </w:rPr>
              <w:t xml:space="preserve"> </w:t>
            </w:r>
            <w:r>
              <w:rPr>
                <w:spacing w:val="-2"/>
                <w:position w:val="1"/>
                <w:sz w:val="21"/>
              </w:rPr>
              <w:t>States.</w:t>
            </w:r>
          </w:p>
        </w:tc>
      </w:tr>
    </w:tbl>
    <w:p w:rsidR="003F5784" w14:paraId="5A0B93D4" w14:textId="77777777">
      <w:pPr>
        <w:pStyle w:val="BodyText"/>
        <w:spacing w:before="96" w:line="238" w:lineRule="exact"/>
        <w:ind w:left="595"/>
      </w:pPr>
      <w:r>
        <w:t>NOTE:</w:t>
      </w:r>
      <w:r>
        <w:rPr>
          <w:spacing w:val="-6"/>
        </w:rPr>
        <w:t xml:space="preserve"> </w:t>
      </w:r>
      <w:r>
        <w:t>School</w:t>
      </w:r>
      <w:r>
        <w:rPr>
          <w:spacing w:val="-5"/>
        </w:rPr>
        <w:t xml:space="preserve"> </w:t>
      </w:r>
      <w:r>
        <w:t>counts</w:t>
      </w:r>
      <w:r>
        <w:rPr>
          <w:spacing w:val="-6"/>
        </w:rPr>
        <w:t xml:space="preserve"> </w:t>
      </w:r>
      <w:r>
        <w:t>are</w:t>
      </w:r>
      <w:r>
        <w:rPr>
          <w:spacing w:val="-5"/>
        </w:rPr>
        <w:t xml:space="preserve"> </w:t>
      </w:r>
      <w:r>
        <w:t>rounded</w:t>
      </w:r>
      <w:r>
        <w:rPr>
          <w:spacing w:val="-5"/>
        </w:rPr>
        <w:t xml:space="preserve"> </w:t>
      </w:r>
      <w:r>
        <w:t>to</w:t>
      </w:r>
      <w:r>
        <w:rPr>
          <w:spacing w:val="-6"/>
        </w:rPr>
        <w:t xml:space="preserve"> </w:t>
      </w:r>
      <w:r>
        <w:t>nearest</w:t>
      </w:r>
      <w:r>
        <w:rPr>
          <w:spacing w:val="-5"/>
        </w:rPr>
        <w:t xml:space="preserve"> </w:t>
      </w:r>
      <w:r>
        <w:t>ten</w:t>
      </w:r>
      <w:r>
        <w:rPr>
          <w:spacing w:val="-6"/>
        </w:rPr>
        <w:t xml:space="preserve"> </w:t>
      </w:r>
      <w:r>
        <w:t>and</w:t>
      </w:r>
      <w:r>
        <w:rPr>
          <w:spacing w:val="-5"/>
        </w:rPr>
        <w:t xml:space="preserve"> </w:t>
      </w:r>
      <w:r>
        <w:t>student</w:t>
      </w:r>
      <w:r>
        <w:rPr>
          <w:spacing w:val="-5"/>
        </w:rPr>
        <w:t xml:space="preserve"> </w:t>
      </w:r>
      <w:r>
        <w:t>counts</w:t>
      </w:r>
      <w:r>
        <w:rPr>
          <w:spacing w:val="-6"/>
        </w:rPr>
        <w:t xml:space="preserve"> </w:t>
      </w:r>
      <w:r>
        <w:t>are</w:t>
      </w:r>
      <w:r>
        <w:rPr>
          <w:spacing w:val="-5"/>
        </w:rPr>
        <w:t xml:space="preserve"> </w:t>
      </w:r>
      <w:r>
        <w:t>rounded</w:t>
      </w:r>
      <w:r>
        <w:rPr>
          <w:spacing w:val="-6"/>
        </w:rPr>
        <w:t xml:space="preserve"> </w:t>
      </w:r>
      <w:r>
        <w:t>to</w:t>
      </w:r>
      <w:r>
        <w:rPr>
          <w:spacing w:val="-5"/>
        </w:rPr>
        <w:t xml:space="preserve"> </w:t>
      </w:r>
      <w:r>
        <w:t>nearest</w:t>
      </w:r>
      <w:r>
        <w:rPr>
          <w:spacing w:val="-5"/>
        </w:rPr>
        <w:t xml:space="preserve"> </w:t>
      </w:r>
      <w:r>
        <w:t>hundred.</w:t>
      </w:r>
      <w:r>
        <w:rPr>
          <w:spacing w:val="-6"/>
        </w:rPr>
        <w:t xml:space="preserve"> </w:t>
      </w:r>
      <w:r>
        <w:t>Detail</w:t>
      </w:r>
      <w:r>
        <w:rPr>
          <w:spacing w:val="-5"/>
        </w:rPr>
        <w:t xml:space="preserve"> </w:t>
      </w:r>
      <w:r>
        <w:t>may</w:t>
      </w:r>
      <w:r>
        <w:rPr>
          <w:spacing w:val="-6"/>
        </w:rPr>
        <w:t xml:space="preserve"> </w:t>
      </w:r>
      <w:r>
        <w:t>not</w:t>
      </w:r>
      <w:r>
        <w:rPr>
          <w:spacing w:val="-5"/>
        </w:rPr>
        <w:t xml:space="preserve"> </w:t>
      </w:r>
      <w:r>
        <w:t>sum</w:t>
      </w:r>
      <w:r>
        <w:rPr>
          <w:spacing w:val="-5"/>
        </w:rPr>
        <w:t xml:space="preserve"> </w:t>
      </w:r>
      <w:r>
        <w:t>to</w:t>
      </w:r>
      <w:r>
        <w:rPr>
          <w:spacing w:val="-6"/>
        </w:rPr>
        <w:t xml:space="preserve"> </w:t>
      </w:r>
      <w:r>
        <w:t>totals</w:t>
      </w:r>
      <w:r>
        <w:rPr>
          <w:spacing w:val="-5"/>
        </w:rPr>
        <w:t xml:space="preserve"> </w:t>
      </w:r>
      <w:r>
        <w:t>because</w:t>
      </w:r>
      <w:r>
        <w:rPr>
          <w:spacing w:val="-6"/>
        </w:rPr>
        <w:t xml:space="preserve"> </w:t>
      </w:r>
      <w:r>
        <w:t>of</w:t>
      </w:r>
      <w:r>
        <w:rPr>
          <w:spacing w:val="-5"/>
        </w:rPr>
        <w:t xml:space="preserve"> </w:t>
      </w:r>
      <w:r>
        <w:rPr>
          <w:spacing w:val="-2"/>
        </w:rPr>
        <w:t>rounding.</w:t>
      </w:r>
    </w:p>
    <w:p w:rsidR="003F5784" w14:paraId="09330A94" w14:textId="77777777">
      <w:pPr>
        <w:pStyle w:val="BodyText"/>
        <w:spacing w:before="3"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Mathematics Assessment.</w:t>
      </w:r>
    </w:p>
    <w:p w:rsidR="003F5784" w14:paraId="06298C16" w14:textId="77777777">
      <w:pPr>
        <w:pStyle w:val="BodyText"/>
      </w:pPr>
    </w:p>
    <w:p w:rsidR="003F5784" w14:paraId="02EFE3F0" w14:textId="77777777">
      <w:pPr>
        <w:pStyle w:val="BodyText"/>
      </w:pPr>
    </w:p>
    <w:p w:rsidR="003F5784" w14:paraId="48082DA7" w14:textId="77777777">
      <w:pPr>
        <w:pStyle w:val="BodyText"/>
        <w:spacing w:before="197"/>
      </w:pPr>
    </w:p>
    <w:p w:rsidR="003F5784" w14:paraId="7CCC33BD" w14:textId="77777777">
      <w:pPr>
        <w:ind w:left="4354"/>
        <w:rPr>
          <w:sz w:val="18"/>
        </w:rPr>
      </w:pPr>
      <w:hyperlink r:id="rId542">
        <w:r>
          <w:rPr>
            <w:spacing w:val="-2"/>
            <w:w w:val="105"/>
            <w:sz w:val="18"/>
          </w:rPr>
          <w:t>http://nces.ed.gov/nationsreportcard/tdw/weighting/2022/participation_exclusion_and_accommodation_rates_for_age_9_mathematics.aspx</w:t>
        </w:r>
      </w:hyperlink>
    </w:p>
    <w:p w:rsidR="003F5784" w14:paraId="40E9C2DC" w14:textId="77777777">
      <w:pPr>
        <w:pStyle w:val="BodyText"/>
        <w:spacing w:before="11"/>
        <w:rPr>
          <w:sz w:val="14"/>
        </w:rPr>
      </w:pPr>
      <w:r>
        <w:rPr>
          <w:noProof/>
        </w:rPr>
        <mc:AlternateContent>
          <mc:Choice Requires="wps">
            <w:drawing>
              <wp:anchor distT="0" distB="0" distL="0" distR="0" simplePos="0" relativeHeight="252036096" behindDoc="1" locked="0" layoutInCell="1" allowOverlap="1">
                <wp:simplePos x="0" y="0"/>
                <wp:positionH relativeFrom="page">
                  <wp:posOffset>361937</wp:posOffset>
                </wp:positionH>
                <wp:positionV relativeFrom="paragraph">
                  <wp:posOffset>124699</wp:posOffset>
                </wp:positionV>
                <wp:extent cx="9339580" cy="8890"/>
                <wp:effectExtent l="0" t="0" r="0" b="0"/>
                <wp:wrapTopAndBottom/>
                <wp:docPr id="678" name="Graphic 67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50"/>
                              </a:moveTo>
                              <a:lnTo>
                                <a:pt x="9335110" y="50"/>
                              </a:lnTo>
                              <a:lnTo>
                                <a:pt x="8280" y="50"/>
                              </a:lnTo>
                              <a:lnTo>
                                <a:pt x="0" y="0"/>
                              </a:lnTo>
                              <a:lnTo>
                                <a:pt x="0" y="8280"/>
                              </a:lnTo>
                              <a:lnTo>
                                <a:pt x="9335110" y="8318"/>
                              </a:lnTo>
                              <a:lnTo>
                                <a:pt x="9338970" y="8318"/>
                              </a:lnTo>
                              <a:lnTo>
                                <a:pt x="9338970" y="5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678" o:spid="_x0000_s1221" style="width:735.4pt;height:0.7pt;margin-top:9.8pt;margin-left:28.5pt;mso-position-horizontal-relative:page;mso-wrap-distance-bottom:0;mso-wrap-distance-left:0;mso-wrap-distance-right:0;mso-wrap-distance-top:0;mso-wrap-style:square;position:absolute;visibility:visible;v-text-anchor:top;z-index:-251279360" coordsize="9339580,8890" path="m9338970,50l9335110,50l8280,50,,,,8280l9335110,8318l9338970,8318l9338970,50xe" fillcolor="gray" stroked="f">
                <v:path arrowok="t"/>
                <w10:wrap type="topAndBottom"/>
              </v:shape>
            </w:pict>
          </mc:Fallback>
        </mc:AlternateContent>
      </w:r>
    </w:p>
    <w:p w:rsidR="003F5784" w14:paraId="62E54CA9" w14:textId="77777777">
      <w:pPr>
        <w:pStyle w:val="BodyText"/>
        <w:rPr>
          <w:sz w:val="18"/>
        </w:rPr>
      </w:pPr>
    </w:p>
    <w:p w:rsidR="003F5784" w14:paraId="11BAC7F7" w14:textId="77777777">
      <w:pPr>
        <w:pStyle w:val="BodyText"/>
        <w:spacing w:before="206"/>
        <w:rPr>
          <w:sz w:val="18"/>
        </w:rPr>
      </w:pPr>
    </w:p>
    <w:p w:rsidR="003F5784" w14:paraId="4595F6AB" w14:textId="77777777">
      <w:pPr>
        <w:pStyle w:val="Heading1"/>
        <w:spacing w:line="244" w:lineRule="auto"/>
        <w:ind w:right="179"/>
      </w:pPr>
      <w:r>
        <w:t>NAEP</w:t>
      </w:r>
      <w:r>
        <w:rPr>
          <w:spacing w:val="-5"/>
        </w:rPr>
        <w:t xml:space="preserve"> </w:t>
      </w:r>
      <w:r>
        <w:t>Technical DocumentationParticipation, Exclusion, and Accommodation Rates for Age 9 Reading</w:t>
      </w:r>
    </w:p>
    <w:p w:rsidR="003F5784" w14:paraId="2524D0D8" w14:textId="77777777">
      <w:pPr>
        <w:pStyle w:val="BodyText"/>
        <w:spacing w:before="274" w:line="232" w:lineRule="auto"/>
        <w:ind w:left="109" w:right="179"/>
      </w:pPr>
      <w:r>
        <w:t>The following table displays the school-level participation rates and student-level participation, exclusion, and accommodation rates for the age 9 long-term trend reading assessment.</w:t>
      </w:r>
      <w:r>
        <w:rPr>
          <w:spacing w:val="-5"/>
        </w:rPr>
        <w:t xml:space="preserve"> </w:t>
      </w:r>
      <w:r>
        <w:t>Various</w:t>
      </w:r>
      <w:r>
        <w:rPr>
          <w:spacing w:val="-1"/>
        </w:rPr>
        <w:t xml:space="preserve"> </w:t>
      </w:r>
      <w:r>
        <w:t>weights</w:t>
      </w:r>
      <w:r>
        <w:rPr>
          <w:spacing w:val="-1"/>
        </w:rPr>
        <w:t xml:space="preserve"> </w:t>
      </w:r>
      <w:r>
        <w:t>were</w:t>
      </w:r>
      <w:r>
        <w:rPr>
          <w:spacing w:val="-1"/>
        </w:rPr>
        <w:t xml:space="preserve"> </w:t>
      </w:r>
      <w:r>
        <w:t>used</w:t>
      </w:r>
      <w:r>
        <w:rPr>
          <w:spacing w:val="-1"/>
        </w:rPr>
        <w:t xml:space="preserve"> </w:t>
      </w:r>
      <w:r>
        <w:t>in</w:t>
      </w:r>
      <w:r>
        <w:rPr>
          <w:spacing w:val="-1"/>
        </w:rPr>
        <w:t xml:space="preserve"> </w:t>
      </w:r>
      <w:r>
        <w:t>the</w:t>
      </w:r>
      <w:r>
        <w:rPr>
          <w:spacing w:val="-1"/>
        </w:rPr>
        <w:t xml:space="preserve"> </w:t>
      </w:r>
      <w:r>
        <w:t>calculation</w:t>
      </w:r>
      <w:r>
        <w:rPr>
          <w:spacing w:val="-1"/>
        </w:rPr>
        <w:t xml:space="preserve"> </w:t>
      </w:r>
      <w:r>
        <w:t>of</w:t>
      </w:r>
      <w:r>
        <w:rPr>
          <w:spacing w:val="-1"/>
        </w:rPr>
        <w:t xml:space="preserve"> </w:t>
      </w:r>
      <w:r>
        <w:t>the</w:t>
      </w:r>
      <w:r>
        <w:rPr>
          <w:spacing w:val="-1"/>
        </w:rPr>
        <w:t xml:space="preserve"> </w:t>
      </w:r>
      <w:r>
        <w:t>school</w:t>
      </w:r>
      <w:r>
        <w:rPr>
          <w:spacing w:val="-1"/>
        </w:rPr>
        <w:t xml:space="preserve"> </w:t>
      </w:r>
      <w:r>
        <w:t>rates,</w:t>
      </w:r>
      <w:r>
        <w:rPr>
          <w:spacing w:val="-1"/>
        </w:rPr>
        <w:t xml:space="preserve"> </w:t>
      </w:r>
      <w:r>
        <w:t>as</w:t>
      </w:r>
      <w:r>
        <w:rPr>
          <w:spacing w:val="-1"/>
        </w:rPr>
        <w:t xml:space="preserve"> </w:t>
      </w:r>
      <w:r>
        <w:t>indicated</w:t>
      </w:r>
      <w:r>
        <w:rPr>
          <w:spacing w:val="-1"/>
        </w:rPr>
        <w:t xml:space="preserve"> </w:t>
      </w:r>
      <w:r>
        <w:t>in</w:t>
      </w:r>
      <w:r>
        <w:rPr>
          <w:spacing w:val="-1"/>
        </w:rPr>
        <w:t xml:space="preserve"> </w:t>
      </w:r>
      <w:r>
        <w:t>the</w:t>
      </w:r>
      <w:r>
        <w:rPr>
          <w:spacing w:val="-1"/>
        </w:rPr>
        <w:t xml:space="preserve"> </w:t>
      </w:r>
      <w:r>
        <w:t>column</w:t>
      </w:r>
      <w:r>
        <w:rPr>
          <w:spacing w:val="-1"/>
        </w:rPr>
        <w:t xml:space="preserve"> </w:t>
      </w:r>
      <w:r>
        <w:t>headings</w:t>
      </w:r>
      <w:r>
        <w:rPr>
          <w:spacing w:val="-1"/>
        </w:rPr>
        <w:t xml:space="preserve"> </w:t>
      </w:r>
      <w:r>
        <w:t>of</w:t>
      </w:r>
      <w:r>
        <w:rPr>
          <w:spacing w:val="-1"/>
        </w:rPr>
        <w:t xml:space="preserve"> </w:t>
      </w:r>
      <w:r>
        <w:t>the</w:t>
      </w:r>
      <w:r>
        <w:rPr>
          <w:spacing w:val="-1"/>
        </w:rPr>
        <w:t xml:space="preserve"> </w:t>
      </w:r>
      <w:r>
        <w:t>table.</w:t>
      </w:r>
      <w:r>
        <w:rPr>
          <w:spacing w:val="-1"/>
        </w:rPr>
        <w:t xml:space="preserve"> </w:t>
      </w:r>
      <w:r>
        <w:t>For</w:t>
      </w:r>
      <w:r>
        <w:rPr>
          <w:spacing w:val="-1"/>
        </w:rPr>
        <w:t xml:space="preserve"> </w:t>
      </w:r>
      <w:r>
        <w:t>the</w:t>
      </w:r>
      <w:r>
        <w:rPr>
          <w:spacing w:val="-1"/>
        </w:rPr>
        <w:t xml:space="preserve"> </w:t>
      </w:r>
      <w:r>
        <w:t>student</w:t>
      </w:r>
      <w:r>
        <w:rPr>
          <w:spacing w:val="-1"/>
        </w:rPr>
        <w:t xml:space="preserve"> </w:t>
      </w:r>
      <w:r>
        <w:t>participation</w:t>
      </w:r>
      <w:r>
        <w:rPr>
          <w:spacing w:val="-1"/>
        </w:rPr>
        <w:t xml:space="preserve"> </w:t>
      </w:r>
      <w:r>
        <w:t>rates</w:t>
      </w:r>
      <w:r>
        <w:rPr>
          <w:spacing w:val="-1"/>
        </w:rPr>
        <w:t xml:space="preserve"> </w:t>
      </w:r>
      <w:r>
        <w:t>student</w:t>
      </w:r>
      <w:r>
        <w:rPr>
          <w:spacing w:val="-1"/>
        </w:rPr>
        <w:t xml:space="preserve"> </w:t>
      </w:r>
      <w:r>
        <w:t>base weights</w:t>
      </w:r>
      <w:r>
        <w:rPr>
          <w:spacing w:val="-6"/>
        </w:rPr>
        <w:t xml:space="preserve"> </w:t>
      </w:r>
      <w:r>
        <w:t>were</w:t>
      </w:r>
      <w:r>
        <w:rPr>
          <w:spacing w:val="-6"/>
        </w:rPr>
        <w:t xml:space="preserve"> </w:t>
      </w:r>
      <w:r>
        <w:t>used.</w:t>
      </w:r>
      <w:r>
        <w:rPr>
          <w:spacing w:val="-6"/>
        </w:rPr>
        <w:t xml:space="preserve"> </w:t>
      </w:r>
      <w:r>
        <w:t>For</w:t>
      </w:r>
      <w:r>
        <w:rPr>
          <w:spacing w:val="-6"/>
        </w:rPr>
        <w:t xml:space="preserve"> </w:t>
      </w:r>
      <w:r>
        <w:t>the</w:t>
      </w:r>
      <w:r>
        <w:rPr>
          <w:spacing w:val="-6"/>
        </w:rPr>
        <w:t xml:space="preserve"> </w:t>
      </w:r>
      <w:r>
        <w:t>student</w:t>
      </w:r>
      <w:r>
        <w:rPr>
          <w:spacing w:val="-6"/>
        </w:rPr>
        <w:t xml:space="preserve"> </w:t>
      </w:r>
      <w:r>
        <w:t>exclusion</w:t>
      </w:r>
      <w:r>
        <w:rPr>
          <w:spacing w:val="-6"/>
        </w:rPr>
        <w:t xml:space="preserve"> </w:t>
      </w:r>
      <w:r>
        <w:t>rates</w:t>
      </w:r>
      <w:r>
        <w:rPr>
          <w:spacing w:val="-6"/>
        </w:rPr>
        <w:t xml:space="preserve"> </w:t>
      </w:r>
      <w:r>
        <w:t>and</w:t>
      </w:r>
      <w:r>
        <w:rPr>
          <w:spacing w:val="-6"/>
        </w:rPr>
        <w:t xml:space="preserve"> </w:t>
      </w:r>
      <w:r>
        <w:t>accommodation</w:t>
      </w:r>
      <w:r>
        <w:rPr>
          <w:spacing w:val="-6"/>
        </w:rPr>
        <w:t xml:space="preserve"> </w:t>
      </w:r>
      <w:r>
        <w:t>rates,</w:t>
      </w:r>
      <w:r>
        <w:rPr>
          <w:spacing w:val="-6"/>
        </w:rPr>
        <w:t xml:space="preserve"> </w:t>
      </w:r>
      <w:r>
        <w:t>student</w:t>
      </w:r>
      <w:r>
        <w:rPr>
          <w:spacing w:val="-6"/>
        </w:rPr>
        <w:t xml:space="preserve"> </w:t>
      </w:r>
      <w:r>
        <w:t>base</w:t>
      </w:r>
      <w:r>
        <w:rPr>
          <w:spacing w:val="-6"/>
        </w:rPr>
        <w:t xml:space="preserve"> </w:t>
      </w:r>
      <w:r>
        <w:t>weights</w:t>
      </w:r>
      <w:r>
        <w:rPr>
          <w:spacing w:val="-6"/>
        </w:rPr>
        <w:t xml:space="preserve"> </w:t>
      </w:r>
      <w:r>
        <w:t>with</w:t>
      </w:r>
      <w:r>
        <w:rPr>
          <w:spacing w:val="-6"/>
        </w:rPr>
        <w:t xml:space="preserve"> </w:t>
      </w:r>
      <w:r>
        <w:t>adjustment</w:t>
      </w:r>
      <w:r>
        <w:rPr>
          <w:spacing w:val="-6"/>
        </w:rPr>
        <w:t xml:space="preserve"> </w:t>
      </w:r>
      <w:r>
        <w:t>for</w:t>
      </w:r>
      <w:r>
        <w:rPr>
          <w:spacing w:val="-6"/>
        </w:rPr>
        <w:t xml:space="preserve"> </w:t>
      </w:r>
      <w:r>
        <w:t>school</w:t>
      </w:r>
      <w:r>
        <w:rPr>
          <w:spacing w:val="-6"/>
        </w:rPr>
        <w:t xml:space="preserve"> </w:t>
      </w:r>
      <w:r>
        <w:t>nonresponse</w:t>
      </w:r>
      <w:r>
        <w:rPr>
          <w:spacing w:val="-6"/>
        </w:rPr>
        <w:t xml:space="preserve"> </w:t>
      </w:r>
      <w:r>
        <w:t>were</w:t>
      </w:r>
      <w:r>
        <w:rPr>
          <w:spacing w:val="-6"/>
        </w:rPr>
        <w:t xml:space="preserve"> </w:t>
      </w:r>
      <w:r>
        <w:t>used.</w:t>
      </w:r>
      <w:r>
        <w:rPr>
          <w:spacing w:val="-6"/>
        </w:rPr>
        <w:t xml:space="preserve"> </w:t>
      </w:r>
      <w:r>
        <w:t>Different</w:t>
      </w:r>
      <w:r>
        <w:rPr>
          <w:spacing w:val="-6"/>
        </w:rPr>
        <w:t xml:space="preserve"> </w:t>
      </w:r>
      <w:r>
        <w:t>weights</w:t>
      </w:r>
      <w:r>
        <w:rPr>
          <w:spacing w:val="-6"/>
        </w:rPr>
        <w:t xml:space="preserve"> </w:t>
      </w:r>
      <w:r>
        <w:t>were used</w:t>
      </w:r>
      <w:r>
        <w:rPr>
          <w:spacing w:val="-7"/>
        </w:rPr>
        <w:t xml:space="preserve"> </w:t>
      </w:r>
      <w:r>
        <w:t>at</w:t>
      </w:r>
      <w:r>
        <w:rPr>
          <w:spacing w:val="-7"/>
        </w:rPr>
        <w:t xml:space="preserve"> </w:t>
      </w:r>
      <w:r>
        <w:t>the</w:t>
      </w:r>
      <w:r>
        <w:rPr>
          <w:spacing w:val="-7"/>
        </w:rPr>
        <w:t xml:space="preserve"> </w:t>
      </w:r>
      <w:r>
        <w:t>student</w:t>
      </w:r>
      <w:r>
        <w:rPr>
          <w:spacing w:val="-7"/>
        </w:rPr>
        <w:t xml:space="preserve"> </w:t>
      </w:r>
      <w:r>
        <w:t>level</w:t>
      </w:r>
      <w:r>
        <w:rPr>
          <w:spacing w:val="-7"/>
        </w:rPr>
        <w:t xml:space="preserve"> </w:t>
      </w:r>
      <w:r>
        <w:t>because</w:t>
      </w:r>
      <w:r>
        <w:rPr>
          <w:spacing w:val="-7"/>
        </w:rPr>
        <w:t xml:space="preserve"> </w:t>
      </w:r>
      <w:r>
        <w:t>the</w:t>
      </w:r>
      <w:r>
        <w:rPr>
          <w:spacing w:val="-7"/>
        </w:rPr>
        <w:t xml:space="preserve"> </w:t>
      </w:r>
      <w:r>
        <w:t>student</w:t>
      </w:r>
      <w:r>
        <w:rPr>
          <w:spacing w:val="-7"/>
        </w:rPr>
        <w:t xml:space="preserve"> </w:t>
      </w:r>
      <w:r>
        <w:t>participation</w:t>
      </w:r>
      <w:r>
        <w:rPr>
          <w:spacing w:val="-7"/>
        </w:rPr>
        <w:t xml:space="preserve"> </w:t>
      </w:r>
      <w:r>
        <w:t>rates</w:t>
      </w:r>
      <w:r>
        <w:rPr>
          <w:spacing w:val="-7"/>
        </w:rPr>
        <w:t xml:space="preserve"> </w:t>
      </w:r>
      <w:r>
        <w:t>are</w:t>
      </w:r>
      <w:r>
        <w:rPr>
          <w:spacing w:val="-7"/>
        </w:rPr>
        <w:t xml:space="preserve"> </w:t>
      </w:r>
      <w:r>
        <w:t>conditional</w:t>
      </w:r>
      <w:r>
        <w:rPr>
          <w:spacing w:val="-7"/>
        </w:rPr>
        <w:t xml:space="preserve"> </w:t>
      </w:r>
      <w:r>
        <w:t>on</w:t>
      </w:r>
      <w:r>
        <w:rPr>
          <w:spacing w:val="-7"/>
        </w:rPr>
        <w:t xml:space="preserve"> </w:t>
      </w:r>
      <w:r>
        <w:t>(i.e.,</w:t>
      </w:r>
      <w:r>
        <w:rPr>
          <w:spacing w:val="-7"/>
        </w:rPr>
        <w:t xml:space="preserve"> </w:t>
      </w:r>
      <w:r>
        <w:t>computed</w:t>
      </w:r>
      <w:r>
        <w:rPr>
          <w:spacing w:val="-7"/>
        </w:rPr>
        <w:t xml:space="preserve"> </w:t>
      </w:r>
      <w:r>
        <w:t>within)</w:t>
      </w:r>
      <w:r>
        <w:rPr>
          <w:spacing w:val="-7"/>
        </w:rPr>
        <w:t xml:space="preserve"> </w:t>
      </w:r>
      <w:r>
        <w:t>the</w:t>
      </w:r>
      <w:r>
        <w:rPr>
          <w:spacing w:val="-7"/>
        </w:rPr>
        <w:t xml:space="preserve"> </w:t>
      </w:r>
      <w:r>
        <w:t>participating</w:t>
      </w:r>
      <w:r>
        <w:rPr>
          <w:spacing w:val="-7"/>
        </w:rPr>
        <w:t xml:space="preserve"> </w:t>
      </w:r>
      <w:r>
        <w:t>schools,</w:t>
      </w:r>
      <w:r>
        <w:rPr>
          <w:spacing w:val="-7"/>
        </w:rPr>
        <w:t xml:space="preserve"> </w:t>
      </w:r>
      <w:r>
        <w:t>whereas</w:t>
      </w:r>
      <w:r>
        <w:rPr>
          <w:spacing w:val="-7"/>
        </w:rPr>
        <w:t xml:space="preserve"> </w:t>
      </w:r>
      <w:r>
        <w:t>the</w:t>
      </w:r>
      <w:r>
        <w:rPr>
          <w:spacing w:val="-7"/>
        </w:rPr>
        <w:t xml:space="preserve"> </w:t>
      </w:r>
      <w:r>
        <w:t>exclusion</w:t>
      </w:r>
      <w:r>
        <w:rPr>
          <w:spacing w:val="-7"/>
        </w:rPr>
        <w:t xml:space="preserve"> </w:t>
      </w:r>
      <w:r>
        <w:t>and</w:t>
      </w:r>
      <w:r>
        <w:rPr>
          <w:spacing w:val="-7"/>
        </w:rPr>
        <w:t xml:space="preserve"> </w:t>
      </w:r>
      <w:r>
        <w:t>accommodation rates are population estimates.</w:t>
      </w:r>
    </w:p>
    <w:p w:rsidR="003F5784" w14:paraId="106CB654" w14:textId="77777777">
      <w:pPr>
        <w:pStyle w:val="BodyText"/>
        <w:spacing w:before="210" w:line="232" w:lineRule="auto"/>
        <w:ind w:left="109"/>
      </w:pPr>
      <w:r>
        <w:t>The school participation rates reflect the participation of the original sampled schools only and do not reflect any effect of substitution.</w:t>
      </w:r>
      <w:r>
        <w:rPr>
          <w:spacing w:val="-3"/>
        </w:rPr>
        <w:t xml:space="preserve"> </w:t>
      </w:r>
      <w:r>
        <w:t>The rates weighted by the school base weight</w:t>
      </w:r>
      <w:r>
        <w:rPr>
          <w:spacing w:val="-6"/>
        </w:rPr>
        <w:t xml:space="preserve"> </w:t>
      </w:r>
      <w:r>
        <w:t>and</w:t>
      </w:r>
      <w:r>
        <w:rPr>
          <w:spacing w:val="-6"/>
        </w:rPr>
        <w:t xml:space="preserve"> </w:t>
      </w:r>
      <w:r>
        <w:t>enrollment</w:t>
      </w:r>
      <w:r>
        <w:rPr>
          <w:spacing w:val="-6"/>
        </w:rPr>
        <w:t xml:space="preserve"> </w:t>
      </w:r>
      <w:r>
        <w:t>show</w:t>
      </w:r>
      <w:r>
        <w:rPr>
          <w:spacing w:val="-6"/>
        </w:rPr>
        <w:t xml:space="preserve"> </w:t>
      </w:r>
      <w:r>
        <w:t>the</w:t>
      </w:r>
      <w:r>
        <w:rPr>
          <w:spacing w:val="-6"/>
        </w:rPr>
        <w:t xml:space="preserve"> </w:t>
      </w:r>
      <w:r>
        <w:t>approximate</w:t>
      </w:r>
      <w:r>
        <w:rPr>
          <w:spacing w:val="-6"/>
        </w:rPr>
        <w:t xml:space="preserve"> </w:t>
      </w:r>
      <w:r>
        <w:t>proportion</w:t>
      </w:r>
      <w:r>
        <w:rPr>
          <w:spacing w:val="-6"/>
        </w:rPr>
        <w:t xml:space="preserve"> </w:t>
      </w:r>
      <w:r>
        <w:t>of</w:t>
      </w:r>
      <w:r>
        <w:rPr>
          <w:spacing w:val="-6"/>
        </w:rPr>
        <w:t xml:space="preserve"> </w:t>
      </w:r>
      <w:r>
        <w:t>the</w:t>
      </w:r>
      <w:r>
        <w:rPr>
          <w:spacing w:val="-6"/>
        </w:rPr>
        <w:t xml:space="preserve"> </w:t>
      </w:r>
      <w:r>
        <w:t>student</w:t>
      </w:r>
      <w:r>
        <w:rPr>
          <w:spacing w:val="-6"/>
        </w:rPr>
        <w:t xml:space="preserve"> </w:t>
      </w:r>
      <w:r>
        <w:t>population</w:t>
      </w:r>
      <w:r>
        <w:rPr>
          <w:spacing w:val="-6"/>
        </w:rPr>
        <w:t xml:space="preserve"> </w:t>
      </w:r>
      <w:r>
        <w:t>in</w:t>
      </w:r>
      <w:r>
        <w:rPr>
          <w:spacing w:val="-6"/>
        </w:rPr>
        <w:t xml:space="preserve"> </w:t>
      </w:r>
      <w:r>
        <w:t>the</w:t>
      </w:r>
      <w:r>
        <w:rPr>
          <w:spacing w:val="-6"/>
        </w:rPr>
        <w:t xml:space="preserve"> </w:t>
      </w:r>
      <w:r>
        <w:t>domain</w:t>
      </w:r>
      <w:r>
        <w:rPr>
          <w:spacing w:val="-6"/>
        </w:rPr>
        <w:t xml:space="preserve"> </w:t>
      </w:r>
      <w:r>
        <w:t>that</w:t>
      </w:r>
      <w:r>
        <w:rPr>
          <w:spacing w:val="-6"/>
        </w:rPr>
        <w:t xml:space="preserve"> </w:t>
      </w:r>
      <w:r>
        <w:t>is</w:t>
      </w:r>
      <w:r>
        <w:rPr>
          <w:spacing w:val="-6"/>
        </w:rPr>
        <w:t xml:space="preserve"> </w:t>
      </w:r>
      <w:r>
        <w:t>represented</w:t>
      </w:r>
      <w:r>
        <w:rPr>
          <w:spacing w:val="-6"/>
        </w:rPr>
        <w:t xml:space="preserve"> </w:t>
      </w:r>
      <w:r>
        <w:t>by</w:t>
      </w:r>
      <w:r>
        <w:rPr>
          <w:spacing w:val="-6"/>
        </w:rPr>
        <w:t xml:space="preserve"> </w:t>
      </w:r>
      <w:r>
        <w:t>the</w:t>
      </w:r>
      <w:r>
        <w:rPr>
          <w:spacing w:val="-6"/>
        </w:rPr>
        <w:t xml:space="preserve"> </w:t>
      </w:r>
      <w:r>
        <w:t>responding</w:t>
      </w:r>
      <w:r>
        <w:rPr>
          <w:spacing w:val="-6"/>
        </w:rPr>
        <w:t xml:space="preserve"> </w:t>
      </w:r>
      <w:r>
        <w:t>schools</w:t>
      </w:r>
      <w:r>
        <w:rPr>
          <w:spacing w:val="-6"/>
        </w:rPr>
        <w:t xml:space="preserve"> </w:t>
      </w:r>
      <w:r>
        <w:t>in</w:t>
      </w:r>
      <w:r>
        <w:rPr>
          <w:spacing w:val="-6"/>
        </w:rPr>
        <w:t xml:space="preserve"> </w:t>
      </w:r>
      <w:r>
        <w:t>the</w:t>
      </w:r>
      <w:r>
        <w:rPr>
          <w:spacing w:val="-6"/>
        </w:rPr>
        <w:t xml:space="preserve"> </w:t>
      </w:r>
      <w:r>
        <w:t>sample.</w:t>
      </w:r>
      <w:r>
        <w:rPr>
          <w:spacing w:val="-10"/>
        </w:rPr>
        <w:t xml:space="preserve"> </w:t>
      </w:r>
      <w:r>
        <w:t>The</w:t>
      </w:r>
      <w:r>
        <w:rPr>
          <w:spacing w:val="-6"/>
        </w:rPr>
        <w:t xml:space="preserve"> </w:t>
      </w:r>
      <w:r>
        <w:t>rates</w:t>
      </w:r>
      <w:r>
        <w:rPr>
          <w:spacing w:val="-6"/>
        </w:rPr>
        <w:t xml:space="preserve"> </w:t>
      </w:r>
      <w:r>
        <w:t>weighted</w:t>
      </w:r>
    </w:p>
    <w:p w:rsidR="003F5784" w14:paraId="359B6F69" w14:textId="77777777">
      <w:pPr>
        <w:spacing w:line="232" w:lineRule="auto"/>
        <w:sectPr>
          <w:pgSz w:w="15840" w:h="12240" w:orient="landscape"/>
          <w:pgMar w:top="480" w:right="440" w:bottom="460" w:left="460" w:header="284" w:footer="275" w:gutter="0"/>
          <w:cols w:space="720"/>
        </w:sectPr>
      </w:pPr>
    </w:p>
    <w:p w:rsidR="003F5784" w14:paraId="270DE025" w14:textId="77777777">
      <w:pPr>
        <w:pStyle w:val="BodyText"/>
        <w:spacing w:before="78" w:line="232" w:lineRule="auto"/>
        <w:ind w:left="109" w:right="318"/>
      </w:pPr>
      <w:r>
        <w:t>by</w:t>
      </w:r>
      <w:r>
        <w:rPr>
          <w:spacing w:val="-6"/>
        </w:rPr>
        <w:t xml:space="preserve"> </w:t>
      </w:r>
      <w:r>
        <w:t>just</w:t>
      </w:r>
      <w:r>
        <w:rPr>
          <w:spacing w:val="-6"/>
        </w:rPr>
        <w:t xml:space="preserve"> </w:t>
      </w:r>
      <w:r>
        <w:t>the</w:t>
      </w:r>
      <w:r>
        <w:rPr>
          <w:spacing w:val="-6"/>
        </w:rPr>
        <w:t xml:space="preserve"> </w:t>
      </w:r>
      <w:r>
        <w:t>base</w:t>
      </w:r>
      <w:r>
        <w:rPr>
          <w:spacing w:val="-6"/>
        </w:rPr>
        <w:t xml:space="preserve"> </w:t>
      </w:r>
      <w:r>
        <w:t>weight</w:t>
      </w:r>
      <w:r>
        <w:rPr>
          <w:spacing w:val="-6"/>
        </w:rPr>
        <w:t xml:space="preserve"> </w:t>
      </w:r>
      <w:r>
        <w:t>show</w:t>
      </w:r>
      <w:r>
        <w:rPr>
          <w:spacing w:val="-6"/>
        </w:rPr>
        <w:t xml:space="preserve"> </w:t>
      </w:r>
      <w:r>
        <w:t>the</w:t>
      </w:r>
      <w:r>
        <w:rPr>
          <w:spacing w:val="-6"/>
        </w:rPr>
        <w:t xml:space="preserve"> </w:t>
      </w:r>
      <w:r>
        <w:t>proportion</w:t>
      </w:r>
      <w:r>
        <w:rPr>
          <w:spacing w:val="-6"/>
        </w:rPr>
        <w:t xml:space="preserve"> </w:t>
      </w:r>
      <w:r>
        <w:t>of</w:t>
      </w:r>
      <w:r>
        <w:rPr>
          <w:spacing w:val="-6"/>
        </w:rPr>
        <w:t xml:space="preserve"> </w:t>
      </w:r>
      <w:r>
        <w:t>the</w:t>
      </w:r>
      <w:r>
        <w:rPr>
          <w:spacing w:val="-6"/>
        </w:rPr>
        <w:t xml:space="preserve"> </w:t>
      </w:r>
      <w:r>
        <w:t>school</w:t>
      </w:r>
      <w:r>
        <w:rPr>
          <w:spacing w:val="-6"/>
        </w:rPr>
        <w:t xml:space="preserve"> </w:t>
      </w:r>
      <w:r>
        <w:t>population</w:t>
      </w:r>
      <w:r>
        <w:rPr>
          <w:spacing w:val="-6"/>
        </w:rPr>
        <w:t xml:space="preserve"> </w:t>
      </w:r>
      <w:r>
        <w:t>that</w:t>
      </w:r>
      <w:r>
        <w:rPr>
          <w:spacing w:val="-6"/>
        </w:rPr>
        <w:t xml:space="preserve"> </w:t>
      </w:r>
      <w:r>
        <w:t>is</w:t>
      </w:r>
      <w:r>
        <w:rPr>
          <w:spacing w:val="-6"/>
        </w:rPr>
        <w:t xml:space="preserve"> </w:t>
      </w:r>
      <w:r>
        <w:t>represented</w:t>
      </w:r>
      <w:r>
        <w:rPr>
          <w:spacing w:val="-6"/>
        </w:rPr>
        <w:t xml:space="preserve"> </w:t>
      </w:r>
      <w:r>
        <w:t>by</w:t>
      </w:r>
      <w:r>
        <w:rPr>
          <w:spacing w:val="-6"/>
        </w:rPr>
        <w:t xml:space="preserve"> </w:t>
      </w:r>
      <w:r>
        <w:t>the</w:t>
      </w:r>
      <w:r>
        <w:rPr>
          <w:spacing w:val="-6"/>
        </w:rPr>
        <w:t xml:space="preserve"> </w:t>
      </w:r>
      <w:r>
        <w:t>responding</w:t>
      </w:r>
      <w:r>
        <w:rPr>
          <w:spacing w:val="-6"/>
        </w:rPr>
        <w:t xml:space="preserve"> </w:t>
      </w:r>
      <w:r>
        <w:t>schools</w:t>
      </w:r>
      <w:r>
        <w:rPr>
          <w:spacing w:val="-6"/>
        </w:rPr>
        <w:t xml:space="preserve"> </w:t>
      </w:r>
      <w:r>
        <w:t>in</w:t>
      </w:r>
      <w:r>
        <w:rPr>
          <w:spacing w:val="-6"/>
        </w:rPr>
        <w:t xml:space="preserve"> </w:t>
      </w:r>
      <w:r>
        <w:t>the</w:t>
      </w:r>
      <w:r>
        <w:rPr>
          <w:spacing w:val="-6"/>
        </w:rPr>
        <w:t xml:space="preserve"> </w:t>
      </w:r>
      <w:r>
        <w:t>sample.</w:t>
      </w:r>
      <w:r>
        <w:rPr>
          <w:spacing w:val="-9"/>
        </w:rPr>
        <w:t xml:space="preserve"> </w:t>
      </w:r>
      <w:r>
        <w:t>These</w:t>
      </w:r>
      <w:r>
        <w:rPr>
          <w:spacing w:val="-6"/>
        </w:rPr>
        <w:t xml:space="preserve"> </w:t>
      </w:r>
      <w:r>
        <w:t>rates</w:t>
      </w:r>
      <w:r>
        <w:rPr>
          <w:spacing w:val="-6"/>
        </w:rPr>
        <w:t xml:space="preserve"> </w:t>
      </w:r>
      <w:r>
        <w:t>differ</w:t>
      </w:r>
      <w:r>
        <w:rPr>
          <w:spacing w:val="-6"/>
        </w:rPr>
        <w:t xml:space="preserve"> </w:t>
      </w:r>
      <w:r>
        <w:t>because</w:t>
      </w:r>
      <w:r>
        <w:rPr>
          <w:spacing w:val="-6"/>
        </w:rPr>
        <w:t xml:space="preserve"> </w:t>
      </w:r>
      <w:r>
        <w:t>schools</w:t>
      </w:r>
      <w:r>
        <w:rPr>
          <w:spacing w:val="-6"/>
        </w:rPr>
        <w:t xml:space="preserve"> </w:t>
      </w:r>
      <w:r>
        <w:t>differ</w:t>
      </w:r>
      <w:r>
        <w:rPr>
          <w:spacing w:val="-6"/>
        </w:rPr>
        <w:t xml:space="preserve"> </w:t>
      </w:r>
      <w:r>
        <w:t xml:space="preserve">in </w:t>
      </w:r>
      <w:r>
        <w:rPr>
          <w:spacing w:val="-2"/>
        </w:rPr>
        <w:t>size.</w:t>
      </w:r>
    </w:p>
    <w:p w:rsidR="003F5784" w14:paraId="5A5CAC7A" w14:textId="77777777">
      <w:pPr>
        <w:pStyle w:val="BodyText"/>
        <w:spacing w:before="92"/>
      </w:pPr>
    </w:p>
    <w:p w:rsidR="003F5784" w14:paraId="3051B7A3" w14:textId="77777777">
      <w:pPr>
        <w:pStyle w:val="Heading2"/>
      </w:pPr>
      <w:r>
        <w:t>Participation,</w:t>
      </w:r>
      <w:r>
        <w:rPr>
          <w:spacing w:val="-8"/>
        </w:rPr>
        <w:t xml:space="preserve"> </w:t>
      </w:r>
      <w:r>
        <w:t>exclusion,</w:t>
      </w:r>
      <w:r>
        <w:rPr>
          <w:spacing w:val="-7"/>
        </w:rPr>
        <w:t xml:space="preserve"> </w:t>
      </w:r>
      <w:r>
        <w:t>and</w:t>
      </w:r>
      <w:r>
        <w:rPr>
          <w:spacing w:val="-7"/>
        </w:rPr>
        <w:t xml:space="preserve"> </w:t>
      </w:r>
      <w:r>
        <w:t>accommodation</w:t>
      </w:r>
      <w:r>
        <w:rPr>
          <w:spacing w:val="-8"/>
        </w:rPr>
        <w:t xml:space="preserve"> </w:t>
      </w:r>
      <w:r>
        <w:t>rates,</w:t>
      </w:r>
      <w:r>
        <w:rPr>
          <w:spacing w:val="-7"/>
        </w:rPr>
        <w:t xml:space="preserve"> </w:t>
      </w:r>
      <w:r>
        <w:t>age</w:t>
      </w:r>
      <w:r>
        <w:rPr>
          <w:spacing w:val="-7"/>
        </w:rPr>
        <w:t xml:space="preserve"> </w:t>
      </w:r>
      <w:r>
        <w:t>9</w:t>
      </w:r>
      <w:r>
        <w:rPr>
          <w:spacing w:val="-7"/>
        </w:rPr>
        <w:t xml:space="preserve"> </w:t>
      </w:r>
      <w:r>
        <w:t>long-term</w:t>
      </w:r>
      <w:r>
        <w:rPr>
          <w:spacing w:val="-8"/>
        </w:rPr>
        <w:t xml:space="preserve"> </w:t>
      </w:r>
      <w:r>
        <w:t>trend</w:t>
      </w:r>
      <w:r>
        <w:rPr>
          <w:spacing w:val="-7"/>
        </w:rPr>
        <w:t xml:space="preserve"> </w:t>
      </w:r>
      <w:r>
        <w:t>reading</w:t>
      </w:r>
      <w:r>
        <w:rPr>
          <w:spacing w:val="-7"/>
        </w:rPr>
        <w:t xml:space="preserve"> </w:t>
      </w:r>
      <w:r>
        <w:t>assessment,</w:t>
      </w:r>
      <w:r>
        <w:rPr>
          <w:spacing w:val="-8"/>
        </w:rPr>
        <w:t xml:space="preserve"> </w:t>
      </w:r>
      <w:r>
        <w:t>by</w:t>
      </w:r>
      <w:r>
        <w:rPr>
          <w:spacing w:val="-7"/>
        </w:rPr>
        <w:t xml:space="preserve"> </w:t>
      </w:r>
      <w:r>
        <w:t>school</w:t>
      </w:r>
      <w:r>
        <w:rPr>
          <w:spacing w:val="-7"/>
        </w:rPr>
        <w:t xml:space="preserve"> </w:t>
      </w:r>
      <w:r>
        <w:t>type</w:t>
      </w:r>
      <w:r>
        <w:rPr>
          <w:spacing w:val="-7"/>
        </w:rPr>
        <w:t xml:space="preserve"> </w:t>
      </w:r>
      <w:r>
        <w:t>and</w:t>
      </w:r>
      <w:r>
        <w:rPr>
          <w:spacing w:val="-8"/>
        </w:rPr>
        <w:t xml:space="preserve"> </w:t>
      </w:r>
      <w:r>
        <w:rPr>
          <w:sz w:val="20"/>
        </w:rPr>
        <w:t>geographic</w:t>
      </w:r>
      <w:r>
        <w:rPr>
          <w:spacing w:val="-6"/>
          <w:sz w:val="20"/>
        </w:rPr>
        <w:t xml:space="preserve"> </w:t>
      </w:r>
      <w:r>
        <w:rPr>
          <w:sz w:val="20"/>
        </w:rPr>
        <w:t>region</w:t>
      </w:r>
      <w:r>
        <w:t>:</w:t>
      </w:r>
      <w:r>
        <w:rPr>
          <w:spacing w:val="-7"/>
        </w:rPr>
        <w:t xml:space="preserve"> </w:t>
      </w:r>
      <w:r>
        <w:rPr>
          <w:spacing w:val="-4"/>
        </w:rPr>
        <w:t>2022</w:t>
      </w:r>
    </w:p>
    <w:p w:rsidR="003F5784" w14:paraId="49FEB098"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3181"/>
        <w:gridCol w:w="1188"/>
        <w:gridCol w:w="1979"/>
        <w:gridCol w:w="1834"/>
        <w:gridCol w:w="1264"/>
        <w:gridCol w:w="1274"/>
        <w:gridCol w:w="1559"/>
        <w:gridCol w:w="1712"/>
      </w:tblGrid>
      <w:tr w14:paraId="2521A0A6" w14:textId="77777777">
        <w:tblPrEx>
          <w:tblW w:w="0" w:type="auto"/>
          <w:tblInd w:w="482" w:type="dxa"/>
          <w:tblLayout w:type="fixed"/>
          <w:tblCellMar>
            <w:left w:w="0" w:type="dxa"/>
            <w:right w:w="0" w:type="dxa"/>
          </w:tblCellMar>
          <w:tblLook w:val="01E0"/>
        </w:tblPrEx>
        <w:trPr>
          <w:trHeight w:val="1440"/>
        </w:trPr>
        <w:tc>
          <w:tcPr>
            <w:tcW w:w="3181" w:type="dxa"/>
            <w:tcBorders>
              <w:top w:val="single" w:sz="18" w:space="0" w:color="800000"/>
              <w:bottom w:val="single" w:sz="18" w:space="0" w:color="800000"/>
            </w:tcBorders>
          </w:tcPr>
          <w:p w:rsidR="003F5784" w14:paraId="4AC9A2E4" w14:textId="77777777">
            <w:pPr>
              <w:pStyle w:val="TableParagraph"/>
              <w:spacing w:before="0"/>
              <w:jc w:val="left"/>
              <w:rPr>
                <w:b/>
                <w:sz w:val="21"/>
              </w:rPr>
            </w:pPr>
          </w:p>
          <w:p w:rsidR="003F5784" w14:paraId="347ADF58" w14:textId="77777777">
            <w:pPr>
              <w:pStyle w:val="TableParagraph"/>
              <w:spacing w:before="0"/>
              <w:jc w:val="left"/>
              <w:rPr>
                <w:b/>
                <w:sz w:val="21"/>
              </w:rPr>
            </w:pPr>
          </w:p>
          <w:p w:rsidR="003F5784" w14:paraId="68D6F6A0" w14:textId="77777777">
            <w:pPr>
              <w:pStyle w:val="TableParagraph"/>
              <w:spacing w:before="0"/>
              <w:jc w:val="left"/>
              <w:rPr>
                <w:b/>
                <w:sz w:val="21"/>
              </w:rPr>
            </w:pPr>
          </w:p>
          <w:p w:rsidR="003F5784" w14:paraId="19C05927" w14:textId="77777777">
            <w:pPr>
              <w:pStyle w:val="TableParagraph"/>
              <w:spacing w:before="216"/>
              <w:jc w:val="left"/>
              <w:rPr>
                <w:b/>
                <w:sz w:val="21"/>
              </w:rPr>
            </w:pPr>
          </w:p>
          <w:p w:rsidR="003F5784" w14:paraId="0328FEC5" w14:textId="77777777">
            <w:pPr>
              <w:pStyle w:val="TableParagraph"/>
              <w:spacing w:before="0" w:line="238" w:lineRule="exact"/>
              <w:ind w:left="120"/>
              <w:jc w:val="left"/>
              <w:rPr>
                <w:sz w:val="21"/>
              </w:rPr>
            </w:pPr>
            <w:r>
              <w:rPr>
                <w:sz w:val="21"/>
              </w:rPr>
              <w:t>School</w:t>
            </w:r>
            <w:r>
              <w:rPr>
                <w:spacing w:val="-7"/>
                <w:sz w:val="21"/>
              </w:rPr>
              <w:t xml:space="preserve"> </w:t>
            </w:r>
            <w:r>
              <w:rPr>
                <w:sz w:val="21"/>
              </w:rPr>
              <w:t>type</w:t>
            </w:r>
            <w:r>
              <w:rPr>
                <w:spacing w:val="-6"/>
                <w:sz w:val="21"/>
              </w:rPr>
              <w:t xml:space="preserve"> </w:t>
            </w:r>
            <w:r>
              <w:rPr>
                <w:sz w:val="21"/>
              </w:rPr>
              <w:t>and</w:t>
            </w:r>
            <w:r>
              <w:rPr>
                <w:spacing w:val="-7"/>
                <w:sz w:val="21"/>
              </w:rPr>
              <w:t xml:space="preserve"> </w:t>
            </w:r>
            <w:r>
              <w:rPr>
                <w:sz w:val="21"/>
              </w:rPr>
              <w:t>geographic</w:t>
            </w:r>
            <w:r>
              <w:rPr>
                <w:spacing w:val="-6"/>
                <w:sz w:val="21"/>
              </w:rPr>
              <w:t xml:space="preserve"> </w:t>
            </w:r>
            <w:r>
              <w:rPr>
                <w:spacing w:val="-2"/>
                <w:sz w:val="21"/>
              </w:rPr>
              <w:t>region</w:t>
            </w:r>
          </w:p>
        </w:tc>
        <w:tc>
          <w:tcPr>
            <w:tcW w:w="1188" w:type="dxa"/>
            <w:tcBorders>
              <w:top w:val="single" w:sz="18" w:space="0" w:color="800000"/>
              <w:bottom w:val="single" w:sz="18" w:space="0" w:color="800000"/>
            </w:tcBorders>
          </w:tcPr>
          <w:p w:rsidR="003F5784" w14:paraId="56C277A0" w14:textId="77777777">
            <w:pPr>
              <w:pStyle w:val="TableParagraph"/>
              <w:spacing w:before="9"/>
              <w:jc w:val="left"/>
              <w:rPr>
                <w:b/>
                <w:sz w:val="21"/>
              </w:rPr>
            </w:pPr>
          </w:p>
          <w:p w:rsidR="003F5784" w14:paraId="7D740778" w14:textId="77777777">
            <w:pPr>
              <w:pStyle w:val="TableParagraph"/>
              <w:spacing w:before="0" w:line="234" w:lineRule="exact"/>
              <w:ind w:left="221" w:right="124" w:hanging="70"/>
              <w:rPr>
                <w:sz w:val="21"/>
              </w:rPr>
            </w:pPr>
            <w:r>
              <w:rPr>
                <w:sz w:val="21"/>
              </w:rPr>
              <w:t>Number</w:t>
            </w:r>
            <w:r>
              <w:rPr>
                <w:spacing w:val="-14"/>
                <w:sz w:val="21"/>
              </w:rPr>
              <w:t xml:space="preserve"> </w:t>
            </w:r>
            <w:r>
              <w:rPr>
                <w:sz w:val="21"/>
              </w:rPr>
              <w:t>of schools</w:t>
            </w:r>
            <w:r>
              <w:rPr>
                <w:spacing w:val="-14"/>
                <w:sz w:val="21"/>
              </w:rPr>
              <w:t xml:space="preserve"> </w:t>
            </w:r>
            <w:r>
              <w:rPr>
                <w:sz w:val="21"/>
              </w:rPr>
              <w:t xml:space="preserve">in </w:t>
            </w:r>
            <w:r>
              <w:rPr>
                <w:spacing w:val="-2"/>
                <w:sz w:val="21"/>
              </w:rPr>
              <w:t>original sample, rounded</w:t>
            </w:r>
          </w:p>
        </w:tc>
        <w:tc>
          <w:tcPr>
            <w:tcW w:w="1979" w:type="dxa"/>
            <w:tcBorders>
              <w:top w:val="single" w:sz="18" w:space="0" w:color="800000"/>
              <w:bottom w:val="single" w:sz="18" w:space="0" w:color="800000"/>
            </w:tcBorders>
          </w:tcPr>
          <w:p w:rsidR="003F5784" w14:paraId="674F8F56" w14:textId="77777777">
            <w:pPr>
              <w:pStyle w:val="TableParagraph"/>
              <w:spacing w:before="15" w:line="232" w:lineRule="auto"/>
              <w:ind w:left="251" w:right="167" w:hanging="128"/>
              <w:rPr>
                <w:sz w:val="21"/>
              </w:rPr>
            </w:pPr>
            <w:r>
              <w:rPr>
                <w:spacing w:val="-2"/>
                <w:sz w:val="21"/>
              </w:rPr>
              <w:t>School</w:t>
            </w:r>
            <w:r>
              <w:rPr>
                <w:spacing w:val="-11"/>
                <w:sz w:val="21"/>
              </w:rPr>
              <w:t xml:space="preserve"> </w:t>
            </w:r>
            <w:r>
              <w:rPr>
                <w:spacing w:val="-2"/>
                <w:sz w:val="21"/>
              </w:rPr>
              <w:t xml:space="preserve">participation </w:t>
            </w:r>
            <w:r>
              <w:rPr>
                <w:sz w:val="21"/>
              </w:rPr>
              <w:t xml:space="preserve">rates (percent) </w:t>
            </w:r>
            <w:r>
              <w:rPr>
                <w:spacing w:val="-2"/>
                <w:sz w:val="21"/>
              </w:rPr>
              <w:t>before</w:t>
            </w:r>
            <w:r>
              <w:rPr>
                <w:spacing w:val="-12"/>
                <w:sz w:val="21"/>
              </w:rPr>
              <w:t xml:space="preserve"> </w:t>
            </w:r>
            <w:r>
              <w:rPr>
                <w:spacing w:val="-2"/>
                <w:sz w:val="21"/>
              </w:rPr>
              <w:t xml:space="preserve">substitution </w:t>
            </w:r>
            <w:r>
              <w:rPr>
                <w:sz w:val="21"/>
              </w:rPr>
              <w:t>(weighted</w:t>
            </w:r>
            <w:r>
              <w:rPr>
                <w:spacing w:val="-7"/>
                <w:sz w:val="21"/>
              </w:rPr>
              <w:t xml:space="preserve"> </w:t>
            </w:r>
            <w:r>
              <w:rPr>
                <w:sz w:val="21"/>
              </w:rPr>
              <w:t>by</w:t>
            </w:r>
            <w:r>
              <w:rPr>
                <w:spacing w:val="-6"/>
                <w:sz w:val="21"/>
              </w:rPr>
              <w:t xml:space="preserve"> </w:t>
            </w:r>
            <w:r>
              <w:rPr>
                <w:spacing w:val="-4"/>
                <w:sz w:val="21"/>
              </w:rPr>
              <w:t>base</w:t>
            </w:r>
          </w:p>
          <w:p w:rsidR="003F5784" w14:paraId="723AC31C" w14:textId="77777777">
            <w:pPr>
              <w:pStyle w:val="TableParagraph"/>
              <w:spacing w:before="0" w:line="234" w:lineRule="exact"/>
              <w:ind w:left="836" w:right="167" w:firstLine="51"/>
              <w:rPr>
                <w:sz w:val="21"/>
              </w:rPr>
            </w:pPr>
            <w:r>
              <w:rPr>
                <w:sz w:val="21"/>
              </w:rPr>
              <w:t>weight</w:t>
            </w:r>
            <w:r>
              <w:rPr>
                <w:spacing w:val="-14"/>
                <w:sz w:val="21"/>
              </w:rPr>
              <w:t xml:space="preserve"> </w:t>
            </w:r>
            <w:r>
              <w:rPr>
                <w:sz w:val="21"/>
              </w:rPr>
              <w:t xml:space="preserve">and </w:t>
            </w:r>
            <w:r>
              <w:rPr>
                <w:spacing w:val="-2"/>
                <w:sz w:val="21"/>
              </w:rPr>
              <w:t>enrollment)</w:t>
            </w:r>
          </w:p>
        </w:tc>
        <w:tc>
          <w:tcPr>
            <w:tcW w:w="1834" w:type="dxa"/>
            <w:tcBorders>
              <w:top w:val="single" w:sz="18" w:space="0" w:color="800000"/>
              <w:bottom w:val="single" w:sz="18" w:space="0" w:color="800000"/>
            </w:tcBorders>
          </w:tcPr>
          <w:p w:rsidR="003F5784" w14:paraId="535C0673" w14:textId="77777777">
            <w:pPr>
              <w:pStyle w:val="TableParagraph"/>
              <w:spacing w:before="15" w:line="232" w:lineRule="auto"/>
              <w:ind w:left="167" w:right="147" w:firstLine="937"/>
              <w:rPr>
                <w:sz w:val="21"/>
              </w:rPr>
            </w:pPr>
            <w:r>
              <w:rPr>
                <w:spacing w:val="-2"/>
                <w:sz w:val="21"/>
              </w:rPr>
              <w:t xml:space="preserve">School </w:t>
            </w:r>
            <w:r>
              <w:rPr>
                <w:sz w:val="21"/>
              </w:rPr>
              <w:t>participation</w:t>
            </w:r>
            <w:r>
              <w:rPr>
                <w:spacing w:val="-14"/>
                <w:sz w:val="21"/>
              </w:rPr>
              <w:t xml:space="preserve"> </w:t>
            </w:r>
            <w:r>
              <w:rPr>
                <w:sz w:val="21"/>
              </w:rPr>
              <w:t xml:space="preserve">rates (percent) before </w:t>
            </w:r>
            <w:r>
              <w:rPr>
                <w:spacing w:val="-2"/>
                <w:sz w:val="21"/>
              </w:rPr>
              <w:t xml:space="preserve">substitution </w:t>
            </w:r>
            <w:r>
              <w:rPr>
                <w:sz w:val="21"/>
              </w:rPr>
              <w:t>(weighted</w:t>
            </w:r>
            <w:r>
              <w:rPr>
                <w:spacing w:val="-7"/>
                <w:sz w:val="21"/>
              </w:rPr>
              <w:t xml:space="preserve"> </w:t>
            </w:r>
            <w:r>
              <w:rPr>
                <w:sz w:val="21"/>
              </w:rPr>
              <w:t>by</w:t>
            </w:r>
            <w:r>
              <w:rPr>
                <w:spacing w:val="-6"/>
                <w:sz w:val="21"/>
              </w:rPr>
              <w:t xml:space="preserve"> </w:t>
            </w:r>
            <w:r>
              <w:rPr>
                <w:spacing w:val="-4"/>
                <w:sz w:val="21"/>
              </w:rPr>
              <w:t>base</w:t>
            </w:r>
          </w:p>
          <w:p w:rsidR="003F5784" w14:paraId="0C705E98" w14:textId="77777777">
            <w:pPr>
              <w:pStyle w:val="TableParagraph"/>
              <w:spacing w:before="0" w:line="234" w:lineRule="exact"/>
              <w:ind w:left="-26" w:right="147"/>
              <w:rPr>
                <w:sz w:val="21"/>
              </w:rPr>
            </w:pPr>
            <w:r>
              <w:rPr>
                <w:sz w:val="21"/>
              </w:rPr>
              <w:t>weight</w:t>
            </w:r>
            <w:r>
              <w:rPr>
                <w:spacing w:val="-7"/>
                <w:sz w:val="21"/>
              </w:rPr>
              <w:t xml:space="preserve"> </w:t>
            </w:r>
            <w:r>
              <w:rPr>
                <w:spacing w:val="-2"/>
                <w:sz w:val="21"/>
              </w:rPr>
              <w:t>only)</w:t>
            </w:r>
          </w:p>
        </w:tc>
        <w:tc>
          <w:tcPr>
            <w:tcW w:w="1264" w:type="dxa"/>
            <w:tcBorders>
              <w:top w:val="single" w:sz="18" w:space="0" w:color="800000"/>
              <w:bottom w:val="single" w:sz="18" w:space="0" w:color="800000"/>
            </w:tcBorders>
          </w:tcPr>
          <w:p w:rsidR="003F5784" w14:paraId="4DE9A783" w14:textId="77777777">
            <w:pPr>
              <w:pStyle w:val="TableParagraph"/>
              <w:spacing w:before="0"/>
              <w:jc w:val="left"/>
              <w:rPr>
                <w:b/>
                <w:sz w:val="21"/>
              </w:rPr>
            </w:pPr>
          </w:p>
          <w:p w:rsidR="003F5784" w14:paraId="17CC3292" w14:textId="77777777">
            <w:pPr>
              <w:pStyle w:val="TableParagraph"/>
              <w:spacing w:before="1"/>
              <w:jc w:val="left"/>
              <w:rPr>
                <w:b/>
                <w:sz w:val="21"/>
              </w:rPr>
            </w:pPr>
          </w:p>
          <w:p w:rsidR="003F5784" w14:paraId="0FBCC6AF" w14:textId="77777777">
            <w:pPr>
              <w:pStyle w:val="TableParagraph"/>
              <w:spacing w:before="0" w:line="234" w:lineRule="exact"/>
              <w:ind w:left="307" w:right="207" w:hanging="163"/>
              <w:jc w:val="both"/>
              <w:rPr>
                <w:sz w:val="21"/>
              </w:rPr>
            </w:pPr>
            <w:r>
              <w:rPr>
                <w:sz w:val="21"/>
              </w:rPr>
              <w:t>Number</w:t>
            </w:r>
            <w:r>
              <w:rPr>
                <w:spacing w:val="-14"/>
                <w:sz w:val="21"/>
              </w:rPr>
              <w:t xml:space="preserve"> </w:t>
            </w:r>
            <w:r>
              <w:rPr>
                <w:sz w:val="21"/>
              </w:rPr>
              <w:t xml:space="preserve">of </w:t>
            </w:r>
            <w:r>
              <w:rPr>
                <w:spacing w:val="-2"/>
                <w:sz w:val="21"/>
              </w:rPr>
              <w:t>students sampled, rounded</w:t>
            </w:r>
          </w:p>
        </w:tc>
        <w:tc>
          <w:tcPr>
            <w:tcW w:w="1274" w:type="dxa"/>
            <w:tcBorders>
              <w:top w:val="single" w:sz="18" w:space="0" w:color="800000"/>
              <w:bottom w:val="single" w:sz="18" w:space="0" w:color="800000"/>
            </w:tcBorders>
          </w:tcPr>
          <w:p w:rsidR="003F5784" w14:paraId="581EF187" w14:textId="77777777">
            <w:pPr>
              <w:pStyle w:val="TableParagraph"/>
              <w:spacing w:before="0"/>
              <w:jc w:val="left"/>
              <w:rPr>
                <w:b/>
                <w:sz w:val="21"/>
              </w:rPr>
            </w:pPr>
          </w:p>
          <w:p w:rsidR="003F5784" w14:paraId="3624AC99" w14:textId="77777777">
            <w:pPr>
              <w:pStyle w:val="TableParagraph"/>
              <w:spacing w:before="1"/>
              <w:jc w:val="left"/>
              <w:rPr>
                <w:b/>
                <w:sz w:val="21"/>
              </w:rPr>
            </w:pPr>
          </w:p>
          <w:p w:rsidR="003F5784" w14:paraId="37FE3A48" w14:textId="77777777">
            <w:pPr>
              <w:pStyle w:val="TableParagraph"/>
              <w:spacing w:before="0" w:line="234" w:lineRule="exact"/>
              <w:ind w:left="202" w:right="229" w:firstLine="45"/>
              <w:rPr>
                <w:sz w:val="21"/>
              </w:rPr>
            </w:pPr>
            <w:r>
              <w:rPr>
                <w:spacing w:val="-4"/>
                <w:sz w:val="21"/>
              </w:rPr>
              <w:t xml:space="preserve">Weighted </w:t>
            </w:r>
            <w:r>
              <w:rPr>
                <w:sz w:val="21"/>
              </w:rPr>
              <w:t>percent</w:t>
            </w:r>
            <w:r>
              <w:rPr>
                <w:spacing w:val="-14"/>
                <w:sz w:val="21"/>
              </w:rPr>
              <w:t xml:space="preserve"> </w:t>
            </w:r>
            <w:r>
              <w:rPr>
                <w:sz w:val="21"/>
              </w:rPr>
              <w:t xml:space="preserve">of </w:t>
            </w:r>
            <w:r>
              <w:rPr>
                <w:spacing w:val="-2"/>
                <w:sz w:val="21"/>
              </w:rPr>
              <w:t>students excluded</w:t>
            </w:r>
          </w:p>
        </w:tc>
        <w:tc>
          <w:tcPr>
            <w:tcW w:w="1559" w:type="dxa"/>
            <w:tcBorders>
              <w:top w:val="single" w:sz="18" w:space="0" w:color="800000"/>
              <w:bottom w:val="single" w:sz="18" w:space="0" w:color="800000"/>
            </w:tcBorders>
          </w:tcPr>
          <w:p w:rsidR="003F5784" w14:paraId="2F0EA7AF" w14:textId="77777777">
            <w:pPr>
              <w:pStyle w:val="TableParagraph"/>
              <w:spacing w:before="9"/>
              <w:jc w:val="left"/>
              <w:rPr>
                <w:b/>
                <w:sz w:val="21"/>
              </w:rPr>
            </w:pPr>
          </w:p>
          <w:p w:rsidR="003F5784" w14:paraId="6043C202" w14:textId="77777777">
            <w:pPr>
              <w:pStyle w:val="TableParagraph"/>
              <w:spacing w:before="0" w:line="234" w:lineRule="exact"/>
              <w:ind w:left="222" w:right="135" w:firstLine="404"/>
              <w:rPr>
                <w:sz w:val="21"/>
              </w:rPr>
            </w:pPr>
            <w:r>
              <w:rPr>
                <w:spacing w:val="-4"/>
                <w:sz w:val="21"/>
              </w:rPr>
              <w:t xml:space="preserve">Weighted </w:t>
            </w:r>
            <w:r>
              <w:rPr>
                <w:spacing w:val="-2"/>
                <w:sz w:val="21"/>
              </w:rPr>
              <w:t>student participation rates</w:t>
            </w:r>
            <w:r>
              <w:rPr>
                <w:spacing w:val="-12"/>
                <w:sz w:val="21"/>
              </w:rPr>
              <w:t xml:space="preserve"> </w:t>
            </w:r>
            <w:r>
              <w:rPr>
                <w:spacing w:val="-2"/>
                <w:sz w:val="21"/>
              </w:rPr>
              <w:t xml:space="preserve">(percent) </w:t>
            </w:r>
            <w:r>
              <w:rPr>
                <w:sz w:val="21"/>
              </w:rPr>
              <w:t>after</w:t>
            </w:r>
            <w:r>
              <w:rPr>
                <w:spacing w:val="-5"/>
                <w:sz w:val="21"/>
              </w:rPr>
              <w:t xml:space="preserve"> </w:t>
            </w:r>
            <w:r>
              <w:rPr>
                <w:spacing w:val="-2"/>
                <w:sz w:val="21"/>
              </w:rPr>
              <w:t>makeups</w:t>
            </w:r>
          </w:p>
        </w:tc>
        <w:tc>
          <w:tcPr>
            <w:tcW w:w="1712" w:type="dxa"/>
            <w:tcBorders>
              <w:top w:val="single" w:sz="18" w:space="0" w:color="800000"/>
              <w:bottom w:val="single" w:sz="18" w:space="0" w:color="800000"/>
            </w:tcBorders>
          </w:tcPr>
          <w:p w:rsidR="003F5784" w14:paraId="2276B3F9" w14:textId="77777777">
            <w:pPr>
              <w:pStyle w:val="TableParagraph"/>
              <w:spacing w:before="0"/>
              <w:jc w:val="left"/>
              <w:rPr>
                <w:b/>
                <w:sz w:val="21"/>
              </w:rPr>
            </w:pPr>
          </w:p>
          <w:p w:rsidR="003F5784" w14:paraId="3EE32ADA" w14:textId="77777777">
            <w:pPr>
              <w:pStyle w:val="TableParagraph"/>
              <w:spacing w:before="230"/>
              <w:jc w:val="left"/>
              <w:rPr>
                <w:b/>
                <w:sz w:val="21"/>
              </w:rPr>
            </w:pPr>
          </w:p>
          <w:p w:rsidR="003F5784" w14:paraId="2BEFCD68" w14:textId="77777777">
            <w:pPr>
              <w:pStyle w:val="TableParagraph"/>
              <w:spacing w:before="0" w:line="238" w:lineRule="exact"/>
              <w:ind w:right="124"/>
              <w:rPr>
                <w:sz w:val="21"/>
              </w:rPr>
            </w:pPr>
            <w:r>
              <w:rPr>
                <w:spacing w:val="-2"/>
                <w:sz w:val="21"/>
              </w:rPr>
              <w:t>Weighted</w:t>
            </w:r>
            <w:r>
              <w:rPr>
                <w:spacing w:val="-11"/>
                <w:sz w:val="21"/>
              </w:rPr>
              <w:t xml:space="preserve"> </w:t>
            </w:r>
            <w:r>
              <w:rPr>
                <w:spacing w:val="-2"/>
                <w:sz w:val="21"/>
              </w:rPr>
              <w:t>percent</w:t>
            </w:r>
          </w:p>
          <w:p w:rsidR="003F5784" w14:paraId="29A7CAF3" w14:textId="77777777">
            <w:pPr>
              <w:pStyle w:val="TableParagraph"/>
              <w:spacing w:before="1" w:line="234" w:lineRule="exact"/>
              <w:ind w:left="323" w:right="124" w:firstLine="352"/>
              <w:rPr>
                <w:sz w:val="21"/>
              </w:rPr>
            </w:pPr>
            <w:r>
              <w:rPr>
                <w:sz w:val="21"/>
              </w:rPr>
              <w:t>of</w:t>
            </w:r>
            <w:r>
              <w:rPr>
                <w:spacing w:val="-14"/>
                <w:sz w:val="21"/>
              </w:rPr>
              <w:t xml:space="preserve"> </w:t>
            </w:r>
            <w:r>
              <w:rPr>
                <w:sz w:val="21"/>
              </w:rPr>
              <w:t xml:space="preserve">students </w:t>
            </w:r>
            <w:r>
              <w:rPr>
                <w:spacing w:val="-2"/>
                <w:sz w:val="21"/>
              </w:rPr>
              <w:t>accommodated</w:t>
            </w:r>
          </w:p>
        </w:tc>
      </w:tr>
      <w:tr w14:paraId="784AF29E" w14:textId="77777777">
        <w:tblPrEx>
          <w:tblW w:w="0" w:type="auto"/>
          <w:tblInd w:w="482" w:type="dxa"/>
          <w:tblLayout w:type="fixed"/>
          <w:tblCellMar>
            <w:left w:w="0" w:type="dxa"/>
            <w:right w:w="0" w:type="dxa"/>
          </w:tblCellMar>
          <w:tblLook w:val="01E0"/>
        </w:tblPrEx>
        <w:trPr>
          <w:trHeight w:val="332"/>
        </w:trPr>
        <w:tc>
          <w:tcPr>
            <w:tcW w:w="3181" w:type="dxa"/>
            <w:tcBorders>
              <w:top w:val="single" w:sz="18" w:space="0" w:color="800000"/>
            </w:tcBorders>
          </w:tcPr>
          <w:p w:rsidR="003F5784" w14:paraId="161CC804" w14:textId="77777777">
            <w:pPr>
              <w:pStyle w:val="TableParagraph"/>
              <w:spacing w:before="23"/>
              <w:ind w:left="631"/>
              <w:jc w:val="left"/>
              <w:rPr>
                <w:b/>
                <w:sz w:val="17"/>
              </w:rPr>
            </w:pPr>
            <w:r>
              <w:rPr>
                <w:b/>
                <w:sz w:val="21"/>
              </w:rPr>
              <w:t>National</w:t>
            </w:r>
            <w:r>
              <w:rPr>
                <w:b/>
                <w:spacing w:val="-9"/>
                <w:sz w:val="21"/>
              </w:rPr>
              <w:t xml:space="preserve"> </w:t>
            </w:r>
            <w:r>
              <w:rPr>
                <w:b/>
                <w:spacing w:val="-4"/>
                <w:sz w:val="21"/>
              </w:rPr>
              <w:t>all</w:t>
            </w:r>
            <w:r>
              <w:rPr>
                <w:b/>
                <w:spacing w:val="-4"/>
                <w:position w:val="8"/>
                <w:sz w:val="17"/>
              </w:rPr>
              <w:t>1</w:t>
            </w:r>
          </w:p>
        </w:tc>
        <w:tc>
          <w:tcPr>
            <w:tcW w:w="1188" w:type="dxa"/>
            <w:tcBorders>
              <w:top w:val="single" w:sz="18" w:space="0" w:color="800000"/>
            </w:tcBorders>
          </w:tcPr>
          <w:p w:rsidR="003F5784" w14:paraId="6931EE68" w14:textId="77777777">
            <w:pPr>
              <w:pStyle w:val="TableParagraph"/>
              <w:spacing w:before="9"/>
              <w:ind w:left="749"/>
              <w:jc w:val="left"/>
              <w:rPr>
                <w:b/>
                <w:sz w:val="21"/>
              </w:rPr>
            </w:pPr>
            <w:r>
              <w:rPr>
                <w:b/>
                <w:spacing w:val="-5"/>
                <w:sz w:val="21"/>
              </w:rPr>
              <w:t>580</w:t>
            </w:r>
          </w:p>
        </w:tc>
        <w:tc>
          <w:tcPr>
            <w:tcW w:w="1979" w:type="dxa"/>
            <w:tcBorders>
              <w:top w:val="single" w:sz="18" w:space="0" w:color="800000"/>
            </w:tcBorders>
          </w:tcPr>
          <w:p w:rsidR="003F5784" w14:paraId="3B940B62" w14:textId="77777777">
            <w:pPr>
              <w:pStyle w:val="TableParagraph"/>
              <w:spacing w:before="9"/>
              <w:ind w:right="167"/>
              <w:rPr>
                <w:b/>
                <w:sz w:val="21"/>
              </w:rPr>
            </w:pPr>
            <w:r>
              <w:rPr>
                <w:b/>
                <w:spacing w:val="-2"/>
                <w:sz w:val="21"/>
              </w:rPr>
              <w:t>85.93</w:t>
            </w:r>
          </w:p>
        </w:tc>
        <w:tc>
          <w:tcPr>
            <w:tcW w:w="1834" w:type="dxa"/>
            <w:tcBorders>
              <w:top w:val="single" w:sz="18" w:space="0" w:color="800000"/>
            </w:tcBorders>
          </w:tcPr>
          <w:p w:rsidR="003F5784" w14:paraId="39859541" w14:textId="77777777">
            <w:pPr>
              <w:pStyle w:val="TableParagraph"/>
              <w:spacing w:before="9"/>
              <w:ind w:left="-26" w:right="147"/>
              <w:rPr>
                <w:b/>
                <w:sz w:val="21"/>
              </w:rPr>
            </w:pPr>
            <w:r>
              <w:rPr>
                <w:b/>
                <w:spacing w:val="-2"/>
                <w:sz w:val="21"/>
              </w:rPr>
              <w:t>72.56</w:t>
            </w:r>
          </w:p>
        </w:tc>
        <w:tc>
          <w:tcPr>
            <w:tcW w:w="1264" w:type="dxa"/>
            <w:tcBorders>
              <w:top w:val="single" w:sz="18" w:space="0" w:color="800000"/>
            </w:tcBorders>
          </w:tcPr>
          <w:p w:rsidR="003F5784" w14:paraId="54BBB29B" w14:textId="77777777">
            <w:pPr>
              <w:pStyle w:val="TableParagraph"/>
              <w:spacing w:before="9"/>
              <w:ind w:left="585"/>
              <w:jc w:val="left"/>
              <w:rPr>
                <w:b/>
                <w:sz w:val="21"/>
              </w:rPr>
            </w:pPr>
            <w:r>
              <w:rPr>
                <w:b/>
                <w:spacing w:val="-2"/>
                <w:sz w:val="21"/>
              </w:rPr>
              <w:t>9,200</w:t>
            </w:r>
          </w:p>
        </w:tc>
        <w:tc>
          <w:tcPr>
            <w:tcW w:w="1274" w:type="dxa"/>
            <w:tcBorders>
              <w:top w:val="single" w:sz="18" w:space="0" w:color="800000"/>
            </w:tcBorders>
          </w:tcPr>
          <w:p w:rsidR="003F5784" w14:paraId="3FBFD5E6" w14:textId="77777777">
            <w:pPr>
              <w:pStyle w:val="TableParagraph"/>
              <w:spacing w:before="9"/>
              <w:ind w:left="677"/>
              <w:jc w:val="left"/>
              <w:rPr>
                <w:b/>
                <w:sz w:val="21"/>
              </w:rPr>
            </w:pPr>
            <w:r>
              <w:rPr>
                <w:b/>
                <w:spacing w:val="-4"/>
                <w:sz w:val="21"/>
              </w:rPr>
              <w:t>2.34</w:t>
            </w:r>
          </w:p>
        </w:tc>
        <w:tc>
          <w:tcPr>
            <w:tcW w:w="1559" w:type="dxa"/>
            <w:tcBorders>
              <w:top w:val="single" w:sz="18" w:space="0" w:color="800000"/>
            </w:tcBorders>
          </w:tcPr>
          <w:p w:rsidR="003F5784" w14:paraId="3D7DC07B" w14:textId="77777777">
            <w:pPr>
              <w:pStyle w:val="TableParagraph"/>
              <w:spacing w:before="9"/>
              <w:ind w:left="951"/>
              <w:jc w:val="left"/>
              <w:rPr>
                <w:b/>
                <w:sz w:val="21"/>
              </w:rPr>
            </w:pPr>
            <w:r>
              <w:rPr>
                <w:b/>
                <w:spacing w:val="-2"/>
                <w:sz w:val="21"/>
              </w:rPr>
              <w:t>87.13</w:t>
            </w:r>
          </w:p>
        </w:tc>
        <w:tc>
          <w:tcPr>
            <w:tcW w:w="1712" w:type="dxa"/>
            <w:tcBorders>
              <w:top w:val="single" w:sz="18" w:space="0" w:color="800000"/>
            </w:tcBorders>
          </w:tcPr>
          <w:p w:rsidR="003F5784" w14:paraId="1C4E060D" w14:textId="77777777">
            <w:pPr>
              <w:pStyle w:val="TableParagraph"/>
              <w:spacing w:before="9"/>
              <w:ind w:right="124"/>
              <w:rPr>
                <w:b/>
                <w:sz w:val="21"/>
              </w:rPr>
            </w:pPr>
            <w:r>
              <w:rPr>
                <w:b/>
                <w:spacing w:val="-2"/>
                <w:sz w:val="21"/>
              </w:rPr>
              <w:t>14.18</w:t>
            </w:r>
          </w:p>
        </w:tc>
      </w:tr>
      <w:tr w14:paraId="51C242C0" w14:textId="77777777">
        <w:tblPrEx>
          <w:tblW w:w="0" w:type="auto"/>
          <w:tblInd w:w="482" w:type="dxa"/>
          <w:tblLayout w:type="fixed"/>
          <w:tblCellMar>
            <w:left w:w="0" w:type="dxa"/>
            <w:right w:w="0" w:type="dxa"/>
          </w:tblCellMar>
          <w:tblLook w:val="01E0"/>
        </w:tblPrEx>
        <w:trPr>
          <w:trHeight w:val="284"/>
        </w:trPr>
        <w:tc>
          <w:tcPr>
            <w:tcW w:w="3181" w:type="dxa"/>
          </w:tcPr>
          <w:p w:rsidR="003F5784" w14:paraId="6E4A85B1" w14:textId="77777777">
            <w:pPr>
              <w:pStyle w:val="TableParagraph"/>
              <w:spacing w:before="15"/>
              <w:ind w:left="120"/>
              <w:jc w:val="left"/>
              <w:rPr>
                <w:sz w:val="21"/>
              </w:rPr>
            </w:pPr>
            <w:r>
              <w:rPr>
                <w:sz w:val="21"/>
              </w:rPr>
              <w:t>Northeast</w:t>
            </w:r>
            <w:r>
              <w:rPr>
                <w:spacing w:val="-10"/>
                <w:sz w:val="21"/>
              </w:rPr>
              <w:t xml:space="preserve"> </w:t>
            </w:r>
            <w:r>
              <w:rPr>
                <w:spacing w:val="-5"/>
                <w:sz w:val="21"/>
              </w:rPr>
              <w:t>all</w:t>
            </w:r>
          </w:p>
        </w:tc>
        <w:tc>
          <w:tcPr>
            <w:tcW w:w="1188" w:type="dxa"/>
          </w:tcPr>
          <w:p w:rsidR="003F5784" w14:paraId="3BF7BF87" w14:textId="77777777">
            <w:pPr>
              <w:pStyle w:val="TableParagraph"/>
              <w:spacing w:before="15"/>
              <w:ind w:right="124"/>
              <w:rPr>
                <w:sz w:val="21"/>
              </w:rPr>
            </w:pPr>
            <w:r>
              <w:rPr>
                <w:spacing w:val="-5"/>
                <w:sz w:val="21"/>
              </w:rPr>
              <w:t>90</w:t>
            </w:r>
          </w:p>
        </w:tc>
        <w:tc>
          <w:tcPr>
            <w:tcW w:w="1979" w:type="dxa"/>
          </w:tcPr>
          <w:p w:rsidR="003F5784" w14:paraId="2A7B6AFF" w14:textId="77777777">
            <w:pPr>
              <w:pStyle w:val="TableParagraph"/>
              <w:spacing w:before="15"/>
              <w:ind w:right="167"/>
              <w:rPr>
                <w:sz w:val="21"/>
              </w:rPr>
            </w:pPr>
            <w:r>
              <w:rPr>
                <w:spacing w:val="-2"/>
                <w:sz w:val="21"/>
              </w:rPr>
              <w:t>86.73</w:t>
            </w:r>
          </w:p>
        </w:tc>
        <w:tc>
          <w:tcPr>
            <w:tcW w:w="1834" w:type="dxa"/>
          </w:tcPr>
          <w:p w:rsidR="003F5784" w14:paraId="5BC48104" w14:textId="77777777">
            <w:pPr>
              <w:pStyle w:val="TableParagraph"/>
              <w:spacing w:before="15"/>
              <w:ind w:left="-26" w:right="147"/>
              <w:rPr>
                <w:sz w:val="21"/>
              </w:rPr>
            </w:pPr>
            <w:r>
              <w:rPr>
                <w:spacing w:val="-2"/>
                <w:sz w:val="21"/>
              </w:rPr>
              <w:t>63.95</w:t>
            </w:r>
          </w:p>
        </w:tc>
        <w:tc>
          <w:tcPr>
            <w:tcW w:w="1264" w:type="dxa"/>
          </w:tcPr>
          <w:p w:rsidR="003F5784" w14:paraId="1C966221" w14:textId="77777777">
            <w:pPr>
              <w:pStyle w:val="TableParagraph"/>
              <w:spacing w:before="15"/>
              <w:ind w:left="585"/>
              <w:jc w:val="left"/>
              <w:rPr>
                <w:sz w:val="21"/>
              </w:rPr>
            </w:pPr>
            <w:r>
              <w:rPr>
                <w:spacing w:val="-2"/>
                <w:sz w:val="21"/>
              </w:rPr>
              <w:t>1,300</w:t>
            </w:r>
          </w:p>
        </w:tc>
        <w:tc>
          <w:tcPr>
            <w:tcW w:w="1274" w:type="dxa"/>
          </w:tcPr>
          <w:p w:rsidR="003F5784" w14:paraId="503F4023" w14:textId="77777777">
            <w:pPr>
              <w:pStyle w:val="TableParagraph"/>
              <w:spacing w:before="15"/>
              <w:ind w:left="677"/>
              <w:jc w:val="left"/>
              <w:rPr>
                <w:sz w:val="21"/>
              </w:rPr>
            </w:pPr>
            <w:r>
              <w:rPr>
                <w:spacing w:val="-4"/>
                <w:sz w:val="21"/>
              </w:rPr>
              <w:t>1.90</w:t>
            </w:r>
          </w:p>
        </w:tc>
        <w:tc>
          <w:tcPr>
            <w:tcW w:w="1559" w:type="dxa"/>
          </w:tcPr>
          <w:p w:rsidR="003F5784" w14:paraId="258C68BE" w14:textId="77777777">
            <w:pPr>
              <w:pStyle w:val="TableParagraph"/>
              <w:spacing w:before="15"/>
              <w:ind w:left="951"/>
              <w:jc w:val="left"/>
              <w:rPr>
                <w:sz w:val="21"/>
              </w:rPr>
            </w:pPr>
            <w:r>
              <w:rPr>
                <w:spacing w:val="-2"/>
                <w:sz w:val="21"/>
              </w:rPr>
              <w:t>82.35</w:t>
            </w:r>
          </w:p>
        </w:tc>
        <w:tc>
          <w:tcPr>
            <w:tcW w:w="1712" w:type="dxa"/>
          </w:tcPr>
          <w:p w:rsidR="003F5784" w14:paraId="169AF554" w14:textId="77777777">
            <w:pPr>
              <w:pStyle w:val="TableParagraph"/>
              <w:spacing w:before="15"/>
              <w:ind w:right="124"/>
              <w:rPr>
                <w:sz w:val="21"/>
              </w:rPr>
            </w:pPr>
            <w:r>
              <w:rPr>
                <w:spacing w:val="-2"/>
                <w:sz w:val="21"/>
              </w:rPr>
              <w:t>18.66</w:t>
            </w:r>
          </w:p>
        </w:tc>
      </w:tr>
      <w:tr w14:paraId="24486C4B" w14:textId="77777777">
        <w:tblPrEx>
          <w:tblW w:w="0" w:type="auto"/>
          <w:tblInd w:w="482" w:type="dxa"/>
          <w:tblLayout w:type="fixed"/>
          <w:tblCellMar>
            <w:left w:w="0" w:type="dxa"/>
            <w:right w:w="0" w:type="dxa"/>
          </w:tblCellMar>
          <w:tblLook w:val="01E0"/>
        </w:tblPrEx>
        <w:trPr>
          <w:trHeight w:val="286"/>
        </w:trPr>
        <w:tc>
          <w:tcPr>
            <w:tcW w:w="3181" w:type="dxa"/>
          </w:tcPr>
          <w:p w:rsidR="003F5784" w14:paraId="2487922C" w14:textId="77777777">
            <w:pPr>
              <w:pStyle w:val="TableParagraph"/>
              <w:ind w:left="120"/>
              <w:jc w:val="left"/>
              <w:rPr>
                <w:sz w:val="21"/>
              </w:rPr>
            </w:pPr>
            <w:r>
              <w:rPr>
                <w:sz w:val="21"/>
              </w:rPr>
              <w:t>Midwest</w:t>
            </w:r>
            <w:r>
              <w:rPr>
                <w:spacing w:val="-9"/>
                <w:sz w:val="21"/>
              </w:rPr>
              <w:t xml:space="preserve"> </w:t>
            </w:r>
            <w:r>
              <w:rPr>
                <w:spacing w:val="-5"/>
                <w:sz w:val="21"/>
              </w:rPr>
              <w:t>all</w:t>
            </w:r>
          </w:p>
        </w:tc>
        <w:tc>
          <w:tcPr>
            <w:tcW w:w="1188" w:type="dxa"/>
          </w:tcPr>
          <w:p w:rsidR="003F5784" w14:paraId="7FFF7454" w14:textId="77777777">
            <w:pPr>
              <w:pStyle w:val="TableParagraph"/>
              <w:ind w:left="756"/>
              <w:jc w:val="left"/>
              <w:rPr>
                <w:sz w:val="21"/>
              </w:rPr>
            </w:pPr>
            <w:r>
              <w:rPr>
                <w:spacing w:val="-5"/>
                <w:sz w:val="21"/>
              </w:rPr>
              <w:t>110</w:t>
            </w:r>
          </w:p>
        </w:tc>
        <w:tc>
          <w:tcPr>
            <w:tcW w:w="1979" w:type="dxa"/>
          </w:tcPr>
          <w:p w:rsidR="003F5784" w14:paraId="061EAC43" w14:textId="77777777">
            <w:pPr>
              <w:pStyle w:val="TableParagraph"/>
              <w:ind w:right="167"/>
              <w:rPr>
                <w:sz w:val="21"/>
              </w:rPr>
            </w:pPr>
            <w:r>
              <w:rPr>
                <w:spacing w:val="-2"/>
                <w:sz w:val="21"/>
              </w:rPr>
              <w:t>74.94</w:t>
            </w:r>
          </w:p>
        </w:tc>
        <w:tc>
          <w:tcPr>
            <w:tcW w:w="1834" w:type="dxa"/>
          </w:tcPr>
          <w:p w:rsidR="003F5784" w14:paraId="61C32FA0" w14:textId="77777777">
            <w:pPr>
              <w:pStyle w:val="TableParagraph"/>
              <w:ind w:left="-26" w:right="147"/>
              <w:rPr>
                <w:sz w:val="21"/>
              </w:rPr>
            </w:pPr>
            <w:r>
              <w:rPr>
                <w:spacing w:val="-2"/>
                <w:sz w:val="21"/>
              </w:rPr>
              <w:t>72.78</w:t>
            </w:r>
          </w:p>
        </w:tc>
        <w:tc>
          <w:tcPr>
            <w:tcW w:w="1264" w:type="dxa"/>
          </w:tcPr>
          <w:p w:rsidR="003F5784" w14:paraId="1806EA30" w14:textId="77777777">
            <w:pPr>
              <w:pStyle w:val="TableParagraph"/>
              <w:ind w:left="585"/>
              <w:jc w:val="left"/>
              <w:rPr>
                <w:sz w:val="21"/>
              </w:rPr>
            </w:pPr>
            <w:r>
              <w:rPr>
                <w:spacing w:val="-2"/>
                <w:sz w:val="21"/>
              </w:rPr>
              <w:t>1,500</w:t>
            </w:r>
          </w:p>
        </w:tc>
        <w:tc>
          <w:tcPr>
            <w:tcW w:w="1274" w:type="dxa"/>
          </w:tcPr>
          <w:p w:rsidR="003F5784" w14:paraId="5C52FDD7" w14:textId="77777777">
            <w:pPr>
              <w:pStyle w:val="TableParagraph"/>
              <w:ind w:left="677"/>
              <w:jc w:val="left"/>
              <w:rPr>
                <w:sz w:val="21"/>
              </w:rPr>
            </w:pPr>
            <w:r>
              <w:rPr>
                <w:spacing w:val="-4"/>
                <w:sz w:val="21"/>
              </w:rPr>
              <w:t>1.20</w:t>
            </w:r>
          </w:p>
        </w:tc>
        <w:tc>
          <w:tcPr>
            <w:tcW w:w="1559" w:type="dxa"/>
          </w:tcPr>
          <w:p w:rsidR="003F5784" w14:paraId="76E1091A" w14:textId="77777777">
            <w:pPr>
              <w:pStyle w:val="TableParagraph"/>
              <w:ind w:left="951"/>
              <w:jc w:val="left"/>
              <w:rPr>
                <w:sz w:val="21"/>
              </w:rPr>
            </w:pPr>
            <w:r>
              <w:rPr>
                <w:spacing w:val="-2"/>
                <w:sz w:val="21"/>
              </w:rPr>
              <w:t>89.58</w:t>
            </w:r>
          </w:p>
        </w:tc>
        <w:tc>
          <w:tcPr>
            <w:tcW w:w="1712" w:type="dxa"/>
          </w:tcPr>
          <w:p w:rsidR="003F5784" w14:paraId="32272F25" w14:textId="77777777">
            <w:pPr>
              <w:pStyle w:val="TableParagraph"/>
              <w:ind w:right="124"/>
              <w:rPr>
                <w:sz w:val="21"/>
              </w:rPr>
            </w:pPr>
            <w:r>
              <w:rPr>
                <w:spacing w:val="-2"/>
                <w:sz w:val="21"/>
              </w:rPr>
              <w:t>14.13</w:t>
            </w:r>
          </w:p>
        </w:tc>
      </w:tr>
      <w:tr w14:paraId="5AEA6DA8" w14:textId="77777777">
        <w:tblPrEx>
          <w:tblW w:w="0" w:type="auto"/>
          <w:tblInd w:w="482" w:type="dxa"/>
          <w:tblLayout w:type="fixed"/>
          <w:tblCellMar>
            <w:left w:w="0" w:type="dxa"/>
            <w:right w:w="0" w:type="dxa"/>
          </w:tblCellMar>
          <w:tblLook w:val="01E0"/>
        </w:tblPrEx>
        <w:trPr>
          <w:trHeight w:val="286"/>
        </w:trPr>
        <w:tc>
          <w:tcPr>
            <w:tcW w:w="3181" w:type="dxa"/>
          </w:tcPr>
          <w:p w:rsidR="003F5784" w14:paraId="096F4886" w14:textId="77777777">
            <w:pPr>
              <w:pStyle w:val="TableParagraph"/>
              <w:ind w:left="120"/>
              <w:jc w:val="left"/>
              <w:rPr>
                <w:sz w:val="21"/>
              </w:rPr>
            </w:pPr>
            <w:r>
              <w:rPr>
                <w:sz w:val="21"/>
              </w:rPr>
              <w:t>South</w:t>
            </w:r>
            <w:r>
              <w:rPr>
                <w:spacing w:val="-6"/>
                <w:sz w:val="21"/>
              </w:rPr>
              <w:t xml:space="preserve"> </w:t>
            </w:r>
            <w:r>
              <w:rPr>
                <w:spacing w:val="-5"/>
                <w:sz w:val="21"/>
              </w:rPr>
              <w:t>all</w:t>
            </w:r>
          </w:p>
        </w:tc>
        <w:tc>
          <w:tcPr>
            <w:tcW w:w="1188" w:type="dxa"/>
          </w:tcPr>
          <w:p w:rsidR="003F5784" w14:paraId="0D3DF6E7" w14:textId="77777777">
            <w:pPr>
              <w:pStyle w:val="TableParagraph"/>
              <w:ind w:left="749"/>
              <w:jc w:val="left"/>
              <w:rPr>
                <w:sz w:val="21"/>
              </w:rPr>
            </w:pPr>
            <w:r>
              <w:rPr>
                <w:spacing w:val="-5"/>
                <w:sz w:val="21"/>
              </w:rPr>
              <w:t>240</w:t>
            </w:r>
          </w:p>
        </w:tc>
        <w:tc>
          <w:tcPr>
            <w:tcW w:w="1979" w:type="dxa"/>
          </w:tcPr>
          <w:p w:rsidR="003F5784" w14:paraId="1D35B491" w14:textId="77777777">
            <w:pPr>
              <w:pStyle w:val="TableParagraph"/>
              <w:ind w:right="167"/>
              <w:rPr>
                <w:sz w:val="21"/>
              </w:rPr>
            </w:pPr>
            <w:r>
              <w:rPr>
                <w:spacing w:val="-2"/>
                <w:sz w:val="21"/>
              </w:rPr>
              <w:t>93.22</w:t>
            </w:r>
          </w:p>
        </w:tc>
        <w:tc>
          <w:tcPr>
            <w:tcW w:w="1834" w:type="dxa"/>
          </w:tcPr>
          <w:p w:rsidR="003F5784" w14:paraId="305CDE71" w14:textId="77777777">
            <w:pPr>
              <w:pStyle w:val="TableParagraph"/>
              <w:ind w:left="-26" w:right="147"/>
              <w:rPr>
                <w:sz w:val="21"/>
              </w:rPr>
            </w:pPr>
            <w:r>
              <w:rPr>
                <w:spacing w:val="-2"/>
                <w:sz w:val="21"/>
              </w:rPr>
              <w:t>79.44</w:t>
            </w:r>
          </w:p>
        </w:tc>
        <w:tc>
          <w:tcPr>
            <w:tcW w:w="1264" w:type="dxa"/>
          </w:tcPr>
          <w:p w:rsidR="003F5784" w14:paraId="75CE5EA1" w14:textId="77777777">
            <w:pPr>
              <w:pStyle w:val="TableParagraph"/>
              <w:ind w:left="585"/>
              <w:jc w:val="left"/>
              <w:rPr>
                <w:sz w:val="21"/>
              </w:rPr>
            </w:pPr>
            <w:r>
              <w:rPr>
                <w:spacing w:val="-2"/>
                <w:sz w:val="21"/>
              </w:rPr>
              <w:t>4,300</w:t>
            </w:r>
          </w:p>
        </w:tc>
        <w:tc>
          <w:tcPr>
            <w:tcW w:w="1274" w:type="dxa"/>
          </w:tcPr>
          <w:p w:rsidR="003F5784" w14:paraId="09112E91" w14:textId="77777777">
            <w:pPr>
              <w:pStyle w:val="TableParagraph"/>
              <w:ind w:left="677"/>
              <w:jc w:val="left"/>
              <w:rPr>
                <w:sz w:val="21"/>
              </w:rPr>
            </w:pPr>
            <w:r>
              <w:rPr>
                <w:spacing w:val="-4"/>
                <w:sz w:val="21"/>
              </w:rPr>
              <w:t>2.71</w:t>
            </w:r>
          </w:p>
        </w:tc>
        <w:tc>
          <w:tcPr>
            <w:tcW w:w="1559" w:type="dxa"/>
          </w:tcPr>
          <w:p w:rsidR="003F5784" w14:paraId="73342FB0" w14:textId="77777777">
            <w:pPr>
              <w:pStyle w:val="TableParagraph"/>
              <w:ind w:left="951"/>
              <w:jc w:val="left"/>
              <w:rPr>
                <w:sz w:val="21"/>
              </w:rPr>
            </w:pPr>
            <w:r>
              <w:rPr>
                <w:spacing w:val="-2"/>
                <w:sz w:val="21"/>
              </w:rPr>
              <w:t>87.94</w:t>
            </w:r>
          </w:p>
        </w:tc>
        <w:tc>
          <w:tcPr>
            <w:tcW w:w="1712" w:type="dxa"/>
          </w:tcPr>
          <w:p w:rsidR="003F5784" w14:paraId="341669ED" w14:textId="77777777">
            <w:pPr>
              <w:pStyle w:val="TableParagraph"/>
              <w:ind w:right="124"/>
              <w:rPr>
                <w:sz w:val="21"/>
              </w:rPr>
            </w:pPr>
            <w:r>
              <w:rPr>
                <w:spacing w:val="-2"/>
                <w:sz w:val="21"/>
              </w:rPr>
              <w:t>16.53</w:t>
            </w:r>
          </w:p>
        </w:tc>
      </w:tr>
      <w:tr w14:paraId="47ECAD00" w14:textId="77777777">
        <w:tblPrEx>
          <w:tblW w:w="0" w:type="auto"/>
          <w:tblInd w:w="482" w:type="dxa"/>
          <w:tblLayout w:type="fixed"/>
          <w:tblCellMar>
            <w:left w:w="0" w:type="dxa"/>
            <w:right w:w="0" w:type="dxa"/>
          </w:tblCellMar>
          <w:tblLook w:val="01E0"/>
        </w:tblPrEx>
        <w:trPr>
          <w:trHeight w:val="286"/>
        </w:trPr>
        <w:tc>
          <w:tcPr>
            <w:tcW w:w="3181" w:type="dxa"/>
          </w:tcPr>
          <w:p w:rsidR="003F5784" w14:paraId="6E7DA796" w14:textId="77777777">
            <w:pPr>
              <w:pStyle w:val="TableParagraph"/>
              <w:ind w:left="120"/>
              <w:jc w:val="left"/>
              <w:rPr>
                <w:sz w:val="21"/>
              </w:rPr>
            </w:pPr>
            <w:r>
              <w:rPr>
                <w:spacing w:val="-4"/>
                <w:sz w:val="21"/>
              </w:rPr>
              <w:t>West</w:t>
            </w:r>
            <w:r>
              <w:rPr>
                <w:spacing w:val="-7"/>
                <w:sz w:val="21"/>
              </w:rPr>
              <w:t xml:space="preserve"> </w:t>
            </w:r>
            <w:r>
              <w:rPr>
                <w:spacing w:val="-5"/>
                <w:sz w:val="21"/>
              </w:rPr>
              <w:t>all</w:t>
            </w:r>
          </w:p>
        </w:tc>
        <w:tc>
          <w:tcPr>
            <w:tcW w:w="1188" w:type="dxa"/>
          </w:tcPr>
          <w:p w:rsidR="003F5784" w14:paraId="6593125C" w14:textId="77777777">
            <w:pPr>
              <w:pStyle w:val="TableParagraph"/>
              <w:ind w:left="749"/>
              <w:jc w:val="left"/>
              <w:rPr>
                <w:sz w:val="21"/>
              </w:rPr>
            </w:pPr>
            <w:r>
              <w:rPr>
                <w:spacing w:val="-5"/>
                <w:sz w:val="21"/>
              </w:rPr>
              <w:t>140</w:t>
            </w:r>
          </w:p>
        </w:tc>
        <w:tc>
          <w:tcPr>
            <w:tcW w:w="1979" w:type="dxa"/>
          </w:tcPr>
          <w:p w:rsidR="003F5784" w14:paraId="563450C7" w14:textId="77777777">
            <w:pPr>
              <w:pStyle w:val="TableParagraph"/>
              <w:ind w:right="167"/>
              <w:rPr>
                <w:sz w:val="21"/>
              </w:rPr>
            </w:pPr>
            <w:r>
              <w:rPr>
                <w:spacing w:val="-2"/>
                <w:sz w:val="21"/>
              </w:rPr>
              <w:t>82.42</w:t>
            </w:r>
          </w:p>
        </w:tc>
        <w:tc>
          <w:tcPr>
            <w:tcW w:w="1834" w:type="dxa"/>
          </w:tcPr>
          <w:p w:rsidR="003F5784" w14:paraId="300BB7B6" w14:textId="77777777">
            <w:pPr>
              <w:pStyle w:val="TableParagraph"/>
              <w:ind w:left="-26" w:right="147"/>
              <w:rPr>
                <w:sz w:val="21"/>
              </w:rPr>
            </w:pPr>
            <w:r>
              <w:rPr>
                <w:spacing w:val="-2"/>
                <w:sz w:val="21"/>
              </w:rPr>
              <w:t>68.64</w:t>
            </w:r>
          </w:p>
        </w:tc>
        <w:tc>
          <w:tcPr>
            <w:tcW w:w="1264" w:type="dxa"/>
          </w:tcPr>
          <w:p w:rsidR="003F5784" w14:paraId="4C939DA7" w14:textId="77777777">
            <w:pPr>
              <w:pStyle w:val="TableParagraph"/>
              <w:ind w:left="585"/>
              <w:jc w:val="left"/>
              <w:rPr>
                <w:sz w:val="21"/>
              </w:rPr>
            </w:pPr>
            <w:r>
              <w:rPr>
                <w:spacing w:val="-2"/>
                <w:sz w:val="21"/>
              </w:rPr>
              <w:t>2,200</w:t>
            </w:r>
          </w:p>
        </w:tc>
        <w:tc>
          <w:tcPr>
            <w:tcW w:w="1274" w:type="dxa"/>
          </w:tcPr>
          <w:p w:rsidR="003F5784" w14:paraId="5613F605" w14:textId="77777777">
            <w:pPr>
              <w:pStyle w:val="TableParagraph"/>
              <w:ind w:left="677"/>
              <w:jc w:val="left"/>
              <w:rPr>
                <w:sz w:val="21"/>
              </w:rPr>
            </w:pPr>
            <w:r>
              <w:rPr>
                <w:spacing w:val="-4"/>
                <w:sz w:val="21"/>
              </w:rPr>
              <w:t>3.05</w:t>
            </w:r>
          </w:p>
        </w:tc>
        <w:tc>
          <w:tcPr>
            <w:tcW w:w="1559" w:type="dxa"/>
          </w:tcPr>
          <w:p w:rsidR="003F5784" w14:paraId="56D1FC4D" w14:textId="77777777">
            <w:pPr>
              <w:pStyle w:val="TableParagraph"/>
              <w:ind w:left="951"/>
              <w:jc w:val="left"/>
              <w:rPr>
                <w:sz w:val="21"/>
              </w:rPr>
            </w:pPr>
            <w:r>
              <w:rPr>
                <w:spacing w:val="-2"/>
                <w:sz w:val="21"/>
              </w:rPr>
              <w:t>86.99</w:t>
            </w:r>
          </w:p>
        </w:tc>
        <w:tc>
          <w:tcPr>
            <w:tcW w:w="1712" w:type="dxa"/>
          </w:tcPr>
          <w:p w:rsidR="003F5784" w14:paraId="50C8F1AF" w14:textId="77777777">
            <w:pPr>
              <w:pStyle w:val="TableParagraph"/>
              <w:ind w:right="124"/>
              <w:rPr>
                <w:sz w:val="21"/>
              </w:rPr>
            </w:pPr>
            <w:r>
              <w:rPr>
                <w:spacing w:val="-4"/>
                <w:sz w:val="21"/>
              </w:rPr>
              <w:t>7.52</w:t>
            </w:r>
          </w:p>
        </w:tc>
      </w:tr>
      <w:tr w14:paraId="28D49FAC" w14:textId="77777777">
        <w:tblPrEx>
          <w:tblW w:w="0" w:type="auto"/>
          <w:tblInd w:w="482" w:type="dxa"/>
          <w:tblLayout w:type="fixed"/>
          <w:tblCellMar>
            <w:left w:w="0" w:type="dxa"/>
            <w:right w:w="0" w:type="dxa"/>
          </w:tblCellMar>
          <w:tblLook w:val="01E0"/>
        </w:tblPrEx>
        <w:trPr>
          <w:trHeight w:val="286"/>
        </w:trPr>
        <w:tc>
          <w:tcPr>
            <w:tcW w:w="3181" w:type="dxa"/>
          </w:tcPr>
          <w:p w:rsidR="003F5784" w14:paraId="5DB5BE74" w14:textId="77777777">
            <w:pPr>
              <w:pStyle w:val="TableParagraph"/>
              <w:ind w:left="120"/>
              <w:jc w:val="left"/>
              <w:rPr>
                <w:sz w:val="21"/>
              </w:rPr>
            </w:pPr>
            <w:r>
              <w:rPr>
                <w:sz w:val="21"/>
              </w:rPr>
              <w:t>National</w:t>
            </w:r>
            <w:r>
              <w:rPr>
                <w:spacing w:val="-9"/>
                <w:sz w:val="21"/>
              </w:rPr>
              <w:t xml:space="preserve"> </w:t>
            </w:r>
            <w:r>
              <w:rPr>
                <w:spacing w:val="-2"/>
                <w:sz w:val="21"/>
              </w:rPr>
              <w:t>public</w:t>
            </w:r>
          </w:p>
        </w:tc>
        <w:tc>
          <w:tcPr>
            <w:tcW w:w="1188" w:type="dxa"/>
          </w:tcPr>
          <w:p w:rsidR="003F5784" w14:paraId="20583FBC" w14:textId="77777777">
            <w:pPr>
              <w:pStyle w:val="TableParagraph"/>
              <w:ind w:left="749"/>
              <w:jc w:val="left"/>
              <w:rPr>
                <w:sz w:val="21"/>
              </w:rPr>
            </w:pPr>
            <w:r>
              <w:rPr>
                <w:spacing w:val="-5"/>
                <w:sz w:val="21"/>
              </w:rPr>
              <w:t>410</w:t>
            </w:r>
          </w:p>
        </w:tc>
        <w:tc>
          <w:tcPr>
            <w:tcW w:w="1979" w:type="dxa"/>
          </w:tcPr>
          <w:p w:rsidR="003F5784" w14:paraId="7491CFBB" w14:textId="77777777">
            <w:pPr>
              <w:pStyle w:val="TableParagraph"/>
              <w:ind w:right="167"/>
              <w:rPr>
                <w:sz w:val="21"/>
              </w:rPr>
            </w:pPr>
            <w:r>
              <w:rPr>
                <w:spacing w:val="-2"/>
                <w:sz w:val="21"/>
              </w:rPr>
              <w:t>90.45</w:t>
            </w:r>
          </w:p>
        </w:tc>
        <w:tc>
          <w:tcPr>
            <w:tcW w:w="1834" w:type="dxa"/>
          </w:tcPr>
          <w:p w:rsidR="003F5784" w14:paraId="18DB413B" w14:textId="77777777">
            <w:pPr>
              <w:pStyle w:val="TableParagraph"/>
              <w:ind w:left="-26" w:right="147"/>
              <w:rPr>
                <w:sz w:val="21"/>
              </w:rPr>
            </w:pPr>
            <w:r>
              <w:rPr>
                <w:spacing w:val="-2"/>
                <w:sz w:val="21"/>
              </w:rPr>
              <w:t>88.79</w:t>
            </w:r>
          </w:p>
        </w:tc>
        <w:tc>
          <w:tcPr>
            <w:tcW w:w="1264" w:type="dxa"/>
          </w:tcPr>
          <w:p w:rsidR="003F5784" w14:paraId="2E62377F" w14:textId="77777777">
            <w:pPr>
              <w:pStyle w:val="TableParagraph"/>
              <w:ind w:left="585"/>
              <w:jc w:val="left"/>
              <w:rPr>
                <w:sz w:val="21"/>
              </w:rPr>
            </w:pPr>
            <w:r>
              <w:rPr>
                <w:spacing w:val="-2"/>
                <w:sz w:val="21"/>
              </w:rPr>
              <w:t>8,700</w:t>
            </w:r>
          </w:p>
        </w:tc>
        <w:tc>
          <w:tcPr>
            <w:tcW w:w="1274" w:type="dxa"/>
          </w:tcPr>
          <w:p w:rsidR="003F5784" w14:paraId="08F7CC6C" w14:textId="77777777">
            <w:pPr>
              <w:pStyle w:val="TableParagraph"/>
              <w:ind w:left="677"/>
              <w:jc w:val="left"/>
              <w:rPr>
                <w:sz w:val="21"/>
              </w:rPr>
            </w:pPr>
            <w:r>
              <w:rPr>
                <w:spacing w:val="-4"/>
                <w:sz w:val="21"/>
              </w:rPr>
              <w:t>2.52</w:t>
            </w:r>
          </w:p>
        </w:tc>
        <w:tc>
          <w:tcPr>
            <w:tcW w:w="1559" w:type="dxa"/>
          </w:tcPr>
          <w:p w:rsidR="003F5784" w14:paraId="2569F113" w14:textId="77777777">
            <w:pPr>
              <w:pStyle w:val="TableParagraph"/>
              <w:ind w:left="951"/>
              <w:jc w:val="left"/>
              <w:rPr>
                <w:sz w:val="21"/>
              </w:rPr>
            </w:pPr>
            <w:r>
              <w:rPr>
                <w:spacing w:val="-2"/>
                <w:sz w:val="21"/>
              </w:rPr>
              <w:t>87.00</w:t>
            </w:r>
          </w:p>
        </w:tc>
        <w:tc>
          <w:tcPr>
            <w:tcW w:w="1712" w:type="dxa"/>
          </w:tcPr>
          <w:p w:rsidR="003F5784" w14:paraId="6C523553" w14:textId="77777777">
            <w:pPr>
              <w:pStyle w:val="TableParagraph"/>
              <w:ind w:right="124"/>
              <w:rPr>
                <w:sz w:val="21"/>
              </w:rPr>
            </w:pPr>
            <w:r>
              <w:rPr>
                <w:spacing w:val="-2"/>
                <w:sz w:val="21"/>
              </w:rPr>
              <w:t>15.13</w:t>
            </w:r>
          </w:p>
        </w:tc>
      </w:tr>
      <w:tr w14:paraId="4D58BBF7" w14:textId="77777777">
        <w:tblPrEx>
          <w:tblW w:w="0" w:type="auto"/>
          <w:tblInd w:w="482" w:type="dxa"/>
          <w:tblLayout w:type="fixed"/>
          <w:tblCellMar>
            <w:left w:w="0" w:type="dxa"/>
            <w:right w:w="0" w:type="dxa"/>
          </w:tblCellMar>
          <w:tblLook w:val="01E0"/>
        </w:tblPrEx>
        <w:trPr>
          <w:trHeight w:val="286"/>
        </w:trPr>
        <w:tc>
          <w:tcPr>
            <w:tcW w:w="3181" w:type="dxa"/>
          </w:tcPr>
          <w:p w:rsidR="003F5784" w14:paraId="7FFE6053" w14:textId="77777777">
            <w:pPr>
              <w:pStyle w:val="TableParagraph"/>
              <w:ind w:left="120"/>
              <w:jc w:val="left"/>
              <w:rPr>
                <w:sz w:val="21"/>
              </w:rPr>
            </w:pPr>
            <w:r>
              <w:rPr>
                <w:sz w:val="21"/>
              </w:rPr>
              <w:t>National</w:t>
            </w:r>
            <w:r>
              <w:rPr>
                <w:spacing w:val="-9"/>
                <w:sz w:val="21"/>
              </w:rPr>
              <w:t xml:space="preserve"> </w:t>
            </w:r>
            <w:r>
              <w:rPr>
                <w:spacing w:val="-2"/>
                <w:sz w:val="21"/>
              </w:rPr>
              <w:t>private</w:t>
            </w:r>
          </w:p>
        </w:tc>
        <w:tc>
          <w:tcPr>
            <w:tcW w:w="1188" w:type="dxa"/>
          </w:tcPr>
          <w:p w:rsidR="003F5784" w14:paraId="5CC23DFF" w14:textId="77777777">
            <w:pPr>
              <w:pStyle w:val="TableParagraph"/>
              <w:ind w:left="749"/>
              <w:jc w:val="left"/>
              <w:rPr>
                <w:sz w:val="21"/>
              </w:rPr>
            </w:pPr>
            <w:r>
              <w:rPr>
                <w:spacing w:val="-5"/>
                <w:sz w:val="21"/>
              </w:rPr>
              <w:t>160</w:t>
            </w:r>
          </w:p>
        </w:tc>
        <w:tc>
          <w:tcPr>
            <w:tcW w:w="1979" w:type="dxa"/>
          </w:tcPr>
          <w:p w:rsidR="003F5784" w14:paraId="22D14491" w14:textId="77777777">
            <w:pPr>
              <w:pStyle w:val="TableParagraph"/>
              <w:ind w:right="167"/>
              <w:rPr>
                <w:sz w:val="21"/>
              </w:rPr>
            </w:pPr>
            <w:r>
              <w:rPr>
                <w:spacing w:val="-2"/>
                <w:sz w:val="21"/>
              </w:rPr>
              <w:t>32.02</w:t>
            </w:r>
          </w:p>
        </w:tc>
        <w:tc>
          <w:tcPr>
            <w:tcW w:w="1834" w:type="dxa"/>
          </w:tcPr>
          <w:p w:rsidR="003F5784" w14:paraId="51403BDA" w14:textId="77777777">
            <w:pPr>
              <w:pStyle w:val="TableParagraph"/>
              <w:ind w:left="-26" w:right="147"/>
              <w:rPr>
                <w:sz w:val="21"/>
              </w:rPr>
            </w:pPr>
            <w:r>
              <w:rPr>
                <w:spacing w:val="-2"/>
                <w:sz w:val="21"/>
              </w:rPr>
              <w:t>28.98</w:t>
            </w:r>
          </w:p>
        </w:tc>
        <w:tc>
          <w:tcPr>
            <w:tcW w:w="1264" w:type="dxa"/>
          </w:tcPr>
          <w:p w:rsidR="003F5784" w14:paraId="2844F77C" w14:textId="77777777">
            <w:pPr>
              <w:pStyle w:val="TableParagraph"/>
              <w:ind w:left="741"/>
              <w:jc w:val="left"/>
              <w:rPr>
                <w:sz w:val="21"/>
              </w:rPr>
            </w:pPr>
            <w:r>
              <w:rPr>
                <w:spacing w:val="-5"/>
                <w:sz w:val="21"/>
              </w:rPr>
              <w:t>500</w:t>
            </w:r>
          </w:p>
        </w:tc>
        <w:tc>
          <w:tcPr>
            <w:tcW w:w="1274" w:type="dxa"/>
          </w:tcPr>
          <w:p w:rsidR="003F5784" w14:paraId="78D708FD" w14:textId="77777777">
            <w:pPr>
              <w:pStyle w:val="TableParagraph"/>
              <w:ind w:left="677"/>
              <w:jc w:val="left"/>
              <w:rPr>
                <w:sz w:val="21"/>
              </w:rPr>
            </w:pPr>
            <w:r>
              <w:rPr>
                <w:spacing w:val="-4"/>
                <w:sz w:val="21"/>
              </w:rPr>
              <w:t>0.22</w:t>
            </w:r>
          </w:p>
        </w:tc>
        <w:tc>
          <w:tcPr>
            <w:tcW w:w="1559" w:type="dxa"/>
          </w:tcPr>
          <w:p w:rsidR="003F5784" w14:paraId="6C80D3E9" w14:textId="77777777">
            <w:pPr>
              <w:pStyle w:val="TableParagraph"/>
              <w:ind w:left="951"/>
              <w:jc w:val="left"/>
              <w:rPr>
                <w:sz w:val="21"/>
              </w:rPr>
            </w:pPr>
            <w:r>
              <w:rPr>
                <w:spacing w:val="-2"/>
                <w:sz w:val="21"/>
              </w:rPr>
              <w:t>90.89</w:t>
            </w:r>
          </w:p>
        </w:tc>
        <w:tc>
          <w:tcPr>
            <w:tcW w:w="1712" w:type="dxa"/>
          </w:tcPr>
          <w:p w:rsidR="003F5784" w14:paraId="254E712E" w14:textId="77777777">
            <w:pPr>
              <w:pStyle w:val="TableParagraph"/>
              <w:ind w:right="124"/>
              <w:rPr>
                <w:sz w:val="21"/>
              </w:rPr>
            </w:pPr>
            <w:r>
              <w:rPr>
                <w:spacing w:val="-4"/>
                <w:sz w:val="21"/>
              </w:rPr>
              <w:t>3.20</w:t>
            </w:r>
          </w:p>
        </w:tc>
      </w:tr>
      <w:tr w14:paraId="60A19D4D" w14:textId="77777777">
        <w:tblPrEx>
          <w:tblW w:w="0" w:type="auto"/>
          <w:tblInd w:w="482" w:type="dxa"/>
          <w:tblLayout w:type="fixed"/>
          <w:tblCellMar>
            <w:left w:w="0" w:type="dxa"/>
            <w:right w:w="0" w:type="dxa"/>
          </w:tblCellMar>
          <w:tblLook w:val="01E0"/>
        </w:tblPrEx>
        <w:trPr>
          <w:trHeight w:val="286"/>
        </w:trPr>
        <w:tc>
          <w:tcPr>
            <w:tcW w:w="3181" w:type="dxa"/>
          </w:tcPr>
          <w:p w:rsidR="003F5784" w14:paraId="602FCCCB" w14:textId="77777777">
            <w:pPr>
              <w:pStyle w:val="TableParagraph"/>
              <w:ind w:left="433"/>
              <w:jc w:val="left"/>
              <w:rPr>
                <w:sz w:val="21"/>
              </w:rPr>
            </w:pPr>
            <w:r>
              <w:rPr>
                <w:spacing w:val="-2"/>
                <w:sz w:val="21"/>
              </w:rPr>
              <w:t>Catholic</w:t>
            </w:r>
          </w:p>
        </w:tc>
        <w:tc>
          <w:tcPr>
            <w:tcW w:w="1188" w:type="dxa"/>
          </w:tcPr>
          <w:p w:rsidR="003F5784" w14:paraId="24D06E53" w14:textId="77777777">
            <w:pPr>
              <w:pStyle w:val="TableParagraph"/>
              <w:ind w:right="124"/>
              <w:rPr>
                <w:sz w:val="21"/>
              </w:rPr>
            </w:pPr>
            <w:r>
              <w:rPr>
                <w:spacing w:val="-5"/>
                <w:sz w:val="21"/>
              </w:rPr>
              <w:t>50</w:t>
            </w:r>
          </w:p>
        </w:tc>
        <w:tc>
          <w:tcPr>
            <w:tcW w:w="1979" w:type="dxa"/>
          </w:tcPr>
          <w:p w:rsidR="003F5784" w14:paraId="6B25332D" w14:textId="77777777">
            <w:pPr>
              <w:pStyle w:val="TableParagraph"/>
              <w:ind w:right="167"/>
              <w:rPr>
                <w:sz w:val="21"/>
              </w:rPr>
            </w:pPr>
            <w:r>
              <w:rPr>
                <w:spacing w:val="-2"/>
                <w:sz w:val="21"/>
              </w:rPr>
              <w:t>62.73</w:t>
            </w:r>
          </w:p>
        </w:tc>
        <w:tc>
          <w:tcPr>
            <w:tcW w:w="1834" w:type="dxa"/>
          </w:tcPr>
          <w:p w:rsidR="003F5784" w14:paraId="0D293B10" w14:textId="77777777">
            <w:pPr>
              <w:pStyle w:val="TableParagraph"/>
              <w:ind w:left="-26" w:right="147"/>
              <w:rPr>
                <w:sz w:val="21"/>
              </w:rPr>
            </w:pPr>
            <w:r>
              <w:rPr>
                <w:spacing w:val="-2"/>
                <w:sz w:val="21"/>
              </w:rPr>
              <w:t>60.99</w:t>
            </w:r>
          </w:p>
        </w:tc>
        <w:tc>
          <w:tcPr>
            <w:tcW w:w="1264" w:type="dxa"/>
          </w:tcPr>
          <w:p w:rsidR="003F5784" w14:paraId="01CB9614" w14:textId="77777777">
            <w:pPr>
              <w:pStyle w:val="TableParagraph"/>
              <w:ind w:left="741"/>
              <w:jc w:val="left"/>
              <w:rPr>
                <w:sz w:val="21"/>
              </w:rPr>
            </w:pPr>
            <w:r>
              <w:rPr>
                <w:spacing w:val="-5"/>
                <w:sz w:val="21"/>
              </w:rPr>
              <w:t>400</w:t>
            </w:r>
          </w:p>
        </w:tc>
        <w:tc>
          <w:tcPr>
            <w:tcW w:w="1274" w:type="dxa"/>
          </w:tcPr>
          <w:p w:rsidR="003F5784" w14:paraId="7A4938C1" w14:textId="77777777">
            <w:pPr>
              <w:pStyle w:val="TableParagraph"/>
              <w:ind w:left="677"/>
              <w:jc w:val="left"/>
              <w:rPr>
                <w:sz w:val="21"/>
              </w:rPr>
            </w:pPr>
            <w:r>
              <w:rPr>
                <w:spacing w:val="-4"/>
                <w:sz w:val="21"/>
              </w:rPr>
              <w:t>0.59</w:t>
            </w:r>
          </w:p>
        </w:tc>
        <w:tc>
          <w:tcPr>
            <w:tcW w:w="1559" w:type="dxa"/>
          </w:tcPr>
          <w:p w:rsidR="003F5784" w14:paraId="66134CDC" w14:textId="77777777">
            <w:pPr>
              <w:pStyle w:val="TableParagraph"/>
              <w:ind w:left="951"/>
              <w:jc w:val="left"/>
              <w:rPr>
                <w:sz w:val="21"/>
              </w:rPr>
            </w:pPr>
            <w:r>
              <w:rPr>
                <w:spacing w:val="-2"/>
                <w:sz w:val="21"/>
              </w:rPr>
              <w:t>92.30</w:t>
            </w:r>
          </w:p>
        </w:tc>
        <w:tc>
          <w:tcPr>
            <w:tcW w:w="1712" w:type="dxa"/>
          </w:tcPr>
          <w:p w:rsidR="003F5784" w14:paraId="0D78715C" w14:textId="77777777">
            <w:pPr>
              <w:pStyle w:val="TableParagraph"/>
              <w:ind w:right="124"/>
              <w:rPr>
                <w:sz w:val="21"/>
              </w:rPr>
            </w:pPr>
            <w:r>
              <w:rPr>
                <w:spacing w:val="-4"/>
                <w:sz w:val="21"/>
              </w:rPr>
              <w:t>3.29</w:t>
            </w:r>
          </w:p>
        </w:tc>
      </w:tr>
      <w:tr w14:paraId="20ED6951" w14:textId="77777777">
        <w:tblPrEx>
          <w:tblW w:w="0" w:type="auto"/>
          <w:tblInd w:w="482" w:type="dxa"/>
          <w:tblLayout w:type="fixed"/>
          <w:tblCellMar>
            <w:left w:w="0" w:type="dxa"/>
            <w:right w:w="0" w:type="dxa"/>
          </w:tblCellMar>
          <w:tblLook w:val="01E0"/>
        </w:tblPrEx>
        <w:trPr>
          <w:trHeight w:val="289"/>
        </w:trPr>
        <w:tc>
          <w:tcPr>
            <w:tcW w:w="3181" w:type="dxa"/>
            <w:tcBorders>
              <w:bottom w:val="single" w:sz="18" w:space="0" w:color="800000"/>
            </w:tcBorders>
          </w:tcPr>
          <w:p w:rsidR="003F5784" w14:paraId="331C8CBB" w14:textId="77777777">
            <w:pPr>
              <w:pStyle w:val="TableParagraph"/>
              <w:ind w:left="433"/>
              <w:jc w:val="left"/>
              <w:rPr>
                <w:sz w:val="21"/>
              </w:rPr>
            </w:pPr>
            <w:r>
              <w:rPr>
                <w:spacing w:val="-2"/>
                <w:sz w:val="21"/>
              </w:rPr>
              <w:t>Non-Catholic</w:t>
            </w:r>
          </w:p>
        </w:tc>
        <w:tc>
          <w:tcPr>
            <w:tcW w:w="1188" w:type="dxa"/>
            <w:tcBorders>
              <w:bottom w:val="single" w:sz="18" w:space="0" w:color="800000"/>
            </w:tcBorders>
          </w:tcPr>
          <w:p w:rsidR="003F5784" w14:paraId="694FC224" w14:textId="77777777">
            <w:pPr>
              <w:pStyle w:val="TableParagraph"/>
              <w:ind w:left="749"/>
              <w:jc w:val="left"/>
              <w:rPr>
                <w:sz w:val="21"/>
              </w:rPr>
            </w:pPr>
            <w:r>
              <w:rPr>
                <w:spacing w:val="-5"/>
                <w:sz w:val="21"/>
              </w:rPr>
              <w:t>120</w:t>
            </w:r>
          </w:p>
        </w:tc>
        <w:tc>
          <w:tcPr>
            <w:tcW w:w="1979" w:type="dxa"/>
            <w:tcBorders>
              <w:bottom w:val="single" w:sz="18" w:space="0" w:color="800000"/>
            </w:tcBorders>
          </w:tcPr>
          <w:p w:rsidR="003F5784" w14:paraId="33D7C19C" w14:textId="77777777">
            <w:pPr>
              <w:pStyle w:val="TableParagraph"/>
              <w:ind w:right="167"/>
              <w:rPr>
                <w:sz w:val="21"/>
              </w:rPr>
            </w:pPr>
            <w:r>
              <w:rPr>
                <w:spacing w:val="-2"/>
                <w:sz w:val="21"/>
              </w:rPr>
              <w:t>13.88</w:t>
            </w:r>
          </w:p>
        </w:tc>
        <w:tc>
          <w:tcPr>
            <w:tcW w:w="1834" w:type="dxa"/>
            <w:tcBorders>
              <w:bottom w:val="single" w:sz="18" w:space="0" w:color="800000"/>
            </w:tcBorders>
          </w:tcPr>
          <w:p w:rsidR="003F5784" w14:paraId="772B520A" w14:textId="77777777">
            <w:pPr>
              <w:pStyle w:val="TableParagraph"/>
              <w:ind w:left="-26" w:right="147"/>
              <w:rPr>
                <w:sz w:val="21"/>
              </w:rPr>
            </w:pPr>
            <w:r>
              <w:rPr>
                <w:spacing w:val="-2"/>
                <w:sz w:val="21"/>
              </w:rPr>
              <w:t>19.13</w:t>
            </w:r>
          </w:p>
        </w:tc>
        <w:tc>
          <w:tcPr>
            <w:tcW w:w="1264" w:type="dxa"/>
            <w:tcBorders>
              <w:bottom w:val="single" w:sz="18" w:space="0" w:color="800000"/>
            </w:tcBorders>
          </w:tcPr>
          <w:p w:rsidR="003F5784" w14:paraId="53F737B4" w14:textId="77777777">
            <w:pPr>
              <w:pStyle w:val="TableParagraph"/>
              <w:ind w:left="741"/>
              <w:jc w:val="left"/>
              <w:rPr>
                <w:sz w:val="21"/>
              </w:rPr>
            </w:pPr>
            <w:r>
              <w:rPr>
                <w:spacing w:val="-5"/>
                <w:sz w:val="21"/>
              </w:rPr>
              <w:t>100</w:t>
            </w:r>
          </w:p>
        </w:tc>
        <w:tc>
          <w:tcPr>
            <w:tcW w:w="1274" w:type="dxa"/>
            <w:tcBorders>
              <w:bottom w:val="single" w:sz="18" w:space="0" w:color="800000"/>
            </w:tcBorders>
          </w:tcPr>
          <w:p w:rsidR="003F5784" w14:paraId="4E20C7C9" w14:textId="77777777">
            <w:pPr>
              <w:pStyle w:val="TableParagraph"/>
              <w:ind w:left="677"/>
              <w:jc w:val="left"/>
              <w:rPr>
                <w:sz w:val="21"/>
              </w:rPr>
            </w:pPr>
            <w:r>
              <w:rPr>
                <w:spacing w:val="-4"/>
                <w:sz w:val="21"/>
              </w:rPr>
              <w:t>0.00</w:t>
            </w:r>
          </w:p>
        </w:tc>
        <w:tc>
          <w:tcPr>
            <w:tcW w:w="1559" w:type="dxa"/>
            <w:tcBorders>
              <w:bottom w:val="single" w:sz="18" w:space="0" w:color="800000"/>
            </w:tcBorders>
          </w:tcPr>
          <w:p w:rsidR="003F5784" w14:paraId="5A9D4A3A" w14:textId="77777777">
            <w:pPr>
              <w:pStyle w:val="TableParagraph"/>
              <w:ind w:left="951"/>
              <w:jc w:val="left"/>
              <w:rPr>
                <w:sz w:val="21"/>
              </w:rPr>
            </w:pPr>
            <w:r>
              <w:rPr>
                <w:spacing w:val="-2"/>
                <w:sz w:val="21"/>
              </w:rPr>
              <w:t>87.70</w:t>
            </w:r>
          </w:p>
        </w:tc>
        <w:tc>
          <w:tcPr>
            <w:tcW w:w="1712" w:type="dxa"/>
            <w:tcBorders>
              <w:bottom w:val="single" w:sz="18" w:space="0" w:color="800000"/>
            </w:tcBorders>
          </w:tcPr>
          <w:p w:rsidR="003F5784" w14:paraId="5F357599" w14:textId="77777777">
            <w:pPr>
              <w:pStyle w:val="TableParagraph"/>
              <w:ind w:right="124"/>
              <w:rPr>
                <w:sz w:val="21"/>
              </w:rPr>
            </w:pPr>
            <w:r>
              <w:rPr>
                <w:spacing w:val="-4"/>
                <w:sz w:val="21"/>
              </w:rPr>
              <w:t>3.15</w:t>
            </w:r>
          </w:p>
        </w:tc>
      </w:tr>
      <w:tr w14:paraId="1C8D55FD" w14:textId="77777777">
        <w:tblPrEx>
          <w:tblW w:w="0" w:type="auto"/>
          <w:tblInd w:w="482" w:type="dxa"/>
          <w:tblLayout w:type="fixed"/>
          <w:tblCellMar>
            <w:left w:w="0" w:type="dxa"/>
            <w:right w:w="0" w:type="dxa"/>
          </w:tblCellMar>
          <w:tblLook w:val="01E0"/>
        </w:tblPrEx>
        <w:trPr>
          <w:trHeight w:val="203"/>
        </w:trPr>
        <w:tc>
          <w:tcPr>
            <w:tcW w:w="3181" w:type="dxa"/>
            <w:tcBorders>
              <w:top w:val="single" w:sz="18" w:space="0" w:color="800000"/>
            </w:tcBorders>
          </w:tcPr>
          <w:p w:rsidR="003F5784" w14:paraId="4EEE1022" w14:textId="77777777">
            <w:pPr>
              <w:pStyle w:val="TableParagraph"/>
              <w:spacing w:before="9" w:line="175" w:lineRule="exact"/>
              <w:ind w:left="120" w:right="-44"/>
              <w:jc w:val="left"/>
              <w:rPr>
                <w:sz w:val="21"/>
              </w:rPr>
            </w:pPr>
            <w:r>
              <w:rPr>
                <w:position w:val="9"/>
                <w:sz w:val="17"/>
              </w:rPr>
              <w:t>1</w:t>
            </w:r>
            <w:r>
              <w:rPr>
                <w:sz w:val="21"/>
              </w:rPr>
              <w:t>1</w:t>
            </w:r>
            <w:r>
              <w:rPr>
                <w:position w:val="9"/>
                <w:sz w:val="17"/>
              </w:rPr>
              <w:t>1</w:t>
            </w:r>
            <w:r>
              <w:rPr>
                <w:position w:val="1"/>
                <w:sz w:val="21"/>
              </w:rPr>
              <w:t>National</w:t>
            </w:r>
            <w:r>
              <w:rPr>
                <w:spacing w:val="-7"/>
                <w:position w:val="1"/>
                <w:sz w:val="21"/>
              </w:rPr>
              <w:t xml:space="preserve"> </w:t>
            </w:r>
            <w:r>
              <w:rPr>
                <w:position w:val="1"/>
                <w:sz w:val="21"/>
              </w:rPr>
              <w:t>all</w:t>
            </w:r>
            <w:r>
              <w:rPr>
                <w:spacing w:val="-6"/>
                <w:position w:val="1"/>
                <w:sz w:val="21"/>
              </w:rPr>
              <w:t xml:space="preserve"> </w:t>
            </w:r>
            <w:r>
              <w:rPr>
                <w:position w:val="1"/>
                <w:sz w:val="21"/>
              </w:rPr>
              <w:t>includes</w:t>
            </w:r>
            <w:r>
              <w:rPr>
                <w:spacing w:val="-6"/>
                <w:position w:val="1"/>
                <w:sz w:val="21"/>
              </w:rPr>
              <w:t xml:space="preserve"> </w:t>
            </w:r>
            <w:r>
              <w:rPr>
                <w:position w:val="1"/>
                <w:sz w:val="21"/>
              </w:rPr>
              <w:t>national</w:t>
            </w:r>
            <w:r>
              <w:rPr>
                <w:spacing w:val="-6"/>
                <w:position w:val="1"/>
                <w:sz w:val="21"/>
              </w:rPr>
              <w:t xml:space="preserve"> </w:t>
            </w:r>
            <w:r>
              <w:rPr>
                <w:spacing w:val="-5"/>
                <w:position w:val="1"/>
                <w:sz w:val="21"/>
              </w:rPr>
              <w:t>pub</w:t>
            </w:r>
          </w:p>
        </w:tc>
        <w:tc>
          <w:tcPr>
            <w:tcW w:w="1188" w:type="dxa"/>
            <w:tcBorders>
              <w:top w:val="single" w:sz="18" w:space="0" w:color="800000"/>
            </w:tcBorders>
          </w:tcPr>
          <w:p w:rsidR="003F5784" w14:paraId="1DEDBBAD" w14:textId="77777777">
            <w:pPr>
              <w:pStyle w:val="TableParagraph"/>
              <w:spacing w:before="53" w:line="131" w:lineRule="exact"/>
              <w:ind w:left="31" w:right="-58"/>
              <w:jc w:val="left"/>
              <w:rPr>
                <w:sz w:val="21"/>
              </w:rPr>
            </w:pPr>
            <w:r>
              <w:rPr>
                <w:sz w:val="21"/>
              </w:rPr>
              <w:t>lic,</w:t>
            </w:r>
            <w:r>
              <w:rPr>
                <w:spacing w:val="-6"/>
                <w:sz w:val="21"/>
              </w:rPr>
              <w:t xml:space="preserve"> </w:t>
            </w:r>
            <w:r>
              <w:rPr>
                <w:sz w:val="21"/>
              </w:rPr>
              <w:t>national</w:t>
            </w:r>
            <w:r>
              <w:rPr>
                <w:spacing w:val="-6"/>
                <w:sz w:val="21"/>
              </w:rPr>
              <w:t xml:space="preserve"> </w:t>
            </w:r>
            <w:r>
              <w:rPr>
                <w:spacing w:val="-5"/>
                <w:sz w:val="21"/>
              </w:rPr>
              <w:t>pr</w:t>
            </w:r>
          </w:p>
        </w:tc>
        <w:tc>
          <w:tcPr>
            <w:tcW w:w="1979" w:type="dxa"/>
            <w:tcBorders>
              <w:top w:val="single" w:sz="18" w:space="0" w:color="800000"/>
            </w:tcBorders>
          </w:tcPr>
          <w:p w:rsidR="003F5784" w14:paraId="44458EB9" w14:textId="77777777">
            <w:pPr>
              <w:pStyle w:val="TableParagraph"/>
              <w:spacing w:before="53" w:line="131" w:lineRule="exact"/>
              <w:ind w:right="75"/>
              <w:rPr>
                <w:sz w:val="21"/>
              </w:rPr>
            </w:pPr>
            <w:r>
              <w:rPr>
                <w:sz w:val="21"/>
              </w:rPr>
              <w:t>ivate,</w:t>
            </w:r>
            <w:r>
              <w:rPr>
                <w:spacing w:val="-5"/>
                <w:sz w:val="21"/>
              </w:rPr>
              <w:t xml:space="preserve"> </w:t>
            </w:r>
            <w:r>
              <w:rPr>
                <w:sz w:val="21"/>
              </w:rPr>
              <w:t>and</w:t>
            </w:r>
            <w:r>
              <w:rPr>
                <w:spacing w:val="-5"/>
                <w:sz w:val="21"/>
              </w:rPr>
              <w:t xml:space="preserve"> </w:t>
            </w:r>
            <w:r>
              <w:rPr>
                <w:spacing w:val="-2"/>
                <w:sz w:val="21"/>
              </w:rPr>
              <w:t>Department</w:t>
            </w:r>
          </w:p>
        </w:tc>
        <w:tc>
          <w:tcPr>
            <w:tcW w:w="1834" w:type="dxa"/>
            <w:tcBorders>
              <w:top w:val="single" w:sz="18" w:space="0" w:color="800000"/>
            </w:tcBorders>
          </w:tcPr>
          <w:p w:rsidR="003F5784" w14:paraId="3B8135DC" w14:textId="77777777">
            <w:pPr>
              <w:pStyle w:val="TableParagraph"/>
              <w:spacing w:before="53" w:line="131" w:lineRule="exact"/>
              <w:ind w:left="-26" w:right="51"/>
              <w:rPr>
                <w:sz w:val="21"/>
              </w:rPr>
            </w:pPr>
            <w:r>
              <w:rPr>
                <w:sz w:val="21"/>
              </w:rPr>
              <w:t>of</w:t>
            </w:r>
            <w:r>
              <w:rPr>
                <w:spacing w:val="-6"/>
                <w:sz w:val="21"/>
              </w:rPr>
              <w:t xml:space="preserve"> </w:t>
            </w:r>
            <w:r>
              <w:rPr>
                <w:sz w:val="21"/>
              </w:rPr>
              <w:t>Defense</w:t>
            </w:r>
            <w:r>
              <w:rPr>
                <w:spacing w:val="-5"/>
                <w:sz w:val="21"/>
              </w:rPr>
              <w:t xml:space="preserve"> </w:t>
            </w:r>
            <w:r>
              <w:rPr>
                <w:spacing w:val="-2"/>
                <w:sz w:val="21"/>
              </w:rPr>
              <w:t>Education</w:t>
            </w:r>
          </w:p>
        </w:tc>
        <w:tc>
          <w:tcPr>
            <w:tcW w:w="1264" w:type="dxa"/>
            <w:tcBorders>
              <w:top w:val="single" w:sz="18" w:space="0" w:color="800000"/>
            </w:tcBorders>
          </w:tcPr>
          <w:p w:rsidR="003F5784" w14:paraId="66FC0CEA" w14:textId="77777777">
            <w:pPr>
              <w:pStyle w:val="TableParagraph"/>
              <w:spacing w:before="53" w:line="131" w:lineRule="exact"/>
              <w:ind w:left="-13" w:right="-72"/>
              <w:jc w:val="left"/>
              <w:rPr>
                <w:sz w:val="21"/>
              </w:rPr>
            </w:pPr>
            <w:r>
              <w:rPr>
                <w:sz w:val="21"/>
              </w:rPr>
              <w:t>Activity</w:t>
            </w:r>
            <w:r>
              <w:rPr>
                <w:spacing w:val="-8"/>
                <w:sz w:val="21"/>
              </w:rPr>
              <w:t xml:space="preserve"> </w:t>
            </w:r>
            <w:r>
              <w:rPr>
                <w:spacing w:val="-2"/>
                <w:sz w:val="21"/>
              </w:rPr>
              <w:t>(DoDE</w:t>
            </w:r>
          </w:p>
        </w:tc>
        <w:tc>
          <w:tcPr>
            <w:tcW w:w="1274" w:type="dxa"/>
            <w:tcBorders>
              <w:top w:val="single" w:sz="18" w:space="0" w:color="800000"/>
            </w:tcBorders>
          </w:tcPr>
          <w:p w:rsidR="003F5784" w14:paraId="6E885E99" w14:textId="77777777">
            <w:pPr>
              <w:pStyle w:val="TableParagraph"/>
              <w:spacing w:before="53" w:line="131" w:lineRule="exact"/>
              <w:ind w:left="61" w:right="-58"/>
              <w:jc w:val="left"/>
              <w:rPr>
                <w:sz w:val="21"/>
              </w:rPr>
            </w:pPr>
            <w:r>
              <w:rPr>
                <w:sz w:val="21"/>
              </w:rPr>
              <w:t>A)</w:t>
            </w:r>
            <w:r>
              <w:rPr>
                <w:spacing w:val="-6"/>
                <w:sz w:val="21"/>
              </w:rPr>
              <w:t xml:space="preserve"> </w:t>
            </w:r>
            <w:r>
              <w:rPr>
                <w:sz w:val="21"/>
              </w:rPr>
              <w:t>schools</w:t>
            </w:r>
            <w:r>
              <w:rPr>
                <w:spacing w:val="-5"/>
                <w:sz w:val="21"/>
              </w:rPr>
              <w:t xml:space="preserve"> </w:t>
            </w:r>
            <w:r>
              <w:rPr>
                <w:spacing w:val="-4"/>
                <w:sz w:val="21"/>
              </w:rPr>
              <w:t>that</w:t>
            </w:r>
          </w:p>
        </w:tc>
        <w:tc>
          <w:tcPr>
            <w:tcW w:w="1559" w:type="dxa"/>
            <w:tcBorders>
              <w:top w:val="single" w:sz="18" w:space="0" w:color="800000"/>
            </w:tcBorders>
          </w:tcPr>
          <w:p w:rsidR="003F5784" w14:paraId="00A1FB83" w14:textId="77777777">
            <w:pPr>
              <w:pStyle w:val="TableParagraph"/>
              <w:spacing w:before="53" w:line="131" w:lineRule="exact"/>
              <w:ind w:left="101"/>
              <w:jc w:val="left"/>
              <w:rPr>
                <w:sz w:val="21"/>
              </w:rPr>
            </w:pPr>
            <w:r>
              <w:rPr>
                <w:sz w:val="21"/>
              </w:rPr>
              <w:t>are</w:t>
            </w:r>
            <w:r>
              <w:rPr>
                <w:spacing w:val="-5"/>
                <w:sz w:val="21"/>
              </w:rPr>
              <w:t xml:space="preserve"> </w:t>
            </w:r>
            <w:r>
              <w:rPr>
                <w:sz w:val="21"/>
              </w:rPr>
              <w:t>located</w:t>
            </w:r>
            <w:r>
              <w:rPr>
                <w:spacing w:val="-4"/>
                <w:sz w:val="21"/>
              </w:rPr>
              <w:t xml:space="preserve"> </w:t>
            </w:r>
            <w:r>
              <w:rPr>
                <w:sz w:val="21"/>
              </w:rPr>
              <w:t>in</w:t>
            </w:r>
            <w:r>
              <w:rPr>
                <w:spacing w:val="-5"/>
                <w:sz w:val="21"/>
              </w:rPr>
              <w:t xml:space="preserve"> the</w:t>
            </w:r>
          </w:p>
        </w:tc>
        <w:tc>
          <w:tcPr>
            <w:tcW w:w="1712" w:type="dxa"/>
            <w:tcBorders>
              <w:top w:val="single" w:sz="18" w:space="0" w:color="800000"/>
            </w:tcBorders>
          </w:tcPr>
          <w:p w:rsidR="003F5784" w14:paraId="613A81AB" w14:textId="77777777">
            <w:pPr>
              <w:pStyle w:val="TableParagraph"/>
              <w:spacing w:before="53" w:line="131" w:lineRule="exact"/>
              <w:ind w:left="24"/>
              <w:jc w:val="left"/>
              <w:rPr>
                <w:sz w:val="21"/>
              </w:rPr>
            </w:pPr>
            <w:r>
              <w:rPr>
                <w:sz w:val="21"/>
              </w:rPr>
              <w:t>United</w:t>
            </w:r>
            <w:r>
              <w:rPr>
                <w:spacing w:val="-7"/>
                <w:sz w:val="21"/>
              </w:rPr>
              <w:t xml:space="preserve"> </w:t>
            </w:r>
            <w:r>
              <w:rPr>
                <w:spacing w:val="-2"/>
                <w:sz w:val="21"/>
              </w:rPr>
              <w:t>States.</w:t>
            </w:r>
          </w:p>
        </w:tc>
      </w:tr>
    </w:tbl>
    <w:p w:rsidR="003F5784" w14:paraId="75289A2E" w14:textId="77777777">
      <w:pPr>
        <w:pStyle w:val="BodyText"/>
        <w:spacing w:before="96" w:line="238" w:lineRule="exact"/>
        <w:ind w:left="595"/>
      </w:pPr>
      <w:r>
        <w:t>NOTE:</w:t>
      </w:r>
      <w:r>
        <w:rPr>
          <w:spacing w:val="-6"/>
        </w:rPr>
        <w:t xml:space="preserve"> </w:t>
      </w:r>
      <w:r>
        <w:t>School</w:t>
      </w:r>
      <w:r>
        <w:rPr>
          <w:spacing w:val="-5"/>
        </w:rPr>
        <w:t xml:space="preserve"> </w:t>
      </w:r>
      <w:r>
        <w:t>counts</w:t>
      </w:r>
      <w:r>
        <w:rPr>
          <w:spacing w:val="-6"/>
        </w:rPr>
        <w:t xml:space="preserve"> </w:t>
      </w:r>
      <w:r>
        <w:t>are</w:t>
      </w:r>
      <w:r>
        <w:rPr>
          <w:spacing w:val="-5"/>
        </w:rPr>
        <w:t xml:space="preserve"> </w:t>
      </w:r>
      <w:r>
        <w:t>rounded</w:t>
      </w:r>
      <w:r>
        <w:rPr>
          <w:spacing w:val="-5"/>
        </w:rPr>
        <w:t xml:space="preserve"> </w:t>
      </w:r>
      <w:r>
        <w:t>to</w:t>
      </w:r>
      <w:r>
        <w:rPr>
          <w:spacing w:val="-6"/>
        </w:rPr>
        <w:t xml:space="preserve"> </w:t>
      </w:r>
      <w:r>
        <w:t>nearest</w:t>
      </w:r>
      <w:r>
        <w:rPr>
          <w:spacing w:val="-5"/>
        </w:rPr>
        <w:t xml:space="preserve"> </w:t>
      </w:r>
      <w:r>
        <w:t>ten</w:t>
      </w:r>
      <w:r>
        <w:rPr>
          <w:spacing w:val="-6"/>
        </w:rPr>
        <w:t xml:space="preserve"> </w:t>
      </w:r>
      <w:r>
        <w:t>and</w:t>
      </w:r>
      <w:r>
        <w:rPr>
          <w:spacing w:val="-5"/>
        </w:rPr>
        <w:t xml:space="preserve"> </w:t>
      </w:r>
      <w:r>
        <w:t>student</w:t>
      </w:r>
      <w:r>
        <w:rPr>
          <w:spacing w:val="-5"/>
        </w:rPr>
        <w:t xml:space="preserve"> </w:t>
      </w:r>
      <w:r>
        <w:t>counts</w:t>
      </w:r>
      <w:r>
        <w:rPr>
          <w:spacing w:val="-6"/>
        </w:rPr>
        <w:t xml:space="preserve"> </w:t>
      </w:r>
      <w:r>
        <w:t>are</w:t>
      </w:r>
      <w:r>
        <w:rPr>
          <w:spacing w:val="-5"/>
        </w:rPr>
        <w:t xml:space="preserve"> </w:t>
      </w:r>
      <w:r>
        <w:t>rounded</w:t>
      </w:r>
      <w:r>
        <w:rPr>
          <w:spacing w:val="-6"/>
        </w:rPr>
        <w:t xml:space="preserve"> </w:t>
      </w:r>
      <w:r>
        <w:t>to</w:t>
      </w:r>
      <w:r>
        <w:rPr>
          <w:spacing w:val="-5"/>
        </w:rPr>
        <w:t xml:space="preserve"> </w:t>
      </w:r>
      <w:r>
        <w:t>nearest</w:t>
      </w:r>
      <w:r>
        <w:rPr>
          <w:spacing w:val="-5"/>
        </w:rPr>
        <w:t xml:space="preserve"> </w:t>
      </w:r>
      <w:r>
        <w:t>hundred.</w:t>
      </w:r>
      <w:r>
        <w:rPr>
          <w:spacing w:val="-6"/>
        </w:rPr>
        <w:t xml:space="preserve"> </w:t>
      </w:r>
      <w:r>
        <w:t>Detail</w:t>
      </w:r>
      <w:r>
        <w:rPr>
          <w:spacing w:val="-5"/>
        </w:rPr>
        <w:t xml:space="preserve"> </w:t>
      </w:r>
      <w:r>
        <w:t>may</w:t>
      </w:r>
      <w:r>
        <w:rPr>
          <w:spacing w:val="-6"/>
        </w:rPr>
        <w:t xml:space="preserve"> </w:t>
      </w:r>
      <w:r>
        <w:t>not</w:t>
      </w:r>
      <w:r>
        <w:rPr>
          <w:spacing w:val="-5"/>
        </w:rPr>
        <w:t xml:space="preserve"> </w:t>
      </w:r>
      <w:r>
        <w:t>sum</w:t>
      </w:r>
      <w:r>
        <w:rPr>
          <w:spacing w:val="-5"/>
        </w:rPr>
        <w:t xml:space="preserve"> </w:t>
      </w:r>
      <w:r>
        <w:t>to</w:t>
      </w:r>
      <w:r>
        <w:rPr>
          <w:spacing w:val="-6"/>
        </w:rPr>
        <w:t xml:space="preserve"> </w:t>
      </w:r>
      <w:r>
        <w:t>totals</w:t>
      </w:r>
      <w:r>
        <w:rPr>
          <w:spacing w:val="-5"/>
        </w:rPr>
        <w:t xml:space="preserve"> </w:t>
      </w:r>
      <w:r>
        <w:t>because</w:t>
      </w:r>
      <w:r>
        <w:rPr>
          <w:spacing w:val="-6"/>
        </w:rPr>
        <w:t xml:space="preserve"> </w:t>
      </w:r>
      <w:r>
        <w:t>of</w:t>
      </w:r>
      <w:r>
        <w:rPr>
          <w:spacing w:val="-5"/>
        </w:rPr>
        <w:t xml:space="preserve"> </w:t>
      </w:r>
      <w:r>
        <w:rPr>
          <w:spacing w:val="-2"/>
        </w:rPr>
        <w:t>rounding.</w:t>
      </w:r>
    </w:p>
    <w:p w:rsidR="003F5784" w14:paraId="31AFDDA8" w14:textId="77777777">
      <w:pPr>
        <w:pStyle w:val="BodyText"/>
        <w:spacing w:before="3"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Reading Assessment.</w:t>
      </w:r>
    </w:p>
    <w:p w:rsidR="003F5784" w14:paraId="42D7551E" w14:textId="77777777">
      <w:pPr>
        <w:pStyle w:val="BodyText"/>
      </w:pPr>
    </w:p>
    <w:p w:rsidR="003F5784" w14:paraId="59E926A1" w14:textId="77777777">
      <w:pPr>
        <w:pStyle w:val="BodyText"/>
        <w:spacing w:before="204"/>
      </w:pPr>
    </w:p>
    <w:p w:rsidR="003F5784" w14:paraId="607BDA4F" w14:textId="77777777">
      <w:pPr>
        <w:ind w:left="4740"/>
        <w:rPr>
          <w:sz w:val="18"/>
        </w:rPr>
      </w:pPr>
      <w:hyperlink r:id="rId543">
        <w:r>
          <w:rPr>
            <w:spacing w:val="-2"/>
            <w:w w:val="105"/>
            <w:sz w:val="18"/>
          </w:rPr>
          <w:t>http://nces.ed.gov/nationsreportcard/tdw/weighting/2022/participation_exclusion_and_accommodation_rates_for_age_9_reading.aspx</w:t>
        </w:r>
      </w:hyperlink>
    </w:p>
    <w:p w:rsidR="003F5784" w14:paraId="0A72F127" w14:textId="77777777">
      <w:pPr>
        <w:pStyle w:val="BodyText"/>
        <w:spacing w:before="11"/>
        <w:rPr>
          <w:sz w:val="14"/>
        </w:rPr>
      </w:pPr>
      <w:r>
        <w:rPr>
          <w:noProof/>
        </w:rPr>
        <mc:AlternateContent>
          <mc:Choice Requires="wps">
            <w:drawing>
              <wp:anchor distT="0" distB="0" distL="0" distR="0" simplePos="0" relativeHeight="252038144" behindDoc="1" locked="0" layoutInCell="1" allowOverlap="1">
                <wp:simplePos x="0" y="0"/>
                <wp:positionH relativeFrom="page">
                  <wp:posOffset>361937</wp:posOffset>
                </wp:positionH>
                <wp:positionV relativeFrom="paragraph">
                  <wp:posOffset>124625</wp:posOffset>
                </wp:positionV>
                <wp:extent cx="9339580" cy="8890"/>
                <wp:effectExtent l="0" t="0" r="0" b="0"/>
                <wp:wrapTopAndBottom/>
                <wp:docPr id="679" name="Graphic 679"/>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14"/>
                              </a:moveTo>
                              <a:lnTo>
                                <a:pt x="9335110" y="114"/>
                              </a:lnTo>
                              <a:lnTo>
                                <a:pt x="8280" y="114"/>
                              </a:lnTo>
                              <a:lnTo>
                                <a:pt x="0" y="0"/>
                              </a:lnTo>
                              <a:lnTo>
                                <a:pt x="0" y="8280"/>
                              </a:lnTo>
                              <a:lnTo>
                                <a:pt x="9335110" y="8382"/>
                              </a:lnTo>
                              <a:lnTo>
                                <a:pt x="9338970" y="8382"/>
                              </a:lnTo>
                              <a:lnTo>
                                <a:pt x="9338970" y="114"/>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679" o:spid="_x0000_s1222" style="width:735.4pt;height:0.7pt;margin-top:9.8pt;margin-left:28.5pt;mso-position-horizontal-relative:page;mso-wrap-distance-bottom:0;mso-wrap-distance-left:0;mso-wrap-distance-right:0;mso-wrap-distance-top:0;mso-wrap-style:square;position:absolute;visibility:visible;v-text-anchor:top;z-index:-251277312" coordsize="9339580,8890" path="m9338970,114l9335110,114l8280,114,,,,8280l9335110,8382l9338970,8382l9338970,114xe" fillcolor="gray" stroked="f">
                <v:path arrowok="t"/>
                <w10:wrap type="topAndBottom"/>
              </v:shape>
            </w:pict>
          </mc:Fallback>
        </mc:AlternateContent>
      </w:r>
    </w:p>
    <w:p w:rsidR="003F5784" w14:paraId="769A2095" w14:textId="77777777">
      <w:pPr>
        <w:pStyle w:val="BodyText"/>
        <w:rPr>
          <w:sz w:val="18"/>
        </w:rPr>
      </w:pPr>
    </w:p>
    <w:p w:rsidR="003F5784" w14:paraId="11E0F5E8" w14:textId="77777777">
      <w:pPr>
        <w:pStyle w:val="BodyText"/>
        <w:spacing w:before="206"/>
        <w:rPr>
          <w:sz w:val="18"/>
        </w:rPr>
      </w:pPr>
    </w:p>
    <w:p w:rsidR="003F5784" w14:paraId="7E468FD5" w14:textId="5397FF53">
      <w:pPr>
        <w:pStyle w:val="Heading1"/>
        <w:spacing w:line="244" w:lineRule="auto"/>
        <w:ind w:right="179"/>
      </w:pPr>
      <w:r>
        <w:t>NAEP</w:t>
      </w:r>
      <w:r>
        <w:rPr>
          <w:spacing w:val="-5"/>
        </w:rPr>
        <w:t xml:space="preserve"> </w:t>
      </w:r>
      <w:r>
        <w:t>Technical Documentation</w:t>
      </w:r>
      <w:r w:rsidR="00C94150">
        <w:t xml:space="preserve"> </w:t>
      </w:r>
      <w:r>
        <w:t>Participation, Exclusion, and Accommodation Rates for Grade 4 Mathematics</w:t>
      </w:r>
    </w:p>
    <w:p w:rsidR="003F5784" w14:paraId="7408D450" w14:textId="77777777">
      <w:pPr>
        <w:pStyle w:val="BodyText"/>
        <w:spacing w:before="274" w:line="232" w:lineRule="auto"/>
        <w:ind w:left="109" w:right="179"/>
      </w:pPr>
      <w:r>
        <w:t>The</w:t>
      </w:r>
      <w:r>
        <w:rPr>
          <w:spacing w:val="-7"/>
        </w:rPr>
        <w:t xml:space="preserve"> </w:t>
      </w:r>
      <w:r>
        <w:t>following</w:t>
      </w:r>
      <w:r>
        <w:rPr>
          <w:spacing w:val="-7"/>
        </w:rPr>
        <w:t xml:space="preserve"> </w:t>
      </w:r>
      <w:r>
        <w:t>table</w:t>
      </w:r>
      <w:r>
        <w:rPr>
          <w:spacing w:val="-7"/>
        </w:rPr>
        <w:t xml:space="preserve"> </w:t>
      </w:r>
      <w:r>
        <w:t>displays</w:t>
      </w:r>
      <w:r>
        <w:rPr>
          <w:spacing w:val="-7"/>
        </w:rPr>
        <w:t xml:space="preserve"> </w:t>
      </w:r>
      <w:r>
        <w:t>the</w:t>
      </w:r>
      <w:r>
        <w:rPr>
          <w:spacing w:val="-7"/>
        </w:rPr>
        <w:t xml:space="preserve"> </w:t>
      </w:r>
      <w:r>
        <w:t>school-</w:t>
      </w:r>
      <w:r>
        <w:rPr>
          <w:spacing w:val="-7"/>
        </w:rPr>
        <w:t xml:space="preserve"> </w:t>
      </w:r>
      <w:r>
        <w:t>and</w:t>
      </w:r>
      <w:r>
        <w:rPr>
          <w:spacing w:val="-7"/>
        </w:rPr>
        <w:t xml:space="preserve"> </w:t>
      </w:r>
      <w:r>
        <w:t>student-level</w:t>
      </w:r>
      <w:r>
        <w:rPr>
          <w:spacing w:val="-7"/>
        </w:rPr>
        <w:t xml:space="preserve"> </w:t>
      </w:r>
      <w:r>
        <w:t>response,</w:t>
      </w:r>
      <w:r>
        <w:rPr>
          <w:spacing w:val="-7"/>
        </w:rPr>
        <w:t xml:space="preserve"> </w:t>
      </w:r>
      <w:r>
        <w:t>exclusion,</w:t>
      </w:r>
      <w:r>
        <w:rPr>
          <w:spacing w:val="-7"/>
        </w:rPr>
        <w:t xml:space="preserve"> </w:t>
      </w:r>
      <w:r>
        <w:t>and</w:t>
      </w:r>
      <w:r>
        <w:rPr>
          <w:spacing w:val="-7"/>
        </w:rPr>
        <w:t xml:space="preserve"> </w:t>
      </w:r>
      <w:r>
        <w:t>accommodation</w:t>
      </w:r>
      <w:r>
        <w:rPr>
          <w:spacing w:val="-7"/>
        </w:rPr>
        <w:t xml:space="preserve"> </w:t>
      </w:r>
      <w:r>
        <w:t>rates</w:t>
      </w:r>
      <w:r>
        <w:rPr>
          <w:spacing w:val="-7"/>
        </w:rPr>
        <w:t xml:space="preserve"> </w:t>
      </w:r>
      <w:r>
        <w:t>for</w:t>
      </w:r>
      <w:r>
        <w:rPr>
          <w:spacing w:val="-7"/>
        </w:rPr>
        <w:t xml:space="preserve"> </w:t>
      </w:r>
      <w:r>
        <w:t>the</w:t>
      </w:r>
      <w:r>
        <w:rPr>
          <w:spacing w:val="-7"/>
        </w:rPr>
        <w:t xml:space="preserve"> </w:t>
      </w:r>
      <w:r>
        <w:t>grade</w:t>
      </w:r>
      <w:r>
        <w:rPr>
          <w:spacing w:val="-7"/>
        </w:rPr>
        <w:t xml:space="preserve"> </w:t>
      </w:r>
      <w:r>
        <w:t>4</w:t>
      </w:r>
      <w:r>
        <w:rPr>
          <w:spacing w:val="-7"/>
        </w:rPr>
        <w:t xml:space="preserve"> </w:t>
      </w:r>
      <w:r>
        <w:t>mathematics</w:t>
      </w:r>
      <w:r>
        <w:rPr>
          <w:spacing w:val="-7"/>
        </w:rPr>
        <w:t xml:space="preserve"> </w:t>
      </w:r>
      <w:r>
        <w:t>assessment</w:t>
      </w:r>
      <w:r>
        <w:rPr>
          <w:spacing w:val="-7"/>
        </w:rPr>
        <w:t xml:space="preserve"> </w:t>
      </w:r>
      <w:r>
        <w:t>by</w:t>
      </w:r>
      <w:r>
        <w:rPr>
          <w:spacing w:val="-7"/>
        </w:rPr>
        <w:t xml:space="preserve"> </w:t>
      </w:r>
      <w:r>
        <w:t>school</w:t>
      </w:r>
      <w:r>
        <w:rPr>
          <w:spacing w:val="-7"/>
        </w:rPr>
        <w:t xml:space="preserve"> </w:t>
      </w:r>
      <w:r>
        <w:t>type</w:t>
      </w:r>
      <w:r>
        <w:rPr>
          <w:spacing w:val="-7"/>
        </w:rPr>
        <w:t xml:space="preserve"> </w:t>
      </w:r>
      <w:r>
        <w:t>and jurisdiction.</w:t>
      </w:r>
      <w:r>
        <w:rPr>
          <w:spacing w:val="-2"/>
        </w:rPr>
        <w:t xml:space="preserve"> </w:t>
      </w:r>
      <w:r>
        <w:t>Various weights were used in the calculation of the rates, as indicated in the column headings of the table.</w:t>
      </w:r>
    </w:p>
    <w:p w:rsidR="003F5784" w14:paraId="11C5FDAC" w14:textId="77777777">
      <w:pPr>
        <w:pStyle w:val="BodyText"/>
        <w:spacing w:before="209" w:line="232" w:lineRule="auto"/>
        <w:ind w:left="109" w:right="179"/>
      </w:pPr>
      <w:r>
        <w:t>The participation rates reflect the participation of the original sample schools only and do not reflect any effect of substitution.</w:t>
      </w:r>
      <w:r>
        <w:rPr>
          <w:spacing w:val="-3"/>
        </w:rPr>
        <w:t xml:space="preserve"> </w:t>
      </w:r>
      <w:r>
        <w:t>The rates weighted by the base weight and enrollment</w:t>
      </w:r>
      <w:r>
        <w:rPr>
          <w:spacing w:val="-6"/>
        </w:rPr>
        <w:t xml:space="preserve"> </w:t>
      </w:r>
      <w:r>
        <w:t>show</w:t>
      </w:r>
      <w:r>
        <w:rPr>
          <w:spacing w:val="-6"/>
        </w:rPr>
        <w:t xml:space="preserve"> </w:t>
      </w:r>
      <w:r>
        <w:t>the</w:t>
      </w:r>
      <w:r>
        <w:rPr>
          <w:spacing w:val="-6"/>
        </w:rPr>
        <w:t xml:space="preserve"> </w:t>
      </w:r>
      <w:r>
        <w:t>approximate</w:t>
      </w:r>
      <w:r>
        <w:rPr>
          <w:spacing w:val="-6"/>
        </w:rPr>
        <w:t xml:space="preserve"> </w:t>
      </w:r>
      <w:r>
        <w:t>proportion</w:t>
      </w:r>
      <w:r>
        <w:rPr>
          <w:spacing w:val="-6"/>
        </w:rPr>
        <w:t xml:space="preserve"> </w:t>
      </w:r>
      <w:r>
        <w:t>of</w:t>
      </w:r>
      <w:r>
        <w:rPr>
          <w:spacing w:val="-6"/>
        </w:rPr>
        <w:t xml:space="preserve"> </w:t>
      </w:r>
      <w:r>
        <w:t>the</w:t>
      </w:r>
      <w:r>
        <w:rPr>
          <w:spacing w:val="-6"/>
        </w:rPr>
        <w:t xml:space="preserve"> </w:t>
      </w:r>
      <w:r>
        <w:t>student</w:t>
      </w:r>
      <w:r>
        <w:rPr>
          <w:spacing w:val="-6"/>
        </w:rPr>
        <w:t xml:space="preserve"> </w:t>
      </w:r>
      <w:r>
        <w:t>population</w:t>
      </w:r>
      <w:r>
        <w:rPr>
          <w:spacing w:val="-6"/>
        </w:rPr>
        <w:t xml:space="preserve"> </w:t>
      </w:r>
      <w:r>
        <w:t>in</w:t>
      </w:r>
      <w:r>
        <w:rPr>
          <w:spacing w:val="-6"/>
        </w:rPr>
        <w:t xml:space="preserve"> </w:t>
      </w:r>
      <w:r>
        <w:t>the</w:t>
      </w:r>
      <w:r>
        <w:rPr>
          <w:spacing w:val="-6"/>
        </w:rPr>
        <w:t xml:space="preserve"> </w:t>
      </w:r>
      <w:r>
        <w:t>jurisdiction</w:t>
      </w:r>
      <w:r>
        <w:rPr>
          <w:spacing w:val="-6"/>
        </w:rPr>
        <w:t xml:space="preserve"> </w:t>
      </w:r>
      <w:r>
        <w:t>that</w:t>
      </w:r>
      <w:r>
        <w:rPr>
          <w:spacing w:val="-6"/>
        </w:rPr>
        <w:t xml:space="preserve"> </w:t>
      </w:r>
      <w:r>
        <w:t>is</w:t>
      </w:r>
      <w:r>
        <w:rPr>
          <w:spacing w:val="-6"/>
        </w:rPr>
        <w:t xml:space="preserve"> </w:t>
      </w:r>
      <w:r>
        <w:t>represented</w:t>
      </w:r>
      <w:r>
        <w:rPr>
          <w:spacing w:val="-6"/>
        </w:rPr>
        <w:t xml:space="preserve"> </w:t>
      </w:r>
      <w:r>
        <w:t>by</w:t>
      </w:r>
      <w:r>
        <w:rPr>
          <w:spacing w:val="-6"/>
        </w:rPr>
        <w:t xml:space="preserve"> </w:t>
      </w:r>
      <w:r>
        <w:t>the</w:t>
      </w:r>
      <w:r>
        <w:rPr>
          <w:spacing w:val="-6"/>
        </w:rPr>
        <w:t xml:space="preserve"> </w:t>
      </w:r>
      <w:r>
        <w:t>responding</w:t>
      </w:r>
      <w:r>
        <w:rPr>
          <w:spacing w:val="-6"/>
        </w:rPr>
        <w:t xml:space="preserve"> </w:t>
      </w:r>
      <w:r>
        <w:t>schools</w:t>
      </w:r>
      <w:r>
        <w:rPr>
          <w:spacing w:val="-6"/>
        </w:rPr>
        <w:t xml:space="preserve"> </w:t>
      </w:r>
      <w:r>
        <w:t>in</w:t>
      </w:r>
      <w:r>
        <w:rPr>
          <w:spacing w:val="-6"/>
        </w:rPr>
        <w:t xml:space="preserve"> </w:t>
      </w:r>
      <w:r>
        <w:t>the</w:t>
      </w:r>
      <w:r>
        <w:rPr>
          <w:spacing w:val="-6"/>
        </w:rPr>
        <w:t xml:space="preserve"> </w:t>
      </w:r>
      <w:r>
        <w:t>sample.</w:t>
      </w:r>
      <w:r>
        <w:rPr>
          <w:spacing w:val="-10"/>
        </w:rPr>
        <w:t xml:space="preserve"> </w:t>
      </w:r>
      <w:r>
        <w:t>The</w:t>
      </w:r>
      <w:r>
        <w:rPr>
          <w:spacing w:val="-6"/>
        </w:rPr>
        <w:t xml:space="preserve"> </w:t>
      </w:r>
      <w:r>
        <w:t>rates</w:t>
      </w:r>
      <w:r>
        <w:rPr>
          <w:spacing w:val="-6"/>
        </w:rPr>
        <w:t xml:space="preserve"> </w:t>
      </w:r>
      <w:r>
        <w:t>weighted</w:t>
      </w:r>
      <w:r>
        <w:rPr>
          <w:spacing w:val="-6"/>
        </w:rPr>
        <w:t xml:space="preserve"> </w:t>
      </w:r>
      <w:r>
        <w:t>by</w:t>
      </w:r>
      <w:r>
        <w:rPr>
          <w:spacing w:val="-6"/>
        </w:rPr>
        <w:t xml:space="preserve"> </w:t>
      </w:r>
      <w:r>
        <w:t>just the base weight show the proportion of the school population that is represented by the responding schools in the sample.</w:t>
      </w:r>
      <w:r>
        <w:rPr>
          <w:spacing w:val="-3"/>
        </w:rPr>
        <w:t xml:space="preserve"> </w:t>
      </w:r>
      <w:r>
        <w:t>These rates differ because schools differ in size.</w:t>
      </w:r>
    </w:p>
    <w:p w:rsidR="003F5784" w14:paraId="73A165A8" w14:textId="77777777">
      <w:pPr>
        <w:spacing w:line="232" w:lineRule="auto"/>
        <w:sectPr>
          <w:pgSz w:w="15840" w:h="12240" w:orient="landscape"/>
          <w:pgMar w:top="480" w:right="440" w:bottom="460" w:left="460" w:header="284" w:footer="275" w:gutter="0"/>
          <w:cols w:space="720"/>
        </w:sectPr>
      </w:pPr>
    </w:p>
    <w:p w:rsidR="003F5784" w14:paraId="11C5C463" w14:textId="77777777">
      <w:pPr>
        <w:pStyle w:val="Heading2"/>
        <w:spacing w:before="202"/>
      </w:pPr>
      <w:r>
        <w:t>Participation,</w:t>
      </w:r>
      <w:r>
        <w:rPr>
          <w:spacing w:val="-8"/>
        </w:rPr>
        <w:t xml:space="preserve"> </w:t>
      </w:r>
      <w:r>
        <w:t>exclusion,</w:t>
      </w:r>
      <w:r>
        <w:rPr>
          <w:spacing w:val="-8"/>
        </w:rPr>
        <w:t xml:space="preserve"> </w:t>
      </w:r>
      <w:r>
        <w:t>and</w:t>
      </w:r>
      <w:r>
        <w:rPr>
          <w:spacing w:val="-8"/>
        </w:rPr>
        <w:t xml:space="preserve"> </w:t>
      </w:r>
      <w:r>
        <w:t>accommodation</w:t>
      </w:r>
      <w:r>
        <w:rPr>
          <w:spacing w:val="-7"/>
        </w:rPr>
        <w:t xml:space="preserve"> </w:t>
      </w:r>
      <w:r>
        <w:t>rates,</w:t>
      </w:r>
      <w:r>
        <w:rPr>
          <w:spacing w:val="-8"/>
        </w:rPr>
        <w:t xml:space="preserve"> </w:t>
      </w:r>
      <w:r>
        <w:t>grade</w:t>
      </w:r>
      <w:r>
        <w:rPr>
          <w:spacing w:val="-8"/>
        </w:rPr>
        <w:t xml:space="preserve"> </w:t>
      </w:r>
      <w:r>
        <w:t>4</w:t>
      </w:r>
      <w:r>
        <w:rPr>
          <w:spacing w:val="-8"/>
        </w:rPr>
        <w:t xml:space="preserve"> </w:t>
      </w:r>
      <w:r>
        <w:t>mathematics</w:t>
      </w:r>
      <w:r>
        <w:rPr>
          <w:spacing w:val="-7"/>
        </w:rPr>
        <w:t xml:space="preserve"> </w:t>
      </w:r>
      <w:r>
        <w:t>combined</w:t>
      </w:r>
      <w:r>
        <w:rPr>
          <w:spacing w:val="-8"/>
        </w:rPr>
        <w:t xml:space="preserve"> </w:t>
      </w:r>
      <w:r>
        <w:t>national</w:t>
      </w:r>
      <w:r>
        <w:rPr>
          <w:spacing w:val="-8"/>
        </w:rPr>
        <w:t xml:space="preserve"> </w:t>
      </w:r>
      <w:r>
        <w:t>and</w:t>
      </w:r>
      <w:r>
        <w:rPr>
          <w:spacing w:val="-8"/>
        </w:rPr>
        <w:t xml:space="preserve"> </w:t>
      </w:r>
      <w:r>
        <w:t>state</w:t>
      </w:r>
      <w:r>
        <w:rPr>
          <w:spacing w:val="-7"/>
        </w:rPr>
        <w:t xml:space="preserve"> </w:t>
      </w:r>
      <w:r>
        <w:t>assessment,</w:t>
      </w:r>
      <w:r>
        <w:rPr>
          <w:spacing w:val="-8"/>
        </w:rPr>
        <w:t xml:space="preserve"> </w:t>
      </w:r>
      <w:r>
        <w:t>by</w:t>
      </w:r>
      <w:r>
        <w:rPr>
          <w:spacing w:val="-8"/>
        </w:rPr>
        <w:t xml:space="preserve"> </w:t>
      </w:r>
      <w:r>
        <w:t>school</w:t>
      </w:r>
      <w:r>
        <w:rPr>
          <w:spacing w:val="-8"/>
        </w:rPr>
        <w:t xml:space="preserve"> </w:t>
      </w:r>
      <w:r>
        <w:t>type</w:t>
      </w:r>
      <w:r>
        <w:rPr>
          <w:spacing w:val="-7"/>
        </w:rPr>
        <w:t xml:space="preserve"> </w:t>
      </w:r>
      <w:r>
        <w:t>and</w:t>
      </w:r>
      <w:r>
        <w:rPr>
          <w:spacing w:val="-8"/>
        </w:rPr>
        <w:t xml:space="preserve"> </w:t>
      </w:r>
      <w:r>
        <w:t>jurisdiction:</w:t>
      </w:r>
      <w:r>
        <w:rPr>
          <w:spacing w:val="-8"/>
        </w:rPr>
        <w:t xml:space="preserve"> </w:t>
      </w:r>
      <w:r>
        <w:rPr>
          <w:spacing w:val="-4"/>
        </w:rPr>
        <w:t>2022</w:t>
      </w:r>
    </w:p>
    <w:p w:rsidR="003F5784" w14:paraId="6B0BC23C"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2693"/>
        <w:gridCol w:w="1272"/>
        <w:gridCol w:w="2055"/>
        <w:gridCol w:w="1990"/>
        <w:gridCol w:w="1304"/>
        <w:gridCol w:w="1202"/>
        <w:gridCol w:w="1738"/>
        <w:gridCol w:w="1733"/>
      </w:tblGrid>
      <w:tr w14:paraId="05DB3112" w14:textId="77777777">
        <w:tblPrEx>
          <w:tblW w:w="0" w:type="auto"/>
          <w:tblInd w:w="482" w:type="dxa"/>
          <w:tblLayout w:type="fixed"/>
          <w:tblCellMar>
            <w:left w:w="0" w:type="dxa"/>
            <w:right w:w="0" w:type="dxa"/>
          </w:tblCellMar>
          <w:tblLook w:val="01E0"/>
        </w:tblPrEx>
        <w:trPr>
          <w:trHeight w:val="1440"/>
        </w:trPr>
        <w:tc>
          <w:tcPr>
            <w:tcW w:w="2693" w:type="dxa"/>
            <w:tcBorders>
              <w:top w:val="single" w:sz="18" w:space="0" w:color="800000"/>
              <w:bottom w:val="single" w:sz="18" w:space="0" w:color="800000"/>
            </w:tcBorders>
          </w:tcPr>
          <w:p w:rsidR="003F5784" w14:paraId="3D276172" w14:textId="77777777">
            <w:pPr>
              <w:pStyle w:val="TableParagraph"/>
              <w:spacing w:before="0"/>
              <w:jc w:val="left"/>
              <w:rPr>
                <w:b/>
                <w:sz w:val="21"/>
              </w:rPr>
            </w:pPr>
          </w:p>
          <w:p w:rsidR="003F5784" w14:paraId="2AD230C0" w14:textId="77777777">
            <w:pPr>
              <w:pStyle w:val="TableParagraph"/>
              <w:spacing w:before="0"/>
              <w:jc w:val="left"/>
              <w:rPr>
                <w:b/>
                <w:sz w:val="21"/>
              </w:rPr>
            </w:pPr>
          </w:p>
          <w:p w:rsidR="003F5784" w14:paraId="5CA50386" w14:textId="77777777">
            <w:pPr>
              <w:pStyle w:val="TableParagraph"/>
              <w:spacing w:before="0"/>
              <w:jc w:val="left"/>
              <w:rPr>
                <w:b/>
                <w:sz w:val="21"/>
              </w:rPr>
            </w:pPr>
          </w:p>
          <w:p w:rsidR="003F5784" w14:paraId="41851A59" w14:textId="77777777">
            <w:pPr>
              <w:pStyle w:val="TableParagraph"/>
              <w:spacing w:before="216"/>
              <w:jc w:val="left"/>
              <w:rPr>
                <w:b/>
                <w:sz w:val="21"/>
              </w:rPr>
            </w:pPr>
          </w:p>
          <w:p w:rsidR="003F5784" w14:paraId="2A50AD0A" w14:textId="77777777">
            <w:pPr>
              <w:pStyle w:val="TableParagraph"/>
              <w:spacing w:before="0" w:line="238" w:lineRule="exact"/>
              <w:ind w:left="120"/>
              <w:jc w:val="left"/>
              <w:rPr>
                <w:sz w:val="21"/>
              </w:rPr>
            </w:pPr>
            <w:r>
              <w:rPr>
                <w:sz w:val="21"/>
              </w:rPr>
              <w:t>School</w:t>
            </w:r>
            <w:r>
              <w:rPr>
                <w:spacing w:val="-6"/>
                <w:sz w:val="21"/>
              </w:rPr>
              <w:t xml:space="preserve"> </w:t>
            </w:r>
            <w:r>
              <w:rPr>
                <w:sz w:val="21"/>
              </w:rPr>
              <w:t>type</w:t>
            </w:r>
            <w:r>
              <w:rPr>
                <w:spacing w:val="-5"/>
                <w:sz w:val="21"/>
              </w:rPr>
              <w:t xml:space="preserve"> </w:t>
            </w:r>
            <w:r>
              <w:rPr>
                <w:sz w:val="21"/>
              </w:rPr>
              <w:t>and</w:t>
            </w:r>
            <w:r>
              <w:rPr>
                <w:spacing w:val="-5"/>
                <w:sz w:val="21"/>
              </w:rPr>
              <w:t xml:space="preserve"> </w:t>
            </w:r>
            <w:r>
              <w:rPr>
                <w:spacing w:val="-2"/>
                <w:sz w:val="21"/>
              </w:rPr>
              <w:t>jurisdiction</w:t>
            </w:r>
          </w:p>
        </w:tc>
        <w:tc>
          <w:tcPr>
            <w:tcW w:w="1272" w:type="dxa"/>
            <w:tcBorders>
              <w:top w:val="single" w:sz="18" w:space="0" w:color="800000"/>
              <w:bottom w:val="single" w:sz="18" w:space="0" w:color="800000"/>
            </w:tcBorders>
          </w:tcPr>
          <w:p w:rsidR="003F5784" w14:paraId="740B10E7" w14:textId="77777777">
            <w:pPr>
              <w:pStyle w:val="TableParagraph"/>
              <w:spacing w:before="9"/>
              <w:jc w:val="left"/>
              <w:rPr>
                <w:b/>
                <w:sz w:val="21"/>
              </w:rPr>
            </w:pPr>
          </w:p>
          <w:p w:rsidR="003F5784" w14:paraId="67945791" w14:textId="77777777">
            <w:pPr>
              <w:pStyle w:val="TableParagraph"/>
              <w:spacing w:before="0" w:line="234" w:lineRule="exact"/>
              <w:ind w:left="296" w:right="133" w:hanging="70"/>
              <w:rPr>
                <w:sz w:val="21"/>
              </w:rPr>
            </w:pPr>
            <w:r>
              <w:rPr>
                <w:sz w:val="21"/>
              </w:rPr>
              <w:t>Number</w:t>
            </w:r>
            <w:r>
              <w:rPr>
                <w:spacing w:val="-14"/>
                <w:sz w:val="21"/>
              </w:rPr>
              <w:t xml:space="preserve"> </w:t>
            </w:r>
            <w:r>
              <w:rPr>
                <w:sz w:val="21"/>
              </w:rPr>
              <w:t>of schools</w:t>
            </w:r>
            <w:r>
              <w:rPr>
                <w:spacing w:val="-14"/>
                <w:sz w:val="21"/>
              </w:rPr>
              <w:t xml:space="preserve"> </w:t>
            </w:r>
            <w:r>
              <w:rPr>
                <w:sz w:val="21"/>
              </w:rPr>
              <w:t xml:space="preserve">in </w:t>
            </w:r>
            <w:r>
              <w:rPr>
                <w:spacing w:val="-2"/>
                <w:sz w:val="21"/>
              </w:rPr>
              <w:t>original sample, rounded</w:t>
            </w:r>
          </w:p>
        </w:tc>
        <w:tc>
          <w:tcPr>
            <w:tcW w:w="2055" w:type="dxa"/>
            <w:tcBorders>
              <w:top w:val="single" w:sz="18" w:space="0" w:color="800000"/>
              <w:bottom w:val="single" w:sz="18" w:space="0" w:color="800000"/>
            </w:tcBorders>
          </w:tcPr>
          <w:p w:rsidR="003F5784" w14:paraId="40F03403" w14:textId="77777777">
            <w:pPr>
              <w:pStyle w:val="TableParagraph"/>
              <w:spacing w:before="15" w:line="232" w:lineRule="auto"/>
              <w:ind w:left="135" w:right="134" w:firstLine="97"/>
              <w:rPr>
                <w:sz w:val="21"/>
              </w:rPr>
            </w:pPr>
            <w:r>
              <w:rPr>
                <w:spacing w:val="-2"/>
                <w:sz w:val="21"/>
              </w:rPr>
              <w:t>School</w:t>
            </w:r>
            <w:r>
              <w:rPr>
                <w:spacing w:val="-11"/>
                <w:sz w:val="21"/>
              </w:rPr>
              <w:t xml:space="preserve"> </w:t>
            </w:r>
            <w:r>
              <w:rPr>
                <w:spacing w:val="-2"/>
                <w:sz w:val="21"/>
              </w:rPr>
              <w:t xml:space="preserve">participation </w:t>
            </w:r>
            <w:r>
              <w:rPr>
                <w:sz w:val="21"/>
              </w:rPr>
              <w:t>rates</w:t>
            </w:r>
            <w:r>
              <w:rPr>
                <w:spacing w:val="-7"/>
                <w:sz w:val="21"/>
              </w:rPr>
              <w:t xml:space="preserve"> </w:t>
            </w:r>
            <w:r>
              <w:rPr>
                <w:sz w:val="21"/>
              </w:rPr>
              <w:t>(percent)</w:t>
            </w:r>
            <w:r>
              <w:rPr>
                <w:spacing w:val="-7"/>
                <w:sz w:val="21"/>
              </w:rPr>
              <w:t xml:space="preserve"> </w:t>
            </w:r>
            <w:r>
              <w:rPr>
                <w:spacing w:val="-2"/>
                <w:sz w:val="21"/>
              </w:rPr>
              <w:t>before</w:t>
            </w:r>
          </w:p>
          <w:p w:rsidR="003F5784" w14:paraId="5A0824DD" w14:textId="77777777">
            <w:pPr>
              <w:pStyle w:val="TableParagraph"/>
              <w:spacing w:before="1" w:line="232" w:lineRule="auto"/>
              <w:ind w:left="401" w:right="134" w:firstLine="543"/>
              <w:rPr>
                <w:sz w:val="21"/>
              </w:rPr>
            </w:pPr>
            <w:r>
              <w:rPr>
                <w:spacing w:val="-2"/>
                <w:sz w:val="21"/>
              </w:rPr>
              <w:t xml:space="preserve">substitution </w:t>
            </w:r>
            <w:r>
              <w:rPr>
                <w:sz w:val="21"/>
              </w:rPr>
              <w:t>(weighted</w:t>
            </w:r>
            <w:r>
              <w:rPr>
                <w:spacing w:val="-7"/>
                <w:sz w:val="21"/>
              </w:rPr>
              <w:t xml:space="preserve"> </w:t>
            </w:r>
            <w:r>
              <w:rPr>
                <w:sz w:val="21"/>
              </w:rPr>
              <w:t>by</w:t>
            </w:r>
            <w:r>
              <w:rPr>
                <w:spacing w:val="-6"/>
                <w:sz w:val="21"/>
              </w:rPr>
              <w:t xml:space="preserve"> </w:t>
            </w:r>
            <w:r>
              <w:rPr>
                <w:spacing w:val="-4"/>
                <w:sz w:val="21"/>
              </w:rPr>
              <w:t>base</w:t>
            </w:r>
          </w:p>
          <w:p w:rsidR="003F5784" w14:paraId="057B20F5" w14:textId="77777777">
            <w:pPr>
              <w:pStyle w:val="TableParagraph"/>
              <w:spacing w:before="0" w:line="234" w:lineRule="exact"/>
              <w:ind w:left="945" w:right="134" w:firstLine="51"/>
              <w:rPr>
                <w:sz w:val="21"/>
              </w:rPr>
            </w:pPr>
            <w:r>
              <w:rPr>
                <w:sz w:val="21"/>
              </w:rPr>
              <w:t>weight</w:t>
            </w:r>
            <w:r>
              <w:rPr>
                <w:spacing w:val="-14"/>
                <w:sz w:val="21"/>
              </w:rPr>
              <w:t xml:space="preserve"> </w:t>
            </w:r>
            <w:r>
              <w:rPr>
                <w:sz w:val="21"/>
              </w:rPr>
              <w:t xml:space="preserve">and </w:t>
            </w:r>
            <w:r>
              <w:rPr>
                <w:spacing w:val="-2"/>
                <w:sz w:val="21"/>
              </w:rPr>
              <w:t>enrollment)</w:t>
            </w:r>
          </w:p>
        </w:tc>
        <w:tc>
          <w:tcPr>
            <w:tcW w:w="1990" w:type="dxa"/>
            <w:tcBorders>
              <w:top w:val="single" w:sz="18" w:space="0" w:color="800000"/>
              <w:bottom w:val="single" w:sz="18" w:space="0" w:color="800000"/>
            </w:tcBorders>
          </w:tcPr>
          <w:p w:rsidR="003F5784" w14:paraId="5FAC1558" w14:textId="77777777">
            <w:pPr>
              <w:pStyle w:val="TableParagraph"/>
              <w:spacing w:before="8"/>
              <w:jc w:val="left"/>
              <w:rPr>
                <w:b/>
                <w:sz w:val="21"/>
              </w:rPr>
            </w:pPr>
          </w:p>
          <w:p w:rsidR="003F5784" w14:paraId="67BBAF9A" w14:textId="77777777">
            <w:pPr>
              <w:pStyle w:val="TableParagraph"/>
              <w:spacing w:before="0" w:line="232" w:lineRule="auto"/>
              <w:ind w:left="263" w:right="166" w:hanging="128"/>
              <w:rPr>
                <w:sz w:val="21"/>
              </w:rPr>
            </w:pPr>
            <w:r>
              <w:rPr>
                <w:spacing w:val="-2"/>
                <w:sz w:val="21"/>
              </w:rPr>
              <w:t>School</w:t>
            </w:r>
            <w:r>
              <w:rPr>
                <w:spacing w:val="-11"/>
                <w:sz w:val="21"/>
              </w:rPr>
              <w:t xml:space="preserve"> </w:t>
            </w:r>
            <w:r>
              <w:rPr>
                <w:spacing w:val="-2"/>
                <w:sz w:val="21"/>
              </w:rPr>
              <w:t xml:space="preserve">participation </w:t>
            </w:r>
            <w:r>
              <w:rPr>
                <w:sz w:val="21"/>
              </w:rPr>
              <w:t xml:space="preserve">rates (percent) </w:t>
            </w:r>
            <w:r>
              <w:rPr>
                <w:spacing w:val="-2"/>
                <w:sz w:val="21"/>
              </w:rPr>
              <w:t>before</w:t>
            </w:r>
            <w:r>
              <w:rPr>
                <w:spacing w:val="-12"/>
                <w:sz w:val="21"/>
              </w:rPr>
              <w:t xml:space="preserve"> </w:t>
            </w:r>
            <w:r>
              <w:rPr>
                <w:spacing w:val="-2"/>
                <w:sz w:val="21"/>
              </w:rPr>
              <w:t xml:space="preserve">substitution </w:t>
            </w:r>
            <w:r>
              <w:rPr>
                <w:sz w:val="21"/>
              </w:rPr>
              <w:t>(weighted</w:t>
            </w:r>
            <w:r>
              <w:rPr>
                <w:spacing w:val="-7"/>
                <w:sz w:val="21"/>
              </w:rPr>
              <w:t xml:space="preserve"> </w:t>
            </w:r>
            <w:r>
              <w:rPr>
                <w:sz w:val="21"/>
              </w:rPr>
              <w:t>by</w:t>
            </w:r>
            <w:r>
              <w:rPr>
                <w:spacing w:val="-6"/>
                <w:sz w:val="21"/>
              </w:rPr>
              <w:t xml:space="preserve"> </w:t>
            </w:r>
            <w:r>
              <w:rPr>
                <w:spacing w:val="-4"/>
                <w:sz w:val="21"/>
              </w:rPr>
              <w:t>base</w:t>
            </w:r>
          </w:p>
          <w:p w:rsidR="003F5784" w14:paraId="264C9099" w14:textId="77777777">
            <w:pPr>
              <w:pStyle w:val="TableParagraph"/>
              <w:spacing w:before="0" w:line="234" w:lineRule="exact"/>
              <w:ind w:right="166"/>
              <w:rPr>
                <w:sz w:val="21"/>
              </w:rPr>
            </w:pPr>
            <w:r>
              <w:rPr>
                <w:sz w:val="21"/>
              </w:rPr>
              <w:t>weight</w:t>
            </w:r>
            <w:r>
              <w:rPr>
                <w:spacing w:val="-7"/>
                <w:sz w:val="21"/>
              </w:rPr>
              <w:t xml:space="preserve"> </w:t>
            </w:r>
            <w:r>
              <w:rPr>
                <w:spacing w:val="-2"/>
                <w:sz w:val="21"/>
              </w:rPr>
              <w:t>only)</w:t>
            </w:r>
          </w:p>
        </w:tc>
        <w:tc>
          <w:tcPr>
            <w:tcW w:w="1304" w:type="dxa"/>
            <w:tcBorders>
              <w:top w:val="single" w:sz="18" w:space="0" w:color="800000"/>
              <w:bottom w:val="single" w:sz="18" w:space="0" w:color="800000"/>
            </w:tcBorders>
          </w:tcPr>
          <w:p w:rsidR="003F5784" w14:paraId="6253F567" w14:textId="77777777">
            <w:pPr>
              <w:pStyle w:val="TableParagraph"/>
              <w:spacing w:before="0"/>
              <w:jc w:val="left"/>
              <w:rPr>
                <w:b/>
                <w:sz w:val="21"/>
              </w:rPr>
            </w:pPr>
          </w:p>
          <w:p w:rsidR="003F5784" w14:paraId="49FA569F" w14:textId="77777777">
            <w:pPr>
              <w:pStyle w:val="TableParagraph"/>
              <w:spacing w:before="1"/>
              <w:jc w:val="left"/>
              <w:rPr>
                <w:b/>
                <w:sz w:val="21"/>
              </w:rPr>
            </w:pPr>
          </w:p>
          <w:p w:rsidR="003F5784" w14:paraId="23D9E250" w14:textId="77777777">
            <w:pPr>
              <w:pStyle w:val="TableParagraph"/>
              <w:spacing w:before="0" w:line="234" w:lineRule="exact"/>
              <w:ind w:left="329" w:right="225" w:hanging="163"/>
              <w:jc w:val="both"/>
              <w:rPr>
                <w:sz w:val="21"/>
              </w:rPr>
            </w:pPr>
            <w:r>
              <w:rPr>
                <w:sz w:val="21"/>
              </w:rPr>
              <w:t>Number</w:t>
            </w:r>
            <w:r>
              <w:rPr>
                <w:spacing w:val="-14"/>
                <w:sz w:val="21"/>
              </w:rPr>
              <w:t xml:space="preserve"> </w:t>
            </w:r>
            <w:r>
              <w:rPr>
                <w:sz w:val="21"/>
              </w:rPr>
              <w:t xml:space="preserve">of </w:t>
            </w:r>
            <w:r>
              <w:rPr>
                <w:spacing w:val="-2"/>
                <w:sz w:val="21"/>
              </w:rPr>
              <w:t>students sampled, rounded</w:t>
            </w:r>
          </w:p>
        </w:tc>
        <w:tc>
          <w:tcPr>
            <w:tcW w:w="1202" w:type="dxa"/>
            <w:tcBorders>
              <w:top w:val="single" w:sz="18" w:space="0" w:color="800000"/>
              <w:bottom w:val="single" w:sz="18" w:space="0" w:color="800000"/>
            </w:tcBorders>
          </w:tcPr>
          <w:p w:rsidR="003F5784" w14:paraId="78CBD4A7" w14:textId="77777777">
            <w:pPr>
              <w:pStyle w:val="TableParagraph"/>
              <w:spacing w:before="0"/>
              <w:jc w:val="left"/>
              <w:rPr>
                <w:b/>
                <w:sz w:val="21"/>
              </w:rPr>
            </w:pPr>
          </w:p>
          <w:p w:rsidR="003F5784" w14:paraId="3EA9F059" w14:textId="77777777">
            <w:pPr>
              <w:pStyle w:val="TableParagraph"/>
              <w:spacing w:before="1"/>
              <w:jc w:val="left"/>
              <w:rPr>
                <w:b/>
                <w:sz w:val="21"/>
              </w:rPr>
            </w:pPr>
          </w:p>
          <w:p w:rsidR="003F5784" w14:paraId="18764C8B" w14:textId="77777777">
            <w:pPr>
              <w:pStyle w:val="TableParagraph"/>
              <w:spacing w:before="0" w:line="234" w:lineRule="exact"/>
              <w:ind w:left="225" w:right="135" w:firstLine="45"/>
              <w:rPr>
                <w:sz w:val="21"/>
              </w:rPr>
            </w:pPr>
            <w:r>
              <w:rPr>
                <w:spacing w:val="-4"/>
                <w:sz w:val="21"/>
              </w:rPr>
              <w:t xml:space="preserve">Weighted </w:t>
            </w:r>
            <w:r>
              <w:rPr>
                <w:spacing w:val="-2"/>
                <w:sz w:val="21"/>
              </w:rPr>
              <w:t>percent</w:t>
            </w:r>
            <w:r>
              <w:rPr>
                <w:spacing w:val="-12"/>
                <w:sz w:val="21"/>
              </w:rPr>
              <w:t xml:space="preserve"> </w:t>
            </w:r>
            <w:r>
              <w:rPr>
                <w:spacing w:val="-2"/>
                <w:sz w:val="21"/>
              </w:rPr>
              <w:t>of students excluded</w:t>
            </w:r>
          </w:p>
        </w:tc>
        <w:tc>
          <w:tcPr>
            <w:tcW w:w="1738" w:type="dxa"/>
            <w:tcBorders>
              <w:top w:val="single" w:sz="18" w:space="0" w:color="800000"/>
              <w:bottom w:val="single" w:sz="18" w:space="0" w:color="800000"/>
            </w:tcBorders>
          </w:tcPr>
          <w:p w:rsidR="003F5784" w14:paraId="0D632B8B" w14:textId="77777777">
            <w:pPr>
              <w:pStyle w:val="TableParagraph"/>
              <w:spacing w:before="0"/>
              <w:jc w:val="left"/>
              <w:rPr>
                <w:b/>
                <w:sz w:val="21"/>
              </w:rPr>
            </w:pPr>
          </w:p>
          <w:p w:rsidR="003F5784" w14:paraId="308A2C11" w14:textId="77777777">
            <w:pPr>
              <w:pStyle w:val="TableParagraph"/>
              <w:spacing w:before="1"/>
              <w:jc w:val="left"/>
              <w:rPr>
                <w:b/>
                <w:sz w:val="21"/>
              </w:rPr>
            </w:pPr>
          </w:p>
          <w:p w:rsidR="003F5784" w14:paraId="3FC96756" w14:textId="77777777">
            <w:pPr>
              <w:pStyle w:val="TableParagraph"/>
              <w:spacing w:before="0" w:line="234" w:lineRule="exact"/>
              <w:ind w:left="384" w:right="153" w:hanging="251"/>
              <w:rPr>
                <w:sz w:val="21"/>
              </w:rPr>
            </w:pPr>
            <w:r>
              <w:rPr>
                <w:spacing w:val="-2"/>
                <w:sz w:val="21"/>
              </w:rPr>
              <w:t>Weighted</w:t>
            </w:r>
            <w:r>
              <w:rPr>
                <w:spacing w:val="-12"/>
                <w:sz w:val="21"/>
              </w:rPr>
              <w:t xml:space="preserve"> </w:t>
            </w:r>
            <w:r>
              <w:rPr>
                <w:spacing w:val="-2"/>
                <w:sz w:val="21"/>
              </w:rPr>
              <w:t>student participation rates</w:t>
            </w:r>
            <w:r>
              <w:rPr>
                <w:spacing w:val="-12"/>
                <w:sz w:val="21"/>
              </w:rPr>
              <w:t xml:space="preserve"> </w:t>
            </w:r>
            <w:r>
              <w:rPr>
                <w:spacing w:val="-2"/>
                <w:sz w:val="21"/>
              </w:rPr>
              <w:t xml:space="preserve">(percent) </w:t>
            </w:r>
            <w:r>
              <w:rPr>
                <w:sz w:val="21"/>
              </w:rPr>
              <w:t>after</w:t>
            </w:r>
            <w:r>
              <w:rPr>
                <w:spacing w:val="-5"/>
                <w:sz w:val="21"/>
              </w:rPr>
              <w:t xml:space="preserve"> </w:t>
            </w:r>
            <w:r>
              <w:rPr>
                <w:spacing w:val="-2"/>
                <w:sz w:val="21"/>
              </w:rPr>
              <w:t>makeups</w:t>
            </w:r>
          </w:p>
        </w:tc>
        <w:tc>
          <w:tcPr>
            <w:tcW w:w="1733" w:type="dxa"/>
            <w:tcBorders>
              <w:top w:val="single" w:sz="18" w:space="0" w:color="800000"/>
              <w:bottom w:val="single" w:sz="18" w:space="0" w:color="800000"/>
            </w:tcBorders>
          </w:tcPr>
          <w:p w:rsidR="003F5784" w14:paraId="2C8E1BF2" w14:textId="77777777">
            <w:pPr>
              <w:pStyle w:val="TableParagraph"/>
              <w:spacing w:before="0"/>
              <w:jc w:val="left"/>
              <w:rPr>
                <w:b/>
                <w:sz w:val="21"/>
              </w:rPr>
            </w:pPr>
          </w:p>
          <w:p w:rsidR="003F5784" w14:paraId="62D2D440" w14:textId="77777777">
            <w:pPr>
              <w:pStyle w:val="TableParagraph"/>
              <w:spacing w:before="230"/>
              <w:jc w:val="left"/>
              <w:rPr>
                <w:b/>
                <w:sz w:val="21"/>
              </w:rPr>
            </w:pPr>
          </w:p>
          <w:p w:rsidR="003F5784" w14:paraId="4D258413" w14:textId="77777777">
            <w:pPr>
              <w:pStyle w:val="TableParagraph"/>
              <w:spacing w:before="0" w:line="238" w:lineRule="exact"/>
              <w:ind w:right="120"/>
              <w:rPr>
                <w:sz w:val="21"/>
              </w:rPr>
            </w:pPr>
            <w:r>
              <w:rPr>
                <w:spacing w:val="-2"/>
                <w:sz w:val="21"/>
              </w:rPr>
              <w:t>Weighted</w:t>
            </w:r>
            <w:r>
              <w:rPr>
                <w:spacing w:val="-11"/>
                <w:sz w:val="21"/>
              </w:rPr>
              <w:t xml:space="preserve"> </w:t>
            </w:r>
            <w:r>
              <w:rPr>
                <w:spacing w:val="-2"/>
                <w:sz w:val="21"/>
              </w:rPr>
              <w:t>percent</w:t>
            </w:r>
          </w:p>
          <w:p w:rsidR="003F5784" w14:paraId="3348AB2A" w14:textId="77777777">
            <w:pPr>
              <w:pStyle w:val="TableParagraph"/>
              <w:spacing w:before="1" w:line="234" w:lineRule="exact"/>
              <w:ind w:left="348" w:right="120" w:firstLine="352"/>
              <w:rPr>
                <w:sz w:val="21"/>
              </w:rPr>
            </w:pPr>
            <w:r>
              <w:rPr>
                <w:sz w:val="21"/>
              </w:rPr>
              <w:t>of</w:t>
            </w:r>
            <w:r>
              <w:rPr>
                <w:spacing w:val="-14"/>
                <w:sz w:val="21"/>
              </w:rPr>
              <w:t xml:space="preserve"> </w:t>
            </w:r>
            <w:r>
              <w:rPr>
                <w:sz w:val="21"/>
              </w:rPr>
              <w:t xml:space="preserve">students </w:t>
            </w:r>
            <w:r>
              <w:rPr>
                <w:spacing w:val="-2"/>
                <w:sz w:val="21"/>
              </w:rPr>
              <w:t>accommodated</w:t>
            </w:r>
          </w:p>
        </w:tc>
      </w:tr>
      <w:tr w14:paraId="375B8C21" w14:textId="77777777">
        <w:tblPrEx>
          <w:tblW w:w="0" w:type="auto"/>
          <w:tblInd w:w="482" w:type="dxa"/>
          <w:tblLayout w:type="fixed"/>
          <w:tblCellMar>
            <w:left w:w="0" w:type="dxa"/>
            <w:right w:w="0" w:type="dxa"/>
          </w:tblCellMar>
          <w:tblLook w:val="01E0"/>
        </w:tblPrEx>
        <w:trPr>
          <w:trHeight w:val="281"/>
        </w:trPr>
        <w:tc>
          <w:tcPr>
            <w:tcW w:w="2693" w:type="dxa"/>
            <w:tcBorders>
              <w:top w:val="single" w:sz="18" w:space="0" w:color="800000"/>
              <w:bottom w:val="single" w:sz="12" w:space="0" w:color="800000"/>
            </w:tcBorders>
          </w:tcPr>
          <w:p w:rsidR="003F5784" w14:paraId="44F6259A" w14:textId="77777777">
            <w:pPr>
              <w:pStyle w:val="TableParagraph"/>
              <w:spacing w:before="9"/>
              <w:ind w:left="370"/>
              <w:jc w:val="left"/>
              <w:rPr>
                <w:b/>
                <w:sz w:val="21"/>
              </w:rPr>
            </w:pPr>
            <w:r>
              <w:rPr>
                <w:b/>
                <w:spacing w:val="-5"/>
                <w:sz w:val="21"/>
              </w:rPr>
              <w:t>All</w:t>
            </w:r>
          </w:p>
        </w:tc>
        <w:tc>
          <w:tcPr>
            <w:tcW w:w="1272" w:type="dxa"/>
            <w:tcBorders>
              <w:top w:val="single" w:sz="18" w:space="0" w:color="800000"/>
              <w:bottom w:val="single" w:sz="12" w:space="0" w:color="800000"/>
            </w:tcBorders>
          </w:tcPr>
          <w:p w:rsidR="003F5784" w14:paraId="320D6947" w14:textId="77777777">
            <w:pPr>
              <w:pStyle w:val="TableParagraph"/>
              <w:spacing w:before="9"/>
              <w:ind w:right="133"/>
              <w:rPr>
                <w:b/>
                <w:sz w:val="21"/>
              </w:rPr>
            </w:pPr>
            <w:r>
              <w:rPr>
                <w:b/>
                <w:spacing w:val="-2"/>
                <w:sz w:val="21"/>
              </w:rPr>
              <w:t>6,410</w:t>
            </w:r>
          </w:p>
        </w:tc>
        <w:tc>
          <w:tcPr>
            <w:tcW w:w="2055" w:type="dxa"/>
            <w:tcBorders>
              <w:top w:val="single" w:sz="18" w:space="0" w:color="800000"/>
              <w:bottom w:val="single" w:sz="12" w:space="0" w:color="800000"/>
            </w:tcBorders>
          </w:tcPr>
          <w:p w:rsidR="003F5784" w14:paraId="478C8496" w14:textId="77777777">
            <w:pPr>
              <w:pStyle w:val="TableParagraph"/>
              <w:spacing w:before="9"/>
              <w:ind w:right="134"/>
              <w:rPr>
                <w:b/>
                <w:sz w:val="21"/>
              </w:rPr>
            </w:pPr>
            <w:r>
              <w:rPr>
                <w:b/>
                <w:spacing w:val="-2"/>
                <w:sz w:val="21"/>
              </w:rPr>
              <w:t>94.48</w:t>
            </w:r>
          </w:p>
        </w:tc>
        <w:tc>
          <w:tcPr>
            <w:tcW w:w="1990" w:type="dxa"/>
            <w:tcBorders>
              <w:top w:val="single" w:sz="18" w:space="0" w:color="800000"/>
              <w:bottom w:val="single" w:sz="12" w:space="0" w:color="800000"/>
            </w:tcBorders>
          </w:tcPr>
          <w:p w:rsidR="003F5784" w14:paraId="74C74661" w14:textId="77777777">
            <w:pPr>
              <w:pStyle w:val="TableParagraph"/>
              <w:spacing w:before="9"/>
              <w:ind w:right="166"/>
              <w:rPr>
                <w:b/>
                <w:sz w:val="21"/>
              </w:rPr>
            </w:pPr>
            <w:r>
              <w:rPr>
                <w:b/>
                <w:spacing w:val="-2"/>
                <w:sz w:val="21"/>
              </w:rPr>
              <w:t>82.93</w:t>
            </w:r>
          </w:p>
        </w:tc>
        <w:tc>
          <w:tcPr>
            <w:tcW w:w="1304" w:type="dxa"/>
            <w:tcBorders>
              <w:top w:val="single" w:sz="18" w:space="0" w:color="800000"/>
              <w:bottom w:val="single" w:sz="12" w:space="0" w:color="800000"/>
            </w:tcBorders>
          </w:tcPr>
          <w:p w:rsidR="003F5784" w14:paraId="1BE3F9EA" w14:textId="77777777">
            <w:pPr>
              <w:pStyle w:val="TableParagraph"/>
              <w:spacing w:before="9"/>
              <w:ind w:right="225"/>
              <w:rPr>
                <w:b/>
                <w:sz w:val="21"/>
              </w:rPr>
            </w:pPr>
            <w:r>
              <w:rPr>
                <w:b/>
                <w:spacing w:val="-2"/>
                <w:sz w:val="21"/>
              </w:rPr>
              <w:t>139,400</w:t>
            </w:r>
          </w:p>
        </w:tc>
        <w:tc>
          <w:tcPr>
            <w:tcW w:w="1202" w:type="dxa"/>
            <w:tcBorders>
              <w:top w:val="single" w:sz="18" w:space="0" w:color="800000"/>
              <w:bottom w:val="single" w:sz="12" w:space="0" w:color="800000"/>
            </w:tcBorders>
          </w:tcPr>
          <w:p w:rsidR="003F5784" w14:paraId="13F75775" w14:textId="77777777">
            <w:pPr>
              <w:pStyle w:val="TableParagraph"/>
              <w:spacing w:before="9"/>
              <w:ind w:right="135"/>
              <w:rPr>
                <w:b/>
                <w:sz w:val="21"/>
              </w:rPr>
            </w:pPr>
            <w:r>
              <w:rPr>
                <w:b/>
                <w:spacing w:val="-4"/>
                <w:sz w:val="21"/>
              </w:rPr>
              <w:t>1.81</w:t>
            </w:r>
          </w:p>
        </w:tc>
        <w:tc>
          <w:tcPr>
            <w:tcW w:w="1738" w:type="dxa"/>
            <w:tcBorders>
              <w:top w:val="single" w:sz="18" w:space="0" w:color="800000"/>
              <w:bottom w:val="single" w:sz="12" w:space="0" w:color="800000"/>
            </w:tcBorders>
          </w:tcPr>
          <w:p w:rsidR="003F5784" w14:paraId="12E2E7FE" w14:textId="77777777">
            <w:pPr>
              <w:pStyle w:val="TableParagraph"/>
              <w:spacing w:before="9"/>
              <w:ind w:right="153"/>
              <w:rPr>
                <w:b/>
                <w:sz w:val="21"/>
              </w:rPr>
            </w:pPr>
            <w:r>
              <w:rPr>
                <w:b/>
                <w:spacing w:val="-2"/>
                <w:sz w:val="21"/>
              </w:rPr>
              <w:t>91.86</w:t>
            </w:r>
          </w:p>
        </w:tc>
        <w:tc>
          <w:tcPr>
            <w:tcW w:w="1733" w:type="dxa"/>
            <w:tcBorders>
              <w:top w:val="single" w:sz="18" w:space="0" w:color="800000"/>
              <w:bottom w:val="single" w:sz="12" w:space="0" w:color="800000"/>
            </w:tcBorders>
          </w:tcPr>
          <w:p w:rsidR="003F5784" w14:paraId="25EAAF80" w14:textId="77777777">
            <w:pPr>
              <w:pStyle w:val="TableParagraph"/>
              <w:spacing w:before="9"/>
              <w:ind w:right="120"/>
              <w:rPr>
                <w:b/>
                <w:sz w:val="21"/>
              </w:rPr>
            </w:pPr>
            <w:r>
              <w:rPr>
                <w:b/>
                <w:spacing w:val="-2"/>
                <w:sz w:val="21"/>
              </w:rPr>
              <w:t>14.27</w:t>
            </w:r>
          </w:p>
        </w:tc>
      </w:tr>
      <w:tr w14:paraId="37C99185" w14:textId="77777777">
        <w:tblPrEx>
          <w:tblW w:w="0" w:type="auto"/>
          <w:tblInd w:w="482" w:type="dxa"/>
          <w:tblLayout w:type="fixed"/>
          <w:tblCellMar>
            <w:left w:w="0" w:type="dxa"/>
            <w:right w:w="0" w:type="dxa"/>
          </w:tblCellMar>
          <w:tblLook w:val="01E0"/>
        </w:tblPrEx>
        <w:trPr>
          <w:trHeight w:val="320"/>
        </w:trPr>
        <w:tc>
          <w:tcPr>
            <w:tcW w:w="2693" w:type="dxa"/>
            <w:tcBorders>
              <w:top w:val="single" w:sz="12" w:space="0" w:color="800000"/>
            </w:tcBorders>
          </w:tcPr>
          <w:p w:rsidR="003F5784" w14:paraId="4E1BA488" w14:textId="77777777">
            <w:pPr>
              <w:pStyle w:val="TableParagraph"/>
              <w:spacing w:before="11"/>
              <w:ind w:left="381"/>
              <w:jc w:val="left"/>
              <w:rPr>
                <w:b/>
                <w:sz w:val="17"/>
              </w:rPr>
            </w:pPr>
            <w:r>
              <w:rPr>
                <w:sz w:val="21"/>
              </w:rPr>
              <w:t>National</w:t>
            </w:r>
            <w:r>
              <w:rPr>
                <w:spacing w:val="-9"/>
                <w:sz w:val="21"/>
              </w:rPr>
              <w:t xml:space="preserve"> </w:t>
            </w:r>
            <w:r>
              <w:rPr>
                <w:spacing w:val="-4"/>
                <w:sz w:val="21"/>
              </w:rPr>
              <w:t>all</w:t>
            </w:r>
            <w:r>
              <w:rPr>
                <w:b/>
                <w:spacing w:val="-4"/>
                <w:position w:val="8"/>
                <w:sz w:val="17"/>
              </w:rPr>
              <w:t>1</w:t>
            </w:r>
          </w:p>
        </w:tc>
        <w:tc>
          <w:tcPr>
            <w:tcW w:w="1272" w:type="dxa"/>
            <w:tcBorders>
              <w:top w:val="single" w:sz="12" w:space="0" w:color="800000"/>
            </w:tcBorders>
          </w:tcPr>
          <w:p w:rsidR="003F5784" w14:paraId="1583C761" w14:textId="77777777">
            <w:pPr>
              <w:pStyle w:val="TableParagraph"/>
              <w:spacing w:before="0" w:line="239" w:lineRule="exact"/>
              <w:ind w:right="133"/>
              <w:rPr>
                <w:sz w:val="21"/>
              </w:rPr>
            </w:pPr>
            <w:r>
              <w:rPr>
                <w:spacing w:val="-2"/>
                <w:sz w:val="21"/>
              </w:rPr>
              <w:t>6,260</w:t>
            </w:r>
          </w:p>
        </w:tc>
        <w:tc>
          <w:tcPr>
            <w:tcW w:w="2055" w:type="dxa"/>
            <w:tcBorders>
              <w:top w:val="single" w:sz="12" w:space="0" w:color="800000"/>
            </w:tcBorders>
          </w:tcPr>
          <w:p w:rsidR="003F5784" w14:paraId="7B84A322" w14:textId="77777777">
            <w:pPr>
              <w:pStyle w:val="TableParagraph"/>
              <w:spacing w:before="0" w:line="239" w:lineRule="exact"/>
              <w:ind w:right="134"/>
              <w:rPr>
                <w:sz w:val="21"/>
              </w:rPr>
            </w:pPr>
            <w:r>
              <w:rPr>
                <w:spacing w:val="-2"/>
                <w:sz w:val="21"/>
              </w:rPr>
              <w:t>94.45</w:t>
            </w:r>
          </w:p>
        </w:tc>
        <w:tc>
          <w:tcPr>
            <w:tcW w:w="1990" w:type="dxa"/>
            <w:tcBorders>
              <w:top w:val="single" w:sz="12" w:space="0" w:color="800000"/>
            </w:tcBorders>
          </w:tcPr>
          <w:p w:rsidR="003F5784" w14:paraId="2A7359D2" w14:textId="77777777">
            <w:pPr>
              <w:pStyle w:val="TableParagraph"/>
              <w:spacing w:before="0" w:line="239" w:lineRule="exact"/>
              <w:ind w:right="166"/>
              <w:rPr>
                <w:sz w:val="21"/>
              </w:rPr>
            </w:pPr>
            <w:r>
              <w:rPr>
                <w:spacing w:val="-2"/>
                <w:sz w:val="21"/>
              </w:rPr>
              <w:t>82.79</w:t>
            </w:r>
          </w:p>
        </w:tc>
        <w:tc>
          <w:tcPr>
            <w:tcW w:w="1304" w:type="dxa"/>
            <w:tcBorders>
              <w:top w:val="single" w:sz="12" w:space="0" w:color="800000"/>
            </w:tcBorders>
          </w:tcPr>
          <w:p w:rsidR="003F5784" w14:paraId="26499A8B" w14:textId="77777777">
            <w:pPr>
              <w:pStyle w:val="TableParagraph"/>
              <w:spacing w:before="0" w:line="239" w:lineRule="exact"/>
              <w:ind w:right="225"/>
              <w:rPr>
                <w:sz w:val="21"/>
              </w:rPr>
            </w:pPr>
            <w:r>
              <w:rPr>
                <w:spacing w:val="-2"/>
                <w:sz w:val="21"/>
              </w:rPr>
              <w:t>135,800</w:t>
            </w:r>
          </w:p>
        </w:tc>
        <w:tc>
          <w:tcPr>
            <w:tcW w:w="1202" w:type="dxa"/>
            <w:tcBorders>
              <w:top w:val="single" w:sz="12" w:space="0" w:color="800000"/>
            </w:tcBorders>
          </w:tcPr>
          <w:p w:rsidR="003F5784" w14:paraId="70BA8462" w14:textId="77777777">
            <w:pPr>
              <w:pStyle w:val="TableParagraph"/>
              <w:spacing w:before="0" w:line="239" w:lineRule="exact"/>
              <w:ind w:right="135"/>
              <w:rPr>
                <w:sz w:val="21"/>
              </w:rPr>
            </w:pPr>
            <w:r>
              <w:rPr>
                <w:spacing w:val="-4"/>
                <w:sz w:val="21"/>
              </w:rPr>
              <w:t>1.81</w:t>
            </w:r>
          </w:p>
        </w:tc>
        <w:tc>
          <w:tcPr>
            <w:tcW w:w="1738" w:type="dxa"/>
            <w:tcBorders>
              <w:top w:val="single" w:sz="12" w:space="0" w:color="800000"/>
            </w:tcBorders>
          </w:tcPr>
          <w:p w:rsidR="003F5784" w14:paraId="3E75A527" w14:textId="77777777">
            <w:pPr>
              <w:pStyle w:val="TableParagraph"/>
              <w:spacing w:before="0" w:line="239" w:lineRule="exact"/>
              <w:ind w:right="153"/>
              <w:rPr>
                <w:sz w:val="21"/>
              </w:rPr>
            </w:pPr>
            <w:r>
              <w:rPr>
                <w:spacing w:val="-2"/>
                <w:sz w:val="21"/>
              </w:rPr>
              <w:t>91.85</w:t>
            </w:r>
          </w:p>
        </w:tc>
        <w:tc>
          <w:tcPr>
            <w:tcW w:w="1733" w:type="dxa"/>
            <w:tcBorders>
              <w:top w:val="single" w:sz="12" w:space="0" w:color="800000"/>
            </w:tcBorders>
          </w:tcPr>
          <w:p w:rsidR="003F5784" w14:paraId="424DA541" w14:textId="77777777">
            <w:pPr>
              <w:pStyle w:val="TableParagraph"/>
              <w:spacing w:before="0" w:line="239" w:lineRule="exact"/>
              <w:ind w:right="120"/>
              <w:rPr>
                <w:sz w:val="21"/>
              </w:rPr>
            </w:pPr>
            <w:r>
              <w:rPr>
                <w:spacing w:val="-2"/>
                <w:sz w:val="21"/>
              </w:rPr>
              <w:t>14.19</w:t>
            </w:r>
          </w:p>
        </w:tc>
      </w:tr>
      <w:tr w14:paraId="6BF74E9F" w14:textId="77777777">
        <w:tblPrEx>
          <w:tblW w:w="0" w:type="auto"/>
          <w:tblInd w:w="482" w:type="dxa"/>
          <w:tblLayout w:type="fixed"/>
          <w:tblCellMar>
            <w:left w:w="0" w:type="dxa"/>
            <w:right w:w="0" w:type="dxa"/>
          </w:tblCellMar>
          <w:tblLook w:val="01E0"/>
        </w:tblPrEx>
        <w:trPr>
          <w:trHeight w:val="284"/>
        </w:trPr>
        <w:tc>
          <w:tcPr>
            <w:tcW w:w="2693" w:type="dxa"/>
          </w:tcPr>
          <w:p w:rsidR="003F5784" w14:paraId="4AE06C2A" w14:textId="77777777">
            <w:pPr>
              <w:pStyle w:val="TableParagraph"/>
              <w:spacing w:before="15"/>
              <w:ind w:left="120"/>
              <w:jc w:val="left"/>
              <w:rPr>
                <w:sz w:val="21"/>
              </w:rPr>
            </w:pPr>
            <w:r>
              <w:rPr>
                <w:sz w:val="21"/>
              </w:rPr>
              <w:t>Northeast</w:t>
            </w:r>
            <w:r>
              <w:rPr>
                <w:spacing w:val="-10"/>
                <w:sz w:val="21"/>
              </w:rPr>
              <w:t xml:space="preserve"> </w:t>
            </w:r>
            <w:r>
              <w:rPr>
                <w:spacing w:val="-5"/>
                <w:sz w:val="21"/>
              </w:rPr>
              <w:t>all</w:t>
            </w:r>
          </w:p>
        </w:tc>
        <w:tc>
          <w:tcPr>
            <w:tcW w:w="1272" w:type="dxa"/>
          </w:tcPr>
          <w:p w:rsidR="003F5784" w14:paraId="1EA260B9" w14:textId="77777777">
            <w:pPr>
              <w:pStyle w:val="TableParagraph"/>
              <w:spacing w:before="15"/>
              <w:ind w:right="133"/>
              <w:rPr>
                <w:sz w:val="21"/>
              </w:rPr>
            </w:pPr>
            <w:r>
              <w:rPr>
                <w:spacing w:val="-2"/>
                <w:sz w:val="21"/>
              </w:rPr>
              <w:t>1,060</w:t>
            </w:r>
          </w:p>
        </w:tc>
        <w:tc>
          <w:tcPr>
            <w:tcW w:w="2055" w:type="dxa"/>
          </w:tcPr>
          <w:p w:rsidR="003F5784" w14:paraId="56656E66" w14:textId="77777777">
            <w:pPr>
              <w:pStyle w:val="TableParagraph"/>
              <w:spacing w:before="15"/>
              <w:ind w:right="134"/>
              <w:rPr>
                <w:sz w:val="21"/>
              </w:rPr>
            </w:pPr>
            <w:r>
              <w:rPr>
                <w:spacing w:val="-2"/>
                <w:sz w:val="21"/>
              </w:rPr>
              <w:t>91.11</w:t>
            </w:r>
          </w:p>
        </w:tc>
        <w:tc>
          <w:tcPr>
            <w:tcW w:w="1990" w:type="dxa"/>
          </w:tcPr>
          <w:p w:rsidR="003F5784" w14:paraId="0C492D0E" w14:textId="77777777">
            <w:pPr>
              <w:pStyle w:val="TableParagraph"/>
              <w:spacing w:before="15"/>
              <w:ind w:right="166"/>
              <w:rPr>
                <w:sz w:val="21"/>
              </w:rPr>
            </w:pPr>
            <w:r>
              <w:rPr>
                <w:spacing w:val="-2"/>
                <w:sz w:val="21"/>
              </w:rPr>
              <w:t>76.06</w:t>
            </w:r>
          </w:p>
        </w:tc>
        <w:tc>
          <w:tcPr>
            <w:tcW w:w="1304" w:type="dxa"/>
          </w:tcPr>
          <w:p w:rsidR="003F5784" w14:paraId="6E521812" w14:textId="77777777">
            <w:pPr>
              <w:pStyle w:val="TableParagraph"/>
              <w:spacing w:before="15"/>
              <w:ind w:right="225"/>
              <w:rPr>
                <w:sz w:val="21"/>
              </w:rPr>
            </w:pPr>
            <w:r>
              <w:rPr>
                <w:spacing w:val="-2"/>
                <w:sz w:val="21"/>
              </w:rPr>
              <w:t>21,700</w:t>
            </w:r>
          </w:p>
        </w:tc>
        <w:tc>
          <w:tcPr>
            <w:tcW w:w="1202" w:type="dxa"/>
          </w:tcPr>
          <w:p w:rsidR="003F5784" w14:paraId="5E726E43" w14:textId="77777777">
            <w:pPr>
              <w:pStyle w:val="TableParagraph"/>
              <w:spacing w:before="15"/>
              <w:ind w:right="135"/>
              <w:rPr>
                <w:sz w:val="21"/>
              </w:rPr>
            </w:pPr>
            <w:r>
              <w:rPr>
                <w:spacing w:val="-4"/>
                <w:sz w:val="21"/>
              </w:rPr>
              <w:t>1.74</w:t>
            </w:r>
          </w:p>
        </w:tc>
        <w:tc>
          <w:tcPr>
            <w:tcW w:w="1738" w:type="dxa"/>
          </w:tcPr>
          <w:p w:rsidR="003F5784" w14:paraId="66FCE6C4" w14:textId="77777777">
            <w:pPr>
              <w:pStyle w:val="TableParagraph"/>
              <w:spacing w:before="15"/>
              <w:ind w:right="153"/>
              <w:rPr>
                <w:sz w:val="21"/>
              </w:rPr>
            </w:pPr>
            <w:r>
              <w:rPr>
                <w:spacing w:val="-2"/>
                <w:sz w:val="21"/>
              </w:rPr>
              <w:t>90.47</w:t>
            </w:r>
          </w:p>
        </w:tc>
        <w:tc>
          <w:tcPr>
            <w:tcW w:w="1733" w:type="dxa"/>
          </w:tcPr>
          <w:p w:rsidR="003F5784" w14:paraId="0F2DD2A9" w14:textId="77777777">
            <w:pPr>
              <w:pStyle w:val="TableParagraph"/>
              <w:spacing w:before="15"/>
              <w:ind w:right="120"/>
              <w:rPr>
                <w:sz w:val="21"/>
              </w:rPr>
            </w:pPr>
            <w:r>
              <w:rPr>
                <w:spacing w:val="-2"/>
                <w:sz w:val="21"/>
              </w:rPr>
              <w:t>17.74</w:t>
            </w:r>
          </w:p>
        </w:tc>
      </w:tr>
      <w:tr w14:paraId="695D6984" w14:textId="77777777">
        <w:tblPrEx>
          <w:tblW w:w="0" w:type="auto"/>
          <w:tblInd w:w="482" w:type="dxa"/>
          <w:tblLayout w:type="fixed"/>
          <w:tblCellMar>
            <w:left w:w="0" w:type="dxa"/>
            <w:right w:w="0" w:type="dxa"/>
          </w:tblCellMar>
          <w:tblLook w:val="01E0"/>
        </w:tblPrEx>
        <w:trPr>
          <w:trHeight w:val="286"/>
        </w:trPr>
        <w:tc>
          <w:tcPr>
            <w:tcW w:w="2693" w:type="dxa"/>
          </w:tcPr>
          <w:p w:rsidR="003F5784" w14:paraId="09901091" w14:textId="77777777">
            <w:pPr>
              <w:pStyle w:val="TableParagraph"/>
              <w:ind w:left="120"/>
              <w:jc w:val="left"/>
              <w:rPr>
                <w:sz w:val="21"/>
              </w:rPr>
            </w:pPr>
            <w:r>
              <w:rPr>
                <w:sz w:val="21"/>
              </w:rPr>
              <w:t>Midwest</w:t>
            </w:r>
            <w:r>
              <w:rPr>
                <w:spacing w:val="-9"/>
                <w:sz w:val="21"/>
              </w:rPr>
              <w:t xml:space="preserve"> </w:t>
            </w:r>
            <w:r>
              <w:rPr>
                <w:spacing w:val="-5"/>
                <w:sz w:val="21"/>
              </w:rPr>
              <w:t>all</w:t>
            </w:r>
          </w:p>
        </w:tc>
        <w:tc>
          <w:tcPr>
            <w:tcW w:w="1272" w:type="dxa"/>
          </w:tcPr>
          <w:p w:rsidR="003F5784" w14:paraId="76D8463E" w14:textId="77777777">
            <w:pPr>
              <w:pStyle w:val="TableParagraph"/>
              <w:ind w:right="133"/>
              <w:rPr>
                <w:sz w:val="21"/>
              </w:rPr>
            </w:pPr>
            <w:r>
              <w:rPr>
                <w:spacing w:val="-2"/>
                <w:sz w:val="21"/>
              </w:rPr>
              <w:t>1,460</w:t>
            </w:r>
          </w:p>
        </w:tc>
        <w:tc>
          <w:tcPr>
            <w:tcW w:w="2055" w:type="dxa"/>
          </w:tcPr>
          <w:p w:rsidR="003F5784" w14:paraId="620BA1DF" w14:textId="77777777">
            <w:pPr>
              <w:pStyle w:val="TableParagraph"/>
              <w:ind w:right="134"/>
              <w:rPr>
                <w:sz w:val="21"/>
              </w:rPr>
            </w:pPr>
            <w:r>
              <w:rPr>
                <w:spacing w:val="-2"/>
                <w:sz w:val="21"/>
              </w:rPr>
              <w:t>95.32</w:t>
            </w:r>
          </w:p>
        </w:tc>
        <w:tc>
          <w:tcPr>
            <w:tcW w:w="1990" w:type="dxa"/>
          </w:tcPr>
          <w:p w:rsidR="003F5784" w14:paraId="734DD0D5" w14:textId="77777777">
            <w:pPr>
              <w:pStyle w:val="TableParagraph"/>
              <w:ind w:right="166"/>
              <w:rPr>
                <w:sz w:val="21"/>
              </w:rPr>
            </w:pPr>
            <w:r>
              <w:rPr>
                <w:spacing w:val="-2"/>
                <w:sz w:val="21"/>
              </w:rPr>
              <w:t>85.44</w:t>
            </w:r>
          </w:p>
        </w:tc>
        <w:tc>
          <w:tcPr>
            <w:tcW w:w="1304" w:type="dxa"/>
          </w:tcPr>
          <w:p w:rsidR="003F5784" w14:paraId="0B518001" w14:textId="77777777">
            <w:pPr>
              <w:pStyle w:val="TableParagraph"/>
              <w:ind w:right="225"/>
              <w:rPr>
                <w:sz w:val="21"/>
              </w:rPr>
            </w:pPr>
            <w:r>
              <w:rPr>
                <w:spacing w:val="-2"/>
                <w:sz w:val="21"/>
              </w:rPr>
              <w:t>29,400</w:t>
            </w:r>
          </w:p>
        </w:tc>
        <w:tc>
          <w:tcPr>
            <w:tcW w:w="1202" w:type="dxa"/>
          </w:tcPr>
          <w:p w:rsidR="003F5784" w14:paraId="50A86D52" w14:textId="77777777">
            <w:pPr>
              <w:pStyle w:val="TableParagraph"/>
              <w:ind w:right="135"/>
              <w:rPr>
                <w:sz w:val="21"/>
              </w:rPr>
            </w:pPr>
            <w:r>
              <w:rPr>
                <w:spacing w:val="-4"/>
                <w:sz w:val="21"/>
              </w:rPr>
              <w:t>1.33</w:t>
            </w:r>
          </w:p>
        </w:tc>
        <w:tc>
          <w:tcPr>
            <w:tcW w:w="1738" w:type="dxa"/>
          </w:tcPr>
          <w:p w:rsidR="003F5784" w14:paraId="6876BD27" w14:textId="77777777">
            <w:pPr>
              <w:pStyle w:val="TableParagraph"/>
              <w:ind w:right="153"/>
              <w:rPr>
                <w:sz w:val="21"/>
              </w:rPr>
            </w:pPr>
            <w:r>
              <w:rPr>
                <w:spacing w:val="-2"/>
                <w:sz w:val="21"/>
              </w:rPr>
              <w:t>92.18</w:t>
            </w:r>
          </w:p>
        </w:tc>
        <w:tc>
          <w:tcPr>
            <w:tcW w:w="1733" w:type="dxa"/>
          </w:tcPr>
          <w:p w:rsidR="003F5784" w14:paraId="2E435D42" w14:textId="77777777">
            <w:pPr>
              <w:pStyle w:val="TableParagraph"/>
              <w:ind w:right="120"/>
              <w:rPr>
                <w:sz w:val="21"/>
              </w:rPr>
            </w:pPr>
            <w:r>
              <w:rPr>
                <w:spacing w:val="-2"/>
                <w:sz w:val="21"/>
              </w:rPr>
              <w:t>12.95</w:t>
            </w:r>
          </w:p>
        </w:tc>
      </w:tr>
      <w:tr w14:paraId="134BEF47" w14:textId="77777777">
        <w:tblPrEx>
          <w:tblW w:w="0" w:type="auto"/>
          <w:tblInd w:w="482" w:type="dxa"/>
          <w:tblLayout w:type="fixed"/>
          <w:tblCellMar>
            <w:left w:w="0" w:type="dxa"/>
            <w:right w:w="0" w:type="dxa"/>
          </w:tblCellMar>
          <w:tblLook w:val="01E0"/>
        </w:tblPrEx>
        <w:trPr>
          <w:trHeight w:val="286"/>
        </w:trPr>
        <w:tc>
          <w:tcPr>
            <w:tcW w:w="2693" w:type="dxa"/>
          </w:tcPr>
          <w:p w:rsidR="003F5784" w14:paraId="3FA5E42A" w14:textId="77777777">
            <w:pPr>
              <w:pStyle w:val="TableParagraph"/>
              <w:ind w:left="120"/>
              <w:jc w:val="left"/>
              <w:rPr>
                <w:sz w:val="21"/>
              </w:rPr>
            </w:pPr>
            <w:r>
              <w:rPr>
                <w:sz w:val="21"/>
              </w:rPr>
              <w:t>South</w:t>
            </w:r>
            <w:r>
              <w:rPr>
                <w:spacing w:val="-6"/>
                <w:sz w:val="21"/>
              </w:rPr>
              <w:t xml:space="preserve"> </w:t>
            </w:r>
            <w:r>
              <w:rPr>
                <w:spacing w:val="-5"/>
                <w:sz w:val="21"/>
              </w:rPr>
              <w:t>all</w:t>
            </w:r>
          </w:p>
        </w:tc>
        <w:tc>
          <w:tcPr>
            <w:tcW w:w="1272" w:type="dxa"/>
          </w:tcPr>
          <w:p w:rsidR="003F5784" w14:paraId="5A2EF8B9" w14:textId="77777777">
            <w:pPr>
              <w:pStyle w:val="TableParagraph"/>
              <w:ind w:right="133"/>
              <w:rPr>
                <w:sz w:val="21"/>
              </w:rPr>
            </w:pPr>
            <w:r>
              <w:rPr>
                <w:spacing w:val="-2"/>
                <w:sz w:val="21"/>
              </w:rPr>
              <w:t>2,170</w:t>
            </w:r>
          </w:p>
        </w:tc>
        <w:tc>
          <w:tcPr>
            <w:tcW w:w="2055" w:type="dxa"/>
          </w:tcPr>
          <w:p w:rsidR="003F5784" w14:paraId="5708A666" w14:textId="77777777">
            <w:pPr>
              <w:pStyle w:val="TableParagraph"/>
              <w:ind w:right="134"/>
              <w:rPr>
                <w:sz w:val="21"/>
              </w:rPr>
            </w:pPr>
            <w:r>
              <w:rPr>
                <w:spacing w:val="-2"/>
                <w:sz w:val="21"/>
              </w:rPr>
              <w:t>94.70</w:t>
            </w:r>
          </w:p>
        </w:tc>
        <w:tc>
          <w:tcPr>
            <w:tcW w:w="1990" w:type="dxa"/>
          </w:tcPr>
          <w:p w:rsidR="003F5784" w14:paraId="01E4850E" w14:textId="77777777">
            <w:pPr>
              <w:pStyle w:val="TableParagraph"/>
              <w:ind w:right="166"/>
              <w:rPr>
                <w:sz w:val="21"/>
              </w:rPr>
            </w:pPr>
            <w:r>
              <w:rPr>
                <w:spacing w:val="-2"/>
                <w:sz w:val="21"/>
              </w:rPr>
              <w:t>82.26</w:t>
            </w:r>
          </w:p>
        </w:tc>
        <w:tc>
          <w:tcPr>
            <w:tcW w:w="1304" w:type="dxa"/>
          </w:tcPr>
          <w:p w:rsidR="003F5784" w14:paraId="36D11013" w14:textId="77777777">
            <w:pPr>
              <w:pStyle w:val="TableParagraph"/>
              <w:ind w:right="225"/>
              <w:rPr>
                <w:sz w:val="21"/>
              </w:rPr>
            </w:pPr>
            <w:r>
              <w:rPr>
                <w:spacing w:val="-2"/>
                <w:sz w:val="21"/>
              </w:rPr>
              <w:t>50,600</w:t>
            </w:r>
          </w:p>
        </w:tc>
        <w:tc>
          <w:tcPr>
            <w:tcW w:w="1202" w:type="dxa"/>
          </w:tcPr>
          <w:p w:rsidR="003F5784" w14:paraId="0D628645" w14:textId="77777777">
            <w:pPr>
              <w:pStyle w:val="TableParagraph"/>
              <w:ind w:right="135"/>
              <w:rPr>
                <w:sz w:val="21"/>
              </w:rPr>
            </w:pPr>
            <w:r>
              <w:rPr>
                <w:spacing w:val="-4"/>
                <w:sz w:val="21"/>
              </w:rPr>
              <w:t>2.12</w:t>
            </w:r>
          </w:p>
        </w:tc>
        <w:tc>
          <w:tcPr>
            <w:tcW w:w="1738" w:type="dxa"/>
          </w:tcPr>
          <w:p w:rsidR="003F5784" w14:paraId="17C5B59F" w14:textId="77777777">
            <w:pPr>
              <w:pStyle w:val="TableParagraph"/>
              <w:ind w:right="153"/>
              <w:rPr>
                <w:sz w:val="21"/>
              </w:rPr>
            </w:pPr>
            <w:r>
              <w:rPr>
                <w:spacing w:val="-2"/>
                <w:sz w:val="21"/>
              </w:rPr>
              <w:t>92.51</w:t>
            </w:r>
          </w:p>
        </w:tc>
        <w:tc>
          <w:tcPr>
            <w:tcW w:w="1733" w:type="dxa"/>
          </w:tcPr>
          <w:p w:rsidR="003F5784" w14:paraId="16D56337" w14:textId="77777777">
            <w:pPr>
              <w:pStyle w:val="TableParagraph"/>
              <w:ind w:right="120"/>
              <w:rPr>
                <w:sz w:val="21"/>
              </w:rPr>
            </w:pPr>
            <w:r>
              <w:rPr>
                <w:spacing w:val="-2"/>
                <w:sz w:val="21"/>
              </w:rPr>
              <w:t>16.69</w:t>
            </w:r>
          </w:p>
        </w:tc>
      </w:tr>
      <w:tr w14:paraId="15833FFA" w14:textId="77777777">
        <w:tblPrEx>
          <w:tblW w:w="0" w:type="auto"/>
          <w:tblInd w:w="482" w:type="dxa"/>
          <w:tblLayout w:type="fixed"/>
          <w:tblCellMar>
            <w:left w:w="0" w:type="dxa"/>
            <w:right w:w="0" w:type="dxa"/>
          </w:tblCellMar>
          <w:tblLook w:val="01E0"/>
        </w:tblPrEx>
        <w:trPr>
          <w:trHeight w:val="290"/>
        </w:trPr>
        <w:tc>
          <w:tcPr>
            <w:tcW w:w="2693" w:type="dxa"/>
            <w:tcBorders>
              <w:bottom w:val="single" w:sz="12" w:space="0" w:color="800000"/>
            </w:tcBorders>
          </w:tcPr>
          <w:p w:rsidR="003F5784" w14:paraId="63273668" w14:textId="77777777">
            <w:pPr>
              <w:pStyle w:val="TableParagraph"/>
              <w:ind w:left="120"/>
              <w:jc w:val="left"/>
              <w:rPr>
                <w:sz w:val="21"/>
              </w:rPr>
            </w:pPr>
            <w:r>
              <w:rPr>
                <w:spacing w:val="-4"/>
                <w:sz w:val="21"/>
              </w:rPr>
              <w:t>West</w:t>
            </w:r>
            <w:r>
              <w:rPr>
                <w:spacing w:val="-7"/>
                <w:sz w:val="21"/>
              </w:rPr>
              <w:t xml:space="preserve"> </w:t>
            </w:r>
            <w:r>
              <w:rPr>
                <w:spacing w:val="-5"/>
                <w:sz w:val="21"/>
              </w:rPr>
              <w:t>all</w:t>
            </w:r>
          </w:p>
        </w:tc>
        <w:tc>
          <w:tcPr>
            <w:tcW w:w="1272" w:type="dxa"/>
            <w:tcBorders>
              <w:bottom w:val="single" w:sz="12" w:space="0" w:color="800000"/>
            </w:tcBorders>
          </w:tcPr>
          <w:p w:rsidR="003F5784" w14:paraId="725F15C9" w14:textId="77777777">
            <w:pPr>
              <w:pStyle w:val="TableParagraph"/>
              <w:ind w:right="133"/>
              <w:rPr>
                <w:sz w:val="21"/>
              </w:rPr>
            </w:pPr>
            <w:r>
              <w:rPr>
                <w:spacing w:val="-2"/>
                <w:sz w:val="21"/>
              </w:rPr>
              <w:t>1,500</w:t>
            </w:r>
          </w:p>
        </w:tc>
        <w:tc>
          <w:tcPr>
            <w:tcW w:w="2055" w:type="dxa"/>
            <w:tcBorders>
              <w:bottom w:val="single" w:sz="12" w:space="0" w:color="800000"/>
            </w:tcBorders>
          </w:tcPr>
          <w:p w:rsidR="003F5784" w14:paraId="44D3B056" w14:textId="77777777">
            <w:pPr>
              <w:pStyle w:val="TableParagraph"/>
              <w:ind w:right="134"/>
              <w:rPr>
                <w:sz w:val="21"/>
              </w:rPr>
            </w:pPr>
            <w:r>
              <w:rPr>
                <w:spacing w:val="-2"/>
                <w:sz w:val="21"/>
              </w:rPr>
              <w:t>95.54</w:t>
            </w:r>
          </w:p>
        </w:tc>
        <w:tc>
          <w:tcPr>
            <w:tcW w:w="1990" w:type="dxa"/>
            <w:tcBorders>
              <w:bottom w:val="single" w:sz="12" w:space="0" w:color="800000"/>
            </w:tcBorders>
          </w:tcPr>
          <w:p w:rsidR="003F5784" w14:paraId="0820B7E0" w14:textId="77777777">
            <w:pPr>
              <w:pStyle w:val="TableParagraph"/>
              <w:ind w:right="166"/>
              <w:rPr>
                <w:sz w:val="21"/>
              </w:rPr>
            </w:pPr>
            <w:r>
              <w:rPr>
                <w:spacing w:val="-2"/>
                <w:sz w:val="21"/>
              </w:rPr>
              <w:t>85.60</w:t>
            </w:r>
          </w:p>
        </w:tc>
        <w:tc>
          <w:tcPr>
            <w:tcW w:w="1304" w:type="dxa"/>
            <w:tcBorders>
              <w:bottom w:val="single" w:sz="12" w:space="0" w:color="800000"/>
            </w:tcBorders>
          </w:tcPr>
          <w:p w:rsidR="003F5784" w14:paraId="6A3ABDAD" w14:textId="77777777">
            <w:pPr>
              <w:pStyle w:val="TableParagraph"/>
              <w:ind w:right="225"/>
              <w:rPr>
                <w:sz w:val="21"/>
              </w:rPr>
            </w:pPr>
            <w:r>
              <w:rPr>
                <w:spacing w:val="-2"/>
                <w:sz w:val="21"/>
              </w:rPr>
              <w:t>31,900</w:t>
            </w:r>
          </w:p>
        </w:tc>
        <w:tc>
          <w:tcPr>
            <w:tcW w:w="1202" w:type="dxa"/>
            <w:tcBorders>
              <w:bottom w:val="single" w:sz="12" w:space="0" w:color="800000"/>
            </w:tcBorders>
          </w:tcPr>
          <w:p w:rsidR="003F5784" w14:paraId="6A8B839E" w14:textId="77777777">
            <w:pPr>
              <w:pStyle w:val="TableParagraph"/>
              <w:ind w:right="135"/>
              <w:rPr>
                <w:sz w:val="21"/>
              </w:rPr>
            </w:pPr>
            <w:r>
              <w:rPr>
                <w:spacing w:val="-4"/>
                <w:sz w:val="21"/>
              </w:rPr>
              <w:t>1.78</w:t>
            </w:r>
          </w:p>
        </w:tc>
        <w:tc>
          <w:tcPr>
            <w:tcW w:w="1738" w:type="dxa"/>
            <w:tcBorders>
              <w:bottom w:val="single" w:sz="12" w:space="0" w:color="800000"/>
            </w:tcBorders>
          </w:tcPr>
          <w:p w:rsidR="003F5784" w14:paraId="05452236" w14:textId="77777777">
            <w:pPr>
              <w:pStyle w:val="TableParagraph"/>
              <w:ind w:right="153"/>
              <w:rPr>
                <w:sz w:val="21"/>
              </w:rPr>
            </w:pPr>
            <w:r>
              <w:rPr>
                <w:spacing w:val="-2"/>
                <w:sz w:val="21"/>
              </w:rPr>
              <w:t>91.39</w:t>
            </w:r>
          </w:p>
        </w:tc>
        <w:tc>
          <w:tcPr>
            <w:tcW w:w="1733" w:type="dxa"/>
            <w:tcBorders>
              <w:bottom w:val="single" w:sz="12" w:space="0" w:color="800000"/>
            </w:tcBorders>
          </w:tcPr>
          <w:p w:rsidR="003F5784" w14:paraId="483E34FA" w14:textId="77777777">
            <w:pPr>
              <w:pStyle w:val="TableParagraph"/>
              <w:ind w:right="120"/>
              <w:rPr>
                <w:sz w:val="21"/>
              </w:rPr>
            </w:pPr>
            <w:r>
              <w:rPr>
                <w:spacing w:val="-4"/>
                <w:sz w:val="21"/>
              </w:rPr>
              <w:t>8.73</w:t>
            </w:r>
          </w:p>
        </w:tc>
      </w:tr>
      <w:tr w14:paraId="201C0A73" w14:textId="77777777">
        <w:tblPrEx>
          <w:tblW w:w="0" w:type="auto"/>
          <w:tblInd w:w="482" w:type="dxa"/>
          <w:tblLayout w:type="fixed"/>
          <w:tblCellMar>
            <w:left w:w="0" w:type="dxa"/>
            <w:right w:w="0" w:type="dxa"/>
          </w:tblCellMar>
          <w:tblLook w:val="01E0"/>
        </w:tblPrEx>
        <w:trPr>
          <w:trHeight w:val="266"/>
        </w:trPr>
        <w:tc>
          <w:tcPr>
            <w:tcW w:w="2693" w:type="dxa"/>
            <w:tcBorders>
              <w:top w:val="single" w:sz="12" w:space="0" w:color="800000"/>
            </w:tcBorders>
          </w:tcPr>
          <w:p w:rsidR="003F5784" w14:paraId="673A1589" w14:textId="77777777">
            <w:pPr>
              <w:pStyle w:val="TableParagraph"/>
              <w:spacing w:before="0" w:line="239" w:lineRule="exact"/>
              <w:ind w:left="381"/>
              <w:jc w:val="left"/>
              <w:rPr>
                <w:sz w:val="21"/>
              </w:rPr>
            </w:pPr>
            <w:r>
              <w:rPr>
                <w:sz w:val="21"/>
              </w:rPr>
              <w:t>National</w:t>
            </w:r>
            <w:r>
              <w:rPr>
                <w:spacing w:val="-9"/>
                <w:sz w:val="21"/>
              </w:rPr>
              <w:t xml:space="preserve"> </w:t>
            </w:r>
            <w:r>
              <w:rPr>
                <w:spacing w:val="-2"/>
                <w:sz w:val="21"/>
              </w:rPr>
              <w:t>public</w:t>
            </w:r>
          </w:p>
        </w:tc>
        <w:tc>
          <w:tcPr>
            <w:tcW w:w="1272" w:type="dxa"/>
            <w:tcBorders>
              <w:top w:val="single" w:sz="12" w:space="0" w:color="800000"/>
            </w:tcBorders>
          </w:tcPr>
          <w:p w:rsidR="003F5784" w14:paraId="3A59200E" w14:textId="77777777">
            <w:pPr>
              <w:pStyle w:val="TableParagraph"/>
              <w:spacing w:before="0" w:line="239" w:lineRule="exact"/>
              <w:ind w:right="133"/>
              <w:rPr>
                <w:sz w:val="21"/>
              </w:rPr>
            </w:pPr>
            <w:r>
              <w:rPr>
                <w:spacing w:val="-2"/>
                <w:sz w:val="21"/>
              </w:rPr>
              <w:t>5,750</w:t>
            </w:r>
          </w:p>
        </w:tc>
        <w:tc>
          <w:tcPr>
            <w:tcW w:w="2055" w:type="dxa"/>
            <w:tcBorders>
              <w:top w:val="single" w:sz="12" w:space="0" w:color="800000"/>
            </w:tcBorders>
          </w:tcPr>
          <w:p w:rsidR="003F5784" w14:paraId="082F9986" w14:textId="77777777">
            <w:pPr>
              <w:pStyle w:val="TableParagraph"/>
              <w:spacing w:before="0" w:line="239" w:lineRule="exact"/>
              <w:ind w:right="134"/>
              <w:rPr>
                <w:sz w:val="21"/>
              </w:rPr>
            </w:pPr>
            <w:r>
              <w:rPr>
                <w:spacing w:val="-2"/>
                <w:sz w:val="21"/>
              </w:rPr>
              <w:t>99.53</w:t>
            </w:r>
          </w:p>
        </w:tc>
        <w:tc>
          <w:tcPr>
            <w:tcW w:w="1990" w:type="dxa"/>
            <w:tcBorders>
              <w:top w:val="single" w:sz="12" w:space="0" w:color="800000"/>
            </w:tcBorders>
          </w:tcPr>
          <w:p w:rsidR="003F5784" w14:paraId="25215464" w14:textId="77777777">
            <w:pPr>
              <w:pStyle w:val="TableParagraph"/>
              <w:spacing w:before="0" w:line="239" w:lineRule="exact"/>
              <w:ind w:right="166"/>
              <w:rPr>
                <w:sz w:val="21"/>
              </w:rPr>
            </w:pPr>
            <w:r>
              <w:rPr>
                <w:spacing w:val="-2"/>
                <w:sz w:val="21"/>
              </w:rPr>
              <w:t>99.54</w:t>
            </w:r>
          </w:p>
        </w:tc>
        <w:tc>
          <w:tcPr>
            <w:tcW w:w="1304" w:type="dxa"/>
            <w:tcBorders>
              <w:top w:val="single" w:sz="12" w:space="0" w:color="800000"/>
            </w:tcBorders>
          </w:tcPr>
          <w:p w:rsidR="003F5784" w14:paraId="0AAF4856" w14:textId="77777777">
            <w:pPr>
              <w:pStyle w:val="TableParagraph"/>
              <w:spacing w:before="0" w:line="239" w:lineRule="exact"/>
              <w:ind w:right="225"/>
              <w:rPr>
                <w:sz w:val="21"/>
              </w:rPr>
            </w:pPr>
            <w:r>
              <w:rPr>
                <w:spacing w:val="-2"/>
                <w:sz w:val="21"/>
              </w:rPr>
              <w:t>130,900</w:t>
            </w:r>
          </w:p>
        </w:tc>
        <w:tc>
          <w:tcPr>
            <w:tcW w:w="1202" w:type="dxa"/>
            <w:tcBorders>
              <w:top w:val="single" w:sz="12" w:space="0" w:color="800000"/>
            </w:tcBorders>
          </w:tcPr>
          <w:p w:rsidR="003F5784" w14:paraId="0176D414" w14:textId="77777777">
            <w:pPr>
              <w:pStyle w:val="TableParagraph"/>
              <w:spacing w:before="0" w:line="239" w:lineRule="exact"/>
              <w:ind w:right="135"/>
              <w:rPr>
                <w:sz w:val="21"/>
              </w:rPr>
            </w:pPr>
            <w:r>
              <w:rPr>
                <w:spacing w:val="-4"/>
                <w:sz w:val="21"/>
              </w:rPr>
              <w:t>1.94</w:t>
            </w:r>
          </w:p>
        </w:tc>
        <w:tc>
          <w:tcPr>
            <w:tcW w:w="1738" w:type="dxa"/>
            <w:tcBorders>
              <w:top w:val="single" w:sz="12" w:space="0" w:color="800000"/>
            </w:tcBorders>
          </w:tcPr>
          <w:p w:rsidR="003F5784" w14:paraId="46B2A5A8" w14:textId="77777777">
            <w:pPr>
              <w:pStyle w:val="TableParagraph"/>
              <w:spacing w:before="0" w:line="239" w:lineRule="exact"/>
              <w:ind w:right="153"/>
              <w:rPr>
                <w:sz w:val="21"/>
              </w:rPr>
            </w:pPr>
            <w:r>
              <w:rPr>
                <w:spacing w:val="-2"/>
                <w:sz w:val="21"/>
              </w:rPr>
              <w:t>91.79</w:t>
            </w:r>
          </w:p>
        </w:tc>
        <w:tc>
          <w:tcPr>
            <w:tcW w:w="1733" w:type="dxa"/>
            <w:tcBorders>
              <w:top w:val="single" w:sz="12" w:space="0" w:color="800000"/>
            </w:tcBorders>
          </w:tcPr>
          <w:p w:rsidR="003F5784" w14:paraId="4E8A062F" w14:textId="77777777">
            <w:pPr>
              <w:pStyle w:val="TableParagraph"/>
              <w:spacing w:before="0" w:line="239" w:lineRule="exact"/>
              <w:ind w:right="120"/>
              <w:rPr>
                <w:sz w:val="21"/>
              </w:rPr>
            </w:pPr>
            <w:r>
              <w:rPr>
                <w:spacing w:val="-2"/>
                <w:sz w:val="21"/>
              </w:rPr>
              <w:t>14.93</w:t>
            </w:r>
          </w:p>
        </w:tc>
      </w:tr>
      <w:tr w14:paraId="5D253E27" w14:textId="77777777">
        <w:tblPrEx>
          <w:tblW w:w="0" w:type="auto"/>
          <w:tblInd w:w="482" w:type="dxa"/>
          <w:tblLayout w:type="fixed"/>
          <w:tblCellMar>
            <w:left w:w="0" w:type="dxa"/>
            <w:right w:w="0" w:type="dxa"/>
          </w:tblCellMar>
          <w:tblLook w:val="01E0"/>
        </w:tblPrEx>
        <w:trPr>
          <w:trHeight w:val="286"/>
        </w:trPr>
        <w:tc>
          <w:tcPr>
            <w:tcW w:w="2693" w:type="dxa"/>
          </w:tcPr>
          <w:p w:rsidR="003F5784" w14:paraId="6EC99B4A" w14:textId="77777777">
            <w:pPr>
              <w:pStyle w:val="TableParagraph"/>
              <w:ind w:left="120"/>
              <w:jc w:val="left"/>
              <w:rPr>
                <w:sz w:val="21"/>
              </w:rPr>
            </w:pPr>
            <w:r>
              <w:rPr>
                <w:spacing w:val="-2"/>
                <w:sz w:val="21"/>
              </w:rPr>
              <w:t>Alabama</w:t>
            </w:r>
          </w:p>
        </w:tc>
        <w:tc>
          <w:tcPr>
            <w:tcW w:w="1272" w:type="dxa"/>
          </w:tcPr>
          <w:p w:rsidR="003F5784" w14:paraId="47576AF5" w14:textId="77777777">
            <w:pPr>
              <w:pStyle w:val="TableParagraph"/>
              <w:ind w:right="133"/>
              <w:rPr>
                <w:sz w:val="21"/>
              </w:rPr>
            </w:pPr>
            <w:r>
              <w:rPr>
                <w:spacing w:val="-5"/>
                <w:sz w:val="21"/>
              </w:rPr>
              <w:t>90</w:t>
            </w:r>
          </w:p>
        </w:tc>
        <w:tc>
          <w:tcPr>
            <w:tcW w:w="2055" w:type="dxa"/>
          </w:tcPr>
          <w:p w:rsidR="003F5784" w14:paraId="7FAF0341" w14:textId="77777777">
            <w:pPr>
              <w:pStyle w:val="TableParagraph"/>
              <w:ind w:right="134"/>
              <w:rPr>
                <w:sz w:val="21"/>
              </w:rPr>
            </w:pPr>
            <w:r>
              <w:rPr>
                <w:spacing w:val="-2"/>
                <w:sz w:val="21"/>
              </w:rPr>
              <w:t>100.00</w:t>
            </w:r>
          </w:p>
        </w:tc>
        <w:tc>
          <w:tcPr>
            <w:tcW w:w="1990" w:type="dxa"/>
          </w:tcPr>
          <w:p w:rsidR="003F5784" w14:paraId="781CD50A" w14:textId="77777777">
            <w:pPr>
              <w:pStyle w:val="TableParagraph"/>
              <w:ind w:right="166"/>
              <w:rPr>
                <w:sz w:val="21"/>
              </w:rPr>
            </w:pPr>
            <w:r>
              <w:rPr>
                <w:spacing w:val="-2"/>
                <w:sz w:val="21"/>
              </w:rPr>
              <w:t>100.00</w:t>
            </w:r>
          </w:p>
        </w:tc>
        <w:tc>
          <w:tcPr>
            <w:tcW w:w="1304" w:type="dxa"/>
          </w:tcPr>
          <w:p w:rsidR="003F5784" w14:paraId="0525C75D" w14:textId="77777777">
            <w:pPr>
              <w:pStyle w:val="TableParagraph"/>
              <w:ind w:right="225"/>
              <w:rPr>
                <w:sz w:val="21"/>
              </w:rPr>
            </w:pPr>
            <w:r>
              <w:rPr>
                <w:spacing w:val="-2"/>
                <w:sz w:val="21"/>
              </w:rPr>
              <w:t>2,200</w:t>
            </w:r>
          </w:p>
        </w:tc>
        <w:tc>
          <w:tcPr>
            <w:tcW w:w="1202" w:type="dxa"/>
          </w:tcPr>
          <w:p w:rsidR="003F5784" w14:paraId="155DEF76" w14:textId="77777777">
            <w:pPr>
              <w:pStyle w:val="TableParagraph"/>
              <w:ind w:right="135"/>
              <w:rPr>
                <w:sz w:val="21"/>
              </w:rPr>
            </w:pPr>
            <w:r>
              <w:rPr>
                <w:spacing w:val="-4"/>
                <w:sz w:val="21"/>
              </w:rPr>
              <w:t>1.27</w:t>
            </w:r>
          </w:p>
        </w:tc>
        <w:tc>
          <w:tcPr>
            <w:tcW w:w="1738" w:type="dxa"/>
          </w:tcPr>
          <w:p w:rsidR="003F5784" w14:paraId="4FB84FF1" w14:textId="77777777">
            <w:pPr>
              <w:pStyle w:val="TableParagraph"/>
              <w:ind w:right="153"/>
              <w:rPr>
                <w:sz w:val="21"/>
              </w:rPr>
            </w:pPr>
            <w:r>
              <w:rPr>
                <w:spacing w:val="-2"/>
                <w:sz w:val="21"/>
              </w:rPr>
              <w:t>94.68</w:t>
            </w:r>
          </w:p>
        </w:tc>
        <w:tc>
          <w:tcPr>
            <w:tcW w:w="1733" w:type="dxa"/>
          </w:tcPr>
          <w:p w:rsidR="003F5784" w14:paraId="6CDFB4BA" w14:textId="77777777">
            <w:pPr>
              <w:pStyle w:val="TableParagraph"/>
              <w:ind w:right="120"/>
              <w:rPr>
                <w:sz w:val="21"/>
              </w:rPr>
            </w:pPr>
            <w:r>
              <w:rPr>
                <w:spacing w:val="-2"/>
                <w:sz w:val="21"/>
              </w:rPr>
              <w:t>10.42</w:t>
            </w:r>
          </w:p>
        </w:tc>
      </w:tr>
      <w:tr w14:paraId="7C232306" w14:textId="77777777">
        <w:tblPrEx>
          <w:tblW w:w="0" w:type="auto"/>
          <w:tblInd w:w="482" w:type="dxa"/>
          <w:tblLayout w:type="fixed"/>
          <w:tblCellMar>
            <w:left w:w="0" w:type="dxa"/>
            <w:right w:w="0" w:type="dxa"/>
          </w:tblCellMar>
          <w:tblLook w:val="01E0"/>
        </w:tblPrEx>
        <w:trPr>
          <w:trHeight w:val="286"/>
        </w:trPr>
        <w:tc>
          <w:tcPr>
            <w:tcW w:w="2693" w:type="dxa"/>
          </w:tcPr>
          <w:p w:rsidR="003F5784" w14:paraId="78CE3E4C" w14:textId="77777777">
            <w:pPr>
              <w:pStyle w:val="TableParagraph"/>
              <w:ind w:left="120"/>
              <w:jc w:val="left"/>
              <w:rPr>
                <w:sz w:val="21"/>
              </w:rPr>
            </w:pPr>
            <w:r>
              <w:rPr>
                <w:spacing w:val="-2"/>
                <w:sz w:val="21"/>
              </w:rPr>
              <w:t>Alaska</w:t>
            </w:r>
          </w:p>
        </w:tc>
        <w:tc>
          <w:tcPr>
            <w:tcW w:w="1272" w:type="dxa"/>
          </w:tcPr>
          <w:p w:rsidR="003F5784" w14:paraId="1B38EB8A" w14:textId="77777777">
            <w:pPr>
              <w:pStyle w:val="TableParagraph"/>
              <w:ind w:right="133"/>
              <w:rPr>
                <w:sz w:val="21"/>
              </w:rPr>
            </w:pPr>
            <w:r>
              <w:rPr>
                <w:spacing w:val="-5"/>
                <w:sz w:val="21"/>
              </w:rPr>
              <w:t>130</w:t>
            </w:r>
          </w:p>
        </w:tc>
        <w:tc>
          <w:tcPr>
            <w:tcW w:w="2055" w:type="dxa"/>
          </w:tcPr>
          <w:p w:rsidR="003F5784" w14:paraId="71B0BF68" w14:textId="77777777">
            <w:pPr>
              <w:pStyle w:val="TableParagraph"/>
              <w:ind w:right="134"/>
              <w:rPr>
                <w:sz w:val="21"/>
              </w:rPr>
            </w:pPr>
            <w:r>
              <w:rPr>
                <w:spacing w:val="-2"/>
                <w:sz w:val="21"/>
              </w:rPr>
              <w:t>99.20</w:t>
            </w:r>
          </w:p>
        </w:tc>
        <w:tc>
          <w:tcPr>
            <w:tcW w:w="1990" w:type="dxa"/>
          </w:tcPr>
          <w:p w:rsidR="003F5784" w14:paraId="24ABF46A" w14:textId="77777777">
            <w:pPr>
              <w:pStyle w:val="TableParagraph"/>
              <w:ind w:right="166"/>
              <w:rPr>
                <w:sz w:val="21"/>
              </w:rPr>
            </w:pPr>
            <w:r>
              <w:rPr>
                <w:spacing w:val="-2"/>
                <w:sz w:val="21"/>
              </w:rPr>
              <w:t>93.50</w:t>
            </w:r>
          </w:p>
        </w:tc>
        <w:tc>
          <w:tcPr>
            <w:tcW w:w="1304" w:type="dxa"/>
          </w:tcPr>
          <w:p w:rsidR="003F5784" w14:paraId="73CC5541" w14:textId="77777777">
            <w:pPr>
              <w:pStyle w:val="TableParagraph"/>
              <w:ind w:right="225"/>
              <w:rPr>
                <w:sz w:val="21"/>
              </w:rPr>
            </w:pPr>
            <w:r>
              <w:rPr>
                <w:spacing w:val="-2"/>
                <w:sz w:val="21"/>
              </w:rPr>
              <w:t>2,100</w:t>
            </w:r>
          </w:p>
        </w:tc>
        <w:tc>
          <w:tcPr>
            <w:tcW w:w="1202" w:type="dxa"/>
          </w:tcPr>
          <w:p w:rsidR="003F5784" w14:paraId="00EF9B26" w14:textId="77777777">
            <w:pPr>
              <w:pStyle w:val="TableParagraph"/>
              <w:ind w:right="135"/>
              <w:rPr>
                <w:sz w:val="21"/>
              </w:rPr>
            </w:pPr>
            <w:r>
              <w:rPr>
                <w:spacing w:val="-4"/>
                <w:sz w:val="21"/>
              </w:rPr>
              <w:t>1.01</w:t>
            </w:r>
          </w:p>
        </w:tc>
        <w:tc>
          <w:tcPr>
            <w:tcW w:w="1738" w:type="dxa"/>
          </w:tcPr>
          <w:p w:rsidR="003F5784" w14:paraId="031FB017" w14:textId="77777777">
            <w:pPr>
              <w:pStyle w:val="TableParagraph"/>
              <w:ind w:right="153"/>
              <w:rPr>
                <w:sz w:val="21"/>
              </w:rPr>
            </w:pPr>
            <w:r>
              <w:rPr>
                <w:spacing w:val="-2"/>
                <w:sz w:val="21"/>
              </w:rPr>
              <w:t>88.61</w:t>
            </w:r>
          </w:p>
        </w:tc>
        <w:tc>
          <w:tcPr>
            <w:tcW w:w="1733" w:type="dxa"/>
          </w:tcPr>
          <w:p w:rsidR="003F5784" w14:paraId="71B30712" w14:textId="77777777">
            <w:pPr>
              <w:pStyle w:val="TableParagraph"/>
              <w:ind w:right="120"/>
              <w:rPr>
                <w:sz w:val="21"/>
              </w:rPr>
            </w:pPr>
            <w:r>
              <w:rPr>
                <w:spacing w:val="-2"/>
                <w:sz w:val="21"/>
              </w:rPr>
              <w:t>16.83</w:t>
            </w:r>
          </w:p>
        </w:tc>
      </w:tr>
      <w:tr w14:paraId="66FB5702" w14:textId="77777777">
        <w:tblPrEx>
          <w:tblW w:w="0" w:type="auto"/>
          <w:tblInd w:w="482" w:type="dxa"/>
          <w:tblLayout w:type="fixed"/>
          <w:tblCellMar>
            <w:left w:w="0" w:type="dxa"/>
            <w:right w:w="0" w:type="dxa"/>
          </w:tblCellMar>
          <w:tblLook w:val="01E0"/>
        </w:tblPrEx>
        <w:trPr>
          <w:trHeight w:val="286"/>
        </w:trPr>
        <w:tc>
          <w:tcPr>
            <w:tcW w:w="2693" w:type="dxa"/>
          </w:tcPr>
          <w:p w:rsidR="003F5784" w14:paraId="6B039AD5" w14:textId="77777777">
            <w:pPr>
              <w:pStyle w:val="TableParagraph"/>
              <w:ind w:left="120"/>
              <w:jc w:val="left"/>
              <w:rPr>
                <w:sz w:val="21"/>
              </w:rPr>
            </w:pPr>
            <w:r>
              <w:rPr>
                <w:spacing w:val="-2"/>
                <w:sz w:val="21"/>
              </w:rPr>
              <w:t>Arizona</w:t>
            </w:r>
          </w:p>
        </w:tc>
        <w:tc>
          <w:tcPr>
            <w:tcW w:w="1272" w:type="dxa"/>
          </w:tcPr>
          <w:p w:rsidR="003F5784" w14:paraId="0457CEC0" w14:textId="77777777">
            <w:pPr>
              <w:pStyle w:val="TableParagraph"/>
              <w:ind w:right="133"/>
              <w:rPr>
                <w:sz w:val="21"/>
              </w:rPr>
            </w:pPr>
            <w:r>
              <w:rPr>
                <w:spacing w:val="-5"/>
                <w:sz w:val="21"/>
              </w:rPr>
              <w:t>90</w:t>
            </w:r>
          </w:p>
        </w:tc>
        <w:tc>
          <w:tcPr>
            <w:tcW w:w="2055" w:type="dxa"/>
          </w:tcPr>
          <w:p w:rsidR="003F5784" w14:paraId="37A3487C" w14:textId="77777777">
            <w:pPr>
              <w:pStyle w:val="TableParagraph"/>
              <w:ind w:right="134"/>
              <w:rPr>
                <w:sz w:val="21"/>
              </w:rPr>
            </w:pPr>
            <w:r>
              <w:rPr>
                <w:spacing w:val="-2"/>
                <w:sz w:val="21"/>
              </w:rPr>
              <w:t>100.00</w:t>
            </w:r>
          </w:p>
        </w:tc>
        <w:tc>
          <w:tcPr>
            <w:tcW w:w="1990" w:type="dxa"/>
          </w:tcPr>
          <w:p w:rsidR="003F5784" w14:paraId="0E208163" w14:textId="77777777">
            <w:pPr>
              <w:pStyle w:val="TableParagraph"/>
              <w:ind w:right="166"/>
              <w:rPr>
                <w:sz w:val="21"/>
              </w:rPr>
            </w:pPr>
            <w:r>
              <w:rPr>
                <w:spacing w:val="-2"/>
                <w:sz w:val="21"/>
              </w:rPr>
              <w:t>100.00</w:t>
            </w:r>
          </w:p>
        </w:tc>
        <w:tc>
          <w:tcPr>
            <w:tcW w:w="1304" w:type="dxa"/>
          </w:tcPr>
          <w:p w:rsidR="003F5784" w14:paraId="10105942" w14:textId="77777777">
            <w:pPr>
              <w:pStyle w:val="TableParagraph"/>
              <w:ind w:right="225"/>
              <w:rPr>
                <w:sz w:val="21"/>
              </w:rPr>
            </w:pPr>
            <w:r>
              <w:rPr>
                <w:spacing w:val="-2"/>
                <w:sz w:val="21"/>
              </w:rPr>
              <w:t>2,200</w:t>
            </w:r>
          </w:p>
        </w:tc>
        <w:tc>
          <w:tcPr>
            <w:tcW w:w="1202" w:type="dxa"/>
          </w:tcPr>
          <w:p w:rsidR="003F5784" w14:paraId="5E3CE57C" w14:textId="77777777">
            <w:pPr>
              <w:pStyle w:val="TableParagraph"/>
              <w:ind w:right="135"/>
              <w:rPr>
                <w:sz w:val="21"/>
              </w:rPr>
            </w:pPr>
            <w:r>
              <w:rPr>
                <w:spacing w:val="-4"/>
                <w:sz w:val="21"/>
              </w:rPr>
              <w:t>1.28</w:t>
            </w:r>
          </w:p>
        </w:tc>
        <w:tc>
          <w:tcPr>
            <w:tcW w:w="1738" w:type="dxa"/>
          </w:tcPr>
          <w:p w:rsidR="003F5784" w14:paraId="613C9BD7" w14:textId="77777777">
            <w:pPr>
              <w:pStyle w:val="TableParagraph"/>
              <w:ind w:right="153"/>
              <w:rPr>
                <w:sz w:val="21"/>
              </w:rPr>
            </w:pPr>
            <w:r>
              <w:rPr>
                <w:spacing w:val="-2"/>
                <w:sz w:val="21"/>
              </w:rPr>
              <w:t>92.83</w:t>
            </w:r>
          </w:p>
        </w:tc>
        <w:tc>
          <w:tcPr>
            <w:tcW w:w="1733" w:type="dxa"/>
          </w:tcPr>
          <w:p w:rsidR="003F5784" w14:paraId="6D33601E" w14:textId="77777777">
            <w:pPr>
              <w:pStyle w:val="TableParagraph"/>
              <w:ind w:right="120"/>
              <w:rPr>
                <w:sz w:val="21"/>
              </w:rPr>
            </w:pPr>
            <w:r>
              <w:rPr>
                <w:spacing w:val="-2"/>
                <w:sz w:val="21"/>
              </w:rPr>
              <w:t>11.27</w:t>
            </w:r>
          </w:p>
        </w:tc>
      </w:tr>
      <w:tr w14:paraId="65E5E6C4" w14:textId="77777777">
        <w:tblPrEx>
          <w:tblW w:w="0" w:type="auto"/>
          <w:tblInd w:w="482" w:type="dxa"/>
          <w:tblLayout w:type="fixed"/>
          <w:tblCellMar>
            <w:left w:w="0" w:type="dxa"/>
            <w:right w:w="0" w:type="dxa"/>
          </w:tblCellMar>
          <w:tblLook w:val="01E0"/>
        </w:tblPrEx>
        <w:trPr>
          <w:trHeight w:val="286"/>
        </w:trPr>
        <w:tc>
          <w:tcPr>
            <w:tcW w:w="2693" w:type="dxa"/>
          </w:tcPr>
          <w:p w:rsidR="003F5784" w14:paraId="5345C829" w14:textId="77777777">
            <w:pPr>
              <w:pStyle w:val="TableParagraph"/>
              <w:ind w:left="120"/>
              <w:jc w:val="left"/>
              <w:rPr>
                <w:sz w:val="21"/>
              </w:rPr>
            </w:pPr>
            <w:r>
              <w:rPr>
                <w:spacing w:val="-2"/>
                <w:sz w:val="21"/>
              </w:rPr>
              <w:t>Arkansas</w:t>
            </w:r>
          </w:p>
        </w:tc>
        <w:tc>
          <w:tcPr>
            <w:tcW w:w="1272" w:type="dxa"/>
          </w:tcPr>
          <w:p w:rsidR="003F5784" w14:paraId="371C9DF8" w14:textId="77777777">
            <w:pPr>
              <w:pStyle w:val="TableParagraph"/>
              <w:ind w:right="133"/>
              <w:rPr>
                <w:sz w:val="21"/>
              </w:rPr>
            </w:pPr>
            <w:r>
              <w:rPr>
                <w:spacing w:val="-5"/>
                <w:sz w:val="21"/>
              </w:rPr>
              <w:t>90</w:t>
            </w:r>
          </w:p>
        </w:tc>
        <w:tc>
          <w:tcPr>
            <w:tcW w:w="2055" w:type="dxa"/>
          </w:tcPr>
          <w:p w:rsidR="003F5784" w14:paraId="5FE4FB19" w14:textId="77777777">
            <w:pPr>
              <w:pStyle w:val="TableParagraph"/>
              <w:ind w:right="134"/>
              <w:rPr>
                <w:sz w:val="21"/>
              </w:rPr>
            </w:pPr>
            <w:r>
              <w:rPr>
                <w:spacing w:val="-2"/>
                <w:sz w:val="21"/>
              </w:rPr>
              <w:t>100.00</w:t>
            </w:r>
          </w:p>
        </w:tc>
        <w:tc>
          <w:tcPr>
            <w:tcW w:w="1990" w:type="dxa"/>
          </w:tcPr>
          <w:p w:rsidR="003F5784" w14:paraId="6E81DD46" w14:textId="77777777">
            <w:pPr>
              <w:pStyle w:val="TableParagraph"/>
              <w:ind w:right="166"/>
              <w:rPr>
                <w:sz w:val="21"/>
              </w:rPr>
            </w:pPr>
            <w:r>
              <w:rPr>
                <w:spacing w:val="-2"/>
                <w:sz w:val="21"/>
              </w:rPr>
              <w:t>100.00</w:t>
            </w:r>
          </w:p>
        </w:tc>
        <w:tc>
          <w:tcPr>
            <w:tcW w:w="1304" w:type="dxa"/>
          </w:tcPr>
          <w:p w:rsidR="003F5784" w14:paraId="0712B58D" w14:textId="77777777">
            <w:pPr>
              <w:pStyle w:val="TableParagraph"/>
              <w:ind w:right="225"/>
              <w:rPr>
                <w:sz w:val="21"/>
              </w:rPr>
            </w:pPr>
            <w:r>
              <w:rPr>
                <w:spacing w:val="-2"/>
                <w:sz w:val="21"/>
              </w:rPr>
              <w:t>2,000</w:t>
            </w:r>
          </w:p>
        </w:tc>
        <w:tc>
          <w:tcPr>
            <w:tcW w:w="1202" w:type="dxa"/>
          </w:tcPr>
          <w:p w:rsidR="003F5784" w14:paraId="73CBA415" w14:textId="77777777">
            <w:pPr>
              <w:pStyle w:val="TableParagraph"/>
              <w:ind w:right="135"/>
              <w:rPr>
                <w:sz w:val="21"/>
              </w:rPr>
            </w:pPr>
            <w:r>
              <w:rPr>
                <w:spacing w:val="-4"/>
                <w:sz w:val="21"/>
              </w:rPr>
              <w:t>0.97</w:t>
            </w:r>
          </w:p>
        </w:tc>
        <w:tc>
          <w:tcPr>
            <w:tcW w:w="1738" w:type="dxa"/>
          </w:tcPr>
          <w:p w:rsidR="003F5784" w14:paraId="6662ACDE" w14:textId="77777777">
            <w:pPr>
              <w:pStyle w:val="TableParagraph"/>
              <w:ind w:right="153"/>
              <w:rPr>
                <w:sz w:val="21"/>
              </w:rPr>
            </w:pPr>
            <w:r>
              <w:rPr>
                <w:spacing w:val="-2"/>
                <w:sz w:val="21"/>
              </w:rPr>
              <w:t>92.58</w:t>
            </w:r>
          </w:p>
        </w:tc>
        <w:tc>
          <w:tcPr>
            <w:tcW w:w="1733" w:type="dxa"/>
          </w:tcPr>
          <w:p w:rsidR="003F5784" w14:paraId="728EA892" w14:textId="77777777">
            <w:pPr>
              <w:pStyle w:val="TableParagraph"/>
              <w:ind w:right="120"/>
              <w:rPr>
                <w:sz w:val="21"/>
              </w:rPr>
            </w:pPr>
            <w:r>
              <w:rPr>
                <w:spacing w:val="-2"/>
                <w:sz w:val="21"/>
              </w:rPr>
              <w:t>21.24</w:t>
            </w:r>
          </w:p>
        </w:tc>
      </w:tr>
      <w:tr w14:paraId="456C77DB" w14:textId="77777777">
        <w:tblPrEx>
          <w:tblW w:w="0" w:type="auto"/>
          <w:tblInd w:w="482" w:type="dxa"/>
          <w:tblLayout w:type="fixed"/>
          <w:tblCellMar>
            <w:left w:w="0" w:type="dxa"/>
            <w:right w:w="0" w:type="dxa"/>
          </w:tblCellMar>
          <w:tblLook w:val="01E0"/>
        </w:tblPrEx>
        <w:trPr>
          <w:trHeight w:val="286"/>
        </w:trPr>
        <w:tc>
          <w:tcPr>
            <w:tcW w:w="2693" w:type="dxa"/>
          </w:tcPr>
          <w:p w:rsidR="003F5784" w14:paraId="3FD2E59D" w14:textId="77777777">
            <w:pPr>
              <w:pStyle w:val="TableParagraph"/>
              <w:ind w:left="120"/>
              <w:jc w:val="left"/>
              <w:rPr>
                <w:sz w:val="21"/>
              </w:rPr>
            </w:pPr>
            <w:r>
              <w:rPr>
                <w:spacing w:val="-2"/>
                <w:sz w:val="21"/>
              </w:rPr>
              <w:t>California</w:t>
            </w:r>
          </w:p>
        </w:tc>
        <w:tc>
          <w:tcPr>
            <w:tcW w:w="1272" w:type="dxa"/>
          </w:tcPr>
          <w:p w:rsidR="003F5784" w14:paraId="18BF8DE8" w14:textId="77777777">
            <w:pPr>
              <w:pStyle w:val="TableParagraph"/>
              <w:ind w:right="133"/>
              <w:rPr>
                <w:sz w:val="21"/>
              </w:rPr>
            </w:pPr>
            <w:r>
              <w:rPr>
                <w:spacing w:val="-5"/>
                <w:sz w:val="21"/>
              </w:rPr>
              <w:t>190</w:t>
            </w:r>
          </w:p>
        </w:tc>
        <w:tc>
          <w:tcPr>
            <w:tcW w:w="2055" w:type="dxa"/>
          </w:tcPr>
          <w:p w:rsidR="003F5784" w14:paraId="07B3B6E8" w14:textId="77777777">
            <w:pPr>
              <w:pStyle w:val="TableParagraph"/>
              <w:ind w:right="134"/>
              <w:rPr>
                <w:sz w:val="21"/>
              </w:rPr>
            </w:pPr>
            <w:r>
              <w:rPr>
                <w:spacing w:val="-2"/>
                <w:sz w:val="21"/>
              </w:rPr>
              <w:t>100.00</w:t>
            </w:r>
          </w:p>
        </w:tc>
        <w:tc>
          <w:tcPr>
            <w:tcW w:w="1990" w:type="dxa"/>
          </w:tcPr>
          <w:p w:rsidR="003F5784" w14:paraId="147C898C" w14:textId="77777777">
            <w:pPr>
              <w:pStyle w:val="TableParagraph"/>
              <w:ind w:right="166"/>
              <w:rPr>
                <w:sz w:val="21"/>
              </w:rPr>
            </w:pPr>
            <w:r>
              <w:rPr>
                <w:spacing w:val="-2"/>
                <w:sz w:val="21"/>
              </w:rPr>
              <w:t>100.00</w:t>
            </w:r>
          </w:p>
        </w:tc>
        <w:tc>
          <w:tcPr>
            <w:tcW w:w="1304" w:type="dxa"/>
          </w:tcPr>
          <w:p w:rsidR="003F5784" w14:paraId="08B57A3B" w14:textId="77777777">
            <w:pPr>
              <w:pStyle w:val="TableParagraph"/>
              <w:ind w:right="225"/>
              <w:rPr>
                <w:sz w:val="21"/>
              </w:rPr>
            </w:pPr>
            <w:r>
              <w:rPr>
                <w:spacing w:val="-2"/>
                <w:sz w:val="21"/>
              </w:rPr>
              <w:t>4,500</w:t>
            </w:r>
          </w:p>
        </w:tc>
        <w:tc>
          <w:tcPr>
            <w:tcW w:w="1202" w:type="dxa"/>
          </w:tcPr>
          <w:p w:rsidR="003F5784" w14:paraId="351EF004" w14:textId="77777777">
            <w:pPr>
              <w:pStyle w:val="TableParagraph"/>
              <w:ind w:right="135"/>
              <w:rPr>
                <w:sz w:val="21"/>
              </w:rPr>
            </w:pPr>
            <w:r>
              <w:rPr>
                <w:spacing w:val="-4"/>
                <w:sz w:val="21"/>
              </w:rPr>
              <w:t>2.22</w:t>
            </w:r>
          </w:p>
        </w:tc>
        <w:tc>
          <w:tcPr>
            <w:tcW w:w="1738" w:type="dxa"/>
          </w:tcPr>
          <w:p w:rsidR="003F5784" w14:paraId="7EEAA756" w14:textId="77777777">
            <w:pPr>
              <w:pStyle w:val="TableParagraph"/>
              <w:ind w:right="153"/>
              <w:rPr>
                <w:sz w:val="21"/>
              </w:rPr>
            </w:pPr>
            <w:r>
              <w:rPr>
                <w:spacing w:val="-2"/>
                <w:sz w:val="21"/>
              </w:rPr>
              <w:t>91.91</w:t>
            </w:r>
          </w:p>
        </w:tc>
        <w:tc>
          <w:tcPr>
            <w:tcW w:w="1733" w:type="dxa"/>
          </w:tcPr>
          <w:p w:rsidR="003F5784" w14:paraId="0B227EF0" w14:textId="77777777">
            <w:pPr>
              <w:pStyle w:val="TableParagraph"/>
              <w:ind w:right="120"/>
              <w:rPr>
                <w:sz w:val="21"/>
              </w:rPr>
            </w:pPr>
            <w:r>
              <w:rPr>
                <w:spacing w:val="-4"/>
                <w:sz w:val="21"/>
              </w:rPr>
              <w:t>7.38</w:t>
            </w:r>
          </w:p>
        </w:tc>
      </w:tr>
      <w:tr w14:paraId="1545B57B" w14:textId="77777777">
        <w:tblPrEx>
          <w:tblW w:w="0" w:type="auto"/>
          <w:tblInd w:w="482" w:type="dxa"/>
          <w:tblLayout w:type="fixed"/>
          <w:tblCellMar>
            <w:left w:w="0" w:type="dxa"/>
            <w:right w:w="0" w:type="dxa"/>
          </w:tblCellMar>
          <w:tblLook w:val="01E0"/>
        </w:tblPrEx>
        <w:trPr>
          <w:trHeight w:val="286"/>
        </w:trPr>
        <w:tc>
          <w:tcPr>
            <w:tcW w:w="2693" w:type="dxa"/>
          </w:tcPr>
          <w:p w:rsidR="003F5784" w14:paraId="6D3EEF03" w14:textId="77777777">
            <w:pPr>
              <w:pStyle w:val="TableParagraph"/>
              <w:ind w:left="120"/>
              <w:jc w:val="left"/>
              <w:rPr>
                <w:sz w:val="21"/>
              </w:rPr>
            </w:pPr>
            <w:r>
              <w:rPr>
                <w:spacing w:val="-2"/>
                <w:sz w:val="21"/>
              </w:rPr>
              <w:t>Colorado</w:t>
            </w:r>
          </w:p>
        </w:tc>
        <w:tc>
          <w:tcPr>
            <w:tcW w:w="1272" w:type="dxa"/>
          </w:tcPr>
          <w:p w:rsidR="003F5784" w14:paraId="226439DB" w14:textId="77777777">
            <w:pPr>
              <w:pStyle w:val="TableParagraph"/>
              <w:ind w:right="133"/>
              <w:rPr>
                <w:sz w:val="21"/>
              </w:rPr>
            </w:pPr>
            <w:r>
              <w:rPr>
                <w:spacing w:val="-5"/>
                <w:sz w:val="21"/>
              </w:rPr>
              <w:t>120</w:t>
            </w:r>
          </w:p>
        </w:tc>
        <w:tc>
          <w:tcPr>
            <w:tcW w:w="2055" w:type="dxa"/>
          </w:tcPr>
          <w:p w:rsidR="003F5784" w14:paraId="7A0C5275" w14:textId="77777777">
            <w:pPr>
              <w:pStyle w:val="TableParagraph"/>
              <w:ind w:right="134"/>
              <w:rPr>
                <w:sz w:val="21"/>
              </w:rPr>
            </w:pPr>
            <w:r>
              <w:rPr>
                <w:spacing w:val="-2"/>
                <w:sz w:val="21"/>
              </w:rPr>
              <w:t>99.04</w:t>
            </w:r>
          </w:p>
        </w:tc>
        <w:tc>
          <w:tcPr>
            <w:tcW w:w="1990" w:type="dxa"/>
          </w:tcPr>
          <w:p w:rsidR="003F5784" w14:paraId="45C452C8" w14:textId="77777777">
            <w:pPr>
              <w:pStyle w:val="TableParagraph"/>
              <w:ind w:right="166"/>
              <w:rPr>
                <w:sz w:val="21"/>
              </w:rPr>
            </w:pPr>
            <w:r>
              <w:rPr>
                <w:spacing w:val="-2"/>
                <w:sz w:val="21"/>
              </w:rPr>
              <w:t>98.43</w:t>
            </w:r>
          </w:p>
        </w:tc>
        <w:tc>
          <w:tcPr>
            <w:tcW w:w="1304" w:type="dxa"/>
          </w:tcPr>
          <w:p w:rsidR="003F5784" w14:paraId="17A89B4D" w14:textId="77777777">
            <w:pPr>
              <w:pStyle w:val="TableParagraph"/>
              <w:ind w:right="225"/>
              <w:rPr>
                <w:sz w:val="21"/>
              </w:rPr>
            </w:pPr>
            <w:r>
              <w:rPr>
                <w:spacing w:val="-2"/>
                <w:sz w:val="21"/>
              </w:rPr>
              <w:t>2,900</w:t>
            </w:r>
          </w:p>
        </w:tc>
        <w:tc>
          <w:tcPr>
            <w:tcW w:w="1202" w:type="dxa"/>
          </w:tcPr>
          <w:p w:rsidR="003F5784" w14:paraId="3A5A87E1" w14:textId="77777777">
            <w:pPr>
              <w:pStyle w:val="TableParagraph"/>
              <w:ind w:right="135"/>
              <w:rPr>
                <w:sz w:val="21"/>
              </w:rPr>
            </w:pPr>
            <w:r>
              <w:rPr>
                <w:spacing w:val="-4"/>
                <w:sz w:val="21"/>
              </w:rPr>
              <w:t>1.76</w:t>
            </w:r>
          </w:p>
        </w:tc>
        <w:tc>
          <w:tcPr>
            <w:tcW w:w="1738" w:type="dxa"/>
          </w:tcPr>
          <w:p w:rsidR="003F5784" w14:paraId="3E1B9157" w14:textId="77777777">
            <w:pPr>
              <w:pStyle w:val="TableParagraph"/>
              <w:ind w:right="153"/>
              <w:rPr>
                <w:sz w:val="21"/>
              </w:rPr>
            </w:pPr>
            <w:r>
              <w:rPr>
                <w:spacing w:val="-2"/>
                <w:sz w:val="21"/>
              </w:rPr>
              <w:t>91.10</w:t>
            </w:r>
          </w:p>
        </w:tc>
        <w:tc>
          <w:tcPr>
            <w:tcW w:w="1733" w:type="dxa"/>
          </w:tcPr>
          <w:p w:rsidR="003F5784" w14:paraId="42A37ED6" w14:textId="77777777">
            <w:pPr>
              <w:pStyle w:val="TableParagraph"/>
              <w:ind w:right="120"/>
              <w:rPr>
                <w:sz w:val="21"/>
              </w:rPr>
            </w:pPr>
            <w:r>
              <w:rPr>
                <w:spacing w:val="-2"/>
                <w:sz w:val="21"/>
              </w:rPr>
              <w:t>11.74</w:t>
            </w:r>
          </w:p>
        </w:tc>
      </w:tr>
      <w:tr w14:paraId="27A9750B" w14:textId="77777777">
        <w:tblPrEx>
          <w:tblW w:w="0" w:type="auto"/>
          <w:tblInd w:w="482" w:type="dxa"/>
          <w:tblLayout w:type="fixed"/>
          <w:tblCellMar>
            <w:left w:w="0" w:type="dxa"/>
            <w:right w:w="0" w:type="dxa"/>
          </w:tblCellMar>
          <w:tblLook w:val="01E0"/>
        </w:tblPrEx>
        <w:trPr>
          <w:trHeight w:val="286"/>
        </w:trPr>
        <w:tc>
          <w:tcPr>
            <w:tcW w:w="2693" w:type="dxa"/>
          </w:tcPr>
          <w:p w:rsidR="003F5784" w14:paraId="2E4FEC14" w14:textId="77777777">
            <w:pPr>
              <w:pStyle w:val="TableParagraph"/>
              <w:ind w:left="120"/>
              <w:jc w:val="left"/>
              <w:rPr>
                <w:sz w:val="21"/>
              </w:rPr>
            </w:pPr>
            <w:r>
              <w:rPr>
                <w:spacing w:val="-2"/>
                <w:sz w:val="21"/>
              </w:rPr>
              <w:t>Connecticut</w:t>
            </w:r>
          </w:p>
        </w:tc>
        <w:tc>
          <w:tcPr>
            <w:tcW w:w="1272" w:type="dxa"/>
          </w:tcPr>
          <w:p w:rsidR="003F5784" w14:paraId="4B207E2D" w14:textId="77777777">
            <w:pPr>
              <w:pStyle w:val="TableParagraph"/>
              <w:ind w:right="133"/>
              <w:rPr>
                <w:sz w:val="21"/>
              </w:rPr>
            </w:pPr>
            <w:r>
              <w:rPr>
                <w:spacing w:val="-5"/>
                <w:sz w:val="21"/>
              </w:rPr>
              <w:t>90</w:t>
            </w:r>
          </w:p>
        </w:tc>
        <w:tc>
          <w:tcPr>
            <w:tcW w:w="2055" w:type="dxa"/>
          </w:tcPr>
          <w:p w:rsidR="003F5784" w14:paraId="3895660E" w14:textId="77777777">
            <w:pPr>
              <w:pStyle w:val="TableParagraph"/>
              <w:ind w:right="134"/>
              <w:rPr>
                <w:sz w:val="21"/>
              </w:rPr>
            </w:pPr>
            <w:r>
              <w:rPr>
                <w:spacing w:val="-2"/>
                <w:sz w:val="21"/>
              </w:rPr>
              <w:t>100.00</w:t>
            </w:r>
          </w:p>
        </w:tc>
        <w:tc>
          <w:tcPr>
            <w:tcW w:w="1990" w:type="dxa"/>
          </w:tcPr>
          <w:p w:rsidR="003F5784" w14:paraId="5678FB87" w14:textId="77777777">
            <w:pPr>
              <w:pStyle w:val="TableParagraph"/>
              <w:ind w:right="166"/>
              <w:rPr>
                <w:sz w:val="21"/>
              </w:rPr>
            </w:pPr>
            <w:r>
              <w:rPr>
                <w:spacing w:val="-2"/>
                <w:sz w:val="21"/>
              </w:rPr>
              <w:t>100.00</w:t>
            </w:r>
          </w:p>
        </w:tc>
        <w:tc>
          <w:tcPr>
            <w:tcW w:w="1304" w:type="dxa"/>
          </w:tcPr>
          <w:p w:rsidR="003F5784" w14:paraId="7A565F14" w14:textId="77777777">
            <w:pPr>
              <w:pStyle w:val="TableParagraph"/>
              <w:ind w:right="225"/>
              <w:rPr>
                <w:sz w:val="21"/>
              </w:rPr>
            </w:pPr>
            <w:r>
              <w:rPr>
                <w:spacing w:val="-2"/>
                <w:sz w:val="21"/>
              </w:rPr>
              <w:t>2,100</w:t>
            </w:r>
          </w:p>
        </w:tc>
        <w:tc>
          <w:tcPr>
            <w:tcW w:w="1202" w:type="dxa"/>
          </w:tcPr>
          <w:p w:rsidR="003F5784" w14:paraId="5E8A77D4" w14:textId="77777777">
            <w:pPr>
              <w:pStyle w:val="TableParagraph"/>
              <w:ind w:right="135"/>
              <w:rPr>
                <w:sz w:val="21"/>
              </w:rPr>
            </w:pPr>
            <w:r>
              <w:rPr>
                <w:spacing w:val="-4"/>
                <w:sz w:val="21"/>
              </w:rPr>
              <w:t>2.46</w:t>
            </w:r>
          </w:p>
        </w:tc>
        <w:tc>
          <w:tcPr>
            <w:tcW w:w="1738" w:type="dxa"/>
          </w:tcPr>
          <w:p w:rsidR="003F5784" w14:paraId="0123D9B5" w14:textId="77777777">
            <w:pPr>
              <w:pStyle w:val="TableParagraph"/>
              <w:ind w:right="153"/>
              <w:rPr>
                <w:sz w:val="21"/>
              </w:rPr>
            </w:pPr>
            <w:r>
              <w:rPr>
                <w:spacing w:val="-2"/>
                <w:sz w:val="21"/>
              </w:rPr>
              <w:t>91.79</w:t>
            </w:r>
          </w:p>
        </w:tc>
        <w:tc>
          <w:tcPr>
            <w:tcW w:w="1733" w:type="dxa"/>
          </w:tcPr>
          <w:p w:rsidR="003F5784" w14:paraId="5763B87D" w14:textId="77777777">
            <w:pPr>
              <w:pStyle w:val="TableParagraph"/>
              <w:ind w:right="120"/>
              <w:rPr>
                <w:sz w:val="21"/>
              </w:rPr>
            </w:pPr>
            <w:r>
              <w:rPr>
                <w:spacing w:val="-2"/>
                <w:sz w:val="21"/>
              </w:rPr>
              <w:t>17.50</w:t>
            </w:r>
          </w:p>
        </w:tc>
      </w:tr>
      <w:tr w14:paraId="27471570" w14:textId="77777777">
        <w:tblPrEx>
          <w:tblW w:w="0" w:type="auto"/>
          <w:tblInd w:w="482" w:type="dxa"/>
          <w:tblLayout w:type="fixed"/>
          <w:tblCellMar>
            <w:left w:w="0" w:type="dxa"/>
            <w:right w:w="0" w:type="dxa"/>
          </w:tblCellMar>
          <w:tblLook w:val="01E0"/>
        </w:tblPrEx>
        <w:trPr>
          <w:trHeight w:val="286"/>
        </w:trPr>
        <w:tc>
          <w:tcPr>
            <w:tcW w:w="2693" w:type="dxa"/>
          </w:tcPr>
          <w:p w:rsidR="003F5784" w14:paraId="2AFBFFF0" w14:textId="77777777">
            <w:pPr>
              <w:pStyle w:val="TableParagraph"/>
              <w:ind w:left="120"/>
              <w:jc w:val="left"/>
              <w:rPr>
                <w:sz w:val="21"/>
              </w:rPr>
            </w:pPr>
            <w:r>
              <w:rPr>
                <w:spacing w:val="-2"/>
                <w:sz w:val="21"/>
              </w:rPr>
              <w:t>Delaware</w:t>
            </w:r>
          </w:p>
        </w:tc>
        <w:tc>
          <w:tcPr>
            <w:tcW w:w="1272" w:type="dxa"/>
          </w:tcPr>
          <w:p w:rsidR="003F5784" w14:paraId="209664F8" w14:textId="77777777">
            <w:pPr>
              <w:pStyle w:val="TableParagraph"/>
              <w:ind w:right="133"/>
              <w:rPr>
                <w:sz w:val="21"/>
              </w:rPr>
            </w:pPr>
            <w:r>
              <w:rPr>
                <w:spacing w:val="-5"/>
                <w:sz w:val="21"/>
              </w:rPr>
              <w:t>80</w:t>
            </w:r>
          </w:p>
        </w:tc>
        <w:tc>
          <w:tcPr>
            <w:tcW w:w="2055" w:type="dxa"/>
          </w:tcPr>
          <w:p w:rsidR="003F5784" w14:paraId="44AC3C36" w14:textId="77777777">
            <w:pPr>
              <w:pStyle w:val="TableParagraph"/>
              <w:ind w:right="134"/>
              <w:rPr>
                <w:sz w:val="21"/>
              </w:rPr>
            </w:pPr>
            <w:r>
              <w:rPr>
                <w:spacing w:val="-2"/>
                <w:sz w:val="21"/>
              </w:rPr>
              <w:t>100.00</w:t>
            </w:r>
          </w:p>
        </w:tc>
        <w:tc>
          <w:tcPr>
            <w:tcW w:w="1990" w:type="dxa"/>
          </w:tcPr>
          <w:p w:rsidR="003F5784" w14:paraId="1E8EAD59" w14:textId="77777777">
            <w:pPr>
              <w:pStyle w:val="TableParagraph"/>
              <w:ind w:right="166"/>
              <w:rPr>
                <w:sz w:val="21"/>
              </w:rPr>
            </w:pPr>
            <w:r>
              <w:rPr>
                <w:spacing w:val="-2"/>
                <w:sz w:val="21"/>
              </w:rPr>
              <w:t>100.00</w:t>
            </w:r>
          </w:p>
        </w:tc>
        <w:tc>
          <w:tcPr>
            <w:tcW w:w="1304" w:type="dxa"/>
          </w:tcPr>
          <w:p w:rsidR="003F5784" w14:paraId="629CFEFB" w14:textId="77777777">
            <w:pPr>
              <w:pStyle w:val="TableParagraph"/>
              <w:ind w:right="225"/>
              <w:rPr>
                <w:sz w:val="21"/>
              </w:rPr>
            </w:pPr>
            <w:r>
              <w:rPr>
                <w:spacing w:val="-2"/>
                <w:sz w:val="21"/>
              </w:rPr>
              <w:t>2,200</w:t>
            </w:r>
          </w:p>
        </w:tc>
        <w:tc>
          <w:tcPr>
            <w:tcW w:w="1202" w:type="dxa"/>
          </w:tcPr>
          <w:p w:rsidR="003F5784" w14:paraId="3BEEC03F" w14:textId="77777777">
            <w:pPr>
              <w:pStyle w:val="TableParagraph"/>
              <w:ind w:right="135"/>
              <w:rPr>
                <w:sz w:val="21"/>
              </w:rPr>
            </w:pPr>
            <w:r>
              <w:rPr>
                <w:spacing w:val="-4"/>
                <w:sz w:val="21"/>
              </w:rPr>
              <w:t>1.74</w:t>
            </w:r>
          </w:p>
        </w:tc>
        <w:tc>
          <w:tcPr>
            <w:tcW w:w="1738" w:type="dxa"/>
          </w:tcPr>
          <w:p w:rsidR="003F5784" w14:paraId="5151FB4A" w14:textId="77777777">
            <w:pPr>
              <w:pStyle w:val="TableParagraph"/>
              <w:ind w:right="153"/>
              <w:rPr>
                <w:sz w:val="21"/>
              </w:rPr>
            </w:pPr>
            <w:r>
              <w:rPr>
                <w:spacing w:val="-2"/>
                <w:sz w:val="21"/>
              </w:rPr>
              <w:t>91.03</w:t>
            </w:r>
          </w:p>
        </w:tc>
        <w:tc>
          <w:tcPr>
            <w:tcW w:w="1733" w:type="dxa"/>
          </w:tcPr>
          <w:p w:rsidR="003F5784" w14:paraId="51222DE2" w14:textId="77777777">
            <w:pPr>
              <w:pStyle w:val="TableParagraph"/>
              <w:ind w:right="120"/>
              <w:rPr>
                <w:sz w:val="21"/>
              </w:rPr>
            </w:pPr>
            <w:r>
              <w:rPr>
                <w:spacing w:val="-2"/>
                <w:sz w:val="21"/>
              </w:rPr>
              <w:t>17.15</w:t>
            </w:r>
          </w:p>
        </w:tc>
      </w:tr>
      <w:tr w14:paraId="08973EE8" w14:textId="77777777">
        <w:tblPrEx>
          <w:tblW w:w="0" w:type="auto"/>
          <w:tblInd w:w="482" w:type="dxa"/>
          <w:tblLayout w:type="fixed"/>
          <w:tblCellMar>
            <w:left w:w="0" w:type="dxa"/>
            <w:right w:w="0" w:type="dxa"/>
          </w:tblCellMar>
          <w:tblLook w:val="01E0"/>
        </w:tblPrEx>
        <w:trPr>
          <w:trHeight w:val="286"/>
        </w:trPr>
        <w:tc>
          <w:tcPr>
            <w:tcW w:w="2693" w:type="dxa"/>
          </w:tcPr>
          <w:p w:rsidR="003F5784" w14:paraId="6D0E3776" w14:textId="77777777">
            <w:pPr>
              <w:pStyle w:val="TableParagraph"/>
              <w:ind w:left="120"/>
              <w:jc w:val="left"/>
              <w:rPr>
                <w:sz w:val="21"/>
              </w:rPr>
            </w:pPr>
            <w:r>
              <w:rPr>
                <w:sz w:val="21"/>
              </w:rPr>
              <w:t>District</w:t>
            </w:r>
            <w:r>
              <w:rPr>
                <w:spacing w:val="-6"/>
                <w:sz w:val="21"/>
              </w:rPr>
              <w:t xml:space="preserve"> </w:t>
            </w:r>
            <w:r>
              <w:rPr>
                <w:sz w:val="21"/>
              </w:rPr>
              <w:t>of</w:t>
            </w:r>
            <w:r>
              <w:rPr>
                <w:spacing w:val="-5"/>
                <w:sz w:val="21"/>
              </w:rPr>
              <w:t xml:space="preserve"> </w:t>
            </w:r>
            <w:r>
              <w:rPr>
                <w:spacing w:val="-2"/>
                <w:sz w:val="21"/>
              </w:rPr>
              <w:t>Columbia</w:t>
            </w:r>
          </w:p>
        </w:tc>
        <w:tc>
          <w:tcPr>
            <w:tcW w:w="1272" w:type="dxa"/>
          </w:tcPr>
          <w:p w:rsidR="003F5784" w14:paraId="55729889" w14:textId="77777777">
            <w:pPr>
              <w:pStyle w:val="TableParagraph"/>
              <w:ind w:right="133"/>
              <w:rPr>
                <w:sz w:val="21"/>
              </w:rPr>
            </w:pPr>
            <w:r>
              <w:rPr>
                <w:spacing w:val="-5"/>
                <w:sz w:val="21"/>
              </w:rPr>
              <w:t>90</w:t>
            </w:r>
          </w:p>
        </w:tc>
        <w:tc>
          <w:tcPr>
            <w:tcW w:w="2055" w:type="dxa"/>
          </w:tcPr>
          <w:p w:rsidR="003F5784" w14:paraId="2852A48D" w14:textId="77777777">
            <w:pPr>
              <w:pStyle w:val="TableParagraph"/>
              <w:ind w:right="134"/>
              <w:rPr>
                <w:sz w:val="21"/>
              </w:rPr>
            </w:pPr>
            <w:r>
              <w:rPr>
                <w:spacing w:val="-2"/>
                <w:sz w:val="21"/>
              </w:rPr>
              <w:t>100.00</w:t>
            </w:r>
          </w:p>
        </w:tc>
        <w:tc>
          <w:tcPr>
            <w:tcW w:w="1990" w:type="dxa"/>
          </w:tcPr>
          <w:p w:rsidR="003F5784" w14:paraId="057F7477" w14:textId="77777777">
            <w:pPr>
              <w:pStyle w:val="TableParagraph"/>
              <w:ind w:right="166"/>
              <w:rPr>
                <w:sz w:val="21"/>
              </w:rPr>
            </w:pPr>
            <w:r>
              <w:rPr>
                <w:spacing w:val="-2"/>
                <w:sz w:val="21"/>
              </w:rPr>
              <w:t>100.00</w:t>
            </w:r>
          </w:p>
        </w:tc>
        <w:tc>
          <w:tcPr>
            <w:tcW w:w="1304" w:type="dxa"/>
          </w:tcPr>
          <w:p w:rsidR="003F5784" w14:paraId="05A3B866" w14:textId="77777777">
            <w:pPr>
              <w:pStyle w:val="TableParagraph"/>
              <w:ind w:right="225"/>
              <w:rPr>
                <w:sz w:val="21"/>
              </w:rPr>
            </w:pPr>
            <w:r>
              <w:rPr>
                <w:spacing w:val="-2"/>
                <w:sz w:val="21"/>
              </w:rPr>
              <w:t>2,100</w:t>
            </w:r>
          </w:p>
        </w:tc>
        <w:tc>
          <w:tcPr>
            <w:tcW w:w="1202" w:type="dxa"/>
          </w:tcPr>
          <w:p w:rsidR="003F5784" w14:paraId="74E5D93F" w14:textId="77777777">
            <w:pPr>
              <w:pStyle w:val="TableParagraph"/>
              <w:ind w:right="135"/>
              <w:rPr>
                <w:sz w:val="21"/>
              </w:rPr>
            </w:pPr>
            <w:r>
              <w:rPr>
                <w:spacing w:val="-4"/>
                <w:sz w:val="21"/>
              </w:rPr>
              <w:t>2.25</w:t>
            </w:r>
          </w:p>
        </w:tc>
        <w:tc>
          <w:tcPr>
            <w:tcW w:w="1738" w:type="dxa"/>
          </w:tcPr>
          <w:p w:rsidR="003F5784" w14:paraId="30CC4EEF" w14:textId="77777777">
            <w:pPr>
              <w:pStyle w:val="TableParagraph"/>
              <w:ind w:right="153"/>
              <w:rPr>
                <w:sz w:val="21"/>
              </w:rPr>
            </w:pPr>
            <w:r>
              <w:rPr>
                <w:spacing w:val="-2"/>
                <w:sz w:val="21"/>
              </w:rPr>
              <w:t>88.24</w:t>
            </w:r>
          </w:p>
        </w:tc>
        <w:tc>
          <w:tcPr>
            <w:tcW w:w="1733" w:type="dxa"/>
          </w:tcPr>
          <w:p w:rsidR="003F5784" w14:paraId="28FCE2D8" w14:textId="77777777">
            <w:pPr>
              <w:pStyle w:val="TableParagraph"/>
              <w:ind w:right="120"/>
              <w:rPr>
                <w:sz w:val="21"/>
              </w:rPr>
            </w:pPr>
            <w:r>
              <w:rPr>
                <w:spacing w:val="-2"/>
                <w:sz w:val="21"/>
              </w:rPr>
              <w:t>25.53</w:t>
            </w:r>
          </w:p>
        </w:tc>
      </w:tr>
      <w:tr w14:paraId="4D258E1E" w14:textId="77777777">
        <w:tblPrEx>
          <w:tblW w:w="0" w:type="auto"/>
          <w:tblInd w:w="482" w:type="dxa"/>
          <w:tblLayout w:type="fixed"/>
          <w:tblCellMar>
            <w:left w:w="0" w:type="dxa"/>
            <w:right w:w="0" w:type="dxa"/>
          </w:tblCellMar>
          <w:tblLook w:val="01E0"/>
        </w:tblPrEx>
        <w:trPr>
          <w:trHeight w:val="286"/>
        </w:trPr>
        <w:tc>
          <w:tcPr>
            <w:tcW w:w="2693" w:type="dxa"/>
          </w:tcPr>
          <w:p w:rsidR="003F5784" w14:paraId="2D54F3DE" w14:textId="77777777">
            <w:pPr>
              <w:pStyle w:val="TableParagraph"/>
              <w:ind w:left="120"/>
              <w:jc w:val="left"/>
              <w:rPr>
                <w:sz w:val="21"/>
              </w:rPr>
            </w:pPr>
            <w:r>
              <w:rPr>
                <w:spacing w:val="-2"/>
                <w:sz w:val="21"/>
              </w:rPr>
              <w:t>Florida</w:t>
            </w:r>
          </w:p>
        </w:tc>
        <w:tc>
          <w:tcPr>
            <w:tcW w:w="1272" w:type="dxa"/>
          </w:tcPr>
          <w:p w:rsidR="003F5784" w14:paraId="2F1C5E39" w14:textId="77777777">
            <w:pPr>
              <w:pStyle w:val="TableParagraph"/>
              <w:ind w:right="133"/>
              <w:rPr>
                <w:sz w:val="21"/>
              </w:rPr>
            </w:pPr>
            <w:r>
              <w:rPr>
                <w:spacing w:val="-5"/>
                <w:sz w:val="21"/>
              </w:rPr>
              <w:t>210</w:t>
            </w:r>
          </w:p>
        </w:tc>
        <w:tc>
          <w:tcPr>
            <w:tcW w:w="2055" w:type="dxa"/>
          </w:tcPr>
          <w:p w:rsidR="003F5784" w14:paraId="6E576AA0" w14:textId="77777777">
            <w:pPr>
              <w:pStyle w:val="TableParagraph"/>
              <w:ind w:right="134"/>
              <w:rPr>
                <w:sz w:val="21"/>
              </w:rPr>
            </w:pPr>
            <w:r>
              <w:rPr>
                <w:spacing w:val="-2"/>
                <w:sz w:val="21"/>
              </w:rPr>
              <w:t>100.00</w:t>
            </w:r>
          </w:p>
        </w:tc>
        <w:tc>
          <w:tcPr>
            <w:tcW w:w="1990" w:type="dxa"/>
          </w:tcPr>
          <w:p w:rsidR="003F5784" w14:paraId="2AA265A0" w14:textId="77777777">
            <w:pPr>
              <w:pStyle w:val="TableParagraph"/>
              <w:ind w:right="166"/>
              <w:rPr>
                <w:sz w:val="21"/>
              </w:rPr>
            </w:pPr>
            <w:r>
              <w:rPr>
                <w:spacing w:val="-2"/>
                <w:sz w:val="21"/>
              </w:rPr>
              <w:t>100.00</w:t>
            </w:r>
          </w:p>
        </w:tc>
        <w:tc>
          <w:tcPr>
            <w:tcW w:w="1304" w:type="dxa"/>
          </w:tcPr>
          <w:p w:rsidR="003F5784" w14:paraId="33217B60" w14:textId="77777777">
            <w:pPr>
              <w:pStyle w:val="TableParagraph"/>
              <w:ind w:right="225"/>
              <w:rPr>
                <w:sz w:val="21"/>
              </w:rPr>
            </w:pPr>
            <w:r>
              <w:rPr>
                <w:spacing w:val="-2"/>
                <w:sz w:val="21"/>
              </w:rPr>
              <w:t>5,400</w:t>
            </w:r>
          </w:p>
        </w:tc>
        <w:tc>
          <w:tcPr>
            <w:tcW w:w="1202" w:type="dxa"/>
          </w:tcPr>
          <w:p w:rsidR="003F5784" w14:paraId="2686D9F5" w14:textId="77777777">
            <w:pPr>
              <w:pStyle w:val="TableParagraph"/>
              <w:ind w:right="135"/>
              <w:rPr>
                <w:sz w:val="21"/>
              </w:rPr>
            </w:pPr>
            <w:r>
              <w:rPr>
                <w:spacing w:val="-4"/>
                <w:sz w:val="21"/>
              </w:rPr>
              <w:t>2.69</w:t>
            </w:r>
          </w:p>
        </w:tc>
        <w:tc>
          <w:tcPr>
            <w:tcW w:w="1738" w:type="dxa"/>
          </w:tcPr>
          <w:p w:rsidR="003F5784" w14:paraId="1E645BCE" w14:textId="77777777">
            <w:pPr>
              <w:pStyle w:val="TableParagraph"/>
              <w:ind w:right="153"/>
              <w:rPr>
                <w:sz w:val="21"/>
              </w:rPr>
            </w:pPr>
            <w:r>
              <w:rPr>
                <w:spacing w:val="-2"/>
                <w:sz w:val="21"/>
              </w:rPr>
              <w:t>91.80</w:t>
            </w:r>
          </w:p>
        </w:tc>
        <w:tc>
          <w:tcPr>
            <w:tcW w:w="1733" w:type="dxa"/>
          </w:tcPr>
          <w:p w:rsidR="003F5784" w14:paraId="0B22B279" w14:textId="77777777">
            <w:pPr>
              <w:pStyle w:val="TableParagraph"/>
              <w:ind w:right="120"/>
              <w:rPr>
                <w:sz w:val="21"/>
              </w:rPr>
            </w:pPr>
            <w:r>
              <w:rPr>
                <w:spacing w:val="-2"/>
                <w:sz w:val="21"/>
              </w:rPr>
              <w:t>21.68</w:t>
            </w:r>
          </w:p>
        </w:tc>
      </w:tr>
      <w:tr w14:paraId="5565030E" w14:textId="77777777">
        <w:tblPrEx>
          <w:tblW w:w="0" w:type="auto"/>
          <w:tblInd w:w="482" w:type="dxa"/>
          <w:tblLayout w:type="fixed"/>
          <w:tblCellMar>
            <w:left w:w="0" w:type="dxa"/>
            <w:right w:w="0" w:type="dxa"/>
          </w:tblCellMar>
          <w:tblLook w:val="01E0"/>
        </w:tblPrEx>
        <w:trPr>
          <w:trHeight w:val="286"/>
        </w:trPr>
        <w:tc>
          <w:tcPr>
            <w:tcW w:w="2693" w:type="dxa"/>
          </w:tcPr>
          <w:p w:rsidR="003F5784" w14:paraId="34C9FDA6" w14:textId="77777777">
            <w:pPr>
              <w:pStyle w:val="TableParagraph"/>
              <w:ind w:left="120"/>
              <w:jc w:val="left"/>
              <w:rPr>
                <w:sz w:val="21"/>
              </w:rPr>
            </w:pPr>
            <w:r>
              <w:rPr>
                <w:spacing w:val="-2"/>
                <w:sz w:val="21"/>
              </w:rPr>
              <w:t>Georgia</w:t>
            </w:r>
          </w:p>
        </w:tc>
        <w:tc>
          <w:tcPr>
            <w:tcW w:w="1272" w:type="dxa"/>
          </w:tcPr>
          <w:p w:rsidR="003F5784" w14:paraId="4414A099" w14:textId="77777777">
            <w:pPr>
              <w:pStyle w:val="TableParagraph"/>
              <w:ind w:right="133"/>
              <w:rPr>
                <w:sz w:val="21"/>
              </w:rPr>
            </w:pPr>
            <w:r>
              <w:rPr>
                <w:spacing w:val="-5"/>
                <w:sz w:val="21"/>
              </w:rPr>
              <w:t>120</w:t>
            </w:r>
          </w:p>
        </w:tc>
        <w:tc>
          <w:tcPr>
            <w:tcW w:w="2055" w:type="dxa"/>
          </w:tcPr>
          <w:p w:rsidR="003F5784" w14:paraId="6661D882" w14:textId="77777777">
            <w:pPr>
              <w:pStyle w:val="TableParagraph"/>
              <w:ind w:right="134"/>
              <w:rPr>
                <w:sz w:val="21"/>
              </w:rPr>
            </w:pPr>
            <w:r>
              <w:rPr>
                <w:spacing w:val="-2"/>
                <w:sz w:val="21"/>
              </w:rPr>
              <w:t>96.17</w:t>
            </w:r>
          </w:p>
        </w:tc>
        <w:tc>
          <w:tcPr>
            <w:tcW w:w="1990" w:type="dxa"/>
          </w:tcPr>
          <w:p w:rsidR="003F5784" w14:paraId="52BBE5A4" w14:textId="77777777">
            <w:pPr>
              <w:pStyle w:val="TableParagraph"/>
              <w:ind w:right="166"/>
              <w:rPr>
                <w:sz w:val="21"/>
              </w:rPr>
            </w:pPr>
            <w:r>
              <w:rPr>
                <w:spacing w:val="-2"/>
                <w:sz w:val="21"/>
              </w:rPr>
              <w:t>96.07</w:t>
            </w:r>
          </w:p>
        </w:tc>
        <w:tc>
          <w:tcPr>
            <w:tcW w:w="1304" w:type="dxa"/>
          </w:tcPr>
          <w:p w:rsidR="003F5784" w14:paraId="0D65AC6F" w14:textId="77777777">
            <w:pPr>
              <w:pStyle w:val="TableParagraph"/>
              <w:ind w:right="225"/>
              <w:rPr>
                <w:sz w:val="21"/>
              </w:rPr>
            </w:pPr>
            <w:r>
              <w:rPr>
                <w:spacing w:val="-2"/>
                <w:sz w:val="21"/>
              </w:rPr>
              <w:t>3,100</w:t>
            </w:r>
          </w:p>
        </w:tc>
        <w:tc>
          <w:tcPr>
            <w:tcW w:w="1202" w:type="dxa"/>
          </w:tcPr>
          <w:p w:rsidR="003F5784" w14:paraId="1094C85D" w14:textId="77777777">
            <w:pPr>
              <w:pStyle w:val="TableParagraph"/>
              <w:ind w:right="135"/>
              <w:rPr>
                <w:sz w:val="21"/>
              </w:rPr>
            </w:pPr>
            <w:r>
              <w:rPr>
                <w:spacing w:val="-4"/>
                <w:sz w:val="21"/>
              </w:rPr>
              <w:t>1.40</w:t>
            </w:r>
          </w:p>
        </w:tc>
        <w:tc>
          <w:tcPr>
            <w:tcW w:w="1738" w:type="dxa"/>
          </w:tcPr>
          <w:p w:rsidR="003F5784" w14:paraId="36D74771" w14:textId="77777777">
            <w:pPr>
              <w:pStyle w:val="TableParagraph"/>
              <w:ind w:right="153"/>
              <w:rPr>
                <w:sz w:val="21"/>
              </w:rPr>
            </w:pPr>
            <w:r>
              <w:rPr>
                <w:spacing w:val="-2"/>
                <w:sz w:val="21"/>
              </w:rPr>
              <w:t>92.84</w:t>
            </w:r>
          </w:p>
        </w:tc>
        <w:tc>
          <w:tcPr>
            <w:tcW w:w="1733" w:type="dxa"/>
          </w:tcPr>
          <w:p w:rsidR="003F5784" w14:paraId="7BDC819B" w14:textId="77777777">
            <w:pPr>
              <w:pStyle w:val="TableParagraph"/>
              <w:ind w:right="120"/>
              <w:rPr>
                <w:sz w:val="21"/>
              </w:rPr>
            </w:pPr>
            <w:r>
              <w:rPr>
                <w:spacing w:val="-2"/>
                <w:sz w:val="21"/>
              </w:rPr>
              <w:t>15.03</w:t>
            </w:r>
          </w:p>
        </w:tc>
      </w:tr>
      <w:tr w14:paraId="2CF2A5A7" w14:textId="77777777">
        <w:tblPrEx>
          <w:tblW w:w="0" w:type="auto"/>
          <w:tblInd w:w="482" w:type="dxa"/>
          <w:tblLayout w:type="fixed"/>
          <w:tblCellMar>
            <w:left w:w="0" w:type="dxa"/>
            <w:right w:w="0" w:type="dxa"/>
          </w:tblCellMar>
          <w:tblLook w:val="01E0"/>
        </w:tblPrEx>
        <w:trPr>
          <w:trHeight w:val="286"/>
        </w:trPr>
        <w:tc>
          <w:tcPr>
            <w:tcW w:w="2693" w:type="dxa"/>
          </w:tcPr>
          <w:p w:rsidR="003F5784" w14:paraId="1F3311B8" w14:textId="77777777">
            <w:pPr>
              <w:pStyle w:val="TableParagraph"/>
              <w:ind w:left="120"/>
              <w:jc w:val="left"/>
              <w:rPr>
                <w:sz w:val="21"/>
              </w:rPr>
            </w:pPr>
            <w:r>
              <w:rPr>
                <w:spacing w:val="-2"/>
                <w:sz w:val="21"/>
              </w:rPr>
              <w:t>Hawaii</w:t>
            </w:r>
          </w:p>
        </w:tc>
        <w:tc>
          <w:tcPr>
            <w:tcW w:w="1272" w:type="dxa"/>
          </w:tcPr>
          <w:p w:rsidR="003F5784" w14:paraId="053B8D53" w14:textId="77777777">
            <w:pPr>
              <w:pStyle w:val="TableParagraph"/>
              <w:ind w:right="133"/>
              <w:rPr>
                <w:sz w:val="21"/>
              </w:rPr>
            </w:pPr>
            <w:r>
              <w:rPr>
                <w:spacing w:val="-5"/>
                <w:sz w:val="21"/>
              </w:rPr>
              <w:t>90</w:t>
            </w:r>
          </w:p>
        </w:tc>
        <w:tc>
          <w:tcPr>
            <w:tcW w:w="2055" w:type="dxa"/>
          </w:tcPr>
          <w:p w:rsidR="003F5784" w14:paraId="58A95595" w14:textId="77777777">
            <w:pPr>
              <w:pStyle w:val="TableParagraph"/>
              <w:ind w:right="134"/>
              <w:rPr>
                <w:sz w:val="21"/>
              </w:rPr>
            </w:pPr>
            <w:r>
              <w:rPr>
                <w:spacing w:val="-2"/>
                <w:sz w:val="21"/>
              </w:rPr>
              <w:t>100.00</w:t>
            </w:r>
          </w:p>
        </w:tc>
        <w:tc>
          <w:tcPr>
            <w:tcW w:w="1990" w:type="dxa"/>
          </w:tcPr>
          <w:p w:rsidR="003F5784" w14:paraId="73452A50" w14:textId="77777777">
            <w:pPr>
              <w:pStyle w:val="TableParagraph"/>
              <w:ind w:right="166"/>
              <w:rPr>
                <w:sz w:val="21"/>
              </w:rPr>
            </w:pPr>
            <w:r>
              <w:rPr>
                <w:spacing w:val="-2"/>
                <w:sz w:val="21"/>
              </w:rPr>
              <w:t>100.00</w:t>
            </w:r>
          </w:p>
        </w:tc>
        <w:tc>
          <w:tcPr>
            <w:tcW w:w="1304" w:type="dxa"/>
          </w:tcPr>
          <w:p w:rsidR="003F5784" w14:paraId="3F754290" w14:textId="77777777">
            <w:pPr>
              <w:pStyle w:val="TableParagraph"/>
              <w:ind w:right="225"/>
              <w:rPr>
                <w:sz w:val="21"/>
              </w:rPr>
            </w:pPr>
            <w:r>
              <w:rPr>
                <w:spacing w:val="-2"/>
                <w:sz w:val="21"/>
              </w:rPr>
              <w:t>2,200</w:t>
            </w:r>
          </w:p>
        </w:tc>
        <w:tc>
          <w:tcPr>
            <w:tcW w:w="1202" w:type="dxa"/>
          </w:tcPr>
          <w:p w:rsidR="003F5784" w14:paraId="10875FC3" w14:textId="77777777">
            <w:pPr>
              <w:pStyle w:val="TableParagraph"/>
              <w:ind w:right="135"/>
              <w:rPr>
                <w:sz w:val="21"/>
              </w:rPr>
            </w:pPr>
            <w:r>
              <w:rPr>
                <w:spacing w:val="-4"/>
                <w:sz w:val="21"/>
              </w:rPr>
              <w:t>1.62</w:t>
            </w:r>
          </w:p>
        </w:tc>
        <w:tc>
          <w:tcPr>
            <w:tcW w:w="1738" w:type="dxa"/>
          </w:tcPr>
          <w:p w:rsidR="003F5784" w14:paraId="34718053" w14:textId="77777777">
            <w:pPr>
              <w:pStyle w:val="TableParagraph"/>
              <w:ind w:right="153"/>
              <w:rPr>
                <w:sz w:val="21"/>
              </w:rPr>
            </w:pPr>
            <w:r>
              <w:rPr>
                <w:spacing w:val="-2"/>
                <w:sz w:val="21"/>
              </w:rPr>
              <w:t>88.53</w:t>
            </w:r>
          </w:p>
        </w:tc>
        <w:tc>
          <w:tcPr>
            <w:tcW w:w="1733" w:type="dxa"/>
          </w:tcPr>
          <w:p w:rsidR="003F5784" w14:paraId="0154CABF" w14:textId="77777777">
            <w:pPr>
              <w:pStyle w:val="TableParagraph"/>
              <w:ind w:right="120"/>
              <w:rPr>
                <w:sz w:val="21"/>
              </w:rPr>
            </w:pPr>
            <w:r>
              <w:rPr>
                <w:spacing w:val="-4"/>
                <w:sz w:val="21"/>
              </w:rPr>
              <w:t>6.55</w:t>
            </w:r>
          </w:p>
        </w:tc>
      </w:tr>
      <w:tr w14:paraId="6C6B27B8" w14:textId="77777777">
        <w:tblPrEx>
          <w:tblW w:w="0" w:type="auto"/>
          <w:tblInd w:w="482" w:type="dxa"/>
          <w:tblLayout w:type="fixed"/>
          <w:tblCellMar>
            <w:left w:w="0" w:type="dxa"/>
            <w:right w:w="0" w:type="dxa"/>
          </w:tblCellMar>
          <w:tblLook w:val="01E0"/>
        </w:tblPrEx>
        <w:trPr>
          <w:trHeight w:val="286"/>
        </w:trPr>
        <w:tc>
          <w:tcPr>
            <w:tcW w:w="2693" w:type="dxa"/>
          </w:tcPr>
          <w:p w:rsidR="003F5784" w14:paraId="73C9CE35" w14:textId="77777777">
            <w:pPr>
              <w:pStyle w:val="TableParagraph"/>
              <w:ind w:left="120"/>
              <w:jc w:val="left"/>
              <w:rPr>
                <w:sz w:val="21"/>
              </w:rPr>
            </w:pPr>
            <w:r>
              <w:rPr>
                <w:spacing w:val="-2"/>
                <w:sz w:val="21"/>
              </w:rPr>
              <w:t>Idaho</w:t>
            </w:r>
          </w:p>
        </w:tc>
        <w:tc>
          <w:tcPr>
            <w:tcW w:w="1272" w:type="dxa"/>
          </w:tcPr>
          <w:p w:rsidR="003F5784" w14:paraId="1FF8CB18" w14:textId="77777777">
            <w:pPr>
              <w:pStyle w:val="TableParagraph"/>
              <w:ind w:right="133"/>
              <w:rPr>
                <w:sz w:val="21"/>
              </w:rPr>
            </w:pPr>
            <w:r>
              <w:rPr>
                <w:spacing w:val="-5"/>
                <w:sz w:val="21"/>
              </w:rPr>
              <w:t>90</w:t>
            </w:r>
          </w:p>
        </w:tc>
        <w:tc>
          <w:tcPr>
            <w:tcW w:w="2055" w:type="dxa"/>
          </w:tcPr>
          <w:p w:rsidR="003F5784" w14:paraId="26940EF1" w14:textId="77777777">
            <w:pPr>
              <w:pStyle w:val="TableParagraph"/>
              <w:ind w:right="134"/>
              <w:rPr>
                <w:sz w:val="21"/>
              </w:rPr>
            </w:pPr>
            <w:r>
              <w:rPr>
                <w:spacing w:val="-2"/>
                <w:sz w:val="21"/>
              </w:rPr>
              <w:t>100.00</w:t>
            </w:r>
          </w:p>
        </w:tc>
        <w:tc>
          <w:tcPr>
            <w:tcW w:w="1990" w:type="dxa"/>
          </w:tcPr>
          <w:p w:rsidR="003F5784" w14:paraId="190E085F" w14:textId="77777777">
            <w:pPr>
              <w:pStyle w:val="TableParagraph"/>
              <w:ind w:right="166"/>
              <w:rPr>
                <w:sz w:val="21"/>
              </w:rPr>
            </w:pPr>
            <w:r>
              <w:rPr>
                <w:spacing w:val="-2"/>
                <w:sz w:val="21"/>
              </w:rPr>
              <w:t>100.00</w:t>
            </w:r>
          </w:p>
        </w:tc>
        <w:tc>
          <w:tcPr>
            <w:tcW w:w="1304" w:type="dxa"/>
          </w:tcPr>
          <w:p w:rsidR="003F5784" w14:paraId="4A63EFAA" w14:textId="77777777">
            <w:pPr>
              <w:pStyle w:val="TableParagraph"/>
              <w:ind w:right="225"/>
              <w:rPr>
                <w:sz w:val="21"/>
              </w:rPr>
            </w:pPr>
            <w:r>
              <w:rPr>
                <w:spacing w:val="-2"/>
                <w:sz w:val="21"/>
              </w:rPr>
              <w:t>2,000</w:t>
            </w:r>
          </w:p>
        </w:tc>
        <w:tc>
          <w:tcPr>
            <w:tcW w:w="1202" w:type="dxa"/>
          </w:tcPr>
          <w:p w:rsidR="003F5784" w14:paraId="76EE2DB6" w14:textId="77777777">
            <w:pPr>
              <w:pStyle w:val="TableParagraph"/>
              <w:ind w:right="135"/>
              <w:rPr>
                <w:sz w:val="21"/>
              </w:rPr>
            </w:pPr>
            <w:r>
              <w:rPr>
                <w:spacing w:val="-4"/>
                <w:sz w:val="21"/>
              </w:rPr>
              <w:t>0.92</w:t>
            </w:r>
          </w:p>
        </w:tc>
        <w:tc>
          <w:tcPr>
            <w:tcW w:w="1738" w:type="dxa"/>
          </w:tcPr>
          <w:p w:rsidR="003F5784" w14:paraId="2A5CA0F8" w14:textId="77777777">
            <w:pPr>
              <w:pStyle w:val="TableParagraph"/>
              <w:ind w:right="153"/>
              <w:rPr>
                <w:sz w:val="21"/>
              </w:rPr>
            </w:pPr>
            <w:r>
              <w:rPr>
                <w:spacing w:val="-2"/>
                <w:sz w:val="21"/>
              </w:rPr>
              <w:t>93.22</w:t>
            </w:r>
          </w:p>
        </w:tc>
        <w:tc>
          <w:tcPr>
            <w:tcW w:w="1733" w:type="dxa"/>
          </w:tcPr>
          <w:p w:rsidR="003F5784" w14:paraId="3E981BB1" w14:textId="77777777">
            <w:pPr>
              <w:pStyle w:val="TableParagraph"/>
              <w:ind w:right="120"/>
              <w:rPr>
                <w:sz w:val="21"/>
              </w:rPr>
            </w:pPr>
            <w:r>
              <w:rPr>
                <w:spacing w:val="-2"/>
                <w:sz w:val="21"/>
              </w:rPr>
              <w:t>10.07</w:t>
            </w:r>
          </w:p>
        </w:tc>
      </w:tr>
      <w:tr w14:paraId="1EFA7AAF" w14:textId="77777777">
        <w:tblPrEx>
          <w:tblW w:w="0" w:type="auto"/>
          <w:tblInd w:w="482" w:type="dxa"/>
          <w:tblLayout w:type="fixed"/>
          <w:tblCellMar>
            <w:left w:w="0" w:type="dxa"/>
            <w:right w:w="0" w:type="dxa"/>
          </w:tblCellMar>
          <w:tblLook w:val="01E0"/>
        </w:tblPrEx>
        <w:trPr>
          <w:trHeight w:val="286"/>
        </w:trPr>
        <w:tc>
          <w:tcPr>
            <w:tcW w:w="2693" w:type="dxa"/>
          </w:tcPr>
          <w:p w:rsidR="003F5784" w14:paraId="65DFB68D" w14:textId="77777777">
            <w:pPr>
              <w:pStyle w:val="TableParagraph"/>
              <w:ind w:left="120"/>
              <w:jc w:val="left"/>
              <w:rPr>
                <w:sz w:val="21"/>
              </w:rPr>
            </w:pPr>
            <w:r>
              <w:rPr>
                <w:spacing w:val="-2"/>
                <w:sz w:val="21"/>
              </w:rPr>
              <w:t>Illinois</w:t>
            </w:r>
          </w:p>
        </w:tc>
        <w:tc>
          <w:tcPr>
            <w:tcW w:w="1272" w:type="dxa"/>
          </w:tcPr>
          <w:p w:rsidR="003F5784" w14:paraId="526B310A" w14:textId="77777777">
            <w:pPr>
              <w:pStyle w:val="TableParagraph"/>
              <w:ind w:right="133"/>
              <w:rPr>
                <w:sz w:val="21"/>
              </w:rPr>
            </w:pPr>
            <w:r>
              <w:rPr>
                <w:spacing w:val="-5"/>
                <w:sz w:val="21"/>
              </w:rPr>
              <w:t>150</w:t>
            </w:r>
          </w:p>
        </w:tc>
        <w:tc>
          <w:tcPr>
            <w:tcW w:w="2055" w:type="dxa"/>
          </w:tcPr>
          <w:p w:rsidR="003F5784" w14:paraId="75452319" w14:textId="77777777">
            <w:pPr>
              <w:pStyle w:val="TableParagraph"/>
              <w:ind w:right="134"/>
              <w:rPr>
                <w:sz w:val="21"/>
              </w:rPr>
            </w:pPr>
            <w:r>
              <w:rPr>
                <w:spacing w:val="-2"/>
                <w:sz w:val="21"/>
              </w:rPr>
              <w:t>100.00</w:t>
            </w:r>
          </w:p>
        </w:tc>
        <w:tc>
          <w:tcPr>
            <w:tcW w:w="1990" w:type="dxa"/>
          </w:tcPr>
          <w:p w:rsidR="003F5784" w14:paraId="78606772" w14:textId="77777777">
            <w:pPr>
              <w:pStyle w:val="TableParagraph"/>
              <w:ind w:right="166"/>
              <w:rPr>
                <w:sz w:val="21"/>
              </w:rPr>
            </w:pPr>
            <w:r>
              <w:rPr>
                <w:spacing w:val="-2"/>
                <w:sz w:val="21"/>
              </w:rPr>
              <w:t>100.00</w:t>
            </w:r>
          </w:p>
        </w:tc>
        <w:tc>
          <w:tcPr>
            <w:tcW w:w="1304" w:type="dxa"/>
          </w:tcPr>
          <w:p w:rsidR="003F5784" w14:paraId="256D79E0" w14:textId="77777777">
            <w:pPr>
              <w:pStyle w:val="TableParagraph"/>
              <w:ind w:right="225"/>
              <w:rPr>
                <w:sz w:val="21"/>
              </w:rPr>
            </w:pPr>
            <w:r>
              <w:rPr>
                <w:spacing w:val="-2"/>
                <w:sz w:val="21"/>
              </w:rPr>
              <w:t>3,200</w:t>
            </w:r>
          </w:p>
        </w:tc>
        <w:tc>
          <w:tcPr>
            <w:tcW w:w="1202" w:type="dxa"/>
          </w:tcPr>
          <w:p w:rsidR="003F5784" w14:paraId="73E94AC8" w14:textId="77777777">
            <w:pPr>
              <w:pStyle w:val="TableParagraph"/>
              <w:ind w:right="135"/>
              <w:rPr>
                <w:sz w:val="21"/>
              </w:rPr>
            </w:pPr>
            <w:r>
              <w:rPr>
                <w:spacing w:val="-4"/>
                <w:sz w:val="21"/>
              </w:rPr>
              <w:t>1.32</w:t>
            </w:r>
          </w:p>
        </w:tc>
        <w:tc>
          <w:tcPr>
            <w:tcW w:w="1738" w:type="dxa"/>
          </w:tcPr>
          <w:p w:rsidR="003F5784" w14:paraId="57E6D4A3" w14:textId="77777777">
            <w:pPr>
              <w:pStyle w:val="TableParagraph"/>
              <w:ind w:right="153"/>
              <w:rPr>
                <w:sz w:val="21"/>
              </w:rPr>
            </w:pPr>
            <w:r>
              <w:rPr>
                <w:spacing w:val="-2"/>
                <w:sz w:val="21"/>
              </w:rPr>
              <w:t>91.19</w:t>
            </w:r>
          </w:p>
        </w:tc>
        <w:tc>
          <w:tcPr>
            <w:tcW w:w="1733" w:type="dxa"/>
          </w:tcPr>
          <w:p w:rsidR="003F5784" w14:paraId="4D786654" w14:textId="77777777">
            <w:pPr>
              <w:pStyle w:val="TableParagraph"/>
              <w:ind w:right="120"/>
              <w:rPr>
                <w:sz w:val="21"/>
              </w:rPr>
            </w:pPr>
            <w:r>
              <w:rPr>
                <w:spacing w:val="-2"/>
                <w:sz w:val="21"/>
              </w:rPr>
              <w:t>19.24</w:t>
            </w:r>
          </w:p>
        </w:tc>
      </w:tr>
      <w:tr w14:paraId="3218EAD5" w14:textId="77777777">
        <w:tblPrEx>
          <w:tblW w:w="0" w:type="auto"/>
          <w:tblInd w:w="482" w:type="dxa"/>
          <w:tblLayout w:type="fixed"/>
          <w:tblCellMar>
            <w:left w:w="0" w:type="dxa"/>
            <w:right w:w="0" w:type="dxa"/>
          </w:tblCellMar>
          <w:tblLook w:val="01E0"/>
        </w:tblPrEx>
        <w:trPr>
          <w:trHeight w:val="286"/>
        </w:trPr>
        <w:tc>
          <w:tcPr>
            <w:tcW w:w="2693" w:type="dxa"/>
          </w:tcPr>
          <w:p w:rsidR="003F5784" w14:paraId="0A416112" w14:textId="77777777">
            <w:pPr>
              <w:pStyle w:val="TableParagraph"/>
              <w:ind w:left="120"/>
              <w:jc w:val="left"/>
              <w:rPr>
                <w:sz w:val="21"/>
              </w:rPr>
            </w:pPr>
            <w:r>
              <w:rPr>
                <w:spacing w:val="-2"/>
                <w:sz w:val="21"/>
              </w:rPr>
              <w:t>Indiana</w:t>
            </w:r>
          </w:p>
        </w:tc>
        <w:tc>
          <w:tcPr>
            <w:tcW w:w="1272" w:type="dxa"/>
          </w:tcPr>
          <w:p w:rsidR="003F5784" w14:paraId="0935ACAF" w14:textId="77777777">
            <w:pPr>
              <w:pStyle w:val="TableParagraph"/>
              <w:ind w:right="133"/>
              <w:rPr>
                <w:sz w:val="21"/>
              </w:rPr>
            </w:pPr>
            <w:r>
              <w:rPr>
                <w:spacing w:val="-5"/>
                <w:sz w:val="21"/>
              </w:rPr>
              <w:t>90</w:t>
            </w:r>
          </w:p>
        </w:tc>
        <w:tc>
          <w:tcPr>
            <w:tcW w:w="2055" w:type="dxa"/>
          </w:tcPr>
          <w:p w:rsidR="003F5784" w14:paraId="6B2E7171" w14:textId="77777777">
            <w:pPr>
              <w:pStyle w:val="TableParagraph"/>
              <w:ind w:right="134"/>
              <w:rPr>
                <w:sz w:val="21"/>
              </w:rPr>
            </w:pPr>
            <w:r>
              <w:rPr>
                <w:spacing w:val="-2"/>
                <w:sz w:val="21"/>
              </w:rPr>
              <w:t>98.63</w:t>
            </w:r>
          </w:p>
        </w:tc>
        <w:tc>
          <w:tcPr>
            <w:tcW w:w="1990" w:type="dxa"/>
          </w:tcPr>
          <w:p w:rsidR="003F5784" w14:paraId="6FC2DAE8" w14:textId="77777777">
            <w:pPr>
              <w:pStyle w:val="TableParagraph"/>
              <w:ind w:right="166"/>
              <w:rPr>
                <w:sz w:val="21"/>
              </w:rPr>
            </w:pPr>
            <w:r>
              <w:rPr>
                <w:spacing w:val="-2"/>
                <w:sz w:val="21"/>
              </w:rPr>
              <w:t>99.22</w:t>
            </w:r>
          </w:p>
        </w:tc>
        <w:tc>
          <w:tcPr>
            <w:tcW w:w="1304" w:type="dxa"/>
          </w:tcPr>
          <w:p w:rsidR="003F5784" w14:paraId="2154F4FD" w14:textId="77777777">
            <w:pPr>
              <w:pStyle w:val="TableParagraph"/>
              <w:ind w:right="225"/>
              <w:rPr>
                <w:sz w:val="21"/>
              </w:rPr>
            </w:pPr>
            <w:r>
              <w:rPr>
                <w:spacing w:val="-2"/>
                <w:sz w:val="21"/>
              </w:rPr>
              <w:t>2,000</w:t>
            </w:r>
          </w:p>
        </w:tc>
        <w:tc>
          <w:tcPr>
            <w:tcW w:w="1202" w:type="dxa"/>
          </w:tcPr>
          <w:p w:rsidR="003F5784" w14:paraId="53474761" w14:textId="77777777">
            <w:pPr>
              <w:pStyle w:val="TableParagraph"/>
              <w:ind w:right="135"/>
              <w:rPr>
                <w:sz w:val="21"/>
              </w:rPr>
            </w:pPr>
            <w:r>
              <w:rPr>
                <w:spacing w:val="-4"/>
                <w:sz w:val="21"/>
              </w:rPr>
              <w:t>0.45</w:t>
            </w:r>
          </w:p>
        </w:tc>
        <w:tc>
          <w:tcPr>
            <w:tcW w:w="1738" w:type="dxa"/>
          </w:tcPr>
          <w:p w:rsidR="003F5784" w14:paraId="708A3A4A" w14:textId="77777777">
            <w:pPr>
              <w:pStyle w:val="TableParagraph"/>
              <w:ind w:right="153"/>
              <w:rPr>
                <w:sz w:val="21"/>
              </w:rPr>
            </w:pPr>
            <w:r>
              <w:rPr>
                <w:spacing w:val="-2"/>
                <w:sz w:val="21"/>
              </w:rPr>
              <w:t>92.77</w:t>
            </w:r>
          </w:p>
        </w:tc>
        <w:tc>
          <w:tcPr>
            <w:tcW w:w="1733" w:type="dxa"/>
          </w:tcPr>
          <w:p w:rsidR="003F5784" w14:paraId="01EB11DD" w14:textId="77777777">
            <w:pPr>
              <w:pStyle w:val="TableParagraph"/>
              <w:ind w:right="120"/>
              <w:rPr>
                <w:sz w:val="21"/>
              </w:rPr>
            </w:pPr>
            <w:r>
              <w:rPr>
                <w:spacing w:val="-2"/>
                <w:sz w:val="21"/>
              </w:rPr>
              <w:t>19.67</w:t>
            </w:r>
          </w:p>
        </w:tc>
      </w:tr>
      <w:tr w14:paraId="0ADF39D1" w14:textId="77777777">
        <w:tblPrEx>
          <w:tblW w:w="0" w:type="auto"/>
          <w:tblInd w:w="482" w:type="dxa"/>
          <w:tblLayout w:type="fixed"/>
          <w:tblCellMar>
            <w:left w:w="0" w:type="dxa"/>
            <w:right w:w="0" w:type="dxa"/>
          </w:tblCellMar>
          <w:tblLook w:val="01E0"/>
        </w:tblPrEx>
        <w:trPr>
          <w:trHeight w:val="286"/>
        </w:trPr>
        <w:tc>
          <w:tcPr>
            <w:tcW w:w="2693" w:type="dxa"/>
          </w:tcPr>
          <w:p w:rsidR="003F5784" w14:paraId="00F5B2EB" w14:textId="77777777">
            <w:pPr>
              <w:pStyle w:val="TableParagraph"/>
              <w:ind w:left="120"/>
              <w:jc w:val="left"/>
              <w:rPr>
                <w:sz w:val="21"/>
              </w:rPr>
            </w:pPr>
            <w:r>
              <w:rPr>
                <w:spacing w:val="-4"/>
                <w:sz w:val="21"/>
              </w:rPr>
              <w:t>Iowa</w:t>
            </w:r>
          </w:p>
        </w:tc>
        <w:tc>
          <w:tcPr>
            <w:tcW w:w="1272" w:type="dxa"/>
          </w:tcPr>
          <w:p w:rsidR="003F5784" w14:paraId="6CDD9B10" w14:textId="77777777">
            <w:pPr>
              <w:pStyle w:val="TableParagraph"/>
              <w:ind w:right="133"/>
              <w:rPr>
                <w:sz w:val="21"/>
              </w:rPr>
            </w:pPr>
            <w:r>
              <w:rPr>
                <w:spacing w:val="-5"/>
                <w:sz w:val="21"/>
              </w:rPr>
              <w:t>90</w:t>
            </w:r>
          </w:p>
        </w:tc>
        <w:tc>
          <w:tcPr>
            <w:tcW w:w="2055" w:type="dxa"/>
          </w:tcPr>
          <w:p w:rsidR="003F5784" w14:paraId="0C92AFC6" w14:textId="77777777">
            <w:pPr>
              <w:pStyle w:val="TableParagraph"/>
              <w:ind w:right="134"/>
              <w:rPr>
                <w:sz w:val="21"/>
              </w:rPr>
            </w:pPr>
            <w:r>
              <w:rPr>
                <w:spacing w:val="-2"/>
                <w:sz w:val="21"/>
              </w:rPr>
              <w:t>98.67</w:t>
            </w:r>
          </w:p>
        </w:tc>
        <w:tc>
          <w:tcPr>
            <w:tcW w:w="1990" w:type="dxa"/>
          </w:tcPr>
          <w:p w:rsidR="003F5784" w14:paraId="726E00CA" w14:textId="77777777">
            <w:pPr>
              <w:pStyle w:val="TableParagraph"/>
              <w:ind w:right="166"/>
              <w:rPr>
                <w:sz w:val="21"/>
              </w:rPr>
            </w:pPr>
            <w:r>
              <w:rPr>
                <w:spacing w:val="-2"/>
                <w:sz w:val="21"/>
              </w:rPr>
              <w:t>99.41</w:t>
            </w:r>
          </w:p>
        </w:tc>
        <w:tc>
          <w:tcPr>
            <w:tcW w:w="1304" w:type="dxa"/>
          </w:tcPr>
          <w:p w:rsidR="003F5784" w14:paraId="012138A0" w14:textId="77777777">
            <w:pPr>
              <w:pStyle w:val="TableParagraph"/>
              <w:ind w:right="225"/>
              <w:rPr>
                <w:sz w:val="21"/>
              </w:rPr>
            </w:pPr>
            <w:r>
              <w:rPr>
                <w:spacing w:val="-2"/>
                <w:sz w:val="21"/>
              </w:rPr>
              <w:t>2,100</w:t>
            </w:r>
          </w:p>
        </w:tc>
        <w:tc>
          <w:tcPr>
            <w:tcW w:w="1202" w:type="dxa"/>
          </w:tcPr>
          <w:p w:rsidR="003F5784" w14:paraId="728613AF" w14:textId="77777777">
            <w:pPr>
              <w:pStyle w:val="TableParagraph"/>
              <w:ind w:right="135"/>
              <w:rPr>
                <w:sz w:val="21"/>
              </w:rPr>
            </w:pPr>
            <w:r>
              <w:rPr>
                <w:spacing w:val="-4"/>
                <w:sz w:val="21"/>
              </w:rPr>
              <w:t>1.42</w:t>
            </w:r>
          </w:p>
        </w:tc>
        <w:tc>
          <w:tcPr>
            <w:tcW w:w="1738" w:type="dxa"/>
          </w:tcPr>
          <w:p w:rsidR="003F5784" w14:paraId="1CAE1E4F" w14:textId="77777777">
            <w:pPr>
              <w:pStyle w:val="TableParagraph"/>
              <w:ind w:right="153"/>
              <w:rPr>
                <w:sz w:val="21"/>
              </w:rPr>
            </w:pPr>
            <w:r>
              <w:rPr>
                <w:spacing w:val="-2"/>
                <w:sz w:val="21"/>
              </w:rPr>
              <w:t>93.08</w:t>
            </w:r>
          </w:p>
        </w:tc>
        <w:tc>
          <w:tcPr>
            <w:tcW w:w="1733" w:type="dxa"/>
          </w:tcPr>
          <w:p w:rsidR="003F5784" w14:paraId="5ECD73C5" w14:textId="77777777">
            <w:pPr>
              <w:pStyle w:val="TableParagraph"/>
              <w:ind w:right="120"/>
              <w:rPr>
                <w:sz w:val="21"/>
              </w:rPr>
            </w:pPr>
            <w:r>
              <w:rPr>
                <w:spacing w:val="-2"/>
                <w:sz w:val="21"/>
              </w:rPr>
              <w:t>13.54</w:t>
            </w:r>
          </w:p>
        </w:tc>
      </w:tr>
      <w:tr w14:paraId="5FB9B496" w14:textId="77777777">
        <w:tblPrEx>
          <w:tblW w:w="0" w:type="auto"/>
          <w:tblInd w:w="482" w:type="dxa"/>
          <w:tblLayout w:type="fixed"/>
          <w:tblCellMar>
            <w:left w:w="0" w:type="dxa"/>
            <w:right w:w="0" w:type="dxa"/>
          </w:tblCellMar>
          <w:tblLook w:val="01E0"/>
        </w:tblPrEx>
        <w:trPr>
          <w:trHeight w:val="286"/>
        </w:trPr>
        <w:tc>
          <w:tcPr>
            <w:tcW w:w="2693" w:type="dxa"/>
          </w:tcPr>
          <w:p w:rsidR="003F5784" w14:paraId="30B9B3F5" w14:textId="77777777">
            <w:pPr>
              <w:pStyle w:val="TableParagraph"/>
              <w:ind w:left="120"/>
              <w:jc w:val="left"/>
              <w:rPr>
                <w:sz w:val="21"/>
              </w:rPr>
            </w:pPr>
            <w:r>
              <w:rPr>
                <w:spacing w:val="-2"/>
                <w:sz w:val="21"/>
              </w:rPr>
              <w:t>Kansas</w:t>
            </w:r>
          </w:p>
        </w:tc>
        <w:tc>
          <w:tcPr>
            <w:tcW w:w="1272" w:type="dxa"/>
          </w:tcPr>
          <w:p w:rsidR="003F5784" w14:paraId="5F399E36" w14:textId="77777777">
            <w:pPr>
              <w:pStyle w:val="TableParagraph"/>
              <w:ind w:right="133"/>
              <w:rPr>
                <w:sz w:val="21"/>
              </w:rPr>
            </w:pPr>
            <w:r>
              <w:rPr>
                <w:spacing w:val="-5"/>
                <w:sz w:val="21"/>
              </w:rPr>
              <w:t>100</w:t>
            </w:r>
          </w:p>
        </w:tc>
        <w:tc>
          <w:tcPr>
            <w:tcW w:w="2055" w:type="dxa"/>
          </w:tcPr>
          <w:p w:rsidR="003F5784" w14:paraId="40776026" w14:textId="77777777">
            <w:pPr>
              <w:pStyle w:val="TableParagraph"/>
              <w:ind w:right="134"/>
              <w:rPr>
                <w:sz w:val="21"/>
              </w:rPr>
            </w:pPr>
            <w:r>
              <w:rPr>
                <w:spacing w:val="-2"/>
                <w:sz w:val="21"/>
              </w:rPr>
              <w:t>100.00</w:t>
            </w:r>
          </w:p>
        </w:tc>
        <w:tc>
          <w:tcPr>
            <w:tcW w:w="1990" w:type="dxa"/>
          </w:tcPr>
          <w:p w:rsidR="003F5784" w14:paraId="3EB0662D" w14:textId="77777777">
            <w:pPr>
              <w:pStyle w:val="TableParagraph"/>
              <w:ind w:right="166"/>
              <w:rPr>
                <w:sz w:val="21"/>
              </w:rPr>
            </w:pPr>
            <w:r>
              <w:rPr>
                <w:spacing w:val="-2"/>
                <w:sz w:val="21"/>
              </w:rPr>
              <w:t>100.00</w:t>
            </w:r>
          </w:p>
        </w:tc>
        <w:tc>
          <w:tcPr>
            <w:tcW w:w="1304" w:type="dxa"/>
          </w:tcPr>
          <w:p w:rsidR="003F5784" w14:paraId="104C940F" w14:textId="77777777">
            <w:pPr>
              <w:pStyle w:val="TableParagraph"/>
              <w:ind w:right="225"/>
              <w:rPr>
                <w:sz w:val="21"/>
              </w:rPr>
            </w:pPr>
            <w:r>
              <w:rPr>
                <w:spacing w:val="-2"/>
                <w:sz w:val="21"/>
              </w:rPr>
              <w:t>2,100</w:t>
            </w:r>
          </w:p>
        </w:tc>
        <w:tc>
          <w:tcPr>
            <w:tcW w:w="1202" w:type="dxa"/>
          </w:tcPr>
          <w:p w:rsidR="003F5784" w14:paraId="64D8B067" w14:textId="77777777">
            <w:pPr>
              <w:pStyle w:val="TableParagraph"/>
              <w:ind w:right="135"/>
              <w:rPr>
                <w:sz w:val="21"/>
              </w:rPr>
            </w:pPr>
            <w:r>
              <w:rPr>
                <w:spacing w:val="-4"/>
                <w:sz w:val="21"/>
              </w:rPr>
              <w:t>1.43</w:t>
            </w:r>
          </w:p>
        </w:tc>
        <w:tc>
          <w:tcPr>
            <w:tcW w:w="1738" w:type="dxa"/>
          </w:tcPr>
          <w:p w:rsidR="003F5784" w14:paraId="67F45F05" w14:textId="77777777">
            <w:pPr>
              <w:pStyle w:val="TableParagraph"/>
              <w:ind w:right="153"/>
              <w:rPr>
                <w:sz w:val="21"/>
              </w:rPr>
            </w:pPr>
            <w:r>
              <w:rPr>
                <w:spacing w:val="-2"/>
                <w:sz w:val="21"/>
              </w:rPr>
              <w:t>92.88</w:t>
            </w:r>
          </w:p>
        </w:tc>
        <w:tc>
          <w:tcPr>
            <w:tcW w:w="1733" w:type="dxa"/>
          </w:tcPr>
          <w:p w:rsidR="003F5784" w14:paraId="24EE2978" w14:textId="77777777">
            <w:pPr>
              <w:pStyle w:val="TableParagraph"/>
              <w:ind w:right="120"/>
              <w:rPr>
                <w:sz w:val="21"/>
              </w:rPr>
            </w:pPr>
            <w:r>
              <w:rPr>
                <w:spacing w:val="-2"/>
                <w:sz w:val="21"/>
              </w:rPr>
              <w:t>10.00</w:t>
            </w:r>
          </w:p>
        </w:tc>
      </w:tr>
      <w:tr w14:paraId="4DA1B7F2" w14:textId="77777777">
        <w:tblPrEx>
          <w:tblW w:w="0" w:type="auto"/>
          <w:tblInd w:w="482" w:type="dxa"/>
          <w:tblLayout w:type="fixed"/>
          <w:tblCellMar>
            <w:left w:w="0" w:type="dxa"/>
            <w:right w:w="0" w:type="dxa"/>
          </w:tblCellMar>
          <w:tblLook w:val="01E0"/>
        </w:tblPrEx>
        <w:trPr>
          <w:trHeight w:val="289"/>
        </w:trPr>
        <w:tc>
          <w:tcPr>
            <w:tcW w:w="2693" w:type="dxa"/>
            <w:tcBorders>
              <w:bottom w:val="single" w:sz="18" w:space="0" w:color="800000"/>
            </w:tcBorders>
          </w:tcPr>
          <w:p w:rsidR="003F5784" w14:paraId="7251D015" w14:textId="77777777">
            <w:pPr>
              <w:pStyle w:val="TableParagraph"/>
              <w:ind w:left="120"/>
              <w:jc w:val="left"/>
              <w:rPr>
                <w:sz w:val="21"/>
              </w:rPr>
            </w:pPr>
            <w:r>
              <w:rPr>
                <w:spacing w:val="-2"/>
                <w:sz w:val="21"/>
              </w:rPr>
              <w:t>Kentucky</w:t>
            </w:r>
          </w:p>
        </w:tc>
        <w:tc>
          <w:tcPr>
            <w:tcW w:w="1272" w:type="dxa"/>
            <w:tcBorders>
              <w:bottom w:val="single" w:sz="18" w:space="0" w:color="800000"/>
            </w:tcBorders>
          </w:tcPr>
          <w:p w:rsidR="003F5784" w14:paraId="47A89D8E" w14:textId="77777777">
            <w:pPr>
              <w:pStyle w:val="TableParagraph"/>
              <w:ind w:right="133"/>
              <w:rPr>
                <w:sz w:val="21"/>
              </w:rPr>
            </w:pPr>
            <w:r>
              <w:rPr>
                <w:spacing w:val="-5"/>
                <w:sz w:val="21"/>
              </w:rPr>
              <w:t>120</w:t>
            </w:r>
          </w:p>
        </w:tc>
        <w:tc>
          <w:tcPr>
            <w:tcW w:w="2055" w:type="dxa"/>
            <w:tcBorders>
              <w:bottom w:val="single" w:sz="18" w:space="0" w:color="800000"/>
            </w:tcBorders>
          </w:tcPr>
          <w:p w:rsidR="003F5784" w14:paraId="2AB12807" w14:textId="77777777">
            <w:pPr>
              <w:pStyle w:val="TableParagraph"/>
              <w:ind w:right="134"/>
              <w:rPr>
                <w:sz w:val="21"/>
              </w:rPr>
            </w:pPr>
            <w:r>
              <w:rPr>
                <w:spacing w:val="-2"/>
                <w:sz w:val="21"/>
              </w:rPr>
              <w:t>100.00</w:t>
            </w:r>
          </w:p>
        </w:tc>
        <w:tc>
          <w:tcPr>
            <w:tcW w:w="1990" w:type="dxa"/>
            <w:tcBorders>
              <w:bottom w:val="single" w:sz="18" w:space="0" w:color="800000"/>
            </w:tcBorders>
          </w:tcPr>
          <w:p w:rsidR="003F5784" w14:paraId="69596D68" w14:textId="77777777">
            <w:pPr>
              <w:pStyle w:val="TableParagraph"/>
              <w:ind w:right="166"/>
              <w:rPr>
                <w:sz w:val="21"/>
              </w:rPr>
            </w:pPr>
            <w:r>
              <w:rPr>
                <w:spacing w:val="-2"/>
                <w:sz w:val="21"/>
              </w:rPr>
              <w:t>100.00</w:t>
            </w:r>
          </w:p>
        </w:tc>
        <w:tc>
          <w:tcPr>
            <w:tcW w:w="1304" w:type="dxa"/>
            <w:tcBorders>
              <w:bottom w:val="single" w:sz="18" w:space="0" w:color="800000"/>
            </w:tcBorders>
          </w:tcPr>
          <w:p w:rsidR="003F5784" w14:paraId="26C718F5" w14:textId="77777777">
            <w:pPr>
              <w:pStyle w:val="TableParagraph"/>
              <w:ind w:right="225"/>
              <w:rPr>
                <w:sz w:val="21"/>
              </w:rPr>
            </w:pPr>
            <w:r>
              <w:rPr>
                <w:spacing w:val="-2"/>
                <w:sz w:val="21"/>
              </w:rPr>
              <w:t>2,700</w:t>
            </w:r>
          </w:p>
        </w:tc>
        <w:tc>
          <w:tcPr>
            <w:tcW w:w="1202" w:type="dxa"/>
            <w:tcBorders>
              <w:bottom w:val="single" w:sz="18" w:space="0" w:color="800000"/>
            </w:tcBorders>
          </w:tcPr>
          <w:p w:rsidR="003F5784" w14:paraId="3F15313E" w14:textId="77777777">
            <w:pPr>
              <w:pStyle w:val="TableParagraph"/>
              <w:ind w:right="135"/>
              <w:rPr>
                <w:sz w:val="21"/>
              </w:rPr>
            </w:pPr>
            <w:r>
              <w:rPr>
                <w:spacing w:val="-4"/>
                <w:sz w:val="21"/>
              </w:rPr>
              <w:t>1.93</w:t>
            </w:r>
          </w:p>
        </w:tc>
        <w:tc>
          <w:tcPr>
            <w:tcW w:w="1738" w:type="dxa"/>
            <w:tcBorders>
              <w:bottom w:val="single" w:sz="18" w:space="0" w:color="800000"/>
            </w:tcBorders>
          </w:tcPr>
          <w:p w:rsidR="003F5784" w14:paraId="2B0EE0E1" w14:textId="77777777">
            <w:pPr>
              <w:pStyle w:val="TableParagraph"/>
              <w:ind w:right="153"/>
              <w:rPr>
                <w:sz w:val="21"/>
              </w:rPr>
            </w:pPr>
            <w:r>
              <w:rPr>
                <w:spacing w:val="-2"/>
                <w:sz w:val="21"/>
              </w:rPr>
              <w:t>94.50</w:t>
            </w:r>
          </w:p>
        </w:tc>
        <w:tc>
          <w:tcPr>
            <w:tcW w:w="1733" w:type="dxa"/>
            <w:tcBorders>
              <w:bottom w:val="single" w:sz="18" w:space="0" w:color="800000"/>
            </w:tcBorders>
          </w:tcPr>
          <w:p w:rsidR="003F5784" w14:paraId="74D5EAE8" w14:textId="77777777">
            <w:pPr>
              <w:pStyle w:val="TableParagraph"/>
              <w:ind w:right="120"/>
              <w:rPr>
                <w:sz w:val="21"/>
              </w:rPr>
            </w:pPr>
            <w:r>
              <w:rPr>
                <w:spacing w:val="-2"/>
                <w:sz w:val="21"/>
              </w:rPr>
              <w:t>16.61</w:t>
            </w:r>
          </w:p>
        </w:tc>
      </w:tr>
      <w:tr w14:paraId="140C9E94" w14:textId="77777777">
        <w:tblPrEx>
          <w:tblW w:w="0" w:type="auto"/>
          <w:tblInd w:w="482" w:type="dxa"/>
          <w:tblLayout w:type="fixed"/>
          <w:tblCellMar>
            <w:left w:w="0" w:type="dxa"/>
            <w:right w:w="0" w:type="dxa"/>
          </w:tblCellMar>
          <w:tblLook w:val="01E0"/>
        </w:tblPrEx>
        <w:trPr>
          <w:trHeight w:val="738"/>
        </w:trPr>
        <w:tc>
          <w:tcPr>
            <w:tcW w:w="13987" w:type="dxa"/>
            <w:gridSpan w:val="8"/>
            <w:tcBorders>
              <w:top w:val="single" w:sz="18" w:space="0" w:color="800000"/>
            </w:tcBorders>
          </w:tcPr>
          <w:p w:rsidR="003F5784" w14:paraId="501AADE2" w14:textId="77777777">
            <w:pPr>
              <w:pStyle w:val="TableParagraph"/>
              <w:spacing w:before="15" w:line="232" w:lineRule="auto"/>
              <w:ind w:left="120"/>
              <w:jc w:val="left"/>
              <w:rPr>
                <w:sz w:val="21"/>
              </w:rPr>
            </w:pPr>
            <w:r>
              <w:rPr>
                <w:position w:val="9"/>
                <w:sz w:val="17"/>
              </w:rPr>
              <w:t>1</w:t>
            </w:r>
            <w:r>
              <w:rPr>
                <w:sz w:val="21"/>
              </w:rPr>
              <w:t>1</w:t>
            </w:r>
            <w:r>
              <w:rPr>
                <w:position w:val="9"/>
                <w:sz w:val="17"/>
              </w:rPr>
              <w:t xml:space="preserve">1 </w:t>
            </w:r>
            <w:r>
              <w:rPr>
                <w:position w:val="1"/>
                <w:sz w:val="21"/>
              </w:rPr>
              <w:t>Includes</w:t>
            </w:r>
            <w:r>
              <w:rPr>
                <w:spacing w:val="-6"/>
                <w:position w:val="1"/>
                <w:sz w:val="21"/>
              </w:rPr>
              <w:t xml:space="preserve"> </w:t>
            </w:r>
            <w:r>
              <w:rPr>
                <w:position w:val="1"/>
                <w:sz w:val="21"/>
              </w:rPr>
              <w:t>national</w:t>
            </w:r>
            <w:r>
              <w:rPr>
                <w:spacing w:val="-6"/>
                <w:position w:val="1"/>
                <w:sz w:val="21"/>
              </w:rPr>
              <w:t xml:space="preserve"> </w:t>
            </w:r>
            <w:r>
              <w:rPr>
                <w:position w:val="1"/>
                <w:sz w:val="21"/>
              </w:rPr>
              <w:t>public</w:t>
            </w:r>
            <w:r>
              <w:rPr>
                <w:spacing w:val="-6"/>
                <w:position w:val="1"/>
                <w:sz w:val="21"/>
              </w:rPr>
              <w:t xml:space="preserve"> </w:t>
            </w:r>
            <w:r>
              <w:rPr>
                <w:position w:val="1"/>
                <w:sz w:val="21"/>
              </w:rPr>
              <w:t>and</w:t>
            </w:r>
            <w:r>
              <w:rPr>
                <w:spacing w:val="-6"/>
                <w:position w:val="1"/>
                <w:sz w:val="21"/>
              </w:rPr>
              <w:t xml:space="preserve"> </w:t>
            </w:r>
            <w:r>
              <w:rPr>
                <w:position w:val="1"/>
                <w:sz w:val="21"/>
              </w:rPr>
              <w:t>national</w:t>
            </w:r>
            <w:r>
              <w:rPr>
                <w:spacing w:val="-6"/>
                <w:position w:val="1"/>
                <w:sz w:val="21"/>
              </w:rPr>
              <w:t xml:space="preserve"> </w:t>
            </w:r>
            <w:r>
              <w:rPr>
                <w:position w:val="1"/>
                <w:sz w:val="21"/>
              </w:rPr>
              <w:t>private</w:t>
            </w:r>
            <w:r>
              <w:rPr>
                <w:spacing w:val="-6"/>
                <w:position w:val="1"/>
                <w:sz w:val="21"/>
              </w:rPr>
              <w:t xml:space="preserve"> </w:t>
            </w:r>
            <w:r>
              <w:rPr>
                <w:position w:val="1"/>
                <w:sz w:val="21"/>
              </w:rPr>
              <w:t>schools</w:t>
            </w:r>
            <w:r>
              <w:rPr>
                <w:spacing w:val="-6"/>
                <w:position w:val="1"/>
                <w:sz w:val="21"/>
              </w:rPr>
              <w:t xml:space="preserve"> </w:t>
            </w:r>
            <w:r>
              <w:rPr>
                <w:position w:val="1"/>
                <w:sz w:val="21"/>
              </w:rPr>
              <w:t>located</w:t>
            </w:r>
            <w:r>
              <w:rPr>
                <w:spacing w:val="-6"/>
                <w:position w:val="1"/>
                <w:sz w:val="21"/>
              </w:rPr>
              <w:t xml:space="preserve"> </w:t>
            </w:r>
            <w:r>
              <w:rPr>
                <w:position w:val="1"/>
                <w:sz w:val="21"/>
              </w:rPr>
              <w:t>in</w:t>
            </w:r>
            <w:r>
              <w:rPr>
                <w:spacing w:val="-6"/>
                <w:position w:val="1"/>
                <w:sz w:val="21"/>
              </w:rPr>
              <w:t xml:space="preserve"> </w:t>
            </w:r>
            <w:r>
              <w:rPr>
                <w:position w:val="1"/>
                <w:sz w:val="21"/>
              </w:rPr>
              <w:t>the</w:t>
            </w:r>
            <w:r>
              <w:rPr>
                <w:spacing w:val="-6"/>
                <w:position w:val="1"/>
                <w:sz w:val="21"/>
              </w:rPr>
              <w:t xml:space="preserve"> </w:t>
            </w:r>
            <w:r>
              <w:rPr>
                <w:position w:val="1"/>
                <w:sz w:val="21"/>
              </w:rPr>
              <w:t>United</w:t>
            </w:r>
            <w:r>
              <w:rPr>
                <w:spacing w:val="-6"/>
                <w:position w:val="1"/>
                <w:sz w:val="21"/>
              </w:rPr>
              <w:t xml:space="preserve"> </w:t>
            </w:r>
            <w:r>
              <w:rPr>
                <w:position w:val="1"/>
                <w:sz w:val="21"/>
              </w:rPr>
              <w:t>States</w:t>
            </w:r>
            <w:r>
              <w:rPr>
                <w:spacing w:val="-6"/>
                <w:position w:val="1"/>
                <w:sz w:val="21"/>
              </w:rPr>
              <w:t xml:space="preserve"> </w:t>
            </w:r>
            <w:r>
              <w:rPr>
                <w:position w:val="1"/>
                <w:sz w:val="21"/>
              </w:rPr>
              <w:t>and</w:t>
            </w:r>
            <w:r>
              <w:rPr>
                <w:spacing w:val="-6"/>
                <w:position w:val="1"/>
                <w:sz w:val="21"/>
              </w:rPr>
              <w:t xml:space="preserve"> </w:t>
            </w:r>
            <w:r>
              <w:rPr>
                <w:position w:val="1"/>
                <w:sz w:val="21"/>
              </w:rPr>
              <w:t>all</w:t>
            </w:r>
            <w:r>
              <w:rPr>
                <w:spacing w:val="-6"/>
                <w:position w:val="1"/>
                <w:sz w:val="21"/>
              </w:rPr>
              <w:t xml:space="preserve"> </w:t>
            </w:r>
            <w:r>
              <w:rPr>
                <w:position w:val="1"/>
                <w:sz w:val="21"/>
              </w:rPr>
              <w:t>Department</w:t>
            </w:r>
            <w:r>
              <w:rPr>
                <w:spacing w:val="-6"/>
                <w:position w:val="1"/>
                <w:sz w:val="21"/>
              </w:rPr>
              <w:t xml:space="preserve"> </w:t>
            </w:r>
            <w:r>
              <w:rPr>
                <w:position w:val="1"/>
                <w:sz w:val="21"/>
              </w:rPr>
              <w:t>of</w:t>
            </w:r>
            <w:r>
              <w:rPr>
                <w:spacing w:val="-6"/>
                <w:position w:val="1"/>
                <w:sz w:val="21"/>
              </w:rPr>
              <w:t xml:space="preserve"> </w:t>
            </w:r>
            <w:r>
              <w:rPr>
                <w:position w:val="1"/>
                <w:sz w:val="21"/>
              </w:rPr>
              <w:t>Defense</w:t>
            </w:r>
            <w:r>
              <w:rPr>
                <w:spacing w:val="-6"/>
                <w:position w:val="1"/>
                <w:sz w:val="21"/>
              </w:rPr>
              <w:t xml:space="preserve"> </w:t>
            </w:r>
            <w:r>
              <w:rPr>
                <w:position w:val="1"/>
                <w:sz w:val="21"/>
              </w:rPr>
              <w:t>Education</w:t>
            </w:r>
            <w:r>
              <w:rPr>
                <w:spacing w:val="-14"/>
                <w:position w:val="1"/>
                <w:sz w:val="21"/>
              </w:rPr>
              <w:t xml:space="preserve"> </w:t>
            </w:r>
            <w:r>
              <w:rPr>
                <w:position w:val="1"/>
                <w:sz w:val="21"/>
              </w:rPr>
              <w:t>Activity</w:t>
            </w:r>
            <w:r>
              <w:rPr>
                <w:spacing w:val="-5"/>
                <w:position w:val="1"/>
                <w:sz w:val="21"/>
              </w:rPr>
              <w:t xml:space="preserve"> </w:t>
            </w:r>
            <w:r>
              <w:rPr>
                <w:position w:val="1"/>
                <w:sz w:val="21"/>
              </w:rPr>
              <w:t>schools,</w:t>
            </w:r>
            <w:r>
              <w:rPr>
                <w:spacing w:val="-6"/>
                <w:position w:val="1"/>
                <w:sz w:val="21"/>
              </w:rPr>
              <w:t xml:space="preserve"> </w:t>
            </w:r>
            <w:r>
              <w:rPr>
                <w:position w:val="1"/>
                <w:sz w:val="21"/>
              </w:rPr>
              <w:t>but</w:t>
            </w:r>
            <w:r>
              <w:rPr>
                <w:spacing w:val="-6"/>
                <w:position w:val="1"/>
                <w:sz w:val="21"/>
              </w:rPr>
              <w:t xml:space="preserve"> </w:t>
            </w:r>
            <w:r>
              <w:rPr>
                <w:position w:val="1"/>
                <w:sz w:val="21"/>
              </w:rPr>
              <w:t>not</w:t>
            </w:r>
            <w:r>
              <w:rPr>
                <w:spacing w:val="-6"/>
                <w:position w:val="1"/>
                <w:sz w:val="21"/>
              </w:rPr>
              <w:t xml:space="preserve"> </w:t>
            </w:r>
            <w:r>
              <w:rPr>
                <w:position w:val="1"/>
                <w:sz w:val="21"/>
              </w:rPr>
              <w:t>schools</w:t>
            </w:r>
            <w:r>
              <w:rPr>
                <w:spacing w:val="-6"/>
                <w:position w:val="1"/>
                <w:sz w:val="21"/>
              </w:rPr>
              <w:t xml:space="preserve"> </w:t>
            </w:r>
            <w:r>
              <w:rPr>
                <w:position w:val="1"/>
                <w:sz w:val="21"/>
              </w:rPr>
              <w:t xml:space="preserve">in </w:t>
            </w:r>
            <w:r>
              <w:rPr>
                <w:sz w:val="21"/>
              </w:rPr>
              <w:t>Puerto Rico.</w:t>
            </w:r>
          </w:p>
          <w:p w:rsidR="003F5784" w14:paraId="2A8D9151" w14:textId="77777777">
            <w:pPr>
              <w:pStyle w:val="TableParagraph"/>
              <w:spacing w:before="8" w:line="174" w:lineRule="exact"/>
              <w:ind w:left="120"/>
              <w:jc w:val="left"/>
              <w:rPr>
                <w:sz w:val="21"/>
              </w:rPr>
            </w:pPr>
            <w:r>
              <w:rPr>
                <w:position w:val="8"/>
                <w:sz w:val="17"/>
              </w:rPr>
              <w:t>2</w:t>
            </w:r>
            <w:r>
              <w:rPr>
                <w:sz w:val="21"/>
              </w:rPr>
              <w:t>2</w:t>
            </w:r>
            <w:r>
              <w:rPr>
                <w:position w:val="8"/>
                <w:sz w:val="17"/>
              </w:rPr>
              <w:t xml:space="preserve">2 </w:t>
            </w:r>
            <w:r>
              <w:rPr>
                <w:sz w:val="21"/>
              </w:rPr>
              <w:t>Department</w:t>
            </w:r>
            <w:r>
              <w:rPr>
                <w:spacing w:val="-7"/>
                <w:sz w:val="21"/>
              </w:rPr>
              <w:t xml:space="preserve"> </w:t>
            </w:r>
            <w:r>
              <w:rPr>
                <w:sz w:val="21"/>
              </w:rPr>
              <w:t>of</w:t>
            </w:r>
            <w:r>
              <w:rPr>
                <w:spacing w:val="-6"/>
                <w:sz w:val="21"/>
              </w:rPr>
              <w:t xml:space="preserve"> </w:t>
            </w:r>
            <w:r>
              <w:rPr>
                <w:sz w:val="21"/>
              </w:rPr>
              <w:t>Defense</w:t>
            </w:r>
            <w:r>
              <w:rPr>
                <w:spacing w:val="-6"/>
                <w:sz w:val="21"/>
              </w:rPr>
              <w:t xml:space="preserve"> </w:t>
            </w:r>
            <w:r>
              <w:rPr>
                <w:sz w:val="21"/>
              </w:rPr>
              <w:t>Education</w:t>
            </w:r>
            <w:r>
              <w:rPr>
                <w:spacing w:val="-14"/>
                <w:sz w:val="21"/>
              </w:rPr>
              <w:t xml:space="preserve"> </w:t>
            </w:r>
            <w:r>
              <w:rPr>
                <w:sz w:val="21"/>
              </w:rPr>
              <w:t>Activity</w:t>
            </w:r>
            <w:r>
              <w:rPr>
                <w:spacing w:val="-6"/>
                <w:sz w:val="21"/>
              </w:rPr>
              <w:t xml:space="preserve"> </w:t>
            </w:r>
            <w:r>
              <w:rPr>
                <w:spacing w:val="-2"/>
                <w:sz w:val="21"/>
              </w:rPr>
              <w:t>schools.</w:t>
            </w:r>
          </w:p>
        </w:tc>
      </w:tr>
    </w:tbl>
    <w:p w:rsidR="003F5784" w14:paraId="432C588D" w14:textId="77777777">
      <w:pPr>
        <w:pStyle w:val="BodyText"/>
        <w:spacing w:before="99" w:line="232" w:lineRule="auto"/>
        <w:ind w:left="595" w:right="318"/>
      </w:pPr>
      <w:r>
        <w:t>NOTE: Numbers of schools are rounded to nearest ten, and numbers of students are rounded to nearest hundred. Detail may not sum to totals due to rounding. 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Mathematics Assessment.</w:t>
      </w:r>
    </w:p>
    <w:p w:rsidR="003F5784" w14:paraId="174DE953" w14:textId="77777777">
      <w:pPr>
        <w:spacing w:line="232" w:lineRule="auto"/>
        <w:sectPr>
          <w:pgSz w:w="15840" w:h="12240" w:orient="landscape"/>
          <w:pgMar w:top="480" w:right="440" w:bottom="460" w:left="460" w:header="284" w:footer="275" w:gutter="0"/>
          <w:cols w:space="720"/>
        </w:sectPr>
      </w:pPr>
    </w:p>
    <w:p w:rsidR="003F5784" w14:paraId="22FCCF4C" w14:textId="77777777">
      <w:pPr>
        <w:pStyle w:val="BodyText"/>
        <w:spacing w:before="5"/>
        <w:rPr>
          <w:sz w:val="9"/>
        </w:rPr>
      </w:pPr>
    </w:p>
    <w:tbl>
      <w:tblPr>
        <w:tblW w:w="14297" w:type="dxa"/>
        <w:tblInd w:w="552" w:type="dxa"/>
        <w:tblLayout w:type="fixed"/>
        <w:tblCellMar>
          <w:left w:w="0" w:type="dxa"/>
          <w:right w:w="0" w:type="dxa"/>
        </w:tblCellMar>
        <w:tblLook w:val="01E0"/>
      </w:tblPr>
      <w:tblGrid>
        <w:gridCol w:w="2493"/>
        <w:gridCol w:w="1544"/>
        <w:gridCol w:w="53"/>
        <w:gridCol w:w="2340"/>
        <w:gridCol w:w="2078"/>
        <w:gridCol w:w="1350"/>
        <w:gridCol w:w="1170"/>
        <w:gridCol w:w="1620"/>
        <w:gridCol w:w="33"/>
        <w:gridCol w:w="1527"/>
        <w:gridCol w:w="89"/>
      </w:tblGrid>
      <w:tr w14:paraId="4EB330BA" w14:textId="77777777" w:rsidTr="00C94150">
        <w:tblPrEx>
          <w:tblW w:w="14297" w:type="dxa"/>
          <w:tblInd w:w="552" w:type="dxa"/>
          <w:tblLayout w:type="fixed"/>
          <w:tblCellMar>
            <w:left w:w="0" w:type="dxa"/>
            <w:right w:w="0" w:type="dxa"/>
          </w:tblCellMar>
          <w:tblLook w:val="01E0"/>
        </w:tblPrEx>
        <w:trPr>
          <w:trHeight w:val="232"/>
        </w:trPr>
        <w:tc>
          <w:tcPr>
            <w:tcW w:w="4037" w:type="dxa"/>
            <w:gridSpan w:val="2"/>
          </w:tcPr>
          <w:p w:rsidR="003F5784" w14:paraId="57A96EA6" w14:textId="77777777">
            <w:pPr>
              <w:pStyle w:val="TableParagraph"/>
              <w:spacing w:before="0"/>
              <w:jc w:val="left"/>
              <w:rPr>
                <w:sz w:val="16"/>
              </w:rPr>
            </w:pPr>
          </w:p>
        </w:tc>
        <w:tc>
          <w:tcPr>
            <w:tcW w:w="2393" w:type="dxa"/>
            <w:gridSpan w:val="2"/>
          </w:tcPr>
          <w:p w:rsidR="003F5784" w14:paraId="1A06C08E" w14:textId="77777777">
            <w:pPr>
              <w:pStyle w:val="TableParagraph"/>
              <w:spacing w:before="0" w:line="213" w:lineRule="exact"/>
              <w:ind w:right="133"/>
              <w:rPr>
                <w:sz w:val="21"/>
              </w:rPr>
            </w:pPr>
            <w:r>
              <w:rPr>
                <w:sz w:val="21"/>
              </w:rPr>
              <w:t>School</w:t>
            </w:r>
            <w:r>
              <w:rPr>
                <w:spacing w:val="-7"/>
                <w:sz w:val="21"/>
              </w:rPr>
              <w:t xml:space="preserve"> </w:t>
            </w:r>
            <w:r>
              <w:rPr>
                <w:spacing w:val="-2"/>
                <w:sz w:val="21"/>
              </w:rPr>
              <w:t>participation</w:t>
            </w:r>
          </w:p>
        </w:tc>
        <w:tc>
          <w:tcPr>
            <w:tcW w:w="2078" w:type="dxa"/>
          </w:tcPr>
          <w:p w:rsidR="003F5784" w14:paraId="1015D0CB" w14:textId="77777777">
            <w:pPr>
              <w:pStyle w:val="TableParagraph"/>
              <w:spacing w:before="0"/>
              <w:jc w:val="left"/>
              <w:rPr>
                <w:sz w:val="16"/>
              </w:rPr>
            </w:pPr>
          </w:p>
        </w:tc>
        <w:tc>
          <w:tcPr>
            <w:tcW w:w="5789" w:type="dxa"/>
            <w:gridSpan w:val="6"/>
            <w:vMerge w:val="restart"/>
          </w:tcPr>
          <w:p w:rsidR="003F5784" w14:paraId="2FF7C0FB" w14:textId="77777777">
            <w:pPr>
              <w:pStyle w:val="TableParagraph"/>
              <w:spacing w:before="0"/>
              <w:jc w:val="left"/>
              <w:rPr>
                <w:sz w:val="20"/>
              </w:rPr>
            </w:pPr>
          </w:p>
        </w:tc>
      </w:tr>
      <w:tr w14:paraId="0034597F" w14:textId="77777777" w:rsidTr="00C94150">
        <w:tblPrEx>
          <w:tblW w:w="14297" w:type="dxa"/>
          <w:tblInd w:w="552" w:type="dxa"/>
          <w:tblLayout w:type="fixed"/>
          <w:tblCellMar>
            <w:left w:w="0" w:type="dxa"/>
            <w:right w:w="0" w:type="dxa"/>
          </w:tblCellMar>
          <w:tblLook w:val="01E0"/>
        </w:tblPrEx>
        <w:trPr>
          <w:trHeight w:val="234"/>
        </w:trPr>
        <w:tc>
          <w:tcPr>
            <w:tcW w:w="4037" w:type="dxa"/>
            <w:gridSpan w:val="2"/>
          </w:tcPr>
          <w:p w:rsidR="003F5784" w14:paraId="4B613DB7" w14:textId="77777777">
            <w:pPr>
              <w:pStyle w:val="TableParagraph"/>
              <w:spacing w:before="0" w:line="215" w:lineRule="exact"/>
              <w:ind w:right="133"/>
              <w:rPr>
                <w:sz w:val="21"/>
              </w:rPr>
            </w:pPr>
            <w:r>
              <w:rPr>
                <w:sz w:val="21"/>
              </w:rPr>
              <w:t>Number</w:t>
            </w:r>
            <w:r>
              <w:rPr>
                <w:spacing w:val="-8"/>
                <w:sz w:val="21"/>
              </w:rPr>
              <w:t xml:space="preserve"> </w:t>
            </w:r>
            <w:r>
              <w:rPr>
                <w:spacing w:val="-5"/>
                <w:sz w:val="21"/>
              </w:rPr>
              <w:t>of</w:t>
            </w:r>
          </w:p>
        </w:tc>
        <w:tc>
          <w:tcPr>
            <w:tcW w:w="2393" w:type="dxa"/>
            <w:gridSpan w:val="2"/>
          </w:tcPr>
          <w:p w:rsidR="003F5784" w14:paraId="6C896FC4" w14:textId="77777777">
            <w:pPr>
              <w:pStyle w:val="TableParagraph"/>
              <w:spacing w:before="0" w:line="215" w:lineRule="exact"/>
              <w:ind w:right="133"/>
              <w:rPr>
                <w:sz w:val="21"/>
              </w:rPr>
            </w:pPr>
            <w:r>
              <w:rPr>
                <w:sz w:val="21"/>
              </w:rPr>
              <w:t>rates</w:t>
            </w:r>
            <w:r>
              <w:rPr>
                <w:spacing w:val="-7"/>
                <w:sz w:val="21"/>
              </w:rPr>
              <w:t xml:space="preserve"> </w:t>
            </w:r>
            <w:r>
              <w:rPr>
                <w:sz w:val="21"/>
              </w:rPr>
              <w:t>(percent)</w:t>
            </w:r>
            <w:r>
              <w:rPr>
                <w:spacing w:val="-7"/>
                <w:sz w:val="21"/>
              </w:rPr>
              <w:t xml:space="preserve"> </w:t>
            </w:r>
            <w:r>
              <w:rPr>
                <w:spacing w:val="-2"/>
                <w:sz w:val="21"/>
              </w:rPr>
              <w:t>before</w:t>
            </w:r>
          </w:p>
        </w:tc>
        <w:tc>
          <w:tcPr>
            <w:tcW w:w="2078" w:type="dxa"/>
          </w:tcPr>
          <w:p w:rsidR="003F5784" w14:paraId="6F91ADAF" w14:textId="77777777">
            <w:pPr>
              <w:pStyle w:val="TableParagraph"/>
              <w:spacing w:before="0" w:line="215" w:lineRule="exact"/>
              <w:ind w:right="164"/>
              <w:rPr>
                <w:sz w:val="21"/>
              </w:rPr>
            </w:pPr>
            <w:r>
              <w:rPr>
                <w:sz w:val="21"/>
              </w:rPr>
              <w:t>School</w:t>
            </w:r>
            <w:r>
              <w:rPr>
                <w:spacing w:val="-7"/>
                <w:sz w:val="21"/>
              </w:rPr>
              <w:t xml:space="preserve"> </w:t>
            </w:r>
            <w:r>
              <w:rPr>
                <w:spacing w:val="-2"/>
                <w:sz w:val="21"/>
              </w:rPr>
              <w:t>participation</w:t>
            </w:r>
          </w:p>
        </w:tc>
        <w:tc>
          <w:tcPr>
            <w:tcW w:w="5789" w:type="dxa"/>
            <w:gridSpan w:val="6"/>
            <w:vMerge/>
            <w:tcBorders>
              <w:top w:val="nil"/>
            </w:tcBorders>
          </w:tcPr>
          <w:p w:rsidR="003F5784" w14:paraId="42C0F99A" w14:textId="77777777">
            <w:pPr>
              <w:rPr>
                <w:sz w:val="2"/>
                <w:szCs w:val="2"/>
              </w:rPr>
            </w:pPr>
          </w:p>
        </w:tc>
      </w:tr>
      <w:tr w14:paraId="77C19B47" w14:textId="77777777" w:rsidTr="00C94150">
        <w:tblPrEx>
          <w:tblW w:w="14297" w:type="dxa"/>
          <w:tblInd w:w="552" w:type="dxa"/>
          <w:tblLayout w:type="fixed"/>
          <w:tblCellMar>
            <w:left w:w="0" w:type="dxa"/>
            <w:right w:w="0" w:type="dxa"/>
          </w:tblCellMar>
          <w:tblLook w:val="01E0"/>
        </w:tblPrEx>
        <w:trPr>
          <w:trHeight w:val="234"/>
        </w:trPr>
        <w:tc>
          <w:tcPr>
            <w:tcW w:w="4037" w:type="dxa"/>
            <w:gridSpan w:val="2"/>
          </w:tcPr>
          <w:p w:rsidR="003F5784" w14:paraId="735A1ABA" w14:textId="77777777">
            <w:pPr>
              <w:pStyle w:val="TableParagraph"/>
              <w:spacing w:before="0" w:line="215" w:lineRule="exact"/>
              <w:ind w:right="133"/>
              <w:rPr>
                <w:sz w:val="21"/>
              </w:rPr>
            </w:pPr>
            <w:r>
              <w:rPr>
                <w:sz w:val="21"/>
              </w:rPr>
              <w:t>schools</w:t>
            </w:r>
            <w:r>
              <w:rPr>
                <w:spacing w:val="-8"/>
                <w:sz w:val="21"/>
              </w:rPr>
              <w:t xml:space="preserve"> </w:t>
            </w:r>
            <w:r>
              <w:rPr>
                <w:spacing w:val="-5"/>
                <w:sz w:val="21"/>
              </w:rPr>
              <w:t>in</w:t>
            </w:r>
          </w:p>
        </w:tc>
        <w:tc>
          <w:tcPr>
            <w:tcW w:w="2393" w:type="dxa"/>
            <w:gridSpan w:val="2"/>
          </w:tcPr>
          <w:p w:rsidR="003F5784" w14:paraId="62C0373F" w14:textId="77777777">
            <w:pPr>
              <w:pStyle w:val="TableParagraph"/>
              <w:spacing w:before="0" w:line="215" w:lineRule="exact"/>
              <w:ind w:right="133"/>
              <w:rPr>
                <w:sz w:val="21"/>
              </w:rPr>
            </w:pPr>
            <w:r>
              <w:rPr>
                <w:spacing w:val="-2"/>
                <w:sz w:val="21"/>
              </w:rPr>
              <w:t>substitution</w:t>
            </w:r>
          </w:p>
        </w:tc>
        <w:tc>
          <w:tcPr>
            <w:tcW w:w="2078" w:type="dxa"/>
          </w:tcPr>
          <w:p w:rsidR="003F5784" w14:paraId="031466D9" w14:textId="77777777">
            <w:pPr>
              <w:pStyle w:val="TableParagraph"/>
              <w:spacing w:before="0" w:line="215" w:lineRule="exact"/>
              <w:ind w:right="164"/>
              <w:rPr>
                <w:sz w:val="21"/>
              </w:rPr>
            </w:pPr>
            <w:r>
              <w:rPr>
                <w:sz w:val="21"/>
              </w:rPr>
              <w:t>rates</w:t>
            </w:r>
            <w:r>
              <w:rPr>
                <w:spacing w:val="-5"/>
                <w:sz w:val="21"/>
              </w:rPr>
              <w:t xml:space="preserve"> </w:t>
            </w:r>
            <w:r>
              <w:rPr>
                <w:spacing w:val="-2"/>
                <w:sz w:val="21"/>
              </w:rPr>
              <w:t>(percent)</w:t>
            </w:r>
          </w:p>
        </w:tc>
        <w:tc>
          <w:tcPr>
            <w:tcW w:w="1350" w:type="dxa"/>
          </w:tcPr>
          <w:p w:rsidR="003F5784" w14:paraId="40BA4915" w14:textId="77777777">
            <w:pPr>
              <w:pStyle w:val="TableParagraph"/>
              <w:spacing w:before="0" w:line="215" w:lineRule="exact"/>
              <w:ind w:right="221"/>
              <w:rPr>
                <w:sz w:val="21"/>
              </w:rPr>
            </w:pPr>
            <w:r>
              <w:rPr>
                <w:sz w:val="21"/>
              </w:rPr>
              <w:t>Number</w:t>
            </w:r>
            <w:r>
              <w:rPr>
                <w:spacing w:val="-8"/>
                <w:sz w:val="21"/>
              </w:rPr>
              <w:t xml:space="preserve"> </w:t>
            </w:r>
            <w:r>
              <w:rPr>
                <w:spacing w:val="-5"/>
                <w:sz w:val="21"/>
              </w:rPr>
              <w:t>of</w:t>
            </w:r>
          </w:p>
        </w:tc>
        <w:tc>
          <w:tcPr>
            <w:tcW w:w="1170" w:type="dxa"/>
          </w:tcPr>
          <w:p w:rsidR="003F5784" w14:paraId="45927197" w14:textId="77777777">
            <w:pPr>
              <w:pStyle w:val="TableParagraph"/>
              <w:spacing w:before="0" w:line="215" w:lineRule="exact"/>
              <w:ind w:right="130"/>
              <w:rPr>
                <w:sz w:val="21"/>
              </w:rPr>
            </w:pPr>
            <w:r>
              <w:rPr>
                <w:spacing w:val="-2"/>
                <w:sz w:val="21"/>
              </w:rPr>
              <w:t>Weighted</w:t>
            </w:r>
          </w:p>
        </w:tc>
        <w:tc>
          <w:tcPr>
            <w:tcW w:w="1653" w:type="dxa"/>
            <w:gridSpan w:val="2"/>
          </w:tcPr>
          <w:p w:rsidR="003F5784" w14:paraId="1E1C78DC" w14:textId="77777777">
            <w:pPr>
              <w:pStyle w:val="TableParagraph"/>
              <w:spacing w:before="0" w:line="215" w:lineRule="exact"/>
              <w:ind w:right="147"/>
              <w:rPr>
                <w:sz w:val="21"/>
              </w:rPr>
            </w:pPr>
            <w:r>
              <w:rPr>
                <w:spacing w:val="-2"/>
                <w:sz w:val="21"/>
              </w:rPr>
              <w:t>Weighted</w:t>
            </w:r>
            <w:r>
              <w:rPr>
                <w:spacing w:val="-11"/>
                <w:sz w:val="21"/>
              </w:rPr>
              <w:t xml:space="preserve"> </w:t>
            </w:r>
            <w:r>
              <w:rPr>
                <w:spacing w:val="-2"/>
                <w:sz w:val="21"/>
              </w:rPr>
              <w:t>student</w:t>
            </w:r>
          </w:p>
        </w:tc>
        <w:tc>
          <w:tcPr>
            <w:tcW w:w="1616" w:type="dxa"/>
            <w:gridSpan w:val="2"/>
          </w:tcPr>
          <w:p w:rsidR="003F5784" w14:paraId="455562F1" w14:textId="77777777">
            <w:pPr>
              <w:pStyle w:val="TableParagraph"/>
              <w:spacing w:before="0"/>
              <w:jc w:val="left"/>
              <w:rPr>
                <w:sz w:val="16"/>
              </w:rPr>
            </w:pPr>
          </w:p>
        </w:tc>
      </w:tr>
      <w:tr w14:paraId="3F4A71CF" w14:textId="77777777" w:rsidTr="00C94150">
        <w:tblPrEx>
          <w:tblW w:w="14297" w:type="dxa"/>
          <w:tblInd w:w="552" w:type="dxa"/>
          <w:tblLayout w:type="fixed"/>
          <w:tblCellMar>
            <w:left w:w="0" w:type="dxa"/>
            <w:right w:w="0" w:type="dxa"/>
          </w:tblCellMar>
          <w:tblLook w:val="01E0"/>
        </w:tblPrEx>
        <w:trPr>
          <w:trHeight w:val="234"/>
        </w:trPr>
        <w:tc>
          <w:tcPr>
            <w:tcW w:w="4037" w:type="dxa"/>
            <w:gridSpan w:val="2"/>
          </w:tcPr>
          <w:p w:rsidR="003F5784" w14:paraId="596EE9EE" w14:textId="77777777">
            <w:pPr>
              <w:pStyle w:val="TableParagraph"/>
              <w:spacing w:before="0" w:line="215" w:lineRule="exact"/>
              <w:ind w:right="133"/>
              <w:rPr>
                <w:sz w:val="21"/>
              </w:rPr>
            </w:pPr>
            <w:r>
              <w:rPr>
                <w:spacing w:val="-2"/>
                <w:sz w:val="21"/>
              </w:rPr>
              <w:t>original</w:t>
            </w:r>
          </w:p>
        </w:tc>
        <w:tc>
          <w:tcPr>
            <w:tcW w:w="2393" w:type="dxa"/>
            <w:gridSpan w:val="2"/>
          </w:tcPr>
          <w:p w:rsidR="003F5784" w14:paraId="0F11221C" w14:textId="77777777">
            <w:pPr>
              <w:pStyle w:val="TableParagraph"/>
              <w:spacing w:before="0" w:line="215" w:lineRule="exact"/>
              <w:ind w:right="133"/>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2078" w:type="dxa"/>
          </w:tcPr>
          <w:p w:rsidR="003F5784" w14:paraId="1F564D10" w14:textId="77777777">
            <w:pPr>
              <w:pStyle w:val="TableParagraph"/>
              <w:spacing w:before="0" w:line="215" w:lineRule="exact"/>
              <w:ind w:right="164"/>
              <w:rPr>
                <w:sz w:val="21"/>
              </w:rPr>
            </w:pPr>
            <w:r>
              <w:rPr>
                <w:sz w:val="21"/>
              </w:rPr>
              <w:t>before</w:t>
            </w:r>
            <w:r>
              <w:rPr>
                <w:spacing w:val="-7"/>
                <w:sz w:val="21"/>
              </w:rPr>
              <w:t xml:space="preserve"> </w:t>
            </w:r>
            <w:r>
              <w:rPr>
                <w:spacing w:val="-2"/>
                <w:sz w:val="21"/>
              </w:rPr>
              <w:t>substitution</w:t>
            </w:r>
          </w:p>
        </w:tc>
        <w:tc>
          <w:tcPr>
            <w:tcW w:w="1350" w:type="dxa"/>
          </w:tcPr>
          <w:p w:rsidR="003F5784" w14:paraId="4CD71DD4" w14:textId="77777777">
            <w:pPr>
              <w:pStyle w:val="TableParagraph"/>
              <w:spacing w:before="0" w:line="215" w:lineRule="exact"/>
              <w:ind w:right="221"/>
              <w:rPr>
                <w:sz w:val="21"/>
              </w:rPr>
            </w:pPr>
            <w:r>
              <w:rPr>
                <w:spacing w:val="-2"/>
                <w:sz w:val="21"/>
              </w:rPr>
              <w:t>students</w:t>
            </w:r>
          </w:p>
        </w:tc>
        <w:tc>
          <w:tcPr>
            <w:tcW w:w="1170" w:type="dxa"/>
          </w:tcPr>
          <w:p w:rsidR="003F5784" w14:paraId="73A01EA3" w14:textId="77777777">
            <w:pPr>
              <w:pStyle w:val="TableParagraph"/>
              <w:spacing w:before="0" w:line="215" w:lineRule="exact"/>
              <w:ind w:right="130"/>
              <w:rPr>
                <w:sz w:val="21"/>
              </w:rPr>
            </w:pPr>
            <w:r>
              <w:rPr>
                <w:sz w:val="21"/>
              </w:rPr>
              <w:t>percent</w:t>
            </w:r>
            <w:r>
              <w:rPr>
                <w:spacing w:val="-8"/>
                <w:sz w:val="21"/>
              </w:rPr>
              <w:t xml:space="preserve"> </w:t>
            </w:r>
            <w:r>
              <w:rPr>
                <w:spacing w:val="-5"/>
                <w:sz w:val="21"/>
              </w:rPr>
              <w:t>of</w:t>
            </w:r>
          </w:p>
        </w:tc>
        <w:tc>
          <w:tcPr>
            <w:tcW w:w="1653" w:type="dxa"/>
            <w:gridSpan w:val="2"/>
          </w:tcPr>
          <w:p w:rsidR="003F5784" w14:paraId="60C43E23" w14:textId="77777777">
            <w:pPr>
              <w:pStyle w:val="TableParagraph"/>
              <w:spacing w:before="0" w:line="215" w:lineRule="exact"/>
              <w:ind w:right="147"/>
              <w:rPr>
                <w:sz w:val="21"/>
              </w:rPr>
            </w:pPr>
            <w:r>
              <w:rPr>
                <w:spacing w:val="-2"/>
                <w:sz w:val="21"/>
              </w:rPr>
              <w:t>participation</w:t>
            </w:r>
          </w:p>
        </w:tc>
        <w:tc>
          <w:tcPr>
            <w:tcW w:w="1616" w:type="dxa"/>
            <w:gridSpan w:val="2"/>
          </w:tcPr>
          <w:p w:rsidR="003F5784" w:rsidP="00C94150" w14:paraId="6390A658" w14:textId="77777777">
            <w:pPr>
              <w:pStyle w:val="TableParagraph"/>
              <w:spacing w:before="0" w:line="215" w:lineRule="exact"/>
              <w:ind w:left="210" w:right="43" w:hanging="210"/>
              <w:rPr>
                <w:sz w:val="21"/>
              </w:rPr>
            </w:pPr>
            <w:r>
              <w:rPr>
                <w:spacing w:val="-2"/>
                <w:sz w:val="21"/>
              </w:rPr>
              <w:t>Weighted</w:t>
            </w:r>
            <w:r>
              <w:rPr>
                <w:spacing w:val="-11"/>
                <w:sz w:val="21"/>
              </w:rPr>
              <w:t xml:space="preserve"> </w:t>
            </w:r>
            <w:r>
              <w:rPr>
                <w:spacing w:val="-2"/>
                <w:sz w:val="21"/>
              </w:rPr>
              <w:t>percent</w:t>
            </w:r>
          </w:p>
        </w:tc>
      </w:tr>
      <w:tr w14:paraId="76F5AC79" w14:textId="77777777" w:rsidTr="00C94150">
        <w:tblPrEx>
          <w:tblW w:w="14297" w:type="dxa"/>
          <w:tblInd w:w="552" w:type="dxa"/>
          <w:tblLayout w:type="fixed"/>
          <w:tblCellMar>
            <w:left w:w="0" w:type="dxa"/>
            <w:right w:w="0" w:type="dxa"/>
          </w:tblCellMar>
          <w:tblLook w:val="01E0"/>
        </w:tblPrEx>
        <w:trPr>
          <w:trHeight w:val="234"/>
        </w:trPr>
        <w:tc>
          <w:tcPr>
            <w:tcW w:w="4037" w:type="dxa"/>
            <w:gridSpan w:val="2"/>
          </w:tcPr>
          <w:p w:rsidR="003F5784" w14:paraId="25FCE4FF" w14:textId="77777777">
            <w:pPr>
              <w:pStyle w:val="TableParagraph"/>
              <w:spacing w:before="0" w:line="215" w:lineRule="exact"/>
              <w:ind w:right="133"/>
              <w:rPr>
                <w:sz w:val="21"/>
              </w:rPr>
            </w:pPr>
            <w:r>
              <w:rPr>
                <w:spacing w:val="-2"/>
                <w:sz w:val="21"/>
              </w:rPr>
              <w:t>sample,</w:t>
            </w:r>
          </w:p>
        </w:tc>
        <w:tc>
          <w:tcPr>
            <w:tcW w:w="2393" w:type="dxa"/>
            <w:gridSpan w:val="2"/>
          </w:tcPr>
          <w:p w:rsidR="003F5784" w14:paraId="71E9D975" w14:textId="77777777">
            <w:pPr>
              <w:pStyle w:val="TableParagraph"/>
              <w:spacing w:before="0" w:line="215" w:lineRule="exact"/>
              <w:ind w:right="133"/>
              <w:rPr>
                <w:sz w:val="21"/>
              </w:rPr>
            </w:pPr>
            <w:r>
              <w:rPr>
                <w:sz w:val="21"/>
              </w:rPr>
              <w:t>weight</w:t>
            </w:r>
            <w:r>
              <w:rPr>
                <w:spacing w:val="-7"/>
                <w:sz w:val="21"/>
              </w:rPr>
              <w:t xml:space="preserve"> </w:t>
            </w:r>
            <w:r>
              <w:rPr>
                <w:spacing w:val="-5"/>
                <w:sz w:val="21"/>
              </w:rPr>
              <w:t>and</w:t>
            </w:r>
          </w:p>
        </w:tc>
        <w:tc>
          <w:tcPr>
            <w:tcW w:w="2078" w:type="dxa"/>
          </w:tcPr>
          <w:p w:rsidR="003F5784" w14:paraId="33486101" w14:textId="77777777">
            <w:pPr>
              <w:pStyle w:val="TableParagraph"/>
              <w:spacing w:before="0" w:line="215" w:lineRule="exact"/>
              <w:ind w:right="164"/>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350" w:type="dxa"/>
          </w:tcPr>
          <w:p w:rsidR="003F5784" w14:paraId="7ABE34CF" w14:textId="77777777">
            <w:pPr>
              <w:pStyle w:val="TableParagraph"/>
              <w:spacing w:before="0" w:line="215" w:lineRule="exact"/>
              <w:ind w:right="221"/>
              <w:rPr>
                <w:sz w:val="21"/>
              </w:rPr>
            </w:pPr>
            <w:r>
              <w:rPr>
                <w:spacing w:val="-2"/>
                <w:sz w:val="21"/>
              </w:rPr>
              <w:t>sampled,</w:t>
            </w:r>
          </w:p>
        </w:tc>
        <w:tc>
          <w:tcPr>
            <w:tcW w:w="1170" w:type="dxa"/>
          </w:tcPr>
          <w:p w:rsidR="003F5784" w14:paraId="6DFCD40B" w14:textId="77777777">
            <w:pPr>
              <w:pStyle w:val="TableParagraph"/>
              <w:spacing w:before="0" w:line="215" w:lineRule="exact"/>
              <w:ind w:right="130"/>
              <w:rPr>
                <w:sz w:val="21"/>
              </w:rPr>
            </w:pPr>
            <w:r>
              <w:rPr>
                <w:spacing w:val="-2"/>
                <w:sz w:val="21"/>
              </w:rPr>
              <w:t>students</w:t>
            </w:r>
          </w:p>
        </w:tc>
        <w:tc>
          <w:tcPr>
            <w:tcW w:w="1653" w:type="dxa"/>
            <w:gridSpan w:val="2"/>
          </w:tcPr>
          <w:p w:rsidR="003F5784" w14:paraId="175FAB1A" w14:textId="77777777">
            <w:pPr>
              <w:pStyle w:val="TableParagraph"/>
              <w:spacing w:before="0" w:line="215" w:lineRule="exact"/>
              <w:ind w:right="147"/>
              <w:rPr>
                <w:sz w:val="21"/>
              </w:rPr>
            </w:pPr>
            <w:r>
              <w:rPr>
                <w:sz w:val="21"/>
              </w:rPr>
              <w:t>rates</w:t>
            </w:r>
            <w:r>
              <w:rPr>
                <w:spacing w:val="-5"/>
                <w:sz w:val="21"/>
              </w:rPr>
              <w:t xml:space="preserve"> </w:t>
            </w:r>
            <w:r>
              <w:rPr>
                <w:spacing w:val="-2"/>
                <w:sz w:val="21"/>
              </w:rPr>
              <w:t>(percent)</w:t>
            </w:r>
          </w:p>
        </w:tc>
        <w:tc>
          <w:tcPr>
            <w:tcW w:w="1616" w:type="dxa"/>
            <w:gridSpan w:val="2"/>
          </w:tcPr>
          <w:p w:rsidR="003F5784" w14:paraId="4C33B6B9" w14:textId="77777777">
            <w:pPr>
              <w:pStyle w:val="TableParagraph"/>
              <w:spacing w:before="0" w:line="215" w:lineRule="exact"/>
              <w:ind w:right="43"/>
              <w:rPr>
                <w:sz w:val="21"/>
              </w:rPr>
            </w:pPr>
            <w:r>
              <w:rPr>
                <w:sz w:val="21"/>
              </w:rPr>
              <w:t>of</w:t>
            </w:r>
            <w:r>
              <w:rPr>
                <w:spacing w:val="-3"/>
                <w:sz w:val="21"/>
              </w:rPr>
              <w:t xml:space="preserve"> </w:t>
            </w:r>
            <w:r>
              <w:rPr>
                <w:spacing w:val="-2"/>
                <w:sz w:val="21"/>
              </w:rPr>
              <w:t>students</w:t>
            </w:r>
          </w:p>
        </w:tc>
      </w:tr>
      <w:tr w14:paraId="3A0F3B75" w14:textId="77777777" w:rsidTr="00C94150">
        <w:tblPrEx>
          <w:tblW w:w="14297" w:type="dxa"/>
          <w:tblInd w:w="552" w:type="dxa"/>
          <w:tblLayout w:type="fixed"/>
          <w:tblCellMar>
            <w:left w:w="0" w:type="dxa"/>
            <w:right w:w="0" w:type="dxa"/>
          </w:tblCellMar>
          <w:tblLook w:val="01E0"/>
        </w:tblPrEx>
        <w:trPr>
          <w:trHeight w:val="232"/>
        </w:trPr>
        <w:tc>
          <w:tcPr>
            <w:tcW w:w="4037" w:type="dxa"/>
            <w:gridSpan w:val="2"/>
          </w:tcPr>
          <w:p w:rsidR="003F5784" w14:paraId="49E692EB" w14:textId="77777777">
            <w:pPr>
              <w:pStyle w:val="TableParagraph"/>
              <w:tabs>
                <w:tab w:val="left" w:pos="3025"/>
              </w:tabs>
              <w:spacing w:before="0" w:line="213" w:lineRule="exact"/>
              <w:ind w:right="133"/>
              <w:rPr>
                <w:sz w:val="21"/>
              </w:rPr>
            </w:pPr>
            <w:r>
              <w:rPr>
                <w:sz w:val="21"/>
              </w:rPr>
              <w:t>School</w:t>
            </w:r>
            <w:r>
              <w:rPr>
                <w:spacing w:val="-6"/>
                <w:sz w:val="21"/>
              </w:rPr>
              <w:t xml:space="preserve"> </w:t>
            </w:r>
            <w:r>
              <w:rPr>
                <w:sz w:val="21"/>
              </w:rPr>
              <w:t>type</w:t>
            </w:r>
            <w:r>
              <w:rPr>
                <w:spacing w:val="-5"/>
                <w:sz w:val="21"/>
              </w:rPr>
              <w:t xml:space="preserve"> </w:t>
            </w:r>
            <w:r>
              <w:rPr>
                <w:sz w:val="21"/>
              </w:rPr>
              <w:t>and</w:t>
            </w:r>
            <w:r>
              <w:rPr>
                <w:spacing w:val="-5"/>
                <w:sz w:val="21"/>
              </w:rPr>
              <w:t xml:space="preserve"> </w:t>
            </w:r>
            <w:r>
              <w:rPr>
                <w:spacing w:val="-2"/>
                <w:sz w:val="21"/>
              </w:rPr>
              <w:t>jurisdiction</w:t>
            </w:r>
            <w:r>
              <w:rPr>
                <w:sz w:val="21"/>
              </w:rPr>
              <w:tab/>
            </w:r>
            <w:r>
              <w:rPr>
                <w:spacing w:val="-2"/>
                <w:sz w:val="21"/>
              </w:rPr>
              <w:t>rounded</w:t>
            </w:r>
          </w:p>
        </w:tc>
        <w:tc>
          <w:tcPr>
            <w:tcW w:w="2393" w:type="dxa"/>
            <w:gridSpan w:val="2"/>
          </w:tcPr>
          <w:p w:rsidR="003F5784" w14:paraId="2D9F300B" w14:textId="77777777">
            <w:pPr>
              <w:pStyle w:val="TableParagraph"/>
              <w:spacing w:before="0" w:line="213" w:lineRule="exact"/>
              <w:ind w:right="133"/>
              <w:rPr>
                <w:sz w:val="21"/>
              </w:rPr>
            </w:pPr>
            <w:r>
              <w:rPr>
                <w:spacing w:val="-2"/>
                <w:sz w:val="21"/>
              </w:rPr>
              <w:t>enrollment)</w:t>
            </w:r>
          </w:p>
        </w:tc>
        <w:tc>
          <w:tcPr>
            <w:tcW w:w="2078" w:type="dxa"/>
          </w:tcPr>
          <w:p w:rsidR="003F5784" w14:paraId="4F02D456" w14:textId="77777777">
            <w:pPr>
              <w:pStyle w:val="TableParagraph"/>
              <w:spacing w:before="0" w:line="213" w:lineRule="exact"/>
              <w:ind w:right="164"/>
              <w:rPr>
                <w:sz w:val="21"/>
              </w:rPr>
            </w:pPr>
            <w:r>
              <w:rPr>
                <w:sz w:val="21"/>
              </w:rPr>
              <w:t>weight</w:t>
            </w:r>
            <w:r>
              <w:rPr>
                <w:spacing w:val="-7"/>
                <w:sz w:val="21"/>
              </w:rPr>
              <w:t xml:space="preserve"> </w:t>
            </w:r>
            <w:r>
              <w:rPr>
                <w:spacing w:val="-2"/>
                <w:sz w:val="21"/>
              </w:rPr>
              <w:t>only)</w:t>
            </w:r>
          </w:p>
        </w:tc>
        <w:tc>
          <w:tcPr>
            <w:tcW w:w="1350" w:type="dxa"/>
          </w:tcPr>
          <w:p w:rsidR="003F5784" w14:paraId="3A98C5E1" w14:textId="77777777">
            <w:pPr>
              <w:pStyle w:val="TableParagraph"/>
              <w:spacing w:before="0" w:line="213" w:lineRule="exact"/>
              <w:ind w:right="221"/>
              <w:rPr>
                <w:sz w:val="21"/>
              </w:rPr>
            </w:pPr>
            <w:r>
              <w:rPr>
                <w:spacing w:val="-2"/>
                <w:sz w:val="21"/>
              </w:rPr>
              <w:t>rounded</w:t>
            </w:r>
          </w:p>
        </w:tc>
        <w:tc>
          <w:tcPr>
            <w:tcW w:w="1170" w:type="dxa"/>
          </w:tcPr>
          <w:p w:rsidR="003F5784" w14:paraId="11EC0C07" w14:textId="77777777">
            <w:pPr>
              <w:pStyle w:val="TableParagraph"/>
              <w:spacing w:before="0" w:line="213" w:lineRule="exact"/>
              <w:ind w:right="130"/>
              <w:rPr>
                <w:sz w:val="21"/>
              </w:rPr>
            </w:pPr>
            <w:r>
              <w:rPr>
                <w:spacing w:val="-2"/>
                <w:sz w:val="21"/>
              </w:rPr>
              <w:t>excluded</w:t>
            </w:r>
          </w:p>
        </w:tc>
        <w:tc>
          <w:tcPr>
            <w:tcW w:w="1653" w:type="dxa"/>
            <w:gridSpan w:val="2"/>
          </w:tcPr>
          <w:p w:rsidR="003F5784" w14:paraId="2796205E" w14:textId="77777777">
            <w:pPr>
              <w:pStyle w:val="TableParagraph"/>
              <w:spacing w:before="0" w:line="213" w:lineRule="exact"/>
              <w:ind w:right="147"/>
              <w:rPr>
                <w:sz w:val="21"/>
              </w:rPr>
            </w:pPr>
            <w:r>
              <w:rPr>
                <w:sz w:val="21"/>
              </w:rPr>
              <w:t>after</w:t>
            </w:r>
            <w:r>
              <w:rPr>
                <w:spacing w:val="-5"/>
                <w:sz w:val="21"/>
              </w:rPr>
              <w:t xml:space="preserve"> </w:t>
            </w:r>
            <w:r>
              <w:rPr>
                <w:spacing w:val="-2"/>
                <w:sz w:val="21"/>
              </w:rPr>
              <w:t>makeups</w:t>
            </w:r>
          </w:p>
        </w:tc>
        <w:tc>
          <w:tcPr>
            <w:tcW w:w="1616" w:type="dxa"/>
            <w:gridSpan w:val="2"/>
          </w:tcPr>
          <w:p w:rsidR="003F5784" w14:paraId="456475FD" w14:textId="77777777">
            <w:pPr>
              <w:pStyle w:val="TableParagraph"/>
              <w:spacing w:before="0" w:line="213" w:lineRule="exact"/>
              <w:ind w:right="43"/>
              <w:rPr>
                <w:sz w:val="21"/>
              </w:rPr>
            </w:pPr>
            <w:r>
              <w:rPr>
                <w:spacing w:val="-2"/>
                <w:sz w:val="21"/>
              </w:rPr>
              <w:t>accommodated</w:t>
            </w:r>
          </w:p>
        </w:tc>
      </w:tr>
      <w:tr w14:paraId="7C8EEBD4" w14:textId="77777777" w:rsidTr="00C94150">
        <w:tblPrEx>
          <w:tblW w:w="14297" w:type="dxa"/>
          <w:tblInd w:w="552" w:type="dxa"/>
          <w:tblLayout w:type="fixed"/>
          <w:tblCellMar>
            <w:left w:w="0" w:type="dxa"/>
            <w:right w:w="0" w:type="dxa"/>
          </w:tblCellMar>
          <w:tblLook w:val="01E0"/>
        </w:tblPrEx>
        <w:trPr>
          <w:gridAfter w:val="1"/>
          <w:wAfter w:w="89" w:type="dxa"/>
          <w:trHeight w:val="278"/>
        </w:trPr>
        <w:tc>
          <w:tcPr>
            <w:tcW w:w="2493" w:type="dxa"/>
            <w:tcBorders>
              <w:top w:val="single" w:sz="18" w:space="0" w:color="800000"/>
            </w:tcBorders>
          </w:tcPr>
          <w:p w:rsidR="003F5784" w14:paraId="7568DB75" w14:textId="77777777">
            <w:pPr>
              <w:pStyle w:val="TableParagraph"/>
              <w:spacing w:before="9"/>
              <w:ind w:left="120"/>
              <w:jc w:val="left"/>
              <w:rPr>
                <w:sz w:val="21"/>
              </w:rPr>
            </w:pPr>
            <w:r>
              <w:rPr>
                <w:spacing w:val="-2"/>
                <w:sz w:val="21"/>
              </w:rPr>
              <w:t>Louisiana</w:t>
            </w:r>
          </w:p>
        </w:tc>
        <w:tc>
          <w:tcPr>
            <w:tcW w:w="1597" w:type="dxa"/>
            <w:gridSpan w:val="2"/>
            <w:tcBorders>
              <w:top w:val="single" w:sz="18" w:space="0" w:color="800000"/>
            </w:tcBorders>
          </w:tcPr>
          <w:p w:rsidR="003F5784" w14:paraId="52B7FD2E" w14:textId="77777777">
            <w:pPr>
              <w:pStyle w:val="TableParagraph"/>
              <w:spacing w:before="9"/>
              <w:ind w:right="738"/>
              <w:rPr>
                <w:sz w:val="21"/>
              </w:rPr>
            </w:pPr>
            <w:r>
              <w:rPr>
                <w:spacing w:val="-5"/>
                <w:sz w:val="21"/>
              </w:rPr>
              <w:t>90</w:t>
            </w:r>
          </w:p>
        </w:tc>
        <w:tc>
          <w:tcPr>
            <w:tcW w:w="2340" w:type="dxa"/>
            <w:tcBorders>
              <w:top w:val="single" w:sz="18" w:space="0" w:color="800000"/>
            </w:tcBorders>
          </w:tcPr>
          <w:p w:rsidR="003F5784" w14:paraId="7778BA47" w14:textId="77777777">
            <w:pPr>
              <w:pStyle w:val="TableParagraph"/>
              <w:spacing w:before="9"/>
              <w:ind w:left="159" w:right="112"/>
              <w:jc w:val="center"/>
              <w:rPr>
                <w:sz w:val="21"/>
              </w:rPr>
            </w:pPr>
            <w:r>
              <w:rPr>
                <w:spacing w:val="-2"/>
                <w:sz w:val="21"/>
              </w:rPr>
              <w:t>100.00</w:t>
            </w:r>
          </w:p>
        </w:tc>
        <w:tc>
          <w:tcPr>
            <w:tcW w:w="2078" w:type="dxa"/>
            <w:tcBorders>
              <w:top w:val="single" w:sz="18" w:space="0" w:color="800000"/>
            </w:tcBorders>
          </w:tcPr>
          <w:p w:rsidR="003F5784" w14:paraId="6D8F3D90" w14:textId="77777777">
            <w:pPr>
              <w:pStyle w:val="TableParagraph"/>
              <w:spacing w:before="9"/>
              <w:ind w:right="386"/>
              <w:rPr>
                <w:sz w:val="21"/>
              </w:rPr>
            </w:pPr>
            <w:r>
              <w:rPr>
                <w:spacing w:val="-2"/>
                <w:sz w:val="21"/>
              </w:rPr>
              <w:t>100.00</w:t>
            </w:r>
          </w:p>
        </w:tc>
        <w:tc>
          <w:tcPr>
            <w:tcW w:w="1350" w:type="dxa"/>
            <w:tcBorders>
              <w:top w:val="single" w:sz="18" w:space="0" w:color="800000"/>
            </w:tcBorders>
          </w:tcPr>
          <w:p w:rsidR="003F5784" w14:paraId="2B399C40" w14:textId="77777777">
            <w:pPr>
              <w:pStyle w:val="TableParagraph"/>
              <w:spacing w:before="9"/>
              <w:ind w:left="387"/>
              <w:jc w:val="left"/>
              <w:rPr>
                <w:sz w:val="21"/>
              </w:rPr>
            </w:pPr>
            <w:r>
              <w:rPr>
                <w:spacing w:val="-2"/>
                <w:sz w:val="21"/>
              </w:rPr>
              <w:t>2,100</w:t>
            </w:r>
          </w:p>
        </w:tc>
        <w:tc>
          <w:tcPr>
            <w:tcW w:w="1170" w:type="dxa"/>
            <w:tcBorders>
              <w:top w:val="single" w:sz="18" w:space="0" w:color="800000"/>
            </w:tcBorders>
          </w:tcPr>
          <w:p w:rsidR="003F5784" w14:paraId="5C2BFC1F" w14:textId="77777777">
            <w:pPr>
              <w:pStyle w:val="TableParagraph"/>
              <w:spacing w:before="9"/>
              <w:ind w:left="463"/>
              <w:jc w:val="left"/>
              <w:rPr>
                <w:sz w:val="21"/>
              </w:rPr>
            </w:pPr>
            <w:r>
              <w:rPr>
                <w:spacing w:val="-4"/>
                <w:sz w:val="21"/>
              </w:rPr>
              <w:t>1.60</w:t>
            </w:r>
          </w:p>
        </w:tc>
        <w:tc>
          <w:tcPr>
            <w:tcW w:w="1620" w:type="dxa"/>
            <w:tcBorders>
              <w:top w:val="single" w:sz="18" w:space="0" w:color="800000"/>
            </w:tcBorders>
          </w:tcPr>
          <w:p w:rsidR="003F5784" w14:paraId="1E7405EF" w14:textId="77777777">
            <w:pPr>
              <w:pStyle w:val="TableParagraph"/>
              <w:spacing w:before="9"/>
              <w:ind w:right="22"/>
              <w:jc w:val="center"/>
              <w:rPr>
                <w:sz w:val="21"/>
              </w:rPr>
            </w:pPr>
            <w:r>
              <w:rPr>
                <w:spacing w:val="-2"/>
                <w:sz w:val="21"/>
              </w:rPr>
              <w:t>92.36</w:t>
            </w:r>
          </w:p>
        </w:tc>
        <w:tc>
          <w:tcPr>
            <w:tcW w:w="1560" w:type="dxa"/>
            <w:gridSpan w:val="2"/>
            <w:tcBorders>
              <w:top w:val="single" w:sz="18" w:space="0" w:color="800000"/>
            </w:tcBorders>
          </w:tcPr>
          <w:p w:rsidR="003F5784" w14:paraId="64145F0A" w14:textId="77777777">
            <w:pPr>
              <w:pStyle w:val="TableParagraph"/>
              <w:spacing w:before="9"/>
              <w:ind w:right="118"/>
              <w:rPr>
                <w:sz w:val="21"/>
              </w:rPr>
            </w:pPr>
            <w:r>
              <w:rPr>
                <w:spacing w:val="-2"/>
                <w:sz w:val="21"/>
              </w:rPr>
              <w:t>19.32</w:t>
            </w:r>
          </w:p>
        </w:tc>
      </w:tr>
      <w:tr w14:paraId="19D2FDE2"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11FA251F" w14:textId="77777777">
            <w:pPr>
              <w:pStyle w:val="TableParagraph"/>
              <w:ind w:left="120"/>
              <w:jc w:val="left"/>
              <w:rPr>
                <w:sz w:val="21"/>
              </w:rPr>
            </w:pPr>
            <w:r>
              <w:rPr>
                <w:spacing w:val="-2"/>
                <w:sz w:val="21"/>
              </w:rPr>
              <w:t>Maine</w:t>
            </w:r>
          </w:p>
        </w:tc>
        <w:tc>
          <w:tcPr>
            <w:tcW w:w="1597" w:type="dxa"/>
            <w:gridSpan w:val="2"/>
          </w:tcPr>
          <w:p w:rsidR="003F5784" w14:paraId="446EC88A" w14:textId="77777777">
            <w:pPr>
              <w:pStyle w:val="TableParagraph"/>
              <w:ind w:right="738"/>
              <w:rPr>
                <w:sz w:val="21"/>
              </w:rPr>
            </w:pPr>
            <w:r>
              <w:rPr>
                <w:spacing w:val="-5"/>
                <w:sz w:val="21"/>
              </w:rPr>
              <w:t>110</w:t>
            </w:r>
          </w:p>
        </w:tc>
        <w:tc>
          <w:tcPr>
            <w:tcW w:w="2340" w:type="dxa"/>
          </w:tcPr>
          <w:p w:rsidR="003F5784" w14:paraId="69102B66" w14:textId="77777777">
            <w:pPr>
              <w:pStyle w:val="TableParagraph"/>
              <w:ind w:left="159" w:right="112"/>
              <w:jc w:val="center"/>
              <w:rPr>
                <w:sz w:val="21"/>
              </w:rPr>
            </w:pPr>
            <w:r>
              <w:rPr>
                <w:spacing w:val="-2"/>
                <w:sz w:val="21"/>
              </w:rPr>
              <w:t>100.00</w:t>
            </w:r>
          </w:p>
        </w:tc>
        <w:tc>
          <w:tcPr>
            <w:tcW w:w="2078" w:type="dxa"/>
          </w:tcPr>
          <w:p w:rsidR="003F5784" w14:paraId="2C5DDD05" w14:textId="77777777">
            <w:pPr>
              <w:pStyle w:val="TableParagraph"/>
              <w:ind w:right="386"/>
              <w:rPr>
                <w:sz w:val="21"/>
              </w:rPr>
            </w:pPr>
            <w:r>
              <w:rPr>
                <w:spacing w:val="-2"/>
                <w:sz w:val="21"/>
              </w:rPr>
              <w:t>100.00</w:t>
            </w:r>
          </w:p>
        </w:tc>
        <w:tc>
          <w:tcPr>
            <w:tcW w:w="1350" w:type="dxa"/>
          </w:tcPr>
          <w:p w:rsidR="003F5784" w14:paraId="27F4D10D" w14:textId="77777777">
            <w:pPr>
              <w:pStyle w:val="TableParagraph"/>
              <w:ind w:left="387"/>
              <w:jc w:val="left"/>
              <w:rPr>
                <w:sz w:val="21"/>
              </w:rPr>
            </w:pPr>
            <w:r>
              <w:rPr>
                <w:spacing w:val="-2"/>
                <w:sz w:val="21"/>
              </w:rPr>
              <w:t>2,000</w:t>
            </w:r>
          </w:p>
        </w:tc>
        <w:tc>
          <w:tcPr>
            <w:tcW w:w="1170" w:type="dxa"/>
          </w:tcPr>
          <w:p w:rsidR="003F5784" w14:paraId="76049717" w14:textId="77777777">
            <w:pPr>
              <w:pStyle w:val="TableParagraph"/>
              <w:ind w:left="463"/>
              <w:jc w:val="left"/>
              <w:rPr>
                <w:sz w:val="21"/>
              </w:rPr>
            </w:pPr>
            <w:r>
              <w:rPr>
                <w:spacing w:val="-4"/>
                <w:sz w:val="21"/>
              </w:rPr>
              <w:t>1.51</w:t>
            </w:r>
          </w:p>
        </w:tc>
        <w:tc>
          <w:tcPr>
            <w:tcW w:w="1620" w:type="dxa"/>
          </w:tcPr>
          <w:p w:rsidR="003F5784" w14:paraId="2925567A" w14:textId="77777777">
            <w:pPr>
              <w:pStyle w:val="TableParagraph"/>
              <w:ind w:right="22"/>
              <w:jc w:val="center"/>
              <w:rPr>
                <w:sz w:val="21"/>
              </w:rPr>
            </w:pPr>
            <w:r>
              <w:rPr>
                <w:spacing w:val="-2"/>
                <w:sz w:val="21"/>
              </w:rPr>
              <w:t>90.46</w:t>
            </w:r>
          </w:p>
        </w:tc>
        <w:tc>
          <w:tcPr>
            <w:tcW w:w="1560" w:type="dxa"/>
            <w:gridSpan w:val="2"/>
          </w:tcPr>
          <w:p w:rsidR="003F5784" w14:paraId="18734962" w14:textId="77777777">
            <w:pPr>
              <w:pStyle w:val="TableParagraph"/>
              <w:ind w:right="118"/>
              <w:rPr>
                <w:sz w:val="21"/>
              </w:rPr>
            </w:pPr>
            <w:r>
              <w:rPr>
                <w:spacing w:val="-2"/>
                <w:sz w:val="21"/>
              </w:rPr>
              <w:t>15.87</w:t>
            </w:r>
          </w:p>
        </w:tc>
      </w:tr>
      <w:tr w14:paraId="429DD4A8"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4E62934E" w14:textId="77777777">
            <w:pPr>
              <w:pStyle w:val="TableParagraph"/>
              <w:ind w:left="120"/>
              <w:jc w:val="left"/>
              <w:rPr>
                <w:sz w:val="21"/>
              </w:rPr>
            </w:pPr>
            <w:r>
              <w:rPr>
                <w:spacing w:val="-2"/>
                <w:sz w:val="21"/>
              </w:rPr>
              <w:t>Maryland</w:t>
            </w:r>
          </w:p>
        </w:tc>
        <w:tc>
          <w:tcPr>
            <w:tcW w:w="1597" w:type="dxa"/>
            <w:gridSpan w:val="2"/>
          </w:tcPr>
          <w:p w:rsidR="003F5784" w14:paraId="36B9E6C3" w14:textId="77777777">
            <w:pPr>
              <w:pStyle w:val="TableParagraph"/>
              <w:ind w:right="738"/>
              <w:rPr>
                <w:sz w:val="21"/>
              </w:rPr>
            </w:pPr>
            <w:r>
              <w:rPr>
                <w:spacing w:val="-5"/>
                <w:sz w:val="21"/>
              </w:rPr>
              <w:t>120</w:t>
            </w:r>
          </w:p>
        </w:tc>
        <w:tc>
          <w:tcPr>
            <w:tcW w:w="2340" w:type="dxa"/>
          </w:tcPr>
          <w:p w:rsidR="003F5784" w14:paraId="14D68F00" w14:textId="77777777">
            <w:pPr>
              <w:pStyle w:val="TableParagraph"/>
              <w:ind w:left="159" w:right="112"/>
              <w:jc w:val="center"/>
              <w:rPr>
                <w:sz w:val="21"/>
              </w:rPr>
            </w:pPr>
            <w:r>
              <w:rPr>
                <w:spacing w:val="-2"/>
                <w:sz w:val="21"/>
              </w:rPr>
              <w:t>100.00</w:t>
            </w:r>
          </w:p>
        </w:tc>
        <w:tc>
          <w:tcPr>
            <w:tcW w:w="2078" w:type="dxa"/>
          </w:tcPr>
          <w:p w:rsidR="003F5784" w14:paraId="0638A368" w14:textId="77777777">
            <w:pPr>
              <w:pStyle w:val="TableParagraph"/>
              <w:ind w:right="386"/>
              <w:rPr>
                <w:sz w:val="21"/>
              </w:rPr>
            </w:pPr>
            <w:r>
              <w:rPr>
                <w:spacing w:val="-2"/>
                <w:sz w:val="21"/>
              </w:rPr>
              <w:t>100.00</w:t>
            </w:r>
          </w:p>
        </w:tc>
        <w:tc>
          <w:tcPr>
            <w:tcW w:w="1350" w:type="dxa"/>
          </w:tcPr>
          <w:p w:rsidR="003F5784" w14:paraId="45E18D4B" w14:textId="77777777">
            <w:pPr>
              <w:pStyle w:val="TableParagraph"/>
              <w:ind w:left="387"/>
              <w:jc w:val="left"/>
              <w:rPr>
                <w:sz w:val="21"/>
              </w:rPr>
            </w:pPr>
            <w:r>
              <w:rPr>
                <w:spacing w:val="-2"/>
                <w:sz w:val="21"/>
              </w:rPr>
              <w:t>3,000</w:t>
            </w:r>
          </w:p>
        </w:tc>
        <w:tc>
          <w:tcPr>
            <w:tcW w:w="1170" w:type="dxa"/>
          </w:tcPr>
          <w:p w:rsidR="003F5784" w14:paraId="78F65F24" w14:textId="77777777">
            <w:pPr>
              <w:pStyle w:val="TableParagraph"/>
              <w:ind w:left="463"/>
              <w:jc w:val="left"/>
              <w:rPr>
                <w:sz w:val="21"/>
              </w:rPr>
            </w:pPr>
            <w:r>
              <w:rPr>
                <w:spacing w:val="-4"/>
                <w:sz w:val="21"/>
              </w:rPr>
              <w:t>1.37</w:t>
            </w:r>
          </w:p>
        </w:tc>
        <w:tc>
          <w:tcPr>
            <w:tcW w:w="1620" w:type="dxa"/>
          </w:tcPr>
          <w:p w:rsidR="003F5784" w14:paraId="1EACF3AC" w14:textId="77777777">
            <w:pPr>
              <w:pStyle w:val="TableParagraph"/>
              <w:ind w:right="22"/>
              <w:jc w:val="center"/>
              <w:rPr>
                <w:sz w:val="21"/>
              </w:rPr>
            </w:pPr>
            <w:r>
              <w:rPr>
                <w:spacing w:val="-2"/>
                <w:sz w:val="21"/>
              </w:rPr>
              <w:t>92.09</w:t>
            </w:r>
          </w:p>
        </w:tc>
        <w:tc>
          <w:tcPr>
            <w:tcW w:w="1560" w:type="dxa"/>
            <w:gridSpan w:val="2"/>
          </w:tcPr>
          <w:p w:rsidR="003F5784" w:rsidP="00C94150" w14:paraId="6C0CD03E" w14:textId="77777777">
            <w:pPr>
              <w:pStyle w:val="TableParagraph"/>
              <w:ind w:right="118" w:firstLine="90"/>
              <w:rPr>
                <w:sz w:val="21"/>
              </w:rPr>
            </w:pPr>
            <w:r>
              <w:rPr>
                <w:spacing w:val="-2"/>
                <w:sz w:val="21"/>
              </w:rPr>
              <w:t>21.26</w:t>
            </w:r>
          </w:p>
        </w:tc>
      </w:tr>
      <w:tr w14:paraId="7F497E5C"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3BF40DDE" w14:textId="77777777">
            <w:pPr>
              <w:pStyle w:val="TableParagraph"/>
              <w:ind w:left="120"/>
              <w:jc w:val="left"/>
              <w:rPr>
                <w:sz w:val="21"/>
              </w:rPr>
            </w:pPr>
            <w:r>
              <w:rPr>
                <w:spacing w:val="-2"/>
                <w:sz w:val="21"/>
              </w:rPr>
              <w:t>Massachusetts</w:t>
            </w:r>
          </w:p>
        </w:tc>
        <w:tc>
          <w:tcPr>
            <w:tcW w:w="1597" w:type="dxa"/>
            <w:gridSpan w:val="2"/>
          </w:tcPr>
          <w:p w:rsidR="003F5784" w14:paraId="1CC4D983" w14:textId="77777777">
            <w:pPr>
              <w:pStyle w:val="TableParagraph"/>
              <w:ind w:right="738"/>
              <w:rPr>
                <w:sz w:val="21"/>
              </w:rPr>
            </w:pPr>
            <w:r>
              <w:rPr>
                <w:spacing w:val="-5"/>
                <w:sz w:val="21"/>
              </w:rPr>
              <w:t>130</w:t>
            </w:r>
          </w:p>
        </w:tc>
        <w:tc>
          <w:tcPr>
            <w:tcW w:w="2340" w:type="dxa"/>
          </w:tcPr>
          <w:p w:rsidR="003F5784" w14:paraId="46D94497" w14:textId="77777777">
            <w:pPr>
              <w:pStyle w:val="TableParagraph"/>
              <w:ind w:left="159" w:right="112"/>
              <w:jc w:val="center"/>
              <w:rPr>
                <w:sz w:val="21"/>
              </w:rPr>
            </w:pPr>
            <w:r>
              <w:rPr>
                <w:spacing w:val="-2"/>
                <w:sz w:val="21"/>
              </w:rPr>
              <w:t>100.00</w:t>
            </w:r>
          </w:p>
        </w:tc>
        <w:tc>
          <w:tcPr>
            <w:tcW w:w="2078" w:type="dxa"/>
          </w:tcPr>
          <w:p w:rsidR="003F5784" w14:paraId="18293212" w14:textId="77777777">
            <w:pPr>
              <w:pStyle w:val="TableParagraph"/>
              <w:ind w:right="386"/>
              <w:rPr>
                <w:sz w:val="21"/>
              </w:rPr>
            </w:pPr>
            <w:r>
              <w:rPr>
                <w:spacing w:val="-2"/>
                <w:sz w:val="21"/>
              </w:rPr>
              <w:t>100.00</w:t>
            </w:r>
          </w:p>
        </w:tc>
        <w:tc>
          <w:tcPr>
            <w:tcW w:w="1350" w:type="dxa"/>
          </w:tcPr>
          <w:p w:rsidR="003F5784" w14:paraId="7F728E83" w14:textId="77777777">
            <w:pPr>
              <w:pStyle w:val="TableParagraph"/>
              <w:ind w:left="387"/>
              <w:jc w:val="left"/>
              <w:rPr>
                <w:sz w:val="21"/>
              </w:rPr>
            </w:pPr>
            <w:r>
              <w:rPr>
                <w:spacing w:val="-2"/>
                <w:sz w:val="21"/>
              </w:rPr>
              <w:t>3,100</w:t>
            </w:r>
          </w:p>
        </w:tc>
        <w:tc>
          <w:tcPr>
            <w:tcW w:w="1170" w:type="dxa"/>
          </w:tcPr>
          <w:p w:rsidR="003F5784" w14:paraId="68D23DB6" w14:textId="77777777">
            <w:pPr>
              <w:pStyle w:val="TableParagraph"/>
              <w:ind w:left="463"/>
              <w:jc w:val="left"/>
              <w:rPr>
                <w:sz w:val="21"/>
              </w:rPr>
            </w:pPr>
            <w:r>
              <w:rPr>
                <w:spacing w:val="-4"/>
                <w:sz w:val="21"/>
              </w:rPr>
              <w:t>1.91</w:t>
            </w:r>
          </w:p>
        </w:tc>
        <w:tc>
          <w:tcPr>
            <w:tcW w:w="1620" w:type="dxa"/>
          </w:tcPr>
          <w:p w:rsidR="003F5784" w14:paraId="64964E59" w14:textId="77777777">
            <w:pPr>
              <w:pStyle w:val="TableParagraph"/>
              <w:ind w:right="22"/>
              <w:jc w:val="center"/>
              <w:rPr>
                <w:sz w:val="21"/>
              </w:rPr>
            </w:pPr>
            <w:r>
              <w:rPr>
                <w:spacing w:val="-2"/>
                <w:sz w:val="21"/>
              </w:rPr>
              <w:t>92.84</w:t>
            </w:r>
          </w:p>
        </w:tc>
        <w:tc>
          <w:tcPr>
            <w:tcW w:w="1560" w:type="dxa"/>
            <w:gridSpan w:val="2"/>
          </w:tcPr>
          <w:p w:rsidR="003F5784" w14:paraId="7548A75D" w14:textId="77777777">
            <w:pPr>
              <w:pStyle w:val="TableParagraph"/>
              <w:ind w:right="118"/>
              <w:rPr>
                <w:sz w:val="21"/>
              </w:rPr>
            </w:pPr>
            <w:r>
              <w:rPr>
                <w:spacing w:val="-2"/>
                <w:sz w:val="21"/>
              </w:rPr>
              <w:t>18.33</w:t>
            </w:r>
          </w:p>
        </w:tc>
      </w:tr>
      <w:tr w14:paraId="2CC686B2"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41819F0F" w14:textId="77777777">
            <w:pPr>
              <w:pStyle w:val="TableParagraph"/>
              <w:ind w:left="120"/>
              <w:jc w:val="left"/>
              <w:rPr>
                <w:sz w:val="21"/>
              </w:rPr>
            </w:pPr>
            <w:r>
              <w:rPr>
                <w:spacing w:val="-2"/>
                <w:sz w:val="21"/>
              </w:rPr>
              <w:t>Michigan</w:t>
            </w:r>
          </w:p>
        </w:tc>
        <w:tc>
          <w:tcPr>
            <w:tcW w:w="1597" w:type="dxa"/>
            <w:gridSpan w:val="2"/>
          </w:tcPr>
          <w:p w:rsidR="003F5784" w14:paraId="24BFE43C" w14:textId="77777777">
            <w:pPr>
              <w:pStyle w:val="TableParagraph"/>
              <w:ind w:right="738"/>
              <w:rPr>
                <w:sz w:val="21"/>
              </w:rPr>
            </w:pPr>
            <w:r>
              <w:rPr>
                <w:spacing w:val="-5"/>
                <w:sz w:val="21"/>
              </w:rPr>
              <w:t>140</w:t>
            </w:r>
          </w:p>
        </w:tc>
        <w:tc>
          <w:tcPr>
            <w:tcW w:w="2340" w:type="dxa"/>
          </w:tcPr>
          <w:p w:rsidR="003F5784" w14:paraId="70A386D8" w14:textId="77777777">
            <w:pPr>
              <w:pStyle w:val="TableParagraph"/>
              <w:ind w:left="159" w:right="112"/>
              <w:jc w:val="center"/>
              <w:rPr>
                <w:sz w:val="21"/>
              </w:rPr>
            </w:pPr>
            <w:r>
              <w:rPr>
                <w:spacing w:val="-2"/>
                <w:sz w:val="21"/>
              </w:rPr>
              <w:t>100.00</w:t>
            </w:r>
          </w:p>
        </w:tc>
        <w:tc>
          <w:tcPr>
            <w:tcW w:w="2078" w:type="dxa"/>
          </w:tcPr>
          <w:p w:rsidR="003F5784" w14:paraId="4C78FD63" w14:textId="77777777">
            <w:pPr>
              <w:pStyle w:val="TableParagraph"/>
              <w:ind w:right="386"/>
              <w:rPr>
                <w:sz w:val="21"/>
              </w:rPr>
            </w:pPr>
            <w:r>
              <w:rPr>
                <w:spacing w:val="-2"/>
                <w:sz w:val="21"/>
              </w:rPr>
              <w:t>100.00</w:t>
            </w:r>
          </w:p>
        </w:tc>
        <w:tc>
          <w:tcPr>
            <w:tcW w:w="1350" w:type="dxa"/>
          </w:tcPr>
          <w:p w:rsidR="003F5784" w14:paraId="589D8E9D" w14:textId="77777777">
            <w:pPr>
              <w:pStyle w:val="TableParagraph"/>
              <w:ind w:left="387"/>
              <w:jc w:val="left"/>
              <w:rPr>
                <w:sz w:val="21"/>
              </w:rPr>
            </w:pPr>
            <w:r>
              <w:rPr>
                <w:spacing w:val="-2"/>
                <w:sz w:val="21"/>
              </w:rPr>
              <w:t>3,100</w:t>
            </w:r>
          </w:p>
        </w:tc>
        <w:tc>
          <w:tcPr>
            <w:tcW w:w="1170" w:type="dxa"/>
          </w:tcPr>
          <w:p w:rsidR="003F5784" w14:paraId="2F74FA19" w14:textId="77777777">
            <w:pPr>
              <w:pStyle w:val="TableParagraph"/>
              <w:ind w:left="463"/>
              <w:jc w:val="left"/>
              <w:rPr>
                <w:sz w:val="21"/>
              </w:rPr>
            </w:pPr>
            <w:r>
              <w:rPr>
                <w:spacing w:val="-4"/>
                <w:sz w:val="21"/>
              </w:rPr>
              <w:t>2.93</w:t>
            </w:r>
          </w:p>
        </w:tc>
        <w:tc>
          <w:tcPr>
            <w:tcW w:w="1620" w:type="dxa"/>
          </w:tcPr>
          <w:p w:rsidR="003F5784" w14:paraId="35AB5B7D" w14:textId="77777777">
            <w:pPr>
              <w:pStyle w:val="TableParagraph"/>
              <w:ind w:right="22"/>
              <w:jc w:val="center"/>
              <w:rPr>
                <w:sz w:val="21"/>
              </w:rPr>
            </w:pPr>
            <w:r>
              <w:rPr>
                <w:spacing w:val="-2"/>
                <w:sz w:val="21"/>
              </w:rPr>
              <w:t>91.18</w:t>
            </w:r>
          </w:p>
        </w:tc>
        <w:tc>
          <w:tcPr>
            <w:tcW w:w="1560" w:type="dxa"/>
            <w:gridSpan w:val="2"/>
          </w:tcPr>
          <w:p w:rsidR="003F5784" w14:paraId="09E18C0D" w14:textId="77777777">
            <w:pPr>
              <w:pStyle w:val="TableParagraph"/>
              <w:ind w:right="118"/>
              <w:rPr>
                <w:sz w:val="21"/>
              </w:rPr>
            </w:pPr>
            <w:r>
              <w:rPr>
                <w:spacing w:val="-4"/>
                <w:sz w:val="21"/>
              </w:rPr>
              <w:t>7.97</w:t>
            </w:r>
          </w:p>
        </w:tc>
      </w:tr>
      <w:tr w14:paraId="6CC47445"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572A2870" w14:textId="77777777">
            <w:pPr>
              <w:pStyle w:val="TableParagraph"/>
              <w:ind w:left="120"/>
              <w:jc w:val="left"/>
              <w:rPr>
                <w:sz w:val="21"/>
              </w:rPr>
            </w:pPr>
            <w:r>
              <w:rPr>
                <w:spacing w:val="-2"/>
                <w:sz w:val="21"/>
              </w:rPr>
              <w:t>Minnesota</w:t>
            </w:r>
          </w:p>
        </w:tc>
        <w:tc>
          <w:tcPr>
            <w:tcW w:w="1597" w:type="dxa"/>
            <w:gridSpan w:val="2"/>
          </w:tcPr>
          <w:p w:rsidR="003F5784" w14:paraId="075E3F5C" w14:textId="77777777">
            <w:pPr>
              <w:pStyle w:val="TableParagraph"/>
              <w:ind w:right="738"/>
              <w:rPr>
                <w:sz w:val="21"/>
              </w:rPr>
            </w:pPr>
            <w:r>
              <w:rPr>
                <w:spacing w:val="-5"/>
                <w:sz w:val="21"/>
              </w:rPr>
              <w:t>90</w:t>
            </w:r>
          </w:p>
        </w:tc>
        <w:tc>
          <w:tcPr>
            <w:tcW w:w="2340" w:type="dxa"/>
          </w:tcPr>
          <w:p w:rsidR="003F5784" w14:paraId="45B16AC3" w14:textId="77777777">
            <w:pPr>
              <w:pStyle w:val="TableParagraph"/>
              <w:ind w:left="159" w:right="112"/>
              <w:jc w:val="center"/>
              <w:rPr>
                <w:sz w:val="21"/>
              </w:rPr>
            </w:pPr>
            <w:r>
              <w:rPr>
                <w:spacing w:val="-2"/>
                <w:sz w:val="21"/>
              </w:rPr>
              <w:t>100.00</w:t>
            </w:r>
          </w:p>
        </w:tc>
        <w:tc>
          <w:tcPr>
            <w:tcW w:w="2078" w:type="dxa"/>
          </w:tcPr>
          <w:p w:rsidR="003F5784" w14:paraId="42599979" w14:textId="77777777">
            <w:pPr>
              <w:pStyle w:val="TableParagraph"/>
              <w:ind w:right="386"/>
              <w:rPr>
                <w:sz w:val="21"/>
              </w:rPr>
            </w:pPr>
            <w:r>
              <w:rPr>
                <w:spacing w:val="-2"/>
                <w:sz w:val="21"/>
              </w:rPr>
              <w:t>100.00</w:t>
            </w:r>
          </w:p>
        </w:tc>
        <w:tc>
          <w:tcPr>
            <w:tcW w:w="1350" w:type="dxa"/>
          </w:tcPr>
          <w:p w:rsidR="003F5784" w14:paraId="0261A09C" w14:textId="77777777">
            <w:pPr>
              <w:pStyle w:val="TableParagraph"/>
              <w:ind w:left="387"/>
              <w:jc w:val="left"/>
              <w:rPr>
                <w:sz w:val="21"/>
              </w:rPr>
            </w:pPr>
            <w:r>
              <w:rPr>
                <w:spacing w:val="-2"/>
                <w:sz w:val="21"/>
              </w:rPr>
              <w:t>2,300</w:t>
            </w:r>
          </w:p>
        </w:tc>
        <w:tc>
          <w:tcPr>
            <w:tcW w:w="1170" w:type="dxa"/>
          </w:tcPr>
          <w:p w:rsidR="003F5784" w:rsidP="00C94150" w14:paraId="765B387E" w14:textId="14FD1F90">
            <w:pPr>
              <w:pStyle w:val="TableParagraph"/>
              <w:tabs>
                <w:tab w:val="left" w:pos="1286"/>
              </w:tabs>
              <w:ind w:left="463"/>
              <w:jc w:val="left"/>
              <w:rPr>
                <w:sz w:val="21"/>
              </w:rPr>
            </w:pPr>
            <w:r>
              <w:rPr>
                <w:spacing w:val="-4"/>
                <w:sz w:val="21"/>
              </w:rPr>
              <w:t>2.47</w:t>
            </w:r>
            <w:r w:rsidR="00C94150">
              <w:rPr>
                <w:spacing w:val="-4"/>
                <w:sz w:val="21"/>
              </w:rPr>
              <w:tab/>
            </w:r>
          </w:p>
        </w:tc>
        <w:tc>
          <w:tcPr>
            <w:tcW w:w="1620" w:type="dxa"/>
          </w:tcPr>
          <w:p w:rsidR="003F5784" w14:paraId="24931FFB" w14:textId="77777777">
            <w:pPr>
              <w:pStyle w:val="TableParagraph"/>
              <w:ind w:right="22"/>
              <w:jc w:val="center"/>
              <w:rPr>
                <w:sz w:val="21"/>
              </w:rPr>
            </w:pPr>
            <w:r>
              <w:rPr>
                <w:spacing w:val="-2"/>
                <w:sz w:val="21"/>
              </w:rPr>
              <w:t>90.79</w:t>
            </w:r>
          </w:p>
        </w:tc>
        <w:tc>
          <w:tcPr>
            <w:tcW w:w="1560" w:type="dxa"/>
            <w:gridSpan w:val="2"/>
          </w:tcPr>
          <w:p w:rsidR="003F5784" w14:paraId="3B3EA172" w14:textId="77777777">
            <w:pPr>
              <w:pStyle w:val="TableParagraph"/>
              <w:ind w:right="118"/>
              <w:rPr>
                <w:sz w:val="21"/>
              </w:rPr>
            </w:pPr>
            <w:r>
              <w:rPr>
                <w:spacing w:val="-2"/>
                <w:sz w:val="21"/>
              </w:rPr>
              <w:t>10.38</w:t>
            </w:r>
          </w:p>
        </w:tc>
      </w:tr>
      <w:tr w14:paraId="02C6EC36"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47AD5D72" w14:textId="77777777">
            <w:pPr>
              <w:pStyle w:val="TableParagraph"/>
              <w:ind w:left="120"/>
              <w:jc w:val="left"/>
              <w:rPr>
                <w:sz w:val="21"/>
              </w:rPr>
            </w:pPr>
            <w:r>
              <w:rPr>
                <w:spacing w:val="-2"/>
                <w:sz w:val="21"/>
              </w:rPr>
              <w:t>Mississippi</w:t>
            </w:r>
          </w:p>
        </w:tc>
        <w:tc>
          <w:tcPr>
            <w:tcW w:w="1597" w:type="dxa"/>
            <w:gridSpan w:val="2"/>
          </w:tcPr>
          <w:p w:rsidR="003F5784" w14:paraId="60E6CB48" w14:textId="77777777">
            <w:pPr>
              <w:pStyle w:val="TableParagraph"/>
              <w:ind w:right="738"/>
              <w:rPr>
                <w:sz w:val="21"/>
              </w:rPr>
            </w:pPr>
            <w:r>
              <w:rPr>
                <w:spacing w:val="-5"/>
                <w:sz w:val="21"/>
              </w:rPr>
              <w:t>90</w:t>
            </w:r>
          </w:p>
        </w:tc>
        <w:tc>
          <w:tcPr>
            <w:tcW w:w="2340" w:type="dxa"/>
          </w:tcPr>
          <w:p w:rsidR="003F5784" w14:paraId="11118671" w14:textId="77777777">
            <w:pPr>
              <w:pStyle w:val="TableParagraph"/>
              <w:ind w:left="159" w:right="112"/>
              <w:jc w:val="center"/>
              <w:rPr>
                <w:sz w:val="21"/>
              </w:rPr>
            </w:pPr>
            <w:r>
              <w:rPr>
                <w:spacing w:val="-2"/>
                <w:sz w:val="21"/>
              </w:rPr>
              <w:t>100.00</w:t>
            </w:r>
          </w:p>
        </w:tc>
        <w:tc>
          <w:tcPr>
            <w:tcW w:w="2078" w:type="dxa"/>
          </w:tcPr>
          <w:p w:rsidR="003F5784" w14:paraId="685F4523" w14:textId="77777777">
            <w:pPr>
              <w:pStyle w:val="TableParagraph"/>
              <w:ind w:right="386"/>
              <w:rPr>
                <w:sz w:val="21"/>
              </w:rPr>
            </w:pPr>
            <w:r>
              <w:rPr>
                <w:spacing w:val="-2"/>
                <w:sz w:val="21"/>
              </w:rPr>
              <w:t>100.00</w:t>
            </w:r>
          </w:p>
        </w:tc>
        <w:tc>
          <w:tcPr>
            <w:tcW w:w="1350" w:type="dxa"/>
          </w:tcPr>
          <w:p w:rsidR="003F5784" w14:paraId="29EC3060" w14:textId="77777777">
            <w:pPr>
              <w:pStyle w:val="TableParagraph"/>
              <w:ind w:left="387"/>
              <w:jc w:val="left"/>
              <w:rPr>
                <w:sz w:val="21"/>
              </w:rPr>
            </w:pPr>
            <w:r>
              <w:rPr>
                <w:spacing w:val="-2"/>
                <w:sz w:val="21"/>
              </w:rPr>
              <w:t>2,200</w:t>
            </w:r>
          </w:p>
        </w:tc>
        <w:tc>
          <w:tcPr>
            <w:tcW w:w="1170" w:type="dxa"/>
          </w:tcPr>
          <w:p w:rsidR="003F5784" w14:paraId="6508927D" w14:textId="77777777">
            <w:pPr>
              <w:pStyle w:val="TableParagraph"/>
              <w:ind w:left="463"/>
              <w:jc w:val="left"/>
              <w:rPr>
                <w:sz w:val="21"/>
              </w:rPr>
            </w:pPr>
            <w:r>
              <w:rPr>
                <w:spacing w:val="-4"/>
                <w:sz w:val="21"/>
              </w:rPr>
              <w:t>0.76</w:t>
            </w:r>
          </w:p>
        </w:tc>
        <w:tc>
          <w:tcPr>
            <w:tcW w:w="1620" w:type="dxa"/>
          </w:tcPr>
          <w:p w:rsidR="003F5784" w14:paraId="14E8A76B" w14:textId="77777777">
            <w:pPr>
              <w:pStyle w:val="TableParagraph"/>
              <w:ind w:right="22"/>
              <w:jc w:val="center"/>
              <w:rPr>
                <w:sz w:val="21"/>
              </w:rPr>
            </w:pPr>
            <w:r>
              <w:rPr>
                <w:spacing w:val="-2"/>
                <w:sz w:val="21"/>
              </w:rPr>
              <w:t>92.78</w:t>
            </w:r>
          </w:p>
        </w:tc>
        <w:tc>
          <w:tcPr>
            <w:tcW w:w="1560" w:type="dxa"/>
            <w:gridSpan w:val="2"/>
          </w:tcPr>
          <w:p w:rsidR="003F5784" w14:paraId="3C6B7DD3" w14:textId="77777777">
            <w:pPr>
              <w:pStyle w:val="TableParagraph"/>
              <w:ind w:right="118"/>
              <w:rPr>
                <w:sz w:val="21"/>
              </w:rPr>
            </w:pPr>
            <w:r>
              <w:rPr>
                <w:spacing w:val="-2"/>
                <w:sz w:val="21"/>
              </w:rPr>
              <w:t>13.96</w:t>
            </w:r>
          </w:p>
        </w:tc>
      </w:tr>
      <w:tr w14:paraId="0BF7507F"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24607DF4" w14:textId="77777777">
            <w:pPr>
              <w:pStyle w:val="TableParagraph"/>
              <w:ind w:left="120"/>
              <w:jc w:val="left"/>
              <w:rPr>
                <w:sz w:val="21"/>
              </w:rPr>
            </w:pPr>
            <w:r>
              <w:rPr>
                <w:spacing w:val="-2"/>
                <w:sz w:val="21"/>
              </w:rPr>
              <w:t>Missouri</w:t>
            </w:r>
          </w:p>
        </w:tc>
        <w:tc>
          <w:tcPr>
            <w:tcW w:w="1597" w:type="dxa"/>
            <w:gridSpan w:val="2"/>
          </w:tcPr>
          <w:p w:rsidR="003F5784" w14:paraId="24CCC52C" w14:textId="77777777">
            <w:pPr>
              <w:pStyle w:val="TableParagraph"/>
              <w:ind w:right="738"/>
              <w:rPr>
                <w:sz w:val="21"/>
              </w:rPr>
            </w:pPr>
            <w:r>
              <w:rPr>
                <w:spacing w:val="-5"/>
                <w:sz w:val="21"/>
              </w:rPr>
              <w:t>100</w:t>
            </w:r>
          </w:p>
        </w:tc>
        <w:tc>
          <w:tcPr>
            <w:tcW w:w="2340" w:type="dxa"/>
          </w:tcPr>
          <w:p w:rsidR="003F5784" w14:paraId="5EB4F70F" w14:textId="77777777">
            <w:pPr>
              <w:pStyle w:val="TableParagraph"/>
              <w:ind w:left="159" w:right="112"/>
              <w:jc w:val="center"/>
              <w:rPr>
                <w:sz w:val="21"/>
              </w:rPr>
            </w:pPr>
            <w:r>
              <w:rPr>
                <w:spacing w:val="-2"/>
                <w:sz w:val="21"/>
              </w:rPr>
              <w:t>100.00</w:t>
            </w:r>
          </w:p>
        </w:tc>
        <w:tc>
          <w:tcPr>
            <w:tcW w:w="2078" w:type="dxa"/>
          </w:tcPr>
          <w:p w:rsidR="003F5784" w14:paraId="5F76DEA0" w14:textId="77777777">
            <w:pPr>
              <w:pStyle w:val="TableParagraph"/>
              <w:ind w:right="386"/>
              <w:rPr>
                <w:sz w:val="21"/>
              </w:rPr>
            </w:pPr>
            <w:r>
              <w:rPr>
                <w:spacing w:val="-2"/>
                <w:sz w:val="21"/>
              </w:rPr>
              <w:t>100.00</w:t>
            </w:r>
          </w:p>
        </w:tc>
        <w:tc>
          <w:tcPr>
            <w:tcW w:w="1350" w:type="dxa"/>
          </w:tcPr>
          <w:p w:rsidR="003F5784" w14:paraId="6E479AB5" w14:textId="77777777">
            <w:pPr>
              <w:pStyle w:val="TableParagraph"/>
              <w:ind w:left="387"/>
              <w:jc w:val="left"/>
              <w:rPr>
                <w:sz w:val="21"/>
              </w:rPr>
            </w:pPr>
            <w:r>
              <w:rPr>
                <w:spacing w:val="-2"/>
                <w:sz w:val="21"/>
              </w:rPr>
              <w:t>2,000</w:t>
            </w:r>
          </w:p>
        </w:tc>
        <w:tc>
          <w:tcPr>
            <w:tcW w:w="1170" w:type="dxa"/>
          </w:tcPr>
          <w:p w:rsidR="003F5784" w14:paraId="4C06F1E3" w14:textId="77777777">
            <w:pPr>
              <w:pStyle w:val="TableParagraph"/>
              <w:ind w:left="463"/>
              <w:jc w:val="left"/>
              <w:rPr>
                <w:sz w:val="21"/>
              </w:rPr>
            </w:pPr>
            <w:r>
              <w:rPr>
                <w:spacing w:val="-4"/>
                <w:sz w:val="21"/>
              </w:rPr>
              <w:t>0.92</w:t>
            </w:r>
          </w:p>
        </w:tc>
        <w:tc>
          <w:tcPr>
            <w:tcW w:w="1620" w:type="dxa"/>
          </w:tcPr>
          <w:p w:rsidR="003F5784" w14:paraId="417A6D1A" w14:textId="77777777">
            <w:pPr>
              <w:pStyle w:val="TableParagraph"/>
              <w:ind w:right="22"/>
              <w:jc w:val="center"/>
              <w:rPr>
                <w:sz w:val="21"/>
              </w:rPr>
            </w:pPr>
            <w:r>
              <w:rPr>
                <w:spacing w:val="-2"/>
                <w:sz w:val="21"/>
              </w:rPr>
              <w:t>94.35</w:t>
            </w:r>
          </w:p>
        </w:tc>
        <w:tc>
          <w:tcPr>
            <w:tcW w:w="1560" w:type="dxa"/>
            <w:gridSpan w:val="2"/>
          </w:tcPr>
          <w:p w:rsidR="003F5784" w14:paraId="10B85DE8" w14:textId="77777777">
            <w:pPr>
              <w:pStyle w:val="TableParagraph"/>
              <w:ind w:right="118"/>
              <w:rPr>
                <w:sz w:val="21"/>
              </w:rPr>
            </w:pPr>
            <w:r>
              <w:rPr>
                <w:spacing w:val="-2"/>
                <w:sz w:val="21"/>
              </w:rPr>
              <w:t>12.21</w:t>
            </w:r>
          </w:p>
        </w:tc>
      </w:tr>
      <w:tr w14:paraId="4A759EFB"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29D7C8FE" w14:textId="77777777">
            <w:pPr>
              <w:pStyle w:val="TableParagraph"/>
              <w:ind w:left="120"/>
              <w:jc w:val="left"/>
              <w:rPr>
                <w:sz w:val="21"/>
              </w:rPr>
            </w:pPr>
            <w:r>
              <w:rPr>
                <w:spacing w:val="-2"/>
                <w:sz w:val="21"/>
              </w:rPr>
              <w:t>Montana</w:t>
            </w:r>
          </w:p>
        </w:tc>
        <w:tc>
          <w:tcPr>
            <w:tcW w:w="1597" w:type="dxa"/>
            <w:gridSpan w:val="2"/>
          </w:tcPr>
          <w:p w:rsidR="003F5784" w14:paraId="56467C3B" w14:textId="77777777">
            <w:pPr>
              <w:pStyle w:val="TableParagraph"/>
              <w:ind w:right="738"/>
              <w:rPr>
                <w:sz w:val="21"/>
              </w:rPr>
            </w:pPr>
            <w:r>
              <w:rPr>
                <w:spacing w:val="-5"/>
                <w:sz w:val="21"/>
              </w:rPr>
              <w:t>130</w:t>
            </w:r>
          </w:p>
        </w:tc>
        <w:tc>
          <w:tcPr>
            <w:tcW w:w="2340" w:type="dxa"/>
          </w:tcPr>
          <w:p w:rsidR="003F5784" w14:paraId="6918D9F8" w14:textId="77777777">
            <w:pPr>
              <w:pStyle w:val="TableParagraph"/>
              <w:ind w:left="159" w:right="8"/>
              <w:jc w:val="center"/>
              <w:rPr>
                <w:sz w:val="21"/>
              </w:rPr>
            </w:pPr>
            <w:r>
              <w:rPr>
                <w:spacing w:val="-2"/>
                <w:sz w:val="21"/>
              </w:rPr>
              <w:t>99.95</w:t>
            </w:r>
          </w:p>
        </w:tc>
        <w:tc>
          <w:tcPr>
            <w:tcW w:w="2078" w:type="dxa"/>
          </w:tcPr>
          <w:p w:rsidR="003F5784" w14:paraId="796EE691" w14:textId="77777777">
            <w:pPr>
              <w:pStyle w:val="TableParagraph"/>
              <w:ind w:right="386"/>
              <w:rPr>
                <w:sz w:val="21"/>
              </w:rPr>
            </w:pPr>
            <w:r>
              <w:rPr>
                <w:spacing w:val="-2"/>
                <w:sz w:val="21"/>
              </w:rPr>
              <w:t>98.56</w:t>
            </w:r>
          </w:p>
        </w:tc>
        <w:tc>
          <w:tcPr>
            <w:tcW w:w="1350" w:type="dxa"/>
          </w:tcPr>
          <w:p w:rsidR="003F5784" w14:paraId="2E9042F6" w14:textId="77777777">
            <w:pPr>
              <w:pStyle w:val="TableParagraph"/>
              <w:ind w:left="387"/>
              <w:jc w:val="left"/>
              <w:rPr>
                <w:sz w:val="21"/>
              </w:rPr>
            </w:pPr>
            <w:r>
              <w:rPr>
                <w:spacing w:val="-2"/>
                <w:sz w:val="21"/>
              </w:rPr>
              <w:t>2,100</w:t>
            </w:r>
          </w:p>
        </w:tc>
        <w:tc>
          <w:tcPr>
            <w:tcW w:w="1170" w:type="dxa"/>
          </w:tcPr>
          <w:p w:rsidR="003F5784" w14:paraId="6F659BA0" w14:textId="77777777">
            <w:pPr>
              <w:pStyle w:val="TableParagraph"/>
              <w:ind w:left="463"/>
              <w:jc w:val="left"/>
              <w:rPr>
                <w:sz w:val="21"/>
              </w:rPr>
            </w:pPr>
            <w:r>
              <w:rPr>
                <w:spacing w:val="-4"/>
                <w:sz w:val="21"/>
              </w:rPr>
              <w:t>1.00</w:t>
            </w:r>
          </w:p>
        </w:tc>
        <w:tc>
          <w:tcPr>
            <w:tcW w:w="1620" w:type="dxa"/>
          </w:tcPr>
          <w:p w:rsidR="003F5784" w14:paraId="2810352C" w14:textId="77777777">
            <w:pPr>
              <w:pStyle w:val="TableParagraph"/>
              <w:ind w:right="22"/>
              <w:jc w:val="center"/>
              <w:rPr>
                <w:sz w:val="21"/>
              </w:rPr>
            </w:pPr>
            <w:r>
              <w:rPr>
                <w:spacing w:val="-2"/>
                <w:sz w:val="21"/>
              </w:rPr>
              <w:t>89.77</w:t>
            </w:r>
          </w:p>
        </w:tc>
        <w:tc>
          <w:tcPr>
            <w:tcW w:w="1560" w:type="dxa"/>
            <w:gridSpan w:val="2"/>
          </w:tcPr>
          <w:p w:rsidR="003F5784" w14:paraId="10D4B021" w14:textId="77777777">
            <w:pPr>
              <w:pStyle w:val="TableParagraph"/>
              <w:ind w:right="118"/>
              <w:rPr>
                <w:sz w:val="21"/>
              </w:rPr>
            </w:pPr>
            <w:r>
              <w:rPr>
                <w:spacing w:val="-2"/>
                <w:sz w:val="21"/>
              </w:rPr>
              <w:t>10.64</w:t>
            </w:r>
          </w:p>
        </w:tc>
      </w:tr>
      <w:tr w14:paraId="28AE6829"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1D60D77B" w14:textId="77777777">
            <w:pPr>
              <w:pStyle w:val="TableParagraph"/>
              <w:ind w:left="120"/>
              <w:jc w:val="left"/>
              <w:rPr>
                <w:sz w:val="21"/>
              </w:rPr>
            </w:pPr>
            <w:r>
              <w:rPr>
                <w:spacing w:val="-2"/>
                <w:sz w:val="21"/>
              </w:rPr>
              <w:t>Nebraska</w:t>
            </w:r>
          </w:p>
        </w:tc>
        <w:tc>
          <w:tcPr>
            <w:tcW w:w="1597" w:type="dxa"/>
            <w:gridSpan w:val="2"/>
          </w:tcPr>
          <w:p w:rsidR="003F5784" w14:paraId="27374A6C" w14:textId="77777777">
            <w:pPr>
              <w:pStyle w:val="TableParagraph"/>
              <w:ind w:right="738"/>
              <w:rPr>
                <w:sz w:val="21"/>
              </w:rPr>
            </w:pPr>
            <w:r>
              <w:rPr>
                <w:spacing w:val="-5"/>
                <w:sz w:val="21"/>
              </w:rPr>
              <w:t>100</w:t>
            </w:r>
          </w:p>
        </w:tc>
        <w:tc>
          <w:tcPr>
            <w:tcW w:w="2340" w:type="dxa"/>
          </w:tcPr>
          <w:p w:rsidR="003F5784" w14:paraId="0F2EE8AE" w14:textId="77777777">
            <w:pPr>
              <w:pStyle w:val="TableParagraph"/>
              <w:ind w:left="159" w:right="112"/>
              <w:jc w:val="center"/>
              <w:rPr>
                <w:sz w:val="21"/>
              </w:rPr>
            </w:pPr>
            <w:r>
              <w:rPr>
                <w:spacing w:val="-2"/>
                <w:sz w:val="21"/>
              </w:rPr>
              <w:t>100.00</w:t>
            </w:r>
          </w:p>
        </w:tc>
        <w:tc>
          <w:tcPr>
            <w:tcW w:w="2078" w:type="dxa"/>
          </w:tcPr>
          <w:p w:rsidR="003F5784" w14:paraId="15A10DB7" w14:textId="77777777">
            <w:pPr>
              <w:pStyle w:val="TableParagraph"/>
              <w:ind w:right="386"/>
              <w:rPr>
                <w:sz w:val="21"/>
              </w:rPr>
            </w:pPr>
            <w:r>
              <w:rPr>
                <w:spacing w:val="-2"/>
                <w:sz w:val="21"/>
              </w:rPr>
              <w:t>100.00</w:t>
            </w:r>
          </w:p>
        </w:tc>
        <w:tc>
          <w:tcPr>
            <w:tcW w:w="1350" w:type="dxa"/>
          </w:tcPr>
          <w:p w:rsidR="003F5784" w14:paraId="5E97E94A" w14:textId="77777777">
            <w:pPr>
              <w:pStyle w:val="TableParagraph"/>
              <w:ind w:left="387"/>
              <w:jc w:val="left"/>
              <w:rPr>
                <w:sz w:val="21"/>
              </w:rPr>
            </w:pPr>
            <w:r>
              <w:rPr>
                <w:spacing w:val="-2"/>
                <w:sz w:val="21"/>
              </w:rPr>
              <w:t>2,200</w:t>
            </w:r>
          </w:p>
        </w:tc>
        <w:tc>
          <w:tcPr>
            <w:tcW w:w="1170" w:type="dxa"/>
          </w:tcPr>
          <w:p w:rsidR="003F5784" w14:paraId="04DDA47D" w14:textId="77777777">
            <w:pPr>
              <w:pStyle w:val="TableParagraph"/>
              <w:ind w:left="463"/>
              <w:jc w:val="left"/>
              <w:rPr>
                <w:sz w:val="21"/>
              </w:rPr>
            </w:pPr>
            <w:r>
              <w:rPr>
                <w:spacing w:val="-4"/>
                <w:sz w:val="21"/>
              </w:rPr>
              <w:t>1.23</w:t>
            </w:r>
          </w:p>
        </w:tc>
        <w:tc>
          <w:tcPr>
            <w:tcW w:w="1620" w:type="dxa"/>
          </w:tcPr>
          <w:p w:rsidR="003F5784" w14:paraId="45FBF267" w14:textId="77777777">
            <w:pPr>
              <w:pStyle w:val="TableParagraph"/>
              <w:ind w:right="22"/>
              <w:jc w:val="center"/>
              <w:rPr>
                <w:sz w:val="21"/>
              </w:rPr>
            </w:pPr>
            <w:r>
              <w:rPr>
                <w:spacing w:val="-2"/>
                <w:sz w:val="21"/>
              </w:rPr>
              <w:t>94.76</w:t>
            </w:r>
          </w:p>
        </w:tc>
        <w:tc>
          <w:tcPr>
            <w:tcW w:w="1560" w:type="dxa"/>
            <w:gridSpan w:val="2"/>
          </w:tcPr>
          <w:p w:rsidR="003F5784" w14:paraId="6D8F2C96" w14:textId="77777777">
            <w:pPr>
              <w:pStyle w:val="TableParagraph"/>
              <w:ind w:right="118"/>
              <w:rPr>
                <w:sz w:val="21"/>
              </w:rPr>
            </w:pPr>
            <w:r>
              <w:rPr>
                <w:spacing w:val="-2"/>
                <w:sz w:val="21"/>
              </w:rPr>
              <w:t>14.14</w:t>
            </w:r>
          </w:p>
        </w:tc>
      </w:tr>
      <w:tr w14:paraId="4EB9EB4F"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45DEB580" w14:textId="77777777">
            <w:pPr>
              <w:pStyle w:val="TableParagraph"/>
              <w:ind w:left="120"/>
              <w:jc w:val="left"/>
              <w:rPr>
                <w:sz w:val="21"/>
              </w:rPr>
            </w:pPr>
            <w:r>
              <w:rPr>
                <w:spacing w:val="-2"/>
                <w:sz w:val="21"/>
              </w:rPr>
              <w:t>Nevada</w:t>
            </w:r>
          </w:p>
        </w:tc>
        <w:tc>
          <w:tcPr>
            <w:tcW w:w="1597" w:type="dxa"/>
            <w:gridSpan w:val="2"/>
          </w:tcPr>
          <w:p w:rsidR="003F5784" w14:paraId="0BE5C9B8" w14:textId="77777777">
            <w:pPr>
              <w:pStyle w:val="TableParagraph"/>
              <w:ind w:right="738"/>
              <w:rPr>
                <w:sz w:val="21"/>
              </w:rPr>
            </w:pPr>
            <w:r>
              <w:rPr>
                <w:spacing w:val="-5"/>
                <w:sz w:val="21"/>
              </w:rPr>
              <w:t>100</w:t>
            </w:r>
          </w:p>
        </w:tc>
        <w:tc>
          <w:tcPr>
            <w:tcW w:w="2340" w:type="dxa"/>
          </w:tcPr>
          <w:p w:rsidR="003F5784" w14:paraId="09783FA2" w14:textId="77777777">
            <w:pPr>
              <w:pStyle w:val="TableParagraph"/>
              <w:ind w:left="159" w:right="112"/>
              <w:jc w:val="center"/>
              <w:rPr>
                <w:sz w:val="21"/>
              </w:rPr>
            </w:pPr>
            <w:r>
              <w:rPr>
                <w:spacing w:val="-2"/>
                <w:sz w:val="21"/>
              </w:rPr>
              <w:t>100.00</w:t>
            </w:r>
          </w:p>
        </w:tc>
        <w:tc>
          <w:tcPr>
            <w:tcW w:w="2078" w:type="dxa"/>
          </w:tcPr>
          <w:p w:rsidR="003F5784" w14:paraId="652DEEA2" w14:textId="77777777">
            <w:pPr>
              <w:pStyle w:val="TableParagraph"/>
              <w:ind w:right="386"/>
              <w:rPr>
                <w:sz w:val="21"/>
              </w:rPr>
            </w:pPr>
            <w:r>
              <w:rPr>
                <w:spacing w:val="-2"/>
                <w:sz w:val="21"/>
              </w:rPr>
              <w:t>100.00</w:t>
            </w:r>
          </w:p>
        </w:tc>
        <w:tc>
          <w:tcPr>
            <w:tcW w:w="1350" w:type="dxa"/>
          </w:tcPr>
          <w:p w:rsidR="003F5784" w14:paraId="2E28B351" w14:textId="77777777">
            <w:pPr>
              <w:pStyle w:val="TableParagraph"/>
              <w:ind w:left="387"/>
              <w:jc w:val="left"/>
              <w:rPr>
                <w:sz w:val="21"/>
              </w:rPr>
            </w:pPr>
            <w:r>
              <w:rPr>
                <w:spacing w:val="-2"/>
                <w:sz w:val="21"/>
              </w:rPr>
              <w:t>2,400</w:t>
            </w:r>
          </w:p>
        </w:tc>
        <w:tc>
          <w:tcPr>
            <w:tcW w:w="1170" w:type="dxa"/>
          </w:tcPr>
          <w:p w:rsidR="003F5784" w14:paraId="6A73E491" w14:textId="77777777">
            <w:pPr>
              <w:pStyle w:val="TableParagraph"/>
              <w:ind w:left="463"/>
              <w:jc w:val="left"/>
              <w:rPr>
                <w:sz w:val="21"/>
              </w:rPr>
            </w:pPr>
            <w:r>
              <w:rPr>
                <w:spacing w:val="-4"/>
                <w:sz w:val="21"/>
              </w:rPr>
              <w:t>1.70</w:t>
            </w:r>
          </w:p>
        </w:tc>
        <w:tc>
          <w:tcPr>
            <w:tcW w:w="1620" w:type="dxa"/>
          </w:tcPr>
          <w:p w:rsidR="003F5784" w14:paraId="7B148D14" w14:textId="77777777">
            <w:pPr>
              <w:pStyle w:val="TableParagraph"/>
              <w:ind w:right="22"/>
              <w:jc w:val="center"/>
              <w:rPr>
                <w:sz w:val="21"/>
              </w:rPr>
            </w:pPr>
            <w:r>
              <w:rPr>
                <w:spacing w:val="-2"/>
                <w:sz w:val="21"/>
              </w:rPr>
              <w:t>92.26</w:t>
            </w:r>
          </w:p>
        </w:tc>
        <w:tc>
          <w:tcPr>
            <w:tcW w:w="1560" w:type="dxa"/>
            <w:gridSpan w:val="2"/>
          </w:tcPr>
          <w:p w:rsidR="003F5784" w14:paraId="5E752283" w14:textId="77777777">
            <w:pPr>
              <w:pStyle w:val="TableParagraph"/>
              <w:ind w:right="118"/>
              <w:rPr>
                <w:sz w:val="21"/>
              </w:rPr>
            </w:pPr>
            <w:r>
              <w:rPr>
                <w:spacing w:val="-4"/>
                <w:sz w:val="21"/>
              </w:rPr>
              <w:t>6.13</w:t>
            </w:r>
          </w:p>
        </w:tc>
      </w:tr>
      <w:tr w14:paraId="1F1CB69D"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4D8508DE" w14:textId="77777777">
            <w:pPr>
              <w:pStyle w:val="TableParagraph"/>
              <w:ind w:left="120"/>
              <w:jc w:val="left"/>
              <w:rPr>
                <w:sz w:val="21"/>
              </w:rPr>
            </w:pPr>
            <w:r>
              <w:rPr>
                <w:sz w:val="21"/>
              </w:rPr>
              <w:t>New</w:t>
            </w:r>
            <w:r>
              <w:rPr>
                <w:spacing w:val="-5"/>
                <w:sz w:val="21"/>
              </w:rPr>
              <w:t xml:space="preserve"> </w:t>
            </w:r>
            <w:r>
              <w:rPr>
                <w:spacing w:val="-2"/>
                <w:sz w:val="21"/>
              </w:rPr>
              <w:t>Hampshire</w:t>
            </w:r>
          </w:p>
        </w:tc>
        <w:tc>
          <w:tcPr>
            <w:tcW w:w="1597" w:type="dxa"/>
            <w:gridSpan w:val="2"/>
          </w:tcPr>
          <w:p w:rsidR="003F5784" w14:paraId="03B21E52" w14:textId="77777777">
            <w:pPr>
              <w:pStyle w:val="TableParagraph"/>
              <w:ind w:right="738"/>
              <w:rPr>
                <w:sz w:val="21"/>
              </w:rPr>
            </w:pPr>
            <w:r>
              <w:rPr>
                <w:spacing w:val="-5"/>
                <w:sz w:val="21"/>
              </w:rPr>
              <w:t>100</w:t>
            </w:r>
          </w:p>
        </w:tc>
        <w:tc>
          <w:tcPr>
            <w:tcW w:w="2340" w:type="dxa"/>
          </w:tcPr>
          <w:p w:rsidR="003F5784" w14:paraId="6341D1F4" w14:textId="77777777">
            <w:pPr>
              <w:pStyle w:val="TableParagraph"/>
              <w:ind w:left="159" w:right="8"/>
              <w:jc w:val="center"/>
              <w:rPr>
                <w:sz w:val="21"/>
              </w:rPr>
            </w:pPr>
            <w:r>
              <w:rPr>
                <w:spacing w:val="-2"/>
                <w:sz w:val="21"/>
              </w:rPr>
              <w:t>99.15</w:t>
            </w:r>
          </w:p>
        </w:tc>
        <w:tc>
          <w:tcPr>
            <w:tcW w:w="2078" w:type="dxa"/>
          </w:tcPr>
          <w:p w:rsidR="003F5784" w14:paraId="6F20773F" w14:textId="77777777">
            <w:pPr>
              <w:pStyle w:val="TableParagraph"/>
              <w:ind w:right="386"/>
              <w:rPr>
                <w:sz w:val="21"/>
              </w:rPr>
            </w:pPr>
            <w:r>
              <w:rPr>
                <w:spacing w:val="-2"/>
                <w:sz w:val="21"/>
              </w:rPr>
              <w:t>98.79</w:t>
            </w:r>
          </w:p>
        </w:tc>
        <w:tc>
          <w:tcPr>
            <w:tcW w:w="1350" w:type="dxa"/>
          </w:tcPr>
          <w:p w:rsidR="003F5784" w14:paraId="4B8BA485" w14:textId="77777777">
            <w:pPr>
              <w:pStyle w:val="TableParagraph"/>
              <w:ind w:left="387"/>
              <w:jc w:val="left"/>
              <w:rPr>
                <w:sz w:val="21"/>
              </w:rPr>
            </w:pPr>
            <w:r>
              <w:rPr>
                <w:spacing w:val="-2"/>
                <w:sz w:val="21"/>
              </w:rPr>
              <w:t>2,200</w:t>
            </w:r>
          </w:p>
        </w:tc>
        <w:tc>
          <w:tcPr>
            <w:tcW w:w="1170" w:type="dxa"/>
          </w:tcPr>
          <w:p w:rsidR="003F5784" w14:paraId="47336D3D" w14:textId="77777777">
            <w:pPr>
              <w:pStyle w:val="TableParagraph"/>
              <w:ind w:left="463"/>
              <w:jc w:val="left"/>
              <w:rPr>
                <w:sz w:val="21"/>
              </w:rPr>
            </w:pPr>
            <w:r>
              <w:rPr>
                <w:spacing w:val="-4"/>
                <w:sz w:val="21"/>
              </w:rPr>
              <w:t>1.28</w:t>
            </w:r>
          </w:p>
        </w:tc>
        <w:tc>
          <w:tcPr>
            <w:tcW w:w="1620" w:type="dxa"/>
          </w:tcPr>
          <w:p w:rsidR="003F5784" w14:paraId="1AF29EB8" w14:textId="77777777">
            <w:pPr>
              <w:pStyle w:val="TableParagraph"/>
              <w:ind w:right="22"/>
              <w:jc w:val="center"/>
              <w:rPr>
                <w:sz w:val="21"/>
              </w:rPr>
            </w:pPr>
            <w:r>
              <w:rPr>
                <w:spacing w:val="-2"/>
                <w:sz w:val="21"/>
              </w:rPr>
              <w:t>86.89</w:t>
            </w:r>
          </w:p>
        </w:tc>
        <w:tc>
          <w:tcPr>
            <w:tcW w:w="1560" w:type="dxa"/>
            <w:gridSpan w:val="2"/>
          </w:tcPr>
          <w:p w:rsidR="003F5784" w14:paraId="68BFBF59" w14:textId="77777777">
            <w:pPr>
              <w:pStyle w:val="TableParagraph"/>
              <w:ind w:right="118"/>
              <w:rPr>
                <w:sz w:val="21"/>
              </w:rPr>
            </w:pPr>
            <w:r>
              <w:rPr>
                <w:spacing w:val="-2"/>
                <w:sz w:val="21"/>
              </w:rPr>
              <w:t>15.94</w:t>
            </w:r>
          </w:p>
        </w:tc>
      </w:tr>
      <w:tr w14:paraId="17751E08"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2B96737D" w14:textId="77777777">
            <w:pPr>
              <w:pStyle w:val="TableParagraph"/>
              <w:ind w:left="120"/>
              <w:jc w:val="left"/>
              <w:rPr>
                <w:sz w:val="21"/>
              </w:rPr>
            </w:pPr>
            <w:r>
              <w:rPr>
                <w:sz w:val="21"/>
              </w:rPr>
              <w:t>New</w:t>
            </w:r>
            <w:r>
              <w:rPr>
                <w:spacing w:val="-5"/>
                <w:sz w:val="21"/>
              </w:rPr>
              <w:t xml:space="preserve"> </w:t>
            </w:r>
            <w:r>
              <w:rPr>
                <w:spacing w:val="-2"/>
                <w:sz w:val="21"/>
              </w:rPr>
              <w:t>Jersey</w:t>
            </w:r>
          </w:p>
        </w:tc>
        <w:tc>
          <w:tcPr>
            <w:tcW w:w="1597" w:type="dxa"/>
            <w:gridSpan w:val="2"/>
          </w:tcPr>
          <w:p w:rsidR="003F5784" w14:paraId="45D93CB4" w14:textId="77777777">
            <w:pPr>
              <w:pStyle w:val="TableParagraph"/>
              <w:ind w:right="738"/>
              <w:rPr>
                <w:sz w:val="21"/>
              </w:rPr>
            </w:pPr>
            <w:r>
              <w:rPr>
                <w:spacing w:val="-5"/>
                <w:sz w:val="21"/>
              </w:rPr>
              <w:t>90</w:t>
            </w:r>
          </w:p>
        </w:tc>
        <w:tc>
          <w:tcPr>
            <w:tcW w:w="2340" w:type="dxa"/>
          </w:tcPr>
          <w:p w:rsidR="003F5784" w14:paraId="39FAAB5E" w14:textId="77777777">
            <w:pPr>
              <w:pStyle w:val="TableParagraph"/>
              <w:ind w:left="159" w:right="8"/>
              <w:jc w:val="center"/>
              <w:rPr>
                <w:sz w:val="21"/>
              </w:rPr>
            </w:pPr>
            <w:r>
              <w:rPr>
                <w:spacing w:val="-2"/>
                <w:sz w:val="21"/>
              </w:rPr>
              <w:t>98.72</w:t>
            </w:r>
          </w:p>
        </w:tc>
        <w:tc>
          <w:tcPr>
            <w:tcW w:w="2078" w:type="dxa"/>
          </w:tcPr>
          <w:p w:rsidR="003F5784" w14:paraId="608D1727" w14:textId="77777777">
            <w:pPr>
              <w:pStyle w:val="TableParagraph"/>
              <w:ind w:right="386"/>
              <w:rPr>
                <w:sz w:val="21"/>
              </w:rPr>
            </w:pPr>
            <w:r>
              <w:rPr>
                <w:spacing w:val="-2"/>
                <w:sz w:val="21"/>
              </w:rPr>
              <w:t>98.91</w:t>
            </w:r>
          </w:p>
        </w:tc>
        <w:tc>
          <w:tcPr>
            <w:tcW w:w="1350" w:type="dxa"/>
          </w:tcPr>
          <w:p w:rsidR="003F5784" w14:paraId="1FBE237D" w14:textId="77777777">
            <w:pPr>
              <w:pStyle w:val="TableParagraph"/>
              <w:ind w:left="387"/>
              <w:jc w:val="left"/>
              <w:rPr>
                <w:sz w:val="21"/>
              </w:rPr>
            </w:pPr>
            <w:r>
              <w:rPr>
                <w:spacing w:val="-2"/>
                <w:sz w:val="21"/>
              </w:rPr>
              <w:t>2,000</w:t>
            </w:r>
          </w:p>
        </w:tc>
        <w:tc>
          <w:tcPr>
            <w:tcW w:w="1170" w:type="dxa"/>
          </w:tcPr>
          <w:p w:rsidR="003F5784" w14:paraId="5C643099" w14:textId="77777777">
            <w:pPr>
              <w:pStyle w:val="TableParagraph"/>
              <w:ind w:left="463"/>
              <w:jc w:val="left"/>
              <w:rPr>
                <w:sz w:val="21"/>
              </w:rPr>
            </w:pPr>
            <w:r>
              <w:rPr>
                <w:spacing w:val="-4"/>
                <w:sz w:val="21"/>
              </w:rPr>
              <w:t>2.03</w:t>
            </w:r>
          </w:p>
        </w:tc>
        <w:tc>
          <w:tcPr>
            <w:tcW w:w="1620" w:type="dxa"/>
          </w:tcPr>
          <w:p w:rsidR="003F5784" w14:paraId="0AA954A6" w14:textId="77777777">
            <w:pPr>
              <w:pStyle w:val="TableParagraph"/>
              <w:ind w:right="22"/>
              <w:jc w:val="center"/>
              <w:rPr>
                <w:sz w:val="21"/>
              </w:rPr>
            </w:pPr>
            <w:r>
              <w:rPr>
                <w:spacing w:val="-2"/>
                <w:sz w:val="21"/>
              </w:rPr>
              <w:t>92.15</w:t>
            </w:r>
          </w:p>
        </w:tc>
        <w:tc>
          <w:tcPr>
            <w:tcW w:w="1560" w:type="dxa"/>
            <w:gridSpan w:val="2"/>
          </w:tcPr>
          <w:p w:rsidR="003F5784" w14:paraId="1D210979" w14:textId="77777777">
            <w:pPr>
              <w:pStyle w:val="TableParagraph"/>
              <w:ind w:right="118"/>
              <w:rPr>
                <w:sz w:val="21"/>
              </w:rPr>
            </w:pPr>
            <w:r>
              <w:rPr>
                <w:spacing w:val="-2"/>
                <w:sz w:val="21"/>
              </w:rPr>
              <w:t>20.06</w:t>
            </w:r>
          </w:p>
        </w:tc>
      </w:tr>
      <w:tr w14:paraId="62DBB81F"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030DDFCB" w14:textId="77777777">
            <w:pPr>
              <w:pStyle w:val="TableParagraph"/>
              <w:ind w:left="120"/>
              <w:jc w:val="left"/>
              <w:rPr>
                <w:sz w:val="21"/>
              </w:rPr>
            </w:pPr>
            <w:r>
              <w:rPr>
                <w:sz w:val="21"/>
              </w:rPr>
              <w:t>New</w:t>
            </w:r>
            <w:r>
              <w:rPr>
                <w:spacing w:val="-5"/>
                <w:sz w:val="21"/>
              </w:rPr>
              <w:t xml:space="preserve"> </w:t>
            </w:r>
            <w:r>
              <w:rPr>
                <w:spacing w:val="-2"/>
                <w:sz w:val="21"/>
              </w:rPr>
              <w:t>Mexico</w:t>
            </w:r>
          </w:p>
        </w:tc>
        <w:tc>
          <w:tcPr>
            <w:tcW w:w="1597" w:type="dxa"/>
            <w:gridSpan w:val="2"/>
          </w:tcPr>
          <w:p w:rsidR="003F5784" w14:paraId="464F1BC7" w14:textId="77777777">
            <w:pPr>
              <w:pStyle w:val="TableParagraph"/>
              <w:ind w:right="738"/>
              <w:rPr>
                <w:sz w:val="21"/>
              </w:rPr>
            </w:pPr>
            <w:r>
              <w:rPr>
                <w:spacing w:val="-5"/>
                <w:sz w:val="21"/>
              </w:rPr>
              <w:t>120</w:t>
            </w:r>
          </w:p>
        </w:tc>
        <w:tc>
          <w:tcPr>
            <w:tcW w:w="2340" w:type="dxa"/>
          </w:tcPr>
          <w:p w:rsidR="003F5784" w14:paraId="63E98180" w14:textId="77777777">
            <w:pPr>
              <w:pStyle w:val="TableParagraph"/>
              <w:ind w:left="159" w:right="112"/>
              <w:jc w:val="center"/>
              <w:rPr>
                <w:sz w:val="21"/>
              </w:rPr>
            </w:pPr>
            <w:r>
              <w:rPr>
                <w:spacing w:val="-2"/>
                <w:sz w:val="21"/>
              </w:rPr>
              <w:t>100.00</w:t>
            </w:r>
          </w:p>
        </w:tc>
        <w:tc>
          <w:tcPr>
            <w:tcW w:w="2078" w:type="dxa"/>
          </w:tcPr>
          <w:p w:rsidR="003F5784" w14:paraId="101A0509" w14:textId="77777777">
            <w:pPr>
              <w:pStyle w:val="TableParagraph"/>
              <w:ind w:right="386"/>
              <w:rPr>
                <w:sz w:val="21"/>
              </w:rPr>
            </w:pPr>
            <w:r>
              <w:rPr>
                <w:spacing w:val="-2"/>
                <w:sz w:val="21"/>
              </w:rPr>
              <w:t>100.00</w:t>
            </w:r>
          </w:p>
        </w:tc>
        <w:tc>
          <w:tcPr>
            <w:tcW w:w="1350" w:type="dxa"/>
          </w:tcPr>
          <w:p w:rsidR="003F5784" w14:paraId="513FF592" w14:textId="77777777">
            <w:pPr>
              <w:pStyle w:val="TableParagraph"/>
              <w:ind w:left="387"/>
              <w:jc w:val="left"/>
              <w:rPr>
                <w:sz w:val="21"/>
              </w:rPr>
            </w:pPr>
            <w:r>
              <w:rPr>
                <w:spacing w:val="-2"/>
                <w:sz w:val="21"/>
              </w:rPr>
              <w:t>2,600</w:t>
            </w:r>
          </w:p>
        </w:tc>
        <w:tc>
          <w:tcPr>
            <w:tcW w:w="1170" w:type="dxa"/>
          </w:tcPr>
          <w:p w:rsidR="003F5784" w14:paraId="1DBCD0EF" w14:textId="77777777">
            <w:pPr>
              <w:pStyle w:val="TableParagraph"/>
              <w:ind w:left="463"/>
              <w:jc w:val="left"/>
              <w:rPr>
                <w:sz w:val="21"/>
              </w:rPr>
            </w:pPr>
            <w:r>
              <w:rPr>
                <w:spacing w:val="-4"/>
                <w:sz w:val="21"/>
              </w:rPr>
              <w:t>1.58</w:t>
            </w:r>
          </w:p>
        </w:tc>
        <w:tc>
          <w:tcPr>
            <w:tcW w:w="1620" w:type="dxa"/>
          </w:tcPr>
          <w:p w:rsidR="003F5784" w14:paraId="6FA83411" w14:textId="77777777">
            <w:pPr>
              <w:pStyle w:val="TableParagraph"/>
              <w:ind w:right="22"/>
              <w:jc w:val="center"/>
              <w:rPr>
                <w:sz w:val="21"/>
              </w:rPr>
            </w:pPr>
            <w:r>
              <w:rPr>
                <w:spacing w:val="-2"/>
                <w:sz w:val="21"/>
              </w:rPr>
              <w:t>90.58</w:t>
            </w:r>
          </w:p>
        </w:tc>
        <w:tc>
          <w:tcPr>
            <w:tcW w:w="1560" w:type="dxa"/>
            <w:gridSpan w:val="2"/>
          </w:tcPr>
          <w:p w:rsidR="003F5784" w14:paraId="22E268D0" w14:textId="77777777">
            <w:pPr>
              <w:pStyle w:val="TableParagraph"/>
              <w:ind w:right="118"/>
              <w:rPr>
                <w:sz w:val="21"/>
              </w:rPr>
            </w:pPr>
            <w:r>
              <w:rPr>
                <w:spacing w:val="-2"/>
                <w:sz w:val="21"/>
              </w:rPr>
              <w:t>15.72</w:t>
            </w:r>
          </w:p>
        </w:tc>
      </w:tr>
      <w:tr w14:paraId="072A1887"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22335ED2" w14:textId="77777777">
            <w:pPr>
              <w:pStyle w:val="TableParagraph"/>
              <w:ind w:left="120"/>
              <w:jc w:val="left"/>
              <w:rPr>
                <w:sz w:val="21"/>
              </w:rPr>
            </w:pPr>
            <w:r>
              <w:rPr>
                <w:sz w:val="21"/>
              </w:rPr>
              <w:t>New</w:t>
            </w:r>
            <w:r>
              <w:rPr>
                <w:spacing w:val="-13"/>
                <w:sz w:val="21"/>
              </w:rPr>
              <w:t xml:space="preserve"> </w:t>
            </w:r>
            <w:r>
              <w:rPr>
                <w:spacing w:val="-4"/>
                <w:sz w:val="21"/>
              </w:rPr>
              <w:t>York</w:t>
            </w:r>
          </w:p>
        </w:tc>
        <w:tc>
          <w:tcPr>
            <w:tcW w:w="1597" w:type="dxa"/>
            <w:gridSpan w:val="2"/>
          </w:tcPr>
          <w:p w:rsidR="003F5784" w14:paraId="27C964CC" w14:textId="77777777">
            <w:pPr>
              <w:pStyle w:val="TableParagraph"/>
              <w:ind w:right="738"/>
              <w:rPr>
                <w:sz w:val="21"/>
              </w:rPr>
            </w:pPr>
            <w:r>
              <w:rPr>
                <w:spacing w:val="-5"/>
                <w:sz w:val="21"/>
              </w:rPr>
              <w:t>120</w:t>
            </w:r>
          </w:p>
        </w:tc>
        <w:tc>
          <w:tcPr>
            <w:tcW w:w="2340" w:type="dxa"/>
          </w:tcPr>
          <w:p w:rsidR="003F5784" w14:paraId="742CBD06" w14:textId="77777777">
            <w:pPr>
              <w:pStyle w:val="TableParagraph"/>
              <w:ind w:left="159" w:right="8"/>
              <w:jc w:val="center"/>
              <w:rPr>
                <w:sz w:val="21"/>
              </w:rPr>
            </w:pPr>
            <w:r>
              <w:rPr>
                <w:spacing w:val="-2"/>
                <w:sz w:val="21"/>
              </w:rPr>
              <w:t>95.76</w:t>
            </w:r>
          </w:p>
        </w:tc>
        <w:tc>
          <w:tcPr>
            <w:tcW w:w="2078" w:type="dxa"/>
          </w:tcPr>
          <w:p w:rsidR="003F5784" w14:paraId="735C83FD" w14:textId="77777777">
            <w:pPr>
              <w:pStyle w:val="TableParagraph"/>
              <w:ind w:right="386"/>
              <w:rPr>
                <w:sz w:val="21"/>
              </w:rPr>
            </w:pPr>
            <w:r>
              <w:rPr>
                <w:spacing w:val="-2"/>
                <w:sz w:val="21"/>
              </w:rPr>
              <w:t>95.82</w:t>
            </w:r>
          </w:p>
        </w:tc>
        <w:tc>
          <w:tcPr>
            <w:tcW w:w="1350" w:type="dxa"/>
          </w:tcPr>
          <w:p w:rsidR="003F5784" w14:paraId="3F408802" w14:textId="77777777">
            <w:pPr>
              <w:pStyle w:val="TableParagraph"/>
              <w:ind w:left="387"/>
              <w:jc w:val="left"/>
              <w:rPr>
                <w:sz w:val="21"/>
              </w:rPr>
            </w:pPr>
            <w:r>
              <w:rPr>
                <w:spacing w:val="-2"/>
                <w:sz w:val="21"/>
              </w:rPr>
              <w:t>2,900</w:t>
            </w:r>
          </w:p>
        </w:tc>
        <w:tc>
          <w:tcPr>
            <w:tcW w:w="1170" w:type="dxa"/>
          </w:tcPr>
          <w:p w:rsidR="003F5784" w14:paraId="29AE7B63" w14:textId="77777777">
            <w:pPr>
              <w:pStyle w:val="TableParagraph"/>
              <w:ind w:left="463"/>
              <w:jc w:val="left"/>
              <w:rPr>
                <w:sz w:val="21"/>
              </w:rPr>
            </w:pPr>
            <w:r>
              <w:rPr>
                <w:spacing w:val="-4"/>
                <w:sz w:val="21"/>
              </w:rPr>
              <w:t>1.22</w:t>
            </w:r>
          </w:p>
        </w:tc>
        <w:tc>
          <w:tcPr>
            <w:tcW w:w="1620" w:type="dxa"/>
          </w:tcPr>
          <w:p w:rsidR="003F5784" w14:paraId="25C04375" w14:textId="77777777">
            <w:pPr>
              <w:pStyle w:val="TableParagraph"/>
              <w:ind w:right="22"/>
              <w:jc w:val="center"/>
              <w:rPr>
                <w:sz w:val="21"/>
              </w:rPr>
            </w:pPr>
            <w:r>
              <w:rPr>
                <w:spacing w:val="-2"/>
                <w:sz w:val="21"/>
              </w:rPr>
              <w:t>86.46</w:t>
            </w:r>
          </w:p>
        </w:tc>
        <w:tc>
          <w:tcPr>
            <w:tcW w:w="1560" w:type="dxa"/>
            <w:gridSpan w:val="2"/>
          </w:tcPr>
          <w:p w:rsidR="003F5784" w14:paraId="5BE8A5B6" w14:textId="77777777">
            <w:pPr>
              <w:pStyle w:val="TableParagraph"/>
              <w:ind w:right="118"/>
              <w:rPr>
                <w:sz w:val="21"/>
              </w:rPr>
            </w:pPr>
            <w:r>
              <w:rPr>
                <w:spacing w:val="-2"/>
                <w:sz w:val="21"/>
              </w:rPr>
              <w:t>21.33</w:t>
            </w:r>
          </w:p>
        </w:tc>
      </w:tr>
      <w:tr w14:paraId="0B48838A"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74FBAB9C" w14:textId="77777777">
            <w:pPr>
              <w:pStyle w:val="TableParagraph"/>
              <w:ind w:left="120"/>
              <w:jc w:val="left"/>
              <w:rPr>
                <w:sz w:val="21"/>
              </w:rPr>
            </w:pPr>
            <w:r>
              <w:rPr>
                <w:sz w:val="21"/>
              </w:rPr>
              <w:t>North</w:t>
            </w:r>
            <w:r>
              <w:rPr>
                <w:spacing w:val="-6"/>
                <w:sz w:val="21"/>
              </w:rPr>
              <w:t xml:space="preserve"> </w:t>
            </w:r>
            <w:r>
              <w:rPr>
                <w:spacing w:val="-2"/>
                <w:sz w:val="21"/>
              </w:rPr>
              <w:t>Carolina</w:t>
            </w:r>
          </w:p>
        </w:tc>
        <w:tc>
          <w:tcPr>
            <w:tcW w:w="1597" w:type="dxa"/>
            <w:gridSpan w:val="2"/>
          </w:tcPr>
          <w:p w:rsidR="003F5784" w14:paraId="75F38531" w14:textId="77777777">
            <w:pPr>
              <w:pStyle w:val="TableParagraph"/>
              <w:ind w:right="738"/>
              <w:rPr>
                <w:sz w:val="21"/>
              </w:rPr>
            </w:pPr>
            <w:r>
              <w:rPr>
                <w:spacing w:val="-5"/>
                <w:sz w:val="21"/>
              </w:rPr>
              <w:t>160</w:t>
            </w:r>
          </w:p>
        </w:tc>
        <w:tc>
          <w:tcPr>
            <w:tcW w:w="2340" w:type="dxa"/>
          </w:tcPr>
          <w:p w:rsidR="003F5784" w14:paraId="1A499D04" w14:textId="77777777">
            <w:pPr>
              <w:pStyle w:val="TableParagraph"/>
              <w:ind w:left="159" w:right="112"/>
              <w:jc w:val="center"/>
              <w:rPr>
                <w:sz w:val="21"/>
              </w:rPr>
            </w:pPr>
            <w:r>
              <w:rPr>
                <w:spacing w:val="-2"/>
                <w:sz w:val="21"/>
              </w:rPr>
              <w:t>100.00</w:t>
            </w:r>
          </w:p>
        </w:tc>
        <w:tc>
          <w:tcPr>
            <w:tcW w:w="2078" w:type="dxa"/>
          </w:tcPr>
          <w:p w:rsidR="003F5784" w14:paraId="151971CE" w14:textId="77777777">
            <w:pPr>
              <w:pStyle w:val="TableParagraph"/>
              <w:ind w:right="386"/>
              <w:rPr>
                <w:sz w:val="21"/>
              </w:rPr>
            </w:pPr>
            <w:r>
              <w:rPr>
                <w:spacing w:val="-2"/>
                <w:sz w:val="21"/>
              </w:rPr>
              <w:t>100.00</w:t>
            </w:r>
          </w:p>
        </w:tc>
        <w:tc>
          <w:tcPr>
            <w:tcW w:w="1350" w:type="dxa"/>
          </w:tcPr>
          <w:p w:rsidR="003F5784" w14:paraId="0C2FAD07" w14:textId="77777777">
            <w:pPr>
              <w:pStyle w:val="TableParagraph"/>
              <w:ind w:left="387"/>
              <w:jc w:val="left"/>
              <w:rPr>
                <w:sz w:val="21"/>
              </w:rPr>
            </w:pPr>
            <w:r>
              <w:rPr>
                <w:spacing w:val="-2"/>
                <w:sz w:val="21"/>
              </w:rPr>
              <w:t>4,100</w:t>
            </w:r>
          </w:p>
        </w:tc>
        <w:tc>
          <w:tcPr>
            <w:tcW w:w="1170" w:type="dxa"/>
          </w:tcPr>
          <w:p w:rsidR="003F5784" w14:paraId="1C0D9A12" w14:textId="77777777">
            <w:pPr>
              <w:pStyle w:val="TableParagraph"/>
              <w:ind w:left="463"/>
              <w:jc w:val="left"/>
              <w:rPr>
                <w:sz w:val="21"/>
              </w:rPr>
            </w:pPr>
            <w:r>
              <w:rPr>
                <w:spacing w:val="-4"/>
                <w:sz w:val="21"/>
              </w:rPr>
              <w:t>1.98</w:t>
            </w:r>
          </w:p>
        </w:tc>
        <w:tc>
          <w:tcPr>
            <w:tcW w:w="1620" w:type="dxa"/>
          </w:tcPr>
          <w:p w:rsidR="003F5784" w14:paraId="50DC64AD" w14:textId="77777777">
            <w:pPr>
              <w:pStyle w:val="TableParagraph"/>
              <w:ind w:right="22"/>
              <w:jc w:val="center"/>
              <w:rPr>
                <w:sz w:val="21"/>
              </w:rPr>
            </w:pPr>
            <w:r>
              <w:rPr>
                <w:spacing w:val="-2"/>
                <w:sz w:val="21"/>
              </w:rPr>
              <w:t>90.96</w:t>
            </w:r>
          </w:p>
        </w:tc>
        <w:tc>
          <w:tcPr>
            <w:tcW w:w="1560" w:type="dxa"/>
            <w:gridSpan w:val="2"/>
          </w:tcPr>
          <w:p w:rsidR="003F5784" w14:paraId="320F2D45" w14:textId="77777777">
            <w:pPr>
              <w:pStyle w:val="TableParagraph"/>
              <w:ind w:right="118"/>
              <w:rPr>
                <w:sz w:val="21"/>
              </w:rPr>
            </w:pPr>
            <w:r>
              <w:rPr>
                <w:spacing w:val="-2"/>
                <w:sz w:val="21"/>
              </w:rPr>
              <w:t>13.47</w:t>
            </w:r>
          </w:p>
        </w:tc>
      </w:tr>
      <w:tr w14:paraId="5D68868C"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77EB05F1" w14:textId="77777777">
            <w:pPr>
              <w:pStyle w:val="TableParagraph"/>
              <w:ind w:left="120"/>
              <w:jc w:val="left"/>
              <w:rPr>
                <w:sz w:val="21"/>
              </w:rPr>
            </w:pPr>
            <w:r>
              <w:rPr>
                <w:sz w:val="21"/>
              </w:rPr>
              <w:t>North</w:t>
            </w:r>
            <w:r>
              <w:rPr>
                <w:spacing w:val="-6"/>
                <w:sz w:val="21"/>
              </w:rPr>
              <w:t xml:space="preserve"> </w:t>
            </w:r>
            <w:r>
              <w:rPr>
                <w:spacing w:val="-2"/>
                <w:sz w:val="21"/>
              </w:rPr>
              <w:t>Dakota</w:t>
            </w:r>
          </w:p>
        </w:tc>
        <w:tc>
          <w:tcPr>
            <w:tcW w:w="1597" w:type="dxa"/>
            <w:gridSpan w:val="2"/>
          </w:tcPr>
          <w:p w:rsidR="003F5784" w14:paraId="0E4FF354" w14:textId="77777777">
            <w:pPr>
              <w:pStyle w:val="TableParagraph"/>
              <w:ind w:right="738"/>
              <w:rPr>
                <w:sz w:val="21"/>
              </w:rPr>
            </w:pPr>
            <w:r>
              <w:rPr>
                <w:spacing w:val="-5"/>
                <w:sz w:val="21"/>
              </w:rPr>
              <w:t>120</w:t>
            </w:r>
          </w:p>
        </w:tc>
        <w:tc>
          <w:tcPr>
            <w:tcW w:w="2340" w:type="dxa"/>
          </w:tcPr>
          <w:p w:rsidR="003F5784" w14:paraId="2C368BE6" w14:textId="77777777">
            <w:pPr>
              <w:pStyle w:val="TableParagraph"/>
              <w:ind w:left="159" w:right="8"/>
              <w:jc w:val="center"/>
              <w:rPr>
                <w:sz w:val="21"/>
              </w:rPr>
            </w:pPr>
            <w:r>
              <w:rPr>
                <w:spacing w:val="-2"/>
                <w:sz w:val="21"/>
              </w:rPr>
              <w:t>99.28</w:t>
            </w:r>
          </w:p>
        </w:tc>
        <w:tc>
          <w:tcPr>
            <w:tcW w:w="2078" w:type="dxa"/>
          </w:tcPr>
          <w:p w:rsidR="003F5784" w14:paraId="43A1BABD" w14:textId="77777777">
            <w:pPr>
              <w:pStyle w:val="TableParagraph"/>
              <w:ind w:right="386"/>
              <w:rPr>
                <w:sz w:val="21"/>
              </w:rPr>
            </w:pPr>
            <w:r>
              <w:rPr>
                <w:spacing w:val="-2"/>
                <w:sz w:val="21"/>
              </w:rPr>
              <w:t>97.26</w:t>
            </w:r>
          </w:p>
        </w:tc>
        <w:tc>
          <w:tcPr>
            <w:tcW w:w="1350" w:type="dxa"/>
          </w:tcPr>
          <w:p w:rsidR="003F5784" w14:paraId="2E85C9BD" w14:textId="77777777">
            <w:pPr>
              <w:pStyle w:val="TableParagraph"/>
              <w:ind w:left="387"/>
              <w:jc w:val="left"/>
              <w:rPr>
                <w:sz w:val="21"/>
              </w:rPr>
            </w:pPr>
            <w:r>
              <w:rPr>
                <w:spacing w:val="-2"/>
                <w:sz w:val="21"/>
              </w:rPr>
              <w:t>2,200</w:t>
            </w:r>
          </w:p>
        </w:tc>
        <w:tc>
          <w:tcPr>
            <w:tcW w:w="1170" w:type="dxa"/>
          </w:tcPr>
          <w:p w:rsidR="003F5784" w14:paraId="5D9932C5" w14:textId="77777777">
            <w:pPr>
              <w:pStyle w:val="TableParagraph"/>
              <w:ind w:left="463"/>
              <w:jc w:val="left"/>
              <w:rPr>
                <w:sz w:val="21"/>
              </w:rPr>
            </w:pPr>
            <w:r>
              <w:rPr>
                <w:spacing w:val="-4"/>
                <w:sz w:val="21"/>
              </w:rPr>
              <w:t>1.28</w:t>
            </w:r>
          </w:p>
        </w:tc>
        <w:tc>
          <w:tcPr>
            <w:tcW w:w="1620" w:type="dxa"/>
          </w:tcPr>
          <w:p w:rsidR="003F5784" w14:paraId="593DAAF9" w14:textId="77777777">
            <w:pPr>
              <w:pStyle w:val="TableParagraph"/>
              <w:ind w:right="22"/>
              <w:jc w:val="center"/>
              <w:rPr>
                <w:sz w:val="21"/>
              </w:rPr>
            </w:pPr>
            <w:r>
              <w:rPr>
                <w:spacing w:val="-2"/>
                <w:sz w:val="21"/>
              </w:rPr>
              <w:t>90.24</w:t>
            </w:r>
          </w:p>
        </w:tc>
        <w:tc>
          <w:tcPr>
            <w:tcW w:w="1560" w:type="dxa"/>
            <w:gridSpan w:val="2"/>
          </w:tcPr>
          <w:p w:rsidR="003F5784" w14:paraId="2DD4F284" w14:textId="77777777">
            <w:pPr>
              <w:pStyle w:val="TableParagraph"/>
              <w:ind w:right="118"/>
              <w:rPr>
                <w:sz w:val="21"/>
              </w:rPr>
            </w:pPr>
            <w:r>
              <w:rPr>
                <w:spacing w:val="-2"/>
                <w:sz w:val="21"/>
              </w:rPr>
              <w:t>11.59</w:t>
            </w:r>
          </w:p>
        </w:tc>
      </w:tr>
      <w:tr w14:paraId="2CD6BB55"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0DFE8579" w14:textId="77777777">
            <w:pPr>
              <w:pStyle w:val="TableParagraph"/>
              <w:ind w:left="120"/>
              <w:jc w:val="left"/>
              <w:rPr>
                <w:sz w:val="21"/>
              </w:rPr>
            </w:pPr>
            <w:r>
              <w:rPr>
                <w:spacing w:val="-4"/>
                <w:sz w:val="21"/>
              </w:rPr>
              <w:t>Ohio</w:t>
            </w:r>
          </w:p>
        </w:tc>
        <w:tc>
          <w:tcPr>
            <w:tcW w:w="1597" w:type="dxa"/>
            <w:gridSpan w:val="2"/>
          </w:tcPr>
          <w:p w:rsidR="003F5784" w14:paraId="785339E9" w14:textId="77777777">
            <w:pPr>
              <w:pStyle w:val="TableParagraph"/>
              <w:ind w:right="738"/>
              <w:rPr>
                <w:sz w:val="21"/>
              </w:rPr>
            </w:pPr>
            <w:r>
              <w:rPr>
                <w:spacing w:val="-5"/>
                <w:sz w:val="21"/>
              </w:rPr>
              <w:t>140</w:t>
            </w:r>
          </w:p>
        </w:tc>
        <w:tc>
          <w:tcPr>
            <w:tcW w:w="2340" w:type="dxa"/>
          </w:tcPr>
          <w:p w:rsidR="003F5784" w14:paraId="2BE1A05F" w14:textId="77777777">
            <w:pPr>
              <w:pStyle w:val="TableParagraph"/>
              <w:ind w:left="159" w:right="112"/>
              <w:jc w:val="center"/>
              <w:rPr>
                <w:sz w:val="21"/>
              </w:rPr>
            </w:pPr>
            <w:r>
              <w:rPr>
                <w:spacing w:val="-2"/>
                <w:sz w:val="21"/>
              </w:rPr>
              <w:t>100.00</w:t>
            </w:r>
          </w:p>
        </w:tc>
        <w:tc>
          <w:tcPr>
            <w:tcW w:w="2078" w:type="dxa"/>
          </w:tcPr>
          <w:p w:rsidR="003F5784" w14:paraId="09D238C1" w14:textId="77777777">
            <w:pPr>
              <w:pStyle w:val="TableParagraph"/>
              <w:ind w:right="386"/>
              <w:rPr>
                <w:sz w:val="21"/>
              </w:rPr>
            </w:pPr>
            <w:r>
              <w:rPr>
                <w:spacing w:val="-2"/>
                <w:sz w:val="21"/>
              </w:rPr>
              <w:t>100.00</w:t>
            </w:r>
          </w:p>
        </w:tc>
        <w:tc>
          <w:tcPr>
            <w:tcW w:w="1350" w:type="dxa"/>
          </w:tcPr>
          <w:p w:rsidR="003F5784" w14:paraId="60D7E83A" w14:textId="77777777">
            <w:pPr>
              <w:pStyle w:val="TableParagraph"/>
              <w:ind w:left="387"/>
              <w:jc w:val="left"/>
              <w:rPr>
                <w:sz w:val="21"/>
              </w:rPr>
            </w:pPr>
            <w:r>
              <w:rPr>
                <w:spacing w:val="-2"/>
                <w:sz w:val="21"/>
              </w:rPr>
              <w:t>2,800</w:t>
            </w:r>
          </w:p>
        </w:tc>
        <w:tc>
          <w:tcPr>
            <w:tcW w:w="1170" w:type="dxa"/>
          </w:tcPr>
          <w:p w:rsidR="003F5784" w14:paraId="55F4E80A" w14:textId="77777777">
            <w:pPr>
              <w:pStyle w:val="TableParagraph"/>
              <w:ind w:left="463"/>
              <w:jc w:val="left"/>
              <w:rPr>
                <w:sz w:val="21"/>
              </w:rPr>
            </w:pPr>
            <w:r>
              <w:rPr>
                <w:spacing w:val="-4"/>
                <w:sz w:val="21"/>
              </w:rPr>
              <w:t>1.21</w:t>
            </w:r>
          </w:p>
        </w:tc>
        <w:tc>
          <w:tcPr>
            <w:tcW w:w="1620" w:type="dxa"/>
          </w:tcPr>
          <w:p w:rsidR="003F5784" w14:paraId="2F76A1D9" w14:textId="77777777">
            <w:pPr>
              <w:pStyle w:val="TableParagraph"/>
              <w:ind w:right="22"/>
              <w:jc w:val="center"/>
              <w:rPr>
                <w:sz w:val="21"/>
              </w:rPr>
            </w:pPr>
            <w:r>
              <w:rPr>
                <w:spacing w:val="-2"/>
                <w:sz w:val="21"/>
              </w:rPr>
              <w:t>92.78</w:t>
            </w:r>
          </w:p>
        </w:tc>
        <w:tc>
          <w:tcPr>
            <w:tcW w:w="1560" w:type="dxa"/>
            <w:gridSpan w:val="2"/>
          </w:tcPr>
          <w:p w:rsidR="003F5784" w14:paraId="752BCFFB" w14:textId="77777777">
            <w:pPr>
              <w:pStyle w:val="TableParagraph"/>
              <w:ind w:right="118"/>
              <w:rPr>
                <w:sz w:val="21"/>
              </w:rPr>
            </w:pPr>
            <w:r>
              <w:rPr>
                <w:spacing w:val="-2"/>
                <w:sz w:val="21"/>
              </w:rPr>
              <w:t>16.60</w:t>
            </w:r>
          </w:p>
        </w:tc>
      </w:tr>
      <w:tr w14:paraId="7360E3F7"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44DD7C21" w14:textId="77777777">
            <w:pPr>
              <w:pStyle w:val="TableParagraph"/>
              <w:ind w:left="120"/>
              <w:jc w:val="left"/>
              <w:rPr>
                <w:sz w:val="21"/>
              </w:rPr>
            </w:pPr>
            <w:r>
              <w:rPr>
                <w:spacing w:val="-2"/>
                <w:sz w:val="21"/>
              </w:rPr>
              <w:t>Oklahoma</w:t>
            </w:r>
          </w:p>
        </w:tc>
        <w:tc>
          <w:tcPr>
            <w:tcW w:w="1597" w:type="dxa"/>
            <w:gridSpan w:val="2"/>
          </w:tcPr>
          <w:p w:rsidR="003F5784" w14:paraId="7FEFC611" w14:textId="77777777">
            <w:pPr>
              <w:pStyle w:val="TableParagraph"/>
              <w:ind w:right="738"/>
              <w:rPr>
                <w:sz w:val="21"/>
              </w:rPr>
            </w:pPr>
            <w:r>
              <w:rPr>
                <w:spacing w:val="-5"/>
                <w:sz w:val="21"/>
              </w:rPr>
              <w:t>100</w:t>
            </w:r>
          </w:p>
        </w:tc>
        <w:tc>
          <w:tcPr>
            <w:tcW w:w="2340" w:type="dxa"/>
          </w:tcPr>
          <w:p w:rsidR="003F5784" w14:paraId="2C8E7057" w14:textId="77777777">
            <w:pPr>
              <w:pStyle w:val="TableParagraph"/>
              <w:ind w:left="159" w:right="112"/>
              <w:jc w:val="center"/>
              <w:rPr>
                <w:sz w:val="21"/>
              </w:rPr>
            </w:pPr>
            <w:r>
              <w:rPr>
                <w:spacing w:val="-2"/>
                <w:sz w:val="21"/>
              </w:rPr>
              <w:t>100.00</w:t>
            </w:r>
          </w:p>
        </w:tc>
        <w:tc>
          <w:tcPr>
            <w:tcW w:w="2078" w:type="dxa"/>
          </w:tcPr>
          <w:p w:rsidR="003F5784" w14:paraId="6F787E50" w14:textId="77777777">
            <w:pPr>
              <w:pStyle w:val="TableParagraph"/>
              <w:ind w:right="386"/>
              <w:rPr>
                <w:sz w:val="21"/>
              </w:rPr>
            </w:pPr>
            <w:r>
              <w:rPr>
                <w:spacing w:val="-2"/>
                <w:sz w:val="21"/>
              </w:rPr>
              <w:t>100.00</w:t>
            </w:r>
          </w:p>
        </w:tc>
        <w:tc>
          <w:tcPr>
            <w:tcW w:w="1350" w:type="dxa"/>
          </w:tcPr>
          <w:p w:rsidR="003F5784" w14:paraId="7C92B28D" w14:textId="77777777">
            <w:pPr>
              <w:pStyle w:val="TableParagraph"/>
              <w:ind w:left="387"/>
              <w:jc w:val="left"/>
              <w:rPr>
                <w:sz w:val="21"/>
              </w:rPr>
            </w:pPr>
            <w:r>
              <w:rPr>
                <w:spacing w:val="-2"/>
                <w:sz w:val="21"/>
              </w:rPr>
              <w:t>2,100</w:t>
            </w:r>
          </w:p>
        </w:tc>
        <w:tc>
          <w:tcPr>
            <w:tcW w:w="1170" w:type="dxa"/>
          </w:tcPr>
          <w:p w:rsidR="003F5784" w14:paraId="22D8D637" w14:textId="77777777">
            <w:pPr>
              <w:pStyle w:val="TableParagraph"/>
              <w:ind w:left="463"/>
              <w:jc w:val="left"/>
              <w:rPr>
                <w:sz w:val="21"/>
              </w:rPr>
            </w:pPr>
            <w:r>
              <w:rPr>
                <w:spacing w:val="-4"/>
                <w:sz w:val="21"/>
              </w:rPr>
              <w:t>2.21</w:t>
            </w:r>
          </w:p>
        </w:tc>
        <w:tc>
          <w:tcPr>
            <w:tcW w:w="1620" w:type="dxa"/>
          </w:tcPr>
          <w:p w:rsidR="003F5784" w14:paraId="739ED3B8" w14:textId="77777777">
            <w:pPr>
              <w:pStyle w:val="TableParagraph"/>
              <w:ind w:right="22"/>
              <w:jc w:val="center"/>
              <w:rPr>
                <w:sz w:val="21"/>
              </w:rPr>
            </w:pPr>
            <w:r>
              <w:rPr>
                <w:spacing w:val="-2"/>
                <w:sz w:val="21"/>
              </w:rPr>
              <w:t>93.65</w:t>
            </w:r>
          </w:p>
        </w:tc>
        <w:tc>
          <w:tcPr>
            <w:tcW w:w="1560" w:type="dxa"/>
            <w:gridSpan w:val="2"/>
          </w:tcPr>
          <w:p w:rsidR="003F5784" w14:paraId="2F2D2E95" w14:textId="77777777">
            <w:pPr>
              <w:pStyle w:val="TableParagraph"/>
              <w:ind w:right="118"/>
              <w:rPr>
                <w:sz w:val="21"/>
              </w:rPr>
            </w:pPr>
            <w:r>
              <w:rPr>
                <w:spacing w:val="-2"/>
                <w:sz w:val="21"/>
              </w:rPr>
              <w:t>16.15</w:t>
            </w:r>
          </w:p>
        </w:tc>
      </w:tr>
      <w:tr w14:paraId="1F903EB1"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671672C3" w14:textId="77777777">
            <w:pPr>
              <w:pStyle w:val="TableParagraph"/>
              <w:ind w:left="120"/>
              <w:jc w:val="left"/>
              <w:rPr>
                <w:sz w:val="21"/>
              </w:rPr>
            </w:pPr>
            <w:r>
              <w:rPr>
                <w:spacing w:val="-2"/>
                <w:sz w:val="21"/>
              </w:rPr>
              <w:t>Oregon</w:t>
            </w:r>
          </w:p>
        </w:tc>
        <w:tc>
          <w:tcPr>
            <w:tcW w:w="1597" w:type="dxa"/>
            <w:gridSpan w:val="2"/>
          </w:tcPr>
          <w:p w:rsidR="003F5784" w14:paraId="633DA2BE" w14:textId="77777777">
            <w:pPr>
              <w:pStyle w:val="TableParagraph"/>
              <w:ind w:right="738"/>
              <w:rPr>
                <w:sz w:val="21"/>
              </w:rPr>
            </w:pPr>
            <w:r>
              <w:rPr>
                <w:spacing w:val="-5"/>
                <w:sz w:val="21"/>
              </w:rPr>
              <w:t>90</w:t>
            </w:r>
          </w:p>
        </w:tc>
        <w:tc>
          <w:tcPr>
            <w:tcW w:w="2340" w:type="dxa"/>
          </w:tcPr>
          <w:p w:rsidR="003F5784" w14:paraId="4E992F2F" w14:textId="77777777">
            <w:pPr>
              <w:pStyle w:val="TableParagraph"/>
              <w:ind w:left="159" w:right="112"/>
              <w:jc w:val="center"/>
              <w:rPr>
                <w:sz w:val="21"/>
              </w:rPr>
            </w:pPr>
            <w:r>
              <w:rPr>
                <w:spacing w:val="-2"/>
                <w:sz w:val="21"/>
              </w:rPr>
              <w:t>100.00</w:t>
            </w:r>
          </w:p>
        </w:tc>
        <w:tc>
          <w:tcPr>
            <w:tcW w:w="2078" w:type="dxa"/>
          </w:tcPr>
          <w:p w:rsidR="003F5784" w14:paraId="65B407F2" w14:textId="77777777">
            <w:pPr>
              <w:pStyle w:val="TableParagraph"/>
              <w:ind w:right="386"/>
              <w:rPr>
                <w:sz w:val="21"/>
              </w:rPr>
            </w:pPr>
            <w:r>
              <w:rPr>
                <w:spacing w:val="-2"/>
                <w:sz w:val="21"/>
              </w:rPr>
              <w:t>100.00</w:t>
            </w:r>
          </w:p>
        </w:tc>
        <w:tc>
          <w:tcPr>
            <w:tcW w:w="1350" w:type="dxa"/>
          </w:tcPr>
          <w:p w:rsidR="003F5784" w14:paraId="46A1C201" w14:textId="77777777">
            <w:pPr>
              <w:pStyle w:val="TableParagraph"/>
              <w:ind w:left="387"/>
              <w:jc w:val="left"/>
              <w:rPr>
                <w:sz w:val="21"/>
              </w:rPr>
            </w:pPr>
            <w:r>
              <w:rPr>
                <w:spacing w:val="-2"/>
                <w:sz w:val="21"/>
              </w:rPr>
              <w:t>2,200</w:t>
            </w:r>
          </w:p>
        </w:tc>
        <w:tc>
          <w:tcPr>
            <w:tcW w:w="1170" w:type="dxa"/>
          </w:tcPr>
          <w:p w:rsidR="003F5784" w14:paraId="469C7A34" w14:textId="77777777">
            <w:pPr>
              <w:pStyle w:val="TableParagraph"/>
              <w:ind w:left="463"/>
              <w:jc w:val="left"/>
              <w:rPr>
                <w:sz w:val="21"/>
              </w:rPr>
            </w:pPr>
            <w:r>
              <w:rPr>
                <w:spacing w:val="-4"/>
                <w:sz w:val="21"/>
              </w:rPr>
              <w:t>1.55</w:t>
            </w:r>
          </w:p>
        </w:tc>
        <w:tc>
          <w:tcPr>
            <w:tcW w:w="1620" w:type="dxa"/>
          </w:tcPr>
          <w:p w:rsidR="003F5784" w14:paraId="7C08EE8F" w14:textId="77777777">
            <w:pPr>
              <w:pStyle w:val="TableParagraph"/>
              <w:ind w:right="22"/>
              <w:jc w:val="center"/>
              <w:rPr>
                <w:sz w:val="21"/>
              </w:rPr>
            </w:pPr>
            <w:r>
              <w:rPr>
                <w:spacing w:val="-2"/>
                <w:sz w:val="21"/>
              </w:rPr>
              <w:t>87.89</w:t>
            </w:r>
          </w:p>
        </w:tc>
        <w:tc>
          <w:tcPr>
            <w:tcW w:w="1560" w:type="dxa"/>
            <w:gridSpan w:val="2"/>
          </w:tcPr>
          <w:p w:rsidR="003F5784" w14:paraId="7DB4E3B3" w14:textId="77777777">
            <w:pPr>
              <w:pStyle w:val="TableParagraph"/>
              <w:ind w:right="118"/>
              <w:rPr>
                <w:sz w:val="21"/>
              </w:rPr>
            </w:pPr>
            <w:r>
              <w:rPr>
                <w:spacing w:val="-2"/>
                <w:sz w:val="21"/>
              </w:rPr>
              <w:t>10.17</w:t>
            </w:r>
          </w:p>
        </w:tc>
      </w:tr>
      <w:tr w14:paraId="49928012"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7BC1DF18" w14:textId="77777777">
            <w:pPr>
              <w:pStyle w:val="TableParagraph"/>
              <w:ind w:left="120"/>
              <w:jc w:val="left"/>
              <w:rPr>
                <w:sz w:val="21"/>
              </w:rPr>
            </w:pPr>
            <w:r>
              <w:rPr>
                <w:spacing w:val="-2"/>
                <w:sz w:val="21"/>
              </w:rPr>
              <w:t>Pennsylvania</w:t>
            </w:r>
          </w:p>
        </w:tc>
        <w:tc>
          <w:tcPr>
            <w:tcW w:w="1597" w:type="dxa"/>
            <w:gridSpan w:val="2"/>
          </w:tcPr>
          <w:p w:rsidR="003F5784" w14:paraId="579890E8" w14:textId="77777777">
            <w:pPr>
              <w:pStyle w:val="TableParagraph"/>
              <w:ind w:right="738"/>
              <w:rPr>
                <w:sz w:val="21"/>
              </w:rPr>
            </w:pPr>
            <w:r>
              <w:rPr>
                <w:spacing w:val="-5"/>
                <w:sz w:val="21"/>
              </w:rPr>
              <w:t>120</w:t>
            </w:r>
          </w:p>
        </w:tc>
        <w:tc>
          <w:tcPr>
            <w:tcW w:w="2340" w:type="dxa"/>
          </w:tcPr>
          <w:p w:rsidR="003F5784" w14:paraId="12FBF16C" w14:textId="77777777">
            <w:pPr>
              <w:pStyle w:val="TableParagraph"/>
              <w:ind w:left="159" w:right="8"/>
              <w:jc w:val="center"/>
              <w:rPr>
                <w:sz w:val="21"/>
              </w:rPr>
            </w:pPr>
            <w:r>
              <w:rPr>
                <w:spacing w:val="-2"/>
                <w:sz w:val="21"/>
              </w:rPr>
              <w:t>99.86</w:t>
            </w:r>
          </w:p>
        </w:tc>
        <w:tc>
          <w:tcPr>
            <w:tcW w:w="2078" w:type="dxa"/>
          </w:tcPr>
          <w:p w:rsidR="003F5784" w14:paraId="6669673E" w14:textId="77777777">
            <w:pPr>
              <w:pStyle w:val="TableParagraph"/>
              <w:ind w:right="386"/>
              <w:rPr>
                <w:sz w:val="21"/>
              </w:rPr>
            </w:pPr>
            <w:r>
              <w:rPr>
                <w:spacing w:val="-2"/>
                <w:sz w:val="21"/>
              </w:rPr>
              <w:t>99.93</w:t>
            </w:r>
          </w:p>
        </w:tc>
        <w:tc>
          <w:tcPr>
            <w:tcW w:w="1350" w:type="dxa"/>
          </w:tcPr>
          <w:p w:rsidR="003F5784" w14:paraId="74AA9966" w14:textId="77777777">
            <w:pPr>
              <w:pStyle w:val="TableParagraph"/>
              <w:ind w:left="387"/>
              <w:jc w:val="left"/>
              <w:rPr>
                <w:sz w:val="21"/>
              </w:rPr>
            </w:pPr>
            <w:r>
              <w:rPr>
                <w:spacing w:val="-2"/>
                <w:sz w:val="21"/>
              </w:rPr>
              <w:t>3,000</w:t>
            </w:r>
          </w:p>
        </w:tc>
        <w:tc>
          <w:tcPr>
            <w:tcW w:w="1170" w:type="dxa"/>
          </w:tcPr>
          <w:p w:rsidR="003F5784" w14:paraId="4FCBE320" w14:textId="77777777">
            <w:pPr>
              <w:pStyle w:val="TableParagraph"/>
              <w:ind w:left="463"/>
              <w:jc w:val="left"/>
              <w:rPr>
                <w:sz w:val="21"/>
              </w:rPr>
            </w:pPr>
            <w:r>
              <w:rPr>
                <w:spacing w:val="-4"/>
                <w:sz w:val="21"/>
              </w:rPr>
              <w:t>2.02</w:t>
            </w:r>
          </w:p>
        </w:tc>
        <w:tc>
          <w:tcPr>
            <w:tcW w:w="1620" w:type="dxa"/>
          </w:tcPr>
          <w:p w:rsidR="003F5784" w14:paraId="5BD5333E" w14:textId="77777777">
            <w:pPr>
              <w:pStyle w:val="TableParagraph"/>
              <w:ind w:right="22"/>
              <w:jc w:val="center"/>
              <w:rPr>
                <w:sz w:val="21"/>
              </w:rPr>
            </w:pPr>
            <w:r>
              <w:rPr>
                <w:spacing w:val="-2"/>
                <w:sz w:val="21"/>
              </w:rPr>
              <w:t>92.53</w:t>
            </w:r>
          </w:p>
        </w:tc>
        <w:tc>
          <w:tcPr>
            <w:tcW w:w="1560" w:type="dxa"/>
            <w:gridSpan w:val="2"/>
          </w:tcPr>
          <w:p w:rsidR="003F5784" w14:paraId="1D1BAB97" w14:textId="77777777">
            <w:pPr>
              <w:pStyle w:val="TableParagraph"/>
              <w:ind w:right="118"/>
              <w:rPr>
                <w:sz w:val="21"/>
              </w:rPr>
            </w:pPr>
            <w:r>
              <w:rPr>
                <w:spacing w:val="-2"/>
                <w:sz w:val="21"/>
              </w:rPr>
              <w:t>14.36</w:t>
            </w:r>
          </w:p>
        </w:tc>
      </w:tr>
      <w:tr w14:paraId="4718BD5E"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1447FF91" w14:textId="77777777">
            <w:pPr>
              <w:pStyle w:val="TableParagraph"/>
              <w:ind w:left="120"/>
              <w:jc w:val="left"/>
              <w:rPr>
                <w:sz w:val="21"/>
              </w:rPr>
            </w:pPr>
            <w:r>
              <w:rPr>
                <w:sz w:val="21"/>
              </w:rPr>
              <w:t>Rhode</w:t>
            </w:r>
            <w:r>
              <w:rPr>
                <w:spacing w:val="-7"/>
                <w:sz w:val="21"/>
              </w:rPr>
              <w:t xml:space="preserve"> </w:t>
            </w:r>
            <w:r>
              <w:rPr>
                <w:spacing w:val="-2"/>
                <w:sz w:val="21"/>
              </w:rPr>
              <w:t>Island</w:t>
            </w:r>
          </w:p>
        </w:tc>
        <w:tc>
          <w:tcPr>
            <w:tcW w:w="1597" w:type="dxa"/>
            <w:gridSpan w:val="2"/>
          </w:tcPr>
          <w:p w:rsidR="003F5784" w14:paraId="29242D07" w14:textId="77777777">
            <w:pPr>
              <w:pStyle w:val="TableParagraph"/>
              <w:ind w:right="738"/>
              <w:rPr>
                <w:sz w:val="21"/>
              </w:rPr>
            </w:pPr>
            <w:r>
              <w:rPr>
                <w:spacing w:val="-5"/>
                <w:sz w:val="21"/>
              </w:rPr>
              <w:t>90</w:t>
            </w:r>
          </w:p>
        </w:tc>
        <w:tc>
          <w:tcPr>
            <w:tcW w:w="2340" w:type="dxa"/>
          </w:tcPr>
          <w:p w:rsidR="003F5784" w14:paraId="6BE026BA" w14:textId="77777777">
            <w:pPr>
              <w:pStyle w:val="TableParagraph"/>
              <w:ind w:left="159" w:right="112"/>
              <w:jc w:val="center"/>
              <w:rPr>
                <w:sz w:val="21"/>
              </w:rPr>
            </w:pPr>
            <w:r>
              <w:rPr>
                <w:spacing w:val="-2"/>
                <w:sz w:val="21"/>
              </w:rPr>
              <w:t>100.00</w:t>
            </w:r>
          </w:p>
        </w:tc>
        <w:tc>
          <w:tcPr>
            <w:tcW w:w="2078" w:type="dxa"/>
          </w:tcPr>
          <w:p w:rsidR="003F5784" w14:paraId="113AAED3" w14:textId="77777777">
            <w:pPr>
              <w:pStyle w:val="TableParagraph"/>
              <w:ind w:right="386"/>
              <w:rPr>
                <w:sz w:val="21"/>
              </w:rPr>
            </w:pPr>
            <w:r>
              <w:rPr>
                <w:spacing w:val="-2"/>
                <w:sz w:val="21"/>
              </w:rPr>
              <w:t>100.00</w:t>
            </w:r>
          </w:p>
        </w:tc>
        <w:tc>
          <w:tcPr>
            <w:tcW w:w="1350" w:type="dxa"/>
          </w:tcPr>
          <w:p w:rsidR="003F5784" w14:paraId="135194DE" w14:textId="77777777">
            <w:pPr>
              <w:pStyle w:val="TableParagraph"/>
              <w:ind w:left="387"/>
              <w:jc w:val="left"/>
              <w:rPr>
                <w:sz w:val="21"/>
              </w:rPr>
            </w:pPr>
            <w:r>
              <w:rPr>
                <w:spacing w:val="-2"/>
                <w:sz w:val="21"/>
              </w:rPr>
              <w:t>2,100</w:t>
            </w:r>
          </w:p>
        </w:tc>
        <w:tc>
          <w:tcPr>
            <w:tcW w:w="1170" w:type="dxa"/>
          </w:tcPr>
          <w:p w:rsidR="003F5784" w14:paraId="3BC8D5AD" w14:textId="77777777">
            <w:pPr>
              <w:pStyle w:val="TableParagraph"/>
              <w:ind w:left="463"/>
              <w:jc w:val="left"/>
              <w:rPr>
                <w:sz w:val="21"/>
              </w:rPr>
            </w:pPr>
            <w:r>
              <w:rPr>
                <w:spacing w:val="-4"/>
                <w:sz w:val="21"/>
              </w:rPr>
              <w:t>1.61</w:t>
            </w:r>
          </w:p>
        </w:tc>
        <w:tc>
          <w:tcPr>
            <w:tcW w:w="1620" w:type="dxa"/>
          </w:tcPr>
          <w:p w:rsidR="003F5784" w14:paraId="22BA1D33" w14:textId="77777777">
            <w:pPr>
              <w:pStyle w:val="TableParagraph"/>
              <w:ind w:right="22"/>
              <w:jc w:val="center"/>
              <w:rPr>
                <w:sz w:val="21"/>
              </w:rPr>
            </w:pPr>
            <w:r>
              <w:rPr>
                <w:spacing w:val="-2"/>
                <w:sz w:val="21"/>
              </w:rPr>
              <w:t>94.25</w:t>
            </w:r>
          </w:p>
        </w:tc>
        <w:tc>
          <w:tcPr>
            <w:tcW w:w="1560" w:type="dxa"/>
            <w:gridSpan w:val="2"/>
          </w:tcPr>
          <w:p w:rsidR="003F5784" w14:paraId="58FEEEB7" w14:textId="77777777">
            <w:pPr>
              <w:pStyle w:val="TableParagraph"/>
              <w:ind w:right="118"/>
              <w:rPr>
                <w:sz w:val="21"/>
              </w:rPr>
            </w:pPr>
            <w:r>
              <w:rPr>
                <w:spacing w:val="-2"/>
                <w:sz w:val="21"/>
              </w:rPr>
              <w:t>17.33</w:t>
            </w:r>
          </w:p>
        </w:tc>
      </w:tr>
      <w:tr w14:paraId="220E275F"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1B25A5A7" w14:textId="77777777">
            <w:pPr>
              <w:pStyle w:val="TableParagraph"/>
              <w:ind w:left="120"/>
              <w:jc w:val="left"/>
              <w:rPr>
                <w:sz w:val="21"/>
              </w:rPr>
            </w:pPr>
            <w:r>
              <w:rPr>
                <w:sz w:val="21"/>
              </w:rPr>
              <w:t>South</w:t>
            </w:r>
            <w:r>
              <w:rPr>
                <w:spacing w:val="-6"/>
                <w:sz w:val="21"/>
              </w:rPr>
              <w:t xml:space="preserve"> </w:t>
            </w:r>
            <w:r>
              <w:rPr>
                <w:spacing w:val="-2"/>
                <w:sz w:val="21"/>
              </w:rPr>
              <w:t>Carolina</w:t>
            </w:r>
          </w:p>
        </w:tc>
        <w:tc>
          <w:tcPr>
            <w:tcW w:w="1597" w:type="dxa"/>
            <w:gridSpan w:val="2"/>
          </w:tcPr>
          <w:p w:rsidR="003F5784" w14:paraId="0E50BDBB" w14:textId="77777777">
            <w:pPr>
              <w:pStyle w:val="TableParagraph"/>
              <w:ind w:right="738"/>
              <w:rPr>
                <w:sz w:val="21"/>
              </w:rPr>
            </w:pPr>
            <w:r>
              <w:rPr>
                <w:spacing w:val="-5"/>
                <w:sz w:val="21"/>
              </w:rPr>
              <w:t>90</w:t>
            </w:r>
          </w:p>
        </w:tc>
        <w:tc>
          <w:tcPr>
            <w:tcW w:w="2340" w:type="dxa"/>
          </w:tcPr>
          <w:p w:rsidR="003F5784" w14:paraId="4A8B5C0A" w14:textId="77777777">
            <w:pPr>
              <w:pStyle w:val="TableParagraph"/>
              <w:ind w:left="159" w:right="112"/>
              <w:jc w:val="center"/>
              <w:rPr>
                <w:sz w:val="21"/>
              </w:rPr>
            </w:pPr>
            <w:r>
              <w:rPr>
                <w:spacing w:val="-2"/>
                <w:sz w:val="21"/>
              </w:rPr>
              <w:t>100.00</w:t>
            </w:r>
          </w:p>
        </w:tc>
        <w:tc>
          <w:tcPr>
            <w:tcW w:w="2078" w:type="dxa"/>
          </w:tcPr>
          <w:p w:rsidR="003F5784" w14:paraId="5F56D2CF" w14:textId="77777777">
            <w:pPr>
              <w:pStyle w:val="TableParagraph"/>
              <w:ind w:right="386"/>
              <w:rPr>
                <w:sz w:val="21"/>
              </w:rPr>
            </w:pPr>
            <w:r>
              <w:rPr>
                <w:spacing w:val="-2"/>
                <w:sz w:val="21"/>
              </w:rPr>
              <w:t>100.00</w:t>
            </w:r>
          </w:p>
        </w:tc>
        <w:tc>
          <w:tcPr>
            <w:tcW w:w="1350" w:type="dxa"/>
          </w:tcPr>
          <w:p w:rsidR="003F5784" w14:paraId="20E22D9C" w14:textId="77777777">
            <w:pPr>
              <w:pStyle w:val="TableParagraph"/>
              <w:ind w:left="387"/>
              <w:jc w:val="left"/>
              <w:rPr>
                <w:sz w:val="21"/>
              </w:rPr>
            </w:pPr>
            <w:r>
              <w:rPr>
                <w:spacing w:val="-2"/>
                <w:sz w:val="21"/>
              </w:rPr>
              <w:t>2,100</w:t>
            </w:r>
          </w:p>
        </w:tc>
        <w:tc>
          <w:tcPr>
            <w:tcW w:w="1170" w:type="dxa"/>
          </w:tcPr>
          <w:p w:rsidR="003F5784" w14:paraId="1FFC8E6B" w14:textId="77777777">
            <w:pPr>
              <w:pStyle w:val="TableParagraph"/>
              <w:ind w:left="470"/>
              <w:jc w:val="left"/>
              <w:rPr>
                <w:sz w:val="21"/>
              </w:rPr>
            </w:pPr>
            <w:r>
              <w:rPr>
                <w:spacing w:val="-4"/>
                <w:sz w:val="21"/>
              </w:rPr>
              <w:t>1.11</w:t>
            </w:r>
          </w:p>
        </w:tc>
        <w:tc>
          <w:tcPr>
            <w:tcW w:w="1620" w:type="dxa"/>
          </w:tcPr>
          <w:p w:rsidR="003F5784" w14:paraId="36F0630F" w14:textId="77777777">
            <w:pPr>
              <w:pStyle w:val="TableParagraph"/>
              <w:ind w:right="22"/>
              <w:jc w:val="center"/>
              <w:rPr>
                <w:sz w:val="21"/>
              </w:rPr>
            </w:pPr>
            <w:r>
              <w:rPr>
                <w:spacing w:val="-2"/>
                <w:sz w:val="21"/>
              </w:rPr>
              <w:t>93.01</w:t>
            </w:r>
          </w:p>
        </w:tc>
        <w:tc>
          <w:tcPr>
            <w:tcW w:w="1560" w:type="dxa"/>
            <w:gridSpan w:val="2"/>
          </w:tcPr>
          <w:p w:rsidR="003F5784" w14:paraId="3F14F52A" w14:textId="77777777">
            <w:pPr>
              <w:pStyle w:val="TableParagraph"/>
              <w:ind w:right="118"/>
              <w:rPr>
                <w:sz w:val="21"/>
              </w:rPr>
            </w:pPr>
            <w:r>
              <w:rPr>
                <w:spacing w:val="-2"/>
                <w:sz w:val="21"/>
              </w:rPr>
              <w:t>12.09</w:t>
            </w:r>
          </w:p>
        </w:tc>
      </w:tr>
      <w:tr w14:paraId="5E115AF7"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14093C8F" w14:textId="77777777">
            <w:pPr>
              <w:pStyle w:val="TableParagraph"/>
              <w:ind w:left="120"/>
              <w:jc w:val="left"/>
              <w:rPr>
                <w:sz w:val="21"/>
              </w:rPr>
            </w:pPr>
            <w:r>
              <w:rPr>
                <w:sz w:val="21"/>
              </w:rPr>
              <w:t>South</w:t>
            </w:r>
            <w:r>
              <w:rPr>
                <w:spacing w:val="-6"/>
                <w:sz w:val="21"/>
              </w:rPr>
              <w:t xml:space="preserve"> </w:t>
            </w:r>
            <w:r>
              <w:rPr>
                <w:spacing w:val="-2"/>
                <w:sz w:val="21"/>
              </w:rPr>
              <w:t>Dakota</w:t>
            </w:r>
          </w:p>
        </w:tc>
        <w:tc>
          <w:tcPr>
            <w:tcW w:w="1597" w:type="dxa"/>
            <w:gridSpan w:val="2"/>
          </w:tcPr>
          <w:p w:rsidR="003F5784" w14:paraId="4164F3A5" w14:textId="77777777">
            <w:pPr>
              <w:pStyle w:val="TableParagraph"/>
              <w:ind w:right="738"/>
              <w:rPr>
                <w:sz w:val="21"/>
              </w:rPr>
            </w:pPr>
            <w:r>
              <w:rPr>
                <w:spacing w:val="-5"/>
                <w:sz w:val="21"/>
              </w:rPr>
              <w:t>120</w:t>
            </w:r>
          </w:p>
        </w:tc>
        <w:tc>
          <w:tcPr>
            <w:tcW w:w="2340" w:type="dxa"/>
          </w:tcPr>
          <w:p w:rsidR="003F5784" w14:paraId="58E3D589" w14:textId="77777777">
            <w:pPr>
              <w:pStyle w:val="TableParagraph"/>
              <w:ind w:left="159" w:right="112"/>
              <w:jc w:val="center"/>
              <w:rPr>
                <w:sz w:val="21"/>
              </w:rPr>
            </w:pPr>
            <w:r>
              <w:rPr>
                <w:spacing w:val="-2"/>
                <w:sz w:val="21"/>
              </w:rPr>
              <w:t>100.00</w:t>
            </w:r>
          </w:p>
        </w:tc>
        <w:tc>
          <w:tcPr>
            <w:tcW w:w="2078" w:type="dxa"/>
          </w:tcPr>
          <w:p w:rsidR="003F5784" w14:paraId="3783C562" w14:textId="77777777">
            <w:pPr>
              <w:pStyle w:val="TableParagraph"/>
              <w:ind w:right="386"/>
              <w:rPr>
                <w:sz w:val="21"/>
              </w:rPr>
            </w:pPr>
            <w:r>
              <w:rPr>
                <w:spacing w:val="-2"/>
                <w:sz w:val="21"/>
              </w:rPr>
              <w:t>100.00</w:t>
            </w:r>
          </w:p>
        </w:tc>
        <w:tc>
          <w:tcPr>
            <w:tcW w:w="1350" w:type="dxa"/>
          </w:tcPr>
          <w:p w:rsidR="003F5784" w14:paraId="5538078F" w14:textId="77777777">
            <w:pPr>
              <w:pStyle w:val="TableParagraph"/>
              <w:ind w:left="387"/>
              <w:jc w:val="left"/>
              <w:rPr>
                <w:sz w:val="21"/>
              </w:rPr>
            </w:pPr>
            <w:r>
              <w:rPr>
                <w:spacing w:val="-2"/>
                <w:sz w:val="21"/>
              </w:rPr>
              <w:t>2,100</w:t>
            </w:r>
          </w:p>
        </w:tc>
        <w:tc>
          <w:tcPr>
            <w:tcW w:w="1170" w:type="dxa"/>
          </w:tcPr>
          <w:p w:rsidR="003F5784" w14:paraId="6186D350" w14:textId="77777777">
            <w:pPr>
              <w:pStyle w:val="TableParagraph"/>
              <w:ind w:left="463"/>
              <w:jc w:val="left"/>
              <w:rPr>
                <w:sz w:val="21"/>
              </w:rPr>
            </w:pPr>
            <w:r>
              <w:rPr>
                <w:spacing w:val="-4"/>
                <w:sz w:val="21"/>
              </w:rPr>
              <w:t>1.13</w:t>
            </w:r>
          </w:p>
        </w:tc>
        <w:tc>
          <w:tcPr>
            <w:tcW w:w="1620" w:type="dxa"/>
          </w:tcPr>
          <w:p w:rsidR="003F5784" w14:paraId="0C658027" w14:textId="77777777">
            <w:pPr>
              <w:pStyle w:val="TableParagraph"/>
              <w:ind w:right="22"/>
              <w:jc w:val="center"/>
              <w:rPr>
                <w:sz w:val="21"/>
              </w:rPr>
            </w:pPr>
            <w:r>
              <w:rPr>
                <w:spacing w:val="-2"/>
                <w:sz w:val="21"/>
              </w:rPr>
              <w:t>93.78</w:t>
            </w:r>
          </w:p>
        </w:tc>
        <w:tc>
          <w:tcPr>
            <w:tcW w:w="1560" w:type="dxa"/>
            <w:gridSpan w:val="2"/>
          </w:tcPr>
          <w:p w:rsidR="003F5784" w14:paraId="2CF214B6" w14:textId="77777777">
            <w:pPr>
              <w:pStyle w:val="TableParagraph"/>
              <w:ind w:right="118"/>
              <w:rPr>
                <w:sz w:val="21"/>
              </w:rPr>
            </w:pPr>
            <w:r>
              <w:rPr>
                <w:spacing w:val="-4"/>
                <w:sz w:val="21"/>
              </w:rPr>
              <w:t>9.42</w:t>
            </w:r>
          </w:p>
        </w:tc>
      </w:tr>
      <w:tr w14:paraId="5F7E0C17"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5ADB8F32" w14:textId="77777777">
            <w:pPr>
              <w:pStyle w:val="TableParagraph"/>
              <w:ind w:left="120"/>
              <w:jc w:val="left"/>
              <w:rPr>
                <w:sz w:val="21"/>
              </w:rPr>
            </w:pPr>
            <w:r>
              <w:rPr>
                <w:spacing w:val="-2"/>
                <w:sz w:val="21"/>
              </w:rPr>
              <w:t>Tennessee</w:t>
            </w:r>
          </w:p>
        </w:tc>
        <w:tc>
          <w:tcPr>
            <w:tcW w:w="1597" w:type="dxa"/>
            <w:gridSpan w:val="2"/>
          </w:tcPr>
          <w:p w:rsidR="003F5784" w14:paraId="3411465C" w14:textId="77777777">
            <w:pPr>
              <w:pStyle w:val="TableParagraph"/>
              <w:ind w:right="738"/>
              <w:rPr>
                <w:sz w:val="21"/>
              </w:rPr>
            </w:pPr>
            <w:r>
              <w:rPr>
                <w:spacing w:val="-5"/>
                <w:sz w:val="21"/>
              </w:rPr>
              <w:t>120</w:t>
            </w:r>
          </w:p>
        </w:tc>
        <w:tc>
          <w:tcPr>
            <w:tcW w:w="2340" w:type="dxa"/>
          </w:tcPr>
          <w:p w:rsidR="003F5784" w14:paraId="15C4FF0E" w14:textId="77777777">
            <w:pPr>
              <w:pStyle w:val="TableParagraph"/>
              <w:ind w:left="159" w:right="112"/>
              <w:jc w:val="center"/>
              <w:rPr>
                <w:sz w:val="21"/>
              </w:rPr>
            </w:pPr>
            <w:r>
              <w:rPr>
                <w:spacing w:val="-2"/>
                <w:sz w:val="21"/>
              </w:rPr>
              <w:t>100.00</w:t>
            </w:r>
          </w:p>
        </w:tc>
        <w:tc>
          <w:tcPr>
            <w:tcW w:w="2078" w:type="dxa"/>
          </w:tcPr>
          <w:p w:rsidR="003F5784" w14:paraId="41798870" w14:textId="77777777">
            <w:pPr>
              <w:pStyle w:val="TableParagraph"/>
              <w:ind w:right="386"/>
              <w:rPr>
                <w:sz w:val="21"/>
              </w:rPr>
            </w:pPr>
            <w:r>
              <w:rPr>
                <w:spacing w:val="-2"/>
                <w:sz w:val="21"/>
              </w:rPr>
              <w:t>100.00</w:t>
            </w:r>
          </w:p>
        </w:tc>
        <w:tc>
          <w:tcPr>
            <w:tcW w:w="1350" w:type="dxa"/>
          </w:tcPr>
          <w:p w:rsidR="003F5784" w14:paraId="6E740E0C" w14:textId="77777777">
            <w:pPr>
              <w:pStyle w:val="TableParagraph"/>
              <w:ind w:left="387"/>
              <w:jc w:val="left"/>
              <w:rPr>
                <w:sz w:val="21"/>
              </w:rPr>
            </w:pPr>
            <w:r>
              <w:rPr>
                <w:spacing w:val="-2"/>
                <w:sz w:val="21"/>
              </w:rPr>
              <w:t>2,800</w:t>
            </w:r>
          </w:p>
        </w:tc>
        <w:tc>
          <w:tcPr>
            <w:tcW w:w="1170" w:type="dxa"/>
          </w:tcPr>
          <w:p w:rsidR="003F5784" w14:paraId="754BC8A2" w14:textId="77777777">
            <w:pPr>
              <w:pStyle w:val="TableParagraph"/>
              <w:ind w:left="463"/>
              <w:jc w:val="left"/>
              <w:rPr>
                <w:sz w:val="21"/>
              </w:rPr>
            </w:pPr>
            <w:r>
              <w:rPr>
                <w:spacing w:val="-4"/>
                <w:sz w:val="21"/>
              </w:rPr>
              <w:t>2.39</w:t>
            </w:r>
          </w:p>
        </w:tc>
        <w:tc>
          <w:tcPr>
            <w:tcW w:w="1620" w:type="dxa"/>
          </w:tcPr>
          <w:p w:rsidR="003F5784" w14:paraId="775CECCE" w14:textId="77777777">
            <w:pPr>
              <w:pStyle w:val="TableParagraph"/>
              <w:ind w:right="22"/>
              <w:jc w:val="center"/>
              <w:rPr>
                <w:sz w:val="21"/>
              </w:rPr>
            </w:pPr>
            <w:r>
              <w:rPr>
                <w:spacing w:val="-2"/>
                <w:sz w:val="21"/>
              </w:rPr>
              <w:t>92.04</w:t>
            </w:r>
          </w:p>
        </w:tc>
        <w:tc>
          <w:tcPr>
            <w:tcW w:w="1560" w:type="dxa"/>
            <w:gridSpan w:val="2"/>
          </w:tcPr>
          <w:p w:rsidR="003F5784" w14:paraId="42F581B6" w14:textId="77777777">
            <w:pPr>
              <w:pStyle w:val="TableParagraph"/>
              <w:ind w:right="118"/>
              <w:rPr>
                <w:sz w:val="21"/>
              </w:rPr>
            </w:pPr>
            <w:r>
              <w:rPr>
                <w:spacing w:val="-2"/>
                <w:sz w:val="21"/>
              </w:rPr>
              <w:t>14.05</w:t>
            </w:r>
          </w:p>
        </w:tc>
      </w:tr>
      <w:tr w14:paraId="50A8A52C"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01A2BA8E" w14:textId="77777777">
            <w:pPr>
              <w:pStyle w:val="TableParagraph"/>
              <w:ind w:left="120"/>
              <w:jc w:val="left"/>
              <w:rPr>
                <w:sz w:val="21"/>
              </w:rPr>
            </w:pPr>
            <w:r>
              <w:rPr>
                <w:spacing w:val="-2"/>
                <w:sz w:val="21"/>
              </w:rPr>
              <w:t>Texas</w:t>
            </w:r>
          </w:p>
        </w:tc>
        <w:tc>
          <w:tcPr>
            <w:tcW w:w="1597" w:type="dxa"/>
            <w:gridSpan w:val="2"/>
          </w:tcPr>
          <w:p w:rsidR="003F5784" w14:paraId="5ADB9826" w14:textId="77777777">
            <w:pPr>
              <w:pStyle w:val="TableParagraph"/>
              <w:ind w:right="738"/>
              <w:rPr>
                <w:sz w:val="21"/>
              </w:rPr>
            </w:pPr>
            <w:r>
              <w:rPr>
                <w:spacing w:val="-5"/>
                <w:sz w:val="21"/>
              </w:rPr>
              <w:t>270</w:t>
            </w:r>
          </w:p>
        </w:tc>
        <w:tc>
          <w:tcPr>
            <w:tcW w:w="2340" w:type="dxa"/>
          </w:tcPr>
          <w:p w:rsidR="003F5784" w14:paraId="3568DD59" w14:textId="77777777">
            <w:pPr>
              <w:pStyle w:val="TableParagraph"/>
              <w:ind w:left="159" w:right="112"/>
              <w:jc w:val="center"/>
              <w:rPr>
                <w:sz w:val="21"/>
              </w:rPr>
            </w:pPr>
            <w:r>
              <w:rPr>
                <w:spacing w:val="-2"/>
                <w:sz w:val="21"/>
              </w:rPr>
              <w:t>100.00</w:t>
            </w:r>
          </w:p>
        </w:tc>
        <w:tc>
          <w:tcPr>
            <w:tcW w:w="2078" w:type="dxa"/>
          </w:tcPr>
          <w:p w:rsidR="003F5784" w14:paraId="130061B9" w14:textId="77777777">
            <w:pPr>
              <w:pStyle w:val="TableParagraph"/>
              <w:ind w:right="386"/>
              <w:rPr>
                <w:sz w:val="21"/>
              </w:rPr>
            </w:pPr>
            <w:r>
              <w:rPr>
                <w:spacing w:val="-2"/>
                <w:sz w:val="21"/>
              </w:rPr>
              <w:t>100.00</w:t>
            </w:r>
          </w:p>
        </w:tc>
        <w:tc>
          <w:tcPr>
            <w:tcW w:w="1350" w:type="dxa"/>
          </w:tcPr>
          <w:p w:rsidR="003F5784" w14:paraId="10B1A723" w14:textId="77777777">
            <w:pPr>
              <w:pStyle w:val="TableParagraph"/>
              <w:ind w:left="387"/>
              <w:jc w:val="left"/>
              <w:rPr>
                <w:sz w:val="21"/>
              </w:rPr>
            </w:pPr>
            <w:r>
              <w:rPr>
                <w:spacing w:val="-2"/>
                <w:sz w:val="21"/>
              </w:rPr>
              <w:t>6,800</w:t>
            </w:r>
          </w:p>
        </w:tc>
        <w:tc>
          <w:tcPr>
            <w:tcW w:w="1170" w:type="dxa"/>
          </w:tcPr>
          <w:p w:rsidR="003F5784" w14:paraId="0A65B4A6" w14:textId="77777777">
            <w:pPr>
              <w:pStyle w:val="TableParagraph"/>
              <w:ind w:left="463"/>
              <w:jc w:val="left"/>
              <w:rPr>
                <w:sz w:val="21"/>
              </w:rPr>
            </w:pPr>
            <w:r>
              <w:rPr>
                <w:spacing w:val="-4"/>
                <w:sz w:val="21"/>
              </w:rPr>
              <w:t>3.09</w:t>
            </w:r>
          </w:p>
        </w:tc>
        <w:tc>
          <w:tcPr>
            <w:tcW w:w="1620" w:type="dxa"/>
          </w:tcPr>
          <w:p w:rsidR="003F5784" w14:paraId="7ACFE9FE" w14:textId="77777777">
            <w:pPr>
              <w:pStyle w:val="TableParagraph"/>
              <w:ind w:right="22"/>
              <w:jc w:val="center"/>
              <w:rPr>
                <w:sz w:val="21"/>
              </w:rPr>
            </w:pPr>
            <w:r>
              <w:rPr>
                <w:spacing w:val="-2"/>
                <w:sz w:val="21"/>
              </w:rPr>
              <w:t>92.75</w:t>
            </w:r>
          </w:p>
        </w:tc>
        <w:tc>
          <w:tcPr>
            <w:tcW w:w="1560" w:type="dxa"/>
            <w:gridSpan w:val="2"/>
          </w:tcPr>
          <w:p w:rsidR="003F5784" w14:paraId="15509D21" w14:textId="77777777">
            <w:pPr>
              <w:pStyle w:val="TableParagraph"/>
              <w:ind w:right="118"/>
              <w:rPr>
                <w:sz w:val="21"/>
              </w:rPr>
            </w:pPr>
            <w:r>
              <w:rPr>
                <w:spacing w:val="-2"/>
                <w:sz w:val="21"/>
              </w:rPr>
              <w:t>19.43</w:t>
            </w:r>
          </w:p>
        </w:tc>
      </w:tr>
      <w:tr w14:paraId="2C0FC1EF"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70D56CF0" w14:textId="77777777">
            <w:pPr>
              <w:pStyle w:val="TableParagraph"/>
              <w:ind w:left="120"/>
              <w:jc w:val="left"/>
              <w:rPr>
                <w:sz w:val="21"/>
              </w:rPr>
            </w:pPr>
            <w:r>
              <w:rPr>
                <w:spacing w:val="-4"/>
                <w:sz w:val="21"/>
              </w:rPr>
              <w:t>Utah</w:t>
            </w:r>
          </w:p>
        </w:tc>
        <w:tc>
          <w:tcPr>
            <w:tcW w:w="1597" w:type="dxa"/>
            <w:gridSpan w:val="2"/>
          </w:tcPr>
          <w:p w:rsidR="003F5784" w14:paraId="46C118DD" w14:textId="77777777">
            <w:pPr>
              <w:pStyle w:val="TableParagraph"/>
              <w:ind w:right="738"/>
              <w:rPr>
                <w:sz w:val="21"/>
              </w:rPr>
            </w:pPr>
            <w:r>
              <w:rPr>
                <w:spacing w:val="-5"/>
                <w:sz w:val="21"/>
              </w:rPr>
              <w:t>90</w:t>
            </w:r>
          </w:p>
        </w:tc>
        <w:tc>
          <w:tcPr>
            <w:tcW w:w="2340" w:type="dxa"/>
          </w:tcPr>
          <w:p w:rsidR="003F5784" w14:paraId="78E3C2DA" w14:textId="77777777">
            <w:pPr>
              <w:pStyle w:val="TableParagraph"/>
              <w:ind w:left="159" w:right="112"/>
              <w:jc w:val="center"/>
              <w:rPr>
                <w:sz w:val="21"/>
              </w:rPr>
            </w:pPr>
            <w:r>
              <w:rPr>
                <w:spacing w:val="-2"/>
                <w:sz w:val="21"/>
              </w:rPr>
              <w:t>100.00</w:t>
            </w:r>
          </w:p>
        </w:tc>
        <w:tc>
          <w:tcPr>
            <w:tcW w:w="2078" w:type="dxa"/>
          </w:tcPr>
          <w:p w:rsidR="003F5784" w14:paraId="54B72CF7" w14:textId="77777777">
            <w:pPr>
              <w:pStyle w:val="TableParagraph"/>
              <w:ind w:right="386"/>
              <w:rPr>
                <w:sz w:val="21"/>
              </w:rPr>
            </w:pPr>
            <w:r>
              <w:rPr>
                <w:spacing w:val="-2"/>
                <w:sz w:val="21"/>
              </w:rPr>
              <w:t>100.00</w:t>
            </w:r>
          </w:p>
        </w:tc>
        <w:tc>
          <w:tcPr>
            <w:tcW w:w="1350" w:type="dxa"/>
          </w:tcPr>
          <w:p w:rsidR="003F5784" w14:paraId="1244DEAB" w14:textId="77777777">
            <w:pPr>
              <w:pStyle w:val="TableParagraph"/>
              <w:ind w:left="387"/>
              <w:jc w:val="left"/>
              <w:rPr>
                <w:sz w:val="21"/>
              </w:rPr>
            </w:pPr>
            <w:r>
              <w:rPr>
                <w:spacing w:val="-2"/>
                <w:sz w:val="21"/>
              </w:rPr>
              <w:t>2,200</w:t>
            </w:r>
          </w:p>
        </w:tc>
        <w:tc>
          <w:tcPr>
            <w:tcW w:w="1170" w:type="dxa"/>
          </w:tcPr>
          <w:p w:rsidR="003F5784" w14:paraId="771EFEEA" w14:textId="77777777">
            <w:pPr>
              <w:pStyle w:val="TableParagraph"/>
              <w:ind w:left="463"/>
              <w:jc w:val="left"/>
              <w:rPr>
                <w:sz w:val="21"/>
              </w:rPr>
            </w:pPr>
            <w:r>
              <w:rPr>
                <w:spacing w:val="-4"/>
                <w:sz w:val="21"/>
              </w:rPr>
              <w:t>1.10</w:t>
            </w:r>
          </w:p>
        </w:tc>
        <w:tc>
          <w:tcPr>
            <w:tcW w:w="1620" w:type="dxa"/>
          </w:tcPr>
          <w:p w:rsidR="003F5784" w14:paraId="7B264B12" w14:textId="77777777">
            <w:pPr>
              <w:pStyle w:val="TableParagraph"/>
              <w:ind w:right="22"/>
              <w:jc w:val="center"/>
              <w:rPr>
                <w:sz w:val="21"/>
              </w:rPr>
            </w:pPr>
            <w:r>
              <w:rPr>
                <w:spacing w:val="-2"/>
                <w:sz w:val="21"/>
              </w:rPr>
              <w:t>92.24</w:t>
            </w:r>
          </w:p>
        </w:tc>
        <w:tc>
          <w:tcPr>
            <w:tcW w:w="1560" w:type="dxa"/>
            <w:gridSpan w:val="2"/>
          </w:tcPr>
          <w:p w:rsidR="003F5784" w14:paraId="071AD952" w14:textId="77777777">
            <w:pPr>
              <w:pStyle w:val="TableParagraph"/>
              <w:ind w:right="118"/>
              <w:rPr>
                <w:sz w:val="21"/>
              </w:rPr>
            </w:pPr>
            <w:r>
              <w:rPr>
                <w:spacing w:val="-2"/>
                <w:sz w:val="21"/>
              </w:rPr>
              <w:t>11.54</w:t>
            </w:r>
          </w:p>
        </w:tc>
      </w:tr>
      <w:tr w14:paraId="6887E056" w14:textId="77777777" w:rsidTr="00C94150">
        <w:tblPrEx>
          <w:tblW w:w="14297" w:type="dxa"/>
          <w:tblInd w:w="552" w:type="dxa"/>
          <w:tblLayout w:type="fixed"/>
          <w:tblCellMar>
            <w:left w:w="0" w:type="dxa"/>
            <w:right w:w="0" w:type="dxa"/>
          </w:tblCellMar>
          <w:tblLook w:val="01E0"/>
        </w:tblPrEx>
        <w:trPr>
          <w:gridAfter w:val="1"/>
          <w:wAfter w:w="89" w:type="dxa"/>
          <w:trHeight w:val="289"/>
        </w:trPr>
        <w:tc>
          <w:tcPr>
            <w:tcW w:w="2493" w:type="dxa"/>
            <w:tcBorders>
              <w:bottom w:val="single" w:sz="18" w:space="0" w:color="800000"/>
            </w:tcBorders>
          </w:tcPr>
          <w:p w:rsidR="003F5784" w14:paraId="738FA891" w14:textId="77777777">
            <w:pPr>
              <w:pStyle w:val="TableParagraph"/>
              <w:ind w:left="120"/>
              <w:jc w:val="left"/>
              <w:rPr>
                <w:sz w:val="21"/>
              </w:rPr>
            </w:pPr>
            <w:r>
              <w:rPr>
                <w:spacing w:val="-2"/>
                <w:sz w:val="21"/>
              </w:rPr>
              <w:t>Vermont</w:t>
            </w:r>
          </w:p>
        </w:tc>
        <w:tc>
          <w:tcPr>
            <w:tcW w:w="1597" w:type="dxa"/>
            <w:gridSpan w:val="2"/>
            <w:tcBorders>
              <w:bottom w:val="single" w:sz="18" w:space="0" w:color="800000"/>
            </w:tcBorders>
          </w:tcPr>
          <w:p w:rsidR="003F5784" w14:paraId="6942AC19" w14:textId="77777777">
            <w:pPr>
              <w:pStyle w:val="TableParagraph"/>
              <w:ind w:right="738"/>
              <w:rPr>
                <w:sz w:val="21"/>
              </w:rPr>
            </w:pPr>
            <w:r>
              <w:rPr>
                <w:spacing w:val="-5"/>
                <w:sz w:val="21"/>
              </w:rPr>
              <w:t>130</w:t>
            </w:r>
          </w:p>
        </w:tc>
        <w:tc>
          <w:tcPr>
            <w:tcW w:w="2340" w:type="dxa"/>
            <w:tcBorders>
              <w:bottom w:val="single" w:sz="18" w:space="0" w:color="800000"/>
            </w:tcBorders>
          </w:tcPr>
          <w:p w:rsidR="003F5784" w14:paraId="3DD12ACD" w14:textId="77777777">
            <w:pPr>
              <w:pStyle w:val="TableParagraph"/>
              <w:ind w:left="159" w:right="112"/>
              <w:jc w:val="center"/>
              <w:rPr>
                <w:sz w:val="21"/>
              </w:rPr>
            </w:pPr>
            <w:r>
              <w:rPr>
                <w:spacing w:val="-2"/>
                <w:sz w:val="21"/>
              </w:rPr>
              <w:t>100.00</w:t>
            </w:r>
          </w:p>
        </w:tc>
        <w:tc>
          <w:tcPr>
            <w:tcW w:w="2078" w:type="dxa"/>
            <w:tcBorders>
              <w:bottom w:val="single" w:sz="18" w:space="0" w:color="800000"/>
            </w:tcBorders>
          </w:tcPr>
          <w:p w:rsidR="003F5784" w14:paraId="1C63CDA5" w14:textId="77777777">
            <w:pPr>
              <w:pStyle w:val="TableParagraph"/>
              <w:ind w:right="386"/>
              <w:rPr>
                <w:sz w:val="21"/>
              </w:rPr>
            </w:pPr>
            <w:r>
              <w:rPr>
                <w:spacing w:val="-2"/>
                <w:sz w:val="21"/>
              </w:rPr>
              <w:t>100.00</w:t>
            </w:r>
          </w:p>
        </w:tc>
        <w:tc>
          <w:tcPr>
            <w:tcW w:w="1350" w:type="dxa"/>
            <w:tcBorders>
              <w:bottom w:val="single" w:sz="18" w:space="0" w:color="800000"/>
            </w:tcBorders>
          </w:tcPr>
          <w:p w:rsidR="003F5784" w14:paraId="3BD4FE3F" w14:textId="77777777">
            <w:pPr>
              <w:pStyle w:val="TableParagraph"/>
              <w:ind w:left="387"/>
              <w:jc w:val="left"/>
              <w:rPr>
                <w:sz w:val="21"/>
              </w:rPr>
            </w:pPr>
            <w:r>
              <w:rPr>
                <w:spacing w:val="-2"/>
                <w:sz w:val="21"/>
              </w:rPr>
              <w:t>2,100</w:t>
            </w:r>
          </w:p>
        </w:tc>
        <w:tc>
          <w:tcPr>
            <w:tcW w:w="1170" w:type="dxa"/>
            <w:tcBorders>
              <w:bottom w:val="single" w:sz="18" w:space="0" w:color="800000"/>
            </w:tcBorders>
          </w:tcPr>
          <w:p w:rsidR="003F5784" w14:paraId="752A7F6A" w14:textId="77777777">
            <w:pPr>
              <w:pStyle w:val="TableParagraph"/>
              <w:ind w:left="463"/>
              <w:jc w:val="left"/>
              <w:rPr>
                <w:sz w:val="21"/>
              </w:rPr>
            </w:pPr>
            <w:r>
              <w:rPr>
                <w:spacing w:val="-4"/>
                <w:sz w:val="21"/>
              </w:rPr>
              <w:t>1.41</w:t>
            </w:r>
          </w:p>
        </w:tc>
        <w:tc>
          <w:tcPr>
            <w:tcW w:w="1620" w:type="dxa"/>
            <w:tcBorders>
              <w:bottom w:val="single" w:sz="18" w:space="0" w:color="800000"/>
            </w:tcBorders>
          </w:tcPr>
          <w:p w:rsidR="003F5784" w14:paraId="7A66FF1D" w14:textId="77777777">
            <w:pPr>
              <w:pStyle w:val="TableParagraph"/>
              <w:ind w:right="22"/>
              <w:jc w:val="center"/>
              <w:rPr>
                <w:sz w:val="21"/>
              </w:rPr>
            </w:pPr>
            <w:r>
              <w:rPr>
                <w:spacing w:val="-2"/>
                <w:sz w:val="21"/>
              </w:rPr>
              <w:t>88.80</w:t>
            </w:r>
          </w:p>
        </w:tc>
        <w:tc>
          <w:tcPr>
            <w:tcW w:w="1560" w:type="dxa"/>
            <w:gridSpan w:val="2"/>
            <w:tcBorders>
              <w:bottom w:val="single" w:sz="18" w:space="0" w:color="800000"/>
            </w:tcBorders>
          </w:tcPr>
          <w:p w:rsidR="003F5784" w14:paraId="5C55F43E" w14:textId="77777777">
            <w:pPr>
              <w:pStyle w:val="TableParagraph"/>
              <w:ind w:right="118"/>
              <w:rPr>
                <w:sz w:val="21"/>
              </w:rPr>
            </w:pPr>
            <w:r>
              <w:rPr>
                <w:spacing w:val="-2"/>
                <w:sz w:val="21"/>
              </w:rPr>
              <w:t>16.41</w:t>
            </w:r>
          </w:p>
        </w:tc>
      </w:tr>
    </w:tbl>
    <w:p w:rsidR="003F5784" w14:paraId="3FB64013" w14:textId="77777777">
      <w:pPr>
        <w:rPr>
          <w:sz w:val="21"/>
        </w:rPr>
        <w:sectPr>
          <w:headerReference w:type="default" r:id="rId544"/>
          <w:footerReference w:type="default" r:id="rId545"/>
          <w:pgSz w:w="15840" w:h="12240" w:orient="landscape"/>
          <w:pgMar w:top="480" w:right="440" w:bottom="2040" w:left="460" w:header="284" w:footer="1856" w:gutter="0"/>
          <w:cols w:space="720"/>
        </w:sectPr>
      </w:pPr>
    </w:p>
    <w:p w:rsidR="003F5784" w14:paraId="4DC4E3E8" w14:textId="77777777">
      <w:pPr>
        <w:pStyle w:val="BodyText"/>
        <w:spacing w:before="5"/>
        <w:rPr>
          <w:sz w:val="9"/>
        </w:rPr>
      </w:pPr>
    </w:p>
    <w:tbl>
      <w:tblPr>
        <w:tblW w:w="0" w:type="auto"/>
        <w:tblInd w:w="552" w:type="dxa"/>
        <w:tblLayout w:type="fixed"/>
        <w:tblCellMar>
          <w:left w:w="0" w:type="dxa"/>
          <w:right w:w="0" w:type="dxa"/>
        </w:tblCellMar>
        <w:tblLook w:val="01E0"/>
      </w:tblPr>
      <w:tblGrid>
        <w:gridCol w:w="2919"/>
        <w:gridCol w:w="975"/>
        <w:gridCol w:w="54"/>
        <w:gridCol w:w="2340"/>
        <w:gridCol w:w="1620"/>
        <w:gridCol w:w="1613"/>
        <w:gridCol w:w="7"/>
        <w:gridCol w:w="1170"/>
        <w:gridCol w:w="1772"/>
        <w:gridCol w:w="28"/>
        <w:gridCol w:w="1496"/>
        <w:gridCol w:w="124"/>
      </w:tblGrid>
      <w:tr w14:paraId="3B00776E" w14:textId="77777777" w:rsidTr="00A35A43">
        <w:tblPrEx>
          <w:tblW w:w="0" w:type="auto"/>
          <w:tblInd w:w="552" w:type="dxa"/>
          <w:tblLayout w:type="fixed"/>
          <w:tblCellMar>
            <w:left w:w="0" w:type="dxa"/>
            <w:right w:w="0" w:type="dxa"/>
          </w:tblCellMar>
          <w:tblLook w:val="01E0"/>
        </w:tblPrEx>
        <w:trPr>
          <w:gridAfter w:val="1"/>
          <w:wAfter w:w="124" w:type="dxa"/>
          <w:trHeight w:val="232"/>
        </w:trPr>
        <w:tc>
          <w:tcPr>
            <w:tcW w:w="3894" w:type="dxa"/>
            <w:gridSpan w:val="2"/>
          </w:tcPr>
          <w:p w:rsidR="003F5784" w14:paraId="15680E4E" w14:textId="77777777">
            <w:pPr>
              <w:pStyle w:val="TableParagraph"/>
              <w:spacing w:before="0"/>
              <w:jc w:val="left"/>
              <w:rPr>
                <w:sz w:val="16"/>
              </w:rPr>
            </w:pPr>
          </w:p>
        </w:tc>
        <w:tc>
          <w:tcPr>
            <w:tcW w:w="2394" w:type="dxa"/>
            <w:gridSpan w:val="2"/>
          </w:tcPr>
          <w:p w:rsidR="003F5784" w14:paraId="53F983B4" w14:textId="77777777">
            <w:pPr>
              <w:pStyle w:val="TableParagraph"/>
              <w:spacing w:before="0" w:line="213" w:lineRule="exact"/>
              <w:ind w:right="133"/>
              <w:rPr>
                <w:sz w:val="21"/>
              </w:rPr>
            </w:pPr>
            <w:r>
              <w:rPr>
                <w:sz w:val="21"/>
              </w:rPr>
              <w:t>School</w:t>
            </w:r>
            <w:r>
              <w:rPr>
                <w:spacing w:val="-7"/>
                <w:sz w:val="21"/>
              </w:rPr>
              <w:t xml:space="preserve"> </w:t>
            </w:r>
            <w:r>
              <w:rPr>
                <w:spacing w:val="-2"/>
                <w:sz w:val="21"/>
              </w:rPr>
              <w:t>participation</w:t>
            </w:r>
          </w:p>
        </w:tc>
        <w:tc>
          <w:tcPr>
            <w:tcW w:w="1620" w:type="dxa"/>
          </w:tcPr>
          <w:p w:rsidR="003F5784" w14:paraId="263E612A" w14:textId="77777777">
            <w:pPr>
              <w:pStyle w:val="TableParagraph"/>
              <w:spacing w:before="0"/>
              <w:jc w:val="left"/>
              <w:rPr>
                <w:sz w:val="16"/>
              </w:rPr>
            </w:pPr>
          </w:p>
        </w:tc>
        <w:tc>
          <w:tcPr>
            <w:tcW w:w="6086" w:type="dxa"/>
            <w:gridSpan w:val="6"/>
            <w:vMerge w:val="restart"/>
          </w:tcPr>
          <w:p w:rsidR="003F5784" w14:paraId="42225AC1" w14:textId="77777777">
            <w:pPr>
              <w:pStyle w:val="TableParagraph"/>
              <w:spacing w:before="0"/>
              <w:jc w:val="left"/>
              <w:rPr>
                <w:sz w:val="20"/>
              </w:rPr>
            </w:pPr>
          </w:p>
        </w:tc>
      </w:tr>
      <w:tr w14:paraId="55EE5D8D" w14:textId="77777777" w:rsidTr="00A35A43">
        <w:tblPrEx>
          <w:tblW w:w="0" w:type="auto"/>
          <w:tblInd w:w="552" w:type="dxa"/>
          <w:tblLayout w:type="fixed"/>
          <w:tblCellMar>
            <w:left w:w="0" w:type="dxa"/>
            <w:right w:w="0" w:type="dxa"/>
          </w:tblCellMar>
          <w:tblLook w:val="01E0"/>
        </w:tblPrEx>
        <w:trPr>
          <w:gridAfter w:val="1"/>
          <w:wAfter w:w="124" w:type="dxa"/>
          <w:trHeight w:val="234"/>
        </w:trPr>
        <w:tc>
          <w:tcPr>
            <w:tcW w:w="3894" w:type="dxa"/>
            <w:gridSpan w:val="2"/>
          </w:tcPr>
          <w:p w:rsidR="003F5784" w14:paraId="1BF27E38" w14:textId="77777777">
            <w:pPr>
              <w:pStyle w:val="TableParagraph"/>
              <w:spacing w:before="0" w:line="215" w:lineRule="exact"/>
              <w:ind w:right="133"/>
              <w:rPr>
                <w:sz w:val="21"/>
              </w:rPr>
            </w:pPr>
            <w:r>
              <w:rPr>
                <w:sz w:val="21"/>
              </w:rPr>
              <w:t>Number</w:t>
            </w:r>
            <w:r>
              <w:rPr>
                <w:spacing w:val="-8"/>
                <w:sz w:val="21"/>
              </w:rPr>
              <w:t xml:space="preserve"> </w:t>
            </w:r>
            <w:r>
              <w:rPr>
                <w:spacing w:val="-5"/>
                <w:sz w:val="21"/>
              </w:rPr>
              <w:t>of</w:t>
            </w:r>
          </w:p>
        </w:tc>
        <w:tc>
          <w:tcPr>
            <w:tcW w:w="2394" w:type="dxa"/>
            <w:gridSpan w:val="2"/>
          </w:tcPr>
          <w:p w:rsidR="003F5784" w14:paraId="40E0FA38" w14:textId="77777777">
            <w:pPr>
              <w:pStyle w:val="TableParagraph"/>
              <w:spacing w:before="0" w:line="215" w:lineRule="exact"/>
              <w:ind w:right="133"/>
              <w:rPr>
                <w:sz w:val="21"/>
              </w:rPr>
            </w:pPr>
            <w:r>
              <w:rPr>
                <w:sz w:val="21"/>
              </w:rPr>
              <w:t>rates</w:t>
            </w:r>
            <w:r>
              <w:rPr>
                <w:spacing w:val="-7"/>
                <w:sz w:val="21"/>
              </w:rPr>
              <w:t xml:space="preserve"> </w:t>
            </w:r>
            <w:r>
              <w:rPr>
                <w:sz w:val="21"/>
              </w:rPr>
              <w:t>(percent)</w:t>
            </w:r>
            <w:r>
              <w:rPr>
                <w:spacing w:val="-7"/>
                <w:sz w:val="21"/>
              </w:rPr>
              <w:t xml:space="preserve"> </w:t>
            </w:r>
            <w:r>
              <w:rPr>
                <w:spacing w:val="-2"/>
                <w:sz w:val="21"/>
              </w:rPr>
              <w:t>before</w:t>
            </w:r>
          </w:p>
        </w:tc>
        <w:tc>
          <w:tcPr>
            <w:tcW w:w="1620" w:type="dxa"/>
          </w:tcPr>
          <w:p w:rsidR="003F5784" w14:paraId="11EC01F3" w14:textId="77777777">
            <w:pPr>
              <w:pStyle w:val="TableParagraph"/>
              <w:spacing w:before="0" w:line="215" w:lineRule="exact"/>
              <w:ind w:right="164"/>
              <w:rPr>
                <w:sz w:val="21"/>
              </w:rPr>
            </w:pPr>
            <w:r>
              <w:rPr>
                <w:sz w:val="21"/>
              </w:rPr>
              <w:t>School</w:t>
            </w:r>
            <w:r>
              <w:rPr>
                <w:spacing w:val="-7"/>
                <w:sz w:val="21"/>
              </w:rPr>
              <w:t xml:space="preserve"> </w:t>
            </w:r>
            <w:r>
              <w:rPr>
                <w:spacing w:val="-2"/>
                <w:sz w:val="21"/>
              </w:rPr>
              <w:t>participation</w:t>
            </w:r>
          </w:p>
        </w:tc>
        <w:tc>
          <w:tcPr>
            <w:tcW w:w="6086" w:type="dxa"/>
            <w:gridSpan w:val="6"/>
            <w:vMerge/>
            <w:tcBorders>
              <w:top w:val="nil"/>
            </w:tcBorders>
          </w:tcPr>
          <w:p w:rsidR="003F5784" w14:paraId="26138552" w14:textId="77777777">
            <w:pPr>
              <w:rPr>
                <w:sz w:val="2"/>
                <w:szCs w:val="2"/>
              </w:rPr>
            </w:pPr>
          </w:p>
        </w:tc>
      </w:tr>
      <w:tr w14:paraId="669E7BF2" w14:textId="77777777" w:rsidTr="00A35A43">
        <w:tblPrEx>
          <w:tblW w:w="0" w:type="auto"/>
          <w:tblInd w:w="552" w:type="dxa"/>
          <w:tblLayout w:type="fixed"/>
          <w:tblCellMar>
            <w:left w:w="0" w:type="dxa"/>
            <w:right w:w="0" w:type="dxa"/>
          </w:tblCellMar>
          <w:tblLook w:val="01E0"/>
        </w:tblPrEx>
        <w:trPr>
          <w:gridAfter w:val="1"/>
          <w:wAfter w:w="124" w:type="dxa"/>
          <w:trHeight w:val="234"/>
        </w:trPr>
        <w:tc>
          <w:tcPr>
            <w:tcW w:w="3894" w:type="dxa"/>
            <w:gridSpan w:val="2"/>
          </w:tcPr>
          <w:p w:rsidR="003F5784" w14:paraId="3487BDFE" w14:textId="77777777">
            <w:pPr>
              <w:pStyle w:val="TableParagraph"/>
              <w:spacing w:before="0" w:line="215" w:lineRule="exact"/>
              <w:ind w:right="133"/>
              <w:rPr>
                <w:sz w:val="21"/>
              </w:rPr>
            </w:pPr>
            <w:r>
              <w:rPr>
                <w:sz w:val="21"/>
              </w:rPr>
              <w:t>schools</w:t>
            </w:r>
            <w:r>
              <w:rPr>
                <w:spacing w:val="-8"/>
                <w:sz w:val="21"/>
              </w:rPr>
              <w:t xml:space="preserve"> </w:t>
            </w:r>
            <w:r>
              <w:rPr>
                <w:spacing w:val="-5"/>
                <w:sz w:val="21"/>
              </w:rPr>
              <w:t>in</w:t>
            </w:r>
          </w:p>
        </w:tc>
        <w:tc>
          <w:tcPr>
            <w:tcW w:w="2394" w:type="dxa"/>
            <w:gridSpan w:val="2"/>
          </w:tcPr>
          <w:p w:rsidR="003F5784" w14:paraId="569095F5" w14:textId="77777777">
            <w:pPr>
              <w:pStyle w:val="TableParagraph"/>
              <w:spacing w:before="0" w:line="215" w:lineRule="exact"/>
              <w:ind w:right="133"/>
              <w:rPr>
                <w:sz w:val="21"/>
              </w:rPr>
            </w:pPr>
            <w:r>
              <w:rPr>
                <w:spacing w:val="-2"/>
                <w:sz w:val="21"/>
              </w:rPr>
              <w:t>substitution</w:t>
            </w:r>
          </w:p>
        </w:tc>
        <w:tc>
          <w:tcPr>
            <w:tcW w:w="1620" w:type="dxa"/>
          </w:tcPr>
          <w:p w:rsidR="003F5784" w14:paraId="03D5CC4C" w14:textId="77777777">
            <w:pPr>
              <w:pStyle w:val="TableParagraph"/>
              <w:spacing w:before="0" w:line="215" w:lineRule="exact"/>
              <w:ind w:right="164"/>
              <w:rPr>
                <w:sz w:val="21"/>
              </w:rPr>
            </w:pPr>
            <w:r>
              <w:rPr>
                <w:sz w:val="21"/>
              </w:rPr>
              <w:t>rates</w:t>
            </w:r>
            <w:r>
              <w:rPr>
                <w:spacing w:val="-5"/>
                <w:sz w:val="21"/>
              </w:rPr>
              <w:t xml:space="preserve"> </w:t>
            </w:r>
            <w:r>
              <w:rPr>
                <w:spacing w:val="-2"/>
                <w:sz w:val="21"/>
              </w:rPr>
              <w:t>(percent)</w:t>
            </w:r>
          </w:p>
        </w:tc>
        <w:tc>
          <w:tcPr>
            <w:tcW w:w="1613" w:type="dxa"/>
          </w:tcPr>
          <w:p w:rsidR="003F5784" w14:paraId="3C0B2F7D" w14:textId="77777777">
            <w:pPr>
              <w:pStyle w:val="TableParagraph"/>
              <w:spacing w:before="0" w:line="215" w:lineRule="exact"/>
              <w:ind w:right="221"/>
              <w:rPr>
                <w:sz w:val="21"/>
              </w:rPr>
            </w:pPr>
            <w:r>
              <w:rPr>
                <w:sz w:val="21"/>
              </w:rPr>
              <w:t>Number</w:t>
            </w:r>
            <w:r>
              <w:rPr>
                <w:spacing w:val="-8"/>
                <w:sz w:val="21"/>
              </w:rPr>
              <w:t xml:space="preserve"> </w:t>
            </w:r>
            <w:r>
              <w:rPr>
                <w:spacing w:val="-5"/>
                <w:sz w:val="21"/>
              </w:rPr>
              <w:t>of</w:t>
            </w:r>
          </w:p>
        </w:tc>
        <w:tc>
          <w:tcPr>
            <w:tcW w:w="1177" w:type="dxa"/>
            <w:gridSpan w:val="2"/>
          </w:tcPr>
          <w:p w:rsidR="003F5784" w14:paraId="1429AAE0" w14:textId="77777777">
            <w:pPr>
              <w:pStyle w:val="TableParagraph"/>
              <w:spacing w:before="0" w:line="215" w:lineRule="exact"/>
              <w:ind w:right="130"/>
              <w:rPr>
                <w:sz w:val="21"/>
              </w:rPr>
            </w:pPr>
            <w:r>
              <w:rPr>
                <w:spacing w:val="-2"/>
                <w:sz w:val="21"/>
              </w:rPr>
              <w:t>Weighted</w:t>
            </w:r>
          </w:p>
        </w:tc>
        <w:tc>
          <w:tcPr>
            <w:tcW w:w="1772" w:type="dxa"/>
          </w:tcPr>
          <w:p w:rsidR="003F5784" w:rsidP="00A35A43" w14:paraId="1D8D0C66" w14:textId="77777777">
            <w:pPr>
              <w:pStyle w:val="TableParagraph"/>
              <w:spacing w:before="0" w:line="215" w:lineRule="exact"/>
              <w:ind w:left="34" w:right="147" w:hanging="34"/>
              <w:rPr>
                <w:sz w:val="21"/>
              </w:rPr>
            </w:pPr>
            <w:r>
              <w:rPr>
                <w:spacing w:val="-2"/>
                <w:sz w:val="21"/>
              </w:rPr>
              <w:t>Weighted</w:t>
            </w:r>
            <w:r>
              <w:rPr>
                <w:spacing w:val="-11"/>
                <w:sz w:val="21"/>
              </w:rPr>
              <w:t xml:space="preserve"> </w:t>
            </w:r>
            <w:r>
              <w:rPr>
                <w:spacing w:val="-2"/>
                <w:sz w:val="21"/>
              </w:rPr>
              <w:t>student</w:t>
            </w:r>
          </w:p>
        </w:tc>
        <w:tc>
          <w:tcPr>
            <w:tcW w:w="1524" w:type="dxa"/>
            <w:gridSpan w:val="2"/>
          </w:tcPr>
          <w:p w:rsidR="003F5784" w14:paraId="4721614C" w14:textId="77777777">
            <w:pPr>
              <w:pStyle w:val="TableParagraph"/>
              <w:spacing w:before="0"/>
              <w:jc w:val="left"/>
              <w:rPr>
                <w:sz w:val="16"/>
              </w:rPr>
            </w:pPr>
          </w:p>
        </w:tc>
      </w:tr>
      <w:tr w14:paraId="71D0967C" w14:textId="77777777" w:rsidTr="00A35A43">
        <w:tblPrEx>
          <w:tblW w:w="0" w:type="auto"/>
          <w:tblInd w:w="552" w:type="dxa"/>
          <w:tblLayout w:type="fixed"/>
          <w:tblCellMar>
            <w:left w:w="0" w:type="dxa"/>
            <w:right w:w="0" w:type="dxa"/>
          </w:tblCellMar>
          <w:tblLook w:val="01E0"/>
        </w:tblPrEx>
        <w:trPr>
          <w:gridAfter w:val="1"/>
          <w:wAfter w:w="124" w:type="dxa"/>
          <w:trHeight w:val="234"/>
        </w:trPr>
        <w:tc>
          <w:tcPr>
            <w:tcW w:w="3894" w:type="dxa"/>
            <w:gridSpan w:val="2"/>
          </w:tcPr>
          <w:p w:rsidR="003F5784" w14:paraId="6905DCDC" w14:textId="77777777">
            <w:pPr>
              <w:pStyle w:val="TableParagraph"/>
              <w:spacing w:before="0" w:line="215" w:lineRule="exact"/>
              <w:ind w:right="133"/>
              <w:rPr>
                <w:sz w:val="21"/>
              </w:rPr>
            </w:pPr>
            <w:r>
              <w:rPr>
                <w:spacing w:val="-2"/>
                <w:sz w:val="21"/>
              </w:rPr>
              <w:t>original</w:t>
            </w:r>
          </w:p>
        </w:tc>
        <w:tc>
          <w:tcPr>
            <w:tcW w:w="2394" w:type="dxa"/>
            <w:gridSpan w:val="2"/>
          </w:tcPr>
          <w:p w:rsidR="003F5784" w14:paraId="20F6DDFB" w14:textId="77777777">
            <w:pPr>
              <w:pStyle w:val="TableParagraph"/>
              <w:spacing w:before="0" w:line="215" w:lineRule="exact"/>
              <w:ind w:right="133"/>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620" w:type="dxa"/>
          </w:tcPr>
          <w:p w:rsidR="003F5784" w14:paraId="39AEBBE7" w14:textId="77777777">
            <w:pPr>
              <w:pStyle w:val="TableParagraph"/>
              <w:spacing w:before="0" w:line="215" w:lineRule="exact"/>
              <w:ind w:right="164"/>
              <w:rPr>
                <w:sz w:val="21"/>
              </w:rPr>
            </w:pPr>
            <w:r>
              <w:rPr>
                <w:sz w:val="21"/>
              </w:rPr>
              <w:t>before</w:t>
            </w:r>
            <w:r>
              <w:rPr>
                <w:spacing w:val="-7"/>
                <w:sz w:val="21"/>
              </w:rPr>
              <w:t xml:space="preserve"> </w:t>
            </w:r>
            <w:r>
              <w:rPr>
                <w:spacing w:val="-2"/>
                <w:sz w:val="21"/>
              </w:rPr>
              <w:t>substitution</w:t>
            </w:r>
          </w:p>
        </w:tc>
        <w:tc>
          <w:tcPr>
            <w:tcW w:w="1613" w:type="dxa"/>
          </w:tcPr>
          <w:p w:rsidR="003F5784" w14:paraId="7F6B5EF6" w14:textId="77777777">
            <w:pPr>
              <w:pStyle w:val="TableParagraph"/>
              <w:spacing w:before="0" w:line="215" w:lineRule="exact"/>
              <w:ind w:right="221"/>
              <w:rPr>
                <w:sz w:val="21"/>
              </w:rPr>
            </w:pPr>
            <w:r>
              <w:rPr>
                <w:spacing w:val="-2"/>
                <w:sz w:val="21"/>
              </w:rPr>
              <w:t>students</w:t>
            </w:r>
          </w:p>
        </w:tc>
        <w:tc>
          <w:tcPr>
            <w:tcW w:w="1177" w:type="dxa"/>
            <w:gridSpan w:val="2"/>
          </w:tcPr>
          <w:p w:rsidR="003F5784" w14:paraId="5526FF99" w14:textId="77777777">
            <w:pPr>
              <w:pStyle w:val="TableParagraph"/>
              <w:spacing w:before="0" w:line="215" w:lineRule="exact"/>
              <w:ind w:right="130"/>
              <w:rPr>
                <w:sz w:val="21"/>
              </w:rPr>
            </w:pPr>
            <w:r>
              <w:rPr>
                <w:sz w:val="21"/>
              </w:rPr>
              <w:t>percent</w:t>
            </w:r>
            <w:r>
              <w:rPr>
                <w:spacing w:val="-8"/>
                <w:sz w:val="21"/>
              </w:rPr>
              <w:t xml:space="preserve"> </w:t>
            </w:r>
            <w:r>
              <w:rPr>
                <w:spacing w:val="-5"/>
                <w:sz w:val="21"/>
              </w:rPr>
              <w:t>of</w:t>
            </w:r>
          </w:p>
        </w:tc>
        <w:tc>
          <w:tcPr>
            <w:tcW w:w="1772" w:type="dxa"/>
          </w:tcPr>
          <w:p w:rsidR="003F5784" w14:paraId="542870B7" w14:textId="77777777">
            <w:pPr>
              <w:pStyle w:val="TableParagraph"/>
              <w:spacing w:before="0" w:line="215" w:lineRule="exact"/>
              <w:ind w:right="147"/>
              <w:rPr>
                <w:sz w:val="21"/>
              </w:rPr>
            </w:pPr>
            <w:r>
              <w:rPr>
                <w:spacing w:val="-2"/>
                <w:sz w:val="21"/>
              </w:rPr>
              <w:t>participation</w:t>
            </w:r>
          </w:p>
        </w:tc>
        <w:tc>
          <w:tcPr>
            <w:tcW w:w="1524" w:type="dxa"/>
            <w:gridSpan w:val="2"/>
          </w:tcPr>
          <w:p w:rsidR="003F5784" w14:paraId="2E78F80B" w14:textId="77777777">
            <w:pPr>
              <w:pStyle w:val="TableParagraph"/>
              <w:spacing w:before="0" w:line="215" w:lineRule="exact"/>
              <w:ind w:right="43"/>
              <w:rPr>
                <w:sz w:val="21"/>
              </w:rPr>
            </w:pPr>
            <w:r>
              <w:rPr>
                <w:spacing w:val="-2"/>
                <w:sz w:val="21"/>
              </w:rPr>
              <w:t>Weighted</w:t>
            </w:r>
            <w:r>
              <w:rPr>
                <w:spacing w:val="-11"/>
                <w:sz w:val="21"/>
              </w:rPr>
              <w:t xml:space="preserve"> </w:t>
            </w:r>
            <w:r>
              <w:rPr>
                <w:spacing w:val="-2"/>
                <w:sz w:val="21"/>
              </w:rPr>
              <w:t>percent</w:t>
            </w:r>
          </w:p>
        </w:tc>
      </w:tr>
      <w:tr w14:paraId="70C763BD" w14:textId="77777777" w:rsidTr="00A35A43">
        <w:tblPrEx>
          <w:tblW w:w="0" w:type="auto"/>
          <w:tblInd w:w="552" w:type="dxa"/>
          <w:tblLayout w:type="fixed"/>
          <w:tblCellMar>
            <w:left w:w="0" w:type="dxa"/>
            <w:right w:w="0" w:type="dxa"/>
          </w:tblCellMar>
          <w:tblLook w:val="01E0"/>
        </w:tblPrEx>
        <w:trPr>
          <w:gridAfter w:val="1"/>
          <w:wAfter w:w="124" w:type="dxa"/>
          <w:trHeight w:val="234"/>
        </w:trPr>
        <w:tc>
          <w:tcPr>
            <w:tcW w:w="3894" w:type="dxa"/>
            <w:gridSpan w:val="2"/>
          </w:tcPr>
          <w:p w:rsidR="003F5784" w14:paraId="6A2A00BD" w14:textId="77777777">
            <w:pPr>
              <w:pStyle w:val="TableParagraph"/>
              <w:spacing w:before="0" w:line="215" w:lineRule="exact"/>
              <w:ind w:right="133"/>
              <w:rPr>
                <w:sz w:val="21"/>
              </w:rPr>
            </w:pPr>
            <w:r>
              <w:rPr>
                <w:spacing w:val="-2"/>
                <w:sz w:val="21"/>
              </w:rPr>
              <w:t>sample,</w:t>
            </w:r>
          </w:p>
        </w:tc>
        <w:tc>
          <w:tcPr>
            <w:tcW w:w="2394" w:type="dxa"/>
            <w:gridSpan w:val="2"/>
          </w:tcPr>
          <w:p w:rsidR="003F5784" w14:paraId="686B4FDD" w14:textId="77777777">
            <w:pPr>
              <w:pStyle w:val="TableParagraph"/>
              <w:spacing w:before="0" w:line="215" w:lineRule="exact"/>
              <w:ind w:right="133"/>
              <w:rPr>
                <w:sz w:val="21"/>
              </w:rPr>
            </w:pPr>
            <w:r>
              <w:rPr>
                <w:sz w:val="21"/>
              </w:rPr>
              <w:t>weight</w:t>
            </w:r>
            <w:r>
              <w:rPr>
                <w:spacing w:val="-7"/>
                <w:sz w:val="21"/>
              </w:rPr>
              <w:t xml:space="preserve"> </w:t>
            </w:r>
            <w:r>
              <w:rPr>
                <w:spacing w:val="-5"/>
                <w:sz w:val="21"/>
              </w:rPr>
              <w:t>and</w:t>
            </w:r>
          </w:p>
        </w:tc>
        <w:tc>
          <w:tcPr>
            <w:tcW w:w="1620" w:type="dxa"/>
          </w:tcPr>
          <w:p w:rsidR="003F5784" w14:paraId="77E3BF20" w14:textId="77777777">
            <w:pPr>
              <w:pStyle w:val="TableParagraph"/>
              <w:spacing w:before="0" w:line="215" w:lineRule="exact"/>
              <w:ind w:right="164"/>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613" w:type="dxa"/>
          </w:tcPr>
          <w:p w:rsidR="003F5784" w14:paraId="772839C4" w14:textId="77777777">
            <w:pPr>
              <w:pStyle w:val="TableParagraph"/>
              <w:spacing w:before="0" w:line="215" w:lineRule="exact"/>
              <w:ind w:right="221"/>
              <w:rPr>
                <w:sz w:val="21"/>
              </w:rPr>
            </w:pPr>
            <w:r>
              <w:rPr>
                <w:spacing w:val="-2"/>
                <w:sz w:val="21"/>
              </w:rPr>
              <w:t>sampled,</w:t>
            </w:r>
          </w:p>
        </w:tc>
        <w:tc>
          <w:tcPr>
            <w:tcW w:w="1177" w:type="dxa"/>
            <w:gridSpan w:val="2"/>
          </w:tcPr>
          <w:p w:rsidR="003F5784" w14:paraId="5D3CF9E1" w14:textId="77777777">
            <w:pPr>
              <w:pStyle w:val="TableParagraph"/>
              <w:spacing w:before="0" w:line="215" w:lineRule="exact"/>
              <w:ind w:right="130"/>
              <w:rPr>
                <w:sz w:val="21"/>
              </w:rPr>
            </w:pPr>
            <w:r>
              <w:rPr>
                <w:spacing w:val="-2"/>
                <w:sz w:val="21"/>
              </w:rPr>
              <w:t>students</w:t>
            </w:r>
          </w:p>
        </w:tc>
        <w:tc>
          <w:tcPr>
            <w:tcW w:w="1772" w:type="dxa"/>
          </w:tcPr>
          <w:p w:rsidR="003F5784" w14:paraId="074B1950" w14:textId="77777777">
            <w:pPr>
              <w:pStyle w:val="TableParagraph"/>
              <w:spacing w:before="0" w:line="215" w:lineRule="exact"/>
              <w:ind w:right="147"/>
              <w:rPr>
                <w:sz w:val="21"/>
              </w:rPr>
            </w:pPr>
            <w:r>
              <w:rPr>
                <w:sz w:val="21"/>
              </w:rPr>
              <w:t>rates</w:t>
            </w:r>
            <w:r>
              <w:rPr>
                <w:spacing w:val="-5"/>
                <w:sz w:val="21"/>
              </w:rPr>
              <w:t xml:space="preserve"> </w:t>
            </w:r>
            <w:r>
              <w:rPr>
                <w:spacing w:val="-2"/>
                <w:sz w:val="21"/>
              </w:rPr>
              <w:t>(percent)</w:t>
            </w:r>
          </w:p>
        </w:tc>
        <w:tc>
          <w:tcPr>
            <w:tcW w:w="1524" w:type="dxa"/>
            <w:gridSpan w:val="2"/>
          </w:tcPr>
          <w:p w:rsidR="003F5784" w14:paraId="6716CD1B" w14:textId="77777777">
            <w:pPr>
              <w:pStyle w:val="TableParagraph"/>
              <w:spacing w:before="0" w:line="215" w:lineRule="exact"/>
              <w:ind w:right="43"/>
              <w:rPr>
                <w:sz w:val="21"/>
              </w:rPr>
            </w:pPr>
            <w:r>
              <w:rPr>
                <w:sz w:val="21"/>
              </w:rPr>
              <w:t>of</w:t>
            </w:r>
            <w:r>
              <w:rPr>
                <w:spacing w:val="-3"/>
                <w:sz w:val="21"/>
              </w:rPr>
              <w:t xml:space="preserve"> </w:t>
            </w:r>
            <w:r>
              <w:rPr>
                <w:spacing w:val="-2"/>
                <w:sz w:val="21"/>
              </w:rPr>
              <w:t>students</w:t>
            </w:r>
          </w:p>
        </w:tc>
      </w:tr>
      <w:tr w14:paraId="07223597" w14:textId="77777777" w:rsidTr="00A35A43">
        <w:tblPrEx>
          <w:tblW w:w="0" w:type="auto"/>
          <w:tblInd w:w="552" w:type="dxa"/>
          <w:tblLayout w:type="fixed"/>
          <w:tblCellMar>
            <w:left w:w="0" w:type="dxa"/>
            <w:right w:w="0" w:type="dxa"/>
          </w:tblCellMar>
          <w:tblLook w:val="01E0"/>
        </w:tblPrEx>
        <w:trPr>
          <w:gridAfter w:val="1"/>
          <w:wAfter w:w="124" w:type="dxa"/>
          <w:trHeight w:val="232"/>
        </w:trPr>
        <w:tc>
          <w:tcPr>
            <w:tcW w:w="3894" w:type="dxa"/>
            <w:gridSpan w:val="2"/>
          </w:tcPr>
          <w:p w:rsidR="003F5784" w14:paraId="2C4A4F2F" w14:textId="77777777">
            <w:pPr>
              <w:pStyle w:val="TableParagraph"/>
              <w:tabs>
                <w:tab w:val="left" w:pos="3025"/>
              </w:tabs>
              <w:spacing w:before="0" w:line="213" w:lineRule="exact"/>
              <w:ind w:right="133"/>
              <w:rPr>
                <w:sz w:val="21"/>
              </w:rPr>
            </w:pPr>
            <w:r>
              <w:rPr>
                <w:sz w:val="21"/>
              </w:rPr>
              <w:t>School</w:t>
            </w:r>
            <w:r>
              <w:rPr>
                <w:spacing w:val="-6"/>
                <w:sz w:val="21"/>
              </w:rPr>
              <w:t xml:space="preserve"> </w:t>
            </w:r>
            <w:r>
              <w:rPr>
                <w:sz w:val="21"/>
              </w:rPr>
              <w:t>type</w:t>
            </w:r>
            <w:r>
              <w:rPr>
                <w:spacing w:val="-5"/>
                <w:sz w:val="21"/>
              </w:rPr>
              <w:t xml:space="preserve"> </w:t>
            </w:r>
            <w:r>
              <w:rPr>
                <w:sz w:val="21"/>
              </w:rPr>
              <w:t>and</w:t>
            </w:r>
            <w:r>
              <w:rPr>
                <w:spacing w:val="-5"/>
                <w:sz w:val="21"/>
              </w:rPr>
              <w:t xml:space="preserve"> </w:t>
            </w:r>
            <w:r>
              <w:rPr>
                <w:spacing w:val="-2"/>
                <w:sz w:val="21"/>
              </w:rPr>
              <w:t>jurisdiction</w:t>
            </w:r>
            <w:r>
              <w:rPr>
                <w:sz w:val="21"/>
              </w:rPr>
              <w:tab/>
            </w:r>
            <w:r>
              <w:rPr>
                <w:spacing w:val="-2"/>
                <w:sz w:val="21"/>
              </w:rPr>
              <w:t>rounded</w:t>
            </w:r>
          </w:p>
        </w:tc>
        <w:tc>
          <w:tcPr>
            <w:tcW w:w="2394" w:type="dxa"/>
            <w:gridSpan w:val="2"/>
          </w:tcPr>
          <w:p w:rsidR="003F5784" w14:paraId="39CC8BED" w14:textId="77777777">
            <w:pPr>
              <w:pStyle w:val="TableParagraph"/>
              <w:spacing w:before="0" w:line="213" w:lineRule="exact"/>
              <w:ind w:right="133"/>
              <w:rPr>
                <w:sz w:val="21"/>
              </w:rPr>
            </w:pPr>
            <w:r>
              <w:rPr>
                <w:spacing w:val="-2"/>
                <w:sz w:val="21"/>
              </w:rPr>
              <w:t>enrollment)</w:t>
            </w:r>
          </w:p>
        </w:tc>
        <w:tc>
          <w:tcPr>
            <w:tcW w:w="1620" w:type="dxa"/>
          </w:tcPr>
          <w:p w:rsidR="003F5784" w14:paraId="7720D25E" w14:textId="77777777">
            <w:pPr>
              <w:pStyle w:val="TableParagraph"/>
              <w:spacing w:before="0" w:line="213" w:lineRule="exact"/>
              <w:ind w:right="164"/>
              <w:rPr>
                <w:sz w:val="21"/>
              </w:rPr>
            </w:pPr>
            <w:r>
              <w:rPr>
                <w:sz w:val="21"/>
              </w:rPr>
              <w:t>weight</w:t>
            </w:r>
            <w:r>
              <w:rPr>
                <w:spacing w:val="-7"/>
                <w:sz w:val="21"/>
              </w:rPr>
              <w:t xml:space="preserve"> </w:t>
            </w:r>
            <w:r>
              <w:rPr>
                <w:spacing w:val="-2"/>
                <w:sz w:val="21"/>
              </w:rPr>
              <w:t>only)</w:t>
            </w:r>
          </w:p>
        </w:tc>
        <w:tc>
          <w:tcPr>
            <w:tcW w:w="1613" w:type="dxa"/>
          </w:tcPr>
          <w:p w:rsidR="003F5784" w14:paraId="41336718" w14:textId="77777777">
            <w:pPr>
              <w:pStyle w:val="TableParagraph"/>
              <w:spacing w:before="0" w:line="213" w:lineRule="exact"/>
              <w:ind w:right="221"/>
              <w:rPr>
                <w:sz w:val="21"/>
              </w:rPr>
            </w:pPr>
            <w:r>
              <w:rPr>
                <w:spacing w:val="-2"/>
                <w:sz w:val="21"/>
              </w:rPr>
              <w:t>rounded</w:t>
            </w:r>
          </w:p>
        </w:tc>
        <w:tc>
          <w:tcPr>
            <w:tcW w:w="1177" w:type="dxa"/>
            <w:gridSpan w:val="2"/>
          </w:tcPr>
          <w:p w:rsidR="003F5784" w14:paraId="6C06E2CD" w14:textId="77777777">
            <w:pPr>
              <w:pStyle w:val="TableParagraph"/>
              <w:spacing w:before="0" w:line="213" w:lineRule="exact"/>
              <w:ind w:right="130"/>
              <w:rPr>
                <w:sz w:val="21"/>
              </w:rPr>
            </w:pPr>
            <w:r>
              <w:rPr>
                <w:spacing w:val="-2"/>
                <w:sz w:val="21"/>
              </w:rPr>
              <w:t>excluded</w:t>
            </w:r>
          </w:p>
        </w:tc>
        <w:tc>
          <w:tcPr>
            <w:tcW w:w="1772" w:type="dxa"/>
          </w:tcPr>
          <w:p w:rsidR="003F5784" w14:paraId="5F37BF91" w14:textId="77777777">
            <w:pPr>
              <w:pStyle w:val="TableParagraph"/>
              <w:spacing w:before="0" w:line="213" w:lineRule="exact"/>
              <w:ind w:right="147"/>
              <w:rPr>
                <w:sz w:val="21"/>
              </w:rPr>
            </w:pPr>
            <w:r>
              <w:rPr>
                <w:sz w:val="21"/>
              </w:rPr>
              <w:t>after</w:t>
            </w:r>
            <w:r>
              <w:rPr>
                <w:spacing w:val="-5"/>
                <w:sz w:val="21"/>
              </w:rPr>
              <w:t xml:space="preserve"> </w:t>
            </w:r>
            <w:r>
              <w:rPr>
                <w:spacing w:val="-2"/>
                <w:sz w:val="21"/>
              </w:rPr>
              <w:t>makeups</w:t>
            </w:r>
          </w:p>
        </w:tc>
        <w:tc>
          <w:tcPr>
            <w:tcW w:w="1524" w:type="dxa"/>
            <w:gridSpan w:val="2"/>
          </w:tcPr>
          <w:p w:rsidR="003F5784" w14:paraId="78BD097F" w14:textId="77777777">
            <w:pPr>
              <w:pStyle w:val="TableParagraph"/>
              <w:spacing w:before="0" w:line="213" w:lineRule="exact"/>
              <w:ind w:right="43"/>
              <w:rPr>
                <w:sz w:val="21"/>
              </w:rPr>
            </w:pPr>
            <w:r>
              <w:rPr>
                <w:spacing w:val="-2"/>
                <w:sz w:val="21"/>
              </w:rPr>
              <w:t>accommodated</w:t>
            </w:r>
          </w:p>
        </w:tc>
      </w:tr>
      <w:tr w14:paraId="0454590D" w14:textId="77777777" w:rsidTr="008C4D83">
        <w:tblPrEx>
          <w:tblW w:w="0" w:type="auto"/>
          <w:tblInd w:w="552" w:type="dxa"/>
          <w:tblLayout w:type="fixed"/>
          <w:tblCellMar>
            <w:left w:w="0" w:type="dxa"/>
            <w:right w:w="0" w:type="dxa"/>
          </w:tblCellMar>
          <w:tblLook w:val="01E0"/>
        </w:tblPrEx>
        <w:trPr>
          <w:trHeight w:val="278"/>
        </w:trPr>
        <w:tc>
          <w:tcPr>
            <w:tcW w:w="2919" w:type="dxa"/>
            <w:tcBorders>
              <w:top w:val="single" w:sz="18" w:space="0" w:color="800000"/>
            </w:tcBorders>
          </w:tcPr>
          <w:p w:rsidR="003F5784" w14:paraId="466E9D6C" w14:textId="77777777">
            <w:pPr>
              <w:pStyle w:val="TableParagraph"/>
              <w:spacing w:before="9"/>
              <w:ind w:left="120"/>
              <w:jc w:val="left"/>
              <w:rPr>
                <w:sz w:val="21"/>
              </w:rPr>
            </w:pPr>
            <w:r>
              <w:rPr>
                <w:spacing w:val="-2"/>
                <w:sz w:val="21"/>
              </w:rPr>
              <w:t>Virginia</w:t>
            </w:r>
          </w:p>
        </w:tc>
        <w:tc>
          <w:tcPr>
            <w:tcW w:w="1029" w:type="dxa"/>
            <w:gridSpan w:val="2"/>
            <w:tcBorders>
              <w:top w:val="single" w:sz="18" w:space="0" w:color="800000"/>
            </w:tcBorders>
          </w:tcPr>
          <w:p w:rsidR="003F5784" w14:paraId="1C9A2196" w14:textId="77777777">
            <w:pPr>
              <w:pStyle w:val="TableParagraph"/>
              <w:spacing w:before="9"/>
              <w:ind w:left="104" w:right="141"/>
              <w:jc w:val="center"/>
              <w:rPr>
                <w:sz w:val="21"/>
              </w:rPr>
            </w:pPr>
            <w:r>
              <w:rPr>
                <w:spacing w:val="-5"/>
                <w:sz w:val="21"/>
              </w:rPr>
              <w:t>90</w:t>
            </w:r>
          </w:p>
        </w:tc>
        <w:tc>
          <w:tcPr>
            <w:tcW w:w="2340" w:type="dxa"/>
            <w:tcBorders>
              <w:top w:val="single" w:sz="18" w:space="0" w:color="800000"/>
            </w:tcBorders>
          </w:tcPr>
          <w:p w:rsidR="003F5784" w14:paraId="600739CD" w14:textId="77777777">
            <w:pPr>
              <w:pStyle w:val="TableParagraph"/>
              <w:spacing w:before="9"/>
              <w:ind w:left="159" w:right="112"/>
              <w:jc w:val="center"/>
              <w:rPr>
                <w:sz w:val="21"/>
              </w:rPr>
            </w:pPr>
            <w:r>
              <w:rPr>
                <w:spacing w:val="-2"/>
                <w:sz w:val="21"/>
              </w:rPr>
              <w:t>100.00</w:t>
            </w:r>
          </w:p>
        </w:tc>
        <w:tc>
          <w:tcPr>
            <w:tcW w:w="1620" w:type="dxa"/>
            <w:tcBorders>
              <w:top w:val="single" w:sz="18" w:space="0" w:color="800000"/>
            </w:tcBorders>
          </w:tcPr>
          <w:p w:rsidR="003F5784" w14:paraId="1041642A" w14:textId="77777777">
            <w:pPr>
              <w:pStyle w:val="TableParagraph"/>
              <w:spacing w:before="9"/>
              <w:ind w:right="386"/>
              <w:rPr>
                <w:sz w:val="21"/>
              </w:rPr>
            </w:pPr>
            <w:r>
              <w:rPr>
                <w:spacing w:val="-2"/>
                <w:sz w:val="21"/>
              </w:rPr>
              <w:t>100.00</w:t>
            </w:r>
          </w:p>
        </w:tc>
        <w:tc>
          <w:tcPr>
            <w:tcW w:w="1620" w:type="dxa"/>
            <w:gridSpan w:val="2"/>
            <w:tcBorders>
              <w:top w:val="single" w:sz="18" w:space="0" w:color="800000"/>
            </w:tcBorders>
          </w:tcPr>
          <w:p w:rsidR="003F5784" w14:paraId="37AC47F2" w14:textId="77777777">
            <w:pPr>
              <w:pStyle w:val="TableParagraph"/>
              <w:spacing w:before="9"/>
              <w:ind w:right="462"/>
              <w:rPr>
                <w:sz w:val="21"/>
              </w:rPr>
            </w:pPr>
            <w:r>
              <w:rPr>
                <w:spacing w:val="-2"/>
                <w:sz w:val="21"/>
              </w:rPr>
              <w:t>2,200</w:t>
            </w:r>
          </w:p>
        </w:tc>
        <w:tc>
          <w:tcPr>
            <w:tcW w:w="1170" w:type="dxa"/>
            <w:tcBorders>
              <w:top w:val="single" w:sz="18" w:space="0" w:color="800000"/>
            </w:tcBorders>
          </w:tcPr>
          <w:p w:rsidR="003F5784" w14:paraId="6750DA97" w14:textId="77777777">
            <w:pPr>
              <w:pStyle w:val="TableParagraph"/>
              <w:spacing w:before="9"/>
              <w:ind w:left="463"/>
              <w:jc w:val="left"/>
              <w:rPr>
                <w:sz w:val="21"/>
              </w:rPr>
            </w:pPr>
            <w:r>
              <w:rPr>
                <w:spacing w:val="-4"/>
                <w:sz w:val="21"/>
              </w:rPr>
              <w:t>2.79</w:t>
            </w:r>
          </w:p>
        </w:tc>
        <w:tc>
          <w:tcPr>
            <w:tcW w:w="1800" w:type="dxa"/>
            <w:gridSpan w:val="2"/>
            <w:tcBorders>
              <w:top w:val="single" w:sz="18" w:space="0" w:color="800000"/>
            </w:tcBorders>
          </w:tcPr>
          <w:p w:rsidR="003F5784" w14:paraId="23DEBE3B" w14:textId="77777777">
            <w:pPr>
              <w:pStyle w:val="TableParagraph"/>
              <w:spacing w:before="9"/>
              <w:ind w:right="22"/>
              <w:jc w:val="center"/>
              <w:rPr>
                <w:sz w:val="21"/>
              </w:rPr>
            </w:pPr>
            <w:r>
              <w:rPr>
                <w:spacing w:val="-2"/>
                <w:sz w:val="21"/>
              </w:rPr>
              <w:t>91.98</w:t>
            </w:r>
          </w:p>
        </w:tc>
        <w:tc>
          <w:tcPr>
            <w:tcW w:w="1620" w:type="dxa"/>
            <w:gridSpan w:val="2"/>
            <w:tcBorders>
              <w:top w:val="single" w:sz="18" w:space="0" w:color="800000"/>
            </w:tcBorders>
          </w:tcPr>
          <w:p w:rsidR="003F5784" w14:paraId="33349C13" w14:textId="77777777">
            <w:pPr>
              <w:pStyle w:val="TableParagraph"/>
              <w:spacing w:before="9"/>
              <w:ind w:right="118"/>
              <w:rPr>
                <w:sz w:val="21"/>
              </w:rPr>
            </w:pPr>
            <w:r>
              <w:rPr>
                <w:spacing w:val="-2"/>
                <w:sz w:val="21"/>
              </w:rPr>
              <w:t>14.14</w:t>
            </w:r>
          </w:p>
        </w:tc>
      </w:tr>
      <w:tr w14:paraId="1B411D36"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32E8FA86" w14:textId="77777777">
            <w:pPr>
              <w:pStyle w:val="TableParagraph"/>
              <w:ind w:left="120"/>
              <w:jc w:val="left"/>
              <w:rPr>
                <w:sz w:val="21"/>
              </w:rPr>
            </w:pPr>
            <w:r>
              <w:rPr>
                <w:spacing w:val="-2"/>
                <w:sz w:val="21"/>
              </w:rPr>
              <w:t>Washington</w:t>
            </w:r>
          </w:p>
        </w:tc>
        <w:tc>
          <w:tcPr>
            <w:tcW w:w="1029" w:type="dxa"/>
            <w:gridSpan w:val="2"/>
          </w:tcPr>
          <w:p w:rsidR="003F5784" w14:paraId="2EDFC65D" w14:textId="77777777">
            <w:pPr>
              <w:pStyle w:val="TableParagraph"/>
              <w:ind w:left="104" w:right="141"/>
              <w:jc w:val="center"/>
              <w:rPr>
                <w:sz w:val="21"/>
              </w:rPr>
            </w:pPr>
            <w:r>
              <w:rPr>
                <w:spacing w:val="-5"/>
                <w:sz w:val="21"/>
              </w:rPr>
              <w:t>90</w:t>
            </w:r>
          </w:p>
        </w:tc>
        <w:tc>
          <w:tcPr>
            <w:tcW w:w="2340" w:type="dxa"/>
          </w:tcPr>
          <w:p w:rsidR="003F5784" w14:paraId="59C9B5E6" w14:textId="77777777">
            <w:pPr>
              <w:pStyle w:val="TableParagraph"/>
              <w:ind w:left="159" w:right="112"/>
              <w:jc w:val="center"/>
              <w:rPr>
                <w:sz w:val="21"/>
              </w:rPr>
            </w:pPr>
            <w:r>
              <w:rPr>
                <w:spacing w:val="-2"/>
                <w:sz w:val="21"/>
              </w:rPr>
              <w:t>100.00</w:t>
            </w:r>
          </w:p>
        </w:tc>
        <w:tc>
          <w:tcPr>
            <w:tcW w:w="1620" w:type="dxa"/>
          </w:tcPr>
          <w:p w:rsidR="003F5784" w14:paraId="2A5429C6" w14:textId="77777777">
            <w:pPr>
              <w:pStyle w:val="TableParagraph"/>
              <w:ind w:right="386"/>
              <w:rPr>
                <w:sz w:val="21"/>
              </w:rPr>
            </w:pPr>
            <w:r>
              <w:rPr>
                <w:spacing w:val="-2"/>
                <w:sz w:val="21"/>
              </w:rPr>
              <w:t>100.00</w:t>
            </w:r>
          </w:p>
        </w:tc>
        <w:tc>
          <w:tcPr>
            <w:tcW w:w="1620" w:type="dxa"/>
            <w:gridSpan w:val="2"/>
          </w:tcPr>
          <w:p w:rsidR="003F5784" w14:paraId="79D35603" w14:textId="77777777">
            <w:pPr>
              <w:pStyle w:val="TableParagraph"/>
              <w:ind w:right="462"/>
              <w:rPr>
                <w:sz w:val="21"/>
              </w:rPr>
            </w:pPr>
            <w:r>
              <w:rPr>
                <w:spacing w:val="-2"/>
                <w:sz w:val="21"/>
              </w:rPr>
              <w:t>2,200</w:t>
            </w:r>
          </w:p>
        </w:tc>
        <w:tc>
          <w:tcPr>
            <w:tcW w:w="1170" w:type="dxa"/>
          </w:tcPr>
          <w:p w:rsidR="003F5784" w14:paraId="3B979D10" w14:textId="77777777">
            <w:pPr>
              <w:pStyle w:val="TableParagraph"/>
              <w:ind w:left="463"/>
              <w:jc w:val="left"/>
              <w:rPr>
                <w:sz w:val="21"/>
              </w:rPr>
            </w:pPr>
            <w:r>
              <w:rPr>
                <w:spacing w:val="-4"/>
                <w:sz w:val="21"/>
              </w:rPr>
              <w:t>2.15</w:t>
            </w:r>
          </w:p>
        </w:tc>
        <w:tc>
          <w:tcPr>
            <w:tcW w:w="1800" w:type="dxa"/>
            <w:gridSpan w:val="2"/>
          </w:tcPr>
          <w:p w:rsidR="003F5784" w14:paraId="42713EE9" w14:textId="77777777">
            <w:pPr>
              <w:pStyle w:val="TableParagraph"/>
              <w:ind w:right="22"/>
              <w:jc w:val="center"/>
              <w:rPr>
                <w:sz w:val="21"/>
              </w:rPr>
            </w:pPr>
            <w:r>
              <w:rPr>
                <w:spacing w:val="-2"/>
                <w:sz w:val="21"/>
              </w:rPr>
              <w:t>89.21</w:t>
            </w:r>
          </w:p>
        </w:tc>
        <w:tc>
          <w:tcPr>
            <w:tcW w:w="1620" w:type="dxa"/>
            <w:gridSpan w:val="2"/>
          </w:tcPr>
          <w:p w:rsidR="003F5784" w14:paraId="0D875128" w14:textId="77777777">
            <w:pPr>
              <w:pStyle w:val="TableParagraph"/>
              <w:ind w:right="118"/>
              <w:rPr>
                <w:sz w:val="21"/>
              </w:rPr>
            </w:pPr>
            <w:r>
              <w:rPr>
                <w:spacing w:val="-2"/>
                <w:sz w:val="21"/>
              </w:rPr>
              <w:t>10.33</w:t>
            </w:r>
          </w:p>
        </w:tc>
      </w:tr>
      <w:tr w14:paraId="534E7D51"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2C0A6481" w14:textId="77777777">
            <w:pPr>
              <w:pStyle w:val="TableParagraph"/>
              <w:ind w:left="120"/>
              <w:jc w:val="left"/>
              <w:rPr>
                <w:sz w:val="21"/>
              </w:rPr>
            </w:pPr>
            <w:r>
              <w:rPr>
                <w:spacing w:val="-5"/>
                <w:sz w:val="21"/>
              </w:rPr>
              <w:t>West</w:t>
            </w:r>
            <w:r>
              <w:rPr>
                <w:spacing w:val="-7"/>
                <w:sz w:val="21"/>
              </w:rPr>
              <w:t xml:space="preserve"> </w:t>
            </w:r>
            <w:r>
              <w:rPr>
                <w:spacing w:val="-2"/>
                <w:sz w:val="21"/>
              </w:rPr>
              <w:t>Virginia</w:t>
            </w:r>
          </w:p>
        </w:tc>
        <w:tc>
          <w:tcPr>
            <w:tcW w:w="1029" w:type="dxa"/>
            <w:gridSpan w:val="2"/>
          </w:tcPr>
          <w:p w:rsidR="003F5784" w14:paraId="25BE7212" w14:textId="77777777">
            <w:pPr>
              <w:pStyle w:val="TableParagraph"/>
              <w:ind w:right="141"/>
              <w:jc w:val="center"/>
              <w:rPr>
                <w:sz w:val="21"/>
              </w:rPr>
            </w:pPr>
            <w:r>
              <w:rPr>
                <w:spacing w:val="-5"/>
                <w:sz w:val="21"/>
              </w:rPr>
              <w:t>100</w:t>
            </w:r>
          </w:p>
        </w:tc>
        <w:tc>
          <w:tcPr>
            <w:tcW w:w="2340" w:type="dxa"/>
          </w:tcPr>
          <w:p w:rsidR="003F5784" w14:paraId="162AE1C7" w14:textId="77777777">
            <w:pPr>
              <w:pStyle w:val="TableParagraph"/>
              <w:ind w:left="159" w:right="112"/>
              <w:jc w:val="center"/>
              <w:rPr>
                <w:sz w:val="21"/>
              </w:rPr>
            </w:pPr>
            <w:r>
              <w:rPr>
                <w:spacing w:val="-2"/>
                <w:sz w:val="21"/>
              </w:rPr>
              <w:t>100.00</w:t>
            </w:r>
          </w:p>
        </w:tc>
        <w:tc>
          <w:tcPr>
            <w:tcW w:w="1620" w:type="dxa"/>
          </w:tcPr>
          <w:p w:rsidR="003F5784" w14:paraId="06243C7B" w14:textId="77777777">
            <w:pPr>
              <w:pStyle w:val="TableParagraph"/>
              <w:ind w:right="386"/>
              <w:rPr>
                <w:sz w:val="21"/>
              </w:rPr>
            </w:pPr>
            <w:r>
              <w:rPr>
                <w:spacing w:val="-2"/>
                <w:sz w:val="21"/>
              </w:rPr>
              <w:t>100.00</w:t>
            </w:r>
          </w:p>
        </w:tc>
        <w:tc>
          <w:tcPr>
            <w:tcW w:w="1620" w:type="dxa"/>
            <w:gridSpan w:val="2"/>
          </w:tcPr>
          <w:p w:rsidR="003F5784" w14:paraId="3730DC1A" w14:textId="77777777">
            <w:pPr>
              <w:pStyle w:val="TableParagraph"/>
              <w:ind w:right="462"/>
              <w:rPr>
                <w:sz w:val="21"/>
              </w:rPr>
            </w:pPr>
            <w:r>
              <w:rPr>
                <w:spacing w:val="-2"/>
                <w:sz w:val="21"/>
              </w:rPr>
              <w:t>2,100</w:t>
            </w:r>
          </w:p>
        </w:tc>
        <w:tc>
          <w:tcPr>
            <w:tcW w:w="1170" w:type="dxa"/>
          </w:tcPr>
          <w:p w:rsidR="003F5784" w14:paraId="6878ABBB" w14:textId="77777777">
            <w:pPr>
              <w:pStyle w:val="TableParagraph"/>
              <w:ind w:left="463"/>
              <w:jc w:val="left"/>
              <w:rPr>
                <w:sz w:val="21"/>
              </w:rPr>
            </w:pPr>
            <w:r>
              <w:rPr>
                <w:spacing w:val="-4"/>
                <w:sz w:val="21"/>
              </w:rPr>
              <w:t>1.59</w:t>
            </w:r>
          </w:p>
        </w:tc>
        <w:tc>
          <w:tcPr>
            <w:tcW w:w="1800" w:type="dxa"/>
            <w:gridSpan w:val="2"/>
          </w:tcPr>
          <w:p w:rsidR="003F5784" w14:paraId="7861206A" w14:textId="77777777">
            <w:pPr>
              <w:pStyle w:val="TableParagraph"/>
              <w:ind w:right="22"/>
              <w:jc w:val="center"/>
              <w:rPr>
                <w:sz w:val="21"/>
              </w:rPr>
            </w:pPr>
            <w:r>
              <w:rPr>
                <w:spacing w:val="-2"/>
                <w:sz w:val="21"/>
              </w:rPr>
              <w:t>92.64</w:t>
            </w:r>
          </w:p>
        </w:tc>
        <w:tc>
          <w:tcPr>
            <w:tcW w:w="1620" w:type="dxa"/>
            <w:gridSpan w:val="2"/>
          </w:tcPr>
          <w:p w:rsidR="003F5784" w14:paraId="41256989" w14:textId="77777777">
            <w:pPr>
              <w:pStyle w:val="TableParagraph"/>
              <w:ind w:right="118"/>
              <w:rPr>
                <w:sz w:val="21"/>
              </w:rPr>
            </w:pPr>
            <w:r>
              <w:rPr>
                <w:spacing w:val="-2"/>
                <w:sz w:val="21"/>
              </w:rPr>
              <w:t>11.28</w:t>
            </w:r>
          </w:p>
        </w:tc>
      </w:tr>
      <w:tr w14:paraId="1D407B45"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052A7062" w14:textId="77777777">
            <w:pPr>
              <w:pStyle w:val="TableParagraph"/>
              <w:ind w:left="120"/>
              <w:jc w:val="left"/>
              <w:rPr>
                <w:sz w:val="21"/>
              </w:rPr>
            </w:pPr>
            <w:r>
              <w:rPr>
                <w:spacing w:val="-2"/>
                <w:sz w:val="21"/>
              </w:rPr>
              <w:t>Wisconsin</w:t>
            </w:r>
          </w:p>
        </w:tc>
        <w:tc>
          <w:tcPr>
            <w:tcW w:w="1029" w:type="dxa"/>
            <w:gridSpan w:val="2"/>
          </w:tcPr>
          <w:p w:rsidR="003F5784" w14:paraId="48261EEA" w14:textId="77777777">
            <w:pPr>
              <w:pStyle w:val="TableParagraph"/>
              <w:ind w:right="141"/>
              <w:jc w:val="center"/>
              <w:rPr>
                <w:sz w:val="21"/>
              </w:rPr>
            </w:pPr>
            <w:r>
              <w:rPr>
                <w:spacing w:val="-5"/>
                <w:sz w:val="21"/>
              </w:rPr>
              <w:t>130</w:t>
            </w:r>
          </w:p>
        </w:tc>
        <w:tc>
          <w:tcPr>
            <w:tcW w:w="2340" w:type="dxa"/>
          </w:tcPr>
          <w:p w:rsidR="003F5784" w14:paraId="797CE380" w14:textId="77777777">
            <w:pPr>
              <w:pStyle w:val="TableParagraph"/>
              <w:ind w:left="159" w:right="112"/>
              <w:jc w:val="center"/>
              <w:rPr>
                <w:sz w:val="21"/>
              </w:rPr>
            </w:pPr>
            <w:r>
              <w:rPr>
                <w:spacing w:val="-2"/>
                <w:sz w:val="21"/>
              </w:rPr>
              <w:t>100.00</w:t>
            </w:r>
          </w:p>
        </w:tc>
        <w:tc>
          <w:tcPr>
            <w:tcW w:w="1620" w:type="dxa"/>
          </w:tcPr>
          <w:p w:rsidR="003F5784" w14:paraId="4730A64D" w14:textId="77777777">
            <w:pPr>
              <w:pStyle w:val="TableParagraph"/>
              <w:ind w:right="386"/>
              <w:rPr>
                <w:sz w:val="21"/>
              </w:rPr>
            </w:pPr>
            <w:r>
              <w:rPr>
                <w:spacing w:val="-2"/>
                <w:sz w:val="21"/>
              </w:rPr>
              <w:t>100.00</w:t>
            </w:r>
          </w:p>
        </w:tc>
        <w:tc>
          <w:tcPr>
            <w:tcW w:w="1620" w:type="dxa"/>
            <w:gridSpan w:val="2"/>
          </w:tcPr>
          <w:p w:rsidR="003F5784" w14:paraId="3068BB1B" w14:textId="77777777">
            <w:pPr>
              <w:pStyle w:val="TableParagraph"/>
              <w:ind w:right="462"/>
              <w:rPr>
                <w:sz w:val="21"/>
              </w:rPr>
            </w:pPr>
            <w:r>
              <w:rPr>
                <w:spacing w:val="-2"/>
                <w:sz w:val="21"/>
              </w:rPr>
              <w:t>2,700</w:t>
            </w:r>
          </w:p>
        </w:tc>
        <w:tc>
          <w:tcPr>
            <w:tcW w:w="1170" w:type="dxa"/>
          </w:tcPr>
          <w:p w:rsidR="003F5784" w14:paraId="3CDEBA33" w14:textId="77777777">
            <w:pPr>
              <w:pStyle w:val="TableParagraph"/>
              <w:ind w:left="463"/>
              <w:jc w:val="left"/>
              <w:rPr>
                <w:sz w:val="21"/>
              </w:rPr>
            </w:pPr>
            <w:r>
              <w:rPr>
                <w:spacing w:val="-4"/>
                <w:sz w:val="21"/>
              </w:rPr>
              <w:t>1.29</w:t>
            </w:r>
          </w:p>
        </w:tc>
        <w:tc>
          <w:tcPr>
            <w:tcW w:w="1800" w:type="dxa"/>
            <w:gridSpan w:val="2"/>
          </w:tcPr>
          <w:p w:rsidR="003F5784" w14:paraId="479A03A1" w14:textId="77777777">
            <w:pPr>
              <w:pStyle w:val="TableParagraph"/>
              <w:ind w:right="22"/>
              <w:jc w:val="center"/>
              <w:rPr>
                <w:sz w:val="21"/>
              </w:rPr>
            </w:pPr>
            <w:r>
              <w:rPr>
                <w:spacing w:val="-2"/>
                <w:sz w:val="21"/>
              </w:rPr>
              <w:t>90.27</w:t>
            </w:r>
          </w:p>
        </w:tc>
        <w:tc>
          <w:tcPr>
            <w:tcW w:w="1620" w:type="dxa"/>
            <w:gridSpan w:val="2"/>
          </w:tcPr>
          <w:p w:rsidR="003F5784" w14:paraId="7A8A0DCD" w14:textId="77777777">
            <w:pPr>
              <w:pStyle w:val="TableParagraph"/>
              <w:ind w:right="118"/>
              <w:rPr>
                <w:sz w:val="21"/>
              </w:rPr>
            </w:pPr>
            <w:r>
              <w:rPr>
                <w:spacing w:val="-2"/>
                <w:sz w:val="21"/>
              </w:rPr>
              <w:t>12.14</w:t>
            </w:r>
          </w:p>
        </w:tc>
      </w:tr>
      <w:tr w14:paraId="6986B0CC"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4DC5BB0A" w14:textId="77777777">
            <w:pPr>
              <w:pStyle w:val="TableParagraph"/>
              <w:ind w:left="120"/>
              <w:jc w:val="left"/>
              <w:rPr>
                <w:sz w:val="21"/>
              </w:rPr>
            </w:pPr>
            <w:r>
              <w:rPr>
                <w:spacing w:val="-2"/>
                <w:sz w:val="21"/>
              </w:rPr>
              <w:t>Wyoming</w:t>
            </w:r>
          </w:p>
        </w:tc>
        <w:tc>
          <w:tcPr>
            <w:tcW w:w="1029" w:type="dxa"/>
            <w:gridSpan w:val="2"/>
          </w:tcPr>
          <w:p w:rsidR="003F5784" w14:paraId="35A55895" w14:textId="77777777">
            <w:pPr>
              <w:pStyle w:val="TableParagraph"/>
              <w:ind w:right="141"/>
              <w:jc w:val="center"/>
              <w:rPr>
                <w:sz w:val="21"/>
              </w:rPr>
            </w:pPr>
            <w:r>
              <w:rPr>
                <w:spacing w:val="-5"/>
                <w:sz w:val="21"/>
              </w:rPr>
              <w:t>100</w:t>
            </w:r>
          </w:p>
        </w:tc>
        <w:tc>
          <w:tcPr>
            <w:tcW w:w="2340" w:type="dxa"/>
          </w:tcPr>
          <w:p w:rsidR="003F5784" w14:paraId="23441FD3" w14:textId="77777777">
            <w:pPr>
              <w:pStyle w:val="TableParagraph"/>
              <w:ind w:left="159" w:right="8"/>
              <w:jc w:val="center"/>
              <w:rPr>
                <w:sz w:val="21"/>
              </w:rPr>
            </w:pPr>
            <w:r>
              <w:rPr>
                <w:spacing w:val="-2"/>
                <w:sz w:val="21"/>
              </w:rPr>
              <w:t>98.78</w:t>
            </w:r>
          </w:p>
        </w:tc>
        <w:tc>
          <w:tcPr>
            <w:tcW w:w="1620" w:type="dxa"/>
          </w:tcPr>
          <w:p w:rsidR="003F5784" w14:paraId="0785B760" w14:textId="77777777">
            <w:pPr>
              <w:pStyle w:val="TableParagraph"/>
              <w:ind w:right="386"/>
              <w:rPr>
                <w:sz w:val="21"/>
              </w:rPr>
            </w:pPr>
            <w:r>
              <w:rPr>
                <w:spacing w:val="-2"/>
                <w:sz w:val="21"/>
              </w:rPr>
              <w:t>99.16</w:t>
            </w:r>
          </w:p>
        </w:tc>
        <w:tc>
          <w:tcPr>
            <w:tcW w:w="1620" w:type="dxa"/>
            <w:gridSpan w:val="2"/>
          </w:tcPr>
          <w:p w:rsidR="003F5784" w14:paraId="2FD8898F" w14:textId="77777777">
            <w:pPr>
              <w:pStyle w:val="TableParagraph"/>
              <w:ind w:right="462"/>
              <w:rPr>
                <w:sz w:val="21"/>
              </w:rPr>
            </w:pPr>
            <w:r>
              <w:rPr>
                <w:spacing w:val="-2"/>
                <w:sz w:val="21"/>
              </w:rPr>
              <w:t>2,100</w:t>
            </w:r>
          </w:p>
        </w:tc>
        <w:tc>
          <w:tcPr>
            <w:tcW w:w="1170" w:type="dxa"/>
          </w:tcPr>
          <w:p w:rsidR="003F5784" w14:paraId="212208D2" w14:textId="77777777">
            <w:pPr>
              <w:pStyle w:val="TableParagraph"/>
              <w:ind w:left="463"/>
              <w:jc w:val="left"/>
              <w:rPr>
                <w:sz w:val="21"/>
              </w:rPr>
            </w:pPr>
            <w:r>
              <w:rPr>
                <w:spacing w:val="-4"/>
                <w:sz w:val="21"/>
              </w:rPr>
              <w:t>1.27</w:t>
            </w:r>
          </w:p>
        </w:tc>
        <w:tc>
          <w:tcPr>
            <w:tcW w:w="1800" w:type="dxa"/>
            <w:gridSpan w:val="2"/>
          </w:tcPr>
          <w:p w:rsidR="003F5784" w14:paraId="31B919E9" w14:textId="77777777">
            <w:pPr>
              <w:pStyle w:val="TableParagraph"/>
              <w:ind w:left="8" w:right="22"/>
              <w:jc w:val="center"/>
              <w:rPr>
                <w:sz w:val="21"/>
              </w:rPr>
            </w:pPr>
            <w:r>
              <w:rPr>
                <w:spacing w:val="-2"/>
                <w:sz w:val="21"/>
              </w:rPr>
              <w:t>90.11</w:t>
            </w:r>
          </w:p>
        </w:tc>
        <w:tc>
          <w:tcPr>
            <w:tcW w:w="1620" w:type="dxa"/>
            <w:gridSpan w:val="2"/>
          </w:tcPr>
          <w:p w:rsidR="003F5784" w14:paraId="2523CD46" w14:textId="77777777">
            <w:pPr>
              <w:pStyle w:val="TableParagraph"/>
              <w:ind w:right="118"/>
              <w:rPr>
                <w:sz w:val="21"/>
              </w:rPr>
            </w:pPr>
            <w:r>
              <w:rPr>
                <w:spacing w:val="-2"/>
                <w:sz w:val="21"/>
              </w:rPr>
              <w:t>13.57</w:t>
            </w:r>
          </w:p>
        </w:tc>
      </w:tr>
      <w:tr w14:paraId="096649FA" w14:textId="77777777" w:rsidTr="00A35A43">
        <w:tblPrEx>
          <w:tblW w:w="0" w:type="auto"/>
          <w:tblInd w:w="552" w:type="dxa"/>
          <w:tblLayout w:type="fixed"/>
          <w:tblCellMar>
            <w:left w:w="0" w:type="dxa"/>
            <w:right w:w="0" w:type="dxa"/>
          </w:tblCellMar>
          <w:tblLook w:val="01E0"/>
        </w:tblPrEx>
        <w:trPr>
          <w:trHeight w:val="286"/>
        </w:trPr>
        <w:tc>
          <w:tcPr>
            <w:tcW w:w="14118" w:type="dxa"/>
            <w:gridSpan w:val="12"/>
          </w:tcPr>
          <w:p w:rsidR="003F5784" w14:paraId="6F396F0D" w14:textId="77777777">
            <w:pPr>
              <w:pStyle w:val="TableParagraph"/>
              <w:ind w:left="381"/>
              <w:jc w:val="left"/>
              <w:rPr>
                <w:i/>
                <w:sz w:val="21"/>
              </w:rPr>
            </w:pPr>
            <w:r>
              <w:rPr>
                <w:i/>
                <w:sz w:val="21"/>
              </w:rPr>
              <w:t>Trial</w:t>
            </w:r>
            <w:r>
              <w:rPr>
                <w:i/>
                <w:spacing w:val="-11"/>
                <w:sz w:val="21"/>
              </w:rPr>
              <w:t xml:space="preserve"> </w:t>
            </w:r>
            <w:r>
              <w:rPr>
                <w:i/>
                <w:sz w:val="21"/>
              </w:rPr>
              <w:t>Urban</w:t>
            </w:r>
            <w:r>
              <w:rPr>
                <w:i/>
                <w:spacing w:val="-11"/>
                <w:sz w:val="21"/>
              </w:rPr>
              <w:t xml:space="preserve"> </w:t>
            </w:r>
            <w:r>
              <w:rPr>
                <w:i/>
                <w:sz w:val="21"/>
              </w:rPr>
              <w:t>(TUDA)</w:t>
            </w:r>
            <w:r>
              <w:rPr>
                <w:i/>
                <w:spacing w:val="-10"/>
                <w:sz w:val="21"/>
              </w:rPr>
              <w:t xml:space="preserve"> </w:t>
            </w:r>
            <w:r>
              <w:rPr>
                <w:i/>
                <w:spacing w:val="-2"/>
                <w:sz w:val="21"/>
              </w:rPr>
              <w:t>Districts</w:t>
            </w:r>
          </w:p>
        </w:tc>
      </w:tr>
      <w:tr w14:paraId="5F3C3904"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34309FDD" w14:textId="77777777">
            <w:pPr>
              <w:pStyle w:val="TableParagraph"/>
              <w:ind w:left="120"/>
              <w:jc w:val="left"/>
              <w:rPr>
                <w:sz w:val="21"/>
              </w:rPr>
            </w:pPr>
            <w:r>
              <w:rPr>
                <w:spacing w:val="-2"/>
                <w:sz w:val="21"/>
              </w:rPr>
              <w:t>Albuquerque</w:t>
            </w:r>
          </w:p>
        </w:tc>
        <w:tc>
          <w:tcPr>
            <w:tcW w:w="1029" w:type="dxa"/>
            <w:gridSpan w:val="2"/>
          </w:tcPr>
          <w:p w:rsidR="003F5784" w14:paraId="4871A2EC" w14:textId="77777777">
            <w:pPr>
              <w:pStyle w:val="TableParagraph"/>
              <w:ind w:left="104" w:right="141"/>
              <w:jc w:val="center"/>
              <w:rPr>
                <w:sz w:val="21"/>
              </w:rPr>
            </w:pPr>
            <w:r>
              <w:rPr>
                <w:spacing w:val="-5"/>
                <w:sz w:val="21"/>
              </w:rPr>
              <w:t>40</w:t>
            </w:r>
          </w:p>
        </w:tc>
        <w:tc>
          <w:tcPr>
            <w:tcW w:w="2340" w:type="dxa"/>
          </w:tcPr>
          <w:p w:rsidR="003F5784" w14:paraId="4A841612" w14:textId="77777777">
            <w:pPr>
              <w:pStyle w:val="TableParagraph"/>
              <w:ind w:left="159" w:right="112"/>
              <w:jc w:val="center"/>
              <w:rPr>
                <w:sz w:val="21"/>
              </w:rPr>
            </w:pPr>
            <w:r>
              <w:rPr>
                <w:spacing w:val="-2"/>
                <w:sz w:val="21"/>
              </w:rPr>
              <w:t>100.00</w:t>
            </w:r>
          </w:p>
        </w:tc>
        <w:tc>
          <w:tcPr>
            <w:tcW w:w="1620" w:type="dxa"/>
          </w:tcPr>
          <w:p w:rsidR="003F5784" w14:paraId="484F7E50" w14:textId="77777777">
            <w:pPr>
              <w:pStyle w:val="TableParagraph"/>
              <w:ind w:right="386"/>
              <w:rPr>
                <w:sz w:val="21"/>
              </w:rPr>
            </w:pPr>
            <w:r>
              <w:rPr>
                <w:spacing w:val="-2"/>
                <w:sz w:val="21"/>
              </w:rPr>
              <w:t>100.00</w:t>
            </w:r>
          </w:p>
        </w:tc>
        <w:tc>
          <w:tcPr>
            <w:tcW w:w="1620" w:type="dxa"/>
            <w:gridSpan w:val="2"/>
          </w:tcPr>
          <w:p w:rsidR="003F5784" w14:paraId="2CADB1BC" w14:textId="77777777">
            <w:pPr>
              <w:pStyle w:val="TableParagraph"/>
              <w:ind w:right="462"/>
              <w:rPr>
                <w:sz w:val="21"/>
              </w:rPr>
            </w:pPr>
            <w:r>
              <w:rPr>
                <w:spacing w:val="-2"/>
                <w:sz w:val="21"/>
              </w:rPr>
              <w:t>1,100</w:t>
            </w:r>
          </w:p>
        </w:tc>
        <w:tc>
          <w:tcPr>
            <w:tcW w:w="1170" w:type="dxa"/>
          </w:tcPr>
          <w:p w:rsidR="003F5784" w14:paraId="1E8837A4" w14:textId="77777777">
            <w:pPr>
              <w:pStyle w:val="TableParagraph"/>
              <w:ind w:left="463"/>
              <w:jc w:val="left"/>
              <w:rPr>
                <w:sz w:val="21"/>
              </w:rPr>
            </w:pPr>
            <w:r>
              <w:rPr>
                <w:spacing w:val="-4"/>
                <w:sz w:val="21"/>
              </w:rPr>
              <w:t>0.56</w:t>
            </w:r>
          </w:p>
        </w:tc>
        <w:tc>
          <w:tcPr>
            <w:tcW w:w="1800" w:type="dxa"/>
            <w:gridSpan w:val="2"/>
          </w:tcPr>
          <w:p w:rsidR="003F5784" w14:paraId="6ACB46D9" w14:textId="77777777">
            <w:pPr>
              <w:pStyle w:val="TableParagraph"/>
              <w:ind w:right="22"/>
              <w:jc w:val="center"/>
              <w:rPr>
                <w:sz w:val="21"/>
              </w:rPr>
            </w:pPr>
            <w:r>
              <w:rPr>
                <w:spacing w:val="-2"/>
                <w:sz w:val="21"/>
              </w:rPr>
              <w:t>91.29</w:t>
            </w:r>
          </w:p>
        </w:tc>
        <w:tc>
          <w:tcPr>
            <w:tcW w:w="1620" w:type="dxa"/>
            <w:gridSpan w:val="2"/>
          </w:tcPr>
          <w:p w:rsidR="003F5784" w14:paraId="1369DC7C" w14:textId="77777777">
            <w:pPr>
              <w:pStyle w:val="TableParagraph"/>
              <w:ind w:right="118"/>
              <w:rPr>
                <w:sz w:val="21"/>
              </w:rPr>
            </w:pPr>
            <w:r>
              <w:rPr>
                <w:spacing w:val="-2"/>
                <w:sz w:val="21"/>
              </w:rPr>
              <w:t>18.75</w:t>
            </w:r>
          </w:p>
        </w:tc>
      </w:tr>
      <w:tr w14:paraId="3FBFE085"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24644298" w14:textId="77777777">
            <w:pPr>
              <w:pStyle w:val="TableParagraph"/>
              <w:ind w:left="120"/>
              <w:jc w:val="left"/>
              <w:rPr>
                <w:sz w:val="21"/>
              </w:rPr>
            </w:pPr>
            <w:r>
              <w:rPr>
                <w:spacing w:val="-2"/>
                <w:sz w:val="21"/>
              </w:rPr>
              <w:t>Atlanta</w:t>
            </w:r>
          </w:p>
        </w:tc>
        <w:tc>
          <w:tcPr>
            <w:tcW w:w="1029" w:type="dxa"/>
            <w:gridSpan w:val="2"/>
          </w:tcPr>
          <w:p w:rsidR="003F5784" w14:paraId="355B8987" w14:textId="77777777">
            <w:pPr>
              <w:pStyle w:val="TableParagraph"/>
              <w:ind w:left="104" w:right="141"/>
              <w:jc w:val="center"/>
              <w:rPr>
                <w:sz w:val="21"/>
              </w:rPr>
            </w:pPr>
            <w:r>
              <w:rPr>
                <w:spacing w:val="-5"/>
                <w:sz w:val="21"/>
              </w:rPr>
              <w:t>40</w:t>
            </w:r>
          </w:p>
        </w:tc>
        <w:tc>
          <w:tcPr>
            <w:tcW w:w="2340" w:type="dxa"/>
          </w:tcPr>
          <w:p w:rsidR="003F5784" w14:paraId="13B7BE63" w14:textId="77777777">
            <w:pPr>
              <w:pStyle w:val="TableParagraph"/>
              <w:ind w:left="159" w:right="112"/>
              <w:jc w:val="center"/>
              <w:rPr>
                <w:sz w:val="21"/>
              </w:rPr>
            </w:pPr>
            <w:r>
              <w:rPr>
                <w:spacing w:val="-2"/>
                <w:sz w:val="21"/>
              </w:rPr>
              <w:t>100.00</w:t>
            </w:r>
          </w:p>
        </w:tc>
        <w:tc>
          <w:tcPr>
            <w:tcW w:w="1620" w:type="dxa"/>
          </w:tcPr>
          <w:p w:rsidR="003F5784" w14:paraId="0B0F943D" w14:textId="77777777">
            <w:pPr>
              <w:pStyle w:val="TableParagraph"/>
              <w:ind w:right="386"/>
              <w:rPr>
                <w:sz w:val="21"/>
              </w:rPr>
            </w:pPr>
            <w:r>
              <w:rPr>
                <w:spacing w:val="-2"/>
                <w:sz w:val="21"/>
              </w:rPr>
              <w:t>100.00</w:t>
            </w:r>
          </w:p>
        </w:tc>
        <w:tc>
          <w:tcPr>
            <w:tcW w:w="1620" w:type="dxa"/>
            <w:gridSpan w:val="2"/>
          </w:tcPr>
          <w:p w:rsidR="003F5784" w14:paraId="6FB6AB71" w14:textId="77777777">
            <w:pPr>
              <w:pStyle w:val="TableParagraph"/>
              <w:ind w:right="462"/>
              <w:rPr>
                <w:sz w:val="21"/>
              </w:rPr>
            </w:pPr>
            <w:r>
              <w:rPr>
                <w:spacing w:val="-2"/>
                <w:sz w:val="21"/>
              </w:rPr>
              <w:t>1,100</w:t>
            </w:r>
          </w:p>
        </w:tc>
        <w:tc>
          <w:tcPr>
            <w:tcW w:w="1170" w:type="dxa"/>
          </w:tcPr>
          <w:p w:rsidR="003F5784" w14:paraId="4DDC1299" w14:textId="77777777">
            <w:pPr>
              <w:pStyle w:val="TableParagraph"/>
              <w:ind w:left="463"/>
              <w:jc w:val="left"/>
              <w:rPr>
                <w:sz w:val="21"/>
              </w:rPr>
            </w:pPr>
            <w:r>
              <w:rPr>
                <w:spacing w:val="-4"/>
                <w:sz w:val="21"/>
              </w:rPr>
              <w:t>0.87</w:t>
            </w:r>
          </w:p>
        </w:tc>
        <w:tc>
          <w:tcPr>
            <w:tcW w:w="1800" w:type="dxa"/>
            <w:gridSpan w:val="2"/>
          </w:tcPr>
          <w:p w:rsidR="003F5784" w14:paraId="0EC25DDD" w14:textId="77777777">
            <w:pPr>
              <w:pStyle w:val="TableParagraph"/>
              <w:ind w:right="22"/>
              <w:jc w:val="center"/>
              <w:rPr>
                <w:sz w:val="21"/>
              </w:rPr>
            </w:pPr>
            <w:r>
              <w:rPr>
                <w:spacing w:val="-2"/>
                <w:sz w:val="21"/>
              </w:rPr>
              <w:t>93.69</w:t>
            </w:r>
          </w:p>
        </w:tc>
        <w:tc>
          <w:tcPr>
            <w:tcW w:w="1620" w:type="dxa"/>
            <w:gridSpan w:val="2"/>
          </w:tcPr>
          <w:p w:rsidR="003F5784" w14:paraId="51979870" w14:textId="77777777">
            <w:pPr>
              <w:pStyle w:val="TableParagraph"/>
              <w:ind w:right="118"/>
              <w:rPr>
                <w:sz w:val="21"/>
              </w:rPr>
            </w:pPr>
            <w:r>
              <w:rPr>
                <w:spacing w:val="-2"/>
                <w:sz w:val="21"/>
              </w:rPr>
              <w:t>12.51</w:t>
            </w:r>
          </w:p>
        </w:tc>
      </w:tr>
      <w:tr w14:paraId="4BE9EDFF"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3F15345E" w14:textId="77777777">
            <w:pPr>
              <w:pStyle w:val="TableParagraph"/>
              <w:ind w:left="120"/>
              <w:jc w:val="left"/>
              <w:rPr>
                <w:sz w:val="21"/>
              </w:rPr>
            </w:pPr>
            <w:r>
              <w:rPr>
                <w:spacing w:val="-2"/>
                <w:sz w:val="21"/>
              </w:rPr>
              <w:t>Austin</w:t>
            </w:r>
          </w:p>
        </w:tc>
        <w:tc>
          <w:tcPr>
            <w:tcW w:w="1029" w:type="dxa"/>
            <w:gridSpan w:val="2"/>
          </w:tcPr>
          <w:p w:rsidR="003F5784" w14:paraId="2B86E320" w14:textId="77777777">
            <w:pPr>
              <w:pStyle w:val="TableParagraph"/>
              <w:ind w:left="104" w:right="141"/>
              <w:jc w:val="center"/>
              <w:rPr>
                <w:sz w:val="21"/>
              </w:rPr>
            </w:pPr>
            <w:r>
              <w:rPr>
                <w:spacing w:val="-5"/>
                <w:sz w:val="21"/>
              </w:rPr>
              <w:t>40</w:t>
            </w:r>
          </w:p>
        </w:tc>
        <w:tc>
          <w:tcPr>
            <w:tcW w:w="2340" w:type="dxa"/>
          </w:tcPr>
          <w:p w:rsidR="003F5784" w14:paraId="70C40875" w14:textId="77777777">
            <w:pPr>
              <w:pStyle w:val="TableParagraph"/>
              <w:ind w:left="159" w:right="112"/>
              <w:jc w:val="center"/>
              <w:rPr>
                <w:sz w:val="21"/>
              </w:rPr>
            </w:pPr>
            <w:r>
              <w:rPr>
                <w:spacing w:val="-2"/>
                <w:sz w:val="21"/>
              </w:rPr>
              <w:t>100.00</w:t>
            </w:r>
          </w:p>
        </w:tc>
        <w:tc>
          <w:tcPr>
            <w:tcW w:w="1620" w:type="dxa"/>
          </w:tcPr>
          <w:p w:rsidR="003F5784" w14:paraId="2B85556F" w14:textId="77777777">
            <w:pPr>
              <w:pStyle w:val="TableParagraph"/>
              <w:ind w:right="386"/>
              <w:rPr>
                <w:sz w:val="21"/>
              </w:rPr>
            </w:pPr>
            <w:r>
              <w:rPr>
                <w:spacing w:val="-2"/>
                <w:sz w:val="21"/>
              </w:rPr>
              <w:t>100.00</w:t>
            </w:r>
          </w:p>
        </w:tc>
        <w:tc>
          <w:tcPr>
            <w:tcW w:w="1620" w:type="dxa"/>
            <w:gridSpan w:val="2"/>
          </w:tcPr>
          <w:p w:rsidR="003F5784" w14:paraId="352B5094" w14:textId="77777777">
            <w:pPr>
              <w:pStyle w:val="TableParagraph"/>
              <w:ind w:right="462"/>
              <w:rPr>
                <w:sz w:val="21"/>
              </w:rPr>
            </w:pPr>
            <w:r>
              <w:rPr>
                <w:spacing w:val="-2"/>
                <w:sz w:val="21"/>
              </w:rPr>
              <w:t>1,200</w:t>
            </w:r>
          </w:p>
        </w:tc>
        <w:tc>
          <w:tcPr>
            <w:tcW w:w="1170" w:type="dxa"/>
          </w:tcPr>
          <w:p w:rsidR="003F5784" w14:paraId="59BEFBA8" w14:textId="77777777">
            <w:pPr>
              <w:pStyle w:val="TableParagraph"/>
              <w:ind w:left="463"/>
              <w:jc w:val="left"/>
              <w:rPr>
                <w:sz w:val="21"/>
              </w:rPr>
            </w:pPr>
            <w:r>
              <w:rPr>
                <w:spacing w:val="-4"/>
                <w:sz w:val="21"/>
              </w:rPr>
              <w:t>3.08</w:t>
            </w:r>
          </w:p>
        </w:tc>
        <w:tc>
          <w:tcPr>
            <w:tcW w:w="1800" w:type="dxa"/>
            <w:gridSpan w:val="2"/>
          </w:tcPr>
          <w:p w:rsidR="003F5784" w14:paraId="0EC93739" w14:textId="77777777">
            <w:pPr>
              <w:pStyle w:val="TableParagraph"/>
              <w:ind w:right="22"/>
              <w:jc w:val="center"/>
              <w:rPr>
                <w:sz w:val="21"/>
              </w:rPr>
            </w:pPr>
            <w:r>
              <w:rPr>
                <w:spacing w:val="-2"/>
                <w:sz w:val="21"/>
              </w:rPr>
              <w:t>87.96</w:t>
            </w:r>
          </w:p>
        </w:tc>
        <w:tc>
          <w:tcPr>
            <w:tcW w:w="1620" w:type="dxa"/>
            <w:gridSpan w:val="2"/>
          </w:tcPr>
          <w:p w:rsidR="003F5784" w14:paraId="58583B5B" w14:textId="77777777">
            <w:pPr>
              <w:pStyle w:val="TableParagraph"/>
              <w:ind w:right="118"/>
              <w:rPr>
                <w:sz w:val="21"/>
              </w:rPr>
            </w:pPr>
            <w:r>
              <w:rPr>
                <w:spacing w:val="-2"/>
                <w:sz w:val="21"/>
              </w:rPr>
              <w:t>30.02</w:t>
            </w:r>
          </w:p>
        </w:tc>
      </w:tr>
      <w:tr w14:paraId="5B71D170"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685C249A" w14:textId="77777777">
            <w:pPr>
              <w:pStyle w:val="TableParagraph"/>
              <w:ind w:left="120"/>
              <w:jc w:val="left"/>
              <w:rPr>
                <w:sz w:val="21"/>
              </w:rPr>
            </w:pPr>
            <w:r>
              <w:rPr>
                <w:sz w:val="21"/>
              </w:rPr>
              <w:t>Baltimore</w:t>
            </w:r>
            <w:r>
              <w:rPr>
                <w:spacing w:val="-10"/>
                <w:sz w:val="21"/>
              </w:rPr>
              <w:t xml:space="preserve"> </w:t>
            </w:r>
            <w:r>
              <w:rPr>
                <w:spacing w:val="-4"/>
                <w:sz w:val="21"/>
              </w:rPr>
              <w:t>City</w:t>
            </w:r>
          </w:p>
        </w:tc>
        <w:tc>
          <w:tcPr>
            <w:tcW w:w="1029" w:type="dxa"/>
            <w:gridSpan w:val="2"/>
          </w:tcPr>
          <w:p w:rsidR="003F5784" w14:paraId="31F52766" w14:textId="77777777">
            <w:pPr>
              <w:pStyle w:val="TableParagraph"/>
              <w:ind w:left="104" w:right="141"/>
              <w:jc w:val="center"/>
              <w:rPr>
                <w:sz w:val="21"/>
              </w:rPr>
            </w:pPr>
            <w:r>
              <w:rPr>
                <w:spacing w:val="-5"/>
                <w:sz w:val="21"/>
              </w:rPr>
              <w:t>50</w:t>
            </w:r>
          </w:p>
        </w:tc>
        <w:tc>
          <w:tcPr>
            <w:tcW w:w="2340" w:type="dxa"/>
          </w:tcPr>
          <w:p w:rsidR="003F5784" w14:paraId="24F54CC6" w14:textId="77777777">
            <w:pPr>
              <w:pStyle w:val="TableParagraph"/>
              <w:ind w:left="159" w:right="112"/>
              <w:jc w:val="center"/>
              <w:rPr>
                <w:sz w:val="21"/>
              </w:rPr>
            </w:pPr>
            <w:r>
              <w:rPr>
                <w:spacing w:val="-2"/>
                <w:sz w:val="21"/>
              </w:rPr>
              <w:t>100.00</w:t>
            </w:r>
          </w:p>
        </w:tc>
        <w:tc>
          <w:tcPr>
            <w:tcW w:w="1620" w:type="dxa"/>
          </w:tcPr>
          <w:p w:rsidR="003F5784" w14:paraId="718EFDCD" w14:textId="77777777">
            <w:pPr>
              <w:pStyle w:val="TableParagraph"/>
              <w:ind w:right="386"/>
              <w:rPr>
                <w:sz w:val="21"/>
              </w:rPr>
            </w:pPr>
            <w:r>
              <w:rPr>
                <w:spacing w:val="-2"/>
                <w:sz w:val="21"/>
              </w:rPr>
              <w:t>100.00</w:t>
            </w:r>
          </w:p>
        </w:tc>
        <w:tc>
          <w:tcPr>
            <w:tcW w:w="1620" w:type="dxa"/>
            <w:gridSpan w:val="2"/>
          </w:tcPr>
          <w:p w:rsidR="003F5784" w14:paraId="15AB9251" w14:textId="77777777">
            <w:pPr>
              <w:pStyle w:val="TableParagraph"/>
              <w:ind w:right="462"/>
              <w:rPr>
                <w:sz w:val="21"/>
              </w:rPr>
            </w:pPr>
            <w:r>
              <w:rPr>
                <w:spacing w:val="-2"/>
                <w:sz w:val="21"/>
              </w:rPr>
              <w:t>1,000</w:t>
            </w:r>
          </w:p>
        </w:tc>
        <w:tc>
          <w:tcPr>
            <w:tcW w:w="1170" w:type="dxa"/>
          </w:tcPr>
          <w:p w:rsidR="003F5784" w14:paraId="7218F62E" w14:textId="77777777">
            <w:pPr>
              <w:pStyle w:val="TableParagraph"/>
              <w:ind w:left="463"/>
              <w:jc w:val="left"/>
              <w:rPr>
                <w:sz w:val="21"/>
              </w:rPr>
            </w:pPr>
            <w:r>
              <w:rPr>
                <w:spacing w:val="-4"/>
                <w:sz w:val="21"/>
              </w:rPr>
              <w:t>1.39</w:t>
            </w:r>
          </w:p>
        </w:tc>
        <w:tc>
          <w:tcPr>
            <w:tcW w:w="1800" w:type="dxa"/>
            <w:gridSpan w:val="2"/>
          </w:tcPr>
          <w:p w:rsidR="003F5784" w14:paraId="42A92ADD" w14:textId="77777777">
            <w:pPr>
              <w:pStyle w:val="TableParagraph"/>
              <w:ind w:right="22"/>
              <w:jc w:val="center"/>
              <w:rPr>
                <w:sz w:val="21"/>
              </w:rPr>
            </w:pPr>
            <w:r>
              <w:rPr>
                <w:spacing w:val="-2"/>
                <w:sz w:val="21"/>
              </w:rPr>
              <w:t>89.82</w:t>
            </w:r>
          </w:p>
        </w:tc>
        <w:tc>
          <w:tcPr>
            <w:tcW w:w="1620" w:type="dxa"/>
            <w:gridSpan w:val="2"/>
          </w:tcPr>
          <w:p w:rsidR="003F5784" w14:paraId="6EDE2657" w14:textId="77777777">
            <w:pPr>
              <w:pStyle w:val="TableParagraph"/>
              <w:ind w:right="118"/>
              <w:rPr>
                <w:sz w:val="21"/>
              </w:rPr>
            </w:pPr>
            <w:r>
              <w:rPr>
                <w:spacing w:val="-2"/>
                <w:sz w:val="21"/>
              </w:rPr>
              <w:t>26.15</w:t>
            </w:r>
          </w:p>
        </w:tc>
      </w:tr>
      <w:tr w14:paraId="6DBB83EF"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387C9D04" w14:textId="77777777">
            <w:pPr>
              <w:pStyle w:val="TableParagraph"/>
              <w:ind w:left="120"/>
              <w:jc w:val="left"/>
              <w:rPr>
                <w:sz w:val="21"/>
              </w:rPr>
            </w:pPr>
            <w:r>
              <w:rPr>
                <w:spacing w:val="-2"/>
                <w:sz w:val="21"/>
              </w:rPr>
              <w:t>Boston</w:t>
            </w:r>
          </w:p>
        </w:tc>
        <w:tc>
          <w:tcPr>
            <w:tcW w:w="1029" w:type="dxa"/>
            <w:gridSpan w:val="2"/>
          </w:tcPr>
          <w:p w:rsidR="003F5784" w14:paraId="1FA06870" w14:textId="77777777">
            <w:pPr>
              <w:pStyle w:val="TableParagraph"/>
              <w:ind w:left="104" w:right="141"/>
              <w:jc w:val="center"/>
              <w:rPr>
                <w:sz w:val="21"/>
              </w:rPr>
            </w:pPr>
            <w:r>
              <w:rPr>
                <w:spacing w:val="-5"/>
                <w:sz w:val="21"/>
              </w:rPr>
              <w:t>50</w:t>
            </w:r>
          </w:p>
        </w:tc>
        <w:tc>
          <w:tcPr>
            <w:tcW w:w="2340" w:type="dxa"/>
          </w:tcPr>
          <w:p w:rsidR="003F5784" w14:paraId="67D35D30" w14:textId="77777777">
            <w:pPr>
              <w:pStyle w:val="TableParagraph"/>
              <w:ind w:left="159" w:right="112"/>
              <w:jc w:val="center"/>
              <w:rPr>
                <w:sz w:val="21"/>
              </w:rPr>
            </w:pPr>
            <w:r>
              <w:rPr>
                <w:spacing w:val="-2"/>
                <w:sz w:val="21"/>
              </w:rPr>
              <w:t>100.00</w:t>
            </w:r>
          </w:p>
        </w:tc>
        <w:tc>
          <w:tcPr>
            <w:tcW w:w="1620" w:type="dxa"/>
          </w:tcPr>
          <w:p w:rsidR="003F5784" w14:paraId="32AAE5BC" w14:textId="77777777">
            <w:pPr>
              <w:pStyle w:val="TableParagraph"/>
              <w:ind w:right="386"/>
              <w:rPr>
                <w:sz w:val="21"/>
              </w:rPr>
            </w:pPr>
            <w:r>
              <w:rPr>
                <w:spacing w:val="-2"/>
                <w:sz w:val="21"/>
              </w:rPr>
              <w:t>100.00</w:t>
            </w:r>
          </w:p>
        </w:tc>
        <w:tc>
          <w:tcPr>
            <w:tcW w:w="1620" w:type="dxa"/>
            <w:gridSpan w:val="2"/>
          </w:tcPr>
          <w:p w:rsidR="003F5784" w14:paraId="613C3B55" w14:textId="77777777">
            <w:pPr>
              <w:pStyle w:val="TableParagraph"/>
              <w:ind w:right="462"/>
              <w:rPr>
                <w:sz w:val="21"/>
              </w:rPr>
            </w:pPr>
            <w:r>
              <w:rPr>
                <w:spacing w:val="-2"/>
                <w:sz w:val="21"/>
              </w:rPr>
              <w:t>1,100</w:t>
            </w:r>
          </w:p>
        </w:tc>
        <w:tc>
          <w:tcPr>
            <w:tcW w:w="1170" w:type="dxa"/>
          </w:tcPr>
          <w:p w:rsidR="003F5784" w14:paraId="5EBD0425" w14:textId="77777777">
            <w:pPr>
              <w:pStyle w:val="TableParagraph"/>
              <w:ind w:left="463"/>
              <w:jc w:val="left"/>
              <w:rPr>
                <w:sz w:val="21"/>
              </w:rPr>
            </w:pPr>
            <w:r>
              <w:rPr>
                <w:spacing w:val="-4"/>
                <w:sz w:val="21"/>
              </w:rPr>
              <w:t>5.73</w:t>
            </w:r>
          </w:p>
        </w:tc>
        <w:tc>
          <w:tcPr>
            <w:tcW w:w="1800" w:type="dxa"/>
            <w:gridSpan w:val="2"/>
          </w:tcPr>
          <w:p w:rsidR="003F5784" w14:paraId="1454D83C" w14:textId="77777777">
            <w:pPr>
              <w:pStyle w:val="TableParagraph"/>
              <w:ind w:right="22"/>
              <w:jc w:val="center"/>
              <w:rPr>
                <w:sz w:val="21"/>
              </w:rPr>
            </w:pPr>
            <w:r>
              <w:rPr>
                <w:spacing w:val="-2"/>
                <w:sz w:val="21"/>
              </w:rPr>
              <w:t>90.83</w:t>
            </w:r>
          </w:p>
        </w:tc>
        <w:tc>
          <w:tcPr>
            <w:tcW w:w="1620" w:type="dxa"/>
            <w:gridSpan w:val="2"/>
          </w:tcPr>
          <w:p w:rsidR="003F5784" w14:paraId="15F832A4" w14:textId="77777777">
            <w:pPr>
              <w:pStyle w:val="TableParagraph"/>
              <w:ind w:right="118"/>
              <w:rPr>
                <w:sz w:val="21"/>
              </w:rPr>
            </w:pPr>
            <w:r>
              <w:rPr>
                <w:spacing w:val="-2"/>
                <w:sz w:val="21"/>
              </w:rPr>
              <w:t>19.29</w:t>
            </w:r>
          </w:p>
        </w:tc>
      </w:tr>
      <w:tr w14:paraId="3043B977"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4DC1572B" w14:textId="77777777">
            <w:pPr>
              <w:pStyle w:val="TableParagraph"/>
              <w:ind w:left="120"/>
              <w:jc w:val="left"/>
              <w:rPr>
                <w:sz w:val="21"/>
              </w:rPr>
            </w:pPr>
            <w:r>
              <w:rPr>
                <w:spacing w:val="-2"/>
                <w:sz w:val="21"/>
              </w:rPr>
              <w:t>Charlotte-Mecklenburg</w:t>
            </w:r>
          </w:p>
        </w:tc>
        <w:tc>
          <w:tcPr>
            <w:tcW w:w="1029" w:type="dxa"/>
            <w:gridSpan w:val="2"/>
          </w:tcPr>
          <w:p w:rsidR="003F5784" w14:paraId="0D39E377" w14:textId="77777777">
            <w:pPr>
              <w:pStyle w:val="TableParagraph"/>
              <w:ind w:left="104" w:right="141"/>
              <w:jc w:val="center"/>
              <w:rPr>
                <w:sz w:val="21"/>
              </w:rPr>
            </w:pPr>
            <w:r>
              <w:rPr>
                <w:spacing w:val="-5"/>
                <w:sz w:val="21"/>
              </w:rPr>
              <w:t>40</w:t>
            </w:r>
          </w:p>
        </w:tc>
        <w:tc>
          <w:tcPr>
            <w:tcW w:w="2340" w:type="dxa"/>
          </w:tcPr>
          <w:p w:rsidR="003F5784" w14:paraId="00D813B7" w14:textId="77777777">
            <w:pPr>
              <w:pStyle w:val="TableParagraph"/>
              <w:ind w:left="159" w:right="112"/>
              <w:jc w:val="center"/>
              <w:rPr>
                <w:sz w:val="21"/>
              </w:rPr>
            </w:pPr>
            <w:r>
              <w:rPr>
                <w:spacing w:val="-2"/>
                <w:sz w:val="21"/>
              </w:rPr>
              <w:t>100.00</w:t>
            </w:r>
          </w:p>
        </w:tc>
        <w:tc>
          <w:tcPr>
            <w:tcW w:w="1620" w:type="dxa"/>
          </w:tcPr>
          <w:p w:rsidR="003F5784" w14:paraId="7C7911E4" w14:textId="77777777">
            <w:pPr>
              <w:pStyle w:val="TableParagraph"/>
              <w:ind w:right="386"/>
              <w:rPr>
                <w:sz w:val="21"/>
              </w:rPr>
            </w:pPr>
            <w:r>
              <w:rPr>
                <w:spacing w:val="-2"/>
                <w:sz w:val="21"/>
              </w:rPr>
              <w:t>100.00</w:t>
            </w:r>
          </w:p>
        </w:tc>
        <w:tc>
          <w:tcPr>
            <w:tcW w:w="1620" w:type="dxa"/>
            <w:gridSpan w:val="2"/>
          </w:tcPr>
          <w:p w:rsidR="003F5784" w14:paraId="4BB063CC" w14:textId="77777777">
            <w:pPr>
              <w:pStyle w:val="TableParagraph"/>
              <w:ind w:right="462"/>
              <w:rPr>
                <w:sz w:val="21"/>
              </w:rPr>
            </w:pPr>
            <w:r>
              <w:rPr>
                <w:spacing w:val="-2"/>
                <w:sz w:val="21"/>
              </w:rPr>
              <w:t>1,100</w:t>
            </w:r>
          </w:p>
        </w:tc>
        <w:tc>
          <w:tcPr>
            <w:tcW w:w="1170" w:type="dxa"/>
          </w:tcPr>
          <w:p w:rsidR="003F5784" w14:paraId="48F153D0" w14:textId="77777777">
            <w:pPr>
              <w:pStyle w:val="TableParagraph"/>
              <w:ind w:left="463"/>
              <w:jc w:val="left"/>
              <w:rPr>
                <w:sz w:val="21"/>
              </w:rPr>
            </w:pPr>
            <w:r>
              <w:rPr>
                <w:spacing w:val="-4"/>
                <w:sz w:val="21"/>
              </w:rPr>
              <w:t>2.23</w:t>
            </w:r>
          </w:p>
        </w:tc>
        <w:tc>
          <w:tcPr>
            <w:tcW w:w="1800" w:type="dxa"/>
            <w:gridSpan w:val="2"/>
          </w:tcPr>
          <w:p w:rsidR="003F5784" w14:paraId="6D293012" w14:textId="77777777">
            <w:pPr>
              <w:pStyle w:val="TableParagraph"/>
              <w:ind w:right="22"/>
              <w:jc w:val="center"/>
              <w:rPr>
                <w:sz w:val="21"/>
              </w:rPr>
            </w:pPr>
            <w:r>
              <w:rPr>
                <w:spacing w:val="-2"/>
                <w:sz w:val="21"/>
              </w:rPr>
              <w:t>92.44</w:t>
            </w:r>
          </w:p>
        </w:tc>
        <w:tc>
          <w:tcPr>
            <w:tcW w:w="1620" w:type="dxa"/>
            <w:gridSpan w:val="2"/>
          </w:tcPr>
          <w:p w:rsidR="003F5784" w14:paraId="602616C0" w14:textId="77777777">
            <w:pPr>
              <w:pStyle w:val="TableParagraph"/>
              <w:ind w:right="118"/>
              <w:rPr>
                <w:sz w:val="21"/>
              </w:rPr>
            </w:pPr>
            <w:r>
              <w:rPr>
                <w:spacing w:val="-2"/>
                <w:sz w:val="21"/>
              </w:rPr>
              <w:t>12.53</w:t>
            </w:r>
          </w:p>
        </w:tc>
      </w:tr>
      <w:tr w14:paraId="15D61043"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312ECB6B" w14:textId="77777777">
            <w:pPr>
              <w:pStyle w:val="TableParagraph"/>
              <w:ind w:left="120"/>
              <w:jc w:val="left"/>
              <w:rPr>
                <w:sz w:val="21"/>
              </w:rPr>
            </w:pPr>
            <w:r>
              <w:rPr>
                <w:spacing w:val="-2"/>
                <w:sz w:val="21"/>
              </w:rPr>
              <w:t>Chicago</w:t>
            </w:r>
          </w:p>
        </w:tc>
        <w:tc>
          <w:tcPr>
            <w:tcW w:w="1029" w:type="dxa"/>
            <w:gridSpan w:val="2"/>
          </w:tcPr>
          <w:p w:rsidR="003F5784" w14:paraId="6B3EA2C2" w14:textId="77777777">
            <w:pPr>
              <w:pStyle w:val="TableParagraph"/>
              <w:ind w:left="104" w:right="141"/>
              <w:jc w:val="center"/>
              <w:rPr>
                <w:sz w:val="21"/>
              </w:rPr>
            </w:pPr>
            <w:r>
              <w:rPr>
                <w:spacing w:val="-5"/>
                <w:sz w:val="21"/>
              </w:rPr>
              <w:t>70</w:t>
            </w:r>
          </w:p>
        </w:tc>
        <w:tc>
          <w:tcPr>
            <w:tcW w:w="2340" w:type="dxa"/>
          </w:tcPr>
          <w:p w:rsidR="003F5784" w14:paraId="5CF6D2FA" w14:textId="77777777">
            <w:pPr>
              <w:pStyle w:val="TableParagraph"/>
              <w:ind w:left="159" w:right="112"/>
              <w:jc w:val="center"/>
              <w:rPr>
                <w:sz w:val="21"/>
              </w:rPr>
            </w:pPr>
            <w:r>
              <w:rPr>
                <w:spacing w:val="-2"/>
                <w:sz w:val="21"/>
              </w:rPr>
              <w:t>100.00</w:t>
            </w:r>
          </w:p>
        </w:tc>
        <w:tc>
          <w:tcPr>
            <w:tcW w:w="1620" w:type="dxa"/>
          </w:tcPr>
          <w:p w:rsidR="003F5784" w14:paraId="0408AD3F" w14:textId="77777777">
            <w:pPr>
              <w:pStyle w:val="TableParagraph"/>
              <w:ind w:right="386"/>
              <w:rPr>
                <w:sz w:val="21"/>
              </w:rPr>
            </w:pPr>
            <w:r>
              <w:rPr>
                <w:spacing w:val="-2"/>
                <w:sz w:val="21"/>
              </w:rPr>
              <w:t>100.00</w:t>
            </w:r>
          </w:p>
        </w:tc>
        <w:tc>
          <w:tcPr>
            <w:tcW w:w="1620" w:type="dxa"/>
            <w:gridSpan w:val="2"/>
          </w:tcPr>
          <w:p w:rsidR="003F5784" w14:paraId="5BEAF6FE" w14:textId="77777777">
            <w:pPr>
              <w:pStyle w:val="TableParagraph"/>
              <w:ind w:right="462"/>
              <w:rPr>
                <w:sz w:val="21"/>
              </w:rPr>
            </w:pPr>
            <w:r>
              <w:rPr>
                <w:spacing w:val="-2"/>
                <w:sz w:val="21"/>
              </w:rPr>
              <w:t>1,500</w:t>
            </w:r>
          </w:p>
        </w:tc>
        <w:tc>
          <w:tcPr>
            <w:tcW w:w="1170" w:type="dxa"/>
          </w:tcPr>
          <w:p w:rsidR="003F5784" w14:paraId="60125573" w14:textId="77777777">
            <w:pPr>
              <w:pStyle w:val="TableParagraph"/>
              <w:ind w:left="463"/>
              <w:jc w:val="left"/>
              <w:rPr>
                <w:sz w:val="21"/>
              </w:rPr>
            </w:pPr>
            <w:r>
              <w:rPr>
                <w:spacing w:val="-4"/>
                <w:sz w:val="21"/>
              </w:rPr>
              <w:t>2.85</w:t>
            </w:r>
          </w:p>
        </w:tc>
        <w:tc>
          <w:tcPr>
            <w:tcW w:w="1800" w:type="dxa"/>
            <w:gridSpan w:val="2"/>
          </w:tcPr>
          <w:p w:rsidR="003F5784" w14:paraId="3A64FB30" w14:textId="77777777">
            <w:pPr>
              <w:pStyle w:val="TableParagraph"/>
              <w:ind w:right="22"/>
              <w:jc w:val="center"/>
              <w:rPr>
                <w:sz w:val="21"/>
              </w:rPr>
            </w:pPr>
            <w:r>
              <w:rPr>
                <w:spacing w:val="-2"/>
                <w:sz w:val="21"/>
              </w:rPr>
              <w:t>90.39</w:t>
            </w:r>
          </w:p>
        </w:tc>
        <w:tc>
          <w:tcPr>
            <w:tcW w:w="1620" w:type="dxa"/>
            <w:gridSpan w:val="2"/>
          </w:tcPr>
          <w:p w:rsidR="003F5784" w14:paraId="4F05352E" w14:textId="77777777">
            <w:pPr>
              <w:pStyle w:val="TableParagraph"/>
              <w:ind w:right="118"/>
              <w:rPr>
                <w:sz w:val="21"/>
              </w:rPr>
            </w:pPr>
            <w:r>
              <w:rPr>
                <w:spacing w:val="-2"/>
                <w:sz w:val="21"/>
              </w:rPr>
              <w:t>23.41</w:t>
            </w:r>
          </w:p>
        </w:tc>
      </w:tr>
      <w:tr w14:paraId="76043585"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503A990E" w14:textId="77777777">
            <w:pPr>
              <w:pStyle w:val="TableParagraph"/>
              <w:ind w:left="120"/>
              <w:jc w:val="left"/>
              <w:rPr>
                <w:sz w:val="21"/>
              </w:rPr>
            </w:pPr>
            <w:r>
              <w:rPr>
                <w:sz w:val="21"/>
              </w:rPr>
              <w:t>Clark</w:t>
            </w:r>
            <w:r>
              <w:rPr>
                <w:spacing w:val="-7"/>
                <w:sz w:val="21"/>
              </w:rPr>
              <w:t xml:space="preserve"> </w:t>
            </w:r>
            <w:r>
              <w:rPr>
                <w:sz w:val="21"/>
              </w:rPr>
              <w:t>County</w:t>
            </w:r>
            <w:r>
              <w:rPr>
                <w:spacing w:val="-6"/>
                <w:sz w:val="21"/>
              </w:rPr>
              <w:t xml:space="preserve"> </w:t>
            </w:r>
            <w:r>
              <w:rPr>
                <w:spacing w:val="-4"/>
                <w:sz w:val="21"/>
              </w:rPr>
              <w:t>(NV)</w:t>
            </w:r>
          </w:p>
        </w:tc>
        <w:tc>
          <w:tcPr>
            <w:tcW w:w="1029" w:type="dxa"/>
            <w:gridSpan w:val="2"/>
          </w:tcPr>
          <w:p w:rsidR="003F5784" w14:paraId="730E8932" w14:textId="77777777">
            <w:pPr>
              <w:pStyle w:val="TableParagraph"/>
              <w:ind w:left="104" w:right="141"/>
              <w:jc w:val="center"/>
              <w:rPr>
                <w:sz w:val="21"/>
              </w:rPr>
            </w:pPr>
            <w:r>
              <w:rPr>
                <w:spacing w:val="-5"/>
                <w:sz w:val="21"/>
              </w:rPr>
              <w:t>60</w:t>
            </w:r>
          </w:p>
        </w:tc>
        <w:tc>
          <w:tcPr>
            <w:tcW w:w="2340" w:type="dxa"/>
          </w:tcPr>
          <w:p w:rsidR="003F5784" w14:paraId="0FB23E93" w14:textId="77777777">
            <w:pPr>
              <w:pStyle w:val="TableParagraph"/>
              <w:ind w:left="159" w:right="112"/>
              <w:jc w:val="center"/>
              <w:rPr>
                <w:sz w:val="21"/>
              </w:rPr>
            </w:pPr>
            <w:r>
              <w:rPr>
                <w:spacing w:val="-2"/>
                <w:sz w:val="21"/>
              </w:rPr>
              <w:t>100.00</w:t>
            </w:r>
          </w:p>
        </w:tc>
        <w:tc>
          <w:tcPr>
            <w:tcW w:w="1620" w:type="dxa"/>
          </w:tcPr>
          <w:p w:rsidR="003F5784" w14:paraId="4417472C" w14:textId="77777777">
            <w:pPr>
              <w:pStyle w:val="TableParagraph"/>
              <w:ind w:right="386"/>
              <w:rPr>
                <w:sz w:val="21"/>
              </w:rPr>
            </w:pPr>
            <w:r>
              <w:rPr>
                <w:spacing w:val="-2"/>
                <w:sz w:val="21"/>
              </w:rPr>
              <w:t>100.00</w:t>
            </w:r>
          </w:p>
        </w:tc>
        <w:tc>
          <w:tcPr>
            <w:tcW w:w="1620" w:type="dxa"/>
            <w:gridSpan w:val="2"/>
          </w:tcPr>
          <w:p w:rsidR="003F5784" w14:paraId="4C123E8C" w14:textId="77777777">
            <w:pPr>
              <w:pStyle w:val="TableParagraph"/>
              <w:ind w:right="462"/>
              <w:rPr>
                <w:sz w:val="21"/>
              </w:rPr>
            </w:pPr>
            <w:r>
              <w:rPr>
                <w:spacing w:val="-2"/>
                <w:sz w:val="21"/>
              </w:rPr>
              <w:t>1,600</w:t>
            </w:r>
          </w:p>
        </w:tc>
        <w:tc>
          <w:tcPr>
            <w:tcW w:w="1170" w:type="dxa"/>
          </w:tcPr>
          <w:p w:rsidR="003F5784" w14:paraId="72F65959" w14:textId="77777777">
            <w:pPr>
              <w:pStyle w:val="TableParagraph"/>
              <w:ind w:left="463"/>
              <w:jc w:val="left"/>
              <w:rPr>
                <w:sz w:val="21"/>
              </w:rPr>
            </w:pPr>
            <w:r>
              <w:rPr>
                <w:spacing w:val="-4"/>
                <w:sz w:val="21"/>
              </w:rPr>
              <w:t>1.16</w:t>
            </w:r>
          </w:p>
        </w:tc>
        <w:tc>
          <w:tcPr>
            <w:tcW w:w="1800" w:type="dxa"/>
            <w:gridSpan w:val="2"/>
          </w:tcPr>
          <w:p w:rsidR="003F5784" w14:paraId="6FCE9906" w14:textId="77777777">
            <w:pPr>
              <w:pStyle w:val="TableParagraph"/>
              <w:ind w:right="22"/>
              <w:jc w:val="center"/>
              <w:rPr>
                <w:sz w:val="21"/>
              </w:rPr>
            </w:pPr>
            <w:r>
              <w:rPr>
                <w:spacing w:val="-2"/>
                <w:sz w:val="21"/>
              </w:rPr>
              <w:t>92.17</w:t>
            </w:r>
          </w:p>
        </w:tc>
        <w:tc>
          <w:tcPr>
            <w:tcW w:w="1620" w:type="dxa"/>
            <w:gridSpan w:val="2"/>
          </w:tcPr>
          <w:p w:rsidR="003F5784" w14:paraId="63D17862" w14:textId="77777777">
            <w:pPr>
              <w:pStyle w:val="TableParagraph"/>
              <w:ind w:right="118"/>
              <w:rPr>
                <w:sz w:val="21"/>
              </w:rPr>
            </w:pPr>
            <w:r>
              <w:rPr>
                <w:spacing w:val="-4"/>
                <w:sz w:val="21"/>
              </w:rPr>
              <w:t>5.76</w:t>
            </w:r>
          </w:p>
        </w:tc>
      </w:tr>
      <w:tr w14:paraId="0FD22A1C"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1A861B11" w14:textId="77777777">
            <w:pPr>
              <w:pStyle w:val="TableParagraph"/>
              <w:ind w:left="120"/>
              <w:jc w:val="left"/>
              <w:rPr>
                <w:sz w:val="21"/>
              </w:rPr>
            </w:pPr>
            <w:r>
              <w:rPr>
                <w:spacing w:val="-2"/>
                <w:sz w:val="21"/>
              </w:rPr>
              <w:t>Cleveland</w:t>
            </w:r>
          </w:p>
        </w:tc>
        <w:tc>
          <w:tcPr>
            <w:tcW w:w="1029" w:type="dxa"/>
            <w:gridSpan w:val="2"/>
          </w:tcPr>
          <w:p w:rsidR="003F5784" w14:paraId="25C91672" w14:textId="77777777">
            <w:pPr>
              <w:pStyle w:val="TableParagraph"/>
              <w:ind w:left="104" w:right="141"/>
              <w:jc w:val="center"/>
              <w:rPr>
                <w:sz w:val="21"/>
              </w:rPr>
            </w:pPr>
            <w:r>
              <w:rPr>
                <w:spacing w:val="-5"/>
                <w:sz w:val="21"/>
              </w:rPr>
              <w:t>50</w:t>
            </w:r>
          </w:p>
        </w:tc>
        <w:tc>
          <w:tcPr>
            <w:tcW w:w="2340" w:type="dxa"/>
          </w:tcPr>
          <w:p w:rsidR="003F5784" w14:paraId="2E6EE0E4" w14:textId="77777777">
            <w:pPr>
              <w:pStyle w:val="TableParagraph"/>
              <w:ind w:left="159" w:right="112"/>
              <w:jc w:val="center"/>
              <w:rPr>
                <w:sz w:val="21"/>
              </w:rPr>
            </w:pPr>
            <w:r>
              <w:rPr>
                <w:spacing w:val="-2"/>
                <w:sz w:val="21"/>
              </w:rPr>
              <w:t>100.00</w:t>
            </w:r>
          </w:p>
        </w:tc>
        <w:tc>
          <w:tcPr>
            <w:tcW w:w="1620" w:type="dxa"/>
          </w:tcPr>
          <w:p w:rsidR="003F5784" w14:paraId="6EB65D9F" w14:textId="77777777">
            <w:pPr>
              <w:pStyle w:val="TableParagraph"/>
              <w:ind w:right="386"/>
              <w:rPr>
                <w:sz w:val="21"/>
              </w:rPr>
            </w:pPr>
            <w:r>
              <w:rPr>
                <w:spacing w:val="-2"/>
                <w:sz w:val="21"/>
              </w:rPr>
              <w:t>100.00</w:t>
            </w:r>
          </w:p>
        </w:tc>
        <w:tc>
          <w:tcPr>
            <w:tcW w:w="1620" w:type="dxa"/>
            <w:gridSpan w:val="2"/>
          </w:tcPr>
          <w:p w:rsidR="003F5784" w14:paraId="653291F3" w14:textId="77777777">
            <w:pPr>
              <w:pStyle w:val="TableParagraph"/>
              <w:ind w:right="462"/>
              <w:rPr>
                <w:sz w:val="21"/>
              </w:rPr>
            </w:pPr>
            <w:r>
              <w:rPr>
                <w:spacing w:val="-5"/>
                <w:sz w:val="21"/>
              </w:rPr>
              <w:t>900</w:t>
            </w:r>
          </w:p>
        </w:tc>
        <w:tc>
          <w:tcPr>
            <w:tcW w:w="1170" w:type="dxa"/>
          </w:tcPr>
          <w:p w:rsidR="003F5784" w14:paraId="6015F469" w14:textId="77777777">
            <w:pPr>
              <w:pStyle w:val="TableParagraph"/>
              <w:ind w:left="463"/>
              <w:jc w:val="left"/>
              <w:rPr>
                <w:sz w:val="21"/>
              </w:rPr>
            </w:pPr>
            <w:r>
              <w:rPr>
                <w:spacing w:val="-4"/>
                <w:sz w:val="21"/>
              </w:rPr>
              <w:t>2.55</w:t>
            </w:r>
          </w:p>
        </w:tc>
        <w:tc>
          <w:tcPr>
            <w:tcW w:w="1800" w:type="dxa"/>
            <w:gridSpan w:val="2"/>
          </w:tcPr>
          <w:p w:rsidR="003F5784" w14:paraId="454E57E1" w14:textId="77777777">
            <w:pPr>
              <w:pStyle w:val="TableParagraph"/>
              <w:ind w:right="22"/>
              <w:jc w:val="center"/>
              <w:rPr>
                <w:sz w:val="21"/>
              </w:rPr>
            </w:pPr>
            <w:r>
              <w:rPr>
                <w:spacing w:val="-2"/>
                <w:sz w:val="21"/>
              </w:rPr>
              <w:t>88.77</w:t>
            </w:r>
          </w:p>
        </w:tc>
        <w:tc>
          <w:tcPr>
            <w:tcW w:w="1620" w:type="dxa"/>
            <w:gridSpan w:val="2"/>
          </w:tcPr>
          <w:p w:rsidR="003F5784" w14:paraId="698E369E" w14:textId="77777777">
            <w:pPr>
              <w:pStyle w:val="TableParagraph"/>
              <w:ind w:right="118"/>
              <w:rPr>
                <w:sz w:val="21"/>
              </w:rPr>
            </w:pPr>
            <w:r>
              <w:rPr>
                <w:spacing w:val="-2"/>
                <w:sz w:val="21"/>
              </w:rPr>
              <w:t>24.26</w:t>
            </w:r>
          </w:p>
        </w:tc>
      </w:tr>
      <w:tr w14:paraId="6504A65C"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0CA63E6E" w14:textId="77777777">
            <w:pPr>
              <w:pStyle w:val="TableParagraph"/>
              <w:ind w:left="120"/>
              <w:jc w:val="left"/>
              <w:rPr>
                <w:sz w:val="21"/>
              </w:rPr>
            </w:pPr>
            <w:r>
              <w:rPr>
                <w:spacing w:val="-2"/>
                <w:sz w:val="21"/>
              </w:rPr>
              <w:t>Dallas</w:t>
            </w:r>
          </w:p>
        </w:tc>
        <w:tc>
          <w:tcPr>
            <w:tcW w:w="1029" w:type="dxa"/>
            <w:gridSpan w:val="2"/>
          </w:tcPr>
          <w:p w:rsidR="003F5784" w14:paraId="60B5B5A9" w14:textId="77777777">
            <w:pPr>
              <w:pStyle w:val="TableParagraph"/>
              <w:ind w:left="104" w:right="141"/>
              <w:jc w:val="center"/>
              <w:rPr>
                <w:sz w:val="21"/>
              </w:rPr>
            </w:pPr>
            <w:r>
              <w:rPr>
                <w:spacing w:val="-5"/>
                <w:sz w:val="21"/>
              </w:rPr>
              <w:t>40</w:t>
            </w:r>
          </w:p>
        </w:tc>
        <w:tc>
          <w:tcPr>
            <w:tcW w:w="2340" w:type="dxa"/>
          </w:tcPr>
          <w:p w:rsidR="003F5784" w14:paraId="3606FAF9" w14:textId="77777777">
            <w:pPr>
              <w:pStyle w:val="TableParagraph"/>
              <w:ind w:left="159" w:right="112"/>
              <w:jc w:val="center"/>
              <w:rPr>
                <w:sz w:val="21"/>
              </w:rPr>
            </w:pPr>
            <w:r>
              <w:rPr>
                <w:spacing w:val="-2"/>
                <w:sz w:val="21"/>
              </w:rPr>
              <w:t>100.00</w:t>
            </w:r>
          </w:p>
        </w:tc>
        <w:tc>
          <w:tcPr>
            <w:tcW w:w="1620" w:type="dxa"/>
          </w:tcPr>
          <w:p w:rsidR="003F5784" w14:paraId="44D6EF7C" w14:textId="77777777">
            <w:pPr>
              <w:pStyle w:val="TableParagraph"/>
              <w:ind w:right="386"/>
              <w:rPr>
                <w:sz w:val="21"/>
              </w:rPr>
            </w:pPr>
            <w:r>
              <w:rPr>
                <w:spacing w:val="-2"/>
                <w:sz w:val="21"/>
              </w:rPr>
              <w:t>100.00</w:t>
            </w:r>
          </w:p>
        </w:tc>
        <w:tc>
          <w:tcPr>
            <w:tcW w:w="1620" w:type="dxa"/>
            <w:gridSpan w:val="2"/>
          </w:tcPr>
          <w:p w:rsidR="003F5784" w14:paraId="04AE3766" w14:textId="77777777">
            <w:pPr>
              <w:pStyle w:val="TableParagraph"/>
              <w:ind w:right="462"/>
              <w:rPr>
                <w:sz w:val="21"/>
              </w:rPr>
            </w:pPr>
            <w:r>
              <w:rPr>
                <w:spacing w:val="-2"/>
                <w:sz w:val="21"/>
              </w:rPr>
              <w:t>1,000</w:t>
            </w:r>
          </w:p>
        </w:tc>
        <w:tc>
          <w:tcPr>
            <w:tcW w:w="1170" w:type="dxa"/>
          </w:tcPr>
          <w:p w:rsidR="003F5784" w14:paraId="2A90053E" w14:textId="77777777">
            <w:pPr>
              <w:pStyle w:val="TableParagraph"/>
              <w:ind w:left="463"/>
              <w:jc w:val="left"/>
              <w:rPr>
                <w:sz w:val="21"/>
              </w:rPr>
            </w:pPr>
            <w:r>
              <w:rPr>
                <w:spacing w:val="-4"/>
                <w:sz w:val="21"/>
              </w:rPr>
              <w:t>4.26</w:t>
            </w:r>
          </w:p>
        </w:tc>
        <w:tc>
          <w:tcPr>
            <w:tcW w:w="1800" w:type="dxa"/>
            <w:gridSpan w:val="2"/>
          </w:tcPr>
          <w:p w:rsidR="003F5784" w14:paraId="7225F669" w14:textId="77777777">
            <w:pPr>
              <w:pStyle w:val="TableParagraph"/>
              <w:ind w:right="22"/>
              <w:jc w:val="center"/>
              <w:rPr>
                <w:sz w:val="21"/>
              </w:rPr>
            </w:pPr>
            <w:r>
              <w:rPr>
                <w:spacing w:val="-2"/>
                <w:sz w:val="21"/>
              </w:rPr>
              <w:t>91.71</w:t>
            </w:r>
          </w:p>
        </w:tc>
        <w:tc>
          <w:tcPr>
            <w:tcW w:w="1620" w:type="dxa"/>
            <w:gridSpan w:val="2"/>
          </w:tcPr>
          <w:p w:rsidR="003F5784" w14:paraId="356B00A6" w14:textId="77777777">
            <w:pPr>
              <w:pStyle w:val="TableParagraph"/>
              <w:ind w:right="118"/>
              <w:rPr>
                <w:sz w:val="21"/>
              </w:rPr>
            </w:pPr>
            <w:r>
              <w:rPr>
                <w:spacing w:val="-2"/>
                <w:sz w:val="21"/>
              </w:rPr>
              <w:t>38.46</w:t>
            </w:r>
          </w:p>
        </w:tc>
      </w:tr>
      <w:tr w14:paraId="2C006398"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7E6F1140" w14:textId="77777777">
            <w:pPr>
              <w:pStyle w:val="TableParagraph"/>
              <w:ind w:left="120"/>
              <w:jc w:val="left"/>
              <w:rPr>
                <w:sz w:val="21"/>
              </w:rPr>
            </w:pPr>
            <w:r>
              <w:rPr>
                <w:spacing w:val="-2"/>
                <w:sz w:val="21"/>
              </w:rPr>
              <w:t>Denver</w:t>
            </w:r>
          </w:p>
        </w:tc>
        <w:tc>
          <w:tcPr>
            <w:tcW w:w="1029" w:type="dxa"/>
            <w:gridSpan w:val="2"/>
          </w:tcPr>
          <w:p w:rsidR="003F5784" w14:paraId="05F5D1CB" w14:textId="77777777">
            <w:pPr>
              <w:pStyle w:val="TableParagraph"/>
              <w:ind w:left="104" w:right="141"/>
              <w:jc w:val="center"/>
              <w:rPr>
                <w:sz w:val="21"/>
              </w:rPr>
            </w:pPr>
            <w:r>
              <w:rPr>
                <w:spacing w:val="-5"/>
                <w:sz w:val="21"/>
              </w:rPr>
              <w:t>40</w:t>
            </w:r>
          </w:p>
        </w:tc>
        <w:tc>
          <w:tcPr>
            <w:tcW w:w="2340" w:type="dxa"/>
          </w:tcPr>
          <w:p w:rsidR="003F5784" w14:paraId="427E10DE" w14:textId="77777777">
            <w:pPr>
              <w:pStyle w:val="TableParagraph"/>
              <w:ind w:left="159" w:right="112"/>
              <w:jc w:val="center"/>
              <w:rPr>
                <w:sz w:val="21"/>
              </w:rPr>
            </w:pPr>
            <w:r>
              <w:rPr>
                <w:spacing w:val="-2"/>
                <w:sz w:val="21"/>
              </w:rPr>
              <w:t>100.00</w:t>
            </w:r>
          </w:p>
        </w:tc>
        <w:tc>
          <w:tcPr>
            <w:tcW w:w="1620" w:type="dxa"/>
          </w:tcPr>
          <w:p w:rsidR="003F5784" w14:paraId="7959F05C" w14:textId="77777777">
            <w:pPr>
              <w:pStyle w:val="TableParagraph"/>
              <w:ind w:right="386"/>
              <w:rPr>
                <w:sz w:val="21"/>
              </w:rPr>
            </w:pPr>
            <w:r>
              <w:rPr>
                <w:spacing w:val="-2"/>
                <w:sz w:val="21"/>
              </w:rPr>
              <w:t>100.00</w:t>
            </w:r>
          </w:p>
        </w:tc>
        <w:tc>
          <w:tcPr>
            <w:tcW w:w="1620" w:type="dxa"/>
            <w:gridSpan w:val="2"/>
          </w:tcPr>
          <w:p w:rsidR="003F5784" w14:paraId="0A66DFDA" w14:textId="77777777">
            <w:pPr>
              <w:pStyle w:val="TableParagraph"/>
              <w:ind w:right="462"/>
              <w:rPr>
                <w:sz w:val="21"/>
              </w:rPr>
            </w:pPr>
            <w:r>
              <w:rPr>
                <w:spacing w:val="-2"/>
                <w:sz w:val="21"/>
              </w:rPr>
              <w:t>1,100</w:t>
            </w:r>
          </w:p>
        </w:tc>
        <w:tc>
          <w:tcPr>
            <w:tcW w:w="1170" w:type="dxa"/>
          </w:tcPr>
          <w:p w:rsidR="003F5784" w14:paraId="27A66D5D" w14:textId="77777777">
            <w:pPr>
              <w:pStyle w:val="TableParagraph"/>
              <w:ind w:left="463"/>
              <w:jc w:val="left"/>
              <w:rPr>
                <w:sz w:val="21"/>
              </w:rPr>
            </w:pPr>
            <w:r>
              <w:rPr>
                <w:spacing w:val="-4"/>
                <w:sz w:val="21"/>
              </w:rPr>
              <w:t>2.16</w:t>
            </w:r>
          </w:p>
        </w:tc>
        <w:tc>
          <w:tcPr>
            <w:tcW w:w="1800" w:type="dxa"/>
            <w:gridSpan w:val="2"/>
          </w:tcPr>
          <w:p w:rsidR="003F5784" w14:paraId="36BE40FB" w14:textId="77777777">
            <w:pPr>
              <w:pStyle w:val="TableParagraph"/>
              <w:ind w:right="22"/>
              <w:jc w:val="center"/>
              <w:rPr>
                <w:sz w:val="21"/>
              </w:rPr>
            </w:pPr>
            <w:r>
              <w:rPr>
                <w:spacing w:val="-2"/>
                <w:sz w:val="21"/>
              </w:rPr>
              <w:t>88.86</w:t>
            </w:r>
          </w:p>
        </w:tc>
        <w:tc>
          <w:tcPr>
            <w:tcW w:w="1620" w:type="dxa"/>
            <w:gridSpan w:val="2"/>
          </w:tcPr>
          <w:p w:rsidR="003F5784" w14:paraId="3BCFBFDD" w14:textId="77777777">
            <w:pPr>
              <w:pStyle w:val="TableParagraph"/>
              <w:ind w:right="118"/>
              <w:rPr>
                <w:sz w:val="21"/>
              </w:rPr>
            </w:pPr>
            <w:r>
              <w:rPr>
                <w:spacing w:val="-2"/>
                <w:sz w:val="21"/>
              </w:rPr>
              <w:t>15.39</w:t>
            </w:r>
          </w:p>
        </w:tc>
      </w:tr>
      <w:tr w14:paraId="5F3157ED"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25F97DAF" w14:textId="77777777">
            <w:pPr>
              <w:pStyle w:val="TableParagraph"/>
              <w:ind w:left="120"/>
              <w:jc w:val="left"/>
              <w:rPr>
                <w:sz w:val="21"/>
              </w:rPr>
            </w:pPr>
            <w:r>
              <w:rPr>
                <w:spacing w:val="-2"/>
                <w:sz w:val="21"/>
              </w:rPr>
              <w:t>Detroit</w:t>
            </w:r>
          </w:p>
        </w:tc>
        <w:tc>
          <w:tcPr>
            <w:tcW w:w="1029" w:type="dxa"/>
            <w:gridSpan w:val="2"/>
          </w:tcPr>
          <w:p w:rsidR="003F5784" w14:paraId="6F5776A4" w14:textId="77777777">
            <w:pPr>
              <w:pStyle w:val="TableParagraph"/>
              <w:ind w:left="104" w:right="141"/>
              <w:jc w:val="center"/>
              <w:rPr>
                <w:sz w:val="21"/>
              </w:rPr>
            </w:pPr>
            <w:r>
              <w:rPr>
                <w:spacing w:val="-5"/>
                <w:sz w:val="21"/>
              </w:rPr>
              <w:t>40</w:t>
            </w:r>
          </w:p>
        </w:tc>
        <w:tc>
          <w:tcPr>
            <w:tcW w:w="2340" w:type="dxa"/>
          </w:tcPr>
          <w:p w:rsidR="003F5784" w14:paraId="096F6A24" w14:textId="77777777">
            <w:pPr>
              <w:pStyle w:val="TableParagraph"/>
              <w:ind w:left="159" w:right="112"/>
              <w:jc w:val="center"/>
              <w:rPr>
                <w:sz w:val="21"/>
              </w:rPr>
            </w:pPr>
            <w:r>
              <w:rPr>
                <w:spacing w:val="-2"/>
                <w:sz w:val="21"/>
              </w:rPr>
              <w:t>100.00</w:t>
            </w:r>
          </w:p>
        </w:tc>
        <w:tc>
          <w:tcPr>
            <w:tcW w:w="1620" w:type="dxa"/>
          </w:tcPr>
          <w:p w:rsidR="003F5784" w14:paraId="1247A499" w14:textId="77777777">
            <w:pPr>
              <w:pStyle w:val="TableParagraph"/>
              <w:ind w:right="386"/>
              <w:rPr>
                <w:sz w:val="21"/>
              </w:rPr>
            </w:pPr>
            <w:r>
              <w:rPr>
                <w:spacing w:val="-2"/>
                <w:sz w:val="21"/>
              </w:rPr>
              <w:t>100.00</w:t>
            </w:r>
          </w:p>
        </w:tc>
        <w:tc>
          <w:tcPr>
            <w:tcW w:w="1620" w:type="dxa"/>
            <w:gridSpan w:val="2"/>
          </w:tcPr>
          <w:p w:rsidR="003F5784" w14:paraId="618239ED" w14:textId="77777777">
            <w:pPr>
              <w:pStyle w:val="TableParagraph"/>
              <w:ind w:right="462"/>
              <w:rPr>
                <w:sz w:val="21"/>
              </w:rPr>
            </w:pPr>
            <w:r>
              <w:rPr>
                <w:spacing w:val="-2"/>
                <w:sz w:val="21"/>
              </w:rPr>
              <w:t>1,100</w:t>
            </w:r>
          </w:p>
        </w:tc>
        <w:tc>
          <w:tcPr>
            <w:tcW w:w="1170" w:type="dxa"/>
          </w:tcPr>
          <w:p w:rsidR="003F5784" w14:paraId="5BF529B7" w14:textId="77777777">
            <w:pPr>
              <w:pStyle w:val="TableParagraph"/>
              <w:ind w:left="470"/>
              <w:jc w:val="left"/>
              <w:rPr>
                <w:sz w:val="21"/>
              </w:rPr>
            </w:pPr>
            <w:r>
              <w:rPr>
                <w:spacing w:val="-4"/>
                <w:sz w:val="21"/>
              </w:rPr>
              <w:t>4.11</w:t>
            </w:r>
          </w:p>
        </w:tc>
        <w:tc>
          <w:tcPr>
            <w:tcW w:w="1800" w:type="dxa"/>
            <w:gridSpan w:val="2"/>
          </w:tcPr>
          <w:p w:rsidR="003F5784" w14:paraId="674E2B8B" w14:textId="77777777">
            <w:pPr>
              <w:pStyle w:val="TableParagraph"/>
              <w:ind w:right="22"/>
              <w:jc w:val="center"/>
              <w:rPr>
                <w:sz w:val="21"/>
              </w:rPr>
            </w:pPr>
            <w:r>
              <w:rPr>
                <w:spacing w:val="-2"/>
                <w:sz w:val="21"/>
              </w:rPr>
              <w:t>89.97</w:t>
            </w:r>
          </w:p>
        </w:tc>
        <w:tc>
          <w:tcPr>
            <w:tcW w:w="1620" w:type="dxa"/>
            <w:gridSpan w:val="2"/>
          </w:tcPr>
          <w:p w:rsidR="003F5784" w14:paraId="3CE95A13" w14:textId="77777777">
            <w:pPr>
              <w:pStyle w:val="TableParagraph"/>
              <w:ind w:right="118"/>
              <w:rPr>
                <w:sz w:val="21"/>
              </w:rPr>
            </w:pPr>
            <w:r>
              <w:rPr>
                <w:spacing w:val="-4"/>
                <w:sz w:val="21"/>
              </w:rPr>
              <w:t>7.55</w:t>
            </w:r>
          </w:p>
        </w:tc>
      </w:tr>
      <w:tr w14:paraId="0C87FC6F"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030714D0" w14:textId="77777777">
            <w:pPr>
              <w:pStyle w:val="TableParagraph"/>
              <w:ind w:left="120"/>
              <w:jc w:val="left"/>
              <w:rPr>
                <w:sz w:val="21"/>
              </w:rPr>
            </w:pPr>
            <w:r>
              <w:rPr>
                <w:sz w:val="21"/>
              </w:rPr>
              <w:t>Duval</w:t>
            </w:r>
            <w:r>
              <w:rPr>
                <w:spacing w:val="-7"/>
                <w:sz w:val="21"/>
              </w:rPr>
              <w:t xml:space="preserve"> </w:t>
            </w:r>
            <w:r>
              <w:rPr>
                <w:sz w:val="21"/>
              </w:rPr>
              <w:t>County</w:t>
            </w:r>
            <w:r>
              <w:rPr>
                <w:spacing w:val="-7"/>
                <w:sz w:val="21"/>
              </w:rPr>
              <w:t xml:space="preserve"> </w:t>
            </w:r>
            <w:r>
              <w:rPr>
                <w:spacing w:val="-4"/>
                <w:sz w:val="21"/>
              </w:rPr>
              <w:t>(FL)</w:t>
            </w:r>
          </w:p>
        </w:tc>
        <w:tc>
          <w:tcPr>
            <w:tcW w:w="1029" w:type="dxa"/>
            <w:gridSpan w:val="2"/>
          </w:tcPr>
          <w:p w:rsidR="003F5784" w14:paraId="41B630C0" w14:textId="77777777">
            <w:pPr>
              <w:pStyle w:val="TableParagraph"/>
              <w:ind w:left="104" w:right="141"/>
              <w:jc w:val="center"/>
              <w:rPr>
                <w:sz w:val="21"/>
              </w:rPr>
            </w:pPr>
            <w:r>
              <w:rPr>
                <w:spacing w:val="-5"/>
                <w:sz w:val="21"/>
              </w:rPr>
              <w:t>40</w:t>
            </w:r>
          </w:p>
        </w:tc>
        <w:tc>
          <w:tcPr>
            <w:tcW w:w="2340" w:type="dxa"/>
          </w:tcPr>
          <w:p w:rsidR="003F5784" w14:paraId="057910A5" w14:textId="77777777">
            <w:pPr>
              <w:pStyle w:val="TableParagraph"/>
              <w:ind w:left="159" w:right="112"/>
              <w:jc w:val="center"/>
              <w:rPr>
                <w:sz w:val="21"/>
              </w:rPr>
            </w:pPr>
            <w:r>
              <w:rPr>
                <w:spacing w:val="-2"/>
                <w:sz w:val="21"/>
              </w:rPr>
              <w:t>100.00</w:t>
            </w:r>
          </w:p>
        </w:tc>
        <w:tc>
          <w:tcPr>
            <w:tcW w:w="1620" w:type="dxa"/>
          </w:tcPr>
          <w:p w:rsidR="003F5784" w14:paraId="10803AB9" w14:textId="77777777">
            <w:pPr>
              <w:pStyle w:val="TableParagraph"/>
              <w:ind w:right="386"/>
              <w:rPr>
                <w:sz w:val="21"/>
              </w:rPr>
            </w:pPr>
            <w:r>
              <w:rPr>
                <w:spacing w:val="-2"/>
                <w:sz w:val="21"/>
              </w:rPr>
              <w:t>100.00</w:t>
            </w:r>
          </w:p>
        </w:tc>
        <w:tc>
          <w:tcPr>
            <w:tcW w:w="1620" w:type="dxa"/>
            <w:gridSpan w:val="2"/>
          </w:tcPr>
          <w:p w:rsidR="003F5784" w14:paraId="22598833" w14:textId="77777777">
            <w:pPr>
              <w:pStyle w:val="TableParagraph"/>
              <w:ind w:right="462"/>
              <w:rPr>
                <w:sz w:val="21"/>
              </w:rPr>
            </w:pPr>
            <w:r>
              <w:rPr>
                <w:spacing w:val="-2"/>
                <w:sz w:val="21"/>
              </w:rPr>
              <w:t>1,100</w:t>
            </w:r>
          </w:p>
        </w:tc>
        <w:tc>
          <w:tcPr>
            <w:tcW w:w="1170" w:type="dxa"/>
          </w:tcPr>
          <w:p w:rsidR="003F5784" w14:paraId="5FCAE0D2" w14:textId="77777777">
            <w:pPr>
              <w:pStyle w:val="TableParagraph"/>
              <w:ind w:left="463"/>
              <w:jc w:val="left"/>
              <w:rPr>
                <w:sz w:val="21"/>
              </w:rPr>
            </w:pPr>
            <w:r>
              <w:rPr>
                <w:spacing w:val="-4"/>
                <w:sz w:val="21"/>
              </w:rPr>
              <w:t>2.07</w:t>
            </w:r>
          </w:p>
        </w:tc>
        <w:tc>
          <w:tcPr>
            <w:tcW w:w="1800" w:type="dxa"/>
            <w:gridSpan w:val="2"/>
          </w:tcPr>
          <w:p w:rsidR="003F5784" w14:paraId="051FBF65" w14:textId="77777777">
            <w:pPr>
              <w:pStyle w:val="TableParagraph"/>
              <w:ind w:right="22"/>
              <w:jc w:val="center"/>
              <w:rPr>
                <w:sz w:val="21"/>
              </w:rPr>
            </w:pPr>
            <w:r>
              <w:rPr>
                <w:spacing w:val="-2"/>
                <w:sz w:val="21"/>
              </w:rPr>
              <w:t>91.75</w:t>
            </w:r>
          </w:p>
        </w:tc>
        <w:tc>
          <w:tcPr>
            <w:tcW w:w="1620" w:type="dxa"/>
            <w:gridSpan w:val="2"/>
          </w:tcPr>
          <w:p w:rsidR="003F5784" w14:paraId="2DFE36C5" w14:textId="77777777">
            <w:pPr>
              <w:pStyle w:val="TableParagraph"/>
              <w:ind w:right="118"/>
              <w:rPr>
                <w:sz w:val="21"/>
              </w:rPr>
            </w:pPr>
            <w:r>
              <w:rPr>
                <w:spacing w:val="-2"/>
                <w:sz w:val="21"/>
              </w:rPr>
              <w:t>23.97</w:t>
            </w:r>
          </w:p>
        </w:tc>
      </w:tr>
      <w:tr w14:paraId="52496E47"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57EBF222" w14:textId="77777777">
            <w:pPr>
              <w:pStyle w:val="TableParagraph"/>
              <w:ind w:left="120"/>
              <w:jc w:val="left"/>
              <w:rPr>
                <w:sz w:val="21"/>
              </w:rPr>
            </w:pPr>
            <w:r>
              <w:rPr>
                <w:sz w:val="21"/>
              </w:rPr>
              <w:t>Fort</w:t>
            </w:r>
            <w:r>
              <w:rPr>
                <w:spacing w:val="-9"/>
                <w:sz w:val="21"/>
              </w:rPr>
              <w:t xml:space="preserve"> </w:t>
            </w:r>
            <w:r>
              <w:rPr>
                <w:spacing w:val="-2"/>
                <w:sz w:val="21"/>
              </w:rPr>
              <w:t>Worth</w:t>
            </w:r>
          </w:p>
        </w:tc>
        <w:tc>
          <w:tcPr>
            <w:tcW w:w="1029" w:type="dxa"/>
            <w:gridSpan w:val="2"/>
          </w:tcPr>
          <w:p w:rsidR="003F5784" w14:paraId="11B4EAF4" w14:textId="77777777">
            <w:pPr>
              <w:pStyle w:val="TableParagraph"/>
              <w:ind w:left="104" w:right="141"/>
              <w:jc w:val="center"/>
              <w:rPr>
                <w:sz w:val="21"/>
              </w:rPr>
            </w:pPr>
            <w:r>
              <w:rPr>
                <w:spacing w:val="-5"/>
                <w:sz w:val="21"/>
              </w:rPr>
              <w:t>40</w:t>
            </w:r>
          </w:p>
        </w:tc>
        <w:tc>
          <w:tcPr>
            <w:tcW w:w="2340" w:type="dxa"/>
          </w:tcPr>
          <w:p w:rsidR="003F5784" w14:paraId="64A65BFE" w14:textId="77777777">
            <w:pPr>
              <w:pStyle w:val="TableParagraph"/>
              <w:ind w:left="159" w:right="112"/>
              <w:jc w:val="center"/>
              <w:rPr>
                <w:sz w:val="21"/>
              </w:rPr>
            </w:pPr>
            <w:r>
              <w:rPr>
                <w:spacing w:val="-2"/>
                <w:sz w:val="21"/>
              </w:rPr>
              <w:t>100.00</w:t>
            </w:r>
          </w:p>
        </w:tc>
        <w:tc>
          <w:tcPr>
            <w:tcW w:w="1620" w:type="dxa"/>
          </w:tcPr>
          <w:p w:rsidR="003F5784" w14:paraId="5D2418CE" w14:textId="77777777">
            <w:pPr>
              <w:pStyle w:val="TableParagraph"/>
              <w:ind w:right="386"/>
              <w:rPr>
                <w:sz w:val="21"/>
              </w:rPr>
            </w:pPr>
            <w:r>
              <w:rPr>
                <w:spacing w:val="-2"/>
                <w:sz w:val="21"/>
              </w:rPr>
              <w:t>100.00</w:t>
            </w:r>
          </w:p>
        </w:tc>
        <w:tc>
          <w:tcPr>
            <w:tcW w:w="1620" w:type="dxa"/>
            <w:gridSpan w:val="2"/>
          </w:tcPr>
          <w:p w:rsidR="003F5784" w14:paraId="4CD88880" w14:textId="77777777">
            <w:pPr>
              <w:pStyle w:val="TableParagraph"/>
              <w:ind w:right="462"/>
              <w:rPr>
                <w:sz w:val="21"/>
              </w:rPr>
            </w:pPr>
            <w:r>
              <w:rPr>
                <w:spacing w:val="-2"/>
                <w:sz w:val="21"/>
              </w:rPr>
              <w:t>1,100</w:t>
            </w:r>
          </w:p>
        </w:tc>
        <w:tc>
          <w:tcPr>
            <w:tcW w:w="1170" w:type="dxa"/>
          </w:tcPr>
          <w:p w:rsidR="003F5784" w14:paraId="29F98565" w14:textId="77777777">
            <w:pPr>
              <w:pStyle w:val="TableParagraph"/>
              <w:ind w:left="463"/>
              <w:jc w:val="left"/>
              <w:rPr>
                <w:sz w:val="21"/>
              </w:rPr>
            </w:pPr>
            <w:r>
              <w:rPr>
                <w:spacing w:val="-4"/>
                <w:sz w:val="21"/>
              </w:rPr>
              <w:t>2.26</w:t>
            </w:r>
          </w:p>
        </w:tc>
        <w:tc>
          <w:tcPr>
            <w:tcW w:w="1800" w:type="dxa"/>
            <w:gridSpan w:val="2"/>
          </w:tcPr>
          <w:p w:rsidR="003F5784" w14:paraId="647F46EF" w14:textId="77777777">
            <w:pPr>
              <w:pStyle w:val="TableParagraph"/>
              <w:ind w:left="8" w:right="22"/>
              <w:jc w:val="center"/>
              <w:rPr>
                <w:sz w:val="21"/>
              </w:rPr>
            </w:pPr>
            <w:r>
              <w:rPr>
                <w:spacing w:val="-2"/>
                <w:sz w:val="21"/>
              </w:rPr>
              <w:t>93.11</w:t>
            </w:r>
          </w:p>
        </w:tc>
        <w:tc>
          <w:tcPr>
            <w:tcW w:w="1620" w:type="dxa"/>
            <w:gridSpan w:val="2"/>
          </w:tcPr>
          <w:p w:rsidR="003F5784" w14:paraId="01D13776" w14:textId="77777777">
            <w:pPr>
              <w:pStyle w:val="TableParagraph"/>
              <w:ind w:right="118"/>
              <w:rPr>
                <w:sz w:val="21"/>
              </w:rPr>
            </w:pPr>
            <w:r>
              <w:rPr>
                <w:spacing w:val="-2"/>
                <w:sz w:val="21"/>
              </w:rPr>
              <w:t>18.16</w:t>
            </w:r>
          </w:p>
        </w:tc>
      </w:tr>
      <w:tr w14:paraId="726D07E9"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66186D6A" w14:textId="77777777">
            <w:pPr>
              <w:pStyle w:val="TableParagraph"/>
              <w:ind w:left="120"/>
              <w:jc w:val="left"/>
              <w:rPr>
                <w:sz w:val="21"/>
              </w:rPr>
            </w:pPr>
            <w:r>
              <w:rPr>
                <w:sz w:val="21"/>
              </w:rPr>
              <w:t>Guilford</w:t>
            </w:r>
            <w:r>
              <w:rPr>
                <w:spacing w:val="-8"/>
                <w:sz w:val="21"/>
              </w:rPr>
              <w:t xml:space="preserve"> </w:t>
            </w:r>
            <w:r>
              <w:rPr>
                <w:sz w:val="21"/>
              </w:rPr>
              <w:t>County</w:t>
            </w:r>
            <w:r>
              <w:rPr>
                <w:spacing w:val="-8"/>
                <w:sz w:val="21"/>
              </w:rPr>
              <w:t xml:space="preserve"> </w:t>
            </w:r>
            <w:r>
              <w:rPr>
                <w:spacing w:val="-4"/>
                <w:sz w:val="21"/>
              </w:rPr>
              <w:t>(NC)</w:t>
            </w:r>
          </w:p>
        </w:tc>
        <w:tc>
          <w:tcPr>
            <w:tcW w:w="1029" w:type="dxa"/>
            <w:gridSpan w:val="2"/>
          </w:tcPr>
          <w:p w:rsidR="003F5784" w14:paraId="522A6142" w14:textId="77777777">
            <w:pPr>
              <w:pStyle w:val="TableParagraph"/>
              <w:ind w:left="104" w:right="141"/>
              <w:jc w:val="center"/>
              <w:rPr>
                <w:sz w:val="21"/>
              </w:rPr>
            </w:pPr>
            <w:r>
              <w:rPr>
                <w:spacing w:val="-5"/>
                <w:sz w:val="21"/>
              </w:rPr>
              <w:t>40</w:t>
            </w:r>
          </w:p>
        </w:tc>
        <w:tc>
          <w:tcPr>
            <w:tcW w:w="2340" w:type="dxa"/>
          </w:tcPr>
          <w:p w:rsidR="003F5784" w14:paraId="3EE21471" w14:textId="77777777">
            <w:pPr>
              <w:pStyle w:val="TableParagraph"/>
              <w:ind w:left="159" w:right="112"/>
              <w:jc w:val="center"/>
              <w:rPr>
                <w:sz w:val="21"/>
              </w:rPr>
            </w:pPr>
            <w:r>
              <w:rPr>
                <w:spacing w:val="-2"/>
                <w:sz w:val="21"/>
              </w:rPr>
              <w:t>100.00</w:t>
            </w:r>
          </w:p>
        </w:tc>
        <w:tc>
          <w:tcPr>
            <w:tcW w:w="1620" w:type="dxa"/>
          </w:tcPr>
          <w:p w:rsidR="003F5784" w14:paraId="0237095F" w14:textId="77777777">
            <w:pPr>
              <w:pStyle w:val="TableParagraph"/>
              <w:ind w:right="386"/>
              <w:rPr>
                <w:sz w:val="21"/>
              </w:rPr>
            </w:pPr>
            <w:r>
              <w:rPr>
                <w:spacing w:val="-2"/>
                <w:sz w:val="21"/>
              </w:rPr>
              <w:t>100.00</w:t>
            </w:r>
          </w:p>
        </w:tc>
        <w:tc>
          <w:tcPr>
            <w:tcW w:w="1620" w:type="dxa"/>
            <w:gridSpan w:val="2"/>
          </w:tcPr>
          <w:p w:rsidR="003F5784" w14:paraId="146F3E95" w14:textId="77777777">
            <w:pPr>
              <w:pStyle w:val="TableParagraph"/>
              <w:ind w:right="462"/>
              <w:rPr>
                <w:sz w:val="21"/>
              </w:rPr>
            </w:pPr>
            <w:r>
              <w:rPr>
                <w:spacing w:val="-2"/>
                <w:sz w:val="21"/>
              </w:rPr>
              <w:t>1,100</w:t>
            </w:r>
          </w:p>
        </w:tc>
        <w:tc>
          <w:tcPr>
            <w:tcW w:w="1170" w:type="dxa"/>
          </w:tcPr>
          <w:p w:rsidR="003F5784" w14:paraId="0AC08F09" w14:textId="77777777">
            <w:pPr>
              <w:pStyle w:val="TableParagraph"/>
              <w:ind w:left="463"/>
              <w:jc w:val="left"/>
              <w:rPr>
                <w:sz w:val="21"/>
              </w:rPr>
            </w:pPr>
            <w:r>
              <w:rPr>
                <w:spacing w:val="-4"/>
                <w:sz w:val="21"/>
              </w:rPr>
              <w:t>1.46</w:t>
            </w:r>
          </w:p>
        </w:tc>
        <w:tc>
          <w:tcPr>
            <w:tcW w:w="1800" w:type="dxa"/>
            <w:gridSpan w:val="2"/>
          </w:tcPr>
          <w:p w:rsidR="003F5784" w14:paraId="183BF987" w14:textId="77777777">
            <w:pPr>
              <w:pStyle w:val="TableParagraph"/>
              <w:ind w:right="22"/>
              <w:jc w:val="center"/>
              <w:rPr>
                <w:sz w:val="21"/>
              </w:rPr>
            </w:pPr>
            <w:r>
              <w:rPr>
                <w:spacing w:val="-2"/>
                <w:sz w:val="21"/>
              </w:rPr>
              <w:t>92.62</w:t>
            </w:r>
          </w:p>
        </w:tc>
        <w:tc>
          <w:tcPr>
            <w:tcW w:w="1620" w:type="dxa"/>
            <w:gridSpan w:val="2"/>
          </w:tcPr>
          <w:p w:rsidR="003F5784" w14:paraId="4FE07ECB" w14:textId="77777777">
            <w:pPr>
              <w:pStyle w:val="TableParagraph"/>
              <w:ind w:right="118"/>
              <w:rPr>
                <w:sz w:val="21"/>
              </w:rPr>
            </w:pPr>
            <w:r>
              <w:rPr>
                <w:spacing w:val="-2"/>
                <w:sz w:val="21"/>
              </w:rPr>
              <w:t>15.31</w:t>
            </w:r>
          </w:p>
        </w:tc>
      </w:tr>
      <w:tr w14:paraId="3E76E04F"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5BD57180" w14:textId="77777777">
            <w:pPr>
              <w:pStyle w:val="TableParagraph"/>
              <w:ind w:left="120"/>
              <w:jc w:val="left"/>
              <w:rPr>
                <w:sz w:val="21"/>
              </w:rPr>
            </w:pPr>
            <w:r>
              <w:rPr>
                <w:sz w:val="21"/>
              </w:rPr>
              <w:t>Hillsborough</w:t>
            </w:r>
            <w:r>
              <w:rPr>
                <w:spacing w:val="-10"/>
                <w:sz w:val="21"/>
              </w:rPr>
              <w:t xml:space="preserve"> </w:t>
            </w:r>
            <w:r>
              <w:rPr>
                <w:sz w:val="21"/>
              </w:rPr>
              <w:t>County</w:t>
            </w:r>
            <w:r>
              <w:rPr>
                <w:spacing w:val="-10"/>
                <w:sz w:val="21"/>
              </w:rPr>
              <w:t xml:space="preserve"> </w:t>
            </w:r>
            <w:r>
              <w:rPr>
                <w:spacing w:val="-4"/>
                <w:sz w:val="21"/>
              </w:rPr>
              <w:t>(FL)</w:t>
            </w:r>
          </w:p>
        </w:tc>
        <w:tc>
          <w:tcPr>
            <w:tcW w:w="1029" w:type="dxa"/>
            <w:gridSpan w:val="2"/>
          </w:tcPr>
          <w:p w:rsidR="003F5784" w14:paraId="26701F15" w14:textId="77777777">
            <w:pPr>
              <w:pStyle w:val="TableParagraph"/>
              <w:ind w:left="104" w:right="141"/>
              <w:jc w:val="center"/>
              <w:rPr>
                <w:sz w:val="21"/>
              </w:rPr>
            </w:pPr>
            <w:r>
              <w:rPr>
                <w:spacing w:val="-5"/>
                <w:sz w:val="21"/>
              </w:rPr>
              <w:t>40</w:t>
            </w:r>
          </w:p>
        </w:tc>
        <w:tc>
          <w:tcPr>
            <w:tcW w:w="2340" w:type="dxa"/>
          </w:tcPr>
          <w:p w:rsidR="003F5784" w14:paraId="36652B77" w14:textId="77777777">
            <w:pPr>
              <w:pStyle w:val="TableParagraph"/>
              <w:ind w:left="159" w:right="112"/>
              <w:jc w:val="center"/>
              <w:rPr>
                <w:sz w:val="21"/>
              </w:rPr>
            </w:pPr>
            <w:r>
              <w:rPr>
                <w:spacing w:val="-2"/>
                <w:sz w:val="21"/>
              </w:rPr>
              <w:t>100.00</w:t>
            </w:r>
          </w:p>
        </w:tc>
        <w:tc>
          <w:tcPr>
            <w:tcW w:w="1620" w:type="dxa"/>
          </w:tcPr>
          <w:p w:rsidR="003F5784" w14:paraId="62414EF8" w14:textId="77777777">
            <w:pPr>
              <w:pStyle w:val="TableParagraph"/>
              <w:ind w:right="386"/>
              <w:rPr>
                <w:sz w:val="21"/>
              </w:rPr>
            </w:pPr>
            <w:r>
              <w:rPr>
                <w:spacing w:val="-2"/>
                <w:sz w:val="21"/>
              </w:rPr>
              <w:t>100.00</w:t>
            </w:r>
          </w:p>
        </w:tc>
        <w:tc>
          <w:tcPr>
            <w:tcW w:w="1620" w:type="dxa"/>
            <w:gridSpan w:val="2"/>
          </w:tcPr>
          <w:p w:rsidR="003F5784" w14:paraId="7E7F58A8" w14:textId="77777777">
            <w:pPr>
              <w:pStyle w:val="TableParagraph"/>
              <w:ind w:right="462"/>
              <w:rPr>
                <w:sz w:val="21"/>
              </w:rPr>
            </w:pPr>
            <w:r>
              <w:rPr>
                <w:spacing w:val="-2"/>
                <w:sz w:val="21"/>
              </w:rPr>
              <w:t>1,100</w:t>
            </w:r>
          </w:p>
        </w:tc>
        <w:tc>
          <w:tcPr>
            <w:tcW w:w="1170" w:type="dxa"/>
          </w:tcPr>
          <w:p w:rsidR="003F5784" w14:paraId="767919B1" w14:textId="77777777">
            <w:pPr>
              <w:pStyle w:val="TableParagraph"/>
              <w:ind w:left="463"/>
              <w:jc w:val="left"/>
              <w:rPr>
                <w:sz w:val="21"/>
              </w:rPr>
            </w:pPr>
            <w:r>
              <w:rPr>
                <w:spacing w:val="-4"/>
                <w:sz w:val="21"/>
              </w:rPr>
              <w:t>3.14</w:t>
            </w:r>
          </w:p>
        </w:tc>
        <w:tc>
          <w:tcPr>
            <w:tcW w:w="1800" w:type="dxa"/>
            <w:gridSpan w:val="2"/>
          </w:tcPr>
          <w:p w:rsidR="003F5784" w14:paraId="1EDB9476" w14:textId="77777777">
            <w:pPr>
              <w:pStyle w:val="TableParagraph"/>
              <w:ind w:right="22"/>
              <w:jc w:val="center"/>
              <w:rPr>
                <w:sz w:val="21"/>
              </w:rPr>
            </w:pPr>
            <w:r>
              <w:rPr>
                <w:spacing w:val="-2"/>
                <w:sz w:val="21"/>
              </w:rPr>
              <w:t>92.13</w:t>
            </w:r>
          </w:p>
        </w:tc>
        <w:tc>
          <w:tcPr>
            <w:tcW w:w="1620" w:type="dxa"/>
            <w:gridSpan w:val="2"/>
          </w:tcPr>
          <w:p w:rsidR="003F5784" w14:paraId="68DB41C4" w14:textId="77777777">
            <w:pPr>
              <w:pStyle w:val="TableParagraph"/>
              <w:ind w:right="118"/>
              <w:rPr>
                <w:sz w:val="21"/>
              </w:rPr>
            </w:pPr>
            <w:r>
              <w:rPr>
                <w:spacing w:val="-2"/>
                <w:sz w:val="21"/>
              </w:rPr>
              <w:t>23.08</w:t>
            </w:r>
          </w:p>
        </w:tc>
      </w:tr>
      <w:tr w14:paraId="11BE4D7D"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718803F3" w14:textId="77777777">
            <w:pPr>
              <w:pStyle w:val="TableParagraph"/>
              <w:ind w:left="120"/>
              <w:jc w:val="left"/>
              <w:rPr>
                <w:sz w:val="21"/>
              </w:rPr>
            </w:pPr>
            <w:r>
              <w:rPr>
                <w:spacing w:val="-2"/>
                <w:sz w:val="21"/>
              </w:rPr>
              <w:t>Houston</w:t>
            </w:r>
          </w:p>
        </w:tc>
        <w:tc>
          <w:tcPr>
            <w:tcW w:w="1029" w:type="dxa"/>
            <w:gridSpan w:val="2"/>
          </w:tcPr>
          <w:p w:rsidR="003F5784" w14:paraId="0A0C6589" w14:textId="77777777">
            <w:pPr>
              <w:pStyle w:val="TableParagraph"/>
              <w:ind w:left="104" w:right="141"/>
              <w:jc w:val="center"/>
              <w:rPr>
                <w:sz w:val="21"/>
              </w:rPr>
            </w:pPr>
            <w:r>
              <w:rPr>
                <w:spacing w:val="-5"/>
                <w:sz w:val="21"/>
              </w:rPr>
              <w:t>60</w:t>
            </w:r>
          </w:p>
        </w:tc>
        <w:tc>
          <w:tcPr>
            <w:tcW w:w="2340" w:type="dxa"/>
          </w:tcPr>
          <w:p w:rsidR="003F5784" w14:paraId="189FEDBF" w14:textId="77777777">
            <w:pPr>
              <w:pStyle w:val="TableParagraph"/>
              <w:ind w:left="159" w:right="112"/>
              <w:jc w:val="center"/>
              <w:rPr>
                <w:sz w:val="21"/>
              </w:rPr>
            </w:pPr>
            <w:r>
              <w:rPr>
                <w:spacing w:val="-2"/>
                <w:sz w:val="21"/>
              </w:rPr>
              <w:t>100.00</w:t>
            </w:r>
          </w:p>
        </w:tc>
        <w:tc>
          <w:tcPr>
            <w:tcW w:w="1620" w:type="dxa"/>
          </w:tcPr>
          <w:p w:rsidR="003F5784" w14:paraId="4A707BF9" w14:textId="77777777">
            <w:pPr>
              <w:pStyle w:val="TableParagraph"/>
              <w:ind w:right="386"/>
              <w:rPr>
                <w:sz w:val="21"/>
              </w:rPr>
            </w:pPr>
            <w:r>
              <w:rPr>
                <w:spacing w:val="-2"/>
                <w:sz w:val="21"/>
              </w:rPr>
              <w:t>100.00</w:t>
            </w:r>
          </w:p>
        </w:tc>
        <w:tc>
          <w:tcPr>
            <w:tcW w:w="1620" w:type="dxa"/>
            <w:gridSpan w:val="2"/>
          </w:tcPr>
          <w:p w:rsidR="003F5784" w14:paraId="5850D327" w14:textId="77777777">
            <w:pPr>
              <w:pStyle w:val="TableParagraph"/>
              <w:ind w:right="462"/>
              <w:rPr>
                <w:sz w:val="21"/>
              </w:rPr>
            </w:pPr>
            <w:r>
              <w:rPr>
                <w:spacing w:val="-2"/>
                <w:sz w:val="21"/>
              </w:rPr>
              <w:t>1,600</w:t>
            </w:r>
          </w:p>
        </w:tc>
        <w:tc>
          <w:tcPr>
            <w:tcW w:w="1170" w:type="dxa"/>
          </w:tcPr>
          <w:p w:rsidR="003F5784" w14:paraId="2FC154E3" w14:textId="77777777">
            <w:pPr>
              <w:pStyle w:val="TableParagraph"/>
              <w:ind w:left="463"/>
              <w:jc w:val="left"/>
              <w:rPr>
                <w:sz w:val="21"/>
              </w:rPr>
            </w:pPr>
            <w:r>
              <w:rPr>
                <w:spacing w:val="-4"/>
                <w:sz w:val="21"/>
              </w:rPr>
              <w:t>3.22</w:t>
            </w:r>
          </w:p>
        </w:tc>
        <w:tc>
          <w:tcPr>
            <w:tcW w:w="1800" w:type="dxa"/>
            <w:gridSpan w:val="2"/>
          </w:tcPr>
          <w:p w:rsidR="003F5784" w14:paraId="26E25A83" w14:textId="77777777">
            <w:pPr>
              <w:pStyle w:val="TableParagraph"/>
              <w:ind w:right="22"/>
              <w:jc w:val="center"/>
              <w:rPr>
                <w:sz w:val="21"/>
              </w:rPr>
            </w:pPr>
            <w:r>
              <w:rPr>
                <w:spacing w:val="-2"/>
                <w:sz w:val="21"/>
              </w:rPr>
              <w:t>93.43</w:t>
            </w:r>
          </w:p>
        </w:tc>
        <w:tc>
          <w:tcPr>
            <w:tcW w:w="1620" w:type="dxa"/>
            <w:gridSpan w:val="2"/>
          </w:tcPr>
          <w:p w:rsidR="003F5784" w14:paraId="54B72975" w14:textId="77777777">
            <w:pPr>
              <w:pStyle w:val="TableParagraph"/>
              <w:ind w:right="118"/>
              <w:rPr>
                <w:sz w:val="21"/>
              </w:rPr>
            </w:pPr>
            <w:r>
              <w:rPr>
                <w:spacing w:val="-2"/>
                <w:sz w:val="21"/>
              </w:rPr>
              <w:t>22.76</w:t>
            </w:r>
          </w:p>
        </w:tc>
      </w:tr>
      <w:tr w14:paraId="7992E9A0"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4CAF8209" w14:textId="77777777">
            <w:pPr>
              <w:pStyle w:val="TableParagraph"/>
              <w:ind w:left="120"/>
              <w:jc w:val="left"/>
              <w:rPr>
                <w:sz w:val="21"/>
              </w:rPr>
            </w:pPr>
            <w:r>
              <w:rPr>
                <w:sz w:val="21"/>
              </w:rPr>
              <w:t>Jefferson</w:t>
            </w:r>
            <w:r>
              <w:rPr>
                <w:spacing w:val="-10"/>
                <w:sz w:val="21"/>
              </w:rPr>
              <w:t xml:space="preserve"> </w:t>
            </w:r>
            <w:r>
              <w:rPr>
                <w:sz w:val="21"/>
              </w:rPr>
              <w:t>County</w:t>
            </w:r>
            <w:r>
              <w:rPr>
                <w:spacing w:val="-10"/>
                <w:sz w:val="21"/>
              </w:rPr>
              <w:t xml:space="preserve"> </w:t>
            </w:r>
            <w:r>
              <w:rPr>
                <w:spacing w:val="-4"/>
                <w:sz w:val="21"/>
              </w:rPr>
              <w:t>(KY)</w:t>
            </w:r>
          </w:p>
        </w:tc>
        <w:tc>
          <w:tcPr>
            <w:tcW w:w="1029" w:type="dxa"/>
            <w:gridSpan w:val="2"/>
          </w:tcPr>
          <w:p w:rsidR="003F5784" w14:paraId="041C7402" w14:textId="77777777">
            <w:pPr>
              <w:pStyle w:val="TableParagraph"/>
              <w:ind w:left="104" w:right="141"/>
              <w:jc w:val="center"/>
              <w:rPr>
                <w:sz w:val="21"/>
              </w:rPr>
            </w:pPr>
            <w:r>
              <w:rPr>
                <w:spacing w:val="-5"/>
                <w:sz w:val="21"/>
              </w:rPr>
              <w:t>40</w:t>
            </w:r>
          </w:p>
        </w:tc>
        <w:tc>
          <w:tcPr>
            <w:tcW w:w="2340" w:type="dxa"/>
          </w:tcPr>
          <w:p w:rsidR="003F5784" w14:paraId="529B10F2" w14:textId="77777777">
            <w:pPr>
              <w:pStyle w:val="TableParagraph"/>
              <w:ind w:left="159" w:right="112"/>
              <w:jc w:val="center"/>
              <w:rPr>
                <w:sz w:val="21"/>
              </w:rPr>
            </w:pPr>
            <w:r>
              <w:rPr>
                <w:spacing w:val="-2"/>
                <w:sz w:val="21"/>
              </w:rPr>
              <w:t>100.00</w:t>
            </w:r>
          </w:p>
        </w:tc>
        <w:tc>
          <w:tcPr>
            <w:tcW w:w="1620" w:type="dxa"/>
          </w:tcPr>
          <w:p w:rsidR="003F5784" w14:paraId="21E5F1CD" w14:textId="77777777">
            <w:pPr>
              <w:pStyle w:val="TableParagraph"/>
              <w:ind w:right="386"/>
              <w:rPr>
                <w:sz w:val="21"/>
              </w:rPr>
            </w:pPr>
            <w:r>
              <w:rPr>
                <w:spacing w:val="-2"/>
                <w:sz w:val="21"/>
              </w:rPr>
              <w:t>100.00</w:t>
            </w:r>
          </w:p>
        </w:tc>
        <w:tc>
          <w:tcPr>
            <w:tcW w:w="1620" w:type="dxa"/>
            <w:gridSpan w:val="2"/>
          </w:tcPr>
          <w:p w:rsidR="003F5784" w14:paraId="0D7A0FCE" w14:textId="77777777">
            <w:pPr>
              <w:pStyle w:val="TableParagraph"/>
              <w:ind w:right="462"/>
              <w:rPr>
                <w:sz w:val="21"/>
              </w:rPr>
            </w:pPr>
            <w:r>
              <w:rPr>
                <w:spacing w:val="-2"/>
                <w:sz w:val="21"/>
              </w:rPr>
              <w:t>1,000</w:t>
            </w:r>
          </w:p>
        </w:tc>
        <w:tc>
          <w:tcPr>
            <w:tcW w:w="1170" w:type="dxa"/>
          </w:tcPr>
          <w:p w:rsidR="003F5784" w14:paraId="1EBD0C82" w14:textId="77777777">
            <w:pPr>
              <w:pStyle w:val="TableParagraph"/>
              <w:ind w:left="463"/>
              <w:jc w:val="left"/>
              <w:rPr>
                <w:sz w:val="21"/>
              </w:rPr>
            </w:pPr>
            <w:r>
              <w:rPr>
                <w:spacing w:val="-4"/>
                <w:sz w:val="21"/>
              </w:rPr>
              <w:t>3.58</w:t>
            </w:r>
          </w:p>
        </w:tc>
        <w:tc>
          <w:tcPr>
            <w:tcW w:w="1800" w:type="dxa"/>
            <w:gridSpan w:val="2"/>
          </w:tcPr>
          <w:p w:rsidR="003F5784" w14:paraId="55959351" w14:textId="77777777">
            <w:pPr>
              <w:pStyle w:val="TableParagraph"/>
              <w:ind w:right="22"/>
              <w:jc w:val="center"/>
              <w:rPr>
                <w:sz w:val="21"/>
              </w:rPr>
            </w:pPr>
            <w:r>
              <w:rPr>
                <w:spacing w:val="-2"/>
                <w:sz w:val="21"/>
              </w:rPr>
              <w:t>93.68</w:t>
            </w:r>
          </w:p>
        </w:tc>
        <w:tc>
          <w:tcPr>
            <w:tcW w:w="1620" w:type="dxa"/>
            <w:gridSpan w:val="2"/>
          </w:tcPr>
          <w:p w:rsidR="003F5784" w14:paraId="66417E30" w14:textId="77777777">
            <w:pPr>
              <w:pStyle w:val="TableParagraph"/>
              <w:ind w:right="118"/>
              <w:rPr>
                <w:sz w:val="21"/>
              </w:rPr>
            </w:pPr>
            <w:r>
              <w:rPr>
                <w:spacing w:val="-2"/>
                <w:sz w:val="21"/>
              </w:rPr>
              <w:t>22.10</w:t>
            </w:r>
          </w:p>
        </w:tc>
      </w:tr>
      <w:tr w14:paraId="511BA704"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14199870" w14:textId="77777777">
            <w:pPr>
              <w:pStyle w:val="TableParagraph"/>
              <w:ind w:left="120"/>
              <w:jc w:val="left"/>
              <w:rPr>
                <w:sz w:val="21"/>
              </w:rPr>
            </w:pPr>
            <w:r>
              <w:rPr>
                <w:spacing w:val="-2"/>
                <w:sz w:val="21"/>
              </w:rPr>
              <w:t>Los</w:t>
            </w:r>
            <w:r>
              <w:rPr>
                <w:spacing w:val="-10"/>
                <w:sz w:val="21"/>
              </w:rPr>
              <w:t xml:space="preserve"> </w:t>
            </w:r>
            <w:r>
              <w:rPr>
                <w:spacing w:val="-2"/>
                <w:sz w:val="21"/>
              </w:rPr>
              <w:t>Angeles</w:t>
            </w:r>
          </w:p>
        </w:tc>
        <w:tc>
          <w:tcPr>
            <w:tcW w:w="1029" w:type="dxa"/>
            <w:gridSpan w:val="2"/>
          </w:tcPr>
          <w:p w:rsidR="003F5784" w14:paraId="34F9B729" w14:textId="77777777">
            <w:pPr>
              <w:pStyle w:val="TableParagraph"/>
              <w:ind w:left="104" w:right="141"/>
              <w:jc w:val="center"/>
              <w:rPr>
                <w:sz w:val="21"/>
              </w:rPr>
            </w:pPr>
            <w:r>
              <w:rPr>
                <w:spacing w:val="-5"/>
                <w:sz w:val="21"/>
              </w:rPr>
              <w:t>60</w:t>
            </w:r>
          </w:p>
        </w:tc>
        <w:tc>
          <w:tcPr>
            <w:tcW w:w="2340" w:type="dxa"/>
          </w:tcPr>
          <w:p w:rsidR="003F5784" w14:paraId="6AF47BC1" w14:textId="77777777">
            <w:pPr>
              <w:pStyle w:val="TableParagraph"/>
              <w:ind w:left="159" w:right="112"/>
              <w:jc w:val="center"/>
              <w:rPr>
                <w:sz w:val="21"/>
              </w:rPr>
            </w:pPr>
            <w:r>
              <w:rPr>
                <w:spacing w:val="-2"/>
                <w:sz w:val="21"/>
              </w:rPr>
              <w:t>100.00</w:t>
            </w:r>
          </w:p>
        </w:tc>
        <w:tc>
          <w:tcPr>
            <w:tcW w:w="1620" w:type="dxa"/>
          </w:tcPr>
          <w:p w:rsidR="003F5784" w14:paraId="403C8F7A" w14:textId="77777777">
            <w:pPr>
              <w:pStyle w:val="TableParagraph"/>
              <w:ind w:right="386"/>
              <w:rPr>
                <w:sz w:val="21"/>
              </w:rPr>
            </w:pPr>
            <w:r>
              <w:rPr>
                <w:spacing w:val="-2"/>
                <w:sz w:val="21"/>
              </w:rPr>
              <w:t>100.00</w:t>
            </w:r>
          </w:p>
        </w:tc>
        <w:tc>
          <w:tcPr>
            <w:tcW w:w="1620" w:type="dxa"/>
            <w:gridSpan w:val="2"/>
          </w:tcPr>
          <w:p w:rsidR="003F5784" w14:paraId="6E59189B" w14:textId="77777777">
            <w:pPr>
              <w:pStyle w:val="TableParagraph"/>
              <w:ind w:right="462"/>
              <w:rPr>
                <w:sz w:val="21"/>
              </w:rPr>
            </w:pPr>
            <w:r>
              <w:rPr>
                <w:spacing w:val="-2"/>
                <w:sz w:val="21"/>
              </w:rPr>
              <w:t>1,600</w:t>
            </w:r>
          </w:p>
        </w:tc>
        <w:tc>
          <w:tcPr>
            <w:tcW w:w="1170" w:type="dxa"/>
          </w:tcPr>
          <w:p w:rsidR="003F5784" w14:paraId="6B11D19D" w14:textId="77777777">
            <w:pPr>
              <w:pStyle w:val="TableParagraph"/>
              <w:ind w:left="463"/>
              <w:jc w:val="left"/>
              <w:rPr>
                <w:sz w:val="21"/>
              </w:rPr>
            </w:pPr>
            <w:r>
              <w:rPr>
                <w:spacing w:val="-4"/>
                <w:sz w:val="21"/>
              </w:rPr>
              <w:t>1.98</w:t>
            </w:r>
          </w:p>
        </w:tc>
        <w:tc>
          <w:tcPr>
            <w:tcW w:w="1800" w:type="dxa"/>
            <w:gridSpan w:val="2"/>
          </w:tcPr>
          <w:p w:rsidR="003F5784" w14:paraId="25A3760A" w14:textId="77777777">
            <w:pPr>
              <w:pStyle w:val="TableParagraph"/>
              <w:ind w:right="22"/>
              <w:jc w:val="center"/>
              <w:rPr>
                <w:sz w:val="21"/>
              </w:rPr>
            </w:pPr>
            <w:r>
              <w:rPr>
                <w:spacing w:val="-2"/>
                <w:sz w:val="21"/>
              </w:rPr>
              <w:t>91.97</w:t>
            </w:r>
          </w:p>
        </w:tc>
        <w:tc>
          <w:tcPr>
            <w:tcW w:w="1620" w:type="dxa"/>
            <w:gridSpan w:val="2"/>
          </w:tcPr>
          <w:p w:rsidR="003F5784" w14:paraId="0AF416CF" w14:textId="77777777">
            <w:pPr>
              <w:pStyle w:val="TableParagraph"/>
              <w:ind w:right="118"/>
              <w:rPr>
                <w:sz w:val="21"/>
              </w:rPr>
            </w:pPr>
            <w:r>
              <w:rPr>
                <w:spacing w:val="-2"/>
                <w:sz w:val="21"/>
              </w:rPr>
              <w:t>10.61</w:t>
            </w:r>
          </w:p>
        </w:tc>
      </w:tr>
      <w:tr w14:paraId="5A269FFD"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2CE3178D" w14:textId="77777777">
            <w:pPr>
              <w:pStyle w:val="TableParagraph"/>
              <w:ind w:left="120"/>
              <w:jc w:val="left"/>
              <w:rPr>
                <w:sz w:val="21"/>
              </w:rPr>
            </w:pPr>
            <w:r>
              <w:rPr>
                <w:spacing w:val="-2"/>
                <w:sz w:val="21"/>
              </w:rPr>
              <w:t>Miami</w:t>
            </w:r>
          </w:p>
        </w:tc>
        <w:tc>
          <w:tcPr>
            <w:tcW w:w="1029" w:type="dxa"/>
            <w:gridSpan w:val="2"/>
          </w:tcPr>
          <w:p w:rsidR="003F5784" w14:paraId="1F0B408F" w14:textId="77777777">
            <w:pPr>
              <w:pStyle w:val="TableParagraph"/>
              <w:ind w:left="104" w:right="141"/>
              <w:jc w:val="center"/>
              <w:rPr>
                <w:sz w:val="21"/>
              </w:rPr>
            </w:pPr>
            <w:r>
              <w:rPr>
                <w:spacing w:val="-5"/>
                <w:sz w:val="21"/>
              </w:rPr>
              <w:t>60</w:t>
            </w:r>
          </w:p>
        </w:tc>
        <w:tc>
          <w:tcPr>
            <w:tcW w:w="2340" w:type="dxa"/>
          </w:tcPr>
          <w:p w:rsidR="003F5784" w14:paraId="0DB87A9B" w14:textId="77777777">
            <w:pPr>
              <w:pStyle w:val="TableParagraph"/>
              <w:ind w:left="159" w:right="112"/>
              <w:jc w:val="center"/>
              <w:rPr>
                <w:sz w:val="21"/>
              </w:rPr>
            </w:pPr>
            <w:r>
              <w:rPr>
                <w:spacing w:val="-2"/>
                <w:sz w:val="21"/>
              </w:rPr>
              <w:t>100.00</w:t>
            </w:r>
          </w:p>
        </w:tc>
        <w:tc>
          <w:tcPr>
            <w:tcW w:w="1620" w:type="dxa"/>
          </w:tcPr>
          <w:p w:rsidR="003F5784" w14:paraId="794438D0" w14:textId="77777777">
            <w:pPr>
              <w:pStyle w:val="TableParagraph"/>
              <w:ind w:right="386"/>
              <w:rPr>
                <w:sz w:val="21"/>
              </w:rPr>
            </w:pPr>
            <w:r>
              <w:rPr>
                <w:spacing w:val="-2"/>
                <w:sz w:val="21"/>
              </w:rPr>
              <w:t>100.00</w:t>
            </w:r>
          </w:p>
        </w:tc>
        <w:tc>
          <w:tcPr>
            <w:tcW w:w="1620" w:type="dxa"/>
            <w:gridSpan w:val="2"/>
          </w:tcPr>
          <w:p w:rsidR="003F5784" w14:paraId="49447FB8" w14:textId="77777777">
            <w:pPr>
              <w:pStyle w:val="TableParagraph"/>
              <w:ind w:right="462"/>
              <w:rPr>
                <w:sz w:val="21"/>
              </w:rPr>
            </w:pPr>
            <w:r>
              <w:rPr>
                <w:spacing w:val="-2"/>
                <w:sz w:val="21"/>
              </w:rPr>
              <w:t>1,600</w:t>
            </w:r>
          </w:p>
        </w:tc>
        <w:tc>
          <w:tcPr>
            <w:tcW w:w="1170" w:type="dxa"/>
          </w:tcPr>
          <w:p w:rsidR="003F5784" w14:paraId="63E48EEE" w14:textId="77777777">
            <w:pPr>
              <w:pStyle w:val="TableParagraph"/>
              <w:ind w:left="463"/>
              <w:jc w:val="left"/>
              <w:rPr>
                <w:sz w:val="21"/>
              </w:rPr>
            </w:pPr>
            <w:r>
              <w:rPr>
                <w:spacing w:val="-4"/>
                <w:sz w:val="21"/>
              </w:rPr>
              <w:t>3.08</w:t>
            </w:r>
          </w:p>
        </w:tc>
        <w:tc>
          <w:tcPr>
            <w:tcW w:w="1800" w:type="dxa"/>
            <w:gridSpan w:val="2"/>
          </w:tcPr>
          <w:p w:rsidR="003F5784" w14:paraId="524C3F8A" w14:textId="77777777">
            <w:pPr>
              <w:pStyle w:val="TableParagraph"/>
              <w:ind w:right="22"/>
              <w:jc w:val="center"/>
              <w:rPr>
                <w:sz w:val="21"/>
              </w:rPr>
            </w:pPr>
            <w:r>
              <w:rPr>
                <w:spacing w:val="-2"/>
                <w:sz w:val="21"/>
              </w:rPr>
              <w:t>94.64</w:t>
            </w:r>
          </w:p>
        </w:tc>
        <w:tc>
          <w:tcPr>
            <w:tcW w:w="1620" w:type="dxa"/>
            <w:gridSpan w:val="2"/>
          </w:tcPr>
          <w:p w:rsidR="003F5784" w14:paraId="522E6D5E" w14:textId="77777777">
            <w:pPr>
              <w:pStyle w:val="TableParagraph"/>
              <w:ind w:right="118"/>
              <w:rPr>
                <w:sz w:val="21"/>
              </w:rPr>
            </w:pPr>
            <w:r>
              <w:rPr>
                <w:spacing w:val="-2"/>
                <w:sz w:val="21"/>
              </w:rPr>
              <w:t>25.04</w:t>
            </w:r>
          </w:p>
        </w:tc>
      </w:tr>
      <w:tr w14:paraId="5981C070"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16D49BE2" w14:textId="77777777">
            <w:pPr>
              <w:pStyle w:val="TableParagraph"/>
              <w:ind w:left="120"/>
              <w:jc w:val="left"/>
              <w:rPr>
                <w:sz w:val="21"/>
              </w:rPr>
            </w:pPr>
            <w:r>
              <w:rPr>
                <w:spacing w:val="-2"/>
                <w:sz w:val="21"/>
              </w:rPr>
              <w:t>Milwaukee</w:t>
            </w:r>
          </w:p>
        </w:tc>
        <w:tc>
          <w:tcPr>
            <w:tcW w:w="1029" w:type="dxa"/>
            <w:gridSpan w:val="2"/>
          </w:tcPr>
          <w:p w:rsidR="003F5784" w14:paraId="756CE0F3" w14:textId="77777777">
            <w:pPr>
              <w:pStyle w:val="TableParagraph"/>
              <w:ind w:left="104" w:right="141"/>
              <w:jc w:val="center"/>
              <w:rPr>
                <w:sz w:val="21"/>
              </w:rPr>
            </w:pPr>
            <w:r>
              <w:rPr>
                <w:spacing w:val="-5"/>
                <w:sz w:val="21"/>
              </w:rPr>
              <w:t>50</w:t>
            </w:r>
          </w:p>
        </w:tc>
        <w:tc>
          <w:tcPr>
            <w:tcW w:w="2340" w:type="dxa"/>
          </w:tcPr>
          <w:p w:rsidR="003F5784" w14:paraId="6CFEBECA" w14:textId="77777777">
            <w:pPr>
              <w:pStyle w:val="TableParagraph"/>
              <w:ind w:left="159" w:right="112"/>
              <w:jc w:val="center"/>
              <w:rPr>
                <w:sz w:val="21"/>
              </w:rPr>
            </w:pPr>
            <w:r>
              <w:rPr>
                <w:spacing w:val="-2"/>
                <w:sz w:val="21"/>
              </w:rPr>
              <w:t>100.00</w:t>
            </w:r>
          </w:p>
        </w:tc>
        <w:tc>
          <w:tcPr>
            <w:tcW w:w="1620" w:type="dxa"/>
          </w:tcPr>
          <w:p w:rsidR="003F5784" w14:paraId="03EA369C" w14:textId="77777777">
            <w:pPr>
              <w:pStyle w:val="TableParagraph"/>
              <w:ind w:right="386"/>
              <w:rPr>
                <w:sz w:val="21"/>
              </w:rPr>
            </w:pPr>
            <w:r>
              <w:rPr>
                <w:spacing w:val="-2"/>
                <w:sz w:val="21"/>
              </w:rPr>
              <w:t>100.00</w:t>
            </w:r>
          </w:p>
        </w:tc>
        <w:tc>
          <w:tcPr>
            <w:tcW w:w="1620" w:type="dxa"/>
            <w:gridSpan w:val="2"/>
          </w:tcPr>
          <w:p w:rsidR="003F5784" w14:paraId="4B3DAF73" w14:textId="77777777">
            <w:pPr>
              <w:pStyle w:val="TableParagraph"/>
              <w:ind w:right="462"/>
              <w:rPr>
                <w:sz w:val="21"/>
              </w:rPr>
            </w:pPr>
            <w:r>
              <w:rPr>
                <w:spacing w:val="-2"/>
                <w:sz w:val="21"/>
              </w:rPr>
              <w:t>1,000</w:t>
            </w:r>
          </w:p>
        </w:tc>
        <w:tc>
          <w:tcPr>
            <w:tcW w:w="1170" w:type="dxa"/>
          </w:tcPr>
          <w:p w:rsidR="003F5784" w14:paraId="1880B223" w14:textId="77777777">
            <w:pPr>
              <w:pStyle w:val="TableParagraph"/>
              <w:ind w:left="463"/>
              <w:jc w:val="left"/>
              <w:rPr>
                <w:sz w:val="21"/>
              </w:rPr>
            </w:pPr>
            <w:r>
              <w:rPr>
                <w:spacing w:val="-4"/>
                <w:sz w:val="21"/>
              </w:rPr>
              <w:t>1.45</w:t>
            </w:r>
          </w:p>
        </w:tc>
        <w:tc>
          <w:tcPr>
            <w:tcW w:w="1800" w:type="dxa"/>
            <w:gridSpan w:val="2"/>
          </w:tcPr>
          <w:p w:rsidR="003F5784" w14:paraId="1C3E96A6" w14:textId="77777777">
            <w:pPr>
              <w:pStyle w:val="TableParagraph"/>
              <w:ind w:right="22"/>
              <w:jc w:val="center"/>
              <w:rPr>
                <w:sz w:val="21"/>
              </w:rPr>
            </w:pPr>
            <w:r>
              <w:rPr>
                <w:spacing w:val="-2"/>
                <w:sz w:val="21"/>
              </w:rPr>
              <w:t>86.42</w:t>
            </w:r>
          </w:p>
        </w:tc>
        <w:tc>
          <w:tcPr>
            <w:tcW w:w="1620" w:type="dxa"/>
            <w:gridSpan w:val="2"/>
          </w:tcPr>
          <w:p w:rsidR="003F5784" w14:paraId="28261F0B" w14:textId="77777777">
            <w:pPr>
              <w:pStyle w:val="TableParagraph"/>
              <w:ind w:right="118"/>
              <w:rPr>
                <w:sz w:val="21"/>
              </w:rPr>
            </w:pPr>
            <w:r>
              <w:rPr>
                <w:spacing w:val="-2"/>
                <w:sz w:val="21"/>
              </w:rPr>
              <w:t>22.28</w:t>
            </w:r>
          </w:p>
        </w:tc>
      </w:tr>
      <w:tr w14:paraId="1861F7F5" w14:textId="77777777" w:rsidTr="008C4D83">
        <w:tblPrEx>
          <w:tblW w:w="0" w:type="auto"/>
          <w:tblInd w:w="552" w:type="dxa"/>
          <w:tblLayout w:type="fixed"/>
          <w:tblCellMar>
            <w:left w:w="0" w:type="dxa"/>
            <w:right w:w="0" w:type="dxa"/>
          </w:tblCellMar>
          <w:tblLook w:val="01E0"/>
        </w:tblPrEx>
        <w:trPr>
          <w:trHeight w:val="289"/>
        </w:trPr>
        <w:tc>
          <w:tcPr>
            <w:tcW w:w="2919" w:type="dxa"/>
            <w:tcBorders>
              <w:bottom w:val="single" w:sz="18" w:space="0" w:color="800000"/>
            </w:tcBorders>
          </w:tcPr>
          <w:p w:rsidR="003F5784" w14:paraId="61C0618D" w14:textId="77777777">
            <w:pPr>
              <w:pStyle w:val="TableParagraph"/>
              <w:ind w:left="120"/>
              <w:jc w:val="left"/>
              <w:rPr>
                <w:sz w:val="21"/>
              </w:rPr>
            </w:pPr>
            <w:r>
              <w:rPr>
                <w:spacing w:val="-4"/>
                <w:sz w:val="21"/>
              </w:rPr>
              <w:t>New</w:t>
            </w:r>
            <w:r>
              <w:rPr>
                <w:spacing w:val="-10"/>
                <w:sz w:val="21"/>
              </w:rPr>
              <w:t xml:space="preserve"> </w:t>
            </w:r>
            <w:r>
              <w:rPr>
                <w:spacing w:val="-4"/>
                <w:sz w:val="21"/>
              </w:rPr>
              <w:t>York</w:t>
            </w:r>
            <w:r>
              <w:rPr>
                <w:spacing w:val="-2"/>
                <w:sz w:val="21"/>
              </w:rPr>
              <w:t xml:space="preserve"> </w:t>
            </w:r>
            <w:r>
              <w:rPr>
                <w:spacing w:val="-4"/>
                <w:sz w:val="21"/>
              </w:rPr>
              <w:t>City</w:t>
            </w:r>
          </w:p>
        </w:tc>
        <w:tc>
          <w:tcPr>
            <w:tcW w:w="1029" w:type="dxa"/>
            <w:gridSpan w:val="2"/>
            <w:tcBorders>
              <w:bottom w:val="single" w:sz="18" w:space="0" w:color="800000"/>
            </w:tcBorders>
          </w:tcPr>
          <w:p w:rsidR="003F5784" w14:paraId="2C6B4866" w14:textId="77777777">
            <w:pPr>
              <w:pStyle w:val="TableParagraph"/>
              <w:ind w:left="104" w:right="141"/>
              <w:jc w:val="center"/>
              <w:rPr>
                <w:sz w:val="21"/>
              </w:rPr>
            </w:pPr>
            <w:r>
              <w:rPr>
                <w:spacing w:val="-5"/>
                <w:sz w:val="21"/>
              </w:rPr>
              <w:t>70</w:t>
            </w:r>
          </w:p>
        </w:tc>
        <w:tc>
          <w:tcPr>
            <w:tcW w:w="2340" w:type="dxa"/>
            <w:tcBorders>
              <w:bottom w:val="single" w:sz="18" w:space="0" w:color="800000"/>
            </w:tcBorders>
          </w:tcPr>
          <w:p w:rsidR="003F5784" w14:paraId="2AC5334B" w14:textId="77777777">
            <w:pPr>
              <w:pStyle w:val="TableParagraph"/>
              <w:ind w:left="159" w:right="8"/>
              <w:jc w:val="center"/>
              <w:rPr>
                <w:sz w:val="21"/>
              </w:rPr>
            </w:pPr>
            <w:r>
              <w:rPr>
                <w:spacing w:val="-2"/>
                <w:sz w:val="21"/>
              </w:rPr>
              <w:t>98.73</w:t>
            </w:r>
          </w:p>
        </w:tc>
        <w:tc>
          <w:tcPr>
            <w:tcW w:w="1620" w:type="dxa"/>
            <w:tcBorders>
              <w:bottom w:val="single" w:sz="18" w:space="0" w:color="800000"/>
            </w:tcBorders>
          </w:tcPr>
          <w:p w:rsidR="003F5784" w14:paraId="6A4D8D99" w14:textId="77777777">
            <w:pPr>
              <w:pStyle w:val="TableParagraph"/>
              <w:ind w:right="386"/>
              <w:rPr>
                <w:sz w:val="21"/>
              </w:rPr>
            </w:pPr>
            <w:r>
              <w:rPr>
                <w:spacing w:val="-2"/>
                <w:sz w:val="21"/>
              </w:rPr>
              <w:t>98.87</w:t>
            </w:r>
          </w:p>
        </w:tc>
        <w:tc>
          <w:tcPr>
            <w:tcW w:w="1620" w:type="dxa"/>
            <w:gridSpan w:val="2"/>
            <w:tcBorders>
              <w:bottom w:val="single" w:sz="18" w:space="0" w:color="800000"/>
            </w:tcBorders>
          </w:tcPr>
          <w:p w:rsidR="003F5784" w14:paraId="3C3E201E" w14:textId="77777777">
            <w:pPr>
              <w:pStyle w:val="TableParagraph"/>
              <w:ind w:right="462"/>
              <w:rPr>
                <w:sz w:val="21"/>
              </w:rPr>
            </w:pPr>
            <w:r>
              <w:rPr>
                <w:spacing w:val="-2"/>
                <w:sz w:val="21"/>
              </w:rPr>
              <w:t>1,600</w:t>
            </w:r>
          </w:p>
        </w:tc>
        <w:tc>
          <w:tcPr>
            <w:tcW w:w="1170" w:type="dxa"/>
            <w:tcBorders>
              <w:bottom w:val="single" w:sz="18" w:space="0" w:color="800000"/>
            </w:tcBorders>
          </w:tcPr>
          <w:p w:rsidR="003F5784" w14:paraId="3662EA34" w14:textId="77777777">
            <w:pPr>
              <w:pStyle w:val="TableParagraph"/>
              <w:ind w:left="463"/>
              <w:jc w:val="left"/>
              <w:rPr>
                <w:sz w:val="21"/>
              </w:rPr>
            </w:pPr>
            <w:r>
              <w:rPr>
                <w:spacing w:val="-4"/>
                <w:sz w:val="21"/>
              </w:rPr>
              <w:t>1.26</w:t>
            </w:r>
          </w:p>
        </w:tc>
        <w:tc>
          <w:tcPr>
            <w:tcW w:w="1800" w:type="dxa"/>
            <w:gridSpan w:val="2"/>
            <w:tcBorders>
              <w:bottom w:val="single" w:sz="18" w:space="0" w:color="800000"/>
            </w:tcBorders>
          </w:tcPr>
          <w:p w:rsidR="003F5784" w14:paraId="0BBF956D" w14:textId="77777777">
            <w:pPr>
              <w:pStyle w:val="TableParagraph"/>
              <w:ind w:right="22"/>
              <w:jc w:val="center"/>
              <w:rPr>
                <w:sz w:val="21"/>
              </w:rPr>
            </w:pPr>
            <w:r>
              <w:rPr>
                <w:spacing w:val="-2"/>
                <w:sz w:val="21"/>
              </w:rPr>
              <w:t>87.37</w:t>
            </w:r>
          </w:p>
        </w:tc>
        <w:tc>
          <w:tcPr>
            <w:tcW w:w="1620" w:type="dxa"/>
            <w:gridSpan w:val="2"/>
            <w:tcBorders>
              <w:bottom w:val="single" w:sz="18" w:space="0" w:color="800000"/>
            </w:tcBorders>
          </w:tcPr>
          <w:p w:rsidR="003F5784" w14:paraId="4FD4237B" w14:textId="77777777">
            <w:pPr>
              <w:pStyle w:val="TableParagraph"/>
              <w:ind w:right="118"/>
              <w:rPr>
                <w:sz w:val="21"/>
              </w:rPr>
            </w:pPr>
            <w:r>
              <w:rPr>
                <w:spacing w:val="-2"/>
                <w:sz w:val="21"/>
              </w:rPr>
              <w:t>27.52</w:t>
            </w:r>
          </w:p>
        </w:tc>
      </w:tr>
    </w:tbl>
    <w:p w:rsidR="003F5784" w14:paraId="0172366B" w14:textId="77777777">
      <w:pPr>
        <w:rPr>
          <w:sz w:val="21"/>
        </w:rPr>
        <w:sectPr>
          <w:pgSz w:w="15840" w:h="12240" w:orient="landscape"/>
          <w:pgMar w:top="480" w:right="440" w:bottom="2040" w:left="460" w:header="284" w:footer="1856" w:gutter="0"/>
          <w:cols w:space="720"/>
        </w:sectPr>
      </w:pPr>
    </w:p>
    <w:p w:rsidR="003F5784" w14:paraId="159E5421" w14:textId="77777777">
      <w:pPr>
        <w:pStyle w:val="BodyText"/>
        <w:spacing w:before="5"/>
        <w:rPr>
          <w:sz w:val="9"/>
        </w:rPr>
      </w:pPr>
    </w:p>
    <w:tbl>
      <w:tblPr>
        <w:tblW w:w="0" w:type="auto"/>
        <w:tblInd w:w="552" w:type="dxa"/>
        <w:tblLayout w:type="fixed"/>
        <w:tblCellMar>
          <w:left w:w="0" w:type="dxa"/>
          <w:right w:w="0" w:type="dxa"/>
        </w:tblCellMar>
        <w:tblLook w:val="01E0"/>
      </w:tblPr>
      <w:tblGrid>
        <w:gridCol w:w="3038"/>
        <w:gridCol w:w="1180"/>
        <w:gridCol w:w="1980"/>
        <w:gridCol w:w="43"/>
        <w:gridCol w:w="1757"/>
        <w:gridCol w:w="1478"/>
        <w:gridCol w:w="52"/>
        <w:gridCol w:w="1149"/>
        <w:gridCol w:w="21"/>
        <w:gridCol w:w="1710"/>
        <w:gridCol w:w="1620"/>
        <w:gridCol w:w="42"/>
      </w:tblGrid>
      <w:tr w14:paraId="250A903D" w14:textId="77777777" w:rsidTr="008C4D83">
        <w:tblPrEx>
          <w:tblW w:w="0" w:type="auto"/>
          <w:tblInd w:w="552" w:type="dxa"/>
          <w:tblLayout w:type="fixed"/>
          <w:tblCellMar>
            <w:left w:w="0" w:type="dxa"/>
            <w:right w:w="0" w:type="dxa"/>
          </w:tblCellMar>
          <w:tblLook w:val="01E0"/>
        </w:tblPrEx>
        <w:trPr>
          <w:trHeight w:val="232"/>
        </w:trPr>
        <w:tc>
          <w:tcPr>
            <w:tcW w:w="4218" w:type="dxa"/>
            <w:gridSpan w:val="2"/>
          </w:tcPr>
          <w:p w:rsidR="003F5784" w14:paraId="760E44BC" w14:textId="77777777">
            <w:pPr>
              <w:pStyle w:val="TableParagraph"/>
              <w:spacing w:before="0"/>
              <w:jc w:val="left"/>
              <w:rPr>
                <w:sz w:val="16"/>
              </w:rPr>
            </w:pPr>
          </w:p>
        </w:tc>
        <w:tc>
          <w:tcPr>
            <w:tcW w:w="2023" w:type="dxa"/>
            <w:gridSpan w:val="2"/>
          </w:tcPr>
          <w:p w:rsidR="003F5784" w14:paraId="1C6FE855" w14:textId="77777777">
            <w:pPr>
              <w:pStyle w:val="TableParagraph"/>
              <w:spacing w:before="0" w:line="213" w:lineRule="exact"/>
              <w:ind w:right="133"/>
              <w:rPr>
                <w:sz w:val="21"/>
              </w:rPr>
            </w:pPr>
            <w:r>
              <w:rPr>
                <w:sz w:val="21"/>
              </w:rPr>
              <w:t>School</w:t>
            </w:r>
            <w:r>
              <w:rPr>
                <w:spacing w:val="-7"/>
                <w:sz w:val="21"/>
              </w:rPr>
              <w:t xml:space="preserve"> </w:t>
            </w:r>
            <w:r>
              <w:rPr>
                <w:spacing w:val="-2"/>
                <w:sz w:val="21"/>
              </w:rPr>
              <w:t>participation</w:t>
            </w:r>
          </w:p>
        </w:tc>
        <w:tc>
          <w:tcPr>
            <w:tcW w:w="1757" w:type="dxa"/>
          </w:tcPr>
          <w:p w:rsidR="003F5784" w14:paraId="0C30C2B3" w14:textId="77777777">
            <w:pPr>
              <w:pStyle w:val="TableParagraph"/>
              <w:spacing w:before="0"/>
              <w:jc w:val="left"/>
              <w:rPr>
                <w:sz w:val="16"/>
              </w:rPr>
            </w:pPr>
          </w:p>
        </w:tc>
        <w:tc>
          <w:tcPr>
            <w:tcW w:w="6072" w:type="dxa"/>
            <w:gridSpan w:val="7"/>
            <w:vMerge w:val="restart"/>
          </w:tcPr>
          <w:p w:rsidR="003F5784" w14:paraId="45A9FAE2" w14:textId="77777777">
            <w:pPr>
              <w:pStyle w:val="TableParagraph"/>
              <w:spacing w:before="0"/>
              <w:jc w:val="left"/>
              <w:rPr>
                <w:sz w:val="20"/>
              </w:rPr>
            </w:pPr>
          </w:p>
        </w:tc>
      </w:tr>
      <w:tr w14:paraId="19C6B044" w14:textId="77777777" w:rsidTr="008C4D83">
        <w:tblPrEx>
          <w:tblW w:w="0" w:type="auto"/>
          <w:tblInd w:w="552" w:type="dxa"/>
          <w:tblLayout w:type="fixed"/>
          <w:tblCellMar>
            <w:left w:w="0" w:type="dxa"/>
            <w:right w:w="0" w:type="dxa"/>
          </w:tblCellMar>
          <w:tblLook w:val="01E0"/>
        </w:tblPrEx>
        <w:trPr>
          <w:trHeight w:val="234"/>
        </w:trPr>
        <w:tc>
          <w:tcPr>
            <w:tcW w:w="4218" w:type="dxa"/>
            <w:gridSpan w:val="2"/>
          </w:tcPr>
          <w:p w:rsidR="003F5784" w14:paraId="214C295D" w14:textId="77777777">
            <w:pPr>
              <w:pStyle w:val="TableParagraph"/>
              <w:spacing w:before="0" w:line="215" w:lineRule="exact"/>
              <w:ind w:right="133"/>
              <w:rPr>
                <w:sz w:val="21"/>
              </w:rPr>
            </w:pPr>
            <w:r>
              <w:rPr>
                <w:sz w:val="21"/>
              </w:rPr>
              <w:t>Number</w:t>
            </w:r>
            <w:r>
              <w:rPr>
                <w:spacing w:val="-8"/>
                <w:sz w:val="21"/>
              </w:rPr>
              <w:t xml:space="preserve"> </w:t>
            </w:r>
            <w:r>
              <w:rPr>
                <w:spacing w:val="-5"/>
                <w:sz w:val="21"/>
              </w:rPr>
              <w:t>of</w:t>
            </w:r>
          </w:p>
        </w:tc>
        <w:tc>
          <w:tcPr>
            <w:tcW w:w="2023" w:type="dxa"/>
            <w:gridSpan w:val="2"/>
          </w:tcPr>
          <w:p w:rsidR="003F5784" w14:paraId="01DB86EB" w14:textId="77777777">
            <w:pPr>
              <w:pStyle w:val="TableParagraph"/>
              <w:spacing w:before="0" w:line="215" w:lineRule="exact"/>
              <w:ind w:right="133"/>
              <w:rPr>
                <w:sz w:val="21"/>
              </w:rPr>
            </w:pPr>
            <w:r>
              <w:rPr>
                <w:sz w:val="21"/>
              </w:rPr>
              <w:t>rates</w:t>
            </w:r>
            <w:r>
              <w:rPr>
                <w:spacing w:val="-7"/>
                <w:sz w:val="21"/>
              </w:rPr>
              <w:t xml:space="preserve"> </w:t>
            </w:r>
            <w:r>
              <w:rPr>
                <w:sz w:val="21"/>
              </w:rPr>
              <w:t>(percent)</w:t>
            </w:r>
            <w:r>
              <w:rPr>
                <w:spacing w:val="-7"/>
                <w:sz w:val="21"/>
              </w:rPr>
              <w:t xml:space="preserve"> </w:t>
            </w:r>
            <w:r>
              <w:rPr>
                <w:spacing w:val="-2"/>
                <w:sz w:val="21"/>
              </w:rPr>
              <w:t>before</w:t>
            </w:r>
          </w:p>
        </w:tc>
        <w:tc>
          <w:tcPr>
            <w:tcW w:w="1757" w:type="dxa"/>
          </w:tcPr>
          <w:p w:rsidR="003F5784" w14:paraId="5DD38657" w14:textId="77777777">
            <w:pPr>
              <w:pStyle w:val="TableParagraph"/>
              <w:spacing w:before="0" w:line="215" w:lineRule="exact"/>
              <w:ind w:right="164"/>
              <w:rPr>
                <w:sz w:val="21"/>
              </w:rPr>
            </w:pPr>
            <w:r>
              <w:rPr>
                <w:sz w:val="21"/>
              </w:rPr>
              <w:t>School</w:t>
            </w:r>
            <w:r>
              <w:rPr>
                <w:spacing w:val="-7"/>
                <w:sz w:val="21"/>
              </w:rPr>
              <w:t xml:space="preserve"> </w:t>
            </w:r>
            <w:r>
              <w:rPr>
                <w:spacing w:val="-2"/>
                <w:sz w:val="21"/>
              </w:rPr>
              <w:t>participation</w:t>
            </w:r>
          </w:p>
        </w:tc>
        <w:tc>
          <w:tcPr>
            <w:tcW w:w="6072" w:type="dxa"/>
            <w:gridSpan w:val="7"/>
            <w:vMerge/>
            <w:tcBorders>
              <w:top w:val="nil"/>
            </w:tcBorders>
          </w:tcPr>
          <w:p w:rsidR="003F5784" w14:paraId="16D58E74" w14:textId="77777777">
            <w:pPr>
              <w:rPr>
                <w:sz w:val="2"/>
                <w:szCs w:val="2"/>
              </w:rPr>
            </w:pPr>
          </w:p>
        </w:tc>
      </w:tr>
      <w:tr w14:paraId="3F9DED3D" w14:textId="77777777" w:rsidTr="00A35A43">
        <w:tblPrEx>
          <w:tblW w:w="0" w:type="auto"/>
          <w:tblInd w:w="552" w:type="dxa"/>
          <w:tblLayout w:type="fixed"/>
          <w:tblCellMar>
            <w:left w:w="0" w:type="dxa"/>
            <w:right w:w="0" w:type="dxa"/>
          </w:tblCellMar>
          <w:tblLook w:val="01E0"/>
        </w:tblPrEx>
        <w:trPr>
          <w:trHeight w:val="234"/>
        </w:trPr>
        <w:tc>
          <w:tcPr>
            <w:tcW w:w="4218" w:type="dxa"/>
            <w:gridSpan w:val="2"/>
          </w:tcPr>
          <w:p w:rsidR="003F5784" w14:paraId="7664D60D" w14:textId="77777777">
            <w:pPr>
              <w:pStyle w:val="TableParagraph"/>
              <w:spacing w:before="0" w:line="215" w:lineRule="exact"/>
              <w:ind w:right="133"/>
              <w:rPr>
                <w:sz w:val="21"/>
              </w:rPr>
            </w:pPr>
            <w:r>
              <w:rPr>
                <w:sz w:val="21"/>
              </w:rPr>
              <w:t>schools</w:t>
            </w:r>
            <w:r>
              <w:rPr>
                <w:spacing w:val="-8"/>
                <w:sz w:val="21"/>
              </w:rPr>
              <w:t xml:space="preserve"> </w:t>
            </w:r>
            <w:r>
              <w:rPr>
                <w:spacing w:val="-5"/>
                <w:sz w:val="21"/>
              </w:rPr>
              <w:t>in</w:t>
            </w:r>
          </w:p>
        </w:tc>
        <w:tc>
          <w:tcPr>
            <w:tcW w:w="2023" w:type="dxa"/>
            <w:gridSpan w:val="2"/>
          </w:tcPr>
          <w:p w:rsidR="003F5784" w14:paraId="15749727" w14:textId="77777777">
            <w:pPr>
              <w:pStyle w:val="TableParagraph"/>
              <w:spacing w:before="0" w:line="215" w:lineRule="exact"/>
              <w:ind w:right="133"/>
              <w:rPr>
                <w:sz w:val="21"/>
              </w:rPr>
            </w:pPr>
            <w:r>
              <w:rPr>
                <w:spacing w:val="-2"/>
                <w:sz w:val="21"/>
              </w:rPr>
              <w:t>substitution</w:t>
            </w:r>
          </w:p>
        </w:tc>
        <w:tc>
          <w:tcPr>
            <w:tcW w:w="1757" w:type="dxa"/>
          </w:tcPr>
          <w:p w:rsidR="003F5784" w14:paraId="34D77255" w14:textId="77777777">
            <w:pPr>
              <w:pStyle w:val="TableParagraph"/>
              <w:spacing w:before="0" w:line="215" w:lineRule="exact"/>
              <w:ind w:right="164"/>
              <w:rPr>
                <w:sz w:val="21"/>
              </w:rPr>
            </w:pPr>
            <w:r>
              <w:rPr>
                <w:sz w:val="21"/>
              </w:rPr>
              <w:t>rates</w:t>
            </w:r>
            <w:r>
              <w:rPr>
                <w:spacing w:val="-5"/>
                <w:sz w:val="21"/>
              </w:rPr>
              <w:t xml:space="preserve"> </w:t>
            </w:r>
            <w:r>
              <w:rPr>
                <w:spacing w:val="-2"/>
                <w:sz w:val="21"/>
              </w:rPr>
              <w:t>(percent)</w:t>
            </w:r>
          </w:p>
        </w:tc>
        <w:tc>
          <w:tcPr>
            <w:tcW w:w="1478" w:type="dxa"/>
          </w:tcPr>
          <w:p w:rsidR="003F5784" w14:paraId="484A0570" w14:textId="77777777">
            <w:pPr>
              <w:pStyle w:val="TableParagraph"/>
              <w:spacing w:before="0" w:line="215" w:lineRule="exact"/>
              <w:ind w:right="221"/>
              <w:rPr>
                <w:sz w:val="21"/>
              </w:rPr>
            </w:pPr>
            <w:r>
              <w:rPr>
                <w:sz w:val="21"/>
              </w:rPr>
              <w:t>Number</w:t>
            </w:r>
            <w:r>
              <w:rPr>
                <w:spacing w:val="-8"/>
                <w:sz w:val="21"/>
              </w:rPr>
              <w:t xml:space="preserve"> </w:t>
            </w:r>
            <w:r>
              <w:rPr>
                <w:spacing w:val="-5"/>
                <w:sz w:val="21"/>
              </w:rPr>
              <w:t>of</w:t>
            </w:r>
          </w:p>
        </w:tc>
        <w:tc>
          <w:tcPr>
            <w:tcW w:w="1201" w:type="dxa"/>
            <w:gridSpan w:val="2"/>
          </w:tcPr>
          <w:p w:rsidR="003F5784" w14:paraId="5ABF7C5E" w14:textId="77777777">
            <w:pPr>
              <w:pStyle w:val="TableParagraph"/>
              <w:spacing w:before="0" w:line="215" w:lineRule="exact"/>
              <w:ind w:right="130"/>
              <w:rPr>
                <w:sz w:val="21"/>
              </w:rPr>
            </w:pPr>
            <w:r>
              <w:rPr>
                <w:spacing w:val="-2"/>
                <w:sz w:val="21"/>
              </w:rPr>
              <w:t>Weighted</w:t>
            </w:r>
          </w:p>
        </w:tc>
        <w:tc>
          <w:tcPr>
            <w:tcW w:w="1731" w:type="dxa"/>
            <w:gridSpan w:val="2"/>
          </w:tcPr>
          <w:p w:rsidR="003F5784" w14:paraId="7F130473" w14:textId="77777777">
            <w:pPr>
              <w:pStyle w:val="TableParagraph"/>
              <w:spacing w:before="0" w:line="215" w:lineRule="exact"/>
              <w:ind w:right="147"/>
              <w:rPr>
                <w:sz w:val="21"/>
              </w:rPr>
            </w:pPr>
            <w:r>
              <w:rPr>
                <w:spacing w:val="-2"/>
                <w:sz w:val="21"/>
              </w:rPr>
              <w:t>Weighted</w:t>
            </w:r>
            <w:r>
              <w:rPr>
                <w:spacing w:val="-11"/>
                <w:sz w:val="21"/>
              </w:rPr>
              <w:t xml:space="preserve"> </w:t>
            </w:r>
            <w:r>
              <w:rPr>
                <w:spacing w:val="-2"/>
                <w:sz w:val="21"/>
              </w:rPr>
              <w:t>student</w:t>
            </w:r>
          </w:p>
        </w:tc>
        <w:tc>
          <w:tcPr>
            <w:tcW w:w="1662" w:type="dxa"/>
            <w:gridSpan w:val="2"/>
          </w:tcPr>
          <w:p w:rsidR="003F5784" w14:paraId="179EBBF9" w14:textId="77777777">
            <w:pPr>
              <w:pStyle w:val="TableParagraph"/>
              <w:spacing w:before="0"/>
              <w:jc w:val="left"/>
              <w:rPr>
                <w:sz w:val="16"/>
              </w:rPr>
            </w:pPr>
          </w:p>
        </w:tc>
      </w:tr>
      <w:tr w14:paraId="63294C4D" w14:textId="77777777" w:rsidTr="00A35A43">
        <w:tblPrEx>
          <w:tblW w:w="0" w:type="auto"/>
          <w:tblInd w:w="552" w:type="dxa"/>
          <w:tblLayout w:type="fixed"/>
          <w:tblCellMar>
            <w:left w:w="0" w:type="dxa"/>
            <w:right w:w="0" w:type="dxa"/>
          </w:tblCellMar>
          <w:tblLook w:val="01E0"/>
        </w:tblPrEx>
        <w:trPr>
          <w:trHeight w:val="234"/>
        </w:trPr>
        <w:tc>
          <w:tcPr>
            <w:tcW w:w="4218" w:type="dxa"/>
            <w:gridSpan w:val="2"/>
          </w:tcPr>
          <w:p w:rsidR="003F5784" w14:paraId="28A31654" w14:textId="77777777">
            <w:pPr>
              <w:pStyle w:val="TableParagraph"/>
              <w:spacing w:before="0" w:line="215" w:lineRule="exact"/>
              <w:ind w:right="133"/>
              <w:rPr>
                <w:sz w:val="21"/>
              </w:rPr>
            </w:pPr>
            <w:r>
              <w:rPr>
                <w:spacing w:val="-2"/>
                <w:sz w:val="21"/>
              </w:rPr>
              <w:t>original</w:t>
            </w:r>
          </w:p>
        </w:tc>
        <w:tc>
          <w:tcPr>
            <w:tcW w:w="2023" w:type="dxa"/>
            <w:gridSpan w:val="2"/>
          </w:tcPr>
          <w:p w:rsidR="003F5784" w14:paraId="139C4DD7" w14:textId="77777777">
            <w:pPr>
              <w:pStyle w:val="TableParagraph"/>
              <w:spacing w:before="0" w:line="215" w:lineRule="exact"/>
              <w:ind w:right="133"/>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757" w:type="dxa"/>
          </w:tcPr>
          <w:p w:rsidR="003F5784" w14:paraId="6E62E2DB" w14:textId="77777777">
            <w:pPr>
              <w:pStyle w:val="TableParagraph"/>
              <w:spacing w:before="0" w:line="215" w:lineRule="exact"/>
              <w:ind w:right="164"/>
              <w:rPr>
                <w:sz w:val="21"/>
              </w:rPr>
            </w:pPr>
            <w:r>
              <w:rPr>
                <w:sz w:val="21"/>
              </w:rPr>
              <w:t>before</w:t>
            </w:r>
            <w:r>
              <w:rPr>
                <w:spacing w:val="-7"/>
                <w:sz w:val="21"/>
              </w:rPr>
              <w:t xml:space="preserve"> </w:t>
            </w:r>
            <w:r>
              <w:rPr>
                <w:spacing w:val="-2"/>
                <w:sz w:val="21"/>
              </w:rPr>
              <w:t>substitution</w:t>
            </w:r>
          </w:p>
        </w:tc>
        <w:tc>
          <w:tcPr>
            <w:tcW w:w="1478" w:type="dxa"/>
          </w:tcPr>
          <w:p w:rsidR="003F5784" w:rsidP="00A35A43" w14:paraId="62A5DCC6" w14:textId="77777777">
            <w:pPr>
              <w:pStyle w:val="TableParagraph"/>
              <w:spacing w:before="0" w:line="215" w:lineRule="exact"/>
              <w:ind w:left="214" w:right="221"/>
              <w:rPr>
                <w:sz w:val="21"/>
              </w:rPr>
            </w:pPr>
            <w:r>
              <w:rPr>
                <w:spacing w:val="-2"/>
                <w:sz w:val="21"/>
              </w:rPr>
              <w:t>students</w:t>
            </w:r>
          </w:p>
        </w:tc>
        <w:tc>
          <w:tcPr>
            <w:tcW w:w="1201" w:type="dxa"/>
            <w:gridSpan w:val="2"/>
          </w:tcPr>
          <w:p w:rsidR="003F5784" w14:paraId="10138374" w14:textId="77777777">
            <w:pPr>
              <w:pStyle w:val="TableParagraph"/>
              <w:spacing w:before="0" w:line="215" w:lineRule="exact"/>
              <w:ind w:right="130"/>
              <w:rPr>
                <w:sz w:val="21"/>
              </w:rPr>
            </w:pPr>
            <w:r>
              <w:rPr>
                <w:sz w:val="21"/>
              </w:rPr>
              <w:t>percent</w:t>
            </w:r>
            <w:r>
              <w:rPr>
                <w:spacing w:val="-8"/>
                <w:sz w:val="21"/>
              </w:rPr>
              <w:t xml:space="preserve"> </w:t>
            </w:r>
            <w:r>
              <w:rPr>
                <w:spacing w:val="-5"/>
                <w:sz w:val="21"/>
              </w:rPr>
              <w:t>of</w:t>
            </w:r>
          </w:p>
        </w:tc>
        <w:tc>
          <w:tcPr>
            <w:tcW w:w="1731" w:type="dxa"/>
            <w:gridSpan w:val="2"/>
          </w:tcPr>
          <w:p w:rsidR="003F5784" w14:paraId="57A6C5B7" w14:textId="77777777">
            <w:pPr>
              <w:pStyle w:val="TableParagraph"/>
              <w:spacing w:before="0" w:line="215" w:lineRule="exact"/>
              <w:ind w:right="147"/>
              <w:rPr>
                <w:sz w:val="21"/>
              </w:rPr>
            </w:pPr>
            <w:r>
              <w:rPr>
                <w:spacing w:val="-2"/>
                <w:sz w:val="21"/>
              </w:rPr>
              <w:t>participation</w:t>
            </w:r>
          </w:p>
        </w:tc>
        <w:tc>
          <w:tcPr>
            <w:tcW w:w="1662" w:type="dxa"/>
            <w:gridSpan w:val="2"/>
          </w:tcPr>
          <w:p w:rsidR="003F5784" w14:paraId="33FBEFBF" w14:textId="77777777">
            <w:pPr>
              <w:pStyle w:val="TableParagraph"/>
              <w:spacing w:before="0" w:line="215" w:lineRule="exact"/>
              <w:ind w:right="43"/>
              <w:rPr>
                <w:sz w:val="21"/>
              </w:rPr>
            </w:pPr>
            <w:r>
              <w:rPr>
                <w:spacing w:val="-2"/>
                <w:sz w:val="21"/>
              </w:rPr>
              <w:t>Weighted</w:t>
            </w:r>
            <w:r>
              <w:rPr>
                <w:spacing w:val="-11"/>
                <w:sz w:val="21"/>
              </w:rPr>
              <w:t xml:space="preserve"> </w:t>
            </w:r>
            <w:r>
              <w:rPr>
                <w:spacing w:val="-2"/>
                <w:sz w:val="21"/>
              </w:rPr>
              <w:t>percent</w:t>
            </w:r>
          </w:p>
        </w:tc>
      </w:tr>
      <w:tr w14:paraId="41DB8AB3" w14:textId="77777777" w:rsidTr="00A35A43">
        <w:tblPrEx>
          <w:tblW w:w="0" w:type="auto"/>
          <w:tblInd w:w="552" w:type="dxa"/>
          <w:tblLayout w:type="fixed"/>
          <w:tblCellMar>
            <w:left w:w="0" w:type="dxa"/>
            <w:right w:w="0" w:type="dxa"/>
          </w:tblCellMar>
          <w:tblLook w:val="01E0"/>
        </w:tblPrEx>
        <w:trPr>
          <w:trHeight w:val="234"/>
        </w:trPr>
        <w:tc>
          <w:tcPr>
            <w:tcW w:w="4218" w:type="dxa"/>
            <w:gridSpan w:val="2"/>
          </w:tcPr>
          <w:p w:rsidR="003F5784" w14:paraId="4260FE9D" w14:textId="77777777">
            <w:pPr>
              <w:pStyle w:val="TableParagraph"/>
              <w:spacing w:before="0" w:line="215" w:lineRule="exact"/>
              <w:ind w:right="133"/>
              <w:rPr>
                <w:sz w:val="21"/>
              </w:rPr>
            </w:pPr>
            <w:r>
              <w:rPr>
                <w:spacing w:val="-2"/>
                <w:sz w:val="21"/>
              </w:rPr>
              <w:t>sample,</w:t>
            </w:r>
          </w:p>
        </w:tc>
        <w:tc>
          <w:tcPr>
            <w:tcW w:w="2023" w:type="dxa"/>
            <w:gridSpan w:val="2"/>
          </w:tcPr>
          <w:p w:rsidR="003F5784" w14:paraId="1E14A24E" w14:textId="77777777">
            <w:pPr>
              <w:pStyle w:val="TableParagraph"/>
              <w:spacing w:before="0" w:line="215" w:lineRule="exact"/>
              <w:ind w:right="133"/>
              <w:rPr>
                <w:sz w:val="21"/>
              </w:rPr>
            </w:pPr>
            <w:r>
              <w:rPr>
                <w:sz w:val="21"/>
              </w:rPr>
              <w:t>weight</w:t>
            </w:r>
            <w:r>
              <w:rPr>
                <w:spacing w:val="-7"/>
                <w:sz w:val="21"/>
              </w:rPr>
              <w:t xml:space="preserve"> </w:t>
            </w:r>
            <w:r>
              <w:rPr>
                <w:spacing w:val="-5"/>
                <w:sz w:val="21"/>
              </w:rPr>
              <w:t>and</w:t>
            </w:r>
          </w:p>
        </w:tc>
        <w:tc>
          <w:tcPr>
            <w:tcW w:w="1757" w:type="dxa"/>
          </w:tcPr>
          <w:p w:rsidR="003F5784" w14:paraId="18A358F0" w14:textId="77777777">
            <w:pPr>
              <w:pStyle w:val="TableParagraph"/>
              <w:spacing w:before="0" w:line="215" w:lineRule="exact"/>
              <w:ind w:right="164"/>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478" w:type="dxa"/>
          </w:tcPr>
          <w:p w:rsidR="003F5784" w14:paraId="4D97B76B" w14:textId="77777777">
            <w:pPr>
              <w:pStyle w:val="TableParagraph"/>
              <w:spacing w:before="0" w:line="215" w:lineRule="exact"/>
              <w:ind w:right="221"/>
              <w:rPr>
                <w:sz w:val="21"/>
              </w:rPr>
            </w:pPr>
            <w:r>
              <w:rPr>
                <w:spacing w:val="-2"/>
                <w:sz w:val="21"/>
              </w:rPr>
              <w:t>sampled,</w:t>
            </w:r>
          </w:p>
        </w:tc>
        <w:tc>
          <w:tcPr>
            <w:tcW w:w="1201" w:type="dxa"/>
            <w:gridSpan w:val="2"/>
          </w:tcPr>
          <w:p w:rsidR="003F5784" w14:paraId="5064619B" w14:textId="77777777">
            <w:pPr>
              <w:pStyle w:val="TableParagraph"/>
              <w:spacing w:before="0" w:line="215" w:lineRule="exact"/>
              <w:ind w:right="130"/>
              <w:rPr>
                <w:sz w:val="21"/>
              </w:rPr>
            </w:pPr>
            <w:r>
              <w:rPr>
                <w:spacing w:val="-2"/>
                <w:sz w:val="21"/>
              </w:rPr>
              <w:t>students</w:t>
            </w:r>
          </w:p>
        </w:tc>
        <w:tc>
          <w:tcPr>
            <w:tcW w:w="1731" w:type="dxa"/>
            <w:gridSpan w:val="2"/>
          </w:tcPr>
          <w:p w:rsidR="003F5784" w14:paraId="36015A11" w14:textId="77777777">
            <w:pPr>
              <w:pStyle w:val="TableParagraph"/>
              <w:spacing w:before="0" w:line="215" w:lineRule="exact"/>
              <w:ind w:right="147"/>
              <w:rPr>
                <w:sz w:val="21"/>
              </w:rPr>
            </w:pPr>
            <w:r>
              <w:rPr>
                <w:sz w:val="21"/>
              </w:rPr>
              <w:t>rates</w:t>
            </w:r>
            <w:r>
              <w:rPr>
                <w:spacing w:val="-5"/>
                <w:sz w:val="21"/>
              </w:rPr>
              <w:t xml:space="preserve"> </w:t>
            </w:r>
            <w:r>
              <w:rPr>
                <w:spacing w:val="-2"/>
                <w:sz w:val="21"/>
              </w:rPr>
              <w:t>(percent)</w:t>
            </w:r>
          </w:p>
        </w:tc>
        <w:tc>
          <w:tcPr>
            <w:tcW w:w="1662" w:type="dxa"/>
            <w:gridSpan w:val="2"/>
          </w:tcPr>
          <w:p w:rsidR="003F5784" w14:paraId="6CE90116" w14:textId="77777777">
            <w:pPr>
              <w:pStyle w:val="TableParagraph"/>
              <w:spacing w:before="0" w:line="215" w:lineRule="exact"/>
              <w:ind w:right="43"/>
              <w:rPr>
                <w:sz w:val="21"/>
              </w:rPr>
            </w:pPr>
            <w:r>
              <w:rPr>
                <w:sz w:val="21"/>
              </w:rPr>
              <w:t>of</w:t>
            </w:r>
            <w:r>
              <w:rPr>
                <w:spacing w:val="-3"/>
                <w:sz w:val="21"/>
              </w:rPr>
              <w:t xml:space="preserve"> </w:t>
            </w:r>
            <w:r>
              <w:rPr>
                <w:spacing w:val="-2"/>
                <w:sz w:val="21"/>
              </w:rPr>
              <w:t>students</w:t>
            </w:r>
          </w:p>
        </w:tc>
      </w:tr>
      <w:tr w14:paraId="54A30527" w14:textId="77777777" w:rsidTr="00A35A43">
        <w:tblPrEx>
          <w:tblW w:w="0" w:type="auto"/>
          <w:tblInd w:w="552" w:type="dxa"/>
          <w:tblLayout w:type="fixed"/>
          <w:tblCellMar>
            <w:left w:w="0" w:type="dxa"/>
            <w:right w:w="0" w:type="dxa"/>
          </w:tblCellMar>
          <w:tblLook w:val="01E0"/>
        </w:tblPrEx>
        <w:trPr>
          <w:trHeight w:val="232"/>
        </w:trPr>
        <w:tc>
          <w:tcPr>
            <w:tcW w:w="4218" w:type="dxa"/>
            <w:gridSpan w:val="2"/>
          </w:tcPr>
          <w:p w:rsidR="003F5784" w14:paraId="1E64C979" w14:textId="77777777">
            <w:pPr>
              <w:pStyle w:val="TableParagraph"/>
              <w:tabs>
                <w:tab w:val="left" w:pos="3025"/>
              </w:tabs>
              <w:spacing w:before="0" w:line="213" w:lineRule="exact"/>
              <w:ind w:right="133"/>
              <w:rPr>
                <w:sz w:val="21"/>
              </w:rPr>
            </w:pPr>
            <w:r>
              <w:rPr>
                <w:sz w:val="21"/>
              </w:rPr>
              <w:t>School</w:t>
            </w:r>
            <w:r>
              <w:rPr>
                <w:spacing w:val="-6"/>
                <w:sz w:val="21"/>
              </w:rPr>
              <w:t xml:space="preserve"> </w:t>
            </w:r>
            <w:r>
              <w:rPr>
                <w:sz w:val="21"/>
              </w:rPr>
              <w:t>type</w:t>
            </w:r>
            <w:r>
              <w:rPr>
                <w:spacing w:val="-5"/>
                <w:sz w:val="21"/>
              </w:rPr>
              <w:t xml:space="preserve"> </w:t>
            </w:r>
            <w:r>
              <w:rPr>
                <w:sz w:val="21"/>
              </w:rPr>
              <w:t>and</w:t>
            </w:r>
            <w:r>
              <w:rPr>
                <w:spacing w:val="-5"/>
                <w:sz w:val="21"/>
              </w:rPr>
              <w:t xml:space="preserve"> </w:t>
            </w:r>
            <w:r>
              <w:rPr>
                <w:spacing w:val="-2"/>
                <w:sz w:val="21"/>
              </w:rPr>
              <w:t>jurisdiction</w:t>
            </w:r>
            <w:r>
              <w:rPr>
                <w:sz w:val="21"/>
              </w:rPr>
              <w:tab/>
            </w:r>
            <w:r>
              <w:rPr>
                <w:spacing w:val="-2"/>
                <w:sz w:val="21"/>
              </w:rPr>
              <w:t>rounded</w:t>
            </w:r>
          </w:p>
        </w:tc>
        <w:tc>
          <w:tcPr>
            <w:tcW w:w="2023" w:type="dxa"/>
            <w:gridSpan w:val="2"/>
          </w:tcPr>
          <w:p w:rsidR="003F5784" w14:paraId="1B91F5A2" w14:textId="77777777">
            <w:pPr>
              <w:pStyle w:val="TableParagraph"/>
              <w:spacing w:before="0" w:line="213" w:lineRule="exact"/>
              <w:ind w:right="133"/>
              <w:rPr>
                <w:sz w:val="21"/>
              </w:rPr>
            </w:pPr>
            <w:r>
              <w:rPr>
                <w:spacing w:val="-2"/>
                <w:sz w:val="21"/>
              </w:rPr>
              <w:t>enrollment)</w:t>
            </w:r>
          </w:p>
        </w:tc>
        <w:tc>
          <w:tcPr>
            <w:tcW w:w="1757" w:type="dxa"/>
          </w:tcPr>
          <w:p w:rsidR="003F5784" w14:paraId="4989170D" w14:textId="77777777">
            <w:pPr>
              <w:pStyle w:val="TableParagraph"/>
              <w:spacing w:before="0" w:line="213" w:lineRule="exact"/>
              <w:ind w:right="164"/>
              <w:rPr>
                <w:sz w:val="21"/>
              </w:rPr>
            </w:pPr>
            <w:r>
              <w:rPr>
                <w:sz w:val="21"/>
              </w:rPr>
              <w:t>weight</w:t>
            </w:r>
            <w:r>
              <w:rPr>
                <w:spacing w:val="-7"/>
                <w:sz w:val="21"/>
              </w:rPr>
              <w:t xml:space="preserve"> </w:t>
            </w:r>
            <w:r>
              <w:rPr>
                <w:spacing w:val="-2"/>
                <w:sz w:val="21"/>
              </w:rPr>
              <w:t>only)</w:t>
            </w:r>
          </w:p>
        </w:tc>
        <w:tc>
          <w:tcPr>
            <w:tcW w:w="1478" w:type="dxa"/>
          </w:tcPr>
          <w:p w:rsidR="003F5784" w14:paraId="2B462757" w14:textId="77777777">
            <w:pPr>
              <w:pStyle w:val="TableParagraph"/>
              <w:spacing w:before="0" w:line="213" w:lineRule="exact"/>
              <w:ind w:right="221"/>
              <w:rPr>
                <w:sz w:val="21"/>
              </w:rPr>
            </w:pPr>
            <w:r>
              <w:rPr>
                <w:spacing w:val="-2"/>
                <w:sz w:val="21"/>
              </w:rPr>
              <w:t>rounded</w:t>
            </w:r>
          </w:p>
        </w:tc>
        <w:tc>
          <w:tcPr>
            <w:tcW w:w="1201" w:type="dxa"/>
            <w:gridSpan w:val="2"/>
          </w:tcPr>
          <w:p w:rsidR="003F5784" w14:paraId="3D5FF15F" w14:textId="77777777">
            <w:pPr>
              <w:pStyle w:val="TableParagraph"/>
              <w:spacing w:before="0" w:line="213" w:lineRule="exact"/>
              <w:ind w:right="130"/>
              <w:rPr>
                <w:sz w:val="21"/>
              </w:rPr>
            </w:pPr>
            <w:r>
              <w:rPr>
                <w:spacing w:val="-2"/>
                <w:sz w:val="21"/>
              </w:rPr>
              <w:t>excluded</w:t>
            </w:r>
          </w:p>
        </w:tc>
        <w:tc>
          <w:tcPr>
            <w:tcW w:w="1731" w:type="dxa"/>
            <w:gridSpan w:val="2"/>
          </w:tcPr>
          <w:p w:rsidR="003F5784" w14:paraId="24BBAF44" w14:textId="77777777">
            <w:pPr>
              <w:pStyle w:val="TableParagraph"/>
              <w:spacing w:before="0" w:line="213" w:lineRule="exact"/>
              <w:ind w:right="147"/>
              <w:rPr>
                <w:sz w:val="21"/>
              </w:rPr>
            </w:pPr>
            <w:r>
              <w:rPr>
                <w:sz w:val="21"/>
              </w:rPr>
              <w:t>after</w:t>
            </w:r>
            <w:r>
              <w:rPr>
                <w:spacing w:val="-5"/>
                <w:sz w:val="21"/>
              </w:rPr>
              <w:t xml:space="preserve"> </w:t>
            </w:r>
            <w:r>
              <w:rPr>
                <w:spacing w:val="-2"/>
                <w:sz w:val="21"/>
              </w:rPr>
              <w:t>makeups</w:t>
            </w:r>
          </w:p>
        </w:tc>
        <w:tc>
          <w:tcPr>
            <w:tcW w:w="1662" w:type="dxa"/>
            <w:gridSpan w:val="2"/>
          </w:tcPr>
          <w:p w:rsidR="003F5784" w14:paraId="4F3F90CE" w14:textId="77777777">
            <w:pPr>
              <w:pStyle w:val="TableParagraph"/>
              <w:spacing w:before="0" w:line="213" w:lineRule="exact"/>
              <w:ind w:right="43"/>
              <w:rPr>
                <w:sz w:val="21"/>
              </w:rPr>
            </w:pPr>
            <w:r>
              <w:rPr>
                <w:spacing w:val="-2"/>
                <w:sz w:val="21"/>
              </w:rPr>
              <w:t>accommodated</w:t>
            </w:r>
          </w:p>
        </w:tc>
      </w:tr>
      <w:tr w14:paraId="7C419295" w14:textId="77777777" w:rsidTr="008C4D83">
        <w:tblPrEx>
          <w:tblW w:w="0" w:type="auto"/>
          <w:tblInd w:w="552" w:type="dxa"/>
          <w:tblLayout w:type="fixed"/>
          <w:tblCellMar>
            <w:left w:w="0" w:type="dxa"/>
            <w:right w:w="0" w:type="dxa"/>
          </w:tblCellMar>
          <w:tblLook w:val="01E0"/>
        </w:tblPrEx>
        <w:trPr>
          <w:gridAfter w:val="1"/>
          <w:wAfter w:w="42" w:type="dxa"/>
          <w:trHeight w:val="278"/>
        </w:trPr>
        <w:tc>
          <w:tcPr>
            <w:tcW w:w="3038" w:type="dxa"/>
            <w:tcBorders>
              <w:top w:val="single" w:sz="18" w:space="0" w:color="800000"/>
            </w:tcBorders>
          </w:tcPr>
          <w:p w:rsidR="003F5784" w14:paraId="0D098C9A" w14:textId="77777777">
            <w:pPr>
              <w:pStyle w:val="TableParagraph"/>
              <w:spacing w:before="9"/>
              <w:ind w:left="120"/>
              <w:jc w:val="left"/>
              <w:rPr>
                <w:sz w:val="21"/>
              </w:rPr>
            </w:pPr>
            <w:r>
              <w:rPr>
                <w:spacing w:val="-2"/>
                <w:sz w:val="21"/>
              </w:rPr>
              <w:t>Philadelphia</w:t>
            </w:r>
          </w:p>
        </w:tc>
        <w:tc>
          <w:tcPr>
            <w:tcW w:w="1180" w:type="dxa"/>
            <w:tcBorders>
              <w:top w:val="single" w:sz="18" w:space="0" w:color="800000"/>
            </w:tcBorders>
          </w:tcPr>
          <w:p w:rsidR="003F5784" w14:paraId="4263A4D8" w14:textId="77777777">
            <w:pPr>
              <w:pStyle w:val="TableParagraph"/>
              <w:spacing w:before="9"/>
              <w:ind w:right="738"/>
              <w:rPr>
                <w:sz w:val="21"/>
              </w:rPr>
            </w:pPr>
            <w:r>
              <w:rPr>
                <w:spacing w:val="-5"/>
                <w:sz w:val="21"/>
              </w:rPr>
              <w:t>40</w:t>
            </w:r>
          </w:p>
        </w:tc>
        <w:tc>
          <w:tcPr>
            <w:tcW w:w="1980" w:type="dxa"/>
            <w:tcBorders>
              <w:top w:val="single" w:sz="18" w:space="0" w:color="800000"/>
            </w:tcBorders>
          </w:tcPr>
          <w:p w:rsidR="003F5784" w14:paraId="03B7D574" w14:textId="77777777">
            <w:pPr>
              <w:pStyle w:val="TableParagraph"/>
              <w:spacing w:before="9"/>
              <w:ind w:left="159"/>
              <w:jc w:val="center"/>
              <w:rPr>
                <w:sz w:val="21"/>
              </w:rPr>
            </w:pPr>
            <w:r>
              <w:rPr>
                <w:spacing w:val="-2"/>
                <w:sz w:val="21"/>
              </w:rPr>
              <w:t>98.11</w:t>
            </w:r>
          </w:p>
        </w:tc>
        <w:tc>
          <w:tcPr>
            <w:tcW w:w="1800" w:type="dxa"/>
            <w:gridSpan w:val="2"/>
            <w:tcBorders>
              <w:top w:val="single" w:sz="18" w:space="0" w:color="800000"/>
            </w:tcBorders>
          </w:tcPr>
          <w:p w:rsidR="003F5784" w14:paraId="3E847498" w14:textId="77777777">
            <w:pPr>
              <w:pStyle w:val="TableParagraph"/>
              <w:spacing w:before="9"/>
              <w:ind w:right="386"/>
              <w:rPr>
                <w:sz w:val="21"/>
              </w:rPr>
            </w:pPr>
            <w:r>
              <w:rPr>
                <w:spacing w:val="-2"/>
                <w:sz w:val="21"/>
              </w:rPr>
              <w:t>99.29</w:t>
            </w:r>
          </w:p>
        </w:tc>
        <w:tc>
          <w:tcPr>
            <w:tcW w:w="1530" w:type="dxa"/>
            <w:gridSpan w:val="2"/>
            <w:tcBorders>
              <w:top w:val="single" w:sz="18" w:space="0" w:color="800000"/>
            </w:tcBorders>
          </w:tcPr>
          <w:p w:rsidR="003F5784" w14:paraId="7A79C08F" w14:textId="77777777">
            <w:pPr>
              <w:pStyle w:val="TableParagraph"/>
              <w:spacing w:before="9"/>
              <w:ind w:right="462"/>
              <w:rPr>
                <w:sz w:val="21"/>
              </w:rPr>
            </w:pPr>
            <w:r>
              <w:rPr>
                <w:spacing w:val="-2"/>
                <w:sz w:val="21"/>
              </w:rPr>
              <w:t>1,000</w:t>
            </w:r>
          </w:p>
        </w:tc>
        <w:tc>
          <w:tcPr>
            <w:tcW w:w="1170" w:type="dxa"/>
            <w:gridSpan w:val="2"/>
            <w:tcBorders>
              <w:top w:val="single" w:sz="18" w:space="0" w:color="800000"/>
            </w:tcBorders>
          </w:tcPr>
          <w:p w:rsidR="003F5784" w14:paraId="2BDD29E2" w14:textId="77777777">
            <w:pPr>
              <w:pStyle w:val="TableParagraph"/>
              <w:spacing w:before="9"/>
              <w:ind w:left="463"/>
              <w:jc w:val="left"/>
              <w:rPr>
                <w:sz w:val="21"/>
              </w:rPr>
            </w:pPr>
            <w:r>
              <w:rPr>
                <w:spacing w:val="-4"/>
                <w:sz w:val="21"/>
              </w:rPr>
              <w:t>4.32</w:t>
            </w:r>
          </w:p>
        </w:tc>
        <w:tc>
          <w:tcPr>
            <w:tcW w:w="1710" w:type="dxa"/>
            <w:tcBorders>
              <w:top w:val="single" w:sz="18" w:space="0" w:color="800000"/>
            </w:tcBorders>
          </w:tcPr>
          <w:p w:rsidR="003F5784" w14:paraId="5E9C875C" w14:textId="77777777">
            <w:pPr>
              <w:pStyle w:val="TableParagraph"/>
              <w:spacing w:before="9"/>
              <w:ind w:right="22"/>
              <w:jc w:val="center"/>
              <w:rPr>
                <w:sz w:val="21"/>
              </w:rPr>
            </w:pPr>
            <w:r>
              <w:rPr>
                <w:spacing w:val="-2"/>
                <w:sz w:val="21"/>
              </w:rPr>
              <w:t>93.65</w:t>
            </w:r>
          </w:p>
        </w:tc>
        <w:tc>
          <w:tcPr>
            <w:tcW w:w="1620" w:type="dxa"/>
            <w:tcBorders>
              <w:top w:val="single" w:sz="18" w:space="0" w:color="800000"/>
            </w:tcBorders>
          </w:tcPr>
          <w:p w:rsidR="003F5784" w14:paraId="3601C078" w14:textId="77777777">
            <w:pPr>
              <w:pStyle w:val="TableParagraph"/>
              <w:spacing w:before="9"/>
              <w:ind w:right="118"/>
              <w:rPr>
                <w:sz w:val="21"/>
              </w:rPr>
            </w:pPr>
            <w:r>
              <w:rPr>
                <w:spacing w:val="-2"/>
                <w:sz w:val="21"/>
              </w:rPr>
              <w:t>21.07</w:t>
            </w:r>
          </w:p>
        </w:tc>
      </w:tr>
      <w:tr w14:paraId="295A79D6" w14:textId="77777777" w:rsidTr="008C4D83">
        <w:tblPrEx>
          <w:tblW w:w="0" w:type="auto"/>
          <w:tblInd w:w="552" w:type="dxa"/>
          <w:tblLayout w:type="fixed"/>
          <w:tblCellMar>
            <w:left w:w="0" w:type="dxa"/>
            <w:right w:w="0" w:type="dxa"/>
          </w:tblCellMar>
          <w:tblLook w:val="01E0"/>
        </w:tblPrEx>
        <w:trPr>
          <w:gridAfter w:val="1"/>
          <w:wAfter w:w="42" w:type="dxa"/>
          <w:trHeight w:val="286"/>
        </w:trPr>
        <w:tc>
          <w:tcPr>
            <w:tcW w:w="3038" w:type="dxa"/>
          </w:tcPr>
          <w:p w:rsidR="003F5784" w14:paraId="7AA159E8" w14:textId="77777777">
            <w:pPr>
              <w:pStyle w:val="TableParagraph"/>
              <w:ind w:left="120"/>
              <w:jc w:val="left"/>
              <w:rPr>
                <w:sz w:val="21"/>
              </w:rPr>
            </w:pPr>
            <w:r>
              <w:rPr>
                <w:sz w:val="21"/>
              </w:rPr>
              <w:t>San</w:t>
            </w:r>
            <w:r>
              <w:rPr>
                <w:spacing w:val="-5"/>
                <w:sz w:val="21"/>
              </w:rPr>
              <w:t xml:space="preserve"> </w:t>
            </w:r>
            <w:r>
              <w:rPr>
                <w:spacing w:val="-2"/>
                <w:sz w:val="21"/>
              </w:rPr>
              <w:t>Diego</w:t>
            </w:r>
          </w:p>
        </w:tc>
        <w:tc>
          <w:tcPr>
            <w:tcW w:w="1180" w:type="dxa"/>
          </w:tcPr>
          <w:p w:rsidR="003F5784" w14:paraId="1B031C2F" w14:textId="77777777">
            <w:pPr>
              <w:pStyle w:val="TableParagraph"/>
              <w:ind w:right="738"/>
              <w:rPr>
                <w:sz w:val="21"/>
              </w:rPr>
            </w:pPr>
            <w:r>
              <w:rPr>
                <w:spacing w:val="-5"/>
                <w:sz w:val="21"/>
              </w:rPr>
              <w:t>40</w:t>
            </w:r>
          </w:p>
        </w:tc>
        <w:tc>
          <w:tcPr>
            <w:tcW w:w="1980" w:type="dxa"/>
          </w:tcPr>
          <w:p w:rsidR="003F5784" w14:paraId="615CF723" w14:textId="77777777">
            <w:pPr>
              <w:pStyle w:val="TableParagraph"/>
              <w:ind w:left="159" w:right="112"/>
              <w:jc w:val="center"/>
              <w:rPr>
                <w:sz w:val="21"/>
              </w:rPr>
            </w:pPr>
            <w:r>
              <w:rPr>
                <w:spacing w:val="-2"/>
                <w:sz w:val="21"/>
              </w:rPr>
              <w:t>100.00</w:t>
            </w:r>
          </w:p>
        </w:tc>
        <w:tc>
          <w:tcPr>
            <w:tcW w:w="1800" w:type="dxa"/>
            <w:gridSpan w:val="2"/>
          </w:tcPr>
          <w:p w:rsidR="003F5784" w14:paraId="4681DF2B" w14:textId="77777777">
            <w:pPr>
              <w:pStyle w:val="TableParagraph"/>
              <w:ind w:right="386"/>
              <w:rPr>
                <w:sz w:val="21"/>
              </w:rPr>
            </w:pPr>
            <w:r>
              <w:rPr>
                <w:spacing w:val="-2"/>
                <w:sz w:val="21"/>
              </w:rPr>
              <w:t>100.00</w:t>
            </w:r>
          </w:p>
        </w:tc>
        <w:tc>
          <w:tcPr>
            <w:tcW w:w="1530" w:type="dxa"/>
            <w:gridSpan w:val="2"/>
          </w:tcPr>
          <w:p w:rsidR="003F5784" w14:paraId="7F5B4C35" w14:textId="77777777">
            <w:pPr>
              <w:pStyle w:val="TableParagraph"/>
              <w:ind w:right="462"/>
              <w:rPr>
                <w:sz w:val="21"/>
              </w:rPr>
            </w:pPr>
            <w:r>
              <w:rPr>
                <w:spacing w:val="-2"/>
                <w:sz w:val="21"/>
              </w:rPr>
              <w:t>1,000</w:t>
            </w:r>
          </w:p>
        </w:tc>
        <w:tc>
          <w:tcPr>
            <w:tcW w:w="1170" w:type="dxa"/>
            <w:gridSpan w:val="2"/>
          </w:tcPr>
          <w:p w:rsidR="003F5784" w14:paraId="6C879A6B" w14:textId="77777777">
            <w:pPr>
              <w:pStyle w:val="TableParagraph"/>
              <w:ind w:left="463"/>
              <w:jc w:val="left"/>
              <w:rPr>
                <w:sz w:val="21"/>
              </w:rPr>
            </w:pPr>
            <w:r>
              <w:rPr>
                <w:spacing w:val="-4"/>
                <w:sz w:val="21"/>
              </w:rPr>
              <w:t>2.92</w:t>
            </w:r>
          </w:p>
        </w:tc>
        <w:tc>
          <w:tcPr>
            <w:tcW w:w="1710" w:type="dxa"/>
          </w:tcPr>
          <w:p w:rsidR="003F5784" w14:paraId="293BDCCE" w14:textId="77777777">
            <w:pPr>
              <w:pStyle w:val="TableParagraph"/>
              <w:ind w:right="22"/>
              <w:jc w:val="center"/>
              <w:rPr>
                <w:sz w:val="21"/>
              </w:rPr>
            </w:pPr>
            <w:r>
              <w:rPr>
                <w:spacing w:val="-2"/>
                <w:sz w:val="21"/>
              </w:rPr>
              <w:t>88.61</w:t>
            </w:r>
          </w:p>
        </w:tc>
        <w:tc>
          <w:tcPr>
            <w:tcW w:w="1620" w:type="dxa"/>
          </w:tcPr>
          <w:p w:rsidR="003F5784" w14:paraId="78928DE5" w14:textId="77777777">
            <w:pPr>
              <w:pStyle w:val="TableParagraph"/>
              <w:ind w:right="118"/>
              <w:rPr>
                <w:sz w:val="21"/>
              </w:rPr>
            </w:pPr>
            <w:r>
              <w:rPr>
                <w:spacing w:val="-2"/>
                <w:sz w:val="21"/>
              </w:rPr>
              <w:t>12.46</w:t>
            </w:r>
          </w:p>
        </w:tc>
      </w:tr>
      <w:tr w14:paraId="18940665" w14:textId="77777777" w:rsidTr="008C4D83">
        <w:tblPrEx>
          <w:tblW w:w="0" w:type="auto"/>
          <w:tblInd w:w="552" w:type="dxa"/>
          <w:tblLayout w:type="fixed"/>
          <w:tblCellMar>
            <w:left w:w="0" w:type="dxa"/>
            <w:right w:w="0" w:type="dxa"/>
          </w:tblCellMar>
          <w:tblLook w:val="01E0"/>
        </w:tblPrEx>
        <w:trPr>
          <w:gridAfter w:val="1"/>
          <w:wAfter w:w="42" w:type="dxa"/>
          <w:trHeight w:val="286"/>
        </w:trPr>
        <w:tc>
          <w:tcPr>
            <w:tcW w:w="3038" w:type="dxa"/>
          </w:tcPr>
          <w:p w:rsidR="003F5784" w14:paraId="0F00D319" w14:textId="77777777">
            <w:pPr>
              <w:pStyle w:val="TableParagraph"/>
              <w:ind w:left="120"/>
              <w:jc w:val="left"/>
              <w:rPr>
                <w:sz w:val="21"/>
              </w:rPr>
            </w:pPr>
            <w:r>
              <w:rPr>
                <w:sz w:val="21"/>
              </w:rPr>
              <w:t>Shelby</w:t>
            </w:r>
            <w:r>
              <w:rPr>
                <w:spacing w:val="-7"/>
                <w:sz w:val="21"/>
              </w:rPr>
              <w:t xml:space="preserve"> </w:t>
            </w:r>
            <w:r>
              <w:rPr>
                <w:sz w:val="21"/>
              </w:rPr>
              <w:t>County</w:t>
            </w:r>
            <w:r>
              <w:rPr>
                <w:spacing w:val="-8"/>
                <w:sz w:val="21"/>
              </w:rPr>
              <w:t xml:space="preserve"> </w:t>
            </w:r>
            <w:r>
              <w:rPr>
                <w:spacing w:val="-4"/>
                <w:sz w:val="21"/>
              </w:rPr>
              <w:t>(TN)</w:t>
            </w:r>
          </w:p>
        </w:tc>
        <w:tc>
          <w:tcPr>
            <w:tcW w:w="1180" w:type="dxa"/>
          </w:tcPr>
          <w:p w:rsidR="003F5784" w14:paraId="2DAF1D15" w14:textId="77777777">
            <w:pPr>
              <w:pStyle w:val="TableParagraph"/>
              <w:ind w:right="738"/>
              <w:rPr>
                <w:sz w:val="21"/>
              </w:rPr>
            </w:pPr>
            <w:r>
              <w:rPr>
                <w:spacing w:val="-5"/>
                <w:sz w:val="21"/>
              </w:rPr>
              <w:t>40</w:t>
            </w:r>
          </w:p>
        </w:tc>
        <w:tc>
          <w:tcPr>
            <w:tcW w:w="1980" w:type="dxa"/>
          </w:tcPr>
          <w:p w:rsidR="003F5784" w14:paraId="31FB6E8B" w14:textId="77777777">
            <w:pPr>
              <w:pStyle w:val="TableParagraph"/>
              <w:ind w:left="159" w:right="112"/>
              <w:jc w:val="center"/>
              <w:rPr>
                <w:sz w:val="21"/>
              </w:rPr>
            </w:pPr>
            <w:r>
              <w:rPr>
                <w:spacing w:val="-2"/>
                <w:sz w:val="21"/>
              </w:rPr>
              <w:t>100.00</w:t>
            </w:r>
          </w:p>
        </w:tc>
        <w:tc>
          <w:tcPr>
            <w:tcW w:w="1800" w:type="dxa"/>
            <w:gridSpan w:val="2"/>
          </w:tcPr>
          <w:p w:rsidR="003F5784" w14:paraId="15CCA204" w14:textId="77777777">
            <w:pPr>
              <w:pStyle w:val="TableParagraph"/>
              <w:ind w:right="386"/>
              <w:rPr>
                <w:sz w:val="21"/>
              </w:rPr>
            </w:pPr>
            <w:r>
              <w:rPr>
                <w:spacing w:val="-2"/>
                <w:sz w:val="21"/>
              </w:rPr>
              <w:t>100.00</w:t>
            </w:r>
          </w:p>
        </w:tc>
        <w:tc>
          <w:tcPr>
            <w:tcW w:w="1530" w:type="dxa"/>
            <w:gridSpan w:val="2"/>
          </w:tcPr>
          <w:p w:rsidR="003F5784" w14:paraId="66702CEC" w14:textId="77777777">
            <w:pPr>
              <w:pStyle w:val="TableParagraph"/>
              <w:ind w:right="462"/>
              <w:rPr>
                <w:sz w:val="21"/>
              </w:rPr>
            </w:pPr>
            <w:r>
              <w:rPr>
                <w:spacing w:val="-2"/>
                <w:sz w:val="21"/>
              </w:rPr>
              <w:t>1,000</w:t>
            </w:r>
          </w:p>
        </w:tc>
        <w:tc>
          <w:tcPr>
            <w:tcW w:w="1170" w:type="dxa"/>
            <w:gridSpan w:val="2"/>
          </w:tcPr>
          <w:p w:rsidR="003F5784" w14:paraId="78783FC9" w14:textId="77777777">
            <w:pPr>
              <w:pStyle w:val="TableParagraph"/>
              <w:ind w:left="463"/>
              <w:jc w:val="left"/>
              <w:rPr>
                <w:sz w:val="21"/>
              </w:rPr>
            </w:pPr>
            <w:r>
              <w:rPr>
                <w:spacing w:val="-4"/>
                <w:sz w:val="21"/>
              </w:rPr>
              <w:t>3.73</w:t>
            </w:r>
          </w:p>
        </w:tc>
        <w:tc>
          <w:tcPr>
            <w:tcW w:w="1710" w:type="dxa"/>
          </w:tcPr>
          <w:p w:rsidR="003F5784" w14:paraId="3833EAFF" w14:textId="77777777">
            <w:pPr>
              <w:pStyle w:val="TableParagraph"/>
              <w:ind w:right="22"/>
              <w:jc w:val="center"/>
              <w:rPr>
                <w:sz w:val="21"/>
              </w:rPr>
            </w:pPr>
            <w:r>
              <w:rPr>
                <w:spacing w:val="-2"/>
                <w:sz w:val="21"/>
              </w:rPr>
              <w:t>94.05</w:t>
            </w:r>
          </w:p>
        </w:tc>
        <w:tc>
          <w:tcPr>
            <w:tcW w:w="1620" w:type="dxa"/>
          </w:tcPr>
          <w:p w:rsidR="003F5784" w14:paraId="3ACAFE8C" w14:textId="77777777">
            <w:pPr>
              <w:pStyle w:val="TableParagraph"/>
              <w:ind w:right="118"/>
              <w:rPr>
                <w:sz w:val="21"/>
              </w:rPr>
            </w:pPr>
            <w:r>
              <w:rPr>
                <w:spacing w:val="-2"/>
                <w:sz w:val="21"/>
              </w:rPr>
              <w:t>14.79</w:t>
            </w:r>
          </w:p>
        </w:tc>
      </w:tr>
      <w:tr w14:paraId="08D044E4" w14:textId="77777777" w:rsidTr="008C4D83">
        <w:tblPrEx>
          <w:tblW w:w="0" w:type="auto"/>
          <w:tblInd w:w="552" w:type="dxa"/>
          <w:tblLayout w:type="fixed"/>
          <w:tblCellMar>
            <w:left w:w="0" w:type="dxa"/>
            <w:right w:w="0" w:type="dxa"/>
          </w:tblCellMar>
          <w:tblLook w:val="01E0"/>
        </w:tblPrEx>
        <w:trPr>
          <w:gridAfter w:val="1"/>
          <w:wAfter w:w="42" w:type="dxa"/>
          <w:trHeight w:val="290"/>
        </w:trPr>
        <w:tc>
          <w:tcPr>
            <w:tcW w:w="3038" w:type="dxa"/>
            <w:tcBorders>
              <w:bottom w:val="single" w:sz="12" w:space="0" w:color="800000"/>
            </w:tcBorders>
          </w:tcPr>
          <w:p w:rsidR="003F5784" w14:paraId="01C619C0" w14:textId="77777777">
            <w:pPr>
              <w:pStyle w:val="TableParagraph"/>
              <w:ind w:left="120"/>
              <w:jc w:val="left"/>
              <w:rPr>
                <w:sz w:val="21"/>
              </w:rPr>
            </w:pPr>
            <w:r>
              <w:rPr>
                <w:sz w:val="21"/>
              </w:rPr>
              <w:t>District</w:t>
            </w:r>
            <w:r>
              <w:rPr>
                <w:spacing w:val="-7"/>
                <w:sz w:val="21"/>
              </w:rPr>
              <w:t xml:space="preserve"> </w:t>
            </w:r>
            <w:r>
              <w:rPr>
                <w:sz w:val="21"/>
              </w:rPr>
              <w:t>of</w:t>
            </w:r>
            <w:r>
              <w:rPr>
                <w:spacing w:val="-6"/>
                <w:sz w:val="21"/>
              </w:rPr>
              <w:t xml:space="preserve"> </w:t>
            </w:r>
            <w:r>
              <w:rPr>
                <w:sz w:val="21"/>
              </w:rPr>
              <w:t>Columbia</w:t>
            </w:r>
            <w:r>
              <w:rPr>
                <w:spacing w:val="-7"/>
                <w:sz w:val="21"/>
              </w:rPr>
              <w:t xml:space="preserve"> </w:t>
            </w:r>
            <w:r>
              <w:rPr>
                <w:spacing w:val="-2"/>
                <w:sz w:val="21"/>
              </w:rPr>
              <w:t>(DCPS)</w:t>
            </w:r>
          </w:p>
        </w:tc>
        <w:tc>
          <w:tcPr>
            <w:tcW w:w="1180" w:type="dxa"/>
            <w:tcBorders>
              <w:bottom w:val="single" w:sz="12" w:space="0" w:color="800000"/>
            </w:tcBorders>
          </w:tcPr>
          <w:p w:rsidR="003F5784" w14:paraId="27D6920D" w14:textId="77777777">
            <w:pPr>
              <w:pStyle w:val="TableParagraph"/>
              <w:ind w:right="738"/>
              <w:rPr>
                <w:sz w:val="21"/>
              </w:rPr>
            </w:pPr>
            <w:r>
              <w:rPr>
                <w:spacing w:val="-5"/>
                <w:sz w:val="21"/>
              </w:rPr>
              <w:t>50</w:t>
            </w:r>
          </w:p>
        </w:tc>
        <w:tc>
          <w:tcPr>
            <w:tcW w:w="1980" w:type="dxa"/>
            <w:tcBorders>
              <w:bottom w:val="single" w:sz="12" w:space="0" w:color="800000"/>
            </w:tcBorders>
          </w:tcPr>
          <w:p w:rsidR="003F5784" w14:paraId="6DADB225" w14:textId="77777777">
            <w:pPr>
              <w:pStyle w:val="TableParagraph"/>
              <w:ind w:left="159" w:right="112"/>
              <w:jc w:val="center"/>
              <w:rPr>
                <w:sz w:val="21"/>
              </w:rPr>
            </w:pPr>
            <w:r>
              <w:rPr>
                <w:spacing w:val="-2"/>
                <w:sz w:val="21"/>
              </w:rPr>
              <w:t>100.00</w:t>
            </w:r>
          </w:p>
        </w:tc>
        <w:tc>
          <w:tcPr>
            <w:tcW w:w="1800" w:type="dxa"/>
            <w:gridSpan w:val="2"/>
            <w:tcBorders>
              <w:bottom w:val="single" w:sz="12" w:space="0" w:color="800000"/>
            </w:tcBorders>
          </w:tcPr>
          <w:p w:rsidR="003F5784" w14:paraId="3B9839D7" w14:textId="77777777">
            <w:pPr>
              <w:pStyle w:val="TableParagraph"/>
              <w:ind w:right="386"/>
              <w:rPr>
                <w:sz w:val="21"/>
              </w:rPr>
            </w:pPr>
            <w:r>
              <w:rPr>
                <w:spacing w:val="-2"/>
                <w:sz w:val="21"/>
              </w:rPr>
              <w:t>100.00</w:t>
            </w:r>
          </w:p>
        </w:tc>
        <w:tc>
          <w:tcPr>
            <w:tcW w:w="1530" w:type="dxa"/>
            <w:gridSpan w:val="2"/>
            <w:tcBorders>
              <w:bottom w:val="single" w:sz="12" w:space="0" w:color="800000"/>
            </w:tcBorders>
          </w:tcPr>
          <w:p w:rsidR="003F5784" w14:paraId="59EFC572" w14:textId="77777777">
            <w:pPr>
              <w:pStyle w:val="TableParagraph"/>
              <w:ind w:right="462"/>
              <w:rPr>
                <w:sz w:val="21"/>
              </w:rPr>
            </w:pPr>
            <w:r>
              <w:rPr>
                <w:spacing w:val="-2"/>
                <w:sz w:val="21"/>
              </w:rPr>
              <w:t>1,300</w:t>
            </w:r>
          </w:p>
        </w:tc>
        <w:tc>
          <w:tcPr>
            <w:tcW w:w="1170" w:type="dxa"/>
            <w:gridSpan w:val="2"/>
            <w:tcBorders>
              <w:bottom w:val="single" w:sz="12" w:space="0" w:color="800000"/>
            </w:tcBorders>
          </w:tcPr>
          <w:p w:rsidR="003F5784" w14:paraId="5E76862C" w14:textId="77777777">
            <w:pPr>
              <w:pStyle w:val="TableParagraph"/>
              <w:ind w:left="463"/>
              <w:jc w:val="left"/>
              <w:rPr>
                <w:sz w:val="21"/>
              </w:rPr>
            </w:pPr>
            <w:r>
              <w:rPr>
                <w:spacing w:val="-4"/>
                <w:sz w:val="21"/>
              </w:rPr>
              <w:t>3.30</w:t>
            </w:r>
          </w:p>
        </w:tc>
        <w:tc>
          <w:tcPr>
            <w:tcW w:w="1710" w:type="dxa"/>
            <w:tcBorders>
              <w:bottom w:val="single" w:sz="12" w:space="0" w:color="800000"/>
            </w:tcBorders>
          </w:tcPr>
          <w:p w:rsidR="003F5784" w14:paraId="04062513" w14:textId="77777777">
            <w:pPr>
              <w:pStyle w:val="TableParagraph"/>
              <w:ind w:right="22"/>
              <w:jc w:val="center"/>
              <w:rPr>
                <w:sz w:val="21"/>
              </w:rPr>
            </w:pPr>
            <w:r>
              <w:rPr>
                <w:spacing w:val="-2"/>
                <w:sz w:val="21"/>
              </w:rPr>
              <w:t>89.57</w:t>
            </w:r>
          </w:p>
        </w:tc>
        <w:tc>
          <w:tcPr>
            <w:tcW w:w="1620" w:type="dxa"/>
            <w:tcBorders>
              <w:bottom w:val="single" w:sz="12" w:space="0" w:color="800000"/>
            </w:tcBorders>
          </w:tcPr>
          <w:p w:rsidR="003F5784" w14:paraId="7AC8EA45" w14:textId="77777777">
            <w:pPr>
              <w:pStyle w:val="TableParagraph"/>
              <w:ind w:right="118"/>
              <w:rPr>
                <w:sz w:val="21"/>
              </w:rPr>
            </w:pPr>
            <w:r>
              <w:rPr>
                <w:spacing w:val="-2"/>
                <w:sz w:val="21"/>
              </w:rPr>
              <w:t>30.10</w:t>
            </w:r>
          </w:p>
        </w:tc>
      </w:tr>
      <w:tr w14:paraId="566587DA" w14:textId="77777777" w:rsidTr="008C4D83">
        <w:tblPrEx>
          <w:tblW w:w="0" w:type="auto"/>
          <w:tblInd w:w="552" w:type="dxa"/>
          <w:tblLayout w:type="fixed"/>
          <w:tblCellMar>
            <w:left w:w="0" w:type="dxa"/>
            <w:right w:w="0" w:type="dxa"/>
          </w:tblCellMar>
          <w:tblLook w:val="01E0"/>
        </w:tblPrEx>
        <w:trPr>
          <w:gridAfter w:val="1"/>
          <w:wAfter w:w="42" w:type="dxa"/>
          <w:trHeight w:val="266"/>
        </w:trPr>
        <w:tc>
          <w:tcPr>
            <w:tcW w:w="3038" w:type="dxa"/>
            <w:tcBorders>
              <w:top w:val="single" w:sz="12" w:space="0" w:color="800000"/>
            </w:tcBorders>
          </w:tcPr>
          <w:p w:rsidR="003F5784" w14:paraId="38EFA0FE" w14:textId="77777777">
            <w:pPr>
              <w:pStyle w:val="TableParagraph"/>
              <w:spacing w:before="0" w:line="239" w:lineRule="exact"/>
              <w:ind w:left="381"/>
              <w:jc w:val="left"/>
              <w:rPr>
                <w:sz w:val="21"/>
              </w:rPr>
            </w:pPr>
            <w:r>
              <w:rPr>
                <w:sz w:val="21"/>
              </w:rPr>
              <w:t>National</w:t>
            </w:r>
            <w:r>
              <w:rPr>
                <w:spacing w:val="-9"/>
                <w:sz w:val="21"/>
              </w:rPr>
              <w:t xml:space="preserve"> </w:t>
            </w:r>
            <w:r>
              <w:rPr>
                <w:spacing w:val="-2"/>
                <w:sz w:val="21"/>
              </w:rPr>
              <w:t>private</w:t>
            </w:r>
          </w:p>
        </w:tc>
        <w:tc>
          <w:tcPr>
            <w:tcW w:w="1180" w:type="dxa"/>
            <w:tcBorders>
              <w:top w:val="single" w:sz="12" w:space="0" w:color="800000"/>
            </w:tcBorders>
          </w:tcPr>
          <w:p w:rsidR="003F5784" w14:paraId="5BFFF2A9" w14:textId="77777777">
            <w:pPr>
              <w:pStyle w:val="TableParagraph"/>
              <w:spacing w:before="0" w:line="239" w:lineRule="exact"/>
              <w:ind w:right="738"/>
              <w:rPr>
                <w:sz w:val="21"/>
              </w:rPr>
            </w:pPr>
            <w:r>
              <w:rPr>
                <w:spacing w:val="-5"/>
                <w:sz w:val="21"/>
              </w:rPr>
              <w:t>390</w:t>
            </w:r>
          </w:p>
        </w:tc>
        <w:tc>
          <w:tcPr>
            <w:tcW w:w="1980" w:type="dxa"/>
            <w:tcBorders>
              <w:top w:val="single" w:sz="12" w:space="0" w:color="800000"/>
            </w:tcBorders>
          </w:tcPr>
          <w:p w:rsidR="003F5784" w:rsidP="00A35A43" w14:paraId="050D14B1" w14:textId="651EC0BE">
            <w:pPr>
              <w:pStyle w:val="TableParagraph"/>
              <w:tabs>
                <w:tab w:val="center" w:pos="1265"/>
                <w:tab w:val="right" w:pos="2371"/>
              </w:tabs>
              <w:spacing w:before="0" w:line="239" w:lineRule="exact"/>
              <w:ind w:left="159" w:right="8"/>
              <w:jc w:val="left"/>
              <w:rPr>
                <w:sz w:val="21"/>
              </w:rPr>
            </w:pPr>
            <w:r>
              <w:rPr>
                <w:spacing w:val="-2"/>
                <w:sz w:val="21"/>
              </w:rPr>
              <w:tab/>
            </w:r>
            <w:r w:rsidR="00C04193">
              <w:rPr>
                <w:spacing w:val="-2"/>
                <w:sz w:val="21"/>
              </w:rPr>
              <w:t>37.50</w:t>
            </w:r>
            <w:r>
              <w:rPr>
                <w:spacing w:val="-2"/>
                <w:sz w:val="21"/>
              </w:rPr>
              <w:tab/>
            </w:r>
          </w:p>
        </w:tc>
        <w:tc>
          <w:tcPr>
            <w:tcW w:w="1800" w:type="dxa"/>
            <w:gridSpan w:val="2"/>
            <w:tcBorders>
              <w:top w:val="single" w:sz="12" w:space="0" w:color="800000"/>
            </w:tcBorders>
          </w:tcPr>
          <w:p w:rsidR="003F5784" w14:paraId="61DF6EDD" w14:textId="77777777">
            <w:pPr>
              <w:pStyle w:val="TableParagraph"/>
              <w:spacing w:before="0" w:line="239" w:lineRule="exact"/>
              <w:ind w:right="386"/>
              <w:rPr>
                <w:sz w:val="21"/>
              </w:rPr>
            </w:pPr>
            <w:r>
              <w:rPr>
                <w:spacing w:val="-2"/>
                <w:sz w:val="21"/>
              </w:rPr>
              <w:t>33.92</w:t>
            </w:r>
          </w:p>
        </w:tc>
        <w:tc>
          <w:tcPr>
            <w:tcW w:w="1530" w:type="dxa"/>
            <w:gridSpan w:val="2"/>
            <w:tcBorders>
              <w:top w:val="single" w:sz="12" w:space="0" w:color="800000"/>
            </w:tcBorders>
          </w:tcPr>
          <w:p w:rsidR="003F5784" w14:paraId="53AD06B3" w14:textId="77777777">
            <w:pPr>
              <w:pStyle w:val="TableParagraph"/>
              <w:spacing w:before="0" w:line="239" w:lineRule="exact"/>
              <w:ind w:right="462"/>
              <w:rPr>
                <w:sz w:val="21"/>
              </w:rPr>
            </w:pPr>
            <w:r>
              <w:rPr>
                <w:spacing w:val="-2"/>
                <w:sz w:val="21"/>
              </w:rPr>
              <w:t>1,800</w:t>
            </w:r>
          </w:p>
        </w:tc>
        <w:tc>
          <w:tcPr>
            <w:tcW w:w="1170" w:type="dxa"/>
            <w:gridSpan w:val="2"/>
            <w:tcBorders>
              <w:top w:val="single" w:sz="12" w:space="0" w:color="800000"/>
            </w:tcBorders>
          </w:tcPr>
          <w:p w:rsidR="003F5784" w14:paraId="2FE6E8E1" w14:textId="77777777">
            <w:pPr>
              <w:pStyle w:val="TableParagraph"/>
              <w:spacing w:before="0" w:line="239" w:lineRule="exact"/>
              <w:ind w:left="463"/>
              <w:jc w:val="left"/>
              <w:rPr>
                <w:sz w:val="21"/>
              </w:rPr>
            </w:pPr>
            <w:r>
              <w:rPr>
                <w:spacing w:val="-4"/>
                <w:sz w:val="21"/>
              </w:rPr>
              <w:t>0.48</w:t>
            </w:r>
          </w:p>
        </w:tc>
        <w:tc>
          <w:tcPr>
            <w:tcW w:w="1710" w:type="dxa"/>
            <w:tcBorders>
              <w:top w:val="single" w:sz="12" w:space="0" w:color="800000"/>
            </w:tcBorders>
          </w:tcPr>
          <w:p w:rsidR="003F5784" w14:paraId="4880D023" w14:textId="77777777">
            <w:pPr>
              <w:pStyle w:val="TableParagraph"/>
              <w:spacing w:before="0" w:line="239" w:lineRule="exact"/>
              <w:ind w:right="22"/>
              <w:jc w:val="center"/>
              <w:rPr>
                <w:sz w:val="21"/>
              </w:rPr>
            </w:pPr>
            <w:r>
              <w:rPr>
                <w:spacing w:val="-2"/>
                <w:sz w:val="21"/>
              </w:rPr>
              <w:t>93.71</w:t>
            </w:r>
          </w:p>
        </w:tc>
        <w:tc>
          <w:tcPr>
            <w:tcW w:w="1620" w:type="dxa"/>
            <w:tcBorders>
              <w:top w:val="single" w:sz="12" w:space="0" w:color="800000"/>
            </w:tcBorders>
          </w:tcPr>
          <w:p w:rsidR="003F5784" w14:paraId="10BDA4BC" w14:textId="77777777">
            <w:pPr>
              <w:pStyle w:val="TableParagraph"/>
              <w:spacing w:before="0" w:line="239" w:lineRule="exact"/>
              <w:ind w:right="118"/>
              <w:rPr>
                <w:sz w:val="21"/>
              </w:rPr>
            </w:pPr>
            <w:r>
              <w:rPr>
                <w:spacing w:val="-4"/>
                <w:sz w:val="21"/>
              </w:rPr>
              <w:t>5.98</w:t>
            </w:r>
          </w:p>
        </w:tc>
      </w:tr>
      <w:tr w14:paraId="0F225323" w14:textId="77777777" w:rsidTr="008C4D83">
        <w:tblPrEx>
          <w:tblW w:w="0" w:type="auto"/>
          <w:tblInd w:w="552" w:type="dxa"/>
          <w:tblLayout w:type="fixed"/>
          <w:tblCellMar>
            <w:left w:w="0" w:type="dxa"/>
            <w:right w:w="0" w:type="dxa"/>
          </w:tblCellMar>
          <w:tblLook w:val="01E0"/>
        </w:tblPrEx>
        <w:trPr>
          <w:gridAfter w:val="1"/>
          <w:wAfter w:w="42" w:type="dxa"/>
          <w:trHeight w:val="286"/>
        </w:trPr>
        <w:tc>
          <w:tcPr>
            <w:tcW w:w="3038" w:type="dxa"/>
          </w:tcPr>
          <w:p w:rsidR="003F5784" w14:paraId="1019A1F2" w14:textId="77777777">
            <w:pPr>
              <w:pStyle w:val="TableParagraph"/>
              <w:ind w:left="120"/>
              <w:jc w:val="left"/>
              <w:rPr>
                <w:sz w:val="21"/>
              </w:rPr>
            </w:pPr>
            <w:r>
              <w:rPr>
                <w:spacing w:val="-2"/>
                <w:sz w:val="21"/>
              </w:rPr>
              <w:t>Catholic</w:t>
            </w:r>
          </w:p>
        </w:tc>
        <w:tc>
          <w:tcPr>
            <w:tcW w:w="1180" w:type="dxa"/>
          </w:tcPr>
          <w:p w:rsidR="003F5784" w14:paraId="42667C08" w14:textId="77777777">
            <w:pPr>
              <w:pStyle w:val="TableParagraph"/>
              <w:ind w:right="738"/>
              <w:rPr>
                <w:sz w:val="21"/>
              </w:rPr>
            </w:pPr>
            <w:r>
              <w:rPr>
                <w:spacing w:val="-5"/>
                <w:sz w:val="21"/>
              </w:rPr>
              <w:t>120</w:t>
            </w:r>
          </w:p>
        </w:tc>
        <w:tc>
          <w:tcPr>
            <w:tcW w:w="1980" w:type="dxa"/>
          </w:tcPr>
          <w:p w:rsidR="003F5784" w14:paraId="70B124CE" w14:textId="77777777">
            <w:pPr>
              <w:pStyle w:val="TableParagraph"/>
              <w:ind w:left="159" w:right="8"/>
              <w:jc w:val="center"/>
              <w:rPr>
                <w:sz w:val="21"/>
              </w:rPr>
            </w:pPr>
            <w:r>
              <w:rPr>
                <w:spacing w:val="-2"/>
                <w:sz w:val="21"/>
              </w:rPr>
              <w:t>66.61</w:t>
            </w:r>
          </w:p>
        </w:tc>
        <w:tc>
          <w:tcPr>
            <w:tcW w:w="1800" w:type="dxa"/>
            <w:gridSpan w:val="2"/>
          </w:tcPr>
          <w:p w:rsidR="003F5784" w14:paraId="56DDF43C" w14:textId="77777777">
            <w:pPr>
              <w:pStyle w:val="TableParagraph"/>
              <w:ind w:right="386"/>
              <w:rPr>
                <w:sz w:val="21"/>
              </w:rPr>
            </w:pPr>
            <w:r>
              <w:rPr>
                <w:spacing w:val="-2"/>
                <w:sz w:val="21"/>
              </w:rPr>
              <w:t>68.59</w:t>
            </w:r>
          </w:p>
        </w:tc>
        <w:tc>
          <w:tcPr>
            <w:tcW w:w="1530" w:type="dxa"/>
            <w:gridSpan w:val="2"/>
          </w:tcPr>
          <w:p w:rsidR="003F5784" w14:paraId="1BEF9650" w14:textId="77777777">
            <w:pPr>
              <w:pStyle w:val="TableParagraph"/>
              <w:ind w:right="462"/>
              <w:rPr>
                <w:sz w:val="21"/>
              </w:rPr>
            </w:pPr>
            <w:r>
              <w:rPr>
                <w:spacing w:val="-2"/>
                <w:sz w:val="21"/>
              </w:rPr>
              <w:t>1,100</w:t>
            </w:r>
          </w:p>
        </w:tc>
        <w:tc>
          <w:tcPr>
            <w:tcW w:w="1170" w:type="dxa"/>
            <w:gridSpan w:val="2"/>
          </w:tcPr>
          <w:p w:rsidR="003F5784" w14:paraId="51663FD9" w14:textId="77777777">
            <w:pPr>
              <w:pStyle w:val="TableParagraph"/>
              <w:ind w:left="463"/>
              <w:jc w:val="left"/>
              <w:rPr>
                <w:sz w:val="21"/>
              </w:rPr>
            </w:pPr>
            <w:r>
              <w:rPr>
                <w:spacing w:val="-4"/>
                <w:sz w:val="21"/>
              </w:rPr>
              <w:t>0.37</w:t>
            </w:r>
          </w:p>
        </w:tc>
        <w:tc>
          <w:tcPr>
            <w:tcW w:w="1710" w:type="dxa"/>
          </w:tcPr>
          <w:p w:rsidR="003F5784" w14:paraId="5AAC37EE" w14:textId="77777777">
            <w:pPr>
              <w:pStyle w:val="TableParagraph"/>
              <w:ind w:right="22"/>
              <w:jc w:val="center"/>
              <w:rPr>
                <w:sz w:val="21"/>
              </w:rPr>
            </w:pPr>
            <w:r>
              <w:rPr>
                <w:spacing w:val="-2"/>
                <w:sz w:val="21"/>
              </w:rPr>
              <w:t>93.67</w:t>
            </w:r>
          </w:p>
        </w:tc>
        <w:tc>
          <w:tcPr>
            <w:tcW w:w="1620" w:type="dxa"/>
          </w:tcPr>
          <w:p w:rsidR="003F5784" w14:paraId="1BEA85F9" w14:textId="77777777">
            <w:pPr>
              <w:pStyle w:val="TableParagraph"/>
              <w:ind w:right="118"/>
              <w:rPr>
                <w:sz w:val="21"/>
              </w:rPr>
            </w:pPr>
            <w:r>
              <w:rPr>
                <w:spacing w:val="-4"/>
                <w:sz w:val="21"/>
              </w:rPr>
              <w:t>7.03</w:t>
            </w:r>
          </w:p>
        </w:tc>
      </w:tr>
      <w:tr w14:paraId="283989F8" w14:textId="77777777" w:rsidTr="008C4D83">
        <w:tblPrEx>
          <w:tblW w:w="0" w:type="auto"/>
          <w:tblInd w:w="552" w:type="dxa"/>
          <w:tblLayout w:type="fixed"/>
          <w:tblCellMar>
            <w:left w:w="0" w:type="dxa"/>
            <w:right w:w="0" w:type="dxa"/>
          </w:tblCellMar>
          <w:tblLook w:val="01E0"/>
        </w:tblPrEx>
        <w:trPr>
          <w:gridAfter w:val="1"/>
          <w:wAfter w:w="42" w:type="dxa"/>
          <w:trHeight w:val="290"/>
        </w:trPr>
        <w:tc>
          <w:tcPr>
            <w:tcW w:w="3038" w:type="dxa"/>
            <w:tcBorders>
              <w:bottom w:val="single" w:sz="12" w:space="0" w:color="800000"/>
            </w:tcBorders>
          </w:tcPr>
          <w:p w:rsidR="003F5784" w14:paraId="32DC299A" w14:textId="77777777">
            <w:pPr>
              <w:pStyle w:val="TableParagraph"/>
              <w:ind w:left="120"/>
              <w:jc w:val="left"/>
              <w:rPr>
                <w:sz w:val="21"/>
              </w:rPr>
            </w:pPr>
            <w:r>
              <w:rPr>
                <w:spacing w:val="-2"/>
                <w:sz w:val="21"/>
              </w:rPr>
              <w:t>Non-Catholic</w:t>
            </w:r>
          </w:p>
        </w:tc>
        <w:tc>
          <w:tcPr>
            <w:tcW w:w="1180" w:type="dxa"/>
            <w:tcBorders>
              <w:bottom w:val="single" w:sz="12" w:space="0" w:color="800000"/>
            </w:tcBorders>
          </w:tcPr>
          <w:p w:rsidR="003F5784" w14:paraId="4334C226" w14:textId="77777777">
            <w:pPr>
              <w:pStyle w:val="TableParagraph"/>
              <w:ind w:right="738"/>
              <w:rPr>
                <w:sz w:val="21"/>
              </w:rPr>
            </w:pPr>
            <w:r>
              <w:rPr>
                <w:spacing w:val="-5"/>
                <w:sz w:val="21"/>
              </w:rPr>
              <w:t>270</w:t>
            </w:r>
          </w:p>
        </w:tc>
        <w:tc>
          <w:tcPr>
            <w:tcW w:w="1980" w:type="dxa"/>
            <w:tcBorders>
              <w:bottom w:val="single" w:sz="12" w:space="0" w:color="800000"/>
            </w:tcBorders>
          </w:tcPr>
          <w:p w:rsidR="003F5784" w14:paraId="5A091767" w14:textId="77777777">
            <w:pPr>
              <w:pStyle w:val="TableParagraph"/>
              <w:ind w:left="159" w:right="8"/>
              <w:jc w:val="center"/>
              <w:rPr>
                <w:sz w:val="21"/>
              </w:rPr>
            </w:pPr>
            <w:r>
              <w:rPr>
                <w:spacing w:val="-2"/>
                <w:sz w:val="21"/>
              </w:rPr>
              <w:t>20.01</w:t>
            </w:r>
          </w:p>
        </w:tc>
        <w:tc>
          <w:tcPr>
            <w:tcW w:w="1800" w:type="dxa"/>
            <w:gridSpan w:val="2"/>
            <w:tcBorders>
              <w:bottom w:val="single" w:sz="12" w:space="0" w:color="800000"/>
            </w:tcBorders>
          </w:tcPr>
          <w:p w:rsidR="003F5784" w14:paraId="29D39DF7" w14:textId="77777777">
            <w:pPr>
              <w:pStyle w:val="TableParagraph"/>
              <w:ind w:right="386"/>
              <w:rPr>
                <w:sz w:val="21"/>
              </w:rPr>
            </w:pPr>
            <w:r>
              <w:rPr>
                <w:spacing w:val="-2"/>
                <w:sz w:val="21"/>
              </w:rPr>
              <w:t>20.37</w:t>
            </w:r>
          </w:p>
        </w:tc>
        <w:tc>
          <w:tcPr>
            <w:tcW w:w="1530" w:type="dxa"/>
            <w:gridSpan w:val="2"/>
            <w:tcBorders>
              <w:bottom w:val="single" w:sz="12" w:space="0" w:color="800000"/>
            </w:tcBorders>
          </w:tcPr>
          <w:p w:rsidR="003F5784" w14:paraId="365FD483" w14:textId="77777777">
            <w:pPr>
              <w:pStyle w:val="TableParagraph"/>
              <w:ind w:right="462"/>
              <w:rPr>
                <w:sz w:val="21"/>
              </w:rPr>
            </w:pPr>
            <w:r>
              <w:rPr>
                <w:spacing w:val="-5"/>
                <w:sz w:val="21"/>
              </w:rPr>
              <w:t>700</w:t>
            </w:r>
          </w:p>
        </w:tc>
        <w:tc>
          <w:tcPr>
            <w:tcW w:w="1170" w:type="dxa"/>
            <w:gridSpan w:val="2"/>
            <w:tcBorders>
              <w:bottom w:val="single" w:sz="12" w:space="0" w:color="800000"/>
            </w:tcBorders>
          </w:tcPr>
          <w:p w:rsidR="003F5784" w14:paraId="15687FE2" w14:textId="77777777">
            <w:pPr>
              <w:pStyle w:val="TableParagraph"/>
              <w:ind w:left="463"/>
              <w:jc w:val="left"/>
              <w:rPr>
                <w:sz w:val="21"/>
              </w:rPr>
            </w:pPr>
            <w:r>
              <w:rPr>
                <w:spacing w:val="-4"/>
                <w:sz w:val="21"/>
              </w:rPr>
              <w:t>0.54</w:t>
            </w:r>
          </w:p>
        </w:tc>
        <w:tc>
          <w:tcPr>
            <w:tcW w:w="1710" w:type="dxa"/>
            <w:tcBorders>
              <w:bottom w:val="single" w:sz="12" w:space="0" w:color="800000"/>
            </w:tcBorders>
          </w:tcPr>
          <w:p w:rsidR="003F5784" w14:paraId="64FEAFDB" w14:textId="77777777">
            <w:pPr>
              <w:pStyle w:val="TableParagraph"/>
              <w:ind w:right="22"/>
              <w:jc w:val="center"/>
              <w:rPr>
                <w:sz w:val="21"/>
              </w:rPr>
            </w:pPr>
            <w:r>
              <w:rPr>
                <w:spacing w:val="-2"/>
                <w:sz w:val="21"/>
              </w:rPr>
              <w:t>93.77</w:t>
            </w:r>
          </w:p>
        </w:tc>
        <w:tc>
          <w:tcPr>
            <w:tcW w:w="1620" w:type="dxa"/>
            <w:tcBorders>
              <w:bottom w:val="single" w:sz="12" w:space="0" w:color="800000"/>
            </w:tcBorders>
          </w:tcPr>
          <w:p w:rsidR="003F5784" w14:paraId="19AD4B96" w14:textId="77777777">
            <w:pPr>
              <w:pStyle w:val="TableParagraph"/>
              <w:ind w:right="118"/>
              <w:rPr>
                <w:sz w:val="21"/>
              </w:rPr>
            </w:pPr>
            <w:r>
              <w:rPr>
                <w:spacing w:val="-4"/>
                <w:sz w:val="21"/>
              </w:rPr>
              <w:t>5.36</w:t>
            </w:r>
          </w:p>
        </w:tc>
      </w:tr>
      <w:tr w14:paraId="29D84748" w14:textId="77777777" w:rsidTr="008C4D83">
        <w:tblPrEx>
          <w:tblW w:w="0" w:type="auto"/>
          <w:tblInd w:w="552" w:type="dxa"/>
          <w:tblLayout w:type="fixed"/>
          <w:tblCellMar>
            <w:left w:w="0" w:type="dxa"/>
            <w:right w:w="0" w:type="dxa"/>
          </w:tblCellMar>
          <w:tblLook w:val="01E0"/>
        </w:tblPrEx>
        <w:trPr>
          <w:gridAfter w:val="1"/>
          <w:wAfter w:w="42" w:type="dxa"/>
          <w:trHeight w:val="266"/>
        </w:trPr>
        <w:tc>
          <w:tcPr>
            <w:tcW w:w="14028" w:type="dxa"/>
            <w:gridSpan w:val="11"/>
            <w:tcBorders>
              <w:top w:val="single" w:sz="12" w:space="0" w:color="800000"/>
            </w:tcBorders>
          </w:tcPr>
          <w:p w:rsidR="003F5784" w14:paraId="426EA5B7" w14:textId="77777777">
            <w:pPr>
              <w:pStyle w:val="TableParagraph"/>
              <w:spacing w:before="0" w:line="239" w:lineRule="exact"/>
              <w:ind w:left="381"/>
              <w:jc w:val="left"/>
              <w:rPr>
                <w:sz w:val="21"/>
              </w:rPr>
            </w:pPr>
            <w:r>
              <w:rPr>
                <w:sz w:val="21"/>
              </w:rPr>
              <w:t>Other</w:t>
            </w:r>
            <w:r>
              <w:rPr>
                <w:spacing w:val="-6"/>
                <w:sz w:val="21"/>
              </w:rPr>
              <w:t xml:space="preserve"> </w:t>
            </w:r>
            <w:r>
              <w:rPr>
                <w:spacing w:val="-2"/>
                <w:sz w:val="21"/>
              </w:rPr>
              <w:t>jurisdictions</w:t>
            </w:r>
          </w:p>
        </w:tc>
      </w:tr>
      <w:tr w14:paraId="3BD76BE2" w14:textId="77777777" w:rsidTr="008C4D83">
        <w:tblPrEx>
          <w:tblW w:w="0" w:type="auto"/>
          <w:tblInd w:w="552" w:type="dxa"/>
          <w:tblLayout w:type="fixed"/>
          <w:tblCellMar>
            <w:left w:w="0" w:type="dxa"/>
            <w:right w:w="0" w:type="dxa"/>
          </w:tblCellMar>
          <w:tblLook w:val="01E0"/>
        </w:tblPrEx>
        <w:trPr>
          <w:gridAfter w:val="1"/>
          <w:wAfter w:w="42" w:type="dxa"/>
          <w:trHeight w:val="340"/>
        </w:trPr>
        <w:tc>
          <w:tcPr>
            <w:tcW w:w="3038" w:type="dxa"/>
          </w:tcPr>
          <w:p w:rsidR="003F5784" w14:paraId="69335AEA" w14:textId="77777777">
            <w:pPr>
              <w:pStyle w:val="TableParagraph"/>
              <w:spacing w:before="31"/>
              <w:ind w:left="120"/>
              <w:jc w:val="left"/>
              <w:rPr>
                <w:b/>
                <w:sz w:val="17"/>
              </w:rPr>
            </w:pPr>
            <w:r>
              <w:rPr>
                <w:spacing w:val="-2"/>
                <w:sz w:val="21"/>
              </w:rPr>
              <w:t>DoDEA</w:t>
            </w:r>
            <w:r>
              <w:rPr>
                <w:b/>
                <w:spacing w:val="-2"/>
                <w:position w:val="8"/>
                <w:sz w:val="17"/>
              </w:rPr>
              <w:t>2</w:t>
            </w:r>
          </w:p>
        </w:tc>
        <w:tc>
          <w:tcPr>
            <w:tcW w:w="1180" w:type="dxa"/>
          </w:tcPr>
          <w:p w:rsidR="003F5784" w14:paraId="7233A0F7" w14:textId="77777777">
            <w:pPr>
              <w:pStyle w:val="TableParagraph"/>
              <w:ind w:right="738"/>
              <w:rPr>
                <w:sz w:val="21"/>
              </w:rPr>
            </w:pPr>
            <w:r>
              <w:rPr>
                <w:spacing w:val="-5"/>
                <w:sz w:val="21"/>
              </w:rPr>
              <w:t>100</w:t>
            </w:r>
          </w:p>
        </w:tc>
        <w:tc>
          <w:tcPr>
            <w:tcW w:w="1980" w:type="dxa"/>
          </w:tcPr>
          <w:p w:rsidR="003F5784" w14:paraId="41B31B64" w14:textId="77777777">
            <w:pPr>
              <w:pStyle w:val="TableParagraph"/>
              <w:ind w:left="159" w:right="8"/>
              <w:jc w:val="center"/>
              <w:rPr>
                <w:sz w:val="21"/>
              </w:rPr>
            </w:pPr>
            <w:r>
              <w:rPr>
                <w:spacing w:val="-2"/>
                <w:sz w:val="21"/>
              </w:rPr>
              <w:t>94.55</w:t>
            </w:r>
          </w:p>
        </w:tc>
        <w:tc>
          <w:tcPr>
            <w:tcW w:w="1800" w:type="dxa"/>
            <w:gridSpan w:val="2"/>
          </w:tcPr>
          <w:p w:rsidR="003F5784" w14:paraId="0F2EA851" w14:textId="77777777">
            <w:pPr>
              <w:pStyle w:val="TableParagraph"/>
              <w:ind w:right="386"/>
              <w:rPr>
                <w:sz w:val="21"/>
              </w:rPr>
            </w:pPr>
            <w:r>
              <w:rPr>
                <w:spacing w:val="-2"/>
                <w:sz w:val="21"/>
              </w:rPr>
              <w:t>92.13</w:t>
            </w:r>
          </w:p>
        </w:tc>
        <w:tc>
          <w:tcPr>
            <w:tcW w:w="1530" w:type="dxa"/>
            <w:gridSpan w:val="2"/>
          </w:tcPr>
          <w:p w:rsidR="003F5784" w14:paraId="0BFBEEDD" w14:textId="77777777">
            <w:pPr>
              <w:pStyle w:val="TableParagraph"/>
              <w:ind w:right="462"/>
              <w:rPr>
                <w:sz w:val="21"/>
              </w:rPr>
            </w:pPr>
            <w:r>
              <w:rPr>
                <w:spacing w:val="-2"/>
                <w:sz w:val="21"/>
              </w:rPr>
              <w:t>3,000</w:t>
            </w:r>
          </w:p>
        </w:tc>
        <w:tc>
          <w:tcPr>
            <w:tcW w:w="1170" w:type="dxa"/>
            <w:gridSpan w:val="2"/>
          </w:tcPr>
          <w:p w:rsidR="003F5784" w14:paraId="5B075A0B" w14:textId="77777777">
            <w:pPr>
              <w:pStyle w:val="TableParagraph"/>
              <w:ind w:left="463"/>
              <w:jc w:val="left"/>
              <w:rPr>
                <w:sz w:val="21"/>
              </w:rPr>
            </w:pPr>
            <w:r>
              <w:rPr>
                <w:spacing w:val="-4"/>
                <w:sz w:val="21"/>
              </w:rPr>
              <w:t>1.68</w:t>
            </w:r>
          </w:p>
        </w:tc>
        <w:tc>
          <w:tcPr>
            <w:tcW w:w="1710" w:type="dxa"/>
          </w:tcPr>
          <w:p w:rsidR="003F5784" w14:paraId="441635F5" w14:textId="77777777">
            <w:pPr>
              <w:pStyle w:val="TableParagraph"/>
              <w:ind w:right="22"/>
              <w:jc w:val="center"/>
              <w:rPr>
                <w:sz w:val="21"/>
              </w:rPr>
            </w:pPr>
            <w:r>
              <w:rPr>
                <w:spacing w:val="-2"/>
                <w:sz w:val="21"/>
              </w:rPr>
              <w:t>88.71</w:t>
            </w:r>
          </w:p>
        </w:tc>
        <w:tc>
          <w:tcPr>
            <w:tcW w:w="1620" w:type="dxa"/>
          </w:tcPr>
          <w:p w:rsidR="003F5784" w14:paraId="2320C94E" w14:textId="77777777">
            <w:pPr>
              <w:pStyle w:val="TableParagraph"/>
              <w:ind w:right="118"/>
              <w:rPr>
                <w:sz w:val="21"/>
              </w:rPr>
            </w:pPr>
            <w:r>
              <w:rPr>
                <w:spacing w:val="-2"/>
                <w:sz w:val="21"/>
              </w:rPr>
              <w:t>17.62</w:t>
            </w:r>
          </w:p>
        </w:tc>
      </w:tr>
      <w:tr w14:paraId="77AEA1AC" w14:textId="77777777" w:rsidTr="008C4D83">
        <w:tblPrEx>
          <w:tblW w:w="0" w:type="auto"/>
          <w:tblInd w:w="552" w:type="dxa"/>
          <w:tblLayout w:type="fixed"/>
          <w:tblCellMar>
            <w:left w:w="0" w:type="dxa"/>
            <w:right w:w="0" w:type="dxa"/>
          </w:tblCellMar>
          <w:tblLook w:val="01E0"/>
        </w:tblPrEx>
        <w:trPr>
          <w:gridAfter w:val="1"/>
          <w:wAfter w:w="42" w:type="dxa"/>
          <w:trHeight w:val="286"/>
        </w:trPr>
        <w:tc>
          <w:tcPr>
            <w:tcW w:w="3038" w:type="dxa"/>
            <w:tcBorders>
              <w:bottom w:val="single" w:sz="18" w:space="0" w:color="800000"/>
            </w:tcBorders>
          </w:tcPr>
          <w:p w:rsidR="003F5784" w14:paraId="52529FEE" w14:textId="77777777">
            <w:pPr>
              <w:pStyle w:val="TableParagraph"/>
              <w:spacing w:before="15"/>
              <w:ind w:left="120"/>
              <w:jc w:val="left"/>
              <w:rPr>
                <w:sz w:val="21"/>
              </w:rPr>
            </w:pPr>
            <w:r>
              <w:rPr>
                <w:sz w:val="21"/>
              </w:rPr>
              <w:t>Puerto</w:t>
            </w:r>
            <w:r>
              <w:rPr>
                <w:spacing w:val="-7"/>
                <w:sz w:val="21"/>
              </w:rPr>
              <w:t xml:space="preserve"> </w:t>
            </w:r>
            <w:r>
              <w:rPr>
                <w:spacing w:val="-4"/>
                <w:sz w:val="21"/>
              </w:rPr>
              <w:t>Rico</w:t>
            </w:r>
          </w:p>
        </w:tc>
        <w:tc>
          <w:tcPr>
            <w:tcW w:w="1180" w:type="dxa"/>
            <w:tcBorders>
              <w:bottom w:val="single" w:sz="18" w:space="0" w:color="800000"/>
            </w:tcBorders>
          </w:tcPr>
          <w:p w:rsidR="003F5784" w14:paraId="46CE5DB4" w14:textId="77777777">
            <w:pPr>
              <w:pStyle w:val="TableParagraph"/>
              <w:spacing w:before="15"/>
              <w:ind w:right="738"/>
              <w:rPr>
                <w:sz w:val="21"/>
              </w:rPr>
            </w:pPr>
            <w:r>
              <w:rPr>
                <w:spacing w:val="-5"/>
                <w:sz w:val="21"/>
              </w:rPr>
              <w:t>150</w:t>
            </w:r>
          </w:p>
        </w:tc>
        <w:tc>
          <w:tcPr>
            <w:tcW w:w="1980" w:type="dxa"/>
            <w:tcBorders>
              <w:bottom w:val="single" w:sz="18" w:space="0" w:color="800000"/>
            </w:tcBorders>
          </w:tcPr>
          <w:p w:rsidR="003F5784" w14:paraId="75ED9FF9" w14:textId="77777777">
            <w:pPr>
              <w:pStyle w:val="TableParagraph"/>
              <w:spacing w:before="15"/>
              <w:ind w:left="159" w:right="112"/>
              <w:jc w:val="center"/>
              <w:rPr>
                <w:sz w:val="21"/>
              </w:rPr>
            </w:pPr>
            <w:r>
              <w:rPr>
                <w:spacing w:val="-2"/>
                <w:sz w:val="21"/>
              </w:rPr>
              <w:t>100.00</w:t>
            </w:r>
          </w:p>
        </w:tc>
        <w:tc>
          <w:tcPr>
            <w:tcW w:w="1800" w:type="dxa"/>
            <w:gridSpan w:val="2"/>
            <w:tcBorders>
              <w:bottom w:val="single" w:sz="18" w:space="0" w:color="800000"/>
            </w:tcBorders>
          </w:tcPr>
          <w:p w:rsidR="003F5784" w14:paraId="381F0EA4" w14:textId="77777777">
            <w:pPr>
              <w:pStyle w:val="TableParagraph"/>
              <w:spacing w:before="15"/>
              <w:ind w:right="386"/>
              <w:rPr>
                <w:sz w:val="21"/>
              </w:rPr>
            </w:pPr>
            <w:r>
              <w:rPr>
                <w:spacing w:val="-2"/>
                <w:sz w:val="21"/>
              </w:rPr>
              <w:t>100.00</w:t>
            </w:r>
          </w:p>
        </w:tc>
        <w:tc>
          <w:tcPr>
            <w:tcW w:w="1530" w:type="dxa"/>
            <w:gridSpan w:val="2"/>
            <w:tcBorders>
              <w:bottom w:val="single" w:sz="18" w:space="0" w:color="800000"/>
            </w:tcBorders>
          </w:tcPr>
          <w:p w:rsidR="003F5784" w14:paraId="1A8174BC" w14:textId="77777777">
            <w:pPr>
              <w:pStyle w:val="TableParagraph"/>
              <w:spacing w:before="15"/>
              <w:ind w:right="462"/>
              <w:rPr>
                <w:sz w:val="21"/>
              </w:rPr>
            </w:pPr>
            <w:r>
              <w:rPr>
                <w:spacing w:val="-2"/>
                <w:sz w:val="21"/>
              </w:rPr>
              <w:t>3,500</w:t>
            </w:r>
          </w:p>
        </w:tc>
        <w:tc>
          <w:tcPr>
            <w:tcW w:w="1170" w:type="dxa"/>
            <w:gridSpan w:val="2"/>
            <w:tcBorders>
              <w:bottom w:val="single" w:sz="18" w:space="0" w:color="800000"/>
            </w:tcBorders>
          </w:tcPr>
          <w:p w:rsidR="003F5784" w14:paraId="73680AE3" w14:textId="77777777">
            <w:pPr>
              <w:pStyle w:val="TableParagraph"/>
              <w:spacing w:before="15"/>
              <w:ind w:left="463"/>
              <w:jc w:val="left"/>
              <w:rPr>
                <w:sz w:val="21"/>
              </w:rPr>
            </w:pPr>
            <w:r>
              <w:rPr>
                <w:spacing w:val="-4"/>
                <w:sz w:val="21"/>
              </w:rPr>
              <w:t>0.16</w:t>
            </w:r>
          </w:p>
        </w:tc>
        <w:tc>
          <w:tcPr>
            <w:tcW w:w="1710" w:type="dxa"/>
            <w:tcBorders>
              <w:bottom w:val="single" w:sz="18" w:space="0" w:color="800000"/>
            </w:tcBorders>
          </w:tcPr>
          <w:p w:rsidR="003F5784" w14:paraId="7976A850" w14:textId="77777777">
            <w:pPr>
              <w:pStyle w:val="TableParagraph"/>
              <w:spacing w:before="15"/>
              <w:ind w:right="22"/>
              <w:jc w:val="center"/>
              <w:rPr>
                <w:sz w:val="21"/>
              </w:rPr>
            </w:pPr>
            <w:r>
              <w:rPr>
                <w:spacing w:val="-2"/>
                <w:sz w:val="21"/>
              </w:rPr>
              <w:t>92.19</w:t>
            </w:r>
          </w:p>
        </w:tc>
        <w:tc>
          <w:tcPr>
            <w:tcW w:w="1620" w:type="dxa"/>
            <w:tcBorders>
              <w:bottom w:val="single" w:sz="18" w:space="0" w:color="800000"/>
            </w:tcBorders>
          </w:tcPr>
          <w:p w:rsidR="003F5784" w14:paraId="5823FD06" w14:textId="77777777">
            <w:pPr>
              <w:pStyle w:val="TableParagraph"/>
              <w:spacing w:before="15"/>
              <w:ind w:right="118"/>
              <w:rPr>
                <w:sz w:val="21"/>
              </w:rPr>
            </w:pPr>
            <w:r>
              <w:rPr>
                <w:spacing w:val="-2"/>
                <w:sz w:val="21"/>
              </w:rPr>
              <w:t>31.52</w:t>
            </w:r>
          </w:p>
        </w:tc>
      </w:tr>
    </w:tbl>
    <w:p w:rsidR="003F5784" w14:paraId="017D432B" w14:textId="77777777">
      <w:pPr>
        <w:pStyle w:val="BodyText"/>
        <w:spacing w:before="41" w:line="232" w:lineRule="auto"/>
        <w:ind w:left="595" w:right="318"/>
      </w:pPr>
      <w:r>
        <w:rPr>
          <w:position w:val="9"/>
          <w:sz w:val="17"/>
        </w:rPr>
        <w:t>1</w:t>
      </w:r>
      <w:r>
        <w:t>1</w:t>
      </w:r>
      <w:r>
        <w:rPr>
          <w:position w:val="9"/>
          <w:sz w:val="17"/>
        </w:rPr>
        <w:t xml:space="preserve">1 </w:t>
      </w:r>
      <w:r>
        <w:rPr>
          <w:position w:val="1"/>
        </w:rPr>
        <w:t>Includes</w:t>
      </w:r>
      <w:r>
        <w:rPr>
          <w:spacing w:val="-6"/>
          <w:position w:val="1"/>
        </w:rPr>
        <w:t xml:space="preserve"> </w:t>
      </w:r>
      <w:r>
        <w:rPr>
          <w:position w:val="1"/>
        </w:rPr>
        <w:t>national</w:t>
      </w:r>
      <w:r>
        <w:rPr>
          <w:spacing w:val="-6"/>
          <w:position w:val="1"/>
        </w:rPr>
        <w:t xml:space="preserve"> </w:t>
      </w:r>
      <w:r>
        <w:rPr>
          <w:position w:val="1"/>
        </w:rPr>
        <w:t>public</w:t>
      </w:r>
      <w:r>
        <w:rPr>
          <w:spacing w:val="-6"/>
          <w:position w:val="1"/>
        </w:rPr>
        <w:t xml:space="preserve"> </w:t>
      </w:r>
      <w:r>
        <w:rPr>
          <w:position w:val="1"/>
        </w:rPr>
        <w:t>and</w:t>
      </w:r>
      <w:r>
        <w:rPr>
          <w:spacing w:val="-6"/>
          <w:position w:val="1"/>
        </w:rPr>
        <w:t xml:space="preserve"> </w:t>
      </w:r>
      <w:r>
        <w:rPr>
          <w:position w:val="1"/>
        </w:rPr>
        <w:t>national</w:t>
      </w:r>
      <w:r>
        <w:rPr>
          <w:spacing w:val="-6"/>
          <w:position w:val="1"/>
        </w:rPr>
        <w:t xml:space="preserve"> </w:t>
      </w:r>
      <w:r>
        <w:rPr>
          <w:position w:val="1"/>
        </w:rPr>
        <w:t>private</w:t>
      </w:r>
      <w:r>
        <w:rPr>
          <w:spacing w:val="-6"/>
          <w:position w:val="1"/>
        </w:rPr>
        <w:t xml:space="preserve"> </w:t>
      </w:r>
      <w:r>
        <w:rPr>
          <w:position w:val="1"/>
        </w:rPr>
        <w:t>schools</w:t>
      </w:r>
      <w:r>
        <w:rPr>
          <w:spacing w:val="-6"/>
          <w:position w:val="1"/>
        </w:rPr>
        <w:t xml:space="preserve"> </w:t>
      </w:r>
      <w:r>
        <w:rPr>
          <w:position w:val="1"/>
        </w:rPr>
        <w:t>located</w:t>
      </w:r>
      <w:r>
        <w:rPr>
          <w:spacing w:val="-6"/>
          <w:position w:val="1"/>
        </w:rPr>
        <w:t xml:space="preserve"> </w:t>
      </w:r>
      <w:r>
        <w:rPr>
          <w:position w:val="1"/>
        </w:rPr>
        <w:t>in</w:t>
      </w:r>
      <w:r>
        <w:rPr>
          <w:spacing w:val="-6"/>
          <w:position w:val="1"/>
        </w:rPr>
        <w:t xml:space="preserve"> </w:t>
      </w:r>
      <w:r>
        <w:rPr>
          <w:position w:val="1"/>
        </w:rPr>
        <w:t>the</w:t>
      </w:r>
      <w:r>
        <w:rPr>
          <w:spacing w:val="-6"/>
          <w:position w:val="1"/>
        </w:rPr>
        <w:t xml:space="preserve"> </w:t>
      </w:r>
      <w:r>
        <w:rPr>
          <w:position w:val="1"/>
        </w:rPr>
        <w:t>United</w:t>
      </w:r>
      <w:r>
        <w:rPr>
          <w:spacing w:val="-6"/>
          <w:position w:val="1"/>
        </w:rPr>
        <w:t xml:space="preserve"> </w:t>
      </w:r>
      <w:r>
        <w:rPr>
          <w:position w:val="1"/>
        </w:rPr>
        <w:t>States</w:t>
      </w:r>
      <w:r>
        <w:rPr>
          <w:spacing w:val="-6"/>
          <w:position w:val="1"/>
        </w:rPr>
        <w:t xml:space="preserve"> </w:t>
      </w:r>
      <w:r>
        <w:rPr>
          <w:position w:val="1"/>
        </w:rPr>
        <w:t>and</w:t>
      </w:r>
      <w:r>
        <w:rPr>
          <w:spacing w:val="-6"/>
          <w:position w:val="1"/>
        </w:rPr>
        <w:t xml:space="preserve"> </w:t>
      </w:r>
      <w:r>
        <w:rPr>
          <w:position w:val="1"/>
        </w:rPr>
        <w:t>all</w:t>
      </w:r>
      <w:r>
        <w:rPr>
          <w:spacing w:val="-6"/>
          <w:position w:val="1"/>
        </w:rPr>
        <w:t xml:space="preserve"> </w:t>
      </w:r>
      <w:r>
        <w:rPr>
          <w:position w:val="1"/>
        </w:rPr>
        <w:t>Department</w:t>
      </w:r>
      <w:r>
        <w:rPr>
          <w:spacing w:val="-6"/>
          <w:position w:val="1"/>
        </w:rPr>
        <w:t xml:space="preserve"> </w:t>
      </w:r>
      <w:r>
        <w:rPr>
          <w:position w:val="1"/>
        </w:rPr>
        <w:t>of</w:t>
      </w:r>
      <w:r>
        <w:rPr>
          <w:spacing w:val="-6"/>
          <w:position w:val="1"/>
        </w:rPr>
        <w:t xml:space="preserve"> </w:t>
      </w:r>
      <w:r>
        <w:rPr>
          <w:position w:val="1"/>
        </w:rPr>
        <w:t>Defense</w:t>
      </w:r>
      <w:r>
        <w:rPr>
          <w:spacing w:val="-6"/>
          <w:position w:val="1"/>
        </w:rPr>
        <w:t xml:space="preserve"> </w:t>
      </w:r>
      <w:r>
        <w:rPr>
          <w:position w:val="1"/>
        </w:rPr>
        <w:t>Education</w:t>
      </w:r>
      <w:r>
        <w:rPr>
          <w:spacing w:val="-14"/>
          <w:position w:val="1"/>
        </w:rPr>
        <w:t xml:space="preserve"> </w:t>
      </w:r>
      <w:r>
        <w:rPr>
          <w:position w:val="1"/>
        </w:rPr>
        <w:t>Activity</w:t>
      </w:r>
      <w:r>
        <w:rPr>
          <w:spacing w:val="-5"/>
          <w:position w:val="1"/>
        </w:rPr>
        <w:t xml:space="preserve"> </w:t>
      </w:r>
      <w:r>
        <w:rPr>
          <w:position w:val="1"/>
        </w:rPr>
        <w:t>schools,</w:t>
      </w:r>
      <w:r>
        <w:rPr>
          <w:spacing w:val="-6"/>
          <w:position w:val="1"/>
        </w:rPr>
        <w:t xml:space="preserve"> </w:t>
      </w:r>
      <w:r>
        <w:rPr>
          <w:position w:val="1"/>
        </w:rPr>
        <w:t>but</w:t>
      </w:r>
      <w:r>
        <w:rPr>
          <w:spacing w:val="-6"/>
          <w:position w:val="1"/>
        </w:rPr>
        <w:t xml:space="preserve"> </w:t>
      </w:r>
      <w:r>
        <w:rPr>
          <w:position w:val="1"/>
        </w:rPr>
        <w:t>not</w:t>
      </w:r>
      <w:r>
        <w:rPr>
          <w:spacing w:val="-6"/>
          <w:position w:val="1"/>
        </w:rPr>
        <w:t xml:space="preserve"> </w:t>
      </w:r>
      <w:r>
        <w:rPr>
          <w:position w:val="1"/>
        </w:rPr>
        <w:t>schools</w:t>
      </w:r>
      <w:r>
        <w:rPr>
          <w:spacing w:val="-6"/>
          <w:position w:val="1"/>
        </w:rPr>
        <w:t xml:space="preserve"> </w:t>
      </w:r>
      <w:r>
        <w:rPr>
          <w:position w:val="1"/>
        </w:rPr>
        <w:t xml:space="preserve">in </w:t>
      </w:r>
      <w:r>
        <w:t>Puerto Rico.</w:t>
      </w:r>
    </w:p>
    <w:p w:rsidR="003F5784" w14:paraId="3D866984" w14:textId="77777777">
      <w:pPr>
        <w:pStyle w:val="BodyText"/>
        <w:spacing w:before="9" w:line="279" w:lineRule="exact"/>
        <w:ind w:left="595"/>
      </w:pPr>
      <w:r>
        <w:rPr>
          <w:position w:val="8"/>
          <w:sz w:val="17"/>
        </w:rPr>
        <w:t>2</w:t>
      </w:r>
      <w:r>
        <w:t>2</w:t>
      </w:r>
      <w:r>
        <w:rPr>
          <w:position w:val="8"/>
          <w:sz w:val="17"/>
        </w:rPr>
        <w:t xml:space="preserve">2 </w:t>
      </w:r>
      <w:r>
        <w:t>Department</w:t>
      </w:r>
      <w:r>
        <w:rPr>
          <w:spacing w:val="-7"/>
        </w:rPr>
        <w:t xml:space="preserve"> </w:t>
      </w:r>
      <w:r>
        <w:t>of</w:t>
      </w:r>
      <w:r>
        <w:rPr>
          <w:spacing w:val="-6"/>
        </w:rPr>
        <w:t xml:space="preserve"> </w:t>
      </w:r>
      <w:r>
        <w:t>Defense</w:t>
      </w:r>
      <w:r>
        <w:rPr>
          <w:spacing w:val="-6"/>
        </w:rPr>
        <w:t xml:space="preserve"> </w:t>
      </w:r>
      <w:r>
        <w:t>Education</w:t>
      </w:r>
      <w:r>
        <w:rPr>
          <w:spacing w:val="-14"/>
        </w:rPr>
        <w:t xml:space="preserve"> </w:t>
      </w:r>
      <w:r>
        <w:t>Activity</w:t>
      </w:r>
      <w:r>
        <w:rPr>
          <w:spacing w:val="-6"/>
        </w:rPr>
        <w:t xml:space="preserve"> </w:t>
      </w:r>
      <w:r>
        <w:rPr>
          <w:spacing w:val="-2"/>
        </w:rPr>
        <w:t>schools.</w:t>
      </w:r>
    </w:p>
    <w:p w:rsidR="003F5784" w14:paraId="688ABCD3" w14:textId="77777777">
      <w:pPr>
        <w:pStyle w:val="BodyText"/>
        <w:spacing w:line="232" w:lineRule="auto"/>
        <w:ind w:left="595" w:right="318"/>
      </w:pPr>
      <w:r>
        <w:t>NOTE: Numbers of schools are rounded to nearest ten, and numbers of students are rounded to nearest hundred. Detail may not sum to totals due to rounding. 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Mathematics Assessment.</w:t>
      </w:r>
    </w:p>
    <w:p w:rsidR="003F5784" w14:paraId="2D7AE815" w14:textId="77777777">
      <w:pPr>
        <w:pStyle w:val="BodyText"/>
      </w:pPr>
    </w:p>
    <w:p w:rsidR="003F5784" w14:paraId="5F264A04" w14:textId="77777777">
      <w:pPr>
        <w:pStyle w:val="BodyText"/>
      </w:pPr>
    </w:p>
    <w:p w:rsidR="003F5784" w14:paraId="5AF253DE" w14:textId="77777777">
      <w:pPr>
        <w:pStyle w:val="BodyText"/>
        <w:spacing w:before="198"/>
      </w:pPr>
    </w:p>
    <w:p w:rsidR="003F5784" w14:paraId="1D885261" w14:textId="77777777">
      <w:pPr>
        <w:ind w:left="2165"/>
        <w:rPr>
          <w:sz w:val="18"/>
        </w:rPr>
      </w:pPr>
      <w:hyperlink r:id="rId546">
        <w:r>
          <w:rPr>
            <w:spacing w:val="-2"/>
            <w:w w:val="105"/>
            <w:sz w:val="18"/>
          </w:rPr>
          <w:t>http://nces.ed.gov/nationsreportcard/tdw/weighting/2022/participation_exclusion_and_accommodation_rates_for_grade_4_mathematics_for_the_2022_assessment.aspx</w:t>
        </w:r>
      </w:hyperlink>
    </w:p>
    <w:p w:rsidR="003F5784" w14:paraId="11CD07D7" w14:textId="77777777">
      <w:pPr>
        <w:pStyle w:val="BodyText"/>
        <w:spacing w:before="1"/>
        <w:rPr>
          <w:sz w:val="16"/>
        </w:rPr>
      </w:pPr>
      <w:r>
        <w:rPr>
          <w:noProof/>
        </w:rPr>
        <mc:AlternateContent>
          <mc:Choice Requires="wps">
            <w:drawing>
              <wp:anchor distT="0" distB="0" distL="0" distR="0" simplePos="0" relativeHeight="252040192" behindDoc="1" locked="0" layoutInCell="1" allowOverlap="1">
                <wp:simplePos x="0" y="0"/>
                <wp:positionH relativeFrom="page">
                  <wp:posOffset>361937</wp:posOffset>
                </wp:positionH>
                <wp:positionV relativeFrom="paragraph">
                  <wp:posOffset>132642</wp:posOffset>
                </wp:positionV>
                <wp:extent cx="9339580" cy="8890"/>
                <wp:effectExtent l="0" t="0" r="0" b="0"/>
                <wp:wrapTopAndBottom/>
                <wp:docPr id="688" name="Graphic 68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63"/>
                              </a:moveTo>
                              <a:lnTo>
                                <a:pt x="9335110" y="63"/>
                              </a:lnTo>
                              <a:lnTo>
                                <a:pt x="8280" y="63"/>
                              </a:lnTo>
                              <a:lnTo>
                                <a:pt x="0" y="0"/>
                              </a:lnTo>
                              <a:lnTo>
                                <a:pt x="0" y="8280"/>
                              </a:lnTo>
                              <a:lnTo>
                                <a:pt x="9335110" y="8343"/>
                              </a:lnTo>
                              <a:lnTo>
                                <a:pt x="9338970" y="8343"/>
                              </a:lnTo>
                              <a:lnTo>
                                <a:pt x="9338970" y="63"/>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688" o:spid="_x0000_s1223" style="width:735.4pt;height:0.7pt;margin-top:10.45pt;margin-left:28.5pt;mso-position-horizontal-relative:page;mso-wrap-distance-bottom:0;mso-wrap-distance-left:0;mso-wrap-distance-right:0;mso-wrap-distance-top:0;mso-wrap-style:square;position:absolute;visibility:visible;v-text-anchor:top;z-index:-251275264" coordsize="9339580,8890" path="m9338970,63l9335110,63l8280,63,,,,8280l9335110,8343l9338970,8343l9338970,63xe" fillcolor="gray" stroked="f">
                <v:path arrowok="t"/>
                <w10:wrap type="topAndBottom"/>
              </v:shape>
            </w:pict>
          </mc:Fallback>
        </mc:AlternateContent>
      </w:r>
    </w:p>
    <w:p w:rsidR="003F5784" w14:paraId="01B28A37" w14:textId="77777777">
      <w:pPr>
        <w:pStyle w:val="BodyText"/>
        <w:rPr>
          <w:sz w:val="18"/>
        </w:rPr>
      </w:pPr>
    </w:p>
    <w:p w:rsidR="003F5784" w14:paraId="396D21EB" w14:textId="77777777">
      <w:pPr>
        <w:pStyle w:val="BodyText"/>
        <w:spacing w:before="193"/>
        <w:rPr>
          <w:sz w:val="18"/>
        </w:rPr>
      </w:pPr>
    </w:p>
    <w:p w:rsidR="003F5784" w14:paraId="2ABB0838" w14:textId="20879465">
      <w:pPr>
        <w:pStyle w:val="Heading1"/>
        <w:spacing w:line="244" w:lineRule="auto"/>
        <w:ind w:right="179"/>
      </w:pPr>
      <w:r>
        <w:t>NAEP</w:t>
      </w:r>
      <w:r>
        <w:rPr>
          <w:spacing w:val="-5"/>
        </w:rPr>
        <w:t xml:space="preserve"> </w:t>
      </w:r>
      <w:r>
        <w:t>Technical Documentation</w:t>
      </w:r>
      <w:r w:rsidR="00A35A43">
        <w:t xml:space="preserve"> </w:t>
      </w:r>
      <w:r>
        <w:t>Participation, Exclusion, and Accommodation Rates for Grade 4 Reading</w:t>
      </w:r>
    </w:p>
    <w:p w:rsidR="003F5784" w14:paraId="643720A3" w14:textId="77777777">
      <w:pPr>
        <w:pStyle w:val="BodyText"/>
        <w:spacing w:before="287" w:line="232" w:lineRule="auto"/>
        <w:ind w:left="109"/>
      </w:pPr>
      <w:r>
        <w:t>The</w:t>
      </w:r>
      <w:r>
        <w:rPr>
          <w:spacing w:val="-6"/>
        </w:rPr>
        <w:t xml:space="preserve"> </w:t>
      </w:r>
      <w:r>
        <w:t>following</w:t>
      </w:r>
      <w:r>
        <w:rPr>
          <w:spacing w:val="-7"/>
        </w:rPr>
        <w:t xml:space="preserve"> </w:t>
      </w:r>
      <w:r>
        <w:t>table</w:t>
      </w:r>
      <w:r>
        <w:rPr>
          <w:spacing w:val="-6"/>
        </w:rPr>
        <w:t xml:space="preserve"> </w:t>
      </w:r>
      <w:r>
        <w:t>displays</w:t>
      </w:r>
      <w:r>
        <w:rPr>
          <w:spacing w:val="-7"/>
        </w:rPr>
        <w:t xml:space="preserve"> </w:t>
      </w:r>
      <w:r>
        <w:t>the</w:t>
      </w:r>
      <w:r>
        <w:rPr>
          <w:spacing w:val="-6"/>
        </w:rPr>
        <w:t xml:space="preserve"> </w:t>
      </w:r>
      <w:r>
        <w:t>school-</w:t>
      </w:r>
      <w:r>
        <w:rPr>
          <w:spacing w:val="-7"/>
        </w:rPr>
        <w:t xml:space="preserve"> </w:t>
      </w:r>
      <w:r>
        <w:t>and</w:t>
      </w:r>
      <w:r>
        <w:rPr>
          <w:spacing w:val="-6"/>
        </w:rPr>
        <w:t xml:space="preserve"> </w:t>
      </w:r>
      <w:r>
        <w:t>student-level</w:t>
      </w:r>
      <w:r>
        <w:rPr>
          <w:spacing w:val="-7"/>
        </w:rPr>
        <w:t xml:space="preserve"> </w:t>
      </w:r>
      <w:r>
        <w:t>response,</w:t>
      </w:r>
      <w:r>
        <w:rPr>
          <w:spacing w:val="-6"/>
        </w:rPr>
        <w:t xml:space="preserve"> </w:t>
      </w:r>
      <w:r>
        <w:t>exclusion,</w:t>
      </w:r>
      <w:r>
        <w:rPr>
          <w:spacing w:val="-7"/>
        </w:rPr>
        <w:t xml:space="preserve"> </w:t>
      </w:r>
      <w:r>
        <w:t>and</w:t>
      </w:r>
      <w:r>
        <w:rPr>
          <w:spacing w:val="-6"/>
        </w:rPr>
        <w:t xml:space="preserve"> </w:t>
      </w:r>
      <w:r>
        <w:t>accommodation</w:t>
      </w:r>
      <w:r>
        <w:rPr>
          <w:spacing w:val="-7"/>
        </w:rPr>
        <w:t xml:space="preserve"> </w:t>
      </w:r>
      <w:r>
        <w:t>rates</w:t>
      </w:r>
      <w:r>
        <w:rPr>
          <w:spacing w:val="-6"/>
        </w:rPr>
        <w:t xml:space="preserve"> </w:t>
      </w:r>
      <w:r>
        <w:t>for</w:t>
      </w:r>
      <w:r>
        <w:rPr>
          <w:spacing w:val="-7"/>
        </w:rPr>
        <w:t xml:space="preserve"> </w:t>
      </w:r>
      <w:r>
        <w:t>the</w:t>
      </w:r>
      <w:r>
        <w:rPr>
          <w:spacing w:val="-6"/>
        </w:rPr>
        <w:t xml:space="preserve"> </w:t>
      </w:r>
      <w:r>
        <w:t>grade</w:t>
      </w:r>
      <w:r>
        <w:rPr>
          <w:spacing w:val="-7"/>
        </w:rPr>
        <w:t xml:space="preserve"> </w:t>
      </w:r>
      <w:r>
        <w:t>4</w:t>
      </w:r>
      <w:r>
        <w:rPr>
          <w:spacing w:val="-6"/>
        </w:rPr>
        <w:t xml:space="preserve"> </w:t>
      </w:r>
      <w:r>
        <w:t>reading</w:t>
      </w:r>
      <w:r>
        <w:rPr>
          <w:spacing w:val="-7"/>
        </w:rPr>
        <w:t xml:space="preserve"> </w:t>
      </w:r>
      <w:r>
        <w:t>assessment</w:t>
      </w:r>
      <w:r>
        <w:rPr>
          <w:spacing w:val="-6"/>
        </w:rPr>
        <w:t xml:space="preserve"> </w:t>
      </w:r>
      <w:r>
        <w:t>by</w:t>
      </w:r>
      <w:r>
        <w:rPr>
          <w:spacing w:val="-7"/>
        </w:rPr>
        <w:t xml:space="preserve"> </w:t>
      </w:r>
      <w:r>
        <w:t>school</w:t>
      </w:r>
      <w:r>
        <w:rPr>
          <w:spacing w:val="-6"/>
        </w:rPr>
        <w:t xml:space="preserve"> </w:t>
      </w:r>
      <w:r>
        <w:t>type</w:t>
      </w:r>
      <w:r>
        <w:rPr>
          <w:spacing w:val="-7"/>
        </w:rPr>
        <w:t xml:space="preserve"> </w:t>
      </w:r>
      <w:r>
        <w:t>and</w:t>
      </w:r>
      <w:r>
        <w:rPr>
          <w:spacing w:val="-6"/>
        </w:rPr>
        <w:t xml:space="preserve"> </w:t>
      </w:r>
      <w:r>
        <w:t>jurisdiction. Various weights were used in the calculation of the rates, as indicated in the column headings of the table.</w:t>
      </w:r>
    </w:p>
    <w:p w:rsidR="003F5784" w14:paraId="31EBF451" w14:textId="77777777">
      <w:pPr>
        <w:pStyle w:val="BodyText"/>
        <w:spacing w:before="209" w:line="232" w:lineRule="auto"/>
        <w:ind w:left="109" w:right="179"/>
      </w:pPr>
      <w:r>
        <w:t>The participation rates reflect the participation of the original sample schools only and do not reflect any effect of substitution.</w:t>
      </w:r>
      <w:r>
        <w:rPr>
          <w:spacing w:val="-3"/>
        </w:rPr>
        <w:t xml:space="preserve"> </w:t>
      </w:r>
      <w:r>
        <w:t>The rates weighted by the base weight and enrollment</w:t>
      </w:r>
      <w:r>
        <w:rPr>
          <w:spacing w:val="-6"/>
        </w:rPr>
        <w:t xml:space="preserve"> </w:t>
      </w:r>
      <w:r>
        <w:t>show</w:t>
      </w:r>
      <w:r>
        <w:rPr>
          <w:spacing w:val="-6"/>
        </w:rPr>
        <w:t xml:space="preserve"> </w:t>
      </w:r>
      <w:r>
        <w:t>the</w:t>
      </w:r>
      <w:r>
        <w:rPr>
          <w:spacing w:val="-6"/>
        </w:rPr>
        <w:t xml:space="preserve"> </w:t>
      </w:r>
      <w:r>
        <w:t>approximate</w:t>
      </w:r>
      <w:r>
        <w:rPr>
          <w:spacing w:val="-6"/>
        </w:rPr>
        <w:t xml:space="preserve"> </w:t>
      </w:r>
      <w:r>
        <w:t>proportion</w:t>
      </w:r>
      <w:r>
        <w:rPr>
          <w:spacing w:val="-6"/>
        </w:rPr>
        <w:t xml:space="preserve"> </w:t>
      </w:r>
      <w:r>
        <w:t>of</w:t>
      </w:r>
      <w:r>
        <w:rPr>
          <w:spacing w:val="-6"/>
        </w:rPr>
        <w:t xml:space="preserve"> </w:t>
      </w:r>
      <w:r>
        <w:t>the</w:t>
      </w:r>
      <w:r>
        <w:rPr>
          <w:spacing w:val="-6"/>
        </w:rPr>
        <w:t xml:space="preserve"> </w:t>
      </w:r>
      <w:r>
        <w:t>student</w:t>
      </w:r>
      <w:r>
        <w:rPr>
          <w:spacing w:val="-6"/>
        </w:rPr>
        <w:t xml:space="preserve"> </w:t>
      </w:r>
      <w:r>
        <w:t>population</w:t>
      </w:r>
      <w:r>
        <w:rPr>
          <w:spacing w:val="-6"/>
        </w:rPr>
        <w:t xml:space="preserve"> </w:t>
      </w:r>
      <w:r>
        <w:t>in</w:t>
      </w:r>
      <w:r>
        <w:rPr>
          <w:spacing w:val="-6"/>
        </w:rPr>
        <w:t xml:space="preserve"> </w:t>
      </w:r>
      <w:r>
        <w:t>the</w:t>
      </w:r>
      <w:r>
        <w:rPr>
          <w:spacing w:val="-6"/>
        </w:rPr>
        <w:t xml:space="preserve"> </w:t>
      </w:r>
      <w:r>
        <w:t>jurisdiction</w:t>
      </w:r>
      <w:r>
        <w:rPr>
          <w:spacing w:val="-6"/>
        </w:rPr>
        <w:t xml:space="preserve"> </w:t>
      </w:r>
      <w:r>
        <w:t>that</w:t>
      </w:r>
      <w:r>
        <w:rPr>
          <w:spacing w:val="-6"/>
        </w:rPr>
        <w:t xml:space="preserve"> </w:t>
      </w:r>
      <w:r>
        <w:t>is</w:t>
      </w:r>
      <w:r>
        <w:rPr>
          <w:spacing w:val="-6"/>
        </w:rPr>
        <w:t xml:space="preserve"> </w:t>
      </w:r>
      <w:r>
        <w:t>represented</w:t>
      </w:r>
      <w:r>
        <w:rPr>
          <w:spacing w:val="-6"/>
        </w:rPr>
        <w:t xml:space="preserve"> </w:t>
      </w:r>
      <w:r>
        <w:t>by</w:t>
      </w:r>
      <w:r>
        <w:rPr>
          <w:spacing w:val="-6"/>
        </w:rPr>
        <w:t xml:space="preserve"> </w:t>
      </w:r>
      <w:r>
        <w:t>the</w:t>
      </w:r>
      <w:r>
        <w:rPr>
          <w:spacing w:val="-6"/>
        </w:rPr>
        <w:t xml:space="preserve"> </w:t>
      </w:r>
      <w:r>
        <w:t>responding</w:t>
      </w:r>
      <w:r>
        <w:rPr>
          <w:spacing w:val="-6"/>
        </w:rPr>
        <w:t xml:space="preserve"> </w:t>
      </w:r>
      <w:r>
        <w:t>schools</w:t>
      </w:r>
      <w:r>
        <w:rPr>
          <w:spacing w:val="-6"/>
        </w:rPr>
        <w:t xml:space="preserve"> </w:t>
      </w:r>
      <w:r>
        <w:t>in</w:t>
      </w:r>
      <w:r>
        <w:rPr>
          <w:spacing w:val="-6"/>
        </w:rPr>
        <w:t xml:space="preserve"> </w:t>
      </w:r>
      <w:r>
        <w:t>the</w:t>
      </w:r>
      <w:r>
        <w:rPr>
          <w:spacing w:val="-6"/>
        </w:rPr>
        <w:t xml:space="preserve"> </w:t>
      </w:r>
      <w:r>
        <w:t>sample.</w:t>
      </w:r>
      <w:r>
        <w:rPr>
          <w:spacing w:val="-10"/>
        </w:rPr>
        <w:t xml:space="preserve"> </w:t>
      </w:r>
      <w:r>
        <w:t>The</w:t>
      </w:r>
      <w:r>
        <w:rPr>
          <w:spacing w:val="-6"/>
        </w:rPr>
        <w:t xml:space="preserve"> </w:t>
      </w:r>
      <w:r>
        <w:t>rates</w:t>
      </w:r>
      <w:r>
        <w:rPr>
          <w:spacing w:val="-6"/>
        </w:rPr>
        <w:t xml:space="preserve"> </w:t>
      </w:r>
      <w:r>
        <w:t>weighted</w:t>
      </w:r>
      <w:r>
        <w:rPr>
          <w:spacing w:val="-6"/>
        </w:rPr>
        <w:t xml:space="preserve"> </w:t>
      </w:r>
      <w:r>
        <w:t>by</w:t>
      </w:r>
      <w:r>
        <w:rPr>
          <w:spacing w:val="-6"/>
        </w:rPr>
        <w:t xml:space="preserve"> </w:t>
      </w:r>
      <w:r>
        <w:t>just the base weight show the proportion of the school population that is represented by the responding schools in the sample.</w:t>
      </w:r>
      <w:r>
        <w:rPr>
          <w:spacing w:val="-3"/>
        </w:rPr>
        <w:t xml:space="preserve"> </w:t>
      </w:r>
      <w:r>
        <w:t>These rates differ because schools differ in size.</w:t>
      </w:r>
    </w:p>
    <w:p w:rsidR="003F5784" w14:paraId="44089EDE" w14:textId="77777777">
      <w:pPr>
        <w:spacing w:line="232" w:lineRule="auto"/>
        <w:sectPr>
          <w:headerReference w:type="default" r:id="rId547"/>
          <w:footerReference w:type="default" r:id="rId548"/>
          <w:pgSz w:w="15840" w:h="12240" w:orient="landscape"/>
          <w:pgMar w:top="480" w:right="440" w:bottom="460" w:left="460" w:header="284" w:footer="275" w:gutter="0"/>
          <w:cols w:space="720"/>
        </w:sectPr>
      </w:pPr>
    </w:p>
    <w:p w:rsidR="003F5784" w14:paraId="19C38384" w14:textId="77777777">
      <w:pPr>
        <w:pStyle w:val="Heading2"/>
        <w:spacing w:before="203"/>
      </w:pPr>
      <w:r>
        <w:t>Participation,</w:t>
      </w:r>
      <w:r>
        <w:rPr>
          <w:spacing w:val="-8"/>
        </w:rPr>
        <w:t xml:space="preserve"> </w:t>
      </w:r>
      <w:r>
        <w:t>exclusion,</w:t>
      </w:r>
      <w:r>
        <w:rPr>
          <w:spacing w:val="-8"/>
        </w:rPr>
        <w:t xml:space="preserve"> </w:t>
      </w:r>
      <w:r>
        <w:t>and</w:t>
      </w:r>
      <w:r>
        <w:rPr>
          <w:spacing w:val="-8"/>
        </w:rPr>
        <w:t xml:space="preserve"> </w:t>
      </w:r>
      <w:r>
        <w:t>accommodation</w:t>
      </w:r>
      <w:r>
        <w:rPr>
          <w:spacing w:val="-7"/>
        </w:rPr>
        <w:t xml:space="preserve"> </w:t>
      </w:r>
      <w:r>
        <w:t>rates,</w:t>
      </w:r>
      <w:r>
        <w:rPr>
          <w:spacing w:val="-8"/>
        </w:rPr>
        <w:t xml:space="preserve"> </w:t>
      </w:r>
      <w:r>
        <w:t>grade</w:t>
      </w:r>
      <w:r>
        <w:rPr>
          <w:spacing w:val="-8"/>
        </w:rPr>
        <w:t xml:space="preserve"> </w:t>
      </w:r>
      <w:r>
        <w:t>4</w:t>
      </w:r>
      <w:r>
        <w:rPr>
          <w:spacing w:val="-8"/>
        </w:rPr>
        <w:t xml:space="preserve"> </w:t>
      </w:r>
      <w:r>
        <w:t>reading</w:t>
      </w:r>
      <w:r>
        <w:rPr>
          <w:spacing w:val="-7"/>
        </w:rPr>
        <w:t xml:space="preserve"> </w:t>
      </w:r>
      <w:r>
        <w:t>combined</w:t>
      </w:r>
      <w:r>
        <w:rPr>
          <w:spacing w:val="-8"/>
        </w:rPr>
        <w:t xml:space="preserve"> </w:t>
      </w:r>
      <w:r>
        <w:t>national</w:t>
      </w:r>
      <w:r>
        <w:rPr>
          <w:spacing w:val="-8"/>
        </w:rPr>
        <w:t xml:space="preserve"> </w:t>
      </w:r>
      <w:r>
        <w:t>and</w:t>
      </w:r>
      <w:r>
        <w:rPr>
          <w:spacing w:val="-7"/>
        </w:rPr>
        <w:t xml:space="preserve"> </w:t>
      </w:r>
      <w:r>
        <w:t>state</w:t>
      </w:r>
      <w:r>
        <w:rPr>
          <w:spacing w:val="-8"/>
        </w:rPr>
        <w:t xml:space="preserve"> </w:t>
      </w:r>
      <w:r>
        <w:t>assessment,</w:t>
      </w:r>
      <w:r>
        <w:rPr>
          <w:spacing w:val="-8"/>
        </w:rPr>
        <w:t xml:space="preserve"> </w:t>
      </w:r>
      <w:r>
        <w:t>by</w:t>
      </w:r>
      <w:r>
        <w:rPr>
          <w:spacing w:val="-8"/>
        </w:rPr>
        <w:t xml:space="preserve"> </w:t>
      </w:r>
      <w:r>
        <w:t>school</w:t>
      </w:r>
      <w:r>
        <w:rPr>
          <w:spacing w:val="-7"/>
        </w:rPr>
        <w:t xml:space="preserve"> </w:t>
      </w:r>
      <w:r>
        <w:t>type</w:t>
      </w:r>
      <w:r>
        <w:rPr>
          <w:spacing w:val="-8"/>
        </w:rPr>
        <w:t xml:space="preserve"> </w:t>
      </w:r>
      <w:r>
        <w:t>and</w:t>
      </w:r>
      <w:r>
        <w:rPr>
          <w:spacing w:val="-8"/>
        </w:rPr>
        <w:t xml:space="preserve"> </w:t>
      </w:r>
      <w:r>
        <w:t>jurisdiction:</w:t>
      </w:r>
      <w:r>
        <w:rPr>
          <w:spacing w:val="-7"/>
        </w:rPr>
        <w:t xml:space="preserve"> </w:t>
      </w:r>
      <w:r>
        <w:rPr>
          <w:spacing w:val="-4"/>
        </w:rPr>
        <w:t>2022</w:t>
      </w:r>
    </w:p>
    <w:p w:rsidR="003F5784" w14:paraId="7C9922C3"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2693"/>
        <w:gridCol w:w="1272"/>
        <w:gridCol w:w="2055"/>
        <w:gridCol w:w="1990"/>
        <w:gridCol w:w="1304"/>
        <w:gridCol w:w="1202"/>
        <w:gridCol w:w="1738"/>
        <w:gridCol w:w="1733"/>
      </w:tblGrid>
      <w:tr w14:paraId="6505E9DB" w14:textId="77777777">
        <w:tblPrEx>
          <w:tblW w:w="0" w:type="auto"/>
          <w:tblInd w:w="482" w:type="dxa"/>
          <w:tblLayout w:type="fixed"/>
          <w:tblCellMar>
            <w:left w:w="0" w:type="dxa"/>
            <w:right w:w="0" w:type="dxa"/>
          </w:tblCellMar>
          <w:tblLook w:val="01E0"/>
        </w:tblPrEx>
        <w:trPr>
          <w:trHeight w:val="1440"/>
        </w:trPr>
        <w:tc>
          <w:tcPr>
            <w:tcW w:w="2693" w:type="dxa"/>
            <w:tcBorders>
              <w:top w:val="single" w:sz="18" w:space="0" w:color="800000"/>
              <w:bottom w:val="single" w:sz="18" w:space="0" w:color="800000"/>
            </w:tcBorders>
          </w:tcPr>
          <w:p w:rsidR="003F5784" w14:paraId="19D77B71" w14:textId="77777777">
            <w:pPr>
              <w:pStyle w:val="TableParagraph"/>
              <w:spacing w:before="0"/>
              <w:jc w:val="left"/>
              <w:rPr>
                <w:b/>
                <w:sz w:val="21"/>
              </w:rPr>
            </w:pPr>
          </w:p>
          <w:p w:rsidR="003F5784" w14:paraId="7AA76767" w14:textId="77777777">
            <w:pPr>
              <w:pStyle w:val="TableParagraph"/>
              <w:spacing w:before="0"/>
              <w:jc w:val="left"/>
              <w:rPr>
                <w:b/>
                <w:sz w:val="21"/>
              </w:rPr>
            </w:pPr>
          </w:p>
          <w:p w:rsidR="003F5784" w14:paraId="0336D3F5" w14:textId="77777777">
            <w:pPr>
              <w:pStyle w:val="TableParagraph"/>
              <w:spacing w:before="0"/>
              <w:jc w:val="left"/>
              <w:rPr>
                <w:b/>
                <w:sz w:val="21"/>
              </w:rPr>
            </w:pPr>
          </w:p>
          <w:p w:rsidR="003F5784" w14:paraId="696E0317" w14:textId="77777777">
            <w:pPr>
              <w:pStyle w:val="TableParagraph"/>
              <w:spacing w:before="216"/>
              <w:jc w:val="left"/>
              <w:rPr>
                <w:b/>
                <w:sz w:val="21"/>
              </w:rPr>
            </w:pPr>
          </w:p>
          <w:p w:rsidR="003F5784" w14:paraId="3C798630" w14:textId="77777777">
            <w:pPr>
              <w:pStyle w:val="TableParagraph"/>
              <w:spacing w:before="0" w:line="238" w:lineRule="exact"/>
              <w:ind w:left="120"/>
              <w:jc w:val="left"/>
              <w:rPr>
                <w:sz w:val="21"/>
              </w:rPr>
            </w:pPr>
            <w:r>
              <w:rPr>
                <w:sz w:val="21"/>
              </w:rPr>
              <w:t>School</w:t>
            </w:r>
            <w:r>
              <w:rPr>
                <w:spacing w:val="-6"/>
                <w:sz w:val="21"/>
              </w:rPr>
              <w:t xml:space="preserve"> </w:t>
            </w:r>
            <w:r>
              <w:rPr>
                <w:sz w:val="21"/>
              </w:rPr>
              <w:t>type</w:t>
            </w:r>
            <w:r>
              <w:rPr>
                <w:spacing w:val="-5"/>
                <w:sz w:val="21"/>
              </w:rPr>
              <w:t xml:space="preserve"> </w:t>
            </w:r>
            <w:r>
              <w:rPr>
                <w:sz w:val="21"/>
              </w:rPr>
              <w:t>and</w:t>
            </w:r>
            <w:r>
              <w:rPr>
                <w:spacing w:val="-5"/>
                <w:sz w:val="21"/>
              </w:rPr>
              <w:t xml:space="preserve"> </w:t>
            </w:r>
            <w:r>
              <w:rPr>
                <w:spacing w:val="-2"/>
                <w:sz w:val="21"/>
              </w:rPr>
              <w:t>jurisdiction</w:t>
            </w:r>
          </w:p>
        </w:tc>
        <w:tc>
          <w:tcPr>
            <w:tcW w:w="1272" w:type="dxa"/>
            <w:tcBorders>
              <w:top w:val="single" w:sz="18" w:space="0" w:color="800000"/>
              <w:bottom w:val="single" w:sz="18" w:space="0" w:color="800000"/>
            </w:tcBorders>
          </w:tcPr>
          <w:p w:rsidR="003F5784" w14:paraId="1D1DC172" w14:textId="77777777">
            <w:pPr>
              <w:pStyle w:val="TableParagraph"/>
              <w:spacing w:before="9"/>
              <w:jc w:val="left"/>
              <w:rPr>
                <w:b/>
                <w:sz w:val="21"/>
              </w:rPr>
            </w:pPr>
          </w:p>
          <w:p w:rsidR="003F5784" w14:paraId="1992FC5F" w14:textId="77777777">
            <w:pPr>
              <w:pStyle w:val="TableParagraph"/>
              <w:spacing w:before="0" w:line="234" w:lineRule="exact"/>
              <w:ind w:left="296" w:right="133" w:hanging="70"/>
              <w:rPr>
                <w:sz w:val="21"/>
              </w:rPr>
            </w:pPr>
            <w:r>
              <w:rPr>
                <w:sz w:val="21"/>
              </w:rPr>
              <w:t>Number</w:t>
            </w:r>
            <w:r>
              <w:rPr>
                <w:spacing w:val="-14"/>
                <w:sz w:val="21"/>
              </w:rPr>
              <w:t xml:space="preserve"> </w:t>
            </w:r>
            <w:r>
              <w:rPr>
                <w:sz w:val="21"/>
              </w:rPr>
              <w:t>of schools</w:t>
            </w:r>
            <w:r>
              <w:rPr>
                <w:spacing w:val="-14"/>
                <w:sz w:val="21"/>
              </w:rPr>
              <w:t xml:space="preserve"> </w:t>
            </w:r>
            <w:r>
              <w:rPr>
                <w:sz w:val="21"/>
              </w:rPr>
              <w:t xml:space="preserve">in </w:t>
            </w:r>
            <w:r>
              <w:rPr>
                <w:spacing w:val="-2"/>
                <w:sz w:val="21"/>
              </w:rPr>
              <w:t>original sample, rounded</w:t>
            </w:r>
          </w:p>
        </w:tc>
        <w:tc>
          <w:tcPr>
            <w:tcW w:w="2055" w:type="dxa"/>
            <w:tcBorders>
              <w:top w:val="single" w:sz="18" w:space="0" w:color="800000"/>
              <w:bottom w:val="single" w:sz="18" w:space="0" w:color="800000"/>
            </w:tcBorders>
          </w:tcPr>
          <w:p w:rsidR="003F5784" w14:paraId="36E886B4" w14:textId="77777777">
            <w:pPr>
              <w:pStyle w:val="TableParagraph"/>
              <w:spacing w:before="15" w:line="232" w:lineRule="auto"/>
              <w:ind w:left="135" w:right="134" w:firstLine="97"/>
              <w:rPr>
                <w:sz w:val="21"/>
              </w:rPr>
            </w:pPr>
            <w:r>
              <w:rPr>
                <w:spacing w:val="-2"/>
                <w:sz w:val="21"/>
              </w:rPr>
              <w:t>School</w:t>
            </w:r>
            <w:r>
              <w:rPr>
                <w:spacing w:val="-11"/>
                <w:sz w:val="21"/>
              </w:rPr>
              <w:t xml:space="preserve"> </w:t>
            </w:r>
            <w:r>
              <w:rPr>
                <w:spacing w:val="-2"/>
                <w:sz w:val="21"/>
              </w:rPr>
              <w:t xml:space="preserve">participation </w:t>
            </w:r>
            <w:r>
              <w:rPr>
                <w:sz w:val="21"/>
              </w:rPr>
              <w:t>rates</w:t>
            </w:r>
            <w:r>
              <w:rPr>
                <w:spacing w:val="-7"/>
                <w:sz w:val="21"/>
              </w:rPr>
              <w:t xml:space="preserve"> </w:t>
            </w:r>
            <w:r>
              <w:rPr>
                <w:sz w:val="21"/>
              </w:rPr>
              <w:t>(percent)</w:t>
            </w:r>
            <w:r>
              <w:rPr>
                <w:spacing w:val="-7"/>
                <w:sz w:val="21"/>
              </w:rPr>
              <w:t xml:space="preserve"> </w:t>
            </w:r>
            <w:r>
              <w:rPr>
                <w:spacing w:val="-2"/>
                <w:sz w:val="21"/>
              </w:rPr>
              <w:t>before</w:t>
            </w:r>
          </w:p>
          <w:p w:rsidR="003F5784" w14:paraId="11847817" w14:textId="77777777">
            <w:pPr>
              <w:pStyle w:val="TableParagraph"/>
              <w:spacing w:before="1" w:line="232" w:lineRule="auto"/>
              <w:ind w:left="401" w:right="134" w:firstLine="543"/>
              <w:rPr>
                <w:sz w:val="21"/>
              </w:rPr>
            </w:pPr>
            <w:r>
              <w:rPr>
                <w:spacing w:val="-2"/>
                <w:sz w:val="21"/>
              </w:rPr>
              <w:t xml:space="preserve">substitution </w:t>
            </w:r>
            <w:r>
              <w:rPr>
                <w:sz w:val="21"/>
              </w:rPr>
              <w:t>(weighted</w:t>
            </w:r>
            <w:r>
              <w:rPr>
                <w:spacing w:val="-7"/>
                <w:sz w:val="21"/>
              </w:rPr>
              <w:t xml:space="preserve"> </w:t>
            </w:r>
            <w:r>
              <w:rPr>
                <w:sz w:val="21"/>
              </w:rPr>
              <w:t>by</w:t>
            </w:r>
            <w:r>
              <w:rPr>
                <w:spacing w:val="-6"/>
                <w:sz w:val="21"/>
              </w:rPr>
              <w:t xml:space="preserve"> </w:t>
            </w:r>
            <w:r>
              <w:rPr>
                <w:spacing w:val="-4"/>
                <w:sz w:val="21"/>
              </w:rPr>
              <w:t>base</w:t>
            </w:r>
          </w:p>
          <w:p w:rsidR="003F5784" w14:paraId="21FFD5E3" w14:textId="77777777">
            <w:pPr>
              <w:pStyle w:val="TableParagraph"/>
              <w:spacing w:before="0" w:line="234" w:lineRule="exact"/>
              <w:ind w:left="945" w:right="134" w:firstLine="51"/>
              <w:rPr>
                <w:sz w:val="21"/>
              </w:rPr>
            </w:pPr>
            <w:r>
              <w:rPr>
                <w:sz w:val="21"/>
              </w:rPr>
              <w:t>weight</w:t>
            </w:r>
            <w:r>
              <w:rPr>
                <w:spacing w:val="-14"/>
                <w:sz w:val="21"/>
              </w:rPr>
              <w:t xml:space="preserve"> </w:t>
            </w:r>
            <w:r>
              <w:rPr>
                <w:sz w:val="21"/>
              </w:rPr>
              <w:t xml:space="preserve">and </w:t>
            </w:r>
            <w:r>
              <w:rPr>
                <w:spacing w:val="-2"/>
                <w:sz w:val="21"/>
              </w:rPr>
              <w:t>enrollment)</w:t>
            </w:r>
          </w:p>
        </w:tc>
        <w:tc>
          <w:tcPr>
            <w:tcW w:w="1990" w:type="dxa"/>
            <w:tcBorders>
              <w:top w:val="single" w:sz="18" w:space="0" w:color="800000"/>
              <w:bottom w:val="single" w:sz="18" w:space="0" w:color="800000"/>
            </w:tcBorders>
          </w:tcPr>
          <w:p w:rsidR="003F5784" w14:paraId="6EBD1C89" w14:textId="77777777">
            <w:pPr>
              <w:pStyle w:val="TableParagraph"/>
              <w:spacing w:before="8"/>
              <w:jc w:val="left"/>
              <w:rPr>
                <w:b/>
                <w:sz w:val="21"/>
              </w:rPr>
            </w:pPr>
          </w:p>
          <w:p w:rsidR="003F5784" w14:paraId="67FCA103" w14:textId="77777777">
            <w:pPr>
              <w:pStyle w:val="TableParagraph"/>
              <w:spacing w:before="0" w:line="232" w:lineRule="auto"/>
              <w:ind w:left="263" w:right="166" w:hanging="128"/>
              <w:rPr>
                <w:sz w:val="21"/>
              </w:rPr>
            </w:pPr>
            <w:r>
              <w:rPr>
                <w:spacing w:val="-2"/>
                <w:sz w:val="21"/>
              </w:rPr>
              <w:t>School</w:t>
            </w:r>
            <w:r>
              <w:rPr>
                <w:spacing w:val="-11"/>
                <w:sz w:val="21"/>
              </w:rPr>
              <w:t xml:space="preserve"> </w:t>
            </w:r>
            <w:r>
              <w:rPr>
                <w:spacing w:val="-2"/>
                <w:sz w:val="21"/>
              </w:rPr>
              <w:t xml:space="preserve">participation </w:t>
            </w:r>
            <w:r>
              <w:rPr>
                <w:sz w:val="21"/>
              </w:rPr>
              <w:t xml:space="preserve">rates (percent) </w:t>
            </w:r>
            <w:r>
              <w:rPr>
                <w:spacing w:val="-2"/>
                <w:sz w:val="21"/>
              </w:rPr>
              <w:t>before</w:t>
            </w:r>
            <w:r>
              <w:rPr>
                <w:spacing w:val="-12"/>
                <w:sz w:val="21"/>
              </w:rPr>
              <w:t xml:space="preserve"> </w:t>
            </w:r>
            <w:r>
              <w:rPr>
                <w:spacing w:val="-2"/>
                <w:sz w:val="21"/>
              </w:rPr>
              <w:t xml:space="preserve">substitution </w:t>
            </w:r>
            <w:r>
              <w:rPr>
                <w:sz w:val="21"/>
              </w:rPr>
              <w:t>(weighted</w:t>
            </w:r>
            <w:r>
              <w:rPr>
                <w:spacing w:val="-7"/>
                <w:sz w:val="21"/>
              </w:rPr>
              <w:t xml:space="preserve"> </w:t>
            </w:r>
            <w:r>
              <w:rPr>
                <w:sz w:val="21"/>
              </w:rPr>
              <w:t>by</w:t>
            </w:r>
            <w:r>
              <w:rPr>
                <w:spacing w:val="-6"/>
                <w:sz w:val="21"/>
              </w:rPr>
              <w:t xml:space="preserve"> </w:t>
            </w:r>
            <w:r>
              <w:rPr>
                <w:spacing w:val="-4"/>
                <w:sz w:val="21"/>
              </w:rPr>
              <w:t>base</w:t>
            </w:r>
          </w:p>
          <w:p w:rsidR="003F5784" w14:paraId="61B9E9FF" w14:textId="77777777">
            <w:pPr>
              <w:pStyle w:val="TableParagraph"/>
              <w:spacing w:before="0" w:line="234" w:lineRule="exact"/>
              <w:ind w:right="166"/>
              <w:rPr>
                <w:sz w:val="21"/>
              </w:rPr>
            </w:pPr>
            <w:r>
              <w:rPr>
                <w:sz w:val="21"/>
              </w:rPr>
              <w:t>weight</w:t>
            </w:r>
            <w:r>
              <w:rPr>
                <w:spacing w:val="-7"/>
                <w:sz w:val="21"/>
              </w:rPr>
              <w:t xml:space="preserve"> </w:t>
            </w:r>
            <w:r>
              <w:rPr>
                <w:spacing w:val="-2"/>
                <w:sz w:val="21"/>
              </w:rPr>
              <w:t>only)</w:t>
            </w:r>
          </w:p>
        </w:tc>
        <w:tc>
          <w:tcPr>
            <w:tcW w:w="1304" w:type="dxa"/>
            <w:tcBorders>
              <w:top w:val="single" w:sz="18" w:space="0" w:color="800000"/>
              <w:bottom w:val="single" w:sz="18" w:space="0" w:color="800000"/>
            </w:tcBorders>
          </w:tcPr>
          <w:p w:rsidR="003F5784" w14:paraId="3452C9C8" w14:textId="77777777">
            <w:pPr>
              <w:pStyle w:val="TableParagraph"/>
              <w:spacing w:before="0"/>
              <w:jc w:val="left"/>
              <w:rPr>
                <w:b/>
                <w:sz w:val="21"/>
              </w:rPr>
            </w:pPr>
          </w:p>
          <w:p w:rsidR="003F5784" w14:paraId="6713D7F1" w14:textId="77777777">
            <w:pPr>
              <w:pStyle w:val="TableParagraph"/>
              <w:spacing w:before="1"/>
              <w:jc w:val="left"/>
              <w:rPr>
                <w:b/>
                <w:sz w:val="21"/>
              </w:rPr>
            </w:pPr>
          </w:p>
          <w:p w:rsidR="003F5784" w14:paraId="7F503407" w14:textId="77777777">
            <w:pPr>
              <w:pStyle w:val="TableParagraph"/>
              <w:spacing w:before="0" w:line="234" w:lineRule="exact"/>
              <w:ind w:left="329" w:right="225" w:hanging="163"/>
              <w:jc w:val="both"/>
              <w:rPr>
                <w:sz w:val="21"/>
              </w:rPr>
            </w:pPr>
            <w:r>
              <w:rPr>
                <w:sz w:val="21"/>
              </w:rPr>
              <w:t>Number</w:t>
            </w:r>
            <w:r>
              <w:rPr>
                <w:spacing w:val="-14"/>
                <w:sz w:val="21"/>
              </w:rPr>
              <w:t xml:space="preserve"> </w:t>
            </w:r>
            <w:r>
              <w:rPr>
                <w:sz w:val="21"/>
              </w:rPr>
              <w:t xml:space="preserve">of </w:t>
            </w:r>
            <w:r>
              <w:rPr>
                <w:spacing w:val="-2"/>
                <w:sz w:val="21"/>
              </w:rPr>
              <w:t>students sampled, rounded</w:t>
            </w:r>
          </w:p>
        </w:tc>
        <w:tc>
          <w:tcPr>
            <w:tcW w:w="1202" w:type="dxa"/>
            <w:tcBorders>
              <w:top w:val="single" w:sz="18" w:space="0" w:color="800000"/>
              <w:bottom w:val="single" w:sz="18" w:space="0" w:color="800000"/>
            </w:tcBorders>
          </w:tcPr>
          <w:p w:rsidR="003F5784" w14:paraId="42E8FDEF" w14:textId="77777777">
            <w:pPr>
              <w:pStyle w:val="TableParagraph"/>
              <w:spacing w:before="0"/>
              <w:jc w:val="left"/>
              <w:rPr>
                <w:b/>
                <w:sz w:val="21"/>
              </w:rPr>
            </w:pPr>
          </w:p>
          <w:p w:rsidR="003F5784" w14:paraId="7F628A5E" w14:textId="77777777">
            <w:pPr>
              <w:pStyle w:val="TableParagraph"/>
              <w:spacing w:before="1"/>
              <w:jc w:val="left"/>
              <w:rPr>
                <w:b/>
                <w:sz w:val="21"/>
              </w:rPr>
            </w:pPr>
          </w:p>
          <w:p w:rsidR="003F5784" w14:paraId="02634278" w14:textId="77777777">
            <w:pPr>
              <w:pStyle w:val="TableParagraph"/>
              <w:spacing w:before="0" w:line="234" w:lineRule="exact"/>
              <w:ind w:left="225" w:right="135" w:firstLine="45"/>
              <w:rPr>
                <w:sz w:val="21"/>
              </w:rPr>
            </w:pPr>
            <w:r>
              <w:rPr>
                <w:spacing w:val="-4"/>
                <w:sz w:val="21"/>
              </w:rPr>
              <w:t xml:space="preserve">Weighted </w:t>
            </w:r>
            <w:r>
              <w:rPr>
                <w:spacing w:val="-2"/>
                <w:sz w:val="21"/>
              </w:rPr>
              <w:t>percent</w:t>
            </w:r>
            <w:r>
              <w:rPr>
                <w:spacing w:val="-12"/>
                <w:sz w:val="21"/>
              </w:rPr>
              <w:t xml:space="preserve"> </w:t>
            </w:r>
            <w:r>
              <w:rPr>
                <w:spacing w:val="-2"/>
                <w:sz w:val="21"/>
              </w:rPr>
              <w:t>of students excluded</w:t>
            </w:r>
          </w:p>
        </w:tc>
        <w:tc>
          <w:tcPr>
            <w:tcW w:w="1738" w:type="dxa"/>
            <w:tcBorders>
              <w:top w:val="single" w:sz="18" w:space="0" w:color="800000"/>
              <w:bottom w:val="single" w:sz="18" w:space="0" w:color="800000"/>
            </w:tcBorders>
          </w:tcPr>
          <w:p w:rsidR="003F5784" w14:paraId="34F9B50F" w14:textId="77777777">
            <w:pPr>
              <w:pStyle w:val="TableParagraph"/>
              <w:spacing w:before="0"/>
              <w:jc w:val="left"/>
              <w:rPr>
                <w:b/>
                <w:sz w:val="21"/>
              </w:rPr>
            </w:pPr>
          </w:p>
          <w:p w:rsidR="003F5784" w14:paraId="6AA3D485" w14:textId="77777777">
            <w:pPr>
              <w:pStyle w:val="TableParagraph"/>
              <w:spacing w:before="1"/>
              <w:jc w:val="left"/>
              <w:rPr>
                <w:b/>
                <w:sz w:val="21"/>
              </w:rPr>
            </w:pPr>
          </w:p>
          <w:p w:rsidR="003F5784" w14:paraId="2A1CDB84" w14:textId="77777777">
            <w:pPr>
              <w:pStyle w:val="TableParagraph"/>
              <w:spacing w:before="0" w:line="234" w:lineRule="exact"/>
              <w:ind w:left="384" w:right="153" w:hanging="251"/>
              <w:rPr>
                <w:sz w:val="21"/>
              </w:rPr>
            </w:pPr>
            <w:r>
              <w:rPr>
                <w:spacing w:val="-2"/>
                <w:sz w:val="21"/>
              </w:rPr>
              <w:t>Weighted</w:t>
            </w:r>
            <w:r>
              <w:rPr>
                <w:spacing w:val="-12"/>
                <w:sz w:val="21"/>
              </w:rPr>
              <w:t xml:space="preserve"> </w:t>
            </w:r>
            <w:r>
              <w:rPr>
                <w:spacing w:val="-2"/>
                <w:sz w:val="21"/>
              </w:rPr>
              <w:t>student participation rates</w:t>
            </w:r>
            <w:r>
              <w:rPr>
                <w:spacing w:val="-12"/>
                <w:sz w:val="21"/>
              </w:rPr>
              <w:t xml:space="preserve"> </w:t>
            </w:r>
            <w:r>
              <w:rPr>
                <w:spacing w:val="-2"/>
                <w:sz w:val="21"/>
              </w:rPr>
              <w:t xml:space="preserve">(percent) </w:t>
            </w:r>
            <w:r>
              <w:rPr>
                <w:sz w:val="21"/>
              </w:rPr>
              <w:t>after</w:t>
            </w:r>
            <w:r>
              <w:rPr>
                <w:spacing w:val="-5"/>
                <w:sz w:val="21"/>
              </w:rPr>
              <w:t xml:space="preserve"> </w:t>
            </w:r>
            <w:r>
              <w:rPr>
                <w:spacing w:val="-2"/>
                <w:sz w:val="21"/>
              </w:rPr>
              <w:t>makeups</w:t>
            </w:r>
          </w:p>
        </w:tc>
        <w:tc>
          <w:tcPr>
            <w:tcW w:w="1733" w:type="dxa"/>
            <w:tcBorders>
              <w:top w:val="single" w:sz="18" w:space="0" w:color="800000"/>
              <w:bottom w:val="single" w:sz="18" w:space="0" w:color="800000"/>
            </w:tcBorders>
          </w:tcPr>
          <w:p w:rsidR="003F5784" w14:paraId="301E31B1" w14:textId="77777777">
            <w:pPr>
              <w:pStyle w:val="TableParagraph"/>
              <w:spacing w:before="0"/>
              <w:jc w:val="left"/>
              <w:rPr>
                <w:b/>
                <w:sz w:val="21"/>
              </w:rPr>
            </w:pPr>
          </w:p>
          <w:p w:rsidR="003F5784" w14:paraId="11652BDF" w14:textId="77777777">
            <w:pPr>
              <w:pStyle w:val="TableParagraph"/>
              <w:spacing w:before="230"/>
              <w:jc w:val="left"/>
              <w:rPr>
                <w:b/>
                <w:sz w:val="21"/>
              </w:rPr>
            </w:pPr>
          </w:p>
          <w:p w:rsidR="003F5784" w14:paraId="7150B1F2" w14:textId="77777777">
            <w:pPr>
              <w:pStyle w:val="TableParagraph"/>
              <w:spacing w:before="0" w:line="238" w:lineRule="exact"/>
              <w:ind w:right="120"/>
              <w:rPr>
                <w:sz w:val="21"/>
              </w:rPr>
            </w:pPr>
            <w:r>
              <w:rPr>
                <w:spacing w:val="-2"/>
                <w:sz w:val="21"/>
              </w:rPr>
              <w:t>Weighted</w:t>
            </w:r>
            <w:r>
              <w:rPr>
                <w:spacing w:val="-11"/>
                <w:sz w:val="21"/>
              </w:rPr>
              <w:t xml:space="preserve"> </w:t>
            </w:r>
            <w:r>
              <w:rPr>
                <w:spacing w:val="-2"/>
                <w:sz w:val="21"/>
              </w:rPr>
              <w:t>percent</w:t>
            </w:r>
          </w:p>
          <w:p w:rsidR="003F5784" w14:paraId="3FC78A00" w14:textId="77777777">
            <w:pPr>
              <w:pStyle w:val="TableParagraph"/>
              <w:spacing w:before="1" w:line="234" w:lineRule="exact"/>
              <w:ind w:left="348" w:right="120" w:firstLine="352"/>
              <w:rPr>
                <w:sz w:val="21"/>
              </w:rPr>
            </w:pPr>
            <w:r>
              <w:rPr>
                <w:sz w:val="21"/>
              </w:rPr>
              <w:t>of</w:t>
            </w:r>
            <w:r>
              <w:rPr>
                <w:spacing w:val="-14"/>
                <w:sz w:val="21"/>
              </w:rPr>
              <w:t xml:space="preserve"> </w:t>
            </w:r>
            <w:r>
              <w:rPr>
                <w:sz w:val="21"/>
              </w:rPr>
              <w:t xml:space="preserve">students </w:t>
            </w:r>
            <w:r>
              <w:rPr>
                <w:spacing w:val="-2"/>
                <w:sz w:val="21"/>
              </w:rPr>
              <w:t>accommodated</w:t>
            </w:r>
          </w:p>
        </w:tc>
      </w:tr>
      <w:tr w14:paraId="03FF42A3" w14:textId="77777777">
        <w:tblPrEx>
          <w:tblW w:w="0" w:type="auto"/>
          <w:tblInd w:w="482" w:type="dxa"/>
          <w:tblLayout w:type="fixed"/>
          <w:tblCellMar>
            <w:left w:w="0" w:type="dxa"/>
            <w:right w:w="0" w:type="dxa"/>
          </w:tblCellMar>
          <w:tblLook w:val="01E0"/>
        </w:tblPrEx>
        <w:trPr>
          <w:trHeight w:val="281"/>
        </w:trPr>
        <w:tc>
          <w:tcPr>
            <w:tcW w:w="2693" w:type="dxa"/>
            <w:tcBorders>
              <w:top w:val="single" w:sz="18" w:space="0" w:color="800000"/>
              <w:bottom w:val="single" w:sz="12" w:space="0" w:color="800000"/>
            </w:tcBorders>
          </w:tcPr>
          <w:p w:rsidR="003F5784" w14:paraId="2EE957D1" w14:textId="77777777">
            <w:pPr>
              <w:pStyle w:val="TableParagraph"/>
              <w:spacing w:before="9"/>
              <w:ind w:left="370"/>
              <w:jc w:val="left"/>
              <w:rPr>
                <w:b/>
                <w:sz w:val="21"/>
              </w:rPr>
            </w:pPr>
            <w:r>
              <w:rPr>
                <w:b/>
                <w:spacing w:val="-5"/>
                <w:sz w:val="21"/>
              </w:rPr>
              <w:t>All</w:t>
            </w:r>
          </w:p>
        </w:tc>
        <w:tc>
          <w:tcPr>
            <w:tcW w:w="1272" w:type="dxa"/>
            <w:tcBorders>
              <w:top w:val="single" w:sz="18" w:space="0" w:color="800000"/>
              <w:bottom w:val="single" w:sz="12" w:space="0" w:color="800000"/>
            </w:tcBorders>
          </w:tcPr>
          <w:p w:rsidR="003F5784" w14:paraId="48DABDEC" w14:textId="77777777">
            <w:pPr>
              <w:pStyle w:val="TableParagraph"/>
              <w:spacing w:before="9"/>
              <w:ind w:right="133"/>
              <w:rPr>
                <w:b/>
                <w:sz w:val="21"/>
              </w:rPr>
            </w:pPr>
            <w:r>
              <w:rPr>
                <w:b/>
                <w:spacing w:val="-2"/>
                <w:sz w:val="21"/>
              </w:rPr>
              <w:t>6,260</w:t>
            </w:r>
          </w:p>
        </w:tc>
        <w:tc>
          <w:tcPr>
            <w:tcW w:w="2055" w:type="dxa"/>
            <w:tcBorders>
              <w:top w:val="single" w:sz="18" w:space="0" w:color="800000"/>
              <w:bottom w:val="single" w:sz="12" w:space="0" w:color="800000"/>
            </w:tcBorders>
          </w:tcPr>
          <w:p w:rsidR="003F5784" w14:paraId="0AB4EE24" w14:textId="77777777">
            <w:pPr>
              <w:pStyle w:val="TableParagraph"/>
              <w:spacing w:before="9"/>
              <w:ind w:right="134"/>
              <w:rPr>
                <w:b/>
                <w:sz w:val="21"/>
              </w:rPr>
            </w:pPr>
            <w:r>
              <w:rPr>
                <w:b/>
                <w:spacing w:val="-2"/>
                <w:sz w:val="21"/>
              </w:rPr>
              <w:t>94.45</w:t>
            </w:r>
          </w:p>
        </w:tc>
        <w:tc>
          <w:tcPr>
            <w:tcW w:w="1990" w:type="dxa"/>
            <w:tcBorders>
              <w:top w:val="single" w:sz="18" w:space="0" w:color="800000"/>
              <w:bottom w:val="single" w:sz="12" w:space="0" w:color="800000"/>
            </w:tcBorders>
          </w:tcPr>
          <w:p w:rsidR="003F5784" w14:paraId="5A2081AA" w14:textId="77777777">
            <w:pPr>
              <w:pStyle w:val="TableParagraph"/>
              <w:spacing w:before="9"/>
              <w:ind w:right="166"/>
              <w:rPr>
                <w:b/>
                <w:sz w:val="21"/>
              </w:rPr>
            </w:pPr>
            <w:r>
              <w:rPr>
                <w:b/>
                <w:spacing w:val="-2"/>
                <w:sz w:val="21"/>
              </w:rPr>
              <w:t>82.79</w:t>
            </w:r>
          </w:p>
        </w:tc>
        <w:tc>
          <w:tcPr>
            <w:tcW w:w="1304" w:type="dxa"/>
            <w:tcBorders>
              <w:top w:val="single" w:sz="18" w:space="0" w:color="800000"/>
              <w:bottom w:val="single" w:sz="12" w:space="0" w:color="800000"/>
            </w:tcBorders>
          </w:tcPr>
          <w:p w:rsidR="003F5784" w14:paraId="2C1B4581" w14:textId="77777777">
            <w:pPr>
              <w:pStyle w:val="TableParagraph"/>
              <w:spacing w:before="9"/>
              <w:ind w:right="225"/>
              <w:rPr>
                <w:b/>
                <w:sz w:val="21"/>
              </w:rPr>
            </w:pPr>
            <w:r>
              <w:rPr>
                <w:b/>
                <w:spacing w:val="-2"/>
                <w:sz w:val="21"/>
              </w:rPr>
              <w:t>127,000</w:t>
            </w:r>
          </w:p>
        </w:tc>
        <w:tc>
          <w:tcPr>
            <w:tcW w:w="1202" w:type="dxa"/>
            <w:tcBorders>
              <w:top w:val="single" w:sz="18" w:space="0" w:color="800000"/>
              <w:bottom w:val="single" w:sz="12" w:space="0" w:color="800000"/>
            </w:tcBorders>
          </w:tcPr>
          <w:p w:rsidR="003F5784" w14:paraId="2D462B2C" w14:textId="77777777">
            <w:pPr>
              <w:pStyle w:val="TableParagraph"/>
              <w:spacing w:before="9"/>
              <w:ind w:right="135"/>
              <w:rPr>
                <w:b/>
                <w:sz w:val="21"/>
              </w:rPr>
            </w:pPr>
            <w:r>
              <w:rPr>
                <w:b/>
                <w:spacing w:val="-4"/>
                <w:sz w:val="21"/>
              </w:rPr>
              <w:t>1.96</w:t>
            </w:r>
          </w:p>
        </w:tc>
        <w:tc>
          <w:tcPr>
            <w:tcW w:w="1738" w:type="dxa"/>
            <w:tcBorders>
              <w:top w:val="single" w:sz="18" w:space="0" w:color="800000"/>
              <w:bottom w:val="single" w:sz="12" w:space="0" w:color="800000"/>
            </w:tcBorders>
          </w:tcPr>
          <w:p w:rsidR="003F5784" w14:paraId="77F3117F" w14:textId="77777777">
            <w:pPr>
              <w:pStyle w:val="TableParagraph"/>
              <w:spacing w:before="9"/>
              <w:ind w:right="153"/>
              <w:rPr>
                <w:b/>
                <w:sz w:val="21"/>
              </w:rPr>
            </w:pPr>
            <w:r>
              <w:rPr>
                <w:b/>
                <w:spacing w:val="-2"/>
                <w:sz w:val="21"/>
              </w:rPr>
              <w:t>91.70</w:t>
            </w:r>
          </w:p>
        </w:tc>
        <w:tc>
          <w:tcPr>
            <w:tcW w:w="1733" w:type="dxa"/>
            <w:tcBorders>
              <w:top w:val="single" w:sz="18" w:space="0" w:color="800000"/>
              <w:bottom w:val="single" w:sz="12" w:space="0" w:color="800000"/>
            </w:tcBorders>
          </w:tcPr>
          <w:p w:rsidR="003F5784" w14:paraId="42F31F29" w14:textId="77777777">
            <w:pPr>
              <w:pStyle w:val="TableParagraph"/>
              <w:spacing w:before="9"/>
              <w:ind w:right="120"/>
              <w:rPr>
                <w:b/>
                <w:sz w:val="21"/>
              </w:rPr>
            </w:pPr>
            <w:r>
              <w:rPr>
                <w:b/>
                <w:spacing w:val="-2"/>
                <w:sz w:val="21"/>
              </w:rPr>
              <w:t>14.09</w:t>
            </w:r>
          </w:p>
        </w:tc>
      </w:tr>
      <w:tr w14:paraId="563F6355" w14:textId="77777777">
        <w:tblPrEx>
          <w:tblW w:w="0" w:type="auto"/>
          <w:tblInd w:w="482" w:type="dxa"/>
          <w:tblLayout w:type="fixed"/>
          <w:tblCellMar>
            <w:left w:w="0" w:type="dxa"/>
            <w:right w:w="0" w:type="dxa"/>
          </w:tblCellMar>
          <w:tblLook w:val="01E0"/>
        </w:tblPrEx>
        <w:trPr>
          <w:trHeight w:val="320"/>
        </w:trPr>
        <w:tc>
          <w:tcPr>
            <w:tcW w:w="2693" w:type="dxa"/>
            <w:tcBorders>
              <w:top w:val="single" w:sz="12" w:space="0" w:color="800000"/>
            </w:tcBorders>
          </w:tcPr>
          <w:p w:rsidR="003F5784" w14:paraId="72AC196A" w14:textId="77777777">
            <w:pPr>
              <w:pStyle w:val="TableParagraph"/>
              <w:spacing w:before="11"/>
              <w:ind w:left="381"/>
              <w:jc w:val="left"/>
              <w:rPr>
                <w:b/>
                <w:sz w:val="17"/>
              </w:rPr>
            </w:pPr>
            <w:r>
              <w:rPr>
                <w:sz w:val="21"/>
              </w:rPr>
              <w:t>National</w:t>
            </w:r>
            <w:r>
              <w:rPr>
                <w:spacing w:val="-9"/>
                <w:sz w:val="21"/>
              </w:rPr>
              <w:t xml:space="preserve"> </w:t>
            </w:r>
            <w:r>
              <w:rPr>
                <w:spacing w:val="-4"/>
                <w:sz w:val="21"/>
              </w:rPr>
              <w:t>all</w:t>
            </w:r>
            <w:r>
              <w:rPr>
                <w:b/>
                <w:spacing w:val="-4"/>
                <w:position w:val="8"/>
                <w:sz w:val="17"/>
              </w:rPr>
              <w:t>1</w:t>
            </w:r>
          </w:p>
        </w:tc>
        <w:tc>
          <w:tcPr>
            <w:tcW w:w="1272" w:type="dxa"/>
            <w:tcBorders>
              <w:top w:val="single" w:sz="12" w:space="0" w:color="800000"/>
            </w:tcBorders>
          </w:tcPr>
          <w:p w:rsidR="003F5784" w14:paraId="4F57EC2C" w14:textId="77777777">
            <w:pPr>
              <w:pStyle w:val="TableParagraph"/>
              <w:spacing w:before="0" w:line="239" w:lineRule="exact"/>
              <w:ind w:right="133"/>
              <w:rPr>
                <w:sz w:val="21"/>
              </w:rPr>
            </w:pPr>
            <w:r>
              <w:rPr>
                <w:spacing w:val="-2"/>
                <w:sz w:val="21"/>
              </w:rPr>
              <w:t>6,260</w:t>
            </w:r>
          </w:p>
        </w:tc>
        <w:tc>
          <w:tcPr>
            <w:tcW w:w="2055" w:type="dxa"/>
            <w:tcBorders>
              <w:top w:val="single" w:sz="12" w:space="0" w:color="800000"/>
            </w:tcBorders>
          </w:tcPr>
          <w:p w:rsidR="003F5784" w14:paraId="7B0C26C7" w14:textId="77777777">
            <w:pPr>
              <w:pStyle w:val="TableParagraph"/>
              <w:spacing w:before="0" w:line="239" w:lineRule="exact"/>
              <w:ind w:right="134"/>
              <w:rPr>
                <w:sz w:val="21"/>
              </w:rPr>
            </w:pPr>
            <w:r>
              <w:rPr>
                <w:spacing w:val="-2"/>
                <w:sz w:val="21"/>
              </w:rPr>
              <w:t>94.45</w:t>
            </w:r>
          </w:p>
        </w:tc>
        <w:tc>
          <w:tcPr>
            <w:tcW w:w="1990" w:type="dxa"/>
            <w:tcBorders>
              <w:top w:val="single" w:sz="12" w:space="0" w:color="800000"/>
            </w:tcBorders>
          </w:tcPr>
          <w:p w:rsidR="003F5784" w14:paraId="1C38957C" w14:textId="77777777">
            <w:pPr>
              <w:pStyle w:val="TableParagraph"/>
              <w:spacing w:before="0" w:line="239" w:lineRule="exact"/>
              <w:ind w:right="166"/>
              <w:rPr>
                <w:sz w:val="21"/>
              </w:rPr>
            </w:pPr>
            <w:r>
              <w:rPr>
                <w:spacing w:val="-2"/>
                <w:sz w:val="21"/>
              </w:rPr>
              <w:t>82.79</w:t>
            </w:r>
          </w:p>
        </w:tc>
        <w:tc>
          <w:tcPr>
            <w:tcW w:w="1304" w:type="dxa"/>
            <w:tcBorders>
              <w:top w:val="single" w:sz="12" w:space="0" w:color="800000"/>
            </w:tcBorders>
          </w:tcPr>
          <w:p w:rsidR="003F5784" w14:paraId="41CB6CD2" w14:textId="77777777">
            <w:pPr>
              <w:pStyle w:val="TableParagraph"/>
              <w:spacing w:before="0" w:line="239" w:lineRule="exact"/>
              <w:ind w:right="225"/>
              <w:rPr>
                <w:sz w:val="21"/>
              </w:rPr>
            </w:pPr>
            <w:r>
              <w:rPr>
                <w:spacing w:val="-2"/>
                <w:sz w:val="21"/>
              </w:rPr>
              <w:t>127,000</w:t>
            </w:r>
          </w:p>
        </w:tc>
        <w:tc>
          <w:tcPr>
            <w:tcW w:w="1202" w:type="dxa"/>
            <w:tcBorders>
              <w:top w:val="single" w:sz="12" w:space="0" w:color="800000"/>
            </w:tcBorders>
          </w:tcPr>
          <w:p w:rsidR="003F5784" w14:paraId="341A85AA" w14:textId="77777777">
            <w:pPr>
              <w:pStyle w:val="TableParagraph"/>
              <w:spacing w:before="0" w:line="239" w:lineRule="exact"/>
              <w:ind w:right="135"/>
              <w:rPr>
                <w:sz w:val="21"/>
              </w:rPr>
            </w:pPr>
            <w:r>
              <w:rPr>
                <w:spacing w:val="-4"/>
                <w:sz w:val="21"/>
              </w:rPr>
              <w:t>1.96</w:t>
            </w:r>
          </w:p>
        </w:tc>
        <w:tc>
          <w:tcPr>
            <w:tcW w:w="1738" w:type="dxa"/>
            <w:tcBorders>
              <w:top w:val="single" w:sz="12" w:space="0" w:color="800000"/>
            </w:tcBorders>
          </w:tcPr>
          <w:p w:rsidR="003F5784" w14:paraId="78868845" w14:textId="77777777">
            <w:pPr>
              <w:pStyle w:val="TableParagraph"/>
              <w:spacing w:before="0" w:line="239" w:lineRule="exact"/>
              <w:ind w:right="153"/>
              <w:rPr>
                <w:sz w:val="21"/>
              </w:rPr>
            </w:pPr>
            <w:r>
              <w:rPr>
                <w:spacing w:val="-2"/>
                <w:sz w:val="21"/>
              </w:rPr>
              <w:t>91.70</w:t>
            </w:r>
          </w:p>
        </w:tc>
        <w:tc>
          <w:tcPr>
            <w:tcW w:w="1733" w:type="dxa"/>
            <w:tcBorders>
              <w:top w:val="single" w:sz="12" w:space="0" w:color="800000"/>
            </w:tcBorders>
          </w:tcPr>
          <w:p w:rsidR="003F5784" w14:paraId="5C26C423" w14:textId="77777777">
            <w:pPr>
              <w:pStyle w:val="TableParagraph"/>
              <w:spacing w:before="0" w:line="239" w:lineRule="exact"/>
              <w:ind w:right="120"/>
              <w:rPr>
                <w:sz w:val="21"/>
              </w:rPr>
            </w:pPr>
            <w:r>
              <w:rPr>
                <w:spacing w:val="-2"/>
                <w:sz w:val="21"/>
              </w:rPr>
              <w:t>14.09</w:t>
            </w:r>
          </w:p>
        </w:tc>
      </w:tr>
      <w:tr w14:paraId="4817D689" w14:textId="77777777">
        <w:tblPrEx>
          <w:tblW w:w="0" w:type="auto"/>
          <w:tblInd w:w="482" w:type="dxa"/>
          <w:tblLayout w:type="fixed"/>
          <w:tblCellMar>
            <w:left w:w="0" w:type="dxa"/>
            <w:right w:w="0" w:type="dxa"/>
          </w:tblCellMar>
          <w:tblLook w:val="01E0"/>
        </w:tblPrEx>
        <w:trPr>
          <w:trHeight w:val="284"/>
        </w:trPr>
        <w:tc>
          <w:tcPr>
            <w:tcW w:w="2693" w:type="dxa"/>
          </w:tcPr>
          <w:p w:rsidR="003F5784" w14:paraId="58D28DF1" w14:textId="77777777">
            <w:pPr>
              <w:pStyle w:val="TableParagraph"/>
              <w:spacing w:before="15"/>
              <w:ind w:left="120"/>
              <w:jc w:val="left"/>
              <w:rPr>
                <w:sz w:val="21"/>
              </w:rPr>
            </w:pPr>
            <w:r>
              <w:rPr>
                <w:sz w:val="21"/>
              </w:rPr>
              <w:t>Northeast</w:t>
            </w:r>
            <w:r>
              <w:rPr>
                <w:spacing w:val="-10"/>
                <w:sz w:val="21"/>
              </w:rPr>
              <w:t xml:space="preserve"> </w:t>
            </w:r>
            <w:r>
              <w:rPr>
                <w:spacing w:val="-5"/>
                <w:sz w:val="21"/>
              </w:rPr>
              <w:t>all</w:t>
            </w:r>
          </w:p>
        </w:tc>
        <w:tc>
          <w:tcPr>
            <w:tcW w:w="1272" w:type="dxa"/>
          </w:tcPr>
          <w:p w:rsidR="003F5784" w14:paraId="209C3D21" w14:textId="77777777">
            <w:pPr>
              <w:pStyle w:val="TableParagraph"/>
              <w:spacing w:before="15"/>
              <w:ind w:right="133"/>
              <w:rPr>
                <w:sz w:val="21"/>
              </w:rPr>
            </w:pPr>
            <w:r>
              <w:rPr>
                <w:spacing w:val="-2"/>
                <w:sz w:val="21"/>
              </w:rPr>
              <w:t>1,060</w:t>
            </w:r>
          </w:p>
        </w:tc>
        <w:tc>
          <w:tcPr>
            <w:tcW w:w="2055" w:type="dxa"/>
          </w:tcPr>
          <w:p w:rsidR="003F5784" w14:paraId="24E1E804" w14:textId="77777777">
            <w:pPr>
              <w:pStyle w:val="TableParagraph"/>
              <w:spacing w:before="15"/>
              <w:ind w:right="134"/>
              <w:rPr>
                <w:sz w:val="21"/>
              </w:rPr>
            </w:pPr>
            <w:r>
              <w:rPr>
                <w:spacing w:val="-2"/>
                <w:sz w:val="21"/>
              </w:rPr>
              <w:t>91.11</w:t>
            </w:r>
          </w:p>
        </w:tc>
        <w:tc>
          <w:tcPr>
            <w:tcW w:w="1990" w:type="dxa"/>
          </w:tcPr>
          <w:p w:rsidR="003F5784" w14:paraId="098EB0CE" w14:textId="77777777">
            <w:pPr>
              <w:pStyle w:val="TableParagraph"/>
              <w:spacing w:before="15"/>
              <w:ind w:right="166"/>
              <w:rPr>
                <w:sz w:val="21"/>
              </w:rPr>
            </w:pPr>
            <w:r>
              <w:rPr>
                <w:spacing w:val="-2"/>
                <w:sz w:val="21"/>
              </w:rPr>
              <w:t>76.06</w:t>
            </w:r>
          </w:p>
        </w:tc>
        <w:tc>
          <w:tcPr>
            <w:tcW w:w="1304" w:type="dxa"/>
          </w:tcPr>
          <w:p w:rsidR="003F5784" w14:paraId="42219006" w14:textId="77777777">
            <w:pPr>
              <w:pStyle w:val="TableParagraph"/>
              <w:spacing w:before="15"/>
              <w:ind w:right="225"/>
              <w:rPr>
                <w:sz w:val="21"/>
              </w:rPr>
            </w:pPr>
            <w:r>
              <w:rPr>
                <w:spacing w:val="-2"/>
                <w:sz w:val="21"/>
              </w:rPr>
              <w:t>20,400</w:t>
            </w:r>
          </w:p>
        </w:tc>
        <w:tc>
          <w:tcPr>
            <w:tcW w:w="1202" w:type="dxa"/>
          </w:tcPr>
          <w:p w:rsidR="003F5784" w14:paraId="1C9F1112" w14:textId="77777777">
            <w:pPr>
              <w:pStyle w:val="TableParagraph"/>
              <w:spacing w:before="15"/>
              <w:ind w:right="135"/>
              <w:rPr>
                <w:sz w:val="21"/>
              </w:rPr>
            </w:pPr>
            <w:r>
              <w:rPr>
                <w:spacing w:val="-4"/>
                <w:sz w:val="21"/>
              </w:rPr>
              <w:t>2.14</w:t>
            </w:r>
          </w:p>
        </w:tc>
        <w:tc>
          <w:tcPr>
            <w:tcW w:w="1738" w:type="dxa"/>
          </w:tcPr>
          <w:p w:rsidR="003F5784" w14:paraId="1D5E9FAE" w14:textId="77777777">
            <w:pPr>
              <w:pStyle w:val="TableParagraph"/>
              <w:spacing w:before="15"/>
              <w:ind w:right="153"/>
              <w:rPr>
                <w:sz w:val="21"/>
              </w:rPr>
            </w:pPr>
            <w:r>
              <w:rPr>
                <w:spacing w:val="-2"/>
                <w:sz w:val="21"/>
              </w:rPr>
              <w:t>90.18</w:t>
            </w:r>
          </w:p>
        </w:tc>
        <w:tc>
          <w:tcPr>
            <w:tcW w:w="1733" w:type="dxa"/>
          </w:tcPr>
          <w:p w:rsidR="003F5784" w14:paraId="52209C45" w14:textId="77777777">
            <w:pPr>
              <w:pStyle w:val="TableParagraph"/>
              <w:spacing w:before="15"/>
              <w:ind w:right="120"/>
              <w:rPr>
                <w:sz w:val="21"/>
              </w:rPr>
            </w:pPr>
            <w:r>
              <w:rPr>
                <w:spacing w:val="-2"/>
                <w:sz w:val="21"/>
              </w:rPr>
              <w:t>16.94</w:t>
            </w:r>
          </w:p>
        </w:tc>
      </w:tr>
      <w:tr w14:paraId="78EC0D8B" w14:textId="77777777">
        <w:tblPrEx>
          <w:tblW w:w="0" w:type="auto"/>
          <w:tblInd w:w="482" w:type="dxa"/>
          <w:tblLayout w:type="fixed"/>
          <w:tblCellMar>
            <w:left w:w="0" w:type="dxa"/>
            <w:right w:w="0" w:type="dxa"/>
          </w:tblCellMar>
          <w:tblLook w:val="01E0"/>
        </w:tblPrEx>
        <w:trPr>
          <w:trHeight w:val="286"/>
        </w:trPr>
        <w:tc>
          <w:tcPr>
            <w:tcW w:w="2693" w:type="dxa"/>
          </w:tcPr>
          <w:p w:rsidR="003F5784" w14:paraId="558E2CF2" w14:textId="77777777">
            <w:pPr>
              <w:pStyle w:val="TableParagraph"/>
              <w:ind w:left="120"/>
              <w:jc w:val="left"/>
              <w:rPr>
                <w:sz w:val="21"/>
              </w:rPr>
            </w:pPr>
            <w:r>
              <w:rPr>
                <w:sz w:val="21"/>
              </w:rPr>
              <w:t>Midwest</w:t>
            </w:r>
            <w:r>
              <w:rPr>
                <w:spacing w:val="-9"/>
                <w:sz w:val="21"/>
              </w:rPr>
              <w:t xml:space="preserve"> </w:t>
            </w:r>
            <w:r>
              <w:rPr>
                <w:spacing w:val="-5"/>
                <w:sz w:val="21"/>
              </w:rPr>
              <w:t>all</w:t>
            </w:r>
          </w:p>
        </w:tc>
        <w:tc>
          <w:tcPr>
            <w:tcW w:w="1272" w:type="dxa"/>
          </w:tcPr>
          <w:p w:rsidR="003F5784" w14:paraId="4A5F1E53" w14:textId="77777777">
            <w:pPr>
              <w:pStyle w:val="TableParagraph"/>
              <w:ind w:right="133"/>
              <w:rPr>
                <w:sz w:val="21"/>
              </w:rPr>
            </w:pPr>
            <w:r>
              <w:rPr>
                <w:spacing w:val="-2"/>
                <w:sz w:val="21"/>
              </w:rPr>
              <w:t>1,460</w:t>
            </w:r>
          </w:p>
        </w:tc>
        <w:tc>
          <w:tcPr>
            <w:tcW w:w="2055" w:type="dxa"/>
          </w:tcPr>
          <w:p w:rsidR="003F5784" w14:paraId="3E1B2AE6" w14:textId="77777777">
            <w:pPr>
              <w:pStyle w:val="TableParagraph"/>
              <w:ind w:right="134"/>
              <w:rPr>
                <w:sz w:val="21"/>
              </w:rPr>
            </w:pPr>
            <w:r>
              <w:rPr>
                <w:spacing w:val="-2"/>
                <w:sz w:val="21"/>
              </w:rPr>
              <w:t>95.32</w:t>
            </w:r>
          </w:p>
        </w:tc>
        <w:tc>
          <w:tcPr>
            <w:tcW w:w="1990" w:type="dxa"/>
          </w:tcPr>
          <w:p w:rsidR="003F5784" w14:paraId="33497DBE" w14:textId="77777777">
            <w:pPr>
              <w:pStyle w:val="TableParagraph"/>
              <w:ind w:right="166"/>
              <w:rPr>
                <w:sz w:val="21"/>
              </w:rPr>
            </w:pPr>
            <w:r>
              <w:rPr>
                <w:spacing w:val="-2"/>
                <w:sz w:val="21"/>
              </w:rPr>
              <w:t>85.44</w:t>
            </w:r>
          </w:p>
        </w:tc>
        <w:tc>
          <w:tcPr>
            <w:tcW w:w="1304" w:type="dxa"/>
          </w:tcPr>
          <w:p w:rsidR="003F5784" w14:paraId="2569A0BE" w14:textId="77777777">
            <w:pPr>
              <w:pStyle w:val="TableParagraph"/>
              <w:ind w:right="225"/>
              <w:rPr>
                <w:sz w:val="21"/>
              </w:rPr>
            </w:pPr>
            <w:r>
              <w:rPr>
                <w:spacing w:val="-2"/>
                <w:sz w:val="21"/>
              </w:rPr>
              <w:t>27,600</w:t>
            </w:r>
          </w:p>
        </w:tc>
        <w:tc>
          <w:tcPr>
            <w:tcW w:w="1202" w:type="dxa"/>
          </w:tcPr>
          <w:p w:rsidR="003F5784" w14:paraId="60484DC5" w14:textId="77777777">
            <w:pPr>
              <w:pStyle w:val="TableParagraph"/>
              <w:ind w:right="135"/>
              <w:rPr>
                <w:sz w:val="21"/>
              </w:rPr>
            </w:pPr>
            <w:r>
              <w:rPr>
                <w:spacing w:val="-4"/>
                <w:sz w:val="21"/>
              </w:rPr>
              <w:t>1.44</w:t>
            </w:r>
          </w:p>
        </w:tc>
        <w:tc>
          <w:tcPr>
            <w:tcW w:w="1738" w:type="dxa"/>
          </w:tcPr>
          <w:p w:rsidR="003F5784" w14:paraId="50DC79F9" w14:textId="77777777">
            <w:pPr>
              <w:pStyle w:val="TableParagraph"/>
              <w:ind w:right="153"/>
              <w:rPr>
                <w:sz w:val="21"/>
              </w:rPr>
            </w:pPr>
            <w:r>
              <w:rPr>
                <w:spacing w:val="-2"/>
                <w:sz w:val="21"/>
              </w:rPr>
              <w:t>92.11</w:t>
            </w:r>
          </w:p>
        </w:tc>
        <w:tc>
          <w:tcPr>
            <w:tcW w:w="1733" w:type="dxa"/>
          </w:tcPr>
          <w:p w:rsidR="003F5784" w14:paraId="35402584" w14:textId="77777777">
            <w:pPr>
              <w:pStyle w:val="TableParagraph"/>
              <w:ind w:right="120"/>
              <w:rPr>
                <w:sz w:val="21"/>
              </w:rPr>
            </w:pPr>
            <w:r>
              <w:rPr>
                <w:spacing w:val="-2"/>
                <w:sz w:val="21"/>
              </w:rPr>
              <w:t>12.57</w:t>
            </w:r>
          </w:p>
        </w:tc>
      </w:tr>
      <w:tr w14:paraId="306B2085" w14:textId="77777777">
        <w:tblPrEx>
          <w:tblW w:w="0" w:type="auto"/>
          <w:tblInd w:w="482" w:type="dxa"/>
          <w:tblLayout w:type="fixed"/>
          <w:tblCellMar>
            <w:left w:w="0" w:type="dxa"/>
            <w:right w:w="0" w:type="dxa"/>
          </w:tblCellMar>
          <w:tblLook w:val="01E0"/>
        </w:tblPrEx>
        <w:trPr>
          <w:trHeight w:val="286"/>
        </w:trPr>
        <w:tc>
          <w:tcPr>
            <w:tcW w:w="2693" w:type="dxa"/>
          </w:tcPr>
          <w:p w:rsidR="003F5784" w14:paraId="12D09079" w14:textId="77777777">
            <w:pPr>
              <w:pStyle w:val="TableParagraph"/>
              <w:ind w:left="120"/>
              <w:jc w:val="left"/>
              <w:rPr>
                <w:sz w:val="21"/>
              </w:rPr>
            </w:pPr>
            <w:r>
              <w:rPr>
                <w:sz w:val="21"/>
              </w:rPr>
              <w:t>South</w:t>
            </w:r>
            <w:r>
              <w:rPr>
                <w:spacing w:val="-6"/>
                <w:sz w:val="21"/>
              </w:rPr>
              <w:t xml:space="preserve"> </w:t>
            </w:r>
            <w:r>
              <w:rPr>
                <w:spacing w:val="-5"/>
                <w:sz w:val="21"/>
              </w:rPr>
              <w:t>all</w:t>
            </w:r>
          </w:p>
        </w:tc>
        <w:tc>
          <w:tcPr>
            <w:tcW w:w="1272" w:type="dxa"/>
          </w:tcPr>
          <w:p w:rsidR="003F5784" w14:paraId="664338EA" w14:textId="77777777">
            <w:pPr>
              <w:pStyle w:val="TableParagraph"/>
              <w:ind w:right="133"/>
              <w:rPr>
                <w:sz w:val="21"/>
              </w:rPr>
            </w:pPr>
            <w:r>
              <w:rPr>
                <w:spacing w:val="-2"/>
                <w:sz w:val="21"/>
              </w:rPr>
              <w:t>2,170</w:t>
            </w:r>
          </w:p>
        </w:tc>
        <w:tc>
          <w:tcPr>
            <w:tcW w:w="2055" w:type="dxa"/>
          </w:tcPr>
          <w:p w:rsidR="003F5784" w14:paraId="3BEB435F" w14:textId="77777777">
            <w:pPr>
              <w:pStyle w:val="TableParagraph"/>
              <w:ind w:right="134"/>
              <w:rPr>
                <w:sz w:val="21"/>
              </w:rPr>
            </w:pPr>
            <w:r>
              <w:rPr>
                <w:spacing w:val="-2"/>
                <w:sz w:val="21"/>
              </w:rPr>
              <w:t>94.70</w:t>
            </w:r>
          </w:p>
        </w:tc>
        <w:tc>
          <w:tcPr>
            <w:tcW w:w="1990" w:type="dxa"/>
          </w:tcPr>
          <w:p w:rsidR="003F5784" w14:paraId="4B846F99" w14:textId="77777777">
            <w:pPr>
              <w:pStyle w:val="TableParagraph"/>
              <w:ind w:right="166"/>
              <w:rPr>
                <w:sz w:val="21"/>
              </w:rPr>
            </w:pPr>
            <w:r>
              <w:rPr>
                <w:spacing w:val="-2"/>
                <w:sz w:val="21"/>
              </w:rPr>
              <w:t>82.26</w:t>
            </w:r>
          </w:p>
        </w:tc>
        <w:tc>
          <w:tcPr>
            <w:tcW w:w="1304" w:type="dxa"/>
          </w:tcPr>
          <w:p w:rsidR="003F5784" w14:paraId="32BA237D" w14:textId="77777777">
            <w:pPr>
              <w:pStyle w:val="TableParagraph"/>
              <w:ind w:right="225"/>
              <w:rPr>
                <w:sz w:val="21"/>
              </w:rPr>
            </w:pPr>
            <w:r>
              <w:rPr>
                <w:spacing w:val="-2"/>
                <w:sz w:val="21"/>
              </w:rPr>
              <w:t>47,200</w:t>
            </w:r>
          </w:p>
        </w:tc>
        <w:tc>
          <w:tcPr>
            <w:tcW w:w="1202" w:type="dxa"/>
          </w:tcPr>
          <w:p w:rsidR="003F5784" w14:paraId="29F04342" w14:textId="77777777">
            <w:pPr>
              <w:pStyle w:val="TableParagraph"/>
              <w:ind w:right="135"/>
              <w:rPr>
                <w:sz w:val="21"/>
              </w:rPr>
            </w:pPr>
            <w:r>
              <w:rPr>
                <w:spacing w:val="-4"/>
                <w:sz w:val="21"/>
              </w:rPr>
              <w:t>2.22</w:t>
            </w:r>
          </w:p>
        </w:tc>
        <w:tc>
          <w:tcPr>
            <w:tcW w:w="1738" w:type="dxa"/>
          </w:tcPr>
          <w:p w:rsidR="003F5784" w14:paraId="01511472" w14:textId="77777777">
            <w:pPr>
              <w:pStyle w:val="TableParagraph"/>
              <w:ind w:right="153"/>
              <w:rPr>
                <w:sz w:val="21"/>
              </w:rPr>
            </w:pPr>
            <w:r>
              <w:rPr>
                <w:spacing w:val="-2"/>
                <w:sz w:val="21"/>
              </w:rPr>
              <w:t>92.36</w:t>
            </w:r>
          </w:p>
        </w:tc>
        <w:tc>
          <w:tcPr>
            <w:tcW w:w="1733" w:type="dxa"/>
          </w:tcPr>
          <w:p w:rsidR="003F5784" w14:paraId="1E8A083F" w14:textId="77777777">
            <w:pPr>
              <w:pStyle w:val="TableParagraph"/>
              <w:ind w:right="120"/>
              <w:rPr>
                <w:sz w:val="21"/>
              </w:rPr>
            </w:pPr>
            <w:r>
              <w:rPr>
                <w:spacing w:val="-2"/>
                <w:sz w:val="21"/>
              </w:rPr>
              <w:t>16.86</w:t>
            </w:r>
          </w:p>
        </w:tc>
      </w:tr>
      <w:tr w14:paraId="52565D64" w14:textId="77777777">
        <w:tblPrEx>
          <w:tblW w:w="0" w:type="auto"/>
          <w:tblInd w:w="482" w:type="dxa"/>
          <w:tblLayout w:type="fixed"/>
          <w:tblCellMar>
            <w:left w:w="0" w:type="dxa"/>
            <w:right w:w="0" w:type="dxa"/>
          </w:tblCellMar>
          <w:tblLook w:val="01E0"/>
        </w:tblPrEx>
        <w:trPr>
          <w:trHeight w:val="290"/>
        </w:trPr>
        <w:tc>
          <w:tcPr>
            <w:tcW w:w="2693" w:type="dxa"/>
            <w:tcBorders>
              <w:bottom w:val="single" w:sz="12" w:space="0" w:color="800000"/>
            </w:tcBorders>
          </w:tcPr>
          <w:p w:rsidR="003F5784" w14:paraId="18CB662C" w14:textId="77777777">
            <w:pPr>
              <w:pStyle w:val="TableParagraph"/>
              <w:ind w:left="120"/>
              <w:jc w:val="left"/>
              <w:rPr>
                <w:sz w:val="21"/>
              </w:rPr>
            </w:pPr>
            <w:r>
              <w:rPr>
                <w:spacing w:val="-4"/>
                <w:sz w:val="21"/>
              </w:rPr>
              <w:t>West</w:t>
            </w:r>
            <w:r>
              <w:rPr>
                <w:spacing w:val="-7"/>
                <w:sz w:val="21"/>
              </w:rPr>
              <w:t xml:space="preserve"> </w:t>
            </w:r>
            <w:r>
              <w:rPr>
                <w:spacing w:val="-5"/>
                <w:sz w:val="21"/>
              </w:rPr>
              <w:t>all</w:t>
            </w:r>
          </w:p>
        </w:tc>
        <w:tc>
          <w:tcPr>
            <w:tcW w:w="1272" w:type="dxa"/>
            <w:tcBorders>
              <w:bottom w:val="single" w:sz="12" w:space="0" w:color="800000"/>
            </w:tcBorders>
          </w:tcPr>
          <w:p w:rsidR="003F5784" w14:paraId="4E1B6BA1" w14:textId="77777777">
            <w:pPr>
              <w:pStyle w:val="TableParagraph"/>
              <w:ind w:right="133"/>
              <w:rPr>
                <w:sz w:val="21"/>
              </w:rPr>
            </w:pPr>
            <w:r>
              <w:rPr>
                <w:spacing w:val="-2"/>
                <w:sz w:val="21"/>
              </w:rPr>
              <w:t>1,500</w:t>
            </w:r>
          </w:p>
        </w:tc>
        <w:tc>
          <w:tcPr>
            <w:tcW w:w="2055" w:type="dxa"/>
            <w:tcBorders>
              <w:bottom w:val="single" w:sz="12" w:space="0" w:color="800000"/>
            </w:tcBorders>
          </w:tcPr>
          <w:p w:rsidR="003F5784" w14:paraId="0CFCE62E" w14:textId="77777777">
            <w:pPr>
              <w:pStyle w:val="TableParagraph"/>
              <w:ind w:right="134"/>
              <w:rPr>
                <w:sz w:val="21"/>
              </w:rPr>
            </w:pPr>
            <w:r>
              <w:rPr>
                <w:spacing w:val="-2"/>
                <w:sz w:val="21"/>
              </w:rPr>
              <w:t>95.54</w:t>
            </w:r>
          </w:p>
        </w:tc>
        <w:tc>
          <w:tcPr>
            <w:tcW w:w="1990" w:type="dxa"/>
            <w:tcBorders>
              <w:bottom w:val="single" w:sz="12" w:space="0" w:color="800000"/>
            </w:tcBorders>
          </w:tcPr>
          <w:p w:rsidR="003F5784" w14:paraId="5D17370B" w14:textId="77777777">
            <w:pPr>
              <w:pStyle w:val="TableParagraph"/>
              <w:ind w:right="166"/>
              <w:rPr>
                <w:sz w:val="21"/>
              </w:rPr>
            </w:pPr>
            <w:r>
              <w:rPr>
                <w:spacing w:val="-2"/>
                <w:sz w:val="21"/>
              </w:rPr>
              <w:t>85.60</w:t>
            </w:r>
          </w:p>
        </w:tc>
        <w:tc>
          <w:tcPr>
            <w:tcW w:w="1304" w:type="dxa"/>
            <w:tcBorders>
              <w:bottom w:val="single" w:sz="12" w:space="0" w:color="800000"/>
            </w:tcBorders>
          </w:tcPr>
          <w:p w:rsidR="003F5784" w14:paraId="5EA79402" w14:textId="77777777">
            <w:pPr>
              <w:pStyle w:val="TableParagraph"/>
              <w:ind w:right="225"/>
              <w:rPr>
                <w:sz w:val="21"/>
              </w:rPr>
            </w:pPr>
            <w:r>
              <w:rPr>
                <w:spacing w:val="-2"/>
                <w:sz w:val="21"/>
              </w:rPr>
              <w:t>29,900</w:t>
            </w:r>
          </w:p>
        </w:tc>
        <w:tc>
          <w:tcPr>
            <w:tcW w:w="1202" w:type="dxa"/>
            <w:tcBorders>
              <w:bottom w:val="single" w:sz="12" w:space="0" w:color="800000"/>
            </w:tcBorders>
          </w:tcPr>
          <w:p w:rsidR="003F5784" w14:paraId="5DE609F6" w14:textId="77777777">
            <w:pPr>
              <w:pStyle w:val="TableParagraph"/>
              <w:ind w:right="135"/>
              <w:rPr>
                <w:sz w:val="21"/>
              </w:rPr>
            </w:pPr>
            <w:r>
              <w:rPr>
                <w:spacing w:val="-4"/>
                <w:sz w:val="21"/>
              </w:rPr>
              <w:t>1.85</w:t>
            </w:r>
          </w:p>
        </w:tc>
        <w:tc>
          <w:tcPr>
            <w:tcW w:w="1738" w:type="dxa"/>
            <w:tcBorders>
              <w:bottom w:val="single" w:sz="12" w:space="0" w:color="800000"/>
            </w:tcBorders>
          </w:tcPr>
          <w:p w:rsidR="003F5784" w14:paraId="5D18F829" w14:textId="77777777">
            <w:pPr>
              <w:pStyle w:val="TableParagraph"/>
              <w:ind w:right="153"/>
              <w:rPr>
                <w:sz w:val="21"/>
              </w:rPr>
            </w:pPr>
            <w:r>
              <w:rPr>
                <w:spacing w:val="-2"/>
                <w:sz w:val="21"/>
              </w:rPr>
              <w:t>91.23</w:t>
            </w:r>
          </w:p>
        </w:tc>
        <w:tc>
          <w:tcPr>
            <w:tcW w:w="1733" w:type="dxa"/>
            <w:tcBorders>
              <w:bottom w:val="single" w:sz="12" w:space="0" w:color="800000"/>
            </w:tcBorders>
          </w:tcPr>
          <w:p w:rsidR="003F5784" w14:paraId="21F515E9" w14:textId="77777777">
            <w:pPr>
              <w:pStyle w:val="TableParagraph"/>
              <w:ind w:right="120"/>
              <w:rPr>
                <w:sz w:val="21"/>
              </w:rPr>
            </w:pPr>
            <w:r>
              <w:rPr>
                <w:spacing w:val="-4"/>
                <w:sz w:val="21"/>
              </w:rPr>
              <w:t>8.89</w:t>
            </w:r>
          </w:p>
        </w:tc>
      </w:tr>
      <w:tr w14:paraId="17AD6D21" w14:textId="77777777">
        <w:tblPrEx>
          <w:tblW w:w="0" w:type="auto"/>
          <w:tblInd w:w="482" w:type="dxa"/>
          <w:tblLayout w:type="fixed"/>
          <w:tblCellMar>
            <w:left w:w="0" w:type="dxa"/>
            <w:right w:w="0" w:type="dxa"/>
          </w:tblCellMar>
          <w:tblLook w:val="01E0"/>
        </w:tblPrEx>
        <w:trPr>
          <w:trHeight w:val="266"/>
        </w:trPr>
        <w:tc>
          <w:tcPr>
            <w:tcW w:w="2693" w:type="dxa"/>
            <w:tcBorders>
              <w:top w:val="single" w:sz="12" w:space="0" w:color="800000"/>
            </w:tcBorders>
          </w:tcPr>
          <w:p w:rsidR="003F5784" w14:paraId="5649A5AF" w14:textId="77777777">
            <w:pPr>
              <w:pStyle w:val="TableParagraph"/>
              <w:spacing w:before="0" w:line="239" w:lineRule="exact"/>
              <w:ind w:left="381"/>
              <w:jc w:val="left"/>
              <w:rPr>
                <w:sz w:val="21"/>
              </w:rPr>
            </w:pPr>
            <w:r>
              <w:rPr>
                <w:sz w:val="21"/>
              </w:rPr>
              <w:t>National</w:t>
            </w:r>
            <w:r>
              <w:rPr>
                <w:spacing w:val="-9"/>
                <w:sz w:val="21"/>
              </w:rPr>
              <w:t xml:space="preserve"> </w:t>
            </w:r>
            <w:r>
              <w:rPr>
                <w:spacing w:val="-2"/>
                <w:sz w:val="21"/>
              </w:rPr>
              <w:t>public</w:t>
            </w:r>
          </w:p>
        </w:tc>
        <w:tc>
          <w:tcPr>
            <w:tcW w:w="1272" w:type="dxa"/>
            <w:tcBorders>
              <w:top w:val="single" w:sz="12" w:space="0" w:color="800000"/>
            </w:tcBorders>
          </w:tcPr>
          <w:p w:rsidR="003F5784" w14:paraId="62661B0A" w14:textId="77777777">
            <w:pPr>
              <w:pStyle w:val="TableParagraph"/>
              <w:spacing w:before="0" w:line="239" w:lineRule="exact"/>
              <w:ind w:right="133"/>
              <w:rPr>
                <w:sz w:val="21"/>
              </w:rPr>
            </w:pPr>
            <w:r>
              <w:rPr>
                <w:spacing w:val="-2"/>
                <w:sz w:val="21"/>
              </w:rPr>
              <w:t>5,750</w:t>
            </w:r>
          </w:p>
        </w:tc>
        <w:tc>
          <w:tcPr>
            <w:tcW w:w="2055" w:type="dxa"/>
            <w:tcBorders>
              <w:top w:val="single" w:sz="12" w:space="0" w:color="800000"/>
            </w:tcBorders>
          </w:tcPr>
          <w:p w:rsidR="003F5784" w14:paraId="02284121" w14:textId="77777777">
            <w:pPr>
              <w:pStyle w:val="TableParagraph"/>
              <w:spacing w:before="0" w:line="239" w:lineRule="exact"/>
              <w:ind w:right="134"/>
              <w:rPr>
                <w:sz w:val="21"/>
              </w:rPr>
            </w:pPr>
            <w:r>
              <w:rPr>
                <w:spacing w:val="-2"/>
                <w:sz w:val="21"/>
              </w:rPr>
              <w:t>99.53</w:t>
            </w:r>
          </w:p>
        </w:tc>
        <w:tc>
          <w:tcPr>
            <w:tcW w:w="1990" w:type="dxa"/>
            <w:tcBorders>
              <w:top w:val="single" w:sz="12" w:space="0" w:color="800000"/>
            </w:tcBorders>
          </w:tcPr>
          <w:p w:rsidR="003F5784" w14:paraId="5D573114" w14:textId="77777777">
            <w:pPr>
              <w:pStyle w:val="TableParagraph"/>
              <w:spacing w:before="0" w:line="239" w:lineRule="exact"/>
              <w:ind w:right="166"/>
              <w:rPr>
                <w:sz w:val="21"/>
              </w:rPr>
            </w:pPr>
            <w:r>
              <w:rPr>
                <w:spacing w:val="-2"/>
                <w:sz w:val="21"/>
              </w:rPr>
              <w:t>99.54</w:t>
            </w:r>
          </w:p>
        </w:tc>
        <w:tc>
          <w:tcPr>
            <w:tcW w:w="1304" w:type="dxa"/>
            <w:tcBorders>
              <w:top w:val="single" w:sz="12" w:space="0" w:color="800000"/>
            </w:tcBorders>
          </w:tcPr>
          <w:p w:rsidR="003F5784" w14:paraId="7502BEE8" w14:textId="77777777">
            <w:pPr>
              <w:pStyle w:val="TableParagraph"/>
              <w:spacing w:before="0" w:line="239" w:lineRule="exact"/>
              <w:ind w:right="225"/>
              <w:rPr>
                <w:sz w:val="21"/>
              </w:rPr>
            </w:pPr>
            <w:r>
              <w:rPr>
                <w:spacing w:val="-2"/>
                <w:sz w:val="21"/>
              </w:rPr>
              <w:t>122,400</w:t>
            </w:r>
          </w:p>
        </w:tc>
        <w:tc>
          <w:tcPr>
            <w:tcW w:w="1202" w:type="dxa"/>
            <w:tcBorders>
              <w:top w:val="single" w:sz="12" w:space="0" w:color="800000"/>
            </w:tcBorders>
          </w:tcPr>
          <w:p w:rsidR="003F5784" w14:paraId="0562B7AE" w14:textId="77777777">
            <w:pPr>
              <w:pStyle w:val="TableParagraph"/>
              <w:spacing w:before="0" w:line="239" w:lineRule="exact"/>
              <w:ind w:right="135"/>
              <w:rPr>
                <w:sz w:val="21"/>
              </w:rPr>
            </w:pPr>
            <w:r>
              <w:rPr>
                <w:spacing w:val="-4"/>
                <w:sz w:val="21"/>
              </w:rPr>
              <w:t>2.11</w:t>
            </w:r>
          </w:p>
        </w:tc>
        <w:tc>
          <w:tcPr>
            <w:tcW w:w="1738" w:type="dxa"/>
            <w:tcBorders>
              <w:top w:val="single" w:sz="12" w:space="0" w:color="800000"/>
            </w:tcBorders>
          </w:tcPr>
          <w:p w:rsidR="003F5784" w14:paraId="372D492E" w14:textId="77777777">
            <w:pPr>
              <w:pStyle w:val="TableParagraph"/>
              <w:spacing w:before="0" w:line="239" w:lineRule="exact"/>
              <w:ind w:right="153"/>
              <w:rPr>
                <w:sz w:val="21"/>
              </w:rPr>
            </w:pPr>
            <w:r>
              <w:rPr>
                <w:spacing w:val="-2"/>
                <w:sz w:val="21"/>
              </w:rPr>
              <w:t>91.61</w:t>
            </w:r>
          </w:p>
        </w:tc>
        <w:tc>
          <w:tcPr>
            <w:tcW w:w="1733" w:type="dxa"/>
            <w:tcBorders>
              <w:top w:val="single" w:sz="12" w:space="0" w:color="800000"/>
            </w:tcBorders>
          </w:tcPr>
          <w:p w:rsidR="003F5784" w14:paraId="5F5D41AD" w14:textId="77777777">
            <w:pPr>
              <w:pStyle w:val="TableParagraph"/>
              <w:spacing w:before="0" w:line="239" w:lineRule="exact"/>
              <w:ind w:right="120"/>
              <w:rPr>
                <w:sz w:val="21"/>
              </w:rPr>
            </w:pPr>
            <w:r>
              <w:rPr>
                <w:spacing w:val="-2"/>
                <w:sz w:val="21"/>
              </w:rPr>
              <w:t>14.86</w:t>
            </w:r>
          </w:p>
        </w:tc>
      </w:tr>
      <w:tr w14:paraId="0ECEC58B" w14:textId="77777777">
        <w:tblPrEx>
          <w:tblW w:w="0" w:type="auto"/>
          <w:tblInd w:w="482" w:type="dxa"/>
          <w:tblLayout w:type="fixed"/>
          <w:tblCellMar>
            <w:left w:w="0" w:type="dxa"/>
            <w:right w:w="0" w:type="dxa"/>
          </w:tblCellMar>
          <w:tblLook w:val="01E0"/>
        </w:tblPrEx>
        <w:trPr>
          <w:trHeight w:val="286"/>
        </w:trPr>
        <w:tc>
          <w:tcPr>
            <w:tcW w:w="2693" w:type="dxa"/>
          </w:tcPr>
          <w:p w:rsidR="003F5784" w14:paraId="73405850" w14:textId="77777777">
            <w:pPr>
              <w:pStyle w:val="TableParagraph"/>
              <w:ind w:left="120"/>
              <w:jc w:val="left"/>
              <w:rPr>
                <w:sz w:val="21"/>
              </w:rPr>
            </w:pPr>
            <w:r>
              <w:rPr>
                <w:spacing w:val="-2"/>
                <w:sz w:val="21"/>
              </w:rPr>
              <w:t>Alabama</w:t>
            </w:r>
          </w:p>
        </w:tc>
        <w:tc>
          <w:tcPr>
            <w:tcW w:w="1272" w:type="dxa"/>
          </w:tcPr>
          <w:p w:rsidR="003F5784" w14:paraId="0688E04A" w14:textId="77777777">
            <w:pPr>
              <w:pStyle w:val="TableParagraph"/>
              <w:ind w:right="133"/>
              <w:rPr>
                <w:sz w:val="21"/>
              </w:rPr>
            </w:pPr>
            <w:r>
              <w:rPr>
                <w:spacing w:val="-5"/>
                <w:sz w:val="21"/>
              </w:rPr>
              <w:t>90</w:t>
            </w:r>
          </w:p>
        </w:tc>
        <w:tc>
          <w:tcPr>
            <w:tcW w:w="2055" w:type="dxa"/>
          </w:tcPr>
          <w:p w:rsidR="003F5784" w14:paraId="4C1127A9" w14:textId="77777777">
            <w:pPr>
              <w:pStyle w:val="TableParagraph"/>
              <w:ind w:right="134"/>
              <w:rPr>
                <w:sz w:val="21"/>
              </w:rPr>
            </w:pPr>
            <w:r>
              <w:rPr>
                <w:spacing w:val="-2"/>
                <w:sz w:val="21"/>
              </w:rPr>
              <w:t>100.00</w:t>
            </w:r>
          </w:p>
        </w:tc>
        <w:tc>
          <w:tcPr>
            <w:tcW w:w="1990" w:type="dxa"/>
          </w:tcPr>
          <w:p w:rsidR="003F5784" w14:paraId="492B61C0" w14:textId="77777777">
            <w:pPr>
              <w:pStyle w:val="TableParagraph"/>
              <w:ind w:right="166"/>
              <w:rPr>
                <w:sz w:val="21"/>
              </w:rPr>
            </w:pPr>
            <w:r>
              <w:rPr>
                <w:spacing w:val="-2"/>
                <w:sz w:val="21"/>
              </w:rPr>
              <w:t>100.00</w:t>
            </w:r>
          </w:p>
        </w:tc>
        <w:tc>
          <w:tcPr>
            <w:tcW w:w="1304" w:type="dxa"/>
          </w:tcPr>
          <w:p w:rsidR="003F5784" w14:paraId="2051D70C" w14:textId="77777777">
            <w:pPr>
              <w:pStyle w:val="TableParagraph"/>
              <w:ind w:right="225"/>
              <w:rPr>
                <w:sz w:val="21"/>
              </w:rPr>
            </w:pPr>
            <w:r>
              <w:rPr>
                <w:spacing w:val="-2"/>
                <w:sz w:val="21"/>
              </w:rPr>
              <w:t>2,000</w:t>
            </w:r>
          </w:p>
        </w:tc>
        <w:tc>
          <w:tcPr>
            <w:tcW w:w="1202" w:type="dxa"/>
          </w:tcPr>
          <w:p w:rsidR="003F5784" w14:paraId="7EB3A818" w14:textId="77777777">
            <w:pPr>
              <w:pStyle w:val="TableParagraph"/>
              <w:ind w:right="135"/>
              <w:rPr>
                <w:sz w:val="21"/>
              </w:rPr>
            </w:pPr>
            <w:r>
              <w:rPr>
                <w:spacing w:val="-4"/>
                <w:sz w:val="21"/>
              </w:rPr>
              <w:t>1.14</w:t>
            </w:r>
          </w:p>
        </w:tc>
        <w:tc>
          <w:tcPr>
            <w:tcW w:w="1738" w:type="dxa"/>
          </w:tcPr>
          <w:p w:rsidR="003F5784" w14:paraId="4D449E86" w14:textId="77777777">
            <w:pPr>
              <w:pStyle w:val="TableParagraph"/>
              <w:ind w:right="153"/>
              <w:rPr>
                <w:sz w:val="21"/>
              </w:rPr>
            </w:pPr>
            <w:r>
              <w:rPr>
                <w:spacing w:val="-2"/>
                <w:sz w:val="21"/>
              </w:rPr>
              <w:t>93.53</w:t>
            </w:r>
          </w:p>
        </w:tc>
        <w:tc>
          <w:tcPr>
            <w:tcW w:w="1733" w:type="dxa"/>
          </w:tcPr>
          <w:p w:rsidR="003F5784" w14:paraId="5C82539E" w14:textId="77777777">
            <w:pPr>
              <w:pStyle w:val="TableParagraph"/>
              <w:ind w:right="120"/>
              <w:rPr>
                <w:sz w:val="21"/>
              </w:rPr>
            </w:pPr>
            <w:r>
              <w:rPr>
                <w:spacing w:val="-2"/>
                <w:sz w:val="21"/>
              </w:rPr>
              <w:t>11.45</w:t>
            </w:r>
          </w:p>
        </w:tc>
      </w:tr>
      <w:tr w14:paraId="6FE20876" w14:textId="77777777">
        <w:tblPrEx>
          <w:tblW w:w="0" w:type="auto"/>
          <w:tblInd w:w="482" w:type="dxa"/>
          <w:tblLayout w:type="fixed"/>
          <w:tblCellMar>
            <w:left w:w="0" w:type="dxa"/>
            <w:right w:w="0" w:type="dxa"/>
          </w:tblCellMar>
          <w:tblLook w:val="01E0"/>
        </w:tblPrEx>
        <w:trPr>
          <w:trHeight w:val="286"/>
        </w:trPr>
        <w:tc>
          <w:tcPr>
            <w:tcW w:w="2693" w:type="dxa"/>
          </w:tcPr>
          <w:p w:rsidR="003F5784" w14:paraId="2D7D239D" w14:textId="77777777">
            <w:pPr>
              <w:pStyle w:val="TableParagraph"/>
              <w:ind w:left="120"/>
              <w:jc w:val="left"/>
              <w:rPr>
                <w:sz w:val="21"/>
              </w:rPr>
            </w:pPr>
            <w:r>
              <w:rPr>
                <w:spacing w:val="-2"/>
                <w:sz w:val="21"/>
              </w:rPr>
              <w:t>Alaska</w:t>
            </w:r>
          </w:p>
        </w:tc>
        <w:tc>
          <w:tcPr>
            <w:tcW w:w="1272" w:type="dxa"/>
          </w:tcPr>
          <w:p w:rsidR="003F5784" w14:paraId="34CC07C4" w14:textId="77777777">
            <w:pPr>
              <w:pStyle w:val="TableParagraph"/>
              <w:ind w:right="133"/>
              <w:rPr>
                <w:sz w:val="21"/>
              </w:rPr>
            </w:pPr>
            <w:r>
              <w:rPr>
                <w:spacing w:val="-5"/>
                <w:sz w:val="21"/>
              </w:rPr>
              <w:t>130</w:t>
            </w:r>
          </w:p>
        </w:tc>
        <w:tc>
          <w:tcPr>
            <w:tcW w:w="2055" w:type="dxa"/>
          </w:tcPr>
          <w:p w:rsidR="003F5784" w14:paraId="1252B9DB" w14:textId="77777777">
            <w:pPr>
              <w:pStyle w:val="TableParagraph"/>
              <w:ind w:right="134"/>
              <w:rPr>
                <w:sz w:val="21"/>
              </w:rPr>
            </w:pPr>
            <w:r>
              <w:rPr>
                <w:spacing w:val="-2"/>
                <w:sz w:val="21"/>
              </w:rPr>
              <w:t>99.20</w:t>
            </w:r>
          </w:p>
        </w:tc>
        <w:tc>
          <w:tcPr>
            <w:tcW w:w="1990" w:type="dxa"/>
          </w:tcPr>
          <w:p w:rsidR="003F5784" w14:paraId="0AB0BD43" w14:textId="77777777">
            <w:pPr>
              <w:pStyle w:val="TableParagraph"/>
              <w:ind w:right="166"/>
              <w:rPr>
                <w:sz w:val="21"/>
              </w:rPr>
            </w:pPr>
            <w:r>
              <w:rPr>
                <w:spacing w:val="-2"/>
                <w:sz w:val="21"/>
              </w:rPr>
              <w:t>93.50</w:t>
            </w:r>
          </w:p>
        </w:tc>
        <w:tc>
          <w:tcPr>
            <w:tcW w:w="1304" w:type="dxa"/>
          </w:tcPr>
          <w:p w:rsidR="003F5784" w14:paraId="39595762" w14:textId="77777777">
            <w:pPr>
              <w:pStyle w:val="TableParagraph"/>
              <w:ind w:right="225"/>
              <w:rPr>
                <w:sz w:val="21"/>
              </w:rPr>
            </w:pPr>
            <w:r>
              <w:rPr>
                <w:spacing w:val="-2"/>
                <w:sz w:val="21"/>
              </w:rPr>
              <w:t>2,000</w:t>
            </w:r>
          </w:p>
        </w:tc>
        <w:tc>
          <w:tcPr>
            <w:tcW w:w="1202" w:type="dxa"/>
          </w:tcPr>
          <w:p w:rsidR="003F5784" w14:paraId="337A0C3D" w14:textId="77777777">
            <w:pPr>
              <w:pStyle w:val="TableParagraph"/>
              <w:ind w:right="135"/>
              <w:rPr>
                <w:sz w:val="21"/>
              </w:rPr>
            </w:pPr>
            <w:r>
              <w:rPr>
                <w:spacing w:val="-4"/>
                <w:sz w:val="21"/>
              </w:rPr>
              <w:t>0.61</w:t>
            </w:r>
          </w:p>
        </w:tc>
        <w:tc>
          <w:tcPr>
            <w:tcW w:w="1738" w:type="dxa"/>
          </w:tcPr>
          <w:p w:rsidR="003F5784" w14:paraId="6C345E7E" w14:textId="77777777">
            <w:pPr>
              <w:pStyle w:val="TableParagraph"/>
              <w:ind w:right="153"/>
              <w:rPr>
                <w:sz w:val="21"/>
              </w:rPr>
            </w:pPr>
            <w:r>
              <w:rPr>
                <w:spacing w:val="-2"/>
                <w:sz w:val="21"/>
              </w:rPr>
              <w:t>88.73</w:t>
            </w:r>
          </w:p>
        </w:tc>
        <w:tc>
          <w:tcPr>
            <w:tcW w:w="1733" w:type="dxa"/>
          </w:tcPr>
          <w:p w:rsidR="003F5784" w14:paraId="3019FBEA" w14:textId="77777777">
            <w:pPr>
              <w:pStyle w:val="TableParagraph"/>
              <w:ind w:right="120"/>
              <w:rPr>
                <w:sz w:val="21"/>
              </w:rPr>
            </w:pPr>
            <w:r>
              <w:rPr>
                <w:spacing w:val="-2"/>
                <w:sz w:val="21"/>
              </w:rPr>
              <w:t>18.28</w:t>
            </w:r>
          </w:p>
        </w:tc>
      </w:tr>
      <w:tr w14:paraId="75DED72E" w14:textId="77777777">
        <w:tblPrEx>
          <w:tblW w:w="0" w:type="auto"/>
          <w:tblInd w:w="482" w:type="dxa"/>
          <w:tblLayout w:type="fixed"/>
          <w:tblCellMar>
            <w:left w:w="0" w:type="dxa"/>
            <w:right w:w="0" w:type="dxa"/>
          </w:tblCellMar>
          <w:tblLook w:val="01E0"/>
        </w:tblPrEx>
        <w:trPr>
          <w:trHeight w:val="286"/>
        </w:trPr>
        <w:tc>
          <w:tcPr>
            <w:tcW w:w="2693" w:type="dxa"/>
          </w:tcPr>
          <w:p w:rsidR="003F5784" w14:paraId="4D6B8982" w14:textId="77777777">
            <w:pPr>
              <w:pStyle w:val="TableParagraph"/>
              <w:ind w:left="120"/>
              <w:jc w:val="left"/>
              <w:rPr>
                <w:sz w:val="21"/>
              </w:rPr>
            </w:pPr>
            <w:r>
              <w:rPr>
                <w:spacing w:val="-2"/>
                <w:sz w:val="21"/>
              </w:rPr>
              <w:t>Arizona</w:t>
            </w:r>
          </w:p>
        </w:tc>
        <w:tc>
          <w:tcPr>
            <w:tcW w:w="1272" w:type="dxa"/>
          </w:tcPr>
          <w:p w:rsidR="003F5784" w14:paraId="318716C5" w14:textId="77777777">
            <w:pPr>
              <w:pStyle w:val="TableParagraph"/>
              <w:ind w:right="133"/>
              <w:rPr>
                <w:sz w:val="21"/>
              </w:rPr>
            </w:pPr>
            <w:r>
              <w:rPr>
                <w:spacing w:val="-5"/>
                <w:sz w:val="21"/>
              </w:rPr>
              <w:t>90</w:t>
            </w:r>
          </w:p>
        </w:tc>
        <w:tc>
          <w:tcPr>
            <w:tcW w:w="2055" w:type="dxa"/>
          </w:tcPr>
          <w:p w:rsidR="003F5784" w14:paraId="2681558A" w14:textId="77777777">
            <w:pPr>
              <w:pStyle w:val="TableParagraph"/>
              <w:ind w:right="134"/>
              <w:rPr>
                <w:sz w:val="21"/>
              </w:rPr>
            </w:pPr>
            <w:r>
              <w:rPr>
                <w:spacing w:val="-2"/>
                <w:sz w:val="21"/>
              </w:rPr>
              <w:t>100.00</w:t>
            </w:r>
          </w:p>
        </w:tc>
        <w:tc>
          <w:tcPr>
            <w:tcW w:w="1990" w:type="dxa"/>
          </w:tcPr>
          <w:p w:rsidR="003F5784" w14:paraId="4ABB5E08" w14:textId="77777777">
            <w:pPr>
              <w:pStyle w:val="TableParagraph"/>
              <w:ind w:right="166"/>
              <w:rPr>
                <w:sz w:val="21"/>
              </w:rPr>
            </w:pPr>
            <w:r>
              <w:rPr>
                <w:spacing w:val="-2"/>
                <w:sz w:val="21"/>
              </w:rPr>
              <w:t>100.00</w:t>
            </w:r>
          </w:p>
        </w:tc>
        <w:tc>
          <w:tcPr>
            <w:tcW w:w="1304" w:type="dxa"/>
          </w:tcPr>
          <w:p w:rsidR="003F5784" w14:paraId="11133D03" w14:textId="77777777">
            <w:pPr>
              <w:pStyle w:val="TableParagraph"/>
              <w:ind w:right="225"/>
              <w:rPr>
                <w:sz w:val="21"/>
              </w:rPr>
            </w:pPr>
            <w:r>
              <w:rPr>
                <w:spacing w:val="-2"/>
                <w:sz w:val="21"/>
              </w:rPr>
              <w:t>2,100</w:t>
            </w:r>
          </w:p>
        </w:tc>
        <w:tc>
          <w:tcPr>
            <w:tcW w:w="1202" w:type="dxa"/>
          </w:tcPr>
          <w:p w:rsidR="003F5784" w14:paraId="2A186958" w14:textId="77777777">
            <w:pPr>
              <w:pStyle w:val="TableParagraph"/>
              <w:ind w:right="135"/>
              <w:rPr>
                <w:sz w:val="21"/>
              </w:rPr>
            </w:pPr>
            <w:r>
              <w:rPr>
                <w:spacing w:val="-4"/>
                <w:sz w:val="21"/>
              </w:rPr>
              <w:t>1.21</w:t>
            </w:r>
          </w:p>
        </w:tc>
        <w:tc>
          <w:tcPr>
            <w:tcW w:w="1738" w:type="dxa"/>
          </w:tcPr>
          <w:p w:rsidR="003F5784" w14:paraId="058E12DD" w14:textId="77777777">
            <w:pPr>
              <w:pStyle w:val="TableParagraph"/>
              <w:ind w:right="153"/>
              <w:rPr>
                <w:sz w:val="21"/>
              </w:rPr>
            </w:pPr>
            <w:r>
              <w:rPr>
                <w:spacing w:val="-2"/>
                <w:sz w:val="21"/>
              </w:rPr>
              <w:t>92.25</w:t>
            </w:r>
          </w:p>
        </w:tc>
        <w:tc>
          <w:tcPr>
            <w:tcW w:w="1733" w:type="dxa"/>
          </w:tcPr>
          <w:p w:rsidR="003F5784" w14:paraId="36765D1C" w14:textId="77777777">
            <w:pPr>
              <w:pStyle w:val="TableParagraph"/>
              <w:ind w:right="120"/>
              <w:rPr>
                <w:sz w:val="21"/>
              </w:rPr>
            </w:pPr>
            <w:r>
              <w:rPr>
                <w:spacing w:val="-2"/>
                <w:sz w:val="21"/>
              </w:rPr>
              <w:t>11.39</w:t>
            </w:r>
          </w:p>
        </w:tc>
      </w:tr>
      <w:tr w14:paraId="3EDAF289" w14:textId="77777777">
        <w:tblPrEx>
          <w:tblW w:w="0" w:type="auto"/>
          <w:tblInd w:w="482" w:type="dxa"/>
          <w:tblLayout w:type="fixed"/>
          <w:tblCellMar>
            <w:left w:w="0" w:type="dxa"/>
            <w:right w:w="0" w:type="dxa"/>
          </w:tblCellMar>
          <w:tblLook w:val="01E0"/>
        </w:tblPrEx>
        <w:trPr>
          <w:trHeight w:val="286"/>
        </w:trPr>
        <w:tc>
          <w:tcPr>
            <w:tcW w:w="2693" w:type="dxa"/>
          </w:tcPr>
          <w:p w:rsidR="003F5784" w14:paraId="00F20204" w14:textId="77777777">
            <w:pPr>
              <w:pStyle w:val="TableParagraph"/>
              <w:ind w:left="120"/>
              <w:jc w:val="left"/>
              <w:rPr>
                <w:sz w:val="21"/>
              </w:rPr>
            </w:pPr>
            <w:r>
              <w:rPr>
                <w:spacing w:val="-2"/>
                <w:sz w:val="21"/>
              </w:rPr>
              <w:t>Arkansas</w:t>
            </w:r>
          </w:p>
        </w:tc>
        <w:tc>
          <w:tcPr>
            <w:tcW w:w="1272" w:type="dxa"/>
          </w:tcPr>
          <w:p w:rsidR="003F5784" w14:paraId="5F440222" w14:textId="77777777">
            <w:pPr>
              <w:pStyle w:val="TableParagraph"/>
              <w:ind w:right="133"/>
              <w:rPr>
                <w:sz w:val="21"/>
              </w:rPr>
            </w:pPr>
            <w:r>
              <w:rPr>
                <w:spacing w:val="-5"/>
                <w:sz w:val="21"/>
              </w:rPr>
              <w:t>90</w:t>
            </w:r>
          </w:p>
        </w:tc>
        <w:tc>
          <w:tcPr>
            <w:tcW w:w="2055" w:type="dxa"/>
          </w:tcPr>
          <w:p w:rsidR="003F5784" w14:paraId="4F12B269" w14:textId="77777777">
            <w:pPr>
              <w:pStyle w:val="TableParagraph"/>
              <w:ind w:right="134"/>
              <w:rPr>
                <w:sz w:val="21"/>
              </w:rPr>
            </w:pPr>
            <w:r>
              <w:rPr>
                <w:spacing w:val="-2"/>
                <w:sz w:val="21"/>
              </w:rPr>
              <w:t>100.00</w:t>
            </w:r>
          </w:p>
        </w:tc>
        <w:tc>
          <w:tcPr>
            <w:tcW w:w="1990" w:type="dxa"/>
          </w:tcPr>
          <w:p w:rsidR="003F5784" w14:paraId="1B534635" w14:textId="77777777">
            <w:pPr>
              <w:pStyle w:val="TableParagraph"/>
              <w:ind w:right="166"/>
              <w:rPr>
                <w:sz w:val="21"/>
              </w:rPr>
            </w:pPr>
            <w:r>
              <w:rPr>
                <w:spacing w:val="-2"/>
                <w:sz w:val="21"/>
              </w:rPr>
              <w:t>100.00</w:t>
            </w:r>
          </w:p>
        </w:tc>
        <w:tc>
          <w:tcPr>
            <w:tcW w:w="1304" w:type="dxa"/>
          </w:tcPr>
          <w:p w:rsidR="003F5784" w14:paraId="64B90D7C" w14:textId="77777777">
            <w:pPr>
              <w:pStyle w:val="TableParagraph"/>
              <w:ind w:right="225"/>
              <w:rPr>
                <w:sz w:val="21"/>
              </w:rPr>
            </w:pPr>
            <w:r>
              <w:rPr>
                <w:spacing w:val="-2"/>
                <w:sz w:val="21"/>
              </w:rPr>
              <w:t>1,900</w:t>
            </w:r>
          </w:p>
        </w:tc>
        <w:tc>
          <w:tcPr>
            <w:tcW w:w="1202" w:type="dxa"/>
          </w:tcPr>
          <w:p w:rsidR="003F5784" w14:paraId="2A472AA9" w14:textId="77777777">
            <w:pPr>
              <w:pStyle w:val="TableParagraph"/>
              <w:ind w:right="135"/>
              <w:rPr>
                <w:sz w:val="21"/>
              </w:rPr>
            </w:pPr>
            <w:r>
              <w:rPr>
                <w:spacing w:val="-4"/>
                <w:sz w:val="21"/>
              </w:rPr>
              <w:t>1.69</w:t>
            </w:r>
          </w:p>
        </w:tc>
        <w:tc>
          <w:tcPr>
            <w:tcW w:w="1738" w:type="dxa"/>
          </w:tcPr>
          <w:p w:rsidR="003F5784" w14:paraId="073C5C5B" w14:textId="77777777">
            <w:pPr>
              <w:pStyle w:val="TableParagraph"/>
              <w:ind w:right="153"/>
              <w:rPr>
                <w:sz w:val="21"/>
              </w:rPr>
            </w:pPr>
            <w:r>
              <w:rPr>
                <w:spacing w:val="-2"/>
                <w:sz w:val="21"/>
              </w:rPr>
              <w:t>93.87</w:t>
            </w:r>
          </w:p>
        </w:tc>
        <w:tc>
          <w:tcPr>
            <w:tcW w:w="1733" w:type="dxa"/>
          </w:tcPr>
          <w:p w:rsidR="003F5784" w14:paraId="31AFC30F" w14:textId="77777777">
            <w:pPr>
              <w:pStyle w:val="TableParagraph"/>
              <w:ind w:right="120"/>
              <w:rPr>
                <w:sz w:val="21"/>
              </w:rPr>
            </w:pPr>
            <w:r>
              <w:rPr>
                <w:spacing w:val="-2"/>
                <w:sz w:val="21"/>
              </w:rPr>
              <w:t>19.84</w:t>
            </w:r>
          </w:p>
        </w:tc>
      </w:tr>
      <w:tr w14:paraId="60353289" w14:textId="77777777">
        <w:tblPrEx>
          <w:tblW w:w="0" w:type="auto"/>
          <w:tblInd w:w="482" w:type="dxa"/>
          <w:tblLayout w:type="fixed"/>
          <w:tblCellMar>
            <w:left w:w="0" w:type="dxa"/>
            <w:right w:w="0" w:type="dxa"/>
          </w:tblCellMar>
          <w:tblLook w:val="01E0"/>
        </w:tblPrEx>
        <w:trPr>
          <w:trHeight w:val="286"/>
        </w:trPr>
        <w:tc>
          <w:tcPr>
            <w:tcW w:w="2693" w:type="dxa"/>
          </w:tcPr>
          <w:p w:rsidR="003F5784" w14:paraId="709754AC" w14:textId="77777777">
            <w:pPr>
              <w:pStyle w:val="TableParagraph"/>
              <w:ind w:left="120"/>
              <w:jc w:val="left"/>
              <w:rPr>
                <w:sz w:val="21"/>
              </w:rPr>
            </w:pPr>
            <w:r>
              <w:rPr>
                <w:spacing w:val="-2"/>
                <w:sz w:val="21"/>
              </w:rPr>
              <w:t>California</w:t>
            </w:r>
          </w:p>
        </w:tc>
        <w:tc>
          <w:tcPr>
            <w:tcW w:w="1272" w:type="dxa"/>
          </w:tcPr>
          <w:p w:rsidR="003F5784" w14:paraId="789841B1" w14:textId="77777777">
            <w:pPr>
              <w:pStyle w:val="TableParagraph"/>
              <w:ind w:right="133"/>
              <w:rPr>
                <w:sz w:val="21"/>
              </w:rPr>
            </w:pPr>
            <w:r>
              <w:rPr>
                <w:spacing w:val="-5"/>
                <w:sz w:val="21"/>
              </w:rPr>
              <w:t>190</w:t>
            </w:r>
          </w:p>
        </w:tc>
        <w:tc>
          <w:tcPr>
            <w:tcW w:w="2055" w:type="dxa"/>
          </w:tcPr>
          <w:p w:rsidR="003F5784" w14:paraId="041D2335" w14:textId="77777777">
            <w:pPr>
              <w:pStyle w:val="TableParagraph"/>
              <w:ind w:right="134"/>
              <w:rPr>
                <w:sz w:val="21"/>
              </w:rPr>
            </w:pPr>
            <w:r>
              <w:rPr>
                <w:spacing w:val="-2"/>
                <w:sz w:val="21"/>
              </w:rPr>
              <w:t>100.00</w:t>
            </w:r>
          </w:p>
        </w:tc>
        <w:tc>
          <w:tcPr>
            <w:tcW w:w="1990" w:type="dxa"/>
          </w:tcPr>
          <w:p w:rsidR="003F5784" w14:paraId="6CDC5E20" w14:textId="77777777">
            <w:pPr>
              <w:pStyle w:val="TableParagraph"/>
              <w:ind w:right="166"/>
              <w:rPr>
                <w:sz w:val="21"/>
              </w:rPr>
            </w:pPr>
            <w:r>
              <w:rPr>
                <w:spacing w:val="-2"/>
                <w:sz w:val="21"/>
              </w:rPr>
              <w:t>100.00</w:t>
            </w:r>
          </w:p>
        </w:tc>
        <w:tc>
          <w:tcPr>
            <w:tcW w:w="1304" w:type="dxa"/>
          </w:tcPr>
          <w:p w:rsidR="003F5784" w14:paraId="5D13E277" w14:textId="77777777">
            <w:pPr>
              <w:pStyle w:val="TableParagraph"/>
              <w:ind w:right="225"/>
              <w:rPr>
                <w:sz w:val="21"/>
              </w:rPr>
            </w:pPr>
            <w:r>
              <w:rPr>
                <w:spacing w:val="-2"/>
                <w:sz w:val="21"/>
              </w:rPr>
              <w:t>4,200</w:t>
            </w:r>
          </w:p>
        </w:tc>
        <w:tc>
          <w:tcPr>
            <w:tcW w:w="1202" w:type="dxa"/>
          </w:tcPr>
          <w:p w:rsidR="003F5784" w14:paraId="5EE3DE59" w14:textId="77777777">
            <w:pPr>
              <w:pStyle w:val="TableParagraph"/>
              <w:ind w:right="135"/>
              <w:rPr>
                <w:sz w:val="21"/>
              </w:rPr>
            </w:pPr>
            <w:r>
              <w:rPr>
                <w:spacing w:val="-4"/>
                <w:sz w:val="21"/>
              </w:rPr>
              <w:t>2.30</w:t>
            </w:r>
          </w:p>
        </w:tc>
        <w:tc>
          <w:tcPr>
            <w:tcW w:w="1738" w:type="dxa"/>
          </w:tcPr>
          <w:p w:rsidR="003F5784" w14:paraId="66D5E47B" w14:textId="77777777">
            <w:pPr>
              <w:pStyle w:val="TableParagraph"/>
              <w:ind w:right="153"/>
              <w:rPr>
                <w:sz w:val="21"/>
              </w:rPr>
            </w:pPr>
            <w:r>
              <w:rPr>
                <w:spacing w:val="-2"/>
                <w:sz w:val="21"/>
              </w:rPr>
              <w:t>91.45</w:t>
            </w:r>
          </w:p>
        </w:tc>
        <w:tc>
          <w:tcPr>
            <w:tcW w:w="1733" w:type="dxa"/>
          </w:tcPr>
          <w:p w:rsidR="003F5784" w14:paraId="36AB2EF5" w14:textId="77777777">
            <w:pPr>
              <w:pStyle w:val="TableParagraph"/>
              <w:ind w:right="120"/>
              <w:rPr>
                <w:sz w:val="21"/>
              </w:rPr>
            </w:pPr>
            <w:r>
              <w:rPr>
                <w:spacing w:val="-4"/>
                <w:sz w:val="21"/>
              </w:rPr>
              <w:t>7.91</w:t>
            </w:r>
          </w:p>
        </w:tc>
      </w:tr>
      <w:tr w14:paraId="0FF6379F" w14:textId="77777777">
        <w:tblPrEx>
          <w:tblW w:w="0" w:type="auto"/>
          <w:tblInd w:w="482" w:type="dxa"/>
          <w:tblLayout w:type="fixed"/>
          <w:tblCellMar>
            <w:left w:w="0" w:type="dxa"/>
            <w:right w:w="0" w:type="dxa"/>
          </w:tblCellMar>
          <w:tblLook w:val="01E0"/>
        </w:tblPrEx>
        <w:trPr>
          <w:trHeight w:val="286"/>
        </w:trPr>
        <w:tc>
          <w:tcPr>
            <w:tcW w:w="2693" w:type="dxa"/>
          </w:tcPr>
          <w:p w:rsidR="003F5784" w14:paraId="73E0A12F" w14:textId="77777777">
            <w:pPr>
              <w:pStyle w:val="TableParagraph"/>
              <w:ind w:left="120"/>
              <w:jc w:val="left"/>
              <w:rPr>
                <w:sz w:val="21"/>
              </w:rPr>
            </w:pPr>
            <w:r>
              <w:rPr>
                <w:spacing w:val="-2"/>
                <w:sz w:val="21"/>
              </w:rPr>
              <w:t>Colorado</w:t>
            </w:r>
          </w:p>
        </w:tc>
        <w:tc>
          <w:tcPr>
            <w:tcW w:w="1272" w:type="dxa"/>
          </w:tcPr>
          <w:p w:rsidR="003F5784" w14:paraId="0B948C1A" w14:textId="77777777">
            <w:pPr>
              <w:pStyle w:val="TableParagraph"/>
              <w:ind w:right="133"/>
              <w:rPr>
                <w:sz w:val="21"/>
              </w:rPr>
            </w:pPr>
            <w:r>
              <w:rPr>
                <w:spacing w:val="-5"/>
                <w:sz w:val="21"/>
              </w:rPr>
              <w:t>120</w:t>
            </w:r>
          </w:p>
        </w:tc>
        <w:tc>
          <w:tcPr>
            <w:tcW w:w="2055" w:type="dxa"/>
          </w:tcPr>
          <w:p w:rsidR="003F5784" w14:paraId="5CCF7705" w14:textId="77777777">
            <w:pPr>
              <w:pStyle w:val="TableParagraph"/>
              <w:ind w:right="134"/>
              <w:rPr>
                <w:sz w:val="21"/>
              </w:rPr>
            </w:pPr>
            <w:r>
              <w:rPr>
                <w:spacing w:val="-2"/>
                <w:sz w:val="21"/>
              </w:rPr>
              <w:t>99.04</w:t>
            </w:r>
          </w:p>
        </w:tc>
        <w:tc>
          <w:tcPr>
            <w:tcW w:w="1990" w:type="dxa"/>
          </w:tcPr>
          <w:p w:rsidR="003F5784" w14:paraId="1E15CFCA" w14:textId="77777777">
            <w:pPr>
              <w:pStyle w:val="TableParagraph"/>
              <w:ind w:right="166"/>
              <w:rPr>
                <w:sz w:val="21"/>
              </w:rPr>
            </w:pPr>
            <w:r>
              <w:rPr>
                <w:spacing w:val="-2"/>
                <w:sz w:val="21"/>
              </w:rPr>
              <w:t>98.43</w:t>
            </w:r>
          </w:p>
        </w:tc>
        <w:tc>
          <w:tcPr>
            <w:tcW w:w="1304" w:type="dxa"/>
          </w:tcPr>
          <w:p w:rsidR="003F5784" w14:paraId="45D12B1C" w14:textId="77777777">
            <w:pPr>
              <w:pStyle w:val="TableParagraph"/>
              <w:ind w:right="225"/>
              <w:rPr>
                <w:sz w:val="21"/>
              </w:rPr>
            </w:pPr>
            <w:r>
              <w:rPr>
                <w:spacing w:val="-2"/>
                <w:sz w:val="21"/>
              </w:rPr>
              <w:t>2,700</w:t>
            </w:r>
          </w:p>
        </w:tc>
        <w:tc>
          <w:tcPr>
            <w:tcW w:w="1202" w:type="dxa"/>
          </w:tcPr>
          <w:p w:rsidR="003F5784" w14:paraId="046FA9E4" w14:textId="77777777">
            <w:pPr>
              <w:pStyle w:val="TableParagraph"/>
              <w:ind w:right="135"/>
              <w:rPr>
                <w:sz w:val="21"/>
              </w:rPr>
            </w:pPr>
            <w:r>
              <w:rPr>
                <w:spacing w:val="-4"/>
                <w:sz w:val="21"/>
              </w:rPr>
              <w:t>2.67</w:t>
            </w:r>
          </w:p>
        </w:tc>
        <w:tc>
          <w:tcPr>
            <w:tcW w:w="1738" w:type="dxa"/>
          </w:tcPr>
          <w:p w:rsidR="003F5784" w14:paraId="4AD545B4" w14:textId="77777777">
            <w:pPr>
              <w:pStyle w:val="TableParagraph"/>
              <w:ind w:right="153"/>
              <w:rPr>
                <w:sz w:val="21"/>
              </w:rPr>
            </w:pPr>
            <w:r>
              <w:rPr>
                <w:spacing w:val="-2"/>
                <w:sz w:val="21"/>
              </w:rPr>
              <w:t>91.37</w:t>
            </w:r>
          </w:p>
        </w:tc>
        <w:tc>
          <w:tcPr>
            <w:tcW w:w="1733" w:type="dxa"/>
          </w:tcPr>
          <w:p w:rsidR="003F5784" w14:paraId="72DFD4DE" w14:textId="77777777">
            <w:pPr>
              <w:pStyle w:val="TableParagraph"/>
              <w:ind w:right="120"/>
              <w:rPr>
                <w:sz w:val="21"/>
              </w:rPr>
            </w:pPr>
            <w:r>
              <w:rPr>
                <w:spacing w:val="-2"/>
                <w:sz w:val="21"/>
              </w:rPr>
              <w:t>10.85</w:t>
            </w:r>
          </w:p>
        </w:tc>
      </w:tr>
      <w:tr w14:paraId="64628793" w14:textId="77777777">
        <w:tblPrEx>
          <w:tblW w:w="0" w:type="auto"/>
          <w:tblInd w:w="482" w:type="dxa"/>
          <w:tblLayout w:type="fixed"/>
          <w:tblCellMar>
            <w:left w:w="0" w:type="dxa"/>
            <w:right w:w="0" w:type="dxa"/>
          </w:tblCellMar>
          <w:tblLook w:val="01E0"/>
        </w:tblPrEx>
        <w:trPr>
          <w:trHeight w:val="286"/>
        </w:trPr>
        <w:tc>
          <w:tcPr>
            <w:tcW w:w="2693" w:type="dxa"/>
          </w:tcPr>
          <w:p w:rsidR="003F5784" w14:paraId="73C082AF" w14:textId="77777777">
            <w:pPr>
              <w:pStyle w:val="TableParagraph"/>
              <w:ind w:left="120"/>
              <w:jc w:val="left"/>
              <w:rPr>
                <w:sz w:val="21"/>
              </w:rPr>
            </w:pPr>
            <w:r>
              <w:rPr>
                <w:spacing w:val="-2"/>
                <w:sz w:val="21"/>
              </w:rPr>
              <w:t>Connecticut</w:t>
            </w:r>
          </w:p>
        </w:tc>
        <w:tc>
          <w:tcPr>
            <w:tcW w:w="1272" w:type="dxa"/>
          </w:tcPr>
          <w:p w:rsidR="003F5784" w14:paraId="3B626F0F" w14:textId="77777777">
            <w:pPr>
              <w:pStyle w:val="TableParagraph"/>
              <w:ind w:right="133"/>
              <w:rPr>
                <w:sz w:val="21"/>
              </w:rPr>
            </w:pPr>
            <w:r>
              <w:rPr>
                <w:spacing w:val="-5"/>
                <w:sz w:val="21"/>
              </w:rPr>
              <w:t>90</w:t>
            </w:r>
          </w:p>
        </w:tc>
        <w:tc>
          <w:tcPr>
            <w:tcW w:w="2055" w:type="dxa"/>
          </w:tcPr>
          <w:p w:rsidR="003F5784" w14:paraId="4A4B531D" w14:textId="77777777">
            <w:pPr>
              <w:pStyle w:val="TableParagraph"/>
              <w:ind w:right="134"/>
              <w:rPr>
                <w:sz w:val="21"/>
              </w:rPr>
            </w:pPr>
            <w:r>
              <w:rPr>
                <w:spacing w:val="-2"/>
                <w:sz w:val="21"/>
              </w:rPr>
              <w:t>100.00</w:t>
            </w:r>
          </w:p>
        </w:tc>
        <w:tc>
          <w:tcPr>
            <w:tcW w:w="1990" w:type="dxa"/>
          </w:tcPr>
          <w:p w:rsidR="003F5784" w14:paraId="46C05002" w14:textId="77777777">
            <w:pPr>
              <w:pStyle w:val="TableParagraph"/>
              <w:ind w:right="166"/>
              <w:rPr>
                <w:sz w:val="21"/>
              </w:rPr>
            </w:pPr>
            <w:r>
              <w:rPr>
                <w:spacing w:val="-2"/>
                <w:sz w:val="21"/>
              </w:rPr>
              <w:t>100.00</w:t>
            </w:r>
          </w:p>
        </w:tc>
        <w:tc>
          <w:tcPr>
            <w:tcW w:w="1304" w:type="dxa"/>
          </w:tcPr>
          <w:p w:rsidR="003F5784" w14:paraId="5ACA39B6" w14:textId="77777777">
            <w:pPr>
              <w:pStyle w:val="TableParagraph"/>
              <w:ind w:right="225"/>
              <w:rPr>
                <w:sz w:val="21"/>
              </w:rPr>
            </w:pPr>
            <w:r>
              <w:rPr>
                <w:spacing w:val="-2"/>
                <w:sz w:val="21"/>
              </w:rPr>
              <w:t>2,000</w:t>
            </w:r>
          </w:p>
        </w:tc>
        <w:tc>
          <w:tcPr>
            <w:tcW w:w="1202" w:type="dxa"/>
          </w:tcPr>
          <w:p w:rsidR="003F5784" w14:paraId="1B14E4EB" w14:textId="77777777">
            <w:pPr>
              <w:pStyle w:val="TableParagraph"/>
              <w:ind w:right="135"/>
              <w:rPr>
                <w:sz w:val="21"/>
              </w:rPr>
            </w:pPr>
            <w:r>
              <w:rPr>
                <w:spacing w:val="-4"/>
                <w:sz w:val="21"/>
              </w:rPr>
              <w:t>2.51</w:t>
            </w:r>
          </w:p>
        </w:tc>
        <w:tc>
          <w:tcPr>
            <w:tcW w:w="1738" w:type="dxa"/>
          </w:tcPr>
          <w:p w:rsidR="003F5784" w14:paraId="0B9ED122" w14:textId="77777777">
            <w:pPr>
              <w:pStyle w:val="TableParagraph"/>
              <w:ind w:right="153"/>
              <w:rPr>
                <w:sz w:val="21"/>
              </w:rPr>
            </w:pPr>
            <w:r>
              <w:rPr>
                <w:spacing w:val="-2"/>
                <w:sz w:val="21"/>
              </w:rPr>
              <w:t>88.93</w:t>
            </w:r>
          </w:p>
        </w:tc>
        <w:tc>
          <w:tcPr>
            <w:tcW w:w="1733" w:type="dxa"/>
          </w:tcPr>
          <w:p w:rsidR="003F5784" w14:paraId="66C9BCF2" w14:textId="77777777">
            <w:pPr>
              <w:pStyle w:val="TableParagraph"/>
              <w:ind w:right="120"/>
              <w:rPr>
                <w:sz w:val="21"/>
              </w:rPr>
            </w:pPr>
            <w:r>
              <w:rPr>
                <w:spacing w:val="-2"/>
                <w:sz w:val="21"/>
              </w:rPr>
              <w:t>17.72</w:t>
            </w:r>
          </w:p>
        </w:tc>
      </w:tr>
      <w:tr w14:paraId="49F87363" w14:textId="77777777">
        <w:tblPrEx>
          <w:tblW w:w="0" w:type="auto"/>
          <w:tblInd w:w="482" w:type="dxa"/>
          <w:tblLayout w:type="fixed"/>
          <w:tblCellMar>
            <w:left w:w="0" w:type="dxa"/>
            <w:right w:w="0" w:type="dxa"/>
          </w:tblCellMar>
          <w:tblLook w:val="01E0"/>
        </w:tblPrEx>
        <w:trPr>
          <w:trHeight w:val="286"/>
        </w:trPr>
        <w:tc>
          <w:tcPr>
            <w:tcW w:w="2693" w:type="dxa"/>
          </w:tcPr>
          <w:p w:rsidR="003F5784" w14:paraId="32F7EF51" w14:textId="77777777">
            <w:pPr>
              <w:pStyle w:val="TableParagraph"/>
              <w:ind w:left="120"/>
              <w:jc w:val="left"/>
              <w:rPr>
                <w:sz w:val="21"/>
              </w:rPr>
            </w:pPr>
            <w:r>
              <w:rPr>
                <w:spacing w:val="-2"/>
                <w:sz w:val="21"/>
              </w:rPr>
              <w:t>Delaware</w:t>
            </w:r>
          </w:p>
        </w:tc>
        <w:tc>
          <w:tcPr>
            <w:tcW w:w="1272" w:type="dxa"/>
          </w:tcPr>
          <w:p w:rsidR="003F5784" w14:paraId="6CA4B2E4" w14:textId="77777777">
            <w:pPr>
              <w:pStyle w:val="TableParagraph"/>
              <w:ind w:right="133"/>
              <w:rPr>
                <w:sz w:val="21"/>
              </w:rPr>
            </w:pPr>
            <w:r>
              <w:rPr>
                <w:spacing w:val="-5"/>
                <w:sz w:val="21"/>
              </w:rPr>
              <w:t>80</w:t>
            </w:r>
          </w:p>
        </w:tc>
        <w:tc>
          <w:tcPr>
            <w:tcW w:w="2055" w:type="dxa"/>
          </w:tcPr>
          <w:p w:rsidR="003F5784" w14:paraId="056FC513" w14:textId="77777777">
            <w:pPr>
              <w:pStyle w:val="TableParagraph"/>
              <w:ind w:right="134"/>
              <w:rPr>
                <w:sz w:val="21"/>
              </w:rPr>
            </w:pPr>
            <w:r>
              <w:rPr>
                <w:spacing w:val="-2"/>
                <w:sz w:val="21"/>
              </w:rPr>
              <w:t>100.00</w:t>
            </w:r>
          </w:p>
        </w:tc>
        <w:tc>
          <w:tcPr>
            <w:tcW w:w="1990" w:type="dxa"/>
          </w:tcPr>
          <w:p w:rsidR="003F5784" w14:paraId="2BE82147" w14:textId="77777777">
            <w:pPr>
              <w:pStyle w:val="TableParagraph"/>
              <w:ind w:right="166"/>
              <w:rPr>
                <w:sz w:val="21"/>
              </w:rPr>
            </w:pPr>
            <w:r>
              <w:rPr>
                <w:spacing w:val="-2"/>
                <w:sz w:val="21"/>
              </w:rPr>
              <w:t>100.00</w:t>
            </w:r>
          </w:p>
        </w:tc>
        <w:tc>
          <w:tcPr>
            <w:tcW w:w="1304" w:type="dxa"/>
          </w:tcPr>
          <w:p w:rsidR="003F5784" w14:paraId="03515D30" w14:textId="77777777">
            <w:pPr>
              <w:pStyle w:val="TableParagraph"/>
              <w:ind w:right="225"/>
              <w:rPr>
                <w:sz w:val="21"/>
              </w:rPr>
            </w:pPr>
            <w:r>
              <w:rPr>
                <w:spacing w:val="-2"/>
                <w:sz w:val="21"/>
              </w:rPr>
              <w:t>2,000</w:t>
            </w:r>
          </w:p>
        </w:tc>
        <w:tc>
          <w:tcPr>
            <w:tcW w:w="1202" w:type="dxa"/>
          </w:tcPr>
          <w:p w:rsidR="003F5784" w14:paraId="6370BD59" w14:textId="77777777">
            <w:pPr>
              <w:pStyle w:val="TableParagraph"/>
              <w:ind w:right="135"/>
              <w:rPr>
                <w:sz w:val="21"/>
              </w:rPr>
            </w:pPr>
            <w:r>
              <w:rPr>
                <w:spacing w:val="-4"/>
                <w:sz w:val="21"/>
              </w:rPr>
              <w:t>1.33</w:t>
            </w:r>
          </w:p>
        </w:tc>
        <w:tc>
          <w:tcPr>
            <w:tcW w:w="1738" w:type="dxa"/>
          </w:tcPr>
          <w:p w:rsidR="003F5784" w14:paraId="771CE10A" w14:textId="77777777">
            <w:pPr>
              <w:pStyle w:val="TableParagraph"/>
              <w:ind w:right="153"/>
              <w:rPr>
                <w:sz w:val="21"/>
              </w:rPr>
            </w:pPr>
            <w:r>
              <w:rPr>
                <w:spacing w:val="-2"/>
                <w:sz w:val="21"/>
              </w:rPr>
              <w:t>89.69</w:t>
            </w:r>
          </w:p>
        </w:tc>
        <w:tc>
          <w:tcPr>
            <w:tcW w:w="1733" w:type="dxa"/>
          </w:tcPr>
          <w:p w:rsidR="003F5784" w14:paraId="29F22815" w14:textId="77777777">
            <w:pPr>
              <w:pStyle w:val="TableParagraph"/>
              <w:ind w:right="120"/>
              <w:rPr>
                <w:sz w:val="21"/>
              </w:rPr>
            </w:pPr>
            <w:r>
              <w:rPr>
                <w:spacing w:val="-2"/>
                <w:sz w:val="21"/>
              </w:rPr>
              <w:t>18.24</w:t>
            </w:r>
          </w:p>
        </w:tc>
      </w:tr>
      <w:tr w14:paraId="7D940B14" w14:textId="77777777">
        <w:tblPrEx>
          <w:tblW w:w="0" w:type="auto"/>
          <w:tblInd w:w="482" w:type="dxa"/>
          <w:tblLayout w:type="fixed"/>
          <w:tblCellMar>
            <w:left w:w="0" w:type="dxa"/>
            <w:right w:w="0" w:type="dxa"/>
          </w:tblCellMar>
          <w:tblLook w:val="01E0"/>
        </w:tblPrEx>
        <w:trPr>
          <w:trHeight w:val="286"/>
        </w:trPr>
        <w:tc>
          <w:tcPr>
            <w:tcW w:w="2693" w:type="dxa"/>
          </w:tcPr>
          <w:p w:rsidR="003F5784" w14:paraId="5B6F7AEC" w14:textId="77777777">
            <w:pPr>
              <w:pStyle w:val="TableParagraph"/>
              <w:ind w:left="120"/>
              <w:jc w:val="left"/>
              <w:rPr>
                <w:sz w:val="21"/>
              </w:rPr>
            </w:pPr>
            <w:r>
              <w:rPr>
                <w:sz w:val="21"/>
              </w:rPr>
              <w:t>District</w:t>
            </w:r>
            <w:r>
              <w:rPr>
                <w:spacing w:val="-6"/>
                <w:sz w:val="21"/>
              </w:rPr>
              <w:t xml:space="preserve"> </w:t>
            </w:r>
            <w:r>
              <w:rPr>
                <w:sz w:val="21"/>
              </w:rPr>
              <w:t>of</w:t>
            </w:r>
            <w:r>
              <w:rPr>
                <w:spacing w:val="-5"/>
                <w:sz w:val="21"/>
              </w:rPr>
              <w:t xml:space="preserve"> </w:t>
            </w:r>
            <w:r>
              <w:rPr>
                <w:spacing w:val="-2"/>
                <w:sz w:val="21"/>
              </w:rPr>
              <w:t>Columbia</w:t>
            </w:r>
          </w:p>
        </w:tc>
        <w:tc>
          <w:tcPr>
            <w:tcW w:w="1272" w:type="dxa"/>
          </w:tcPr>
          <w:p w:rsidR="003F5784" w14:paraId="5ECBA765" w14:textId="77777777">
            <w:pPr>
              <w:pStyle w:val="TableParagraph"/>
              <w:ind w:right="133"/>
              <w:rPr>
                <w:sz w:val="21"/>
              </w:rPr>
            </w:pPr>
            <w:r>
              <w:rPr>
                <w:spacing w:val="-5"/>
                <w:sz w:val="21"/>
              </w:rPr>
              <w:t>90</w:t>
            </w:r>
          </w:p>
        </w:tc>
        <w:tc>
          <w:tcPr>
            <w:tcW w:w="2055" w:type="dxa"/>
          </w:tcPr>
          <w:p w:rsidR="003F5784" w14:paraId="45E1AA9A" w14:textId="77777777">
            <w:pPr>
              <w:pStyle w:val="TableParagraph"/>
              <w:ind w:right="134"/>
              <w:rPr>
                <w:sz w:val="21"/>
              </w:rPr>
            </w:pPr>
            <w:r>
              <w:rPr>
                <w:spacing w:val="-2"/>
                <w:sz w:val="21"/>
              </w:rPr>
              <w:t>100.00</w:t>
            </w:r>
          </w:p>
        </w:tc>
        <w:tc>
          <w:tcPr>
            <w:tcW w:w="1990" w:type="dxa"/>
          </w:tcPr>
          <w:p w:rsidR="003F5784" w14:paraId="7D5AB8C6" w14:textId="77777777">
            <w:pPr>
              <w:pStyle w:val="TableParagraph"/>
              <w:ind w:right="166"/>
              <w:rPr>
                <w:sz w:val="21"/>
              </w:rPr>
            </w:pPr>
            <w:r>
              <w:rPr>
                <w:spacing w:val="-2"/>
                <w:sz w:val="21"/>
              </w:rPr>
              <w:t>100.00</w:t>
            </w:r>
          </w:p>
        </w:tc>
        <w:tc>
          <w:tcPr>
            <w:tcW w:w="1304" w:type="dxa"/>
          </w:tcPr>
          <w:p w:rsidR="003F5784" w14:paraId="1C6F742D" w14:textId="77777777">
            <w:pPr>
              <w:pStyle w:val="TableParagraph"/>
              <w:ind w:right="225"/>
              <w:rPr>
                <w:sz w:val="21"/>
              </w:rPr>
            </w:pPr>
            <w:r>
              <w:rPr>
                <w:spacing w:val="-2"/>
                <w:sz w:val="21"/>
              </w:rPr>
              <w:t>1,900</w:t>
            </w:r>
          </w:p>
        </w:tc>
        <w:tc>
          <w:tcPr>
            <w:tcW w:w="1202" w:type="dxa"/>
          </w:tcPr>
          <w:p w:rsidR="003F5784" w14:paraId="7AC899B7" w14:textId="77777777">
            <w:pPr>
              <w:pStyle w:val="TableParagraph"/>
              <w:ind w:right="135"/>
              <w:rPr>
                <w:sz w:val="21"/>
              </w:rPr>
            </w:pPr>
            <w:r>
              <w:rPr>
                <w:spacing w:val="-4"/>
                <w:sz w:val="21"/>
              </w:rPr>
              <w:t>4.17</w:t>
            </w:r>
          </w:p>
        </w:tc>
        <w:tc>
          <w:tcPr>
            <w:tcW w:w="1738" w:type="dxa"/>
          </w:tcPr>
          <w:p w:rsidR="003F5784" w14:paraId="7CBE0A99" w14:textId="77777777">
            <w:pPr>
              <w:pStyle w:val="TableParagraph"/>
              <w:ind w:right="153"/>
              <w:rPr>
                <w:sz w:val="21"/>
              </w:rPr>
            </w:pPr>
            <w:r>
              <w:rPr>
                <w:spacing w:val="-2"/>
                <w:sz w:val="21"/>
              </w:rPr>
              <w:t>87.75</w:t>
            </w:r>
          </w:p>
        </w:tc>
        <w:tc>
          <w:tcPr>
            <w:tcW w:w="1733" w:type="dxa"/>
          </w:tcPr>
          <w:p w:rsidR="003F5784" w14:paraId="21A97902" w14:textId="77777777">
            <w:pPr>
              <w:pStyle w:val="TableParagraph"/>
              <w:ind w:right="120"/>
              <w:rPr>
                <w:sz w:val="21"/>
              </w:rPr>
            </w:pPr>
            <w:r>
              <w:rPr>
                <w:spacing w:val="-2"/>
                <w:sz w:val="21"/>
              </w:rPr>
              <w:t>23.07</w:t>
            </w:r>
          </w:p>
        </w:tc>
      </w:tr>
      <w:tr w14:paraId="5A0A438C" w14:textId="77777777">
        <w:tblPrEx>
          <w:tblW w:w="0" w:type="auto"/>
          <w:tblInd w:w="482" w:type="dxa"/>
          <w:tblLayout w:type="fixed"/>
          <w:tblCellMar>
            <w:left w:w="0" w:type="dxa"/>
            <w:right w:w="0" w:type="dxa"/>
          </w:tblCellMar>
          <w:tblLook w:val="01E0"/>
        </w:tblPrEx>
        <w:trPr>
          <w:trHeight w:val="286"/>
        </w:trPr>
        <w:tc>
          <w:tcPr>
            <w:tcW w:w="2693" w:type="dxa"/>
          </w:tcPr>
          <w:p w:rsidR="003F5784" w14:paraId="3379F7CD" w14:textId="77777777">
            <w:pPr>
              <w:pStyle w:val="TableParagraph"/>
              <w:ind w:left="120"/>
              <w:jc w:val="left"/>
              <w:rPr>
                <w:sz w:val="21"/>
              </w:rPr>
            </w:pPr>
            <w:r>
              <w:rPr>
                <w:spacing w:val="-2"/>
                <w:sz w:val="21"/>
              </w:rPr>
              <w:t>Florida</w:t>
            </w:r>
          </w:p>
        </w:tc>
        <w:tc>
          <w:tcPr>
            <w:tcW w:w="1272" w:type="dxa"/>
          </w:tcPr>
          <w:p w:rsidR="003F5784" w14:paraId="69243EEC" w14:textId="77777777">
            <w:pPr>
              <w:pStyle w:val="TableParagraph"/>
              <w:ind w:right="133"/>
              <w:rPr>
                <w:sz w:val="21"/>
              </w:rPr>
            </w:pPr>
            <w:r>
              <w:rPr>
                <w:spacing w:val="-5"/>
                <w:sz w:val="21"/>
              </w:rPr>
              <w:t>210</w:t>
            </w:r>
          </w:p>
        </w:tc>
        <w:tc>
          <w:tcPr>
            <w:tcW w:w="2055" w:type="dxa"/>
          </w:tcPr>
          <w:p w:rsidR="003F5784" w14:paraId="2E8EE091" w14:textId="77777777">
            <w:pPr>
              <w:pStyle w:val="TableParagraph"/>
              <w:ind w:right="134"/>
              <w:rPr>
                <w:sz w:val="21"/>
              </w:rPr>
            </w:pPr>
            <w:r>
              <w:rPr>
                <w:spacing w:val="-2"/>
                <w:sz w:val="21"/>
              </w:rPr>
              <w:t>100.00</w:t>
            </w:r>
          </w:p>
        </w:tc>
        <w:tc>
          <w:tcPr>
            <w:tcW w:w="1990" w:type="dxa"/>
          </w:tcPr>
          <w:p w:rsidR="003F5784" w14:paraId="3A49E5AE" w14:textId="77777777">
            <w:pPr>
              <w:pStyle w:val="TableParagraph"/>
              <w:ind w:right="166"/>
              <w:rPr>
                <w:sz w:val="21"/>
              </w:rPr>
            </w:pPr>
            <w:r>
              <w:rPr>
                <w:spacing w:val="-2"/>
                <w:sz w:val="21"/>
              </w:rPr>
              <w:t>100.00</w:t>
            </w:r>
          </w:p>
        </w:tc>
        <w:tc>
          <w:tcPr>
            <w:tcW w:w="1304" w:type="dxa"/>
          </w:tcPr>
          <w:p w:rsidR="003F5784" w14:paraId="3FFD173B" w14:textId="77777777">
            <w:pPr>
              <w:pStyle w:val="TableParagraph"/>
              <w:ind w:right="225"/>
              <w:rPr>
                <w:sz w:val="21"/>
              </w:rPr>
            </w:pPr>
            <w:r>
              <w:rPr>
                <w:spacing w:val="-2"/>
                <w:sz w:val="21"/>
              </w:rPr>
              <w:t>5,000</w:t>
            </w:r>
          </w:p>
        </w:tc>
        <w:tc>
          <w:tcPr>
            <w:tcW w:w="1202" w:type="dxa"/>
          </w:tcPr>
          <w:p w:rsidR="003F5784" w14:paraId="6B711629" w14:textId="77777777">
            <w:pPr>
              <w:pStyle w:val="TableParagraph"/>
              <w:ind w:right="135"/>
              <w:rPr>
                <w:sz w:val="21"/>
              </w:rPr>
            </w:pPr>
            <w:r>
              <w:rPr>
                <w:spacing w:val="-4"/>
                <w:sz w:val="21"/>
              </w:rPr>
              <w:t>2.37</w:t>
            </w:r>
          </w:p>
        </w:tc>
        <w:tc>
          <w:tcPr>
            <w:tcW w:w="1738" w:type="dxa"/>
          </w:tcPr>
          <w:p w:rsidR="003F5784" w14:paraId="6C6C1A07" w14:textId="77777777">
            <w:pPr>
              <w:pStyle w:val="TableParagraph"/>
              <w:ind w:right="153"/>
              <w:rPr>
                <w:sz w:val="21"/>
              </w:rPr>
            </w:pPr>
            <w:r>
              <w:rPr>
                <w:spacing w:val="-2"/>
                <w:sz w:val="21"/>
              </w:rPr>
              <w:t>93.05</w:t>
            </w:r>
          </w:p>
        </w:tc>
        <w:tc>
          <w:tcPr>
            <w:tcW w:w="1733" w:type="dxa"/>
          </w:tcPr>
          <w:p w:rsidR="003F5784" w14:paraId="0A2F778E" w14:textId="77777777">
            <w:pPr>
              <w:pStyle w:val="TableParagraph"/>
              <w:ind w:right="120"/>
              <w:rPr>
                <w:sz w:val="21"/>
              </w:rPr>
            </w:pPr>
            <w:r>
              <w:rPr>
                <w:spacing w:val="-2"/>
                <w:sz w:val="21"/>
              </w:rPr>
              <w:t>22.65</w:t>
            </w:r>
          </w:p>
        </w:tc>
      </w:tr>
      <w:tr w14:paraId="48B669F4" w14:textId="77777777">
        <w:tblPrEx>
          <w:tblW w:w="0" w:type="auto"/>
          <w:tblInd w:w="482" w:type="dxa"/>
          <w:tblLayout w:type="fixed"/>
          <w:tblCellMar>
            <w:left w:w="0" w:type="dxa"/>
            <w:right w:w="0" w:type="dxa"/>
          </w:tblCellMar>
          <w:tblLook w:val="01E0"/>
        </w:tblPrEx>
        <w:trPr>
          <w:trHeight w:val="286"/>
        </w:trPr>
        <w:tc>
          <w:tcPr>
            <w:tcW w:w="2693" w:type="dxa"/>
          </w:tcPr>
          <w:p w:rsidR="003F5784" w14:paraId="56CE3E34" w14:textId="77777777">
            <w:pPr>
              <w:pStyle w:val="TableParagraph"/>
              <w:ind w:left="120"/>
              <w:jc w:val="left"/>
              <w:rPr>
                <w:sz w:val="21"/>
              </w:rPr>
            </w:pPr>
            <w:r>
              <w:rPr>
                <w:spacing w:val="-2"/>
                <w:sz w:val="21"/>
              </w:rPr>
              <w:t>Georgia</w:t>
            </w:r>
          </w:p>
        </w:tc>
        <w:tc>
          <w:tcPr>
            <w:tcW w:w="1272" w:type="dxa"/>
          </w:tcPr>
          <w:p w:rsidR="003F5784" w14:paraId="413543C2" w14:textId="77777777">
            <w:pPr>
              <w:pStyle w:val="TableParagraph"/>
              <w:ind w:right="133"/>
              <w:rPr>
                <w:sz w:val="21"/>
              </w:rPr>
            </w:pPr>
            <w:r>
              <w:rPr>
                <w:spacing w:val="-5"/>
                <w:sz w:val="21"/>
              </w:rPr>
              <w:t>120</w:t>
            </w:r>
          </w:p>
        </w:tc>
        <w:tc>
          <w:tcPr>
            <w:tcW w:w="2055" w:type="dxa"/>
          </w:tcPr>
          <w:p w:rsidR="003F5784" w14:paraId="33752E69" w14:textId="77777777">
            <w:pPr>
              <w:pStyle w:val="TableParagraph"/>
              <w:ind w:right="134"/>
              <w:rPr>
                <w:sz w:val="21"/>
              </w:rPr>
            </w:pPr>
            <w:r>
              <w:rPr>
                <w:spacing w:val="-2"/>
                <w:sz w:val="21"/>
              </w:rPr>
              <w:t>96.17</w:t>
            </w:r>
          </w:p>
        </w:tc>
        <w:tc>
          <w:tcPr>
            <w:tcW w:w="1990" w:type="dxa"/>
          </w:tcPr>
          <w:p w:rsidR="003F5784" w14:paraId="3182502E" w14:textId="77777777">
            <w:pPr>
              <w:pStyle w:val="TableParagraph"/>
              <w:ind w:right="166"/>
              <w:rPr>
                <w:sz w:val="21"/>
              </w:rPr>
            </w:pPr>
            <w:r>
              <w:rPr>
                <w:spacing w:val="-2"/>
                <w:sz w:val="21"/>
              </w:rPr>
              <w:t>96.07</w:t>
            </w:r>
          </w:p>
        </w:tc>
        <w:tc>
          <w:tcPr>
            <w:tcW w:w="1304" w:type="dxa"/>
          </w:tcPr>
          <w:p w:rsidR="003F5784" w14:paraId="6F4ACCF9" w14:textId="77777777">
            <w:pPr>
              <w:pStyle w:val="TableParagraph"/>
              <w:ind w:right="225"/>
              <w:rPr>
                <w:sz w:val="21"/>
              </w:rPr>
            </w:pPr>
            <w:r>
              <w:rPr>
                <w:spacing w:val="-2"/>
                <w:sz w:val="21"/>
              </w:rPr>
              <w:t>3,000</w:t>
            </w:r>
          </w:p>
        </w:tc>
        <w:tc>
          <w:tcPr>
            <w:tcW w:w="1202" w:type="dxa"/>
          </w:tcPr>
          <w:p w:rsidR="003F5784" w14:paraId="23A66B9D" w14:textId="77777777">
            <w:pPr>
              <w:pStyle w:val="TableParagraph"/>
              <w:ind w:right="135"/>
              <w:rPr>
                <w:sz w:val="21"/>
              </w:rPr>
            </w:pPr>
            <w:r>
              <w:rPr>
                <w:spacing w:val="-4"/>
                <w:sz w:val="21"/>
              </w:rPr>
              <w:t>1.82</w:t>
            </w:r>
          </w:p>
        </w:tc>
        <w:tc>
          <w:tcPr>
            <w:tcW w:w="1738" w:type="dxa"/>
          </w:tcPr>
          <w:p w:rsidR="003F5784" w14:paraId="427B22F4" w14:textId="77777777">
            <w:pPr>
              <w:pStyle w:val="TableParagraph"/>
              <w:ind w:right="153"/>
              <w:rPr>
                <w:sz w:val="21"/>
              </w:rPr>
            </w:pPr>
            <w:r>
              <w:rPr>
                <w:spacing w:val="-2"/>
                <w:sz w:val="21"/>
              </w:rPr>
              <w:t>92.18</w:t>
            </w:r>
          </w:p>
        </w:tc>
        <w:tc>
          <w:tcPr>
            <w:tcW w:w="1733" w:type="dxa"/>
          </w:tcPr>
          <w:p w:rsidR="003F5784" w14:paraId="08F8B7F8" w14:textId="77777777">
            <w:pPr>
              <w:pStyle w:val="TableParagraph"/>
              <w:ind w:right="120"/>
              <w:rPr>
                <w:sz w:val="21"/>
              </w:rPr>
            </w:pPr>
            <w:r>
              <w:rPr>
                <w:spacing w:val="-2"/>
                <w:sz w:val="21"/>
              </w:rPr>
              <w:t>16.21</w:t>
            </w:r>
          </w:p>
        </w:tc>
      </w:tr>
      <w:tr w14:paraId="1EFBFC27" w14:textId="77777777">
        <w:tblPrEx>
          <w:tblW w:w="0" w:type="auto"/>
          <w:tblInd w:w="482" w:type="dxa"/>
          <w:tblLayout w:type="fixed"/>
          <w:tblCellMar>
            <w:left w:w="0" w:type="dxa"/>
            <w:right w:w="0" w:type="dxa"/>
          </w:tblCellMar>
          <w:tblLook w:val="01E0"/>
        </w:tblPrEx>
        <w:trPr>
          <w:trHeight w:val="286"/>
        </w:trPr>
        <w:tc>
          <w:tcPr>
            <w:tcW w:w="2693" w:type="dxa"/>
          </w:tcPr>
          <w:p w:rsidR="003F5784" w14:paraId="190B8CB6" w14:textId="77777777">
            <w:pPr>
              <w:pStyle w:val="TableParagraph"/>
              <w:ind w:left="120"/>
              <w:jc w:val="left"/>
              <w:rPr>
                <w:sz w:val="21"/>
              </w:rPr>
            </w:pPr>
            <w:r>
              <w:rPr>
                <w:spacing w:val="-2"/>
                <w:sz w:val="21"/>
              </w:rPr>
              <w:t>Hawaii</w:t>
            </w:r>
          </w:p>
        </w:tc>
        <w:tc>
          <w:tcPr>
            <w:tcW w:w="1272" w:type="dxa"/>
          </w:tcPr>
          <w:p w:rsidR="003F5784" w14:paraId="6B21D823" w14:textId="77777777">
            <w:pPr>
              <w:pStyle w:val="TableParagraph"/>
              <w:ind w:right="133"/>
              <w:rPr>
                <w:sz w:val="21"/>
              </w:rPr>
            </w:pPr>
            <w:r>
              <w:rPr>
                <w:spacing w:val="-5"/>
                <w:sz w:val="21"/>
              </w:rPr>
              <w:t>90</w:t>
            </w:r>
          </w:p>
        </w:tc>
        <w:tc>
          <w:tcPr>
            <w:tcW w:w="2055" w:type="dxa"/>
          </w:tcPr>
          <w:p w:rsidR="003F5784" w14:paraId="0C6DB57F" w14:textId="77777777">
            <w:pPr>
              <w:pStyle w:val="TableParagraph"/>
              <w:ind w:right="134"/>
              <w:rPr>
                <w:sz w:val="21"/>
              </w:rPr>
            </w:pPr>
            <w:r>
              <w:rPr>
                <w:spacing w:val="-2"/>
                <w:sz w:val="21"/>
              </w:rPr>
              <w:t>100.00</w:t>
            </w:r>
          </w:p>
        </w:tc>
        <w:tc>
          <w:tcPr>
            <w:tcW w:w="1990" w:type="dxa"/>
          </w:tcPr>
          <w:p w:rsidR="003F5784" w14:paraId="67D8897F" w14:textId="77777777">
            <w:pPr>
              <w:pStyle w:val="TableParagraph"/>
              <w:ind w:right="166"/>
              <w:rPr>
                <w:sz w:val="21"/>
              </w:rPr>
            </w:pPr>
            <w:r>
              <w:rPr>
                <w:spacing w:val="-2"/>
                <w:sz w:val="21"/>
              </w:rPr>
              <w:t>100.00</w:t>
            </w:r>
          </w:p>
        </w:tc>
        <w:tc>
          <w:tcPr>
            <w:tcW w:w="1304" w:type="dxa"/>
          </w:tcPr>
          <w:p w:rsidR="003F5784" w14:paraId="791FCE76" w14:textId="77777777">
            <w:pPr>
              <w:pStyle w:val="TableParagraph"/>
              <w:ind w:right="225"/>
              <w:rPr>
                <w:sz w:val="21"/>
              </w:rPr>
            </w:pPr>
            <w:r>
              <w:rPr>
                <w:spacing w:val="-2"/>
                <w:sz w:val="21"/>
              </w:rPr>
              <w:t>2,000</w:t>
            </w:r>
          </w:p>
        </w:tc>
        <w:tc>
          <w:tcPr>
            <w:tcW w:w="1202" w:type="dxa"/>
          </w:tcPr>
          <w:p w:rsidR="003F5784" w14:paraId="54407256" w14:textId="77777777">
            <w:pPr>
              <w:pStyle w:val="TableParagraph"/>
              <w:ind w:right="135"/>
              <w:rPr>
                <w:sz w:val="21"/>
              </w:rPr>
            </w:pPr>
            <w:r>
              <w:rPr>
                <w:spacing w:val="-4"/>
                <w:sz w:val="21"/>
              </w:rPr>
              <w:t>1.24</w:t>
            </w:r>
          </w:p>
        </w:tc>
        <w:tc>
          <w:tcPr>
            <w:tcW w:w="1738" w:type="dxa"/>
          </w:tcPr>
          <w:p w:rsidR="003F5784" w14:paraId="476F359E" w14:textId="77777777">
            <w:pPr>
              <w:pStyle w:val="TableParagraph"/>
              <w:ind w:right="153"/>
              <w:rPr>
                <w:sz w:val="21"/>
              </w:rPr>
            </w:pPr>
            <w:r>
              <w:rPr>
                <w:spacing w:val="-2"/>
                <w:sz w:val="21"/>
              </w:rPr>
              <w:t>88.58</w:t>
            </w:r>
          </w:p>
        </w:tc>
        <w:tc>
          <w:tcPr>
            <w:tcW w:w="1733" w:type="dxa"/>
          </w:tcPr>
          <w:p w:rsidR="003F5784" w14:paraId="1068C937" w14:textId="77777777">
            <w:pPr>
              <w:pStyle w:val="TableParagraph"/>
              <w:ind w:right="120"/>
              <w:rPr>
                <w:sz w:val="21"/>
              </w:rPr>
            </w:pPr>
            <w:r>
              <w:rPr>
                <w:spacing w:val="-4"/>
                <w:sz w:val="21"/>
              </w:rPr>
              <w:t>6.03</w:t>
            </w:r>
          </w:p>
        </w:tc>
      </w:tr>
      <w:tr w14:paraId="0A82D7F1" w14:textId="77777777">
        <w:tblPrEx>
          <w:tblW w:w="0" w:type="auto"/>
          <w:tblInd w:w="482" w:type="dxa"/>
          <w:tblLayout w:type="fixed"/>
          <w:tblCellMar>
            <w:left w:w="0" w:type="dxa"/>
            <w:right w:w="0" w:type="dxa"/>
          </w:tblCellMar>
          <w:tblLook w:val="01E0"/>
        </w:tblPrEx>
        <w:trPr>
          <w:trHeight w:val="286"/>
        </w:trPr>
        <w:tc>
          <w:tcPr>
            <w:tcW w:w="2693" w:type="dxa"/>
          </w:tcPr>
          <w:p w:rsidR="003F5784" w14:paraId="44052E59" w14:textId="77777777">
            <w:pPr>
              <w:pStyle w:val="TableParagraph"/>
              <w:ind w:left="120"/>
              <w:jc w:val="left"/>
              <w:rPr>
                <w:sz w:val="21"/>
              </w:rPr>
            </w:pPr>
            <w:r>
              <w:rPr>
                <w:spacing w:val="-2"/>
                <w:sz w:val="21"/>
              </w:rPr>
              <w:t>Idaho</w:t>
            </w:r>
          </w:p>
        </w:tc>
        <w:tc>
          <w:tcPr>
            <w:tcW w:w="1272" w:type="dxa"/>
          </w:tcPr>
          <w:p w:rsidR="003F5784" w14:paraId="15CFDF6E" w14:textId="77777777">
            <w:pPr>
              <w:pStyle w:val="TableParagraph"/>
              <w:ind w:right="133"/>
              <w:rPr>
                <w:sz w:val="21"/>
              </w:rPr>
            </w:pPr>
            <w:r>
              <w:rPr>
                <w:spacing w:val="-5"/>
                <w:sz w:val="21"/>
              </w:rPr>
              <w:t>90</w:t>
            </w:r>
          </w:p>
        </w:tc>
        <w:tc>
          <w:tcPr>
            <w:tcW w:w="2055" w:type="dxa"/>
          </w:tcPr>
          <w:p w:rsidR="003F5784" w14:paraId="62BB434B" w14:textId="77777777">
            <w:pPr>
              <w:pStyle w:val="TableParagraph"/>
              <w:ind w:right="134"/>
              <w:rPr>
                <w:sz w:val="21"/>
              </w:rPr>
            </w:pPr>
            <w:r>
              <w:rPr>
                <w:spacing w:val="-2"/>
                <w:sz w:val="21"/>
              </w:rPr>
              <w:t>100.00</w:t>
            </w:r>
          </w:p>
        </w:tc>
        <w:tc>
          <w:tcPr>
            <w:tcW w:w="1990" w:type="dxa"/>
          </w:tcPr>
          <w:p w:rsidR="003F5784" w14:paraId="45118743" w14:textId="77777777">
            <w:pPr>
              <w:pStyle w:val="TableParagraph"/>
              <w:ind w:right="166"/>
              <w:rPr>
                <w:sz w:val="21"/>
              </w:rPr>
            </w:pPr>
            <w:r>
              <w:rPr>
                <w:spacing w:val="-2"/>
                <w:sz w:val="21"/>
              </w:rPr>
              <w:t>100.00</w:t>
            </w:r>
          </w:p>
        </w:tc>
        <w:tc>
          <w:tcPr>
            <w:tcW w:w="1304" w:type="dxa"/>
          </w:tcPr>
          <w:p w:rsidR="003F5784" w14:paraId="4C7EE836" w14:textId="77777777">
            <w:pPr>
              <w:pStyle w:val="TableParagraph"/>
              <w:ind w:right="225"/>
              <w:rPr>
                <w:sz w:val="21"/>
              </w:rPr>
            </w:pPr>
            <w:r>
              <w:rPr>
                <w:spacing w:val="-2"/>
                <w:sz w:val="21"/>
              </w:rPr>
              <w:t>1,900</w:t>
            </w:r>
          </w:p>
        </w:tc>
        <w:tc>
          <w:tcPr>
            <w:tcW w:w="1202" w:type="dxa"/>
          </w:tcPr>
          <w:p w:rsidR="003F5784" w14:paraId="3B9F3569" w14:textId="77777777">
            <w:pPr>
              <w:pStyle w:val="TableParagraph"/>
              <w:ind w:right="135"/>
              <w:rPr>
                <w:sz w:val="21"/>
              </w:rPr>
            </w:pPr>
            <w:r>
              <w:rPr>
                <w:spacing w:val="-4"/>
                <w:sz w:val="21"/>
              </w:rPr>
              <w:t>1.72</w:t>
            </w:r>
          </w:p>
        </w:tc>
        <w:tc>
          <w:tcPr>
            <w:tcW w:w="1738" w:type="dxa"/>
          </w:tcPr>
          <w:p w:rsidR="003F5784" w14:paraId="65D0D628" w14:textId="77777777">
            <w:pPr>
              <w:pStyle w:val="TableParagraph"/>
              <w:ind w:right="153"/>
              <w:rPr>
                <w:sz w:val="21"/>
              </w:rPr>
            </w:pPr>
            <w:r>
              <w:rPr>
                <w:spacing w:val="-2"/>
                <w:sz w:val="21"/>
              </w:rPr>
              <w:t>92.45</w:t>
            </w:r>
          </w:p>
        </w:tc>
        <w:tc>
          <w:tcPr>
            <w:tcW w:w="1733" w:type="dxa"/>
          </w:tcPr>
          <w:p w:rsidR="003F5784" w14:paraId="17B4B4A5" w14:textId="77777777">
            <w:pPr>
              <w:pStyle w:val="TableParagraph"/>
              <w:ind w:right="120"/>
              <w:rPr>
                <w:sz w:val="21"/>
              </w:rPr>
            </w:pPr>
            <w:r>
              <w:rPr>
                <w:spacing w:val="-2"/>
                <w:sz w:val="21"/>
              </w:rPr>
              <w:t>10.09</w:t>
            </w:r>
          </w:p>
        </w:tc>
      </w:tr>
      <w:tr w14:paraId="1C59B1FE" w14:textId="77777777">
        <w:tblPrEx>
          <w:tblW w:w="0" w:type="auto"/>
          <w:tblInd w:w="482" w:type="dxa"/>
          <w:tblLayout w:type="fixed"/>
          <w:tblCellMar>
            <w:left w:w="0" w:type="dxa"/>
            <w:right w:w="0" w:type="dxa"/>
          </w:tblCellMar>
          <w:tblLook w:val="01E0"/>
        </w:tblPrEx>
        <w:trPr>
          <w:trHeight w:val="286"/>
        </w:trPr>
        <w:tc>
          <w:tcPr>
            <w:tcW w:w="2693" w:type="dxa"/>
          </w:tcPr>
          <w:p w:rsidR="003F5784" w14:paraId="58A2DC4A" w14:textId="77777777">
            <w:pPr>
              <w:pStyle w:val="TableParagraph"/>
              <w:ind w:left="120"/>
              <w:jc w:val="left"/>
              <w:rPr>
                <w:sz w:val="21"/>
              </w:rPr>
            </w:pPr>
            <w:r>
              <w:rPr>
                <w:spacing w:val="-2"/>
                <w:sz w:val="21"/>
              </w:rPr>
              <w:t>Illinois</w:t>
            </w:r>
          </w:p>
        </w:tc>
        <w:tc>
          <w:tcPr>
            <w:tcW w:w="1272" w:type="dxa"/>
          </w:tcPr>
          <w:p w:rsidR="003F5784" w14:paraId="7AE9F55F" w14:textId="77777777">
            <w:pPr>
              <w:pStyle w:val="TableParagraph"/>
              <w:ind w:right="133"/>
              <w:rPr>
                <w:sz w:val="21"/>
              </w:rPr>
            </w:pPr>
            <w:r>
              <w:rPr>
                <w:spacing w:val="-5"/>
                <w:sz w:val="21"/>
              </w:rPr>
              <w:t>150</w:t>
            </w:r>
          </w:p>
        </w:tc>
        <w:tc>
          <w:tcPr>
            <w:tcW w:w="2055" w:type="dxa"/>
          </w:tcPr>
          <w:p w:rsidR="003F5784" w14:paraId="7C772C54" w14:textId="77777777">
            <w:pPr>
              <w:pStyle w:val="TableParagraph"/>
              <w:ind w:right="134"/>
              <w:rPr>
                <w:sz w:val="21"/>
              </w:rPr>
            </w:pPr>
            <w:r>
              <w:rPr>
                <w:spacing w:val="-2"/>
                <w:sz w:val="21"/>
              </w:rPr>
              <w:t>100.00</w:t>
            </w:r>
          </w:p>
        </w:tc>
        <w:tc>
          <w:tcPr>
            <w:tcW w:w="1990" w:type="dxa"/>
          </w:tcPr>
          <w:p w:rsidR="003F5784" w14:paraId="02EC853C" w14:textId="77777777">
            <w:pPr>
              <w:pStyle w:val="TableParagraph"/>
              <w:ind w:right="166"/>
              <w:rPr>
                <w:sz w:val="21"/>
              </w:rPr>
            </w:pPr>
            <w:r>
              <w:rPr>
                <w:spacing w:val="-2"/>
                <w:sz w:val="21"/>
              </w:rPr>
              <w:t>100.00</w:t>
            </w:r>
          </w:p>
        </w:tc>
        <w:tc>
          <w:tcPr>
            <w:tcW w:w="1304" w:type="dxa"/>
          </w:tcPr>
          <w:p w:rsidR="003F5784" w14:paraId="46C005DE" w14:textId="77777777">
            <w:pPr>
              <w:pStyle w:val="TableParagraph"/>
              <w:ind w:right="225"/>
              <w:rPr>
                <w:sz w:val="21"/>
              </w:rPr>
            </w:pPr>
            <w:r>
              <w:rPr>
                <w:spacing w:val="-2"/>
                <w:sz w:val="21"/>
              </w:rPr>
              <w:t>3,000</w:t>
            </w:r>
          </w:p>
        </w:tc>
        <w:tc>
          <w:tcPr>
            <w:tcW w:w="1202" w:type="dxa"/>
          </w:tcPr>
          <w:p w:rsidR="003F5784" w14:paraId="4FAE02E5" w14:textId="77777777">
            <w:pPr>
              <w:pStyle w:val="TableParagraph"/>
              <w:ind w:right="135"/>
              <w:rPr>
                <w:sz w:val="21"/>
              </w:rPr>
            </w:pPr>
            <w:r>
              <w:rPr>
                <w:spacing w:val="-4"/>
                <w:sz w:val="21"/>
              </w:rPr>
              <w:t>0.92</w:t>
            </w:r>
          </w:p>
        </w:tc>
        <w:tc>
          <w:tcPr>
            <w:tcW w:w="1738" w:type="dxa"/>
          </w:tcPr>
          <w:p w:rsidR="003F5784" w14:paraId="61B1F596" w14:textId="77777777">
            <w:pPr>
              <w:pStyle w:val="TableParagraph"/>
              <w:ind w:right="153"/>
              <w:rPr>
                <w:sz w:val="21"/>
              </w:rPr>
            </w:pPr>
            <w:r>
              <w:rPr>
                <w:spacing w:val="-2"/>
                <w:sz w:val="21"/>
              </w:rPr>
              <w:t>90.91</w:t>
            </w:r>
          </w:p>
        </w:tc>
        <w:tc>
          <w:tcPr>
            <w:tcW w:w="1733" w:type="dxa"/>
          </w:tcPr>
          <w:p w:rsidR="003F5784" w14:paraId="03277900" w14:textId="77777777">
            <w:pPr>
              <w:pStyle w:val="TableParagraph"/>
              <w:ind w:right="120"/>
              <w:rPr>
                <w:sz w:val="21"/>
              </w:rPr>
            </w:pPr>
            <w:r>
              <w:rPr>
                <w:spacing w:val="-2"/>
                <w:sz w:val="21"/>
              </w:rPr>
              <w:t>18.44</w:t>
            </w:r>
          </w:p>
        </w:tc>
      </w:tr>
      <w:tr w14:paraId="5282D804" w14:textId="77777777">
        <w:tblPrEx>
          <w:tblW w:w="0" w:type="auto"/>
          <w:tblInd w:w="482" w:type="dxa"/>
          <w:tblLayout w:type="fixed"/>
          <w:tblCellMar>
            <w:left w:w="0" w:type="dxa"/>
            <w:right w:w="0" w:type="dxa"/>
          </w:tblCellMar>
          <w:tblLook w:val="01E0"/>
        </w:tblPrEx>
        <w:trPr>
          <w:trHeight w:val="286"/>
        </w:trPr>
        <w:tc>
          <w:tcPr>
            <w:tcW w:w="2693" w:type="dxa"/>
          </w:tcPr>
          <w:p w:rsidR="003F5784" w14:paraId="380E3192" w14:textId="77777777">
            <w:pPr>
              <w:pStyle w:val="TableParagraph"/>
              <w:ind w:left="120"/>
              <w:jc w:val="left"/>
              <w:rPr>
                <w:sz w:val="21"/>
              </w:rPr>
            </w:pPr>
            <w:r>
              <w:rPr>
                <w:spacing w:val="-2"/>
                <w:sz w:val="21"/>
              </w:rPr>
              <w:t>Indiana</w:t>
            </w:r>
          </w:p>
        </w:tc>
        <w:tc>
          <w:tcPr>
            <w:tcW w:w="1272" w:type="dxa"/>
          </w:tcPr>
          <w:p w:rsidR="003F5784" w14:paraId="139085C8" w14:textId="77777777">
            <w:pPr>
              <w:pStyle w:val="TableParagraph"/>
              <w:ind w:right="133"/>
              <w:rPr>
                <w:sz w:val="21"/>
              </w:rPr>
            </w:pPr>
            <w:r>
              <w:rPr>
                <w:spacing w:val="-5"/>
                <w:sz w:val="21"/>
              </w:rPr>
              <w:t>90</w:t>
            </w:r>
          </w:p>
        </w:tc>
        <w:tc>
          <w:tcPr>
            <w:tcW w:w="2055" w:type="dxa"/>
          </w:tcPr>
          <w:p w:rsidR="003F5784" w14:paraId="2A691808" w14:textId="77777777">
            <w:pPr>
              <w:pStyle w:val="TableParagraph"/>
              <w:ind w:right="134"/>
              <w:rPr>
                <w:sz w:val="21"/>
              </w:rPr>
            </w:pPr>
            <w:r>
              <w:rPr>
                <w:spacing w:val="-2"/>
                <w:sz w:val="21"/>
              </w:rPr>
              <w:t>98.63</w:t>
            </w:r>
          </w:p>
        </w:tc>
        <w:tc>
          <w:tcPr>
            <w:tcW w:w="1990" w:type="dxa"/>
          </w:tcPr>
          <w:p w:rsidR="003F5784" w14:paraId="1CCBC499" w14:textId="77777777">
            <w:pPr>
              <w:pStyle w:val="TableParagraph"/>
              <w:ind w:right="166"/>
              <w:rPr>
                <w:sz w:val="21"/>
              </w:rPr>
            </w:pPr>
            <w:r>
              <w:rPr>
                <w:spacing w:val="-2"/>
                <w:sz w:val="21"/>
              </w:rPr>
              <w:t>99.22</w:t>
            </w:r>
          </w:p>
        </w:tc>
        <w:tc>
          <w:tcPr>
            <w:tcW w:w="1304" w:type="dxa"/>
          </w:tcPr>
          <w:p w:rsidR="003F5784" w14:paraId="5041E551" w14:textId="77777777">
            <w:pPr>
              <w:pStyle w:val="TableParagraph"/>
              <w:ind w:right="225"/>
              <w:rPr>
                <w:sz w:val="21"/>
              </w:rPr>
            </w:pPr>
            <w:r>
              <w:rPr>
                <w:spacing w:val="-2"/>
                <w:sz w:val="21"/>
              </w:rPr>
              <w:t>1,900</w:t>
            </w:r>
          </w:p>
        </w:tc>
        <w:tc>
          <w:tcPr>
            <w:tcW w:w="1202" w:type="dxa"/>
          </w:tcPr>
          <w:p w:rsidR="003F5784" w14:paraId="0B073610" w14:textId="77777777">
            <w:pPr>
              <w:pStyle w:val="TableParagraph"/>
              <w:ind w:right="135"/>
              <w:rPr>
                <w:sz w:val="21"/>
              </w:rPr>
            </w:pPr>
            <w:r>
              <w:rPr>
                <w:spacing w:val="-4"/>
                <w:sz w:val="21"/>
              </w:rPr>
              <w:t>0.68</w:t>
            </w:r>
          </w:p>
        </w:tc>
        <w:tc>
          <w:tcPr>
            <w:tcW w:w="1738" w:type="dxa"/>
          </w:tcPr>
          <w:p w:rsidR="003F5784" w14:paraId="2EB1AAED" w14:textId="77777777">
            <w:pPr>
              <w:pStyle w:val="TableParagraph"/>
              <w:ind w:right="153"/>
              <w:rPr>
                <w:sz w:val="21"/>
              </w:rPr>
            </w:pPr>
            <w:r>
              <w:rPr>
                <w:spacing w:val="-2"/>
                <w:sz w:val="21"/>
              </w:rPr>
              <w:t>93.09</w:t>
            </w:r>
          </w:p>
        </w:tc>
        <w:tc>
          <w:tcPr>
            <w:tcW w:w="1733" w:type="dxa"/>
          </w:tcPr>
          <w:p w:rsidR="003F5784" w14:paraId="70F718E4" w14:textId="77777777">
            <w:pPr>
              <w:pStyle w:val="TableParagraph"/>
              <w:ind w:right="120"/>
              <w:rPr>
                <w:sz w:val="21"/>
              </w:rPr>
            </w:pPr>
            <w:r>
              <w:rPr>
                <w:spacing w:val="-2"/>
                <w:sz w:val="21"/>
              </w:rPr>
              <w:t>19.87</w:t>
            </w:r>
          </w:p>
        </w:tc>
      </w:tr>
      <w:tr w14:paraId="437E6858" w14:textId="77777777">
        <w:tblPrEx>
          <w:tblW w:w="0" w:type="auto"/>
          <w:tblInd w:w="482" w:type="dxa"/>
          <w:tblLayout w:type="fixed"/>
          <w:tblCellMar>
            <w:left w:w="0" w:type="dxa"/>
            <w:right w:w="0" w:type="dxa"/>
          </w:tblCellMar>
          <w:tblLook w:val="01E0"/>
        </w:tblPrEx>
        <w:trPr>
          <w:trHeight w:val="286"/>
        </w:trPr>
        <w:tc>
          <w:tcPr>
            <w:tcW w:w="2693" w:type="dxa"/>
          </w:tcPr>
          <w:p w:rsidR="003F5784" w14:paraId="00A5EE98" w14:textId="77777777">
            <w:pPr>
              <w:pStyle w:val="TableParagraph"/>
              <w:ind w:left="120"/>
              <w:jc w:val="left"/>
              <w:rPr>
                <w:sz w:val="21"/>
              </w:rPr>
            </w:pPr>
            <w:r>
              <w:rPr>
                <w:spacing w:val="-4"/>
                <w:sz w:val="21"/>
              </w:rPr>
              <w:t>Iowa</w:t>
            </w:r>
          </w:p>
        </w:tc>
        <w:tc>
          <w:tcPr>
            <w:tcW w:w="1272" w:type="dxa"/>
          </w:tcPr>
          <w:p w:rsidR="003F5784" w14:paraId="78BEE839" w14:textId="77777777">
            <w:pPr>
              <w:pStyle w:val="TableParagraph"/>
              <w:ind w:right="133"/>
              <w:rPr>
                <w:sz w:val="21"/>
              </w:rPr>
            </w:pPr>
            <w:r>
              <w:rPr>
                <w:spacing w:val="-5"/>
                <w:sz w:val="21"/>
              </w:rPr>
              <w:t>90</w:t>
            </w:r>
          </w:p>
        </w:tc>
        <w:tc>
          <w:tcPr>
            <w:tcW w:w="2055" w:type="dxa"/>
          </w:tcPr>
          <w:p w:rsidR="003F5784" w14:paraId="4EDFDCF3" w14:textId="77777777">
            <w:pPr>
              <w:pStyle w:val="TableParagraph"/>
              <w:ind w:right="134"/>
              <w:rPr>
                <w:sz w:val="21"/>
              </w:rPr>
            </w:pPr>
            <w:r>
              <w:rPr>
                <w:spacing w:val="-2"/>
                <w:sz w:val="21"/>
              </w:rPr>
              <w:t>98.67</w:t>
            </w:r>
          </w:p>
        </w:tc>
        <w:tc>
          <w:tcPr>
            <w:tcW w:w="1990" w:type="dxa"/>
          </w:tcPr>
          <w:p w:rsidR="003F5784" w14:paraId="7D2C4099" w14:textId="77777777">
            <w:pPr>
              <w:pStyle w:val="TableParagraph"/>
              <w:ind w:right="166"/>
              <w:rPr>
                <w:sz w:val="21"/>
              </w:rPr>
            </w:pPr>
            <w:r>
              <w:rPr>
                <w:spacing w:val="-2"/>
                <w:sz w:val="21"/>
              </w:rPr>
              <w:t>99.41</w:t>
            </w:r>
          </w:p>
        </w:tc>
        <w:tc>
          <w:tcPr>
            <w:tcW w:w="1304" w:type="dxa"/>
          </w:tcPr>
          <w:p w:rsidR="003F5784" w14:paraId="25B7241F" w14:textId="77777777">
            <w:pPr>
              <w:pStyle w:val="TableParagraph"/>
              <w:ind w:right="225"/>
              <w:rPr>
                <w:sz w:val="21"/>
              </w:rPr>
            </w:pPr>
            <w:r>
              <w:rPr>
                <w:spacing w:val="-2"/>
                <w:sz w:val="21"/>
              </w:rPr>
              <w:t>2,000</w:t>
            </w:r>
          </w:p>
        </w:tc>
        <w:tc>
          <w:tcPr>
            <w:tcW w:w="1202" w:type="dxa"/>
          </w:tcPr>
          <w:p w:rsidR="003F5784" w14:paraId="7DF17A85" w14:textId="77777777">
            <w:pPr>
              <w:pStyle w:val="TableParagraph"/>
              <w:ind w:right="135"/>
              <w:rPr>
                <w:sz w:val="21"/>
              </w:rPr>
            </w:pPr>
            <w:r>
              <w:rPr>
                <w:spacing w:val="-4"/>
                <w:sz w:val="21"/>
              </w:rPr>
              <w:t>1.18</w:t>
            </w:r>
          </w:p>
        </w:tc>
        <w:tc>
          <w:tcPr>
            <w:tcW w:w="1738" w:type="dxa"/>
          </w:tcPr>
          <w:p w:rsidR="003F5784" w14:paraId="33F6488A" w14:textId="77777777">
            <w:pPr>
              <w:pStyle w:val="TableParagraph"/>
              <w:ind w:right="153"/>
              <w:rPr>
                <w:sz w:val="21"/>
              </w:rPr>
            </w:pPr>
            <w:r>
              <w:rPr>
                <w:spacing w:val="-2"/>
                <w:sz w:val="21"/>
              </w:rPr>
              <w:t>92.99</w:t>
            </w:r>
          </w:p>
        </w:tc>
        <w:tc>
          <w:tcPr>
            <w:tcW w:w="1733" w:type="dxa"/>
          </w:tcPr>
          <w:p w:rsidR="003F5784" w14:paraId="0A49924E" w14:textId="77777777">
            <w:pPr>
              <w:pStyle w:val="TableParagraph"/>
              <w:ind w:right="120"/>
              <w:rPr>
                <w:sz w:val="21"/>
              </w:rPr>
            </w:pPr>
            <w:r>
              <w:rPr>
                <w:spacing w:val="-2"/>
                <w:sz w:val="21"/>
              </w:rPr>
              <w:t>14.86</w:t>
            </w:r>
          </w:p>
        </w:tc>
      </w:tr>
      <w:tr w14:paraId="60780BB3" w14:textId="77777777">
        <w:tblPrEx>
          <w:tblW w:w="0" w:type="auto"/>
          <w:tblInd w:w="482" w:type="dxa"/>
          <w:tblLayout w:type="fixed"/>
          <w:tblCellMar>
            <w:left w:w="0" w:type="dxa"/>
            <w:right w:w="0" w:type="dxa"/>
          </w:tblCellMar>
          <w:tblLook w:val="01E0"/>
        </w:tblPrEx>
        <w:trPr>
          <w:trHeight w:val="286"/>
        </w:trPr>
        <w:tc>
          <w:tcPr>
            <w:tcW w:w="2693" w:type="dxa"/>
          </w:tcPr>
          <w:p w:rsidR="003F5784" w14:paraId="6375BFAC" w14:textId="77777777">
            <w:pPr>
              <w:pStyle w:val="TableParagraph"/>
              <w:ind w:left="120"/>
              <w:jc w:val="left"/>
              <w:rPr>
                <w:sz w:val="21"/>
              </w:rPr>
            </w:pPr>
            <w:r>
              <w:rPr>
                <w:spacing w:val="-2"/>
                <w:sz w:val="21"/>
              </w:rPr>
              <w:t>Kansas</w:t>
            </w:r>
          </w:p>
        </w:tc>
        <w:tc>
          <w:tcPr>
            <w:tcW w:w="1272" w:type="dxa"/>
          </w:tcPr>
          <w:p w:rsidR="003F5784" w14:paraId="3747232B" w14:textId="77777777">
            <w:pPr>
              <w:pStyle w:val="TableParagraph"/>
              <w:ind w:right="133"/>
              <w:rPr>
                <w:sz w:val="21"/>
              </w:rPr>
            </w:pPr>
            <w:r>
              <w:rPr>
                <w:spacing w:val="-5"/>
                <w:sz w:val="21"/>
              </w:rPr>
              <w:t>100</w:t>
            </w:r>
          </w:p>
        </w:tc>
        <w:tc>
          <w:tcPr>
            <w:tcW w:w="2055" w:type="dxa"/>
          </w:tcPr>
          <w:p w:rsidR="003F5784" w14:paraId="3F1D01DC" w14:textId="77777777">
            <w:pPr>
              <w:pStyle w:val="TableParagraph"/>
              <w:ind w:right="134"/>
              <w:rPr>
                <w:sz w:val="21"/>
              </w:rPr>
            </w:pPr>
            <w:r>
              <w:rPr>
                <w:spacing w:val="-2"/>
                <w:sz w:val="21"/>
              </w:rPr>
              <w:t>100.00</w:t>
            </w:r>
          </w:p>
        </w:tc>
        <w:tc>
          <w:tcPr>
            <w:tcW w:w="1990" w:type="dxa"/>
          </w:tcPr>
          <w:p w:rsidR="003F5784" w14:paraId="56DD3B93" w14:textId="77777777">
            <w:pPr>
              <w:pStyle w:val="TableParagraph"/>
              <w:ind w:right="166"/>
              <w:rPr>
                <w:sz w:val="21"/>
              </w:rPr>
            </w:pPr>
            <w:r>
              <w:rPr>
                <w:spacing w:val="-2"/>
                <w:sz w:val="21"/>
              </w:rPr>
              <w:t>100.00</w:t>
            </w:r>
          </w:p>
        </w:tc>
        <w:tc>
          <w:tcPr>
            <w:tcW w:w="1304" w:type="dxa"/>
          </w:tcPr>
          <w:p w:rsidR="003F5784" w14:paraId="00434A67" w14:textId="77777777">
            <w:pPr>
              <w:pStyle w:val="TableParagraph"/>
              <w:ind w:right="225"/>
              <w:rPr>
                <w:sz w:val="21"/>
              </w:rPr>
            </w:pPr>
            <w:r>
              <w:rPr>
                <w:spacing w:val="-2"/>
                <w:sz w:val="21"/>
              </w:rPr>
              <w:t>1,900</w:t>
            </w:r>
          </w:p>
        </w:tc>
        <w:tc>
          <w:tcPr>
            <w:tcW w:w="1202" w:type="dxa"/>
          </w:tcPr>
          <w:p w:rsidR="003F5784" w14:paraId="3089F649" w14:textId="77777777">
            <w:pPr>
              <w:pStyle w:val="TableParagraph"/>
              <w:ind w:right="135"/>
              <w:rPr>
                <w:sz w:val="21"/>
              </w:rPr>
            </w:pPr>
            <w:r>
              <w:rPr>
                <w:spacing w:val="-4"/>
                <w:sz w:val="21"/>
              </w:rPr>
              <w:t>0.97</w:t>
            </w:r>
          </w:p>
        </w:tc>
        <w:tc>
          <w:tcPr>
            <w:tcW w:w="1738" w:type="dxa"/>
          </w:tcPr>
          <w:p w:rsidR="003F5784" w14:paraId="37BA1016" w14:textId="77777777">
            <w:pPr>
              <w:pStyle w:val="TableParagraph"/>
              <w:ind w:right="153"/>
              <w:rPr>
                <w:sz w:val="21"/>
              </w:rPr>
            </w:pPr>
            <w:r>
              <w:rPr>
                <w:spacing w:val="-2"/>
                <w:sz w:val="21"/>
              </w:rPr>
              <w:t>93.24</w:t>
            </w:r>
          </w:p>
        </w:tc>
        <w:tc>
          <w:tcPr>
            <w:tcW w:w="1733" w:type="dxa"/>
          </w:tcPr>
          <w:p w:rsidR="003F5784" w14:paraId="7807DB61" w14:textId="77777777">
            <w:pPr>
              <w:pStyle w:val="TableParagraph"/>
              <w:ind w:right="120"/>
              <w:rPr>
                <w:sz w:val="21"/>
              </w:rPr>
            </w:pPr>
            <w:r>
              <w:rPr>
                <w:spacing w:val="-2"/>
                <w:sz w:val="21"/>
              </w:rPr>
              <w:t>10.40</w:t>
            </w:r>
          </w:p>
        </w:tc>
      </w:tr>
      <w:tr w14:paraId="32ADBBBD" w14:textId="77777777">
        <w:tblPrEx>
          <w:tblW w:w="0" w:type="auto"/>
          <w:tblInd w:w="482" w:type="dxa"/>
          <w:tblLayout w:type="fixed"/>
          <w:tblCellMar>
            <w:left w:w="0" w:type="dxa"/>
            <w:right w:w="0" w:type="dxa"/>
          </w:tblCellMar>
          <w:tblLook w:val="01E0"/>
        </w:tblPrEx>
        <w:trPr>
          <w:trHeight w:val="286"/>
        </w:trPr>
        <w:tc>
          <w:tcPr>
            <w:tcW w:w="2693" w:type="dxa"/>
          </w:tcPr>
          <w:p w:rsidR="003F5784" w14:paraId="7865CEC8" w14:textId="77777777">
            <w:pPr>
              <w:pStyle w:val="TableParagraph"/>
              <w:ind w:left="120"/>
              <w:jc w:val="left"/>
              <w:rPr>
                <w:sz w:val="21"/>
              </w:rPr>
            </w:pPr>
            <w:r>
              <w:rPr>
                <w:spacing w:val="-2"/>
                <w:sz w:val="21"/>
              </w:rPr>
              <w:t>Kentucky</w:t>
            </w:r>
          </w:p>
        </w:tc>
        <w:tc>
          <w:tcPr>
            <w:tcW w:w="1272" w:type="dxa"/>
          </w:tcPr>
          <w:p w:rsidR="003F5784" w14:paraId="74BAB90D" w14:textId="77777777">
            <w:pPr>
              <w:pStyle w:val="TableParagraph"/>
              <w:ind w:right="133"/>
              <w:rPr>
                <w:sz w:val="21"/>
              </w:rPr>
            </w:pPr>
            <w:r>
              <w:rPr>
                <w:spacing w:val="-5"/>
                <w:sz w:val="21"/>
              </w:rPr>
              <w:t>120</w:t>
            </w:r>
          </w:p>
        </w:tc>
        <w:tc>
          <w:tcPr>
            <w:tcW w:w="2055" w:type="dxa"/>
          </w:tcPr>
          <w:p w:rsidR="003F5784" w14:paraId="3A5A253A" w14:textId="77777777">
            <w:pPr>
              <w:pStyle w:val="TableParagraph"/>
              <w:ind w:right="134"/>
              <w:rPr>
                <w:sz w:val="21"/>
              </w:rPr>
            </w:pPr>
            <w:r>
              <w:rPr>
                <w:spacing w:val="-2"/>
                <w:sz w:val="21"/>
              </w:rPr>
              <w:t>100.00</w:t>
            </w:r>
          </w:p>
        </w:tc>
        <w:tc>
          <w:tcPr>
            <w:tcW w:w="1990" w:type="dxa"/>
          </w:tcPr>
          <w:p w:rsidR="003F5784" w14:paraId="2F530580" w14:textId="77777777">
            <w:pPr>
              <w:pStyle w:val="TableParagraph"/>
              <w:ind w:right="166"/>
              <w:rPr>
                <w:sz w:val="21"/>
              </w:rPr>
            </w:pPr>
            <w:r>
              <w:rPr>
                <w:spacing w:val="-2"/>
                <w:sz w:val="21"/>
              </w:rPr>
              <w:t>100.00</w:t>
            </w:r>
          </w:p>
        </w:tc>
        <w:tc>
          <w:tcPr>
            <w:tcW w:w="1304" w:type="dxa"/>
          </w:tcPr>
          <w:p w:rsidR="003F5784" w14:paraId="1F06DAC4" w14:textId="77777777">
            <w:pPr>
              <w:pStyle w:val="TableParagraph"/>
              <w:ind w:right="225"/>
              <w:rPr>
                <w:sz w:val="21"/>
              </w:rPr>
            </w:pPr>
            <w:r>
              <w:rPr>
                <w:spacing w:val="-2"/>
                <w:sz w:val="21"/>
              </w:rPr>
              <w:t>2,600</w:t>
            </w:r>
          </w:p>
        </w:tc>
        <w:tc>
          <w:tcPr>
            <w:tcW w:w="1202" w:type="dxa"/>
          </w:tcPr>
          <w:p w:rsidR="003F5784" w14:paraId="65034DD1" w14:textId="77777777">
            <w:pPr>
              <w:pStyle w:val="TableParagraph"/>
              <w:ind w:right="135"/>
              <w:rPr>
                <w:sz w:val="21"/>
              </w:rPr>
            </w:pPr>
            <w:r>
              <w:rPr>
                <w:spacing w:val="-4"/>
                <w:sz w:val="21"/>
              </w:rPr>
              <w:t>3.07</w:t>
            </w:r>
          </w:p>
        </w:tc>
        <w:tc>
          <w:tcPr>
            <w:tcW w:w="1738" w:type="dxa"/>
          </w:tcPr>
          <w:p w:rsidR="003F5784" w14:paraId="4ACD491B" w14:textId="77777777">
            <w:pPr>
              <w:pStyle w:val="TableParagraph"/>
              <w:ind w:right="153"/>
              <w:rPr>
                <w:sz w:val="21"/>
              </w:rPr>
            </w:pPr>
            <w:r>
              <w:rPr>
                <w:spacing w:val="-2"/>
                <w:sz w:val="21"/>
              </w:rPr>
              <w:t>93.45</w:t>
            </w:r>
          </w:p>
        </w:tc>
        <w:tc>
          <w:tcPr>
            <w:tcW w:w="1733" w:type="dxa"/>
          </w:tcPr>
          <w:p w:rsidR="003F5784" w14:paraId="407A6627" w14:textId="77777777">
            <w:pPr>
              <w:pStyle w:val="TableParagraph"/>
              <w:ind w:right="120"/>
              <w:rPr>
                <w:sz w:val="21"/>
              </w:rPr>
            </w:pPr>
            <w:r>
              <w:rPr>
                <w:spacing w:val="-2"/>
                <w:sz w:val="21"/>
              </w:rPr>
              <w:t>16.12</w:t>
            </w:r>
          </w:p>
        </w:tc>
      </w:tr>
      <w:tr w14:paraId="4E9BBE8E" w14:textId="77777777">
        <w:tblPrEx>
          <w:tblW w:w="0" w:type="auto"/>
          <w:tblInd w:w="482" w:type="dxa"/>
          <w:tblLayout w:type="fixed"/>
          <w:tblCellMar>
            <w:left w:w="0" w:type="dxa"/>
            <w:right w:w="0" w:type="dxa"/>
          </w:tblCellMar>
          <w:tblLook w:val="01E0"/>
        </w:tblPrEx>
        <w:trPr>
          <w:trHeight w:val="289"/>
        </w:trPr>
        <w:tc>
          <w:tcPr>
            <w:tcW w:w="2693" w:type="dxa"/>
            <w:tcBorders>
              <w:bottom w:val="single" w:sz="18" w:space="0" w:color="800000"/>
            </w:tcBorders>
          </w:tcPr>
          <w:p w:rsidR="003F5784" w14:paraId="4E0805C5" w14:textId="77777777">
            <w:pPr>
              <w:pStyle w:val="TableParagraph"/>
              <w:ind w:left="120"/>
              <w:jc w:val="left"/>
              <w:rPr>
                <w:sz w:val="21"/>
              </w:rPr>
            </w:pPr>
            <w:r>
              <w:rPr>
                <w:spacing w:val="-2"/>
                <w:sz w:val="21"/>
              </w:rPr>
              <w:t>Louisiana</w:t>
            </w:r>
          </w:p>
        </w:tc>
        <w:tc>
          <w:tcPr>
            <w:tcW w:w="1272" w:type="dxa"/>
            <w:tcBorders>
              <w:bottom w:val="single" w:sz="18" w:space="0" w:color="800000"/>
            </w:tcBorders>
          </w:tcPr>
          <w:p w:rsidR="003F5784" w14:paraId="24D234AE" w14:textId="77777777">
            <w:pPr>
              <w:pStyle w:val="TableParagraph"/>
              <w:ind w:right="133"/>
              <w:rPr>
                <w:sz w:val="21"/>
              </w:rPr>
            </w:pPr>
            <w:r>
              <w:rPr>
                <w:spacing w:val="-5"/>
                <w:sz w:val="21"/>
              </w:rPr>
              <w:t>90</w:t>
            </w:r>
          </w:p>
        </w:tc>
        <w:tc>
          <w:tcPr>
            <w:tcW w:w="2055" w:type="dxa"/>
            <w:tcBorders>
              <w:bottom w:val="single" w:sz="18" w:space="0" w:color="800000"/>
            </w:tcBorders>
          </w:tcPr>
          <w:p w:rsidR="003F5784" w14:paraId="2F3BB015" w14:textId="77777777">
            <w:pPr>
              <w:pStyle w:val="TableParagraph"/>
              <w:ind w:right="134"/>
              <w:rPr>
                <w:sz w:val="21"/>
              </w:rPr>
            </w:pPr>
            <w:r>
              <w:rPr>
                <w:spacing w:val="-2"/>
                <w:sz w:val="21"/>
              </w:rPr>
              <w:t>100.00</w:t>
            </w:r>
          </w:p>
        </w:tc>
        <w:tc>
          <w:tcPr>
            <w:tcW w:w="1990" w:type="dxa"/>
            <w:tcBorders>
              <w:bottom w:val="single" w:sz="18" w:space="0" w:color="800000"/>
            </w:tcBorders>
          </w:tcPr>
          <w:p w:rsidR="003F5784" w14:paraId="1FDEEA4D" w14:textId="77777777">
            <w:pPr>
              <w:pStyle w:val="TableParagraph"/>
              <w:ind w:right="166"/>
              <w:rPr>
                <w:sz w:val="21"/>
              </w:rPr>
            </w:pPr>
            <w:r>
              <w:rPr>
                <w:spacing w:val="-2"/>
                <w:sz w:val="21"/>
              </w:rPr>
              <w:t>100.00</w:t>
            </w:r>
          </w:p>
        </w:tc>
        <w:tc>
          <w:tcPr>
            <w:tcW w:w="1304" w:type="dxa"/>
            <w:tcBorders>
              <w:bottom w:val="single" w:sz="18" w:space="0" w:color="800000"/>
            </w:tcBorders>
          </w:tcPr>
          <w:p w:rsidR="003F5784" w14:paraId="45CF4930" w14:textId="77777777">
            <w:pPr>
              <w:pStyle w:val="TableParagraph"/>
              <w:ind w:right="225"/>
              <w:rPr>
                <w:sz w:val="21"/>
              </w:rPr>
            </w:pPr>
            <w:r>
              <w:rPr>
                <w:spacing w:val="-2"/>
                <w:sz w:val="21"/>
              </w:rPr>
              <w:t>1,900</w:t>
            </w:r>
          </w:p>
        </w:tc>
        <w:tc>
          <w:tcPr>
            <w:tcW w:w="1202" w:type="dxa"/>
            <w:tcBorders>
              <w:bottom w:val="single" w:sz="18" w:space="0" w:color="800000"/>
            </w:tcBorders>
          </w:tcPr>
          <w:p w:rsidR="003F5784" w14:paraId="3C379FA3" w14:textId="77777777">
            <w:pPr>
              <w:pStyle w:val="TableParagraph"/>
              <w:ind w:right="135"/>
              <w:rPr>
                <w:sz w:val="21"/>
              </w:rPr>
            </w:pPr>
            <w:r>
              <w:rPr>
                <w:spacing w:val="-4"/>
                <w:sz w:val="21"/>
              </w:rPr>
              <w:t>2.39</w:t>
            </w:r>
          </w:p>
        </w:tc>
        <w:tc>
          <w:tcPr>
            <w:tcW w:w="1738" w:type="dxa"/>
            <w:tcBorders>
              <w:bottom w:val="single" w:sz="18" w:space="0" w:color="800000"/>
            </w:tcBorders>
          </w:tcPr>
          <w:p w:rsidR="003F5784" w14:paraId="3CF40AF4" w14:textId="77777777">
            <w:pPr>
              <w:pStyle w:val="TableParagraph"/>
              <w:ind w:right="153"/>
              <w:rPr>
                <w:sz w:val="21"/>
              </w:rPr>
            </w:pPr>
            <w:r>
              <w:rPr>
                <w:spacing w:val="-2"/>
                <w:sz w:val="21"/>
              </w:rPr>
              <w:t>92.12</w:t>
            </w:r>
          </w:p>
        </w:tc>
        <w:tc>
          <w:tcPr>
            <w:tcW w:w="1733" w:type="dxa"/>
            <w:tcBorders>
              <w:bottom w:val="single" w:sz="18" w:space="0" w:color="800000"/>
            </w:tcBorders>
          </w:tcPr>
          <w:p w:rsidR="003F5784" w14:paraId="79550B34" w14:textId="77777777">
            <w:pPr>
              <w:pStyle w:val="TableParagraph"/>
              <w:ind w:right="120"/>
              <w:rPr>
                <w:sz w:val="21"/>
              </w:rPr>
            </w:pPr>
            <w:r>
              <w:rPr>
                <w:spacing w:val="-2"/>
                <w:sz w:val="21"/>
              </w:rPr>
              <w:t>17.91</w:t>
            </w:r>
          </w:p>
        </w:tc>
      </w:tr>
      <w:tr w14:paraId="394118BC" w14:textId="77777777">
        <w:tblPrEx>
          <w:tblW w:w="0" w:type="auto"/>
          <w:tblInd w:w="482" w:type="dxa"/>
          <w:tblLayout w:type="fixed"/>
          <w:tblCellMar>
            <w:left w:w="0" w:type="dxa"/>
            <w:right w:w="0" w:type="dxa"/>
          </w:tblCellMar>
          <w:tblLook w:val="01E0"/>
        </w:tblPrEx>
        <w:trPr>
          <w:trHeight w:val="503"/>
        </w:trPr>
        <w:tc>
          <w:tcPr>
            <w:tcW w:w="13987" w:type="dxa"/>
            <w:gridSpan w:val="8"/>
            <w:tcBorders>
              <w:top w:val="single" w:sz="18" w:space="0" w:color="800000"/>
            </w:tcBorders>
          </w:tcPr>
          <w:p w:rsidR="003F5784" w14:paraId="47EA2062" w14:textId="77777777">
            <w:pPr>
              <w:pStyle w:val="TableParagraph"/>
              <w:spacing w:before="9"/>
              <w:ind w:left="120"/>
              <w:jc w:val="left"/>
              <w:rPr>
                <w:sz w:val="21"/>
              </w:rPr>
            </w:pPr>
            <w:r>
              <w:rPr>
                <w:position w:val="9"/>
                <w:sz w:val="17"/>
              </w:rPr>
              <w:t>1</w:t>
            </w:r>
            <w:r>
              <w:rPr>
                <w:sz w:val="21"/>
              </w:rPr>
              <w:t>1</w:t>
            </w:r>
            <w:r>
              <w:rPr>
                <w:position w:val="9"/>
                <w:sz w:val="17"/>
              </w:rPr>
              <w:t>1</w:t>
            </w:r>
            <w:r>
              <w:rPr>
                <w:spacing w:val="1"/>
                <w:position w:val="9"/>
                <w:sz w:val="17"/>
              </w:rPr>
              <w:t xml:space="preserve"> </w:t>
            </w:r>
            <w:r>
              <w:rPr>
                <w:position w:val="1"/>
                <w:sz w:val="21"/>
              </w:rPr>
              <w:t>Includes</w:t>
            </w:r>
            <w:r>
              <w:rPr>
                <w:spacing w:val="-6"/>
                <w:position w:val="1"/>
                <w:sz w:val="21"/>
              </w:rPr>
              <w:t xml:space="preserve"> </w:t>
            </w:r>
            <w:r>
              <w:rPr>
                <w:position w:val="1"/>
                <w:sz w:val="21"/>
              </w:rPr>
              <w:t>national</w:t>
            </w:r>
            <w:r>
              <w:rPr>
                <w:spacing w:val="-6"/>
                <w:position w:val="1"/>
                <w:sz w:val="21"/>
              </w:rPr>
              <w:t xml:space="preserve"> </w:t>
            </w:r>
            <w:r>
              <w:rPr>
                <w:position w:val="1"/>
                <w:sz w:val="21"/>
              </w:rPr>
              <w:t>public</w:t>
            </w:r>
            <w:r>
              <w:rPr>
                <w:spacing w:val="-6"/>
                <w:position w:val="1"/>
                <w:sz w:val="21"/>
              </w:rPr>
              <w:t xml:space="preserve"> </w:t>
            </w:r>
            <w:r>
              <w:rPr>
                <w:position w:val="1"/>
                <w:sz w:val="21"/>
              </w:rPr>
              <w:t>and</w:t>
            </w:r>
            <w:r>
              <w:rPr>
                <w:spacing w:val="-6"/>
                <w:position w:val="1"/>
                <w:sz w:val="21"/>
              </w:rPr>
              <w:t xml:space="preserve"> </w:t>
            </w:r>
            <w:r>
              <w:rPr>
                <w:position w:val="1"/>
                <w:sz w:val="21"/>
              </w:rPr>
              <w:t>national</w:t>
            </w:r>
            <w:r>
              <w:rPr>
                <w:spacing w:val="-6"/>
                <w:position w:val="1"/>
                <w:sz w:val="21"/>
              </w:rPr>
              <w:t xml:space="preserve"> </w:t>
            </w:r>
            <w:r>
              <w:rPr>
                <w:position w:val="1"/>
                <w:sz w:val="21"/>
              </w:rPr>
              <w:t>private</w:t>
            </w:r>
            <w:r>
              <w:rPr>
                <w:spacing w:val="-6"/>
                <w:position w:val="1"/>
                <w:sz w:val="21"/>
              </w:rPr>
              <w:t xml:space="preserve"> </w:t>
            </w:r>
            <w:r>
              <w:rPr>
                <w:position w:val="1"/>
                <w:sz w:val="21"/>
              </w:rPr>
              <w:t>schools</w:t>
            </w:r>
            <w:r>
              <w:rPr>
                <w:spacing w:val="-6"/>
                <w:position w:val="1"/>
                <w:sz w:val="21"/>
              </w:rPr>
              <w:t xml:space="preserve"> </w:t>
            </w:r>
            <w:r>
              <w:rPr>
                <w:position w:val="1"/>
                <w:sz w:val="21"/>
              </w:rPr>
              <w:t>located</w:t>
            </w:r>
            <w:r>
              <w:rPr>
                <w:spacing w:val="-6"/>
                <w:position w:val="1"/>
                <w:sz w:val="21"/>
              </w:rPr>
              <w:t xml:space="preserve"> </w:t>
            </w:r>
            <w:r>
              <w:rPr>
                <w:position w:val="1"/>
                <w:sz w:val="21"/>
              </w:rPr>
              <w:t>in</w:t>
            </w:r>
            <w:r>
              <w:rPr>
                <w:spacing w:val="-6"/>
                <w:position w:val="1"/>
                <w:sz w:val="21"/>
              </w:rPr>
              <w:t xml:space="preserve"> </w:t>
            </w:r>
            <w:r>
              <w:rPr>
                <w:position w:val="1"/>
                <w:sz w:val="21"/>
              </w:rPr>
              <w:t>the</w:t>
            </w:r>
            <w:r>
              <w:rPr>
                <w:spacing w:val="-6"/>
                <w:position w:val="1"/>
                <w:sz w:val="21"/>
              </w:rPr>
              <w:t xml:space="preserve"> </w:t>
            </w:r>
            <w:r>
              <w:rPr>
                <w:position w:val="1"/>
                <w:sz w:val="21"/>
              </w:rPr>
              <w:t>United</w:t>
            </w:r>
            <w:r>
              <w:rPr>
                <w:spacing w:val="-6"/>
                <w:position w:val="1"/>
                <w:sz w:val="21"/>
              </w:rPr>
              <w:t xml:space="preserve"> </w:t>
            </w:r>
            <w:r>
              <w:rPr>
                <w:position w:val="1"/>
                <w:sz w:val="21"/>
              </w:rPr>
              <w:t>States</w:t>
            </w:r>
            <w:r>
              <w:rPr>
                <w:spacing w:val="-6"/>
                <w:position w:val="1"/>
                <w:sz w:val="21"/>
              </w:rPr>
              <w:t xml:space="preserve"> </w:t>
            </w:r>
            <w:r>
              <w:rPr>
                <w:position w:val="1"/>
                <w:sz w:val="21"/>
              </w:rPr>
              <w:t>and</w:t>
            </w:r>
            <w:r>
              <w:rPr>
                <w:spacing w:val="-6"/>
                <w:position w:val="1"/>
                <w:sz w:val="21"/>
              </w:rPr>
              <w:t xml:space="preserve"> </w:t>
            </w:r>
            <w:r>
              <w:rPr>
                <w:position w:val="1"/>
                <w:sz w:val="21"/>
              </w:rPr>
              <w:t>all</w:t>
            </w:r>
            <w:r>
              <w:rPr>
                <w:spacing w:val="-6"/>
                <w:position w:val="1"/>
                <w:sz w:val="21"/>
              </w:rPr>
              <w:t xml:space="preserve"> </w:t>
            </w:r>
            <w:r>
              <w:rPr>
                <w:position w:val="1"/>
                <w:sz w:val="21"/>
              </w:rPr>
              <w:t>Department</w:t>
            </w:r>
            <w:r>
              <w:rPr>
                <w:spacing w:val="-6"/>
                <w:position w:val="1"/>
                <w:sz w:val="21"/>
              </w:rPr>
              <w:t xml:space="preserve"> </w:t>
            </w:r>
            <w:r>
              <w:rPr>
                <w:position w:val="1"/>
                <w:sz w:val="21"/>
              </w:rPr>
              <w:t>of</w:t>
            </w:r>
            <w:r>
              <w:rPr>
                <w:spacing w:val="-6"/>
                <w:position w:val="1"/>
                <w:sz w:val="21"/>
              </w:rPr>
              <w:t xml:space="preserve"> </w:t>
            </w:r>
            <w:r>
              <w:rPr>
                <w:position w:val="1"/>
                <w:sz w:val="21"/>
              </w:rPr>
              <w:t>Defense</w:t>
            </w:r>
            <w:r>
              <w:rPr>
                <w:spacing w:val="-6"/>
                <w:position w:val="1"/>
                <w:sz w:val="21"/>
              </w:rPr>
              <w:t xml:space="preserve"> </w:t>
            </w:r>
            <w:r>
              <w:rPr>
                <w:position w:val="1"/>
                <w:sz w:val="21"/>
              </w:rPr>
              <w:t>Education</w:t>
            </w:r>
            <w:r>
              <w:rPr>
                <w:spacing w:val="-13"/>
                <w:position w:val="1"/>
                <w:sz w:val="21"/>
              </w:rPr>
              <w:t xml:space="preserve"> </w:t>
            </w:r>
            <w:r>
              <w:rPr>
                <w:position w:val="1"/>
                <w:sz w:val="21"/>
              </w:rPr>
              <w:t>Activity</w:t>
            </w:r>
            <w:r>
              <w:rPr>
                <w:spacing w:val="-6"/>
                <w:position w:val="1"/>
                <w:sz w:val="21"/>
              </w:rPr>
              <w:t xml:space="preserve"> </w:t>
            </w:r>
            <w:r>
              <w:rPr>
                <w:spacing w:val="-2"/>
                <w:position w:val="1"/>
                <w:sz w:val="21"/>
              </w:rPr>
              <w:t>schools.</w:t>
            </w:r>
          </w:p>
          <w:p w:rsidR="003F5784" w14:paraId="7BE91E6C" w14:textId="77777777">
            <w:pPr>
              <w:pStyle w:val="TableParagraph"/>
              <w:spacing w:before="6" w:line="174" w:lineRule="exact"/>
              <w:ind w:left="120"/>
              <w:jc w:val="left"/>
              <w:rPr>
                <w:sz w:val="21"/>
              </w:rPr>
            </w:pPr>
            <w:r>
              <w:rPr>
                <w:position w:val="8"/>
                <w:sz w:val="17"/>
              </w:rPr>
              <w:t>2</w:t>
            </w:r>
            <w:r>
              <w:rPr>
                <w:sz w:val="21"/>
              </w:rPr>
              <w:t>2</w:t>
            </w:r>
            <w:r>
              <w:rPr>
                <w:position w:val="8"/>
                <w:sz w:val="17"/>
              </w:rPr>
              <w:t xml:space="preserve">2 </w:t>
            </w:r>
            <w:r>
              <w:rPr>
                <w:sz w:val="21"/>
              </w:rPr>
              <w:t>Department</w:t>
            </w:r>
            <w:r>
              <w:rPr>
                <w:spacing w:val="-7"/>
                <w:sz w:val="21"/>
              </w:rPr>
              <w:t xml:space="preserve"> </w:t>
            </w:r>
            <w:r>
              <w:rPr>
                <w:sz w:val="21"/>
              </w:rPr>
              <w:t>of</w:t>
            </w:r>
            <w:r>
              <w:rPr>
                <w:spacing w:val="-6"/>
                <w:sz w:val="21"/>
              </w:rPr>
              <w:t xml:space="preserve"> </w:t>
            </w:r>
            <w:r>
              <w:rPr>
                <w:sz w:val="21"/>
              </w:rPr>
              <w:t>Defense</w:t>
            </w:r>
            <w:r>
              <w:rPr>
                <w:spacing w:val="-6"/>
                <w:sz w:val="21"/>
              </w:rPr>
              <w:t xml:space="preserve"> </w:t>
            </w:r>
            <w:r>
              <w:rPr>
                <w:sz w:val="21"/>
              </w:rPr>
              <w:t>Education</w:t>
            </w:r>
            <w:r>
              <w:rPr>
                <w:spacing w:val="-14"/>
                <w:sz w:val="21"/>
              </w:rPr>
              <w:t xml:space="preserve"> </w:t>
            </w:r>
            <w:r>
              <w:rPr>
                <w:sz w:val="21"/>
              </w:rPr>
              <w:t>Activity</w:t>
            </w:r>
            <w:r>
              <w:rPr>
                <w:spacing w:val="-6"/>
                <w:sz w:val="21"/>
              </w:rPr>
              <w:t xml:space="preserve"> </w:t>
            </w:r>
            <w:r>
              <w:rPr>
                <w:spacing w:val="-2"/>
                <w:sz w:val="21"/>
              </w:rPr>
              <w:t>schools.</w:t>
            </w:r>
          </w:p>
        </w:tc>
      </w:tr>
    </w:tbl>
    <w:p w:rsidR="003F5784" w14:paraId="115EB5BF" w14:textId="77777777">
      <w:pPr>
        <w:spacing w:line="174" w:lineRule="exact"/>
        <w:rPr>
          <w:sz w:val="21"/>
        </w:rPr>
        <w:sectPr>
          <w:headerReference w:type="default" r:id="rId549"/>
          <w:footerReference w:type="default" r:id="rId550"/>
          <w:pgSz w:w="15840" w:h="12240" w:orient="landscape"/>
          <w:pgMar w:top="480" w:right="440" w:bottom="1480" w:left="460" w:header="284" w:footer="1282" w:gutter="0"/>
          <w:cols w:space="720"/>
        </w:sectPr>
      </w:pPr>
    </w:p>
    <w:p w:rsidR="003F5784" w14:paraId="796F24DE" w14:textId="77777777">
      <w:pPr>
        <w:pStyle w:val="BodyText"/>
        <w:spacing w:before="5"/>
        <w:rPr>
          <w:b/>
          <w:sz w:val="9"/>
        </w:rPr>
      </w:pPr>
    </w:p>
    <w:tbl>
      <w:tblPr>
        <w:tblW w:w="0" w:type="auto"/>
        <w:tblInd w:w="552" w:type="dxa"/>
        <w:tblLayout w:type="fixed"/>
        <w:tblCellMar>
          <w:left w:w="0" w:type="dxa"/>
          <w:right w:w="0" w:type="dxa"/>
        </w:tblCellMar>
        <w:tblLook w:val="01E0"/>
      </w:tblPr>
      <w:tblGrid>
        <w:gridCol w:w="2499"/>
        <w:gridCol w:w="1359"/>
        <w:gridCol w:w="36"/>
        <w:gridCol w:w="2034"/>
        <w:gridCol w:w="20"/>
        <w:gridCol w:w="1960"/>
        <w:gridCol w:w="29"/>
        <w:gridCol w:w="1303"/>
        <w:gridCol w:w="18"/>
        <w:gridCol w:w="1170"/>
        <w:gridCol w:w="13"/>
        <w:gridCol w:w="1737"/>
        <w:gridCol w:w="50"/>
        <w:gridCol w:w="1612"/>
        <w:gridCol w:w="98"/>
      </w:tblGrid>
      <w:tr w14:paraId="2EF74892" w14:textId="77777777">
        <w:tblPrEx>
          <w:tblW w:w="0" w:type="auto"/>
          <w:tblInd w:w="552" w:type="dxa"/>
          <w:tblLayout w:type="fixed"/>
          <w:tblCellMar>
            <w:left w:w="0" w:type="dxa"/>
            <w:right w:w="0" w:type="dxa"/>
          </w:tblCellMar>
          <w:tblLook w:val="01E0"/>
        </w:tblPrEx>
        <w:trPr>
          <w:gridAfter w:val="1"/>
          <w:wAfter w:w="98" w:type="dxa"/>
          <w:trHeight w:val="232"/>
        </w:trPr>
        <w:tc>
          <w:tcPr>
            <w:tcW w:w="3894" w:type="dxa"/>
            <w:gridSpan w:val="3"/>
          </w:tcPr>
          <w:p w:rsidR="003F5784" w14:paraId="37E6599A" w14:textId="77777777">
            <w:pPr>
              <w:pStyle w:val="TableParagraph"/>
              <w:spacing w:before="0"/>
              <w:jc w:val="left"/>
              <w:rPr>
                <w:sz w:val="16"/>
              </w:rPr>
            </w:pPr>
          </w:p>
        </w:tc>
        <w:tc>
          <w:tcPr>
            <w:tcW w:w="2054" w:type="dxa"/>
            <w:gridSpan w:val="2"/>
          </w:tcPr>
          <w:p w:rsidR="003F5784" w14:paraId="1B0833A7" w14:textId="77777777">
            <w:pPr>
              <w:pStyle w:val="TableParagraph"/>
              <w:spacing w:before="0" w:line="213" w:lineRule="exact"/>
              <w:ind w:right="133"/>
              <w:rPr>
                <w:sz w:val="21"/>
              </w:rPr>
            </w:pPr>
            <w:r>
              <w:rPr>
                <w:sz w:val="21"/>
              </w:rPr>
              <w:t>School</w:t>
            </w:r>
            <w:r>
              <w:rPr>
                <w:spacing w:val="-7"/>
                <w:sz w:val="21"/>
              </w:rPr>
              <w:t xml:space="preserve"> </w:t>
            </w:r>
            <w:r>
              <w:rPr>
                <w:spacing w:val="-2"/>
                <w:sz w:val="21"/>
              </w:rPr>
              <w:t>participation</w:t>
            </w:r>
          </w:p>
        </w:tc>
        <w:tc>
          <w:tcPr>
            <w:tcW w:w="1989" w:type="dxa"/>
            <w:gridSpan w:val="2"/>
          </w:tcPr>
          <w:p w:rsidR="003F5784" w14:paraId="24B244D1" w14:textId="77777777">
            <w:pPr>
              <w:pStyle w:val="TableParagraph"/>
              <w:spacing w:before="0"/>
              <w:jc w:val="left"/>
              <w:rPr>
                <w:sz w:val="16"/>
              </w:rPr>
            </w:pPr>
          </w:p>
        </w:tc>
        <w:tc>
          <w:tcPr>
            <w:tcW w:w="5903" w:type="dxa"/>
            <w:gridSpan w:val="7"/>
            <w:vMerge w:val="restart"/>
          </w:tcPr>
          <w:p w:rsidR="003F5784" w14:paraId="6606D3C6" w14:textId="77777777">
            <w:pPr>
              <w:pStyle w:val="TableParagraph"/>
              <w:spacing w:before="0"/>
              <w:jc w:val="left"/>
              <w:rPr>
                <w:sz w:val="20"/>
              </w:rPr>
            </w:pPr>
          </w:p>
        </w:tc>
      </w:tr>
      <w:tr w14:paraId="3C2A09AC" w14:textId="77777777">
        <w:tblPrEx>
          <w:tblW w:w="0" w:type="auto"/>
          <w:tblInd w:w="552" w:type="dxa"/>
          <w:tblLayout w:type="fixed"/>
          <w:tblCellMar>
            <w:left w:w="0" w:type="dxa"/>
            <w:right w:w="0" w:type="dxa"/>
          </w:tblCellMar>
          <w:tblLook w:val="01E0"/>
        </w:tblPrEx>
        <w:trPr>
          <w:gridAfter w:val="1"/>
          <w:wAfter w:w="98" w:type="dxa"/>
          <w:trHeight w:val="234"/>
        </w:trPr>
        <w:tc>
          <w:tcPr>
            <w:tcW w:w="3894" w:type="dxa"/>
            <w:gridSpan w:val="3"/>
          </w:tcPr>
          <w:p w:rsidR="003F5784" w14:paraId="5FA7C342" w14:textId="77777777">
            <w:pPr>
              <w:pStyle w:val="TableParagraph"/>
              <w:spacing w:before="0" w:line="215" w:lineRule="exact"/>
              <w:ind w:right="133"/>
              <w:rPr>
                <w:sz w:val="21"/>
              </w:rPr>
            </w:pPr>
            <w:r>
              <w:rPr>
                <w:sz w:val="21"/>
              </w:rPr>
              <w:t>Number</w:t>
            </w:r>
            <w:r>
              <w:rPr>
                <w:spacing w:val="-8"/>
                <w:sz w:val="21"/>
              </w:rPr>
              <w:t xml:space="preserve"> </w:t>
            </w:r>
            <w:r>
              <w:rPr>
                <w:spacing w:val="-5"/>
                <w:sz w:val="21"/>
              </w:rPr>
              <w:t>of</w:t>
            </w:r>
          </w:p>
        </w:tc>
        <w:tc>
          <w:tcPr>
            <w:tcW w:w="2054" w:type="dxa"/>
            <w:gridSpan w:val="2"/>
          </w:tcPr>
          <w:p w:rsidR="003F5784" w14:paraId="41FA99FC" w14:textId="77777777">
            <w:pPr>
              <w:pStyle w:val="TableParagraph"/>
              <w:spacing w:before="0" w:line="215" w:lineRule="exact"/>
              <w:ind w:right="133"/>
              <w:rPr>
                <w:sz w:val="21"/>
              </w:rPr>
            </w:pPr>
            <w:r>
              <w:rPr>
                <w:sz w:val="21"/>
              </w:rPr>
              <w:t>rates</w:t>
            </w:r>
            <w:r>
              <w:rPr>
                <w:spacing w:val="-7"/>
                <w:sz w:val="21"/>
              </w:rPr>
              <w:t xml:space="preserve"> </w:t>
            </w:r>
            <w:r>
              <w:rPr>
                <w:sz w:val="21"/>
              </w:rPr>
              <w:t>(percent)</w:t>
            </w:r>
            <w:r>
              <w:rPr>
                <w:spacing w:val="-7"/>
                <w:sz w:val="21"/>
              </w:rPr>
              <w:t xml:space="preserve"> </w:t>
            </w:r>
            <w:r>
              <w:rPr>
                <w:spacing w:val="-2"/>
                <w:sz w:val="21"/>
              </w:rPr>
              <w:t>before</w:t>
            </w:r>
          </w:p>
        </w:tc>
        <w:tc>
          <w:tcPr>
            <w:tcW w:w="1989" w:type="dxa"/>
            <w:gridSpan w:val="2"/>
          </w:tcPr>
          <w:p w:rsidR="003F5784" w14:paraId="45F23EAD" w14:textId="77777777">
            <w:pPr>
              <w:pStyle w:val="TableParagraph"/>
              <w:spacing w:before="0" w:line="215" w:lineRule="exact"/>
              <w:ind w:right="164"/>
              <w:rPr>
                <w:sz w:val="21"/>
              </w:rPr>
            </w:pPr>
            <w:r>
              <w:rPr>
                <w:sz w:val="21"/>
              </w:rPr>
              <w:t>School</w:t>
            </w:r>
            <w:r>
              <w:rPr>
                <w:spacing w:val="-7"/>
                <w:sz w:val="21"/>
              </w:rPr>
              <w:t xml:space="preserve"> </w:t>
            </w:r>
            <w:r>
              <w:rPr>
                <w:spacing w:val="-2"/>
                <w:sz w:val="21"/>
              </w:rPr>
              <w:t>participation</w:t>
            </w:r>
          </w:p>
        </w:tc>
        <w:tc>
          <w:tcPr>
            <w:tcW w:w="5903" w:type="dxa"/>
            <w:gridSpan w:val="7"/>
            <w:vMerge/>
            <w:tcBorders>
              <w:top w:val="nil"/>
            </w:tcBorders>
          </w:tcPr>
          <w:p w:rsidR="003F5784" w14:paraId="795B3C6D" w14:textId="77777777">
            <w:pPr>
              <w:rPr>
                <w:sz w:val="2"/>
                <w:szCs w:val="2"/>
              </w:rPr>
            </w:pPr>
          </w:p>
        </w:tc>
      </w:tr>
      <w:tr w14:paraId="0A8AA060" w14:textId="77777777">
        <w:tblPrEx>
          <w:tblW w:w="0" w:type="auto"/>
          <w:tblInd w:w="552" w:type="dxa"/>
          <w:tblLayout w:type="fixed"/>
          <w:tblCellMar>
            <w:left w:w="0" w:type="dxa"/>
            <w:right w:w="0" w:type="dxa"/>
          </w:tblCellMar>
          <w:tblLook w:val="01E0"/>
        </w:tblPrEx>
        <w:trPr>
          <w:gridAfter w:val="1"/>
          <w:wAfter w:w="98" w:type="dxa"/>
          <w:trHeight w:val="234"/>
        </w:trPr>
        <w:tc>
          <w:tcPr>
            <w:tcW w:w="3894" w:type="dxa"/>
            <w:gridSpan w:val="3"/>
          </w:tcPr>
          <w:p w:rsidR="003F5784" w14:paraId="33C1F0DD" w14:textId="77777777">
            <w:pPr>
              <w:pStyle w:val="TableParagraph"/>
              <w:spacing w:before="0" w:line="215" w:lineRule="exact"/>
              <w:ind w:right="133"/>
              <w:rPr>
                <w:sz w:val="21"/>
              </w:rPr>
            </w:pPr>
            <w:r>
              <w:rPr>
                <w:sz w:val="21"/>
              </w:rPr>
              <w:t>schools</w:t>
            </w:r>
            <w:r>
              <w:rPr>
                <w:spacing w:val="-8"/>
                <w:sz w:val="21"/>
              </w:rPr>
              <w:t xml:space="preserve"> </w:t>
            </w:r>
            <w:r>
              <w:rPr>
                <w:spacing w:val="-5"/>
                <w:sz w:val="21"/>
              </w:rPr>
              <w:t>in</w:t>
            </w:r>
          </w:p>
        </w:tc>
        <w:tc>
          <w:tcPr>
            <w:tcW w:w="2054" w:type="dxa"/>
            <w:gridSpan w:val="2"/>
          </w:tcPr>
          <w:p w:rsidR="003F5784" w14:paraId="32421EE9" w14:textId="77777777">
            <w:pPr>
              <w:pStyle w:val="TableParagraph"/>
              <w:spacing w:before="0" w:line="215" w:lineRule="exact"/>
              <w:ind w:right="133"/>
              <w:rPr>
                <w:sz w:val="21"/>
              </w:rPr>
            </w:pPr>
            <w:r>
              <w:rPr>
                <w:spacing w:val="-2"/>
                <w:sz w:val="21"/>
              </w:rPr>
              <w:t>substitution</w:t>
            </w:r>
          </w:p>
        </w:tc>
        <w:tc>
          <w:tcPr>
            <w:tcW w:w="1989" w:type="dxa"/>
            <w:gridSpan w:val="2"/>
          </w:tcPr>
          <w:p w:rsidR="003F5784" w14:paraId="2DA89535" w14:textId="77777777">
            <w:pPr>
              <w:pStyle w:val="TableParagraph"/>
              <w:spacing w:before="0" w:line="215" w:lineRule="exact"/>
              <w:ind w:right="164"/>
              <w:rPr>
                <w:sz w:val="21"/>
              </w:rPr>
            </w:pPr>
            <w:r>
              <w:rPr>
                <w:sz w:val="21"/>
              </w:rPr>
              <w:t>rates</w:t>
            </w:r>
            <w:r>
              <w:rPr>
                <w:spacing w:val="-5"/>
                <w:sz w:val="21"/>
              </w:rPr>
              <w:t xml:space="preserve"> </w:t>
            </w:r>
            <w:r>
              <w:rPr>
                <w:spacing w:val="-2"/>
                <w:sz w:val="21"/>
              </w:rPr>
              <w:t>(percent)</w:t>
            </w:r>
          </w:p>
        </w:tc>
        <w:tc>
          <w:tcPr>
            <w:tcW w:w="1303" w:type="dxa"/>
          </w:tcPr>
          <w:p w:rsidR="003F5784" w14:paraId="3770CD73" w14:textId="77777777">
            <w:pPr>
              <w:pStyle w:val="TableParagraph"/>
              <w:spacing w:before="0" w:line="215" w:lineRule="exact"/>
              <w:ind w:right="221"/>
              <w:rPr>
                <w:sz w:val="21"/>
              </w:rPr>
            </w:pPr>
            <w:r>
              <w:rPr>
                <w:sz w:val="21"/>
              </w:rPr>
              <w:t>Number</w:t>
            </w:r>
            <w:r>
              <w:rPr>
                <w:spacing w:val="-8"/>
                <w:sz w:val="21"/>
              </w:rPr>
              <w:t xml:space="preserve"> </w:t>
            </w:r>
            <w:r>
              <w:rPr>
                <w:spacing w:val="-5"/>
                <w:sz w:val="21"/>
              </w:rPr>
              <w:t>of</w:t>
            </w:r>
          </w:p>
        </w:tc>
        <w:tc>
          <w:tcPr>
            <w:tcW w:w="1201" w:type="dxa"/>
            <w:gridSpan w:val="3"/>
          </w:tcPr>
          <w:p w:rsidR="003F5784" w14:paraId="7D867B48" w14:textId="77777777">
            <w:pPr>
              <w:pStyle w:val="TableParagraph"/>
              <w:spacing w:before="0" w:line="215" w:lineRule="exact"/>
              <w:ind w:right="130"/>
              <w:rPr>
                <w:sz w:val="21"/>
              </w:rPr>
            </w:pPr>
            <w:r>
              <w:rPr>
                <w:spacing w:val="-2"/>
                <w:sz w:val="21"/>
              </w:rPr>
              <w:t>Weighted</w:t>
            </w:r>
          </w:p>
        </w:tc>
        <w:tc>
          <w:tcPr>
            <w:tcW w:w="1737" w:type="dxa"/>
          </w:tcPr>
          <w:p w:rsidR="003F5784" w14:paraId="2B347670" w14:textId="77777777">
            <w:pPr>
              <w:pStyle w:val="TableParagraph"/>
              <w:spacing w:before="0" w:line="215" w:lineRule="exact"/>
              <w:ind w:right="147"/>
              <w:rPr>
                <w:sz w:val="21"/>
              </w:rPr>
            </w:pPr>
            <w:r>
              <w:rPr>
                <w:spacing w:val="-2"/>
                <w:sz w:val="21"/>
              </w:rPr>
              <w:t>Weighted</w:t>
            </w:r>
            <w:r>
              <w:rPr>
                <w:spacing w:val="-11"/>
                <w:sz w:val="21"/>
              </w:rPr>
              <w:t xml:space="preserve"> </w:t>
            </w:r>
            <w:r>
              <w:rPr>
                <w:spacing w:val="-2"/>
                <w:sz w:val="21"/>
              </w:rPr>
              <w:t>student</w:t>
            </w:r>
          </w:p>
        </w:tc>
        <w:tc>
          <w:tcPr>
            <w:tcW w:w="1662" w:type="dxa"/>
            <w:gridSpan w:val="2"/>
          </w:tcPr>
          <w:p w:rsidR="003F5784" w14:paraId="16B07524" w14:textId="77777777">
            <w:pPr>
              <w:pStyle w:val="TableParagraph"/>
              <w:spacing w:before="0"/>
              <w:jc w:val="left"/>
              <w:rPr>
                <w:sz w:val="16"/>
              </w:rPr>
            </w:pPr>
          </w:p>
        </w:tc>
      </w:tr>
      <w:tr w14:paraId="310B1C9D" w14:textId="77777777">
        <w:tblPrEx>
          <w:tblW w:w="0" w:type="auto"/>
          <w:tblInd w:w="552" w:type="dxa"/>
          <w:tblLayout w:type="fixed"/>
          <w:tblCellMar>
            <w:left w:w="0" w:type="dxa"/>
            <w:right w:w="0" w:type="dxa"/>
          </w:tblCellMar>
          <w:tblLook w:val="01E0"/>
        </w:tblPrEx>
        <w:trPr>
          <w:gridAfter w:val="1"/>
          <w:wAfter w:w="98" w:type="dxa"/>
          <w:trHeight w:val="234"/>
        </w:trPr>
        <w:tc>
          <w:tcPr>
            <w:tcW w:w="3894" w:type="dxa"/>
            <w:gridSpan w:val="3"/>
          </w:tcPr>
          <w:p w:rsidR="003F5784" w14:paraId="0337427E" w14:textId="77777777">
            <w:pPr>
              <w:pStyle w:val="TableParagraph"/>
              <w:spacing w:before="0" w:line="215" w:lineRule="exact"/>
              <w:ind w:right="133"/>
              <w:rPr>
                <w:sz w:val="21"/>
              </w:rPr>
            </w:pPr>
            <w:r>
              <w:rPr>
                <w:spacing w:val="-2"/>
                <w:sz w:val="21"/>
              </w:rPr>
              <w:t>original</w:t>
            </w:r>
          </w:p>
        </w:tc>
        <w:tc>
          <w:tcPr>
            <w:tcW w:w="2054" w:type="dxa"/>
            <w:gridSpan w:val="2"/>
          </w:tcPr>
          <w:p w:rsidR="003F5784" w14:paraId="79FE976A" w14:textId="77777777">
            <w:pPr>
              <w:pStyle w:val="TableParagraph"/>
              <w:spacing w:before="0" w:line="215" w:lineRule="exact"/>
              <w:ind w:right="133"/>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989" w:type="dxa"/>
            <w:gridSpan w:val="2"/>
          </w:tcPr>
          <w:p w:rsidR="003F5784" w14:paraId="3703ADD4" w14:textId="77777777">
            <w:pPr>
              <w:pStyle w:val="TableParagraph"/>
              <w:spacing w:before="0" w:line="215" w:lineRule="exact"/>
              <w:ind w:right="164"/>
              <w:rPr>
                <w:sz w:val="21"/>
              </w:rPr>
            </w:pPr>
            <w:r>
              <w:rPr>
                <w:sz w:val="21"/>
              </w:rPr>
              <w:t>before</w:t>
            </w:r>
            <w:r>
              <w:rPr>
                <w:spacing w:val="-7"/>
                <w:sz w:val="21"/>
              </w:rPr>
              <w:t xml:space="preserve"> </w:t>
            </w:r>
            <w:r>
              <w:rPr>
                <w:spacing w:val="-2"/>
                <w:sz w:val="21"/>
              </w:rPr>
              <w:t>substitution</w:t>
            </w:r>
          </w:p>
        </w:tc>
        <w:tc>
          <w:tcPr>
            <w:tcW w:w="1303" w:type="dxa"/>
          </w:tcPr>
          <w:p w:rsidR="003F5784" w14:paraId="23307336" w14:textId="77777777">
            <w:pPr>
              <w:pStyle w:val="TableParagraph"/>
              <w:spacing w:before="0" w:line="215" w:lineRule="exact"/>
              <w:ind w:right="221"/>
              <w:rPr>
                <w:sz w:val="21"/>
              </w:rPr>
            </w:pPr>
            <w:r>
              <w:rPr>
                <w:spacing w:val="-2"/>
                <w:sz w:val="21"/>
              </w:rPr>
              <w:t>students</w:t>
            </w:r>
          </w:p>
        </w:tc>
        <w:tc>
          <w:tcPr>
            <w:tcW w:w="1201" w:type="dxa"/>
            <w:gridSpan w:val="3"/>
          </w:tcPr>
          <w:p w:rsidR="003F5784" w14:paraId="14C0A640" w14:textId="77777777">
            <w:pPr>
              <w:pStyle w:val="TableParagraph"/>
              <w:spacing w:before="0" w:line="215" w:lineRule="exact"/>
              <w:ind w:right="130"/>
              <w:rPr>
                <w:sz w:val="21"/>
              </w:rPr>
            </w:pPr>
            <w:r>
              <w:rPr>
                <w:sz w:val="21"/>
              </w:rPr>
              <w:t>percent</w:t>
            </w:r>
            <w:r>
              <w:rPr>
                <w:spacing w:val="-8"/>
                <w:sz w:val="21"/>
              </w:rPr>
              <w:t xml:space="preserve"> </w:t>
            </w:r>
            <w:r>
              <w:rPr>
                <w:spacing w:val="-5"/>
                <w:sz w:val="21"/>
              </w:rPr>
              <w:t>of</w:t>
            </w:r>
          </w:p>
        </w:tc>
        <w:tc>
          <w:tcPr>
            <w:tcW w:w="1737" w:type="dxa"/>
          </w:tcPr>
          <w:p w:rsidR="003F5784" w14:paraId="3DB6B19A" w14:textId="77777777">
            <w:pPr>
              <w:pStyle w:val="TableParagraph"/>
              <w:spacing w:before="0" w:line="215" w:lineRule="exact"/>
              <w:ind w:right="147"/>
              <w:rPr>
                <w:sz w:val="21"/>
              </w:rPr>
            </w:pPr>
            <w:r>
              <w:rPr>
                <w:spacing w:val="-2"/>
                <w:sz w:val="21"/>
              </w:rPr>
              <w:t>participation</w:t>
            </w:r>
          </w:p>
        </w:tc>
        <w:tc>
          <w:tcPr>
            <w:tcW w:w="1662" w:type="dxa"/>
            <w:gridSpan w:val="2"/>
          </w:tcPr>
          <w:p w:rsidR="003F5784" w14:paraId="24C83E4F" w14:textId="77777777">
            <w:pPr>
              <w:pStyle w:val="TableParagraph"/>
              <w:spacing w:before="0" w:line="215" w:lineRule="exact"/>
              <w:ind w:right="43"/>
              <w:rPr>
                <w:sz w:val="21"/>
              </w:rPr>
            </w:pPr>
            <w:r>
              <w:rPr>
                <w:spacing w:val="-2"/>
                <w:sz w:val="21"/>
              </w:rPr>
              <w:t>Weighted</w:t>
            </w:r>
            <w:r>
              <w:rPr>
                <w:spacing w:val="-11"/>
                <w:sz w:val="21"/>
              </w:rPr>
              <w:t xml:space="preserve"> </w:t>
            </w:r>
            <w:r>
              <w:rPr>
                <w:spacing w:val="-2"/>
                <w:sz w:val="21"/>
              </w:rPr>
              <w:t>percent</w:t>
            </w:r>
          </w:p>
        </w:tc>
      </w:tr>
      <w:tr w14:paraId="07C999E8" w14:textId="77777777">
        <w:tblPrEx>
          <w:tblW w:w="0" w:type="auto"/>
          <w:tblInd w:w="552" w:type="dxa"/>
          <w:tblLayout w:type="fixed"/>
          <w:tblCellMar>
            <w:left w:w="0" w:type="dxa"/>
            <w:right w:w="0" w:type="dxa"/>
          </w:tblCellMar>
          <w:tblLook w:val="01E0"/>
        </w:tblPrEx>
        <w:trPr>
          <w:gridAfter w:val="1"/>
          <w:wAfter w:w="98" w:type="dxa"/>
          <w:trHeight w:val="234"/>
        </w:trPr>
        <w:tc>
          <w:tcPr>
            <w:tcW w:w="3894" w:type="dxa"/>
            <w:gridSpan w:val="3"/>
          </w:tcPr>
          <w:p w:rsidR="003F5784" w14:paraId="12558A8E" w14:textId="77777777">
            <w:pPr>
              <w:pStyle w:val="TableParagraph"/>
              <w:spacing w:before="0" w:line="215" w:lineRule="exact"/>
              <w:ind w:right="133"/>
              <w:rPr>
                <w:sz w:val="21"/>
              </w:rPr>
            </w:pPr>
            <w:r>
              <w:rPr>
                <w:spacing w:val="-2"/>
                <w:sz w:val="21"/>
              </w:rPr>
              <w:t>sample,</w:t>
            </w:r>
          </w:p>
        </w:tc>
        <w:tc>
          <w:tcPr>
            <w:tcW w:w="2054" w:type="dxa"/>
            <w:gridSpan w:val="2"/>
          </w:tcPr>
          <w:p w:rsidR="003F5784" w14:paraId="76B1230E" w14:textId="77777777">
            <w:pPr>
              <w:pStyle w:val="TableParagraph"/>
              <w:spacing w:before="0" w:line="215" w:lineRule="exact"/>
              <w:ind w:right="133"/>
              <w:rPr>
                <w:sz w:val="21"/>
              </w:rPr>
            </w:pPr>
            <w:r>
              <w:rPr>
                <w:sz w:val="21"/>
              </w:rPr>
              <w:t>weight</w:t>
            </w:r>
            <w:r>
              <w:rPr>
                <w:spacing w:val="-7"/>
                <w:sz w:val="21"/>
              </w:rPr>
              <w:t xml:space="preserve"> </w:t>
            </w:r>
            <w:r>
              <w:rPr>
                <w:spacing w:val="-5"/>
                <w:sz w:val="21"/>
              </w:rPr>
              <w:t>and</w:t>
            </w:r>
          </w:p>
        </w:tc>
        <w:tc>
          <w:tcPr>
            <w:tcW w:w="1989" w:type="dxa"/>
            <w:gridSpan w:val="2"/>
          </w:tcPr>
          <w:p w:rsidR="003F5784" w14:paraId="049AB624" w14:textId="77777777">
            <w:pPr>
              <w:pStyle w:val="TableParagraph"/>
              <w:spacing w:before="0" w:line="215" w:lineRule="exact"/>
              <w:ind w:right="164"/>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303" w:type="dxa"/>
          </w:tcPr>
          <w:p w:rsidR="003F5784" w14:paraId="3E4A45D7" w14:textId="77777777">
            <w:pPr>
              <w:pStyle w:val="TableParagraph"/>
              <w:spacing w:before="0" w:line="215" w:lineRule="exact"/>
              <w:ind w:right="221"/>
              <w:rPr>
                <w:sz w:val="21"/>
              </w:rPr>
            </w:pPr>
            <w:r>
              <w:rPr>
                <w:spacing w:val="-2"/>
                <w:sz w:val="21"/>
              </w:rPr>
              <w:t>sampled,</w:t>
            </w:r>
          </w:p>
        </w:tc>
        <w:tc>
          <w:tcPr>
            <w:tcW w:w="1201" w:type="dxa"/>
            <w:gridSpan w:val="3"/>
          </w:tcPr>
          <w:p w:rsidR="003F5784" w14:paraId="42661CE0" w14:textId="77777777">
            <w:pPr>
              <w:pStyle w:val="TableParagraph"/>
              <w:spacing w:before="0" w:line="215" w:lineRule="exact"/>
              <w:ind w:right="130"/>
              <w:rPr>
                <w:sz w:val="21"/>
              </w:rPr>
            </w:pPr>
            <w:r>
              <w:rPr>
                <w:spacing w:val="-2"/>
                <w:sz w:val="21"/>
              </w:rPr>
              <w:t>students</w:t>
            </w:r>
          </w:p>
        </w:tc>
        <w:tc>
          <w:tcPr>
            <w:tcW w:w="1737" w:type="dxa"/>
          </w:tcPr>
          <w:p w:rsidR="003F5784" w14:paraId="626E9A0F" w14:textId="77777777">
            <w:pPr>
              <w:pStyle w:val="TableParagraph"/>
              <w:spacing w:before="0" w:line="215" w:lineRule="exact"/>
              <w:ind w:right="147"/>
              <w:rPr>
                <w:sz w:val="21"/>
              </w:rPr>
            </w:pPr>
            <w:r>
              <w:rPr>
                <w:sz w:val="21"/>
              </w:rPr>
              <w:t>rates</w:t>
            </w:r>
            <w:r>
              <w:rPr>
                <w:spacing w:val="-5"/>
                <w:sz w:val="21"/>
              </w:rPr>
              <w:t xml:space="preserve"> </w:t>
            </w:r>
            <w:r>
              <w:rPr>
                <w:spacing w:val="-2"/>
                <w:sz w:val="21"/>
              </w:rPr>
              <w:t>(percent)</w:t>
            </w:r>
          </w:p>
        </w:tc>
        <w:tc>
          <w:tcPr>
            <w:tcW w:w="1662" w:type="dxa"/>
            <w:gridSpan w:val="2"/>
          </w:tcPr>
          <w:p w:rsidR="003F5784" w14:paraId="481925BD" w14:textId="77777777">
            <w:pPr>
              <w:pStyle w:val="TableParagraph"/>
              <w:spacing w:before="0" w:line="215" w:lineRule="exact"/>
              <w:ind w:right="43"/>
              <w:rPr>
                <w:sz w:val="21"/>
              </w:rPr>
            </w:pPr>
            <w:r>
              <w:rPr>
                <w:sz w:val="21"/>
              </w:rPr>
              <w:t>of</w:t>
            </w:r>
            <w:r>
              <w:rPr>
                <w:spacing w:val="-3"/>
                <w:sz w:val="21"/>
              </w:rPr>
              <w:t xml:space="preserve"> </w:t>
            </w:r>
            <w:r>
              <w:rPr>
                <w:spacing w:val="-2"/>
                <w:sz w:val="21"/>
              </w:rPr>
              <w:t>students</w:t>
            </w:r>
          </w:p>
        </w:tc>
      </w:tr>
      <w:tr w14:paraId="20CFBBA1" w14:textId="77777777">
        <w:tblPrEx>
          <w:tblW w:w="0" w:type="auto"/>
          <w:tblInd w:w="552" w:type="dxa"/>
          <w:tblLayout w:type="fixed"/>
          <w:tblCellMar>
            <w:left w:w="0" w:type="dxa"/>
            <w:right w:w="0" w:type="dxa"/>
          </w:tblCellMar>
          <w:tblLook w:val="01E0"/>
        </w:tblPrEx>
        <w:trPr>
          <w:gridAfter w:val="1"/>
          <w:wAfter w:w="98" w:type="dxa"/>
          <w:trHeight w:val="232"/>
        </w:trPr>
        <w:tc>
          <w:tcPr>
            <w:tcW w:w="3894" w:type="dxa"/>
            <w:gridSpan w:val="3"/>
          </w:tcPr>
          <w:p w:rsidR="003F5784" w14:paraId="5C220F61" w14:textId="77777777">
            <w:pPr>
              <w:pStyle w:val="TableParagraph"/>
              <w:tabs>
                <w:tab w:val="left" w:pos="3025"/>
              </w:tabs>
              <w:spacing w:before="0" w:line="213" w:lineRule="exact"/>
              <w:ind w:right="133"/>
              <w:rPr>
                <w:sz w:val="21"/>
              </w:rPr>
            </w:pPr>
            <w:r>
              <w:rPr>
                <w:sz w:val="21"/>
              </w:rPr>
              <w:t>School</w:t>
            </w:r>
            <w:r>
              <w:rPr>
                <w:spacing w:val="-6"/>
                <w:sz w:val="21"/>
              </w:rPr>
              <w:t xml:space="preserve"> </w:t>
            </w:r>
            <w:r>
              <w:rPr>
                <w:sz w:val="21"/>
              </w:rPr>
              <w:t>type</w:t>
            </w:r>
            <w:r>
              <w:rPr>
                <w:spacing w:val="-5"/>
                <w:sz w:val="21"/>
              </w:rPr>
              <w:t xml:space="preserve"> </w:t>
            </w:r>
            <w:r>
              <w:rPr>
                <w:sz w:val="21"/>
              </w:rPr>
              <w:t>and</w:t>
            </w:r>
            <w:r>
              <w:rPr>
                <w:spacing w:val="-5"/>
                <w:sz w:val="21"/>
              </w:rPr>
              <w:t xml:space="preserve"> </w:t>
            </w:r>
            <w:r>
              <w:rPr>
                <w:spacing w:val="-2"/>
                <w:sz w:val="21"/>
              </w:rPr>
              <w:t>jurisdiction</w:t>
            </w:r>
            <w:r>
              <w:rPr>
                <w:sz w:val="21"/>
              </w:rPr>
              <w:tab/>
            </w:r>
            <w:r>
              <w:rPr>
                <w:spacing w:val="-2"/>
                <w:sz w:val="21"/>
              </w:rPr>
              <w:t>rounded</w:t>
            </w:r>
          </w:p>
        </w:tc>
        <w:tc>
          <w:tcPr>
            <w:tcW w:w="2054" w:type="dxa"/>
            <w:gridSpan w:val="2"/>
          </w:tcPr>
          <w:p w:rsidR="003F5784" w14:paraId="21B4DBA0" w14:textId="77777777">
            <w:pPr>
              <w:pStyle w:val="TableParagraph"/>
              <w:spacing w:before="0" w:line="213" w:lineRule="exact"/>
              <w:ind w:right="133"/>
              <w:rPr>
                <w:sz w:val="21"/>
              </w:rPr>
            </w:pPr>
            <w:r>
              <w:rPr>
                <w:spacing w:val="-2"/>
                <w:sz w:val="21"/>
              </w:rPr>
              <w:t>enrollment)</w:t>
            </w:r>
          </w:p>
        </w:tc>
        <w:tc>
          <w:tcPr>
            <w:tcW w:w="1989" w:type="dxa"/>
            <w:gridSpan w:val="2"/>
          </w:tcPr>
          <w:p w:rsidR="003F5784" w14:paraId="325A455E" w14:textId="77777777">
            <w:pPr>
              <w:pStyle w:val="TableParagraph"/>
              <w:spacing w:before="0" w:line="213" w:lineRule="exact"/>
              <w:ind w:right="164"/>
              <w:rPr>
                <w:sz w:val="21"/>
              </w:rPr>
            </w:pPr>
            <w:r>
              <w:rPr>
                <w:sz w:val="21"/>
              </w:rPr>
              <w:t>weight</w:t>
            </w:r>
            <w:r>
              <w:rPr>
                <w:spacing w:val="-7"/>
                <w:sz w:val="21"/>
              </w:rPr>
              <w:t xml:space="preserve"> </w:t>
            </w:r>
            <w:r>
              <w:rPr>
                <w:spacing w:val="-2"/>
                <w:sz w:val="21"/>
              </w:rPr>
              <w:t>only)</w:t>
            </w:r>
          </w:p>
        </w:tc>
        <w:tc>
          <w:tcPr>
            <w:tcW w:w="1303" w:type="dxa"/>
          </w:tcPr>
          <w:p w:rsidR="003F5784" w14:paraId="4C24027C" w14:textId="77777777">
            <w:pPr>
              <w:pStyle w:val="TableParagraph"/>
              <w:spacing w:before="0" w:line="213" w:lineRule="exact"/>
              <w:ind w:right="221"/>
              <w:rPr>
                <w:sz w:val="21"/>
              </w:rPr>
            </w:pPr>
            <w:r>
              <w:rPr>
                <w:spacing w:val="-2"/>
                <w:sz w:val="21"/>
              </w:rPr>
              <w:t>rounded</w:t>
            </w:r>
          </w:p>
        </w:tc>
        <w:tc>
          <w:tcPr>
            <w:tcW w:w="1201" w:type="dxa"/>
            <w:gridSpan w:val="3"/>
          </w:tcPr>
          <w:p w:rsidR="003F5784" w14:paraId="1C8038FF" w14:textId="77777777">
            <w:pPr>
              <w:pStyle w:val="TableParagraph"/>
              <w:spacing w:before="0" w:line="213" w:lineRule="exact"/>
              <w:ind w:right="130"/>
              <w:rPr>
                <w:sz w:val="21"/>
              </w:rPr>
            </w:pPr>
            <w:r>
              <w:rPr>
                <w:spacing w:val="-2"/>
                <w:sz w:val="21"/>
              </w:rPr>
              <w:t>excluded</w:t>
            </w:r>
          </w:p>
        </w:tc>
        <w:tc>
          <w:tcPr>
            <w:tcW w:w="1737" w:type="dxa"/>
          </w:tcPr>
          <w:p w:rsidR="003F5784" w14:paraId="7E176254" w14:textId="77777777">
            <w:pPr>
              <w:pStyle w:val="TableParagraph"/>
              <w:spacing w:before="0" w:line="213" w:lineRule="exact"/>
              <w:ind w:right="147"/>
              <w:rPr>
                <w:sz w:val="21"/>
              </w:rPr>
            </w:pPr>
            <w:r>
              <w:rPr>
                <w:sz w:val="21"/>
              </w:rPr>
              <w:t>after</w:t>
            </w:r>
            <w:r>
              <w:rPr>
                <w:spacing w:val="-5"/>
                <w:sz w:val="21"/>
              </w:rPr>
              <w:t xml:space="preserve"> </w:t>
            </w:r>
            <w:r>
              <w:rPr>
                <w:spacing w:val="-2"/>
                <w:sz w:val="21"/>
              </w:rPr>
              <w:t>makeups</w:t>
            </w:r>
          </w:p>
        </w:tc>
        <w:tc>
          <w:tcPr>
            <w:tcW w:w="1662" w:type="dxa"/>
            <w:gridSpan w:val="2"/>
          </w:tcPr>
          <w:p w:rsidR="003F5784" w14:paraId="62242C98" w14:textId="77777777">
            <w:pPr>
              <w:pStyle w:val="TableParagraph"/>
              <w:spacing w:before="0" w:line="213" w:lineRule="exact"/>
              <w:ind w:right="43"/>
              <w:rPr>
                <w:sz w:val="21"/>
              </w:rPr>
            </w:pPr>
            <w:r>
              <w:rPr>
                <w:spacing w:val="-2"/>
                <w:sz w:val="21"/>
              </w:rPr>
              <w:t>accommodated</w:t>
            </w:r>
          </w:p>
        </w:tc>
      </w:tr>
      <w:tr w14:paraId="00F1CEF9" w14:textId="77777777" w:rsidTr="008C4D83">
        <w:tblPrEx>
          <w:tblW w:w="0" w:type="auto"/>
          <w:tblInd w:w="552" w:type="dxa"/>
          <w:tblLayout w:type="fixed"/>
          <w:tblCellMar>
            <w:left w:w="0" w:type="dxa"/>
            <w:right w:w="0" w:type="dxa"/>
          </w:tblCellMar>
          <w:tblLook w:val="01E0"/>
        </w:tblPrEx>
        <w:trPr>
          <w:trHeight w:val="278"/>
        </w:trPr>
        <w:tc>
          <w:tcPr>
            <w:tcW w:w="2499" w:type="dxa"/>
            <w:tcBorders>
              <w:top w:val="single" w:sz="18" w:space="0" w:color="800000"/>
            </w:tcBorders>
          </w:tcPr>
          <w:p w:rsidR="003F5784" w14:paraId="5C5DE55B" w14:textId="77777777">
            <w:pPr>
              <w:pStyle w:val="TableParagraph"/>
              <w:spacing w:before="9"/>
              <w:ind w:left="120"/>
              <w:jc w:val="left"/>
              <w:rPr>
                <w:sz w:val="21"/>
              </w:rPr>
            </w:pPr>
            <w:r>
              <w:rPr>
                <w:spacing w:val="-2"/>
                <w:sz w:val="21"/>
              </w:rPr>
              <w:t>Maine</w:t>
            </w:r>
          </w:p>
        </w:tc>
        <w:tc>
          <w:tcPr>
            <w:tcW w:w="1359" w:type="dxa"/>
            <w:tcBorders>
              <w:top w:val="single" w:sz="18" w:space="0" w:color="800000"/>
            </w:tcBorders>
          </w:tcPr>
          <w:p w:rsidR="003F5784" w14:paraId="1934B40B" w14:textId="77777777">
            <w:pPr>
              <w:pStyle w:val="TableParagraph"/>
              <w:spacing w:before="9"/>
              <w:ind w:right="738"/>
              <w:rPr>
                <w:sz w:val="21"/>
              </w:rPr>
            </w:pPr>
            <w:r>
              <w:rPr>
                <w:spacing w:val="-5"/>
                <w:sz w:val="21"/>
              </w:rPr>
              <w:t>110</w:t>
            </w:r>
          </w:p>
        </w:tc>
        <w:tc>
          <w:tcPr>
            <w:tcW w:w="2070" w:type="dxa"/>
            <w:gridSpan w:val="2"/>
            <w:tcBorders>
              <w:top w:val="single" w:sz="18" w:space="0" w:color="800000"/>
            </w:tcBorders>
          </w:tcPr>
          <w:p w:rsidR="003F5784" w14:paraId="15EBD7A0" w14:textId="77777777">
            <w:pPr>
              <w:pStyle w:val="TableParagraph"/>
              <w:spacing w:before="9"/>
              <w:ind w:left="159" w:right="112"/>
              <w:jc w:val="center"/>
              <w:rPr>
                <w:sz w:val="21"/>
              </w:rPr>
            </w:pPr>
            <w:r>
              <w:rPr>
                <w:spacing w:val="-2"/>
                <w:sz w:val="21"/>
              </w:rPr>
              <w:t>100.00</w:t>
            </w:r>
          </w:p>
        </w:tc>
        <w:tc>
          <w:tcPr>
            <w:tcW w:w="1980" w:type="dxa"/>
            <w:gridSpan w:val="2"/>
            <w:tcBorders>
              <w:top w:val="single" w:sz="18" w:space="0" w:color="800000"/>
            </w:tcBorders>
          </w:tcPr>
          <w:p w:rsidR="003F5784" w14:paraId="13BBCF7F" w14:textId="77777777">
            <w:pPr>
              <w:pStyle w:val="TableParagraph"/>
              <w:spacing w:before="9"/>
              <w:ind w:right="386"/>
              <w:rPr>
                <w:sz w:val="21"/>
              </w:rPr>
            </w:pPr>
            <w:r>
              <w:rPr>
                <w:spacing w:val="-2"/>
                <w:sz w:val="21"/>
              </w:rPr>
              <w:t>100.00</w:t>
            </w:r>
          </w:p>
        </w:tc>
        <w:tc>
          <w:tcPr>
            <w:tcW w:w="1350" w:type="dxa"/>
            <w:gridSpan w:val="3"/>
            <w:tcBorders>
              <w:top w:val="single" w:sz="18" w:space="0" w:color="800000"/>
            </w:tcBorders>
          </w:tcPr>
          <w:p w:rsidR="003F5784" w14:paraId="271401B9" w14:textId="77777777">
            <w:pPr>
              <w:pStyle w:val="TableParagraph"/>
              <w:spacing w:before="9"/>
              <w:ind w:left="387"/>
              <w:jc w:val="left"/>
              <w:rPr>
                <w:sz w:val="21"/>
              </w:rPr>
            </w:pPr>
            <w:r>
              <w:rPr>
                <w:spacing w:val="-2"/>
                <w:sz w:val="21"/>
              </w:rPr>
              <w:t>1,900</w:t>
            </w:r>
          </w:p>
        </w:tc>
        <w:tc>
          <w:tcPr>
            <w:tcW w:w="1170" w:type="dxa"/>
            <w:tcBorders>
              <w:top w:val="single" w:sz="18" w:space="0" w:color="800000"/>
            </w:tcBorders>
          </w:tcPr>
          <w:p w:rsidR="003F5784" w14:paraId="4592CDBB" w14:textId="77777777">
            <w:pPr>
              <w:pStyle w:val="TableParagraph"/>
              <w:spacing w:before="9"/>
              <w:ind w:left="463"/>
              <w:jc w:val="left"/>
              <w:rPr>
                <w:sz w:val="21"/>
              </w:rPr>
            </w:pPr>
            <w:r>
              <w:rPr>
                <w:spacing w:val="-4"/>
                <w:sz w:val="21"/>
              </w:rPr>
              <w:t>1.02</w:t>
            </w:r>
          </w:p>
        </w:tc>
        <w:tc>
          <w:tcPr>
            <w:tcW w:w="1800" w:type="dxa"/>
            <w:gridSpan w:val="3"/>
            <w:tcBorders>
              <w:top w:val="single" w:sz="18" w:space="0" w:color="800000"/>
            </w:tcBorders>
          </w:tcPr>
          <w:p w:rsidR="003F5784" w14:paraId="2BEB4944" w14:textId="77777777">
            <w:pPr>
              <w:pStyle w:val="TableParagraph"/>
              <w:spacing w:before="9"/>
              <w:ind w:right="22"/>
              <w:jc w:val="center"/>
              <w:rPr>
                <w:sz w:val="21"/>
              </w:rPr>
            </w:pPr>
            <w:r>
              <w:rPr>
                <w:spacing w:val="-2"/>
                <w:sz w:val="21"/>
              </w:rPr>
              <w:t>92.02</w:t>
            </w:r>
          </w:p>
        </w:tc>
        <w:tc>
          <w:tcPr>
            <w:tcW w:w="1710" w:type="dxa"/>
            <w:gridSpan w:val="2"/>
            <w:tcBorders>
              <w:top w:val="single" w:sz="18" w:space="0" w:color="800000"/>
            </w:tcBorders>
          </w:tcPr>
          <w:p w:rsidR="003F5784" w14:paraId="7C66705E" w14:textId="77777777">
            <w:pPr>
              <w:pStyle w:val="TableParagraph"/>
              <w:spacing w:before="9"/>
              <w:ind w:right="118"/>
              <w:rPr>
                <w:sz w:val="21"/>
              </w:rPr>
            </w:pPr>
            <w:r>
              <w:rPr>
                <w:spacing w:val="-2"/>
                <w:sz w:val="21"/>
              </w:rPr>
              <w:t>16.34</w:t>
            </w:r>
          </w:p>
        </w:tc>
      </w:tr>
      <w:tr w14:paraId="4F738669"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579DCDA5" w14:textId="77777777">
            <w:pPr>
              <w:pStyle w:val="TableParagraph"/>
              <w:ind w:left="120"/>
              <w:jc w:val="left"/>
              <w:rPr>
                <w:sz w:val="21"/>
              </w:rPr>
            </w:pPr>
            <w:r>
              <w:rPr>
                <w:spacing w:val="-2"/>
                <w:sz w:val="21"/>
              </w:rPr>
              <w:t>Maryland</w:t>
            </w:r>
          </w:p>
        </w:tc>
        <w:tc>
          <w:tcPr>
            <w:tcW w:w="1359" w:type="dxa"/>
          </w:tcPr>
          <w:p w:rsidR="003F5784" w14:paraId="5BE70CB5" w14:textId="77777777">
            <w:pPr>
              <w:pStyle w:val="TableParagraph"/>
              <w:ind w:right="738"/>
              <w:rPr>
                <w:sz w:val="21"/>
              </w:rPr>
            </w:pPr>
            <w:r>
              <w:rPr>
                <w:spacing w:val="-5"/>
                <w:sz w:val="21"/>
              </w:rPr>
              <w:t>120</w:t>
            </w:r>
          </w:p>
        </w:tc>
        <w:tc>
          <w:tcPr>
            <w:tcW w:w="2070" w:type="dxa"/>
            <w:gridSpan w:val="2"/>
          </w:tcPr>
          <w:p w:rsidR="003F5784" w14:paraId="49DF51EC" w14:textId="77777777">
            <w:pPr>
              <w:pStyle w:val="TableParagraph"/>
              <w:ind w:left="159" w:right="112"/>
              <w:jc w:val="center"/>
              <w:rPr>
                <w:sz w:val="21"/>
              </w:rPr>
            </w:pPr>
            <w:r>
              <w:rPr>
                <w:spacing w:val="-2"/>
                <w:sz w:val="21"/>
              </w:rPr>
              <w:t>100.00</w:t>
            </w:r>
          </w:p>
        </w:tc>
        <w:tc>
          <w:tcPr>
            <w:tcW w:w="1980" w:type="dxa"/>
            <w:gridSpan w:val="2"/>
          </w:tcPr>
          <w:p w:rsidR="003F5784" w14:paraId="1756A03B" w14:textId="77777777">
            <w:pPr>
              <w:pStyle w:val="TableParagraph"/>
              <w:ind w:right="386"/>
              <w:rPr>
                <w:sz w:val="21"/>
              </w:rPr>
            </w:pPr>
            <w:r>
              <w:rPr>
                <w:spacing w:val="-2"/>
                <w:sz w:val="21"/>
              </w:rPr>
              <w:t>100.00</w:t>
            </w:r>
          </w:p>
        </w:tc>
        <w:tc>
          <w:tcPr>
            <w:tcW w:w="1350" w:type="dxa"/>
            <w:gridSpan w:val="3"/>
          </w:tcPr>
          <w:p w:rsidR="003F5784" w14:paraId="714DB493" w14:textId="77777777">
            <w:pPr>
              <w:pStyle w:val="TableParagraph"/>
              <w:ind w:left="387"/>
              <w:jc w:val="left"/>
              <w:rPr>
                <w:sz w:val="21"/>
              </w:rPr>
            </w:pPr>
            <w:r>
              <w:rPr>
                <w:spacing w:val="-2"/>
                <w:sz w:val="21"/>
              </w:rPr>
              <w:t>2,800</w:t>
            </w:r>
          </w:p>
        </w:tc>
        <w:tc>
          <w:tcPr>
            <w:tcW w:w="1170" w:type="dxa"/>
          </w:tcPr>
          <w:p w:rsidR="003F5784" w14:paraId="4D154DA2" w14:textId="77777777">
            <w:pPr>
              <w:pStyle w:val="TableParagraph"/>
              <w:ind w:left="463"/>
              <w:jc w:val="left"/>
              <w:rPr>
                <w:sz w:val="21"/>
              </w:rPr>
            </w:pPr>
            <w:r>
              <w:rPr>
                <w:spacing w:val="-4"/>
                <w:sz w:val="21"/>
              </w:rPr>
              <w:t>1.93</w:t>
            </w:r>
          </w:p>
        </w:tc>
        <w:tc>
          <w:tcPr>
            <w:tcW w:w="1800" w:type="dxa"/>
            <w:gridSpan w:val="3"/>
          </w:tcPr>
          <w:p w:rsidR="003F5784" w14:paraId="45501EC9" w14:textId="77777777">
            <w:pPr>
              <w:pStyle w:val="TableParagraph"/>
              <w:ind w:right="22"/>
              <w:jc w:val="center"/>
              <w:rPr>
                <w:sz w:val="21"/>
              </w:rPr>
            </w:pPr>
            <w:r>
              <w:rPr>
                <w:spacing w:val="-2"/>
                <w:sz w:val="21"/>
              </w:rPr>
              <w:t>91.81</w:t>
            </w:r>
          </w:p>
        </w:tc>
        <w:tc>
          <w:tcPr>
            <w:tcW w:w="1710" w:type="dxa"/>
            <w:gridSpan w:val="2"/>
          </w:tcPr>
          <w:p w:rsidR="003F5784" w14:paraId="2DB9E42E" w14:textId="77777777">
            <w:pPr>
              <w:pStyle w:val="TableParagraph"/>
              <w:ind w:right="118"/>
              <w:rPr>
                <w:sz w:val="21"/>
              </w:rPr>
            </w:pPr>
            <w:r>
              <w:rPr>
                <w:spacing w:val="-2"/>
                <w:sz w:val="21"/>
              </w:rPr>
              <w:t>21.34</w:t>
            </w:r>
          </w:p>
        </w:tc>
      </w:tr>
      <w:tr w14:paraId="08EBEDC0"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1DF851D9" w14:textId="77777777">
            <w:pPr>
              <w:pStyle w:val="TableParagraph"/>
              <w:ind w:left="120"/>
              <w:jc w:val="left"/>
              <w:rPr>
                <w:sz w:val="21"/>
              </w:rPr>
            </w:pPr>
            <w:r>
              <w:rPr>
                <w:spacing w:val="-2"/>
                <w:sz w:val="21"/>
              </w:rPr>
              <w:t>Massachusetts</w:t>
            </w:r>
          </w:p>
        </w:tc>
        <w:tc>
          <w:tcPr>
            <w:tcW w:w="1359" w:type="dxa"/>
          </w:tcPr>
          <w:p w:rsidR="003F5784" w14:paraId="5A68B44B" w14:textId="77777777">
            <w:pPr>
              <w:pStyle w:val="TableParagraph"/>
              <w:ind w:right="738"/>
              <w:rPr>
                <w:sz w:val="21"/>
              </w:rPr>
            </w:pPr>
            <w:r>
              <w:rPr>
                <w:spacing w:val="-5"/>
                <w:sz w:val="21"/>
              </w:rPr>
              <w:t>130</w:t>
            </w:r>
          </w:p>
        </w:tc>
        <w:tc>
          <w:tcPr>
            <w:tcW w:w="2070" w:type="dxa"/>
            <w:gridSpan w:val="2"/>
          </w:tcPr>
          <w:p w:rsidR="003F5784" w14:paraId="7DD97F81" w14:textId="77777777">
            <w:pPr>
              <w:pStyle w:val="TableParagraph"/>
              <w:ind w:left="159" w:right="112"/>
              <w:jc w:val="center"/>
              <w:rPr>
                <w:sz w:val="21"/>
              </w:rPr>
            </w:pPr>
            <w:r>
              <w:rPr>
                <w:spacing w:val="-2"/>
                <w:sz w:val="21"/>
              </w:rPr>
              <w:t>100.00</w:t>
            </w:r>
          </w:p>
        </w:tc>
        <w:tc>
          <w:tcPr>
            <w:tcW w:w="1980" w:type="dxa"/>
            <w:gridSpan w:val="2"/>
          </w:tcPr>
          <w:p w:rsidR="003F5784" w14:paraId="1BFD6509" w14:textId="77777777">
            <w:pPr>
              <w:pStyle w:val="TableParagraph"/>
              <w:ind w:right="386"/>
              <w:rPr>
                <w:sz w:val="21"/>
              </w:rPr>
            </w:pPr>
            <w:r>
              <w:rPr>
                <w:spacing w:val="-2"/>
                <w:sz w:val="21"/>
              </w:rPr>
              <w:t>100.00</w:t>
            </w:r>
          </w:p>
        </w:tc>
        <w:tc>
          <w:tcPr>
            <w:tcW w:w="1350" w:type="dxa"/>
            <w:gridSpan w:val="3"/>
          </w:tcPr>
          <w:p w:rsidR="003F5784" w14:paraId="6319D6C5" w14:textId="77777777">
            <w:pPr>
              <w:pStyle w:val="TableParagraph"/>
              <w:ind w:left="387"/>
              <w:jc w:val="left"/>
              <w:rPr>
                <w:sz w:val="21"/>
              </w:rPr>
            </w:pPr>
            <w:r>
              <w:rPr>
                <w:spacing w:val="-2"/>
                <w:sz w:val="21"/>
              </w:rPr>
              <w:t>2,900</w:t>
            </w:r>
          </w:p>
        </w:tc>
        <w:tc>
          <w:tcPr>
            <w:tcW w:w="1170" w:type="dxa"/>
          </w:tcPr>
          <w:p w:rsidR="003F5784" w14:paraId="71512EDC" w14:textId="77777777">
            <w:pPr>
              <w:pStyle w:val="TableParagraph"/>
              <w:ind w:left="463"/>
              <w:jc w:val="left"/>
              <w:rPr>
                <w:sz w:val="21"/>
              </w:rPr>
            </w:pPr>
            <w:r>
              <w:rPr>
                <w:spacing w:val="-4"/>
                <w:sz w:val="21"/>
              </w:rPr>
              <w:t>2.48</w:t>
            </w:r>
          </w:p>
        </w:tc>
        <w:tc>
          <w:tcPr>
            <w:tcW w:w="1800" w:type="dxa"/>
            <w:gridSpan w:val="3"/>
          </w:tcPr>
          <w:p w:rsidR="003F5784" w14:paraId="527FB252" w14:textId="77777777">
            <w:pPr>
              <w:pStyle w:val="TableParagraph"/>
              <w:ind w:right="22"/>
              <w:jc w:val="center"/>
              <w:rPr>
                <w:sz w:val="21"/>
              </w:rPr>
            </w:pPr>
            <w:r>
              <w:rPr>
                <w:spacing w:val="-2"/>
                <w:sz w:val="21"/>
              </w:rPr>
              <w:t>92.98</w:t>
            </w:r>
          </w:p>
        </w:tc>
        <w:tc>
          <w:tcPr>
            <w:tcW w:w="1710" w:type="dxa"/>
            <w:gridSpan w:val="2"/>
          </w:tcPr>
          <w:p w:rsidR="003F5784" w14:paraId="07E8CC22" w14:textId="77777777">
            <w:pPr>
              <w:pStyle w:val="TableParagraph"/>
              <w:ind w:right="118"/>
              <w:rPr>
                <w:sz w:val="21"/>
              </w:rPr>
            </w:pPr>
            <w:r>
              <w:rPr>
                <w:spacing w:val="-2"/>
                <w:sz w:val="21"/>
              </w:rPr>
              <w:t>16.39</w:t>
            </w:r>
          </w:p>
        </w:tc>
      </w:tr>
      <w:tr w14:paraId="34E480C0"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5E0C9778" w14:textId="77777777">
            <w:pPr>
              <w:pStyle w:val="TableParagraph"/>
              <w:ind w:left="120"/>
              <w:jc w:val="left"/>
              <w:rPr>
                <w:sz w:val="21"/>
              </w:rPr>
            </w:pPr>
            <w:r>
              <w:rPr>
                <w:spacing w:val="-2"/>
                <w:sz w:val="21"/>
              </w:rPr>
              <w:t>Michigan</w:t>
            </w:r>
          </w:p>
        </w:tc>
        <w:tc>
          <w:tcPr>
            <w:tcW w:w="1359" w:type="dxa"/>
          </w:tcPr>
          <w:p w:rsidR="003F5784" w14:paraId="241BC3B1" w14:textId="77777777">
            <w:pPr>
              <w:pStyle w:val="TableParagraph"/>
              <w:ind w:right="738"/>
              <w:rPr>
                <w:sz w:val="21"/>
              </w:rPr>
            </w:pPr>
            <w:r>
              <w:rPr>
                <w:spacing w:val="-5"/>
                <w:sz w:val="21"/>
              </w:rPr>
              <w:t>140</w:t>
            </w:r>
          </w:p>
        </w:tc>
        <w:tc>
          <w:tcPr>
            <w:tcW w:w="2070" w:type="dxa"/>
            <w:gridSpan w:val="2"/>
          </w:tcPr>
          <w:p w:rsidR="003F5784" w14:paraId="582F22C2" w14:textId="77777777">
            <w:pPr>
              <w:pStyle w:val="TableParagraph"/>
              <w:ind w:left="159" w:right="112"/>
              <w:jc w:val="center"/>
              <w:rPr>
                <w:sz w:val="21"/>
              </w:rPr>
            </w:pPr>
            <w:r>
              <w:rPr>
                <w:spacing w:val="-2"/>
                <w:sz w:val="21"/>
              </w:rPr>
              <w:t>100.00</w:t>
            </w:r>
          </w:p>
        </w:tc>
        <w:tc>
          <w:tcPr>
            <w:tcW w:w="1980" w:type="dxa"/>
            <w:gridSpan w:val="2"/>
          </w:tcPr>
          <w:p w:rsidR="003F5784" w14:paraId="235554EE" w14:textId="77777777">
            <w:pPr>
              <w:pStyle w:val="TableParagraph"/>
              <w:ind w:right="386"/>
              <w:rPr>
                <w:sz w:val="21"/>
              </w:rPr>
            </w:pPr>
            <w:r>
              <w:rPr>
                <w:spacing w:val="-2"/>
                <w:sz w:val="21"/>
              </w:rPr>
              <w:t>100.00</w:t>
            </w:r>
          </w:p>
        </w:tc>
        <w:tc>
          <w:tcPr>
            <w:tcW w:w="1350" w:type="dxa"/>
            <w:gridSpan w:val="3"/>
          </w:tcPr>
          <w:p w:rsidR="003F5784" w14:paraId="1BA7E9E2" w14:textId="77777777">
            <w:pPr>
              <w:pStyle w:val="TableParagraph"/>
              <w:ind w:left="387"/>
              <w:jc w:val="left"/>
              <w:rPr>
                <w:sz w:val="21"/>
              </w:rPr>
            </w:pPr>
            <w:r>
              <w:rPr>
                <w:spacing w:val="-2"/>
                <w:sz w:val="21"/>
              </w:rPr>
              <w:t>2,900</w:t>
            </w:r>
          </w:p>
        </w:tc>
        <w:tc>
          <w:tcPr>
            <w:tcW w:w="1170" w:type="dxa"/>
          </w:tcPr>
          <w:p w:rsidR="003F5784" w14:paraId="13C43827" w14:textId="77777777">
            <w:pPr>
              <w:pStyle w:val="TableParagraph"/>
              <w:ind w:left="463"/>
              <w:jc w:val="left"/>
              <w:rPr>
                <w:sz w:val="21"/>
              </w:rPr>
            </w:pPr>
            <w:r>
              <w:rPr>
                <w:spacing w:val="-4"/>
                <w:sz w:val="21"/>
              </w:rPr>
              <w:t>2.56</w:t>
            </w:r>
          </w:p>
        </w:tc>
        <w:tc>
          <w:tcPr>
            <w:tcW w:w="1800" w:type="dxa"/>
            <w:gridSpan w:val="3"/>
          </w:tcPr>
          <w:p w:rsidR="003F5784" w14:paraId="69AAFAB8" w14:textId="77777777">
            <w:pPr>
              <w:pStyle w:val="TableParagraph"/>
              <w:ind w:right="22"/>
              <w:jc w:val="center"/>
              <w:rPr>
                <w:sz w:val="21"/>
              </w:rPr>
            </w:pPr>
            <w:r>
              <w:rPr>
                <w:spacing w:val="-2"/>
                <w:sz w:val="21"/>
              </w:rPr>
              <w:t>90.98</w:t>
            </w:r>
          </w:p>
        </w:tc>
        <w:tc>
          <w:tcPr>
            <w:tcW w:w="1710" w:type="dxa"/>
            <w:gridSpan w:val="2"/>
          </w:tcPr>
          <w:p w:rsidR="003F5784" w14:paraId="5F615AC7" w14:textId="77777777">
            <w:pPr>
              <w:pStyle w:val="TableParagraph"/>
              <w:ind w:right="118"/>
              <w:rPr>
                <w:sz w:val="21"/>
              </w:rPr>
            </w:pPr>
            <w:r>
              <w:rPr>
                <w:spacing w:val="-4"/>
                <w:sz w:val="21"/>
              </w:rPr>
              <w:t>8.10</w:t>
            </w:r>
          </w:p>
        </w:tc>
      </w:tr>
      <w:tr w14:paraId="072595EC"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3D2C1446" w14:textId="77777777">
            <w:pPr>
              <w:pStyle w:val="TableParagraph"/>
              <w:ind w:left="120"/>
              <w:jc w:val="left"/>
              <w:rPr>
                <w:sz w:val="21"/>
              </w:rPr>
            </w:pPr>
            <w:r>
              <w:rPr>
                <w:spacing w:val="-2"/>
                <w:sz w:val="21"/>
              </w:rPr>
              <w:t>Minnesota</w:t>
            </w:r>
          </w:p>
        </w:tc>
        <w:tc>
          <w:tcPr>
            <w:tcW w:w="1359" w:type="dxa"/>
          </w:tcPr>
          <w:p w:rsidR="003F5784" w14:paraId="5F12A90E" w14:textId="77777777">
            <w:pPr>
              <w:pStyle w:val="TableParagraph"/>
              <w:ind w:right="738"/>
              <w:rPr>
                <w:sz w:val="21"/>
              </w:rPr>
            </w:pPr>
            <w:r>
              <w:rPr>
                <w:spacing w:val="-5"/>
                <w:sz w:val="21"/>
              </w:rPr>
              <w:t>90</w:t>
            </w:r>
          </w:p>
        </w:tc>
        <w:tc>
          <w:tcPr>
            <w:tcW w:w="2070" w:type="dxa"/>
            <w:gridSpan w:val="2"/>
          </w:tcPr>
          <w:p w:rsidR="003F5784" w14:paraId="69EC5FF1" w14:textId="77777777">
            <w:pPr>
              <w:pStyle w:val="TableParagraph"/>
              <w:ind w:left="159" w:right="112"/>
              <w:jc w:val="center"/>
              <w:rPr>
                <w:sz w:val="21"/>
              </w:rPr>
            </w:pPr>
            <w:r>
              <w:rPr>
                <w:spacing w:val="-2"/>
                <w:sz w:val="21"/>
              </w:rPr>
              <w:t>100.00</w:t>
            </w:r>
          </w:p>
        </w:tc>
        <w:tc>
          <w:tcPr>
            <w:tcW w:w="1980" w:type="dxa"/>
            <w:gridSpan w:val="2"/>
          </w:tcPr>
          <w:p w:rsidR="003F5784" w14:paraId="2C2982EF" w14:textId="77777777">
            <w:pPr>
              <w:pStyle w:val="TableParagraph"/>
              <w:ind w:right="386"/>
              <w:rPr>
                <w:sz w:val="21"/>
              </w:rPr>
            </w:pPr>
            <w:r>
              <w:rPr>
                <w:spacing w:val="-2"/>
                <w:sz w:val="21"/>
              </w:rPr>
              <w:t>100.00</w:t>
            </w:r>
          </w:p>
        </w:tc>
        <w:tc>
          <w:tcPr>
            <w:tcW w:w="1350" w:type="dxa"/>
            <w:gridSpan w:val="3"/>
          </w:tcPr>
          <w:p w:rsidR="003F5784" w14:paraId="4F90D142" w14:textId="77777777">
            <w:pPr>
              <w:pStyle w:val="TableParagraph"/>
              <w:ind w:left="387"/>
              <w:jc w:val="left"/>
              <w:rPr>
                <w:sz w:val="21"/>
              </w:rPr>
            </w:pPr>
            <w:r>
              <w:rPr>
                <w:spacing w:val="-2"/>
                <w:sz w:val="21"/>
              </w:rPr>
              <w:t>2,100</w:t>
            </w:r>
          </w:p>
        </w:tc>
        <w:tc>
          <w:tcPr>
            <w:tcW w:w="1170" w:type="dxa"/>
          </w:tcPr>
          <w:p w:rsidR="003F5784" w14:paraId="01B8A0EE" w14:textId="77777777">
            <w:pPr>
              <w:pStyle w:val="TableParagraph"/>
              <w:ind w:left="463"/>
              <w:jc w:val="left"/>
              <w:rPr>
                <w:sz w:val="21"/>
              </w:rPr>
            </w:pPr>
            <w:r>
              <w:rPr>
                <w:spacing w:val="-4"/>
                <w:sz w:val="21"/>
              </w:rPr>
              <w:t>3.54</w:t>
            </w:r>
          </w:p>
        </w:tc>
        <w:tc>
          <w:tcPr>
            <w:tcW w:w="1800" w:type="dxa"/>
            <w:gridSpan w:val="3"/>
          </w:tcPr>
          <w:p w:rsidR="003F5784" w14:paraId="230276AC" w14:textId="77777777">
            <w:pPr>
              <w:pStyle w:val="TableParagraph"/>
              <w:ind w:right="22"/>
              <w:jc w:val="center"/>
              <w:rPr>
                <w:sz w:val="21"/>
              </w:rPr>
            </w:pPr>
            <w:r>
              <w:rPr>
                <w:spacing w:val="-2"/>
                <w:sz w:val="21"/>
              </w:rPr>
              <w:t>91.18</w:t>
            </w:r>
          </w:p>
        </w:tc>
        <w:tc>
          <w:tcPr>
            <w:tcW w:w="1710" w:type="dxa"/>
            <w:gridSpan w:val="2"/>
          </w:tcPr>
          <w:p w:rsidR="003F5784" w14:paraId="308F5E68" w14:textId="77777777">
            <w:pPr>
              <w:pStyle w:val="TableParagraph"/>
              <w:ind w:right="118"/>
              <w:rPr>
                <w:sz w:val="21"/>
              </w:rPr>
            </w:pPr>
            <w:r>
              <w:rPr>
                <w:spacing w:val="-2"/>
                <w:sz w:val="21"/>
              </w:rPr>
              <w:t>10.29</w:t>
            </w:r>
          </w:p>
        </w:tc>
      </w:tr>
      <w:tr w14:paraId="17D2FD4B"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47F545EB" w14:textId="77777777">
            <w:pPr>
              <w:pStyle w:val="TableParagraph"/>
              <w:ind w:left="120"/>
              <w:jc w:val="left"/>
              <w:rPr>
                <w:sz w:val="21"/>
              </w:rPr>
            </w:pPr>
            <w:r>
              <w:rPr>
                <w:spacing w:val="-2"/>
                <w:sz w:val="21"/>
              </w:rPr>
              <w:t>Mississippi</w:t>
            </w:r>
          </w:p>
        </w:tc>
        <w:tc>
          <w:tcPr>
            <w:tcW w:w="1359" w:type="dxa"/>
          </w:tcPr>
          <w:p w:rsidR="003F5784" w14:paraId="27881147" w14:textId="77777777">
            <w:pPr>
              <w:pStyle w:val="TableParagraph"/>
              <w:ind w:right="738"/>
              <w:rPr>
                <w:sz w:val="21"/>
              </w:rPr>
            </w:pPr>
            <w:r>
              <w:rPr>
                <w:spacing w:val="-5"/>
                <w:sz w:val="21"/>
              </w:rPr>
              <w:t>90</w:t>
            </w:r>
          </w:p>
        </w:tc>
        <w:tc>
          <w:tcPr>
            <w:tcW w:w="2070" w:type="dxa"/>
            <w:gridSpan w:val="2"/>
          </w:tcPr>
          <w:p w:rsidR="003F5784" w14:paraId="2A0BA085" w14:textId="77777777">
            <w:pPr>
              <w:pStyle w:val="TableParagraph"/>
              <w:ind w:left="159" w:right="112"/>
              <w:jc w:val="center"/>
              <w:rPr>
                <w:sz w:val="21"/>
              </w:rPr>
            </w:pPr>
            <w:r>
              <w:rPr>
                <w:spacing w:val="-2"/>
                <w:sz w:val="21"/>
              </w:rPr>
              <w:t>100.00</w:t>
            </w:r>
          </w:p>
        </w:tc>
        <w:tc>
          <w:tcPr>
            <w:tcW w:w="1980" w:type="dxa"/>
            <w:gridSpan w:val="2"/>
          </w:tcPr>
          <w:p w:rsidR="003F5784" w14:paraId="1B19CBFC" w14:textId="77777777">
            <w:pPr>
              <w:pStyle w:val="TableParagraph"/>
              <w:ind w:right="386"/>
              <w:rPr>
                <w:sz w:val="21"/>
              </w:rPr>
            </w:pPr>
            <w:r>
              <w:rPr>
                <w:spacing w:val="-2"/>
                <w:sz w:val="21"/>
              </w:rPr>
              <w:t>100.00</w:t>
            </w:r>
          </w:p>
        </w:tc>
        <w:tc>
          <w:tcPr>
            <w:tcW w:w="1350" w:type="dxa"/>
            <w:gridSpan w:val="3"/>
          </w:tcPr>
          <w:p w:rsidR="003F5784" w14:paraId="47B348D4" w14:textId="77777777">
            <w:pPr>
              <w:pStyle w:val="TableParagraph"/>
              <w:ind w:left="387"/>
              <w:jc w:val="left"/>
              <w:rPr>
                <w:sz w:val="21"/>
              </w:rPr>
            </w:pPr>
            <w:r>
              <w:rPr>
                <w:spacing w:val="-2"/>
                <w:sz w:val="21"/>
              </w:rPr>
              <w:t>2,000</w:t>
            </w:r>
          </w:p>
        </w:tc>
        <w:tc>
          <w:tcPr>
            <w:tcW w:w="1170" w:type="dxa"/>
          </w:tcPr>
          <w:p w:rsidR="003F5784" w14:paraId="43FDD564" w14:textId="77777777">
            <w:pPr>
              <w:pStyle w:val="TableParagraph"/>
              <w:ind w:left="463"/>
              <w:jc w:val="left"/>
              <w:rPr>
                <w:sz w:val="21"/>
              </w:rPr>
            </w:pPr>
            <w:r>
              <w:rPr>
                <w:spacing w:val="-4"/>
                <w:sz w:val="21"/>
              </w:rPr>
              <w:t>1.31</w:t>
            </w:r>
          </w:p>
        </w:tc>
        <w:tc>
          <w:tcPr>
            <w:tcW w:w="1800" w:type="dxa"/>
            <w:gridSpan w:val="3"/>
          </w:tcPr>
          <w:p w:rsidR="003F5784" w14:paraId="7BF03823" w14:textId="77777777">
            <w:pPr>
              <w:pStyle w:val="TableParagraph"/>
              <w:ind w:right="22"/>
              <w:jc w:val="center"/>
              <w:rPr>
                <w:sz w:val="21"/>
              </w:rPr>
            </w:pPr>
            <w:r>
              <w:rPr>
                <w:spacing w:val="-2"/>
                <w:sz w:val="21"/>
              </w:rPr>
              <w:t>92.70</w:t>
            </w:r>
          </w:p>
        </w:tc>
        <w:tc>
          <w:tcPr>
            <w:tcW w:w="1710" w:type="dxa"/>
            <w:gridSpan w:val="2"/>
          </w:tcPr>
          <w:p w:rsidR="003F5784" w14:paraId="49A69C9D" w14:textId="77777777">
            <w:pPr>
              <w:pStyle w:val="TableParagraph"/>
              <w:ind w:right="118"/>
              <w:rPr>
                <w:sz w:val="21"/>
              </w:rPr>
            </w:pPr>
            <w:r>
              <w:rPr>
                <w:spacing w:val="-2"/>
                <w:sz w:val="21"/>
              </w:rPr>
              <w:t>13.47</w:t>
            </w:r>
          </w:p>
        </w:tc>
      </w:tr>
      <w:tr w14:paraId="12DA7B2B"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144BD9F3" w14:textId="77777777">
            <w:pPr>
              <w:pStyle w:val="TableParagraph"/>
              <w:ind w:left="120"/>
              <w:jc w:val="left"/>
              <w:rPr>
                <w:sz w:val="21"/>
              </w:rPr>
            </w:pPr>
            <w:r>
              <w:rPr>
                <w:spacing w:val="-2"/>
                <w:sz w:val="21"/>
              </w:rPr>
              <w:t>Missouri</w:t>
            </w:r>
          </w:p>
        </w:tc>
        <w:tc>
          <w:tcPr>
            <w:tcW w:w="1359" w:type="dxa"/>
          </w:tcPr>
          <w:p w:rsidR="003F5784" w14:paraId="3CF4FF7E" w14:textId="77777777">
            <w:pPr>
              <w:pStyle w:val="TableParagraph"/>
              <w:ind w:right="738"/>
              <w:rPr>
                <w:sz w:val="21"/>
              </w:rPr>
            </w:pPr>
            <w:r>
              <w:rPr>
                <w:spacing w:val="-5"/>
                <w:sz w:val="21"/>
              </w:rPr>
              <w:t>100</w:t>
            </w:r>
          </w:p>
        </w:tc>
        <w:tc>
          <w:tcPr>
            <w:tcW w:w="2070" w:type="dxa"/>
            <w:gridSpan w:val="2"/>
          </w:tcPr>
          <w:p w:rsidR="003F5784" w14:paraId="1DFA51CD" w14:textId="77777777">
            <w:pPr>
              <w:pStyle w:val="TableParagraph"/>
              <w:ind w:left="159" w:right="112"/>
              <w:jc w:val="center"/>
              <w:rPr>
                <w:sz w:val="21"/>
              </w:rPr>
            </w:pPr>
            <w:r>
              <w:rPr>
                <w:spacing w:val="-2"/>
                <w:sz w:val="21"/>
              </w:rPr>
              <w:t>100.00</w:t>
            </w:r>
          </w:p>
        </w:tc>
        <w:tc>
          <w:tcPr>
            <w:tcW w:w="1980" w:type="dxa"/>
            <w:gridSpan w:val="2"/>
          </w:tcPr>
          <w:p w:rsidR="003F5784" w14:paraId="2720F4D3" w14:textId="77777777">
            <w:pPr>
              <w:pStyle w:val="TableParagraph"/>
              <w:ind w:right="386"/>
              <w:rPr>
                <w:sz w:val="21"/>
              </w:rPr>
            </w:pPr>
            <w:r>
              <w:rPr>
                <w:spacing w:val="-2"/>
                <w:sz w:val="21"/>
              </w:rPr>
              <w:t>100.00</w:t>
            </w:r>
          </w:p>
        </w:tc>
        <w:tc>
          <w:tcPr>
            <w:tcW w:w="1350" w:type="dxa"/>
            <w:gridSpan w:val="3"/>
          </w:tcPr>
          <w:p w:rsidR="003F5784" w14:paraId="365D03D7" w14:textId="77777777">
            <w:pPr>
              <w:pStyle w:val="TableParagraph"/>
              <w:ind w:left="387"/>
              <w:jc w:val="left"/>
              <w:rPr>
                <w:sz w:val="21"/>
              </w:rPr>
            </w:pPr>
            <w:r>
              <w:rPr>
                <w:spacing w:val="-2"/>
                <w:sz w:val="21"/>
              </w:rPr>
              <w:t>2,000</w:t>
            </w:r>
          </w:p>
        </w:tc>
        <w:tc>
          <w:tcPr>
            <w:tcW w:w="1170" w:type="dxa"/>
          </w:tcPr>
          <w:p w:rsidR="003F5784" w14:paraId="296929FF" w14:textId="77777777">
            <w:pPr>
              <w:pStyle w:val="TableParagraph"/>
              <w:ind w:left="463"/>
              <w:jc w:val="left"/>
              <w:rPr>
                <w:sz w:val="21"/>
              </w:rPr>
            </w:pPr>
            <w:r>
              <w:rPr>
                <w:spacing w:val="-4"/>
                <w:sz w:val="21"/>
              </w:rPr>
              <w:t>0.84</w:t>
            </w:r>
          </w:p>
        </w:tc>
        <w:tc>
          <w:tcPr>
            <w:tcW w:w="1800" w:type="dxa"/>
            <w:gridSpan w:val="3"/>
          </w:tcPr>
          <w:p w:rsidR="003F5784" w14:paraId="427CDBC7" w14:textId="77777777">
            <w:pPr>
              <w:pStyle w:val="TableParagraph"/>
              <w:ind w:right="22"/>
              <w:jc w:val="center"/>
              <w:rPr>
                <w:sz w:val="21"/>
              </w:rPr>
            </w:pPr>
            <w:r>
              <w:rPr>
                <w:spacing w:val="-2"/>
                <w:sz w:val="21"/>
              </w:rPr>
              <w:t>93.38</w:t>
            </w:r>
          </w:p>
        </w:tc>
        <w:tc>
          <w:tcPr>
            <w:tcW w:w="1710" w:type="dxa"/>
            <w:gridSpan w:val="2"/>
          </w:tcPr>
          <w:p w:rsidR="003F5784" w14:paraId="4B08275A" w14:textId="77777777">
            <w:pPr>
              <w:pStyle w:val="TableParagraph"/>
              <w:ind w:right="118"/>
              <w:rPr>
                <w:sz w:val="21"/>
              </w:rPr>
            </w:pPr>
            <w:r>
              <w:rPr>
                <w:spacing w:val="-2"/>
                <w:sz w:val="21"/>
              </w:rPr>
              <w:t>12.72</w:t>
            </w:r>
          </w:p>
        </w:tc>
      </w:tr>
      <w:tr w14:paraId="2AA31F49"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62B3E16F" w14:textId="77777777">
            <w:pPr>
              <w:pStyle w:val="TableParagraph"/>
              <w:ind w:left="120"/>
              <w:jc w:val="left"/>
              <w:rPr>
                <w:sz w:val="21"/>
              </w:rPr>
            </w:pPr>
            <w:r>
              <w:rPr>
                <w:spacing w:val="-2"/>
                <w:sz w:val="21"/>
              </w:rPr>
              <w:t>Montana</w:t>
            </w:r>
          </w:p>
        </w:tc>
        <w:tc>
          <w:tcPr>
            <w:tcW w:w="1359" w:type="dxa"/>
          </w:tcPr>
          <w:p w:rsidR="003F5784" w14:paraId="29DC3DBC" w14:textId="77777777">
            <w:pPr>
              <w:pStyle w:val="TableParagraph"/>
              <w:ind w:right="738"/>
              <w:rPr>
                <w:sz w:val="21"/>
              </w:rPr>
            </w:pPr>
            <w:r>
              <w:rPr>
                <w:spacing w:val="-5"/>
                <w:sz w:val="21"/>
              </w:rPr>
              <w:t>130</w:t>
            </w:r>
          </w:p>
        </w:tc>
        <w:tc>
          <w:tcPr>
            <w:tcW w:w="2070" w:type="dxa"/>
            <w:gridSpan w:val="2"/>
          </w:tcPr>
          <w:p w:rsidR="003F5784" w14:paraId="01392A0C" w14:textId="77777777">
            <w:pPr>
              <w:pStyle w:val="TableParagraph"/>
              <w:ind w:left="159" w:right="8"/>
              <w:jc w:val="center"/>
              <w:rPr>
                <w:sz w:val="21"/>
              </w:rPr>
            </w:pPr>
            <w:r>
              <w:rPr>
                <w:spacing w:val="-2"/>
                <w:sz w:val="21"/>
              </w:rPr>
              <w:t>99.95</w:t>
            </w:r>
          </w:p>
        </w:tc>
        <w:tc>
          <w:tcPr>
            <w:tcW w:w="1980" w:type="dxa"/>
            <w:gridSpan w:val="2"/>
          </w:tcPr>
          <w:p w:rsidR="003F5784" w14:paraId="090EAC2F" w14:textId="77777777">
            <w:pPr>
              <w:pStyle w:val="TableParagraph"/>
              <w:ind w:right="386"/>
              <w:rPr>
                <w:sz w:val="21"/>
              </w:rPr>
            </w:pPr>
            <w:r>
              <w:rPr>
                <w:spacing w:val="-2"/>
                <w:sz w:val="21"/>
              </w:rPr>
              <w:t>98.56</w:t>
            </w:r>
          </w:p>
        </w:tc>
        <w:tc>
          <w:tcPr>
            <w:tcW w:w="1350" w:type="dxa"/>
            <w:gridSpan w:val="3"/>
          </w:tcPr>
          <w:p w:rsidR="003F5784" w14:paraId="12F045CB" w14:textId="77777777">
            <w:pPr>
              <w:pStyle w:val="TableParagraph"/>
              <w:ind w:left="387"/>
              <w:jc w:val="left"/>
              <w:rPr>
                <w:sz w:val="21"/>
              </w:rPr>
            </w:pPr>
            <w:r>
              <w:rPr>
                <w:spacing w:val="-2"/>
                <w:sz w:val="21"/>
              </w:rPr>
              <w:t>2,000</w:t>
            </w:r>
          </w:p>
        </w:tc>
        <w:tc>
          <w:tcPr>
            <w:tcW w:w="1170" w:type="dxa"/>
          </w:tcPr>
          <w:p w:rsidR="003F5784" w14:paraId="26B23D00" w14:textId="77777777">
            <w:pPr>
              <w:pStyle w:val="TableParagraph"/>
              <w:ind w:left="463"/>
              <w:jc w:val="left"/>
              <w:rPr>
                <w:sz w:val="21"/>
              </w:rPr>
            </w:pPr>
            <w:r>
              <w:rPr>
                <w:spacing w:val="-4"/>
                <w:sz w:val="21"/>
              </w:rPr>
              <w:t>1.32</w:t>
            </w:r>
          </w:p>
        </w:tc>
        <w:tc>
          <w:tcPr>
            <w:tcW w:w="1800" w:type="dxa"/>
            <w:gridSpan w:val="3"/>
          </w:tcPr>
          <w:p w:rsidR="003F5784" w14:paraId="1EDAE655" w14:textId="77777777">
            <w:pPr>
              <w:pStyle w:val="TableParagraph"/>
              <w:ind w:right="22"/>
              <w:jc w:val="center"/>
              <w:rPr>
                <w:sz w:val="21"/>
              </w:rPr>
            </w:pPr>
            <w:r>
              <w:rPr>
                <w:spacing w:val="-2"/>
                <w:sz w:val="21"/>
              </w:rPr>
              <w:t>89.73</w:t>
            </w:r>
          </w:p>
        </w:tc>
        <w:tc>
          <w:tcPr>
            <w:tcW w:w="1710" w:type="dxa"/>
            <w:gridSpan w:val="2"/>
          </w:tcPr>
          <w:p w:rsidR="003F5784" w14:paraId="4EC304FC" w14:textId="77777777">
            <w:pPr>
              <w:pStyle w:val="TableParagraph"/>
              <w:ind w:right="118"/>
              <w:rPr>
                <w:sz w:val="21"/>
              </w:rPr>
            </w:pPr>
            <w:r>
              <w:rPr>
                <w:spacing w:val="-2"/>
                <w:sz w:val="21"/>
              </w:rPr>
              <w:t>11.56</w:t>
            </w:r>
          </w:p>
        </w:tc>
      </w:tr>
      <w:tr w14:paraId="6E84B71A"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4EF40CAF" w14:textId="77777777">
            <w:pPr>
              <w:pStyle w:val="TableParagraph"/>
              <w:ind w:left="120"/>
              <w:jc w:val="left"/>
              <w:rPr>
                <w:sz w:val="21"/>
              </w:rPr>
            </w:pPr>
            <w:r>
              <w:rPr>
                <w:spacing w:val="-2"/>
                <w:sz w:val="21"/>
              </w:rPr>
              <w:t>Nebraska</w:t>
            </w:r>
          </w:p>
        </w:tc>
        <w:tc>
          <w:tcPr>
            <w:tcW w:w="1359" w:type="dxa"/>
          </w:tcPr>
          <w:p w:rsidR="003F5784" w14:paraId="03977543" w14:textId="77777777">
            <w:pPr>
              <w:pStyle w:val="TableParagraph"/>
              <w:ind w:right="738"/>
              <w:rPr>
                <w:sz w:val="21"/>
              </w:rPr>
            </w:pPr>
            <w:r>
              <w:rPr>
                <w:spacing w:val="-5"/>
                <w:sz w:val="21"/>
              </w:rPr>
              <w:t>100</w:t>
            </w:r>
          </w:p>
        </w:tc>
        <w:tc>
          <w:tcPr>
            <w:tcW w:w="2070" w:type="dxa"/>
            <w:gridSpan w:val="2"/>
          </w:tcPr>
          <w:p w:rsidR="003F5784" w14:paraId="647A3D17" w14:textId="77777777">
            <w:pPr>
              <w:pStyle w:val="TableParagraph"/>
              <w:ind w:left="159" w:right="112"/>
              <w:jc w:val="center"/>
              <w:rPr>
                <w:sz w:val="21"/>
              </w:rPr>
            </w:pPr>
            <w:r>
              <w:rPr>
                <w:spacing w:val="-2"/>
                <w:sz w:val="21"/>
              </w:rPr>
              <w:t>100.00</w:t>
            </w:r>
          </w:p>
        </w:tc>
        <w:tc>
          <w:tcPr>
            <w:tcW w:w="1980" w:type="dxa"/>
            <w:gridSpan w:val="2"/>
          </w:tcPr>
          <w:p w:rsidR="003F5784" w14:paraId="40868C93" w14:textId="77777777">
            <w:pPr>
              <w:pStyle w:val="TableParagraph"/>
              <w:ind w:right="386"/>
              <w:rPr>
                <w:sz w:val="21"/>
              </w:rPr>
            </w:pPr>
            <w:r>
              <w:rPr>
                <w:spacing w:val="-2"/>
                <w:sz w:val="21"/>
              </w:rPr>
              <w:t>100.00</w:t>
            </w:r>
          </w:p>
        </w:tc>
        <w:tc>
          <w:tcPr>
            <w:tcW w:w="1350" w:type="dxa"/>
            <w:gridSpan w:val="3"/>
          </w:tcPr>
          <w:p w:rsidR="003F5784" w14:paraId="04CBA87D" w14:textId="77777777">
            <w:pPr>
              <w:pStyle w:val="TableParagraph"/>
              <w:ind w:left="387"/>
              <w:jc w:val="left"/>
              <w:rPr>
                <w:sz w:val="21"/>
              </w:rPr>
            </w:pPr>
            <w:r>
              <w:rPr>
                <w:spacing w:val="-2"/>
                <w:sz w:val="21"/>
              </w:rPr>
              <w:t>2,000</w:t>
            </w:r>
          </w:p>
        </w:tc>
        <w:tc>
          <w:tcPr>
            <w:tcW w:w="1170" w:type="dxa"/>
          </w:tcPr>
          <w:p w:rsidR="003F5784" w14:paraId="140B8906" w14:textId="77777777">
            <w:pPr>
              <w:pStyle w:val="TableParagraph"/>
              <w:ind w:left="463"/>
              <w:jc w:val="left"/>
              <w:rPr>
                <w:sz w:val="21"/>
              </w:rPr>
            </w:pPr>
            <w:r>
              <w:rPr>
                <w:spacing w:val="-4"/>
                <w:sz w:val="21"/>
              </w:rPr>
              <w:t>1.29</w:t>
            </w:r>
          </w:p>
        </w:tc>
        <w:tc>
          <w:tcPr>
            <w:tcW w:w="1800" w:type="dxa"/>
            <w:gridSpan w:val="3"/>
          </w:tcPr>
          <w:p w:rsidR="003F5784" w14:paraId="199454D8" w14:textId="77777777">
            <w:pPr>
              <w:pStyle w:val="TableParagraph"/>
              <w:ind w:right="22"/>
              <w:jc w:val="center"/>
              <w:rPr>
                <w:sz w:val="21"/>
              </w:rPr>
            </w:pPr>
            <w:r>
              <w:rPr>
                <w:spacing w:val="-2"/>
                <w:sz w:val="21"/>
              </w:rPr>
              <w:t>94.33</w:t>
            </w:r>
          </w:p>
        </w:tc>
        <w:tc>
          <w:tcPr>
            <w:tcW w:w="1710" w:type="dxa"/>
            <w:gridSpan w:val="2"/>
          </w:tcPr>
          <w:p w:rsidR="003F5784" w14:paraId="6A8795A4" w14:textId="77777777">
            <w:pPr>
              <w:pStyle w:val="TableParagraph"/>
              <w:ind w:right="118"/>
              <w:rPr>
                <w:sz w:val="21"/>
              </w:rPr>
            </w:pPr>
            <w:r>
              <w:rPr>
                <w:spacing w:val="-2"/>
                <w:sz w:val="21"/>
              </w:rPr>
              <w:t>14.01</w:t>
            </w:r>
          </w:p>
        </w:tc>
      </w:tr>
      <w:tr w14:paraId="7254C64B"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74714A51" w14:textId="77777777">
            <w:pPr>
              <w:pStyle w:val="TableParagraph"/>
              <w:ind w:left="120"/>
              <w:jc w:val="left"/>
              <w:rPr>
                <w:sz w:val="21"/>
              </w:rPr>
            </w:pPr>
            <w:r>
              <w:rPr>
                <w:spacing w:val="-2"/>
                <w:sz w:val="21"/>
              </w:rPr>
              <w:t>Nevada</w:t>
            </w:r>
          </w:p>
        </w:tc>
        <w:tc>
          <w:tcPr>
            <w:tcW w:w="1359" w:type="dxa"/>
          </w:tcPr>
          <w:p w:rsidR="003F5784" w14:paraId="393CF897" w14:textId="77777777">
            <w:pPr>
              <w:pStyle w:val="TableParagraph"/>
              <w:ind w:right="738"/>
              <w:rPr>
                <w:sz w:val="21"/>
              </w:rPr>
            </w:pPr>
            <w:r>
              <w:rPr>
                <w:spacing w:val="-5"/>
                <w:sz w:val="21"/>
              </w:rPr>
              <w:t>100</w:t>
            </w:r>
          </w:p>
        </w:tc>
        <w:tc>
          <w:tcPr>
            <w:tcW w:w="2070" w:type="dxa"/>
            <w:gridSpan w:val="2"/>
          </w:tcPr>
          <w:p w:rsidR="003F5784" w14:paraId="731999BC" w14:textId="77777777">
            <w:pPr>
              <w:pStyle w:val="TableParagraph"/>
              <w:ind w:left="159" w:right="112"/>
              <w:jc w:val="center"/>
              <w:rPr>
                <w:sz w:val="21"/>
              </w:rPr>
            </w:pPr>
            <w:r>
              <w:rPr>
                <w:spacing w:val="-2"/>
                <w:sz w:val="21"/>
              </w:rPr>
              <w:t>100.00</w:t>
            </w:r>
          </w:p>
        </w:tc>
        <w:tc>
          <w:tcPr>
            <w:tcW w:w="1980" w:type="dxa"/>
            <w:gridSpan w:val="2"/>
          </w:tcPr>
          <w:p w:rsidR="003F5784" w14:paraId="382BBC2E" w14:textId="77777777">
            <w:pPr>
              <w:pStyle w:val="TableParagraph"/>
              <w:ind w:right="386"/>
              <w:rPr>
                <w:sz w:val="21"/>
              </w:rPr>
            </w:pPr>
            <w:r>
              <w:rPr>
                <w:spacing w:val="-2"/>
                <w:sz w:val="21"/>
              </w:rPr>
              <w:t>100.00</w:t>
            </w:r>
          </w:p>
        </w:tc>
        <w:tc>
          <w:tcPr>
            <w:tcW w:w="1350" w:type="dxa"/>
            <w:gridSpan w:val="3"/>
          </w:tcPr>
          <w:p w:rsidR="003F5784" w14:paraId="00DF065C" w14:textId="77777777">
            <w:pPr>
              <w:pStyle w:val="TableParagraph"/>
              <w:ind w:left="387"/>
              <w:jc w:val="left"/>
              <w:rPr>
                <w:sz w:val="21"/>
              </w:rPr>
            </w:pPr>
            <w:r>
              <w:rPr>
                <w:spacing w:val="-2"/>
                <w:sz w:val="21"/>
              </w:rPr>
              <w:t>2,300</w:t>
            </w:r>
          </w:p>
        </w:tc>
        <w:tc>
          <w:tcPr>
            <w:tcW w:w="1170" w:type="dxa"/>
          </w:tcPr>
          <w:p w:rsidR="003F5784" w14:paraId="07039C24" w14:textId="77777777">
            <w:pPr>
              <w:pStyle w:val="TableParagraph"/>
              <w:ind w:left="463"/>
              <w:jc w:val="left"/>
              <w:rPr>
                <w:sz w:val="21"/>
              </w:rPr>
            </w:pPr>
            <w:r>
              <w:rPr>
                <w:spacing w:val="-4"/>
                <w:sz w:val="21"/>
              </w:rPr>
              <w:t>1.52</w:t>
            </w:r>
          </w:p>
        </w:tc>
        <w:tc>
          <w:tcPr>
            <w:tcW w:w="1800" w:type="dxa"/>
            <w:gridSpan w:val="3"/>
          </w:tcPr>
          <w:p w:rsidR="003F5784" w14:paraId="3089C4B5" w14:textId="77777777">
            <w:pPr>
              <w:pStyle w:val="TableParagraph"/>
              <w:ind w:right="22"/>
              <w:jc w:val="center"/>
              <w:rPr>
                <w:sz w:val="21"/>
              </w:rPr>
            </w:pPr>
            <w:r>
              <w:rPr>
                <w:spacing w:val="-2"/>
                <w:sz w:val="21"/>
              </w:rPr>
              <w:t>91.47</w:t>
            </w:r>
          </w:p>
        </w:tc>
        <w:tc>
          <w:tcPr>
            <w:tcW w:w="1710" w:type="dxa"/>
            <w:gridSpan w:val="2"/>
          </w:tcPr>
          <w:p w:rsidR="003F5784" w14:paraId="304C1880" w14:textId="77777777">
            <w:pPr>
              <w:pStyle w:val="TableParagraph"/>
              <w:ind w:right="118"/>
              <w:rPr>
                <w:sz w:val="21"/>
              </w:rPr>
            </w:pPr>
            <w:r>
              <w:rPr>
                <w:spacing w:val="-4"/>
                <w:sz w:val="21"/>
              </w:rPr>
              <w:t>7.40</w:t>
            </w:r>
          </w:p>
        </w:tc>
      </w:tr>
      <w:tr w14:paraId="036D35B7"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394820FF" w14:textId="77777777">
            <w:pPr>
              <w:pStyle w:val="TableParagraph"/>
              <w:ind w:left="120"/>
              <w:jc w:val="left"/>
              <w:rPr>
                <w:sz w:val="21"/>
              </w:rPr>
            </w:pPr>
            <w:r>
              <w:rPr>
                <w:sz w:val="21"/>
              </w:rPr>
              <w:t>New</w:t>
            </w:r>
            <w:r>
              <w:rPr>
                <w:spacing w:val="-5"/>
                <w:sz w:val="21"/>
              </w:rPr>
              <w:t xml:space="preserve"> </w:t>
            </w:r>
            <w:r>
              <w:rPr>
                <w:spacing w:val="-2"/>
                <w:sz w:val="21"/>
              </w:rPr>
              <w:t>Hampshire</w:t>
            </w:r>
          </w:p>
        </w:tc>
        <w:tc>
          <w:tcPr>
            <w:tcW w:w="1359" w:type="dxa"/>
          </w:tcPr>
          <w:p w:rsidR="003F5784" w14:paraId="1F26AE88" w14:textId="77777777">
            <w:pPr>
              <w:pStyle w:val="TableParagraph"/>
              <w:ind w:right="738"/>
              <w:rPr>
                <w:sz w:val="21"/>
              </w:rPr>
            </w:pPr>
            <w:r>
              <w:rPr>
                <w:spacing w:val="-5"/>
                <w:sz w:val="21"/>
              </w:rPr>
              <w:t>100</w:t>
            </w:r>
          </w:p>
        </w:tc>
        <w:tc>
          <w:tcPr>
            <w:tcW w:w="2070" w:type="dxa"/>
            <w:gridSpan w:val="2"/>
          </w:tcPr>
          <w:p w:rsidR="003F5784" w14:paraId="2A024D5B" w14:textId="77777777">
            <w:pPr>
              <w:pStyle w:val="TableParagraph"/>
              <w:ind w:left="159" w:right="8"/>
              <w:jc w:val="center"/>
              <w:rPr>
                <w:sz w:val="21"/>
              </w:rPr>
            </w:pPr>
            <w:r>
              <w:rPr>
                <w:spacing w:val="-2"/>
                <w:sz w:val="21"/>
              </w:rPr>
              <w:t>99.15</w:t>
            </w:r>
          </w:p>
        </w:tc>
        <w:tc>
          <w:tcPr>
            <w:tcW w:w="1980" w:type="dxa"/>
            <w:gridSpan w:val="2"/>
          </w:tcPr>
          <w:p w:rsidR="003F5784" w14:paraId="355E6D82" w14:textId="77777777">
            <w:pPr>
              <w:pStyle w:val="TableParagraph"/>
              <w:ind w:right="386"/>
              <w:rPr>
                <w:sz w:val="21"/>
              </w:rPr>
            </w:pPr>
            <w:r>
              <w:rPr>
                <w:spacing w:val="-2"/>
                <w:sz w:val="21"/>
              </w:rPr>
              <w:t>98.79</w:t>
            </w:r>
          </w:p>
        </w:tc>
        <w:tc>
          <w:tcPr>
            <w:tcW w:w="1350" w:type="dxa"/>
            <w:gridSpan w:val="3"/>
          </w:tcPr>
          <w:p w:rsidR="003F5784" w14:paraId="029BD8B7" w14:textId="77777777">
            <w:pPr>
              <w:pStyle w:val="TableParagraph"/>
              <w:ind w:left="387"/>
              <w:jc w:val="left"/>
              <w:rPr>
                <w:sz w:val="21"/>
              </w:rPr>
            </w:pPr>
            <w:r>
              <w:rPr>
                <w:spacing w:val="-2"/>
                <w:sz w:val="21"/>
              </w:rPr>
              <w:t>2,000</w:t>
            </w:r>
          </w:p>
        </w:tc>
        <w:tc>
          <w:tcPr>
            <w:tcW w:w="1170" w:type="dxa"/>
          </w:tcPr>
          <w:p w:rsidR="003F5784" w14:paraId="2FD598B5" w14:textId="77777777">
            <w:pPr>
              <w:pStyle w:val="TableParagraph"/>
              <w:ind w:left="463"/>
              <w:jc w:val="left"/>
              <w:rPr>
                <w:sz w:val="21"/>
              </w:rPr>
            </w:pPr>
            <w:r>
              <w:rPr>
                <w:spacing w:val="-4"/>
                <w:sz w:val="21"/>
              </w:rPr>
              <w:t>1.15</w:t>
            </w:r>
          </w:p>
        </w:tc>
        <w:tc>
          <w:tcPr>
            <w:tcW w:w="1800" w:type="dxa"/>
            <w:gridSpan w:val="3"/>
          </w:tcPr>
          <w:p w:rsidR="003F5784" w14:paraId="30502263" w14:textId="77777777">
            <w:pPr>
              <w:pStyle w:val="TableParagraph"/>
              <w:ind w:right="22"/>
              <w:jc w:val="center"/>
              <w:rPr>
                <w:sz w:val="21"/>
              </w:rPr>
            </w:pPr>
            <w:r>
              <w:rPr>
                <w:spacing w:val="-2"/>
                <w:sz w:val="21"/>
              </w:rPr>
              <w:t>87.70</w:t>
            </w:r>
          </w:p>
        </w:tc>
        <w:tc>
          <w:tcPr>
            <w:tcW w:w="1710" w:type="dxa"/>
            <w:gridSpan w:val="2"/>
          </w:tcPr>
          <w:p w:rsidR="003F5784" w14:paraId="0D43F726" w14:textId="77777777">
            <w:pPr>
              <w:pStyle w:val="TableParagraph"/>
              <w:ind w:right="118"/>
              <w:rPr>
                <w:sz w:val="21"/>
              </w:rPr>
            </w:pPr>
            <w:r>
              <w:rPr>
                <w:spacing w:val="-2"/>
                <w:sz w:val="21"/>
              </w:rPr>
              <w:t>16.10</w:t>
            </w:r>
          </w:p>
        </w:tc>
      </w:tr>
      <w:tr w14:paraId="563847CC"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0FB256D8" w14:textId="77777777">
            <w:pPr>
              <w:pStyle w:val="TableParagraph"/>
              <w:ind w:left="120"/>
              <w:jc w:val="left"/>
              <w:rPr>
                <w:sz w:val="21"/>
              </w:rPr>
            </w:pPr>
            <w:r>
              <w:rPr>
                <w:sz w:val="21"/>
              </w:rPr>
              <w:t>New</w:t>
            </w:r>
            <w:r>
              <w:rPr>
                <w:spacing w:val="-5"/>
                <w:sz w:val="21"/>
              </w:rPr>
              <w:t xml:space="preserve"> </w:t>
            </w:r>
            <w:r>
              <w:rPr>
                <w:spacing w:val="-2"/>
                <w:sz w:val="21"/>
              </w:rPr>
              <w:t>Jersey</w:t>
            </w:r>
          </w:p>
        </w:tc>
        <w:tc>
          <w:tcPr>
            <w:tcW w:w="1359" w:type="dxa"/>
          </w:tcPr>
          <w:p w:rsidR="003F5784" w14:paraId="47BA5A22" w14:textId="77777777">
            <w:pPr>
              <w:pStyle w:val="TableParagraph"/>
              <w:ind w:right="738"/>
              <w:rPr>
                <w:sz w:val="21"/>
              </w:rPr>
            </w:pPr>
            <w:r>
              <w:rPr>
                <w:spacing w:val="-5"/>
                <w:sz w:val="21"/>
              </w:rPr>
              <w:t>90</w:t>
            </w:r>
          </w:p>
        </w:tc>
        <w:tc>
          <w:tcPr>
            <w:tcW w:w="2070" w:type="dxa"/>
            <w:gridSpan w:val="2"/>
          </w:tcPr>
          <w:p w:rsidR="003F5784" w14:paraId="5320B6FF" w14:textId="77777777">
            <w:pPr>
              <w:pStyle w:val="TableParagraph"/>
              <w:ind w:left="159" w:right="8"/>
              <w:jc w:val="center"/>
              <w:rPr>
                <w:sz w:val="21"/>
              </w:rPr>
            </w:pPr>
            <w:r>
              <w:rPr>
                <w:spacing w:val="-2"/>
                <w:sz w:val="21"/>
              </w:rPr>
              <w:t>98.72</w:t>
            </w:r>
          </w:p>
        </w:tc>
        <w:tc>
          <w:tcPr>
            <w:tcW w:w="1980" w:type="dxa"/>
            <w:gridSpan w:val="2"/>
          </w:tcPr>
          <w:p w:rsidR="003F5784" w14:paraId="29193D03" w14:textId="77777777">
            <w:pPr>
              <w:pStyle w:val="TableParagraph"/>
              <w:ind w:right="386"/>
              <w:rPr>
                <w:sz w:val="21"/>
              </w:rPr>
            </w:pPr>
            <w:r>
              <w:rPr>
                <w:spacing w:val="-2"/>
                <w:sz w:val="21"/>
              </w:rPr>
              <w:t>98.91</w:t>
            </w:r>
          </w:p>
        </w:tc>
        <w:tc>
          <w:tcPr>
            <w:tcW w:w="1350" w:type="dxa"/>
            <w:gridSpan w:val="3"/>
          </w:tcPr>
          <w:p w:rsidR="003F5784" w14:paraId="484676E7" w14:textId="77777777">
            <w:pPr>
              <w:pStyle w:val="TableParagraph"/>
              <w:ind w:left="387"/>
              <w:jc w:val="left"/>
              <w:rPr>
                <w:sz w:val="21"/>
              </w:rPr>
            </w:pPr>
            <w:r>
              <w:rPr>
                <w:spacing w:val="-2"/>
                <w:sz w:val="21"/>
              </w:rPr>
              <w:t>1,900</w:t>
            </w:r>
          </w:p>
        </w:tc>
        <w:tc>
          <w:tcPr>
            <w:tcW w:w="1170" w:type="dxa"/>
          </w:tcPr>
          <w:p w:rsidR="003F5784" w14:paraId="524C5B73" w14:textId="77777777">
            <w:pPr>
              <w:pStyle w:val="TableParagraph"/>
              <w:ind w:left="463"/>
              <w:jc w:val="left"/>
              <w:rPr>
                <w:sz w:val="21"/>
              </w:rPr>
            </w:pPr>
            <w:r>
              <w:rPr>
                <w:spacing w:val="-4"/>
                <w:sz w:val="21"/>
              </w:rPr>
              <w:t>2.84</w:t>
            </w:r>
          </w:p>
        </w:tc>
        <w:tc>
          <w:tcPr>
            <w:tcW w:w="1800" w:type="dxa"/>
            <w:gridSpan w:val="3"/>
          </w:tcPr>
          <w:p w:rsidR="003F5784" w14:paraId="565D3B52" w14:textId="77777777">
            <w:pPr>
              <w:pStyle w:val="TableParagraph"/>
              <w:ind w:right="22"/>
              <w:jc w:val="center"/>
              <w:rPr>
                <w:sz w:val="21"/>
              </w:rPr>
            </w:pPr>
            <w:r>
              <w:rPr>
                <w:spacing w:val="-2"/>
                <w:sz w:val="21"/>
              </w:rPr>
              <w:t>91.90</w:t>
            </w:r>
          </w:p>
        </w:tc>
        <w:tc>
          <w:tcPr>
            <w:tcW w:w="1710" w:type="dxa"/>
            <w:gridSpan w:val="2"/>
          </w:tcPr>
          <w:p w:rsidR="003F5784" w14:paraId="51B98BE2" w14:textId="77777777">
            <w:pPr>
              <w:pStyle w:val="TableParagraph"/>
              <w:ind w:right="118"/>
              <w:rPr>
                <w:sz w:val="21"/>
              </w:rPr>
            </w:pPr>
            <w:r>
              <w:rPr>
                <w:spacing w:val="-2"/>
                <w:sz w:val="21"/>
              </w:rPr>
              <w:t>19.03</w:t>
            </w:r>
          </w:p>
        </w:tc>
      </w:tr>
      <w:tr w14:paraId="6679F751"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48275020" w14:textId="77777777">
            <w:pPr>
              <w:pStyle w:val="TableParagraph"/>
              <w:ind w:left="120"/>
              <w:jc w:val="left"/>
              <w:rPr>
                <w:sz w:val="21"/>
              </w:rPr>
            </w:pPr>
            <w:r>
              <w:rPr>
                <w:sz w:val="21"/>
              </w:rPr>
              <w:t>New</w:t>
            </w:r>
            <w:r>
              <w:rPr>
                <w:spacing w:val="-5"/>
                <w:sz w:val="21"/>
              </w:rPr>
              <w:t xml:space="preserve"> </w:t>
            </w:r>
            <w:r>
              <w:rPr>
                <w:spacing w:val="-2"/>
                <w:sz w:val="21"/>
              </w:rPr>
              <w:t>Mexico</w:t>
            </w:r>
          </w:p>
        </w:tc>
        <w:tc>
          <w:tcPr>
            <w:tcW w:w="1359" w:type="dxa"/>
          </w:tcPr>
          <w:p w:rsidR="003F5784" w14:paraId="2739AE7F" w14:textId="77777777">
            <w:pPr>
              <w:pStyle w:val="TableParagraph"/>
              <w:ind w:right="738"/>
              <w:rPr>
                <w:sz w:val="21"/>
              </w:rPr>
            </w:pPr>
            <w:r>
              <w:rPr>
                <w:spacing w:val="-5"/>
                <w:sz w:val="21"/>
              </w:rPr>
              <w:t>120</w:t>
            </w:r>
          </w:p>
        </w:tc>
        <w:tc>
          <w:tcPr>
            <w:tcW w:w="2070" w:type="dxa"/>
            <w:gridSpan w:val="2"/>
          </w:tcPr>
          <w:p w:rsidR="003F5784" w14:paraId="6AE813ED" w14:textId="77777777">
            <w:pPr>
              <w:pStyle w:val="TableParagraph"/>
              <w:ind w:left="159" w:right="112"/>
              <w:jc w:val="center"/>
              <w:rPr>
                <w:sz w:val="21"/>
              </w:rPr>
            </w:pPr>
            <w:r>
              <w:rPr>
                <w:spacing w:val="-2"/>
                <w:sz w:val="21"/>
              </w:rPr>
              <w:t>100.00</w:t>
            </w:r>
          </w:p>
        </w:tc>
        <w:tc>
          <w:tcPr>
            <w:tcW w:w="1980" w:type="dxa"/>
            <w:gridSpan w:val="2"/>
          </w:tcPr>
          <w:p w:rsidR="003F5784" w14:paraId="64516A79" w14:textId="77777777">
            <w:pPr>
              <w:pStyle w:val="TableParagraph"/>
              <w:ind w:right="386"/>
              <w:rPr>
                <w:sz w:val="21"/>
              </w:rPr>
            </w:pPr>
            <w:r>
              <w:rPr>
                <w:spacing w:val="-2"/>
                <w:sz w:val="21"/>
              </w:rPr>
              <w:t>100.00</w:t>
            </w:r>
          </w:p>
        </w:tc>
        <w:tc>
          <w:tcPr>
            <w:tcW w:w="1350" w:type="dxa"/>
            <w:gridSpan w:val="3"/>
          </w:tcPr>
          <w:p w:rsidR="003F5784" w14:paraId="226E9C12" w14:textId="77777777">
            <w:pPr>
              <w:pStyle w:val="TableParagraph"/>
              <w:ind w:left="387"/>
              <w:jc w:val="left"/>
              <w:rPr>
                <w:sz w:val="21"/>
              </w:rPr>
            </w:pPr>
            <w:r>
              <w:rPr>
                <w:spacing w:val="-2"/>
                <w:sz w:val="21"/>
              </w:rPr>
              <w:t>2,400</w:t>
            </w:r>
          </w:p>
        </w:tc>
        <w:tc>
          <w:tcPr>
            <w:tcW w:w="1170" w:type="dxa"/>
          </w:tcPr>
          <w:p w:rsidR="003F5784" w14:paraId="0866188A" w14:textId="77777777">
            <w:pPr>
              <w:pStyle w:val="TableParagraph"/>
              <w:ind w:left="463"/>
              <w:jc w:val="left"/>
              <w:rPr>
                <w:sz w:val="21"/>
              </w:rPr>
            </w:pPr>
            <w:r>
              <w:rPr>
                <w:spacing w:val="-4"/>
                <w:sz w:val="21"/>
              </w:rPr>
              <w:t>1.38</w:t>
            </w:r>
          </w:p>
        </w:tc>
        <w:tc>
          <w:tcPr>
            <w:tcW w:w="1800" w:type="dxa"/>
            <w:gridSpan w:val="3"/>
          </w:tcPr>
          <w:p w:rsidR="003F5784" w14:paraId="4FC809DF" w14:textId="77777777">
            <w:pPr>
              <w:pStyle w:val="TableParagraph"/>
              <w:ind w:right="22"/>
              <w:jc w:val="center"/>
              <w:rPr>
                <w:sz w:val="21"/>
              </w:rPr>
            </w:pPr>
            <w:r>
              <w:rPr>
                <w:spacing w:val="-2"/>
                <w:sz w:val="21"/>
              </w:rPr>
              <w:t>91.03</w:t>
            </w:r>
          </w:p>
        </w:tc>
        <w:tc>
          <w:tcPr>
            <w:tcW w:w="1710" w:type="dxa"/>
            <w:gridSpan w:val="2"/>
          </w:tcPr>
          <w:p w:rsidR="003F5784" w14:paraId="482FA281" w14:textId="77777777">
            <w:pPr>
              <w:pStyle w:val="TableParagraph"/>
              <w:ind w:right="118"/>
              <w:rPr>
                <w:sz w:val="21"/>
              </w:rPr>
            </w:pPr>
            <w:r>
              <w:rPr>
                <w:spacing w:val="-2"/>
                <w:sz w:val="21"/>
              </w:rPr>
              <w:t>14.56</w:t>
            </w:r>
          </w:p>
        </w:tc>
      </w:tr>
      <w:tr w14:paraId="6BE52954"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7011D110" w14:textId="77777777">
            <w:pPr>
              <w:pStyle w:val="TableParagraph"/>
              <w:ind w:left="120"/>
              <w:jc w:val="left"/>
              <w:rPr>
                <w:sz w:val="21"/>
              </w:rPr>
            </w:pPr>
            <w:r>
              <w:rPr>
                <w:sz w:val="21"/>
              </w:rPr>
              <w:t>New</w:t>
            </w:r>
            <w:r>
              <w:rPr>
                <w:spacing w:val="-13"/>
                <w:sz w:val="21"/>
              </w:rPr>
              <w:t xml:space="preserve"> </w:t>
            </w:r>
            <w:r>
              <w:rPr>
                <w:spacing w:val="-4"/>
                <w:sz w:val="21"/>
              </w:rPr>
              <w:t>York</w:t>
            </w:r>
          </w:p>
        </w:tc>
        <w:tc>
          <w:tcPr>
            <w:tcW w:w="1359" w:type="dxa"/>
          </w:tcPr>
          <w:p w:rsidR="003F5784" w14:paraId="768E4F91" w14:textId="77777777">
            <w:pPr>
              <w:pStyle w:val="TableParagraph"/>
              <w:ind w:right="738"/>
              <w:rPr>
                <w:sz w:val="21"/>
              </w:rPr>
            </w:pPr>
            <w:r>
              <w:rPr>
                <w:spacing w:val="-5"/>
                <w:sz w:val="21"/>
              </w:rPr>
              <w:t>120</w:t>
            </w:r>
          </w:p>
        </w:tc>
        <w:tc>
          <w:tcPr>
            <w:tcW w:w="2070" w:type="dxa"/>
            <w:gridSpan w:val="2"/>
          </w:tcPr>
          <w:p w:rsidR="003F5784" w14:paraId="4C8F5826" w14:textId="77777777">
            <w:pPr>
              <w:pStyle w:val="TableParagraph"/>
              <w:ind w:left="159" w:right="8"/>
              <w:jc w:val="center"/>
              <w:rPr>
                <w:sz w:val="21"/>
              </w:rPr>
            </w:pPr>
            <w:r>
              <w:rPr>
                <w:spacing w:val="-2"/>
                <w:sz w:val="21"/>
              </w:rPr>
              <w:t>95.76</w:t>
            </w:r>
          </w:p>
        </w:tc>
        <w:tc>
          <w:tcPr>
            <w:tcW w:w="1980" w:type="dxa"/>
            <w:gridSpan w:val="2"/>
          </w:tcPr>
          <w:p w:rsidR="003F5784" w14:paraId="323587FE" w14:textId="77777777">
            <w:pPr>
              <w:pStyle w:val="TableParagraph"/>
              <w:ind w:right="386"/>
              <w:rPr>
                <w:sz w:val="21"/>
              </w:rPr>
            </w:pPr>
            <w:r>
              <w:rPr>
                <w:spacing w:val="-2"/>
                <w:sz w:val="21"/>
              </w:rPr>
              <w:t>95.82</w:t>
            </w:r>
          </w:p>
        </w:tc>
        <w:tc>
          <w:tcPr>
            <w:tcW w:w="1350" w:type="dxa"/>
            <w:gridSpan w:val="3"/>
          </w:tcPr>
          <w:p w:rsidR="003F5784" w14:paraId="4AAEDB1D" w14:textId="77777777">
            <w:pPr>
              <w:pStyle w:val="TableParagraph"/>
              <w:ind w:left="387"/>
              <w:jc w:val="left"/>
              <w:rPr>
                <w:sz w:val="21"/>
              </w:rPr>
            </w:pPr>
            <w:r>
              <w:rPr>
                <w:spacing w:val="-2"/>
                <w:sz w:val="21"/>
              </w:rPr>
              <w:t>2,700</w:t>
            </w:r>
          </w:p>
        </w:tc>
        <w:tc>
          <w:tcPr>
            <w:tcW w:w="1170" w:type="dxa"/>
          </w:tcPr>
          <w:p w:rsidR="003F5784" w14:paraId="3118B816" w14:textId="77777777">
            <w:pPr>
              <w:pStyle w:val="TableParagraph"/>
              <w:ind w:left="463"/>
              <w:jc w:val="left"/>
              <w:rPr>
                <w:sz w:val="21"/>
              </w:rPr>
            </w:pPr>
            <w:r>
              <w:rPr>
                <w:spacing w:val="-4"/>
                <w:sz w:val="21"/>
              </w:rPr>
              <w:t>2.23</w:t>
            </w:r>
          </w:p>
        </w:tc>
        <w:tc>
          <w:tcPr>
            <w:tcW w:w="1800" w:type="dxa"/>
            <w:gridSpan w:val="3"/>
          </w:tcPr>
          <w:p w:rsidR="003F5784" w14:paraId="1C5AE196" w14:textId="77777777">
            <w:pPr>
              <w:pStyle w:val="TableParagraph"/>
              <w:ind w:right="22"/>
              <w:jc w:val="center"/>
              <w:rPr>
                <w:sz w:val="21"/>
              </w:rPr>
            </w:pPr>
            <w:r>
              <w:rPr>
                <w:spacing w:val="-2"/>
                <w:sz w:val="21"/>
              </w:rPr>
              <w:t>86.57</w:t>
            </w:r>
          </w:p>
        </w:tc>
        <w:tc>
          <w:tcPr>
            <w:tcW w:w="1710" w:type="dxa"/>
            <w:gridSpan w:val="2"/>
          </w:tcPr>
          <w:p w:rsidR="003F5784" w14:paraId="658CF6CE" w14:textId="77777777">
            <w:pPr>
              <w:pStyle w:val="TableParagraph"/>
              <w:ind w:right="118"/>
              <w:rPr>
                <w:sz w:val="21"/>
              </w:rPr>
            </w:pPr>
            <w:r>
              <w:rPr>
                <w:spacing w:val="-2"/>
                <w:sz w:val="21"/>
              </w:rPr>
              <w:t>19.98</w:t>
            </w:r>
          </w:p>
        </w:tc>
      </w:tr>
      <w:tr w14:paraId="151A85D2"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516F7C51" w14:textId="77777777">
            <w:pPr>
              <w:pStyle w:val="TableParagraph"/>
              <w:ind w:left="120"/>
              <w:jc w:val="left"/>
              <w:rPr>
                <w:sz w:val="21"/>
              </w:rPr>
            </w:pPr>
            <w:r>
              <w:rPr>
                <w:sz w:val="21"/>
              </w:rPr>
              <w:t>North</w:t>
            </w:r>
            <w:r>
              <w:rPr>
                <w:spacing w:val="-6"/>
                <w:sz w:val="21"/>
              </w:rPr>
              <w:t xml:space="preserve"> </w:t>
            </w:r>
            <w:r>
              <w:rPr>
                <w:spacing w:val="-2"/>
                <w:sz w:val="21"/>
              </w:rPr>
              <w:t>Carolina</w:t>
            </w:r>
          </w:p>
        </w:tc>
        <w:tc>
          <w:tcPr>
            <w:tcW w:w="1359" w:type="dxa"/>
          </w:tcPr>
          <w:p w:rsidR="003F5784" w14:paraId="3D01128E" w14:textId="77777777">
            <w:pPr>
              <w:pStyle w:val="TableParagraph"/>
              <w:ind w:right="738"/>
              <w:rPr>
                <w:sz w:val="21"/>
              </w:rPr>
            </w:pPr>
            <w:r>
              <w:rPr>
                <w:spacing w:val="-5"/>
                <w:sz w:val="21"/>
              </w:rPr>
              <w:t>160</w:t>
            </w:r>
          </w:p>
        </w:tc>
        <w:tc>
          <w:tcPr>
            <w:tcW w:w="2070" w:type="dxa"/>
            <w:gridSpan w:val="2"/>
          </w:tcPr>
          <w:p w:rsidR="003F5784" w14:paraId="6D31B756" w14:textId="77777777">
            <w:pPr>
              <w:pStyle w:val="TableParagraph"/>
              <w:ind w:left="159" w:right="112"/>
              <w:jc w:val="center"/>
              <w:rPr>
                <w:sz w:val="21"/>
              </w:rPr>
            </w:pPr>
            <w:r>
              <w:rPr>
                <w:spacing w:val="-2"/>
                <w:sz w:val="21"/>
              </w:rPr>
              <w:t>100.00</w:t>
            </w:r>
          </w:p>
        </w:tc>
        <w:tc>
          <w:tcPr>
            <w:tcW w:w="1980" w:type="dxa"/>
            <w:gridSpan w:val="2"/>
          </w:tcPr>
          <w:p w:rsidR="003F5784" w14:paraId="275351B5" w14:textId="77777777">
            <w:pPr>
              <w:pStyle w:val="TableParagraph"/>
              <w:ind w:right="386"/>
              <w:rPr>
                <w:sz w:val="21"/>
              </w:rPr>
            </w:pPr>
            <w:r>
              <w:rPr>
                <w:spacing w:val="-2"/>
                <w:sz w:val="21"/>
              </w:rPr>
              <w:t>100.00</w:t>
            </w:r>
          </w:p>
        </w:tc>
        <w:tc>
          <w:tcPr>
            <w:tcW w:w="1350" w:type="dxa"/>
            <w:gridSpan w:val="3"/>
          </w:tcPr>
          <w:p w:rsidR="003F5784" w14:paraId="42726325" w14:textId="77777777">
            <w:pPr>
              <w:pStyle w:val="TableParagraph"/>
              <w:ind w:left="387"/>
              <w:jc w:val="left"/>
              <w:rPr>
                <w:sz w:val="21"/>
              </w:rPr>
            </w:pPr>
            <w:r>
              <w:rPr>
                <w:spacing w:val="-2"/>
                <w:sz w:val="21"/>
              </w:rPr>
              <w:t>3,800</w:t>
            </w:r>
          </w:p>
        </w:tc>
        <w:tc>
          <w:tcPr>
            <w:tcW w:w="1170" w:type="dxa"/>
          </w:tcPr>
          <w:p w:rsidR="003F5784" w14:paraId="39526CD7" w14:textId="77777777">
            <w:pPr>
              <w:pStyle w:val="TableParagraph"/>
              <w:ind w:left="463"/>
              <w:jc w:val="left"/>
              <w:rPr>
                <w:sz w:val="21"/>
              </w:rPr>
            </w:pPr>
            <w:r>
              <w:rPr>
                <w:spacing w:val="-4"/>
                <w:sz w:val="21"/>
              </w:rPr>
              <w:t>1.86</w:t>
            </w:r>
          </w:p>
        </w:tc>
        <w:tc>
          <w:tcPr>
            <w:tcW w:w="1800" w:type="dxa"/>
            <w:gridSpan w:val="3"/>
          </w:tcPr>
          <w:p w:rsidR="003F5784" w14:paraId="2A264B40" w14:textId="77777777">
            <w:pPr>
              <w:pStyle w:val="TableParagraph"/>
              <w:ind w:left="8" w:right="22"/>
              <w:jc w:val="center"/>
              <w:rPr>
                <w:sz w:val="21"/>
              </w:rPr>
            </w:pPr>
            <w:r>
              <w:rPr>
                <w:spacing w:val="-2"/>
                <w:sz w:val="21"/>
              </w:rPr>
              <w:t>91.11</w:t>
            </w:r>
          </w:p>
        </w:tc>
        <w:tc>
          <w:tcPr>
            <w:tcW w:w="1710" w:type="dxa"/>
            <w:gridSpan w:val="2"/>
          </w:tcPr>
          <w:p w:rsidR="003F5784" w14:paraId="1A21933F" w14:textId="77777777">
            <w:pPr>
              <w:pStyle w:val="TableParagraph"/>
              <w:ind w:right="118"/>
              <w:rPr>
                <w:sz w:val="21"/>
              </w:rPr>
            </w:pPr>
            <w:r>
              <w:rPr>
                <w:spacing w:val="-2"/>
                <w:sz w:val="21"/>
              </w:rPr>
              <w:t>13.85</w:t>
            </w:r>
          </w:p>
        </w:tc>
      </w:tr>
      <w:tr w14:paraId="306EA420"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358C8A07" w14:textId="77777777">
            <w:pPr>
              <w:pStyle w:val="TableParagraph"/>
              <w:ind w:left="120"/>
              <w:jc w:val="left"/>
              <w:rPr>
                <w:sz w:val="21"/>
              </w:rPr>
            </w:pPr>
            <w:r>
              <w:rPr>
                <w:sz w:val="21"/>
              </w:rPr>
              <w:t>North</w:t>
            </w:r>
            <w:r>
              <w:rPr>
                <w:spacing w:val="-6"/>
                <w:sz w:val="21"/>
              </w:rPr>
              <w:t xml:space="preserve"> </w:t>
            </w:r>
            <w:r>
              <w:rPr>
                <w:spacing w:val="-2"/>
                <w:sz w:val="21"/>
              </w:rPr>
              <w:t>Dakota</w:t>
            </w:r>
          </w:p>
        </w:tc>
        <w:tc>
          <w:tcPr>
            <w:tcW w:w="1359" w:type="dxa"/>
          </w:tcPr>
          <w:p w:rsidR="003F5784" w14:paraId="6B9805FB" w14:textId="77777777">
            <w:pPr>
              <w:pStyle w:val="TableParagraph"/>
              <w:ind w:right="738"/>
              <w:rPr>
                <w:sz w:val="21"/>
              </w:rPr>
            </w:pPr>
            <w:r>
              <w:rPr>
                <w:spacing w:val="-5"/>
                <w:sz w:val="21"/>
              </w:rPr>
              <w:t>120</w:t>
            </w:r>
          </w:p>
        </w:tc>
        <w:tc>
          <w:tcPr>
            <w:tcW w:w="2070" w:type="dxa"/>
            <w:gridSpan w:val="2"/>
          </w:tcPr>
          <w:p w:rsidR="003F5784" w14:paraId="422A6D69" w14:textId="77777777">
            <w:pPr>
              <w:pStyle w:val="TableParagraph"/>
              <w:ind w:left="159" w:right="8"/>
              <w:jc w:val="center"/>
              <w:rPr>
                <w:sz w:val="21"/>
              </w:rPr>
            </w:pPr>
            <w:r>
              <w:rPr>
                <w:spacing w:val="-2"/>
                <w:sz w:val="21"/>
              </w:rPr>
              <w:t>99.28</w:t>
            </w:r>
          </w:p>
        </w:tc>
        <w:tc>
          <w:tcPr>
            <w:tcW w:w="1980" w:type="dxa"/>
            <w:gridSpan w:val="2"/>
          </w:tcPr>
          <w:p w:rsidR="003F5784" w14:paraId="70B43F77" w14:textId="77777777">
            <w:pPr>
              <w:pStyle w:val="TableParagraph"/>
              <w:ind w:right="386"/>
              <w:rPr>
                <w:sz w:val="21"/>
              </w:rPr>
            </w:pPr>
            <w:r>
              <w:rPr>
                <w:spacing w:val="-2"/>
                <w:sz w:val="21"/>
              </w:rPr>
              <w:t>97.26</w:t>
            </w:r>
          </w:p>
        </w:tc>
        <w:tc>
          <w:tcPr>
            <w:tcW w:w="1350" w:type="dxa"/>
            <w:gridSpan w:val="3"/>
          </w:tcPr>
          <w:p w:rsidR="003F5784" w14:paraId="4DF3AEC4" w14:textId="77777777">
            <w:pPr>
              <w:pStyle w:val="TableParagraph"/>
              <w:ind w:left="387"/>
              <w:jc w:val="left"/>
              <w:rPr>
                <w:sz w:val="21"/>
              </w:rPr>
            </w:pPr>
            <w:r>
              <w:rPr>
                <w:spacing w:val="-2"/>
                <w:sz w:val="21"/>
              </w:rPr>
              <w:t>2,100</w:t>
            </w:r>
          </w:p>
        </w:tc>
        <w:tc>
          <w:tcPr>
            <w:tcW w:w="1170" w:type="dxa"/>
          </w:tcPr>
          <w:p w:rsidR="003F5784" w14:paraId="18847CD5" w14:textId="77777777">
            <w:pPr>
              <w:pStyle w:val="TableParagraph"/>
              <w:ind w:left="463"/>
              <w:jc w:val="left"/>
              <w:rPr>
                <w:sz w:val="21"/>
              </w:rPr>
            </w:pPr>
            <w:r>
              <w:rPr>
                <w:spacing w:val="-4"/>
                <w:sz w:val="21"/>
              </w:rPr>
              <w:t>1.70</w:t>
            </w:r>
          </w:p>
        </w:tc>
        <w:tc>
          <w:tcPr>
            <w:tcW w:w="1800" w:type="dxa"/>
            <w:gridSpan w:val="3"/>
          </w:tcPr>
          <w:p w:rsidR="003F5784" w14:paraId="2DB5B2E0" w14:textId="77777777">
            <w:pPr>
              <w:pStyle w:val="TableParagraph"/>
              <w:ind w:right="22"/>
              <w:jc w:val="center"/>
              <w:rPr>
                <w:sz w:val="21"/>
              </w:rPr>
            </w:pPr>
            <w:r>
              <w:rPr>
                <w:spacing w:val="-2"/>
                <w:sz w:val="21"/>
              </w:rPr>
              <w:t>91.16</w:t>
            </w:r>
          </w:p>
        </w:tc>
        <w:tc>
          <w:tcPr>
            <w:tcW w:w="1710" w:type="dxa"/>
            <w:gridSpan w:val="2"/>
          </w:tcPr>
          <w:p w:rsidR="003F5784" w14:paraId="2E9BF765" w14:textId="77777777">
            <w:pPr>
              <w:pStyle w:val="TableParagraph"/>
              <w:ind w:right="118"/>
              <w:rPr>
                <w:sz w:val="21"/>
              </w:rPr>
            </w:pPr>
            <w:r>
              <w:rPr>
                <w:spacing w:val="-2"/>
                <w:sz w:val="21"/>
              </w:rPr>
              <w:t>11.76</w:t>
            </w:r>
          </w:p>
        </w:tc>
      </w:tr>
      <w:tr w14:paraId="1DEB2328"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1F9B2F93" w14:textId="77777777">
            <w:pPr>
              <w:pStyle w:val="TableParagraph"/>
              <w:ind w:left="120"/>
              <w:jc w:val="left"/>
              <w:rPr>
                <w:sz w:val="21"/>
              </w:rPr>
            </w:pPr>
            <w:r>
              <w:rPr>
                <w:spacing w:val="-4"/>
                <w:sz w:val="21"/>
              </w:rPr>
              <w:t>Ohio</w:t>
            </w:r>
          </w:p>
        </w:tc>
        <w:tc>
          <w:tcPr>
            <w:tcW w:w="1359" w:type="dxa"/>
          </w:tcPr>
          <w:p w:rsidR="003F5784" w14:paraId="1F7CECFA" w14:textId="77777777">
            <w:pPr>
              <w:pStyle w:val="TableParagraph"/>
              <w:ind w:right="738"/>
              <w:rPr>
                <w:sz w:val="21"/>
              </w:rPr>
            </w:pPr>
            <w:r>
              <w:rPr>
                <w:spacing w:val="-5"/>
                <w:sz w:val="21"/>
              </w:rPr>
              <w:t>140</w:t>
            </w:r>
          </w:p>
        </w:tc>
        <w:tc>
          <w:tcPr>
            <w:tcW w:w="2070" w:type="dxa"/>
            <w:gridSpan w:val="2"/>
          </w:tcPr>
          <w:p w:rsidR="003F5784" w14:paraId="169BECBE" w14:textId="77777777">
            <w:pPr>
              <w:pStyle w:val="TableParagraph"/>
              <w:ind w:left="159" w:right="112"/>
              <w:jc w:val="center"/>
              <w:rPr>
                <w:sz w:val="21"/>
              </w:rPr>
            </w:pPr>
            <w:r>
              <w:rPr>
                <w:spacing w:val="-2"/>
                <w:sz w:val="21"/>
              </w:rPr>
              <w:t>100.00</w:t>
            </w:r>
          </w:p>
        </w:tc>
        <w:tc>
          <w:tcPr>
            <w:tcW w:w="1980" w:type="dxa"/>
            <w:gridSpan w:val="2"/>
          </w:tcPr>
          <w:p w:rsidR="003F5784" w14:paraId="76D5F828" w14:textId="77777777">
            <w:pPr>
              <w:pStyle w:val="TableParagraph"/>
              <w:ind w:right="386"/>
              <w:rPr>
                <w:sz w:val="21"/>
              </w:rPr>
            </w:pPr>
            <w:r>
              <w:rPr>
                <w:spacing w:val="-2"/>
                <w:sz w:val="21"/>
              </w:rPr>
              <w:t>100.00</w:t>
            </w:r>
          </w:p>
        </w:tc>
        <w:tc>
          <w:tcPr>
            <w:tcW w:w="1350" w:type="dxa"/>
            <w:gridSpan w:val="3"/>
          </w:tcPr>
          <w:p w:rsidR="003F5784" w14:paraId="099E0D25" w14:textId="77777777">
            <w:pPr>
              <w:pStyle w:val="TableParagraph"/>
              <w:ind w:left="387"/>
              <w:jc w:val="left"/>
              <w:rPr>
                <w:sz w:val="21"/>
              </w:rPr>
            </w:pPr>
            <w:r>
              <w:rPr>
                <w:spacing w:val="-2"/>
                <w:sz w:val="21"/>
              </w:rPr>
              <w:t>2,700</w:t>
            </w:r>
          </w:p>
        </w:tc>
        <w:tc>
          <w:tcPr>
            <w:tcW w:w="1170" w:type="dxa"/>
          </w:tcPr>
          <w:p w:rsidR="003F5784" w14:paraId="0F6B0C9A" w14:textId="77777777">
            <w:pPr>
              <w:pStyle w:val="TableParagraph"/>
              <w:ind w:left="463"/>
              <w:jc w:val="left"/>
              <w:rPr>
                <w:sz w:val="21"/>
              </w:rPr>
            </w:pPr>
            <w:r>
              <w:rPr>
                <w:spacing w:val="-4"/>
                <w:sz w:val="21"/>
              </w:rPr>
              <w:t>2.40</w:t>
            </w:r>
          </w:p>
        </w:tc>
        <w:tc>
          <w:tcPr>
            <w:tcW w:w="1800" w:type="dxa"/>
            <w:gridSpan w:val="3"/>
          </w:tcPr>
          <w:p w:rsidR="003F5784" w14:paraId="18CF205A" w14:textId="77777777">
            <w:pPr>
              <w:pStyle w:val="TableParagraph"/>
              <w:ind w:right="22"/>
              <w:jc w:val="center"/>
              <w:rPr>
                <w:sz w:val="21"/>
              </w:rPr>
            </w:pPr>
            <w:r>
              <w:rPr>
                <w:spacing w:val="-2"/>
                <w:sz w:val="21"/>
              </w:rPr>
              <w:t>92.35</w:t>
            </w:r>
          </w:p>
        </w:tc>
        <w:tc>
          <w:tcPr>
            <w:tcW w:w="1710" w:type="dxa"/>
            <w:gridSpan w:val="2"/>
          </w:tcPr>
          <w:p w:rsidR="003F5784" w14:paraId="5D18DD35" w14:textId="77777777">
            <w:pPr>
              <w:pStyle w:val="TableParagraph"/>
              <w:ind w:right="118"/>
              <w:rPr>
                <w:sz w:val="21"/>
              </w:rPr>
            </w:pPr>
            <w:r>
              <w:rPr>
                <w:spacing w:val="-2"/>
                <w:sz w:val="21"/>
              </w:rPr>
              <w:t>14.63</w:t>
            </w:r>
          </w:p>
        </w:tc>
      </w:tr>
      <w:tr w14:paraId="14D732DD"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60B07465" w14:textId="77777777">
            <w:pPr>
              <w:pStyle w:val="TableParagraph"/>
              <w:ind w:left="120"/>
              <w:jc w:val="left"/>
              <w:rPr>
                <w:sz w:val="21"/>
              </w:rPr>
            </w:pPr>
            <w:r>
              <w:rPr>
                <w:spacing w:val="-2"/>
                <w:sz w:val="21"/>
              </w:rPr>
              <w:t>Oklahoma</w:t>
            </w:r>
          </w:p>
        </w:tc>
        <w:tc>
          <w:tcPr>
            <w:tcW w:w="1359" w:type="dxa"/>
          </w:tcPr>
          <w:p w:rsidR="003F5784" w14:paraId="6C6E2FBD" w14:textId="77777777">
            <w:pPr>
              <w:pStyle w:val="TableParagraph"/>
              <w:ind w:right="738"/>
              <w:rPr>
                <w:sz w:val="21"/>
              </w:rPr>
            </w:pPr>
            <w:r>
              <w:rPr>
                <w:spacing w:val="-5"/>
                <w:sz w:val="21"/>
              </w:rPr>
              <w:t>100</w:t>
            </w:r>
          </w:p>
        </w:tc>
        <w:tc>
          <w:tcPr>
            <w:tcW w:w="2070" w:type="dxa"/>
            <w:gridSpan w:val="2"/>
          </w:tcPr>
          <w:p w:rsidR="003F5784" w14:paraId="5A2A58D3" w14:textId="77777777">
            <w:pPr>
              <w:pStyle w:val="TableParagraph"/>
              <w:ind w:left="159" w:right="112"/>
              <w:jc w:val="center"/>
              <w:rPr>
                <w:sz w:val="21"/>
              </w:rPr>
            </w:pPr>
            <w:r>
              <w:rPr>
                <w:spacing w:val="-2"/>
                <w:sz w:val="21"/>
              </w:rPr>
              <w:t>100.00</w:t>
            </w:r>
          </w:p>
        </w:tc>
        <w:tc>
          <w:tcPr>
            <w:tcW w:w="1980" w:type="dxa"/>
            <w:gridSpan w:val="2"/>
          </w:tcPr>
          <w:p w:rsidR="003F5784" w14:paraId="259E7789" w14:textId="77777777">
            <w:pPr>
              <w:pStyle w:val="TableParagraph"/>
              <w:ind w:right="386"/>
              <w:rPr>
                <w:sz w:val="21"/>
              </w:rPr>
            </w:pPr>
            <w:r>
              <w:rPr>
                <w:spacing w:val="-2"/>
                <w:sz w:val="21"/>
              </w:rPr>
              <w:t>100.00</w:t>
            </w:r>
          </w:p>
        </w:tc>
        <w:tc>
          <w:tcPr>
            <w:tcW w:w="1350" w:type="dxa"/>
            <w:gridSpan w:val="3"/>
          </w:tcPr>
          <w:p w:rsidR="003F5784" w14:paraId="4B5C974A" w14:textId="77777777">
            <w:pPr>
              <w:pStyle w:val="TableParagraph"/>
              <w:ind w:left="387"/>
              <w:jc w:val="left"/>
              <w:rPr>
                <w:sz w:val="21"/>
              </w:rPr>
            </w:pPr>
            <w:r>
              <w:rPr>
                <w:spacing w:val="-2"/>
                <w:sz w:val="21"/>
              </w:rPr>
              <w:t>1,900</w:t>
            </w:r>
          </w:p>
        </w:tc>
        <w:tc>
          <w:tcPr>
            <w:tcW w:w="1170" w:type="dxa"/>
          </w:tcPr>
          <w:p w:rsidR="003F5784" w14:paraId="3A24C787" w14:textId="77777777">
            <w:pPr>
              <w:pStyle w:val="TableParagraph"/>
              <w:ind w:left="463"/>
              <w:jc w:val="left"/>
              <w:rPr>
                <w:sz w:val="21"/>
              </w:rPr>
            </w:pPr>
            <w:r>
              <w:rPr>
                <w:spacing w:val="-4"/>
                <w:sz w:val="21"/>
              </w:rPr>
              <w:t>1.67</w:t>
            </w:r>
          </w:p>
        </w:tc>
        <w:tc>
          <w:tcPr>
            <w:tcW w:w="1800" w:type="dxa"/>
            <w:gridSpan w:val="3"/>
          </w:tcPr>
          <w:p w:rsidR="003F5784" w14:paraId="3007511F" w14:textId="77777777">
            <w:pPr>
              <w:pStyle w:val="TableParagraph"/>
              <w:ind w:right="22"/>
              <w:jc w:val="center"/>
              <w:rPr>
                <w:sz w:val="21"/>
              </w:rPr>
            </w:pPr>
            <w:r>
              <w:rPr>
                <w:spacing w:val="-2"/>
                <w:sz w:val="21"/>
              </w:rPr>
              <w:t>92.40</w:t>
            </w:r>
          </w:p>
        </w:tc>
        <w:tc>
          <w:tcPr>
            <w:tcW w:w="1710" w:type="dxa"/>
            <w:gridSpan w:val="2"/>
          </w:tcPr>
          <w:p w:rsidR="003F5784" w14:paraId="23BFEC41" w14:textId="77777777">
            <w:pPr>
              <w:pStyle w:val="TableParagraph"/>
              <w:ind w:right="118"/>
              <w:rPr>
                <w:sz w:val="21"/>
              </w:rPr>
            </w:pPr>
            <w:r>
              <w:rPr>
                <w:spacing w:val="-2"/>
                <w:sz w:val="21"/>
              </w:rPr>
              <w:t>16.62</w:t>
            </w:r>
          </w:p>
        </w:tc>
      </w:tr>
      <w:tr w14:paraId="23DB554C"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1EC6F312" w14:textId="77777777">
            <w:pPr>
              <w:pStyle w:val="TableParagraph"/>
              <w:ind w:left="120"/>
              <w:jc w:val="left"/>
              <w:rPr>
                <w:sz w:val="21"/>
              </w:rPr>
            </w:pPr>
            <w:r>
              <w:rPr>
                <w:spacing w:val="-2"/>
                <w:sz w:val="21"/>
              </w:rPr>
              <w:t>Oregon</w:t>
            </w:r>
          </w:p>
        </w:tc>
        <w:tc>
          <w:tcPr>
            <w:tcW w:w="1359" w:type="dxa"/>
          </w:tcPr>
          <w:p w:rsidR="003F5784" w14:paraId="5167C883" w14:textId="77777777">
            <w:pPr>
              <w:pStyle w:val="TableParagraph"/>
              <w:ind w:right="738"/>
              <w:rPr>
                <w:sz w:val="21"/>
              </w:rPr>
            </w:pPr>
            <w:r>
              <w:rPr>
                <w:spacing w:val="-5"/>
                <w:sz w:val="21"/>
              </w:rPr>
              <w:t>90</w:t>
            </w:r>
          </w:p>
        </w:tc>
        <w:tc>
          <w:tcPr>
            <w:tcW w:w="2070" w:type="dxa"/>
            <w:gridSpan w:val="2"/>
          </w:tcPr>
          <w:p w:rsidR="003F5784" w14:paraId="158434AA" w14:textId="77777777">
            <w:pPr>
              <w:pStyle w:val="TableParagraph"/>
              <w:ind w:left="159" w:right="112"/>
              <w:jc w:val="center"/>
              <w:rPr>
                <w:sz w:val="21"/>
              </w:rPr>
            </w:pPr>
            <w:r>
              <w:rPr>
                <w:spacing w:val="-2"/>
                <w:sz w:val="21"/>
              </w:rPr>
              <w:t>100.00</w:t>
            </w:r>
          </w:p>
        </w:tc>
        <w:tc>
          <w:tcPr>
            <w:tcW w:w="1980" w:type="dxa"/>
            <w:gridSpan w:val="2"/>
          </w:tcPr>
          <w:p w:rsidR="003F5784" w14:paraId="0BE526E4" w14:textId="77777777">
            <w:pPr>
              <w:pStyle w:val="TableParagraph"/>
              <w:ind w:right="386"/>
              <w:rPr>
                <w:sz w:val="21"/>
              </w:rPr>
            </w:pPr>
            <w:r>
              <w:rPr>
                <w:spacing w:val="-2"/>
                <w:sz w:val="21"/>
              </w:rPr>
              <w:t>100.00</w:t>
            </w:r>
          </w:p>
        </w:tc>
        <w:tc>
          <w:tcPr>
            <w:tcW w:w="1350" w:type="dxa"/>
            <w:gridSpan w:val="3"/>
          </w:tcPr>
          <w:p w:rsidR="003F5784" w14:paraId="7111B717" w14:textId="77777777">
            <w:pPr>
              <w:pStyle w:val="TableParagraph"/>
              <w:ind w:left="387"/>
              <w:jc w:val="left"/>
              <w:rPr>
                <w:sz w:val="21"/>
              </w:rPr>
            </w:pPr>
            <w:r>
              <w:rPr>
                <w:spacing w:val="-2"/>
                <w:sz w:val="21"/>
              </w:rPr>
              <w:t>2,100</w:t>
            </w:r>
          </w:p>
        </w:tc>
        <w:tc>
          <w:tcPr>
            <w:tcW w:w="1170" w:type="dxa"/>
          </w:tcPr>
          <w:p w:rsidR="003F5784" w14:paraId="4FA9EB62" w14:textId="77777777">
            <w:pPr>
              <w:pStyle w:val="TableParagraph"/>
              <w:ind w:left="463"/>
              <w:jc w:val="left"/>
              <w:rPr>
                <w:sz w:val="21"/>
              </w:rPr>
            </w:pPr>
            <w:r>
              <w:rPr>
                <w:spacing w:val="-4"/>
                <w:sz w:val="21"/>
              </w:rPr>
              <w:t>1.85</w:t>
            </w:r>
          </w:p>
        </w:tc>
        <w:tc>
          <w:tcPr>
            <w:tcW w:w="1800" w:type="dxa"/>
            <w:gridSpan w:val="3"/>
          </w:tcPr>
          <w:p w:rsidR="003F5784" w14:paraId="44B7FC85" w14:textId="77777777">
            <w:pPr>
              <w:pStyle w:val="TableParagraph"/>
              <w:ind w:right="22"/>
              <w:jc w:val="center"/>
              <w:rPr>
                <w:sz w:val="21"/>
              </w:rPr>
            </w:pPr>
            <w:r>
              <w:rPr>
                <w:spacing w:val="-2"/>
                <w:sz w:val="21"/>
              </w:rPr>
              <w:t>89.66</w:t>
            </w:r>
          </w:p>
        </w:tc>
        <w:tc>
          <w:tcPr>
            <w:tcW w:w="1710" w:type="dxa"/>
            <w:gridSpan w:val="2"/>
          </w:tcPr>
          <w:p w:rsidR="003F5784" w14:paraId="615F6610" w14:textId="77777777">
            <w:pPr>
              <w:pStyle w:val="TableParagraph"/>
              <w:ind w:right="118"/>
              <w:rPr>
                <w:sz w:val="21"/>
              </w:rPr>
            </w:pPr>
            <w:r>
              <w:rPr>
                <w:spacing w:val="-4"/>
                <w:sz w:val="21"/>
              </w:rPr>
              <w:t>9.65</w:t>
            </w:r>
          </w:p>
        </w:tc>
      </w:tr>
      <w:tr w14:paraId="6A1F5E3C"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30640426" w14:textId="77777777">
            <w:pPr>
              <w:pStyle w:val="TableParagraph"/>
              <w:ind w:left="120"/>
              <w:jc w:val="left"/>
              <w:rPr>
                <w:sz w:val="21"/>
              </w:rPr>
            </w:pPr>
            <w:r>
              <w:rPr>
                <w:spacing w:val="-2"/>
                <w:sz w:val="21"/>
              </w:rPr>
              <w:t>Pennsylvania</w:t>
            </w:r>
          </w:p>
        </w:tc>
        <w:tc>
          <w:tcPr>
            <w:tcW w:w="1359" w:type="dxa"/>
          </w:tcPr>
          <w:p w:rsidR="003F5784" w14:paraId="080000D9" w14:textId="77777777">
            <w:pPr>
              <w:pStyle w:val="TableParagraph"/>
              <w:ind w:right="738"/>
              <w:rPr>
                <w:sz w:val="21"/>
              </w:rPr>
            </w:pPr>
            <w:r>
              <w:rPr>
                <w:spacing w:val="-5"/>
                <w:sz w:val="21"/>
              </w:rPr>
              <w:t>120</w:t>
            </w:r>
          </w:p>
        </w:tc>
        <w:tc>
          <w:tcPr>
            <w:tcW w:w="2070" w:type="dxa"/>
            <w:gridSpan w:val="2"/>
          </w:tcPr>
          <w:p w:rsidR="003F5784" w14:paraId="032D2C8C" w14:textId="77777777">
            <w:pPr>
              <w:pStyle w:val="TableParagraph"/>
              <w:ind w:left="159" w:right="8"/>
              <w:jc w:val="center"/>
              <w:rPr>
                <w:sz w:val="21"/>
              </w:rPr>
            </w:pPr>
            <w:r>
              <w:rPr>
                <w:spacing w:val="-2"/>
                <w:sz w:val="21"/>
              </w:rPr>
              <w:t>99.86</w:t>
            </w:r>
          </w:p>
        </w:tc>
        <w:tc>
          <w:tcPr>
            <w:tcW w:w="1980" w:type="dxa"/>
            <w:gridSpan w:val="2"/>
          </w:tcPr>
          <w:p w:rsidR="003F5784" w14:paraId="7712B4AC" w14:textId="77777777">
            <w:pPr>
              <w:pStyle w:val="TableParagraph"/>
              <w:ind w:right="386"/>
              <w:rPr>
                <w:sz w:val="21"/>
              </w:rPr>
            </w:pPr>
            <w:r>
              <w:rPr>
                <w:spacing w:val="-2"/>
                <w:sz w:val="21"/>
              </w:rPr>
              <w:t>99.93</w:t>
            </w:r>
          </w:p>
        </w:tc>
        <w:tc>
          <w:tcPr>
            <w:tcW w:w="1350" w:type="dxa"/>
            <w:gridSpan w:val="3"/>
          </w:tcPr>
          <w:p w:rsidR="003F5784" w14:paraId="23AA2512" w14:textId="77777777">
            <w:pPr>
              <w:pStyle w:val="TableParagraph"/>
              <w:ind w:left="387"/>
              <w:jc w:val="left"/>
              <w:rPr>
                <w:sz w:val="21"/>
              </w:rPr>
            </w:pPr>
            <w:r>
              <w:rPr>
                <w:spacing w:val="-2"/>
                <w:sz w:val="21"/>
              </w:rPr>
              <w:t>2,800</w:t>
            </w:r>
          </w:p>
        </w:tc>
        <w:tc>
          <w:tcPr>
            <w:tcW w:w="1170" w:type="dxa"/>
          </w:tcPr>
          <w:p w:rsidR="003F5784" w14:paraId="515CF463" w14:textId="77777777">
            <w:pPr>
              <w:pStyle w:val="TableParagraph"/>
              <w:ind w:left="463"/>
              <w:jc w:val="left"/>
              <w:rPr>
                <w:sz w:val="21"/>
              </w:rPr>
            </w:pPr>
            <w:r>
              <w:rPr>
                <w:spacing w:val="-4"/>
                <w:sz w:val="21"/>
              </w:rPr>
              <w:t>2.12</w:t>
            </w:r>
          </w:p>
        </w:tc>
        <w:tc>
          <w:tcPr>
            <w:tcW w:w="1800" w:type="dxa"/>
            <w:gridSpan w:val="3"/>
          </w:tcPr>
          <w:p w:rsidR="003F5784" w14:paraId="7618536D" w14:textId="77777777">
            <w:pPr>
              <w:pStyle w:val="TableParagraph"/>
              <w:ind w:right="22"/>
              <w:jc w:val="center"/>
              <w:rPr>
                <w:sz w:val="21"/>
              </w:rPr>
            </w:pPr>
            <w:r>
              <w:rPr>
                <w:spacing w:val="-2"/>
                <w:sz w:val="21"/>
              </w:rPr>
              <w:t>91.83</w:t>
            </w:r>
          </w:p>
        </w:tc>
        <w:tc>
          <w:tcPr>
            <w:tcW w:w="1710" w:type="dxa"/>
            <w:gridSpan w:val="2"/>
          </w:tcPr>
          <w:p w:rsidR="003F5784" w14:paraId="1E457828" w14:textId="77777777">
            <w:pPr>
              <w:pStyle w:val="TableParagraph"/>
              <w:ind w:right="118"/>
              <w:rPr>
                <w:sz w:val="21"/>
              </w:rPr>
            </w:pPr>
            <w:r>
              <w:rPr>
                <w:spacing w:val="-2"/>
                <w:sz w:val="21"/>
              </w:rPr>
              <w:t>14.50</w:t>
            </w:r>
          </w:p>
        </w:tc>
      </w:tr>
      <w:tr w14:paraId="0D5F2763"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506F1D7B" w14:textId="77777777">
            <w:pPr>
              <w:pStyle w:val="TableParagraph"/>
              <w:ind w:left="120"/>
              <w:jc w:val="left"/>
              <w:rPr>
                <w:sz w:val="21"/>
              </w:rPr>
            </w:pPr>
            <w:r>
              <w:rPr>
                <w:sz w:val="21"/>
              </w:rPr>
              <w:t>Rhode</w:t>
            </w:r>
            <w:r>
              <w:rPr>
                <w:spacing w:val="-7"/>
                <w:sz w:val="21"/>
              </w:rPr>
              <w:t xml:space="preserve"> </w:t>
            </w:r>
            <w:r>
              <w:rPr>
                <w:spacing w:val="-2"/>
                <w:sz w:val="21"/>
              </w:rPr>
              <w:t>Island</w:t>
            </w:r>
          </w:p>
        </w:tc>
        <w:tc>
          <w:tcPr>
            <w:tcW w:w="1359" w:type="dxa"/>
          </w:tcPr>
          <w:p w:rsidR="003F5784" w14:paraId="51CAD0EC" w14:textId="77777777">
            <w:pPr>
              <w:pStyle w:val="TableParagraph"/>
              <w:ind w:right="738"/>
              <w:rPr>
                <w:sz w:val="21"/>
              </w:rPr>
            </w:pPr>
            <w:r>
              <w:rPr>
                <w:spacing w:val="-5"/>
                <w:sz w:val="21"/>
              </w:rPr>
              <w:t>90</w:t>
            </w:r>
          </w:p>
        </w:tc>
        <w:tc>
          <w:tcPr>
            <w:tcW w:w="2070" w:type="dxa"/>
            <w:gridSpan w:val="2"/>
          </w:tcPr>
          <w:p w:rsidR="003F5784" w14:paraId="6CBDD462" w14:textId="77777777">
            <w:pPr>
              <w:pStyle w:val="TableParagraph"/>
              <w:ind w:left="159" w:right="112"/>
              <w:jc w:val="center"/>
              <w:rPr>
                <w:sz w:val="21"/>
              </w:rPr>
            </w:pPr>
            <w:r>
              <w:rPr>
                <w:spacing w:val="-2"/>
                <w:sz w:val="21"/>
              </w:rPr>
              <w:t>100.00</w:t>
            </w:r>
          </w:p>
        </w:tc>
        <w:tc>
          <w:tcPr>
            <w:tcW w:w="1980" w:type="dxa"/>
            <w:gridSpan w:val="2"/>
          </w:tcPr>
          <w:p w:rsidR="003F5784" w14:paraId="4989ADF6" w14:textId="77777777">
            <w:pPr>
              <w:pStyle w:val="TableParagraph"/>
              <w:ind w:right="386"/>
              <w:rPr>
                <w:sz w:val="21"/>
              </w:rPr>
            </w:pPr>
            <w:r>
              <w:rPr>
                <w:spacing w:val="-2"/>
                <w:sz w:val="21"/>
              </w:rPr>
              <w:t>100.00</w:t>
            </w:r>
          </w:p>
        </w:tc>
        <w:tc>
          <w:tcPr>
            <w:tcW w:w="1350" w:type="dxa"/>
            <w:gridSpan w:val="3"/>
          </w:tcPr>
          <w:p w:rsidR="003F5784" w14:paraId="41E381AC" w14:textId="77777777">
            <w:pPr>
              <w:pStyle w:val="TableParagraph"/>
              <w:ind w:left="387"/>
              <w:jc w:val="left"/>
              <w:rPr>
                <w:sz w:val="21"/>
              </w:rPr>
            </w:pPr>
            <w:r>
              <w:rPr>
                <w:spacing w:val="-2"/>
                <w:sz w:val="21"/>
              </w:rPr>
              <w:t>2,000</w:t>
            </w:r>
          </w:p>
        </w:tc>
        <w:tc>
          <w:tcPr>
            <w:tcW w:w="1170" w:type="dxa"/>
          </w:tcPr>
          <w:p w:rsidR="003F5784" w14:paraId="4FF26C04" w14:textId="77777777">
            <w:pPr>
              <w:pStyle w:val="TableParagraph"/>
              <w:ind w:left="463"/>
              <w:jc w:val="left"/>
              <w:rPr>
                <w:sz w:val="21"/>
              </w:rPr>
            </w:pPr>
            <w:r>
              <w:rPr>
                <w:spacing w:val="-4"/>
                <w:sz w:val="21"/>
              </w:rPr>
              <w:t>1.19</w:t>
            </w:r>
          </w:p>
        </w:tc>
        <w:tc>
          <w:tcPr>
            <w:tcW w:w="1800" w:type="dxa"/>
            <w:gridSpan w:val="3"/>
          </w:tcPr>
          <w:p w:rsidR="003F5784" w14:paraId="2226A8B3" w14:textId="77777777">
            <w:pPr>
              <w:pStyle w:val="TableParagraph"/>
              <w:ind w:right="22"/>
              <w:jc w:val="center"/>
              <w:rPr>
                <w:sz w:val="21"/>
              </w:rPr>
            </w:pPr>
            <w:r>
              <w:rPr>
                <w:spacing w:val="-2"/>
                <w:sz w:val="21"/>
              </w:rPr>
              <w:t>93.82</w:t>
            </w:r>
          </w:p>
        </w:tc>
        <w:tc>
          <w:tcPr>
            <w:tcW w:w="1710" w:type="dxa"/>
            <w:gridSpan w:val="2"/>
          </w:tcPr>
          <w:p w:rsidR="003F5784" w14:paraId="4022AD4D" w14:textId="77777777">
            <w:pPr>
              <w:pStyle w:val="TableParagraph"/>
              <w:ind w:right="118"/>
              <w:rPr>
                <w:sz w:val="21"/>
              </w:rPr>
            </w:pPr>
            <w:r>
              <w:rPr>
                <w:spacing w:val="-2"/>
                <w:sz w:val="21"/>
              </w:rPr>
              <w:t>17.68</w:t>
            </w:r>
          </w:p>
        </w:tc>
      </w:tr>
      <w:tr w14:paraId="2962802A"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1676AE39" w14:textId="77777777">
            <w:pPr>
              <w:pStyle w:val="TableParagraph"/>
              <w:ind w:left="120"/>
              <w:jc w:val="left"/>
              <w:rPr>
                <w:sz w:val="21"/>
              </w:rPr>
            </w:pPr>
            <w:r>
              <w:rPr>
                <w:sz w:val="21"/>
              </w:rPr>
              <w:t>South</w:t>
            </w:r>
            <w:r>
              <w:rPr>
                <w:spacing w:val="-6"/>
                <w:sz w:val="21"/>
              </w:rPr>
              <w:t xml:space="preserve"> </w:t>
            </w:r>
            <w:r>
              <w:rPr>
                <w:spacing w:val="-2"/>
                <w:sz w:val="21"/>
              </w:rPr>
              <w:t>Carolina</w:t>
            </w:r>
          </w:p>
        </w:tc>
        <w:tc>
          <w:tcPr>
            <w:tcW w:w="1359" w:type="dxa"/>
          </w:tcPr>
          <w:p w:rsidR="003F5784" w14:paraId="62068F74" w14:textId="77777777">
            <w:pPr>
              <w:pStyle w:val="TableParagraph"/>
              <w:ind w:right="738"/>
              <w:rPr>
                <w:sz w:val="21"/>
              </w:rPr>
            </w:pPr>
            <w:r>
              <w:rPr>
                <w:spacing w:val="-5"/>
                <w:sz w:val="21"/>
              </w:rPr>
              <w:t>90</w:t>
            </w:r>
          </w:p>
        </w:tc>
        <w:tc>
          <w:tcPr>
            <w:tcW w:w="2070" w:type="dxa"/>
            <w:gridSpan w:val="2"/>
          </w:tcPr>
          <w:p w:rsidR="003F5784" w14:paraId="30BA51AC" w14:textId="77777777">
            <w:pPr>
              <w:pStyle w:val="TableParagraph"/>
              <w:ind w:left="159" w:right="112"/>
              <w:jc w:val="center"/>
              <w:rPr>
                <w:sz w:val="21"/>
              </w:rPr>
            </w:pPr>
            <w:r>
              <w:rPr>
                <w:spacing w:val="-2"/>
                <w:sz w:val="21"/>
              </w:rPr>
              <w:t>100.00</w:t>
            </w:r>
          </w:p>
        </w:tc>
        <w:tc>
          <w:tcPr>
            <w:tcW w:w="1980" w:type="dxa"/>
            <w:gridSpan w:val="2"/>
          </w:tcPr>
          <w:p w:rsidR="003F5784" w14:paraId="76DC08F9" w14:textId="77777777">
            <w:pPr>
              <w:pStyle w:val="TableParagraph"/>
              <w:ind w:right="386"/>
              <w:rPr>
                <w:sz w:val="21"/>
              </w:rPr>
            </w:pPr>
            <w:r>
              <w:rPr>
                <w:spacing w:val="-2"/>
                <w:sz w:val="21"/>
              </w:rPr>
              <w:t>100.00</w:t>
            </w:r>
          </w:p>
        </w:tc>
        <w:tc>
          <w:tcPr>
            <w:tcW w:w="1350" w:type="dxa"/>
            <w:gridSpan w:val="3"/>
          </w:tcPr>
          <w:p w:rsidR="003F5784" w14:paraId="72514253" w14:textId="77777777">
            <w:pPr>
              <w:pStyle w:val="TableParagraph"/>
              <w:ind w:left="387"/>
              <w:jc w:val="left"/>
              <w:rPr>
                <w:sz w:val="21"/>
              </w:rPr>
            </w:pPr>
            <w:r>
              <w:rPr>
                <w:spacing w:val="-2"/>
                <w:sz w:val="21"/>
              </w:rPr>
              <w:t>2,000</w:t>
            </w:r>
          </w:p>
        </w:tc>
        <w:tc>
          <w:tcPr>
            <w:tcW w:w="1170" w:type="dxa"/>
          </w:tcPr>
          <w:p w:rsidR="003F5784" w14:paraId="326A4C62" w14:textId="77777777">
            <w:pPr>
              <w:pStyle w:val="TableParagraph"/>
              <w:ind w:left="463"/>
              <w:jc w:val="left"/>
              <w:rPr>
                <w:sz w:val="21"/>
              </w:rPr>
            </w:pPr>
            <w:r>
              <w:rPr>
                <w:spacing w:val="-4"/>
                <w:sz w:val="21"/>
              </w:rPr>
              <w:t>1.67</w:t>
            </w:r>
          </w:p>
        </w:tc>
        <w:tc>
          <w:tcPr>
            <w:tcW w:w="1800" w:type="dxa"/>
            <w:gridSpan w:val="3"/>
          </w:tcPr>
          <w:p w:rsidR="003F5784" w14:paraId="33012A89" w14:textId="77777777">
            <w:pPr>
              <w:pStyle w:val="TableParagraph"/>
              <w:ind w:right="22"/>
              <w:jc w:val="center"/>
              <w:rPr>
                <w:sz w:val="21"/>
              </w:rPr>
            </w:pPr>
            <w:r>
              <w:rPr>
                <w:spacing w:val="-2"/>
                <w:sz w:val="21"/>
              </w:rPr>
              <w:t>92.09</w:t>
            </w:r>
          </w:p>
        </w:tc>
        <w:tc>
          <w:tcPr>
            <w:tcW w:w="1710" w:type="dxa"/>
            <w:gridSpan w:val="2"/>
          </w:tcPr>
          <w:p w:rsidR="003F5784" w14:paraId="4EC9A8EE" w14:textId="77777777">
            <w:pPr>
              <w:pStyle w:val="TableParagraph"/>
              <w:ind w:right="118"/>
              <w:rPr>
                <w:sz w:val="21"/>
              </w:rPr>
            </w:pPr>
            <w:r>
              <w:rPr>
                <w:spacing w:val="-2"/>
                <w:sz w:val="21"/>
              </w:rPr>
              <w:t>12.06</w:t>
            </w:r>
          </w:p>
        </w:tc>
      </w:tr>
      <w:tr w14:paraId="2C4EC613"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42DB8C98" w14:textId="77777777">
            <w:pPr>
              <w:pStyle w:val="TableParagraph"/>
              <w:ind w:left="120"/>
              <w:jc w:val="left"/>
              <w:rPr>
                <w:sz w:val="21"/>
              </w:rPr>
            </w:pPr>
            <w:r>
              <w:rPr>
                <w:sz w:val="21"/>
              </w:rPr>
              <w:t>South</w:t>
            </w:r>
            <w:r>
              <w:rPr>
                <w:spacing w:val="-6"/>
                <w:sz w:val="21"/>
              </w:rPr>
              <w:t xml:space="preserve"> </w:t>
            </w:r>
            <w:r>
              <w:rPr>
                <w:spacing w:val="-2"/>
                <w:sz w:val="21"/>
              </w:rPr>
              <w:t>Dakota</w:t>
            </w:r>
          </w:p>
        </w:tc>
        <w:tc>
          <w:tcPr>
            <w:tcW w:w="1359" w:type="dxa"/>
          </w:tcPr>
          <w:p w:rsidR="003F5784" w14:paraId="7BAD8C0A" w14:textId="77777777">
            <w:pPr>
              <w:pStyle w:val="TableParagraph"/>
              <w:ind w:right="738"/>
              <w:rPr>
                <w:sz w:val="21"/>
              </w:rPr>
            </w:pPr>
            <w:r>
              <w:rPr>
                <w:spacing w:val="-5"/>
                <w:sz w:val="21"/>
              </w:rPr>
              <w:t>120</w:t>
            </w:r>
          </w:p>
        </w:tc>
        <w:tc>
          <w:tcPr>
            <w:tcW w:w="2070" w:type="dxa"/>
            <w:gridSpan w:val="2"/>
          </w:tcPr>
          <w:p w:rsidR="003F5784" w14:paraId="4BE26041" w14:textId="77777777">
            <w:pPr>
              <w:pStyle w:val="TableParagraph"/>
              <w:ind w:left="159" w:right="112"/>
              <w:jc w:val="center"/>
              <w:rPr>
                <w:sz w:val="21"/>
              </w:rPr>
            </w:pPr>
            <w:r>
              <w:rPr>
                <w:spacing w:val="-2"/>
                <w:sz w:val="21"/>
              </w:rPr>
              <w:t>100.00</w:t>
            </w:r>
          </w:p>
        </w:tc>
        <w:tc>
          <w:tcPr>
            <w:tcW w:w="1980" w:type="dxa"/>
            <w:gridSpan w:val="2"/>
          </w:tcPr>
          <w:p w:rsidR="003F5784" w14:paraId="46938AEF" w14:textId="77777777">
            <w:pPr>
              <w:pStyle w:val="TableParagraph"/>
              <w:ind w:right="386"/>
              <w:rPr>
                <w:sz w:val="21"/>
              </w:rPr>
            </w:pPr>
            <w:r>
              <w:rPr>
                <w:spacing w:val="-2"/>
                <w:sz w:val="21"/>
              </w:rPr>
              <w:t>100.00</w:t>
            </w:r>
          </w:p>
        </w:tc>
        <w:tc>
          <w:tcPr>
            <w:tcW w:w="1350" w:type="dxa"/>
            <w:gridSpan w:val="3"/>
          </w:tcPr>
          <w:p w:rsidR="003F5784" w14:paraId="2545CD31" w14:textId="77777777">
            <w:pPr>
              <w:pStyle w:val="TableParagraph"/>
              <w:ind w:left="387"/>
              <w:jc w:val="left"/>
              <w:rPr>
                <w:sz w:val="21"/>
              </w:rPr>
            </w:pPr>
            <w:r>
              <w:rPr>
                <w:spacing w:val="-2"/>
                <w:sz w:val="21"/>
              </w:rPr>
              <w:t>2,000</w:t>
            </w:r>
          </w:p>
        </w:tc>
        <w:tc>
          <w:tcPr>
            <w:tcW w:w="1170" w:type="dxa"/>
          </w:tcPr>
          <w:p w:rsidR="003F5784" w14:paraId="01DD8687" w14:textId="77777777">
            <w:pPr>
              <w:pStyle w:val="TableParagraph"/>
              <w:ind w:left="463"/>
              <w:jc w:val="left"/>
              <w:rPr>
                <w:sz w:val="21"/>
              </w:rPr>
            </w:pPr>
            <w:r>
              <w:rPr>
                <w:spacing w:val="-4"/>
                <w:sz w:val="21"/>
              </w:rPr>
              <w:t>1.04</w:t>
            </w:r>
          </w:p>
        </w:tc>
        <w:tc>
          <w:tcPr>
            <w:tcW w:w="1800" w:type="dxa"/>
            <w:gridSpan w:val="3"/>
          </w:tcPr>
          <w:p w:rsidR="003F5784" w14:paraId="2A7EA596" w14:textId="77777777">
            <w:pPr>
              <w:pStyle w:val="TableParagraph"/>
              <w:ind w:right="22"/>
              <w:jc w:val="center"/>
              <w:rPr>
                <w:sz w:val="21"/>
              </w:rPr>
            </w:pPr>
            <w:r>
              <w:rPr>
                <w:spacing w:val="-2"/>
                <w:sz w:val="21"/>
              </w:rPr>
              <w:t>93.95</w:t>
            </w:r>
          </w:p>
        </w:tc>
        <w:tc>
          <w:tcPr>
            <w:tcW w:w="1710" w:type="dxa"/>
            <w:gridSpan w:val="2"/>
          </w:tcPr>
          <w:p w:rsidR="003F5784" w14:paraId="57A33C57" w14:textId="77777777">
            <w:pPr>
              <w:pStyle w:val="TableParagraph"/>
              <w:ind w:right="118"/>
              <w:rPr>
                <w:sz w:val="21"/>
              </w:rPr>
            </w:pPr>
            <w:r>
              <w:rPr>
                <w:spacing w:val="-4"/>
                <w:sz w:val="21"/>
              </w:rPr>
              <w:t>9.33</w:t>
            </w:r>
          </w:p>
        </w:tc>
      </w:tr>
      <w:tr w14:paraId="68336CB9"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65119307" w14:textId="77777777">
            <w:pPr>
              <w:pStyle w:val="TableParagraph"/>
              <w:ind w:left="120"/>
              <w:jc w:val="left"/>
              <w:rPr>
                <w:sz w:val="21"/>
              </w:rPr>
            </w:pPr>
            <w:r>
              <w:rPr>
                <w:spacing w:val="-2"/>
                <w:sz w:val="21"/>
              </w:rPr>
              <w:t>Tennessee</w:t>
            </w:r>
          </w:p>
        </w:tc>
        <w:tc>
          <w:tcPr>
            <w:tcW w:w="1359" w:type="dxa"/>
          </w:tcPr>
          <w:p w:rsidR="003F5784" w14:paraId="6E42625C" w14:textId="77777777">
            <w:pPr>
              <w:pStyle w:val="TableParagraph"/>
              <w:ind w:right="738"/>
              <w:rPr>
                <w:sz w:val="21"/>
              </w:rPr>
            </w:pPr>
            <w:r>
              <w:rPr>
                <w:spacing w:val="-5"/>
                <w:sz w:val="21"/>
              </w:rPr>
              <w:t>120</w:t>
            </w:r>
          </w:p>
        </w:tc>
        <w:tc>
          <w:tcPr>
            <w:tcW w:w="2070" w:type="dxa"/>
            <w:gridSpan w:val="2"/>
          </w:tcPr>
          <w:p w:rsidR="003F5784" w14:paraId="03C45611" w14:textId="77777777">
            <w:pPr>
              <w:pStyle w:val="TableParagraph"/>
              <w:ind w:left="159" w:right="112"/>
              <w:jc w:val="center"/>
              <w:rPr>
                <w:sz w:val="21"/>
              </w:rPr>
            </w:pPr>
            <w:r>
              <w:rPr>
                <w:spacing w:val="-2"/>
                <w:sz w:val="21"/>
              </w:rPr>
              <w:t>100.00</w:t>
            </w:r>
          </w:p>
        </w:tc>
        <w:tc>
          <w:tcPr>
            <w:tcW w:w="1980" w:type="dxa"/>
            <w:gridSpan w:val="2"/>
          </w:tcPr>
          <w:p w:rsidR="003F5784" w14:paraId="1E267A5B" w14:textId="77777777">
            <w:pPr>
              <w:pStyle w:val="TableParagraph"/>
              <w:ind w:right="386"/>
              <w:rPr>
                <w:sz w:val="21"/>
              </w:rPr>
            </w:pPr>
            <w:r>
              <w:rPr>
                <w:spacing w:val="-2"/>
                <w:sz w:val="21"/>
              </w:rPr>
              <w:t>100.00</w:t>
            </w:r>
          </w:p>
        </w:tc>
        <w:tc>
          <w:tcPr>
            <w:tcW w:w="1350" w:type="dxa"/>
            <w:gridSpan w:val="3"/>
          </w:tcPr>
          <w:p w:rsidR="003F5784" w14:paraId="4530C708" w14:textId="77777777">
            <w:pPr>
              <w:pStyle w:val="TableParagraph"/>
              <w:ind w:left="387"/>
              <w:jc w:val="left"/>
              <w:rPr>
                <w:sz w:val="21"/>
              </w:rPr>
            </w:pPr>
            <w:r>
              <w:rPr>
                <w:spacing w:val="-2"/>
                <w:sz w:val="21"/>
              </w:rPr>
              <w:t>2,700</w:t>
            </w:r>
          </w:p>
        </w:tc>
        <w:tc>
          <w:tcPr>
            <w:tcW w:w="1170" w:type="dxa"/>
          </w:tcPr>
          <w:p w:rsidR="003F5784" w14:paraId="7B504CCD" w14:textId="77777777">
            <w:pPr>
              <w:pStyle w:val="TableParagraph"/>
              <w:ind w:left="463"/>
              <w:jc w:val="left"/>
              <w:rPr>
                <w:sz w:val="21"/>
              </w:rPr>
            </w:pPr>
            <w:r>
              <w:rPr>
                <w:spacing w:val="-4"/>
                <w:sz w:val="21"/>
              </w:rPr>
              <w:t>2.14</w:t>
            </w:r>
          </w:p>
        </w:tc>
        <w:tc>
          <w:tcPr>
            <w:tcW w:w="1800" w:type="dxa"/>
            <w:gridSpan w:val="3"/>
          </w:tcPr>
          <w:p w:rsidR="003F5784" w14:paraId="529F5EF0" w14:textId="77777777">
            <w:pPr>
              <w:pStyle w:val="TableParagraph"/>
              <w:ind w:right="22"/>
              <w:jc w:val="center"/>
              <w:rPr>
                <w:sz w:val="21"/>
              </w:rPr>
            </w:pPr>
            <w:r>
              <w:rPr>
                <w:spacing w:val="-2"/>
                <w:sz w:val="21"/>
              </w:rPr>
              <w:t>91.68</w:t>
            </w:r>
          </w:p>
        </w:tc>
        <w:tc>
          <w:tcPr>
            <w:tcW w:w="1710" w:type="dxa"/>
            <w:gridSpan w:val="2"/>
          </w:tcPr>
          <w:p w:rsidR="003F5784" w14:paraId="470A10CD" w14:textId="77777777">
            <w:pPr>
              <w:pStyle w:val="TableParagraph"/>
              <w:ind w:right="118"/>
              <w:rPr>
                <w:sz w:val="21"/>
              </w:rPr>
            </w:pPr>
            <w:r>
              <w:rPr>
                <w:spacing w:val="-2"/>
                <w:sz w:val="21"/>
              </w:rPr>
              <w:t>14.13</w:t>
            </w:r>
          </w:p>
        </w:tc>
      </w:tr>
      <w:tr w14:paraId="52CF5431"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17DEF6C3" w14:textId="77777777">
            <w:pPr>
              <w:pStyle w:val="TableParagraph"/>
              <w:ind w:left="120"/>
              <w:jc w:val="left"/>
              <w:rPr>
                <w:sz w:val="21"/>
              </w:rPr>
            </w:pPr>
            <w:r>
              <w:rPr>
                <w:spacing w:val="-2"/>
                <w:sz w:val="21"/>
              </w:rPr>
              <w:t>Texas</w:t>
            </w:r>
          </w:p>
        </w:tc>
        <w:tc>
          <w:tcPr>
            <w:tcW w:w="1359" w:type="dxa"/>
          </w:tcPr>
          <w:p w:rsidR="003F5784" w14:paraId="5FAD4C7D" w14:textId="77777777">
            <w:pPr>
              <w:pStyle w:val="TableParagraph"/>
              <w:ind w:right="738"/>
              <w:rPr>
                <w:sz w:val="21"/>
              </w:rPr>
            </w:pPr>
            <w:r>
              <w:rPr>
                <w:spacing w:val="-5"/>
                <w:sz w:val="21"/>
              </w:rPr>
              <w:t>270</w:t>
            </w:r>
          </w:p>
        </w:tc>
        <w:tc>
          <w:tcPr>
            <w:tcW w:w="2070" w:type="dxa"/>
            <w:gridSpan w:val="2"/>
          </w:tcPr>
          <w:p w:rsidR="003F5784" w14:paraId="165C335A" w14:textId="77777777">
            <w:pPr>
              <w:pStyle w:val="TableParagraph"/>
              <w:ind w:left="159" w:right="112"/>
              <w:jc w:val="center"/>
              <w:rPr>
                <w:sz w:val="21"/>
              </w:rPr>
            </w:pPr>
            <w:r>
              <w:rPr>
                <w:spacing w:val="-2"/>
                <w:sz w:val="21"/>
              </w:rPr>
              <w:t>100.00</w:t>
            </w:r>
          </w:p>
        </w:tc>
        <w:tc>
          <w:tcPr>
            <w:tcW w:w="1980" w:type="dxa"/>
            <w:gridSpan w:val="2"/>
          </w:tcPr>
          <w:p w:rsidR="003F5784" w14:paraId="6A2AB24C" w14:textId="77777777">
            <w:pPr>
              <w:pStyle w:val="TableParagraph"/>
              <w:ind w:right="386"/>
              <w:rPr>
                <w:sz w:val="21"/>
              </w:rPr>
            </w:pPr>
            <w:r>
              <w:rPr>
                <w:spacing w:val="-2"/>
                <w:sz w:val="21"/>
              </w:rPr>
              <w:t>100.00</w:t>
            </w:r>
          </w:p>
        </w:tc>
        <w:tc>
          <w:tcPr>
            <w:tcW w:w="1350" w:type="dxa"/>
            <w:gridSpan w:val="3"/>
          </w:tcPr>
          <w:p w:rsidR="003F5784" w14:paraId="03070D11" w14:textId="77777777">
            <w:pPr>
              <w:pStyle w:val="TableParagraph"/>
              <w:ind w:left="387"/>
              <w:jc w:val="left"/>
              <w:rPr>
                <w:sz w:val="21"/>
              </w:rPr>
            </w:pPr>
            <w:r>
              <w:rPr>
                <w:spacing w:val="-2"/>
                <w:sz w:val="21"/>
              </w:rPr>
              <w:t>6,400</w:t>
            </w:r>
          </w:p>
        </w:tc>
        <w:tc>
          <w:tcPr>
            <w:tcW w:w="1170" w:type="dxa"/>
          </w:tcPr>
          <w:p w:rsidR="003F5784" w14:paraId="408CF787" w14:textId="77777777">
            <w:pPr>
              <w:pStyle w:val="TableParagraph"/>
              <w:ind w:left="463"/>
              <w:jc w:val="left"/>
              <w:rPr>
                <w:sz w:val="21"/>
              </w:rPr>
            </w:pPr>
            <w:r>
              <w:rPr>
                <w:spacing w:val="-4"/>
                <w:sz w:val="21"/>
              </w:rPr>
              <w:t>3.28</w:t>
            </w:r>
          </w:p>
        </w:tc>
        <w:tc>
          <w:tcPr>
            <w:tcW w:w="1800" w:type="dxa"/>
            <w:gridSpan w:val="3"/>
          </w:tcPr>
          <w:p w:rsidR="003F5784" w14:paraId="7B00D247" w14:textId="77777777">
            <w:pPr>
              <w:pStyle w:val="TableParagraph"/>
              <w:ind w:right="22"/>
              <w:jc w:val="center"/>
              <w:rPr>
                <w:sz w:val="21"/>
              </w:rPr>
            </w:pPr>
            <w:r>
              <w:rPr>
                <w:spacing w:val="-2"/>
                <w:sz w:val="21"/>
              </w:rPr>
              <w:t>92.44</w:t>
            </w:r>
          </w:p>
        </w:tc>
        <w:tc>
          <w:tcPr>
            <w:tcW w:w="1710" w:type="dxa"/>
            <w:gridSpan w:val="2"/>
          </w:tcPr>
          <w:p w:rsidR="003F5784" w14:paraId="698FF5A3" w14:textId="77777777">
            <w:pPr>
              <w:pStyle w:val="TableParagraph"/>
              <w:ind w:right="118"/>
              <w:rPr>
                <w:sz w:val="21"/>
              </w:rPr>
            </w:pPr>
            <w:r>
              <w:rPr>
                <w:spacing w:val="-2"/>
                <w:sz w:val="21"/>
              </w:rPr>
              <w:t>19.82</w:t>
            </w:r>
          </w:p>
        </w:tc>
      </w:tr>
      <w:tr w14:paraId="1D62F8AF"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76DDBDCE" w14:textId="77777777">
            <w:pPr>
              <w:pStyle w:val="TableParagraph"/>
              <w:ind w:left="120"/>
              <w:jc w:val="left"/>
              <w:rPr>
                <w:sz w:val="21"/>
              </w:rPr>
            </w:pPr>
            <w:r>
              <w:rPr>
                <w:spacing w:val="-4"/>
                <w:sz w:val="21"/>
              </w:rPr>
              <w:t>Utah</w:t>
            </w:r>
          </w:p>
        </w:tc>
        <w:tc>
          <w:tcPr>
            <w:tcW w:w="1359" w:type="dxa"/>
          </w:tcPr>
          <w:p w:rsidR="003F5784" w14:paraId="33C77828" w14:textId="77777777">
            <w:pPr>
              <w:pStyle w:val="TableParagraph"/>
              <w:ind w:right="738"/>
              <w:rPr>
                <w:sz w:val="21"/>
              </w:rPr>
            </w:pPr>
            <w:r>
              <w:rPr>
                <w:spacing w:val="-5"/>
                <w:sz w:val="21"/>
              </w:rPr>
              <w:t>90</w:t>
            </w:r>
          </w:p>
        </w:tc>
        <w:tc>
          <w:tcPr>
            <w:tcW w:w="2070" w:type="dxa"/>
            <w:gridSpan w:val="2"/>
          </w:tcPr>
          <w:p w:rsidR="003F5784" w14:paraId="065954CD" w14:textId="77777777">
            <w:pPr>
              <w:pStyle w:val="TableParagraph"/>
              <w:ind w:left="159" w:right="112"/>
              <w:jc w:val="center"/>
              <w:rPr>
                <w:sz w:val="21"/>
              </w:rPr>
            </w:pPr>
            <w:r>
              <w:rPr>
                <w:spacing w:val="-2"/>
                <w:sz w:val="21"/>
              </w:rPr>
              <w:t>100.00</w:t>
            </w:r>
          </w:p>
        </w:tc>
        <w:tc>
          <w:tcPr>
            <w:tcW w:w="1980" w:type="dxa"/>
            <w:gridSpan w:val="2"/>
          </w:tcPr>
          <w:p w:rsidR="003F5784" w14:paraId="2C16EDC7" w14:textId="77777777">
            <w:pPr>
              <w:pStyle w:val="TableParagraph"/>
              <w:ind w:right="386"/>
              <w:rPr>
                <w:sz w:val="21"/>
              </w:rPr>
            </w:pPr>
            <w:r>
              <w:rPr>
                <w:spacing w:val="-2"/>
                <w:sz w:val="21"/>
              </w:rPr>
              <w:t>100.00</w:t>
            </w:r>
          </w:p>
        </w:tc>
        <w:tc>
          <w:tcPr>
            <w:tcW w:w="1350" w:type="dxa"/>
            <w:gridSpan w:val="3"/>
          </w:tcPr>
          <w:p w:rsidR="003F5784" w14:paraId="06ACB2B4" w14:textId="77777777">
            <w:pPr>
              <w:pStyle w:val="TableParagraph"/>
              <w:ind w:left="387"/>
              <w:jc w:val="left"/>
              <w:rPr>
                <w:sz w:val="21"/>
              </w:rPr>
            </w:pPr>
            <w:r>
              <w:rPr>
                <w:spacing w:val="-2"/>
                <w:sz w:val="21"/>
              </w:rPr>
              <w:t>2,000</w:t>
            </w:r>
          </w:p>
        </w:tc>
        <w:tc>
          <w:tcPr>
            <w:tcW w:w="1170" w:type="dxa"/>
          </w:tcPr>
          <w:p w:rsidR="003F5784" w14:paraId="2A505AD7" w14:textId="77777777">
            <w:pPr>
              <w:pStyle w:val="TableParagraph"/>
              <w:ind w:left="463"/>
              <w:jc w:val="left"/>
              <w:rPr>
                <w:sz w:val="21"/>
              </w:rPr>
            </w:pPr>
            <w:r>
              <w:rPr>
                <w:spacing w:val="-4"/>
                <w:sz w:val="21"/>
              </w:rPr>
              <w:t>1.03</w:t>
            </w:r>
          </w:p>
        </w:tc>
        <w:tc>
          <w:tcPr>
            <w:tcW w:w="1800" w:type="dxa"/>
            <w:gridSpan w:val="3"/>
          </w:tcPr>
          <w:p w:rsidR="003F5784" w14:paraId="67B9AD77" w14:textId="77777777">
            <w:pPr>
              <w:pStyle w:val="TableParagraph"/>
              <w:ind w:right="22"/>
              <w:jc w:val="center"/>
              <w:rPr>
                <w:sz w:val="21"/>
              </w:rPr>
            </w:pPr>
            <w:r>
              <w:rPr>
                <w:spacing w:val="-2"/>
                <w:sz w:val="21"/>
              </w:rPr>
              <w:t>92.30</w:t>
            </w:r>
          </w:p>
        </w:tc>
        <w:tc>
          <w:tcPr>
            <w:tcW w:w="1710" w:type="dxa"/>
            <w:gridSpan w:val="2"/>
          </w:tcPr>
          <w:p w:rsidR="003F5784" w14:paraId="59409362" w14:textId="77777777">
            <w:pPr>
              <w:pStyle w:val="TableParagraph"/>
              <w:ind w:right="118"/>
              <w:rPr>
                <w:sz w:val="21"/>
              </w:rPr>
            </w:pPr>
            <w:r>
              <w:rPr>
                <w:spacing w:val="-2"/>
                <w:sz w:val="21"/>
              </w:rPr>
              <w:t>10.55</w:t>
            </w:r>
          </w:p>
        </w:tc>
      </w:tr>
      <w:tr w14:paraId="44B8B335"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78EB227E" w14:textId="77777777">
            <w:pPr>
              <w:pStyle w:val="TableParagraph"/>
              <w:ind w:left="120"/>
              <w:jc w:val="left"/>
              <w:rPr>
                <w:sz w:val="21"/>
              </w:rPr>
            </w:pPr>
            <w:r>
              <w:rPr>
                <w:spacing w:val="-2"/>
                <w:sz w:val="21"/>
              </w:rPr>
              <w:t>Vermont</w:t>
            </w:r>
          </w:p>
        </w:tc>
        <w:tc>
          <w:tcPr>
            <w:tcW w:w="1359" w:type="dxa"/>
          </w:tcPr>
          <w:p w:rsidR="003F5784" w14:paraId="6F974291" w14:textId="77777777">
            <w:pPr>
              <w:pStyle w:val="TableParagraph"/>
              <w:ind w:right="738"/>
              <w:rPr>
                <w:sz w:val="21"/>
              </w:rPr>
            </w:pPr>
            <w:r>
              <w:rPr>
                <w:spacing w:val="-5"/>
                <w:sz w:val="21"/>
              </w:rPr>
              <w:t>130</w:t>
            </w:r>
          </w:p>
        </w:tc>
        <w:tc>
          <w:tcPr>
            <w:tcW w:w="2070" w:type="dxa"/>
            <w:gridSpan w:val="2"/>
          </w:tcPr>
          <w:p w:rsidR="003F5784" w14:paraId="18E1AC30" w14:textId="77777777">
            <w:pPr>
              <w:pStyle w:val="TableParagraph"/>
              <w:ind w:left="159" w:right="112"/>
              <w:jc w:val="center"/>
              <w:rPr>
                <w:sz w:val="21"/>
              </w:rPr>
            </w:pPr>
            <w:r>
              <w:rPr>
                <w:spacing w:val="-2"/>
                <w:sz w:val="21"/>
              </w:rPr>
              <w:t>100.00</w:t>
            </w:r>
          </w:p>
        </w:tc>
        <w:tc>
          <w:tcPr>
            <w:tcW w:w="1980" w:type="dxa"/>
            <w:gridSpan w:val="2"/>
          </w:tcPr>
          <w:p w:rsidR="003F5784" w14:paraId="24977C7D" w14:textId="77777777">
            <w:pPr>
              <w:pStyle w:val="TableParagraph"/>
              <w:ind w:right="386"/>
              <w:rPr>
                <w:sz w:val="21"/>
              </w:rPr>
            </w:pPr>
            <w:r>
              <w:rPr>
                <w:spacing w:val="-2"/>
                <w:sz w:val="21"/>
              </w:rPr>
              <w:t>100.00</w:t>
            </w:r>
          </w:p>
        </w:tc>
        <w:tc>
          <w:tcPr>
            <w:tcW w:w="1350" w:type="dxa"/>
            <w:gridSpan w:val="3"/>
          </w:tcPr>
          <w:p w:rsidR="003F5784" w14:paraId="628F9316" w14:textId="77777777">
            <w:pPr>
              <w:pStyle w:val="TableParagraph"/>
              <w:ind w:left="387"/>
              <w:jc w:val="left"/>
              <w:rPr>
                <w:sz w:val="21"/>
              </w:rPr>
            </w:pPr>
            <w:r>
              <w:rPr>
                <w:spacing w:val="-2"/>
                <w:sz w:val="21"/>
              </w:rPr>
              <w:t>2,000</w:t>
            </w:r>
          </w:p>
        </w:tc>
        <w:tc>
          <w:tcPr>
            <w:tcW w:w="1170" w:type="dxa"/>
          </w:tcPr>
          <w:p w:rsidR="003F5784" w14:paraId="390A9E5D" w14:textId="77777777">
            <w:pPr>
              <w:pStyle w:val="TableParagraph"/>
              <w:ind w:left="463"/>
              <w:jc w:val="left"/>
              <w:rPr>
                <w:sz w:val="21"/>
              </w:rPr>
            </w:pPr>
            <w:r>
              <w:rPr>
                <w:spacing w:val="-4"/>
                <w:sz w:val="21"/>
              </w:rPr>
              <w:t>1.27</w:t>
            </w:r>
          </w:p>
        </w:tc>
        <w:tc>
          <w:tcPr>
            <w:tcW w:w="1800" w:type="dxa"/>
            <w:gridSpan w:val="3"/>
          </w:tcPr>
          <w:p w:rsidR="003F5784" w14:paraId="676A3AC9" w14:textId="77777777">
            <w:pPr>
              <w:pStyle w:val="TableParagraph"/>
              <w:ind w:right="22"/>
              <w:jc w:val="center"/>
              <w:rPr>
                <w:sz w:val="21"/>
              </w:rPr>
            </w:pPr>
            <w:r>
              <w:rPr>
                <w:spacing w:val="-2"/>
                <w:sz w:val="21"/>
              </w:rPr>
              <w:t>89.00</w:t>
            </w:r>
          </w:p>
        </w:tc>
        <w:tc>
          <w:tcPr>
            <w:tcW w:w="1710" w:type="dxa"/>
            <w:gridSpan w:val="2"/>
          </w:tcPr>
          <w:p w:rsidR="003F5784" w14:paraId="715E2B86" w14:textId="77777777">
            <w:pPr>
              <w:pStyle w:val="TableParagraph"/>
              <w:ind w:right="118"/>
              <w:rPr>
                <w:sz w:val="21"/>
              </w:rPr>
            </w:pPr>
            <w:r>
              <w:rPr>
                <w:spacing w:val="-2"/>
                <w:sz w:val="21"/>
              </w:rPr>
              <w:t>16.55</w:t>
            </w:r>
          </w:p>
        </w:tc>
      </w:tr>
      <w:tr w14:paraId="44C7C5EE" w14:textId="77777777" w:rsidTr="008C4D83">
        <w:tblPrEx>
          <w:tblW w:w="0" w:type="auto"/>
          <w:tblInd w:w="552" w:type="dxa"/>
          <w:tblLayout w:type="fixed"/>
          <w:tblCellMar>
            <w:left w:w="0" w:type="dxa"/>
            <w:right w:w="0" w:type="dxa"/>
          </w:tblCellMar>
          <w:tblLook w:val="01E0"/>
        </w:tblPrEx>
        <w:trPr>
          <w:trHeight w:val="289"/>
        </w:trPr>
        <w:tc>
          <w:tcPr>
            <w:tcW w:w="2499" w:type="dxa"/>
            <w:tcBorders>
              <w:bottom w:val="single" w:sz="18" w:space="0" w:color="800000"/>
            </w:tcBorders>
          </w:tcPr>
          <w:p w:rsidR="003F5784" w14:paraId="7CBFD815" w14:textId="77777777">
            <w:pPr>
              <w:pStyle w:val="TableParagraph"/>
              <w:ind w:left="120"/>
              <w:jc w:val="left"/>
              <w:rPr>
                <w:sz w:val="21"/>
              </w:rPr>
            </w:pPr>
            <w:r>
              <w:rPr>
                <w:spacing w:val="-2"/>
                <w:sz w:val="21"/>
              </w:rPr>
              <w:t>Virginia</w:t>
            </w:r>
          </w:p>
        </w:tc>
        <w:tc>
          <w:tcPr>
            <w:tcW w:w="1359" w:type="dxa"/>
            <w:tcBorders>
              <w:bottom w:val="single" w:sz="18" w:space="0" w:color="800000"/>
            </w:tcBorders>
          </w:tcPr>
          <w:p w:rsidR="003F5784" w14:paraId="66D1AA0B" w14:textId="77777777">
            <w:pPr>
              <w:pStyle w:val="TableParagraph"/>
              <w:ind w:right="738"/>
              <w:rPr>
                <w:sz w:val="21"/>
              </w:rPr>
            </w:pPr>
            <w:r>
              <w:rPr>
                <w:spacing w:val="-5"/>
                <w:sz w:val="21"/>
              </w:rPr>
              <w:t>90</w:t>
            </w:r>
          </w:p>
        </w:tc>
        <w:tc>
          <w:tcPr>
            <w:tcW w:w="2070" w:type="dxa"/>
            <w:gridSpan w:val="2"/>
            <w:tcBorders>
              <w:bottom w:val="single" w:sz="18" w:space="0" w:color="800000"/>
            </w:tcBorders>
          </w:tcPr>
          <w:p w:rsidR="003F5784" w14:paraId="14755120" w14:textId="77777777">
            <w:pPr>
              <w:pStyle w:val="TableParagraph"/>
              <w:ind w:left="159" w:right="112"/>
              <w:jc w:val="center"/>
              <w:rPr>
                <w:sz w:val="21"/>
              </w:rPr>
            </w:pPr>
            <w:r>
              <w:rPr>
                <w:spacing w:val="-2"/>
                <w:sz w:val="21"/>
              </w:rPr>
              <w:t>100.00</w:t>
            </w:r>
          </w:p>
        </w:tc>
        <w:tc>
          <w:tcPr>
            <w:tcW w:w="1980" w:type="dxa"/>
            <w:gridSpan w:val="2"/>
            <w:tcBorders>
              <w:bottom w:val="single" w:sz="18" w:space="0" w:color="800000"/>
            </w:tcBorders>
          </w:tcPr>
          <w:p w:rsidR="003F5784" w14:paraId="73B5E607" w14:textId="77777777">
            <w:pPr>
              <w:pStyle w:val="TableParagraph"/>
              <w:ind w:right="386"/>
              <w:rPr>
                <w:sz w:val="21"/>
              </w:rPr>
            </w:pPr>
            <w:r>
              <w:rPr>
                <w:spacing w:val="-2"/>
                <w:sz w:val="21"/>
              </w:rPr>
              <w:t>100.00</w:t>
            </w:r>
          </w:p>
        </w:tc>
        <w:tc>
          <w:tcPr>
            <w:tcW w:w="1350" w:type="dxa"/>
            <w:gridSpan w:val="3"/>
            <w:tcBorders>
              <w:bottom w:val="single" w:sz="18" w:space="0" w:color="800000"/>
            </w:tcBorders>
          </w:tcPr>
          <w:p w:rsidR="003F5784" w14:paraId="24469D98" w14:textId="77777777">
            <w:pPr>
              <w:pStyle w:val="TableParagraph"/>
              <w:ind w:left="387"/>
              <w:jc w:val="left"/>
              <w:rPr>
                <w:sz w:val="21"/>
              </w:rPr>
            </w:pPr>
            <w:r>
              <w:rPr>
                <w:spacing w:val="-2"/>
                <w:sz w:val="21"/>
              </w:rPr>
              <w:t>2,000</w:t>
            </w:r>
          </w:p>
        </w:tc>
        <w:tc>
          <w:tcPr>
            <w:tcW w:w="1170" w:type="dxa"/>
            <w:tcBorders>
              <w:bottom w:val="single" w:sz="18" w:space="0" w:color="800000"/>
            </w:tcBorders>
          </w:tcPr>
          <w:p w:rsidR="003F5784" w14:paraId="44189E38" w14:textId="77777777">
            <w:pPr>
              <w:pStyle w:val="TableParagraph"/>
              <w:ind w:left="463"/>
              <w:jc w:val="left"/>
              <w:rPr>
                <w:sz w:val="21"/>
              </w:rPr>
            </w:pPr>
            <w:r>
              <w:rPr>
                <w:spacing w:val="-4"/>
                <w:sz w:val="21"/>
              </w:rPr>
              <w:t>2.25</w:t>
            </w:r>
          </w:p>
        </w:tc>
        <w:tc>
          <w:tcPr>
            <w:tcW w:w="1800" w:type="dxa"/>
            <w:gridSpan w:val="3"/>
            <w:tcBorders>
              <w:bottom w:val="single" w:sz="18" w:space="0" w:color="800000"/>
            </w:tcBorders>
          </w:tcPr>
          <w:p w:rsidR="003F5784" w14:paraId="7F7AA78D" w14:textId="77777777">
            <w:pPr>
              <w:pStyle w:val="TableParagraph"/>
              <w:ind w:right="22"/>
              <w:jc w:val="center"/>
              <w:rPr>
                <w:sz w:val="21"/>
              </w:rPr>
            </w:pPr>
            <w:r>
              <w:rPr>
                <w:spacing w:val="-2"/>
                <w:sz w:val="21"/>
              </w:rPr>
              <w:t>91.86</w:t>
            </w:r>
          </w:p>
        </w:tc>
        <w:tc>
          <w:tcPr>
            <w:tcW w:w="1710" w:type="dxa"/>
            <w:gridSpan w:val="2"/>
            <w:tcBorders>
              <w:bottom w:val="single" w:sz="18" w:space="0" w:color="800000"/>
            </w:tcBorders>
          </w:tcPr>
          <w:p w:rsidR="003F5784" w14:paraId="1F7ACAEE" w14:textId="77777777">
            <w:pPr>
              <w:pStyle w:val="TableParagraph"/>
              <w:ind w:right="118"/>
              <w:rPr>
                <w:sz w:val="21"/>
              </w:rPr>
            </w:pPr>
            <w:r>
              <w:rPr>
                <w:spacing w:val="-2"/>
                <w:sz w:val="21"/>
              </w:rPr>
              <w:t>12.33</w:t>
            </w:r>
          </w:p>
        </w:tc>
      </w:tr>
    </w:tbl>
    <w:p w:rsidR="003F5784" w14:paraId="3F012183" w14:textId="77777777">
      <w:pPr>
        <w:rPr>
          <w:sz w:val="21"/>
        </w:rPr>
        <w:sectPr>
          <w:headerReference w:type="default" r:id="rId551"/>
          <w:footerReference w:type="default" r:id="rId552"/>
          <w:pgSz w:w="15840" w:h="12240" w:orient="landscape"/>
          <w:pgMar w:top="480" w:right="440" w:bottom="2040" w:left="460" w:header="284" w:footer="1856" w:gutter="0"/>
          <w:cols w:space="720"/>
        </w:sectPr>
      </w:pPr>
    </w:p>
    <w:p w:rsidR="003F5784" w14:paraId="296F8791" w14:textId="77777777">
      <w:pPr>
        <w:pStyle w:val="BodyText"/>
        <w:spacing w:before="5"/>
        <w:rPr>
          <w:b/>
          <w:sz w:val="9"/>
        </w:rPr>
      </w:pPr>
    </w:p>
    <w:tbl>
      <w:tblPr>
        <w:tblW w:w="13853" w:type="dxa"/>
        <w:tblInd w:w="552" w:type="dxa"/>
        <w:tblLayout w:type="fixed"/>
        <w:tblCellMar>
          <w:left w:w="0" w:type="dxa"/>
          <w:right w:w="0" w:type="dxa"/>
        </w:tblCellMar>
        <w:tblLook w:val="01E0"/>
      </w:tblPr>
      <w:tblGrid>
        <w:gridCol w:w="2917"/>
        <w:gridCol w:w="941"/>
        <w:gridCol w:w="33"/>
        <w:gridCol w:w="1494"/>
        <w:gridCol w:w="24"/>
        <w:gridCol w:w="1686"/>
        <w:gridCol w:w="1707"/>
        <w:gridCol w:w="1797"/>
        <w:gridCol w:w="9"/>
        <w:gridCol w:w="1620"/>
        <w:gridCol w:w="16"/>
        <w:gridCol w:w="1609"/>
      </w:tblGrid>
      <w:tr w14:paraId="7F7405F0" w14:textId="77777777" w:rsidTr="00A550C9">
        <w:tblPrEx>
          <w:tblW w:w="13853" w:type="dxa"/>
          <w:tblInd w:w="552" w:type="dxa"/>
          <w:tblLayout w:type="fixed"/>
          <w:tblCellMar>
            <w:left w:w="0" w:type="dxa"/>
            <w:right w:w="0" w:type="dxa"/>
          </w:tblCellMar>
          <w:tblLook w:val="01E0"/>
        </w:tblPrEx>
        <w:trPr>
          <w:trHeight w:val="232"/>
        </w:trPr>
        <w:tc>
          <w:tcPr>
            <w:tcW w:w="3891" w:type="dxa"/>
            <w:gridSpan w:val="3"/>
          </w:tcPr>
          <w:p w:rsidR="003F5784" w14:paraId="36B08B83" w14:textId="77777777">
            <w:pPr>
              <w:pStyle w:val="TableParagraph"/>
              <w:spacing w:before="0"/>
              <w:jc w:val="left"/>
              <w:rPr>
                <w:sz w:val="16"/>
              </w:rPr>
            </w:pPr>
          </w:p>
        </w:tc>
        <w:tc>
          <w:tcPr>
            <w:tcW w:w="1518" w:type="dxa"/>
            <w:gridSpan w:val="2"/>
          </w:tcPr>
          <w:p w:rsidR="003F5784" w14:paraId="2DE4DF28" w14:textId="77777777">
            <w:pPr>
              <w:pStyle w:val="TableParagraph"/>
              <w:spacing w:before="0" w:line="213" w:lineRule="exact"/>
              <w:ind w:right="133"/>
              <w:rPr>
                <w:sz w:val="21"/>
              </w:rPr>
            </w:pPr>
            <w:r>
              <w:rPr>
                <w:sz w:val="21"/>
              </w:rPr>
              <w:t>School</w:t>
            </w:r>
            <w:r>
              <w:rPr>
                <w:spacing w:val="-7"/>
                <w:sz w:val="21"/>
              </w:rPr>
              <w:t xml:space="preserve"> </w:t>
            </w:r>
            <w:r>
              <w:rPr>
                <w:spacing w:val="-2"/>
                <w:sz w:val="21"/>
              </w:rPr>
              <w:t>participation</w:t>
            </w:r>
          </w:p>
        </w:tc>
        <w:tc>
          <w:tcPr>
            <w:tcW w:w="1686" w:type="dxa"/>
          </w:tcPr>
          <w:p w:rsidR="003F5784" w14:paraId="4051CEB5" w14:textId="77777777">
            <w:pPr>
              <w:pStyle w:val="TableParagraph"/>
              <w:spacing w:before="0"/>
              <w:jc w:val="left"/>
              <w:rPr>
                <w:sz w:val="16"/>
              </w:rPr>
            </w:pPr>
          </w:p>
        </w:tc>
        <w:tc>
          <w:tcPr>
            <w:tcW w:w="6758" w:type="dxa"/>
            <w:gridSpan w:val="6"/>
            <w:vMerge w:val="restart"/>
          </w:tcPr>
          <w:p w:rsidR="003F5784" w14:paraId="1D73D30B" w14:textId="77777777">
            <w:pPr>
              <w:pStyle w:val="TableParagraph"/>
              <w:spacing w:before="0"/>
              <w:jc w:val="left"/>
              <w:rPr>
                <w:sz w:val="20"/>
              </w:rPr>
            </w:pPr>
          </w:p>
        </w:tc>
      </w:tr>
      <w:tr w14:paraId="3FCCA579" w14:textId="77777777" w:rsidTr="00A550C9">
        <w:tblPrEx>
          <w:tblW w:w="13853" w:type="dxa"/>
          <w:tblInd w:w="552" w:type="dxa"/>
          <w:tblLayout w:type="fixed"/>
          <w:tblCellMar>
            <w:left w:w="0" w:type="dxa"/>
            <w:right w:w="0" w:type="dxa"/>
          </w:tblCellMar>
          <w:tblLook w:val="01E0"/>
        </w:tblPrEx>
        <w:trPr>
          <w:trHeight w:val="234"/>
        </w:trPr>
        <w:tc>
          <w:tcPr>
            <w:tcW w:w="3891" w:type="dxa"/>
            <w:gridSpan w:val="3"/>
          </w:tcPr>
          <w:p w:rsidR="003F5784" w14:paraId="2114CA31" w14:textId="77777777">
            <w:pPr>
              <w:pStyle w:val="TableParagraph"/>
              <w:spacing w:before="0" w:line="215" w:lineRule="exact"/>
              <w:ind w:right="133"/>
              <w:rPr>
                <w:sz w:val="21"/>
              </w:rPr>
            </w:pPr>
            <w:r>
              <w:rPr>
                <w:sz w:val="21"/>
              </w:rPr>
              <w:t>Number</w:t>
            </w:r>
            <w:r>
              <w:rPr>
                <w:spacing w:val="-8"/>
                <w:sz w:val="21"/>
              </w:rPr>
              <w:t xml:space="preserve"> </w:t>
            </w:r>
            <w:r>
              <w:rPr>
                <w:spacing w:val="-5"/>
                <w:sz w:val="21"/>
              </w:rPr>
              <w:t>of</w:t>
            </w:r>
          </w:p>
        </w:tc>
        <w:tc>
          <w:tcPr>
            <w:tcW w:w="1518" w:type="dxa"/>
            <w:gridSpan w:val="2"/>
          </w:tcPr>
          <w:p w:rsidR="003F5784" w14:paraId="359D72F9" w14:textId="77777777">
            <w:pPr>
              <w:pStyle w:val="TableParagraph"/>
              <w:spacing w:before="0" w:line="215" w:lineRule="exact"/>
              <w:ind w:right="133"/>
              <w:rPr>
                <w:sz w:val="21"/>
              </w:rPr>
            </w:pPr>
            <w:r>
              <w:rPr>
                <w:sz w:val="21"/>
              </w:rPr>
              <w:t>rates</w:t>
            </w:r>
            <w:r>
              <w:rPr>
                <w:spacing w:val="-7"/>
                <w:sz w:val="21"/>
              </w:rPr>
              <w:t xml:space="preserve"> </w:t>
            </w:r>
            <w:r>
              <w:rPr>
                <w:sz w:val="21"/>
              </w:rPr>
              <w:t>(percent)</w:t>
            </w:r>
            <w:r>
              <w:rPr>
                <w:spacing w:val="-7"/>
                <w:sz w:val="21"/>
              </w:rPr>
              <w:t xml:space="preserve"> </w:t>
            </w:r>
            <w:r>
              <w:rPr>
                <w:spacing w:val="-2"/>
                <w:sz w:val="21"/>
              </w:rPr>
              <w:t>before</w:t>
            </w:r>
          </w:p>
        </w:tc>
        <w:tc>
          <w:tcPr>
            <w:tcW w:w="1686" w:type="dxa"/>
          </w:tcPr>
          <w:p w:rsidR="003F5784" w14:paraId="745084A2" w14:textId="77777777">
            <w:pPr>
              <w:pStyle w:val="TableParagraph"/>
              <w:spacing w:before="0" w:line="215" w:lineRule="exact"/>
              <w:ind w:right="164"/>
              <w:rPr>
                <w:sz w:val="21"/>
              </w:rPr>
            </w:pPr>
            <w:r>
              <w:rPr>
                <w:sz w:val="21"/>
              </w:rPr>
              <w:t>School</w:t>
            </w:r>
            <w:r>
              <w:rPr>
                <w:spacing w:val="-7"/>
                <w:sz w:val="21"/>
              </w:rPr>
              <w:t xml:space="preserve"> </w:t>
            </w:r>
            <w:r>
              <w:rPr>
                <w:spacing w:val="-2"/>
                <w:sz w:val="21"/>
              </w:rPr>
              <w:t>participation</w:t>
            </w:r>
          </w:p>
        </w:tc>
        <w:tc>
          <w:tcPr>
            <w:tcW w:w="6758" w:type="dxa"/>
            <w:gridSpan w:val="6"/>
            <w:vMerge/>
            <w:tcBorders>
              <w:top w:val="nil"/>
            </w:tcBorders>
          </w:tcPr>
          <w:p w:rsidR="003F5784" w14:paraId="4FFD344F" w14:textId="77777777">
            <w:pPr>
              <w:rPr>
                <w:sz w:val="2"/>
                <w:szCs w:val="2"/>
              </w:rPr>
            </w:pPr>
          </w:p>
        </w:tc>
      </w:tr>
      <w:tr w14:paraId="07057DAD" w14:textId="77777777" w:rsidTr="00A550C9">
        <w:tblPrEx>
          <w:tblW w:w="13853" w:type="dxa"/>
          <w:tblInd w:w="552" w:type="dxa"/>
          <w:tblLayout w:type="fixed"/>
          <w:tblCellMar>
            <w:left w:w="0" w:type="dxa"/>
            <w:right w:w="0" w:type="dxa"/>
          </w:tblCellMar>
          <w:tblLook w:val="01E0"/>
        </w:tblPrEx>
        <w:trPr>
          <w:trHeight w:val="234"/>
        </w:trPr>
        <w:tc>
          <w:tcPr>
            <w:tcW w:w="3891" w:type="dxa"/>
            <w:gridSpan w:val="3"/>
          </w:tcPr>
          <w:p w:rsidR="003F5784" w14:paraId="28F4E694" w14:textId="77777777">
            <w:pPr>
              <w:pStyle w:val="TableParagraph"/>
              <w:spacing w:before="0" w:line="215" w:lineRule="exact"/>
              <w:ind w:right="133"/>
              <w:rPr>
                <w:sz w:val="21"/>
              </w:rPr>
            </w:pPr>
            <w:r>
              <w:rPr>
                <w:sz w:val="21"/>
              </w:rPr>
              <w:t>schools</w:t>
            </w:r>
            <w:r>
              <w:rPr>
                <w:spacing w:val="-8"/>
                <w:sz w:val="21"/>
              </w:rPr>
              <w:t xml:space="preserve"> </w:t>
            </w:r>
            <w:r>
              <w:rPr>
                <w:spacing w:val="-5"/>
                <w:sz w:val="21"/>
              </w:rPr>
              <w:t>in</w:t>
            </w:r>
          </w:p>
        </w:tc>
        <w:tc>
          <w:tcPr>
            <w:tcW w:w="1518" w:type="dxa"/>
            <w:gridSpan w:val="2"/>
          </w:tcPr>
          <w:p w:rsidR="003F5784" w14:paraId="563E8A84" w14:textId="77777777">
            <w:pPr>
              <w:pStyle w:val="TableParagraph"/>
              <w:spacing w:before="0" w:line="215" w:lineRule="exact"/>
              <w:ind w:right="133"/>
              <w:rPr>
                <w:sz w:val="21"/>
              </w:rPr>
            </w:pPr>
            <w:r>
              <w:rPr>
                <w:spacing w:val="-2"/>
                <w:sz w:val="21"/>
              </w:rPr>
              <w:t>substitution</w:t>
            </w:r>
          </w:p>
        </w:tc>
        <w:tc>
          <w:tcPr>
            <w:tcW w:w="1686" w:type="dxa"/>
          </w:tcPr>
          <w:p w:rsidR="003F5784" w14:paraId="3854C01F" w14:textId="77777777">
            <w:pPr>
              <w:pStyle w:val="TableParagraph"/>
              <w:spacing w:before="0" w:line="215" w:lineRule="exact"/>
              <w:ind w:right="164"/>
              <w:rPr>
                <w:sz w:val="21"/>
              </w:rPr>
            </w:pPr>
            <w:r>
              <w:rPr>
                <w:sz w:val="21"/>
              </w:rPr>
              <w:t>rates</w:t>
            </w:r>
            <w:r>
              <w:rPr>
                <w:spacing w:val="-5"/>
                <w:sz w:val="21"/>
              </w:rPr>
              <w:t xml:space="preserve"> </w:t>
            </w:r>
            <w:r>
              <w:rPr>
                <w:spacing w:val="-2"/>
                <w:sz w:val="21"/>
              </w:rPr>
              <w:t>(percent)</w:t>
            </w:r>
          </w:p>
        </w:tc>
        <w:tc>
          <w:tcPr>
            <w:tcW w:w="1707" w:type="dxa"/>
          </w:tcPr>
          <w:p w:rsidR="003F5784" w14:paraId="265B3AC2" w14:textId="77777777">
            <w:pPr>
              <w:pStyle w:val="TableParagraph"/>
              <w:spacing w:before="0" w:line="215" w:lineRule="exact"/>
              <w:ind w:right="221"/>
              <w:rPr>
                <w:sz w:val="21"/>
              </w:rPr>
            </w:pPr>
            <w:r>
              <w:rPr>
                <w:sz w:val="21"/>
              </w:rPr>
              <w:t>Number</w:t>
            </w:r>
            <w:r>
              <w:rPr>
                <w:spacing w:val="-8"/>
                <w:sz w:val="21"/>
              </w:rPr>
              <w:t xml:space="preserve"> </w:t>
            </w:r>
            <w:r>
              <w:rPr>
                <w:spacing w:val="-5"/>
                <w:sz w:val="21"/>
              </w:rPr>
              <w:t>of</w:t>
            </w:r>
          </w:p>
        </w:tc>
        <w:tc>
          <w:tcPr>
            <w:tcW w:w="1797" w:type="dxa"/>
          </w:tcPr>
          <w:p w:rsidR="003F5784" w14:paraId="14E9E19F" w14:textId="77777777">
            <w:pPr>
              <w:pStyle w:val="TableParagraph"/>
              <w:spacing w:before="0" w:line="215" w:lineRule="exact"/>
              <w:ind w:right="130"/>
              <w:rPr>
                <w:sz w:val="21"/>
              </w:rPr>
            </w:pPr>
            <w:r>
              <w:rPr>
                <w:spacing w:val="-2"/>
                <w:sz w:val="21"/>
              </w:rPr>
              <w:t>Weighted</w:t>
            </w:r>
          </w:p>
        </w:tc>
        <w:tc>
          <w:tcPr>
            <w:tcW w:w="1645" w:type="dxa"/>
            <w:gridSpan w:val="3"/>
          </w:tcPr>
          <w:p w:rsidR="003F5784" w:rsidP="00A550C9" w14:paraId="6B814CA1" w14:textId="77777777">
            <w:pPr>
              <w:pStyle w:val="TableParagraph"/>
              <w:spacing w:before="0" w:line="215" w:lineRule="exact"/>
              <w:ind w:left="-69" w:right="147"/>
              <w:rPr>
                <w:sz w:val="21"/>
              </w:rPr>
            </w:pPr>
            <w:r>
              <w:rPr>
                <w:spacing w:val="-2"/>
                <w:sz w:val="21"/>
              </w:rPr>
              <w:t>Weighted</w:t>
            </w:r>
            <w:r>
              <w:rPr>
                <w:spacing w:val="-11"/>
                <w:sz w:val="21"/>
              </w:rPr>
              <w:t xml:space="preserve"> </w:t>
            </w:r>
            <w:r>
              <w:rPr>
                <w:spacing w:val="-2"/>
                <w:sz w:val="21"/>
              </w:rPr>
              <w:t>student</w:t>
            </w:r>
          </w:p>
        </w:tc>
        <w:tc>
          <w:tcPr>
            <w:tcW w:w="1609" w:type="dxa"/>
          </w:tcPr>
          <w:p w:rsidR="003F5784" w14:paraId="5A659B59" w14:textId="77777777">
            <w:pPr>
              <w:pStyle w:val="TableParagraph"/>
              <w:spacing w:before="0"/>
              <w:jc w:val="left"/>
              <w:rPr>
                <w:sz w:val="16"/>
              </w:rPr>
            </w:pPr>
          </w:p>
        </w:tc>
      </w:tr>
      <w:tr w14:paraId="673D2E0B" w14:textId="77777777" w:rsidTr="00A550C9">
        <w:tblPrEx>
          <w:tblW w:w="13853" w:type="dxa"/>
          <w:tblInd w:w="552" w:type="dxa"/>
          <w:tblLayout w:type="fixed"/>
          <w:tblCellMar>
            <w:left w:w="0" w:type="dxa"/>
            <w:right w:w="0" w:type="dxa"/>
          </w:tblCellMar>
          <w:tblLook w:val="01E0"/>
        </w:tblPrEx>
        <w:trPr>
          <w:trHeight w:val="234"/>
        </w:trPr>
        <w:tc>
          <w:tcPr>
            <w:tcW w:w="3891" w:type="dxa"/>
            <w:gridSpan w:val="3"/>
          </w:tcPr>
          <w:p w:rsidR="003F5784" w14:paraId="78B30F3D" w14:textId="77777777">
            <w:pPr>
              <w:pStyle w:val="TableParagraph"/>
              <w:spacing w:before="0" w:line="215" w:lineRule="exact"/>
              <w:ind w:right="133"/>
              <w:rPr>
                <w:sz w:val="21"/>
              </w:rPr>
            </w:pPr>
            <w:r>
              <w:rPr>
                <w:spacing w:val="-2"/>
                <w:sz w:val="21"/>
              </w:rPr>
              <w:t>original</w:t>
            </w:r>
          </w:p>
        </w:tc>
        <w:tc>
          <w:tcPr>
            <w:tcW w:w="1518" w:type="dxa"/>
            <w:gridSpan w:val="2"/>
          </w:tcPr>
          <w:p w:rsidR="003F5784" w14:paraId="085C9C9C" w14:textId="77777777">
            <w:pPr>
              <w:pStyle w:val="TableParagraph"/>
              <w:spacing w:before="0" w:line="215" w:lineRule="exact"/>
              <w:ind w:right="133"/>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686" w:type="dxa"/>
          </w:tcPr>
          <w:p w:rsidR="003F5784" w14:paraId="63F0D37A" w14:textId="77777777">
            <w:pPr>
              <w:pStyle w:val="TableParagraph"/>
              <w:spacing w:before="0" w:line="215" w:lineRule="exact"/>
              <w:ind w:right="164"/>
              <w:rPr>
                <w:sz w:val="21"/>
              </w:rPr>
            </w:pPr>
            <w:r>
              <w:rPr>
                <w:sz w:val="21"/>
              </w:rPr>
              <w:t>before</w:t>
            </w:r>
            <w:r>
              <w:rPr>
                <w:spacing w:val="-7"/>
                <w:sz w:val="21"/>
              </w:rPr>
              <w:t xml:space="preserve"> </w:t>
            </w:r>
            <w:r>
              <w:rPr>
                <w:spacing w:val="-2"/>
                <w:sz w:val="21"/>
              </w:rPr>
              <w:t>substitution</w:t>
            </w:r>
          </w:p>
        </w:tc>
        <w:tc>
          <w:tcPr>
            <w:tcW w:w="1707" w:type="dxa"/>
          </w:tcPr>
          <w:p w:rsidR="003F5784" w14:paraId="28EDE21D" w14:textId="77777777">
            <w:pPr>
              <w:pStyle w:val="TableParagraph"/>
              <w:spacing w:before="0" w:line="215" w:lineRule="exact"/>
              <w:ind w:right="221"/>
              <w:rPr>
                <w:sz w:val="21"/>
              </w:rPr>
            </w:pPr>
            <w:r>
              <w:rPr>
                <w:spacing w:val="-2"/>
                <w:sz w:val="21"/>
              </w:rPr>
              <w:t>students</w:t>
            </w:r>
          </w:p>
        </w:tc>
        <w:tc>
          <w:tcPr>
            <w:tcW w:w="1797" w:type="dxa"/>
          </w:tcPr>
          <w:p w:rsidR="003F5784" w14:paraId="49083080" w14:textId="77777777">
            <w:pPr>
              <w:pStyle w:val="TableParagraph"/>
              <w:spacing w:before="0" w:line="215" w:lineRule="exact"/>
              <w:ind w:right="130"/>
              <w:rPr>
                <w:sz w:val="21"/>
              </w:rPr>
            </w:pPr>
            <w:r>
              <w:rPr>
                <w:sz w:val="21"/>
              </w:rPr>
              <w:t>percent</w:t>
            </w:r>
            <w:r>
              <w:rPr>
                <w:spacing w:val="-8"/>
                <w:sz w:val="21"/>
              </w:rPr>
              <w:t xml:space="preserve"> </w:t>
            </w:r>
            <w:r>
              <w:rPr>
                <w:spacing w:val="-5"/>
                <w:sz w:val="21"/>
              </w:rPr>
              <w:t>of</w:t>
            </w:r>
          </w:p>
        </w:tc>
        <w:tc>
          <w:tcPr>
            <w:tcW w:w="1645" w:type="dxa"/>
            <w:gridSpan w:val="3"/>
          </w:tcPr>
          <w:p w:rsidR="003F5784" w14:paraId="5A3980A8" w14:textId="77777777">
            <w:pPr>
              <w:pStyle w:val="TableParagraph"/>
              <w:spacing w:before="0" w:line="215" w:lineRule="exact"/>
              <w:ind w:right="147"/>
              <w:rPr>
                <w:sz w:val="21"/>
              </w:rPr>
            </w:pPr>
            <w:r>
              <w:rPr>
                <w:spacing w:val="-2"/>
                <w:sz w:val="21"/>
              </w:rPr>
              <w:t>participation</w:t>
            </w:r>
          </w:p>
        </w:tc>
        <w:tc>
          <w:tcPr>
            <w:tcW w:w="1609" w:type="dxa"/>
          </w:tcPr>
          <w:p w:rsidR="003F5784" w14:paraId="6B0984EB" w14:textId="77777777">
            <w:pPr>
              <w:pStyle w:val="TableParagraph"/>
              <w:spacing w:before="0" w:line="215" w:lineRule="exact"/>
              <w:ind w:right="43"/>
              <w:rPr>
                <w:sz w:val="21"/>
              </w:rPr>
            </w:pPr>
            <w:r>
              <w:rPr>
                <w:spacing w:val="-2"/>
                <w:sz w:val="21"/>
              </w:rPr>
              <w:t>Weighted</w:t>
            </w:r>
            <w:r>
              <w:rPr>
                <w:spacing w:val="-11"/>
                <w:sz w:val="21"/>
              </w:rPr>
              <w:t xml:space="preserve"> </w:t>
            </w:r>
            <w:r>
              <w:rPr>
                <w:spacing w:val="-2"/>
                <w:sz w:val="21"/>
              </w:rPr>
              <w:t>percent</w:t>
            </w:r>
          </w:p>
        </w:tc>
      </w:tr>
      <w:tr w14:paraId="0F5BD335" w14:textId="77777777" w:rsidTr="00A550C9">
        <w:tblPrEx>
          <w:tblW w:w="13853" w:type="dxa"/>
          <w:tblInd w:w="552" w:type="dxa"/>
          <w:tblLayout w:type="fixed"/>
          <w:tblCellMar>
            <w:left w:w="0" w:type="dxa"/>
            <w:right w:w="0" w:type="dxa"/>
          </w:tblCellMar>
          <w:tblLook w:val="01E0"/>
        </w:tblPrEx>
        <w:trPr>
          <w:trHeight w:val="234"/>
        </w:trPr>
        <w:tc>
          <w:tcPr>
            <w:tcW w:w="3891" w:type="dxa"/>
            <w:gridSpan w:val="3"/>
          </w:tcPr>
          <w:p w:rsidR="003F5784" w14:paraId="311C53CF" w14:textId="77777777">
            <w:pPr>
              <w:pStyle w:val="TableParagraph"/>
              <w:spacing w:before="0" w:line="215" w:lineRule="exact"/>
              <w:ind w:right="133"/>
              <w:rPr>
                <w:sz w:val="21"/>
              </w:rPr>
            </w:pPr>
            <w:r>
              <w:rPr>
                <w:spacing w:val="-2"/>
                <w:sz w:val="21"/>
              </w:rPr>
              <w:t>sample,</w:t>
            </w:r>
          </w:p>
        </w:tc>
        <w:tc>
          <w:tcPr>
            <w:tcW w:w="1518" w:type="dxa"/>
            <w:gridSpan w:val="2"/>
          </w:tcPr>
          <w:p w:rsidR="003F5784" w14:paraId="26C7F0AF" w14:textId="77777777">
            <w:pPr>
              <w:pStyle w:val="TableParagraph"/>
              <w:spacing w:before="0" w:line="215" w:lineRule="exact"/>
              <w:ind w:right="133"/>
              <w:rPr>
                <w:sz w:val="21"/>
              </w:rPr>
            </w:pPr>
            <w:r>
              <w:rPr>
                <w:sz w:val="21"/>
              </w:rPr>
              <w:t>weight</w:t>
            </w:r>
            <w:r>
              <w:rPr>
                <w:spacing w:val="-7"/>
                <w:sz w:val="21"/>
              </w:rPr>
              <w:t xml:space="preserve"> </w:t>
            </w:r>
            <w:r>
              <w:rPr>
                <w:spacing w:val="-5"/>
                <w:sz w:val="21"/>
              </w:rPr>
              <w:t>and</w:t>
            </w:r>
          </w:p>
        </w:tc>
        <w:tc>
          <w:tcPr>
            <w:tcW w:w="1686" w:type="dxa"/>
          </w:tcPr>
          <w:p w:rsidR="003F5784" w14:paraId="5F694429" w14:textId="77777777">
            <w:pPr>
              <w:pStyle w:val="TableParagraph"/>
              <w:spacing w:before="0" w:line="215" w:lineRule="exact"/>
              <w:ind w:right="164"/>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707" w:type="dxa"/>
          </w:tcPr>
          <w:p w:rsidR="003F5784" w14:paraId="6468C9E2" w14:textId="77777777">
            <w:pPr>
              <w:pStyle w:val="TableParagraph"/>
              <w:spacing w:before="0" w:line="215" w:lineRule="exact"/>
              <w:ind w:right="221"/>
              <w:rPr>
                <w:sz w:val="21"/>
              </w:rPr>
            </w:pPr>
            <w:r>
              <w:rPr>
                <w:spacing w:val="-2"/>
                <w:sz w:val="21"/>
              </w:rPr>
              <w:t>sampled,</w:t>
            </w:r>
          </w:p>
        </w:tc>
        <w:tc>
          <w:tcPr>
            <w:tcW w:w="1797" w:type="dxa"/>
          </w:tcPr>
          <w:p w:rsidR="003F5784" w14:paraId="2315E002" w14:textId="77777777">
            <w:pPr>
              <w:pStyle w:val="TableParagraph"/>
              <w:spacing w:before="0" w:line="215" w:lineRule="exact"/>
              <w:ind w:right="130"/>
              <w:rPr>
                <w:sz w:val="21"/>
              </w:rPr>
            </w:pPr>
            <w:r>
              <w:rPr>
                <w:spacing w:val="-2"/>
                <w:sz w:val="21"/>
              </w:rPr>
              <w:t>students</w:t>
            </w:r>
          </w:p>
        </w:tc>
        <w:tc>
          <w:tcPr>
            <w:tcW w:w="1645" w:type="dxa"/>
            <w:gridSpan w:val="3"/>
          </w:tcPr>
          <w:p w:rsidR="003F5784" w14:paraId="193F7EB3" w14:textId="77777777">
            <w:pPr>
              <w:pStyle w:val="TableParagraph"/>
              <w:spacing w:before="0" w:line="215" w:lineRule="exact"/>
              <w:ind w:right="147"/>
              <w:rPr>
                <w:sz w:val="21"/>
              </w:rPr>
            </w:pPr>
            <w:r>
              <w:rPr>
                <w:sz w:val="21"/>
              </w:rPr>
              <w:t>rates</w:t>
            </w:r>
            <w:r>
              <w:rPr>
                <w:spacing w:val="-5"/>
                <w:sz w:val="21"/>
              </w:rPr>
              <w:t xml:space="preserve"> </w:t>
            </w:r>
            <w:r>
              <w:rPr>
                <w:spacing w:val="-2"/>
                <w:sz w:val="21"/>
              </w:rPr>
              <w:t>(percent)</w:t>
            </w:r>
          </w:p>
        </w:tc>
        <w:tc>
          <w:tcPr>
            <w:tcW w:w="1609" w:type="dxa"/>
          </w:tcPr>
          <w:p w:rsidR="003F5784" w14:paraId="33EC67EE" w14:textId="77777777">
            <w:pPr>
              <w:pStyle w:val="TableParagraph"/>
              <w:spacing w:before="0" w:line="215" w:lineRule="exact"/>
              <w:ind w:right="43"/>
              <w:rPr>
                <w:sz w:val="21"/>
              </w:rPr>
            </w:pPr>
            <w:r>
              <w:rPr>
                <w:sz w:val="21"/>
              </w:rPr>
              <w:t>of</w:t>
            </w:r>
            <w:r>
              <w:rPr>
                <w:spacing w:val="-3"/>
                <w:sz w:val="21"/>
              </w:rPr>
              <w:t xml:space="preserve"> </w:t>
            </w:r>
            <w:r>
              <w:rPr>
                <w:spacing w:val="-2"/>
                <w:sz w:val="21"/>
              </w:rPr>
              <w:t>students</w:t>
            </w:r>
          </w:p>
        </w:tc>
      </w:tr>
      <w:tr w14:paraId="7D759DA9" w14:textId="77777777" w:rsidTr="00A550C9">
        <w:tblPrEx>
          <w:tblW w:w="13853" w:type="dxa"/>
          <w:tblInd w:w="552" w:type="dxa"/>
          <w:tblLayout w:type="fixed"/>
          <w:tblCellMar>
            <w:left w:w="0" w:type="dxa"/>
            <w:right w:w="0" w:type="dxa"/>
          </w:tblCellMar>
          <w:tblLook w:val="01E0"/>
        </w:tblPrEx>
        <w:trPr>
          <w:trHeight w:val="232"/>
        </w:trPr>
        <w:tc>
          <w:tcPr>
            <w:tcW w:w="3891" w:type="dxa"/>
            <w:gridSpan w:val="3"/>
          </w:tcPr>
          <w:p w:rsidR="003F5784" w14:paraId="50C23F24" w14:textId="77777777">
            <w:pPr>
              <w:pStyle w:val="TableParagraph"/>
              <w:tabs>
                <w:tab w:val="left" w:pos="3025"/>
              </w:tabs>
              <w:spacing w:before="0" w:line="213" w:lineRule="exact"/>
              <w:ind w:right="133"/>
              <w:rPr>
                <w:sz w:val="21"/>
              </w:rPr>
            </w:pPr>
            <w:r>
              <w:rPr>
                <w:sz w:val="21"/>
              </w:rPr>
              <w:t>School</w:t>
            </w:r>
            <w:r>
              <w:rPr>
                <w:spacing w:val="-6"/>
                <w:sz w:val="21"/>
              </w:rPr>
              <w:t xml:space="preserve"> </w:t>
            </w:r>
            <w:r>
              <w:rPr>
                <w:sz w:val="21"/>
              </w:rPr>
              <w:t>type</w:t>
            </w:r>
            <w:r>
              <w:rPr>
                <w:spacing w:val="-5"/>
                <w:sz w:val="21"/>
              </w:rPr>
              <w:t xml:space="preserve"> </w:t>
            </w:r>
            <w:r>
              <w:rPr>
                <w:sz w:val="21"/>
              </w:rPr>
              <w:t>and</w:t>
            </w:r>
            <w:r>
              <w:rPr>
                <w:spacing w:val="-5"/>
                <w:sz w:val="21"/>
              </w:rPr>
              <w:t xml:space="preserve"> </w:t>
            </w:r>
            <w:r>
              <w:rPr>
                <w:spacing w:val="-2"/>
                <w:sz w:val="21"/>
              </w:rPr>
              <w:t>jurisdiction</w:t>
            </w:r>
            <w:r>
              <w:rPr>
                <w:sz w:val="21"/>
              </w:rPr>
              <w:tab/>
            </w:r>
            <w:r>
              <w:rPr>
                <w:spacing w:val="-2"/>
                <w:sz w:val="21"/>
              </w:rPr>
              <w:t>rounded</w:t>
            </w:r>
          </w:p>
        </w:tc>
        <w:tc>
          <w:tcPr>
            <w:tcW w:w="1518" w:type="dxa"/>
            <w:gridSpan w:val="2"/>
          </w:tcPr>
          <w:p w:rsidR="003F5784" w14:paraId="46FD2C55" w14:textId="77777777">
            <w:pPr>
              <w:pStyle w:val="TableParagraph"/>
              <w:spacing w:before="0" w:line="213" w:lineRule="exact"/>
              <w:ind w:right="133"/>
              <w:rPr>
                <w:sz w:val="21"/>
              </w:rPr>
            </w:pPr>
            <w:r>
              <w:rPr>
                <w:spacing w:val="-2"/>
                <w:sz w:val="21"/>
              </w:rPr>
              <w:t>enrollment)</w:t>
            </w:r>
          </w:p>
        </w:tc>
        <w:tc>
          <w:tcPr>
            <w:tcW w:w="1686" w:type="dxa"/>
          </w:tcPr>
          <w:p w:rsidR="003F5784" w14:paraId="799A9410" w14:textId="77777777">
            <w:pPr>
              <w:pStyle w:val="TableParagraph"/>
              <w:spacing w:before="0" w:line="213" w:lineRule="exact"/>
              <w:ind w:right="164"/>
              <w:rPr>
                <w:sz w:val="21"/>
              </w:rPr>
            </w:pPr>
            <w:r>
              <w:rPr>
                <w:sz w:val="21"/>
              </w:rPr>
              <w:t>weight</w:t>
            </w:r>
            <w:r>
              <w:rPr>
                <w:spacing w:val="-7"/>
                <w:sz w:val="21"/>
              </w:rPr>
              <w:t xml:space="preserve"> </w:t>
            </w:r>
            <w:r>
              <w:rPr>
                <w:spacing w:val="-2"/>
                <w:sz w:val="21"/>
              </w:rPr>
              <w:t>only)</w:t>
            </w:r>
          </w:p>
        </w:tc>
        <w:tc>
          <w:tcPr>
            <w:tcW w:w="1707" w:type="dxa"/>
          </w:tcPr>
          <w:p w:rsidR="003F5784" w14:paraId="3A2F2C30" w14:textId="77777777">
            <w:pPr>
              <w:pStyle w:val="TableParagraph"/>
              <w:spacing w:before="0" w:line="213" w:lineRule="exact"/>
              <w:ind w:right="221"/>
              <w:rPr>
                <w:sz w:val="21"/>
              </w:rPr>
            </w:pPr>
            <w:r>
              <w:rPr>
                <w:spacing w:val="-2"/>
                <w:sz w:val="21"/>
              </w:rPr>
              <w:t>rounded</w:t>
            </w:r>
          </w:p>
        </w:tc>
        <w:tc>
          <w:tcPr>
            <w:tcW w:w="1797" w:type="dxa"/>
          </w:tcPr>
          <w:p w:rsidR="003F5784" w14:paraId="3EBF0960" w14:textId="77777777">
            <w:pPr>
              <w:pStyle w:val="TableParagraph"/>
              <w:spacing w:before="0" w:line="213" w:lineRule="exact"/>
              <w:ind w:right="130"/>
              <w:rPr>
                <w:sz w:val="21"/>
              </w:rPr>
            </w:pPr>
            <w:r>
              <w:rPr>
                <w:spacing w:val="-2"/>
                <w:sz w:val="21"/>
              </w:rPr>
              <w:t>excluded</w:t>
            </w:r>
          </w:p>
        </w:tc>
        <w:tc>
          <w:tcPr>
            <w:tcW w:w="1645" w:type="dxa"/>
            <w:gridSpan w:val="3"/>
          </w:tcPr>
          <w:p w:rsidR="003F5784" w14:paraId="41D77CD8" w14:textId="77777777">
            <w:pPr>
              <w:pStyle w:val="TableParagraph"/>
              <w:spacing w:before="0" w:line="213" w:lineRule="exact"/>
              <w:ind w:right="147"/>
              <w:rPr>
                <w:sz w:val="21"/>
              </w:rPr>
            </w:pPr>
            <w:r>
              <w:rPr>
                <w:sz w:val="21"/>
              </w:rPr>
              <w:t>after</w:t>
            </w:r>
            <w:r>
              <w:rPr>
                <w:spacing w:val="-5"/>
                <w:sz w:val="21"/>
              </w:rPr>
              <w:t xml:space="preserve"> </w:t>
            </w:r>
            <w:r>
              <w:rPr>
                <w:spacing w:val="-2"/>
                <w:sz w:val="21"/>
              </w:rPr>
              <w:t>makeups</w:t>
            </w:r>
          </w:p>
        </w:tc>
        <w:tc>
          <w:tcPr>
            <w:tcW w:w="1609" w:type="dxa"/>
          </w:tcPr>
          <w:p w:rsidR="003F5784" w14:paraId="02DD4390" w14:textId="77777777">
            <w:pPr>
              <w:pStyle w:val="TableParagraph"/>
              <w:spacing w:before="0" w:line="213" w:lineRule="exact"/>
              <w:ind w:right="43"/>
              <w:rPr>
                <w:sz w:val="21"/>
              </w:rPr>
            </w:pPr>
            <w:r>
              <w:rPr>
                <w:spacing w:val="-2"/>
                <w:sz w:val="21"/>
              </w:rPr>
              <w:t>accommodated</w:t>
            </w:r>
          </w:p>
        </w:tc>
      </w:tr>
      <w:tr w14:paraId="14EE3193" w14:textId="77777777" w:rsidTr="00A550C9">
        <w:tblPrEx>
          <w:tblW w:w="13853" w:type="dxa"/>
          <w:tblInd w:w="552" w:type="dxa"/>
          <w:tblLayout w:type="fixed"/>
          <w:tblCellMar>
            <w:left w:w="0" w:type="dxa"/>
            <w:right w:w="0" w:type="dxa"/>
          </w:tblCellMar>
          <w:tblLook w:val="01E0"/>
        </w:tblPrEx>
        <w:trPr>
          <w:trHeight w:val="278"/>
        </w:trPr>
        <w:tc>
          <w:tcPr>
            <w:tcW w:w="2917" w:type="dxa"/>
            <w:tcBorders>
              <w:top w:val="single" w:sz="18" w:space="0" w:color="800000"/>
            </w:tcBorders>
          </w:tcPr>
          <w:p w:rsidR="003F5784" w14:paraId="242E5F00" w14:textId="77777777">
            <w:pPr>
              <w:pStyle w:val="TableParagraph"/>
              <w:spacing w:before="9"/>
              <w:ind w:left="120"/>
              <w:jc w:val="left"/>
              <w:rPr>
                <w:sz w:val="21"/>
              </w:rPr>
            </w:pPr>
            <w:r>
              <w:rPr>
                <w:spacing w:val="-2"/>
                <w:sz w:val="21"/>
              </w:rPr>
              <w:t>Washington</w:t>
            </w:r>
          </w:p>
        </w:tc>
        <w:tc>
          <w:tcPr>
            <w:tcW w:w="941" w:type="dxa"/>
            <w:tcBorders>
              <w:top w:val="single" w:sz="18" w:space="0" w:color="800000"/>
            </w:tcBorders>
          </w:tcPr>
          <w:p w:rsidR="003F5784" w14:paraId="21FF3E1F" w14:textId="77777777">
            <w:pPr>
              <w:pStyle w:val="TableParagraph"/>
              <w:spacing w:before="9"/>
              <w:ind w:left="104" w:right="141"/>
              <w:jc w:val="center"/>
              <w:rPr>
                <w:sz w:val="21"/>
              </w:rPr>
            </w:pPr>
            <w:r>
              <w:rPr>
                <w:spacing w:val="-5"/>
                <w:sz w:val="21"/>
              </w:rPr>
              <w:t>90</w:t>
            </w:r>
          </w:p>
        </w:tc>
        <w:tc>
          <w:tcPr>
            <w:tcW w:w="1527" w:type="dxa"/>
            <w:gridSpan w:val="2"/>
            <w:tcBorders>
              <w:top w:val="single" w:sz="18" w:space="0" w:color="800000"/>
            </w:tcBorders>
          </w:tcPr>
          <w:p w:rsidR="003F5784" w14:paraId="57FEEACD" w14:textId="77777777">
            <w:pPr>
              <w:pStyle w:val="TableParagraph"/>
              <w:spacing w:before="9"/>
              <w:ind w:left="159" w:right="112"/>
              <w:jc w:val="center"/>
              <w:rPr>
                <w:sz w:val="21"/>
              </w:rPr>
            </w:pPr>
            <w:r>
              <w:rPr>
                <w:spacing w:val="-2"/>
                <w:sz w:val="21"/>
              </w:rPr>
              <w:t>100.00</w:t>
            </w:r>
          </w:p>
        </w:tc>
        <w:tc>
          <w:tcPr>
            <w:tcW w:w="1710" w:type="dxa"/>
            <w:gridSpan w:val="2"/>
            <w:tcBorders>
              <w:top w:val="single" w:sz="18" w:space="0" w:color="800000"/>
            </w:tcBorders>
          </w:tcPr>
          <w:p w:rsidR="003F5784" w14:paraId="69829582" w14:textId="77777777">
            <w:pPr>
              <w:pStyle w:val="TableParagraph"/>
              <w:spacing w:before="9"/>
              <w:ind w:right="386"/>
              <w:rPr>
                <w:sz w:val="21"/>
              </w:rPr>
            </w:pPr>
            <w:r>
              <w:rPr>
                <w:spacing w:val="-2"/>
                <w:sz w:val="21"/>
              </w:rPr>
              <w:t>100.00</w:t>
            </w:r>
          </w:p>
        </w:tc>
        <w:tc>
          <w:tcPr>
            <w:tcW w:w="1707" w:type="dxa"/>
            <w:tcBorders>
              <w:top w:val="single" w:sz="18" w:space="0" w:color="800000"/>
            </w:tcBorders>
          </w:tcPr>
          <w:p w:rsidR="003F5784" w14:paraId="51AE90AA" w14:textId="77777777">
            <w:pPr>
              <w:pStyle w:val="TableParagraph"/>
              <w:spacing w:before="9"/>
              <w:ind w:right="462"/>
              <w:rPr>
                <w:sz w:val="21"/>
              </w:rPr>
            </w:pPr>
            <w:r>
              <w:rPr>
                <w:spacing w:val="-2"/>
                <w:sz w:val="21"/>
              </w:rPr>
              <w:t>2,000</w:t>
            </w:r>
          </w:p>
        </w:tc>
        <w:tc>
          <w:tcPr>
            <w:tcW w:w="1806" w:type="dxa"/>
            <w:gridSpan w:val="2"/>
            <w:tcBorders>
              <w:top w:val="single" w:sz="18" w:space="0" w:color="800000"/>
            </w:tcBorders>
          </w:tcPr>
          <w:p w:rsidR="003F5784" w14:paraId="30F0ADF0" w14:textId="77777777">
            <w:pPr>
              <w:pStyle w:val="TableParagraph"/>
              <w:spacing w:before="9"/>
              <w:ind w:left="463"/>
              <w:jc w:val="left"/>
              <w:rPr>
                <w:sz w:val="21"/>
              </w:rPr>
            </w:pPr>
            <w:r>
              <w:rPr>
                <w:spacing w:val="-4"/>
                <w:sz w:val="21"/>
              </w:rPr>
              <w:t>1.72</w:t>
            </w:r>
          </w:p>
        </w:tc>
        <w:tc>
          <w:tcPr>
            <w:tcW w:w="1620" w:type="dxa"/>
            <w:tcBorders>
              <w:top w:val="single" w:sz="18" w:space="0" w:color="800000"/>
            </w:tcBorders>
          </w:tcPr>
          <w:p w:rsidR="003F5784" w14:paraId="1C4DA469" w14:textId="77777777">
            <w:pPr>
              <w:pStyle w:val="TableParagraph"/>
              <w:spacing w:before="9"/>
              <w:ind w:right="22"/>
              <w:jc w:val="center"/>
              <w:rPr>
                <w:sz w:val="21"/>
              </w:rPr>
            </w:pPr>
            <w:r>
              <w:rPr>
                <w:spacing w:val="-2"/>
                <w:sz w:val="21"/>
              </w:rPr>
              <w:t>88.85</w:t>
            </w:r>
          </w:p>
        </w:tc>
        <w:tc>
          <w:tcPr>
            <w:tcW w:w="1625" w:type="dxa"/>
            <w:gridSpan w:val="2"/>
            <w:tcBorders>
              <w:top w:val="single" w:sz="18" w:space="0" w:color="800000"/>
            </w:tcBorders>
          </w:tcPr>
          <w:p w:rsidR="003F5784" w14:paraId="69A909E9" w14:textId="77777777">
            <w:pPr>
              <w:pStyle w:val="TableParagraph"/>
              <w:spacing w:before="9"/>
              <w:ind w:right="118"/>
              <w:rPr>
                <w:sz w:val="21"/>
              </w:rPr>
            </w:pPr>
            <w:r>
              <w:rPr>
                <w:spacing w:val="-4"/>
                <w:sz w:val="21"/>
              </w:rPr>
              <w:t>9.78</w:t>
            </w:r>
          </w:p>
        </w:tc>
      </w:tr>
      <w:tr w14:paraId="160D4279"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10F08688" w14:textId="77777777">
            <w:pPr>
              <w:pStyle w:val="TableParagraph"/>
              <w:ind w:left="120"/>
              <w:jc w:val="left"/>
              <w:rPr>
                <w:sz w:val="21"/>
              </w:rPr>
            </w:pPr>
            <w:r>
              <w:rPr>
                <w:spacing w:val="-5"/>
                <w:sz w:val="21"/>
              </w:rPr>
              <w:t>West</w:t>
            </w:r>
            <w:r>
              <w:rPr>
                <w:spacing w:val="-7"/>
                <w:sz w:val="21"/>
              </w:rPr>
              <w:t xml:space="preserve"> </w:t>
            </w:r>
            <w:r>
              <w:rPr>
                <w:spacing w:val="-2"/>
                <w:sz w:val="21"/>
              </w:rPr>
              <w:t>Virginia</w:t>
            </w:r>
          </w:p>
        </w:tc>
        <w:tc>
          <w:tcPr>
            <w:tcW w:w="941" w:type="dxa"/>
          </w:tcPr>
          <w:p w:rsidR="003F5784" w14:paraId="7665D6BC" w14:textId="77777777">
            <w:pPr>
              <w:pStyle w:val="TableParagraph"/>
              <w:ind w:right="141"/>
              <w:jc w:val="center"/>
              <w:rPr>
                <w:sz w:val="21"/>
              </w:rPr>
            </w:pPr>
            <w:r>
              <w:rPr>
                <w:spacing w:val="-5"/>
                <w:sz w:val="21"/>
              </w:rPr>
              <w:t>100</w:t>
            </w:r>
          </w:p>
        </w:tc>
        <w:tc>
          <w:tcPr>
            <w:tcW w:w="1527" w:type="dxa"/>
            <w:gridSpan w:val="2"/>
          </w:tcPr>
          <w:p w:rsidR="003F5784" w14:paraId="3BEBE781" w14:textId="77777777">
            <w:pPr>
              <w:pStyle w:val="TableParagraph"/>
              <w:ind w:left="159" w:right="112"/>
              <w:jc w:val="center"/>
              <w:rPr>
                <w:sz w:val="21"/>
              </w:rPr>
            </w:pPr>
            <w:r>
              <w:rPr>
                <w:spacing w:val="-2"/>
                <w:sz w:val="21"/>
              </w:rPr>
              <w:t>100.00</w:t>
            </w:r>
          </w:p>
        </w:tc>
        <w:tc>
          <w:tcPr>
            <w:tcW w:w="1710" w:type="dxa"/>
            <w:gridSpan w:val="2"/>
          </w:tcPr>
          <w:p w:rsidR="003F5784" w14:paraId="641D076B" w14:textId="77777777">
            <w:pPr>
              <w:pStyle w:val="TableParagraph"/>
              <w:ind w:right="386"/>
              <w:rPr>
                <w:sz w:val="21"/>
              </w:rPr>
            </w:pPr>
            <w:r>
              <w:rPr>
                <w:spacing w:val="-2"/>
                <w:sz w:val="21"/>
              </w:rPr>
              <w:t>100.00</w:t>
            </w:r>
          </w:p>
        </w:tc>
        <w:tc>
          <w:tcPr>
            <w:tcW w:w="1707" w:type="dxa"/>
          </w:tcPr>
          <w:p w:rsidR="003F5784" w14:paraId="48B27F9E" w14:textId="77777777">
            <w:pPr>
              <w:pStyle w:val="TableParagraph"/>
              <w:ind w:right="462"/>
              <w:rPr>
                <w:sz w:val="21"/>
              </w:rPr>
            </w:pPr>
            <w:r>
              <w:rPr>
                <w:spacing w:val="-2"/>
                <w:sz w:val="21"/>
              </w:rPr>
              <w:t>1,900</w:t>
            </w:r>
          </w:p>
        </w:tc>
        <w:tc>
          <w:tcPr>
            <w:tcW w:w="1806" w:type="dxa"/>
            <w:gridSpan w:val="2"/>
          </w:tcPr>
          <w:p w:rsidR="003F5784" w14:paraId="02D6B1E2" w14:textId="77777777">
            <w:pPr>
              <w:pStyle w:val="TableParagraph"/>
              <w:ind w:left="463"/>
              <w:jc w:val="left"/>
              <w:rPr>
                <w:sz w:val="21"/>
              </w:rPr>
            </w:pPr>
            <w:r>
              <w:rPr>
                <w:spacing w:val="-4"/>
                <w:sz w:val="21"/>
              </w:rPr>
              <w:t>1.66</w:t>
            </w:r>
          </w:p>
        </w:tc>
        <w:tc>
          <w:tcPr>
            <w:tcW w:w="1620" w:type="dxa"/>
          </w:tcPr>
          <w:p w:rsidR="003F5784" w14:paraId="0172EAA5" w14:textId="77777777">
            <w:pPr>
              <w:pStyle w:val="TableParagraph"/>
              <w:ind w:right="22"/>
              <w:jc w:val="center"/>
              <w:rPr>
                <w:sz w:val="21"/>
              </w:rPr>
            </w:pPr>
            <w:r>
              <w:rPr>
                <w:spacing w:val="-2"/>
                <w:sz w:val="21"/>
              </w:rPr>
              <w:t>90.27</w:t>
            </w:r>
          </w:p>
        </w:tc>
        <w:tc>
          <w:tcPr>
            <w:tcW w:w="1625" w:type="dxa"/>
            <w:gridSpan w:val="2"/>
          </w:tcPr>
          <w:p w:rsidR="003F5784" w14:paraId="30A0709F" w14:textId="77777777">
            <w:pPr>
              <w:pStyle w:val="TableParagraph"/>
              <w:ind w:right="118"/>
              <w:rPr>
                <w:sz w:val="21"/>
              </w:rPr>
            </w:pPr>
            <w:r>
              <w:rPr>
                <w:spacing w:val="-2"/>
                <w:sz w:val="21"/>
              </w:rPr>
              <w:t>10.12</w:t>
            </w:r>
          </w:p>
        </w:tc>
      </w:tr>
      <w:tr w14:paraId="4D83D498"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15BBE3EE" w14:textId="77777777">
            <w:pPr>
              <w:pStyle w:val="TableParagraph"/>
              <w:ind w:left="120"/>
              <w:jc w:val="left"/>
              <w:rPr>
                <w:sz w:val="21"/>
              </w:rPr>
            </w:pPr>
            <w:r>
              <w:rPr>
                <w:spacing w:val="-2"/>
                <w:sz w:val="21"/>
              </w:rPr>
              <w:t>Wisconsin</w:t>
            </w:r>
          </w:p>
        </w:tc>
        <w:tc>
          <w:tcPr>
            <w:tcW w:w="941" w:type="dxa"/>
          </w:tcPr>
          <w:p w:rsidR="003F5784" w14:paraId="6423D3A0" w14:textId="77777777">
            <w:pPr>
              <w:pStyle w:val="TableParagraph"/>
              <w:ind w:right="141"/>
              <w:jc w:val="center"/>
              <w:rPr>
                <w:sz w:val="21"/>
              </w:rPr>
            </w:pPr>
            <w:r>
              <w:rPr>
                <w:spacing w:val="-5"/>
                <w:sz w:val="21"/>
              </w:rPr>
              <w:t>130</w:t>
            </w:r>
          </w:p>
        </w:tc>
        <w:tc>
          <w:tcPr>
            <w:tcW w:w="1527" w:type="dxa"/>
            <w:gridSpan w:val="2"/>
          </w:tcPr>
          <w:p w:rsidR="003F5784" w14:paraId="4D7A7F1F" w14:textId="77777777">
            <w:pPr>
              <w:pStyle w:val="TableParagraph"/>
              <w:ind w:left="159" w:right="112"/>
              <w:jc w:val="center"/>
              <w:rPr>
                <w:sz w:val="21"/>
              </w:rPr>
            </w:pPr>
            <w:r>
              <w:rPr>
                <w:spacing w:val="-2"/>
                <w:sz w:val="21"/>
              </w:rPr>
              <w:t>100.00</w:t>
            </w:r>
          </w:p>
        </w:tc>
        <w:tc>
          <w:tcPr>
            <w:tcW w:w="1710" w:type="dxa"/>
            <w:gridSpan w:val="2"/>
          </w:tcPr>
          <w:p w:rsidR="003F5784" w14:paraId="6F6BB042" w14:textId="77777777">
            <w:pPr>
              <w:pStyle w:val="TableParagraph"/>
              <w:ind w:right="386"/>
              <w:rPr>
                <w:sz w:val="21"/>
              </w:rPr>
            </w:pPr>
            <w:r>
              <w:rPr>
                <w:spacing w:val="-2"/>
                <w:sz w:val="21"/>
              </w:rPr>
              <w:t>100.00</w:t>
            </w:r>
          </w:p>
        </w:tc>
        <w:tc>
          <w:tcPr>
            <w:tcW w:w="1707" w:type="dxa"/>
          </w:tcPr>
          <w:p w:rsidR="003F5784" w14:paraId="1155D8AE" w14:textId="77777777">
            <w:pPr>
              <w:pStyle w:val="TableParagraph"/>
              <w:ind w:right="462"/>
              <w:rPr>
                <w:sz w:val="21"/>
              </w:rPr>
            </w:pPr>
            <w:r>
              <w:rPr>
                <w:spacing w:val="-2"/>
                <w:sz w:val="21"/>
              </w:rPr>
              <w:t>2,600</w:t>
            </w:r>
          </w:p>
        </w:tc>
        <w:tc>
          <w:tcPr>
            <w:tcW w:w="1806" w:type="dxa"/>
            <w:gridSpan w:val="2"/>
          </w:tcPr>
          <w:p w:rsidR="003F5784" w14:paraId="256632B3" w14:textId="77777777">
            <w:pPr>
              <w:pStyle w:val="TableParagraph"/>
              <w:ind w:left="463"/>
              <w:jc w:val="left"/>
              <w:rPr>
                <w:sz w:val="21"/>
              </w:rPr>
            </w:pPr>
            <w:r>
              <w:rPr>
                <w:spacing w:val="-4"/>
                <w:sz w:val="21"/>
              </w:rPr>
              <w:t>0.99</w:t>
            </w:r>
          </w:p>
        </w:tc>
        <w:tc>
          <w:tcPr>
            <w:tcW w:w="1620" w:type="dxa"/>
          </w:tcPr>
          <w:p w:rsidR="003F5784" w14:paraId="5CB3CC4D" w14:textId="77777777">
            <w:pPr>
              <w:pStyle w:val="TableParagraph"/>
              <w:ind w:right="22"/>
              <w:jc w:val="center"/>
              <w:rPr>
                <w:sz w:val="21"/>
              </w:rPr>
            </w:pPr>
            <w:r>
              <w:rPr>
                <w:spacing w:val="-2"/>
                <w:sz w:val="21"/>
              </w:rPr>
              <w:t>90.73</w:t>
            </w:r>
          </w:p>
        </w:tc>
        <w:tc>
          <w:tcPr>
            <w:tcW w:w="1625" w:type="dxa"/>
            <w:gridSpan w:val="2"/>
          </w:tcPr>
          <w:p w:rsidR="003F5784" w14:paraId="78B1868D" w14:textId="77777777">
            <w:pPr>
              <w:pStyle w:val="TableParagraph"/>
              <w:ind w:right="118"/>
              <w:rPr>
                <w:sz w:val="21"/>
              </w:rPr>
            </w:pPr>
            <w:r>
              <w:rPr>
                <w:spacing w:val="-2"/>
                <w:sz w:val="21"/>
              </w:rPr>
              <w:t>12.33</w:t>
            </w:r>
          </w:p>
        </w:tc>
      </w:tr>
      <w:tr w14:paraId="355071B4"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557FB158" w14:textId="77777777">
            <w:pPr>
              <w:pStyle w:val="TableParagraph"/>
              <w:ind w:left="120"/>
              <w:jc w:val="left"/>
              <w:rPr>
                <w:sz w:val="21"/>
              </w:rPr>
            </w:pPr>
            <w:r>
              <w:rPr>
                <w:spacing w:val="-2"/>
                <w:sz w:val="21"/>
              </w:rPr>
              <w:t>Wyoming</w:t>
            </w:r>
          </w:p>
        </w:tc>
        <w:tc>
          <w:tcPr>
            <w:tcW w:w="941" w:type="dxa"/>
          </w:tcPr>
          <w:p w:rsidR="003F5784" w14:paraId="1EC36CEA" w14:textId="77777777">
            <w:pPr>
              <w:pStyle w:val="TableParagraph"/>
              <w:ind w:right="141"/>
              <w:jc w:val="center"/>
              <w:rPr>
                <w:sz w:val="21"/>
              </w:rPr>
            </w:pPr>
            <w:r>
              <w:rPr>
                <w:spacing w:val="-5"/>
                <w:sz w:val="21"/>
              </w:rPr>
              <w:t>100</w:t>
            </w:r>
          </w:p>
        </w:tc>
        <w:tc>
          <w:tcPr>
            <w:tcW w:w="1527" w:type="dxa"/>
            <w:gridSpan w:val="2"/>
          </w:tcPr>
          <w:p w:rsidR="003F5784" w14:paraId="4A360EB8" w14:textId="77777777">
            <w:pPr>
              <w:pStyle w:val="TableParagraph"/>
              <w:ind w:left="159" w:right="8"/>
              <w:jc w:val="center"/>
              <w:rPr>
                <w:sz w:val="21"/>
              </w:rPr>
            </w:pPr>
            <w:r>
              <w:rPr>
                <w:spacing w:val="-2"/>
                <w:sz w:val="21"/>
              </w:rPr>
              <w:t>98.78</w:t>
            </w:r>
          </w:p>
        </w:tc>
        <w:tc>
          <w:tcPr>
            <w:tcW w:w="1710" w:type="dxa"/>
            <w:gridSpan w:val="2"/>
          </w:tcPr>
          <w:p w:rsidR="003F5784" w14:paraId="16DF8E26" w14:textId="77777777">
            <w:pPr>
              <w:pStyle w:val="TableParagraph"/>
              <w:ind w:right="386"/>
              <w:rPr>
                <w:sz w:val="21"/>
              </w:rPr>
            </w:pPr>
            <w:r>
              <w:rPr>
                <w:spacing w:val="-2"/>
                <w:sz w:val="21"/>
              </w:rPr>
              <w:t>99.16</w:t>
            </w:r>
          </w:p>
        </w:tc>
        <w:tc>
          <w:tcPr>
            <w:tcW w:w="1707" w:type="dxa"/>
          </w:tcPr>
          <w:p w:rsidR="003F5784" w14:paraId="195D1176" w14:textId="77777777">
            <w:pPr>
              <w:pStyle w:val="TableParagraph"/>
              <w:ind w:right="462"/>
              <w:rPr>
                <w:sz w:val="21"/>
              </w:rPr>
            </w:pPr>
            <w:r>
              <w:rPr>
                <w:spacing w:val="-2"/>
                <w:sz w:val="21"/>
              </w:rPr>
              <w:t>2,000</w:t>
            </w:r>
          </w:p>
        </w:tc>
        <w:tc>
          <w:tcPr>
            <w:tcW w:w="1806" w:type="dxa"/>
            <w:gridSpan w:val="2"/>
          </w:tcPr>
          <w:p w:rsidR="003F5784" w14:paraId="2273A48D" w14:textId="77777777">
            <w:pPr>
              <w:pStyle w:val="TableParagraph"/>
              <w:ind w:left="463"/>
              <w:jc w:val="left"/>
              <w:rPr>
                <w:sz w:val="21"/>
              </w:rPr>
            </w:pPr>
            <w:r>
              <w:rPr>
                <w:spacing w:val="-4"/>
                <w:sz w:val="21"/>
              </w:rPr>
              <w:t>1.72</w:t>
            </w:r>
          </w:p>
        </w:tc>
        <w:tc>
          <w:tcPr>
            <w:tcW w:w="1620" w:type="dxa"/>
          </w:tcPr>
          <w:p w:rsidR="003F5784" w14:paraId="497C700B" w14:textId="77777777">
            <w:pPr>
              <w:pStyle w:val="TableParagraph"/>
              <w:ind w:right="22"/>
              <w:jc w:val="center"/>
              <w:rPr>
                <w:sz w:val="21"/>
              </w:rPr>
            </w:pPr>
            <w:r>
              <w:rPr>
                <w:spacing w:val="-2"/>
                <w:sz w:val="21"/>
              </w:rPr>
              <w:t>91.74</w:t>
            </w:r>
          </w:p>
        </w:tc>
        <w:tc>
          <w:tcPr>
            <w:tcW w:w="1625" w:type="dxa"/>
            <w:gridSpan w:val="2"/>
          </w:tcPr>
          <w:p w:rsidR="003F5784" w14:paraId="45E32006" w14:textId="77777777">
            <w:pPr>
              <w:pStyle w:val="TableParagraph"/>
              <w:ind w:right="118"/>
              <w:rPr>
                <w:sz w:val="21"/>
              </w:rPr>
            </w:pPr>
            <w:r>
              <w:rPr>
                <w:spacing w:val="-2"/>
                <w:sz w:val="21"/>
              </w:rPr>
              <w:t>14.36</w:t>
            </w:r>
          </w:p>
        </w:tc>
      </w:tr>
      <w:tr w14:paraId="6E783FFE" w14:textId="77777777" w:rsidTr="00A550C9">
        <w:tblPrEx>
          <w:tblW w:w="13853" w:type="dxa"/>
          <w:tblInd w:w="552" w:type="dxa"/>
          <w:tblLayout w:type="fixed"/>
          <w:tblCellMar>
            <w:left w:w="0" w:type="dxa"/>
            <w:right w:w="0" w:type="dxa"/>
          </w:tblCellMar>
          <w:tblLook w:val="01E0"/>
        </w:tblPrEx>
        <w:trPr>
          <w:trHeight w:val="286"/>
        </w:trPr>
        <w:tc>
          <w:tcPr>
            <w:tcW w:w="13853" w:type="dxa"/>
            <w:gridSpan w:val="12"/>
          </w:tcPr>
          <w:p w:rsidR="003F5784" w14:paraId="6A26D2F7" w14:textId="77777777">
            <w:pPr>
              <w:pStyle w:val="TableParagraph"/>
              <w:ind w:left="381"/>
              <w:jc w:val="left"/>
              <w:rPr>
                <w:i/>
                <w:sz w:val="21"/>
              </w:rPr>
            </w:pPr>
            <w:r>
              <w:rPr>
                <w:i/>
                <w:sz w:val="21"/>
              </w:rPr>
              <w:t>Trial</w:t>
            </w:r>
            <w:r>
              <w:rPr>
                <w:i/>
                <w:spacing w:val="-11"/>
                <w:sz w:val="21"/>
              </w:rPr>
              <w:t xml:space="preserve"> </w:t>
            </w:r>
            <w:r>
              <w:rPr>
                <w:i/>
                <w:sz w:val="21"/>
              </w:rPr>
              <w:t>Urban</w:t>
            </w:r>
            <w:r>
              <w:rPr>
                <w:i/>
                <w:spacing w:val="-11"/>
                <w:sz w:val="21"/>
              </w:rPr>
              <w:t xml:space="preserve"> </w:t>
            </w:r>
            <w:r>
              <w:rPr>
                <w:i/>
                <w:sz w:val="21"/>
              </w:rPr>
              <w:t>(TUDA)</w:t>
            </w:r>
            <w:r>
              <w:rPr>
                <w:i/>
                <w:spacing w:val="-10"/>
                <w:sz w:val="21"/>
              </w:rPr>
              <w:t xml:space="preserve"> </w:t>
            </w:r>
            <w:r>
              <w:rPr>
                <w:i/>
                <w:spacing w:val="-2"/>
                <w:sz w:val="21"/>
              </w:rPr>
              <w:t>Districts</w:t>
            </w:r>
          </w:p>
        </w:tc>
      </w:tr>
      <w:tr w14:paraId="02F4B9F4"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163BF38E" w14:textId="77777777">
            <w:pPr>
              <w:pStyle w:val="TableParagraph"/>
              <w:ind w:left="120"/>
              <w:jc w:val="left"/>
              <w:rPr>
                <w:sz w:val="21"/>
              </w:rPr>
            </w:pPr>
            <w:r>
              <w:rPr>
                <w:spacing w:val="-2"/>
                <w:sz w:val="21"/>
              </w:rPr>
              <w:t>Albuquerque</w:t>
            </w:r>
          </w:p>
        </w:tc>
        <w:tc>
          <w:tcPr>
            <w:tcW w:w="941" w:type="dxa"/>
          </w:tcPr>
          <w:p w:rsidR="003F5784" w14:paraId="14FB40DE" w14:textId="77777777">
            <w:pPr>
              <w:pStyle w:val="TableParagraph"/>
              <w:ind w:left="104" w:right="141"/>
              <w:jc w:val="center"/>
              <w:rPr>
                <w:sz w:val="21"/>
              </w:rPr>
            </w:pPr>
            <w:r>
              <w:rPr>
                <w:spacing w:val="-5"/>
                <w:sz w:val="21"/>
              </w:rPr>
              <w:t>40</w:t>
            </w:r>
          </w:p>
        </w:tc>
        <w:tc>
          <w:tcPr>
            <w:tcW w:w="1527" w:type="dxa"/>
            <w:gridSpan w:val="2"/>
          </w:tcPr>
          <w:p w:rsidR="003F5784" w14:paraId="05F4338F" w14:textId="77777777">
            <w:pPr>
              <w:pStyle w:val="TableParagraph"/>
              <w:ind w:left="159" w:right="112"/>
              <w:jc w:val="center"/>
              <w:rPr>
                <w:sz w:val="21"/>
              </w:rPr>
            </w:pPr>
            <w:r>
              <w:rPr>
                <w:spacing w:val="-2"/>
                <w:sz w:val="21"/>
              </w:rPr>
              <w:t>100.00</w:t>
            </w:r>
          </w:p>
        </w:tc>
        <w:tc>
          <w:tcPr>
            <w:tcW w:w="1710" w:type="dxa"/>
            <w:gridSpan w:val="2"/>
          </w:tcPr>
          <w:p w:rsidR="003F5784" w14:paraId="046A9D31" w14:textId="77777777">
            <w:pPr>
              <w:pStyle w:val="TableParagraph"/>
              <w:ind w:right="386"/>
              <w:rPr>
                <w:sz w:val="21"/>
              </w:rPr>
            </w:pPr>
            <w:r>
              <w:rPr>
                <w:spacing w:val="-2"/>
                <w:sz w:val="21"/>
              </w:rPr>
              <w:t>100.00</w:t>
            </w:r>
          </w:p>
        </w:tc>
        <w:tc>
          <w:tcPr>
            <w:tcW w:w="1707" w:type="dxa"/>
          </w:tcPr>
          <w:p w:rsidR="003F5784" w14:paraId="091D02AC" w14:textId="77777777">
            <w:pPr>
              <w:pStyle w:val="TableParagraph"/>
              <w:ind w:right="462"/>
              <w:rPr>
                <w:sz w:val="21"/>
              </w:rPr>
            </w:pPr>
            <w:r>
              <w:rPr>
                <w:spacing w:val="-2"/>
                <w:sz w:val="21"/>
              </w:rPr>
              <w:t>1,000</w:t>
            </w:r>
          </w:p>
        </w:tc>
        <w:tc>
          <w:tcPr>
            <w:tcW w:w="1806" w:type="dxa"/>
            <w:gridSpan w:val="2"/>
          </w:tcPr>
          <w:p w:rsidR="003F5784" w14:paraId="38FC37DB" w14:textId="77777777">
            <w:pPr>
              <w:pStyle w:val="TableParagraph"/>
              <w:ind w:left="463"/>
              <w:jc w:val="left"/>
              <w:rPr>
                <w:sz w:val="21"/>
              </w:rPr>
            </w:pPr>
            <w:r>
              <w:rPr>
                <w:spacing w:val="-4"/>
                <w:sz w:val="21"/>
              </w:rPr>
              <w:t>1.34</w:t>
            </w:r>
          </w:p>
        </w:tc>
        <w:tc>
          <w:tcPr>
            <w:tcW w:w="1620" w:type="dxa"/>
          </w:tcPr>
          <w:p w:rsidR="003F5784" w14:paraId="3EF7AF51" w14:textId="77777777">
            <w:pPr>
              <w:pStyle w:val="TableParagraph"/>
              <w:ind w:right="22"/>
              <w:jc w:val="center"/>
              <w:rPr>
                <w:sz w:val="21"/>
              </w:rPr>
            </w:pPr>
            <w:r>
              <w:rPr>
                <w:spacing w:val="-2"/>
                <w:sz w:val="21"/>
              </w:rPr>
              <w:t>91.29</w:t>
            </w:r>
          </w:p>
        </w:tc>
        <w:tc>
          <w:tcPr>
            <w:tcW w:w="1625" w:type="dxa"/>
            <w:gridSpan w:val="2"/>
          </w:tcPr>
          <w:p w:rsidR="003F5784" w14:paraId="3F0D7956" w14:textId="77777777">
            <w:pPr>
              <w:pStyle w:val="TableParagraph"/>
              <w:ind w:right="118"/>
              <w:rPr>
                <w:sz w:val="21"/>
              </w:rPr>
            </w:pPr>
            <w:r>
              <w:rPr>
                <w:spacing w:val="-2"/>
                <w:sz w:val="21"/>
              </w:rPr>
              <w:t>17.90</w:t>
            </w:r>
          </w:p>
        </w:tc>
      </w:tr>
      <w:tr w14:paraId="34EFE93B"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018E73BA" w14:textId="77777777">
            <w:pPr>
              <w:pStyle w:val="TableParagraph"/>
              <w:ind w:left="120"/>
              <w:jc w:val="left"/>
              <w:rPr>
                <w:sz w:val="21"/>
              </w:rPr>
            </w:pPr>
            <w:r>
              <w:rPr>
                <w:spacing w:val="-2"/>
                <w:sz w:val="21"/>
              </w:rPr>
              <w:t>Atlanta</w:t>
            </w:r>
          </w:p>
        </w:tc>
        <w:tc>
          <w:tcPr>
            <w:tcW w:w="941" w:type="dxa"/>
          </w:tcPr>
          <w:p w:rsidR="003F5784" w14:paraId="50FA4EE2" w14:textId="77777777">
            <w:pPr>
              <w:pStyle w:val="TableParagraph"/>
              <w:ind w:left="104" w:right="141"/>
              <w:jc w:val="center"/>
              <w:rPr>
                <w:sz w:val="21"/>
              </w:rPr>
            </w:pPr>
            <w:r>
              <w:rPr>
                <w:spacing w:val="-5"/>
                <w:sz w:val="21"/>
              </w:rPr>
              <w:t>40</w:t>
            </w:r>
          </w:p>
        </w:tc>
        <w:tc>
          <w:tcPr>
            <w:tcW w:w="1527" w:type="dxa"/>
            <w:gridSpan w:val="2"/>
          </w:tcPr>
          <w:p w:rsidR="003F5784" w14:paraId="2DB11A4D" w14:textId="77777777">
            <w:pPr>
              <w:pStyle w:val="TableParagraph"/>
              <w:ind w:left="159" w:right="112"/>
              <w:jc w:val="center"/>
              <w:rPr>
                <w:sz w:val="21"/>
              </w:rPr>
            </w:pPr>
            <w:r>
              <w:rPr>
                <w:spacing w:val="-2"/>
                <w:sz w:val="21"/>
              </w:rPr>
              <w:t>100.00</w:t>
            </w:r>
          </w:p>
        </w:tc>
        <w:tc>
          <w:tcPr>
            <w:tcW w:w="1710" w:type="dxa"/>
            <w:gridSpan w:val="2"/>
          </w:tcPr>
          <w:p w:rsidR="003F5784" w14:paraId="7E4AB969" w14:textId="77777777">
            <w:pPr>
              <w:pStyle w:val="TableParagraph"/>
              <w:ind w:right="386"/>
              <w:rPr>
                <w:sz w:val="21"/>
              </w:rPr>
            </w:pPr>
            <w:r>
              <w:rPr>
                <w:spacing w:val="-2"/>
                <w:sz w:val="21"/>
              </w:rPr>
              <w:t>100.00</w:t>
            </w:r>
          </w:p>
        </w:tc>
        <w:tc>
          <w:tcPr>
            <w:tcW w:w="1707" w:type="dxa"/>
          </w:tcPr>
          <w:p w:rsidR="003F5784" w14:paraId="13B7EF40" w14:textId="77777777">
            <w:pPr>
              <w:pStyle w:val="TableParagraph"/>
              <w:ind w:right="462"/>
              <w:rPr>
                <w:sz w:val="21"/>
              </w:rPr>
            </w:pPr>
            <w:r>
              <w:rPr>
                <w:spacing w:val="-2"/>
                <w:sz w:val="21"/>
              </w:rPr>
              <w:t>1,000</w:t>
            </w:r>
          </w:p>
        </w:tc>
        <w:tc>
          <w:tcPr>
            <w:tcW w:w="1806" w:type="dxa"/>
            <w:gridSpan w:val="2"/>
          </w:tcPr>
          <w:p w:rsidR="003F5784" w:rsidP="00A550C9" w14:paraId="126238B4" w14:textId="4193C9B3">
            <w:pPr>
              <w:pStyle w:val="TableParagraph"/>
              <w:ind w:left="463" w:right="-450" w:hanging="103"/>
              <w:jc w:val="left"/>
              <w:rPr>
                <w:sz w:val="21"/>
              </w:rPr>
            </w:pPr>
            <w:r>
              <w:rPr>
                <w:spacing w:val="-4"/>
                <w:sz w:val="21"/>
              </w:rPr>
              <w:t xml:space="preserve">  </w:t>
            </w:r>
            <w:r w:rsidR="00C04193">
              <w:rPr>
                <w:spacing w:val="-4"/>
                <w:sz w:val="21"/>
              </w:rPr>
              <w:t>2.76</w:t>
            </w:r>
          </w:p>
        </w:tc>
        <w:tc>
          <w:tcPr>
            <w:tcW w:w="1620" w:type="dxa"/>
          </w:tcPr>
          <w:p w:rsidR="003F5784" w14:paraId="5D260BAF" w14:textId="77777777">
            <w:pPr>
              <w:pStyle w:val="TableParagraph"/>
              <w:ind w:right="22"/>
              <w:jc w:val="center"/>
              <w:rPr>
                <w:sz w:val="21"/>
              </w:rPr>
            </w:pPr>
            <w:r>
              <w:rPr>
                <w:spacing w:val="-2"/>
                <w:sz w:val="21"/>
              </w:rPr>
              <w:t>92.78</w:t>
            </w:r>
          </w:p>
        </w:tc>
        <w:tc>
          <w:tcPr>
            <w:tcW w:w="1625" w:type="dxa"/>
            <w:gridSpan w:val="2"/>
          </w:tcPr>
          <w:p w:rsidR="003F5784" w14:paraId="179B1E8E" w14:textId="77777777">
            <w:pPr>
              <w:pStyle w:val="TableParagraph"/>
              <w:ind w:right="118"/>
              <w:rPr>
                <w:sz w:val="21"/>
              </w:rPr>
            </w:pPr>
            <w:r>
              <w:rPr>
                <w:spacing w:val="-2"/>
                <w:sz w:val="21"/>
              </w:rPr>
              <w:t>11.45</w:t>
            </w:r>
          </w:p>
        </w:tc>
      </w:tr>
      <w:tr w14:paraId="4491F85B"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72D34663" w14:textId="77777777">
            <w:pPr>
              <w:pStyle w:val="TableParagraph"/>
              <w:ind w:left="120"/>
              <w:jc w:val="left"/>
              <w:rPr>
                <w:sz w:val="21"/>
              </w:rPr>
            </w:pPr>
            <w:r>
              <w:rPr>
                <w:spacing w:val="-2"/>
                <w:sz w:val="21"/>
              </w:rPr>
              <w:t>Austin</w:t>
            </w:r>
          </w:p>
        </w:tc>
        <w:tc>
          <w:tcPr>
            <w:tcW w:w="941" w:type="dxa"/>
          </w:tcPr>
          <w:p w:rsidR="003F5784" w14:paraId="2E402885" w14:textId="77777777">
            <w:pPr>
              <w:pStyle w:val="TableParagraph"/>
              <w:ind w:left="104" w:right="141"/>
              <w:jc w:val="center"/>
              <w:rPr>
                <w:sz w:val="21"/>
              </w:rPr>
            </w:pPr>
            <w:r>
              <w:rPr>
                <w:spacing w:val="-5"/>
                <w:sz w:val="21"/>
              </w:rPr>
              <w:t>40</w:t>
            </w:r>
          </w:p>
        </w:tc>
        <w:tc>
          <w:tcPr>
            <w:tcW w:w="1527" w:type="dxa"/>
            <w:gridSpan w:val="2"/>
          </w:tcPr>
          <w:p w:rsidR="003F5784" w14:paraId="6E5F4729" w14:textId="77777777">
            <w:pPr>
              <w:pStyle w:val="TableParagraph"/>
              <w:ind w:left="159" w:right="112"/>
              <w:jc w:val="center"/>
              <w:rPr>
                <w:sz w:val="21"/>
              </w:rPr>
            </w:pPr>
            <w:r>
              <w:rPr>
                <w:spacing w:val="-2"/>
                <w:sz w:val="21"/>
              </w:rPr>
              <w:t>100.00</w:t>
            </w:r>
          </w:p>
        </w:tc>
        <w:tc>
          <w:tcPr>
            <w:tcW w:w="1710" w:type="dxa"/>
            <w:gridSpan w:val="2"/>
          </w:tcPr>
          <w:p w:rsidR="003F5784" w14:paraId="5839EFB9" w14:textId="77777777">
            <w:pPr>
              <w:pStyle w:val="TableParagraph"/>
              <w:ind w:right="386"/>
              <w:rPr>
                <w:sz w:val="21"/>
              </w:rPr>
            </w:pPr>
            <w:r>
              <w:rPr>
                <w:spacing w:val="-2"/>
                <w:sz w:val="21"/>
              </w:rPr>
              <w:t>100.00</w:t>
            </w:r>
          </w:p>
        </w:tc>
        <w:tc>
          <w:tcPr>
            <w:tcW w:w="1707" w:type="dxa"/>
          </w:tcPr>
          <w:p w:rsidR="003F5784" w14:paraId="41AE618D" w14:textId="77777777">
            <w:pPr>
              <w:pStyle w:val="TableParagraph"/>
              <w:ind w:right="462"/>
              <w:rPr>
                <w:sz w:val="21"/>
              </w:rPr>
            </w:pPr>
            <w:r>
              <w:rPr>
                <w:spacing w:val="-2"/>
                <w:sz w:val="21"/>
              </w:rPr>
              <w:t>1,100</w:t>
            </w:r>
          </w:p>
        </w:tc>
        <w:tc>
          <w:tcPr>
            <w:tcW w:w="1806" w:type="dxa"/>
            <w:gridSpan w:val="2"/>
          </w:tcPr>
          <w:p w:rsidR="003F5784" w14:paraId="59E133CA" w14:textId="77777777">
            <w:pPr>
              <w:pStyle w:val="TableParagraph"/>
              <w:ind w:left="463"/>
              <w:jc w:val="left"/>
              <w:rPr>
                <w:sz w:val="21"/>
              </w:rPr>
            </w:pPr>
            <w:r>
              <w:rPr>
                <w:spacing w:val="-4"/>
                <w:sz w:val="21"/>
              </w:rPr>
              <w:t>5.14</w:t>
            </w:r>
          </w:p>
        </w:tc>
        <w:tc>
          <w:tcPr>
            <w:tcW w:w="1620" w:type="dxa"/>
          </w:tcPr>
          <w:p w:rsidR="003F5784" w14:paraId="2F8CB6DB" w14:textId="77777777">
            <w:pPr>
              <w:pStyle w:val="TableParagraph"/>
              <w:ind w:right="22"/>
              <w:jc w:val="center"/>
              <w:rPr>
                <w:sz w:val="21"/>
              </w:rPr>
            </w:pPr>
            <w:r>
              <w:rPr>
                <w:spacing w:val="-2"/>
                <w:sz w:val="21"/>
              </w:rPr>
              <w:t>89.14</w:t>
            </w:r>
          </w:p>
        </w:tc>
        <w:tc>
          <w:tcPr>
            <w:tcW w:w="1625" w:type="dxa"/>
            <w:gridSpan w:val="2"/>
          </w:tcPr>
          <w:p w:rsidR="003F5784" w14:paraId="444FCDAB" w14:textId="77777777">
            <w:pPr>
              <w:pStyle w:val="TableParagraph"/>
              <w:ind w:right="118"/>
              <w:rPr>
                <w:sz w:val="21"/>
              </w:rPr>
            </w:pPr>
            <w:r>
              <w:rPr>
                <w:spacing w:val="-2"/>
                <w:sz w:val="21"/>
              </w:rPr>
              <w:t>28.32</w:t>
            </w:r>
          </w:p>
        </w:tc>
      </w:tr>
      <w:tr w14:paraId="44CDF2EA"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2EF18FBB" w14:textId="77777777">
            <w:pPr>
              <w:pStyle w:val="TableParagraph"/>
              <w:ind w:left="120"/>
              <w:jc w:val="left"/>
              <w:rPr>
                <w:sz w:val="21"/>
              </w:rPr>
            </w:pPr>
            <w:r>
              <w:rPr>
                <w:sz w:val="21"/>
              </w:rPr>
              <w:t>Baltimore</w:t>
            </w:r>
            <w:r>
              <w:rPr>
                <w:spacing w:val="-10"/>
                <w:sz w:val="21"/>
              </w:rPr>
              <w:t xml:space="preserve"> </w:t>
            </w:r>
            <w:r>
              <w:rPr>
                <w:spacing w:val="-4"/>
                <w:sz w:val="21"/>
              </w:rPr>
              <w:t>City</w:t>
            </w:r>
          </w:p>
        </w:tc>
        <w:tc>
          <w:tcPr>
            <w:tcW w:w="941" w:type="dxa"/>
          </w:tcPr>
          <w:p w:rsidR="003F5784" w14:paraId="0423B627" w14:textId="77777777">
            <w:pPr>
              <w:pStyle w:val="TableParagraph"/>
              <w:ind w:left="104" w:right="141"/>
              <w:jc w:val="center"/>
              <w:rPr>
                <w:sz w:val="21"/>
              </w:rPr>
            </w:pPr>
            <w:r>
              <w:rPr>
                <w:spacing w:val="-5"/>
                <w:sz w:val="21"/>
              </w:rPr>
              <w:t>50</w:t>
            </w:r>
          </w:p>
        </w:tc>
        <w:tc>
          <w:tcPr>
            <w:tcW w:w="1527" w:type="dxa"/>
            <w:gridSpan w:val="2"/>
          </w:tcPr>
          <w:p w:rsidR="003F5784" w14:paraId="690FB900" w14:textId="77777777">
            <w:pPr>
              <w:pStyle w:val="TableParagraph"/>
              <w:ind w:left="159" w:right="112"/>
              <w:jc w:val="center"/>
              <w:rPr>
                <w:sz w:val="21"/>
              </w:rPr>
            </w:pPr>
            <w:r>
              <w:rPr>
                <w:spacing w:val="-2"/>
                <w:sz w:val="21"/>
              </w:rPr>
              <w:t>100.00</w:t>
            </w:r>
          </w:p>
        </w:tc>
        <w:tc>
          <w:tcPr>
            <w:tcW w:w="1710" w:type="dxa"/>
            <w:gridSpan w:val="2"/>
          </w:tcPr>
          <w:p w:rsidR="003F5784" w14:paraId="1B39361B" w14:textId="77777777">
            <w:pPr>
              <w:pStyle w:val="TableParagraph"/>
              <w:ind w:right="386"/>
              <w:rPr>
                <w:sz w:val="21"/>
              </w:rPr>
            </w:pPr>
            <w:r>
              <w:rPr>
                <w:spacing w:val="-2"/>
                <w:sz w:val="21"/>
              </w:rPr>
              <w:t>100.00</w:t>
            </w:r>
          </w:p>
        </w:tc>
        <w:tc>
          <w:tcPr>
            <w:tcW w:w="1707" w:type="dxa"/>
          </w:tcPr>
          <w:p w:rsidR="003F5784" w14:paraId="7CDD5C02" w14:textId="77777777">
            <w:pPr>
              <w:pStyle w:val="TableParagraph"/>
              <w:ind w:right="462"/>
              <w:rPr>
                <w:sz w:val="21"/>
              </w:rPr>
            </w:pPr>
            <w:r>
              <w:rPr>
                <w:spacing w:val="-2"/>
                <w:sz w:val="21"/>
              </w:rPr>
              <w:t>1,000</w:t>
            </w:r>
          </w:p>
        </w:tc>
        <w:tc>
          <w:tcPr>
            <w:tcW w:w="1806" w:type="dxa"/>
            <w:gridSpan w:val="2"/>
          </w:tcPr>
          <w:p w:rsidR="003F5784" w14:paraId="531FAD64" w14:textId="77777777">
            <w:pPr>
              <w:pStyle w:val="TableParagraph"/>
              <w:ind w:left="463"/>
              <w:jc w:val="left"/>
              <w:rPr>
                <w:sz w:val="21"/>
              </w:rPr>
            </w:pPr>
            <w:r>
              <w:rPr>
                <w:spacing w:val="-4"/>
                <w:sz w:val="21"/>
              </w:rPr>
              <w:t>3.23</w:t>
            </w:r>
          </w:p>
        </w:tc>
        <w:tc>
          <w:tcPr>
            <w:tcW w:w="1620" w:type="dxa"/>
          </w:tcPr>
          <w:p w:rsidR="003F5784" w14:paraId="014BA821" w14:textId="77777777">
            <w:pPr>
              <w:pStyle w:val="TableParagraph"/>
              <w:ind w:right="22"/>
              <w:jc w:val="center"/>
              <w:rPr>
                <w:sz w:val="21"/>
              </w:rPr>
            </w:pPr>
            <w:r>
              <w:rPr>
                <w:spacing w:val="-2"/>
                <w:sz w:val="21"/>
              </w:rPr>
              <w:t>90.67</w:t>
            </w:r>
          </w:p>
        </w:tc>
        <w:tc>
          <w:tcPr>
            <w:tcW w:w="1625" w:type="dxa"/>
            <w:gridSpan w:val="2"/>
          </w:tcPr>
          <w:p w:rsidR="003F5784" w14:paraId="4E7DA273" w14:textId="77777777">
            <w:pPr>
              <w:pStyle w:val="TableParagraph"/>
              <w:ind w:right="118"/>
              <w:rPr>
                <w:sz w:val="21"/>
              </w:rPr>
            </w:pPr>
            <w:r>
              <w:rPr>
                <w:spacing w:val="-2"/>
                <w:sz w:val="21"/>
              </w:rPr>
              <w:t>25.26</w:t>
            </w:r>
          </w:p>
        </w:tc>
      </w:tr>
      <w:tr w14:paraId="7688A0CF"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2BECD7D8" w14:textId="77777777">
            <w:pPr>
              <w:pStyle w:val="TableParagraph"/>
              <w:ind w:left="120"/>
              <w:jc w:val="left"/>
              <w:rPr>
                <w:sz w:val="21"/>
              </w:rPr>
            </w:pPr>
            <w:r>
              <w:rPr>
                <w:spacing w:val="-2"/>
                <w:sz w:val="21"/>
              </w:rPr>
              <w:t>Boston</w:t>
            </w:r>
          </w:p>
        </w:tc>
        <w:tc>
          <w:tcPr>
            <w:tcW w:w="941" w:type="dxa"/>
          </w:tcPr>
          <w:p w:rsidR="003F5784" w14:paraId="38215555" w14:textId="77777777">
            <w:pPr>
              <w:pStyle w:val="TableParagraph"/>
              <w:ind w:left="104" w:right="141"/>
              <w:jc w:val="center"/>
              <w:rPr>
                <w:sz w:val="21"/>
              </w:rPr>
            </w:pPr>
            <w:r>
              <w:rPr>
                <w:spacing w:val="-5"/>
                <w:sz w:val="21"/>
              </w:rPr>
              <w:t>50</w:t>
            </w:r>
          </w:p>
        </w:tc>
        <w:tc>
          <w:tcPr>
            <w:tcW w:w="1527" w:type="dxa"/>
            <w:gridSpan w:val="2"/>
          </w:tcPr>
          <w:p w:rsidR="003F5784" w14:paraId="71D36BE0" w14:textId="77777777">
            <w:pPr>
              <w:pStyle w:val="TableParagraph"/>
              <w:ind w:left="159" w:right="112"/>
              <w:jc w:val="center"/>
              <w:rPr>
                <w:sz w:val="21"/>
              </w:rPr>
            </w:pPr>
            <w:r>
              <w:rPr>
                <w:spacing w:val="-2"/>
                <w:sz w:val="21"/>
              </w:rPr>
              <w:t>100.00</w:t>
            </w:r>
          </w:p>
        </w:tc>
        <w:tc>
          <w:tcPr>
            <w:tcW w:w="1710" w:type="dxa"/>
            <w:gridSpan w:val="2"/>
          </w:tcPr>
          <w:p w:rsidR="003F5784" w14:paraId="56DE73F3" w14:textId="77777777">
            <w:pPr>
              <w:pStyle w:val="TableParagraph"/>
              <w:ind w:right="386"/>
              <w:rPr>
                <w:sz w:val="21"/>
              </w:rPr>
            </w:pPr>
            <w:r>
              <w:rPr>
                <w:spacing w:val="-2"/>
                <w:sz w:val="21"/>
              </w:rPr>
              <w:t>100.00</w:t>
            </w:r>
          </w:p>
        </w:tc>
        <w:tc>
          <w:tcPr>
            <w:tcW w:w="1707" w:type="dxa"/>
          </w:tcPr>
          <w:p w:rsidR="003F5784" w14:paraId="2F13099F" w14:textId="77777777">
            <w:pPr>
              <w:pStyle w:val="TableParagraph"/>
              <w:ind w:right="462"/>
              <w:rPr>
                <w:sz w:val="21"/>
              </w:rPr>
            </w:pPr>
            <w:r>
              <w:rPr>
                <w:spacing w:val="-2"/>
                <w:sz w:val="21"/>
              </w:rPr>
              <w:t>1,000</w:t>
            </w:r>
          </w:p>
        </w:tc>
        <w:tc>
          <w:tcPr>
            <w:tcW w:w="1806" w:type="dxa"/>
            <w:gridSpan w:val="2"/>
          </w:tcPr>
          <w:p w:rsidR="003F5784" w14:paraId="0864D229" w14:textId="77777777">
            <w:pPr>
              <w:pStyle w:val="TableParagraph"/>
              <w:ind w:left="463"/>
              <w:jc w:val="left"/>
              <w:rPr>
                <w:sz w:val="21"/>
              </w:rPr>
            </w:pPr>
            <w:r>
              <w:rPr>
                <w:spacing w:val="-4"/>
                <w:sz w:val="21"/>
              </w:rPr>
              <w:t>6.09</w:t>
            </w:r>
          </w:p>
        </w:tc>
        <w:tc>
          <w:tcPr>
            <w:tcW w:w="1620" w:type="dxa"/>
          </w:tcPr>
          <w:p w:rsidR="003F5784" w14:paraId="1EDF279E" w14:textId="77777777">
            <w:pPr>
              <w:pStyle w:val="TableParagraph"/>
              <w:ind w:right="22"/>
              <w:jc w:val="center"/>
              <w:rPr>
                <w:sz w:val="21"/>
              </w:rPr>
            </w:pPr>
            <w:r>
              <w:rPr>
                <w:spacing w:val="-2"/>
                <w:sz w:val="21"/>
              </w:rPr>
              <w:t>90.96</w:t>
            </w:r>
          </w:p>
        </w:tc>
        <w:tc>
          <w:tcPr>
            <w:tcW w:w="1625" w:type="dxa"/>
            <w:gridSpan w:val="2"/>
          </w:tcPr>
          <w:p w:rsidR="003F5784" w14:paraId="71FF9F21" w14:textId="77777777">
            <w:pPr>
              <w:pStyle w:val="TableParagraph"/>
              <w:ind w:right="118"/>
              <w:rPr>
                <w:sz w:val="21"/>
              </w:rPr>
            </w:pPr>
            <w:r>
              <w:rPr>
                <w:spacing w:val="-2"/>
                <w:sz w:val="21"/>
              </w:rPr>
              <w:t>16.80</w:t>
            </w:r>
          </w:p>
        </w:tc>
      </w:tr>
      <w:tr w14:paraId="1646F72B"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728E0DB9" w14:textId="77777777">
            <w:pPr>
              <w:pStyle w:val="TableParagraph"/>
              <w:ind w:left="120"/>
              <w:jc w:val="left"/>
              <w:rPr>
                <w:sz w:val="21"/>
              </w:rPr>
            </w:pPr>
            <w:r>
              <w:rPr>
                <w:spacing w:val="-2"/>
                <w:sz w:val="21"/>
              </w:rPr>
              <w:t>Charlotte-Mecklenburg</w:t>
            </w:r>
          </w:p>
        </w:tc>
        <w:tc>
          <w:tcPr>
            <w:tcW w:w="941" w:type="dxa"/>
          </w:tcPr>
          <w:p w:rsidR="003F5784" w14:paraId="4EB15B08" w14:textId="77777777">
            <w:pPr>
              <w:pStyle w:val="TableParagraph"/>
              <w:ind w:left="104" w:right="141"/>
              <w:jc w:val="center"/>
              <w:rPr>
                <w:sz w:val="21"/>
              </w:rPr>
            </w:pPr>
            <w:r>
              <w:rPr>
                <w:spacing w:val="-5"/>
                <w:sz w:val="21"/>
              </w:rPr>
              <w:t>40</w:t>
            </w:r>
          </w:p>
        </w:tc>
        <w:tc>
          <w:tcPr>
            <w:tcW w:w="1527" w:type="dxa"/>
            <w:gridSpan w:val="2"/>
          </w:tcPr>
          <w:p w:rsidR="003F5784" w14:paraId="04FE203F" w14:textId="77777777">
            <w:pPr>
              <w:pStyle w:val="TableParagraph"/>
              <w:ind w:left="159" w:right="112"/>
              <w:jc w:val="center"/>
              <w:rPr>
                <w:sz w:val="21"/>
              </w:rPr>
            </w:pPr>
            <w:r>
              <w:rPr>
                <w:spacing w:val="-2"/>
                <w:sz w:val="21"/>
              </w:rPr>
              <w:t>100.00</w:t>
            </w:r>
          </w:p>
        </w:tc>
        <w:tc>
          <w:tcPr>
            <w:tcW w:w="1710" w:type="dxa"/>
            <w:gridSpan w:val="2"/>
          </w:tcPr>
          <w:p w:rsidR="003F5784" w14:paraId="2427B84D" w14:textId="77777777">
            <w:pPr>
              <w:pStyle w:val="TableParagraph"/>
              <w:ind w:right="386"/>
              <w:rPr>
                <w:sz w:val="21"/>
              </w:rPr>
            </w:pPr>
            <w:r>
              <w:rPr>
                <w:spacing w:val="-2"/>
                <w:sz w:val="21"/>
              </w:rPr>
              <w:t>100.00</w:t>
            </w:r>
          </w:p>
        </w:tc>
        <w:tc>
          <w:tcPr>
            <w:tcW w:w="1707" w:type="dxa"/>
          </w:tcPr>
          <w:p w:rsidR="003F5784" w14:paraId="22D62A48" w14:textId="77777777">
            <w:pPr>
              <w:pStyle w:val="TableParagraph"/>
              <w:ind w:right="462"/>
              <w:rPr>
                <w:sz w:val="21"/>
              </w:rPr>
            </w:pPr>
            <w:r>
              <w:rPr>
                <w:spacing w:val="-2"/>
                <w:sz w:val="21"/>
              </w:rPr>
              <w:t>1,000</w:t>
            </w:r>
          </w:p>
        </w:tc>
        <w:tc>
          <w:tcPr>
            <w:tcW w:w="1806" w:type="dxa"/>
            <w:gridSpan w:val="2"/>
          </w:tcPr>
          <w:p w:rsidR="003F5784" w14:paraId="0D20CA80" w14:textId="77777777">
            <w:pPr>
              <w:pStyle w:val="TableParagraph"/>
              <w:ind w:left="463"/>
              <w:jc w:val="left"/>
              <w:rPr>
                <w:sz w:val="21"/>
              </w:rPr>
            </w:pPr>
            <w:r>
              <w:rPr>
                <w:spacing w:val="-4"/>
                <w:sz w:val="21"/>
              </w:rPr>
              <w:t>1.70</w:t>
            </w:r>
          </w:p>
        </w:tc>
        <w:tc>
          <w:tcPr>
            <w:tcW w:w="1620" w:type="dxa"/>
          </w:tcPr>
          <w:p w:rsidR="003F5784" w14:paraId="3E0548C6" w14:textId="77777777">
            <w:pPr>
              <w:pStyle w:val="TableParagraph"/>
              <w:ind w:right="22"/>
              <w:jc w:val="center"/>
              <w:rPr>
                <w:sz w:val="21"/>
              </w:rPr>
            </w:pPr>
            <w:r>
              <w:rPr>
                <w:spacing w:val="-2"/>
                <w:sz w:val="21"/>
              </w:rPr>
              <w:t>91.77</w:t>
            </w:r>
          </w:p>
        </w:tc>
        <w:tc>
          <w:tcPr>
            <w:tcW w:w="1625" w:type="dxa"/>
            <w:gridSpan w:val="2"/>
          </w:tcPr>
          <w:p w:rsidR="003F5784" w14:paraId="6BC59737" w14:textId="77777777">
            <w:pPr>
              <w:pStyle w:val="TableParagraph"/>
              <w:ind w:right="118"/>
              <w:rPr>
                <w:sz w:val="21"/>
              </w:rPr>
            </w:pPr>
            <w:r>
              <w:rPr>
                <w:spacing w:val="-2"/>
                <w:sz w:val="21"/>
              </w:rPr>
              <w:t>10.12</w:t>
            </w:r>
          </w:p>
        </w:tc>
      </w:tr>
      <w:tr w14:paraId="7E05117D"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3B84EC89" w14:textId="77777777">
            <w:pPr>
              <w:pStyle w:val="TableParagraph"/>
              <w:ind w:left="120"/>
              <w:jc w:val="left"/>
              <w:rPr>
                <w:sz w:val="21"/>
              </w:rPr>
            </w:pPr>
            <w:r>
              <w:rPr>
                <w:spacing w:val="-2"/>
                <w:sz w:val="21"/>
              </w:rPr>
              <w:t>Chicago</w:t>
            </w:r>
          </w:p>
        </w:tc>
        <w:tc>
          <w:tcPr>
            <w:tcW w:w="941" w:type="dxa"/>
          </w:tcPr>
          <w:p w:rsidR="003F5784" w14:paraId="75731B48" w14:textId="77777777">
            <w:pPr>
              <w:pStyle w:val="TableParagraph"/>
              <w:ind w:left="104" w:right="141"/>
              <w:jc w:val="center"/>
              <w:rPr>
                <w:sz w:val="21"/>
              </w:rPr>
            </w:pPr>
            <w:r>
              <w:rPr>
                <w:spacing w:val="-5"/>
                <w:sz w:val="21"/>
              </w:rPr>
              <w:t>70</w:t>
            </w:r>
          </w:p>
        </w:tc>
        <w:tc>
          <w:tcPr>
            <w:tcW w:w="1527" w:type="dxa"/>
            <w:gridSpan w:val="2"/>
          </w:tcPr>
          <w:p w:rsidR="003F5784" w14:paraId="5BEA9F5A" w14:textId="77777777">
            <w:pPr>
              <w:pStyle w:val="TableParagraph"/>
              <w:ind w:left="159" w:right="112"/>
              <w:jc w:val="center"/>
              <w:rPr>
                <w:sz w:val="21"/>
              </w:rPr>
            </w:pPr>
            <w:r>
              <w:rPr>
                <w:spacing w:val="-2"/>
                <w:sz w:val="21"/>
              </w:rPr>
              <w:t>100.00</w:t>
            </w:r>
          </w:p>
        </w:tc>
        <w:tc>
          <w:tcPr>
            <w:tcW w:w="1710" w:type="dxa"/>
            <w:gridSpan w:val="2"/>
          </w:tcPr>
          <w:p w:rsidR="003F5784" w14:paraId="52F025D2" w14:textId="77777777">
            <w:pPr>
              <w:pStyle w:val="TableParagraph"/>
              <w:ind w:right="386"/>
              <w:rPr>
                <w:sz w:val="21"/>
              </w:rPr>
            </w:pPr>
            <w:r>
              <w:rPr>
                <w:spacing w:val="-2"/>
                <w:sz w:val="21"/>
              </w:rPr>
              <w:t>100.00</w:t>
            </w:r>
          </w:p>
        </w:tc>
        <w:tc>
          <w:tcPr>
            <w:tcW w:w="1707" w:type="dxa"/>
          </w:tcPr>
          <w:p w:rsidR="003F5784" w14:paraId="61E7D93B" w14:textId="77777777">
            <w:pPr>
              <w:pStyle w:val="TableParagraph"/>
              <w:ind w:right="462"/>
              <w:rPr>
                <w:sz w:val="21"/>
              </w:rPr>
            </w:pPr>
            <w:r>
              <w:rPr>
                <w:spacing w:val="-2"/>
                <w:sz w:val="21"/>
              </w:rPr>
              <w:t>1,400</w:t>
            </w:r>
          </w:p>
        </w:tc>
        <w:tc>
          <w:tcPr>
            <w:tcW w:w="1806" w:type="dxa"/>
            <w:gridSpan w:val="2"/>
          </w:tcPr>
          <w:p w:rsidR="003F5784" w14:paraId="16859483" w14:textId="77777777">
            <w:pPr>
              <w:pStyle w:val="TableParagraph"/>
              <w:ind w:left="463"/>
              <w:jc w:val="left"/>
              <w:rPr>
                <w:sz w:val="21"/>
              </w:rPr>
            </w:pPr>
            <w:r>
              <w:rPr>
                <w:spacing w:val="-4"/>
                <w:sz w:val="21"/>
              </w:rPr>
              <w:t>2.26</w:t>
            </w:r>
          </w:p>
        </w:tc>
        <w:tc>
          <w:tcPr>
            <w:tcW w:w="1620" w:type="dxa"/>
          </w:tcPr>
          <w:p w:rsidR="003F5784" w14:paraId="1D9F2488" w14:textId="77777777">
            <w:pPr>
              <w:pStyle w:val="TableParagraph"/>
              <w:ind w:right="22"/>
              <w:jc w:val="center"/>
              <w:rPr>
                <w:sz w:val="21"/>
              </w:rPr>
            </w:pPr>
            <w:r>
              <w:rPr>
                <w:spacing w:val="-2"/>
                <w:sz w:val="21"/>
              </w:rPr>
              <w:t>89.02</w:t>
            </w:r>
          </w:p>
        </w:tc>
        <w:tc>
          <w:tcPr>
            <w:tcW w:w="1625" w:type="dxa"/>
            <w:gridSpan w:val="2"/>
          </w:tcPr>
          <w:p w:rsidR="003F5784" w14:paraId="7D493F0F" w14:textId="77777777">
            <w:pPr>
              <w:pStyle w:val="TableParagraph"/>
              <w:ind w:right="118"/>
              <w:rPr>
                <w:sz w:val="21"/>
              </w:rPr>
            </w:pPr>
            <w:r>
              <w:rPr>
                <w:spacing w:val="-2"/>
                <w:sz w:val="21"/>
              </w:rPr>
              <w:t>23.88</w:t>
            </w:r>
          </w:p>
        </w:tc>
      </w:tr>
      <w:tr w14:paraId="54CBF7F1"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237CF01B" w14:textId="77777777">
            <w:pPr>
              <w:pStyle w:val="TableParagraph"/>
              <w:ind w:left="120"/>
              <w:jc w:val="left"/>
              <w:rPr>
                <w:sz w:val="21"/>
              </w:rPr>
            </w:pPr>
            <w:r>
              <w:rPr>
                <w:sz w:val="21"/>
              </w:rPr>
              <w:t>Clark</w:t>
            </w:r>
            <w:r>
              <w:rPr>
                <w:spacing w:val="-7"/>
                <w:sz w:val="21"/>
              </w:rPr>
              <w:t xml:space="preserve"> </w:t>
            </w:r>
            <w:r>
              <w:rPr>
                <w:sz w:val="21"/>
              </w:rPr>
              <w:t>County</w:t>
            </w:r>
            <w:r>
              <w:rPr>
                <w:spacing w:val="-6"/>
                <w:sz w:val="21"/>
              </w:rPr>
              <w:t xml:space="preserve"> </w:t>
            </w:r>
            <w:r>
              <w:rPr>
                <w:spacing w:val="-4"/>
                <w:sz w:val="21"/>
              </w:rPr>
              <w:t>(NV)</w:t>
            </w:r>
          </w:p>
        </w:tc>
        <w:tc>
          <w:tcPr>
            <w:tcW w:w="941" w:type="dxa"/>
          </w:tcPr>
          <w:p w:rsidR="003F5784" w14:paraId="0B1413DA" w14:textId="77777777">
            <w:pPr>
              <w:pStyle w:val="TableParagraph"/>
              <w:ind w:left="104" w:right="141"/>
              <w:jc w:val="center"/>
              <w:rPr>
                <w:sz w:val="21"/>
              </w:rPr>
            </w:pPr>
            <w:r>
              <w:rPr>
                <w:spacing w:val="-5"/>
                <w:sz w:val="21"/>
              </w:rPr>
              <w:t>60</w:t>
            </w:r>
          </w:p>
        </w:tc>
        <w:tc>
          <w:tcPr>
            <w:tcW w:w="1527" w:type="dxa"/>
            <w:gridSpan w:val="2"/>
          </w:tcPr>
          <w:p w:rsidR="003F5784" w14:paraId="1C4A5615" w14:textId="77777777">
            <w:pPr>
              <w:pStyle w:val="TableParagraph"/>
              <w:ind w:left="159" w:right="112"/>
              <w:jc w:val="center"/>
              <w:rPr>
                <w:sz w:val="21"/>
              </w:rPr>
            </w:pPr>
            <w:r>
              <w:rPr>
                <w:spacing w:val="-2"/>
                <w:sz w:val="21"/>
              </w:rPr>
              <w:t>100.00</w:t>
            </w:r>
          </w:p>
        </w:tc>
        <w:tc>
          <w:tcPr>
            <w:tcW w:w="1710" w:type="dxa"/>
            <w:gridSpan w:val="2"/>
          </w:tcPr>
          <w:p w:rsidR="003F5784" w14:paraId="6AD52CD5" w14:textId="77777777">
            <w:pPr>
              <w:pStyle w:val="TableParagraph"/>
              <w:ind w:right="386"/>
              <w:rPr>
                <w:sz w:val="21"/>
              </w:rPr>
            </w:pPr>
            <w:r>
              <w:rPr>
                <w:spacing w:val="-2"/>
                <w:sz w:val="21"/>
              </w:rPr>
              <w:t>100.00</w:t>
            </w:r>
          </w:p>
        </w:tc>
        <w:tc>
          <w:tcPr>
            <w:tcW w:w="1707" w:type="dxa"/>
          </w:tcPr>
          <w:p w:rsidR="003F5784" w14:paraId="0F25D2FB" w14:textId="77777777">
            <w:pPr>
              <w:pStyle w:val="TableParagraph"/>
              <w:ind w:right="462"/>
              <w:rPr>
                <w:sz w:val="21"/>
              </w:rPr>
            </w:pPr>
            <w:r>
              <w:rPr>
                <w:spacing w:val="-2"/>
                <w:sz w:val="21"/>
              </w:rPr>
              <w:t>1,500</w:t>
            </w:r>
          </w:p>
        </w:tc>
        <w:tc>
          <w:tcPr>
            <w:tcW w:w="1806" w:type="dxa"/>
            <w:gridSpan w:val="2"/>
          </w:tcPr>
          <w:p w:rsidR="003F5784" w14:paraId="391B945E" w14:textId="77777777">
            <w:pPr>
              <w:pStyle w:val="TableParagraph"/>
              <w:ind w:left="463"/>
              <w:jc w:val="left"/>
              <w:rPr>
                <w:sz w:val="21"/>
              </w:rPr>
            </w:pPr>
            <w:r>
              <w:rPr>
                <w:spacing w:val="-4"/>
                <w:sz w:val="21"/>
              </w:rPr>
              <w:t>1.71</w:t>
            </w:r>
          </w:p>
        </w:tc>
        <w:tc>
          <w:tcPr>
            <w:tcW w:w="1620" w:type="dxa"/>
          </w:tcPr>
          <w:p w:rsidR="003F5784" w14:paraId="7217A1ED" w14:textId="77777777">
            <w:pPr>
              <w:pStyle w:val="TableParagraph"/>
              <w:ind w:right="22"/>
              <w:jc w:val="center"/>
              <w:rPr>
                <w:sz w:val="21"/>
              </w:rPr>
            </w:pPr>
            <w:r>
              <w:rPr>
                <w:spacing w:val="-2"/>
                <w:sz w:val="21"/>
              </w:rPr>
              <w:t>91.94</w:t>
            </w:r>
          </w:p>
        </w:tc>
        <w:tc>
          <w:tcPr>
            <w:tcW w:w="1625" w:type="dxa"/>
            <w:gridSpan w:val="2"/>
          </w:tcPr>
          <w:p w:rsidR="003F5784" w14:paraId="0FAC01C1" w14:textId="77777777">
            <w:pPr>
              <w:pStyle w:val="TableParagraph"/>
              <w:ind w:right="118"/>
              <w:rPr>
                <w:sz w:val="21"/>
              </w:rPr>
            </w:pPr>
            <w:r>
              <w:rPr>
                <w:spacing w:val="-4"/>
                <w:sz w:val="21"/>
              </w:rPr>
              <w:t>7.07</w:t>
            </w:r>
          </w:p>
        </w:tc>
      </w:tr>
      <w:tr w14:paraId="6F398CAB"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2FF3C68C" w14:textId="77777777">
            <w:pPr>
              <w:pStyle w:val="TableParagraph"/>
              <w:ind w:left="120"/>
              <w:jc w:val="left"/>
              <w:rPr>
                <w:sz w:val="21"/>
              </w:rPr>
            </w:pPr>
            <w:r>
              <w:rPr>
                <w:spacing w:val="-2"/>
                <w:sz w:val="21"/>
              </w:rPr>
              <w:t>Cleveland</w:t>
            </w:r>
          </w:p>
        </w:tc>
        <w:tc>
          <w:tcPr>
            <w:tcW w:w="941" w:type="dxa"/>
          </w:tcPr>
          <w:p w:rsidR="003F5784" w14:paraId="3614B536" w14:textId="77777777">
            <w:pPr>
              <w:pStyle w:val="TableParagraph"/>
              <w:ind w:left="104" w:right="141"/>
              <w:jc w:val="center"/>
              <w:rPr>
                <w:sz w:val="21"/>
              </w:rPr>
            </w:pPr>
            <w:r>
              <w:rPr>
                <w:spacing w:val="-5"/>
                <w:sz w:val="21"/>
              </w:rPr>
              <w:t>50</w:t>
            </w:r>
          </w:p>
        </w:tc>
        <w:tc>
          <w:tcPr>
            <w:tcW w:w="1527" w:type="dxa"/>
            <w:gridSpan w:val="2"/>
          </w:tcPr>
          <w:p w:rsidR="003F5784" w14:paraId="5378B5FA" w14:textId="77777777">
            <w:pPr>
              <w:pStyle w:val="TableParagraph"/>
              <w:ind w:left="159" w:right="112"/>
              <w:jc w:val="center"/>
              <w:rPr>
                <w:sz w:val="21"/>
              </w:rPr>
            </w:pPr>
            <w:r>
              <w:rPr>
                <w:spacing w:val="-2"/>
                <w:sz w:val="21"/>
              </w:rPr>
              <w:t>100.00</w:t>
            </w:r>
          </w:p>
        </w:tc>
        <w:tc>
          <w:tcPr>
            <w:tcW w:w="1710" w:type="dxa"/>
            <w:gridSpan w:val="2"/>
          </w:tcPr>
          <w:p w:rsidR="003F5784" w14:paraId="58EA1E19" w14:textId="77777777">
            <w:pPr>
              <w:pStyle w:val="TableParagraph"/>
              <w:ind w:right="386"/>
              <w:rPr>
                <w:sz w:val="21"/>
              </w:rPr>
            </w:pPr>
            <w:r>
              <w:rPr>
                <w:spacing w:val="-2"/>
                <w:sz w:val="21"/>
              </w:rPr>
              <w:t>100.00</w:t>
            </w:r>
          </w:p>
        </w:tc>
        <w:tc>
          <w:tcPr>
            <w:tcW w:w="1707" w:type="dxa"/>
          </w:tcPr>
          <w:p w:rsidR="003F5784" w14:paraId="28917C9A" w14:textId="77777777">
            <w:pPr>
              <w:pStyle w:val="TableParagraph"/>
              <w:ind w:right="462"/>
              <w:rPr>
                <w:sz w:val="21"/>
              </w:rPr>
            </w:pPr>
            <w:r>
              <w:rPr>
                <w:spacing w:val="-5"/>
                <w:sz w:val="21"/>
              </w:rPr>
              <w:t>900</w:t>
            </w:r>
          </w:p>
        </w:tc>
        <w:tc>
          <w:tcPr>
            <w:tcW w:w="1806" w:type="dxa"/>
            <w:gridSpan w:val="2"/>
          </w:tcPr>
          <w:p w:rsidR="003F5784" w14:paraId="7065D96A" w14:textId="77777777">
            <w:pPr>
              <w:pStyle w:val="TableParagraph"/>
              <w:ind w:left="470"/>
              <w:jc w:val="left"/>
              <w:rPr>
                <w:sz w:val="21"/>
              </w:rPr>
            </w:pPr>
            <w:r>
              <w:rPr>
                <w:spacing w:val="-4"/>
                <w:sz w:val="21"/>
              </w:rPr>
              <w:t>2.11</w:t>
            </w:r>
          </w:p>
        </w:tc>
        <w:tc>
          <w:tcPr>
            <w:tcW w:w="1620" w:type="dxa"/>
          </w:tcPr>
          <w:p w:rsidR="003F5784" w14:paraId="0E529D90" w14:textId="77777777">
            <w:pPr>
              <w:pStyle w:val="TableParagraph"/>
              <w:ind w:right="22"/>
              <w:jc w:val="center"/>
              <w:rPr>
                <w:sz w:val="21"/>
              </w:rPr>
            </w:pPr>
            <w:r>
              <w:rPr>
                <w:spacing w:val="-2"/>
                <w:sz w:val="21"/>
              </w:rPr>
              <w:t>87.53</w:t>
            </w:r>
          </w:p>
        </w:tc>
        <w:tc>
          <w:tcPr>
            <w:tcW w:w="1625" w:type="dxa"/>
            <w:gridSpan w:val="2"/>
          </w:tcPr>
          <w:p w:rsidR="003F5784" w14:paraId="12736014" w14:textId="77777777">
            <w:pPr>
              <w:pStyle w:val="TableParagraph"/>
              <w:ind w:right="118"/>
              <w:rPr>
                <w:sz w:val="21"/>
              </w:rPr>
            </w:pPr>
            <w:r>
              <w:rPr>
                <w:spacing w:val="-2"/>
                <w:sz w:val="21"/>
              </w:rPr>
              <w:t>25.20</w:t>
            </w:r>
          </w:p>
        </w:tc>
      </w:tr>
      <w:tr w14:paraId="50226645"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0DD67F2D" w14:textId="77777777">
            <w:pPr>
              <w:pStyle w:val="TableParagraph"/>
              <w:ind w:left="120"/>
              <w:jc w:val="left"/>
              <w:rPr>
                <w:sz w:val="21"/>
              </w:rPr>
            </w:pPr>
            <w:r>
              <w:rPr>
                <w:spacing w:val="-2"/>
                <w:sz w:val="21"/>
              </w:rPr>
              <w:t>Dallas</w:t>
            </w:r>
          </w:p>
        </w:tc>
        <w:tc>
          <w:tcPr>
            <w:tcW w:w="941" w:type="dxa"/>
          </w:tcPr>
          <w:p w:rsidR="003F5784" w14:paraId="78D988FB" w14:textId="77777777">
            <w:pPr>
              <w:pStyle w:val="TableParagraph"/>
              <w:ind w:left="104" w:right="141"/>
              <w:jc w:val="center"/>
              <w:rPr>
                <w:sz w:val="21"/>
              </w:rPr>
            </w:pPr>
            <w:r>
              <w:rPr>
                <w:spacing w:val="-5"/>
                <w:sz w:val="21"/>
              </w:rPr>
              <w:t>40</w:t>
            </w:r>
          </w:p>
        </w:tc>
        <w:tc>
          <w:tcPr>
            <w:tcW w:w="1527" w:type="dxa"/>
            <w:gridSpan w:val="2"/>
          </w:tcPr>
          <w:p w:rsidR="003F5784" w14:paraId="4C6908C2" w14:textId="77777777">
            <w:pPr>
              <w:pStyle w:val="TableParagraph"/>
              <w:ind w:left="159" w:right="112"/>
              <w:jc w:val="center"/>
              <w:rPr>
                <w:sz w:val="21"/>
              </w:rPr>
            </w:pPr>
            <w:r>
              <w:rPr>
                <w:spacing w:val="-2"/>
                <w:sz w:val="21"/>
              </w:rPr>
              <w:t>100.00</w:t>
            </w:r>
          </w:p>
        </w:tc>
        <w:tc>
          <w:tcPr>
            <w:tcW w:w="1710" w:type="dxa"/>
            <w:gridSpan w:val="2"/>
          </w:tcPr>
          <w:p w:rsidR="003F5784" w14:paraId="7481D2D0" w14:textId="77777777">
            <w:pPr>
              <w:pStyle w:val="TableParagraph"/>
              <w:ind w:right="386"/>
              <w:rPr>
                <w:sz w:val="21"/>
              </w:rPr>
            </w:pPr>
            <w:r>
              <w:rPr>
                <w:spacing w:val="-2"/>
                <w:sz w:val="21"/>
              </w:rPr>
              <w:t>100.00</w:t>
            </w:r>
          </w:p>
        </w:tc>
        <w:tc>
          <w:tcPr>
            <w:tcW w:w="1707" w:type="dxa"/>
          </w:tcPr>
          <w:p w:rsidR="003F5784" w14:paraId="33817BAF" w14:textId="77777777">
            <w:pPr>
              <w:pStyle w:val="TableParagraph"/>
              <w:ind w:right="462"/>
              <w:rPr>
                <w:sz w:val="21"/>
              </w:rPr>
            </w:pPr>
            <w:r>
              <w:rPr>
                <w:spacing w:val="-2"/>
                <w:sz w:val="21"/>
              </w:rPr>
              <w:t>1,000</w:t>
            </w:r>
          </w:p>
        </w:tc>
        <w:tc>
          <w:tcPr>
            <w:tcW w:w="1806" w:type="dxa"/>
            <w:gridSpan w:val="2"/>
          </w:tcPr>
          <w:p w:rsidR="003F5784" w14:paraId="0972C7D0" w14:textId="77777777">
            <w:pPr>
              <w:pStyle w:val="TableParagraph"/>
              <w:ind w:left="463"/>
              <w:jc w:val="left"/>
              <w:rPr>
                <w:sz w:val="21"/>
              </w:rPr>
            </w:pPr>
            <w:r>
              <w:rPr>
                <w:spacing w:val="-4"/>
                <w:sz w:val="21"/>
              </w:rPr>
              <w:t>4.18</w:t>
            </w:r>
          </w:p>
        </w:tc>
        <w:tc>
          <w:tcPr>
            <w:tcW w:w="1620" w:type="dxa"/>
          </w:tcPr>
          <w:p w:rsidR="003F5784" w14:paraId="136824DF" w14:textId="77777777">
            <w:pPr>
              <w:pStyle w:val="TableParagraph"/>
              <w:ind w:right="22"/>
              <w:jc w:val="center"/>
              <w:rPr>
                <w:sz w:val="21"/>
              </w:rPr>
            </w:pPr>
            <w:r>
              <w:rPr>
                <w:spacing w:val="-2"/>
                <w:sz w:val="21"/>
              </w:rPr>
              <w:t>92.41</w:t>
            </w:r>
          </w:p>
        </w:tc>
        <w:tc>
          <w:tcPr>
            <w:tcW w:w="1625" w:type="dxa"/>
            <w:gridSpan w:val="2"/>
          </w:tcPr>
          <w:p w:rsidR="003F5784" w14:paraId="1D5B3C3B" w14:textId="77777777">
            <w:pPr>
              <w:pStyle w:val="TableParagraph"/>
              <w:ind w:right="118"/>
              <w:rPr>
                <w:sz w:val="21"/>
              </w:rPr>
            </w:pPr>
            <w:r>
              <w:rPr>
                <w:spacing w:val="-2"/>
                <w:sz w:val="21"/>
              </w:rPr>
              <w:t>38.31</w:t>
            </w:r>
          </w:p>
        </w:tc>
      </w:tr>
      <w:tr w14:paraId="11CFADB0"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52BA3FCE" w14:textId="77777777">
            <w:pPr>
              <w:pStyle w:val="TableParagraph"/>
              <w:ind w:left="120"/>
              <w:jc w:val="left"/>
              <w:rPr>
                <w:sz w:val="21"/>
              </w:rPr>
            </w:pPr>
            <w:r>
              <w:rPr>
                <w:spacing w:val="-2"/>
                <w:sz w:val="21"/>
              </w:rPr>
              <w:t>Denver</w:t>
            </w:r>
          </w:p>
        </w:tc>
        <w:tc>
          <w:tcPr>
            <w:tcW w:w="941" w:type="dxa"/>
          </w:tcPr>
          <w:p w:rsidR="003F5784" w14:paraId="4E2E9A67" w14:textId="77777777">
            <w:pPr>
              <w:pStyle w:val="TableParagraph"/>
              <w:ind w:left="104" w:right="141"/>
              <w:jc w:val="center"/>
              <w:rPr>
                <w:sz w:val="21"/>
              </w:rPr>
            </w:pPr>
            <w:r>
              <w:rPr>
                <w:spacing w:val="-5"/>
                <w:sz w:val="21"/>
              </w:rPr>
              <w:t>40</w:t>
            </w:r>
          </w:p>
        </w:tc>
        <w:tc>
          <w:tcPr>
            <w:tcW w:w="1527" w:type="dxa"/>
            <w:gridSpan w:val="2"/>
          </w:tcPr>
          <w:p w:rsidR="003F5784" w14:paraId="6CE62FB7" w14:textId="77777777">
            <w:pPr>
              <w:pStyle w:val="TableParagraph"/>
              <w:ind w:left="159" w:right="112"/>
              <w:jc w:val="center"/>
              <w:rPr>
                <w:sz w:val="21"/>
              </w:rPr>
            </w:pPr>
            <w:r>
              <w:rPr>
                <w:spacing w:val="-2"/>
                <w:sz w:val="21"/>
              </w:rPr>
              <w:t>100.00</w:t>
            </w:r>
          </w:p>
        </w:tc>
        <w:tc>
          <w:tcPr>
            <w:tcW w:w="1710" w:type="dxa"/>
            <w:gridSpan w:val="2"/>
          </w:tcPr>
          <w:p w:rsidR="003F5784" w14:paraId="55C17890" w14:textId="77777777">
            <w:pPr>
              <w:pStyle w:val="TableParagraph"/>
              <w:ind w:right="386"/>
              <w:rPr>
                <w:sz w:val="21"/>
              </w:rPr>
            </w:pPr>
            <w:r>
              <w:rPr>
                <w:spacing w:val="-2"/>
                <w:sz w:val="21"/>
              </w:rPr>
              <w:t>100.00</w:t>
            </w:r>
          </w:p>
        </w:tc>
        <w:tc>
          <w:tcPr>
            <w:tcW w:w="1707" w:type="dxa"/>
          </w:tcPr>
          <w:p w:rsidR="003F5784" w14:paraId="7A3B1A87" w14:textId="77777777">
            <w:pPr>
              <w:pStyle w:val="TableParagraph"/>
              <w:ind w:right="462"/>
              <w:rPr>
                <w:sz w:val="21"/>
              </w:rPr>
            </w:pPr>
            <w:r>
              <w:rPr>
                <w:spacing w:val="-2"/>
                <w:sz w:val="21"/>
              </w:rPr>
              <w:t>1,000</w:t>
            </w:r>
          </w:p>
        </w:tc>
        <w:tc>
          <w:tcPr>
            <w:tcW w:w="1806" w:type="dxa"/>
            <w:gridSpan w:val="2"/>
          </w:tcPr>
          <w:p w:rsidR="003F5784" w14:paraId="4875B4AA" w14:textId="77777777">
            <w:pPr>
              <w:pStyle w:val="TableParagraph"/>
              <w:ind w:left="463"/>
              <w:jc w:val="left"/>
              <w:rPr>
                <w:sz w:val="21"/>
              </w:rPr>
            </w:pPr>
            <w:r>
              <w:rPr>
                <w:spacing w:val="-4"/>
                <w:sz w:val="21"/>
              </w:rPr>
              <w:t>3.17</w:t>
            </w:r>
          </w:p>
        </w:tc>
        <w:tc>
          <w:tcPr>
            <w:tcW w:w="1620" w:type="dxa"/>
          </w:tcPr>
          <w:p w:rsidR="003F5784" w14:paraId="66A0AEE7" w14:textId="77777777">
            <w:pPr>
              <w:pStyle w:val="TableParagraph"/>
              <w:ind w:right="22"/>
              <w:jc w:val="center"/>
              <w:rPr>
                <w:sz w:val="21"/>
              </w:rPr>
            </w:pPr>
            <w:r>
              <w:rPr>
                <w:spacing w:val="-2"/>
                <w:sz w:val="21"/>
              </w:rPr>
              <w:t>90.68</w:t>
            </w:r>
          </w:p>
        </w:tc>
        <w:tc>
          <w:tcPr>
            <w:tcW w:w="1625" w:type="dxa"/>
            <w:gridSpan w:val="2"/>
          </w:tcPr>
          <w:p w:rsidR="003F5784" w14:paraId="3D62C942" w14:textId="77777777">
            <w:pPr>
              <w:pStyle w:val="TableParagraph"/>
              <w:ind w:right="118"/>
              <w:rPr>
                <w:sz w:val="21"/>
              </w:rPr>
            </w:pPr>
            <w:r>
              <w:rPr>
                <w:spacing w:val="-2"/>
                <w:sz w:val="21"/>
              </w:rPr>
              <w:t>13.12</w:t>
            </w:r>
          </w:p>
        </w:tc>
      </w:tr>
      <w:tr w14:paraId="40D84EA9"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67470211" w14:textId="77777777">
            <w:pPr>
              <w:pStyle w:val="TableParagraph"/>
              <w:ind w:left="120"/>
              <w:jc w:val="left"/>
              <w:rPr>
                <w:sz w:val="21"/>
              </w:rPr>
            </w:pPr>
            <w:r>
              <w:rPr>
                <w:spacing w:val="-2"/>
                <w:sz w:val="21"/>
              </w:rPr>
              <w:t>Detroit</w:t>
            </w:r>
          </w:p>
        </w:tc>
        <w:tc>
          <w:tcPr>
            <w:tcW w:w="941" w:type="dxa"/>
          </w:tcPr>
          <w:p w:rsidR="003F5784" w14:paraId="2A272ACE" w14:textId="77777777">
            <w:pPr>
              <w:pStyle w:val="TableParagraph"/>
              <w:ind w:left="104" w:right="141"/>
              <w:jc w:val="center"/>
              <w:rPr>
                <w:sz w:val="21"/>
              </w:rPr>
            </w:pPr>
            <w:r>
              <w:rPr>
                <w:spacing w:val="-5"/>
                <w:sz w:val="21"/>
              </w:rPr>
              <w:t>40</w:t>
            </w:r>
          </w:p>
        </w:tc>
        <w:tc>
          <w:tcPr>
            <w:tcW w:w="1527" w:type="dxa"/>
            <w:gridSpan w:val="2"/>
          </w:tcPr>
          <w:p w:rsidR="003F5784" w14:paraId="3BA1F881" w14:textId="77777777">
            <w:pPr>
              <w:pStyle w:val="TableParagraph"/>
              <w:ind w:left="159" w:right="112"/>
              <w:jc w:val="center"/>
              <w:rPr>
                <w:sz w:val="21"/>
              </w:rPr>
            </w:pPr>
            <w:r>
              <w:rPr>
                <w:spacing w:val="-2"/>
                <w:sz w:val="21"/>
              </w:rPr>
              <w:t>100.00</w:t>
            </w:r>
          </w:p>
        </w:tc>
        <w:tc>
          <w:tcPr>
            <w:tcW w:w="1710" w:type="dxa"/>
            <w:gridSpan w:val="2"/>
          </w:tcPr>
          <w:p w:rsidR="003F5784" w14:paraId="4FC73445" w14:textId="77777777">
            <w:pPr>
              <w:pStyle w:val="TableParagraph"/>
              <w:ind w:right="386"/>
              <w:rPr>
                <w:sz w:val="21"/>
              </w:rPr>
            </w:pPr>
            <w:r>
              <w:rPr>
                <w:spacing w:val="-2"/>
                <w:sz w:val="21"/>
              </w:rPr>
              <w:t>100.00</w:t>
            </w:r>
          </w:p>
        </w:tc>
        <w:tc>
          <w:tcPr>
            <w:tcW w:w="1707" w:type="dxa"/>
          </w:tcPr>
          <w:p w:rsidR="003F5784" w14:paraId="282D18E1" w14:textId="77777777">
            <w:pPr>
              <w:pStyle w:val="TableParagraph"/>
              <w:ind w:right="462"/>
              <w:rPr>
                <w:sz w:val="21"/>
              </w:rPr>
            </w:pPr>
            <w:r>
              <w:rPr>
                <w:spacing w:val="-2"/>
                <w:sz w:val="21"/>
              </w:rPr>
              <w:t>1,000</w:t>
            </w:r>
          </w:p>
        </w:tc>
        <w:tc>
          <w:tcPr>
            <w:tcW w:w="1806" w:type="dxa"/>
            <w:gridSpan w:val="2"/>
          </w:tcPr>
          <w:p w:rsidR="003F5784" w14:paraId="65203319" w14:textId="77777777">
            <w:pPr>
              <w:pStyle w:val="TableParagraph"/>
              <w:ind w:left="463"/>
              <w:jc w:val="left"/>
              <w:rPr>
                <w:sz w:val="21"/>
              </w:rPr>
            </w:pPr>
            <w:r>
              <w:rPr>
                <w:spacing w:val="-4"/>
                <w:sz w:val="21"/>
              </w:rPr>
              <w:t>4.21</w:t>
            </w:r>
          </w:p>
        </w:tc>
        <w:tc>
          <w:tcPr>
            <w:tcW w:w="1620" w:type="dxa"/>
          </w:tcPr>
          <w:p w:rsidR="003F5784" w14:paraId="1F552B3D" w14:textId="77777777">
            <w:pPr>
              <w:pStyle w:val="TableParagraph"/>
              <w:ind w:right="22"/>
              <w:jc w:val="center"/>
              <w:rPr>
                <w:sz w:val="21"/>
              </w:rPr>
            </w:pPr>
            <w:r>
              <w:rPr>
                <w:spacing w:val="-2"/>
                <w:sz w:val="21"/>
              </w:rPr>
              <w:t>89.44</w:t>
            </w:r>
          </w:p>
        </w:tc>
        <w:tc>
          <w:tcPr>
            <w:tcW w:w="1625" w:type="dxa"/>
            <w:gridSpan w:val="2"/>
          </w:tcPr>
          <w:p w:rsidR="003F5784" w14:paraId="21687EE1" w14:textId="77777777">
            <w:pPr>
              <w:pStyle w:val="TableParagraph"/>
              <w:ind w:right="118"/>
              <w:rPr>
                <w:sz w:val="21"/>
              </w:rPr>
            </w:pPr>
            <w:r>
              <w:rPr>
                <w:spacing w:val="-4"/>
                <w:sz w:val="21"/>
              </w:rPr>
              <w:t>6.40</w:t>
            </w:r>
          </w:p>
        </w:tc>
      </w:tr>
      <w:tr w14:paraId="4F5CEE04"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454E89D4" w14:textId="77777777">
            <w:pPr>
              <w:pStyle w:val="TableParagraph"/>
              <w:ind w:left="120"/>
              <w:jc w:val="left"/>
              <w:rPr>
                <w:sz w:val="21"/>
              </w:rPr>
            </w:pPr>
            <w:r>
              <w:rPr>
                <w:sz w:val="21"/>
              </w:rPr>
              <w:t>Duval</w:t>
            </w:r>
            <w:r>
              <w:rPr>
                <w:spacing w:val="-7"/>
                <w:sz w:val="21"/>
              </w:rPr>
              <w:t xml:space="preserve"> </w:t>
            </w:r>
            <w:r>
              <w:rPr>
                <w:sz w:val="21"/>
              </w:rPr>
              <w:t>County</w:t>
            </w:r>
            <w:r>
              <w:rPr>
                <w:spacing w:val="-7"/>
                <w:sz w:val="21"/>
              </w:rPr>
              <w:t xml:space="preserve"> </w:t>
            </w:r>
            <w:r>
              <w:rPr>
                <w:spacing w:val="-4"/>
                <w:sz w:val="21"/>
              </w:rPr>
              <w:t>(FL)</w:t>
            </w:r>
          </w:p>
        </w:tc>
        <w:tc>
          <w:tcPr>
            <w:tcW w:w="941" w:type="dxa"/>
          </w:tcPr>
          <w:p w:rsidR="003F5784" w14:paraId="710A5B16" w14:textId="77777777">
            <w:pPr>
              <w:pStyle w:val="TableParagraph"/>
              <w:ind w:left="104" w:right="141"/>
              <w:jc w:val="center"/>
              <w:rPr>
                <w:sz w:val="21"/>
              </w:rPr>
            </w:pPr>
            <w:r>
              <w:rPr>
                <w:spacing w:val="-5"/>
                <w:sz w:val="21"/>
              </w:rPr>
              <w:t>40</w:t>
            </w:r>
          </w:p>
        </w:tc>
        <w:tc>
          <w:tcPr>
            <w:tcW w:w="1527" w:type="dxa"/>
            <w:gridSpan w:val="2"/>
          </w:tcPr>
          <w:p w:rsidR="003F5784" w14:paraId="3555495D" w14:textId="77777777">
            <w:pPr>
              <w:pStyle w:val="TableParagraph"/>
              <w:ind w:left="159" w:right="112"/>
              <w:jc w:val="center"/>
              <w:rPr>
                <w:sz w:val="21"/>
              </w:rPr>
            </w:pPr>
            <w:r>
              <w:rPr>
                <w:spacing w:val="-2"/>
                <w:sz w:val="21"/>
              </w:rPr>
              <w:t>100.00</w:t>
            </w:r>
          </w:p>
        </w:tc>
        <w:tc>
          <w:tcPr>
            <w:tcW w:w="1710" w:type="dxa"/>
            <w:gridSpan w:val="2"/>
          </w:tcPr>
          <w:p w:rsidR="003F5784" w14:paraId="23EC3DB1" w14:textId="77777777">
            <w:pPr>
              <w:pStyle w:val="TableParagraph"/>
              <w:ind w:right="386"/>
              <w:rPr>
                <w:sz w:val="21"/>
              </w:rPr>
            </w:pPr>
            <w:r>
              <w:rPr>
                <w:spacing w:val="-2"/>
                <w:sz w:val="21"/>
              </w:rPr>
              <w:t>100.00</w:t>
            </w:r>
          </w:p>
        </w:tc>
        <w:tc>
          <w:tcPr>
            <w:tcW w:w="1707" w:type="dxa"/>
          </w:tcPr>
          <w:p w:rsidR="003F5784" w14:paraId="39077F06" w14:textId="77777777">
            <w:pPr>
              <w:pStyle w:val="TableParagraph"/>
              <w:ind w:right="462"/>
              <w:rPr>
                <w:sz w:val="21"/>
              </w:rPr>
            </w:pPr>
            <w:r>
              <w:rPr>
                <w:spacing w:val="-2"/>
                <w:sz w:val="21"/>
              </w:rPr>
              <w:t>1,000</w:t>
            </w:r>
          </w:p>
        </w:tc>
        <w:tc>
          <w:tcPr>
            <w:tcW w:w="1806" w:type="dxa"/>
            <w:gridSpan w:val="2"/>
          </w:tcPr>
          <w:p w:rsidR="003F5784" w14:paraId="6FA0ED35" w14:textId="77777777">
            <w:pPr>
              <w:pStyle w:val="TableParagraph"/>
              <w:ind w:left="463"/>
              <w:jc w:val="left"/>
              <w:rPr>
                <w:sz w:val="21"/>
              </w:rPr>
            </w:pPr>
            <w:r>
              <w:rPr>
                <w:spacing w:val="-4"/>
                <w:sz w:val="21"/>
              </w:rPr>
              <w:t>2.08</w:t>
            </w:r>
          </w:p>
        </w:tc>
        <w:tc>
          <w:tcPr>
            <w:tcW w:w="1620" w:type="dxa"/>
          </w:tcPr>
          <w:p w:rsidR="003F5784" w14:paraId="0BB8F6E7" w14:textId="77777777">
            <w:pPr>
              <w:pStyle w:val="TableParagraph"/>
              <w:ind w:left="8" w:right="22"/>
              <w:jc w:val="center"/>
              <w:rPr>
                <w:sz w:val="21"/>
              </w:rPr>
            </w:pPr>
            <w:r>
              <w:rPr>
                <w:spacing w:val="-2"/>
                <w:sz w:val="21"/>
              </w:rPr>
              <w:t>93.11</w:t>
            </w:r>
          </w:p>
        </w:tc>
        <w:tc>
          <w:tcPr>
            <w:tcW w:w="1625" w:type="dxa"/>
            <w:gridSpan w:val="2"/>
          </w:tcPr>
          <w:p w:rsidR="003F5784" w14:paraId="51E4BE14" w14:textId="77777777">
            <w:pPr>
              <w:pStyle w:val="TableParagraph"/>
              <w:ind w:right="118"/>
              <w:rPr>
                <w:sz w:val="21"/>
              </w:rPr>
            </w:pPr>
            <w:r>
              <w:rPr>
                <w:spacing w:val="-2"/>
                <w:sz w:val="21"/>
              </w:rPr>
              <w:t>24.16</w:t>
            </w:r>
          </w:p>
        </w:tc>
      </w:tr>
      <w:tr w14:paraId="289A8260"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3B23E6BF" w14:textId="77777777">
            <w:pPr>
              <w:pStyle w:val="TableParagraph"/>
              <w:ind w:left="120"/>
              <w:jc w:val="left"/>
              <w:rPr>
                <w:sz w:val="21"/>
              </w:rPr>
            </w:pPr>
            <w:r>
              <w:rPr>
                <w:sz w:val="21"/>
              </w:rPr>
              <w:t>Fort</w:t>
            </w:r>
            <w:r>
              <w:rPr>
                <w:spacing w:val="-9"/>
                <w:sz w:val="21"/>
              </w:rPr>
              <w:t xml:space="preserve"> </w:t>
            </w:r>
            <w:r>
              <w:rPr>
                <w:spacing w:val="-2"/>
                <w:sz w:val="21"/>
              </w:rPr>
              <w:t>Worth</w:t>
            </w:r>
          </w:p>
        </w:tc>
        <w:tc>
          <w:tcPr>
            <w:tcW w:w="941" w:type="dxa"/>
          </w:tcPr>
          <w:p w:rsidR="003F5784" w14:paraId="6B57F850" w14:textId="77777777">
            <w:pPr>
              <w:pStyle w:val="TableParagraph"/>
              <w:ind w:left="104" w:right="141"/>
              <w:jc w:val="center"/>
              <w:rPr>
                <w:sz w:val="21"/>
              </w:rPr>
            </w:pPr>
            <w:r>
              <w:rPr>
                <w:spacing w:val="-5"/>
                <w:sz w:val="21"/>
              </w:rPr>
              <w:t>40</w:t>
            </w:r>
          </w:p>
        </w:tc>
        <w:tc>
          <w:tcPr>
            <w:tcW w:w="1527" w:type="dxa"/>
            <w:gridSpan w:val="2"/>
          </w:tcPr>
          <w:p w:rsidR="003F5784" w14:paraId="28DE077B" w14:textId="77777777">
            <w:pPr>
              <w:pStyle w:val="TableParagraph"/>
              <w:ind w:left="159" w:right="112"/>
              <w:jc w:val="center"/>
              <w:rPr>
                <w:sz w:val="21"/>
              </w:rPr>
            </w:pPr>
            <w:r>
              <w:rPr>
                <w:spacing w:val="-2"/>
                <w:sz w:val="21"/>
              </w:rPr>
              <w:t>100.00</w:t>
            </w:r>
          </w:p>
        </w:tc>
        <w:tc>
          <w:tcPr>
            <w:tcW w:w="1710" w:type="dxa"/>
            <w:gridSpan w:val="2"/>
          </w:tcPr>
          <w:p w:rsidR="003F5784" w14:paraId="68D1BB3E" w14:textId="77777777">
            <w:pPr>
              <w:pStyle w:val="TableParagraph"/>
              <w:ind w:right="386"/>
              <w:rPr>
                <w:sz w:val="21"/>
              </w:rPr>
            </w:pPr>
            <w:r>
              <w:rPr>
                <w:spacing w:val="-2"/>
                <w:sz w:val="21"/>
              </w:rPr>
              <w:t>100.00</w:t>
            </w:r>
          </w:p>
        </w:tc>
        <w:tc>
          <w:tcPr>
            <w:tcW w:w="1707" w:type="dxa"/>
          </w:tcPr>
          <w:p w:rsidR="003F5784" w14:paraId="51093741" w14:textId="77777777">
            <w:pPr>
              <w:pStyle w:val="TableParagraph"/>
              <w:ind w:right="462"/>
              <w:rPr>
                <w:sz w:val="21"/>
              </w:rPr>
            </w:pPr>
            <w:r>
              <w:rPr>
                <w:spacing w:val="-2"/>
                <w:sz w:val="21"/>
              </w:rPr>
              <w:t>1,000</w:t>
            </w:r>
          </w:p>
        </w:tc>
        <w:tc>
          <w:tcPr>
            <w:tcW w:w="1806" w:type="dxa"/>
            <w:gridSpan w:val="2"/>
          </w:tcPr>
          <w:p w:rsidR="003F5784" w14:paraId="69998A82" w14:textId="77777777">
            <w:pPr>
              <w:pStyle w:val="TableParagraph"/>
              <w:ind w:left="463"/>
              <w:jc w:val="left"/>
              <w:rPr>
                <w:sz w:val="21"/>
              </w:rPr>
            </w:pPr>
            <w:r>
              <w:rPr>
                <w:spacing w:val="-4"/>
                <w:sz w:val="21"/>
              </w:rPr>
              <w:t>3.22</w:t>
            </w:r>
          </w:p>
        </w:tc>
        <w:tc>
          <w:tcPr>
            <w:tcW w:w="1620" w:type="dxa"/>
          </w:tcPr>
          <w:p w:rsidR="003F5784" w14:paraId="42638B85" w14:textId="77777777">
            <w:pPr>
              <w:pStyle w:val="TableParagraph"/>
              <w:ind w:right="22"/>
              <w:jc w:val="center"/>
              <w:rPr>
                <w:sz w:val="21"/>
              </w:rPr>
            </w:pPr>
            <w:r>
              <w:rPr>
                <w:spacing w:val="-2"/>
                <w:sz w:val="21"/>
              </w:rPr>
              <w:t>91.01</w:t>
            </w:r>
          </w:p>
        </w:tc>
        <w:tc>
          <w:tcPr>
            <w:tcW w:w="1625" w:type="dxa"/>
            <w:gridSpan w:val="2"/>
          </w:tcPr>
          <w:p w:rsidR="003F5784" w14:paraId="7FEC558A" w14:textId="77777777">
            <w:pPr>
              <w:pStyle w:val="TableParagraph"/>
              <w:ind w:right="118"/>
              <w:rPr>
                <w:sz w:val="21"/>
              </w:rPr>
            </w:pPr>
            <w:r>
              <w:rPr>
                <w:spacing w:val="-2"/>
                <w:sz w:val="21"/>
              </w:rPr>
              <w:t>17.14</w:t>
            </w:r>
          </w:p>
        </w:tc>
      </w:tr>
      <w:tr w14:paraId="537A41EC"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4A885E70" w14:textId="77777777">
            <w:pPr>
              <w:pStyle w:val="TableParagraph"/>
              <w:ind w:left="120"/>
              <w:jc w:val="left"/>
              <w:rPr>
                <w:sz w:val="21"/>
              </w:rPr>
            </w:pPr>
            <w:r>
              <w:rPr>
                <w:sz w:val="21"/>
              </w:rPr>
              <w:t>Guilford</w:t>
            </w:r>
            <w:r>
              <w:rPr>
                <w:spacing w:val="-8"/>
                <w:sz w:val="21"/>
              </w:rPr>
              <w:t xml:space="preserve"> </w:t>
            </w:r>
            <w:r>
              <w:rPr>
                <w:sz w:val="21"/>
              </w:rPr>
              <w:t>County</w:t>
            </w:r>
            <w:r>
              <w:rPr>
                <w:spacing w:val="-8"/>
                <w:sz w:val="21"/>
              </w:rPr>
              <w:t xml:space="preserve"> </w:t>
            </w:r>
            <w:r>
              <w:rPr>
                <w:spacing w:val="-4"/>
                <w:sz w:val="21"/>
              </w:rPr>
              <w:t>(NC)</w:t>
            </w:r>
          </w:p>
        </w:tc>
        <w:tc>
          <w:tcPr>
            <w:tcW w:w="941" w:type="dxa"/>
          </w:tcPr>
          <w:p w:rsidR="003F5784" w14:paraId="6C9BC60D" w14:textId="77777777">
            <w:pPr>
              <w:pStyle w:val="TableParagraph"/>
              <w:ind w:left="104" w:right="141"/>
              <w:jc w:val="center"/>
              <w:rPr>
                <w:sz w:val="21"/>
              </w:rPr>
            </w:pPr>
            <w:r>
              <w:rPr>
                <w:spacing w:val="-5"/>
                <w:sz w:val="21"/>
              </w:rPr>
              <w:t>40</w:t>
            </w:r>
          </w:p>
        </w:tc>
        <w:tc>
          <w:tcPr>
            <w:tcW w:w="1527" w:type="dxa"/>
            <w:gridSpan w:val="2"/>
          </w:tcPr>
          <w:p w:rsidR="003F5784" w14:paraId="2F09D8FC" w14:textId="77777777">
            <w:pPr>
              <w:pStyle w:val="TableParagraph"/>
              <w:ind w:left="159" w:right="112"/>
              <w:jc w:val="center"/>
              <w:rPr>
                <w:sz w:val="21"/>
              </w:rPr>
            </w:pPr>
            <w:r>
              <w:rPr>
                <w:spacing w:val="-2"/>
                <w:sz w:val="21"/>
              </w:rPr>
              <w:t>100.00</w:t>
            </w:r>
          </w:p>
        </w:tc>
        <w:tc>
          <w:tcPr>
            <w:tcW w:w="1710" w:type="dxa"/>
            <w:gridSpan w:val="2"/>
          </w:tcPr>
          <w:p w:rsidR="003F5784" w14:paraId="27D6038E" w14:textId="77777777">
            <w:pPr>
              <w:pStyle w:val="TableParagraph"/>
              <w:ind w:right="386"/>
              <w:rPr>
                <w:sz w:val="21"/>
              </w:rPr>
            </w:pPr>
            <w:r>
              <w:rPr>
                <w:spacing w:val="-2"/>
                <w:sz w:val="21"/>
              </w:rPr>
              <w:t>100.00</w:t>
            </w:r>
          </w:p>
        </w:tc>
        <w:tc>
          <w:tcPr>
            <w:tcW w:w="1707" w:type="dxa"/>
          </w:tcPr>
          <w:p w:rsidR="003F5784" w14:paraId="5853276A" w14:textId="77777777">
            <w:pPr>
              <w:pStyle w:val="TableParagraph"/>
              <w:ind w:right="462"/>
              <w:rPr>
                <w:sz w:val="21"/>
              </w:rPr>
            </w:pPr>
            <w:r>
              <w:rPr>
                <w:spacing w:val="-2"/>
                <w:sz w:val="21"/>
              </w:rPr>
              <w:t>1,000</w:t>
            </w:r>
          </w:p>
        </w:tc>
        <w:tc>
          <w:tcPr>
            <w:tcW w:w="1806" w:type="dxa"/>
            <w:gridSpan w:val="2"/>
          </w:tcPr>
          <w:p w:rsidR="003F5784" w14:paraId="091BFCA1" w14:textId="77777777">
            <w:pPr>
              <w:pStyle w:val="TableParagraph"/>
              <w:ind w:left="463"/>
              <w:jc w:val="left"/>
              <w:rPr>
                <w:sz w:val="21"/>
              </w:rPr>
            </w:pPr>
            <w:r>
              <w:rPr>
                <w:spacing w:val="-4"/>
                <w:sz w:val="21"/>
              </w:rPr>
              <w:t>1.71</w:t>
            </w:r>
          </w:p>
        </w:tc>
        <w:tc>
          <w:tcPr>
            <w:tcW w:w="1620" w:type="dxa"/>
          </w:tcPr>
          <w:p w:rsidR="003F5784" w14:paraId="11B76E47" w14:textId="77777777">
            <w:pPr>
              <w:pStyle w:val="TableParagraph"/>
              <w:ind w:right="22"/>
              <w:jc w:val="center"/>
              <w:rPr>
                <w:sz w:val="21"/>
              </w:rPr>
            </w:pPr>
            <w:r>
              <w:rPr>
                <w:spacing w:val="-2"/>
                <w:sz w:val="21"/>
              </w:rPr>
              <w:t>91.77</w:t>
            </w:r>
          </w:p>
        </w:tc>
        <w:tc>
          <w:tcPr>
            <w:tcW w:w="1625" w:type="dxa"/>
            <w:gridSpan w:val="2"/>
          </w:tcPr>
          <w:p w:rsidR="003F5784" w14:paraId="450E5FB3" w14:textId="77777777">
            <w:pPr>
              <w:pStyle w:val="TableParagraph"/>
              <w:ind w:right="118"/>
              <w:rPr>
                <w:sz w:val="21"/>
              </w:rPr>
            </w:pPr>
            <w:r>
              <w:rPr>
                <w:spacing w:val="-2"/>
                <w:sz w:val="21"/>
              </w:rPr>
              <w:t>13.07</w:t>
            </w:r>
          </w:p>
        </w:tc>
      </w:tr>
      <w:tr w14:paraId="58D5AF72"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143FEA28" w14:textId="77777777">
            <w:pPr>
              <w:pStyle w:val="TableParagraph"/>
              <w:ind w:left="120"/>
              <w:jc w:val="left"/>
              <w:rPr>
                <w:sz w:val="21"/>
              </w:rPr>
            </w:pPr>
            <w:r>
              <w:rPr>
                <w:sz w:val="21"/>
              </w:rPr>
              <w:t>Hillsborough</w:t>
            </w:r>
            <w:r>
              <w:rPr>
                <w:spacing w:val="-10"/>
                <w:sz w:val="21"/>
              </w:rPr>
              <w:t xml:space="preserve"> </w:t>
            </w:r>
            <w:r>
              <w:rPr>
                <w:sz w:val="21"/>
              </w:rPr>
              <w:t>County</w:t>
            </w:r>
            <w:r>
              <w:rPr>
                <w:spacing w:val="-10"/>
                <w:sz w:val="21"/>
              </w:rPr>
              <w:t xml:space="preserve"> </w:t>
            </w:r>
            <w:r>
              <w:rPr>
                <w:spacing w:val="-4"/>
                <w:sz w:val="21"/>
              </w:rPr>
              <w:t>(FL)</w:t>
            </w:r>
          </w:p>
        </w:tc>
        <w:tc>
          <w:tcPr>
            <w:tcW w:w="941" w:type="dxa"/>
          </w:tcPr>
          <w:p w:rsidR="003F5784" w14:paraId="7306B7D3" w14:textId="77777777">
            <w:pPr>
              <w:pStyle w:val="TableParagraph"/>
              <w:ind w:left="104" w:right="141"/>
              <w:jc w:val="center"/>
              <w:rPr>
                <w:sz w:val="21"/>
              </w:rPr>
            </w:pPr>
            <w:r>
              <w:rPr>
                <w:spacing w:val="-5"/>
                <w:sz w:val="21"/>
              </w:rPr>
              <w:t>40</w:t>
            </w:r>
          </w:p>
        </w:tc>
        <w:tc>
          <w:tcPr>
            <w:tcW w:w="1527" w:type="dxa"/>
            <w:gridSpan w:val="2"/>
          </w:tcPr>
          <w:p w:rsidR="003F5784" w14:paraId="63C71BCD" w14:textId="77777777">
            <w:pPr>
              <w:pStyle w:val="TableParagraph"/>
              <w:ind w:left="159" w:right="112"/>
              <w:jc w:val="center"/>
              <w:rPr>
                <w:sz w:val="21"/>
              </w:rPr>
            </w:pPr>
            <w:r>
              <w:rPr>
                <w:spacing w:val="-2"/>
                <w:sz w:val="21"/>
              </w:rPr>
              <w:t>100.00</w:t>
            </w:r>
          </w:p>
        </w:tc>
        <w:tc>
          <w:tcPr>
            <w:tcW w:w="1710" w:type="dxa"/>
            <w:gridSpan w:val="2"/>
          </w:tcPr>
          <w:p w:rsidR="003F5784" w14:paraId="688274F1" w14:textId="77777777">
            <w:pPr>
              <w:pStyle w:val="TableParagraph"/>
              <w:ind w:right="386"/>
              <w:rPr>
                <w:sz w:val="21"/>
              </w:rPr>
            </w:pPr>
            <w:r>
              <w:rPr>
                <w:spacing w:val="-2"/>
                <w:sz w:val="21"/>
              </w:rPr>
              <w:t>100.00</w:t>
            </w:r>
          </w:p>
        </w:tc>
        <w:tc>
          <w:tcPr>
            <w:tcW w:w="1707" w:type="dxa"/>
          </w:tcPr>
          <w:p w:rsidR="003F5784" w14:paraId="6FCD29D9" w14:textId="77777777">
            <w:pPr>
              <w:pStyle w:val="TableParagraph"/>
              <w:ind w:right="462"/>
              <w:rPr>
                <w:sz w:val="21"/>
              </w:rPr>
            </w:pPr>
            <w:r>
              <w:rPr>
                <w:spacing w:val="-2"/>
                <w:sz w:val="21"/>
              </w:rPr>
              <w:t>1,000</w:t>
            </w:r>
          </w:p>
        </w:tc>
        <w:tc>
          <w:tcPr>
            <w:tcW w:w="1806" w:type="dxa"/>
            <w:gridSpan w:val="2"/>
          </w:tcPr>
          <w:p w:rsidR="003F5784" w14:paraId="2CCB640B" w14:textId="77777777">
            <w:pPr>
              <w:pStyle w:val="TableParagraph"/>
              <w:ind w:left="463"/>
              <w:jc w:val="left"/>
              <w:rPr>
                <w:sz w:val="21"/>
              </w:rPr>
            </w:pPr>
            <w:r>
              <w:rPr>
                <w:spacing w:val="-4"/>
                <w:sz w:val="21"/>
              </w:rPr>
              <w:t>3.03</w:t>
            </w:r>
          </w:p>
        </w:tc>
        <w:tc>
          <w:tcPr>
            <w:tcW w:w="1620" w:type="dxa"/>
          </w:tcPr>
          <w:p w:rsidR="003F5784" w14:paraId="11C9B75E" w14:textId="77777777">
            <w:pPr>
              <w:pStyle w:val="TableParagraph"/>
              <w:ind w:right="22"/>
              <w:jc w:val="center"/>
              <w:rPr>
                <w:sz w:val="21"/>
              </w:rPr>
            </w:pPr>
            <w:r>
              <w:rPr>
                <w:spacing w:val="-2"/>
                <w:sz w:val="21"/>
              </w:rPr>
              <w:t>93.93</w:t>
            </w:r>
          </w:p>
        </w:tc>
        <w:tc>
          <w:tcPr>
            <w:tcW w:w="1625" w:type="dxa"/>
            <w:gridSpan w:val="2"/>
          </w:tcPr>
          <w:p w:rsidR="003F5784" w14:paraId="028C3B90" w14:textId="77777777">
            <w:pPr>
              <w:pStyle w:val="TableParagraph"/>
              <w:ind w:right="118"/>
              <w:rPr>
                <w:sz w:val="21"/>
              </w:rPr>
            </w:pPr>
            <w:r>
              <w:rPr>
                <w:spacing w:val="-2"/>
                <w:sz w:val="21"/>
              </w:rPr>
              <w:t>22.59</w:t>
            </w:r>
          </w:p>
        </w:tc>
      </w:tr>
      <w:tr w14:paraId="713CE117"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18B881BC" w14:textId="77777777">
            <w:pPr>
              <w:pStyle w:val="TableParagraph"/>
              <w:ind w:left="120"/>
              <w:jc w:val="left"/>
              <w:rPr>
                <w:sz w:val="21"/>
              </w:rPr>
            </w:pPr>
            <w:r>
              <w:rPr>
                <w:spacing w:val="-2"/>
                <w:sz w:val="21"/>
              </w:rPr>
              <w:t>Houston</w:t>
            </w:r>
          </w:p>
        </w:tc>
        <w:tc>
          <w:tcPr>
            <w:tcW w:w="941" w:type="dxa"/>
          </w:tcPr>
          <w:p w:rsidR="003F5784" w14:paraId="7955C131" w14:textId="77777777">
            <w:pPr>
              <w:pStyle w:val="TableParagraph"/>
              <w:ind w:left="104" w:right="141"/>
              <w:jc w:val="center"/>
              <w:rPr>
                <w:sz w:val="21"/>
              </w:rPr>
            </w:pPr>
            <w:r>
              <w:rPr>
                <w:spacing w:val="-5"/>
                <w:sz w:val="21"/>
              </w:rPr>
              <w:t>60</w:t>
            </w:r>
          </w:p>
        </w:tc>
        <w:tc>
          <w:tcPr>
            <w:tcW w:w="1527" w:type="dxa"/>
            <w:gridSpan w:val="2"/>
          </w:tcPr>
          <w:p w:rsidR="003F5784" w14:paraId="69E161F8" w14:textId="77777777">
            <w:pPr>
              <w:pStyle w:val="TableParagraph"/>
              <w:ind w:left="159" w:right="112"/>
              <w:jc w:val="center"/>
              <w:rPr>
                <w:sz w:val="21"/>
              </w:rPr>
            </w:pPr>
            <w:r>
              <w:rPr>
                <w:spacing w:val="-2"/>
                <w:sz w:val="21"/>
              </w:rPr>
              <w:t>100.00</w:t>
            </w:r>
          </w:p>
        </w:tc>
        <w:tc>
          <w:tcPr>
            <w:tcW w:w="1710" w:type="dxa"/>
            <w:gridSpan w:val="2"/>
          </w:tcPr>
          <w:p w:rsidR="003F5784" w14:paraId="067859F6" w14:textId="77777777">
            <w:pPr>
              <w:pStyle w:val="TableParagraph"/>
              <w:ind w:right="386"/>
              <w:rPr>
                <w:sz w:val="21"/>
              </w:rPr>
            </w:pPr>
            <w:r>
              <w:rPr>
                <w:spacing w:val="-2"/>
                <w:sz w:val="21"/>
              </w:rPr>
              <w:t>100.00</w:t>
            </w:r>
          </w:p>
        </w:tc>
        <w:tc>
          <w:tcPr>
            <w:tcW w:w="1707" w:type="dxa"/>
          </w:tcPr>
          <w:p w:rsidR="003F5784" w14:paraId="521FF74D" w14:textId="77777777">
            <w:pPr>
              <w:pStyle w:val="TableParagraph"/>
              <w:ind w:right="462"/>
              <w:rPr>
                <w:sz w:val="21"/>
              </w:rPr>
            </w:pPr>
            <w:r>
              <w:rPr>
                <w:spacing w:val="-2"/>
                <w:sz w:val="21"/>
              </w:rPr>
              <w:t>1,500</w:t>
            </w:r>
          </w:p>
        </w:tc>
        <w:tc>
          <w:tcPr>
            <w:tcW w:w="1806" w:type="dxa"/>
            <w:gridSpan w:val="2"/>
          </w:tcPr>
          <w:p w:rsidR="003F5784" w14:paraId="2F5F2302" w14:textId="77777777">
            <w:pPr>
              <w:pStyle w:val="TableParagraph"/>
              <w:ind w:left="463"/>
              <w:jc w:val="left"/>
              <w:rPr>
                <w:sz w:val="21"/>
              </w:rPr>
            </w:pPr>
            <w:r>
              <w:rPr>
                <w:spacing w:val="-4"/>
                <w:sz w:val="21"/>
              </w:rPr>
              <w:t>2.28</w:t>
            </w:r>
          </w:p>
        </w:tc>
        <w:tc>
          <w:tcPr>
            <w:tcW w:w="1620" w:type="dxa"/>
          </w:tcPr>
          <w:p w:rsidR="003F5784" w14:paraId="6FCEDBFD" w14:textId="77777777">
            <w:pPr>
              <w:pStyle w:val="TableParagraph"/>
              <w:ind w:right="22"/>
              <w:jc w:val="center"/>
              <w:rPr>
                <w:sz w:val="21"/>
              </w:rPr>
            </w:pPr>
            <w:r>
              <w:rPr>
                <w:spacing w:val="-2"/>
                <w:sz w:val="21"/>
              </w:rPr>
              <w:t>92.05</w:t>
            </w:r>
          </w:p>
        </w:tc>
        <w:tc>
          <w:tcPr>
            <w:tcW w:w="1625" w:type="dxa"/>
            <w:gridSpan w:val="2"/>
          </w:tcPr>
          <w:p w:rsidR="003F5784" w14:paraId="6DDA7810" w14:textId="77777777">
            <w:pPr>
              <w:pStyle w:val="TableParagraph"/>
              <w:ind w:right="118"/>
              <w:rPr>
                <w:sz w:val="21"/>
              </w:rPr>
            </w:pPr>
            <w:r>
              <w:rPr>
                <w:spacing w:val="-2"/>
                <w:sz w:val="21"/>
              </w:rPr>
              <w:t>23.97</w:t>
            </w:r>
          </w:p>
        </w:tc>
      </w:tr>
      <w:tr w14:paraId="52E6FFD7"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4794231F" w14:textId="77777777">
            <w:pPr>
              <w:pStyle w:val="TableParagraph"/>
              <w:ind w:left="120"/>
              <w:jc w:val="left"/>
              <w:rPr>
                <w:sz w:val="21"/>
              </w:rPr>
            </w:pPr>
            <w:r>
              <w:rPr>
                <w:sz w:val="21"/>
              </w:rPr>
              <w:t>Jefferson</w:t>
            </w:r>
            <w:r>
              <w:rPr>
                <w:spacing w:val="-10"/>
                <w:sz w:val="21"/>
              </w:rPr>
              <w:t xml:space="preserve"> </w:t>
            </w:r>
            <w:r>
              <w:rPr>
                <w:sz w:val="21"/>
              </w:rPr>
              <w:t>County</w:t>
            </w:r>
            <w:r>
              <w:rPr>
                <w:spacing w:val="-10"/>
                <w:sz w:val="21"/>
              </w:rPr>
              <w:t xml:space="preserve"> </w:t>
            </w:r>
            <w:r>
              <w:rPr>
                <w:spacing w:val="-4"/>
                <w:sz w:val="21"/>
              </w:rPr>
              <w:t>(KY)</w:t>
            </w:r>
          </w:p>
        </w:tc>
        <w:tc>
          <w:tcPr>
            <w:tcW w:w="941" w:type="dxa"/>
          </w:tcPr>
          <w:p w:rsidR="003F5784" w14:paraId="1914282B" w14:textId="77777777">
            <w:pPr>
              <w:pStyle w:val="TableParagraph"/>
              <w:ind w:left="104" w:right="141"/>
              <w:jc w:val="center"/>
              <w:rPr>
                <w:sz w:val="21"/>
              </w:rPr>
            </w:pPr>
            <w:r>
              <w:rPr>
                <w:spacing w:val="-5"/>
                <w:sz w:val="21"/>
              </w:rPr>
              <w:t>40</w:t>
            </w:r>
          </w:p>
        </w:tc>
        <w:tc>
          <w:tcPr>
            <w:tcW w:w="1527" w:type="dxa"/>
            <w:gridSpan w:val="2"/>
          </w:tcPr>
          <w:p w:rsidR="003F5784" w14:paraId="3555AD2C" w14:textId="77777777">
            <w:pPr>
              <w:pStyle w:val="TableParagraph"/>
              <w:ind w:left="159" w:right="112"/>
              <w:jc w:val="center"/>
              <w:rPr>
                <w:sz w:val="21"/>
              </w:rPr>
            </w:pPr>
            <w:r>
              <w:rPr>
                <w:spacing w:val="-2"/>
                <w:sz w:val="21"/>
              </w:rPr>
              <w:t>100.00</w:t>
            </w:r>
          </w:p>
        </w:tc>
        <w:tc>
          <w:tcPr>
            <w:tcW w:w="1710" w:type="dxa"/>
            <w:gridSpan w:val="2"/>
          </w:tcPr>
          <w:p w:rsidR="003F5784" w14:paraId="32E149A0" w14:textId="77777777">
            <w:pPr>
              <w:pStyle w:val="TableParagraph"/>
              <w:ind w:right="386"/>
              <w:rPr>
                <w:sz w:val="21"/>
              </w:rPr>
            </w:pPr>
            <w:r>
              <w:rPr>
                <w:spacing w:val="-2"/>
                <w:sz w:val="21"/>
              </w:rPr>
              <w:t>100.00</w:t>
            </w:r>
          </w:p>
        </w:tc>
        <w:tc>
          <w:tcPr>
            <w:tcW w:w="1707" w:type="dxa"/>
          </w:tcPr>
          <w:p w:rsidR="003F5784" w14:paraId="07D25466" w14:textId="77777777">
            <w:pPr>
              <w:pStyle w:val="TableParagraph"/>
              <w:ind w:right="462"/>
              <w:rPr>
                <w:sz w:val="21"/>
              </w:rPr>
            </w:pPr>
            <w:r>
              <w:rPr>
                <w:spacing w:val="-2"/>
                <w:sz w:val="21"/>
              </w:rPr>
              <w:t>1,000</w:t>
            </w:r>
          </w:p>
        </w:tc>
        <w:tc>
          <w:tcPr>
            <w:tcW w:w="1806" w:type="dxa"/>
            <w:gridSpan w:val="2"/>
          </w:tcPr>
          <w:p w:rsidR="003F5784" w14:paraId="2AFC754B" w14:textId="77777777">
            <w:pPr>
              <w:pStyle w:val="TableParagraph"/>
              <w:ind w:left="463"/>
              <w:jc w:val="left"/>
              <w:rPr>
                <w:sz w:val="21"/>
              </w:rPr>
            </w:pPr>
            <w:r>
              <w:rPr>
                <w:spacing w:val="-4"/>
                <w:sz w:val="21"/>
              </w:rPr>
              <w:t>6.31</w:t>
            </w:r>
          </w:p>
        </w:tc>
        <w:tc>
          <w:tcPr>
            <w:tcW w:w="1620" w:type="dxa"/>
          </w:tcPr>
          <w:p w:rsidR="003F5784" w14:paraId="322C867A" w14:textId="77777777">
            <w:pPr>
              <w:pStyle w:val="TableParagraph"/>
              <w:ind w:right="22"/>
              <w:jc w:val="center"/>
              <w:rPr>
                <w:sz w:val="21"/>
              </w:rPr>
            </w:pPr>
            <w:r>
              <w:rPr>
                <w:spacing w:val="-2"/>
                <w:sz w:val="21"/>
              </w:rPr>
              <w:t>92.34</w:t>
            </w:r>
          </w:p>
        </w:tc>
        <w:tc>
          <w:tcPr>
            <w:tcW w:w="1625" w:type="dxa"/>
            <w:gridSpan w:val="2"/>
          </w:tcPr>
          <w:p w:rsidR="003F5784" w14:paraId="712FD40E" w14:textId="77777777">
            <w:pPr>
              <w:pStyle w:val="TableParagraph"/>
              <w:ind w:right="118"/>
              <w:rPr>
                <w:sz w:val="21"/>
              </w:rPr>
            </w:pPr>
            <w:r>
              <w:rPr>
                <w:spacing w:val="-2"/>
                <w:sz w:val="21"/>
              </w:rPr>
              <w:t>17.78</w:t>
            </w:r>
          </w:p>
        </w:tc>
      </w:tr>
      <w:tr w14:paraId="70265DFE"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02F1C489" w14:textId="77777777">
            <w:pPr>
              <w:pStyle w:val="TableParagraph"/>
              <w:ind w:left="120"/>
              <w:jc w:val="left"/>
              <w:rPr>
                <w:sz w:val="21"/>
              </w:rPr>
            </w:pPr>
            <w:r>
              <w:rPr>
                <w:spacing w:val="-2"/>
                <w:sz w:val="21"/>
              </w:rPr>
              <w:t>Los</w:t>
            </w:r>
            <w:r>
              <w:rPr>
                <w:spacing w:val="-10"/>
                <w:sz w:val="21"/>
              </w:rPr>
              <w:t xml:space="preserve"> </w:t>
            </w:r>
            <w:r>
              <w:rPr>
                <w:spacing w:val="-2"/>
                <w:sz w:val="21"/>
              </w:rPr>
              <w:t>Angeles</w:t>
            </w:r>
          </w:p>
        </w:tc>
        <w:tc>
          <w:tcPr>
            <w:tcW w:w="941" w:type="dxa"/>
          </w:tcPr>
          <w:p w:rsidR="003F5784" w14:paraId="100D5EB0" w14:textId="77777777">
            <w:pPr>
              <w:pStyle w:val="TableParagraph"/>
              <w:ind w:left="104" w:right="141"/>
              <w:jc w:val="center"/>
              <w:rPr>
                <w:sz w:val="21"/>
              </w:rPr>
            </w:pPr>
            <w:r>
              <w:rPr>
                <w:spacing w:val="-5"/>
                <w:sz w:val="21"/>
              </w:rPr>
              <w:t>60</w:t>
            </w:r>
          </w:p>
        </w:tc>
        <w:tc>
          <w:tcPr>
            <w:tcW w:w="1527" w:type="dxa"/>
            <w:gridSpan w:val="2"/>
          </w:tcPr>
          <w:p w:rsidR="003F5784" w14:paraId="6BF65224" w14:textId="77777777">
            <w:pPr>
              <w:pStyle w:val="TableParagraph"/>
              <w:ind w:left="159" w:right="112"/>
              <w:jc w:val="center"/>
              <w:rPr>
                <w:sz w:val="21"/>
              </w:rPr>
            </w:pPr>
            <w:r>
              <w:rPr>
                <w:spacing w:val="-2"/>
                <w:sz w:val="21"/>
              </w:rPr>
              <w:t>100.00</w:t>
            </w:r>
          </w:p>
        </w:tc>
        <w:tc>
          <w:tcPr>
            <w:tcW w:w="1710" w:type="dxa"/>
            <w:gridSpan w:val="2"/>
          </w:tcPr>
          <w:p w:rsidR="003F5784" w14:paraId="63BA1581" w14:textId="77777777">
            <w:pPr>
              <w:pStyle w:val="TableParagraph"/>
              <w:ind w:right="386"/>
              <w:rPr>
                <w:sz w:val="21"/>
              </w:rPr>
            </w:pPr>
            <w:r>
              <w:rPr>
                <w:spacing w:val="-2"/>
                <w:sz w:val="21"/>
              </w:rPr>
              <w:t>100.00</w:t>
            </w:r>
          </w:p>
        </w:tc>
        <w:tc>
          <w:tcPr>
            <w:tcW w:w="1707" w:type="dxa"/>
          </w:tcPr>
          <w:p w:rsidR="003F5784" w14:paraId="74D7DB63" w14:textId="77777777">
            <w:pPr>
              <w:pStyle w:val="TableParagraph"/>
              <w:ind w:right="462"/>
              <w:rPr>
                <w:sz w:val="21"/>
              </w:rPr>
            </w:pPr>
            <w:r>
              <w:rPr>
                <w:spacing w:val="-2"/>
                <w:sz w:val="21"/>
              </w:rPr>
              <w:t>1,500</w:t>
            </w:r>
          </w:p>
        </w:tc>
        <w:tc>
          <w:tcPr>
            <w:tcW w:w="1806" w:type="dxa"/>
            <w:gridSpan w:val="2"/>
          </w:tcPr>
          <w:p w:rsidR="003F5784" w14:paraId="180869E4" w14:textId="77777777">
            <w:pPr>
              <w:pStyle w:val="TableParagraph"/>
              <w:ind w:left="463"/>
              <w:jc w:val="left"/>
              <w:rPr>
                <w:sz w:val="21"/>
              </w:rPr>
            </w:pPr>
            <w:r>
              <w:rPr>
                <w:spacing w:val="-4"/>
                <w:sz w:val="21"/>
              </w:rPr>
              <w:t>2.18</w:t>
            </w:r>
          </w:p>
        </w:tc>
        <w:tc>
          <w:tcPr>
            <w:tcW w:w="1620" w:type="dxa"/>
          </w:tcPr>
          <w:p w:rsidR="003F5784" w14:paraId="15D30C4C" w14:textId="77777777">
            <w:pPr>
              <w:pStyle w:val="TableParagraph"/>
              <w:ind w:right="22"/>
              <w:jc w:val="center"/>
              <w:rPr>
                <w:sz w:val="21"/>
              </w:rPr>
            </w:pPr>
            <w:r>
              <w:rPr>
                <w:spacing w:val="-2"/>
                <w:sz w:val="21"/>
              </w:rPr>
              <w:t>92.38</w:t>
            </w:r>
          </w:p>
        </w:tc>
        <w:tc>
          <w:tcPr>
            <w:tcW w:w="1625" w:type="dxa"/>
            <w:gridSpan w:val="2"/>
          </w:tcPr>
          <w:p w:rsidR="003F5784" w14:paraId="5C8B897D" w14:textId="77777777">
            <w:pPr>
              <w:pStyle w:val="TableParagraph"/>
              <w:ind w:right="118"/>
              <w:rPr>
                <w:sz w:val="21"/>
              </w:rPr>
            </w:pPr>
            <w:r>
              <w:rPr>
                <w:spacing w:val="-2"/>
                <w:sz w:val="21"/>
              </w:rPr>
              <w:t>12.00</w:t>
            </w:r>
          </w:p>
        </w:tc>
      </w:tr>
      <w:tr w14:paraId="081C55C6"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0AF0D476" w14:textId="77777777">
            <w:pPr>
              <w:pStyle w:val="TableParagraph"/>
              <w:ind w:left="120"/>
              <w:jc w:val="left"/>
              <w:rPr>
                <w:sz w:val="21"/>
              </w:rPr>
            </w:pPr>
            <w:r>
              <w:rPr>
                <w:spacing w:val="-2"/>
                <w:sz w:val="21"/>
              </w:rPr>
              <w:t>Miami</w:t>
            </w:r>
          </w:p>
        </w:tc>
        <w:tc>
          <w:tcPr>
            <w:tcW w:w="941" w:type="dxa"/>
          </w:tcPr>
          <w:p w:rsidR="003F5784" w14:paraId="541357A8" w14:textId="77777777">
            <w:pPr>
              <w:pStyle w:val="TableParagraph"/>
              <w:ind w:left="104" w:right="141"/>
              <w:jc w:val="center"/>
              <w:rPr>
                <w:sz w:val="21"/>
              </w:rPr>
            </w:pPr>
            <w:r>
              <w:rPr>
                <w:spacing w:val="-5"/>
                <w:sz w:val="21"/>
              </w:rPr>
              <w:t>60</w:t>
            </w:r>
          </w:p>
        </w:tc>
        <w:tc>
          <w:tcPr>
            <w:tcW w:w="1527" w:type="dxa"/>
            <w:gridSpan w:val="2"/>
          </w:tcPr>
          <w:p w:rsidR="003F5784" w14:paraId="0516A8FE" w14:textId="77777777">
            <w:pPr>
              <w:pStyle w:val="TableParagraph"/>
              <w:ind w:left="159" w:right="112"/>
              <w:jc w:val="center"/>
              <w:rPr>
                <w:sz w:val="21"/>
              </w:rPr>
            </w:pPr>
            <w:r>
              <w:rPr>
                <w:spacing w:val="-2"/>
                <w:sz w:val="21"/>
              </w:rPr>
              <w:t>100.00</w:t>
            </w:r>
          </w:p>
        </w:tc>
        <w:tc>
          <w:tcPr>
            <w:tcW w:w="1710" w:type="dxa"/>
            <w:gridSpan w:val="2"/>
          </w:tcPr>
          <w:p w:rsidR="003F5784" w14:paraId="515DCD66" w14:textId="77777777">
            <w:pPr>
              <w:pStyle w:val="TableParagraph"/>
              <w:ind w:right="386"/>
              <w:rPr>
                <w:sz w:val="21"/>
              </w:rPr>
            </w:pPr>
            <w:r>
              <w:rPr>
                <w:spacing w:val="-2"/>
                <w:sz w:val="21"/>
              </w:rPr>
              <w:t>100.00</w:t>
            </w:r>
          </w:p>
        </w:tc>
        <w:tc>
          <w:tcPr>
            <w:tcW w:w="1707" w:type="dxa"/>
          </w:tcPr>
          <w:p w:rsidR="003F5784" w14:paraId="169D9394" w14:textId="77777777">
            <w:pPr>
              <w:pStyle w:val="TableParagraph"/>
              <w:ind w:right="462"/>
              <w:rPr>
                <w:sz w:val="21"/>
              </w:rPr>
            </w:pPr>
            <w:r>
              <w:rPr>
                <w:spacing w:val="-2"/>
                <w:sz w:val="21"/>
              </w:rPr>
              <w:t>1,500</w:t>
            </w:r>
          </w:p>
        </w:tc>
        <w:tc>
          <w:tcPr>
            <w:tcW w:w="1806" w:type="dxa"/>
            <w:gridSpan w:val="2"/>
          </w:tcPr>
          <w:p w:rsidR="003F5784" w14:paraId="36336038" w14:textId="77777777">
            <w:pPr>
              <w:pStyle w:val="TableParagraph"/>
              <w:ind w:left="463"/>
              <w:jc w:val="left"/>
              <w:rPr>
                <w:sz w:val="21"/>
              </w:rPr>
            </w:pPr>
            <w:r>
              <w:rPr>
                <w:spacing w:val="-4"/>
                <w:sz w:val="21"/>
              </w:rPr>
              <w:t>2.92</w:t>
            </w:r>
          </w:p>
        </w:tc>
        <w:tc>
          <w:tcPr>
            <w:tcW w:w="1620" w:type="dxa"/>
          </w:tcPr>
          <w:p w:rsidR="003F5784" w14:paraId="6BFF1ACF" w14:textId="77777777">
            <w:pPr>
              <w:pStyle w:val="TableParagraph"/>
              <w:ind w:right="22"/>
              <w:jc w:val="center"/>
              <w:rPr>
                <w:sz w:val="21"/>
              </w:rPr>
            </w:pPr>
            <w:r>
              <w:rPr>
                <w:spacing w:val="-2"/>
                <w:sz w:val="21"/>
              </w:rPr>
              <w:t>92.83</w:t>
            </w:r>
          </w:p>
        </w:tc>
        <w:tc>
          <w:tcPr>
            <w:tcW w:w="1625" w:type="dxa"/>
            <w:gridSpan w:val="2"/>
          </w:tcPr>
          <w:p w:rsidR="003F5784" w14:paraId="34B46891" w14:textId="77777777">
            <w:pPr>
              <w:pStyle w:val="TableParagraph"/>
              <w:ind w:right="118"/>
              <w:rPr>
                <w:sz w:val="21"/>
              </w:rPr>
            </w:pPr>
            <w:r>
              <w:rPr>
                <w:spacing w:val="-2"/>
                <w:sz w:val="21"/>
              </w:rPr>
              <w:t>24.82</w:t>
            </w:r>
          </w:p>
        </w:tc>
      </w:tr>
      <w:tr w14:paraId="37B95B86"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42135144" w14:textId="77777777">
            <w:pPr>
              <w:pStyle w:val="TableParagraph"/>
              <w:ind w:left="120"/>
              <w:jc w:val="left"/>
              <w:rPr>
                <w:sz w:val="21"/>
              </w:rPr>
            </w:pPr>
            <w:r>
              <w:rPr>
                <w:spacing w:val="-2"/>
                <w:sz w:val="21"/>
              </w:rPr>
              <w:t>Milwaukee</w:t>
            </w:r>
          </w:p>
        </w:tc>
        <w:tc>
          <w:tcPr>
            <w:tcW w:w="941" w:type="dxa"/>
          </w:tcPr>
          <w:p w:rsidR="003F5784" w14:paraId="7A216A5A" w14:textId="77777777">
            <w:pPr>
              <w:pStyle w:val="TableParagraph"/>
              <w:ind w:left="104" w:right="141"/>
              <w:jc w:val="center"/>
              <w:rPr>
                <w:sz w:val="21"/>
              </w:rPr>
            </w:pPr>
            <w:r>
              <w:rPr>
                <w:spacing w:val="-5"/>
                <w:sz w:val="21"/>
              </w:rPr>
              <w:t>50</w:t>
            </w:r>
          </w:p>
        </w:tc>
        <w:tc>
          <w:tcPr>
            <w:tcW w:w="1527" w:type="dxa"/>
            <w:gridSpan w:val="2"/>
          </w:tcPr>
          <w:p w:rsidR="003F5784" w14:paraId="6EF9F7ED" w14:textId="77777777">
            <w:pPr>
              <w:pStyle w:val="TableParagraph"/>
              <w:ind w:left="159" w:right="112"/>
              <w:jc w:val="center"/>
              <w:rPr>
                <w:sz w:val="21"/>
              </w:rPr>
            </w:pPr>
            <w:r>
              <w:rPr>
                <w:spacing w:val="-2"/>
                <w:sz w:val="21"/>
              </w:rPr>
              <w:t>100.00</w:t>
            </w:r>
          </w:p>
        </w:tc>
        <w:tc>
          <w:tcPr>
            <w:tcW w:w="1710" w:type="dxa"/>
            <w:gridSpan w:val="2"/>
          </w:tcPr>
          <w:p w:rsidR="003F5784" w14:paraId="06A93B68" w14:textId="77777777">
            <w:pPr>
              <w:pStyle w:val="TableParagraph"/>
              <w:ind w:right="386"/>
              <w:rPr>
                <w:sz w:val="21"/>
              </w:rPr>
            </w:pPr>
            <w:r>
              <w:rPr>
                <w:spacing w:val="-2"/>
                <w:sz w:val="21"/>
              </w:rPr>
              <w:t>100.00</w:t>
            </w:r>
          </w:p>
        </w:tc>
        <w:tc>
          <w:tcPr>
            <w:tcW w:w="1707" w:type="dxa"/>
          </w:tcPr>
          <w:p w:rsidR="003F5784" w14:paraId="2558C572" w14:textId="77777777">
            <w:pPr>
              <w:pStyle w:val="TableParagraph"/>
              <w:ind w:right="462"/>
              <w:rPr>
                <w:sz w:val="21"/>
              </w:rPr>
            </w:pPr>
            <w:r>
              <w:rPr>
                <w:spacing w:val="-5"/>
                <w:sz w:val="21"/>
              </w:rPr>
              <w:t>900</w:t>
            </w:r>
          </w:p>
        </w:tc>
        <w:tc>
          <w:tcPr>
            <w:tcW w:w="1806" w:type="dxa"/>
            <w:gridSpan w:val="2"/>
          </w:tcPr>
          <w:p w:rsidR="003F5784" w14:paraId="599B76E3" w14:textId="77777777">
            <w:pPr>
              <w:pStyle w:val="TableParagraph"/>
              <w:ind w:left="463"/>
              <w:jc w:val="left"/>
              <w:rPr>
                <w:sz w:val="21"/>
              </w:rPr>
            </w:pPr>
            <w:r>
              <w:rPr>
                <w:spacing w:val="-4"/>
                <w:sz w:val="21"/>
              </w:rPr>
              <w:t>2.32</w:t>
            </w:r>
          </w:p>
        </w:tc>
        <w:tc>
          <w:tcPr>
            <w:tcW w:w="1620" w:type="dxa"/>
          </w:tcPr>
          <w:p w:rsidR="003F5784" w14:paraId="3C2CBF74" w14:textId="77777777">
            <w:pPr>
              <w:pStyle w:val="TableParagraph"/>
              <w:ind w:right="22"/>
              <w:jc w:val="center"/>
              <w:rPr>
                <w:sz w:val="21"/>
              </w:rPr>
            </w:pPr>
            <w:r>
              <w:rPr>
                <w:spacing w:val="-2"/>
                <w:sz w:val="21"/>
              </w:rPr>
              <w:t>85.33</w:t>
            </w:r>
          </w:p>
        </w:tc>
        <w:tc>
          <w:tcPr>
            <w:tcW w:w="1625" w:type="dxa"/>
            <w:gridSpan w:val="2"/>
          </w:tcPr>
          <w:p w:rsidR="003F5784" w14:paraId="1BB98894" w14:textId="77777777">
            <w:pPr>
              <w:pStyle w:val="TableParagraph"/>
              <w:ind w:right="118"/>
              <w:rPr>
                <w:sz w:val="21"/>
              </w:rPr>
            </w:pPr>
            <w:r>
              <w:rPr>
                <w:spacing w:val="-2"/>
                <w:sz w:val="21"/>
              </w:rPr>
              <w:t>21.67</w:t>
            </w:r>
          </w:p>
        </w:tc>
      </w:tr>
      <w:tr w14:paraId="76BCCBF2"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5CF901A3" w14:textId="77777777">
            <w:pPr>
              <w:pStyle w:val="TableParagraph"/>
              <w:ind w:left="120"/>
              <w:jc w:val="left"/>
              <w:rPr>
                <w:sz w:val="21"/>
              </w:rPr>
            </w:pPr>
            <w:r>
              <w:rPr>
                <w:spacing w:val="-4"/>
                <w:sz w:val="21"/>
              </w:rPr>
              <w:t>New</w:t>
            </w:r>
            <w:r>
              <w:rPr>
                <w:spacing w:val="-10"/>
                <w:sz w:val="21"/>
              </w:rPr>
              <w:t xml:space="preserve"> </w:t>
            </w:r>
            <w:r>
              <w:rPr>
                <w:spacing w:val="-4"/>
                <w:sz w:val="21"/>
              </w:rPr>
              <w:t>York</w:t>
            </w:r>
            <w:r>
              <w:rPr>
                <w:spacing w:val="-2"/>
                <w:sz w:val="21"/>
              </w:rPr>
              <w:t xml:space="preserve"> </w:t>
            </w:r>
            <w:r>
              <w:rPr>
                <w:spacing w:val="-4"/>
                <w:sz w:val="21"/>
              </w:rPr>
              <w:t>City</w:t>
            </w:r>
          </w:p>
        </w:tc>
        <w:tc>
          <w:tcPr>
            <w:tcW w:w="941" w:type="dxa"/>
          </w:tcPr>
          <w:p w:rsidR="003F5784" w14:paraId="57C0C1E0" w14:textId="77777777">
            <w:pPr>
              <w:pStyle w:val="TableParagraph"/>
              <w:ind w:left="104" w:right="141"/>
              <w:jc w:val="center"/>
              <w:rPr>
                <w:sz w:val="21"/>
              </w:rPr>
            </w:pPr>
            <w:r>
              <w:rPr>
                <w:spacing w:val="-5"/>
                <w:sz w:val="21"/>
              </w:rPr>
              <w:t>70</w:t>
            </w:r>
          </w:p>
        </w:tc>
        <w:tc>
          <w:tcPr>
            <w:tcW w:w="1527" w:type="dxa"/>
            <w:gridSpan w:val="2"/>
          </w:tcPr>
          <w:p w:rsidR="003F5784" w14:paraId="18DA8B4A" w14:textId="77777777">
            <w:pPr>
              <w:pStyle w:val="TableParagraph"/>
              <w:ind w:left="159" w:right="8"/>
              <w:jc w:val="center"/>
              <w:rPr>
                <w:sz w:val="21"/>
              </w:rPr>
            </w:pPr>
            <w:r>
              <w:rPr>
                <w:spacing w:val="-2"/>
                <w:sz w:val="21"/>
              </w:rPr>
              <w:t>98.73</w:t>
            </w:r>
          </w:p>
        </w:tc>
        <w:tc>
          <w:tcPr>
            <w:tcW w:w="1710" w:type="dxa"/>
            <w:gridSpan w:val="2"/>
          </w:tcPr>
          <w:p w:rsidR="003F5784" w14:paraId="131E525A" w14:textId="77777777">
            <w:pPr>
              <w:pStyle w:val="TableParagraph"/>
              <w:ind w:right="386"/>
              <w:rPr>
                <w:sz w:val="21"/>
              </w:rPr>
            </w:pPr>
            <w:r>
              <w:rPr>
                <w:spacing w:val="-2"/>
                <w:sz w:val="21"/>
              </w:rPr>
              <w:t>98.87</w:t>
            </w:r>
          </w:p>
        </w:tc>
        <w:tc>
          <w:tcPr>
            <w:tcW w:w="1707" w:type="dxa"/>
          </w:tcPr>
          <w:p w:rsidR="003F5784" w14:paraId="0D4A1094" w14:textId="77777777">
            <w:pPr>
              <w:pStyle w:val="TableParagraph"/>
              <w:ind w:right="462"/>
              <w:rPr>
                <w:sz w:val="21"/>
              </w:rPr>
            </w:pPr>
            <w:r>
              <w:rPr>
                <w:spacing w:val="-2"/>
                <w:sz w:val="21"/>
              </w:rPr>
              <w:t>1,500</w:t>
            </w:r>
          </w:p>
        </w:tc>
        <w:tc>
          <w:tcPr>
            <w:tcW w:w="1806" w:type="dxa"/>
            <w:gridSpan w:val="2"/>
          </w:tcPr>
          <w:p w:rsidR="003F5784" w14:paraId="6D6AB4FC" w14:textId="77777777">
            <w:pPr>
              <w:pStyle w:val="TableParagraph"/>
              <w:ind w:left="463"/>
              <w:jc w:val="left"/>
              <w:rPr>
                <w:sz w:val="21"/>
              </w:rPr>
            </w:pPr>
            <w:r>
              <w:rPr>
                <w:spacing w:val="-4"/>
                <w:sz w:val="21"/>
              </w:rPr>
              <w:t>2.32</w:t>
            </w:r>
          </w:p>
        </w:tc>
        <w:tc>
          <w:tcPr>
            <w:tcW w:w="1620" w:type="dxa"/>
          </w:tcPr>
          <w:p w:rsidR="003F5784" w14:paraId="31AE22BB" w14:textId="77777777">
            <w:pPr>
              <w:pStyle w:val="TableParagraph"/>
              <w:ind w:right="22"/>
              <w:jc w:val="center"/>
              <w:rPr>
                <w:sz w:val="21"/>
              </w:rPr>
            </w:pPr>
            <w:r>
              <w:rPr>
                <w:spacing w:val="-2"/>
                <w:sz w:val="21"/>
              </w:rPr>
              <w:t>87.42</w:t>
            </w:r>
          </w:p>
        </w:tc>
        <w:tc>
          <w:tcPr>
            <w:tcW w:w="1625" w:type="dxa"/>
            <w:gridSpan w:val="2"/>
          </w:tcPr>
          <w:p w:rsidR="003F5784" w14:paraId="00772B17" w14:textId="77777777">
            <w:pPr>
              <w:pStyle w:val="TableParagraph"/>
              <w:ind w:right="118"/>
              <w:rPr>
                <w:sz w:val="21"/>
              </w:rPr>
            </w:pPr>
            <w:r>
              <w:rPr>
                <w:spacing w:val="-2"/>
                <w:sz w:val="21"/>
              </w:rPr>
              <w:t>26.42</w:t>
            </w:r>
          </w:p>
        </w:tc>
      </w:tr>
      <w:tr w14:paraId="001E7CEE" w14:textId="77777777" w:rsidTr="00A550C9">
        <w:tblPrEx>
          <w:tblW w:w="13853" w:type="dxa"/>
          <w:tblInd w:w="552" w:type="dxa"/>
          <w:tblLayout w:type="fixed"/>
          <w:tblCellMar>
            <w:left w:w="0" w:type="dxa"/>
            <w:right w:w="0" w:type="dxa"/>
          </w:tblCellMar>
          <w:tblLook w:val="01E0"/>
        </w:tblPrEx>
        <w:trPr>
          <w:trHeight w:val="289"/>
        </w:trPr>
        <w:tc>
          <w:tcPr>
            <w:tcW w:w="2917" w:type="dxa"/>
            <w:tcBorders>
              <w:bottom w:val="single" w:sz="18" w:space="0" w:color="800000"/>
            </w:tcBorders>
          </w:tcPr>
          <w:p w:rsidR="003F5784" w14:paraId="43E904C4" w14:textId="77777777">
            <w:pPr>
              <w:pStyle w:val="TableParagraph"/>
              <w:ind w:left="120"/>
              <w:jc w:val="left"/>
              <w:rPr>
                <w:sz w:val="21"/>
              </w:rPr>
            </w:pPr>
            <w:r>
              <w:rPr>
                <w:spacing w:val="-2"/>
                <w:sz w:val="21"/>
              </w:rPr>
              <w:t>Philadelphia</w:t>
            </w:r>
          </w:p>
        </w:tc>
        <w:tc>
          <w:tcPr>
            <w:tcW w:w="941" w:type="dxa"/>
            <w:tcBorders>
              <w:bottom w:val="single" w:sz="18" w:space="0" w:color="800000"/>
            </w:tcBorders>
          </w:tcPr>
          <w:p w:rsidR="003F5784" w14:paraId="5D68B056" w14:textId="77777777">
            <w:pPr>
              <w:pStyle w:val="TableParagraph"/>
              <w:ind w:left="104" w:right="141"/>
              <w:jc w:val="center"/>
              <w:rPr>
                <w:sz w:val="21"/>
              </w:rPr>
            </w:pPr>
            <w:r>
              <w:rPr>
                <w:spacing w:val="-5"/>
                <w:sz w:val="21"/>
              </w:rPr>
              <w:t>40</w:t>
            </w:r>
          </w:p>
        </w:tc>
        <w:tc>
          <w:tcPr>
            <w:tcW w:w="1527" w:type="dxa"/>
            <w:gridSpan w:val="2"/>
            <w:tcBorders>
              <w:bottom w:val="single" w:sz="18" w:space="0" w:color="800000"/>
            </w:tcBorders>
          </w:tcPr>
          <w:p w:rsidR="003F5784" w14:paraId="1441CAFB" w14:textId="77777777">
            <w:pPr>
              <w:pStyle w:val="TableParagraph"/>
              <w:ind w:left="159"/>
              <w:jc w:val="center"/>
              <w:rPr>
                <w:sz w:val="21"/>
              </w:rPr>
            </w:pPr>
            <w:r>
              <w:rPr>
                <w:spacing w:val="-2"/>
                <w:sz w:val="21"/>
              </w:rPr>
              <w:t>98.11</w:t>
            </w:r>
          </w:p>
        </w:tc>
        <w:tc>
          <w:tcPr>
            <w:tcW w:w="1710" w:type="dxa"/>
            <w:gridSpan w:val="2"/>
            <w:tcBorders>
              <w:bottom w:val="single" w:sz="18" w:space="0" w:color="800000"/>
            </w:tcBorders>
          </w:tcPr>
          <w:p w:rsidR="003F5784" w14:paraId="3B14BCB3" w14:textId="77777777">
            <w:pPr>
              <w:pStyle w:val="TableParagraph"/>
              <w:ind w:right="386"/>
              <w:rPr>
                <w:sz w:val="21"/>
              </w:rPr>
            </w:pPr>
            <w:r>
              <w:rPr>
                <w:spacing w:val="-2"/>
                <w:sz w:val="21"/>
              </w:rPr>
              <w:t>99.29</w:t>
            </w:r>
          </w:p>
        </w:tc>
        <w:tc>
          <w:tcPr>
            <w:tcW w:w="1707" w:type="dxa"/>
            <w:tcBorders>
              <w:bottom w:val="single" w:sz="18" w:space="0" w:color="800000"/>
            </w:tcBorders>
          </w:tcPr>
          <w:p w:rsidR="003F5784" w14:paraId="2597FDBD" w14:textId="77777777">
            <w:pPr>
              <w:pStyle w:val="TableParagraph"/>
              <w:ind w:right="462"/>
              <w:rPr>
                <w:sz w:val="21"/>
              </w:rPr>
            </w:pPr>
            <w:r>
              <w:rPr>
                <w:spacing w:val="-2"/>
                <w:sz w:val="21"/>
              </w:rPr>
              <w:t>1,000</w:t>
            </w:r>
          </w:p>
        </w:tc>
        <w:tc>
          <w:tcPr>
            <w:tcW w:w="1806" w:type="dxa"/>
            <w:gridSpan w:val="2"/>
            <w:tcBorders>
              <w:bottom w:val="single" w:sz="18" w:space="0" w:color="800000"/>
            </w:tcBorders>
          </w:tcPr>
          <w:p w:rsidR="003F5784" w14:paraId="52EE05EA" w14:textId="77777777">
            <w:pPr>
              <w:pStyle w:val="TableParagraph"/>
              <w:ind w:left="463"/>
              <w:jc w:val="left"/>
              <w:rPr>
                <w:sz w:val="21"/>
              </w:rPr>
            </w:pPr>
            <w:r>
              <w:rPr>
                <w:spacing w:val="-4"/>
                <w:sz w:val="21"/>
              </w:rPr>
              <w:t>6.60</w:t>
            </w:r>
          </w:p>
        </w:tc>
        <w:tc>
          <w:tcPr>
            <w:tcW w:w="1620" w:type="dxa"/>
            <w:tcBorders>
              <w:bottom w:val="single" w:sz="18" w:space="0" w:color="800000"/>
            </w:tcBorders>
          </w:tcPr>
          <w:p w:rsidR="003F5784" w14:paraId="1065BC13" w14:textId="77777777">
            <w:pPr>
              <w:pStyle w:val="TableParagraph"/>
              <w:ind w:right="22"/>
              <w:jc w:val="center"/>
              <w:rPr>
                <w:sz w:val="21"/>
              </w:rPr>
            </w:pPr>
            <w:r>
              <w:rPr>
                <w:spacing w:val="-2"/>
                <w:sz w:val="21"/>
              </w:rPr>
              <w:t>93.38</w:t>
            </w:r>
          </w:p>
        </w:tc>
        <w:tc>
          <w:tcPr>
            <w:tcW w:w="1625" w:type="dxa"/>
            <w:gridSpan w:val="2"/>
            <w:tcBorders>
              <w:bottom w:val="single" w:sz="18" w:space="0" w:color="800000"/>
            </w:tcBorders>
          </w:tcPr>
          <w:p w:rsidR="003F5784" w14:paraId="29ECE51E" w14:textId="77777777">
            <w:pPr>
              <w:pStyle w:val="TableParagraph"/>
              <w:ind w:right="118"/>
              <w:rPr>
                <w:sz w:val="21"/>
              </w:rPr>
            </w:pPr>
            <w:r>
              <w:rPr>
                <w:spacing w:val="-2"/>
                <w:sz w:val="21"/>
              </w:rPr>
              <w:t>18.23</w:t>
            </w:r>
          </w:p>
        </w:tc>
      </w:tr>
    </w:tbl>
    <w:p w:rsidR="003F5784" w14:paraId="2CAB5F73" w14:textId="77777777">
      <w:pPr>
        <w:rPr>
          <w:sz w:val="21"/>
        </w:rPr>
        <w:sectPr>
          <w:pgSz w:w="15840" w:h="12240" w:orient="landscape"/>
          <w:pgMar w:top="480" w:right="440" w:bottom="2040" w:left="460" w:header="284" w:footer="1856" w:gutter="0"/>
          <w:cols w:space="720"/>
        </w:sectPr>
      </w:pPr>
    </w:p>
    <w:p w:rsidR="003F5784" w14:paraId="45797FF7" w14:textId="77777777">
      <w:pPr>
        <w:pStyle w:val="BodyText"/>
        <w:spacing w:before="5"/>
        <w:rPr>
          <w:b/>
          <w:sz w:val="9"/>
        </w:rPr>
      </w:pPr>
    </w:p>
    <w:tbl>
      <w:tblPr>
        <w:tblW w:w="0" w:type="auto"/>
        <w:tblInd w:w="552" w:type="dxa"/>
        <w:tblLayout w:type="fixed"/>
        <w:tblCellMar>
          <w:left w:w="0" w:type="dxa"/>
          <w:right w:w="0" w:type="dxa"/>
        </w:tblCellMar>
        <w:tblLook w:val="01E0"/>
      </w:tblPr>
      <w:tblGrid>
        <w:gridCol w:w="3038"/>
        <w:gridCol w:w="1270"/>
        <w:gridCol w:w="1710"/>
        <w:gridCol w:w="20"/>
        <w:gridCol w:w="1960"/>
        <w:gridCol w:w="29"/>
        <w:gridCol w:w="1479"/>
        <w:gridCol w:w="22"/>
        <w:gridCol w:w="1170"/>
        <w:gridCol w:w="9"/>
        <w:gridCol w:w="1737"/>
        <w:gridCol w:w="54"/>
        <w:gridCol w:w="1608"/>
        <w:gridCol w:w="149"/>
      </w:tblGrid>
      <w:tr w14:paraId="419BD1E8" w14:textId="77777777" w:rsidTr="00A550C9">
        <w:tblPrEx>
          <w:tblW w:w="0" w:type="auto"/>
          <w:tblInd w:w="552" w:type="dxa"/>
          <w:tblLayout w:type="fixed"/>
          <w:tblCellMar>
            <w:left w:w="0" w:type="dxa"/>
            <w:right w:w="0" w:type="dxa"/>
          </w:tblCellMar>
          <w:tblLook w:val="01E0"/>
        </w:tblPrEx>
        <w:trPr>
          <w:gridAfter w:val="1"/>
          <w:wAfter w:w="149" w:type="dxa"/>
          <w:trHeight w:val="232"/>
        </w:trPr>
        <w:tc>
          <w:tcPr>
            <w:tcW w:w="4308" w:type="dxa"/>
            <w:gridSpan w:val="2"/>
          </w:tcPr>
          <w:p w:rsidR="003F5784" w14:paraId="612F1001" w14:textId="77777777">
            <w:pPr>
              <w:pStyle w:val="TableParagraph"/>
              <w:spacing w:before="0"/>
              <w:jc w:val="left"/>
              <w:rPr>
                <w:sz w:val="16"/>
              </w:rPr>
            </w:pPr>
          </w:p>
        </w:tc>
        <w:tc>
          <w:tcPr>
            <w:tcW w:w="1730" w:type="dxa"/>
            <w:gridSpan w:val="2"/>
          </w:tcPr>
          <w:p w:rsidR="003F5784" w14:paraId="6585D811" w14:textId="77777777">
            <w:pPr>
              <w:pStyle w:val="TableParagraph"/>
              <w:spacing w:before="0" w:line="213" w:lineRule="exact"/>
              <w:ind w:right="133"/>
              <w:rPr>
                <w:sz w:val="21"/>
              </w:rPr>
            </w:pPr>
            <w:r>
              <w:rPr>
                <w:sz w:val="21"/>
              </w:rPr>
              <w:t>School</w:t>
            </w:r>
            <w:r>
              <w:rPr>
                <w:spacing w:val="-7"/>
                <w:sz w:val="21"/>
              </w:rPr>
              <w:t xml:space="preserve"> </w:t>
            </w:r>
            <w:r>
              <w:rPr>
                <w:spacing w:val="-2"/>
                <w:sz w:val="21"/>
              </w:rPr>
              <w:t>participation</w:t>
            </w:r>
          </w:p>
        </w:tc>
        <w:tc>
          <w:tcPr>
            <w:tcW w:w="1989" w:type="dxa"/>
            <w:gridSpan w:val="2"/>
          </w:tcPr>
          <w:p w:rsidR="003F5784" w14:paraId="5ABEFEFB" w14:textId="77777777">
            <w:pPr>
              <w:pStyle w:val="TableParagraph"/>
              <w:spacing w:before="0"/>
              <w:jc w:val="left"/>
              <w:rPr>
                <w:sz w:val="16"/>
              </w:rPr>
            </w:pPr>
          </w:p>
        </w:tc>
        <w:tc>
          <w:tcPr>
            <w:tcW w:w="6079" w:type="dxa"/>
            <w:gridSpan w:val="7"/>
            <w:vMerge w:val="restart"/>
          </w:tcPr>
          <w:p w:rsidR="003F5784" w14:paraId="6C48D838" w14:textId="77777777">
            <w:pPr>
              <w:pStyle w:val="TableParagraph"/>
              <w:spacing w:before="0"/>
              <w:jc w:val="left"/>
              <w:rPr>
                <w:sz w:val="20"/>
              </w:rPr>
            </w:pPr>
          </w:p>
        </w:tc>
      </w:tr>
      <w:tr w14:paraId="61ADAD44" w14:textId="77777777" w:rsidTr="00A550C9">
        <w:tblPrEx>
          <w:tblW w:w="0" w:type="auto"/>
          <w:tblInd w:w="552" w:type="dxa"/>
          <w:tblLayout w:type="fixed"/>
          <w:tblCellMar>
            <w:left w:w="0" w:type="dxa"/>
            <w:right w:w="0" w:type="dxa"/>
          </w:tblCellMar>
          <w:tblLook w:val="01E0"/>
        </w:tblPrEx>
        <w:trPr>
          <w:gridAfter w:val="1"/>
          <w:wAfter w:w="149" w:type="dxa"/>
          <w:trHeight w:val="234"/>
        </w:trPr>
        <w:tc>
          <w:tcPr>
            <w:tcW w:w="4308" w:type="dxa"/>
            <w:gridSpan w:val="2"/>
          </w:tcPr>
          <w:p w:rsidR="003F5784" w14:paraId="11D08AF9" w14:textId="77777777">
            <w:pPr>
              <w:pStyle w:val="TableParagraph"/>
              <w:spacing w:before="0" w:line="215" w:lineRule="exact"/>
              <w:ind w:right="133"/>
              <w:rPr>
                <w:sz w:val="21"/>
              </w:rPr>
            </w:pPr>
            <w:r>
              <w:rPr>
                <w:sz w:val="21"/>
              </w:rPr>
              <w:t>Number</w:t>
            </w:r>
            <w:r>
              <w:rPr>
                <w:spacing w:val="-8"/>
                <w:sz w:val="21"/>
              </w:rPr>
              <w:t xml:space="preserve"> </w:t>
            </w:r>
            <w:r>
              <w:rPr>
                <w:spacing w:val="-5"/>
                <w:sz w:val="21"/>
              </w:rPr>
              <w:t>of</w:t>
            </w:r>
          </w:p>
        </w:tc>
        <w:tc>
          <w:tcPr>
            <w:tcW w:w="1730" w:type="dxa"/>
            <w:gridSpan w:val="2"/>
          </w:tcPr>
          <w:p w:rsidR="003F5784" w14:paraId="08703632" w14:textId="77777777">
            <w:pPr>
              <w:pStyle w:val="TableParagraph"/>
              <w:spacing w:before="0" w:line="215" w:lineRule="exact"/>
              <w:ind w:right="133"/>
              <w:rPr>
                <w:sz w:val="21"/>
              </w:rPr>
            </w:pPr>
            <w:r>
              <w:rPr>
                <w:sz w:val="21"/>
              </w:rPr>
              <w:t>rates</w:t>
            </w:r>
            <w:r>
              <w:rPr>
                <w:spacing w:val="-7"/>
                <w:sz w:val="21"/>
              </w:rPr>
              <w:t xml:space="preserve"> </w:t>
            </w:r>
            <w:r>
              <w:rPr>
                <w:sz w:val="21"/>
              </w:rPr>
              <w:t>(percent)</w:t>
            </w:r>
            <w:r>
              <w:rPr>
                <w:spacing w:val="-7"/>
                <w:sz w:val="21"/>
              </w:rPr>
              <w:t xml:space="preserve"> </w:t>
            </w:r>
            <w:r>
              <w:rPr>
                <w:spacing w:val="-2"/>
                <w:sz w:val="21"/>
              </w:rPr>
              <w:t>before</w:t>
            </w:r>
          </w:p>
        </w:tc>
        <w:tc>
          <w:tcPr>
            <w:tcW w:w="1989" w:type="dxa"/>
            <w:gridSpan w:val="2"/>
          </w:tcPr>
          <w:p w:rsidR="003F5784" w14:paraId="53DBD76E" w14:textId="77777777">
            <w:pPr>
              <w:pStyle w:val="TableParagraph"/>
              <w:spacing w:before="0" w:line="215" w:lineRule="exact"/>
              <w:ind w:right="164"/>
              <w:rPr>
                <w:sz w:val="21"/>
              </w:rPr>
            </w:pPr>
            <w:r>
              <w:rPr>
                <w:sz w:val="21"/>
              </w:rPr>
              <w:t>School</w:t>
            </w:r>
            <w:r>
              <w:rPr>
                <w:spacing w:val="-7"/>
                <w:sz w:val="21"/>
              </w:rPr>
              <w:t xml:space="preserve"> </w:t>
            </w:r>
            <w:r>
              <w:rPr>
                <w:spacing w:val="-2"/>
                <w:sz w:val="21"/>
              </w:rPr>
              <w:t>participation</w:t>
            </w:r>
          </w:p>
        </w:tc>
        <w:tc>
          <w:tcPr>
            <w:tcW w:w="6079" w:type="dxa"/>
            <w:gridSpan w:val="7"/>
            <w:vMerge/>
            <w:tcBorders>
              <w:top w:val="nil"/>
            </w:tcBorders>
          </w:tcPr>
          <w:p w:rsidR="003F5784" w14:paraId="33E48ACD" w14:textId="77777777">
            <w:pPr>
              <w:rPr>
                <w:sz w:val="2"/>
                <w:szCs w:val="2"/>
              </w:rPr>
            </w:pPr>
          </w:p>
        </w:tc>
      </w:tr>
      <w:tr w14:paraId="5A2049BD" w14:textId="77777777" w:rsidTr="00A550C9">
        <w:tblPrEx>
          <w:tblW w:w="0" w:type="auto"/>
          <w:tblInd w:w="552" w:type="dxa"/>
          <w:tblLayout w:type="fixed"/>
          <w:tblCellMar>
            <w:left w:w="0" w:type="dxa"/>
            <w:right w:w="0" w:type="dxa"/>
          </w:tblCellMar>
          <w:tblLook w:val="01E0"/>
        </w:tblPrEx>
        <w:trPr>
          <w:gridAfter w:val="1"/>
          <w:wAfter w:w="149" w:type="dxa"/>
          <w:trHeight w:val="234"/>
        </w:trPr>
        <w:tc>
          <w:tcPr>
            <w:tcW w:w="4308" w:type="dxa"/>
            <w:gridSpan w:val="2"/>
          </w:tcPr>
          <w:p w:rsidR="003F5784" w14:paraId="5EDCFEE4" w14:textId="77777777">
            <w:pPr>
              <w:pStyle w:val="TableParagraph"/>
              <w:spacing w:before="0" w:line="215" w:lineRule="exact"/>
              <w:ind w:right="133"/>
              <w:rPr>
                <w:sz w:val="21"/>
              </w:rPr>
            </w:pPr>
            <w:r>
              <w:rPr>
                <w:sz w:val="21"/>
              </w:rPr>
              <w:t>schools</w:t>
            </w:r>
            <w:r>
              <w:rPr>
                <w:spacing w:val="-8"/>
                <w:sz w:val="21"/>
              </w:rPr>
              <w:t xml:space="preserve"> </w:t>
            </w:r>
            <w:r>
              <w:rPr>
                <w:spacing w:val="-5"/>
                <w:sz w:val="21"/>
              </w:rPr>
              <w:t>in</w:t>
            </w:r>
          </w:p>
        </w:tc>
        <w:tc>
          <w:tcPr>
            <w:tcW w:w="1730" w:type="dxa"/>
            <w:gridSpan w:val="2"/>
          </w:tcPr>
          <w:p w:rsidR="003F5784" w14:paraId="5F2B4DF6" w14:textId="77777777">
            <w:pPr>
              <w:pStyle w:val="TableParagraph"/>
              <w:spacing w:before="0" w:line="215" w:lineRule="exact"/>
              <w:ind w:right="133"/>
              <w:rPr>
                <w:sz w:val="21"/>
              </w:rPr>
            </w:pPr>
            <w:r>
              <w:rPr>
                <w:spacing w:val="-2"/>
                <w:sz w:val="21"/>
              </w:rPr>
              <w:t>substitution</w:t>
            </w:r>
          </w:p>
        </w:tc>
        <w:tc>
          <w:tcPr>
            <w:tcW w:w="1989" w:type="dxa"/>
            <w:gridSpan w:val="2"/>
          </w:tcPr>
          <w:p w:rsidR="003F5784" w14:paraId="1B5ACE1B" w14:textId="77777777">
            <w:pPr>
              <w:pStyle w:val="TableParagraph"/>
              <w:spacing w:before="0" w:line="215" w:lineRule="exact"/>
              <w:ind w:right="164"/>
              <w:rPr>
                <w:sz w:val="21"/>
              </w:rPr>
            </w:pPr>
            <w:r>
              <w:rPr>
                <w:sz w:val="21"/>
              </w:rPr>
              <w:t>rates</w:t>
            </w:r>
            <w:r>
              <w:rPr>
                <w:spacing w:val="-5"/>
                <w:sz w:val="21"/>
              </w:rPr>
              <w:t xml:space="preserve"> </w:t>
            </w:r>
            <w:r>
              <w:rPr>
                <w:spacing w:val="-2"/>
                <w:sz w:val="21"/>
              </w:rPr>
              <w:t>(percent)</w:t>
            </w:r>
          </w:p>
        </w:tc>
        <w:tc>
          <w:tcPr>
            <w:tcW w:w="1479" w:type="dxa"/>
          </w:tcPr>
          <w:p w:rsidR="003F5784" w14:paraId="05A19F54" w14:textId="77777777">
            <w:pPr>
              <w:pStyle w:val="TableParagraph"/>
              <w:spacing w:before="0" w:line="215" w:lineRule="exact"/>
              <w:ind w:right="221"/>
              <w:rPr>
                <w:sz w:val="21"/>
              </w:rPr>
            </w:pPr>
            <w:r>
              <w:rPr>
                <w:sz w:val="21"/>
              </w:rPr>
              <w:t>Number</w:t>
            </w:r>
            <w:r>
              <w:rPr>
                <w:spacing w:val="-8"/>
                <w:sz w:val="21"/>
              </w:rPr>
              <w:t xml:space="preserve"> </w:t>
            </w:r>
            <w:r>
              <w:rPr>
                <w:spacing w:val="-5"/>
                <w:sz w:val="21"/>
              </w:rPr>
              <w:t>of</w:t>
            </w:r>
          </w:p>
        </w:tc>
        <w:tc>
          <w:tcPr>
            <w:tcW w:w="1201" w:type="dxa"/>
            <w:gridSpan w:val="3"/>
          </w:tcPr>
          <w:p w:rsidR="003F5784" w14:paraId="246A11DD" w14:textId="77777777">
            <w:pPr>
              <w:pStyle w:val="TableParagraph"/>
              <w:spacing w:before="0" w:line="215" w:lineRule="exact"/>
              <w:ind w:right="130"/>
              <w:rPr>
                <w:sz w:val="21"/>
              </w:rPr>
            </w:pPr>
            <w:r>
              <w:rPr>
                <w:spacing w:val="-2"/>
                <w:sz w:val="21"/>
              </w:rPr>
              <w:t>Weighted</w:t>
            </w:r>
          </w:p>
        </w:tc>
        <w:tc>
          <w:tcPr>
            <w:tcW w:w="1737" w:type="dxa"/>
          </w:tcPr>
          <w:p w:rsidR="003F5784" w14:paraId="143C158B" w14:textId="77777777">
            <w:pPr>
              <w:pStyle w:val="TableParagraph"/>
              <w:spacing w:before="0" w:line="215" w:lineRule="exact"/>
              <w:ind w:right="147"/>
              <w:rPr>
                <w:sz w:val="21"/>
              </w:rPr>
            </w:pPr>
            <w:r>
              <w:rPr>
                <w:spacing w:val="-2"/>
                <w:sz w:val="21"/>
              </w:rPr>
              <w:t>Weighted</w:t>
            </w:r>
            <w:r>
              <w:rPr>
                <w:spacing w:val="-11"/>
                <w:sz w:val="21"/>
              </w:rPr>
              <w:t xml:space="preserve"> </w:t>
            </w:r>
            <w:r>
              <w:rPr>
                <w:spacing w:val="-2"/>
                <w:sz w:val="21"/>
              </w:rPr>
              <w:t>student</w:t>
            </w:r>
          </w:p>
        </w:tc>
        <w:tc>
          <w:tcPr>
            <w:tcW w:w="1662" w:type="dxa"/>
            <w:gridSpan w:val="2"/>
          </w:tcPr>
          <w:p w:rsidR="003F5784" w14:paraId="60132932" w14:textId="77777777">
            <w:pPr>
              <w:pStyle w:val="TableParagraph"/>
              <w:spacing w:before="0"/>
              <w:jc w:val="left"/>
              <w:rPr>
                <w:sz w:val="16"/>
              </w:rPr>
            </w:pPr>
          </w:p>
        </w:tc>
      </w:tr>
      <w:tr w14:paraId="51D393AF" w14:textId="77777777" w:rsidTr="00A550C9">
        <w:tblPrEx>
          <w:tblW w:w="0" w:type="auto"/>
          <w:tblInd w:w="552" w:type="dxa"/>
          <w:tblLayout w:type="fixed"/>
          <w:tblCellMar>
            <w:left w:w="0" w:type="dxa"/>
            <w:right w:w="0" w:type="dxa"/>
          </w:tblCellMar>
          <w:tblLook w:val="01E0"/>
        </w:tblPrEx>
        <w:trPr>
          <w:gridAfter w:val="1"/>
          <w:wAfter w:w="149" w:type="dxa"/>
          <w:trHeight w:val="234"/>
        </w:trPr>
        <w:tc>
          <w:tcPr>
            <w:tcW w:w="4308" w:type="dxa"/>
            <w:gridSpan w:val="2"/>
          </w:tcPr>
          <w:p w:rsidR="003F5784" w14:paraId="23B9CB0D" w14:textId="77777777">
            <w:pPr>
              <w:pStyle w:val="TableParagraph"/>
              <w:spacing w:before="0" w:line="215" w:lineRule="exact"/>
              <w:ind w:right="133"/>
              <w:rPr>
                <w:sz w:val="21"/>
              </w:rPr>
            </w:pPr>
            <w:r>
              <w:rPr>
                <w:spacing w:val="-2"/>
                <w:sz w:val="21"/>
              </w:rPr>
              <w:t>original</w:t>
            </w:r>
          </w:p>
        </w:tc>
        <w:tc>
          <w:tcPr>
            <w:tcW w:w="1730" w:type="dxa"/>
            <w:gridSpan w:val="2"/>
          </w:tcPr>
          <w:p w:rsidR="003F5784" w14:paraId="29AF8113" w14:textId="77777777">
            <w:pPr>
              <w:pStyle w:val="TableParagraph"/>
              <w:spacing w:before="0" w:line="215" w:lineRule="exact"/>
              <w:ind w:right="133"/>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989" w:type="dxa"/>
            <w:gridSpan w:val="2"/>
          </w:tcPr>
          <w:p w:rsidR="003F5784" w14:paraId="4CF77717" w14:textId="77777777">
            <w:pPr>
              <w:pStyle w:val="TableParagraph"/>
              <w:spacing w:before="0" w:line="215" w:lineRule="exact"/>
              <w:ind w:right="164"/>
              <w:rPr>
                <w:sz w:val="21"/>
              </w:rPr>
            </w:pPr>
            <w:r>
              <w:rPr>
                <w:sz w:val="21"/>
              </w:rPr>
              <w:t>before</w:t>
            </w:r>
            <w:r>
              <w:rPr>
                <w:spacing w:val="-7"/>
                <w:sz w:val="21"/>
              </w:rPr>
              <w:t xml:space="preserve"> </w:t>
            </w:r>
            <w:r>
              <w:rPr>
                <w:spacing w:val="-2"/>
                <w:sz w:val="21"/>
              </w:rPr>
              <w:t>substitution</w:t>
            </w:r>
          </w:p>
        </w:tc>
        <w:tc>
          <w:tcPr>
            <w:tcW w:w="1479" w:type="dxa"/>
          </w:tcPr>
          <w:p w:rsidR="003F5784" w14:paraId="4CA0883E" w14:textId="77777777">
            <w:pPr>
              <w:pStyle w:val="TableParagraph"/>
              <w:spacing w:before="0" w:line="215" w:lineRule="exact"/>
              <w:ind w:right="221"/>
              <w:rPr>
                <w:sz w:val="21"/>
              </w:rPr>
            </w:pPr>
            <w:r>
              <w:rPr>
                <w:spacing w:val="-2"/>
                <w:sz w:val="21"/>
              </w:rPr>
              <w:t>students</w:t>
            </w:r>
          </w:p>
        </w:tc>
        <w:tc>
          <w:tcPr>
            <w:tcW w:w="1201" w:type="dxa"/>
            <w:gridSpan w:val="3"/>
          </w:tcPr>
          <w:p w:rsidR="003F5784" w14:paraId="45979906" w14:textId="77777777">
            <w:pPr>
              <w:pStyle w:val="TableParagraph"/>
              <w:spacing w:before="0" w:line="215" w:lineRule="exact"/>
              <w:ind w:right="130"/>
              <w:rPr>
                <w:sz w:val="21"/>
              </w:rPr>
            </w:pPr>
            <w:r>
              <w:rPr>
                <w:sz w:val="21"/>
              </w:rPr>
              <w:t>percent</w:t>
            </w:r>
            <w:r>
              <w:rPr>
                <w:spacing w:val="-8"/>
                <w:sz w:val="21"/>
              </w:rPr>
              <w:t xml:space="preserve"> </w:t>
            </w:r>
            <w:r>
              <w:rPr>
                <w:spacing w:val="-5"/>
                <w:sz w:val="21"/>
              </w:rPr>
              <w:t>of</w:t>
            </w:r>
          </w:p>
        </w:tc>
        <w:tc>
          <w:tcPr>
            <w:tcW w:w="1737" w:type="dxa"/>
          </w:tcPr>
          <w:p w:rsidR="003F5784" w14:paraId="63D66799" w14:textId="77777777">
            <w:pPr>
              <w:pStyle w:val="TableParagraph"/>
              <w:spacing w:before="0" w:line="215" w:lineRule="exact"/>
              <w:ind w:right="147"/>
              <w:rPr>
                <w:sz w:val="21"/>
              </w:rPr>
            </w:pPr>
            <w:r>
              <w:rPr>
                <w:spacing w:val="-2"/>
                <w:sz w:val="21"/>
              </w:rPr>
              <w:t>participation</w:t>
            </w:r>
          </w:p>
        </w:tc>
        <w:tc>
          <w:tcPr>
            <w:tcW w:w="1662" w:type="dxa"/>
            <w:gridSpan w:val="2"/>
          </w:tcPr>
          <w:p w:rsidR="003F5784" w14:paraId="3351526B" w14:textId="77777777">
            <w:pPr>
              <w:pStyle w:val="TableParagraph"/>
              <w:spacing w:before="0" w:line="215" w:lineRule="exact"/>
              <w:ind w:right="43"/>
              <w:rPr>
                <w:sz w:val="21"/>
              </w:rPr>
            </w:pPr>
            <w:r>
              <w:rPr>
                <w:spacing w:val="-2"/>
                <w:sz w:val="21"/>
              </w:rPr>
              <w:t>Weighted</w:t>
            </w:r>
            <w:r>
              <w:rPr>
                <w:spacing w:val="-11"/>
                <w:sz w:val="21"/>
              </w:rPr>
              <w:t xml:space="preserve"> </w:t>
            </w:r>
            <w:r>
              <w:rPr>
                <w:spacing w:val="-2"/>
                <w:sz w:val="21"/>
              </w:rPr>
              <w:t>percent</w:t>
            </w:r>
          </w:p>
        </w:tc>
      </w:tr>
      <w:tr w14:paraId="49F62269" w14:textId="77777777" w:rsidTr="00A550C9">
        <w:tblPrEx>
          <w:tblW w:w="0" w:type="auto"/>
          <w:tblInd w:w="552" w:type="dxa"/>
          <w:tblLayout w:type="fixed"/>
          <w:tblCellMar>
            <w:left w:w="0" w:type="dxa"/>
            <w:right w:w="0" w:type="dxa"/>
          </w:tblCellMar>
          <w:tblLook w:val="01E0"/>
        </w:tblPrEx>
        <w:trPr>
          <w:gridAfter w:val="1"/>
          <w:wAfter w:w="149" w:type="dxa"/>
          <w:trHeight w:val="234"/>
        </w:trPr>
        <w:tc>
          <w:tcPr>
            <w:tcW w:w="4308" w:type="dxa"/>
            <w:gridSpan w:val="2"/>
          </w:tcPr>
          <w:p w:rsidR="003F5784" w14:paraId="3CD57EFC" w14:textId="77777777">
            <w:pPr>
              <w:pStyle w:val="TableParagraph"/>
              <w:spacing w:before="0" w:line="215" w:lineRule="exact"/>
              <w:ind w:right="133"/>
              <w:rPr>
                <w:sz w:val="21"/>
              </w:rPr>
            </w:pPr>
            <w:r>
              <w:rPr>
                <w:spacing w:val="-2"/>
                <w:sz w:val="21"/>
              </w:rPr>
              <w:t>sample,</w:t>
            </w:r>
          </w:p>
        </w:tc>
        <w:tc>
          <w:tcPr>
            <w:tcW w:w="1730" w:type="dxa"/>
            <w:gridSpan w:val="2"/>
          </w:tcPr>
          <w:p w:rsidR="003F5784" w14:paraId="65755E4A" w14:textId="77777777">
            <w:pPr>
              <w:pStyle w:val="TableParagraph"/>
              <w:spacing w:before="0" w:line="215" w:lineRule="exact"/>
              <w:ind w:right="133"/>
              <w:rPr>
                <w:sz w:val="21"/>
              </w:rPr>
            </w:pPr>
            <w:r>
              <w:rPr>
                <w:sz w:val="21"/>
              </w:rPr>
              <w:t>weight</w:t>
            </w:r>
            <w:r>
              <w:rPr>
                <w:spacing w:val="-7"/>
                <w:sz w:val="21"/>
              </w:rPr>
              <w:t xml:space="preserve"> </w:t>
            </w:r>
            <w:r>
              <w:rPr>
                <w:spacing w:val="-5"/>
                <w:sz w:val="21"/>
              </w:rPr>
              <w:t>and</w:t>
            </w:r>
          </w:p>
        </w:tc>
        <w:tc>
          <w:tcPr>
            <w:tcW w:w="1989" w:type="dxa"/>
            <w:gridSpan w:val="2"/>
          </w:tcPr>
          <w:p w:rsidR="003F5784" w14:paraId="62AF276E" w14:textId="77777777">
            <w:pPr>
              <w:pStyle w:val="TableParagraph"/>
              <w:spacing w:before="0" w:line="215" w:lineRule="exact"/>
              <w:ind w:right="164"/>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479" w:type="dxa"/>
          </w:tcPr>
          <w:p w:rsidR="003F5784" w14:paraId="74888C09" w14:textId="77777777">
            <w:pPr>
              <w:pStyle w:val="TableParagraph"/>
              <w:spacing w:before="0" w:line="215" w:lineRule="exact"/>
              <w:ind w:right="221"/>
              <w:rPr>
                <w:sz w:val="21"/>
              </w:rPr>
            </w:pPr>
            <w:r>
              <w:rPr>
                <w:spacing w:val="-2"/>
                <w:sz w:val="21"/>
              </w:rPr>
              <w:t>sampled,</w:t>
            </w:r>
          </w:p>
        </w:tc>
        <w:tc>
          <w:tcPr>
            <w:tcW w:w="1201" w:type="dxa"/>
            <w:gridSpan w:val="3"/>
          </w:tcPr>
          <w:p w:rsidR="003F5784" w14:paraId="357136BF" w14:textId="77777777">
            <w:pPr>
              <w:pStyle w:val="TableParagraph"/>
              <w:spacing w:before="0" w:line="215" w:lineRule="exact"/>
              <w:ind w:right="130"/>
              <w:rPr>
                <w:sz w:val="21"/>
              </w:rPr>
            </w:pPr>
            <w:r>
              <w:rPr>
                <w:spacing w:val="-2"/>
                <w:sz w:val="21"/>
              </w:rPr>
              <w:t>students</w:t>
            </w:r>
          </w:p>
        </w:tc>
        <w:tc>
          <w:tcPr>
            <w:tcW w:w="1737" w:type="dxa"/>
          </w:tcPr>
          <w:p w:rsidR="003F5784" w14:paraId="534E126E" w14:textId="77777777">
            <w:pPr>
              <w:pStyle w:val="TableParagraph"/>
              <w:spacing w:before="0" w:line="215" w:lineRule="exact"/>
              <w:ind w:right="147"/>
              <w:rPr>
                <w:sz w:val="21"/>
              </w:rPr>
            </w:pPr>
            <w:r>
              <w:rPr>
                <w:sz w:val="21"/>
              </w:rPr>
              <w:t>rates</w:t>
            </w:r>
            <w:r>
              <w:rPr>
                <w:spacing w:val="-5"/>
                <w:sz w:val="21"/>
              </w:rPr>
              <w:t xml:space="preserve"> </w:t>
            </w:r>
            <w:r>
              <w:rPr>
                <w:spacing w:val="-2"/>
                <w:sz w:val="21"/>
              </w:rPr>
              <w:t>(percent)</w:t>
            </w:r>
          </w:p>
        </w:tc>
        <w:tc>
          <w:tcPr>
            <w:tcW w:w="1662" w:type="dxa"/>
            <w:gridSpan w:val="2"/>
          </w:tcPr>
          <w:p w:rsidR="003F5784" w14:paraId="7525E604" w14:textId="77777777">
            <w:pPr>
              <w:pStyle w:val="TableParagraph"/>
              <w:spacing w:before="0" w:line="215" w:lineRule="exact"/>
              <w:ind w:right="43"/>
              <w:rPr>
                <w:sz w:val="21"/>
              </w:rPr>
            </w:pPr>
            <w:r>
              <w:rPr>
                <w:sz w:val="21"/>
              </w:rPr>
              <w:t>of</w:t>
            </w:r>
            <w:r>
              <w:rPr>
                <w:spacing w:val="-3"/>
                <w:sz w:val="21"/>
              </w:rPr>
              <w:t xml:space="preserve"> </w:t>
            </w:r>
            <w:r>
              <w:rPr>
                <w:spacing w:val="-2"/>
                <w:sz w:val="21"/>
              </w:rPr>
              <w:t>students</w:t>
            </w:r>
          </w:p>
        </w:tc>
      </w:tr>
      <w:tr w14:paraId="5945724F" w14:textId="77777777" w:rsidTr="00A550C9">
        <w:tblPrEx>
          <w:tblW w:w="0" w:type="auto"/>
          <w:tblInd w:w="552" w:type="dxa"/>
          <w:tblLayout w:type="fixed"/>
          <w:tblCellMar>
            <w:left w:w="0" w:type="dxa"/>
            <w:right w:w="0" w:type="dxa"/>
          </w:tblCellMar>
          <w:tblLook w:val="01E0"/>
        </w:tblPrEx>
        <w:trPr>
          <w:gridAfter w:val="1"/>
          <w:wAfter w:w="149" w:type="dxa"/>
          <w:trHeight w:val="232"/>
        </w:trPr>
        <w:tc>
          <w:tcPr>
            <w:tcW w:w="4308" w:type="dxa"/>
            <w:gridSpan w:val="2"/>
          </w:tcPr>
          <w:p w:rsidR="003F5784" w14:paraId="0292F2D6" w14:textId="77777777">
            <w:pPr>
              <w:pStyle w:val="TableParagraph"/>
              <w:tabs>
                <w:tab w:val="left" w:pos="3025"/>
              </w:tabs>
              <w:spacing w:before="0" w:line="213" w:lineRule="exact"/>
              <w:ind w:right="133"/>
              <w:rPr>
                <w:sz w:val="21"/>
              </w:rPr>
            </w:pPr>
            <w:r>
              <w:rPr>
                <w:sz w:val="21"/>
              </w:rPr>
              <w:t>School</w:t>
            </w:r>
            <w:r>
              <w:rPr>
                <w:spacing w:val="-6"/>
                <w:sz w:val="21"/>
              </w:rPr>
              <w:t xml:space="preserve"> </w:t>
            </w:r>
            <w:r>
              <w:rPr>
                <w:sz w:val="21"/>
              </w:rPr>
              <w:t>type</w:t>
            </w:r>
            <w:r>
              <w:rPr>
                <w:spacing w:val="-5"/>
                <w:sz w:val="21"/>
              </w:rPr>
              <w:t xml:space="preserve"> </w:t>
            </w:r>
            <w:r>
              <w:rPr>
                <w:sz w:val="21"/>
              </w:rPr>
              <w:t>and</w:t>
            </w:r>
            <w:r>
              <w:rPr>
                <w:spacing w:val="-5"/>
                <w:sz w:val="21"/>
              </w:rPr>
              <w:t xml:space="preserve"> </w:t>
            </w:r>
            <w:r>
              <w:rPr>
                <w:spacing w:val="-2"/>
                <w:sz w:val="21"/>
              </w:rPr>
              <w:t>jurisdiction</w:t>
            </w:r>
            <w:r>
              <w:rPr>
                <w:sz w:val="21"/>
              </w:rPr>
              <w:tab/>
            </w:r>
            <w:r>
              <w:rPr>
                <w:spacing w:val="-2"/>
                <w:sz w:val="21"/>
              </w:rPr>
              <w:t>rounded</w:t>
            </w:r>
          </w:p>
        </w:tc>
        <w:tc>
          <w:tcPr>
            <w:tcW w:w="1730" w:type="dxa"/>
            <w:gridSpan w:val="2"/>
          </w:tcPr>
          <w:p w:rsidR="003F5784" w14:paraId="5A7AA34E" w14:textId="77777777">
            <w:pPr>
              <w:pStyle w:val="TableParagraph"/>
              <w:spacing w:before="0" w:line="213" w:lineRule="exact"/>
              <w:ind w:right="133"/>
              <w:rPr>
                <w:sz w:val="21"/>
              </w:rPr>
            </w:pPr>
            <w:r>
              <w:rPr>
                <w:spacing w:val="-2"/>
                <w:sz w:val="21"/>
              </w:rPr>
              <w:t>enrollment)</w:t>
            </w:r>
          </w:p>
        </w:tc>
        <w:tc>
          <w:tcPr>
            <w:tcW w:w="1989" w:type="dxa"/>
            <w:gridSpan w:val="2"/>
          </w:tcPr>
          <w:p w:rsidR="003F5784" w14:paraId="2DD7BD95" w14:textId="77777777">
            <w:pPr>
              <w:pStyle w:val="TableParagraph"/>
              <w:spacing w:before="0" w:line="213" w:lineRule="exact"/>
              <w:ind w:right="164"/>
              <w:rPr>
                <w:sz w:val="21"/>
              </w:rPr>
            </w:pPr>
            <w:r>
              <w:rPr>
                <w:sz w:val="21"/>
              </w:rPr>
              <w:t>weight</w:t>
            </w:r>
            <w:r>
              <w:rPr>
                <w:spacing w:val="-7"/>
                <w:sz w:val="21"/>
              </w:rPr>
              <w:t xml:space="preserve"> </w:t>
            </w:r>
            <w:r>
              <w:rPr>
                <w:spacing w:val="-2"/>
                <w:sz w:val="21"/>
              </w:rPr>
              <w:t>only)</w:t>
            </w:r>
          </w:p>
        </w:tc>
        <w:tc>
          <w:tcPr>
            <w:tcW w:w="1479" w:type="dxa"/>
          </w:tcPr>
          <w:p w:rsidR="003F5784" w14:paraId="4890CA3B" w14:textId="77777777">
            <w:pPr>
              <w:pStyle w:val="TableParagraph"/>
              <w:spacing w:before="0" w:line="213" w:lineRule="exact"/>
              <w:ind w:right="221"/>
              <w:rPr>
                <w:sz w:val="21"/>
              </w:rPr>
            </w:pPr>
            <w:r>
              <w:rPr>
                <w:spacing w:val="-2"/>
                <w:sz w:val="21"/>
              </w:rPr>
              <w:t>rounded</w:t>
            </w:r>
          </w:p>
        </w:tc>
        <w:tc>
          <w:tcPr>
            <w:tcW w:w="1201" w:type="dxa"/>
            <w:gridSpan w:val="3"/>
          </w:tcPr>
          <w:p w:rsidR="003F5784" w14:paraId="75AB0FBF" w14:textId="77777777">
            <w:pPr>
              <w:pStyle w:val="TableParagraph"/>
              <w:spacing w:before="0" w:line="213" w:lineRule="exact"/>
              <w:ind w:right="130"/>
              <w:rPr>
                <w:sz w:val="21"/>
              </w:rPr>
            </w:pPr>
            <w:r>
              <w:rPr>
                <w:spacing w:val="-2"/>
                <w:sz w:val="21"/>
              </w:rPr>
              <w:t>excluded</w:t>
            </w:r>
          </w:p>
        </w:tc>
        <w:tc>
          <w:tcPr>
            <w:tcW w:w="1737" w:type="dxa"/>
          </w:tcPr>
          <w:p w:rsidR="003F5784" w14:paraId="3E881C2E" w14:textId="77777777">
            <w:pPr>
              <w:pStyle w:val="TableParagraph"/>
              <w:spacing w:before="0" w:line="213" w:lineRule="exact"/>
              <w:ind w:right="147"/>
              <w:rPr>
                <w:sz w:val="21"/>
              </w:rPr>
            </w:pPr>
            <w:r>
              <w:rPr>
                <w:sz w:val="21"/>
              </w:rPr>
              <w:t>after</w:t>
            </w:r>
            <w:r>
              <w:rPr>
                <w:spacing w:val="-5"/>
                <w:sz w:val="21"/>
              </w:rPr>
              <w:t xml:space="preserve"> </w:t>
            </w:r>
            <w:r>
              <w:rPr>
                <w:spacing w:val="-2"/>
                <w:sz w:val="21"/>
              </w:rPr>
              <w:t>makeups</w:t>
            </w:r>
          </w:p>
        </w:tc>
        <w:tc>
          <w:tcPr>
            <w:tcW w:w="1662" w:type="dxa"/>
            <w:gridSpan w:val="2"/>
          </w:tcPr>
          <w:p w:rsidR="003F5784" w14:paraId="06ADEC0D" w14:textId="77777777">
            <w:pPr>
              <w:pStyle w:val="TableParagraph"/>
              <w:spacing w:before="0" w:line="213" w:lineRule="exact"/>
              <w:ind w:right="43"/>
              <w:rPr>
                <w:sz w:val="21"/>
              </w:rPr>
            </w:pPr>
            <w:r>
              <w:rPr>
                <w:spacing w:val="-2"/>
                <w:sz w:val="21"/>
              </w:rPr>
              <w:t>accommodated</w:t>
            </w:r>
          </w:p>
        </w:tc>
      </w:tr>
      <w:tr w14:paraId="4E5749CA" w14:textId="77777777" w:rsidTr="008C4D83">
        <w:tblPrEx>
          <w:tblW w:w="0" w:type="auto"/>
          <w:tblInd w:w="552" w:type="dxa"/>
          <w:tblLayout w:type="fixed"/>
          <w:tblCellMar>
            <w:left w:w="0" w:type="dxa"/>
            <w:right w:w="0" w:type="dxa"/>
          </w:tblCellMar>
          <w:tblLook w:val="01E0"/>
        </w:tblPrEx>
        <w:trPr>
          <w:trHeight w:val="278"/>
        </w:trPr>
        <w:tc>
          <w:tcPr>
            <w:tcW w:w="3038" w:type="dxa"/>
            <w:tcBorders>
              <w:top w:val="single" w:sz="18" w:space="0" w:color="800000"/>
            </w:tcBorders>
          </w:tcPr>
          <w:p w:rsidR="003F5784" w14:paraId="583F1465" w14:textId="77777777">
            <w:pPr>
              <w:pStyle w:val="TableParagraph"/>
              <w:spacing w:before="9"/>
              <w:ind w:left="120"/>
              <w:jc w:val="left"/>
              <w:rPr>
                <w:sz w:val="21"/>
              </w:rPr>
            </w:pPr>
            <w:r>
              <w:rPr>
                <w:sz w:val="21"/>
              </w:rPr>
              <w:t>San</w:t>
            </w:r>
            <w:r>
              <w:rPr>
                <w:spacing w:val="-5"/>
                <w:sz w:val="21"/>
              </w:rPr>
              <w:t xml:space="preserve"> </w:t>
            </w:r>
            <w:r>
              <w:rPr>
                <w:spacing w:val="-2"/>
                <w:sz w:val="21"/>
              </w:rPr>
              <w:t>Diego</w:t>
            </w:r>
          </w:p>
        </w:tc>
        <w:tc>
          <w:tcPr>
            <w:tcW w:w="1270" w:type="dxa"/>
            <w:tcBorders>
              <w:top w:val="single" w:sz="18" w:space="0" w:color="800000"/>
            </w:tcBorders>
          </w:tcPr>
          <w:p w:rsidR="003F5784" w14:paraId="06FE3C6A" w14:textId="77777777">
            <w:pPr>
              <w:pStyle w:val="TableParagraph"/>
              <w:spacing w:before="9"/>
              <w:ind w:right="738"/>
              <w:rPr>
                <w:sz w:val="21"/>
              </w:rPr>
            </w:pPr>
            <w:r>
              <w:rPr>
                <w:spacing w:val="-5"/>
                <w:sz w:val="21"/>
              </w:rPr>
              <w:t>40</w:t>
            </w:r>
          </w:p>
        </w:tc>
        <w:tc>
          <w:tcPr>
            <w:tcW w:w="1710" w:type="dxa"/>
            <w:tcBorders>
              <w:top w:val="single" w:sz="18" w:space="0" w:color="800000"/>
            </w:tcBorders>
          </w:tcPr>
          <w:p w:rsidR="003F5784" w14:paraId="62605A30" w14:textId="77777777">
            <w:pPr>
              <w:pStyle w:val="TableParagraph"/>
              <w:spacing w:before="9"/>
              <w:ind w:left="159" w:right="112"/>
              <w:jc w:val="center"/>
              <w:rPr>
                <w:sz w:val="21"/>
              </w:rPr>
            </w:pPr>
            <w:r>
              <w:rPr>
                <w:spacing w:val="-2"/>
                <w:sz w:val="21"/>
              </w:rPr>
              <w:t>100.00</w:t>
            </w:r>
          </w:p>
        </w:tc>
        <w:tc>
          <w:tcPr>
            <w:tcW w:w="1980" w:type="dxa"/>
            <w:gridSpan w:val="2"/>
            <w:tcBorders>
              <w:top w:val="single" w:sz="18" w:space="0" w:color="800000"/>
            </w:tcBorders>
          </w:tcPr>
          <w:p w:rsidR="003F5784" w14:paraId="2570DFAC" w14:textId="77777777">
            <w:pPr>
              <w:pStyle w:val="TableParagraph"/>
              <w:spacing w:before="9"/>
              <w:ind w:right="386"/>
              <w:rPr>
                <w:sz w:val="21"/>
              </w:rPr>
            </w:pPr>
            <w:r>
              <w:rPr>
                <w:spacing w:val="-2"/>
                <w:sz w:val="21"/>
              </w:rPr>
              <w:t>100.00</w:t>
            </w:r>
          </w:p>
        </w:tc>
        <w:tc>
          <w:tcPr>
            <w:tcW w:w="1530" w:type="dxa"/>
            <w:gridSpan w:val="3"/>
            <w:tcBorders>
              <w:top w:val="single" w:sz="18" w:space="0" w:color="800000"/>
            </w:tcBorders>
          </w:tcPr>
          <w:p w:rsidR="003F5784" w14:paraId="7641831A" w14:textId="77777777">
            <w:pPr>
              <w:pStyle w:val="TableParagraph"/>
              <w:spacing w:before="9"/>
              <w:ind w:right="462"/>
              <w:rPr>
                <w:sz w:val="21"/>
              </w:rPr>
            </w:pPr>
            <w:r>
              <w:rPr>
                <w:spacing w:val="-5"/>
                <w:sz w:val="21"/>
              </w:rPr>
              <w:t>900</w:t>
            </w:r>
          </w:p>
        </w:tc>
        <w:tc>
          <w:tcPr>
            <w:tcW w:w="1170" w:type="dxa"/>
            <w:tcBorders>
              <w:top w:val="single" w:sz="18" w:space="0" w:color="800000"/>
            </w:tcBorders>
          </w:tcPr>
          <w:p w:rsidR="003F5784" w14:paraId="4A4F706F" w14:textId="77777777">
            <w:pPr>
              <w:pStyle w:val="TableParagraph"/>
              <w:spacing w:before="9"/>
              <w:ind w:left="463"/>
              <w:jc w:val="left"/>
              <w:rPr>
                <w:sz w:val="21"/>
              </w:rPr>
            </w:pPr>
            <w:r>
              <w:rPr>
                <w:spacing w:val="-4"/>
                <w:sz w:val="21"/>
              </w:rPr>
              <w:t>2.75</w:t>
            </w:r>
          </w:p>
        </w:tc>
        <w:tc>
          <w:tcPr>
            <w:tcW w:w="1800" w:type="dxa"/>
            <w:gridSpan w:val="3"/>
            <w:tcBorders>
              <w:top w:val="single" w:sz="18" w:space="0" w:color="800000"/>
            </w:tcBorders>
          </w:tcPr>
          <w:p w:rsidR="003F5784" w14:paraId="6499330E" w14:textId="77777777">
            <w:pPr>
              <w:pStyle w:val="TableParagraph"/>
              <w:spacing w:before="9"/>
              <w:ind w:right="22"/>
              <w:jc w:val="center"/>
              <w:rPr>
                <w:sz w:val="21"/>
              </w:rPr>
            </w:pPr>
            <w:r>
              <w:rPr>
                <w:spacing w:val="-2"/>
                <w:sz w:val="21"/>
              </w:rPr>
              <w:t>88.59</w:t>
            </w:r>
          </w:p>
        </w:tc>
        <w:tc>
          <w:tcPr>
            <w:tcW w:w="1757" w:type="dxa"/>
            <w:gridSpan w:val="2"/>
            <w:tcBorders>
              <w:top w:val="single" w:sz="18" w:space="0" w:color="800000"/>
            </w:tcBorders>
          </w:tcPr>
          <w:p w:rsidR="003F5784" w14:paraId="64488D08" w14:textId="77777777">
            <w:pPr>
              <w:pStyle w:val="TableParagraph"/>
              <w:spacing w:before="9"/>
              <w:ind w:right="118"/>
              <w:rPr>
                <w:sz w:val="21"/>
              </w:rPr>
            </w:pPr>
            <w:r>
              <w:rPr>
                <w:spacing w:val="-2"/>
                <w:sz w:val="21"/>
              </w:rPr>
              <w:t>12.38</w:t>
            </w:r>
          </w:p>
        </w:tc>
      </w:tr>
      <w:tr w14:paraId="25F6EC9D" w14:textId="77777777" w:rsidTr="008C4D83">
        <w:tblPrEx>
          <w:tblW w:w="0" w:type="auto"/>
          <w:tblInd w:w="552" w:type="dxa"/>
          <w:tblLayout w:type="fixed"/>
          <w:tblCellMar>
            <w:left w:w="0" w:type="dxa"/>
            <w:right w:w="0" w:type="dxa"/>
          </w:tblCellMar>
          <w:tblLook w:val="01E0"/>
        </w:tblPrEx>
        <w:trPr>
          <w:trHeight w:val="286"/>
        </w:trPr>
        <w:tc>
          <w:tcPr>
            <w:tcW w:w="3038" w:type="dxa"/>
          </w:tcPr>
          <w:p w:rsidR="003F5784" w14:paraId="05B6BB14" w14:textId="77777777">
            <w:pPr>
              <w:pStyle w:val="TableParagraph"/>
              <w:ind w:left="120"/>
              <w:jc w:val="left"/>
              <w:rPr>
                <w:sz w:val="21"/>
              </w:rPr>
            </w:pPr>
            <w:r>
              <w:rPr>
                <w:sz w:val="21"/>
              </w:rPr>
              <w:t>Shelby</w:t>
            </w:r>
            <w:r>
              <w:rPr>
                <w:spacing w:val="-7"/>
                <w:sz w:val="21"/>
              </w:rPr>
              <w:t xml:space="preserve"> </w:t>
            </w:r>
            <w:r>
              <w:rPr>
                <w:sz w:val="21"/>
              </w:rPr>
              <w:t>County</w:t>
            </w:r>
            <w:r>
              <w:rPr>
                <w:spacing w:val="-8"/>
                <w:sz w:val="21"/>
              </w:rPr>
              <w:t xml:space="preserve"> </w:t>
            </w:r>
            <w:r>
              <w:rPr>
                <w:spacing w:val="-4"/>
                <w:sz w:val="21"/>
              </w:rPr>
              <w:t>(TN)</w:t>
            </w:r>
          </w:p>
        </w:tc>
        <w:tc>
          <w:tcPr>
            <w:tcW w:w="1270" w:type="dxa"/>
          </w:tcPr>
          <w:p w:rsidR="003F5784" w14:paraId="4E33A8EF" w14:textId="77777777">
            <w:pPr>
              <w:pStyle w:val="TableParagraph"/>
              <w:ind w:right="738"/>
              <w:rPr>
                <w:sz w:val="21"/>
              </w:rPr>
            </w:pPr>
            <w:r>
              <w:rPr>
                <w:spacing w:val="-5"/>
                <w:sz w:val="21"/>
              </w:rPr>
              <w:t>40</w:t>
            </w:r>
          </w:p>
        </w:tc>
        <w:tc>
          <w:tcPr>
            <w:tcW w:w="1710" w:type="dxa"/>
          </w:tcPr>
          <w:p w:rsidR="003F5784" w14:paraId="2EE4BB48" w14:textId="77777777">
            <w:pPr>
              <w:pStyle w:val="TableParagraph"/>
              <w:ind w:left="159" w:right="112"/>
              <w:jc w:val="center"/>
              <w:rPr>
                <w:sz w:val="21"/>
              </w:rPr>
            </w:pPr>
            <w:r>
              <w:rPr>
                <w:spacing w:val="-2"/>
                <w:sz w:val="21"/>
              </w:rPr>
              <w:t>100.00</w:t>
            </w:r>
          </w:p>
        </w:tc>
        <w:tc>
          <w:tcPr>
            <w:tcW w:w="1980" w:type="dxa"/>
            <w:gridSpan w:val="2"/>
          </w:tcPr>
          <w:p w:rsidR="003F5784" w14:paraId="17F1868F" w14:textId="77777777">
            <w:pPr>
              <w:pStyle w:val="TableParagraph"/>
              <w:ind w:right="386"/>
              <w:rPr>
                <w:sz w:val="21"/>
              </w:rPr>
            </w:pPr>
            <w:r>
              <w:rPr>
                <w:spacing w:val="-2"/>
                <w:sz w:val="21"/>
              </w:rPr>
              <w:t>100.00</w:t>
            </w:r>
          </w:p>
        </w:tc>
        <w:tc>
          <w:tcPr>
            <w:tcW w:w="1530" w:type="dxa"/>
            <w:gridSpan w:val="3"/>
          </w:tcPr>
          <w:p w:rsidR="003F5784" w14:paraId="27C3E7C7" w14:textId="77777777">
            <w:pPr>
              <w:pStyle w:val="TableParagraph"/>
              <w:ind w:right="462"/>
              <w:rPr>
                <w:sz w:val="21"/>
              </w:rPr>
            </w:pPr>
            <w:r>
              <w:rPr>
                <w:spacing w:val="-2"/>
                <w:sz w:val="21"/>
              </w:rPr>
              <w:t>1,000</w:t>
            </w:r>
          </w:p>
        </w:tc>
        <w:tc>
          <w:tcPr>
            <w:tcW w:w="1170" w:type="dxa"/>
          </w:tcPr>
          <w:p w:rsidR="003F5784" w14:paraId="219F903E" w14:textId="77777777">
            <w:pPr>
              <w:pStyle w:val="TableParagraph"/>
              <w:ind w:left="463"/>
              <w:jc w:val="left"/>
              <w:rPr>
                <w:sz w:val="21"/>
              </w:rPr>
            </w:pPr>
            <w:r>
              <w:rPr>
                <w:spacing w:val="-4"/>
                <w:sz w:val="21"/>
              </w:rPr>
              <w:t>3.82</w:t>
            </w:r>
          </w:p>
        </w:tc>
        <w:tc>
          <w:tcPr>
            <w:tcW w:w="1800" w:type="dxa"/>
            <w:gridSpan w:val="3"/>
          </w:tcPr>
          <w:p w:rsidR="003F5784" w14:paraId="016D50ED" w14:textId="77777777">
            <w:pPr>
              <w:pStyle w:val="TableParagraph"/>
              <w:ind w:right="22"/>
              <w:jc w:val="center"/>
              <w:rPr>
                <w:sz w:val="21"/>
              </w:rPr>
            </w:pPr>
            <w:r>
              <w:rPr>
                <w:spacing w:val="-2"/>
                <w:sz w:val="21"/>
              </w:rPr>
              <w:t>91.22</w:t>
            </w:r>
          </w:p>
        </w:tc>
        <w:tc>
          <w:tcPr>
            <w:tcW w:w="1757" w:type="dxa"/>
            <w:gridSpan w:val="2"/>
          </w:tcPr>
          <w:p w:rsidR="003F5784" w14:paraId="59C642A0" w14:textId="77777777">
            <w:pPr>
              <w:pStyle w:val="TableParagraph"/>
              <w:ind w:right="118"/>
              <w:rPr>
                <w:sz w:val="21"/>
              </w:rPr>
            </w:pPr>
            <w:r>
              <w:rPr>
                <w:spacing w:val="-2"/>
                <w:sz w:val="21"/>
              </w:rPr>
              <w:t>14.68</w:t>
            </w:r>
          </w:p>
        </w:tc>
      </w:tr>
      <w:tr w14:paraId="6D7793CA" w14:textId="77777777" w:rsidTr="008C4D83">
        <w:tblPrEx>
          <w:tblW w:w="0" w:type="auto"/>
          <w:tblInd w:w="552" w:type="dxa"/>
          <w:tblLayout w:type="fixed"/>
          <w:tblCellMar>
            <w:left w:w="0" w:type="dxa"/>
            <w:right w:w="0" w:type="dxa"/>
          </w:tblCellMar>
          <w:tblLook w:val="01E0"/>
        </w:tblPrEx>
        <w:trPr>
          <w:trHeight w:val="290"/>
        </w:trPr>
        <w:tc>
          <w:tcPr>
            <w:tcW w:w="3038" w:type="dxa"/>
            <w:tcBorders>
              <w:bottom w:val="single" w:sz="12" w:space="0" w:color="800000"/>
            </w:tcBorders>
          </w:tcPr>
          <w:p w:rsidR="003F5784" w14:paraId="0CE004FA" w14:textId="77777777">
            <w:pPr>
              <w:pStyle w:val="TableParagraph"/>
              <w:ind w:left="120"/>
              <w:jc w:val="left"/>
              <w:rPr>
                <w:sz w:val="21"/>
              </w:rPr>
            </w:pPr>
            <w:r>
              <w:rPr>
                <w:sz w:val="21"/>
              </w:rPr>
              <w:t>District</w:t>
            </w:r>
            <w:r>
              <w:rPr>
                <w:spacing w:val="-7"/>
                <w:sz w:val="21"/>
              </w:rPr>
              <w:t xml:space="preserve"> </w:t>
            </w:r>
            <w:r>
              <w:rPr>
                <w:sz w:val="21"/>
              </w:rPr>
              <w:t>of</w:t>
            </w:r>
            <w:r>
              <w:rPr>
                <w:spacing w:val="-6"/>
                <w:sz w:val="21"/>
              </w:rPr>
              <w:t xml:space="preserve"> </w:t>
            </w:r>
            <w:r>
              <w:rPr>
                <w:sz w:val="21"/>
              </w:rPr>
              <w:t>Columbia</w:t>
            </w:r>
            <w:r>
              <w:rPr>
                <w:spacing w:val="-7"/>
                <w:sz w:val="21"/>
              </w:rPr>
              <w:t xml:space="preserve"> </w:t>
            </w:r>
            <w:r>
              <w:rPr>
                <w:spacing w:val="-2"/>
                <w:sz w:val="21"/>
              </w:rPr>
              <w:t>(DCPS)</w:t>
            </w:r>
          </w:p>
        </w:tc>
        <w:tc>
          <w:tcPr>
            <w:tcW w:w="1270" w:type="dxa"/>
            <w:tcBorders>
              <w:bottom w:val="single" w:sz="12" w:space="0" w:color="800000"/>
            </w:tcBorders>
          </w:tcPr>
          <w:p w:rsidR="003F5784" w14:paraId="092B984E" w14:textId="77777777">
            <w:pPr>
              <w:pStyle w:val="TableParagraph"/>
              <w:ind w:right="738"/>
              <w:rPr>
                <w:sz w:val="21"/>
              </w:rPr>
            </w:pPr>
            <w:r>
              <w:rPr>
                <w:spacing w:val="-5"/>
                <w:sz w:val="21"/>
              </w:rPr>
              <w:t>50</w:t>
            </w:r>
          </w:p>
        </w:tc>
        <w:tc>
          <w:tcPr>
            <w:tcW w:w="1710" w:type="dxa"/>
            <w:tcBorders>
              <w:bottom w:val="single" w:sz="12" w:space="0" w:color="800000"/>
            </w:tcBorders>
          </w:tcPr>
          <w:p w:rsidR="003F5784" w14:paraId="687EA5A0" w14:textId="77777777">
            <w:pPr>
              <w:pStyle w:val="TableParagraph"/>
              <w:ind w:left="159" w:right="112"/>
              <w:jc w:val="center"/>
              <w:rPr>
                <w:sz w:val="21"/>
              </w:rPr>
            </w:pPr>
            <w:r>
              <w:rPr>
                <w:spacing w:val="-2"/>
                <w:sz w:val="21"/>
              </w:rPr>
              <w:t>100.00</w:t>
            </w:r>
          </w:p>
        </w:tc>
        <w:tc>
          <w:tcPr>
            <w:tcW w:w="1980" w:type="dxa"/>
            <w:gridSpan w:val="2"/>
            <w:tcBorders>
              <w:bottom w:val="single" w:sz="12" w:space="0" w:color="800000"/>
            </w:tcBorders>
          </w:tcPr>
          <w:p w:rsidR="003F5784" w14:paraId="5DA4DB4B" w14:textId="77777777">
            <w:pPr>
              <w:pStyle w:val="TableParagraph"/>
              <w:ind w:right="386"/>
              <w:rPr>
                <w:sz w:val="21"/>
              </w:rPr>
            </w:pPr>
            <w:r>
              <w:rPr>
                <w:spacing w:val="-2"/>
                <w:sz w:val="21"/>
              </w:rPr>
              <w:t>100.00</w:t>
            </w:r>
          </w:p>
        </w:tc>
        <w:tc>
          <w:tcPr>
            <w:tcW w:w="1530" w:type="dxa"/>
            <w:gridSpan w:val="3"/>
            <w:tcBorders>
              <w:bottom w:val="single" w:sz="12" w:space="0" w:color="800000"/>
            </w:tcBorders>
          </w:tcPr>
          <w:p w:rsidR="003F5784" w14:paraId="187DA2DE" w14:textId="77777777">
            <w:pPr>
              <w:pStyle w:val="TableParagraph"/>
              <w:ind w:right="462"/>
              <w:rPr>
                <w:sz w:val="21"/>
              </w:rPr>
            </w:pPr>
            <w:r>
              <w:rPr>
                <w:spacing w:val="-2"/>
                <w:sz w:val="21"/>
              </w:rPr>
              <w:t>1,200</w:t>
            </w:r>
          </w:p>
        </w:tc>
        <w:tc>
          <w:tcPr>
            <w:tcW w:w="1170" w:type="dxa"/>
            <w:tcBorders>
              <w:bottom w:val="single" w:sz="12" w:space="0" w:color="800000"/>
            </w:tcBorders>
          </w:tcPr>
          <w:p w:rsidR="003F5784" w14:paraId="26DDD13A" w14:textId="77777777">
            <w:pPr>
              <w:pStyle w:val="TableParagraph"/>
              <w:ind w:left="463"/>
              <w:jc w:val="left"/>
              <w:rPr>
                <w:sz w:val="21"/>
              </w:rPr>
            </w:pPr>
            <w:r>
              <w:rPr>
                <w:spacing w:val="-4"/>
                <w:sz w:val="21"/>
              </w:rPr>
              <w:t>5.69</w:t>
            </w:r>
          </w:p>
        </w:tc>
        <w:tc>
          <w:tcPr>
            <w:tcW w:w="1800" w:type="dxa"/>
            <w:gridSpan w:val="3"/>
            <w:tcBorders>
              <w:bottom w:val="single" w:sz="12" w:space="0" w:color="800000"/>
            </w:tcBorders>
          </w:tcPr>
          <w:p w:rsidR="003F5784" w14:paraId="26B068DA" w14:textId="77777777">
            <w:pPr>
              <w:pStyle w:val="TableParagraph"/>
              <w:ind w:right="22"/>
              <w:jc w:val="center"/>
              <w:rPr>
                <w:sz w:val="21"/>
              </w:rPr>
            </w:pPr>
            <w:r>
              <w:rPr>
                <w:spacing w:val="-2"/>
                <w:sz w:val="21"/>
              </w:rPr>
              <w:t>88.64</w:t>
            </w:r>
          </w:p>
        </w:tc>
        <w:tc>
          <w:tcPr>
            <w:tcW w:w="1757" w:type="dxa"/>
            <w:gridSpan w:val="2"/>
            <w:tcBorders>
              <w:bottom w:val="single" w:sz="12" w:space="0" w:color="800000"/>
            </w:tcBorders>
          </w:tcPr>
          <w:p w:rsidR="003F5784" w14:paraId="58B3314F" w14:textId="77777777">
            <w:pPr>
              <w:pStyle w:val="TableParagraph"/>
              <w:ind w:right="118"/>
              <w:rPr>
                <w:sz w:val="21"/>
              </w:rPr>
            </w:pPr>
            <w:r>
              <w:rPr>
                <w:spacing w:val="-2"/>
                <w:sz w:val="21"/>
              </w:rPr>
              <w:t>26.20</w:t>
            </w:r>
          </w:p>
        </w:tc>
      </w:tr>
      <w:tr w14:paraId="3F8436FF" w14:textId="77777777" w:rsidTr="008C4D83">
        <w:tblPrEx>
          <w:tblW w:w="0" w:type="auto"/>
          <w:tblInd w:w="552" w:type="dxa"/>
          <w:tblLayout w:type="fixed"/>
          <w:tblCellMar>
            <w:left w:w="0" w:type="dxa"/>
            <w:right w:w="0" w:type="dxa"/>
          </w:tblCellMar>
          <w:tblLook w:val="01E0"/>
        </w:tblPrEx>
        <w:trPr>
          <w:trHeight w:val="266"/>
        </w:trPr>
        <w:tc>
          <w:tcPr>
            <w:tcW w:w="3038" w:type="dxa"/>
            <w:tcBorders>
              <w:top w:val="single" w:sz="12" w:space="0" w:color="800000"/>
            </w:tcBorders>
          </w:tcPr>
          <w:p w:rsidR="003F5784" w14:paraId="1F6DA266" w14:textId="77777777">
            <w:pPr>
              <w:pStyle w:val="TableParagraph"/>
              <w:spacing w:before="0" w:line="239" w:lineRule="exact"/>
              <w:ind w:left="381"/>
              <w:jc w:val="left"/>
              <w:rPr>
                <w:sz w:val="21"/>
              </w:rPr>
            </w:pPr>
            <w:r>
              <w:rPr>
                <w:sz w:val="21"/>
              </w:rPr>
              <w:t>National</w:t>
            </w:r>
            <w:r>
              <w:rPr>
                <w:spacing w:val="-9"/>
                <w:sz w:val="21"/>
              </w:rPr>
              <w:t xml:space="preserve"> </w:t>
            </w:r>
            <w:r>
              <w:rPr>
                <w:spacing w:val="-2"/>
                <w:sz w:val="21"/>
              </w:rPr>
              <w:t>private</w:t>
            </w:r>
          </w:p>
        </w:tc>
        <w:tc>
          <w:tcPr>
            <w:tcW w:w="1270" w:type="dxa"/>
            <w:tcBorders>
              <w:top w:val="single" w:sz="12" w:space="0" w:color="800000"/>
            </w:tcBorders>
          </w:tcPr>
          <w:p w:rsidR="003F5784" w14:paraId="4BFBD9D4" w14:textId="77777777">
            <w:pPr>
              <w:pStyle w:val="TableParagraph"/>
              <w:spacing w:before="0" w:line="239" w:lineRule="exact"/>
              <w:ind w:right="738"/>
              <w:rPr>
                <w:sz w:val="21"/>
              </w:rPr>
            </w:pPr>
            <w:r>
              <w:rPr>
                <w:spacing w:val="-5"/>
                <w:sz w:val="21"/>
              </w:rPr>
              <w:t>390</w:t>
            </w:r>
          </w:p>
        </w:tc>
        <w:tc>
          <w:tcPr>
            <w:tcW w:w="1710" w:type="dxa"/>
            <w:tcBorders>
              <w:top w:val="single" w:sz="12" w:space="0" w:color="800000"/>
            </w:tcBorders>
          </w:tcPr>
          <w:p w:rsidR="003F5784" w14:paraId="17E06B64" w14:textId="77777777">
            <w:pPr>
              <w:pStyle w:val="TableParagraph"/>
              <w:spacing w:before="0" w:line="239" w:lineRule="exact"/>
              <w:ind w:left="159" w:right="8"/>
              <w:jc w:val="center"/>
              <w:rPr>
                <w:sz w:val="21"/>
              </w:rPr>
            </w:pPr>
            <w:r>
              <w:rPr>
                <w:spacing w:val="-2"/>
                <w:sz w:val="21"/>
              </w:rPr>
              <w:t>37.50</w:t>
            </w:r>
          </w:p>
        </w:tc>
        <w:tc>
          <w:tcPr>
            <w:tcW w:w="1980" w:type="dxa"/>
            <w:gridSpan w:val="2"/>
            <w:tcBorders>
              <w:top w:val="single" w:sz="12" w:space="0" w:color="800000"/>
            </w:tcBorders>
          </w:tcPr>
          <w:p w:rsidR="003F5784" w14:paraId="178498D9" w14:textId="77777777">
            <w:pPr>
              <w:pStyle w:val="TableParagraph"/>
              <w:spacing w:before="0" w:line="239" w:lineRule="exact"/>
              <w:ind w:right="386"/>
              <w:rPr>
                <w:sz w:val="21"/>
              </w:rPr>
            </w:pPr>
            <w:r>
              <w:rPr>
                <w:spacing w:val="-2"/>
                <w:sz w:val="21"/>
              </w:rPr>
              <w:t>33.92</w:t>
            </w:r>
          </w:p>
        </w:tc>
        <w:tc>
          <w:tcPr>
            <w:tcW w:w="1530" w:type="dxa"/>
            <w:gridSpan w:val="3"/>
            <w:tcBorders>
              <w:top w:val="single" w:sz="12" w:space="0" w:color="800000"/>
            </w:tcBorders>
          </w:tcPr>
          <w:p w:rsidR="003F5784" w14:paraId="54E8752D" w14:textId="77777777">
            <w:pPr>
              <w:pStyle w:val="TableParagraph"/>
              <w:spacing w:before="0" w:line="239" w:lineRule="exact"/>
              <w:ind w:right="462"/>
              <w:rPr>
                <w:sz w:val="21"/>
              </w:rPr>
            </w:pPr>
            <w:r>
              <w:rPr>
                <w:spacing w:val="-2"/>
                <w:sz w:val="21"/>
              </w:rPr>
              <w:t>1,600</w:t>
            </w:r>
          </w:p>
        </w:tc>
        <w:tc>
          <w:tcPr>
            <w:tcW w:w="1170" w:type="dxa"/>
            <w:tcBorders>
              <w:top w:val="single" w:sz="12" w:space="0" w:color="800000"/>
            </w:tcBorders>
          </w:tcPr>
          <w:p w:rsidR="003F5784" w14:paraId="74E42FF6" w14:textId="77777777">
            <w:pPr>
              <w:pStyle w:val="TableParagraph"/>
              <w:spacing w:before="0" w:line="239" w:lineRule="exact"/>
              <w:ind w:left="463"/>
              <w:jc w:val="left"/>
              <w:rPr>
                <w:sz w:val="21"/>
              </w:rPr>
            </w:pPr>
            <w:r>
              <w:rPr>
                <w:spacing w:val="-4"/>
                <w:sz w:val="21"/>
              </w:rPr>
              <w:t>0.25</w:t>
            </w:r>
          </w:p>
        </w:tc>
        <w:tc>
          <w:tcPr>
            <w:tcW w:w="1800" w:type="dxa"/>
            <w:gridSpan w:val="3"/>
            <w:tcBorders>
              <w:top w:val="single" w:sz="12" w:space="0" w:color="800000"/>
            </w:tcBorders>
          </w:tcPr>
          <w:p w:rsidR="003F5784" w14:paraId="7110F0CB" w14:textId="77777777">
            <w:pPr>
              <w:pStyle w:val="TableParagraph"/>
              <w:spacing w:before="0" w:line="239" w:lineRule="exact"/>
              <w:ind w:right="22"/>
              <w:jc w:val="center"/>
              <w:rPr>
                <w:sz w:val="21"/>
              </w:rPr>
            </w:pPr>
            <w:r>
              <w:rPr>
                <w:spacing w:val="-2"/>
                <w:sz w:val="21"/>
              </w:rPr>
              <w:t>94.12</w:t>
            </w:r>
          </w:p>
        </w:tc>
        <w:tc>
          <w:tcPr>
            <w:tcW w:w="1757" w:type="dxa"/>
            <w:gridSpan w:val="2"/>
            <w:tcBorders>
              <w:top w:val="single" w:sz="12" w:space="0" w:color="800000"/>
            </w:tcBorders>
          </w:tcPr>
          <w:p w:rsidR="003F5784" w14:paraId="31F28279" w14:textId="77777777">
            <w:pPr>
              <w:pStyle w:val="TableParagraph"/>
              <w:spacing w:before="0" w:line="239" w:lineRule="exact"/>
              <w:ind w:right="118"/>
              <w:rPr>
                <w:sz w:val="21"/>
              </w:rPr>
            </w:pPr>
            <w:r>
              <w:rPr>
                <w:spacing w:val="-4"/>
                <w:sz w:val="21"/>
              </w:rPr>
              <w:t>5.49</w:t>
            </w:r>
          </w:p>
        </w:tc>
      </w:tr>
      <w:tr w14:paraId="0AC23823" w14:textId="77777777" w:rsidTr="008C4D83">
        <w:tblPrEx>
          <w:tblW w:w="0" w:type="auto"/>
          <w:tblInd w:w="552" w:type="dxa"/>
          <w:tblLayout w:type="fixed"/>
          <w:tblCellMar>
            <w:left w:w="0" w:type="dxa"/>
            <w:right w:w="0" w:type="dxa"/>
          </w:tblCellMar>
          <w:tblLook w:val="01E0"/>
        </w:tblPrEx>
        <w:trPr>
          <w:trHeight w:val="286"/>
        </w:trPr>
        <w:tc>
          <w:tcPr>
            <w:tcW w:w="3038" w:type="dxa"/>
          </w:tcPr>
          <w:p w:rsidR="003F5784" w14:paraId="4E3EA2B6" w14:textId="77777777">
            <w:pPr>
              <w:pStyle w:val="TableParagraph"/>
              <w:ind w:left="120"/>
              <w:jc w:val="left"/>
              <w:rPr>
                <w:sz w:val="21"/>
              </w:rPr>
            </w:pPr>
            <w:r>
              <w:rPr>
                <w:spacing w:val="-2"/>
                <w:sz w:val="21"/>
              </w:rPr>
              <w:t>Catholic</w:t>
            </w:r>
          </w:p>
        </w:tc>
        <w:tc>
          <w:tcPr>
            <w:tcW w:w="1270" w:type="dxa"/>
          </w:tcPr>
          <w:p w:rsidR="003F5784" w14:paraId="53F5044C" w14:textId="77777777">
            <w:pPr>
              <w:pStyle w:val="TableParagraph"/>
              <w:ind w:right="738"/>
              <w:rPr>
                <w:sz w:val="21"/>
              </w:rPr>
            </w:pPr>
            <w:r>
              <w:rPr>
                <w:spacing w:val="-5"/>
                <w:sz w:val="21"/>
              </w:rPr>
              <w:t>120</w:t>
            </w:r>
          </w:p>
        </w:tc>
        <w:tc>
          <w:tcPr>
            <w:tcW w:w="1710" w:type="dxa"/>
          </w:tcPr>
          <w:p w:rsidR="003F5784" w14:paraId="79B2ABD3" w14:textId="77777777">
            <w:pPr>
              <w:pStyle w:val="TableParagraph"/>
              <w:ind w:left="159" w:right="8"/>
              <w:jc w:val="center"/>
              <w:rPr>
                <w:sz w:val="21"/>
              </w:rPr>
            </w:pPr>
            <w:r>
              <w:rPr>
                <w:spacing w:val="-2"/>
                <w:sz w:val="21"/>
              </w:rPr>
              <w:t>66.61</w:t>
            </w:r>
          </w:p>
        </w:tc>
        <w:tc>
          <w:tcPr>
            <w:tcW w:w="1980" w:type="dxa"/>
            <w:gridSpan w:val="2"/>
          </w:tcPr>
          <w:p w:rsidR="003F5784" w14:paraId="5676C426" w14:textId="77777777">
            <w:pPr>
              <w:pStyle w:val="TableParagraph"/>
              <w:ind w:right="386"/>
              <w:rPr>
                <w:sz w:val="21"/>
              </w:rPr>
            </w:pPr>
            <w:r>
              <w:rPr>
                <w:spacing w:val="-2"/>
                <w:sz w:val="21"/>
              </w:rPr>
              <w:t>68.59</w:t>
            </w:r>
          </w:p>
        </w:tc>
        <w:tc>
          <w:tcPr>
            <w:tcW w:w="1530" w:type="dxa"/>
            <w:gridSpan w:val="3"/>
          </w:tcPr>
          <w:p w:rsidR="003F5784" w14:paraId="254FC172" w14:textId="77777777">
            <w:pPr>
              <w:pStyle w:val="TableParagraph"/>
              <w:ind w:right="462"/>
              <w:rPr>
                <w:sz w:val="21"/>
              </w:rPr>
            </w:pPr>
            <w:r>
              <w:rPr>
                <w:spacing w:val="-2"/>
                <w:sz w:val="21"/>
              </w:rPr>
              <w:t>1,000</w:t>
            </w:r>
          </w:p>
        </w:tc>
        <w:tc>
          <w:tcPr>
            <w:tcW w:w="1170" w:type="dxa"/>
          </w:tcPr>
          <w:p w:rsidR="003F5784" w14:paraId="7FBCEB82" w14:textId="77777777">
            <w:pPr>
              <w:pStyle w:val="TableParagraph"/>
              <w:ind w:left="463"/>
              <w:jc w:val="left"/>
              <w:rPr>
                <w:sz w:val="21"/>
              </w:rPr>
            </w:pPr>
            <w:r>
              <w:rPr>
                <w:spacing w:val="-4"/>
                <w:sz w:val="21"/>
              </w:rPr>
              <w:t>0.38</w:t>
            </w:r>
          </w:p>
        </w:tc>
        <w:tc>
          <w:tcPr>
            <w:tcW w:w="1800" w:type="dxa"/>
            <w:gridSpan w:val="3"/>
          </w:tcPr>
          <w:p w:rsidR="003F5784" w14:paraId="0DA3C3CE" w14:textId="77777777">
            <w:pPr>
              <w:pStyle w:val="TableParagraph"/>
              <w:ind w:right="22"/>
              <w:jc w:val="center"/>
              <w:rPr>
                <w:sz w:val="21"/>
              </w:rPr>
            </w:pPr>
            <w:r>
              <w:rPr>
                <w:spacing w:val="-2"/>
                <w:sz w:val="21"/>
              </w:rPr>
              <w:t>95.19</w:t>
            </w:r>
          </w:p>
        </w:tc>
        <w:tc>
          <w:tcPr>
            <w:tcW w:w="1757" w:type="dxa"/>
            <w:gridSpan w:val="2"/>
          </w:tcPr>
          <w:p w:rsidR="003F5784" w14:paraId="5E9B66C3" w14:textId="77777777">
            <w:pPr>
              <w:pStyle w:val="TableParagraph"/>
              <w:ind w:right="118"/>
              <w:rPr>
                <w:sz w:val="21"/>
              </w:rPr>
            </w:pPr>
            <w:r>
              <w:rPr>
                <w:spacing w:val="-4"/>
                <w:sz w:val="21"/>
              </w:rPr>
              <w:t>6.15</w:t>
            </w:r>
          </w:p>
        </w:tc>
      </w:tr>
      <w:tr w14:paraId="32069A71" w14:textId="77777777" w:rsidTr="008C4D83">
        <w:tblPrEx>
          <w:tblW w:w="0" w:type="auto"/>
          <w:tblInd w:w="552" w:type="dxa"/>
          <w:tblLayout w:type="fixed"/>
          <w:tblCellMar>
            <w:left w:w="0" w:type="dxa"/>
            <w:right w:w="0" w:type="dxa"/>
          </w:tblCellMar>
          <w:tblLook w:val="01E0"/>
        </w:tblPrEx>
        <w:trPr>
          <w:trHeight w:val="290"/>
        </w:trPr>
        <w:tc>
          <w:tcPr>
            <w:tcW w:w="3038" w:type="dxa"/>
            <w:tcBorders>
              <w:bottom w:val="single" w:sz="12" w:space="0" w:color="800000"/>
            </w:tcBorders>
          </w:tcPr>
          <w:p w:rsidR="003F5784" w14:paraId="57F03C67" w14:textId="77777777">
            <w:pPr>
              <w:pStyle w:val="TableParagraph"/>
              <w:ind w:left="120"/>
              <w:jc w:val="left"/>
              <w:rPr>
                <w:sz w:val="21"/>
              </w:rPr>
            </w:pPr>
            <w:r>
              <w:rPr>
                <w:spacing w:val="-2"/>
                <w:sz w:val="21"/>
              </w:rPr>
              <w:t>Non-Catholic</w:t>
            </w:r>
          </w:p>
        </w:tc>
        <w:tc>
          <w:tcPr>
            <w:tcW w:w="1270" w:type="dxa"/>
            <w:tcBorders>
              <w:bottom w:val="single" w:sz="12" w:space="0" w:color="800000"/>
            </w:tcBorders>
          </w:tcPr>
          <w:p w:rsidR="003F5784" w14:paraId="364A2345" w14:textId="77777777">
            <w:pPr>
              <w:pStyle w:val="TableParagraph"/>
              <w:ind w:right="738"/>
              <w:rPr>
                <w:sz w:val="21"/>
              </w:rPr>
            </w:pPr>
            <w:r>
              <w:rPr>
                <w:spacing w:val="-5"/>
                <w:sz w:val="21"/>
              </w:rPr>
              <w:t>270</w:t>
            </w:r>
          </w:p>
        </w:tc>
        <w:tc>
          <w:tcPr>
            <w:tcW w:w="1710" w:type="dxa"/>
            <w:tcBorders>
              <w:bottom w:val="single" w:sz="12" w:space="0" w:color="800000"/>
            </w:tcBorders>
          </w:tcPr>
          <w:p w:rsidR="003F5784" w14:paraId="5537DE77" w14:textId="77777777">
            <w:pPr>
              <w:pStyle w:val="TableParagraph"/>
              <w:ind w:left="159" w:right="8"/>
              <w:jc w:val="center"/>
              <w:rPr>
                <w:sz w:val="21"/>
              </w:rPr>
            </w:pPr>
            <w:r>
              <w:rPr>
                <w:spacing w:val="-2"/>
                <w:sz w:val="21"/>
              </w:rPr>
              <w:t>20.01</w:t>
            </w:r>
          </w:p>
        </w:tc>
        <w:tc>
          <w:tcPr>
            <w:tcW w:w="1980" w:type="dxa"/>
            <w:gridSpan w:val="2"/>
            <w:tcBorders>
              <w:bottom w:val="single" w:sz="12" w:space="0" w:color="800000"/>
            </w:tcBorders>
          </w:tcPr>
          <w:p w:rsidR="003F5784" w14:paraId="5B5E513F" w14:textId="77777777">
            <w:pPr>
              <w:pStyle w:val="TableParagraph"/>
              <w:ind w:right="386"/>
              <w:rPr>
                <w:sz w:val="21"/>
              </w:rPr>
            </w:pPr>
            <w:r>
              <w:rPr>
                <w:spacing w:val="-2"/>
                <w:sz w:val="21"/>
              </w:rPr>
              <w:t>20.37</w:t>
            </w:r>
          </w:p>
        </w:tc>
        <w:tc>
          <w:tcPr>
            <w:tcW w:w="1530" w:type="dxa"/>
            <w:gridSpan w:val="3"/>
            <w:tcBorders>
              <w:bottom w:val="single" w:sz="12" w:space="0" w:color="800000"/>
            </w:tcBorders>
          </w:tcPr>
          <w:p w:rsidR="003F5784" w14:paraId="4C5FCBCE" w14:textId="77777777">
            <w:pPr>
              <w:pStyle w:val="TableParagraph"/>
              <w:ind w:right="462"/>
              <w:rPr>
                <w:sz w:val="21"/>
              </w:rPr>
            </w:pPr>
            <w:r>
              <w:rPr>
                <w:spacing w:val="-5"/>
                <w:sz w:val="21"/>
              </w:rPr>
              <w:t>600</w:t>
            </w:r>
          </w:p>
        </w:tc>
        <w:tc>
          <w:tcPr>
            <w:tcW w:w="1170" w:type="dxa"/>
            <w:tcBorders>
              <w:bottom w:val="single" w:sz="12" w:space="0" w:color="800000"/>
            </w:tcBorders>
          </w:tcPr>
          <w:p w:rsidR="003F5784" w14:paraId="121A8996" w14:textId="77777777">
            <w:pPr>
              <w:pStyle w:val="TableParagraph"/>
              <w:ind w:left="463"/>
              <w:jc w:val="left"/>
              <w:rPr>
                <w:sz w:val="21"/>
              </w:rPr>
            </w:pPr>
            <w:r>
              <w:rPr>
                <w:spacing w:val="-4"/>
                <w:sz w:val="21"/>
              </w:rPr>
              <w:t>0.17</w:t>
            </w:r>
          </w:p>
        </w:tc>
        <w:tc>
          <w:tcPr>
            <w:tcW w:w="1800" w:type="dxa"/>
            <w:gridSpan w:val="3"/>
            <w:tcBorders>
              <w:bottom w:val="single" w:sz="12" w:space="0" w:color="800000"/>
            </w:tcBorders>
          </w:tcPr>
          <w:p w:rsidR="003F5784" w14:paraId="1F1CFA9D" w14:textId="77777777">
            <w:pPr>
              <w:pStyle w:val="TableParagraph"/>
              <w:ind w:right="22"/>
              <w:jc w:val="center"/>
              <w:rPr>
                <w:sz w:val="21"/>
              </w:rPr>
            </w:pPr>
            <w:r>
              <w:rPr>
                <w:spacing w:val="-2"/>
                <w:sz w:val="21"/>
              </w:rPr>
              <w:t>92.19</w:t>
            </w:r>
          </w:p>
        </w:tc>
        <w:tc>
          <w:tcPr>
            <w:tcW w:w="1757" w:type="dxa"/>
            <w:gridSpan w:val="2"/>
            <w:tcBorders>
              <w:bottom w:val="single" w:sz="12" w:space="0" w:color="800000"/>
            </w:tcBorders>
          </w:tcPr>
          <w:p w:rsidR="003F5784" w14:paraId="35C71893" w14:textId="77777777">
            <w:pPr>
              <w:pStyle w:val="TableParagraph"/>
              <w:ind w:right="118"/>
              <w:rPr>
                <w:sz w:val="21"/>
              </w:rPr>
            </w:pPr>
            <w:r>
              <w:rPr>
                <w:spacing w:val="-4"/>
                <w:sz w:val="21"/>
              </w:rPr>
              <w:t>5.09</w:t>
            </w:r>
          </w:p>
        </w:tc>
      </w:tr>
      <w:tr w14:paraId="6BCE42CD" w14:textId="77777777" w:rsidTr="00A550C9">
        <w:tblPrEx>
          <w:tblW w:w="0" w:type="auto"/>
          <w:tblInd w:w="552" w:type="dxa"/>
          <w:tblLayout w:type="fixed"/>
          <w:tblCellMar>
            <w:left w:w="0" w:type="dxa"/>
            <w:right w:w="0" w:type="dxa"/>
          </w:tblCellMar>
          <w:tblLook w:val="01E0"/>
        </w:tblPrEx>
        <w:trPr>
          <w:trHeight w:val="266"/>
        </w:trPr>
        <w:tc>
          <w:tcPr>
            <w:tcW w:w="14255" w:type="dxa"/>
            <w:gridSpan w:val="14"/>
            <w:tcBorders>
              <w:top w:val="single" w:sz="12" w:space="0" w:color="800000"/>
            </w:tcBorders>
          </w:tcPr>
          <w:p w:rsidR="003F5784" w14:paraId="425FAF20" w14:textId="77777777">
            <w:pPr>
              <w:pStyle w:val="TableParagraph"/>
              <w:spacing w:before="0" w:line="239" w:lineRule="exact"/>
              <w:ind w:left="381"/>
              <w:jc w:val="left"/>
              <w:rPr>
                <w:sz w:val="21"/>
              </w:rPr>
            </w:pPr>
            <w:r>
              <w:rPr>
                <w:sz w:val="21"/>
              </w:rPr>
              <w:t>Other</w:t>
            </w:r>
            <w:r>
              <w:rPr>
                <w:spacing w:val="-6"/>
                <w:sz w:val="21"/>
              </w:rPr>
              <w:t xml:space="preserve"> </w:t>
            </w:r>
            <w:r>
              <w:rPr>
                <w:spacing w:val="-2"/>
                <w:sz w:val="21"/>
              </w:rPr>
              <w:t>jurisdictions</w:t>
            </w:r>
          </w:p>
        </w:tc>
      </w:tr>
      <w:tr w14:paraId="63D09FC1" w14:textId="77777777" w:rsidTr="008C4D83">
        <w:tblPrEx>
          <w:tblW w:w="0" w:type="auto"/>
          <w:tblInd w:w="552" w:type="dxa"/>
          <w:tblLayout w:type="fixed"/>
          <w:tblCellMar>
            <w:left w:w="0" w:type="dxa"/>
            <w:right w:w="0" w:type="dxa"/>
          </w:tblCellMar>
          <w:tblLook w:val="01E0"/>
        </w:tblPrEx>
        <w:trPr>
          <w:trHeight w:val="341"/>
        </w:trPr>
        <w:tc>
          <w:tcPr>
            <w:tcW w:w="3038" w:type="dxa"/>
            <w:tcBorders>
              <w:bottom w:val="single" w:sz="18" w:space="0" w:color="800000"/>
            </w:tcBorders>
          </w:tcPr>
          <w:p w:rsidR="003F5784" w14:paraId="62E5AD0E" w14:textId="77777777">
            <w:pPr>
              <w:pStyle w:val="TableParagraph"/>
              <w:spacing w:before="31"/>
              <w:ind w:left="120"/>
              <w:jc w:val="left"/>
              <w:rPr>
                <w:b/>
                <w:sz w:val="17"/>
              </w:rPr>
            </w:pPr>
            <w:r>
              <w:rPr>
                <w:spacing w:val="-2"/>
                <w:sz w:val="21"/>
              </w:rPr>
              <w:t>DoDEA</w:t>
            </w:r>
            <w:r>
              <w:rPr>
                <w:b/>
                <w:spacing w:val="-2"/>
                <w:position w:val="8"/>
                <w:sz w:val="17"/>
              </w:rPr>
              <w:t>2</w:t>
            </w:r>
          </w:p>
        </w:tc>
        <w:tc>
          <w:tcPr>
            <w:tcW w:w="1270" w:type="dxa"/>
            <w:tcBorders>
              <w:bottom w:val="single" w:sz="18" w:space="0" w:color="800000"/>
            </w:tcBorders>
          </w:tcPr>
          <w:p w:rsidR="003F5784" w14:paraId="202CD239" w14:textId="77777777">
            <w:pPr>
              <w:pStyle w:val="TableParagraph"/>
              <w:ind w:right="738"/>
              <w:rPr>
                <w:sz w:val="21"/>
              </w:rPr>
            </w:pPr>
            <w:r>
              <w:rPr>
                <w:spacing w:val="-5"/>
                <w:sz w:val="21"/>
              </w:rPr>
              <w:t>100</w:t>
            </w:r>
          </w:p>
        </w:tc>
        <w:tc>
          <w:tcPr>
            <w:tcW w:w="1710" w:type="dxa"/>
            <w:tcBorders>
              <w:bottom w:val="single" w:sz="18" w:space="0" w:color="800000"/>
            </w:tcBorders>
          </w:tcPr>
          <w:p w:rsidR="003F5784" w14:paraId="728989E7" w14:textId="77777777">
            <w:pPr>
              <w:pStyle w:val="TableParagraph"/>
              <w:ind w:left="159" w:right="8"/>
              <w:jc w:val="center"/>
              <w:rPr>
                <w:sz w:val="21"/>
              </w:rPr>
            </w:pPr>
            <w:r>
              <w:rPr>
                <w:spacing w:val="-2"/>
                <w:sz w:val="21"/>
              </w:rPr>
              <w:t>94.55</w:t>
            </w:r>
          </w:p>
        </w:tc>
        <w:tc>
          <w:tcPr>
            <w:tcW w:w="1980" w:type="dxa"/>
            <w:gridSpan w:val="2"/>
            <w:tcBorders>
              <w:bottom w:val="single" w:sz="18" w:space="0" w:color="800000"/>
            </w:tcBorders>
          </w:tcPr>
          <w:p w:rsidR="003F5784" w14:paraId="217C61C6" w14:textId="77777777">
            <w:pPr>
              <w:pStyle w:val="TableParagraph"/>
              <w:ind w:right="386"/>
              <w:rPr>
                <w:sz w:val="21"/>
              </w:rPr>
            </w:pPr>
            <w:r>
              <w:rPr>
                <w:spacing w:val="-2"/>
                <w:sz w:val="21"/>
              </w:rPr>
              <w:t>92.13</w:t>
            </w:r>
          </w:p>
        </w:tc>
        <w:tc>
          <w:tcPr>
            <w:tcW w:w="1530" w:type="dxa"/>
            <w:gridSpan w:val="3"/>
            <w:tcBorders>
              <w:bottom w:val="single" w:sz="18" w:space="0" w:color="800000"/>
            </w:tcBorders>
          </w:tcPr>
          <w:p w:rsidR="003F5784" w14:paraId="3BBFB056" w14:textId="77777777">
            <w:pPr>
              <w:pStyle w:val="TableParagraph"/>
              <w:ind w:right="462"/>
              <w:rPr>
                <w:sz w:val="21"/>
              </w:rPr>
            </w:pPr>
            <w:r>
              <w:rPr>
                <w:spacing w:val="-2"/>
                <w:sz w:val="21"/>
              </w:rPr>
              <w:t>2,900</w:t>
            </w:r>
          </w:p>
        </w:tc>
        <w:tc>
          <w:tcPr>
            <w:tcW w:w="1170" w:type="dxa"/>
            <w:tcBorders>
              <w:bottom w:val="single" w:sz="18" w:space="0" w:color="800000"/>
            </w:tcBorders>
          </w:tcPr>
          <w:p w:rsidR="003F5784" w14:paraId="43DCB10D" w14:textId="77777777">
            <w:pPr>
              <w:pStyle w:val="TableParagraph"/>
              <w:ind w:left="463"/>
              <w:jc w:val="left"/>
              <w:rPr>
                <w:sz w:val="21"/>
              </w:rPr>
            </w:pPr>
            <w:r>
              <w:rPr>
                <w:spacing w:val="-4"/>
                <w:sz w:val="21"/>
              </w:rPr>
              <w:t>1.72</w:t>
            </w:r>
          </w:p>
        </w:tc>
        <w:tc>
          <w:tcPr>
            <w:tcW w:w="1800" w:type="dxa"/>
            <w:gridSpan w:val="3"/>
            <w:tcBorders>
              <w:bottom w:val="single" w:sz="18" w:space="0" w:color="800000"/>
            </w:tcBorders>
          </w:tcPr>
          <w:p w:rsidR="003F5784" w14:paraId="04812973" w14:textId="77777777">
            <w:pPr>
              <w:pStyle w:val="TableParagraph"/>
              <w:ind w:right="22"/>
              <w:jc w:val="center"/>
              <w:rPr>
                <w:sz w:val="21"/>
              </w:rPr>
            </w:pPr>
            <w:r>
              <w:rPr>
                <w:spacing w:val="-2"/>
                <w:sz w:val="21"/>
              </w:rPr>
              <w:t>89.71</w:t>
            </w:r>
          </w:p>
        </w:tc>
        <w:tc>
          <w:tcPr>
            <w:tcW w:w="1757" w:type="dxa"/>
            <w:gridSpan w:val="2"/>
            <w:tcBorders>
              <w:bottom w:val="single" w:sz="18" w:space="0" w:color="800000"/>
            </w:tcBorders>
          </w:tcPr>
          <w:p w:rsidR="003F5784" w14:paraId="6A1FDF91" w14:textId="77777777">
            <w:pPr>
              <w:pStyle w:val="TableParagraph"/>
              <w:ind w:right="118"/>
              <w:rPr>
                <w:sz w:val="21"/>
              </w:rPr>
            </w:pPr>
            <w:r>
              <w:rPr>
                <w:spacing w:val="-2"/>
                <w:sz w:val="21"/>
              </w:rPr>
              <w:t>17.96</w:t>
            </w:r>
          </w:p>
        </w:tc>
      </w:tr>
    </w:tbl>
    <w:p w:rsidR="003F5784" w14:paraId="558DA666" w14:textId="77777777">
      <w:pPr>
        <w:pStyle w:val="BodyText"/>
        <w:spacing w:before="33"/>
        <w:ind w:left="595"/>
      </w:pPr>
      <w:r>
        <w:rPr>
          <w:position w:val="9"/>
          <w:sz w:val="17"/>
        </w:rPr>
        <w:t>1</w:t>
      </w:r>
      <w:r>
        <w:t>1</w:t>
      </w:r>
      <w:r>
        <w:rPr>
          <w:position w:val="9"/>
          <w:sz w:val="17"/>
        </w:rPr>
        <w:t>1</w:t>
      </w:r>
      <w:r>
        <w:rPr>
          <w:spacing w:val="1"/>
          <w:position w:val="9"/>
          <w:sz w:val="17"/>
        </w:rPr>
        <w:t xml:space="preserve"> </w:t>
      </w:r>
      <w:r>
        <w:rPr>
          <w:position w:val="1"/>
        </w:rPr>
        <w:t>Includes</w:t>
      </w:r>
      <w:r>
        <w:rPr>
          <w:spacing w:val="-6"/>
          <w:position w:val="1"/>
        </w:rPr>
        <w:t xml:space="preserve"> </w:t>
      </w:r>
      <w:r>
        <w:rPr>
          <w:position w:val="1"/>
        </w:rPr>
        <w:t>national</w:t>
      </w:r>
      <w:r>
        <w:rPr>
          <w:spacing w:val="-6"/>
          <w:position w:val="1"/>
        </w:rPr>
        <w:t xml:space="preserve"> </w:t>
      </w:r>
      <w:r>
        <w:rPr>
          <w:position w:val="1"/>
        </w:rPr>
        <w:t>public</w:t>
      </w:r>
      <w:r>
        <w:rPr>
          <w:spacing w:val="-6"/>
          <w:position w:val="1"/>
        </w:rPr>
        <w:t xml:space="preserve"> </w:t>
      </w:r>
      <w:r>
        <w:rPr>
          <w:position w:val="1"/>
        </w:rPr>
        <w:t>and</w:t>
      </w:r>
      <w:r>
        <w:rPr>
          <w:spacing w:val="-6"/>
          <w:position w:val="1"/>
        </w:rPr>
        <w:t xml:space="preserve"> </w:t>
      </w:r>
      <w:r>
        <w:rPr>
          <w:position w:val="1"/>
        </w:rPr>
        <w:t>national</w:t>
      </w:r>
      <w:r>
        <w:rPr>
          <w:spacing w:val="-6"/>
          <w:position w:val="1"/>
        </w:rPr>
        <w:t xml:space="preserve"> </w:t>
      </w:r>
      <w:r>
        <w:rPr>
          <w:position w:val="1"/>
        </w:rPr>
        <w:t>private</w:t>
      </w:r>
      <w:r>
        <w:rPr>
          <w:spacing w:val="-6"/>
          <w:position w:val="1"/>
        </w:rPr>
        <w:t xml:space="preserve"> </w:t>
      </w:r>
      <w:r>
        <w:rPr>
          <w:position w:val="1"/>
        </w:rPr>
        <w:t>schools</w:t>
      </w:r>
      <w:r>
        <w:rPr>
          <w:spacing w:val="-6"/>
          <w:position w:val="1"/>
        </w:rPr>
        <w:t xml:space="preserve"> </w:t>
      </w:r>
      <w:r>
        <w:rPr>
          <w:position w:val="1"/>
        </w:rPr>
        <w:t>located</w:t>
      </w:r>
      <w:r>
        <w:rPr>
          <w:spacing w:val="-6"/>
          <w:position w:val="1"/>
        </w:rPr>
        <w:t xml:space="preserve"> </w:t>
      </w:r>
      <w:r>
        <w:rPr>
          <w:position w:val="1"/>
        </w:rPr>
        <w:t>in</w:t>
      </w:r>
      <w:r>
        <w:rPr>
          <w:spacing w:val="-6"/>
          <w:position w:val="1"/>
        </w:rPr>
        <w:t xml:space="preserve"> </w:t>
      </w:r>
      <w:r>
        <w:rPr>
          <w:position w:val="1"/>
        </w:rPr>
        <w:t>the</w:t>
      </w:r>
      <w:r>
        <w:rPr>
          <w:spacing w:val="-6"/>
          <w:position w:val="1"/>
        </w:rPr>
        <w:t xml:space="preserve"> </w:t>
      </w:r>
      <w:r>
        <w:rPr>
          <w:position w:val="1"/>
        </w:rPr>
        <w:t>United</w:t>
      </w:r>
      <w:r>
        <w:rPr>
          <w:spacing w:val="-6"/>
          <w:position w:val="1"/>
        </w:rPr>
        <w:t xml:space="preserve"> </w:t>
      </w:r>
      <w:r>
        <w:rPr>
          <w:position w:val="1"/>
        </w:rPr>
        <w:t>States</w:t>
      </w:r>
      <w:r>
        <w:rPr>
          <w:spacing w:val="-6"/>
          <w:position w:val="1"/>
        </w:rPr>
        <w:t xml:space="preserve"> </w:t>
      </w:r>
      <w:r>
        <w:rPr>
          <w:position w:val="1"/>
        </w:rPr>
        <w:t>and</w:t>
      </w:r>
      <w:r>
        <w:rPr>
          <w:spacing w:val="-6"/>
          <w:position w:val="1"/>
        </w:rPr>
        <w:t xml:space="preserve"> </w:t>
      </w:r>
      <w:r>
        <w:rPr>
          <w:position w:val="1"/>
        </w:rPr>
        <w:t>all</w:t>
      </w:r>
      <w:r>
        <w:rPr>
          <w:spacing w:val="-6"/>
          <w:position w:val="1"/>
        </w:rPr>
        <w:t xml:space="preserve"> </w:t>
      </w:r>
      <w:r>
        <w:rPr>
          <w:position w:val="1"/>
        </w:rPr>
        <w:t>Department</w:t>
      </w:r>
      <w:r>
        <w:rPr>
          <w:spacing w:val="-6"/>
          <w:position w:val="1"/>
        </w:rPr>
        <w:t xml:space="preserve"> </w:t>
      </w:r>
      <w:r>
        <w:rPr>
          <w:position w:val="1"/>
        </w:rPr>
        <w:t>of</w:t>
      </w:r>
      <w:r>
        <w:rPr>
          <w:spacing w:val="-6"/>
          <w:position w:val="1"/>
        </w:rPr>
        <w:t xml:space="preserve"> </w:t>
      </w:r>
      <w:r>
        <w:rPr>
          <w:position w:val="1"/>
        </w:rPr>
        <w:t>Defense</w:t>
      </w:r>
      <w:r>
        <w:rPr>
          <w:spacing w:val="-6"/>
          <w:position w:val="1"/>
        </w:rPr>
        <w:t xml:space="preserve"> </w:t>
      </w:r>
      <w:r>
        <w:rPr>
          <w:position w:val="1"/>
        </w:rPr>
        <w:t>Education</w:t>
      </w:r>
      <w:r>
        <w:rPr>
          <w:spacing w:val="-13"/>
          <w:position w:val="1"/>
        </w:rPr>
        <w:t xml:space="preserve"> </w:t>
      </w:r>
      <w:r>
        <w:rPr>
          <w:position w:val="1"/>
        </w:rPr>
        <w:t>Activity</w:t>
      </w:r>
      <w:r>
        <w:rPr>
          <w:spacing w:val="-6"/>
          <w:position w:val="1"/>
        </w:rPr>
        <w:t xml:space="preserve"> </w:t>
      </w:r>
      <w:r>
        <w:rPr>
          <w:spacing w:val="-2"/>
          <w:position w:val="1"/>
        </w:rPr>
        <w:t>schools.</w:t>
      </w:r>
    </w:p>
    <w:p w:rsidR="003F5784" w14:paraId="3635777D" w14:textId="77777777">
      <w:pPr>
        <w:pStyle w:val="BodyText"/>
        <w:spacing w:before="7" w:line="279" w:lineRule="exact"/>
        <w:ind w:left="595"/>
      </w:pPr>
      <w:r>
        <w:rPr>
          <w:position w:val="8"/>
          <w:sz w:val="17"/>
        </w:rPr>
        <w:t>2</w:t>
      </w:r>
      <w:r>
        <w:t>2</w:t>
      </w:r>
      <w:r>
        <w:rPr>
          <w:position w:val="8"/>
          <w:sz w:val="17"/>
        </w:rPr>
        <w:t xml:space="preserve">2 </w:t>
      </w:r>
      <w:r>
        <w:t>Department</w:t>
      </w:r>
      <w:r>
        <w:rPr>
          <w:spacing w:val="-7"/>
        </w:rPr>
        <w:t xml:space="preserve"> </w:t>
      </w:r>
      <w:r>
        <w:t>of</w:t>
      </w:r>
      <w:r>
        <w:rPr>
          <w:spacing w:val="-6"/>
        </w:rPr>
        <w:t xml:space="preserve"> </w:t>
      </w:r>
      <w:r>
        <w:t>Defense</w:t>
      </w:r>
      <w:r>
        <w:rPr>
          <w:spacing w:val="-6"/>
        </w:rPr>
        <w:t xml:space="preserve"> </w:t>
      </w:r>
      <w:r>
        <w:t>Education</w:t>
      </w:r>
      <w:r>
        <w:rPr>
          <w:spacing w:val="-14"/>
        </w:rPr>
        <w:t xml:space="preserve"> </w:t>
      </w:r>
      <w:r>
        <w:t>Activity</w:t>
      </w:r>
      <w:r>
        <w:rPr>
          <w:spacing w:val="-6"/>
        </w:rPr>
        <w:t xml:space="preserve"> </w:t>
      </w:r>
      <w:r>
        <w:rPr>
          <w:spacing w:val="-2"/>
        </w:rPr>
        <w:t>schools.</w:t>
      </w:r>
    </w:p>
    <w:p w:rsidR="003F5784" w14:paraId="3C35C77C" w14:textId="77777777">
      <w:pPr>
        <w:pStyle w:val="BodyText"/>
        <w:spacing w:line="232" w:lineRule="auto"/>
        <w:ind w:left="595" w:right="318"/>
      </w:pPr>
      <w:r>
        <w:t>NOTE: Numbers of schools are rounded to nearest ten, and numbers of students are rounded to nearest hundred. Detail may not sum to totals due to rounding. 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Reading Assessment.</w:t>
      </w:r>
    </w:p>
    <w:p w:rsidR="003F5784" w14:paraId="7632A80D" w14:textId="77777777">
      <w:pPr>
        <w:pStyle w:val="BodyText"/>
      </w:pPr>
    </w:p>
    <w:p w:rsidR="003F5784" w14:paraId="1065E9EB" w14:textId="77777777">
      <w:pPr>
        <w:pStyle w:val="BodyText"/>
        <w:spacing w:before="205"/>
      </w:pPr>
    </w:p>
    <w:p w:rsidR="003F5784" w14:paraId="30CBA521" w14:textId="77777777">
      <w:pPr>
        <w:ind w:left="2551"/>
        <w:rPr>
          <w:sz w:val="18"/>
        </w:rPr>
      </w:pPr>
      <w:hyperlink r:id="rId553">
        <w:r>
          <w:rPr>
            <w:spacing w:val="-2"/>
            <w:w w:val="105"/>
            <w:sz w:val="18"/>
          </w:rPr>
          <w:t>http://nces.ed.gov/nationsreportcard/tdw/weighting/2022/participation_exclusion_and_accommodation_rates_for_grade_4_reading_for_the_2022_assessment.aspx</w:t>
        </w:r>
      </w:hyperlink>
    </w:p>
    <w:p w:rsidR="003F5784" w14:paraId="0F8AA4C7" w14:textId="77777777">
      <w:pPr>
        <w:pStyle w:val="BodyText"/>
        <w:rPr>
          <w:sz w:val="16"/>
        </w:rPr>
      </w:pPr>
      <w:r>
        <w:rPr>
          <w:noProof/>
        </w:rPr>
        <mc:AlternateContent>
          <mc:Choice Requires="wps">
            <w:drawing>
              <wp:anchor distT="0" distB="0" distL="0" distR="0" simplePos="0" relativeHeight="252042240" behindDoc="1" locked="0" layoutInCell="1" allowOverlap="1">
                <wp:simplePos x="0" y="0"/>
                <wp:positionH relativeFrom="page">
                  <wp:posOffset>361937</wp:posOffset>
                </wp:positionH>
                <wp:positionV relativeFrom="paragraph">
                  <wp:posOffset>132540</wp:posOffset>
                </wp:positionV>
                <wp:extent cx="9339580" cy="8890"/>
                <wp:effectExtent l="0" t="0" r="0" b="0"/>
                <wp:wrapTopAndBottom/>
                <wp:docPr id="703" name="Graphic 703"/>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80"/>
                              </a:lnTo>
                              <a:lnTo>
                                <a:pt x="8280" y="8280"/>
                              </a:lnTo>
                              <a:lnTo>
                                <a:pt x="9335110" y="8280"/>
                              </a:lnTo>
                              <a:lnTo>
                                <a:pt x="9338970" y="8280"/>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703" o:spid="_x0000_s1224" style="width:735.4pt;height:0.7pt;margin-top:10.45pt;margin-left:28.5pt;mso-position-horizontal-relative:page;mso-wrap-distance-bottom:0;mso-wrap-distance-left:0;mso-wrap-distance-right:0;mso-wrap-distance-top:0;mso-wrap-style:square;position:absolute;visibility:visible;v-text-anchor:top;z-index:-251273216" coordsize="9339580,8890" path="m9338970,12l9335110,12l8280,12,,,,8280l8280,8280l9335110,8280l9338970,8280l9338970,12xe" fillcolor="gray" stroked="f">
                <v:path arrowok="t"/>
                <w10:wrap type="topAndBottom"/>
              </v:shape>
            </w:pict>
          </mc:Fallback>
        </mc:AlternateContent>
      </w:r>
    </w:p>
    <w:p w:rsidR="003F5784" w14:paraId="54E02C33" w14:textId="77777777">
      <w:pPr>
        <w:pStyle w:val="BodyText"/>
        <w:rPr>
          <w:sz w:val="18"/>
        </w:rPr>
      </w:pPr>
    </w:p>
    <w:p w:rsidR="003F5784" w14:paraId="370C8C6D" w14:textId="77777777">
      <w:pPr>
        <w:pStyle w:val="BodyText"/>
        <w:spacing w:before="193"/>
        <w:rPr>
          <w:sz w:val="18"/>
        </w:rPr>
      </w:pPr>
    </w:p>
    <w:p w:rsidR="003F5784" w14:paraId="7773FAA6" w14:textId="1231D5E0">
      <w:pPr>
        <w:pStyle w:val="Heading1"/>
        <w:spacing w:line="244" w:lineRule="auto"/>
        <w:ind w:right="179"/>
      </w:pPr>
      <w:r>
        <w:t>NAEP</w:t>
      </w:r>
      <w:r>
        <w:rPr>
          <w:spacing w:val="-5"/>
        </w:rPr>
        <w:t xml:space="preserve"> </w:t>
      </w:r>
      <w:r>
        <w:t>Technical Documentation</w:t>
      </w:r>
      <w:r w:rsidR="00A35A43">
        <w:t xml:space="preserve"> </w:t>
      </w:r>
      <w:r>
        <w:t>Participation, Exclusion, and Accommodation Rates for Grade 8 Civics</w:t>
      </w:r>
    </w:p>
    <w:p w:rsidR="003F5784" w14:paraId="3763B654" w14:textId="77777777">
      <w:pPr>
        <w:pStyle w:val="BodyText"/>
        <w:spacing w:before="287" w:line="232" w:lineRule="auto"/>
        <w:ind w:left="109"/>
      </w:pPr>
      <w:r>
        <w:t>The</w:t>
      </w:r>
      <w:r>
        <w:rPr>
          <w:spacing w:val="-7"/>
        </w:rPr>
        <w:t xml:space="preserve"> </w:t>
      </w:r>
      <w:r>
        <w:t>following</w:t>
      </w:r>
      <w:r>
        <w:rPr>
          <w:spacing w:val="-7"/>
        </w:rPr>
        <w:t xml:space="preserve"> </w:t>
      </w:r>
      <w:r>
        <w:t>table</w:t>
      </w:r>
      <w:r>
        <w:rPr>
          <w:spacing w:val="-7"/>
        </w:rPr>
        <w:t xml:space="preserve"> </w:t>
      </w:r>
      <w:r>
        <w:t>displays</w:t>
      </w:r>
      <w:r>
        <w:rPr>
          <w:spacing w:val="-7"/>
        </w:rPr>
        <w:t xml:space="preserve"> </w:t>
      </w:r>
      <w:r>
        <w:t>the</w:t>
      </w:r>
      <w:r>
        <w:rPr>
          <w:spacing w:val="-7"/>
        </w:rPr>
        <w:t xml:space="preserve"> </w:t>
      </w:r>
      <w:r>
        <w:t>school-</w:t>
      </w:r>
      <w:r>
        <w:rPr>
          <w:spacing w:val="-7"/>
        </w:rPr>
        <w:t xml:space="preserve"> </w:t>
      </w:r>
      <w:r>
        <w:t>and</w:t>
      </w:r>
      <w:r>
        <w:rPr>
          <w:spacing w:val="-7"/>
        </w:rPr>
        <w:t xml:space="preserve"> </w:t>
      </w:r>
      <w:r>
        <w:t>student-level</w:t>
      </w:r>
      <w:r>
        <w:rPr>
          <w:spacing w:val="-7"/>
        </w:rPr>
        <w:t xml:space="preserve"> </w:t>
      </w:r>
      <w:r>
        <w:t>response,</w:t>
      </w:r>
      <w:r>
        <w:rPr>
          <w:spacing w:val="-7"/>
        </w:rPr>
        <w:t xml:space="preserve"> </w:t>
      </w:r>
      <w:r>
        <w:t>exclusion,</w:t>
      </w:r>
      <w:r>
        <w:rPr>
          <w:spacing w:val="-7"/>
        </w:rPr>
        <w:t xml:space="preserve"> </w:t>
      </w:r>
      <w:r>
        <w:t>and</w:t>
      </w:r>
      <w:r>
        <w:rPr>
          <w:spacing w:val="-7"/>
        </w:rPr>
        <w:t xml:space="preserve"> </w:t>
      </w:r>
      <w:r>
        <w:t>accommodation</w:t>
      </w:r>
      <w:r>
        <w:rPr>
          <w:spacing w:val="-7"/>
        </w:rPr>
        <w:t xml:space="preserve"> </w:t>
      </w:r>
      <w:r>
        <w:t>rates</w:t>
      </w:r>
      <w:r>
        <w:rPr>
          <w:spacing w:val="-7"/>
        </w:rPr>
        <w:t xml:space="preserve"> </w:t>
      </w:r>
      <w:r>
        <w:t>for</w:t>
      </w:r>
      <w:r>
        <w:rPr>
          <w:spacing w:val="-7"/>
        </w:rPr>
        <w:t xml:space="preserve"> </w:t>
      </w:r>
      <w:r>
        <w:t>the</w:t>
      </w:r>
      <w:r>
        <w:rPr>
          <w:spacing w:val="-7"/>
        </w:rPr>
        <w:t xml:space="preserve"> </w:t>
      </w:r>
      <w:r>
        <w:t>grade</w:t>
      </w:r>
      <w:r>
        <w:rPr>
          <w:spacing w:val="-7"/>
        </w:rPr>
        <w:t xml:space="preserve"> </w:t>
      </w:r>
      <w:r>
        <w:t>8</w:t>
      </w:r>
      <w:r>
        <w:rPr>
          <w:spacing w:val="-7"/>
        </w:rPr>
        <w:t xml:space="preserve"> </w:t>
      </w:r>
      <w:r>
        <w:t>civics</w:t>
      </w:r>
      <w:r>
        <w:rPr>
          <w:spacing w:val="-7"/>
        </w:rPr>
        <w:t xml:space="preserve"> </w:t>
      </w:r>
      <w:r>
        <w:t>assessment.</w:t>
      </w:r>
      <w:r>
        <w:rPr>
          <w:spacing w:val="-11"/>
        </w:rPr>
        <w:t xml:space="preserve"> </w:t>
      </w:r>
      <w:r>
        <w:t>Various</w:t>
      </w:r>
      <w:r>
        <w:rPr>
          <w:spacing w:val="-7"/>
        </w:rPr>
        <w:t xml:space="preserve"> </w:t>
      </w:r>
      <w:r>
        <w:t>weights</w:t>
      </w:r>
      <w:r>
        <w:rPr>
          <w:spacing w:val="-7"/>
        </w:rPr>
        <w:t xml:space="preserve"> </w:t>
      </w:r>
      <w:r>
        <w:t>were</w:t>
      </w:r>
      <w:r>
        <w:rPr>
          <w:spacing w:val="-7"/>
        </w:rPr>
        <w:t xml:space="preserve"> </w:t>
      </w:r>
      <w:r>
        <w:t>used</w:t>
      </w:r>
      <w:r>
        <w:rPr>
          <w:spacing w:val="-7"/>
        </w:rPr>
        <w:t xml:space="preserve"> </w:t>
      </w:r>
      <w:r>
        <w:t>in</w:t>
      </w:r>
      <w:r>
        <w:rPr>
          <w:spacing w:val="-7"/>
        </w:rPr>
        <w:t xml:space="preserve"> </w:t>
      </w:r>
      <w:r>
        <w:t>the calculation of the rates, as indicated in the column headings of the table.</w:t>
      </w:r>
    </w:p>
    <w:p w:rsidR="003F5784" w14:paraId="07569075" w14:textId="77777777">
      <w:pPr>
        <w:pStyle w:val="BodyText"/>
        <w:spacing w:before="209" w:line="232" w:lineRule="auto"/>
        <w:ind w:left="109"/>
      </w:pPr>
      <w:r>
        <w:t>The participation rates reflect the participation of the original sample schools only and do not reflect any effect of substitution.</w:t>
      </w:r>
      <w:r>
        <w:rPr>
          <w:spacing w:val="-3"/>
        </w:rPr>
        <w:t xml:space="preserve"> </w:t>
      </w:r>
      <w:r>
        <w:t>The rates weighted by the base weight and enrollment</w:t>
      </w:r>
      <w:r>
        <w:rPr>
          <w:spacing w:val="-6"/>
        </w:rPr>
        <w:t xml:space="preserve"> </w:t>
      </w:r>
      <w:r>
        <w:t>show</w:t>
      </w:r>
      <w:r>
        <w:rPr>
          <w:spacing w:val="-6"/>
        </w:rPr>
        <w:t xml:space="preserve"> </w:t>
      </w:r>
      <w:r>
        <w:t>the</w:t>
      </w:r>
      <w:r>
        <w:rPr>
          <w:spacing w:val="-6"/>
        </w:rPr>
        <w:t xml:space="preserve"> </w:t>
      </w:r>
      <w:r>
        <w:t>approximate</w:t>
      </w:r>
      <w:r>
        <w:rPr>
          <w:spacing w:val="-6"/>
        </w:rPr>
        <w:t xml:space="preserve"> </w:t>
      </w:r>
      <w:r>
        <w:t>proportion</w:t>
      </w:r>
      <w:r>
        <w:rPr>
          <w:spacing w:val="-6"/>
        </w:rPr>
        <w:t xml:space="preserve"> </w:t>
      </w:r>
      <w:r>
        <w:t>of</w:t>
      </w:r>
      <w:r>
        <w:rPr>
          <w:spacing w:val="-6"/>
        </w:rPr>
        <w:t xml:space="preserve"> </w:t>
      </w:r>
      <w:r>
        <w:t>the</w:t>
      </w:r>
      <w:r>
        <w:rPr>
          <w:spacing w:val="-6"/>
        </w:rPr>
        <w:t xml:space="preserve"> </w:t>
      </w:r>
      <w:r>
        <w:t>student</w:t>
      </w:r>
      <w:r>
        <w:rPr>
          <w:spacing w:val="-6"/>
        </w:rPr>
        <w:t xml:space="preserve"> </w:t>
      </w:r>
      <w:r>
        <w:t>population</w:t>
      </w:r>
      <w:r>
        <w:rPr>
          <w:spacing w:val="-6"/>
        </w:rPr>
        <w:t xml:space="preserve"> </w:t>
      </w:r>
      <w:r>
        <w:t>in</w:t>
      </w:r>
      <w:r>
        <w:rPr>
          <w:spacing w:val="-6"/>
        </w:rPr>
        <w:t xml:space="preserve"> </w:t>
      </w:r>
      <w:r>
        <w:t>the</w:t>
      </w:r>
      <w:r>
        <w:rPr>
          <w:spacing w:val="-6"/>
        </w:rPr>
        <w:t xml:space="preserve"> </w:t>
      </w:r>
      <w:r>
        <w:t>school</w:t>
      </w:r>
      <w:r>
        <w:rPr>
          <w:spacing w:val="-6"/>
        </w:rPr>
        <w:t xml:space="preserve"> </w:t>
      </w:r>
      <w:r>
        <w:t>type</w:t>
      </w:r>
      <w:r>
        <w:rPr>
          <w:spacing w:val="-6"/>
        </w:rPr>
        <w:t xml:space="preserve"> </w:t>
      </w:r>
      <w:r>
        <w:t>and</w:t>
      </w:r>
      <w:r>
        <w:rPr>
          <w:spacing w:val="-6"/>
        </w:rPr>
        <w:t xml:space="preserve"> </w:t>
      </w:r>
      <w:r>
        <w:t>geographic</w:t>
      </w:r>
      <w:r>
        <w:rPr>
          <w:spacing w:val="-6"/>
        </w:rPr>
        <w:t xml:space="preserve"> </w:t>
      </w:r>
      <w:r>
        <w:t>region</w:t>
      </w:r>
      <w:r>
        <w:rPr>
          <w:spacing w:val="-6"/>
        </w:rPr>
        <w:t xml:space="preserve"> </w:t>
      </w:r>
      <w:r>
        <w:t>that</w:t>
      </w:r>
      <w:r>
        <w:rPr>
          <w:spacing w:val="-6"/>
        </w:rPr>
        <w:t xml:space="preserve"> </w:t>
      </w:r>
      <w:r>
        <w:t>is</w:t>
      </w:r>
      <w:r>
        <w:rPr>
          <w:spacing w:val="-6"/>
        </w:rPr>
        <w:t xml:space="preserve"> </w:t>
      </w:r>
      <w:r>
        <w:t>represented</w:t>
      </w:r>
      <w:r>
        <w:rPr>
          <w:spacing w:val="-6"/>
        </w:rPr>
        <w:t xml:space="preserve"> </w:t>
      </w:r>
      <w:r>
        <w:t>by</w:t>
      </w:r>
      <w:r>
        <w:rPr>
          <w:spacing w:val="-6"/>
        </w:rPr>
        <w:t xml:space="preserve"> </w:t>
      </w:r>
      <w:r>
        <w:t>the</w:t>
      </w:r>
      <w:r>
        <w:rPr>
          <w:spacing w:val="-6"/>
        </w:rPr>
        <w:t xml:space="preserve"> </w:t>
      </w:r>
      <w:r>
        <w:t>responding</w:t>
      </w:r>
      <w:r>
        <w:rPr>
          <w:spacing w:val="-6"/>
        </w:rPr>
        <w:t xml:space="preserve"> </w:t>
      </w:r>
      <w:r>
        <w:t>schools</w:t>
      </w:r>
      <w:r>
        <w:rPr>
          <w:spacing w:val="-6"/>
        </w:rPr>
        <w:t xml:space="preserve"> </w:t>
      </w:r>
      <w:r>
        <w:t>in</w:t>
      </w:r>
      <w:r>
        <w:rPr>
          <w:spacing w:val="-6"/>
        </w:rPr>
        <w:t xml:space="preserve"> </w:t>
      </w:r>
      <w:r>
        <w:t>the</w:t>
      </w:r>
      <w:r>
        <w:rPr>
          <w:spacing w:val="-6"/>
        </w:rPr>
        <w:t xml:space="preserve"> </w:t>
      </w:r>
      <w:r>
        <w:t>sample.</w:t>
      </w:r>
      <w:r>
        <w:rPr>
          <w:spacing w:val="-10"/>
        </w:rPr>
        <w:t xml:space="preserve"> </w:t>
      </w:r>
      <w:r>
        <w:t>The rates weighted by just the base weight show the proportion of the school population that is represented by the responding schools in the sample.</w:t>
      </w:r>
      <w:r>
        <w:rPr>
          <w:spacing w:val="-3"/>
        </w:rPr>
        <w:t xml:space="preserve"> </w:t>
      </w:r>
      <w:r>
        <w:t>These rates differ because schools differ in size.</w:t>
      </w:r>
    </w:p>
    <w:p w:rsidR="003F5784" w14:paraId="1EF0871D" w14:textId="77777777">
      <w:pPr>
        <w:pStyle w:val="BodyText"/>
        <w:spacing w:before="93"/>
      </w:pPr>
    </w:p>
    <w:p w:rsidR="003F5784" w14:paraId="0C7C1644" w14:textId="77777777">
      <w:pPr>
        <w:pStyle w:val="Heading2"/>
      </w:pPr>
      <w:r>
        <w:t>Participation,</w:t>
      </w:r>
      <w:r>
        <w:rPr>
          <w:spacing w:val="-8"/>
        </w:rPr>
        <w:t xml:space="preserve"> </w:t>
      </w:r>
      <w:r>
        <w:t>exclusion,</w:t>
      </w:r>
      <w:r>
        <w:rPr>
          <w:spacing w:val="-8"/>
        </w:rPr>
        <w:t xml:space="preserve"> </w:t>
      </w:r>
      <w:r>
        <w:t>and</w:t>
      </w:r>
      <w:r>
        <w:rPr>
          <w:spacing w:val="-8"/>
        </w:rPr>
        <w:t xml:space="preserve"> </w:t>
      </w:r>
      <w:r>
        <w:t>accommodation</w:t>
      </w:r>
      <w:r>
        <w:rPr>
          <w:spacing w:val="-7"/>
        </w:rPr>
        <w:t xml:space="preserve"> </w:t>
      </w:r>
      <w:r>
        <w:t>rates,</w:t>
      </w:r>
      <w:r>
        <w:rPr>
          <w:spacing w:val="-8"/>
        </w:rPr>
        <w:t xml:space="preserve"> </w:t>
      </w:r>
      <w:r>
        <w:t>grade</w:t>
      </w:r>
      <w:r>
        <w:rPr>
          <w:spacing w:val="-8"/>
        </w:rPr>
        <w:t xml:space="preserve"> </w:t>
      </w:r>
      <w:r>
        <w:t>8</w:t>
      </w:r>
      <w:r>
        <w:rPr>
          <w:spacing w:val="-8"/>
        </w:rPr>
        <w:t xml:space="preserve"> </w:t>
      </w:r>
      <w:r>
        <w:t>civics</w:t>
      </w:r>
      <w:r>
        <w:rPr>
          <w:spacing w:val="-7"/>
        </w:rPr>
        <w:t xml:space="preserve"> </w:t>
      </w:r>
      <w:r>
        <w:t>national</w:t>
      </w:r>
      <w:r>
        <w:rPr>
          <w:spacing w:val="-8"/>
        </w:rPr>
        <w:t xml:space="preserve"> </w:t>
      </w:r>
      <w:r>
        <w:t>assessment,</w:t>
      </w:r>
      <w:r>
        <w:rPr>
          <w:spacing w:val="-8"/>
        </w:rPr>
        <w:t xml:space="preserve"> </w:t>
      </w:r>
      <w:r>
        <w:t>by</w:t>
      </w:r>
      <w:r>
        <w:rPr>
          <w:spacing w:val="-8"/>
        </w:rPr>
        <w:t xml:space="preserve"> </w:t>
      </w:r>
      <w:r>
        <w:t>school</w:t>
      </w:r>
      <w:r>
        <w:rPr>
          <w:spacing w:val="-7"/>
        </w:rPr>
        <w:t xml:space="preserve"> </w:t>
      </w:r>
      <w:r>
        <w:t>type</w:t>
      </w:r>
      <w:r>
        <w:rPr>
          <w:spacing w:val="-8"/>
        </w:rPr>
        <w:t xml:space="preserve"> </w:t>
      </w:r>
      <w:r>
        <w:t>and</w:t>
      </w:r>
      <w:r>
        <w:rPr>
          <w:spacing w:val="-8"/>
        </w:rPr>
        <w:t xml:space="preserve"> </w:t>
      </w:r>
      <w:r>
        <w:t>geographic</w:t>
      </w:r>
      <w:r>
        <w:rPr>
          <w:spacing w:val="-8"/>
        </w:rPr>
        <w:t xml:space="preserve"> </w:t>
      </w:r>
      <w:r>
        <w:t>region:</w:t>
      </w:r>
      <w:r>
        <w:rPr>
          <w:spacing w:val="-7"/>
        </w:rPr>
        <w:t xml:space="preserve"> </w:t>
      </w:r>
      <w:r>
        <w:rPr>
          <w:spacing w:val="-4"/>
        </w:rPr>
        <w:t>2022</w:t>
      </w:r>
    </w:p>
    <w:p w:rsidR="003F5784" w14:paraId="0F6EE10F" w14:textId="77777777">
      <w:pPr>
        <w:sectPr>
          <w:headerReference w:type="default" r:id="rId554"/>
          <w:footerReference w:type="default" r:id="rId555"/>
          <w:pgSz w:w="15840" w:h="12240" w:orient="landscape"/>
          <w:pgMar w:top="480" w:right="440" w:bottom="460" w:left="460" w:header="284" w:footer="275" w:gutter="0"/>
          <w:cols w:space="720"/>
        </w:sectPr>
      </w:pPr>
    </w:p>
    <w:p w:rsidR="003F5784" w14:paraId="2BBCB253" w14:textId="77777777">
      <w:pPr>
        <w:pStyle w:val="BodyText"/>
        <w:spacing w:before="5"/>
        <w:rPr>
          <w:b/>
          <w:sz w:val="7"/>
        </w:rPr>
      </w:pPr>
    </w:p>
    <w:tbl>
      <w:tblPr>
        <w:tblW w:w="0" w:type="auto"/>
        <w:tblInd w:w="482" w:type="dxa"/>
        <w:tblLayout w:type="fixed"/>
        <w:tblCellMar>
          <w:left w:w="0" w:type="dxa"/>
          <w:right w:w="0" w:type="dxa"/>
        </w:tblCellMar>
        <w:tblLook w:val="01E0"/>
      </w:tblPr>
      <w:tblGrid>
        <w:gridCol w:w="3181"/>
        <w:gridCol w:w="1188"/>
        <w:gridCol w:w="1979"/>
        <w:gridCol w:w="1834"/>
        <w:gridCol w:w="1264"/>
        <w:gridCol w:w="1274"/>
        <w:gridCol w:w="1559"/>
        <w:gridCol w:w="1712"/>
      </w:tblGrid>
      <w:tr w14:paraId="5C76AC82" w14:textId="77777777">
        <w:tblPrEx>
          <w:tblW w:w="0" w:type="auto"/>
          <w:tblInd w:w="482" w:type="dxa"/>
          <w:tblLayout w:type="fixed"/>
          <w:tblCellMar>
            <w:left w:w="0" w:type="dxa"/>
            <w:right w:w="0" w:type="dxa"/>
          </w:tblCellMar>
          <w:tblLook w:val="01E0"/>
        </w:tblPrEx>
        <w:trPr>
          <w:trHeight w:val="1440"/>
        </w:trPr>
        <w:tc>
          <w:tcPr>
            <w:tcW w:w="3181" w:type="dxa"/>
            <w:tcBorders>
              <w:top w:val="single" w:sz="18" w:space="0" w:color="800000"/>
              <w:bottom w:val="single" w:sz="18" w:space="0" w:color="800000"/>
            </w:tcBorders>
          </w:tcPr>
          <w:p w:rsidR="003F5784" w14:paraId="0111E4A3" w14:textId="77777777">
            <w:pPr>
              <w:pStyle w:val="TableParagraph"/>
              <w:spacing w:before="0"/>
              <w:jc w:val="left"/>
              <w:rPr>
                <w:b/>
                <w:sz w:val="21"/>
              </w:rPr>
            </w:pPr>
          </w:p>
          <w:p w:rsidR="003F5784" w14:paraId="267CE375" w14:textId="77777777">
            <w:pPr>
              <w:pStyle w:val="TableParagraph"/>
              <w:spacing w:before="0"/>
              <w:jc w:val="left"/>
              <w:rPr>
                <w:b/>
                <w:sz w:val="21"/>
              </w:rPr>
            </w:pPr>
          </w:p>
          <w:p w:rsidR="003F5784" w14:paraId="202ED9B9" w14:textId="77777777">
            <w:pPr>
              <w:pStyle w:val="TableParagraph"/>
              <w:spacing w:before="0"/>
              <w:jc w:val="left"/>
              <w:rPr>
                <w:b/>
                <w:sz w:val="21"/>
              </w:rPr>
            </w:pPr>
          </w:p>
          <w:p w:rsidR="003F5784" w14:paraId="4063417F" w14:textId="77777777">
            <w:pPr>
              <w:pStyle w:val="TableParagraph"/>
              <w:spacing w:before="216"/>
              <w:jc w:val="left"/>
              <w:rPr>
                <w:b/>
                <w:sz w:val="21"/>
              </w:rPr>
            </w:pPr>
          </w:p>
          <w:p w:rsidR="003F5784" w14:paraId="3AD47892" w14:textId="77777777">
            <w:pPr>
              <w:pStyle w:val="TableParagraph"/>
              <w:spacing w:before="0" w:line="238" w:lineRule="exact"/>
              <w:ind w:left="120"/>
              <w:jc w:val="left"/>
              <w:rPr>
                <w:sz w:val="21"/>
              </w:rPr>
            </w:pPr>
            <w:r>
              <w:rPr>
                <w:sz w:val="21"/>
              </w:rPr>
              <w:t>School</w:t>
            </w:r>
            <w:r>
              <w:rPr>
                <w:spacing w:val="-7"/>
                <w:sz w:val="21"/>
              </w:rPr>
              <w:t xml:space="preserve"> </w:t>
            </w:r>
            <w:r>
              <w:rPr>
                <w:sz w:val="21"/>
              </w:rPr>
              <w:t>type</w:t>
            </w:r>
            <w:r>
              <w:rPr>
                <w:spacing w:val="-6"/>
                <w:sz w:val="21"/>
              </w:rPr>
              <w:t xml:space="preserve"> </w:t>
            </w:r>
            <w:r>
              <w:rPr>
                <w:sz w:val="21"/>
              </w:rPr>
              <w:t>and</w:t>
            </w:r>
            <w:r>
              <w:rPr>
                <w:spacing w:val="-7"/>
                <w:sz w:val="21"/>
              </w:rPr>
              <w:t xml:space="preserve"> </w:t>
            </w:r>
            <w:r>
              <w:rPr>
                <w:sz w:val="21"/>
              </w:rPr>
              <w:t>geographic</w:t>
            </w:r>
            <w:r>
              <w:rPr>
                <w:spacing w:val="-6"/>
                <w:sz w:val="21"/>
              </w:rPr>
              <w:t xml:space="preserve"> </w:t>
            </w:r>
            <w:r>
              <w:rPr>
                <w:spacing w:val="-2"/>
                <w:sz w:val="21"/>
              </w:rPr>
              <w:t>region</w:t>
            </w:r>
          </w:p>
        </w:tc>
        <w:tc>
          <w:tcPr>
            <w:tcW w:w="1188" w:type="dxa"/>
            <w:tcBorders>
              <w:top w:val="single" w:sz="18" w:space="0" w:color="800000"/>
              <w:bottom w:val="single" w:sz="18" w:space="0" w:color="800000"/>
            </w:tcBorders>
          </w:tcPr>
          <w:p w:rsidR="003F5784" w14:paraId="04224984" w14:textId="77777777">
            <w:pPr>
              <w:pStyle w:val="TableParagraph"/>
              <w:spacing w:before="9"/>
              <w:jc w:val="left"/>
              <w:rPr>
                <w:b/>
                <w:sz w:val="21"/>
              </w:rPr>
            </w:pPr>
          </w:p>
          <w:p w:rsidR="003F5784" w14:paraId="326B0394" w14:textId="77777777">
            <w:pPr>
              <w:pStyle w:val="TableParagraph"/>
              <w:spacing w:before="0" w:line="234" w:lineRule="exact"/>
              <w:ind w:left="221" w:right="124" w:hanging="70"/>
              <w:rPr>
                <w:sz w:val="21"/>
              </w:rPr>
            </w:pPr>
            <w:r>
              <w:rPr>
                <w:sz w:val="21"/>
              </w:rPr>
              <w:t>Number</w:t>
            </w:r>
            <w:r>
              <w:rPr>
                <w:spacing w:val="-14"/>
                <w:sz w:val="21"/>
              </w:rPr>
              <w:t xml:space="preserve"> </w:t>
            </w:r>
            <w:r>
              <w:rPr>
                <w:sz w:val="21"/>
              </w:rPr>
              <w:t>of schools</w:t>
            </w:r>
            <w:r>
              <w:rPr>
                <w:spacing w:val="-14"/>
                <w:sz w:val="21"/>
              </w:rPr>
              <w:t xml:space="preserve"> </w:t>
            </w:r>
            <w:r>
              <w:rPr>
                <w:sz w:val="21"/>
              </w:rPr>
              <w:t xml:space="preserve">in </w:t>
            </w:r>
            <w:r>
              <w:rPr>
                <w:spacing w:val="-2"/>
                <w:sz w:val="21"/>
              </w:rPr>
              <w:t>original sample, rounded</w:t>
            </w:r>
          </w:p>
        </w:tc>
        <w:tc>
          <w:tcPr>
            <w:tcW w:w="1979" w:type="dxa"/>
            <w:tcBorders>
              <w:top w:val="single" w:sz="18" w:space="0" w:color="800000"/>
              <w:bottom w:val="single" w:sz="18" w:space="0" w:color="800000"/>
            </w:tcBorders>
          </w:tcPr>
          <w:p w:rsidR="003F5784" w14:paraId="4E750833" w14:textId="77777777">
            <w:pPr>
              <w:pStyle w:val="TableParagraph"/>
              <w:spacing w:before="15" w:line="232" w:lineRule="auto"/>
              <w:ind w:left="251" w:right="167" w:hanging="128"/>
              <w:rPr>
                <w:sz w:val="21"/>
              </w:rPr>
            </w:pPr>
            <w:r>
              <w:rPr>
                <w:spacing w:val="-2"/>
                <w:sz w:val="21"/>
              </w:rPr>
              <w:t>School</w:t>
            </w:r>
            <w:r>
              <w:rPr>
                <w:spacing w:val="-11"/>
                <w:sz w:val="21"/>
              </w:rPr>
              <w:t xml:space="preserve"> </w:t>
            </w:r>
            <w:r>
              <w:rPr>
                <w:spacing w:val="-2"/>
                <w:sz w:val="21"/>
              </w:rPr>
              <w:t xml:space="preserve">participation </w:t>
            </w:r>
            <w:r>
              <w:rPr>
                <w:sz w:val="21"/>
              </w:rPr>
              <w:t xml:space="preserve">rates (percent) </w:t>
            </w:r>
            <w:r>
              <w:rPr>
                <w:spacing w:val="-2"/>
                <w:sz w:val="21"/>
              </w:rPr>
              <w:t>before</w:t>
            </w:r>
            <w:r>
              <w:rPr>
                <w:spacing w:val="-12"/>
                <w:sz w:val="21"/>
              </w:rPr>
              <w:t xml:space="preserve"> </w:t>
            </w:r>
            <w:r>
              <w:rPr>
                <w:spacing w:val="-2"/>
                <w:sz w:val="21"/>
              </w:rPr>
              <w:t xml:space="preserve">substitution </w:t>
            </w:r>
            <w:r>
              <w:rPr>
                <w:sz w:val="21"/>
              </w:rPr>
              <w:t>(weighted</w:t>
            </w:r>
            <w:r>
              <w:rPr>
                <w:spacing w:val="-7"/>
                <w:sz w:val="21"/>
              </w:rPr>
              <w:t xml:space="preserve"> </w:t>
            </w:r>
            <w:r>
              <w:rPr>
                <w:sz w:val="21"/>
              </w:rPr>
              <w:t>by</w:t>
            </w:r>
            <w:r>
              <w:rPr>
                <w:spacing w:val="-6"/>
                <w:sz w:val="21"/>
              </w:rPr>
              <w:t xml:space="preserve"> </w:t>
            </w:r>
            <w:r>
              <w:rPr>
                <w:spacing w:val="-4"/>
                <w:sz w:val="21"/>
              </w:rPr>
              <w:t>base</w:t>
            </w:r>
          </w:p>
          <w:p w:rsidR="003F5784" w14:paraId="7AC878A5" w14:textId="77777777">
            <w:pPr>
              <w:pStyle w:val="TableParagraph"/>
              <w:spacing w:before="0" w:line="234" w:lineRule="exact"/>
              <w:ind w:left="836" w:right="167" w:firstLine="51"/>
              <w:rPr>
                <w:sz w:val="21"/>
              </w:rPr>
            </w:pPr>
            <w:r>
              <w:rPr>
                <w:sz w:val="21"/>
              </w:rPr>
              <w:t>weight</w:t>
            </w:r>
            <w:r>
              <w:rPr>
                <w:spacing w:val="-14"/>
                <w:sz w:val="21"/>
              </w:rPr>
              <w:t xml:space="preserve"> </w:t>
            </w:r>
            <w:r>
              <w:rPr>
                <w:sz w:val="21"/>
              </w:rPr>
              <w:t xml:space="preserve">and </w:t>
            </w:r>
            <w:r>
              <w:rPr>
                <w:spacing w:val="-2"/>
                <w:sz w:val="21"/>
              </w:rPr>
              <w:t>enrollment)</w:t>
            </w:r>
          </w:p>
        </w:tc>
        <w:tc>
          <w:tcPr>
            <w:tcW w:w="1834" w:type="dxa"/>
            <w:tcBorders>
              <w:top w:val="single" w:sz="18" w:space="0" w:color="800000"/>
              <w:bottom w:val="single" w:sz="18" w:space="0" w:color="800000"/>
            </w:tcBorders>
          </w:tcPr>
          <w:p w:rsidR="003F5784" w14:paraId="77C95643" w14:textId="77777777">
            <w:pPr>
              <w:pStyle w:val="TableParagraph"/>
              <w:spacing w:before="15" w:line="232" w:lineRule="auto"/>
              <w:ind w:left="167" w:right="147" w:firstLine="937"/>
              <w:rPr>
                <w:sz w:val="21"/>
              </w:rPr>
            </w:pPr>
            <w:r>
              <w:rPr>
                <w:spacing w:val="-2"/>
                <w:sz w:val="21"/>
              </w:rPr>
              <w:t xml:space="preserve">School </w:t>
            </w:r>
            <w:r>
              <w:rPr>
                <w:sz w:val="21"/>
              </w:rPr>
              <w:t>participation</w:t>
            </w:r>
            <w:r>
              <w:rPr>
                <w:spacing w:val="-14"/>
                <w:sz w:val="21"/>
              </w:rPr>
              <w:t xml:space="preserve"> </w:t>
            </w:r>
            <w:r>
              <w:rPr>
                <w:sz w:val="21"/>
              </w:rPr>
              <w:t xml:space="preserve">rates (percent) before </w:t>
            </w:r>
            <w:r>
              <w:rPr>
                <w:spacing w:val="-2"/>
                <w:sz w:val="21"/>
              </w:rPr>
              <w:t xml:space="preserve">substitution </w:t>
            </w:r>
            <w:r>
              <w:rPr>
                <w:sz w:val="21"/>
              </w:rPr>
              <w:t>(weighted</w:t>
            </w:r>
            <w:r>
              <w:rPr>
                <w:spacing w:val="-7"/>
                <w:sz w:val="21"/>
              </w:rPr>
              <w:t xml:space="preserve"> </w:t>
            </w:r>
            <w:r>
              <w:rPr>
                <w:sz w:val="21"/>
              </w:rPr>
              <w:t>by</w:t>
            </w:r>
            <w:r>
              <w:rPr>
                <w:spacing w:val="-6"/>
                <w:sz w:val="21"/>
              </w:rPr>
              <w:t xml:space="preserve"> </w:t>
            </w:r>
            <w:r>
              <w:rPr>
                <w:spacing w:val="-4"/>
                <w:sz w:val="21"/>
              </w:rPr>
              <w:t>base</w:t>
            </w:r>
          </w:p>
          <w:p w:rsidR="003F5784" w14:paraId="01FF4028" w14:textId="77777777">
            <w:pPr>
              <w:pStyle w:val="TableParagraph"/>
              <w:spacing w:before="0" w:line="234" w:lineRule="exact"/>
              <w:ind w:left="-26" w:right="147"/>
              <w:rPr>
                <w:sz w:val="21"/>
              </w:rPr>
            </w:pPr>
            <w:r>
              <w:rPr>
                <w:sz w:val="21"/>
              </w:rPr>
              <w:t>weight</w:t>
            </w:r>
            <w:r>
              <w:rPr>
                <w:spacing w:val="-7"/>
                <w:sz w:val="21"/>
              </w:rPr>
              <w:t xml:space="preserve"> </w:t>
            </w:r>
            <w:r>
              <w:rPr>
                <w:spacing w:val="-2"/>
                <w:sz w:val="21"/>
              </w:rPr>
              <w:t>only)</w:t>
            </w:r>
          </w:p>
        </w:tc>
        <w:tc>
          <w:tcPr>
            <w:tcW w:w="1264" w:type="dxa"/>
            <w:tcBorders>
              <w:top w:val="single" w:sz="18" w:space="0" w:color="800000"/>
              <w:bottom w:val="single" w:sz="18" w:space="0" w:color="800000"/>
            </w:tcBorders>
          </w:tcPr>
          <w:p w:rsidR="003F5784" w14:paraId="384CDCBA" w14:textId="77777777">
            <w:pPr>
              <w:pStyle w:val="TableParagraph"/>
              <w:spacing w:before="0"/>
              <w:jc w:val="left"/>
              <w:rPr>
                <w:b/>
                <w:sz w:val="21"/>
              </w:rPr>
            </w:pPr>
          </w:p>
          <w:p w:rsidR="003F5784" w14:paraId="77BCAD20" w14:textId="77777777">
            <w:pPr>
              <w:pStyle w:val="TableParagraph"/>
              <w:spacing w:before="1"/>
              <w:jc w:val="left"/>
              <w:rPr>
                <w:b/>
                <w:sz w:val="21"/>
              </w:rPr>
            </w:pPr>
          </w:p>
          <w:p w:rsidR="003F5784" w14:paraId="1C4AA880" w14:textId="77777777">
            <w:pPr>
              <w:pStyle w:val="TableParagraph"/>
              <w:spacing w:before="0" w:line="234" w:lineRule="exact"/>
              <w:ind w:left="307" w:right="207" w:hanging="163"/>
              <w:jc w:val="both"/>
              <w:rPr>
                <w:sz w:val="21"/>
              </w:rPr>
            </w:pPr>
            <w:r>
              <w:rPr>
                <w:sz w:val="21"/>
              </w:rPr>
              <w:t>Number</w:t>
            </w:r>
            <w:r>
              <w:rPr>
                <w:spacing w:val="-14"/>
                <w:sz w:val="21"/>
              </w:rPr>
              <w:t xml:space="preserve"> </w:t>
            </w:r>
            <w:r>
              <w:rPr>
                <w:sz w:val="21"/>
              </w:rPr>
              <w:t xml:space="preserve">of </w:t>
            </w:r>
            <w:r>
              <w:rPr>
                <w:spacing w:val="-2"/>
                <w:sz w:val="21"/>
              </w:rPr>
              <w:t>students sampled, rounded</w:t>
            </w:r>
          </w:p>
        </w:tc>
        <w:tc>
          <w:tcPr>
            <w:tcW w:w="1274" w:type="dxa"/>
            <w:tcBorders>
              <w:top w:val="single" w:sz="18" w:space="0" w:color="800000"/>
              <w:bottom w:val="single" w:sz="18" w:space="0" w:color="800000"/>
            </w:tcBorders>
          </w:tcPr>
          <w:p w:rsidR="003F5784" w14:paraId="772F0459" w14:textId="77777777">
            <w:pPr>
              <w:pStyle w:val="TableParagraph"/>
              <w:spacing w:before="0"/>
              <w:jc w:val="left"/>
              <w:rPr>
                <w:b/>
                <w:sz w:val="21"/>
              </w:rPr>
            </w:pPr>
          </w:p>
          <w:p w:rsidR="003F5784" w14:paraId="61C6BFF8" w14:textId="77777777">
            <w:pPr>
              <w:pStyle w:val="TableParagraph"/>
              <w:spacing w:before="1"/>
              <w:jc w:val="left"/>
              <w:rPr>
                <w:b/>
                <w:sz w:val="21"/>
              </w:rPr>
            </w:pPr>
          </w:p>
          <w:p w:rsidR="003F5784" w14:paraId="20BF6DD4" w14:textId="77777777">
            <w:pPr>
              <w:pStyle w:val="TableParagraph"/>
              <w:spacing w:before="0" w:line="234" w:lineRule="exact"/>
              <w:ind w:left="202" w:right="229" w:firstLine="45"/>
              <w:rPr>
                <w:sz w:val="21"/>
              </w:rPr>
            </w:pPr>
            <w:r>
              <w:rPr>
                <w:spacing w:val="-4"/>
                <w:sz w:val="21"/>
              </w:rPr>
              <w:t xml:space="preserve">Weighted </w:t>
            </w:r>
            <w:r>
              <w:rPr>
                <w:sz w:val="21"/>
              </w:rPr>
              <w:t>percent</w:t>
            </w:r>
            <w:r>
              <w:rPr>
                <w:spacing w:val="-14"/>
                <w:sz w:val="21"/>
              </w:rPr>
              <w:t xml:space="preserve"> </w:t>
            </w:r>
            <w:r>
              <w:rPr>
                <w:sz w:val="21"/>
              </w:rPr>
              <w:t xml:space="preserve">of </w:t>
            </w:r>
            <w:r>
              <w:rPr>
                <w:spacing w:val="-2"/>
                <w:sz w:val="21"/>
              </w:rPr>
              <w:t>students excluded</w:t>
            </w:r>
          </w:p>
        </w:tc>
        <w:tc>
          <w:tcPr>
            <w:tcW w:w="1559" w:type="dxa"/>
            <w:tcBorders>
              <w:top w:val="single" w:sz="18" w:space="0" w:color="800000"/>
              <w:bottom w:val="single" w:sz="18" w:space="0" w:color="800000"/>
            </w:tcBorders>
          </w:tcPr>
          <w:p w:rsidR="003F5784" w14:paraId="6AE52499" w14:textId="77777777">
            <w:pPr>
              <w:pStyle w:val="TableParagraph"/>
              <w:spacing w:before="9"/>
              <w:jc w:val="left"/>
              <w:rPr>
                <w:b/>
                <w:sz w:val="21"/>
              </w:rPr>
            </w:pPr>
          </w:p>
          <w:p w:rsidR="003F5784" w14:paraId="73B9DF77" w14:textId="77777777">
            <w:pPr>
              <w:pStyle w:val="TableParagraph"/>
              <w:spacing w:before="0" w:line="234" w:lineRule="exact"/>
              <w:ind w:left="222" w:right="135" w:firstLine="404"/>
              <w:rPr>
                <w:sz w:val="21"/>
              </w:rPr>
            </w:pPr>
            <w:r>
              <w:rPr>
                <w:spacing w:val="-4"/>
                <w:sz w:val="21"/>
              </w:rPr>
              <w:t xml:space="preserve">Weighted </w:t>
            </w:r>
            <w:r>
              <w:rPr>
                <w:spacing w:val="-2"/>
                <w:sz w:val="21"/>
              </w:rPr>
              <w:t>student participation rates</w:t>
            </w:r>
            <w:r>
              <w:rPr>
                <w:spacing w:val="-12"/>
                <w:sz w:val="21"/>
              </w:rPr>
              <w:t xml:space="preserve"> </w:t>
            </w:r>
            <w:r>
              <w:rPr>
                <w:spacing w:val="-2"/>
                <w:sz w:val="21"/>
              </w:rPr>
              <w:t xml:space="preserve">(percent) </w:t>
            </w:r>
            <w:r>
              <w:rPr>
                <w:sz w:val="21"/>
              </w:rPr>
              <w:t>after</w:t>
            </w:r>
            <w:r>
              <w:rPr>
                <w:spacing w:val="-5"/>
                <w:sz w:val="21"/>
              </w:rPr>
              <w:t xml:space="preserve"> </w:t>
            </w:r>
            <w:r>
              <w:rPr>
                <w:spacing w:val="-2"/>
                <w:sz w:val="21"/>
              </w:rPr>
              <w:t>makeups</w:t>
            </w:r>
          </w:p>
        </w:tc>
        <w:tc>
          <w:tcPr>
            <w:tcW w:w="1712" w:type="dxa"/>
            <w:tcBorders>
              <w:top w:val="single" w:sz="18" w:space="0" w:color="800000"/>
              <w:bottom w:val="single" w:sz="18" w:space="0" w:color="800000"/>
            </w:tcBorders>
          </w:tcPr>
          <w:p w:rsidR="003F5784" w14:paraId="3CBEC900" w14:textId="77777777">
            <w:pPr>
              <w:pStyle w:val="TableParagraph"/>
              <w:spacing w:before="0"/>
              <w:jc w:val="left"/>
              <w:rPr>
                <w:b/>
                <w:sz w:val="21"/>
              </w:rPr>
            </w:pPr>
          </w:p>
          <w:p w:rsidR="003F5784" w14:paraId="7E31C6B5" w14:textId="77777777">
            <w:pPr>
              <w:pStyle w:val="TableParagraph"/>
              <w:spacing w:before="230"/>
              <w:jc w:val="left"/>
              <w:rPr>
                <w:b/>
                <w:sz w:val="21"/>
              </w:rPr>
            </w:pPr>
          </w:p>
          <w:p w:rsidR="003F5784" w14:paraId="56A1196B" w14:textId="77777777">
            <w:pPr>
              <w:pStyle w:val="TableParagraph"/>
              <w:spacing w:before="0" w:line="238" w:lineRule="exact"/>
              <w:ind w:right="124"/>
              <w:rPr>
                <w:sz w:val="21"/>
              </w:rPr>
            </w:pPr>
            <w:r>
              <w:rPr>
                <w:spacing w:val="-2"/>
                <w:sz w:val="21"/>
              </w:rPr>
              <w:t>Weighted</w:t>
            </w:r>
            <w:r>
              <w:rPr>
                <w:spacing w:val="-11"/>
                <w:sz w:val="21"/>
              </w:rPr>
              <w:t xml:space="preserve"> </w:t>
            </w:r>
            <w:r>
              <w:rPr>
                <w:spacing w:val="-2"/>
                <w:sz w:val="21"/>
              </w:rPr>
              <w:t>percent</w:t>
            </w:r>
          </w:p>
          <w:p w:rsidR="003F5784" w14:paraId="7D590DE3" w14:textId="77777777">
            <w:pPr>
              <w:pStyle w:val="TableParagraph"/>
              <w:spacing w:before="1" w:line="234" w:lineRule="exact"/>
              <w:ind w:left="323" w:right="124" w:firstLine="352"/>
              <w:rPr>
                <w:sz w:val="21"/>
              </w:rPr>
            </w:pPr>
            <w:r>
              <w:rPr>
                <w:sz w:val="21"/>
              </w:rPr>
              <w:t>of</w:t>
            </w:r>
            <w:r>
              <w:rPr>
                <w:spacing w:val="-14"/>
                <w:sz w:val="21"/>
              </w:rPr>
              <w:t xml:space="preserve"> </w:t>
            </w:r>
            <w:r>
              <w:rPr>
                <w:sz w:val="21"/>
              </w:rPr>
              <w:t xml:space="preserve">students </w:t>
            </w:r>
            <w:r>
              <w:rPr>
                <w:spacing w:val="-2"/>
                <w:sz w:val="21"/>
              </w:rPr>
              <w:t>accommodated</w:t>
            </w:r>
          </w:p>
        </w:tc>
      </w:tr>
      <w:tr w14:paraId="6B6E3BC4" w14:textId="77777777">
        <w:tblPrEx>
          <w:tblW w:w="0" w:type="auto"/>
          <w:tblInd w:w="482" w:type="dxa"/>
          <w:tblLayout w:type="fixed"/>
          <w:tblCellMar>
            <w:left w:w="0" w:type="dxa"/>
            <w:right w:w="0" w:type="dxa"/>
          </w:tblCellMar>
          <w:tblLook w:val="01E0"/>
        </w:tblPrEx>
        <w:trPr>
          <w:trHeight w:val="281"/>
        </w:trPr>
        <w:tc>
          <w:tcPr>
            <w:tcW w:w="3181" w:type="dxa"/>
            <w:tcBorders>
              <w:top w:val="single" w:sz="18" w:space="0" w:color="800000"/>
              <w:bottom w:val="single" w:sz="12" w:space="0" w:color="800000"/>
            </w:tcBorders>
          </w:tcPr>
          <w:p w:rsidR="003F5784" w14:paraId="4FC4D88F" w14:textId="77777777">
            <w:pPr>
              <w:pStyle w:val="TableParagraph"/>
              <w:spacing w:before="9"/>
              <w:ind w:left="370"/>
              <w:jc w:val="left"/>
              <w:rPr>
                <w:b/>
                <w:sz w:val="21"/>
              </w:rPr>
            </w:pPr>
            <w:r>
              <w:rPr>
                <w:b/>
                <w:spacing w:val="-5"/>
                <w:sz w:val="21"/>
              </w:rPr>
              <w:t>All</w:t>
            </w:r>
          </w:p>
        </w:tc>
        <w:tc>
          <w:tcPr>
            <w:tcW w:w="1188" w:type="dxa"/>
            <w:tcBorders>
              <w:top w:val="single" w:sz="18" w:space="0" w:color="800000"/>
              <w:bottom w:val="single" w:sz="12" w:space="0" w:color="800000"/>
            </w:tcBorders>
          </w:tcPr>
          <w:p w:rsidR="003F5784" w14:paraId="4DB4BDEA" w14:textId="77777777">
            <w:pPr>
              <w:pStyle w:val="TableParagraph"/>
              <w:spacing w:before="9"/>
              <w:ind w:right="124"/>
              <w:rPr>
                <w:b/>
                <w:sz w:val="21"/>
              </w:rPr>
            </w:pPr>
            <w:r>
              <w:rPr>
                <w:b/>
                <w:spacing w:val="-5"/>
                <w:sz w:val="21"/>
              </w:rPr>
              <w:t>570</w:t>
            </w:r>
          </w:p>
        </w:tc>
        <w:tc>
          <w:tcPr>
            <w:tcW w:w="1979" w:type="dxa"/>
            <w:tcBorders>
              <w:top w:val="single" w:sz="18" w:space="0" w:color="800000"/>
              <w:bottom w:val="single" w:sz="12" w:space="0" w:color="800000"/>
            </w:tcBorders>
          </w:tcPr>
          <w:p w:rsidR="003F5784" w14:paraId="29E69D4A" w14:textId="77777777">
            <w:pPr>
              <w:pStyle w:val="TableParagraph"/>
              <w:spacing w:before="9"/>
              <w:ind w:right="167"/>
              <w:rPr>
                <w:b/>
                <w:sz w:val="21"/>
              </w:rPr>
            </w:pPr>
            <w:r>
              <w:rPr>
                <w:b/>
                <w:spacing w:val="-2"/>
                <w:sz w:val="21"/>
              </w:rPr>
              <w:t>86.62</w:t>
            </w:r>
          </w:p>
        </w:tc>
        <w:tc>
          <w:tcPr>
            <w:tcW w:w="1834" w:type="dxa"/>
            <w:tcBorders>
              <w:top w:val="single" w:sz="18" w:space="0" w:color="800000"/>
              <w:bottom w:val="single" w:sz="12" w:space="0" w:color="800000"/>
            </w:tcBorders>
          </w:tcPr>
          <w:p w:rsidR="003F5784" w14:paraId="0F2CED36" w14:textId="77777777">
            <w:pPr>
              <w:pStyle w:val="TableParagraph"/>
              <w:spacing w:before="9"/>
              <w:ind w:left="-26" w:right="147"/>
              <w:rPr>
                <w:b/>
                <w:sz w:val="21"/>
              </w:rPr>
            </w:pPr>
            <w:r>
              <w:rPr>
                <w:b/>
                <w:spacing w:val="-2"/>
                <w:sz w:val="21"/>
              </w:rPr>
              <w:t>69.97</w:t>
            </w:r>
          </w:p>
        </w:tc>
        <w:tc>
          <w:tcPr>
            <w:tcW w:w="1264" w:type="dxa"/>
            <w:tcBorders>
              <w:top w:val="single" w:sz="18" w:space="0" w:color="800000"/>
              <w:bottom w:val="single" w:sz="12" w:space="0" w:color="800000"/>
            </w:tcBorders>
          </w:tcPr>
          <w:p w:rsidR="003F5784" w14:paraId="4994F57A" w14:textId="77777777">
            <w:pPr>
              <w:pStyle w:val="TableParagraph"/>
              <w:spacing w:before="9"/>
              <w:ind w:right="207"/>
              <w:rPr>
                <w:b/>
                <w:sz w:val="21"/>
              </w:rPr>
            </w:pPr>
            <w:r>
              <w:rPr>
                <w:b/>
                <w:spacing w:val="-2"/>
                <w:sz w:val="21"/>
              </w:rPr>
              <w:t>9,400</w:t>
            </w:r>
          </w:p>
        </w:tc>
        <w:tc>
          <w:tcPr>
            <w:tcW w:w="1274" w:type="dxa"/>
            <w:tcBorders>
              <w:top w:val="single" w:sz="18" w:space="0" w:color="800000"/>
              <w:bottom w:val="single" w:sz="12" w:space="0" w:color="800000"/>
            </w:tcBorders>
          </w:tcPr>
          <w:p w:rsidR="003F5784" w14:paraId="729A2062" w14:textId="77777777">
            <w:pPr>
              <w:pStyle w:val="TableParagraph"/>
              <w:spacing w:before="9"/>
              <w:ind w:right="229"/>
              <w:rPr>
                <w:b/>
                <w:sz w:val="21"/>
              </w:rPr>
            </w:pPr>
            <w:r>
              <w:rPr>
                <w:b/>
                <w:spacing w:val="-4"/>
                <w:sz w:val="21"/>
              </w:rPr>
              <w:t>1.52</w:t>
            </w:r>
          </w:p>
        </w:tc>
        <w:tc>
          <w:tcPr>
            <w:tcW w:w="1559" w:type="dxa"/>
            <w:tcBorders>
              <w:top w:val="single" w:sz="18" w:space="0" w:color="800000"/>
              <w:bottom w:val="single" w:sz="12" w:space="0" w:color="800000"/>
            </w:tcBorders>
          </w:tcPr>
          <w:p w:rsidR="003F5784" w14:paraId="1DD9525B" w14:textId="77777777">
            <w:pPr>
              <w:pStyle w:val="TableParagraph"/>
              <w:spacing w:before="9"/>
              <w:ind w:right="135"/>
              <w:rPr>
                <w:b/>
                <w:sz w:val="21"/>
              </w:rPr>
            </w:pPr>
            <w:r>
              <w:rPr>
                <w:b/>
                <w:spacing w:val="-2"/>
                <w:sz w:val="21"/>
              </w:rPr>
              <w:t>90.05</w:t>
            </w:r>
          </w:p>
        </w:tc>
        <w:tc>
          <w:tcPr>
            <w:tcW w:w="1712" w:type="dxa"/>
            <w:tcBorders>
              <w:top w:val="single" w:sz="18" w:space="0" w:color="800000"/>
              <w:bottom w:val="single" w:sz="12" w:space="0" w:color="800000"/>
            </w:tcBorders>
          </w:tcPr>
          <w:p w:rsidR="003F5784" w14:paraId="35391F30" w14:textId="77777777">
            <w:pPr>
              <w:pStyle w:val="TableParagraph"/>
              <w:spacing w:before="9"/>
              <w:ind w:right="124"/>
              <w:rPr>
                <w:b/>
                <w:sz w:val="21"/>
              </w:rPr>
            </w:pPr>
            <w:r>
              <w:rPr>
                <w:b/>
                <w:spacing w:val="-2"/>
                <w:sz w:val="21"/>
              </w:rPr>
              <w:t>13.25</w:t>
            </w:r>
          </w:p>
        </w:tc>
      </w:tr>
      <w:tr w14:paraId="22B61F47" w14:textId="77777777">
        <w:tblPrEx>
          <w:tblW w:w="0" w:type="auto"/>
          <w:tblInd w:w="482" w:type="dxa"/>
          <w:tblLayout w:type="fixed"/>
          <w:tblCellMar>
            <w:left w:w="0" w:type="dxa"/>
            <w:right w:w="0" w:type="dxa"/>
          </w:tblCellMar>
          <w:tblLook w:val="01E0"/>
        </w:tblPrEx>
        <w:trPr>
          <w:trHeight w:val="320"/>
        </w:trPr>
        <w:tc>
          <w:tcPr>
            <w:tcW w:w="3181" w:type="dxa"/>
            <w:tcBorders>
              <w:top w:val="single" w:sz="12" w:space="0" w:color="800000"/>
            </w:tcBorders>
          </w:tcPr>
          <w:p w:rsidR="003F5784" w14:paraId="7EF7CB68" w14:textId="77777777">
            <w:pPr>
              <w:pStyle w:val="TableParagraph"/>
              <w:spacing w:before="11"/>
              <w:ind w:left="381"/>
              <w:jc w:val="left"/>
              <w:rPr>
                <w:b/>
                <w:sz w:val="17"/>
              </w:rPr>
            </w:pPr>
            <w:r>
              <w:rPr>
                <w:sz w:val="21"/>
              </w:rPr>
              <w:t>National</w:t>
            </w:r>
            <w:r>
              <w:rPr>
                <w:spacing w:val="-9"/>
                <w:sz w:val="21"/>
              </w:rPr>
              <w:t xml:space="preserve"> </w:t>
            </w:r>
            <w:r>
              <w:rPr>
                <w:spacing w:val="-4"/>
                <w:sz w:val="21"/>
              </w:rPr>
              <w:t>all</w:t>
            </w:r>
            <w:r>
              <w:rPr>
                <w:b/>
                <w:spacing w:val="-4"/>
                <w:position w:val="8"/>
                <w:sz w:val="17"/>
              </w:rPr>
              <w:t>1</w:t>
            </w:r>
          </w:p>
        </w:tc>
        <w:tc>
          <w:tcPr>
            <w:tcW w:w="1188" w:type="dxa"/>
            <w:tcBorders>
              <w:top w:val="single" w:sz="12" w:space="0" w:color="800000"/>
            </w:tcBorders>
          </w:tcPr>
          <w:p w:rsidR="003F5784" w14:paraId="034342B5" w14:textId="77777777">
            <w:pPr>
              <w:pStyle w:val="TableParagraph"/>
              <w:spacing w:before="0" w:line="239" w:lineRule="exact"/>
              <w:ind w:right="124"/>
              <w:rPr>
                <w:sz w:val="21"/>
              </w:rPr>
            </w:pPr>
            <w:r>
              <w:rPr>
                <w:spacing w:val="-5"/>
                <w:sz w:val="21"/>
              </w:rPr>
              <w:t>570</w:t>
            </w:r>
          </w:p>
        </w:tc>
        <w:tc>
          <w:tcPr>
            <w:tcW w:w="1979" w:type="dxa"/>
            <w:tcBorders>
              <w:top w:val="single" w:sz="12" w:space="0" w:color="800000"/>
            </w:tcBorders>
          </w:tcPr>
          <w:p w:rsidR="003F5784" w14:paraId="4662B8D9" w14:textId="77777777">
            <w:pPr>
              <w:pStyle w:val="TableParagraph"/>
              <w:spacing w:before="0" w:line="239" w:lineRule="exact"/>
              <w:ind w:right="167"/>
              <w:rPr>
                <w:sz w:val="21"/>
              </w:rPr>
            </w:pPr>
            <w:r>
              <w:rPr>
                <w:spacing w:val="-2"/>
                <w:sz w:val="21"/>
              </w:rPr>
              <w:t>86.62</w:t>
            </w:r>
          </w:p>
        </w:tc>
        <w:tc>
          <w:tcPr>
            <w:tcW w:w="1834" w:type="dxa"/>
            <w:tcBorders>
              <w:top w:val="single" w:sz="12" w:space="0" w:color="800000"/>
            </w:tcBorders>
          </w:tcPr>
          <w:p w:rsidR="003F5784" w14:paraId="545A4549" w14:textId="77777777">
            <w:pPr>
              <w:pStyle w:val="TableParagraph"/>
              <w:spacing w:before="0" w:line="239" w:lineRule="exact"/>
              <w:ind w:left="-26" w:right="147"/>
              <w:rPr>
                <w:sz w:val="21"/>
              </w:rPr>
            </w:pPr>
            <w:r>
              <w:rPr>
                <w:spacing w:val="-2"/>
                <w:sz w:val="21"/>
              </w:rPr>
              <w:t>69.97</w:t>
            </w:r>
          </w:p>
        </w:tc>
        <w:tc>
          <w:tcPr>
            <w:tcW w:w="1264" w:type="dxa"/>
            <w:tcBorders>
              <w:top w:val="single" w:sz="12" w:space="0" w:color="800000"/>
            </w:tcBorders>
          </w:tcPr>
          <w:p w:rsidR="003F5784" w14:paraId="2620D3F1" w14:textId="77777777">
            <w:pPr>
              <w:pStyle w:val="TableParagraph"/>
              <w:spacing w:before="0" w:line="239" w:lineRule="exact"/>
              <w:ind w:right="207"/>
              <w:rPr>
                <w:sz w:val="21"/>
              </w:rPr>
            </w:pPr>
            <w:r>
              <w:rPr>
                <w:spacing w:val="-2"/>
                <w:sz w:val="21"/>
              </w:rPr>
              <w:t>9,400</w:t>
            </w:r>
          </w:p>
        </w:tc>
        <w:tc>
          <w:tcPr>
            <w:tcW w:w="1274" w:type="dxa"/>
            <w:tcBorders>
              <w:top w:val="single" w:sz="12" w:space="0" w:color="800000"/>
            </w:tcBorders>
          </w:tcPr>
          <w:p w:rsidR="003F5784" w14:paraId="546F96E5" w14:textId="77777777">
            <w:pPr>
              <w:pStyle w:val="TableParagraph"/>
              <w:spacing w:before="0" w:line="239" w:lineRule="exact"/>
              <w:ind w:right="229"/>
              <w:rPr>
                <w:sz w:val="21"/>
              </w:rPr>
            </w:pPr>
            <w:r>
              <w:rPr>
                <w:spacing w:val="-4"/>
                <w:sz w:val="21"/>
              </w:rPr>
              <w:t>1.52</w:t>
            </w:r>
          </w:p>
        </w:tc>
        <w:tc>
          <w:tcPr>
            <w:tcW w:w="1559" w:type="dxa"/>
            <w:tcBorders>
              <w:top w:val="single" w:sz="12" w:space="0" w:color="800000"/>
            </w:tcBorders>
          </w:tcPr>
          <w:p w:rsidR="003F5784" w14:paraId="57FCC0EE" w14:textId="77777777">
            <w:pPr>
              <w:pStyle w:val="TableParagraph"/>
              <w:spacing w:before="0" w:line="239" w:lineRule="exact"/>
              <w:ind w:right="135"/>
              <w:rPr>
                <w:sz w:val="21"/>
              </w:rPr>
            </w:pPr>
            <w:r>
              <w:rPr>
                <w:spacing w:val="-2"/>
                <w:sz w:val="21"/>
              </w:rPr>
              <w:t>90.05</w:t>
            </w:r>
          </w:p>
        </w:tc>
        <w:tc>
          <w:tcPr>
            <w:tcW w:w="1712" w:type="dxa"/>
            <w:tcBorders>
              <w:top w:val="single" w:sz="12" w:space="0" w:color="800000"/>
            </w:tcBorders>
          </w:tcPr>
          <w:p w:rsidR="003F5784" w14:paraId="16826053" w14:textId="77777777">
            <w:pPr>
              <w:pStyle w:val="TableParagraph"/>
              <w:spacing w:before="0" w:line="239" w:lineRule="exact"/>
              <w:ind w:right="124"/>
              <w:rPr>
                <w:sz w:val="21"/>
              </w:rPr>
            </w:pPr>
            <w:r>
              <w:rPr>
                <w:spacing w:val="-2"/>
                <w:sz w:val="21"/>
              </w:rPr>
              <w:t>13.25</w:t>
            </w:r>
          </w:p>
        </w:tc>
      </w:tr>
      <w:tr w14:paraId="1FC14FE6" w14:textId="77777777">
        <w:tblPrEx>
          <w:tblW w:w="0" w:type="auto"/>
          <w:tblInd w:w="482" w:type="dxa"/>
          <w:tblLayout w:type="fixed"/>
          <w:tblCellMar>
            <w:left w:w="0" w:type="dxa"/>
            <w:right w:w="0" w:type="dxa"/>
          </w:tblCellMar>
          <w:tblLook w:val="01E0"/>
        </w:tblPrEx>
        <w:trPr>
          <w:trHeight w:val="284"/>
        </w:trPr>
        <w:tc>
          <w:tcPr>
            <w:tcW w:w="3181" w:type="dxa"/>
          </w:tcPr>
          <w:p w:rsidR="003F5784" w14:paraId="3FDAB970" w14:textId="77777777">
            <w:pPr>
              <w:pStyle w:val="TableParagraph"/>
              <w:spacing w:before="15"/>
              <w:ind w:left="120"/>
              <w:jc w:val="left"/>
              <w:rPr>
                <w:sz w:val="21"/>
              </w:rPr>
            </w:pPr>
            <w:r>
              <w:rPr>
                <w:sz w:val="21"/>
              </w:rPr>
              <w:t>Northeast</w:t>
            </w:r>
            <w:r>
              <w:rPr>
                <w:spacing w:val="-10"/>
                <w:sz w:val="21"/>
              </w:rPr>
              <w:t xml:space="preserve"> </w:t>
            </w:r>
            <w:r>
              <w:rPr>
                <w:spacing w:val="-5"/>
                <w:sz w:val="21"/>
              </w:rPr>
              <w:t>all</w:t>
            </w:r>
          </w:p>
        </w:tc>
        <w:tc>
          <w:tcPr>
            <w:tcW w:w="1188" w:type="dxa"/>
          </w:tcPr>
          <w:p w:rsidR="003F5784" w14:paraId="4508E4F0" w14:textId="77777777">
            <w:pPr>
              <w:pStyle w:val="TableParagraph"/>
              <w:spacing w:before="15"/>
              <w:ind w:right="124"/>
              <w:rPr>
                <w:sz w:val="21"/>
              </w:rPr>
            </w:pPr>
            <w:r>
              <w:rPr>
                <w:spacing w:val="-5"/>
                <w:sz w:val="21"/>
              </w:rPr>
              <w:t>90</w:t>
            </w:r>
          </w:p>
        </w:tc>
        <w:tc>
          <w:tcPr>
            <w:tcW w:w="1979" w:type="dxa"/>
          </w:tcPr>
          <w:p w:rsidR="003F5784" w14:paraId="0143B092" w14:textId="77777777">
            <w:pPr>
              <w:pStyle w:val="TableParagraph"/>
              <w:spacing w:before="15"/>
              <w:ind w:right="167"/>
              <w:rPr>
                <w:sz w:val="21"/>
              </w:rPr>
            </w:pPr>
            <w:r>
              <w:rPr>
                <w:spacing w:val="-2"/>
                <w:sz w:val="21"/>
              </w:rPr>
              <w:t>82.11</w:t>
            </w:r>
          </w:p>
        </w:tc>
        <w:tc>
          <w:tcPr>
            <w:tcW w:w="1834" w:type="dxa"/>
          </w:tcPr>
          <w:p w:rsidR="003F5784" w14:paraId="1CD97B4D" w14:textId="77777777">
            <w:pPr>
              <w:pStyle w:val="TableParagraph"/>
              <w:spacing w:before="15"/>
              <w:ind w:left="-26" w:right="147"/>
              <w:rPr>
                <w:sz w:val="21"/>
              </w:rPr>
            </w:pPr>
            <w:r>
              <w:rPr>
                <w:spacing w:val="-2"/>
                <w:sz w:val="21"/>
              </w:rPr>
              <w:t>60.26</w:t>
            </w:r>
          </w:p>
        </w:tc>
        <w:tc>
          <w:tcPr>
            <w:tcW w:w="1264" w:type="dxa"/>
          </w:tcPr>
          <w:p w:rsidR="003F5784" w14:paraId="5E5BFD88" w14:textId="77777777">
            <w:pPr>
              <w:pStyle w:val="TableParagraph"/>
              <w:spacing w:before="15"/>
              <w:ind w:right="207"/>
              <w:rPr>
                <w:sz w:val="21"/>
              </w:rPr>
            </w:pPr>
            <w:r>
              <w:rPr>
                <w:spacing w:val="-2"/>
                <w:sz w:val="21"/>
              </w:rPr>
              <w:t>1,200</w:t>
            </w:r>
          </w:p>
        </w:tc>
        <w:tc>
          <w:tcPr>
            <w:tcW w:w="1274" w:type="dxa"/>
          </w:tcPr>
          <w:p w:rsidR="003F5784" w14:paraId="0A1A3778" w14:textId="77777777">
            <w:pPr>
              <w:pStyle w:val="TableParagraph"/>
              <w:spacing w:before="15"/>
              <w:ind w:right="229"/>
              <w:rPr>
                <w:sz w:val="21"/>
              </w:rPr>
            </w:pPr>
            <w:r>
              <w:rPr>
                <w:spacing w:val="-4"/>
                <w:sz w:val="21"/>
              </w:rPr>
              <w:t>1.36</w:t>
            </w:r>
          </w:p>
        </w:tc>
        <w:tc>
          <w:tcPr>
            <w:tcW w:w="1559" w:type="dxa"/>
          </w:tcPr>
          <w:p w:rsidR="003F5784" w14:paraId="2ACEA55A" w14:textId="77777777">
            <w:pPr>
              <w:pStyle w:val="TableParagraph"/>
              <w:spacing w:before="15"/>
              <w:ind w:right="135"/>
              <w:rPr>
                <w:sz w:val="21"/>
              </w:rPr>
            </w:pPr>
            <w:r>
              <w:rPr>
                <w:spacing w:val="-2"/>
                <w:sz w:val="21"/>
              </w:rPr>
              <w:t>88.37</w:t>
            </w:r>
          </w:p>
        </w:tc>
        <w:tc>
          <w:tcPr>
            <w:tcW w:w="1712" w:type="dxa"/>
          </w:tcPr>
          <w:p w:rsidR="003F5784" w14:paraId="54AA2E5C" w14:textId="77777777">
            <w:pPr>
              <w:pStyle w:val="TableParagraph"/>
              <w:spacing w:before="15"/>
              <w:ind w:right="124"/>
              <w:rPr>
                <w:sz w:val="21"/>
              </w:rPr>
            </w:pPr>
            <w:r>
              <w:rPr>
                <w:spacing w:val="-2"/>
                <w:sz w:val="21"/>
              </w:rPr>
              <w:t>17.65</w:t>
            </w:r>
          </w:p>
        </w:tc>
      </w:tr>
      <w:tr w14:paraId="2D54DAF7" w14:textId="77777777">
        <w:tblPrEx>
          <w:tblW w:w="0" w:type="auto"/>
          <w:tblInd w:w="482" w:type="dxa"/>
          <w:tblLayout w:type="fixed"/>
          <w:tblCellMar>
            <w:left w:w="0" w:type="dxa"/>
            <w:right w:w="0" w:type="dxa"/>
          </w:tblCellMar>
          <w:tblLook w:val="01E0"/>
        </w:tblPrEx>
        <w:trPr>
          <w:trHeight w:val="286"/>
        </w:trPr>
        <w:tc>
          <w:tcPr>
            <w:tcW w:w="3181" w:type="dxa"/>
          </w:tcPr>
          <w:p w:rsidR="003F5784" w14:paraId="5622E12D" w14:textId="77777777">
            <w:pPr>
              <w:pStyle w:val="TableParagraph"/>
              <w:ind w:left="120"/>
              <w:jc w:val="left"/>
              <w:rPr>
                <w:sz w:val="21"/>
              </w:rPr>
            </w:pPr>
            <w:r>
              <w:rPr>
                <w:sz w:val="21"/>
              </w:rPr>
              <w:t>Midwest</w:t>
            </w:r>
            <w:r>
              <w:rPr>
                <w:spacing w:val="-9"/>
                <w:sz w:val="21"/>
              </w:rPr>
              <w:t xml:space="preserve"> </w:t>
            </w:r>
            <w:r>
              <w:rPr>
                <w:spacing w:val="-5"/>
                <w:sz w:val="21"/>
              </w:rPr>
              <w:t>all</w:t>
            </w:r>
          </w:p>
        </w:tc>
        <w:tc>
          <w:tcPr>
            <w:tcW w:w="1188" w:type="dxa"/>
          </w:tcPr>
          <w:p w:rsidR="003F5784" w14:paraId="13256526" w14:textId="77777777">
            <w:pPr>
              <w:pStyle w:val="TableParagraph"/>
              <w:ind w:right="124"/>
              <w:rPr>
                <w:sz w:val="21"/>
              </w:rPr>
            </w:pPr>
            <w:r>
              <w:rPr>
                <w:spacing w:val="-5"/>
                <w:sz w:val="21"/>
              </w:rPr>
              <w:t>110</w:t>
            </w:r>
          </w:p>
        </w:tc>
        <w:tc>
          <w:tcPr>
            <w:tcW w:w="1979" w:type="dxa"/>
          </w:tcPr>
          <w:p w:rsidR="003F5784" w14:paraId="1CA62891" w14:textId="77777777">
            <w:pPr>
              <w:pStyle w:val="TableParagraph"/>
              <w:ind w:right="167"/>
              <w:rPr>
                <w:sz w:val="21"/>
              </w:rPr>
            </w:pPr>
            <w:r>
              <w:rPr>
                <w:spacing w:val="-2"/>
                <w:sz w:val="21"/>
              </w:rPr>
              <w:t>87.34</w:t>
            </w:r>
          </w:p>
        </w:tc>
        <w:tc>
          <w:tcPr>
            <w:tcW w:w="1834" w:type="dxa"/>
          </w:tcPr>
          <w:p w:rsidR="003F5784" w14:paraId="2D6EFA46" w14:textId="77777777">
            <w:pPr>
              <w:pStyle w:val="TableParagraph"/>
              <w:ind w:left="-26" w:right="147"/>
              <w:rPr>
                <w:sz w:val="21"/>
              </w:rPr>
            </w:pPr>
            <w:r>
              <w:rPr>
                <w:spacing w:val="-2"/>
                <w:sz w:val="21"/>
              </w:rPr>
              <w:t>71.53</w:t>
            </w:r>
          </w:p>
        </w:tc>
        <w:tc>
          <w:tcPr>
            <w:tcW w:w="1264" w:type="dxa"/>
          </w:tcPr>
          <w:p w:rsidR="003F5784" w14:paraId="158420BB" w14:textId="77777777">
            <w:pPr>
              <w:pStyle w:val="TableParagraph"/>
              <w:ind w:right="207"/>
              <w:rPr>
                <w:sz w:val="21"/>
              </w:rPr>
            </w:pPr>
            <w:r>
              <w:rPr>
                <w:spacing w:val="-2"/>
                <w:sz w:val="21"/>
              </w:rPr>
              <w:t>1,800</w:t>
            </w:r>
          </w:p>
        </w:tc>
        <w:tc>
          <w:tcPr>
            <w:tcW w:w="1274" w:type="dxa"/>
          </w:tcPr>
          <w:p w:rsidR="003F5784" w14:paraId="08E85C7C" w14:textId="77777777">
            <w:pPr>
              <w:pStyle w:val="TableParagraph"/>
              <w:ind w:right="229"/>
              <w:rPr>
                <w:sz w:val="21"/>
              </w:rPr>
            </w:pPr>
            <w:r>
              <w:rPr>
                <w:spacing w:val="-4"/>
                <w:sz w:val="21"/>
              </w:rPr>
              <w:t>1.39</w:t>
            </w:r>
          </w:p>
        </w:tc>
        <w:tc>
          <w:tcPr>
            <w:tcW w:w="1559" w:type="dxa"/>
          </w:tcPr>
          <w:p w:rsidR="003F5784" w14:paraId="5530BD83" w14:textId="77777777">
            <w:pPr>
              <w:pStyle w:val="TableParagraph"/>
              <w:ind w:right="135"/>
              <w:rPr>
                <w:sz w:val="21"/>
              </w:rPr>
            </w:pPr>
            <w:r>
              <w:rPr>
                <w:spacing w:val="-2"/>
                <w:sz w:val="21"/>
              </w:rPr>
              <w:t>91.26</w:t>
            </w:r>
          </w:p>
        </w:tc>
        <w:tc>
          <w:tcPr>
            <w:tcW w:w="1712" w:type="dxa"/>
          </w:tcPr>
          <w:p w:rsidR="003F5784" w14:paraId="49E33AD5" w14:textId="77777777">
            <w:pPr>
              <w:pStyle w:val="TableParagraph"/>
              <w:ind w:right="124"/>
              <w:rPr>
                <w:sz w:val="21"/>
              </w:rPr>
            </w:pPr>
            <w:r>
              <w:rPr>
                <w:spacing w:val="-2"/>
                <w:sz w:val="21"/>
              </w:rPr>
              <w:t>13.01</w:t>
            </w:r>
          </w:p>
        </w:tc>
      </w:tr>
      <w:tr w14:paraId="52AAB1CB" w14:textId="77777777">
        <w:tblPrEx>
          <w:tblW w:w="0" w:type="auto"/>
          <w:tblInd w:w="482" w:type="dxa"/>
          <w:tblLayout w:type="fixed"/>
          <w:tblCellMar>
            <w:left w:w="0" w:type="dxa"/>
            <w:right w:w="0" w:type="dxa"/>
          </w:tblCellMar>
          <w:tblLook w:val="01E0"/>
        </w:tblPrEx>
        <w:trPr>
          <w:trHeight w:val="286"/>
        </w:trPr>
        <w:tc>
          <w:tcPr>
            <w:tcW w:w="3181" w:type="dxa"/>
          </w:tcPr>
          <w:p w:rsidR="003F5784" w14:paraId="2B610A8D" w14:textId="77777777">
            <w:pPr>
              <w:pStyle w:val="TableParagraph"/>
              <w:ind w:left="120"/>
              <w:jc w:val="left"/>
              <w:rPr>
                <w:sz w:val="21"/>
              </w:rPr>
            </w:pPr>
            <w:r>
              <w:rPr>
                <w:sz w:val="21"/>
              </w:rPr>
              <w:t>South</w:t>
            </w:r>
            <w:r>
              <w:rPr>
                <w:spacing w:val="-6"/>
                <w:sz w:val="21"/>
              </w:rPr>
              <w:t xml:space="preserve"> </w:t>
            </w:r>
            <w:r>
              <w:rPr>
                <w:spacing w:val="-5"/>
                <w:sz w:val="21"/>
              </w:rPr>
              <w:t>all</w:t>
            </w:r>
          </w:p>
        </w:tc>
        <w:tc>
          <w:tcPr>
            <w:tcW w:w="1188" w:type="dxa"/>
          </w:tcPr>
          <w:p w:rsidR="003F5784" w14:paraId="44DE8E60" w14:textId="77777777">
            <w:pPr>
              <w:pStyle w:val="TableParagraph"/>
              <w:ind w:right="124"/>
              <w:rPr>
                <w:sz w:val="21"/>
              </w:rPr>
            </w:pPr>
            <w:r>
              <w:rPr>
                <w:spacing w:val="-5"/>
                <w:sz w:val="21"/>
              </w:rPr>
              <w:t>230</w:t>
            </w:r>
          </w:p>
        </w:tc>
        <w:tc>
          <w:tcPr>
            <w:tcW w:w="1979" w:type="dxa"/>
          </w:tcPr>
          <w:p w:rsidR="003F5784" w14:paraId="2908D9D5" w14:textId="77777777">
            <w:pPr>
              <w:pStyle w:val="TableParagraph"/>
              <w:ind w:right="167"/>
              <w:rPr>
                <w:sz w:val="21"/>
              </w:rPr>
            </w:pPr>
            <w:r>
              <w:rPr>
                <w:spacing w:val="-2"/>
                <w:sz w:val="21"/>
              </w:rPr>
              <w:t>91.46</w:t>
            </w:r>
          </w:p>
        </w:tc>
        <w:tc>
          <w:tcPr>
            <w:tcW w:w="1834" w:type="dxa"/>
          </w:tcPr>
          <w:p w:rsidR="003F5784" w14:paraId="53999BDE" w14:textId="77777777">
            <w:pPr>
              <w:pStyle w:val="TableParagraph"/>
              <w:ind w:left="-26" w:right="147"/>
              <w:rPr>
                <w:sz w:val="21"/>
              </w:rPr>
            </w:pPr>
            <w:r>
              <w:rPr>
                <w:spacing w:val="-2"/>
                <w:sz w:val="21"/>
              </w:rPr>
              <w:t>73.39</w:t>
            </w:r>
          </w:p>
        </w:tc>
        <w:tc>
          <w:tcPr>
            <w:tcW w:w="1264" w:type="dxa"/>
          </w:tcPr>
          <w:p w:rsidR="003F5784" w14:paraId="46FD652C" w14:textId="77777777">
            <w:pPr>
              <w:pStyle w:val="TableParagraph"/>
              <w:ind w:right="207"/>
              <w:rPr>
                <w:sz w:val="21"/>
              </w:rPr>
            </w:pPr>
            <w:r>
              <w:rPr>
                <w:spacing w:val="-2"/>
                <w:sz w:val="21"/>
              </w:rPr>
              <w:t>4,200</w:t>
            </w:r>
          </w:p>
        </w:tc>
        <w:tc>
          <w:tcPr>
            <w:tcW w:w="1274" w:type="dxa"/>
          </w:tcPr>
          <w:p w:rsidR="003F5784" w14:paraId="021F1471" w14:textId="77777777">
            <w:pPr>
              <w:pStyle w:val="TableParagraph"/>
              <w:ind w:right="229"/>
              <w:rPr>
                <w:sz w:val="21"/>
              </w:rPr>
            </w:pPr>
            <w:r>
              <w:rPr>
                <w:spacing w:val="-4"/>
                <w:sz w:val="21"/>
              </w:rPr>
              <w:t>1.51</w:t>
            </w:r>
          </w:p>
        </w:tc>
        <w:tc>
          <w:tcPr>
            <w:tcW w:w="1559" w:type="dxa"/>
          </w:tcPr>
          <w:p w:rsidR="003F5784" w14:paraId="7D5FE327" w14:textId="77777777">
            <w:pPr>
              <w:pStyle w:val="TableParagraph"/>
              <w:ind w:right="135"/>
              <w:rPr>
                <w:sz w:val="21"/>
              </w:rPr>
            </w:pPr>
            <w:r>
              <w:rPr>
                <w:spacing w:val="-2"/>
                <w:sz w:val="21"/>
              </w:rPr>
              <w:t>90.52</w:t>
            </w:r>
          </w:p>
        </w:tc>
        <w:tc>
          <w:tcPr>
            <w:tcW w:w="1712" w:type="dxa"/>
          </w:tcPr>
          <w:p w:rsidR="003F5784" w14:paraId="629A4089" w14:textId="77777777">
            <w:pPr>
              <w:pStyle w:val="TableParagraph"/>
              <w:ind w:right="124"/>
              <w:rPr>
                <w:sz w:val="21"/>
              </w:rPr>
            </w:pPr>
            <w:r>
              <w:rPr>
                <w:spacing w:val="-2"/>
                <w:sz w:val="21"/>
              </w:rPr>
              <w:t>14.91</w:t>
            </w:r>
          </w:p>
        </w:tc>
      </w:tr>
      <w:tr w14:paraId="7DED74F7" w14:textId="77777777">
        <w:tblPrEx>
          <w:tblW w:w="0" w:type="auto"/>
          <w:tblInd w:w="482" w:type="dxa"/>
          <w:tblLayout w:type="fixed"/>
          <w:tblCellMar>
            <w:left w:w="0" w:type="dxa"/>
            <w:right w:w="0" w:type="dxa"/>
          </w:tblCellMar>
          <w:tblLook w:val="01E0"/>
        </w:tblPrEx>
        <w:trPr>
          <w:trHeight w:val="290"/>
        </w:trPr>
        <w:tc>
          <w:tcPr>
            <w:tcW w:w="3181" w:type="dxa"/>
            <w:tcBorders>
              <w:bottom w:val="single" w:sz="12" w:space="0" w:color="800000"/>
            </w:tcBorders>
          </w:tcPr>
          <w:p w:rsidR="003F5784" w14:paraId="79739368" w14:textId="77777777">
            <w:pPr>
              <w:pStyle w:val="TableParagraph"/>
              <w:ind w:left="120"/>
              <w:jc w:val="left"/>
              <w:rPr>
                <w:sz w:val="21"/>
              </w:rPr>
            </w:pPr>
            <w:r>
              <w:rPr>
                <w:spacing w:val="-4"/>
                <w:sz w:val="21"/>
              </w:rPr>
              <w:t>West</w:t>
            </w:r>
            <w:r>
              <w:rPr>
                <w:spacing w:val="-7"/>
                <w:sz w:val="21"/>
              </w:rPr>
              <w:t xml:space="preserve"> </w:t>
            </w:r>
            <w:r>
              <w:rPr>
                <w:spacing w:val="-5"/>
                <w:sz w:val="21"/>
              </w:rPr>
              <w:t>all</w:t>
            </w:r>
          </w:p>
        </w:tc>
        <w:tc>
          <w:tcPr>
            <w:tcW w:w="1188" w:type="dxa"/>
            <w:tcBorders>
              <w:bottom w:val="single" w:sz="12" w:space="0" w:color="800000"/>
            </w:tcBorders>
          </w:tcPr>
          <w:p w:rsidR="003F5784" w14:paraId="61EAF4BD" w14:textId="77777777">
            <w:pPr>
              <w:pStyle w:val="TableParagraph"/>
              <w:ind w:right="124"/>
              <w:rPr>
                <w:sz w:val="21"/>
              </w:rPr>
            </w:pPr>
            <w:r>
              <w:rPr>
                <w:spacing w:val="-5"/>
                <w:sz w:val="21"/>
              </w:rPr>
              <w:t>140</w:t>
            </w:r>
          </w:p>
        </w:tc>
        <w:tc>
          <w:tcPr>
            <w:tcW w:w="1979" w:type="dxa"/>
            <w:tcBorders>
              <w:bottom w:val="single" w:sz="12" w:space="0" w:color="800000"/>
            </w:tcBorders>
          </w:tcPr>
          <w:p w:rsidR="003F5784" w14:paraId="0DBBEF86" w14:textId="77777777">
            <w:pPr>
              <w:pStyle w:val="TableParagraph"/>
              <w:ind w:right="167"/>
              <w:rPr>
                <w:sz w:val="21"/>
              </w:rPr>
            </w:pPr>
            <w:r>
              <w:rPr>
                <w:spacing w:val="-2"/>
                <w:sz w:val="21"/>
              </w:rPr>
              <w:t>80.38</w:t>
            </w:r>
          </w:p>
        </w:tc>
        <w:tc>
          <w:tcPr>
            <w:tcW w:w="1834" w:type="dxa"/>
            <w:tcBorders>
              <w:bottom w:val="single" w:sz="12" w:space="0" w:color="800000"/>
            </w:tcBorders>
          </w:tcPr>
          <w:p w:rsidR="003F5784" w14:paraId="7DE09AA1" w14:textId="77777777">
            <w:pPr>
              <w:pStyle w:val="TableParagraph"/>
              <w:ind w:left="-26" w:right="147"/>
              <w:rPr>
                <w:sz w:val="21"/>
              </w:rPr>
            </w:pPr>
            <w:r>
              <w:rPr>
                <w:spacing w:val="-2"/>
                <w:sz w:val="21"/>
              </w:rPr>
              <w:t>69.74</w:t>
            </w:r>
          </w:p>
        </w:tc>
        <w:tc>
          <w:tcPr>
            <w:tcW w:w="1264" w:type="dxa"/>
            <w:tcBorders>
              <w:bottom w:val="single" w:sz="12" w:space="0" w:color="800000"/>
            </w:tcBorders>
          </w:tcPr>
          <w:p w:rsidR="003F5784" w14:paraId="2C99001C" w14:textId="77777777">
            <w:pPr>
              <w:pStyle w:val="TableParagraph"/>
              <w:ind w:right="207"/>
              <w:rPr>
                <w:sz w:val="21"/>
              </w:rPr>
            </w:pPr>
            <w:r>
              <w:rPr>
                <w:spacing w:val="-2"/>
                <w:sz w:val="21"/>
              </w:rPr>
              <w:t>2,100</w:t>
            </w:r>
          </w:p>
        </w:tc>
        <w:tc>
          <w:tcPr>
            <w:tcW w:w="1274" w:type="dxa"/>
            <w:tcBorders>
              <w:bottom w:val="single" w:sz="12" w:space="0" w:color="800000"/>
            </w:tcBorders>
          </w:tcPr>
          <w:p w:rsidR="003F5784" w14:paraId="04A60220" w14:textId="77777777">
            <w:pPr>
              <w:pStyle w:val="TableParagraph"/>
              <w:ind w:right="229"/>
              <w:rPr>
                <w:sz w:val="21"/>
              </w:rPr>
            </w:pPr>
            <w:r>
              <w:rPr>
                <w:spacing w:val="-4"/>
                <w:sz w:val="21"/>
              </w:rPr>
              <w:t>1.77</w:t>
            </w:r>
          </w:p>
        </w:tc>
        <w:tc>
          <w:tcPr>
            <w:tcW w:w="1559" w:type="dxa"/>
            <w:tcBorders>
              <w:bottom w:val="single" w:sz="12" w:space="0" w:color="800000"/>
            </w:tcBorders>
          </w:tcPr>
          <w:p w:rsidR="003F5784" w14:paraId="6FAC31D5" w14:textId="77777777">
            <w:pPr>
              <w:pStyle w:val="TableParagraph"/>
              <w:ind w:right="135"/>
              <w:rPr>
                <w:sz w:val="21"/>
              </w:rPr>
            </w:pPr>
            <w:r>
              <w:rPr>
                <w:spacing w:val="-2"/>
                <w:sz w:val="21"/>
              </w:rPr>
              <w:t>88.99</w:t>
            </w:r>
          </w:p>
        </w:tc>
        <w:tc>
          <w:tcPr>
            <w:tcW w:w="1712" w:type="dxa"/>
            <w:tcBorders>
              <w:bottom w:val="single" w:sz="12" w:space="0" w:color="800000"/>
            </w:tcBorders>
          </w:tcPr>
          <w:p w:rsidR="003F5784" w14:paraId="3C0098AA" w14:textId="77777777">
            <w:pPr>
              <w:pStyle w:val="TableParagraph"/>
              <w:ind w:right="124"/>
              <w:rPr>
                <w:sz w:val="21"/>
              </w:rPr>
            </w:pPr>
            <w:r>
              <w:rPr>
                <w:spacing w:val="-4"/>
                <w:sz w:val="21"/>
              </w:rPr>
              <w:t>7.73</w:t>
            </w:r>
          </w:p>
        </w:tc>
      </w:tr>
      <w:tr w14:paraId="2C061ECF" w14:textId="77777777">
        <w:tblPrEx>
          <w:tblW w:w="0" w:type="auto"/>
          <w:tblInd w:w="482" w:type="dxa"/>
          <w:tblLayout w:type="fixed"/>
          <w:tblCellMar>
            <w:left w:w="0" w:type="dxa"/>
            <w:right w:w="0" w:type="dxa"/>
          </w:tblCellMar>
          <w:tblLook w:val="01E0"/>
        </w:tblPrEx>
        <w:trPr>
          <w:trHeight w:val="269"/>
        </w:trPr>
        <w:tc>
          <w:tcPr>
            <w:tcW w:w="3181" w:type="dxa"/>
            <w:tcBorders>
              <w:top w:val="single" w:sz="12" w:space="0" w:color="800000"/>
              <w:bottom w:val="single" w:sz="12" w:space="0" w:color="800000"/>
            </w:tcBorders>
          </w:tcPr>
          <w:p w:rsidR="003F5784" w14:paraId="19AD2550" w14:textId="77777777">
            <w:pPr>
              <w:pStyle w:val="TableParagraph"/>
              <w:spacing w:before="0" w:line="239" w:lineRule="exact"/>
              <w:ind w:left="381"/>
              <w:jc w:val="left"/>
              <w:rPr>
                <w:sz w:val="21"/>
              </w:rPr>
            </w:pPr>
            <w:r>
              <w:rPr>
                <w:sz w:val="21"/>
              </w:rPr>
              <w:t>National</w:t>
            </w:r>
            <w:r>
              <w:rPr>
                <w:spacing w:val="-9"/>
                <w:sz w:val="21"/>
              </w:rPr>
              <w:t xml:space="preserve"> </w:t>
            </w:r>
            <w:r>
              <w:rPr>
                <w:spacing w:val="-2"/>
                <w:sz w:val="21"/>
              </w:rPr>
              <w:t>public</w:t>
            </w:r>
          </w:p>
        </w:tc>
        <w:tc>
          <w:tcPr>
            <w:tcW w:w="1188" w:type="dxa"/>
            <w:tcBorders>
              <w:top w:val="single" w:sz="12" w:space="0" w:color="800000"/>
              <w:bottom w:val="single" w:sz="12" w:space="0" w:color="800000"/>
            </w:tcBorders>
          </w:tcPr>
          <w:p w:rsidR="003F5784" w14:paraId="227D3206" w14:textId="77777777">
            <w:pPr>
              <w:pStyle w:val="TableParagraph"/>
              <w:spacing w:before="0" w:line="239" w:lineRule="exact"/>
              <w:ind w:right="124"/>
              <w:rPr>
                <w:sz w:val="21"/>
              </w:rPr>
            </w:pPr>
            <w:r>
              <w:rPr>
                <w:spacing w:val="-5"/>
                <w:sz w:val="21"/>
              </w:rPr>
              <w:t>400</w:t>
            </w:r>
          </w:p>
        </w:tc>
        <w:tc>
          <w:tcPr>
            <w:tcW w:w="1979" w:type="dxa"/>
            <w:tcBorders>
              <w:top w:val="single" w:sz="12" w:space="0" w:color="800000"/>
              <w:bottom w:val="single" w:sz="12" w:space="0" w:color="800000"/>
            </w:tcBorders>
          </w:tcPr>
          <w:p w:rsidR="003F5784" w14:paraId="37F4E05B" w14:textId="77777777">
            <w:pPr>
              <w:pStyle w:val="TableParagraph"/>
              <w:spacing w:before="0" w:line="239" w:lineRule="exact"/>
              <w:ind w:right="167"/>
              <w:rPr>
                <w:sz w:val="21"/>
              </w:rPr>
            </w:pPr>
            <w:r>
              <w:rPr>
                <w:spacing w:val="-2"/>
                <w:sz w:val="21"/>
              </w:rPr>
              <w:t>91.00</w:t>
            </w:r>
          </w:p>
        </w:tc>
        <w:tc>
          <w:tcPr>
            <w:tcW w:w="1834" w:type="dxa"/>
            <w:tcBorders>
              <w:top w:val="single" w:sz="12" w:space="0" w:color="800000"/>
              <w:bottom w:val="single" w:sz="12" w:space="0" w:color="800000"/>
            </w:tcBorders>
          </w:tcPr>
          <w:p w:rsidR="003F5784" w14:paraId="484FC42C" w14:textId="77777777">
            <w:pPr>
              <w:pStyle w:val="TableParagraph"/>
              <w:spacing w:before="0" w:line="239" w:lineRule="exact"/>
              <w:ind w:left="-26" w:right="147"/>
              <w:rPr>
                <w:sz w:val="21"/>
              </w:rPr>
            </w:pPr>
            <w:r>
              <w:rPr>
                <w:spacing w:val="-2"/>
                <w:sz w:val="21"/>
              </w:rPr>
              <w:t>91.88</w:t>
            </w:r>
          </w:p>
        </w:tc>
        <w:tc>
          <w:tcPr>
            <w:tcW w:w="1264" w:type="dxa"/>
            <w:tcBorders>
              <w:top w:val="single" w:sz="12" w:space="0" w:color="800000"/>
              <w:bottom w:val="single" w:sz="12" w:space="0" w:color="800000"/>
            </w:tcBorders>
          </w:tcPr>
          <w:p w:rsidR="003F5784" w14:paraId="37259FE8" w14:textId="77777777">
            <w:pPr>
              <w:pStyle w:val="TableParagraph"/>
              <w:spacing w:before="0" w:line="239" w:lineRule="exact"/>
              <w:ind w:right="207"/>
              <w:rPr>
                <w:sz w:val="21"/>
              </w:rPr>
            </w:pPr>
            <w:r>
              <w:rPr>
                <w:spacing w:val="-2"/>
                <w:sz w:val="21"/>
              </w:rPr>
              <w:t>8,800</w:t>
            </w:r>
          </w:p>
        </w:tc>
        <w:tc>
          <w:tcPr>
            <w:tcW w:w="1274" w:type="dxa"/>
            <w:tcBorders>
              <w:top w:val="single" w:sz="12" w:space="0" w:color="800000"/>
              <w:bottom w:val="single" w:sz="12" w:space="0" w:color="800000"/>
            </w:tcBorders>
          </w:tcPr>
          <w:p w:rsidR="003F5784" w14:paraId="39744B8B" w14:textId="77777777">
            <w:pPr>
              <w:pStyle w:val="TableParagraph"/>
              <w:spacing w:before="0" w:line="239" w:lineRule="exact"/>
              <w:ind w:right="229"/>
              <w:rPr>
                <w:sz w:val="21"/>
              </w:rPr>
            </w:pPr>
            <w:r>
              <w:rPr>
                <w:spacing w:val="-4"/>
                <w:sz w:val="21"/>
              </w:rPr>
              <w:t>1.65</w:t>
            </w:r>
          </w:p>
        </w:tc>
        <w:tc>
          <w:tcPr>
            <w:tcW w:w="1559" w:type="dxa"/>
            <w:tcBorders>
              <w:top w:val="single" w:sz="12" w:space="0" w:color="800000"/>
              <w:bottom w:val="single" w:sz="12" w:space="0" w:color="800000"/>
            </w:tcBorders>
          </w:tcPr>
          <w:p w:rsidR="003F5784" w14:paraId="3D82D92E" w14:textId="77777777">
            <w:pPr>
              <w:pStyle w:val="TableParagraph"/>
              <w:spacing w:before="0" w:line="239" w:lineRule="exact"/>
              <w:ind w:right="135"/>
              <w:rPr>
                <w:sz w:val="21"/>
              </w:rPr>
            </w:pPr>
            <w:r>
              <w:rPr>
                <w:spacing w:val="-2"/>
                <w:sz w:val="21"/>
              </w:rPr>
              <w:t>89.96</w:t>
            </w:r>
          </w:p>
        </w:tc>
        <w:tc>
          <w:tcPr>
            <w:tcW w:w="1712" w:type="dxa"/>
            <w:tcBorders>
              <w:top w:val="single" w:sz="12" w:space="0" w:color="800000"/>
              <w:bottom w:val="single" w:sz="12" w:space="0" w:color="800000"/>
            </w:tcBorders>
          </w:tcPr>
          <w:p w:rsidR="003F5784" w14:paraId="5FD290B3" w14:textId="77777777">
            <w:pPr>
              <w:pStyle w:val="TableParagraph"/>
              <w:spacing w:before="0" w:line="239" w:lineRule="exact"/>
              <w:ind w:right="124"/>
              <w:rPr>
                <w:sz w:val="21"/>
              </w:rPr>
            </w:pPr>
            <w:r>
              <w:rPr>
                <w:spacing w:val="-2"/>
                <w:sz w:val="21"/>
              </w:rPr>
              <w:t>14.04</w:t>
            </w:r>
          </w:p>
        </w:tc>
      </w:tr>
      <w:tr w14:paraId="73CBACB6" w14:textId="77777777">
        <w:tblPrEx>
          <w:tblW w:w="0" w:type="auto"/>
          <w:tblInd w:w="482" w:type="dxa"/>
          <w:tblLayout w:type="fixed"/>
          <w:tblCellMar>
            <w:left w:w="0" w:type="dxa"/>
            <w:right w:w="0" w:type="dxa"/>
          </w:tblCellMar>
          <w:tblLook w:val="01E0"/>
        </w:tblPrEx>
        <w:trPr>
          <w:trHeight w:val="266"/>
        </w:trPr>
        <w:tc>
          <w:tcPr>
            <w:tcW w:w="3181" w:type="dxa"/>
            <w:tcBorders>
              <w:top w:val="single" w:sz="12" w:space="0" w:color="800000"/>
            </w:tcBorders>
          </w:tcPr>
          <w:p w:rsidR="003F5784" w14:paraId="01D8C7BD" w14:textId="77777777">
            <w:pPr>
              <w:pStyle w:val="TableParagraph"/>
              <w:spacing w:before="0" w:line="239" w:lineRule="exact"/>
              <w:ind w:left="381"/>
              <w:jc w:val="left"/>
              <w:rPr>
                <w:sz w:val="21"/>
              </w:rPr>
            </w:pPr>
            <w:r>
              <w:rPr>
                <w:sz w:val="21"/>
              </w:rPr>
              <w:t>National</w:t>
            </w:r>
            <w:r>
              <w:rPr>
                <w:spacing w:val="-9"/>
                <w:sz w:val="21"/>
              </w:rPr>
              <w:t xml:space="preserve"> </w:t>
            </w:r>
            <w:r>
              <w:rPr>
                <w:spacing w:val="-2"/>
                <w:sz w:val="21"/>
              </w:rPr>
              <w:t>private</w:t>
            </w:r>
          </w:p>
        </w:tc>
        <w:tc>
          <w:tcPr>
            <w:tcW w:w="1188" w:type="dxa"/>
            <w:tcBorders>
              <w:top w:val="single" w:sz="12" w:space="0" w:color="800000"/>
            </w:tcBorders>
          </w:tcPr>
          <w:p w:rsidR="003F5784" w14:paraId="74735DA5" w14:textId="77777777">
            <w:pPr>
              <w:pStyle w:val="TableParagraph"/>
              <w:spacing w:before="0" w:line="239" w:lineRule="exact"/>
              <w:ind w:right="124"/>
              <w:rPr>
                <w:sz w:val="21"/>
              </w:rPr>
            </w:pPr>
            <w:r>
              <w:rPr>
                <w:spacing w:val="-5"/>
                <w:sz w:val="21"/>
              </w:rPr>
              <w:t>170</w:t>
            </w:r>
          </w:p>
        </w:tc>
        <w:tc>
          <w:tcPr>
            <w:tcW w:w="1979" w:type="dxa"/>
            <w:tcBorders>
              <w:top w:val="single" w:sz="12" w:space="0" w:color="800000"/>
            </w:tcBorders>
          </w:tcPr>
          <w:p w:rsidR="003F5784" w14:paraId="08DC87CC" w14:textId="77777777">
            <w:pPr>
              <w:pStyle w:val="TableParagraph"/>
              <w:spacing w:before="0" w:line="239" w:lineRule="exact"/>
              <w:ind w:right="167"/>
              <w:rPr>
                <w:sz w:val="21"/>
              </w:rPr>
            </w:pPr>
            <w:r>
              <w:rPr>
                <w:spacing w:val="-2"/>
                <w:sz w:val="21"/>
              </w:rPr>
              <w:t>33.59</w:t>
            </w:r>
          </w:p>
        </w:tc>
        <w:tc>
          <w:tcPr>
            <w:tcW w:w="1834" w:type="dxa"/>
            <w:tcBorders>
              <w:top w:val="single" w:sz="12" w:space="0" w:color="800000"/>
            </w:tcBorders>
          </w:tcPr>
          <w:p w:rsidR="003F5784" w14:paraId="0F52431A" w14:textId="77777777">
            <w:pPr>
              <w:pStyle w:val="TableParagraph"/>
              <w:spacing w:before="0" w:line="239" w:lineRule="exact"/>
              <w:ind w:left="-26" w:right="147"/>
              <w:rPr>
                <w:sz w:val="21"/>
              </w:rPr>
            </w:pPr>
            <w:r>
              <w:rPr>
                <w:spacing w:val="-2"/>
                <w:sz w:val="21"/>
              </w:rPr>
              <w:t>33.24</w:t>
            </w:r>
          </w:p>
        </w:tc>
        <w:tc>
          <w:tcPr>
            <w:tcW w:w="1264" w:type="dxa"/>
            <w:tcBorders>
              <w:top w:val="single" w:sz="12" w:space="0" w:color="800000"/>
            </w:tcBorders>
          </w:tcPr>
          <w:p w:rsidR="003F5784" w14:paraId="61E4F371" w14:textId="77777777">
            <w:pPr>
              <w:pStyle w:val="TableParagraph"/>
              <w:spacing w:before="0" w:line="239" w:lineRule="exact"/>
              <w:ind w:right="207"/>
              <w:rPr>
                <w:sz w:val="21"/>
              </w:rPr>
            </w:pPr>
            <w:r>
              <w:rPr>
                <w:spacing w:val="-5"/>
                <w:sz w:val="21"/>
              </w:rPr>
              <w:t>600</w:t>
            </w:r>
          </w:p>
        </w:tc>
        <w:tc>
          <w:tcPr>
            <w:tcW w:w="1274" w:type="dxa"/>
            <w:tcBorders>
              <w:top w:val="single" w:sz="12" w:space="0" w:color="800000"/>
            </w:tcBorders>
          </w:tcPr>
          <w:p w:rsidR="003F5784" w14:paraId="275C1C54" w14:textId="77777777">
            <w:pPr>
              <w:pStyle w:val="TableParagraph"/>
              <w:spacing w:before="0" w:line="239" w:lineRule="exact"/>
              <w:ind w:right="229"/>
              <w:rPr>
                <w:sz w:val="21"/>
              </w:rPr>
            </w:pPr>
            <w:r>
              <w:rPr>
                <w:spacing w:val="-4"/>
                <w:sz w:val="21"/>
              </w:rPr>
              <w:t>0.00</w:t>
            </w:r>
          </w:p>
        </w:tc>
        <w:tc>
          <w:tcPr>
            <w:tcW w:w="1559" w:type="dxa"/>
            <w:tcBorders>
              <w:top w:val="single" w:sz="12" w:space="0" w:color="800000"/>
            </w:tcBorders>
          </w:tcPr>
          <w:p w:rsidR="003F5784" w14:paraId="13B79A09" w14:textId="77777777">
            <w:pPr>
              <w:pStyle w:val="TableParagraph"/>
              <w:spacing w:before="0" w:line="239" w:lineRule="exact"/>
              <w:ind w:right="135"/>
              <w:rPr>
                <w:sz w:val="21"/>
              </w:rPr>
            </w:pPr>
            <w:r>
              <w:rPr>
                <w:spacing w:val="-2"/>
                <w:sz w:val="21"/>
              </w:rPr>
              <w:t>92.30</w:t>
            </w:r>
          </w:p>
        </w:tc>
        <w:tc>
          <w:tcPr>
            <w:tcW w:w="1712" w:type="dxa"/>
            <w:tcBorders>
              <w:top w:val="single" w:sz="12" w:space="0" w:color="800000"/>
            </w:tcBorders>
          </w:tcPr>
          <w:p w:rsidR="003F5784" w14:paraId="059D04BE" w14:textId="77777777">
            <w:pPr>
              <w:pStyle w:val="TableParagraph"/>
              <w:spacing w:before="0" w:line="239" w:lineRule="exact"/>
              <w:ind w:right="124"/>
              <w:rPr>
                <w:sz w:val="21"/>
              </w:rPr>
            </w:pPr>
            <w:r>
              <w:rPr>
                <w:spacing w:val="-4"/>
                <w:sz w:val="21"/>
              </w:rPr>
              <w:t>4.12</w:t>
            </w:r>
          </w:p>
        </w:tc>
      </w:tr>
      <w:tr w14:paraId="055A9198" w14:textId="77777777">
        <w:tblPrEx>
          <w:tblW w:w="0" w:type="auto"/>
          <w:tblInd w:w="482" w:type="dxa"/>
          <w:tblLayout w:type="fixed"/>
          <w:tblCellMar>
            <w:left w:w="0" w:type="dxa"/>
            <w:right w:w="0" w:type="dxa"/>
          </w:tblCellMar>
          <w:tblLook w:val="01E0"/>
        </w:tblPrEx>
        <w:trPr>
          <w:trHeight w:val="286"/>
        </w:trPr>
        <w:tc>
          <w:tcPr>
            <w:tcW w:w="3181" w:type="dxa"/>
          </w:tcPr>
          <w:p w:rsidR="003F5784" w14:paraId="67ADAB17" w14:textId="77777777">
            <w:pPr>
              <w:pStyle w:val="TableParagraph"/>
              <w:ind w:left="120"/>
              <w:jc w:val="left"/>
              <w:rPr>
                <w:sz w:val="21"/>
              </w:rPr>
            </w:pPr>
            <w:r>
              <w:rPr>
                <w:spacing w:val="-2"/>
                <w:sz w:val="21"/>
              </w:rPr>
              <w:t>Catholic</w:t>
            </w:r>
          </w:p>
        </w:tc>
        <w:tc>
          <w:tcPr>
            <w:tcW w:w="1188" w:type="dxa"/>
          </w:tcPr>
          <w:p w:rsidR="003F5784" w14:paraId="0C897DA1" w14:textId="77777777">
            <w:pPr>
              <w:pStyle w:val="TableParagraph"/>
              <w:ind w:right="124"/>
              <w:rPr>
                <w:sz w:val="21"/>
              </w:rPr>
            </w:pPr>
            <w:r>
              <w:rPr>
                <w:spacing w:val="-5"/>
                <w:sz w:val="21"/>
              </w:rPr>
              <w:t>40</w:t>
            </w:r>
          </w:p>
        </w:tc>
        <w:tc>
          <w:tcPr>
            <w:tcW w:w="1979" w:type="dxa"/>
          </w:tcPr>
          <w:p w:rsidR="003F5784" w14:paraId="11A54F06" w14:textId="77777777">
            <w:pPr>
              <w:pStyle w:val="TableParagraph"/>
              <w:ind w:right="167"/>
              <w:rPr>
                <w:sz w:val="21"/>
              </w:rPr>
            </w:pPr>
            <w:r>
              <w:rPr>
                <w:spacing w:val="-2"/>
                <w:sz w:val="21"/>
              </w:rPr>
              <w:t>61.74</w:t>
            </w:r>
          </w:p>
        </w:tc>
        <w:tc>
          <w:tcPr>
            <w:tcW w:w="1834" w:type="dxa"/>
          </w:tcPr>
          <w:p w:rsidR="003F5784" w14:paraId="0DD5623D" w14:textId="77777777">
            <w:pPr>
              <w:pStyle w:val="TableParagraph"/>
              <w:ind w:left="-26" w:right="147"/>
              <w:rPr>
                <w:sz w:val="21"/>
              </w:rPr>
            </w:pPr>
            <w:r>
              <w:rPr>
                <w:spacing w:val="-2"/>
                <w:sz w:val="21"/>
              </w:rPr>
              <w:t>74.36</w:t>
            </w:r>
          </w:p>
        </w:tc>
        <w:tc>
          <w:tcPr>
            <w:tcW w:w="1264" w:type="dxa"/>
          </w:tcPr>
          <w:p w:rsidR="003F5784" w14:paraId="4E267575" w14:textId="77777777">
            <w:pPr>
              <w:pStyle w:val="TableParagraph"/>
              <w:ind w:right="207"/>
              <w:rPr>
                <w:sz w:val="21"/>
              </w:rPr>
            </w:pPr>
            <w:r>
              <w:rPr>
                <w:spacing w:val="-5"/>
                <w:sz w:val="21"/>
              </w:rPr>
              <w:t>400</w:t>
            </w:r>
          </w:p>
        </w:tc>
        <w:tc>
          <w:tcPr>
            <w:tcW w:w="1274" w:type="dxa"/>
          </w:tcPr>
          <w:p w:rsidR="003F5784" w14:paraId="3474E54B" w14:textId="77777777">
            <w:pPr>
              <w:pStyle w:val="TableParagraph"/>
              <w:ind w:right="229"/>
              <w:rPr>
                <w:sz w:val="21"/>
              </w:rPr>
            </w:pPr>
            <w:r>
              <w:rPr>
                <w:spacing w:val="-4"/>
                <w:sz w:val="21"/>
              </w:rPr>
              <w:t>0.00</w:t>
            </w:r>
          </w:p>
        </w:tc>
        <w:tc>
          <w:tcPr>
            <w:tcW w:w="1559" w:type="dxa"/>
          </w:tcPr>
          <w:p w:rsidR="003F5784" w14:paraId="038D3548" w14:textId="77777777">
            <w:pPr>
              <w:pStyle w:val="TableParagraph"/>
              <w:ind w:right="135"/>
              <w:rPr>
                <w:sz w:val="21"/>
              </w:rPr>
            </w:pPr>
            <w:r>
              <w:rPr>
                <w:spacing w:val="-2"/>
                <w:sz w:val="21"/>
              </w:rPr>
              <w:t>91.89</w:t>
            </w:r>
          </w:p>
        </w:tc>
        <w:tc>
          <w:tcPr>
            <w:tcW w:w="1712" w:type="dxa"/>
          </w:tcPr>
          <w:p w:rsidR="003F5784" w14:paraId="5B41C620" w14:textId="77777777">
            <w:pPr>
              <w:pStyle w:val="TableParagraph"/>
              <w:ind w:right="124"/>
              <w:rPr>
                <w:sz w:val="21"/>
              </w:rPr>
            </w:pPr>
            <w:r>
              <w:rPr>
                <w:spacing w:val="-4"/>
                <w:sz w:val="21"/>
              </w:rPr>
              <w:t>5.34</w:t>
            </w:r>
          </w:p>
        </w:tc>
      </w:tr>
      <w:tr w14:paraId="3A9894E0" w14:textId="77777777">
        <w:tblPrEx>
          <w:tblW w:w="0" w:type="auto"/>
          <w:tblInd w:w="482" w:type="dxa"/>
          <w:tblLayout w:type="fixed"/>
          <w:tblCellMar>
            <w:left w:w="0" w:type="dxa"/>
            <w:right w:w="0" w:type="dxa"/>
          </w:tblCellMar>
          <w:tblLook w:val="01E0"/>
        </w:tblPrEx>
        <w:trPr>
          <w:trHeight w:val="289"/>
        </w:trPr>
        <w:tc>
          <w:tcPr>
            <w:tcW w:w="3181" w:type="dxa"/>
            <w:tcBorders>
              <w:bottom w:val="single" w:sz="18" w:space="0" w:color="800000"/>
            </w:tcBorders>
          </w:tcPr>
          <w:p w:rsidR="003F5784" w14:paraId="7E903122" w14:textId="77777777">
            <w:pPr>
              <w:pStyle w:val="TableParagraph"/>
              <w:ind w:left="120"/>
              <w:jc w:val="left"/>
              <w:rPr>
                <w:sz w:val="21"/>
              </w:rPr>
            </w:pPr>
            <w:r>
              <w:rPr>
                <w:spacing w:val="-2"/>
                <w:sz w:val="21"/>
              </w:rPr>
              <w:t>Non-Catholic</w:t>
            </w:r>
          </w:p>
        </w:tc>
        <w:tc>
          <w:tcPr>
            <w:tcW w:w="1188" w:type="dxa"/>
            <w:tcBorders>
              <w:bottom w:val="single" w:sz="18" w:space="0" w:color="800000"/>
            </w:tcBorders>
          </w:tcPr>
          <w:p w:rsidR="003F5784" w14:paraId="7CB9D90A" w14:textId="77777777">
            <w:pPr>
              <w:pStyle w:val="TableParagraph"/>
              <w:ind w:right="124"/>
              <w:rPr>
                <w:sz w:val="21"/>
              </w:rPr>
            </w:pPr>
            <w:r>
              <w:rPr>
                <w:spacing w:val="-5"/>
                <w:sz w:val="21"/>
              </w:rPr>
              <w:t>130</w:t>
            </w:r>
          </w:p>
        </w:tc>
        <w:tc>
          <w:tcPr>
            <w:tcW w:w="1979" w:type="dxa"/>
            <w:tcBorders>
              <w:bottom w:val="single" w:sz="18" w:space="0" w:color="800000"/>
            </w:tcBorders>
          </w:tcPr>
          <w:p w:rsidR="003F5784" w14:paraId="00C83FDC" w14:textId="77777777">
            <w:pPr>
              <w:pStyle w:val="TableParagraph"/>
              <w:ind w:right="167"/>
              <w:rPr>
                <w:sz w:val="21"/>
              </w:rPr>
            </w:pPr>
            <w:r>
              <w:rPr>
                <w:spacing w:val="-2"/>
                <w:sz w:val="21"/>
              </w:rPr>
              <w:t>15.03</w:t>
            </w:r>
          </w:p>
        </w:tc>
        <w:tc>
          <w:tcPr>
            <w:tcW w:w="1834" w:type="dxa"/>
            <w:tcBorders>
              <w:bottom w:val="single" w:sz="18" w:space="0" w:color="800000"/>
            </w:tcBorders>
          </w:tcPr>
          <w:p w:rsidR="003F5784" w14:paraId="1D468BB4" w14:textId="77777777">
            <w:pPr>
              <w:pStyle w:val="TableParagraph"/>
              <w:ind w:left="-26" w:right="147"/>
              <w:rPr>
                <w:sz w:val="21"/>
              </w:rPr>
            </w:pPr>
            <w:r>
              <w:rPr>
                <w:spacing w:val="-2"/>
                <w:sz w:val="21"/>
              </w:rPr>
              <w:t>17.71</w:t>
            </w:r>
          </w:p>
        </w:tc>
        <w:tc>
          <w:tcPr>
            <w:tcW w:w="1264" w:type="dxa"/>
            <w:tcBorders>
              <w:bottom w:val="single" w:sz="18" w:space="0" w:color="800000"/>
            </w:tcBorders>
          </w:tcPr>
          <w:p w:rsidR="003F5784" w14:paraId="366A3562" w14:textId="77777777">
            <w:pPr>
              <w:pStyle w:val="TableParagraph"/>
              <w:ind w:right="207"/>
              <w:rPr>
                <w:sz w:val="21"/>
              </w:rPr>
            </w:pPr>
            <w:r>
              <w:rPr>
                <w:spacing w:val="-5"/>
                <w:sz w:val="21"/>
              </w:rPr>
              <w:t>200</w:t>
            </w:r>
          </w:p>
        </w:tc>
        <w:tc>
          <w:tcPr>
            <w:tcW w:w="1274" w:type="dxa"/>
            <w:tcBorders>
              <w:bottom w:val="single" w:sz="18" w:space="0" w:color="800000"/>
            </w:tcBorders>
          </w:tcPr>
          <w:p w:rsidR="003F5784" w14:paraId="238ED066" w14:textId="77777777">
            <w:pPr>
              <w:pStyle w:val="TableParagraph"/>
              <w:ind w:right="229"/>
              <w:rPr>
                <w:sz w:val="21"/>
              </w:rPr>
            </w:pPr>
            <w:r>
              <w:rPr>
                <w:spacing w:val="-4"/>
                <w:sz w:val="21"/>
              </w:rPr>
              <w:t>0.00</w:t>
            </w:r>
          </w:p>
        </w:tc>
        <w:tc>
          <w:tcPr>
            <w:tcW w:w="1559" w:type="dxa"/>
            <w:tcBorders>
              <w:bottom w:val="single" w:sz="18" w:space="0" w:color="800000"/>
            </w:tcBorders>
          </w:tcPr>
          <w:p w:rsidR="003F5784" w14:paraId="38DDA87B" w14:textId="77777777">
            <w:pPr>
              <w:pStyle w:val="TableParagraph"/>
              <w:ind w:right="135"/>
              <w:rPr>
                <w:sz w:val="21"/>
              </w:rPr>
            </w:pPr>
            <w:r>
              <w:rPr>
                <w:spacing w:val="-2"/>
                <w:sz w:val="21"/>
              </w:rPr>
              <w:t>93.55</w:t>
            </w:r>
          </w:p>
        </w:tc>
        <w:tc>
          <w:tcPr>
            <w:tcW w:w="1712" w:type="dxa"/>
            <w:tcBorders>
              <w:bottom w:val="single" w:sz="18" w:space="0" w:color="800000"/>
            </w:tcBorders>
          </w:tcPr>
          <w:p w:rsidR="003F5784" w14:paraId="2A953ED7" w14:textId="77777777">
            <w:pPr>
              <w:pStyle w:val="TableParagraph"/>
              <w:ind w:right="124"/>
              <w:rPr>
                <w:sz w:val="21"/>
              </w:rPr>
            </w:pPr>
            <w:r>
              <w:rPr>
                <w:spacing w:val="-4"/>
                <w:sz w:val="21"/>
              </w:rPr>
              <w:t>3.32</w:t>
            </w:r>
          </w:p>
        </w:tc>
      </w:tr>
      <w:tr w14:paraId="6E188E5D" w14:textId="77777777">
        <w:tblPrEx>
          <w:tblW w:w="0" w:type="auto"/>
          <w:tblInd w:w="482" w:type="dxa"/>
          <w:tblLayout w:type="fixed"/>
          <w:tblCellMar>
            <w:left w:w="0" w:type="dxa"/>
            <w:right w:w="0" w:type="dxa"/>
          </w:tblCellMar>
          <w:tblLook w:val="01E0"/>
        </w:tblPrEx>
        <w:trPr>
          <w:trHeight w:val="203"/>
        </w:trPr>
        <w:tc>
          <w:tcPr>
            <w:tcW w:w="13991" w:type="dxa"/>
            <w:gridSpan w:val="8"/>
            <w:tcBorders>
              <w:top w:val="single" w:sz="18" w:space="0" w:color="800000"/>
            </w:tcBorders>
          </w:tcPr>
          <w:p w:rsidR="003F5784" w14:paraId="0A9415E4" w14:textId="77777777">
            <w:pPr>
              <w:pStyle w:val="TableParagraph"/>
              <w:spacing w:before="9" w:line="175" w:lineRule="exact"/>
              <w:ind w:left="120"/>
              <w:jc w:val="left"/>
              <w:rPr>
                <w:sz w:val="21"/>
              </w:rPr>
            </w:pPr>
            <w:r>
              <w:rPr>
                <w:position w:val="9"/>
                <w:sz w:val="17"/>
              </w:rPr>
              <w:t>1</w:t>
            </w:r>
            <w:r>
              <w:rPr>
                <w:sz w:val="21"/>
              </w:rPr>
              <w:t>1</w:t>
            </w:r>
            <w:r>
              <w:rPr>
                <w:position w:val="9"/>
                <w:sz w:val="17"/>
              </w:rPr>
              <w:t xml:space="preserve">1 </w:t>
            </w:r>
            <w:r>
              <w:rPr>
                <w:position w:val="1"/>
                <w:sz w:val="21"/>
              </w:rPr>
              <w:t>Includes</w:t>
            </w:r>
            <w:r>
              <w:rPr>
                <w:spacing w:val="-6"/>
                <w:position w:val="1"/>
                <w:sz w:val="21"/>
              </w:rPr>
              <w:t xml:space="preserve"> </w:t>
            </w:r>
            <w:r>
              <w:rPr>
                <w:position w:val="1"/>
                <w:sz w:val="21"/>
              </w:rPr>
              <w:t>national</w:t>
            </w:r>
            <w:r>
              <w:rPr>
                <w:spacing w:val="-7"/>
                <w:position w:val="1"/>
                <w:sz w:val="21"/>
              </w:rPr>
              <w:t xml:space="preserve"> </w:t>
            </w:r>
            <w:r>
              <w:rPr>
                <w:position w:val="1"/>
                <w:sz w:val="21"/>
              </w:rPr>
              <w:t>public,</w:t>
            </w:r>
            <w:r>
              <w:rPr>
                <w:spacing w:val="-6"/>
                <w:position w:val="1"/>
                <w:sz w:val="21"/>
              </w:rPr>
              <w:t xml:space="preserve"> </w:t>
            </w:r>
            <w:r>
              <w:rPr>
                <w:position w:val="1"/>
                <w:sz w:val="21"/>
              </w:rPr>
              <w:t>national</w:t>
            </w:r>
            <w:r>
              <w:rPr>
                <w:spacing w:val="-6"/>
                <w:position w:val="1"/>
                <w:sz w:val="21"/>
              </w:rPr>
              <w:t xml:space="preserve"> </w:t>
            </w:r>
            <w:r>
              <w:rPr>
                <w:position w:val="1"/>
                <w:sz w:val="21"/>
              </w:rPr>
              <w:t>private,</w:t>
            </w:r>
            <w:r>
              <w:rPr>
                <w:spacing w:val="-7"/>
                <w:position w:val="1"/>
                <w:sz w:val="21"/>
              </w:rPr>
              <w:t xml:space="preserve"> </w:t>
            </w:r>
            <w:r>
              <w:rPr>
                <w:position w:val="1"/>
                <w:sz w:val="21"/>
              </w:rPr>
              <w:t>and</w:t>
            </w:r>
            <w:r>
              <w:rPr>
                <w:spacing w:val="-6"/>
                <w:position w:val="1"/>
                <w:sz w:val="21"/>
              </w:rPr>
              <w:t xml:space="preserve"> </w:t>
            </w:r>
            <w:r>
              <w:rPr>
                <w:position w:val="1"/>
                <w:sz w:val="21"/>
              </w:rPr>
              <w:t>Department</w:t>
            </w:r>
            <w:r>
              <w:rPr>
                <w:spacing w:val="-6"/>
                <w:position w:val="1"/>
                <w:sz w:val="21"/>
              </w:rPr>
              <w:t xml:space="preserve"> </w:t>
            </w:r>
            <w:r>
              <w:rPr>
                <w:position w:val="1"/>
                <w:sz w:val="21"/>
              </w:rPr>
              <w:t>of</w:t>
            </w:r>
            <w:r>
              <w:rPr>
                <w:spacing w:val="-7"/>
                <w:position w:val="1"/>
                <w:sz w:val="21"/>
              </w:rPr>
              <w:t xml:space="preserve"> </w:t>
            </w:r>
            <w:r>
              <w:rPr>
                <w:position w:val="1"/>
                <w:sz w:val="21"/>
              </w:rPr>
              <w:t>Defense</w:t>
            </w:r>
            <w:r>
              <w:rPr>
                <w:spacing w:val="-6"/>
                <w:position w:val="1"/>
                <w:sz w:val="21"/>
              </w:rPr>
              <w:t xml:space="preserve"> </w:t>
            </w:r>
            <w:r>
              <w:rPr>
                <w:position w:val="1"/>
                <w:sz w:val="21"/>
              </w:rPr>
              <w:t>Education</w:t>
            </w:r>
            <w:r>
              <w:rPr>
                <w:spacing w:val="-13"/>
                <w:position w:val="1"/>
                <w:sz w:val="21"/>
              </w:rPr>
              <w:t xml:space="preserve"> </w:t>
            </w:r>
            <w:r>
              <w:rPr>
                <w:position w:val="1"/>
                <w:sz w:val="21"/>
              </w:rPr>
              <w:t>Activity</w:t>
            </w:r>
            <w:r>
              <w:rPr>
                <w:spacing w:val="-6"/>
                <w:position w:val="1"/>
                <w:sz w:val="21"/>
              </w:rPr>
              <w:t xml:space="preserve"> </w:t>
            </w:r>
            <w:r>
              <w:rPr>
                <w:position w:val="1"/>
                <w:sz w:val="21"/>
              </w:rPr>
              <w:t>schools</w:t>
            </w:r>
            <w:r>
              <w:rPr>
                <w:spacing w:val="-7"/>
                <w:position w:val="1"/>
                <w:sz w:val="21"/>
              </w:rPr>
              <w:t xml:space="preserve"> </w:t>
            </w:r>
            <w:r>
              <w:rPr>
                <w:position w:val="1"/>
                <w:sz w:val="21"/>
              </w:rPr>
              <w:t>located</w:t>
            </w:r>
            <w:r>
              <w:rPr>
                <w:spacing w:val="-6"/>
                <w:position w:val="1"/>
                <w:sz w:val="21"/>
              </w:rPr>
              <w:t xml:space="preserve"> </w:t>
            </w:r>
            <w:r>
              <w:rPr>
                <w:position w:val="1"/>
                <w:sz w:val="21"/>
              </w:rPr>
              <w:t>in</w:t>
            </w:r>
            <w:r>
              <w:rPr>
                <w:spacing w:val="-6"/>
                <w:position w:val="1"/>
                <w:sz w:val="21"/>
              </w:rPr>
              <w:t xml:space="preserve"> </w:t>
            </w:r>
            <w:r>
              <w:rPr>
                <w:position w:val="1"/>
                <w:sz w:val="21"/>
              </w:rPr>
              <w:t>the</w:t>
            </w:r>
            <w:r>
              <w:rPr>
                <w:spacing w:val="-7"/>
                <w:position w:val="1"/>
                <w:sz w:val="21"/>
              </w:rPr>
              <w:t xml:space="preserve"> </w:t>
            </w:r>
            <w:r>
              <w:rPr>
                <w:position w:val="1"/>
                <w:sz w:val="21"/>
              </w:rPr>
              <w:t>United</w:t>
            </w:r>
            <w:r>
              <w:rPr>
                <w:spacing w:val="-6"/>
                <w:position w:val="1"/>
                <w:sz w:val="21"/>
              </w:rPr>
              <w:t xml:space="preserve"> </w:t>
            </w:r>
            <w:r>
              <w:rPr>
                <w:spacing w:val="-2"/>
                <w:position w:val="1"/>
                <w:sz w:val="21"/>
              </w:rPr>
              <w:t>States.</w:t>
            </w:r>
          </w:p>
        </w:tc>
      </w:tr>
    </w:tbl>
    <w:p w:rsidR="003F5784" w14:paraId="3F1A6B03" w14:textId="77777777">
      <w:pPr>
        <w:pStyle w:val="BodyText"/>
        <w:spacing w:before="102" w:line="232" w:lineRule="auto"/>
        <w:ind w:left="595" w:right="318"/>
      </w:pPr>
      <w:r>
        <w:t>NOTE: Numbers of schools are rounded to nearest ten, and numbers of students are rounded to nearest hundred. Detail may not sum to totals due to rounding. 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Civics Assessment.</w:t>
      </w:r>
    </w:p>
    <w:p w:rsidR="003F5784" w14:paraId="73883B36" w14:textId="77777777">
      <w:pPr>
        <w:pStyle w:val="BodyText"/>
      </w:pPr>
    </w:p>
    <w:p w:rsidR="003F5784" w14:paraId="4C5480C0" w14:textId="77777777">
      <w:pPr>
        <w:pStyle w:val="BodyText"/>
      </w:pPr>
    </w:p>
    <w:p w:rsidR="003F5784" w14:paraId="60DC2296" w14:textId="77777777">
      <w:pPr>
        <w:pStyle w:val="BodyText"/>
      </w:pPr>
    </w:p>
    <w:p w:rsidR="003F5784" w14:paraId="7827B05A" w14:textId="77777777">
      <w:pPr>
        <w:pStyle w:val="BodyText"/>
        <w:spacing w:before="191"/>
      </w:pPr>
    </w:p>
    <w:p w:rsidR="003F5784" w14:paraId="25A56110" w14:textId="77777777">
      <w:pPr>
        <w:ind w:left="2676"/>
        <w:rPr>
          <w:sz w:val="18"/>
        </w:rPr>
      </w:pPr>
      <w:hyperlink r:id="rId556">
        <w:r>
          <w:rPr>
            <w:spacing w:val="-2"/>
            <w:w w:val="105"/>
            <w:sz w:val="18"/>
          </w:rPr>
          <w:t>http://nces.ed.gov/nationsreportcard/tdw/weighting/2022/participation_exclusion_and_accommodation_rates_for_grade_8_civics_for_the_2022_assessment.aspx</w:t>
        </w:r>
      </w:hyperlink>
    </w:p>
    <w:p w:rsidR="003F5784" w14:paraId="548959BC" w14:textId="77777777">
      <w:pPr>
        <w:pStyle w:val="BodyText"/>
        <w:spacing w:before="11"/>
        <w:rPr>
          <w:sz w:val="14"/>
        </w:rPr>
      </w:pPr>
      <w:r>
        <w:rPr>
          <w:noProof/>
        </w:rPr>
        <mc:AlternateContent>
          <mc:Choice Requires="wps">
            <w:drawing>
              <wp:anchor distT="0" distB="0" distL="0" distR="0" simplePos="0" relativeHeight="252044288" behindDoc="1" locked="0" layoutInCell="1" allowOverlap="1">
                <wp:simplePos x="0" y="0"/>
                <wp:positionH relativeFrom="page">
                  <wp:posOffset>361937</wp:posOffset>
                </wp:positionH>
                <wp:positionV relativeFrom="paragraph">
                  <wp:posOffset>124522</wp:posOffset>
                </wp:positionV>
                <wp:extent cx="9339580" cy="8890"/>
                <wp:effectExtent l="0" t="0" r="0" b="0"/>
                <wp:wrapTopAndBottom/>
                <wp:docPr id="704" name="Graphic 704"/>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704" o:spid="_x0000_s1225" style="width:735.4pt;height:0.7pt;margin-top:9.8pt;margin-left:28.5pt;mso-position-horizontal-relative:page;mso-wrap-distance-bottom:0;mso-wrap-distance-left:0;mso-wrap-distance-right:0;mso-wrap-distance-top:0;mso-wrap-style:square;position:absolute;visibility:visible;v-text-anchor:top;z-index:-251271168" coordsize="9339580,8890" path="m9338970,l9335110,l8280,,,,,8280l8280,8280l9335110,8280l9338970,8280l9338970,xe" fillcolor="gray" stroked="f">
                <v:path arrowok="t"/>
                <w10:wrap type="topAndBottom"/>
              </v:shape>
            </w:pict>
          </mc:Fallback>
        </mc:AlternateContent>
      </w:r>
    </w:p>
    <w:p w:rsidR="003F5784" w14:paraId="3444609B" w14:textId="77777777">
      <w:pPr>
        <w:pStyle w:val="BodyText"/>
        <w:rPr>
          <w:sz w:val="18"/>
        </w:rPr>
      </w:pPr>
    </w:p>
    <w:p w:rsidR="003F5784" w14:paraId="3E3AF5F2" w14:textId="77777777">
      <w:pPr>
        <w:pStyle w:val="BodyText"/>
        <w:spacing w:before="206"/>
        <w:rPr>
          <w:sz w:val="18"/>
        </w:rPr>
      </w:pPr>
    </w:p>
    <w:p w:rsidR="003F5784" w14:paraId="76FA245F" w14:textId="00B7472A">
      <w:pPr>
        <w:pStyle w:val="Heading1"/>
        <w:spacing w:line="244" w:lineRule="auto"/>
        <w:ind w:right="179"/>
      </w:pPr>
      <w:r>
        <w:t>NAEP</w:t>
      </w:r>
      <w:r>
        <w:rPr>
          <w:spacing w:val="-5"/>
        </w:rPr>
        <w:t xml:space="preserve"> </w:t>
      </w:r>
      <w:r>
        <w:t>Technical Documentation</w:t>
      </w:r>
      <w:r w:rsidR="00A35A43">
        <w:t xml:space="preserve"> </w:t>
      </w:r>
      <w:r>
        <w:t>Participation, Exclusion, and Accommodation Rates for Grade 8 Mathematics</w:t>
      </w:r>
    </w:p>
    <w:p w:rsidR="003F5784" w14:paraId="75523A15" w14:textId="77777777">
      <w:pPr>
        <w:pStyle w:val="BodyText"/>
        <w:spacing w:before="274" w:line="232" w:lineRule="auto"/>
        <w:ind w:left="109" w:right="179"/>
      </w:pPr>
      <w:r>
        <w:t>The</w:t>
      </w:r>
      <w:r>
        <w:rPr>
          <w:spacing w:val="-7"/>
        </w:rPr>
        <w:t xml:space="preserve"> </w:t>
      </w:r>
      <w:r>
        <w:t>following</w:t>
      </w:r>
      <w:r>
        <w:rPr>
          <w:spacing w:val="-7"/>
        </w:rPr>
        <w:t xml:space="preserve"> </w:t>
      </w:r>
      <w:r>
        <w:t>table</w:t>
      </w:r>
      <w:r>
        <w:rPr>
          <w:spacing w:val="-7"/>
        </w:rPr>
        <w:t xml:space="preserve"> </w:t>
      </w:r>
      <w:r>
        <w:t>displays</w:t>
      </w:r>
      <w:r>
        <w:rPr>
          <w:spacing w:val="-7"/>
        </w:rPr>
        <w:t xml:space="preserve"> </w:t>
      </w:r>
      <w:r>
        <w:t>the</w:t>
      </w:r>
      <w:r>
        <w:rPr>
          <w:spacing w:val="-7"/>
        </w:rPr>
        <w:t xml:space="preserve"> </w:t>
      </w:r>
      <w:r>
        <w:t>school-</w:t>
      </w:r>
      <w:r>
        <w:rPr>
          <w:spacing w:val="-7"/>
        </w:rPr>
        <w:t xml:space="preserve"> </w:t>
      </w:r>
      <w:r>
        <w:t>and</w:t>
      </w:r>
      <w:r>
        <w:rPr>
          <w:spacing w:val="-7"/>
        </w:rPr>
        <w:t xml:space="preserve"> </w:t>
      </w:r>
      <w:r>
        <w:t>student-level</w:t>
      </w:r>
      <w:r>
        <w:rPr>
          <w:spacing w:val="-7"/>
        </w:rPr>
        <w:t xml:space="preserve"> </w:t>
      </w:r>
      <w:r>
        <w:t>response,</w:t>
      </w:r>
      <w:r>
        <w:rPr>
          <w:spacing w:val="-7"/>
        </w:rPr>
        <w:t xml:space="preserve"> </w:t>
      </w:r>
      <w:r>
        <w:t>exclusion,</w:t>
      </w:r>
      <w:r>
        <w:rPr>
          <w:spacing w:val="-7"/>
        </w:rPr>
        <w:t xml:space="preserve"> </w:t>
      </w:r>
      <w:r>
        <w:t>and</w:t>
      </w:r>
      <w:r>
        <w:rPr>
          <w:spacing w:val="-7"/>
        </w:rPr>
        <w:t xml:space="preserve"> </w:t>
      </w:r>
      <w:r>
        <w:t>accommodation</w:t>
      </w:r>
      <w:r>
        <w:rPr>
          <w:spacing w:val="-7"/>
        </w:rPr>
        <w:t xml:space="preserve"> </w:t>
      </w:r>
      <w:r>
        <w:t>rates</w:t>
      </w:r>
      <w:r>
        <w:rPr>
          <w:spacing w:val="-7"/>
        </w:rPr>
        <w:t xml:space="preserve"> </w:t>
      </w:r>
      <w:r>
        <w:t>for</w:t>
      </w:r>
      <w:r>
        <w:rPr>
          <w:spacing w:val="-7"/>
        </w:rPr>
        <w:t xml:space="preserve"> </w:t>
      </w:r>
      <w:r>
        <w:t>the</w:t>
      </w:r>
      <w:r>
        <w:rPr>
          <w:spacing w:val="-7"/>
        </w:rPr>
        <w:t xml:space="preserve"> </w:t>
      </w:r>
      <w:r>
        <w:t>grade</w:t>
      </w:r>
      <w:r>
        <w:rPr>
          <w:spacing w:val="-7"/>
        </w:rPr>
        <w:t xml:space="preserve"> </w:t>
      </w:r>
      <w:r>
        <w:t>8</w:t>
      </w:r>
      <w:r>
        <w:rPr>
          <w:spacing w:val="-7"/>
        </w:rPr>
        <w:t xml:space="preserve"> </w:t>
      </w:r>
      <w:r>
        <w:t>mathematics</w:t>
      </w:r>
      <w:r>
        <w:rPr>
          <w:spacing w:val="-7"/>
        </w:rPr>
        <w:t xml:space="preserve"> </w:t>
      </w:r>
      <w:r>
        <w:t>assessment</w:t>
      </w:r>
      <w:r>
        <w:rPr>
          <w:spacing w:val="-7"/>
        </w:rPr>
        <w:t xml:space="preserve"> </w:t>
      </w:r>
      <w:r>
        <w:t>by</w:t>
      </w:r>
      <w:r>
        <w:rPr>
          <w:spacing w:val="-7"/>
        </w:rPr>
        <w:t xml:space="preserve"> </w:t>
      </w:r>
      <w:r>
        <w:t>school</w:t>
      </w:r>
      <w:r>
        <w:rPr>
          <w:spacing w:val="-7"/>
        </w:rPr>
        <w:t xml:space="preserve"> </w:t>
      </w:r>
      <w:r>
        <w:t>type</w:t>
      </w:r>
      <w:r>
        <w:rPr>
          <w:spacing w:val="-7"/>
        </w:rPr>
        <w:t xml:space="preserve"> </w:t>
      </w:r>
      <w:r>
        <w:t>and jurisdiction.</w:t>
      </w:r>
      <w:r>
        <w:rPr>
          <w:spacing w:val="-2"/>
        </w:rPr>
        <w:t xml:space="preserve"> </w:t>
      </w:r>
      <w:r>
        <w:t>Various weights were used in the calculation of the rates, as indicated in the column headings of the table.</w:t>
      </w:r>
    </w:p>
    <w:p w:rsidR="003F5784" w14:paraId="6E8B3548" w14:textId="77777777">
      <w:pPr>
        <w:pStyle w:val="BodyText"/>
        <w:spacing w:before="1" w:line="232" w:lineRule="auto"/>
        <w:ind w:left="109" w:right="179"/>
      </w:pPr>
      <w:r>
        <w:t>The participation rates reflect the participation of the original sample schools only and do not reflect any effect of substitution.</w:t>
      </w:r>
      <w:r>
        <w:rPr>
          <w:spacing w:val="-3"/>
        </w:rPr>
        <w:t xml:space="preserve"> </w:t>
      </w:r>
      <w:r>
        <w:t>The rates weighted by the base weight and enrollment</w:t>
      </w:r>
      <w:r>
        <w:rPr>
          <w:spacing w:val="-6"/>
        </w:rPr>
        <w:t xml:space="preserve"> </w:t>
      </w:r>
      <w:r>
        <w:t>show</w:t>
      </w:r>
      <w:r>
        <w:rPr>
          <w:spacing w:val="-6"/>
        </w:rPr>
        <w:t xml:space="preserve"> </w:t>
      </w:r>
      <w:r>
        <w:t>the</w:t>
      </w:r>
      <w:r>
        <w:rPr>
          <w:spacing w:val="-6"/>
        </w:rPr>
        <w:t xml:space="preserve"> </w:t>
      </w:r>
      <w:r>
        <w:t>approximate</w:t>
      </w:r>
      <w:r>
        <w:rPr>
          <w:spacing w:val="-6"/>
        </w:rPr>
        <w:t xml:space="preserve"> </w:t>
      </w:r>
      <w:r>
        <w:t>proportion</w:t>
      </w:r>
      <w:r>
        <w:rPr>
          <w:spacing w:val="-6"/>
        </w:rPr>
        <w:t xml:space="preserve"> </w:t>
      </w:r>
      <w:r>
        <w:t>of</w:t>
      </w:r>
      <w:r>
        <w:rPr>
          <w:spacing w:val="-6"/>
        </w:rPr>
        <w:t xml:space="preserve"> </w:t>
      </w:r>
      <w:r>
        <w:t>the</w:t>
      </w:r>
      <w:r>
        <w:rPr>
          <w:spacing w:val="-6"/>
        </w:rPr>
        <w:t xml:space="preserve"> </w:t>
      </w:r>
      <w:r>
        <w:t>student</w:t>
      </w:r>
      <w:r>
        <w:rPr>
          <w:spacing w:val="-6"/>
        </w:rPr>
        <w:t xml:space="preserve"> </w:t>
      </w:r>
      <w:r>
        <w:t>population</w:t>
      </w:r>
      <w:r>
        <w:rPr>
          <w:spacing w:val="-6"/>
        </w:rPr>
        <w:t xml:space="preserve"> </w:t>
      </w:r>
      <w:r>
        <w:t>in</w:t>
      </w:r>
      <w:r>
        <w:rPr>
          <w:spacing w:val="-6"/>
        </w:rPr>
        <w:t xml:space="preserve"> </w:t>
      </w:r>
      <w:r>
        <w:t>the</w:t>
      </w:r>
      <w:r>
        <w:rPr>
          <w:spacing w:val="-6"/>
        </w:rPr>
        <w:t xml:space="preserve"> </w:t>
      </w:r>
      <w:r>
        <w:t>jurisdiction</w:t>
      </w:r>
      <w:r>
        <w:rPr>
          <w:spacing w:val="-6"/>
        </w:rPr>
        <w:t xml:space="preserve"> </w:t>
      </w:r>
      <w:r>
        <w:t>that</w:t>
      </w:r>
      <w:r>
        <w:rPr>
          <w:spacing w:val="-6"/>
        </w:rPr>
        <w:t xml:space="preserve"> </w:t>
      </w:r>
      <w:r>
        <w:t>is</w:t>
      </w:r>
      <w:r>
        <w:rPr>
          <w:spacing w:val="-6"/>
        </w:rPr>
        <w:t xml:space="preserve"> </w:t>
      </w:r>
      <w:r>
        <w:t>represented</w:t>
      </w:r>
      <w:r>
        <w:rPr>
          <w:spacing w:val="-6"/>
        </w:rPr>
        <w:t xml:space="preserve"> </w:t>
      </w:r>
      <w:r>
        <w:t>by</w:t>
      </w:r>
      <w:r>
        <w:rPr>
          <w:spacing w:val="-6"/>
        </w:rPr>
        <w:t xml:space="preserve"> </w:t>
      </w:r>
      <w:r>
        <w:t>the</w:t>
      </w:r>
      <w:r>
        <w:rPr>
          <w:spacing w:val="-6"/>
        </w:rPr>
        <w:t xml:space="preserve"> </w:t>
      </w:r>
      <w:r>
        <w:t>responding</w:t>
      </w:r>
      <w:r>
        <w:rPr>
          <w:spacing w:val="-6"/>
        </w:rPr>
        <w:t xml:space="preserve"> </w:t>
      </w:r>
      <w:r>
        <w:t>schools</w:t>
      </w:r>
      <w:r>
        <w:rPr>
          <w:spacing w:val="-6"/>
        </w:rPr>
        <w:t xml:space="preserve"> </w:t>
      </w:r>
      <w:r>
        <w:t>in</w:t>
      </w:r>
      <w:r>
        <w:rPr>
          <w:spacing w:val="-6"/>
        </w:rPr>
        <w:t xml:space="preserve"> </w:t>
      </w:r>
      <w:r>
        <w:t>the</w:t>
      </w:r>
      <w:r>
        <w:rPr>
          <w:spacing w:val="-6"/>
        </w:rPr>
        <w:t xml:space="preserve"> </w:t>
      </w:r>
      <w:r>
        <w:t>sample.</w:t>
      </w:r>
      <w:r>
        <w:rPr>
          <w:spacing w:val="-10"/>
        </w:rPr>
        <w:t xml:space="preserve"> </w:t>
      </w:r>
      <w:r>
        <w:t>The</w:t>
      </w:r>
      <w:r>
        <w:rPr>
          <w:spacing w:val="-6"/>
        </w:rPr>
        <w:t xml:space="preserve"> </w:t>
      </w:r>
      <w:r>
        <w:t>rates</w:t>
      </w:r>
      <w:r>
        <w:rPr>
          <w:spacing w:val="-6"/>
        </w:rPr>
        <w:t xml:space="preserve"> </w:t>
      </w:r>
      <w:r>
        <w:t>weighted</w:t>
      </w:r>
      <w:r>
        <w:rPr>
          <w:spacing w:val="-6"/>
        </w:rPr>
        <w:t xml:space="preserve"> </w:t>
      </w:r>
      <w:r>
        <w:t>by</w:t>
      </w:r>
      <w:r>
        <w:rPr>
          <w:spacing w:val="-6"/>
        </w:rPr>
        <w:t xml:space="preserve"> </w:t>
      </w:r>
      <w:r>
        <w:t>just the base weight show the proportion of the school population that is represented by the responding schools in the sample.</w:t>
      </w:r>
      <w:r>
        <w:rPr>
          <w:spacing w:val="-3"/>
        </w:rPr>
        <w:t xml:space="preserve"> </w:t>
      </w:r>
      <w:r>
        <w:t>These rates differ because schools differ in size.</w:t>
      </w:r>
    </w:p>
    <w:p w:rsidR="003F5784" w14:paraId="6D87FC85" w14:textId="77777777">
      <w:pPr>
        <w:pStyle w:val="BodyText"/>
        <w:spacing w:before="92"/>
      </w:pPr>
    </w:p>
    <w:p w:rsidR="003F5784" w14:paraId="14EF73C7" w14:textId="77777777">
      <w:pPr>
        <w:pStyle w:val="Heading2"/>
      </w:pPr>
      <w:r>
        <w:t>Participation,</w:t>
      </w:r>
      <w:r>
        <w:rPr>
          <w:spacing w:val="-8"/>
        </w:rPr>
        <w:t xml:space="preserve"> </w:t>
      </w:r>
      <w:r>
        <w:t>exclusion,</w:t>
      </w:r>
      <w:r>
        <w:rPr>
          <w:spacing w:val="-8"/>
        </w:rPr>
        <w:t xml:space="preserve"> </w:t>
      </w:r>
      <w:r>
        <w:t>and</w:t>
      </w:r>
      <w:r>
        <w:rPr>
          <w:spacing w:val="-8"/>
        </w:rPr>
        <w:t xml:space="preserve"> </w:t>
      </w:r>
      <w:r>
        <w:t>accommodation</w:t>
      </w:r>
      <w:r>
        <w:rPr>
          <w:spacing w:val="-7"/>
        </w:rPr>
        <w:t xml:space="preserve"> </w:t>
      </w:r>
      <w:r>
        <w:t>rates,</w:t>
      </w:r>
      <w:r>
        <w:rPr>
          <w:spacing w:val="-8"/>
        </w:rPr>
        <w:t xml:space="preserve"> </w:t>
      </w:r>
      <w:r>
        <w:t>grade</w:t>
      </w:r>
      <w:r>
        <w:rPr>
          <w:spacing w:val="-8"/>
        </w:rPr>
        <w:t xml:space="preserve"> </w:t>
      </w:r>
      <w:r>
        <w:t>8</w:t>
      </w:r>
      <w:r>
        <w:rPr>
          <w:spacing w:val="-8"/>
        </w:rPr>
        <w:t xml:space="preserve"> </w:t>
      </w:r>
      <w:r>
        <w:t>mathematics</w:t>
      </w:r>
      <w:r>
        <w:rPr>
          <w:spacing w:val="-7"/>
        </w:rPr>
        <w:t xml:space="preserve"> </w:t>
      </w:r>
      <w:r>
        <w:t>combined</w:t>
      </w:r>
      <w:r>
        <w:rPr>
          <w:spacing w:val="-8"/>
        </w:rPr>
        <w:t xml:space="preserve"> </w:t>
      </w:r>
      <w:r>
        <w:t>national</w:t>
      </w:r>
      <w:r>
        <w:rPr>
          <w:spacing w:val="-8"/>
        </w:rPr>
        <w:t xml:space="preserve"> </w:t>
      </w:r>
      <w:r>
        <w:t>and</w:t>
      </w:r>
      <w:r>
        <w:rPr>
          <w:spacing w:val="-8"/>
        </w:rPr>
        <w:t xml:space="preserve"> </w:t>
      </w:r>
      <w:r>
        <w:t>state</w:t>
      </w:r>
      <w:r>
        <w:rPr>
          <w:spacing w:val="-7"/>
        </w:rPr>
        <w:t xml:space="preserve"> </w:t>
      </w:r>
      <w:r>
        <w:t>assessment,</w:t>
      </w:r>
      <w:r>
        <w:rPr>
          <w:spacing w:val="-8"/>
        </w:rPr>
        <w:t xml:space="preserve"> </w:t>
      </w:r>
      <w:r>
        <w:t>by</w:t>
      </w:r>
      <w:r>
        <w:rPr>
          <w:spacing w:val="-8"/>
        </w:rPr>
        <w:t xml:space="preserve"> </w:t>
      </w:r>
      <w:r>
        <w:t>school</w:t>
      </w:r>
      <w:r>
        <w:rPr>
          <w:spacing w:val="-8"/>
        </w:rPr>
        <w:t xml:space="preserve"> </w:t>
      </w:r>
      <w:r>
        <w:t>type</w:t>
      </w:r>
      <w:r>
        <w:rPr>
          <w:spacing w:val="-7"/>
        </w:rPr>
        <w:t xml:space="preserve"> </w:t>
      </w:r>
      <w:r>
        <w:t>and</w:t>
      </w:r>
      <w:r>
        <w:rPr>
          <w:spacing w:val="-8"/>
        </w:rPr>
        <w:t xml:space="preserve"> </w:t>
      </w:r>
      <w:r>
        <w:t>jurisdiction:</w:t>
      </w:r>
      <w:r>
        <w:rPr>
          <w:spacing w:val="-8"/>
        </w:rPr>
        <w:t xml:space="preserve"> </w:t>
      </w:r>
      <w:r>
        <w:rPr>
          <w:spacing w:val="-4"/>
        </w:rPr>
        <w:t>2022</w:t>
      </w:r>
    </w:p>
    <w:p w:rsidR="003F5784" w14:paraId="41395DB4" w14:textId="77777777">
      <w:pPr>
        <w:sectPr>
          <w:pgSz w:w="15840" w:h="12240" w:orient="landscape"/>
          <w:pgMar w:top="480" w:right="440" w:bottom="460" w:left="460" w:header="284" w:footer="275" w:gutter="0"/>
          <w:cols w:space="720"/>
        </w:sectPr>
      </w:pPr>
    </w:p>
    <w:p w:rsidR="003F5784" w14:paraId="50CC9603" w14:textId="77777777">
      <w:pPr>
        <w:pStyle w:val="BodyText"/>
        <w:spacing w:before="5" w:after="1"/>
        <w:rPr>
          <w:b/>
          <w:sz w:val="7"/>
        </w:rPr>
      </w:pPr>
    </w:p>
    <w:tbl>
      <w:tblPr>
        <w:tblW w:w="0" w:type="auto"/>
        <w:tblInd w:w="482" w:type="dxa"/>
        <w:tblLayout w:type="fixed"/>
        <w:tblCellMar>
          <w:left w:w="0" w:type="dxa"/>
          <w:right w:w="0" w:type="dxa"/>
        </w:tblCellMar>
        <w:tblLook w:val="01E0"/>
      </w:tblPr>
      <w:tblGrid>
        <w:gridCol w:w="2693"/>
        <w:gridCol w:w="1272"/>
        <w:gridCol w:w="2055"/>
        <w:gridCol w:w="1990"/>
        <w:gridCol w:w="1304"/>
        <w:gridCol w:w="1202"/>
        <w:gridCol w:w="1738"/>
        <w:gridCol w:w="1733"/>
      </w:tblGrid>
      <w:tr w14:paraId="613A62DC" w14:textId="77777777">
        <w:tblPrEx>
          <w:tblW w:w="0" w:type="auto"/>
          <w:tblInd w:w="482" w:type="dxa"/>
          <w:tblLayout w:type="fixed"/>
          <w:tblCellMar>
            <w:left w:w="0" w:type="dxa"/>
            <w:right w:w="0" w:type="dxa"/>
          </w:tblCellMar>
          <w:tblLook w:val="01E0"/>
        </w:tblPrEx>
        <w:trPr>
          <w:trHeight w:val="1440"/>
        </w:trPr>
        <w:tc>
          <w:tcPr>
            <w:tcW w:w="2693" w:type="dxa"/>
            <w:tcBorders>
              <w:top w:val="single" w:sz="18" w:space="0" w:color="800000"/>
              <w:bottom w:val="single" w:sz="18" w:space="0" w:color="800000"/>
            </w:tcBorders>
          </w:tcPr>
          <w:p w:rsidR="003F5784" w14:paraId="53A3BFD7" w14:textId="77777777">
            <w:pPr>
              <w:pStyle w:val="TableParagraph"/>
              <w:spacing w:before="0"/>
              <w:jc w:val="left"/>
              <w:rPr>
                <w:b/>
                <w:sz w:val="21"/>
              </w:rPr>
            </w:pPr>
          </w:p>
          <w:p w:rsidR="003F5784" w14:paraId="4C037146" w14:textId="77777777">
            <w:pPr>
              <w:pStyle w:val="TableParagraph"/>
              <w:spacing w:before="0"/>
              <w:jc w:val="left"/>
              <w:rPr>
                <w:b/>
                <w:sz w:val="21"/>
              </w:rPr>
            </w:pPr>
          </w:p>
          <w:p w:rsidR="003F5784" w14:paraId="3B1D5FEC" w14:textId="77777777">
            <w:pPr>
              <w:pStyle w:val="TableParagraph"/>
              <w:spacing w:before="0"/>
              <w:jc w:val="left"/>
              <w:rPr>
                <w:b/>
                <w:sz w:val="21"/>
              </w:rPr>
            </w:pPr>
          </w:p>
          <w:p w:rsidR="003F5784" w14:paraId="70F5C43D" w14:textId="77777777">
            <w:pPr>
              <w:pStyle w:val="TableParagraph"/>
              <w:spacing w:before="216"/>
              <w:jc w:val="left"/>
              <w:rPr>
                <w:b/>
                <w:sz w:val="21"/>
              </w:rPr>
            </w:pPr>
          </w:p>
          <w:p w:rsidR="003F5784" w14:paraId="1F763A65" w14:textId="77777777">
            <w:pPr>
              <w:pStyle w:val="TableParagraph"/>
              <w:spacing w:before="0" w:line="238" w:lineRule="exact"/>
              <w:ind w:left="120"/>
              <w:jc w:val="left"/>
              <w:rPr>
                <w:sz w:val="21"/>
              </w:rPr>
            </w:pPr>
            <w:r>
              <w:rPr>
                <w:sz w:val="21"/>
              </w:rPr>
              <w:t>School</w:t>
            </w:r>
            <w:r>
              <w:rPr>
                <w:spacing w:val="-6"/>
                <w:sz w:val="21"/>
              </w:rPr>
              <w:t xml:space="preserve"> </w:t>
            </w:r>
            <w:r>
              <w:rPr>
                <w:sz w:val="21"/>
              </w:rPr>
              <w:t>type</w:t>
            </w:r>
            <w:r>
              <w:rPr>
                <w:spacing w:val="-5"/>
                <w:sz w:val="21"/>
              </w:rPr>
              <w:t xml:space="preserve"> </w:t>
            </w:r>
            <w:r>
              <w:rPr>
                <w:sz w:val="21"/>
              </w:rPr>
              <w:t>and</w:t>
            </w:r>
            <w:r>
              <w:rPr>
                <w:spacing w:val="-5"/>
                <w:sz w:val="21"/>
              </w:rPr>
              <w:t xml:space="preserve"> </w:t>
            </w:r>
            <w:r>
              <w:rPr>
                <w:spacing w:val="-2"/>
                <w:sz w:val="21"/>
              </w:rPr>
              <w:t>jurisdiction</w:t>
            </w:r>
          </w:p>
        </w:tc>
        <w:tc>
          <w:tcPr>
            <w:tcW w:w="1272" w:type="dxa"/>
            <w:tcBorders>
              <w:top w:val="single" w:sz="18" w:space="0" w:color="800000"/>
              <w:bottom w:val="single" w:sz="18" w:space="0" w:color="800000"/>
            </w:tcBorders>
          </w:tcPr>
          <w:p w:rsidR="003F5784" w14:paraId="15AAED44" w14:textId="77777777">
            <w:pPr>
              <w:pStyle w:val="TableParagraph"/>
              <w:spacing w:before="9"/>
              <w:jc w:val="left"/>
              <w:rPr>
                <w:b/>
                <w:sz w:val="21"/>
              </w:rPr>
            </w:pPr>
          </w:p>
          <w:p w:rsidR="003F5784" w14:paraId="595D027F" w14:textId="77777777">
            <w:pPr>
              <w:pStyle w:val="TableParagraph"/>
              <w:spacing w:before="0" w:line="234" w:lineRule="exact"/>
              <w:ind w:left="296" w:right="133" w:hanging="70"/>
              <w:rPr>
                <w:sz w:val="21"/>
              </w:rPr>
            </w:pPr>
            <w:r>
              <w:rPr>
                <w:sz w:val="21"/>
              </w:rPr>
              <w:t>Number</w:t>
            </w:r>
            <w:r>
              <w:rPr>
                <w:spacing w:val="-14"/>
                <w:sz w:val="21"/>
              </w:rPr>
              <w:t xml:space="preserve"> </w:t>
            </w:r>
            <w:r>
              <w:rPr>
                <w:sz w:val="21"/>
              </w:rPr>
              <w:t>of schools</w:t>
            </w:r>
            <w:r>
              <w:rPr>
                <w:spacing w:val="-14"/>
                <w:sz w:val="21"/>
              </w:rPr>
              <w:t xml:space="preserve"> </w:t>
            </w:r>
            <w:r>
              <w:rPr>
                <w:sz w:val="21"/>
              </w:rPr>
              <w:t xml:space="preserve">in </w:t>
            </w:r>
            <w:r>
              <w:rPr>
                <w:spacing w:val="-2"/>
                <w:sz w:val="21"/>
              </w:rPr>
              <w:t>original sample, rounded</w:t>
            </w:r>
          </w:p>
        </w:tc>
        <w:tc>
          <w:tcPr>
            <w:tcW w:w="2055" w:type="dxa"/>
            <w:tcBorders>
              <w:top w:val="single" w:sz="18" w:space="0" w:color="800000"/>
              <w:bottom w:val="single" w:sz="18" w:space="0" w:color="800000"/>
            </w:tcBorders>
          </w:tcPr>
          <w:p w:rsidR="003F5784" w14:paraId="6035B633" w14:textId="77777777">
            <w:pPr>
              <w:pStyle w:val="TableParagraph"/>
              <w:spacing w:before="15" w:line="232" w:lineRule="auto"/>
              <w:ind w:left="135" w:right="134" w:firstLine="97"/>
              <w:rPr>
                <w:sz w:val="21"/>
              </w:rPr>
            </w:pPr>
            <w:r>
              <w:rPr>
                <w:spacing w:val="-2"/>
                <w:sz w:val="21"/>
              </w:rPr>
              <w:t>School</w:t>
            </w:r>
            <w:r>
              <w:rPr>
                <w:spacing w:val="-11"/>
                <w:sz w:val="21"/>
              </w:rPr>
              <w:t xml:space="preserve"> </w:t>
            </w:r>
            <w:r>
              <w:rPr>
                <w:spacing w:val="-2"/>
                <w:sz w:val="21"/>
              </w:rPr>
              <w:t xml:space="preserve">participation </w:t>
            </w:r>
            <w:r>
              <w:rPr>
                <w:sz w:val="21"/>
              </w:rPr>
              <w:t>rates</w:t>
            </w:r>
            <w:r>
              <w:rPr>
                <w:spacing w:val="-7"/>
                <w:sz w:val="21"/>
              </w:rPr>
              <w:t xml:space="preserve"> </w:t>
            </w:r>
            <w:r>
              <w:rPr>
                <w:sz w:val="21"/>
              </w:rPr>
              <w:t>(percent)</w:t>
            </w:r>
            <w:r>
              <w:rPr>
                <w:spacing w:val="-7"/>
                <w:sz w:val="21"/>
              </w:rPr>
              <w:t xml:space="preserve"> </w:t>
            </w:r>
            <w:r>
              <w:rPr>
                <w:spacing w:val="-2"/>
                <w:sz w:val="21"/>
              </w:rPr>
              <w:t>before</w:t>
            </w:r>
          </w:p>
          <w:p w:rsidR="003F5784" w14:paraId="079BAA3B" w14:textId="77777777">
            <w:pPr>
              <w:pStyle w:val="TableParagraph"/>
              <w:spacing w:before="1" w:line="232" w:lineRule="auto"/>
              <w:ind w:left="401" w:right="134" w:firstLine="543"/>
              <w:rPr>
                <w:sz w:val="21"/>
              </w:rPr>
            </w:pPr>
            <w:r>
              <w:rPr>
                <w:spacing w:val="-2"/>
                <w:sz w:val="21"/>
              </w:rPr>
              <w:t xml:space="preserve">substitution </w:t>
            </w:r>
            <w:r>
              <w:rPr>
                <w:sz w:val="21"/>
              </w:rPr>
              <w:t>(weighted</w:t>
            </w:r>
            <w:r>
              <w:rPr>
                <w:spacing w:val="-7"/>
                <w:sz w:val="21"/>
              </w:rPr>
              <w:t xml:space="preserve"> </w:t>
            </w:r>
            <w:r>
              <w:rPr>
                <w:sz w:val="21"/>
              </w:rPr>
              <w:t>by</w:t>
            </w:r>
            <w:r>
              <w:rPr>
                <w:spacing w:val="-6"/>
                <w:sz w:val="21"/>
              </w:rPr>
              <w:t xml:space="preserve"> </w:t>
            </w:r>
            <w:r>
              <w:rPr>
                <w:spacing w:val="-4"/>
                <w:sz w:val="21"/>
              </w:rPr>
              <w:t>base</w:t>
            </w:r>
          </w:p>
          <w:p w:rsidR="003F5784" w14:paraId="79DE5BE4" w14:textId="77777777">
            <w:pPr>
              <w:pStyle w:val="TableParagraph"/>
              <w:spacing w:before="0" w:line="234" w:lineRule="exact"/>
              <w:ind w:left="945" w:right="134" w:firstLine="51"/>
              <w:rPr>
                <w:sz w:val="21"/>
              </w:rPr>
            </w:pPr>
            <w:r>
              <w:rPr>
                <w:sz w:val="21"/>
              </w:rPr>
              <w:t>weight</w:t>
            </w:r>
            <w:r>
              <w:rPr>
                <w:spacing w:val="-14"/>
                <w:sz w:val="21"/>
              </w:rPr>
              <w:t xml:space="preserve"> </w:t>
            </w:r>
            <w:r>
              <w:rPr>
                <w:sz w:val="21"/>
              </w:rPr>
              <w:t xml:space="preserve">and </w:t>
            </w:r>
            <w:r>
              <w:rPr>
                <w:spacing w:val="-2"/>
                <w:sz w:val="21"/>
              </w:rPr>
              <w:t>enrollment)</w:t>
            </w:r>
          </w:p>
        </w:tc>
        <w:tc>
          <w:tcPr>
            <w:tcW w:w="1990" w:type="dxa"/>
            <w:tcBorders>
              <w:top w:val="single" w:sz="18" w:space="0" w:color="800000"/>
              <w:bottom w:val="single" w:sz="18" w:space="0" w:color="800000"/>
            </w:tcBorders>
          </w:tcPr>
          <w:p w:rsidR="003F5784" w14:paraId="62783E73" w14:textId="77777777">
            <w:pPr>
              <w:pStyle w:val="TableParagraph"/>
              <w:spacing w:before="8"/>
              <w:jc w:val="left"/>
              <w:rPr>
                <w:b/>
                <w:sz w:val="21"/>
              </w:rPr>
            </w:pPr>
          </w:p>
          <w:p w:rsidR="003F5784" w14:paraId="3A00AF19" w14:textId="77777777">
            <w:pPr>
              <w:pStyle w:val="TableParagraph"/>
              <w:spacing w:before="0" w:line="232" w:lineRule="auto"/>
              <w:ind w:left="263" w:right="166" w:hanging="128"/>
              <w:rPr>
                <w:sz w:val="21"/>
              </w:rPr>
            </w:pPr>
            <w:r>
              <w:rPr>
                <w:spacing w:val="-2"/>
                <w:sz w:val="21"/>
              </w:rPr>
              <w:t>School</w:t>
            </w:r>
            <w:r>
              <w:rPr>
                <w:spacing w:val="-11"/>
                <w:sz w:val="21"/>
              </w:rPr>
              <w:t xml:space="preserve"> </w:t>
            </w:r>
            <w:r>
              <w:rPr>
                <w:spacing w:val="-2"/>
                <w:sz w:val="21"/>
              </w:rPr>
              <w:t xml:space="preserve">participation </w:t>
            </w:r>
            <w:r>
              <w:rPr>
                <w:sz w:val="21"/>
              </w:rPr>
              <w:t xml:space="preserve">rates (percent) </w:t>
            </w:r>
            <w:r>
              <w:rPr>
                <w:spacing w:val="-2"/>
                <w:sz w:val="21"/>
              </w:rPr>
              <w:t>before</w:t>
            </w:r>
            <w:r>
              <w:rPr>
                <w:spacing w:val="-12"/>
                <w:sz w:val="21"/>
              </w:rPr>
              <w:t xml:space="preserve"> </w:t>
            </w:r>
            <w:r>
              <w:rPr>
                <w:spacing w:val="-2"/>
                <w:sz w:val="21"/>
              </w:rPr>
              <w:t xml:space="preserve">substitution </w:t>
            </w:r>
            <w:r>
              <w:rPr>
                <w:sz w:val="21"/>
              </w:rPr>
              <w:t>(weighted</w:t>
            </w:r>
            <w:r>
              <w:rPr>
                <w:spacing w:val="-7"/>
                <w:sz w:val="21"/>
              </w:rPr>
              <w:t xml:space="preserve"> </w:t>
            </w:r>
            <w:r>
              <w:rPr>
                <w:sz w:val="21"/>
              </w:rPr>
              <w:t>by</w:t>
            </w:r>
            <w:r>
              <w:rPr>
                <w:spacing w:val="-6"/>
                <w:sz w:val="21"/>
              </w:rPr>
              <w:t xml:space="preserve"> </w:t>
            </w:r>
            <w:r>
              <w:rPr>
                <w:spacing w:val="-4"/>
                <w:sz w:val="21"/>
              </w:rPr>
              <w:t>base</w:t>
            </w:r>
          </w:p>
          <w:p w:rsidR="003F5784" w14:paraId="474A2C72" w14:textId="77777777">
            <w:pPr>
              <w:pStyle w:val="TableParagraph"/>
              <w:spacing w:before="0" w:line="234" w:lineRule="exact"/>
              <w:ind w:right="166"/>
              <w:rPr>
                <w:sz w:val="21"/>
              </w:rPr>
            </w:pPr>
            <w:r>
              <w:rPr>
                <w:sz w:val="21"/>
              </w:rPr>
              <w:t>weight</w:t>
            </w:r>
            <w:r>
              <w:rPr>
                <w:spacing w:val="-7"/>
                <w:sz w:val="21"/>
              </w:rPr>
              <w:t xml:space="preserve"> </w:t>
            </w:r>
            <w:r>
              <w:rPr>
                <w:spacing w:val="-2"/>
                <w:sz w:val="21"/>
              </w:rPr>
              <w:t>only)</w:t>
            </w:r>
          </w:p>
        </w:tc>
        <w:tc>
          <w:tcPr>
            <w:tcW w:w="1304" w:type="dxa"/>
            <w:tcBorders>
              <w:top w:val="single" w:sz="18" w:space="0" w:color="800000"/>
              <w:bottom w:val="single" w:sz="18" w:space="0" w:color="800000"/>
            </w:tcBorders>
          </w:tcPr>
          <w:p w:rsidR="003F5784" w14:paraId="0397ED81" w14:textId="77777777">
            <w:pPr>
              <w:pStyle w:val="TableParagraph"/>
              <w:spacing w:before="0"/>
              <w:jc w:val="left"/>
              <w:rPr>
                <w:b/>
                <w:sz w:val="21"/>
              </w:rPr>
            </w:pPr>
          </w:p>
          <w:p w:rsidR="003F5784" w14:paraId="767F2A67" w14:textId="77777777">
            <w:pPr>
              <w:pStyle w:val="TableParagraph"/>
              <w:spacing w:before="1"/>
              <w:jc w:val="left"/>
              <w:rPr>
                <w:b/>
                <w:sz w:val="21"/>
              </w:rPr>
            </w:pPr>
          </w:p>
          <w:p w:rsidR="003F5784" w14:paraId="078AA8A2" w14:textId="77777777">
            <w:pPr>
              <w:pStyle w:val="TableParagraph"/>
              <w:spacing w:before="0" w:line="234" w:lineRule="exact"/>
              <w:ind w:left="329" w:right="225" w:hanging="163"/>
              <w:jc w:val="both"/>
              <w:rPr>
                <w:sz w:val="21"/>
              </w:rPr>
            </w:pPr>
            <w:r>
              <w:rPr>
                <w:sz w:val="21"/>
              </w:rPr>
              <w:t>Number</w:t>
            </w:r>
            <w:r>
              <w:rPr>
                <w:spacing w:val="-14"/>
                <w:sz w:val="21"/>
              </w:rPr>
              <w:t xml:space="preserve"> </w:t>
            </w:r>
            <w:r>
              <w:rPr>
                <w:sz w:val="21"/>
              </w:rPr>
              <w:t xml:space="preserve">of </w:t>
            </w:r>
            <w:r>
              <w:rPr>
                <w:spacing w:val="-2"/>
                <w:sz w:val="21"/>
              </w:rPr>
              <w:t>students sampled, rounded</w:t>
            </w:r>
          </w:p>
        </w:tc>
        <w:tc>
          <w:tcPr>
            <w:tcW w:w="1202" w:type="dxa"/>
            <w:tcBorders>
              <w:top w:val="single" w:sz="18" w:space="0" w:color="800000"/>
              <w:bottom w:val="single" w:sz="18" w:space="0" w:color="800000"/>
            </w:tcBorders>
          </w:tcPr>
          <w:p w:rsidR="003F5784" w14:paraId="6D740206" w14:textId="77777777">
            <w:pPr>
              <w:pStyle w:val="TableParagraph"/>
              <w:spacing w:before="0"/>
              <w:jc w:val="left"/>
              <w:rPr>
                <w:b/>
                <w:sz w:val="21"/>
              </w:rPr>
            </w:pPr>
          </w:p>
          <w:p w:rsidR="003F5784" w14:paraId="167EA2B5" w14:textId="77777777">
            <w:pPr>
              <w:pStyle w:val="TableParagraph"/>
              <w:spacing w:before="1"/>
              <w:jc w:val="left"/>
              <w:rPr>
                <w:b/>
                <w:sz w:val="21"/>
              </w:rPr>
            </w:pPr>
          </w:p>
          <w:p w:rsidR="003F5784" w14:paraId="1334BD6B" w14:textId="77777777">
            <w:pPr>
              <w:pStyle w:val="TableParagraph"/>
              <w:spacing w:before="0" w:line="234" w:lineRule="exact"/>
              <w:ind w:left="225" w:right="135" w:firstLine="45"/>
              <w:rPr>
                <w:sz w:val="21"/>
              </w:rPr>
            </w:pPr>
            <w:r>
              <w:rPr>
                <w:spacing w:val="-4"/>
                <w:sz w:val="21"/>
              </w:rPr>
              <w:t xml:space="preserve">Weighted </w:t>
            </w:r>
            <w:r>
              <w:rPr>
                <w:spacing w:val="-2"/>
                <w:sz w:val="21"/>
              </w:rPr>
              <w:t>percent</w:t>
            </w:r>
            <w:r>
              <w:rPr>
                <w:spacing w:val="-12"/>
                <w:sz w:val="21"/>
              </w:rPr>
              <w:t xml:space="preserve"> </w:t>
            </w:r>
            <w:r>
              <w:rPr>
                <w:spacing w:val="-2"/>
                <w:sz w:val="21"/>
              </w:rPr>
              <w:t>of students excluded</w:t>
            </w:r>
          </w:p>
        </w:tc>
        <w:tc>
          <w:tcPr>
            <w:tcW w:w="1738" w:type="dxa"/>
            <w:tcBorders>
              <w:top w:val="single" w:sz="18" w:space="0" w:color="800000"/>
              <w:bottom w:val="single" w:sz="18" w:space="0" w:color="800000"/>
            </w:tcBorders>
          </w:tcPr>
          <w:p w:rsidR="003F5784" w14:paraId="6953662B" w14:textId="77777777">
            <w:pPr>
              <w:pStyle w:val="TableParagraph"/>
              <w:spacing w:before="0"/>
              <w:jc w:val="left"/>
              <w:rPr>
                <w:b/>
                <w:sz w:val="21"/>
              </w:rPr>
            </w:pPr>
          </w:p>
          <w:p w:rsidR="003F5784" w14:paraId="3F837795" w14:textId="77777777">
            <w:pPr>
              <w:pStyle w:val="TableParagraph"/>
              <w:spacing w:before="1"/>
              <w:jc w:val="left"/>
              <w:rPr>
                <w:b/>
                <w:sz w:val="21"/>
              </w:rPr>
            </w:pPr>
          </w:p>
          <w:p w:rsidR="003F5784" w14:paraId="318F618D" w14:textId="77777777">
            <w:pPr>
              <w:pStyle w:val="TableParagraph"/>
              <w:spacing w:before="0" w:line="234" w:lineRule="exact"/>
              <w:ind w:left="384" w:right="153" w:hanging="251"/>
              <w:rPr>
                <w:sz w:val="21"/>
              </w:rPr>
            </w:pPr>
            <w:r>
              <w:rPr>
                <w:spacing w:val="-2"/>
                <w:sz w:val="21"/>
              </w:rPr>
              <w:t>Weighted</w:t>
            </w:r>
            <w:r>
              <w:rPr>
                <w:spacing w:val="-12"/>
                <w:sz w:val="21"/>
              </w:rPr>
              <w:t xml:space="preserve"> </w:t>
            </w:r>
            <w:r>
              <w:rPr>
                <w:spacing w:val="-2"/>
                <w:sz w:val="21"/>
              </w:rPr>
              <w:t>student participation rates</w:t>
            </w:r>
            <w:r>
              <w:rPr>
                <w:spacing w:val="-12"/>
                <w:sz w:val="21"/>
              </w:rPr>
              <w:t xml:space="preserve"> </w:t>
            </w:r>
            <w:r>
              <w:rPr>
                <w:spacing w:val="-2"/>
                <w:sz w:val="21"/>
              </w:rPr>
              <w:t xml:space="preserve">(percent) </w:t>
            </w:r>
            <w:r>
              <w:rPr>
                <w:sz w:val="21"/>
              </w:rPr>
              <w:t>after</w:t>
            </w:r>
            <w:r>
              <w:rPr>
                <w:spacing w:val="-5"/>
                <w:sz w:val="21"/>
              </w:rPr>
              <w:t xml:space="preserve"> </w:t>
            </w:r>
            <w:r>
              <w:rPr>
                <w:spacing w:val="-2"/>
                <w:sz w:val="21"/>
              </w:rPr>
              <w:t>makeups</w:t>
            </w:r>
          </w:p>
        </w:tc>
        <w:tc>
          <w:tcPr>
            <w:tcW w:w="1733" w:type="dxa"/>
            <w:tcBorders>
              <w:top w:val="single" w:sz="18" w:space="0" w:color="800000"/>
              <w:bottom w:val="single" w:sz="18" w:space="0" w:color="800000"/>
            </w:tcBorders>
          </w:tcPr>
          <w:p w:rsidR="003F5784" w14:paraId="649E3091" w14:textId="77777777">
            <w:pPr>
              <w:pStyle w:val="TableParagraph"/>
              <w:spacing w:before="0"/>
              <w:jc w:val="left"/>
              <w:rPr>
                <w:b/>
                <w:sz w:val="21"/>
              </w:rPr>
            </w:pPr>
          </w:p>
          <w:p w:rsidR="003F5784" w14:paraId="23BA1C6B" w14:textId="77777777">
            <w:pPr>
              <w:pStyle w:val="TableParagraph"/>
              <w:spacing w:before="230"/>
              <w:jc w:val="left"/>
              <w:rPr>
                <w:b/>
                <w:sz w:val="21"/>
              </w:rPr>
            </w:pPr>
          </w:p>
          <w:p w:rsidR="003F5784" w14:paraId="35E1045F" w14:textId="77777777">
            <w:pPr>
              <w:pStyle w:val="TableParagraph"/>
              <w:spacing w:before="0" w:line="238" w:lineRule="exact"/>
              <w:ind w:right="120"/>
              <w:rPr>
                <w:sz w:val="21"/>
              </w:rPr>
            </w:pPr>
            <w:r>
              <w:rPr>
                <w:spacing w:val="-2"/>
                <w:sz w:val="21"/>
              </w:rPr>
              <w:t>Weighted</w:t>
            </w:r>
            <w:r>
              <w:rPr>
                <w:spacing w:val="-11"/>
                <w:sz w:val="21"/>
              </w:rPr>
              <w:t xml:space="preserve"> </w:t>
            </w:r>
            <w:r>
              <w:rPr>
                <w:spacing w:val="-2"/>
                <w:sz w:val="21"/>
              </w:rPr>
              <w:t>percent</w:t>
            </w:r>
          </w:p>
          <w:p w:rsidR="003F5784" w14:paraId="14717FA4" w14:textId="77777777">
            <w:pPr>
              <w:pStyle w:val="TableParagraph"/>
              <w:spacing w:before="1" w:line="234" w:lineRule="exact"/>
              <w:ind w:left="348" w:right="120" w:firstLine="352"/>
              <w:rPr>
                <w:sz w:val="21"/>
              </w:rPr>
            </w:pPr>
            <w:r>
              <w:rPr>
                <w:sz w:val="21"/>
              </w:rPr>
              <w:t>of</w:t>
            </w:r>
            <w:r>
              <w:rPr>
                <w:spacing w:val="-14"/>
                <w:sz w:val="21"/>
              </w:rPr>
              <w:t xml:space="preserve"> </w:t>
            </w:r>
            <w:r>
              <w:rPr>
                <w:sz w:val="21"/>
              </w:rPr>
              <w:t xml:space="preserve">students </w:t>
            </w:r>
            <w:r>
              <w:rPr>
                <w:spacing w:val="-2"/>
                <w:sz w:val="21"/>
              </w:rPr>
              <w:t>accommodated</w:t>
            </w:r>
          </w:p>
        </w:tc>
      </w:tr>
      <w:tr w14:paraId="1B49BFF3" w14:textId="77777777">
        <w:tblPrEx>
          <w:tblW w:w="0" w:type="auto"/>
          <w:tblInd w:w="482" w:type="dxa"/>
          <w:tblLayout w:type="fixed"/>
          <w:tblCellMar>
            <w:left w:w="0" w:type="dxa"/>
            <w:right w:w="0" w:type="dxa"/>
          </w:tblCellMar>
          <w:tblLook w:val="01E0"/>
        </w:tblPrEx>
        <w:trPr>
          <w:trHeight w:val="281"/>
        </w:trPr>
        <w:tc>
          <w:tcPr>
            <w:tcW w:w="2693" w:type="dxa"/>
            <w:tcBorders>
              <w:top w:val="single" w:sz="18" w:space="0" w:color="800000"/>
              <w:bottom w:val="single" w:sz="12" w:space="0" w:color="800000"/>
            </w:tcBorders>
          </w:tcPr>
          <w:p w:rsidR="003F5784" w14:paraId="17EF792D" w14:textId="77777777">
            <w:pPr>
              <w:pStyle w:val="TableParagraph"/>
              <w:spacing w:before="9"/>
              <w:ind w:left="370"/>
              <w:jc w:val="left"/>
              <w:rPr>
                <w:b/>
                <w:sz w:val="21"/>
              </w:rPr>
            </w:pPr>
            <w:r>
              <w:rPr>
                <w:b/>
                <w:spacing w:val="-5"/>
                <w:sz w:val="21"/>
              </w:rPr>
              <w:t>All</w:t>
            </w:r>
          </w:p>
        </w:tc>
        <w:tc>
          <w:tcPr>
            <w:tcW w:w="1272" w:type="dxa"/>
            <w:tcBorders>
              <w:top w:val="single" w:sz="18" w:space="0" w:color="800000"/>
              <w:bottom w:val="single" w:sz="12" w:space="0" w:color="800000"/>
            </w:tcBorders>
          </w:tcPr>
          <w:p w:rsidR="003F5784" w14:paraId="5908725C" w14:textId="77777777">
            <w:pPr>
              <w:pStyle w:val="TableParagraph"/>
              <w:spacing w:before="9"/>
              <w:ind w:right="133"/>
              <w:rPr>
                <w:b/>
                <w:sz w:val="21"/>
              </w:rPr>
            </w:pPr>
            <w:r>
              <w:rPr>
                <w:b/>
                <w:spacing w:val="-2"/>
                <w:sz w:val="21"/>
              </w:rPr>
              <w:t>5,870</w:t>
            </w:r>
          </w:p>
        </w:tc>
        <w:tc>
          <w:tcPr>
            <w:tcW w:w="2055" w:type="dxa"/>
            <w:tcBorders>
              <w:top w:val="single" w:sz="18" w:space="0" w:color="800000"/>
              <w:bottom w:val="single" w:sz="12" w:space="0" w:color="800000"/>
            </w:tcBorders>
          </w:tcPr>
          <w:p w:rsidR="003F5784" w14:paraId="34182A69" w14:textId="77777777">
            <w:pPr>
              <w:pStyle w:val="TableParagraph"/>
              <w:spacing w:before="9"/>
              <w:ind w:right="134"/>
              <w:rPr>
                <w:b/>
                <w:sz w:val="21"/>
              </w:rPr>
            </w:pPr>
            <w:r>
              <w:rPr>
                <w:b/>
                <w:spacing w:val="-2"/>
                <w:sz w:val="21"/>
              </w:rPr>
              <w:t>94.69</w:t>
            </w:r>
          </w:p>
        </w:tc>
        <w:tc>
          <w:tcPr>
            <w:tcW w:w="1990" w:type="dxa"/>
            <w:tcBorders>
              <w:top w:val="single" w:sz="18" w:space="0" w:color="800000"/>
              <w:bottom w:val="single" w:sz="12" w:space="0" w:color="800000"/>
            </w:tcBorders>
          </w:tcPr>
          <w:p w:rsidR="003F5784" w14:paraId="1E1FC2B5" w14:textId="77777777">
            <w:pPr>
              <w:pStyle w:val="TableParagraph"/>
              <w:spacing w:before="9"/>
              <w:ind w:right="166"/>
              <w:rPr>
                <w:b/>
                <w:sz w:val="21"/>
              </w:rPr>
            </w:pPr>
            <w:r>
              <w:rPr>
                <w:b/>
                <w:spacing w:val="-2"/>
                <w:sz w:val="21"/>
              </w:rPr>
              <w:t>74.55</w:t>
            </w:r>
          </w:p>
        </w:tc>
        <w:tc>
          <w:tcPr>
            <w:tcW w:w="1304" w:type="dxa"/>
            <w:tcBorders>
              <w:top w:val="single" w:sz="18" w:space="0" w:color="800000"/>
              <w:bottom w:val="single" w:sz="12" w:space="0" w:color="800000"/>
            </w:tcBorders>
          </w:tcPr>
          <w:p w:rsidR="003F5784" w14:paraId="437D54F3" w14:textId="77777777">
            <w:pPr>
              <w:pStyle w:val="TableParagraph"/>
              <w:spacing w:before="9"/>
              <w:ind w:right="225"/>
              <w:rPr>
                <w:b/>
                <w:sz w:val="21"/>
              </w:rPr>
            </w:pPr>
            <w:r>
              <w:rPr>
                <w:b/>
                <w:spacing w:val="-2"/>
                <w:sz w:val="21"/>
              </w:rPr>
              <w:t>138,700</w:t>
            </w:r>
          </w:p>
        </w:tc>
        <w:tc>
          <w:tcPr>
            <w:tcW w:w="1202" w:type="dxa"/>
            <w:tcBorders>
              <w:top w:val="single" w:sz="18" w:space="0" w:color="800000"/>
              <w:bottom w:val="single" w:sz="12" w:space="0" w:color="800000"/>
            </w:tcBorders>
          </w:tcPr>
          <w:p w:rsidR="003F5784" w14:paraId="3A30B4C9" w14:textId="77777777">
            <w:pPr>
              <w:pStyle w:val="TableParagraph"/>
              <w:spacing w:before="9"/>
              <w:ind w:right="135"/>
              <w:rPr>
                <w:b/>
                <w:sz w:val="21"/>
              </w:rPr>
            </w:pPr>
            <w:r>
              <w:rPr>
                <w:b/>
                <w:spacing w:val="-4"/>
                <w:sz w:val="21"/>
              </w:rPr>
              <w:t>1.53</w:t>
            </w:r>
          </w:p>
        </w:tc>
        <w:tc>
          <w:tcPr>
            <w:tcW w:w="1738" w:type="dxa"/>
            <w:tcBorders>
              <w:top w:val="single" w:sz="18" w:space="0" w:color="800000"/>
              <w:bottom w:val="single" w:sz="12" w:space="0" w:color="800000"/>
            </w:tcBorders>
          </w:tcPr>
          <w:p w:rsidR="003F5784" w14:paraId="799459EF" w14:textId="77777777">
            <w:pPr>
              <w:pStyle w:val="TableParagraph"/>
              <w:spacing w:before="9"/>
              <w:ind w:right="153"/>
              <w:rPr>
                <w:b/>
                <w:sz w:val="21"/>
              </w:rPr>
            </w:pPr>
            <w:r>
              <w:rPr>
                <w:b/>
                <w:spacing w:val="-2"/>
                <w:sz w:val="21"/>
              </w:rPr>
              <w:t>88.87</w:t>
            </w:r>
          </w:p>
        </w:tc>
        <w:tc>
          <w:tcPr>
            <w:tcW w:w="1733" w:type="dxa"/>
            <w:tcBorders>
              <w:top w:val="single" w:sz="18" w:space="0" w:color="800000"/>
              <w:bottom w:val="single" w:sz="12" w:space="0" w:color="800000"/>
            </w:tcBorders>
          </w:tcPr>
          <w:p w:rsidR="003F5784" w14:paraId="4B4B1AA3" w14:textId="77777777">
            <w:pPr>
              <w:pStyle w:val="TableParagraph"/>
              <w:spacing w:before="9"/>
              <w:ind w:right="120"/>
              <w:rPr>
                <w:b/>
                <w:sz w:val="21"/>
              </w:rPr>
            </w:pPr>
            <w:r>
              <w:rPr>
                <w:b/>
                <w:spacing w:val="-2"/>
                <w:sz w:val="21"/>
              </w:rPr>
              <w:t>13.75</w:t>
            </w:r>
          </w:p>
        </w:tc>
      </w:tr>
      <w:tr w14:paraId="04768C9C" w14:textId="77777777">
        <w:tblPrEx>
          <w:tblW w:w="0" w:type="auto"/>
          <w:tblInd w:w="482" w:type="dxa"/>
          <w:tblLayout w:type="fixed"/>
          <w:tblCellMar>
            <w:left w:w="0" w:type="dxa"/>
            <w:right w:w="0" w:type="dxa"/>
          </w:tblCellMar>
          <w:tblLook w:val="01E0"/>
        </w:tblPrEx>
        <w:trPr>
          <w:trHeight w:val="320"/>
        </w:trPr>
        <w:tc>
          <w:tcPr>
            <w:tcW w:w="2693" w:type="dxa"/>
            <w:tcBorders>
              <w:top w:val="single" w:sz="12" w:space="0" w:color="800000"/>
            </w:tcBorders>
          </w:tcPr>
          <w:p w:rsidR="003F5784" w14:paraId="775593DB" w14:textId="77777777">
            <w:pPr>
              <w:pStyle w:val="TableParagraph"/>
              <w:spacing w:before="11"/>
              <w:ind w:left="370"/>
              <w:jc w:val="left"/>
              <w:rPr>
                <w:b/>
                <w:sz w:val="17"/>
              </w:rPr>
            </w:pPr>
            <w:r>
              <w:rPr>
                <w:b/>
                <w:sz w:val="21"/>
              </w:rPr>
              <w:t>National</w:t>
            </w:r>
            <w:r>
              <w:rPr>
                <w:b/>
                <w:spacing w:val="-9"/>
                <w:sz w:val="21"/>
              </w:rPr>
              <w:t xml:space="preserve"> </w:t>
            </w:r>
            <w:r>
              <w:rPr>
                <w:b/>
                <w:spacing w:val="-4"/>
                <w:sz w:val="21"/>
              </w:rPr>
              <w:t>all</w:t>
            </w:r>
            <w:r>
              <w:rPr>
                <w:b/>
                <w:spacing w:val="-4"/>
                <w:position w:val="8"/>
                <w:sz w:val="17"/>
              </w:rPr>
              <w:t>1</w:t>
            </w:r>
          </w:p>
        </w:tc>
        <w:tc>
          <w:tcPr>
            <w:tcW w:w="1272" w:type="dxa"/>
            <w:tcBorders>
              <w:top w:val="single" w:sz="12" w:space="0" w:color="800000"/>
            </w:tcBorders>
          </w:tcPr>
          <w:p w:rsidR="003F5784" w14:paraId="29163CCF" w14:textId="77777777">
            <w:pPr>
              <w:pStyle w:val="TableParagraph"/>
              <w:spacing w:before="0" w:line="239" w:lineRule="exact"/>
              <w:ind w:right="133"/>
              <w:rPr>
                <w:sz w:val="21"/>
              </w:rPr>
            </w:pPr>
            <w:r>
              <w:rPr>
                <w:spacing w:val="-2"/>
                <w:sz w:val="21"/>
              </w:rPr>
              <w:t>5,730</w:t>
            </w:r>
          </w:p>
        </w:tc>
        <w:tc>
          <w:tcPr>
            <w:tcW w:w="2055" w:type="dxa"/>
            <w:tcBorders>
              <w:top w:val="single" w:sz="12" w:space="0" w:color="800000"/>
            </w:tcBorders>
          </w:tcPr>
          <w:p w:rsidR="003F5784" w14:paraId="55279B9A" w14:textId="77777777">
            <w:pPr>
              <w:pStyle w:val="TableParagraph"/>
              <w:spacing w:before="0" w:line="239" w:lineRule="exact"/>
              <w:ind w:right="134"/>
              <w:rPr>
                <w:sz w:val="21"/>
              </w:rPr>
            </w:pPr>
            <w:r>
              <w:rPr>
                <w:spacing w:val="-2"/>
                <w:sz w:val="21"/>
              </w:rPr>
              <w:t>94.67</w:t>
            </w:r>
          </w:p>
        </w:tc>
        <w:tc>
          <w:tcPr>
            <w:tcW w:w="1990" w:type="dxa"/>
            <w:tcBorders>
              <w:top w:val="single" w:sz="12" w:space="0" w:color="800000"/>
            </w:tcBorders>
          </w:tcPr>
          <w:p w:rsidR="003F5784" w14:paraId="6B894AF2" w14:textId="77777777">
            <w:pPr>
              <w:pStyle w:val="TableParagraph"/>
              <w:spacing w:before="0" w:line="239" w:lineRule="exact"/>
              <w:ind w:right="166"/>
              <w:rPr>
                <w:sz w:val="21"/>
              </w:rPr>
            </w:pPr>
            <w:r>
              <w:rPr>
                <w:spacing w:val="-2"/>
                <w:sz w:val="21"/>
              </w:rPr>
              <w:t>74.35</w:t>
            </w:r>
          </w:p>
        </w:tc>
        <w:tc>
          <w:tcPr>
            <w:tcW w:w="1304" w:type="dxa"/>
            <w:tcBorders>
              <w:top w:val="single" w:sz="12" w:space="0" w:color="800000"/>
            </w:tcBorders>
          </w:tcPr>
          <w:p w:rsidR="003F5784" w14:paraId="0D0D0441" w14:textId="77777777">
            <w:pPr>
              <w:pStyle w:val="TableParagraph"/>
              <w:spacing w:before="0" w:line="239" w:lineRule="exact"/>
              <w:ind w:right="225"/>
              <w:rPr>
                <w:sz w:val="21"/>
              </w:rPr>
            </w:pPr>
            <w:r>
              <w:rPr>
                <w:spacing w:val="-2"/>
                <w:sz w:val="21"/>
              </w:rPr>
              <w:t>135,100</w:t>
            </w:r>
          </w:p>
        </w:tc>
        <w:tc>
          <w:tcPr>
            <w:tcW w:w="1202" w:type="dxa"/>
            <w:tcBorders>
              <w:top w:val="single" w:sz="12" w:space="0" w:color="800000"/>
            </w:tcBorders>
          </w:tcPr>
          <w:p w:rsidR="003F5784" w14:paraId="4768D91A" w14:textId="77777777">
            <w:pPr>
              <w:pStyle w:val="TableParagraph"/>
              <w:spacing w:before="0" w:line="239" w:lineRule="exact"/>
              <w:ind w:right="135"/>
              <w:rPr>
                <w:sz w:val="21"/>
              </w:rPr>
            </w:pPr>
            <w:r>
              <w:rPr>
                <w:spacing w:val="-4"/>
                <w:sz w:val="21"/>
              </w:rPr>
              <w:t>1.54</w:t>
            </w:r>
          </w:p>
        </w:tc>
        <w:tc>
          <w:tcPr>
            <w:tcW w:w="1738" w:type="dxa"/>
            <w:tcBorders>
              <w:top w:val="single" w:sz="12" w:space="0" w:color="800000"/>
            </w:tcBorders>
          </w:tcPr>
          <w:p w:rsidR="003F5784" w14:paraId="1C5D89B9" w14:textId="77777777">
            <w:pPr>
              <w:pStyle w:val="TableParagraph"/>
              <w:spacing w:before="0" w:line="239" w:lineRule="exact"/>
              <w:ind w:right="153"/>
              <w:rPr>
                <w:sz w:val="21"/>
              </w:rPr>
            </w:pPr>
            <w:r>
              <w:rPr>
                <w:spacing w:val="-2"/>
                <w:sz w:val="21"/>
              </w:rPr>
              <w:t>88.86</w:t>
            </w:r>
          </w:p>
        </w:tc>
        <w:tc>
          <w:tcPr>
            <w:tcW w:w="1733" w:type="dxa"/>
            <w:tcBorders>
              <w:top w:val="single" w:sz="12" w:space="0" w:color="800000"/>
            </w:tcBorders>
          </w:tcPr>
          <w:p w:rsidR="003F5784" w14:paraId="4B79386D" w14:textId="77777777">
            <w:pPr>
              <w:pStyle w:val="TableParagraph"/>
              <w:spacing w:before="0" w:line="239" w:lineRule="exact"/>
              <w:ind w:right="120"/>
              <w:rPr>
                <w:sz w:val="21"/>
              </w:rPr>
            </w:pPr>
            <w:r>
              <w:rPr>
                <w:spacing w:val="-2"/>
                <w:sz w:val="21"/>
              </w:rPr>
              <w:t>13.67</w:t>
            </w:r>
          </w:p>
        </w:tc>
      </w:tr>
      <w:tr w14:paraId="3C77132B" w14:textId="77777777">
        <w:tblPrEx>
          <w:tblW w:w="0" w:type="auto"/>
          <w:tblInd w:w="482" w:type="dxa"/>
          <w:tblLayout w:type="fixed"/>
          <w:tblCellMar>
            <w:left w:w="0" w:type="dxa"/>
            <w:right w:w="0" w:type="dxa"/>
          </w:tblCellMar>
          <w:tblLook w:val="01E0"/>
        </w:tblPrEx>
        <w:trPr>
          <w:trHeight w:val="284"/>
        </w:trPr>
        <w:tc>
          <w:tcPr>
            <w:tcW w:w="2693" w:type="dxa"/>
          </w:tcPr>
          <w:p w:rsidR="003F5784" w14:paraId="52FCFC6F" w14:textId="77777777">
            <w:pPr>
              <w:pStyle w:val="TableParagraph"/>
              <w:spacing w:before="15"/>
              <w:ind w:left="120"/>
              <w:jc w:val="left"/>
              <w:rPr>
                <w:sz w:val="21"/>
              </w:rPr>
            </w:pPr>
            <w:r>
              <w:rPr>
                <w:sz w:val="21"/>
              </w:rPr>
              <w:t>Northeast</w:t>
            </w:r>
            <w:r>
              <w:rPr>
                <w:spacing w:val="-10"/>
                <w:sz w:val="21"/>
              </w:rPr>
              <w:t xml:space="preserve"> </w:t>
            </w:r>
            <w:r>
              <w:rPr>
                <w:spacing w:val="-5"/>
                <w:sz w:val="21"/>
              </w:rPr>
              <w:t>all</w:t>
            </w:r>
          </w:p>
        </w:tc>
        <w:tc>
          <w:tcPr>
            <w:tcW w:w="1272" w:type="dxa"/>
          </w:tcPr>
          <w:p w:rsidR="003F5784" w14:paraId="4E6D1E44" w14:textId="77777777">
            <w:pPr>
              <w:pStyle w:val="TableParagraph"/>
              <w:spacing w:before="15"/>
              <w:ind w:right="133"/>
              <w:rPr>
                <w:sz w:val="21"/>
              </w:rPr>
            </w:pPr>
            <w:r>
              <w:rPr>
                <w:spacing w:val="-5"/>
                <w:sz w:val="21"/>
              </w:rPr>
              <w:t>950</w:t>
            </w:r>
          </w:p>
        </w:tc>
        <w:tc>
          <w:tcPr>
            <w:tcW w:w="2055" w:type="dxa"/>
          </w:tcPr>
          <w:p w:rsidR="003F5784" w14:paraId="4B2EFEC7" w14:textId="77777777">
            <w:pPr>
              <w:pStyle w:val="TableParagraph"/>
              <w:spacing w:before="15"/>
              <w:ind w:right="134"/>
              <w:rPr>
                <w:sz w:val="21"/>
              </w:rPr>
            </w:pPr>
            <w:r>
              <w:rPr>
                <w:spacing w:val="-2"/>
                <w:sz w:val="21"/>
              </w:rPr>
              <w:t>91.21</w:t>
            </w:r>
          </w:p>
        </w:tc>
        <w:tc>
          <w:tcPr>
            <w:tcW w:w="1990" w:type="dxa"/>
          </w:tcPr>
          <w:p w:rsidR="003F5784" w14:paraId="64F0FD98" w14:textId="77777777">
            <w:pPr>
              <w:pStyle w:val="TableParagraph"/>
              <w:spacing w:before="15"/>
              <w:ind w:right="166"/>
              <w:rPr>
                <w:sz w:val="21"/>
              </w:rPr>
            </w:pPr>
            <w:r>
              <w:rPr>
                <w:spacing w:val="-2"/>
                <w:sz w:val="21"/>
              </w:rPr>
              <w:t>62.39</w:t>
            </w:r>
          </w:p>
        </w:tc>
        <w:tc>
          <w:tcPr>
            <w:tcW w:w="1304" w:type="dxa"/>
          </w:tcPr>
          <w:p w:rsidR="003F5784" w14:paraId="0C3DA03D" w14:textId="77777777">
            <w:pPr>
              <w:pStyle w:val="TableParagraph"/>
              <w:spacing w:before="15"/>
              <w:ind w:right="225"/>
              <w:rPr>
                <w:sz w:val="21"/>
              </w:rPr>
            </w:pPr>
            <w:r>
              <w:rPr>
                <w:spacing w:val="-2"/>
                <w:sz w:val="21"/>
              </w:rPr>
              <w:t>21,700</w:t>
            </w:r>
          </w:p>
        </w:tc>
        <w:tc>
          <w:tcPr>
            <w:tcW w:w="1202" w:type="dxa"/>
          </w:tcPr>
          <w:p w:rsidR="003F5784" w14:paraId="33390CD7" w14:textId="77777777">
            <w:pPr>
              <w:pStyle w:val="TableParagraph"/>
              <w:spacing w:before="15"/>
              <w:ind w:right="135"/>
              <w:rPr>
                <w:sz w:val="21"/>
              </w:rPr>
            </w:pPr>
            <w:r>
              <w:rPr>
                <w:spacing w:val="-4"/>
                <w:sz w:val="21"/>
              </w:rPr>
              <w:t>1.57</w:t>
            </w:r>
          </w:p>
        </w:tc>
        <w:tc>
          <w:tcPr>
            <w:tcW w:w="1738" w:type="dxa"/>
          </w:tcPr>
          <w:p w:rsidR="003F5784" w14:paraId="2EAE754A" w14:textId="77777777">
            <w:pPr>
              <w:pStyle w:val="TableParagraph"/>
              <w:spacing w:before="15"/>
              <w:ind w:right="153"/>
              <w:rPr>
                <w:sz w:val="21"/>
              </w:rPr>
            </w:pPr>
            <w:r>
              <w:rPr>
                <w:spacing w:val="-2"/>
                <w:sz w:val="21"/>
              </w:rPr>
              <w:t>86.65</w:t>
            </w:r>
          </w:p>
        </w:tc>
        <w:tc>
          <w:tcPr>
            <w:tcW w:w="1733" w:type="dxa"/>
          </w:tcPr>
          <w:p w:rsidR="003F5784" w14:paraId="75D661E9" w14:textId="77777777">
            <w:pPr>
              <w:pStyle w:val="TableParagraph"/>
              <w:spacing w:before="15"/>
              <w:ind w:right="120"/>
              <w:rPr>
                <w:sz w:val="21"/>
              </w:rPr>
            </w:pPr>
            <w:r>
              <w:rPr>
                <w:spacing w:val="-2"/>
                <w:sz w:val="21"/>
              </w:rPr>
              <w:t>17.75</w:t>
            </w:r>
          </w:p>
        </w:tc>
      </w:tr>
      <w:tr w14:paraId="29F9E800" w14:textId="77777777">
        <w:tblPrEx>
          <w:tblW w:w="0" w:type="auto"/>
          <w:tblInd w:w="482" w:type="dxa"/>
          <w:tblLayout w:type="fixed"/>
          <w:tblCellMar>
            <w:left w:w="0" w:type="dxa"/>
            <w:right w:w="0" w:type="dxa"/>
          </w:tblCellMar>
          <w:tblLook w:val="01E0"/>
        </w:tblPrEx>
        <w:trPr>
          <w:trHeight w:val="286"/>
        </w:trPr>
        <w:tc>
          <w:tcPr>
            <w:tcW w:w="2693" w:type="dxa"/>
          </w:tcPr>
          <w:p w:rsidR="003F5784" w14:paraId="3F272546" w14:textId="77777777">
            <w:pPr>
              <w:pStyle w:val="TableParagraph"/>
              <w:ind w:left="120"/>
              <w:jc w:val="left"/>
              <w:rPr>
                <w:sz w:val="21"/>
              </w:rPr>
            </w:pPr>
            <w:r>
              <w:rPr>
                <w:sz w:val="21"/>
              </w:rPr>
              <w:t>Midwest</w:t>
            </w:r>
            <w:r>
              <w:rPr>
                <w:spacing w:val="-9"/>
                <w:sz w:val="21"/>
              </w:rPr>
              <w:t xml:space="preserve"> </w:t>
            </w:r>
            <w:r>
              <w:rPr>
                <w:spacing w:val="-5"/>
                <w:sz w:val="21"/>
              </w:rPr>
              <w:t>all</w:t>
            </w:r>
          </w:p>
        </w:tc>
        <w:tc>
          <w:tcPr>
            <w:tcW w:w="1272" w:type="dxa"/>
          </w:tcPr>
          <w:p w:rsidR="003F5784" w14:paraId="5BCDC14D" w14:textId="77777777">
            <w:pPr>
              <w:pStyle w:val="TableParagraph"/>
              <w:ind w:right="133"/>
              <w:rPr>
                <w:sz w:val="21"/>
              </w:rPr>
            </w:pPr>
            <w:r>
              <w:rPr>
                <w:spacing w:val="-2"/>
                <w:sz w:val="21"/>
              </w:rPr>
              <w:t>1,370</w:t>
            </w:r>
          </w:p>
        </w:tc>
        <w:tc>
          <w:tcPr>
            <w:tcW w:w="2055" w:type="dxa"/>
          </w:tcPr>
          <w:p w:rsidR="003F5784" w14:paraId="7F7D7CC3" w14:textId="77777777">
            <w:pPr>
              <w:pStyle w:val="TableParagraph"/>
              <w:ind w:right="134"/>
              <w:rPr>
                <w:sz w:val="21"/>
              </w:rPr>
            </w:pPr>
            <w:r>
              <w:rPr>
                <w:spacing w:val="-2"/>
                <w:sz w:val="21"/>
              </w:rPr>
              <w:t>95.37</w:t>
            </w:r>
          </w:p>
        </w:tc>
        <w:tc>
          <w:tcPr>
            <w:tcW w:w="1990" w:type="dxa"/>
          </w:tcPr>
          <w:p w:rsidR="003F5784" w14:paraId="0C284439" w14:textId="77777777">
            <w:pPr>
              <w:pStyle w:val="TableParagraph"/>
              <w:ind w:right="166"/>
              <w:rPr>
                <w:sz w:val="21"/>
              </w:rPr>
            </w:pPr>
            <w:r>
              <w:rPr>
                <w:spacing w:val="-2"/>
                <w:sz w:val="21"/>
              </w:rPr>
              <w:t>77.07</w:t>
            </w:r>
          </w:p>
        </w:tc>
        <w:tc>
          <w:tcPr>
            <w:tcW w:w="1304" w:type="dxa"/>
          </w:tcPr>
          <w:p w:rsidR="003F5784" w14:paraId="7FCDEA16" w14:textId="77777777">
            <w:pPr>
              <w:pStyle w:val="TableParagraph"/>
              <w:ind w:right="225"/>
              <w:rPr>
                <w:sz w:val="21"/>
              </w:rPr>
            </w:pPr>
            <w:r>
              <w:rPr>
                <w:spacing w:val="-2"/>
                <w:sz w:val="21"/>
              </w:rPr>
              <w:t>29,700</w:t>
            </w:r>
          </w:p>
        </w:tc>
        <w:tc>
          <w:tcPr>
            <w:tcW w:w="1202" w:type="dxa"/>
          </w:tcPr>
          <w:p w:rsidR="003F5784" w14:paraId="199A54B7" w14:textId="77777777">
            <w:pPr>
              <w:pStyle w:val="TableParagraph"/>
              <w:ind w:right="135"/>
              <w:rPr>
                <w:sz w:val="21"/>
              </w:rPr>
            </w:pPr>
            <w:r>
              <w:rPr>
                <w:spacing w:val="-4"/>
                <w:sz w:val="21"/>
              </w:rPr>
              <w:t>1.16</w:t>
            </w:r>
          </w:p>
        </w:tc>
        <w:tc>
          <w:tcPr>
            <w:tcW w:w="1738" w:type="dxa"/>
          </w:tcPr>
          <w:p w:rsidR="003F5784" w14:paraId="50B0BABC" w14:textId="77777777">
            <w:pPr>
              <w:pStyle w:val="TableParagraph"/>
              <w:ind w:right="153"/>
              <w:rPr>
                <w:sz w:val="21"/>
              </w:rPr>
            </w:pPr>
            <w:r>
              <w:rPr>
                <w:spacing w:val="-2"/>
                <w:sz w:val="21"/>
              </w:rPr>
              <w:t>89.24</w:t>
            </w:r>
          </w:p>
        </w:tc>
        <w:tc>
          <w:tcPr>
            <w:tcW w:w="1733" w:type="dxa"/>
          </w:tcPr>
          <w:p w:rsidR="003F5784" w14:paraId="26F8985D" w14:textId="77777777">
            <w:pPr>
              <w:pStyle w:val="TableParagraph"/>
              <w:ind w:right="120"/>
              <w:rPr>
                <w:sz w:val="21"/>
              </w:rPr>
            </w:pPr>
            <w:r>
              <w:rPr>
                <w:spacing w:val="-2"/>
                <w:sz w:val="21"/>
              </w:rPr>
              <w:t>12.52</w:t>
            </w:r>
          </w:p>
        </w:tc>
      </w:tr>
      <w:tr w14:paraId="1B79B55E" w14:textId="77777777">
        <w:tblPrEx>
          <w:tblW w:w="0" w:type="auto"/>
          <w:tblInd w:w="482" w:type="dxa"/>
          <w:tblLayout w:type="fixed"/>
          <w:tblCellMar>
            <w:left w:w="0" w:type="dxa"/>
            <w:right w:w="0" w:type="dxa"/>
          </w:tblCellMar>
          <w:tblLook w:val="01E0"/>
        </w:tblPrEx>
        <w:trPr>
          <w:trHeight w:val="286"/>
        </w:trPr>
        <w:tc>
          <w:tcPr>
            <w:tcW w:w="2693" w:type="dxa"/>
          </w:tcPr>
          <w:p w:rsidR="003F5784" w14:paraId="73461506" w14:textId="77777777">
            <w:pPr>
              <w:pStyle w:val="TableParagraph"/>
              <w:ind w:left="120"/>
              <w:jc w:val="left"/>
              <w:rPr>
                <w:sz w:val="21"/>
              </w:rPr>
            </w:pPr>
            <w:r>
              <w:rPr>
                <w:sz w:val="21"/>
              </w:rPr>
              <w:t>South</w:t>
            </w:r>
            <w:r>
              <w:rPr>
                <w:spacing w:val="-6"/>
                <w:sz w:val="21"/>
              </w:rPr>
              <w:t xml:space="preserve"> </w:t>
            </w:r>
            <w:r>
              <w:rPr>
                <w:spacing w:val="-5"/>
                <w:sz w:val="21"/>
              </w:rPr>
              <w:t>all</w:t>
            </w:r>
          </w:p>
        </w:tc>
        <w:tc>
          <w:tcPr>
            <w:tcW w:w="1272" w:type="dxa"/>
          </w:tcPr>
          <w:p w:rsidR="003F5784" w14:paraId="62A17CE4" w14:textId="77777777">
            <w:pPr>
              <w:pStyle w:val="TableParagraph"/>
              <w:ind w:right="133"/>
              <w:rPr>
                <w:sz w:val="21"/>
              </w:rPr>
            </w:pPr>
            <w:r>
              <w:rPr>
                <w:spacing w:val="-2"/>
                <w:sz w:val="21"/>
              </w:rPr>
              <w:t>2,000</w:t>
            </w:r>
          </w:p>
        </w:tc>
        <w:tc>
          <w:tcPr>
            <w:tcW w:w="2055" w:type="dxa"/>
          </w:tcPr>
          <w:p w:rsidR="003F5784" w14:paraId="68411E74" w14:textId="77777777">
            <w:pPr>
              <w:pStyle w:val="TableParagraph"/>
              <w:ind w:right="134"/>
              <w:rPr>
                <w:sz w:val="21"/>
              </w:rPr>
            </w:pPr>
            <w:r>
              <w:rPr>
                <w:spacing w:val="-2"/>
                <w:sz w:val="21"/>
              </w:rPr>
              <w:t>95.51</w:t>
            </w:r>
          </w:p>
        </w:tc>
        <w:tc>
          <w:tcPr>
            <w:tcW w:w="1990" w:type="dxa"/>
          </w:tcPr>
          <w:p w:rsidR="003F5784" w14:paraId="253A2A00" w14:textId="77777777">
            <w:pPr>
              <w:pStyle w:val="TableParagraph"/>
              <w:ind w:right="166"/>
              <w:rPr>
                <w:sz w:val="21"/>
              </w:rPr>
            </w:pPr>
            <w:r>
              <w:rPr>
                <w:spacing w:val="-2"/>
                <w:sz w:val="21"/>
              </w:rPr>
              <w:t>75.16</w:t>
            </w:r>
          </w:p>
        </w:tc>
        <w:tc>
          <w:tcPr>
            <w:tcW w:w="1304" w:type="dxa"/>
          </w:tcPr>
          <w:p w:rsidR="003F5784" w14:paraId="4369FE05" w14:textId="77777777">
            <w:pPr>
              <w:pStyle w:val="TableParagraph"/>
              <w:ind w:right="225"/>
              <w:rPr>
                <w:sz w:val="21"/>
              </w:rPr>
            </w:pPr>
            <w:r>
              <w:rPr>
                <w:spacing w:val="-2"/>
                <w:sz w:val="21"/>
              </w:rPr>
              <w:t>50,100</w:t>
            </w:r>
          </w:p>
        </w:tc>
        <w:tc>
          <w:tcPr>
            <w:tcW w:w="1202" w:type="dxa"/>
          </w:tcPr>
          <w:p w:rsidR="003F5784" w14:paraId="5442CC40" w14:textId="77777777">
            <w:pPr>
              <w:pStyle w:val="TableParagraph"/>
              <w:ind w:right="135"/>
              <w:rPr>
                <w:sz w:val="21"/>
              </w:rPr>
            </w:pPr>
            <w:r>
              <w:rPr>
                <w:spacing w:val="-4"/>
                <w:sz w:val="21"/>
              </w:rPr>
              <w:t>1.65</w:t>
            </w:r>
          </w:p>
        </w:tc>
        <w:tc>
          <w:tcPr>
            <w:tcW w:w="1738" w:type="dxa"/>
          </w:tcPr>
          <w:p w:rsidR="003F5784" w14:paraId="21A28333" w14:textId="77777777">
            <w:pPr>
              <w:pStyle w:val="TableParagraph"/>
              <w:ind w:right="153"/>
              <w:rPr>
                <w:sz w:val="21"/>
              </w:rPr>
            </w:pPr>
            <w:r>
              <w:rPr>
                <w:spacing w:val="-2"/>
                <w:sz w:val="21"/>
              </w:rPr>
              <w:t>90.00</w:t>
            </w:r>
          </w:p>
        </w:tc>
        <w:tc>
          <w:tcPr>
            <w:tcW w:w="1733" w:type="dxa"/>
          </w:tcPr>
          <w:p w:rsidR="003F5784" w14:paraId="72900E18" w14:textId="77777777">
            <w:pPr>
              <w:pStyle w:val="TableParagraph"/>
              <w:ind w:right="120"/>
              <w:rPr>
                <w:sz w:val="21"/>
              </w:rPr>
            </w:pPr>
            <w:r>
              <w:rPr>
                <w:spacing w:val="-2"/>
                <w:sz w:val="21"/>
              </w:rPr>
              <w:t>15.17</w:t>
            </w:r>
          </w:p>
        </w:tc>
      </w:tr>
      <w:tr w14:paraId="3DBC7498" w14:textId="77777777">
        <w:tblPrEx>
          <w:tblW w:w="0" w:type="auto"/>
          <w:tblInd w:w="482" w:type="dxa"/>
          <w:tblLayout w:type="fixed"/>
          <w:tblCellMar>
            <w:left w:w="0" w:type="dxa"/>
            <w:right w:w="0" w:type="dxa"/>
          </w:tblCellMar>
          <w:tblLook w:val="01E0"/>
        </w:tblPrEx>
        <w:trPr>
          <w:trHeight w:val="290"/>
        </w:trPr>
        <w:tc>
          <w:tcPr>
            <w:tcW w:w="2693" w:type="dxa"/>
            <w:tcBorders>
              <w:bottom w:val="single" w:sz="12" w:space="0" w:color="800000"/>
            </w:tcBorders>
          </w:tcPr>
          <w:p w:rsidR="003F5784" w14:paraId="272F9A5C" w14:textId="77777777">
            <w:pPr>
              <w:pStyle w:val="TableParagraph"/>
              <w:ind w:left="120"/>
              <w:jc w:val="left"/>
              <w:rPr>
                <w:sz w:val="21"/>
              </w:rPr>
            </w:pPr>
            <w:r>
              <w:rPr>
                <w:spacing w:val="-4"/>
                <w:sz w:val="21"/>
              </w:rPr>
              <w:t>West</w:t>
            </w:r>
            <w:r>
              <w:rPr>
                <w:spacing w:val="-7"/>
                <w:sz w:val="21"/>
              </w:rPr>
              <w:t xml:space="preserve"> </w:t>
            </w:r>
            <w:r>
              <w:rPr>
                <w:spacing w:val="-5"/>
                <w:sz w:val="21"/>
              </w:rPr>
              <w:t>all</w:t>
            </w:r>
          </w:p>
        </w:tc>
        <w:tc>
          <w:tcPr>
            <w:tcW w:w="1272" w:type="dxa"/>
            <w:tcBorders>
              <w:bottom w:val="single" w:sz="12" w:space="0" w:color="800000"/>
            </w:tcBorders>
          </w:tcPr>
          <w:p w:rsidR="003F5784" w14:paraId="684192A3" w14:textId="77777777">
            <w:pPr>
              <w:pStyle w:val="TableParagraph"/>
              <w:ind w:right="133"/>
              <w:rPr>
                <w:sz w:val="21"/>
              </w:rPr>
            </w:pPr>
            <w:r>
              <w:rPr>
                <w:spacing w:val="-2"/>
                <w:sz w:val="21"/>
              </w:rPr>
              <w:t>1,350</w:t>
            </w:r>
          </w:p>
        </w:tc>
        <w:tc>
          <w:tcPr>
            <w:tcW w:w="2055" w:type="dxa"/>
            <w:tcBorders>
              <w:bottom w:val="single" w:sz="12" w:space="0" w:color="800000"/>
            </w:tcBorders>
          </w:tcPr>
          <w:p w:rsidR="003F5784" w14:paraId="36A3618A" w14:textId="77777777">
            <w:pPr>
              <w:pStyle w:val="TableParagraph"/>
              <w:ind w:right="134"/>
              <w:rPr>
                <w:sz w:val="21"/>
              </w:rPr>
            </w:pPr>
            <w:r>
              <w:rPr>
                <w:spacing w:val="-2"/>
                <w:sz w:val="21"/>
              </w:rPr>
              <w:t>94.96</w:t>
            </w:r>
          </w:p>
        </w:tc>
        <w:tc>
          <w:tcPr>
            <w:tcW w:w="1990" w:type="dxa"/>
            <w:tcBorders>
              <w:bottom w:val="single" w:sz="12" w:space="0" w:color="800000"/>
            </w:tcBorders>
          </w:tcPr>
          <w:p w:rsidR="003F5784" w14:paraId="34E1BB4F" w14:textId="77777777">
            <w:pPr>
              <w:pStyle w:val="TableParagraph"/>
              <w:ind w:right="166"/>
              <w:rPr>
                <w:sz w:val="21"/>
              </w:rPr>
            </w:pPr>
            <w:r>
              <w:rPr>
                <w:spacing w:val="-2"/>
                <w:sz w:val="21"/>
              </w:rPr>
              <w:t>80.42</w:t>
            </w:r>
          </w:p>
        </w:tc>
        <w:tc>
          <w:tcPr>
            <w:tcW w:w="1304" w:type="dxa"/>
            <w:tcBorders>
              <w:bottom w:val="single" w:sz="12" w:space="0" w:color="800000"/>
            </w:tcBorders>
          </w:tcPr>
          <w:p w:rsidR="003F5784" w14:paraId="52DB86D0" w14:textId="77777777">
            <w:pPr>
              <w:pStyle w:val="TableParagraph"/>
              <w:ind w:right="225"/>
              <w:rPr>
                <w:sz w:val="21"/>
              </w:rPr>
            </w:pPr>
            <w:r>
              <w:rPr>
                <w:spacing w:val="-2"/>
                <w:sz w:val="21"/>
              </w:rPr>
              <w:t>32,000</w:t>
            </w:r>
          </w:p>
        </w:tc>
        <w:tc>
          <w:tcPr>
            <w:tcW w:w="1202" w:type="dxa"/>
            <w:tcBorders>
              <w:bottom w:val="single" w:sz="12" w:space="0" w:color="800000"/>
            </w:tcBorders>
          </w:tcPr>
          <w:p w:rsidR="003F5784" w14:paraId="4ACFAD7B" w14:textId="77777777">
            <w:pPr>
              <w:pStyle w:val="TableParagraph"/>
              <w:ind w:right="135"/>
              <w:rPr>
                <w:sz w:val="21"/>
              </w:rPr>
            </w:pPr>
            <w:r>
              <w:rPr>
                <w:spacing w:val="-4"/>
                <w:sz w:val="21"/>
              </w:rPr>
              <w:t>1.69</w:t>
            </w:r>
          </w:p>
        </w:tc>
        <w:tc>
          <w:tcPr>
            <w:tcW w:w="1738" w:type="dxa"/>
            <w:tcBorders>
              <w:bottom w:val="single" w:sz="12" w:space="0" w:color="800000"/>
            </w:tcBorders>
          </w:tcPr>
          <w:p w:rsidR="003F5784" w14:paraId="1C3F324F" w14:textId="77777777">
            <w:pPr>
              <w:pStyle w:val="TableParagraph"/>
              <w:ind w:right="153"/>
              <w:rPr>
                <w:sz w:val="21"/>
              </w:rPr>
            </w:pPr>
            <w:r>
              <w:rPr>
                <w:spacing w:val="-2"/>
                <w:sz w:val="21"/>
              </w:rPr>
              <w:t>88.01</w:t>
            </w:r>
          </w:p>
        </w:tc>
        <w:tc>
          <w:tcPr>
            <w:tcW w:w="1733" w:type="dxa"/>
            <w:tcBorders>
              <w:bottom w:val="single" w:sz="12" w:space="0" w:color="800000"/>
            </w:tcBorders>
          </w:tcPr>
          <w:p w:rsidR="003F5784" w14:paraId="3F79C662" w14:textId="77777777">
            <w:pPr>
              <w:pStyle w:val="TableParagraph"/>
              <w:ind w:right="120"/>
              <w:rPr>
                <w:sz w:val="21"/>
              </w:rPr>
            </w:pPr>
            <w:r>
              <w:rPr>
                <w:spacing w:val="-4"/>
                <w:sz w:val="21"/>
              </w:rPr>
              <w:t>9.45</w:t>
            </w:r>
          </w:p>
        </w:tc>
      </w:tr>
      <w:tr w14:paraId="19ACA111" w14:textId="77777777">
        <w:tblPrEx>
          <w:tblW w:w="0" w:type="auto"/>
          <w:tblInd w:w="482" w:type="dxa"/>
          <w:tblLayout w:type="fixed"/>
          <w:tblCellMar>
            <w:left w:w="0" w:type="dxa"/>
            <w:right w:w="0" w:type="dxa"/>
          </w:tblCellMar>
          <w:tblLook w:val="01E0"/>
        </w:tblPrEx>
        <w:trPr>
          <w:trHeight w:val="266"/>
        </w:trPr>
        <w:tc>
          <w:tcPr>
            <w:tcW w:w="2693" w:type="dxa"/>
            <w:tcBorders>
              <w:top w:val="single" w:sz="12" w:space="0" w:color="800000"/>
            </w:tcBorders>
          </w:tcPr>
          <w:p w:rsidR="003F5784" w14:paraId="01D1C0A4" w14:textId="77777777">
            <w:pPr>
              <w:pStyle w:val="TableParagraph"/>
              <w:spacing w:before="0" w:line="239" w:lineRule="exact"/>
              <w:ind w:left="370"/>
              <w:jc w:val="left"/>
              <w:rPr>
                <w:b/>
                <w:sz w:val="21"/>
              </w:rPr>
            </w:pPr>
            <w:r>
              <w:rPr>
                <w:b/>
                <w:sz w:val="21"/>
              </w:rPr>
              <w:t>National</w:t>
            </w:r>
            <w:r>
              <w:rPr>
                <w:b/>
                <w:spacing w:val="-9"/>
                <w:sz w:val="21"/>
              </w:rPr>
              <w:t xml:space="preserve"> </w:t>
            </w:r>
            <w:r>
              <w:rPr>
                <w:b/>
                <w:spacing w:val="-2"/>
                <w:sz w:val="21"/>
              </w:rPr>
              <w:t>public</w:t>
            </w:r>
          </w:p>
        </w:tc>
        <w:tc>
          <w:tcPr>
            <w:tcW w:w="1272" w:type="dxa"/>
            <w:tcBorders>
              <w:top w:val="single" w:sz="12" w:space="0" w:color="800000"/>
            </w:tcBorders>
          </w:tcPr>
          <w:p w:rsidR="003F5784" w14:paraId="66D809C0" w14:textId="77777777">
            <w:pPr>
              <w:pStyle w:val="TableParagraph"/>
              <w:spacing w:before="0" w:line="239" w:lineRule="exact"/>
              <w:ind w:right="133"/>
              <w:rPr>
                <w:sz w:val="21"/>
              </w:rPr>
            </w:pPr>
            <w:r>
              <w:rPr>
                <w:spacing w:val="-2"/>
                <w:sz w:val="21"/>
              </w:rPr>
              <w:t>5,280</w:t>
            </w:r>
          </w:p>
        </w:tc>
        <w:tc>
          <w:tcPr>
            <w:tcW w:w="2055" w:type="dxa"/>
            <w:tcBorders>
              <w:top w:val="single" w:sz="12" w:space="0" w:color="800000"/>
            </w:tcBorders>
          </w:tcPr>
          <w:p w:rsidR="003F5784" w14:paraId="08FAF11C" w14:textId="77777777">
            <w:pPr>
              <w:pStyle w:val="TableParagraph"/>
              <w:spacing w:before="0" w:line="239" w:lineRule="exact"/>
              <w:ind w:right="134"/>
              <w:rPr>
                <w:sz w:val="21"/>
              </w:rPr>
            </w:pPr>
            <w:r>
              <w:rPr>
                <w:spacing w:val="-2"/>
                <w:sz w:val="21"/>
              </w:rPr>
              <w:t>99.61</w:t>
            </w:r>
          </w:p>
        </w:tc>
        <w:tc>
          <w:tcPr>
            <w:tcW w:w="1990" w:type="dxa"/>
            <w:tcBorders>
              <w:top w:val="single" w:sz="12" w:space="0" w:color="800000"/>
            </w:tcBorders>
          </w:tcPr>
          <w:p w:rsidR="003F5784" w14:paraId="1E0067EF" w14:textId="77777777">
            <w:pPr>
              <w:pStyle w:val="TableParagraph"/>
              <w:spacing w:before="0" w:line="239" w:lineRule="exact"/>
              <w:ind w:right="166"/>
              <w:rPr>
                <w:sz w:val="21"/>
              </w:rPr>
            </w:pPr>
            <w:r>
              <w:rPr>
                <w:spacing w:val="-2"/>
                <w:sz w:val="21"/>
              </w:rPr>
              <w:t>99.50</w:t>
            </w:r>
          </w:p>
        </w:tc>
        <w:tc>
          <w:tcPr>
            <w:tcW w:w="1304" w:type="dxa"/>
            <w:tcBorders>
              <w:top w:val="single" w:sz="12" w:space="0" w:color="800000"/>
            </w:tcBorders>
          </w:tcPr>
          <w:p w:rsidR="003F5784" w14:paraId="10A00E79" w14:textId="77777777">
            <w:pPr>
              <w:pStyle w:val="TableParagraph"/>
              <w:spacing w:before="0" w:line="239" w:lineRule="exact"/>
              <w:ind w:right="225"/>
              <w:rPr>
                <w:sz w:val="21"/>
              </w:rPr>
            </w:pPr>
            <w:r>
              <w:rPr>
                <w:spacing w:val="-2"/>
                <w:sz w:val="21"/>
              </w:rPr>
              <w:t>131,300</w:t>
            </w:r>
          </w:p>
        </w:tc>
        <w:tc>
          <w:tcPr>
            <w:tcW w:w="1202" w:type="dxa"/>
            <w:tcBorders>
              <w:top w:val="single" w:sz="12" w:space="0" w:color="800000"/>
            </w:tcBorders>
          </w:tcPr>
          <w:p w:rsidR="003F5784" w14:paraId="6757F8D8" w14:textId="77777777">
            <w:pPr>
              <w:pStyle w:val="TableParagraph"/>
              <w:spacing w:before="0" w:line="239" w:lineRule="exact"/>
              <w:ind w:right="135"/>
              <w:rPr>
                <w:sz w:val="21"/>
              </w:rPr>
            </w:pPr>
            <w:r>
              <w:rPr>
                <w:spacing w:val="-4"/>
                <w:sz w:val="21"/>
              </w:rPr>
              <w:t>1.67</w:t>
            </w:r>
          </w:p>
        </w:tc>
        <w:tc>
          <w:tcPr>
            <w:tcW w:w="1738" w:type="dxa"/>
            <w:tcBorders>
              <w:top w:val="single" w:sz="12" w:space="0" w:color="800000"/>
            </w:tcBorders>
          </w:tcPr>
          <w:p w:rsidR="003F5784" w14:paraId="34F25BD9" w14:textId="77777777">
            <w:pPr>
              <w:pStyle w:val="TableParagraph"/>
              <w:spacing w:before="0" w:line="239" w:lineRule="exact"/>
              <w:ind w:right="153"/>
              <w:rPr>
                <w:sz w:val="21"/>
              </w:rPr>
            </w:pPr>
            <w:r>
              <w:rPr>
                <w:spacing w:val="-2"/>
                <w:sz w:val="21"/>
              </w:rPr>
              <w:t>88.68</w:t>
            </w:r>
          </w:p>
        </w:tc>
        <w:tc>
          <w:tcPr>
            <w:tcW w:w="1733" w:type="dxa"/>
            <w:tcBorders>
              <w:top w:val="single" w:sz="12" w:space="0" w:color="800000"/>
            </w:tcBorders>
          </w:tcPr>
          <w:p w:rsidR="003F5784" w14:paraId="50BA6474" w14:textId="77777777">
            <w:pPr>
              <w:pStyle w:val="TableParagraph"/>
              <w:spacing w:before="0" w:line="239" w:lineRule="exact"/>
              <w:ind w:right="120"/>
              <w:rPr>
                <w:sz w:val="21"/>
              </w:rPr>
            </w:pPr>
            <w:r>
              <w:rPr>
                <w:spacing w:val="-2"/>
                <w:sz w:val="21"/>
              </w:rPr>
              <w:t>14.42</w:t>
            </w:r>
          </w:p>
        </w:tc>
      </w:tr>
      <w:tr w14:paraId="2087D0ED" w14:textId="77777777">
        <w:tblPrEx>
          <w:tblW w:w="0" w:type="auto"/>
          <w:tblInd w:w="482" w:type="dxa"/>
          <w:tblLayout w:type="fixed"/>
          <w:tblCellMar>
            <w:left w:w="0" w:type="dxa"/>
            <w:right w:w="0" w:type="dxa"/>
          </w:tblCellMar>
          <w:tblLook w:val="01E0"/>
        </w:tblPrEx>
        <w:trPr>
          <w:trHeight w:val="286"/>
        </w:trPr>
        <w:tc>
          <w:tcPr>
            <w:tcW w:w="2693" w:type="dxa"/>
          </w:tcPr>
          <w:p w:rsidR="003F5784" w14:paraId="0EABC45F" w14:textId="77777777">
            <w:pPr>
              <w:pStyle w:val="TableParagraph"/>
              <w:ind w:left="120"/>
              <w:jc w:val="left"/>
              <w:rPr>
                <w:sz w:val="21"/>
              </w:rPr>
            </w:pPr>
            <w:r>
              <w:rPr>
                <w:spacing w:val="-2"/>
                <w:sz w:val="21"/>
              </w:rPr>
              <w:t>Alabama</w:t>
            </w:r>
          </w:p>
        </w:tc>
        <w:tc>
          <w:tcPr>
            <w:tcW w:w="1272" w:type="dxa"/>
          </w:tcPr>
          <w:p w:rsidR="003F5784" w14:paraId="6E993704" w14:textId="77777777">
            <w:pPr>
              <w:pStyle w:val="TableParagraph"/>
              <w:ind w:right="133"/>
              <w:rPr>
                <w:sz w:val="21"/>
              </w:rPr>
            </w:pPr>
            <w:r>
              <w:rPr>
                <w:spacing w:val="-5"/>
                <w:sz w:val="21"/>
              </w:rPr>
              <w:t>90</w:t>
            </w:r>
          </w:p>
        </w:tc>
        <w:tc>
          <w:tcPr>
            <w:tcW w:w="2055" w:type="dxa"/>
          </w:tcPr>
          <w:p w:rsidR="003F5784" w14:paraId="06E091BD" w14:textId="77777777">
            <w:pPr>
              <w:pStyle w:val="TableParagraph"/>
              <w:ind w:right="134"/>
              <w:rPr>
                <w:sz w:val="21"/>
              </w:rPr>
            </w:pPr>
            <w:r>
              <w:rPr>
                <w:spacing w:val="-2"/>
                <w:sz w:val="21"/>
              </w:rPr>
              <w:t>100.00</w:t>
            </w:r>
          </w:p>
        </w:tc>
        <w:tc>
          <w:tcPr>
            <w:tcW w:w="1990" w:type="dxa"/>
          </w:tcPr>
          <w:p w:rsidR="003F5784" w14:paraId="7043A7BF" w14:textId="77777777">
            <w:pPr>
              <w:pStyle w:val="TableParagraph"/>
              <w:ind w:right="166"/>
              <w:rPr>
                <w:sz w:val="21"/>
              </w:rPr>
            </w:pPr>
            <w:r>
              <w:rPr>
                <w:spacing w:val="-2"/>
                <w:sz w:val="21"/>
              </w:rPr>
              <w:t>100.00</w:t>
            </w:r>
          </w:p>
        </w:tc>
        <w:tc>
          <w:tcPr>
            <w:tcW w:w="1304" w:type="dxa"/>
          </w:tcPr>
          <w:p w:rsidR="003F5784" w14:paraId="6E872B0B" w14:textId="77777777">
            <w:pPr>
              <w:pStyle w:val="TableParagraph"/>
              <w:ind w:right="225"/>
              <w:rPr>
                <w:sz w:val="21"/>
              </w:rPr>
            </w:pPr>
            <w:r>
              <w:rPr>
                <w:spacing w:val="-2"/>
                <w:sz w:val="21"/>
              </w:rPr>
              <w:t>2,100</w:t>
            </w:r>
          </w:p>
        </w:tc>
        <w:tc>
          <w:tcPr>
            <w:tcW w:w="1202" w:type="dxa"/>
          </w:tcPr>
          <w:p w:rsidR="003F5784" w14:paraId="528B2B1F" w14:textId="77777777">
            <w:pPr>
              <w:pStyle w:val="TableParagraph"/>
              <w:ind w:right="135"/>
              <w:rPr>
                <w:sz w:val="21"/>
              </w:rPr>
            </w:pPr>
            <w:r>
              <w:rPr>
                <w:spacing w:val="-4"/>
                <w:sz w:val="21"/>
              </w:rPr>
              <w:t>1.64</w:t>
            </w:r>
          </w:p>
        </w:tc>
        <w:tc>
          <w:tcPr>
            <w:tcW w:w="1738" w:type="dxa"/>
          </w:tcPr>
          <w:p w:rsidR="003F5784" w14:paraId="40023448" w14:textId="77777777">
            <w:pPr>
              <w:pStyle w:val="TableParagraph"/>
              <w:ind w:right="153"/>
              <w:rPr>
                <w:sz w:val="21"/>
              </w:rPr>
            </w:pPr>
            <w:r>
              <w:rPr>
                <w:spacing w:val="-2"/>
                <w:sz w:val="21"/>
              </w:rPr>
              <w:t>91.21</w:t>
            </w:r>
          </w:p>
        </w:tc>
        <w:tc>
          <w:tcPr>
            <w:tcW w:w="1733" w:type="dxa"/>
          </w:tcPr>
          <w:p w:rsidR="003F5784" w14:paraId="2F9C76D7" w14:textId="77777777">
            <w:pPr>
              <w:pStyle w:val="TableParagraph"/>
              <w:ind w:right="120"/>
              <w:rPr>
                <w:sz w:val="21"/>
              </w:rPr>
            </w:pPr>
            <w:r>
              <w:rPr>
                <w:spacing w:val="-4"/>
                <w:sz w:val="21"/>
              </w:rPr>
              <w:t>9.15</w:t>
            </w:r>
          </w:p>
        </w:tc>
      </w:tr>
      <w:tr w14:paraId="77085863" w14:textId="77777777">
        <w:tblPrEx>
          <w:tblW w:w="0" w:type="auto"/>
          <w:tblInd w:w="482" w:type="dxa"/>
          <w:tblLayout w:type="fixed"/>
          <w:tblCellMar>
            <w:left w:w="0" w:type="dxa"/>
            <w:right w:w="0" w:type="dxa"/>
          </w:tblCellMar>
          <w:tblLook w:val="01E0"/>
        </w:tblPrEx>
        <w:trPr>
          <w:trHeight w:val="286"/>
        </w:trPr>
        <w:tc>
          <w:tcPr>
            <w:tcW w:w="2693" w:type="dxa"/>
          </w:tcPr>
          <w:p w:rsidR="003F5784" w14:paraId="1566DE21" w14:textId="77777777">
            <w:pPr>
              <w:pStyle w:val="TableParagraph"/>
              <w:ind w:left="120"/>
              <w:jc w:val="left"/>
              <w:rPr>
                <w:sz w:val="21"/>
              </w:rPr>
            </w:pPr>
            <w:r>
              <w:rPr>
                <w:spacing w:val="-2"/>
                <w:sz w:val="21"/>
              </w:rPr>
              <w:t>Alaska</w:t>
            </w:r>
          </w:p>
        </w:tc>
        <w:tc>
          <w:tcPr>
            <w:tcW w:w="1272" w:type="dxa"/>
          </w:tcPr>
          <w:p w:rsidR="003F5784" w14:paraId="26645D26" w14:textId="77777777">
            <w:pPr>
              <w:pStyle w:val="TableParagraph"/>
              <w:ind w:right="133"/>
              <w:rPr>
                <w:sz w:val="21"/>
              </w:rPr>
            </w:pPr>
            <w:r>
              <w:rPr>
                <w:spacing w:val="-5"/>
                <w:sz w:val="21"/>
              </w:rPr>
              <w:t>110</w:t>
            </w:r>
          </w:p>
        </w:tc>
        <w:tc>
          <w:tcPr>
            <w:tcW w:w="2055" w:type="dxa"/>
          </w:tcPr>
          <w:p w:rsidR="003F5784" w14:paraId="73564761" w14:textId="77777777">
            <w:pPr>
              <w:pStyle w:val="TableParagraph"/>
              <w:ind w:right="134"/>
              <w:rPr>
                <w:sz w:val="21"/>
              </w:rPr>
            </w:pPr>
            <w:r>
              <w:rPr>
                <w:spacing w:val="-2"/>
                <w:sz w:val="21"/>
              </w:rPr>
              <w:t>98.71</w:t>
            </w:r>
          </w:p>
        </w:tc>
        <w:tc>
          <w:tcPr>
            <w:tcW w:w="1990" w:type="dxa"/>
          </w:tcPr>
          <w:p w:rsidR="003F5784" w14:paraId="4FFD4681" w14:textId="77777777">
            <w:pPr>
              <w:pStyle w:val="TableParagraph"/>
              <w:ind w:right="166"/>
              <w:rPr>
                <w:sz w:val="21"/>
              </w:rPr>
            </w:pPr>
            <w:r>
              <w:rPr>
                <w:spacing w:val="-2"/>
                <w:sz w:val="21"/>
              </w:rPr>
              <w:t>93.92</w:t>
            </w:r>
          </w:p>
        </w:tc>
        <w:tc>
          <w:tcPr>
            <w:tcW w:w="1304" w:type="dxa"/>
          </w:tcPr>
          <w:p w:rsidR="003F5784" w14:paraId="42869CDA" w14:textId="77777777">
            <w:pPr>
              <w:pStyle w:val="TableParagraph"/>
              <w:ind w:right="225"/>
              <w:rPr>
                <w:sz w:val="21"/>
              </w:rPr>
            </w:pPr>
            <w:r>
              <w:rPr>
                <w:spacing w:val="-2"/>
                <w:sz w:val="21"/>
              </w:rPr>
              <w:t>2,000</w:t>
            </w:r>
          </w:p>
        </w:tc>
        <w:tc>
          <w:tcPr>
            <w:tcW w:w="1202" w:type="dxa"/>
          </w:tcPr>
          <w:p w:rsidR="003F5784" w14:paraId="413C36CE" w14:textId="77777777">
            <w:pPr>
              <w:pStyle w:val="TableParagraph"/>
              <w:ind w:right="135"/>
              <w:rPr>
                <w:sz w:val="21"/>
              </w:rPr>
            </w:pPr>
            <w:r>
              <w:rPr>
                <w:spacing w:val="-4"/>
                <w:sz w:val="21"/>
              </w:rPr>
              <w:t>1.05</w:t>
            </w:r>
          </w:p>
        </w:tc>
        <w:tc>
          <w:tcPr>
            <w:tcW w:w="1738" w:type="dxa"/>
          </w:tcPr>
          <w:p w:rsidR="003F5784" w14:paraId="3E0F4DFC" w14:textId="77777777">
            <w:pPr>
              <w:pStyle w:val="TableParagraph"/>
              <w:ind w:right="153"/>
              <w:rPr>
                <w:sz w:val="21"/>
              </w:rPr>
            </w:pPr>
            <w:r>
              <w:rPr>
                <w:spacing w:val="-2"/>
                <w:sz w:val="21"/>
              </w:rPr>
              <w:t>83.79</w:t>
            </w:r>
          </w:p>
        </w:tc>
        <w:tc>
          <w:tcPr>
            <w:tcW w:w="1733" w:type="dxa"/>
          </w:tcPr>
          <w:p w:rsidR="003F5784" w14:paraId="6C2F8B85" w14:textId="77777777">
            <w:pPr>
              <w:pStyle w:val="TableParagraph"/>
              <w:ind w:right="120"/>
              <w:rPr>
                <w:sz w:val="21"/>
              </w:rPr>
            </w:pPr>
            <w:r>
              <w:rPr>
                <w:spacing w:val="-2"/>
                <w:sz w:val="21"/>
              </w:rPr>
              <w:t>14.47</w:t>
            </w:r>
          </w:p>
        </w:tc>
      </w:tr>
      <w:tr w14:paraId="27071B46" w14:textId="77777777">
        <w:tblPrEx>
          <w:tblW w:w="0" w:type="auto"/>
          <w:tblInd w:w="482" w:type="dxa"/>
          <w:tblLayout w:type="fixed"/>
          <w:tblCellMar>
            <w:left w:w="0" w:type="dxa"/>
            <w:right w:w="0" w:type="dxa"/>
          </w:tblCellMar>
          <w:tblLook w:val="01E0"/>
        </w:tblPrEx>
        <w:trPr>
          <w:trHeight w:val="286"/>
        </w:trPr>
        <w:tc>
          <w:tcPr>
            <w:tcW w:w="2693" w:type="dxa"/>
          </w:tcPr>
          <w:p w:rsidR="003F5784" w14:paraId="1633BD89" w14:textId="77777777">
            <w:pPr>
              <w:pStyle w:val="TableParagraph"/>
              <w:ind w:left="120"/>
              <w:jc w:val="left"/>
              <w:rPr>
                <w:sz w:val="21"/>
              </w:rPr>
            </w:pPr>
            <w:r>
              <w:rPr>
                <w:spacing w:val="-2"/>
                <w:sz w:val="21"/>
              </w:rPr>
              <w:t>Arizona</w:t>
            </w:r>
          </w:p>
        </w:tc>
        <w:tc>
          <w:tcPr>
            <w:tcW w:w="1272" w:type="dxa"/>
          </w:tcPr>
          <w:p w:rsidR="003F5784" w14:paraId="59FAF614" w14:textId="77777777">
            <w:pPr>
              <w:pStyle w:val="TableParagraph"/>
              <w:ind w:right="133"/>
              <w:rPr>
                <w:sz w:val="21"/>
              </w:rPr>
            </w:pPr>
            <w:r>
              <w:rPr>
                <w:spacing w:val="-5"/>
                <w:sz w:val="21"/>
              </w:rPr>
              <w:t>90</w:t>
            </w:r>
          </w:p>
        </w:tc>
        <w:tc>
          <w:tcPr>
            <w:tcW w:w="2055" w:type="dxa"/>
          </w:tcPr>
          <w:p w:rsidR="003F5784" w14:paraId="0BBF37C8" w14:textId="77777777">
            <w:pPr>
              <w:pStyle w:val="TableParagraph"/>
              <w:ind w:right="134"/>
              <w:rPr>
                <w:sz w:val="21"/>
              </w:rPr>
            </w:pPr>
            <w:r>
              <w:rPr>
                <w:spacing w:val="-2"/>
                <w:sz w:val="21"/>
              </w:rPr>
              <w:t>100.00</w:t>
            </w:r>
          </w:p>
        </w:tc>
        <w:tc>
          <w:tcPr>
            <w:tcW w:w="1990" w:type="dxa"/>
          </w:tcPr>
          <w:p w:rsidR="003F5784" w14:paraId="41CBB751" w14:textId="77777777">
            <w:pPr>
              <w:pStyle w:val="TableParagraph"/>
              <w:ind w:right="166"/>
              <w:rPr>
                <w:sz w:val="21"/>
              </w:rPr>
            </w:pPr>
            <w:r>
              <w:rPr>
                <w:spacing w:val="-2"/>
                <w:sz w:val="21"/>
              </w:rPr>
              <w:t>100.00</w:t>
            </w:r>
          </w:p>
        </w:tc>
        <w:tc>
          <w:tcPr>
            <w:tcW w:w="1304" w:type="dxa"/>
          </w:tcPr>
          <w:p w:rsidR="003F5784" w14:paraId="3F447917" w14:textId="77777777">
            <w:pPr>
              <w:pStyle w:val="TableParagraph"/>
              <w:ind w:right="225"/>
              <w:rPr>
                <w:sz w:val="21"/>
              </w:rPr>
            </w:pPr>
            <w:r>
              <w:rPr>
                <w:spacing w:val="-2"/>
                <w:sz w:val="21"/>
              </w:rPr>
              <w:t>2,100</w:t>
            </w:r>
          </w:p>
        </w:tc>
        <w:tc>
          <w:tcPr>
            <w:tcW w:w="1202" w:type="dxa"/>
          </w:tcPr>
          <w:p w:rsidR="003F5784" w14:paraId="40E638F4" w14:textId="77777777">
            <w:pPr>
              <w:pStyle w:val="TableParagraph"/>
              <w:ind w:right="135"/>
              <w:rPr>
                <w:sz w:val="21"/>
              </w:rPr>
            </w:pPr>
            <w:r>
              <w:rPr>
                <w:spacing w:val="-4"/>
                <w:sz w:val="21"/>
              </w:rPr>
              <w:t>1.67</w:t>
            </w:r>
          </w:p>
        </w:tc>
        <w:tc>
          <w:tcPr>
            <w:tcW w:w="1738" w:type="dxa"/>
          </w:tcPr>
          <w:p w:rsidR="003F5784" w14:paraId="5B23BB0F" w14:textId="77777777">
            <w:pPr>
              <w:pStyle w:val="TableParagraph"/>
              <w:ind w:right="153"/>
              <w:rPr>
                <w:sz w:val="21"/>
              </w:rPr>
            </w:pPr>
            <w:r>
              <w:rPr>
                <w:spacing w:val="-2"/>
                <w:sz w:val="21"/>
              </w:rPr>
              <w:t>90.30</w:t>
            </w:r>
          </w:p>
        </w:tc>
        <w:tc>
          <w:tcPr>
            <w:tcW w:w="1733" w:type="dxa"/>
          </w:tcPr>
          <w:p w:rsidR="003F5784" w14:paraId="04CC272A" w14:textId="77777777">
            <w:pPr>
              <w:pStyle w:val="TableParagraph"/>
              <w:ind w:right="120"/>
              <w:rPr>
                <w:sz w:val="21"/>
              </w:rPr>
            </w:pPr>
            <w:r>
              <w:rPr>
                <w:spacing w:val="-4"/>
                <w:sz w:val="21"/>
              </w:rPr>
              <w:t>9.94</w:t>
            </w:r>
          </w:p>
        </w:tc>
      </w:tr>
      <w:tr w14:paraId="37CE27DE" w14:textId="77777777">
        <w:tblPrEx>
          <w:tblW w:w="0" w:type="auto"/>
          <w:tblInd w:w="482" w:type="dxa"/>
          <w:tblLayout w:type="fixed"/>
          <w:tblCellMar>
            <w:left w:w="0" w:type="dxa"/>
            <w:right w:w="0" w:type="dxa"/>
          </w:tblCellMar>
          <w:tblLook w:val="01E0"/>
        </w:tblPrEx>
        <w:trPr>
          <w:trHeight w:val="286"/>
        </w:trPr>
        <w:tc>
          <w:tcPr>
            <w:tcW w:w="2693" w:type="dxa"/>
          </w:tcPr>
          <w:p w:rsidR="003F5784" w14:paraId="56AE1BED" w14:textId="77777777">
            <w:pPr>
              <w:pStyle w:val="TableParagraph"/>
              <w:ind w:left="120"/>
              <w:jc w:val="left"/>
              <w:rPr>
                <w:sz w:val="21"/>
              </w:rPr>
            </w:pPr>
            <w:r>
              <w:rPr>
                <w:spacing w:val="-2"/>
                <w:sz w:val="21"/>
              </w:rPr>
              <w:t>Arkansas</w:t>
            </w:r>
          </w:p>
        </w:tc>
        <w:tc>
          <w:tcPr>
            <w:tcW w:w="1272" w:type="dxa"/>
          </w:tcPr>
          <w:p w:rsidR="003F5784" w14:paraId="70724895" w14:textId="77777777">
            <w:pPr>
              <w:pStyle w:val="TableParagraph"/>
              <w:ind w:right="133"/>
              <w:rPr>
                <w:sz w:val="21"/>
              </w:rPr>
            </w:pPr>
            <w:r>
              <w:rPr>
                <w:spacing w:val="-5"/>
                <w:sz w:val="21"/>
              </w:rPr>
              <w:t>90</w:t>
            </w:r>
          </w:p>
        </w:tc>
        <w:tc>
          <w:tcPr>
            <w:tcW w:w="2055" w:type="dxa"/>
          </w:tcPr>
          <w:p w:rsidR="003F5784" w14:paraId="6B577523" w14:textId="77777777">
            <w:pPr>
              <w:pStyle w:val="TableParagraph"/>
              <w:ind w:right="134"/>
              <w:rPr>
                <w:sz w:val="21"/>
              </w:rPr>
            </w:pPr>
            <w:r>
              <w:rPr>
                <w:spacing w:val="-2"/>
                <w:sz w:val="21"/>
              </w:rPr>
              <w:t>100.00</w:t>
            </w:r>
          </w:p>
        </w:tc>
        <w:tc>
          <w:tcPr>
            <w:tcW w:w="1990" w:type="dxa"/>
          </w:tcPr>
          <w:p w:rsidR="003F5784" w14:paraId="1535A70B" w14:textId="77777777">
            <w:pPr>
              <w:pStyle w:val="TableParagraph"/>
              <w:ind w:right="166"/>
              <w:rPr>
                <w:sz w:val="21"/>
              </w:rPr>
            </w:pPr>
            <w:r>
              <w:rPr>
                <w:spacing w:val="-2"/>
                <w:sz w:val="21"/>
              </w:rPr>
              <w:t>100.00</w:t>
            </w:r>
          </w:p>
        </w:tc>
        <w:tc>
          <w:tcPr>
            <w:tcW w:w="1304" w:type="dxa"/>
          </w:tcPr>
          <w:p w:rsidR="003F5784" w14:paraId="4656170E" w14:textId="77777777">
            <w:pPr>
              <w:pStyle w:val="TableParagraph"/>
              <w:ind w:right="225"/>
              <w:rPr>
                <w:sz w:val="21"/>
              </w:rPr>
            </w:pPr>
            <w:r>
              <w:rPr>
                <w:spacing w:val="-2"/>
                <w:sz w:val="21"/>
              </w:rPr>
              <w:t>2,200</w:t>
            </w:r>
          </w:p>
        </w:tc>
        <w:tc>
          <w:tcPr>
            <w:tcW w:w="1202" w:type="dxa"/>
          </w:tcPr>
          <w:p w:rsidR="003F5784" w14:paraId="6FBF478E" w14:textId="77777777">
            <w:pPr>
              <w:pStyle w:val="TableParagraph"/>
              <w:ind w:right="135"/>
              <w:rPr>
                <w:sz w:val="21"/>
              </w:rPr>
            </w:pPr>
            <w:r>
              <w:rPr>
                <w:spacing w:val="-4"/>
                <w:sz w:val="21"/>
              </w:rPr>
              <w:t>0.98</w:t>
            </w:r>
          </w:p>
        </w:tc>
        <w:tc>
          <w:tcPr>
            <w:tcW w:w="1738" w:type="dxa"/>
          </w:tcPr>
          <w:p w:rsidR="003F5784" w14:paraId="1828F9C4" w14:textId="77777777">
            <w:pPr>
              <w:pStyle w:val="TableParagraph"/>
              <w:ind w:right="153"/>
              <w:rPr>
                <w:sz w:val="21"/>
              </w:rPr>
            </w:pPr>
            <w:r>
              <w:rPr>
                <w:spacing w:val="-2"/>
                <w:sz w:val="21"/>
              </w:rPr>
              <w:t>91.18</w:t>
            </w:r>
          </w:p>
        </w:tc>
        <w:tc>
          <w:tcPr>
            <w:tcW w:w="1733" w:type="dxa"/>
          </w:tcPr>
          <w:p w:rsidR="003F5784" w14:paraId="77028C52" w14:textId="77777777">
            <w:pPr>
              <w:pStyle w:val="TableParagraph"/>
              <w:ind w:right="120"/>
              <w:rPr>
                <w:sz w:val="21"/>
              </w:rPr>
            </w:pPr>
            <w:r>
              <w:rPr>
                <w:spacing w:val="-2"/>
                <w:sz w:val="21"/>
              </w:rPr>
              <w:t>19.69</w:t>
            </w:r>
          </w:p>
        </w:tc>
      </w:tr>
      <w:tr w14:paraId="41C66CCD" w14:textId="77777777">
        <w:tblPrEx>
          <w:tblW w:w="0" w:type="auto"/>
          <w:tblInd w:w="482" w:type="dxa"/>
          <w:tblLayout w:type="fixed"/>
          <w:tblCellMar>
            <w:left w:w="0" w:type="dxa"/>
            <w:right w:w="0" w:type="dxa"/>
          </w:tblCellMar>
          <w:tblLook w:val="01E0"/>
        </w:tblPrEx>
        <w:trPr>
          <w:trHeight w:val="286"/>
        </w:trPr>
        <w:tc>
          <w:tcPr>
            <w:tcW w:w="2693" w:type="dxa"/>
          </w:tcPr>
          <w:p w:rsidR="003F5784" w14:paraId="7ADC2FB5" w14:textId="77777777">
            <w:pPr>
              <w:pStyle w:val="TableParagraph"/>
              <w:ind w:left="120"/>
              <w:jc w:val="left"/>
              <w:rPr>
                <w:sz w:val="21"/>
              </w:rPr>
            </w:pPr>
            <w:r>
              <w:rPr>
                <w:spacing w:val="-2"/>
                <w:sz w:val="21"/>
              </w:rPr>
              <w:t>California</w:t>
            </w:r>
          </w:p>
        </w:tc>
        <w:tc>
          <w:tcPr>
            <w:tcW w:w="1272" w:type="dxa"/>
          </w:tcPr>
          <w:p w:rsidR="003F5784" w14:paraId="6C1F3E91" w14:textId="77777777">
            <w:pPr>
              <w:pStyle w:val="TableParagraph"/>
              <w:ind w:right="133"/>
              <w:rPr>
                <w:sz w:val="21"/>
              </w:rPr>
            </w:pPr>
            <w:r>
              <w:rPr>
                <w:spacing w:val="-5"/>
                <w:sz w:val="21"/>
              </w:rPr>
              <w:t>180</w:t>
            </w:r>
          </w:p>
        </w:tc>
        <w:tc>
          <w:tcPr>
            <w:tcW w:w="2055" w:type="dxa"/>
          </w:tcPr>
          <w:p w:rsidR="003F5784" w14:paraId="05B03EC9" w14:textId="77777777">
            <w:pPr>
              <w:pStyle w:val="TableParagraph"/>
              <w:ind w:right="134"/>
              <w:rPr>
                <w:sz w:val="21"/>
              </w:rPr>
            </w:pPr>
            <w:r>
              <w:rPr>
                <w:spacing w:val="-2"/>
                <w:sz w:val="21"/>
              </w:rPr>
              <w:t>100.00</w:t>
            </w:r>
          </w:p>
        </w:tc>
        <w:tc>
          <w:tcPr>
            <w:tcW w:w="1990" w:type="dxa"/>
          </w:tcPr>
          <w:p w:rsidR="003F5784" w14:paraId="55654D1B" w14:textId="77777777">
            <w:pPr>
              <w:pStyle w:val="TableParagraph"/>
              <w:ind w:right="166"/>
              <w:rPr>
                <w:sz w:val="21"/>
              </w:rPr>
            </w:pPr>
            <w:r>
              <w:rPr>
                <w:spacing w:val="-2"/>
                <w:sz w:val="21"/>
              </w:rPr>
              <w:t>100.00</w:t>
            </w:r>
          </w:p>
        </w:tc>
        <w:tc>
          <w:tcPr>
            <w:tcW w:w="1304" w:type="dxa"/>
          </w:tcPr>
          <w:p w:rsidR="003F5784" w14:paraId="2A4BE578" w14:textId="77777777">
            <w:pPr>
              <w:pStyle w:val="TableParagraph"/>
              <w:ind w:right="225"/>
              <w:rPr>
                <w:sz w:val="21"/>
              </w:rPr>
            </w:pPr>
            <w:r>
              <w:rPr>
                <w:spacing w:val="-2"/>
                <w:sz w:val="21"/>
              </w:rPr>
              <w:t>4,400</w:t>
            </w:r>
          </w:p>
        </w:tc>
        <w:tc>
          <w:tcPr>
            <w:tcW w:w="1202" w:type="dxa"/>
          </w:tcPr>
          <w:p w:rsidR="003F5784" w14:paraId="3CAEEC35" w14:textId="77777777">
            <w:pPr>
              <w:pStyle w:val="TableParagraph"/>
              <w:ind w:right="135"/>
              <w:rPr>
                <w:sz w:val="21"/>
              </w:rPr>
            </w:pPr>
            <w:r>
              <w:rPr>
                <w:spacing w:val="-4"/>
                <w:sz w:val="21"/>
              </w:rPr>
              <w:t>2.16</w:t>
            </w:r>
          </w:p>
        </w:tc>
        <w:tc>
          <w:tcPr>
            <w:tcW w:w="1738" w:type="dxa"/>
          </w:tcPr>
          <w:p w:rsidR="003F5784" w14:paraId="1DA88F43" w14:textId="77777777">
            <w:pPr>
              <w:pStyle w:val="TableParagraph"/>
              <w:ind w:right="153"/>
              <w:rPr>
                <w:sz w:val="21"/>
              </w:rPr>
            </w:pPr>
            <w:r>
              <w:rPr>
                <w:spacing w:val="-2"/>
                <w:sz w:val="21"/>
              </w:rPr>
              <w:t>88.05</w:t>
            </w:r>
          </w:p>
        </w:tc>
        <w:tc>
          <w:tcPr>
            <w:tcW w:w="1733" w:type="dxa"/>
          </w:tcPr>
          <w:p w:rsidR="003F5784" w14:paraId="668CC74B" w14:textId="77777777">
            <w:pPr>
              <w:pStyle w:val="TableParagraph"/>
              <w:ind w:right="120"/>
              <w:rPr>
                <w:sz w:val="21"/>
              </w:rPr>
            </w:pPr>
            <w:r>
              <w:rPr>
                <w:spacing w:val="-4"/>
                <w:sz w:val="21"/>
              </w:rPr>
              <w:t>8.73</w:t>
            </w:r>
          </w:p>
        </w:tc>
      </w:tr>
      <w:tr w14:paraId="4B72818D" w14:textId="77777777">
        <w:tblPrEx>
          <w:tblW w:w="0" w:type="auto"/>
          <w:tblInd w:w="482" w:type="dxa"/>
          <w:tblLayout w:type="fixed"/>
          <w:tblCellMar>
            <w:left w:w="0" w:type="dxa"/>
            <w:right w:w="0" w:type="dxa"/>
          </w:tblCellMar>
          <w:tblLook w:val="01E0"/>
        </w:tblPrEx>
        <w:trPr>
          <w:trHeight w:val="286"/>
        </w:trPr>
        <w:tc>
          <w:tcPr>
            <w:tcW w:w="2693" w:type="dxa"/>
          </w:tcPr>
          <w:p w:rsidR="003F5784" w14:paraId="7448C52B" w14:textId="77777777">
            <w:pPr>
              <w:pStyle w:val="TableParagraph"/>
              <w:ind w:left="120"/>
              <w:jc w:val="left"/>
              <w:rPr>
                <w:sz w:val="21"/>
              </w:rPr>
            </w:pPr>
            <w:r>
              <w:rPr>
                <w:spacing w:val="-2"/>
                <w:sz w:val="21"/>
              </w:rPr>
              <w:t>Colorado</w:t>
            </w:r>
          </w:p>
        </w:tc>
        <w:tc>
          <w:tcPr>
            <w:tcW w:w="1272" w:type="dxa"/>
          </w:tcPr>
          <w:p w:rsidR="003F5784" w14:paraId="26C0F484" w14:textId="77777777">
            <w:pPr>
              <w:pStyle w:val="TableParagraph"/>
              <w:ind w:right="133"/>
              <w:rPr>
                <w:sz w:val="21"/>
              </w:rPr>
            </w:pPr>
            <w:r>
              <w:rPr>
                <w:spacing w:val="-5"/>
                <w:sz w:val="21"/>
              </w:rPr>
              <w:t>120</w:t>
            </w:r>
          </w:p>
        </w:tc>
        <w:tc>
          <w:tcPr>
            <w:tcW w:w="2055" w:type="dxa"/>
          </w:tcPr>
          <w:p w:rsidR="003F5784" w14:paraId="53712306" w14:textId="77777777">
            <w:pPr>
              <w:pStyle w:val="TableParagraph"/>
              <w:ind w:right="134"/>
              <w:rPr>
                <w:sz w:val="21"/>
              </w:rPr>
            </w:pPr>
            <w:r>
              <w:rPr>
                <w:spacing w:val="-2"/>
                <w:sz w:val="21"/>
              </w:rPr>
              <w:t>96.76</w:t>
            </w:r>
          </w:p>
        </w:tc>
        <w:tc>
          <w:tcPr>
            <w:tcW w:w="1990" w:type="dxa"/>
          </w:tcPr>
          <w:p w:rsidR="003F5784" w14:paraId="36598A6D" w14:textId="77777777">
            <w:pPr>
              <w:pStyle w:val="TableParagraph"/>
              <w:ind w:right="166"/>
              <w:rPr>
                <w:sz w:val="21"/>
              </w:rPr>
            </w:pPr>
            <w:r>
              <w:rPr>
                <w:spacing w:val="-2"/>
                <w:sz w:val="21"/>
              </w:rPr>
              <w:t>95.47</w:t>
            </w:r>
          </w:p>
        </w:tc>
        <w:tc>
          <w:tcPr>
            <w:tcW w:w="1304" w:type="dxa"/>
          </w:tcPr>
          <w:p w:rsidR="003F5784" w14:paraId="24204AFF" w14:textId="77777777">
            <w:pPr>
              <w:pStyle w:val="TableParagraph"/>
              <w:ind w:right="225"/>
              <w:rPr>
                <w:sz w:val="21"/>
              </w:rPr>
            </w:pPr>
            <w:r>
              <w:rPr>
                <w:spacing w:val="-2"/>
                <w:sz w:val="21"/>
              </w:rPr>
              <w:t>2,800</w:t>
            </w:r>
          </w:p>
        </w:tc>
        <w:tc>
          <w:tcPr>
            <w:tcW w:w="1202" w:type="dxa"/>
          </w:tcPr>
          <w:p w:rsidR="003F5784" w14:paraId="05E9D27C" w14:textId="77777777">
            <w:pPr>
              <w:pStyle w:val="TableParagraph"/>
              <w:ind w:right="135"/>
              <w:rPr>
                <w:sz w:val="21"/>
              </w:rPr>
            </w:pPr>
            <w:r>
              <w:rPr>
                <w:spacing w:val="-4"/>
                <w:sz w:val="21"/>
              </w:rPr>
              <w:t>1.36</w:t>
            </w:r>
          </w:p>
        </w:tc>
        <w:tc>
          <w:tcPr>
            <w:tcW w:w="1738" w:type="dxa"/>
          </w:tcPr>
          <w:p w:rsidR="003F5784" w14:paraId="763C9B36" w14:textId="77777777">
            <w:pPr>
              <w:pStyle w:val="TableParagraph"/>
              <w:ind w:right="153"/>
              <w:rPr>
                <w:sz w:val="21"/>
              </w:rPr>
            </w:pPr>
            <w:r>
              <w:rPr>
                <w:spacing w:val="-2"/>
                <w:sz w:val="21"/>
              </w:rPr>
              <w:t>86.46</w:t>
            </w:r>
          </w:p>
        </w:tc>
        <w:tc>
          <w:tcPr>
            <w:tcW w:w="1733" w:type="dxa"/>
          </w:tcPr>
          <w:p w:rsidR="003F5784" w14:paraId="0E1B615A" w14:textId="77777777">
            <w:pPr>
              <w:pStyle w:val="TableParagraph"/>
              <w:ind w:right="120"/>
              <w:rPr>
                <w:sz w:val="21"/>
              </w:rPr>
            </w:pPr>
            <w:r>
              <w:rPr>
                <w:spacing w:val="-2"/>
                <w:sz w:val="21"/>
              </w:rPr>
              <w:t>10.41</w:t>
            </w:r>
          </w:p>
        </w:tc>
      </w:tr>
      <w:tr w14:paraId="7456279F" w14:textId="77777777">
        <w:tblPrEx>
          <w:tblW w:w="0" w:type="auto"/>
          <w:tblInd w:w="482" w:type="dxa"/>
          <w:tblLayout w:type="fixed"/>
          <w:tblCellMar>
            <w:left w:w="0" w:type="dxa"/>
            <w:right w:w="0" w:type="dxa"/>
          </w:tblCellMar>
          <w:tblLook w:val="01E0"/>
        </w:tblPrEx>
        <w:trPr>
          <w:trHeight w:val="286"/>
        </w:trPr>
        <w:tc>
          <w:tcPr>
            <w:tcW w:w="2693" w:type="dxa"/>
          </w:tcPr>
          <w:p w:rsidR="003F5784" w14:paraId="02E0DF7C" w14:textId="77777777">
            <w:pPr>
              <w:pStyle w:val="TableParagraph"/>
              <w:ind w:left="120"/>
              <w:jc w:val="left"/>
              <w:rPr>
                <w:sz w:val="21"/>
              </w:rPr>
            </w:pPr>
            <w:r>
              <w:rPr>
                <w:spacing w:val="-2"/>
                <w:sz w:val="21"/>
              </w:rPr>
              <w:t>Connecticut</w:t>
            </w:r>
          </w:p>
        </w:tc>
        <w:tc>
          <w:tcPr>
            <w:tcW w:w="1272" w:type="dxa"/>
          </w:tcPr>
          <w:p w:rsidR="003F5784" w14:paraId="07EA42AF" w14:textId="77777777">
            <w:pPr>
              <w:pStyle w:val="TableParagraph"/>
              <w:ind w:right="133"/>
              <w:rPr>
                <w:sz w:val="21"/>
              </w:rPr>
            </w:pPr>
            <w:r>
              <w:rPr>
                <w:spacing w:val="-5"/>
                <w:sz w:val="21"/>
              </w:rPr>
              <w:t>90</w:t>
            </w:r>
          </w:p>
        </w:tc>
        <w:tc>
          <w:tcPr>
            <w:tcW w:w="2055" w:type="dxa"/>
          </w:tcPr>
          <w:p w:rsidR="003F5784" w14:paraId="410CF49D" w14:textId="77777777">
            <w:pPr>
              <w:pStyle w:val="TableParagraph"/>
              <w:ind w:right="134"/>
              <w:rPr>
                <w:sz w:val="21"/>
              </w:rPr>
            </w:pPr>
            <w:r>
              <w:rPr>
                <w:spacing w:val="-2"/>
                <w:sz w:val="21"/>
              </w:rPr>
              <w:t>98.77</w:t>
            </w:r>
          </w:p>
        </w:tc>
        <w:tc>
          <w:tcPr>
            <w:tcW w:w="1990" w:type="dxa"/>
          </w:tcPr>
          <w:p w:rsidR="003F5784" w14:paraId="29110EFB" w14:textId="77777777">
            <w:pPr>
              <w:pStyle w:val="TableParagraph"/>
              <w:ind w:right="166"/>
              <w:rPr>
                <w:sz w:val="21"/>
              </w:rPr>
            </w:pPr>
            <w:r>
              <w:rPr>
                <w:spacing w:val="-2"/>
                <w:sz w:val="21"/>
              </w:rPr>
              <w:t>97.80</w:t>
            </w:r>
          </w:p>
        </w:tc>
        <w:tc>
          <w:tcPr>
            <w:tcW w:w="1304" w:type="dxa"/>
          </w:tcPr>
          <w:p w:rsidR="003F5784" w14:paraId="0E788994" w14:textId="77777777">
            <w:pPr>
              <w:pStyle w:val="TableParagraph"/>
              <w:ind w:right="225"/>
              <w:rPr>
                <w:sz w:val="21"/>
              </w:rPr>
            </w:pPr>
            <w:r>
              <w:rPr>
                <w:spacing w:val="-2"/>
                <w:sz w:val="21"/>
              </w:rPr>
              <w:t>2,000</w:t>
            </w:r>
          </w:p>
        </w:tc>
        <w:tc>
          <w:tcPr>
            <w:tcW w:w="1202" w:type="dxa"/>
          </w:tcPr>
          <w:p w:rsidR="003F5784" w14:paraId="4142B6CD" w14:textId="77777777">
            <w:pPr>
              <w:pStyle w:val="TableParagraph"/>
              <w:ind w:right="135"/>
              <w:rPr>
                <w:sz w:val="21"/>
              </w:rPr>
            </w:pPr>
            <w:r>
              <w:rPr>
                <w:spacing w:val="-4"/>
                <w:sz w:val="21"/>
              </w:rPr>
              <w:t>1.69</w:t>
            </w:r>
          </w:p>
        </w:tc>
        <w:tc>
          <w:tcPr>
            <w:tcW w:w="1738" w:type="dxa"/>
          </w:tcPr>
          <w:p w:rsidR="003F5784" w14:paraId="376BAD9D" w14:textId="77777777">
            <w:pPr>
              <w:pStyle w:val="TableParagraph"/>
              <w:ind w:right="153"/>
              <w:rPr>
                <w:sz w:val="21"/>
              </w:rPr>
            </w:pPr>
            <w:r>
              <w:rPr>
                <w:spacing w:val="-2"/>
                <w:sz w:val="21"/>
              </w:rPr>
              <w:t>87.84</w:t>
            </w:r>
          </w:p>
        </w:tc>
        <w:tc>
          <w:tcPr>
            <w:tcW w:w="1733" w:type="dxa"/>
          </w:tcPr>
          <w:p w:rsidR="003F5784" w14:paraId="38F04364" w14:textId="77777777">
            <w:pPr>
              <w:pStyle w:val="TableParagraph"/>
              <w:ind w:right="120"/>
              <w:rPr>
                <w:sz w:val="21"/>
              </w:rPr>
            </w:pPr>
            <w:r>
              <w:rPr>
                <w:spacing w:val="-2"/>
                <w:sz w:val="21"/>
              </w:rPr>
              <w:t>17.79</w:t>
            </w:r>
          </w:p>
        </w:tc>
      </w:tr>
      <w:tr w14:paraId="3E60554E" w14:textId="77777777">
        <w:tblPrEx>
          <w:tblW w:w="0" w:type="auto"/>
          <w:tblInd w:w="482" w:type="dxa"/>
          <w:tblLayout w:type="fixed"/>
          <w:tblCellMar>
            <w:left w:w="0" w:type="dxa"/>
            <w:right w:w="0" w:type="dxa"/>
          </w:tblCellMar>
          <w:tblLook w:val="01E0"/>
        </w:tblPrEx>
        <w:trPr>
          <w:trHeight w:val="286"/>
        </w:trPr>
        <w:tc>
          <w:tcPr>
            <w:tcW w:w="2693" w:type="dxa"/>
          </w:tcPr>
          <w:p w:rsidR="003F5784" w14:paraId="283AE5DD" w14:textId="77777777">
            <w:pPr>
              <w:pStyle w:val="TableParagraph"/>
              <w:ind w:left="120"/>
              <w:jc w:val="left"/>
              <w:rPr>
                <w:sz w:val="21"/>
              </w:rPr>
            </w:pPr>
            <w:r>
              <w:rPr>
                <w:spacing w:val="-2"/>
                <w:sz w:val="21"/>
              </w:rPr>
              <w:t>Delaware</w:t>
            </w:r>
          </w:p>
        </w:tc>
        <w:tc>
          <w:tcPr>
            <w:tcW w:w="1272" w:type="dxa"/>
          </w:tcPr>
          <w:p w:rsidR="003F5784" w14:paraId="769126B9" w14:textId="77777777">
            <w:pPr>
              <w:pStyle w:val="TableParagraph"/>
              <w:ind w:right="133"/>
              <w:rPr>
                <w:sz w:val="21"/>
              </w:rPr>
            </w:pPr>
            <w:r>
              <w:rPr>
                <w:spacing w:val="-5"/>
                <w:sz w:val="21"/>
              </w:rPr>
              <w:t>50</w:t>
            </w:r>
          </w:p>
        </w:tc>
        <w:tc>
          <w:tcPr>
            <w:tcW w:w="2055" w:type="dxa"/>
          </w:tcPr>
          <w:p w:rsidR="003F5784" w14:paraId="39878670" w14:textId="77777777">
            <w:pPr>
              <w:pStyle w:val="TableParagraph"/>
              <w:ind w:right="134"/>
              <w:rPr>
                <w:sz w:val="21"/>
              </w:rPr>
            </w:pPr>
            <w:r>
              <w:rPr>
                <w:spacing w:val="-2"/>
                <w:sz w:val="21"/>
              </w:rPr>
              <w:t>100.00</w:t>
            </w:r>
          </w:p>
        </w:tc>
        <w:tc>
          <w:tcPr>
            <w:tcW w:w="1990" w:type="dxa"/>
          </w:tcPr>
          <w:p w:rsidR="003F5784" w14:paraId="1F3D3AA6" w14:textId="77777777">
            <w:pPr>
              <w:pStyle w:val="TableParagraph"/>
              <w:ind w:right="166"/>
              <w:rPr>
                <w:sz w:val="21"/>
              </w:rPr>
            </w:pPr>
            <w:r>
              <w:rPr>
                <w:spacing w:val="-2"/>
                <w:sz w:val="21"/>
              </w:rPr>
              <w:t>100.00</w:t>
            </w:r>
          </w:p>
        </w:tc>
        <w:tc>
          <w:tcPr>
            <w:tcW w:w="1304" w:type="dxa"/>
          </w:tcPr>
          <w:p w:rsidR="003F5784" w14:paraId="0AFFC27B" w14:textId="77777777">
            <w:pPr>
              <w:pStyle w:val="TableParagraph"/>
              <w:ind w:right="225"/>
              <w:rPr>
                <w:sz w:val="21"/>
              </w:rPr>
            </w:pPr>
            <w:r>
              <w:rPr>
                <w:spacing w:val="-2"/>
                <w:sz w:val="21"/>
              </w:rPr>
              <w:t>2,100</w:t>
            </w:r>
          </w:p>
        </w:tc>
        <w:tc>
          <w:tcPr>
            <w:tcW w:w="1202" w:type="dxa"/>
          </w:tcPr>
          <w:p w:rsidR="003F5784" w14:paraId="10D4A9CD" w14:textId="77777777">
            <w:pPr>
              <w:pStyle w:val="TableParagraph"/>
              <w:ind w:right="135"/>
              <w:rPr>
                <w:sz w:val="21"/>
              </w:rPr>
            </w:pPr>
            <w:r>
              <w:rPr>
                <w:spacing w:val="-4"/>
                <w:sz w:val="21"/>
              </w:rPr>
              <w:t>1.90</w:t>
            </w:r>
          </w:p>
        </w:tc>
        <w:tc>
          <w:tcPr>
            <w:tcW w:w="1738" w:type="dxa"/>
          </w:tcPr>
          <w:p w:rsidR="003F5784" w14:paraId="4982CB07" w14:textId="77777777">
            <w:pPr>
              <w:pStyle w:val="TableParagraph"/>
              <w:ind w:right="153"/>
              <w:rPr>
                <w:sz w:val="21"/>
              </w:rPr>
            </w:pPr>
            <w:r>
              <w:rPr>
                <w:spacing w:val="-2"/>
                <w:sz w:val="21"/>
              </w:rPr>
              <w:t>87.27</w:t>
            </w:r>
          </w:p>
        </w:tc>
        <w:tc>
          <w:tcPr>
            <w:tcW w:w="1733" w:type="dxa"/>
          </w:tcPr>
          <w:p w:rsidR="003F5784" w14:paraId="39B3B62B" w14:textId="77777777">
            <w:pPr>
              <w:pStyle w:val="TableParagraph"/>
              <w:ind w:right="120"/>
              <w:rPr>
                <w:sz w:val="21"/>
              </w:rPr>
            </w:pPr>
            <w:r>
              <w:rPr>
                <w:spacing w:val="-2"/>
                <w:sz w:val="21"/>
              </w:rPr>
              <w:t>17.75</w:t>
            </w:r>
          </w:p>
        </w:tc>
      </w:tr>
      <w:tr w14:paraId="1A6C078F" w14:textId="77777777">
        <w:tblPrEx>
          <w:tblW w:w="0" w:type="auto"/>
          <w:tblInd w:w="482" w:type="dxa"/>
          <w:tblLayout w:type="fixed"/>
          <w:tblCellMar>
            <w:left w:w="0" w:type="dxa"/>
            <w:right w:w="0" w:type="dxa"/>
          </w:tblCellMar>
          <w:tblLook w:val="01E0"/>
        </w:tblPrEx>
        <w:trPr>
          <w:trHeight w:val="286"/>
        </w:trPr>
        <w:tc>
          <w:tcPr>
            <w:tcW w:w="2693" w:type="dxa"/>
          </w:tcPr>
          <w:p w:rsidR="003F5784" w14:paraId="10B56855" w14:textId="77777777">
            <w:pPr>
              <w:pStyle w:val="TableParagraph"/>
              <w:ind w:left="120"/>
              <w:jc w:val="left"/>
              <w:rPr>
                <w:sz w:val="21"/>
              </w:rPr>
            </w:pPr>
            <w:r>
              <w:rPr>
                <w:sz w:val="21"/>
              </w:rPr>
              <w:t>District</w:t>
            </w:r>
            <w:r>
              <w:rPr>
                <w:spacing w:val="-6"/>
                <w:sz w:val="21"/>
              </w:rPr>
              <w:t xml:space="preserve"> </w:t>
            </w:r>
            <w:r>
              <w:rPr>
                <w:sz w:val="21"/>
              </w:rPr>
              <w:t>of</w:t>
            </w:r>
            <w:r>
              <w:rPr>
                <w:spacing w:val="-5"/>
                <w:sz w:val="21"/>
              </w:rPr>
              <w:t xml:space="preserve"> </w:t>
            </w:r>
            <w:r>
              <w:rPr>
                <w:spacing w:val="-2"/>
                <w:sz w:val="21"/>
              </w:rPr>
              <w:t>Columbia</w:t>
            </w:r>
          </w:p>
        </w:tc>
        <w:tc>
          <w:tcPr>
            <w:tcW w:w="1272" w:type="dxa"/>
          </w:tcPr>
          <w:p w:rsidR="003F5784" w14:paraId="1A7033F0" w14:textId="77777777">
            <w:pPr>
              <w:pStyle w:val="TableParagraph"/>
              <w:ind w:right="133"/>
              <w:rPr>
                <w:sz w:val="21"/>
              </w:rPr>
            </w:pPr>
            <w:r>
              <w:rPr>
                <w:spacing w:val="-5"/>
                <w:sz w:val="21"/>
              </w:rPr>
              <w:t>80</w:t>
            </w:r>
          </w:p>
        </w:tc>
        <w:tc>
          <w:tcPr>
            <w:tcW w:w="2055" w:type="dxa"/>
          </w:tcPr>
          <w:p w:rsidR="003F5784" w14:paraId="5D85345C" w14:textId="77777777">
            <w:pPr>
              <w:pStyle w:val="TableParagraph"/>
              <w:ind w:right="134"/>
              <w:rPr>
                <w:sz w:val="21"/>
              </w:rPr>
            </w:pPr>
            <w:r>
              <w:rPr>
                <w:spacing w:val="-2"/>
                <w:sz w:val="21"/>
              </w:rPr>
              <w:t>100.00</w:t>
            </w:r>
          </w:p>
        </w:tc>
        <w:tc>
          <w:tcPr>
            <w:tcW w:w="1990" w:type="dxa"/>
          </w:tcPr>
          <w:p w:rsidR="003F5784" w14:paraId="5A3693C6" w14:textId="77777777">
            <w:pPr>
              <w:pStyle w:val="TableParagraph"/>
              <w:ind w:right="166"/>
              <w:rPr>
                <w:sz w:val="21"/>
              </w:rPr>
            </w:pPr>
            <w:r>
              <w:rPr>
                <w:spacing w:val="-2"/>
                <w:sz w:val="21"/>
              </w:rPr>
              <w:t>100.00</w:t>
            </w:r>
          </w:p>
        </w:tc>
        <w:tc>
          <w:tcPr>
            <w:tcW w:w="1304" w:type="dxa"/>
          </w:tcPr>
          <w:p w:rsidR="003F5784" w14:paraId="7ACFF169" w14:textId="77777777">
            <w:pPr>
              <w:pStyle w:val="TableParagraph"/>
              <w:ind w:right="225"/>
              <w:rPr>
                <w:sz w:val="21"/>
              </w:rPr>
            </w:pPr>
            <w:r>
              <w:rPr>
                <w:spacing w:val="-2"/>
                <w:sz w:val="21"/>
              </w:rPr>
              <w:t>2,000</w:t>
            </w:r>
          </w:p>
        </w:tc>
        <w:tc>
          <w:tcPr>
            <w:tcW w:w="1202" w:type="dxa"/>
          </w:tcPr>
          <w:p w:rsidR="003F5784" w14:paraId="166D4B39" w14:textId="77777777">
            <w:pPr>
              <w:pStyle w:val="TableParagraph"/>
              <w:ind w:right="135"/>
              <w:rPr>
                <w:sz w:val="21"/>
              </w:rPr>
            </w:pPr>
            <w:r>
              <w:rPr>
                <w:spacing w:val="-4"/>
                <w:sz w:val="21"/>
              </w:rPr>
              <w:t>2.74</w:t>
            </w:r>
          </w:p>
        </w:tc>
        <w:tc>
          <w:tcPr>
            <w:tcW w:w="1738" w:type="dxa"/>
          </w:tcPr>
          <w:p w:rsidR="003F5784" w14:paraId="79EB89C4" w14:textId="77777777">
            <w:pPr>
              <w:pStyle w:val="TableParagraph"/>
              <w:ind w:right="153"/>
              <w:rPr>
                <w:sz w:val="21"/>
              </w:rPr>
            </w:pPr>
            <w:r>
              <w:rPr>
                <w:spacing w:val="-2"/>
                <w:sz w:val="21"/>
              </w:rPr>
              <w:t>82.67</w:t>
            </w:r>
          </w:p>
        </w:tc>
        <w:tc>
          <w:tcPr>
            <w:tcW w:w="1733" w:type="dxa"/>
          </w:tcPr>
          <w:p w:rsidR="003F5784" w14:paraId="5C113005" w14:textId="77777777">
            <w:pPr>
              <w:pStyle w:val="TableParagraph"/>
              <w:ind w:right="120"/>
              <w:rPr>
                <w:sz w:val="21"/>
              </w:rPr>
            </w:pPr>
            <w:r>
              <w:rPr>
                <w:spacing w:val="-2"/>
                <w:sz w:val="21"/>
              </w:rPr>
              <w:t>25.65</w:t>
            </w:r>
          </w:p>
        </w:tc>
      </w:tr>
      <w:tr w14:paraId="4D11B828" w14:textId="77777777">
        <w:tblPrEx>
          <w:tblW w:w="0" w:type="auto"/>
          <w:tblInd w:w="482" w:type="dxa"/>
          <w:tblLayout w:type="fixed"/>
          <w:tblCellMar>
            <w:left w:w="0" w:type="dxa"/>
            <w:right w:w="0" w:type="dxa"/>
          </w:tblCellMar>
          <w:tblLook w:val="01E0"/>
        </w:tblPrEx>
        <w:trPr>
          <w:trHeight w:val="286"/>
        </w:trPr>
        <w:tc>
          <w:tcPr>
            <w:tcW w:w="2693" w:type="dxa"/>
          </w:tcPr>
          <w:p w:rsidR="003F5784" w14:paraId="3D6AC753" w14:textId="77777777">
            <w:pPr>
              <w:pStyle w:val="TableParagraph"/>
              <w:ind w:left="120"/>
              <w:jc w:val="left"/>
              <w:rPr>
                <w:sz w:val="21"/>
              </w:rPr>
            </w:pPr>
            <w:r>
              <w:rPr>
                <w:spacing w:val="-2"/>
                <w:sz w:val="21"/>
              </w:rPr>
              <w:t>Florida</w:t>
            </w:r>
          </w:p>
        </w:tc>
        <w:tc>
          <w:tcPr>
            <w:tcW w:w="1272" w:type="dxa"/>
          </w:tcPr>
          <w:p w:rsidR="003F5784" w14:paraId="446D94D7" w14:textId="77777777">
            <w:pPr>
              <w:pStyle w:val="TableParagraph"/>
              <w:ind w:right="133"/>
              <w:rPr>
                <w:sz w:val="21"/>
              </w:rPr>
            </w:pPr>
            <w:r>
              <w:rPr>
                <w:spacing w:val="-5"/>
                <w:sz w:val="21"/>
              </w:rPr>
              <w:t>210</w:t>
            </w:r>
          </w:p>
        </w:tc>
        <w:tc>
          <w:tcPr>
            <w:tcW w:w="2055" w:type="dxa"/>
          </w:tcPr>
          <w:p w:rsidR="003F5784" w14:paraId="3AF3E634" w14:textId="77777777">
            <w:pPr>
              <w:pStyle w:val="TableParagraph"/>
              <w:ind w:right="134"/>
              <w:rPr>
                <w:sz w:val="21"/>
              </w:rPr>
            </w:pPr>
            <w:r>
              <w:rPr>
                <w:spacing w:val="-2"/>
                <w:sz w:val="21"/>
              </w:rPr>
              <w:t>100.00</w:t>
            </w:r>
          </w:p>
        </w:tc>
        <w:tc>
          <w:tcPr>
            <w:tcW w:w="1990" w:type="dxa"/>
          </w:tcPr>
          <w:p w:rsidR="003F5784" w14:paraId="39D33A86" w14:textId="77777777">
            <w:pPr>
              <w:pStyle w:val="TableParagraph"/>
              <w:ind w:right="166"/>
              <w:rPr>
                <w:sz w:val="21"/>
              </w:rPr>
            </w:pPr>
            <w:r>
              <w:rPr>
                <w:spacing w:val="-2"/>
                <w:sz w:val="21"/>
              </w:rPr>
              <w:t>100.00</w:t>
            </w:r>
          </w:p>
        </w:tc>
        <w:tc>
          <w:tcPr>
            <w:tcW w:w="1304" w:type="dxa"/>
          </w:tcPr>
          <w:p w:rsidR="003F5784" w14:paraId="7778F427" w14:textId="77777777">
            <w:pPr>
              <w:pStyle w:val="TableParagraph"/>
              <w:ind w:right="225"/>
              <w:rPr>
                <w:sz w:val="21"/>
              </w:rPr>
            </w:pPr>
            <w:r>
              <w:rPr>
                <w:spacing w:val="-2"/>
                <w:sz w:val="21"/>
              </w:rPr>
              <w:t>5,400</w:t>
            </w:r>
          </w:p>
        </w:tc>
        <w:tc>
          <w:tcPr>
            <w:tcW w:w="1202" w:type="dxa"/>
          </w:tcPr>
          <w:p w:rsidR="003F5784" w14:paraId="763B7553" w14:textId="77777777">
            <w:pPr>
              <w:pStyle w:val="TableParagraph"/>
              <w:ind w:right="135"/>
              <w:rPr>
                <w:sz w:val="21"/>
              </w:rPr>
            </w:pPr>
            <w:r>
              <w:rPr>
                <w:spacing w:val="-4"/>
                <w:sz w:val="21"/>
              </w:rPr>
              <w:t>2.56</w:t>
            </w:r>
          </w:p>
        </w:tc>
        <w:tc>
          <w:tcPr>
            <w:tcW w:w="1738" w:type="dxa"/>
          </w:tcPr>
          <w:p w:rsidR="003F5784" w14:paraId="6210E66A" w14:textId="77777777">
            <w:pPr>
              <w:pStyle w:val="TableParagraph"/>
              <w:ind w:right="153"/>
              <w:rPr>
                <w:sz w:val="21"/>
              </w:rPr>
            </w:pPr>
            <w:r>
              <w:rPr>
                <w:spacing w:val="-2"/>
                <w:sz w:val="21"/>
              </w:rPr>
              <w:t>89.47</w:t>
            </w:r>
          </w:p>
        </w:tc>
        <w:tc>
          <w:tcPr>
            <w:tcW w:w="1733" w:type="dxa"/>
          </w:tcPr>
          <w:p w:rsidR="003F5784" w14:paraId="3D6454B0" w14:textId="77777777">
            <w:pPr>
              <w:pStyle w:val="TableParagraph"/>
              <w:ind w:right="120"/>
              <w:rPr>
                <w:sz w:val="21"/>
              </w:rPr>
            </w:pPr>
            <w:r>
              <w:rPr>
                <w:spacing w:val="-2"/>
                <w:sz w:val="21"/>
              </w:rPr>
              <w:t>22.03</w:t>
            </w:r>
          </w:p>
        </w:tc>
      </w:tr>
      <w:tr w14:paraId="53855A82" w14:textId="77777777">
        <w:tblPrEx>
          <w:tblW w:w="0" w:type="auto"/>
          <w:tblInd w:w="482" w:type="dxa"/>
          <w:tblLayout w:type="fixed"/>
          <w:tblCellMar>
            <w:left w:w="0" w:type="dxa"/>
            <w:right w:w="0" w:type="dxa"/>
          </w:tblCellMar>
          <w:tblLook w:val="01E0"/>
        </w:tblPrEx>
        <w:trPr>
          <w:trHeight w:val="286"/>
        </w:trPr>
        <w:tc>
          <w:tcPr>
            <w:tcW w:w="2693" w:type="dxa"/>
          </w:tcPr>
          <w:p w:rsidR="003F5784" w14:paraId="3BD2B6AA" w14:textId="77777777">
            <w:pPr>
              <w:pStyle w:val="TableParagraph"/>
              <w:ind w:left="120"/>
              <w:jc w:val="left"/>
              <w:rPr>
                <w:sz w:val="21"/>
              </w:rPr>
            </w:pPr>
            <w:r>
              <w:rPr>
                <w:spacing w:val="-2"/>
                <w:sz w:val="21"/>
              </w:rPr>
              <w:t>Georgia</w:t>
            </w:r>
          </w:p>
        </w:tc>
        <w:tc>
          <w:tcPr>
            <w:tcW w:w="1272" w:type="dxa"/>
          </w:tcPr>
          <w:p w:rsidR="003F5784" w14:paraId="1DB67353" w14:textId="77777777">
            <w:pPr>
              <w:pStyle w:val="TableParagraph"/>
              <w:ind w:right="133"/>
              <w:rPr>
                <w:sz w:val="21"/>
              </w:rPr>
            </w:pPr>
            <w:r>
              <w:rPr>
                <w:spacing w:val="-5"/>
                <w:sz w:val="21"/>
              </w:rPr>
              <w:t>110</w:t>
            </w:r>
          </w:p>
        </w:tc>
        <w:tc>
          <w:tcPr>
            <w:tcW w:w="2055" w:type="dxa"/>
          </w:tcPr>
          <w:p w:rsidR="003F5784" w14:paraId="7B72E947" w14:textId="77777777">
            <w:pPr>
              <w:pStyle w:val="TableParagraph"/>
              <w:ind w:right="134"/>
              <w:rPr>
                <w:sz w:val="21"/>
              </w:rPr>
            </w:pPr>
            <w:r>
              <w:rPr>
                <w:spacing w:val="-2"/>
                <w:sz w:val="21"/>
              </w:rPr>
              <w:t>100.00</w:t>
            </w:r>
          </w:p>
        </w:tc>
        <w:tc>
          <w:tcPr>
            <w:tcW w:w="1990" w:type="dxa"/>
          </w:tcPr>
          <w:p w:rsidR="003F5784" w14:paraId="026C367E" w14:textId="77777777">
            <w:pPr>
              <w:pStyle w:val="TableParagraph"/>
              <w:ind w:right="166"/>
              <w:rPr>
                <w:sz w:val="21"/>
              </w:rPr>
            </w:pPr>
            <w:r>
              <w:rPr>
                <w:spacing w:val="-2"/>
                <w:sz w:val="21"/>
              </w:rPr>
              <w:t>100.00</w:t>
            </w:r>
          </w:p>
        </w:tc>
        <w:tc>
          <w:tcPr>
            <w:tcW w:w="1304" w:type="dxa"/>
          </w:tcPr>
          <w:p w:rsidR="003F5784" w14:paraId="0C733041" w14:textId="77777777">
            <w:pPr>
              <w:pStyle w:val="TableParagraph"/>
              <w:ind w:right="225"/>
              <w:rPr>
                <w:sz w:val="21"/>
              </w:rPr>
            </w:pPr>
            <w:r>
              <w:rPr>
                <w:spacing w:val="-2"/>
                <w:sz w:val="21"/>
              </w:rPr>
              <w:t>3,100</w:t>
            </w:r>
          </w:p>
        </w:tc>
        <w:tc>
          <w:tcPr>
            <w:tcW w:w="1202" w:type="dxa"/>
          </w:tcPr>
          <w:p w:rsidR="003F5784" w14:paraId="3A0EF519" w14:textId="77777777">
            <w:pPr>
              <w:pStyle w:val="TableParagraph"/>
              <w:ind w:right="135"/>
              <w:rPr>
                <w:sz w:val="21"/>
              </w:rPr>
            </w:pPr>
            <w:r>
              <w:rPr>
                <w:spacing w:val="-4"/>
                <w:sz w:val="21"/>
              </w:rPr>
              <w:t>1.75</w:t>
            </w:r>
          </w:p>
        </w:tc>
        <w:tc>
          <w:tcPr>
            <w:tcW w:w="1738" w:type="dxa"/>
          </w:tcPr>
          <w:p w:rsidR="003F5784" w14:paraId="6ADD957D" w14:textId="77777777">
            <w:pPr>
              <w:pStyle w:val="TableParagraph"/>
              <w:ind w:right="153"/>
              <w:rPr>
                <w:sz w:val="21"/>
              </w:rPr>
            </w:pPr>
            <w:r>
              <w:rPr>
                <w:spacing w:val="-2"/>
                <w:sz w:val="21"/>
              </w:rPr>
              <w:t>90.25</w:t>
            </w:r>
          </w:p>
        </w:tc>
        <w:tc>
          <w:tcPr>
            <w:tcW w:w="1733" w:type="dxa"/>
          </w:tcPr>
          <w:p w:rsidR="003F5784" w14:paraId="51BCD006" w14:textId="77777777">
            <w:pPr>
              <w:pStyle w:val="TableParagraph"/>
              <w:ind w:right="120"/>
              <w:rPr>
                <w:sz w:val="21"/>
              </w:rPr>
            </w:pPr>
            <w:r>
              <w:rPr>
                <w:spacing w:val="-2"/>
                <w:sz w:val="21"/>
              </w:rPr>
              <w:t>16.63</w:t>
            </w:r>
          </w:p>
        </w:tc>
      </w:tr>
      <w:tr w14:paraId="4AE448AD" w14:textId="77777777">
        <w:tblPrEx>
          <w:tblW w:w="0" w:type="auto"/>
          <w:tblInd w:w="482" w:type="dxa"/>
          <w:tblLayout w:type="fixed"/>
          <w:tblCellMar>
            <w:left w:w="0" w:type="dxa"/>
            <w:right w:w="0" w:type="dxa"/>
          </w:tblCellMar>
          <w:tblLook w:val="01E0"/>
        </w:tblPrEx>
        <w:trPr>
          <w:trHeight w:val="286"/>
        </w:trPr>
        <w:tc>
          <w:tcPr>
            <w:tcW w:w="2693" w:type="dxa"/>
          </w:tcPr>
          <w:p w:rsidR="003F5784" w14:paraId="3DEE0F62" w14:textId="77777777">
            <w:pPr>
              <w:pStyle w:val="TableParagraph"/>
              <w:ind w:left="120"/>
              <w:jc w:val="left"/>
              <w:rPr>
                <w:sz w:val="21"/>
              </w:rPr>
            </w:pPr>
            <w:r>
              <w:rPr>
                <w:spacing w:val="-2"/>
                <w:sz w:val="21"/>
              </w:rPr>
              <w:t>Hawaii</w:t>
            </w:r>
          </w:p>
        </w:tc>
        <w:tc>
          <w:tcPr>
            <w:tcW w:w="1272" w:type="dxa"/>
          </w:tcPr>
          <w:p w:rsidR="003F5784" w14:paraId="70D0FA7D" w14:textId="77777777">
            <w:pPr>
              <w:pStyle w:val="TableParagraph"/>
              <w:ind w:right="133"/>
              <w:rPr>
                <w:sz w:val="21"/>
              </w:rPr>
            </w:pPr>
            <w:r>
              <w:rPr>
                <w:spacing w:val="-5"/>
                <w:sz w:val="21"/>
              </w:rPr>
              <w:t>50</w:t>
            </w:r>
          </w:p>
        </w:tc>
        <w:tc>
          <w:tcPr>
            <w:tcW w:w="2055" w:type="dxa"/>
          </w:tcPr>
          <w:p w:rsidR="003F5784" w14:paraId="1C269016" w14:textId="77777777">
            <w:pPr>
              <w:pStyle w:val="TableParagraph"/>
              <w:ind w:right="134"/>
              <w:rPr>
                <w:sz w:val="21"/>
              </w:rPr>
            </w:pPr>
            <w:r>
              <w:rPr>
                <w:spacing w:val="-2"/>
                <w:sz w:val="21"/>
              </w:rPr>
              <w:t>100.00</w:t>
            </w:r>
          </w:p>
        </w:tc>
        <w:tc>
          <w:tcPr>
            <w:tcW w:w="1990" w:type="dxa"/>
          </w:tcPr>
          <w:p w:rsidR="003F5784" w14:paraId="0E726D71" w14:textId="77777777">
            <w:pPr>
              <w:pStyle w:val="TableParagraph"/>
              <w:ind w:right="166"/>
              <w:rPr>
                <w:sz w:val="21"/>
              </w:rPr>
            </w:pPr>
            <w:r>
              <w:rPr>
                <w:spacing w:val="-2"/>
                <w:sz w:val="21"/>
              </w:rPr>
              <w:t>100.00</w:t>
            </w:r>
          </w:p>
        </w:tc>
        <w:tc>
          <w:tcPr>
            <w:tcW w:w="1304" w:type="dxa"/>
          </w:tcPr>
          <w:p w:rsidR="003F5784" w14:paraId="56DD4C89" w14:textId="77777777">
            <w:pPr>
              <w:pStyle w:val="TableParagraph"/>
              <w:ind w:right="225"/>
              <w:rPr>
                <w:sz w:val="21"/>
              </w:rPr>
            </w:pPr>
            <w:r>
              <w:rPr>
                <w:spacing w:val="-2"/>
                <w:sz w:val="21"/>
              </w:rPr>
              <w:t>2,200</w:t>
            </w:r>
          </w:p>
        </w:tc>
        <w:tc>
          <w:tcPr>
            <w:tcW w:w="1202" w:type="dxa"/>
          </w:tcPr>
          <w:p w:rsidR="003F5784" w14:paraId="02CDFE5D" w14:textId="77777777">
            <w:pPr>
              <w:pStyle w:val="TableParagraph"/>
              <w:ind w:right="135"/>
              <w:rPr>
                <w:sz w:val="21"/>
              </w:rPr>
            </w:pPr>
            <w:r>
              <w:rPr>
                <w:spacing w:val="-4"/>
                <w:sz w:val="21"/>
              </w:rPr>
              <w:t>1.99</w:t>
            </w:r>
          </w:p>
        </w:tc>
        <w:tc>
          <w:tcPr>
            <w:tcW w:w="1738" w:type="dxa"/>
          </w:tcPr>
          <w:p w:rsidR="003F5784" w14:paraId="33A3DA0D" w14:textId="77777777">
            <w:pPr>
              <w:pStyle w:val="TableParagraph"/>
              <w:ind w:right="153"/>
              <w:rPr>
                <w:sz w:val="21"/>
              </w:rPr>
            </w:pPr>
            <w:r>
              <w:rPr>
                <w:spacing w:val="-2"/>
                <w:sz w:val="21"/>
              </w:rPr>
              <w:t>85.29</w:t>
            </w:r>
          </w:p>
        </w:tc>
        <w:tc>
          <w:tcPr>
            <w:tcW w:w="1733" w:type="dxa"/>
          </w:tcPr>
          <w:p w:rsidR="003F5784" w14:paraId="2FF0FB45" w14:textId="77777777">
            <w:pPr>
              <w:pStyle w:val="TableParagraph"/>
              <w:ind w:right="120"/>
              <w:rPr>
                <w:sz w:val="21"/>
              </w:rPr>
            </w:pPr>
            <w:r>
              <w:rPr>
                <w:spacing w:val="-4"/>
                <w:sz w:val="21"/>
              </w:rPr>
              <w:t>4.37</w:t>
            </w:r>
          </w:p>
        </w:tc>
      </w:tr>
      <w:tr w14:paraId="21614D95" w14:textId="77777777">
        <w:tblPrEx>
          <w:tblW w:w="0" w:type="auto"/>
          <w:tblInd w:w="482" w:type="dxa"/>
          <w:tblLayout w:type="fixed"/>
          <w:tblCellMar>
            <w:left w:w="0" w:type="dxa"/>
            <w:right w:w="0" w:type="dxa"/>
          </w:tblCellMar>
          <w:tblLook w:val="01E0"/>
        </w:tblPrEx>
        <w:trPr>
          <w:trHeight w:val="286"/>
        </w:trPr>
        <w:tc>
          <w:tcPr>
            <w:tcW w:w="2693" w:type="dxa"/>
          </w:tcPr>
          <w:p w:rsidR="003F5784" w14:paraId="32C5010C" w14:textId="77777777">
            <w:pPr>
              <w:pStyle w:val="TableParagraph"/>
              <w:ind w:left="120"/>
              <w:jc w:val="left"/>
              <w:rPr>
                <w:sz w:val="21"/>
              </w:rPr>
            </w:pPr>
            <w:r>
              <w:rPr>
                <w:spacing w:val="-2"/>
                <w:sz w:val="21"/>
              </w:rPr>
              <w:t>Idaho</w:t>
            </w:r>
          </w:p>
        </w:tc>
        <w:tc>
          <w:tcPr>
            <w:tcW w:w="1272" w:type="dxa"/>
          </w:tcPr>
          <w:p w:rsidR="003F5784" w14:paraId="4AC5E7ED" w14:textId="77777777">
            <w:pPr>
              <w:pStyle w:val="TableParagraph"/>
              <w:ind w:right="133"/>
              <w:rPr>
                <w:sz w:val="21"/>
              </w:rPr>
            </w:pPr>
            <w:r>
              <w:rPr>
                <w:spacing w:val="-5"/>
                <w:sz w:val="21"/>
              </w:rPr>
              <w:t>90</w:t>
            </w:r>
          </w:p>
        </w:tc>
        <w:tc>
          <w:tcPr>
            <w:tcW w:w="2055" w:type="dxa"/>
          </w:tcPr>
          <w:p w:rsidR="003F5784" w14:paraId="255F3C47" w14:textId="77777777">
            <w:pPr>
              <w:pStyle w:val="TableParagraph"/>
              <w:ind w:right="134"/>
              <w:rPr>
                <w:sz w:val="21"/>
              </w:rPr>
            </w:pPr>
            <w:r>
              <w:rPr>
                <w:spacing w:val="-2"/>
                <w:sz w:val="21"/>
              </w:rPr>
              <w:t>100.00</w:t>
            </w:r>
          </w:p>
        </w:tc>
        <w:tc>
          <w:tcPr>
            <w:tcW w:w="1990" w:type="dxa"/>
          </w:tcPr>
          <w:p w:rsidR="003F5784" w14:paraId="519826B7" w14:textId="77777777">
            <w:pPr>
              <w:pStyle w:val="TableParagraph"/>
              <w:ind w:right="166"/>
              <w:rPr>
                <w:sz w:val="21"/>
              </w:rPr>
            </w:pPr>
            <w:r>
              <w:rPr>
                <w:spacing w:val="-2"/>
                <w:sz w:val="21"/>
              </w:rPr>
              <w:t>100.00</w:t>
            </w:r>
          </w:p>
        </w:tc>
        <w:tc>
          <w:tcPr>
            <w:tcW w:w="1304" w:type="dxa"/>
          </w:tcPr>
          <w:p w:rsidR="003F5784" w14:paraId="551219CA" w14:textId="77777777">
            <w:pPr>
              <w:pStyle w:val="TableParagraph"/>
              <w:ind w:right="225"/>
              <w:rPr>
                <w:sz w:val="21"/>
              </w:rPr>
            </w:pPr>
            <w:r>
              <w:rPr>
                <w:spacing w:val="-2"/>
                <w:sz w:val="21"/>
              </w:rPr>
              <w:t>2,200</w:t>
            </w:r>
          </w:p>
        </w:tc>
        <w:tc>
          <w:tcPr>
            <w:tcW w:w="1202" w:type="dxa"/>
          </w:tcPr>
          <w:p w:rsidR="003F5784" w14:paraId="32743605" w14:textId="77777777">
            <w:pPr>
              <w:pStyle w:val="TableParagraph"/>
              <w:ind w:right="135"/>
              <w:rPr>
                <w:sz w:val="21"/>
              </w:rPr>
            </w:pPr>
            <w:r>
              <w:rPr>
                <w:spacing w:val="-4"/>
                <w:sz w:val="21"/>
              </w:rPr>
              <w:t>1.22</w:t>
            </w:r>
          </w:p>
        </w:tc>
        <w:tc>
          <w:tcPr>
            <w:tcW w:w="1738" w:type="dxa"/>
          </w:tcPr>
          <w:p w:rsidR="003F5784" w14:paraId="2F493D47" w14:textId="77777777">
            <w:pPr>
              <w:pStyle w:val="TableParagraph"/>
              <w:ind w:right="153"/>
              <w:rPr>
                <w:sz w:val="21"/>
              </w:rPr>
            </w:pPr>
            <w:r>
              <w:rPr>
                <w:spacing w:val="-2"/>
                <w:sz w:val="21"/>
              </w:rPr>
              <w:t>90.48</w:t>
            </w:r>
          </w:p>
        </w:tc>
        <w:tc>
          <w:tcPr>
            <w:tcW w:w="1733" w:type="dxa"/>
          </w:tcPr>
          <w:p w:rsidR="003F5784" w14:paraId="27C09001" w14:textId="77777777">
            <w:pPr>
              <w:pStyle w:val="TableParagraph"/>
              <w:ind w:right="120"/>
              <w:rPr>
                <w:sz w:val="21"/>
              </w:rPr>
            </w:pPr>
            <w:r>
              <w:rPr>
                <w:spacing w:val="-2"/>
                <w:sz w:val="21"/>
              </w:rPr>
              <w:t>11.37</w:t>
            </w:r>
          </w:p>
        </w:tc>
      </w:tr>
      <w:tr w14:paraId="0870696E" w14:textId="77777777">
        <w:tblPrEx>
          <w:tblW w:w="0" w:type="auto"/>
          <w:tblInd w:w="482" w:type="dxa"/>
          <w:tblLayout w:type="fixed"/>
          <w:tblCellMar>
            <w:left w:w="0" w:type="dxa"/>
            <w:right w:w="0" w:type="dxa"/>
          </w:tblCellMar>
          <w:tblLook w:val="01E0"/>
        </w:tblPrEx>
        <w:trPr>
          <w:trHeight w:val="286"/>
        </w:trPr>
        <w:tc>
          <w:tcPr>
            <w:tcW w:w="2693" w:type="dxa"/>
          </w:tcPr>
          <w:p w:rsidR="003F5784" w14:paraId="2CEA1117" w14:textId="77777777">
            <w:pPr>
              <w:pStyle w:val="TableParagraph"/>
              <w:ind w:left="120"/>
              <w:jc w:val="left"/>
              <w:rPr>
                <w:sz w:val="21"/>
              </w:rPr>
            </w:pPr>
            <w:r>
              <w:rPr>
                <w:spacing w:val="-2"/>
                <w:sz w:val="21"/>
              </w:rPr>
              <w:t>Illinois</w:t>
            </w:r>
          </w:p>
        </w:tc>
        <w:tc>
          <w:tcPr>
            <w:tcW w:w="1272" w:type="dxa"/>
          </w:tcPr>
          <w:p w:rsidR="003F5784" w14:paraId="2A9E6F88" w14:textId="77777777">
            <w:pPr>
              <w:pStyle w:val="TableParagraph"/>
              <w:ind w:right="133"/>
              <w:rPr>
                <w:sz w:val="21"/>
              </w:rPr>
            </w:pPr>
            <w:r>
              <w:rPr>
                <w:spacing w:val="-5"/>
                <w:sz w:val="21"/>
              </w:rPr>
              <w:t>140</w:t>
            </w:r>
          </w:p>
        </w:tc>
        <w:tc>
          <w:tcPr>
            <w:tcW w:w="2055" w:type="dxa"/>
          </w:tcPr>
          <w:p w:rsidR="003F5784" w14:paraId="1B297586" w14:textId="77777777">
            <w:pPr>
              <w:pStyle w:val="TableParagraph"/>
              <w:ind w:right="134"/>
              <w:rPr>
                <w:sz w:val="21"/>
              </w:rPr>
            </w:pPr>
            <w:r>
              <w:rPr>
                <w:spacing w:val="-2"/>
                <w:sz w:val="21"/>
              </w:rPr>
              <w:t>100.00</w:t>
            </w:r>
          </w:p>
        </w:tc>
        <w:tc>
          <w:tcPr>
            <w:tcW w:w="1990" w:type="dxa"/>
          </w:tcPr>
          <w:p w:rsidR="003F5784" w14:paraId="208E433D" w14:textId="77777777">
            <w:pPr>
              <w:pStyle w:val="TableParagraph"/>
              <w:ind w:right="166"/>
              <w:rPr>
                <w:sz w:val="21"/>
              </w:rPr>
            </w:pPr>
            <w:r>
              <w:rPr>
                <w:spacing w:val="-2"/>
                <w:sz w:val="21"/>
              </w:rPr>
              <w:t>100.00</w:t>
            </w:r>
          </w:p>
        </w:tc>
        <w:tc>
          <w:tcPr>
            <w:tcW w:w="1304" w:type="dxa"/>
          </w:tcPr>
          <w:p w:rsidR="003F5784" w14:paraId="0CB63F6C" w14:textId="77777777">
            <w:pPr>
              <w:pStyle w:val="TableParagraph"/>
              <w:ind w:right="225"/>
              <w:rPr>
                <w:sz w:val="21"/>
              </w:rPr>
            </w:pPr>
            <w:r>
              <w:rPr>
                <w:spacing w:val="-2"/>
                <w:sz w:val="21"/>
              </w:rPr>
              <w:t>3,300</w:t>
            </w:r>
          </w:p>
        </w:tc>
        <w:tc>
          <w:tcPr>
            <w:tcW w:w="1202" w:type="dxa"/>
          </w:tcPr>
          <w:p w:rsidR="003F5784" w14:paraId="46ABD7EB" w14:textId="77777777">
            <w:pPr>
              <w:pStyle w:val="TableParagraph"/>
              <w:ind w:right="135"/>
              <w:rPr>
                <w:sz w:val="21"/>
              </w:rPr>
            </w:pPr>
            <w:r>
              <w:rPr>
                <w:spacing w:val="-4"/>
                <w:sz w:val="21"/>
              </w:rPr>
              <w:t>1.12</w:t>
            </w:r>
          </w:p>
        </w:tc>
        <w:tc>
          <w:tcPr>
            <w:tcW w:w="1738" w:type="dxa"/>
          </w:tcPr>
          <w:p w:rsidR="003F5784" w14:paraId="4987295D" w14:textId="77777777">
            <w:pPr>
              <w:pStyle w:val="TableParagraph"/>
              <w:ind w:right="153"/>
              <w:rPr>
                <w:sz w:val="21"/>
              </w:rPr>
            </w:pPr>
            <w:r>
              <w:rPr>
                <w:spacing w:val="-2"/>
                <w:sz w:val="21"/>
              </w:rPr>
              <w:t>87.95</w:t>
            </w:r>
          </w:p>
        </w:tc>
        <w:tc>
          <w:tcPr>
            <w:tcW w:w="1733" w:type="dxa"/>
          </w:tcPr>
          <w:p w:rsidR="003F5784" w14:paraId="614AAA34" w14:textId="77777777">
            <w:pPr>
              <w:pStyle w:val="TableParagraph"/>
              <w:ind w:right="120"/>
              <w:rPr>
                <w:sz w:val="21"/>
              </w:rPr>
            </w:pPr>
            <w:r>
              <w:rPr>
                <w:spacing w:val="-2"/>
                <w:sz w:val="21"/>
              </w:rPr>
              <w:t>16.25</w:t>
            </w:r>
          </w:p>
        </w:tc>
      </w:tr>
      <w:tr w14:paraId="2E31471A" w14:textId="77777777">
        <w:tblPrEx>
          <w:tblW w:w="0" w:type="auto"/>
          <w:tblInd w:w="482" w:type="dxa"/>
          <w:tblLayout w:type="fixed"/>
          <w:tblCellMar>
            <w:left w:w="0" w:type="dxa"/>
            <w:right w:w="0" w:type="dxa"/>
          </w:tblCellMar>
          <w:tblLook w:val="01E0"/>
        </w:tblPrEx>
        <w:trPr>
          <w:trHeight w:val="286"/>
        </w:trPr>
        <w:tc>
          <w:tcPr>
            <w:tcW w:w="2693" w:type="dxa"/>
          </w:tcPr>
          <w:p w:rsidR="003F5784" w14:paraId="5B8960F3" w14:textId="77777777">
            <w:pPr>
              <w:pStyle w:val="TableParagraph"/>
              <w:ind w:left="120"/>
              <w:jc w:val="left"/>
              <w:rPr>
                <w:sz w:val="21"/>
              </w:rPr>
            </w:pPr>
            <w:r>
              <w:rPr>
                <w:spacing w:val="-2"/>
                <w:sz w:val="21"/>
              </w:rPr>
              <w:t>Indiana</w:t>
            </w:r>
          </w:p>
        </w:tc>
        <w:tc>
          <w:tcPr>
            <w:tcW w:w="1272" w:type="dxa"/>
          </w:tcPr>
          <w:p w:rsidR="003F5784" w14:paraId="405928C3" w14:textId="77777777">
            <w:pPr>
              <w:pStyle w:val="TableParagraph"/>
              <w:ind w:right="133"/>
              <w:rPr>
                <w:sz w:val="21"/>
              </w:rPr>
            </w:pPr>
            <w:r>
              <w:rPr>
                <w:spacing w:val="-5"/>
                <w:sz w:val="21"/>
              </w:rPr>
              <w:t>90</w:t>
            </w:r>
          </w:p>
        </w:tc>
        <w:tc>
          <w:tcPr>
            <w:tcW w:w="2055" w:type="dxa"/>
          </w:tcPr>
          <w:p w:rsidR="003F5784" w14:paraId="377D9C8E" w14:textId="77777777">
            <w:pPr>
              <w:pStyle w:val="TableParagraph"/>
              <w:ind w:right="134"/>
              <w:rPr>
                <w:sz w:val="21"/>
              </w:rPr>
            </w:pPr>
            <w:r>
              <w:rPr>
                <w:spacing w:val="-2"/>
                <w:sz w:val="21"/>
              </w:rPr>
              <w:t>98.83</w:t>
            </w:r>
          </w:p>
        </w:tc>
        <w:tc>
          <w:tcPr>
            <w:tcW w:w="1990" w:type="dxa"/>
          </w:tcPr>
          <w:p w:rsidR="003F5784" w14:paraId="68EBB3A6" w14:textId="77777777">
            <w:pPr>
              <w:pStyle w:val="TableParagraph"/>
              <w:ind w:right="166"/>
              <w:rPr>
                <w:sz w:val="21"/>
              </w:rPr>
            </w:pPr>
            <w:r>
              <w:rPr>
                <w:spacing w:val="-2"/>
                <w:sz w:val="21"/>
              </w:rPr>
              <w:t>99.41</w:t>
            </w:r>
          </w:p>
        </w:tc>
        <w:tc>
          <w:tcPr>
            <w:tcW w:w="1304" w:type="dxa"/>
          </w:tcPr>
          <w:p w:rsidR="003F5784" w14:paraId="3557CCC2" w14:textId="77777777">
            <w:pPr>
              <w:pStyle w:val="TableParagraph"/>
              <w:ind w:right="225"/>
              <w:rPr>
                <w:sz w:val="21"/>
              </w:rPr>
            </w:pPr>
            <w:r>
              <w:rPr>
                <w:spacing w:val="-2"/>
                <w:sz w:val="21"/>
              </w:rPr>
              <w:t>2,000</w:t>
            </w:r>
          </w:p>
        </w:tc>
        <w:tc>
          <w:tcPr>
            <w:tcW w:w="1202" w:type="dxa"/>
          </w:tcPr>
          <w:p w:rsidR="003F5784" w14:paraId="04570612" w14:textId="77777777">
            <w:pPr>
              <w:pStyle w:val="TableParagraph"/>
              <w:ind w:right="135"/>
              <w:rPr>
                <w:sz w:val="21"/>
              </w:rPr>
            </w:pPr>
            <w:r>
              <w:rPr>
                <w:spacing w:val="-4"/>
                <w:sz w:val="21"/>
              </w:rPr>
              <w:t>0.73</w:t>
            </w:r>
          </w:p>
        </w:tc>
        <w:tc>
          <w:tcPr>
            <w:tcW w:w="1738" w:type="dxa"/>
          </w:tcPr>
          <w:p w:rsidR="003F5784" w14:paraId="1990A0FB" w14:textId="77777777">
            <w:pPr>
              <w:pStyle w:val="TableParagraph"/>
              <w:ind w:right="153"/>
              <w:rPr>
                <w:sz w:val="21"/>
              </w:rPr>
            </w:pPr>
            <w:r>
              <w:rPr>
                <w:spacing w:val="-2"/>
                <w:sz w:val="21"/>
              </w:rPr>
              <w:t>90.54</w:t>
            </w:r>
          </w:p>
        </w:tc>
        <w:tc>
          <w:tcPr>
            <w:tcW w:w="1733" w:type="dxa"/>
          </w:tcPr>
          <w:p w:rsidR="003F5784" w14:paraId="5C7C78C0" w14:textId="77777777">
            <w:pPr>
              <w:pStyle w:val="TableParagraph"/>
              <w:ind w:right="120"/>
              <w:rPr>
                <w:sz w:val="21"/>
              </w:rPr>
            </w:pPr>
            <w:r>
              <w:rPr>
                <w:spacing w:val="-2"/>
                <w:sz w:val="21"/>
              </w:rPr>
              <w:t>18.17</w:t>
            </w:r>
          </w:p>
        </w:tc>
      </w:tr>
      <w:tr w14:paraId="279F77D2" w14:textId="77777777">
        <w:tblPrEx>
          <w:tblW w:w="0" w:type="auto"/>
          <w:tblInd w:w="482" w:type="dxa"/>
          <w:tblLayout w:type="fixed"/>
          <w:tblCellMar>
            <w:left w:w="0" w:type="dxa"/>
            <w:right w:w="0" w:type="dxa"/>
          </w:tblCellMar>
          <w:tblLook w:val="01E0"/>
        </w:tblPrEx>
        <w:trPr>
          <w:trHeight w:val="286"/>
        </w:trPr>
        <w:tc>
          <w:tcPr>
            <w:tcW w:w="2693" w:type="dxa"/>
          </w:tcPr>
          <w:p w:rsidR="003F5784" w14:paraId="338172C2" w14:textId="77777777">
            <w:pPr>
              <w:pStyle w:val="TableParagraph"/>
              <w:ind w:left="120"/>
              <w:jc w:val="left"/>
              <w:rPr>
                <w:sz w:val="21"/>
              </w:rPr>
            </w:pPr>
            <w:r>
              <w:rPr>
                <w:spacing w:val="-4"/>
                <w:sz w:val="21"/>
              </w:rPr>
              <w:t>Iowa</w:t>
            </w:r>
          </w:p>
        </w:tc>
        <w:tc>
          <w:tcPr>
            <w:tcW w:w="1272" w:type="dxa"/>
          </w:tcPr>
          <w:p w:rsidR="003F5784" w14:paraId="081C4CCE" w14:textId="77777777">
            <w:pPr>
              <w:pStyle w:val="TableParagraph"/>
              <w:ind w:right="133"/>
              <w:rPr>
                <w:sz w:val="21"/>
              </w:rPr>
            </w:pPr>
            <w:r>
              <w:rPr>
                <w:spacing w:val="-5"/>
                <w:sz w:val="21"/>
              </w:rPr>
              <w:t>90</w:t>
            </w:r>
          </w:p>
        </w:tc>
        <w:tc>
          <w:tcPr>
            <w:tcW w:w="2055" w:type="dxa"/>
          </w:tcPr>
          <w:p w:rsidR="003F5784" w14:paraId="40BB2386" w14:textId="77777777">
            <w:pPr>
              <w:pStyle w:val="TableParagraph"/>
              <w:ind w:right="134"/>
              <w:rPr>
                <w:sz w:val="21"/>
              </w:rPr>
            </w:pPr>
            <w:r>
              <w:rPr>
                <w:spacing w:val="-2"/>
                <w:sz w:val="21"/>
              </w:rPr>
              <w:t>100.00</w:t>
            </w:r>
          </w:p>
        </w:tc>
        <w:tc>
          <w:tcPr>
            <w:tcW w:w="1990" w:type="dxa"/>
          </w:tcPr>
          <w:p w:rsidR="003F5784" w14:paraId="664E975B" w14:textId="77777777">
            <w:pPr>
              <w:pStyle w:val="TableParagraph"/>
              <w:ind w:right="166"/>
              <w:rPr>
                <w:sz w:val="21"/>
              </w:rPr>
            </w:pPr>
            <w:r>
              <w:rPr>
                <w:spacing w:val="-2"/>
                <w:sz w:val="21"/>
              </w:rPr>
              <w:t>100.00</w:t>
            </w:r>
          </w:p>
        </w:tc>
        <w:tc>
          <w:tcPr>
            <w:tcW w:w="1304" w:type="dxa"/>
          </w:tcPr>
          <w:p w:rsidR="003F5784" w14:paraId="7011696E" w14:textId="77777777">
            <w:pPr>
              <w:pStyle w:val="TableParagraph"/>
              <w:ind w:right="225"/>
              <w:rPr>
                <w:sz w:val="21"/>
              </w:rPr>
            </w:pPr>
            <w:r>
              <w:rPr>
                <w:spacing w:val="-2"/>
                <w:sz w:val="21"/>
              </w:rPr>
              <w:t>2,100</w:t>
            </w:r>
          </w:p>
        </w:tc>
        <w:tc>
          <w:tcPr>
            <w:tcW w:w="1202" w:type="dxa"/>
          </w:tcPr>
          <w:p w:rsidR="003F5784" w14:paraId="670685F6" w14:textId="77777777">
            <w:pPr>
              <w:pStyle w:val="TableParagraph"/>
              <w:ind w:right="135"/>
              <w:rPr>
                <w:sz w:val="21"/>
              </w:rPr>
            </w:pPr>
            <w:r>
              <w:rPr>
                <w:spacing w:val="-4"/>
                <w:sz w:val="21"/>
              </w:rPr>
              <w:t>1.48</w:t>
            </w:r>
          </w:p>
        </w:tc>
        <w:tc>
          <w:tcPr>
            <w:tcW w:w="1738" w:type="dxa"/>
          </w:tcPr>
          <w:p w:rsidR="003F5784" w14:paraId="004E28E1" w14:textId="77777777">
            <w:pPr>
              <w:pStyle w:val="TableParagraph"/>
              <w:ind w:right="153"/>
              <w:rPr>
                <w:sz w:val="21"/>
              </w:rPr>
            </w:pPr>
            <w:r>
              <w:rPr>
                <w:spacing w:val="-2"/>
                <w:sz w:val="21"/>
              </w:rPr>
              <w:t>90.13</w:t>
            </w:r>
          </w:p>
        </w:tc>
        <w:tc>
          <w:tcPr>
            <w:tcW w:w="1733" w:type="dxa"/>
          </w:tcPr>
          <w:p w:rsidR="003F5784" w14:paraId="5182F28A" w14:textId="77777777">
            <w:pPr>
              <w:pStyle w:val="TableParagraph"/>
              <w:ind w:right="120"/>
              <w:rPr>
                <w:sz w:val="21"/>
              </w:rPr>
            </w:pPr>
            <w:r>
              <w:rPr>
                <w:spacing w:val="-2"/>
                <w:sz w:val="21"/>
              </w:rPr>
              <w:t>15.07</w:t>
            </w:r>
          </w:p>
        </w:tc>
      </w:tr>
      <w:tr w14:paraId="3D5D50E4" w14:textId="77777777">
        <w:tblPrEx>
          <w:tblW w:w="0" w:type="auto"/>
          <w:tblInd w:w="482" w:type="dxa"/>
          <w:tblLayout w:type="fixed"/>
          <w:tblCellMar>
            <w:left w:w="0" w:type="dxa"/>
            <w:right w:w="0" w:type="dxa"/>
          </w:tblCellMar>
          <w:tblLook w:val="01E0"/>
        </w:tblPrEx>
        <w:trPr>
          <w:trHeight w:val="286"/>
        </w:trPr>
        <w:tc>
          <w:tcPr>
            <w:tcW w:w="2693" w:type="dxa"/>
          </w:tcPr>
          <w:p w:rsidR="003F5784" w14:paraId="2BC4736E" w14:textId="77777777">
            <w:pPr>
              <w:pStyle w:val="TableParagraph"/>
              <w:ind w:left="120"/>
              <w:jc w:val="left"/>
              <w:rPr>
                <w:sz w:val="21"/>
              </w:rPr>
            </w:pPr>
            <w:r>
              <w:rPr>
                <w:spacing w:val="-2"/>
                <w:sz w:val="21"/>
              </w:rPr>
              <w:t>Kansas</w:t>
            </w:r>
          </w:p>
        </w:tc>
        <w:tc>
          <w:tcPr>
            <w:tcW w:w="1272" w:type="dxa"/>
          </w:tcPr>
          <w:p w:rsidR="003F5784" w14:paraId="2A8D0905" w14:textId="77777777">
            <w:pPr>
              <w:pStyle w:val="TableParagraph"/>
              <w:ind w:right="133"/>
              <w:rPr>
                <w:sz w:val="21"/>
              </w:rPr>
            </w:pPr>
            <w:r>
              <w:rPr>
                <w:spacing w:val="-5"/>
                <w:sz w:val="21"/>
              </w:rPr>
              <w:t>90</w:t>
            </w:r>
          </w:p>
        </w:tc>
        <w:tc>
          <w:tcPr>
            <w:tcW w:w="2055" w:type="dxa"/>
          </w:tcPr>
          <w:p w:rsidR="003F5784" w14:paraId="7F9FD848" w14:textId="77777777">
            <w:pPr>
              <w:pStyle w:val="TableParagraph"/>
              <w:ind w:right="134"/>
              <w:rPr>
                <w:sz w:val="21"/>
              </w:rPr>
            </w:pPr>
            <w:r>
              <w:rPr>
                <w:spacing w:val="-2"/>
                <w:sz w:val="21"/>
              </w:rPr>
              <w:t>100.00</w:t>
            </w:r>
          </w:p>
        </w:tc>
        <w:tc>
          <w:tcPr>
            <w:tcW w:w="1990" w:type="dxa"/>
          </w:tcPr>
          <w:p w:rsidR="003F5784" w14:paraId="32394FB2" w14:textId="77777777">
            <w:pPr>
              <w:pStyle w:val="TableParagraph"/>
              <w:ind w:right="166"/>
              <w:rPr>
                <w:sz w:val="21"/>
              </w:rPr>
            </w:pPr>
            <w:r>
              <w:rPr>
                <w:spacing w:val="-2"/>
                <w:sz w:val="21"/>
              </w:rPr>
              <w:t>100.00</w:t>
            </w:r>
          </w:p>
        </w:tc>
        <w:tc>
          <w:tcPr>
            <w:tcW w:w="1304" w:type="dxa"/>
          </w:tcPr>
          <w:p w:rsidR="003F5784" w14:paraId="5BB33E26" w14:textId="77777777">
            <w:pPr>
              <w:pStyle w:val="TableParagraph"/>
              <w:ind w:right="225"/>
              <w:rPr>
                <w:sz w:val="21"/>
              </w:rPr>
            </w:pPr>
            <w:r>
              <w:rPr>
                <w:spacing w:val="-2"/>
                <w:sz w:val="21"/>
              </w:rPr>
              <w:t>2,200</w:t>
            </w:r>
          </w:p>
        </w:tc>
        <w:tc>
          <w:tcPr>
            <w:tcW w:w="1202" w:type="dxa"/>
          </w:tcPr>
          <w:p w:rsidR="003F5784" w14:paraId="06641385" w14:textId="77777777">
            <w:pPr>
              <w:pStyle w:val="TableParagraph"/>
              <w:ind w:right="135"/>
              <w:rPr>
                <w:sz w:val="21"/>
              </w:rPr>
            </w:pPr>
            <w:r>
              <w:rPr>
                <w:spacing w:val="-4"/>
                <w:sz w:val="21"/>
              </w:rPr>
              <w:t>1.32</w:t>
            </w:r>
          </w:p>
        </w:tc>
        <w:tc>
          <w:tcPr>
            <w:tcW w:w="1738" w:type="dxa"/>
          </w:tcPr>
          <w:p w:rsidR="003F5784" w14:paraId="484D9561" w14:textId="77777777">
            <w:pPr>
              <w:pStyle w:val="TableParagraph"/>
              <w:ind w:right="153"/>
              <w:rPr>
                <w:sz w:val="21"/>
              </w:rPr>
            </w:pPr>
            <w:r>
              <w:rPr>
                <w:spacing w:val="-2"/>
                <w:sz w:val="21"/>
              </w:rPr>
              <w:t>91.03</w:t>
            </w:r>
          </w:p>
        </w:tc>
        <w:tc>
          <w:tcPr>
            <w:tcW w:w="1733" w:type="dxa"/>
          </w:tcPr>
          <w:p w:rsidR="003F5784" w14:paraId="63688FB0" w14:textId="77777777">
            <w:pPr>
              <w:pStyle w:val="TableParagraph"/>
              <w:ind w:right="120"/>
              <w:rPr>
                <w:sz w:val="21"/>
              </w:rPr>
            </w:pPr>
            <w:r>
              <w:rPr>
                <w:spacing w:val="-2"/>
                <w:sz w:val="21"/>
              </w:rPr>
              <w:t>10.74</w:t>
            </w:r>
          </w:p>
        </w:tc>
      </w:tr>
      <w:tr w14:paraId="4BDD16BC" w14:textId="77777777">
        <w:tblPrEx>
          <w:tblW w:w="0" w:type="auto"/>
          <w:tblInd w:w="482" w:type="dxa"/>
          <w:tblLayout w:type="fixed"/>
          <w:tblCellMar>
            <w:left w:w="0" w:type="dxa"/>
            <w:right w:w="0" w:type="dxa"/>
          </w:tblCellMar>
          <w:tblLook w:val="01E0"/>
        </w:tblPrEx>
        <w:trPr>
          <w:trHeight w:val="286"/>
        </w:trPr>
        <w:tc>
          <w:tcPr>
            <w:tcW w:w="2693" w:type="dxa"/>
          </w:tcPr>
          <w:p w:rsidR="003F5784" w14:paraId="3FF521A1" w14:textId="77777777">
            <w:pPr>
              <w:pStyle w:val="TableParagraph"/>
              <w:ind w:left="120"/>
              <w:jc w:val="left"/>
              <w:rPr>
                <w:sz w:val="21"/>
              </w:rPr>
            </w:pPr>
            <w:r>
              <w:rPr>
                <w:spacing w:val="-2"/>
                <w:sz w:val="21"/>
              </w:rPr>
              <w:t>Kentucky</w:t>
            </w:r>
          </w:p>
        </w:tc>
        <w:tc>
          <w:tcPr>
            <w:tcW w:w="1272" w:type="dxa"/>
          </w:tcPr>
          <w:p w:rsidR="003F5784" w14:paraId="3A17FF6C" w14:textId="77777777">
            <w:pPr>
              <w:pStyle w:val="TableParagraph"/>
              <w:ind w:right="133"/>
              <w:rPr>
                <w:sz w:val="21"/>
              </w:rPr>
            </w:pPr>
            <w:r>
              <w:rPr>
                <w:spacing w:val="-5"/>
                <w:sz w:val="21"/>
              </w:rPr>
              <w:t>110</w:t>
            </w:r>
          </w:p>
        </w:tc>
        <w:tc>
          <w:tcPr>
            <w:tcW w:w="2055" w:type="dxa"/>
          </w:tcPr>
          <w:p w:rsidR="003F5784" w14:paraId="45AE9538" w14:textId="77777777">
            <w:pPr>
              <w:pStyle w:val="TableParagraph"/>
              <w:ind w:right="134"/>
              <w:rPr>
                <w:sz w:val="21"/>
              </w:rPr>
            </w:pPr>
            <w:r>
              <w:rPr>
                <w:spacing w:val="-2"/>
                <w:sz w:val="21"/>
              </w:rPr>
              <w:t>100.00</w:t>
            </w:r>
          </w:p>
        </w:tc>
        <w:tc>
          <w:tcPr>
            <w:tcW w:w="1990" w:type="dxa"/>
          </w:tcPr>
          <w:p w:rsidR="003F5784" w14:paraId="559F6E05" w14:textId="77777777">
            <w:pPr>
              <w:pStyle w:val="TableParagraph"/>
              <w:ind w:right="166"/>
              <w:rPr>
                <w:sz w:val="21"/>
              </w:rPr>
            </w:pPr>
            <w:r>
              <w:rPr>
                <w:spacing w:val="-2"/>
                <w:sz w:val="21"/>
              </w:rPr>
              <w:t>100.00</w:t>
            </w:r>
          </w:p>
        </w:tc>
        <w:tc>
          <w:tcPr>
            <w:tcW w:w="1304" w:type="dxa"/>
          </w:tcPr>
          <w:p w:rsidR="003F5784" w14:paraId="604C8623" w14:textId="77777777">
            <w:pPr>
              <w:pStyle w:val="TableParagraph"/>
              <w:ind w:right="225"/>
              <w:rPr>
                <w:sz w:val="21"/>
              </w:rPr>
            </w:pPr>
            <w:r>
              <w:rPr>
                <w:spacing w:val="-2"/>
                <w:sz w:val="21"/>
              </w:rPr>
              <w:t>2,800</w:t>
            </w:r>
          </w:p>
        </w:tc>
        <w:tc>
          <w:tcPr>
            <w:tcW w:w="1202" w:type="dxa"/>
          </w:tcPr>
          <w:p w:rsidR="003F5784" w14:paraId="72C2E220" w14:textId="77777777">
            <w:pPr>
              <w:pStyle w:val="TableParagraph"/>
              <w:ind w:right="135"/>
              <w:rPr>
                <w:sz w:val="21"/>
              </w:rPr>
            </w:pPr>
            <w:r>
              <w:rPr>
                <w:spacing w:val="-4"/>
                <w:sz w:val="21"/>
              </w:rPr>
              <w:t>2.32</w:t>
            </w:r>
          </w:p>
        </w:tc>
        <w:tc>
          <w:tcPr>
            <w:tcW w:w="1738" w:type="dxa"/>
          </w:tcPr>
          <w:p w:rsidR="003F5784" w14:paraId="3969D7AB" w14:textId="77777777">
            <w:pPr>
              <w:pStyle w:val="TableParagraph"/>
              <w:ind w:right="153"/>
              <w:rPr>
                <w:sz w:val="21"/>
              </w:rPr>
            </w:pPr>
            <w:r>
              <w:rPr>
                <w:spacing w:val="-2"/>
                <w:sz w:val="21"/>
              </w:rPr>
              <w:t>89.43</w:t>
            </w:r>
          </w:p>
        </w:tc>
        <w:tc>
          <w:tcPr>
            <w:tcW w:w="1733" w:type="dxa"/>
          </w:tcPr>
          <w:p w:rsidR="003F5784" w14:paraId="2C838048" w14:textId="77777777">
            <w:pPr>
              <w:pStyle w:val="TableParagraph"/>
              <w:ind w:right="120"/>
              <w:rPr>
                <w:sz w:val="21"/>
              </w:rPr>
            </w:pPr>
            <w:r>
              <w:rPr>
                <w:spacing w:val="-2"/>
                <w:sz w:val="21"/>
              </w:rPr>
              <w:t>14.25</w:t>
            </w:r>
          </w:p>
        </w:tc>
      </w:tr>
      <w:tr w14:paraId="1AF69EC8" w14:textId="77777777">
        <w:tblPrEx>
          <w:tblW w:w="0" w:type="auto"/>
          <w:tblInd w:w="482" w:type="dxa"/>
          <w:tblLayout w:type="fixed"/>
          <w:tblCellMar>
            <w:left w:w="0" w:type="dxa"/>
            <w:right w:w="0" w:type="dxa"/>
          </w:tblCellMar>
          <w:tblLook w:val="01E0"/>
        </w:tblPrEx>
        <w:trPr>
          <w:trHeight w:val="286"/>
        </w:trPr>
        <w:tc>
          <w:tcPr>
            <w:tcW w:w="2693" w:type="dxa"/>
          </w:tcPr>
          <w:p w:rsidR="003F5784" w14:paraId="7BBDF632" w14:textId="77777777">
            <w:pPr>
              <w:pStyle w:val="TableParagraph"/>
              <w:ind w:left="120"/>
              <w:jc w:val="left"/>
              <w:rPr>
                <w:sz w:val="21"/>
              </w:rPr>
            </w:pPr>
            <w:r>
              <w:rPr>
                <w:spacing w:val="-2"/>
                <w:sz w:val="21"/>
              </w:rPr>
              <w:t>Louisiana</w:t>
            </w:r>
          </w:p>
        </w:tc>
        <w:tc>
          <w:tcPr>
            <w:tcW w:w="1272" w:type="dxa"/>
          </w:tcPr>
          <w:p w:rsidR="003F5784" w14:paraId="419ADC71" w14:textId="77777777">
            <w:pPr>
              <w:pStyle w:val="TableParagraph"/>
              <w:ind w:right="133"/>
              <w:rPr>
                <w:sz w:val="21"/>
              </w:rPr>
            </w:pPr>
            <w:r>
              <w:rPr>
                <w:spacing w:val="-5"/>
                <w:sz w:val="21"/>
              </w:rPr>
              <w:t>90</w:t>
            </w:r>
          </w:p>
        </w:tc>
        <w:tc>
          <w:tcPr>
            <w:tcW w:w="2055" w:type="dxa"/>
          </w:tcPr>
          <w:p w:rsidR="003F5784" w14:paraId="6D07B3B0" w14:textId="77777777">
            <w:pPr>
              <w:pStyle w:val="TableParagraph"/>
              <w:ind w:right="134"/>
              <w:rPr>
                <w:sz w:val="21"/>
              </w:rPr>
            </w:pPr>
            <w:r>
              <w:rPr>
                <w:spacing w:val="-2"/>
                <w:sz w:val="21"/>
              </w:rPr>
              <w:t>100.00</w:t>
            </w:r>
          </w:p>
        </w:tc>
        <w:tc>
          <w:tcPr>
            <w:tcW w:w="1990" w:type="dxa"/>
          </w:tcPr>
          <w:p w:rsidR="003F5784" w14:paraId="5B856291" w14:textId="77777777">
            <w:pPr>
              <w:pStyle w:val="TableParagraph"/>
              <w:ind w:right="166"/>
              <w:rPr>
                <w:sz w:val="21"/>
              </w:rPr>
            </w:pPr>
            <w:r>
              <w:rPr>
                <w:spacing w:val="-2"/>
                <w:sz w:val="21"/>
              </w:rPr>
              <w:t>100.00</w:t>
            </w:r>
          </w:p>
        </w:tc>
        <w:tc>
          <w:tcPr>
            <w:tcW w:w="1304" w:type="dxa"/>
          </w:tcPr>
          <w:p w:rsidR="003F5784" w14:paraId="272349CA" w14:textId="77777777">
            <w:pPr>
              <w:pStyle w:val="TableParagraph"/>
              <w:ind w:right="225"/>
              <w:rPr>
                <w:sz w:val="21"/>
              </w:rPr>
            </w:pPr>
            <w:r>
              <w:rPr>
                <w:spacing w:val="-2"/>
                <w:sz w:val="21"/>
              </w:rPr>
              <w:t>2,100</w:t>
            </w:r>
          </w:p>
        </w:tc>
        <w:tc>
          <w:tcPr>
            <w:tcW w:w="1202" w:type="dxa"/>
          </w:tcPr>
          <w:p w:rsidR="003F5784" w14:paraId="0FD2A08E" w14:textId="77777777">
            <w:pPr>
              <w:pStyle w:val="TableParagraph"/>
              <w:ind w:right="135"/>
              <w:rPr>
                <w:sz w:val="21"/>
              </w:rPr>
            </w:pPr>
            <w:r>
              <w:rPr>
                <w:spacing w:val="-4"/>
                <w:sz w:val="21"/>
              </w:rPr>
              <w:t>2.28</w:t>
            </w:r>
          </w:p>
        </w:tc>
        <w:tc>
          <w:tcPr>
            <w:tcW w:w="1738" w:type="dxa"/>
          </w:tcPr>
          <w:p w:rsidR="003F5784" w14:paraId="1E6616B8" w14:textId="77777777">
            <w:pPr>
              <w:pStyle w:val="TableParagraph"/>
              <w:ind w:right="153"/>
              <w:rPr>
                <w:sz w:val="21"/>
              </w:rPr>
            </w:pPr>
            <w:r>
              <w:rPr>
                <w:spacing w:val="-2"/>
                <w:sz w:val="21"/>
              </w:rPr>
              <w:t>89.70</w:t>
            </w:r>
          </w:p>
        </w:tc>
        <w:tc>
          <w:tcPr>
            <w:tcW w:w="1733" w:type="dxa"/>
          </w:tcPr>
          <w:p w:rsidR="003F5784" w14:paraId="4D824DFC" w14:textId="77777777">
            <w:pPr>
              <w:pStyle w:val="TableParagraph"/>
              <w:ind w:right="120"/>
              <w:rPr>
                <w:sz w:val="21"/>
              </w:rPr>
            </w:pPr>
            <w:r>
              <w:rPr>
                <w:spacing w:val="-2"/>
                <w:sz w:val="21"/>
              </w:rPr>
              <w:t>20.14</w:t>
            </w:r>
          </w:p>
        </w:tc>
      </w:tr>
      <w:tr w14:paraId="46C9E956" w14:textId="77777777">
        <w:tblPrEx>
          <w:tblW w:w="0" w:type="auto"/>
          <w:tblInd w:w="482" w:type="dxa"/>
          <w:tblLayout w:type="fixed"/>
          <w:tblCellMar>
            <w:left w:w="0" w:type="dxa"/>
            <w:right w:w="0" w:type="dxa"/>
          </w:tblCellMar>
          <w:tblLook w:val="01E0"/>
        </w:tblPrEx>
        <w:trPr>
          <w:trHeight w:val="289"/>
        </w:trPr>
        <w:tc>
          <w:tcPr>
            <w:tcW w:w="2693" w:type="dxa"/>
            <w:tcBorders>
              <w:bottom w:val="single" w:sz="18" w:space="0" w:color="800000"/>
            </w:tcBorders>
          </w:tcPr>
          <w:p w:rsidR="003F5784" w14:paraId="02361728" w14:textId="77777777">
            <w:pPr>
              <w:pStyle w:val="TableParagraph"/>
              <w:ind w:left="120"/>
              <w:jc w:val="left"/>
              <w:rPr>
                <w:sz w:val="21"/>
              </w:rPr>
            </w:pPr>
            <w:r>
              <w:rPr>
                <w:spacing w:val="-2"/>
                <w:sz w:val="21"/>
              </w:rPr>
              <w:t>Maine</w:t>
            </w:r>
          </w:p>
        </w:tc>
        <w:tc>
          <w:tcPr>
            <w:tcW w:w="1272" w:type="dxa"/>
            <w:tcBorders>
              <w:bottom w:val="single" w:sz="18" w:space="0" w:color="800000"/>
            </w:tcBorders>
          </w:tcPr>
          <w:p w:rsidR="003F5784" w14:paraId="70230B5B" w14:textId="77777777">
            <w:pPr>
              <w:pStyle w:val="TableParagraph"/>
              <w:ind w:right="133"/>
              <w:rPr>
                <w:sz w:val="21"/>
              </w:rPr>
            </w:pPr>
            <w:r>
              <w:rPr>
                <w:spacing w:val="-5"/>
                <w:sz w:val="21"/>
              </w:rPr>
              <w:t>90</w:t>
            </w:r>
          </w:p>
        </w:tc>
        <w:tc>
          <w:tcPr>
            <w:tcW w:w="2055" w:type="dxa"/>
            <w:tcBorders>
              <w:bottom w:val="single" w:sz="18" w:space="0" w:color="800000"/>
            </w:tcBorders>
          </w:tcPr>
          <w:p w:rsidR="003F5784" w14:paraId="0B779A40" w14:textId="77777777">
            <w:pPr>
              <w:pStyle w:val="TableParagraph"/>
              <w:ind w:right="134"/>
              <w:rPr>
                <w:sz w:val="21"/>
              </w:rPr>
            </w:pPr>
            <w:r>
              <w:rPr>
                <w:spacing w:val="-2"/>
                <w:sz w:val="21"/>
              </w:rPr>
              <w:t>97.56</w:t>
            </w:r>
          </w:p>
        </w:tc>
        <w:tc>
          <w:tcPr>
            <w:tcW w:w="1990" w:type="dxa"/>
            <w:tcBorders>
              <w:bottom w:val="single" w:sz="18" w:space="0" w:color="800000"/>
            </w:tcBorders>
          </w:tcPr>
          <w:p w:rsidR="003F5784" w14:paraId="06653AEE" w14:textId="77777777">
            <w:pPr>
              <w:pStyle w:val="TableParagraph"/>
              <w:ind w:right="166"/>
              <w:rPr>
                <w:sz w:val="21"/>
              </w:rPr>
            </w:pPr>
            <w:r>
              <w:rPr>
                <w:spacing w:val="-2"/>
                <w:sz w:val="21"/>
              </w:rPr>
              <w:t>96.39</w:t>
            </w:r>
          </w:p>
        </w:tc>
        <w:tc>
          <w:tcPr>
            <w:tcW w:w="1304" w:type="dxa"/>
            <w:tcBorders>
              <w:bottom w:val="single" w:sz="18" w:space="0" w:color="800000"/>
            </w:tcBorders>
          </w:tcPr>
          <w:p w:rsidR="003F5784" w14:paraId="74928058" w14:textId="77777777">
            <w:pPr>
              <w:pStyle w:val="TableParagraph"/>
              <w:ind w:right="225"/>
              <w:rPr>
                <w:sz w:val="21"/>
              </w:rPr>
            </w:pPr>
            <w:r>
              <w:rPr>
                <w:spacing w:val="-2"/>
                <w:sz w:val="21"/>
              </w:rPr>
              <w:t>2,100</w:t>
            </w:r>
          </w:p>
        </w:tc>
        <w:tc>
          <w:tcPr>
            <w:tcW w:w="1202" w:type="dxa"/>
            <w:tcBorders>
              <w:bottom w:val="single" w:sz="18" w:space="0" w:color="800000"/>
            </w:tcBorders>
          </w:tcPr>
          <w:p w:rsidR="003F5784" w14:paraId="33529F8A" w14:textId="77777777">
            <w:pPr>
              <w:pStyle w:val="TableParagraph"/>
              <w:ind w:right="135"/>
              <w:rPr>
                <w:sz w:val="21"/>
              </w:rPr>
            </w:pPr>
            <w:r>
              <w:rPr>
                <w:spacing w:val="-4"/>
                <w:sz w:val="21"/>
              </w:rPr>
              <w:t>0.99</w:t>
            </w:r>
          </w:p>
        </w:tc>
        <w:tc>
          <w:tcPr>
            <w:tcW w:w="1738" w:type="dxa"/>
            <w:tcBorders>
              <w:bottom w:val="single" w:sz="18" w:space="0" w:color="800000"/>
            </w:tcBorders>
          </w:tcPr>
          <w:p w:rsidR="003F5784" w14:paraId="03BF3672" w14:textId="77777777">
            <w:pPr>
              <w:pStyle w:val="TableParagraph"/>
              <w:ind w:right="153"/>
              <w:rPr>
                <w:sz w:val="21"/>
              </w:rPr>
            </w:pPr>
            <w:r>
              <w:rPr>
                <w:spacing w:val="-2"/>
                <w:sz w:val="21"/>
              </w:rPr>
              <w:t>86.84</w:t>
            </w:r>
          </w:p>
        </w:tc>
        <w:tc>
          <w:tcPr>
            <w:tcW w:w="1733" w:type="dxa"/>
            <w:tcBorders>
              <w:bottom w:val="single" w:sz="18" w:space="0" w:color="800000"/>
            </w:tcBorders>
          </w:tcPr>
          <w:p w:rsidR="003F5784" w14:paraId="59986790" w14:textId="77777777">
            <w:pPr>
              <w:pStyle w:val="TableParagraph"/>
              <w:ind w:right="120"/>
              <w:rPr>
                <w:sz w:val="21"/>
              </w:rPr>
            </w:pPr>
            <w:r>
              <w:rPr>
                <w:spacing w:val="-2"/>
                <w:sz w:val="21"/>
              </w:rPr>
              <w:t>18.58</w:t>
            </w:r>
          </w:p>
        </w:tc>
      </w:tr>
      <w:tr w14:paraId="014D9D2A" w14:textId="77777777">
        <w:tblPrEx>
          <w:tblW w:w="0" w:type="auto"/>
          <w:tblInd w:w="482" w:type="dxa"/>
          <w:tblLayout w:type="fixed"/>
          <w:tblCellMar>
            <w:left w:w="0" w:type="dxa"/>
            <w:right w:w="0" w:type="dxa"/>
          </w:tblCellMar>
          <w:tblLook w:val="01E0"/>
        </w:tblPrEx>
        <w:trPr>
          <w:trHeight w:val="738"/>
        </w:trPr>
        <w:tc>
          <w:tcPr>
            <w:tcW w:w="13987" w:type="dxa"/>
            <w:gridSpan w:val="8"/>
            <w:tcBorders>
              <w:top w:val="single" w:sz="18" w:space="0" w:color="800000"/>
            </w:tcBorders>
          </w:tcPr>
          <w:p w:rsidR="003F5784" w14:paraId="4B0962E8" w14:textId="77777777">
            <w:pPr>
              <w:pStyle w:val="TableParagraph"/>
              <w:spacing w:before="15" w:line="232" w:lineRule="auto"/>
              <w:ind w:left="120"/>
              <w:jc w:val="left"/>
              <w:rPr>
                <w:sz w:val="21"/>
              </w:rPr>
            </w:pPr>
            <w:r>
              <w:rPr>
                <w:position w:val="9"/>
                <w:sz w:val="17"/>
              </w:rPr>
              <w:t>1</w:t>
            </w:r>
            <w:r>
              <w:rPr>
                <w:sz w:val="21"/>
              </w:rPr>
              <w:t>1</w:t>
            </w:r>
            <w:r>
              <w:rPr>
                <w:position w:val="9"/>
                <w:sz w:val="17"/>
              </w:rPr>
              <w:t xml:space="preserve">1 </w:t>
            </w:r>
            <w:r>
              <w:rPr>
                <w:position w:val="1"/>
                <w:sz w:val="21"/>
              </w:rPr>
              <w:t>Includes</w:t>
            </w:r>
            <w:r>
              <w:rPr>
                <w:spacing w:val="-6"/>
                <w:position w:val="1"/>
                <w:sz w:val="21"/>
              </w:rPr>
              <w:t xml:space="preserve"> </w:t>
            </w:r>
            <w:r>
              <w:rPr>
                <w:position w:val="1"/>
                <w:sz w:val="21"/>
              </w:rPr>
              <w:t>national</w:t>
            </w:r>
            <w:r>
              <w:rPr>
                <w:spacing w:val="-6"/>
                <w:position w:val="1"/>
                <w:sz w:val="21"/>
              </w:rPr>
              <w:t xml:space="preserve"> </w:t>
            </w:r>
            <w:r>
              <w:rPr>
                <w:position w:val="1"/>
                <w:sz w:val="21"/>
              </w:rPr>
              <w:t>public</w:t>
            </w:r>
            <w:r>
              <w:rPr>
                <w:spacing w:val="-6"/>
                <w:position w:val="1"/>
                <w:sz w:val="21"/>
              </w:rPr>
              <w:t xml:space="preserve"> </w:t>
            </w:r>
            <w:r>
              <w:rPr>
                <w:position w:val="1"/>
                <w:sz w:val="21"/>
              </w:rPr>
              <w:t>and</w:t>
            </w:r>
            <w:r>
              <w:rPr>
                <w:spacing w:val="-6"/>
                <w:position w:val="1"/>
                <w:sz w:val="21"/>
              </w:rPr>
              <w:t xml:space="preserve"> </w:t>
            </w:r>
            <w:r>
              <w:rPr>
                <w:position w:val="1"/>
                <w:sz w:val="21"/>
              </w:rPr>
              <w:t>national</w:t>
            </w:r>
            <w:r>
              <w:rPr>
                <w:spacing w:val="-6"/>
                <w:position w:val="1"/>
                <w:sz w:val="21"/>
              </w:rPr>
              <w:t xml:space="preserve"> </w:t>
            </w:r>
            <w:r>
              <w:rPr>
                <w:position w:val="1"/>
                <w:sz w:val="21"/>
              </w:rPr>
              <w:t>private</w:t>
            </w:r>
            <w:r>
              <w:rPr>
                <w:spacing w:val="-6"/>
                <w:position w:val="1"/>
                <w:sz w:val="21"/>
              </w:rPr>
              <w:t xml:space="preserve"> </w:t>
            </w:r>
            <w:r>
              <w:rPr>
                <w:position w:val="1"/>
                <w:sz w:val="21"/>
              </w:rPr>
              <w:t>schools</w:t>
            </w:r>
            <w:r>
              <w:rPr>
                <w:spacing w:val="-6"/>
                <w:position w:val="1"/>
                <w:sz w:val="21"/>
              </w:rPr>
              <w:t xml:space="preserve"> </w:t>
            </w:r>
            <w:r>
              <w:rPr>
                <w:position w:val="1"/>
                <w:sz w:val="21"/>
              </w:rPr>
              <w:t>located</w:t>
            </w:r>
            <w:r>
              <w:rPr>
                <w:spacing w:val="-6"/>
                <w:position w:val="1"/>
                <w:sz w:val="21"/>
              </w:rPr>
              <w:t xml:space="preserve"> </w:t>
            </w:r>
            <w:r>
              <w:rPr>
                <w:position w:val="1"/>
                <w:sz w:val="21"/>
              </w:rPr>
              <w:t>in</w:t>
            </w:r>
            <w:r>
              <w:rPr>
                <w:spacing w:val="-6"/>
                <w:position w:val="1"/>
                <w:sz w:val="21"/>
              </w:rPr>
              <w:t xml:space="preserve"> </w:t>
            </w:r>
            <w:r>
              <w:rPr>
                <w:position w:val="1"/>
                <w:sz w:val="21"/>
              </w:rPr>
              <w:t>the</w:t>
            </w:r>
            <w:r>
              <w:rPr>
                <w:spacing w:val="-6"/>
                <w:position w:val="1"/>
                <w:sz w:val="21"/>
              </w:rPr>
              <w:t xml:space="preserve"> </w:t>
            </w:r>
            <w:r>
              <w:rPr>
                <w:position w:val="1"/>
                <w:sz w:val="21"/>
              </w:rPr>
              <w:t>United</w:t>
            </w:r>
            <w:r>
              <w:rPr>
                <w:spacing w:val="-6"/>
                <w:position w:val="1"/>
                <w:sz w:val="21"/>
              </w:rPr>
              <w:t xml:space="preserve"> </w:t>
            </w:r>
            <w:r>
              <w:rPr>
                <w:position w:val="1"/>
                <w:sz w:val="21"/>
              </w:rPr>
              <w:t>States</w:t>
            </w:r>
            <w:r>
              <w:rPr>
                <w:spacing w:val="-6"/>
                <w:position w:val="1"/>
                <w:sz w:val="21"/>
              </w:rPr>
              <w:t xml:space="preserve"> </w:t>
            </w:r>
            <w:r>
              <w:rPr>
                <w:position w:val="1"/>
                <w:sz w:val="21"/>
              </w:rPr>
              <w:t>and</w:t>
            </w:r>
            <w:r>
              <w:rPr>
                <w:spacing w:val="-6"/>
                <w:position w:val="1"/>
                <w:sz w:val="21"/>
              </w:rPr>
              <w:t xml:space="preserve"> </w:t>
            </w:r>
            <w:r>
              <w:rPr>
                <w:position w:val="1"/>
                <w:sz w:val="21"/>
              </w:rPr>
              <w:t>all</w:t>
            </w:r>
            <w:r>
              <w:rPr>
                <w:spacing w:val="-6"/>
                <w:position w:val="1"/>
                <w:sz w:val="21"/>
              </w:rPr>
              <w:t xml:space="preserve"> </w:t>
            </w:r>
            <w:r>
              <w:rPr>
                <w:position w:val="1"/>
                <w:sz w:val="21"/>
              </w:rPr>
              <w:t>Department</w:t>
            </w:r>
            <w:r>
              <w:rPr>
                <w:spacing w:val="-6"/>
                <w:position w:val="1"/>
                <w:sz w:val="21"/>
              </w:rPr>
              <w:t xml:space="preserve"> </w:t>
            </w:r>
            <w:r>
              <w:rPr>
                <w:position w:val="1"/>
                <w:sz w:val="21"/>
              </w:rPr>
              <w:t>of</w:t>
            </w:r>
            <w:r>
              <w:rPr>
                <w:spacing w:val="-6"/>
                <w:position w:val="1"/>
                <w:sz w:val="21"/>
              </w:rPr>
              <w:t xml:space="preserve"> </w:t>
            </w:r>
            <w:r>
              <w:rPr>
                <w:position w:val="1"/>
                <w:sz w:val="21"/>
              </w:rPr>
              <w:t>Defense</w:t>
            </w:r>
            <w:r>
              <w:rPr>
                <w:spacing w:val="-6"/>
                <w:position w:val="1"/>
                <w:sz w:val="21"/>
              </w:rPr>
              <w:t xml:space="preserve"> </w:t>
            </w:r>
            <w:r>
              <w:rPr>
                <w:position w:val="1"/>
                <w:sz w:val="21"/>
              </w:rPr>
              <w:t>Education</w:t>
            </w:r>
            <w:r>
              <w:rPr>
                <w:spacing w:val="-14"/>
                <w:position w:val="1"/>
                <w:sz w:val="21"/>
              </w:rPr>
              <w:t xml:space="preserve"> </w:t>
            </w:r>
            <w:r>
              <w:rPr>
                <w:position w:val="1"/>
                <w:sz w:val="21"/>
              </w:rPr>
              <w:t>Activity</w:t>
            </w:r>
            <w:r>
              <w:rPr>
                <w:spacing w:val="-5"/>
                <w:position w:val="1"/>
                <w:sz w:val="21"/>
              </w:rPr>
              <w:t xml:space="preserve"> </w:t>
            </w:r>
            <w:r>
              <w:rPr>
                <w:position w:val="1"/>
                <w:sz w:val="21"/>
              </w:rPr>
              <w:t>schools,</w:t>
            </w:r>
            <w:r>
              <w:rPr>
                <w:spacing w:val="-6"/>
                <w:position w:val="1"/>
                <w:sz w:val="21"/>
              </w:rPr>
              <w:t xml:space="preserve"> </w:t>
            </w:r>
            <w:r>
              <w:rPr>
                <w:position w:val="1"/>
                <w:sz w:val="21"/>
              </w:rPr>
              <w:t>but</w:t>
            </w:r>
            <w:r>
              <w:rPr>
                <w:spacing w:val="-6"/>
                <w:position w:val="1"/>
                <w:sz w:val="21"/>
              </w:rPr>
              <w:t xml:space="preserve"> </w:t>
            </w:r>
            <w:r>
              <w:rPr>
                <w:position w:val="1"/>
                <w:sz w:val="21"/>
              </w:rPr>
              <w:t>not</w:t>
            </w:r>
            <w:r>
              <w:rPr>
                <w:spacing w:val="-6"/>
                <w:position w:val="1"/>
                <w:sz w:val="21"/>
              </w:rPr>
              <w:t xml:space="preserve"> </w:t>
            </w:r>
            <w:r>
              <w:rPr>
                <w:position w:val="1"/>
                <w:sz w:val="21"/>
              </w:rPr>
              <w:t>schools</w:t>
            </w:r>
            <w:r>
              <w:rPr>
                <w:spacing w:val="-6"/>
                <w:position w:val="1"/>
                <w:sz w:val="21"/>
              </w:rPr>
              <w:t xml:space="preserve"> </w:t>
            </w:r>
            <w:r>
              <w:rPr>
                <w:position w:val="1"/>
                <w:sz w:val="21"/>
              </w:rPr>
              <w:t xml:space="preserve">in </w:t>
            </w:r>
            <w:r>
              <w:rPr>
                <w:sz w:val="21"/>
              </w:rPr>
              <w:t>Puerto Rico.</w:t>
            </w:r>
          </w:p>
          <w:p w:rsidR="003F5784" w14:paraId="42242FE1" w14:textId="77777777">
            <w:pPr>
              <w:pStyle w:val="TableParagraph"/>
              <w:spacing w:before="8" w:line="174" w:lineRule="exact"/>
              <w:ind w:left="120"/>
              <w:jc w:val="left"/>
              <w:rPr>
                <w:sz w:val="21"/>
              </w:rPr>
            </w:pPr>
            <w:r>
              <w:rPr>
                <w:position w:val="8"/>
                <w:sz w:val="17"/>
              </w:rPr>
              <w:t>2</w:t>
            </w:r>
            <w:r>
              <w:rPr>
                <w:sz w:val="21"/>
              </w:rPr>
              <w:t>2</w:t>
            </w:r>
            <w:r>
              <w:rPr>
                <w:position w:val="8"/>
                <w:sz w:val="17"/>
              </w:rPr>
              <w:t xml:space="preserve">2 </w:t>
            </w:r>
            <w:r>
              <w:rPr>
                <w:sz w:val="21"/>
              </w:rPr>
              <w:t>Department</w:t>
            </w:r>
            <w:r>
              <w:rPr>
                <w:spacing w:val="-7"/>
                <w:sz w:val="21"/>
              </w:rPr>
              <w:t xml:space="preserve"> </w:t>
            </w:r>
            <w:r>
              <w:rPr>
                <w:sz w:val="21"/>
              </w:rPr>
              <w:t>of</w:t>
            </w:r>
            <w:r>
              <w:rPr>
                <w:spacing w:val="-6"/>
                <w:sz w:val="21"/>
              </w:rPr>
              <w:t xml:space="preserve"> </w:t>
            </w:r>
            <w:r>
              <w:rPr>
                <w:sz w:val="21"/>
              </w:rPr>
              <w:t>Defense</w:t>
            </w:r>
            <w:r>
              <w:rPr>
                <w:spacing w:val="-6"/>
                <w:sz w:val="21"/>
              </w:rPr>
              <w:t xml:space="preserve"> </w:t>
            </w:r>
            <w:r>
              <w:rPr>
                <w:sz w:val="21"/>
              </w:rPr>
              <w:t>Education</w:t>
            </w:r>
            <w:r>
              <w:rPr>
                <w:spacing w:val="-14"/>
                <w:sz w:val="21"/>
              </w:rPr>
              <w:t xml:space="preserve"> </w:t>
            </w:r>
            <w:r>
              <w:rPr>
                <w:sz w:val="21"/>
              </w:rPr>
              <w:t>Activity</w:t>
            </w:r>
            <w:r>
              <w:rPr>
                <w:spacing w:val="-6"/>
                <w:sz w:val="21"/>
              </w:rPr>
              <w:t xml:space="preserve"> </w:t>
            </w:r>
            <w:r>
              <w:rPr>
                <w:spacing w:val="-2"/>
                <w:sz w:val="21"/>
              </w:rPr>
              <w:t>schools.</w:t>
            </w:r>
          </w:p>
        </w:tc>
      </w:tr>
    </w:tbl>
    <w:p w:rsidR="003F5784" w14:paraId="1993003E" w14:textId="77777777">
      <w:pPr>
        <w:pStyle w:val="BodyText"/>
        <w:spacing w:before="101" w:line="232" w:lineRule="auto"/>
        <w:ind w:left="595" w:right="318"/>
      </w:pPr>
      <w:r>
        <w:t>NOTE: Numbers of schools are rounded to nearest ten, and numbers of students are rounded to nearest hundred. Detail may not sum to totals due to rounding. 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Mathematics Assessment.</w:t>
      </w:r>
    </w:p>
    <w:p w:rsidR="003F5784" w14:paraId="377D15E7" w14:textId="77777777">
      <w:pPr>
        <w:spacing w:line="232" w:lineRule="auto"/>
        <w:sectPr>
          <w:pgSz w:w="15840" w:h="12240" w:orient="landscape"/>
          <w:pgMar w:top="480" w:right="440" w:bottom="460" w:left="460" w:header="284" w:footer="275" w:gutter="0"/>
          <w:cols w:space="720"/>
        </w:sectPr>
      </w:pPr>
    </w:p>
    <w:p w:rsidR="003F5784" w14:paraId="54BE19EB" w14:textId="77777777">
      <w:pPr>
        <w:pStyle w:val="BodyText"/>
        <w:spacing w:before="5"/>
        <w:rPr>
          <w:sz w:val="9"/>
        </w:rPr>
      </w:pPr>
    </w:p>
    <w:tbl>
      <w:tblPr>
        <w:tblW w:w="0" w:type="auto"/>
        <w:tblInd w:w="552" w:type="dxa"/>
        <w:tblLayout w:type="fixed"/>
        <w:tblCellMar>
          <w:left w:w="0" w:type="dxa"/>
          <w:right w:w="0" w:type="dxa"/>
        </w:tblCellMar>
        <w:tblLook w:val="01E0"/>
      </w:tblPr>
      <w:tblGrid>
        <w:gridCol w:w="2499"/>
        <w:gridCol w:w="1395"/>
        <w:gridCol w:w="676"/>
        <w:gridCol w:w="1378"/>
        <w:gridCol w:w="628"/>
        <w:gridCol w:w="1361"/>
        <w:gridCol w:w="293"/>
        <w:gridCol w:w="1010"/>
        <w:gridCol w:w="311"/>
        <w:gridCol w:w="890"/>
        <w:gridCol w:w="564"/>
        <w:gridCol w:w="1173"/>
        <w:gridCol w:w="570"/>
        <w:gridCol w:w="1092"/>
        <w:gridCol w:w="145"/>
      </w:tblGrid>
      <w:tr w14:paraId="66E4D157" w14:textId="77777777">
        <w:tblPrEx>
          <w:tblW w:w="0" w:type="auto"/>
          <w:tblInd w:w="552" w:type="dxa"/>
          <w:tblLayout w:type="fixed"/>
          <w:tblCellMar>
            <w:left w:w="0" w:type="dxa"/>
            <w:right w:w="0" w:type="dxa"/>
          </w:tblCellMar>
          <w:tblLook w:val="01E0"/>
        </w:tblPrEx>
        <w:trPr>
          <w:gridAfter w:val="1"/>
          <w:wAfter w:w="75" w:type="dxa"/>
          <w:trHeight w:val="232"/>
        </w:trPr>
        <w:tc>
          <w:tcPr>
            <w:tcW w:w="3894" w:type="dxa"/>
            <w:gridSpan w:val="2"/>
          </w:tcPr>
          <w:p w:rsidR="003F5784" w14:paraId="1BF52A2F" w14:textId="77777777">
            <w:pPr>
              <w:pStyle w:val="TableParagraph"/>
              <w:spacing w:before="0"/>
              <w:jc w:val="left"/>
              <w:rPr>
                <w:sz w:val="16"/>
              </w:rPr>
            </w:pPr>
          </w:p>
        </w:tc>
        <w:tc>
          <w:tcPr>
            <w:tcW w:w="2054" w:type="dxa"/>
            <w:gridSpan w:val="2"/>
          </w:tcPr>
          <w:p w:rsidR="003F5784" w14:paraId="27601070" w14:textId="77777777">
            <w:pPr>
              <w:pStyle w:val="TableParagraph"/>
              <w:spacing w:before="0" w:line="213" w:lineRule="exact"/>
              <w:ind w:right="133"/>
              <w:rPr>
                <w:sz w:val="21"/>
              </w:rPr>
            </w:pPr>
            <w:r>
              <w:rPr>
                <w:sz w:val="21"/>
              </w:rPr>
              <w:t>School</w:t>
            </w:r>
            <w:r>
              <w:rPr>
                <w:spacing w:val="-7"/>
                <w:sz w:val="21"/>
              </w:rPr>
              <w:t xml:space="preserve"> </w:t>
            </w:r>
            <w:r>
              <w:rPr>
                <w:spacing w:val="-2"/>
                <w:sz w:val="21"/>
              </w:rPr>
              <w:t>participation</w:t>
            </w:r>
          </w:p>
        </w:tc>
        <w:tc>
          <w:tcPr>
            <w:tcW w:w="1989" w:type="dxa"/>
            <w:gridSpan w:val="2"/>
          </w:tcPr>
          <w:p w:rsidR="003F5784" w14:paraId="2B63577B" w14:textId="77777777">
            <w:pPr>
              <w:pStyle w:val="TableParagraph"/>
              <w:spacing w:before="0"/>
              <w:jc w:val="left"/>
              <w:rPr>
                <w:sz w:val="16"/>
              </w:rPr>
            </w:pPr>
          </w:p>
        </w:tc>
        <w:tc>
          <w:tcPr>
            <w:tcW w:w="5903" w:type="dxa"/>
            <w:gridSpan w:val="8"/>
            <w:vMerge w:val="restart"/>
          </w:tcPr>
          <w:p w:rsidR="003F5784" w14:paraId="1D1FC567" w14:textId="77777777">
            <w:pPr>
              <w:pStyle w:val="TableParagraph"/>
              <w:spacing w:before="0"/>
              <w:jc w:val="left"/>
              <w:rPr>
                <w:sz w:val="20"/>
              </w:rPr>
            </w:pPr>
          </w:p>
        </w:tc>
      </w:tr>
      <w:tr w14:paraId="7F6515E3" w14:textId="77777777">
        <w:tblPrEx>
          <w:tblW w:w="0" w:type="auto"/>
          <w:tblInd w:w="552" w:type="dxa"/>
          <w:tblLayout w:type="fixed"/>
          <w:tblCellMar>
            <w:left w:w="0" w:type="dxa"/>
            <w:right w:w="0" w:type="dxa"/>
          </w:tblCellMar>
          <w:tblLook w:val="01E0"/>
        </w:tblPrEx>
        <w:trPr>
          <w:gridAfter w:val="1"/>
          <w:wAfter w:w="75" w:type="dxa"/>
          <w:trHeight w:val="234"/>
        </w:trPr>
        <w:tc>
          <w:tcPr>
            <w:tcW w:w="3894" w:type="dxa"/>
            <w:gridSpan w:val="2"/>
          </w:tcPr>
          <w:p w:rsidR="003F5784" w14:paraId="733FD709" w14:textId="77777777">
            <w:pPr>
              <w:pStyle w:val="TableParagraph"/>
              <w:spacing w:before="0" w:line="215" w:lineRule="exact"/>
              <w:ind w:right="133"/>
              <w:rPr>
                <w:sz w:val="21"/>
              </w:rPr>
            </w:pPr>
            <w:r>
              <w:rPr>
                <w:sz w:val="21"/>
              </w:rPr>
              <w:t>Number</w:t>
            </w:r>
            <w:r>
              <w:rPr>
                <w:spacing w:val="-8"/>
                <w:sz w:val="21"/>
              </w:rPr>
              <w:t xml:space="preserve"> </w:t>
            </w:r>
            <w:r>
              <w:rPr>
                <w:spacing w:val="-5"/>
                <w:sz w:val="21"/>
              </w:rPr>
              <w:t>of</w:t>
            </w:r>
          </w:p>
        </w:tc>
        <w:tc>
          <w:tcPr>
            <w:tcW w:w="2054" w:type="dxa"/>
            <w:gridSpan w:val="2"/>
          </w:tcPr>
          <w:p w:rsidR="003F5784" w14:paraId="73296BB4" w14:textId="77777777">
            <w:pPr>
              <w:pStyle w:val="TableParagraph"/>
              <w:spacing w:before="0" w:line="215" w:lineRule="exact"/>
              <w:ind w:right="133"/>
              <w:rPr>
                <w:sz w:val="21"/>
              </w:rPr>
            </w:pPr>
            <w:r>
              <w:rPr>
                <w:sz w:val="21"/>
              </w:rPr>
              <w:t>rates</w:t>
            </w:r>
            <w:r>
              <w:rPr>
                <w:spacing w:val="-7"/>
                <w:sz w:val="21"/>
              </w:rPr>
              <w:t xml:space="preserve"> </w:t>
            </w:r>
            <w:r>
              <w:rPr>
                <w:sz w:val="21"/>
              </w:rPr>
              <w:t>(percent)</w:t>
            </w:r>
            <w:r>
              <w:rPr>
                <w:spacing w:val="-7"/>
                <w:sz w:val="21"/>
              </w:rPr>
              <w:t xml:space="preserve"> </w:t>
            </w:r>
            <w:r>
              <w:rPr>
                <w:spacing w:val="-2"/>
                <w:sz w:val="21"/>
              </w:rPr>
              <w:t>before</w:t>
            </w:r>
          </w:p>
        </w:tc>
        <w:tc>
          <w:tcPr>
            <w:tcW w:w="1989" w:type="dxa"/>
            <w:gridSpan w:val="2"/>
          </w:tcPr>
          <w:p w:rsidR="003F5784" w14:paraId="1715C6EA" w14:textId="77777777">
            <w:pPr>
              <w:pStyle w:val="TableParagraph"/>
              <w:spacing w:before="0" w:line="215" w:lineRule="exact"/>
              <w:ind w:right="164"/>
              <w:rPr>
                <w:sz w:val="21"/>
              </w:rPr>
            </w:pPr>
            <w:r>
              <w:rPr>
                <w:sz w:val="21"/>
              </w:rPr>
              <w:t>School</w:t>
            </w:r>
            <w:r>
              <w:rPr>
                <w:spacing w:val="-7"/>
                <w:sz w:val="21"/>
              </w:rPr>
              <w:t xml:space="preserve"> </w:t>
            </w:r>
            <w:r>
              <w:rPr>
                <w:spacing w:val="-2"/>
                <w:sz w:val="21"/>
              </w:rPr>
              <w:t>participation</w:t>
            </w:r>
          </w:p>
        </w:tc>
        <w:tc>
          <w:tcPr>
            <w:tcW w:w="5903" w:type="dxa"/>
            <w:gridSpan w:val="8"/>
            <w:vMerge/>
            <w:tcBorders>
              <w:top w:val="nil"/>
            </w:tcBorders>
          </w:tcPr>
          <w:p w:rsidR="003F5784" w14:paraId="397CAF7D" w14:textId="77777777">
            <w:pPr>
              <w:rPr>
                <w:sz w:val="2"/>
                <w:szCs w:val="2"/>
              </w:rPr>
            </w:pPr>
          </w:p>
        </w:tc>
      </w:tr>
      <w:tr w14:paraId="4F0EC84E" w14:textId="77777777">
        <w:tblPrEx>
          <w:tblW w:w="0" w:type="auto"/>
          <w:tblInd w:w="552" w:type="dxa"/>
          <w:tblLayout w:type="fixed"/>
          <w:tblCellMar>
            <w:left w:w="0" w:type="dxa"/>
            <w:right w:w="0" w:type="dxa"/>
          </w:tblCellMar>
          <w:tblLook w:val="01E0"/>
        </w:tblPrEx>
        <w:trPr>
          <w:gridAfter w:val="1"/>
          <w:wAfter w:w="75" w:type="dxa"/>
          <w:trHeight w:val="234"/>
        </w:trPr>
        <w:tc>
          <w:tcPr>
            <w:tcW w:w="3894" w:type="dxa"/>
            <w:gridSpan w:val="2"/>
          </w:tcPr>
          <w:p w:rsidR="003F5784" w14:paraId="6405B09B" w14:textId="77777777">
            <w:pPr>
              <w:pStyle w:val="TableParagraph"/>
              <w:spacing w:before="0" w:line="215" w:lineRule="exact"/>
              <w:ind w:right="133"/>
              <w:rPr>
                <w:sz w:val="21"/>
              </w:rPr>
            </w:pPr>
            <w:r>
              <w:rPr>
                <w:sz w:val="21"/>
              </w:rPr>
              <w:t>schools</w:t>
            </w:r>
            <w:r>
              <w:rPr>
                <w:spacing w:val="-8"/>
                <w:sz w:val="21"/>
              </w:rPr>
              <w:t xml:space="preserve"> </w:t>
            </w:r>
            <w:r>
              <w:rPr>
                <w:spacing w:val="-5"/>
                <w:sz w:val="21"/>
              </w:rPr>
              <w:t>in</w:t>
            </w:r>
          </w:p>
        </w:tc>
        <w:tc>
          <w:tcPr>
            <w:tcW w:w="2054" w:type="dxa"/>
            <w:gridSpan w:val="2"/>
          </w:tcPr>
          <w:p w:rsidR="003F5784" w14:paraId="49550FFC" w14:textId="77777777">
            <w:pPr>
              <w:pStyle w:val="TableParagraph"/>
              <w:spacing w:before="0" w:line="215" w:lineRule="exact"/>
              <w:ind w:right="133"/>
              <w:rPr>
                <w:sz w:val="21"/>
              </w:rPr>
            </w:pPr>
            <w:r>
              <w:rPr>
                <w:spacing w:val="-2"/>
                <w:sz w:val="21"/>
              </w:rPr>
              <w:t>substitution</w:t>
            </w:r>
          </w:p>
        </w:tc>
        <w:tc>
          <w:tcPr>
            <w:tcW w:w="1989" w:type="dxa"/>
            <w:gridSpan w:val="2"/>
          </w:tcPr>
          <w:p w:rsidR="003F5784" w14:paraId="5F53230B" w14:textId="77777777">
            <w:pPr>
              <w:pStyle w:val="TableParagraph"/>
              <w:spacing w:before="0" w:line="215" w:lineRule="exact"/>
              <w:ind w:right="164"/>
              <w:rPr>
                <w:sz w:val="21"/>
              </w:rPr>
            </w:pPr>
            <w:r>
              <w:rPr>
                <w:sz w:val="21"/>
              </w:rPr>
              <w:t>rates</w:t>
            </w:r>
            <w:r>
              <w:rPr>
                <w:spacing w:val="-5"/>
                <w:sz w:val="21"/>
              </w:rPr>
              <w:t xml:space="preserve"> </w:t>
            </w:r>
            <w:r>
              <w:rPr>
                <w:spacing w:val="-2"/>
                <w:sz w:val="21"/>
              </w:rPr>
              <w:t>(percent)</w:t>
            </w:r>
          </w:p>
        </w:tc>
        <w:tc>
          <w:tcPr>
            <w:tcW w:w="1303" w:type="dxa"/>
            <w:gridSpan w:val="2"/>
          </w:tcPr>
          <w:p w:rsidR="003F5784" w14:paraId="13743770" w14:textId="77777777">
            <w:pPr>
              <w:pStyle w:val="TableParagraph"/>
              <w:spacing w:before="0" w:line="215" w:lineRule="exact"/>
              <w:ind w:right="221"/>
              <w:rPr>
                <w:sz w:val="21"/>
              </w:rPr>
            </w:pPr>
            <w:r>
              <w:rPr>
                <w:sz w:val="21"/>
              </w:rPr>
              <w:t>Number</w:t>
            </w:r>
            <w:r>
              <w:rPr>
                <w:spacing w:val="-8"/>
                <w:sz w:val="21"/>
              </w:rPr>
              <w:t xml:space="preserve"> </w:t>
            </w:r>
            <w:r>
              <w:rPr>
                <w:spacing w:val="-5"/>
                <w:sz w:val="21"/>
              </w:rPr>
              <w:t>of</w:t>
            </w:r>
          </w:p>
        </w:tc>
        <w:tc>
          <w:tcPr>
            <w:tcW w:w="1201" w:type="dxa"/>
            <w:gridSpan w:val="2"/>
          </w:tcPr>
          <w:p w:rsidR="003F5784" w14:paraId="6C7F8061" w14:textId="77777777">
            <w:pPr>
              <w:pStyle w:val="TableParagraph"/>
              <w:spacing w:before="0" w:line="215" w:lineRule="exact"/>
              <w:ind w:right="130"/>
              <w:rPr>
                <w:sz w:val="21"/>
              </w:rPr>
            </w:pPr>
            <w:r>
              <w:rPr>
                <w:spacing w:val="-2"/>
                <w:sz w:val="21"/>
              </w:rPr>
              <w:t>Weighted</w:t>
            </w:r>
          </w:p>
        </w:tc>
        <w:tc>
          <w:tcPr>
            <w:tcW w:w="1737" w:type="dxa"/>
            <w:gridSpan w:val="2"/>
          </w:tcPr>
          <w:p w:rsidR="003F5784" w14:paraId="726CE805" w14:textId="77777777">
            <w:pPr>
              <w:pStyle w:val="TableParagraph"/>
              <w:spacing w:before="0" w:line="215" w:lineRule="exact"/>
              <w:ind w:right="147"/>
              <w:rPr>
                <w:sz w:val="21"/>
              </w:rPr>
            </w:pPr>
            <w:r>
              <w:rPr>
                <w:spacing w:val="-2"/>
                <w:sz w:val="21"/>
              </w:rPr>
              <w:t>Weighted</w:t>
            </w:r>
            <w:r>
              <w:rPr>
                <w:spacing w:val="-11"/>
                <w:sz w:val="21"/>
              </w:rPr>
              <w:t xml:space="preserve"> </w:t>
            </w:r>
            <w:r>
              <w:rPr>
                <w:spacing w:val="-2"/>
                <w:sz w:val="21"/>
              </w:rPr>
              <w:t>student</w:t>
            </w:r>
          </w:p>
        </w:tc>
        <w:tc>
          <w:tcPr>
            <w:tcW w:w="1662" w:type="dxa"/>
            <w:gridSpan w:val="2"/>
          </w:tcPr>
          <w:p w:rsidR="003F5784" w14:paraId="570DFF7A" w14:textId="77777777">
            <w:pPr>
              <w:pStyle w:val="TableParagraph"/>
              <w:spacing w:before="0"/>
              <w:jc w:val="left"/>
              <w:rPr>
                <w:sz w:val="16"/>
              </w:rPr>
            </w:pPr>
          </w:p>
        </w:tc>
      </w:tr>
      <w:tr w14:paraId="1E2E0EB8" w14:textId="77777777">
        <w:tblPrEx>
          <w:tblW w:w="0" w:type="auto"/>
          <w:tblInd w:w="552" w:type="dxa"/>
          <w:tblLayout w:type="fixed"/>
          <w:tblCellMar>
            <w:left w:w="0" w:type="dxa"/>
            <w:right w:w="0" w:type="dxa"/>
          </w:tblCellMar>
          <w:tblLook w:val="01E0"/>
        </w:tblPrEx>
        <w:trPr>
          <w:gridAfter w:val="1"/>
          <w:wAfter w:w="75" w:type="dxa"/>
          <w:trHeight w:val="234"/>
        </w:trPr>
        <w:tc>
          <w:tcPr>
            <w:tcW w:w="3894" w:type="dxa"/>
            <w:gridSpan w:val="2"/>
          </w:tcPr>
          <w:p w:rsidR="003F5784" w14:paraId="05274223" w14:textId="77777777">
            <w:pPr>
              <w:pStyle w:val="TableParagraph"/>
              <w:spacing w:before="0" w:line="215" w:lineRule="exact"/>
              <w:ind w:right="133"/>
              <w:rPr>
                <w:sz w:val="21"/>
              </w:rPr>
            </w:pPr>
            <w:r>
              <w:rPr>
                <w:spacing w:val="-2"/>
                <w:sz w:val="21"/>
              </w:rPr>
              <w:t>original</w:t>
            </w:r>
          </w:p>
        </w:tc>
        <w:tc>
          <w:tcPr>
            <w:tcW w:w="2054" w:type="dxa"/>
            <w:gridSpan w:val="2"/>
          </w:tcPr>
          <w:p w:rsidR="003F5784" w14:paraId="4E20FE79" w14:textId="77777777">
            <w:pPr>
              <w:pStyle w:val="TableParagraph"/>
              <w:spacing w:before="0" w:line="215" w:lineRule="exact"/>
              <w:ind w:right="133"/>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989" w:type="dxa"/>
            <w:gridSpan w:val="2"/>
          </w:tcPr>
          <w:p w:rsidR="003F5784" w14:paraId="62CF45EA" w14:textId="77777777">
            <w:pPr>
              <w:pStyle w:val="TableParagraph"/>
              <w:spacing w:before="0" w:line="215" w:lineRule="exact"/>
              <w:ind w:right="164"/>
              <w:rPr>
                <w:sz w:val="21"/>
              </w:rPr>
            </w:pPr>
            <w:r>
              <w:rPr>
                <w:sz w:val="21"/>
              </w:rPr>
              <w:t>before</w:t>
            </w:r>
            <w:r>
              <w:rPr>
                <w:spacing w:val="-7"/>
                <w:sz w:val="21"/>
              </w:rPr>
              <w:t xml:space="preserve"> </w:t>
            </w:r>
            <w:r>
              <w:rPr>
                <w:spacing w:val="-2"/>
                <w:sz w:val="21"/>
              </w:rPr>
              <w:t>substitution</w:t>
            </w:r>
          </w:p>
        </w:tc>
        <w:tc>
          <w:tcPr>
            <w:tcW w:w="1303" w:type="dxa"/>
            <w:gridSpan w:val="2"/>
          </w:tcPr>
          <w:p w:rsidR="003F5784" w14:paraId="44BA19AB" w14:textId="77777777">
            <w:pPr>
              <w:pStyle w:val="TableParagraph"/>
              <w:spacing w:before="0" w:line="215" w:lineRule="exact"/>
              <w:ind w:right="221"/>
              <w:rPr>
                <w:sz w:val="21"/>
              </w:rPr>
            </w:pPr>
            <w:r>
              <w:rPr>
                <w:spacing w:val="-2"/>
                <w:sz w:val="21"/>
              </w:rPr>
              <w:t>students</w:t>
            </w:r>
          </w:p>
        </w:tc>
        <w:tc>
          <w:tcPr>
            <w:tcW w:w="1201" w:type="dxa"/>
            <w:gridSpan w:val="2"/>
          </w:tcPr>
          <w:p w:rsidR="003F5784" w14:paraId="32779209" w14:textId="77777777">
            <w:pPr>
              <w:pStyle w:val="TableParagraph"/>
              <w:spacing w:before="0" w:line="215" w:lineRule="exact"/>
              <w:ind w:right="130"/>
              <w:rPr>
                <w:sz w:val="21"/>
              </w:rPr>
            </w:pPr>
            <w:r>
              <w:rPr>
                <w:sz w:val="21"/>
              </w:rPr>
              <w:t>percent</w:t>
            </w:r>
            <w:r>
              <w:rPr>
                <w:spacing w:val="-8"/>
                <w:sz w:val="21"/>
              </w:rPr>
              <w:t xml:space="preserve"> </w:t>
            </w:r>
            <w:r>
              <w:rPr>
                <w:spacing w:val="-5"/>
                <w:sz w:val="21"/>
              </w:rPr>
              <w:t>of</w:t>
            </w:r>
          </w:p>
        </w:tc>
        <w:tc>
          <w:tcPr>
            <w:tcW w:w="1737" w:type="dxa"/>
            <w:gridSpan w:val="2"/>
          </w:tcPr>
          <w:p w:rsidR="003F5784" w14:paraId="302A1FBD" w14:textId="77777777">
            <w:pPr>
              <w:pStyle w:val="TableParagraph"/>
              <w:spacing w:before="0" w:line="215" w:lineRule="exact"/>
              <w:ind w:right="147"/>
              <w:rPr>
                <w:sz w:val="21"/>
              </w:rPr>
            </w:pPr>
            <w:r>
              <w:rPr>
                <w:spacing w:val="-2"/>
                <w:sz w:val="21"/>
              </w:rPr>
              <w:t>participation</w:t>
            </w:r>
          </w:p>
        </w:tc>
        <w:tc>
          <w:tcPr>
            <w:tcW w:w="1662" w:type="dxa"/>
            <w:gridSpan w:val="2"/>
          </w:tcPr>
          <w:p w:rsidR="003F5784" w14:paraId="5B105F8A" w14:textId="77777777">
            <w:pPr>
              <w:pStyle w:val="TableParagraph"/>
              <w:spacing w:before="0" w:line="215" w:lineRule="exact"/>
              <w:ind w:right="43"/>
              <w:rPr>
                <w:sz w:val="21"/>
              </w:rPr>
            </w:pPr>
            <w:r>
              <w:rPr>
                <w:spacing w:val="-2"/>
                <w:sz w:val="21"/>
              </w:rPr>
              <w:t>Weighted</w:t>
            </w:r>
            <w:r>
              <w:rPr>
                <w:spacing w:val="-11"/>
                <w:sz w:val="21"/>
              </w:rPr>
              <w:t xml:space="preserve"> </w:t>
            </w:r>
            <w:r>
              <w:rPr>
                <w:spacing w:val="-2"/>
                <w:sz w:val="21"/>
              </w:rPr>
              <w:t>percent</w:t>
            </w:r>
          </w:p>
        </w:tc>
      </w:tr>
      <w:tr w14:paraId="7BFA84C8" w14:textId="77777777">
        <w:tblPrEx>
          <w:tblW w:w="0" w:type="auto"/>
          <w:tblInd w:w="552" w:type="dxa"/>
          <w:tblLayout w:type="fixed"/>
          <w:tblCellMar>
            <w:left w:w="0" w:type="dxa"/>
            <w:right w:w="0" w:type="dxa"/>
          </w:tblCellMar>
          <w:tblLook w:val="01E0"/>
        </w:tblPrEx>
        <w:trPr>
          <w:gridAfter w:val="1"/>
          <w:wAfter w:w="75" w:type="dxa"/>
          <w:trHeight w:val="234"/>
        </w:trPr>
        <w:tc>
          <w:tcPr>
            <w:tcW w:w="3894" w:type="dxa"/>
            <w:gridSpan w:val="2"/>
          </w:tcPr>
          <w:p w:rsidR="003F5784" w14:paraId="67F77DA9" w14:textId="77777777">
            <w:pPr>
              <w:pStyle w:val="TableParagraph"/>
              <w:spacing w:before="0" w:line="215" w:lineRule="exact"/>
              <w:ind w:right="133"/>
              <w:rPr>
                <w:sz w:val="21"/>
              </w:rPr>
            </w:pPr>
            <w:r>
              <w:rPr>
                <w:spacing w:val="-2"/>
                <w:sz w:val="21"/>
              </w:rPr>
              <w:t>sample,</w:t>
            </w:r>
          </w:p>
        </w:tc>
        <w:tc>
          <w:tcPr>
            <w:tcW w:w="2054" w:type="dxa"/>
            <w:gridSpan w:val="2"/>
          </w:tcPr>
          <w:p w:rsidR="003F5784" w14:paraId="1C9CADEA" w14:textId="77777777">
            <w:pPr>
              <w:pStyle w:val="TableParagraph"/>
              <w:spacing w:before="0" w:line="215" w:lineRule="exact"/>
              <w:ind w:right="133"/>
              <w:rPr>
                <w:sz w:val="21"/>
              </w:rPr>
            </w:pPr>
            <w:r>
              <w:rPr>
                <w:sz w:val="21"/>
              </w:rPr>
              <w:t>weight</w:t>
            </w:r>
            <w:r>
              <w:rPr>
                <w:spacing w:val="-7"/>
                <w:sz w:val="21"/>
              </w:rPr>
              <w:t xml:space="preserve"> </w:t>
            </w:r>
            <w:r>
              <w:rPr>
                <w:spacing w:val="-5"/>
                <w:sz w:val="21"/>
              </w:rPr>
              <w:t>and</w:t>
            </w:r>
          </w:p>
        </w:tc>
        <w:tc>
          <w:tcPr>
            <w:tcW w:w="1989" w:type="dxa"/>
            <w:gridSpan w:val="2"/>
          </w:tcPr>
          <w:p w:rsidR="003F5784" w14:paraId="41C8A49A" w14:textId="77777777">
            <w:pPr>
              <w:pStyle w:val="TableParagraph"/>
              <w:spacing w:before="0" w:line="215" w:lineRule="exact"/>
              <w:ind w:right="164"/>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303" w:type="dxa"/>
            <w:gridSpan w:val="2"/>
          </w:tcPr>
          <w:p w:rsidR="003F5784" w14:paraId="495F836F" w14:textId="77777777">
            <w:pPr>
              <w:pStyle w:val="TableParagraph"/>
              <w:spacing w:before="0" w:line="215" w:lineRule="exact"/>
              <w:ind w:right="221"/>
              <w:rPr>
                <w:sz w:val="21"/>
              </w:rPr>
            </w:pPr>
            <w:r>
              <w:rPr>
                <w:spacing w:val="-2"/>
                <w:sz w:val="21"/>
              </w:rPr>
              <w:t>sampled,</w:t>
            </w:r>
          </w:p>
        </w:tc>
        <w:tc>
          <w:tcPr>
            <w:tcW w:w="1201" w:type="dxa"/>
            <w:gridSpan w:val="2"/>
          </w:tcPr>
          <w:p w:rsidR="003F5784" w14:paraId="70420AD8" w14:textId="77777777">
            <w:pPr>
              <w:pStyle w:val="TableParagraph"/>
              <w:spacing w:before="0" w:line="215" w:lineRule="exact"/>
              <w:ind w:right="130"/>
              <w:rPr>
                <w:sz w:val="21"/>
              </w:rPr>
            </w:pPr>
            <w:r>
              <w:rPr>
                <w:spacing w:val="-2"/>
                <w:sz w:val="21"/>
              </w:rPr>
              <w:t>students</w:t>
            </w:r>
          </w:p>
        </w:tc>
        <w:tc>
          <w:tcPr>
            <w:tcW w:w="1737" w:type="dxa"/>
            <w:gridSpan w:val="2"/>
          </w:tcPr>
          <w:p w:rsidR="003F5784" w14:paraId="30A6F249" w14:textId="77777777">
            <w:pPr>
              <w:pStyle w:val="TableParagraph"/>
              <w:spacing w:before="0" w:line="215" w:lineRule="exact"/>
              <w:ind w:right="147"/>
              <w:rPr>
                <w:sz w:val="21"/>
              </w:rPr>
            </w:pPr>
            <w:r>
              <w:rPr>
                <w:sz w:val="21"/>
              </w:rPr>
              <w:t>rates</w:t>
            </w:r>
            <w:r>
              <w:rPr>
                <w:spacing w:val="-5"/>
                <w:sz w:val="21"/>
              </w:rPr>
              <w:t xml:space="preserve"> </w:t>
            </w:r>
            <w:r>
              <w:rPr>
                <w:spacing w:val="-2"/>
                <w:sz w:val="21"/>
              </w:rPr>
              <w:t>(percent)</w:t>
            </w:r>
          </w:p>
        </w:tc>
        <w:tc>
          <w:tcPr>
            <w:tcW w:w="1662" w:type="dxa"/>
            <w:gridSpan w:val="2"/>
          </w:tcPr>
          <w:p w:rsidR="003F5784" w14:paraId="0FA9B111" w14:textId="77777777">
            <w:pPr>
              <w:pStyle w:val="TableParagraph"/>
              <w:spacing w:before="0" w:line="215" w:lineRule="exact"/>
              <w:ind w:right="43"/>
              <w:rPr>
                <w:sz w:val="21"/>
              </w:rPr>
            </w:pPr>
            <w:r>
              <w:rPr>
                <w:sz w:val="21"/>
              </w:rPr>
              <w:t>of</w:t>
            </w:r>
            <w:r>
              <w:rPr>
                <w:spacing w:val="-3"/>
                <w:sz w:val="21"/>
              </w:rPr>
              <w:t xml:space="preserve"> </w:t>
            </w:r>
            <w:r>
              <w:rPr>
                <w:spacing w:val="-2"/>
                <w:sz w:val="21"/>
              </w:rPr>
              <w:t>students</w:t>
            </w:r>
          </w:p>
        </w:tc>
      </w:tr>
      <w:tr w14:paraId="45E3547C" w14:textId="77777777">
        <w:tblPrEx>
          <w:tblW w:w="0" w:type="auto"/>
          <w:tblInd w:w="552" w:type="dxa"/>
          <w:tblLayout w:type="fixed"/>
          <w:tblCellMar>
            <w:left w:w="0" w:type="dxa"/>
            <w:right w:w="0" w:type="dxa"/>
          </w:tblCellMar>
          <w:tblLook w:val="01E0"/>
        </w:tblPrEx>
        <w:trPr>
          <w:gridAfter w:val="1"/>
          <w:wAfter w:w="75" w:type="dxa"/>
          <w:trHeight w:val="232"/>
        </w:trPr>
        <w:tc>
          <w:tcPr>
            <w:tcW w:w="3894" w:type="dxa"/>
            <w:gridSpan w:val="2"/>
          </w:tcPr>
          <w:p w:rsidR="003F5784" w14:paraId="54C4E1EB" w14:textId="77777777">
            <w:pPr>
              <w:pStyle w:val="TableParagraph"/>
              <w:tabs>
                <w:tab w:val="left" w:pos="3025"/>
              </w:tabs>
              <w:spacing w:before="0" w:line="213" w:lineRule="exact"/>
              <w:ind w:right="133"/>
              <w:rPr>
                <w:sz w:val="21"/>
              </w:rPr>
            </w:pPr>
            <w:r>
              <w:rPr>
                <w:sz w:val="21"/>
              </w:rPr>
              <w:t>School</w:t>
            </w:r>
            <w:r>
              <w:rPr>
                <w:spacing w:val="-6"/>
                <w:sz w:val="21"/>
              </w:rPr>
              <w:t xml:space="preserve"> </w:t>
            </w:r>
            <w:r>
              <w:rPr>
                <w:sz w:val="21"/>
              </w:rPr>
              <w:t>type</w:t>
            </w:r>
            <w:r>
              <w:rPr>
                <w:spacing w:val="-5"/>
                <w:sz w:val="21"/>
              </w:rPr>
              <w:t xml:space="preserve"> </w:t>
            </w:r>
            <w:r>
              <w:rPr>
                <w:sz w:val="21"/>
              </w:rPr>
              <w:t>and</w:t>
            </w:r>
            <w:r>
              <w:rPr>
                <w:spacing w:val="-5"/>
                <w:sz w:val="21"/>
              </w:rPr>
              <w:t xml:space="preserve"> </w:t>
            </w:r>
            <w:r>
              <w:rPr>
                <w:spacing w:val="-2"/>
                <w:sz w:val="21"/>
              </w:rPr>
              <w:t>jurisdiction</w:t>
            </w:r>
            <w:r>
              <w:rPr>
                <w:sz w:val="21"/>
              </w:rPr>
              <w:tab/>
            </w:r>
            <w:r>
              <w:rPr>
                <w:spacing w:val="-2"/>
                <w:sz w:val="21"/>
              </w:rPr>
              <w:t>rounded</w:t>
            </w:r>
          </w:p>
        </w:tc>
        <w:tc>
          <w:tcPr>
            <w:tcW w:w="2054" w:type="dxa"/>
            <w:gridSpan w:val="2"/>
          </w:tcPr>
          <w:p w:rsidR="003F5784" w14:paraId="201BD88D" w14:textId="77777777">
            <w:pPr>
              <w:pStyle w:val="TableParagraph"/>
              <w:spacing w:before="0" w:line="213" w:lineRule="exact"/>
              <w:ind w:right="133"/>
              <w:rPr>
                <w:sz w:val="21"/>
              </w:rPr>
            </w:pPr>
            <w:r>
              <w:rPr>
                <w:spacing w:val="-2"/>
                <w:sz w:val="21"/>
              </w:rPr>
              <w:t>enrollment)</w:t>
            </w:r>
          </w:p>
        </w:tc>
        <w:tc>
          <w:tcPr>
            <w:tcW w:w="1989" w:type="dxa"/>
            <w:gridSpan w:val="2"/>
          </w:tcPr>
          <w:p w:rsidR="003F5784" w14:paraId="674F6D71" w14:textId="77777777">
            <w:pPr>
              <w:pStyle w:val="TableParagraph"/>
              <w:spacing w:before="0" w:line="213" w:lineRule="exact"/>
              <w:ind w:right="164"/>
              <w:rPr>
                <w:sz w:val="21"/>
              </w:rPr>
            </w:pPr>
            <w:r>
              <w:rPr>
                <w:sz w:val="21"/>
              </w:rPr>
              <w:t>weight</w:t>
            </w:r>
            <w:r>
              <w:rPr>
                <w:spacing w:val="-7"/>
                <w:sz w:val="21"/>
              </w:rPr>
              <w:t xml:space="preserve"> </w:t>
            </w:r>
            <w:r>
              <w:rPr>
                <w:spacing w:val="-2"/>
                <w:sz w:val="21"/>
              </w:rPr>
              <w:t>only)</w:t>
            </w:r>
          </w:p>
        </w:tc>
        <w:tc>
          <w:tcPr>
            <w:tcW w:w="1303" w:type="dxa"/>
            <w:gridSpan w:val="2"/>
          </w:tcPr>
          <w:p w:rsidR="003F5784" w14:paraId="6D26682E" w14:textId="77777777">
            <w:pPr>
              <w:pStyle w:val="TableParagraph"/>
              <w:spacing w:before="0" w:line="213" w:lineRule="exact"/>
              <w:ind w:right="221"/>
              <w:rPr>
                <w:sz w:val="21"/>
              </w:rPr>
            </w:pPr>
            <w:r>
              <w:rPr>
                <w:spacing w:val="-2"/>
                <w:sz w:val="21"/>
              </w:rPr>
              <w:t>rounded</w:t>
            </w:r>
          </w:p>
        </w:tc>
        <w:tc>
          <w:tcPr>
            <w:tcW w:w="1201" w:type="dxa"/>
            <w:gridSpan w:val="2"/>
          </w:tcPr>
          <w:p w:rsidR="003F5784" w14:paraId="7577AEA2" w14:textId="77777777">
            <w:pPr>
              <w:pStyle w:val="TableParagraph"/>
              <w:spacing w:before="0" w:line="213" w:lineRule="exact"/>
              <w:ind w:right="130"/>
              <w:rPr>
                <w:sz w:val="21"/>
              </w:rPr>
            </w:pPr>
            <w:r>
              <w:rPr>
                <w:spacing w:val="-2"/>
                <w:sz w:val="21"/>
              </w:rPr>
              <w:t>excluded</w:t>
            </w:r>
          </w:p>
        </w:tc>
        <w:tc>
          <w:tcPr>
            <w:tcW w:w="1737" w:type="dxa"/>
            <w:gridSpan w:val="2"/>
          </w:tcPr>
          <w:p w:rsidR="003F5784" w14:paraId="0B737BDC" w14:textId="77777777">
            <w:pPr>
              <w:pStyle w:val="TableParagraph"/>
              <w:spacing w:before="0" w:line="213" w:lineRule="exact"/>
              <w:ind w:right="147"/>
              <w:rPr>
                <w:sz w:val="21"/>
              </w:rPr>
            </w:pPr>
            <w:r>
              <w:rPr>
                <w:sz w:val="21"/>
              </w:rPr>
              <w:t>after</w:t>
            </w:r>
            <w:r>
              <w:rPr>
                <w:spacing w:val="-5"/>
                <w:sz w:val="21"/>
              </w:rPr>
              <w:t xml:space="preserve"> </w:t>
            </w:r>
            <w:r>
              <w:rPr>
                <w:spacing w:val="-2"/>
                <w:sz w:val="21"/>
              </w:rPr>
              <w:t>makeups</w:t>
            </w:r>
          </w:p>
        </w:tc>
        <w:tc>
          <w:tcPr>
            <w:tcW w:w="1662" w:type="dxa"/>
            <w:gridSpan w:val="2"/>
          </w:tcPr>
          <w:p w:rsidR="003F5784" w14:paraId="686355E6" w14:textId="77777777">
            <w:pPr>
              <w:pStyle w:val="TableParagraph"/>
              <w:spacing w:before="0" w:line="213" w:lineRule="exact"/>
              <w:ind w:right="43"/>
              <w:rPr>
                <w:sz w:val="21"/>
              </w:rPr>
            </w:pPr>
            <w:r>
              <w:rPr>
                <w:spacing w:val="-2"/>
                <w:sz w:val="21"/>
              </w:rPr>
              <w:t>accommodated</w:t>
            </w:r>
          </w:p>
        </w:tc>
      </w:tr>
      <w:tr w14:paraId="43E2047A" w14:textId="77777777">
        <w:tblPrEx>
          <w:tblW w:w="0" w:type="auto"/>
          <w:tblInd w:w="552" w:type="dxa"/>
          <w:tblLayout w:type="fixed"/>
          <w:tblCellMar>
            <w:left w:w="0" w:type="dxa"/>
            <w:right w:w="0" w:type="dxa"/>
          </w:tblCellMar>
          <w:tblLook w:val="01E0"/>
        </w:tblPrEx>
        <w:trPr>
          <w:trHeight w:val="278"/>
        </w:trPr>
        <w:tc>
          <w:tcPr>
            <w:tcW w:w="2499" w:type="dxa"/>
            <w:tcBorders>
              <w:top w:val="single" w:sz="18" w:space="0" w:color="800000"/>
            </w:tcBorders>
          </w:tcPr>
          <w:p w:rsidR="003F5784" w14:paraId="3D2D0385" w14:textId="77777777">
            <w:pPr>
              <w:pStyle w:val="TableParagraph"/>
              <w:spacing w:before="9"/>
              <w:ind w:left="120"/>
              <w:jc w:val="left"/>
              <w:rPr>
                <w:sz w:val="21"/>
              </w:rPr>
            </w:pPr>
            <w:r>
              <w:rPr>
                <w:spacing w:val="-2"/>
                <w:sz w:val="21"/>
              </w:rPr>
              <w:t>Maryland</w:t>
            </w:r>
          </w:p>
        </w:tc>
        <w:tc>
          <w:tcPr>
            <w:tcW w:w="2071" w:type="dxa"/>
            <w:gridSpan w:val="2"/>
            <w:tcBorders>
              <w:top w:val="single" w:sz="18" w:space="0" w:color="800000"/>
            </w:tcBorders>
          </w:tcPr>
          <w:p w:rsidR="003F5784" w14:paraId="02ECE36E" w14:textId="77777777">
            <w:pPr>
              <w:pStyle w:val="TableParagraph"/>
              <w:spacing w:before="9"/>
              <w:ind w:right="738"/>
              <w:rPr>
                <w:sz w:val="21"/>
              </w:rPr>
            </w:pPr>
            <w:r>
              <w:rPr>
                <w:spacing w:val="-5"/>
                <w:sz w:val="21"/>
              </w:rPr>
              <w:t>130</w:t>
            </w:r>
          </w:p>
        </w:tc>
        <w:tc>
          <w:tcPr>
            <w:tcW w:w="2006" w:type="dxa"/>
            <w:gridSpan w:val="2"/>
            <w:tcBorders>
              <w:top w:val="single" w:sz="18" w:space="0" w:color="800000"/>
            </w:tcBorders>
          </w:tcPr>
          <w:p w:rsidR="003F5784" w14:paraId="54DDABD5" w14:textId="77777777">
            <w:pPr>
              <w:pStyle w:val="TableParagraph"/>
              <w:spacing w:before="9"/>
              <w:ind w:left="159" w:right="112"/>
              <w:jc w:val="center"/>
              <w:rPr>
                <w:sz w:val="21"/>
              </w:rPr>
            </w:pPr>
            <w:r>
              <w:rPr>
                <w:spacing w:val="-2"/>
                <w:sz w:val="21"/>
              </w:rPr>
              <w:t>100.00</w:t>
            </w:r>
          </w:p>
        </w:tc>
        <w:tc>
          <w:tcPr>
            <w:tcW w:w="1654" w:type="dxa"/>
            <w:gridSpan w:val="2"/>
            <w:tcBorders>
              <w:top w:val="single" w:sz="18" w:space="0" w:color="800000"/>
            </w:tcBorders>
          </w:tcPr>
          <w:p w:rsidR="003F5784" w14:paraId="5715DF0D" w14:textId="77777777">
            <w:pPr>
              <w:pStyle w:val="TableParagraph"/>
              <w:spacing w:before="9"/>
              <w:ind w:right="386"/>
              <w:rPr>
                <w:sz w:val="21"/>
              </w:rPr>
            </w:pPr>
            <w:r>
              <w:rPr>
                <w:spacing w:val="-2"/>
                <w:sz w:val="21"/>
              </w:rPr>
              <w:t>100.00</w:t>
            </w:r>
          </w:p>
        </w:tc>
        <w:tc>
          <w:tcPr>
            <w:tcW w:w="1321" w:type="dxa"/>
            <w:gridSpan w:val="2"/>
            <w:tcBorders>
              <w:top w:val="single" w:sz="18" w:space="0" w:color="800000"/>
            </w:tcBorders>
          </w:tcPr>
          <w:p w:rsidR="003F5784" w14:paraId="7D1AC9F0" w14:textId="77777777">
            <w:pPr>
              <w:pStyle w:val="TableParagraph"/>
              <w:spacing w:before="9"/>
              <w:ind w:left="387"/>
              <w:jc w:val="left"/>
              <w:rPr>
                <w:sz w:val="21"/>
              </w:rPr>
            </w:pPr>
            <w:r>
              <w:rPr>
                <w:spacing w:val="-2"/>
                <w:sz w:val="21"/>
              </w:rPr>
              <w:t>3,000</w:t>
            </w:r>
          </w:p>
        </w:tc>
        <w:tc>
          <w:tcPr>
            <w:tcW w:w="1454" w:type="dxa"/>
            <w:gridSpan w:val="2"/>
            <w:tcBorders>
              <w:top w:val="single" w:sz="18" w:space="0" w:color="800000"/>
            </w:tcBorders>
          </w:tcPr>
          <w:p w:rsidR="003F5784" w14:paraId="07C202B0" w14:textId="77777777">
            <w:pPr>
              <w:pStyle w:val="TableParagraph"/>
              <w:spacing w:before="9"/>
              <w:ind w:left="463"/>
              <w:jc w:val="left"/>
              <w:rPr>
                <w:sz w:val="21"/>
              </w:rPr>
            </w:pPr>
            <w:r>
              <w:rPr>
                <w:spacing w:val="-4"/>
                <w:sz w:val="21"/>
              </w:rPr>
              <w:t>1.82</w:t>
            </w:r>
          </w:p>
        </w:tc>
        <w:tc>
          <w:tcPr>
            <w:tcW w:w="1743" w:type="dxa"/>
            <w:gridSpan w:val="2"/>
            <w:tcBorders>
              <w:top w:val="single" w:sz="18" w:space="0" w:color="800000"/>
            </w:tcBorders>
          </w:tcPr>
          <w:p w:rsidR="003F5784" w14:paraId="38EDCF36" w14:textId="77777777">
            <w:pPr>
              <w:pStyle w:val="TableParagraph"/>
              <w:spacing w:before="9"/>
              <w:ind w:right="22"/>
              <w:jc w:val="center"/>
              <w:rPr>
                <w:sz w:val="21"/>
              </w:rPr>
            </w:pPr>
            <w:r>
              <w:rPr>
                <w:spacing w:val="-2"/>
                <w:sz w:val="21"/>
              </w:rPr>
              <w:t>89.06</w:t>
            </w:r>
          </w:p>
        </w:tc>
        <w:tc>
          <w:tcPr>
            <w:tcW w:w="1237" w:type="dxa"/>
            <w:gridSpan w:val="2"/>
            <w:tcBorders>
              <w:top w:val="single" w:sz="18" w:space="0" w:color="800000"/>
            </w:tcBorders>
          </w:tcPr>
          <w:p w:rsidR="003F5784" w14:paraId="16332A14" w14:textId="77777777">
            <w:pPr>
              <w:pStyle w:val="TableParagraph"/>
              <w:spacing w:before="9"/>
              <w:ind w:right="118"/>
              <w:rPr>
                <w:sz w:val="21"/>
              </w:rPr>
            </w:pPr>
            <w:r>
              <w:rPr>
                <w:spacing w:val="-2"/>
                <w:sz w:val="21"/>
              </w:rPr>
              <w:t>18.06</w:t>
            </w:r>
          </w:p>
        </w:tc>
      </w:tr>
      <w:tr w14:paraId="47BB6149" w14:textId="77777777">
        <w:tblPrEx>
          <w:tblW w:w="0" w:type="auto"/>
          <w:tblInd w:w="552" w:type="dxa"/>
          <w:tblLayout w:type="fixed"/>
          <w:tblCellMar>
            <w:left w:w="0" w:type="dxa"/>
            <w:right w:w="0" w:type="dxa"/>
          </w:tblCellMar>
          <w:tblLook w:val="01E0"/>
        </w:tblPrEx>
        <w:trPr>
          <w:trHeight w:val="286"/>
        </w:trPr>
        <w:tc>
          <w:tcPr>
            <w:tcW w:w="2499" w:type="dxa"/>
          </w:tcPr>
          <w:p w:rsidR="003F5784" w14:paraId="50D29389" w14:textId="77777777">
            <w:pPr>
              <w:pStyle w:val="TableParagraph"/>
              <w:ind w:left="120"/>
              <w:jc w:val="left"/>
              <w:rPr>
                <w:sz w:val="21"/>
              </w:rPr>
            </w:pPr>
            <w:r>
              <w:rPr>
                <w:spacing w:val="-2"/>
                <w:sz w:val="21"/>
              </w:rPr>
              <w:t>Massachusetts</w:t>
            </w:r>
          </w:p>
        </w:tc>
        <w:tc>
          <w:tcPr>
            <w:tcW w:w="2071" w:type="dxa"/>
            <w:gridSpan w:val="2"/>
          </w:tcPr>
          <w:p w:rsidR="003F5784" w14:paraId="3972D918" w14:textId="77777777">
            <w:pPr>
              <w:pStyle w:val="TableParagraph"/>
              <w:ind w:right="738"/>
              <w:rPr>
                <w:sz w:val="21"/>
              </w:rPr>
            </w:pPr>
            <w:r>
              <w:rPr>
                <w:spacing w:val="-5"/>
                <w:sz w:val="21"/>
              </w:rPr>
              <w:t>130</w:t>
            </w:r>
          </w:p>
        </w:tc>
        <w:tc>
          <w:tcPr>
            <w:tcW w:w="2006" w:type="dxa"/>
            <w:gridSpan w:val="2"/>
          </w:tcPr>
          <w:p w:rsidR="003F5784" w14:paraId="05FF3DE5" w14:textId="77777777">
            <w:pPr>
              <w:pStyle w:val="TableParagraph"/>
              <w:ind w:left="159" w:right="112"/>
              <w:jc w:val="center"/>
              <w:rPr>
                <w:sz w:val="21"/>
              </w:rPr>
            </w:pPr>
            <w:r>
              <w:rPr>
                <w:spacing w:val="-2"/>
                <w:sz w:val="21"/>
              </w:rPr>
              <w:t>100.00</w:t>
            </w:r>
          </w:p>
        </w:tc>
        <w:tc>
          <w:tcPr>
            <w:tcW w:w="1654" w:type="dxa"/>
            <w:gridSpan w:val="2"/>
          </w:tcPr>
          <w:p w:rsidR="003F5784" w14:paraId="2BF63B4E" w14:textId="77777777">
            <w:pPr>
              <w:pStyle w:val="TableParagraph"/>
              <w:ind w:right="386"/>
              <w:rPr>
                <w:sz w:val="21"/>
              </w:rPr>
            </w:pPr>
            <w:r>
              <w:rPr>
                <w:spacing w:val="-2"/>
                <w:sz w:val="21"/>
              </w:rPr>
              <w:t>100.00</w:t>
            </w:r>
          </w:p>
        </w:tc>
        <w:tc>
          <w:tcPr>
            <w:tcW w:w="1321" w:type="dxa"/>
            <w:gridSpan w:val="2"/>
          </w:tcPr>
          <w:p w:rsidR="003F5784" w14:paraId="204DF342" w14:textId="77777777">
            <w:pPr>
              <w:pStyle w:val="TableParagraph"/>
              <w:ind w:left="387"/>
              <w:jc w:val="left"/>
              <w:rPr>
                <w:sz w:val="21"/>
              </w:rPr>
            </w:pPr>
            <w:r>
              <w:rPr>
                <w:spacing w:val="-2"/>
                <w:sz w:val="21"/>
              </w:rPr>
              <w:t>3,000</w:t>
            </w:r>
          </w:p>
        </w:tc>
        <w:tc>
          <w:tcPr>
            <w:tcW w:w="1454" w:type="dxa"/>
            <w:gridSpan w:val="2"/>
          </w:tcPr>
          <w:p w:rsidR="003F5784" w14:paraId="6979EF3C" w14:textId="77777777">
            <w:pPr>
              <w:pStyle w:val="TableParagraph"/>
              <w:ind w:left="463"/>
              <w:jc w:val="left"/>
              <w:rPr>
                <w:sz w:val="21"/>
              </w:rPr>
            </w:pPr>
            <w:r>
              <w:rPr>
                <w:spacing w:val="-4"/>
                <w:sz w:val="21"/>
              </w:rPr>
              <w:t>2.62</w:t>
            </w:r>
          </w:p>
        </w:tc>
        <w:tc>
          <w:tcPr>
            <w:tcW w:w="1743" w:type="dxa"/>
            <w:gridSpan w:val="2"/>
          </w:tcPr>
          <w:p w:rsidR="003F5784" w14:paraId="05DBBCD9" w14:textId="77777777">
            <w:pPr>
              <w:pStyle w:val="TableParagraph"/>
              <w:ind w:right="22"/>
              <w:jc w:val="center"/>
              <w:rPr>
                <w:sz w:val="21"/>
              </w:rPr>
            </w:pPr>
            <w:r>
              <w:rPr>
                <w:spacing w:val="-2"/>
                <w:sz w:val="21"/>
              </w:rPr>
              <w:t>87.89</w:t>
            </w:r>
          </w:p>
        </w:tc>
        <w:tc>
          <w:tcPr>
            <w:tcW w:w="1237" w:type="dxa"/>
            <w:gridSpan w:val="2"/>
          </w:tcPr>
          <w:p w:rsidR="003F5784" w14:paraId="59E88176" w14:textId="77777777">
            <w:pPr>
              <w:pStyle w:val="TableParagraph"/>
              <w:ind w:right="118"/>
              <w:rPr>
                <w:sz w:val="21"/>
              </w:rPr>
            </w:pPr>
            <w:r>
              <w:rPr>
                <w:spacing w:val="-2"/>
                <w:sz w:val="21"/>
              </w:rPr>
              <w:t>17.83</w:t>
            </w:r>
          </w:p>
        </w:tc>
      </w:tr>
      <w:tr w14:paraId="11ED1C99" w14:textId="77777777">
        <w:tblPrEx>
          <w:tblW w:w="0" w:type="auto"/>
          <w:tblInd w:w="552" w:type="dxa"/>
          <w:tblLayout w:type="fixed"/>
          <w:tblCellMar>
            <w:left w:w="0" w:type="dxa"/>
            <w:right w:w="0" w:type="dxa"/>
          </w:tblCellMar>
          <w:tblLook w:val="01E0"/>
        </w:tblPrEx>
        <w:trPr>
          <w:trHeight w:val="286"/>
        </w:trPr>
        <w:tc>
          <w:tcPr>
            <w:tcW w:w="2499" w:type="dxa"/>
          </w:tcPr>
          <w:p w:rsidR="003F5784" w14:paraId="7A900A0D" w14:textId="77777777">
            <w:pPr>
              <w:pStyle w:val="TableParagraph"/>
              <w:ind w:left="120"/>
              <w:jc w:val="left"/>
              <w:rPr>
                <w:sz w:val="21"/>
              </w:rPr>
            </w:pPr>
            <w:r>
              <w:rPr>
                <w:spacing w:val="-2"/>
                <w:sz w:val="21"/>
              </w:rPr>
              <w:t>Michigan</w:t>
            </w:r>
          </w:p>
        </w:tc>
        <w:tc>
          <w:tcPr>
            <w:tcW w:w="2071" w:type="dxa"/>
            <w:gridSpan w:val="2"/>
          </w:tcPr>
          <w:p w:rsidR="003F5784" w14:paraId="02DEA171" w14:textId="77777777">
            <w:pPr>
              <w:pStyle w:val="TableParagraph"/>
              <w:ind w:right="738"/>
              <w:rPr>
                <w:sz w:val="21"/>
              </w:rPr>
            </w:pPr>
            <w:r>
              <w:rPr>
                <w:spacing w:val="-5"/>
                <w:sz w:val="21"/>
              </w:rPr>
              <w:t>130</w:t>
            </w:r>
          </w:p>
        </w:tc>
        <w:tc>
          <w:tcPr>
            <w:tcW w:w="2006" w:type="dxa"/>
            <w:gridSpan w:val="2"/>
          </w:tcPr>
          <w:p w:rsidR="003F5784" w14:paraId="31E42453" w14:textId="77777777">
            <w:pPr>
              <w:pStyle w:val="TableParagraph"/>
              <w:ind w:left="159" w:right="112"/>
              <w:jc w:val="center"/>
              <w:rPr>
                <w:sz w:val="21"/>
              </w:rPr>
            </w:pPr>
            <w:r>
              <w:rPr>
                <w:spacing w:val="-2"/>
                <w:sz w:val="21"/>
              </w:rPr>
              <w:t>100.00</w:t>
            </w:r>
          </w:p>
        </w:tc>
        <w:tc>
          <w:tcPr>
            <w:tcW w:w="1654" w:type="dxa"/>
            <w:gridSpan w:val="2"/>
          </w:tcPr>
          <w:p w:rsidR="003F5784" w14:paraId="18524771" w14:textId="77777777">
            <w:pPr>
              <w:pStyle w:val="TableParagraph"/>
              <w:ind w:right="386"/>
              <w:rPr>
                <w:sz w:val="21"/>
              </w:rPr>
            </w:pPr>
            <w:r>
              <w:rPr>
                <w:spacing w:val="-2"/>
                <w:sz w:val="21"/>
              </w:rPr>
              <w:t>100.00</w:t>
            </w:r>
          </w:p>
        </w:tc>
        <w:tc>
          <w:tcPr>
            <w:tcW w:w="1321" w:type="dxa"/>
            <w:gridSpan w:val="2"/>
          </w:tcPr>
          <w:p w:rsidR="003F5784" w14:paraId="278B88E1" w14:textId="77777777">
            <w:pPr>
              <w:pStyle w:val="TableParagraph"/>
              <w:ind w:left="387"/>
              <w:jc w:val="left"/>
              <w:rPr>
                <w:sz w:val="21"/>
              </w:rPr>
            </w:pPr>
            <w:r>
              <w:rPr>
                <w:spacing w:val="-2"/>
                <w:sz w:val="21"/>
              </w:rPr>
              <w:t>3,000</w:t>
            </w:r>
          </w:p>
        </w:tc>
        <w:tc>
          <w:tcPr>
            <w:tcW w:w="1454" w:type="dxa"/>
            <w:gridSpan w:val="2"/>
          </w:tcPr>
          <w:p w:rsidR="003F5784" w14:paraId="2F0ED683" w14:textId="77777777">
            <w:pPr>
              <w:pStyle w:val="TableParagraph"/>
              <w:ind w:left="463"/>
              <w:jc w:val="left"/>
              <w:rPr>
                <w:sz w:val="21"/>
              </w:rPr>
            </w:pPr>
            <w:r>
              <w:rPr>
                <w:spacing w:val="-4"/>
                <w:sz w:val="21"/>
              </w:rPr>
              <w:t>1.80</w:t>
            </w:r>
          </w:p>
        </w:tc>
        <w:tc>
          <w:tcPr>
            <w:tcW w:w="1743" w:type="dxa"/>
            <w:gridSpan w:val="2"/>
          </w:tcPr>
          <w:p w:rsidR="003F5784" w14:paraId="674830F6" w14:textId="77777777">
            <w:pPr>
              <w:pStyle w:val="TableParagraph"/>
              <w:ind w:right="22"/>
              <w:jc w:val="center"/>
              <w:rPr>
                <w:sz w:val="21"/>
              </w:rPr>
            </w:pPr>
            <w:r>
              <w:rPr>
                <w:spacing w:val="-2"/>
                <w:sz w:val="21"/>
              </w:rPr>
              <w:t>86.82</w:t>
            </w:r>
          </w:p>
        </w:tc>
        <w:tc>
          <w:tcPr>
            <w:tcW w:w="1237" w:type="dxa"/>
            <w:gridSpan w:val="2"/>
          </w:tcPr>
          <w:p w:rsidR="003F5784" w14:paraId="578B313F" w14:textId="77777777">
            <w:pPr>
              <w:pStyle w:val="TableParagraph"/>
              <w:ind w:right="118"/>
              <w:rPr>
                <w:sz w:val="21"/>
              </w:rPr>
            </w:pPr>
            <w:r>
              <w:rPr>
                <w:spacing w:val="-2"/>
                <w:sz w:val="21"/>
              </w:rPr>
              <w:t>10.49</w:t>
            </w:r>
          </w:p>
        </w:tc>
      </w:tr>
      <w:tr w14:paraId="0A464567" w14:textId="77777777">
        <w:tblPrEx>
          <w:tblW w:w="0" w:type="auto"/>
          <w:tblInd w:w="552" w:type="dxa"/>
          <w:tblLayout w:type="fixed"/>
          <w:tblCellMar>
            <w:left w:w="0" w:type="dxa"/>
            <w:right w:w="0" w:type="dxa"/>
          </w:tblCellMar>
          <w:tblLook w:val="01E0"/>
        </w:tblPrEx>
        <w:trPr>
          <w:trHeight w:val="286"/>
        </w:trPr>
        <w:tc>
          <w:tcPr>
            <w:tcW w:w="2499" w:type="dxa"/>
          </w:tcPr>
          <w:p w:rsidR="003F5784" w14:paraId="506EE3D6" w14:textId="77777777">
            <w:pPr>
              <w:pStyle w:val="TableParagraph"/>
              <w:ind w:left="120"/>
              <w:jc w:val="left"/>
              <w:rPr>
                <w:sz w:val="21"/>
              </w:rPr>
            </w:pPr>
            <w:r>
              <w:rPr>
                <w:spacing w:val="-2"/>
                <w:sz w:val="21"/>
              </w:rPr>
              <w:t>Minnesota</w:t>
            </w:r>
          </w:p>
        </w:tc>
        <w:tc>
          <w:tcPr>
            <w:tcW w:w="2071" w:type="dxa"/>
            <w:gridSpan w:val="2"/>
          </w:tcPr>
          <w:p w:rsidR="003F5784" w14:paraId="492762CE" w14:textId="77777777">
            <w:pPr>
              <w:pStyle w:val="TableParagraph"/>
              <w:ind w:right="738"/>
              <w:rPr>
                <w:sz w:val="21"/>
              </w:rPr>
            </w:pPr>
            <w:r>
              <w:rPr>
                <w:spacing w:val="-5"/>
                <w:sz w:val="21"/>
              </w:rPr>
              <w:t>100</w:t>
            </w:r>
          </w:p>
        </w:tc>
        <w:tc>
          <w:tcPr>
            <w:tcW w:w="2006" w:type="dxa"/>
            <w:gridSpan w:val="2"/>
          </w:tcPr>
          <w:p w:rsidR="003F5784" w14:paraId="07065F6B" w14:textId="77777777">
            <w:pPr>
              <w:pStyle w:val="TableParagraph"/>
              <w:ind w:left="159" w:right="8"/>
              <w:jc w:val="center"/>
              <w:rPr>
                <w:sz w:val="21"/>
              </w:rPr>
            </w:pPr>
            <w:r>
              <w:rPr>
                <w:spacing w:val="-2"/>
                <w:sz w:val="21"/>
              </w:rPr>
              <w:t>98.62</w:t>
            </w:r>
          </w:p>
        </w:tc>
        <w:tc>
          <w:tcPr>
            <w:tcW w:w="1654" w:type="dxa"/>
            <w:gridSpan w:val="2"/>
          </w:tcPr>
          <w:p w:rsidR="003F5784" w14:paraId="1A873289" w14:textId="77777777">
            <w:pPr>
              <w:pStyle w:val="TableParagraph"/>
              <w:ind w:right="386"/>
              <w:rPr>
                <w:sz w:val="21"/>
              </w:rPr>
            </w:pPr>
            <w:r>
              <w:rPr>
                <w:spacing w:val="-2"/>
                <w:sz w:val="21"/>
              </w:rPr>
              <w:t>99.16</w:t>
            </w:r>
          </w:p>
        </w:tc>
        <w:tc>
          <w:tcPr>
            <w:tcW w:w="1321" w:type="dxa"/>
            <w:gridSpan w:val="2"/>
          </w:tcPr>
          <w:p w:rsidR="003F5784" w14:paraId="4FAA811E" w14:textId="77777777">
            <w:pPr>
              <w:pStyle w:val="TableParagraph"/>
              <w:ind w:left="387"/>
              <w:jc w:val="left"/>
              <w:rPr>
                <w:sz w:val="21"/>
              </w:rPr>
            </w:pPr>
            <w:r>
              <w:rPr>
                <w:spacing w:val="-2"/>
                <w:sz w:val="21"/>
              </w:rPr>
              <w:t>1,900</w:t>
            </w:r>
          </w:p>
        </w:tc>
        <w:tc>
          <w:tcPr>
            <w:tcW w:w="1454" w:type="dxa"/>
            <w:gridSpan w:val="2"/>
          </w:tcPr>
          <w:p w:rsidR="003F5784" w14:paraId="5B284373" w14:textId="77777777">
            <w:pPr>
              <w:pStyle w:val="TableParagraph"/>
              <w:ind w:left="463"/>
              <w:jc w:val="left"/>
              <w:rPr>
                <w:sz w:val="21"/>
              </w:rPr>
            </w:pPr>
            <w:r>
              <w:rPr>
                <w:spacing w:val="-4"/>
                <w:sz w:val="21"/>
              </w:rPr>
              <w:t>2.08</w:t>
            </w:r>
          </w:p>
        </w:tc>
        <w:tc>
          <w:tcPr>
            <w:tcW w:w="1743" w:type="dxa"/>
            <w:gridSpan w:val="2"/>
          </w:tcPr>
          <w:p w:rsidR="003F5784" w14:paraId="32B06DAB" w14:textId="77777777">
            <w:pPr>
              <w:pStyle w:val="TableParagraph"/>
              <w:ind w:right="22"/>
              <w:jc w:val="center"/>
              <w:rPr>
                <w:sz w:val="21"/>
              </w:rPr>
            </w:pPr>
            <w:r>
              <w:rPr>
                <w:spacing w:val="-2"/>
                <w:sz w:val="21"/>
              </w:rPr>
              <w:t>85.74</w:t>
            </w:r>
          </w:p>
        </w:tc>
        <w:tc>
          <w:tcPr>
            <w:tcW w:w="1237" w:type="dxa"/>
            <w:gridSpan w:val="2"/>
          </w:tcPr>
          <w:p w:rsidR="003F5784" w14:paraId="356BF943" w14:textId="77777777">
            <w:pPr>
              <w:pStyle w:val="TableParagraph"/>
              <w:ind w:right="118"/>
              <w:rPr>
                <w:sz w:val="21"/>
              </w:rPr>
            </w:pPr>
            <w:r>
              <w:rPr>
                <w:spacing w:val="-4"/>
                <w:sz w:val="21"/>
              </w:rPr>
              <w:t>8.79</w:t>
            </w:r>
          </w:p>
        </w:tc>
      </w:tr>
      <w:tr w14:paraId="723A52B3" w14:textId="77777777">
        <w:tblPrEx>
          <w:tblW w:w="0" w:type="auto"/>
          <w:tblInd w:w="552" w:type="dxa"/>
          <w:tblLayout w:type="fixed"/>
          <w:tblCellMar>
            <w:left w:w="0" w:type="dxa"/>
            <w:right w:w="0" w:type="dxa"/>
          </w:tblCellMar>
          <w:tblLook w:val="01E0"/>
        </w:tblPrEx>
        <w:trPr>
          <w:trHeight w:val="286"/>
        </w:trPr>
        <w:tc>
          <w:tcPr>
            <w:tcW w:w="2499" w:type="dxa"/>
          </w:tcPr>
          <w:p w:rsidR="003F5784" w14:paraId="44E12D86" w14:textId="77777777">
            <w:pPr>
              <w:pStyle w:val="TableParagraph"/>
              <w:ind w:left="120"/>
              <w:jc w:val="left"/>
              <w:rPr>
                <w:sz w:val="21"/>
              </w:rPr>
            </w:pPr>
            <w:r>
              <w:rPr>
                <w:spacing w:val="-2"/>
                <w:sz w:val="21"/>
              </w:rPr>
              <w:t>Mississippi</w:t>
            </w:r>
          </w:p>
        </w:tc>
        <w:tc>
          <w:tcPr>
            <w:tcW w:w="2071" w:type="dxa"/>
            <w:gridSpan w:val="2"/>
          </w:tcPr>
          <w:p w:rsidR="003F5784" w14:paraId="0D9C54DC" w14:textId="77777777">
            <w:pPr>
              <w:pStyle w:val="TableParagraph"/>
              <w:ind w:right="738"/>
              <w:rPr>
                <w:sz w:val="21"/>
              </w:rPr>
            </w:pPr>
            <w:r>
              <w:rPr>
                <w:spacing w:val="-5"/>
                <w:sz w:val="21"/>
              </w:rPr>
              <w:t>90</w:t>
            </w:r>
          </w:p>
        </w:tc>
        <w:tc>
          <w:tcPr>
            <w:tcW w:w="2006" w:type="dxa"/>
            <w:gridSpan w:val="2"/>
          </w:tcPr>
          <w:p w:rsidR="003F5784" w14:paraId="417033F8" w14:textId="77777777">
            <w:pPr>
              <w:pStyle w:val="TableParagraph"/>
              <w:ind w:left="159" w:right="112"/>
              <w:jc w:val="center"/>
              <w:rPr>
                <w:sz w:val="21"/>
              </w:rPr>
            </w:pPr>
            <w:r>
              <w:rPr>
                <w:spacing w:val="-2"/>
                <w:sz w:val="21"/>
              </w:rPr>
              <w:t>100.00</w:t>
            </w:r>
          </w:p>
        </w:tc>
        <w:tc>
          <w:tcPr>
            <w:tcW w:w="1654" w:type="dxa"/>
            <w:gridSpan w:val="2"/>
          </w:tcPr>
          <w:p w:rsidR="003F5784" w14:paraId="088685D7" w14:textId="77777777">
            <w:pPr>
              <w:pStyle w:val="TableParagraph"/>
              <w:ind w:right="386"/>
              <w:rPr>
                <w:sz w:val="21"/>
              </w:rPr>
            </w:pPr>
            <w:r>
              <w:rPr>
                <w:spacing w:val="-2"/>
                <w:sz w:val="21"/>
              </w:rPr>
              <w:t>100.00</w:t>
            </w:r>
          </w:p>
        </w:tc>
        <w:tc>
          <w:tcPr>
            <w:tcW w:w="1321" w:type="dxa"/>
            <w:gridSpan w:val="2"/>
          </w:tcPr>
          <w:p w:rsidR="003F5784" w14:paraId="2BC94D4B" w14:textId="77777777">
            <w:pPr>
              <w:pStyle w:val="TableParagraph"/>
              <w:ind w:left="387"/>
              <w:jc w:val="left"/>
              <w:rPr>
                <w:sz w:val="21"/>
              </w:rPr>
            </w:pPr>
            <w:r>
              <w:rPr>
                <w:spacing w:val="-2"/>
                <w:sz w:val="21"/>
              </w:rPr>
              <w:t>2,200</w:t>
            </w:r>
          </w:p>
        </w:tc>
        <w:tc>
          <w:tcPr>
            <w:tcW w:w="1454" w:type="dxa"/>
            <w:gridSpan w:val="2"/>
          </w:tcPr>
          <w:p w:rsidR="003F5784" w14:paraId="64A6F4F6" w14:textId="77777777">
            <w:pPr>
              <w:pStyle w:val="TableParagraph"/>
              <w:ind w:left="463"/>
              <w:jc w:val="left"/>
              <w:rPr>
                <w:sz w:val="21"/>
              </w:rPr>
            </w:pPr>
            <w:r>
              <w:rPr>
                <w:spacing w:val="-4"/>
                <w:sz w:val="21"/>
              </w:rPr>
              <w:t>0.84</w:t>
            </w:r>
          </w:p>
        </w:tc>
        <w:tc>
          <w:tcPr>
            <w:tcW w:w="1743" w:type="dxa"/>
            <w:gridSpan w:val="2"/>
          </w:tcPr>
          <w:p w:rsidR="003F5784" w14:paraId="74105C7A" w14:textId="77777777">
            <w:pPr>
              <w:pStyle w:val="TableParagraph"/>
              <w:ind w:right="22"/>
              <w:jc w:val="center"/>
              <w:rPr>
                <w:sz w:val="21"/>
              </w:rPr>
            </w:pPr>
            <w:r>
              <w:rPr>
                <w:spacing w:val="-2"/>
                <w:sz w:val="21"/>
              </w:rPr>
              <w:t>90.09</w:t>
            </w:r>
          </w:p>
        </w:tc>
        <w:tc>
          <w:tcPr>
            <w:tcW w:w="1237" w:type="dxa"/>
            <w:gridSpan w:val="2"/>
          </w:tcPr>
          <w:p w:rsidR="003F5784" w14:paraId="32B8AFBA" w14:textId="77777777">
            <w:pPr>
              <w:pStyle w:val="TableParagraph"/>
              <w:ind w:right="118"/>
              <w:rPr>
                <w:sz w:val="21"/>
              </w:rPr>
            </w:pPr>
            <w:r>
              <w:rPr>
                <w:spacing w:val="-2"/>
                <w:sz w:val="21"/>
              </w:rPr>
              <w:t>12.25</w:t>
            </w:r>
          </w:p>
        </w:tc>
      </w:tr>
      <w:tr w14:paraId="64757C2F" w14:textId="77777777">
        <w:tblPrEx>
          <w:tblW w:w="0" w:type="auto"/>
          <w:tblInd w:w="552" w:type="dxa"/>
          <w:tblLayout w:type="fixed"/>
          <w:tblCellMar>
            <w:left w:w="0" w:type="dxa"/>
            <w:right w:w="0" w:type="dxa"/>
          </w:tblCellMar>
          <w:tblLook w:val="01E0"/>
        </w:tblPrEx>
        <w:trPr>
          <w:trHeight w:val="286"/>
        </w:trPr>
        <w:tc>
          <w:tcPr>
            <w:tcW w:w="2499" w:type="dxa"/>
          </w:tcPr>
          <w:p w:rsidR="003F5784" w14:paraId="42839EF4" w14:textId="77777777">
            <w:pPr>
              <w:pStyle w:val="TableParagraph"/>
              <w:ind w:left="120"/>
              <w:jc w:val="left"/>
              <w:rPr>
                <w:sz w:val="21"/>
              </w:rPr>
            </w:pPr>
            <w:r>
              <w:rPr>
                <w:spacing w:val="-2"/>
                <w:sz w:val="21"/>
              </w:rPr>
              <w:t>Missouri</w:t>
            </w:r>
          </w:p>
        </w:tc>
        <w:tc>
          <w:tcPr>
            <w:tcW w:w="2071" w:type="dxa"/>
            <w:gridSpan w:val="2"/>
          </w:tcPr>
          <w:p w:rsidR="003F5784" w14:paraId="4E75CF48" w14:textId="77777777">
            <w:pPr>
              <w:pStyle w:val="TableParagraph"/>
              <w:ind w:right="738"/>
              <w:rPr>
                <w:sz w:val="21"/>
              </w:rPr>
            </w:pPr>
            <w:r>
              <w:rPr>
                <w:spacing w:val="-5"/>
                <w:sz w:val="21"/>
              </w:rPr>
              <w:t>100</w:t>
            </w:r>
          </w:p>
        </w:tc>
        <w:tc>
          <w:tcPr>
            <w:tcW w:w="2006" w:type="dxa"/>
            <w:gridSpan w:val="2"/>
          </w:tcPr>
          <w:p w:rsidR="003F5784" w14:paraId="189DD26D" w14:textId="77777777">
            <w:pPr>
              <w:pStyle w:val="TableParagraph"/>
              <w:ind w:left="159" w:right="112"/>
              <w:jc w:val="center"/>
              <w:rPr>
                <w:sz w:val="21"/>
              </w:rPr>
            </w:pPr>
            <w:r>
              <w:rPr>
                <w:spacing w:val="-2"/>
                <w:sz w:val="21"/>
              </w:rPr>
              <w:t>100.00</w:t>
            </w:r>
          </w:p>
        </w:tc>
        <w:tc>
          <w:tcPr>
            <w:tcW w:w="1654" w:type="dxa"/>
            <w:gridSpan w:val="2"/>
          </w:tcPr>
          <w:p w:rsidR="003F5784" w14:paraId="799E6E32" w14:textId="77777777">
            <w:pPr>
              <w:pStyle w:val="TableParagraph"/>
              <w:ind w:right="386"/>
              <w:rPr>
                <w:sz w:val="21"/>
              </w:rPr>
            </w:pPr>
            <w:r>
              <w:rPr>
                <w:spacing w:val="-2"/>
                <w:sz w:val="21"/>
              </w:rPr>
              <w:t>100.00</w:t>
            </w:r>
          </w:p>
        </w:tc>
        <w:tc>
          <w:tcPr>
            <w:tcW w:w="1321" w:type="dxa"/>
            <w:gridSpan w:val="2"/>
          </w:tcPr>
          <w:p w:rsidR="003F5784" w14:paraId="4DF662C2" w14:textId="77777777">
            <w:pPr>
              <w:pStyle w:val="TableParagraph"/>
              <w:ind w:left="387"/>
              <w:jc w:val="left"/>
              <w:rPr>
                <w:sz w:val="21"/>
              </w:rPr>
            </w:pPr>
            <w:r>
              <w:rPr>
                <w:spacing w:val="-2"/>
                <w:sz w:val="21"/>
              </w:rPr>
              <w:t>2,200</w:t>
            </w:r>
          </w:p>
        </w:tc>
        <w:tc>
          <w:tcPr>
            <w:tcW w:w="1454" w:type="dxa"/>
            <w:gridSpan w:val="2"/>
          </w:tcPr>
          <w:p w:rsidR="003F5784" w14:paraId="00378A37" w14:textId="77777777">
            <w:pPr>
              <w:pStyle w:val="TableParagraph"/>
              <w:ind w:left="463"/>
              <w:jc w:val="left"/>
              <w:rPr>
                <w:sz w:val="21"/>
              </w:rPr>
            </w:pPr>
            <w:r>
              <w:rPr>
                <w:spacing w:val="-4"/>
                <w:sz w:val="21"/>
              </w:rPr>
              <w:t>0.99</w:t>
            </w:r>
          </w:p>
        </w:tc>
        <w:tc>
          <w:tcPr>
            <w:tcW w:w="1743" w:type="dxa"/>
            <w:gridSpan w:val="2"/>
          </w:tcPr>
          <w:p w:rsidR="003F5784" w14:paraId="6DBE1C5F" w14:textId="77777777">
            <w:pPr>
              <w:pStyle w:val="TableParagraph"/>
              <w:ind w:right="22"/>
              <w:jc w:val="center"/>
              <w:rPr>
                <w:sz w:val="21"/>
              </w:rPr>
            </w:pPr>
            <w:r>
              <w:rPr>
                <w:spacing w:val="-2"/>
                <w:sz w:val="21"/>
              </w:rPr>
              <w:t>91.73</w:t>
            </w:r>
          </w:p>
        </w:tc>
        <w:tc>
          <w:tcPr>
            <w:tcW w:w="1237" w:type="dxa"/>
            <w:gridSpan w:val="2"/>
          </w:tcPr>
          <w:p w:rsidR="003F5784" w14:paraId="315351CA" w14:textId="77777777">
            <w:pPr>
              <w:pStyle w:val="TableParagraph"/>
              <w:ind w:right="118"/>
              <w:rPr>
                <w:sz w:val="21"/>
              </w:rPr>
            </w:pPr>
            <w:r>
              <w:rPr>
                <w:spacing w:val="-2"/>
                <w:sz w:val="21"/>
              </w:rPr>
              <w:t>11.54</w:t>
            </w:r>
          </w:p>
        </w:tc>
      </w:tr>
      <w:tr w14:paraId="5D8220A9" w14:textId="77777777">
        <w:tblPrEx>
          <w:tblW w:w="0" w:type="auto"/>
          <w:tblInd w:w="552" w:type="dxa"/>
          <w:tblLayout w:type="fixed"/>
          <w:tblCellMar>
            <w:left w:w="0" w:type="dxa"/>
            <w:right w:w="0" w:type="dxa"/>
          </w:tblCellMar>
          <w:tblLook w:val="01E0"/>
        </w:tblPrEx>
        <w:trPr>
          <w:trHeight w:val="286"/>
        </w:trPr>
        <w:tc>
          <w:tcPr>
            <w:tcW w:w="2499" w:type="dxa"/>
          </w:tcPr>
          <w:p w:rsidR="003F5784" w14:paraId="0A2A140F" w14:textId="77777777">
            <w:pPr>
              <w:pStyle w:val="TableParagraph"/>
              <w:ind w:left="120"/>
              <w:jc w:val="left"/>
              <w:rPr>
                <w:sz w:val="21"/>
              </w:rPr>
            </w:pPr>
            <w:r>
              <w:rPr>
                <w:spacing w:val="-2"/>
                <w:sz w:val="21"/>
              </w:rPr>
              <w:t>Montana</w:t>
            </w:r>
          </w:p>
        </w:tc>
        <w:tc>
          <w:tcPr>
            <w:tcW w:w="2071" w:type="dxa"/>
            <w:gridSpan w:val="2"/>
          </w:tcPr>
          <w:p w:rsidR="003F5784" w14:paraId="0B503608" w14:textId="77777777">
            <w:pPr>
              <w:pStyle w:val="TableParagraph"/>
              <w:ind w:right="738"/>
              <w:rPr>
                <w:sz w:val="21"/>
              </w:rPr>
            </w:pPr>
            <w:r>
              <w:rPr>
                <w:spacing w:val="-5"/>
                <w:sz w:val="21"/>
              </w:rPr>
              <w:t>100</w:t>
            </w:r>
          </w:p>
        </w:tc>
        <w:tc>
          <w:tcPr>
            <w:tcW w:w="2006" w:type="dxa"/>
            <w:gridSpan w:val="2"/>
          </w:tcPr>
          <w:p w:rsidR="003F5784" w14:paraId="1F357553" w14:textId="77777777">
            <w:pPr>
              <w:pStyle w:val="TableParagraph"/>
              <w:ind w:left="159" w:right="8"/>
              <w:jc w:val="center"/>
              <w:rPr>
                <w:sz w:val="21"/>
              </w:rPr>
            </w:pPr>
            <w:r>
              <w:rPr>
                <w:spacing w:val="-2"/>
                <w:sz w:val="21"/>
              </w:rPr>
              <w:t>99.95</w:t>
            </w:r>
          </w:p>
        </w:tc>
        <w:tc>
          <w:tcPr>
            <w:tcW w:w="1654" w:type="dxa"/>
            <w:gridSpan w:val="2"/>
          </w:tcPr>
          <w:p w:rsidR="003F5784" w14:paraId="60E2AF44" w14:textId="77777777">
            <w:pPr>
              <w:pStyle w:val="TableParagraph"/>
              <w:ind w:right="386"/>
              <w:rPr>
                <w:sz w:val="21"/>
              </w:rPr>
            </w:pPr>
            <w:r>
              <w:rPr>
                <w:spacing w:val="-2"/>
                <w:sz w:val="21"/>
              </w:rPr>
              <w:t>98.06</w:t>
            </w:r>
          </w:p>
        </w:tc>
        <w:tc>
          <w:tcPr>
            <w:tcW w:w="1321" w:type="dxa"/>
            <w:gridSpan w:val="2"/>
          </w:tcPr>
          <w:p w:rsidR="003F5784" w14:paraId="736AB3CB" w14:textId="77777777">
            <w:pPr>
              <w:pStyle w:val="TableParagraph"/>
              <w:ind w:left="387"/>
              <w:jc w:val="left"/>
              <w:rPr>
                <w:sz w:val="21"/>
              </w:rPr>
            </w:pPr>
            <w:r>
              <w:rPr>
                <w:spacing w:val="-2"/>
                <w:sz w:val="21"/>
              </w:rPr>
              <w:t>2,100</w:t>
            </w:r>
          </w:p>
        </w:tc>
        <w:tc>
          <w:tcPr>
            <w:tcW w:w="1454" w:type="dxa"/>
            <w:gridSpan w:val="2"/>
          </w:tcPr>
          <w:p w:rsidR="003F5784" w14:paraId="5F8068C2" w14:textId="77777777">
            <w:pPr>
              <w:pStyle w:val="TableParagraph"/>
              <w:ind w:left="463"/>
              <w:jc w:val="left"/>
              <w:rPr>
                <w:sz w:val="21"/>
              </w:rPr>
            </w:pPr>
            <w:r>
              <w:rPr>
                <w:spacing w:val="-4"/>
                <w:sz w:val="21"/>
              </w:rPr>
              <w:t>1.17</w:t>
            </w:r>
          </w:p>
        </w:tc>
        <w:tc>
          <w:tcPr>
            <w:tcW w:w="1743" w:type="dxa"/>
            <w:gridSpan w:val="2"/>
          </w:tcPr>
          <w:p w:rsidR="003F5784" w14:paraId="5C3FB79C" w14:textId="77777777">
            <w:pPr>
              <w:pStyle w:val="TableParagraph"/>
              <w:ind w:right="22"/>
              <w:jc w:val="center"/>
              <w:rPr>
                <w:sz w:val="21"/>
              </w:rPr>
            </w:pPr>
            <w:r>
              <w:rPr>
                <w:spacing w:val="-2"/>
                <w:sz w:val="21"/>
              </w:rPr>
              <w:t>85.81</w:t>
            </w:r>
          </w:p>
        </w:tc>
        <w:tc>
          <w:tcPr>
            <w:tcW w:w="1237" w:type="dxa"/>
            <w:gridSpan w:val="2"/>
          </w:tcPr>
          <w:p w:rsidR="003F5784" w14:paraId="1373D369" w14:textId="77777777">
            <w:pPr>
              <w:pStyle w:val="TableParagraph"/>
              <w:ind w:right="118"/>
              <w:rPr>
                <w:sz w:val="21"/>
              </w:rPr>
            </w:pPr>
            <w:r>
              <w:rPr>
                <w:spacing w:val="-2"/>
                <w:sz w:val="21"/>
              </w:rPr>
              <w:t>12.23</w:t>
            </w:r>
          </w:p>
        </w:tc>
      </w:tr>
      <w:tr w14:paraId="28D556F1" w14:textId="77777777">
        <w:tblPrEx>
          <w:tblW w:w="0" w:type="auto"/>
          <w:tblInd w:w="552" w:type="dxa"/>
          <w:tblLayout w:type="fixed"/>
          <w:tblCellMar>
            <w:left w:w="0" w:type="dxa"/>
            <w:right w:w="0" w:type="dxa"/>
          </w:tblCellMar>
          <w:tblLook w:val="01E0"/>
        </w:tblPrEx>
        <w:trPr>
          <w:trHeight w:val="286"/>
        </w:trPr>
        <w:tc>
          <w:tcPr>
            <w:tcW w:w="2499" w:type="dxa"/>
          </w:tcPr>
          <w:p w:rsidR="003F5784" w14:paraId="642BD21A" w14:textId="77777777">
            <w:pPr>
              <w:pStyle w:val="TableParagraph"/>
              <w:ind w:left="120"/>
              <w:jc w:val="left"/>
              <w:rPr>
                <w:sz w:val="21"/>
              </w:rPr>
            </w:pPr>
            <w:r>
              <w:rPr>
                <w:spacing w:val="-2"/>
                <w:sz w:val="21"/>
              </w:rPr>
              <w:t>Nebraska</w:t>
            </w:r>
          </w:p>
        </w:tc>
        <w:tc>
          <w:tcPr>
            <w:tcW w:w="2071" w:type="dxa"/>
            <w:gridSpan w:val="2"/>
          </w:tcPr>
          <w:p w:rsidR="003F5784" w14:paraId="00282011" w14:textId="77777777">
            <w:pPr>
              <w:pStyle w:val="TableParagraph"/>
              <w:ind w:right="738"/>
              <w:rPr>
                <w:sz w:val="21"/>
              </w:rPr>
            </w:pPr>
            <w:r>
              <w:rPr>
                <w:spacing w:val="-5"/>
                <w:sz w:val="21"/>
              </w:rPr>
              <w:t>100</w:t>
            </w:r>
          </w:p>
        </w:tc>
        <w:tc>
          <w:tcPr>
            <w:tcW w:w="2006" w:type="dxa"/>
            <w:gridSpan w:val="2"/>
          </w:tcPr>
          <w:p w:rsidR="003F5784" w14:paraId="1E62DFE1" w14:textId="77777777">
            <w:pPr>
              <w:pStyle w:val="TableParagraph"/>
              <w:ind w:left="159" w:right="112"/>
              <w:jc w:val="center"/>
              <w:rPr>
                <w:sz w:val="21"/>
              </w:rPr>
            </w:pPr>
            <w:r>
              <w:rPr>
                <w:spacing w:val="-2"/>
                <w:sz w:val="21"/>
              </w:rPr>
              <w:t>100.00</w:t>
            </w:r>
          </w:p>
        </w:tc>
        <w:tc>
          <w:tcPr>
            <w:tcW w:w="1654" w:type="dxa"/>
            <w:gridSpan w:val="2"/>
          </w:tcPr>
          <w:p w:rsidR="003F5784" w14:paraId="52337AF4" w14:textId="77777777">
            <w:pPr>
              <w:pStyle w:val="TableParagraph"/>
              <w:ind w:right="386"/>
              <w:rPr>
                <w:sz w:val="21"/>
              </w:rPr>
            </w:pPr>
            <w:r>
              <w:rPr>
                <w:spacing w:val="-2"/>
                <w:sz w:val="21"/>
              </w:rPr>
              <w:t>100.00</w:t>
            </w:r>
          </w:p>
        </w:tc>
        <w:tc>
          <w:tcPr>
            <w:tcW w:w="1321" w:type="dxa"/>
            <w:gridSpan w:val="2"/>
          </w:tcPr>
          <w:p w:rsidR="003F5784" w14:paraId="1C00BE0E" w14:textId="77777777">
            <w:pPr>
              <w:pStyle w:val="TableParagraph"/>
              <w:ind w:left="387"/>
              <w:jc w:val="left"/>
              <w:rPr>
                <w:sz w:val="21"/>
              </w:rPr>
            </w:pPr>
            <w:r>
              <w:rPr>
                <w:spacing w:val="-2"/>
                <w:sz w:val="21"/>
              </w:rPr>
              <w:t>2,200</w:t>
            </w:r>
          </w:p>
        </w:tc>
        <w:tc>
          <w:tcPr>
            <w:tcW w:w="1454" w:type="dxa"/>
            <w:gridSpan w:val="2"/>
          </w:tcPr>
          <w:p w:rsidR="003F5784" w14:paraId="6387E9A3" w14:textId="77777777">
            <w:pPr>
              <w:pStyle w:val="TableParagraph"/>
              <w:ind w:left="463"/>
              <w:jc w:val="left"/>
              <w:rPr>
                <w:sz w:val="21"/>
              </w:rPr>
            </w:pPr>
            <w:r>
              <w:rPr>
                <w:spacing w:val="-4"/>
                <w:sz w:val="21"/>
              </w:rPr>
              <w:t>1.76</w:t>
            </w:r>
          </w:p>
        </w:tc>
        <w:tc>
          <w:tcPr>
            <w:tcW w:w="1743" w:type="dxa"/>
            <w:gridSpan w:val="2"/>
          </w:tcPr>
          <w:p w:rsidR="003F5784" w14:paraId="701B0826" w14:textId="77777777">
            <w:pPr>
              <w:pStyle w:val="TableParagraph"/>
              <w:ind w:right="22"/>
              <w:jc w:val="center"/>
              <w:rPr>
                <w:sz w:val="21"/>
              </w:rPr>
            </w:pPr>
            <w:r>
              <w:rPr>
                <w:spacing w:val="-2"/>
                <w:sz w:val="21"/>
              </w:rPr>
              <w:t>92.46</w:t>
            </w:r>
          </w:p>
        </w:tc>
        <w:tc>
          <w:tcPr>
            <w:tcW w:w="1237" w:type="dxa"/>
            <w:gridSpan w:val="2"/>
          </w:tcPr>
          <w:p w:rsidR="003F5784" w14:paraId="58149642" w14:textId="77777777">
            <w:pPr>
              <w:pStyle w:val="TableParagraph"/>
              <w:ind w:right="118"/>
              <w:rPr>
                <w:sz w:val="21"/>
              </w:rPr>
            </w:pPr>
            <w:r>
              <w:rPr>
                <w:spacing w:val="-2"/>
                <w:sz w:val="21"/>
              </w:rPr>
              <w:t>12.69</w:t>
            </w:r>
          </w:p>
        </w:tc>
      </w:tr>
      <w:tr w14:paraId="7DBB02F3" w14:textId="77777777">
        <w:tblPrEx>
          <w:tblW w:w="0" w:type="auto"/>
          <w:tblInd w:w="552" w:type="dxa"/>
          <w:tblLayout w:type="fixed"/>
          <w:tblCellMar>
            <w:left w:w="0" w:type="dxa"/>
            <w:right w:w="0" w:type="dxa"/>
          </w:tblCellMar>
          <w:tblLook w:val="01E0"/>
        </w:tblPrEx>
        <w:trPr>
          <w:trHeight w:val="286"/>
        </w:trPr>
        <w:tc>
          <w:tcPr>
            <w:tcW w:w="2499" w:type="dxa"/>
          </w:tcPr>
          <w:p w:rsidR="003F5784" w14:paraId="1B7523C9" w14:textId="77777777">
            <w:pPr>
              <w:pStyle w:val="TableParagraph"/>
              <w:ind w:left="120"/>
              <w:jc w:val="left"/>
              <w:rPr>
                <w:sz w:val="21"/>
              </w:rPr>
            </w:pPr>
            <w:r>
              <w:rPr>
                <w:spacing w:val="-2"/>
                <w:sz w:val="21"/>
              </w:rPr>
              <w:t>Nevada</w:t>
            </w:r>
          </w:p>
        </w:tc>
        <w:tc>
          <w:tcPr>
            <w:tcW w:w="2071" w:type="dxa"/>
            <w:gridSpan w:val="2"/>
          </w:tcPr>
          <w:p w:rsidR="003F5784" w14:paraId="77EA8D63" w14:textId="77777777">
            <w:pPr>
              <w:pStyle w:val="TableParagraph"/>
              <w:ind w:right="738"/>
              <w:rPr>
                <w:sz w:val="21"/>
              </w:rPr>
            </w:pPr>
            <w:r>
              <w:rPr>
                <w:spacing w:val="-5"/>
                <w:sz w:val="21"/>
              </w:rPr>
              <w:t>90</w:t>
            </w:r>
          </w:p>
        </w:tc>
        <w:tc>
          <w:tcPr>
            <w:tcW w:w="2006" w:type="dxa"/>
            <w:gridSpan w:val="2"/>
          </w:tcPr>
          <w:p w:rsidR="003F5784" w14:paraId="7C3F1815" w14:textId="77777777">
            <w:pPr>
              <w:pStyle w:val="TableParagraph"/>
              <w:ind w:left="159" w:right="112"/>
              <w:jc w:val="center"/>
              <w:rPr>
                <w:sz w:val="21"/>
              </w:rPr>
            </w:pPr>
            <w:r>
              <w:rPr>
                <w:spacing w:val="-2"/>
                <w:sz w:val="21"/>
              </w:rPr>
              <w:t>100.00</w:t>
            </w:r>
          </w:p>
        </w:tc>
        <w:tc>
          <w:tcPr>
            <w:tcW w:w="1654" w:type="dxa"/>
            <w:gridSpan w:val="2"/>
          </w:tcPr>
          <w:p w:rsidR="003F5784" w14:paraId="1B8BC70E" w14:textId="77777777">
            <w:pPr>
              <w:pStyle w:val="TableParagraph"/>
              <w:ind w:right="386"/>
              <w:rPr>
                <w:sz w:val="21"/>
              </w:rPr>
            </w:pPr>
            <w:r>
              <w:rPr>
                <w:spacing w:val="-2"/>
                <w:sz w:val="21"/>
              </w:rPr>
              <w:t>100.00</w:t>
            </w:r>
          </w:p>
        </w:tc>
        <w:tc>
          <w:tcPr>
            <w:tcW w:w="1321" w:type="dxa"/>
            <w:gridSpan w:val="2"/>
          </w:tcPr>
          <w:p w:rsidR="003F5784" w14:paraId="5C602D70" w14:textId="77777777">
            <w:pPr>
              <w:pStyle w:val="TableParagraph"/>
              <w:ind w:left="387"/>
              <w:jc w:val="left"/>
              <w:rPr>
                <w:sz w:val="21"/>
              </w:rPr>
            </w:pPr>
            <w:r>
              <w:rPr>
                <w:spacing w:val="-2"/>
                <w:sz w:val="21"/>
              </w:rPr>
              <w:t>2,400</w:t>
            </w:r>
          </w:p>
        </w:tc>
        <w:tc>
          <w:tcPr>
            <w:tcW w:w="1454" w:type="dxa"/>
            <w:gridSpan w:val="2"/>
          </w:tcPr>
          <w:p w:rsidR="003F5784" w14:paraId="70BC1B38" w14:textId="77777777">
            <w:pPr>
              <w:pStyle w:val="TableParagraph"/>
              <w:ind w:left="463"/>
              <w:jc w:val="left"/>
              <w:rPr>
                <w:sz w:val="21"/>
              </w:rPr>
            </w:pPr>
            <w:r>
              <w:rPr>
                <w:spacing w:val="-4"/>
                <w:sz w:val="21"/>
              </w:rPr>
              <w:t>1.10</w:t>
            </w:r>
          </w:p>
        </w:tc>
        <w:tc>
          <w:tcPr>
            <w:tcW w:w="1743" w:type="dxa"/>
            <w:gridSpan w:val="2"/>
          </w:tcPr>
          <w:p w:rsidR="003F5784" w14:paraId="7B6D2502" w14:textId="77777777">
            <w:pPr>
              <w:pStyle w:val="TableParagraph"/>
              <w:ind w:right="22"/>
              <w:jc w:val="center"/>
              <w:rPr>
                <w:sz w:val="21"/>
              </w:rPr>
            </w:pPr>
            <w:r>
              <w:rPr>
                <w:spacing w:val="-2"/>
                <w:sz w:val="21"/>
              </w:rPr>
              <w:t>87.92</w:t>
            </w:r>
          </w:p>
        </w:tc>
        <w:tc>
          <w:tcPr>
            <w:tcW w:w="1237" w:type="dxa"/>
            <w:gridSpan w:val="2"/>
          </w:tcPr>
          <w:p w:rsidR="003F5784" w14:paraId="2531ACB3" w14:textId="77777777">
            <w:pPr>
              <w:pStyle w:val="TableParagraph"/>
              <w:ind w:right="118"/>
              <w:rPr>
                <w:sz w:val="21"/>
              </w:rPr>
            </w:pPr>
            <w:r>
              <w:rPr>
                <w:spacing w:val="-4"/>
                <w:sz w:val="21"/>
              </w:rPr>
              <w:t>6.89</w:t>
            </w:r>
          </w:p>
        </w:tc>
      </w:tr>
      <w:tr w14:paraId="285CF085" w14:textId="77777777">
        <w:tblPrEx>
          <w:tblW w:w="0" w:type="auto"/>
          <w:tblInd w:w="552" w:type="dxa"/>
          <w:tblLayout w:type="fixed"/>
          <w:tblCellMar>
            <w:left w:w="0" w:type="dxa"/>
            <w:right w:w="0" w:type="dxa"/>
          </w:tblCellMar>
          <w:tblLook w:val="01E0"/>
        </w:tblPrEx>
        <w:trPr>
          <w:trHeight w:val="286"/>
        </w:trPr>
        <w:tc>
          <w:tcPr>
            <w:tcW w:w="2499" w:type="dxa"/>
          </w:tcPr>
          <w:p w:rsidR="003F5784" w14:paraId="0A6D1FC3" w14:textId="77777777">
            <w:pPr>
              <w:pStyle w:val="TableParagraph"/>
              <w:ind w:left="120"/>
              <w:jc w:val="left"/>
              <w:rPr>
                <w:sz w:val="21"/>
              </w:rPr>
            </w:pPr>
            <w:r>
              <w:rPr>
                <w:sz w:val="21"/>
              </w:rPr>
              <w:t>New</w:t>
            </w:r>
            <w:r>
              <w:rPr>
                <w:spacing w:val="-5"/>
                <w:sz w:val="21"/>
              </w:rPr>
              <w:t xml:space="preserve"> </w:t>
            </w:r>
            <w:r>
              <w:rPr>
                <w:spacing w:val="-2"/>
                <w:sz w:val="21"/>
              </w:rPr>
              <w:t>Hampshire</w:t>
            </w:r>
          </w:p>
        </w:tc>
        <w:tc>
          <w:tcPr>
            <w:tcW w:w="2071" w:type="dxa"/>
            <w:gridSpan w:val="2"/>
          </w:tcPr>
          <w:p w:rsidR="003F5784" w14:paraId="17683C81" w14:textId="77777777">
            <w:pPr>
              <w:pStyle w:val="TableParagraph"/>
              <w:ind w:right="738"/>
              <w:rPr>
                <w:sz w:val="21"/>
              </w:rPr>
            </w:pPr>
            <w:r>
              <w:rPr>
                <w:spacing w:val="-5"/>
                <w:sz w:val="21"/>
              </w:rPr>
              <w:t>80</w:t>
            </w:r>
          </w:p>
        </w:tc>
        <w:tc>
          <w:tcPr>
            <w:tcW w:w="2006" w:type="dxa"/>
            <w:gridSpan w:val="2"/>
          </w:tcPr>
          <w:p w:rsidR="003F5784" w14:paraId="14E5F157" w14:textId="77777777">
            <w:pPr>
              <w:pStyle w:val="TableParagraph"/>
              <w:ind w:left="159" w:right="8"/>
              <w:jc w:val="center"/>
              <w:rPr>
                <w:sz w:val="21"/>
              </w:rPr>
            </w:pPr>
            <w:r>
              <w:rPr>
                <w:spacing w:val="-2"/>
                <w:sz w:val="21"/>
              </w:rPr>
              <w:t>98.97</w:t>
            </w:r>
          </w:p>
        </w:tc>
        <w:tc>
          <w:tcPr>
            <w:tcW w:w="1654" w:type="dxa"/>
            <w:gridSpan w:val="2"/>
          </w:tcPr>
          <w:p w:rsidR="003F5784" w14:paraId="54684D3A" w14:textId="77777777">
            <w:pPr>
              <w:pStyle w:val="TableParagraph"/>
              <w:ind w:right="386"/>
              <w:rPr>
                <w:sz w:val="21"/>
              </w:rPr>
            </w:pPr>
            <w:r>
              <w:rPr>
                <w:spacing w:val="-2"/>
                <w:sz w:val="21"/>
              </w:rPr>
              <w:t>98.63</w:t>
            </w:r>
          </w:p>
        </w:tc>
        <w:tc>
          <w:tcPr>
            <w:tcW w:w="1321" w:type="dxa"/>
            <w:gridSpan w:val="2"/>
          </w:tcPr>
          <w:p w:rsidR="003F5784" w14:paraId="406793DF" w14:textId="77777777">
            <w:pPr>
              <w:pStyle w:val="TableParagraph"/>
              <w:ind w:left="387"/>
              <w:jc w:val="left"/>
              <w:rPr>
                <w:sz w:val="21"/>
              </w:rPr>
            </w:pPr>
            <w:r>
              <w:rPr>
                <w:spacing w:val="-2"/>
                <w:sz w:val="21"/>
              </w:rPr>
              <w:t>2,100</w:t>
            </w:r>
          </w:p>
        </w:tc>
        <w:tc>
          <w:tcPr>
            <w:tcW w:w="1454" w:type="dxa"/>
            <w:gridSpan w:val="2"/>
          </w:tcPr>
          <w:p w:rsidR="003F5784" w14:paraId="60A097C5" w14:textId="77777777">
            <w:pPr>
              <w:pStyle w:val="TableParagraph"/>
              <w:ind w:left="463"/>
              <w:jc w:val="left"/>
              <w:rPr>
                <w:sz w:val="21"/>
              </w:rPr>
            </w:pPr>
            <w:r>
              <w:rPr>
                <w:spacing w:val="-4"/>
                <w:sz w:val="21"/>
              </w:rPr>
              <w:t>1.48</w:t>
            </w:r>
          </w:p>
        </w:tc>
        <w:tc>
          <w:tcPr>
            <w:tcW w:w="1743" w:type="dxa"/>
            <w:gridSpan w:val="2"/>
          </w:tcPr>
          <w:p w:rsidR="003F5784" w14:paraId="0BEB3E88" w14:textId="77777777">
            <w:pPr>
              <w:pStyle w:val="TableParagraph"/>
              <w:ind w:right="22"/>
              <w:jc w:val="center"/>
              <w:rPr>
                <w:sz w:val="21"/>
              </w:rPr>
            </w:pPr>
            <w:r>
              <w:rPr>
                <w:spacing w:val="-2"/>
                <w:sz w:val="21"/>
              </w:rPr>
              <w:t>82.00</w:t>
            </w:r>
          </w:p>
        </w:tc>
        <w:tc>
          <w:tcPr>
            <w:tcW w:w="1237" w:type="dxa"/>
            <w:gridSpan w:val="2"/>
          </w:tcPr>
          <w:p w:rsidR="003F5784" w14:paraId="5ACA9257" w14:textId="77777777">
            <w:pPr>
              <w:pStyle w:val="TableParagraph"/>
              <w:ind w:right="118"/>
              <w:rPr>
                <w:sz w:val="21"/>
              </w:rPr>
            </w:pPr>
            <w:r>
              <w:rPr>
                <w:spacing w:val="-2"/>
                <w:sz w:val="21"/>
              </w:rPr>
              <w:t>12.45</w:t>
            </w:r>
          </w:p>
        </w:tc>
      </w:tr>
      <w:tr w14:paraId="7A13B4D4" w14:textId="77777777">
        <w:tblPrEx>
          <w:tblW w:w="0" w:type="auto"/>
          <w:tblInd w:w="552" w:type="dxa"/>
          <w:tblLayout w:type="fixed"/>
          <w:tblCellMar>
            <w:left w:w="0" w:type="dxa"/>
            <w:right w:w="0" w:type="dxa"/>
          </w:tblCellMar>
          <w:tblLook w:val="01E0"/>
        </w:tblPrEx>
        <w:trPr>
          <w:trHeight w:val="286"/>
        </w:trPr>
        <w:tc>
          <w:tcPr>
            <w:tcW w:w="2499" w:type="dxa"/>
          </w:tcPr>
          <w:p w:rsidR="003F5784" w14:paraId="1083DAC9" w14:textId="77777777">
            <w:pPr>
              <w:pStyle w:val="TableParagraph"/>
              <w:ind w:left="120"/>
              <w:jc w:val="left"/>
              <w:rPr>
                <w:sz w:val="21"/>
              </w:rPr>
            </w:pPr>
            <w:r>
              <w:rPr>
                <w:sz w:val="21"/>
              </w:rPr>
              <w:t>New</w:t>
            </w:r>
            <w:r>
              <w:rPr>
                <w:spacing w:val="-5"/>
                <w:sz w:val="21"/>
              </w:rPr>
              <w:t xml:space="preserve"> </w:t>
            </w:r>
            <w:r>
              <w:rPr>
                <w:spacing w:val="-2"/>
                <w:sz w:val="21"/>
              </w:rPr>
              <w:t>Jersey</w:t>
            </w:r>
          </w:p>
        </w:tc>
        <w:tc>
          <w:tcPr>
            <w:tcW w:w="2071" w:type="dxa"/>
            <w:gridSpan w:val="2"/>
          </w:tcPr>
          <w:p w:rsidR="003F5784" w14:paraId="2D6D1AE6" w14:textId="77777777">
            <w:pPr>
              <w:pStyle w:val="TableParagraph"/>
              <w:ind w:right="738"/>
              <w:rPr>
                <w:sz w:val="21"/>
              </w:rPr>
            </w:pPr>
            <w:r>
              <w:rPr>
                <w:spacing w:val="-5"/>
                <w:sz w:val="21"/>
              </w:rPr>
              <w:t>90</w:t>
            </w:r>
          </w:p>
        </w:tc>
        <w:tc>
          <w:tcPr>
            <w:tcW w:w="2006" w:type="dxa"/>
            <w:gridSpan w:val="2"/>
          </w:tcPr>
          <w:p w:rsidR="003F5784" w14:paraId="4DADC724" w14:textId="77777777">
            <w:pPr>
              <w:pStyle w:val="TableParagraph"/>
              <w:ind w:left="159" w:right="8"/>
              <w:jc w:val="center"/>
              <w:rPr>
                <w:sz w:val="21"/>
              </w:rPr>
            </w:pPr>
            <w:r>
              <w:rPr>
                <w:spacing w:val="-2"/>
                <w:sz w:val="21"/>
              </w:rPr>
              <w:t>98.85</w:t>
            </w:r>
          </w:p>
        </w:tc>
        <w:tc>
          <w:tcPr>
            <w:tcW w:w="1654" w:type="dxa"/>
            <w:gridSpan w:val="2"/>
          </w:tcPr>
          <w:p w:rsidR="003F5784" w14:paraId="1EBD84E6" w14:textId="77777777">
            <w:pPr>
              <w:pStyle w:val="TableParagraph"/>
              <w:ind w:right="386"/>
              <w:rPr>
                <w:sz w:val="21"/>
              </w:rPr>
            </w:pPr>
            <w:r>
              <w:rPr>
                <w:spacing w:val="-2"/>
                <w:sz w:val="21"/>
              </w:rPr>
              <w:t>99.47</w:t>
            </w:r>
          </w:p>
        </w:tc>
        <w:tc>
          <w:tcPr>
            <w:tcW w:w="1321" w:type="dxa"/>
            <w:gridSpan w:val="2"/>
          </w:tcPr>
          <w:p w:rsidR="003F5784" w14:paraId="67A036B5" w14:textId="77777777">
            <w:pPr>
              <w:pStyle w:val="TableParagraph"/>
              <w:ind w:left="387"/>
              <w:jc w:val="left"/>
              <w:rPr>
                <w:sz w:val="21"/>
              </w:rPr>
            </w:pPr>
            <w:r>
              <w:rPr>
                <w:spacing w:val="-2"/>
                <w:sz w:val="21"/>
              </w:rPr>
              <w:t>2,100</w:t>
            </w:r>
          </w:p>
        </w:tc>
        <w:tc>
          <w:tcPr>
            <w:tcW w:w="1454" w:type="dxa"/>
            <w:gridSpan w:val="2"/>
          </w:tcPr>
          <w:p w:rsidR="003F5784" w14:paraId="085F9EB7" w14:textId="77777777">
            <w:pPr>
              <w:pStyle w:val="TableParagraph"/>
              <w:ind w:left="463"/>
              <w:jc w:val="left"/>
              <w:rPr>
                <w:sz w:val="21"/>
              </w:rPr>
            </w:pPr>
            <w:r>
              <w:rPr>
                <w:spacing w:val="-4"/>
                <w:sz w:val="21"/>
              </w:rPr>
              <w:t>1.61</w:t>
            </w:r>
          </w:p>
        </w:tc>
        <w:tc>
          <w:tcPr>
            <w:tcW w:w="1743" w:type="dxa"/>
            <w:gridSpan w:val="2"/>
          </w:tcPr>
          <w:p w:rsidR="003F5784" w14:paraId="5758879B" w14:textId="77777777">
            <w:pPr>
              <w:pStyle w:val="TableParagraph"/>
              <w:ind w:right="22"/>
              <w:jc w:val="center"/>
              <w:rPr>
                <w:sz w:val="21"/>
              </w:rPr>
            </w:pPr>
            <w:r>
              <w:rPr>
                <w:spacing w:val="-2"/>
                <w:sz w:val="21"/>
              </w:rPr>
              <w:t>91.20</w:t>
            </w:r>
          </w:p>
        </w:tc>
        <w:tc>
          <w:tcPr>
            <w:tcW w:w="1237" w:type="dxa"/>
            <w:gridSpan w:val="2"/>
          </w:tcPr>
          <w:p w:rsidR="003F5784" w14:paraId="7A5716D4" w14:textId="77777777">
            <w:pPr>
              <w:pStyle w:val="TableParagraph"/>
              <w:ind w:right="118"/>
              <w:rPr>
                <w:sz w:val="21"/>
              </w:rPr>
            </w:pPr>
            <w:r>
              <w:rPr>
                <w:spacing w:val="-2"/>
                <w:sz w:val="21"/>
              </w:rPr>
              <w:t>19.77</w:t>
            </w:r>
          </w:p>
        </w:tc>
      </w:tr>
      <w:tr w14:paraId="49A91E77" w14:textId="77777777">
        <w:tblPrEx>
          <w:tblW w:w="0" w:type="auto"/>
          <w:tblInd w:w="552" w:type="dxa"/>
          <w:tblLayout w:type="fixed"/>
          <w:tblCellMar>
            <w:left w:w="0" w:type="dxa"/>
            <w:right w:w="0" w:type="dxa"/>
          </w:tblCellMar>
          <w:tblLook w:val="01E0"/>
        </w:tblPrEx>
        <w:trPr>
          <w:trHeight w:val="286"/>
        </w:trPr>
        <w:tc>
          <w:tcPr>
            <w:tcW w:w="2499" w:type="dxa"/>
          </w:tcPr>
          <w:p w:rsidR="003F5784" w14:paraId="610D25EB" w14:textId="77777777">
            <w:pPr>
              <w:pStyle w:val="TableParagraph"/>
              <w:ind w:left="120"/>
              <w:jc w:val="left"/>
              <w:rPr>
                <w:sz w:val="21"/>
              </w:rPr>
            </w:pPr>
            <w:r>
              <w:rPr>
                <w:sz w:val="21"/>
              </w:rPr>
              <w:t>New</w:t>
            </w:r>
            <w:r>
              <w:rPr>
                <w:spacing w:val="-5"/>
                <w:sz w:val="21"/>
              </w:rPr>
              <w:t xml:space="preserve"> </w:t>
            </w:r>
            <w:r>
              <w:rPr>
                <w:spacing w:val="-2"/>
                <w:sz w:val="21"/>
              </w:rPr>
              <w:t>Mexico</w:t>
            </w:r>
          </w:p>
        </w:tc>
        <w:tc>
          <w:tcPr>
            <w:tcW w:w="2071" w:type="dxa"/>
            <w:gridSpan w:val="2"/>
          </w:tcPr>
          <w:p w:rsidR="003F5784" w14:paraId="5074A0C8" w14:textId="77777777">
            <w:pPr>
              <w:pStyle w:val="TableParagraph"/>
              <w:ind w:right="738"/>
              <w:rPr>
                <w:sz w:val="21"/>
              </w:rPr>
            </w:pPr>
            <w:r>
              <w:rPr>
                <w:spacing w:val="-5"/>
                <w:sz w:val="21"/>
              </w:rPr>
              <w:t>100</w:t>
            </w:r>
          </w:p>
        </w:tc>
        <w:tc>
          <w:tcPr>
            <w:tcW w:w="2006" w:type="dxa"/>
            <w:gridSpan w:val="2"/>
          </w:tcPr>
          <w:p w:rsidR="003F5784" w14:paraId="2548EE87" w14:textId="77777777">
            <w:pPr>
              <w:pStyle w:val="TableParagraph"/>
              <w:ind w:left="159" w:right="112"/>
              <w:jc w:val="center"/>
              <w:rPr>
                <w:sz w:val="21"/>
              </w:rPr>
            </w:pPr>
            <w:r>
              <w:rPr>
                <w:spacing w:val="-2"/>
                <w:sz w:val="21"/>
              </w:rPr>
              <w:t>100.00</w:t>
            </w:r>
          </w:p>
        </w:tc>
        <w:tc>
          <w:tcPr>
            <w:tcW w:w="1654" w:type="dxa"/>
            <w:gridSpan w:val="2"/>
          </w:tcPr>
          <w:p w:rsidR="003F5784" w14:paraId="79F36AA9" w14:textId="77777777">
            <w:pPr>
              <w:pStyle w:val="TableParagraph"/>
              <w:ind w:right="386"/>
              <w:rPr>
                <w:sz w:val="21"/>
              </w:rPr>
            </w:pPr>
            <w:r>
              <w:rPr>
                <w:spacing w:val="-2"/>
                <w:sz w:val="21"/>
              </w:rPr>
              <w:t>100.00</w:t>
            </w:r>
          </w:p>
        </w:tc>
        <w:tc>
          <w:tcPr>
            <w:tcW w:w="1321" w:type="dxa"/>
            <w:gridSpan w:val="2"/>
          </w:tcPr>
          <w:p w:rsidR="003F5784" w14:paraId="0A4FC963" w14:textId="77777777">
            <w:pPr>
              <w:pStyle w:val="TableParagraph"/>
              <w:ind w:left="387"/>
              <w:jc w:val="left"/>
              <w:rPr>
                <w:sz w:val="21"/>
              </w:rPr>
            </w:pPr>
            <w:r>
              <w:rPr>
                <w:spacing w:val="-2"/>
                <w:sz w:val="21"/>
              </w:rPr>
              <w:t>2,700</w:t>
            </w:r>
          </w:p>
        </w:tc>
        <w:tc>
          <w:tcPr>
            <w:tcW w:w="1454" w:type="dxa"/>
            <w:gridSpan w:val="2"/>
          </w:tcPr>
          <w:p w:rsidR="003F5784" w14:paraId="31ED9556" w14:textId="77777777">
            <w:pPr>
              <w:pStyle w:val="TableParagraph"/>
              <w:ind w:left="463"/>
              <w:jc w:val="left"/>
              <w:rPr>
                <w:sz w:val="21"/>
              </w:rPr>
            </w:pPr>
            <w:r>
              <w:rPr>
                <w:spacing w:val="-4"/>
                <w:sz w:val="21"/>
              </w:rPr>
              <w:t>1.67</w:t>
            </w:r>
          </w:p>
        </w:tc>
        <w:tc>
          <w:tcPr>
            <w:tcW w:w="1743" w:type="dxa"/>
            <w:gridSpan w:val="2"/>
          </w:tcPr>
          <w:p w:rsidR="003F5784" w14:paraId="0286CAD4" w14:textId="77777777">
            <w:pPr>
              <w:pStyle w:val="TableParagraph"/>
              <w:ind w:right="22"/>
              <w:jc w:val="center"/>
              <w:rPr>
                <w:sz w:val="21"/>
              </w:rPr>
            </w:pPr>
            <w:r>
              <w:rPr>
                <w:spacing w:val="-2"/>
                <w:sz w:val="21"/>
              </w:rPr>
              <w:t>88.36</w:t>
            </w:r>
          </w:p>
        </w:tc>
        <w:tc>
          <w:tcPr>
            <w:tcW w:w="1237" w:type="dxa"/>
            <w:gridSpan w:val="2"/>
          </w:tcPr>
          <w:p w:rsidR="003F5784" w14:paraId="081FDE8B" w14:textId="77777777">
            <w:pPr>
              <w:pStyle w:val="TableParagraph"/>
              <w:ind w:right="118"/>
              <w:rPr>
                <w:sz w:val="21"/>
              </w:rPr>
            </w:pPr>
            <w:r>
              <w:rPr>
                <w:spacing w:val="-2"/>
                <w:sz w:val="21"/>
              </w:rPr>
              <w:t>14.40</w:t>
            </w:r>
          </w:p>
        </w:tc>
      </w:tr>
      <w:tr w14:paraId="23091F5E" w14:textId="77777777">
        <w:tblPrEx>
          <w:tblW w:w="0" w:type="auto"/>
          <w:tblInd w:w="552" w:type="dxa"/>
          <w:tblLayout w:type="fixed"/>
          <w:tblCellMar>
            <w:left w:w="0" w:type="dxa"/>
            <w:right w:w="0" w:type="dxa"/>
          </w:tblCellMar>
          <w:tblLook w:val="01E0"/>
        </w:tblPrEx>
        <w:trPr>
          <w:trHeight w:val="286"/>
        </w:trPr>
        <w:tc>
          <w:tcPr>
            <w:tcW w:w="2499" w:type="dxa"/>
          </w:tcPr>
          <w:p w:rsidR="003F5784" w14:paraId="78028CE4" w14:textId="77777777">
            <w:pPr>
              <w:pStyle w:val="TableParagraph"/>
              <w:ind w:left="120"/>
              <w:jc w:val="left"/>
              <w:rPr>
                <w:sz w:val="21"/>
              </w:rPr>
            </w:pPr>
            <w:r>
              <w:rPr>
                <w:sz w:val="21"/>
              </w:rPr>
              <w:t>New</w:t>
            </w:r>
            <w:r>
              <w:rPr>
                <w:spacing w:val="-13"/>
                <w:sz w:val="21"/>
              </w:rPr>
              <w:t xml:space="preserve"> </w:t>
            </w:r>
            <w:r>
              <w:rPr>
                <w:spacing w:val="-4"/>
                <w:sz w:val="21"/>
              </w:rPr>
              <w:t>York</w:t>
            </w:r>
          </w:p>
        </w:tc>
        <w:tc>
          <w:tcPr>
            <w:tcW w:w="2071" w:type="dxa"/>
            <w:gridSpan w:val="2"/>
          </w:tcPr>
          <w:p w:rsidR="003F5784" w14:paraId="14E3F74C" w14:textId="77777777">
            <w:pPr>
              <w:pStyle w:val="TableParagraph"/>
              <w:ind w:right="738"/>
              <w:rPr>
                <w:sz w:val="21"/>
              </w:rPr>
            </w:pPr>
            <w:r>
              <w:rPr>
                <w:spacing w:val="-5"/>
                <w:sz w:val="21"/>
              </w:rPr>
              <w:t>130</w:t>
            </w:r>
          </w:p>
        </w:tc>
        <w:tc>
          <w:tcPr>
            <w:tcW w:w="2006" w:type="dxa"/>
            <w:gridSpan w:val="2"/>
          </w:tcPr>
          <w:p w:rsidR="003F5784" w14:paraId="0892EAD1" w14:textId="77777777">
            <w:pPr>
              <w:pStyle w:val="TableParagraph"/>
              <w:ind w:left="159" w:right="8"/>
              <w:jc w:val="center"/>
              <w:rPr>
                <w:sz w:val="21"/>
              </w:rPr>
            </w:pPr>
            <w:r>
              <w:rPr>
                <w:spacing w:val="-2"/>
                <w:sz w:val="21"/>
              </w:rPr>
              <w:t>97.65</w:t>
            </w:r>
          </w:p>
        </w:tc>
        <w:tc>
          <w:tcPr>
            <w:tcW w:w="1654" w:type="dxa"/>
            <w:gridSpan w:val="2"/>
          </w:tcPr>
          <w:p w:rsidR="003F5784" w14:paraId="0746FCFE" w14:textId="77777777">
            <w:pPr>
              <w:pStyle w:val="TableParagraph"/>
              <w:ind w:right="386"/>
              <w:rPr>
                <w:sz w:val="21"/>
              </w:rPr>
            </w:pPr>
            <w:r>
              <w:rPr>
                <w:spacing w:val="-2"/>
                <w:sz w:val="21"/>
              </w:rPr>
              <w:t>97.92</w:t>
            </w:r>
          </w:p>
        </w:tc>
        <w:tc>
          <w:tcPr>
            <w:tcW w:w="1321" w:type="dxa"/>
            <w:gridSpan w:val="2"/>
          </w:tcPr>
          <w:p w:rsidR="003F5784" w14:paraId="49643E11" w14:textId="77777777">
            <w:pPr>
              <w:pStyle w:val="TableParagraph"/>
              <w:ind w:left="387"/>
              <w:jc w:val="left"/>
              <w:rPr>
                <w:sz w:val="21"/>
              </w:rPr>
            </w:pPr>
            <w:r>
              <w:rPr>
                <w:spacing w:val="-2"/>
                <w:sz w:val="21"/>
              </w:rPr>
              <w:t>2,900</w:t>
            </w:r>
          </w:p>
        </w:tc>
        <w:tc>
          <w:tcPr>
            <w:tcW w:w="1454" w:type="dxa"/>
            <w:gridSpan w:val="2"/>
          </w:tcPr>
          <w:p w:rsidR="003F5784" w14:paraId="25ADE8F2" w14:textId="77777777">
            <w:pPr>
              <w:pStyle w:val="TableParagraph"/>
              <w:ind w:left="463"/>
              <w:jc w:val="left"/>
              <w:rPr>
                <w:sz w:val="21"/>
              </w:rPr>
            </w:pPr>
            <w:r>
              <w:rPr>
                <w:spacing w:val="-4"/>
                <w:sz w:val="21"/>
              </w:rPr>
              <w:t>1.65</w:t>
            </w:r>
          </w:p>
        </w:tc>
        <w:tc>
          <w:tcPr>
            <w:tcW w:w="1743" w:type="dxa"/>
            <w:gridSpan w:val="2"/>
          </w:tcPr>
          <w:p w:rsidR="003F5784" w14:paraId="1BCE4C6E" w14:textId="77777777">
            <w:pPr>
              <w:pStyle w:val="TableParagraph"/>
              <w:ind w:right="22"/>
              <w:jc w:val="center"/>
              <w:rPr>
                <w:sz w:val="21"/>
              </w:rPr>
            </w:pPr>
            <w:r>
              <w:rPr>
                <w:spacing w:val="-2"/>
                <w:sz w:val="21"/>
              </w:rPr>
              <w:t>81.09</w:t>
            </w:r>
          </w:p>
        </w:tc>
        <w:tc>
          <w:tcPr>
            <w:tcW w:w="1237" w:type="dxa"/>
            <w:gridSpan w:val="2"/>
          </w:tcPr>
          <w:p w:rsidR="003F5784" w14:paraId="5456DA7F" w14:textId="77777777">
            <w:pPr>
              <w:pStyle w:val="TableParagraph"/>
              <w:ind w:right="118"/>
              <w:rPr>
                <w:sz w:val="21"/>
              </w:rPr>
            </w:pPr>
            <w:r>
              <w:rPr>
                <w:spacing w:val="-2"/>
                <w:sz w:val="21"/>
              </w:rPr>
              <w:t>20.63</w:t>
            </w:r>
          </w:p>
        </w:tc>
      </w:tr>
      <w:tr w14:paraId="7C9B664D" w14:textId="77777777">
        <w:tblPrEx>
          <w:tblW w:w="0" w:type="auto"/>
          <w:tblInd w:w="552" w:type="dxa"/>
          <w:tblLayout w:type="fixed"/>
          <w:tblCellMar>
            <w:left w:w="0" w:type="dxa"/>
            <w:right w:w="0" w:type="dxa"/>
          </w:tblCellMar>
          <w:tblLook w:val="01E0"/>
        </w:tblPrEx>
        <w:trPr>
          <w:trHeight w:val="286"/>
        </w:trPr>
        <w:tc>
          <w:tcPr>
            <w:tcW w:w="2499" w:type="dxa"/>
          </w:tcPr>
          <w:p w:rsidR="003F5784" w14:paraId="30051BD6" w14:textId="77777777">
            <w:pPr>
              <w:pStyle w:val="TableParagraph"/>
              <w:ind w:left="120"/>
              <w:jc w:val="left"/>
              <w:rPr>
                <w:sz w:val="21"/>
              </w:rPr>
            </w:pPr>
            <w:r>
              <w:rPr>
                <w:sz w:val="21"/>
              </w:rPr>
              <w:t>North</w:t>
            </w:r>
            <w:r>
              <w:rPr>
                <w:spacing w:val="-6"/>
                <w:sz w:val="21"/>
              </w:rPr>
              <w:t xml:space="preserve"> </w:t>
            </w:r>
            <w:r>
              <w:rPr>
                <w:spacing w:val="-2"/>
                <w:sz w:val="21"/>
              </w:rPr>
              <w:t>Carolina</w:t>
            </w:r>
          </w:p>
        </w:tc>
        <w:tc>
          <w:tcPr>
            <w:tcW w:w="2071" w:type="dxa"/>
            <w:gridSpan w:val="2"/>
          </w:tcPr>
          <w:p w:rsidR="003F5784" w14:paraId="4F09AD8B" w14:textId="77777777">
            <w:pPr>
              <w:pStyle w:val="TableParagraph"/>
              <w:ind w:right="738"/>
              <w:rPr>
                <w:sz w:val="21"/>
              </w:rPr>
            </w:pPr>
            <w:r>
              <w:rPr>
                <w:spacing w:val="-5"/>
                <w:sz w:val="21"/>
              </w:rPr>
              <w:t>140</w:t>
            </w:r>
          </w:p>
        </w:tc>
        <w:tc>
          <w:tcPr>
            <w:tcW w:w="2006" w:type="dxa"/>
            <w:gridSpan w:val="2"/>
          </w:tcPr>
          <w:p w:rsidR="003F5784" w14:paraId="41538E4E" w14:textId="77777777">
            <w:pPr>
              <w:pStyle w:val="TableParagraph"/>
              <w:ind w:left="159" w:right="112"/>
              <w:jc w:val="center"/>
              <w:rPr>
                <w:sz w:val="21"/>
              </w:rPr>
            </w:pPr>
            <w:r>
              <w:rPr>
                <w:spacing w:val="-2"/>
                <w:sz w:val="21"/>
              </w:rPr>
              <w:t>100.00</w:t>
            </w:r>
          </w:p>
        </w:tc>
        <w:tc>
          <w:tcPr>
            <w:tcW w:w="1654" w:type="dxa"/>
            <w:gridSpan w:val="2"/>
          </w:tcPr>
          <w:p w:rsidR="003F5784" w14:paraId="3D8713E3" w14:textId="77777777">
            <w:pPr>
              <w:pStyle w:val="TableParagraph"/>
              <w:ind w:right="386"/>
              <w:rPr>
                <w:sz w:val="21"/>
              </w:rPr>
            </w:pPr>
            <w:r>
              <w:rPr>
                <w:spacing w:val="-2"/>
                <w:sz w:val="21"/>
              </w:rPr>
              <w:t>100.00</w:t>
            </w:r>
          </w:p>
        </w:tc>
        <w:tc>
          <w:tcPr>
            <w:tcW w:w="1321" w:type="dxa"/>
            <w:gridSpan w:val="2"/>
          </w:tcPr>
          <w:p w:rsidR="003F5784" w14:paraId="0212C53C" w14:textId="77777777">
            <w:pPr>
              <w:pStyle w:val="TableParagraph"/>
              <w:ind w:left="387"/>
              <w:jc w:val="left"/>
              <w:rPr>
                <w:sz w:val="21"/>
              </w:rPr>
            </w:pPr>
            <w:r>
              <w:rPr>
                <w:spacing w:val="-2"/>
                <w:sz w:val="21"/>
              </w:rPr>
              <w:t>3,900</w:t>
            </w:r>
          </w:p>
        </w:tc>
        <w:tc>
          <w:tcPr>
            <w:tcW w:w="1454" w:type="dxa"/>
            <w:gridSpan w:val="2"/>
          </w:tcPr>
          <w:p w:rsidR="003F5784" w14:paraId="25253324" w14:textId="77777777">
            <w:pPr>
              <w:pStyle w:val="TableParagraph"/>
              <w:ind w:left="463"/>
              <w:jc w:val="left"/>
              <w:rPr>
                <w:sz w:val="21"/>
              </w:rPr>
            </w:pPr>
            <w:r>
              <w:rPr>
                <w:spacing w:val="-4"/>
                <w:sz w:val="21"/>
              </w:rPr>
              <w:t>1.14</w:t>
            </w:r>
          </w:p>
        </w:tc>
        <w:tc>
          <w:tcPr>
            <w:tcW w:w="1743" w:type="dxa"/>
            <w:gridSpan w:val="2"/>
          </w:tcPr>
          <w:p w:rsidR="003F5784" w14:paraId="1F27A33B" w14:textId="77777777">
            <w:pPr>
              <w:pStyle w:val="TableParagraph"/>
              <w:ind w:right="22"/>
              <w:jc w:val="center"/>
              <w:rPr>
                <w:sz w:val="21"/>
              </w:rPr>
            </w:pPr>
            <w:r>
              <w:rPr>
                <w:spacing w:val="-2"/>
                <w:sz w:val="21"/>
              </w:rPr>
              <w:t>90.32</w:t>
            </w:r>
          </w:p>
        </w:tc>
        <w:tc>
          <w:tcPr>
            <w:tcW w:w="1237" w:type="dxa"/>
            <w:gridSpan w:val="2"/>
          </w:tcPr>
          <w:p w:rsidR="003F5784" w14:paraId="4EADCCEC" w14:textId="77777777">
            <w:pPr>
              <w:pStyle w:val="TableParagraph"/>
              <w:ind w:right="118"/>
              <w:rPr>
                <w:sz w:val="21"/>
              </w:rPr>
            </w:pPr>
            <w:r>
              <w:rPr>
                <w:spacing w:val="-2"/>
                <w:sz w:val="21"/>
              </w:rPr>
              <w:t>13.01</w:t>
            </w:r>
          </w:p>
        </w:tc>
      </w:tr>
      <w:tr w14:paraId="3FE0DA76" w14:textId="77777777">
        <w:tblPrEx>
          <w:tblW w:w="0" w:type="auto"/>
          <w:tblInd w:w="552" w:type="dxa"/>
          <w:tblLayout w:type="fixed"/>
          <w:tblCellMar>
            <w:left w:w="0" w:type="dxa"/>
            <w:right w:w="0" w:type="dxa"/>
          </w:tblCellMar>
          <w:tblLook w:val="01E0"/>
        </w:tblPrEx>
        <w:trPr>
          <w:trHeight w:val="286"/>
        </w:trPr>
        <w:tc>
          <w:tcPr>
            <w:tcW w:w="2499" w:type="dxa"/>
          </w:tcPr>
          <w:p w:rsidR="003F5784" w14:paraId="70B09FBD" w14:textId="77777777">
            <w:pPr>
              <w:pStyle w:val="TableParagraph"/>
              <w:ind w:left="120"/>
              <w:jc w:val="left"/>
              <w:rPr>
                <w:sz w:val="21"/>
              </w:rPr>
            </w:pPr>
            <w:r>
              <w:rPr>
                <w:sz w:val="21"/>
              </w:rPr>
              <w:t>North</w:t>
            </w:r>
            <w:r>
              <w:rPr>
                <w:spacing w:val="-6"/>
                <w:sz w:val="21"/>
              </w:rPr>
              <w:t xml:space="preserve"> </w:t>
            </w:r>
            <w:r>
              <w:rPr>
                <w:spacing w:val="-2"/>
                <w:sz w:val="21"/>
              </w:rPr>
              <w:t>Dakota</w:t>
            </w:r>
          </w:p>
        </w:tc>
        <w:tc>
          <w:tcPr>
            <w:tcW w:w="2071" w:type="dxa"/>
            <w:gridSpan w:val="2"/>
          </w:tcPr>
          <w:p w:rsidR="003F5784" w14:paraId="42ED1AF5" w14:textId="77777777">
            <w:pPr>
              <w:pStyle w:val="TableParagraph"/>
              <w:ind w:right="738"/>
              <w:rPr>
                <w:sz w:val="21"/>
              </w:rPr>
            </w:pPr>
            <w:r>
              <w:rPr>
                <w:spacing w:val="-5"/>
                <w:sz w:val="21"/>
              </w:rPr>
              <w:t>90</w:t>
            </w:r>
          </w:p>
        </w:tc>
        <w:tc>
          <w:tcPr>
            <w:tcW w:w="2006" w:type="dxa"/>
            <w:gridSpan w:val="2"/>
          </w:tcPr>
          <w:p w:rsidR="003F5784" w14:paraId="1D30083D" w14:textId="77777777">
            <w:pPr>
              <w:pStyle w:val="TableParagraph"/>
              <w:ind w:left="159" w:right="112"/>
              <w:jc w:val="center"/>
              <w:rPr>
                <w:sz w:val="21"/>
              </w:rPr>
            </w:pPr>
            <w:r>
              <w:rPr>
                <w:spacing w:val="-2"/>
                <w:sz w:val="21"/>
              </w:rPr>
              <w:t>100.00</w:t>
            </w:r>
          </w:p>
        </w:tc>
        <w:tc>
          <w:tcPr>
            <w:tcW w:w="1654" w:type="dxa"/>
            <w:gridSpan w:val="2"/>
          </w:tcPr>
          <w:p w:rsidR="003F5784" w14:paraId="56B8E0D4" w14:textId="77777777">
            <w:pPr>
              <w:pStyle w:val="TableParagraph"/>
              <w:ind w:right="386"/>
              <w:rPr>
                <w:sz w:val="21"/>
              </w:rPr>
            </w:pPr>
            <w:r>
              <w:rPr>
                <w:spacing w:val="-2"/>
                <w:sz w:val="21"/>
              </w:rPr>
              <w:t>100.00</w:t>
            </w:r>
          </w:p>
        </w:tc>
        <w:tc>
          <w:tcPr>
            <w:tcW w:w="1321" w:type="dxa"/>
            <w:gridSpan w:val="2"/>
          </w:tcPr>
          <w:p w:rsidR="003F5784" w14:paraId="0D960899" w14:textId="77777777">
            <w:pPr>
              <w:pStyle w:val="TableParagraph"/>
              <w:ind w:left="387"/>
              <w:jc w:val="left"/>
              <w:rPr>
                <w:sz w:val="21"/>
              </w:rPr>
            </w:pPr>
            <w:r>
              <w:rPr>
                <w:spacing w:val="-2"/>
                <w:sz w:val="21"/>
              </w:rPr>
              <w:t>2,100</w:t>
            </w:r>
          </w:p>
        </w:tc>
        <w:tc>
          <w:tcPr>
            <w:tcW w:w="1454" w:type="dxa"/>
            <w:gridSpan w:val="2"/>
          </w:tcPr>
          <w:p w:rsidR="003F5784" w14:paraId="4FD4986B" w14:textId="77777777">
            <w:pPr>
              <w:pStyle w:val="TableParagraph"/>
              <w:ind w:left="463"/>
              <w:jc w:val="left"/>
              <w:rPr>
                <w:sz w:val="21"/>
              </w:rPr>
            </w:pPr>
            <w:r>
              <w:rPr>
                <w:spacing w:val="-4"/>
                <w:sz w:val="21"/>
              </w:rPr>
              <w:t>1.38</w:t>
            </w:r>
          </w:p>
        </w:tc>
        <w:tc>
          <w:tcPr>
            <w:tcW w:w="1743" w:type="dxa"/>
            <w:gridSpan w:val="2"/>
          </w:tcPr>
          <w:p w:rsidR="003F5784" w14:paraId="29E81B9C" w14:textId="77777777">
            <w:pPr>
              <w:pStyle w:val="TableParagraph"/>
              <w:ind w:right="22"/>
              <w:jc w:val="center"/>
              <w:rPr>
                <w:sz w:val="21"/>
              </w:rPr>
            </w:pPr>
            <w:r>
              <w:rPr>
                <w:spacing w:val="-2"/>
                <w:sz w:val="21"/>
              </w:rPr>
              <w:t>88.51</w:t>
            </w:r>
          </w:p>
        </w:tc>
        <w:tc>
          <w:tcPr>
            <w:tcW w:w="1237" w:type="dxa"/>
            <w:gridSpan w:val="2"/>
          </w:tcPr>
          <w:p w:rsidR="003F5784" w14:paraId="4878083D" w14:textId="77777777">
            <w:pPr>
              <w:pStyle w:val="TableParagraph"/>
              <w:ind w:right="118"/>
              <w:rPr>
                <w:sz w:val="21"/>
              </w:rPr>
            </w:pPr>
            <w:r>
              <w:rPr>
                <w:spacing w:val="-2"/>
                <w:sz w:val="21"/>
              </w:rPr>
              <w:t>12.28</w:t>
            </w:r>
          </w:p>
        </w:tc>
      </w:tr>
      <w:tr w14:paraId="258C0B5B" w14:textId="77777777">
        <w:tblPrEx>
          <w:tblW w:w="0" w:type="auto"/>
          <w:tblInd w:w="552" w:type="dxa"/>
          <w:tblLayout w:type="fixed"/>
          <w:tblCellMar>
            <w:left w:w="0" w:type="dxa"/>
            <w:right w:w="0" w:type="dxa"/>
          </w:tblCellMar>
          <w:tblLook w:val="01E0"/>
        </w:tblPrEx>
        <w:trPr>
          <w:trHeight w:val="286"/>
        </w:trPr>
        <w:tc>
          <w:tcPr>
            <w:tcW w:w="2499" w:type="dxa"/>
          </w:tcPr>
          <w:p w:rsidR="003F5784" w14:paraId="3029B397" w14:textId="77777777">
            <w:pPr>
              <w:pStyle w:val="TableParagraph"/>
              <w:ind w:left="120"/>
              <w:jc w:val="left"/>
              <w:rPr>
                <w:sz w:val="21"/>
              </w:rPr>
            </w:pPr>
            <w:r>
              <w:rPr>
                <w:spacing w:val="-4"/>
                <w:sz w:val="21"/>
              </w:rPr>
              <w:t>Ohio</w:t>
            </w:r>
          </w:p>
        </w:tc>
        <w:tc>
          <w:tcPr>
            <w:tcW w:w="2071" w:type="dxa"/>
            <w:gridSpan w:val="2"/>
          </w:tcPr>
          <w:p w:rsidR="003F5784" w14:paraId="4ADB6FB6" w14:textId="77777777">
            <w:pPr>
              <w:pStyle w:val="TableParagraph"/>
              <w:ind w:right="738"/>
              <w:rPr>
                <w:sz w:val="21"/>
              </w:rPr>
            </w:pPr>
            <w:r>
              <w:rPr>
                <w:spacing w:val="-5"/>
                <w:sz w:val="21"/>
              </w:rPr>
              <w:t>140</w:t>
            </w:r>
          </w:p>
        </w:tc>
        <w:tc>
          <w:tcPr>
            <w:tcW w:w="2006" w:type="dxa"/>
            <w:gridSpan w:val="2"/>
          </w:tcPr>
          <w:p w:rsidR="003F5784" w14:paraId="5F597A5F" w14:textId="77777777">
            <w:pPr>
              <w:pStyle w:val="TableParagraph"/>
              <w:ind w:left="159" w:right="112"/>
              <w:jc w:val="center"/>
              <w:rPr>
                <w:sz w:val="21"/>
              </w:rPr>
            </w:pPr>
            <w:r>
              <w:rPr>
                <w:spacing w:val="-2"/>
                <w:sz w:val="21"/>
              </w:rPr>
              <w:t>100.00</w:t>
            </w:r>
          </w:p>
        </w:tc>
        <w:tc>
          <w:tcPr>
            <w:tcW w:w="1654" w:type="dxa"/>
            <w:gridSpan w:val="2"/>
          </w:tcPr>
          <w:p w:rsidR="003F5784" w14:paraId="06B885E0" w14:textId="77777777">
            <w:pPr>
              <w:pStyle w:val="TableParagraph"/>
              <w:ind w:right="386"/>
              <w:rPr>
                <w:sz w:val="21"/>
              </w:rPr>
            </w:pPr>
            <w:r>
              <w:rPr>
                <w:spacing w:val="-2"/>
                <w:sz w:val="21"/>
              </w:rPr>
              <w:t>100.00</w:t>
            </w:r>
          </w:p>
        </w:tc>
        <w:tc>
          <w:tcPr>
            <w:tcW w:w="1321" w:type="dxa"/>
            <w:gridSpan w:val="2"/>
          </w:tcPr>
          <w:p w:rsidR="003F5784" w14:paraId="6FF4A369" w14:textId="77777777">
            <w:pPr>
              <w:pStyle w:val="TableParagraph"/>
              <w:ind w:left="387"/>
              <w:jc w:val="left"/>
              <w:rPr>
                <w:sz w:val="21"/>
              </w:rPr>
            </w:pPr>
            <w:r>
              <w:rPr>
                <w:spacing w:val="-2"/>
                <w:sz w:val="21"/>
              </w:rPr>
              <w:t>2,900</w:t>
            </w:r>
          </w:p>
        </w:tc>
        <w:tc>
          <w:tcPr>
            <w:tcW w:w="1454" w:type="dxa"/>
            <w:gridSpan w:val="2"/>
          </w:tcPr>
          <w:p w:rsidR="003F5784" w14:paraId="172DE676" w14:textId="77777777">
            <w:pPr>
              <w:pStyle w:val="TableParagraph"/>
              <w:ind w:left="470"/>
              <w:jc w:val="left"/>
              <w:rPr>
                <w:sz w:val="21"/>
              </w:rPr>
            </w:pPr>
            <w:r>
              <w:rPr>
                <w:spacing w:val="-4"/>
                <w:sz w:val="21"/>
              </w:rPr>
              <w:t>1.11</w:t>
            </w:r>
          </w:p>
        </w:tc>
        <w:tc>
          <w:tcPr>
            <w:tcW w:w="1743" w:type="dxa"/>
            <w:gridSpan w:val="2"/>
          </w:tcPr>
          <w:p w:rsidR="003F5784" w14:paraId="56EF0552" w14:textId="77777777">
            <w:pPr>
              <w:pStyle w:val="TableParagraph"/>
              <w:ind w:right="22"/>
              <w:jc w:val="center"/>
              <w:rPr>
                <w:sz w:val="21"/>
              </w:rPr>
            </w:pPr>
            <w:r>
              <w:rPr>
                <w:spacing w:val="-2"/>
                <w:sz w:val="21"/>
              </w:rPr>
              <w:t>89.59</w:t>
            </w:r>
          </w:p>
        </w:tc>
        <w:tc>
          <w:tcPr>
            <w:tcW w:w="1237" w:type="dxa"/>
            <w:gridSpan w:val="2"/>
          </w:tcPr>
          <w:p w:rsidR="003F5784" w14:paraId="2AAC0D6E" w14:textId="77777777">
            <w:pPr>
              <w:pStyle w:val="TableParagraph"/>
              <w:ind w:right="118"/>
              <w:rPr>
                <w:sz w:val="21"/>
              </w:rPr>
            </w:pPr>
            <w:r>
              <w:rPr>
                <w:spacing w:val="-2"/>
                <w:sz w:val="21"/>
              </w:rPr>
              <w:t>16.08</w:t>
            </w:r>
          </w:p>
        </w:tc>
      </w:tr>
      <w:tr w14:paraId="2D280ECB" w14:textId="77777777">
        <w:tblPrEx>
          <w:tblW w:w="0" w:type="auto"/>
          <w:tblInd w:w="552" w:type="dxa"/>
          <w:tblLayout w:type="fixed"/>
          <w:tblCellMar>
            <w:left w:w="0" w:type="dxa"/>
            <w:right w:w="0" w:type="dxa"/>
          </w:tblCellMar>
          <w:tblLook w:val="01E0"/>
        </w:tblPrEx>
        <w:trPr>
          <w:trHeight w:val="286"/>
        </w:trPr>
        <w:tc>
          <w:tcPr>
            <w:tcW w:w="2499" w:type="dxa"/>
          </w:tcPr>
          <w:p w:rsidR="003F5784" w14:paraId="089C6619" w14:textId="77777777">
            <w:pPr>
              <w:pStyle w:val="TableParagraph"/>
              <w:ind w:left="120"/>
              <w:jc w:val="left"/>
              <w:rPr>
                <w:sz w:val="21"/>
              </w:rPr>
            </w:pPr>
            <w:r>
              <w:rPr>
                <w:spacing w:val="-2"/>
                <w:sz w:val="21"/>
              </w:rPr>
              <w:t>Oklahoma</w:t>
            </w:r>
          </w:p>
        </w:tc>
        <w:tc>
          <w:tcPr>
            <w:tcW w:w="2071" w:type="dxa"/>
            <w:gridSpan w:val="2"/>
          </w:tcPr>
          <w:p w:rsidR="003F5784" w14:paraId="73057DDC" w14:textId="77777777">
            <w:pPr>
              <w:pStyle w:val="TableParagraph"/>
              <w:ind w:right="738"/>
              <w:rPr>
                <w:sz w:val="21"/>
              </w:rPr>
            </w:pPr>
            <w:r>
              <w:rPr>
                <w:spacing w:val="-5"/>
                <w:sz w:val="21"/>
              </w:rPr>
              <w:t>90</w:t>
            </w:r>
          </w:p>
        </w:tc>
        <w:tc>
          <w:tcPr>
            <w:tcW w:w="2006" w:type="dxa"/>
            <w:gridSpan w:val="2"/>
          </w:tcPr>
          <w:p w:rsidR="003F5784" w14:paraId="34BA4447" w14:textId="77777777">
            <w:pPr>
              <w:pStyle w:val="TableParagraph"/>
              <w:ind w:left="159" w:right="112"/>
              <w:jc w:val="center"/>
              <w:rPr>
                <w:sz w:val="21"/>
              </w:rPr>
            </w:pPr>
            <w:r>
              <w:rPr>
                <w:spacing w:val="-2"/>
                <w:sz w:val="21"/>
              </w:rPr>
              <w:t>100.00</w:t>
            </w:r>
          </w:p>
        </w:tc>
        <w:tc>
          <w:tcPr>
            <w:tcW w:w="1654" w:type="dxa"/>
            <w:gridSpan w:val="2"/>
          </w:tcPr>
          <w:p w:rsidR="003F5784" w14:paraId="68DA2C3C" w14:textId="77777777">
            <w:pPr>
              <w:pStyle w:val="TableParagraph"/>
              <w:ind w:right="386"/>
              <w:rPr>
                <w:sz w:val="21"/>
              </w:rPr>
            </w:pPr>
            <w:r>
              <w:rPr>
                <w:spacing w:val="-2"/>
                <w:sz w:val="21"/>
              </w:rPr>
              <w:t>100.00</w:t>
            </w:r>
          </w:p>
        </w:tc>
        <w:tc>
          <w:tcPr>
            <w:tcW w:w="1321" w:type="dxa"/>
            <w:gridSpan w:val="2"/>
          </w:tcPr>
          <w:p w:rsidR="003F5784" w14:paraId="14DFEED6" w14:textId="77777777">
            <w:pPr>
              <w:pStyle w:val="TableParagraph"/>
              <w:ind w:left="387"/>
              <w:jc w:val="left"/>
              <w:rPr>
                <w:sz w:val="21"/>
              </w:rPr>
            </w:pPr>
            <w:r>
              <w:rPr>
                <w:spacing w:val="-2"/>
                <w:sz w:val="21"/>
              </w:rPr>
              <w:t>2,100</w:t>
            </w:r>
          </w:p>
        </w:tc>
        <w:tc>
          <w:tcPr>
            <w:tcW w:w="1454" w:type="dxa"/>
            <w:gridSpan w:val="2"/>
          </w:tcPr>
          <w:p w:rsidR="003F5784" w14:paraId="6DDA56F0" w14:textId="77777777">
            <w:pPr>
              <w:pStyle w:val="TableParagraph"/>
              <w:ind w:left="463"/>
              <w:jc w:val="left"/>
              <w:rPr>
                <w:sz w:val="21"/>
              </w:rPr>
            </w:pPr>
            <w:r>
              <w:rPr>
                <w:spacing w:val="-4"/>
                <w:sz w:val="21"/>
              </w:rPr>
              <w:t>1.61</w:t>
            </w:r>
          </w:p>
        </w:tc>
        <w:tc>
          <w:tcPr>
            <w:tcW w:w="1743" w:type="dxa"/>
            <w:gridSpan w:val="2"/>
          </w:tcPr>
          <w:p w:rsidR="003F5784" w14:paraId="6C46352A" w14:textId="77777777">
            <w:pPr>
              <w:pStyle w:val="TableParagraph"/>
              <w:ind w:left="8" w:right="22"/>
              <w:jc w:val="center"/>
              <w:rPr>
                <w:sz w:val="21"/>
              </w:rPr>
            </w:pPr>
            <w:r>
              <w:rPr>
                <w:spacing w:val="-2"/>
                <w:sz w:val="21"/>
              </w:rPr>
              <w:t>92.11</w:t>
            </w:r>
          </w:p>
        </w:tc>
        <w:tc>
          <w:tcPr>
            <w:tcW w:w="1237" w:type="dxa"/>
            <w:gridSpan w:val="2"/>
          </w:tcPr>
          <w:p w:rsidR="003F5784" w14:paraId="5C726F63" w14:textId="77777777">
            <w:pPr>
              <w:pStyle w:val="TableParagraph"/>
              <w:ind w:right="118"/>
              <w:rPr>
                <w:sz w:val="21"/>
              </w:rPr>
            </w:pPr>
            <w:r>
              <w:rPr>
                <w:spacing w:val="-2"/>
                <w:sz w:val="21"/>
              </w:rPr>
              <w:t>14.99</w:t>
            </w:r>
          </w:p>
        </w:tc>
      </w:tr>
      <w:tr w14:paraId="5F02E865" w14:textId="77777777">
        <w:tblPrEx>
          <w:tblW w:w="0" w:type="auto"/>
          <w:tblInd w:w="552" w:type="dxa"/>
          <w:tblLayout w:type="fixed"/>
          <w:tblCellMar>
            <w:left w:w="0" w:type="dxa"/>
            <w:right w:w="0" w:type="dxa"/>
          </w:tblCellMar>
          <w:tblLook w:val="01E0"/>
        </w:tblPrEx>
        <w:trPr>
          <w:trHeight w:val="286"/>
        </w:trPr>
        <w:tc>
          <w:tcPr>
            <w:tcW w:w="2499" w:type="dxa"/>
          </w:tcPr>
          <w:p w:rsidR="003F5784" w14:paraId="74CC55D0" w14:textId="77777777">
            <w:pPr>
              <w:pStyle w:val="TableParagraph"/>
              <w:ind w:left="120"/>
              <w:jc w:val="left"/>
              <w:rPr>
                <w:sz w:val="21"/>
              </w:rPr>
            </w:pPr>
            <w:r>
              <w:rPr>
                <w:spacing w:val="-2"/>
                <w:sz w:val="21"/>
              </w:rPr>
              <w:t>Oregon</w:t>
            </w:r>
          </w:p>
        </w:tc>
        <w:tc>
          <w:tcPr>
            <w:tcW w:w="2071" w:type="dxa"/>
            <w:gridSpan w:val="2"/>
          </w:tcPr>
          <w:p w:rsidR="003F5784" w14:paraId="5E05051F" w14:textId="77777777">
            <w:pPr>
              <w:pStyle w:val="TableParagraph"/>
              <w:ind w:right="738"/>
              <w:rPr>
                <w:sz w:val="21"/>
              </w:rPr>
            </w:pPr>
            <w:r>
              <w:rPr>
                <w:spacing w:val="-5"/>
                <w:sz w:val="21"/>
              </w:rPr>
              <w:t>90</w:t>
            </w:r>
          </w:p>
        </w:tc>
        <w:tc>
          <w:tcPr>
            <w:tcW w:w="2006" w:type="dxa"/>
            <w:gridSpan w:val="2"/>
          </w:tcPr>
          <w:p w:rsidR="003F5784" w14:paraId="01A25A25" w14:textId="77777777">
            <w:pPr>
              <w:pStyle w:val="TableParagraph"/>
              <w:ind w:left="159" w:right="112"/>
              <w:jc w:val="center"/>
              <w:rPr>
                <w:sz w:val="21"/>
              </w:rPr>
            </w:pPr>
            <w:r>
              <w:rPr>
                <w:spacing w:val="-2"/>
                <w:sz w:val="21"/>
              </w:rPr>
              <w:t>100.00</w:t>
            </w:r>
          </w:p>
        </w:tc>
        <w:tc>
          <w:tcPr>
            <w:tcW w:w="1654" w:type="dxa"/>
            <w:gridSpan w:val="2"/>
          </w:tcPr>
          <w:p w:rsidR="003F5784" w14:paraId="4C68F5C9" w14:textId="77777777">
            <w:pPr>
              <w:pStyle w:val="TableParagraph"/>
              <w:ind w:right="386"/>
              <w:rPr>
                <w:sz w:val="21"/>
              </w:rPr>
            </w:pPr>
            <w:r>
              <w:rPr>
                <w:spacing w:val="-2"/>
                <w:sz w:val="21"/>
              </w:rPr>
              <w:t>100.00</w:t>
            </w:r>
          </w:p>
        </w:tc>
        <w:tc>
          <w:tcPr>
            <w:tcW w:w="1321" w:type="dxa"/>
            <w:gridSpan w:val="2"/>
          </w:tcPr>
          <w:p w:rsidR="003F5784" w14:paraId="71AA10A3" w14:textId="77777777">
            <w:pPr>
              <w:pStyle w:val="TableParagraph"/>
              <w:ind w:left="387"/>
              <w:jc w:val="left"/>
              <w:rPr>
                <w:sz w:val="21"/>
              </w:rPr>
            </w:pPr>
            <w:r>
              <w:rPr>
                <w:spacing w:val="-2"/>
                <w:sz w:val="21"/>
              </w:rPr>
              <w:t>2,100</w:t>
            </w:r>
          </w:p>
        </w:tc>
        <w:tc>
          <w:tcPr>
            <w:tcW w:w="1454" w:type="dxa"/>
            <w:gridSpan w:val="2"/>
          </w:tcPr>
          <w:p w:rsidR="003F5784" w14:paraId="244D22BF" w14:textId="77777777">
            <w:pPr>
              <w:pStyle w:val="TableParagraph"/>
              <w:ind w:left="463"/>
              <w:jc w:val="left"/>
              <w:rPr>
                <w:sz w:val="21"/>
              </w:rPr>
            </w:pPr>
            <w:r>
              <w:rPr>
                <w:spacing w:val="-4"/>
                <w:sz w:val="21"/>
              </w:rPr>
              <w:t>1.51</w:t>
            </w:r>
          </w:p>
        </w:tc>
        <w:tc>
          <w:tcPr>
            <w:tcW w:w="1743" w:type="dxa"/>
            <w:gridSpan w:val="2"/>
          </w:tcPr>
          <w:p w:rsidR="003F5784" w14:paraId="3E3AB1A9" w14:textId="77777777">
            <w:pPr>
              <w:pStyle w:val="TableParagraph"/>
              <w:ind w:right="22"/>
              <w:jc w:val="center"/>
              <w:rPr>
                <w:sz w:val="21"/>
              </w:rPr>
            </w:pPr>
            <w:r>
              <w:rPr>
                <w:spacing w:val="-2"/>
                <w:sz w:val="21"/>
              </w:rPr>
              <w:t>84.92</w:t>
            </w:r>
          </w:p>
        </w:tc>
        <w:tc>
          <w:tcPr>
            <w:tcW w:w="1237" w:type="dxa"/>
            <w:gridSpan w:val="2"/>
          </w:tcPr>
          <w:p w:rsidR="003F5784" w14:paraId="6CBE63AE" w14:textId="77777777">
            <w:pPr>
              <w:pStyle w:val="TableParagraph"/>
              <w:ind w:right="118"/>
              <w:rPr>
                <w:sz w:val="21"/>
              </w:rPr>
            </w:pPr>
            <w:r>
              <w:rPr>
                <w:spacing w:val="-2"/>
                <w:sz w:val="21"/>
              </w:rPr>
              <w:t>10.91</w:t>
            </w:r>
          </w:p>
        </w:tc>
      </w:tr>
      <w:tr w14:paraId="05CDE34E" w14:textId="77777777">
        <w:tblPrEx>
          <w:tblW w:w="0" w:type="auto"/>
          <w:tblInd w:w="552" w:type="dxa"/>
          <w:tblLayout w:type="fixed"/>
          <w:tblCellMar>
            <w:left w:w="0" w:type="dxa"/>
            <w:right w:w="0" w:type="dxa"/>
          </w:tblCellMar>
          <w:tblLook w:val="01E0"/>
        </w:tblPrEx>
        <w:trPr>
          <w:trHeight w:val="286"/>
        </w:trPr>
        <w:tc>
          <w:tcPr>
            <w:tcW w:w="2499" w:type="dxa"/>
          </w:tcPr>
          <w:p w:rsidR="003F5784" w14:paraId="0D9A50F9" w14:textId="77777777">
            <w:pPr>
              <w:pStyle w:val="TableParagraph"/>
              <w:ind w:left="120"/>
              <w:jc w:val="left"/>
              <w:rPr>
                <w:sz w:val="21"/>
              </w:rPr>
            </w:pPr>
            <w:r>
              <w:rPr>
                <w:spacing w:val="-2"/>
                <w:sz w:val="21"/>
              </w:rPr>
              <w:t>Pennsylvania</w:t>
            </w:r>
          </w:p>
        </w:tc>
        <w:tc>
          <w:tcPr>
            <w:tcW w:w="2071" w:type="dxa"/>
            <w:gridSpan w:val="2"/>
          </w:tcPr>
          <w:p w:rsidR="003F5784" w14:paraId="7421119B" w14:textId="77777777">
            <w:pPr>
              <w:pStyle w:val="TableParagraph"/>
              <w:ind w:right="738"/>
              <w:rPr>
                <w:sz w:val="21"/>
              </w:rPr>
            </w:pPr>
            <w:r>
              <w:rPr>
                <w:spacing w:val="-5"/>
                <w:sz w:val="21"/>
              </w:rPr>
              <w:t>120</w:t>
            </w:r>
          </w:p>
        </w:tc>
        <w:tc>
          <w:tcPr>
            <w:tcW w:w="2006" w:type="dxa"/>
            <w:gridSpan w:val="2"/>
          </w:tcPr>
          <w:p w:rsidR="003F5784" w14:paraId="33AD6D82" w14:textId="77777777">
            <w:pPr>
              <w:pStyle w:val="TableParagraph"/>
              <w:ind w:left="159" w:right="8"/>
              <w:jc w:val="center"/>
              <w:rPr>
                <w:sz w:val="21"/>
              </w:rPr>
            </w:pPr>
            <w:r>
              <w:rPr>
                <w:spacing w:val="-2"/>
                <w:sz w:val="21"/>
              </w:rPr>
              <w:t>99.42</w:t>
            </w:r>
          </w:p>
        </w:tc>
        <w:tc>
          <w:tcPr>
            <w:tcW w:w="1654" w:type="dxa"/>
            <w:gridSpan w:val="2"/>
          </w:tcPr>
          <w:p w:rsidR="003F5784" w14:paraId="1F4ED3FE" w14:textId="77777777">
            <w:pPr>
              <w:pStyle w:val="TableParagraph"/>
              <w:ind w:right="386"/>
              <w:rPr>
                <w:sz w:val="21"/>
              </w:rPr>
            </w:pPr>
            <w:r>
              <w:rPr>
                <w:spacing w:val="-2"/>
                <w:sz w:val="21"/>
              </w:rPr>
              <w:t>99.75</w:t>
            </w:r>
          </w:p>
        </w:tc>
        <w:tc>
          <w:tcPr>
            <w:tcW w:w="1321" w:type="dxa"/>
            <w:gridSpan w:val="2"/>
          </w:tcPr>
          <w:p w:rsidR="003F5784" w14:paraId="2E2780DB" w14:textId="77777777">
            <w:pPr>
              <w:pStyle w:val="TableParagraph"/>
              <w:ind w:left="387"/>
              <w:jc w:val="left"/>
              <w:rPr>
                <w:sz w:val="21"/>
              </w:rPr>
            </w:pPr>
            <w:r>
              <w:rPr>
                <w:spacing w:val="-2"/>
                <w:sz w:val="21"/>
              </w:rPr>
              <w:t>2,900</w:t>
            </w:r>
          </w:p>
        </w:tc>
        <w:tc>
          <w:tcPr>
            <w:tcW w:w="1454" w:type="dxa"/>
            <w:gridSpan w:val="2"/>
          </w:tcPr>
          <w:p w:rsidR="003F5784" w14:paraId="3C871345" w14:textId="77777777">
            <w:pPr>
              <w:pStyle w:val="TableParagraph"/>
              <w:ind w:left="463"/>
              <w:jc w:val="left"/>
              <w:rPr>
                <w:sz w:val="21"/>
              </w:rPr>
            </w:pPr>
            <w:r>
              <w:rPr>
                <w:spacing w:val="-4"/>
                <w:sz w:val="21"/>
              </w:rPr>
              <w:t>1.35</w:t>
            </w:r>
          </w:p>
        </w:tc>
        <w:tc>
          <w:tcPr>
            <w:tcW w:w="1743" w:type="dxa"/>
            <w:gridSpan w:val="2"/>
          </w:tcPr>
          <w:p w:rsidR="003F5784" w14:paraId="24FB235F" w14:textId="77777777">
            <w:pPr>
              <w:pStyle w:val="TableParagraph"/>
              <w:ind w:right="22"/>
              <w:jc w:val="center"/>
              <w:rPr>
                <w:sz w:val="21"/>
              </w:rPr>
            </w:pPr>
            <w:r>
              <w:rPr>
                <w:spacing w:val="-2"/>
                <w:sz w:val="21"/>
              </w:rPr>
              <w:t>89.04</w:t>
            </w:r>
          </w:p>
        </w:tc>
        <w:tc>
          <w:tcPr>
            <w:tcW w:w="1237" w:type="dxa"/>
            <w:gridSpan w:val="2"/>
          </w:tcPr>
          <w:p w:rsidR="003F5784" w14:paraId="5188BD2A" w14:textId="77777777">
            <w:pPr>
              <w:pStyle w:val="TableParagraph"/>
              <w:ind w:right="118"/>
              <w:rPr>
                <w:sz w:val="21"/>
              </w:rPr>
            </w:pPr>
            <w:r>
              <w:rPr>
                <w:spacing w:val="-2"/>
                <w:sz w:val="21"/>
              </w:rPr>
              <w:t>16.94</w:t>
            </w:r>
          </w:p>
        </w:tc>
      </w:tr>
      <w:tr w14:paraId="27D2D392" w14:textId="77777777">
        <w:tblPrEx>
          <w:tblW w:w="0" w:type="auto"/>
          <w:tblInd w:w="552" w:type="dxa"/>
          <w:tblLayout w:type="fixed"/>
          <w:tblCellMar>
            <w:left w:w="0" w:type="dxa"/>
            <w:right w:w="0" w:type="dxa"/>
          </w:tblCellMar>
          <w:tblLook w:val="01E0"/>
        </w:tblPrEx>
        <w:trPr>
          <w:trHeight w:val="286"/>
        </w:trPr>
        <w:tc>
          <w:tcPr>
            <w:tcW w:w="2499" w:type="dxa"/>
          </w:tcPr>
          <w:p w:rsidR="003F5784" w14:paraId="4695E228" w14:textId="77777777">
            <w:pPr>
              <w:pStyle w:val="TableParagraph"/>
              <w:ind w:left="120"/>
              <w:jc w:val="left"/>
              <w:rPr>
                <w:sz w:val="21"/>
              </w:rPr>
            </w:pPr>
            <w:r>
              <w:rPr>
                <w:sz w:val="21"/>
              </w:rPr>
              <w:t>Rhode</w:t>
            </w:r>
            <w:r>
              <w:rPr>
                <w:spacing w:val="-7"/>
                <w:sz w:val="21"/>
              </w:rPr>
              <w:t xml:space="preserve"> </w:t>
            </w:r>
            <w:r>
              <w:rPr>
                <w:spacing w:val="-2"/>
                <w:sz w:val="21"/>
              </w:rPr>
              <w:t>Island</w:t>
            </w:r>
          </w:p>
        </w:tc>
        <w:tc>
          <w:tcPr>
            <w:tcW w:w="2071" w:type="dxa"/>
            <w:gridSpan w:val="2"/>
          </w:tcPr>
          <w:p w:rsidR="003F5784" w14:paraId="7F11E28F" w14:textId="77777777">
            <w:pPr>
              <w:pStyle w:val="TableParagraph"/>
              <w:ind w:right="738"/>
              <w:rPr>
                <w:sz w:val="21"/>
              </w:rPr>
            </w:pPr>
            <w:r>
              <w:rPr>
                <w:spacing w:val="-5"/>
                <w:sz w:val="21"/>
              </w:rPr>
              <w:t>60</w:t>
            </w:r>
          </w:p>
        </w:tc>
        <w:tc>
          <w:tcPr>
            <w:tcW w:w="2006" w:type="dxa"/>
            <w:gridSpan w:val="2"/>
          </w:tcPr>
          <w:p w:rsidR="003F5784" w14:paraId="6C2D7378" w14:textId="77777777">
            <w:pPr>
              <w:pStyle w:val="TableParagraph"/>
              <w:ind w:left="159" w:right="112"/>
              <w:jc w:val="center"/>
              <w:rPr>
                <w:sz w:val="21"/>
              </w:rPr>
            </w:pPr>
            <w:r>
              <w:rPr>
                <w:spacing w:val="-2"/>
                <w:sz w:val="21"/>
              </w:rPr>
              <w:t>100.00</w:t>
            </w:r>
          </w:p>
        </w:tc>
        <w:tc>
          <w:tcPr>
            <w:tcW w:w="1654" w:type="dxa"/>
            <w:gridSpan w:val="2"/>
          </w:tcPr>
          <w:p w:rsidR="003F5784" w14:paraId="26B3B59C" w14:textId="77777777">
            <w:pPr>
              <w:pStyle w:val="TableParagraph"/>
              <w:ind w:right="386"/>
              <w:rPr>
                <w:sz w:val="21"/>
              </w:rPr>
            </w:pPr>
            <w:r>
              <w:rPr>
                <w:spacing w:val="-2"/>
                <w:sz w:val="21"/>
              </w:rPr>
              <w:t>100.00</w:t>
            </w:r>
          </w:p>
        </w:tc>
        <w:tc>
          <w:tcPr>
            <w:tcW w:w="1321" w:type="dxa"/>
            <w:gridSpan w:val="2"/>
          </w:tcPr>
          <w:p w:rsidR="003F5784" w14:paraId="574AF49E" w14:textId="77777777">
            <w:pPr>
              <w:pStyle w:val="TableParagraph"/>
              <w:ind w:left="387"/>
              <w:jc w:val="left"/>
              <w:rPr>
                <w:sz w:val="21"/>
              </w:rPr>
            </w:pPr>
            <w:r>
              <w:rPr>
                <w:spacing w:val="-2"/>
                <w:sz w:val="21"/>
              </w:rPr>
              <w:t>2,100</w:t>
            </w:r>
          </w:p>
        </w:tc>
        <w:tc>
          <w:tcPr>
            <w:tcW w:w="1454" w:type="dxa"/>
            <w:gridSpan w:val="2"/>
          </w:tcPr>
          <w:p w:rsidR="003F5784" w14:paraId="71972E28" w14:textId="77777777">
            <w:pPr>
              <w:pStyle w:val="TableParagraph"/>
              <w:ind w:left="463"/>
              <w:jc w:val="left"/>
              <w:rPr>
                <w:sz w:val="21"/>
              </w:rPr>
            </w:pPr>
            <w:r>
              <w:rPr>
                <w:spacing w:val="-4"/>
                <w:sz w:val="21"/>
              </w:rPr>
              <w:t>2.22</w:t>
            </w:r>
          </w:p>
        </w:tc>
        <w:tc>
          <w:tcPr>
            <w:tcW w:w="1743" w:type="dxa"/>
            <w:gridSpan w:val="2"/>
          </w:tcPr>
          <w:p w:rsidR="003F5784" w14:paraId="4FD2AFCA" w14:textId="77777777">
            <w:pPr>
              <w:pStyle w:val="TableParagraph"/>
              <w:ind w:right="22"/>
              <w:jc w:val="center"/>
              <w:rPr>
                <w:sz w:val="21"/>
              </w:rPr>
            </w:pPr>
            <w:r>
              <w:rPr>
                <w:spacing w:val="-2"/>
                <w:sz w:val="21"/>
              </w:rPr>
              <w:t>90.48</w:t>
            </w:r>
          </w:p>
        </w:tc>
        <w:tc>
          <w:tcPr>
            <w:tcW w:w="1237" w:type="dxa"/>
            <w:gridSpan w:val="2"/>
          </w:tcPr>
          <w:p w:rsidR="003F5784" w14:paraId="60AEAA94" w14:textId="77777777">
            <w:pPr>
              <w:pStyle w:val="TableParagraph"/>
              <w:ind w:right="118"/>
              <w:rPr>
                <w:sz w:val="21"/>
              </w:rPr>
            </w:pPr>
            <w:r>
              <w:rPr>
                <w:spacing w:val="-2"/>
                <w:sz w:val="21"/>
              </w:rPr>
              <w:t>16.63</w:t>
            </w:r>
          </w:p>
        </w:tc>
      </w:tr>
      <w:tr w14:paraId="1C2C7312" w14:textId="77777777">
        <w:tblPrEx>
          <w:tblW w:w="0" w:type="auto"/>
          <w:tblInd w:w="552" w:type="dxa"/>
          <w:tblLayout w:type="fixed"/>
          <w:tblCellMar>
            <w:left w:w="0" w:type="dxa"/>
            <w:right w:w="0" w:type="dxa"/>
          </w:tblCellMar>
          <w:tblLook w:val="01E0"/>
        </w:tblPrEx>
        <w:trPr>
          <w:trHeight w:val="286"/>
        </w:trPr>
        <w:tc>
          <w:tcPr>
            <w:tcW w:w="2499" w:type="dxa"/>
          </w:tcPr>
          <w:p w:rsidR="003F5784" w14:paraId="5E0B5FC7" w14:textId="77777777">
            <w:pPr>
              <w:pStyle w:val="TableParagraph"/>
              <w:ind w:left="120"/>
              <w:jc w:val="left"/>
              <w:rPr>
                <w:sz w:val="21"/>
              </w:rPr>
            </w:pPr>
            <w:r>
              <w:rPr>
                <w:sz w:val="21"/>
              </w:rPr>
              <w:t>South</w:t>
            </w:r>
            <w:r>
              <w:rPr>
                <w:spacing w:val="-6"/>
                <w:sz w:val="21"/>
              </w:rPr>
              <w:t xml:space="preserve"> </w:t>
            </w:r>
            <w:r>
              <w:rPr>
                <w:spacing w:val="-2"/>
                <w:sz w:val="21"/>
              </w:rPr>
              <w:t>Carolina</w:t>
            </w:r>
          </w:p>
        </w:tc>
        <w:tc>
          <w:tcPr>
            <w:tcW w:w="2071" w:type="dxa"/>
            <w:gridSpan w:val="2"/>
          </w:tcPr>
          <w:p w:rsidR="003F5784" w14:paraId="75664A07" w14:textId="77777777">
            <w:pPr>
              <w:pStyle w:val="TableParagraph"/>
              <w:ind w:right="738"/>
              <w:rPr>
                <w:sz w:val="21"/>
              </w:rPr>
            </w:pPr>
            <w:r>
              <w:rPr>
                <w:spacing w:val="-5"/>
                <w:sz w:val="21"/>
              </w:rPr>
              <w:t>90</w:t>
            </w:r>
          </w:p>
        </w:tc>
        <w:tc>
          <w:tcPr>
            <w:tcW w:w="2006" w:type="dxa"/>
            <w:gridSpan w:val="2"/>
          </w:tcPr>
          <w:p w:rsidR="003F5784" w14:paraId="7032EE98" w14:textId="77777777">
            <w:pPr>
              <w:pStyle w:val="TableParagraph"/>
              <w:ind w:left="159" w:right="112"/>
              <w:jc w:val="center"/>
              <w:rPr>
                <w:sz w:val="21"/>
              </w:rPr>
            </w:pPr>
            <w:r>
              <w:rPr>
                <w:spacing w:val="-2"/>
                <w:sz w:val="21"/>
              </w:rPr>
              <w:t>100.00</w:t>
            </w:r>
          </w:p>
        </w:tc>
        <w:tc>
          <w:tcPr>
            <w:tcW w:w="1654" w:type="dxa"/>
            <w:gridSpan w:val="2"/>
          </w:tcPr>
          <w:p w:rsidR="003F5784" w14:paraId="6CF82764" w14:textId="77777777">
            <w:pPr>
              <w:pStyle w:val="TableParagraph"/>
              <w:ind w:right="386"/>
              <w:rPr>
                <w:sz w:val="21"/>
              </w:rPr>
            </w:pPr>
            <w:r>
              <w:rPr>
                <w:spacing w:val="-2"/>
                <w:sz w:val="21"/>
              </w:rPr>
              <w:t>100.00</w:t>
            </w:r>
          </w:p>
        </w:tc>
        <w:tc>
          <w:tcPr>
            <w:tcW w:w="1321" w:type="dxa"/>
            <w:gridSpan w:val="2"/>
          </w:tcPr>
          <w:p w:rsidR="003F5784" w14:paraId="070C1002" w14:textId="77777777">
            <w:pPr>
              <w:pStyle w:val="TableParagraph"/>
              <w:ind w:left="387"/>
              <w:jc w:val="left"/>
              <w:rPr>
                <w:sz w:val="21"/>
              </w:rPr>
            </w:pPr>
            <w:r>
              <w:rPr>
                <w:spacing w:val="-2"/>
                <w:sz w:val="21"/>
              </w:rPr>
              <w:t>2,100</w:t>
            </w:r>
          </w:p>
        </w:tc>
        <w:tc>
          <w:tcPr>
            <w:tcW w:w="1454" w:type="dxa"/>
            <w:gridSpan w:val="2"/>
          </w:tcPr>
          <w:p w:rsidR="003F5784" w14:paraId="74CEC6C2" w14:textId="77777777">
            <w:pPr>
              <w:pStyle w:val="TableParagraph"/>
              <w:ind w:left="463"/>
              <w:jc w:val="left"/>
              <w:rPr>
                <w:sz w:val="21"/>
              </w:rPr>
            </w:pPr>
            <w:r>
              <w:rPr>
                <w:spacing w:val="-4"/>
                <w:sz w:val="21"/>
              </w:rPr>
              <w:t>1.47</w:t>
            </w:r>
          </w:p>
        </w:tc>
        <w:tc>
          <w:tcPr>
            <w:tcW w:w="1743" w:type="dxa"/>
            <w:gridSpan w:val="2"/>
          </w:tcPr>
          <w:p w:rsidR="003F5784" w14:paraId="3BABFCDC" w14:textId="77777777">
            <w:pPr>
              <w:pStyle w:val="TableParagraph"/>
              <w:ind w:right="22"/>
              <w:jc w:val="center"/>
              <w:rPr>
                <w:sz w:val="21"/>
              </w:rPr>
            </w:pPr>
            <w:r>
              <w:rPr>
                <w:spacing w:val="-2"/>
                <w:sz w:val="21"/>
              </w:rPr>
              <w:t>91.36</w:t>
            </w:r>
          </w:p>
        </w:tc>
        <w:tc>
          <w:tcPr>
            <w:tcW w:w="1237" w:type="dxa"/>
            <w:gridSpan w:val="2"/>
          </w:tcPr>
          <w:p w:rsidR="003F5784" w14:paraId="50104B7A" w14:textId="77777777">
            <w:pPr>
              <w:pStyle w:val="TableParagraph"/>
              <w:ind w:right="118"/>
              <w:rPr>
                <w:sz w:val="21"/>
              </w:rPr>
            </w:pPr>
            <w:r>
              <w:rPr>
                <w:spacing w:val="-2"/>
                <w:sz w:val="21"/>
              </w:rPr>
              <w:t>10.12</w:t>
            </w:r>
          </w:p>
        </w:tc>
      </w:tr>
      <w:tr w14:paraId="3897463A" w14:textId="77777777">
        <w:tblPrEx>
          <w:tblW w:w="0" w:type="auto"/>
          <w:tblInd w:w="552" w:type="dxa"/>
          <w:tblLayout w:type="fixed"/>
          <w:tblCellMar>
            <w:left w:w="0" w:type="dxa"/>
            <w:right w:w="0" w:type="dxa"/>
          </w:tblCellMar>
          <w:tblLook w:val="01E0"/>
        </w:tblPrEx>
        <w:trPr>
          <w:trHeight w:val="286"/>
        </w:trPr>
        <w:tc>
          <w:tcPr>
            <w:tcW w:w="2499" w:type="dxa"/>
          </w:tcPr>
          <w:p w:rsidR="003F5784" w14:paraId="704734A8" w14:textId="77777777">
            <w:pPr>
              <w:pStyle w:val="TableParagraph"/>
              <w:ind w:left="120"/>
              <w:jc w:val="left"/>
              <w:rPr>
                <w:sz w:val="21"/>
              </w:rPr>
            </w:pPr>
            <w:r>
              <w:rPr>
                <w:sz w:val="21"/>
              </w:rPr>
              <w:t>South</w:t>
            </w:r>
            <w:r>
              <w:rPr>
                <w:spacing w:val="-6"/>
                <w:sz w:val="21"/>
              </w:rPr>
              <w:t xml:space="preserve"> </w:t>
            </w:r>
            <w:r>
              <w:rPr>
                <w:spacing w:val="-2"/>
                <w:sz w:val="21"/>
              </w:rPr>
              <w:t>Dakota</w:t>
            </w:r>
          </w:p>
        </w:tc>
        <w:tc>
          <w:tcPr>
            <w:tcW w:w="2071" w:type="dxa"/>
            <w:gridSpan w:val="2"/>
          </w:tcPr>
          <w:p w:rsidR="003F5784" w14:paraId="76BBF6EE" w14:textId="77777777">
            <w:pPr>
              <w:pStyle w:val="TableParagraph"/>
              <w:ind w:right="738"/>
              <w:rPr>
                <w:sz w:val="21"/>
              </w:rPr>
            </w:pPr>
            <w:r>
              <w:rPr>
                <w:spacing w:val="-5"/>
                <w:sz w:val="21"/>
              </w:rPr>
              <w:t>100</w:t>
            </w:r>
          </w:p>
        </w:tc>
        <w:tc>
          <w:tcPr>
            <w:tcW w:w="2006" w:type="dxa"/>
            <w:gridSpan w:val="2"/>
          </w:tcPr>
          <w:p w:rsidR="003F5784" w14:paraId="23FD09DD" w14:textId="77777777">
            <w:pPr>
              <w:pStyle w:val="TableParagraph"/>
              <w:ind w:left="159" w:right="8"/>
              <w:jc w:val="center"/>
              <w:rPr>
                <w:sz w:val="21"/>
              </w:rPr>
            </w:pPr>
            <w:r>
              <w:rPr>
                <w:spacing w:val="-2"/>
                <w:sz w:val="21"/>
              </w:rPr>
              <w:t>98.95</w:t>
            </w:r>
          </w:p>
        </w:tc>
        <w:tc>
          <w:tcPr>
            <w:tcW w:w="1654" w:type="dxa"/>
            <w:gridSpan w:val="2"/>
          </w:tcPr>
          <w:p w:rsidR="003F5784" w14:paraId="3D703170" w14:textId="77777777">
            <w:pPr>
              <w:pStyle w:val="TableParagraph"/>
              <w:ind w:right="386"/>
              <w:rPr>
                <w:sz w:val="21"/>
              </w:rPr>
            </w:pPr>
            <w:r>
              <w:rPr>
                <w:spacing w:val="-2"/>
                <w:sz w:val="21"/>
              </w:rPr>
              <w:t>98.85</w:t>
            </w:r>
          </w:p>
        </w:tc>
        <w:tc>
          <w:tcPr>
            <w:tcW w:w="1321" w:type="dxa"/>
            <w:gridSpan w:val="2"/>
          </w:tcPr>
          <w:p w:rsidR="003F5784" w14:paraId="14255A7A" w14:textId="77777777">
            <w:pPr>
              <w:pStyle w:val="TableParagraph"/>
              <w:ind w:left="387"/>
              <w:jc w:val="left"/>
              <w:rPr>
                <w:sz w:val="21"/>
              </w:rPr>
            </w:pPr>
            <w:r>
              <w:rPr>
                <w:spacing w:val="-2"/>
                <w:sz w:val="21"/>
              </w:rPr>
              <w:t>2,200</w:t>
            </w:r>
          </w:p>
        </w:tc>
        <w:tc>
          <w:tcPr>
            <w:tcW w:w="1454" w:type="dxa"/>
            <w:gridSpan w:val="2"/>
          </w:tcPr>
          <w:p w:rsidR="003F5784" w14:paraId="780CA40D" w14:textId="77777777">
            <w:pPr>
              <w:pStyle w:val="TableParagraph"/>
              <w:ind w:left="463"/>
              <w:jc w:val="left"/>
              <w:rPr>
                <w:sz w:val="21"/>
              </w:rPr>
            </w:pPr>
            <w:r>
              <w:rPr>
                <w:spacing w:val="-4"/>
                <w:sz w:val="21"/>
              </w:rPr>
              <w:t>1.62</w:t>
            </w:r>
          </w:p>
        </w:tc>
        <w:tc>
          <w:tcPr>
            <w:tcW w:w="1743" w:type="dxa"/>
            <w:gridSpan w:val="2"/>
          </w:tcPr>
          <w:p w:rsidR="003F5784" w14:paraId="17FE8D99" w14:textId="77777777">
            <w:pPr>
              <w:pStyle w:val="TableParagraph"/>
              <w:ind w:right="22"/>
              <w:jc w:val="center"/>
              <w:rPr>
                <w:sz w:val="21"/>
              </w:rPr>
            </w:pPr>
            <w:r>
              <w:rPr>
                <w:spacing w:val="-2"/>
                <w:sz w:val="21"/>
              </w:rPr>
              <w:t>91.16</w:t>
            </w:r>
          </w:p>
        </w:tc>
        <w:tc>
          <w:tcPr>
            <w:tcW w:w="1237" w:type="dxa"/>
            <w:gridSpan w:val="2"/>
          </w:tcPr>
          <w:p w:rsidR="003F5784" w14:paraId="1B8AD843" w14:textId="77777777">
            <w:pPr>
              <w:pStyle w:val="TableParagraph"/>
              <w:ind w:right="118"/>
              <w:rPr>
                <w:sz w:val="21"/>
              </w:rPr>
            </w:pPr>
            <w:r>
              <w:rPr>
                <w:spacing w:val="-4"/>
                <w:sz w:val="21"/>
              </w:rPr>
              <w:t>6.87</w:t>
            </w:r>
          </w:p>
        </w:tc>
      </w:tr>
      <w:tr w14:paraId="4310E2C0" w14:textId="77777777">
        <w:tblPrEx>
          <w:tblW w:w="0" w:type="auto"/>
          <w:tblInd w:w="552" w:type="dxa"/>
          <w:tblLayout w:type="fixed"/>
          <w:tblCellMar>
            <w:left w:w="0" w:type="dxa"/>
            <w:right w:w="0" w:type="dxa"/>
          </w:tblCellMar>
          <w:tblLook w:val="01E0"/>
        </w:tblPrEx>
        <w:trPr>
          <w:trHeight w:val="286"/>
        </w:trPr>
        <w:tc>
          <w:tcPr>
            <w:tcW w:w="2499" w:type="dxa"/>
          </w:tcPr>
          <w:p w:rsidR="003F5784" w14:paraId="1E6DE847" w14:textId="77777777">
            <w:pPr>
              <w:pStyle w:val="TableParagraph"/>
              <w:ind w:left="120"/>
              <w:jc w:val="left"/>
              <w:rPr>
                <w:sz w:val="21"/>
              </w:rPr>
            </w:pPr>
            <w:r>
              <w:rPr>
                <w:spacing w:val="-2"/>
                <w:sz w:val="21"/>
              </w:rPr>
              <w:t>Tennessee</w:t>
            </w:r>
          </w:p>
        </w:tc>
        <w:tc>
          <w:tcPr>
            <w:tcW w:w="2071" w:type="dxa"/>
            <w:gridSpan w:val="2"/>
          </w:tcPr>
          <w:p w:rsidR="003F5784" w14:paraId="7974B106" w14:textId="77777777">
            <w:pPr>
              <w:pStyle w:val="TableParagraph"/>
              <w:ind w:right="738"/>
              <w:rPr>
                <w:sz w:val="21"/>
              </w:rPr>
            </w:pPr>
            <w:r>
              <w:rPr>
                <w:spacing w:val="-5"/>
                <w:sz w:val="21"/>
              </w:rPr>
              <w:t>120</w:t>
            </w:r>
          </w:p>
        </w:tc>
        <w:tc>
          <w:tcPr>
            <w:tcW w:w="2006" w:type="dxa"/>
            <w:gridSpan w:val="2"/>
          </w:tcPr>
          <w:p w:rsidR="003F5784" w14:paraId="0CB82D17" w14:textId="77777777">
            <w:pPr>
              <w:pStyle w:val="TableParagraph"/>
              <w:ind w:left="159" w:right="8"/>
              <w:jc w:val="center"/>
              <w:rPr>
                <w:sz w:val="21"/>
              </w:rPr>
            </w:pPr>
            <w:r>
              <w:rPr>
                <w:spacing w:val="-2"/>
                <w:sz w:val="21"/>
              </w:rPr>
              <w:t>97.51</w:t>
            </w:r>
          </w:p>
        </w:tc>
        <w:tc>
          <w:tcPr>
            <w:tcW w:w="1654" w:type="dxa"/>
            <w:gridSpan w:val="2"/>
          </w:tcPr>
          <w:p w:rsidR="003F5784" w14:paraId="10A69337" w14:textId="77777777">
            <w:pPr>
              <w:pStyle w:val="TableParagraph"/>
              <w:ind w:right="386"/>
              <w:rPr>
                <w:sz w:val="21"/>
              </w:rPr>
            </w:pPr>
            <w:r>
              <w:rPr>
                <w:spacing w:val="-2"/>
                <w:sz w:val="21"/>
              </w:rPr>
              <w:t>96.30</w:t>
            </w:r>
          </w:p>
        </w:tc>
        <w:tc>
          <w:tcPr>
            <w:tcW w:w="1321" w:type="dxa"/>
            <w:gridSpan w:val="2"/>
          </w:tcPr>
          <w:p w:rsidR="003F5784" w14:paraId="616A5FDF" w14:textId="77777777">
            <w:pPr>
              <w:pStyle w:val="TableParagraph"/>
              <w:ind w:left="387"/>
              <w:jc w:val="left"/>
              <w:rPr>
                <w:sz w:val="21"/>
              </w:rPr>
            </w:pPr>
            <w:r>
              <w:rPr>
                <w:spacing w:val="-2"/>
                <w:sz w:val="21"/>
              </w:rPr>
              <w:t>3,000</w:t>
            </w:r>
          </w:p>
        </w:tc>
        <w:tc>
          <w:tcPr>
            <w:tcW w:w="1454" w:type="dxa"/>
            <w:gridSpan w:val="2"/>
          </w:tcPr>
          <w:p w:rsidR="003F5784" w14:paraId="48ECE55F" w14:textId="77777777">
            <w:pPr>
              <w:pStyle w:val="TableParagraph"/>
              <w:ind w:left="463"/>
              <w:jc w:val="left"/>
              <w:rPr>
                <w:sz w:val="21"/>
              </w:rPr>
            </w:pPr>
            <w:r>
              <w:rPr>
                <w:spacing w:val="-4"/>
                <w:sz w:val="21"/>
              </w:rPr>
              <w:t>2.30</w:t>
            </w:r>
          </w:p>
        </w:tc>
        <w:tc>
          <w:tcPr>
            <w:tcW w:w="1743" w:type="dxa"/>
            <w:gridSpan w:val="2"/>
          </w:tcPr>
          <w:p w:rsidR="003F5784" w14:paraId="432854EA" w14:textId="77777777">
            <w:pPr>
              <w:pStyle w:val="TableParagraph"/>
              <w:ind w:right="22"/>
              <w:jc w:val="center"/>
              <w:rPr>
                <w:sz w:val="21"/>
              </w:rPr>
            </w:pPr>
            <w:r>
              <w:rPr>
                <w:spacing w:val="-2"/>
                <w:sz w:val="21"/>
              </w:rPr>
              <w:t>90.98</w:t>
            </w:r>
          </w:p>
        </w:tc>
        <w:tc>
          <w:tcPr>
            <w:tcW w:w="1237" w:type="dxa"/>
            <w:gridSpan w:val="2"/>
          </w:tcPr>
          <w:p w:rsidR="003F5784" w14:paraId="7D4E61F5" w14:textId="77777777">
            <w:pPr>
              <w:pStyle w:val="TableParagraph"/>
              <w:ind w:right="118"/>
              <w:rPr>
                <w:sz w:val="21"/>
              </w:rPr>
            </w:pPr>
            <w:r>
              <w:rPr>
                <w:spacing w:val="-2"/>
                <w:sz w:val="21"/>
              </w:rPr>
              <w:t>12.11</w:t>
            </w:r>
          </w:p>
        </w:tc>
      </w:tr>
      <w:tr w14:paraId="75423BB0" w14:textId="77777777">
        <w:tblPrEx>
          <w:tblW w:w="0" w:type="auto"/>
          <w:tblInd w:w="552" w:type="dxa"/>
          <w:tblLayout w:type="fixed"/>
          <w:tblCellMar>
            <w:left w:w="0" w:type="dxa"/>
            <w:right w:w="0" w:type="dxa"/>
          </w:tblCellMar>
          <w:tblLook w:val="01E0"/>
        </w:tblPrEx>
        <w:trPr>
          <w:trHeight w:val="286"/>
        </w:trPr>
        <w:tc>
          <w:tcPr>
            <w:tcW w:w="2499" w:type="dxa"/>
          </w:tcPr>
          <w:p w:rsidR="003F5784" w14:paraId="79D7A535" w14:textId="77777777">
            <w:pPr>
              <w:pStyle w:val="TableParagraph"/>
              <w:ind w:left="120"/>
              <w:jc w:val="left"/>
              <w:rPr>
                <w:sz w:val="21"/>
              </w:rPr>
            </w:pPr>
            <w:r>
              <w:rPr>
                <w:spacing w:val="-2"/>
                <w:sz w:val="21"/>
              </w:rPr>
              <w:t>Texas</w:t>
            </w:r>
          </w:p>
        </w:tc>
        <w:tc>
          <w:tcPr>
            <w:tcW w:w="2071" w:type="dxa"/>
            <w:gridSpan w:val="2"/>
          </w:tcPr>
          <w:p w:rsidR="003F5784" w14:paraId="60E9CAB4" w14:textId="77777777">
            <w:pPr>
              <w:pStyle w:val="TableParagraph"/>
              <w:ind w:right="738"/>
              <w:rPr>
                <w:sz w:val="21"/>
              </w:rPr>
            </w:pPr>
            <w:r>
              <w:rPr>
                <w:spacing w:val="-5"/>
                <w:sz w:val="21"/>
              </w:rPr>
              <w:t>220</w:t>
            </w:r>
          </w:p>
        </w:tc>
        <w:tc>
          <w:tcPr>
            <w:tcW w:w="2006" w:type="dxa"/>
            <w:gridSpan w:val="2"/>
          </w:tcPr>
          <w:p w:rsidR="003F5784" w14:paraId="04123D53" w14:textId="77777777">
            <w:pPr>
              <w:pStyle w:val="TableParagraph"/>
              <w:ind w:left="159" w:right="112"/>
              <w:jc w:val="center"/>
              <w:rPr>
                <w:sz w:val="21"/>
              </w:rPr>
            </w:pPr>
            <w:r>
              <w:rPr>
                <w:spacing w:val="-2"/>
                <w:sz w:val="21"/>
              </w:rPr>
              <w:t>100.00</w:t>
            </w:r>
          </w:p>
        </w:tc>
        <w:tc>
          <w:tcPr>
            <w:tcW w:w="1654" w:type="dxa"/>
            <w:gridSpan w:val="2"/>
          </w:tcPr>
          <w:p w:rsidR="003F5784" w14:paraId="4AC75C23" w14:textId="77777777">
            <w:pPr>
              <w:pStyle w:val="TableParagraph"/>
              <w:ind w:right="386"/>
              <w:rPr>
                <w:sz w:val="21"/>
              </w:rPr>
            </w:pPr>
            <w:r>
              <w:rPr>
                <w:spacing w:val="-2"/>
                <w:sz w:val="21"/>
              </w:rPr>
              <w:t>100.00</w:t>
            </w:r>
          </w:p>
        </w:tc>
        <w:tc>
          <w:tcPr>
            <w:tcW w:w="1321" w:type="dxa"/>
            <w:gridSpan w:val="2"/>
          </w:tcPr>
          <w:p w:rsidR="003F5784" w14:paraId="5D269363" w14:textId="77777777">
            <w:pPr>
              <w:pStyle w:val="TableParagraph"/>
              <w:ind w:left="387"/>
              <w:jc w:val="left"/>
              <w:rPr>
                <w:sz w:val="21"/>
              </w:rPr>
            </w:pPr>
            <w:r>
              <w:rPr>
                <w:spacing w:val="-2"/>
                <w:sz w:val="21"/>
              </w:rPr>
              <w:t>6,600</w:t>
            </w:r>
          </w:p>
        </w:tc>
        <w:tc>
          <w:tcPr>
            <w:tcW w:w="1454" w:type="dxa"/>
            <w:gridSpan w:val="2"/>
          </w:tcPr>
          <w:p w:rsidR="003F5784" w14:paraId="2BF133A7" w14:textId="77777777">
            <w:pPr>
              <w:pStyle w:val="TableParagraph"/>
              <w:ind w:left="463"/>
              <w:jc w:val="left"/>
              <w:rPr>
                <w:sz w:val="21"/>
              </w:rPr>
            </w:pPr>
            <w:r>
              <w:rPr>
                <w:spacing w:val="-4"/>
                <w:sz w:val="21"/>
              </w:rPr>
              <w:t>1.56</w:t>
            </w:r>
          </w:p>
        </w:tc>
        <w:tc>
          <w:tcPr>
            <w:tcW w:w="1743" w:type="dxa"/>
            <w:gridSpan w:val="2"/>
          </w:tcPr>
          <w:p w:rsidR="003F5784" w14:paraId="5F575CB7" w14:textId="77777777">
            <w:pPr>
              <w:pStyle w:val="TableParagraph"/>
              <w:ind w:right="22"/>
              <w:jc w:val="center"/>
              <w:rPr>
                <w:sz w:val="21"/>
              </w:rPr>
            </w:pPr>
            <w:r>
              <w:rPr>
                <w:spacing w:val="-2"/>
                <w:sz w:val="21"/>
              </w:rPr>
              <w:t>89.72</w:t>
            </w:r>
          </w:p>
        </w:tc>
        <w:tc>
          <w:tcPr>
            <w:tcW w:w="1237" w:type="dxa"/>
            <w:gridSpan w:val="2"/>
          </w:tcPr>
          <w:p w:rsidR="003F5784" w14:paraId="358CCA86" w14:textId="77777777">
            <w:pPr>
              <w:pStyle w:val="TableParagraph"/>
              <w:ind w:right="118"/>
              <w:rPr>
                <w:sz w:val="21"/>
              </w:rPr>
            </w:pPr>
            <w:r>
              <w:rPr>
                <w:spacing w:val="-2"/>
                <w:sz w:val="21"/>
              </w:rPr>
              <w:t>15.94</w:t>
            </w:r>
          </w:p>
        </w:tc>
      </w:tr>
      <w:tr w14:paraId="5BB668D2" w14:textId="77777777">
        <w:tblPrEx>
          <w:tblW w:w="0" w:type="auto"/>
          <w:tblInd w:w="552" w:type="dxa"/>
          <w:tblLayout w:type="fixed"/>
          <w:tblCellMar>
            <w:left w:w="0" w:type="dxa"/>
            <w:right w:w="0" w:type="dxa"/>
          </w:tblCellMar>
          <w:tblLook w:val="01E0"/>
        </w:tblPrEx>
        <w:trPr>
          <w:trHeight w:val="286"/>
        </w:trPr>
        <w:tc>
          <w:tcPr>
            <w:tcW w:w="2499" w:type="dxa"/>
          </w:tcPr>
          <w:p w:rsidR="003F5784" w14:paraId="08F8B3F2" w14:textId="77777777">
            <w:pPr>
              <w:pStyle w:val="TableParagraph"/>
              <w:ind w:left="120"/>
              <w:jc w:val="left"/>
              <w:rPr>
                <w:sz w:val="21"/>
              </w:rPr>
            </w:pPr>
            <w:r>
              <w:rPr>
                <w:spacing w:val="-4"/>
                <w:sz w:val="21"/>
              </w:rPr>
              <w:t>Utah</w:t>
            </w:r>
          </w:p>
        </w:tc>
        <w:tc>
          <w:tcPr>
            <w:tcW w:w="2071" w:type="dxa"/>
            <w:gridSpan w:val="2"/>
          </w:tcPr>
          <w:p w:rsidR="003F5784" w14:paraId="481BF8B2" w14:textId="77777777">
            <w:pPr>
              <w:pStyle w:val="TableParagraph"/>
              <w:ind w:right="738"/>
              <w:rPr>
                <w:sz w:val="21"/>
              </w:rPr>
            </w:pPr>
            <w:r>
              <w:rPr>
                <w:spacing w:val="-5"/>
                <w:sz w:val="21"/>
              </w:rPr>
              <w:t>90</w:t>
            </w:r>
          </w:p>
        </w:tc>
        <w:tc>
          <w:tcPr>
            <w:tcW w:w="2006" w:type="dxa"/>
            <w:gridSpan w:val="2"/>
          </w:tcPr>
          <w:p w:rsidR="003F5784" w14:paraId="74209DD3" w14:textId="77777777">
            <w:pPr>
              <w:pStyle w:val="TableParagraph"/>
              <w:ind w:left="159" w:right="112"/>
              <w:jc w:val="center"/>
              <w:rPr>
                <w:sz w:val="21"/>
              </w:rPr>
            </w:pPr>
            <w:r>
              <w:rPr>
                <w:spacing w:val="-2"/>
                <w:sz w:val="21"/>
              </w:rPr>
              <w:t>100.00</w:t>
            </w:r>
          </w:p>
        </w:tc>
        <w:tc>
          <w:tcPr>
            <w:tcW w:w="1654" w:type="dxa"/>
            <w:gridSpan w:val="2"/>
          </w:tcPr>
          <w:p w:rsidR="003F5784" w14:paraId="2253ADB4" w14:textId="77777777">
            <w:pPr>
              <w:pStyle w:val="TableParagraph"/>
              <w:ind w:right="386"/>
              <w:rPr>
                <w:sz w:val="21"/>
              </w:rPr>
            </w:pPr>
            <w:r>
              <w:rPr>
                <w:spacing w:val="-2"/>
                <w:sz w:val="21"/>
              </w:rPr>
              <w:t>100.00</w:t>
            </w:r>
          </w:p>
        </w:tc>
        <w:tc>
          <w:tcPr>
            <w:tcW w:w="1321" w:type="dxa"/>
            <w:gridSpan w:val="2"/>
          </w:tcPr>
          <w:p w:rsidR="003F5784" w14:paraId="7F3B8437" w14:textId="77777777">
            <w:pPr>
              <w:pStyle w:val="TableParagraph"/>
              <w:ind w:left="387"/>
              <w:jc w:val="left"/>
              <w:rPr>
                <w:sz w:val="21"/>
              </w:rPr>
            </w:pPr>
            <w:r>
              <w:rPr>
                <w:spacing w:val="-2"/>
                <w:sz w:val="21"/>
              </w:rPr>
              <w:t>2,200</w:t>
            </w:r>
          </w:p>
        </w:tc>
        <w:tc>
          <w:tcPr>
            <w:tcW w:w="1454" w:type="dxa"/>
            <w:gridSpan w:val="2"/>
          </w:tcPr>
          <w:p w:rsidR="003F5784" w14:paraId="294C2A2B" w14:textId="77777777">
            <w:pPr>
              <w:pStyle w:val="TableParagraph"/>
              <w:ind w:left="463"/>
              <w:jc w:val="left"/>
              <w:rPr>
                <w:sz w:val="21"/>
              </w:rPr>
            </w:pPr>
            <w:r>
              <w:rPr>
                <w:spacing w:val="-4"/>
                <w:sz w:val="21"/>
              </w:rPr>
              <w:t>1.67</w:t>
            </w:r>
          </w:p>
        </w:tc>
        <w:tc>
          <w:tcPr>
            <w:tcW w:w="1743" w:type="dxa"/>
            <w:gridSpan w:val="2"/>
          </w:tcPr>
          <w:p w:rsidR="003F5784" w14:paraId="69FA7495" w14:textId="77777777">
            <w:pPr>
              <w:pStyle w:val="TableParagraph"/>
              <w:ind w:right="22"/>
              <w:jc w:val="center"/>
              <w:rPr>
                <w:sz w:val="21"/>
              </w:rPr>
            </w:pPr>
            <w:r>
              <w:rPr>
                <w:spacing w:val="-2"/>
                <w:sz w:val="21"/>
              </w:rPr>
              <w:t>87.70</w:t>
            </w:r>
          </w:p>
        </w:tc>
        <w:tc>
          <w:tcPr>
            <w:tcW w:w="1237" w:type="dxa"/>
            <w:gridSpan w:val="2"/>
          </w:tcPr>
          <w:p w:rsidR="003F5784" w14:paraId="4857647A" w14:textId="77777777">
            <w:pPr>
              <w:pStyle w:val="TableParagraph"/>
              <w:ind w:right="118"/>
              <w:rPr>
                <w:sz w:val="21"/>
              </w:rPr>
            </w:pPr>
            <w:r>
              <w:rPr>
                <w:spacing w:val="-2"/>
                <w:sz w:val="21"/>
              </w:rPr>
              <w:t>12.50</w:t>
            </w:r>
          </w:p>
        </w:tc>
      </w:tr>
      <w:tr w14:paraId="2F6E426E" w14:textId="77777777">
        <w:tblPrEx>
          <w:tblW w:w="0" w:type="auto"/>
          <w:tblInd w:w="552" w:type="dxa"/>
          <w:tblLayout w:type="fixed"/>
          <w:tblCellMar>
            <w:left w:w="0" w:type="dxa"/>
            <w:right w:w="0" w:type="dxa"/>
          </w:tblCellMar>
          <w:tblLook w:val="01E0"/>
        </w:tblPrEx>
        <w:trPr>
          <w:trHeight w:val="286"/>
        </w:trPr>
        <w:tc>
          <w:tcPr>
            <w:tcW w:w="2499" w:type="dxa"/>
          </w:tcPr>
          <w:p w:rsidR="003F5784" w14:paraId="7FE02B95" w14:textId="77777777">
            <w:pPr>
              <w:pStyle w:val="TableParagraph"/>
              <w:ind w:left="120"/>
              <w:jc w:val="left"/>
              <w:rPr>
                <w:sz w:val="21"/>
              </w:rPr>
            </w:pPr>
            <w:r>
              <w:rPr>
                <w:spacing w:val="-2"/>
                <w:sz w:val="21"/>
              </w:rPr>
              <w:t>Vermont</w:t>
            </w:r>
          </w:p>
        </w:tc>
        <w:tc>
          <w:tcPr>
            <w:tcW w:w="2071" w:type="dxa"/>
            <w:gridSpan w:val="2"/>
          </w:tcPr>
          <w:p w:rsidR="003F5784" w14:paraId="55F4F787" w14:textId="77777777">
            <w:pPr>
              <w:pStyle w:val="TableParagraph"/>
              <w:ind w:right="738"/>
              <w:rPr>
                <w:sz w:val="21"/>
              </w:rPr>
            </w:pPr>
            <w:r>
              <w:rPr>
                <w:spacing w:val="-5"/>
                <w:sz w:val="21"/>
              </w:rPr>
              <w:t>90</w:t>
            </w:r>
          </w:p>
        </w:tc>
        <w:tc>
          <w:tcPr>
            <w:tcW w:w="2006" w:type="dxa"/>
            <w:gridSpan w:val="2"/>
          </w:tcPr>
          <w:p w:rsidR="003F5784" w14:paraId="31C8CE62" w14:textId="77777777">
            <w:pPr>
              <w:pStyle w:val="TableParagraph"/>
              <w:ind w:left="159" w:right="112"/>
              <w:jc w:val="center"/>
              <w:rPr>
                <w:sz w:val="21"/>
              </w:rPr>
            </w:pPr>
            <w:r>
              <w:rPr>
                <w:spacing w:val="-2"/>
                <w:sz w:val="21"/>
              </w:rPr>
              <w:t>100.00</w:t>
            </w:r>
          </w:p>
        </w:tc>
        <w:tc>
          <w:tcPr>
            <w:tcW w:w="1654" w:type="dxa"/>
            <w:gridSpan w:val="2"/>
          </w:tcPr>
          <w:p w:rsidR="003F5784" w14:paraId="7FA2655B" w14:textId="77777777">
            <w:pPr>
              <w:pStyle w:val="TableParagraph"/>
              <w:ind w:right="386"/>
              <w:rPr>
                <w:sz w:val="21"/>
              </w:rPr>
            </w:pPr>
            <w:r>
              <w:rPr>
                <w:spacing w:val="-2"/>
                <w:sz w:val="21"/>
              </w:rPr>
              <w:t>100.00</w:t>
            </w:r>
          </w:p>
        </w:tc>
        <w:tc>
          <w:tcPr>
            <w:tcW w:w="1321" w:type="dxa"/>
            <w:gridSpan w:val="2"/>
          </w:tcPr>
          <w:p w:rsidR="003F5784" w14:paraId="14175982" w14:textId="77777777">
            <w:pPr>
              <w:pStyle w:val="TableParagraph"/>
              <w:ind w:left="387"/>
              <w:jc w:val="left"/>
              <w:rPr>
                <w:sz w:val="21"/>
              </w:rPr>
            </w:pPr>
            <w:r>
              <w:rPr>
                <w:spacing w:val="-2"/>
                <w:sz w:val="21"/>
              </w:rPr>
              <w:t>2,200</w:t>
            </w:r>
          </w:p>
        </w:tc>
        <w:tc>
          <w:tcPr>
            <w:tcW w:w="1454" w:type="dxa"/>
            <w:gridSpan w:val="2"/>
          </w:tcPr>
          <w:p w:rsidR="003F5784" w14:paraId="5ED19708" w14:textId="77777777">
            <w:pPr>
              <w:pStyle w:val="TableParagraph"/>
              <w:ind w:left="463"/>
              <w:jc w:val="left"/>
              <w:rPr>
                <w:sz w:val="21"/>
              </w:rPr>
            </w:pPr>
            <w:r>
              <w:rPr>
                <w:spacing w:val="-4"/>
                <w:sz w:val="21"/>
              </w:rPr>
              <w:t>1.72</w:t>
            </w:r>
          </w:p>
        </w:tc>
        <w:tc>
          <w:tcPr>
            <w:tcW w:w="1743" w:type="dxa"/>
            <w:gridSpan w:val="2"/>
          </w:tcPr>
          <w:p w:rsidR="003F5784" w14:paraId="299C00B3" w14:textId="77777777">
            <w:pPr>
              <w:pStyle w:val="TableParagraph"/>
              <w:ind w:right="22"/>
              <w:jc w:val="center"/>
              <w:rPr>
                <w:sz w:val="21"/>
              </w:rPr>
            </w:pPr>
            <w:r>
              <w:rPr>
                <w:spacing w:val="-2"/>
                <w:sz w:val="21"/>
              </w:rPr>
              <w:t>87.05</w:t>
            </w:r>
          </w:p>
        </w:tc>
        <w:tc>
          <w:tcPr>
            <w:tcW w:w="1237" w:type="dxa"/>
            <w:gridSpan w:val="2"/>
          </w:tcPr>
          <w:p w:rsidR="003F5784" w14:paraId="60D390FE" w14:textId="77777777">
            <w:pPr>
              <w:pStyle w:val="TableParagraph"/>
              <w:ind w:right="118"/>
              <w:rPr>
                <w:sz w:val="21"/>
              </w:rPr>
            </w:pPr>
            <w:r>
              <w:rPr>
                <w:spacing w:val="-2"/>
                <w:sz w:val="21"/>
              </w:rPr>
              <w:t>16.37</w:t>
            </w:r>
          </w:p>
        </w:tc>
      </w:tr>
      <w:tr w14:paraId="5FBE959B" w14:textId="77777777">
        <w:tblPrEx>
          <w:tblW w:w="0" w:type="auto"/>
          <w:tblInd w:w="552" w:type="dxa"/>
          <w:tblLayout w:type="fixed"/>
          <w:tblCellMar>
            <w:left w:w="0" w:type="dxa"/>
            <w:right w:w="0" w:type="dxa"/>
          </w:tblCellMar>
          <w:tblLook w:val="01E0"/>
        </w:tblPrEx>
        <w:trPr>
          <w:trHeight w:val="286"/>
        </w:trPr>
        <w:tc>
          <w:tcPr>
            <w:tcW w:w="2499" w:type="dxa"/>
          </w:tcPr>
          <w:p w:rsidR="003F5784" w14:paraId="33F74DDA" w14:textId="77777777">
            <w:pPr>
              <w:pStyle w:val="TableParagraph"/>
              <w:ind w:left="120"/>
              <w:jc w:val="left"/>
              <w:rPr>
                <w:sz w:val="21"/>
              </w:rPr>
            </w:pPr>
            <w:r>
              <w:rPr>
                <w:spacing w:val="-2"/>
                <w:sz w:val="21"/>
              </w:rPr>
              <w:t>Virginia</w:t>
            </w:r>
          </w:p>
        </w:tc>
        <w:tc>
          <w:tcPr>
            <w:tcW w:w="2071" w:type="dxa"/>
            <w:gridSpan w:val="2"/>
          </w:tcPr>
          <w:p w:rsidR="003F5784" w14:paraId="31728082" w14:textId="77777777">
            <w:pPr>
              <w:pStyle w:val="TableParagraph"/>
              <w:ind w:right="738"/>
              <w:rPr>
                <w:sz w:val="21"/>
              </w:rPr>
            </w:pPr>
            <w:r>
              <w:rPr>
                <w:spacing w:val="-5"/>
                <w:sz w:val="21"/>
              </w:rPr>
              <w:t>90</w:t>
            </w:r>
          </w:p>
        </w:tc>
        <w:tc>
          <w:tcPr>
            <w:tcW w:w="2006" w:type="dxa"/>
            <w:gridSpan w:val="2"/>
          </w:tcPr>
          <w:p w:rsidR="003F5784" w14:paraId="10B8CCAD" w14:textId="77777777">
            <w:pPr>
              <w:pStyle w:val="TableParagraph"/>
              <w:ind w:left="159" w:right="8"/>
              <w:jc w:val="center"/>
              <w:rPr>
                <w:sz w:val="21"/>
              </w:rPr>
            </w:pPr>
            <w:r>
              <w:rPr>
                <w:spacing w:val="-2"/>
                <w:sz w:val="21"/>
              </w:rPr>
              <w:t>98.75</w:t>
            </w:r>
          </w:p>
        </w:tc>
        <w:tc>
          <w:tcPr>
            <w:tcW w:w="1654" w:type="dxa"/>
            <w:gridSpan w:val="2"/>
          </w:tcPr>
          <w:p w:rsidR="003F5784" w14:paraId="1C90CD56" w14:textId="77777777">
            <w:pPr>
              <w:pStyle w:val="TableParagraph"/>
              <w:ind w:right="386"/>
              <w:rPr>
                <w:sz w:val="21"/>
              </w:rPr>
            </w:pPr>
            <w:r>
              <w:rPr>
                <w:spacing w:val="-2"/>
                <w:sz w:val="21"/>
              </w:rPr>
              <w:t>99.52</w:t>
            </w:r>
          </w:p>
        </w:tc>
        <w:tc>
          <w:tcPr>
            <w:tcW w:w="1321" w:type="dxa"/>
            <w:gridSpan w:val="2"/>
          </w:tcPr>
          <w:p w:rsidR="003F5784" w14:paraId="7A221077" w14:textId="77777777">
            <w:pPr>
              <w:pStyle w:val="TableParagraph"/>
              <w:ind w:left="387"/>
              <w:jc w:val="left"/>
              <w:rPr>
                <w:sz w:val="21"/>
              </w:rPr>
            </w:pPr>
            <w:r>
              <w:rPr>
                <w:spacing w:val="-2"/>
                <w:sz w:val="21"/>
              </w:rPr>
              <w:t>2,100</w:t>
            </w:r>
          </w:p>
        </w:tc>
        <w:tc>
          <w:tcPr>
            <w:tcW w:w="1454" w:type="dxa"/>
            <w:gridSpan w:val="2"/>
          </w:tcPr>
          <w:p w:rsidR="003F5784" w14:paraId="07DE963A" w14:textId="77777777">
            <w:pPr>
              <w:pStyle w:val="TableParagraph"/>
              <w:ind w:left="463"/>
              <w:jc w:val="left"/>
              <w:rPr>
                <w:sz w:val="21"/>
              </w:rPr>
            </w:pPr>
            <w:r>
              <w:rPr>
                <w:spacing w:val="-4"/>
                <w:sz w:val="21"/>
              </w:rPr>
              <w:t>1.70</w:t>
            </w:r>
          </w:p>
        </w:tc>
        <w:tc>
          <w:tcPr>
            <w:tcW w:w="1743" w:type="dxa"/>
            <w:gridSpan w:val="2"/>
          </w:tcPr>
          <w:p w:rsidR="003F5784" w14:paraId="0135DF41" w14:textId="77777777">
            <w:pPr>
              <w:pStyle w:val="TableParagraph"/>
              <w:ind w:right="22"/>
              <w:jc w:val="center"/>
              <w:rPr>
                <w:sz w:val="21"/>
              </w:rPr>
            </w:pPr>
            <w:r>
              <w:rPr>
                <w:spacing w:val="-2"/>
                <w:sz w:val="21"/>
              </w:rPr>
              <w:t>88.42</w:t>
            </w:r>
          </w:p>
        </w:tc>
        <w:tc>
          <w:tcPr>
            <w:tcW w:w="1237" w:type="dxa"/>
            <w:gridSpan w:val="2"/>
          </w:tcPr>
          <w:p w:rsidR="003F5784" w14:paraId="0AC26C3A" w14:textId="77777777">
            <w:pPr>
              <w:pStyle w:val="TableParagraph"/>
              <w:ind w:right="118"/>
              <w:rPr>
                <w:sz w:val="21"/>
              </w:rPr>
            </w:pPr>
            <w:r>
              <w:rPr>
                <w:spacing w:val="-2"/>
                <w:sz w:val="21"/>
              </w:rPr>
              <w:t>12.39</w:t>
            </w:r>
          </w:p>
        </w:tc>
      </w:tr>
      <w:tr w14:paraId="5B5B2F21" w14:textId="77777777">
        <w:tblPrEx>
          <w:tblW w:w="0" w:type="auto"/>
          <w:tblInd w:w="552" w:type="dxa"/>
          <w:tblLayout w:type="fixed"/>
          <w:tblCellMar>
            <w:left w:w="0" w:type="dxa"/>
            <w:right w:w="0" w:type="dxa"/>
          </w:tblCellMar>
          <w:tblLook w:val="01E0"/>
        </w:tblPrEx>
        <w:trPr>
          <w:trHeight w:val="289"/>
        </w:trPr>
        <w:tc>
          <w:tcPr>
            <w:tcW w:w="2499" w:type="dxa"/>
            <w:tcBorders>
              <w:bottom w:val="single" w:sz="18" w:space="0" w:color="800000"/>
            </w:tcBorders>
          </w:tcPr>
          <w:p w:rsidR="003F5784" w14:paraId="2D7E4AEA" w14:textId="77777777">
            <w:pPr>
              <w:pStyle w:val="TableParagraph"/>
              <w:ind w:left="120"/>
              <w:jc w:val="left"/>
              <w:rPr>
                <w:sz w:val="21"/>
              </w:rPr>
            </w:pPr>
            <w:r>
              <w:rPr>
                <w:spacing w:val="-2"/>
                <w:sz w:val="21"/>
              </w:rPr>
              <w:t>Washington</w:t>
            </w:r>
          </w:p>
        </w:tc>
        <w:tc>
          <w:tcPr>
            <w:tcW w:w="2071" w:type="dxa"/>
            <w:gridSpan w:val="2"/>
            <w:tcBorders>
              <w:bottom w:val="single" w:sz="18" w:space="0" w:color="800000"/>
            </w:tcBorders>
          </w:tcPr>
          <w:p w:rsidR="003F5784" w14:paraId="610CCEDE" w14:textId="77777777">
            <w:pPr>
              <w:pStyle w:val="TableParagraph"/>
              <w:ind w:right="738"/>
              <w:rPr>
                <w:sz w:val="21"/>
              </w:rPr>
            </w:pPr>
            <w:r>
              <w:rPr>
                <w:spacing w:val="-5"/>
                <w:sz w:val="21"/>
              </w:rPr>
              <w:t>90</w:t>
            </w:r>
          </w:p>
        </w:tc>
        <w:tc>
          <w:tcPr>
            <w:tcW w:w="2006" w:type="dxa"/>
            <w:gridSpan w:val="2"/>
            <w:tcBorders>
              <w:bottom w:val="single" w:sz="18" w:space="0" w:color="800000"/>
            </w:tcBorders>
          </w:tcPr>
          <w:p w:rsidR="003F5784" w14:paraId="43690F03" w14:textId="77777777">
            <w:pPr>
              <w:pStyle w:val="TableParagraph"/>
              <w:ind w:left="159" w:right="112"/>
              <w:jc w:val="center"/>
              <w:rPr>
                <w:sz w:val="21"/>
              </w:rPr>
            </w:pPr>
            <w:r>
              <w:rPr>
                <w:spacing w:val="-2"/>
                <w:sz w:val="21"/>
              </w:rPr>
              <w:t>100.00</w:t>
            </w:r>
          </w:p>
        </w:tc>
        <w:tc>
          <w:tcPr>
            <w:tcW w:w="1654" w:type="dxa"/>
            <w:gridSpan w:val="2"/>
            <w:tcBorders>
              <w:bottom w:val="single" w:sz="18" w:space="0" w:color="800000"/>
            </w:tcBorders>
          </w:tcPr>
          <w:p w:rsidR="003F5784" w14:paraId="3071C34D" w14:textId="77777777">
            <w:pPr>
              <w:pStyle w:val="TableParagraph"/>
              <w:ind w:right="386"/>
              <w:rPr>
                <w:sz w:val="21"/>
              </w:rPr>
            </w:pPr>
            <w:r>
              <w:rPr>
                <w:spacing w:val="-2"/>
                <w:sz w:val="21"/>
              </w:rPr>
              <w:t>100.00</w:t>
            </w:r>
          </w:p>
        </w:tc>
        <w:tc>
          <w:tcPr>
            <w:tcW w:w="1321" w:type="dxa"/>
            <w:gridSpan w:val="2"/>
            <w:tcBorders>
              <w:bottom w:val="single" w:sz="18" w:space="0" w:color="800000"/>
            </w:tcBorders>
          </w:tcPr>
          <w:p w:rsidR="003F5784" w14:paraId="175E3951" w14:textId="77777777">
            <w:pPr>
              <w:pStyle w:val="TableParagraph"/>
              <w:ind w:left="387"/>
              <w:jc w:val="left"/>
              <w:rPr>
                <w:sz w:val="21"/>
              </w:rPr>
            </w:pPr>
            <w:r>
              <w:rPr>
                <w:spacing w:val="-2"/>
                <w:sz w:val="21"/>
              </w:rPr>
              <w:t>2,200</w:t>
            </w:r>
          </w:p>
        </w:tc>
        <w:tc>
          <w:tcPr>
            <w:tcW w:w="1454" w:type="dxa"/>
            <w:gridSpan w:val="2"/>
            <w:tcBorders>
              <w:bottom w:val="single" w:sz="18" w:space="0" w:color="800000"/>
            </w:tcBorders>
          </w:tcPr>
          <w:p w:rsidR="003F5784" w14:paraId="14C991D3" w14:textId="77777777">
            <w:pPr>
              <w:pStyle w:val="TableParagraph"/>
              <w:ind w:left="463"/>
              <w:jc w:val="left"/>
              <w:rPr>
                <w:sz w:val="21"/>
              </w:rPr>
            </w:pPr>
            <w:r>
              <w:rPr>
                <w:spacing w:val="-4"/>
                <w:sz w:val="21"/>
              </w:rPr>
              <w:t>1.37</w:t>
            </w:r>
          </w:p>
        </w:tc>
        <w:tc>
          <w:tcPr>
            <w:tcW w:w="1743" w:type="dxa"/>
            <w:gridSpan w:val="2"/>
            <w:tcBorders>
              <w:bottom w:val="single" w:sz="18" w:space="0" w:color="800000"/>
            </w:tcBorders>
          </w:tcPr>
          <w:p w:rsidR="003F5784" w14:paraId="13EC0460" w14:textId="77777777">
            <w:pPr>
              <w:pStyle w:val="TableParagraph"/>
              <w:ind w:right="22"/>
              <w:jc w:val="center"/>
              <w:rPr>
                <w:sz w:val="21"/>
              </w:rPr>
            </w:pPr>
            <w:r>
              <w:rPr>
                <w:spacing w:val="-2"/>
                <w:sz w:val="21"/>
              </w:rPr>
              <w:t>86.92</w:t>
            </w:r>
          </w:p>
        </w:tc>
        <w:tc>
          <w:tcPr>
            <w:tcW w:w="1237" w:type="dxa"/>
            <w:gridSpan w:val="2"/>
            <w:tcBorders>
              <w:bottom w:val="single" w:sz="18" w:space="0" w:color="800000"/>
            </w:tcBorders>
          </w:tcPr>
          <w:p w:rsidR="003F5784" w14:paraId="60709D9B" w14:textId="77777777">
            <w:pPr>
              <w:pStyle w:val="TableParagraph"/>
              <w:ind w:right="118"/>
              <w:rPr>
                <w:sz w:val="21"/>
              </w:rPr>
            </w:pPr>
            <w:r>
              <w:rPr>
                <w:spacing w:val="-2"/>
                <w:sz w:val="21"/>
              </w:rPr>
              <w:t>10.88</w:t>
            </w:r>
          </w:p>
        </w:tc>
      </w:tr>
    </w:tbl>
    <w:p w:rsidR="003F5784" w14:paraId="542BED70" w14:textId="77777777">
      <w:pPr>
        <w:rPr>
          <w:sz w:val="21"/>
        </w:rPr>
        <w:sectPr>
          <w:headerReference w:type="default" r:id="rId557"/>
          <w:footerReference w:type="default" r:id="rId558"/>
          <w:pgSz w:w="15840" w:h="12240" w:orient="landscape"/>
          <w:pgMar w:top="480" w:right="440" w:bottom="2040" w:left="460" w:header="284" w:footer="1856" w:gutter="0"/>
          <w:cols w:space="720"/>
        </w:sectPr>
      </w:pPr>
    </w:p>
    <w:p w:rsidR="003F5784" w14:paraId="3440C378" w14:textId="77777777">
      <w:pPr>
        <w:pStyle w:val="BodyText"/>
        <w:spacing w:before="5"/>
        <w:rPr>
          <w:sz w:val="9"/>
        </w:rPr>
      </w:pPr>
    </w:p>
    <w:tbl>
      <w:tblPr>
        <w:tblW w:w="0" w:type="auto"/>
        <w:tblInd w:w="552" w:type="dxa"/>
        <w:tblLayout w:type="fixed"/>
        <w:tblCellMar>
          <w:left w:w="0" w:type="dxa"/>
          <w:right w:w="0" w:type="dxa"/>
        </w:tblCellMar>
        <w:tblLook w:val="01E0"/>
      </w:tblPr>
      <w:tblGrid>
        <w:gridCol w:w="2919"/>
        <w:gridCol w:w="975"/>
        <w:gridCol w:w="54"/>
        <w:gridCol w:w="1374"/>
        <w:gridCol w:w="66"/>
        <w:gridCol w:w="1350"/>
        <w:gridCol w:w="7"/>
        <w:gridCol w:w="999"/>
        <w:gridCol w:w="74"/>
        <w:gridCol w:w="883"/>
        <w:gridCol w:w="17"/>
        <w:gridCol w:w="1080"/>
        <w:gridCol w:w="87"/>
        <w:gridCol w:w="998"/>
        <w:gridCol w:w="85"/>
      </w:tblGrid>
      <w:tr w14:paraId="7E1A6910" w14:textId="77777777" w:rsidTr="00A35A43">
        <w:tblPrEx>
          <w:tblW w:w="0" w:type="auto"/>
          <w:tblInd w:w="552" w:type="dxa"/>
          <w:tblLayout w:type="fixed"/>
          <w:tblCellMar>
            <w:left w:w="0" w:type="dxa"/>
            <w:right w:w="0" w:type="dxa"/>
          </w:tblCellMar>
          <w:tblLook w:val="01E0"/>
        </w:tblPrEx>
        <w:trPr>
          <w:gridAfter w:val="1"/>
          <w:wAfter w:w="85" w:type="dxa"/>
          <w:trHeight w:val="232"/>
        </w:trPr>
        <w:tc>
          <w:tcPr>
            <w:tcW w:w="3894" w:type="dxa"/>
            <w:gridSpan w:val="2"/>
          </w:tcPr>
          <w:p w:rsidR="003F5784" w14:paraId="3397AE02" w14:textId="77777777">
            <w:pPr>
              <w:pStyle w:val="TableParagraph"/>
              <w:spacing w:before="0"/>
              <w:jc w:val="left"/>
              <w:rPr>
                <w:sz w:val="16"/>
              </w:rPr>
            </w:pPr>
          </w:p>
        </w:tc>
        <w:tc>
          <w:tcPr>
            <w:tcW w:w="1428" w:type="dxa"/>
            <w:gridSpan w:val="2"/>
          </w:tcPr>
          <w:p w:rsidR="003F5784" w14:paraId="5CFB4D47" w14:textId="77777777">
            <w:pPr>
              <w:pStyle w:val="TableParagraph"/>
              <w:spacing w:before="0" w:line="213" w:lineRule="exact"/>
              <w:ind w:right="133"/>
              <w:rPr>
                <w:sz w:val="21"/>
              </w:rPr>
            </w:pPr>
            <w:r>
              <w:rPr>
                <w:sz w:val="21"/>
              </w:rPr>
              <w:t>School</w:t>
            </w:r>
            <w:r>
              <w:rPr>
                <w:spacing w:val="-7"/>
                <w:sz w:val="21"/>
              </w:rPr>
              <w:t xml:space="preserve"> </w:t>
            </w:r>
            <w:r>
              <w:rPr>
                <w:spacing w:val="-2"/>
                <w:sz w:val="21"/>
              </w:rPr>
              <w:t>participation</w:t>
            </w:r>
          </w:p>
        </w:tc>
        <w:tc>
          <w:tcPr>
            <w:tcW w:w="1423" w:type="dxa"/>
            <w:gridSpan w:val="3"/>
          </w:tcPr>
          <w:p w:rsidR="003F5784" w14:paraId="2FD092BB" w14:textId="77777777">
            <w:pPr>
              <w:pStyle w:val="TableParagraph"/>
              <w:spacing w:before="0"/>
              <w:jc w:val="left"/>
              <w:rPr>
                <w:sz w:val="16"/>
              </w:rPr>
            </w:pPr>
          </w:p>
        </w:tc>
        <w:tc>
          <w:tcPr>
            <w:tcW w:w="4138" w:type="dxa"/>
            <w:gridSpan w:val="7"/>
            <w:vMerge w:val="restart"/>
          </w:tcPr>
          <w:p w:rsidR="003F5784" w14:paraId="6F99E606" w14:textId="77777777">
            <w:pPr>
              <w:pStyle w:val="TableParagraph"/>
              <w:spacing w:before="0"/>
              <w:jc w:val="left"/>
              <w:rPr>
                <w:sz w:val="20"/>
              </w:rPr>
            </w:pPr>
          </w:p>
        </w:tc>
      </w:tr>
      <w:tr w14:paraId="54E8850F" w14:textId="77777777" w:rsidTr="00A35A43">
        <w:tblPrEx>
          <w:tblW w:w="0" w:type="auto"/>
          <w:tblInd w:w="552" w:type="dxa"/>
          <w:tblLayout w:type="fixed"/>
          <w:tblCellMar>
            <w:left w:w="0" w:type="dxa"/>
            <w:right w:w="0" w:type="dxa"/>
          </w:tblCellMar>
          <w:tblLook w:val="01E0"/>
        </w:tblPrEx>
        <w:trPr>
          <w:gridAfter w:val="1"/>
          <w:wAfter w:w="85" w:type="dxa"/>
          <w:trHeight w:val="234"/>
        </w:trPr>
        <w:tc>
          <w:tcPr>
            <w:tcW w:w="3894" w:type="dxa"/>
            <w:gridSpan w:val="2"/>
          </w:tcPr>
          <w:p w:rsidR="003F5784" w14:paraId="563D98CD" w14:textId="77777777">
            <w:pPr>
              <w:pStyle w:val="TableParagraph"/>
              <w:spacing w:before="0" w:line="215" w:lineRule="exact"/>
              <w:ind w:right="133"/>
              <w:rPr>
                <w:sz w:val="21"/>
              </w:rPr>
            </w:pPr>
            <w:r>
              <w:rPr>
                <w:sz w:val="21"/>
              </w:rPr>
              <w:t>Number</w:t>
            </w:r>
            <w:r>
              <w:rPr>
                <w:spacing w:val="-8"/>
                <w:sz w:val="21"/>
              </w:rPr>
              <w:t xml:space="preserve"> </w:t>
            </w:r>
            <w:r>
              <w:rPr>
                <w:spacing w:val="-5"/>
                <w:sz w:val="21"/>
              </w:rPr>
              <w:t>of</w:t>
            </w:r>
          </w:p>
        </w:tc>
        <w:tc>
          <w:tcPr>
            <w:tcW w:w="1428" w:type="dxa"/>
            <w:gridSpan w:val="2"/>
          </w:tcPr>
          <w:p w:rsidR="003F5784" w14:paraId="141BD268" w14:textId="77777777">
            <w:pPr>
              <w:pStyle w:val="TableParagraph"/>
              <w:spacing w:before="0" w:line="215" w:lineRule="exact"/>
              <w:ind w:right="133"/>
              <w:rPr>
                <w:sz w:val="21"/>
              </w:rPr>
            </w:pPr>
            <w:r>
              <w:rPr>
                <w:sz w:val="21"/>
              </w:rPr>
              <w:t>rates</w:t>
            </w:r>
            <w:r>
              <w:rPr>
                <w:spacing w:val="-7"/>
                <w:sz w:val="21"/>
              </w:rPr>
              <w:t xml:space="preserve"> </w:t>
            </w:r>
            <w:r>
              <w:rPr>
                <w:sz w:val="21"/>
              </w:rPr>
              <w:t>(percent)</w:t>
            </w:r>
            <w:r>
              <w:rPr>
                <w:spacing w:val="-7"/>
                <w:sz w:val="21"/>
              </w:rPr>
              <w:t xml:space="preserve"> </w:t>
            </w:r>
            <w:r>
              <w:rPr>
                <w:spacing w:val="-2"/>
                <w:sz w:val="21"/>
              </w:rPr>
              <w:t>before</w:t>
            </w:r>
          </w:p>
        </w:tc>
        <w:tc>
          <w:tcPr>
            <w:tcW w:w="1423" w:type="dxa"/>
            <w:gridSpan w:val="3"/>
          </w:tcPr>
          <w:p w:rsidR="003F5784" w14:paraId="0A63A2C5" w14:textId="77777777">
            <w:pPr>
              <w:pStyle w:val="TableParagraph"/>
              <w:spacing w:before="0" w:line="215" w:lineRule="exact"/>
              <w:ind w:right="164"/>
              <w:rPr>
                <w:sz w:val="21"/>
              </w:rPr>
            </w:pPr>
            <w:r>
              <w:rPr>
                <w:sz w:val="21"/>
              </w:rPr>
              <w:t>School</w:t>
            </w:r>
            <w:r>
              <w:rPr>
                <w:spacing w:val="-7"/>
                <w:sz w:val="21"/>
              </w:rPr>
              <w:t xml:space="preserve"> </w:t>
            </w:r>
            <w:r>
              <w:rPr>
                <w:spacing w:val="-2"/>
                <w:sz w:val="21"/>
              </w:rPr>
              <w:t>participation</w:t>
            </w:r>
          </w:p>
        </w:tc>
        <w:tc>
          <w:tcPr>
            <w:tcW w:w="4138" w:type="dxa"/>
            <w:gridSpan w:val="7"/>
            <w:vMerge/>
            <w:tcBorders>
              <w:top w:val="nil"/>
            </w:tcBorders>
          </w:tcPr>
          <w:p w:rsidR="003F5784" w14:paraId="2B6821E1" w14:textId="77777777">
            <w:pPr>
              <w:rPr>
                <w:sz w:val="2"/>
                <w:szCs w:val="2"/>
              </w:rPr>
            </w:pPr>
          </w:p>
        </w:tc>
      </w:tr>
      <w:tr w14:paraId="0B5C7566" w14:textId="77777777" w:rsidTr="00A35A43">
        <w:tblPrEx>
          <w:tblW w:w="0" w:type="auto"/>
          <w:tblInd w:w="552" w:type="dxa"/>
          <w:tblLayout w:type="fixed"/>
          <w:tblCellMar>
            <w:left w:w="0" w:type="dxa"/>
            <w:right w:w="0" w:type="dxa"/>
          </w:tblCellMar>
          <w:tblLook w:val="01E0"/>
        </w:tblPrEx>
        <w:trPr>
          <w:gridAfter w:val="1"/>
          <w:wAfter w:w="85" w:type="dxa"/>
          <w:trHeight w:val="234"/>
        </w:trPr>
        <w:tc>
          <w:tcPr>
            <w:tcW w:w="3894" w:type="dxa"/>
            <w:gridSpan w:val="2"/>
          </w:tcPr>
          <w:p w:rsidR="003F5784" w14:paraId="774585DC" w14:textId="77777777">
            <w:pPr>
              <w:pStyle w:val="TableParagraph"/>
              <w:spacing w:before="0" w:line="215" w:lineRule="exact"/>
              <w:ind w:right="133"/>
              <w:rPr>
                <w:sz w:val="21"/>
              </w:rPr>
            </w:pPr>
            <w:r>
              <w:rPr>
                <w:sz w:val="21"/>
              </w:rPr>
              <w:t>schools</w:t>
            </w:r>
            <w:r>
              <w:rPr>
                <w:spacing w:val="-8"/>
                <w:sz w:val="21"/>
              </w:rPr>
              <w:t xml:space="preserve"> </w:t>
            </w:r>
            <w:r>
              <w:rPr>
                <w:spacing w:val="-5"/>
                <w:sz w:val="21"/>
              </w:rPr>
              <w:t>in</w:t>
            </w:r>
          </w:p>
        </w:tc>
        <w:tc>
          <w:tcPr>
            <w:tcW w:w="1428" w:type="dxa"/>
            <w:gridSpan w:val="2"/>
          </w:tcPr>
          <w:p w:rsidR="003F5784" w14:paraId="412D3AF7" w14:textId="77777777">
            <w:pPr>
              <w:pStyle w:val="TableParagraph"/>
              <w:spacing w:before="0" w:line="215" w:lineRule="exact"/>
              <w:ind w:right="133"/>
              <w:rPr>
                <w:sz w:val="21"/>
              </w:rPr>
            </w:pPr>
            <w:r>
              <w:rPr>
                <w:spacing w:val="-2"/>
                <w:sz w:val="21"/>
              </w:rPr>
              <w:t>substitution</w:t>
            </w:r>
          </w:p>
        </w:tc>
        <w:tc>
          <w:tcPr>
            <w:tcW w:w="1423" w:type="dxa"/>
            <w:gridSpan w:val="3"/>
          </w:tcPr>
          <w:p w:rsidR="003F5784" w14:paraId="7F3BDAE3" w14:textId="77777777">
            <w:pPr>
              <w:pStyle w:val="TableParagraph"/>
              <w:spacing w:before="0" w:line="215" w:lineRule="exact"/>
              <w:ind w:right="164"/>
              <w:rPr>
                <w:sz w:val="21"/>
              </w:rPr>
            </w:pPr>
            <w:r>
              <w:rPr>
                <w:sz w:val="21"/>
              </w:rPr>
              <w:t>rates</w:t>
            </w:r>
            <w:r>
              <w:rPr>
                <w:spacing w:val="-5"/>
                <w:sz w:val="21"/>
              </w:rPr>
              <w:t xml:space="preserve"> </w:t>
            </w:r>
            <w:r>
              <w:rPr>
                <w:spacing w:val="-2"/>
                <w:sz w:val="21"/>
              </w:rPr>
              <w:t>(percent)</w:t>
            </w:r>
          </w:p>
        </w:tc>
        <w:tc>
          <w:tcPr>
            <w:tcW w:w="999" w:type="dxa"/>
          </w:tcPr>
          <w:p w:rsidR="003F5784" w14:paraId="36492968" w14:textId="77777777">
            <w:pPr>
              <w:pStyle w:val="TableParagraph"/>
              <w:spacing w:before="0" w:line="215" w:lineRule="exact"/>
              <w:ind w:right="221"/>
              <w:rPr>
                <w:sz w:val="21"/>
              </w:rPr>
            </w:pPr>
            <w:r>
              <w:rPr>
                <w:sz w:val="21"/>
              </w:rPr>
              <w:t>Number</w:t>
            </w:r>
            <w:r>
              <w:rPr>
                <w:spacing w:val="-8"/>
                <w:sz w:val="21"/>
              </w:rPr>
              <w:t xml:space="preserve"> </w:t>
            </w:r>
            <w:r>
              <w:rPr>
                <w:spacing w:val="-5"/>
                <w:sz w:val="21"/>
              </w:rPr>
              <w:t>of</w:t>
            </w:r>
          </w:p>
        </w:tc>
        <w:tc>
          <w:tcPr>
            <w:tcW w:w="957" w:type="dxa"/>
            <w:gridSpan w:val="2"/>
          </w:tcPr>
          <w:p w:rsidR="003F5784" w14:paraId="2FC646D6" w14:textId="77777777">
            <w:pPr>
              <w:pStyle w:val="TableParagraph"/>
              <w:spacing w:before="0" w:line="215" w:lineRule="exact"/>
              <w:ind w:right="130"/>
              <w:rPr>
                <w:sz w:val="21"/>
              </w:rPr>
            </w:pPr>
            <w:r>
              <w:rPr>
                <w:spacing w:val="-2"/>
                <w:sz w:val="21"/>
              </w:rPr>
              <w:t>Weighted</w:t>
            </w:r>
          </w:p>
        </w:tc>
        <w:tc>
          <w:tcPr>
            <w:tcW w:w="1184" w:type="dxa"/>
            <w:gridSpan w:val="3"/>
          </w:tcPr>
          <w:p w:rsidR="003F5784" w14:paraId="6498413A" w14:textId="77777777">
            <w:pPr>
              <w:pStyle w:val="TableParagraph"/>
              <w:spacing w:before="0" w:line="215" w:lineRule="exact"/>
              <w:ind w:right="147"/>
              <w:rPr>
                <w:sz w:val="21"/>
              </w:rPr>
            </w:pPr>
            <w:r>
              <w:rPr>
                <w:spacing w:val="-2"/>
                <w:sz w:val="21"/>
              </w:rPr>
              <w:t>Weighted</w:t>
            </w:r>
            <w:r>
              <w:rPr>
                <w:spacing w:val="-11"/>
                <w:sz w:val="21"/>
              </w:rPr>
              <w:t xml:space="preserve"> </w:t>
            </w:r>
            <w:r>
              <w:rPr>
                <w:spacing w:val="-2"/>
                <w:sz w:val="21"/>
              </w:rPr>
              <w:t>student</w:t>
            </w:r>
          </w:p>
        </w:tc>
        <w:tc>
          <w:tcPr>
            <w:tcW w:w="998" w:type="dxa"/>
          </w:tcPr>
          <w:p w:rsidR="003F5784" w14:paraId="400B44D5" w14:textId="77777777">
            <w:pPr>
              <w:pStyle w:val="TableParagraph"/>
              <w:spacing w:before="0"/>
              <w:jc w:val="left"/>
              <w:rPr>
                <w:sz w:val="16"/>
              </w:rPr>
            </w:pPr>
          </w:p>
        </w:tc>
      </w:tr>
      <w:tr w14:paraId="3C3CFEC4" w14:textId="77777777" w:rsidTr="00A35A43">
        <w:tblPrEx>
          <w:tblW w:w="0" w:type="auto"/>
          <w:tblInd w:w="552" w:type="dxa"/>
          <w:tblLayout w:type="fixed"/>
          <w:tblCellMar>
            <w:left w:w="0" w:type="dxa"/>
            <w:right w:w="0" w:type="dxa"/>
          </w:tblCellMar>
          <w:tblLook w:val="01E0"/>
        </w:tblPrEx>
        <w:trPr>
          <w:gridAfter w:val="1"/>
          <w:wAfter w:w="85" w:type="dxa"/>
          <w:trHeight w:val="234"/>
        </w:trPr>
        <w:tc>
          <w:tcPr>
            <w:tcW w:w="3894" w:type="dxa"/>
            <w:gridSpan w:val="2"/>
          </w:tcPr>
          <w:p w:rsidR="003F5784" w14:paraId="7510919C" w14:textId="77777777">
            <w:pPr>
              <w:pStyle w:val="TableParagraph"/>
              <w:spacing w:before="0" w:line="215" w:lineRule="exact"/>
              <w:ind w:right="133"/>
              <w:rPr>
                <w:sz w:val="21"/>
              </w:rPr>
            </w:pPr>
            <w:r>
              <w:rPr>
                <w:spacing w:val="-2"/>
                <w:sz w:val="21"/>
              </w:rPr>
              <w:t>original</w:t>
            </w:r>
          </w:p>
        </w:tc>
        <w:tc>
          <w:tcPr>
            <w:tcW w:w="1428" w:type="dxa"/>
            <w:gridSpan w:val="2"/>
          </w:tcPr>
          <w:p w:rsidR="003F5784" w14:paraId="17AEF96C" w14:textId="77777777">
            <w:pPr>
              <w:pStyle w:val="TableParagraph"/>
              <w:spacing w:before="0" w:line="215" w:lineRule="exact"/>
              <w:ind w:right="133"/>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423" w:type="dxa"/>
            <w:gridSpan w:val="3"/>
          </w:tcPr>
          <w:p w:rsidR="003F5784" w14:paraId="2EA35F81" w14:textId="77777777">
            <w:pPr>
              <w:pStyle w:val="TableParagraph"/>
              <w:spacing w:before="0" w:line="215" w:lineRule="exact"/>
              <w:ind w:right="164"/>
              <w:rPr>
                <w:sz w:val="21"/>
              </w:rPr>
            </w:pPr>
            <w:r>
              <w:rPr>
                <w:sz w:val="21"/>
              </w:rPr>
              <w:t>before</w:t>
            </w:r>
            <w:r>
              <w:rPr>
                <w:spacing w:val="-7"/>
                <w:sz w:val="21"/>
              </w:rPr>
              <w:t xml:space="preserve"> </w:t>
            </w:r>
            <w:r>
              <w:rPr>
                <w:spacing w:val="-2"/>
                <w:sz w:val="21"/>
              </w:rPr>
              <w:t>substitution</w:t>
            </w:r>
          </w:p>
        </w:tc>
        <w:tc>
          <w:tcPr>
            <w:tcW w:w="999" w:type="dxa"/>
          </w:tcPr>
          <w:p w:rsidR="003F5784" w14:paraId="4C93A557" w14:textId="77777777">
            <w:pPr>
              <w:pStyle w:val="TableParagraph"/>
              <w:spacing w:before="0" w:line="215" w:lineRule="exact"/>
              <w:ind w:right="221"/>
              <w:rPr>
                <w:sz w:val="21"/>
              </w:rPr>
            </w:pPr>
            <w:r>
              <w:rPr>
                <w:spacing w:val="-2"/>
                <w:sz w:val="21"/>
              </w:rPr>
              <w:t>students</w:t>
            </w:r>
          </w:p>
        </w:tc>
        <w:tc>
          <w:tcPr>
            <w:tcW w:w="957" w:type="dxa"/>
            <w:gridSpan w:val="2"/>
          </w:tcPr>
          <w:p w:rsidR="003F5784" w14:paraId="573ACD66" w14:textId="77777777">
            <w:pPr>
              <w:pStyle w:val="TableParagraph"/>
              <w:spacing w:before="0" w:line="215" w:lineRule="exact"/>
              <w:ind w:right="130"/>
              <w:rPr>
                <w:sz w:val="21"/>
              </w:rPr>
            </w:pPr>
            <w:r>
              <w:rPr>
                <w:sz w:val="21"/>
              </w:rPr>
              <w:t>percent</w:t>
            </w:r>
            <w:r>
              <w:rPr>
                <w:spacing w:val="-8"/>
                <w:sz w:val="21"/>
              </w:rPr>
              <w:t xml:space="preserve"> </w:t>
            </w:r>
            <w:r>
              <w:rPr>
                <w:spacing w:val="-5"/>
                <w:sz w:val="21"/>
              </w:rPr>
              <w:t>of</w:t>
            </w:r>
          </w:p>
        </w:tc>
        <w:tc>
          <w:tcPr>
            <w:tcW w:w="1184" w:type="dxa"/>
            <w:gridSpan w:val="3"/>
          </w:tcPr>
          <w:p w:rsidR="003F5784" w14:paraId="05E6B73F" w14:textId="77777777">
            <w:pPr>
              <w:pStyle w:val="TableParagraph"/>
              <w:spacing w:before="0" w:line="215" w:lineRule="exact"/>
              <w:ind w:right="147"/>
              <w:rPr>
                <w:sz w:val="21"/>
              </w:rPr>
            </w:pPr>
            <w:r>
              <w:rPr>
                <w:spacing w:val="-2"/>
                <w:sz w:val="21"/>
              </w:rPr>
              <w:t>participation</w:t>
            </w:r>
          </w:p>
        </w:tc>
        <w:tc>
          <w:tcPr>
            <w:tcW w:w="998" w:type="dxa"/>
          </w:tcPr>
          <w:p w:rsidR="003F5784" w14:paraId="7F10A2A8" w14:textId="77777777">
            <w:pPr>
              <w:pStyle w:val="TableParagraph"/>
              <w:spacing w:before="0" w:line="215" w:lineRule="exact"/>
              <w:ind w:right="43"/>
              <w:rPr>
                <w:sz w:val="21"/>
              </w:rPr>
            </w:pPr>
            <w:r>
              <w:rPr>
                <w:spacing w:val="-2"/>
                <w:sz w:val="21"/>
              </w:rPr>
              <w:t>Weighted</w:t>
            </w:r>
            <w:r>
              <w:rPr>
                <w:spacing w:val="-11"/>
                <w:sz w:val="21"/>
              </w:rPr>
              <w:t xml:space="preserve"> </w:t>
            </w:r>
            <w:r>
              <w:rPr>
                <w:spacing w:val="-2"/>
                <w:sz w:val="21"/>
              </w:rPr>
              <w:t>percent</w:t>
            </w:r>
          </w:p>
        </w:tc>
      </w:tr>
      <w:tr w14:paraId="6B80DBEC" w14:textId="77777777" w:rsidTr="00A35A43">
        <w:tblPrEx>
          <w:tblW w:w="0" w:type="auto"/>
          <w:tblInd w:w="552" w:type="dxa"/>
          <w:tblLayout w:type="fixed"/>
          <w:tblCellMar>
            <w:left w:w="0" w:type="dxa"/>
            <w:right w:w="0" w:type="dxa"/>
          </w:tblCellMar>
          <w:tblLook w:val="01E0"/>
        </w:tblPrEx>
        <w:trPr>
          <w:gridAfter w:val="1"/>
          <w:wAfter w:w="85" w:type="dxa"/>
          <w:trHeight w:val="234"/>
        </w:trPr>
        <w:tc>
          <w:tcPr>
            <w:tcW w:w="3894" w:type="dxa"/>
            <w:gridSpan w:val="2"/>
          </w:tcPr>
          <w:p w:rsidR="003F5784" w14:paraId="0B06893C" w14:textId="77777777">
            <w:pPr>
              <w:pStyle w:val="TableParagraph"/>
              <w:spacing w:before="0" w:line="215" w:lineRule="exact"/>
              <w:ind w:right="133"/>
              <w:rPr>
                <w:sz w:val="21"/>
              </w:rPr>
            </w:pPr>
            <w:r>
              <w:rPr>
                <w:spacing w:val="-2"/>
                <w:sz w:val="21"/>
              </w:rPr>
              <w:t>sample,</w:t>
            </w:r>
          </w:p>
        </w:tc>
        <w:tc>
          <w:tcPr>
            <w:tcW w:w="1428" w:type="dxa"/>
            <w:gridSpan w:val="2"/>
          </w:tcPr>
          <w:p w:rsidR="003F5784" w14:paraId="14CB8915" w14:textId="77777777">
            <w:pPr>
              <w:pStyle w:val="TableParagraph"/>
              <w:spacing w:before="0" w:line="215" w:lineRule="exact"/>
              <w:ind w:right="133"/>
              <w:rPr>
                <w:sz w:val="21"/>
              </w:rPr>
            </w:pPr>
            <w:r>
              <w:rPr>
                <w:sz w:val="21"/>
              </w:rPr>
              <w:t>weight</w:t>
            </w:r>
            <w:r>
              <w:rPr>
                <w:spacing w:val="-7"/>
                <w:sz w:val="21"/>
              </w:rPr>
              <w:t xml:space="preserve"> </w:t>
            </w:r>
            <w:r>
              <w:rPr>
                <w:spacing w:val="-5"/>
                <w:sz w:val="21"/>
              </w:rPr>
              <w:t>and</w:t>
            </w:r>
          </w:p>
        </w:tc>
        <w:tc>
          <w:tcPr>
            <w:tcW w:w="1423" w:type="dxa"/>
            <w:gridSpan w:val="3"/>
          </w:tcPr>
          <w:p w:rsidR="003F5784" w14:paraId="5F56ACA4" w14:textId="77777777">
            <w:pPr>
              <w:pStyle w:val="TableParagraph"/>
              <w:spacing w:before="0" w:line="215" w:lineRule="exact"/>
              <w:ind w:right="164"/>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999" w:type="dxa"/>
          </w:tcPr>
          <w:p w:rsidR="003F5784" w14:paraId="1B29EA65" w14:textId="77777777">
            <w:pPr>
              <w:pStyle w:val="TableParagraph"/>
              <w:spacing w:before="0" w:line="215" w:lineRule="exact"/>
              <w:ind w:right="221"/>
              <w:rPr>
                <w:sz w:val="21"/>
              </w:rPr>
            </w:pPr>
            <w:r>
              <w:rPr>
                <w:spacing w:val="-2"/>
                <w:sz w:val="21"/>
              </w:rPr>
              <w:t>sampled,</w:t>
            </w:r>
          </w:p>
        </w:tc>
        <w:tc>
          <w:tcPr>
            <w:tcW w:w="957" w:type="dxa"/>
            <w:gridSpan w:val="2"/>
          </w:tcPr>
          <w:p w:rsidR="003F5784" w14:paraId="3211DDDD" w14:textId="77777777">
            <w:pPr>
              <w:pStyle w:val="TableParagraph"/>
              <w:spacing w:before="0" w:line="215" w:lineRule="exact"/>
              <w:ind w:right="130"/>
              <w:rPr>
                <w:sz w:val="21"/>
              </w:rPr>
            </w:pPr>
            <w:r>
              <w:rPr>
                <w:spacing w:val="-2"/>
                <w:sz w:val="21"/>
              </w:rPr>
              <w:t>students</w:t>
            </w:r>
          </w:p>
        </w:tc>
        <w:tc>
          <w:tcPr>
            <w:tcW w:w="1184" w:type="dxa"/>
            <w:gridSpan w:val="3"/>
          </w:tcPr>
          <w:p w:rsidR="003F5784" w14:paraId="72793176" w14:textId="77777777">
            <w:pPr>
              <w:pStyle w:val="TableParagraph"/>
              <w:spacing w:before="0" w:line="215" w:lineRule="exact"/>
              <w:ind w:right="147"/>
              <w:rPr>
                <w:sz w:val="21"/>
              </w:rPr>
            </w:pPr>
            <w:r>
              <w:rPr>
                <w:sz w:val="21"/>
              </w:rPr>
              <w:t>rates</w:t>
            </w:r>
            <w:r>
              <w:rPr>
                <w:spacing w:val="-5"/>
                <w:sz w:val="21"/>
              </w:rPr>
              <w:t xml:space="preserve"> </w:t>
            </w:r>
            <w:r>
              <w:rPr>
                <w:spacing w:val="-2"/>
                <w:sz w:val="21"/>
              </w:rPr>
              <w:t>(percent)</w:t>
            </w:r>
          </w:p>
        </w:tc>
        <w:tc>
          <w:tcPr>
            <w:tcW w:w="998" w:type="dxa"/>
          </w:tcPr>
          <w:p w:rsidR="003F5784" w14:paraId="2E6B7554" w14:textId="77777777">
            <w:pPr>
              <w:pStyle w:val="TableParagraph"/>
              <w:spacing w:before="0" w:line="215" w:lineRule="exact"/>
              <w:ind w:right="43"/>
              <w:rPr>
                <w:sz w:val="21"/>
              </w:rPr>
            </w:pPr>
            <w:r>
              <w:rPr>
                <w:sz w:val="21"/>
              </w:rPr>
              <w:t>of</w:t>
            </w:r>
            <w:r>
              <w:rPr>
                <w:spacing w:val="-3"/>
                <w:sz w:val="21"/>
              </w:rPr>
              <w:t xml:space="preserve"> </w:t>
            </w:r>
            <w:r>
              <w:rPr>
                <w:spacing w:val="-2"/>
                <w:sz w:val="21"/>
              </w:rPr>
              <w:t>students</w:t>
            </w:r>
          </w:p>
        </w:tc>
      </w:tr>
      <w:tr w14:paraId="0BA19C7B" w14:textId="77777777" w:rsidTr="00A35A43">
        <w:tblPrEx>
          <w:tblW w:w="0" w:type="auto"/>
          <w:tblInd w:w="552" w:type="dxa"/>
          <w:tblLayout w:type="fixed"/>
          <w:tblCellMar>
            <w:left w:w="0" w:type="dxa"/>
            <w:right w:w="0" w:type="dxa"/>
          </w:tblCellMar>
          <w:tblLook w:val="01E0"/>
        </w:tblPrEx>
        <w:trPr>
          <w:gridAfter w:val="1"/>
          <w:wAfter w:w="85" w:type="dxa"/>
          <w:trHeight w:val="232"/>
        </w:trPr>
        <w:tc>
          <w:tcPr>
            <w:tcW w:w="3894" w:type="dxa"/>
            <w:gridSpan w:val="2"/>
          </w:tcPr>
          <w:p w:rsidR="003F5784" w14:paraId="4981E6B8" w14:textId="77777777">
            <w:pPr>
              <w:pStyle w:val="TableParagraph"/>
              <w:tabs>
                <w:tab w:val="left" w:pos="3025"/>
              </w:tabs>
              <w:spacing w:before="0" w:line="213" w:lineRule="exact"/>
              <w:ind w:right="133"/>
              <w:rPr>
                <w:sz w:val="21"/>
              </w:rPr>
            </w:pPr>
            <w:r>
              <w:rPr>
                <w:sz w:val="21"/>
              </w:rPr>
              <w:t>School</w:t>
            </w:r>
            <w:r>
              <w:rPr>
                <w:spacing w:val="-6"/>
                <w:sz w:val="21"/>
              </w:rPr>
              <w:t xml:space="preserve"> </w:t>
            </w:r>
            <w:r>
              <w:rPr>
                <w:sz w:val="21"/>
              </w:rPr>
              <w:t>type</w:t>
            </w:r>
            <w:r>
              <w:rPr>
                <w:spacing w:val="-5"/>
                <w:sz w:val="21"/>
              </w:rPr>
              <w:t xml:space="preserve"> </w:t>
            </w:r>
            <w:r>
              <w:rPr>
                <w:sz w:val="21"/>
              </w:rPr>
              <w:t>and</w:t>
            </w:r>
            <w:r>
              <w:rPr>
                <w:spacing w:val="-5"/>
                <w:sz w:val="21"/>
              </w:rPr>
              <w:t xml:space="preserve"> </w:t>
            </w:r>
            <w:r>
              <w:rPr>
                <w:spacing w:val="-2"/>
                <w:sz w:val="21"/>
              </w:rPr>
              <w:t>jurisdiction</w:t>
            </w:r>
            <w:r>
              <w:rPr>
                <w:sz w:val="21"/>
              </w:rPr>
              <w:tab/>
            </w:r>
            <w:r>
              <w:rPr>
                <w:spacing w:val="-2"/>
                <w:sz w:val="21"/>
              </w:rPr>
              <w:t>rounded</w:t>
            </w:r>
          </w:p>
        </w:tc>
        <w:tc>
          <w:tcPr>
            <w:tcW w:w="1428" w:type="dxa"/>
            <w:gridSpan w:val="2"/>
          </w:tcPr>
          <w:p w:rsidR="003F5784" w14:paraId="177CEF99" w14:textId="77777777">
            <w:pPr>
              <w:pStyle w:val="TableParagraph"/>
              <w:spacing w:before="0" w:line="213" w:lineRule="exact"/>
              <w:ind w:right="133"/>
              <w:rPr>
                <w:sz w:val="21"/>
              </w:rPr>
            </w:pPr>
            <w:r>
              <w:rPr>
                <w:spacing w:val="-2"/>
                <w:sz w:val="21"/>
              </w:rPr>
              <w:t>enrollment)</w:t>
            </w:r>
          </w:p>
        </w:tc>
        <w:tc>
          <w:tcPr>
            <w:tcW w:w="1423" w:type="dxa"/>
            <w:gridSpan w:val="3"/>
          </w:tcPr>
          <w:p w:rsidR="003F5784" w14:paraId="2F007063" w14:textId="77777777">
            <w:pPr>
              <w:pStyle w:val="TableParagraph"/>
              <w:spacing w:before="0" w:line="213" w:lineRule="exact"/>
              <w:ind w:right="164"/>
              <w:rPr>
                <w:sz w:val="21"/>
              </w:rPr>
            </w:pPr>
            <w:r>
              <w:rPr>
                <w:sz w:val="21"/>
              </w:rPr>
              <w:t>weight</w:t>
            </w:r>
            <w:r>
              <w:rPr>
                <w:spacing w:val="-7"/>
                <w:sz w:val="21"/>
              </w:rPr>
              <w:t xml:space="preserve"> </w:t>
            </w:r>
            <w:r>
              <w:rPr>
                <w:spacing w:val="-2"/>
                <w:sz w:val="21"/>
              </w:rPr>
              <w:t>only)</w:t>
            </w:r>
          </w:p>
        </w:tc>
        <w:tc>
          <w:tcPr>
            <w:tcW w:w="999" w:type="dxa"/>
          </w:tcPr>
          <w:p w:rsidR="003F5784" w14:paraId="3EE45B75" w14:textId="77777777">
            <w:pPr>
              <w:pStyle w:val="TableParagraph"/>
              <w:spacing w:before="0" w:line="213" w:lineRule="exact"/>
              <w:ind w:right="221"/>
              <w:rPr>
                <w:sz w:val="21"/>
              </w:rPr>
            </w:pPr>
            <w:r>
              <w:rPr>
                <w:spacing w:val="-2"/>
                <w:sz w:val="21"/>
              </w:rPr>
              <w:t>rounded</w:t>
            </w:r>
          </w:p>
        </w:tc>
        <w:tc>
          <w:tcPr>
            <w:tcW w:w="957" w:type="dxa"/>
            <w:gridSpan w:val="2"/>
          </w:tcPr>
          <w:p w:rsidR="003F5784" w14:paraId="59957B02" w14:textId="77777777">
            <w:pPr>
              <w:pStyle w:val="TableParagraph"/>
              <w:spacing w:before="0" w:line="213" w:lineRule="exact"/>
              <w:ind w:right="130"/>
              <w:rPr>
                <w:sz w:val="21"/>
              </w:rPr>
            </w:pPr>
            <w:r>
              <w:rPr>
                <w:spacing w:val="-2"/>
                <w:sz w:val="21"/>
              </w:rPr>
              <w:t>excluded</w:t>
            </w:r>
          </w:p>
        </w:tc>
        <w:tc>
          <w:tcPr>
            <w:tcW w:w="1184" w:type="dxa"/>
            <w:gridSpan w:val="3"/>
          </w:tcPr>
          <w:p w:rsidR="003F5784" w14:paraId="569CDDF5" w14:textId="77777777">
            <w:pPr>
              <w:pStyle w:val="TableParagraph"/>
              <w:spacing w:before="0" w:line="213" w:lineRule="exact"/>
              <w:ind w:right="147"/>
              <w:rPr>
                <w:sz w:val="21"/>
              </w:rPr>
            </w:pPr>
            <w:r>
              <w:rPr>
                <w:sz w:val="21"/>
              </w:rPr>
              <w:t>after</w:t>
            </w:r>
            <w:r>
              <w:rPr>
                <w:spacing w:val="-5"/>
                <w:sz w:val="21"/>
              </w:rPr>
              <w:t xml:space="preserve"> </w:t>
            </w:r>
            <w:r>
              <w:rPr>
                <w:spacing w:val="-2"/>
                <w:sz w:val="21"/>
              </w:rPr>
              <w:t>makeups</w:t>
            </w:r>
          </w:p>
        </w:tc>
        <w:tc>
          <w:tcPr>
            <w:tcW w:w="998" w:type="dxa"/>
          </w:tcPr>
          <w:p w:rsidR="003F5784" w14:paraId="5AFBDEDD" w14:textId="77777777">
            <w:pPr>
              <w:pStyle w:val="TableParagraph"/>
              <w:spacing w:before="0" w:line="213" w:lineRule="exact"/>
              <w:ind w:right="43"/>
              <w:rPr>
                <w:sz w:val="21"/>
              </w:rPr>
            </w:pPr>
            <w:r>
              <w:rPr>
                <w:spacing w:val="-2"/>
                <w:sz w:val="21"/>
              </w:rPr>
              <w:t>accommodated</w:t>
            </w:r>
          </w:p>
        </w:tc>
      </w:tr>
      <w:tr w14:paraId="4067F7D8" w14:textId="77777777" w:rsidTr="00A35A43">
        <w:tblPrEx>
          <w:tblW w:w="0" w:type="auto"/>
          <w:tblInd w:w="552" w:type="dxa"/>
          <w:tblLayout w:type="fixed"/>
          <w:tblCellMar>
            <w:left w:w="0" w:type="dxa"/>
            <w:right w:w="0" w:type="dxa"/>
          </w:tblCellMar>
          <w:tblLook w:val="01E0"/>
        </w:tblPrEx>
        <w:trPr>
          <w:trHeight w:val="278"/>
        </w:trPr>
        <w:tc>
          <w:tcPr>
            <w:tcW w:w="2919" w:type="dxa"/>
            <w:tcBorders>
              <w:top w:val="single" w:sz="18" w:space="0" w:color="800000"/>
            </w:tcBorders>
          </w:tcPr>
          <w:p w:rsidR="003F5784" w14:paraId="51FCC624" w14:textId="77777777">
            <w:pPr>
              <w:pStyle w:val="TableParagraph"/>
              <w:spacing w:before="9"/>
              <w:ind w:left="120"/>
              <w:jc w:val="left"/>
              <w:rPr>
                <w:sz w:val="21"/>
              </w:rPr>
            </w:pPr>
            <w:r>
              <w:rPr>
                <w:spacing w:val="-5"/>
                <w:sz w:val="21"/>
              </w:rPr>
              <w:t>West</w:t>
            </w:r>
            <w:r>
              <w:rPr>
                <w:spacing w:val="-7"/>
                <w:sz w:val="21"/>
              </w:rPr>
              <w:t xml:space="preserve"> </w:t>
            </w:r>
            <w:r>
              <w:rPr>
                <w:spacing w:val="-2"/>
                <w:sz w:val="21"/>
              </w:rPr>
              <w:t>Virginia</w:t>
            </w:r>
          </w:p>
        </w:tc>
        <w:tc>
          <w:tcPr>
            <w:tcW w:w="1029" w:type="dxa"/>
            <w:gridSpan w:val="2"/>
            <w:tcBorders>
              <w:top w:val="single" w:sz="18" w:space="0" w:color="800000"/>
            </w:tcBorders>
          </w:tcPr>
          <w:p w:rsidR="003F5784" w14:paraId="694A3A67" w14:textId="77777777">
            <w:pPr>
              <w:pStyle w:val="TableParagraph"/>
              <w:spacing w:before="9"/>
              <w:ind w:left="104" w:right="141"/>
              <w:jc w:val="center"/>
              <w:rPr>
                <w:sz w:val="21"/>
              </w:rPr>
            </w:pPr>
            <w:r>
              <w:rPr>
                <w:spacing w:val="-5"/>
                <w:sz w:val="21"/>
              </w:rPr>
              <w:t>90</w:t>
            </w:r>
          </w:p>
        </w:tc>
        <w:tc>
          <w:tcPr>
            <w:tcW w:w="1440" w:type="dxa"/>
            <w:gridSpan w:val="2"/>
            <w:tcBorders>
              <w:top w:val="single" w:sz="18" w:space="0" w:color="800000"/>
            </w:tcBorders>
          </w:tcPr>
          <w:p w:rsidR="003F5784" w14:paraId="5FAF6DC3" w14:textId="77777777">
            <w:pPr>
              <w:pStyle w:val="TableParagraph"/>
              <w:spacing w:before="9"/>
              <w:ind w:left="159" w:right="112"/>
              <w:jc w:val="center"/>
              <w:rPr>
                <w:sz w:val="21"/>
              </w:rPr>
            </w:pPr>
            <w:r>
              <w:rPr>
                <w:spacing w:val="-2"/>
                <w:sz w:val="21"/>
              </w:rPr>
              <w:t>100.00</w:t>
            </w:r>
          </w:p>
        </w:tc>
        <w:tc>
          <w:tcPr>
            <w:tcW w:w="1350" w:type="dxa"/>
            <w:tcBorders>
              <w:top w:val="single" w:sz="18" w:space="0" w:color="800000"/>
            </w:tcBorders>
          </w:tcPr>
          <w:p w:rsidR="003F5784" w14:paraId="6812C4B4" w14:textId="77777777">
            <w:pPr>
              <w:pStyle w:val="TableParagraph"/>
              <w:spacing w:before="9"/>
              <w:ind w:right="386"/>
              <w:rPr>
                <w:sz w:val="21"/>
              </w:rPr>
            </w:pPr>
            <w:r>
              <w:rPr>
                <w:spacing w:val="-2"/>
                <w:sz w:val="21"/>
              </w:rPr>
              <w:t>100.00</w:t>
            </w:r>
          </w:p>
        </w:tc>
        <w:tc>
          <w:tcPr>
            <w:tcW w:w="1080" w:type="dxa"/>
            <w:gridSpan w:val="3"/>
            <w:tcBorders>
              <w:top w:val="single" w:sz="18" w:space="0" w:color="800000"/>
            </w:tcBorders>
          </w:tcPr>
          <w:p w:rsidR="003F5784" w14:paraId="331118B0" w14:textId="77777777">
            <w:pPr>
              <w:pStyle w:val="TableParagraph"/>
              <w:spacing w:before="9"/>
              <w:ind w:right="462"/>
              <w:rPr>
                <w:sz w:val="21"/>
              </w:rPr>
            </w:pPr>
            <w:r>
              <w:rPr>
                <w:spacing w:val="-2"/>
                <w:sz w:val="21"/>
              </w:rPr>
              <w:t>2,200</w:t>
            </w:r>
          </w:p>
        </w:tc>
        <w:tc>
          <w:tcPr>
            <w:tcW w:w="900" w:type="dxa"/>
            <w:gridSpan w:val="2"/>
            <w:tcBorders>
              <w:top w:val="single" w:sz="18" w:space="0" w:color="800000"/>
            </w:tcBorders>
          </w:tcPr>
          <w:p w:rsidR="003F5784" w14:paraId="31ECF5F9" w14:textId="77777777">
            <w:pPr>
              <w:pStyle w:val="TableParagraph"/>
              <w:spacing w:before="9"/>
              <w:ind w:left="463"/>
              <w:jc w:val="left"/>
              <w:rPr>
                <w:sz w:val="21"/>
              </w:rPr>
            </w:pPr>
            <w:r>
              <w:rPr>
                <w:spacing w:val="-4"/>
                <w:sz w:val="21"/>
              </w:rPr>
              <w:t>1.52</w:t>
            </w:r>
          </w:p>
        </w:tc>
        <w:tc>
          <w:tcPr>
            <w:tcW w:w="1080" w:type="dxa"/>
            <w:tcBorders>
              <w:top w:val="single" w:sz="18" w:space="0" w:color="800000"/>
            </w:tcBorders>
          </w:tcPr>
          <w:p w:rsidR="003F5784" w14:paraId="6AA529B8" w14:textId="77777777">
            <w:pPr>
              <w:pStyle w:val="TableParagraph"/>
              <w:spacing w:before="9"/>
              <w:ind w:right="22"/>
              <w:jc w:val="center"/>
              <w:rPr>
                <w:sz w:val="21"/>
              </w:rPr>
            </w:pPr>
            <w:r>
              <w:rPr>
                <w:spacing w:val="-2"/>
                <w:sz w:val="21"/>
              </w:rPr>
              <w:t>90.99</w:t>
            </w:r>
          </w:p>
        </w:tc>
        <w:tc>
          <w:tcPr>
            <w:tcW w:w="1170" w:type="dxa"/>
            <w:gridSpan w:val="3"/>
            <w:tcBorders>
              <w:top w:val="single" w:sz="18" w:space="0" w:color="800000"/>
            </w:tcBorders>
          </w:tcPr>
          <w:p w:rsidR="003F5784" w14:paraId="5D3E76FF" w14:textId="77777777">
            <w:pPr>
              <w:pStyle w:val="TableParagraph"/>
              <w:spacing w:before="9"/>
              <w:ind w:right="118"/>
              <w:rPr>
                <w:sz w:val="21"/>
              </w:rPr>
            </w:pPr>
            <w:r>
              <w:rPr>
                <w:spacing w:val="-2"/>
                <w:sz w:val="21"/>
              </w:rPr>
              <w:t>11.68</w:t>
            </w:r>
          </w:p>
        </w:tc>
      </w:tr>
      <w:tr w14:paraId="13B08DFC"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6F9BDFD3" w14:textId="77777777">
            <w:pPr>
              <w:pStyle w:val="TableParagraph"/>
              <w:ind w:left="120"/>
              <w:jc w:val="left"/>
              <w:rPr>
                <w:sz w:val="21"/>
              </w:rPr>
            </w:pPr>
            <w:r>
              <w:rPr>
                <w:spacing w:val="-2"/>
                <w:sz w:val="21"/>
              </w:rPr>
              <w:t>Wisconsin</w:t>
            </w:r>
          </w:p>
        </w:tc>
        <w:tc>
          <w:tcPr>
            <w:tcW w:w="1029" w:type="dxa"/>
            <w:gridSpan w:val="2"/>
          </w:tcPr>
          <w:p w:rsidR="003F5784" w14:paraId="49E690FF" w14:textId="77777777">
            <w:pPr>
              <w:pStyle w:val="TableParagraph"/>
              <w:ind w:right="141"/>
              <w:jc w:val="center"/>
              <w:rPr>
                <w:sz w:val="21"/>
              </w:rPr>
            </w:pPr>
            <w:r>
              <w:rPr>
                <w:spacing w:val="-5"/>
                <w:sz w:val="21"/>
              </w:rPr>
              <w:t>130</w:t>
            </w:r>
          </w:p>
        </w:tc>
        <w:tc>
          <w:tcPr>
            <w:tcW w:w="1440" w:type="dxa"/>
            <w:gridSpan w:val="2"/>
          </w:tcPr>
          <w:p w:rsidR="003F5784" w14:paraId="2D555D7B" w14:textId="77777777">
            <w:pPr>
              <w:pStyle w:val="TableParagraph"/>
              <w:ind w:left="159" w:right="112"/>
              <w:jc w:val="center"/>
              <w:rPr>
                <w:sz w:val="21"/>
              </w:rPr>
            </w:pPr>
            <w:r>
              <w:rPr>
                <w:spacing w:val="-2"/>
                <w:sz w:val="21"/>
              </w:rPr>
              <w:t>100.00</w:t>
            </w:r>
          </w:p>
        </w:tc>
        <w:tc>
          <w:tcPr>
            <w:tcW w:w="1350" w:type="dxa"/>
          </w:tcPr>
          <w:p w:rsidR="003F5784" w14:paraId="3EEFFF2A" w14:textId="77777777">
            <w:pPr>
              <w:pStyle w:val="TableParagraph"/>
              <w:ind w:right="386"/>
              <w:rPr>
                <w:sz w:val="21"/>
              </w:rPr>
            </w:pPr>
            <w:r>
              <w:rPr>
                <w:spacing w:val="-2"/>
                <w:sz w:val="21"/>
              </w:rPr>
              <w:t>100.00</w:t>
            </w:r>
          </w:p>
        </w:tc>
        <w:tc>
          <w:tcPr>
            <w:tcW w:w="1080" w:type="dxa"/>
            <w:gridSpan w:val="3"/>
          </w:tcPr>
          <w:p w:rsidR="003F5784" w14:paraId="181CD30A" w14:textId="77777777">
            <w:pPr>
              <w:pStyle w:val="TableParagraph"/>
              <w:ind w:right="462"/>
              <w:rPr>
                <w:sz w:val="21"/>
              </w:rPr>
            </w:pPr>
            <w:r>
              <w:rPr>
                <w:spacing w:val="-2"/>
                <w:sz w:val="21"/>
              </w:rPr>
              <w:t>3,100</w:t>
            </w:r>
          </w:p>
        </w:tc>
        <w:tc>
          <w:tcPr>
            <w:tcW w:w="900" w:type="dxa"/>
            <w:gridSpan w:val="2"/>
          </w:tcPr>
          <w:p w:rsidR="003F5784" w14:paraId="24D8E5E0" w14:textId="77777777">
            <w:pPr>
              <w:pStyle w:val="TableParagraph"/>
              <w:ind w:left="463"/>
              <w:jc w:val="left"/>
              <w:rPr>
                <w:sz w:val="21"/>
              </w:rPr>
            </w:pPr>
            <w:r>
              <w:rPr>
                <w:spacing w:val="-4"/>
                <w:sz w:val="21"/>
              </w:rPr>
              <w:t>1.26</w:t>
            </w:r>
          </w:p>
        </w:tc>
        <w:tc>
          <w:tcPr>
            <w:tcW w:w="1080" w:type="dxa"/>
          </w:tcPr>
          <w:p w:rsidR="003F5784" w14:paraId="2FF7818A" w14:textId="77777777">
            <w:pPr>
              <w:pStyle w:val="TableParagraph"/>
              <w:ind w:right="22"/>
              <w:jc w:val="center"/>
              <w:rPr>
                <w:sz w:val="21"/>
              </w:rPr>
            </w:pPr>
            <w:r>
              <w:rPr>
                <w:spacing w:val="-2"/>
                <w:sz w:val="21"/>
              </w:rPr>
              <w:t>87.83</w:t>
            </w:r>
          </w:p>
        </w:tc>
        <w:tc>
          <w:tcPr>
            <w:tcW w:w="1170" w:type="dxa"/>
            <w:gridSpan w:val="3"/>
          </w:tcPr>
          <w:p w:rsidR="003F5784" w14:paraId="453169B1" w14:textId="77777777">
            <w:pPr>
              <w:pStyle w:val="TableParagraph"/>
              <w:ind w:right="118"/>
              <w:rPr>
                <w:sz w:val="21"/>
              </w:rPr>
            </w:pPr>
            <w:r>
              <w:rPr>
                <w:spacing w:val="-2"/>
                <w:sz w:val="21"/>
              </w:rPr>
              <w:t>12.25</w:t>
            </w:r>
          </w:p>
        </w:tc>
      </w:tr>
      <w:tr w14:paraId="7CB3FA69"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7743B87D" w14:textId="77777777">
            <w:pPr>
              <w:pStyle w:val="TableParagraph"/>
              <w:ind w:left="120"/>
              <w:jc w:val="left"/>
              <w:rPr>
                <w:sz w:val="21"/>
              </w:rPr>
            </w:pPr>
            <w:r>
              <w:rPr>
                <w:spacing w:val="-2"/>
                <w:sz w:val="21"/>
              </w:rPr>
              <w:t>Wyoming</w:t>
            </w:r>
          </w:p>
        </w:tc>
        <w:tc>
          <w:tcPr>
            <w:tcW w:w="1029" w:type="dxa"/>
            <w:gridSpan w:val="2"/>
          </w:tcPr>
          <w:p w:rsidR="003F5784" w14:paraId="7C09793C" w14:textId="77777777">
            <w:pPr>
              <w:pStyle w:val="TableParagraph"/>
              <w:ind w:left="104" w:right="141"/>
              <w:jc w:val="center"/>
              <w:rPr>
                <w:sz w:val="21"/>
              </w:rPr>
            </w:pPr>
            <w:r>
              <w:rPr>
                <w:spacing w:val="-5"/>
                <w:sz w:val="21"/>
              </w:rPr>
              <w:t>70</w:t>
            </w:r>
          </w:p>
        </w:tc>
        <w:tc>
          <w:tcPr>
            <w:tcW w:w="1440" w:type="dxa"/>
            <w:gridSpan w:val="2"/>
          </w:tcPr>
          <w:p w:rsidR="003F5784" w14:paraId="127CED4F" w14:textId="77777777">
            <w:pPr>
              <w:pStyle w:val="TableParagraph"/>
              <w:ind w:left="159" w:right="112"/>
              <w:jc w:val="center"/>
              <w:rPr>
                <w:sz w:val="21"/>
              </w:rPr>
            </w:pPr>
            <w:r>
              <w:rPr>
                <w:spacing w:val="-2"/>
                <w:sz w:val="21"/>
              </w:rPr>
              <w:t>100.00</w:t>
            </w:r>
          </w:p>
        </w:tc>
        <w:tc>
          <w:tcPr>
            <w:tcW w:w="1350" w:type="dxa"/>
          </w:tcPr>
          <w:p w:rsidR="003F5784" w14:paraId="5DA8A293" w14:textId="77777777">
            <w:pPr>
              <w:pStyle w:val="TableParagraph"/>
              <w:ind w:right="386"/>
              <w:rPr>
                <w:sz w:val="21"/>
              </w:rPr>
            </w:pPr>
            <w:r>
              <w:rPr>
                <w:spacing w:val="-2"/>
                <w:sz w:val="21"/>
              </w:rPr>
              <w:t>100.00</w:t>
            </w:r>
          </w:p>
        </w:tc>
        <w:tc>
          <w:tcPr>
            <w:tcW w:w="1080" w:type="dxa"/>
            <w:gridSpan w:val="3"/>
          </w:tcPr>
          <w:p w:rsidR="003F5784" w14:paraId="2971C80E" w14:textId="77777777">
            <w:pPr>
              <w:pStyle w:val="TableParagraph"/>
              <w:ind w:right="462"/>
              <w:rPr>
                <w:sz w:val="21"/>
              </w:rPr>
            </w:pPr>
            <w:r>
              <w:rPr>
                <w:spacing w:val="-2"/>
                <w:sz w:val="21"/>
              </w:rPr>
              <w:t>2,200</w:t>
            </w:r>
          </w:p>
        </w:tc>
        <w:tc>
          <w:tcPr>
            <w:tcW w:w="900" w:type="dxa"/>
            <w:gridSpan w:val="2"/>
          </w:tcPr>
          <w:p w:rsidR="003F5784" w14:paraId="0D149516" w14:textId="77777777">
            <w:pPr>
              <w:pStyle w:val="TableParagraph"/>
              <w:ind w:left="463"/>
              <w:jc w:val="left"/>
              <w:rPr>
                <w:sz w:val="21"/>
              </w:rPr>
            </w:pPr>
            <w:r>
              <w:rPr>
                <w:spacing w:val="-4"/>
                <w:sz w:val="21"/>
              </w:rPr>
              <w:t>1.41</w:t>
            </w:r>
          </w:p>
        </w:tc>
        <w:tc>
          <w:tcPr>
            <w:tcW w:w="1080" w:type="dxa"/>
          </w:tcPr>
          <w:p w:rsidR="003F5784" w14:paraId="69A811DB" w14:textId="77777777">
            <w:pPr>
              <w:pStyle w:val="TableParagraph"/>
              <w:ind w:right="22"/>
              <w:jc w:val="center"/>
              <w:rPr>
                <w:sz w:val="21"/>
              </w:rPr>
            </w:pPr>
            <w:r>
              <w:rPr>
                <w:spacing w:val="-2"/>
                <w:sz w:val="21"/>
              </w:rPr>
              <w:t>87.33</w:t>
            </w:r>
          </w:p>
        </w:tc>
        <w:tc>
          <w:tcPr>
            <w:tcW w:w="1170" w:type="dxa"/>
            <w:gridSpan w:val="3"/>
          </w:tcPr>
          <w:p w:rsidR="003F5784" w14:paraId="6FC1E67B" w14:textId="77777777">
            <w:pPr>
              <w:pStyle w:val="TableParagraph"/>
              <w:ind w:right="118"/>
              <w:rPr>
                <w:sz w:val="21"/>
              </w:rPr>
            </w:pPr>
            <w:r>
              <w:rPr>
                <w:spacing w:val="-2"/>
                <w:sz w:val="21"/>
              </w:rPr>
              <w:t>11.99</w:t>
            </w:r>
          </w:p>
        </w:tc>
      </w:tr>
      <w:tr w14:paraId="0628CB88" w14:textId="77777777" w:rsidTr="00A35A43">
        <w:tblPrEx>
          <w:tblW w:w="0" w:type="auto"/>
          <w:tblInd w:w="552" w:type="dxa"/>
          <w:tblLayout w:type="fixed"/>
          <w:tblCellMar>
            <w:left w:w="0" w:type="dxa"/>
            <w:right w:w="0" w:type="dxa"/>
          </w:tblCellMar>
          <w:tblLook w:val="01E0"/>
        </w:tblPrEx>
        <w:trPr>
          <w:trHeight w:val="286"/>
        </w:trPr>
        <w:tc>
          <w:tcPr>
            <w:tcW w:w="10968" w:type="dxa"/>
            <w:gridSpan w:val="15"/>
          </w:tcPr>
          <w:p w:rsidR="003F5784" w14:paraId="1F9A868E" w14:textId="77777777">
            <w:pPr>
              <w:pStyle w:val="TableParagraph"/>
              <w:ind w:left="370"/>
              <w:jc w:val="left"/>
              <w:rPr>
                <w:b/>
                <w:i/>
                <w:sz w:val="21"/>
              </w:rPr>
            </w:pPr>
            <w:r>
              <w:rPr>
                <w:b/>
                <w:i/>
                <w:sz w:val="21"/>
              </w:rPr>
              <w:t>Trial</w:t>
            </w:r>
            <w:r>
              <w:rPr>
                <w:b/>
                <w:i/>
                <w:spacing w:val="-10"/>
                <w:sz w:val="21"/>
              </w:rPr>
              <w:t xml:space="preserve"> </w:t>
            </w:r>
            <w:r>
              <w:rPr>
                <w:b/>
                <w:i/>
                <w:sz w:val="21"/>
              </w:rPr>
              <w:t>Urban</w:t>
            </w:r>
            <w:r>
              <w:rPr>
                <w:b/>
                <w:i/>
                <w:spacing w:val="-9"/>
                <w:sz w:val="21"/>
              </w:rPr>
              <w:t xml:space="preserve"> </w:t>
            </w:r>
            <w:r>
              <w:rPr>
                <w:b/>
                <w:i/>
                <w:sz w:val="21"/>
              </w:rPr>
              <w:t>(TUDA)</w:t>
            </w:r>
            <w:r>
              <w:rPr>
                <w:b/>
                <w:i/>
                <w:spacing w:val="-10"/>
                <w:sz w:val="21"/>
              </w:rPr>
              <w:t xml:space="preserve"> </w:t>
            </w:r>
            <w:r>
              <w:rPr>
                <w:b/>
                <w:i/>
                <w:spacing w:val="-2"/>
                <w:sz w:val="21"/>
              </w:rPr>
              <w:t>Districts</w:t>
            </w:r>
          </w:p>
        </w:tc>
      </w:tr>
      <w:tr w14:paraId="51443611"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6614E0FE" w14:textId="77777777">
            <w:pPr>
              <w:pStyle w:val="TableParagraph"/>
              <w:ind w:left="120"/>
              <w:jc w:val="left"/>
              <w:rPr>
                <w:sz w:val="21"/>
              </w:rPr>
            </w:pPr>
            <w:r>
              <w:rPr>
                <w:spacing w:val="-2"/>
                <w:sz w:val="21"/>
              </w:rPr>
              <w:t>Albuquerque</w:t>
            </w:r>
          </w:p>
        </w:tc>
        <w:tc>
          <w:tcPr>
            <w:tcW w:w="1029" w:type="dxa"/>
            <w:gridSpan w:val="2"/>
          </w:tcPr>
          <w:p w:rsidR="003F5784" w14:paraId="4A086024" w14:textId="77777777">
            <w:pPr>
              <w:pStyle w:val="TableParagraph"/>
              <w:ind w:left="104" w:right="141"/>
              <w:jc w:val="center"/>
              <w:rPr>
                <w:sz w:val="21"/>
              </w:rPr>
            </w:pPr>
            <w:r>
              <w:rPr>
                <w:spacing w:val="-5"/>
                <w:sz w:val="21"/>
              </w:rPr>
              <w:t>30</w:t>
            </w:r>
          </w:p>
        </w:tc>
        <w:tc>
          <w:tcPr>
            <w:tcW w:w="1440" w:type="dxa"/>
            <w:gridSpan w:val="2"/>
          </w:tcPr>
          <w:p w:rsidR="003F5784" w14:paraId="3E5D2630" w14:textId="77777777">
            <w:pPr>
              <w:pStyle w:val="TableParagraph"/>
              <w:ind w:left="159" w:right="112"/>
              <w:jc w:val="center"/>
              <w:rPr>
                <w:sz w:val="21"/>
              </w:rPr>
            </w:pPr>
            <w:r>
              <w:rPr>
                <w:spacing w:val="-2"/>
                <w:sz w:val="21"/>
              </w:rPr>
              <w:t>100.00</w:t>
            </w:r>
          </w:p>
        </w:tc>
        <w:tc>
          <w:tcPr>
            <w:tcW w:w="1350" w:type="dxa"/>
          </w:tcPr>
          <w:p w:rsidR="003F5784" w14:paraId="168EC280" w14:textId="77777777">
            <w:pPr>
              <w:pStyle w:val="TableParagraph"/>
              <w:ind w:right="386"/>
              <w:rPr>
                <w:sz w:val="21"/>
              </w:rPr>
            </w:pPr>
            <w:r>
              <w:rPr>
                <w:spacing w:val="-2"/>
                <w:sz w:val="21"/>
              </w:rPr>
              <w:t>100.00</w:t>
            </w:r>
          </w:p>
        </w:tc>
        <w:tc>
          <w:tcPr>
            <w:tcW w:w="1080" w:type="dxa"/>
            <w:gridSpan w:val="3"/>
          </w:tcPr>
          <w:p w:rsidR="003F5784" w14:paraId="7DC871C7" w14:textId="77777777">
            <w:pPr>
              <w:pStyle w:val="TableParagraph"/>
              <w:ind w:right="462"/>
              <w:rPr>
                <w:sz w:val="21"/>
              </w:rPr>
            </w:pPr>
            <w:r>
              <w:rPr>
                <w:spacing w:val="-2"/>
                <w:sz w:val="21"/>
              </w:rPr>
              <w:t>1,100</w:t>
            </w:r>
          </w:p>
        </w:tc>
        <w:tc>
          <w:tcPr>
            <w:tcW w:w="900" w:type="dxa"/>
            <w:gridSpan w:val="2"/>
          </w:tcPr>
          <w:p w:rsidR="003F5784" w14:paraId="0DC1D1DD" w14:textId="77777777">
            <w:pPr>
              <w:pStyle w:val="TableParagraph"/>
              <w:ind w:left="463"/>
              <w:jc w:val="left"/>
              <w:rPr>
                <w:sz w:val="21"/>
              </w:rPr>
            </w:pPr>
            <w:r>
              <w:rPr>
                <w:spacing w:val="-4"/>
                <w:sz w:val="21"/>
              </w:rPr>
              <w:t>1.92</w:t>
            </w:r>
          </w:p>
        </w:tc>
        <w:tc>
          <w:tcPr>
            <w:tcW w:w="1080" w:type="dxa"/>
          </w:tcPr>
          <w:p w:rsidR="003F5784" w14:paraId="5F9CB46B" w14:textId="77777777">
            <w:pPr>
              <w:pStyle w:val="TableParagraph"/>
              <w:ind w:right="22"/>
              <w:jc w:val="center"/>
              <w:rPr>
                <w:sz w:val="21"/>
              </w:rPr>
            </w:pPr>
            <w:r>
              <w:rPr>
                <w:spacing w:val="-2"/>
                <w:sz w:val="21"/>
              </w:rPr>
              <w:t>85.50</w:t>
            </w:r>
          </w:p>
        </w:tc>
        <w:tc>
          <w:tcPr>
            <w:tcW w:w="1170" w:type="dxa"/>
            <w:gridSpan w:val="3"/>
          </w:tcPr>
          <w:p w:rsidR="003F5784" w14:paraId="19C2625C" w14:textId="77777777">
            <w:pPr>
              <w:pStyle w:val="TableParagraph"/>
              <w:ind w:right="118"/>
              <w:rPr>
                <w:sz w:val="21"/>
              </w:rPr>
            </w:pPr>
            <w:r>
              <w:rPr>
                <w:spacing w:val="-2"/>
                <w:sz w:val="21"/>
              </w:rPr>
              <w:t>15.81</w:t>
            </w:r>
          </w:p>
        </w:tc>
      </w:tr>
      <w:tr w14:paraId="2BF55530"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40DB116D" w14:textId="77777777">
            <w:pPr>
              <w:pStyle w:val="TableParagraph"/>
              <w:ind w:left="120"/>
              <w:jc w:val="left"/>
              <w:rPr>
                <w:sz w:val="21"/>
              </w:rPr>
            </w:pPr>
            <w:r>
              <w:rPr>
                <w:spacing w:val="-2"/>
                <w:sz w:val="21"/>
              </w:rPr>
              <w:t>Atlanta</w:t>
            </w:r>
          </w:p>
        </w:tc>
        <w:tc>
          <w:tcPr>
            <w:tcW w:w="1029" w:type="dxa"/>
            <w:gridSpan w:val="2"/>
          </w:tcPr>
          <w:p w:rsidR="003F5784" w14:paraId="2F3867FA" w14:textId="77777777">
            <w:pPr>
              <w:pStyle w:val="TableParagraph"/>
              <w:ind w:left="104" w:right="141"/>
              <w:jc w:val="center"/>
              <w:rPr>
                <w:sz w:val="21"/>
              </w:rPr>
            </w:pPr>
            <w:r>
              <w:rPr>
                <w:spacing w:val="-5"/>
                <w:sz w:val="21"/>
              </w:rPr>
              <w:t>30</w:t>
            </w:r>
          </w:p>
        </w:tc>
        <w:tc>
          <w:tcPr>
            <w:tcW w:w="1440" w:type="dxa"/>
            <w:gridSpan w:val="2"/>
          </w:tcPr>
          <w:p w:rsidR="003F5784" w14:paraId="21F9B272" w14:textId="77777777">
            <w:pPr>
              <w:pStyle w:val="TableParagraph"/>
              <w:ind w:left="159" w:right="112"/>
              <w:jc w:val="center"/>
              <w:rPr>
                <w:sz w:val="21"/>
              </w:rPr>
            </w:pPr>
            <w:r>
              <w:rPr>
                <w:spacing w:val="-2"/>
                <w:sz w:val="21"/>
              </w:rPr>
              <w:t>100.00</w:t>
            </w:r>
          </w:p>
        </w:tc>
        <w:tc>
          <w:tcPr>
            <w:tcW w:w="1350" w:type="dxa"/>
          </w:tcPr>
          <w:p w:rsidR="003F5784" w14:paraId="033F83FA" w14:textId="77777777">
            <w:pPr>
              <w:pStyle w:val="TableParagraph"/>
              <w:ind w:right="386"/>
              <w:rPr>
                <w:sz w:val="21"/>
              </w:rPr>
            </w:pPr>
            <w:r>
              <w:rPr>
                <w:spacing w:val="-2"/>
                <w:sz w:val="21"/>
              </w:rPr>
              <w:t>100.00</w:t>
            </w:r>
          </w:p>
        </w:tc>
        <w:tc>
          <w:tcPr>
            <w:tcW w:w="1080" w:type="dxa"/>
            <w:gridSpan w:val="3"/>
          </w:tcPr>
          <w:p w:rsidR="003F5784" w14:paraId="36B6C904" w14:textId="77777777">
            <w:pPr>
              <w:pStyle w:val="TableParagraph"/>
              <w:ind w:right="462"/>
              <w:rPr>
                <w:sz w:val="21"/>
              </w:rPr>
            </w:pPr>
            <w:r>
              <w:rPr>
                <w:spacing w:val="-2"/>
                <w:sz w:val="21"/>
              </w:rPr>
              <w:t>1,000</w:t>
            </w:r>
          </w:p>
        </w:tc>
        <w:tc>
          <w:tcPr>
            <w:tcW w:w="900" w:type="dxa"/>
            <w:gridSpan w:val="2"/>
          </w:tcPr>
          <w:p w:rsidR="003F5784" w14:paraId="1D4A64F7" w14:textId="77777777">
            <w:pPr>
              <w:pStyle w:val="TableParagraph"/>
              <w:ind w:left="463"/>
              <w:jc w:val="left"/>
              <w:rPr>
                <w:sz w:val="21"/>
              </w:rPr>
            </w:pPr>
            <w:r>
              <w:rPr>
                <w:spacing w:val="-4"/>
                <w:sz w:val="21"/>
              </w:rPr>
              <w:t>0.90</w:t>
            </w:r>
          </w:p>
        </w:tc>
        <w:tc>
          <w:tcPr>
            <w:tcW w:w="1080" w:type="dxa"/>
          </w:tcPr>
          <w:p w:rsidR="003F5784" w14:paraId="4A101F49" w14:textId="77777777">
            <w:pPr>
              <w:pStyle w:val="TableParagraph"/>
              <w:ind w:right="22"/>
              <w:jc w:val="center"/>
              <w:rPr>
                <w:sz w:val="21"/>
              </w:rPr>
            </w:pPr>
            <w:r>
              <w:rPr>
                <w:spacing w:val="-2"/>
                <w:sz w:val="21"/>
              </w:rPr>
              <w:t>90.39</w:t>
            </w:r>
          </w:p>
        </w:tc>
        <w:tc>
          <w:tcPr>
            <w:tcW w:w="1170" w:type="dxa"/>
            <w:gridSpan w:val="3"/>
          </w:tcPr>
          <w:p w:rsidR="003F5784" w14:paraId="678D1F44" w14:textId="77777777">
            <w:pPr>
              <w:pStyle w:val="TableParagraph"/>
              <w:ind w:right="118"/>
              <w:rPr>
                <w:sz w:val="21"/>
              </w:rPr>
            </w:pPr>
            <w:r>
              <w:rPr>
                <w:spacing w:val="-2"/>
                <w:sz w:val="21"/>
              </w:rPr>
              <w:t>19.32</w:t>
            </w:r>
          </w:p>
        </w:tc>
      </w:tr>
      <w:tr w14:paraId="367D9EFE"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7DD1D1F9" w14:textId="77777777">
            <w:pPr>
              <w:pStyle w:val="TableParagraph"/>
              <w:ind w:left="120"/>
              <w:jc w:val="left"/>
              <w:rPr>
                <w:sz w:val="21"/>
              </w:rPr>
            </w:pPr>
            <w:r>
              <w:rPr>
                <w:spacing w:val="-2"/>
                <w:sz w:val="21"/>
              </w:rPr>
              <w:t>Austin</w:t>
            </w:r>
          </w:p>
        </w:tc>
        <w:tc>
          <w:tcPr>
            <w:tcW w:w="1029" w:type="dxa"/>
            <w:gridSpan w:val="2"/>
          </w:tcPr>
          <w:p w:rsidR="003F5784" w14:paraId="75713EDB" w14:textId="77777777">
            <w:pPr>
              <w:pStyle w:val="TableParagraph"/>
              <w:ind w:left="104" w:right="141"/>
              <w:jc w:val="center"/>
              <w:rPr>
                <w:sz w:val="21"/>
              </w:rPr>
            </w:pPr>
            <w:r>
              <w:rPr>
                <w:spacing w:val="-5"/>
                <w:sz w:val="21"/>
              </w:rPr>
              <w:t>20</w:t>
            </w:r>
          </w:p>
        </w:tc>
        <w:tc>
          <w:tcPr>
            <w:tcW w:w="1440" w:type="dxa"/>
            <w:gridSpan w:val="2"/>
          </w:tcPr>
          <w:p w:rsidR="003F5784" w14:paraId="14854C13" w14:textId="77777777">
            <w:pPr>
              <w:pStyle w:val="TableParagraph"/>
              <w:ind w:left="159" w:right="112"/>
              <w:jc w:val="center"/>
              <w:rPr>
                <w:sz w:val="21"/>
              </w:rPr>
            </w:pPr>
            <w:r>
              <w:rPr>
                <w:spacing w:val="-2"/>
                <w:sz w:val="21"/>
              </w:rPr>
              <w:t>100.00</w:t>
            </w:r>
          </w:p>
        </w:tc>
        <w:tc>
          <w:tcPr>
            <w:tcW w:w="1350" w:type="dxa"/>
          </w:tcPr>
          <w:p w:rsidR="003F5784" w14:paraId="58C439C3" w14:textId="77777777">
            <w:pPr>
              <w:pStyle w:val="TableParagraph"/>
              <w:ind w:right="386"/>
              <w:rPr>
                <w:sz w:val="21"/>
              </w:rPr>
            </w:pPr>
            <w:r>
              <w:rPr>
                <w:spacing w:val="-2"/>
                <w:sz w:val="21"/>
              </w:rPr>
              <w:t>100.00</w:t>
            </w:r>
          </w:p>
        </w:tc>
        <w:tc>
          <w:tcPr>
            <w:tcW w:w="1080" w:type="dxa"/>
            <w:gridSpan w:val="3"/>
          </w:tcPr>
          <w:p w:rsidR="003F5784" w14:paraId="7AE8C4E7" w14:textId="77777777">
            <w:pPr>
              <w:pStyle w:val="TableParagraph"/>
              <w:ind w:right="462"/>
              <w:rPr>
                <w:sz w:val="21"/>
              </w:rPr>
            </w:pPr>
            <w:r>
              <w:rPr>
                <w:spacing w:val="-2"/>
                <w:sz w:val="21"/>
              </w:rPr>
              <w:t>1,100</w:t>
            </w:r>
          </w:p>
        </w:tc>
        <w:tc>
          <w:tcPr>
            <w:tcW w:w="900" w:type="dxa"/>
            <w:gridSpan w:val="2"/>
          </w:tcPr>
          <w:p w:rsidR="003F5784" w14:paraId="4ED6D4AB" w14:textId="77777777">
            <w:pPr>
              <w:pStyle w:val="TableParagraph"/>
              <w:ind w:left="463"/>
              <w:jc w:val="left"/>
              <w:rPr>
                <w:sz w:val="21"/>
              </w:rPr>
            </w:pPr>
            <w:r>
              <w:rPr>
                <w:spacing w:val="-4"/>
                <w:sz w:val="21"/>
              </w:rPr>
              <w:t>1.94</w:t>
            </w:r>
          </w:p>
        </w:tc>
        <w:tc>
          <w:tcPr>
            <w:tcW w:w="1080" w:type="dxa"/>
          </w:tcPr>
          <w:p w:rsidR="003F5784" w14:paraId="22A97C9D" w14:textId="77777777">
            <w:pPr>
              <w:pStyle w:val="TableParagraph"/>
              <w:ind w:right="22"/>
              <w:jc w:val="center"/>
              <w:rPr>
                <w:sz w:val="21"/>
              </w:rPr>
            </w:pPr>
            <w:r>
              <w:rPr>
                <w:spacing w:val="-2"/>
                <w:sz w:val="21"/>
              </w:rPr>
              <w:t>84.80</w:t>
            </w:r>
          </w:p>
        </w:tc>
        <w:tc>
          <w:tcPr>
            <w:tcW w:w="1170" w:type="dxa"/>
            <w:gridSpan w:val="3"/>
          </w:tcPr>
          <w:p w:rsidR="003F5784" w14:paraId="5B1E5A5E" w14:textId="77777777">
            <w:pPr>
              <w:pStyle w:val="TableParagraph"/>
              <w:ind w:right="118"/>
              <w:rPr>
                <w:sz w:val="21"/>
              </w:rPr>
            </w:pPr>
            <w:r>
              <w:rPr>
                <w:spacing w:val="-2"/>
                <w:sz w:val="21"/>
              </w:rPr>
              <w:t>25.07</w:t>
            </w:r>
          </w:p>
        </w:tc>
      </w:tr>
      <w:tr w14:paraId="0FEBB233"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0C493DC2" w14:textId="77777777">
            <w:pPr>
              <w:pStyle w:val="TableParagraph"/>
              <w:ind w:left="120"/>
              <w:jc w:val="left"/>
              <w:rPr>
                <w:sz w:val="21"/>
              </w:rPr>
            </w:pPr>
            <w:r>
              <w:rPr>
                <w:sz w:val="21"/>
              </w:rPr>
              <w:t>Baltimore</w:t>
            </w:r>
            <w:r>
              <w:rPr>
                <w:spacing w:val="-10"/>
                <w:sz w:val="21"/>
              </w:rPr>
              <w:t xml:space="preserve"> </w:t>
            </w:r>
            <w:r>
              <w:rPr>
                <w:spacing w:val="-4"/>
                <w:sz w:val="21"/>
              </w:rPr>
              <w:t>City</w:t>
            </w:r>
          </w:p>
        </w:tc>
        <w:tc>
          <w:tcPr>
            <w:tcW w:w="1029" w:type="dxa"/>
            <w:gridSpan w:val="2"/>
          </w:tcPr>
          <w:p w:rsidR="003F5784" w14:paraId="70D2F9E4" w14:textId="77777777">
            <w:pPr>
              <w:pStyle w:val="TableParagraph"/>
              <w:ind w:left="104" w:right="141"/>
              <w:jc w:val="center"/>
              <w:rPr>
                <w:sz w:val="21"/>
              </w:rPr>
            </w:pPr>
            <w:r>
              <w:rPr>
                <w:spacing w:val="-5"/>
                <w:sz w:val="21"/>
              </w:rPr>
              <w:t>50</w:t>
            </w:r>
          </w:p>
        </w:tc>
        <w:tc>
          <w:tcPr>
            <w:tcW w:w="1440" w:type="dxa"/>
            <w:gridSpan w:val="2"/>
          </w:tcPr>
          <w:p w:rsidR="003F5784" w14:paraId="68C9856E" w14:textId="77777777">
            <w:pPr>
              <w:pStyle w:val="TableParagraph"/>
              <w:ind w:left="159" w:right="112"/>
              <w:jc w:val="center"/>
              <w:rPr>
                <w:sz w:val="21"/>
              </w:rPr>
            </w:pPr>
            <w:r>
              <w:rPr>
                <w:spacing w:val="-2"/>
                <w:sz w:val="21"/>
              </w:rPr>
              <w:t>100.00</w:t>
            </w:r>
          </w:p>
        </w:tc>
        <w:tc>
          <w:tcPr>
            <w:tcW w:w="1350" w:type="dxa"/>
          </w:tcPr>
          <w:p w:rsidR="003F5784" w14:paraId="1610B27E" w14:textId="77777777">
            <w:pPr>
              <w:pStyle w:val="TableParagraph"/>
              <w:ind w:right="386"/>
              <w:rPr>
                <w:sz w:val="21"/>
              </w:rPr>
            </w:pPr>
            <w:r>
              <w:rPr>
                <w:spacing w:val="-2"/>
                <w:sz w:val="21"/>
              </w:rPr>
              <w:t>100.00</w:t>
            </w:r>
          </w:p>
        </w:tc>
        <w:tc>
          <w:tcPr>
            <w:tcW w:w="1080" w:type="dxa"/>
            <w:gridSpan w:val="3"/>
          </w:tcPr>
          <w:p w:rsidR="003F5784" w14:paraId="199C43F9" w14:textId="77777777">
            <w:pPr>
              <w:pStyle w:val="TableParagraph"/>
              <w:ind w:right="462"/>
              <w:rPr>
                <w:sz w:val="21"/>
              </w:rPr>
            </w:pPr>
            <w:r>
              <w:rPr>
                <w:spacing w:val="-2"/>
                <w:sz w:val="21"/>
              </w:rPr>
              <w:t>1,000</w:t>
            </w:r>
          </w:p>
        </w:tc>
        <w:tc>
          <w:tcPr>
            <w:tcW w:w="900" w:type="dxa"/>
            <w:gridSpan w:val="2"/>
          </w:tcPr>
          <w:p w:rsidR="003F5784" w14:paraId="1AE863C7" w14:textId="77777777">
            <w:pPr>
              <w:pStyle w:val="TableParagraph"/>
              <w:ind w:left="463"/>
              <w:jc w:val="left"/>
              <w:rPr>
                <w:sz w:val="21"/>
              </w:rPr>
            </w:pPr>
            <w:r>
              <w:rPr>
                <w:spacing w:val="-4"/>
                <w:sz w:val="21"/>
              </w:rPr>
              <w:t>2.86</w:t>
            </w:r>
          </w:p>
        </w:tc>
        <w:tc>
          <w:tcPr>
            <w:tcW w:w="1080" w:type="dxa"/>
          </w:tcPr>
          <w:p w:rsidR="003F5784" w14:paraId="6048853C" w14:textId="77777777">
            <w:pPr>
              <w:pStyle w:val="TableParagraph"/>
              <w:ind w:right="22"/>
              <w:jc w:val="center"/>
              <w:rPr>
                <w:sz w:val="21"/>
              </w:rPr>
            </w:pPr>
            <w:r>
              <w:rPr>
                <w:spacing w:val="-2"/>
                <w:sz w:val="21"/>
              </w:rPr>
              <w:t>90.04</w:t>
            </w:r>
          </w:p>
        </w:tc>
        <w:tc>
          <w:tcPr>
            <w:tcW w:w="1170" w:type="dxa"/>
            <w:gridSpan w:val="3"/>
          </w:tcPr>
          <w:p w:rsidR="003F5784" w14:paraId="592C34A0" w14:textId="77777777">
            <w:pPr>
              <w:pStyle w:val="TableParagraph"/>
              <w:ind w:right="118"/>
              <w:rPr>
                <w:sz w:val="21"/>
              </w:rPr>
            </w:pPr>
            <w:r>
              <w:rPr>
                <w:spacing w:val="-2"/>
                <w:sz w:val="21"/>
              </w:rPr>
              <w:t>21.19</w:t>
            </w:r>
          </w:p>
        </w:tc>
      </w:tr>
      <w:tr w14:paraId="00324FAE"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601FFA5C" w14:textId="77777777">
            <w:pPr>
              <w:pStyle w:val="TableParagraph"/>
              <w:ind w:left="120"/>
              <w:jc w:val="left"/>
              <w:rPr>
                <w:sz w:val="21"/>
              </w:rPr>
            </w:pPr>
            <w:r>
              <w:rPr>
                <w:spacing w:val="-2"/>
                <w:sz w:val="21"/>
              </w:rPr>
              <w:t>Boston</w:t>
            </w:r>
          </w:p>
        </w:tc>
        <w:tc>
          <w:tcPr>
            <w:tcW w:w="1029" w:type="dxa"/>
            <w:gridSpan w:val="2"/>
          </w:tcPr>
          <w:p w:rsidR="003F5784" w14:paraId="45D47F3A" w14:textId="77777777">
            <w:pPr>
              <w:pStyle w:val="TableParagraph"/>
              <w:ind w:left="104" w:right="141"/>
              <w:jc w:val="center"/>
              <w:rPr>
                <w:sz w:val="21"/>
              </w:rPr>
            </w:pPr>
            <w:r>
              <w:rPr>
                <w:spacing w:val="-5"/>
                <w:sz w:val="21"/>
              </w:rPr>
              <w:t>50</w:t>
            </w:r>
          </w:p>
        </w:tc>
        <w:tc>
          <w:tcPr>
            <w:tcW w:w="1440" w:type="dxa"/>
            <w:gridSpan w:val="2"/>
          </w:tcPr>
          <w:p w:rsidR="003F5784" w14:paraId="0421ABD1" w14:textId="77777777">
            <w:pPr>
              <w:pStyle w:val="TableParagraph"/>
              <w:ind w:left="159" w:right="112"/>
              <w:jc w:val="center"/>
              <w:rPr>
                <w:sz w:val="21"/>
              </w:rPr>
            </w:pPr>
            <w:r>
              <w:rPr>
                <w:spacing w:val="-2"/>
                <w:sz w:val="21"/>
              </w:rPr>
              <w:t>100.00</w:t>
            </w:r>
          </w:p>
        </w:tc>
        <w:tc>
          <w:tcPr>
            <w:tcW w:w="1350" w:type="dxa"/>
          </w:tcPr>
          <w:p w:rsidR="003F5784" w14:paraId="1AC918F1" w14:textId="77777777">
            <w:pPr>
              <w:pStyle w:val="TableParagraph"/>
              <w:ind w:right="386"/>
              <w:rPr>
                <w:sz w:val="21"/>
              </w:rPr>
            </w:pPr>
            <w:r>
              <w:rPr>
                <w:spacing w:val="-2"/>
                <w:sz w:val="21"/>
              </w:rPr>
              <w:t>100.00</w:t>
            </w:r>
          </w:p>
        </w:tc>
        <w:tc>
          <w:tcPr>
            <w:tcW w:w="1080" w:type="dxa"/>
            <w:gridSpan w:val="3"/>
          </w:tcPr>
          <w:p w:rsidR="003F5784" w14:paraId="2FCE88E1" w14:textId="77777777">
            <w:pPr>
              <w:pStyle w:val="TableParagraph"/>
              <w:ind w:right="462"/>
              <w:rPr>
                <w:sz w:val="21"/>
              </w:rPr>
            </w:pPr>
            <w:r>
              <w:rPr>
                <w:spacing w:val="-2"/>
                <w:sz w:val="21"/>
              </w:rPr>
              <w:t>1,000</w:t>
            </w:r>
          </w:p>
        </w:tc>
        <w:tc>
          <w:tcPr>
            <w:tcW w:w="900" w:type="dxa"/>
            <w:gridSpan w:val="2"/>
          </w:tcPr>
          <w:p w:rsidR="003F5784" w14:paraId="2165E37A" w14:textId="77777777">
            <w:pPr>
              <w:pStyle w:val="TableParagraph"/>
              <w:ind w:left="463"/>
              <w:jc w:val="left"/>
              <w:rPr>
                <w:sz w:val="21"/>
              </w:rPr>
            </w:pPr>
            <w:r>
              <w:rPr>
                <w:spacing w:val="-4"/>
                <w:sz w:val="21"/>
              </w:rPr>
              <w:t>5.94</w:t>
            </w:r>
          </w:p>
        </w:tc>
        <w:tc>
          <w:tcPr>
            <w:tcW w:w="1080" w:type="dxa"/>
          </w:tcPr>
          <w:p w:rsidR="003F5784" w14:paraId="5CD47A96" w14:textId="77777777">
            <w:pPr>
              <w:pStyle w:val="TableParagraph"/>
              <w:ind w:right="22"/>
              <w:jc w:val="center"/>
              <w:rPr>
                <w:sz w:val="21"/>
              </w:rPr>
            </w:pPr>
            <w:r>
              <w:rPr>
                <w:spacing w:val="-2"/>
                <w:sz w:val="21"/>
              </w:rPr>
              <w:t>88.86</w:t>
            </w:r>
          </w:p>
        </w:tc>
        <w:tc>
          <w:tcPr>
            <w:tcW w:w="1170" w:type="dxa"/>
            <w:gridSpan w:val="3"/>
          </w:tcPr>
          <w:p w:rsidR="003F5784" w14:paraId="5E6FC054" w14:textId="77777777">
            <w:pPr>
              <w:pStyle w:val="TableParagraph"/>
              <w:ind w:right="118"/>
              <w:rPr>
                <w:sz w:val="21"/>
              </w:rPr>
            </w:pPr>
            <w:r>
              <w:rPr>
                <w:spacing w:val="-2"/>
                <w:sz w:val="21"/>
              </w:rPr>
              <w:t>19.68</w:t>
            </w:r>
          </w:p>
        </w:tc>
      </w:tr>
      <w:tr w14:paraId="1BBF7B4D"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25276EAD" w14:textId="77777777">
            <w:pPr>
              <w:pStyle w:val="TableParagraph"/>
              <w:ind w:left="120"/>
              <w:jc w:val="left"/>
              <w:rPr>
                <w:sz w:val="21"/>
              </w:rPr>
            </w:pPr>
            <w:r>
              <w:rPr>
                <w:spacing w:val="-2"/>
                <w:sz w:val="21"/>
              </w:rPr>
              <w:t>Charlotte-Mecklenburg</w:t>
            </w:r>
          </w:p>
        </w:tc>
        <w:tc>
          <w:tcPr>
            <w:tcW w:w="1029" w:type="dxa"/>
            <w:gridSpan w:val="2"/>
          </w:tcPr>
          <w:p w:rsidR="003F5784" w14:paraId="74CD999E" w14:textId="77777777">
            <w:pPr>
              <w:pStyle w:val="TableParagraph"/>
              <w:ind w:left="104" w:right="141"/>
              <w:jc w:val="center"/>
              <w:rPr>
                <w:sz w:val="21"/>
              </w:rPr>
            </w:pPr>
            <w:r>
              <w:rPr>
                <w:spacing w:val="-5"/>
                <w:sz w:val="21"/>
              </w:rPr>
              <w:t>30</w:t>
            </w:r>
          </w:p>
        </w:tc>
        <w:tc>
          <w:tcPr>
            <w:tcW w:w="1440" w:type="dxa"/>
            <w:gridSpan w:val="2"/>
          </w:tcPr>
          <w:p w:rsidR="003F5784" w14:paraId="0E8B4886" w14:textId="77777777">
            <w:pPr>
              <w:pStyle w:val="TableParagraph"/>
              <w:ind w:left="159" w:right="112"/>
              <w:jc w:val="center"/>
              <w:rPr>
                <w:sz w:val="21"/>
              </w:rPr>
            </w:pPr>
            <w:r>
              <w:rPr>
                <w:spacing w:val="-2"/>
                <w:sz w:val="21"/>
              </w:rPr>
              <w:t>100.00</w:t>
            </w:r>
          </w:p>
        </w:tc>
        <w:tc>
          <w:tcPr>
            <w:tcW w:w="1350" w:type="dxa"/>
          </w:tcPr>
          <w:p w:rsidR="003F5784" w14:paraId="1069F58E" w14:textId="77777777">
            <w:pPr>
              <w:pStyle w:val="TableParagraph"/>
              <w:ind w:right="386"/>
              <w:rPr>
                <w:sz w:val="21"/>
              </w:rPr>
            </w:pPr>
            <w:r>
              <w:rPr>
                <w:spacing w:val="-2"/>
                <w:sz w:val="21"/>
              </w:rPr>
              <w:t>100.00</w:t>
            </w:r>
          </w:p>
        </w:tc>
        <w:tc>
          <w:tcPr>
            <w:tcW w:w="1080" w:type="dxa"/>
            <w:gridSpan w:val="3"/>
          </w:tcPr>
          <w:p w:rsidR="003F5784" w14:paraId="4BFDF6E4" w14:textId="77777777">
            <w:pPr>
              <w:pStyle w:val="TableParagraph"/>
              <w:ind w:right="462"/>
              <w:rPr>
                <w:sz w:val="21"/>
              </w:rPr>
            </w:pPr>
            <w:r>
              <w:rPr>
                <w:spacing w:val="-2"/>
                <w:sz w:val="21"/>
              </w:rPr>
              <w:t>1,100</w:t>
            </w:r>
          </w:p>
        </w:tc>
        <w:tc>
          <w:tcPr>
            <w:tcW w:w="900" w:type="dxa"/>
            <w:gridSpan w:val="2"/>
          </w:tcPr>
          <w:p w:rsidR="003F5784" w14:paraId="68F56C68" w14:textId="77777777">
            <w:pPr>
              <w:pStyle w:val="TableParagraph"/>
              <w:ind w:left="470"/>
              <w:jc w:val="left"/>
              <w:rPr>
                <w:sz w:val="21"/>
              </w:rPr>
            </w:pPr>
            <w:r>
              <w:rPr>
                <w:spacing w:val="-4"/>
                <w:sz w:val="21"/>
              </w:rPr>
              <w:t>3.11</w:t>
            </w:r>
          </w:p>
        </w:tc>
        <w:tc>
          <w:tcPr>
            <w:tcW w:w="1080" w:type="dxa"/>
          </w:tcPr>
          <w:p w:rsidR="003F5784" w14:paraId="2A4CBAFB" w14:textId="77777777">
            <w:pPr>
              <w:pStyle w:val="TableParagraph"/>
              <w:ind w:right="22"/>
              <w:jc w:val="center"/>
              <w:rPr>
                <w:sz w:val="21"/>
              </w:rPr>
            </w:pPr>
            <w:r>
              <w:rPr>
                <w:spacing w:val="-2"/>
                <w:sz w:val="21"/>
              </w:rPr>
              <w:t>89.89</w:t>
            </w:r>
          </w:p>
        </w:tc>
        <w:tc>
          <w:tcPr>
            <w:tcW w:w="1170" w:type="dxa"/>
            <w:gridSpan w:val="3"/>
          </w:tcPr>
          <w:p w:rsidR="003F5784" w14:paraId="5CAE09EC" w14:textId="77777777">
            <w:pPr>
              <w:pStyle w:val="TableParagraph"/>
              <w:ind w:right="118"/>
              <w:rPr>
                <w:sz w:val="21"/>
              </w:rPr>
            </w:pPr>
            <w:r>
              <w:rPr>
                <w:spacing w:val="-2"/>
                <w:sz w:val="21"/>
              </w:rPr>
              <w:t>11.80</w:t>
            </w:r>
          </w:p>
        </w:tc>
      </w:tr>
      <w:tr w14:paraId="56F41F47"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1BEA0746" w14:textId="77777777">
            <w:pPr>
              <w:pStyle w:val="TableParagraph"/>
              <w:ind w:left="120"/>
              <w:jc w:val="left"/>
              <w:rPr>
                <w:sz w:val="21"/>
              </w:rPr>
            </w:pPr>
            <w:r>
              <w:rPr>
                <w:spacing w:val="-2"/>
                <w:sz w:val="21"/>
              </w:rPr>
              <w:t>Chicago</w:t>
            </w:r>
          </w:p>
        </w:tc>
        <w:tc>
          <w:tcPr>
            <w:tcW w:w="1029" w:type="dxa"/>
            <w:gridSpan w:val="2"/>
          </w:tcPr>
          <w:p w:rsidR="003F5784" w14:paraId="7C25DB26" w14:textId="77777777">
            <w:pPr>
              <w:pStyle w:val="TableParagraph"/>
              <w:ind w:left="104" w:right="141"/>
              <w:jc w:val="center"/>
              <w:rPr>
                <w:sz w:val="21"/>
              </w:rPr>
            </w:pPr>
            <w:r>
              <w:rPr>
                <w:spacing w:val="-5"/>
                <w:sz w:val="21"/>
              </w:rPr>
              <w:t>70</w:t>
            </w:r>
          </w:p>
        </w:tc>
        <w:tc>
          <w:tcPr>
            <w:tcW w:w="1440" w:type="dxa"/>
            <w:gridSpan w:val="2"/>
          </w:tcPr>
          <w:p w:rsidR="003F5784" w14:paraId="53552F06" w14:textId="77777777">
            <w:pPr>
              <w:pStyle w:val="TableParagraph"/>
              <w:ind w:left="159" w:right="112"/>
              <w:jc w:val="center"/>
              <w:rPr>
                <w:sz w:val="21"/>
              </w:rPr>
            </w:pPr>
            <w:r>
              <w:rPr>
                <w:spacing w:val="-2"/>
                <w:sz w:val="21"/>
              </w:rPr>
              <w:t>100.00</w:t>
            </w:r>
          </w:p>
        </w:tc>
        <w:tc>
          <w:tcPr>
            <w:tcW w:w="1350" w:type="dxa"/>
          </w:tcPr>
          <w:p w:rsidR="003F5784" w14:paraId="05F9DA84" w14:textId="77777777">
            <w:pPr>
              <w:pStyle w:val="TableParagraph"/>
              <w:ind w:right="386"/>
              <w:rPr>
                <w:sz w:val="21"/>
              </w:rPr>
            </w:pPr>
            <w:r>
              <w:rPr>
                <w:spacing w:val="-2"/>
                <w:sz w:val="21"/>
              </w:rPr>
              <w:t>100.00</w:t>
            </w:r>
          </w:p>
        </w:tc>
        <w:tc>
          <w:tcPr>
            <w:tcW w:w="1080" w:type="dxa"/>
            <w:gridSpan w:val="3"/>
          </w:tcPr>
          <w:p w:rsidR="003F5784" w14:paraId="5D40AB8E" w14:textId="77777777">
            <w:pPr>
              <w:pStyle w:val="TableParagraph"/>
              <w:ind w:right="462"/>
              <w:rPr>
                <w:sz w:val="21"/>
              </w:rPr>
            </w:pPr>
            <w:r>
              <w:rPr>
                <w:spacing w:val="-2"/>
                <w:sz w:val="21"/>
              </w:rPr>
              <w:t>1,600</w:t>
            </w:r>
          </w:p>
        </w:tc>
        <w:tc>
          <w:tcPr>
            <w:tcW w:w="900" w:type="dxa"/>
            <w:gridSpan w:val="2"/>
          </w:tcPr>
          <w:p w:rsidR="003F5784" w14:paraId="150249DE" w14:textId="77777777">
            <w:pPr>
              <w:pStyle w:val="TableParagraph"/>
              <w:ind w:left="463"/>
              <w:jc w:val="left"/>
              <w:rPr>
                <w:sz w:val="21"/>
              </w:rPr>
            </w:pPr>
            <w:r>
              <w:rPr>
                <w:spacing w:val="-4"/>
                <w:sz w:val="21"/>
              </w:rPr>
              <w:t>0.95</w:t>
            </w:r>
          </w:p>
        </w:tc>
        <w:tc>
          <w:tcPr>
            <w:tcW w:w="1080" w:type="dxa"/>
          </w:tcPr>
          <w:p w:rsidR="003F5784" w14:paraId="13D896FA" w14:textId="77777777">
            <w:pPr>
              <w:pStyle w:val="TableParagraph"/>
              <w:ind w:right="22"/>
              <w:jc w:val="center"/>
              <w:rPr>
                <w:sz w:val="21"/>
              </w:rPr>
            </w:pPr>
            <w:r>
              <w:rPr>
                <w:spacing w:val="-2"/>
                <w:sz w:val="21"/>
              </w:rPr>
              <w:t>88.15</w:t>
            </w:r>
          </w:p>
        </w:tc>
        <w:tc>
          <w:tcPr>
            <w:tcW w:w="1170" w:type="dxa"/>
            <w:gridSpan w:val="3"/>
          </w:tcPr>
          <w:p w:rsidR="003F5784" w14:paraId="7724B9AD" w14:textId="77777777">
            <w:pPr>
              <w:pStyle w:val="TableParagraph"/>
              <w:ind w:right="118"/>
              <w:rPr>
                <w:sz w:val="21"/>
              </w:rPr>
            </w:pPr>
            <w:r>
              <w:rPr>
                <w:spacing w:val="-2"/>
                <w:sz w:val="21"/>
              </w:rPr>
              <w:t>25.00</w:t>
            </w:r>
          </w:p>
        </w:tc>
      </w:tr>
      <w:tr w14:paraId="74F86B56"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6E60C354" w14:textId="77777777">
            <w:pPr>
              <w:pStyle w:val="TableParagraph"/>
              <w:ind w:left="120"/>
              <w:jc w:val="left"/>
              <w:rPr>
                <w:sz w:val="21"/>
              </w:rPr>
            </w:pPr>
            <w:r>
              <w:rPr>
                <w:sz w:val="21"/>
              </w:rPr>
              <w:t>Clark</w:t>
            </w:r>
            <w:r>
              <w:rPr>
                <w:spacing w:val="-7"/>
                <w:sz w:val="21"/>
              </w:rPr>
              <w:t xml:space="preserve"> </w:t>
            </w:r>
            <w:r>
              <w:rPr>
                <w:sz w:val="21"/>
              </w:rPr>
              <w:t>County</w:t>
            </w:r>
            <w:r>
              <w:rPr>
                <w:spacing w:val="-6"/>
                <w:sz w:val="21"/>
              </w:rPr>
              <w:t xml:space="preserve"> </w:t>
            </w:r>
            <w:r>
              <w:rPr>
                <w:spacing w:val="-4"/>
                <w:sz w:val="21"/>
              </w:rPr>
              <w:t>(NV)</w:t>
            </w:r>
          </w:p>
        </w:tc>
        <w:tc>
          <w:tcPr>
            <w:tcW w:w="1029" w:type="dxa"/>
            <w:gridSpan w:val="2"/>
          </w:tcPr>
          <w:p w:rsidR="003F5784" w14:paraId="113253DF" w14:textId="77777777">
            <w:pPr>
              <w:pStyle w:val="TableParagraph"/>
              <w:ind w:left="104" w:right="141"/>
              <w:jc w:val="center"/>
              <w:rPr>
                <w:sz w:val="21"/>
              </w:rPr>
            </w:pPr>
            <w:r>
              <w:rPr>
                <w:spacing w:val="-5"/>
                <w:sz w:val="21"/>
              </w:rPr>
              <w:t>50</w:t>
            </w:r>
          </w:p>
        </w:tc>
        <w:tc>
          <w:tcPr>
            <w:tcW w:w="1440" w:type="dxa"/>
            <w:gridSpan w:val="2"/>
          </w:tcPr>
          <w:p w:rsidR="003F5784" w14:paraId="52C84A48" w14:textId="77777777">
            <w:pPr>
              <w:pStyle w:val="TableParagraph"/>
              <w:ind w:left="159" w:right="112"/>
              <w:jc w:val="center"/>
              <w:rPr>
                <w:sz w:val="21"/>
              </w:rPr>
            </w:pPr>
            <w:r>
              <w:rPr>
                <w:spacing w:val="-2"/>
                <w:sz w:val="21"/>
              </w:rPr>
              <w:t>100.00</w:t>
            </w:r>
          </w:p>
        </w:tc>
        <w:tc>
          <w:tcPr>
            <w:tcW w:w="1350" w:type="dxa"/>
          </w:tcPr>
          <w:p w:rsidR="003F5784" w14:paraId="68D695CE" w14:textId="77777777">
            <w:pPr>
              <w:pStyle w:val="TableParagraph"/>
              <w:ind w:right="386"/>
              <w:rPr>
                <w:sz w:val="21"/>
              </w:rPr>
            </w:pPr>
            <w:r>
              <w:rPr>
                <w:spacing w:val="-2"/>
                <w:sz w:val="21"/>
              </w:rPr>
              <w:t>100.00</w:t>
            </w:r>
          </w:p>
        </w:tc>
        <w:tc>
          <w:tcPr>
            <w:tcW w:w="1080" w:type="dxa"/>
            <w:gridSpan w:val="3"/>
          </w:tcPr>
          <w:p w:rsidR="003F5784" w14:paraId="0B3DDE06" w14:textId="77777777">
            <w:pPr>
              <w:pStyle w:val="TableParagraph"/>
              <w:ind w:right="462"/>
              <w:rPr>
                <w:sz w:val="21"/>
              </w:rPr>
            </w:pPr>
            <w:r>
              <w:rPr>
                <w:spacing w:val="-2"/>
                <w:sz w:val="21"/>
              </w:rPr>
              <w:t>1,600</w:t>
            </w:r>
          </w:p>
        </w:tc>
        <w:tc>
          <w:tcPr>
            <w:tcW w:w="900" w:type="dxa"/>
            <w:gridSpan w:val="2"/>
          </w:tcPr>
          <w:p w:rsidR="003F5784" w14:paraId="5F7B4C04" w14:textId="77777777">
            <w:pPr>
              <w:pStyle w:val="TableParagraph"/>
              <w:ind w:left="463"/>
              <w:jc w:val="left"/>
              <w:rPr>
                <w:sz w:val="21"/>
              </w:rPr>
            </w:pPr>
            <w:r>
              <w:rPr>
                <w:spacing w:val="-4"/>
                <w:sz w:val="21"/>
              </w:rPr>
              <w:t>1.29</w:t>
            </w:r>
          </w:p>
        </w:tc>
        <w:tc>
          <w:tcPr>
            <w:tcW w:w="1080" w:type="dxa"/>
          </w:tcPr>
          <w:p w:rsidR="003F5784" w14:paraId="18202C5E" w14:textId="77777777">
            <w:pPr>
              <w:pStyle w:val="TableParagraph"/>
              <w:ind w:right="22"/>
              <w:jc w:val="center"/>
              <w:rPr>
                <w:sz w:val="21"/>
              </w:rPr>
            </w:pPr>
            <w:r>
              <w:rPr>
                <w:spacing w:val="-2"/>
                <w:sz w:val="21"/>
              </w:rPr>
              <w:t>85.93</w:t>
            </w:r>
          </w:p>
        </w:tc>
        <w:tc>
          <w:tcPr>
            <w:tcW w:w="1170" w:type="dxa"/>
            <w:gridSpan w:val="3"/>
          </w:tcPr>
          <w:p w:rsidR="003F5784" w14:paraId="2552CFBE" w14:textId="77777777">
            <w:pPr>
              <w:pStyle w:val="TableParagraph"/>
              <w:ind w:right="118"/>
              <w:rPr>
                <w:sz w:val="21"/>
              </w:rPr>
            </w:pPr>
            <w:r>
              <w:rPr>
                <w:spacing w:val="-4"/>
                <w:sz w:val="21"/>
              </w:rPr>
              <w:t>7.37</w:t>
            </w:r>
          </w:p>
        </w:tc>
      </w:tr>
      <w:tr w14:paraId="1B58C951"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793AAEBC" w14:textId="77777777">
            <w:pPr>
              <w:pStyle w:val="TableParagraph"/>
              <w:ind w:left="120"/>
              <w:jc w:val="left"/>
              <w:rPr>
                <w:sz w:val="21"/>
              </w:rPr>
            </w:pPr>
            <w:r>
              <w:rPr>
                <w:spacing w:val="-2"/>
                <w:sz w:val="21"/>
              </w:rPr>
              <w:t>Cleveland</w:t>
            </w:r>
          </w:p>
        </w:tc>
        <w:tc>
          <w:tcPr>
            <w:tcW w:w="1029" w:type="dxa"/>
            <w:gridSpan w:val="2"/>
          </w:tcPr>
          <w:p w:rsidR="003F5784" w14:paraId="5B4E6319" w14:textId="77777777">
            <w:pPr>
              <w:pStyle w:val="TableParagraph"/>
              <w:ind w:left="104" w:right="141"/>
              <w:jc w:val="center"/>
              <w:rPr>
                <w:sz w:val="21"/>
              </w:rPr>
            </w:pPr>
            <w:r>
              <w:rPr>
                <w:spacing w:val="-5"/>
                <w:sz w:val="21"/>
              </w:rPr>
              <w:t>50</w:t>
            </w:r>
          </w:p>
        </w:tc>
        <w:tc>
          <w:tcPr>
            <w:tcW w:w="1440" w:type="dxa"/>
            <w:gridSpan w:val="2"/>
          </w:tcPr>
          <w:p w:rsidR="003F5784" w14:paraId="693C9936" w14:textId="77777777">
            <w:pPr>
              <w:pStyle w:val="TableParagraph"/>
              <w:ind w:left="159" w:right="112"/>
              <w:jc w:val="center"/>
              <w:rPr>
                <w:sz w:val="21"/>
              </w:rPr>
            </w:pPr>
            <w:r>
              <w:rPr>
                <w:spacing w:val="-2"/>
                <w:sz w:val="21"/>
              </w:rPr>
              <w:t>100.00</w:t>
            </w:r>
          </w:p>
        </w:tc>
        <w:tc>
          <w:tcPr>
            <w:tcW w:w="1350" w:type="dxa"/>
          </w:tcPr>
          <w:p w:rsidR="003F5784" w14:paraId="54CE925E" w14:textId="77777777">
            <w:pPr>
              <w:pStyle w:val="TableParagraph"/>
              <w:ind w:right="386"/>
              <w:rPr>
                <w:sz w:val="21"/>
              </w:rPr>
            </w:pPr>
            <w:r>
              <w:rPr>
                <w:spacing w:val="-2"/>
                <w:sz w:val="21"/>
              </w:rPr>
              <w:t>100.00</w:t>
            </w:r>
          </w:p>
        </w:tc>
        <w:tc>
          <w:tcPr>
            <w:tcW w:w="1080" w:type="dxa"/>
            <w:gridSpan w:val="3"/>
          </w:tcPr>
          <w:p w:rsidR="003F5784" w14:paraId="13D2139E" w14:textId="77777777">
            <w:pPr>
              <w:pStyle w:val="TableParagraph"/>
              <w:ind w:right="462"/>
              <w:rPr>
                <w:sz w:val="21"/>
              </w:rPr>
            </w:pPr>
            <w:r>
              <w:rPr>
                <w:spacing w:val="-5"/>
                <w:sz w:val="21"/>
              </w:rPr>
              <w:t>900</w:t>
            </w:r>
          </w:p>
        </w:tc>
        <w:tc>
          <w:tcPr>
            <w:tcW w:w="900" w:type="dxa"/>
            <w:gridSpan w:val="2"/>
          </w:tcPr>
          <w:p w:rsidR="003F5784" w14:paraId="7D474459" w14:textId="77777777">
            <w:pPr>
              <w:pStyle w:val="TableParagraph"/>
              <w:ind w:left="463"/>
              <w:jc w:val="left"/>
              <w:rPr>
                <w:sz w:val="21"/>
              </w:rPr>
            </w:pPr>
            <w:r>
              <w:rPr>
                <w:spacing w:val="-4"/>
                <w:sz w:val="21"/>
              </w:rPr>
              <w:t>3.82</w:t>
            </w:r>
          </w:p>
        </w:tc>
        <w:tc>
          <w:tcPr>
            <w:tcW w:w="1080" w:type="dxa"/>
          </w:tcPr>
          <w:p w:rsidR="003F5784" w14:paraId="32161420" w14:textId="77777777">
            <w:pPr>
              <w:pStyle w:val="TableParagraph"/>
              <w:ind w:right="22"/>
              <w:jc w:val="center"/>
              <w:rPr>
                <w:sz w:val="21"/>
              </w:rPr>
            </w:pPr>
            <w:r>
              <w:rPr>
                <w:spacing w:val="-2"/>
                <w:sz w:val="21"/>
              </w:rPr>
              <w:t>87.12</w:t>
            </w:r>
          </w:p>
        </w:tc>
        <w:tc>
          <w:tcPr>
            <w:tcW w:w="1170" w:type="dxa"/>
            <w:gridSpan w:val="3"/>
          </w:tcPr>
          <w:p w:rsidR="003F5784" w14:paraId="140EEAF7" w14:textId="77777777">
            <w:pPr>
              <w:pStyle w:val="TableParagraph"/>
              <w:ind w:right="118"/>
              <w:rPr>
                <w:sz w:val="21"/>
              </w:rPr>
            </w:pPr>
            <w:r>
              <w:rPr>
                <w:spacing w:val="-2"/>
                <w:sz w:val="21"/>
              </w:rPr>
              <w:t>21.92</w:t>
            </w:r>
          </w:p>
        </w:tc>
      </w:tr>
      <w:tr w14:paraId="6F9AAFDC"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382FFC1F" w14:textId="77777777">
            <w:pPr>
              <w:pStyle w:val="TableParagraph"/>
              <w:ind w:left="120"/>
              <w:jc w:val="left"/>
              <w:rPr>
                <w:sz w:val="21"/>
              </w:rPr>
            </w:pPr>
            <w:r>
              <w:rPr>
                <w:spacing w:val="-2"/>
                <w:sz w:val="21"/>
              </w:rPr>
              <w:t>Dallas</w:t>
            </w:r>
          </w:p>
        </w:tc>
        <w:tc>
          <w:tcPr>
            <w:tcW w:w="1029" w:type="dxa"/>
            <w:gridSpan w:val="2"/>
          </w:tcPr>
          <w:p w:rsidR="003F5784" w14:paraId="23E806FB" w14:textId="77777777">
            <w:pPr>
              <w:pStyle w:val="TableParagraph"/>
              <w:ind w:left="104" w:right="141"/>
              <w:jc w:val="center"/>
              <w:rPr>
                <w:sz w:val="21"/>
              </w:rPr>
            </w:pPr>
            <w:r>
              <w:rPr>
                <w:spacing w:val="-5"/>
                <w:sz w:val="21"/>
              </w:rPr>
              <w:t>40</w:t>
            </w:r>
          </w:p>
        </w:tc>
        <w:tc>
          <w:tcPr>
            <w:tcW w:w="1440" w:type="dxa"/>
            <w:gridSpan w:val="2"/>
          </w:tcPr>
          <w:p w:rsidR="003F5784" w14:paraId="17609D3C" w14:textId="77777777">
            <w:pPr>
              <w:pStyle w:val="TableParagraph"/>
              <w:ind w:left="159" w:right="112"/>
              <w:jc w:val="center"/>
              <w:rPr>
                <w:sz w:val="21"/>
              </w:rPr>
            </w:pPr>
            <w:r>
              <w:rPr>
                <w:spacing w:val="-2"/>
                <w:sz w:val="21"/>
              </w:rPr>
              <w:t>100.00</w:t>
            </w:r>
          </w:p>
        </w:tc>
        <w:tc>
          <w:tcPr>
            <w:tcW w:w="1350" w:type="dxa"/>
          </w:tcPr>
          <w:p w:rsidR="003F5784" w14:paraId="707CB64C" w14:textId="77777777">
            <w:pPr>
              <w:pStyle w:val="TableParagraph"/>
              <w:ind w:right="386"/>
              <w:rPr>
                <w:sz w:val="21"/>
              </w:rPr>
            </w:pPr>
            <w:r>
              <w:rPr>
                <w:spacing w:val="-2"/>
                <w:sz w:val="21"/>
              </w:rPr>
              <w:t>100.00</w:t>
            </w:r>
          </w:p>
        </w:tc>
        <w:tc>
          <w:tcPr>
            <w:tcW w:w="1080" w:type="dxa"/>
            <w:gridSpan w:val="3"/>
          </w:tcPr>
          <w:p w:rsidR="003F5784" w14:paraId="7B6A87F4" w14:textId="77777777">
            <w:pPr>
              <w:pStyle w:val="TableParagraph"/>
              <w:ind w:right="462"/>
              <w:rPr>
                <w:sz w:val="21"/>
              </w:rPr>
            </w:pPr>
            <w:r>
              <w:rPr>
                <w:spacing w:val="-2"/>
                <w:sz w:val="21"/>
              </w:rPr>
              <w:t>1,100</w:t>
            </w:r>
          </w:p>
        </w:tc>
        <w:tc>
          <w:tcPr>
            <w:tcW w:w="900" w:type="dxa"/>
            <w:gridSpan w:val="2"/>
          </w:tcPr>
          <w:p w:rsidR="003F5784" w14:paraId="40EE8FB4" w14:textId="77777777">
            <w:pPr>
              <w:pStyle w:val="TableParagraph"/>
              <w:ind w:left="463"/>
              <w:jc w:val="left"/>
              <w:rPr>
                <w:sz w:val="21"/>
              </w:rPr>
            </w:pPr>
            <w:r>
              <w:rPr>
                <w:spacing w:val="-4"/>
                <w:sz w:val="21"/>
              </w:rPr>
              <w:t>2.21</w:t>
            </w:r>
          </w:p>
        </w:tc>
        <w:tc>
          <w:tcPr>
            <w:tcW w:w="1080" w:type="dxa"/>
          </w:tcPr>
          <w:p w:rsidR="003F5784" w14:paraId="1B0BD42B" w14:textId="77777777">
            <w:pPr>
              <w:pStyle w:val="TableParagraph"/>
              <w:ind w:right="22"/>
              <w:jc w:val="center"/>
              <w:rPr>
                <w:sz w:val="21"/>
              </w:rPr>
            </w:pPr>
            <w:r>
              <w:rPr>
                <w:spacing w:val="-2"/>
                <w:sz w:val="21"/>
              </w:rPr>
              <w:t>91.02</w:t>
            </w:r>
          </w:p>
        </w:tc>
        <w:tc>
          <w:tcPr>
            <w:tcW w:w="1170" w:type="dxa"/>
            <w:gridSpan w:val="3"/>
          </w:tcPr>
          <w:p w:rsidR="003F5784" w14:paraId="2FD73F0D" w14:textId="77777777">
            <w:pPr>
              <w:pStyle w:val="TableParagraph"/>
              <w:ind w:right="118"/>
              <w:rPr>
                <w:sz w:val="21"/>
              </w:rPr>
            </w:pPr>
            <w:r>
              <w:rPr>
                <w:spacing w:val="-2"/>
                <w:sz w:val="21"/>
              </w:rPr>
              <w:t>22.29</w:t>
            </w:r>
          </w:p>
        </w:tc>
      </w:tr>
      <w:tr w14:paraId="71A219BC"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1C597878" w14:textId="77777777">
            <w:pPr>
              <w:pStyle w:val="TableParagraph"/>
              <w:ind w:left="120"/>
              <w:jc w:val="left"/>
              <w:rPr>
                <w:sz w:val="21"/>
              </w:rPr>
            </w:pPr>
            <w:r>
              <w:rPr>
                <w:spacing w:val="-2"/>
                <w:sz w:val="21"/>
              </w:rPr>
              <w:t>Denver</w:t>
            </w:r>
          </w:p>
        </w:tc>
        <w:tc>
          <w:tcPr>
            <w:tcW w:w="1029" w:type="dxa"/>
            <w:gridSpan w:val="2"/>
          </w:tcPr>
          <w:p w:rsidR="003F5784" w14:paraId="2F6F5CA6" w14:textId="77777777">
            <w:pPr>
              <w:pStyle w:val="TableParagraph"/>
              <w:ind w:left="104" w:right="141"/>
              <w:jc w:val="center"/>
              <w:rPr>
                <w:sz w:val="21"/>
              </w:rPr>
            </w:pPr>
            <w:r>
              <w:rPr>
                <w:spacing w:val="-5"/>
                <w:sz w:val="21"/>
              </w:rPr>
              <w:t>40</w:t>
            </w:r>
          </w:p>
        </w:tc>
        <w:tc>
          <w:tcPr>
            <w:tcW w:w="1440" w:type="dxa"/>
            <w:gridSpan w:val="2"/>
          </w:tcPr>
          <w:p w:rsidR="003F5784" w14:paraId="5E4229F7" w14:textId="77777777">
            <w:pPr>
              <w:pStyle w:val="TableParagraph"/>
              <w:ind w:left="159" w:right="8"/>
              <w:jc w:val="center"/>
              <w:rPr>
                <w:sz w:val="21"/>
              </w:rPr>
            </w:pPr>
            <w:r>
              <w:rPr>
                <w:spacing w:val="-2"/>
                <w:sz w:val="21"/>
              </w:rPr>
              <w:t>92.34</w:t>
            </w:r>
          </w:p>
        </w:tc>
        <w:tc>
          <w:tcPr>
            <w:tcW w:w="1350" w:type="dxa"/>
          </w:tcPr>
          <w:p w:rsidR="003F5784" w14:paraId="2B50C485" w14:textId="77777777">
            <w:pPr>
              <w:pStyle w:val="TableParagraph"/>
              <w:ind w:right="386"/>
              <w:rPr>
                <w:sz w:val="21"/>
              </w:rPr>
            </w:pPr>
            <w:r>
              <w:rPr>
                <w:spacing w:val="-2"/>
                <w:sz w:val="21"/>
              </w:rPr>
              <w:t>98.48</w:t>
            </w:r>
          </w:p>
        </w:tc>
        <w:tc>
          <w:tcPr>
            <w:tcW w:w="1080" w:type="dxa"/>
            <w:gridSpan w:val="3"/>
          </w:tcPr>
          <w:p w:rsidR="003F5784" w14:paraId="548FE959" w14:textId="77777777">
            <w:pPr>
              <w:pStyle w:val="TableParagraph"/>
              <w:ind w:right="462"/>
              <w:rPr>
                <w:sz w:val="21"/>
              </w:rPr>
            </w:pPr>
            <w:r>
              <w:rPr>
                <w:spacing w:val="-2"/>
                <w:sz w:val="21"/>
              </w:rPr>
              <w:t>1,000</w:t>
            </w:r>
          </w:p>
        </w:tc>
        <w:tc>
          <w:tcPr>
            <w:tcW w:w="900" w:type="dxa"/>
            <w:gridSpan w:val="2"/>
          </w:tcPr>
          <w:p w:rsidR="003F5784" w14:paraId="2FF7DCAA" w14:textId="77777777">
            <w:pPr>
              <w:pStyle w:val="TableParagraph"/>
              <w:ind w:left="463"/>
              <w:jc w:val="left"/>
              <w:rPr>
                <w:sz w:val="21"/>
              </w:rPr>
            </w:pPr>
            <w:r>
              <w:rPr>
                <w:spacing w:val="-4"/>
                <w:sz w:val="21"/>
              </w:rPr>
              <w:t>2.70</w:t>
            </w:r>
          </w:p>
        </w:tc>
        <w:tc>
          <w:tcPr>
            <w:tcW w:w="1080" w:type="dxa"/>
          </w:tcPr>
          <w:p w:rsidR="003F5784" w14:paraId="52D93DB9" w14:textId="77777777">
            <w:pPr>
              <w:pStyle w:val="TableParagraph"/>
              <w:ind w:right="22"/>
              <w:jc w:val="center"/>
              <w:rPr>
                <w:sz w:val="21"/>
              </w:rPr>
            </w:pPr>
            <w:r>
              <w:rPr>
                <w:spacing w:val="-2"/>
                <w:sz w:val="21"/>
              </w:rPr>
              <w:t>87.68</w:t>
            </w:r>
          </w:p>
        </w:tc>
        <w:tc>
          <w:tcPr>
            <w:tcW w:w="1170" w:type="dxa"/>
            <w:gridSpan w:val="3"/>
          </w:tcPr>
          <w:p w:rsidR="003F5784" w14:paraId="7321C57C" w14:textId="77777777">
            <w:pPr>
              <w:pStyle w:val="TableParagraph"/>
              <w:ind w:right="118"/>
              <w:rPr>
                <w:sz w:val="21"/>
              </w:rPr>
            </w:pPr>
            <w:r>
              <w:rPr>
                <w:spacing w:val="-2"/>
                <w:sz w:val="21"/>
              </w:rPr>
              <w:t>13.03</w:t>
            </w:r>
          </w:p>
        </w:tc>
      </w:tr>
      <w:tr w14:paraId="67830BC2"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72C22C84" w14:textId="77777777">
            <w:pPr>
              <w:pStyle w:val="TableParagraph"/>
              <w:ind w:left="120"/>
              <w:jc w:val="left"/>
              <w:rPr>
                <w:sz w:val="21"/>
              </w:rPr>
            </w:pPr>
            <w:r>
              <w:rPr>
                <w:spacing w:val="-2"/>
                <w:sz w:val="21"/>
              </w:rPr>
              <w:t>Detroit</w:t>
            </w:r>
          </w:p>
        </w:tc>
        <w:tc>
          <w:tcPr>
            <w:tcW w:w="1029" w:type="dxa"/>
            <w:gridSpan w:val="2"/>
          </w:tcPr>
          <w:p w:rsidR="003F5784" w14:paraId="1E32C176" w14:textId="77777777">
            <w:pPr>
              <w:pStyle w:val="TableParagraph"/>
              <w:ind w:left="104" w:right="141"/>
              <w:jc w:val="center"/>
              <w:rPr>
                <w:sz w:val="21"/>
              </w:rPr>
            </w:pPr>
            <w:r>
              <w:rPr>
                <w:spacing w:val="-5"/>
                <w:sz w:val="21"/>
              </w:rPr>
              <w:t>40</w:t>
            </w:r>
          </w:p>
        </w:tc>
        <w:tc>
          <w:tcPr>
            <w:tcW w:w="1440" w:type="dxa"/>
            <w:gridSpan w:val="2"/>
          </w:tcPr>
          <w:p w:rsidR="003F5784" w14:paraId="1C3488F0" w14:textId="77777777">
            <w:pPr>
              <w:pStyle w:val="TableParagraph"/>
              <w:ind w:left="159" w:right="112"/>
              <w:jc w:val="center"/>
              <w:rPr>
                <w:sz w:val="21"/>
              </w:rPr>
            </w:pPr>
            <w:r>
              <w:rPr>
                <w:spacing w:val="-2"/>
                <w:sz w:val="21"/>
              </w:rPr>
              <w:t>100.00</w:t>
            </w:r>
          </w:p>
        </w:tc>
        <w:tc>
          <w:tcPr>
            <w:tcW w:w="1350" w:type="dxa"/>
          </w:tcPr>
          <w:p w:rsidR="003F5784" w14:paraId="26761417" w14:textId="77777777">
            <w:pPr>
              <w:pStyle w:val="TableParagraph"/>
              <w:ind w:right="386"/>
              <w:rPr>
                <w:sz w:val="21"/>
              </w:rPr>
            </w:pPr>
            <w:r>
              <w:rPr>
                <w:spacing w:val="-2"/>
                <w:sz w:val="21"/>
              </w:rPr>
              <w:t>100.00</w:t>
            </w:r>
          </w:p>
        </w:tc>
        <w:tc>
          <w:tcPr>
            <w:tcW w:w="1080" w:type="dxa"/>
            <w:gridSpan w:val="3"/>
          </w:tcPr>
          <w:p w:rsidR="003F5784" w14:paraId="1AED72FA" w14:textId="77777777">
            <w:pPr>
              <w:pStyle w:val="TableParagraph"/>
              <w:ind w:right="462"/>
              <w:rPr>
                <w:sz w:val="21"/>
              </w:rPr>
            </w:pPr>
            <w:r>
              <w:rPr>
                <w:spacing w:val="-2"/>
                <w:sz w:val="21"/>
              </w:rPr>
              <w:t>1,000</w:t>
            </w:r>
          </w:p>
        </w:tc>
        <w:tc>
          <w:tcPr>
            <w:tcW w:w="900" w:type="dxa"/>
            <w:gridSpan w:val="2"/>
          </w:tcPr>
          <w:p w:rsidR="003F5784" w14:paraId="22609246" w14:textId="77777777">
            <w:pPr>
              <w:pStyle w:val="TableParagraph"/>
              <w:ind w:left="463"/>
              <w:jc w:val="left"/>
              <w:rPr>
                <w:sz w:val="21"/>
              </w:rPr>
            </w:pPr>
            <w:r>
              <w:rPr>
                <w:spacing w:val="-4"/>
                <w:sz w:val="21"/>
              </w:rPr>
              <w:t>5.02</w:t>
            </w:r>
          </w:p>
        </w:tc>
        <w:tc>
          <w:tcPr>
            <w:tcW w:w="1080" w:type="dxa"/>
          </w:tcPr>
          <w:p w:rsidR="003F5784" w14:paraId="6DD85CC5" w14:textId="77777777">
            <w:pPr>
              <w:pStyle w:val="TableParagraph"/>
              <w:ind w:right="22"/>
              <w:jc w:val="center"/>
              <w:rPr>
                <w:sz w:val="21"/>
              </w:rPr>
            </w:pPr>
            <w:r>
              <w:rPr>
                <w:spacing w:val="-2"/>
                <w:sz w:val="21"/>
              </w:rPr>
              <w:t>88.79</w:t>
            </w:r>
          </w:p>
        </w:tc>
        <w:tc>
          <w:tcPr>
            <w:tcW w:w="1170" w:type="dxa"/>
            <w:gridSpan w:val="3"/>
          </w:tcPr>
          <w:p w:rsidR="003F5784" w14:paraId="206BED80" w14:textId="77777777">
            <w:pPr>
              <w:pStyle w:val="TableParagraph"/>
              <w:ind w:right="118"/>
              <w:rPr>
                <w:sz w:val="21"/>
              </w:rPr>
            </w:pPr>
            <w:r>
              <w:rPr>
                <w:spacing w:val="-2"/>
                <w:sz w:val="21"/>
              </w:rPr>
              <w:t>11.55</w:t>
            </w:r>
          </w:p>
        </w:tc>
      </w:tr>
      <w:tr w14:paraId="1340E743"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2966FD86" w14:textId="77777777">
            <w:pPr>
              <w:pStyle w:val="TableParagraph"/>
              <w:ind w:left="120"/>
              <w:jc w:val="left"/>
              <w:rPr>
                <w:sz w:val="21"/>
              </w:rPr>
            </w:pPr>
            <w:r>
              <w:rPr>
                <w:sz w:val="21"/>
              </w:rPr>
              <w:t>Duval</w:t>
            </w:r>
            <w:r>
              <w:rPr>
                <w:spacing w:val="-7"/>
                <w:sz w:val="21"/>
              </w:rPr>
              <w:t xml:space="preserve"> </w:t>
            </w:r>
            <w:r>
              <w:rPr>
                <w:sz w:val="21"/>
              </w:rPr>
              <w:t>County</w:t>
            </w:r>
            <w:r>
              <w:rPr>
                <w:spacing w:val="-7"/>
                <w:sz w:val="21"/>
              </w:rPr>
              <w:t xml:space="preserve"> </w:t>
            </w:r>
            <w:r>
              <w:rPr>
                <w:spacing w:val="-4"/>
                <w:sz w:val="21"/>
              </w:rPr>
              <w:t>(FL)</w:t>
            </w:r>
          </w:p>
        </w:tc>
        <w:tc>
          <w:tcPr>
            <w:tcW w:w="1029" w:type="dxa"/>
            <w:gridSpan w:val="2"/>
          </w:tcPr>
          <w:p w:rsidR="003F5784" w14:paraId="6F18D4AB" w14:textId="77777777">
            <w:pPr>
              <w:pStyle w:val="TableParagraph"/>
              <w:ind w:left="104" w:right="141"/>
              <w:jc w:val="center"/>
              <w:rPr>
                <w:sz w:val="21"/>
              </w:rPr>
            </w:pPr>
            <w:r>
              <w:rPr>
                <w:spacing w:val="-5"/>
                <w:sz w:val="21"/>
              </w:rPr>
              <w:t>40</w:t>
            </w:r>
          </w:p>
        </w:tc>
        <w:tc>
          <w:tcPr>
            <w:tcW w:w="1440" w:type="dxa"/>
            <w:gridSpan w:val="2"/>
          </w:tcPr>
          <w:p w:rsidR="003F5784" w14:paraId="26A39FE8" w14:textId="77777777">
            <w:pPr>
              <w:pStyle w:val="TableParagraph"/>
              <w:ind w:left="159" w:right="112"/>
              <w:jc w:val="center"/>
              <w:rPr>
                <w:sz w:val="21"/>
              </w:rPr>
            </w:pPr>
            <w:r>
              <w:rPr>
                <w:spacing w:val="-2"/>
                <w:sz w:val="21"/>
              </w:rPr>
              <w:t>100.00</w:t>
            </w:r>
          </w:p>
        </w:tc>
        <w:tc>
          <w:tcPr>
            <w:tcW w:w="1350" w:type="dxa"/>
          </w:tcPr>
          <w:p w:rsidR="003F5784" w14:paraId="6E3A3D74" w14:textId="77777777">
            <w:pPr>
              <w:pStyle w:val="TableParagraph"/>
              <w:ind w:right="386"/>
              <w:rPr>
                <w:sz w:val="21"/>
              </w:rPr>
            </w:pPr>
            <w:r>
              <w:rPr>
                <w:spacing w:val="-2"/>
                <w:sz w:val="21"/>
              </w:rPr>
              <w:t>100.00</w:t>
            </w:r>
          </w:p>
        </w:tc>
        <w:tc>
          <w:tcPr>
            <w:tcW w:w="1080" w:type="dxa"/>
            <w:gridSpan w:val="3"/>
          </w:tcPr>
          <w:p w:rsidR="003F5784" w14:paraId="4B54717E" w14:textId="77777777">
            <w:pPr>
              <w:pStyle w:val="TableParagraph"/>
              <w:ind w:right="462"/>
              <w:rPr>
                <w:sz w:val="21"/>
              </w:rPr>
            </w:pPr>
            <w:r>
              <w:rPr>
                <w:spacing w:val="-2"/>
                <w:sz w:val="21"/>
              </w:rPr>
              <w:t>1,100</w:t>
            </w:r>
          </w:p>
        </w:tc>
        <w:tc>
          <w:tcPr>
            <w:tcW w:w="900" w:type="dxa"/>
            <w:gridSpan w:val="2"/>
          </w:tcPr>
          <w:p w:rsidR="003F5784" w14:paraId="0192CD69" w14:textId="77777777">
            <w:pPr>
              <w:pStyle w:val="TableParagraph"/>
              <w:ind w:left="463"/>
              <w:jc w:val="left"/>
              <w:rPr>
                <w:sz w:val="21"/>
              </w:rPr>
            </w:pPr>
            <w:r>
              <w:rPr>
                <w:spacing w:val="-4"/>
                <w:sz w:val="21"/>
              </w:rPr>
              <w:t>1.53</w:t>
            </w:r>
          </w:p>
        </w:tc>
        <w:tc>
          <w:tcPr>
            <w:tcW w:w="1080" w:type="dxa"/>
          </w:tcPr>
          <w:p w:rsidR="003F5784" w14:paraId="77DEF86D" w14:textId="77777777">
            <w:pPr>
              <w:pStyle w:val="TableParagraph"/>
              <w:ind w:right="22"/>
              <w:jc w:val="center"/>
              <w:rPr>
                <w:sz w:val="21"/>
              </w:rPr>
            </w:pPr>
            <w:r>
              <w:rPr>
                <w:spacing w:val="-2"/>
                <w:sz w:val="21"/>
              </w:rPr>
              <w:t>91.37</w:t>
            </w:r>
          </w:p>
        </w:tc>
        <w:tc>
          <w:tcPr>
            <w:tcW w:w="1170" w:type="dxa"/>
            <w:gridSpan w:val="3"/>
          </w:tcPr>
          <w:p w:rsidR="003F5784" w14:paraId="3FED7226" w14:textId="77777777">
            <w:pPr>
              <w:pStyle w:val="TableParagraph"/>
              <w:ind w:right="118"/>
              <w:rPr>
                <w:sz w:val="21"/>
              </w:rPr>
            </w:pPr>
            <w:r>
              <w:rPr>
                <w:spacing w:val="-2"/>
                <w:sz w:val="21"/>
              </w:rPr>
              <w:t>21.43</w:t>
            </w:r>
          </w:p>
        </w:tc>
      </w:tr>
      <w:tr w14:paraId="071EDF8D"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3BF4A572" w14:textId="77777777">
            <w:pPr>
              <w:pStyle w:val="TableParagraph"/>
              <w:ind w:left="120"/>
              <w:jc w:val="left"/>
              <w:rPr>
                <w:sz w:val="21"/>
              </w:rPr>
            </w:pPr>
            <w:r>
              <w:rPr>
                <w:sz w:val="21"/>
              </w:rPr>
              <w:t>Fort</w:t>
            </w:r>
            <w:r>
              <w:rPr>
                <w:spacing w:val="-9"/>
                <w:sz w:val="21"/>
              </w:rPr>
              <w:t xml:space="preserve"> </w:t>
            </w:r>
            <w:r>
              <w:rPr>
                <w:spacing w:val="-2"/>
                <w:sz w:val="21"/>
              </w:rPr>
              <w:t>Worth</w:t>
            </w:r>
          </w:p>
        </w:tc>
        <w:tc>
          <w:tcPr>
            <w:tcW w:w="1029" w:type="dxa"/>
            <w:gridSpan w:val="2"/>
          </w:tcPr>
          <w:p w:rsidR="003F5784" w14:paraId="337BD16B" w14:textId="77777777">
            <w:pPr>
              <w:pStyle w:val="TableParagraph"/>
              <w:ind w:left="104" w:right="141"/>
              <w:jc w:val="center"/>
              <w:rPr>
                <w:sz w:val="21"/>
              </w:rPr>
            </w:pPr>
            <w:r>
              <w:rPr>
                <w:spacing w:val="-5"/>
                <w:sz w:val="21"/>
              </w:rPr>
              <w:t>30</w:t>
            </w:r>
          </w:p>
        </w:tc>
        <w:tc>
          <w:tcPr>
            <w:tcW w:w="1440" w:type="dxa"/>
            <w:gridSpan w:val="2"/>
          </w:tcPr>
          <w:p w:rsidR="003F5784" w14:paraId="301DC8E5" w14:textId="77777777">
            <w:pPr>
              <w:pStyle w:val="TableParagraph"/>
              <w:ind w:left="159" w:right="112"/>
              <w:jc w:val="center"/>
              <w:rPr>
                <w:sz w:val="21"/>
              </w:rPr>
            </w:pPr>
            <w:r>
              <w:rPr>
                <w:spacing w:val="-2"/>
                <w:sz w:val="21"/>
              </w:rPr>
              <w:t>100.00</w:t>
            </w:r>
          </w:p>
        </w:tc>
        <w:tc>
          <w:tcPr>
            <w:tcW w:w="1350" w:type="dxa"/>
          </w:tcPr>
          <w:p w:rsidR="003F5784" w14:paraId="01B0B690" w14:textId="77777777">
            <w:pPr>
              <w:pStyle w:val="TableParagraph"/>
              <w:ind w:right="386"/>
              <w:rPr>
                <w:sz w:val="21"/>
              </w:rPr>
            </w:pPr>
            <w:r>
              <w:rPr>
                <w:spacing w:val="-2"/>
                <w:sz w:val="21"/>
              </w:rPr>
              <w:t>100.00</w:t>
            </w:r>
          </w:p>
        </w:tc>
        <w:tc>
          <w:tcPr>
            <w:tcW w:w="1080" w:type="dxa"/>
            <w:gridSpan w:val="3"/>
          </w:tcPr>
          <w:p w:rsidR="003F5784" w14:paraId="73585CB8" w14:textId="77777777">
            <w:pPr>
              <w:pStyle w:val="TableParagraph"/>
              <w:ind w:right="462"/>
              <w:rPr>
                <w:sz w:val="21"/>
              </w:rPr>
            </w:pPr>
            <w:r>
              <w:rPr>
                <w:spacing w:val="-2"/>
                <w:sz w:val="21"/>
              </w:rPr>
              <w:t>1,000</w:t>
            </w:r>
          </w:p>
        </w:tc>
        <w:tc>
          <w:tcPr>
            <w:tcW w:w="900" w:type="dxa"/>
            <w:gridSpan w:val="2"/>
          </w:tcPr>
          <w:p w:rsidR="003F5784" w14:paraId="1FE9F7B5" w14:textId="77777777">
            <w:pPr>
              <w:pStyle w:val="TableParagraph"/>
              <w:ind w:left="463"/>
              <w:jc w:val="left"/>
              <w:rPr>
                <w:sz w:val="21"/>
              </w:rPr>
            </w:pPr>
            <w:r>
              <w:rPr>
                <w:spacing w:val="-4"/>
                <w:sz w:val="21"/>
              </w:rPr>
              <w:t>2.24</w:t>
            </w:r>
          </w:p>
        </w:tc>
        <w:tc>
          <w:tcPr>
            <w:tcW w:w="1080" w:type="dxa"/>
          </w:tcPr>
          <w:p w:rsidR="003F5784" w14:paraId="6DD0A4B5" w14:textId="77777777">
            <w:pPr>
              <w:pStyle w:val="TableParagraph"/>
              <w:ind w:right="22"/>
              <w:jc w:val="center"/>
              <w:rPr>
                <w:sz w:val="21"/>
              </w:rPr>
            </w:pPr>
            <w:r>
              <w:rPr>
                <w:spacing w:val="-2"/>
                <w:sz w:val="21"/>
              </w:rPr>
              <w:t>91.81</w:t>
            </w:r>
          </w:p>
        </w:tc>
        <w:tc>
          <w:tcPr>
            <w:tcW w:w="1170" w:type="dxa"/>
            <w:gridSpan w:val="3"/>
          </w:tcPr>
          <w:p w:rsidR="003F5784" w14:paraId="784B984E" w14:textId="77777777">
            <w:pPr>
              <w:pStyle w:val="TableParagraph"/>
              <w:ind w:right="118"/>
              <w:rPr>
                <w:sz w:val="21"/>
              </w:rPr>
            </w:pPr>
            <w:r>
              <w:rPr>
                <w:spacing w:val="-2"/>
                <w:sz w:val="21"/>
              </w:rPr>
              <w:t>14.09</w:t>
            </w:r>
          </w:p>
        </w:tc>
      </w:tr>
      <w:tr w14:paraId="6B0ADCCE"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4672D766" w14:textId="77777777">
            <w:pPr>
              <w:pStyle w:val="TableParagraph"/>
              <w:ind w:left="120"/>
              <w:jc w:val="left"/>
              <w:rPr>
                <w:sz w:val="21"/>
              </w:rPr>
            </w:pPr>
            <w:r>
              <w:rPr>
                <w:sz w:val="21"/>
              </w:rPr>
              <w:t>Guilford</w:t>
            </w:r>
            <w:r>
              <w:rPr>
                <w:spacing w:val="-8"/>
                <w:sz w:val="21"/>
              </w:rPr>
              <w:t xml:space="preserve"> </w:t>
            </w:r>
            <w:r>
              <w:rPr>
                <w:sz w:val="21"/>
              </w:rPr>
              <w:t>County</w:t>
            </w:r>
            <w:r>
              <w:rPr>
                <w:spacing w:val="-8"/>
                <w:sz w:val="21"/>
              </w:rPr>
              <w:t xml:space="preserve"> </w:t>
            </w:r>
            <w:r>
              <w:rPr>
                <w:spacing w:val="-4"/>
                <w:sz w:val="21"/>
              </w:rPr>
              <w:t>(NC)</w:t>
            </w:r>
          </w:p>
        </w:tc>
        <w:tc>
          <w:tcPr>
            <w:tcW w:w="1029" w:type="dxa"/>
            <w:gridSpan w:val="2"/>
          </w:tcPr>
          <w:p w:rsidR="003F5784" w14:paraId="3EBE4038" w14:textId="77777777">
            <w:pPr>
              <w:pStyle w:val="TableParagraph"/>
              <w:ind w:left="104" w:right="141"/>
              <w:jc w:val="center"/>
              <w:rPr>
                <w:sz w:val="21"/>
              </w:rPr>
            </w:pPr>
            <w:r>
              <w:rPr>
                <w:spacing w:val="-5"/>
                <w:sz w:val="21"/>
              </w:rPr>
              <w:t>30</w:t>
            </w:r>
          </w:p>
        </w:tc>
        <w:tc>
          <w:tcPr>
            <w:tcW w:w="1440" w:type="dxa"/>
            <w:gridSpan w:val="2"/>
          </w:tcPr>
          <w:p w:rsidR="003F5784" w14:paraId="23B267DB" w14:textId="77777777">
            <w:pPr>
              <w:pStyle w:val="TableParagraph"/>
              <w:ind w:left="159" w:right="112"/>
              <w:jc w:val="center"/>
              <w:rPr>
                <w:sz w:val="21"/>
              </w:rPr>
            </w:pPr>
            <w:r>
              <w:rPr>
                <w:spacing w:val="-2"/>
                <w:sz w:val="21"/>
              </w:rPr>
              <w:t>100.00</w:t>
            </w:r>
          </w:p>
        </w:tc>
        <w:tc>
          <w:tcPr>
            <w:tcW w:w="1350" w:type="dxa"/>
          </w:tcPr>
          <w:p w:rsidR="003F5784" w14:paraId="0E47094A" w14:textId="77777777">
            <w:pPr>
              <w:pStyle w:val="TableParagraph"/>
              <w:ind w:right="386"/>
              <w:rPr>
                <w:sz w:val="21"/>
              </w:rPr>
            </w:pPr>
            <w:r>
              <w:rPr>
                <w:spacing w:val="-2"/>
                <w:sz w:val="21"/>
              </w:rPr>
              <w:t>100.00</w:t>
            </w:r>
          </w:p>
        </w:tc>
        <w:tc>
          <w:tcPr>
            <w:tcW w:w="1080" w:type="dxa"/>
            <w:gridSpan w:val="3"/>
          </w:tcPr>
          <w:p w:rsidR="003F5784" w14:paraId="563C0F5C" w14:textId="77777777">
            <w:pPr>
              <w:pStyle w:val="TableParagraph"/>
              <w:ind w:right="462"/>
              <w:rPr>
                <w:sz w:val="21"/>
              </w:rPr>
            </w:pPr>
            <w:r>
              <w:rPr>
                <w:spacing w:val="-2"/>
                <w:sz w:val="21"/>
              </w:rPr>
              <w:t>1,000</w:t>
            </w:r>
          </w:p>
        </w:tc>
        <w:tc>
          <w:tcPr>
            <w:tcW w:w="900" w:type="dxa"/>
            <w:gridSpan w:val="2"/>
          </w:tcPr>
          <w:p w:rsidR="003F5784" w14:paraId="59260E18" w14:textId="77777777">
            <w:pPr>
              <w:pStyle w:val="TableParagraph"/>
              <w:ind w:left="463"/>
              <w:jc w:val="left"/>
              <w:rPr>
                <w:sz w:val="21"/>
              </w:rPr>
            </w:pPr>
            <w:r>
              <w:rPr>
                <w:spacing w:val="-4"/>
                <w:sz w:val="21"/>
              </w:rPr>
              <w:t>1.77</w:t>
            </w:r>
          </w:p>
        </w:tc>
        <w:tc>
          <w:tcPr>
            <w:tcW w:w="1080" w:type="dxa"/>
          </w:tcPr>
          <w:p w:rsidR="003F5784" w14:paraId="23F7881C" w14:textId="77777777">
            <w:pPr>
              <w:pStyle w:val="TableParagraph"/>
              <w:ind w:right="22"/>
              <w:jc w:val="center"/>
              <w:rPr>
                <w:sz w:val="21"/>
              </w:rPr>
            </w:pPr>
            <w:r>
              <w:rPr>
                <w:spacing w:val="-2"/>
                <w:sz w:val="21"/>
              </w:rPr>
              <w:t>89.25</w:t>
            </w:r>
          </w:p>
        </w:tc>
        <w:tc>
          <w:tcPr>
            <w:tcW w:w="1170" w:type="dxa"/>
            <w:gridSpan w:val="3"/>
          </w:tcPr>
          <w:p w:rsidR="003F5784" w14:paraId="6A2D6865" w14:textId="77777777">
            <w:pPr>
              <w:pStyle w:val="TableParagraph"/>
              <w:ind w:right="118"/>
              <w:rPr>
                <w:sz w:val="21"/>
              </w:rPr>
            </w:pPr>
            <w:r>
              <w:rPr>
                <w:spacing w:val="-2"/>
                <w:sz w:val="21"/>
              </w:rPr>
              <w:t>14.89</w:t>
            </w:r>
          </w:p>
        </w:tc>
      </w:tr>
      <w:tr w14:paraId="6F372EF5"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1AC5BD2E" w14:textId="77777777">
            <w:pPr>
              <w:pStyle w:val="TableParagraph"/>
              <w:ind w:left="120"/>
              <w:jc w:val="left"/>
              <w:rPr>
                <w:sz w:val="21"/>
              </w:rPr>
            </w:pPr>
            <w:r>
              <w:rPr>
                <w:sz w:val="21"/>
              </w:rPr>
              <w:t>Hillsborough</w:t>
            </w:r>
            <w:r>
              <w:rPr>
                <w:spacing w:val="-10"/>
                <w:sz w:val="21"/>
              </w:rPr>
              <w:t xml:space="preserve"> </w:t>
            </w:r>
            <w:r>
              <w:rPr>
                <w:sz w:val="21"/>
              </w:rPr>
              <w:t>County</w:t>
            </w:r>
            <w:r>
              <w:rPr>
                <w:spacing w:val="-10"/>
                <w:sz w:val="21"/>
              </w:rPr>
              <w:t xml:space="preserve"> </w:t>
            </w:r>
            <w:r>
              <w:rPr>
                <w:spacing w:val="-4"/>
                <w:sz w:val="21"/>
              </w:rPr>
              <w:t>(FL)</w:t>
            </w:r>
          </w:p>
        </w:tc>
        <w:tc>
          <w:tcPr>
            <w:tcW w:w="1029" w:type="dxa"/>
            <w:gridSpan w:val="2"/>
          </w:tcPr>
          <w:p w:rsidR="003F5784" w14:paraId="2EF74862" w14:textId="77777777">
            <w:pPr>
              <w:pStyle w:val="TableParagraph"/>
              <w:ind w:left="104" w:right="141"/>
              <w:jc w:val="center"/>
              <w:rPr>
                <w:sz w:val="21"/>
              </w:rPr>
            </w:pPr>
            <w:r>
              <w:rPr>
                <w:spacing w:val="-5"/>
                <w:sz w:val="21"/>
              </w:rPr>
              <w:t>40</w:t>
            </w:r>
          </w:p>
        </w:tc>
        <w:tc>
          <w:tcPr>
            <w:tcW w:w="1440" w:type="dxa"/>
            <w:gridSpan w:val="2"/>
          </w:tcPr>
          <w:p w:rsidR="003F5784" w14:paraId="5FA093B1" w14:textId="77777777">
            <w:pPr>
              <w:pStyle w:val="TableParagraph"/>
              <w:ind w:left="159" w:right="112"/>
              <w:jc w:val="center"/>
              <w:rPr>
                <w:sz w:val="21"/>
              </w:rPr>
            </w:pPr>
            <w:r>
              <w:rPr>
                <w:spacing w:val="-2"/>
                <w:sz w:val="21"/>
              </w:rPr>
              <w:t>100.00</w:t>
            </w:r>
          </w:p>
        </w:tc>
        <w:tc>
          <w:tcPr>
            <w:tcW w:w="1350" w:type="dxa"/>
          </w:tcPr>
          <w:p w:rsidR="003F5784" w14:paraId="2E4EE111" w14:textId="77777777">
            <w:pPr>
              <w:pStyle w:val="TableParagraph"/>
              <w:ind w:right="386"/>
              <w:rPr>
                <w:sz w:val="21"/>
              </w:rPr>
            </w:pPr>
            <w:r>
              <w:rPr>
                <w:spacing w:val="-2"/>
                <w:sz w:val="21"/>
              </w:rPr>
              <w:t>100.00</w:t>
            </w:r>
          </w:p>
        </w:tc>
        <w:tc>
          <w:tcPr>
            <w:tcW w:w="1080" w:type="dxa"/>
            <w:gridSpan w:val="3"/>
          </w:tcPr>
          <w:p w:rsidR="003F5784" w14:paraId="231D1501" w14:textId="77777777">
            <w:pPr>
              <w:pStyle w:val="TableParagraph"/>
              <w:ind w:right="462"/>
              <w:rPr>
                <w:sz w:val="21"/>
              </w:rPr>
            </w:pPr>
            <w:r>
              <w:rPr>
                <w:spacing w:val="-2"/>
                <w:sz w:val="21"/>
              </w:rPr>
              <w:t>1,100</w:t>
            </w:r>
          </w:p>
        </w:tc>
        <w:tc>
          <w:tcPr>
            <w:tcW w:w="900" w:type="dxa"/>
            <w:gridSpan w:val="2"/>
          </w:tcPr>
          <w:p w:rsidR="003F5784" w14:paraId="2DBB9A4F" w14:textId="77777777">
            <w:pPr>
              <w:pStyle w:val="TableParagraph"/>
              <w:ind w:left="463"/>
              <w:jc w:val="left"/>
              <w:rPr>
                <w:sz w:val="21"/>
              </w:rPr>
            </w:pPr>
            <w:r>
              <w:rPr>
                <w:spacing w:val="-4"/>
                <w:sz w:val="21"/>
              </w:rPr>
              <w:t>2.25</w:t>
            </w:r>
          </w:p>
        </w:tc>
        <w:tc>
          <w:tcPr>
            <w:tcW w:w="1080" w:type="dxa"/>
          </w:tcPr>
          <w:p w:rsidR="003F5784" w14:paraId="111BA577" w14:textId="77777777">
            <w:pPr>
              <w:pStyle w:val="TableParagraph"/>
              <w:ind w:right="22"/>
              <w:jc w:val="center"/>
              <w:rPr>
                <w:sz w:val="21"/>
              </w:rPr>
            </w:pPr>
            <w:r>
              <w:rPr>
                <w:spacing w:val="-2"/>
                <w:sz w:val="21"/>
              </w:rPr>
              <w:t>90.53</w:t>
            </w:r>
          </w:p>
        </w:tc>
        <w:tc>
          <w:tcPr>
            <w:tcW w:w="1170" w:type="dxa"/>
            <w:gridSpan w:val="3"/>
          </w:tcPr>
          <w:p w:rsidR="003F5784" w14:paraId="6CA774C2" w14:textId="77777777">
            <w:pPr>
              <w:pStyle w:val="TableParagraph"/>
              <w:ind w:right="118"/>
              <w:rPr>
                <w:sz w:val="21"/>
              </w:rPr>
            </w:pPr>
            <w:r>
              <w:rPr>
                <w:spacing w:val="-2"/>
                <w:sz w:val="21"/>
              </w:rPr>
              <w:t>21.08</w:t>
            </w:r>
          </w:p>
        </w:tc>
      </w:tr>
      <w:tr w14:paraId="3C2B7F56"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33117034" w14:textId="77777777">
            <w:pPr>
              <w:pStyle w:val="TableParagraph"/>
              <w:ind w:left="120"/>
              <w:jc w:val="left"/>
              <w:rPr>
                <w:sz w:val="21"/>
              </w:rPr>
            </w:pPr>
            <w:r>
              <w:rPr>
                <w:spacing w:val="-2"/>
                <w:sz w:val="21"/>
              </w:rPr>
              <w:t>Houston</w:t>
            </w:r>
          </w:p>
        </w:tc>
        <w:tc>
          <w:tcPr>
            <w:tcW w:w="1029" w:type="dxa"/>
            <w:gridSpan w:val="2"/>
          </w:tcPr>
          <w:p w:rsidR="003F5784" w14:paraId="3F0A56D4" w14:textId="77777777">
            <w:pPr>
              <w:pStyle w:val="TableParagraph"/>
              <w:ind w:left="104" w:right="141"/>
              <w:jc w:val="center"/>
              <w:rPr>
                <w:sz w:val="21"/>
              </w:rPr>
            </w:pPr>
            <w:r>
              <w:rPr>
                <w:spacing w:val="-5"/>
                <w:sz w:val="21"/>
              </w:rPr>
              <w:t>40</w:t>
            </w:r>
          </w:p>
        </w:tc>
        <w:tc>
          <w:tcPr>
            <w:tcW w:w="1440" w:type="dxa"/>
            <w:gridSpan w:val="2"/>
          </w:tcPr>
          <w:p w:rsidR="003F5784" w14:paraId="0AB1D7FD" w14:textId="77777777">
            <w:pPr>
              <w:pStyle w:val="TableParagraph"/>
              <w:ind w:left="159" w:right="112"/>
              <w:jc w:val="center"/>
              <w:rPr>
                <w:sz w:val="21"/>
              </w:rPr>
            </w:pPr>
            <w:r>
              <w:rPr>
                <w:spacing w:val="-2"/>
                <w:sz w:val="21"/>
              </w:rPr>
              <w:t>100.00</w:t>
            </w:r>
          </w:p>
        </w:tc>
        <w:tc>
          <w:tcPr>
            <w:tcW w:w="1350" w:type="dxa"/>
          </w:tcPr>
          <w:p w:rsidR="003F5784" w14:paraId="63B7B7A2" w14:textId="77777777">
            <w:pPr>
              <w:pStyle w:val="TableParagraph"/>
              <w:ind w:right="386"/>
              <w:rPr>
                <w:sz w:val="21"/>
              </w:rPr>
            </w:pPr>
            <w:r>
              <w:rPr>
                <w:spacing w:val="-2"/>
                <w:sz w:val="21"/>
              </w:rPr>
              <w:t>100.00</w:t>
            </w:r>
          </w:p>
        </w:tc>
        <w:tc>
          <w:tcPr>
            <w:tcW w:w="1080" w:type="dxa"/>
            <w:gridSpan w:val="3"/>
          </w:tcPr>
          <w:p w:rsidR="003F5784" w14:paraId="1A0CC0EF" w14:textId="77777777">
            <w:pPr>
              <w:pStyle w:val="TableParagraph"/>
              <w:ind w:right="462"/>
              <w:rPr>
                <w:sz w:val="21"/>
              </w:rPr>
            </w:pPr>
            <w:r>
              <w:rPr>
                <w:spacing w:val="-2"/>
                <w:sz w:val="21"/>
              </w:rPr>
              <w:t>1,500</w:t>
            </w:r>
          </w:p>
        </w:tc>
        <w:tc>
          <w:tcPr>
            <w:tcW w:w="900" w:type="dxa"/>
            <w:gridSpan w:val="2"/>
          </w:tcPr>
          <w:p w:rsidR="003F5784" w14:paraId="765246B2" w14:textId="77777777">
            <w:pPr>
              <w:pStyle w:val="TableParagraph"/>
              <w:ind w:left="463"/>
              <w:jc w:val="left"/>
              <w:rPr>
                <w:sz w:val="21"/>
              </w:rPr>
            </w:pPr>
            <w:r>
              <w:rPr>
                <w:spacing w:val="-4"/>
                <w:sz w:val="21"/>
              </w:rPr>
              <w:t>3.03</w:t>
            </w:r>
          </w:p>
        </w:tc>
        <w:tc>
          <w:tcPr>
            <w:tcW w:w="1080" w:type="dxa"/>
          </w:tcPr>
          <w:p w:rsidR="003F5784" w14:paraId="4D6F0B81" w14:textId="77777777">
            <w:pPr>
              <w:pStyle w:val="TableParagraph"/>
              <w:ind w:right="22"/>
              <w:jc w:val="center"/>
              <w:rPr>
                <w:sz w:val="21"/>
              </w:rPr>
            </w:pPr>
            <w:r>
              <w:rPr>
                <w:spacing w:val="-2"/>
                <w:sz w:val="21"/>
              </w:rPr>
              <w:t>88.66</w:t>
            </w:r>
          </w:p>
        </w:tc>
        <w:tc>
          <w:tcPr>
            <w:tcW w:w="1170" w:type="dxa"/>
            <w:gridSpan w:val="3"/>
          </w:tcPr>
          <w:p w:rsidR="003F5784" w14:paraId="381942FC" w14:textId="77777777">
            <w:pPr>
              <w:pStyle w:val="TableParagraph"/>
              <w:ind w:right="118"/>
              <w:rPr>
                <w:sz w:val="21"/>
              </w:rPr>
            </w:pPr>
            <w:r>
              <w:rPr>
                <w:spacing w:val="-2"/>
                <w:sz w:val="21"/>
              </w:rPr>
              <w:t>15.70</w:t>
            </w:r>
          </w:p>
        </w:tc>
      </w:tr>
      <w:tr w14:paraId="112FA369"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6BC0CC26" w14:textId="77777777">
            <w:pPr>
              <w:pStyle w:val="TableParagraph"/>
              <w:ind w:left="120"/>
              <w:jc w:val="left"/>
              <w:rPr>
                <w:sz w:val="21"/>
              </w:rPr>
            </w:pPr>
            <w:r>
              <w:rPr>
                <w:sz w:val="21"/>
              </w:rPr>
              <w:t>Jefferson</w:t>
            </w:r>
            <w:r>
              <w:rPr>
                <w:spacing w:val="-10"/>
                <w:sz w:val="21"/>
              </w:rPr>
              <w:t xml:space="preserve"> </w:t>
            </w:r>
            <w:r>
              <w:rPr>
                <w:sz w:val="21"/>
              </w:rPr>
              <w:t>County</w:t>
            </w:r>
            <w:r>
              <w:rPr>
                <w:spacing w:val="-10"/>
                <w:sz w:val="21"/>
              </w:rPr>
              <w:t xml:space="preserve"> </w:t>
            </w:r>
            <w:r>
              <w:rPr>
                <w:spacing w:val="-4"/>
                <w:sz w:val="21"/>
              </w:rPr>
              <w:t>(KY)</w:t>
            </w:r>
          </w:p>
        </w:tc>
        <w:tc>
          <w:tcPr>
            <w:tcW w:w="1029" w:type="dxa"/>
            <w:gridSpan w:val="2"/>
          </w:tcPr>
          <w:p w:rsidR="003F5784" w14:paraId="5E64B9B3" w14:textId="77777777">
            <w:pPr>
              <w:pStyle w:val="TableParagraph"/>
              <w:ind w:left="104" w:right="141"/>
              <w:jc w:val="center"/>
              <w:rPr>
                <w:sz w:val="21"/>
              </w:rPr>
            </w:pPr>
            <w:r>
              <w:rPr>
                <w:spacing w:val="-5"/>
                <w:sz w:val="21"/>
              </w:rPr>
              <w:t>30</w:t>
            </w:r>
          </w:p>
        </w:tc>
        <w:tc>
          <w:tcPr>
            <w:tcW w:w="1440" w:type="dxa"/>
            <w:gridSpan w:val="2"/>
          </w:tcPr>
          <w:p w:rsidR="003F5784" w14:paraId="5934F772" w14:textId="77777777">
            <w:pPr>
              <w:pStyle w:val="TableParagraph"/>
              <w:ind w:left="159" w:right="112"/>
              <w:jc w:val="center"/>
              <w:rPr>
                <w:sz w:val="21"/>
              </w:rPr>
            </w:pPr>
            <w:r>
              <w:rPr>
                <w:spacing w:val="-2"/>
                <w:sz w:val="21"/>
              </w:rPr>
              <w:t>100.00</w:t>
            </w:r>
          </w:p>
        </w:tc>
        <w:tc>
          <w:tcPr>
            <w:tcW w:w="1350" w:type="dxa"/>
          </w:tcPr>
          <w:p w:rsidR="003F5784" w14:paraId="6005AE13" w14:textId="77777777">
            <w:pPr>
              <w:pStyle w:val="TableParagraph"/>
              <w:ind w:right="386"/>
              <w:rPr>
                <w:sz w:val="21"/>
              </w:rPr>
            </w:pPr>
            <w:r>
              <w:rPr>
                <w:spacing w:val="-2"/>
                <w:sz w:val="21"/>
              </w:rPr>
              <w:t>100.00</w:t>
            </w:r>
          </w:p>
        </w:tc>
        <w:tc>
          <w:tcPr>
            <w:tcW w:w="1080" w:type="dxa"/>
            <w:gridSpan w:val="3"/>
          </w:tcPr>
          <w:p w:rsidR="003F5784" w14:paraId="54F3EAB0" w14:textId="77777777">
            <w:pPr>
              <w:pStyle w:val="TableParagraph"/>
              <w:ind w:right="462"/>
              <w:rPr>
                <w:sz w:val="21"/>
              </w:rPr>
            </w:pPr>
            <w:r>
              <w:rPr>
                <w:spacing w:val="-2"/>
                <w:sz w:val="21"/>
              </w:rPr>
              <w:t>1,100</w:t>
            </w:r>
          </w:p>
        </w:tc>
        <w:tc>
          <w:tcPr>
            <w:tcW w:w="900" w:type="dxa"/>
            <w:gridSpan w:val="2"/>
          </w:tcPr>
          <w:p w:rsidR="003F5784" w14:paraId="2C7F4F56" w14:textId="77777777">
            <w:pPr>
              <w:pStyle w:val="TableParagraph"/>
              <w:ind w:left="463"/>
              <w:jc w:val="left"/>
              <w:rPr>
                <w:sz w:val="21"/>
              </w:rPr>
            </w:pPr>
            <w:r>
              <w:rPr>
                <w:spacing w:val="-4"/>
                <w:sz w:val="21"/>
              </w:rPr>
              <w:t>1.46</w:t>
            </w:r>
          </w:p>
        </w:tc>
        <w:tc>
          <w:tcPr>
            <w:tcW w:w="1080" w:type="dxa"/>
          </w:tcPr>
          <w:p w:rsidR="003F5784" w14:paraId="2B135136" w14:textId="77777777">
            <w:pPr>
              <w:pStyle w:val="TableParagraph"/>
              <w:ind w:right="22"/>
              <w:jc w:val="center"/>
              <w:rPr>
                <w:sz w:val="21"/>
              </w:rPr>
            </w:pPr>
            <w:r>
              <w:rPr>
                <w:spacing w:val="-2"/>
                <w:sz w:val="21"/>
              </w:rPr>
              <w:t>91.05</w:t>
            </w:r>
          </w:p>
        </w:tc>
        <w:tc>
          <w:tcPr>
            <w:tcW w:w="1170" w:type="dxa"/>
            <w:gridSpan w:val="3"/>
          </w:tcPr>
          <w:p w:rsidR="003F5784" w14:paraId="1F1F5C96" w14:textId="77777777">
            <w:pPr>
              <w:pStyle w:val="TableParagraph"/>
              <w:ind w:right="118"/>
              <w:rPr>
                <w:sz w:val="21"/>
              </w:rPr>
            </w:pPr>
            <w:r>
              <w:rPr>
                <w:spacing w:val="-2"/>
                <w:sz w:val="21"/>
              </w:rPr>
              <w:t>15.00</w:t>
            </w:r>
          </w:p>
        </w:tc>
      </w:tr>
      <w:tr w14:paraId="0F1969BC"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6B9CC078" w14:textId="77777777">
            <w:pPr>
              <w:pStyle w:val="TableParagraph"/>
              <w:ind w:left="120"/>
              <w:jc w:val="left"/>
              <w:rPr>
                <w:sz w:val="21"/>
              </w:rPr>
            </w:pPr>
            <w:r>
              <w:rPr>
                <w:spacing w:val="-2"/>
                <w:sz w:val="21"/>
              </w:rPr>
              <w:t>Los</w:t>
            </w:r>
            <w:r>
              <w:rPr>
                <w:spacing w:val="-10"/>
                <w:sz w:val="21"/>
              </w:rPr>
              <w:t xml:space="preserve"> </w:t>
            </w:r>
            <w:r>
              <w:rPr>
                <w:spacing w:val="-2"/>
                <w:sz w:val="21"/>
              </w:rPr>
              <w:t>Angeles</w:t>
            </w:r>
          </w:p>
        </w:tc>
        <w:tc>
          <w:tcPr>
            <w:tcW w:w="1029" w:type="dxa"/>
            <w:gridSpan w:val="2"/>
          </w:tcPr>
          <w:p w:rsidR="003F5784" w14:paraId="7790A6D0" w14:textId="77777777">
            <w:pPr>
              <w:pStyle w:val="TableParagraph"/>
              <w:ind w:left="104" w:right="141"/>
              <w:jc w:val="center"/>
              <w:rPr>
                <w:sz w:val="21"/>
              </w:rPr>
            </w:pPr>
            <w:r>
              <w:rPr>
                <w:spacing w:val="-5"/>
                <w:sz w:val="21"/>
              </w:rPr>
              <w:t>60</w:t>
            </w:r>
          </w:p>
        </w:tc>
        <w:tc>
          <w:tcPr>
            <w:tcW w:w="1440" w:type="dxa"/>
            <w:gridSpan w:val="2"/>
          </w:tcPr>
          <w:p w:rsidR="003F5784" w14:paraId="035C7712" w14:textId="77777777">
            <w:pPr>
              <w:pStyle w:val="TableParagraph"/>
              <w:ind w:left="159" w:right="112"/>
              <w:jc w:val="center"/>
              <w:rPr>
                <w:sz w:val="21"/>
              </w:rPr>
            </w:pPr>
            <w:r>
              <w:rPr>
                <w:spacing w:val="-2"/>
                <w:sz w:val="21"/>
              </w:rPr>
              <w:t>100.00</w:t>
            </w:r>
          </w:p>
        </w:tc>
        <w:tc>
          <w:tcPr>
            <w:tcW w:w="1350" w:type="dxa"/>
          </w:tcPr>
          <w:p w:rsidR="003F5784" w14:paraId="0D50AA9C" w14:textId="77777777">
            <w:pPr>
              <w:pStyle w:val="TableParagraph"/>
              <w:ind w:right="386"/>
              <w:rPr>
                <w:sz w:val="21"/>
              </w:rPr>
            </w:pPr>
            <w:r>
              <w:rPr>
                <w:spacing w:val="-2"/>
                <w:sz w:val="21"/>
              </w:rPr>
              <w:t>100.00</w:t>
            </w:r>
          </w:p>
        </w:tc>
        <w:tc>
          <w:tcPr>
            <w:tcW w:w="1080" w:type="dxa"/>
            <w:gridSpan w:val="3"/>
          </w:tcPr>
          <w:p w:rsidR="003F5784" w14:paraId="6AADD792" w14:textId="77777777">
            <w:pPr>
              <w:pStyle w:val="TableParagraph"/>
              <w:ind w:right="462"/>
              <w:rPr>
                <w:sz w:val="21"/>
              </w:rPr>
            </w:pPr>
            <w:r>
              <w:rPr>
                <w:spacing w:val="-2"/>
                <w:sz w:val="21"/>
              </w:rPr>
              <w:t>1,600</w:t>
            </w:r>
          </w:p>
        </w:tc>
        <w:tc>
          <w:tcPr>
            <w:tcW w:w="900" w:type="dxa"/>
            <w:gridSpan w:val="2"/>
          </w:tcPr>
          <w:p w:rsidR="003F5784" w14:paraId="2A33DF05" w14:textId="77777777">
            <w:pPr>
              <w:pStyle w:val="TableParagraph"/>
              <w:ind w:left="463"/>
              <w:jc w:val="left"/>
              <w:rPr>
                <w:sz w:val="21"/>
              </w:rPr>
            </w:pPr>
            <w:r>
              <w:rPr>
                <w:spacing w:val="-4"/>
                <w:sz w:val="21"/>
              </w:rPr>
              <w:t>2.33</w:t>
            </w:r>
          </w:p>
        </w:tc>
        <w:tc>
          <w:tcPr>
            <w:tcW w:w="1080" w:type="dxa"/>
          </w:tcPr>
          <w:p w:rsidR="003F5784" w14:paraId="22FF9AA2" w14:textId="77777777">
            <w:pPr>
              <w:pStyle w:val="TableParagraph"/>
              <w:ind w:right="22"/>
              <w:jc w:val="center"/>
              <w:rPr>
                <w:sz w:val="21"/>
              </w:rPr>
            </w:pPr>
            <w:r>
              <w:rPr>
                <w:spacing w:val="-2"/>
                <w:sz w:val="21"/>
              </w:rPr>
              <w:t>88.71</w:t>
            </w:r>
          </w:p>
        </w:tc>
        <w:tc>
          <w:tcPr>
            <w:tcW w:w="1170" w:type="dxa"/>
            <w:gridSpan w:val="3"/>
          </w:tcPr>
          <w:p w:rsidR="003F5784" w14:paraId="42DC0E32" w14:textId="77777777">
            <w:pPr>
              <w:pStyle w:val="TableParagraph"/>
              <w:ind w:right="118"/>
              <w:rPr>
                <w:sz w:val="21"/>
              </w:rPr>
            </w:pPr>
            <w:r>
              <w:rPr>
                <w:spacing w:val="-4"/>
                <w:sz w:val="21"/>
              </w:rPr>
              <w:t>9.72</w:t>
            </w:r>
          </w:p>
        </w:tc>
      </w:tr>
      <w:tr w14:paraId="78027EAB"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5CFA1568" w14:textId="77777777">
            <w:pPr>
              <w:pStyle w:val="TableParagraph"/>
              <w:ind w:left="120"/>
              <w:jc w:val="left"/>
              <w:rPr>
                <w:sz w:val="21"/>
              </w:rPr>
            </w:pPr>
            <w:r>
              <w:rPr>
                <w:spacing w:val="-2"/>
                <w:sz w:val="21"/>
              </w:rPr>
              <w:t>Miami</w:t>
            </w:r>
          </w:p>
        </w:tc>
        <w:tc>
          <w:tcPr>
            <w:tcW w:w="1029" w:type="dxa"/>
            <w:gridSpan w:val="2"/>
          </w:tcPr>
          <w:p w:rsidR="003F5784" w14:paraId="011414E5" w14:textId="77777777">
            <w:pPr>
              <w:pStyle w:val="TableParagraph"/>
              <w:ind w:left="104" w:right="141"/>
              <w:jc w:val="center"/>
              <w:rPr>
                <w:sz w:val="21"/>
              </w:rPr>
            </w:pPr>
            <w:r>
              <w:rPr>
                <w:spacing w:val="-5"/>
                <w:sz w:val="21"/>
              </w:rPr>
              <w:t>70</w:t>
            </w:r>
          </w:p>
        </w:tc>
        <w:tc>
          <w:tcPr>
            <w:tcW w:w="1440" w:type="dxa"/>
            <w:gridSpan w:val="2"/>
          </w:tcPr>
          <w:p w:rsidR="003F5784" w14:paraId="7A724E0F" w14:textId="77777777">
            <w:pPr>
              <w:pStyle w:val="TableParagraph"/>
              <w:ind w:left="159" w:right="112"/>
              <w:jc w:val="center"/>
              <w:rPr>
                <w:sz w:val="21"/>
              </w:rPr>
            </w:pPr>
            <w:r>
              <w:rPr>
                <w:spacing w:val="-2"/>
                <w:sz w:val="21"/>
              </w:rPr>
              <w:t>100.00</w:t>
            </w:r>
          </w:p>
        </w:tc>
        <w:tc>
          <w:tcPr>
            <w:tcW w:w="1350" w:type="dxa"/>
          </w:tcPr>
          <w:p w:rsidR="003F5784" w14:paraId="0E29907C" w14:textId="77777777">
            <w:pPr>
              <w:pStyle w:val="TableParagraph"/>
              <w:ind w:right="386"/>
              <w:rPr>
                <w:sz w:val="21"/>
              </w:rPr>
            </w:pPr>
            <w:r>
              <w:rPr>
                <w:spacing w:val="-2"/>
                <w:sz w:val="21"/>
              </w:rPr>
              <w:t>100.00</w:t>
            </w:r>
          </w:p>
        </w:tc>
        <w:tc>
          <w:tcPr>
            <w:tcW w:w="1080" w:type="dxa"/>
            <w:gridSpan w:val="3"/>
          </w:tcPr>
          <w:p w:rsidR="003F5784" w14:paraId="6B98ADCD" w14:textId="77777777">
            <w:pPr>
              <w:pStyle w:val="TableParagraph"/>
              <w:ind w:right="462"/>
              <w:rPr>
                <w:sz w:val="21"/>
              </w:rPr>
            </w:pPr>
            <w:r>
              <w:rPr>
                <w:spacing w:val="-2"/>
                <w:sz w:val="21"/>
              </w:rPr>
              <w:t>1,600</w:t>
            </w:r>
          </w:p>
        </w:tc>
        <w:tc>
          <w:tcPr>
            <w:tcW w:w="900" w:type="dxa"/>
            <w:gridSpan w:val="2"/>
          </w:tcPr>
          <w:p w:rsidR="003F5784" w14:paraId="5B50799F" w14:textId="77777777">
            <w:pPr>
              <w:pStyle w:val="TableParagraph"/>
              <w:ind w:left="463"/>
              <w:jc w:val="left"/>
              <w:rPr>
                <w:sz w:val="21"/>
              </w:rPr>
            </w:pPr>
            <w:r>
              <w:rPr>
                <w:spacing w:val="-4"/>
                <w:sz w:val="21"/>
              </w:rPr>
              <w:t>3.57</w:t>
            </w:r>
          </w:p>
        </w:tc>
        <w:tc>
          <w:tcPr>
            <w:tcW w:w="1080" w:type="dxa"/>
          </w:tcPr>
          <w:p w:rsidR="003F5784" w14:paraId="3956B52F" w14:textId="77777777">
            <w:pPr>
              <w:pStyle w:val="TableParagraph"/>
              <w:ind w:right="22"/>
              <w:jc w:val="center"/>
              <w:rPr>
                <w:sz w:val="21"/>
              </w:rPr>
            </w:pPr>
            <w:r>
              <w:rPr>
                <w:spacing w:val="-2"/>
                <w:sz w:val="21"/>
              </w:rPr>
              <w:t>91.25</w:t>
            </w:r>
          </w:p>
        </w:tc>
        <w:tc>
          <w:tcPr>
            <w:tcW w:w="1170" w:type="dxa"/>
            <w:gridSpan w:val="3"/>
          </w:tcPr>
          <w:p w:rsidR="003F5784" w14:paraId="4E719F8B" w14:textId="77777777">
            <w:pPr>
              <w:pStyle w:val="TableParagraph"/>
              <w:ind w:right="118"/>
              <w:rPr>
                <w:sz w:val="21"/>
              </w:rPr>
            </w:pPr>
            <w:r>
              <w:rPr>
                <w:spacing w:val="-2"/>
                <w:sz w:val="21"/>
              </w:rPr>
              <w:t>18.20</w:t>
            </w:r>
          </w:p>
        </w:tc>
      </w:tr>
      <w:tr w14:paraId="1CE7522F"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12C26AE6" w14:textId="77777777">
            <w:pPr>
              <w:pStyle w:val="TableParagraph"/>
              <w:ind w:left="120"/>
              <w:jc w:val="left"/>
              <w:rPr>
                <w:sz w:val="21"/>
              </w:rPr>
            </w:pPr>
            <w:r>
              <w:rPr>
                <w:spacing w:val="-2"/>
                <w:sz w:val="21"/>
              </w:rPr>
              <w:t>Milwaukee</w:t>
            </w:r>
          </w:p>
        </w:tc>
        <w:tc>
          <w:tcPr>
            <w:tcW w:w="1029" w:type="dxa"/>
            <w:gridSpan w:val="2"/>
          </w:tcPr>
          <w:p w:rsidR="003F5784" w14:paraId="478BA7EF" w14:textId="77777777">
            <w:pPr>
              <w:pStyle w:val="TableParagraph"/>
              <w:ind w:left="104" w:right="141"/>
              <w:jc w:val="center"/>
              <w:rPr>
                <w:sz w:val="21"/>
              </w:rPr>
            </w:pPr>
            <w:r>
              <w:rPr>
                <w:spacing w:val="-5"/>
                <w:sz w:val="21"/>
              </w:rPr>
              <w:t>40</w:t>
            </w:r>
          </w:p>
        </w:tc>
        <w:tc>
          <w:tcPr>
            <w:tcW w:w="1440" w:type="dxa"/>
            <w:gridSpan w:val="2"/>
          </w:tcPr>
          <w:p w:rsidR="003F5784" w14:paraId="53B6665F" w14:textId="77777777">
            <w:pPr>
              <w:pStyle w:val="TableParagraph"/>
              <w:ind w:left="159" w:right="112"/>
              <w:jc w:val="center"/>
              <w:rPr>
                <w:sz w:val="21"/>
              </w:rPr>
            </w:pPr>
            <w:r>
              <w:rPr>
                <w:spacing w:val="-2"/>
                <w:sz w:val="21"/>
              </w:rPr>
              <w:t>100.00</w:t>
            </w:r>
          </w:p>
        </w:tc>
        <w:tc>
          <w:tcPr>
            <w:tcW w:w="1350" w:type="dxa"/>
          </w:tcPr>
          <w:p w:rsidR="003F5784" w14:paraId="17822F98" w14:textId="77777777">
            <w:pPr>
              <w:pStyle w:val="TableParagraph"/>
              <w:ind w:right="386"/>
              <w:rPr>
                <w:sz w:val="21"/>
              </w:rPr>
            </w:pPr>
            <w:r>
              <w:rPr>
                <w:spacing w:val="-2"/>
                <w:sz w:val="21"/>
              </w:rPr>
              <w:t>100.00</w:t>
            </w:r>
          </w:p>
        </w:tc>
        <w:tc>
          <w:tcPr>
            <w:tcW w:w="1080" w:type="dxa"/>
            <w:gridSpan w:val="3"/>
          </w:tcPr>
          <w:p w:rsidR="003F5784" w14:paraId="78688EF7" w14:textId="77777777">
            <w:pPr>
              <w:pStyle w:val="TableParagraph"/>
              <w:ind w:right="462"/>
              <w:rPr>
                <w:sz w:val="21"/>
              </w:rPr>
            </w:pPr>
            <w:r>
              <w:rPr>
                <w:spacing w:val="-2"/>
                <w:sz w:val="21"/>
              </w:rPr>
              <w:t>1,100</w:t>
            </w:r>
          </w:p>
        </w:tc>
        <w:tc>
          <w:tcPr>
            <w:tcW w:w="900" w:type="dxa"/>
            <w:gridSpan w:val="2"/>
          </w:tcPr>
          <w:p w:rsidR="003F5784" w14:paraId="5E419523" w14:textId="77777777">
            <w:pPr>
              <w:pStyle w:val="TableParagraph"/>
              <w:ind w:left="463"/>
              <w:jc w:val="left"/>
              <w:rPr>
                <w:sz w:val="21"/>
              </w:rPr>
            </w:pPr>
            <w:r>
              <w:rPr>
                <w:spacing w:val="-4"/>
                <w:sz w:val="21"/>
              </w:rPr>
              <w:t>2.12</w:t>
            </w:r>
          </w:p>
        </w:tc>
        <w:tc>
          <w:tcPr>
            <w:tcW w:w="1080" w:type="dxa"/>
          </w:tcPr>
          <w:p w:rsidR="003F5784" w14:paraId="15033FDA" w14:textId="77777777">
            <w:pPr>
              <w:pStyle w:val="TableParagraph"/>
              <w:ind w:right="22"/>
              <w:jc w:val="center"/>
              <w:rPr>
                <w:sz w:val="21"/>
              </w:rPr>
            </w:pPr>
            <w:r>
              <w:rPr>
                <w:spacing w:val="-2"/>
                <w:sz w:val="21"/>
              </w:rPr>
              <w:t>80.38</w:t>
            </w:r>
          </w:p>
        </w:tc>
        <w:tc>
          <w:tcPr>
            <w:tcW w:w="1170" w:type="dxa"/>
            <w:gridSpan w:val="3"/>
          </w:tcPr>
          <w:p w:rsidR="003F5784" w14:paraId="38B54365" w14:textId="77777777">
            <w:pPr>
              <w:pStyle w:val="TableParagraph"/>
              <w:ind w:right="118"/>
              <w:rPr>
                <w:sz w:val="21"/>
              </w:rPr>
            </w:pPr>
            <w:r>
              <w:rPr>
                <w:spacing w:val="-2"/>
                <w:sz w:val="21"/>
              </w:rPr>
              <w:t>23.55</w:t>
            </w:r>
          </w:p>
        </w:tc>
      </w:tr>
      <w:tr w14:paraId="1F233DAE"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71489C67" w14:textId="77777777">
            <w:pPr>
              <w:pStyle w:val="TableParagraph"/>
              <w:ind w:left="120"/>
              <w:jc w:val="left"/>
              <w:rPr>
                <w:sz w:val="21"/>
              </w:rPr>
            </w:pPr>
            <w:r>
              <w:rPr>
                <w:spacing w:val="-4"/>
                <w:sz w:val="21"/>
              </w:rPr>
              <w:t>New</w:t>
            </w:r>
            <w:r>
              <w:rPr>
                <w:spacing w:val="-10"/>
                <w:sz w:val="21"/>
              </w:rPr>
              <w:t xml:space="preserve"> </w:t>
            </w:r>
            <w:r>
              <w:rPr>
                <w:spacing w:val="-4"/>
                <w:sz w:val="21"/>
              </w:rPr>
              <w:t>York</w:t>
            </w:r>
            <w:r>
              <w:rPr>
                <w:spacing w:val="-2"/>
                <w:sz w:val="21"/>
              </w:rPr>
              <w:t xml:space="preserve"> </w:t>
            </w:r>
            <w:r>
              <w:rPr>
                <w:spacing w:val="-4"/>
                <w:sz w:val="21"/>
              </w:rPr>
              <w:t>City</w:t>
            </w:r>
          </w:p>
        </w:tc>
        <w:tc>
          <w:tcPr>
            <w:tcW w:w="1029" w:type="dxa"/>
            <w:gridSpan w:val="2"/>
          </w:tcPr>
          <w:p w:rsidR="003F5784" w14:paraId="09A518A0" w14:textId="77777777">
            <w:pPr>
              <w:pStyle w:val="TableParagraph"/>
              <w:ind w:left="104" w:right="141"/>
              <w:jc w:val="center"/>
              <w:rPr>
                <w:sz w:val="21"/>
              </w:rPr>
            </w:pPr>
            <w:r>
              <w:rPr>
                <w:spacing w:val="-5"/>
                <w:sz w:val="21"/>
              </w:rPr>
              <w:t>70</w:t>
            </w:r>
          </w:p>
        </w:tc>
        <w:tc>
          <w:tcPr>
            <w:tcW w:w="1440" w:type="dxa"/>
            <w:gridSpan w:val="2"/>
          </w:tcPr>
          <w:p w:rsidR="003F5784" w14:paraId="1DAE79AF" w14:textId="77777777">
            <w:pPr>
              <w:pStyle w:val="TableParagraph"/>
              <w:ind w:left="159" w:right="8"/>
              <w:jc w:val="center"/>
              <w:rPr>
                <w:sz w:val="21"/>
              </w:rPr>
            </w:pPr>
            <w:r>
              <w:rPr>
                <w:spacing w:val="-2"/>
                <w:sz w:val="21"/>
              </w:rPr>
              <w:t>96.75</w:t>
            </w:r>
          </w:p>
        </w:tc>
        <w:tc>
          <w:tcPr>
            <w:tcW w:w="1350" w:type="dxa"/>
          </w:tcPr>
          <w:p w:rsidR="003F5784" w14:paraId="497EF3F5" w14:textId="77777777">
            <w:pPr>
              <w:pStyle w:val="TableParagraph"/>
              <w:ind w:right="386"/>
              <w:rPr>
                <w:sz w:val="21"/>
              </w:rPr>
            </w:pPr>
            <w:r>
              <w:rPr>
                <w:spacing w:val="-2"/>
                <w:sz w:val="21"/>
              </w:rPr>
              <w:t>95.00</w:t>
            </w:r>
          </w:p>
        </w:tc>
        <w:tc>
          <w:tcPr>
            <w:tcW w:w="1080" w:type="dxa"/>
            <w:gridSpan w:val="3"/>
          </w:tcPr>
          <w:p w:rsidR="003F5784" w14:paraId="2661DF7D" w14:textId="77777777">
            <w:pPr>
              <w:pStyle w:val="TableParagraph"/>
              <w:ind w:right="462"/>
              <w:rPr>
                <w:sz w:val="21"/>
              </w:rPr>
            </w:pPr>
            <w:r>
              <w:rPr>
                <w:spacing w:val="-2"/>
                <w:sz w:val="21"/>
              </w:rPr>
              <w:t>1,600</w:t>
            </w:r>
          </w:p>
        </w:tc>
        <w:tc>
          <w:tcPr>
            <w:tcW w:w="900" w:type="dxa"/>
            <w:gridSpan w:val="2"/>
          </w:tcPr>
          <w:p w:rsidR="003F5784" w14:paraId="13C77DF4" w14:textId="77777777">
            <w:pPr>
              <w:pStyle w:val="TableParagraph"/>
              <w:ind w:left="463"/>
              <w:jc w:val="left"/>
              <w:rPr>
                <w:sz w:val="21"/>
              </w:rPr>
            </w:pPr>
            <w:r>
              <w:rPr>
                <w:spacing w:val="-4"/>
                <w:sz w:val="21"/>
              </w:rPr>
              <w:t>0.69</w:t>
            </w:r>
          </w:p>
        </w:tc>
        <w:tc>
          <w:tcPr>
            <w:tcW w:w="1080" w:type="dxa"/>
          </w:tcPr>
          <w:p w:rsidR="003F5784" w14:paraId="6737AE50" w14:textId="77777777">
            <w:pPr>
              <w:pStyle w:val="TableParagraph"/>
              <w:ind w:right="22"/>
              <w:jc w:val="center"/>
              <w:rPr>
                <w:sz w:val="21"/>
              </w:rPr>
            </w:pPr>
            <w:r>
              <w:rPr>
                <w:spacing w:val="-2"/>
                <w:sz w:val="21"/>
              </w:rPr>
              <w:t>83.59</w:t>
            </w:r>
          </w:p>
        </w:tc>
        <w:tc>
          <w:tcPr>
            <w:tcW w:w="1170" w:type="dxa"/>
            <w:gridSpan w:val="3"/>
          </w:tcPr>
          <w:p w:rsidR="003F5784" w14:paraId="5E272780" w14:textId="77777777">
            <w:pPr>
              <w:pStyle w:val="TableParagraph"/>
              <w:ind w:right="118"/>
              <w:rPr>
                <w:sz w:val="21"/>
              </w:rPr>
            </w:pPr>
            <w:r>
              <w:rPr>
                <w:spacing w:val="-2"/>
                <w:sz w:val="21"/>
              </w:rPr>
              <w:t>25.12</w:t>
            </w:r>
          </w:p>
        </w:tc>
      </w:tr>
      <w:tr w14:paraId="324347C4"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2602106F" w14:textId="77777777">
            <w:pPr>
              <w:pStyle w:val="TableParagraph"/>
              <w:ind w:left="120"/>
              <w:jc w:val="left"/>
              <w:rPr>
                <w:sz w:val="21"/>
              </w:rPr>
            </w:pPr>
            <w:r>
              <w:rPr>
                <w:spacing w:val="-2"/>
                <w:sz w:val="21"/>
              </w:rPr>
              <w:t>Philadelphia</w:t>
            </w:r>
          </w:p>
        </w:tc>
        <w:tc>
          <w:tcPr>
            <w:tcW w:w="1029" w:type="dxa"/>
            <w:gridSpan w:val="2"/>
          </w:tcPr>
          <w:p w:rsidR="003F5784" w14:paraId="383D2C18" w14:textId="77777777">
            <w:pPr>
              <w:pStyle w:val="TableParagraph"/>
              <w:ind w:left="104" w:right="141"/>
              <w:jc w:val="center"/>
              <w:rPr>
                <w:sz w:val="21"/>
              </w:rPr>
            </w:pPr>
            <w:r>
              <w:rPr>
                <w:spacing w:val="-5"/>
                <w:sz w:val="21"/>
              </w:rPr>
              <w:t>40</w:t>
            </w:r>
          </w:p>
        </w:tc>
        <w:tc>
          <w:tcPr>
            <w:tcW w:w="1440" w:type="dxa"/>
            <w:gridSpan w:val="2"/>
          </w:tcPr>
          <w:p w:rsidR="003F5784" w14:paraId="1DD17049" w14:textId="77777777">
            <w:pPr>
              <w:pStyle w:val="TableParagraph"/>
              <w:ind w:left="159" w:right="8"/>
              <w:jc w:val="center"/>
              <w:rPr>
                <w:sz w:val="21"/>
              </w:rPr>
            </w:pPr>
            <w:r>
              <w:rPr>
                <w:spacing w:val="-2"/>
                <w:sz w:val="21"/>
              </w:rPr>
              <w:t>91.14</w:t>
            </w:r>
          </w:p>
        </w:tc>
        <w:tc>
          <w:tcPr>
            <w:tcW w:w="1350" w:type="dxa"/>
          </w:tcPr>
          <w:p w:rsidR="003F5784" w14:paraId="06CD52A6" w14:textId="77777777">
            <w:pPr>
              <w:pStyle w:val="TableParagraph"/>
              <w:ind w:right="386"/>
              <w:rPr>
                <w:sz w:val="21"/>
              </w:rPr>
            </w:pPr>
            <w:r>
              <w:rPr>
                <w:spacing w:val="-2"/>
                <w:sz w:val="21"/>
              </w:rPr>
              <w:t>98.36</w:t>
            </w:r>
          </w:p>
        </w:tc>
        <w:tc>
          <w:tcPr>
            <w:tcW w:w="1080" w:type="dxa"/>
            <w:gridSpan w:val="3"/>
          </w:tcPr>
          <w:p w:rsidR="003F5784" w14:paraId="0DE871A4" w14:textId="77777777">
            <w:pPr>
              <w:pStyle w:val="TableParagraph"/>
              <w:ind w:right="462"/>
              <w:rPr>
                <w:sz w:val="21"/>
              </w:rPr>
            </w:pPr>
            <w:r>
              <w:rPr>
                <w:spacing w:val="-2"/>
                <w:sz w:val="21"/>
              </w:rPr>
              <w:t>1,000</w:t>
            </w:r>
          </w:p>
        </w:tc>
        <w:tc>
          <w:tcPr>
            <w:tcW w:w="900" w:type="dxa"/>
            <w:gridSpan w:val="2"/>
          </w:tcPr>
          <w:p w:rsidR="003F5784" w14:paraId="295C510F" w14:textId="77777777">
            <w:pPr>
              <w:pStyle w:val="TableParagraph"/>
              <w:ind w:left="463"/>
              <w:jc w:val="left"/>
              <w:rPr>
                <w:sz w:val="21"/>
              </w:rPr>
            </w:pPr>
            <w:r>
              <w:rPr>
                <w:spacing w:val="-4"/>
                <w:sz w:val="21"/>
              </w:rPr>
              <w:t>4.47</w:t>
            </w:r>
          </w:p>
        </w:tc>
        <w:tc>
          <w:tcPr>
            <w:tcW w:w="1080" w:type="dxa"/>
          </w:tcPr>
          <w:p w:rsidR="003F5784" w14:paraId="559E73EE" w14:textId="77777777">
            <w:pPr>
              <w:pStyle w:val="TableParagraph"/>
              <w:ind w:right="22"/>
              <w:jc w:val="center"/>
              <w:rPr>
                <w:sz w:val="21"/>
              </w:rPr>
            </w:pPr>
            <w:r>
              <w:rPr>
                <w:spacing w:val="-2"/>
                <w:sz w:val="21"/>
              </w:rPr>
              <w:t>86.81</w:t>
            </w:r>
          </w:p>
        </w:tc>
        <w:tc>
          <w:tcPr>
            <w:tcW w:w="1170" w:type="dxa"/>
            <w:gridSpan w:val="3"/>
          </w:tcPr>
          <w:p w:rsidR="003F5784" w14:paraId="3AD2563D" w14:textId="77777777">
            <w:pPr>
              <w:pStyle w:val="TableParagraph"/>
              <w:ind w:right="118"/>
              <w:rPr>
                <w:sz w:val="21"/>
              </w:rPr>
            </w:pPr>
            <w:r>
              <w:rPr>
                <w:spacing w:val="-2"/>
                <w:sz w:val="21"/>
              </w:rPr>
              <w:t>20.70</w:t>
            </w:r>
          </w:p>
        </w:tc>
      </w:tr>
      <w:tr w14:paraId="12EBDB1A" w14:textId="77777777" w:rsidTr="00A35A43">
        <w:tblPrEx>
          <w:tblW w:w="0" w:type="auto"/>
          <w:tblInd w:w="552" w:type="dxa"/>
          <w:tblLayout w:type="fixed"/>
          <w:tblCellMar>
            <w:left w:w="0" w:type="dxa"/>
            <w:right w:w="0" w:type="dxa"/>
          </w:tblCellMar>
          <w:tblLook w:val="01E0"/>
        </w:tblPrEx>
        <w:trPr>
          <w:trHeight w:val="289"/>
        </w:trPr>
        <w:tc>
          <w:tcPr>
            <w:tcW w:w="2919" w:type="dxa"/>
            <w:tcBorders>
              <w:bottom w:val="single" w:sz="18" w:space="0" w:color="800000"/>
            </w:tcBorders>
          </w:tcPr>
          <w:p w:rsidR="003F5784" w14:paraId="5A24E95E" w14:textId="77777777">
            <w:pPr>
              <w:pStyle w:val="TableParagraph"/>
              <w:ind w:left="120"/>
              <w:jc w:val="left"/>
              <w:rPr>
                <w:sz w:val="21"/>
              </w:rPr>
            </w:pPr>
            <w:r>
              <w:rPr>
                <w:sz w:val="21"/>
              </w:rPr>
              <w:t>San</w:t>
            </w:r>
            <w:r>
              <w:rPr>
                <w:spacing w:val="-5"/>
                <w:sz w:val="21"/>
              </w:rPr>
              <w:t xml:space="preserve"> </w:t>
            </w:r>
            <w:r>
              <w:rPr>
                <w:spacing w:val="-2"/>
                <w:sz w:val="21"/>
              </w:rPr>
              <w:t>Diego</w:t>
            </w:r>
          </w:p>
        </w:tc>
        <w:tc>
          <w:tcPr>
            <w:tcW w:w="1029" w:type="dxa"/>
            <w:gridSpan w:val="2"/>
            <w:tcBorders>
              <w:bottom w:val="single" w:sz="18" w:space="0" w:color="800000"/>
            </w:tcBorders>
          </w:tcPr>
          <w:p w:rsidR="003F5784" w14:paraId="551999B5" w14:textId="77777777">
            <w:pPr>
              <w:pStyle w:val="TableParagraph"/>
              <w:ind w:left="104" w:right="141"/>
              <w:jc w:val="center"/>
              <w:rPr>
                <w:sz w:val="21"/>
              </w:rPr>
            </w:pPr>
            <w:r>
              <w:rPr>
                <w:spacing w:val="-5"/>
                <w:sz w:val="21"/>
              </w:rPr>
              <w:t>40</w:t>
            </w:r>
          </w:p>
        </w:tc>
        <w:tc>
          <w:tcPr>
            <w:tcW w:w="1440" w:type="dxa"/>
            <w:gridSpan w:val="2"/>
            <w:tcBorders>
              <w:bottom w:val="single" w:sz="18" w:space="0" w:color="800000"/>
            </w:tcBorders>
          </w:tcPr>
          <w:p w:rsidR="003F5784" w14:paraId="522A976F" w14:textId="77777777">
            <w:pPr>
              <w:pStyle w:val="TableParagraph"/>
              <w:ind w:left="159" w:right="112"/>
              <w:jc w:val="center"/>
              <w:rPr>
                <w:sz w:val="21"/>
              </w:rPr>
            </w:pPr>
            <w:r>
              <w:rPr>
                <w:spacing w:val="-2"/>
                <w:sz w:val="21"/>
              </w:rPr>
              <w:t>100.00</w:t>
            </w:r>
          </w:p>
        </w:tc>
        <w:tc>
          <w:tcPr>
            <w:tcW w:w="1350" w:type="dxa"/>
            <w:tcBorders>
              <w:bottom w:val="single" w:sz="18" w:space="0" w:color="800000"/>
            </w:tcBorders>
          </w:tcPr>
          <w:p w:rsidR="003F5784" w14:paraId="47005FA1" w14:textId="77777777">
            <w:pPr>
              <w:pStyle w:val="TableParagraph"/>
              <w:ind w:right="386"/>
              <w:rPr>
                <w:sz w:val="21"/>
              </w:rPr>
            </w:pPr>
            <w:r>
              <w:rPr>
                <w:spacing w:val="-2"/>
                <w:sz w:val="21"/>
              </w:rPr>
              <w:t>100.00</w:t>
            </w:r>
          </w:p>
        </w:tc>
        <w:tc>
          <w:tcPr>
            <w:tcW w:w="1080" w:type="dxa"/>
            <w:gridSpan w:val="3"/>
            <w:tcBorders>
              <w:bottom w:val="single" w:sz="18" w:space="0" w:color="800000"/>
            </w:tcBorders>
          </w:tcPr>
          <w:p w:rsidR="003F5784" w14:paraId="74618950" w14:textId="77777777">
            <w:pPr>
              <w:pStyle w:val="TableParagraph"/>
              <w:ind w:right="462"/>
              <w:rPr>
                <w:sz w:val="21"/>
              </w:rPr>
            </w:pPr>
            <w:r>
              <w:rPr>
                <w:spacing w:val="-2"/>
                <w:sz w:val="21"/>
              </w:rPr>
              <w:t>1,000</w:t>
            </w:r>
          </w:p>
        </w:tc>
        <w:tc>
          <w:tcPr>
            <w:tcW w:w="900" w:type="dxa"/>
            <w:gridSpan w:val="2"/>
            <w:tcBorders>
              <w:bottom w:val="single" w:sz="18" w:space="0" w:color="800000"/>
            </w:tcBorders>
          </w:tcPr>
          <w:p w:rsidR="003F5784" w14:paraId="5CDDBC7E" w14:textId="77777777">
            <w:pPr>
              <w:pStyle w:val="TableParagraph"/>
              <w:ind w:left="463"/>
              <w:jc w:val="left"/>
              <w:rPr>
                <w:sz w:val="21"/>
              </w:rPr>
            </w:pPr>
            <w:r>
              <w:rPr>
                <w:spacing w:val="-4"/>
                <w:sz w:val="21"/>
              </w:rPr>
              <w:t>1.80</w:t>
            </w:r>
          </w:p>
        </w:tc>
        <w:tc>
          <w:tcPr>
            <w:tcW w:w="1080" w:type="dxa"/>
            <w:tcBorders>
              <w:bottom w:val="single" w:sz="18" w:space="0" w:color="800000"/>
            </w:tcBorders>
          </w:tcPr>
          <w:p w:rsidR="003F5784" w14:paraId="4195267C" w14:textId="77777777">
            <w:pPr>
              <w:pStyle w:val="TableParagraph"/>
              <w:ind w:right="22"/>
              <w:jc w:val="center"/>
              <w:rPr>
                <w:sz w:val="21"/>
              </w:rPr>
            </w:pPr>
            <w:r>
              <w:rPr>
                <w:spacing w:val="-2"/>
                <w:sz w:val="21"/>
              </w:rPr>
              <w:t>85.52</w:t>
            </w:r>
          </w:p>
        </w:tc>
        <w:tc>
          <w:tcPr>
            <w:tcW w:w="1170" w:type="dxa"/>
            <w:gridSpan w:val="3"/>
            <w:tcBorders>
              <w:bottom w:val="single" w:sz="18" w:space="0" w:color="800000"/>
            </w:tcBorders>
          </w:tcPr>
          <w:p w:rsidR="003F5784" w14:paraId="11F22E6E" w14:textId="77777777">
            <w:pPr>
              <w:pStyle w:val="TableParagraph"/>
              <w:ind w:right="118"/>
              <w:rPr>
                <w:sz w:val="21"/>
              </w:rPr>
            </w:pPr>
            <w:r>
              <w:rPr>
                <w:spacing w:val="-2"/>
                <w:sz w:val="21"/>
              </w:rPr>
              <w:t>12.45</w:t>
            </w:r>
          </w:p>
        </w:tc>
      </w:tr>
    </w:tbl>
    <w:p w:rsidR="003F5784" w14:paraId="7D411D34" w14:textId="77777777">
      <w:pPr>
        <w:rPr>
          <w:sz w:val="21"/>
        </w:rPr>
        <w:sectPr>
          <w:pgSz w:w="15840" w:h="12240" w:orient="landscape"/>
          <w:pgMar w:top="480" w:right="440" w:bottom="2040" w:left="460" w:header="284" w:footer="1856" w:gutter="0"/>
          <w:cols w:space="720"/>
        </w:sectPr>
      </w:pPr>
    </w:p>
    <w:p w:rsidR="003F5784" w14:paraId="460A4CE6" w14:textId="77777777">
      <w:pPr>
        <w:pStyle w:val="BodyText"/>
        <w:spacing w:before="5"/>
        <w:rPr>
          <w:sz w:val="9"/>
        </w:rPr>
      </w:pPr>
    </w:p>
    <w:tbl>
      <w:tblPr>
        <w:tblW w:w="0" w:type="auto"/>
        <w:tblInd w:w="552" w:type="dxa"/>
        <w:tblLayout w:type="fixed"/>
        <w:tblCellMar>
          <w:left w:w="0" w:type="dxa"/>
          <w:right w:w="0" w:type="dxa"/>
        </w:tblCellMar>
        <w:tblLook w:val="01E0"/>
      </w:tblPr>
      <w:tblGrid>
        <w:gridCol w:w="3038"/>
        <w:gridCol w:w="1681"/>
        <w:gridCol w:w="39"/>
        <w:gridCol w:w="1311"/>
        <w:gridCol w:w="19"/>
        <w:gridCol w:w="1784"/>
        <w:gridCol w:w="1170"/>
        <w:gridCol w:w="90"/>
        <w:gridCol w:w="872"/>
        <w:gridCol w:w="28"/>
        <w:gridCol w:w="1260"/>
        <w:gridCol w:w="244"/>
        <w:gridCol w:w="1646"/>
      </w:tblGrid>
      <w:tr w14:paraId="6B452F92" w14:textId="77777777" w:rsidTr="00047860">
        <w:tblPrEx>
          <w:tblW w:w="0" w:type="auto"/>
          <w:tblInd w:w="552" w:type="dxa"/>
          <w:tblLayout w:type="fixed"/>
          <w:tblCellMar>
            <w:left w:w="0" w:type="dxa"/>
            <w:right w:w="0" w:type="dxa"/>
          </w:tblCellMar>
          <w:tblLook w:val="01E0"/>
        </w:tblPrEx>
        <w:trPr>
          <w:trHeight w:val="232"/>
        </w:trPr>
        <w:tc>
          <w:tcPr>
            <w:tcW w:w="4758" w:type="dxa"/>
            <w:gridSpan w:val="3"/>
          </w:tcPr>
          <w:p w:rsidR="003F5784" w14:paraId="1434FAE2" w14:textId="77777777">
            <w:pPr>
              <w:pStyle w:val="TableParagraph"/>
              <w:spacing w:before="0"/>
              <w:jc w:val="left"/>
              <w:rPr>
                <w:sz w:val="16"/>
              </w:rPr>
            </w:pPr>
          </w:p>
        </w:tc>
        <w:tc>
          <w:tcPr>
            <w:tcW w:w="1330" w:type="dxa"/>
            <w:gridSpan w:val="2"/>
          </w:tcPr>
          <w:p w:rsidR="003F5784" w14:paraId="4F897615" w14:textId="77777777">
            <w:pPr>
              <w:pStyle w:val="TableParagraph"/>
              <w:spacing w:before="0" w:line="213" w:lineRule="exact"/>
              <w:ind w:right="133"/>
              <w:rPr>
                <w:sz w:val="21"/>
              </w:rPr>
            </w:pPr>
            <w:r>
              <w:rPr>
                <w:sz w:val="21"/>
              </w:rPr>
              <w:t>School</w:t>
            </w:r>
            <w:r>
              <w:rPr>
                <w:spacing w:val="-7"/>
                <w:sz w:val="21"/>
              </w:rPr>
              <w:t xml:space="preserve"> </w:t>
            </w:r>
            <w:r>
              <w:rPr>
                <w:spacing w:val="-2"/>
                <w:sz w:val="21"/>
              </w:rPr>
              <w:t>participation</w:t>
            </w:r>
          </w:p>
        </w:tc>
        <w:tc>
          <w:tcPr>
            <w:tcW w:w="1784" w:type="dxa"/>
          </w:tcPr>
          <w:p w:rsidR="003F5784" w14:paraId="6783F67E" w14:textId="77777777">
            <w:pPr>
              <w:pStyle w:val="TableParagraph"/>
              <w:spacing w:before="0"/>
              <w:jc w:val="left"/>
              <w:rPr>
                <w:sz w:val="16"/>
              </w:rPr>
            </w:pPr>
          </w:p>
        </w:tc>
        <w:tc>
          <w:tcPr>
            <w:tcW w:w="5310" w:type="dxa"/>
            <w:gridSpan w:val="7"/>
            <w:vMerge w:val="restart"/>
          </w:tcPr>
          <w:p w:rsidR="003F5784" w14:paraId="4C942B12" w14:textId="77777777">
            <w:pPr>
              <w:pStyle w:val="TableParagraph"/>
              <w:spacing w:before="0"/>
              <w:jc w:val="left"/>
              <w:rPr>
                <w:sz w:val="20"/>
              </w:rPr>
            </w:pPr>
          </w:p>
        </w:tc>
      </w:tr>
      <w:tr w14:paraId="7225B3F9" w14:textId="77777777" w:rsidTr="00047860">
        <w:tblPrEx>
          <w:tblW w:w="0" w:type="auto"/>
          <w:tblInd w:w="552" w:type="dxa"/>
          <w:tblLayout w:type="fixed"/>
          <w:tblCellMar>
            <w:left w:w="0" w:type="dxa"/>
            <w:right w:w="0" w:type="dxa"/>
          </w:tblCellMar>
          <w:tblLook w:val="01E0"/>
        </w:tblPrEx>
        <w:trPr>
          <w:trHeight w:val="234"/>
        </w:trPr>
        <w:tc>
          <w:tcPr>
            <w:tcW w:w="4758" w:type="dxa"/>
            <w:gridSpan w:val="3"/>
          </w:tcPr>
          <w:p w:rsidR="003F5784" w14:paraId="583EF2AB" w14:textId="77777777">
            <w:pPr>
              <w:pStyle w:val="TableParagraph"/>
              <w:spacing w:before="0" w:line="215" w:lineRule="exact"/>
              <w:ind w:right="133"/>
              <w:rPr>
                <w:sz w:val="21"/>
              </w:rPr>
            </w:pPr>
            <w:r>
              <w:rPr>
                <w:sz w:val="21"/>
              </w:rPr>
              <w:t>Number</w:t>
            </w:r>
            <w:r>
              <w:rPr>
                <w:spacing w:val="-8"/>
                <w:sz w:val="21"/>
              </w:rPr>
              <w:t xml:space="preserve"> </w:t>
            </w:r>
            <w:r>
              <w:rPr>
                <w:spacing w:val="-5"/>
                <w:sz w:val="21"/>
              </w:rPr>
              <w:t>of</w:t>
            </w:r>
          </w:p>
        </w:tc>
        <w:tc>
          <w:tcPr>
            <w:tcW w:w="1330" w:type="dxa"/>
            <w:gridSpan w:val="2"/>
          </w:tcPr>
          <w:p w:rsidR="003F5784" w14:paraId="01F06311" w14:textId="77777777">
            <w:pPr>
              <w:pStyle w:val="TableParagraph"/>
              <w:spacing w:before="0" w:line="215" w:lineRule="exact"/>
              <w:ind w:right="133"/>
              <w:rPr>
                <w:sz w:val="21"/>
              </w:rPr>
            </w:pPr>
            <w:r>
              <w:rPr>
                <w:sz w:val="21"/>
              </w:rPr>
              <w:t>rates</w:t>
            </w:r>
            <w:r>
              <w:rPr>
                <w:spacing w:val="-7"/>
                <w:sz w:val="21"/>
              </w:rPr>
              <w:t xml:space="preserve"> </w:t>
            </w:r>
            <w:r>
              <w:rPr>
                <w:sz w:val="21"/>
              </w:rPr>
              <w:t>(percent)</w:t>
            </w:r>
            <w:r>
              <w:rPr>
                <w:spacing w:val="-7"/>
                <w:sz w:val="21"/>
              </w:rPr>
              <w:t xml:space="preserve"> </w:t>
            </w:r>
            <w:r>
              <w:rPr>
                <w:spacing w:val="-2"/>
                <w:sz w:val="21"/>
              </w:rPr>
              <w:t>before</w:t>
            </w:r>
          </w:p>
        </w:tc>
        <w:tc>
          <w:tcPr>
            <w:tcW w:w="1784" w:type="dxa"/>
          </w:tcPr>
          <w:p w:rsidR="003F5784" w14:paraId="7E152796" w14:textId="77777777">
            <w:pPr>
              <w:pStyle w:val="TableParagraph"/>
              <w:spacing w:before="0" w:line="215" w:lineRule="exact"/>
              <w:ind w:right="164"/>
              <w:rPr>
                <w:sz w:val="21"/>
              </w:rPr>
            </w:pPr>
            <w:r>
              <w:rPr>
                <w:sz w:val="21"/>
              </w:rPr>
              <w:t>School</w:t>
            </w:r>
            <w:r>
              <w:rPr>
                <w:spacing w:val="-7"/>
                <w:sz w:val="21"/>
              </w:rPr>
              <w:t xml:space="preserve"> </w:t>
            </w:r>
            <w:r>
              <w:rPr>
                <w:spacing w:val="-2"/>
                <w:sz w:val="21"/>
              </w:rPr>
              <w:t>participation</w:t>
            </w:r>
          </w:p>
        </w:tc>
        <w:tc>
          <w:tcPr>
            <w:tcW w:w="5310" w:type="dxa"/>
            <w:gridSpan w:val="7"/>
            <w:vMerge/>
            <w:tcBorders>
              <w:top w:val="nil"/>
            </w:tcBorders>
          </w:tcPr>
          <w:p w:rsidR="003F5784" w14:paraId="0C9CB057" w14:textId="77777777">
            <w:pPr>
              <w:rPr>
                <w:sz w:val="2"/>
                <w:szCs w:val="2"/>
              </w:rPr>
            </w:pPr>
          </w:p>
        </w:tc>
      </w:tr>
      <w:tr w14:paraId="7DE11B13" w14:textId="77777777" w:rsidTr="00047860">
        <w:tblPrEx>
          <w:tblW w:w="0" w:type="auto"/>
          <w:tblInd w:w="552" w:type="dxa"/>
          <w:tblLayout w:type="fixed"/>
          <w:tblCellMar>
            <w:left w:w="0" w:type="dxa"/>
            <w:right w:w="0" w:type="dxa"/>
          </w:tblCellMar>
          <w:tblLook w:val="01E0"/>
        </w:tblPrEx>
        <w:trPr>
          <w:trHeight w:val="234"/>
        </w:trPr>
        <w:tc>
          <w:tcPr>
            <w:tcW w:w="4758" w:type="dxa"/>
            <w:gridSpan w:val="3"/>
          </w:tcPr>
          <w:p w:rsidR="003F5784" w14:paraId="2B764468" w14:textId="77777777">
            <w:pPr>
              <w:pStyle w:val="TableParagraph"/>
              <w:spacing w:before="0" w:line="215" w:lineRule="exact"/>
              <w:ind w:right="133"/>
              <w:rPr>
                <w:sz w:val="21"/>
              </w:rPr>
            </w:pPr>
            <w:r>
              <w:rPr>
                <w:sz w:val="21"/>
              </w:rPr>
              <w:t>schools</w:t>
            </w:r>
            <w:r>
              <w:rPr>
                <w:spacing w:val="-8"/>
                <w:sz w:val="21"/>
              </w:rPr>
              <w:t xml:space="preserve"> </w:t>
            </w:r>
            <w:r>
              <w:rPr>
                <w:spacing w:val="-5"/>
                <w:sz w:val="21"/>
              </w:rPr>
              <w:t>in</w:t>
            </w:r>
          </w:p>
        </w:tc>
        <w:tc>
          <w:tcPr>
            <w:tcW w:w="1330" w:type="dxa"/>
            <w:gridSpan w:val="2"/>
          </w:tcPr>
          <w:p w:rsidR="003F5784" w14:paraId="732B0173" w14:textId="77777777">
            <w:pPr>
              <w:pStyle w:val="TableParagraph"/>
              <w:spacing w:before="0" w:line="215" w:lineRule="exact"/>
              <w:ind w:right="133"/>
              <w:rPr>
                <w:sz w:val="21"/>
              </w:rPr>
            </w:pPr>
            <w:r>
              <w:rPr>
                <w:spacing w:val="-2"/>
                <w:sz w:val="21"/>
              </w:rPr>
              <w:t>substitution</w:t>
            </w:r>
          </w:p>
        </w:tc>
        <w:tc>
          <w:tcPr>
            <w:tcW w:w="1784" w:type="dxa"/>
          </w:tcPr>
          <w:p w:rsidR="003F5784" w14:paraId="53E39768" w14:textId="77777777">
            <w:pPr>
              <w:pStyle w:val="TableParagraph"/>
              <w:spacing w:before="0" w:line="215" w:lineRule="exact"/>
              <w:ind w:right="164"/>
              <w:rPr>
                <w:sz w:val="21"/>
              </w:rPr>
            </w:pPr>
            <w:r>
              <w:rPr>
                <w:sz w:val="21"/>
              </w:rPr>
              <w:t>rates</w:t>
            </w:r>
            <w:r>
              <w:rPr>
                <w:spacing w:val="-5"/>
                <w:sz w:val="21"/>
              </w:rPr>
              <w:t xml:space="preserve"> </w:t>
            </w:r>
            <w:r>
              <w:rPr>
                <w:spacing w:val="-2"/>
                <w:sz w:val="21"/>
              </w:rPr>
              <w:t>(percent)</w:t>
            </w:r>
          </w:p>
        </w:tc>
        <w:tc>
          <w:tcPr>
            <w:tcW w:w="1170" w:type="dxa"/>
          </w:tcPr>
          <w:p w:rsidR="003F5784" w14:paraId="5D3449B8" w14:textId="77777777">
            <w:pPr>
              <w:pStyle w:val="TableParagraph"/>
              <w:spacing w:before="0" w:line="215" w:lineRule="exact"/>
              <w:ind w:right="221"/>
              <w:rPr>
                <w:sz w:val="21"/>
              </w:rPr>
            </w:pPr>
            <w:r>
              <w:rPr>
                <w:sz w:val="21"/>
              </w:rPr>
              <w:t>Number</w:t>
            </w:r>
            <w:r>
              <w:rPr>
                <w:spacing w:val="-8"/>
                <w:sz w:val="21"/>
              </w:rPr>
              <w:t xml:space="preserve"> </w:t>
            </w:r>
            <w:r>
              <w:rPr>
                <w:spacing w:val="-5"/>
                <w:sz w:val="21"/>
              </w:rPr>
              <w:t>of</w:t>
            </w:r>
          </w:p>
        </w:tc>
        <w:tc>
          <w:tcPr>
            <w:tcW w:w="962" w:type="dxa"/>
            <w:gridSpan w:val="2"/>
          </w:tcPr>
          <w:p w:rsidR="003F5784" w14:paraId="39FD08FC" w14:textId="77777777">
            <w:pPr>
              <w:pStyle w:val="TableParagraph"/>
              <w:spacing w:before="0" w:line="215" w:lineRule="exact"/>
              <w:ind w:right="130"/>
              <w:rPr>
                <w:sz w:val="21"/>
              </w:rPr>
            </w:pPr>
            <w:r>
              <w:rPr>
                <w:spacing w:val="-2"/>
                <w:sz w:val="21"/>
              </w:rPr>
              <w:t>Weighted</w:t>
            </w:r>
          </w:p>
        </w:tc>
        <w:tc>
          <w:tcPr>
            <w:tcW w:w="1532" w:type="dxa"/>
            <w:gridSpan w:val="3"/>
          </w:tcPr>
          <w:p w:rsidR="003F5784" w14:paraId="3B4E9007" w14:textId="77777777">
            <w:pPr>
              <w:pStyle w:val="TableParagraph"/>
              <w:spacing w:before="0" w:line="215" w:lineRule="exact"/>
              <w:ind w:right="147"/>
              <w:rPr>
                <w:sz w:val="21"/>
              </w:rPr>
            </w:pPr>
            <w:r>
              <w:rPr>
                <w:spacing w:val="-2"/>
                <w:sz w:val="21"/>
              </w:rPr>
              <w:t>Weighted</w:t>
            </w:r>
            <w:r>
              <w:rPr>
                <w:spacing w:val="-11"/>
                <w:sz w:val="21"/>
              </w:rPr>
              <w:t xml:space="preserve"> </w:t>
            </w:r>
            <w:r>
              <w:rPr>
                <w:spacing w:val="-2"/>
                <w:sz w:val="21"/>
              </w:rPr>
              <w:t>student</w:t>
            </w:r>
          </w:p>
        </w:tc>
        <w:tc>
          <w:tcPr>
            <w:tcW w:w="1646" w:type="dxa"/>
          </w:tcPr>
          <w:p w:rsidR="003F5784" w14:paraId="4FF82646" w14:textId="77777777">
            <w:pPr>
              <w:pStyle w:val="TableParagraph"/>
              <w:spacing w:before="0"/>
              <w:jc w:val="left"/>
              <w:rPr>
                <w:sz w:val="16"/>
              </w:rPr>
            </w:pPr>
          </w:p>
        </w:tc>
      </w:tr>
      <w:tr w14:paraId="7223875C" w14:textId="77777777" w:rsidTr="00047860">
        <w:tblPrEx>
          <w:tblW w:w="0" w:type="auto"/>
          <w:tblInd w:w="552" w:type="dxa"/>
          <w:tblLayout w:type="fixed"/>
          <w:tblCellMar>
            <w:left w:w="0" w:type="dxa"/>
            <w:right w:w="0" w:type="dxa"/>
          </w:tblCellMar>
          <w:tblLook w:val="01E0"/>
        </w:tblPrEx>
        <w:trPr>
          <w:trHeight w:val="234"/>
        </w:trPr>
        <w:tc>
          <w:tcPr>
            <w:tcW w:w="4758" w:type="dxa"/>
            <w:gridSpan w:val="3"/>
          </w:tcPr>
          <w:p w:rsidR="003F5784" w14:paraId="3FD8AB54" w14:textId="77777777">
            <w:pPr>
              <w:pStyle w:val="TableParagraph"/>
              <w:spacing w:before="0" w:line="215" w:lineRule="exact"/>
              <w:ind w:right="133"/>
              <w:rPr>
                <w:sz w:val="21"/>
              </w:rPr>
            </w:pPr>
            <w:r>
              <w:rPr>
                <w:spacing w:val="-2"/>
                <w:sz w:val="21"/>
              </w:rPr>
              <w:t>original</w:t>
            </w:r>
          </w:p>
        </w:tc>
        <w:tc>
          <w:tcPr>
            <w:tcW w:w="1330" w:type="dxa"/>
            <w:gridSpan w:val="2"/>
          </w:tcPr>
          <w:p w:rsidR="003F5784" w14:paraId="76318011" w14:textId="77777777">
            <w:pPr>
              <w:pStyle w:val="TableParagraph"/>
              <w:spacing w:before="0" w:line="215" w:lineRule="exact"/>
              <w:ind w:right="133"/>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784" w:type="dxa"/>
          </w:tcPr>
          <w:p w:rsidR="003F5784" w14:paraId="640B021C" w14:textId="77777777">
            <w:pPr>
              <w:pStyle w:val="TableParagraph"/>
              <w:spacing w:before="0" w:line="215" w:lineRule="exact"/>
              <w:ind w:right="164"/>
              <w:rPr>
                <w:sz w:val="21"/>
              </w:rPr>
            </w:pPr>
            <w:r>
              <w:rPr>
                <w:sz w:val="21"/>
              </w:rPr>
              <w:t>before</w:t>
            </w:r>
            <w:r>
              <w:rPr>
                <w:spacing w:val="-7"/>
                <w:sz w:val="21"/>
              </w:rPr>
              <w:t xml:space="preserve"> </w:t>
            </w:r>
            <w:r>
              <w:rPr>
                <w:spacing w:val="-2"/>
                <w:sz w:val="21"/>
              </w:rPr>
              <w:t>substitution</w:t>
            </w:r>
          </w:p>
        </w:tc>
        <w:tc>
          <w:tcPr>
            <w:tcW w:w="1170" w:type="dxa"/>
          </w:tcPr>
          <w:p w:rsidR="003F5784" w14:paraId="155CE8C8" w14:textId="77777777">
            <w:pPr>
              <w:pStyle w:val="TableParagraph"/>
              <w:spacing w:before="0" w:line="215" w:lineRule="exact"/>
              <w:ind w:right="221"/>
              <w:rPr>
                <w:sz w:val="21"/>
              </w:rPr>
            </w:pPr>
            <w:r>
              <w:rPr>
                <w:spacing w:val="-2"/>
                <w:sz w:val="21"/>
              </w:rPr>
              <w:t>students</w:t>
            </w:r>
          </w:p>
        </w:tc>
        <w:tc>
          <w:tcPr>
            <w:tcW w:w="962" w:type="dxa"/>
            <w:gridSpan w:val="2"/>
          </w:tcPr>
          <w:p w:rsidR="003F5784" w14:paraId="285AF6C2" w14:textId="77777777">
            <w:pPr>
              <w:pStyle w:val="TableParagraph"/>
              <w:spacing w:before="0" w:line="215" w:lineRule="exact"/>
              <w:ind w:right="130"/>
              <w:rPr>
                <w:sz w:val="21"/>
              </w:rPr>
            </w:pPr>
            <w:r>
              <w:rPr>
                <w:sz w:val="21"/>
              </w:rPr>
              <w:t>percent</w:t>
            </w:r>
            <w:r>
              <w:rPr>
                <w:spacing w:val="-8"/>
                <w:sz w:val="21"/>
              </w:rPr>
              <w:t xml:space="preserve"> </w:t>
            </w:r>
            <w:r>
              <w:rPr>
                <w:spacing w:val="-5"/>
                <w:sz w:val="21"/>
              </w:rPr>
              <w:t>of</w:t>
            </w:r>
          </w:p>
        </w:tc>
        <w:tc>
          <w:tcPr>
            <w:tcW w:w="1532" w:type="dxa"/>
            <w:gridSpan w:val="3"/>
          </w:tcPr>
          <w:p w:rsidR="003F5784" w14:paraId="44B9297F" w14:textId="77777777">
            <w:pPr>
              <w:pStyle w:val="TableParagraph"/>
              <w:spacing w:before="0" w:line="215" w:lineRule="exact"/>
              <w:ind w:right="147"/>
              <w:rPr>
                <w:sz w:val="21"/>
              </w:rPr>
            </w:pPr>
            <w:r>
              <w:rPr>
                <w:spacing w:val="-2"/>
                <w:sz w:val="21"/>
              </w:rPr>
              <w:t>participation</w:t>
            </w:r>
          </w:p>
        </w:tc>
        <w:tc>
          <w:tcPr>
            <w:tcW w:w="1646" w:type="dxa"/>
          </w:tcPr>
          <w:p w:rsidR="003F5784" w14:paraId="0E79CFBF" w14:textId="77777777">
            <w:pPr>
              <w:pStyle w:val="TableParagraph"/>
              <w:spacing w:before="0" w:line="215" w:lineRule="exact"/>
              <w:ind w:right="43"/>
              <w:rPr>
                <w:sz w:val="21"/>
              </w:rPr>
            </w:pPr>
            <w:r>
              <w:rPr>
                <w:spacing w:val="-2"/>
                <w:sz w:val="21"/>
              </w:rPr>
              <w:t>Weighted</w:t>
            </w:r>
            <w:r>
              <w:rPr>
                <w:spacing w:val="-11"/>
                <w:sz w:val="21"/>
              </w:rPr>
              <w:t xml:space="preserve"> </w:t>
            </w:r>
            <w:r>
              <w:rPr>
                <w:spacing w:val="-2"/>
                <w:sz w:val="21"/>
              </w:rPr>
              <w:t>percent</w:t>
            </w:r>
          </w:p>
        </w:tc>
      </w:tr>
      <w:tr w14:paraId="66D68F6A" w14:textId="77777777" w:rsidTr="00047860">
        <w:tblPrEx>
          <w:tblW w:w="0" w:type="auto"/>
          <w:tblInd w:w="552" w:type="dxa"/>
          <w:tblLayout w:type="fixed"/>
          <w:tblCellMar>
            <w:left w:w="0" w:type="dxa"/>
            <w:right w:w="0" w:type="dxa"/>
          </w:tblCellMar>
          <w:tblLook w:val="01E0"/>
        </w:tblPrEx>
        <w:trPr>
          <w:trHeight w:val="234"/>
        </w:trPr>
        <w:tc>
          <w:tcPr>
            <w:tcW w:w="4758" w:type="dxa"/>
            <w:gridSpan w:val="3"/>
          </w:tcPr>
          <w:p w:rsidR="003F5784" w14:paraId="580CBE5F" w14:textId="77777777">
            <w:pPr>
              <w:pStyle w:val="TableParagraph"/>
              <w:spacing w:before="0" w:line="215" w:lineRule="exact"/>
              <w:ind w:right="133"/>
              <w:rPr>
                <w:sz w:val="21"/>
              </w:rPr>
            </w:pPr>
            <w:r>
              <w:rPr>
                <w:spacing w:val="-2"/>
                <w:sz w:val="21"/>
              </w:rPr>
              <w:t>sample,</w:t>
            </w:r>
          </w:p>
        </w:tc>
        <w:tc>
          <w:tcPr>
            <w:tcW w:w="1330" w:type="dxa"/>
            <w:gridSpan w:val="2"/>
          </w:tcPr>
          <w:p w:rsidR="003F5784" w14:paraId="7BF0165A" w14:textId="77777777">
            <w:pPr>
              <w:pStyle w:val="TableParagraph"/>
              <w:spacing w:before="0" w:line="215" w:lineRule="exact"/>
              <w:ind w:right="133"/>
              <w:rPr>
                <w:sz w:val="21"/>
              </w:rPr>
            </w:pPr>
            <w:r>
              <w:rPr>
                <w:sz w:val="21"/>
              </w:rPr>
              <w:t>weight</w:t>
            </w:r>
            <w:r>
              <w:rPr>
                <w:spacing w:val="-7"/>
                <w:sz w:val="21"/>
              </w:rPr>
              <w:t xml:space="preserve"> </w:t>
            </w:r>
            <w:r>
              <w:rPr>
                <w:spacing w:val="-5"/>
                <w:sz w:val="21"/>
              </w:rPr>
              <w:t>and</w:t>
            </w:r>
          </w:p>
        </w:tc>
        <w:tc>
          <w:tcPr>
            <w:tcW w:w="1784" w:type="dxa"/>
          </w:tcPr>
          <w:p w:rsidR="003F5784" w14:paraId="449684B7" w14:textId="77777777">
            <w:pPr>
              <w:pStyle w:val="TableParagraph"/>
              <w:spacing w:before="0" w:line="215" w:lineRule="exact"/>
              <w:ind w:right="164"/>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170" w:type="dxa"/>
          </w:tcPr>
          <w:p w:rsidR="003F5784" w14:paraId="5D6E2A6F" w14:textId="77777777">
            <w:pPr>
              <w:pStyle w:val="TableParagraph"/>
              <w:spacing w:before="0" w:line="215" w:lineRule="exact"/>
              <w:ind w:right="221"/>
              <w:rPr>
                <w:sz w:val="21"/>
              </w:rPr>
            </w:pPr>
            <w:r>
              <w:rPr>
                <w:spacing w:val="-2"/>
                <w:sz w:val="21"/>
              </w:rPr>
              <w:t>sampled,</w:t>
            </w:r>
          </w:p>
        </w:tc>
        <w:tc>
          <w:tcPr>
            <w:tcW w:w="962" w:type="dxa"/>
            <w:gridSpan w:val="2"/>
          </w:tcPr>
          <w:p w:rsidR="003F5784" w14:paraId="665EC8E0" w14:textId="77777777">
            <w:pPr>
              <w:pStyle w:val="TableParagraph"/>
              <w:spacing w:before="0" w:line="215" w:lineRule="exact"/>
              <w:ind w:right="130"/>
              <w:rPr>
                <w:sz w:val="21"/>
              </w:rPr>
            </w:pPr>
            <w:r>
              <w:rPr>
                <w:spacing w:val="-2"/>
                <w:sz w:val="21"/>
              </w:rPr>
              <w:t>students</w:t>
            </w:r>
          </w:p>
        </w:tc>
        <w:tc>
          <w:tcPr>
            <w:tcW w:w="1532" w:type="dxa"/>
            <w:gridSpan w:val="3"/>
          </w:tcPr>
          <w:p w:rsidR="003F5784" w14:paraId="5D4D306F" w14:textId="77777777">
            <w:pPr>
              <w:pStyle w:val="TableParagraph"/>
              <w:spacing w:before="0" w:line="215" w:lineRule="exact"/>
              <w:ind w:right="147"/>
              <w:rPr>
                <w:sz w:val="21"/>
              </w:rPr>
            </w:pPr>
            <w:r>
              <w:rPr>
                <w:sz w:val="21"/>
              </w:rPr>
              <w:t>rates</w:t>
            </w:r>
            <w:r>
              <w:rPr>
                <w:spacing w:val="-5"/>
                <w:sz w:val="21"/>
              </w:rPr>
              <w:t xml:space="preserve"> </w:t>
            </w:r>
            <w:r>
              <w:rPr>
                <w:spacing w:val="-2"/>
                <w:sz w:val="21"/>
              </w:rPr>
              <w:t>(percent)</w:t>
            </w:r>
          </w:p>
        </w:tc>
        <w:tc>
          <w:tcPr>
            <w:tcW w:w="1646" w:type="dxa"/>
          </w:tcPr>
          <w:p w:rsidR="003F5784" w14:paraId="75480436" w14:textId="77777777">
            <w:pPr>
              <w:pStyle w:val="TableParagraph"/>
              <w:spacing w:before="0" w:line="215" w:lineRule="exact"/>
              <w:ind w:right="43"/>
              <w:rPr>
                <w:sz w:val="21"/>
              </w:rPr>
            </w:pPr>
            <w:r>
              <w:rPr>
                <w:sz w:val="21"/>
              </w:rPr>
              <w:t>of</w:t>
            </w:r>
            <w:r>
              <w:rPr>
                <w:spacing w:val="-3"/>
                <w:sz w:val="21"/>
              </w:rPr>
              <w:t xml:space="preserve"> </w:t>
            </w:r>
            <w:r>
              <w:rPr>
                <w:spacing w:val="-2"/>
                <w:sz w:val="21"/>
              </w:rPr>
              <w:t>students</w:t>
            </w:r>
          </w:p>
        </w:tc>
      </w:tr>
      <w:tr w14:paraId="076EA6B8" w14:textId="77777777" w:rsidTr="00047860">
        <w:tblPrEx>
          <w:tblW w:w="0" w:type="auto"/>
          <w:tblInd w:w="552" w:type="dxa"/>
          <w:tblLayout w:type="fixed"/>
          <w:tblCellMar>
            <w:left w:w="0" w:type="dxa"/>
            <w:right w:w="0" w:type="dxa"/>
          </w:tblCellMar>
          <w:tblLook w:val="01E0"/>
        </w:tblPrEx>
        <w:trPr>
          <w:trHeight w:val="232"/>
        </w:trPr>
        <w:tc>
          <w:tcPr>
            <w:tcW w:w="4758" w:type="dxa"/>
            <w:gridSpan w:val="3"/>
          </w:tcPr>
          <w:p w:rsidR="003F5784" w14:paraId="5048C2D4" w14:textId="77777777">
            <w:pPr>
              <w:pStyle w:val="TableParagraph"/>
              <w:tabs>
                <w:tab w:val="left" w:pos="3025"/>
              </w:tabs>
              <w:spacing w:before="0" w:line="213" w:lineRule="exact"/>
              <w:ind w:right="133"/>
              <w:rPr>
                <w:sz w:val="21"/>
              </w:rPr>
            </w:pPr>
            <w:r>
              <w:rPr>
                <w:sz w:val="21"/>
              </w:rPr>
              <w:t>School</w:t>
            </w:r>
            <w:r>
              <w:rPr>
                <w:spacing w:val="-6"/>
                <w:sz w:val="21"/>
              </w:rPr>
              <w:t xml:space="preserve"> </w:t>
            </w:r>
            <w:r>
              <w:rPr>
                <w:sz w:val="21"/>
              </w:rPr>
              <w:t>type</w:t>
            </w:r>
            <w:r>
              <w:rPr>
                <w:spacing w:val="-5"/>
                <w:sz w:val="21"/>
              </w:rPr>
              <w:t xml:space="preserve"> </w:t>
            </w:r>
            <w:r>
              <w:rPr>
                <w:sz w:val="21"/>
              </w:rPr>
              <w:t>and</w:t>
            </w:r>
            <w:r>
              <w:rPr>
                <w:spacing w:val="-5"/>
                <w:sz w:val="21"/>
              </w:rPr>
              <w:t xml:space="preserve"> </w:t>
            </w:r>
            <w:r>
              <w:rPr>
                <w:spacing w:val="-2"/>
                <w:sz w:val="21"/>
              </w:rPr>
              <w:t>jurisdiction</w:t>
            </w:r>
            <w:r>
              <w:rPr>
                <w:sz w:val="21"/>
              </w:rPr>
              <w:tab/>
            </w:r>
            <w:r>
              <w:rPr>
                <w:spacing w:val="-2"/>
                <w:sz w:val="21"/>
              </w:rPr>
              <w:t>rounded</w:t>
            </w:r>
          </w:p>
        </w:tc>
        <w:tc>
          <w:tcPr>
            <w:tcW w:w="1330" w:type="dxa"/>
            <w:gridSpan w:val="2"/>
          </w:tcPr>
          <w:p w:rsidR="003F5784" w14:paraId="12671962" w14:textId="77777777">
            <w:pPr>
              <w:pStyle w:val="TableParagraph"/>
              <w:spacing w:before="0" w:line="213" w:lineRule="exact"/>
              <w:ind w:right="133"/>
              <w:rPr>
                <w:sz w:val="21"/>
              </w:rPr>
            </w:pPr>
            <w:r>
              <w:rPr>
                <w:spacing w:val="-2"/>
                <w:sz w:val="21"/>
              </w:rPr>
              <w:t>enrollment)</w:t>
            </w:r>
          </w:p>
        </w:tc>
        <w:tc>
          <w:tcPr>
            <w:tcW w:w="1784" w:type="dxa"/>
          </w:tcPr>
          <w:p w:rsidR="003F5784" w14:paraId="18457A54" w14:textId="77777777">
            <w:pPr>
              <w:pStyle w:val="TableParagraph"/>
              <w:spacing w:before="0" w:line="213" w:lineRule="exact"/>
              <w:ind w:right="164"/>
              <w:rPr>
                <w:sz w:val="21"/>
              </w:rPr>
            </w:pPr>
            <w:r>
              <w:rPr>
                <w:sz w:val="21"/>
              </w:rPr>
              <w:t>weight</w:t>
            </w:r>
            <w:r>
              <w:rPr>
                <w:spacing w:val="-7"/>
                <w:sz w:val="21"/>
              </w:rPr>
              <w:t xml:space="preserve"> </w:t>
            </w:r>
            <w:r>
              <w:rPr>
                <w:spacing w:val="-2"/>
                <w:sz w:val="21"/>
              </w:rPr>
              <w:t>only)</w:t>
            </w:r>
          </w:p>
        </w:tc>
        <w:tc>
          <w:tcPr>
            <w:tcW w:w="1170" w:type="dxa"/>
          </w:tcPr>
          <w:p w:rsidR="003F5784" w14:paraId="3C72A50F" w14:textId="77777777">
            <w:pPr>
              <w:pStyle w:val="TableParagraph"/>
              <w:spacing w:before="0" w:line="213" w:lineRule="exact"/>
              <w:ind w:right="221"/>
              <w:rPr>
                <w:sz w:val="21"/>
              </w:rPr>
            </w:pPr>
            <w:r>
              <w:rPr>
                <w:spacing w:val="-2"/>
                <w:sz w:val="21"/>
              </w:rPr>
              <w:t>rounded</w:t>
            </w:r>
          </w:p>
        </w:tc>
        <w:tc>
          <w:tcPr>
            <w:tcW w:w="962" w:type="dxa"/>
            <w:gridSpan w:val="2"/>
          </w:tcPr>
          <w:p w:rsidR="003F5784" w14:paraId="1533014D" w14:textId="77777777">
            <w:pPr>
              <w:pStyle w:val="TableParagraph"/>
              <w:spacing w:before="0" w:line="213" w:lineRule="exact"/>
              <w:ind w:right="130"/>
              <w:rPr>
                <w:sz w:val="21"/>
              </w:rPr>
            </w:pPr>
            <w:r>
              <w:rPr>
                <w:spacing w:val="-2"/>
                <w:sz w:val="21"/>
              </w:rPr>
              <w:t>excluded</w:t>
            </w:r>
          </w:p>
        </w:tc>
        <w:tc>
          <w:tcPr>
            <w:tcW w:w="1532" w:type="dxa"/>
            <w:gridSpan w:val="3"/>
          </w:tcPr>
          <w:p w:rsidR="003F5784" w14:paraId="60C59A12" w14:textId="77777777">
            <w:pPr>
              <w:pStyle w:val="TableParagraph"/>
              <w:spacing w:before="0" w:line="213" w:lineRule="exact"/>
              <w:ind w:right="147"/>
              <w:rPr>
                <w:sz w:val="21"/>
              </w:rPr>
            </w:pPr>
            <w:r>
              <w:rPr>
                <w:sz w:val="21"/>
              </w:rPr>
              <w:t>after</w:t>
            </w:r>
            <w:r>
              <w:rPr>
                <w:spacing w:val="-5"/>
                <w:sz w:val="21"/>
              </w:rPr>
              <w:t xml:space="preserve"> </w:t>
            </w:r>
            <w:r>
              <w:rPr>
                <w:spacing w:val="-2"/>
                <w:sz w:val="21"/>
              </w:rPr>
              <w:t>makeups</w:t>
            </w:r>
          </w:p>
        </w:tc>
        <w:tc>
          <w:tcPr>
            <w:tcW w:w="1646" w:type="dxa"/>
          </w:tcPr>
          <w:p w:rsidR="003F5784" w14:paraId="17B4A019" w14:textId="77777777">
            <w:pPr>
              <w:pStyle w:val="TableParagraph"/>
              <w:spacing w:before="0" w:line="213" w:lineRule="exact"/>
              <w:ind w:right="43"/>
              <w:rPr>
                <w:sz w:val="21"/>
              </w:rPr>
            </w:pPr>
            <w:r>
              <w:rPr>
                <w:spacing w:val="-2"/>
                <w:sz w:val="21"/>
              </w:rPr>
              <w:t>accommodated</w:t>
            </w:r>
          </w:p>
        </w:tc>
      </w:tr>
      <w:tr w14:paraId="0F087C2C" w14:textId="77777777" w:rsidTr="00047860">
        <w:tblPrEx>
          <w:tblW w:w="0" w:type="auto"/>
          <w:tblInd w:w="552" w:type="dxa"/>
          <w:tblLayout w:type="fixed"/>
          <w:tblCellMar>
            <w:left w:w="0" w:type="dxa"/>
            <w:right w:w="0" w:type="dxa"/>
          </w:tblCellMar>
          <w:tblLook w:val="01E0"/>
        </w:tblPrEx>
        <w:trPr>
          <w:trHeight w:val="278"/>
        </w:trPr>
        <w:tc>
          <w:tcPr>
            <w:tcW w:w="3038" w:type="dxa"/>
            <w:tcBorders>
              <w:top w:val="single" w:sz="18" w:space="0" w:color="800000"/>
            </w:tcBorders>
          </w:tcPr>
          <w:p w:rsidR="003F5784" w14:paraId="3AFE86D5" w14:textId="77777777">
            <w:pPr>
              <w:pStyle w:val="TableParagraph"/>
              <w:spacing w:before="9"/>
              <w:ind w:left="120"/>
              <w:jc w:val="left"/>
              <w:rPr>
                <w:sz w:val="21"/>
              </w:rPr>
            </w:pPr>
            <w:r>
              <w:rPr>
                <w:sz w:val="21"/>
              </w:rPr>
              <w:t>Shelby</w:t>
            </w:r>
            <w:r>
              <w:rPr>
                <w:spacing w:val="-7"/>
                <w:sz w:val="21"/>
              </w:rPr>
              <w:t xml:space="preserve"> </w:t>
            </w:r>
            <w:r>
              <w:rPr>
                <w:sz w:val="21"/>
              </w:rPr>
              <w:t>County</w:t>
            </w:r>
            <w:r>
              <w:rPr>
                <w:spacing w:val="-8"/>
                <w:sz w:val="21"/>
              </w:rPr>
              <w:t xml:space="preserve"> </w:t>
            </w:r>
            <w:r>
              <w:rPr>
                <w:spacing w:val="-4"/>
                <w:sz w:val="21"/>
              </w:rPr>
              <w:t>(TN)</w:t>
            </w:r>
          </w:p>
        </w:tc>
        <w:tc>
          <w:tcPr>
            <w:tcW w:w="1681" w:type="dxa"/>
            <w:tcBorders>
              <w:top w:val="single" w:sz="18" w:space="0" w:color="800000"/>
            </w:tcBorders>
          </w:tcPr>
          <w:p w:rsidR="003F5784" w14:paraId="518776BD" w14:textId="77777777">
            <w:pPr>
              <w:pStyle w:val="TableParagraph"/>
              <w:spacing w:before="9"/>
              <w:ind w:right="738"/>
              <w:rPr>
                <w:sz w:val="21"/>
              </w:rPr>
            </w:pPr>
            <w:r>
              <w:rPr>
                <w:spacing w:val="-5"/>
                <w:sz w:val="21"/>
              </w:rPr>
              <w:t>40</w:t>
            </w:r>
          </w:p>
        </w:tc>
        <w:tc>
          <w:tcPr>
            <w:tcW w:w="1350" w:type="dxa"/>
            <w:gridSpan w:val="2"/>
            <w:tcBorders>
              <w:top w:val="single" w:sz="18" w:space="0" w:color="800000"/>
            </w:tcBorders>
          </w:tcPr>
          <w:p w:rsidR="003F5784" w14:paraId="54E316F0" w14:textId="77777777">
            <w:pPr>
              <w:pStyle w:val="TableParagraph"/>
              <w:spacing w:before="9"/>
              <w:ind w:left="159" w:right="112"/>
              <w:jc w:val="center"/>
              <w:rPr>
                <w:sz w:val="21"/>
              </w:rPr>
            </w:pPr>
            <w:r>
              <w:rPr>
                <w:spacing w:val="-2"/>
                <w:sz w:val="21"/>
              </w:rPr>
              <w:t>100.00</w:t>
            </w:r>
          </w:p>
        </w:tc>
        <w:tc>
          <w:tcPr>
            <w:tcW w:w="1803" w:type="dxa"/>
            <w:gridSpan w:val="2"/>
            <w:tcBorders>
              <w:top w:val="single" w:sz="18" w:space="0" w:color="800000"/>
            </w:tcBorders>
          </w:tcPr>
          <w:p w:rsidR="003F5784" w14:paraId="26F3CCB5" w14:textId="77777777">
            <w:pPr>
              <w:pStyle w:val="TableParagraph"/>
              <w:spacing w:before="9"/>
              <w:ind w:right="386"/>
              <w:rPr>
                <w:sz w:val="21"/>
              </w:rPr>
            </w:pPr>
            <w:r>
              <w:rPr>
                <w:spacing w:val="-2"/>
                <w:sz w:val="21"/>
              </w:rPr>
              <w:t>100.00</w:t>
            </w:r>
          </w:p>
        </w:tc>
        <w:tc>
          <w:tcPr>
            <w:tcW w:w="1260" w:type="dxa"/>
            <w:gridSpan w:val="2"/>
            <w:tcBorders>
              <w:top w:val="single" w:sz="18" w:space="0" w:color="800000"/>
            </w:tcBorders>
          </w:tcPr>
          <w:p w:rsidR="003F5784" w14:paraId="7200F539" w14:textId="77777777">
            <w:pPr>
              <w:pStyle w:val="TableParagraph"/>
              <w:spacing w:before="9"/>
              <w:ind w:right="462"/>
              <w:rPr>
                <w:sz w:val="21"/>
              </w:rPr>
            </w:pPr>
            <w:r>
              <w:rPr>
                <w:spacing w:val="-2"/>
                <w:sz w:val="21"/>
              </w:rPr>
              <w:t>1,100</w:t>
            </w:r>
          </w:p>
        </w:tc>
        <w:tc>
          <w:tcPr>
            <w:tcW w:w="900" w:type="dxa"/>
            <w:gridSpan w:val="2"/>
            <w:tcBorders>
              <w:top w:val="single" w:sz="18" w:space="0" w:color="800000"/>
            </w:tcBorders>
          </w:tcPr>
          <w:p w:rsidR="003F5784" w14:paraId="29CC71C3" w14:textId="77777777">
            <w:pPr>
              <w:pStyle w:val="TableParagraph"/>
              <w:spacing w:before="9"/>
              <w:ind w:left="463"/>
              <w:jc w:val="left"/>
              <w:rPr>
                <w:sz w:val="21"/>
              </w:rPr>
            </w:pPr>
            <w:r>
              <w:rPr>
                <w:spacing w:val="-4"/>
                <w:sz w:val="21"/>
              </w:rPr>
              <w:t>2.77</w:t>
            </w:r>
          </w:p>
        </w:tc>
        <w:tc>
          <w:tcPr>
            <w:tcW w:w="1260" w:type="dxa"/>
            <w:tcBorders>
              <w:top w:val="single" w:sz="18" w:space="0" w:color="800000"/>
            </w:tcBorders>
          </w:tcPr>
          <w:p w:rsidR="003F5784" w14:paraId="2335089A" w14:textId="77777777">
            <w:pPr>
              <w:pStyle w:val="TableParagraph"/>
              <w:spacing w:before="9"/>
              <w:ind w:right="22"/>
              <w:jc w:val="center"/>
              <w:rPr>
                <w:sz w:val="21"/>
              </w:rPr>
            </w:pPr>
            <w:r>
              <w:rPr>
                <w:spacing w:val="-2"/>
                <w:sz w:val="21"/>
              </w:rPr>
              <w:t>90.34</w:t>
            </w:r>
          </w:p>
        </w:tc>
        <w:tc>
          <w:tcPr>
            <w:tcW w:w="1890" w:type="dxa"/>
            <w:gridSpan w:val="2"/>
            <w:tcBorders>
              <w:top w:val="single" w:sz="18" w:space="0" w:color="800000"/>
            </w:tcBorders>
          </w:tcPr>
          <w:p w:rsidR="003F5784" w14:paraId="4497CFB7" w14:textId="77777777">
            <w:pPr>
              <w:pStyle w:val="TableParagraph"/>
              <w:spacing w:before="9"/>
              <w:ind w:right="118"/>
              <w:rPr>
                <w:sz w:val="21"/>
              </w:rPr>
            </w:pPr>
            <w:r>
              <w:rPr>
                <w:spacing w:val="-4"/>
                <w:sz w:val="21"/>
              </w:rPr>
              <w:t>9.39</w:t>
            </w:r>
          </w:p>
        </w:tc>
      </w:tr>
      <w:tr w14:paraId="55F09BC8" w14:textId="77777777" w:rsidTr="00047860">
        <w:tblPrEx>
          <w:tblW w:w="0" w:type="auto"/>
          <w:tblInd w:w="552" w:type="dxa"/>
          <w:tblLayout w:type="fixed"/>
          <w:tblCellMar>
            <w:left w:w="0" w:type="dxa"/>
            <w:right w:w="0" w:type="dxa"/>
          </w:tblCellMar>
          <w:tblLook w:val="01E0"/>
        </w:tblPrEx>
        <w:trPr>
          <w:trHeight w:val="290"/>
        </w:trPr>
        <w:tc>
          <w:tcPr>
            <w:tcW w:w="3038" w:type="dxa"/>
            <w:tcBorders>
              <w:bottom w:val="single" w:sz="12" w:space="0" w:color="800000"/>
            </w:tcBorders>
          </w:tcPr>
          <w:p w:rsidR="003F5784" w14:paraId="53904B8C" w14:textId="77777777">
            <w:pPr>
              <w:pStyle w:val="TableParagraph"/>
              <w:ind w:left="120"/>
              <w:jc w:val="left"/>
              <w:rPr>
                <w:sz w:val="21"/>
              </w:rPr>
            </w:pPr>
            <w:r>
              <w:rPr>
                <w:sz w:val="21"/>
              </w:rPr>
              <w:t>District</w:t>
            </w:r>
            <w:r>
              <w:rPr>
                <w:spacing w:val="-7"/>
                <w:sz w:val="21"/>
              </w:rPr>
              <w:t xml:space="preserve"> </w:t>
            </w:r>
            <w:r>
              <w:rPr>
                <w:sz w:val="21"/>
              </w:rPr>
              <w:t>of</w:t>
            </w:r>
            <w:r>
              <w:rPr>
                <w:spacing w:val="-6"/>
                <w:sz w:val="21"/>
              </w:rPr>
              <w:t xml:space="preserve"> </w:t>
            </w:r>
            <w:r>
              <w:rPr>
                <w:sz w:val="21"/>
              </w:rPr>
              <w:t>Columbia</w:t>
            </w:r>
            <w:r>
              <w:rPr>
                <w:spacing w:val="-7"/>
                <w:sz w:val="21"/>
              </w:rPr>
              <w:t xml:space="preserve"> </w:t>
            </w:r>
            <w:r>
              <w:rPr>
                <w:spacing w:val="-2"/>
                <w:sz w:val="21"/>
              </w:rPr>
              <w:t>(DCPS)</w:t>
            </w:r>
          </w:p>
        </w:tc>
        <w:tc>
          <w:tcPr>
            <w:tcW w:w="1681" w:type="dxa"/>
            <w:tcBorders>
              <w:bottom w:val="single" w:sz="12" w:space="0" w:color="800000"/>
            </w:tcBorders>
          </w:tcPr>
          <w:p w:rsidR="003F5784" w14:paraId="61AF101A" w14:textId="77777777">
            <w:pPr>
              <w:pStyle w:val="TableParagraph"/>
              <w:ind w:right="738"/>
              <w:rPr>
                <w:sz w:val="21"/>
              </w:rPr>
            </w:pPr>
            <w:r>
              <w:rPr>
                <w:spacing w:val="-5"/>
                <w:sz w:val="21"/>
              </w:rPr>
              <w:t>30</w:t>
            </w:r>
          </w:p>
        </w:tc>
        <w:tc>
          <w:tcPr>
            <w:tcW w:w="1350" w:type="dxa"/>
            <w:gridSpan w:val="2"/>
            <w:tcBorders>
              <w:bottom w:val="single" w:sz="12" w:space="0" w:color="800000"/>
            </w:tcBorders>
          </w:tcPr>
          <w:p w:rsidR="003F5784" w14:paraId="140991E9" w14:textId="77777777">
            <w:pPr>
              <w:pStyle w:val="TableParagraph"/>
              <w:ind w:left="159" w:right="112"/>
              <w:jc w:val="center"/>
              <w:rPr>
                <w:sz w:val="21"/>
              </w:rPr>
            </w:pPr>
            <w:r>
              <w:rPr>
                <w:spacing w:val="-2"/>
                <w:sz w:val="21"/>
              </w:rPr>
              <w:t>100.00</w:t>
            </w:r>
          </w:p>
        </w:tc>
        <w:tc>
          <w:tcPr>
            <w:tcW w:w="1803" w:type="dxa"/>
            <w:gridSpan w:val="2"/>
            <w:tcBorders>
              <w:bottom w:val="single" w:sz="12" w:space="0" w:color="800000"/>
            </w:tcBorders>
          </w:tcPr>
          <w:p w:rsidR="003F5784" w14:paraId="4E2F50AA" w14:textId="77777777">
            <w:pPr>
              <w:pStyle w:val="TableParagraph"/>
              <w:ind w:right="386"/>
              <w:rPr>
                <w:sz w:val="21"/>
              </w:rPr>
            </w:pPr>
            <w:r>
              <w:rPr>
                <w:spacing w:val="-2"/>
                <w:sz w:val="21"/>
              </w:rPr>
              <w:t>100.00</w:t>
            </w:r>
          </w:p>
        </w:tc>
        <w:tc>
          <w:tcPr>
            <w:tcW w:w="1260" w:type="dxa"/>
            <w:gridSpan w:val="2"/>
            <w:tcBorders>
              <w:bottom w:val="single" w:sz="12" w:space="0" w:color="800000"/>
            </w:tcBorders>
          </w:tcPr>
          <w:p w:rsidR="003F5784" w14:paraId="08366C5E" w14:textId="77777777">
            <w:pPr>
              <w:pStyle w:val="TableParagraph"/>
              <w:ind w:right="462"/>
              <w:rPr>
                <w:sz w:val="21"/>
              </w:rPr>
            </w:pPr>
            <w:r>
              <w:rPr>
                <w:spacing w:val="-2"/>
                <w:sz w:val="21"/>
              </w:rPr>
              <w:t>1,000</w:t>
            </w:r>
          </w:p>
        </w:tc>
        <w:tc>
          <w:tcPr>
            <w:tcW w:w="900" w:type="dxa"/>
            <w:gridSpan w:val="2"/>
            <w:tcBorders>
              <w:bottom w:val="single" w:sz="12" w:space="0" w:color="800000"/>
            </w:tcBorders>
          </w:tcPr>
          <w:p w:rsidR="003F5784" w14:paraId="2AE80720" w14:textId="77777777">
            <w:pPr>
              <w:pStyle w:val="TableParagraph"/>
              <w:ind w:left="463"/>
              <w:jc w:val="left"/>
              <w:rPr>
                <w:sz w:val="21"/>
              </w:rPr>
            </w:pPr>
            <w:r>
              <w:rPr>
                <w:spacing w:val="-4"/>
                <w:sz w:val="21"/>
              </w:rPr>
              <w:t>3.94</w:t>
            </w:r>
          </w:p>
        </w:tc>
        <w:tc>
          <w:tcPr>
            <w:tcW w:w="1260" w:type="dxa"/>
            <w:tcBorders>
              <w:bottom w:val="single" w:sz="12" w:space="0" w:color="800000"/>
            </w:tcBorders>
          </w:tcPr>
          <w:p w:rsidR="003F5784" w14:paraId="22661A36" w14:textId="77777777">
            <w:pPr>
              <w:pStyle w:val="TableParagraph"/>
              <w:ind w:right="22"/>
              <w:jc w:val="center"/>
              <w:rPr>
                <w:sz w:val="21"/>
              </w:rPr>
            </w:pPr>
            <w:r>
              <w:rPr>
                <w:spacing w:val="-2"/>
                <w:sz w:val="21"/>
              </w:rPr>
              <w:t>81.92</w:t>
            </w:r>
          </w:p>
        </w:tc>
        <w:tc>
          <w:tcPr>
            <w:tcW w:w="1890" w:type="dxa"/>
            <w:gridSpan w:val="2"/>
            <w:tcBorders>
              <w:bottom w:val="single" w:sz="12" w:space="0" w:color="800000"/>
            </w:tcBorders>
          </w:tcPr>
          <w:p w:rsidR="003F5784" w14:paraId="42085D50" w14:textId="77777777">
            <w:pPr>
              <w:pStyle w:val="TableParagraph"/>
              <w:ind w:right="118"/>
              <w:rPr>
                <w:sz w:val="21"/>
              </w:rPr>
            </w:pPr>
            <w:r>
              <w:rPr>
                <w:spacing w:val="-2"/>
                <w:sz w:val="21"/>
              </w:rPr>
              <w:t>27.63</w:t>
            </w:r>
          </w:p>
        </w:tc>
      </w:tr>
      <w:tr w14:paraId="0A81A253" w14:textId="77777777" w:rsidTr="00047860">
        <w:tblPrEx>
          <w:tblW w:w="0" w:type="auto"/>
          <w:tblInd w:w="552" w:type="dxa"/>
          <w:tblLayout w:type="fixed"/>
          <w:tblCellMar>
            <w:left w:w="0" w:type="dxa"/>
            <w:right w:w="0" w:type="dxa"/>
          </w:tblCellMar>
          <w:tblLook w:val="01E0"/>
        </w:tblPrEx>
        <w:trPr>
          <w:trHeight w:val="266"/>
        </w:trPr>
        <w:tc>
          <w:tcPr>
            <w:tcW w:w="3038" w:type="dxa"/>
            <w:tcBorders>
              <w:top w:val="single" w:sz="12" w:space="0" w:color="800000"/>
            </w:tcBorders>
          </w:tcPr>
          <w:p w:rsidR="003F5784" w14:paraId="0A9519B5" w14:textId="77777777">
            <w:pPr>
              <w:pStyle w:val="TableParagraph"/>
              <w:spacing w:before="0" w:line="239" w:lineRule="exact"/>
              <w:ind w:left="370"/>
              <w:jc w:val="left"/>
              <w:rPr>
                <w:b/>
                <w:sz w:val="21"/>
              </w:rPr>
            </w:pPr>
            <w:r>
              <w:rPr>
                <w:b/>
                <w:sz w:val="21"/>
              </w:rPr>
              <w:t>National</w:t>
            </w:r>
            <w:r>
              <w:rPr>
                <w:b/>
                <w:spacing w:val="-9"/>
                <w:sz w:val="21"/>
              </w:rPr>
              <w:t xml:space="preserve"> </w:t>
            </w:r>
            <w:r>
              <w:rPr>
                <w:b/>
                <w:spacing w:val="-2"/>
                <w:sz w:val="21"/>
              </w:rPr>
              <w:t>private</w:t>
            </w:r>
          </w:p>
        </w:tc>
        <w:tc>
          <w:tcPr>
            <w:tcW w:w="1681" w:type="dxa"/>
            <w:tcBorders>
              <w:top w:val="single" w:sz="12" w:space="0" w:color="800000"/>
            </w:tcBorders>
          </w:tcPr>
          <w:p w:rsidR="003F5784" w14:paraId="1507E443" w14:textId="77777777">
            <w:pPr>
              <w:pStyle w:val="TableParagraph"/>
              <w:spacing w:before="0" w:line="239" w:lineRule="exact"/>
              <w:ind w:right="738"/>
              <w:rPr>
                <w:sz w:val="21"/>
              </w:rPr>
            </w:pPr>
            <w:r>
              <w:rPr>
                <w:spacing w:val="-5"/>
                <w:sz w:val="21"/>
              </w:rPr>
              <w:t>380</w:t>
            </w:r>
          </w:p>
        </w:tc>
        <w:tc>
          <w:tcPr>
            <w:tcW w:w="1350" w:type="dxa"/>
            <w:gridSpan w:val="2"/>
            <w:tcBorders>
              <w:top w:val="single" w:sz="12" w:space="0" w:color="800000"/>
            </w:tcBorders>
          </w:tcPr>
          <w:p w:rsidR="003F5784" w14:paraId="6ACC97F5" w14:textId="77777777">
            <w:pPr>
              <w:pStyle w:val="TableParagraph"/>
              <w:spacing w:before="0" w:line="239" w:lineRule="exact"/>
              <w:ind w:left="159" w:right="8"/>
              <w:jc w:val="center"/>
              <w:rPr>
                <w:sz w:val="21"/>
              </w:rPr>
            </w:pPr>
            <w:r>
              <w:rPr>
                <w:spacing w:val="-2"/>
                <w:sz w:val="21"/>
              </w:rPr>
              <w:t>35.49</w:t>
            </w:r>
          </w:p>
        </w:tc>
        <w:tc>
          <w:tcPr>
            <w:tcW w:w="1803" w:type="dxa"/>
            <w:gridSpan w:val="2"/>
            <w:tcBorders>
              <w:top w:val="single" w:sz="12" w:space="0" w:color="800000"/>
            </w:tcBorders>
          </w:tcPr>
          <w:p w:rsidR="003F5784" w14:paraId="45EE85FE" w14:textId="77777777">
            <w:pPr>
              <w:pStyle w:val="TableParagraph"/>
              <w:spacing w:before="0" w:line="239" w:lineRule="exact"/>
              <w:ind w:right="386"/>
              <w:rPr>
                <w:sz w:val="21"/>
              </w:rPr>
            </w:pPr>
            <w:r>
              <w:rPr>
                <w:spacing w:val="-2"/>
                <w:sz w:val="21"/>
              </w:rPr>
              <w:t>32.62</w:t>
            </w:r>
          </w:p>
        </w:tc>
        <w:tc>
          <w:tcPr>
            <w:tcW w:w="1260" w:type="dxa"/>
            <w:gridSpan w:val="2"/>
            <w:tcBorders>
              <w:top w:val="single" w:sz="12" w:space="0" w:color="800000"/>
            </w:tcBorders>
          </w:tcPr>
          <w:p w:rsidR="003F5784" w14:paraId="6A974201" w14:textId="77777777">
            <w:pPr>
              <w:pStyle w:val="TableParagraph"/>
              <w:spacing w:before="0" w:line="239" w:lineRule="exact"/>
              <w:ind w:right="462"/>
              <w:rPr>
                <w:sz w:val="21"/>
              </w:rPr>
            </w:pPr>
            <w:r>
              <w:rPr>
                <w:spacing w:val="-2"/>
                <w:sz w:val="21"/>
              </w:rPr>
              <w:t>1,600</w:t>
            </w:r>
          </w:p>
        </w:tc>
        <w:tc>
          <w:tcPr>
            <w:tcW w:w="900" w:type="dxa"/>
            <w:gridSpan w:val="2"/>
            <w:tcBorders>
              <w:top w:val="single" w:sz="12" w:space="0" w:color="800000"/>
            </w:tcBorders>
          </w:tcPr>
          <w:p w:rsidR="003F5784" w14:paraId="47CC0D4F" w14:textId="77777777">
            <w:pPr>
              <w:pStyle w:val="TableParagraph"/>
              <w:spacing w:before="0" w:line="239" w:lineRule="exact"/>
              <w:ind w:left="463"/>
              <w:jc w:val="left"/>
              <w:rPr>
                <w:sz w:val="21"/>
              </w:rPr>
            </w:pPr>
            <w:r>
              <w:rPr>
                <w:spacing w:val="-4"/>
                <w:sz w:val="21"/>
              </w:rPr>
              <w:t>0.00</w:t>
            </w:r>
          </w:p>
        </w:tc>
        <w:tc>
          <w:tcPr>
            <w:tcW w:w="1260" w:type="dxa"/>
            <w:tcBorders>
              <w:top w:val="single" w:sz="12" w:space="0" w:color="800000"/>
            </w:tcBorders>
          </w:tcPr>
          <w:p w:rsidR="003F5784" w14:paraId="7A276D95" w14:textId="77777777">
            <w:pPr>
              <w:pStyle w:val="TableParagraph"/>
              <w:spacing w:before="0" w:line="239" w:lineRule="exact"/>
              <w:ind w:right="22"/>
              <w:jc w:val="center"/>
              <w:rPr>
                <w:sz w:val="21"/>
              </w:rPr>
            </w:pPr>
            <w:r>
              <w:rPr>
                <w:spacing w:val="-2"/>
                <w:sz w:val="21"/>
              </w:rPr>
              <w:t>93.97</w:t>
            </w:r>
          </w:p>
        </w:tc>
        <w:tc>
          <w:tcPr>
            <w:tcW w:w="1890" w:type="dxa"/>
            <w:gridSpan w:val="2"/>
            <w:tcBorders>
              <w:top w:val="single" w:sz="12" w:space="0" w:color="800000"/>
            </w:tcBorders>
          </w:tcPr>
          <w:p w:rsidR="003F5784" w14:paraId="55A3DDD2" w14:textId="77777777">
            <w:pPr>
              <w:pStyle w:val="TableParagraph"/>
              <w:spacing w:before="0" w:line="239" w:lineRule="exact"/>
              <w:ind w:right="118"/>
              <w:rPr>
                <w:sz w:val="21"/>
              </w:rPr>
            </w:pPr>
            <w:r>
              <w:rPr>
                <w:spacing w:val="-4"/>
                <w:sz w:val="21"/>
              </w:rPr>
              <w:t>4.84</w:t>
            </w:r>
          </w:p>
        </w:tc>
      </w:tr>
      <w:tr w14:paraId="04FC9FDD" w14:textId="77777777" w:rsidTr="00047860">
        <w:tblPrEx>
          <w:tblW w:w="0" w:type="auto"/>
          <w:tblInd w:w="552" w:type="dxa"/>
          <w:tblLayout w:type="fixed"/>
          <w:tblCellMar>
            <w:left w:w="0" w:type="dxa"/>
            <w:right w:w="0" w:type="dxa"/>
          </w:tblCellMar>
          <w:tblLook w:val="01E0"/>
        </w:tblPrEx>
        <w:trPr>
          <w:trHeight w:val="286"/>
        </w:trPr>
        <w:tc>
          <w:tcPr>
            <w:tcW w:w="3038" w:type="dxa"/>
          </w:tcPr>
          <w:p w:rsidR="003F5784" w14:paraId="2A3D063F" w14:textId="77777777">
            <w:pPr>
              <w:pStyle w:val="TableParagraph"/>
              <w:ind w:left="120"/>
              <w:jc w:val="left"/>
              <w:rPr>
                <w:sz w:val="21"/>
              </w:rPr>
            </w:pPr>
            <w:r>
              <w:rPr>
                <w:spacing w:val="-2"/>
                <w:sz w:val="21"/>
              </w:rPr>
              <w:t>Catholic</w:t>
            </w:r>
          </w:p>
        </w:tc>
        <w:tc>
          <w:tcPr>
            <w:tcW w:w="1681" w:type="dxa"/>
          </w:tcPr>
          <w:p w:rsidR="003F5784" w14:paraId="02256C4B" w14:textId="77777777">
            <w:pPr>
              <w:pStyle w:val="TableParagraph"/>
              <w:ind w:right="738"/>
              <w:rPr>
                <w:sz w:val="21"/>
              </w:rPr>
            </w:pPr>
            <w:r>
              <w:rPr>
                <w:spacing w:val="-5"/>
                <w:sz w:val="21"/>
              </w:rPr>
              <w:t>110</w:t>
            </w:r>
          </w:p>
        </w:tc>
        <w:tc>
          <w:tcPr>
            <w:tcW w:w="1350" w:type="dxa"/>
            <w:gridSpan w:val="2"/>
          </w:tcPr>
          <w:p w:rsidR="003F5784" w14:paraId="70B81EB5" w14:textId="77777777">
            <w:pPr>
              <w:pStyle w:val="TableParagraph"/>
              <w:ind w:left="159" w:right="8"/>
              <w:jc w:val="center"/>
              <w:rPr>
                <w:sz w:val="21"/>
              </w:rPr>
            </w:pPr>
            <w:r>
              <w:rPr>
                <w:spacing w:val="-2"/>
                <w:sz w:val="21"/>
              </w:rPr>
              <w:t>60.98</w:t>
            </w:r>
          </w:p>
        </w:tc>
        <w:tc>
          <w:tcPr>
            <w:tcW w:w="1803" w:type="dxa"/>
            <w:gridSpan w:val="2"/>
          </w:tcPr>
          <w:p w:rsidR="003F5784" w14:paraId="627EFF10" w14:textId="77777777">
            <w:pPr>
              <w:pStyle w:val="TableParagraph"/>
              <w:ind w:right="386"/>
              <w:rPr>
                <w:sz w:val="21"/>
              </w:rPr>
            </w:pPr>
            <w:r>
              <w:rPr>
                <w:spacing w:val="-2"/>
                <w:sz w:val="21"/>
              </w:rPr>
              <w:t>65.94</w:t>
            </w:r>
          </w:p>
        </w:tc>
        <w:tc>
          <w:tcPr>
            <w:tcW w:w="1260" w:type="dxa"/>
            <w:gridSpan w:val="2"/>
          </w:tcPr>
          <w:p w:rsidR="003F5784" w14:paraId="3D0BFC94" w14:textId="77777777">
            <w:pPr>
              <w:pStyle w:val="TableParagraph"/>
              <w:ind w:right="462"/>
              <w:rPr>
                <w:sz w:val="21"/>
              </w:rPr>
            </w:pPr>
            <w:r>
              <w:rPr>
                <w:spacing w:val="-2"/>
                <w:sz w:val="21"/>
              </w:rPr>
              <w:t>1,000</w:t>
            </w:r>
          </w:p>
        </w:tc>
        <w:tc>
          <w:tcPr>
            <w:tcW w:w="900" w:type="dxa"/>
            <w:gridSpan w:val="2"/>
          </w:tcPr>
          <w:p w:rsidR="003F5784" w14:paraId="0FE58599" w14:textId="77777777">
            <w:pPr>
              <w:pStyle w:val="TableParagraph"/>
              <w:ind w:left="463"/>
              <w:jc w:val="left"/>
              <w:rPr>
                <w:sz w:val="21"/>
              </w:rPr>
            </w:pPr>
            <w:r>
              <w:rPr>
                <w:spacing w:val="-4"/>
                <w:sz w:val="21"/>
              </w:rPr>
              <w:t>0.00</w:t>
            </w:r>
          </w:p>
        </w:tc>
        <w:tc>
          <w:tcPr>
            <w:tcW w:w="1260" w:type="dxa"/>
          </w:tcPr>
          <w:p w:rsidR="003F5784" w14:paraId="7342EB29" w14:textId="77777777">
            <w:pPr>
              <w:pStyle w:val="TableParagraph"/>
              <w:ind w:right="22"/>
              <w:jc w:val="center"/>
              <w:rPr>
                <w:sz w:val="21"/>
              </w:rPr>
            </w:pPr>
            <w:r>
              <w:rPr>
                <w:spacing w:val="-2"/>
                <w:sz w:val="21"/>
              </w:rPr>
              <w:t>94.09</w:t>
            </w:r>
          </w:p>
        </w:tc>
        <w:tc>
          <w:tcPr>
            <w:tcW w:w="1890" w:type="dxa"/>
            <w:gridSpan w:val="2"/>
          </w:tcPr>
          <w:p w:rsidR="003F5784" w14:paraId="69448704" w14:textId="77777777">
            <w:pPr>
              <w:pStyle w:val="TableParagraph"/>
              <w:ind w:right="118"/>
              <w:rPr>
                <w:sz w:val="21"/>
              </w:rPr>
            </w:pPr>
            <w:r>
              <w:rPr>
                <w:spacing w:val="-4"/>
                <w:sz w:val="21"/>
              </w:rPr>
              <w:t>6.83</w:t>
            </w:r>
          </w:p>
        </w:tc>
      </w:tr>
      <w:tr w14:paraId="0FC9C62D" w14:textId="77777777" w:rsidTr="00047860">
        <w:tblPrEx>
          <w:tblW w:w="0" w:type="auto"/>
          <w:tblInd w:w="552" w:type="dxa"/>
          <w:tblLayout w:type="fixed"/>
          <w:tblCellMar>
            <w:left w:w="0" w:type="dxa"/>
            <w:right w:w="0" w:type="dxa"/>
          </w:tblCellMar>
          <w:tblLook w:val="01E0"/>
        </w:tblPrEx>
        <w:trPr>
          <w:trHeight w:val="290"/>
        </w:trPr>
        <w:tc>
          <w:tcPr>
            <w:tcW w:w="3038" w:type="dxa"/>
            <w:tcBorders>
              <w:bottom w:val="single" w:sz="12" w:space="0" w:color="800000"/>
            </w:tcBorders>
          </w:tcPr>
          <w:p w:rsidR="003F5784" w14:paraId="6A8D9AFA" w14:textId="77777777">
            <w:pPr>
              <w:pStyle w:val="TableParagraph"/>
              <w:ind w:left="120"/>
              <w:jc w:val="left"/>
              <w:rPr>
                <w:sz w:val="21"/>
              </w:rPr>
            </w:pPr>
            <w:r>
              <w:rPr>
                <w:spacing w:val="-2"/>
                <w:sz w:val="21"/>
              </w:rPr>
              <w:t>Non-Catholic</w:t>
            </w:r>
          </w:p>
        </w:tc>
        <w:tc>
          <w:tcPr>
            <w:tcW w:w="1681" w:type="dxa"/>
            <w:tcBorders>
              <w:bottom w:val="single" w:sz="12" w:space="0" w:color="800000"/>
            </w:tcBorders>
          </w:tcPr>
          <w:p w:rsidR="003F5784" w14:paraId="557F63C7" w14:textId="77777777">
            <w:pPr>
              <w:pStyle w:val="TableParagraph"/>
              <w:ind w:right="738"/>
              <w:rPr>
                <w:sz w:val="21"/>
              </w:rPr>
            </w:pPr>
            <w:r>
              <w:rPr>
                <w:spacing w:val="-5"/>
                <w:sz w:val="21"/>
              </w:rPr>
              <w:t>270</w:t>
            </w:r>
          </w:p>
        </w:tc>
        <w:tc>
          <w:tcPr>
            <w:tcW w:w="1350" w:type="dxa"/>
            <w:gridSpan w:val="2"/>
            <w:tcBorders>
              <w:bottom w:val="single" w:sz="12" w:space="0" w:color="800000"/>
            </w:tcBorders>
          </w:tcPr>
          <w:p w:rsidR="003F5784" w14:paraId="1323A5E8" w14:textId="77777777">
            <w:pPr>
              <w:pStyle w:val="TableParagraph"/>
              <w:ind w:left="159" w:right="8"/>
              <w:jc w:val="center"/>
              <w:rPr>
                <w:sz w:val="21"/>
              </w:rPr>
            </w:pPr>
            <w:r>
              <w:rPr>
                <w:spacing w:val="-2"/>
                <w:sz w:val="21"/>
              </w:rPr>
              <w:t>19.80</w:t>
            </w:r>
          </w:p>
        </w:tc>
        <w:tc>
          <w:tcPr>
            <w:tcW w:w="1803" w:type="dxa"/>
            <w:gridSpan w:val="2"/>
            <w:tcBorders>
              <w:bottom w:val="single" w:sz="12" w:space="0" w:color="800000"/>
            </w:tcBorders>
          </w:tcPr>
          <w:p w:rsidR="003F5784" w14:paraId="59A07C3D" w14:textId="77777777">
            <w:pPr>
              <w:pStyle w:val="TableParagraph"/>
              <w:ind w:right="386"/>
              <w:rPr>
                <w:sz w:val="21"/>
              </w:rPr>
            </w:pPr>
            <w:r>
              <w:rPr>
                <w:spacing w:val="-2"/>
                <w:sz w:val="21"/>
              </w:rPr>
              <w:t>20.04</w:t>
            </w:r>
          </w:p>
        </w:tc>
        <w:tc>
          <w:tcPr>
            <w:tcW w:w="1260" w:type="dxa"/>
            <w:gridSpan w:val="2"/>
            <w:tcBorders>
              <w:bottom w:val="single" w:sz="12" w:space="0" w:color="800000"/>
            </w:tcBorders>
          </w:tcPr>
          <w:p w:rsidR="003F5784" w14:paraId="7CCB0A85" w14:textId="77777777">
            <w:pPr>
              <w:pStyle w:val="TableParagraph"/>
              <w:ind w:right="462"/>
              <w:rPr>
                <w:sz w:val="21"/>
              </w:rPr>
            </w:pPr>
            <w:r>
              <w:rPr>
                <w:spacing w:val="-5"/>
                <w:sz w:val="21"/>
              </w:rPr>
              <w:t>600</w:t>
            </w:r>
          </w:p>
        </w:tc>
        <w:tc>
          <w:tcPr>
            <w:tcW w:w="900" w:type="dxa"/>
            <w:gridSpan w:val="2"/>
            <w:tcBorders>
              <w:bottom w:val="single" w:sz="12" w:space="0" w:color="800000"/>
            </w:tcBorders>
          </w:tcPr>
          <w:p w:rsidR="003F5784" w14:paraId="145F92C5" w14:textId="77777777">
            <w:pPr>
              <w:pStyle w:val="TableParagraph"/>
              <w:ind w:left="463"/>
              <w:jc w:val="left"/>
              <w:rPr>
                <w:sz w:val="21"/>
              </w:rPr>
            </w:pPr>
            <w:r>
              <w:rPr>
                <w:spacing w:val="-4"/>
                <w:sz w:val="21"/>
              </w:rPr>
              <w:t>0.00</w:t>
            </w:r>
          </w:p>
        </w:tc>
        <w:tc>
          <w:tcPr>
            <w:tcW w:w="1260" w:type="dxa"/>
            <w:tcBorders>
              <w:bottom w:val="single" w:sz="12" w:space="0" w:color="800000"/>
            </w:tcBorders>
          </w:tcPr>
          <w:p w:rsidR="003F5784" w14:paraId="318E4C2F" w14:textId="77777777">
            <w:pPr>
              <w:pStyle w:val="TableParagraph"/>
              <w:ind w:right="22"/>
              <w:jc w:val="center"/>
              <w:rPr>
                <w:sz w:val="21"/>
              </w:rPr>
            </w:pPr>
            <w:r>
              <w:rPr>
                <w:spacing w:val="-2"/>
                <w:sz w:val="21"/>
              </w:rPr>
              <w:t>93.74</w:t>
            </w:r>
          </w:p>
        </w:tc>
        <w:tc>
          <w:tcPr>
            <w:tcW w:w="1890" w:type="dxa"/>
            <w:gridSpan w:val="2"/>
            <w:tcBorders>
              <w:bottom w:val="single" w:sz="12" w:space="0" w:color="800000"/>
            </w:tcBorders>
          </w:tcPr>
          <w:p w:rsidR="003F5784" w14:paraId="3B0D7EE4" w14:textId="77777777">
            <w:pPr>
              <w:pStyle w:val="TableParagraph"/>
              <w:ind w:right="118"/>
              <w:rPr>
                <w:sz w:val="21"/>
              </w:rPr>
            </w:pPr>
            <w:r>
              <w:rPr>
                <w:spacing w:val="-4"/>
                <w:sz w:val="21"/>
              </w:rPr>
              <w:t>3.61</w:t>
            </w:r>
          </w:p>
        </w:tc>
      </w:tr>
      <w:tr w14:paraId="3504B3A7" w14:textId="77777777" w:rsidTr="00047860">
        <w:tblPrEx>
          <w:tblW w:w="0" w:type="auto"/>
          <w:tblInd w:w="552" w:type="dxa"/>
          <w:tblLayout w:type="fixed"/>
          <w:tblCellMar>
            <w:left w:w="0" w:type="dxa"/>
            <w:right w:w="0" w:type="dxa"/>
          </w:tblCellMar>
          <w:tblLook w:val="01E0"/>
        </w:tblPrEx>
        <w:trPr>
          <w:trHeight w:val="607"/>
        </w:trPr>
        <w:tc>
          <w:tcPr>
            <w:tcW w:w="3038" w:type="dxa"/>
            <w:tcBorders>
              <w:top w:val="single" w:sz="12" w:space="0" w:color="800000"/>
            </w:tcBorders>
          </w:tcPr>
          <w:p w:rsidR="003F5784" w14:paraId="4AC45B8D" w14:textId="77777777">
            <w:pPr>
              <w:pStyle w:val="TableParagraph"/>
              <w:spacing w:before="0" w:line="239" w:lineRule="exact"/>
              <w:ind w:left="370"/>
              <w:jc w:val="left"/>
              <w:rPr>
                <w:b/>
                <w:sz w:val="21"/>
              </w:rPr>
            </w:pPr>
            <w:r>
              <w:rPr>
                <w:b/>
                <w:sz w:val="21"/>
              </w:rPr>
              <w:t>Other</w:t>
            </w:r>
            <w:r>
              <w:rPr>
                <w:b/>
                <w:spacing w:val="-11"/>
                <w:sz w:val="21"/>
              </w:rPr>
              <w:t xml:space="preserve"> </w:t>
            </w:r>
            <w:r>
              <w:rPr>
                <w:b/>
                <w:spacing w:val="-2"/>
                <w:sz w:val="21"/>
              </w:rPr>
              <w:t>jurisdictions</w:t>
            </w:r>
          </w:p>
          <w:p w:rsidR="003F5784" w14:paraId="69F91AB2" w14:textId="77777777">
            <w:pPr>
              <w:pStyle w:val="TableParagraph"/>
              <w:spacing w:before="59"/>
              <w:ind w:left="120"/>
              <w:jc w:val="left"/>
              <w:rPr>
                <w:b/>
                <w:sz w:val="17"/>
              </w:rPr>
            </w:pPr>
            <w:r>
              <w:rPr>
                <w:spacing w:val="-2"/>
                <w:sz w:val="21"/>
              </w:rPr>
              <w:t>DoDEA</w:t>
            </w:r>
            <w:r>
              <w:rPr>
                <w:b/>
                <w:spacing w:val="-2"/>
                <w:position w:val="8"/>
                <w:sz w:val="17"/>
              </w:rPr>
              <w:t>2</w:t>
            </w:r>
          </w:p>
        </w:tc>
        <w:tc>
          <w:tcPr>
            <w:tcW w:w="1681" w:type="dxa"/>
            <w:tcBorders>
              <w:top w:val="single" w:sz="12" w:space="0" w:color="800000"/>
            </w:tcBorders>
          </w:tcPr>
          <w:p w:rsidR="003F5784" w14:paraId="1481FCC7" w14:textId="77777777">
            <w:pPr>
              <w:pStyle w:val="TableParagraph"/>
              <w:spacing w:before="42"/>
              <w:jc w:val="left"/>
              <w:rPr>
                <w:sz w:val="21"/>
              </w:rPr>
            </w:pPr>
          </w:p>
          <w:p w:rsidR="003F5784" w14:paraId="59CB172A" w14:textId="77777777">
            <w:pPr>
              <w:pStyle w:val="TableParagraph"/>
              <w:spacing w:before="0"/>
              <w:ind w:right="738"/>
              <w:rPr>
                <w:sz w:val="21"/>
              </w:rPr>
            </w:pPr>
            <w:r>
              <w:rPr>
                <w:spacing w:val="-5"/>
                <w:sz w:val="21"/>
              </w:rPr>
              <w:t>60</w:t>
            </w:r>
          </w:p>
        </w:tc>
        <w:tc>
          <w:tcPr>
            <w:tcW w:w="1350" w:type="dxa"/>
            <w:gridSpan w:val="2"/>
            <w:tcBorders>
              <w:top w:val="single" w:sz="12" w:space="0" w:color="800000"/>
            </w:tcBorders>
          </w:tcPr>
          <w:p w:rsidR="003F5784" w14:paraId="5F447AED" w14:textId="77777777">
            <w:pPr>
              <w:pStyle w:val="TableParagraph"/>
              <w:spacing w:before="42"/>
              <w:jc w:val="left"/>
              <w:rPr>
                <w:sz w:val="21"/>
              </w:rPr>
            </w:pPr>
          </w:p>
          <w:p w:rsidR="003F5784" w14:paraId="612CB9AD" w14:textId="77777777">
            <w:pPr>
              <w:pStyle w:val="TableParagraph"/>
              <w:spacing w:before="0"/>
              <w:ind w:left="159" w:right="8"/>
              <w:jc w:val="center"/>
              <w:rPr>
                <w:sz w:val="21"/>
              </w:rPr>
            </w:pPr>
            <w:r>
              <w:rPr>
                <w:spacing w:val="-2"/>
                <w:sz w:val="21"/>
              </w:rPr>
              <w:t>94.14</w:t>
            </w:r>
          </w:p>
        </w:tc>
        <w:tc>
          <w:tcPr>
            <w:tcW w:w="1803" w:type="dxa"/>
            <w:gridSpan w:val="2"/>
            <w:tcBorders>
              <w:top w:val="single" w:sz="12" w:space="0" w:color="800000"/>
            </w:tcBorders>
          </w:tcPr>
          <w:p w:rsidR="003F5784" w14:paraId="0BDC0B0D" w14:textId="77777777">
            <w:pPr>
              <w:pStyle w:val="TableParagraph"/>
              <w:spacing w:before="42"/>
              <w:jc w:val="left"/>
              <w:rPr>
                <w:sz w:val="21"/>
              </w:rPr>
            </w:pPr>
          </w:p>
          <w:p w:rsidR="003F5784" w14:paraId="13A0A61A" w14:textId="77777777">
            <w:pPr>
              <w:pStyle w:val="TableParagraph"/>
              <w:spacing w:before="0"/>
              <w:ind w:right="386"/>
              <w:rPr>
                <w:sz w:val="21"/>
              </w:rPr>
            </w:pPr>
            <w:r>
              <w:rPr>
                <w:spacing w:val="-2"/>
                <w:sz w:val="21"/>
              </w:rPr>
              <w:t>86.27</w:t>
            </w:r>
          </w:p>
        </w:tc>
        <w:tc>
          <w:tcPr>
            <w:tcW w:w="1260" w:type="dxa"/>
            <w:gridSpan w:val="2"/>
            <w:tcBorders>
              <w:top w:val="single" w:sz="12" w:space="0" w:color="800000"/>
            </w:tcBorders>
          </w:tcPr>
          <w:p w:rsidR="003F5784" w14:paraId="1510E5A6" w14:textId="77777777">
            <w:pPr>
              <w:pStyle w:val="TableParagraph"/>
              <w:spacing w:before="42"/>
              <w:jc w:val="left"/>
              <w:rPr>
                <w:sz w:val="21"/>
              </w:rPr>
            </w:pPr>
          </w:p>
          <w:p w:rsidR="003F5784" w14:paraId="4446DF9B" w14:textId="77777777">
            <w:pPr>
              <w:pStyle w:val="TableParagraph"/>
              <w:spacing w:before="0"/>
              <w:ind w:right="462"/>
              <w:rPr>
                <w:sz w:val="21"/>
              </w:rPr>
            </w:pPr>
            <w:r>
              <w:rPr>
                <w:spacing w:val="-2"/>
                <w:sz w:val="21"/>
              </w:rPr>
              <w:t>2,100</w:t>
            </w:r>
          </w:p>
        </w:tc>
        <w:tc>
          <w:tcPr>
            <w:tcW w:w="900" w:type="dxa"/>
            <w:gridSpan w:val="2"/>
            <w:tcBorders>
              <w:top w:val="single" w:sz="12" w:space="0" w:color="800000"/>
            </w:tcBorders>
          </w:tcPr>
          <w:p w:rsidR="003F5784" w14:paraId="6DFD1007" w14:textId="77777777">
            <w:pPr>
              <w:pStyle w:val="TableParagraph"/>
              <w:spacing w:before="42"/>
              <w:jc w:val="left"/>
              <w:rPr>
                <w:sz w:val="21"/>
              </w:rPr>
            </w:pPr>
          </w:p>
          <w:p w:rsidR="003F5784" w14:paraId="205CCAC4" w14:textId="77777777">
            <w:pPr>
              <w:pStyle w:val="TableParagraph"/>
              <w:spacing w:before="0"/>
              <w:ind w:left="463"/>
              <w:jc w:val="left"/>
              <w:rPr>
                <w:sz w:val="21"/>
              </w:rPr>
            </w:pPr>
            <w:r>
              <w:rPr>
                <w:spacing w:val="-4"/>
                <w:sz w:val="21"/>
              </w:rPr>
              <w:t>1.12</w:t>
            </w:r>
          </w:p>
        </w:tc>
        <w:tc>
          <w:tcPr>
            <w:tcW w:w="1260" w:type="dxa"/>
            <w:tcBorders>
              <w:top w:val="single" w:sz="12" w:space="0" w:color="800000"/>
            </w:tcBorders>
          </w:tcPr>
          <w:p w:rsidR="003F5784" w14:paraId="22DB7C2C" w14:textId="77777777">
            <w:pPr>
              <w:pStyle w:val="TableParagraph"/>
              <w:spacing w:before="42"/>
              <w:jc w:val="left"/>
              <w:rPr>
                <w:sz w:val="21"/>
              </w:rPr>
            </w:pPr>
          </w:p>
          <w:p w:rsidR="003F5784" w14:paraId="59377BF3" w14:textId="77777777">
            <w:pPr>
              <w:pStyle w:val="TableParagraph"/>
              <w:spacing w:before="0"/>
              <w:ind w:right="22"/>
              <w:jc w:val="center"/>
              <w:rPr>
                <w:sz w:val="21"/>
              </w:rPr>
            </w:pPr>
            <w:r>
              <w:rPr>
                <w:spacing w:val="-2"/>
                <w:sz w:val="21"/>
              </w:rPr>
              <w:t>89.55</w:t>
            </w:r>
          </w:p>
        </w:tc>
        <w:tc>
          <w:tcPr>
            <w:tcW w:w="1890" w:type="dxa"/>
            <w:gridSpan w:val="2"/>
            <w:tcBorders>
              <w:top w:val="single" w:sz="12" w:space="0" w:color="800000"/>
            </w:tcBorders>
          </w:tcPr>
          <w:p w:rsidR="003F5784" w14:paraId="409AFC8F" w14:textId="77777777">
            <w:pPr>
              <w:pStyle w:val="TableParagraph"/>
              <w:spacing w:before="42"/>
              <w:jc w:val="left"/>
              <w:rPr>
                <w:sz w:val="21"/>
              </w:rPr>
            </w:pPr>
          </w:p>
          <w:p w:rsidR="003F5784" w14:paraId="14D7C747" w14:textId="77777777">
            <w:pPr>
              <w:pStyle w:val="TableParagraph"/>
              <w:spacing w:before="0"/>
              <w:ind w:right="118"/>
              <w:rPr>
                <w:sz w:val="21"/>
              </w:rPr>
            </w:pPr>
            <w:r>
              <w:rPr>
                <w:spacing w:val="-2"/>
                <w:sz w:val="21"/>
              </w:rPr>
              <w:t>13.29</w:t>
            </w:r>
          </w:p>
        </w:tc>
      </w:tr>
      <w:tr w14:paraId="61468DE7" w14:textId="77777777" w:rsidTr="00047860">
        <w:tblPrEx>
          <w:tblW w:w="0" w:type="auto"/>
          <w:tblInd w:w="552" w:type="dxa"/>
          <w:tblLayout w:type="fixed"/>
          <w:tblCellMar>
            <w:left w:w="0" w:type="dxa"/>
            <w:right w:w="0" w:type="dxa"/>
          </w:tblCellMar>
          <w:tblLook w:val="01E0"/>
        </w:tblPrEx>
        <w:trPr>
          <w:trHeight w:val="286"/>
        </w:trPr>
        <w:tc>
          <w:tcPr>
            <w:tcW w:w="3038" w:type="dxa"/>
            <w:tcBorders>
              <w:bottom w:val="single" w:sz="18" w:space="0" w:color="800000"/>
            </w:tcBorders>
          </w:tcPr>
          <w:p w:rsidR="003F5784" w14:paraId="106CE4BD" w14:textId="77777777">
            <w:pPr>
              <w:pStyle w:val="TableParagraph"/>
              <w:spacing w:before="15"/>
              <w:ind w:left="120"/>
              <w:jc w:val="left"/>
              <w:rPr>
                <w:sz w:val="21"/>
              </w:rPr>
            </w:pPr>
            <w:r>
              <w:rPr>
                <w:sz w:val="21"/>
              </w:rPr>
              <w:t>Puerto</w:t>
            </w:r>
            <w:r>
              <w:rPr>
                <w:spacing w:val="-7"/>
                <w:sz w:val="21"/>
              </w:rPr>
              <w:t xml:space="preserve"> </w:t>
            </w:r>
            <w:r>
              <w:rPr>
                <w:spacing w:val="-4"/>
                <w:sz w:val="21"/>
              </w:rPr>
              <w:t>Rico</w:t>
            </w:r>
          </w:p>
        </w:tc>
        <w:tc>
          <w:tcPr>
            <w:tcW w:w="1681" w:type="dxa"/>
            <w:tcBorders>
              <w:bottom w:val="single" w:sz="18" w:space="0" w:color="800000"/>
            </w:tcBorders>
          </w:tcPr>
          <w:p w:rsidR="003F5784" w14:paraId="3C8FDCAF" w14:textId="77777777">
            <w:pPr>
              <w:pStyle w:val="TableParagraph"/>
              <w:spacing w:before="15"/>
              <w:ind w:right="738"/>
              <w:rPr>
                <w:sz w:val="21"/>
              </w:rPr>
            </w:pPr>
            <w:r>
              <w:rPr>
                <w:spacing w:val="-5"/>
                <w:sz w:val="21"/>
              </w:rPr>
              <w:t>150</w:t>
            </w:r>
          </w:p>
        </w:tc>
        <w:tc>
          <w:tcPr>
            <w:tcW w:w="1350" w:type="dxa"/>
            <w:gridSpan w:val="2"/>
            <w:tcBorders>
              <w:bottom w:val="single" w:sz="18" w:space="0" w:color="800000"/>
            </w:tcBorders>
          </w:tcPr>
          <w:p w:rsidR="003F5784" w14:paraId="7611FDFD" w14:textId="77777777">
            <w:pPr>
              <w:pStyle w:val="TableParagraph"/>
              <w:spacing w:before="15"/>
              <w:ind w:left="159" w:right="112"/>
              <w:jc w:val="center"/>
              <w:rPr>
                <w:sz w:val="21"/>
              </w:rPr>
            </w:pPr>
            <w:r>
              <w:rPr>
                <w:spacing w:val="-2"/>
                <w:sz w:val="21"/>
              </w:rPr>
              <w:t>100.00</w:t>
            </w:r>
          </w:p>
        </w:tc>
        <w:tc>
          <w:tcPr>
            <w:tcW w:w="1803" w:type="dxa"/>
            <w:gridSpan w:val="2"/>
            <w:tcBorders>
              <w:bottom w:val="single" w:sz="18" w:space="0" w:color="800000"/>
            </w:tcBorders>
          </w:tcPr>
          <w:p w:rsidR="003F5784" w14:paraId="2B49B9A3" w14:textId="77777777">
            <w:pPr>
              <w:pStyle w:val="TableParagraph"/>
              <w:spacing w:before="15"/>
              <w:ind w:right="386"/>
              <w:rPr>
                <w:sz w:val="21"/>
              </w:rPr>
            </w:pPr>
            <w:r>
              <w:rPr>
                <w:spacing w:val="-2"/>
                <w:sz w:val="21"/>
              </w:rPr>
              <w:t>100.00</w:t>
            </w:r>
          </w:p>
        </w:tc>
        <w:tc>
          <w:tcPr>
            <w:tcW w:w="1260" w:type="dxa"/>
            <w:gridSpan w:val="2"/>
            <w:tcBorders>
              <w:bottom w:val="single" w:sz="18" w:space="0" w:color="800000"/>
            </w:tcBorders>
          </w:tcPr>
          <w:p w:rsidR="003F5784" w14:paraId="46637D41" w14:textId="77777777">
            <w:pPr>
              <w:pStyle w:val="TableParagraph"/>
              <w:spacing w:before="15"/>
              <w:ind w:right="462"/>
              <w:rPr>
                <w:sz w:val="21"/>
              </w:rPr>
            </w:pPr>
            <w:r>
              <w:rPr>
                <w:spacing w:val="-2"/>
                <w:sz w:val="21"/>
              </w:rPr>
              <w:t>3,600</w:t>
            </w:r>
          </w:p>
        </w:tc>
        <w:tc>
          <w:tcPr>
            <w:tcW w:w="900" w:type="dxa"/>
            <w:gridSpan w:val="2"/>
            <w:tcBorders>
              <w:bottom w:val="single" w:sz="18" w:space="0" w:color="800000"/>
            </w:tcBorders>
          </w:tcPr>
          <w:p w:rsidR="003F5784" w14:paraId="71C8F4B0" w14:textId="77777777">
            <w:pPr>
              <w:pStyle w:val="TableParagraph"/>
              <w:spacing w:before="15"/>
              <w:ind w:left="463"/>
              <w:jc w:val="left"/>
              <w:rPr>
                <w:sz w:val="21"/>
              </w:rPr>
            </w:pPr>
            <w:r>
              <w:rPr>
                <w:spacing w:val="-4"/>
                <w:sz w:val="21"/>
              </w:rPr>
              <w:t>0.06</w:t>
            </w:r>
          </w:p>
        </w:tc>
        <w:tc>
          <w:tcPr>
            <w:tcW w:w="1260" w:type="dxa"/>
            <w:tcBorders>
              <w:bottom w:val="single" w:sz="18" w:space="0" w:color="800000"/>
            </w:tcBorders>
          </w:tcPr>
          <w:p w:rsidR="003F5784" w14:paraId="455FE81E" w14:textId="77777777">
            <w:pPr>
              <w:pStyle w:val="TableParagraph"/>
              <w:spacing w:before="15"/>
              <w:ind w:right="22"/>
              <w:jc w:val="center"/>
              <w:rPr>
                <w:sz w:val="21"/>
              </w:rPr>
            </w:pPr>
            <w:r>
              <w:rPr>
                <w:spacing w:val="-2"/>
                <w:sz w:val="21"/>
              </w:rPr>
              <w:t>91.07</w:t>
            </w:r>
          </w:p>
        </w:tc>
        <w:tc>
          <w:tcPr>
            <w:tcW w:w="1890" w:type="dxa"/>
            <w:gridSpan w:val="2"/>
            <w:tcBorders>
              <w:bottom w:val="single" w:sz="18" w:space="0" w:color="800000"/>
            </w:tcBorders>
          </w:tcPr>
          <w:p w:rsidR="003F5784" w14:paraId="0B589B32" w14:textId="77777777">
            <w:pPr>
              <w:pStyle w:val="TableParagraph"/>
              <w:spacing w:before="15"/>
              <w:ind w:right="118"/>
              <w:rPr>
                <w:sz w:val="21"/>
              </w:rPr>
            </w:pPr>
            <w:r>
              <w:rPr>
                <w:spacing w:val="-2"/>
                <w:sz w:val="21"/>
              </w:rPr>
              <w:t>30.04</w:t>
            </w:r>
          </w:p>
        </w:tc>
      </w:tr>
    </w:tbl>
    <w:p w:rsidR="003F5784" w14:paraId="6ABEAE5B" w14:textId="77777777">
      <w:pPr>
        <w:pStyle w:val="BodyText"/>
        <w:spacing w:before="39" w:line="232" w:lineRule="auto"/>
        <w:ind w:left="595" w:right="318"/>
      </w:pPr>
      <w:r>
        <w:rPr>
          <w:position w:val="9"/>
          <w:sz w:val="17"/>
        </w:rPr>
        <w:t>1</w:t>
      </w:r>
      <w:r>
        <w:t>1</w:t>
      </w:r>
      <w:r>
        <w:rPr>
          <w:position w:val="9"/>
          <w:sz w:val="17"/>
        </w:rPr>
        <w:t xml:space="preserve">1 </w:t>
      </w:r>
      <w:r>
        <w:rPr>
          <w:position w:val="1"/>
        </w:rPr>
        <w:t>Includes</w:t>
      </w:r>
      <w:r>
        <w:rPr>
          <w:spacing w:val="-6"/>
          <w:position w:val="1"/>
        </w:rPr>
        <w:t xml:space="preserve"> </w:t>
      </w:r>
      <w:r>
        <w:rPr>
          <w:position w:val="1"/>
        </w:rPr>
        <w:t>national</w:t>
      </w:r>
      <w:r>
        <w:rPr>
          <w:spacing w:val="-6"/>
          <w:position w:val="1"/>
        </w:rPr>
        <w:t xml:space="preserve"> </w:t>
      </w:r>
      <w:r>
        <w:rPr>
          <w:position w:val="1"/>
        </w:rPr>
        <w:t>public</w:t>
      </w:r>
      <w:r>
        <w:rPr>
          <w:spacing w:val="-6"/>
          <w:position w:val="1"/>
        </w:rPr>
        <w:t xml:space="preserve"> </w:t>
      </w:r>
      <w:r>
        <w:rPr>
          <w:position w:val="1"/>
        </w:rPr>
        <w:t>and</w:t>
      </w:r>
      <w:r>
        <w:rPr>
          <w:spacing w:val="-6"/>
          <w:position w:val="1"/>
        </w:rPr>
        <w:t xml:space="preserve"> </w:t>
      </w:r>
      <w:r>
        <w:rPr>
          <w:position w:val="1"/>
        </w:rPr>
        <w:t>national</w:t>
      </w:r>
      <w:r>
        <w:rPr>
          <w:spacing w:val="-6"/>
          <w:position w:val="1"/>
        </w:rPr>
        <w:t xml:space="preserve"> </w:t>
      </w:r>
      <w:r>
        <w:rPr>
          <w:position w:val="1"/>
        </w:rPr>
        <w:t>private</w:t>
      </w:r>
      <w:r>
        <w:rPr>
          <w:spacing w:val="-6"/>
          <w:position w:val="1"/>
        </w:rPr>
        <w:t xml:space="preserve"> </w:t>
      </w:r>
      <w:r>
        <w:rPr>
          <w:position w:val="1"/>
        </w:rPr>
        <w:t>schools</w:t>
      </w:r>
      <w:r>
        <w:rPr>
          <w:spacing w:val="-6"/>
          <w:position w:val="1"/>
        </w:rPr>
        <w:t xml:space="preserve"> </w:t>
      </w:r>
      <w:r>
        <w:rPr>
          <w:position w:val="1"/>
        </w:rPr>
        <w:t>located</w:t>
      </w:r>
      <w:r>
        <w:rPr>
          <w:spacing w:val="-6"/>
          <w:position w:val="1"/>
        </w:rPr>
        <w:t xml:space="preserve"> </w:t>
      </w:r>
      <w:r>
        <w:rPr>
          <w:position w:val="1"/>
        </w:rPr>
        <w:t>in</w:t>
      </w:r>
      <w:r>
        <w:rPr>
          <w:spacing w:val="-6"/>
          <w:position w:val="1"/>
        </w:rPr>
        <w:t xml:space="preserve"> </w:t>
      </w:r>
      <w:r>
        <w:rPr>
          <w:position w:val="1"/>
        </w:rPr>
        <w:t>the</w:t>
      </w:r>
      <w:r>
        <w:rPr>
          <w:spacing w:val="-6"/>
          <w:position w:val="1"/>
        </w:rPr>
        <w:t xml:space="preserve"> </w:t>
      </w:r>
      <w:r>
        <w:rPr>
          <w:position w:val="1"/>
        </w:rPr>
        <w:t>United</w:t>
      </w:r>
      <w:r>
        <w:rPr>
          <w:spacing w:val="-6"/>
          <w:position w:val="1"/>
        </w:rPr>
        <w:t xml:space="preserve"> </w:t>
      </w:r>
      <w:r>
        <w:rPr>
          <w:position w:val="1"/>
        </w:rPr>
        <w:t>States</w:t>
      </w:r>
      <w:r>
        <w:rPr>
          <w:spacing w:val="-6"/>
          <w:position w:val="1"/>
        </w:rPr>
        <w:t xml:space="preserve"> </w:t>
      </w:r>
      <w:r>
        <w:rPr>
          <w:position w:val="1"/>
        </w:rPr>
        <w:t>and</w:t>
      </w:r>
      <w:r>
        <w:rPr>
          <w:spacing w:val="-6"/>
          <w:position w:val="1"/>
        </w:rPr>
        <w:t xml:space="preserve"> </w:t>
      </w:r>
      <w:r>
        <w:rPr>
          <w:position w:val="1"/>
        </w:rPr>
        <w:t>all</w:t>
      </w:r>
      <w:r>
        <w:rPr>
          <w:spacing w:val="-6"/>
          <w:position w:val="1"/>
        </w:rPr>
        <w:t xml:space="preserve"> </w:t>
      </w:r>
      <w:r>
        <w:rPr>
          <w:position w:val="1"/>
        </w:rPr>
        <w:t>Department</w:t>
      </w:r>
      <w:r>
        <w:rPr>
          <w:spacing w:val="-6"/>
          <w:position w:val="1"/>
        </w:rPr>
        <w:t xml:space="preserve"> </w:t>
      </w:r>
      <w:r>
        <w:rPr>
          <w:position w:val="1"/>
        </w:rPr>
        <w:t>of</w:t>
      </w:r>
      <w:r>
        <w:rPr>
          <w:spacing w:val="-6"/>
          <w:position w:val="1"/>
        </w:rPr>
        <w:t xml:space="preserve"> </w:t>
      </w:r>
      <w:r>
        <w:rPr>
          <w:position w:val="1"/>
        </w:rPr>
        <w:t>Defense</w:t>
      </w:r>
      <w:r>
        <w:rPr>
          <w:spacing w:val="-6"/>
          <w:position w:val="1"/>
        </w:rPr>
        <w:t xml:space="preserve"> </w:t>
      </w:r>
      <w:r>
        <w:rPr>
          <w:position w:val="1"/>
        </w:rPr>
        <w:t>Education</w:t>
      </w:r>
      <w:r>
        <w:rPr>
          <w:spacing w:val="-14"/>
          <w:position w:val="1"/>
        </w:rPr>
        <w:t xml:space="preserve"> </w:t>
      </w:r>
      <w:r>
        <w:rPr>
          <w:position w:val="1"/>
        </w:rPr>
        <w:t>Activity</w:t>
      </w:r>
      <w:r>
        <w:rPr>
          <w:spacing w:val="-5"/>
          <w:position w:val="1"/>
        </w:rPr>
        <w:t xml:space="preserve"> </w:t>
      </w:r>
      <w:r>
        <w:rPr>
          <w:position w:val="1"/>
        </w:rPr>
        <w:t>schools,</w:t>
      </w:r>
      <w:r>
        <w:rPr>
          <w:spacing w:val="-6"/>
          <w:position w:val="1"/>
        </w:rPr>
        <w:t xml:space="preserve"> </w:t>
      </w:r>
      <w:r>
        <w:rPr>
          <w:position w:val="1"/>
        </w:rPr>
        <w:t>but</w:t>
      </w:r>
      <w:r>
        <w:rPr>
          <w:spacing w:val="-6"/>
          <w:position w:val="1"/>
        </w:rPr>
        <w:t xml:space="preserve"> </w:t>
      </w:r>
      <w:r>
        <w:rPr>
          <w:position w:val="1"/>
        </w:rPr>
        <w:t>not</w:t>
      </w:r>
      <w:r>
        <w:rPr>
          <w:spacing w:val="-6"/>
          <w:position w:val="1"/>
        </w:rPr>
        <w:t xml:space="preserve"> </w:t>
      </w:r>
      <w:r>
        <w:rPr>
          <w:position w:val="1"/>
        </w:rPr>
        <w:t>schools</w:t>
      </w:r>
      <w:r>
        <w:rPr>
          <w:spacing w:val="-6"/>
          <w:position w:val="1"/>
        </w:rPr>
        <w:t xml:space="preserve"> </w:t>
      </w:r>
      <w:r>
        <w:rPr>
          <w:position w:val="1"/>
        </w:rPr>
        <w:t xml:space="preserve">in </w:t>
      </w:r>
      <w:r>
        <w:t>Puerto Rico.</w:t>
      </w:r>
    </w:p>
    <w:p w:rsidR="003F5784" w14:paraId="3033D84A" w14:textId="77777777">
      <w:pPr>
        <w:pStyle w:val="BodyText"/>
        <w:spacing w:before="8" w:line="279" w:lineRule="exact"/>
        <w:ind w:left="595"/>
      </w:pPr>
      <w:r>
        <w:rPr>
          <w:position w:val="8"/>
          <w:sz w:val="17"/>
        </w:rPr>
        <w:t>2</w:t>
      </w:r>
      <w:r>
        <w:t>2</w:t>
      </w:r>
      <w:r>
        <w:rPr>
          <w:position w:val="8"/>
          <w:sz w:val="17"/>
        </w:rPr>
        <w:t xml:space="preserve">2 </w:t>
      </w:r>
      <w:r>
        <w:t>Department</w:t>
      </w:r>
      <w:r>
        <w:rPr>
          <w:spacing w:val="-7"/>
        </w:rPr>
        <w:t xml:space="preserve"> </w:t>
      </w:r>
      <w:r>
        <w:t>of</w:t>
      </w:r>
      <w:r>
        <w:rPr>
          <w:spacing w:val="-6"/>
        </w:rPr>
        <w:t xml:space="preserve"> </w:t>
      </w:r>
      <w:r>
        <w:t>Defense</w:t>
      </w:r>
      <w:r>
        <w:rPr>
          <w:spacing w:val="-6"/>
        </w:rPr>
        <w:t xml:space="preserve"> </w:t>
      </w:r>
      <w:r>
        <w:t>Education</w:t>
      </w:r>
      <w:r>
        <w:rPr>
          <w:spacing w:val="-14"/>
        </w:rPr>
        <w:t xml:space="preserve"> </w:t>
      </w:r>
      <w:r>
        <w:t>Activity</w:t>
      </w:r>
      <w:r>
        <w:rPr>
          <w:spacing w:val="-6"/>
        </w:rPr>
        <w:t xml:space="preserve"> </w:t>
      </w:r>
      <w:r>
        <w:rPr>
          <w:spacing w:val="-2"/>
        </w:rPr>
        <w:t>schools.</w:t>
      </w:r>
    </w:p>
    <w:p w:rsidR="003F5784" w14:paraId="4FFD52B1" w14:textId="77777777">
      <w:pPr>
        <w:pStyle w:val="BodyText"/>
        <w:spacing w:before="1" w:line="232" w:lineRule="auto"/>
        <w:ind w:left="595" w:right="318"/>
      </w:pPr>
      <w:r>
        <w:t>NOTE: Numbers of schools are rounded to nearest ten, and numbers of students are rounded to nearest hundred. Detail may not sum to totals due to rounding. 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Mathematics Assessment.</w:t>
      </w:r>
    </w:p>
    <w:p w:rsidR="003F5784" w14:paraId="445A38E7" w14:textId="77777777">
      <w:pPr>
        <w:pStyle w:val="BodyText"/>
      </w:pPr>
    </w:p>
    <w:p w:rsidR="003F5784" w14:paraId="5445BF46" w14:textId="77777777">
      <w:pPr>
        <w:pStyle w:val="BodyText"/>
      </w:pPr>
    </w:p>
    <w:p w:rsidR="003F5784" w14:paraId="12C7B39A" w14:textId="77777777">
      <w:pPr>
        <w:pStyle w:val="BodyText"/>
        <w:spacing w:before="197"/>
      </w:pPr>
    </w:p>
    <w:p w:rsidR="003F5784" w14:paraId="1241E640" w14:textId="77777777">
      <w:pPr>
        <w:spacing w:before="1"/>
        <w:ind w:left="2165"/>
        <w:rPr>
          <w:sz w:val="18"/>
        </w:rPr>
      </w:pPr>
      <w:hyperlink r:id="rId559">
        <w:r>
          <w:rPr>
            <w:spacing w:val="-2"/>
            <w:w w:val="105"/>
            <w:sz w:val="18"/>
          </w:rPr>
          <w:t>http://nces.ed.gov/nationsreportcard/tdw/weighting/2022/participation_exclusion_and_accommodation_rates_for_grade_8_mathematics_for_the_2022_assessment.aspx</w:t>
        </w:r>
      </w:hyperlink>
    </w:p>
    <w:p w:rsidR="003F5784" w14:paraId="052AEDC9" w14:textId="77777777">
      <w:pPr>
        <w:pStyle w:val="BodyText"/>
        <w:rPr>
          <w:sz w:val="16"/>
        </w:rPr>
      </w:pPr>
      <w:r>
        <w:rPr>
          <w:noProof/>
        </w:rPr>
        <mc:AlternateContent>
          <mc:Choice Requires="wps">
            <w:drawing>
              <wp:anchor distT="0" distB="0" distL="0" distR="0" simplePos="0" relativeHeight="252046336" behindDoc="1" locked="0" layoutInCell="1" allowOverlap="1">
                <wp:simplePos x="0" y="0"/>
                <wp:positionH relativeFrom="page">
                  <wp:posOffset>361937</wp:posOffset>
                </wp:positionH>
                <wp:positionV relativeFrom="paragraph">
                  <wp:posOffset>132328</wp:posOffset>
                </wp:positionV>
                <wp:extent cx="9339580" cy="8890"/>
                <wp:effectExtent l="0" t="0" r="0" b="0"/>
                <wp:wrapTopAndBottom/>
                <wp:docPr id="713" name="Graphic 713"/>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318"/>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713" o:spid="_x0000_s1226" style="width:735.4pt;height:0.7pt;margin-top:10.4pt;margin-left:28.5pt;mso-position-horizontal-relative:page;mso-wrap-distance-bottom:0;mso-wrap-distance-left:0;mso-wrap-distance-right:0;mso-wrap-distance-top:0;mso-wrap-style:square;position:absolute;visibility:visible;v-text-anchor:top;z-index:-251269120" coordsize="9339580,8890" path="m9338970,l9335110,l,,,8280l8280,8318l9335110,8280l9338970,8280l9338970,xe" fillcolor="gray" stroked="f">
                <v:path arrowok="t"/>
                <w10:wrap type="topAndBottom"/>
              </v:shape>
            </w:pict>
          </mc:Fallback>
        </mc:AlternateContent>
      </w:r>
    </w:p>
    <w:p w:rsidR="003F5784" w14:paraId="5AF0E4E6" w14:textId="77777777">
      <w:pPr>
        <w:pStyle w:val="BodyText"/>
        <w:rPr>
          <w:sz w:val="18"/>
        </w:rPr>
      </w:pPr>
    </w:p>
    <w:p w:rsidR="003F5784" w14:paraId="668A4430" w14:textId="77777777">
      <w:pPr>
        <w:pStyle w:val="BodyText"/>
        <w:spacing w:before="193"/>
        <w:rPr>
          <w:sz w:val="18"/>
        </w:rPr>
      </w:pPr>
    </w:p>
    <w:p w:rsidR="003F5784" w14:paraId="6166D035" w14:textId="2609203B">
      <w:pPr>
        <w:pStyle w:val="Heading1"/>
        <w:spacing w:line="244" w:lineRule="auto"/>
        <w:ind w:right="179"/>
      </w:pPr>
      <w:r>
        <w:t>NAEP</w:t>
      </w:r>
      <w:r>
        <w:rPr>
          <w:spacing w:val="-5"/>
        </w:rPr>
        <w:t xml:space="preserve"> </w:t>
      </w:r>
      <w:r>
        <w:t>Technical Documentation</w:t>
      </w:r>
      <w:r w:rsidR="00047860">
        <w:t xml:space="preserve"> </w:t>
      </w:r>
      <w:r>
        <w:t>Participation, Exclusion, and Accommodation Rates for Grade 8 Reading</w:t>
      </w:r>
    </w:p>
    <w:p w:rsidR="003F5784" w14:paraId="404E7B3D" w14:textId="77777777">
      <w:pPr>
        <w:pStyle w:val="BodyText"/>
        <w:spacing w:before="287" w:line="232" w:lineRule="auto"/>
        <w:ind w:left="109" w:right="179"/>
      </w:pPr>
      <w:r>
        <w:t>The following table displays the school- and student-level response, exclusion, and accommodation rates for the grade 8 reading assessment by school type and jurisdiction. Various</w:t>
      </w:r>
      <w:r>
        <w:rPr>
          <w:spacing w:val="-6"/>
        </w:rPr>
        <w:t xml:space="preserve"> </w:t>
      </w:r>
      <w:r>
        <w:t>weights</w:t>
      </w:r>
      <w:r>
        <w:rPr>
          <w:spacing w:val="-6"/>
        </w:rPr>
        <w:t xml:space="preserve"> </w:t>
      </w:r>
      <w:r>
        <w:t>were</w:t>
      </w:r>
      <w:r>
        <w:rPr>
          <w:spacing w:val="-6"/>
        </w:rPr>
        <w:t xml:space="preserve"> </w:t>
      </w:r>
      <w:r>
        <w:t>used</w:t>
      </w:r>
      <w:r>
        <w:rPr>
          <w:spacing w:val="-6"/>
        </w:rPr>
        <w:t xml:space="preserve"> </w:t>
      </w:r>
      <w:r>
        <w:t>in</w:t>
      </w:r>
      <w:r>
        <w:rPr>
          <w:spacing w:val="-6"/>
        </w:rPr>
        <w:t xml:space="preserve"> </w:t>
      </w:r>
      <w:r>
        <w:t>the</w:t>
      </w:r>
      <w:r>
        <w:rPr>
          <w:spacing w:val="-6"/>
        </w:rPr>
        <w:t xml:space="preserve"> </w:t>
      </w:r>
      <w:r>
        <w:t>calculation</w:t>
      </w:r>
      <w:r>
        <w:rPr>
          <w:spacing w:val="-6"/>
        </w:rPr>
        <w:t xml:space="preserve"> </w:t>
      </w:r>
      <w:r>
        <w:t>of</w:t>
      </w:r>
      <w:r>
        <w:rPr>
          <w:spacing w:val="-6"/>
        </w:rPr>
        <w:t xml:space="preserve"> </w:t>
      </w:r>
      <w:r>
        <w:t>the</w:t>
      </w:r>
      <w:r>
        <w:rPr>
          <w:spacing w:val="-6"/>
        </w:rPr>
        <w:t xml:space="preserve"> </w:t>
      </w:r>
      <w:r>
        <w:t>rates,</w:t>
      </w:r>
      <w:r>
        <w:rPr>
          <w:spacing w:val="-6"/>
        </w:rPr>
        <w:t xml:space="preserve"> </w:t>
      </w:r>
      <w:r>
        <w:t>as</w:t>
      </w:r>
      <w:r>
        <w:rPr>
          <w:spacing w:val="-6"/>
        </w:rPr>
        <w:t xml:space="preserve"> </w:t>
      </w:r>
      <w:r>
        <w:t>indicated</w:t>
      </w:r>
      <w:r>
        <w:rPr>
          <w:spacing w:val="-6"/>
        </w:rPr>
        <w:t xml:space="preserve"> </w:t>
      </w:r>
      <w:r>
        <w:t>in</w:t>
      </w:r>
      <w:r>
        <w:rPr>
          <w:spacing w:val="-6"/>
        </w:rPr>
        <w:t xml:space="preserve"> </w:t>
      </w:r>
      <w:r>
        <w:t>the</w:t>
      </w:r>
      <w:r>
        <w:rPr>
          <w:spacing w:val="-6"/>
        </w:rPr>
        <w:t xml:space="preserve"> </w:t>
      </w:r>
      <w:r>
        <w:t>column</w:t>
      </w:r>
      <w:r>
        <w:rPr>
          <w:spacing w:val="-6"/>
        </w:rPr>
        <w:t xml:space="preserve"> </w:t>
      </w:r>
      <w:r>
        <w:t>headings</w:t>
      </w:r>
      <w:r>
        <w:rPr>
          <w:spacing w:val="-6"/>
        </w:rPr>
        <w:t xml:space="preserve"> </w:t>
      </w:r>
      <w:r>
        <w:t>of</w:t>
      </w:r>
      <w:r>
        <w:rPr>
          <w:spacing w:val="-6"/>
        </w:rPr>
        <w:t xml:space="preserve"> </w:t>
      </w:r>
      <w:r>
        <w:t>the</w:t>
      </w:r>
      <w:r>
        <w:rPr>
          <w:spacing w:val="-6"/>
        </w:rPr>
        <w:t xml:space="preserve"> </w:t>
      </w:r>
      <w:r>
        <w:t>table.</w:t>
      </w:r>
      <w:r>
        <w:rPr>
          <w:spacing w:val="-10"/>
        </w:rPr>
        <w:t xml:space="preserve"> </w:t>
      </w:r>
      <w:r>
        <w:t>The</w:t>
      </w:r>
      <w:r>
        <w:rPr>
          <w:spacing w:val="-6"/>
        </w:rPr>
        <w:t xml:space="preserve"> </w:t>
      </w:r>
      <w:r>
        <w:t>participation</w:t>
      </w:r>
      <w:r>
        <w:rPr>
          <w:spacing w:val="-6"/>
        </w:rPr>
        <w:t xml:space="preserve"> </w:t>
      </w:r>
      <w:r>
        <w:t>rates</w:t>
      </w:r>
      <w:r>
        <w:rPr>
          <w:spacing w:val="-6"/>
        </w:rPr>
        <w:t xml:space="preserve"> </w:t>
      </w:r>
      <w:r>
        <w:t>reflect</w:t>
      </w:r>
      <w:r>
        <w:rPr>
          <w:spacing w:val="-6"/>
        </w:rPr>
        <w:t xml:space="preserve"> </w:t>
      </w:r>
      <w:r>
        <w:t>the</w:t>
      </w:r>
      <w:r>
        <w:rPr>
          <w:spacing w:val="-6"/>
        </w:rPr>
        <w:t xml:space="preserve"> </w:t>
      </w:r>
      <w:r>
        <w:t>participation</w:t>
      </w:r>
      <w:r>
        <w:rPr>
          <w:spacing w:val="-6"/>
        </w:rPr>
        <w:t xml:space="preserve"> </w:t>
      </w:r>
      <w:r>
        <w:t>of</w:t>
      </w:r>
      <w:r>
        <w:rPr>
          <w:spacing w:val="-6"/>
        </w:rPr>
        <w:t xml:space="preserve"> </w:t>
      </w:r>
      <w:r>
        <w:t>the</w:t>
      </w:r>
      <w:r>
        <w:rPr>
          <w:spacing w:val="-6"/>
        </w:rPr>
        <w:t xml:space="preserve"> </w:t>
      </w:r>
      <w:r>
        <w:t>original</w:t>
      </w:r>
      <w:r>
        <w:rPr>
          <w:spacing w:val="-6"/>
        </w:rPr>
        <w:t xml:space="preserve"> </w:t>
      </w:r>
      <w:r>
        <w:t>sample schools only and do not reflect any effect of substitution.</w:t>
      </w:r>
      <w:r>
        <w:rPr>
          <w:spacing w:val="-4"/>
        </w:rPr>
        <w:t xml:space="preserve"> </w:t>
      </w:r>
      <w:r>
        <w:t>The rates weighted by the base weight and enrollment show the approximate proportion of the student population in the jurisdiction that is represented by the responding schools in the sample.</w:t>
      </w:r>
      <w:r>
        <w:rPr>
          <w:spacing w:val="-3"/>
        </w:rPr>
        <w:t xml:space="preserve"> </w:t>
      </w:r>
      <w:r>
        <w:t>The rates weighted by just the base weight show the proportion of the school population that is represented by the responding schools in the sample. These rates differ because schools differ in size.</w:t>
      </w:r>
    </w:p>
    <w:p w:rsidR="003F5784" w14:paraId="1DDAA1EA" w14:textId="77777777">
      <w:pPr>
        <w:pStyle w:val="BodyText"/>
        <w:spacing w:before="93"/>
      </w:pPr>
    </w:p>
    <w:p w:rsidR="003F5784" w14:paraId="67823DCF" w14:textId="77777777">
      <w:pPr>
        <w:pStyle w:val="Heading2"/>
      </w:pPr>
      <w:r>
        <w:t>Participation,</w:t>
      </w:r>
      <w:r>
        <w:rPr>
          <w:spacing w:val="-8"/>
        </w:rPr>
        <w:t xml:space="preserve"> </w:t>
      </w:r>
      <w:r>
        <w:t>exclusion,</w:t>
      </w:r>
      <w:r>
        <w:rPr>
          <w:spacing w:val="-8"/>
        </w:rPr>
        <w:t xml:space="preserve"> </w:t>
      </w:r>
      <w:r>
        <w:t>and</w:t>
      </w:r>
      <w:r>
        <w:rPr>
          <w:spacing w:val="-8"/>
        </w:rPr>
        <w:t xml:space="preserve"> </w:t>
      </w:r>
      <w:r>
        <w:t>accommodation</w:t>
      </w:r>
      <w:r>
        <w:rPr>
          <w:spacing w:val="-7"/>
        </w:rPr>
        <w:t xml:space="preserve"> </w:t>
      </w:r>
      <w:r>
        <w:t>rates,</w:t>
      </w:r>
      <w:r>
        <w:rPr>
          <w:spacing w:val="-8"/>
        </w:rPr>
        <w:t xml:space="preserve"> </w:t>
      </w:r>
      <w:r>
        <w:t>grade</w:t>
      </w:r>
      <w:r>
        <w:rPr>
          <w:spacing w:val="-8"/>
        </w:rPr>
        <w:t xml:space="preserve"> </w:t>
      </w:r>
      <w:r>
        <w:t>8</w:t>
      </w:r>
      <w:r>
        <w:rPr>
          <w:spacing w:val="-8"/>
        </w:rPr>
        <w:t xml:space="preserve"> </w:t>
      </w:r>
      <w:r>
        <w:t>reading</w:t>
      </w:r>
      <w:r>
        <w:rPr>
          <w:spacing w:val="-7"/>
        </w:rPr>
        <w:t xml:space="preserve"> </w:t>
      </w:r>
      <w:r>
        <w:t>combined</w:t>
      </w:r>
      <w:r>
        <w:rPr>
          <w:spacing w:val="-8"/>
        </w:rPr>
        <w:t xml:space="preserve"> </w:t>
      </w:r>
      <w:r>
        <w:t>national</w:t>
      </w:r>
      <w:r>
        <w:rPr>
          <w:spacing w:val="-8"/>
        </w:rPr>
        <w:t xml:space="preserve"> </w:t>
      </w:r>
      <w:r>
        <w:t>and</w:t>
      </w:r>
      <w:r>
        <w:rPr>
          <w:spacing w:val="-7"/>
        </w:rPr>
        <w:t xml:space="preserve"> </w:t>
      </w:r>
      <w:r>
        <w:t>state</w:t>
      </w:r>
      <w:r>
        <w:rPr>
          <w:spacing w:val="-8"/>
        </w:rPr>
        <w:t xml:space="preserve"> </w:t>
      </w:r>
      <w:r>
        <w:t>assessment,</w:t>
      </w:r>
      <w:r>
        <w:rPr>
          <w:spacing w:val="-8"/>
        </w:rPr>
        <w:t xml:space="preserve"> </w:t>
      </w:r>
      <w:r>
        <w:t>by</w:t>
      </w:r>
      <w:r>
        <w:rPr>
          <w:spacing w:val="-8"/>
        </w:rPr>
        <w:t xml:space="preserve"> </w:t>
      </w:r>
      <w:r>
        <w:t>school</w:t>
      </w:r>
      <w:r>
        <w:rPr>
          <w:spacing w:val="-7"/>
        </w:rPr>
        <w:t xml:space="preserve"> </w:t>
      </w:r>
      <w:r>
        <w:t>type</w:t>
      </w:r>
      <w:r>
        <w:rPr>
          <w:spacing w:val="-8"/>
        </w:rPr>
        <w:t xml:space="preserve"> </w:t>
      </w:r>
      <w:r>
        <w:t>and</w:t>
      </w:r>
      <w:r>
        <w:rPr>
          <w:spacing w:val="-8"/>
        </w:rPr>
        <w:t xml:space="preserve"> </w:t>
      </w:r>
      <w:r>
        <w:t>jurisdiction:</w:t>
      </w:r>
      <w:r>
        <w:rPr>
          <w:spacing w:val="-7"/>
        </w:rPr>
        <w:t xml:space="preserve"> </w:t>
      </w:r>
      <w:r>
        <w:rPr>
          <w:spacing w:val="-4"/>
        </w:rPr>
        <w:t>2022</w:t>
      </w:r>
    </w:p>
    <w:p w:rsidR="003F5784" w14:paraId="0A8A2A0F" w14:textId="77777777">
      <w:pPr>
        <w:sectPr>
          <w:headerReference w:type="default" r:id="rId560"/>
          <w:footerReference w:type="default" r:id="rId561"/>
          <w:pgSz w:w="15840" w:h="12240" w:orient="landscape"/>
          <w:pgMar w:top="480" w:right="440" w:bottom="460" w:left="460" w:header="284" w:footer="275" w:gutter="0"/>
          <w:cols w:space="720"/>
        </w:sectPr>
      </w:pPr>
    </w:p>
    <w:p w:rsidR="003F5784" w14:paraId="717C3E97" w14:textId="77777777">
      <w:pPr>
        <w:pStyle w:val="BodyText"/>
        <w:spacing w:before="5"/>
        <w:rPr>
          <w:b/>
          <w:sz w:val="7"/>
        </w:rPr>
      </w:pPr>
    </w:p>
    <w:tbl>
      <w:tblPr>
        <w:tblW w:w="0" w:type="auto"/>
        <w:tblInd w:w="482" w:type="dxa"/>
        <w:tblLayout w:type="fixed"/>
        <w:tblCellMar>
          <w:left w:w="0" w:type="dxa"/>
          <w:right w:w="0" w:type="dxa"/>
        </w:tblCellMar>
        <w:tblLook w:val="01E0"/>
      </w:tblPr>
      <w:tblGrid>
        <w:gridCol w:w="2693"/>
        <w:gridCol w:w="1272"/>
        <w:gridCol w:w="2055"/>
        <w:gridCol w:w="1990"/>
        <w:gridCol w:w="1304"/>
        <w:gridCol w:w="1202"/>
        <w:gridCol w:w="1738"/>
        <w:gridCol w:w="1733"/>
      </w:tblGrid>
      <w:tr w14:paraId="6B28956A" w14:textId="77777777">
        <w:tblPrEx>
          <w:tblW w:w="0" w:type="auto"/>
          <w:tblInd w:w="482" w:type="dxa"/>
          <w:tblLayout w:type="fixed"/>
          <w:tblCellMar>
            <w:left w:w="0" w:type="dxa"/>
            <w:right w:w="0" w:type="dxa"/>
          </w:tblCellMar>
          <w:tblLook w:val="01E0"/>
        </w:tblPrEx>
        <w:trPr>
          <w:trHeight w:val="1440"/>
        </w:trPr>
        <w:tc>
          <w:tcPr>
            <w:tcW w:w="2693" w:type="dxa"/>
            <w:tcBorders>
              <w:top w:val="single" w:sz="18" w:space="0" w:color="800000"/>
              <w:bottom w:val="single" w:sz="18" w:space="0" w:color="800000"/>
            </w:tcBorders>
          </w:tcPr>
          <w:p w:rsidR="003F5784" w14:paraId="467A0916" w14:textId="77777777">
            <w:pPr>
              <w:pStyle w:val="TableParagraph"/>
              <w:spacing w:before="0"/>
              <w:jc w:val="left"/>
              <w:rPr>
                <w:b/>
                <w:sz w:val="21"/>
              </w:rPr>
            </w:pPr>
          </w:p>
          <w:p w:rsidR="003F5784" w14:paraId="52BB6FED" w14:textId="77777777">
            <w:pPr>
              <w:pStyle w:val="TableParagraph"/>
              <w:spacing w:before="0"/>
              <w:jc w:val="left"/>
              <w:rPr>
                <w:b/>
                <w:sz w:val="21"/>
              </w:rPr>
            </w:pPr>
          </w:p>
          <w:p w:rsidR="003F5784" w14:paraId="7BC1B641" w14:textId="77777777">
            <w:pPr>
              <w:pStyle w:val="TableParagraph"/>
              <w:spacing w:before="0"/>
              <w:jc w:val="left"/>
              <w:rPr>
                <w:b/>
                <w:sz w:val="21"/>
              </w:rPr>
            </w:pPr>
          </w:p>
          <w:p w:rsidR="003F5784" w14:paraId="5179CFAD" w14:textId="77777777">
            <w:pPr>
              <w:pStyle w:val="TableParagraph"/>
              <w:spacing w:before="216"/>
              <w:jc w:val="left"/>
              <w:rPr>
                <w:b/>
                <w:sz w:val="21"/>
              </w:rPr>
            </w:pPr>
          </w:p>
          <w:p w:rsidR="003F5784" w14:paraId="492107A0" w14:textId="77777777">
            <w:pPr>
              <w:pStyle w:val="TableParagraph"/>
              <w:spacing w:before="0" w:line="238" w:lineRule="exact"/>
              <w:ind w:left="120"/>
              <w:jc w:val="left"/>
              <w:rPr>
                <w:sz w:val="21"/>
              </w:rPr>
            </w:pPr>
            <w:r>
              <w:rPr>
                <w:sz w:val="21"/>
              </w:rPr>
              <w:t>School</w:t>
            </w:r>
            <w:r>
              <w:rPr>
                <w:spacing w:val="-6"/>
                <w:sz w:val="21"/>
              </w:rPr>
              <w:t xml:space="preserve"> </w:t>
            </w:r>
            <w:r>
              <w:rPr>
                <w:sz w:val="21"/>
              </w:rPr>
              <w:t>type</w:t>
            </w:r>
            <w:r>
              <w:rPr>
                <w:spacing w:val="-5"/>
                <w:sz w:val="21"/>
              </w:rPr>
              <w:t xml:space="preserve"> </w:t>
            </w:r>
            <w:r>
              <w:rPr>
                <w:sz w:val="21"/>
              </w:rPr>
              <w:t>and</w:t>
            </w:r>
            <w:r>
              <w:rPr>
                <w:spacing w:val="-5"/>
                <w:sz w:val="21"/>
              </w:rPr>
              <w:t xml:space="preserve"> </w:t>
            </w:r>
            <w:r>
              <w:rPr>
                <w:spacing w:val="-2"/>
                <w:sz w:val="21"/>
              </w:rPr>
              <w:t>jurisdiction</w:t>
            </w:r>
          </w:p>
        </w:tc>
        <w:tc>
          <w:tcPr>
            <w:tcW w:w="1272" w:type="dxa"/>
            <w:tcBorders>
              <w:top w:val="single" w:sz="18" w:space="0" w:color="800000"/>
              <w:bottom w:val="single" w:sz="18" w:space="0" w:color="800000"/>
            </w:tcBorders>
          </w:tcPr>
          <w:p w:rsidR="003F5784" w14:paraId="132E4E8F" w14:textId="77777777">
            <w:pPr>
              <w:pStyle w:val="TableParagraph"/>
              <w:spacing w:before="9"/>
              <w:jc w:val="left"/>
              <w:rPr>
                <w:b/>
                <w:sz w:val="21"/>
              </w:rPr>
            </w:pPr>
          </w:p>
          <w:p w:rsidR="003F5784" w14:paraId="728877B9" w14:textId="77777777">
            <w:pPr>
              <w:pStyle w:val="TableParagraph"/>
              <w:spacing w:before="0" w:line="234" w:lineRule="exact"/>
              <w:ind w:left="296" w:right="133" w:hanging="70"/>
              <w:rPr>
                <w:sz w:val="21"/>
              </w:rPr>
            </w:pPr>
            <w:r>
              <w:rPr>
                <w:sz w:val="21"/>
              </w:rPr>
              <w:t>Number</w:t>
            </w:r>
            <w:r>
              <w:rPr>
                <w:spacing w:val="-14"/>
                <w:sz w:val="21"/>
              </w:rPr>
              <w:t xml:space="preserve"> </w:t>
            </w:r>
            <w:r>
              <w:rPr>
                <w:sz w:val="21"/>
              </w:rPr>
              <w:t>of schools</w:t>
            </w:r>
            <w:r>
              <w:rPr>
                <w:spacing w:val="-14"/>
                <w:sz w:val="21"/>
              </w:rPr>
              <w:t xml:space="preserve"> </w:t>
            </w:r>
            <w:r>
              <w:rPr>
                <w:sz w:val="21"/>
              </w:rPr>
              <w:t xml:space="preserve">in </w:t>
            </w:r>
            <w:r>
              <w:rPr>
                <w:spacing w:val="-2"/>
                <w:sz w:val="21"/>
              </w:rPr>
              <w:t>original sample, rounded</w:t>
            </w:r>
          </w:p>
        </w:tc>
        <w:tc>
          <w:tcPr>
            <w:tcW w:w="2055" w:type="dxa"/>
            <w:tcBorders>
              <w:top w:val="single" w:sz="18" w:space="0" w:color="800000"/>
              <w:bottom w:val="single" w:sz="18" w:space="0" w:color="800000"/>
            </w:tcBorders>
          </w:tcPr>
          <w:p w:rsidR="003F5784" w14:paraId="7865E1C0" w14:textId="77777777">
            <w:pPr>
              <w:pStyle w:val="TableParagraph"/>
              <w:spacing w:before="15" w:line="232" w:lineRule="auto"/>
              <w:ind w:left="135" w:right="134" w:firstLine="97"/>
              <w:rPr>
                <w:sz w:val="21"/>
              </w:rPr>
            </w:pPr>
            <w:r>
              <w:rPr>
                <w:spacing w:val="-2"/>
                <w:sz w:val="21"/>
              </w:rPr>
              <w:t>School</w:t>
            </w:r>
            <w:r>
              <w:rPr>
                <w:spacing w:val="-11"/>
                <w:sz w:val="21"/>
              </w:rPr>
              <w:t xml:space="preserve"> </w:t>
            </w:r>
            <w:r>
              <w:rPr>
                <w:spacing w:val="-2"/>
                <w:sz w:val="21"/>
              </w:rPr>
              <w:t xml:space="preserve">participation </w:t>
            </w:r>
            <w:r>
              <w:rPr>
                <w:sz w:val="21"/>
              </w:rPr>
              <w:t>rates</w:t>
            </w:r>
            <w:r>
              <w:rPr>
                <w:spacing w:val="-7"/>
                <w:sz w:val="21"/>
              </w:rPr>
              <w:t xml:space="preserve"> </w:t>
            </w:r>
            <w:r>
              <w:rPr>
                <w:sz w:val="21"/>
              </w:rPr>
              <w:t>(percent)</w:t>
            </w:r>
            <w:r>
              <w:rPr>
                <w:spacing w:val="-7"/>
                <w:sz w:val="21"/>
              </w:rPr>
              <w:t xml:space="preserve"> </w:t>
            </w:r>
            <w:r>
              <w:rPr>
                <w:spacing w:val="-2"/>
                <w:sz w:val="21"/>
              </w:rPr>
              <w:t>before</w:t>
            </w:r>
          </w:p>
          <w:p w:rsidR="003F5784" w14:paraId="7792722A" w14:textId="77777777">
            <w:pPr>
              <w:pStyle w:val="TableParagraph"/>
              <w:spacing w:before="1" w:line="232" w:lineRule="auto"/>
              <w:ind w:left="401" w:right="134" w:firstLine="543"/>
              <w:rPr>
                <w:sz w:val="21"/>
              </w:rPr>
            </w:pPr>
            <w:r>
              <w:rPr>
                <w:spacing w:val="-2"/>
                <w:sz w:val="21"/>
              </w:rPr>
              <w:t xml:space="preserve">substitution </w:t>
            </w:r>
            <w:r>
              <w:rPr>
                <w:sz w:val="21"/>
              </w:rPr>
              <w:t>(weighted</w:t>
            </w:r>
            <w:r>
              <w:rPr>
                <w:spacing w:val="-7"/>
                <w:sz w:val="21"/>
              </w:rPr>
              <w:t xml:space="preserve"> </w:t>
            </w:r>
            <w:r>
              <w:rPr>
                <w:sz w:val="21"/>
              </w:rPr>
              <w:t>by</w:t>
            </w:r>
            <w:r>
              <w:rPr>
                <w:spacing w:val="-6"/>
                <w:sz w:val="21"/>
              </w:rPr>
              <w:t xml:space="preserve"> </w:t>
            </w:r>
            <w:r>
              <w:rPr>
                <w:spacing w:val="-4"/>
                <w:sz w:val="21"/>
              </w:rPr>
              <w:t>base</w:t>
            </w:r>
          </w:p>
          <w:p w:rsidR="003F5784" w14:paraId="4832B95B" w14:textId="77777777">
            <w:pPr>
              <w:pStyle w:val="TableParagraph"/>
              <w:spacing w:before="0" w:line="234" w:lineRule="exact"/>
              <w:ind w:left="945" w:right="134" w:firstLine="51"/>
              <w:rPr>
                <w:sz w:val="21"/>
              </w:rPr>
            </w:pPr>
            <w:r>
              <w:rPr>
                <w:sz w:val="21"/>
              </w:rPr>
              <w:t>weight</w:t>
            </w:r>
            <w:r>
              <w:rPr>
                <w:spacing w:val="-14"/>
                <w:sz w:val="21"/>
              </w:rPr>
              <w:t xml:space="preserve"> </w:t>
            </w:r>
            <w:r>
              <w:rPr>
                <w:sz w:val="21"/>
              </w:rPr>
              <w:t xml:space="preserve">and </w:t>
            </w:r>
            <w:r>
              <w:rPr>
                <w:spacing w:val="-2"/>
                <w:sz w:val="21"/>
              </w:rPr>
              <w:t>enrollment)</w:t>
            </w:r>
          </w:p>
        </w:tc>
        <w:tc>
          <w:tcPr>
            <w:tcW w:w="1990" w:type="dxa"/>
            <w:tcBorders>
              <w:top w:val="single" w:sz="18" w:space="0" w:color="800000"/>
              <w:bottom w:val="single" w:sz="18" w:space="0" w:color="800000"/>
            </w:tcBorders>
          </w:tcPr>
          <w:p w:rsidR="003F5784" w14:paraId="5CFDBAE3" w14:textId="77777777">
            <w:pPr>
              <w:pStyle w:val="TableParagraph"/>
              <w:spacing w:before="8"/>
              <w:jc w:val="left"/>
              <w:rPr>
                <w:b/>
                <w:sz w:val="21"/>
              </w:rPr>
            </w:pPr>
          </w:p>
          <w:p w:rsidR="003F5784" w14:paraId="0CF786B6" w14:textId="77777777">
            <w:pPr>
              <w:pStyle w:val="TableParagraph"/>
              <w:spacing w:before="0" w:line="232" w:lineRule="auto"/>
              <w:ind w:left="263" w:right="166" w:hanging="128"/>
              <w:rPr>
                <w:sz w:val="21"/>
              </w:rPr>
            </w:pPr>
            <w:r>
              <w:rPr>
                <w:spacing w:val="-2"/>
                <w:sz w:val="21"/>
              </w:rPr>
              <w:t>School</w:t>
            </w:r>
            <w:r>
              <w:rPr>
                <w:spacing w:val="-11"/>
                <w:sz w:val="21"/>
              </w:rPr>
              <w:t xml:space="preserve"> </w:t>
            </w:r>
            <w:r>
              <w:rPr>
                <w:spacing w:val="-2"/>
                <w:sz w:val="21"/>
              </w:rPr>
              <w:t xml:space="preserve">participation </w:t>
            </w:r>
            <w:r>
              <w:rPr>
                <w:sz w:val="21"/>
              </w:rPr>
              <w:t xml:space="preserve">rates (percent) </w:t>
            </w:r>
            <w:r>
              <w:rPr>
                <w:spacing w:val="-2"/>
                <w:sz w:val="21"/>
              </w:rPr>
              <w:t>before</w:t>
            </w:r>
            <w:r>
              <w:rPr>
                <w:spacing w:val="-12"/>
                <w:sz w:val="21"/>
              </w:rPr>
              <w:t xml:space="preserve"> </w:t>
            </w:r>
            <w:r>
              <w:rPr>
                <w:spacing w:val="-2"/>
                <w:sz w:val="21"/>
              </w:rPr>
              <w:t xml:space="preserve">substitution </w:t>
            </w:r>
            <w:r>
              <w:rPr>
                <w:sz w:val="21"/>
              </w:rPr>
              <w:t>(weighted</w:t>
            </w:r>
            <w:r>
              <w:rPr>
                <w:spacing w:val="-7"/>
                <w:sz w:val="21"/>
              </w:rPr>
              <w:t xml:space="preserve"> </w:t>
            </w:r>
            <w:r>
              <w:rPr>
                <w:sz w:val="21"/>
              </w:rPr>
              <w:t>by</w:t>
            </w:r>
            <w:r>
              <w:rPr>
                <w:spacing w:val="-6"/>
                <w:sz w:val="21"/>
              </w:rPr>
              <w:t xml:space="preserve"> </w:t>
            </w:r>
            <w:r>
              <w:rPr>
                <w:spacing w:val="-4"/>
                <w:sz w:val="21"/>
              </w:rPr>
              <w:t>base</w:t>
            </w:r>
          </w:p>
          <w:p w:rsidR="003F5784" w14:paraId="0EF7AB58" w14:textId="77777777">
            <w:pPr>
              <w:pStyle w:val="TableParagraph"/>
              <w:spacing w:before="0" w:line="234" w:lineRule="exact"/>
              <w:ind w:right="166"/>
              <w:rPr>
                <w:sz w:val="21"/>
              </w:rPr>
            </w:pPr>
            <w:r>
              <w:rPr>
                <w:sz w:val="21"/>
              </w:rPr>
              <w:t>weight</w:t>
            </w:r>
            <w:r>
              <w:rPr>
                <w:spacing w:val="-7"/>
                <w:sz w:val="21"/>
              </w:rPr>
              <w:t xml:space="preserve"> </w:t>
            </w:r>
            <w:r>
              <w:rPr>
                <w:spacing w:val="-2"/>
                <w:sz w:val="21"/>
              </w:rPr>
              <w:t>only)</w:t>
            </w:r>
          </w:p>
        </w:tc>
        <w:tc>
          <w:tcPr>
            <w:tcW w:w="1304" w:type="dxa"/>
            <w:tcBorders>
              <w:top w:val="single" w:sz="18" w:space="0" w:color="800000"/>
              <w:bottom w:val="single" w:sz="18" w:space="0" w:color="800000"/>
            </w:tcBorders>
          </w:tcPr>
          <w:p w:rsidR="003F5784" w14:paraId="4E74FD6C" w14:textId="77777777">
            <w:pPr>
              <w:pStyle w:val="TableParagraph"/>
              <w:spacing w:before="0"/>
              <w:jc w:val="left"/>
              <w:rPr>
                <w:b/>
                <w:sz w:val="21"/>
              </w:rPr>
            </w:pPr>
          </w:p>
          <w:p w:rsidR="003F5784" w14:paraId="792B09BF" w14:textId="77777777">
            <w:pPr>
              <w:pStyle w:val="TableParagraph"/>
              <w:spacing w:before="1"/>
              <w:jc w:val="left"/>
              <w:rPr>
                <w:b/>
                <w:sz w:val="21"/>
              </w:rPr>
            </w:pPr>
          </w:p>
          <w:p w:rsidR="003F5784" w14:paraId="0321EBB6" w14:textId="77777777">
            <w:pPr>
              <w:pStyle w:val="TableParagraph"/>
              <w:spacing w:before="0" w:line="234" w:lineRule="exact"/>
              <w:ind w:left="329" w:right="225" w:hanging="163"/>
              <w:jc w:val="both"/>
              <w:rPr>
                <w:sz w:val="21"/>
              </w:rPr>
            </w:pPr>
            <w:r>
              <w:rPr>
                <w:sz w:val="21"/>
              </w:rPr>
              <w:t>Number</w:t>
            </w:r>
            <w:r>
              <w:rPr>
                <w:spacing w:val="-14"/>
                <w:sz w:val="21"/>
              </w:rPr>
              <w:t xml:space="preserve"> </w:t>
            </w:r>
            <w:r>
              <w:rPr>
                <w:sz w:val="21"/>
              </w:rPr>
              <w:t xml:space="preserve">of </w:t>
            </w:r>
            <w:r>
              <w:rPr>
                <w:spacing w:val="-2"/>
                <w:sz w:val="21"/>
              </w:rPr>
              <w:t>students sampled, rounded</w:t>
            </w:r>
          </w:p>
        </w:tc>
        <w:tc>
          <w:tcPr>
            <w:tcW w:w="1202" w:type="dxa"/>
            <w:tcBorders>
              <w:top w:val="single" w:sz="18" w:space="0" w:color="800000"/>
              <w:bottom w:val="single" w:sz="18" w:space="0" w:color="800000"/>
            </w:tcBorders>
          </w:tcPr>
          <w:p w:rsidR="003F5784" w14:paraId="475C5A64" w14:textId="77777777">
            <w:pPr>
              <w:pStyle w:val="TableParagraph"/>
              <w:spacing w:before="0"/>
              <w:jc w:val="left"/>
              <w:rPr>
                <w:b/>
                <w:sz w:val="21"/>
              </w:rPr>
            </w:pPr>
          </w:p>
          <w:p w:rsidR="003F5784" w14:paraId="3D048DCA" w14:textId="77777777">
            <w:pPr>
              <w:pStyle w:val="TableParagraph"/>
              <w:spacing w:before="1"/>
              <w:jc w:val="left"/>
              <w:rPr>
                <w:b/>
                <w:sz w:val="21"/>
              </w:rPr>
            </w:pPr>
          </w:p>
          <w:p w:rsidR="003F5784" w14:paraId="72C05898" w14:textId="77777777">
            <w:pPr>
              <w:pStyle w:val="TableParagraph"/>
              <w:spacing w:before="0" w:line="234" w:lineRule="exact"/>
              <w:ind w:left="225" w:right="135" w:firstLine="45"/>
              <w:rPr>
                <w:sz w:val="21"/>
              </w:rPr>
            </w:pPr>
            <w:r>
              <w:rPr>
                <w:spacing w:val="-4"/>
                <w:sz w:val="21"/>
              </w:rPr>
              <w:t xml:space="preserve">Weighted </w:t>
            </w:r>
            <w:r>
              <w:rPr>
                <w:spacing w:val="-2"/>
                <w:sz w:val="21"/>
              </w:rPr>
              <w:t>percent</w:t>
            </w:r>
            <w:r>
              <w:rPr>
                <w:spacing w:val="-12"/>
                <w:sz w:val="21"/>
              </w:rPr>
              <w:t xml:space="preserve"> </w:t>
            </w:r>
            <w:r>
              <w:rPr>
                <w:spacing w:val="-2"/>
                <w:sz w:val="21"/>
              </w:rPr>
              <w:t>of students excluded</w:t>
            </w:r>
          </w:p>
        </w:tc>
        <w:tc>
          <w:tcPr>
            <w:tcW w:w="1738" w:type="dxa"/>
            <w:tcBorders>
              <w:top w:val="single" w:sz="18" w:space="0" w:color="800000"/>
              <w:bottom w:val="single" w:sz="18" w:space="0" w:color="800000"/>
            </w:tcBorders>
          </w:tcPr>
          <w:p w:rsidR="003F5784" w14:paraId="5813B3BB" w14:textId="77777777">
            <w:pPr>
              <w:pStyle w:val="TableParagraph"/>
              <w:spacing w:before="0"/>
              <w:jc w:val="left"/>
              <w:rPr>
                <w:b/>
                <w:sz w:val="21"/>
              </w:rPr>
            </w:pPr>
          </w:p>
          <w:p w:rsidR="003F5784" w14:paraId="06E2F829" w14:textId="77777777">
            <w:pPr>
              <w:pStyle w:val="TableParagraph"/>
              <w:spacing w:before="1"/>
              <w:jc w:val="left"/>
              <w:rPr>
                <w:b/>
                <w:sz w:val="21"/>
              </w:rPr>
            </w:pPr>
          </w:p>
          <w:p w:rsidR="003F5784" w14:paraId="4C56ED99" w14:textId="77777777">
            <w:pPr>
              <w:pStyle w:val="TableParagraph"/>
              <w:spacing w:before="0" w:line="234" w:lineRule="exact"/>
              <w:ind w:left="384" w:right="153" w:hanging="251"/>
              <w:rPr>
                <w:sz w:val="21"/>
              </w:rPr>
            </w:pPr>
            <w:r>
              <w:rPr>
                <w:spacing w:val="-2"/>
                <w:sz w:val="21"/>
              </w:rPr>
              <w:t>Weighted</w:t>
            </w:r>
            <w:r>
              <w:rPr>
                <w:spacing w:val="-12"/>
                <w:sz w:val="21"/>
              </w:rPr>
              <w:t xml:space="preserve"> </w:t>
            </w:r>
            <w:r>
              <w:rPr>
                <w:spacing w:val="-2"/>
                <w:sz w:val="21"/>
              </w:rPr>
              <w:t>student participation rates</w:t>
            </w:r>
            <w:r>
              <w:rPr>
                <w:spacing w:val="-12"/>
                <w:sz w:val="21"/>
              </w:rPr>
              <w:t xml:space="preserve"> </w:t>
            </w:r>
            <w:r>
              <w:rPr>
                <w:spacing w:val="-2"/>
                <w:sz w:val="21"/>
              </w:rPr>
              <w:t xml:space="preserve">(percent) </w:t>
            </w:r>
            <w:r>
              <w:rPr>
                <w:sz w:val="21"/>
              </w:rPr>
              <w:t>after</w:t>
            </w:r>
            <w:r>
              <w:rPr>
                <w:spacing w:val="-5"/>
                <w:sz w:val="21"/>
              </w:rPr>
              <w:t xml:space="preserve"> </w:t>
            </w:r>
            <w:r>
              <w:rPr>
                <w:spacing w:val="-2"/>
                <w:sz w:val="21"/>
              </w:rPr>
              <w:t>makeups</w:t>
            </w:r>
          </w:p>
        </w:tc>
        <w:tc>
          <w:tcPr>
            <w:tcW w:w="1733" w:type="dxa"/>
            <w:tcBorders>
              <w:top w:val="single" w:sz="18" w:space="0" w:color="800000"/>
              <w:bottom w:val="single" w:sz="18" w:space="0" w:color="800000"/>
            </w:tcBorders>
          </w:tcPr>
          <w:p w:rsidR="003F5784" w14:paraId="3DE5E2F8" w14:textId="77777777">
            <w:pPr>
              <w:pStyle w:val="TableParagraph"/>
              <w:spacing w:before="0"/>
              <w:jc w:val="left"/>
              <w:rPr>
                <w:b/>
                <w:sz w:val="21"/>
              </w:rPr>
            </w:pPr>
          </w:p>
          <w:p w:rsidR="003F5784" w14:paraId="37411C83" w14:textId="77777777">
            <w:pPr>
              <w:pStyle w:val="TableParagraph"/>
              <w:spacing w:before="230"/>
              <w:jc w:val="left"/>
              <w:rPr>
                <w:b/>
                <w:sz w:val="21"/>
              </w:rPr>
            </w:pPr>
          </w:p>
          <w:p w:rsidR="003F5784" w14:paraId="57EF8DF4" w14:textId="77777777">
            <w:pPr>
              <w:pStyle w:val="TableParagraph"/>
              <w:spacing w:before="0" w:line="238" w:lineRule="exact"/>
              <w:ind w:right="120"/>
              <w:rPr>
                <w:sz w:val="21"/>
              </w:rPr>
            </w:pPr>
            <w:r>
              <w:rPr>
                <w:spacing w:val="-2"/>
                <w:sz w:val="21"/>
              </w:rPr>
              <w:t>Weighted</w:t>
            </w:r>
            <w:r>
              <w:rPr>
                <w:spacing w:val="-11"/>
                <w:sz w:val="21"/>
              </w:rPr>
              <w:t xml:space="preserve"> </w:t>
            </w:r>
            <w:r>
              <w:rPr>
                <w:spacing w:val="-2"/>
                <w:sz w:val="21"/>
              </w:rPr>
              <w:t>percent</w:t>
            </w:r>
          </w:p>
          <w:p w:rsidR="003F5784" w14:paraId="1C25A49B" w14:textId="77777777">
            <w:pPr>
              <w:pStyle w:val="TableParagraph"/>
              <w:spacing w:before="1" w:line="234" w:lineRule="exact"/>
              <w:ind w:left="348" w:right="120" w:firstLine="352"/>
              <w:rPr>
                <w:sz w:val="21"/>
              </w:rPr>
            </w:pPr>
            <w:r>
              <w:rPr>
                <w:sz w:val="21"/>
              </w:rPr>
              <w:t>of</w:t>
            </w:r>
            <w:r>
              <w:rPr>
                <w:spacing w:val="-14"/>
                <w:sz w:val="21"/>
              </w:rPr>
              <w:t xml:space="preserve"> </w:t>
            </w:r>
            <w:r>
              <w:rPr>
                <w:sz w:val="21"/>
              </w:rPr>
              <w:t xml:space="preserve">students </w:t>
            </w:r>
            <w:r>
              <w:rPr>
                <w:spacing w:val="-2"/>
                <w:sz w:val="21"/>
              </w:rPr>
              <w:t>accommodated</w:t>
            </w:r>
          </w:p>
        </w:tc>
      </w:tr>
      <w:tr w14:paraId="7D17D630" w14:textId="77777777">
        <w:tblPrEx>
          <w:tblW w:w="0" w:type="auto"/>
          <w:tblInd w:w="482" w:type="dxa"/>
          <w:tblLayout w:type="fixed"/>
          <w:tblCellMar>
            <w:left w:w="0" w:type="dxa"/>
            <w:right w:w="0" w:type="dxa"/>
          </w:tblCellMar>
          <w:tblLook w:val="01E0"/>
        </w:tblPrEx>
        <w:trPr>
          <w:trHeight w:val="281"/>
        </w:trPr>
        <w:tc>
          <w:tcPr>
            <w:tcW w:w="2693" w:type="dxa"/>
            <w:tcBorders>
              <w:top w:val="single" w:sz="18" w:space="0" w:color="800000"/>
              <w:bottom w:val="single" w:sz="12" w:space="0" w:color="800000"/>
            </w:tcBorders>
          </w:tcPr>
          <w:p w:rsidR="003F5784" w14:paraId="0EF8EBD0" w14:textId="77777777">
            <w:pPr>
              <w:pStyle w:val="TableParagraph"/>
              <w:spacing w:before="9"/>
              <w:ind w:left="370"/>
              <w:jc w:val="left"/>
              <w:rPr>
                <w:b/>
                <w:sz w:val="21"/>
              </w:rPr>
            </w:pPr>
            <w:r>
              <w:rPr>
                <w:b/>
                <w:spacing w:val="-5"/>
                <w:sz w:val="21"/>
              </w:rPr>
              <w:t>All</w:t>
            </w:r>
          </w:p>
        </w:tc>
        <w:tc>
          <w:tcPr>
            <w:tcW w:w="1272" w:type="dxa"/>
            <w:tcBorders>
              <w:top w:val="single" w:sz="18" w:space="0" w:color="800000"/>
              <w:bottom w:val="single" w:sz="12" w:space="0" w:color="800000"/>
            </w:tcBorders>
          </w:tcPr>
          <w:p w:rsidR="003F5784" w14:paraId="7E7B380A" w14:textId="77777777">
            <w:pPr>
              <w:pStyle w:val="TableParagraph"/>
              <w:spacing w:before="9"/>
              <w:ind w:right="133"/>
              <w:rPr>
                <w:b/>
                <w:sz w:val="21"/>
              </w:rPr>
            </w:pPr>
            <w:r>
              <w:rPr>
                <w:b/>
                <w:spacing w:val="-2"/>
                <w:sz w:val="21"/>
              </w:rPr>
              <w:t>5,730</w:t>
            </w:r>
          </w:p>
        </w:tc>
        <w:tc>
          <w:tcPr>
            <w:tcW w:w="2055" w:type="dxa"/>
            <w:tcBorders>
              <w:top w:val="single" w:sz="18" w:space="0" w:color="800000"/>
              <w:bottom w:val="single" w:sz="12" w:space="0" w:color="800000"/>
            </w:tcBorders>
          </w:tcPr>
          <w:p w:rsidR="003F5784" w14:paraId="5821E1A6" w14:textId="77777777">
            <w:pPr>
              <w:pStyle w:val="TableParagraph"/>
              <w:spacing w:before="9"/>
              <w:ind w:right="134"/>
              <w:rPr>
                <w:b/>
                <w:sz w:val="21"/>
              </w:rPr>
            </w:pPr>
            <w:r>
              <w:rPr>
                <w:b/>
                <w:spacing w:val="-2"/>
                <w:sz w:val="21"/>
              </w:rPr>
              <w:t>94.67</w:t>
            </w:r>
          </w:p>
        </w:tc>
        <w:tc>
          <w:tcPr>
            <w:tcW w:w="1990" w:type="dxa"/>
            <w:tcBorders>
              <w:top w:val="single" w:sz="18" w:space="0" w:color="800000"/>
              <w:bottom w:val="single" w:sz="12" w:space="0" w:color="800000"/>
            </w:tcBorders>
          </w:tcPr>
          <w:p w:rsidR="003F5784" w14:paraId="26DA8DA0" w14:textId="77777777">
            <w:pPr>
              <w:pStyle w:val="TableParagraph"/>
              <w:spacing w:before="9"/>
              <w:ind w:right="166"/>
              <w:rPr>
                <w:b/>
                <w:sz w:val="21"/>
              </w:rPr>
            </w:pPr>
            <w:r>
              <w:rPr>
                <w:b/>
                <w:spacing w:val="-2"/>
                <w:sz w:val="21"/>
              </w:rPr>
              <w:t>74.35</w:t>
            </w:r>
          </w:p>
        </w:tc>
        <w:tc>
          <w:tcPr>
            <w:tcW w:w="1304" w:type="dxa"/>
            <w:tcBorders>
              <w:top w:val="single" w:sz="18" w:space="0" w:color="800000"/>
              <w:bottom w:val="single" w:sz="12" w:space="0" w:color="800000"/>
            </w:tcBorders>
          </w:tcPr>
          <w:p w:rsidR="003F5784" w14:paraId="2977F151" w14:textId="77777777">
            <w:pPr>
              <w:pStyle w:val="TableParagraph"/>
              <w:spacing w:before="9"/>
              <w:ind w:right="225"/>
              <w:rPr>
                <w:b/>
                <w:sz w:val="21"/>
              </w:rPr>
            </w:pPr>
            <w:r>
              <w:rPr>
                <w:b/>
                <w:spacing w:val="-2"/>
                <w:sz w:val="21"/>
              </w:rPr>
              <w:t>135,200</w:t>
            </w:r>
          </w:p>
        </w:tc>
        <w:tc>
          <w:tcPr>
            <w:tcW w:w="1202" w:type="dxa"/>
            <w:tcBorders>
              <w:top w:val="single" w:sz="18" w:space="0" w:color="800000"/>
              <w:bottom w:val="single" w:sz="12" w:space="0" w:color="800000"/>
            </w:tcBorders>
          </w:tcPr>
          <w:p w:rsidR="003F5784" w14:paraId="7971811F" w14:textId="77777777">
            <w:pPr>
              <w:pStyle w:val="TableParagraph"/>
              <w:spacing w:before="9"/>
              <w:ind w:right="135"/>
              <w:rPr>
                <w:b/>
                <w:sz w:val="21"/>
              </w:rPr>
            </w:pPr>
            <w:r>
              <w:rPr>
                <w:b/>
                <w:spacing w:val="-4"/>
                <w:sz w:val="21"/>
              </w:rPr>
              <w:t>1.75</w:t>
            </w:r>
          </w:p>
        </w:tc>
        <w:tc>
          <w:tcPr>
            <w:tcW w:w="1738" w:type="dxa"/>
            <w:tcBorders>
              <w:top w:val="single" w:sz="18" w:space="0" w:color="800000"/>
              <w:bottom w:val="single" w:sz="12" w:space="0" w:color="800000"/>
            </w:tcBorders>
          </w:tcPr>
          <w:p w:rsidR="003F5784" w14:paraId="12737428" w14:textId="77777777">
            <w:pPr>
              <w:pStyle w:val="TableParagraph"/>
              <w:spacing w:before="9"/>
              <w:ind w:right="153"/>
              <w:rPr>
                <w:b/>
                <w:sz w:val="21"/>
              </w:rPr>
            </w:pPr>
            <w:r>
              <w:rPr>
                <w:b/>
                <w:spacing w:val="-2"/>
                <w:sz w:val="21"/>
              </w:rPr>
              <w:t>89.02</w:t>
            </w:r>
          </w:p>
        </w:tc>
        <w:tc>
          <w:tcPr>
            <w:tcW w:w="1733" w:type="dxa"/>
            <w:tcBorders>
              <w:top w:val="single" w:sz="18" w:space="0" w:color="800000"/>
              <w:bottom w:val="single" w:sz="12" w:space="0" w:color="800000"/>
            </w:tcBorders>
          </w:tcPr>
          <w:p w:rsidR="003F5784" w14:paraId="723BD99A" w14:textId="77777777">
            <w:pPr>
              <w:pStyle w:val="TableParagraph"/>
              <w:spacing w:before="9"/>
              <w:ind w:right="120"/>
              <w:rPr>
                <w:b/>
                <w:sz w:val="21"/>
              </w:rPr>
            </w:pPr>
            <w:r>
              <w:rPr>
                <w:b/>
                <w:spacing w:val="-2"/>
                <w:sz w:val="21"/>
              </w:rPr>
              <w:t>13.19</w:t>
            </w:r>
          </w:p>
        </w:tc>
      </w:tr>
      <w:tr w14:paraId="4C704EB8" w14:textId="77777777">
        <w:tblPrEx>
          <w:tblW w:w="0" w:type="auto"/>
          <w:tblInd w:w="482" w:type="dxa"/>
          <w:tblLayout w:type="fixed"/>
          <w:tblCellMar>
            <w:left w:w="0" w:type="dxa"/>
            <w:right w:w="0" w:type="dxa"/>
          </w:tblCellMar>
          <w:tblLook w:val="01E0"/>
        </w:tblPrEx>
        <w:trPr>
          <w:trHeight w:val="320"/>
        </w:trPr>
        <w:tc>
          <w:tcPr>
            <w:tcW w:w="2693" w:type="dxa"/>
            <w:tcBorders>
              <w:top w:val="single" w:sz="12" w:space="0" w:color="800000"/>
            </w:tcBorders>
          </w:tcPr>
          <w:p w:rsidR="003F5784" w14:paraId="1680E959" w14:textId="77777777">
            <w:pPr>
              <w:pStyle w:val="TableParagraph"/>
              <w:spacing w:before="11"/>
              <w:ind w:left="370"/>
              <w:jc w:val="left"/>
              <w:rPr>
                <w:b/>
                <w:sz w:val="17"/>
              </w:rPr>
            </w:pPr>
            <w:r>
              <w:rPr>
                <w:b/>
                <w:sz w:val="21"/>
              </w:rPr>
              <w:t>National</w:t>
            </w:r>
            <w:r>
              <w:rPr>
                <w:b/>
                <w:spacing w:val="-9"/>
                <w:sz w:val="21"/>
              </w:rPr>
              <w:t xml:space="preserve"> </w:t>
            </w:r>
            <w:r>
              <w:rPr>
                <w:b/>
                <w:spacing w:val="-4"/>
                <w:sz w:val="21"/>
              </w:rPr>
              <w:t>all</w:t>
            </w:r>
            <w:r>
              <w:rPr>
                <w:b/>
                <w:spacing w:val="-4"/>
                <w:position w:val="8"/>
                <w:sz w:val="17"/>
              </w:rPr>
              <w:t>1</w:t>
            </w:r>
          </w:p>
        </w:tc>
        <w:tc>
          <w:tcPr>
            <w:tcW w:w="1272" w:type="dxa"/>
            <w:tcBorders>
              <w:top w:val="single" w:sz="12" w:space="0" w:color="800000"/>
            </w:tcBorders>
          </w:tcPr>
          <w:p w:rsidR="003F5784" w14:paraId="6A84C330" w14:textId="77777777">
            <w:pPr>
              <w:pStyle w:val="TableParagraph"/>
              <w:spacing w:before="0" w:line="239" w:lineRule="exact"/>
              <w:ind w:right="133"/>
              <w:rPr>
                <w:sz w:val="21"/>
              </w:rPr>
            </w:pPr>
            <w:r>
              <w:rPr>
                <w:spacing w:val="-2"/>
                <w:sz w:val="21"/>
              </w:rPr>
              <w:t>5,730</w:t>
            </w:r>
          </w:p>
        </w:tc>
        <w:tc>
          <w:tcPr>
            <w:tcW w:w="2055" w:type="dxa"/>
            <w:tcBorders>
              <w:top w:val="single" w:sz="12" w:space="0" w:color="800000"/>
            </w:tcBorders>
          </w:tcPr>
          <w:p w:rsidR="003F5784" w14:paraId="0240E9B3" w14:textId="77777777">
            <w:pPr>
              <w:pStyle w:val="TableParagraph"/>
              <w:spacing w:before="0" w:line="239" w:lineRule="exact"/>
              <w:ind w:right="134"/>
              <w:rPr>
                <w:sz w:val="21"/>
              </w:rPr>
            </w:pPr>
            <w:r>
              <w:rPr>
                <w:spacing w:val="-2"/>
                <w:sz w:val="21"/>
              </w:rPr>
              <w:t>94.67</w:t>
            </w:r>
          </w:p>
        </w:tc>
        <w:tc>
          <w:tcPr>
            <w:tcW w:w="1990" w:type="dxa"/>
            <w:tcBorders>
              <w:top w:val="single" w:sz="12" w:space="0" w:color="800000"/>
            </w:tcBorders>
          </w:tcPr>
          <w:p w:rsidR="003F5784" w14:paraId="0F5222AA" w14:textId="77777777">
            <w:pPr>
              <w:pStyle w:val="TableParagraph"/>
              <w:spacing w:before="0" w:line="239" w:lineRule="exact"/>
              <w:ind w:right="166"/>
              <w:rPr>
                <w:sz w:val="21"/>
              </w:rPr>
            </w:pPr>
            <w:r>
              <w:rPr>
                <w:spacing w:val="-2"/>
                <w:sz w:val="21"/>
              </w:rPr>
              <w:t>74.35</w:t>
            </w:r>
          </w:p>
        </w:tc>
        <w:tc>
          <w:tcPr>
            <w:tcW w:w="1304" w:type="dxa"/>
            <w:tcBorders>
              <w:top w:val="single" w:sz="12" w:space="0" w:color="800000"/>
            </w:tcBorders>
          </w:tcPr>
          <w:p w:rsidR="003F5784" w14:paraId="5D0894CC" w14:textId="77777777">
            <w:pPr>
              <w:pStyle w:val="TableParagraph"/>
              <w:spacing w:before="0" w:line="239" w:lineRule="exact"/>
              <w:ind w:right="225"/>
              <w:rPr>
                <w:sz w:val="21"/>
              </w:rPr>
            </w:pPr>
            <w:r>
              <w:rPr>
                <w:spacing w:val="-2"/>
                <w:sz w:val="21"/>
              </w:rPr>
              <w:t>135,200</w:t>
            </w:r>
          </w:p>
        </w:tc>
        <w:tc>
          <w:tcPr>
            <w:tcW w:w="1202" w:type="dxa"/>
            <w:tcBorders>
              <w:top w:val="single" w:sz="12" w:space="0" w:color="800000"/>
            </w:tcBorders>
          </w:tcPr>
          <w:p w:rsidR="003F5784" w14:paraId="2D413A11" w14:textId="77777777">
            <w:pPr>
              <w:pStyle w:val="TableParagraph"/>
              <w:spacing w:before="0" w:line="239" w:lineRule="exact"/>
              <w:ind w:right="135"/>
              <w:rPr>
                <w:sz w:val="21"/>
              </w:rPr>
            </w:pPr>
            <w:r>
              <w:rPr>
                <w:spacing w:val="-4"/>
                <w:sz w:val="21"/>
              </w:rPr>
              <w:t>1.75</w:t>
            </w:r>
          </w:p>
        </w:tc>
        <w:tc>
          <w:tcPr>
            <w:tcW w:w="1738" w:type="dxa"/>
            <w:tcBorders>
              <w:top w:val="single" w:sz="12" w:space="0" w:color="800000"/>
            </w:tcBorders>
          </w:tcPr>
          <w:p w:rsidR="003F5784" w14:paraId="3A5D5D7E" w14:textId="77777777">
            <w:pPr>
              <w:pStyle w:val="TableParagraph"/>
              <w:spacing w:before="0" w:line="239" w:lineRule="exact"/>
              <w:ind w:right="153"/>
              <w:rPr>
                <w:sz w:val="21"/>
              </w:rPr>
            </w:pPr>
            <w:r>
              <w:rPr>
                <w:spacing w:val="-2"/>
                <w:sz w:val="21"/>
              </w:rPr>
              <w:t>89.02</w:t>
            </w:r>
          </w:p>
        </w:tc>
        <w:tc>
          <w:tcPr>
            <w:tcW w:w="1733" w:type="dxa"/>
            <w:tcBorders>
              <w:top w:val="single" w:sz="12" w:space="0" w:color="800000"/>
            </w:tcBorders>
          </w:tcPr>
          <w:p w:rsidR="003F5784" w14:paraId="2AD870E8" w14:textId="77777777">
            <w:pPr>
              <w:pStyle w:val="TableParagraph"/>
              <w:spacing w:before="0" w:line="239" w:lineRule="exact"/>
              <w:ind w:right="120"/>
              <w:rPr>
                <w:sz w:val="21"/>
              </w:rPr>
            </w:pPr>
            <w:r>
              <w:rPr>
                <w:spacing w:val="-2"/>
                <w:sz w:val="21"/>
              </w:rPr>
              <w:t>13.19</w:t>
            </w:r>
          </w:p>
        </w:tc>
      </w:tr>
      <w:tr w14:paraId="27CA459E" w14:textId="77777777">
        <w:tblPrEx>
          <w:tblW w:w="0" w:type="auto"/>
          <w:tblInd w:w="482" w:type="dxa"/>
          <w:tblLayout w:type="fixed"/>
          <w:tblCellMar>
            <w:left w:w="0" w:type="dxa"/>
            <w:right w:w="0" w:type="dxa"/>
          </w:tblCellMar>
          <w:tblLook w:val="01E0"/>
        </w:tblPrEx>
        <w:trPr>
          <w:trHeight w:val="284"/>
        </w:trPr>
        <w:tc>
          <w:tcPr>
            <w:tcW w:w="2693" w:type="dxa"/>
          </w:tcPr>
          <w:p w:rsidR="003F5784" w14:paraId="0B88CBE7" w14:textId="77777777">
            <w:pPr>
              <w:pStyle w:val="TableParagraph"/>
              <w:spacing w:before="15"/>
              <w:ind w:left="120"/>
              <w:jc w:val="left"/>
              <w:rPr>
                <w:sz w:val="21"/>
              </w:rPr>
            </w:pPr>
            <w:r>
              <w:rPr>
                <w:sz w:val="21"/>
              </w:rPr>
              <w:t>Northeast</w:t>
            </w:r>
            <w:r>
              <w:rPr>
                <w:spacing w:val="-10"/>
                <w:sz w:val="21"/>
              </w:rPr>
              <w:t xml:space="preserve"> </w:t>
            </w:r>
            <w:r>
              <w:rPr>
                <w:spacing w:val="-5"/>
                <w:sz w:val="21"/>
              </w:rPr>
              <w:t>all</w:t>
            </w:r>
          </w:p>
        </w:tc>
        <w:tc>
          <w:tcPr>
            <w:tcW w:w="1272" w:type="dxa"/>
          </w:tcPr>
          <w:p w:rsidR="003F5784" w14:paraId="1A031557" w14:textId="77777777">
            <w:pPr>
              <w:pStyle w:val="TableParagraph"/>
              <w:spacing w:before="15"/>
              <w:ind w:right="133"/>
              <w:rPr>
                <w:sz w:val="21"/>
              </w:rPr>
            </w:pPr>
            <w:r>
              <w:rPr>
                <w:spacing w:val="-5"/>
                <w:sz w:val="21"/>
              </w:rPr>
              <w:t>950</w:t>
            </w:r>
          </w:p>
        </w:tc>
        <w:tc>
          <w:tcPr>
            <w:tcW w:w="2055" w:type="dxa"/>
          </w:tcPr>
          <w:p w:rsidR="003F5784" w14:paraId="03567BD5" w14:textId="77777777">
            <w:pPr>
              <w:pStyle w:val="TableParagraph"/>
              <w:spacing w:before="15"/>
              <w:ind w:right="134"/>
              <w:rPr>
                <w:sz w:val="21"/>
              </w:rPr>
            </w:pPr>
            <w:r>
              <w:rPr>
                <w:spacing w:val="-2"/>
                <w:sz w:val="21"/>
              </w:rPr>
              <w:t>91.21</w:t>
            </w:r>
          </w:p>
        </w:tc>
        <w:tc>
          <w:tcPr>
            <w:tcW w:w="1990" w:type="dxa"/>
          </w:tcPr>
          <w:p w:rsidR="003F5784" w14:paraId="27D949F6" w14:textId="77777777">
            <w:pPr>
              <w:pStyle w:val="TableParagraph"/>
              <w:spacing w:before="15"/>
              <w:ind w:right="166"/>
              <w:rPr>
                <w:sz w:val="21"/>
              </w:rPr>
            </w:pPr>
            <w:r>
              <w:rPr>
                <w:spacing w:val="-2"/>
                <w:sz w:val="21"/>
              </w:rPr>
              <w:t>62.39</w:t>
            </w:r>
          </w:p>
        </w:tc>
        <w:tc>
          <w:tcPr>
            <w:tcW w:w="1304" w:type="dxa"/>
          </w:tcPr>
          <w:p w:rsidR="003F5784" w14:paraId="55F722F4" w14:textId="77777777">
            <w:pPr>
              <w:pStyle w:val="TableParagraph"/>
              <w:spacing w:before="15"/>
              <w:ind w:right="225"/>
              <w:rPr>
                <w:sz w:val="21"/>
              </w:rPr>
            </w:pPr>
            <w:r>
              <w:rPr>
                <w:spacing w:val="-2"/>
                <w:sz w:val="21"/>
              </w:rPr>
              <w:t>21,700</w:t>
            </w:r>
          </w:p>
        </w:tc>
        <w:tc>
          <w:tcPr>
            <w:tcW w:w="1202" w:type="dxa"/>
          </w:tcPr>
          <w:p w:rsidR="003F5784" w14:paraId="0504DA83" w14:textId="77777777">
            <w:pPr>
              <w:pStyle w:val="TableParagraph"/>
              <w:spacing w:before="15"/>
              <w:ind w:right="135"/>
              <w:rPr>
                <w:sz w:val="21"/>
              </w:rPr>
            </w:pPr>
            <w:r>
              <w:rPr>
                <w:spacing w:val="-4"/>
                <w:sz w:val="21"/>
              </w:rPr>
              <w:t>1.95</w:t>
            </w:r>
          </w:p>
        </w:tc>
        <w:tc>
          <w:tcPr>
            <w:tcW w:w="1738" w:type="dxa"/>
          </w:tcPr>
          <w:p w:rsidR="003F5784" w14:paraId="263F8E56" w14:textId="77777777">
            <w:pPr>
              <w:pStyle w:val="TableParagraph"/>
              <w:spacing w:before="15"/>
              <w:ind w:right="153"/>
              <w:rPr>
                <w:sz w:val="21"/>
              </w:rPr>
            </w:pPr>
            <w:r>
              <w:rPr>
                <w:spacing w:val="-2"/>
                <w:sz w:val="21"/>
              </w:rPr>
              <w:t>86.87</w:t>
            </w:r>
          </w:p>
        </w:tc>
        <w:tc>
          <w:tcPr>
            <w:tcW w:w="1733" w:type="dxa"/>
          </w:tcPr>
          <w:p w:rsidR="003F5784" w14:paraId="6F443C4D" w14:textId="77777777">
            <w:pPr>
              <w:pStyle w:val="TableParagraph"/>
              <w:spacing w:before="15"/>
              <w:ind w:right="120"/>
              <w:rPr>
                <w:sz w:val="21"/>
              </w:rPr>
            </w:pPr>
            <w:r>
              <w:rPr>
                <w:spacing w:val="-2"/>
                <w:sz w:val="21"/>
              </w:rPr>
              <w:t>17.51</w:t>
            </w:r>
          </w:p>
        </w:tc>
      </w:tr>
      <w:tr w14:paraId="1E24AA16" w14:textId="77777777">
        <w:tblPrEx>
          <w:tblW w:w="0" w:type="auto"/>
          <w:tblInd w:w="482" w:type="dxa"/>
          <w:tblLayout w:type="fixed"/>
          <w:tblCellMar>
            <w:left w:w="0" w:type="dxa"/>
            <w:right w:w="0" w:type="dxa"/>
          </w:tblCellMar>
          <w:tblLook w:val="01E0"/>
        </w:tblPrEx>
        <w:trPr>
          <w:trHeight w:val="286"/>
        </w:trPr>
        <w:tc>
          <w:tcPr>
            <w:tcW w:w="2693" w:type="dxa"/>
          </w:tcPr>
          <w:p w:rsidR="003F5784" w14:paraId="15DD8AC1" w14:textId="77777777">
            <w:pPr>
              <w:pStyle w:val="TableParagraph"/>
              <w:ind w:left="120"/>
              <w:jc w:val="left"/>
              <w:rPr>
                <w:sz w:val="21"/>
              </w:rPr>
            </w:pPr>
            <w:r>
              <w:rPr>
                <w:sz w:val="21"/>
              </w:rPr>
              <w:t>Midwest</w:t>
            </w:r>
            <w:r>
              <w:rPr>
                <w:spacing w:val="-9"/>
                <w:sz w:val="21"/>
              </w:rPr>
              <w:t xml:space="preserve"> </w:t>
            </w:r>
            <w:r>
              <w:rPr>
                <w:spacing w:val="-5"/>
                <w:sz w:val="21"/>
              </w:rPr>
              <w:t>all</w:t>
            </w:r>
          </w:p>
        </w:tc>
        <w:tc>
          <w:tcPr>
            <w:tcW w:w="1272" w:type="dxa"/>
          </w:tcPr>
          <w:p w:rsidR="003F5784" w14:paraId="6F20C51C" w14:textId="77777777">
            <w:pPr>
              <w:pStyle w:val="TableParagraph"/>
              <w:ind w:right="133"/>
              <w:rPr>
                <w:sz w:val="21"/>
              </w:rPr>
            </w:pPr>
            <w:r>
              <w:rPr>
                <w:spacing w:val="-2"/>
                <w:sz w:val="21"/>
              </w:rPr>
              <w:t>1,370</w:t>
            </w:r>
          </w:p>
        </w:tc>
        <w:tc>
          <w:tcPr>
            <w:tcW w:w="2055" w:type="dxa"/>
          </w:tcPr>
          <w:p w:rsidR="003F5784" w14:paraId="5736A973" w14:textId="77777777">
            <w:pPr>
              <w:pStyle w:val="TableParagraph"/>
              <w:ind w:right="134"/>
              <w:rPr>
                <w:sz w:val="21"/>
              </w:rPr>
            </w:pPr>
            <w:r>
              <w:rPr>
                <w:spacing w:val="-2"/>
                <w:sz w:val="21"/>
              </w:rPr>
              <w:t>95.37</w:t>
            </w:r>
          </w:p>
        </w:tc>
        <w:tc>
          <w:tcPr>
            <w:tcW w:w="1990" w:type="dxa"/>
          </w:tcPr>
          <w:p w:rsidR="003F5784" w14:paraId="670F785E" w14:textId="77777777">
            <w:pPr>
              <w:pStyle w:val="TableParagraph"/>
              <w:ind w:right="166"/>
              <w:rPr>
                <w:sz w:val="21"/>
              </w:rPr>
            </w:pPr>
            <w:r>
              <w:rPr>
                <w:spacing w:val="-2"/>
                <w:sz w:val="21"/>
              </w:rPr>
              <w:t>77.07</w:t>
            </w:r>
          </w:p>
        </w:tc>
        <w:tc>
          <w:tcPr>
            <w:tcW w:w="1304" w:type="dxa"/>
          </w:tcPr>
          <w:p w:rsidR="003F5784" w14:paraId="578994F3" w14:textId="77777777">
            <w:pPr>
              <w:pStyle w:val="TableParagraph"/>
              <w:ind w:right="225"/>
              <w:rPr>
                <w:sz w:val="21"/>
              </w:rPr>
            </w:pPr>
            <w:r>
              <w:rPr>
                <w:spacing w:val="-2"/>
                <w:sz w:val="21"/>
              </w:rPr>
              <w:t>29,800</w:t>
            </w:r>
          </w:p>
        </w:tc>
        <w:tc>
          <w:tcPr>
            <w:tcW w:w="1202" w:type="dxa"/>
          </w:tcPr>
          <w:p w:rsidR="003F5784" w14:paraId="54241035" w14:textId="77777777">
            <w:pPr>
              <w:pStyle w:val="TableParagraph"/>
              <w:ind w:right="135"/>
              <w:rPr>
                <w:sz w:val="21"/>
              </w:rPr>
            </w:pPr>
            <w:r>
              <w:rPr>
                <w:spacing w:val="-4"/>
                <w:sz w:val="21"/>
              </w:rPr>
              <w:t>1.13</w:t>
            </w:r>
          </w:p>
        </w:tc>
        <w:tc>
          <w:tcPr>
            <w:tcW w:w="1738" w:type="dxa"/>
          </w:tcPr>
          <w:p w:rsidR="003F5784" w14:paraId="068EAA9B" w14:textId="77777777">
            <w:pPr>
              <w:pStyle w:val="TableParagraph"/>
              <w:ind w:right="153"/>
              <w:rPr>
                <w:sz w:val="21"/>
              </w:rPr>
            </w:pPr>
            <w:r>
              <w:rPr>
                <w:spacing w:val="-2"/>
                <w:sz w:val="21"/>
              </w:rPr>
              <w:t>89.30</w:t>
            </w:r>
          </w:p>
        </w:tc>
        <w:tc>
          <w:tcPr>
            <w:tcW w:w="1733" w:type="dxa"/>
          </w:tcPr>
          <w:p w:rsidR="003F5784" w14:paraId="2A33BE9F" w14:textId="77777777">
            <w:pPr>
              <w:pStyle w:val="TableParagraph"/>
              <w:ind w:right="120"/>
              <w:rPr>
                <w:sz w:val="21"/>
              </w:rPr>
            </w:pPr>
            <w:r>
              <w:rPr>
                <w:spacing w:val="-2"/>
                <w:sz w:val="21"/>
              </w:rPr>
              <w:t>11.91</w:t>
            </w:r>
          </w:p>
        </w:tc>
      </w:tr>
      <w:tr w14:paraId="11ED66C0" w14:textId="77777777">
        <w:tblPrEx>
          <w:tblW w:w="0" w:type="auto"/>
          <w:tblInd w:w="482" w:type="dxa"/>
          <w:tblLayout w:type="fixed"/>
          <w:tblCellMar>
            <w:left w:w="0" w:type="dxa"/>
            <w:right w:w="0" w:type="dxa"/>
          </w:tblCellMar>
          <w:tblLook w:val="01E0"/>
        </w:tblPrEx>
        <w:trPr>
          <w:trHeight w:val="286"/>
        </w:trPr>
        <w:tc>
          <w:tcPr>
            <w:tcW w:w="2693" w:type="dxa"/>
          </w:tcPr>
          <w:p w:rsidR="003F5784" w14:paraId="7F9DDD0A" w14:textId="77777777">
            <w:pPr>
              <w:pStyle w:val="TableParagraph"/>
              <w:ind w:left="120"/>
              <w:jc w:val="left"/>
              <w:rPr>
                <w:sz w:val="21"/>
              </w:rPr>
            </w:pPr>
            <w:r>
              <w:rPr>
                <w:sz w:val="21"/>
              </w:rPr>
              <w:t>South</w:t>
            </w:r>
            <w:r>
              <w:rPr>
                <w:spacing w:val="-6"/>
                <w:sz w:val="21"/>
              </w:rPr>
              <w:t xml:space="preserve"> </w:t>
            </w:r>
            <w:r>
              <w:rPr>
                <w:spacing w:val="-5"/>
                <w:sz w:val="21"/>
              </w:rPr>
              <w:t>all</w:t>
            </w:r>
          </w:p>
        </w:tc>
        <w:tc>
          <w:tcPr>
            <w:tcW w:w="1272" w:type="dxa"/>
          </w:tcPr>
          <w:p w:rsidR="003F5784" w14:paraId="6635BAAC" w14:textId="77777777">
            <w:pPr>
              <w:pStyle w:val="TableParagraph"/>
              <w:ind w:right="133"/>
              <w:rPr>
                <w:sz w:val="21"/>
              </w:rPr>
            </w:pPr>
            <w:r>
              <w:rPr>
                <w:spacing w:val="-2"/>
                <w:sz w:val="21"/>
              </w:rPr>
              <w:t>2,000</w:t>
            </w:r>
          </w:p>
        </w:tc>
        <w:tc>
          <w:tcPr>
            <w:tcW w:w="2055" w:type="dxa"/>
          </w:tcPr>
          <w:p w:rsidR="003F5784" w14:paraId="36474402" w14:textId="77777777">
            <w:pPr>
              <w:pStyle w:val="TableParagraph"/>
              <w:ind w:right="134"/>
              <w:rPr>
                <w:sz w:val="21"/>
              </w:rPr>
            </w:pPr>
            <w:r>
              <w:rPr>
                <w:spacing w:val="-2"/>
                <w:sz w:val="21"/>
              </w:rPr>
              <w:t>95.51</w:t>
            </w:r>
          </w:p>
        </w:tc>
        <w:tc>
          <w:tcPr>
            <w:tcW w:w="1990" w:type="dxa"/>
          </w:tcPr>
          <w:p w:rsidR="003F5784" w14:paraId="6708CD4D" w14:textId="77777777">
            <w:pPr>
              <w:pStyle w:val="TableParagraph"/>
              <w:ind w:right="166"/>
              <w:rPr>
                <w:sz w:val="21"/>
              </w:rPr>
            </w:pPr>
            <w:r>
              <w:rPr>
                <w:spacing w:val="-2"/>
                <w:sz w:val="21"/>
              </w:rPr>
              <w:t>75.16</w:t>
            </w:r>
          </w:p>
        </w:tc>
        <w:tc>
          <w:tcPr>
            <w:tcW w:w="1304" w:type="dxa"/>
          </w:tcPr>
          <w:p w:rsidR="003F5784" w14:paraId="57B8F53D" w14:textId="77777777">
            <w:pPr>
              <w:pStyle w:val="TableParagraph"/>
              <w:ind w:right="225"/>
              <w:rPr>
                <w:sz w:val="21"/>
              </w:rPr>
            </w:pPr>
            <w:r>
              <w:rPr>
                <w:spacing w:val="-2"/>
                <w:sz w:val="21"/>
              </w:rPr>
              <w:t>50,100</w:t>
            </w:r>
          </w:p>
        </w:tc>
        <w:tc>
          <w:tcPr>
            <w:tcW w:w="1202" w:type="dxa"/>
          </w:tcPr>
          <w:p w:rsidR="003F5784" w14:paraId="6DA4FF12" w14:textId="77777777">
            <w:pPr>
              <w:pStyle w:val="TableParagraph"/>
              <w:ind w:right="135"/>
              <w:rPr>
                <w:sz w:val="21"/>
              </w:rPr>
            </w:pPr>
            <w:r>
              <w:rPr>
                <w:spacing w:val="-4"/>
                <w:sz w:val="21"/>
              </w:rPr>
              <w:t>1.95</w:t>
            </w:r>
          </w:p>
        </w:tc>
        <w:tc>
          <w:tcPr>
            <w:tcW w:w="1738" w:type="dxa"/>
          </w:tcPr>
          <w:p w:rsidR="003F5784" w14:paraId="6DDA548A" w14:textId="77777777">
            <w:pPr>
              <w:pStyle w:val="TableParagraph"/>
              <w:ind w:right="153"/>
              <w:rPr>
                <w:sz w:val="21"/>
              </w:rPr>
            </w:pPr>
            <w:r>
              <w:rPr>
                <w:spacing w:val="-2"/>
                <w:sz w:val="21"/>
              </w:rPr>
              <w:t>90.39</w:t>
            </w:r>
          </w:p>
        </w:tc>
        <w:tc>
          <w:tcPr>
            <w:tcW w:w="1733" w:type="dxa"/>
          </w:tcPr>
          <w:p w:rsidR="003F5784" w14:paraId="6BEA2DD6" w14:textId="77777777">
            <w:pPr>
              <w:pStyle w:val="TableParagraph"/>
              <w:ind w:right="120"/>
              <w:rPr>
                <w:sz w:val="21"/>
              </w:rPr>
            </w:pPr>
            <w:r>
              <w:rPr>
                <w:spacing w:val="-2"/>
                <w:sz w:val="21"/>
              </w:rPr>
              <w:t>14.72</w:t>
            </w:r>
          </w:p>
        </w:tc>
      </w:tr>
      <w:tr w14:paraId="56B96803" w14:textId="77777777">
        <w:tblPrEx>
          <w:tblW w:w="0" w:type="auto"/>
          <w:tblInd w:w="482" w:type="dxa"/>
          <w:tblLayout w:type="fixed"/>
          <w:tblCellMar>
            <w:left w:w="0" w:type="dxa"/>
            <w:right w:w="0" w:type="dxa"/>
          </w:tblCellMar>
          <w:tblLook w:val="01E0"/>
        </w:tblPrEx>
        <w:trPr>
          <w:trHeight w:val="290"/>
        </w:trPr>
        <w:tc>
          <w:tcPr>
            <w:tcW w:w="2693" w:type="dxa"/>
            <w:tcBorders>
              <w:bottom w:val="single" w:sz="12" w:space="0" w:color="800000"/>
            </w:tcBorders>
          </w:tcPr>
          <w:p w:rsidR="003F5784" w14:paraId="5B8B9EE7" w14:textId="77777777">
            <w:pPr>
              <w:pStyle w:val="TableParagraph"/>
              <w:ind w:left="120"/>
              <w:jc w:val="left"/>
              <w:rPr>
                <w:sz w:val="21"/>
              </w:rPr>
            </w:pPr>
            <w:r>
              <w:rPr>
                <w:spacing w:val="-4"/>
                <w:sz w:val="21"/>
              </w:rPr>
              <w:t>West</w:t>
            </w:r>
            <w:r>
              <w:rPr>
                <w:spacing w:val="-7"/>
                <w:sz w:val="21"/>
              </w:rPr>
              <w:t xml:space="preserve"> </w:t>
            </w:r>
            <w:r>
              <w:rPr>
                <w:spacing w:val="-5"/>
                <w:sz w:val="21"/>
              </w:rPr>
              <w:t>all</w:t>
            </w:r>
          </w:p>
        </w:tc>
        <w:tc>
          <w:tcPr>
            <w:tcW w:w="1272" w:type="dxa"/>
            <w:tcBorders>
              <w:bottom w:val="single" w:sz="12" w:space="0" w:color="800000"/>
            </w:tcBorders>
          </w:tcPr>
          <w:p w:rsidR="003F5784" w14:paraId="165BE4E1" w14:textId="77777777">
            <w:pPr>
              <w:pStyle w:val="TableParagraph"/>
              <w:ind w:right="133"/>
              <w:rPr>
                <w:sz w:val="21"/>
              </w:rPr>
            </w:pPr>
            <w:r>
              <w:rPr>
                <w:spacing w:val="-2"/>
                <w:sz w:val="21"/>
              </w:rPr>
              <w:t>1,350</w:t>
            </w:r>
          </w:p>
        </w:tc>
        <w:tc>
          <w:tcPr>
            <w:tcW w:w="2055" w:type="dxa"/>
            <w:tcBorders>
              <w:bottom w:val="single" w:sz="12" w:space="0" w:color="800000"/>
            </w:tcBorders>
          </w:tcPr>
          <w:p w:rsidR="003F5784" w14:paraId="5E6840DC" w14:textId="77777777">
            <w:pPr>
              <w:pStyle w:val="TableParagraph"/>
              <w:ind w:right="134"/>
              <w:rPr>
                <w:sz w:val="21"/>
              </w:rPr>
            </w:pPr>
            <w:r>
              <w:rPr>
                <w:spacing w:val="-2"/>
                <w:sz w:val="21"/>
              </w:rPr>
              <w:t>94.96</w:t>
            </w:r>
          </w:p>
        </w:tc>
        <w:tc>
          <w:tcPr>
            <w:tcW w:w="1990" w:type="dxa"/>
            <w:tcBorders>
              <w:bottom w:val="single" w:sz="12" w:space="0" w:color="800000"/>
            </w:tcBorders>
          </w:tcPr>
          <w:p w:rsidR="003F5784" w14:paraId="608D2FCE" w14:textId="77777777">
            <w:pPr>
              <w:pStyle w:val="TableParagraph"/>
              <w:ind w:right="166"/>
              <w:rPr>
                <w:sz w:val="21"/>
              </w:rPr>
            </w:pPr>
            <w:r>
              <w:rPr>
                <w:spacing w:val="-2"/>
                <w:sz w:val="21"/>
              </w:rPr>
              <w:t>80.42</w:t>
            </w:r>
          </w:p>
        </w:tc>
        <w:tc>
          <w:tcPr>
            <w:tcW w:w="1304" w:type="dxa"/>
            <w:tcBorders>
              <w:bottom w:val="single" w:sz="12" w:space="0" w:color="800000"/>
            </w:tcBorders>
          </w:tcPr>
          <w:p w:rsidR="003F5784" w14:paraId="236FE3A7" w14:textId="77777777">
            <w:pPr>
              <w:pStyle w:val="TableParagraph"/>
              <w:ind w:right="225"/>
              <w:rPr>
                <w:sz w:val="21"/>
              </w:rPr>
            </w:pPr>
            <w:r>
              <w:rPr>
                <w:spacing w:val="-2"/>
                <w:sz w:val="21"/>
              </w:rPr>
              <w:t>32,000</w:t>
            </w:r>
          </w:p>
        </w:tc>
        <w:tc>
          <w:tcPr>
            <w:tcW w:w="1202" w:type="dxa"/>
            <w:tcBorders>
              <w:bottom w:val="single" w:sz="12" w:space="0" w:color="800000"/>
            </w:tcBorders>
          </w:tcPr>
          <w:p w:rsidR="003F5784" w14:paraId="167D5423" w14:textId="77777777">
            <w:pPr>
              <w:pStyle w:val="TableParagraph"/>
              <w:ind w:right="135"/>
              <w:rPr>
                <w:sz w:val="21"/>
              </w:rPr>
            </w:pPr>
            <w:r>
              <w:rPr>
                <w:spacing w:val="-4"/>
                <w:sz w:val="21"/>
              </w:rPr>
              <w:t>1.86</w:t>
            </w:r>
          </w:p>
        </w:tc>
        <w:tc>
          <w:tcPr>
            <w:tcW w:w="1738" w:type="dxa"/>
            <w:tcBorders>
              <w:bottom w:val="single" w:sz="12" w:space="0" w:color="800000"/>
            </w:tcBorders>
          </w:tcPr>
          <w:p w:rsidR="003F5784" w14:paraId="61118DB7" w14:textId="77777777">
            <w:pPr>
              <w:pStyle w:val="TableParagraph"/>
              <w:ind w:right="153"/>
              <w:rPr>
                <w:sz w:val="21"/>
              </w:rPr>
            </w:pPr>
            <w:r>
              <w:rPr>
                <w:spacing w:val="-2"/>
                <w:sz w:val="21"/>
              </w:rPr>
              <w:t>87.84</w:t>
            </w:r>
          </w:p>
        </w:tc>
        <w:tc>
          <w:tcPr>
            <w:tcW w:w="1733" w:type="dxa"/>
            <w:tcBorders>
              <w:bottom w:val="single" w:sz="12" w:space="0" w:color="800000"/>
            </w:tcBorders>
          </w:tcPr>
          <w:p w:rsidR="003F5784" w14:paraId="79769EDC" w14:textId="77777777">
            <w:pPr>
              <w:pStyle w:val="TableParagraph"/>
              <w:ind w:right="120"/>
              <w:rPr>
                <w:sz w:val="21"/>
              </w:rPr>
            </w:pPr>
            <w:r>
              <w:rPr>
                <w:spacing w:val="-4"/>
                <w:sz w:val="21"/>
              </w:rPr>
              <w:t>8.90</w:t>
            </w:r>
          </w:p>
        </w:tc>
      </w:tr>
      <w:tr w14:paraId="37FCE1C3" w14:textId="77777777">
        <w:tblPrEx>
          <w:tblW w:w="0" w:type="auto"/>
          <w:tblInd w:w="482" w:type="dxa"/>
          <w:tblLayout w:type="fixed"/>
          <w:tblCellMar>
            <w:left w:w="0" w:type="dxa"/>
            <w:right w:w="0" w:type="dxa"/>
          </w:tblCellMar>
          <w:tblLook w:val="01E0"/>
        </w:tblPrEx>
        <w:trPr>
          <w:trHeight w:val="266"/>
        </w:trPr>
        <w:tc>
          <w:tcPr>
            <w:tcW w:w="2693" w:type="dxa"/>
            <w:tcBorders>
              <w:top w:val="single" w:sz="12" w:space="0" w:color="800000"/>
            </w:tcBorders>
          </w:tcPr>
          <w:p w:rsidR="003F5784" w14:paraId="21D8324E" w14:textId="77777777">
            <w:pPr>
              <w:pStyle w:val="TableParagraph"/>
              <w:spacing w:before="0" w:line="239" w:lineRule="exact"/>
              <w:ind w:left="370"/>
              <w:jc w:val="left"/>
              <w:rPr>
                <w:b/>
                <w:sz w:val="21"/>
              </w:rPr>
            </w:pPr>
            <w:r>
              <w:rPr>
                <w:b/>
                <w:sz w:val="21"/>
              </w:rPr>
              <w:t>National</w:t>
            </w:r>
            <w:r>
              <w:rPr>
                <w:b/>
                <w:spacing w:val="-9"/>
                <w:sz w:val="21"/>
              </w:rPr>
              <w:t xml:space="preserve"> </w:t>
            </w:r>
            <w:r>
              <w:rPr>
                <w:b/>
                <w:spacing w:val="-2"/>
                <w:sz w:val="21"/>
              </w:rPr>
              <w:t>public</w:t>
            </w:r>
          </w:p>
        </w:tc>
        <w:tc>
          <w:tcPr>
            <w:tcW w:w="1272" w:type="dxa"/>
            <w:tcBorders>
              <w:top w:val="single" w:sz="12" w:space="0" w:color="800000"/>
            </w:tcBorders>
          </w:tcPr>
          <w:p w:rsidR="003F5784" w14:paraId="7E0E8D6F" w14:textId="77777777">
            <w:pPr>
              <w:pStyle w:val="TableParagraph"/>
              <w:spacing w:before="0" w:line="239" w:lineRule="exact"/>
              <w:ind w:right="133"/>
              <w:rPr>
                <w:sz w:val="21"/>
              </w:rPr>
            </w:pPr>
            <w:r>
              <w:rPr>
                <w:spacing w:val="-2"/>
                <w:sz w:val="21"/>
              </w:rPr>
              <w:t>5,280</w:t>
            </w:r>
          </w:p>
        </w:tc>
        <w:tc>
          <w:tcPr>
            <w:tcW w:w="2055" w:type="dxa"/>
            <w:tcBorders>
              <w:top w:val="single" w:sz="12" w:space="0" w:color="800000"/>
            </w:tcBorders>
          </w:tcPr>
          <w:p w:rsidR="003F5784" w14:paraId="0F54D6E2" w14:textId="77777777">
            <w:pPr>
              <w:pStyle w:val="TableParagraph"/>
              <w:spacing w:before="0" w:line="239" w:lineRule="exact"/>
              <w:ind w:right="134"/>
              <w:rPr>
                <w:sz w:val="21"/>
              </w:rPr>
            </w:pPr>
            <w:r>
              <w:rPr>
                <w:spacing w:val="-2"/>
                <w:sz w:val="21"/>
              </w:rPr>
              <w:t>99.61</w:t>
            </w:r>
          </w:p>
        </w:tc>
        <w:tc>
          <w:tcPr>
            <w:tcW w:w="1990" w:type="dxa"/>
            <w:tcBorders>
              <w:top w:val="single" w:sz="12" w:space="0" w:color="800000"/>
            </w:tcBorders>
          </w:tcPr>
          <w:p w:rsidR="003F5784" w14:paraId="44C463CF" w14:textId="77777777">
            <w:pPr>
              <w:pStyle w:val="TableParagraph"/>
              <w:spacing w:before="0" w:line="239" w:lineRule="exact"/>
              <w:ind w:right="166"/>
              <w:rPr>
                <w:sz w:val="21"/>
              </w:rPr>
            </w:pPr>
            <w:r>
              <w:rPr>
                <w:spacing w:val="-2"/>
                <w:sz w:val="21"/>
              </w:rPr>
              <w:t>99.50</w:t>
            </w:r>
          </w:p>
        </w:tc>
        <w:tc>
          <w:tcPr>
            <w:tcW w:w="1304" w:type="dxa"/>
            <w:tcBorders>
              <w:top w:val="single" w:sz="12" w:space="0" w:color="800000"/>
            </w:tcBorders>
          </w:tcPr>
          <w:p w:rsidR="003F5784" w14:paraId="3D35CF85" w14:textId="77777777">
            <w:pPr>
              <w:pStyle w:val="TableParagraph"/>
              <w:spacing w:before="0" w:line="239" w:lineRule="exact"/>
              <w:ind w:right="225"/>
              <w:rPr>
                <w:sz w:val="21"/>
              </w:rPr>
            </w:pPr>
            <w:r>
              <w:rPr>
                <w:spacing w:val="-2"/>
                <w:sz w:val="21"/>
              </w:rPr>
              <w:t>131,400</w:t>
            </w:r>
          </w:p>
        </w:tc>
        <w:tc>
          <w:tcPr>
            <w:tcW w:w="1202" w:type="dxa"/>
            <w:tcBorders>
              <w:top w:val="single" w:sz="12" w:space="0" w:color="800000"/>
            </w:tcBorders>
          </w:tcPr>
          <w:p w:rsidR="003F5784" w14:paraId="5466FA8E" w14:textId="77777777">
            <w:pPr>
              <w:pStyle w:val="TableParagraph"/>
              <w:spacing w:before="0" w:line="239" w:lineRule="exact"/>
              <w:ind w:right="135"/>
              <w:rPr>
                <w:sz w:val="21"/>
              </w:rPr>
            </w:pPr>
            <w:r>
              <w:rPr>
                <w:spacing w:val="-4"/>
                <w:sz w:val="21"/>
              </w:rPr>
              <w:t>1.89</w:t>
            </w:r>
          </w:p>
        </w:tc>
        <w:tc>
          <w:tcPr>
            <w:tcW w:w="1738" w:type="dxa"/>
            <w:tcBorders>
              <w:top w:val="single" w:sz="12" w:space="0" w:color="800000"/>
            </w:tcBorders>
          </w:tcPr>
          <w:p w:rsidR="003F5784" w14:paraId="0DA7003E" w14:textId="77777777">
            <w:pPr>
              <w:pStyle w:val="TableParagraph"/>
              <w:spacing w:before="0" w:line="239" w:lineRule="exact"/>
              <w:ind w:right="153"/>
              <w:rPr>
                <w:sz w:val="21"/>
              </w:rPr>
            </w:pPr>
            <w:r>
              <w:rPr>
                <w:spacing w:val="-2"/>
                <w:sz w:val="21"/>
              </w:rPr>
              <w:t>88.82</w:t>
            </w:r>
          </w:p>
        </w:tc>
        <w:tc>
          <w:tcPr>
            <w:tcW w:w="1733" w:type="dxa"/>
            <w:tcBorders>
              <w:top w:val="single" w:sz="12" w:space="0" w:color="800000"/>
            </w:tcBorders>
          </w:tcPr>
          <w:p w:rsidR="003F5784" w14:paraId="5AC0F827" w14:textId="77777777">
            <w:pPr>
              <w:pStyle w:val="TableParagraph"/>
              <w:spacing w:before="0" w:line="239" w:lineRule="exact"/>
              <w:ind w:right="120"/>
              <w:rPr>
                <w:sz w:val="21"/>
              </w:rPr>
            </w:pPr>
            <w:r>
              <w:rPr>
                <w:spacing w:val="-2"/>
                <w:sz w:val="21"/>
              </w:rPr>
              <w:t>13.86</w:t>
            </w:r>
          </w:p>
        </w:tc>
      </w:tr>
      <w:tr w14:paraId="1B69F1AC" w14:textId="77777777">
        <w:tblPrEx>
          <w:tblW w:w="0" w:type="auto"/>
          <w:tblInd w:w="482" w:type="dxa"/>
          <w:tblLayout w:type="fixed"/>
          <w:tblCellMar>
            <w:left w:w="0" w:type="dxa"/>
            <w:right w:w="0" w:type="dxa"/>
          </w:tblCellMar>
          <w:tblLook w:val="01E0"/>
        </w:tblPrEx>
        <w:trPr>
          <w:trHeight w:val="286"/>
        </w:trPr>
        <w:tc>
          <w:tcPr>
            <w:tcW w:w="2693" w:type="dxa"/>
          </w:tcPr>
          <w:p w:rsidR="003F5784" w14:paraId="7B6DB766" w14:textId="77777777">
            <w:pPr>
              <w:pStyle w:val="TableParagraph"/>
              <w:ind w:left="120"/>
              <w:jc w:val="left"/>
              <w:rPr>
                <w:sz w:val="21"/>
              </w:rPr>
            </w:pPr>
            <w:r>
              <w:rPr>
                <w:spacing w:val="-2"/>
                <w:sz w:val="21"/>
              </w:rPr>
              <w:t>Alabama</w:t>
            </w:r>
          </w:p>
        </w:tc>
        <w:tc>
          <w:tcPr>
            <w:tcW w:w="1272" w:type="dxa"/>
          </w:tcPr>
          <w:p w:rsidR="003F5784" w14:paraId="3B21C1C9" w14:textId="77777777">
            <w:pPr>
              <w:pStyle w:val="TableParagraph"/>
              <w:ind w:right="133"/>
              <w:rPr>
                <w:sz w:val="21"/>
              </w:rPr>
            </w:pPr>
            <w:r>
              <w:rPr>
                <w:spacing w:val="-5"/>
                <w:sz w:val="21"/>
              </w:rPr>
              <w:t>90</w:t>
            </w:r>
          </w:p>
        </w:tc>
        <w:tc>
          <w:tcPr>
            <w:tcW w:w="2055" w:type="dxa"/>
          </w:tcPr>
          <w:p w:rsidR="003F5784" w14:paraId="19140E12" w14:textId="77777777">
            <w:pPr>
              <w:pStyle w:val="TableParagraph"/>
              <w:ind w:right="134"/>
              <w:rPr>
                <w:sz w:val="21"/>
              </w:rPr>
            </w:pPr>
            <w:r>
              <w:rPr>
                <w:spacing w:val="-2"/>
                <w:sz w:val="21"/>
              </w:rPr>
              <w:t>100.00</w:t>
            </w:r>
          </w:p>
        </w:tc>
        <w:tc>
          <w:tcPr>
            <w:tcW w:w="1990" w:type="dxa"/>
          </w:tcPr>
          <w:p w:rsidR="003F5784" w14:paraId="316C780B" w14:textId="77777777">
            <w:pPr>
              <w:pStyle w:val="TableParagraph"/>
              <w:ind w:right="166"/>
              <w:rPr>
                <w:sz w:val="21"/>
              </w:rPr>
            </w:pPr>
            <w:r>
              <w:rPr>
                <w:spacing w:val="-2"/>
                <w:sz w:val="21"/>
              </w:rPr>
              <w:t>100.00</w:t>
            </w:r>
          </w:p>
        </w:tc>
        <w:tc>
          <w:tcPr>
            <w:tcW w:w="1304" w:type="dxa"/>
          </w:tcPr>
          <w:p w:rsidR="003F5784" w14:paraId="29461DFB" w14:textId="77777777">
            <w:pPr>
              <w:pStyle w:val="TableParagraph"/>
              <w:ind w:right="225"/>
              <w:rPr>
                <w:sz w:val="21"/>
              </w:rPr>
            </w:pPr>
            <w:r>
              <w:rPr>
                <w:spacing w:val="-2"/>
                <w:sz w:val="21"/>
              </w:rPr>
              <w:t>2,100</w:t>
            </w:r>
          </w:p>
        </w:tc>
        <w:tc>
          <w:tcPr>
            <w:tcW w:w="1202" w:type="dxa"/>
          </w:tcPr>
          <w:p w:rsidR="003F5784" w14:paraId="01F8F3D0" w14:textId="77777777">
            <w:pPr>
              <w:pStyle w:val="TableParagraph"/>
              <w:ind w:right="135"/>
              <w:rPr>
                <w:sz w:val="21"/>
              </w:rPr>
            </w:pPr>
            <w:r>
              <w:rPr>
                <w:spacing w:val="-4"/>
                <w:sz w:val="21"/>
              </w:rPr>
              <w:t>0.98</w:t>
            </w:r>
          </w:p>
        </w:tc>
        <w:tc>
          <w:tcPr>
            <w:tcW w:w="1738" w:type="dxa"/>
          </w:tcPr>
          <w:p w:rsidR="003F5784" w14:paraId="46AE2CEE" w14:textId="77777777">
            <w:pPr>
              <w:pStyle w:val="TableParagraph"/>
              <w:ind w:right="153"/>
              <w:rPr>
                <w:sz w:val="21"/>
              </w:rPr>
            </w:pPr>
            <w:r>
              <w:rPr>
                <w:spacing w:val="-2"/>
                <w:sz w:val="21"/>
              </w:rPr>
              <w:t>92.41</w:t>
            </w:r>
          </w:p>
        </w:tc>
        <w:tc>
          <w:tcPr>
            <w:tcW w:w="1733" w:type="dxa"/>
          </w:tcPr>
          <w:p w:rsidR="003F5784" w14:paraId="22FE9369" w14:textId="77777777">
            <w:pPr>
              <w:pStyle w:val="TableParagraph"/>
              <w:ind w:right="120"/>
              <w:rPr>
                <w:sz w:val="21"/>
              </w:rPr>
            </w:pPr>
            <w:r>
              <w:rPr>
                <w:spacing w:val="-4"/>
                <w:sz w:val="21"/>
              </w:rPr>
              <w:t>9.08</w:t>
            </w:r>
          </w:p>
        </w:tc>
      </w:tr>
      <w:tr w14:paraId="138F3024" w14:textId="77777777">
        <w:tblPrEx>
          <w:tblW w:w="0" w:type="auto"/>
          <w:tblInd w:w="482" w:type="dxa"/>
          <w:tblLayout w:type="fixed"/>
          <w:tblCellMar>
            <w:left w:w="0" w:type="dxa"/>
            <w:right w:w="0" w:type="dxa"/>
          </w:tblCellMar>
          <w:tblLook w:val="01E0"/>
        </w:tblPrEx>
        <w:trPr>
          <w:trHeight w:val="286"/>
        </w:trPr>
        <w:tc>
          <w:tcPr>
            <w:tcW w:w="2693" w:type="dxa"/>
          </w:tcPr>
          <w:p w:rsidR="003F5784" w14:paraId="4A6914BF" w14:textId="77777777">
            <w:pPr>
              <w:pStyle w:val="TableParagraph"/>
              <w:ind w:left="120"/>
              <w:jc w:val="left"/>
              <w:rPr>
                <w:sz w:val="21"/>
              </w:rPr>
            </w:pPr>
            <w:r>
              <w:rPr>
                <w:spacing w:val="-2"/>
                <w:sz w:val="21"/>
              </w:rPr>
              <w:t>Alaska</w:t>
            </w:r>
          </w:p>
        </w:tc>
        <w:tc>
          <w:tcPr>
            <w:tcW w:w="1272" w:type="dxa"/>
          </w:tcPr>
          <w:p w:rsidR="003F5784" w14:paraId="3C4DC53E" w14:textId="77777777">
            <w:pPr>
              <w:pStyle w:val="TableParagraph"/>
              <w:ind w:right="133"/>
              <w:rPr>
                <w:sz w:val="21"/>
              </w:rPr>
            </w:pPr>
            <w:r>
              <w:rPr>
                <w:spacing w:val="-5"/>
                <w:sz w:val="21"/>
              </w:rPr>
              <w:t>110</w:t>
            </w:r>
          </w:p>
        </w:tc>
        <w:tc>
          <w:tcPr>
            <w:tcW w:w="2055" w:type="dxa"/>
          </w:tcPr>
          <w:p w:rsidR="003F5784" w14:paraId="0E94BDE8" w14:textId="77777777">
            <w:pPr>
              <w:pStyle w:val="TableParagraph"/>
              <w:ind w:right="134"/>
              <w:rPr>
                <w:sz w:val="21"/>
              </w:rPr>
            </w:pPr>
            <w:r>
              <w:rPr>
                <w:spacing w:val="-2"/>
                <w:sz w:val="21"/>
              </w:rPr>
              <w:t>98.71</w:t>
            </w:r>
          </w:p>
        </w:tc>
        <w:tc>
          <w:tcPr>
            <w:tcW w:w="1990" w:type="dxa"/>
          </w:tcPr>
          <w:p w:rsidR="003F5784" w14:paraId="7B4633B6" w14:textId="77777777">
            <w:pPr>
              <w:pStyle w:val="TableParagraph"/>
              <w:ind w:right="166"/>
              <w:rPr>
                <w:sz w:val="21"/>
              </w:rPr>
            </w:pPr>
            <w:r>
              <w:rPr>
                <w:spacing w:val="-2"/>
                <w:sz w:val="21"/>
              </w:rPr>
              <w:t>93.92</w:t>
            </w:r>
          </w:p>
        </w:tc>
        <w:tc>
          <w:tcPr>
            <w:tcW w:w="1304" w:type="dxa"/>
          </w:tcPr>
          <w:p w:rsidR="003F5784" w14:paraId="4F3AC36E" w14:textId="77777777">
            <w:pPr>
              <w:pStyle w:val="TableParagraph"/>
              <w:ind w:right="225"/>
              <w:rPr>
                <w:sz w:val="21"/>
              </w:rPr>
            </w:pPr>
            <w:r>
              <w:rPr>
                <w:spacing w:val="-2"/>
                <w:sz w:val="21"/>
              </w:rPr>
              <w:t>2,100</w:t>
            </w:r>
          </w:p>
        </w:tc>
        <w:tc>
          <w:tcPr>
            <w:tcW w:w="1202" w:type="dxa"/>
          </w:tcPr>
          <w:p w:rsidR="003F5784" w14:paraId="1C68259C" w14:textId="77777777">
            <w:pPr>
              <w:pStyle w:val="TableParagraph"/>
              <w:ind w:right="135"/>
              <w:rPr>
                <w:sz w:val="21"/>
              </w:rPr>
            </w:pPr>
            <w:r>
              <w:rPr>
                <w:spacing w:val="-4"/>
                <w:sz w:val="21"/>
              </w:rPr>
              <w:t>0.48</w:t>
            </w:r>
          </w:p>
        </w:tc>
        <w:tc>
          <w:tcPr>
            <w:tcW w:w="1738" w:type="dxa"/>
          </w:tcPr>
          <w:p w:rsidR="003F5784" w14:paraId="6277928F" w14:textId="77777777">
            <w:pPr>
              <w:pStyle w:val="TableParagraph"/>
              <w:ind w:right="153"/>
              <w:rPr>
                <w:sz w:val="21"/>
              </w:rPr>
            </w:pPr>
            <w:r>
              <w:rPr>
                <w:spacing w:val="-2"/>
                <w:sz w:val="21"/>
              </w:rPr>
              <w:t>82.03</w:t>
            </w:r>
          </w:p>
        </w:tc>
        <w:tc>
          <w:tcPr>
            <w:tcW w:w="1733" w:type="dxa"/>
          </w:tcPr>
          <w:p w:rsidR="003F5784" w14:paraId="203E5D54" w14:textId="77777777">
            <w:pPr>
              <w:pStyle w:val="TableParagraph"/>
              <w:ind w:right="120"/>
              <w:rPr>
                <w:sz w:val="21"/>
              </w:rPr>
            </w:pPr>
            <w:r>
              <w:rPr>
                <w:spacing w:val="-2"/>
                <w:sz w:val="21"/>
              </w:rPr>
              <w:t>15.08</w:t>
            </w:r>
          </w:p>
        </w:tc>
      </w:tr>
      <w:tr w14:paraId="3ED29FF1" w14:textId="77777777">
        <w:tblPrEx>
          <w:tblW w:w="0" w:type="auto"/>
          <w:tblInd w:w="482" w:type="dxa"/>
          <w:tblLayout w:type="fixed"/>
          <w:tblCellMar>
            <w:left w:w="0" w:type="dxa"/>
            <w:right w:w="0" w:type="dxa"/>
          </w:tblCellMar>
          <w:tblLook w:val="01E0"/>
        </w:tblPrEx>
        <w:trPr>
          <w:trHeight w:val="286"/>
        </w:trPr>
        <w:tc>
          <w:tcPr>
            <w:tcW w:w="2693" w:type="dxa"/>
          </w:tcPr>
          <w:p w:rsidR="003F5784" w14:paraId="773699A2" w14:textId="77777777">
            <w:pPr>
              <w:pStyle w:val="TableParagraph"/>
              <w:ind w:left="120"/>
              <w:jc w:val="left"/>
              <w:rPr>
                <w:sz w:val="21"/>
              </w:rPr>
            </w:pPr>
            <w:r>
              <w:rPr>
                <w:spacing w:val="-2"/>
                <w:sz w:val="21"/>
              </w:rPr>
              <w:t>Arizona</w:t>
            </w:r>
          </w:p>
        </w:tc>
        <w:tc>
          <w:tcPr>
            <w:tcW w:w="1272" w:type="dxa"/>
          </w:tcPr>
          <w:p w:rsidR="003F5784" w14:paraId="04B0E3C7" w14:textId="77777777">
            <w:pPr>
              <w:pStyle w:val="TableParagraph"/>
              <w:ind w:right="133"/>
              <w:rPr>
                <w:sz w:val="21"/>
              </w:rPr>
            </w:pPr>
            <w:r>
              <w:rPr>
                <w:spacing w:val="-5"/>
                <w:sz w:val="21"/>
              </w:rPr>
              <w:t>90</w:t>
            </w:r>
          </w:p>
        </w:tc>
        <w:tc>
          <w:tcPr>
            <w:tcW w:w="2055" w:type="dxa"/>
          </w:tcPr>
          <w:p w:rsidR="003F5784" w14:paraId="111EE997" w14:textId="77777777">
            <w:pPr>
              <w:pStyle w:val="TableParagraph"/>
              <w:ind w:right="134"/>
              <w:rPr>
                <w:sz w:val="21"/>
              </w:rPr>
            </w:pPr>
            <w:r>
              <w:rPr>
                <w:spacing w:val="-2"/>
                <w:sz w:val="21"/>
              </w:rPr>
              <w:t>100.00</w:t>
            </w:r>
          </w:p>
        </w:tc>
        <w:tc>
          <w:tcPr>
            <w:tcW w:w="1990" w:type="dxa"/>
          </w:tcPr>
          <w:p w:rsidR="003F5784" w14:paraId="69F40458" w14:textId="77777777">
            <w:pPr>
              <w:pStyle w:val="TableParagraph"/>
              <w:ind w:right="166"/>
              <w:rPr>
                <w:sz w:val="21"/>
              </w:rPr>
            </w:pPr>
            <w:r>
              <w:rPr>
                <w:spacing w:val="-2"/>
                <w:sz w:val="21"/>
              </w:rPr>
              <w:t>100.00</w:t>
            </w:r>
          </w:p>
        </w:tc>
        <w:tc>
          <w:tcPr>
            <w:tcW w:w="1304" w:type="dxa"/>
          </w:tcPr>
          <w:p w:rsidR="003F5784" w14:paraId="5157908A" w14:textId="77777777">
            <w:pPr>
              <w:pStyle w:val="TableParagraph"/>
              <w:ind w:right="225"/>
              <w:rPr>
                <w:sz w:val="21"/>
              </w:rPr>
            </w:pPr>
            <w:r>
              <w:rPr>
                <w:spacing w:val="-2"/>
                <w:sz w:val="21"/>
              </w:rPr>
              <w:t>2,100</w:t>
            </w:r>
          </w:p>
        </w:tc>
        <w:tc>
          <w:tcPr>
            <w:tcW w:w="1202" w:type="dxa"/>
          </w:tcPr>
          <w:p w:rsidR="003F5784" w14:paraId="2750DF8B" w14:textId="77777777">
            <w:pPr>
              <w:pStyle w:val="TableParagraph"/>
              <w:ind w:right="135"/>
              <w:rPr>
                <w:sz w:val="21"/>
              </w:rPr>
            </w:pPr>
            <w:r>
              <w:rPr>
                <w:spacing w:val="-4"/>
                <w:sz w:val="21"/>
              </w:rPr>
              <w:t>1.77</w:t>
            </w:r>
          </w:p>
        </w:tc>
        <w:tc>
          <w:tcPr>
            <w:tcW w:w="1738" w:type="dxa"/>
          </w:tcPr>
          <w:p w:rsidR="003F5784" w14:paraId="649C9011" w14:textId="77777777">
            <w:pPr>
              <w:pStyle w:val="TableParagraph"/>
              <w:ind w:right="153"/>
              <w:rPr>
                <w:sz w:val="21"/>
              </w:rPr>
            </w:pPr>
            <w:r>
              <w:rPr>
                <w:spacing w:val="-2"/>
                <w:sz w:val="21"/>
              </w:rPr>
              <w:t>89.78</w:t>
            </w:r>
          </w:p>
        </w:tc>
        <w:tc>
          <w:tcPr>
            <w:tcW w:w="1733" w:type="dxa"/>
          </w:tcPr>
          <w:p w:rsidR="003F5784" w14:paraId="654FBB55" w14:textId="77777777">
            <w:pPr>
              <w:pStyle w:val="TableParagraph"/>
              <w:ind w:right="120"/>
              <w:rPr>
                <w:sz w:val="21"/>
              </w:rPr>
            </w:pPr>
            <w:r>
              <w:rPr>
                <w:spacing w:val="-4"/>
                <w:sz w:val="21"/>
              </w:rPr>
              <w:t>9.41</w:t>
            </w:r>
          </w:p>
        </w:tc>
      </w:tr>
      <w:tr w14:paraId="49CDB756" w14:textId="77777777">
        <w:tblPrEx>
          <w:tblW w:w="0" w:type="auto"/>
          <w:tblInd w:w="482" w:type="dxa"/>
          <w:tblLayout w:type="fixed"/>
          <w:tblCellMar>
            <w:left w:w="0" w:type="dxa"/>
            <w:right w:w="0" w:type="dxa"/>
          </w:tblCellMar>
          <w:tblLook w:val="01E0"/>
        </w:tblPrEx>
        <w:trPr>
          <w:trHeight w:val="286"/>
        </w:trPr>
        <w:tc>
          <w:tcPr>
            <w:tcW w:w="2693" w:type="dxa"/>
          </w:tcPr>
          <w:p w:rsidR="003F5784" w14:paraId="314EC841" w14:textId="77777777">
            <w:pPr>
              <w:pStyle w:val="TableParagraph"/>
              <w:ind w:left="120"/>
              <w:jc w:val="left"/>
              <w:rPr>
                <w:sz w:val="21"/>
              </w:rPr>
            </w:pPr>
            <w:r>
              <w:rPr>
                <w:spacing w:val="-2"/>
                <w:sz w:val="21"/>
              </w:rPr>
              <w:t>Arkansas</w:t>
            </w:r>
          </w:p>
        </w:tc>
        <w:tc>
          <w:tcPr>
            <w:tcW w:w="1272" w:type="dxa"/>
          </w:tcPr>
          <w:p w:rsidR="003F5784" w14:paraId="36652813" w14:textId="77777777">
            <w:pPr>
              <w:pStyle w:val="TableParagraph"/>
              <w:ind w:right="133"/>
              <w:rPr>
                <w:sz w:val="21"/>
              </w:rPr>
            </w:pPr>
            <w:r>
              <w:rPr>
                <w:spacing w:val="-5"/>
                <w:sz w:val="21"/>
              </w:rPr>
              <w:t>90</w:t>
            </w:r>
          </w:p>
        </w:tc>
        <w:tc>
          <w:tcPr>
            <w:tcW w:w="2055" w:type="dxa"/>
          </w:tcPr>
          <w:p w:rsidR="003F5784" w14:paraId="61BF3F29" w14:textId="77777777">
            <w:pPr>
              <w:pStyle w:val="TableParagraph"/>
              <w:ind w:right="134"/>
              <w:rPr>
                <w:sz w:val="21"/>
              </w:rPr>
            </w:pPr>
            <w:r>
              <w:rPr>
                <w:spacing w:val="-2"/>
                <w:sz w:val="21"/>
              </w:rPr>
              <w:t>100.00</w:t>
            </w:r>
          </w:p>
        </w:tc>
        <w:tc>
          <w:tcPr>
            <w:tcW w:w="1990" w:type="dxa"/>
          </w:tcPr>
          <w:p w:rsidR="003F5784" w14:paraId="00E6F512" w14:textId="77777777">
            <w:pPr>
              <w:pStyle w:val="TableParagraph"/>
              <w:ind w:right="166"/>
              <w:rPr>
                <w:sz w:val="21"/>
              </w:rPr>
            </w:pPr>
            <w:r>
              <w:rPr>
                <w:spacing w:val="-2"/>
                <w:sz w:val="21"/>
              </w:rPr>
              <w:t>100.00</w:t>
            </w:r>
          </w:p>
        </w:tc>
        <w:tc>
          <w:tcPr>
            <w:tcW w:w="1304" w:type="dxa"/>
          </w:tcPr>
          <w:p w:rsidR="003F5784" w14:paraId="3754599A" w14:textId="77777777">
            <w:pPr>
              <w:pStyle w:val="TableParagraph"/>
              <w:ind w:right="225"/>
              <w:rPr>
                <w:sz w:val="21"/>
              </w:rPr>
            </w:pPr>
            <w:r>
              <w:rPr>
                <w:spacing w:val="-2"/>
                <w:sz w:val="21"/>
              </w:rPr>
              <w:t>2,200</w:t>
            </w:r>
          </w:p>
        </w:tc>
        <w:tc>
          <w:tcPr>
            <w:tcW w:w="1202" w:type="dxa"/>
          </w:tcPr>
          <w:p w:rsidR="003F5784" w14:paraId="39FE4D47" w14:textId="77777777">
            <w:pPr>
              <w:pStyle w:val="TableParagraph"/>
              <w:ind w:right="135"/>
              <w:rPr>
                <w:sz w:val="21"/>
              </w:rPr>
            </w:pPr>
            <w:r>
              <w:rPr>
                <w:spacing w:val="-4"/>
                <w:sz w:val="21"/>
              </w:rPr>
              <w:t>1.63</w:t>
            </w:r>
          </w:p>
        </w:tc>
        <w:tc>
          <w:tcPr>
            <w:tcW w:w="1738" w:type="dxa"/>
          </w:tcPr>
          <w:p w:rsidR="003F5784" w14:paraId="6BE7640C" w14:textId="77777777">
            <w:pPr>
              <w:pStyle w:val="TableParagraph"/>
              <w:ind w:right="153"/>
              <w:rPr>
                <w:sz w:val="21"/>
              </w:rPr>
            </w:pPr>
            <w:r>
              <w:rPr>
                <w:spacing w:val="-2"/>
                <w:sz w:val="21"/>
              </w:rPr>
              <w:t>91.43</w:t>
            </w:r>
          </w:p>
        </w:tc>
        <w:tc>
          <w:tcPr>
            <w:tcW w:w="1733" w:type="dxa"/>
          </w:tcPr>
          <w:p w:rsidR="003F5784" w14:paraId="26F61699" w14:textId="77777777">
            <w:pPr>
              <w:pStyle w:val="TableParagraph"/>
              <w:ind w:right="120"/>
              <w:rPr>
                <w:sz w:val="21"/>
              </w:rPr>
            </w:pPr>
            <w:r>
              <w:rPr>
                <w:spacing w:val="-2"/>
                <w:sz w:val="21"/>
              </w:rPr>
              <w:t>18.33</w:t>
            </w:r>
          </w:p>
        </w:tc>
      </w:tr>
      <w:tr w14:paraId="231E7131" w14:textId="77777777">
        <w:tblPrEx>
          <w:tblW w:w="0" w:type="auto"/>
          <w:tblInd w:w="482" w:type="dxa"/>
          <w:tblLayout w:type="fixed"/>
          <w:tblCellMar>
            <w:left w:w="0" w:type="dxa"/>
            <w:right w:w="0" w:type="dxa"/>
          </w:tblCellMar>
          <w:tblLook w:val="01E0"/>
        </w:tblPrEx>
        <w:trPr>
          <w:trHeight w:val="286"/>
        </w:trPr>
        <w:tc>
          <w:tcPr>
            <w:tcW w:w="2693" w:type="dxa"/>
          </w:tcPr>
          <w:p w:rsidR="003F5784" w14:paraId="73FF2A37" w14:textId="77777777">
            <w:pPr>
              <w:pStyle w:val="TableParagraph"/>
              <w:ind w:left="120"/>
              <w:jc w:val="left"/>
              <w:rPr>
                <w:sz w:val="21"/>
              </w:rPr>
            </w:pPr>
            <w:r>
              <w:rPr>
                <w:spacing w:val="-2"/>
                <w:sz w:val="21"/>
              </w:rPr>
              <w:t>California</w:t>
            </w:r>
          </w:p>
        </w:tc>
        <w:tc>
          <w:tcPr>
            <w:tcW w:w="1272" w:type="dxa"/>
          </w:tcPr>
          <w:p w:rsidR="003F5784" w14:paraId="1F03873A" w14:textId="77777777">
            <w:pPr>
              <w:pStyle w:val="TableParagraph"/>
              <w:ind w:right="133"/>
              <w:rPr>
                <w:sz w:val="21"/>
              </w:rPr>
            </w:pPr>
            <w:r>
              <w:rPr>
                <w:spacing w:val="-5"/>
                <w:sz w:val="21"/>
              </w:rPr>
              <w:t>180</w:t>
            </w:r>
          </w:p>
        </w:tc>
        <w:tc>
          <w:tcPr>
            <w:tcW w:w="2055" w:type="dxa"/>
          </w:tcPr>
          <w:p w:rsidR="003F5784" w14:paraId="656790AA" w14:textId="77777777">
            <w:pPr>
              <w:pStyle w:val="TableParagraph"/>
              <w:ind w:right="134"/>
              <w:rPr>
                <w:sz w:val="21"/>
              </w:rPr>
            </w:pPr>
            <w:r>
              <w:rPr>
                <w:spacing w:val="-2"/>
                <w:sz w:val="21"/>
              </w:rPr>
              <w:t>100.00</w:t>
            </w:r>
          </w:p>
        </w:tc>
        <w:tc>
          <w:tcPr>
            <w:tcW w:w="1990" w:type="dxa"/>
          </w:tcPr>
          <w:p w:rsidR="003F5784" w14:paraId="5125A65E" w14:textId="77777777">
            <w:pPr>
              <w:pStyle w:val="TableParagraph"/>
              <w:ind w:right="166"/>
              <w:rPr>
                <w:sz w:val="21"/>
              </w:rPr>
            </w:pPr>
            <w:r>
              <w:rPr>
                <w:spacing w:val="-2"/>
                <w:sz w:val="21"/>
              </w:rPr>
              <w:t>100.00</w:t>
            </w:r>
          </w:p>
        </w:tc>
        <w:tc>
          <w:tcPr>
            <w:tcW w:w="1304" w:type="dxa"/>
          </w:tcPr>
          <w:p w:rsidR="003F5784" w14:paraId="2C6C5178" w14:textId="77777777">
            <w:pPr>
              <w:pStyle w:val="TableParagraph"/>
              <w:ind w:right="225"/>
              <w:rPr>
                <w:sz w:val="21"/>
              </w:rPr>
            </w:pPr>
            <w:r>
              <w:rPr>
                <w:spacing w:val="-2"/>
                <w:sz w:val="21"/>
              </w:rPr>
              <w:t>4,400</w:t>
            </w:r>
          </w:p>
        </w:tc>
        <w:tc>
          <w:tcPr>
            <w:tcW w:w="1202" w:type="dxa"/>
          </w:tcPr>
          <w:p w:rsidR="003F5784" w14:paraId="527E42F5" w14:textId="77777777">
            <w:pPr>
              <w:pStyle w:val="TableParagraph"/>
              <w:ind w:right="135"/>
              <w:rPr>
                <w:sz w:val="21"/>
              </w:rPr>
            </w:pPr>
            <w:r>
              <w:rPr>
                <w:spacing w:val="-4"/>
                <w:sz w:val="21"/>
              </w:rPr>
              <w:t>2.48</w:t>
            </w:r>
          </w:p>
        </w:tc>
        <w:tc>
          <w:tcPr>
            <w:tcW w:w="1738" w:type="dxa"/>
          </w:tcPr>
          <w:p w:rsidR="003F5784" w14:paraId="50DB8D17" w14:textId="77777777">
            <w:pPr>
              <w:pStyle w:val="TableParagraph"/>
              <w:ind w:right="153"/>
              <w:rPr>
                <w:sz w:val="21"/>
              </w:rPr>
            </w:pPr>
            <w:r>
              <w:rPr>
                <w:spacing w:val="-2"/>
                <w:sz w:val="21"/>
              </w:rPr>
              <w:t>88.09</w:t>
            </w:r>
          </w:p>
        </w:tc>
        <w:tc>
          <w:tcPr>
            <w:tcW w:w="1733" w:type="dxa"/>
          </w:tcPr>
          <w:p w:rsidR="003F5784" w14:paraId="11C08E44" w14:textId="77777777">
            <w:pPr>
              <w:pStyle w:val="TableParagraph"/>
              <w:ind w:right="120"/>
              <w:rPr>
                <w:sz w:val="21"/>
              </w:rPr>
            </w:pPr>
            <w:r>
              <w:rPr>
                <w:spacing w:val="-4"/>
                <w:sz w:val="21"/>
              </w:rPr>
              <w:t>7.74</w:t>
            </w:r>
          </w:p>
        </w:tc>
      </w:tr>
      <w:tr w14:paraId="3DFD7417" w14:textId="77777777">
        <w:tblPrEx>
          <w:tblW w:w="0" w:type="auto"/>
          <w:tblInd w:w="482" w:type="dxa"/>
          <w:tblLayout w:type="fixed"/>
          <w:tblCellMar>
            <w:left w:w="0" w:type="dxa"/>
            <w:right w:w="0" w:type="dxa"/>
          </w:tblCellMar>
          <w:tblLook w:val="01E0"/>
        </w:tblPrEx>
        <w:trPr>
          <w:trHeight w:val="286"/>
        </w:trPr>
        <w:tc>
          <w:tcPr>
            <w:tcW w:w="2693" w:type="dxa"/>
          </w:tcPr>
          <w:p w:rsidR="003F5784" w14:paraId="61E917E6" w14:textId="77777777">
            <w:pPr>
              <w:pStyle w:val="TableParagraph"/>
              <w:ind w:left="120"/>
              <w:jc w:val="left"/>
              <w:rPr>
                <w:sz w:val="21"/>
              </w:rPr>
            </w:pPr>
            <w:r>
              <w:rPr>
                <w:spacing w:val="-2"/>
                <w:sz w:val="21"/>
              </w:rPr>
              <w:t>Colorado</w:t>
            </w:r>
          </w:p>
        </w:tc>
        <w:tc>
          <w:tcPr>
            <w:tcW w:w="1272" w:type="dxa"/>
          </w:tcPr>
          <w:p w:rsidR="003F5784" w14:paraId="4646CE1D" w14:textId="77777777">
            <w:pPr>
              <w:pStyle w:val="TableParagraph"/>
              <w:ind w:right="133"/>
              <w:rPr>
                <w:sz w:val="21"/>
              </w:rPr>
            </w:pPr>
            <w:r>
              <w:rPr>
                <w:spacing w:val="-5"/>
                <w:sz w:val="21"/>
              </w:rPr>
              <w:t>120</w:t>
            </w:r>
          </w:p>
        </w:tc>
        <w:tc>
          <w:tcPr>
            <w:tcW w:w="2055" w:type="dxa"/>
          </w:tcPr>
          <w:p w:rsidR="003F5784" w14:paraId="255DF62B" w14:textId="77777777">
            <w:pPr>
              <w:pStyle w:val="TableParagraph"/>
              <w:ind w:right="134"/>
              <w:rPr>
                <w:sz w:val="21"/>
              </w:rPr>
            </w:pPr>
            <w:r>
              <w:rPr>
                <w:spacing w:val="-2"/>
                <w:sz w:val="21"/>
              </w:rPr>
              <w:t>96.76</w:t>
            </w:r>
          </w:p>
        </w:tc>
        <w:tc>
          <w:tcPr>
            <w:tcW w:w="1990" w:type="dxa"/>
          </w:tcPr>
          <w:p w:rsidR="003F5784" w14:paraId="20B99BFA" w14:textId="77777777">
            <w:pPr>
              <w:pStyle w:val="TableParagraph"/>
              <w:ind w:right="166"/>
              <w:rPr>
                <w:sz w:val="21"/>
              </w:rPr>
            </w:pPr>
            <w:r>
              <w:rPr>
                <w:spacing w:val="-2"/>
                <w:sz w:val="21"/>
              </w:rPr>
              <w:t>95.47</w:t>
            </w:r>
          </w:p>
        </w:tc>
        <w:tc>
          <w:tcPr>
            <w:tcW w:w="1304" w:type="dxa"/>
          </w:tcPr>
          <w:p w:rsidR="003F5784" w14:paraId="0BA17CD2" w14:textId="77777777">
            <w:pPr>
              <w:pStyle w:val="TableParagraph"/>
              <w:ind w:right="225"/>
              <w:rPr>
                <w:sz w:val="21"/>
              </w:rPr>
            </w:pPr>
            <w:r>
              <w:rPr>
                <w:spacing w:val="-2"/>
                <w:sz w:val="21"/>
              </w:rPr>
              <w:t>2,800</w:t>
            </w:r>
          </w:p>
        </w:tc>
        <w:tc>
          <w:tcPr>
            <w:tcW w:w="1202" w:type="dxa"/>
          </w:tcPr>
          <w:p w:rsidR="003F5784" w14:paraId="4D3E4434" w14:textId="77777777">
            <w:pPr>
              <w:pStyle w:val="TableParagraph"/>
              <w:ind w:right="135"/>
              <w:rPr>
                <w:sz w:val="21"/>
              </w:rPr>
            </w:pPr>
            <w:r>
              <w:rPr>
                <w:spacing w:val="-4"/>
                <w:sz w:val="21"/>
              </w:rPr>
              <w:t>1.95</w:t>
            </w:r>
          </w:p>
        </w:tc>
        <w:tc>
          <w:tcPr>
            <w:tcW w:w="1738" w:type="dxa"/>
          </w:tcPr>
          <w:p w:rsidR="003F5784" w14:paraId="68CB5668" w14:textId="77777777">
            <w:pPr>
              <w:pStyle w:val="TableParagraph"/>
              <w:ind w:right="153"/>
              <w:rPr>
                <w:sz w:val="21"/>
              </w:rPr>
            </w:pPr>
            <w:r>
              <w:rPr>
                <w:spacing w:val="-2"/>
                <w:sz w:val="21"/>
              </w:rPr>
              <w:t>86.94</w:t>
            </w:r>
          </w:p>
        </w:tc>
        <w:tc>
          <w:tcPr>
            <w:tcW w:w="1733" w:type="dxa"/>
          </w:tcPr>
          <w:p w:rsidR="003F5784" w14:paraId="5BBEB39D" w14:textId="77777777">
            <w:pPr>
              <w:pStyle w:val="TableParagraph"/>
              <w:ind w:right="120"/>
              <w:rPr>
                <w:sz w:val="21"/>
              </w:rPr>
            </w:pPr>
            <w:r>
              <w:rPr>
                <w:spacing w:val="-2"/>
                <w:sz w:val="21"/>
              </w:rPr>
              <w:t>10.67</w:t>
            </w:r>
          </w:p>
        </w:tc>
      </w:tr>
      <w:tr w14:paraId="7C1D1E69" w14:textId="77777777">
        <w:tblPrEx>
          <w:tblW w:w="0" w:type="auto"/>
          <w:tblInd w:w="482" w:type="dxa"/>
          <w:tblLayout w:type="fixed"/>
          <w:tblCellMar>
            <w:left w:w="0" w:type="dxa"/>
            <w:right w:w="0" w:type="dxa"/>
          </w:tblCellMar>
          <w:tblLook w:val="01E0"/>
        </w:tblPrEx>
        <w:trPr>
          <w:trHeight w:val="286"/>
        </w:trPr>
        <w:tc>
          <w:tcPr>
            <w:tcW w:w="2693" w:type="dxa"/>
          </w:tcPr>
          <w:p w:rsidR="003F5784" w14:paraId="3F5B58F8" w14:textId="77777777">
            <w:pPr>
              <w:pStyle w:val="TableParagraph"/>
              <w:ind w:left="120"/>
              <w:jc w:val="left"/>
              <w:rPr>
                <w:sz w:val="21"/>
              </w:rPr>
            </w:pPr>
            <w:r>
              <w:rPr>
                <w:spacing w:val="-2"/>
                <w:sz w:val="21"/>
              </w:rPr>
              <w:t>Connecticut</w:t>
            </w:r>
          </w:p>
        </w:tc>
        <w:tc>
          <w:tcPr>
            <w:tcW w:w="1272" w:type="dxa"/>
          </w:tcPr>
          <w:p w:rsidR="003F5784" w14:paraId="2E70E7EE" w14:textId="77777777">
            <w:pPr>
              <w:pStyle w:val="TableParagraph"/>
              <w:ind w:right="133"/>
              <w:rPr>
                <w:sz w:val="21"/>
              </w:rPr>
            </w:pPr>
            <w:r>
              <w:rPr>
                <w:spacing w:val="-5"/>
                <w:sz w:val="21"/>
              </w:rPr>
              <w:t>90</w:t>
            </w:r>
          </w:p>
        </w:tc>
        <w:tc>
          <w:tcPr>
            <w:tcW w:w="2055" w:type="dxa"/>
          </w:tcPr>
          <w:p w:rsidR="003F5784" w14:paraId="3C7E5407" w14:textId="77777777">
            <w:pPr>
              <w:pStyle w:val="TableParagraph"/>
              <w:ind w:right="134"/>
              <w:rPr>
                <w:sz w:val="21"/>
              </w:rPr>
            </w:pPr>
            <w:r>
              <w:rPr>
                <w:spacing w:val="-2"/>
                <w:sz w:val="21"/>
              </w:rPr>
              <w:t>98.77</w:t>
            </w:r>
          </w:p>
        </w:tc>
        <w:tc>
          <w:tcPr>
            <w:tcW w:w="1990" w:type="dxa"/>
          </w:tcPr>
          <w:p w:rsidR="003F5784" w14:paraId="556A5DB8" w14:textId="77777777">
            <w:pPr>
              <w:pStyle w:val="TableParagraph"/>
              <w:ind w:right="166"/>
              <w:rPr>
                <w:sz w:val="21"/>
              </w:rPr>
            </w:pPr>
            <w:r>
              <w:rPr>
                <w:spacing w:val="-2"/>
                <w:sz w:val="21"/>
              </w:rPr>
              <w:t>97.80</w:t>
            </w:r>
          </w:p>
        </w:tc>
        <w:tc>
          <w:tcPr>
            <w:tcW w:w="1304" w:type="dxa"/>
          </w:tcPr>
          <w:p w:rsidR="003F5784" w14:paraId="6C9A3921" w14:textId="77777777">
            <w:pPr>
              <w:pStyle w:val="TableParagraph"/>
              <w:ind w:right="225"/>
              <w:rPr>
                <w:sz w:val="21"/>
              </w:rPr>
            </w:pPr>
            <w:r>
              <w:rPr>
                <w:spacing w:val="-2"/>
                <w:sz w:val="21"/>
              </w:rPr>
              <w:t>2,100</w:t>
            </w:r>
          </w:p>
        </w:tc>
        <w:tc>
          <w:tcPr>
            <w:tcW w:w="1202" w:type="dxa"/>
          </w:tcPr>
          <w:p w:rsidR="003F5784" w14:paraId="738E864B" w14:textId="77777777">
            <w:pPr>
              <w:pStyle w:val="TableParagraph"/>
              <w:ind w:right="135"/>
              <w:rPr>
                <w:sz w:val="21"/>
              </w:rPr>
            </w:pPr>
            <w:r>
              <w:rPr>
                <w:spacing w:val="-4"/>
                <w:sz w:val="21"/>
              </w:rPr>
              <w:t>1.77</w:t>
            </w:r>
          </w:p>
        </w:tc>
        <w:tc>
          <w:tcPr>
            <w:tcW w:w="1738" w:type="dxa"/>
          </w:tcPr>
          <w:p w:rsidR="003F5784" w14:paraId="3DC2ED3F" w14:textId="77777777">
            <w:pPr>
              <w:pStyle w:val="TableParagraph"/>
              <w:ind w:right="153"/>
              <w:rPr>
                <w:sz w:val="21"/>
              </w:rPr>
            </w:pPr>
            <w:r>
              <w:rPr>
                <w:spacing w:val="-2"/>
                <w:sz w:val="21"/>
              </w:rPr>
              <w:t>88.43</w:t>
            </w:r>
          </w:p>
        </w:tc>
        <w:tc>
          <w:tcPr>
            <w:tcW w:w="1733" w:type="dxa"/>
          </w:tcPr>
          <w:p w:rsidR="003F5784" w14:paraId="7A14696B" w14:textId="77777777">
            <w:pPr>
              <w:pStyle w:val="TableParagraph"/>
              <w:ind w:right="120"/>
              <w:rPr>
                <w:sz w:val="21"/>
              </w:rPr>
            </w:pPr>
            <w:r>
              <w:rPr>
                <w:spacing w:val="-2"/>
                <w:sz w:val="21"/>
              </w:rPr>
              <w:t>16.40</w:t>
            </w:r>
          </w:p>
        </w:tc>
      </w:tr>
      <w:tr w14:paraId="1521A51D" w14:textId="77777777">
        <w:tblPrEx>
          <w:tblW w:w="0" w:type="auto"/>
          <w:tblInd w:w="482" w:type="dxa"/>
          <w:tblLayout w:type="fixed"/>
          <w:tblCellMar>
            <w:left w:w="0" w:type="dxa"/>
            <w:right w:w="0" w:type="dxa"/>
          </w:tblCellMar>
          <w:tblLook w:val="01E0"/>
        </w:tblPrEx>
        <w:trPr>
          <w:trHeight w:val="286"/>
        </w:trPr>
        <w:tc>
          <w:tcPr>
            <w:tcW w:w="2693" w:type="dxa"/>
          </w:tcPr>
          <w:p w:rsidR="003F5784" w14:paraId="04249BC2" w14:textId="77777777">
            <w:pPr>
              <w:pStyle w:val="TableParagraph"/>
              <w:ind w:left="120"/>
              <w:jc w:val="left"/>
              <w:rPr>
                <w:sz w:val="21"/>
              </w:rPr>
            </w:pPr>
            <w:r>
              <w:rPr>
                <w:spacing w:val="-2"/>
                <w:sz w:val="21"/>
              </w:rPr>
              <w:t>Delaware</w:t>
            </w:r>
          </w:p>
        </w:tc>
        <w:tc>
          <w:tcPr>
            <w:tcW w:w="1272" w:type="dxa"/>
          </w:tcPr>
          <w:p w:rsidR="003F5784" w14:paraId="0B780D77" w14:textId="77777777">
            <w:pPr>
              <w:pStyle w:val="TableParagraph"/>
              <w:ind w:right="133"/>
              <w:rPr>
                <w:sz w:val="21"/>
              </w:rPr>
            </w:pPr>
            <w:r>
              <w:rPr>
                <w:spacing w:val="-5"/>
                <w:sz w:val="21"/>
              </w:rPr>
              <w:t>50</w:t>
            </w:r>
          </w:p>
        </w:tc>
        <w:tc>
          <w:tcPr>
            <w:tcW w:w="2055" w:type="dxa"/>
          </w:tcPr>
          <w:p w:rsidR="003F5784" w14:paraId="17A9333F" w14:textId="77777777">
            <w:pPr>
              <w:pStyle w:val="TableParagraph"/>
              <w:ind w:right="134"/>
              <w:rPr>
                <w:sz w:val="21"/>
              </w:rPr>
            </w:pPr>
            <w:r>
              <w:rPr>
                <w:spacing w:val="-2"/>
                <w:sz w:val="21"/>
              </w:rPr>
              <w:t>100.00</w:t>
            </w:r>
          </w:p>
        </w:tc>
        <w:tc>
          <w:tcPr>
            <w:tcW w:w="1990" w:type="dxa"/>
          </w:tcPr>
          <w:p w:rsidR="003F5784" w14:paraId="511FC763" w14:textId="77777777">
            <w:pPr>
              <w:pStyle w:val="TableParagraph"/>
              <w:ind w:right="166"/>
              <w:rPr>
                <w:sz w:val="21"/>
              </w:rPr>
            </w:pPr>
            <w:r>
              <w:rPr>
                <w:spacing w:val="-2"/>
                <w:sz w:val="21"/>
              </w:rPr>
              <w:t>100.00</w:t>
            </w:r>
          </w:p>
        </w:tc>
        <w:tc>
          <w:tcPr>
            <w:tcW w:w="1304" w:type="dxa"/>
          </w:tcPr>
          <w:p w:rsidR="003F5784" w14:paraId="4B30F017" w14:textId="77777777">
            <w:pPr>
              <w:pStyle w:val="TableParagraph"/>
              <w:ind w:right="225"/>
              <w:rPr>
                <w:sz w:val="21"/>
              </w:rPr>
            </w:pPr>
            <w:r>
              <w:rPr>
                <w:spacing w:val="-2"/>
                <w:sz w:val="21"/>
              </w:rPr>
              <w:t>2,100</w:t>
            </w:r>
          </w:p>
        </w:tc>
        <w:tc>
          <w:tcPr>
            <w:tcW w:w="1202" w:type="dxa"/>
          </w:tcPr>
          <w:p w:rsidR="003F5784" w14:paraId="2F777501" w14:textId="77777777">
            <w:pPr>
              <w:pStyle w:val="TableParagraph"/>
              <w:ind w:right="135"/>
              <w:rPr>
                <w:sz w:val="21"/>
              </w:rPr>
            </w:pPr>
            <w:r>
              <w:rPr>
                <w:spacing w:val="-4"/>
                <w:sz w:val="21"/>
              </w:rPr>
              <w:t>1.49</w:t>
            </w:r>
          </w:p>
        </w:tc>
        <w:tc>
          <w:tcPr>
            <w:tcW w:w="1738" w:type="dxa"/>
          </w:tcPr>
          <w:p w:rsidR="003F5784" w14:paraId="14D06841" w14:textId="77777777">
            <w:pPr>
              <w:pStyle w:val="TableParagraph"/>
              <w:ind w:right="153"/>
              <w:rPr>
                <w:sz w:val="21"/>
              </w:rPr>
            </w:pPr>
            <w:r>
              <w:rPr>
                <w:spacing w:val="-2"/>
                <w:sz w:val="21"/>
              </w:rPr>
              <w:t>87.58</w:t>
            </w:r>
          </w:p>
        </w:tc>
        <w:tc>
          <w:tcPr>
            <w:tcW w:w="1733" w:type="dxa"/>
          </w:tcPr>
          <w:p w:rsidR="003F5784" w14:paraId="1A3C44A1" w14:textId="77777777">
            <w:pPr>
              <w:pStyle w:val="TableParagraph"/>
              <w:ind w:right="120"/>
              <w:rPr>
                <w:sz w:val="21"/>
              </w:rPr>
            </w:pPr>
            <w:r>
              <w:rPr>
                <w:spacing w:val="-2"/>
                <w:sz w:val="21"/>
              </w:rPr>
              <w:t>18.91</w:t>
            </w:r>
          </w:p>
        </w:tc>
      </w:tr>
      <w:tr w14:paraId="3515F516" w14:textId="77777777">
        <w:tblPrEx>
          <w:tblW w:w="0" w:type="auto"/>
          <w:tblInd w:w="482" w:type="dxa"/>
          <w:tblLayout w:type="fixed"/>
          <w:tblCellMar>
            <w:left w:w="0" w:type="dxa"/>
            <w:right w:w="0" w:type="dxa"/>
          </w:tblCellMar>
          <w:tblLook w:val="01E0"/>
        </w:tblPrEx>
        <w:trPr>
          <w:trHeight w:val="286"/>
        </w:trPr>
        <w:tc>
          <w:tcPr>
            <w:tcW w:w="2693" w:type="dxa"/>
          </w:tcPr>
          <w:p w:rsidR="003F5784" w14:paraId="46C80E18" w14:textId="77777777">
            <w:pPr>
              <w:pStyle w:val="TableParagraph"/>
              <w:ind w:left="120"/>
              <w:jc w:val="left"/>
              <w:rPr>
                <w:sz w:val="21"/>
              </w:rPr>
            </w:pPr>
            <w:r>
              <w:rPr>
                <w:sz w:val="21"/>
              </w:rPr>
              <w:t>District</w:t>
            </w:r>
            <w:r>
              <w:rPr>
                <w:spacing w:val="-6"/>
                <w:sz w:val="21"/>
              </w:rPr>
              <w:t xml:space="preserve"> </w:t>
            </w:r>
            <w:r>
              <w:rPr>
                <w:sz w:val="21"/>
              </w:rPr>
              <w:t>of</w:t>
            </w:r>
            <w:r>
              <w:rPr>
                <w:spacing w:val="-5"/>
                <w:sz w:val="21"/>
              </w:rPr>
              <w:t xml:space="preserve"> </w:t>
            </w:r>
            <w:r>
              <w:rPr>
                <w:spacing w:val="-2"/>
                <w:sz w:val="21"/>
              </w:rPr>
              <w:t>Columbia</w:t>
            </w:r>
          </w:p>
        </w:tc>
        <w:tc>
          <w:tcPr>
            <w:tcW w:w="1272" w:type="dxa"/>
          </w:tcPr>
          <w:p w:rsidR="003F5784" w14:paraId="03D19048" w14:textId="77777777">
            <w:pPr>
              <w:pStyle w:val="TableParagraph"/>
              <w:ind w:right="133"/>
              <w:rPr>
                <w:sz w:val="21"/>
              </w:rPr>
            </w:pPr>
            <w:r>
              <w:rPr>
                <w:spacing w:val="-5"/>
                <w:sz w:val="21"/>
              </w:rPr>
              <w:t>80</w:t>
            </w:r>
          </w:p>
        </w:tc>
        <w:tc>
          <w:tcPr>
            <w:tcW w:w="2055" w:type="dxa"/>
          </w:tcPr>
          <w:p w:rsidR="003F5784" w14:paraId="1998BA4E" w14:textId="77777777">
            <w:pPr>
              <w:pStyle w:val="TableParagraph"/>
              <w:ind w:right="134"/>
              <w:rPr>
                <w:sz w:val="21"/>
              </w:rPr>
            </w:pPr>
            <w:r>
              <w:rPr>
                <w:spacing w:val="-2"/>
                <w:sz w:val="21"/>
              </w:rPr>
              <w:t>100.00</w:t>
            </w:r>
          </w:p>
        </w:tc>
        <w:tc>
          <w:tcPr>
            <w:tcW w:w="1990" w:type="dxa"/>
          </w:tcPr>
          <w:p w:rsidR="003F5784" w14:paraId="132FF2E4" w14:textId="77777777">
            <w:pPr>
              <w:pStyle w:val="TableParagraph"/>
              <w:ind w:right="166"/>
              <w:rPr>
                <w:sz w:val="21"/>
              </w:rPr>
            </w:pPr>
            <w:r>
              <w:rPr>
                <w:spacing w:val="-2"/>
                <w:sz w:val="21"/>
              </w:rPr>
              <w:t>100.00</w:t>
            </w:r>
          </w:p>
        </w:tc>
        <w:tc>
          <w:tcPr>
            <w:tcW w:w="1304" w:type="dxa"/>
          </w:tcPr>
          <w:p w:rsidR="003F5784" w14:paraId="3185E347" w14:textId="77777777">
            <w:pPr>
              <w:pStyle w:val="TableParagraph"/>
              <w:ind w:right="225"/>
              <w:rPr>
                <w:sz w:val="21"/>
              </w:rPr>
            </w:pPr>
            <w:r>
              <w:rPr>
                <w:spacing w:val="-2"/>
                <w:sz w:val="21"/>
              </w:rPr>
              <w:t>2,000</w:t>
            </w:r>
          </w:p>
        </w:tc>
        <w:tc>
          <w:tcPr>
            <w:tcW w:w="1202" w:type="dxa"/>
          </w:tcPr>
          <w:p w:rsidR="003F5784" w14:paraId="786CFB73" w14:textId="77777777">
            <w:pPr>
              <w:pStyle w:val="TableParagraph"/>
              <w:ind w:right="135"/>
              <w:rPr>
                <w:sz w:val="21"/>
              </w:rPr>
            </w:pPr>
            <w:r>
              <w:rPr>
                <w:spacing w:val="-4"/>
                <w:sz w:val="21"/>
              </w:rPr>
              <w:t>3.07</w:t>
            </w:r>
          </w:p>
        </w:tc>
        <w:tc>
          <w:tcPr>
            <w:tcW w:w="1738" w:type="dxa"/>
          </w:tcPr>
          <w:p w:rsidR="003F5784" w14:paraId="07F750C2" w14:textId="77777777">
            <w:pPr>
              <w:pStyle w:val="TableParagraph"/>
              <w:ind w:right="153"/>
              <w:rPr>
                <w:sz w:val="21"/>
              </w:rPr>
            </w:pPr>
            <w:r>
              <w:rPr>
                <w:spacing w:val="-2"/>
                <w:sz w:val="21"/>
              </w:rPr>
              <w:t>83.75</w:t>
            </w:r>
          </w:p>
        </w:tc>
        <w:tc>
          <w:tcPr>
            <w:tcW w:w="1733" w:type="dxa"/>
          </w:tcPr>
          <w:p w:rsidR="003F5784" w14:paraId="35E1DE32" w14:textId="77777777">
            <w:pPr>
              <w:pStyle w:val="TableParagraph"/>
              <w:ind w:right="120"/>
              <w:rPr>
                <w:sz w:val="21"/>
              </w:rPr>
            </w:pPr>
            <w:r>
              <w:rPr>
                <w:spacing w:val="-2"/>
                <w:sz w:val="21"/>
              </w:rPr>
              <w:t>24.58</w:t>
            </w:r>
          </w:p>
        </w:tc>
      </w:tr>
      <w:tr w14:paraId="214AE698" w14:textId="77777777">
        <w:tblPrEx>
          <w:tblW w:w="0" w:type="auto"/>
          <w:tblInd w:w="482" w:type="dxa"/>
          <w:tblLayout w:type="fixed"/>
          <w:tblCellMar>
            <w:left w:w="0" w:type="dxa"/>
            <w:right w:w="0" w:type="dxa"/>
          </w:tblCellMar>
          <w:tblLook w:val="01E0"/>
        </w:tblPrEx>
        <w:trPr>
          <w:trHeight w:val="286"/>
        </w:trPr>
        <w:tc>
          <w:tcPr>
            <w:tcW w:w="2693" w:type="dxa"/>
          </w:tcPr>
          <w:p w:rsidR="003F5784" w14:paraId="26682D6D" w14:textId="77777777">
            <w:pPr>
              <w:pStyle w:val="TableParagraph"/>
              <w:ind w:left="120"/>
              <w:jc w:val="left"/>
              <w:rPr>
                <w:sz w:val="21"/>
              </w:rPr>
            </w:pPr>
            <w:r>
              <w:rPr>
                <w:spacing w:val="-2"/>
                <w:sz w:val="21"/>
              </w:rPr>
              <w:t>Florida</w:t>
            </w:r>
          </w:p>
        </w:tc>
        <w:tc>
          <w:tcPr>
            <w:tcW w:w="1272" w:type="dxa"/>
          </w:tcPr>
          <w:p w:rsidR="003F5784" w14:paraId="05A37FAD" w14:textId="77777777">
            <w:pPr>
              <w:pStyle w:val="TableParagraph"/>
              <w:ind w:right="133"/>
              <w:rPr>
                <w:sz w:val="21"/>
              </w:rPr>
            </w:pPr>
            <w:r>
              <w:rPr>
                <w:spacing w:val="-5"/>
                <w:sz w:val="21"/>
              </w:rPr>
              <w:t>210</w:t>
            </w:r>
          </w:p>
        </w:tc>
        <w:tc>
          <w:tcPr>
            <w:tcW w:w="2055" w:type="dxa"/>
          </w:tcPr>
          <w:p w:rsidR="003F5784" w14:paraId="6C65B17D" w14:textId="77777777">
            <w:pPr>
              <w:pStyle w:val="TableParagraph"/>
              <w:ind w:right="134"/>
              <w:rPr>
                <w:sz w:val="21"/>
              </w:rPr>
            </w:pPr>
            <w:r>
              <w:rPr>
                <w:spacing w:val="-2"/>
                <w:sz w:val="21"/>
              </w:rPr>
              <w:t>100.00</w:t>
            </w:r>
          </w:p>
        </w:tc>
        <w:tc>
          <w:tcPr>
            <w:tcW w:w="1990" w:type="dxa"/>
          </w:tcPr>
          <w:p w:rsidR="003F5784" w14:paraId="1456F79B" w14:textId="77777777">
            <w:pPr>
              <w:pStyle w:val="TableParagraph"/>
              <w:ind w:right="166"/>
              <w:rPr>
                <w:sz w:val="21"/>
              </w:rPr>
            </w:pPr>
            <w:r>
              <w:rPr>
                <w:spacing w:val="-2"/>
                <w:sz w:val="21"/>
              </w:rPr>
              <w:t>100.00</w:t>
            </w:r>
          </w:p>
        </w:tc>
        <w:tc>
          <w:tcPr>
            <w:tcW w:w="1304" w:type="dxa"/>
          </w:tcPr>
          <w:p w:rsidR="003F5784" w14:paraId="6765BE10" w14:textId="77777777">
            <w:pPr>
              <w:pStyle w:val="TableParagraph"/>
              <w:ind w:right="225"/>
              <w:rPr>
                <w:sz w:val="21"/>
              </w:rPr>
            </w:pPr>
            <w:r>
              <w:rPr>
                <w:spacing w:val="-2"/>
                <w:sz w:val="21"/>
              </w:rPr>
              <w:t>5,400</w:t>
            </w:r>
          </w:p>
        </w:tc>
        <w:tc>
          <w:tcPr>
            <w:tcW w:w="1202" w:type="dxa"/>
          </w:tcPr>
          <w:p w:rsidR="003F5784" w14:paraId="453953F6" w14:textId="77777777">
            <w:pPr>
              <w:pStyle w:val="TableParagraph"/>
              <w:ind w:right="135"/>
              <w:rPr>
                <w:sz w:val="21"/>
              </w:rPr>
            </w:pPr>
            <w:r>
              <w:rPr>
                <w:spacing w:val="-4"/>
                <w:sz w:val="21"/>
              </w:rPr>
              <w:t>2.34</w:t>
            </w:r>
          </w:p>
        </w:tc>
        <w:tc>
          <w:tcPr>
            <w:tcW w:w="1738" w:type="dxa"/>
          </w:tcPr>
          <w:p w:rsidR="003F5784" w14:paraId="4356F0A4" w14:textId="77777777">
            <w:pPr>
              <w:pStyle w:val="TableParagraph"/>
              <w:ind w:right="153"/>
              <w:rPr>
                <w:sz w:val="21"/>
              </w:rPr>
            </w:pPr>
            <w:r>
              <w:rPr>
                <w:spacing w:val="-2"/>
                <w:sz w:val="21"/>
              </w:rPr>
              <w:t>87.36</w:t>
            </w:r>
          </w:p>
        </w:tc>
        <w:tc>
          <w:tcPr>
            <w:tcW w:w="1733" w:type="dxa"/>
          </w:tcPr>
          <w:p w:rsidR="003F5784" w14:paraId="795A891C" w14:textId="77777777">
            <w:pPr>
              <w:pStyle w:val="TableParagraph"/>
              <w:ind w:right="120"/>
              <w:rPr>
                <w:sz w:val="21"/>
              </w:rPr>
            </w:pPr>
            <w:r>
              <w:rPr>
                <w:spacing w:val="-2"/>
                <w:sz w:val="21"/>
              </w:rPr>
              <w:t>22.00</w:t>
            </w:r>
          </w:p>
        </w:tc>
      </w:tr>
      <w:tr w14:paraId="1053CD83" w14:textId="77777777">
        <w:tblPrEx>
          <w:tblW w:w="0" w:type="auto"/>
          <w:tblInd w:w="482" w:type="dxa"/>
          <w:tblLayout w:type="fixed"/>
          <w:tblCellMar>
            <w:left w:w="0" w:type="dxa"/>
            <w:right w:w="0" w:type="dxa"/>
          </w:tblCellMar>
          <w:tblLook w:val="01E0"/>
        </w:tblPrEx>
        <w:trPr>
          <w:trHeight w:val="286"/>
        </w:trPr>
        <w:tc>
          <w:tcPr>
            <w:tcW w:w="2693" w:type="dxa"/>
          </w:tcPr>
          <w:p w:rsidR="003F5784" w14:paraId="517D0C97" w14:textId="77777777">
            <w:pPr>
              <w:pStyle w:val="TableParagraph"/>
              <w:ind w:left="120"/>
              <w:jc w:val="left"/>
              <w:rPr>
                <w:sz w:val="21"/>
              </w:rPr>
            </w:pPr>
            <w:r>
              <w:rPr>
                <w:spacing w:val="-2"/>
                <w:sz w:val="21"/>
              </w:rPr>
              <w:t>Georgia</w:t>
            </w:r>
          </w:p>
        </w:tc>
        <w:tc>
          <w:tcPr>
            <w:tcW w:w="1272" w:type="dxa"/>
          </w:tcPr>
          <w:p w:rsidR="003F5784" w14:paraId="4558DF9C" w14:textId="77777777">
            <w:pPr>
              <w:pStyle w:val="TableParagraph"/>
              <w:ind w:right="133"/>
              <w:rPr>
                <w:sz w:val="21"/>
              </w:rPr>
            </w:pPr>
            <w:r>
              <w:rPr>
                <w:spacing w:val="-5"/>
                <w:sz w:val="21"/>
              </w:rPr>
              <w:t>110</w:t>
            </w:r>
          </w:p>
        </w:tc>
        <w:tc>
          <w:tcPr>
            <w:tcW w:w="2055" w:type="dxa"/>
          </w:tcPr>
          <w:p w:rsidR="003F5784" w14:paraId="7D874CF1" w14:textId="77777777">
            <w:pPr>
              <w:pStyle w:val="TableParagraph"/>
              <w:ind w:right="134"/>
              <w:rPr>
                <w:sz w:val="21"/>
              </w:rPr>
            </w:pPr>
            <w:r>
              <w:rPr>
                <w:spacing w:val="-2"/>
                <w:sz w:val="21"/>
              </w:rPr>
              <w:t>100.00</w:t>
            </w:r>
          </w:p>
        </w:tc>
        <w:tc>
          <w:tcPr>
            <w:tcW w:w="1990" w:type="dxa"/>
          </w:tcPr>
          <w:p w:rsidR="003F5784" w14:paraId="4A9FC19F" w14:textId="77777777">
            <w:pPr>
              <w:pStyle w:val="TableParagraph"/>
              <w:ind w:right="166"/>
              <w:rPr>
                <w:sz w:val="21"/>
              </w:rPr>
            </w:pPr>
            <w:r>
              <w:rPr>
                <w:spacing w:val="-2"/>
                <w:sz w:val="21"/>
              </w:rPr>
              <w:t>100.00</w:t>
            </w:r>
          </w:p>
        </w:tc>
        <w:tc>
          <w:tcPr>
            <w:tcW w:w="1304" w:type="dxa"/>
          </w:tcPr>
          <w:p w:rsidR="003F5784" w14:paraId="6DD3C534" w14:textId="77777777">
            <w:pPr>
              <w:pStyle w:val="TableParagraph"/>
              <w:ind w:right="225"/>
              <w:rPr>
                <w:sz w:val="21"/>
              </w:rPr>
            </w:pPr>
            <w:r>
              <w:rPr>
                <w:spacing w:val="-2"/>
                <w:sz w:val="21"/>
              </w:rPr>
              <w:t>3,100</w:t>
            </w:r>
          </w:p>
        </w:tc>
        <w:tc>
          <w:tcPr>
            <w:tcW w:w="1202" w:type="dxa"/>
          </w:tcPr>
          <w:p w:rsidR="003F5784" w14:paraId="704150ED" w14:textId="77777777">
            <w:pPr>
              <w:pStyle w:val="TableParagraph"/>
              <w:ind w:right="135"/>
              <w:rPr>
                <w:sz w:val="21"/>
              </w:rPr>
            </w:pPr>
            <w:r>
              <w:rPr>
                <w:spacing w:val="-4"/>
                <w:sz w:val="21"/>
              </w:rPr>
              <w:t>1.97</w:t>
            </w:r>
          </w:p>
        </w:tc>
        <w:tc>
          <w:tcPr>
            <w:tcW w:w="1738" w:type="dxa"/>
          </w:tcPr>
          <w:p w:rsidR="003F5784" w14:paraId="14CA89D0" w14:textId="77777777">
            <w:pPr>
              <w:pStyle w:val="TableParagraph"/>
              <w:ind w:right="153"/>
              <w:rPr>
                <w:sz w:val="21"/>
              </w:rPr>
            </w:pPr>
            <w:r>
              <w:rPr>
                <w:spacing w:val="-2"/>
                <w:sz w:val="21"/>
              </w:rPr>
              <w:t>92.79</w:t>
            </w:r>
          </w:p>
        </w:tc>
        <w:tc>
          <w:tcPr>
            <w:tcW w:w="1733" w:type="dxa"/>
          </w:tcPr>
          <w:p w:rsidR="003F5784" w14:paraId="3915B1D3" w14:textId="77777777">
            <w:pPr>
              <w:pStyle w:val="TableParagraph"/>
              <w:ind w:right="120"/>
              <w:rPr>
                <w:sz w:val="21"/>
              </w:rPr>
            </w:pPr>
            <w:r>
              <w:rPr>
                <w:spacing w:val="-2"/>
                <w:sz w:val="21"/>
              </w:rPr>
              <w:t>16.63</w:t>
            </w:r>
          </w:p>
        </w:tc>
      </w:tr>
      <w:tr w14:paraId="0A110A12" w14:textId="77777777">
        <w:tblPrEx>
          <w:tblW w:w="0" w:type="auto"/>
          <w:tblInd w:w="482" w:type="dxa"/>
          <w:tblLayout w:type="fixed"/>
          <w:tblCellMar>
            <w:left w:w="0" w:type="dxa"/>
            <w:right w:w="0" w:type="dxa"/>
          </w:tblCellMar>
          <w:tblLook w:val="01E0"/>
        </w:tblPrEx>
        <w:trPr>
          <w:trHeight w:val="286"/>
        </w:trPr>
        <w:tc>
          <w:tcPr>
            <w:tcW w:w="2693" w:type="dxa"/>
          </w:tcPr>
          <w:p w:rsidR="003F5784" w14:paraId="79FFD69B" w14:textId="77777777">
            <w:pPr>
              <w:pStyle w:val="TableParagraph"/>
              <w:ind w:left="120"/>
              <w:jc w:val="left"/>
              <w:rPr>
                <w:sz w:val="21"/>
              </w:rPr>
            </w:pPr>
            <w:r>
              <w:rPr>
                <w:spacing w:val="-2"/>
                <w:sz w:val="21"/>
              </w:rPr>
              <w:t>Hawaii</w:t>
            </w:r>
          </w:p>
        </w:tc>
        <w:tc>
          <w:tcPr>
            <w:tcW w:w="1272" w:type="dxa"/>
          </w:tcPr>
          <w:p w:rsidR="003F5784" w14:paraId="66D8E51A" w14:textId="77777777">
            <w:pPr>
              <w:pStyle w:val="TableParagraph"/>
              <w:ind w:right="133"/>
              <w:rPr>
                <w:sz w:val="21"/>
              </w:rPr>
            </w:pPr>
            <w:r>
              <w:rPr>
                <w:spacing w:val="-5"/>
                <w:sz w:val="21"/>
              </w:rPr>
              <w:t>50</w:t>
            </w:r>
          </w:p>
        </w:tc>
        <w:tc>
          <w:tcPr>
            <w:tcW w:w="2055" w:type="dxa"/>
          </w:tcPr>
          <w:p w:rsidR="003F5784" w14:paraId="29DA0CC2" w14:textId="77777777">
            <w:pPr>
              <w:pStyle w:val="TableParagraph"/>
              <w:ind w:right="134"/>
              <w:rPr>
                <w:sz w:val="21"/>
              </w:rPr>
            </w:pPr>
            <w:r>
              <w:rPr>
                <w:spacing w:val="-2"/>
                <w:sz w:val="21"/>
              </w:rPr>
              <w:t>100.00</w:t>
            </w:r>
          </w:p>
        </w:tc>
        <w:tc>
          <w:tcPr>
            <w:tcW w:w="1990" w:type="dxa"/>
          </w:tcPr>
          <w:p w:rsidR="003F5784" w14:paraId="2D28410D" w14:textId="77777777">
            <w:pPr>
              <w:pStyle w:val="TableParagraph"/>
              <w:ind w:right="166"/>
              <w:rPr>
                <w:sz w:val="21"/>
              </w:rPr>
            </w:pPr>
            <w:r>
              <w:rPr>
                <w:spacing w:val="-2"/>
                <w:sz w:val="21"/>
              </w:rPr>
              <w:t>100.00</w:t>
            </w:r>
          </w:p>
        </w:tc>
        <w:tc>
          <w:tcPr>
            <w:tcW w:w="1304" w:type="dxa"/>
          </w:tcPr>
          <w:p w:rsidR="003F5784" w14:paraId="7C5449A4" w14:textId="77777777">
            <w:pPr>
              <w:pStyle w:val="TableParagraph"/>
              <w:ind w:right="225"/>
              <w:rPr>
                <w:sz w:val="21"/>
              </w:rPr>
            </w:pPr>
            <w:r>
              <w:rPr>
                <w:spacing w:val="-2"/>
                <w:sz w:val="21"/>
              </w:rPr>
              <w:t>2,200</w:t>
            </w:r>
          </w:p>
        </w:tc>
        <w:tc>
          <w:tcPr>
            <w:tcW w:w="1202" w:type="dxa"/>
          </w:tcPr>
          <w:p w:rsidR="003F5784" w14:paraId="489A0214" w14:textId="77777777">
            <w:pPr>
              <w:pStyle w:val="TableParagraph"/>
              <w:ind w:right="135"/>
              <w:rPr>
                <w:sz w:val="21"/>
              </w:rPr>
            </w:pPr>
            <w:r>
              <w:rPr>
                <w:spacing w:val="-4"/>
                <w:sz w:val="21"/>
              </w:rPr>
              <w:t>1.56</w:t>
            </w:r>
          </w:p>
        </w:tc>
        <w:tc>
          <w:tcPr>
            <w:tcW w:w="1738" w:type="dxa"/>
          </w:tcPr>
          <w:p w:rsidR="003F5784" w14:paraId="574E8983" w14:textId="77777777">
            <w:pPr>
              <w:pStyle w:val="TableParagraph"/>
              <w:ind w:right="153"/>
              <w:rPr>
                <w:sz w:val="21"/>
              </w:rPr>
            </w:pPr>
            <w:r>
              <w:rPr>
                <w:spacing w:val="-2"/>
                <w:sz w:val="21"/>
              </w:rPr>
              <w:t>83.42</w:t>
            </w:r>
          </w:p>
        </w:tc>
        <w:tc>
          <w:tcPr>
            <w:tcW w:w="1733" w:type="dxa"/>
          </w:tcPr>
          <w:p w:rsidR="003F5784" w14:paraId="7AFE5508" w14:textId="77777777">
            <w:pPr>
              <w:pStyle w:val="TableParagraph"/>
              <w:ind w:right="120"/>
              <w:rPr>
                <w:sz w:val="21"/>
              </w:rPr>
            </w:pPr>
            <w:r>
              <w:rPr>
                <w:spacing w:val="-4"/>
                <w:sz w:val="21"/>
              </w:rPr>
              <w:t>4.96</w:t>
            </w:r>
          </w:p>
        </w:tc>
      </w:tr>
      <w:tr w14:paraId="4E77A361" w14:textId="77777777">
        <w:tblPrEx>
          <w:tblW w:w="0" w:type="auto"/>
          <w:tblInd w:w="482" w:type="dxa"/>
          <w:tblLayout w:type="fixed"/>
          <w:tblCellMar>
            <w:left w:w="0" w:type="dxa"/>
            <w:right w:w="0" w:type="dxa"/>
          </w:tblCellMar>
          <w:tblLook w:val="01E0"/>
        </w:tblPrEx>
        <w:trPr>
          <w:trHeight w:val="286"/>
        </w:trPr>
        <w:tc>
          <w:tcPr>
            <w:tcW w:w="2693" w:type="dxa"/>
          </w:tcPr>
          <w:p w:rsidR="003F5784" w14:paraId="4ABC193F" w14:textId="77777777">
            <w:pPr>
              <w:pStyle w:val="TableParagraph"/>
              <w:ind w:left="120"/>
              <w:jc w:val="left"/>
              <w:rPr>
                <w:sz w:val="21"/>
              </w:rPr>
            </w:pPr>
            <w:r>
              <w:rPr>
                <w:spacing w:val="-2"/>
                <w:sz w:val="21"/>
              </w:rPr>
              <w:t>Idaho</w:t>
            </w:r>
          </w:p>
        </w:tc>
        <w:tc>
          <w:tcPr>
            <w:tcW w:w="1272" w:type="dxa"/>
          </w:tcPr>
          <w:p w:rsidR="003F5784" w14:paraId="2D217562" w14:textId="77777777">
            <w:pPr>
              <w:pStyle w:val="TableParagraph"/>
              <w:ind w:right="133"/>
              <w:rPr>
                <w:sz w:val="21"/>
              </w:rPr>
            </w:pPr>
            <w:r>
              <w:rPr>
                <w:spacing w:val="-5"/>
                <w:sz w:val="21"/>
              </w:rPr>
              <w:t>90</w:t>
            </w:r>
          </w:p>
        </w:tc>
        <w:tc>
          <w:tcPr>
            <w:tcW w:w="2055" w:type="dxa"/>
          </w:tcPr>
          <w:p w:rsidR="003F5784" w14:paraId="77A0EEDD" w14:textId="77777777">
            <w:pPr>
              <w:pStyle w:val="TableParagraph"/>
              <w:ind w:right="134"/>
              <w:rPr>
                <w:sz w:val="21"/>
              </w:rPr>
            </w:pPr>
            <w:r>
              <w:rPr>
                <w:spacing w:val="-2"/>
                <w:sz w:val="21"/>
              </w:rPr>
              <w:t>100.00</w:t>
            </w:r>
          </w:p>
        </w:tc>
        <w:tc>
          <w:tcPr>
            <w:tcW w:w="1990" w:type="dxa"/>
          </w:tcPr>
          <w:p w:rsidR="003F5784" w14:paraId="73F89250" w14:textId="77777777">
            <w:pPr>
              <w:pStyle w:val="TableParagraph"/>
              <w:ind w:right="166"/>
              <w:rPr>
                <w:sz w:val="21"/>
              </w:rPr>
            </w:pPr>
            <w:r>
              <w:rPr>
                <w:spacing w:val="-2"/>
                <w:sz w:val="21"/>
              </w:rPr>
              <w:t>100.00</w:t>
            </w:r>
          </w:p>
        </w:tc>
        <w:tc>
          <w:tcPr>
            <w:tcW w:w="1304" w:type="dxa"/>
          </w:tcPr>
          <w:p w:rsidR="003F5784" w14:paraId="2211F4FC" w14:textId="77777777">
            <w:pPr>
              <w:pStyle w:val="TableParagraph"/>
              <w:ind w:right="225"/>
              <w:rPr>
                <w:sz w:val="21"/>
              </w:rPr>
            </w:pPr>
            <w:r>
              <w:rPr>
                <w:spacing w:val="-2"/>
                <w:sz w:val="21"/>
              </w:rPr>
              <w:t>2,200</w:t>
            </w:r>
          </w:p>
        </w:tc>
        <w:tc>
          <w:tcPr>
            <w:tcW w:w="1202" w:type="dxa"/>
          </w:tcPr>
          <w:p w:rsidR="003F5784" w14:paraId="25F02D02" w14:textId="77777777">
            <w:pPr>
              <w:pStyle w:val="TableParagraph"/>
              <w:ind w:right="135"/>
              <w:rPr>
                <w:sz w:val="21"/>
              </w:rPr>
            </w:pPr>
            <w:r>
              <w:rPr>
                <w:spacing w:val="-4"/>
                <w:sz w:val="21"/>
              </w:rPr>
              <w:t>1.83</w:t>
            </w:r>
          </w:p>
        </w:tc>
        <w:tc>
          <w:tcPr>
            <w:tcW w:w="1738" w:type="dxa"/>
          </w:tcPr>
          <w:p w:rsidR="003F5784" w14:paraId="09FB67D1" w14:textId="77777777">
            <w:pPr>
              <w:pStyle w:val="TableParagraph"/>
              <w:ind w:right="153"/>
              <w:rPr>
                <w:sz w:val="21"/>
              </w:rPr>
            </w:pPr>
            <w:r>
              <w:rPr>
                <w:spacing w:val="-2"/>
                <w:sz w:val="21"/>
              </w:rPr>
              <w:t>91.03</w:t>
            </w:r>
          </w:p>
        </w:tc>
        <w:tc>
          <w:tcPr>
            <w:tcW w:w="1733" w:type="dxa"/>
          </w:tcPr>
          <w:p w:rsidR="003F5784" w14:paraId="0CCA7859" w14:textId="77777777">
            <w:pPr>
              <w:pStyle w:val="TableParagraph"/>
              <w:ind w:right="120"/>
              <w:rPr>
                <w:sz w:val="21"/>
              </w:rPr>
            </w:pPr>
            <w:r>
              <w:rPr>
                <w:spacing w:val="-2"/>
                <w:sz w:val="21"/>
              </w:rPr>
              <w:t>10.68</w:t>
            </w:r>
          </w:p>
        </w:tc>
      </w:tr>
      <w:tr w14:paraId="5DC804BB" w14:textId="77777777">
        <w:tblPrEx>
          <w:tblW w:w="0" w:type="auto"/>
          <w:tblInd w:w="482" w:type="dxa"/>
          <w:tblLayout w:type="fixed"/>
          <w:tblCellMar>
            <w:left w:w="0" w:type="dxa"/>
            <w:right w:w="0" w:type="dxa"/>
          </w:tblCellMar>
          <w:tblLook w:val="01E0"/>
        </w:tblPrEx>
        <w:trPr>
          <w:trHeight w:val="286"/>
        </w:trPr>
        <w:tc>
          <w:tcPr>
            <w:tcW w:w="2693" w:type="dxa"/>
          </w:tcPr>
          <w:p w:rsidR="003F5784" w14:paraId="5EC3B127" w14:textId="77777777">
            <w:pPr>
              <w:pStyle w:val="TableParagraph"/>
              <w:ind w:left="120"/>
              <w:jc w:val="left"/>
              <w:rPr>
                <w:sz w:val="21"/>
              </w:rPr>
            </w:pPr>
            <w:r>
              <w:rPr>
                <w:spacing w:val="-2"/>
                <w:sz w:val="21"/>
              </w:rPr>
              <w:t>Illinois</w:t>
            </w:r>
          </w:p>
        </w:tc>
        <w:tc>
          <w:tcPr>
            <w:tcW w:w="1272" w:type="dxa"/>
          </w:tcPr>
          <w:p w:rsidR="003F5784" w14:paraId="14701B1C" w14:textId="77777777">
            <w:pPr>
              <w:pStyle w:val="TableParagraph"/>
              <w:ind w:right="133"/>
              <w:rPr>
                <w:sz w:val="21"/>
              </w:rPr>
            </w:pPr>
            <w:r>
              <w:rPr>
                <w:spacing w:val="-5"/>
                <w:sz w:val="21"/>
              </w:rPr>
              <w:t>140</w:t>
            </w:r>
          </w:p>
        </w:tc>
        <w:tc>
          <w:tcPr>
            <w:tcW w:w="2055" w:type="dxa"/>
          </w:tcPr>
          <w:p w:rsidR="003F5784" w14:paraId="2BCCB0E7" w14:textId="77777777">
            <w:pPr>
              <w:pStyle w:val="TableParagraph"/>
              <w:ind w:right="134"/>
              <w:rPr>
                <w:sz w:val="21"/>
              </w:rPr>
            </w:pPr>
            <w:r>
              <w:rPr>
                <w:spacing w:val="-2"/>
                <w:sz w:val="21"/>
              </w:rPr>
              <w:t>100.00</w:t>
            </w:r>
          </w:p>
        </w:tc>
        <w:tc>
          <w:tcPr>
            <w:tcW w:w="1990" w:type="dxa"/>
          </w:tcPr>
          <w:p w:rsidR="003F5784" w14:paraId="66AB5C71" w14:textId="77777777">
            <w:pPr>
              <w:pStyle w:val="TableParagraph"/>
              <w:ind w:right="166"/>
              <w:rPr>
                <w:sz w:val="21"/>
              </w:rPr>
            </w:pPr>
            <w:r>
              <w:rPr>
                <w:spacing w:val="-2"/>
                <w:sz w:val="21"/>
              </w:rPr>
              <w:t>100.00</w:t>
            </w:r>
          </w:p>
        </w:tc>
        <w:tc>
          <w:tcPr>
            <w:tcW w:w="1304" w:type="dxa"/>
          </w:tcPr>
          <w:p w:rsidR="003F5784" w14:paraId="570642AD" w14:textId="77777777">
            <w:pPr>
              <w:pStyle w:val="TableParagraph"/>
              <w:ind w:right="225"/>
              <w:rPr>
                <w:sz w:val="21"/>
              </w:rPr>
            </w:pPr>
            <w:r>
              <w:rPr>
                <w:spacing w:val="-2"/>
                <w:sz w:val="21"/>
              </w:rPr>
              <w:t>3,300</w:t>
            </w:r>
          </w:p>
        </w:tc>
        <w:tc>
          <w:tcPr>
            <w:tcW w:w="1202" w:type="dxa"/>
          </w:tcPr>
          <w:p w:rsidR="003F5784" w14:paraId="2638C8B5" w14:textId="77777777">
            <w:pPr>
              <w:pStyle w:val="TableParagraph"/>
              <w:ind w:right="135"/>
              <w:rPr>
                <w:sz w:val="21"/>
              </w:rPr>
            </w:pPr>
            <w:r>
              <w:rPr>
                <w:spacing w:val="-4"/>
                <w:sz w:val="21"/>
              </w:rPr>
              <w:t>1.28</w:t>
            </w:r>
          </w:p>
        </w:tc>
        <w:tc>
          <w:tcPr>
            <w:tcW w:w="1738" w:type="dxa"/>
          </w:tcPr>
          <w:p w:rsidR="003F5784" w14:paraId="6B7883C5" w14:textId="77777777">
            <w:pPr>
              <w:pStyle w:val="TableParagraph"/>
              <w:ind w:right="153"/>
              <w:rPr>
                <w:sz w:val="21"/>
              </w:rPr>
            </w:pPr>
            <w:r>
              <w:rPr>
                <w:spacing w:val="-2"/>
                <w:sz w:val="21"/>
              </w:rPr>
              <w:t>88.38</w:t>
            </w:r>
          </w:p>
        </w:tc>
        <w:tc>
          <w:tcPr>
            <w:tcW w:w="1733" w:type="dxa"/>
          </w:tcPr>
          <w:p w:rsidR="003F5784" w14:paraId="0964095E" w14:textId="77777777">
            <w:pPr>
              <w:pStyle w:val="TableParagraph"/>
              <w:ind w:right="120"/>
              <w:rPr>
                <w:sz w:val="21"/>
              </w:rPr>
            </w:pPr>
            <w:r>
              <w:rPr>
                <w:spacing w:val="-2"/>
                <w:sz w:val="21"/>
              </w:rPr>
              <w:t>15.29</w:t>
            </w:r>
          </w:p>
        </w:tc>
      </w:tr>
      <w:tr w14:paraId="7D072109" w14:textId="77777777">
        <w:tblPrEx>
          <w:tblW w:w="0" w:type="auto"/>
          <w:tblInd w:w="482" w:type="dxa"/>
          <w:tblLayout w:type="fixed"/>
          <w:tblCellMar>
            <w:left w:w="0" w:type="dxa"/>
            <w:right w:w="0" w:type="dxa"/>
          </w:tblCellMar>
          <w:tblLook w:val="01E0"/>
        </w:tblPrEx>
        <w:trPr>
          <w:trHeight w:val="286"/>
        </w:trPr>
        <w:tc>
          <w:tcPr>
            <w:tcW w:w="2693" w:type="dxa"/>
          </w:tcPr>
          <w:p w:rsidR="003F5784" w14:paraId="5D6A72DE" w14:textId="77777777">
            <w:pPr>
              <w:pStyle w:val="TableParagraph"/>
              <w:ind w:left="120"/>
              <w:jc w:val="left"/>
              <w:rPr>
                <w:sz w:val="21"/>
              </w:rPr>
            </w:pPr>
            <w:r>
              <w:rPr>
                <w:spacing w:val="-2"/>
                <w:sz w:val="21"/>
              </w:rPr>
              <w:t>Indiana</w:t>
            </w:r>
          </w:p>
        </w:tc>
        <w:tc>
          <w:tcPr>
            <w:tcW w:w="1272" w:type="dxa"/>
          </w:tcPr>
          <w:p w:rsidR="003F5784" w14:paraId="57C58EEE" w14:textId="77777777">
            <w:pPr>
              <w:pStyle w:val="TableParagraph"/>
              <w:ind w:right="133"/>
              <w:rPr>
                <w:sz w:val="21"/>
              </w:rPr>
            </w:pPr>
            <w:r>
              <w:rPr>
                <w:spacing w:val="-5"/>
                <w:sz w:val="21"/>
              </w:rPr>
              <w:t>90</w:t>
            </w:r>
          </w:p>
        </w:tc>
        <w:tc>
          <w:tcPr>
            <w:tcW w:w="2055" w:type="dxa"/>
          </w:tcPr>
          <w:p w:rsidR="003F5784" w14:paraId="510929F6" w14:textId="77777777">
            <w:pPr>
              <w:pStyle w:val="TableParagraph"/>
              <w:ind w:right="134"/>
              <w:rPr>
                <w:sz w:val="21"/>
              </w:rPr>
            </w:pPr>
            <w:r>
              <w:rPr>
                <w:spacing w:val="-2"/>
                <w:sz w:val="21"/>
              </w:rPr>
              <w:t>98.83</w:t>
            </w:r>
          </w:p>
        </w:tc>
        <w:tc>
          <w:tcPr>
            <w:tcW w:w="1990" w:type="dxa"/>
          </w:tcPr>
          <w:p w:rsidR="003F5784" w14:paraId="679B929D" w14:textId="77777777">
            <w:pPr>
              <w:pStyle w:val="TableParagraph"/>
              <w:ind w:right="166"/>
              <w:rPr>
                <w:sz w:val="21"/>
              </w:rPr>
            </w:pPr>
            <w:r>
              <w:rPr>
                <w:spacing w:val="-2"/>
                <w:sz w:val="21"/>
              </w:rPr>
              <w:t>99.41</w:t>
            </w:r>
          </w:p>
        </w:tc>
        <w:tc>
          <w:tcPr>
            <w:tcW w:w="1304" w:type="dxa"/>
          </w:tcPr>
          <w:p w:rsidR="003F5784" w14:paraId="56547F7A" w14:textId="77777777">
            <w:pPr>
              <w:pStyle w:val="TableParagraph"/>
              <w:ind w:right="225"/>
              <w:rPr>
                <w:sz w:val="21"/>
              </w:rPr>
            </w:pPr>
            <w:r>
              <w:rPr>
                <w:spacing w:val="-2"/>
                <w:sz w:val="21"/>
              </w:rPr>
              <w:t>2,000</w:t>
            </w:r>
          </w:p>
        </w:tc>
        <w:tc>
          <w:tcPr>
            <w:tcW w:w="1202" w:type="dxa"/>
          </w:tcPr>
          <w:p w:rsidR="003F5784" w14:paraId="02AB617C" w14:textId="77777777">
            <w:pPr>
              <w:pStyle w:val="TableParagraph"/>
              <w:ind w:right="135"/>
              <w:rPr>
                <w:sz w:val="21"/>
              </w:rPr>
            </w:pPr>
            <w:r>
              <w:rPr>
                <w:spacing w:val="-4"/>
                <w:sz w:val="21"/>
              </w:rPr>
              <w:t>0.51</w:t>
            </w:r>
          </w:p>
        </w:tc>
        <w:tc>
          <w:tcPr>
            <w:tcW w:w="1738" w:type="dxa"/>
          </w:tcPr>
          <w:p w:rsidR="003F5784" w14:paraId="03C796AF" w14:textId="77777777">
            <w:pPr>
              <w:pStyle w:val="TableParagraph"/>
              <w:ind w:right="153"/>
              <w:rPr>
                <w:sz w:val="21"/>
              </w:rPr>
            </w:pPr>
            <w:r>
              <w:rPr>
                <w:spacing w:val="-2"/>
                <w:sz w:val="21"/>
              </w:rPr>
              <w:t>90.34</w:t>
            </w:r>
          </w:p>
        </w:tc>
        <w:tc>
          <w:tcPr>
            <w:tcW w:w="1733" w:type="dxa"/>
          </w:tcPr>
          <w:p w:rsidR="003F5784" w14:paraId="1AEC79BE" w14:textId="77777777">
            <w:pPr>
              <w:pStyle w:val="TableParagraph"/>
              <w:ind w:right="120"/>
              <w:rPr>
                <w:sz w:val="21"/>
              </w:rPr>
            </w:pPr>
            <w:r>
              <w:rPr>
                <w:spacing w:val="-2"/>
                <w:sz w:val="21"/>
              </w:rPr>
              <w:t>16.35</w:t>
            </w:r>
          </w:p>
        </w:tc>
      </w:tr>
      <w:tr w14:paraId="0EFE8BE0" w14:textId="77777777">
        <w:tblPrEx>
          <w:tblW w:w="0" w:type="auto"/>
          <w:tblInd w:w="482" w:type="dxa"/>
          <w:tblLayout w:type="fixed"/>
          <w:tblCellMar>
            <w:left w:w="0" w:type="dxa"/>
            <w:right w:w="0" w:type="dxa"/>
          </w:tblCellMar>
          <w:tblLook w:val="01E0"/>
        </w:tblPrEx>
        <w:trPr>
          <w:trHeight w:val="286"/>
        </w:trPr>
        <w:tc>
          <w:tcPr>
            <w:tcW w:w="2693" w:type="dxa"/>
          </w:tcPr>
          <w:p w:rsidR="003F5784" w14:paraId="158B61FA" w14:textId="77777777">
            <w:pPr>
              <w:pStyle w:val="TableParagraph"/>
              <w:ind w:left="120"/>
              <w:jc w:val="left"/>
              <w:rPr>
                <w:sz w:val="21"/>
              </w:rPr>
            </w:pPr>
            <w:r>
              <w:rPr>
                <w:spacing w:val="-4"/>
                <w:sz w:val="21"/>
              </w:rPr>
              <w:t>Iowa</w:t>
            </w:r>
          </w:p>
        </w:tc>
        <w:tc>
          <w:tcPr>
            <w:tcW w:w="1272" w:type="dxa"/>
          </w:tcPr>
          <w:p w:rsidR="003F5784" w14:paraId="1F3A6DE4" w14:textId="77777777">
            <w:pPr>
              <w:pStyle w:val="TableParagraph"/>
              <w:ind w:right="133"/>
              <w:rPr>
                <w:sz w:val="21"/>
              </w:rPr>
            </w:pPr>
            <w:r>
              <w:rPr>
                <w:spacing w:val="-5"/>
                <w:sz w:val="21"/>
              </w:rPr>
              <w:t>90</w:t>
            </w:r>
          </w:p>
        </w:tc>
        <w:tc>
          <w:tcPr>
            <w:tcW w:w="2055" w:type="dxa"/>
          </w:tcPr>
          <w:p w:rsidR="003F5784" w14:paraId="1F9694E7" w14:textId="77777777">
            <w:pPr>
              <w:pStyle w:val="TableParagraph"/>
              <w:ind w:right="134"/>
              <w:rPr>
                <w:sz w:val="21"/>
              </w:rPr>
            </w:pPr>
            <w:r>
              <w:rPr>
                <w:spacing w:val="-2"/>
                <w:sz w:val="21"/>
              </w:rPr>
              <w:t>100.00</w:t>
            </w:r>
          </w:p>
        </w:tc>
        <w:tc>
          <w:tcPr>
            <w:tcW w:w="1990" w:type="dxa"/>
          </w:tcPr>
          <w:p w:rsidR="003F5784" w14:paraId="6EDB29EC" w14:textId="77777777">
            <w:pPr>
              <w:pStyle w:val="TableParagraph"/>
              <w:ind w:right="166"/>
              <w:rPr>
                <w:sz w:val="21"/>
              </w:rPr>
            </w:pPr>
            <w:r>
              <w:rPr>
                <w:spacing w:val="-2"/>
                <w:sz w:val="21"/>
              </w:rPr>
              <w:t>100.00</w:t>
            </w:r>
          </w:p>
        </w:tc>
        <w:tc>
          <w:tcPr>
            <w:tcW w:w="1304" w:type="dxa"/>
          </w:tcPr>
          <w:p w:rsidR="003F5784" w14:paraId="68E431ED" w14:textId="77777777">
            <w:pPr>
              <w:pStyle w:val="TableParagraph"/>
              <w:ind w:right="225"/>
              <w:rPr>
                <w:sz w:val="21"/>
              </w:rPr>
            </w:pPr>
            <w:r>
              <w:rPr>
                <w:spacing w:val="-2"/>
                <w:sz w:val="21"/>
              </w:rPr>
              <w:t>2,100</w:t>
            </w:r>
          </w:p>
        </w:tc>
        <w:tc>
          <w:tcPr>
            <w:tcW w:w="1202" w:type="dxa"/>
          </w:tcPr>
          <w:p w:rsidR="003F5784" w14:paraId="155C4038" w14:textId="77777777">
            <w:pPr>
              <w:pStyle w:val="TableParagraph"/>
              <w:ind w:right="135"/>
              <w:rPr>
                <w:sz w:val="21"/>
              </w:rPr>
            </w:pPr>
            <w:r>
              <w:rPr>
                <w:spacing w:val="-4"/>
                <w:sz w:val="21"/>
              </w:rPr>
              <w:t>1.18</w:t>
            </w:r>
          </w:p>
        </w:tc>
        <w:tc>
          <w:tcPr>
            <w:tcW w:w="1738" w:type="dxa"/>
          </w:tcPr>
          <w:p w:rsidR="003F5784" w14:paraId="0F186622" w14:textId="77777777">
            <w:pPr>
              <w:pStyle w:val="TableParagraph"/>
              <w:ind w:right="153"/>
              <w:rPr>
                <w:sz w:val="21"/>
              </w:rPr>
            </w:pPr>
            <w:r>
              <w:rPr>
                <w:spacing w:val="-2"/>
                <w:sz w:val="21"/>
              </w:rPr>
              <w:t>90.16</w:t>
            </w:r>
          </w:p>
        </w:tc>
        <w:tc>
          <w:tcPr>
            <w:tcW w:w="1733" w:type="dxa"/>
          </w:tcPr>
          <w:p w:rsidR="003F5784" w14:paraId="3612EC43" w14:textId="77777777">
            <w:pPr>
              <w:pStyle w:val="TableParagraph"/>
              <w:ind w:right="120"/>
              <w:rPr>
                <w:sz w:val="21"/>
              </w:rPr>
            </w:pPr>
            <w:r>
              <w:rPr>
                <w:spacing w:val="-2"/>
                <w:sz w:val="21"/>
              </w:rPr>
              <w:t>15.87</w:t>
            </w:r>
          </w:p>
        </w:tc>
      </w:tr>
      <w:tr w14:paraId="7C5A664C" w14:textId="77777777">
        <w:tblPrEx>
          <w:tblW w:w="0" w:type="auto"/>
          <w:tblInd w:w="482" w:type="dxa"/>
          <w:tblLayout w:type="fixed"/>
          <w:tblCellMar>
            <w:left w:w="0" w:type="dxa"/>
            <w:right w:w="0" w:type="dxa"/>
          </w:tblCellMar>
          <w:tblLook w:val="01E0"/>
        </w:tblPrEx>
        <w:trPr>
          <w:trHeight w:val="286"/>
        </w:trPr>
        <w:tc>
          <w:tcPr>
            <w:tcW w:w="2693" w:type="dxa"/>
          </w:tcPr>
          <w:p w:rsidR="003F5784" w14:paraId="5648D96E" w14:textId="77777777">
            <w:pPr>
              <w:pStyle w:val="TableParagraph"/>
              <w:ind w:left="120"/>
              <w:jc w:val="left"/>
              <w:rPr>
                <w:sz w:val="21"/>
              </w:rPr>
            </w:pPr>
            <w:r>
              <w:rPr>
                <w:spacing w:val="-2"/>
                <w:sz w:val="21"/>
              </w:rPr>
              <w:t>Kansas</w:t>
            </w:r>
          </w:p>
        </w:tc>
        <w:tc>
          <w:tcPr>
            <w:tcW w:w="1272" w:type="dxa"/>
          </w:tcPr>
          <w:p w:rsidR="003F5784" w14:paraId="43CA2E9F" w14:textId="77777777">
            <w:pPr>
              <w:pStyle w:val="TableParagraph"/>
              <w:ind w:right="133"/>
              <w:rPr>
                <w:sz w:val="21"/>
              </w:rPr>
            </w:pPr>
            <w:r>
              <w:rPr>
                <w:spacing w:val="-5"/>
                <w:sz w:val="21"/>
              </w:rPr>
              <w:t>90</w:t>
            </w:r>
          </w:p>
        </w:tc>
        <w:tc>
          <w:tcPr>
            <w:tcW w:w="2055" w:type="dxa"/>
          </w:tcPr>
          <w:p w:rsidR="003F5784" w14:paraId="3E6B658D" w14:textId="77777777">
            <w:pPr>
              <w:pStyle w:val="TableParagraph"/>
              <w:ind w:right="134"/>
              <w:rPr>
                <w:sz w:val="21"/>
              </w:rPr>
            </w:pPr>
            <w:r>
              <w:rPr>
                <w:spacing w:val="-2"/>
                <w:sz w:val="21"/>
              </w:rPr>
              <w:t>100.00</w:t>
            </w:r>
          </w:p>
        </w:tc>
        <w:tc>
          <w:tcPr>
            <w:tcW w:w="1990" w:type="dxa"/>
          </w:tcPr>
          <w:p w:rsidR="003F5784" w14:paraId="39239941" w14:textId="77777777">
            <w:pPr>
              <w:pStyle w:val="TableParagraph"/>
              <w:ind w:right="166"/>
              <w:rPr>
                <w:sz w:val="21"/>
              </w:rPr>
            </w:pPr>
            <w:r>
              <w:rPr>
                <w:spacing w:val="-2"/>
                <w:sz w:val="21"/>
              </w:rPr>
              <w:t>100.00</w:t>
            </w:r>
          </w:p>
        </w:tc>
        <w:tc>
          <w:tcPr>
            <w:tcW w:w="1304" w:type="dxa"/>
          </w:tcPr>
          <w:p w:rsidR="003F5784" w14:paraId="25BB33F2" w14:textId="77777777">
            <w:pPr>
              <w:pStyle w:val="TableParagraph"/>
              <w:ind w:right="225"/>
              <w:rPr>
                <w:sz w:val="21"/>
              </w:rPr>
            </w:pPr>
            <w:r>
              <w:rPr>
                <w:spacing w:val="-2"/>
                <w:sz w:val="21"/>
              </w:rPr>
              <w:t>2,200</w:t>
            </w:r>
          </w:p>
        </w:tc>
        <w:tc>
          <w:tcPr>
            <w:tcW w:w="1202" w:type="dxa"/>
          </w:tcPr>
          <w:p w:rsidR="003F5784" w14:paraId="19C4A2E2" w14:textId="77777777">
            <w:pPr>
              <w:pStyle w:val="TableParagraph"/>
              <w:ind w:right="135"/>
              <w:rPr>
                <w:sz w:val="21"/>
              </w:rPr>
            </w:pPr>
            <w:r>
              <w:rPr>
                <w:spacing w:val="-4"/>
                <w:sz w:val="21"/>
              </w:rPr>
              <w:t>1.37</w:t>
            </w:r>
          </w:p>
        </w:tc>
        <w:tc>
          <w:tcPr>
            <w:tcW w:w="1738" w:type="dxa"/>
          </w:tcPr>
          <w:p w:rsidR="003F5784" w14:paraId="27A97505" w14:textId="77777777">
            <w:pPr>
              <w:pStyle w:val="TableParagraph"/>
              <w:ind w:right="153"/>
              <w:rPr>
                <w:sz w:val="21"/>
              </w:rPr>
            </w:pPr>
            <w:r>
              <w:rPr>
                <w:spacing w:val="-2"/>
                <w:sz w:val="21"/>
              </w:rPr>
              <w:t>92.93</w:t>
            </w:r>
          </w:p>
        </w:tc>
        <w:tc>
          <w:tcPr>
            <w:tcW w:w="1733" w:type="dxa"/>
          </w:tcPr>
          <w:p w:rsidR="003F5784" w14:paraId="2AFB0E25" w14:textId="77777777">
            <w:pPr>
              <w:pStyle w:val="TableParagraph"/>
              <w:ind w:right="120"/>
              <w:rPr>
                <w:sz w:val="21"/>
              </w:rPr>
            </w:pPr>
            <w:r>
              <w:rPr>
                <w:spacing w:val="-4"/>
                <w:sz w:val="21"/>
              </w:rPr>
              <w:t>9.85</w:t>
            </w:r>
          </w:p>
        </w:tc>
      </w:tr>
      <w:tr w14:paraId="474EFB90" w14:textId="77777777">
        <w:tblPrEx>
          <w:tblW w:w="0" w:type="auto"/>
          <w:tblInd w:w="482" w:type="dxa"/>
          <w:tblLayout w:type="fixed"/>
          <w:tblCellMar>
            <w:left w:w="0" w:type="dxa"/>
            <w:right w:w="0" w:type="dxa"/>
          </w:tblCellMar>
          <w:tblLook w:val="01E0"/>
        </w:tblPrEx>
        <w:trPr>
          <w:trHeight w:val="286"/>
        </w:trPr>
        <w:tc>
          <w:tcPr>
            <w:tcW w:w="2693" w:type="dxa"/>
          </w:tcPr>
          <w:p w:rsidR="003F5784" w14:paraId="33136F0A" w14:textId="77777777">
            <w:pPr>
              <w:pStyle w:val="TableParagraph"/>
              <w:ind w:left="120"/>
              <w:jc w:val="left"/>
              <w:rPr>
                <w:sz w:val="21"/>
              </w:rPr>
            </w:pPr>
            <w:r>
              <w:rPr>
                <w:spacing w:val="-2"/>
                <w:sz w:val="21"/>
              </w:rPr>
              <w:t>Kentucky</w:t>
            </w:r>
          </w:p>
        </w:tc>
        <w:tc>
          <w:tcPr>
            <w:tcW w:w="1272" w:type="dxa"/>
          </w:tcPr>
          <w:p w:rsidR="003F5784" w14:paraId="0B97AF2C" w14:textId="77777777">
            <w:pPr>
              <w:pStyle w:val="TableParagraph"/>
              <w:ind w:right="133"/>
              <w:rPr>
                <w:sz w:val="21"/>
              </w:rPr>
            </w:pPr>
            <w:r>
              <w:rPr>
                <w:spacing w:val="-5"/>
                <w:sz w:val="21"/>
              </w:rPr>
              <w:t>110</w:t>
            </w:r>
          </w:p>
        </w:tc>
        <w:tc>
          <w:tcPr>
            <w:tcW w:w="2055" w:type="dxa"/>
          </w:tcPr>
          <w:p w:rsidR="003F5784" w14:paraId="5527EAF9" w14:textId="77777777">
            <w:pPr>
              <w:pStyle w:val="TableParagraph"/>
              <w:ind w:right="134"/>
              <w:rPr>
                <w:sz w:val="21"/>
              </w:rPr>
            </w:pPr>
            <w:r>
              <w:rPr>
                <w:spacing w:val="-2"/>
                <w:sz w:val="21"/>
              </w:rPr>
              <w:t>100.00</w:t>
            </w:r>
          </w:p>
        </w:tc>
        <w:tc>
          <w:tcPr>
            <w:tcW w:w="1990" w:type="dxa"/>
          </w:tcPr>
          <w:p w:rsidR="003F5784" w14:paraId="776E30F0" w14:textId="77777777">
            <w:pPr>
              <w:pStyle w:val="TableParagraph"/>
              <w:ind w:right="166"/>
              <w:rPr>
                <w:sz w:val="21"/>
              </w:rPr>
            </w:pPr>
            <w:r>
              <w:rPr>
                <w:spacing w:val="-2"/>
                <w:sz w:val="21"/>
              </w:rPr>
              <w:t>100.00</w:t>
            </w:r>
          </w:p>
        </w:tc>
        <w:tc>
          <w:tcPr>
            <w:tcW w:w="1304" w:type="dxa"/>
          </w:tcPr>
          <w:p w:rsidR="003F5784" w14:paraId="59586943" w14:textId="77777777">
            <w:pPr>
              <w:pStyle w:val="TableParagraph"/>
              <w:ind w:right="225"/>
              <w:rPr>
                <w:sz w:val="21"/>
              </w:rPr>
            </w:pPr>
            <w:r>
              <w:rPr>
                <w:spacing w:val="-2"/>
                <w:sz w:val="21"/>
              </w:rPr>
              <w:t>2,800</w:t>
            </w:r>
          </w:p>
        </w:tc>
        <w:tc>
          <w:tcPr>
            <w:tcW w:w="1202" w:type="dxa"/>
          </w:tcPr>
          <w:p w:rsidR="003F5784" w14:paraId="2FCB15C5" w14:textId="77777777">
            <w:pPr>
              <w:pStyle w:val="TableParagraph"/>
              <w:ind w:right="135"/>
              <w:rPr>
                <w:sz w:val="21"/>
              </w:rPr>
            </w:pPr>
            <w:r>
              <w:rPr>
                <w:spacing w:val="-4"/>
                <w:sz w:val="21"/>
              </w:rPr>
              <w:t>2.05</w:t>
            </w:r>
          </w:p>
        </w:tc>
        <w:tc>
          <w:tcPr>
            <w:tcW w:w="1738" w:type="dxa"/>
          </w:tcPr>
          <w:p w:rsidR="003F5784" w14:paraId="1D0EE5A9" w14:textId="77777777">
            <w:pPr>
              <w:pStyle w:val="TableParagraph"/>
              <w:ind w:right="153"/>
              <w:rPr>
                <w:sz w:val="21"/>
              </w:rPr>
            </w:pPr>
            <w:r>
              <w:rPr>
                <w:spacing w:val="-2"/>
                <w:sz w:val="21"/>
              </w:rPr>
              <w:t>91.10</w:t>
            </w:r>
          </w:p>
        </w:tc>
        <w:tc>
          <w:tcPr>
            <w:tcW w:w="1733" w:type="dxa"/>
          </w:tcPr>
          <w:p w:rsidR="003F5784" w14:paraId="5F8D359F" w14:textId="77777777">
            <w:pPr>
              <w:pStyle w:val="TableParagraph"/>
              <w:ind w:right="120"/>
              <w:rPr>
                <w:sz w:val="21"/>
              </w:rPr>
            </w:pPr>
            <w:r>
              <w:rPr>
                <w:spacing w:val="-2"/>
                <w:sz w:val="21"/>
              </w:rPr>
              <w:t>14.91</w:t>
            </w:r>
          </w:p>
        </w:tc>
      </w:tr>
      <w:tr w14:paraId="513D8B34" w14:textId="77777777">
        <w:tblPrEx>
          <w:tblW w:w="0" w:type="auto"/>
          <w:tblInd w:w="482" w:type="dxa"/>
          <w:tblLayout w:type="fixed"/>
          <w:tblCellMar>
            <w:left w:w="0" w:type="dxa"/>
            <w:right w:w="0" w:type="dxa"/>
          </w:tblCellMar>
          <w:tblLook w:val="01E0"/>
        </w:tblPrEx>
        <w:trPr>
          <w:trHeight w:val="286"/>
        </w:trPr>
        <w:tc>
          <w:tcPr>
            <w:tcW w:w="2693" w:type="dxa"/>
          </w:tcPr>
          <w:p w:rsidR="003F5784" w14:paraId="3C15A53F" w14:textId="77777777">
            <w:pPr>
              <w:pStyle w:val="TableParagraph"/>
              <w:ind w:left="120"/>
              <w:jc w:val="left"/>
              <w:rPr>
                <w:sz w:val="21"/>
              </w:rPr>
            </w:pPr>
            <w:r>
              <w:rPr>
                <w:spacing w:val="-2"/>
                <w:sz w:val="21"/>
              </w:rPr>
              <w:t>Louisiana</w:t>
            </w:r>
          </w:p>
        </w:tc>
        <w:tc>
          <w:tcPr>
            <w:tcW w:w="1272" w:type="dxa"/>
          </w:tcPr>
          <w:p w:rsidR="003F5784" w14:paraId="257124E0" w14:textId="77777777">
            <w:pPr>
              <w:pStyle w:val="TableParagraph"/>
              <w:ind w:right="133"/>
              <w:rPr>
                <w:sz w:val="21"/>
              </w:rPr>
            </w:pPr>
            <w:r>
              <w:rPr>
                <w:spacing w:val="-5"/>
                <w:sz w:val="21"/>
              </w:rPr>
              <w:t>90</w:t>
            </w:r>
          </w:p>
        </w:tc>
        <w:tc>
          <w:tcPr>
            <w:tcW w:w="2055" w:type="dxa"/>
          </w:tcPr>
          <w:p w:rsidR="003F5784" w14:paraId="00A067B1" w14:textId="77777777">
            <w:pPr>
              <w:pStyle w:val="TableParagraph"/>
              <w:ind w:right="134"/>
              <w:rPr>
                <w:sz w:val="21"/>
              </w:rPr>
            </w:pPr>
            <w:r>
              <w:rPr>
                <w:spacing w:val="-2"/>
                <w:sz w:val="21"/>
              </w:rPr>
              <w:t>100.00</w:t>
            </w:r>
          </w:p>
        </w:tc>
        <w:tc>
          <w:tcPr>
            <w:tcW w:w="1990" w:type="dxa"/>
          </w:tcPr>
          <w:p w:rsidR="003F5784" w14:paraId="24B69B43" w14:textId="77777777">
            <w:pPr>
              <w:pStyle w:val="TableParagraph"/>
              <w:ind w:right="166"/>
              <w:rPr>
                <w:sz w:val="21"/>
              </w:rPr>
            </w:pPr>
            <w:r>
              <w:rPr>
                <w:spacing w:val="-2"/>
                <w:sz w:val="21"/>
              </w:rPr>
              <w:t>100.00</w:t>
            </w:r>
          </w:p>
        </w:tc>
        <w:tc>
          <w:tcPr>
            <w:tcW w:w="1304" w:type="dxa"/>
          </w:tcPr>
          <w:p w:rsidR="003F5784" w14:paraId="0C6F2865" w14:textId="77777777">
            <w:pPr>
              <w:pStyle w:val="TableParagraph"/>
              <w:ind w:right="225"/>
              <w:rPr>
                <w:sz w:val="21"/>
              </w:rPr>
            </w:pPr>
            <w:r>
              <w:rPr>
                <w:spacing w:val="-2"/>
                <w:sz w:val="21"/>
              </w:rPr>
              <w:t>2,100</w:t>
            </w:r>
          </w:p>
        </w:tc>
        <w:tc>
          <w:tcPr>
            <w:tcW w:w="1202" w:type="dxa"/>
          </w:tcPr>
          <w:p w:rsidR="003F5784" w14:paraId="1F6D5B82" w14:textId="77777777">
            <w:pPr>
              <w:pStyle w:val="TableParagraph"/>
              <w:ind w:right="135"/>
              <w:rPr>
                <w:sz w:val="21"/>
              </w:rPr>
            </w:pPr>
            <w:r>
              <w:rPr>
                <w:spacing w:val="-4"/>
                <w:sz w:val="21"/>
              </w:rPr>
              <w:t>2.85</w:t>
            </w:r>
          </w:p>
        </w:tc>
        <w:tc>
          <w:tcPr>
            <w:tcW w:w="1738" w:type="dxa"/>
          </w:tcPr>
          <w:p w:rsidR="003F5784" w14:paraId="415C5DE2" w14:textId="77777777">
            <w:pPr>
              <w:pStyle w:val="TableParagraph"/>
              <w:ind w:right="153"/>
              <w:rPr>
                <w:sz w:val="21"/>
              </w:rPr>
            </w:pPr>
            <w:r>
              <w:rPr>
                <w:spacing w:val="-2"/>
                <w:sz w:val="21"/>
              </w:rPr>
              <w:t>89.24</w:t>
            </w:r>
          </w:p>
        </w:tc>
        <w:tc>
          <w:tcPr>
            <w:tcW w:w="1733" w:type="dxa"/>
          </w:tcPr>
          <w:p w:rsidR="003F5784" w14:paraId="0F8A8C85" w14:textId="77777777">
            <w:pPr>
              <w:pStyle w:val="TableParagraph"/>
              <w:ind w:right="120"/>
              <w:rPr>
                <w:sz w:val="21"/>
              </w:rPr>
            </w:pPr>
            <w:r>
              <w:rPr>
                <w:spacing w:val="-2"/>
                <w:sz w:val="21"/>
              </w:rPr>
              <w:t>18.44</w:t>
            </w:r>
          </w:p>
        </w:tc>
      </w:tr>
      <w:tr w14:paraId="33D1AC60" w14:textId="77777777">
        <w:tblPrEx>
          <w:tblW w:w="0" w:type="auto"/>
          <w:tblInd w:w="482" w:type="dxa"/>
          <w:tblLayout w:type="fixed"/>
          <w:tblCellMar>
            <w:left w:w="0" w:type="dxa"/>
            <w:right w:w="0" w:type="dxa"/>
          </w:tblCellMar>
          <w:tblLook w:val="01E0"/>
        </w:tblPrEx>
        <w:trPr>
          <w:trHeight w:val="286"/>
        </w:trPr>
        <w:tc>
          <w:tcPr>
            <w:tcW w:w="2693" w:type="dxa"/>
          </w:tcPr>
          <w:p w:rsidR="003F5784" w14:paraId="41122F45" w14:textId="77777777">
            <w:pPr>
              <w:pStyle w:val="TableParagraph"/>
              <w:ind w:left="120"/>
              <w:jc w:val="left"/>
              <w:rPr>
                <w:sz w:val="21"/>
              </w:rPr>
            </w:pPr>
            <w:r>
              <w:rPr>
                <w:spacing w:val="-2"/>
                <w:sz w:val="21"/>
              </w:rPr>
              <w:t>Maine</w:t>
            </w:r>
          </w:p>
        </w:tc>
        <w:tc>
          <w:tcPr>
            <w:tcW w:w="1272" w:type="dxa"/>
          </w:tcPr>
          <w:p w:rsidR="003F5784" w14:paraId="71AC3AB0" w14:textId="77777777">
            <w:pPr>
              <w:pStyle w:val="TableParagraph"/>
              <w:ind w:right="133"/>
              <w:rPr>
                <w:sz w:val="21"/>
              </w:rPr>
            </w:pPr>
            <w:r>
              <w:rPr>
                <w:spacing w:val="-5"/>
                <w:sz w:val="21"/>
              </w:rPr>
              <w:t>90</w:t>
            </w:r>
          </w:p>
        </w:tc>
        <w:tc>
          <w:tcPr>
            <w:tcW w:w="2055" w:type="dxa"/>
          </w:tcPr>
          <w:p w:rsidR="003F5784" w14:paraId="77545CDB" w14:textId="77777777">
            <w:pPr>
              <w:pStyle w:val="TableParagraph"/>
              <w:ind w:right="134"/>
              <w:rPr>
                <w:sz w:val="21"/>
              </w:rPr>
            </w:pPr>
            <w:r>
              <w:rPr>
                <w:spacing w:val="-2"/>
                <w:sz w:val="21"/>
              </w:rPr>
              <w:t>97.56</w:t>
            </w:r>
          </w:p>
        </w:tc>
        <w:tc>
          <w:tcPr>
            <w:tcW w:w="1990" w:type="dxa"/>
          </w:tcPr>
          <w:p w:rsidR="003F5784" w14:paraId="7A7B458D" w14:textId="77777777">
            <w:pPr>
              <w:pStyle w:val="TableParagraph"/>
              <w:ind w:right="166"/>
              <w:rPr>
                <w:sz w:val="21"/>
              </w:rPr>
            </w:pPr>
            <w:r>
              <w:rPr>
                <w:spacing w:val="-2"/>
                <w:sz w:val="21"/>
              </w:rPr>
              <w:t>96.39</w:t>
            </w:r>
          </w:p>
        </w:tc>
        <w:tc>
          <w:tcPr>
            <w:tcW w:w="1304" w:type="dxa"/>
          </w:tcPr>
          <w:p w:rsidR="003F5784" w14:paraId="66282622" w14:textId="77777777">
            <w:pPr>
              <w:pStyle w:val="TableParagraph"/>
              <w:ind w:right="225"/>
              <w:rPr>
                <w:sz w:val="21"/>
              </w:rPr>
            </w:pPr>
            <w:r>
              <w:rPr>
                <w:spacing w:val="-2"/>
                <w:sz w:val="21"/>
              </w:rPr>
              <w:t>2,100</w:t>
            </w:r>
          </w:p>
        </w:tc>
        <w:tc>
          <w:tcPr>
            <w:tcW w:w="1202" w:type="dxa"/>
          </w:tcPr>
          <w:p w:rsidR="003F5784" w14:paraId="2D4BE68E" w14:textId="77777777">
            <w:pPr>
              <w:pStyle w:val="TableParagraph"/>
              <w:ind w:right="135"/>
              <w:rPr>
                <w:sz w:val="21"/>
              </w:rPr>
            </w:pPr>
            <w:r>
              <w:rPr>
                <w:spacing w:val="-4"/>
                <w:sz w:val="21"/>
              </w:rPr>
              <w:t>1.32</w:t>
            </w:r>
          </w:p>
        </w:tc>
        <w:tc>
          <w:tcPr>
            <w:tcW w:w="1738" w:type="dxa"/>
          </w:tcPr>
          <w:p w:rsidR="003F5784" w14:paraId="53D8A742" w14:textId="77777777">
            <w:pPr>
              <w:pStyle w:val="TableParagraph"/>
              <w:ind w:right="153"/>
              <w:rPr>
                <w:sz w:val="21"/>
              </w:rPr>
            </w:pPr>
            <w:r>
              <w:rPr>
                <w:spacing w:val="-2"/>
                <w:sz w:val="21"/>
              </w:rPr>
              <w:t>89.52</w:t>
            </w:r>
          </w:p>
        </w:tc>
        <w:tc>
          <w:tcPr>
            <w:tcW w:w="1733" w:type="dxa"/>
          </w:tcPr>
          <w:p w:rsidR="003F5784" w14:paraId="3995685E" w14:textId="77777777">
            <w:pPr>
              <w:pStyle w:val="TableParagraph"/>
              <w:ind w:right="120"/>
              <w:rPr>
                <w:sz w:val="21"/>
              </w:rPr>
            </w:pPr>
            <w:r>
              <w:rPr>
                <w:spacing w:val="-2"/>
                <w:sz w:val="21"/>
              </w:rPr>
              <w:t>18.39</w:t>
            </w:r>
          </w:p>
        </w:tc>
      </w:tr>
      <w:tr w14:paraId="43BE91F5" w14:textId="77777777">
        <w:tblPrEx>
          <w:tblW w:w="0" w:type="auto"/>
          <w:tblInd w:w="482" w:type="dxa"/>
          <w:tblLayout w:type="fixed"/>
          <w:tblCellMar>
            <w:left w:w="0" w:type="dxa"/>
            <w:right w:w="0" w:type="dxa"/>
          </w:tblCellMar>
          <w:tblLook w:val="01E0"/>
        </w:tblPrEx>
        <w:trPr>
          <w:trHeight w:val="289"/>
        </w:trPr>
        <w:tc>
          <w:tcPr>
            <w:tcW w:w="2693" w:type="dxa"/>
            <w:tcBorders>
              <w:bottom w:val="single" w:sz="18" w:space="0" w:color="800000"/>
            </w:tcBorders>
          </w:tcPr>
          <w:p w:rsidR="003F5784" w14:paraId="0DCEAAA2" w14:textId="77777777">
            <w:pPr>
              <w:pStyle w:val="TableParagraph"/>
              <w:ind w:left="120"/>
              <w:jc w:val="left"/>
              <w:rPr>
                <w:sz w:val="21"/>
              </w:rPr>
            </w:pPr>
            <w:r>
              <w:rPr>
                <w:spacing w:val="-2"/>
                <w:sz w:val="21"/>
              </w:rPr>
              <w:t>Maryland</w:t>
            </w:r>
          </w:p>
        </w:tc>
        <w:tc>
          <w:tcPr>
            <w:tcW w:w="1272" w:type="dxa"/>
            <w:tcBorders>
              <w:bottom w:val="single" w:sz="18" w:space="0" w:color="800000"/>
            </w:tcBorders>
          </w:tcPr>
          <w:p w:rsidR="003F5784" w14:paraId="4C74AE77" w14:textId="77777777">
            <w:pPr>
              <w:pStyle w:val="TableParagraph"/>
              <w:ind w:right="133"/>
              <w:rPr>
                <w:sz w:val="21"/>
              </w:rPr>
            </w:pPr>
            <w:r>
              <w:rPr>
                <w:spacing w:val="-5"/>
                <w:sz w:val="21"/>
              </w:rPr>
              <w:t>130</w:t>
            </w:r>
          </w:p>
        </w:tc>
        <w:tc>
          <w:tcPr>
            <w:tcW w:w="2055" w:type="dxa"/>
            <w:tcBorders>
              <w:bottom w:val="single" w:sz="18" w:space="0" w:color="800000"/>
            </w:tcBorders>
          </w:tcPr>
          <w:p w:rsidR="003F5784" w14:paraId="3355EC1D" w14:textId="77777777">
            <w:pPr>
              <w:pStyle w:val="TableParagraph"/>
              <w:ind w:right="134"/>
              <w:rPr>
                <w:sz w:val="21"/>
              </w:rPr>
            </w:pPr>
            <w:r>
              <w:rPr>
                <w:spacing w:val="-2"/>
                <w:sz w:val="21"/>
              </w:rPr>
              <w:t>100.00</w:t>
            </w:r>
          </w:p>
        </w:tc>
        <w:tc>
          <w:tcPr>
            <w:tcW w:w="1990" w:type="dxa"/>
            <w:tcBorders>
              <w:bottom w:val="single" w:sz="18" w:space="0" w:color="800000"/>
            </w:tcBorders>
          </w:tcPr>
          <w:p w:rsidR="003F5784" w14:paraId="024FE90F" w14:textId="77777777">
            <w:pPr>
              <w:pStyle w:val="TableParagraph"/>
              <w:ind w:right="166"/>
              <w:rPr>
                <w:sz w:val="21"/>
              </w:rPr>
            </w:pPr>
            <w:r>
              <w:rPr>
                <w:spacing w:val="-2"/>
                <w:sz w:val="21"/>
              </w:rPr>
              <w:t>100.00</w:t>
            </w:r>
          </w:p>
        </w:tc>
        <w:tc>
          <w:tcPr>
            <w:tcW w:w="1304" w:type="dxa"/>
            <w:tcBorders>
              <w:bottom w:val="single" w:sz="18" w:space="0" w:color="800000"/>
            </w:tcBorders>
          </w:tcPr>
          <w:p w:rsidR="003F5784" w14:paraId="4EAC93BA" w14:textId="77777777">
            <w:pPr>
              <w:pStyle w:val="TableParagraph"/>
              <w:ind w:right="225"/>
              <w:rPr>
                <w:sz w:val="21"/>
              </w:rPr>
            </w:pPr>
            <w:r>
              <w:rPr>
                <w:spacing w:val="-2"/>
                <w:sz w:val="21"/>
              </w:rPr>
              <w:t>3,000</w:t>
            </w:r>
          </w:p>
        </w:tc>
        <w:tc>
          <w:tcPr>
            <w:tcW w:w="1202" w:type="dxa"/>
            <w:tcBorders>
              <w:bottom w:val="single" w:sz="18" w:space="0" w:color="800000"/>
            </w:tcBorders>
          </w:tcPr>
          <w:p w:rsidR="003F5784" w14:paraId="4DAC3803" w14:textId="77777777">
            <w:pPr>
              <w:pStyle w:val="TableParagraph"/>
              <w:ind w:right="135"/>
              <w:rPr>
                <w:sz w:val="21"/>
              </w:rPr>
            </w:pPr>
            <w:r>
              <w:rPr>
                <w:spacing w:val="-4"/>
                <w:sz w:val="21"/>
              </w:rPr>
              <w:t>1.87</w:t>
            </w:r>
          </w:p>
        </w:tc>
        <w:tc>
          <w:tcPr>
            <w:tcW w:w="1738" w:type="dxa"/>
            <w:tcBorders>
              <w:bottom w:val="single" w:sz="18" w:space="0" w:color="800000"/>
            </w:tcBorders>
          </w:tcPr>
          <w:p w:rsidR="003F5784" w14:paraId="62EDBC14" w14:textId="77777777">
            <w:pPr>
              <w:pStyle w:val="TableParagraph"/>
              <w:ind w:right="153"/>
              <w:rPr>
                <w:sz w:val="21"/>
              </w:rPr>
            </w:pPr>
            <w:r>
              <w:rPr>
                <w:spacing w:val="-2"/>
                <w:sz w:val="21"/>
              </w:rPr>
              <w:t>90.36</w:t>
            </w:r>
          </w:p>
        </w:tc>
        <w:tc>
          <w:tcPr>
            <w:tcW w:w="1733" w:type="dxa"/>
            <w:tcBorders>
              <w:bottom w:val="single" w:sz="18" w:space="0" w:color="800000"/>
            </w:tcBorders>
          </w:tcPr>
          <w:p w:rsidR="003F5784" w14:paraId="5555482C" w14:textId="77777777">
            <w:pPr>
              <w:pStyle w:val="TableParagraph"/>
              <w:ind w:right="120"/>
              <w:rPr>
                <w:sz w:val="21"/>
              </w:rPr>
            </w:pPr>
            <w:r>
              <w:rPr>
                <w:spacing w:val="-2"/>
                <w:sz w:val="21"/>
              </w:rPr>
              <w:t>18.17</w:t>
            </w:r>
          </w:p>
        </w:tc>
      </w:tr>
      <w:tr w14:paraId="63AF2F6E" w14:textId="77777777">
        <w:tblPrEx>
          <w:tblW w:w="0" w:type="auto"/>
          <w:tblInd w:w="482" w:type="dxa"/>
          <w:tblLayout w:type="fixed"/>
          <w:tblCellMar>
            <w:left w:w="0" w:type="dxa"/>
            <w:right w:w="0" w:type="dxa"/>
          </w:tblCellMar>
          <w:tblLook w:val="01E0"/>
        </w:tblPrEx>
        <w:trPr>
          <w:trHeight w:val="503"/>
        </w:trPr>
        <w:tc>
          <w:tcPr>
            <w:tcW w:w="13987" w:type="dxa"/>
            <w:gridSpan w:val="8"/>
            <w:tcBorders>
              <w:top w:val="single" w:sz="18" w:space="0" w:color="800000"/>
            </w:tcBorders>
          </w:tcPr>
          <w:p w:rsidR="003F5784" w14:paraId="00F232E8" w14:textId="77777777">
            <w:pPr>
              <w:pStyle w:val="TableParagraph"/>
              <w:spacing w:before="9"/>
              <w:ind w:left="120"/>
              <w:jc w:val="left"/>
              <w:rPr>
                <w:sz w:val="21"/>
              </w:rPr>
            </w:pPr>
            <w:r>
              <w:rPr>
                <w:position w:val="9"/>
                <w:sz w:val="17"/>
              </w:rPr>
              <w:t>1</w:t>
            </w:r>
            <w:r>
              <w:rPr>
                <w:sz w:val="21"/>
              </w:rPr>
              <w:t>1</w:t>
            </w:r>
            <w:r>
              <w:rPr>
                <w:position w:val="9"/>
                <w:sz w:val="17"/>
              </w:rPr>
              <w:t>1</w:t>
            </w:r>
            <w:r>
              <w:rPr>
                <w:spacing w:val="1"/>
                <w:position w:val="9"/>
                <w:sz w:val="17"/>
              </w:rPr>
              <w:t xml:space="preserve"> </w:t>
            </w:r>
            <w:r>
              <w:rPr>
                <w:position w:val="1"/>
                <w:sz w:val="21"/>
              </w:rPr>
              <w:t>Includes</w:t>
            </w:r>
            <w:r>
              <w:rPr>
                <w:spacing w:val="-6"/>
                <w:position w:val="1"/>
                <w:sz w:val="21"/>
              </w:rPr>
              <w:t xml:space="preserve"> </w:t>
            </w:r>
            <w:r>
              <w:rPr>
                <w:position w:val="1"/>
                <w:sz w:val="21"/>
              </w:rPr>
              <w:t>national</w:t>
            </w:r>
            <w:r>
              <w:rPr>
                <w:spacing w:val="-6"/>
                <w:position w:val="1"/>
                <w:sz w:val="21"/>
              </w:rPr>
              <w:t xml:space="preserve"> </w:t>
            </w:r>
            <w:r>
              <w:rPr>
                <w:position w:val="1"/>
                <w:sz w:val="21"/>
              </w:rPr>
              <w:t>public</w:t>
            </w:r>
            <w:r>
              <w:rPr>
                <w:spacing w:val="-6"/>
                <w:position w:val="1"/>
                <w:sz w:val="21"/>
              </w:rPr>
              <w:t xml:space="preserve"> </w:t>
            </w:r>
            <w:r>
              <w:rPr>
                <w:position w:val="1"/>
                <w:sz w:val="21"/>
              </w:rPr>
              <w:t>and</w:t>
            </w:r>
            <w:r>
              <w:rPr>
                <w:spacing w:val="-6"/>
                <w:position w:val="1"/>
                <w:sz w:val="21"/>
              </w:rPr>
              <w:t xml:space="preserve"> </w:t>
            </w:r>
            <w:r>
              <w:rPr>
                <w:position w:val="1"/>
                <w:sz w:val="21"/>
              </w:rPr>
              <w:t>national</w:t>
            </w:r>
            <w:r>
              <w:rPr>
                <w:spacing w:val="-6"/>
                <w:position w:val="1"/>
                <w:sz w:val="21"/>
              </w:rPr>
              <w:t xml:space="preserve"> </w:t>
            </w:r>
            <w:r>
              <w:rPr>
                <w:position w:val="1"/>
                <w:sz w:val="21"/>
              </w:rPr>
              <w:t>private</w:t>
            </w:r>
            <w:r>
              <w:rPr>
                <w:spacing w:val="-6"/>
                <w:position w:val="1"/>
                <w:sz w:val="21"/>
              </w:rPr>
              <w:t xml:space="preserve"> </w:t>
            </w:r>
            <w:r>
              <w:rPr>
                <w:position w:val="1"/>
                <w:sz w:val="21"/>
              </w:rPr>
              <w:t>schools</w:t>
            </w:r>
            <w:r>
              <w:rPr>
                <w:spacing w:val="-6"/>
                <w:position w:val="1"/>
                <w:sz w:val="21"/>
              </w:rPr>
              <w:t xml:space="preserve"> </w:t>
            </w:r>
            <w:r>
              <w:rPr>
                <w:position w:val="1"/>
                <w:sz w:val="21"/>
              </w:rPr>
              <w:t>located</w:t>
            </w:r>
            <w:r>
              <w:rPr>
                <w:spacing w:val="-6"/>
                <w:position w:val="1"/>
                <w:sz w:val="21"/>
              </w:rPr>
              <w:t xml:space="preserve"> </w:t>
            </w:r>
            <w:r>
              <w:rPr>
                <w:position w:val="1"/>
                <w:sz w:val="21"/>
              </w:rPr>
              <w:t>in</w:t>
            </w:r>
            <w:r>
              <w:rPr>
                <w:spacing w:val="-6"/>
                <w:position w:val="1"/>
                <w:sz w:val="21"/>
              </w:rPr>
              <w:t xml:space="preserve"> </w:t>
            </w:r>
            <w:r>
              <w:rPr>
                <w:position w:val="1"/>
                <w:sz w:val="21"/>
              </w:rPr>
              <w:t>the</w:t>
            </w:r>
            <w:r>
              <w:rPr>
                <w:spacing w:val="-6"/>
                <w:position w:val="1"/>
                <w:sz w:val="21"/>
              </w:rPr>
              <w:t xml:space="preserve"> </w:t>
            </w:r>
            <w:r>
              <w:rPr>
                <w:position w:val="1"/>
                <w:sz w:val="21"/>
              </w:rPr>
              <w:t>United</w:t>
            </w:r>
            <w:r>
              <w:rPr>
                <w:spacing w:val="-6"/>
                <w:position w:val="1"/>
                <w:sz w:val="21"/>
              </w:rPr>
              <w:t xml:space="preserve"> </w:t>
            </w:r>
            <w:r>
              <w:rPr>
                <w:position w:val="1"/>
                <w:sz w:val="21"/>
              </w:rPr>
              <w:t>States</w:t>
            </w:r>
            <w:r>
              <w:rPr>
                <w:spacing w:val="-6"/>
                <w:position w:val="1"/>
                <w:sz w:val="21"/>
              </w:rPr>
              <w:t xml:space="preserve"> </w:t>
            </w:r>
            <w:r>
              <w:rPr>
                <w:position w:val="1"/>
                <w:sz w:val="21"/>
              </w:rPr>
              <w:t>and</w:t>
            </w:r>
            <w:r>
              <w:rPr>
                <w:spacing w:val="-6"/>
                <w:position w:val="1"/>
                <w:sz w:val="21"/>
              </w:rPr>
              <w:t xml:space="preserve"> </w:t>
            </w:r>
            <w:r>
              <w:rPr>
                <w:position w:val="1"/>
                <w:sz w:val="21"/>
              </w:rPr>
              <w:t>all</w:t>
            </w:r>
            <w:r>
              <w:rPr>
                <w:spacing w:val="-6"/>
                <w:position w:val="1"/>
                <w:sz w:val="21"/>
              </w:rPr>
              <w:t xml:space="preserve"> </w:t>
            </w:r>
            <w:r>
              <w:rPr>
                <w:position w:val="1"/>
                <w:sz w:val="21"/>
              </w:rPr>
              <w:t>Department</w:t>
            </w:r>
            <w:r>
              <w:rPr>
                <w:spacing w:val="-6"/>
                <w:position w:val="1"/>
                <w:sz w:val="21"/>
              </w:rPr>
              <w:t xml:space="preserve"> </w:t>
            </w:r>
            <w:r>
              <w:rPr>
                <w:position w:val="1"/>
                <w:sz w:val="21"/>
              </w:rPr>
              <w:t>of</w:t>
            </w:r>
            <w:r>
              <w:rPr>
                <w:spacing w:val="-6"/>
                <w:position w:val="1"/>
                <w:sz w:val="21"/>
              </w:rPr>
              <w:t xml:space="preserve"> </w:t>
            </w:r>
            <w:r>
              <w:rPr>
                <w:position w:val="1"/>
                <w:sz w:val="21"/>
              </w:rPr>
              <w:t>Defense</w:t>
            </w:r>
            <w:r>
              <w:rPr>
                <w:spacing w:val="-6"/>
                <w:position w:val="1"/>
                <w:sz w:val="21"/>
              </w:rPr>
              <w:t xml:space="preserve"> </w:t>
            </w:r>
            <w:r>
              <w:rPr>
                <w:position w:val="1"/>
                <w:sz w:val="21"/>
              </w:rPr>
              <w:t>Education</w:t>
            </w:r>
            <w:r>
              <w:rPr>
                <w:spacing w:val="-13"/>
                <w:position w:val="1"/>
                <w:sz w:val="21"/>
              </w:rPr>
              <w:t xml:space="preserve"> </w:t>
            </w:r>
            <w:r>
              <w:rPr>
                <w:position w:val="1"/>
                <w:sz w:val="21"/>
              </w:rPr>
              <w:t>Activity</w:t>
            </w:r>
            <w:r>
              <w:rPr>
                <w:spacing w:val="-6"/>
                <w:position w:val="1"/>
                <w:sz w:val="21"/>
              </w:rPr>
              <w:t xml:space="preserve"> </w:t>
            </w:r>
            <w:r>
              <w:rPr>
                <w:spacing w:val="-2"/>
                <w:position w:val="1"/>
                <w:sz w:val="21"/>
              </w:rPr>
              <w:t>schools.</w:t>
            </w:r>
          </w:p>
          <w:p w:rsidR="003F5784" w14:paraId="6697AC05" w14:textId="77777777">
            <w:pPr>
              <w:pStyle w:val="TableParagraph"/>
              <w:spacing w:before="7" w:line="174" w:lineRule="exact"/>
              <w:ind w:left="120"/>
              <w:jc w:val="left"/>
              <w:rPr>
                <w:sz w:val="21"/>
              </w:rPr>
            </w:pPr>
            <w:r>
              <w:rPr>
                <w:position w:val="8"/>
                <w:sz w:val="17"/>
              </w:rPr>
              <w:t>2</w:t>
            </w:r>
            <w:r>
              <w:rPr>
                <w:sz w:val="21"/>
              </w:rPr>
              <w:t>2</w:t>
            </w:r>
            <w:r>
              <w:rPr>
                <w:position w:val="8"/>
                <w:sz w:val="17"/>
              </w:rPr>
              <w:t xml:space="preserve">2 </w:t>
            </w:r>
            <w:r>
              <w:rPr>
                <w:sz w:val="21"/>
              </w:rPr>
              <w:t>Department</w:t>
            </w:r>
            <w:r>
              <w:rPr>
                <w:spacing w:val="-7"/>
                <w:sz w:val="21"/>
              </w:rPr>
              <w:t xml:space="preserve"> </w:t>
            </w:r>
            <w:r>
              <w:rPr>
                <w:sz w:val="21"/>
              </w:rPr>
              <w:t>of</w:t>
            </w:r>
            <w:r>
              <w:rPr>
                <w:spacing w:val="-6"/>
                <w:sz w:val="21"/>
              </w:rPr>
              <w:t xml:space="preserve"> </w:t>
            </w:r>
            <w:r>
              <w:rPr>
                <w:sz w:val="21"/>
              </w:rPr>
              <w:t>Defense</w:t>
            </w:r>
            <w:r>
              <w:rPr>
                <w:spacing w:val="-6"/>
                <w:sz w:val="21"/>
              </w:rPr>
              <w:t xml:space="preserve"> </w:t>
            </w:r>
            <w:r>
              <w:rPr>
                <w:sz w:val="21"/>
              </w:rPr>
              <w:t>Education</w:t>
            </w:r>
            <w:r>
              <w:rPr>
                <w:spacing w:val="-14"/>
                <w:sz w:val="21"/>
              </w:rPr>
              <w:t xml:space="preserve"> </w:t>
            </w:r>
            <w:r>
              <w:rPr>
                <w:sz w:val="21"/>
              </w:rPr>
              <w:t>Activity</w:t>
            </w:r>
            <w:r>
              <w:rPr>
                <w:spacing w:val="-6"/>
                <w:sz w:val="21"/>
              </w:rPr>
              <w:t xml:space="preserve"> </w:t>
            </w:r>
            <w:r>
              <w:rPr>
                <w:spacing w:val="-2"/>
                <w:sz w:val="21"/>
              </w:rPr>
              <w:t>schools.</w:t>
            </w:r>
          </w:p>
        </w:tc>
      </w:tr>
    </w:tbl>
    <w:p w:rsidR="003F5784" w14:paraId="52BB7EAE" w14:textId="77777777">
      <w:pPr>
        <w:pStyle w:val="BodyText"/>
        <w:spacing w:before="102" w:line="232" w:lineRule="auto"/>
        <w:ind w:left="595" w:right="318"/>
      </w:pPr>
      <w:r>
        <w:t>NOTE: Numbers of schools are rounded to nearest ten, and numbers of students are rounded to nearest hundred. Detail may not sum to totals due to rounding. 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Reading Assessment.</w:t>
      </w:r>
    </w:p>
    <w:p w:rsidR="003F5784" w14:paraId="7DF7AC61" w14:textId="77777777">
      <w:pPr>
        <w:spacing w:line="232" w:lineRule="auto"/>
        <w:sectPr>
          <w:pgSz w:w="15840" w:h="12240" w:orient="landscape"/>
          <w:pgMar w:top="480" w:right="440" w:bottom="460" w:left="460" w:header="284" w:footer="275" w:gutter="0"/>
          <w:cols w:space="720"/>
        </w:sectPr>
      </w:pPr>
    </w:p>
    <w:p w:rsidR="003F5784" w14:paraId="219CF6E8" w14:textId="77777777">
      <w:pPr>
        <w:pStyle w:val="BodyText"/>
        <w:spacing w:before="5"/>
        <w:rPr>
          <w:sz w:val="9"/>
        </w:rPr>
      </w:pPr>
    </w:p>
    <w:tbl>
      <w:tblPr>
        <w:tblW w:w="0" w:type="auto"/>
        <w:tblInd w:w="552" w:type="dxa"/>
        <w:tblLayout w:type="fixed"/>
        <w:tblCellMar>
          <w:left w:w="0" w:type="dxa"/>
          <w:right w:w="0" w:type="dxa"/>
        </w:tblCellMar>
        <w:tblLook w:val="01E0"/>
      </w:tblPr>
      <w:tblGrid>
        <w:gridCol w:w="2499"/>
        <w:gridCol w:w="1395"/>
        <w:gridCol w:w="144"/>
        <w:gridCol w:w="1374"/>
        <w:gridCol w:w="66"/>
        <w:gridCol w:w="1353"/>
        <w:gridCol w:w="87"/>
        <w:gridCol w:w="990"/>
        <w:gridCol w:w="16"/>
        <w:gridCol w:w="863"/>
        <w:gridCol w:w="21"/>
        <w:gridCol w:w="1170"/>
        <w:gridCol w:w="79"/>
        <w:gridCol w:w="1002"/>
      </w:tblGrid>
      <w:tr w14:paraId="58A91E23" w14:textId="77777777" w:rsidTr="00047860">
        <w:tblPrEx>
          <w:tblW w:w="0" w:type="auto"/>
          <w:tblInd w:w="552" w:type="dxa"/>
          <w:tblLayout w:type="fixed"/>
          <w:tblCellMar>
            <w:left w:w="0" w:type="dxa"/>
            <w:right w:w="0" w:type="dxa"/>
          </w:tblCellMar>
          <w:tblLook w:val="01E0"/>
        </w:tblPrEx>
        <w:trPr>
          <w:trHeight w:val="232"/>
        </w:trPr>
        <w:tc>
          <w:tcPr>
            <w:tcW w:w="3894" w:type="dxa"/>
            <w:gridSpan w:val="2"/>
          </w:tcPr>
          <w:p w:rsidR="003F5784" w14:paraId="1DB8EAE4" w14:textId="77777777">
            <w:pPr>
              <w:pStyle w:val="TableParagraph"/>
              <w:spacing w:before="0"/>
              <w:jc w:val="left"/>
              <w:rPr>
                <w:sz w:val="16"/>
              </w:rPr>
            </w:pPr>
          </w:p>
        </w:tc>
        <w:tc>
          <w:tcPr>
            <w:tcW w:w="1518" w:type="dxa"/>
            <w:gridSpan w:val="2"/>
          </w:tcPr>
          <w:p w:rsidR="003F5784" w14:paraId="5A17E0AD" w14:textId="77777777">
            <w:pPr>
              <w:pStyle w:val="TableParagraph"/>
              <w:spacing w:before="0" w:line="213" w:lineRule="exact"/>
              <w:ind w:right="133"/>
              <w:rPr>
                <w:sz w:val="21"/>
              </w:rPr>
            </w:pPr>
            <w:r>
              <w:rPr>
                <w:sz w:val="21"/>
              </w:rPr>
              <w:t>School</w:t>
            </w:r>
            <w:r>
              <w:rPr>
                <w:spacing w:val="-7"/>
                <w:sz w:val="21"/>
              </w:rPr>
              <w:t xml:space="preserve"> </w:t>
            </w:r>
            <w:r>
              <w:rPr>
                <w:spacing w:val="-2"/>
                <w:sz w:val="21"/>
              </w:rPr>
              <w:t>participation</w:t>
            </w:r>
          </w:p>
        </w:tc>
        <w:tc>
          <w:tcPr>
            <w:tcW w:w="1419" w:type="dxa"/>
            <w:gridSpan w:val="2"/>
          </w:tcPr>
          <w:p w:rsidR="003F5784" w14:paraId="6113415C" w14:textId="77777777">
            <w:pPr>
              <w:pStyle w:val="TableParagraph"/>
              <w:spacing w:before="0"/>
              <w:jc w:val="left"/>
              <w:rPr>
                <w:sz w:val="16"/>
              </w:rPr>
            </w:pPr>
          </w:p>
        </w:tc>
        <w:tc>
          <w:tcPr>
            <w:tcW w:w="4228" w:type="dxa"/>
            <w:gridSpan w:val="8"/>
            <w:vMerge w:val="restart"/>
          </w:tcPr>
          <w:p w:rsidR="003F5784" w14:paraId="3ABF5192" w14:textId="77777777">
            <w:pPr>
              <w:pStyle w:val="TableParagraph"/>
              <w:spacing w:before="0"/>
              <w:jc w:val="left"/>
              <w:rPr>
                <w:sz w:val="20"/>
              </w:rPr>
            </w:pPr>
          </w:p>
        </w:tc>
      </w:tr>
      <w:tr w14:paraId="11886C4F" w14:textId="77777777" w:rsidTr="00047860">
        <w:tblPrEx>
          <w:tblW w:w="0" w:type="auto"/>
          <w:tblInd w:w="552" w:type="dxa"/>
          <w:tblLayout w:type="fixed"/>
          <w:tblCellMar>
            <w:left w:w="0" w:type="dxa"/>
            <w:right w:w="0" w:type="dxa"/>
          </w:tblCellMar>
          <w:tblLook w:val="01E0"/>
        </w:tblPrEx>
        <w:trPr>
          <w:trHeight w:val="234"/>
        </w:trPr>
        <w:tc>
          <w:tcPr>
            <w:tcW w:w="3894" w:type="dxa"/>
            <w:gridSpan w:val="2"/>
          </w:tcPr>
          <w:p w:rsidR="003F5784" w14:paraId="6AF60538" w14:textId="77777777">
            <w:pPr>
              <w:pStyle w:val="TableParagraph"/>
              <w:spacing w:before="0" w:line="215" w:lineRule="exact"/>
              <w:ind w:right="133"/>
              <w:rPr>
                <w:sz w:val="21"/>
              </w:rPr>
            </w:pPr>
            <w:r>
              <w:rPr>
                <w:sz w:val="21"/>
              </w:rPr>
              <w:t>Number</w:t>
            </w:r>
            <w:r>
              <w:rPr>
                <w:spacing w:val="-8"/>
                <w:sz w:val="21"/>
              </w:rPr>
              <w:t xml:space="preserve"> </w:t>
            </w:r>
            <w:r>
              <w:rPr>
                <w:spacing w:val="-5"/>
                <w:sz w:val="21"/>
              </w:rPr>
              <w:t>of</w:t>
            </w:r>
          </w:p>
        </w:tc>
        <w:tc>
          <w:tcPr>
            <w:tcW w:w="1518" w:type="dxa"/>
            <w:gridSpan w:val="2"/>
          </w:tcPr>
          <w:p w:rsidR="003F5784" w14:paraId="7B3333BF" w14:textId="77777777">
            <w:pPr>
              <w:pStyle w:val="TableParagraph"/>
              <w:spacing w:before="0" w:line="215" w:lineRule="exact"/>
              <w:ind w:right="133"/>
              <w:rPr>
                <w:sz w:val="21"/>
              </w:rPr>
            </w:pPr>
            <w:r>
              <w:rPr>
                <w:sz w:val="21"/>
              </w:rPr>
              <w:t>rates</w:t>
            </w:r>
            <w:r>
              <w:rPr>
                <w:spacing w:val="-7"/>
                <w:sz w:val="21"/>
              </w:rPr>
              <w:t xml:space="preserve"> </w:t>
            </w:r>
            <w:r>
              <w:rPr>
                <w:sz w:val="21"/>
              </w:rPr>
              <w:t>(percent)</w:t>
            </w:r>
            <w:r>
              <w:rPr>
                <w:spacing w:val="-7"/>
                <w:sz w:val="21"/>
              </w:rPr>
              <w:t xml:space="preserve"> </w:t>
            </w:r>
            <w:r>
              <w:rPr>
                <w:spacing w:val="-2"/>
                <w:sz w:val="21"/>
              </w:rPr>
              <w:t>before</w:t>
            </w:r>
          </w:p>
        </w:tc>
        <w:tc>
          <w:tcPr>
            <w:tcW w:w="1419" w:type="dxa"/>
            <w:gridSpan w:val="2"/>
          </w:tcPr>
          <w:p w:rsidR="003F5784" w14:paraId="765510B5" w14:textId="77777777">
            <w:pPr>
              <w:pStyle w:val="TableParagraph"/>
              <w:spacing w:before="0" w:line="215" w:lineRule="exact"/>
              <w:ind w:right="164"/>
              <w:rPr>
                <w:sz w:val="21"/>
              </w:rPr>
            </w:pPr>
            <w:r>
              <w:rPr>
                <w:sz w:val="21"/>
              </w:rPr>
              <w:t>School</w:t>
            </w:r>
            <w:r>
              <w:rPr>
                <w:spacing w:val="-7"/>
                <w:sz w:val="21"/>
              </w:rPr>
              <w:t xml:space="preserve"> </w:t>
            </w:r>
            <w:r>
              <w:rPr>
                <w:spacing w:val="-2"/>
                <w:sz w:val="21"/>
              </w:rPr>
              <w:t>participation</w:t>
            </w:r>
          </w:p>
        </w:tc>
        <w:tc>
          <w:tcPr>
            <w:tcW w:w="4228" w:type="dxa"/>
            <w:gridSpan w:val="8"/>
            <w:vMerge/>
            <w:tcBorders>
              <w:top w:val="nil"/>
            </w:tcBorders>
          </w:tcPr>
          <w:p w:rsidR="003F5784" w14:paraId="386EE65E" w14:textId="77777777">
            <w:pPr>
              <w:rPr>
                <w:sz w:val="2"/>
                <w:szCs w:val="2"/>
              </w:rPr>
            </w:pPr>
          </w:p>
        </w:tc>
      </w:tr>
      <w:tr w14:paraId="1CD2B032" w14:textId="77777777" w:rsidTr="00047860">
        <w:tblPrEx>
          <w:tblW w:w="0" w:type="auto"/>
          <w:tblInd w:w="552" w:type="dxa"/>
          <w:tblLayout w:type="fixed"/>
          <w:tblCellMar>
            <w:left w:w="0" w:type="dxa"/>
            <w:right w:w="0" w:type="dxa"/>
          </w:tblCellMar>
          <w:tblLook w:val="01E0"/>
        </w:tblPrEx>
        <w:trPr>
          <w:trHeight w:val="234"/>
        </w:trPr>
        <w:tc>
          <w:tcPr>
            <w:tcW w:w="3894" w:type="dxa"/>
            <w:gridSpan w:val="2"/>
          </w:tcPr>
          <w:p w:rsidR="003F5784" w14:paraId="39AFC31B" w14:textId="77777777">
            <w:pPr>
              <w:pStyle w:val="TableParagraph"/>
              <w:spacing w:before="0" w:line="215" w:lineRule="exact"/>
              <w:ind w:right="133"/>
              <w:rPr>
                <w:sz w:val="21"/>
              </w:rPr>
            </w:pPr>
            <w:r>
              <w:rPr>
                <w:sz w:val="21"/>
              </w:rPr>
              <w:t>schools</w:t>
            </w:r>
            <w:r>
              <w:rPr>
                <w:spacing w:val="-8"/>
                <w:sz w:val="21"/>
              </w:rPr>
              <w:t xml:space="preserve"> </w:t>
            </w:r>
            <w:r>
              <w:rPr>
                <w:spacing w:val="-5"/>
                <w:sz w:val="21"/>
              </w:rPr>
              <w:t>in</w:t>
            </w:r>
          </w:p>
        </w:tc>
        <w:tc>
          <w:tcPr>
            <w:tcW w:w="1518" w:type="dxa"/>
            <w:gridSpan w:val="2"/>
          </w:tcPr>
          <w:p w:rsidR="003F5784" w14:paraId="26DCA353" w14:textId="77777777">
            <w:pPr>
              <w:pStyle w:val="TableParagraph"/>
              <w:spacing w:before="0" w:line="215" w:lineRule="exact"/>
              <w:ind w:right="133"/>
              <w:rPr>
                <w:sz w:val="21"/>
              </w:rPr>
            </w:pPr>
            <w:r>
              <w:rPr>
                <w:spacing w:val="-2"/>
                <w:sz w:val="21"/>
              </w:rPr>
              <w:t>substitution</w:t>
            </w:r>
          </w:p>
        </w:tc>
        <w:tc>
          <w:tcPr>
            <w:tcW w:w="1419" w:type="dxa"/>
            <w:gridSpan w:val="2"/>
          </w:tcPr>
          <w:p w:rsidR="003F5784" w14:paraId="797269AF" w14:textId="77777777">
            <w:pPr>
              <w:pStyle w:val="TableParagraph"/>
              <w:spacing w:before="0" w:line="215" w:lineRule="exact"/>
              <w:ind w:right="164"/>
              <w:rPr>
                <w:sz w:val="21"/>
              </w:rPr>
            </w:pPr>
            <w:r>
              <w:rPr>
                <w:sz w:val="21"/>
              </w:rPr>
              <w:t>rates</w:t>
            </w:r>
            <w:r>
              <w:rPr>
                <w:spacing w:val="-5"/>
                <w:sz w:val="21"/>
              </w:rPr>
              <w:t xml:space="preserve"> </w:t>
            </w:r>
            <w:r>
              <w:rPr>
                <w:spacing w:val="-2"/>
                <w:sz w:val="21"/>
              </w:rPr>
              <w:t>(percent)</w:t>
            </w:r>
          </w:p>
        </w:tc>
        <w:tc>
          <w:tcPr>
            <w:tcW w:w="1093" w:type="dxa"/>
            <w:gridSpan w:val="3"/>
          </w:tcPr>
          <w:p w:rsidR="003F5784" w14:paraId="354D6A2B" w14:textId="77777777">
            <w:pPr>
              <w:pStyle w:val="TableParagraph"/>
              <w:spacing w:before="0" w:line="215" w:lineRule="exact"/>
              <w:ind w:right="221"/>
              <w:rPr>
                <w:sz w:val="21"/>
              </w:rPr>
            </w:pPr>
            <w:r>
              <w:rPr>
                <w:sz w:val="21"/>
              </w:rPr>
              <w:t>Number</w:t>
            </w:r>
            <w:r>
              <w:rPr>
                <w:spacing w:val="-8"/>
                <w:sz w:val="21"/>
              </w:rPr>
              <w:t xml:space="preserve"> </w:t>
            </w:r>
            <w:r>
              <w:rPr>
                <w:spacing w:val="-5"/>
                <w:sz w:val="21"/>
              </w:rPr>
              <w:t>of</w:t>
            </w:r>
          </w:p>
        </w:tc>
        <w:tc>
          <w:tcPr>
            <w:tcW w:w="863" w:type="dxa"/>
          </w:tcPr>
          <w:p w:rsidR="003F5784" w14:paraId="75EEB661" w14:textId="77777777">
            <w:pPr>
              <w:pStyle w:val="TableParagraph"/>
              <w:spacing w:before="0" w:line="215" w:lineRule="exact"/>
              <w:ind w:right="130"/>
              <w:rPr>
                <w:sz w:val="21"/>
              </w:rPr>
            </w:pPr>
            <w:r>
              <w:rPr>
                <w:spacing w:val="-2"/>
                <w:sz w:val="21"/>
              </w:rPr>
              <w:t>Weighted</w:t>
            </w:r>
          </w:p>
        </w:tc>
        <w:tc>
          <w:tcPr>
            <w:tcW w:w="1270" w:type="dxa"/>
            <w:gridSpan w:val="3"/>
          </w:tcPr>
          <w:p w:rsidR="003F5784" w14:paraId="61D7A15F" w14:textId="77777777">
            <w:pPr>
              <w:pStyle w:val="TableParagraph"/>
              <w:spacing w:before="0" w:line="215" w:lineRule="exact"/>
              <w:ind w:right="147"/>
              <w:rPr>
                <w:sz w:val="21"/>
              </w:rPr>
            </w:pPr>
            <w:r>
              <w:rPr>
                <w:spacing w:val="-2"/>
                <w:sz w:val="21"/>
              </w:rPr>
              <w:t>Weighted</w:t>
            </w:r>
            <w:r>
              <w:rPr>
                <w:spacing w:val="-11"/>
                <w:sz w:val="21"/>
              </w:rPr>
              <w:t xml:space="preserve"> </w:t>
            </w:r>
            <w:r>
              <w:rPr>
                <w:spacing w:val="-2"/>
                <w:sz w:val="21"/>
              </w:rPr>
              <w:t>student</w:t>
            </w:r>
          </w:p>
        </w:tc>
        <w:tc>
          <w:tcPr>
            <w:tcW w:w="1002" w:type="dxa"/>
          </w:tcPr>
          <w:p w:rsidR="003F5784" w14:paraId="2856965A" w14:textId="77777777">
            <w:pPr>
              <w:pStyle w:val="TableParagraph"/>
              <w:spacing w:before="0"/>
              <w:jc w:val="left"/>
              <w:rPr>
                <w:sz w:val="16"/>
              </w:rPr>
            </w:pPr>
          </w:p>
        </w:tc>
      </w:tr>
      <w:tr w14:paraId="4E8A91F3" w14:textId="77777777" w:rsidTr="00047860">
        <w:tblPrEx>
          <w:tblW w:w="0" w:type="auto"/>
          <w:tblInd w:w="552" w:type="dxa"/>
          <w:tblLayout w:type="fixed"/>
          <w:tblCellMar>
            <w:left w:w="0" w:type="dxa"/>
            <w:right w:w="0" w:type="dxa"/>
          </w:tblCellMar>
          <w:tblLook w:val="01E0"/>
        </w:tblPrEx>
        <w:trPr>
          <w:trHeight w:val="234"/>
        </w:trPr>
        <w:tc>
          <w:tcPr>
            <w:tcW w:w="3894" w:type="dxa"/>
            <w:gridSpan w:val="2"/>
          </w:tcPr>
          <w:p w:rsidR="003F5784" w14:paraId="59BE3C2A" w14:textId="77777777">
            <w:pPr>
              <w:pStyle w:val="TableParagraph"/>
              <w:spacing w:before="0" w:line="215" w:lineRule="exact"/>
              <w:ind w:right="133"/>
              <w:rPr>
                <w:sz w:val="21"/>
              </w:rPr>
            </w:pPr>
            <w:r>
              <w:rPr>
                <w:spacing w:val="-2"/>
                <w:sz w:val="21"/>
              </w:rPr>
              <w:t>original</w:t>
            </w:r>
          </w:p>
        </w:tc>
        <w:tc>
          <w:tcPr>
            <w:tcW w:w="1518" w:type="dxa"/>
            <w:gridSpan w:val="2"/>
          </w:tcPr>
          <w:p w:rsidR="003F5784" w14:paraId="7216F477" w14:textId="77777777">
            <w:pPr>
              <w:pStyle w:val="TableParagraph"/>
              <w:spacing w:before="0" w:line="215" w:lineRule="exact"/>
              <w:ind w:right="133"/>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419" w:type="dxa"/>
            <w:gridSpan w:val="2"/>
          </w:tcPr>
          <w:p w:rsidR="003F5784" w14:paraId="75AD77EE" w14:textId="77777777">
            <w:pPr>
              <w:pStyle w:val="TableParagraph"/>
              <w:spacing w:before="0" w:line="215" w:lineRule="exact"/>
              <w:ind w:right="164"/>
              <w:rPr>
                <w:sz w:val="21"/>
              </w:rPr>
            </w:pPr>
            <w:r>
              <w:rPr>
                <w:sz w:val="21"/>
              </w:rPr>
              <w:t>before</w:t>
            </w:r>
            <w:r>
              <w:rPr>
                <w:spacing w:val="-7"/>
                <w:sz w:val="21"/>
              </w:rPr>
              <w:t xml:space="preserve"> </w:t>
            </w:r>
            <w:r>
              <w:rPr>
                <w:spacing w:val="-2"/>
                <w:sz w:val="21"/>
              </w:rPr>
              <w:t>substitution</w:t>
            </w:r>
          </w:p>
        </w:tc>
        <w:tc>
          <w:tcPr>
            <w:tcW w:w="1093" w:type="dxa"/>
            <w:gridSpan w:val="3"/>
          </w:tcPr>
          <w:p w:rsidR="003F5784" w14:paraId="1ADEEBA9" w14:textId="77777777">
            <w:pPr>
              <w:pStyle w:val="TableParagraph"/>
              <w:spacing w:before="0" w:line="215" w:lineRule="exact"/>
              <w:ind w:right="221"/>
              <w:rPr>
                <w:sz w:val="21"/>
              </w:rPr>
            </w:pPr>
            <w:r>
              <w:rPr>
                <w:spacing w:val="-2"/>
                <w:sz w:val="21"/>
              </w:rPr>
              <w:t>students</w:t>
            </w:r>
          </w:p>
        </w:tc>
        <w:tc>
          <w:tcPr>
            <w:tcW w:w="863" w:type="dxa"/>
          </w:tcPr>
          <w:p w:rsidR="003F5784" w14:paraId="75037228" w14:textId="77777777">
            <w:pPr>
              <w:pStyle w:val="TableParagraph"/>
              <w:spacing w:before="0" w:line="215" w:lineRule="exact"/>
              <w:ind w:right="130"/>
              <w:rPr>
                <w:sz w:val="21"/>
              </w:rPr>
            </w:pPr>
            <w:r>
              <w:rPr>
                <w:sz w:val="21"/>
              </w:rPr>
              <w:t>percent</w:t>
            </w:r>
            <w:r>
              <w:rPr>
                <w:spacing w:val="-8"/>
                <w:sz w:val="21"/>
              </w:rPr>
              <w:t xml:space="preserve"> </w:t>
            </w:r>
            <w:r>
              <w:rPr>
                <w:spacing w:val="-5"/>
                <w:sz w:val="21"/>
              </w:rPr>
              <w:t>of</w:t>
            </w:r>
          </w:p>
        </w:tc>
        <w:tc>
          <w:tcPr>
            <w:tcW w:w="1270" w:type="dxa"/>
            <w:gridSpan w:val="3"/>
          </w:tcPr>
          <w:p w:rsidR="003F5784" w14:paraId="203F587A" w14:textId="77777777">
            <w:pPr>
              <w:pStyle w:val="TableParagraph"/>
              <w:spacing w:before="0" w:line="215" w:lineRule="exact"/>
              <w:ind w:right="147"/>
              <w:rPr>
                <w:sz w:val="21"/>
              </w:rPr>
            </w:pPr>
            <w:r>
              <w:rPr>
                <w:spacing w:val="-2"/>
                <w:sz w:val="21"/>
              </w:rPr>
              <w:t>participation</w:t>
            </w:r>
          </w:p>
        </w:tc>
        <w:tc>
          <w:tcPr>
            <w:tcW w:w="1002" w:type="dxa"/>
          </w:tcPr>
          <w:p w:rsidR="003F5784" w14:paraId="3932022F" w14:textId="77777777">
            <w:pPr>
              <w:pStyle w:val="TableParagraph"/>
              <w:spacing w:before="0" w:line="215" w:lineRule="exact"/>
              <w:ind w:right="43"/>
              <w:rPr>
                <w:sz w:val="21"/>
              </w:rPr>
            </w:pPr>
            <w:r>
              <w:rPr>
                <w:spacing w:val="-2"/>
                <w:sz w:val="21"/>
              </w:rPr>
              <w:t>Weighted</w:t>
            </w:r>
            <w:r>
              <w:rPr>
                <w:spacing w:val="-11"/>
                <w:sz w:val="21"/>
              </w:rPr>
              <w:t xml:space="preserve"> </w:t>
            </w:r>
            <w:r>
              <w:rPr>
                <w:spacing w:val="-2"/>
                <w:sz w:val="21"/>
              </w:rPr>
              <w:t>percent</w:t>
            </w:r>
          </w:p>
        </w:tc>
      </w:tr>
      <w:tr w14:paraId="6E81B1EE" w14:textId="77777777" w:rsidTr="00047860">
        <w:tblPrEx>
          <w:tblW w:w="0" w:type="auto"/>
          <w:tblInd w:w="552" w:type="dxa"/>
          <w:tblLayout w:type="fixed"/>
          <w:tblCellMar>
            <w:left w:w="0" w:type="dxa"/>
            <w:right w:w="0" w:type="dxa"/>
          </w:tblCellMar>
          <w:tblLook w:val="01E0"/>
        </w:tblPrEx>
        <w:trPr>
          <w:trHeight w:val="234"/>
        </w:trPr>
        <w:tc>
          <w:tcPr>
            <w:tcW w:w="3894" w:type="dxa"/>
            <w:gridSpan w:val="2"/>
          </w:tcPr>
          <w:p w:rsidR="003F5784" w14:paraId="350DFF0E" w14:textId="77777777">
            <w:pPr>
              <w:pStyle w:val="TableParagraph"/>
              <w:spacing w:before="0" w:line="215" w:lineRule="exact"/>
              <w:ind w:right="133"/>
              <w:rPr>
                <w:sz w:val="21"/>
              </w:rPr>
            </w:pPr>
            <w:r>
              <w:rPr>
                <w:spacing w:val="-2"/>
                <w:sz w:val="21"/>
              </w:rPr>
              <w:t>sample,</w:t>
            </w:r>
          </w:p>
        </w:tc>
        <w:tc>
          <w:tcPr>
            <w:tcW w:w="1518" w:type="dxa"/>
            <w:gridSpan w:val="2"/>
          </w:tcPr>
          <w:p w:rsidR="003F5784" w14:paraId="74FE8583" w14:textId="77777777">
            <w:pPr>
              <w:pStyle w:val="TableParagraph"/>
              <w:spacing w:before="0" w:line="215" w:lineRule="exact"/>
              <w:ind w:right="133"/>
              <w:rPr>
                <w:sz w:val="21"/>
              </w:rPr>
            </w:pPr>
            <w:r>
              <w:rPr>
                <w:sz w:val="21"/>
              </w:rPr>
              <w:t>weight</w:t>
            </w:r>
            <w:r>
              <w:rPr>
                <w:spacing w:val="-7"/>
                <w:sz w:val="21"/>
              </w:rPr>
              <w:t xml:space="preserve"> </w:t>
            </w:r>
            <w:r>
              <w:rPr>
                <w:spacing w:val="-5"/>
                <w:sz w:val="21"/>
              </w:rPr>
              <w:t>and</w:t>
            </w:r>
          </w:p>
        </w:tc>
        <w:tc>
          <w:tcPr>
            <w:tcW w:w="1419" w:type="dxa"/>
            <w:gridSpan w:val="2"/>
          </w:tcPr>
          <w:p w:rsidR="003F5784" w14:paraId="6354F317" w14:textId="77777777">
            <w:pPr>
              <w:pStyle w:val="TableParagraph"/>
              <w:spacing w:before="0" w:line="215" w:lineRule="exact"/>
              <w:ind w:right="164"/>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093" w:type="dxa"/>
            <w:gridSpan w:val="3"/>
          </w:tcPr>
          <w:p w:rsidR="003F5784" w14:paraId="4CFEA6FA" w14:textId="77777777">
            <w:pPr>
              <w:pStyle w:val="TableParagraph"/>
              <w:spacing w:before="0" w:line="215" w:lineRule="exact"/>
              <w:ind w:right="221"/>
              <w:rPr>
                <w:sz w:val="21"/>
              </w:rPr>
            </w:pPr>
            <w:r>
              <w:rPr>
                <w:spacing w:val="-2"/>
                <w:sz w:val="21"/>
              </w:rPr>
              <w:t>sampled,</w:t>
            </w:r>
          </w:p>
        </w:tc>
        <w:tc>
          <w:tcPr>
            <w:tcW w:w="863" w:type="dxa"/>
          </w:tcPr>
          <w:p w:rsidR="003F5784" w14:paraId="605894B1" w14:textId="77777777">
            <w:pPr>
              <w:pStyle w:val="TableParagraph"/>
              <w:spacing w:before="0" w:line="215" w:lineRule="exact"/>
              <w:ind w:right="130"/>
              <w:rPr>
                <w:sz w:val="21"/>
              </w:rPr>
            </w:pPr>
            <w:r>
              <w:rPr>
                <w:spacing w:val="-2"/>
                <w:sz w:val="21"/>
              </w:rPr>
              <w:t>students</w:t>
            </w:r>
          </w:p>
        </w:tc>
        <w:tc>
          <w:tcPr>
            <w:tcW w:w="1270" w:type="dxa"/>
            <w:gridSpan w:val="3"/>
          </w:tcPr>
          <w:p w:rsidR="003F5784" w14:paraId="414D3C44" w14:textId="77777777">
            <w:pPr>
              <w:pStyle w:val="TableParagraph"/>
              <w:spacing w:before="0" w:line="215" w:lineRule="exact"/>
              <w:ind w:right="147"/>
              <w:rPr>
                <w:sz w:val="21"/>
              </w:rPr>
            </w:pPr>
            <w:r>
              <w:rPr>
                <w:sz w:val="21"/>
              </w:rPr>
              <w:t>rates</w:t>
            </w:r>
            <w:r>
              <w:rPr>
                <w:spacing w:val="-5"/>
                <w:sz w:val="21"/>
              </w:rPr>
              <w:t xml:space="preserve"> </w:t>
            </w:r>
            <w:r>
              <w:rPr>
                <w:spacing w:val="-2"/>
                <w:sz w:val="21"/>
              </w:rPr>
              <w:t>(percent)</w:t>
            </w:r>
          </w:p>
        </w:tc>
        <w:tc>
          <w:tcPr>
            <w:tcW w:w="1002" w:type="dxa"/>
          </w:tcPr>
          <w:p w:rsidR="003F5784" w14:paraId="4B0DE11B" w14:textId="77777777">
            <w:pPr>
              <w:pStyle w:val="TableParagraph"/>
              <w:spacing w:before="0" w:line="215" w:lineRule="exact"/>
              <w:ind w:right="43"/>
              <w:rPr>
                <w:sz w:val="21"/>
              </w:rPr>
            </w:pPr>
            <w:r>
              <w:rPr>
                <w:sz w:val="21"/>
              </w:rPr>
              <w:t>of</w:t>
            </w:r>
            <w:r>
              <w:rPr>
                <w:spacing w:val="-3"/>
                <w:sz w:val="21"/>
              </w:rPr>
              <w:t xml:space="preserve"> </w:t>
            </w:r>
            <w:r>
              <w:rPr>
                <w:spacing w:val="-2"/>
                <w:sz w:val="21"/>
              </w:rPr>
              <w:t>students</w:t>
            </w:r>
          </w:p>
        </w:tc>
      </w:tr>
      <w:tr w14:paraId="4AD57558" w14:textId="77777777" w:rsidTr="00047860">
        <w:tblPrEx>
          <w:tblW w:w="0" w:type="auto"/>
          <w:tblInd w:w="552" w:type="dxa"/>
          <w:tblLayout w:type="fixed"/>
          <w:tblCellMar>
            <w:left w:w="0" w:type="dxa"/>
            <w:right w:w="0" w:type="dxa"/>
          </w:tblCellMar>
          <w:tblLook w:val="01E0"/>
        </w:tblPrEx>
        <w:trPr>
          <w:trHeight w:val="232"/>
        </w:trPr>
        <w:tc>
          <w:tcPr>
            <w:tcW w:w="3894" w:type="dxa"/>
            <w:gridSpan w:val="2"/>
          </w:tcPr>
          <w:p w:rsidR="003F5784" w14:paraId="0093F199" w14:textId="77777777">
            <w:pPr>
              <w:pStyle w:val="TableParagraph"/>
              <w:tabs>
                <w:tab w:val="left" w:pos="3025"/>
              </w:tabs>
              <w:spacing w:before="0" w:line="213" w:lineRule="exact"/>
              <w:ind w:right="133"/>
              <w:rPr>
                <w:sz w:val="21"/>
              </w:rPr>
            </w:pPr>
            <w:r>
              <w:rPr>
                <w:sz w:val="21"/>
              </w:rPr>
              <w:t>School</w:t>
            </w:r>
            <w:r>
              <w:rPr>
                <w:spacing w:val="-6"/>
                <w:sz w:val="21"/>
              </w:rPr>
              <w:t xml:space="preserve"> </w:t>
            </w:r>
            <w:r>
              <w:rPr>
                <w:sz w:val="21"/>
              </w:rPr>
              <w:t>type</w:t>
            </w:r>
            <w:r>
              <w:rPr>
                <w:spacing w:val="-5"/>
                <w:sz w:val="21"/>
              </w:rPr>
              <w:t xml:space="preserve"> </w:t>
            </w:r>
            <w:r>
              <w:rPr>
                <w:sz w:val="21"/>
              </w:rPr>
              <w:t>and</w:t>
            </w:r>
            <w:r>
              <w:rPr>
                <w:spacing w:val="-5"/>
                <w:sz w:val="21"/>
              </w:rPr>
              <w:t xml:space="preserve"> </w:t>
            </w:r>
            <w:r>
              <w:rPr>
                <w:spacing w:val="-2"/>
                <w:sz w:val="21"/>
              </w:rPr>
              <w:t>jurisdiction</w:t>
            </w:r>
            <w:r>
              <w:rPr>
                <w:sz w:val="21"/>
              </w:rPr>
              <w:tab/>
            </w:r>
            <w:r>
              <w:rPr>
                <w:spacing w:val="-2"/>
                <w:sz w:val="21"/>
              </w:rPr>
              <w:t>rounded</w:t>
            </w:r>
          </w:p>
        </w:tc>
        <w:tc>
          <w:tcPr>
            <w:tcW w:w="1518" w:type="dxa"/>
            <w:gridSpan w:val="2"/>
          </w:tcPr>
          <w:p w:rsidR="003F5784" w14:paraId="46A8310E" w14:textId="77777777">
            <w:pPr>
              <w:pStyle w:val="TableParagraph"/>
              <w:spacing w:before="0" w:line="213" w:lineRule="exact"/>
              <w:ind w:right="133"/>
              <w:rPr>
                <w:sz w:val="21"/>
              </w:rPr>
            </w:pPr>
            <w:r>
              <w:rPr>
                <w:spacing w:val="-2"/>
                <w:sz w:val="21"/>
              </w:rPr>
              <w:t>enrollment)</w:t>
            </w:r>
          </w:p>
        </w:tc>
        <w:tc>
          <w:tcPr>
            <w:tcW w:w="1419" w:type="dxa"/>
            <w:gridSpan w:val="2"/>
          </w:tcPr>
          <w:p w:rsidR="003F5784" w14:paraId="3D6EC1F3" w14:textId="77777777">
            <w:pPr>
              <w:pStyle w:val="TableParagraph"/>
              <w:spacing w:before="0" w:line="213" w:lineRule="exact"/>
              <w:ind w:right="164"/>
              <w:rPr>
                <w:sz w:val="21"/>
              </w:rPr>
            </w:pPr>
            <w:r>
              <w:rPr>
                <w:sz w:val="21"/>
              </w:rPr>
              <w:t>weight</w:t>
            </w:r>
            <w:r>
              <w:rPr>
                <w:spacing w:val="-7"/>
                <w:sz w:val="21"/>
              </w:rPr>
              <w:t xml:space="preserve"> </w:t>
            </w:r>
            <w:r>
              <w:rPr>
                <w:spacing w:val="-2"/>
                <w:sz w:val="21"/>
              </w:rPr>
              <w:t>only)</w:t>
            </w:r>
          </w:p>
        </w:tc>
        <w:tc>
          <w:tcPr>
            <w:tcW w:w="1093" w:type="dxa"/>
            <w:gridSpan w:val="3"/>
          </w:tcPr>
          <w:p w:rsidR="003F5784" w14:paraId="5D1360BE" w14:textId="77777777">
            <w:pPr>
              <w:pStyle w:val="TableParagraph"/>
              <w:spacing w:before="0" w:line="213" w:lineRule="exact"/>
              <w:ind w:right="221"/>
              <w:rPr>
                <w:sz w:val="21"/>
              </w:rPr>
            </w:pPr>
            <w:r>
              <w:rPr>
                <w:spacing w:val="-2"/>
                <w:sz w:val="21"/>
              </w:rPr>
              <w:t>rounded</w:t>
            </w:r>
          </w:p>
        </w:tc>
        <w:tc>
          <w:tcPr>
            <w:tcW w:w="863" w:type="dxa"/>
          </w:tcPr>
          <w:p w:rsidR="003F5784" w14:paraId="4B732E37" w14:textId="77777777">
            <w:pPr>
              <w:pStyle w:val="TableParagraph"/>
              <w:spacing w:before="0" w:line="213" w:lineRule="exact"/>
              <w:ind w:right="130"/>
              <w:rPr>
                <w:sz w:val="21"/>
              </w:rPr>
            </w:pPr>
            <w:r>
              <w:rPr>
                <w:spacing w:val="-2"/>
                <w:sz w:val="21"/>
              </w:rPr>
              <w:t>excluded</w:t>
            </w:r>
          </w:p>
        </w:tc>
        <w:tc>
          <w:tcPr>
            <w:tcW w:w="1270" w:type="dxa"/>
            <w:gridSpan w:val="3"/>
          </w:tcPr>
          <w:p w:rsidR="003F5784" w14:paraId="1CC0E1FA" w14:textId="77777777">
            <w:pPr>
              <w:pStyle w:val="TableParagraph"/>
              <w:spacing w:before="0" w:line="213" w:lineRule="exact"/>
              <w:ind w:right="147"/>
              <w:rPr>
                <w:sz w:val="21"/>
              </w:rPr>
            </w:pPr>
            <w:r>
              <w:rPr>
                <w:sz w:val="21"/>
              </w:rPr>
              <w:t>after</w:t>
            </w:r>
            <w:r>
              <w:rPr>
                <w:spacing w:val="-5"/>
                <w:sz w:val="21"/>
              </w:rPr>
              <w:t xml:space="preserve"> </w:t>
            </w:r>
            <w:r>
              <w:rPr>
                <w:spacing w:val="-2"/>
                <w:sz w:val="21"/>
              </w:rPr>
              <w:t>makeups</w:t>
            </w:r>
          </w:p>
        </w:tc>
        <w:tc>
          <w:tcPr>
            <w:tcW w:w="1002" w:type="dxa"/>
          </w:tcPr>
          <w:p w:rsidR="003F5784" w14:paraId="2EAA002C" w14:textId="77777777">
            <w:pPr>
              <w:pStyle w:val="TableParagraph"/>
              <w:spacing w:before="0" w:line="213" w:lineRule="exact"/>
              <w:ind w:right="43"/>
              <w:rPr>
                <w:sz w:val="21"/>
              </w:rPr>
            </w:pPr>
            <w:r>
              <w:rPr>
                <w:spacing w:val="-2"/>
                <w:sz w:val="21"/>
              </w:rPr>
              <w:t>accommodated</w:t>
            </w:r>
          </w:p>
        </w:tc>
      </w:tr>
      <w:tr w14:paraId="0EFDFDF5" w14:textId="77777777" w:rsidTr="00047860">
        <w:tblPrEx>
          <w:tblW w:w="0" w:type="auto"/>
          <w:tblInd w:w="552" w:type="dxa"/>
          <w:tblLayout w:type="fixed"/>
          <w:tblCellMar>
            <w:left w:w="0" w:type="dxa"/>
            <w:right w:w="0" w:type="dxa"/>
          </w:tblCellMar>
          <w:tblLook w:val="01E0"/>
        </w:tblPrEx>
        <w:trPr>
          <w:trHeight w:val="278"/>
        </w:trPr>
        <w:tc>
          <w:tcPr>
            <w:tcW w:w="2499" w:type="dxa"/>
            <w:tcBorders>
              <w:top w:val="single" w:sz="18" w:space="0" w:color="800000"/>
            </w:tcBorders>
          </w:tcPr>
          <w:p w:rsidR="003F5784" w14:paraId="7A03973E" w14:textId="77777777">
            <w:pPr>
              <w:pStyle w:val="TableParagraph"/>
              <w:spacing w:before="9"/>
              <w:ind w:left="120"/>
              <w:jc w:val="left"/>
              <w:rPr>
                <w:sz w:val="21"/>
              </w:rPr>
            </w:pPr>
            <w:r>
              <w:rPr>
                <w:spacing w:val="-2"/>
                <w:sz w:val="21"/>
              </w:rPr>
              <w:t>Massachusetts</w:t>
            </w:r>
          </w:p>
        </w:tc>
        <w:tc>
          <w:tcPr>
            <w:tcW w:w="1539" w:type="dxa"/>
            <w:gridSpan w:val="2"/>
            <w:tcBorders>
              <w:top w:val="single" w:sz="18" w:space="0" w:color="800000"/>
            </w:tcBorders>
          </w:tcPr>
          <w:p w:rsidR="003F5784" w14:paraId="76CE2366" w14:textId="77777777">
            <w:pPr>
              <w:pStyle w:val="TableParagraph"/>
              <w:spacing w:before="9"/>
              <w:ind w:right="738"/>
              <w:rPr>
                <w:sz w:val="21"/>
              </w:rPr>
            </w:pPr>
            <w:r>
              <w:rPr>
                <w:spacing w:val="-5"/>
                <w:sz w:val="21"/>
              </w:rPr>
              <w:t>130</w:t>
            </w:r>
          </w:p>
        </w:tc>
        <w:tc>
          <w:tcPr>
            <w:tcW w:w="1440" w:type="dxa"/>
            <w:gridSpan w:val="2"/>
            <w:tcBorders>
              <w:top w:val="single" w:sz="18" w:space="0" w:color="800000"/>
            </w:tcBorders>
          </w:tcPr>
          <w:p w:rsidR="003F5784" w14:paraId="5D310640" w14:textId="77777777">
            <w:pPr>
              <w:pStyle w:val="TableParagraph"/>
              <w:spacing w:before="9"/>
              <w:ind w:left="159" w:right="112"/>
              <w:jc w:val="center"/>
              <w:rPr>
                <w:sz w:val="21"/>
              </w:rPr>
            </w:pPr>
            <w:r>
              <w:rPr>
                <w:spacing w:val="-2"/>
                <w:sz w:val="21"/>
              </w:rPr>
              <w:t>100.00</w:t>
            </w:r>
          </w:p>
        </w:tc>
        <w:tc>
          <w:tcPr>
            <w:tcW w:w="1440" w:type="dxa"/>
            <w:gridSpan w:val="2"/>
            <w:tcBorders>
              <w:top w:val="single" w:sz="18" w:space="0" w:color="800000"/>
            </w:tcBorders>
          </w:tcPr>
          <w:p w:rsidR="003F5784" w14:paraId="3CC9AB61" w14:textId="77777777">
            <w:pPr>
              <w:pStyle w:val="TableParagraph"/>
              <w:spacing w:before="9"/>
              <w:ind w:right="386"/>
              <w:rPr>
                <w:sz w:val="21"/>
              </w:rPr>
            </w:pPr>
            <w:r>
              <w:rPr>
                <w:spacing w:val="-2"/>
                <w:sz w:val="21"/>
              </w:rPr>
              <w:t>100.00</w:t>
            </w:r>
          </w:p>
        </w:tc>
        <w:tc>
          <w:tcPr>
            <w:tcW w:w="990" w:type="dxa"/>
            <w:tcBorders>
              <w:top w:val="single" w:sz="18" w:space="0" w:color="800000"/>
            </w:tcBorders>
          </w:tcPr>
          <w:p w:rsidR="003F5784" w14:paraId="1FC071D2" w14:textId="77777777">
            <w:pPr>
              <w:pStyle w:val="TableParagraph"/>
              <w:spacing w:before="9"/>
              <w:ind w:left="387"/>
              <w:jc w:val="left"/>
              <w:rPr>
                <w:sz w:val="21"/>
              </w:rPr>
            </w:pPr>
            <w:r>
              <w:rPr>
                <w:spacing w:val="-2"/>
                <w:sz w:val="21"/>
              </w:rPr>
              <w:t>3,000</w:t>
            </w:r>
          </w:p>
        </w:tc>
        <w:tc>
          <w:tcPr>
            <w:tcW w:w="900" w:type="dxa"/>
            <w:gridSpan w:val="3"/>
            <w:tcBorders>
              <w:top w:val="single" w:sz="18" w:space="0" w:color="800000"/>
            </w:tcBorders>
          </w:tcPr>
          <w:p w:rsidR="003F5784" w14:paraId="34DB4701" w14:textId="77777777">
            <w:pPr>
              <w:pStyle w:val="TableParagraph"/>
              <w:spacing w:before="9"/>
              <w:ind w:left="463"/>
              <w:jc w:val="left"/>
              <w:rPr>
                <w:sz w:val="21"/>
              </w:rPr>
            </w:pPr>
            <w:r>
              <w:rPr>
                <w:spacing w:val="-4"/>
                <w:sz w:val="21"/>
              </w:rPr>
              <w:t>2.80</w:t>
            </w:r>
          </w:p>
        </w:tc>
        <w:tc>
          <w:tcPr>
            <w:tcW w:w="1170" w:type="dxa"/>
            <w:tcBorders>
              <w:top w:val="single" w:sz="18" w:space="0" w:color="800000"/>
            </w:tcBorders>
          </w:tcPr>
          <w:p w:rsidR="003F5784" w14:paraId="5B3FB04D" w14:textId="77777777">
            <w:pPr>
              <w:pStyle w:val="TableParagraph"/>
              <w:spacing w:before="9"/>
              <w:ind w:right="22"/>
              <w:jc w:val="center"/>
              <w:rPr>
                <w:sz w:val="21"/>
              </w:rPr>
            </w:pPr>
            <w:r>
              <w:rPr>
                <w:spacing w:val="-2"/>
                <w:sz w:val="21"/>
              </w:rPr>
              <w:t>88.83</w:t>
            </w:r>
          </w:p>
        </w:tc>
        <w:tc>
          <w:tcPr>
            <w:tcW w:w="1080" w:type="dxa"/>
            <w:gridSpan w:val="2"/>
            <w:tcBorders>
              <w:top w:val="single" w:sz="18" w:space="0" w:color="800000"/>
            </w:tcBorders>
          </w:tcPr>
          <w:p w:rsidR="003F5784" w14:paraId="355B69FE" w14:textId="77777777">
            <w:pPr>
              <w:pStyle w:val="TableParagraph"/>
              <w:spacing w:before="9"/>
              <w:ind w:right="118"/>
              <w:rPr>
                <w:sz w:val="21"/>
              </w:rPr>
            </w:pPr>
            <w:r>
              <w:rPr>
                <w:spacing w:val="-2"/>
                <w:sz w:val="21"/>
              </w:rPr>
              <w:t>16.89</w:t>
            </w:r>
          </w:p>
        </w:tc>
      </w:tr>
      <w:tr w14:paraId="43CA9393"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41045AD3" w14:textId="77777777">
            <w:pPr>
              <w:pStyle w:val="TableParagraph"/>
              <w:ind w:left="120"/>
              <w:jc w:val="left"/>
              <w:rPr>
                <w:sz w:val="21"/>
              </w:rPr>
            </w:pPr>
            <w:r>
              <w:rPr>
                <w:spacing w:val="-2"/>
                <w:sz w:val="21"/>
              </w:rPr>
              <w:t>Michigan</w:t>
            </w:r>
          </w:p>
        </w:tc>
        <w:tc>
          <w:tcPr>
            <w:tcW w:w="1539" w:type="dxa"/>
            <w:gridSpan w:val="2"/>
          </w:tcPr>
          <w:p w:rsidR="003F5784" w14:paraId="5F1D1AAE" w14:textId="77777777">
            <w:pPr>
              <w:pStyle w:val="TableParagraph"/>
              <w:ind w:right="738"/>
              <w:rPr>
                <w:sz w:val="21"/>
              </w:rPr>
            </w:pPr>
            <w:r>
              <w:rPr>
                <w:spacing w:val="-5"/>
                <w:sz w:val="21"/>
              </w:rPr>
              <w:t>130</w:t>
            </w:r>
          </w:p>
        </w:tc>
        <w:tc>
          <w:tcPr>
            <w:tcW w:w="1440" w:type="dxa"/>
            <w:gridSpan w:val="2"/>
          </w:tcPr>
          <w:p w:rsidR="003F5784" w14:paraId="7A9570BB" w14:textId="77777777">
            <w:pPr>
              <w:pStyle w:val="TableParagraph"/>
              <w:ind w:left="159" w:right="112"/>
              <w:jc w:val="center"/>
              <w:rPr>
                <w:sz w:val="21"/>
              </w:rPr>
            </w:pPr>
            <w:r>
              <w:rPr>
                <w:spacing w:val="-2"/>
                <w:sz w:val="21"/>
              </w:rPr>
              <w:t>100.00</w:t>
            </w:r>
          </w:p>
        </w:tc>
        <w:tc>
          <w:tcPr>
            <w:tcW w:w="1440" w:type="dxa"/>
            <w:gridSpan w:val="2"/>
          </w:tcPr>
          <w:p w:rsidR="003F5784" w14:paraId="5212A8DF" w14:textId="77777777">
            <w:pPr>
              <w:pStyle w:val="TableParagraph"/>
              <w:ind w:right="386"/>
              <w:rPr>
                <w:sz w:val="21"/>
              </w:rPr>
            </w:pPr>
            <w:r>
              <w:rPr>
                <w:spacing w:val="-2"/>
                <w:sz w:val="21"/>
              </w:rPr>
              <w:t>100.00</w:t>
            </w:r>
          </w:p>
        </w:tc>
        <w:tc>
          <w:tcPr>
            <w:tcW w:w="990" w:type="dxa"/>
          </w:tcPr>
          <w:p w:rsidR="003F5784" w14:paraId="30E5656E" w14:textId="77777777">
            <w:pPr>
              <w:pStyle w:val="TableParagraph"/>
              <w:ind w:left="387"/>
              <w:jc w:val="left"/>
              <w:rPr>
                <w:sz w:val="21"/>
              </w:rPr>
            </w:pPr>
            <w:r>
              <w:rPr>
                <w:spacing w:val="-2"/>
                <w:sz w:val="21"/>
              </w:rPr>
              <w:t>3,000</w:t>
            </w:r>
          </w:p>
        </w:tc>
        <w:tc>
          <w:tcPr>
            <w:tcW w:w="900" w:type="dxa"/>
            <w:gridSpan w:val="3"/>
          </w:tcPr>
          <w:p w:rsidR="003F5784" w14:paraId="6B70EE72" w14:textId="77777777">
            <w:pPr>
              <w:pStyle w:val="TableParagraph"/>
              <w:ind w:left="463"/>
              <w:jc w:val="left"/>
              <w:rPr>
                <w:sz w:val="21"/>
              </w:rPr>
            </w:pPr>
            <w:r>
              <w:rPr>
                <w:spacing w:val="-4"/>
                <w:sz w:val="21"/>
              </w:rPr>
              <w:t>1.54</w:t>
            </w:r>
          </w:p>
        </w:tc>
        <w:tc>
          <w:tcPr>
            <w:tcW w:w="1170" w:type="dxa"/>
          </w:tcPr>
          <w:p w:rsidR="003F5784" w14:paraId="6678822C" w14:textId="77777777">
            <w:pPr>
              <w:pStyle w:val="TableParagraph"/>
              <w:ind w:right="22"/>
              <w:jc w:val="center"/>
              <w:rPr>
                <w:sz w:val="21"/>
              </w:rPr>
            </w:pPr>
            <w:r>
              <w:rPr>
                <w:spacing w:val="-2"/>
                <w:sz w:val="21"/>
              </w:rPr>
              <w:t>86.24</w:t>
            </w:r>
          </w:p>
        </w:tc>
        <w:tc>
          <w:tcPr>
            <w:tcW w:w="1080" w:type="dxa"/>
            <w:gridSpan w:val="2"/>
          </w:tcPr>
          <w:p w:rsidR="003F5784" w14:paraId="3826CE71" w14:textId="77777777">
            <w:pPr>
              <w:pStyle w:val="TableParagraph"/>
              <w:ind w:right="118"/>
              <w:rPr>
                <w:sz w:val="21"/>
              </w:rPr>
            </w:pPr>
            <w:r>
              <w:rPr>
                <w:spacing w:val="-2"/>
                <w:sz w:val="21"/>
              </w:rPr>
              <w:t>11.11</w:t>
            </w:r>
          </w:p>
        </w:tc>
      </w:tr>
      <w:tr w14:paraId="328BAE38"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4D8C5607" w14:textId="77777777">
            <w:pPr>
              <w:pStyle w:val="TableParagraph"/>
              <w:ind w:left="120"/>
              <w:jc w:val="left"/>
              <w:rPr>
                <w:sz w:val="21"/>
              </w:rPr>
            </w:pPr>
            <w:r>
              <w:rPr>
                <w:spacing w:val="-2"/>
                <w:sz w:val="21"/>
              </w:rPr>
              <w:t>Minnesota</w:t>
            </w:r>
          </w:p>
        </w:tc>
        <w:tc>
          <w:tcPr>
            <w:tcW w:w="1539" w:type="dxa"/>
            <w:gridSpan w:val="2"/>
          </w:tcPr>
          <w:p w:rsidR="003F5784" w14:paraId="1BCD2C67" w14:textId="77777777">
            <w:pPr>
              <w:pStyle w:val="TableParagraph"/>
              <w:ind w:right="738"/>
              <w:rPr>
                <w:sz w:val="21"/>
              </w:rPr>
            </w:pPr>
            <w:r>
              <w:rPr>
                <w:spacing w:val="-5"/>
                <w:sz w:val="21"/>
              </w:rPr>
              <w:t>100</w:t>
            </w:r>
          </w:p>
        </w:tc>
        <w:tc>
          <w:tcPr>
            <w:tcW w:w="1440" w:type="dxa"/>
            <w:gridSpan w:val="2"/>
          </w:tcPr>
          <w:p w:rsidR="003F5784" w14:paraId="292D2770" w14:textId="77777777">
            <w:pPr>
              <w:pStyle w:val="TableParagraph"/>
              <w:ind w:left="159" w:right="8"/>
              <w:jc w:val="center"/>
              <w:rPr>
                <w:sz w:val="21"/>
              </w:rPr>
            </w:pPr>
            <w:r>
              <w:rPr>
                <w:spacing w:val="-2"/>
                <w:sz w:val="21"/>
              </w:rPr>
              <w:t>98.62</w:t>
            </w:r>
          </w:p>
        </w:tc>
        <w:tc>
          <w:tcPr>
            <w:tcW w:w="1440" w:type="dxa"/>
            <w:gridSpan w:val="2"/>
          </w:tcPr>
          <w:p w:rsidR="003F5784" w14:paraId="444EBA1F" w14:textId="77777777">
            <w:pPr>
              <w:pStyle w:val="TableParagraph"/>
              <w:ind w:right="386"/>
              <w:rPr>
                <w:sz w:val="21"/>
              </w:rPr>
            </w:pPr>
            <w:r>
              <w:rPr>
                <w:spacing w:val="-2"/>
                <w:sz w:val="21"/>
              </w:rPr>
              <w:t>99.16</w:t>
            </w:r>
          </w:p>
        </w:tc>
        <w:tc>
          <w:tcPr>
            <w:tcW w:w="990" w:type="dxa"/>
          </w:tcPr>
          <w:p w:rsidR="003F5784" w14:paraId="1B470736" w14:textId="77777777">
            <w:pPr>
              <w:pStyle w:val="TableParagraph"/>
              <w:ind w:left="387"/>
              <w:jc w:val="left"/>
              <w:rPr>
                <w:sz w:val="21"/>
              </w:rPr>
            </w:pPr>
            <w:r>
              <w:rPr>
                <w:spacing w:val="-2"/>
                <w:sz w:val="21"/>
              </w:rPr>
              <w:t>1,900</w:t>
            </w:r>
          </w:p>
        </w:tc>
        <w:tc>
          <w:tcPr>
            <w:tcW w:w="900" w:type="dxa"/>
            <w:gridSpan w:val="3"/>
          </w:tcPr>
          <w:p w:rsidR="003F5784" w14:paraId="0EEC7531" w14:textId="77777777">
            <w:pPr>
              <w:pStyle w:val="TableParagraph"/>
              <w:ind w:left="463"/>
              <w:jc w:val="left"/>
              <w:rPr>
                <w:sz w:val="21"/>
              </w:rPr>
            </w:pPr>
            <w:r>
              <w:rPr>
                <w:spacing w:val="-4"/>
                <w:sz w:val="21"/>
              </w:rPr>
              <w:t>1.95</w:t>
            </w:r>
          </w:p>
        </w:tc>
        <w:tc>
          <w:tcPr>
            <w:tcW w:w="1170" w:type="dxa"/>
          </w:tcPr>
          <w:p w:rsidR="003F5784" w14:paraId="205892B9" w14:textId="77777777">
            <w:pPr>
              <w:pStyle w:val="TableParagraph"/>
              <w:ind w:right="22"/>
              <w:jc w:val="center"/>
              <w:rPr>
                <w:sz w:val="21"/>
              </w:rPr>
            </w:pPr>
            <w:r>
              <w:rPr>
                <w:spacing w:val="-2"/>
                <w:sz w:val="21"/>
              </w:rPr>
              <w:t>84.69</w:t>
            </w:r>
          </w:p>
        </w:tc>
        <w:tc>
          <w:tcPr>
            <w:tcW w:w="1080" w:type="dxa"/>
            <w:gridSpan w:val="2"/>
          </w:tcPr>
          <w:p w:rsidR="003F5784" w14:paraId="01018659" w14:textId="77777777">
            <w:pPr>
              <w:pStyle w:val="TableParagraph"/>
              <w:ind w:right="118"/>
              <w:rPr>
                <w:sz w:val="21"/>
              </w:rPr>
            </w:pPr>
            <w:r>
              <w:rPr>
                <w:spacing w:val="-4"/>
                <w:sz w:val="21"/>
              </w:rPr>
              <w:t>8.52</w:t>
            </w:r>
          </w:p>
        </w:tc>
      </w:tr>
      <w:tr w14:paraId="596BCE24"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33A7626D" w14:textId="77777777">
            <w:pPr>
              <w:pStyle w:val="TableParagraph"/>
              <w:ind w:left="120"/>
              <w:jc w:val="left"/>
              <w:rPr>
                <w:sz w:val="21"/>
              </w:rPr>
            </w:pPr>
            <w:r>
              <w:rPr>
                <w:spacing w:val="-2"/>
                <w:sz w:val="21"/>
              </w:rPr>
              <w:t>Mississippi</w:t>
            </w:r>
          </w:p>
        </w:tc>
        <w:tc>
          <w:tcPr>
            <w:tcW w:w="1539" w:type="dxa"/>
            <w:gridSpan w:val="2"/>
          </w:tcPr>
          <w:p w:rsidR="003F5784" w14:paraId="3777CAE6" w14:textId="77777777">
            <w:pPr>
              <w:pStyle w:val="TableParagraph"/>
              <w:ind w:right="738"/>
              <w:rPr>
                <w:sz w:val="21"/>
              </w:rPr>
            </w:pPr>
            <w:r>
              <w:rPr>
                <w:spacing w:val="-5"/>
                <w:sz w:val="21"/>
              </w:rPr>
              <w:t>90</w:t>
            </w:r>
          </w:p>
        </w:tc>
        <w:tc>
          <w:tcPr>
            <w:tcW w:w="1440" w:type="dxa"/>
            <w:gridSpan w:val="2"/>
          </w:tcPr>
          <w:p w:rsidR="003F5784" w14:paraId="09AFACD7" w14:textId="77777777">
            <w:pPr>
              <w:pStyle w:val="TableParagraph"/>
              <w:ind w:left="159" w:right="112"/>
              <w:jc w:val="center"/>
              <w:rPr>
                <w:sz w:val="21"/>
              </w:rPr>
            </w:pPr>
            <w:r>
              <w:rPr>
                <w:spacing w:val="-2"/>
                <w:sz w:val="21"/>
              </w:rPr>
              <w:t>100.00</w:t>
            </w:r>
          </w:p>
        </w:tc>
        <w:tc>
          <w:tcPr>
            <w:tcW w:w="1440" w:type="dxa"/>
            <w:gridSpan w:val="2"/>
          </w:tcPr>
          <w:p w:rsidR="003F5784" w14:paraId="338676A5" w14:textId="77777777">
            <w:pPr>
              <w:pStyle w:val="TableParagraph"/>
              <w:ind w:right="386"/>
              <w:rPr>
                <w:sz w:val="21"/>
              </w:rPr>
            </w:pPr>
            <w:r>
              <w:rPr>
                <w:spacing w:val="-2"/>
                <w:sz w:val="21"/>
              </w:rPr>
              <w:t>100.00</w:t>
            </w:r>
          </w:p>
        </w:tc>
        <w:tc>
          <w:tcPr>
            <w:tcW w:w="990" w:type="dxa"/>
          </w:tcPr>
          <w:p w:rsidR="003F5784" w14:paraId="488256CE" w14:textId="77777777">
            <w:pPr>
              <w:pStyle w:val="TableParagraph"/>
              <w:ind w:left="387"/>
              <w:jc w:val="left"/>
              <w:rPr>
                <w:sz w:val="21"/>
              </w:rPr>
            </w:pPr>
            <w:r>
              <w:rPr>
                <w:spacing w:val="-2"/>
                <w:sz w:val="21"/>
              </w:rPr>
              <w:t>2,200</w:t>
            </w:r>
          </w:p>
        </w:tc>
        <w:tc>
          <w:tcPr>
            <w:tcW w:w="900" w:type="dxa"/>
            <w:gridSpan w:val="3"/>
          </w:tcPr>
          <w:p w:rsidR="003F5784" w14:paraId="4B4905E3" w14:textId="77777777">
            <w:pPr>
              <w:pStyle w:val="TableParagraph"/>
              <w:ind w:left="463"/>
              <w:jc w:val="left"/>
              <w:rPr>
                <w:sz w:val="21"/>
              </w:rPr>
            </w:pPr>
            <w:r>
              <w:rPr>
                <w:spacing w:val="-4"/>
                <w:sz w:val="21"/>
              </w:rPr>
              <w:t>0.68</w:t>
            </w:r>
          </w:p>
        </w:tc>
        <w:tc>
          <w:tcPr>
            <w:tcW w:w="1170" w:type="dxa"/>
          </w:tcPr>
          <w:p w:rsidR="003F5784" w14:paraId="4B73A244" w14:textId="77777777">
            <w:pPr>
              <w:pStyle w:val="TableParagraph"/>
              <w:ind w:right="22"/>
              <w:jc w:val="center"/>
              <w:rPr>
                <w:sz w:val="21"/>
              </w:rPr>
            </w:pPr>
            <w:r>
              <w:rPr>
                <w:spacing w:val="-2"/>
                <w:sz w:val="21"/>
              </w:rPr>
              <w:t>91.75</w:t>
            </w:r>
          </w:p>
        </w:tc>
        <w:tc>
          <w:tcPr>
            <w:tcW w:w="1080" w:type="dxa"/>
            <w:gridSpan w:val="2"/>
          </w:tcPr>
          <w:p w:rsidR="003F5784" w14:paraId="2E24EB83" w14:textId="77777777">
            <w:pPr>
              <w:pStyle w:val="TableParagraph"/>
              <w:ind w:right="118"/>
              <w:rPr>
                <w:sz w:val="21"/>
              </w:rPr>
            </w:pPr>
            <w:r>
              <w:rPr>
                <w:spacing w:val="-2"/>
                <w:sz w:val="21"/>
              </w:rPr>
              <w:t>12.96</w:t>
            </w:r>
          </w:p>
        </w:tc>
      </w:tr>
      <w:tr w14:paraId="228525CA"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17D014D8" w14:textId="77777777">
            <w:pPr>
              <w:pStyle w:val="TableParagraph"/>
              <w:ind w:left="120"/>
              <w:jc w:val="left"/>
              <w:rPr>
                <w:sz w:val="21"/>
              </w:rPr>
            </w:pPr>
            <w:r>
              <w:rPr>
                <w:spacing w:val="-2"/>
                <w:sz w:val="21"/>
              </w:rPr>
              <w:t>Missouri</w:t>
            </w:r>
          </w:p>
        </w:tc>
        <w:tc>
          <w:tcPr>
            <w:tcW w:w="1539" w:type="dxa"/>
            <w:gridSpan w:val="2"/>
          </w:tcPr>
          <w:p w:rsidR="003F5784" w14:paraId="24BC6D2D" w14:textId="77777777">
            <w:pPr>
              <w:pStyle w:val="TableParagraph"/>
              <w:ind w:right="738"/>
              <w:rPr>
                <w:sz w:val="21"/>
              </w:rPr>
            </w:pPr>
            <w:r>
              <w:rPr>
                <w:spacing w:val="-5"/>
                <w:sz w:val="21"/>
              </w:rPr>
              <w:t>100</w:t>
            </w:r>
          </w:p>
        </w:tc>
        <w:tc>
          <w:tcPr>
            <w:tcW w:w="1440" w:type="dxa"/>
            <w:gridSpan w:val="2"/>
          </w:tcPr>
          <w:p w:rsidR="003F5784" w14:paraId="6BB50E7E" w14:textId="77777777">
            <w:pPr>
              <w:pStyle w:val="TableParagraph"/>
              <w:ind w:left="159" w:right="112"/>
              <w:jc w:val="center"/>
              <w:rPr>
                <w:sz w:val="21"/>
              </w:rPr>
            </w:pPr>
            <w:r>
              <w:rPr>
                <w:spacing w:val="-2"/>
                <w:sz w:val="21"/>
              </w:rPr>
              <w:t>100.00</w:t>
            </w:r>
          </w:p>
        </w:tc>
        <w:tc>
          <w:tcPr>
            <w:tcW w:w="1440" w:type="dxa"/>
            <w:gridSpan w:val="2"/>
          </w:tcPr>
          <w:p w:rsidR="003F5784" w14:paraId="1BF9EBFD" w14:textId="77777777">
            <w:pPr>
              <w:pStyle w:val="TableParagraph"/>
              <w:ind w:right="386"/>
              <w:rPr>
                <w:sz w:val="21"/>
              </w:rPr>
            </w:pPr>
            <w:r>
              <w:rPr>
                <w:spacing w:val="-2"/>
                <w:sz w:val="21"/>
              </w:rPr>
              <w:t>100.00</w:t>
            </w:r>
          </w:p>
        </w:tc>
        <w:tc>
          <w:tcPr>
            <w:tcW w:w="990" w:type="dxa"/>
          </w:tcPr>
          <w:p w:rsidR="003F5784" w14:paraId="5DDF1842" w14:textId="77777777">
            <w:pPr>
              <w:pStyle w:val="TableParagraph"/>
              <w:ind w:left="387"/>
              <w:jc w:val="left"/>
              <w:rPr>
                <w:sz w:val="21"/>
              </w:rPr>
            </w:pPr>
            <w:r>
              <w:rPr>
                <w:spacing w:val="-2"/>
                <w:sz w:val="21"/>
              </w:rPr>
              <w:t>2,200</w:t>
            </w:r>
          </w:p>
        </w:tc>
        <w:tc>
          <w:tcPr>
            <w:tcW w:w="900" w:type="dxa"/>
            <w:gridSpan w:val="3"/>
          </w:tcPr>
          <w:p w:rsidR="003F5784" w14:paraId="52B28387" w14:textId="77777777">
            <w:pPr>
              <w:pStyle w:val="TableParagraph"/>
              <w:ind w:left="463"/>
              <w:jc w:val="left"/>
              <w:rPr>
                <w:sz w:val="21"/>
              </w:rPr>
            </w:pPr>
            <w:r>
              <w:rPr>
                <w:spacing w:val="-4"/>
                <w:sz w:val="21"/>
              </w:rPr>
              <w:t>1.20</w:t>
            </w:r>
          </w:p>
        </w:tc>
        <w:tc>
          <w:tcPr>
            <w:tcW w:w="1170" w:type="dxa"/>
          </w:tcPr>
          <w:p w:rsidR="003F5784" w14:paraId="256CACEF" w14:textId="77777777">
            <w:pPr>
              <w:pStyle w:val="TableParagraph"/>
              <w:ind w:right="22"/>
              <w:jc w:val="center"/>
              <w:rPr>
                <w:sz w:val="21"/>
              </w:rPr>
            </w:pPr>
            <w:r>
              <w:rPr>
                <w:spacing w:val="-2"/>
                <w:sz w:val="21"/>
              </w:rPr>
              <w:t>92.49</w:t>
            </w:r>
          </w:p>
        </w:tc>
        <w:tc>
          <w:tcPr>
            <w:tcW w:w="1080" w:type="dxa"/>
            <w:gridSpan w:val="2"/>
          </w:tcPr>
          <w:p w:rsidR="003F5784" w14:paraId="55330CF6" w14:textId="77777777">
            <w:pPr>
              <w:pStyle w:val="TableParagraph"/>
              <w:ind w:right="118"/>
              <w:rPr>
                <w:sz w:val="21"/>
              </w:rPr>
            </w:pPr>
            <w:r>
              <w:rPr>
                <w:spacing w:val="-2"/>
                <w:sz w:val="21"/>
              </w:rPr>
              <w:t>10.61</w:t>
            </w:r>
          </w:p>
        </w:tc>
      </w:tr>
      <w:tr w14:paraId="58161AD3"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690789DA" w14:textId="77777777">
            <w:pPr>
              <w:pStyle w:val="TableParagraph"/>
              <w:ind w:left="120"/>
              <w:jc w:val="left"/>
              <w:rPr>
                <w:sz w:val="21"/>
              </w:rPr>
            </w:pPr>
            <w:r>
              <w:rPr>
                <w:spacing w:val="-2"/>
                <w:sz w:val="21"/>
              </w:rPr>
              <w:t>Montana</w:t>
            </w:r>
          </w:p>
        </w:tc>
        <w:tc>
          <w:tcPr>
            <w:tcW w:w="1539" w:type="dxa"/>
            <w:gridSpan w:val="2"/>
          </w:tcPr>
          <w:p w:rsidR="003F5784" w14:paraId="6140575F" w14:textId="77777777">
            <w:pPr>
              <w:pStyle w:val="TableParagraph"/>
              <w:ind w:right="738"/>
              <w:rPr>
                <w:sz w:val="21"/>
              </w:rPr>
            </w:pPr>
            <w:r>
              <w:rPr>
                <w:spacing w:val="-5"/>
                <w:sz w:val="21"/>
              </w:rPr>
              <w:t>100</w:t>
            </w:r>
          </w:p>
        </w:tc>
        <w:tc>
          <w:tcPr>
            <w:tcW w:w="1440" w:type="dxa"/>
            <w:gridSpan w:val="2"/>
          </w:tcPr>
          <w:p w:rsidR="003F5784" w14:paraId="7C64B5EB" w14:textId="77777777">
            <w:pPr>
              <w:pStyle w:val="TableParagraph"/>
              <w:ind w:left="159" w:right="8"/>
              <w:jc w:val="center"/>
              <w:rPr>
                <w:sz w:val="21"/>
              </w:rPr>
            </w:pPr>
            <w:r>
              <w:rPr>
                <w:spacing w:val="-2"/>
                <w:sz w:val="21"/>
              </w:rPr>
              <w:t>99.95</w:t>
            </w:r>
          </w:p>
        </w:tc>
        <w:tc>
          <w:tcPr>
            <w:tcW w:w="1440" w:type="dxa"/>
            <w:gridSpan w:val="2"/>
          </w:tcPr>
          <w:p w:rsidR="003F5784" w14:paraId="3EA3F37B" w14:textId="77777777">
            <w:pPr>
              <w:pStyle w:val="TableParagraph"/>
              <w:ind w:right="386"/>
              <w:rPr>
                <w:sz w:val="21"/>
              </w:rPr>
            </w:pPr>
            <w:r>
              <w:rPr>
                <w:spacing w:val="-2"/>
                <w:sz w:val="21"/>
              </w:rPr>
              <w:t>98.06</w:t>
            </w:r>
          </w:p>
        </w:tc>
        <w:tc>
          <w:tcPr>
            <w:tcW w:w="990" w:type="dxa"/>
          </w:tcPr>
          <w:p w:rsidR="003F5784" w14:paraId="32C079F2" w14:textId="77777777">
            <w:pPr>
              <w:pStyle w:val="TableParagraph"/>
              <w:ind w:left="387"/>
              <w:jc w:val="left"/>
              <w:rPr>
                <w:sz w:val="21"/>
              </w:rPr>
            </w:pPr>
            <w:r>
              <w:rPr>
                <w:spacing w:val="-2"/>
                <w:sz w:val="21"/>
              </w:rPr>
              <w:t>2,100</w:t>
            </w:r>
          </w:p>
        </w:tc>
        <w:tc>
          <w:tcPr>
            <w:tcW w:w="900" w:type="dxa"/>
            <w:gridSpan w:val="3"/>
          </w:tcPr>
          <w:p w:rsidR="003F5784" w14:paraId="1D12FE9A" w14:textId="77777777">
            <w:pPr>
              <w:pStyle w:val="TableParagraph"/>
              <w:ind w:left="463"/>
              <w:jc w:val="left"/>
              <w:rPr>
                <w:sz w:val="21"/>
              </w:rPr>
            </w:pPr>
            <w:r>
              <w:rPr>
                <w:spacing w:val="-4"/>
                <w:sz w:val="21"/>
              </w:rPr>
              <w:t>0.84</w:t>
            </w:r>
          </w:p>
        </w:tc>
        <w:tc>
          <w:tcPr>
            <w:tcW w:w="1170" w:type="dxa"/>
          </w:tcPr>
          <w:p w:rsidR="003F5784" w14:paraId="7CBE0A92" w14:textId="77777777">
            <w:pPr>
              <w:pStyle w:val="TableParagraph"/>
              <w:ind w:right="22"/>
              <w:jc w:val="center"/>
              <w:rPr>
                <w:sz w:val="21"/>
              </w:rPr>
            </w:pPr>
            <w:r>
              <w:rPr>
                <w:spacing w:val="-2"/>
                <w:sz w:val="21"/>
              </w:rPr>
              <w:t>87.24</w:t>
            </w:r>
          </w:p>
        </w:tc>
        <w:tc>
          <w:tcPr>
            <w:tcW w:w="1080" w:type="dxa"/>
            <w:gridSpan w:val="2"/>
          </w:tcPr>
          <w:p w:rsidR="003F5784" w14:paraId="21A87ED3" w14:textId="77777777">
            <w:pPr>
              <w:pStyle w:val="TableParagraph"/>
              <w:ind w:right="118"/>
              <w:rPr>
                <w:sz w:val="21"/>
              </w:rPr>
            </w:pPr>
            <w:r>
              <w:rPr>
                <w:spacing w:val="-2"/>
                <w:sz w:val="21"/>
              </w:rPr>
              <w:t>11.73</w:t>
            </w:r>
          </w:p>
        </w:tc>
      </w:tr>
      <w:tr w14:paraId="554F75E7"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630FF701" w14:textId="77777777">
            <w:pPr>
              <w:pStyle w:val="TableParagraph"/>
              <w:ind w:left="120"/>
              <w:jc w:val="left"/>
              <w:rPr>
                <w:sz w:val="21"/>
              </w:rPr>
            </w:pPr>
            <w:r>
              <w:rPr>
                <w:spacing w:val="-2"/>
                <w:sz w:val="21"/>
              </w:rPr>
              <w:t>Nebraska</w:t>
            </w:r>
          </w:p>
        </w:tc>
        <w:tc>
          <w:tcPr>
            <w:tcW w:w="1539" w:type="dxa"/>
            <w:gridSpan w:val="2"/>
          </w:tcPr>
          <w:p w:rsidR="003F5784" w14:paraId="7683BFD8" w14:textId="77777777">
            <w:pPr>
              <w:pStyle w:val="TableParagraph"/>
              <w:ind w:right="738"/>
              <w:rPr>
                <w:sz w:val="21"/>
              </w:rPr>
            </w:pPr>
            <w:r>
              <w:rPr>
                <w:spacing w:val="-5"/>
                <w:sz w:val="21"/>
              </w:rPr>
              <w:t>100</w:t>
            </w:r>
          </w:p>
        </w:tc>
        <w:tc>
          <w:tcPr>
            <w:tcW w:w="1440" w:type="dxa"/>
            <w:gridSpan w:val="2"/>
          </w:tcPr>
          <w:p w:rsidR="003F5784" w14:paraId="3763C38C" w14:textId="77777777">
            <w:pPr>
              <w:pStyle w:val="TableParagraph"/>
              <w:ind w:left="159" w:right="112"/>
              <w:jc w:val="center"/>
              <w:rPr>
                <w:sz w:val="21"/>
              </w:rPr>
            </w:pPr>
            <w:r>
              <w:rPr>
                <w:spacing w:val="-2"/>
                <w:sz w:val="21"/>
              </w:rPr>
              <w:t>100.00</w:t>
            </w:r>
          </w:p>
        </w:tc>
        <w:tc>
          <w:tcPr>
            <w:tcW w:w="1440" w:type="dxa"/>
            <w:gridSpan w:val="2"/>
          </w:tcPr>
          <w:p w:rsidR="003F5784" w14:paraId="095191ED" w14:textId="77777777">
            <w:pPr>
              <w:pStyle w:val="TableParagraph"/>
              <w:ind w:right="386"/>
              <w:rPr>
                <w:sz w:val="21"/>
              </w:rPr>
            </w:pPr>
            <w:r>
              <w:rPr>
                <w:spacing w:val="-2"/>
                <w:sz w:val="21"/>
              </w:rPr>
              <w:t>100.00</w:t>
            </w:r>
          </w:p>
        </w:tc>
        <w:tc>
          <w:tcPr>
            <w:tcW w:w="990" w:type="dxa"/>
          </w:tcPr>
          <w:p w:rsidR="003F5784" w14:paraId="1957F031" w14:textId="77777777">
            <w:pPr>
              <w:pStyle w:val="TableParagraph"/>
              <w:ind w:left="387"/>
              <w:jc w:val="left"/>
              <w:rPr>
                <w:sz w:val="21"/>
              </w:rPr>
            </w:pPr>
            <w:r>
              <w:rPr>
                <w:spacing w:val="-2"/>
                <w:sz w:val="21"/>
              </w:rPr>
              <w:t>2,200</w:t>
            </w:r>
          </w:p>
        </w:tc>
        <w:tc>
          <w:tcPr>
            <w:tcW w:w="900" w:type="dxa"/>
            <w:gridSpan w:val="3"/>
          </w:tcPr>
          <w:p w:rsidR="003F5784" w14:paraId="5DA63907" w14:textId="77777777">
            <w:pPr>
              <w:pStyle w:val="TableParagraph"/>
              <w:ind w:left="463"/>
              <w:jc w:val="left"/>
              <w:rPr>
                <w:sz w:val="21"/>
              </w:rPr>
            </w:pPr>
            <w:r>
              <w:rPr>
                <w:spacing w:val="-4"/>
                <w:sz w:val="21"/>
              </w:rPr>
              <w:t>1.43</w:t>
            </w:r>
          </w:p>
        </w:tc>
        <w:tc>
          <w:tcPr>
            <w:tcW w:w="1170" w:type="dxa"/>
          </w:tcPr>
          <w:p w:rsidR="003F5784" w14:paraId="4CE6A858" w14:textId="77777777">
            <w:pPr>
              <w:pStyle w:val="TableParagraph"/>
              <w:ind w:right="22"/>
              <w:jc w:val="center"/>
              <w:rPr>
                <w:sz w:val="21"/>
              </w:rPr>
            </w:pPr>
            <w:r>
              <w:rPr>
                <w:spacing w:val="-2"/>
                <w:sz w:val="21"/>
              </w:rPr>
              <w:t>92.69</w:t>
            </w:r>
          </w:p>
        </w:tc>
        <w:tc>
          <w:tcPr>
            <w:tcW w:w="1080" w:type="dxa"/>
            <w:gridSpan w:val="2"/>
          </w:tcPr>
          <w:p w:rsidR="003F5784" w14:paraId="47D519E6" w14:textId="77777777">
            <w:pPr>
              <w:pStyle w:val="TableParagraph"/>
              <w:ind w:right="118"/>
              <w:rPr>
                <w:sz w:val="21"/>
              </w:rPr>
            </w:pPr>
            <w:r>
              <w:rPr>
                <w:spacing w:val="-2"/>
                <w:sz w:val="21"/>
              </w:rPr>
              <w:t>11.41</w:t>
            </w:r>
          </w:p>
        </w:tc>
      </w:tr>
      <w:tr w14:paraId="5F2D4F33"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646B0797" w14:textId="77777777">
            <w:pPr>
              <w:pStyle w:val="TableParagraph"/>
              <w:ind w:left="120"/>
              <w:jc w:val="left"/>
              <w:rPr>
                <w:sz w:val="21"/>
              </w:rPr>
            </w:pPr>
            <w:r>
              <w:rPr>
                <w:spacing w:val="-2"/>
                <w:sz w:val="21"/>
              </w:rPr>
              <w:t>Nevada</w:t>
            </w:r>
          </w:p>
        </w:tc>
        <w:tc>
          <w:tcPr>
            <w:tcW w:w="1539" w:type="dxa"/>
            <w:gridSpan w:val="2"/>
          </w:tcPr>
          <w:p w:rsidR="003F5784" w14:paraId="790F228A" w14:textId="77777777">
            <w:pPr>
              <w:pStyle w:val="TableParagraph"/>
              <w:ind w:right="738"/>
              <w:rPr>
                <w:sz w:val="21"/>
              </w:rPr>
            </w:pPr>
            <w:r>
              <w:rPr>
                <w:spacing w:val="-5"/>
                <w:sz w:val="21"/>
              </w:rPr>
              <w:t>90</w:t>
            </w:r>
          </w:p>
        </w:tc>
        <w:tc>
          <w:tcPr>
            <w:tcW w:w="1440" w:type="dxa"/>
            <w:gridSpan w:val="2"/>
          </w:tcPr>
          <w:p w:rsidR="003F5784" w14:paraId="54ACFD8B" w14:textId="77777777">
            <w:pPr>
              <w:pStyle w:val="TableParagraph"/>
              <w:ind w:left="159" w:right="112"/>
              <w:jc w:val="center"/>
              <w:rPr>
                <w:sz w:val="21"/>
              </w:rPr>
            </w:pPr>
            <w:r>
              <w:rPr>
                <w:spacing w:val="-2"/>
                <w:sz w:val="21"/>
              </w:rPr>
              <w:t>100.00</w:t>
            </w:r>
          </w:p>
        </w:tc>
        <w:tc>
          <w:tcPr>
            <w:tcW w:w="1440" w:type="dxa"/>
            <w:gridSpan w:val="2"/>
          </w:tcPr>
          <w:p w:rsidR="003F5784" w14:paraId="0B87AF9E" w14:textId="77777777">
            <w:pPr>
              <w:pStyle w:val="TableParagraph"/>
              <w:ind w:right="386"/>
              <w:rPr>
                <w:sz w:val="21"/>
              </w:rPr>
            </w:pPr>
            <w:r>
              <w:rPr>
                <w:spacing w:val="-2"/>
                <w:sz w:val="21"/>
              </w:rPr>
              <w:t>100.00</w:t>
            </w:r>
          </w:p>
        </w:tc>
        <w:tc>
          <w:tcPr>
            <w:tcW w:w="990" w:type="dxa"/>
          </w:tcPr>
          <w:p w:rsidR="003F5784" w14:paraId="6F68E603" w14:textId="77777777">
            <w:pPr>
              <w:pStyle w:val="TableParagraph"/>
              <w:ind w:left="387"/>
              <w:jc w:val="left"/>
              <w:rPr>
                <w:sz w:val="21"/>
              </w:rPr>
            </w:pPr>
            <w:r>
              <w:rPr>
                <w:spacing w:val="-2"/>
                <w:sz w:val="21"/>
              </w:rPr>
              <w:t>2,400</w:t>
            </w:r>
          </w:p>
        </w:tc>
        <w:tc>
          <w:tcPr>
            <w:tcW w:w="900" w:type="dxa"/>
            <w:gridSpan w:val="3"/>
          </w:tcPr>
          <w:p w:rsidR="003F5784" w14:paraId="264CE1F9" w14:textId="77777777">
            <w:pPr>
              <w:pStyle w:val="TableParagraph"/>
              <w:ind w:left="463"/>
              <w:jc w:val="left"/>
              <w:rPr>
                <w:sz w:val="21"/>
              </w:rPr>
            </w:pPr>
            <w:r>
              <w:rPr>
                <w:spacing w:val="-4"/>
                <w:sz w:val="21"/>
              </w:rPr>
              <w:t>1.13</w:t>
            </w:r>
          </w:p>
        </w:tc>
        <w:tc>
          <w:tcPr>
            <w:tcW w:w="1170" w:type="dxa"/>
          </w:tcPr>
          <w:p w:rsidR="003F5784" w14:paraId="6E85E20C" w14:textId="77777777">
            <w:pPr>
              <w:pStyle w:val="TableParagraph"/>
              <w:ind w:right="22"/>
              <w:jc w:val="center"/>
              <w:rPr>
                <w:sz w:val="21"/>
              </w:rPr>
            </w:pPr>
            <w:r>
              <w:rPr>
                <w:spacing w:val="-2"/>
                <w:sz w:val="21"/>
              </w:rPr>
              <w:t>88.06</w:t>
            </w:r>
          </w:p>
        </w:tc>
        <w:tc>
          <w:tcPr>
            <w:tcW w:w="1080" w:type="dxa"/>
            <w:gridSpan w:val="2"/>
          </w:tcPr>
          <w:p w:rsidR="003F5784" w14:paraId="213DE956" w14:textId="77777777">
            <w:pPr>
              <w:pStyle w:val="TableParagraph"/>
              <w:ind w:right="118"/>
              <w:rPr>
                <w:sz w:val="21"/>
              </w:rPr>
            </w:pPr>
            <w:r>
              <w:rPr>
                <w:spacing w:val="-4"/>
                <w:sz w:val="21"/>
              </w:rPr>
              <w:t>5.09</w:t>
            </w:r>
          </w:p>
        </w:tc>
      </w:tr>
      <w:tr w14:paraId="40CD6920"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684431E4" w14:textId="77777777">
            <w:pPr>
              <w:pStyle w:val="TableParagraph"/>
              <w:ind w:left="120"/>
              <w:jc w:val="left"/>
              <w:rPr>
                <w:sz w:val="21"/>
              </w:rPr>
            </w:pPr>
            <w:r>
              <w:rPr>
                <w:sz w:val="21"/>
              </w:rPr>
              <w:t>New</w:t>
            </w:r>
            <w:r>
              <w:rPr>
                <w:spacing w:val="-5"/>
                <w:sz w:val="21"/>
              </w:rPr>
              <w:t xml:space="preserve"> </w:t>
            </w:r>
            <w:r>
              <w:rPr>
                <w:spacing w:val="-2"/>
                <w:sz w:val="21"/>
              </w:rPr>
              <w:t>Hampshire</w:t>
            </w:r>
          </w:p>
        </w:tc>
        <w:tc>
          <w:tcPr>
            <w:tcW w:w="1539" w:type="dxa"/>
            <w:gridSpan w:val="2"/>
          </w:tcPr>
          <w:p w:rsidR="003F5784" w14:paraId="1B3AD3EB" w14:textId="77777777">
            <w:pPr>
              <w:pStyle w:val="TableParagraph"/>
              <w:ind w:right="738"/>
              <w:rPr>
                <w:sz w:val="21"/>
              </w:rPr>
            </w:pPr>
            <w:r>
              <w:rPr>
                <w:spacing w:val="-5"/>
                <w:sz w:val="21"/>
              </w:rPr>
              <w:t>80</w:t>
            </w:r>
          </w:p>
        </w:tc>
        <w:tc>
          <w:tcPr>
            <w:tcW w:w="1440" w:type="dxa"/>
            <w:gridSpan w:val="2"/>
          </w:tcPr>
          <w:p w:rsidR="003F5784" w14:paraId="3AE09AEA" w14:textId="77777777">
            <w:pPr>
              <w:pStyle w:val="TableParagraph"/>
              <w:ind w:left="159" w:right="8"/>
              <w:jc w:val="center"/>
              <w:rPr>
                <w:sz w:val="21"/>
              </w:rPr>
            </w:pPr>
            <w:r>
              <w:rPr>
                <w:spacing w:val="-2"/>
                <w:sz w:val="21"/>
              </w:rPr>
              <w:t>98.97</w:t>
            </w:r>
          </w:p>
        </w:tc>
        <w:tc>
          <w:tcPr>
            <w:tcW w:w="1440" w:type="dxa"/>
            <w:gridSpan w:val="2"/>
          </w:tcPr>
          <w:p w:rsidR="003F5784" w14:paraId="55A3D3DB" w14:textId="77777777">
            <w:pPr>
              <w:pStyle w:val="TableParagraph"/>
              <w:ind w:right="386"/>
              <w:rPr>
                <w:sz w:val="21"/>
              </w:rPr>
            </w:pPr>
            <w:r>
              <w:rPr>
                <w:spacing w:val="-2"/>
                <w:sz w:val="21"/>
              </w:rPr>
              <w:t>98.63</w:t>
            </w:r>
          </w:p>
        </w:tc>
        <w:tc>
          <w:tcPr>
            <w:tcW w:w="990" w:type="dxa"/>
          </w:tcPr>
          <w:p w:rsidR="003F5784" w14:paraId="09035207" w14:textId="77777777">
            <w:pPr>
              <w:pStyle w:val="TableParagraph"/>
              <w:ind w:left="387"/>
              <w:jc w:val="left"/>
              <w:rPr>
                <w:sz w:val="21"/>
              </w:rPr>
            </w:pPr>
            <w:r>
              <w:rPr>
                <w:spacing w:val="-2"/>
                <w:sz w:val="21"/>
              </w:rPr>
              <w:t>2,100</w:t>
            </w:r>
          </w:p>
        </w:tc>
        <w:tc>
          <w:tcPr>
            <w:tcW w:w="900" w:type="dxa"/>
            <w:gridSpan w:val="3"/>
          </w:tcPr>
          <w:p w:rsidR="003F5784" w14:paraId="5F6E855F" w14:textId="77777777">
            <w:pPr>
              <w:pStyle w:val="TableParagraph"/>
              <w:ind w:left="463"/>
              <w:jc w:val="left"/>
              <w:rPr>
                <w:sz w:val="21"/>
              </w:rPr>
            </w:pPr>
            <w:r>
              <w:rPr>
                <w:spacing w:val="-4"/>
                <w:sz w:val="21"/>
              </w:rPr>
              <w:t>1.04</w:t>
            </w:r>
          </w:p>
        </w:tc>
        <w:tc>
          <w:tcPr>
            <w:tcW w:w="1170" w:type="dxa"/>
          </w:tcPr>
          <w:p w:rsidR="003F5784" w14:paraId="2DFF7B82" w14:textId="77777777">
            <w:pPr>
              <w:pStyle w:val="TableParagraph"/>
              <w:ind w:right="22"/>
              <w:jc w:val="center"/>
              <w:rPr>
                <w:sz w:val="21"/>
              </w:rPr>
            </w:pPr>
            <w:r>
              <w:rPr>
                <w:spacing w:val="-2"/>
                <w:sz w:val="21"/>
              </w:rPr>
              <w:t>84.57</w:t>
            </w:r>
          </w:p>
        </w:tc>
        <w:tc>
          <w:tcPr>
            <w:tcW w:w="1080" w:type="dxa"/>
            <w:gridSpan w:val="2"/>
          </w:tcPr>
          <w:p w:rsidR="003F5784" w14:paraId="3D31F694" w14:textId="77777777">
            <w:pPr>
              <w:pStyle w:val="TableParagraph"/>
              <w:ind w:right="118"/>
              <w:rPr>
                <w:sz w:val="21"/>
              </w:rPr>
            </w:pPr>
            <w:r>
              <w:rPr>
                <w:spacing w:val="-2"/>
                <w:sz w:val="21"/>
              </w:rPr>
              <w:t>12.87</w:t>
            </w:r>
          </w:p>
        </w:tc>
      </w:tr>
      <w:tr w14:paraId="3FFF6717"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2346D6E7" w14:textId="77777777">
            <w:pPr>
              <w:pStyle w:val="TableParagraph"/>
              <w:ind w:left="120"/>
              <w:jc w:val="left"/>
              <w:rPr>
                <w:sz w:val="21"/>
              </w:rPr>
            </w:pPr>
            <w:r>
              <w:rPr>
                <w:sz w:val="21"/>
              </w:rPr>
              <w:t>New</w:t>
            </w:r>
            <w:r>
              <w:rPr>
                <w:spacing w:val="-5"/>
                <w:sz w:val="21"/>
              </w:rPr>
              <w:t xml:space="preserve"> </w:t>
            </w:r>
            <w:r>
              <w:rPr>
                <w:spacing w:val="-2"/>
                <w:sz w:val="21"/>
              </w:rPr>
              <w:t>Jersey</w:t>
            </w:r>
          </w:p>
        </w:tc>
        <w:tc>
          <w:tcPr>
            <w:tcW w:w="1539" w:type="dxa"/>
            <w:gridSpan w:val="2"/>
          </w:tcPr>
          <w:p w:rsidR="003F5784" w14:paraId="6FAF336E" w14:textId="77777777">
            <w:pPr>
              <w:pStyle w:val="TableParagraph"/>
              <w:ind w:right="738"/>
              <w:rPr>
                <w:sz w:val="21"/>
              </w:rPr>
            </w:pPr>
            <w:r>
              <w:rPr>
                <w:spacing w:val="-5"/>
                <w:sz w:val="21"/>
              </w:rPr>
              <w:t>90</w:t>
            </w:r>
          </w:p>
        </w:tc>
        <w:tc>
          <w:tcPr>
            <w:tcW w:w="1440" w:type="dxa"/>
            <w:gridSpan w:val="2"/>
          </w:tcPr>
          <w:p w:rsidR="003F5784" w14:paraId="2F550929" w14:textId="77777777">
            <w:pPr>
              <w:pStyle w:val="TableParagraph"/>
              <w:ind w:left="159" w:right="8"/>
              <w:jc w:val="center"/>
              <w:rPr>
                <w:sz w:val="21"/>
              </w:rPr>
            </w:pPr>
            <w:r>
              <w:rPr>
                <w:spacing w:val="-2"/>
                <w:sz w:val="21"/>
              </w:rPr>
              <w:t>98.85</w:t>
            </w:r>
          </w:p>
        </w:tc>
        <w:tc>
          <w:tcPr>
            <w:tcW w:w="1440" w:type="dxa"/>
            <w:gridSpan w:val="2"/>
          </w:tcPr>
          <w:p w:rsidR="003F5784" w14:paraId="6C4D29A8" w14:textId="77777777">
            <w:pPr>
              <w:pStyle w:val="TableParagraph"/>
              <w:ind w:right="386"/>
              <w:rPr>
                <w:sz w:val="21"/>
              </w:rPr>
            </w:pPr>
            <w:r>
              <w:rPr>
                <w:spacing w:val="-2"/>
                <w:sz w:val="21"/>
              </w:rPr>
              <w:t>99.47</w:t>
            </w:r>
          </w:p>
        </w:tc>
        <w:tc>
          <w:tcPr>
            <w:tcW w:w="990" w:type="dxa"/>
          </w:tcPr>
          <w:p w:rsidR="003F5784" w14:paraId="674401F9" w14:textId="77777777">
            <w:pPr>
              <w:pStyle w:val="TableParagraph"/>
              <w:ind w:left="387"/>
              <w:jc w:val="left"/>
              <w:rPr>
                <w:sz w:val="21"/>
              </w:rPr>
            </w:pPr>
            <w:r>
              <w:rPr>
                <w:spacing w:val="-2"/>
                <w:sz w:val="21"/>
              </w:rPr>
              <w:t>2,100</w:t>
            </w:r>
          </w:p>
        </w:tc>
        <w:tc>
          <w:tcPr>
            <w:tcW w:w="900" w:type="dxa"/>
            <w:gridSpan w:val="3"/>
          </w:tcPr>
          <w:p w:rsidR="003F5784" w14:paraId="370C95AF" w14:textId="77777777">
            <w:pPr>
              <w:pStyle w:val="TableParagraph"/>
              <w:ind w:left="463"/>
              <w:jc w:val="left"/>
              <w:rPr>
                <w:sz w:val="21"/>
              </w:rPr>
            </w:pPr>
            <w:r>
              <w:rPr>
                <w:spacing w:val="-4"/>
                <w:sz w:val="21"/>
              </w:rPr>
              <w:t>2.24</w:t>
            </w:r>
          </w:p>
        </w:tc>
        <w:tc>
          <w:tcPr>
            <w:tcW w:w="1170" w:type="dxa"/>
          </w:tcPr>
          <w:p w:rsidR="003F5784" w14:paraId="78D72773" w14:textId="77777777">
            <w:pPr>
              <w:pStyle w:val="TableParagraph"/>
              <w:ind w:right="22"/>
              <w:jc w:val="center"/>
              <w:rPr>
                <w:sz w:val="21"/>
              </w:rPr>
            </w:pPr>
            <w:r>
              <w:rPr>
                <w:spacing w:val="-2"/>
                <w:sz w:val="21"/>
              </w:rPr>
              <w:t>89.50</w:t>
            </w:r>
          </w:p>
        </w:tc>
        <w:tc>
          <w:tcPr>
            <w:tcW w:w="1080" w:type="dxa"/>
            <w:gridSpan w:val="2"/>
          </w:tcPr>
          <w:p w:rsidR="003F5784" w14:paraId="71114E8D" w14:textId="77777777">
            <w:pPr>
              <w:pStyle w:val="TableParagraph"/>
              <w:ind w:right="118"/>
              <w:rPr>
                <w:sz w:val="21"/>
              </w:rPr>
            </w:pPr>
            <w:r>
              <w:rPr>
                <w:spacing w:val="-2"/>
                <w:sz w:val="21"/>
              </w:rPr>
              <w:t>19.35</w:t>
            </w:r>
          </w:p>
        </w:tc>
      </w:tr>
      <w:tr w14:paraId="2464230F"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4422BE8A" w14:textId="77777777">
            <w:pPr>
              <w:pStyle w:val="TableParagraph"/>
              <w:ind w:left="120"/>
              <w:jc w:val="left"/>
              <w:rPr>
                <w:sz w:val="21"/>
              </w:rPr>
            </w:pPr>
            <w:r>
              <w:rPr>
                <w:sz w:val="21"/>
              </w:rPr>
              <w:t>New</w:t>
            </w:r>
            <w:r>
              <w:rPr>
                <w:spacing w:val="-5"/>
                <w:sz w:val="21"/>
              </w:rPr>
              <w:t xml:space="preserve"> </w:t>
            </w:r>
            <w:r>
              <w:rPr>
                <w:spacing w:val="-2"/>
                <w:sz w:val="21"/>
              </w:rPr>
              <w:t>Mexico</w:t>
            </w:r>
          </w:p>
        </w:tc>
        <w:tc>
          <w:tcPr>
            <w:tcW w:w="1539" w:type="dxa"/>
            <w:gridSpan w:val="2"/>
          </w:tcPr>
          <w:p w:rsidR="003F5784" w14:paraId="03F47E2A" w14:textId="77777777">
            <w:pPr>
              <w:pStyle w:val="TableParagraph"/>
              <w:ind w:right="738"/>
              <w:rPr>
                <w:sz w:val="21"/>
              </w:rPr>
            </w:pPr>
            <w:r>
              <w:rPr>
                <w:spacing w:val="-5"/>
                <w:sz w:val="21"/>
              </w:rPr>
              <w:t>100</w:t>
            </w:r>
          </w:p>
        </w:tc>
        <w:tc>
          <w:tcPr>
            <w:tcW w:w="1440" w:type="dxa"/>
            <w:gridSpan w:val="2"/>
          </w:tcPr>
          <w:p w:rsidR="003F5784" w14:paraId="5598D66A" w14:textId="77777777">
            <w:pPr>
              <w:pStyle w:val="TableParagraph"/>
              <w:ind w:left="159" w:right="112"/>
              <w:jc w:val="center"/>
              <w:rPr>
                <w:sz w:val="21"/>
              </w:rPr>
            </w:pPr>
            <w:r>
              <w:rPr>
                <w:spacing w:val="-2"/>
                <w:sz w:val="21"/>
              </w:rPr>
              <w:t>100.00</w:t>
            </w:r>
          </w:p>
        </w:tc>
        <w:tc>
          <w:tcPr>
            <w:tcW w:w="1440" w:type="dxa"/>
            <w:gridSpan w:val="2"/>
          </w:tcPr>
          <w:p w:rsidR="003F5784" w14:paraId="63669372" w14:textId="77777777">
            <w:pPr>
              <w:pStyle w:val="TableParagraph"/>
              <w:ind w:right="386"/>
              <w:rPr>
                <w:sz w:val="21"/>
              </w:rPr>
            </w:pPr>
            <w:r>
              <w:rPr>
                <w:spacing w:val="-2"/>
                <w:sz w:val="21"/>
              </w:rPr>
              <w:t>100.00</w:t>
            </w:r>
          </w:p>
        </w:tc>
        <w:tc>
          <w:tcPr>
            <w:tcW w:w="990" w:type="dxa"/>
          </w:tcPr>
          <w:p w:rsidR="003F5784" w14:paraId="71336EAD" w14:textId="77777777">
            <w:pPr>
              <w:pStyle w:val="TableParagraph"/>
              <w:ind w:left="387"/>
              <w:jc w:val="left"/>
              <w:rPr>
                <w:sz w:val="21"/>
              </w:rPr>
            </w:pPr>
            <w:r>
              <w:rPr>
                <w:spacing w:val="-2"/>
                <w:sz w:val="21"/>
              </w:rPr>
              <w:t>2,700</w:t>
            </w:r>
          </w:p>
        </w:tc>
        <w:tc>
          <w:tcPr>
            <w:tcW w:w="900" w:type="dxa"/>
            <w:gridSpan w:val="3"/>
          </w:tcPr>
          <w:p w:rsidR="003F5784" w14:paraId="5D29E320" w14:textId="77777777">
            <w:pPr>
              <w:pStyle w:val="TableParagraph"/>
              <w:ind w:left="463"/>
              <w:jc w:val="left"/>
              <w:rPr>
                <w:sz w:val="21"/>
              </w:rPr>
            </w:pPr>
            <w:r>
              <w:rPr>
                <w:spacing w:val="-4"/>
                <w:sz w:val="21"/>
              </w:rPr>
              <w:t>1.69</w:t>
            </w:r>
          </w:p>
        </w:tc>
        <w:tc>
          <w:tcPr>
            <w:tcW w:w="1170" w:type="dxa"/>
          </w:tcPr>
          <w:p w:rsidR="003F5784" w14:paraId="2AFB1B44" w14:textId="77777777">
            <w:pPr>
              <w:pStyle w:val="TableParagraph"/>
              <w:ind w:right="22"/>
              <w:jc w:val="center"/>
              <w:rPr>
                <w:sz w:val="21"/>
              </w:rPr>
            </w:pPr>
            <w:r>
              <w:rPr>
                <w:spacing w:val="-2"/>
                <w:sz w:val="21"/>
              </w:rPr>
              <w:t>87.17</w:t>
            </w:r>
          </w:p>
        </w:tc>
        <w:tc>
          <w:tcPr>
            <w:tcW w:w="1080" w:type="dxa"/>
            <w:gridSpan w:val="2"/>
          </w:tcPr>
          <w:p w:rsidR="003F5784" w14:paraId="7E51D4F8" w14:textId="77777777">
            <w:pPr>
              <w:pStyle w:val="TableParagraph"/>
              <w:ind w:right="118"/>
              <w:rPr>
                <w:sz w:val="21"/>
              </w:rPr>
            </w:pPr>
            <w:r>
              <w:rPr>
                <w:spacing w:val="-2"/>
                <w:sz w:val="21"/>
              </w:rPr>
              <w:t>12.68</w:t>
            </w:r>
          </w:p>
        </w:tc>
      </w:tr>
      <w:tr w14:paraId="265D2646"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30A1BEC2" w14:textId="77777777">
            <w:pPr>
              <w:pStyle w:val="TableParagraph"/>
              <w:ind w:left="120"/>
              <w:jc w:val="left"/>
              <w:rPr>
                <w:sz w:val="21"/>
              </w:rPr>
            </w:pPr>
            <w:r>
              <w:rPr>
                <w:sz w:val="21"/>
              </w:rPr>
              <w:t>New</w:t>
            </w:r>
            <w:r>
              <w:rPr>
                <w:spacing w:val="-13"/>
                <w:sz w:val="21"/>
              </w:rPr>
              <w:t xml:space="preserve"> </w:t>
            </w:r>
            <w:r>
              <w:rPr>
                <w:spacing w:val="-4"/>
                <w:sz w:val="21"/>
              </w:rPr>
              <w:t>York</w:t>
            </w:r>
          </w:p>
        </w:tc>
        <w:tc>
          <w:tcPr>
            <w:tcW w:w="1539" w:type="dxa"/>
            <w:gridSpan w:val="2"/>
          </w:tcPr>
          <w:p w:rsidR="003F5784" w14:paraId="481FD6D1" w14:textId="77777777">
            <w:pPr>
              <w:pStyle w:val="TableParagraph"/>
              <w:ind w:right="738"/>
              <w:rPr>
                <w:sz w:val="21"/>
              </w:rPr>
            </w:pPr>
            <w:r>
              <w:rPr>
                <w:spacing w:val="-5"/>
                <w:sz w:val="21"/>
              </w:rPr>
              <w:t>130</w:t>
            </w:r>
          </w:p>
        </w:tc>
        <w:tc>
          <w:tcPr>
            <w:tcW w:w="1440" w:type="dxa"/>
            <w:gridSpan w:val="2"/>
          </w:tcPr>
          <w:p w:rsidR="003F5784" w14:paraId="0880EE90" w14:textId="77777777">
            <w:pPr>
              <w:pStyle w:val="TableParagraph"/>
              <w:ind w:left="159" w:right="8"/>
              <w:jc w:val="center"/>
              <w:rPr>
                <w:sz w:val="21"/>
              </w:rPr>
            </w:pPr>
            <w:r>
              <w:rPr>
                <w:spacing w:val="-2"/>
                <w:sz w:val="21"/>
              </w:rPr>
              <w:t>97.65</w:t>
            </w:r>
          </w:p>
        </w:tc>
        <w:tc>
          <w:tcPr>
            <w:tcW w:w="1440" w:type="dxa"/>
            <w:gridSpan w:val="2"/>
          </w:tcPr>
          <w:p w:rsidR="003F5784" w14:paraId="554CCD99" w14:textId="77777777">
            <w:pPr>
              <w:pStyle w:val="TableParagraph"/>
              <w:ind w:right="386"/>
              <w:rPr>
                <w:sz w:val="21"/>
              </w:rPr>
            </w:pPr>
            <w:r>
              <w:rPr>
                <w:spacing w:val="-2"/>
                <w:sz w:val="21"/>
              </w:rPr>
              <w:t>97.92</w:t>
            </w:r>
          </w:p>
        </w:tc>
        <w:tc>
          <w:tcPr>
            <w:tcW w:w="990" w:type="dxa"/>
          </w:tcPr>
          <w:p w:rsidR="003F5784" w14:paraId="7E7844C3" w14:textId="77777777">
            <w:pPr>
              <w:pStyle w:val="TableParagraph"/>
              <w:ind w:left="387"/>
              <w:jc w:val="left"/>
              <w:rPr>
                <w:sz w:val="21"/>
              </w:rPr>
            </w:pPr>
            <w:r>
              <w:rPr>
                <w:spacing w:val="-2"/>
                <w:sz w:val="21"/>
              </w:rPr>
              <w:t>2,900</w:t>
            </w:r>
          </w:p>
        </w:tc>
        <w:tc>
          <w:tcPr>
            <w:tcW w:w="900" w:type="dxa"/>
            <w:gridSpan w:val="3"/>
          </w:tcPr>
          <w:p w:rsidR="003F5784" w14:paraId="66F2F967" w14:textId="77777777">
            <w:pPr>
              <w:pStyle w:val="TableParagraph"/>
              <w:ind w:left="463"/>
              <w:jc w:val="left"/>
              <w:rPr>
                <w:sz w:val="21"/>
              </w:rPr>
            </w:pPr>
            <w:r>
              <w:rPr>
                <w:spacing w:val="-4"/>
                <w:sz w:val="21"/>
              </w:rPr>
              <w:t>2.21</w:t>
            </w:r>
          </w:p>
        </w:tc>
        <w:tc>
          <w:tcPr>
            <w:tcW w:w="1170" w:type="dxa"/>
          </w:tcPr>
          <w:p w:rsidR="003F5784" w14:paraId="1256DB55" w14:textId="77777777">
            <w:pPr>
              <w:pStyle w:val="TableParagraph"/>
              <w:ind w:right="22"/>
              <w:jc w:val="center"/>
              <w:rPr>
                <w:sz w:val="21"/>
              </w:rPr>
            </w:pPr>
            <w:r>
              <w:rPr>
                <w:spacing w:val="-2"/>
                <w:sz w:val="21"/>
              </w:rPr>
              <w:t>81.82</w:t>
            </w:r>
          </w:p>
        </w:tc>
        <w:tc>
          <w:tcPr>
            <w:tcW w:w="1080" w:type="dxa"/>
            <w:gridSpan w:val="2"/>
          </w:tcPr>
          <w:p w:rsidR="003F5784" w14:paraId="29290979" w14:textId="77777777">
            <w:pPr>
              <w:pStyle w:val="TableParagraph"/>
              <w:ind w:right="118"/>
              <w:rPr>
                <w:sz w:val="21"/>
              </w:rPr>
            </w:pPr>
            <w:r>
              <w:rPr>
                <w:spacing w:val="-2"/>
                <w:sz w:val="21"/>
              </w:rPr>
              <w:t>20.55</w:t>
            </w:r>
          </w:p>
        </w:tc>
      </w:tr>
      <w:tr w14:paraId="7FF357FC"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5E921190" w14:textId="77777777">
            <w:pPr>
              <w:pStyle w:val="TableParagraph"/>
              <w:ind w:left="120"/>
              <w:jc w:val="left"/>
              <w:rPr>
                <w:sz w:val="21"/>
              </w:rPr>
            </w:pPr>
            <w:r>
              <w:rPr>
                <w:sz w:val="21"/>
              </w:rPr>
              <w:t>North</w:t>
            </w:r>
            <w:r>
              <w:rPr>
                <w:spacing w:val="-6"/>
                <w:sz w:val="21"/>
              </w:rPr>
              <w:t xml:space="preserve"> </w:t>
            </w:r>
            <w:r>
              <w:rPr>
                <w:spacing w:val="-2"/>
                <w:sz w:val="21"/>
              </w:rPr>
              <w:t>Carolina</w:t>
            </w:r>
          </w:p>
        </w:tc>
        <w:tc>
          <w:tcPr>
            <w:tcW w:w="1539" w:type="dxa"/>
            <w:gridSpan w:val="2"/>
          </w:tcPr>
          <w:p w:rsidR="003F5784" w14:paraId="24B89BC1" w14:textId="77777777">
            <w:pPr>
              <w:pStyle w:val="TableParagraph"/>
              <w:ind w:right="738"/>
              <w:rPr>
                <w:sz w:val="21"/>
              </w:rPr>
            </w:pPr>
            <w:r>
              <w:rPr>
                <w:spacing w:val="-5"/>
                <w:sz w:val="21"/>
              </w:rPr>
              <w:t>140</w:t>
            </w:r>
          </w:p>
        </w:tc>
        <w:tc>
          <w:tcPr>
            <w:tcW w:w="1440" w:type="dxa"/>
            <w:gridSpan w:val="2"/>
          </w:tcPr>
          <w:p w:rsidR="003F5784" w14:paraId="593BF7CE" w14:textId="77777777">
            <w:pPr>
              <w:pStyle w:val="TableParagraph"/>
              <w:ind w:left="159" w:right="112"/>
              <w:jc w:val="center"/>
              <w:rPr>
                <w:sz w:val="21"/>
              </w:rPr>
            </w:pPr>
            <w:r>
              <w:rPr>
                <w:spacing w:val="-2"/>
                <w:sz w:val="21"/>
              </w:rPr>
              <w:t>100.00</w:t>
            </w:r>
          </w:p>
        </w:tc>
        <w:tc>
          <w:tcPr>
            <w:tcW w:w="1440" w:type="dxa"/>
            <w:gridSpan w:val="2"/>
          </w:tcPr>
          <w:p w:rsidR="003F5784" w14:paraId="6C9E789E" w14:textId="77777777">
            <w:pPr>
              <w:pStyle w:val="TableParagraph"/>
              <w:ind w:right="386"/>
              <w:rPr>
                <w:sz w:val="21"/>
              </w:rPr>
            </w:pPr>
            <w:r>
              <w:rPr>
                <w:spacing w:val="-2"/>
                <w:sz w:val="21"/>
              </w:rPr>
              <w:t>100.00</w:t>
            </w:r>
          </w:p>
        </w:tc>
        <w:tc>
          <w:tcPr>
            <w:tcW w:w="990" w:type="dxa"/>
          </w:tcPr>
          <w:p w:rsidR="003F5784" w14:paraId="16863CFD" w14:textId="77777777">
            <w:pPr>
              <w:pStyle w:val="TableParagraph"/>
              <w:ind w:left="387"/>
              <w:jc w:val="left"/>
              <w:rPr>
                <w:sz w:val="21"/>
              </w:rPr>
            </w:pPr>
            <w:r>
              <w:rPr>
                <w:spacing w:val="-2"/>
                <w:sz w:val="21"/>
              </w:rPr>
              <w:t>4,000</w:t>
            </w:r>
          </w:p>
        </w:tc>
        <w:tc>
          <w:tcPr>
            <w:tcW w:w="900" w:type="dxa"/>
            <w:gridSpan w:val="3"/>
          </w:tcPr>
          <w:p w:rsidR="003F5784" w14:paraId="36DE657E" w14:textId="77777777">
            <w:pPr>
              <w:pStyle w:val="TableParagraph"/>
              <w:ind w:left="463"/>
              <w:jc w:val="left"/>
              <w:rPr>
                <w:sz w:val="21"/>
              </w:rPr>
            </w:pPr>
            <w:r>
              <w:rPr>
                <w:spacing w:val="-4"/>
                <w:sz w:val="21"/>
              </w:rPr>
              <w:t>1.90</w:t>
            </w:r>
          </w:p>
        </w:tc>
        <w:tc>
          <w:tcPr>
            <w:tcW w:w="1170" w:type="dxa"/>
          </w:tcPr>
          <w:p w:rsidR="003F5784" w14:paraId="0CE8535D" w14:textId="77777777">
            <w:pPr>
              <w:pStyle w:val="TableParagraph"/>
              <w:ind w:right="22"/>
              <w:jc w:val="center"/>
              <w:rPr>
                <w:sz w:val="21"/>
              </w:rPr>
            </w:pPr>
            <w:r>
              <w:rPr>
                <w:spacing w:val="-2"/>
                <w:sz w:val="21"/>
              </w:rPr>
              <w:t>89.15</w:t>
            </w:r>
          </w:p>
        </w:tc>
        <w:tc>
          <w:tcPr>
            <w:tcW w:w="1080" w:type="dxa"/>
            <w:gridSpan w:val="2"/>
          </w:tcPr>
          <w:p w:rsidR="003F5784" w14:paraId="47D2E04A" w14:textId="77777777">
            <w:pPr>
              <w:pStyle w:val="TableParagraph"/>
              <w:ind w:right="118"/>
              <w:rPr>
                <w:sz w:val="21"/>
              </w:rPr>
            </w:pPr>
            <w:r>
              <w:rPr>
                <w:spacing w:val="-2"/>
                <w:sz w:val="21"/>
              </w:rPr>
              <w:t>12.43</w:t>
            </w:r>
          </w:p>
        </w:tc>
      </w:tr>
      <w:tr w14:paraId="34E5BE0C"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35836E56" w14:textId="77777777">
            <w:pPr>
              <w:pStyle w:val="TableParagraph"/>
              <w:ind w:left="120"/>
              <w:jc w:val="left"/>
              <w:rPr>
                <w:sz w:val="21"/>
              </w:rPr>
            </w:pPr>
            <w:r>
              <w:rPr>
                <w:sz w:val="21"/>
              </w:rPr>
              <w:t>North</w:t>
            </w:r>
            <w:r>
              <w:rPr>
                <w:spacing w:val="-6"/>
                <w:sz w:val="21"/>
              </w:rPr>
              <w:t xml:space="preserve"> </w:t>
            </w:r>
            <w:r>
              <w:rPr>
                <w:spacing w:val="-2"/>
                <w:sz w:val="21"/>
              </w:rPr>
              <w:t>Dakota</w:t>
            </w:r>
          </w:p>
        </w:tc>
        <w:tc>
          <w:tcPr>
            <w:tcW w:w="1539" w:type="dxa"/>
            <w:gridSpan w:val="2"/>
          </w:tcPr>
          <w:p w:rsidR="003F5784" w14:paraId="0E2CA29A" w14:textId="77777777">
            <w:pPr>
              <w:pStyle w:val="TableParagraph"/>
              <w:ind w:right="738"/>
              <w:rPr>
                <w:sz w:val="21"/>
              </w:rPr>
            </w:pPr>
            <w:r>
              <w:rPr>
                <w:spacing w:val="-5"/>
                <w:sz w:val="21"/>
              </w:rPr>
              <w:t>90</w:t>
            </w:r>
          </w:p>
        </w:tc>
        <w:tc>
          <w:tcPr>
            <w:tcW w:w="1440" w:type="dxa"/>
            <w:gridSpan w:val="2"/>
          </w:tcPr>
          <w:p w:rsidR="003F5784" w14:paraId="61669AC0" w14:textId="77777777">
            <w:pPr>
              <w:pStyle w:val="TableParagraph"/>
              <w:ind w:left="159" w:right="112"/>
              <w:jc w:val="center"/>
              <w:rPr>
                <w:sz w:val="21"/>
              </w:rPr>
            </w:pPr>
            <w:r>
              <w:rPr>
                <w:spacing w:val="-2"/>
                <w:sz w:val="21"/>
              </w:rPr>
              <w:t>100.00</w:t>
            </w:r>
          </w:p>
        </w:tc>
        <w:tc>
          <w:tcPr>
            <w:tcW w:w="1440" w:type="dxa"/>
            <w:gridSpan w:val="2"/>
          </w:tcPr>
          <w:p w:rsidR="003F5784" w14:paraId="384BA96B" w14:textId="77777777">
            <w:pPr>
              <w:pStyle w:val="TableParagraph"/>
              <w:ind w:right="386"/>
              <w:rPr>
                <w:sz w:val="21"/>
              </w:rPr>
            </w:pPr>
            <w:r>
              <w:rPr>
                <w:spacing w:val="-2"/>
                <w:sz w:val="21"/>
              </w:rPr>
              <w:t>100.00</w:t>
            </w:r>
          </w:p>
        </w:tc>
        <w:tc>
          <w:tcPr>
            <w:tcW w:w="990" w:type="dxa"/>
          </w:tcPr>
          <w:p w:rsidR="003F5784" w14:paraId="49AF3667" w14:textId="77777777">
            <w:pPr>
              <w:pStyle w:val="TableParagraph"/>
              <w:ind w:left="387"/>
              <w:jc w:val="left"/>
              <w:rPr>
                <w:sz w:val="21"/>
              </w:rPr>
            </w:pPr>
            <w:r>
              <w:rPr>
                <w:spacing w:val="-2"/>
                <w:sz w:val="21"/>
              </w:rPr>
              <w:t>2,100</w:t>
            </w:r>
          </w:p>
        </w:tc>
        <w:tc>
          <w:tcPr>
            <w:tcW w:w="900" w:type="dxa"/>
            <w:gridSpan w:val="3"/>
          </w:tcPr>
          <w:p w:rsidR="003F5784" w14:paraId="61C6E0A9" w14:textId="77777777">
            <w:pPr>
              <w:pStyle w:val="TableParagraph"/>
              <w:ind w:left="463"/>
              <w:jc w:val="left"/>
              <w:rPr>
                <w:sz w:val="21"/>
              </w:rPr>
            </w:pPr>
            <w:r>
              <w:rPr>
                <w:spacing w:val="-4"/>
                <w:sz w:val="21"/>
              </w:rPr>
              <w:t>1.53</w:t>
            </w:r>
          </w:p>
        </w:tc>
        <w:tc>
          <w:tcPr>
            <w:tcW w:w="1170" w:type="dxa"/>
          </w:tcPr>
          <w:p w:rsidR="003F5784" w14:paraId="25A5AC08" w14:textId="77777777">
            <w:pPr>
              <w:pStyle w:val="TableParagraph"/>
              <w:ind w:right="22"/>
              <w:jc w:val="center"/>
              <w:rPr>
                <w:sz w:val="21"/>
              </w:rPr>
            </w:pPr>
            <w:r>
              <w:rPr>
                <w:spacing w:val="-2"/>
                <w:sz w:val="21"/>
              </w:rPr>
              <w:t>88.82</w:t>
            </w:r>
          </w:p>
        </w:tc>
        <w:tc>
          <w:tcPr>
            <w:tcW w:w="1080" w:type="dxa"/>
            <w:gridSpan w:val="2"/>
          </w:tcPr>
          <w:p w:rsidR="003F5784" w14:paraId="5FC57350" w14:textId="77777777">
            <w:pPr>
              <w:pStyle w:val="TableParagraph"/>
              <w:ind w:right="118"/>
              <w:rPr>
                <w:sz w:val="21"/>
              </w:rPr>
            </w:pPr>
            <w:r>
              <w:rPr>
                <w:spacing w:val="-2"/>
                <w:sz w:val="21"/>
              </w:rPr>
              <w:t>11.96</w:t>
            </w:r>
          </w:p>
        </w:tc>
      </w:tr>
      <w:tr w14:paraId="7D8C0502"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6CB8A11B" w14:textId="77777777">
            <w:pPr>
              <w:pStyle w:val="TableParagraph"/>
              <w:ind w:left="120"/>
              <w:jc w:val="left"/>
              <w:rPr>
                <w:sz w:val="21"/>
              </w:rPr>
            </w:pPr>
            <w:r>
              <w:rPr>
                <w:spacing w:val="-4"/>
                <w:sz w:val="21"/>
              </w:rPr>
              <w:t>Ohio</w:t>
            </w:r>
          </w:p>
        </w:tc>
        <w:tc>
          <w:tcPr>
            <w:tcW w:w="1539" w:type="dxa"/>
            <w:gridSpan w:val="2"/>
          </w:tcPr>
          <w:p w:rsidR="003F5784" w14:paraId="02098558" w14:textId="77777777">
            <w:pPr>
              <w:pStyle w:val="TableParagraph"/>
              <w:ind w:right="738"/>
              <w:rPr>
                <w:sz w:val="21"/>
              </w:rPr>
            </w:pPr>
            <w:r>
              <w:rPr>
                <w:spacing w:val="-5"/>
                <w:sz w:val="21"/>
              </w:rPr>
              <w:t>140</w:t>
            </w:r>
          </w:p>
        </w:tc>
        <w:tc>
          <w:tcPr>
            <w:tcW w:w="1440" w:type="dxa"/>
            <w:gridSpan w:val="2"/>
          </w:tcPr>
          <w:p w:rsidR="003F5784" w14:paraId="424D3040" w14:textId="77777777">
            <w:pPr>
              <w:pStyle w:val="TableParagraph"/>
              <w:ind w:left="159" w:right="112"/>
              <w:jc w:val="center"/>
              <w:rPr>
                <w:sz w:val="21"/>
              </w:rPr>
            </w:pPr>
            <w:r>
              <w:rPr>
                <w:spacing w:val="-2"/>
                <w:sz w:val="21"/>
              </w:rPr>
              <w:t>100.00</w:t>
            </w:r>
          </w:p>
        </w:tc>
        <w:tc>
          <w:tcPr>
            <w:tcW w:w="1440" w:type="dxa"/>
            <w:gridSpan w:val="2"/>
          </w:tcPr>
          <w:p w:rsidR="003F5784" w14:paraId="2640D255" w14:textId="77777777">
            <w:pPr>
              <w:pStyle w:val="TableParagraph"/>
              <w:ind w:right="386"/>
              <w:rPr>
                <w:sz w:val="21"/>
              </w:rPr>
            </w:pPr>
            <w:r>
              <w:rPr>
                <w:spacing w:val="-2"/>
                <w:sz w:val="21"/>
              </w:rPr>
              <w:t>100.00</w:t>
            </w:r>
          </w:p>
        </w:tc>
        <w:tc>
          <w:tcPr>
            <w:tcW w:w="990" w:type="dxa"/>
          </w:tcPr>
          <w:p w:rsidR="003F5784" w14:paraId="1FD1D183" w14:textId="77777777">
            <w:pPr>
              <w:pStyle w:val="TableParagraph"/>
              <w:ind w:left="387"/>
              <w:jc w:val="left"/>
              <w:rPr>
                <w:sz w:val="21"/>
              </w:rPr>
            </w:pPr>
            <w:r>
              <w:rPr>
                <w:spacing w:val="-2"/>
                <w:sz w:val="21"/>
              </w:rPr>
              <w:t>2,900</w:t>
            </w:r>
          </w:p>
        </w:tc>
        <w:tc>
          <w:tcPr>
            <w:tcW w:w="900" w:type="dxa"/>
            <w:gridSpan w:val="3"/>
          </w:tcPr>
          <w:p w:rsidR="003F5784" w14:paraId="4F5F3EC5" w14:textId="77777777">
            <w:pPr>
              <w:pStyle w:val="TableParagraph"/>
              <w:ind w:left="463"/>
              <w:jc w:val="left"/>
              <w:rPr>
                <w:sz w:val="21"/>
              </w:rPr>
            </w:pPr>
            <w:r>
              <w:rPr>
                <w:spacing w:val="-4"/>
                <w:sz w:val="21"/>
              </w:rPr>
              <w:t>1.39</w:t>
            </w:r>
          </w:p>
        </w:tc>
        <w:tc>
          <w:tcPr>
            <w:tcW w:w="1170" w:type="dxa"/>
          </w:tcPr>
          <w:p w:rsidR="003F5784" w14:paraId="13F7DD8A" w14:textId="77777777">
            <w:pPr>
              <w:pStyle w:val="TableParagraph"/>
              <w:ind w:right="22"/>
              <w:jc w:val="center"/>
              <w:rPr>
                <w:sz w:val="21"/>
              </w:rPr>
            </w:pPr>
            <w:r>
              <w:rPr>
                <w:spacing w:val="-2"/>
                <w:sz w:val="21"/>
              </w:rPr>
              <w:t>89.39</w:t>
            </w:r>
          </w:p>
        </w:tc>
        <w:tc>
          <w:tcPr>
            <w:tcW w:w="1080" w:type="dxa"/>
            <w:gridSpan w:val="2"/>
          </w:tcPr>
          <w:p w:rsidR="003F5784" w14:paraId="26FAC609" w14:textId="77777777">
            <w:pPr>
              <w:pStyle w:val="TableParagraph"/>
              <w:ind w:right="118"/>
              <w:rPr>
                <w:sz w:val="21"/>
              </w:rPr>
            </w:pPr>
            <w:r>
              <w:rPr>
                <w:spacing w:val="-2"/>
                <w:sz w:val="21"/>
              </w:rPr>
              <w:t>15.95</w:t>
            </w:r>
          </w:p>
        </w:tc>
      </w:tr>
      <w:tr w14:paraId="6D4C4241"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7FA91156" w14:textId="77777777">
            <w:pPr>
              <w:pStyle w:val="TableParagraph"/>
              <w:ind w:left="120"/>
              <w:jc w:val="left"/>
              <w:rPr>
                <w:sz w:val="21"/>
              </w:rPr>
            </w:pPr>
            <w:r>
              <w:rPr>
                <w:spacing w:val="-2"/>
                <w:sz w:val="21"/>
              </w:rPr>
              <w:t>Oklahoma</w:t>
            </w:r>
          </w:p>
        </w:tc>
        <w:tc>
          <w:tcPr>
            <w:tcW w:w="1539" w:type="dxa"/>
            <w:gridSpan w:val="2"/>
          </w:tcPr>
          <w:p w:rsidR="003F5784" w14:paraId="140B1AF0" w14:textId="77777777">
            <w:pPr>
              <w:pStyle w:val="TableParagraph"/>
              <w:ind w:right="738"/>
              <w:rPr>
                <w:sz w:val="21"/>
              </w:rPr>
            </w:pPr>
            <w:r>
              <w:rPr>
                <w:spacing w:val="-5"/>
                <w:sz w:val="21"/>
              </w:rPr>
              <w:t>90</w:t>
            </w:r>
          </w:p>
        </w:tc>
        <w:tc>
          <w:tcPr>
            <w:tcW w:w="1440" w:type="dxa"/>
            <w:gridSpan w:val="2"/>
          </w:tcPr>
          <w:p w:rsidR="003F5784" w14:paraId="0915250F" w14:textId="77777777">
            <w:pPr>
              <w:pStyle w:val="TableParagraph"/>
              <w:ind w:left="159" w:right="112"/>
              <w:jc w:val="center"/>
              <w:rPr>
                <w:sz w:val="21"/>
              </w:rPr>
            </w:pPr>
            <w:r>
              <w:rPr>
                <w:spacing w:val="-2"/>
                <w:sz w:val="21"/>
              </w:rPr>
              <w:t>100.00</w:t>
            </w:r>
          </w:p>
        </w:tc>
        <w:tc>
          <w:tcPr>
            <w:tcW w:w="1440" w:type="dxa"/>
            <w:gridSpan w:val="2"/>
          </w:tcPr>
          <w:p w:rsidR="003F5784" w14:paraId="0B3B68F3" w14:textId="77777777">
            <w:pPr>
              <w:pStyle w:val="TableParagraph"/>
              <w:ind w:right="386"/>
              <w:rPr>
                <w:sz w:val="21"/>
              </w:rPr>
            </w:pPr>
            <w:r>
              <w:rPr>
                <w:spacing w:val="-2"/>
                <w:sz w:val="21"/>
              </w:rPr>
              <w:t>100.00</w:t>
            </w:r>
          </w:p>
        </w:tc>
        <w:tc>
          <w:tcPr>
            <w:tcW w:w="990" w:type="dxa"/>
          </w:tcPr>
          <w:p w:rsidR="003F5784" w14:paraId="0135E41C" w14:textId="77777777">
            <w:pPr>
              <w:pStyle w:val="TableParagraph"/>
              <w:ind w:left="387"/>
              <w:jc w:val="left"/>
              <w:rPr>
                <w:sz w:val="21"/>
              </w:rPr>
            </w:pPr>
            <w:r>
              <w:rPr>
                <w:spacing w:val="-2"/>
                <w:sz w:val="21"/>
              </w:rPr>
              <w:t>2,100</w:t>
            </w:r>
          </w:p>
        </w:tc>
        <w:tc>
          <w:tcPr>
            <w:tcW w:w="900" w:type="dxa"/>
            <w:gridSpan w:val="3"/>
          </w:tcPr>
          <w:p w:rsidR="003F5784" w14:paraId="0B7CB1A2" w14:textId="77777777">
            <w:pPr>
              <w:pStyle w:val="TableParagraph"/>
              <w:ind w:left="463"/>
              <w:jc w:val="left"/>
              <w:rPr>
                <w:sz w:val="21"/>
              </w:rPr>
            </w:pPr>
            <w:r>
              <w:rPr>
                <w:spacing w:val="-4"/>
                <w:sz w:val="21"/>
              </w:rPr>
              <w:t>2.35</w:t>
            </w:r>
          </w:p>
        </w:tc>
        <w:tc>
          <w:tcPr>
            <w:tcW w:w="1170" w:type="dxa"/>
          </w:tcPr>
          <w:p w:rsidR="003F5784" w14:paraId="49B754D1" w14:textId="77777777">
            <w:pPr>
              <w:pStyle w:val="TableParagraph"/>
              <w:ind w:right="22"/>
              <w:jc w:val="center"/>
              <w:rPr>
                <w:sz w:val="21"/>
              </w:rPr>
            </w:pPr>
            <w:r>
              <w:rPr>
                <w:spacing w:val="-2"/>
                <w:sz w:val="21"/>
              </w:rPr>
              <w:t>92.72</w:t>
            </w:r>
          </w:p>
        </w:tc>
        <w:tc>
          <w:tcPr>
            <w:tcW w:w="1080" w:type="dxa"/>
            <w:gridSpan w:val="2"/>
          </w:tcPr>
          <w:p w:rsidR="003F5784" w14:paraId="193DA76A" w14:textId="77777777">
            <w:pPr>
              <w:pStyle w:val="TableParagraph"/>
              <w:ind w:right="118"/>
              <w:rPr>
                <w:sz w:val="21"/>
              </w:rPr>
            </w:pPr>
            <w:r>
              <w:rPr>
                <w:spacing w:val="-2"/>
                <w:sz w:val="21"/>
              </w:rPr>
              <w:t>12.65</w:t>
            </w:r>
          </w:p>
        </w:tc>
      </w:tr>
      <w:tr w14:paraId="236BF0CE"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2196B306" w14:textId="77777777">
            <w:pPr>
              <w:pStyle w:val="TableParagraph"/>
              <w:ind w:left="120"/>
              <w:jc w:val="left"/>
              <w:rPr>
                <w:sz w:val="21"/>
              </w:rPr>
            </w:pPr>
            <w:r>
              <w:rPr>
                <w:spacing w:val="-2"/>
                <w:sz w:val="21"/>
              </w:rPr>
              <w:t>Oregon</w:t>
            </w:r>
          </w:p>
        </w:tc>
        <w:tc>
          <w:tcPr>
            <w:tcW w:w="1539" w:type="dxa"/>
            <w:gridSpan w:val="2"/>
          </w:tcPr>
          <w:p w:rsidR="003F5784" w14:paraId="2D5EA6F3" w14:textId="77777777">
            <w:pPr>
              <w:pStyle w:val="TableParagraph"/>
              <w:ind w:right="738"/>
              <w:rPr>
                <w:sz w:val="21"/>
              </w:rPr>
            </w:pPr>
            <w:r>
              <w:rPr>
                <w:spacing w:val="-5"/>
                <w:sz w:val="21"/>
              </w:rPr>
              <w:t>90</w:t>
            </w:r>
          </w:p>
        </w:tc>
        <w:tc>
          <w:tcPr>
            <w:tcW w:w="1440" w:type="dxa"/>
            <w:gridSpan w:val="2"/>
          </w:tcPr>
          <w:p w:rsidR="003F5784" w14:paraId="233793D8" w14:textId="77777777">
            <w:pPr>
              <w:pStyle w:val="TableParagraph"/>
              <w:ind w:left="159" w:right="112"/>
              <w:jc w:val="center"/>
              <w:rPr>
                <w:sz w:val="21"/>
              </w:rPr>
            </w:pPr>
            <w:r>
              <w:rPr>
                <w:spacing w:val="-2"/>
                <w:sz w:val="21"/>
              </w:rPr>
              <w:t>100.00</w:t>
            </w:r>
          </w:p>
        </w:tc>
        <w:tc>
          <w:tcPr>
            <w:tcW w:w="1440" w:type="dxa"/>
            <w:gridSpan w:val="2"/>
          </w:tcPr>
          <w:p w:rsidR="003F5784" w14:paraId="262F7799" w14:textId="77777777">
            <w:pPr>
              <w:pStyle w:val="TableParagraph"/>
              <w:ind w:right="386"/>
              <w:rPr>
                <w:sz w:val="21"/>
              </w:rPr>
            </w:pPr>
            <w:r>
              <w:rPr>
                <w:spacing w:val="-2"/>
                <w:sz w:val="21"/>
              </w:rPr>
              <w:t>100.00</w:t>
            </w:r>
          </w:p>
        </w:tc>
        <w:tc>
          <w:tcPr>
            <w:tcW w:w="990" w:type="dxa"/>
          </w:tcPr>
          <w:p w:rsidR="003F5784" w14:paraId="060BEFEB" w14:textId="77777777">
            <w:pPr>
              <w:pStyle w:val="TableParagraph"/>
              <w:ind w:left="387"/>
              <w:jc w:val="left"/>
              <w:rPr>
                <w:sz w:val="21"/>
              </w:rPr>
            </w:pPr>
            <w:r>
              <w:rPr>
                <w:spacing w:val="-2"/>
                <w:sz w:val="21"/>
              </w:rPr>
              <w:t>2,100</w:t>
            </w:r>
          </w:p>
        </w:tc>
        <w:tc>
          <w:tcPr>
            <w:tcW w:w="900" w:type="dxa"/>
            <w:gridSpan w:val="3"/>
          </w:tcPr>
          <w:p w:rsidR="003F5784" w14:paraId="12FFBADA" w14:textId="77777777">
            <w:pPr>
              <w:pStyle w:val="TableParagraph"/>
              <w:ind w:left="463"/>
              <w:jc w:val="left"/>
              <w:rPr>
                <w:sz w:val="21"/>
              </w:rPr>
            </w:pPr>
            <w:r>
              <w:rPr>
                <w:spacing w:val="-4"/>
                <w:sz w:val="21"/>
              </w:rPr>
              <w:t>0.88</w:t>
            </w:r>
          </w:p>
        </w:tc>
        <w:tc>
          <w:tcPr>
            <w:tcW w:w="1170" w:type="dxa"/>
          </w:tcPr>
          <w:p w:rsidR="003F5784" w14:paraId="77B004AD" w14:textId="77777777">
            <w:pPr>
              <w:pStyle w:val="TableParagraph"/>
              <w:ind w:right="22"/>
              <w:jc w:val="center"/>
              <w:rPr>
                <w:sz w:val="21"/>
              </w:rPr>
            </w:pPr>
            <w:r>
              <w:rPr>
                <w:spacing w:val="-2"/>
                <w:sz w:val="21"/>
              </w:rPr>
              <w:t>85.28</w:t>
            </w:r>
          </w:p>
        </w:tc>
        <w:tc>
          <w:tcPr>
            <w:tcW w:w="1080" w:type="dxa"/>
            <w:gridSpan w:val="2"/>
          </w:tcPr>
          <w:p w:rsidR="003F5784" w14:paraId="36B045A1" w14:textId="77777777">
            <w:pPr>
              <w:pStyle w:val="TableParagraph"/>
              <w:ind w:right="118"/>
              <w:rPr>
                <w:sz w:val="21"/>
              </w:rPr>
            </w:pPr>
            <w:r>
              <w:rPr>
                <w:spacing w:val="-2"/>
                <w:sz w:val="21"/>
              </w:rPr>
              <w:t>10.92</w:t>
            </w:r>
          </w:p>
        </w:tc>
      </w:tr>
      <w:tr w14:paraId="3559BCB4"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7F01D4F7" w14:textId="77777777">
            <w:pPr>
              <w:pStyle w:val="TableParagraph"/>
              <w:ind w:left="120"/>
              <w:jc w:val="left"/>
              <w:rPr>
                <w:sz w:val="21"/>
              </w:rPr>
            </w:pPr>
            <w:r>
              <w:rPr>
                <w:spacing w:val="-2"/>
                <w:sz w:val="21"/>
              </w:rPr>
              <w:t>Pennsylvania</w:t>
            </w:r>
          </w:p>
        </w:tc>
        <w:tc>
          <w:tcPr>
            <w:tcW w:w="1539" w:type="dxa"/>
            <w:gridSpan w:val="2"/>
          </w:tcPr>
          <w:p w:rsidR="003F5784" w14:paraId="04540889" w14:textId="77777777">
            <w:pPr>
              <w:pStyle w:val="TableParagraph"/>
              <w:ind w:right="738"/>
              <w:rPr>
                <w:sz w:val="21"/>
              </w:rPr>
            </w:pPr>
            <w:r>
              <w:rPr>
                <w:spacing w:val="-5"/>
                <w:sz w:val="21"/>
              </w:rPr>
              <w:t>120</w:t>
            </w:r>
          </w:p>
        </w:tc>
        <w:tc>
          <w:tcPr>
            <w:tcW w:w="1440" w:type="dxa"/>
            <w:gridSpan w:val="2"/>
          </w:tcPr>
          <w:p w:rsidR="003F5784" w14:paraId="26D82C8A" w14:textId="77777777">
            <w:pPr>
              <w:pStyle w:val="TableParagraph"/>
              <w:ind w:left="159" w:right="8"/>
              <w:jc w:val="center"/>
              <w:rPr>
                <w:sz w:val="21"/>
              </w:rPr>
            </w:pPr>
            <w:r>
              <w:rPr>
                <w:spacing w:val="-2"/>
                <w:sz w:val="21"/>
              </w:rPr>
              <w:t>99.42</w:t>
            </w:r>
          </w:p>
        </w:tc>
        <w:tc>
          <w:tcPr>
            <w:tcW w:w="1440" w:type="dxa"/>
            <w:gridSpan w:val="2"/>
          </w:tcPr>
          <w:p w:rsidR="003F5784" w14:paraId="4E316986" w14:textId="77777777">
            <w:pPr>
              <w:pStyle w:val="TableParagraph"/>
              <w:ind w:right="386"/>
              <w:rPr>
                <w:sz w:val="21"/>
              </w:rPr>
            </w:pPr>
            <w:r>
              <w:rPr>
                <w:spacing w:val="-2"/>
                <w:sz w:val="21"/>
              </w:rPr>
              <w:t>99.75</w:t>
            </w:r>
          </w:p>
        </w:tc>
        <w:tc>
          <w:tcPr>
            <w:tcW w:w="990" w:type="dxa"/>
          </w:tcPr>
          <w:p w:rsidR="003F5784" w14:paraId="58AA06C8" w14:textId="77777777">
            <w:pPr>
              <w:pStyle w:val="TableParagraph"/>
              <w:ind w:left="387"/>
              <w:jc w:val="left"/>
              <w:rPr>
                <w:sz w:val="21"/>
              </w:rPr>
            </w:pPr>
            <w:r>
              <w:rPr>
                <w:spacing w:val="-2"/>
                <w:sz w:val="21"/>
              </w:rPr>
              <w:t>2,900</w:t>
            </w:r>
          </w:p>
        </w:tc>
        <w:tc>
          <w:tcPr>
            <w:tcW w:w="900" w:type="dxa"/>
            <w:gridSpan w:val="3"/>
          </w:tcPr>
          <w:p w:rsidR="003F5784" w14:paraId="0DD2FCFA" w14:textId="77777777">
            <w:pPr>
              <w:pStyle w:val="TableParagraph"/>
              <w:ind w:left="463"/>
              <w:jc w:val="left"/>
              <w:rPr>
                <w:sz w:val="21"/>
              </w:rPr>
            </w:pPr>
            <w:r>
              <w:rPr>
                <w:spacing w:val="-4"/>
                <w:sz w:val="21"/>
              </w:rPr>
              <w:t>1.72</w:t>
            </w:r>
          </w:p>
        </w:tc>
        <w:tc>
          <w:tcPr>
            <w:tcW w:w="1170" w:type="dxa"/>
          </w:tcPr>
          <w:p w:rsidR="003F5784" w14:paraId="723FBFE2" w14:textId="77777777">
            <w:pPr>
              <w:pStyle w:val="TableParagraph"/>
              <w:ind w:right="22"/>
              <w:jc w:val="center"/>
              <w:rPr>
                <w:sz w:val="21"/>
              </w:rPr>
            </w:pPr>
            <w:r>
              <w:rPr>
                <w:spacing w:val="-2"/>
                <w:sz w:val="21"/>
              </w:rPr>
              <w:t>89.13</w:t>
            </w:r>
          </w:p>
        </w:tc>
        <w:tc>
          <w:tcPr>
            <w:tcW w:w="1080" w:type="dxa"/>
            <w:gridSpan w:val="2"/>
          </w:tcPr>
          <w:p w:rsidR="003F5784" w14:paraId="12B142BB" w14:textId="77777777">
            <w:pPr>
              <w:pStyle w:val="TableParagraph"/>
              <w:ind w:right="118"/>
              <w:rPr>
                <w:sz w:val="21"/>
              </w:rPr>
            </w:pPr>
            <w:r>
              <w:rPr>
                <w:spacing w:val="-2"/>
                <w:sz w:val="21"/>
              </w:rPr>
              <w:t>17.47</w:t>
            </w:r>
          </w:p>
        </w:tc>
      </w:tr>
      <w:tr w14:paraId="07C3F24E"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4EA904C8" w14:textId="77777777">
            <w:pPr>
              <w:pStyle w:val="TableParagraph"/>
              <w:ind w:left="120"/>
              <w:jc w:val="left"/>
              <w:rPr>
                <w:sz w:val="21"/>
              </w:rPr>
            </w:pPr>
            <w:r>
              <w:rPr>
                <w:sz w:val="21"/>
              </w:rPr>
              <w:t>Rhode</w:t>
            </w:r>
            <w:r>
              <w:rPr>
                <w:spacing w:val="-7"/>
                <w:sz w:val="21"/>
              </w:rPr>
              <w:t xml:space="preserve"> </w:t>
            </w:r>
            <w:r>
              <w:rPr>
                <w:spacing w:val="-2"/>
                <w:sz w:val="21"/>
              </w:rPr>
              <w:t>Island</w:t>
            </w:r>
          </w:p>
        </w:tc>
        <w:tc>
          <w:tcPr>
            <w:tcW w:w="1539" w:type="dxa"/>
            <w:gridSpan w:val="2"/>
          </w:tcPr>
          <w:p w:rsidR="003F5784" w14:paraId="452939C2" w14:textId="77777777">
            <w:pPr>
              <w:pStyle w:val="TableParagraph"/>
              <w:ind w:right="738"/>
              <w:rPr>
                <w:sz w:val="21"/>
              </w:rPr>
            </w:pPr>
            <w:r>
              <w:rPr>
                <w:spacing w:val="-5"/>
                <w:sz w:val="21"/>
              </w:rPr>
              <w:t>60</w:t>
            </w:r>
          </w:p>
        </w:tc>
        <w:tc>
          <w:tcPr>
            <w:tcW w:w="1440" w:type="dxa"/>
            <w:gridSpan w:val="2"/>
          </w:tcPr>
          <w:p w:rsidR="003F5784" w14:paraId="59999DCB" w14:textId="77777777">
            <w:pPr>
              <w:pStyle w:val="TableParagraph"/>
              <w:ind w:left="159" w:right="112"/>
              <w:jc w:val="center"/>
              <w:rPr>
                <w:sz w:val="21"/>
              </w:rPr>
            </w:pPr>
            <w:r>
              <w:rPr>
                <w:spacing w:val="-2"/>
                <w:sz w:val="21"/>
              </w:rPr>
              <w:t>100.00</w:t>
            </w:r>
          </w:p>
        </w:tc>
        <w:tc>
          <w:tcPr>
            <w:tcW w:w="1440" w:type="dxa"/>
            <w:gridSpan w:val="2"/>
          </w:tcPr>
          <w:p w:rsidR="003F5784" w14:paraId="7547582C" w14:textId="77777777">
            <w:pPr>
              <w:pStyle w:val="TableParagraph"/>
              <w:ind w:right="386"/>
              <w:rPr>
                <w:sz w:val="21"/>
              </w:rPr>
            </w:pPr>
            <w:r>
              <w:rPr>
                <w:spacing w:val="-2"/>
                <w:sz w:val="21"/>
              </w:rPr>
              <w:t>100.00</w:t>
            </w:r>
          </w:p>
        </w:tc>
        <w:tc>
          <w:tcPr>
            <w:tcW w:w="990" w:type="dxa"/>
          </w:tcPr>
          <w:p w:rsidR="003F5784" w14:paraId="4D0E919C" w14:textId="77777777">
            <w:pPr>
              <w:pStyle w:val="TableParagraph"/>
              <w:ind w:left="387"/>
              <w:jc w:val="left"/>
              <w:rPr>
                <w:sz w:val="21"/>
              </w:rPr>
            </w:pPr>
            <w:r>
              <w:rPr>
                <w:spacing w:val="-2"/>
                <w:sz w:val="21"/>
              </w:rPr>
              <w:t>2,100</w:t>
            </w:r>
          </w:p>
        </w:tc>
        <w:tc>
          <w:tcPr>
            <w:tcW w:w="900" w:type="dxa"/>
            <w:gridSpan w:val="3"/>
          </w:tcPr>
          <w:p w:rsidR="003F5784" w14:paraId="42F4F0CD" w14:textId="77777777">
            <w:pPr>
              <w:pStyle w:val="TableParagraph"/>
              <w:ind w:left="463"/>
              <w:jc w:val="left"/>
              <w:rPr>
                <w:sz w:val="21"/>
              </w:rPr>
            </w:pPr>
            <w:r>
              <w:rPr>
                <w:spacing w:val="-4"/>
                <w:sz w:val="21"/>
              </w:rPr>
              <w:t>1.69</w:t>
            </w:r>
          </w:p>
        </w:tc>
        <w:tc>
          <w:tcPr>
            <w:tcW w:w="1170" w:type="dxa"/>
          </w:tcPr>
          <w:p w:rsidR="003F5784" w14:paraId="49C6CE3A" w14:textId="77777777">
            <w:pPr>
              <w:pStyle w:val="TableParagraph"/>
              <w:ind w:right="22"/>
              <w:jc w:val="center"/>
              <w:rPr>
                <w:sz w:val="21"/>
              </w:rPr>
            </w:pPr>
            <w:r>
              <w:rPr>
                <w:spacing w:val="-2"/>
                <w:sz w:val="21"/>
              </w:rPr>
              <w:t>89.57</w:t>
            </w:r>
          </w:p>
        </w:tc>
        <w:tc>
          <w:tcPr>
            <w:tcW w:w="1080" w:type="dxa"/>
            <w:gridSpan w:val="2"/>
          </w:tcPr>
          <w:p w:rsidR="003F5784" w14:paraId="6AE2542B" w14:textId="77777777">
            <w:pPr>
              <w:pStyle w:val="TableParagraph"/>
              <w:ind w:right="118"/>
              <w:rPr>
                <w:sz w:val="21"/>
              </w:rPr>
            </w:pPr>
            <w:r>
              <w:rPr>
                <w:spacing w:val="-2"/>
                <w:sz w:val="21"/>
              </w:rPr>
              <w:t>17.35</w:t>
            </w:r>
          </w:p>
        </w:tc>
      </w:tr>
      <w:tr w14:paraId="7FFC2E00"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03335768" w14:textId="77777777">
            <w:pPr>
              <w:pStyle w:val="TableParagraph"/>
              <w:ind w:left="120"/>
              <w:jc w:val="left"/>
              <w:rPr>
                <w:sz w:val="21"/>
              </w:rPr>
            </w:pPr>
            <w:r>
              <w:rPr>
                <w:sz w:val="21"/>
              </w:rPr>
              <w:t>South</w:t>
            </w:r>
            <w:r>
              <w:rPr>
                <w:spacing w:val="-6"/>
                <w:sz w:val="21"/>
              </w:rPr>
              <w:t xml:space="preserve"> </w:t>
            </w:r>
            <w:r>
              <w:rPr>
                <w:spacing w:val="-2"/>
                <w:sz w:val="21"/>
              </w:rPr>
              <w:t>Carolina</w:t>
            </w:r>
          </w:p>
        </w:tc>
        <w:tc>
          <w:tcPr>
            <w:tcW w:w="1539" w:type="dxa"/>
            <w:gridSpan w:val="2"/>
          </w:tcPr>
          <w:p w:rsidR="003F5784" w14:paraId="63ACE5AE" w14:textId="77777777">
            <w:pPr>
              <w:pStyle w:val="TableParagraph"/>
              <w:ind w:right="738"/>
              <w:rPr>
                <w:sz w:val="21"/>
              </w:rPr>
            </w:pPr>
            <w:r>
              <w:rPr>
                <w:spacing w:val="-5"/>
                <w:sz w:val="21"/>
              </w:rPr>
              <w:t>90</w:t>
            </w:r>
          </w:p>
        </w:tc>
        <w:tc>
          <w:tcPr>
            <w:tcW w:w="1440" w:type="dxa"/>
            <w:gridSpan w:val="2"/>
          </w:tcPr>
          <w:p w:rsidR="003F5784" w14:paraId="7AF42731" w14:textId="77777777">
            <w:pPr>
              <w:pStyle w:val="TableParagraph"/>
              <w:ind w:left="159" w:right="112"/>
              <w:jc w:val="center"/>
              <w:rPr>
                <w:sz w:val="21"/>
              </w:rPr>
            </w:pPr>
            <w:r>
              <w:rPr>
                <w:spacing w:val="-2"/>
                <w:sz w:val="21"/>
              </w:rPr>
              <w:t>100.00</w:t>
            </w:r>
          </w:p>
        </w:tc>
        <w:tc>
          <w:tcPr>
            <w:tcW w:w="1440" w:type="dxa"/>
            <w:gridSpan w:val="2"/>
          </w:tcPr>
          <w:p w:rsidR="003F5784" w14:paraId="039071A0" w14:textId="77777777">
            <w:pPr>
              <w:pStyle w:val="TableParagraph"/>
              <w:ind w:right="386"/>
              <w:rPr>
                <w:sz w:val="21"/>
              </w:rPr>
            </w:pPr>
            <w:r>
              <w:rPr>
                <w:spacing w:val="-2"/>
                <w:sz w:val="21"/>
              </w:rPr>
              <w:t>100.00</w:t>
            </w:r>
          </w:p>
        </w:tc>
        <w:tc>
          <w:tcPr>
            <w:tcW w:w="990" w:type="dxa"/>
          </w:tcPr>
          <w:p w:rsidR="003F5784" w14:paraId="5763AD1D" w14:textId="77777777">
            <w:pPr>
              <w:pStyle w:val="TableParagraph"/>
              <w:ind w:left="387"/>
              <w:jc w:val="left"/>
              <w:rPr>
                <w:sz w:val="21"/>
              </w:rPr>
            </w:pPr>
            <w:r>
              <w:rPr>
                <w:spacing w:val="-2"/>
                <w:sz w:val="21"/>
              </w:rPr>
              <w:t>2,100</w:t>
            </w:r>
          </w:p>
        </w:tc>
        <w:tc>
          <w:tcPr>
            <w:tcW w:w="900" w:type="dxa"/>
            <w:gridSpan w:val="3"/>
          </w:tcPr>
          <w:p w:rsidR="003F5784" w14:paraId="25F50EE6" w14:textId="77777777">
            <w:pPr>
              <w:pStyle w:val="TableParagraph"/>
              <w:ind w:left="463"/>
              <w:jc w:val="left"/>
              <w:rPr>
                <w:sz w:val="21"/>
              </w:rPr>
            </w:pPr>
            <w:r>
              <w:rPr>
                <w:spacing w:val="-4"/>
                <w:sz w:val="21"/>
              </w:rPr>
              <w:t>1.35</w:t>
            </w:r>
          </w:p>
        </w:tc>
        <w:tc>
          <w:tcPr>
            <w:tcW w:w="1170" w:type="dxa"/>
          </w:tcPr>
          <w:p w:rsidR="003F5784" w14:paraId="45494D78" w14:textId="77777777">
            <w:pPr>
              <w:pStyle w:val="TableParagraph"/>
              <w:ind w:right="22"/>
              <w:jc w:val="center"/>
              <w:rPr>
                <w:sz w:val="21"/>
              </w:rPr>
            </w:pPr>
            <w:r>
              <w:rPr>
                <w:spacing w:val="-2"/>
                <w:sz w:val="21"/>
              </w:rPr>
              <w:t>92.35</w:t>
            </w:r>
          </w:p>
        </w:tc>
        <w:tc>
          <w:tcPr>
            <w:tcW w:w="1080" w:type="dxa"/>
            <w:gridSpan w:val="2"/>
          </w:tcPr>
          <w:p w:rsidR="003F5784" w14:paraId="282DCC1D" w14:textId="77777777">
            <w:pPr>
              <w:pStyle w:val="TableParagraph"/>
              <w:ind w:right="118"/>
              <w:rPr>
                <w:sz w:val="21"/>
              </w:rPr>
            </w:pPr>
            <w:r>
              <w:rPr>
                <w:spacing w:val="-2"/>
                <w:sz w:val="21"/>
              </w:rPr>
              <w:t>11.20</w:t>
            </w:r>
          </w:p>
        </w:tc>
      </w:tr>
      <w:tr w14:paraId="1AD0BD64"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087DC26B" w14:textId="77777777">
            <w:pPr>
              <w:pStyle w:val="TableParagraph"/>
              <w:ind w:left="120"/>
              <w:jc w:val="left"/>
              <w:rPr>
                <w:sz w:val="21"/>
              </w:rPr>
            </w:pPr>
            <w:r>
              <w:rPr>
                <w:sz w:val="21"/>
              </w:rPr>
              <w:t>South</w:t>
            </w:r>
            <w:r>
              <w:rPr>
                <w:spacing w:val="-6"/>
                <w:sz w:val="21"/>
              </w:rPr>
              <w:t xml:space="preserve"> </w:t>
            </w:r>
            <w:r>
              <w:rPr>
                <w:spacing w:val="-2"/>
                <w:sz w:val="21"/>
              </w:rPr>
              <w:t>Dakota</w:t>
            </w:r>
          </w:p>
        </w:tc>
        <w:tc>
          <w:tcPr>
            <w:tcW w:w="1539" w:type="dxa"/>
            <w:gridSpan w:val="2"/>
          </w:tcPr>
          <w:p w:rsidR="003F5784" w14:paraId="5B9845A1" w14:textId="77777777">
            <w:pPr>
              <w:pStyle w:val="TableParagraph"/>
              <w:ind w:right="738"/>
              <w:rPr>
                <w:sz w:val="21"/>
              </w:rPr>
            </w:pPr>
            <w:r>
              <w:rPr>
                <w:spacing w:val="-5"/>
                <w:sz w:val="21"/>
              </w:rPr>
              <w:t>100</w:t>
            </w:r>
          </w:p>
        </w:tc>
        <w:tc>
          <w:tcPr>
            <w:tcW w:w="1440" w:type="dxa"/>
            <w:gridSpan w:val="2"/>
          </w:tcPr>
          <w:p w:rsidR="003F5784" w14:paraId="7BB42B9E" w14:textId="77777777">
            <w:pPr>
              <w:pStyle w:val="TableParagraph"/>
              <w:ind w:left="159" w:right="8"/>
              <w:jc w:val="center"/>
              <w:rPr>
                <w:sz w:val="21"/>
              </w:rPr>
            </w:pPr>
            <w:r>
              <w:rPr>
                <w:spacing w:val="-2"/>
                <w:sz w:val="21"/>
              </w:rPr>
              <w:t>98.95</w:t>
            </w:r>
          </w:p>
        </w:tc>
        <w:tc>
          <w:tcPr>
            <w:tcW w:w="1440" w:type="dxa"/>
            <w:gridSpan w:val="2"/>
          </w:tcPr>
          <w:p w:rsidR="003F5784" w14:paraId="49FA4F73" w14:textId="77777777">
            <w:pPr>
              <w:pStyle w:val="TableParagraph"/>
              <w:ind w:right="386"/>
              <w:rPr>
                <w:sz w:val="21"/>
              </w:rPr>
            </w:pPr>
            <w:r>
              <w:rPr>
                <w:spacing w:val="-2"/>
                <w:sz w:val="21"/>
              </w:rPr>
              <w:t>98.85</w:t>
            </w:r>
          </w:p>
        </w:tc>
        <w:tc>
          <w:tcPr>
            <w:tcW w:w="990" w:type="dxa"/>
          </w:tcPr>
          <w:p w:rsidR="003F5784" w14:paraId="22C6BCC8" w14:textId="77777777">
            <w:pPr>
              <w:pStyle w:val="TableParagraph"/>
              <w:ind w:left="387"/>
              <w:jc w:val="left"/>
              <w:rPr>
                <w:sz w:val="21"/>
              </w:rPr>
            </w:pPr>
            <w:r>
              <w:rPr>
                <w:spacing w:val="-2"/>
                <w:sz w:val="21"/>
              </w:rPr>
              <w:t>2,200</w:t>
            </w:r>
          </w:p>
        </w:tc>
        <w:tc>
          <w:tcPr>
            <w:tcW w:w="900" w:type="dxa"/>
            <w:gridSpan w:val="3"/>
          </w:tcPr>
          <w:p w:rsidR="003F5784" w14:paraId="3D44FB81" w14:textId="77777777">
            <w:pPr>
              <w:pStyle w:val="TableParagraph"/>
              <w:ind w:left="463"/>
              <w:jc w:val="left"/>
              <w:rPr>
                <w:sz w:val="21"/>
              </w:rPr>
            </w:pPr>
            <w:r>
              <w:rPr>
                <w:spacing w:val="-4"/>
                <w:sz w:val="21"/>
              </w:rPr>
              <w:t>1.75</w:t>
            </w:r>
          </w:p>
        </w:tc>
        <w:tc>
          <w:tcPr>
            <w:tcW w:w="1170" w:type="dxa"/>
          </w:tcPr>
          <w:p w:rsidR="003F5784" w14:paraId="1A715C35" w14:textId="77777777">
            <w:pPr>
              <w:pStyle w:val="TableParagraph"/>
              <w:ind w:right="22"/>
              <w:jc w:val="center"/>
              <w:rPr>
                <w:sz w:val="21"/>
              </w:rPr>
            </w:pPr>
            <w:r>
              <w:rPr>
                <w:spacing w:val="-2"/>
                <w:sz w:val="21"/>
              </w:rPr>
              <w:t>91.64</w:t>
            </w:r>
          </w:p>
        </w:tc>
        <w:tc>
          <w:tcPr>
            <w:tcW w:w="1080" w:type="dxa"/>
            <w:gridSpan w:val="2"/>
          </w:tcPr>
          <w:p w:rsidR="003F5784" w14:paraId="09EB16A7" w14:textId="77777777">
            <w:pPr>
              <w:pStyle w:val="TableParagraph"/>
              <w:ind w:right="118"/>
              <w:rPr>
                <w:sz w:val="21"/>
              </w:rPr>
            </w:pPr>
            <w:r>
              <w:rPr>
                <w:spacing w:val="-4"/>
                <w:sz w:val="21"/>
              </w:rPr>
              <w:t>5.95</w:t>
            </w:r>
          </w:p>
        </w:tc>
      </w:tr>
      <w:tr w14:paraId="43CF2019"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54FE6C0F" w14:textId="77777777">
            <w:pPr>
              <w:pStyle w:val="TableParagraph"/>
              <w:ind w:left="120"/>
              <w:jc w:val="left"/>
              <w:rPr>
                <w:sz w:val="21"/>
              </w:rPr>
            </w:pPr>
            <w:r>
              <w:rPr>
                <w:spacing w:val="-2"/>
                <w:sz w:val="21"/>
              </w:rPr>
              <w:t>Tennessee</w:t>
            </w:r>
          </w:p>
        </w:tc>
        <w:tc>
          <w:tcPr>
            <w:tcW w:w="1539" w:type="dxa"/>
            <w:gridSpan w:val="2"/>
          </w:tcPr>
          <w:p w:rsidR="003F5784" w14:paraId="3F846745" w14:textId="77777777">
            <w:pPr>
              <w:pStyle w:val="TableParagraph"/>
              <w:ind w:right="738"/>
              <w:rPr>
                <w:sz w:val="21"/>
              </w:rPr>
            </w:pPr>
            <w:r>
              <w:rPr>
                <w:spacing w:val="-5"/>
                <w:sz w:val="21"/>
              </w:rPr>
              <w:t>120</w:t>
            </w:r>
          </w:p>
        </w:tc>
        <w:tc>
          <w:tcPr>
            <w:tcW w:w="1440" w:type="dxa"/>
            <w:gridSpan w:val="2"/>
          </w:tcPr>
          <w:p w:rsidR="003F5784" w14:paraId="557AAA84" w14:textId="77777777">
            <w:pPr>
              <w:pStyle w:val="TableParagraph"/>
              <w:ind w:left="159" w:right="8"/>
              <w:jc w:val="center"/>
              <w:rPr>
                <w:sz w:val="21"/>
              </w:rPr>
            </w:pPr>
            <w:r>
              <w:rPr>
                <w:spacing w:val="-2"/>
                <w:sz w:val="21"/>
              </w:rPr>
              <w:t>97.51</w:t>
            </w:r>
          </w:p>
        </w:tc>
        <w:tc>
          <w:tcPr>
            <w:tcW w:w="1440" w:type="dxa"/>
            <w:gridSpan w:val="2"/>
          </w:tcPr>
          <w:p w:rsidR="003F5784" w14:paraId="5DEC6BBC" w14:textId="77777777">
            <w:pPr>
              <w:pStyle w:val="TableParagraph"/>
              <w:ind w:right="386"/>
              <w:rPr>
                <w:sz w:val="21"/>
              </w:rPr>
            </w:pPr>
            <w:r>
              <w:rPr>
                <w:spacing w:val="-2"/>
                <w:sz w:val="21"/>
              </w:rPr>
              <w:t>96.30</w:t>
            </w:r>
          </w:p>
        </w:tc>
        <w:tc>
          <w:tcPr>
            <w:tcW w:w="990" w:type="dxa"/>
          </w:tcPr>
          <w:p w:rsidR="003F5784" w14:paraId="51EDE6B5" w14:textId="77777777">
            <w:pPr>
              <w:pStyle w:val="TableParagraph"/>
              <w:ind w:left="387"/>
              <w:jc w:val="left"/>
              <w:rPr>
                <w:sz w:val="21"/>
              </w:rPr>
            </w:pPr>
            <w:r>
              <w:rPr>
                <w:spacing w:val="-2"/>
                <w:sz w:val="21"/>
              </w:rPr>
              <w:t>2,900</w:t>
            </w:r>
          </w:p>
        </w:tc>
        <w:tc>
          <w:tcPr>
            <w:tcW w:w="900" w:type="dxa"/>
            <w:gridSpan w:val="3"/>
          </w:tcPr>
          <w:p w:rsidR="003F5784" w14:paraId="2EB89EAC" w14:textId="77777777">
            <w:pPr>
              <w:pStyle w:val="TableParagraph"/>
              <w:ind w:left="463"/>
              <w:jc w:val="left"/>
              <w:rPr>
                <w:sz w:val="21"/>
              </w:rPr>
            </w:pPr>
            <w:r>
              <w:rPr>
                <w:spacing w:val="-4"/>
                <w:sz w:val="21"/>
              </w:rPr>
              <w:t>2.69</w:t>
            </w:r>
          </w:p>
        </w:tc>
        <w:tc>
          <w:tcPr>
            <w:tcW w:w="1170" w:type="dxa"/>
          </w:tcPr>
          <w:p w:rsidR="003F5784" w14:paraId="7BABFC0E" w14:textId="77777777">
            <w:pPr>
              <w:pStyle w:val="TableParagraph"/>
              <w:ind w:right="22"/>
              <w:jc w:val="center"/>
              <w:rPr>
                <w:sz w:val="21"/>
              </w:rPr>
            </w:pPr>
            <w:r>
              <w:rPr>
                <w:spacing w:val="-2"/>
                <w:sz w:val="21"/>
              </w:rPr>
              <w:t>89.14</w:t>
            </w:r>
          </w:p>
        </w:tc>
        <w:tc>
          <w:tcPr>
            <w:tcW w:w="1080" w:type="dxa"/>
            <w:gridSpan w:val="2"/>
          </w:tcPr>
          <w:p w:rsidR="003F5784" w14:paraId="0FF1A18C" w14:textId="77777777">
            <w:pPr>
              <w:pStyle w:val="TableParagraph"/>
              <w:ind w:right="118"/>
              <w:rPr>
                <w:sz w:val="21"/>
              </w:rPr>
            </w:pPr>
            <w:r>
              <w:rPr>
                <w:spacing w:val="-2"/>
                <w:sz w:val="21"/>
              </w:rPr>
              <w:t>11.95</w:t>
            </w:r>
          </w:p>
        </w:tc>
      </w:tr>
      <w:tr w14:paraId="0FE4C16C"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7C0F274F" w14:textId="77777777">
            <w:pPr>
              <w:pStyle w:val="TableParagraph"/>
              <w:ind w:left="120"/>
              <w:jc w:val="left"/>
              <w:rPr>
                <w:sz w:val="21"/>
              </w:rPr>
            </w:pPr>
            <w:r>
              <w:rPr>
                <w:spacing w:val="-2"/>
                <w:sz w:val="21"/>
              </w:rPr>
              <w:t>Texas</w:t>
            </w:r>
          </w:p>
        </w:tc>
        <w:tc>
          <w:tcPr>
            <w:tcW w:w="1539" w:type="dxa"/>
            <w:gridSpan w:val="2"/>
          </w:tcPr>
          <w:p w:rsidR="003F5784" w14:paraId="6C6405CC" w14:textId="77777777">
            <w:pPr>
              <w:pStyle w:val="TableParagraph"/>
              <w:ind w:right="738"/>
              <w:rPr>
                <w:sz w:val="21"/>
              </w:rPr>
            </w:pPr>
            <w:r>
              <w:rPr>
                <w:spacing w:val="-5"/>
                <w:sz w:val="21"/>
              </w:rPr>
              <w:t>220</w:t>
            </w:r>
          </w:p>
        </w:tc>
        <w:tc>
          <w:tcPr>
            <w:tcW w:w="1440" w:type="dxa"/>
            <w:gridSpan w:val="2"/>
          </w:tcPr>
          <w:p w:rsidR="003F5784" w14:paraId="543F45F0" w14:textId="77777777">
            <w:pPr>
              <w:pStyle w:val="TableParagraph"/>
              <w:ind w:left="159" w:right="112"/>
              <w:jc w:val="center"/>
              <w:rPr>
                <w:sz w:val="21"/>
              </w:rPr>
            </w:pPr>
            <w:r>
              <w:rPr>
                <w:spacing w:val="-2"/>
                <w:sz w:val="21"/>
              </w:rPr>
              <w:t>100.00</w:t>
            </w:r>
          </w:p>
        </w:tc>
        <w:tc>
          <w:tcPr>
            <w:tcW w:w="1440" w:type="dxa"/>
            <w:gridSpan w:val="2"/>
          </w:tcPr>
          <w:p w:rsidR="003F5784" w14:paraId="1A6AF882" w14:textId="77777777">
            <w:pPr>
              <w:pStyle w:val="TableParagraph"/>
              <w:ind w:right="386"/>
              <w:rPr>
                <w:sz w:val="21"/>
              </w:rPr>
            </w:pPr>
            <w:r>
              <w:rPr>
                <w:spacing w:val="-2"/>
                <w:sz w:val="21"/>
              </w:rPr>
              <w:t>100.00</w:t>
            </w:r>
          </w:p>
        </w:tc>
        <w:tc>
          <w:tcPr>
            <w:tcW w:w="990" w:type="dxa"/>
          </w:tcPr>
          <w:p w:rsidR="003F5784" w14:paraId="14CC516C" w14:textId="77777777">
            <w:pPr>
              <w:pStyle w:val="TableParagraph"/>
              <w:ind w:left="387"/>
              <w:jc w:val="left"/>
              <w:rPr>
                <w:sz w:val="21"/>
              </w:rPr>
            </w:pPr>
            <w:r>
              <w:rPr>
                <w:spacing w:val="-2"/>
                <w:sz w:val="21"/>
              </w:rPr>
              <w:t>6,600</w:t>
            </w:r>
          </w:p>
        </w:tc>
        <w:tc>
          <w:tcPr>
            <w:tcW w:w="900" w:type="dxa"/>
            <w:gridSpan w:val="3"/>
          </w:tcPr>
          <w:p w:rsidR="003F5784" w14:paraId="7D5C4691" w14:textId="77777777">
            <w:pPr>
              <w:pStyle w:val="TableParagraph"/>
              <w:ind w:left="463"/>
              <w:jc w:val="left"/>
              <w:rPr>
                <w:sz w:val="21"/>
              </w:rPr>
            </w:pPr>
            <w:r>
              <w:rPr>
                <w:spacing w:val="-4"/>
                <w:sz w:val="21"/>
              </w:rPr>
              <w:t>2.19</w:t>
            </w:r>
          </w:p>
        </w:tc>
        <w:tc>
          <w:tcPr>
            <w:tcW w:w="1170" w:type="dxa"/>
          </w:tcPr>
          <w:p w:rsidR="003F5784" w14:paraId="580C1A91" w14:textId="77777777">
            <w:pPr>
              <w:pStyle w:val="TableParagraph"/>
              <w:ind w:right="22"/>
              <w:jc w:val="center"/>
              <w:rPr>
                <w:sz w:val="21"/>
              </w:rPr>
            </w:pPr>
            <w:r>
              <w:rPr>
                <w:spacing w:val="-2"/>
                <w:sz w:val="21"/>
              </w:rPr>
              <w:t>90.81</w:t>
            </w:r>
          </w:p>
        </w:tc>
        <w:tc>
          <w:tcPr>
            <w:tcW w:w="1080" w:type="dxa"/>
            <w:gridSpan w:val="2"/>
          </w:tcPr>
          <w:p w:rsidR="003F5784" w14:paraId="63640A1C" w14:textId="77777777">
            <w:pPr>
              <w:pStyle w:val="TableParagraph"/>
              <w:ind w:right="118"/>
              <w:rPr>
                <w:sz w:val="21"/>
              </w:rPr>
            </w:pPr>
            <w:r>
              <w:rPr>
                <w:spacing w:val="-2"/>
                <w:sz w:val="21"/>
              </w:rPr>
              <w:t>14.66</w:t>
            </w:r>
          </w:p>
        </w:tc>
      </w:tr>
      <w:tr w14:paraId="26D9F346"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55DCF944" w14:textId="77777777">
            <w:pPr>
              <w:pStyle w:val="TableParagraph"/>
              <w:ind w:left="120"/>
              <w:jc w:val="left"/>
              <w:rPr>
                <w:sz w:val="21"/>
              </w:rPr>
            </w:pPr>
            <w:r>
              <w:rPr>
                <w:spacing w:val="-4"/>
                <w:sz w:val="21"/>
              </w:rPr>
              <w:t>Utah</w:t>
            </w:r>
          </w:p>
        </w:tc>
        <w:tc>
          <w:tcPr>
            <w:tcW w:w="1539" w:type="dxa"/>
            <w:gridSpan w:val="2"/>
          </w:tcPr>
          <w:p w:rsidR="003F5784" w14:paraId="195385EA" w14:textId="77777777">
            <w:pPr>
              <w:pStyle w:val="TableParagraph"/>
              <w:ind w:right="738"/>
              <w:rPr>
                <w:sz w:val="21"/>
              </w:rPr>
            </w:pPr>
            <w:r>
              <w:rPr>
                <w:spacing w:val="-5"/>
                <w:sz w:val="21"/>
              </w:rPr>
              <w:t>90</w:t>
            </w:r>
          </w:p>
        </w:tc>
        <w:tc>
          <w:tcPr>
            <w:tcW w:w="1440" w:type="dxa"/>
            <w:gridSpan w:val="2"/>
          </w:tcPr>
          <w:p w:rsidR="003F5784" w14:paraId="34451E2D" w14:textId="77777777">
            <w:pPr>
              <w:pStyle w:val="TableParagraph"/>
              <w:ind w:left="159" w:right="112"/>
              <w:jc w:val="center"/>
              <w:rPr>
                <w:sz w:val="21"/>
              </w:rPr>
            </w:pPr>
            <w:r>
              <w:rPr>
                <w:spacing w:val="-2"/>
                <w:sz w:val="21"/>
              </w:rPr>
              <w:t>100.00</w:t>
            </w:r>
          </w:p>
        </w:tc>
        <w:tc>
          <w:tcPr>
            <w:tcW w:w="1440" w:type="dxa"/>
            <w:gridSpan w:val="2"/>
          </w:tcPr>
          <w:p w:rsidR="003F5784" w14:paraId="5AA378B7" w14:textId="77777777">
            <w:pPr>
              <w:pStyle w:val="TableParagraph"/>
              <w:ind w:right="386"/>
              <w:rPr>
                <w:sz w:val="21"/>
              </w:rPr>
            </w:pPr>
            <w:r>
              <w:rPr>
                <w:spacing w:val="-2"/>
                <w:sz w:val="21"/>
              </w:rPr>
              <w:t>100.00</w:t>
            </w:r>
          </w:p>
        </w:tc>
        <w:tc>
          <w:tcPr>
            <w:tcW w:w="990" w:type="dxa"/>
          </w:tcPr>
          <w:p w:rsidR="003F5784" w14:paraId="4C5AF28D" w14:textId="77777777">
            <w:pPr>
              <w:pStyle w:val="TableParagraph"/>
              <w:ind w:left="387"/>
              <w:jc w:val="left"/>
              <w:rPr>
                <w:sz w:val="21"/>
              </w:rPr>
            </w:pPr>
            <w:r>
              <w:rPr>
                <w:spacing w:val="-2"/>
                <w:sz w:val="21"/>
              </w:rPr>
              <w:t>2,200</w:t>
            </w:r>
          </w:p>
        </w:tc>
        <w:tc>
          <w:tcPr>
            <w:tcW w:w="900" w:type="dxa"/>
            <w:gridSpan w:val="3"/>
          </w:tcPr>
          <w:p w:rsidR="003F5784" w14:paraId="5817DE8B" w14:textId="77777777">
            <w:pPr>
              <w:pStyle w:val="TableParagraph"/>
              <w:ind w:left="463"/>
              <w:jc w:val="left"/>
              <w:rPr>
                <w:sz w:val="21"/>
              </w:rPr>
            </w:pPr>
            <w:r>
              <w:rPr>
                <w:spacing w:val="-4"/>
                <w:sz w:val="21"/>
              </w:rPr>
              <w:t>1.31</w:t>
            </w:r>
          </w:p>
        </w:tc>
        <w:tc>
          <w:tcPr>
            <w:tcW w:w="1170" w:type="dxa"/>
          </w:tcPr>
          <w:p w:rsidR="003F5784" w14:paraId="26C153BD" w14:textId="77777777">
            <w:pPr>
              <w:pStyle w:val="TableParagraph"/>
              <w:ind w:right="22"/>
              <w:jc w:val="center"/>
              <w:rPr>
                <w:sz w:val="21"/>
              </w:rPr>
            </w:pPr>
            <w:r>
              <w:rPr>
                <w:spacing w:val="-2"/>
                <w:sz w:val="21"/>
              </w:rPr>
              <w:t>87.55</w:t>
            </w:r>
          </w:p>
        </w:tc>
        <w:tc>
          <w:tcPr>
            <w:tcW w:w="1080" w:type="dxa"/>
            <w:gridSpan w:val="2"/>
          </w:tcPr>
          <w:p w:rsidR="003F5784" w14:paraId="61B639F2" w14:textId="77777777">
            <w:pPr>
              <w:pStyle w:val="TableParagraph"/>
              <w:ind w:right="118"/>
              <w:rPr>
                <w:sz w:val="21"/>
              </w:rPr>
            </w:pPr>
            <w:r>
              <w:rPr>
                <w:spacing w:val="-2"/>
                <w:sz w:val="21"/>
              </w:rPr>
              <w:t>12.96</w:t>
            </w:r>
          </w:p>
        </w:tc>
      </w:tr>
      <w:tr w14:paraId="5E487B3E"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12568FA9" w14:textId="77777777">
            <w:pPr>
              <w:pStyle w:val="TableParagraph"/>
              <w:ind w:left="120"/>
              <w:jc w:val="left"/>
              <w:rPr>
                <w:sz w:val="21"/>
              </w:rPr>
            </w:pPr>
            <w:r>
              <w:rPr>
                <w:spacing w:val="-2"/>
                <w:sz w:val="21"/>
              </w:rPr>
              <w:t>Vermont</w:t>
            </w:r>
          </w:p>
        </w:tc>
        <w:tc>
          <w:tcPr>
            <w:tcW w:w="1539" w:type="dxa"/>
            <w:gridSpan w:val="2"/>
          </w:tcPr>
          <w:p w:rsidR="003F5784" w14:paraId="1DD207F6" w14:textId="77777777">
            <w:pPr>
              <w:pStyle w:val="TableParagraph"/>
              <w:ind w:right="738"/>
              <w:rPr>
                <w:sz w:val="21"/>
              </w:rPr>
            </w:pPr>
            <w:r>
              <w:rPr>
                <w:spacing w:val="-5"/>
                <w:sz w:val="21"/>
              </w:rPr>
              <w:t>90</w:t>
            </w:r>
          </w:p>
        </w:tc>
        <w:tc>
          <w:tcPr>
            <w:tcW w:w="1440" w:type="dxa"/>
            <w:gridSpan w:val="2"/>
          </w:tcPr>
          <w:p w:rsidR="003F5784" w14:paraId="1D88195F" w14:textId="77777777">
            <w:pPr>
              <w:pStyle w:val="TableParagraph"/>
              <w:ind w:left="159" w:right="112"/>
              <w:jc w:val="center"/>
              <w:rPr>
                <w:sz w:val="21"/>
              </w:rPr>
            </w:pPr>
            <w:r>
              <w:rPr>
                <w:spacing w:val="-2"/>
                <w:sz w:val="21"/>
              </w:rPr>
              <w:t>100.00</w:t>
            </w:r>
          </w:p>
        </w:tc>
        <w:tc>
          <w:tcPr>
            <w:tcW w:w="1440" w:type="dxa"/>
            <w:gridSpan w:val="2"/>
          </w:tcPr>
          <w:p w:rsidR="003F5784" w14:paraId="09422369" w14:textId="77777777">
            <w:pPr>
              <w:pStyle w:val="TableParagraph"/>
              <w:ind w:right="386"/>
              <w:rPr>
                <w:sz w:val="21"/>
              </w:rPr>
            </w:pPr>
            <w:r>
              <w:rPr>
                <w:spacing w:val="-2"/>
                <w:sz w:val="21"/>
              </w:rPr>
              <w:t>100.00</w:t>
            </w:r>
          </w:p>
        </w:tc>
        <w:tc>
          <w:tcPr>
            <w:tcW w:w="990" w:type="dxa"/>
          </w:tcPr>
          <w:p w:rsidR="003F5784" w14:paraId="49553B13" w14:textId="77777777">
            <w:pPr>
              <w:pStyle w:val="TableParagraph"/>
              <w:ind w:left="387"/>
              <w:jc w:val="left"/>
              <w:rPr>
                <w:sz w:val="21"/>
              </w:rPr>
            </w:pPr>
            <w:r>
              <w:rPr>
                <w:spacing w:val="-2"/>
                <w:sz w:val="21"/>
              </w:rPr>
              <w:t>2,200</w:t>
            </w:r>
          </w:p>
        </w:tc>
        <w:tc>
          <w:tcPr>
            <w:tcW w:w="900" w:type="dxa"/>
            <w:gridSpan w:val="3"/>
          </w:tcPr>
          <w:p w:rsidR="003F5784" w14:paraId="65C83020" w14:textId="77777777">
            <w:pPr>
              <w:pStyle w:val="TableParagraph"/>
              <w:ind w:left="463"/>
              <w:jc w:val="left"/>
              <w:rPr>
                <w:sz w:val="21"/>
              </w:rPr>
            </w:pPr>
            <w:r>
              <w:rPr>
                <w:spacing w:val="-4"/>
                <w:sz w:val="21"/>
              </w:rPr>
              <w:t>1.67</w:t>
            </w:r>
          </w:p>
        </w:tc>
        <w:tc>
          <w:tcPr>
            <w:tcW w:w="1170" w:type="dxa"/>
          </w:tcPr>
          <w:p w:rsidR="003F5784" w14:paraId="4BEB2EDD" w14:textId="77777777">
            <w:pPr>
              <w:pStyle w:val="TableParagraph"/>
              <w:ind w:right="22"/>
              <w:jc w:val="center"/>
              <w:rPr>
                <w:sz w:val="21"/>
              </w:rPr>
            </w:pPr>
            <w:r>
              <w:rPr>
                <w:spacing w:val="-2"/>
                <w:sz w:val="21"/>
              </w:rPr>
              <w:t>86.98</w:t>
            </w:r>
          </w:p>
        </w:tc>
        <w:tc>
          <w:tcPr>
            <w:tcW w:w="1080" w:type="dxa"/>
            <w:gridSpan w:val="2"/>
          </w:tcPr>
          <w:p w:rsidR="003F5784" w14:paraId="1871BC10" w14:textId="77777777">
            <w:pPr>
              <w:pStyle w:val="TableParagraph"/>
              <w:ind w:right="118"/>
              <w:rPr>
                <w:sz w:val="21"/>
              </w:rPr>
            </w:pPr>
            <w:r>
              <w:rPr>
                <w:spacing w:val="-2"/>
                <w:sz w:val="21"/>
              </w:rPr>
              <w:t>16.15</w:t>
            </w:r>
          </w:p>
        </w:tc>
      </w:tr>
      <w:tr w14:paraId="09DAC11C"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1DACD3AA" w14:textId="77777777">
            <w:pPr>
              <w:pStyle w:val="TableParagraph"/>
              <w:ind w:left="120"/>
              <w:jc w:val="left"/>
              <w:rPr>
                <w:sz w:val="21"/>
              </w:rPr>
            </w:pPr>
            <w:r>
              <w:rPr>
                <w:spacing w:val="-2"/>
                <w:sz w:val="21"/>
              </w:rPr>
              <w:t>Virginia</w:t>
            </w:r>
          </w:p>
        </w:tc>
        <w:tc>
          <w:tcPr>
            <w:tcW w:w="1539" w:type="dxa"/>
            <w:gridSpan w:val="2"/>
          </w:tcPr>
          <w:p w:rsidR="003F5784" w14:paraId="0A40E7F1" w14:textId="77777777">
            <w:pPr>
              <w:pStyle w:val="TableParagraph"/>
              <w:ind w:right="738"/>
              <w:rPr>
                <w:sz w:val="21"/>
              </w:rPr>
            </w:pPr>
            <w:r>
              <w:rPr>
                <w:spacing w:val="-5"/>
                <w:sz w:val="21"/>
              </w:rPr>
              <w:t>90</w:t>
            </w:r>
          </w:p>
        </w:tc>
        <w:tc>
          <w:tcPr>
            <w:tcW w:w="1440" w:type="dxa"/>
            <w:gridSpan w:val="2"/>
          </w:tcPr>
          <w:p w:rsidR="003F5784" w14:paraId="770ED174" w14:textId="77777777">
            <w:pPr>
              <w:pStyle w:val="TableParagraph"/>
              <w:ind w:left="159" w:right="8"/>
              <w:jc w:val="center"/>
              <w:rPr>
                <w:sz w:val="21"/>
              </w:rPr>
            </w:pPr>
            <w:r>
              <w:rPr>
                <w:spacing w:val="-2"/>
                <w:sz w:val="21"/>
              </w:rPr>
              <w:t>98.75</w:t>
            </w:r>
          </w:p>
        </w:tc>
        <w:tc>
          <w:tcPr>
            <w:tcW w:w="1440" w:type="dxa"/>
            <w:gridSpan w:val="2"/>
          </w:tcPr>
          <w:p w:rsidR="003F5784" w14:paraId="0E86453B" w14:textId="77777777">
            <w:pPr>
              <w:pStyle w:val="TableParagraph"/>
              <w:ind w:right="386"/>
              <w:rPr>
                <w:sz w:val="21"/>
              </w:rPr>
            </w:pPr>
            <w:r>
              <w:rPr>
                <w:spacing w:val="-2"/>
                <w:sz w:val="21"/>
              </w:rPr>
              <w:t>99.52</w:t>
            </w:r>
          </w:p>
        </w:tc>
        <w:tc>
          <w:tcPr>
            <w:tcW w:w="990" w:type="dxa"/>
          </w:tcPr>
          <w:p w:rsidR="003F5784" w14:paraId="501AA619" w14:textId="77777777">
            <w:pPr>
              <w:pStyle w:val="TableParagraph"/>
              <w:ind w:left="387"/>
              <w:jc w:val="left"/>
              <w:rPr>
                <w:sz w:val="21"/>
              </w:rPr>
            </w:pPr>
            <w:r>
              <w:rPr>
                <w:spacing w:val="-2"/>
                <w:sz w:val="21"/>
              </w:rPr>
              <w:t>2,100</w:t>
            </w:r>
          </w:p>
        </w:tc>
        <w:tc>
          <w:tcPr>
            <w:tcW w:w="900" w:type="dxa"/>
            <w:gridSpan w:val="3"/>
          </w:tcPr>
          <w:p w:rsidR="003F5784" w14:paraId="2962F9BB" w14:textId="77777777">
            <w:pPr>
              <w:pStyle w:val="TableParagraph"/>
              <w:ind w:left="463"/>
              <w:jc w:val="left"/>
              <w:rPr>
                <w:sz w:val="21"/>
              </w:rPr>
            </w:pPr>
            <w:r>
              <w:rPr>
                <w:spacing w:val="-4"/>
                <w:sz w:val="21"/>
              </w:rPr>
              <w:t>2.45</w:t>
            </w:r>
          </w:p>
        </w:tc>
        <w:tc>
          <w:tcPr>
            <w:tcW w:w="1170" w:type="dxa"/>
          </w:tcPr>
          <w:p w:rsidR="003F5784" w14:paraId="55133CF2" w14:textId="77777777">
            <w:pPr>
              <w:pStyle w:val="TableParagraph"/>
              <w:ind w:right="22"/>
              <w:jc w:val="center"/>
              <w:rPr>
                <w:sz w:val="21"/>
              </w:rPr>
            </w:pPr>
            <w:r>
              <w:rPr>
                <w:spacing w:val="-2"/>
                <w:sz w:val="21"/>
              </w:rPr>
              <w:t>89.02</w:t>
            </w:r>
          </w:p>
        </w:tc>
        <w:tc>
          <w:tcPr>
            <w:tcW w:w="1080" w:type="dxa"/>
            <w:gridSpan w:val="2"/>
          </w:tcPr>
          <w:p w:rsidR="003F5784" w14:paraId="5E15EABA" w14:textId="77777777">
            <w:pPr>
              <w:pStyle w:val="TableParagraph"/>
              <w:ind w:right="118"/>
              <w:rPr>
                <w:sz w:val="21"/>
              </w:rPr>
            </w:pPr>
            <w:r>
              <w:rPr>
                <w:spacing w:val="-2"/>
                <w:sz w:val="21"/>
              </w:rPr>
              <w:t>10.22</w:t>
            </w:r>
          </w:p>
        </w:tc>
      </w:tr>
      <w:tr w14:paraId="7FB5E326"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282EF2FD" w14:textId="77777777">
            <w:pPr>
              <w:pStyle w:val="TableParagraph"/>
              <w:ind w:left="120"/>
              <w:jc w:val="left"/>
              <w:rPr>
                <w:sz w:val="21"/>
              </w:rPr>
            </w:pPr>
            <w:r>
              <w:rPr>
                <w:spacing w:val="-2"/>
                <w:sz w:val="21"/>
              </w:rPr>
              <w:t>Washington</w:t>
            </w:r>
          </w:p>
        </w:tc>
        <w:tc>
          <w:tcPr>
            <w:tcW w:w="1539" w:type="dxa"/>
            <w:gridSpan w:val="2"/>
          </w:tcPr>
          <w:p w:rsidR="003F5784" w14:paraId="2C2CA702" w14:textId="77777777">
            <w:pPr>
              <w:pStyle w:val="TableParagraph"/>
              <w:ind w:right="738"/>
              <w:rPr>
                <w:sz w:val="21"/>
              </w:rPr>
            </w:pPr>
            <w:r>
              <w:rPr>
                <w:spacing w:val="-5"/>
                <w:sz w:val="21"/>
              </w:rPr>
              <w:t>90</w:t>
            </w:r>
          </w:p>
        </w:tc>
        <w:tc>
          <w:tcPr>
            <w:tcW w:w="1440" w:type="dxa"/>
            <w:gridSpan w:val="2"/>
          </w:tcPr>
          <w:p w:rsidR="003F5784" w14:paraId="480FBC10" w14:textId="77777777">
            <w:pPr>
              <w:pStyle w:val="TableParagraph"/>
              <w:ind w:left="159" w:right="112"/>
              <w:jc w:val="center"/>
              <w:rPr>
                <w:sz w:val="21"/>
              </w:rPr>
            </w:pPr>
            <w:r>
              <w:rPr>
                <w:spacing w:val="-2"/>
                <w:sz w:val="21"/>
              </w:rPr>
              <w:t>100.00</w:t>
            </w:r>
          </w:p>
        </w:tc>
        <w:tc>
          <w:tcPr>
            <w:tcW w:w="1440" w:type="dxa"/>
            <w:gridSpan w:val="2"/>
          </w:tcPr>
          <w:p w:rsidR="003F5784" w14:paraId="1EAE7E77" w14:textId="77777777">
            <w:pPr>
              <w:pStyle w:val="TableParagraph"/>
              <w:ind w:right="386"/>
              <w:rPr>
                <w:sz w:val="21"/>
              </w:rPr>
            </w:pPr>
            <w:r>
              <w:rPr>
                <w:spacing w:val="-2"/>
                <w:sz w:val="21"/>
              </w:rPr>
              <w:t>100.00</w:t>
            </w:r>
          </w:p>
        </w:tc>
        <w:tc>
          <w:tcPr>
            <w:tcW w:w="990" w:type="dxa"/>
          </w:tcPr>
          <w:p w:rsidR="003F5784" w14:paraId="27366E1A" w14:textId="77777777">
            <w:pPr>
              <w:pStyle w:val="TableParagraph"/>
              <w:ind w:left="387"/>
              <w:jc w:val="left"/>
              <w:rPr>
                <w:sz w:val="21"/>
              </w:rPr>
            </w:pPr>
            <w:r>
              <w:rPr>
                <w:spacing w:val="-2"/>
                <w:sz w:val="21"/>
              </w:rPr>
              <w:t>2,200</w:t>
            </w:r>
          </w:p>
        </w:tc>
        <w:tc>
          <w:tcPr>
            <w:tcW w:w="900" w:type="dxa"/>
            <w:gridSpan w:val="3"/>
          </w:tcPr>
          <w:p w:rsidR="003F5784" w14:paraId="6E2AB13C" w14:textId="77777777">
            <w:pPr>
              <w:pStyle w:val="TableParagraph"/>
              <w:ind w:left="463"/>
              <w:jc w:val="left"/>
              <w:rPr>
                <w:sz w:val="21"/>
              </w:rPr>
            </w:pPr>
            <w:r>
              <w:rPr>
                <w:spacing w:val="-4"/>
                <w:sz w:val="21"/>
              </w:rPr>
              <w:t>1.54</w:t>
            </w:r>
          </w:p>
        </w:tc>
        <w:tc>
          <w:tcPr>
            <w:tcW w:w="1170" w:type="dxa"/>
          </w:tcPr>
          <w:p w:rsidR="003F5784" w14:paraId="76DE4A2C" w14:textId="77777777">
            <w:pPr>
              <w:pStyle w:val="TableParagraph"/>
              <w:ind w:right="22"/>
              <w:jc w:val="center"/>
              <w:rPr>
                <w:sz w:val="21"/>
              </w:rPr>
            </w:pPr>
            <w:r>
              <w:rPr>
                <w:spacing w:val="-2"/>
                <w:sz w:val="21"/>
              </w:rPr>
              <w:t>85.49</w:t>
            </w:r>
          </w:p>
        </w:tc>
        <w:tc>
          <w:tcPr>
            <w:tcW w:w="1080" w:type="dxa"/>
            <w:gridSpan w:val="2"/>
          </w:tcPr>
          <w:p w:rsidR="003F5784" w14:paraId="48D07218" w14:textId="77777777">
            <w:pPr>
              <w:pStyle w:val="TableParagraph"/>
              <w:ind w:right="118"/>
              <w:rPr>
                <w:sz w:val="21"/>
              </w:rPr>
            </w:pPr>
            <w:r>
              <w:rPr>
                <w:spacing w:val="-4"/>
                <w:sz w:val="21"/>
              </w:rPr>
              <w:t>9.42</w:t>
            </w:r>
          </w:p>
        </w:tc>
      </w:tr>
      <w:tr w14:paraId="2953A28B" w14:textId="77777777" w:rsidTr="00047860">
        <w:tblPrEx>
          <w:tblW w:w="0" w:type="auto"/>
          <w:tblInd w:w="552" w:type="dxa"/>
          <w:tblLayout w:type="fixed"/>
          <w:tblCellMar>
            <w:left w:w="0" w:type="dxa"/>
            <w:right w:w="0" w:type="dxa"/>
          </w:tblCellMar>
          <w:tblLook w:val="01E0"/>
        </w:tblPrEx>
        <w:trPr>
          <w:trHeight w:val="289"/>
        </w:trPr>
        <w:tc>
          <w:tcPr>
            <w:tcW w:w="2499" w:type="dxa"/>
            <w:tcBorders>
              <w:bottom w:val="single" w:sz="18" w:space="0" w:color="800000"/>
            </w:tcBorders>
          </w:tcPr>
          <w:p w:rsidR="003F5784" w14:paraId="7FD8203D" w14:textId="77777777">
            <w:pPr>
              <w:pStyle w:val="TableParagraph"/>
              <w:ind w:left="120"/>
              <w:jc w:val="left"/>
              <w:rPr>
                <w:sz w:val="21"/>
              </w:rPr>
            </w:pPr>
            <w:r>
              <w:rPr>
                <w:spacing w:val="-5"/>
                <w:sz w:val="21"/>
              </w:rPr>
              <w:t>West</w:t>
            </w:r>
            <w:r>
              <w:rPr>
                <w:spacing w:val="-7"/>
                <w:sz w:val="21"/>
              </w:rPr>
              <w:t xml:space="preserve"> </w:t>
            </w:r>
            <w:r>
              <w:rPr>
                <w:spacing w:val="-2"/>
                <w:sz w:val="21"/>
              </w:rPr>
              <w:t>Virginia</w:t>
            </w:r>
          </w:p>
        </w:tc>
        <w:tc>
          <w:tcPr>
            <w:tcW w:w="1539" w:type="dxa"/>
            <w:gridSpan w:val="2"/>
            <w:tcBorders>
              <w:bottom w:val="single" w:sz="18" w:space="0" w:color="800000"/>
            </w:tcBorders>
          </w:tcPr>
          <w:p w:rsidR="003F5784" w14:paraId="2159B2AE" w14:textId="77777777">
            <w:pPr>
              <w:pStyle w:val="TableParagraph"/>
              <w:ind w:right="738"/>
              <w:rPr>
                <w:sz w:val="21"/>
              </w:rPr>
            </w:pPr>
            <w:r>
              <w:rPr>
                <w:spacing w:val="-5"/>
                <w:sz w:val="21"/>
              </w:rPr>
              <w:t>90</w:t>
            </w:r>
          </w:p>
        </w:tc>
        <w:tc>
          <w:tcPr>
            <w:tcW w:w="1440" w:type="dxa"/>
            <w:gridSpan w:val="2"/>
            <w:tcBorders>
              <w:bottom w:val="single" w:sz="18" w:space="0" w:color="800000"/>
            </w:tcBorders>
          </w:tcPr>
          <w:p w:rsidR="003F5784" w14:paraId="0928940E" w14:textId="77777777">
            <w:pPr>
              <w:pStyle w:val="TableParagraph"/>
              <w:ind w:left="159" w:right="112"/>
              <w:jc w:val="center"/>
              <w:rPr>
                <w:sz w:val="21"/>
              </w:rPr>
            </w:pPr>
            <w:r>
              <w:rPr>
                <w:spacing w:val="-2"/>
                <w:sz w:val="21"/>
              </w:rPr>
              <w:t>100.00</w:t>
            </w:r>
          </w:p>
        </w:tc>
        <w:tc>
          <w:tcPr>
            <w:tcW w:w="1440" w:type="dxa"/>
            <w:gridSpan w:val="2"/>
            <w:tcBorders>
              <w:bottom w:val="single" w:sz="18" w:space="0" w:color="800000"/>
            </w:tcBorders>
          </w:tcPr>
          <w:p w:rsidR="003F5784" w14:paraId="74C4A491" w14:textId="77777777">
            <w:pPr>
              <w:pStyle w:val="TableParagraph"/>
              <w:ind w:right="386"/>
              <w:rPr>
                <w:sz w:val="21"/>
              </w:rPr>
            </w:pPr>
            <w:r>
              <w:rPr>
                <w:spacing w:val="-2"/>
                <w:sz w:val="21"/>
              </w:rPr>
              <w:t>100.00</w:t>
            </w:r>
          </w:p>
        </w:tc>
        <w:tc>
          <w:tcPr>
            <w:tcW w:w="990" w:type="dxa"/>
            <w:tcBorders>
              <w:bottom w:val="single" w:sz="18" w:space="0" w:color="800000"/>
            </w:tcBorders>
          </w:tcPr>
          <w:p w:rsidR="003F5784" w14:paraId="36EA3375" w14:textId="77777777">
            <w:pPr>
              <w:pStyle w:val="TableParagraph"/>
              <w:ind w:left="387"/>
              <w:jc w:val="left"/>
              <w:rPr>
                <w:sz w:val="21"/>
              </w:rPr>
            </w:pPr>
            <w:r>
              <w:rPr>
                <w:spacing w:val="-2"/>
                <w:sz w:val="21"/>
              </w:rPr>
              <w:t>2,200</w:t>
            </w:r>
          </w:p>
        </w:tc>
        <w:tc>
          <w:tcPr>
            <w:tcW w:w="900" w:type="dxa"/>
            <w:gridSpan w:val="3"/>
            <w:tcBorders>
              <w:bottom w:val="single" w:sz="18" w:space="0" w:color="800000"/>
            </w:tcBorders>
          </w:tcPr>
          <w:p w:rsidR="003F5784" w14:paraId="51C4CED1" w14:textId="77777777">
            <w:pPr>
              <w:pStyle w:val="TableParagraph"/>
              <w:ind w:left="463"/>
              <w:jc w:val="left"/>
              <w:rPr>
                <w:sz w:val="21"/>
              </w:rPr>
            </w:pPr>
            <w:r>
              <w:rPr>
                <w:spacing w:val="-4"/>
                <w:sz w:val="21"/>
              </w:rPr>
              <w:t>1.73</w:t>
            </w:r>
          </w:p>
        </w:tc>
        <w:tc>
          <w:tcPr>
            <w:tcW w:w="1170" w:type="dxa"/>
            <w:tcBorders>
              <w:bottom w:val="single" w:sz="18" w:space="0" w:color="800000"/>
            </w:tcBorders>
          </w:tcPr>
          <w:p w:rsidR="003F5784" w14:paraId="063F146D" w14:textId="77777777">
            <w:pPr>
              <w:pStyle w:val="TableParagraph"/>
              <w:ind w:right="22"/>
              <w:jc w:val="center"/>
              <w:rPr>
                <w:sz w:val="21"/>
              </w:rPr>
            </w:pPr>
            <w:r>
              <w:rPr>
                <w:spacing w:val="-2"/>
                <w:sz w:val="21"/>
              </w:rPr>
              <w:t>90.88</w:t>
            </w:r>
          </w:p>
        </w:tc>
        <w:tc>
          <w:tcPr>
            <w:tcW w:w="1080" w:type="dxa"/>
            <w:gridSpan w:val="2"/>
            <w:tcBorders>
              <w:bottom w:val="single" w:sz="18" w:space="0" w:color="800000"/>
            </w:tcBorders>
          </w:tcPr>
          <w:p w:rsidR="003F5784" w14:paraId="3CFF4DAC" w14:textId="77777777">
            <w:pPr>
              <w:pStyle w:val="TableParagraph"/>
              <w:ind w:right="118"/>
              <w:rPr>
                <w:sz w:val="21"/>
              </w:rPr>
            </w:pPr>
            <w:r>
              <w:rPr>
                <w:spacing w:val="-2"/>
                <w:sz w:val="21"/>
              </w:rPr>
              <w:t>10.09</w:t>
            </w:r>
          </w:p>
        </w:tc>
      </w:tr>
    </w:tbl>
    <w:p w:rsidR="003F5784" w14:paraId="088F66EC" w14:textId="77777777">
      <w:pPr>
        <w:rPr>
          <w:sz w:val="21"/>
        </w:rPr>
        <w:sectPr>
          <w:headerReference w:type="default" r:id="rId562"/>
          <w:footerReference w:type="default" r:id="rId563"/>
          <w:pgSz w:w="15840" w:h="12240" w:orient="landscape"/>
          <w:pgMar w:top="480" w:right="440" w:bottom="2040" w:left="460" w:header="284" w:footer="1857" w:gutter="0"/>
          <w:cols w:space="720"/>
        </w:sectPr>
      </w:pPr>
    </w:p>
    <w:p w:rsidR="003F5784" w14:paraId="006C1699" w14:textId="77777777">
      <w:pPr>
        <w:pStyle w:val="BodyText"/>
        <w:spacing w:before="5"/>
        <w:rPr>
          <w:sz w:val="9"/>
        </w:rPr>
      </w:pPr>
    </w:p>
    <w:tbl>
      <w:tblPr>
        <w:tblW w:w="0" w:type="auto"/>
        <w:tblInd w:w="552" w:type="dxa"/>
        <w:tblLayout w:type="fixed"/>
        <w:tblCellMar>
          <w:left w:w="0" w:type="dxa"/>
          <w:right w:w="0" w:type="dxa"/>
        </w:tblCellMar>
        <w:tblLook w:val="01E0"/>
      </w:tblPr>
      <w:tblGrid>
        <w:gridCol w:w="2919"/>
        <w:gridCol w:w="975"/>
        <w:gridCol w:w="234"/>
        <w:gridCol w:w="1260"/>
        <w:gridCol w:w="110"/>
        <w:gridCol w:w="1243"/>
        <w:gridCol w:w="999"/>
        <w:gridCol w:w="81"/>
        <w:gridCol w:w="876"/>
        <w:gridCol w:w="24"/>
        <w:gridCol w:w="1080"/>
        <w:gridCol w:w="80"/>
        <w:gridCol w:w="998"/>
      </w:tblGrid>
      <w:tr w14:paraId="7739BD06" w14:textId="77777777" w:rsidTr="00047860">
        <w:tblPrEx>
          <w:tblW w:w="0" w:type="auto"/>
          <w:tblInd w:w="552" w:type="dxa"/>
          <w:tblLayout w:type="fixed"/>
          <w:tblCellMar>
            <w:left w:w="0" w:type="dxa"/>
            <w:right w:w="0" w:type="dxa"/>
          </w:tblCellMar>
          <w:tblLook w:val="01E0"/>
        </w:tblPrEx>
        <w:trPr>
          <w:trHeight w:val="232"/>
        </w:trPr>
        <w:tc>
          <w:tcPr>
            <w:tcW w:w="3894" w:type="dxa"/>
            <w:gridSpan w:val="2"/>
          </w:tcPr>
          <w:p w:rsidR="003F5784" w14:paraId="4DAB9B29" w14:textId="77777777">
            <w:pPr>
              <w:pStyle w:val="TableParagraph"/>
              <w:spacing w:before="0"/>
              <w:jc w:val="left"/>
              <w:rPr>
                <w:sz w:val="16"/>
              </w:rPr>
            </w:pPr>
          </w:p>
        </w:tc>
        <w:tc>
          <w:tcPr>
            <w:tcW w:w="1604" w:type="dxa"/>
            <w:gridSpan w:val="3"/>
          </w:tcPr>
          <w:p w:rsidR="003F5784" w14:paraId="4B6C5AD9" w14:textId="77777777">
            <w:pPr>
              <w:pStyle w:val="TableParagraph"/>
              <w:spacing w:before="0" w:line="213" w:lineRule="exact"/>
              <w:ind w:right="133"/>
              <w:rPr>
                <w:sz w:val="21"/>
              </w:rPr>
            </w:pPr>
            <w:r>
              <w:rPr>
                <w:sz w:val="21"/>
              </w:rPr>
              <w:t>School</w:t>
            </w:r>
            <w:r>
              <w:rPr>
                <w:spacing w:val="-7"/>
                <w:sz w:val="21"/>
              </w:rPr>
              <w:t xml:space="preserve"> </w:t>
            </w:r>
            <w:r>
              <w:rPr>
                <w:spacing w:val="-2"/>
                <w:sz w:val="21"/>
              </w:rPr>
              <w:t>participation</w:t>
            </w:r>
          </w:p>
        </w:tc>
        <w:tc>
          <w:tcPr>
            <w:tcW w:w="1243" w:type="dxa"/>
          </w:tcPr>
          <w:p w:rsidR="003F5784" w14:paraId="16E60BCE" w14:textId="77777777">
            <w:pPr>
              <w:pStyle w:val="TableParagraph"/>
              <w:spacing w:before="0"/>
              <w:jc w:val="left"/>
              <w:rPr>
                <w:sz w:val="16"/>
              </w:rPr>
            </w:pPr>
          </w:p>
        </w:tc>
        <w:tc>
          <w:tcPr>
            <w:tcW w:w="4138" w:type="dxa"/>
            <w:gridSpan w:val="7"/>
            <w:vMerge w:val="restart"/>
          </w:tcPr>
          <w:p w:rsidR="003F5784" w14:paraId="125F9091" w14:textId="77777777">
            <w:pPr>
              <w:pStyle w:val="TableParagraph"/>
              <w:spacing w:before="0"/>
              <w:jc w:val="left"/>
              <w:rPr>
                <w:sz w:val="20"/>
              </w:rPr>
            </w:pPr>
          </w:p>
        </w:tc>
      </w:tr>
      <w:tr w14:paraId="7E8C719A" w14:textId="77777777" w:rsidTr="00047860">
        <w:tblPrEx>
          <w:tblW w:w="0" w:type="auto"/>
          <w:tblInd w:w="552" w:type="dxa"/>
          <w:tblLayout w:type="fixed"/>
          <w:tblCellMar>
            <w:left w:w="0" w:type="dxa"/>
            <w:right w:w="0" w:type="dxa"/>
          </w:tblCellMar>
          <w:tblLook w:val="01E0"/>
        </w:tblPrEx>
        <w:trPr>
          <w:trHeight w:val="234"/>
        </w:trPr>
        <w:tc>
          <w:tcPr>
            <w:tcW w:w="3894" w:type="dxa"/>
            <w:gridSpan w:val="2"/>
          </w:tcPr>
          <w:p w:rsidR="003F5784" w14:paraId="7D1591C7" w14:textId="77777777">
            <w:pPr>
              <w:pStyle w:val="TableParagraph"/>
              <w:spacing w:before="0" w:line="215" w:lineRule="exact"/>
              <w:ind w:right="133"/>
              <w:rPr>
                <w:sz w:val="21"/>
              </w:rPr>
            </w:pPr>
            <w:r>
              <w:rPr>
                <w:sz w:val="21"/>
              </w:rPr>
              <w:t>Number</w:t>
            </w:r>
            <w:r>
              <w:rPr>
                <w:spacing w:val="-8"/>
                <w:sz w:val="21"/>
              </w:rPr>
              <w:t xml:space="preserve"> </w:t>
            </w:r>
            <w:r>
              <w:rPr>
                <w:spacing w:val="-5"/>
                <w:sz w:val="21"/>
              </w:rPr>
              <w:t>of</w:t>
            </w:r>
          </w:p>
        </w:tc>
        <w:tc>
          <w:tcPr>
            <w:tcW w:w="1604" w:type="dxa"/>
            <w:gridSpan w:val="3"/>
          </w:tcPr>
          <w:p w:rsidR="003F5784" w14:paraId="3F867036" w14:textId="77777777">
            <w:pPr>
              <w:pStyle w:val="TableParagraph"/>
              <w:spacing w:before="0" w:line="215" w:lineRule="exact"/>
              <w:ind w:right="133"/>
              <w:rPr>
                <w:sz w:val="21"/>
              </w:rPr>
            </w:pPr>
            <w:r>
              <w:rPr>
                <w:sz w:val="21"/>
              </w:rPr>
              <w:t>rates</w:t>
            </w:r>
            <w:r>
              <w:rPr>
                <w:spacing w:val="-7"/>
                <w:sz w:val="21"/>
              </w:rPr>
              <w:t xml:space="preserve"> </w:t>
            </w:r>
            <w:r>
              <w:rPr>
                <w:sz w:val="21"/>
              </w:rPr>
              <w:t>(percent)</w:t>
            </w:r>
            <w:r>
              <w:rPr>
                <w:spacing w:val="-7"/>
                <w:sz w:val="21"/>
              </w:rPr>
              <w:t xml:space="preserve"> </w:t>
            </w:r>
            <w:r>
              <w:rPr>
                <w:spacing w:val="-2"/>
                <w:sz w:val="21"/>
              </w:rPr>
              <w:t>before</w:t>
            </w:r>
          </w:p>
        </w:tc>
        <w:tc>
          <w:tcPr>
            <w:tcW w:w="1243" w:type="dxa"/>
          </w:tcPr>
          <w:p w:rsidR="003F5784" w14:paraId="238B9745" w14:textId="77777777">
            <w:pPr>
              <w:pStyle w:val="TableParagraph"/>
              <w:spacing w:before="0" w:line="215" w:lineRule="exact"/>
              <w:ind w:right="164"/>
              <w:rPr>
                <w:sz w:val="21"/>
              </w:rPr>
            </w:pPr>
            <w:r>
              <w:rPr>
                <w:sz w:val="21"/>
              </w:rPr>
              <w:t>School</w:t>
            </w:r>
            <w:r>
              <w:rPr>
                <w:spacing w:val="-7"/>
                <w:sz w:val="21"/>
              </w:rPr>
              <w:t xml:space="preserve"> </w:t>
            </w:r>
            <w:r>
              <w:rPr>
                <w:spacing w:val="-2"/>
                <w:sz w:val="21"/>
              </w:rPr>
              <w:t>participation</w:t>
            </w:r>
          </w:p>
        </w:tc>
        <w:tc>
          <w:tcPr>
            <w:tcW w:w="4138" w:type="dxa"/>
            <w:gridSpan w:val="7"/>
            <w:vMerge/>
            <w:tcBorders>
              <w:top w:val="nil"/>
            </w:tcBorders>
          </w:tcPr>
          <w:p w:rsidR="003F5784" w14:paraId="3D36E8C4" w14:textId="77777777">
            <w:pPr>
              <w:rPr>
                <w:sz w:val="2"/>
                <w:szCs w:val="2"/>
              </w:rPr>
            </w:pPr>
          </w:p>
        </w:tc>
      </w:tr>
      <w:tr w14:paraId="70C18CF8" w14:textId="77777777" w:rsidTr="00047860">
        <w:tblPrEx>
          <w:tblW w:w="0" w:type="auto"/>
          <w:tblInd w:w="552" w:type="dxa"/>
          <w:tblLayout w:type="fixed"/>
          <w:tblCellMar>
            <w:left w:w="0" w:type="dxa"/>
            <w:right w:w="0" w:type="dxa"/>
          </w:tblCellMar>
          <w:tblLook w:val="01E0"/>
        </w:tblPrEx>
        <w:trPr>
          <w:trHeight w:val="234"/>
        </w:trPr>
        <w:tc>
          <w:tcPr>
            <w:tcW w:w="3894" w:type="dxa"/>
            <w:gridSpan w:val="2"/>
          </w:tcPr>
          <w:p w:rsidR="003F5784" w14:paraId="6CEF2F4F" w14:textId="77777777">
            <w:pPr>
              <w:pStyle w:val="TableParagraph"/>
              <w:spacing w:before="0" w:line="215" w:lineRule="exact"/>
              <w:ind w:right="133"/>
              <w:rPr>
                <w:sz w:val="21"/>
              </w:rPr>
            </w:pPr>
            <w:r>
              <w:rPr>
                <w:sz w:val="21"/>
              </w:rPr>
              <w:t>schools</w:t>
            </w:r>
            <w:r>
              <w:rPr>
                <w:spacing w:val="-8"/>
                <w:sz w:val="21"/>
              </w:rPr>
              <w:t xml:space="preserve"> </w:t>
            </w:r>
            <w:r>
              <w:rPr>
                <w:spacing w:val="-5"/>
                <w:sz w:val="21"/>
              </w:rPr>
              <w:t>in</w:t>
            </w:r>
          </w:p>
        </w:tc>
        <w:tc>
          <w:tcPr>
            <w:tcW w:w="1604" w:type="dxa"/>
            <w:gridSpan w:val="3"/>
          </w:tcPr>
          <w:p w:rsidR="003F5784" w14:paraId="2EF6C809" w14:textId="77777777">
            <w:pPr>
              <w:pStyle w:val="TableParagraph"/>
              <w:spacing w:before="0" w:line="215" w:lineRule="exact"/>
              <w:ind w:right="133"/>
              <w:rPr>
                <w:sz w:val="21"/>
              </w:rPr>
            </w:pPr>
            <w:r>
              <w:rPr>
                <w:spacing w:val="-2"/>
                <w:sz w:val="21"/>
              </w:rPr>
              <w:t>substitution</w:t>
            </w:r>
          </w:p>
        </w:tc>
        <w:tc>
          <w:tcPr>
            <w:tcW w:w="1243" w:type="dxa"/>
          </w:tcPr>
          <w:p w:rsidR="003F5784" w14:paraId="4C64CF1F" w14:textId="77777777">
            <w:pPr>
              <w:pStyle w:val="TableParagraph"/>
              <w:spacing w:before="0" w:line="215" w:lineRule="exact"/>
              <w:ind w:right="164"/>
              <w:rPr>
                <w:sz w:val="21"/>
              </w:rPr>
            </w:pPr>
            <w:r>
              <w:rPr>
                <w:sz w:val="21"/>
              </w:rPr>
              <w:t>rates</w:t>
            </w:r>
            <w:r>
              <w:rPr>
                <w:spacing w:val="-5"/>
                <w:sz w:val="21"/>
              </w:rPr>
              <w:t xml:space="preserve"> </w:t>
            </w:r>
            <w:r>
              <w:rPr>
                <w:spacing w:val="-2"/>
                <w:sz w:val="21"/>
              </w:rPr>
              <w:t>(percent)</w:t>
            </w:r>
          </w:p>
        </w:tc>
        <w:tc>
          <w:tcPr>
            <w:tcW w:w="999" w:type="dxa"/>
          </w:tcPr>
          <w:p w:rsidR="003F5784" w14:paraId="526AA789" w14:textId="77777777">
            <w:pPr>
              <w:pStyle w:val="TableParagraph"/>
              <w:spacing w:before="0" w:line="215" w:lineRule="exact"/>
              <w:ind w:right="221"/>
              <w:rPr>
                <w:sz w:val="21"/>
              </w:rPr>
            </w:pPr>
            <w:r>
              <w:rPr>
                <w:sz w:val="21"/>
              </w:rPr>
              <w:t>Number</w:t>
            </w:r>
            <w:r>
              <w:rPr>
                <w:spacing w:val="-8"/>
                <w:sz w:val="21"/>
              </w:rPr>
              <w:t xml:space="preserve"> </w:t>
            </w:r>
            <w:r>
              <w:rPr>
                <w:spacing w:val="-5"/>
                <w:sz w:val="21"/>
              </w:rPr>
              <w:t>of</w:t>
            </w:r>
          </w:p>
        </w:tc>
        <w:tc>
          <w:tcPr>
            <w:tcW w:w="957" w:type="dxa"/>
            <w:gridSpan w:val="2"/>
          </w:tcPr>
          <w:p w:rsidR="003F5784" w14:paraId="60AA135A" w14:textId="77777777">
            <w:pPr>
              <w:pStyle w:val="TableParagraph"/>
              <w:spacing w:before="0" w:line="215" w:lineRule="exact"/>
              <w:ind w:right="130"/>
              <w:rPr>
                <w:sz w:val="21"/>
              </w:rPr>
            </w:pPr>
            <w:r>
              <w:rPr>
                <w:spacing w:val="-2"/>
                <w:sz w:val="21"/>
              </w:rPr>
              <w:t>Weighted</w:t>
            </w:r>
          </w:p>
        </w:tc>
        <w:tc>
          <w:tcPr>
            <w:tcW w:w="1184" w:type="dxa"/>
            <w:gridSpan w:val="3"/>
          </w:tcPr>
          <w:p w:rsidR="003F5784" w14:paraId="77B542B4" w14:textId="77777777">
            <w:pPr>
              <w:pStyle w:val="TableParagraph"/>
              <w:spacing w:before="0" w:line="215" w:lineRule="exact"/>
              <w:ind w:right="147"/>
              <w:rPr>
                <w:sz w:val="21"/>
              </w:rPr>
            </w:pPr>
            <w:r>
              <w:rPr>
                <w:spacing w:val="-2"/>
                <w:sz w:val="21"/>
              </w:rPr>
              <w:t>Weighted</w:t>
            </w:r>
            <w:r>
              <w:rPr>
                <w:spacing w:val="-11"/>
                <w:sz w:val="21"/>
              </w:rPr>
              <w:t xml:space="preserve"> </w:t>
            </w:r>
            <w:r>
              <w:rPr>
                <w:spacing w:val="-2"/>
                <w:sz w:val="21"/>
              </w:rPr>
              <w:t>student</w:t>
            </w:r>
          </w:p>
        </w:tc>
        <w:tc>
          <w:tcPr>
            <w:tcW w:w="998" w:type="dxa"/>
          </w:tcPr>
          <w:p w:rsidR="003F5784" w14:paraId="7FCCD984" w14:textId="77777777">
            <w:pPr>
              <w:pStyle w:val="TableParagraph"/>
              <w:spacing w:before="0"/>
              <w:jc w:val="left"/>
              <w:rPr>
                <w:sz w:val="16"/>
              </w:rPr>
            </w:pPr>
          </w:p>
        </w:tc>
      </w:tr>
      <w:tr w14:paraId="6712E37A" w14:textId="77777777" w:rsidTr="00047860">
        <w:tblPrEx>
          <w:tblW w:w="0" w:type="auto"/>
          <w:tblInd w:w="552" w:type="dxa"/>
          <w:tblLayout w:type="fixed"/>
          <w:tblCellMar>
            <w:left w:w="0" w:type="dxa"/>
            <w:right w:w="0" w:type="dxa"/>
          </w:tblCellMar>
          <w:tblLook w:val="01E0"/>
        </w:tblPrEx>
        <w:trPr>
          <w:trHeight w:val="234"/>
        </w:trPr>
        <w:tc>
          <w:tcPr>
            <w:tcW w:w="3894" w:type="dxa"/>
            <w:gridSpan w:val="2"/>
          </w:tcPr>
          <w:p w:rsidR="003F5784" w14:paraId="4C49F536" w14:textId="77777777">
            <w:pPr>
              <w:pStyle w:val="TableParagraph"/>
              <w:spacing w:before="0" w:line="215" w:lineRule="exact"/>
              <w:ind w:right="133"/>
              <w:rPr>
                <w:sz w:val="21"/>
              </w:rPr>
            </w:pPr>
            <w:r>
              <w:rPr>
                <w:spacing w:val="-2"/>
                <w:sz w:val="21"/>
              </w:rPr>
              <w:t>original</w:t>
            </w:r>
          </w:p>
        </w:tc>
        <w:tc>
          <w:tcPr>
            <w:tcW w:w="1604" w:type="dxa"/>
            <w:gridSpan w:val="3"/>
          </w:tcPr>
          <w:p w:rsidR="003F5784" w14:paraId="4C5100D8" w14:textId="77777777">
            <w:pPr>
              <w:pStyle w:val="TableParagraph"/>
              <w:spacing w:before="0" w:line="215" w:lineRule="exact"/>
              <w:ind w:right="133"/>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243" w:type="dxa"/>
          </w:tcPr>
          <w:p w:rsidR="003F5784" w14:paraId="5A9A2B58" w14:textId="77777777">
            <w:pPr>
              <w:pStyle w:val="TableParagraph"/>
              <w:spacing w:before="0" w:line="215" w:lineRule="exact"/>
              <w:ind w:right="164"/>
              <w:rPr>
                <w:sz w:val="21"/>
              </w:rPr>
            </w:pPr>
            <w:r>
              <w:rPr>
                <w:sz w:val="21"/>
              </w:rPr>
              <w:t>before</w:t>
            </w:r>
            <w:r>
              <w:rPr>
                <w:spacing w:val="-7"/>
                <w:sz w:val="21"/>
              </w:rPr>
              <w:t xml:space="preserve"> </w:t>
            </w:r>
            <w:r>
              <w:rPr>
                <w:spacing w:val="-2"/>
                <w:sz w:val="21"/>
              </w:rPr>
              <w:t>substitution</w:t>
            </w:r>
          </w:p>
        </w:tc>
        <w:tc>
          <w:tcPr>
            <w:tcW w:w="999" w:type="dxa"/>
          </w:tcPr>
          <w:p w:rsidR="003F5784" w14:paraId="677DB6BE" w14:textId="77777777">
            <w:pPr>
              <w:pStyle w:val="TableParagraph"/>
              <w:spacing w:before="0" w:line="215" w:lineRule="exact"/>
              <w:ind w:right="221"/>
              <w:rPr>
                <w:sz w:val="21"/>
              </w:rPr>
            </w:pPr>
            <w:r>
              <w:rPr>
                <w:spacing w:val="-2"/>
                <w:sz w:val="21"/>
              </w:rPr>
              <w:t>students</w:t>
            </w:r>
          </w:p>
        </w:tc>
        <w:tc>
          <w:tcPr>
            <w:tcW w:w="957" w:type="dxa"/>
            <w:gridSpan w:val="2"/>
          </w:tcPr>
          <w:p w:rsidR="003F5784" w14:paraId="5CD886D1" w14:textId="77777777">
            <w:pPr>
              <w:pStyle w:val="TableParagraph"/>
              <w:spacing w:before="0" w:line="215" w:lineRule="exact"/>
              <w:ind w:right="130"/>
              <w:rPr>
                <w:sz w:val="21"/>
              </w:rPr>
            </w:pPr>
            <w:r>
              <w:rPr>
                <w:sz w:val="21"/>
              </w:rPr>
              <w:t>percent</w:t>
            </w:r>
            <w:r>
              <w:rPr>
                <w:spacing w:val="-8"/>
                <w:sz w:val="21"/>
              </w:rPr>
              <w:t xml:space="preserve"> </w:t>
            </w:r>
            <w:r>
              <w:rPr>
                <w:spacing w:val="-5"/>
                <w:sz w:val="21"/>
              </w:rPr>
              <w:t>of</w:t>
            </w:r>
          </w:p>
        </w:tc>
        <w:tc>
          <w:tcPr>
            <w:tcW w:w="1184" w:type="dxa"/>
            <w:gridSpan w:val="3"/>
          </w:tcPr>
          <w:p w:rsidR="003F5784" w14:paraId="79B8DA10" w14:textId="77777777">
            <w:pPr>
              <w:pStyle w:val="TableParagraph"/>
              <w:spacing w:before="0" w:line="215" w:lineRule="exact"/>
              <w:ind w:right="147"/>
              <w:rPr>
                <w:sz w:val="21"/>
              </w:rPr>
            </w:pPr>
            <w:r>
              <w:rPr>
                <w:spacing w:val="-2"/>
                <w:sz w:val="21"/>
              </w:rPr>
              <w:t>participation</w:t>
            </w:r>
          </w:p>
        </w:tc>
        <w:tc>
          <w:tcPr>
            <w:tcW w:w="998" w:type="dxa"/>
          </w:tcPr>
          <w:p w:rsidR="003F5784" w14:paraId="4392855C" w14:textId="77777777">
            <w:pPr>
              <w:pStyle w:val="TableParagraph"/>
              <w:spacing w:before="0" w:line="215" w:lineRule="exact"/>
              <w:ind w:right="43"/>
              <w:rPr>
                <w:sz w:val="21"/>
              </w:rPr>
            </w:pPr>
            <w:r>
              <w:rPr>
                <w:spacing w:val="-2"/>
                <w:sz w:val="21"/>
              </w:rPr>
              <w:t>Weighted</w:t>
            </w:r>
            <w:r>
              <w:rPr>
                <w:spacing w:val="-11"/>
                <w:sz w:val="21"/>
              </w:rPr>
              <w:t xml:space="preserve"> </w:t>
            </w:r>
            <w:r>
              <w:rPr>
                <w:spacing w:val="-2"/>
                <w:sz w:val="21"/>
              </w:rPr>
              <w:t>percent</w:t>
            </w:r>
          </w:p>
        </w:tc>
      </w:tr>
      <w:tr w14:paraId="7610D7D8" w14:textId="77777777" w:rsidTr="00047860">
        <w:tblPrEx>
          <w:tblW w:w="0" w:type="auto"/>
          <w:tblInd w:w="552" w:type="dxa"/>
          <w:tblLayout w:type="fixed"/>
          <w:tblCellMar>
            <w:left w:w="0" w:type="dxa"/>
            <w:right w:w="0" w:type="dxa"/>
          </w:tblCellMar>
          <w:tblLook w:val="01E0"/>
        </w:tblPrEx>
        <w:trPr>
          <w:trHeight w:val="234"/>
        </w:trPr>
        <w:tc>
          <w:tcPr>
            <w:tcW w:w="3894" w:type="dxa"/>
            <w:gridSpan w:val="2"/>
          </w:tcPr>
          <w:p w:rsidR="003F5784" w14:paraId="5AAD9CFB" w14:textId="77777777">
            <w:pPr>
              <w:pStyle w:val="TableParagraph"/>
              <w:spacing w:before="0" w:line="215" w:lineRule="exact"/>
              <w:ind w:right="133"/>
              <w:rPr>
                <w:sz w:val="21"/>
              </w:rPr>
            </w:pPr>
            <w:r>
              <w:rPr>
                <w:spacing w:val="-2"/>
                <w:sz w:val="21"/>
              </w:rPr>
              <w:t>sample,</w:t>
            </w:r>
          </w:p>
        </w:tc>
        <w:tc>
          <w:tcPr>
            <w:tcW w:w="1604" w:type="dxa"/>
            <w:gridSpan w:val="3"/>
          </w:tcPr>
          <w:p w:rsidR="003F5784" w14:paraId="516C24F8" w14:textId="77777777">
            <w:pPr>
              <w:pStyle w:val="TableParagraph"/>
              <w:spacing w:before="0" w:line="215" w:lineRule="exact"/>
              <w:ind w:right="133"/>
              <w:rPr>
                <w:sz w:val="21"/>
              </w:rPr>
            </w:pPr>
            <w:r>
              <w:rPr>
                <w:sz w:val="21"/>
              </w:rPr>
              <w:t>weight</w:t>
            </w:r>
            <w:r>
              <w:rPr>
                <w:spacing w:val="-7"/>
                <w:sz w:val="21"/>
              </w:rPr>
              <w:t xml:space="preserve"> </w:t>
            </w:r>
            <w:r>
              <w:rPr>
                <w:spacing w:val="-5"/>
                <w:sz w:val="21"/>
              </w:rPr>
              <w:t>and</w:t>
            </w:r>
          </w:p>
        </w:tc>
        <w:tc>
          <w:tcPr>
            <w:tcW w:w="1243" w:type="dxa"/>
          </w:tcPr>
          <w:p w:rsidR="003F5784" w14:paraId="3CD32B7D" w14:textId="77777777">
            <w:pPr>
              <w:pStyle w:val="TableParagraph"/>
              <w:spacing w:before="0" w:line="215" w:lineRule="exact"/>
              <w:ind w:right="164"/>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999" w:type="dxa"/>
          </w:tcPr>
          <w:p w:rsidR="003F5784" w14:paraId="0C383BBF" w14:textId="77777777">
            <w:pPr>
              <w:pStyle w:val="TableParagraph"/>
              <w:spacing w:before="0" w:line="215" w:lineRule="exact"/>
              <w:ind w:right="221"/>
              <w:rPr>
                <w:sz w:val="21"/>
              </w:rPr>
            </w:pPr>
            <w:r>
              <w:rPr>
                <w:spacing w:val="-2"/>
                <w:sz w:val="21"/>
              </w:rPr>
              <w:t>sampled,</w:t>
            </w:r>
          </w:p>
        </w:tc>
        <w:tc>
          <w:tcPr>
            <w:tcW w:w="957" w:type="dxa"/>
            <w:gridSpan w:val="2"/>
          </w:tcPr>
          <w:p w:rsidR="003F5784" w14:paraId="6458BFFD" w14:textId="77777777">
            <w:pPr>
              <w:pStyle w:val="TableParagraph"/>
              <w:spacing w:before="0" w:line="215" w:lineRule="exact"/>
              <w:ind w:right="130"/>
              <w:rPr>
                <w:sz w:val="21"/>
              </w:rPr>
            </w:pPr>
            <w:r>
              <w:rPr>
                <w:spacing w:val="-2"/>
                <w:sz w:val="21"/>
              </w:rPr>
              <w:t>students</w:t>
            </w:r>
          </w:p>
        </w:tc>
        <w:tc>
          <w:tcPr>
            <w:tcW w:w="1184" w:type="dxa"/>
            <w:gridSpan w:val="3"/>
          </w:tcPr>
          <w:p w:rsidR="003F5784" w14:paraId="3BCA3031" w14:textId="77777777">
            <w:pPr>
              <w:pStyle w:val="TableParagraph"/>
              <w:spacing w:before="0" w:line="215" w:lineRule="exact"/>
              <w:ind w:right="147"/>
              <w:rPr>
                <w:sz w:val="21"/>
              </w:rPr>
            </w:pPr>
            <w:r>
              <w:rPr>
                <w:sz w:val="21"/>
              </w:rPr>
              <w:t>rates</w:t>
            </w:r>
            <w:r>
              <w:rPr>
                <w:spacing w:val="-5"/>
                <w:sz w:val="21"/>
              </w:rPr>
              <w:t xml:space="preserve"> </w:t>
            </w:r>
            <w:r>
              <w:rPr>
                <w:spacing w:val="-2"/>
                <w:sz w:val="21"/>
              </w:rPr>
              <w:t>(percent)</w:t>
            </w:r>
          </w:p>
        </w:tc>
        <w:tc>
          <w:tcPr>
            <w:tcW w:w="998" w:type="dxa"/>
          </w:tcPr>
          <w:p w:rsidR="003F5784" w14:paraId="56A79520" w14:textId="77777777">
            <w:pPr>
              <w:pStyle w:val="TableParagraph"/>
              <w:spacing w:before="0" w:line="215" w:lineRule="exact"/>
              <w:ind w:right="43"/>
              <w:rPr>
                <w:sz w:val="21"/>
              </w:rPr>
            </w:pPr>
            <w:r>
              <w:rPr>
                <w:sz w:val="21"/>
              </w:rPr>
              <w:t>of</w:t>
            </w:r>
            <w:r>
              <w:rPr>
                <w:spacing w:val="-3"/>
                <w:sz w:val="21"/>
              </w:rPr>
              <w:t xml:space="preserve"> </w:t>
            </w:r>
            <w:r>
              <w:rPr>
                <w:spacing w:val="-2"/>
                <w:sz w:val="21"/>
              </w:rPr>
              <w:t>students</w:t>
            </w:r>
          </w:p>
        </w:tc>
      </w:tr>
      <w:tr w14:paraId="112B0194" w14:textId="77777777" w:rsidTr="00047860">
        <w:tblPrEx>
          <w:tblW w:w="0" w:type="auto"/>
          <w:tblInd w:w="552" w:type="dxa"/>
          <w:tblLayout w:type="fixed"/>
          <w:tblCellMar>
            <w:left w:w="0" w:type="dxa"/>
            <w:right w:w="0" w:type="dxa"/>
          </w:tblCellMar>
          <w:tblLook w:val="01E0"/>
        </w:tblPrEx>
        <w:trPr>
          <w:trHeight w:val="232"/>
        </w:trPr>
        <w:tc>
          <w:tcPr>
            <w:tcW w:w="3894" w:type="dxa"/>
            <w:gridSpan w:val="2"/>
          </w:tcPr>
          <w:p w:rsidR="003F5784" w14:paraId="7F3576E5" w14:textId="77777777">
            <w:pPr>
              <w:pStyle w:val="TableParagraph"/>
              <w:tabs>
                <w:tab w:val="left" w:pos="3025"/>
              </w:tabs>
              <w:spacing w:before="0" w:line="213" w:lineRule="exact"/>
              <w:ind w:right="133"/>
              <w:rPr>
                <w:sz w:val="21"/>
              </w:rPr>
            </w:pPr>
            <w:r>
              <w:rPr>
                <w:sz w:val="21"/>
              </w:rPr>
              <w:t>School</w:t>
            </w:r>
            <w:r>
              <w:rPr>
                <w:spacing w:val="-6"/>
                <w:sz w:val="21"/>
              </w:rPr>
              <w:t xml:space="preserve"> </w:t>
            </w:r>
            <w:r>
              <w:rPr>
                <w:sz w:val="21"/>
              </w:rPr>
              <w:t>type</w:t>
            </w:r>
            <w:r>
              <w:rPr>
                <w:spacing w:val="-5"/>
                <w:sz w:val="21"/>
              </w:rPr>
              <w:t xml:space="preserve"> </w:t>
            </w:r>
            <w:r>
              <w:rPr>
                <w:sz w:val="21"/>
              </w:rPr>
              <w:t>and</w:t>
            </w:r>
            <w:r>
              <w:rPr>
                <w:spacing w:val="-5"/>
                <w:sz w:val="21"/>
              </w:rPr>
              <w:t xml:space="preserve"> </w:t>
            </w:r>
            <w:r>
              <w:rPr>
                <w:spacing w:val="-2"/>
                <w:sz w:val="21"/>
              </w:rPr>
              <w:t>jurisdiction</w:t>
            </w:r>
            <w:r>
              <w:rPr>
                <w:sz w:val="21"/>
              </w:rPr>
              <w:tab/>
            </w:r>
            <w:r>
              <w:rPr>
                <w:spacing w:val="-2"/>
                <w:sz w:val="21"/>
              </w:rPr>
              <w:t>rounded</w:t>
            </w:r>
          </w:p>
        </w:tc>
        <w:tc>
          <w:tcPr>
            <w:tcW w:w="1604" w:type="dxa"/>
            <w:gridSpan w:val="3"/>
          </w:tcPr>
          <w:p w:rsidR="003F5784" w14:paraId="411F3217" w14:textId="77777777">
            <w:pPr>
              <w:pStyle w:val="TableParagraph"/>
              <w:spacing w:before="0" w:line="213" w:lineRule="exact"/>
              <w:ind w:right="133"/>
              <w:rPr>
                <w:sz w:val="21"/>
              </w:rPr>
            </w:pPr>
            <w:r>
              <w:rPr>
                <w:spacing w:val="-2"/>
                <w:sz w:val="21"/>
              </w:rPr>
              <w:t>enrollment)</w:t>
            </w:r>
          </w:p>
        </w:tc>
        <w:tc>
          <w:tcPr>
            <w:tcW w:w="1243" w:type="dxa"/>
          </w:tcPr>
          <w:p w:rsidR="003F5784" w14:paraId="64D182C8" w14:textId="77777777">
            <w:pPr>
              <w:pStyle w:val="TableParagraph"/>
              <w:spacing w:before="0" w:line="213" w:lineRule="exact"/>
              <w:ind w:right="164"/>
              <w:rPr>
                <w:sz w:val="21"/>
              </w:rPr>
            </w:pPr>
            <w:r>
              <w:rPr>
                <w:sz w:val="21"/>
              </w:rPr>
              <w:t>weight</w:t>
            </w:r>
            <w:r>
              <w:rPr>
                <w:spacing w:val="-7"/>
                <w:sz w:val="21"/>
              </w:rPr>
              <w:t xml:space="preserve"> </w:t>
            </w:r>
            <w:r>
              <w:rPr>
                <w:spacing w:val="-2"/>
                <w:sz w:val="21"/>
              </w:rPr>
              <w:t>only)</w:t>
            </w:r>
          </w:p>
        </w:tc>
        <w:tc>
          <w:tcPr>
            <w:tcW w:w="999" w:type="dxa"/>
          </w:tcPr>
          <w:p w:rsidR="003F5784" w14:paraId="5493181C" w14:textId="77777777">
            <w:pPr>
              <w:pStyle w:val="TableParagraph"/>
              <w:spacing w:before="0" w:line="213" w:lineRule="exact"/>
              <w:ind w:right="221"/>
              <w:rPr>
                <w:sz w:val="21"/>
              </w:rPr>
            </w:pPr>
            <w:r>
              <w:rPr>
                <w:spacing w:val="-2"/>
                <w:sz w:val="21"/>
              </w:rPr>
              <w:t>rounded</w:t>
            </w:r>
          </w:p>
        </w:tc>
        <w:tc>
          <w:tcPr>
            <w:tcW w:w="957" w:type="dxa"/>
            <w:gridSpan w:val="2"/>
          </w:tcPr>
          <w:p w:rsidR="003F5784" w14:paraId="2A10C1C4" w14:textId="77777777">
            <w:pPr>
              <w:pStyle w:val="TableParagraph"/>
              <w:spacing w:before="0" w:line="213" w:lineRule="exact"/>
              <w:ind w:right="130"/>
              <w:rPr>
                <w:sz w:val="21"/>
              </w:rPr>
            </w:pPr>
            <w:r>
              <w:rPr>
                <w:spacing w:val="-2"/>
                <w:sz w:val="21"/>
              </w:rPr>
              <w:t>excluded</w:t>
            </w:r>
          </w:p>
        </w:tc>
        <w:tc>
          <w:tcPr>
            <w:tcW w:w="1184" w:type="dxa"/>
            <w:gridSpan w:val="3"/>
          </w:tcPr>
          <w:p w:rsidR="003F5784" w14:paraId="5FE63CA4" w14:textId="77777777">
            <w:pPr>
              <w:pStyle w:val="TableParagraph"/>
              <w:spacing w:before="0" w:line="213" w:lineRule="exact"/>
              <w:ind w:right="147"/>
              <w:rPr>
                <w:sz w:val="21"/>
              </w:rPr>
            </w:pPr>
            <w:r>
              <w:rPr>
                <w:sz w:val="21"/>
              </w:rPr>
              <w:t>after</w:t>
            </w:r>
            <w:r>
              <w:rPr>
                <w:spacing w:val="-5"/>
                <w:sz w:val="21"/>
              </w:rPr>
              <w:t xml:space="preserve"> </w:t>
            </w:r>
            <w:r>
              <w:rPr>
                <w:spacing w:val="-2"/>
                <w:sz w:val="21"/>
              </w:rPr>
              <w:t>makeups</w:t>
            </w:r>
          </w:p>
        </w:tc>
        <w:tc>
          <w:tcPr>
            <w:tcW w:w="998" w:type="dxa"/>
          </w:tcPr>
          <w:p w:rsidR="003F5784" w14:paraId="1EB14183" w14:textId="77777777">
            <w:pPr>
              <w:pStyle w:val="TableParagraph"/>
              <w:spacing w:before="0" w:line="213" w:lineRule="exact"/>
              <w:ind w:right="43"/>
              <w:rPr>
                <w:sz w:val="21"/>
              </w:rPr>
            </w:pPr>
            <w:r>
              <w:rPr>
                <w:spacing w:val="-2"/>
                <w:sz w:val="21"/>
              </w:rPr>
              <w:t>accommodated</w:t>
            </w:r>
          </w:p>
        </w:tc>
      </w:tr>
      <w:tr w14:paraId="4B05F589" w14:textId="77777777" w:rsidTr="00047860">
        <w:tblPrEx>
          <w:tblW w:w="0" w:type="auto"/>
          <w:tblInd w:w="552" w:type="dxa"/>
          <w:tblLayout w:type="fixed"/>
          <w:tblCellMar>
            <w:left w:w="0" w:type="dxa"/>
            <w:right w:w="0" w:type="dxa"/>
          </w:tblCellMar>
          <w:tblLook w:val="01E0"/>
        </w:tblPrEx>
        <w:trPr>
          <w:trHeight w:val="278"/>
        </w:trPr>
        <w:tc>
          <w:tcPr>
            <w:tcW w:w="2919" w:type="dxa"/>
            <w:tcBorders>
              <w:top w:val="single" w:sz="18" w:space="0" w:color="800000"/>
            </w:tcBorders>
          </w:tcPr>
          <w:p w:rsidR="003F5784" w14:paraId="39E84D14" w14:textId="77777777">
            <w:pPr>
              <w:pStyle w:val="TableParagraph"/>
              <w:spacing w:before="9"/>
              <w:ind w:left="120"/>
              <w:jc w:val="left"/>
              <w:rPr>
                <w:sz w:val="21"/>
              </w:rPr>
            </w:pPr>
            <w:r>
              <w:rPr>
                <w:spacing w:val="-2"/>
                <w:sz w:val="21"/>
              </w:rPr>
              <w:t>Wisconsin</w:t>
            </w:r>
          </w:p>
        </w:tc>
        <w:tc>
          <w:tcPr>
            <w:tcW w:w="1209" w:type="dxa"/>
            <w:gridSpan w:val="2"/>
            <w:tcBorders>
              <w:top w:val="single" w:sz="18" w:space="0" w:color="800000"/>
            </w:tcBorders>
          </w:tcPr>
          <w:p w:rsidR="003F5784" w14:paraId="1FE1C897" w14:textId="77777777">
            <w:pPr>
              <w:pStyle w:val="TableParagraph"/>
              <w:spacing w:before="9"/>
              <w:ind w:right="141"/>
              <w:jc w:val="center"/>
              <w:rPr>
                <w:sz w:val="21"/>
              </w:rPr>
            </w:pPr>
            <w:r>
              <w:rPr>
                <w:spacing w:val="-5"/>
                <w:sz w:val="21"/>
              </w:rPr>
              <w:t>130</w:t>
            </w:r>
          </w:p>
        </w:tc>
        <w:tc>
          <w:tcPr>
            <w:tcW w:w="1260" w:type="dxa"/>
            <w:tcBorders>
              <w:top w:val="single" w:sz="18" w:space="0" w:color="800000"/>
            </w:tcBorders>
          </w:tcPr>
          <w:p w:rsidR="003F5784" w14:paraId="33D917E8" w14:textId="77777777">
            <w:pPr>
              <w:pStyle w:val="TableParagraph"/>
              <w:spacing w:before="9"/>
              <w:ind w:left="159" w:right="112"/>
              <w:jc w:val="center"/>
              <w:rPr>
                <w:sz w:val="21"/>
              </w:rPr>
            </w:pPr>
            <w:r>
              <w:rPr>
                <w:spacing w:val="-2"/>
                <w:sz w:val="21"/>
              </w:rPr>
              <w:t>100.00</w:t>
            </w:r>
          </w:p>
        </w:tc>
        <w:tc>
          <w:tcPr>
            <w:tcW w:w="1353" w:type="dxa"/>
            <w:gridSpan w:val="2"/>
            <w:tcBorders>
              <w:top w:val="single" w:sz="18" w:space="0" w:color="800000"/>
            </w:tcBorders>
          </w:tcPr>
          <w:p w:rsidR="003F5784" w14:paraId="2A76EAF6" w14:textId="77777777">
            <w:pPr>
              <w:pStyle w:val="TableParagraph"/>
              <w:spacing w:before="9"/>
              <w:ind w:right="386"/>
              <w:rPr>
                <w:sz w:val="21"/>
              </w:rPr>
            </w:pPr>
            <w:r>
              <w:rPr>
                <w:spacing w:val="-2"/>
                <w:sz w:val="21"/>
              </w:rPr>
              <w:t>100.00</w:t>
            </w:r>
          </w:p>
        </w:tc>
        <w:tc>
          <w:tcPr>
            <w:tcW w:w="1080" w:type="dxa"/>
            <w:gridSpan w:val="2"/>
            <w:tcBorders>
              <w:top w:val="single" w:sz="18" w:space="0" w:color="800000"/>
            </w:tcBorders>
          </w:tcPr>
          <w:p w:rsidR="003F5784" w14:paraId="2F20A461" w14:textId="77777777">
            <w:pPr>
              <w:pStyle w:val="TableParagraph"/>
              <w:spacing w:before="9"/>
              <w:ind w:right="462"/>
              <w:rPr>
                <w:sz w:val="21"/>
              </w:rPr>
            </w:pPr>
            <w:r>
              <w:rPr>
                <w:spacing w:val="-2"/>
                <w:sz w:val="21"/>
              </w:rPr>
              <w:t>3,100</w:t>
            </w:r>
          </w:p>
        </w:tc>
        <w:tc>
          <w:tcPr>
            <w:tcW w:w="900" w:type="dxa"/>
            <w:gridSpan w:val="2"/>
            <w:tcBorders>
              <w:top w:val="single" w:sz="18" w:space="0" w:color="800000"/>
            </w:tcBorders>
          </w:tcPr>
          <w:p w:rsidR="003F5784" w14:paraId="124EDBE2" w14:textId="77777777">
            <w:pPr>
              <w:pStyle w:val="TableParagraph"/>
              <w:spacing w:before="9"/>
              <w:ind w:left="463"/>
              <w:jc w:val="left"/>
              <w:rPr>
                <w:sz w:val="21"/>
              </w:rPr>
            </w:pPr>
            <w:r>
              <w:rPr>
                <w:spacing w:val="-4"/>
                <w:sz w:val="21"/>
              </w:rPr>
              <w:t>0.82</w:t>
            </w:r>
          </w:p>
        </w:tc>
        <w:tc>
          <w:tcPr>
            <w:tcW w:w="1080" w:type="dxa"/>
            <w:tcBorders>
              <w:top w:val="single" w:sz="18" w:space="0" w:color="800000"/>
            </w:tcBorders>
          </w:tcPr>
          <w:p w:rsidR="003F5784" w14:paraId="76561AE1" w14:textId="77777777">
            <w:pPr>
              <w:pStyle w:val="TableParagraph"/>
              <w:spacing w:before="9"/>
              <w:ind w:right="22"/>
              <w:jc w:val="center"/>
              <w:rPr>
                <w:sz w:val="21"/>
              </w:rPr>
            </w:pPr>
            <w:r>
              <w:rPr>
                <w:spacing w:val="-2"/>
                <w:sz w:val="21"/>
              </w:rPr>
              <w:t>88.02</w:t>
            </w:r>
          </w:p>
        </w:tc>
        <w:tc>
          <w:tcPr>
            <w:tcW w:w="1077" w:type="dxa"/>
            <w:gridSpan w:val="2"/>
            <w:tcBorders>
              <w:top w:val="single" w:sz="18" w:space="0" w:color="800000"/>
            </w:tcBorders>
          </w:tcPr>
          <w:p w:rsidR="003F5784" w14:paraId="60522944" w14:textId="77777777">
            <w:pPr>
              <w:pStyle w:val="TableParagraph"/>
              <w:spacing w:before="9"/>
              <w:ind w:right="118"/>
              <w:rPr>
                <w:sz w:val="21"/>
              </w:rPr>
            </w:pPr>
            <w:r>
              <w:rPr>
                <w:spacing w:val="-2"/>
                <w:sz w:val="21"/>
              </w:rPr>
              <w:t>12.48</w:t>
            </w:r>
          </w:p>
        </w:tc>
      </w:tr>
      <w:tr w14:paraId="77CB70D1"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3EA96ED3" w14:textId="77777777">
            <w:pPr>
              <w:pStyle w:val="TableParagraph"/>
              <w:ind w:left="120"/>
              <w:jc w:val="left"/>
              <w:rPr>
                <w:sz w:val="21"/>
              </w:rPr>
            </w:pPr>
            <w:r>
              <w:rPr>
                <w:spacing w:val="-2"/>
                <w:sz w:val="21"/>
              </w:rPr>
              <w:t>Wyoming</w:t>
            </w:r>
          </w:p>
        </w:tc>
        <w:tc>
          <w:tcPr>
            <w:tcW w:w="1209" w:type="dxa"/>
            <w:gridSpan w:val="2"/>
          </w:tcPr>
          <w:p w:rsidR="003F5784" w14:paraId="050D5744" w14:textId="77777777">
            <w:pPr>
              <w:pStyle w:val="TableParagraph"/>
              <w:ind w:left="104" w:right="141"/>
              <w:jc w:val="center"/>
              <w:rPr>
                <w:sz w:val="21"/>
              </w:rPr>
            </w:pPr>
            <w:r>
              <w:rPr>
                <w:spacing w:val="-5"/>
                <w:sz w:val="21"/>
              </w:rPr>
              <w:t>70</w:t>
            </w:r>
          </w:p>
        </w:tc>
        <w:tc>
          <w:tcPr>
            <w:tcW w:w="1260" w:type="dxa"/>
          </w:tcPr>
          <w:p w:rsidR="003F5784" w14:paraId="6BD99189" w14:textId="77777777">
            <w:pPr>
              <w:pStyle w:val="TableParagraph"/>
              <w:ind w:left="159" w:right="112"/>
              <w:jc w:val="center"/>
              <w:rPr>
                <w:sz w:val="21"/>
              </w:rPr>
            </w:pPr>
            <w:r>
              <w:rPr>
                <w:spacing w:val="-2"/>
                <w:sz w:val="21"/>
              </w:rPr>
              <w:t>100.00</w:t>
            </w:r>
          </w:p>
        </w:tc>
        <w:tc>
          <w:tcPr>
            <w:tcW w:w="1353" w:type="dxa"/>
            <w:gridSpan w:val="2"/>
          </w:tcPr>
          <w:p w:rsidR="003F5784" w14:paraId="14B119B3" w14:textId="77777777">
            <w:pPr>
              <w:pStyle w:val="TableParagraph"/>
              <w:ind w:right="386"/>
              <w:rPr>
                <w:sz w:val="21"/>
              </w:rPr>
            </w:pPr>
            <w:r>
              <w:rPr>
                <w:spacing w:val="-2"/>
                <w:sz w:val="21"/>
              </w:rPr>
              <w:t>100.00</w:t>
            </w:r>
          </w:p>
        </w:tc>
        <w:tc>
          <w:tcPr>
            <w:tcW w:w="1080" w:type="dxa"/>
            <w:gridSpan w:val="2"/>
          </w:tcPr>
          <w:p w:rsidR="003F5784" w14:paraId="6933B547" w14:textId="77777777">
            <w:pPr>
              <w:pStyle w:val="TableParagraph"/>
              <w:ind w:right="462"/>
              <w:rPr>
                <w:sz w:val="21"/>
              </w:rPr>
            </w:pPr>
            <w:r>
              <w:rPr>
                <w:spacing w:val="-2"/>
                <w:sz w:val="21"/>
              </w:rPr>
              <w:t>2,200</w:t>
            </w:r>
          </w:p>
        </w:tc>
        <w:tc>
          <w:tcPr>
            <w:tcW w:w="900" w:type="dxa"/>
            <w:gridSpan w:val="2"/>
          </w:tcPr>
          <w:p w:rsidR="003F5784" w14:paraId="7FBE490B" w14:textId="77777777">
            <w:pPr>
              <w:pStyle w:val="TableParagraph"/>
              <w:ind w:left="463"/>
              <w:jc w:val="left"/>
              <w:rPr>
                <w:sz w:val="21"/>
              </w:rPr>
            </w:pPr>
            <w:r>
              <w:rPr>
                <w:spacing w:val="-4"/>
                <w:sz w:val="21"/>
              </w:rPr>
              <w:t>1.68</w:t>
            </w:r>
          </w:p>
        </w:tc>
        <w:tc>
          <w:tcPr>
            <w:tcW w:w="1080" w:type="dxa"/>
          </w:tcPr>
          <w:p w:rsidR="003F5784" w14:paraId="42052C8C" w14:textId="77777777">
            <w:pPr>
              <w:pStyle w:val="TableParagraph"/>
              <w:ind w:right="22"/>
              <w:jc w:val="center"/>
              <w:rPr>
                <w:sz w:val="21"/>
              </w:rPr>
            </w:pPr>
            <w:r>
              <w:rPr>
                <w:spacing w:val="-2"/>
                <w:sz w:val="21"/>
              </w:rPr>
              <w:t>87.19</w:t>
            </w:r>
          </w:p>
        </w:tc>
        <w:tc>
          <w:tcPr>
            <w:tcW w:w="1077" w:type="dxa"/>
            <w:gridSpan w:val="2"/>
          </w:tcPr>
          <w:p w:rsidR="003F5784" w14:paraId="5B8AD2F2" w14:textId="77777777">
            <w:pPr>
              <w:pStyle w:val="TableParagraph"/>
              <w:ind w:right="118"/>
              <w:rPr>
                <w:sz w:val="21"/>
              </w:rPr>
            </w:pPr>
            <w:r>
              <w:rPr>
                <w:spacing w:val="-2"/>
                <w:sz w:val="21"/>
              </w:rPr>
              <w:t>12.90</w:t>
            </w:r>
          </w:p>
        </w:tc>
      </w:tr>
      <w:tr w14:paraId="5D698D41" w14:textId="77777777" w:rsidTr="00047860">
        <w:tblPrEx>
          <w:tblW w:w="0" w:type="auto"/>
          <w:tblInd w:w="552" w:type="dxa"/>
          <w:tblLayout w:type="fixed"/>
          <w:tblCellMar>
            <w:left w:w="0" w:type="dxa"/>
            <w:right w:w="0" w:type="dxa"/>
          </w:tblCellMar>
          <w:tblLook w:val="01E0"/>
        </w:tblPrEx>
        <w:trPr>
          <w:trHeight w:val="286"/>
        </w:trPr>
        <w:tc>
          <w:tcPr>
            <w:tcW w:w="10878" w:type="dxa"/>
            <w:gridSpan w:val="13"/>
          </w:tcPr>
          <w:p w:rsidR="003F5784" w14:paraId="52B3F923" w14:textId="77777777">
            <w:pPr>
              <w:pStyle w:val="TableParagraph"/>
              <w:ind w:left="370"/>
              <w:jc w:val="left"/>
              <w:rPr>
                <w:b/>
                <w:i/>
                <w:sz w:val="21"/>
              </w:rPr>
            </w:pPr>
            <w:r>
              <w:rPr>
                <w:b/>
                <w:i/>
                <w:sz w:val="21"/>
              </w:rPr>
              <w:t>Trial</w:t>
            </w:r>
            <w:r>
              <w:rPr>
                <w:b/>
                <w:i/>
                <w:spacing w:val="-10"/>
                <w:sz w:val="21"/>
              </w:rPr>
              <w:t xml:space="preserve"> </w:t>
            </w:r>
            <w:r>
              <w:rPr>
                <w:b/>
                <w:i/>
                <w:sz w:val="21"/>
              </w:rPr>
              <w:t>Urban</w:t>
            </w:r>
            <w:r>
              <w:rPr>
                <w:b/>
                <w:i/>
                <w:spacing w:val="-9"/>
                <w:sz w:val="21"/>
              </w:rPr>
              <w:t xml:space="preserve"> </w:t>
            </w:r>
            <w:r>
              <w:rPr>
                <w:b/>
                <w:i/>
                <w:sz w:val="21"/>
              </w:rPr>
              <w:t>(TUDA)</w:t>
            </w:r>
            <w:r>
              <w:rPr>
                <w:b/>
                <w:i/>
                <w:spacing w:val="-10"/>
                <w:sz w:val="21"/>
              </w:rPr>
              <w:t xml:space="preserve"> </w:t>
            </w:r>
            <w:r>
              <w:rPr>
                <w:b/>
                <w:i/>
                <w:spacing w:val="-2"/>
                <w:sz w:val="21"/>
              </w:rPr>
              <w:t>Districts</w:t>
            </w:r>
          </w:p>
        </w:tc>
      </w:tr>
      <w:tr w14:paraId="3325FB00"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355CD2C7" w14:textId="77777777">
            <w:pPr>
              <w:pStyle w:val="TableParagraph"/>
              <w:ind w:left="120"/>
              <w:jc w:val="left"/>
              <w:rPr>
                <w:sz w:val="21"/>
              </w:rPr>
            </w:pPr>
            <w:r>
              <w:rPr>
                <w:spacing w:val="-2"/>
                <w:sz w:val="21"/>
              </w:rPr>
              <w:t>Albuquerque</w:t>
            </w:r>
          </w:p>
        </w:tc>
        <w:tc>
          <w:tcPr>
            <w:tcW w:w="1209" w:type="dxa"/>
            <w:gridSpan w:val="2"/>
          </w:tcPr>
          <w:p w:rsidR="003F5784" w14:paraId="450EDFCE" w14:textId="77777777">
            <w:pPr>
              <w:pStyle w:val="TableParagraph"/>
              <w:ind w:left="104" w:right="141"/>
              <w:jc w:val="center"/>
              <w:rPr>
                <w:sz w:val="21"/>
              </w:rPr>
            </w:pPr>
            <w:r>
              <w:rPr>
                <w:spacing w:val="-5"/>
                <w:sz w:val="21"/>
              </w:rPr>
              <w:t>30</w:t>
            </w:r>
          </w:p>
        </w:tc>
        <w:tc>
          <w:tcPr>
            <w:tcW w:w="1260" w:type="dxa"/>
          </w:tcPr>
          <w:p w:rsidR="003F5784" w14:paraId="66ACAE8F" w14:textId="77777777">
            <w:pPr>
              <w:pStyle w:val="TableParagraph"/>
              <w:ind w:left="159" w:right="112"/>
              <w:jc w:val="center"/>
              <w:rPr>
                <w:sz w:val="21"/>
              </w:rPr>
            </w:pPr>
            <w:r>
              <w:rPr>
                <w:spacing w:val="-2"/>
                <w:sz w:val="21"/>
              </w:rPr>
              <w:t>100.00</w:t>
            </w:r>
          </w:p>
        </w:tc>
        <w:tc>
          <w:tcPr>
            <w:tcW w:w="1353" w:type="dxa"/>
            <w:gridSpan w:val="2"/>
          </w:tcPr>
          <w:p w:rsidR="003F5784" w14:paraId="09B1A428" w14:textId="77777777">
            <w:pPr>
              <w:pStyle w:val="TableParagraph"/>
              <w:ind w:right="386"/>
              <w:rPr>
                <w:sz w:val="21"/>
              </w:rPr>
            </w:pPr>
            <w:r>
              <w:rPr>
                <w:spacing w:val="-2"/>
                <w:sz w:val="21"/>
              </w:rPr>
              <w:t>100.00</w:t>
            </w:r>
          </w:p>
        </w:tc>
        <w:tc>
          <w:tcPr>
            <w:tcW w:w="1080" w:type="dxa"/>
            <w:gridSpan w:val="2"/>
          </w:tcPr>
          <w:p w:rsidR="003F5784" w14:paraId="7EF33DD6" w14:textId="77777777">
            <w:pPr>
              <w:pStyle w:val="TableParagraph"/>
              <w:ind w:right="462"/>
              <w:rPr>
                <w:sz w:val="21"/>
              </w:rPr>
            </w:pPr>
            <w:r>
              <w:rPr>
                <w:spacing w:val="-2"/>
                <w:sz w:val="21"/>
              </w:rPr>
              <w:t>1,100</w:t>
            </w:r>
          </w:p>
        </w:tc>
        <w:tc>
          <w:tcPr>
            <w:tcW w:w="900" w:type="dxa"/>
            <w:gridSpan w:val="2"/>
          </w:tcPr>
          <w:p w:rsidR="003F5784" w14:paraId="54983A7E" w14:textId="77777777">
            <w:pPr>
              <w:pStyle w:val="TableParagraph"/>
              <w:ind w:left="463"/>
              <w:jc w:val="left"/>
              <w:rPr>
                <w:sz w:val="21"/>
              </w:rPr>
            </w:pPr>
            <w:r>
              <w:rPr>
                <w:spacing w:val="-4"/>
                <w:sz w:val="21"/>
              </w:rPr>
              <w:t>1.10</w:t>
            </w:r>
          </w:p>
        </w:tc>
        <w:tc>
          <w:tcPr>
            <w:tcW w:w="1080" w:type="dxa"/>
          </w:tcPr>
          <w:p w:rsidR="003F5784" w14:paraId="6F08E86F" w14:textId="77777777">
            <w:pPr>
              <w:pStyle w:val="TableParagraph"/>
              <w:ind w:right="22"/>
              <w:jc w:val="center"/>
              <w:rPr>
                <w:sz w:val="21"/>
              </w:rPr>
            </w:pPr>
            <w:r>
              <w:rPr>
                <w:spacing w:val="-2"/>
                <w:sz w:val="21"/>
              </w:rPr>
              <w:t>86.92</w:t>
            </w:r>
          </w:p>
        </w:tc>
        <w:tc>
          <w:tcPr>
            <w:tcW w:w="1077" w:type="dxa"/>
            <w:gridSpan w:val="2"/>
          </w:tcPr>
          <w:p w:rsidR="003F5784" w14:paraId="43C9E369" w14:textId="77777777">
            <w:pPr>
              <w:pStyle w:val="TableParagraph"/>
              <w:ind w:right="118"/>
              <w:rPr>
                <w:sz w:val="21"/>
              </w:rPr>
            </w:pPr>
            <w:r>
              <w:rPr>
                <w:spacing w:val="-2"/>
                <w:sz w:val="21"/>
              </w:rPr>
              <w:t>14.47</w:t>
            </w:r>
          </w:p>
        </w:tc>
      </w:tr>
      <w:tr w14:paraId="0FCD70FF"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531B1042" w14:textId="77777777">
            <w:pPr>
              <w:pStyle w:val="TableParagraph"/>
              <w:ind w:left="120"/>
              <w:jc w:val="left"/>
              <w:rPr>
                <w:sz w:val="21"/>
              </w:rPr>
            </w:pPr>
            <w:r>
              <w:rPr>
                <w:spacing w:val="-2"/>
                <w:sz w:val="21"/>
              </w:rPr>
              <w:t>Atlanta</w:t>
            </w:r>
          </w:p>
        </w:tc>
        <w:tc>
          <w:tcPr>
            <w:tcW w:w="1209" w:type="dxa"/>
            <w:gridSpan w:val="2"/>
          </w:tcPr>
          <w:p w:rsidR="003F5784" w14:paraId="504B84F9" w14:textId="77777777">
            <w:pPr>
              <w:pStyle w:val="TableParagraph"/>
              <w:ind w:left="104" w:right="141"/>
              <w:jc w:val="center"/>
              <w:rPr>
                <w:sz w:val="21"/>
              </w:rPr>
            </w:pPr>
            <w:r>
              <w:rPr>
                <w:spacing w:val="-5"/>
                <w:sz w:val="21"/>
              </w:rPr>
              <w:t>30</w:t>
            </w:r>
          </w:p>
        </w:tc>
        <w:tc>
          <w:tcPr>
            <w:tcW w:w="1260" w:type="dxa"/>
          </w:tcPr>
          <w:p w:rsidR="003F5784" w14:paraId="7C392BDB" w14:textId="77777777">
            <w:pPr>
              <w:pStyle w:val="TableParagraph"/>
              <w:ind w:left="159" w:right="112"/>
              <w:jc w:val="center"/>
              <w:rPr>
                <w:sz w:val="21"/>
              </w:rPr>
            </w:pPr>
            <w:r>
              <w:rPr>
                <w:spacing w:val="-2"/>
                <w:sz w:val="21"/>
              </w:rPr>
              <w:t>100.00</w:t>
            </w:r>
          </w:p>
        </w:tc>
        <w:tc>
          <w:tcPr>
            <w:tcW w:w="1353" w:type="dxa"/>
            <w:gridSpan w:val="2"/>
          </w:tcPr>
          <w:p w:rsidR="003F5784" w14:paraId="385463E0" w14:textId="77777777">
            <w:pPr>
              <w:pStyle w:val="TableParagraph"/>
              <w:ind w:right="386"/>
              <w:rPr>
                <w:sz w:val="21"/>
              </w:rPr>
            </w:pPr>
            <w:r>
              <w:rPr>
                <w:spacing w:val="-2"/>
                <w:sz w:val="21"/>
              </w:rPr>
              <w:t>100.00</w:t>
            </w:r>
          </w:p>
        </w:tc>
        <w:tc>
          <w:tcPr>
            <w:tcW w:w="1080" w:type="dxa"/>
            <w:gridSpan w:val="2"/>
          </w:tcPr>
          <w:p w:rsidR="003F5784" w14:paraId="188850D5" w14:textId="77777777">
            <w:pPr>
              <w:pStyle w:val="TableParagraph"/>
              <w:ind w:right="462"/>
              <w:rPr>
                <w:sz w:val="21"/>
              </w:rPr>
            </w:pPr>
            <w:r>
              <w:rPr>
                <w:spacing w:val="-2"/>
                <w:sz w:val="21"/>
              </w:rPr>
              <w:t>1,000</w:t>
            </w:r>
          </w:p>
        </w:tc>
        <w:tc>
          <w:tcPr>
            <w:tcW w:w="900" w:type="dxa"/>
            <w:gridSpan w:val="2"/>
          </w:tcPr>
          <w:p w:rsidR="003F5784" w14:paraId="4091C7A8" w14:textId="77777777">
            <w:pPr>
              <w:pStyle w:val="TableParagraph"/>
              <w:ind w:left="463"/>
              <w:jc w:val="left"/>
              <w:rPr>
                <w:sz w:val="21"/>
              </w:rPr>
            </w:pPr>
            <w:r>
              <w:rPr>
                <w:spacing w:val="-4"/>
                <w:sz w:val="21"/>
              </w:rPr>
              <w:t>2.75</w:t>
            </w:r>
          </w:p>
        </w:tc>
        <w:tc>
          <w:tcPr>
            <w:tcW w:w="1080" w:type="dxa"/>
          </w:tcPr>
          <w:p w:rsidR="003F5784" w14:paraId="33A54E6D" w14:textId="77777777">
            <w:pPr>
              <w:pStyle w:val="TableParagraph"/>
              <w:ind w:right="22"/>
              <w:jc w:val="center"/>
              <w:rPr>
                <w:sz w:val="21"/>
              </w:rPr>
            </w:pPr>
            <w:r>
              <w:rPr>
                <w:spacing w:val="-2"/>
                <w:sz w:val="21"/>
              </w:rPr>
              <w:t>90.57</w:t>
            </w:r>
          </w:p>
        </w:tc>
        <w:tc>
          <w:tcPr>
            <w:tcW w:w="1077" w:type="dxa"/>
            <w:gridSpan w:val="2"/>
          </w:tcPr>
          <w:p w:rsidR="003F5784" w14:paraId="67BE6FA1" w14:textId="77777777">
            <w:pPr>
              <w:pStyle w:val="TableParagraph"/>
              <w:ind w:right="118"/>
              <w:rPr>
                <w:sz w:val="21"/>
              </w:rPr>
            </w:pPr>
            <w:r>
              <w:rPr>
                <w:spacing w:val="-2"/>
                <w:sz w:val="21"/>
              </w:rPr>
              <w:t>17.20</w:t>
            </w:r>
          </w:p>
        </w:tc>
      </w:tr>
      <w:tr w14:paraId="7D9328FC"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5774A3A1" w14:textId="77777777">
            <w:pPr>
              <w:pStyle w:val="TableParagraph"/>
              <w:ind w:left="120"/>
              <w:jc w:val="left"/>
              <w:rPr>
                <w:sz w:val="21"/>
              </w:rPr>
            </w:pPr>
            <w:r>
              <w:rPr>
                <w:spacing w:val="-2"/>
                <w:sz w:val="21"/>
              </w:rPr>
              <w:t>Austin</w:t>
            </w:r>
          </w:p>
        </w:tc>
        <w:tc>
          <w:tcPr>
            <w:tcW w:w="1209" w:type="dxa"/>
            <w:gridSpan w:val="2"/>
          </w:tcPr>
          <w:p w:rsidR="003F5784" w14:paraId="30B62BC9" w14:textId="77777777">
            <w:pPr>
              <w:pStyle w:val="TableParagraph"/>
              <w:ind w:left="104" w:right="141"/>
              <w:jc w:val="center"/>
              <w:rPr>
                <w:sz w:val="21"/>
              </w:rPr>
            </w:pPr>
            <w:r>
              <w:rPr>
                <w:spacing w:val="-5"/>
                <w:sz w:val="21"/>
              </w:rPr>
              <w:t>20</w:t>
            </w:r>
          </w:p>
        </w:tc>
        <w:tc>
          <w:tcPr>
            <w:tcW w:w="1260" w:type="dxa"/>
          </w:tcPr>
          <w:p w:rsidR="003F5784" w14:paraId="57BA7EC2" w14:textId="77777777">
            <w:pPr>
              <w:pStyle w:val="TableParagraph"/>
              <w:ind w:left="159" w:right="112"/>
              <w:jc w:val="center"/>
              <w:rPr>
                <w:sz w:val="21"/>
              </w:rPr>
            </w:pPr>
            <w:r>
              <w:rPr>
                <w:spacing w:val="-2"/>
                <w:sz w:val="21"/>
              </w:rPr>
              <w:t>100.00</w:t>
            </w:r>
          </w:p>
        </w:tc>
        <w:tc>
          <w:tcPr>
            <w:tcW w:w="1353" w:type="dxa"/>
            <w:gridSpan w:val="2"/>
          </w:tcPr>
          <w:p w:rsidR="003F5784" w14:paraId="289DAFEB" w14:textId="77777777">
            <w:pPr>
              <w:pStyle w:val="TableParagraph"/>
              <w:ind w:right="386"/>
              <w:rPr>
                <w:sz w:val="21"/>
              </w:rPr>
            </w:pPr>
            <w:r>
              <w:rPr>
                <w:spacing w:val="-2"/>
                <w:sz w:val="21"/>
              </w:rPr>
              <w:t>100.00</w:t>
            </w:r>
          </w:p>
        </w:tc>
        <w:tc>
          <w:tcPr>
            <w:tcW w:w="1080" w:type="dxa"/>
            <w:gridSpan w:val="2"/>
          </w:tcPr>
          <w:p w:rsidR="003F5784" w14:paraId="4472A33C" w14:textId="77777777">
            <w:pPr>
              <w:pStyle w:val="TableParagraph"/>
              <w:ind w:right="462"/>
              <w:rPr>
                <w:sz w:val="21"/>
              </w:rPr>
            </w:pPr>
            <w:r>
              <w:rPr>
                <w:spacing w:val="-2"/>
                <w:sz w:val="21"/>
              </w:rPr>
              <w:t>1,100</w:t>
            </w:r>
          </w:p>
        </w:tc>
        <w:tc>
          <w:tcPr>
            <w:tcW w:w="900" w:type="dxa"/>
            <w:gridSpan w:val="2"/>
          </w:tcPr>
          <w:p w:rsidR="003F5784" w14:paraId="7CED1EF8" w14:textId="77777777">
            <w:pPr>
              <w:pStyle w:val="TableParagraph"/>
              <w:ind w:left="463"/>
              <w:jc w:val="left"/>
              <w:rPr>
                <w:sz w:val="21"/>
              </w:rPr>
            </w:pPr>
            <w:r>
              <w:rPr>
                <w:spacing w:val="-4"/>
                <w:sz w:val="21"/>
              </w:rPr>
              <w:t>2.02</w:t>
            </w:r>
          </w:p>
        </w:tc>
        <w:tc>
          <w:tcPr>
            <w:tcW w:w="1080" w:type="dxa"/>
          </w:tcPr>
          <w:p w:rsidR="003F5784" w14:paraId="2FC9F8B2" w14:textId="77777777">
            <w:pPr>
              <w:pStyle w:val="TableParagraph"/>
              <w:ind w:right="22"/>
              <w:jc w:val="center"/>
              <w:rPr>
                <w:sz w:val="21"/>
              </w:rPr>
            </w:pPr>
            <w:r>
              <w:rPr>
                <w:spacing w:val="-2"/>
                <w:sz w:val="21"/>
              </w:rPr>
              <w:t>86.68</w:t>
            </w:r>
          </w:p>
        </w:tc>
        <w:tc>
          <w:tcPr>
            <w:tcW w:w="1077" w:type="dxa"/>
            <w:gridSpan w:val="2"/>
          </w:tcPr>
          <w:p w:rsidR="003F5784" w14:paraId="72568E04" w14:textId="77777777">
            <w:pPr>
              <w:pStyle w:val="TableParagraph"/>
              <w:ind w:right="118"/>
              <w:rPr>
                <w:sz w:val="21"/>
              </w:rPr>
            </w:pPr>
            <w:r>
              <w:rPr>
                <w:spacing w:val="-2"/>
                <w:sz w:val="21"/>
              </w:rPr>
              <w:t>24.02</w:t>
            </w:r>
          </w:p>
        </w:tc>
      </w:tr>
      <w:tr w14:paraId="19E57BBC"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11983D5E" w14:textId="77777777">
            <w:pPr>
              <w:pStyle w:val="TableParagraph"/>
              <w:ind w:left="120"/>
              <w:jc w:val="left"/>
              <w:rPr>
                <w:sz w:val="21"/>
              </w:rPr>
            </w:pPr>
            <w:r>
              <w:rPr>
                <w:sz w:val="21"/>
              </w:rPr>
              <w:t>Baltimore</w:t>
            </w:r>
            <w:r>
              <w:rPr>
                <w:spacing w:val="-10"/>
                <w:sz w:val="21"/>
              </w:rPr>
              <w:t xml:space="preserve"> </w:t>
            </w:r>
            <w:r>
              <w:rPr>
                <w:spacing w:val="-4"/>
                <w:sz w:val="21"/>
              </w:rPr>
              <w:t>City</w:t>
            </w:r>
          </w:p>
        </w:tc>
        <w:tc>
          <w:tcPr>
            <w:tcW w:w="1209" w:type="dxa"/>
            <w:gridSpan w:val="2"/>
          </w:tcPr>
          <w:p w:rsidR="003F5784" w14:paraId="1876EF54" w14:textId="77777777">
            <w:pPr>
              <w:pStyle w:val="TableParagraph"/>
              <w:ind w:left="104" w:right="141"/>
              <w:jc w:val="center"/>
              <w:rPr>
                <w:sz w:val="21"/>
              </w:rPr>
            </w:pPr>
            <w:r>
              <w:rPr>
                <w:spacing w:val="-5"/>
                <w:sz w:val="21"/>
              </w:rPr>
              <w:t>50</w:t>
            </w:r>
          </w:p>
        </w:tc>
        <w:tc>
          <w:tcPr>
            <w:tcW w:w="1260" w:type="dxa"/>
          </w:tcPr>
          <w:p w:rsidR="003F5784" w14:paraId="25C83B7D" w14:textId="77777777">
            <w:pPr>
              <w:pStyle w:val="TableParagraph"/>
              <w:ind w:left="159" w:right="112"/>
              <w:jc w:val="center"/>
              <w:rPr>
                <w:sz w:val="21"/>
              </w:rPr>
            </w:pPr>
            <w:r>
              <w:rPr>
                <w:spacing w:val="-2"/>
                <w:sz w:val="21"/>
              </w:rPr>
              <w:t>100.00</w:t>
            </w:r>
          </w:p>
        </w:tc>
        <w:tc>
          <w:tcPr>
            <w:tcW w:w="1353" w:type="dxa"/>
            <w:gridSpan w:val="2"/>
          </w:tcPr>
          <w:p w:rsidR="003F5784" w14:paraId="0D9EF950" w14:textId="77777777">
            <w:pPr>
              <w:pStyle w:val="TableParagraph"/>
              <w:ind w:right="386"/>
              <w:rPr>
                <w:sz w:val="21"/>
              </w:rPr>
            </w:pPr>
            <w:r>
              <w:rPr>
                <w:spacing w:val="-2"/>
                <w:sz w:val="21"/>
              </w:rPr>
              <w:t>100.00</w:t>
            </w:r>
          </w:p>
        </w:tc>
        <w:tc>
          <w:tcPr>
            <w:tcW w:w="1080" w:type="dxa"/>
            <w:gridSpan w:val="2"/>
          </w:tcPr>
          <w:p w:rsidR="003F5784" w14:paraId="26CF2FCE" w14:textId="77777777">
            <w:pPr>
              <w:pStyle w:val="TableParagraph"/>
              <w:ind w:right="462"/>
              <w:rPr>
                <w:sz w:val="21"/>
              </w:rPr>
            </w:pPr>
            <w:r>
              <w:rPr>
                <w:spacing w:val="-2"/>
                <w:sz w:val="21"/>
              </w:rPr>
              <w:t>1,000</w:t>
            </w:r>
          </w:p>
        </w:tc>
        <w:tc>
          <w:tcPr>
            <w:tcW w:w="900" w:type="dxa"/>
            <w:gridSpan w:val="2"/>
          </w:tcPr>
          <w:p w:rsidR="003F5784" w14:paraId="7569BF16" w14:textId="77777777">
            <w:pPr>
              <w:pStyle w:val="TableParagraph"/>
              <w:ind w:left="463"/>
              <w:jc w:val="left"/>
              <w:rPr>
                <w:sz w:val="21"/>
              </w:rPr>
            </w:pPr>
            <w:r>
              <w:rPr>
                <w:spacing w:val="-4"/>
                <w:sz w:val="21"/>
              </w:rPr>
              <w:t>2.85</w:t>
            </w:r>
          </w:p>
        </w:tc>
        <w:tc>
          <w:tcPr>
            <w:tcW w:w="1080" w:type="dxa"/>
          </w:tcPr>
          <w:p w:rsidR="003F5784" w14:paraId="74D4933E" w14:textId="77777777">
            <w:pPr>
              <w:pStyle w:val="TableParagraph"/>
              <w:ind w:right="22"/>
              <w:jc w:val="center"/>
              <w:rPr>
                <w:sz w:val="21"/>
              </w:rPr>
            </w:pPr>
            <w:r>
              <w:rPr>
                <w:spacing w:val="-2"/>
                <w:sz w:val="21"/>
              </w:rPr>
              <w:t>90.61</w:t>
            </w:r>
          </w:p>
        </w:tc>
        <w:tc>
          <w:tcPr>
            <w:tcW w:w="1077" w:type="dxa"/>
            <w:gridSpan w:val="2"/>
          </w:tcPr>
          <w:p w:rsidR="003F5784" w14:paraId="1A21B33A" w14:textId="77777777">
            <w:pPr>
              <w:pStyle w:val="TableParagraph"/>
              <w:ind w:right="118"/>
              <w:rPr>
                <w:sz w:val="21"/>
              </w:rPr>
            </w:pPr>
            <w:r>
              <w:rPr>
                <w:spacing w:val="-2"/>
                <w:sz w:val="21"/>
              </w:rPr>
              <w:t>21.72</w:t>
            </w:r>
          </w:p>
        </w:tc>
      </w:tr>
      <w:tr w14:paraId="711E99F8"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13C88F9A" w14:textId="77777777">
            <w:pPr>
              <w:pStyle w:val="TableParagraph"/>
              <w:ind w:left="120"/>
              <w:jc w:val="left"/>
              <w:rPr>
                <w:sz w:val="21"/>
              </w:rPr>
            </w:pPr>
            <w:r>
              <w:rPr>
                <w:spacing w:val="-2"/>
                <w:sz w:val="21"/>
              </w:rPr>
              <w:t>Boston</w:t>
            </w:r>
          </w:p>
        </w:tc>
        <w:tc>
          <w:tcPr>
            <w:tcW w:w="1209" w:type="dxa"/>
            <w:gridSpan w:val="2"/>
          </w:tcPr>
          <w:p w:rsidR="003F5784" w14:paraId="1039B22F" w14:textId="77777777">
            <w:pPr>
              <w:pStyle w:val="TableParagraph"/>
              <w:ind w:left="104" w:right="141"/>
              <w:jc w:val="center"/>
              <w:rPr>
                <w:sz w:val="21"/>
              </w:rPr>
            </w:pPr>
            <w:r>
              <w:rPr>
                <w:spacing w:val="-5"/>
                <w:sz w:val="21"/>
              </w:rPr>
              <w:t>50</w:t>
            </w:r>
          </w:p>
        </w:tc>
        <w:tc>
          <w:tcPr>
            <w:tcW w:w="1260" w:type="dxa"/>
          </w:tcPr>
          <w:p w:rsidR="003F5784" w14:paraId="10756123" w14:textId="77777777">
            <w:pPr>
              <w:pStyle w:val="TableParagraph"/>
              <w:ind w:left="159" w:right="112"/>
              <w:jc w:val="center"/>
              <w:rPr>
                <w:sz w:val="21"/>
              </w:rPr>
            </w:pPr>
            <w:r>
              <w:rPr>
                <w:spacing w:val="-2"/>
                <w:sz w:val="21"/>
              </w:rPr>
              <w:t>100.00</w:t>
            </w:r>
          </w:p>
        </w:tc>
        <w:tc>
          <w:tcPr>
            <w:tcW w:w="1353" w:type="dxa"/>
            <w:gridSpan w:val="2"/>
          </w:tcPr>
          <w:p w:rsidR="003F5784" w14:paraId="021C27B4" w14:textId="77777777">
            <w:pPr>
              <w:pStyle w:val="TableParagraph"/>
              <w:ind w:right="386"/>
              <w:rPr>
                <w:sz w:val="21"/>
              </w:rPr>
            </w:pPr>
            <w:r>
              <w:rPr>
                <w:spacing w:val="-2"/>
                <w:sz w:val="21"/>
              </w:rPr>
              <w:t>100.00</w:t>
            </w:r>
          </w:p>
        </w:tc>
        <w:tc>
          <w:tcPr>
            <w:tcW w:w="1080" w:type="dxa"/>
            <w:gridSpan w:val="2"/>
          </w:tcPr>
          <w:p w:rsidR="003F5784" w14:paraId="0D2BC969" w14:textId="77777777">
            <w:pPr>
              <w:pStyle w:val="TableParagraph"/>
              <w:ind w:right="462"/>
              <w:rPr>
                <w:sz w:val="21"/>
              </w:rPr>
            </w:pPr>
            <w:r>
              <w:rPr>
                <w:spacing w:val="-2"/>
                <w:sz w:val="21"/>
              </w:rPr>
              <w:t>1,000</w:t>
            </w:r>
          </w:p>
        </w:tc>
        <w:tc>
          <w:tcPr>
            <w:tcW w:w="900" w:type="dxa"/>
            <w:gridSpan w:val="2"/>
          </w:tcPr>
          <w:p w:rsidR="003F5784" w14:paraId="63DA6A48" w14:textId="77777777">
            <w:pPr>
              <w:pStyle w:val="TableParagraph"/>
              <w:ind w:left="463"/>
              <w:jc w:val="left"/>
              <w:rPr>
                <w:sz w:val="21"/>
              </w:rPr>
            </w:pPr>
            <w:r>
              <w:rPr>
                <w:spacing w:val="-4"/>
                <w:sz w:val="21"/>
              </w:rPr>
              <w:t>5.72</w:t>
            </w:r>
          </w:p>
        </w:tc>
        <w:tc>
          <w:tcPr>
            <w:tcW w:w="1080" w:type="dxa"/>
          </w:tcPr>
          <w:p w:rsidR="003F5784" w14:paraId="4D2C3246" w14:textId="77777777">
            <w:pPr>
              <w:pStyle w:val="TableParagraph"/>
              <w:ind w:right="22"/>
              <w:jc w:val="center"/>
              <w:rPr>
                <w:sz w:val="21"/>
              </w:rPr>
            </w:pPr>
            <w:r>
              <w:rPr>
                <w:spacing w:val="-2"/>
                <w:sz w:val="21"/>
              </w:rPr>
              <w:t>87.12</w:t>
            </w:r>
          </w:p>
        </w:tc>
        <w:tc>
          <w:tcPr>
            <w:tcW w:w="1077" w:type="dxa"/>
            <w:gridSpan w:val="2"/>
          </w:tcPr>
          <w:p w:rsidR="003F5784" w14:paraId="33918817" w14:textId="77777777">
            <w:pPr>
              <w:pStyle w:val="TableParagraph"/>
              <w:ind w:right="118"/>
              <w:rPr>
                <w:sz w:val="21"/>
              </w:rPr>
            </w:pPr>
            <w:r>
              <w:rPr>
                <w:spacing w:val="-2"/>
                <w:sz w:val="21"/>
              </w:rPr>
              <w:t>17.28</w:t>
            </w:r>
          </w:p>
        </w:tc>
      </w:tr>
      <w:tr w14:paraId="350AF883"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3E05A11A" w14:textId="77777777">
            <w:pPr>
              <w:pStyle w:val="TableParagraph"/>
              <w:ind w:left="120"/>
              <w:jc w:val="left"/>
              <w:rPr>
                <w:sz w:val="21"/>
              </w:rPr>
            </w:pPr>
            <w:r>
              <w:rPr>
                <w:spacing w:val="-2"/>
                <w:sz w:val="21"/>
              </w:rPr>
              <w:t>Charlotte-Mecklenburg</w:t>
            </w:r>
          </w:p>
        </w:tc>
        <w:tc>
          <w:tcPr>
            <w:tcW w:w="1209" w:type="dxa"/>
            <w:gridSpan w:val="2"/>
          </w:tcPr>
          <w:p w:rsidR="003F5784" w14:paraId="79022C65" w14:textId="77777777">
            <w:pPr>
              <w:pStyle w:val="TableParagraph"/>
              <w:ind w:left="104" w:right="141"/>
              <w:jc w:val="center"/>
              <w:rPr>
                <w:sz w:val="21"/>
              </w:rPr>
            </w:pPr>
            <w:r>
              <w:rPr>
                <w:spacing w:val="-5"/>
                <w:sz w:val="21"/>
              </w:rPr>
              <w:t>30</w:t>
            </w:r>
          </w:p>
        </w:tc>
        <w:tc>
          <w:tcPr>
            <w:tcW w:w="1260" w:type="dxa"/>
          </w:tcPr>
          <w:p w:rsidR="003F5784" w14:paraId="636E299B" w14:textId="77777777">
            <w:pPr>
              <w:pStyle w:val="TableParagraph"/>
              <w:ind w:left="159" w:right="112"/>
              <w:jc w:val="center"/>
              <w:rPr>
                <w:sz w:val="21"/>
              </w:rPr>
            </w:pPr>
            <w:r>
              <w:rPr>
                <w:spacing w:val="-2"/>
                <w:sz w:val="21"/>
              </w:rPr>
              <w:t>100.00</w:t>
            </w:r>
          </w:p>
        </w:tc>
        <w:tc>
          <w:tcPr>
            <w:tcW w:w="1353" w:type="dxa"/>
            <w:gridSpan w:val="2"/>
          </w:tcPr>
          <w:p w:rsidR="003F5784" w14:paraId="143F1686" w14:textId="77777777">
            <w:pPr>
              <w:pStyle w:val="TableParagraph"/>
              <w:ind w:right="386"/>
              <w:rPr>
                <w:sz w:val="21"/>
              </w:rPr>
            </w:pPr>
            <w:r>
              <w:rPr>
                <w:spacing w:val="-2"/>
                <w:sz w:val="21"/>
              </w:rPr>
              <w:t>100.00</w:t>
            </w:r>
          </w:p>
        </w:tc>
        <w:tc>
          <w:tcPr>
            <w:tcW w:w="1080" w:type="dxa"/>
            <w:gridSpan w:val="2"/>
          </w:tcPr>
          <w:p w:rsidR="003F5784" w14:paraId="534FC5C8" w14:textId="77777777">
            <w:pPr>
              <w:pStyle w:val="TableParagraph"/>
              <w:ind w:right="462"/>
              <w:rPr>
                <w:sz w:val="21"/>
              </w:rPr>
            </w:pPr>
            <w:r>
              <w:rPr>
                <w:spacing w:val="-2"/>
                <w:sz w:val="21"/>
              </w:rPr>
              <w:t>1,100</w:t>
            </w:r>
          </w:p>
        </w:tc>
        <w:tc>
          <w:tcPr>
            <w:tcW w:w="900" w:type="dxa"/>
            <w:gridSpan w:val="2"/>
          </w:tcPr>
          <w:p w:rsidR="003F5784" w14:paraId="36635EDA" w14:textId="77777777">
            <w:pPr>
              <w:pStyle w:val="TableParagraph"/>
              <w:ind w:left="463"/>
              <w:jc w:val="left"/>
              <w:rPr>
                <w:sz w:val="21"/>
              </w:rPr>
            </w:pPr>
            <w:r>
              <w:rPr>
                <w:spacing w:val="-4"/>
                <w:sz w:val="21"/>
              </w:rPr>
              <w:t>2.68</w:t>
            </w:r>
          </w:p>
        </w:tc>
        <w:tc>
          <w:tcPr>
            <w:tcW w:w="1080" w:type="dxa"/>
          </w:tcPr>
          <w:p w:rsidR="003F5784" w14:paraId="1D3A98D4" w14:textId="77777777">
            <w:pPr>
              <w:pStyle w:val="TableParagraph"/>
              <w:ind w:right="22"/>
              <w:jc w:val="center"/>
              <w:rPr>
                <w:sz w:val="21"/>
              </w:rPr>
            </w:pPr>
            <w:r>
              <w:rPr>
                <w:spacing w:val="-2"/>
                <w:sz w:val="21"/>
              </w:rPr>
              <w:t>89.31</w:t>
            </w:r>
          </w:p>
        </w:tc>
        <w:tc>
          <w:tcPr>
            <w:tcW w:w="1077" w:type="dxa"/>
            <w:gridSpan w:val="2"/>
          </w:tcPr>
          <w:p w:rsidR="003F5784" w14:paraId="6C05C95D" w14:textId="77777777">
            <w:pPr>
              <w:pStyle w:val="TableParagraph"/>
              <w:ind w:right="118"/>
              <w:rPr>
                <w:sz w:val="21"/>
              </w:rPr>
            </w:pPr>
            <w:r>
              <w:rPr>
                <w:spacing w:val="-2"/>
                <w:sz w:val="21"/>
              </w:rPr>
              <w:t>10.90</w:t>
            </w:r>
          </w:p>
        </w:tc>
      </w:tr>
      <w:tr w14:paraId="23E51899"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00EC79A8" w14:textId="77777777">
            <w:pPr>
              <w:pStyle w:val="TableParagraph"/>
              <w:ind w:left="120"/>
              <w:jc w:val="left"/>
              <w:rPr>
                <w:sz w:val="21"/>
              </w:rPr>
            </w:pPr>
            <w:r>
              <w:rPr>
                <w:spacing w:val="-2"/>
                <w:sz w:val="21"/>
              </w:rPr>
              <w:t>Chicago</w:t>
            </w:r>
          </w:p>
        </w:tc>
        <w:tc>
          <w:tcPr>
            <w:tcW w:w="1209" w:type="dxa"/>
            <w:gridSpan w:val="2"/>
          </w:tcPr>
          <w:p w:rsidR="003F5784" w14:paraId="0B03E120" w14:textId="77777777">
            <w:pPr>
              <w:pStyle w:val="TableParagraph"/>
              <w:ind w:left="104" w:right="141"/>
              <w:jc w:val="center"/>
              <w:rPr>
                <w:sz w:val="21"/>
              </w:rPr>
            </w:pPr>
            <w:r>
              <w:rPr>
                <w:spacing w:val="-5"/>
                <w:sz w:val="21"/>
              </w:rPr>
              <w:t>70</w:t>
            </w:r>
          </w:p>
        </w:tc>
        <w:tc>
          <w:tcPr>
            <w:tcW w:w="1260" w:type="dxa"/>
          </w:tcPr>
          <w:p w:rsidR="003F5784" w14:paraId="2EE039DB" w14:textId="77777777">
            <w:pPr>
              <w:pStyle w:val="TableParagraph"/>
              <w:ind w:left="159" w:right="112"/>
              <w:jc w:val="center"/>
              <w:rPr>
                <w:sz w:val="21"/>
              </w:rPr>
            </w:pPr>
            <w:r>
              <w:rPr>
                <w:spacing w:val="-2"/>
                <w:sz w:val="21"/>
              </w:rPr>
              <w:t>100.00</w:t>
            </w:r>
          </w:p>
        </w:tc>
        <w:tc>
          <w:tcPr>
            <w:tcW w:w="1353" w:type="dxa"/>
            <w:gridSpan w:val="2"/>
          </w:tcPr>
          <w:p w:rsidR="003F5784" w14:paraId="6B18527F" w14:textId="77777777">
            <w:pPr>
              <w:pStyle w:val="TableParagraph"/>
              <w:ind w:right="386"/>
              <w:rPr>
                <w:sz w:val="21"/>
              </w:rPr>
            </w:pPr>
            <w:r>
              <w:rPr>
                <w:spacing w:val="-2"/>
                <w:sz w:val="21"/>
              </w:rPr>
              <w:t>100.00</w:t>
            </w:r>
          </w:p>
        </w:tc>
        <w:tc>
          <w:tcPr>
            <w:tcW w:w="1080" w:type="dxa"/>
            <w:gridSpan w:val="2"/>
          </w:tcPr>
          <w:p w:rsidR="003F5784" w14:paraId="1F21C2B8" w14:textId="77777777">
            <w:pPr>
              <w:pStyle w:val="TableParagraph"/>
              <w:ind w:right="462"/>
              <w:rPr>
                <w:sz w:val="21"/>
              </w:rPr>
            </w:pPr>
            <w:r>
              <w:rPr>
                <w:spacing w:val="-2"/>
                <w:sz w:val="21"/>
              </w:rPr>
              <w:t>1,600</w:t>
            </w:r>
          </w:p>
        </w:tc>
        <w:tc>
          <w:tcPr>
            <w:tcW w:w="900" w:type="dxa"/>
            <w:gridSpan w:val="2"/>
          </w:tcPr>
          <w:p w:rsidR="003F5784" w14:paraId="6D37D05A" w14:textId="77777777">
            <w:pPr>
              <w:pStyle w:val="TableParagraph"/>
              <w:ind w:left="463"/>
              <w:jc w:val="left"/>
              <w:rPr>
                <w:sz w:val="21"/>
              </w:rPr>
            </w:pPr>
            <w:r>
              <w:rPr>
                <w:spacing w:val="-4"/>
                <w:sz w:val="21"/>
              </w:rPr>
              <w:t>1.51</w:t>
            </w:r>
          </w:p>
        </w:tc>
        <w:tc>
          <w:tcPr>
            <w:tcW w:w="1080" w:type="dxa"/>
          </w:tcPr>
          <w:p w:rsidR="003F5784" w14:paraId="1140FFCA" w14:textId="77777777">
            <w:pPr>
              <w:pStyle w:val="TableParagraph"/>
              <w:ind w:right="22"/>
              <w:jc w:val="center"/>
              <w:rPr>
                <w:sz w:val="21"/>
              </w:rPr>
            </w:pPr>
            <w:r>
              <w:rPr>
                <w:spacing w:val="-2"/>
                <w:sz w:val="21"/>
              </w:rPr>
              <w:t>88.67</w:t>
            </w:r>
          </w:p>
        </w:tc>
        <w:tc>
          <w:tcPr>
            <w:tcW w:w="1077" w:type="dxa"/>
            <w:gridSpan w:val="2"/>
          </w:tcPr>
          <w:p w:rsidR="003F5784" w14:paraId="05A19BDD" w14:textId="77777777">
            <w:pPr>
              <w:pStyle w:val="TableParagraph"/>
              <w:ind w:right="118"/>
              <w:rPr>
                <w:sz w:val="21"/>
              </w:rPr>
            </w:pPr>
            <w:r>
              <w:rPr>
                <w:spacing w:val="-2"/>
                <w:sz w:val="21"/>
              </w:rPr>
              <w:t>22.36</w:t>
            </w:r>
          </w:p>
        </w:tc>
      </w:tr>
      <w:tr w14:paraId="29E44EFB"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26ED589C" w14:textId="77777777">
            <w:pPr>
              <w:pStyle w:val="TableParagraph"/>
              <w:ind w:left="120"/>
              <w:jc w:val="left"/>
              <w:rPr>
                <w:sz w:val="21"/>
              </w:rPr>
            </w:pPr>
            <w:r>
              <w:rPr>
                <w:sz w:val="21"/>
              </w:rPr>
              <w:t>Clark</w:t>
            </w:r>
            <w:r>
              <w:rPr>
                <w:spacing w:val="-7"/>
                <w:sz w:val="21"/>
              </w:rPr>
              <w:t xml:space="preserve"> </w:t>
            </w:r>
            <w:r>
              <w:rPr>
                <w:sz w:val="21"/>
              </w:rPr>
              <w:t>County</w:t>
            </w:r>
            <w:r>
              <w:rPr>
                <w:spacing w:val="-6"/>
                <w:sz w:val="21"/>
              </w:rPr>
              <w:t xml:space="preserve"> </w:t>
            </w:r>
            <w:r>
              <w:rPr>
                <w:spacing w:val="-4"/>
                <w:sz w:val="21"/>
              </w:rPr>
              <w:t>(NV)</w:t>
            </w:r>
          </w:p>
        </w:tc>
        <w:tc>
          <w:tcPr>
            <w:tcW w:w="1209" w:type="dxa"/>
            <w:gridSpan w:val="2"/>
          </w:tcPr>
          <w:p w:rsidR="003F5784" w14:paraId="7A6D26E5" w14:textId="77777777">
            <w:pPr>
              <w:pStyle w:val="TableParagraph"/>
              <w:ind w:left="104" w:right="141"/>
              <w:jc w:val="center"/>
              <w:rPr>
                <w:sz w:val="21"/>
              </w:rPr>
            </w:pPr>
            <w:r>
              <w:rPr>
                <w:spacing w:val="-5"/>
                <w:sz w:val="21"/>
              </w:rPr>
              <w:t>50</w:t>
            </w:r>
          </w:p>
        </w:tc>
        <w:tc>
          <w:tcPr>
            <w:tcW w:w="1260" w:type="dxa"/>
          </w:tcPr>
          <w:p w:rsidR="003F5784" w14:paraId="487A114F" w14:textId="77777777">
            <w:pPr>
              <w:pStyle w:val="TableParagraph"/>
              <w:ind w:left="159" w:right="112"/>
              <w:jc w:val="center"/>
              <w:rPr>
                <w:sz w:val="21"/>
              </w:rPr>
            </w:pPr>
            <w:r>
              <w:rPr>
                <w:spacing w:val="-2"/>
                <w:sz w:val="21"/>
              </w:rPr>
              <w:t>100.00</w:t>
            </w:r>
          </w:p>
        </w:tc>
        <w:tc>
          <w:tcPr>
            <w:tcW w:w="1353" w:type="dxa"/>
            <w:gridSpan w:val="2"/>
          </w:tcPr>
          <w:p w:rsidR="003F5784" w14:paraId="0DF6CFC1" w14:textId="77777777">
            <w:pPr>
              <w:pStyle w:val="TableParagraph"/>
              <w:ind w:right="386"/>
              <w:rPr>
                <w:sz w:val="21"/>
              </w:rPr>
            </w:pPr>
            <w:r>
              <w:rPr>
                <w:spacing w:val="-2"/>
                <w:sz w:val="21"/>
              </w:rPr>
              <w:t>100.00</w:t>
            </w:r>
          </w:p>
        </w:tc>
        <w:tc>
          <w:tcPr>
            <w:tcW w:w="1080" w:type="dxa"/>
            <w:gridSpan w:val="2"/>
          </w:tcPr>
          <w:p w:rsidR="003F5784" w14:paraId="508CE09A" w14:textId="77777777">
            <w:pPr>
              <w:pStyle w:val="TableParagraph"/>
              <w:ind w:right="462"/>
              <w:rPr>
                <w:sz w:val="21"/>
              </w:rPr>
            </w:pPr>
            <w:r>
              <w:rPr>
                <w:spacing w:val="-2"/>
                <w:sz w:val="21"/>
              </w:rPr>
              <w:t>1,600</w:t>
            </w:r>
          </w:p>
        </w:tc>
        <w:tc>
          <w:tcPr>
            <w:tcW w:w="900" w:type="dxa"/>
            <w:gridSpan w:val="2"/>
          </w:tcPr>
          <w:p w:rsidR="003F5784" w14:paraId="47914458" w14:textId="77777777">
            <w:pPr>
              <w:pStyle w:val="TableParagraph"/>
              <w:ind w:left="463"/>
              <w:jc w:val="left"/>
              <w:rPr>
                <w:sz w:val="21"/>
              </w:rPr>
            </w:pPr>
            <w:r>
              <w:rPr>
                <w:spacing w:val="-4"/>
                <w:sz w:val="21"/>
              </w:rPr>
              <w:t>1.24</w:t>
            </w:r>
          </w:p>
        </w:tc>
        <w:tc>
          <w:tcPr>
            <w:tcW w:w="1080" w:type="dxa"/>
          </w:tcPr>
          <w:p w:rsidR="003F5784" w14:paraId="2AF7B9FD" w14:textId="77777777">
            <w:pPr>
              <w:pStyle w:val="TableParagraph"/>
              <w:ind w:right="22"/>
              <w:jc w:val="center"/>
              <w:rPr>
                <w:sz w:val="21"/>
              </w:rPr>
            </w:pPr>
            <w:r>
              <w:rPr>
                <w:spacing w:val="-2"/>
                <w:sz w:val="21"/>
              </w:rPr>
              <w:t>86.43</w:t>
            </w:r>
          </w:p>
        </w:tc>
        <w:tc>
          <w:tcPr>
            <w:tcW w:w="1077" w:type="dxa"/>
            <w:gridSpan w:val="2"/>
          </w:tcPr>
          <w:p w:rsidR="003F5784" w14:paraId="7CA6E677" w14:textId="77777777">
            <w:pPr>
              <w:pStyle w:val="TableParagraph"/>
              <w:ind w:right="118"/>
              <w:rPr>
                <w:sz w:val="21"/>
              </w:rPr>
            </w:pPr>
            <w:r>
              <w:rPr>
                <w:spacing w:val="-4"/>
                <w:sz w:val="21"/>
              </w:rPr>
              <w:t>5.57</w:t>
            </w:r>
          </w:p>
        </w:tc>
      </w:tr>
      <w:tr w14:paraId="1D935B78"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36B6AE74" w14:textId="77777777">
            <w:pPr>
              <w:pStyle w:val="TableParagraph"/>
              <w:ind w:left="120"/>
              <w:jc w:val="left"/>
              <w:rPr>
                <w:sz w:val="21"/>
              </w:rPr>
            </w:pPr>
            <w:r>
              <w:rPr>
                <w:spacing w:val="-2"/>
                <w:sz w:val="21"/>
              </w:rPr>
              <w:t>Cleveland</w:t>
            </w:r>
          </w:p>
        </w:tc>
        <w:tc>
          <w:tcPr>
            <w:tcW w:w="1209" w:type="dxa"/>
            <w:gridSpan w:val="2"/>
          </w:tcPr>
          <w:p w:rsidR="003F5784" w14:paraId="194F659F" w14:textId="77777777">
            <w:pPr>
              <w:pStyle w:val="TableParagraph"/>
              <w:ind w:left="104" w:right="141"/>
              <w:jc w:val="center"/>
              <w:rPr>
                <w:sz w:val="21"/>
              </w:rPr>
            </w:pPr>
            <w:r>
              <w:rPr>
                <w:spacing w:val="-5"/>
                <w:sz w:val="21"/>
              </w:rPr>
              <w:t>50</w:t>
            </w:r>
          </w:p>
        </w:tc>
        <w:tc>
          <w:tcPr>
            <w:tcW w:w="1260" w:type="dxa"/>
          </w:tcPr>
          <w:p w:rsidR="003F5784" w14:paraId="15FA3132" w14:textId="77777777">
            <w:pPr>
              <w:pStyle w:val="TableParagraph"/>
              <w:ind w:left="159" w:right="112"/>
              <w:jc w:val="center"/>
              <w:rPr>
                <w:sz w:val="21"/>
              </w:rPr>
            </w:pPr>
            <w:r>
              <w:rPr>
                <w:spacing w:val="-2"/>
                <w:sz w:val="21"/>
              </w:rPr>
              <w:t>100.00</w:t>
            </w:r>
          </w:p>
        </w:tc>
        <w:tc>
          <w:tcPr>
            <w:tcW w:w="1353" w:type="dxa"/>
            <w:gridSpan w:val="2"/>
          </w:tcPr>
          <w:p w:rsidR="003F5784" w14:paraId="3A3E19FD" w14:textId="77777777">
            <w:pPr>
              <w:pStyle w:val="TableParagraph"/>
              <w:ind w:right="386"/>
              <w:rPr>
                <w:sz w:val="21"/>
              </w:rPr>
            </w:pPr>
            <w:r>
              <w:rPr>
                <w:spacing w:val="-2"/>
                <w:sz w:val="21"/>
              </w:rPr>
              <w:t>100.00</w:t>
            </w:r>
          </w:p>
        </w:tc>
        <w:tc>
          <w:tcPr>
            <w:tcW w:w="1080" w:type="dxa"/>
            <w:gridSpan w:val="2"/>
          </w:tcPr>
          <w:p w:rsidR="003F5784" w14:paraId="7B77DC0B" w14:textId="77777777">
            <w:pPr>
              <w:pStyle w:val="TableParagraph"/>
              <w:ind w:right="462"/>
              <w:rPr>
                <w:sz w:val="21"/>
              </w:rPr>
            </w:pPr>
            <w:r>
              <w:rPr>
                <w:spacing w:val="-5"/>
                <w:sz w:val="21"/>
              </w:rPr>
              <w:t>900</w:t>
            </w:r>
          </w:p>
        </w:tc>
        <w:tc>
          <w:tcPr>
            <w:tcW w:w="900" w:type="dxa"/>
            <w:gridSpan w:val="2"/>
          </w:tcPr>
          <w:p w:rsidR="003F5784" w14:paraId="404189BB" w14:textId="77777777">
            <w:pPr>
              <w:pStyle w:val="TableParagraph"/>
              <w:ind w:left="463"/>
              <w:jc w:val="left"/>
              <w:rPr>
                <w:sz w:val="21"/>
              </w:rPr>
            </w:pPr>
            <w:r>
              <w:rPr>
                <w:spacing w:val="-4"/>
                <w:sz w:val="21"/>
              </w:rPr>
              <w:t>3.91</w:t>
            </w:r>
          </w:p>
        </w:tc>
        <w:tc>
          <w:tcPr>
            <w:tcW w:w="1080" w:type="dxa"/>
          </w:tcPr>
          <w:p w:rsidR="003F5784" w14:paraId="2D4DAEF7" w14:textId="77777777">
            <w:pPr>
              <w:pStyle w:val="TableParagraph"/>
              <w:ind w:right="22"/>
              <w:jc w:val="center"/>
              <w:rPr>
                <w:sz w:val="21"/>
              </w:rPr>
            </w:pPr>
            <w:r>
              <w:rPr>
                <w:spacing w:val="-2"/>
                <w:sz w:val="21"/>
              </w:rPr>
              <w:t>89.60</w:t>
            </w:r>
          </w:p>
        </w:tc>
        <w:tc>
          <w:tcPr>
            <w:tcW w:w="1077" w:type="dxa"/>
            <w:gridSpan w:val="2"/>
          </w:tcPr>
          <w:p w:rsidR="003F5784" w14:paraId="183E0004" w14:textId="77777777">
            <w:pPr>
              <w:pStyle w:val="TableParagraph"/>
              <w:ind w:right="118"/>
              <w:rPr>
                <w:sz w:val="21"/>
              </w:rPr>
            </w:pPr>
            <w:r>
              <w:rPr>
                <w:spacing w:val="-2"/>
                <w:sz w:val="21"/>
              </w:rPr>
              <w:t>23.11</w:t>
            </w:r>
          </w:p>
        </w:tc>
      </w:tr>
      <w:tr w14:paraId="5922FB6B"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3928BF0B" w14:textId="77777777">
            <w:pPr>
              <w:pStyle w:val="TableParagraph"/>
              <w:ind w:left="120"/>
              <w:jc w:val="left"/>
              <w:rPr>
                <w:sz w:val="21"/>
              </w:rPr>
            </w:pPr>
            <w:r>
              <w:rPr>
                <w:spacing w:val="-2"/>
                <w:sz w:val="21"/>
              </w:rPr>
              <w:t>Dallas</w:t>
            </w:r>
          </w:p>
        </w:tc>
        <w:tc>
          <w:tcPr>
            <w:tcW w:w="1209" w:type="dxa"/>
            <w:gridSpan w:val="2"/>
          </w:tcPr>
          <w:p w:rsidR="003F5784" w14:paraId="6B35E887" w14:textId="77777777">
            <w:pPr>
              <w:pStyle w:val="TableParagraph"/>
              <w:ind w:left="104" w:right="141"/>
              <w:jc w:val="center"/>
              <w:rPr>
                <w:sz w:val="21"/>
              </w:rPr>
            </w:pPr>
            <w:r>
              <w:rPr>
                <w:spacing w:val="-5"/>
                <w:sz w:val="21"/>
              </w:rPr>
              <w:t>40</w:t>
            </w:r>
          </w:p>
        </w:tc>
        <w:tc>
          <w:tcPr>
            <w:tcW w:w="1260" w:type="dxa"/>
          </w:tcPr>
          <w:p w:rsidR="003F5784" w14:paraId="0E267397" w14:textId="77777777">
            <w:pPr>
              <w:pStyle w:val="TableParagraph"/>
              <w:ind w:left="159" w:right="112"/>
              <w:jc w:val="center"/>
              <w:rPr>
                <w:sz w:val="21"/>
              </w:rPr>
            </w:pPr>
            <w:r>
              <w:rPr>
                <w:spacing w:val="-2"/>
                <w:sz w:val="21"/>
              </w:rPr>
              <w:t>100.00</w:t>
            </w:r>
          </w:p>
        </w:tc>
        <w:tc>
          <w:tcPr>
            <w:tcW w:w="1353" w:type="dxa"/>
            <w:gridSpan w:val="2"/>
          </w:tcPr>
          <w:p w:rsidR="003F5784" w14:paraId="742D14BC" w14:textId="77777777">
            <w:pPr>
              <w:pStyle w:val="TableParagraph"/>
              <w:ind w:right="386"/>
              <w:rPr>
                <w:sz w:val="21"/>
              </w:rPr>
            </w:pPr>
            <w:r>
              <w:rPr>
                <w:spacing w:val="-2"/>
                <w:sz w:val="21"/>
              </w:rPr>
              <w:t>100.00</w:t>
            </w:r>
          </w:p>
        </w:tc>
        <w:tc>
          <w:tcPr>
            <w:tcW w:w="1080" w:type="dxa"/>
            <w:gridSpan w:val="2"/>
          </w:tcPr>
          <w:p w:rsidR="003F5784" w14:paraId="008168F0" w14:textId="77777777">
            <w:pPr>
              <w:pStyle w:val="TableParagraph"/>
              <w:ind w:right="462"/>
              <w:rPr>
                <w:sz w:val="21"/>
              </w:rPr>
            </w:pPr>
            <w:r>
              <w:rPr>
                <w:spacing w:val="-2"/>
                <w:sz w:val="21"/>
              </w:rPr>
              <w:t>1,100</w:t>
            </w:r>
          </w:p>
        </w:tc>
        <w:tc>
          <w:tcPr>
            <w:tcW w:w="900" w:type="dxa"/>
            <w:gridSpan w:val="2"/>
          </w:tcPr>
          <w:p w:rsidR="003F5784" w14:paraId="7FA35D61" w14:textId="77777777">
            <w:pPr>
              <w:pStyle w:val="TableParagraph"/>
              <w:ind w:left="463"/>
              <w:jc w:val="left"/>
              <w:rPr>
                <w:sz w:val="21"/>
              </w:rPr>
            </w:pPr>
            <w:r>
              <w:rPr>
                <w:spacing w:val="-4"/>
                <w:sz w:val="21"/>
              </w:rPr>
              <w:t>3.12</w:t>
            </w:r>
          </w:p>
        </w:tc>
        <w:tc>
          <w:tcPr>
            <w:tcW w:w="1080" w:type="dxa"/>
          </w:tcPr>
          <w:p w:rsidR="003F5784" w14:paraId="39425A29" w14:textId="77777777">
            <w:pPr>
              <w:pStyle w:val="TableParagraph"/>
              <w:ind w:right="22"/>
              <w:jc w:val="center"/>
              <w:rPr>
                <w:sz w:val="21"/>
              </w:rPr>
            </w:pPr>
            <w:r>
              <w:rPr>
                <w:spacing w:val="-2"/>
                <w:sz w:val="21"/>
              </w:rPr>
              <w:t>93.27</w:t>
            </w:r>
          </w:p>
        </w:tc>
        <w:tc>
          <w:tcPr>
            <w:tcW w:w="1077" w:type="dxa"/>
            <w:gridSpan w:val="2"/>
          </w:tcPr>
          <w:p w:rsidR="003F5784" w14:paraId="4189A8F1" w14:textId="77777777">
            <w:pPr>
              <w:pStyle w:val="TableParagraph"/>
              <w:ind w:right="118"/>
              <w:rPr>
                <w:sz w:val="21"/>
              </w:rPr>
            </w:pPr>
            <w:r>
              <w:rPr>
                <w:spacing w:val="-2"/>
                <w:sz w:val="21"/>
              </w:rPr>
              <w:t>22.83</w:t>
            </w:r>
          </w:p>
        </w:tc>
      </w:tr>
      <w:tr w14:paraId="64E4C20B"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2E1417DB" w14:textId="77777777">
            <w:pPr>
              <w:pStyle w:val="TableParagraph"/>
              <w:ind w:left="120"/>
              <w:jc w:val="left"/>
              <w:rPr>
                <w:sz w:val="21"/>
              </w:rPr>
            </w:pPr>
            <w:r>
              <w:rPr>
                <w:spacing w:val="-2"/>
                <w:sz w:val="21"/>
              </w:rPr>
              <w:t>Denver</w:t>
            </w:r>
          </w:p>
        </w:tc>
        <w:tc>
          <w:tcPr>
            <w:tcW w:w="1209" w:type="dxa"/>
            <w:gridSpan w:val="2"/>
          </w:tcPr>
          <w:p w:rsidR="003F5784" w14:paraId="53E3FA2F" w14:textId="77777777">
            <w:pPr>
              <w:pStyle w:val="TableParagraph"/>
              <w:ind w:left="104" w:right="141"/>
              <w:jc w:val="center"/>
              <w:rPr>
                <w:sz w:val="21"/>
              </w:rPr>
            </w:pPr>
            <w:r>
              <w:rPr>
                <w:spacing w:val="-5"/>
                <w:sz w:val="21"/>
              </w:rPr>
              <w:t>40</w:t>
            </w:r>
          </w:p>
        </w:tc>
        <w:tc>
          <w:tcPr>
            <w:tcW w:w="1260" w:type="dxa"/>
          </w:tcPr>
          <w:p w:rsidR="003F5784" w14:paraId="6C01BDCE" w14:textId="77777777">
            <w:pPr>
              <w:pStyle w:val="TableParagraph"/>
              <w:ind w:left="159" w:right="8"/>
              <w:jc w:val="center"/>
              <w:rPr>
                <w:sz w:val="21"/>
              </w:rPr>
            </w:pPr>
            <w:r>
              <w:rPr>
                <w:spacing w:val="-2"/>
                <w:sz w:val="21"/>
              </w:rPr>
              <w:t>92.34</w:t>
            </w:r>
          </w:p>
        </w:tc>
        <w:tc>
          <w:tcPr>
            <w:tcW w:w="1353" w:type="dxa"/>
            <w:gridSpan w:val="2"/>
          </w:tcPr>
          <w:p w:rsidR="003F5784" w14:paraId="19DB74C9" w14:textId="77777777">
            <w:pPr>
              <w:pStyle w:val="TableParagraph"/>
              <w:ind w:right="386"/>
              <w:rPr>
                <w:sz w:val="21"/>
              </w:rPr>
            </w:pPr>
            <w:r>
              <w:rPr>
                <w:spacing w:val="-2"/>
                <w:sz w:val="21"/>
              </w:rPr>
              <w:t>98.48</w:t>
            </w:r>
          </w:p>
        </w:tc>
        <w:tc>
          <w:tcPr>
            <w:tcW w:w="1080" w:type="dxa"/>
            <w:gridSpan w:val="2"/>
          </w:tcPr>
          <w:p w:rsidR="003F5784" w14:paraId="131BFAB2" w14:textId="77777777">
            <w:pPr>
              <w:pStyle w:val="TableParagraph"/>
              <w:ind w:right="462"/>
              <w:rPr>
                <w:sz w:val="21"/>
              </w:rPr>
            </w:pPr>
            <w:r>
              <w:rPr>
                <w:spacing w:val="-2"/>
                <w:sz w:val="21"/>
              </w:rPr>
              <w:t>1,000</w:t>
            </w:r>
          </w:p>
        </w:tc>
        <w:tc>
          <w:tcPr>
            <w:tcW w:w="900" w:type="dxa"/>
            <w:gridSpan w:val="2"/>
          </w:tcPr>
          <w:p w:rsidR="003F5784" w14:paraId="336D3091" w14:textId="77777777">
            <w:pPr>
              <w:pStyle w:val="TableParagraph"/>
              <w:ind w:left="463"/>
              <w:jc w:val="left"/>
              <w:rPr>
                <w:sz w:val="21"/>
              </w:rPr>
            </w:pPr>
            <w:r>
              <w:rPr>
                <w:spacing w:val="-4"/>
                <w:sz w:val="21"/>
              </w:rPr>
              <w:t>2.59</w:t>
            </w:r>
          </w:p>
        </w:tc>
        <w:tc>
          <w:tcPr>
            <w:tcW w:w="1080" w:type="dxa"/>
          </w:tcPr>
          <w:p w:rsidR="003F5784" w14:paraId="7EED0376" w14:textId="77777777">
            <w:pPr>
              <w:pStyle w:val="TableParagraph"/>
              <w:ind w:right="22"/>
              <w:jc w:val="center"/>
              <w:rPr>
                <w:sz w:val="21"/>
              </w:rPr>
            </w:pPr>
            <w:r>
              <w:rPr>
                <w:spacing w:val="-2"/>
                <w:sz w:val="21"/>
              </w:rPr>
              <w:t>88.48</w:t>
            </w:r>
          </w:p>
        </w:tc>
        <w:tc>
          <w:tcPr>
            <w:tcW w:w="1077" w:type="dxa"/>
            <w:gridSpan w:val="2"/>
          </w:tcPr>
          <w:p w:rsidR="003F5784" w14:paraId="65AACF6F" w14:textId="77777777">
            <w:pPr>
              <w:pStyle w:val="TableParagraph"/>
              <w:ind w:right="118"/>
              <w:rPr>
                <w:sz w:val="21"/>
              </w:rPr>
            </w:pPr>
            <w:r>
              <w:rPr>
                <w:spacing w:val="-2"/>
                <w:sz w:val="21"/>
              </w:rPr>
              <w:t>13.41</w:t>
            </w:r>
          </w:p>
        </w:tc>
      </w:tr>
      <w:tr w14:paraId="4D127422"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36F50F57" w14:textId="77777777">
            <w:pPr>
              <w:pStyle w:val="TableParagraph"/>
              <w:ind w:left="120"/>
              <w:jc w:val="left"/>
              <w:rPr>
                <w:sz w:val="21"/>
              </w:rPr>
            </w:pPr>
            <w:r>
              <w:rPr>
                <w:spacing w:val="-2"/>
                <w:sz w:val="21"/>
              </w:rPr>
              <w:t>Detroit</w:t>
            </w:r>
          </w:p>
        </w:tc>
        <w:tc>
          <w:tcPr>
            <w:tcW w:w="1209" w:type="dxa"/>
            <w:gridSpan w:val="2"/>
          </w:tcPr>
          <w:p w:rsidR="003F5784" w14:paraId="725A534B" w14:textId="77777777">
            <w:pPr>
              <w:pStyle w:val="TableParagraph"/>
              <w:ind w:left="104" w:right="141"/>
              <w:jc w:val="center"/>
              <w:rPr>
                <w:sz w:val="21"/>
              </w:rPr>
            </w:pPr>
            <w:r>
              <w:rPr>
                <w:spacing w:val="-5"/>
                <w:sz w:val="21"/>
              </w:rPr>
              <w:t>40</w:t>
            </w:r>
          </w:p>
        </w:tc>
        <w:tc>
          <w:tcPr>
            <w:tcW w:w="1260" w:type="dxa"/>
          </w:tcPr>
          <w:p w:rsidR="003F5784" w14:paraId="0E3A6A85" w14:textId="77777777">
            <w:pPr>
              <w:pStyle w:val="TableParagraph"/>
              <w:ind w:left="159" w:right="112"/>
              <w:jc w:val="center"/>
              <w:rPr>
                <w:sz w:val="21"/>
              </w:rPr>
            </w:pPr>
            <w:r>
              <w:rPr>
                <w:spacing w:val="-2"/>
                <w:sz w:val="21"/>
              </w:rPr>
              <w:t>100.00</w:t>
            </w:r>
          </w:p>
        </w:tc>
        <w:tc>
          <w:tcPr>
            <w:tcW w:w="1353" w:type="dxa"/>
            <w:gridSpan w:val="2"/>
          </w:tcPr>
          <w:p w:rsidR="003F5784" w14:paraId="721536F9" w14:textId="77777777">
            <w:pPr>
              <w:pStyle w:val="TableParagraph"/>
              <w:ind w:right="386"/>
              <w:rPr>
                <w:sz w:val="21"/>
              </w:rPr>
            </w:pPr>
            <w:r>
              <w:rPr>
                <w:spacing w:val="-2"/>
                <w:sz w:val="21"/>
              </w:rPr>
              <w:t>100.00</w:t>
            </w:r>
          </w:p>
        </w:tc>
        <w:tc>
          <w:tcPr>
            <w:tcW w:w="1080" w:type="dxa"/>
            <w:gridSpan w:val="2"/>
          </w:tcPr>
          <w:p w:rsidR="003F5784" w14:paraId="32EAD350" w14:textId="77777777">
            <w:pPr>
              <w:pStyle w:val="TableParagraph"/>
              <w:ind w:right="462"/>
              <w:rPr>
                <w:sz w:val="21"/>
              </w:rPr>
            </w:pPr>
            <w:r>
              <w:rPr>
                <w:spacing w:val="-2"/>
                <w:sz w:val="21"/>
              </w:rPr>
              <w:t>1,000</w:t>
            </w:r>
          </w:p>
        </w:tc>
        <w:tc>
          <w:tcPr>
            <w:tcW w:w="900" w:type="dxa"/>
            <w:gridSpan w:val="2"/>
          </w:tcPr>
          <w:p w:rsidR="003F5784" w14:paraId="75B96A6B" w14:textId="77777777">
            <w:pPr>
              <w:pStyle w:val="TableParagraph"/>
              <w:ind w:left="463"/>
              <w:jc w:val="left"/>
              <w:rPr>
                <w:sz w:val="21"/>
              </w:rPr>
            </w:pPr>
            <w:r>
              <w:rPr>
                <w:spacing w:val="-4"/>
                <w:sz w:val="21"/>
              </w:rPr>
              <w:t>5.10</w:t>
            </w:r>
          </w:p>
        </w:tc>
        <w:tc>
          <w:tcPr>
            <w:tcW w:w="1080" w:type="dxa"/>
          </w:tcPr>
          <w:p w:rsidR="003F5784" w14:paraId="65347A36" w14:textId="77777777">
            <w:pPr>
              <w:pStyle w:val="TableParagraph"/>
              <w:ind w:right="22"/>
              <w:jc w:val="center"/>
              <w:rPr>
                <w:sz w:val="21"/>
              </w:rPr>
            </w:pPr>
            <w:r>
              <w:rPr>
                <w:spacing w:val="-2"/>
                <w:sz w:val="21"/>
              </w:rPr>
              <w:t>87.61</w:t>
            </w:r>
          </w:p>
        </w:tc>
        <w:tc>
          <w:tcPr>
            <w:tcW w:w="1077" w:type="dxa"/>
            <w:gridSpan w:val="2"/>
          </w:tcPr>
          <w:p w:rsidR="003F5784" w14:paraId="294166D3" w14:textId="77777777">
            <w:pPr>
              <w:pStyle w:val="TableParagraph"/>
              <w:ind w:right="118"/>
              <w:rPr>
                <w:sz w:val="21"/>
              </w:rPr>
            </w:pPr>
            <w:r>
              <w:rPr>
                <w:spacing w:val="-2"/>
                <w:sz w:val="21"/>
              </w:rPr>
              <w:t>11.23</w:t>
            </w:r>
          </w:p>
        </w:tc>
      </w:tr>
      <w:tr w14:paraId="32941FE0"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57FE2121" w14:textId="77777777">
            <w:pPr>
              <w:pStyle w:val="TableParagraph"/>
              <w:ind w:left="120"/>
              <w:jc w:val="left"/>
              <w:rPr>
                <w:sz w:val="21"/>
              </w:rPr>
            </w:pPr>
            <w:r>
              <w:rPr>
                <w:sz w:val="21"/>
              </w:rPr>
              <w:t>Duval</w:t>
            </w:r>
            <w:r>
              <w:rPr>
                <w:spacing w:val="-7"/>
                <w:sz w:val="21"/>
              </w:rPr>
              <w:t xml:space="preserve"> </w:t>
            </w:r>
            <w:r>
              <w:rPr>
                <w:sz w:val="21"/>
              </w:rPr>
              <w:t>County</w:t>
            </w:r>
            <w:r>
              <w:rPr>
                <w:spacing w:val="-7"/>
                <w:sz w:val="21"/>
              </w:rPr>
              <w:t xml:space="preserve"> </w:t>
            </w:r>
            <w:r>
              <w:rPr>
                <w:spacing w:val="-4"/>
                <w:sz w:val="21"/>
              </w:rPr>
              <w:t>(FL)</w:t>
            </w:r>
          </w:p>
        </w:tc>
        <w:tc>
          <w:tcPr>
            <w:tcW w:w="1209" w:type="dxa"/>
            <w:gridSpan w:val="2"/>
          </w:tcPr>
          <w:p w:rsidR="003F5784" w14:paraId="4B49D497" w14:textId="77777777">
            <w:pPr>
              <w:pStyle w:val="TableParagraph"/>
              <w:ind w:left="104" w:right="141"/>
              <w:jc w:val="center"/>
              <w:rPr>
                <w:sz w:val="21"/>
              </w:rPr>
            </w:pPr>
            <w:r>
              <w:rPr>
                <w:spacing w:val="-5"/>
                <w:sz w:val="21"/>
              </w:rPr>
              <w:t>40</w:t>
            </w:r>
          </w:p>
        </w:tc>
        <w:tc>
          <w:tcPr>
            <w:tcW w:w="1260" w:type="dxa"/>
          </w:tcPr>
          <w:p w:rsidR="003F5784" w14:paraId="6A6D8A62" w14:textId="77777777">
            <w:pPr>
              <w:pStyle w:val="TableParagraph"/>
              <w:ind w:left="159" w:right="112"/>
              <w:jc w:val="center"/>
              <w:rPr>
                <w:sz w:val="21"/>
              </w:rPr>
            </w:pPr>
            <w:r>
              <w:rPr>
                <w:spacing w:val="-2"/>
                <w:sz w:val="21"/>
              </w:rPr>
              <w:t>100.00</w:t>
            </w:r>
          </w:p>
        </w:tc>
        <w:tc>
          <w:tcPr>
            <w:tcW w:w="1353" w:type="dxa"/>
            <w:gridSpan w:val="2"/>
          </w:tcPr>
          <w:p w:rsidR="003F5784" w14:paraId="0762B02A" w14:textId="77777777">
            <w:pPr>
              <w:pStyle w:val="TableParagraph"/>
              <w:ind w:right="386"/>
              <w:rPr>
                <w:sz w:val="21"/>
              </w:rPr>
            </w:pPr>
            <w:r>
              <w:rPr>
                <w:spacing w:val="-2"/>
                <w:sz w:val="21"/>
              </w:rPr>
              <w:t>100.00</w:t>
            </w:r>
          </w:p>
        </w:tc>
        <w:tc>
          <w:tcPr>
            <w:tcW w:w="1080" w:type="dxa"/>
            <w:gridSpan w:val="2"/>
          </w:tcPr>
          <w:p w:rsidR="003F5784" w14:paraId="700CF793" w14:textId="77777777">
            <w:pPr>
              <w:pStyle w:val="TableParagraph"/>
              <w:ind w:right="462"/>
              <w:rPr>
                <w:sz w:val="21"/>
              </w:rPr>
            </w:pPr>
            <w:r>
              <w:rPr>
                <w:spacing w:val="-2"/>
                <w:sz w:val="21"/>
              </w:rPr>
              <w:t>1,100</w:t>
            </w:r>
          </w:p>
        </w:tc>
        <w:tc>
          <w:tcPr>
            <w:tcW w:w="900" w:type="dxa"/>
            <w:gridSpan w:val="2"/>
          </w:tcPr>
          <w:p w:rsidR="003F5784" w14:paraId="3C82A4B5" w14:textId="77777777">
            <w:pPr>
              <w:pStyle w:val="TableParagraph"/>
              <w:ind w:left="463"/>
              <w:jc w:val="left"/>
              <w:rPr>
                <w:sz w:val="21"/>
              </w:rPr>
            </w:pPr>
            <w:r>
              <w:rPr>
                <w:spacing w:val="-4"/>
                <w:sz w:val="21"/>
              </w:rPr>
              <w:t>1.77</w:t>
            </w:r>
          </w:p>
        </w:tc>
        <w:tc>
          <w:tcPr>
            <w:tcW w:w="1080" w:type="dxa"/>
          </w:tcPr>
          <w:p w:rsidR="003F5784" w14:paraId="7AF59994" w14:textId="77777777">
            <w:pPr>
              <w:pStyle w:val="TableParagraph"/>
              <w:ind w:right="22"/>
              <w:jc w:val="center"/>
              <w:rPr>
                <w:sz w:val="21"/>
              </w:rPr>
            </w:pPr>
            <w:r>
              <w:rPr>
                <w:spacing w:val="-2"/>
                <w:sz w:val="21"/>
              </w:rPr>
              <w:t>92.24</w:t>
            </w:r>
          </w:p>
        </w:tc>
        <w:tc>
          <w:tcPr>
            <w:tcW w:w="1077" w:type="dxa"/>
            <w:gridSpan w:val="2"/>
          </w:tcPr>
          <w:p w:rsidR="003F5784" w14:paraId="3B11BD33" w14:textId="77777777">
            <w:pPr>
              <w:pStyle w:val="TableParagraph"/>
              <w:ind w:right="118"/>
              <w:rPr>
                <w:sz w:val="21"/>
              </w:rPr>
            </w:pPr>
            <w:r>
              <w:rPr>
                <w:spacing w:val="-2"/>
                <w:sz w:val="21"/>
              </w:rPr>
              <w:t>20.80</w:t>
            </w:r>
          </w:p>
        </w:tc>
      </w:tr>
      <w:tr w14:paraId="76983E2F"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77979FC0" w14:textId="77777777">
            <w:pPr>
              <w:pStyle w:val="TableParagraph"/>
              <w:ind w:left="120"/>
              <w:jc w:val="left"/>
              <w:rPr>
                <w:sz w:val="21"/>
              </w:rPr>
            </w:pPr>
            <w:r>
              <w:rPr>
                <w:sz w:val="21"/>
              </w:rPr>
              <w:t>Fort</w:t>
            </w:r>
            <w:r>
              <w:rPr>
                <w:spacing w:val="-9"/>
                <w:sz w:val="21"/>
              </w:rPr>
              <w:t xml:space="preserve"> </w:t>
            </w:r>
            <w:r>
              <w:rPr>
                <w:spacing w:val="-2"/>
                <w:sz w:val="21"/>
              </w:rPr>
              <w:t>Worth</w:t>
            </w:r>
          </w:p>
        </w:tc>
        <w:tc>
          <w:tcPr>
            <w:tcW w:w="1209" w:type="dxa"/>
            <w:gridSpan w:val="2"/>
          </w:tcPr>
          <w:p w:rsidR="003F5784" w14:paraId="0ED87E9E" w14:textId="77777777">
            <w:pPr>
              <w:pStyle w:val="TableParagraph"/>
              <w:ind w:left="104" w:right="141"/>
              <w:jc w:val="center"/>
              <w:rPr>
                <w:sz w:val="21"/>
              </w:rPr>
            </w:pPr>
            <w:r>
              <w:rPr>
                <w:spacing w:val="-5"/>
                <w:sz w:val="21"/>
              </w:rPr>
              <w:t>30</w:t>
            </w:r>
          </w:p>
        </w:tc>
        <w:tc>
          <w:tcPr>
            <w:tcW w:w="1260" w:type="dxa"/>
          </w:tcPr>
          <w:p w:rsidR="003F5784" w14:paraId="227E1C3D" w14:textId="77777777">
            <w:pPr>
              <w:pStyle w:val="TableParagraph"/>
              <w:ind w:left="159" w:right="112"/>
              <w:jc w:val="center"/>
              <w:rPr>
                <w:sz w:val="21"/>
              </w:rPr>
            </w:pPr>
            <w:r>
              <w:rPr>
                <w:spacing w:val="-2"/>
                <w:sz w:val="21"/>
              </w:rPr>
              <w:t>100.00</w:t>
            </w:r>
          </w:p>
        </w:tc>
        <w:tc>
          <w:tcPr>
            <w:tcW w:w="1353" w:type="dxa"/>
            <w:gridSpan w:val="2"/>
          </w:tcPr>
          <w:p w:rsidR="003F5784" w14:paraId="5B0E0369" w14:textId="77777777">
            <w:pPr>
              <w:pStyle w:val="TableParagraph"/>
              <w:ind w:right="386"/>
              <w:rPr>
                <w:sz w:val="21"/>
              </w:rPr>
            </w:pPr>
            <w:r>
              <w:rPr>
                <w:spacing w:val="-2"/>
                <w:sz w:val="21"/>
              </w:rPr>
              <w:t>100.00</w:t>
            </w:r>
          </w:p>
        </w:tc>
        <w:tc>
          <w:tcPr>
            <w:tcW w:w="1080" w:type="dxa"/>
            <w:gridSpan w:val="2"/>
          </w:tcPr>
          <w:p w:rsidR="003F5784" w14:paraId="43A5B646" w14:textId="77777777">
            <w:pPr>
              <w:pStyle w:val="TableParagraph"/>
              <w:ind w:right="462"/>
              <w:rPr>
                <w:sz w:val="21"/>
              </w:rPr>
            </w:pPr>
            <w:r>
              <w:rPr>
                <w:spacing w:val="-2"/>
                <w:sz w:val="21"/>
              </w:rPr>
              <w:t>1,000</w:t>
            </w:r>
          </w:p>
        </w:tc>
        <w:tc>
          <w:tcPr>
            <w:tcW w:w="900" w:type="dxa"/>
            <w:gridSpan w:val="2"/>
          </w:tcPr>
          <w:p w:rsidR="003F5784" w14:paraId="474E812F" w14:textId="77777777">
            <w:pPr>
              <w:pStyle w:val="TableParagraph"/>
              <w:ind w:left="463"/>
              <w:jc w:val="left"/>
              <w:rPr>
                <w:sz w:val="21"/>
              </w:rPr>
            </w:pPr>
            <w:r>
              <w:rPr>
                <w:spacing w:val="-4"/>
                <w:sz w:val="21"/>
              </w:rPr>
              <w:t>1.41</w:t>
            </w:r>
          </w:p>
        </w:tc>
        <w:tc>
          <w:tcPr>
            <w:tcW w:w="1080" w:type="dxa"/>
          </w:tcPr>
          <w:p w:rsidR="003F5784" w14:paraId="29BEB52D" w14:textId="77777777">
            <w:pPr>
              <w:pStyle w:val="TableParagraph"/>
              <w:ind w:right="22"/>
              <w:jc w:val="center"/>
              <w:rPr>
                <w:sz w:val="21"/>
              </w:rPr>
            </w:pPr>
            <w:r>
              <w:rPr>
                <w:spacing w:val="-2"/>
                <w:sz w:val="21"/>
              </w:rPr>
              <w:t>91.91</w:t>
            </w:r>
          </w:p>
        </w:tc>
        <w:tc>
          <w:tcPr>
            <w:tcW w:w="1077" w:type="dxa"/>
            <w:gridSpan w:val="2"/>
          </w:tcPr>
          <w:p w:rsidR="003F5784" w14:paraId="143955AB" w14:textId="77777777">
            <w:pPr>
              <w:pStyle w:val="TableParagraph"/>
              <w:ind w:right="118"/>
              <w:rPr>
                <w:sz w:val="21"/>
              </w:rPr>
            </w:pPr>
            <w:r>
              <w:rPr>
                <w:spacing w:val="-2"/>
                <w:sz w:val="21"/>
              </w:rPr>
              <w:t>14.01</w:t>
            </w:r>
          </w:p>
        </w:tc>
      </w:tr>
      <w:tr w14:paraId="40037228"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499692B3" w14:textId="77777777">
            <w:pPr>
              <w:pStyle w:val="TableParagraph"/>
              <w:ind w:left="120"/>
              <w:jc w:val="left"/>
              <w:rPr>
                <w:sz w:val="21"/>
              </w:rPr>
            </w:pPr>
            <w:r>
              <w:rPr>
                <w:sz w:val="21"/>
              </w:rPr>
              <w:t>Guilford</w:t>
            </w:r>
            <w:r>
              <w:rPr>
                <w:spacing w:val="-8"/>
                <w:sz w:val="21"/>
              </w:rPr>
              <w:t xml:space="preserve"> </w:t>
            </w:r>
            <w:r>
              <w:rPr>
                <w:sz w:val="21"/>
              </w:rPr>
              <w:t>County</w:t>
            </w:r>
            <w:r>
              <w:rPr>
                <w:spacing w:val="-8"/>
                <w:sz w:val="21"/>
              </w:rPr>
              <w:t xml:space="preserve"> </w:t>
            </w:r>
            <w:r>
              <w:rPr>
                <w:spacing w:val="-4"/>
                <w:sz w:val="21"/>
              </w:rPr>
              <w:t>(NC)</w:t>
            </w:r>
          </w:p>
        </w:tc>
        <w:tc>
          <w:tcPr>
            <w:tcW w:w="1209" w:type="dxa"/>
            <w:gridSpan w:val="2"/>
          </w:tcPr>
          <w:p w:rsidR="003F5784" w14:paraId="3086C029" w14:textId="77777777">
            <w:pPr>
              <w:pStyle w:val="TableParagraph"/>
              <w:ind w:left="104" w:right="141"/>
              <w:jc w:val="center"/>
              <w:rPr>
                <w:sz w:val="21"/>
              </w:rPr>
            </w:pPr>
            <w:r>
              <w:rPr>
                <w:spacing w:val="-5"/>
                <w:sz w:val="21"/>
              </w:rPr>
              <w:t>30</w:t>
            </w:r>
          </w:p>
        </w:tc>
        <w:tc>
          <w:tcPr>
            <w:tcW w:w="1260" w:type="dxa"/>
          </w:tcPr>
          <w:p w:rsidR="003F5784" w14:paraId="3C86A449" w14:textId="77777777">
            <w:pPr>
              <w:pStyle w:val="TableParagraph"/>
              <w:ind w:left="159" w:right="112"/>
              <w:jc w:val="center"/>
              <w:rPr>
                <w:sz w:val="21"/>
              </w:rPr>
            </w:pPr>
            <w:r>
              <w:rPr>
                <w:spacing w:val="-2"/>
                <w:sz w:val="21"/>
              </w:rPr>
              <w:t>100.00</w:t>
            </w:r>
          </w:p>
        </w:tc>
        <w:tc>
          <w:tcPr>
            <w:tcW w:w="1353" w:type="dxa"/>
            <w:gridSpan w:val="2"/>
          </w:tcPr>
          <w:p w:rsidR="003F5784" w14:paraId="145951A0" w14:textId="77777777">
            <w:pPr>
              <w:pStyle w:val="TableParagraph"/>
              <w:ind w:right="386"/>
              <w:rPr>
                <w:sz w:val="21"/>
              </w:rPr>
            </w:pPr>
            <w:r>
              <w:rPr>
                <w:spacing w:val="-2"/>
                <w:sz w:val="21"/>
              </w:rPr>
              <w:t>100.00</w:t>
            </w:r>
          </w:p>
        </w:tc>
        <w:tc>
          <w:tcPr>
            <w:tcW w:w="1080" w:type="dxa"/>
            <w:gridSpan w:val="2"/>
          </w:tcPr>
          <w:p w:rsidR="003F5784" w14:paraId="419D1714" w14:textId="77777777">
            <w:pPr>
              <w:pStyle w:val="TableParagraph"/>
              <w:ind w:right="462"/>
              <w:rPr>
                <w:sz w:val="21"/>
              </w:rPr>
            </w:pPr>
            <w:r>
              <w:rPr>
                <w:spacing w:val="-2"/>
                <w:sz w:val="21"/>
              </w:rPr>
              <w:t>1,000</w:t>
            </w:r>
          </w:p>
        </w:tc>
        <w:tc>
          <w:tcPr>
            <w:tcW w:w="900" w:type="dxa"/>
            <w:gridSpan w:val="2"/>
          </w:tcPr>
          <w:p w:rsidR="003F5784" w14:paraId="428B3DB2" w14:textId="77777777">
            <w:pPr>
              <w:pStyle w:val="TableParagraph"/>
              <w:ind w:left="463"/>
              <w:jc w:val="left"/>
              <w:rPr>
                <w:sz w:val="21"/>
              </w:rPr>
            </w:pPr>
            <w:r>
              <w:rPr>
                <w:spacing w:val="-4"/>
                <w:sz w:val="21"/>
              </w:rPr>
              <w:t>1.02</w:t>
            </w:r>
          </w:p>
        </w:tc>
        <w:tc>
          <w:tcPr>
            <w:tcW w:w="1080" w:type="dxa"/>
          </w:tcPr>
          <w:p w:rsidR="003F5784" w14:paraId="72CAB0ED" w14:textId="77777777">
            <w:pPr>
              <w:pStyle w:val="TableParagraph"/>
              <w:ind w:right="22"/>
              <w:jc w:val="center"/>
              <w:rPr>
                <w:sz w:val="21"/>
              </w:rPr>
            </w:pPr>
            <w:r>
              <w:rPr>
                <w:spacing w:val="-2"/>
                <w:sz w:val="21"/>
              </w:rPr>
              <w:t>89.39</w:t>
            </w:r>
          </w:p>
        </w:tc>
        <w:tc>
          <w:tcPr>
            <w:tcW w:w="1077" w:type="dxa"/>
            <w:gridSpan w:val="2"/>
          </w:tcPr>
          <w:p w:rsidR="003F5784" w14:paraId="64F25713" w14:textId="77777777">
            <w:pPr>
              <w:pStyle w:val="TableParagraph"/>
              <w:ind w:right="118"/>
              <w:rPr>
                <w:sz w:val="21"/>
              </w:rPr>
            </w:pPr>
            <w:r>
              <w:rPr>
                <w:spacing w:val="-2"/>
                <w:sz w:val="21"/>
              </w:rPr>
              <w:t>15.27</w:t>
            </w:r>
          </w:p>
        </w:tc>
      </w:tr>
      <w:tr w14:paraId="6CD44992"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5F3F44D7" w14:textId="77777777">
            <w:pPr>
              <w:pStyle w:val="TableParagraph"/>
              <w:ind w:left="120"/>
              <w:jc w:val="left"/>
              <w:rPr>
                <w:sz w:val="21"/>
              </w:rPr>
            </w:pPr>
            <w:r>
              <w:rPr>
                <w:sz w:val="21"/>
              </w:rPr>
              <w:t>Hillsborough</w:t>
            </w:r>
            <w:r>
              <w:rPr>
                <w:spacing w:val="-10"/>
                <w:sz w:val="21"/>
              </w:rPr>
              <w:t xml:space="preserve"> </w:t>
            </w:r>
            <w:r>
              <w:rPr>
                <w:sz w:val="21"/>
              </w:rPr>
              <w:t>County</w:t>
            </w:r>
            <w:r>
              <w:rPr>
                <w:spacing w:val="-10"/>
                <w:sz w:val="21"/>
              </w:rPr>
              <w:t xml:space="preserve"> </w:t>
            </w:r>
            <w:r>
              <w:rPr>
                <w:spacing w:val="-4"/>
                <w:sz w:val="21"/>
              </w:rPr>
              <w:t>(FL)</w:t>
            </w:r>
          </w:p>
        </w:tc>
        <w:tc>
          <w:tcPr>
            <w:tcW w:w="1209" w:type="dxa"/>
            <w:gridSpan w:val="2"/>
          </w:tcPr>
          <w:p w:rsidR="003F5784" w14:paraId="1940E3EB" w14:textId="77777777">
            <w:pPr>
              <w:pStyle w:val="TableParagraph"/>
              <w:ind w:left="104" w:right="141"/>
              <w:jc w:val="center"/>
              <w:rPr>
                <w:sz w:val="21"/>
              </w:rPr>
            </w:pPr>
            <w:r>
              <w:rPr>
                <w:spacing w:val="-5"/>
                <w:sz w:val="21"/>
              </w:rPr>
              <w:t>40</w:t>
            </w:r>
          </w:p>
        </w:tc>
        <w:tc>
          <w:tcPr>
            <w:tcW w:w="1260" w:type="dxa"/>
          </w:tcPr>
          <w:p w:rsidR="003F5784" w14:paraId="697472DA" w14:textId="77777777">
            <w:pPr>
              <w:pStyle w:val="TableParagraph"/>
              <w:ind w:left="159" w:right="112"/>
              <w:jc w:val="center"/>
              <w:rPr>
                <w:sz w:val="21"/>
              </w:rPr>
            </w:pPr>
            <w:r>
              <w:rPr>
                <w:spacing w:val="-2"/>
                <w:sz w:val="21"/>
              </w:rPr>
              <w:t>100.00</w:t>
            </w:r>
          </w:p>
        </w:tc>
        <w:tc>
          <w:tcPr>
            <w:tcW w:w="1353" w:type="dxa"/>
            <w:gridSpan w:val="2"/>
          </w:tcPr>
          <w:p w:rsidR="003F5784" w14:paraId="33671626" w14:textId="77777777">
            <w:pPr>
              <w:pStyle w:val="TableParagraph"/>
              <w:ind w:right="386"/>
              <w:rPr>
                <w:sz w:val="21"/>
              </w:rPr>
            </w:pPr>
            <w:r>
              <w:rPr>
                <w:spacing w:val="-2"/>
                <w:sz w:val="21"/>
              </w:rPr>
              <w:t>100.00</w:t>
            </w:r>
          </w:p>
        </w:tc>
        <w:tc>
          <w:tcPr>
            <w:tcW w:w="1080" w:type="dxa"/>
            <w:gridSpan w:val="2"/>
          </w:tcPr>
          <w:p w:rsidR="003F5784" w14:paraId="14C97A70" w14:textId="77777777">
            <w:pPr>
              <w:pStyle w:val="TableParagraph"/>
              <w:ind w:right="462"/>
              <w:rPr>
                <w:sz w:val="21"/>
              </w:rPr>
            </w:pPr>
            <w:r>
              <w:rPr>
                <w:spacing w:val="-2"/>
                <w:sz w:val="21"/>
              </w:rPr>
              <w:t>1,100</w:t>
            </w:r>
          </w:p>
        </w:tc>
        <w:tc>
          <w:tcPr>
            <w:tcW w:w="900" w:type="dxa"/>
            <w:gridSpan w:val="2"/>
          </w:tcPr>
          <w:p w:rsidR="003F5784" w14:paraId="106ACADF" w14:textId="77777777">
            <w:pPr>
              <w:pStyle w:val="TableParagraph"/>
              <w:ind w:left="463"/>
              <w:jc w:val="left"/>
              <w:rPr>
                <w:sz w:val="21"/>
              </w:rPr>
            </w:pPr>
            <w:r>
              <w:rPr>
                <w:spacing w:val="-4"/>
                <w:sz w:val="21"/>
              </w:rPr>
              <w:t>3.18</w:t>
            </w:r>
          </w:p>
        </w:tc>
        <w:tc>
          <w:tcPr>
            <w:tcW w:w="1080" w:type="dxa"/>
          </w:tcPr>
          <w:p w:rsidR="003F5784" w14:paraId="6BF5789E" w14:textId="77777777">
            <w:pPr>
              <w:pStyle w:val="TableParagraph"/>
              <w:ind w:right="22"/>
              <w:jc w:val="center"/>
              <w:rPr>
                <w:sz w:val="21"/>
              </w:rPr>
            </w:pPr>
            <w:r>
              <w:rPr>
                <w:spacing w:val="-2"/>
                <w:sz w:val="21"/>
              </w:rPr>
              <w:t>88.96</w:t>
            </w:r>
          </w:p>
        </w:tc>
        <w:tc>
          <w:tcPr>
            <w:tcW w:w="1077" w:type="dxa"/>
            <w:gridSpan w:val="2"/>
          </w:tcPr>
          <w:p w:rsidR="003F5784" w14:paraId="43213AA9" w14:textId="77777777">
            <w:pPr>
              <w:pStyle w:val="TableParagraph"/>
              <w:ind w:right="118"/>
              <w:rPr>
                <w:sz w:val="21"/>
              </w:rPr>
            </w:pPr>
            <w:r>
              <w:rPr>
                <w:spacing w:val="-2"/>
                <w:sz w:val="21"/>
              </w:rPr>
              <w:t>20.16</w:t>
            </w:r>
          </w:p>
        </w:tc>
      </w:tr>
      <w:tr w14:paraId="32FDE5F3"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271760A0" w14:textId="77777777">
            <w:pPr>
              <w:pStyle w:val="TableParagraph"/>
              <w:ind w:left="120"/>
              <w:jc w:val="left"/>
              <w:rPr>
                <w:sz w:val="21"/>
              </w:rPr>
            </w:pPr>
            <w:r>
              <w:rPr>
                <w:spacing w:val="-2"/>
                <w:sz w:val="21"/>
              </w:rPr>
              <w:t>Houston</w:t>
            </w:r>
          </w:p>
        </w:tc>
        <w:tc>
          <w:tcPr>
            <w:tcW w:w="1209" w:type="dxa"/>
            <w:gridSpan w:val="2"/>
          </w:tcPr>
          <w:p w:rsidR="003F5784" w14:paraId="46E293E5" w14:textId="77777777">
            <w:pPr>
              <w:pStyle w:val="TableParagraph"/>
              <w:ind w:left="104" w:right="141"/>
              <w:jc w:val="center"/>
              <w:rPr>
                <w:sz w:val="21"/>
              </w:rPr>
            </w:pPr>
            <w:r>
              <w:rPr>
                <w:spacing w:val="-5"/>
                <w:sz w:val="21"/>
              </w:rPr>
              <w:t>40</w:t>
            </w:r>
          </w:p>
        </w:tc>
        <w:tc>
          <w:tcPr>
            <w:tcW w:w="1260" w:type="dxa"/>
          </w:tcPr>
          <w:p w:rsidR="003F5784" w14:paraId="7D5093C0" w14:textId="77777777">
            <w:pPr>
              <w:pStyle w:val="TableParagraph"/>
              <w:ind w:left="159" w:right="112"/>
              <w:jc w:val="center"/>
              <w:rPr>
                <w:sz w:val="21"/>
              </w:rPr>
            </w:pPr>
            <w:r>
              <w:rPr>
                <w:spacing w:val="-2"/>
                <w:sz w:val="21"/>
              </w:rPr>
              <w:t>100.00</w:t>
            </w:r>
          </w:p>
        </w:tc>
        <w:tc>
          <w:tcPr>
            <w:tcW w:w="1353" w:type="dxa"/>
            <w:gridSpan w:val="2"/>
          </w:tcPr>
          <w:p w:rsidR="003F5784" w14:paraId="17412B9B" w14:textId="77777777">
            <w:pPr>
              <w:pStyle w:val="TableParagraph"/>
              <w:ind w:right="386"/>
              <w:rPr>
                <w:sz w:val="21"/>
              </w:rPr>
            </w:pPr>
            <w:r>
              <w:rPr>
                <w:spacing w:val="-2"/>
                <w:sz w:val="21"/>
              </w:rPr>
              <w:t>100.00</w:t>
            </w:r>
          </w:p>
        </w:tc>
        <w:tc>
          <w:tcPr>
            <w:tcW w:w="1080" w:type="dxa"/>
            <w:gridSpan w:val="2"/>
          </w:tcPr>
          <w:p w:rsidR="003F5784" w14:paraId="3A32A0B7" w14:textId="77777777">
            <w:pPr>
              <w:pStyle w:val="TableParagraph"/>
              <w:ind w:right="462"/>
              <w:rPr>
                <w:sz w:val="21"/>
              </w:rPr>
            </w:pPr>
            <w:r>
              <w:rPr>
                <w:spacing w:val="-2"/>
                <w:sz w:val="21"/>
              </w:rPr>
              <w:t>1,500</w:t>
            </w:r>
          </w:p>
        </w:tc>
        <w:tc>
          <w:tcPr>
            <w:tcW w:w="900" w:type="dxa"/>
            <w:gridSpan w:val="2"/>
          </w:tcPr>
          <w:p w:rsidR="003F5784" w14:paraId="434C6A4A" w14:textId="77777777">
            <w:pPr>
              <w:pStyle w:val="TableParagraph"/>
              <w:ind w:left="463"/>
              <w:jc w:val="left"/>
              <w:rPr>
                <w:sz w:val="21"/>
              </w:rPr>
            </w:pPr>
            <w:r>
              <w:rPr>
                <w:spacing w:val="-4"/>
                <w:sz w:val="21"/>
              </w:rPr>
              <w:t>3.65</w:t>
            </w:r>
          </w:p>
        </w:tc>
        <w:tc>
          <w:tcPr>
            <w:tcW w:w="1080" w:type="dxa"/>
          </w:tcPr>
          <w:p w:rsidR="003F5784" w14:paraId="6596829B" w14:textId="77777777">
            <w:pPr>
              <w:pStyle w:val="TableParagraph"/>
              <w:ind w:right="22"/>
              <w:jc w:val="center"/>
              <w:rPr>
                <w:sz w:val="21"/>
              </w:rPr>
            </w:pPr>
            <w:r>
              <w:rPr>
                <w:spacing w:val="-2"/>
                <w:sz w:val="21"/>
              </w:rPr>
              <w:t>89.49</w:t>
            </w:r>
          </w:p>
        </w:tc>
        <w:tc>
          <w:tcPr>
            <w:tcW w:w="1077" w:type="dxa"/>
            <w:gridSpan w:val="2"/>
          </w:tcPr>
          <w:p w:rsidR="003F5784" w14:paraId="5A1D5976" w14:textId="77777777">
            <w:pPr>
              <w:pStyle w:val="TableParagraph"/>
              <w:ind w:right="118"/>
              <w:rPr>
                <w:sz w:val="21"/>
              </w:rPr>
            </w:pPr>
            <w:r>
              <w:rPr>
                <w:spacing w:val="-2"/>
                <w:sz w:val="21"/>
              </w:rPr>
              <w:t>14.45</w:t>
            </w:r>
          </w:p>
        </w:tc>
      </w:tr>
      <w:tr w14:paraId="53AFEA6D"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516B6C33" w14:textId="77777777">
            <w:pPr>
              <w:pStyle w:val="TableParagraph"/>
              <w:ind w:left="120"/>
              <w:jc w:val="left"/>
              <w:rPr>
                <w:sz w:val="21"/>
              </w:rPr>
            </w:pPr>
            <w:r>
              <w:rPr>
                <w:sz w:val="21"/>
              </w:rPr>
              <w:t>Jefferson</w:t>
            </w:r>
            <w:r>
              <w:rPr>
                <w:spacing w:val="-10"/>
                <w:sz w:val="21"/>
              </w:rPr>
              <w:t xml:space="preserve"> </w:t>
            </w:r>
            <w:r>
              <w:rPr>
                <w:sz w:val="21"/>
              </w:rPr>
              <w:t>County</w:t>
            </w:r>
            <w:r>
              <w:rPr>
                <w:spacing w:val="-10"/>
                <w:sz w:val="21"/>
              </w:rPr>
              <w:t xml:space="preserve"> </w:t>
            </w:r>
            <w:r>
              <w:rPr>
                <w:spacing w:val="-4"/>
                <w:sz w:val="21"/>
              </w:rPr>
              <w:t>(KY)</w:t>
            </w:r>
          </w:p>
        </w:tc>
        <w:tc>
          <w:tcPr>
            <w:tcW w:w="1209" w:type="dxa"/>
            <w:gridSpan w:val="2"/>
          </w:tcPr>
          <w:p w:rsidR="003F5784" w14:paraId="2122C0F6" w14:textId="77777777">
            <w:pPr>
              <w:pStyle w:val="TableParagraph"/>
              <w:ind w:left="104" w:right="141"/>
              <w:jc w:val="center"/>
              <w:rPr>
                <w:sz w:val="21"/>
              </w:rPr>
            </w:pPr>
            <w:r>
              <w:rPr>
                <w:spacing w:val="-5"/>
                <w:sz w:val="21"/>
              </w:rPr>
              <w:t>30</w:t>
            </w:r>
          </w:p>
        </w:tc>
        <w:tc>
          <w:tcPr>
            <w:tcW w:w="1260" w:type="dxa"/>
          </w:tcPr>
          <w:p w:rsidR="003F5784" w14:paraId="4D516E70" w14:textId="77777777">
            <w:pPr>
              <w:pStyle w:val="TableParagraph"/>
              <w:ind w:left="159" w:right="112"/>
              <w:jc w:val="center"/>
              <w:rPr>
                <w:sz w:val="21"/>
              </w:rPr>
            </w:pPr>
            <w:r>
              <w:rPr>
                <w:spacing w:val="-2"/>
                <w:sz w:val="21"/>
              </w:rPr>
              <w:t>100.00</w:t>
            </w:r>
          </w:p>
        </w:tc>
        <w:tc>
          <w:tcPr>
            <w:tcW w:w="1353" w:type="dxa"/>
            <w:gridSpan w:val="2"/>
          </w:tcPr>
          <w:p w:rsidR="003F5784" w14:paraId="4806AD0F" w14:textId="77777777">
            <w:pPr>
              <w:pStyle w:val="TableParagraph"/>
              <w:ind w:right="386"/>
              <w:rPr>
                <w:sz w:val="21"/>
              </w:rPr>
            </w:pPr>
            <w:r>
              <w:rPr>
                <w:spacing w:val="-2"/>
                <w:sz w:val="21"/>
              </w:rPr>
              <w:t>100.00</w:t>
            </w:r>
          </w:p>
        </w:tc>
        <w:tc>
          <w:tcPr>
            <w:tcW w:w="1080" w:type="dxa"/>
            <w:gridSpan w:val="2"/>
          </w:tcPr>
          <w:p w:rsidR="003F5784" w14:paraId="4329E148" w14:textId="77777777">
            <w:pPr>
              <w:pStyle w:val="TableParagraph"/>
              <w:ind w:right="462"/>
              <w:rPr>
                <w:sz w:val="21"/>
              </w:rPr>
            </w:pPr>
            <w:r>
              <w:rPr>
                <w:spacing w:val="-2"/>
                <w:sz w:val="21"/>
              </w:rPr>
              <w:t>1,100</w:t>
            </w:r>
          </w:p>
        </w:tc>
        <w:tc>
          <w:tcPr>
            <w:tcW w:w="900" w:type="dxa"/>
            <w:gridSpan w:val="2"/>
          </w:tcPr>
          <w:p w:rsidR="003F5784" w14:paraId="38B44FEA" w14:textId="77777777">
            <w:pPr>
              <w:pStyle w:val="TableParagraph"/>
              <w:ind w:left="463"/>
              <w:jc w:val="left"/>
              <w:rPr>
                <w:sz w:val="21"/>
              </w:rPr>
            </w:pPr>
            <w:r>
              <w:rPr>
                <w:spacing w:val="-4"/>
                <w:sz w:val="21"/>
              </w:rPr>
              <w:t>1.90</w:t>
            </w:r>
          </w:p>
        </w:tc>
        <w:tc>
          <w:tcPr>
            <w:tcW w:w="1080" w:type="dxa"/>
          </w:tcPr>
          <w:p w:rsidR="003F5784" w14:paraId="786A85CB" w14:textId="77777777">
            <w:pPr>
              <w:pStyle w:val="TableParagraph"/>
              <w:ind w:right="22"/>
              <w:jc w:val="center"/>
              <w:rPr>
                <w:sz w:val="21"/>
              </w:rPr>
            </w:pPr>
            <w:r>
              <w:rPr>
                <w:spacing w:val="-2"/>
                <w:sz w:val="21"/>
              </w:rPr>
              <w:t>91.78</w:t>
            </w:r>
          </w:p>
        </w:tc>
        <w:tc>
          <w:tcPr>
            <w:tcW w:w="1077" w:type="dxa"/>
            <w:gridSpan w:val="2"/>
          </w:tcPr>
          <w:p w:rsidR="003F5784" w14:paraId="299BA905" w14:textId="77777777">
            <w:pPr>
              <w:pStyle w:val="TableParagraph"/>
              <w:ind w:right="118"/>
              <w:rPr>
                <w:sz w:val="21"/>
              </w:rPr>
            </w:pPr>
            <w:r>
              <w:rPr>
                <w:spacing w:val="-2"/>
                <w:sz w:val="21"/>
              </w:rPr>
              <w:t>16.16</w:t>
            </w:r>
          </w:p>
        </w:tc>
      </w:tr>
      <w:tr w14:paraId="0EBAB40E"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1EC127A0" w14:textId="77777777">
            <w:pPr>
              <w:pStyle w:val="TableParagraph"/>
              <w:ind w:left="120"/>
              <w:jc w:val="left"/>
              <w:rPr>
                <w:sz w:val="21"/>
              </w:rPr>
            </w:pPr>
            <w:r>
              <w:rPr>
                <w:spacing w:val="-2"/>
                <w:sz w:val="21"/>
              </w:rPr>
              <w:t>Los</w:t>
            </w:r>
            <w:r>
              <w:rPr>
                <w:spacing w:val="-10"/>
                <w:sz w:val="21"/>
              </w:rPr>
              <w:t xml:space="preserve"> </w:t>
            </w:r>
            <w:r>
              <w:rPr>
                <w:spacing w:val="-2"/>
                <w:sz w:val="21"/>
              </w:rPr>
              <w:t>Angeles</w:t>
            </w:r>
          </w:p>
        </w:tc>
        <w:tc>
          <w:tcPr>
            <w:tcW w:w="1209" w:type="dxa"/>
            <w:gridSpan w:val="2"/>
          </w:tcPr>
          <w:p w:rsidR="003F5784" w14:paraId="7319D84C" w14:textId="77777777">
            <w:pPr>
              <w:pStyle w:val="TableParagraph"/>
              <w:ind w:left="104" w:right="141"/>
              <w:jc w:val="center"/>
              <w:rPr>
                <w:sz w:val="21"/>
              </w:rPr>
            </w:pPr>
            <w:r>
              <w:rPr>
                <w:spacing w:val="-5"/>
                <w:sz w:val="21"/>
              </w:rPr>
              <w:t>60</w:t>
            </w:r>
          </w:p>
        </w:tc>
        <w:tc>
          <w:tcPr>
            <w:tcW w:w="1260" w:type="dxa"/>
          </w:tcPr>
          <w:p w:rsidR="003F5784" w14:paraId="418BDE22" w14:textId="77777777">
            <w:pPr>
              <w:pStyle w:val="TableParagraph"/>
              <w:ind w:left="159" w:right="112"/>
              <w:jc w:val="center"/>
              <w:rPr>
                <w:sz w:val="21"/>
              </w:rPr>
            </w:pPr>
            <w:r>
              <w:rPr>
                <w:spacing w:val="-2"/>
                <w:sz w:val="21"/>
              </w:rPr>
              <w:t>100.00</w:t>
            </w:r>
          </w:p>
        </w:tc>
        <w:tc>
          <w:tcPr>
            <w:tcW w:w="1353" w:type="dxa"/>
            <w:gridSpan w:val="2"/>
          </w:tcPr>
          <w:p w:rsidR="003F5784" w14:paraId="2DD5A860" w14:textId="77777777">
            <w:pPr>
              <w:pStyle w:val="TableParagraph"/>
              <w:ind w:right="386"/>
              <w:rPr>
                <w:sz w:val="21"/>
              </w:rPr>
            </w:pPr>
            <w:r>
              <w:rPr>
                <w:spacing w:val="-2"/>
                <w:sz w:val="21"/>
              </w:rPr>
              <w:t>100.00</w:t>
            </w:r>
          </w:p>
        </w:tc>
        <w:tc>
          <w:tcPr>
            <w:tcW w:w="1080" w:type="dxa"/>
            <w:gridSpan w:val="2"/>
          </w:tcPr>
          <w:p w:rsidR="003F5784" w14:paraId="78A94589" w14:textId="77777777">
            <w:pPr>
              <w:pStyle w:val="TableParagraph"/>
              <w:ind w:right="462"/>
              <w:rPr>
                <w:sz w:val="21"/>
              </w:rPr>
            </w:pPr>
            <w:r>
              <w:rPr>
                <w:spacing w:val="-2"/>
                <w:sz w:val="21"/>
              </w:rPr>
              <w:t>1,600</w:t>
            </w:r>
          </w:p>
        </w:tc>
        <w:tc>
          <w:tcPr>
            <w:tcW w:w="900" w:type="dxa"/>
            <w:gridSpan w:val="2"/>
          </w:tcPr>
          <w:p w:rsidR="003F5784" w14:paraId="10DD90BC" w14:textId="77777777">
            <w:pPr>
              <w:pStyle w:val="TableParagraph"/>
              <w:ind w:left="463"/>
              <w:jc w:val="left"/>
              <w:rPr>
                <w:sz w:val="21"/>
              </w:rPr>
            </w:pPr>
            <w:r>
              <w:rPr>
                <w:spacing w:val="-4"/>
                <w:sz w:val="21"/>
              </w:rPr>
              <w:t>2.42</w:t>
            </w:r>
          </w:p>
        </w:tc>
        <w:tc>
          <w:tcPr>
            <w:tcW w:w="1080" w:type="dxa"/>
          </w:tcPr>
          <w:p w:rsidR="003F5784" w14:paraId="1F06286F" w14:textId="77777777">
            <w:pPr>
              <w:pStyle w:val="TableParagraph"/>
              <w:ind w:right="22"/>
              <w:jc w:val="center"/>
              <w:rPr>
                <w:sz w:val="21"/>
              </w:rPr>
            </w:pPr>
            <w:r>
              <w:rPr>
                <w:spacing w:val="-2"/>
                <w:sz w:val="21"/>
              </w:rPr>
              <w:t>89.78</w:t>
            </w:r>
          </w:p>
        </w:tc>
        <w:tc>
          <w:tcPr>
            <w:tcW w:w="1077" w:type="dxa"/>
            <w:gridSpan w:val="2"/>
          </w:tcPr>
          <w:p w:rsidR="003F5784" w14:paraId="4A49DD46" w14:textId="77777777">
            <w:pPr>
              <w:pStyle w:val="TableParagraph"/>
              <w:ind w:right="118"/>
              <w:rPr>
                <w:sz w:val="21"/>
              </w:rPr>
            </w:pPr>
            <w:r>
              <w:rPr>
                <w:spacing w:val="-4"/>
                <w:sz w:val="21"/>
              </w:rPr>
              <w:t>9.27</w:t>
            </w:r>
          </w:p>
        </w:tc>
      </w:tr>
      <w:tr w14:paraId="1CC96BE1"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2B9A2699" w14:textId="77777777">
            <w:pPr>
              <w:pStyle w:val="TableParagraph"/>
              <w:ind w:left="120"/>
              <w:jc w:val="left"/>
              <w:rPr>
                <w:sz w:val="21"/>
              </w:rPr>
            </w:pPr>
            <w:r>
              <w:rPr>
                <w:spacing w:val="-2"/>
                <w:sz w:val="21"/>
              </w:rPr>
              <w:t>Miami</w:t>
            </w:r>
          </w:p>
        </w:tc>
        <w:tc>
          <w:tcPr>
            <w:tcW w:w="1209" w:type="dxa"/>
            <w:gridSpan w:val="2"/>
          </w:tcPr>
          <w:p w:rsidR="003F5784" w14:paraId="53C7872F" w14:textId="77777777">
            <w:pPr>
              <w:pStyle w:val="TableParagraph"/>
              <w:ind w:left="104" w:right="141"/>
              <w:jc w:val="center"/>
              <w:rPr>
                <w:sz w:val="21"/>
              </w:rPr>
            </w:pPr>
            <w:r>
              <w:rPr>
                <w:spacing w:val="-5"/>
                <w:sz w:val="21"/>
              </w:rPr>
              <w:t>70</w:t>
            </w:r>
          </w:p>
        </w:tc>
        <w:tc>
          <w:tcPr>
            <w:tcW w:w="1260" w:type="dxa"/>
          </w:tcPr>
          <w:p w:rsidR="003F5784" w14:paraId="2899FA7B" w14:textId="77777777">
            <w:pPr>
              <w:pStyle w:val="TableParagraph"/>
              <w:ind w:left="159" w:right="112"/>
              <w:jc w:val="center"/>
              <w:rPr>
                <w:sz w:val="21"/>
              </w:rPr>
            </w:pPr>
            <w:r>
              <w:rPr>
                <w:spacing w:val="-2"/>
                <w:sz w:val="21"/>
              </w:rPr>
              <w:t>100.00</w:t>
            </w:r>
          </w:p>
        </w:tc>
        <w:tc>
          <w:tcPr>
            <w:tcW w:w="1353" w:type="dxa"/>
            <w:gridSpan w:val="2"/>
          </w:tcPr>
          <w:p w:rsidR="003F5784" w14:paraId="362B0372" w14:textId="77777777">
            <w:pPr>
              <w:pStyle w:val="TableParagraph"/>
              <w:ind w:right="386"/>
              <w:rPr>
                <w:sz w:val="21"/>
              </w:rPr>
            </w:pPr>
            <w:r>
              <w:rPr>
                <w:spacing w:val="-2"/>
                <w:sz w:val="21"/>
              </w:rPr>
              <w:t>100.00</w:t>
            </w:r>
          </w:p>
        </w:tc>
        <w:tc>
          <w:tcPr>
            <w:tcW w:w="1080" w:type="dxa"/>
            <w:gridSpan w:val="2"/>
          </w:tcPr>
          <w:p w:rsidR="003F5784" w14:paraId="2B30002F" w14:textId="77777777">
            <w:pPr>
              <w:pStyle w:val="TableParagraph"/>
              <w:ind w:right="462"/>
              <w:rPr>
                <w:sz w:val="21"/>
              </w:rPr>
            </w:pPr>
            <w:r>
              <w:rPr>
                <w:spacing w:val="-2"/>
                <w:sz w:val="21"/>
              </w:rPr>
              <w:t>1,600</w:t>
            </w:r>
          </w:p>
        </w:tc>
        <w:tc>
          <w:tcPr>
            <w:tcW w:w="900" w:type="dxa"/>
            <w:gridSpan w:val="2"/>
          </w:tcPr>
          <w:p w:rsidR="003F5784" w14:paraId="6B83E7C2" w14:textId="77777777">
            <w:pPr>
              <w:pStyle w:val="TableParagraph"/>
              <w:ind w:left="463"/>
              <w:jc w:val="left"/>
              <w:rPr>
                <w:sz w:val="21"/>
              </w:rPr>
            </w:pPr>
            <w:r>
              <w:rPr>
                <w:spacing w:val="-4"/>
                <w:sz w:val="21"/>
              </w:rPr>
              <w:t>3.34</w:t>
            </w:r>
          </w:p>
        </w:tc>
        <w:tc>
          <w:tcPr>
            <w:tcW w:w="1080" w:type="dxa"/>
          </w:tcPr>
          <w:p w:rsidR="003F5784" w14:paraId="3E5EF1C4" w14:textId="77777777">
            <w:pPr>
              <w:pStyle w:val="TableParagraph"/>
              <w:ind w:left="8" w:right="22"/>
              <w:jc w:val="center"/>
              <w:rPr>
                <w:sz w:val="21"/>
              </w:rPr>
            </w:pPr>
            <w:r>
              <w:rPr>
                <w:spacing w:val="-2"/>
                <w:sz w:val="21"/>
              </w:rPr>
              <w:t>90.11</w:t>
            </w:r>
          </w:p>
        </w:tc>
        <w:tc>
          <w:tcPr>
            <w:tcW w:w="1077" w:type="dxa"/>
            <w:gridSpan w:val="2"/>
          </w:tcPr>
          <w:p w:rsidR="003F5784" w14:paraId="5B6DC272" w14:textId="77777777">
            <w:pPr>
              <w:pStyle w:val="TableParagraph"/>
              <w:ind w:right="118"/>
              <w:rPr>
                <w:sz w:val="21"/>
              </w:rPr>
            </w:pPr>
            <w:r>
              <w:rPr>
                <w:spacing w:val="-2"/>
                <w:sz w:val="21"/>
              </w:rPr>
              <w:t>18.85</w:t>
            </w:r>
          </w:p>
        </w:tc>
      </w:tr>
      <w:tr w14:paraId="3B713877"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763C4FC1" w14:textId="77777777">
            <w:pPr>
              <w:pStyle w:val="TableParagraph"/>
              <w:ind w:left="120"/>
              <w:jc w:val="left"/>
              <w:rPr>
                <w:sz w:val="21"/>
              </w:rPr>
            </w:pPr>
            <w:r>
              <w:rPr>
                <w:spacing w:val="-2"/>
                <w:sz w:val="21"/>
              </w:rPr>
              <w:t>Milwaukee</w:t>
            </w:r>
          </w:p>
        </w:tc>
        <w:tc>
          <w:tcPr>
            <w:tcW w:w="1209" w:type="dxa"/>
            <w:gridSpan w:val="2"/>
          </w:tcPr>
          <w:p w:rsidR="003F5784" w14:paraId="02CCA816" w14:textId="77777777">
            <w:pPr>
              <w:pStyle w:val="TableParagraph"/>
              <w:ind w:left="104" w:right="141"/>
              <w:jc w:val="center"/>
              <w:rPr>
                <w:sz w:val="21"/>
              </w:rPr>
            </w:pPr>
            <w:r>
              <w:rPr>
                <w:spacing w:val="-5"/>
                <w:sz w:val="21"/>
              </w:rPr>
              <w:t>40</w:t>
            </w:r>
          </w:p>
        </w:tc>
        <w:tc>
          <w:tcPr>
            <w:tcW w:w="1260" w:type="dxa"/>
          </w:tcPr>
          <w:p w:rsidR="003F5784" w14:paraId="005908F9" w14:textId="77777777">
            <w:pPr>
              <w:pStyle w:val="TableParagraph"/>
              <w:ind w:left="159" w:right="112"/>
              <w:jc w:val="center"/>
              <w:rPr>
                <w:sz w:val="21"/>
              </w:rPr>
            </w:pPr>
            <w:r>
              <w:rPr>
                <w:spacing w:val="-2"/>
                <w:sz w:val="21"/>
              </w:rPr>
              <w:t>100.00</w:t>
            </w:r>
          </w:p>
        </w:tc>
        <w:tc>
          <w:tcPr>
            <w:tcW w:w="1353" w:type="dxa"/>
            <w:gridSpan w:val="2"/>
          </w:tcPr>
          <w:p w:rsidR="003F5784" w14:paraId="72B9D5AE" w14:textId="77777777">
            <w:pPr>
              <w:pStyle w:val="TableParagraph"/>
              <w:ind w:right="386"/>
              <w:rPr>
                <w:sz w:val="21"/>
              </w:rPr>
            </w:pPr>
            <w:r>
              <w:rPr>
                <w:spacing w:val="-2"/>
                <w:sz w:val="21"/>
              </w:rPr>
              <w:t>100.00</w:t>
            </w:r>
          </w:p>
        </w:tc>
        <w:tc>
          <w:tcPr>
            <w:tcW w:w="1080" w:type="dxa"/>
            <w:gridSpan w:val="2"/>
          </w:tcPr>
          <w:p w:rsidR="003F5784" w14:paraId="5E475EE7" w14:textId="77777777">
            <w:pPr>
              <w:pStyle w:val="TableParagraph"/>
              <w:ind w:right="462"/>
              <w:rPr>
                <w:sz w:val="21"/>
              </w:rPr>
            </w:pPr>
            <w:r>
              <w:rPr>
                <w:spacing w:val="-2"/>
                <w:sz w:val="21"/>
              </w:rPr>
              <w:t>1,100</w:t>
            </w:r>
          </w:p>
        </w:tc>
        <w:tc>
          <w:tcPr>
            <w:tcW w:w="900" w:type="dxa"/>
            <w:gridSpan w:val="2"/>
          </w:tcPr>
          <w:p w:rsidR="003F5784" w14:paraId="7310A6BF" w14:textId="77777777">
            <w:pPr>
              <w:pStyle w:val="TableParagraph"/>
              <w:ind w:left="463"/>
              <w:jc w:val="left"/>
              <w:rPr>
                <w:sz w:val="21"/>
              </w:rPr>
            </w:pPr>
            <w:r>
              <w:rPr>
                <w:spacing w:val="-4"/>
                <w:sz w:val="21"/>
              </w:rPr>
              <w:t>1.22</w:t>
            </w:r>
          </w:p>
        </w:tc>
        <w:tc>
          <w:tcPr>
            <w:tcW w:w="1080" w:type="dxa"/>
          </w:tcPr>
          <w:p w:rsidR="003F5784" w14:paraId="60D9DDA1" w14:textId="77777777">
            <w:pPr>
              <w:pStyle w:val="TableParagraph"/>
              <w:ind w:right="22"/>
              <w:jc w:val="center"/>
              <w:rPr>
                <w:sz w:val="21"/>
              </w:rPr>
            </w:pPr>
            <w:r>
              <w:rPr>
                <w:spacing w:val="-2"/>
                <w:sz w:val="21"/>
              </w:rPr>
              <w:t>83.36</w:t>
            </w:r>
          </w:p>
        </w:tc>
        <w:tc>
          <w:tcPr>
            <w:tcW w:w="1077" w:type="dxa"/>
            <w:gridSpan w:val="2"/>
          </w:tcPr>
          <w:p w:rsidR="003F5784" w14:paraId="2118473A" w14:textId="77777777">
            <w:pPr>
              <w:pStyle w:val="TableParagraph"/>
              <w:ind w:right="118"/>
              <w:rPr>
                <w:sz w:val="21"/>
              </w:rPr>
            </w:pPr>
            <w:r>
              <w:rPr>
                <w:spacing w:val="-2"/>
                <w:sz w:val="21"/>
              </w:rPr>
              <w:t>25.27</w:t>
            </w:r>
          </w:p>
        </w:tc>
      </w:tr>
      <w:tr w14:paraId="59CE6B10"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018FF025" w14:textId="77777777">
            <w:pPr>
              <w:pStyle w:val="TableParagraph"/>
              <w:ind w:left="120"/>
              <w:jc w:val="left"/>
              <w:rPr>
                <w:sz w:val="21"/>
              </w:rPr>
            </w:pPr>
            <w:r>
              <w:rPr>
                <w:spacing w:val="-4"/>
                <w:sz w:val="21"/>
              </w:rPr>
              <w:t>New</w:t>
            </w:r>
            <w:r>
              <w:rPr>
                <w:spacing w:val="-10"/>
                <w:sz w:val="21"/>
              </w:rPr>
              <w:t xml:space="preserve"> </w:t>
            </w:r>
            <w:r>
              <w:rPr>
                <w:spacing w:val="-4"/>
                <w:sz w:val="21"/>
              </w:rPr>
              <w:t>York</w:t>
            </w:r>
            <w:r>
              <w:rPr>
                <w:spacing w:val="-2"/>
                <w:sz w:val="21"/>
              </w:rPr>
              <w:t xml:space="preserve"> </w:t>
            </w:r>
            <w:r>
              <w:rPr>
                <w:spacing w:val="-4"/>
                <w:sz w:val="21"/>
              </w:rPr>
              <w:t>City</w:t>
            </w:r>
          </w:p>
        </w:tc>
        <w:tc>
          <w:tcPr>
            <w:tcW w:w="1209" w:type="dxa"/>
            <w:gridSpan w:val="2"/>
          </w:tcPr>
          <w:p w:rsidR="003F5784" w14:paraId="09FC76CA" w14:textId="77777777">
            <w:pPr>
              <w:pStyle w:val="TableParagraph"/>
              <w:ind w:left="104" w:right="141"/>
              <w:jc w:val="center"/>
              <w:rPr>
                <w:sz w:val="21"/>
              </w:rPr>
            </w:pPr>
            <w:r>
              <w:rPr>
                <w:spacing w:val="-5"/>
                <w:sz w:val="21"/>
              </w:rPr>
              <w:t>70</w:t>
            </w:r>
          </w:p>
        </w:tc>
        <w:tc>
          <w:tcPr>
            <w:tcW w:w="1260" w:type="dxa"/>
          </w:tcPr>
          <w:p w:rsidR="003F5784" w14:paraId="3565D177" w14:textId="77777777">
            <w:pPr>
              <w:pStyle w:val="TableParagraph"/>
              <w:ind w:left="159" w:right="8"/>
              <w:jc w:val="center"/>
              <w:rPr>
                <w:sz w:val="21"/>
              </w:rPr>
            </w:pPr>
            <w:r>
              <w:rPr>
                <w:spacing w:val="-2"/>
                <w:sz w:val="21"/>
              </w:rPr>
              <w:t>96.75</w:t>
            </w:r>
          </w:p>
        </w:tc>
        <w:tc>
          <w:tcPr>
            <w:tcW w:w="1353" w:type="dxa"/>
            <w:gridSpan w:val="2"/>
          </w:tcPr>
          <w:p w:rsidR="003F5784" w14:paraId="1E219C69" w14:textId="77777777">
            <w:pPr>
              <w:pStyle w:val="TableParagraph"/>
              <w:ind w:right="386"/>
              <w:rPr>
                <w:sz w:val="21"/>
              </w:rPr>
            </w:pPr>
            <w:r>
              <w:rPr>
                <w:spacing w:val="-2"/>
                <w:sz w:val="21"/>
              </w:rPr>
              <w:t>95.00</w:t>
            </w:r>
          </w:p>
        </w:tc>
        <w:tc>
          <w:tcPr>
            <w:tcW w:w="1080" w:type="dxa"/>
            <w:gridSpan w:val="2"/>
          </w:tcPr>
          <w:p w:rsidR="003F5784" w14:paraId="0A7A1F98" w14:textId="77777777">
            <w:pPr>
              <w:pStyle w:val="TableParagraph"/>
              <w:ind w:right="462"/>
              <w:rPr>
                <w:sz w:val="21"/>
              </w:rPr>
            </w:pPr>
            <w:r>
              <w:rPr>
                <w:spacing w:val="-2"/>
                <w:sz w:val="21"/>
              </w:rPr>
              <w:t>1,600</w:t>
            </w:r>
          </w:p>
        </w:tc>
        <w:tc>
          <w:tcPr>
            <w:tcW w:w="900" w:type="dxa"/>
            <w:gridSpan w:val="2"/>
          </w:tcPr>
          <w:p w:rsidR="003F5784" w14:paraId="0A1ACD95" w14:textId="77777777">
            <w:pPr>
              <w:pStyle w:val="TableParagraph"/>
              <w:ind w:left="463"/>
              <w:jc w:val="left"/>
              <w:rPr>
                <w:sz w:val="21"/>
              </w:rPr>
            </w:pPr>
            <w:r>
              <w:rPr>
                <w:spacing w:val="-4"/>
                <w:sz w:val="21"/>
              </w:rPr>
              <w:t>1.12</w:t>
            </w:r>
          </w:p>
        </w:tc>
        <w:tc>
          <w:tcPr>
            <w:tcW w:w="1080" w:type="dxa"/>
          </w:tcPr>
          <w:p w:rsidR="003F5784" w14:paraId="414D8BEB" w14:textId="77777777">
            <w:pPr>
              <w:pStyle w:val="TableParagraph"/>
              <w:ind w:right="22"/>
              <w:jc w:val="center"/>
              <w:rPr>
                <w:sz w:val="21"/>
              </w:rPr>
            </w:pPr>
            <w:r>
              <w:rPr>
                <w:spacing w:val="-2"/>
                <w:sz w:val="21"/>
              </w:rPr>
              <w:t>84.41</w:t>
            </w:r>
          </w:p>
        </w:tc>
        <w:tc>
          <w:tcPr>
            <w:tcW w:w="1077" w:type="dxa"/>
            <w:gridSpan w:val="2"/>
          </w:tcPr>
          <w:p w:rsidR="003F5784" w14:paraId="56FD9873" w14:textId="77777777">
            <w:pPr>
              <w:pStyle w:val="TableParagraph"/>
              <w:ind w:right="118"/>
              <w:rPr>
                <w:sz w:val="21"/>
              </w:rPr>
            </w:pPr>
            <w:r>
              <w:rPr>
                <w:spacing w:val="-2"/>
                <w:sz w:val="21"/>
              </w:rPr>
              <w:t>25.99</w:t>
            </w:r>
          </w:p>
        </w:tc>
      </w:tr>
      <w:tr w14:paraId="150D3492"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5EEE253E" w14:textId="77777777">
            <w:pPr>
              <w:pStyle w:val="TableParagraph"/>
              <w:ind w:left="120"/>
              <w:jc w:val="left"/>
              <w:rPr>
                <w:sz w:val="21"/>
              </w:rPr>
            </w:pPr>
            <w:r>
              <w:rPr>
                <w:spacing w:val="-2"/>
                <w:sz w:val="21"/>
              </w:rPr>
              <w:t>Philadelphia</w:t>
            </w:r>
          </w:p>
        </w:tc>
        <w:tc>
          <w:tcPr>
            <w:tcW w:w="1209" w:type="dxa"/>
            <w:gridSpan w:val="2"/>
          </w:tcPr>
          <w:p w:rsidR="003F5784" w14:paraId="7117B2F5" w14:textId="77777777">
            <w:pPr>
              <w:pStyle w:val="TableParagraph"/>
              <w:ind w:left="104" w:right="141"/>
              <w:jc w:val="center"/>
              <w:rPr>
                <w:sz w:val="21"/>
              </w:rPr>
            </w:pPr>
            <w:r>
              <w:rPr>
                <w:spacing w:val="-5"/>
                <w:sz w:val="21"/>
              </w:rPr>
              <w:t>40</w:t>
            </w:r>
          </w:p>
        </w:tc>
        <w:tc>
          <w:tcPr>
            <w:tcW w:w="1260" w:type="dxa"/>
          </w:tcPr>
          <w:p w:rsidR="003F5784" w14:paraId="35394F60" w14:textId="77777777">
            <w:pPr>
              <w:pStyle w:val="TableParagraph"/>
              <w:ind w:left="159" w:right="8"/>
              <w:jc w:val="center"/>
              <w:rPr>
                <w:sz w:val="21"/>
              </w:rPr>
            </w:pPr>
            <w:r>
              <w:rPr>
                <w:spacing w:val="-2"/>
                <w:sz w:val="21"/>
              </w:rPr>
              <w:t>91.14</w:t>
            </w:r>
          </w:p>
        </w:tc>
        <w:tc>
          <w:tcPr>
            <w:tcW w:w="1353" w:type="dxa"/>
            <w:gridSpan w:val="2"/>
          </w:tcPr>
          <w:p w:rsidR="003F5784" w14:paraId="72A6DEC7" w14:textId="77777777">
            <w:pPr>
              <w:pStyle w:val="TableParagraph"/>
              <w:ind w:right="386"/>
              <w:rPr>
                <w:sz w:val="21"/>
              </w:rPr>
            </w:pPr>
            <w:r>
              <w:rPr>
                <w:spacing w:val="-2"/>
                <w:sz w:val="21"/>
              </w:rPr>
              <w:t>98.36</w:t>
            </w:r>
          </w:p>
        </w:tc>
        <w:tc>
          <w:tcPr>
            <w:tcW w:w="1080" w:type="dxa"/>
            <w:gridSpan w:val="2"/>
          </w:tcPr>
          <w:p w:rsidR="003F5784" w14:paraId="06BD6E62" w14:textId="77777777">
            <w:pPr>
              <w:pStyle w:val="TableParagraph"/>
              <w:ind w:right="462"/>
              <w:rPr>
                <w:sz w:val="21"/>
              </w:rPr>
            </w:pPr>
            <w:r>
              <w:rPr>
                <w:spacing w:val="-2"/>
                <w:sz w:val="21"/>
              </w:rPr>
              <w:t>1,000</w:t>
            </w:r>
          </w:p>
        </w:tc>
        <w:tc>
          <w:tcPr>
            <w:tcW w:w="900" w:type="dxa"/>
            <w:gridSpan w:val="2"/>
          </w:tcPr>
          <w:p w:rsidR="003F5784" w14:paraId="2C406345" w14:textId="77777777">
            <w:pPr>
              <w:pStyle w:val="TableParagraph"/>
              <w:ind w:left="463"/>
              <w:jc w:val="left"/>
              <w:rPr>
                <w:sz w:val="21"/>
              </w:rPr>
            </w:pPr>
            <w:r>
              <w:rPr>
                <w:spacing w:val="-4"/>
                <w:sz w:val="21"/>
              </w:rPr>
              <w:t>5.13</w:t>
            </w:r>
          </w:p>
        </w:tc>
        <w:tc>
          <w:tcPr>
            <w:tcW w:w="1080" w:type="dxa"/>
          </w:tcPr>
          <w:p w:rsidR="003F5784" w14:paraId="3D2D145A" w14:textId="77777777">
            <w:pPr>
              <w:pStyle w:val="TableParagraph"/>
              <w:ind w:right="22"/>
              <w:jc w:val="center"/>
              <w:rPr>
                <w:sz w:val="21"/>
              </w:rPr>
            </w:pPr>
            <w:r>
              <w:rPr>
                <w:spacing w:val="-2"/>
                <w:sz w:val="21"/>
              </w:rPr>
              <w:t>88.26</w:t>
            </w:r>
          </w:p>
        </w:tc>
        <w:tc>
          <w:tcPr>
            <w:tcW w:w="1077" w:type="dxa"/>
            <w:gridSpan w:val="2"/>
          </w:tcPr>
          <w:p w:rsidR="003F5784" w14:paraId="057282B6" w14:textId="77777777">
            <w:pPr>
              <w:pStyle w:val="TableParagraph"/>
              <w:ind w:right="118"/>
              <w:rPr>
                <w:sz w:val="21"/>
              </w:rPr>
            </w:pPr>
            <w:r>
              <w:rPr>
                <w:spacing w:val="-2"/>
                <w:sz w:val="21"/>
              </w:rPr>
              <w:t>19.72</w:t>
            </w:r>
          </w:p>
        </w:tc>
      </w:tr>
      <w:tr w14:paraId="63307847"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36A67E36" w14:textId="77777777">
            <w:pPr>
              <w:pStyle w:val="TableParagraph"/>
              <w:ind w:left="120"/>
              <w:jc w:val="left"/>
              <w:rPr>
                <w:sz w:val="21"/>
              </w:rPr>
            </w:pPr>
            <w:r>
              <w:rPr>
                <w:sz w:val="21"/>
              </w:rPr>
              <w:t>San</w:t>
            </w:r>
            <w:r>
              <w:rPr>
                <w:spacing w:val="-5"/>
                <w:sz w:val="21"/>
              </w:rPr>
              <w:t xml:space="preserve"> </w:t>
            </w:r>
            <w:r>
              <w:rPr>
                <w:spacing w:val="-2"/>
                <w:sz w:val="21"/>
              </w:rPr>
              <w:t>Diego</w:t>
            </w:r>
          </w:p>
        </w:tc>
        <w:tc>
          <w:tcPr>
            <w:tcW w:w="1209" w:type="dxa"/>
            <w:gridSpan w:val="2"/>
          </w:tcPr>
          <w:p w:rsidR="003F5784" w14:paraId="2C44A7CC" w14:textId="77777777">
            <w:pPr>
              <w:pStyle w:val="TableParagraph"/>
              <w:ind w:left="104" w:right="141"/>
              <w:jc w:val="center"/>
              <w:rPr>
                <w:sz w:val="21"/>
              </w:rPr>
            </w:pPr>
            <w:r>
              <w:rPr>
                <w:spacing w:val="-5"/>
                <w:sz w:val="21"/>
              </w:rPr>
              <w:t>40</w:t>
            </w:r>
          </w:p>
        </w:tc>
        <w:tc>
          <w:tcPr>
            <w:tcW w:w="1260" w:type="dxa"/>
          </w:tcPr>
          <w:p w:rsidR="003F5784" w14:paraId="60E61034" w14:textId="77777777">
            <w:pPr>
              <w:pStyle w:val="TableParagraph"/>
              <w:ind w:left="159" w:right="112"/>
              <w:jc w:val="center"/>
              <w:rPr>
                <w:sz w:val="21"/>
              </w:rPr>
            </w:pPr>
            <w:r>
              <w:rPr>
                <w:spacing w:val="-2"/>
                <w:sz w:val="21"/>
              </w:rPr>
              <w:t>100.00</w:t>
            </w:r>
          </w:p>
        </w:tc>
        <w:tc>
          <w:tcPr>
            <w:tcW w:w="1353" w:type="dxa"/>
            <w:gridSpan w:val="2"/>
          </w:tcPr>
          <w:p w:rsidR="003F5784" w14:paraId="75088596" w14:textId="77777777">
            <w:pPr>
              <w:pStyle w:val="TableParagraph"/>
              <w:ind w:right="386"/>
              <w:rPr>
                <w:sz w:val="21"/>
              </w:rPr>
            </w:pPr>
            <w:r>
              <w:rPr>
                <w:spacing w:val="-2"/>
                <w:sz w:val="21"/>
              </w:rPr>
              <w:t>100.00</w:t>
            </w:r>
          </w:p>
        </w:tc>
        <w:tc>
          <w:tcPr>
            <w:tcW w:w="1080" w:type="dxa"/>
            <w:gridSpan w:val="2"/>
          </w:tcPr>
          <w:p w:rsidR="003F5784" w14:paraId="62F9BE81" w14:textId="77777777">
            <w:pPr>
              <w:pStyle w:val="TableParagraph"/>
              <w:ind w:right="462"/>
              <w:rPr>
                <w:sz w:val="21"/>
              </w:rPr>
            </w:pPr>
            <w:r>
              <w:rPr>
                <w:spacing w:val="-2"/>
                <w:sz w:val="21"/>
              </w:rPr>
              <w:t>1,000</w:t>
            </w:r>
          </w:p>
        </w:tc>
        <w:tc>
          <w:tcPr>
            <w:tcW w:w="900" w:type="dxa"/>
            <w:gridSpan w:val="2"/>
          </w:tcPr>
          <w:p w:rsidR="003F5784" w14:paraId="220E542D" w14:textId="77777777">
            <w:pPr>
              <w:pStyle w:val="TableParagraph"/>
              <w:ind w:left="463"/>
              <w:jc w:val="left"/>
              <w:rPr>
                <w:sz w:val="21"/>
              </w:rPr>
            </w:pPr>
            <w:r>
              <w:rPr>
                <w:spacing w:val="-4"/>
                <w:sz w:val="21"/>
              </w:rPr>
              <w:t>2.26</w:t>
            </w:r>
          </w:p>
        </w:tc>
        <w:tc>
          <w:tcPr>
            <w:tcW w:w="1080" w:type="dxa"/>
          </w:tcPr>
          <w:p w:rsidR="003F5784" w14:paraId="1ABFF8C0" w14:textId="77777777">
            <w:pPr>
              <w:pStyle w:val="TableParagraph"/>
              <w:ind w:right="22"/>
              <w:jc w:val="center"/>
              <w:rPr>
                <w:sz w:val="21"/>
              </w:rPr>
            </w:pPr>
            <w:r>
              <w:rPr>
                <w:spacing w:val="-2"/>
                <w:sz w:val="21"/>
              </w:rPr>
              <w:t>88.48</w:t>
            </w:r>
          </w:p>
        </w:tc>
        <w:tc>
          <w:tcPr>
            <w:tcW w:w="1077" w:type="dxa"/>
            <w:gridSpan w:val="2"/>
          </w:tcPr>
          <w:p w:rsidR="003F5784" w14:paraId="51B68C48" w14:textId="77777777">
            <w:pPr>
              <w:pStyle w:val="TableParagraph"/>
              <w:ind w:right="118"/>
              <w:rPr>
                <w:sz w:val="21"/>
              </w:rPr>
            </w:pPr>
            <w:r>
              <w:rPr>
                <w:spacing w:val="-4"/>
                <w:sz w:val="21"/>
              </w:rPr>
              <w:t>9.35</w:t>
            </w:r>
          </w:p>
        </w:tc>
      </w:tr>
      <w:tr w14:paraId="1E21AAE0" w14:textId="77777777" w:rsidTr="00047860">
        <w:tblPrEx>
          <w:tblW w:w="0" w:type="auto"/>
          <w:tblInd w:w="552" w:type="dxa"/>
          <w:tblLayout w:type="fixed"/>
          <w:tblCellMar>
            <w:left w:w="0" w:type="dxa"/>
            <w:right w:w="0" w:type="dxa"/>
          </w:tblCellMar>
          <w:tblLook w:val="01E0"/>
        </w:tblPrEx>
        <w:trPr>
          <w:trHeight w:val="289"/>
        </w:trPr>
        <w:tc>
          <w:tcPr>
            <w:tcW w:w="2919" w:type="dxa"/>
            <w:tcBorders>
              <w:bottom w:val="single" w:sz="18" w:space="0" w:color="800000"/>
            </w:tcBorders>
          </w:tcPr>
          <w:p w:rsidR="003F5784" w14:paraId="558318A1" w14:textId="77777777">
            <w:pPr>
              <w:pStyle w:val="TableParagraph"/>
              <w:ind w:left="120"/>
              <w:jc w:val="left"/>
              <w:rPr>
                <w:sz w:val="21"/>
              </w:rPr>
            </w:pPr>
            <w:r>
              <w:rPr>
                <w:sz w:val="21"/>
              </w:rPr>
              <w:t>Shelby</w:t>
            </w:r>
            <w:r>
              <w:rPr>
                <w:spacing w:val="-7"/>
                <w:sz w:val="21"/>
              </w:rPr>
              <w:t xml:space="preserve"> </w:t>
            </w:r>
            <w:r>
              <w:rPr>
                <w:sz w:val="21"/>
              </w:rPr>
              <w:t>County</w:t>
            </w:r>
            <w:r>
              <w:rPr>
                <w:spacing w:val="-8"/>
                <w:sz w:val="21"/>
              </w:rPr>
              <w:t xml:space="preserve"> </w:t>
            </w:r>
            <w:r>
              <w:rPr>
                <w:spacing w:val="-4"/>
                <w:sz w:val="21"/>
              </w:rPr>
              <w:t>(TN)</w:t>
            </w:r>
          </w:p>
        </w:tc>
        <w:tc>
          <w:tcPr>
            <w:tcW w:w="1209" w:type="dxa"/>
            <w:gridSpan w:val="2"/>
            <w:tcBorders>
              <w:bottom w:val="single" w:sz="18" w:space="0" w:color="800000"/>
            </w:tcBorders>
          </w:tcPr>
          <w:p w:rsidR="003F5784" w14:paraId="2154B45A" w14:textId="77777777">
            <w:pPr>
              <w:pStyle w:val="TableParagraph"/>
              <w:ind w:left="104" w:right="141"/>
              <w:jc w:val="center"/>
              <w:rPr>
                <w:sz w:val="21"/>
              </w:rPr>
            </w:pPr>
            <w:r>
              <w:rPr>
                <w:spacing w:val="-5"/>
                <w:sz w:val="21"/>
              </w:rPr>
              <w:t>40</w:t>
            </w:r>
          </w:p>
        </w:tc>
        <w:tc>
          <w:tcPr>
            <w:tcW w:w="1260" w:type="dxa"/>
            <w:tcBorders>
              <w:bottom w:val="single" w:sz="18" w:space="0" w:color="800000"/>
            </w:tcBorders>
          </w:tcPr>
          <w:p w:rsidR="003F5784" w14:paraId="4997AEB2" w14:textId="77777777">
            <w:pPr>
              <w:pStyle w:val="TableParagraph"/>
              <w:ind w:left="159" w:right="112"/>
              <w:jc w:val="center"/>
              <w:rPr>
                <w:sz w:val="21"/>
              </w:rPr>
            </w:pPr>
            <w:r>
              <w:rPr>
                <w:spacing w:val="-2"/>
                <w:sz w:val="21"/>
              </w:rPr>
              <w:t>100.00</w:t>
            </w:r>
          </w:p>
        </w:tc>
        <w:tc>
          <w:tcPr>
            <w:tcW w:w="1353" w:type="dxa"/>
            <w:gridSpan w:val="2"/>
            <w:tcBorders>
              <w:bottom w:val="single" w:sz="18" w:space="0" w:color="800000"/>
            </w:tcBorders>
          </w:tcPr>
          <w:p w:rsidR="003F5784" w14:paraId="5B15BFE0" w14:textId="77777777">
            <w:pPr>
              <w:pStyle w:val="TableParagraph"/>
              <w:ind w:right="386"/>
              <w:rPr>
                <w:sz w:val="21"/>
              </w:rPr>
            </w:pPr>
            <w:r>
              <w:rPr>
                <w:spacing w:val="-2"/>
                <w:sz w:val="21"/>
              </w:rPr>
              <w:t>100.00</w:t>
            </w:r>
          </w:p>
        </w:tc>
        <w:tc>
          <w:tcPr>
            <w:tcW w:w="1080" w:type="dxa"/>
            <w:gridSpan w:val="2"/>
            <w:tcBorders>
              <w:bottom w:val="single" w:sz="18" w:space="0" w:color="800000"/>
            </w:tcBorders>
          </w:tcPr>
          <w:p w:rsidR="003F5784" w14:paraId="6C6ECCB7" w14:textId="77777777">
            <w:pPr>
              <w:pStyle w:val="TableParagraph"/>
              <w:ind w:right="462"/>
              <w:rPr>
                <w:sz w:val="21"/>
              </w:rPr>
            </w:pPr>
            <w:r>
              <w:rPr>
                <w:spacing w:val="-2"/>
                <w:sz w:val="21"/>
              </w:rPr>
              <w:t>1,100</w:t>
            </w:r>
          </w:p>
        </w:tc>
        <w:tc>
          <w:tcPr>
            <w:tcW w:w="900" w:type="dxa"/>
            <w:gridSpan w:val="2"/>
            <w:tcBorders>
              <w:bottom w:val="single" w:sz="18" w:space="0" w:color="800000"/>
            </w:tcBorders>
          </w:tcPr>
          <w:p w:rsidR="003F5784" w14:paraId="71B0683C" w14:textId="77777777">
            <w:pPr>
              <w:pStyle w:val="TableParagraph"/>
              <w:ind w:left="463"/>
              <w:jc w:val="left"/>
              <w:rPr>
                <w:sz w:val="21"/>
              </w:rPr>
            </w:pPr>
            <w:r>
              <w:rPr>
                <w:spacing w:val="-4"/>
                <w:sz w:val="21"/>
              </w:rPr>
              <w:t>2.63</w:t>
            </w:r>
          </w:p>
        </w:tc>
        <w:tc>
          <w:tcPr>
            <w:tcW w:w="1080" w:type="dxa"/>
            <w:tcBorders>
              <w:bottom w:val="single" w:sz="18" w:space="0" w:color="800000"/>
            </w:tcBorders>
          </w:tcPr>
          <w:p w:rsidR="003F5784" w14:paraId="179BCB66" w14:textId="77777777">
            <w:pPr>
              <w:pStyle w:val="TableParagraph"/>
              <w:ind w:right="22"/>
              <w:jc w:val="center"/>
              <w:rPr>
                <w:sz w:val="21"/>
              </w:rPr>
            </w:pPr>
            <w:r>
              <w:rPr>
                <w:spacing w:val="-2"/>
                <w:sz w:val="21"/>
              </w:rPr>
              <w:t>89.30</w:t>
            </w:r>
          </w:p>
        </w:tc>
        <w:tc>
          <w:tcPr>
            <w:tcW w:w="1077" w:type="dxa"/>
            <w:gridSpan w:val="2"/>
            <w:tcBorders>
              <w:bottom w:val="single" w:sz="18" w:space="0" w:color="800000"/>
            </w:tcBorders>
          </w:tcPr>
          <w:p w:rsidR="003F5784" w14:paraId="4ED6B66F" w14:textId="77777777">
            <w:pPr>
              <w:pStyle w:val="TableParagraph"/>
              <w:ind w:right="118"/>
              <w:rPr>
                <w:sz w:val="21"/>
              </w:rPr>
            </w:pPr>
            <w:r>
              <w:rPr>
                <w:spacing w:val="-4"/>
                <w:sz w:val="21"/>
              </w:rPr>
              <w:t>9.79</w:t>
            </w:r>
          </w:p>
        </w:tc>
      </w:tr>
    </w:tbl>
    <w:p w:rsidR="003F5784" w14:paraId="0CA51218" w14:textId="77777777">
      <w:pPr>
        <w:rPr>
          <w:sz w:val="21"/>
        </w:rPr>
        <w:sectPr>
          <w:pgSz w:w="15840" w:h="12240" w:orient="landscape"/>
          <w:pgMar w:top="480" w:right="440" w:bottom="2040" w:left="460" w:header="284" w:footer="1857" w:gutter="0"/>
          <w:cols w:space="720"/>
        </w:sectPr>
      </w:pPr>
    </w:p>
    <w:p w:rsidR="003F5784" w14:paraId="33B3D778" w14:textId="77777777">
      <w:pPr>
        <w:pStyle w:val="BodyText"/>
        <w:spacing w:before="5"/>
        <w:rPr>
          <w:sz w:val="9"/>
        </w:rPr>
      </w:pPr>
    </w:p>
    <w:tbl>
      <w:tblPr>
        <w:tblW w:w="0" w:type="auto"/>
        <w:tblInd w:w="552" w:type="dxa"/>
        <w:tblLayout w:type="fixed"/>
        <w:tblCellMar>
          <w:left w:w="0" w:type="dxa"/>
          <w:right w:w="0" w:type="dxa"/>
        </w:tblCellMar>
        <w:tblLook w:val="01E0"/>
      </w:tblPr>
      <w:tblGrid>
        <w:gridCol w:w="3038"/>
        <w:gridCol w:w="1540"/>
        <w:gridCol w:w="1690"/>
        <w:gridCol w:w="20"/>
        <w:gridCol w:w="1318"/>
        <w:gridCol w:w="32"/>
        <w:gridCol w:w="967"/>
        <w:gridCol w:w="23"/>
        <w:gridCol w:w="810"/>
        <w:gridCol w:w="34"/>
        <w:gridCol w:w="866"/>
        <w:gridCol w:w="224"/>
        <w:gridCol w:w="1576"/>
      </w:tblGrid>
      <w:tr w14:paraId="62EC6AB4" w14:textId="77777777" w:rsidTr="00047860">
        <w:tblPrEx>
          <w:tblW w:w="0" w:type="auto"/>
          <w:tblInd w:w="552" w:type="dxa"/>
          <w:tblLayout w:type="fixed"/>
          <w:tblCellMar>
            <w:left w:w="0" w:type="dxa"/>
            <w:right w:w="0" w:type="dxa"/>
          </w:tblCellMar>
          <w:tblLook w:val="01E0"/>
        </w:tblPrEx>
        <w:trPr>
          <w:trHeight w:val="232"/>
        </w:trPr>
        <w:tc>
          <w:tcPr>
            <w:tcW w:w="4578" w:type="dxa"/>
            <w:gridSpan w:val="2"/>
          </w:tcPr>
          <w:p w:rsidR="003F5784" w14:paraId="155DEBA4" w14:textId="77777777">
            <w:pPr>
              <w:pStyle w:val="TableParagraph"/>
              <w:spacing w:before="0"/>
              <w:jc w:val="left"/>
              <w:rPr>
                <w:sz w:val="16"/>
              </w:rPr>
            </w:pPr>
          </w:p>
        </w:tc>
        <w:tc>
          <w:tcPr>
            <w:tcW w:w="1690" w:type="dxa"/>
          </w:tcPr>
          <w:p w:rsidR="003F5784" w14:paraId="4F25AC46" w14:textId="77777777">
            <w:pPr>
              <w:pStyle w:val="TableParagraph"/>
              <w:spacing w:before="0" w:line="213" w:lineRule="exact"/>
              <w:ind w:right="133"/>
              <w:rPr>
                <w:sz w:val="21"/>
              </w:rPr>
            </w:pPr>
            <w:r>
              <w:rPr>
                <w:sz w:val="21"/>
              </w:rPr>
              <w:t>School</w:t>
            </w:r>
            <w:r>
              <w:rPr>
                <w:spacing w:val="-7"/>
                <w:sz w:val="21"/>
              </w:rPr>
              <w:t xml:space="preserve"> </w:t>
            </w:r>
            <w:r>
              <w:rPr>
                <w:spacing w:val="-2"/>
                <w:sz w:val="21"/>
              </w:rPr>
              <w:t>participation</w:t>
            </w:r>
          </w:p>
        </w:tc>
        <w:tc>
          <w:tcPr>
            <w:tcW w:w="1338" w:type="dxa"/>
            <w:gridSpan w:val="2"/>
          </w:tcPr>
          <w:p w:rsidR="003F5784" w14:paraId="734ECE05" w14:textId="77777777">
            <w:pPr>
              <w:pStyle w:val="TableParagraph"/>
              <w:spacing w:before="0"/>
              <w:jc w:val="left"/>
              <w:rPr>
                <w:sz w:val="16"/>
              </w:rPr>
            </w:pPr>
          </w:p>
        </w:tc>
        <w:tc>
          <w:tcPr>
            <w:tcW w:w="4532" w:type="dxa"/>
            <w:gridSpan w:val="8"/>
            <w:vMerge w:val="restart"/>
          </w:tcPr>
          <w:p w:rsidR="003F5784" w14:paraId="314298CB" w14:textId="77777777">
            <w:pPr>
              <w:pStyle w:val="TableParagraph"/>
              <w:spacing w:before="0"/>
              <w:jc w:val="left"/>
              <w:rPr>
                <w:sz w:val="20"/>
              </w:rPr>
            </w:pPr>
          </w:p>
        </w:tc>
      </w:tr>
      <w:tr w14:paraId="4BD08473" w14:textId="77777777" w:rsidTr="00047860">
        <w:tblPrEx>
          <w:tblW w:w="0" w:type="auto"/>
          <w:tblInd w:w="552" w:type="dxa"/>
          <w:tblLayout w:type="fixed"/>
          <w:tblCellMar>
            <w:left w:w="0" w:type="dxa"/>
            <w:right w:w="0" w:type="dxa"/>
          </w:tblCellMar>
          <w:tblLook w:val="01E0"/>
        </w:tblPrEx>
        <w:trPr>
          <w:trHeight w:val="234"/>
        </w:trPr>
        <w:tc>
          <w:tcPr>
            <w:tcW w:w="4578" w:type="dxa"/>
            <w:gridSpan w:val="2"/>
          </w:tcPr>
          <w:p w:rsidR="003F5784" w14:paraId="22C655C2" w14:textId="77777777">
            <w:pPr>
              <w:pStyle w:val="TableParagraph"/>
              <w:spacing w:before="0" w:line="215" w:lineRule="exact"/>
              <w:ind w:right="133"/>
              <w:rPr>
                <w:sz w:val="21"/>
              </w:rPr>
            </w:pPr>
            <w:r>
              <w:rPr>
                <w:sz w:val="21"/>
              </w:rPr>
              <w:t>Number</w:t>
            </w:r>
            <w:r>
              <w:rPr>
                <w:spacing w:val="-8"/>
                <w:sz w:val="21"/>
              </w:rPr>
              <w:t xml:space="preserve"> </w:t>
            </w:r>
            <w:r>
              <w:rPr>
                <w:spacing w:val="-5"/>
                <w:sz w:val="21"/>
              </w:rPr>
              <w:t>of</w:t>
            </w:r>
          </w:p>
        </w:tc>
        <w:tc>
          <w:tcPr>
            <w:tcW w:w="1690" w:type="dxa"/>
          </w:tcPr>
          <w:p w:rsidR="003F5784" w14:paraId="2DD4A934" w14:textId="77777777">
            <w:pPr>
              <w:pStyle w:val="TableParagraph"/>
              <w:spacing w:before="0" w:line="215" w:lineRule="exact"/>
              <w:ind w:right="133"/>
              <w:rPr>
                <w:sz w:val="21"/>
              </w:rPr>
            </w:pPr>
            <w:r>
              <w:rPr>
                <w:sz w:val="21"/>
              </w:rPr>
              <w:t>rates</w:t>
            </w:r>
            <w:r>
              <w:rPr>
                <w:spacing w:val="-7"/>
                <w:sz w:val="21"/>
              </w:rPr>
              <w:t xml:space="preserve"> </w:t>
            </w:r>
            <w:r>
              <w:rPr>
                <w:sz w:val="21"/>
              </w:rPr>
              <w:t>(percent)</w:t>
            </w:r>
            <w:r>
              <w:rPr>
                <w:spacing w:val="-7"/>
                <w:sz w:val="21"/>
              </w:rPr>
              <w:t xml:space="preserve"> </w:t>
            </w:r>
            <w:r>
              <w:rPr>
                <w:spacing w:val="-2"/>
                <w:sz w:val="21"/>
              </w:rPr>
              <w:t>before</w:t>
            </w:r>
          </w:p>
        </w:tc>
        <w:tc>
          <w:tcPr>
            <w:tcW w:w="1338" w:type="dxa"/>
            <w:gridSpan w:val="2"/>
          </w:tcPr>
          <w:p w:rsidR="003F5784" w14:paraId="526BEC6F" w14:textId="77777777">
            <w:pPr>
              <w:pStyle w:val="TableParagraph"/>
              <w:spacing w:before="0" w:line="215" w:lineRule="exact"/>
              <w:ind w:right="164"/>
              <w:rPr>
                <w:sz w:val="21"/>
              </w:rPr>
            </w:pPr>
            <w:r>
              <w:rPr>
                <w:sz w:val="21"/>
              </w:rPr>
              <w:t>School</w:t>
            </w:r>
            <w:r>
              <w:rPr>
                <w:spacing w:val="-7"/>
                <w:sz w:val="21"/>
              </w:rPr>
              <w:t xml:space="preserve"> </w:t>
            </w:r>
            <w:r>
              <w:rPr>
                <w:spacing w:val="-2"/>
                <w:sz w:val="21"/>
              </w:rPr>
              <w:t>participation</w:t>
            </w:r>
          </w:p>
        </w:tc>
        <w:tc>
          <w:tcPr>
            <w:tcW w:w="4532" w:type="dxa"/>
            <w:gridSpan w:val="8"/>
            <w:vMerge/>
            <w:tcBorders>
              <w:top w:val="nil"/>
            </w:tcBorders>
          </w:tcPr>
          <w:p w:rsidR="003F5784" w14:paraId="115A2F2D" w14:textId="77777777">
            <w:pPr>
              <w:rPr>
                <w:sz w:val="2"/>
                <w:szCs w:val="2"/>
              </w:rPr>
            </w:pPr>
          </w:p>
        </w:tc>
      </w:tr>
      <w:tr w14:paraId="4CCAD822" w14:textId="77777777" w:rsidTr="00047860">
        <w:tblPrEx>
          <w:tblW w:w="0" w:type="auto"/>
          <w:tblInd w:w="552" w:type="dxa"/>
          <w:tblLayout w:type="fixed"/>
          <w:tblCellMar>
            <w:left w:w="0" w:type="dxa"/>
            <w:right w:w="0" w:type="dxa"/>
          </w:tblCellMar>
          <w:tblLook w:val="01E0"/>
        </w:tblPrEx>
        <w:trPr>
          <w:trHeight w:val="234"/>
        </w:trPr>
        <w:tc>
          <w:tcPr>
            <w:tcW w:w="4578" w:type="dxa"/>
            <w:gridSpan w:val="2"/>
          </w:tcPr>
          <w:p w:rsidR="003F5784" w14:paraId="197604F9" w14:textId="77777777">
            <w:pPr>
              <w:pStyle w:val="TableParagraph"/>
              <w:spacing w:before="0" w:line="215" w:lineRule="exact"/>
              <w:ind w:right="133"/>
              <w:rPr>
                <w:sz w:val="21"/>
              </w:rPr>
            </w:pPr>
            <w:r>
              <w:rPr>
                <w:sz w:val="21"/>
              </w:rPr>
              <w:t>schools</w:t>
            </w:r>
            <w:r>
              <w:rPr>
                <w:spacing w:val="-8"/>
                <w:sz w:val="21"/>
              </w:rPr>
              <w:t xml:space="preserve"> </w:t>
            </w:r>
            <w:r>
              <w:rPr>
                <w:spacing w:val="-5"/>
                <w:sz w:val="21"/>
              </w:rPr>
              <w:t>in</w:t>
            </w:r>
          </w:p>
        </w:tc>
        <w:tc>
          <w:tcPr>
            <w:tcW w:w="1690" w:type="dxa"/>
          </w:tcPr>
          <w:p w:rsidR="003F5784" w14:paraId="5FA98C16" w14:textId="77777777">
            <w:pPr>
              <w:pStyle w:val="TableParagraph"/>
              <w:spacing w:before="0" w:line="215" w:lineRule="exact"/>
              <w:ind w:right="133"/>
              <w:rPr>
                <w:sz w:val="21"/>
              </w:rPr>
            </w:pPr>
            <w:r>
              <w:rPr>
                <w:spacing w:val="-2"/>
                <w:sz w:val="21"/>
              </w:rPr>
              <w:t>substitution</w:t>
            </w:r>
          </w:p>
        </w:tc>
        <w:tc>
          <w:tcPr>
            <w:tcW w:w="1338" w:type="dxa"/>
            <w:gridSpan w:val="2"/>
          </w:tcPr>
          <w:p w:rsidR="003F5784" w14:paraId="06701AB6" w14:textId="77777777">
            <w:pPr>
              <w:pStyle w:val="TableParagraph"/>
              <w:spacing w:before="0" w:line="215" w:lineRule="exact"/>
              <w:ind w:right="164"/>
              <w:rPr>
                <w:sz w:val="21"/>
              </w:rPr>
            </w:pPr>
            <w:r>
              <w:rPr>
                <w:sz w:val="21"/>
              </w:rPr>
              <w:t>rates</w:t>
            </w:r>
            <w:r>
              <w:rPr>
                <w:spacing w:val="-5"/>
                <w:sz w:val="21"/>
              </w:rPr>
              <w:t xml:space="preserve"> </w:t>
            </w:r>
            <w:r>
              <w:rPr>
                <w:spacing w:val="-2"/>
                <w:sz w:val="21"/>
              </w:rPr>
              <w:t>(percent)</w:t>
            </w:r>
          </w:p>
        </w:tc>
        <w:tc>
          <w:tcPr>
            <w:tcW w:w="999" w:type="dxa"/>
            <w:gridSpan w:val="2"/>
          </w:tcPr>
          <w:p w:rsidR="003F5784" w14:paraId="15BD6F1E" w14:textId="77777777">
            <w:pPr>
              <w:pStyle w:val="TableParagraph"/>
              <w:spacing w:before="0" w:line="215" w:lineRule="exact"/>
              <w:ind w:right="221"/>
              <w:rPr>
                <w:sz w:val="21"/>
              </w:rPr>
            </w:pPr>
            <w:r>
              <w:rPr>
                <w:sz w:val="21"/>
              </w:rPr>
              <w:t>Number</w:t>
            </w:r>
            <w:r>
              <w:rPr>
                <w:spacing w:val="-8"/>
                <w:sz w:val="21"/>
              </w:rPr>
              <w:t xml:space="preserve"> </w:t>
            </w:r>
            <w:r>
              <w:rPr>
                <w:spacing w:val="-5"/>
                <w:sz w:val="21"/>
              </w:rPr>
              <w:t>of</w:t>
            </w:r>
          </w:p>
        </w:tc>
        <w:tc>
          <w:tcPr>
            <w:tcW w:w="867" w:type="dxa"/>
            <w:gridSpan w:val="3"/>
          </w:tcPr>
          <w:p w:rsidR="003F5784" w14:paraId="1F5C91D1" w14:textId="77777777">
            <w:pPr>
              <w:pStyle w:val="TableParagraph"/>
              <w:spacing w:before="0" w:line="215" w:lineRule="exact"/>
              <w:ind w:right="130"/>
              <w:rPr>
                <w:sz w:val="21"/>
              </w:rPr>
            </w:pPr>
            <w:r>
              <w:rPr>
                <w:spacing w:val="-2"/>
                <w:sz w:val="21"/>
              </w:rPr>
              <w:t>Weighted</w:t>
            </w:r>
          </w:p>
        </w:tc>
        <w:tc>
          <w:tcPr>
            <w:tcW w:w="1090" w:type="dxa"/>
            <w:gridSpan w:val="2"/>
          </w:tcPr>
          <w:p w:rsidR="003F5784" w14:paraId="3D52B014" w14:textId="77777777">
            <w:pPr>
              <w:pStyle w:val="TableParagraph"/>
              <w:spacing w:before="0" w:line="215" w:lineRule="exact"/>
              <w:ind w:right="147"/>
              <w:rPr>
                <w:sz w:val="21"/>
              </w:rPr>
            </w:pPr>
            <w:r>
              <w:rPr>
                <w:spacing w:val="-2"/>
                <w:sz w:val="21"/>
              </w:rPr>
              <w:t>Weighted</w:t>
            </w:r>
            <w:r>
              <w:rPr>
                <w:spacing w:val="-11"/>
                <w:sz w:val="21"/>
              </w:rPr>
              <w:t xml:space="preserve"> </w:t>
            </w:r>
            <w:r>
              <w:rPr>
                <w:spacing w:val="-2"/>
                <w:sz w:val="21"/>
              </w:rPr>
              <w:t>student</w:t>
            </w:r>
          </w:p>
        </w:tc>
        <w:tc>
          <w:tcPr>
            <w:tcW w:w="1576" w:type="dxa"/>
          </w:tcPr>
          <w:p w:rsidR="003F5784" w14:paraId="2839CF1A" w14:textId="77777777">
            <w:pPr>
              <w:pStyle w:val="TableParagraph"/>
              <w:spacing w:before="0"/>
              <w:jc w:val="left"/>
              <w:rPr>
                <w:sz w:val="16"/>
              </w:rPr>
            </w:pPr>
          </w:p>
        </w:tc>
      </w:tr>
      <w:tr w14:paraId="10478855" w14:textId="77777777" w:rsidTr="00047860">
        <w:tblPrEx>
          <w:tblW w:w="0" w:type="auto"/>
          <w:tblInd w:w="552" w:type="dxa"/>
          <w:tblLayout w:type="fixed"/>
          <w:tblCellMar>
            <w:left w:w="0" w:type="dxa"/>
            <w:right w:w="0" w:type="dxa"/>
          </w:tblCellMar>
          <w:tblLook w:val="01E0"/>
        </w:tblPrEx>
        <w:trPr>
          <w:trHeight w:val="234"/>
        </w:trPr>
        <w:tc>
          <w:tcPr>
            <w:tcW w:w="4578" w:type="dxa"/>
            <w:gridSpan w:val="2"/>
          </w:tcPr>
          <w:p w:rsidR="003F5784" w14:paraId="1CD27954" w14:textId="77777777">
            <w:pPr>
              <w:pStyle w:val="TableParagraph"/>
              <w:spacing w:before="0" w:line="215" w:lineRule="exact"/>
              <w:ind w:right="133"/>
              <w:rPr>
                <w:sz w:val="21"/>
              </w:rPr>
            </w:pPr>
            <w:r>
              <w:rPr>
                <w:spacing w:val="-2"/>
                <w:sz w:val="21"/>
              </w:rPr>
              <w:t>original</w:t>
            </w:r>
          </w:p>
        </w:tc>
        <w:tc>
          <w:tcPr>
            <w:tcW w:w="1690" w:type="dxa"/>
          </w:tcPr>
          <w:p w:rsidR="003F5784" w14:paraId="51855159" w14:textId="77777777">
            <w:pPr>
              <w:pStyle w:val="TableParagraph"/>
              <w:spacing w:before="0" w:line="215" w:lineRule="exact"/>
              <w:ind w:right="133"/>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338" w:type="dxa"/>
            <w:gridSpan w:val="2"/>
          </w:tcPr>
          <w:p w:rsidR="003F5784" w14:paraId="028EA844" w14:textId="77777777">
            <w:pPr>
              <w:pStyle w:val="TableParagraph"/>
              <w:spacing w:before="0" w:line="215" w:lineRule="exact"/>
              <w:ind w:right="164"/>
              <w:rPr>
                <w:sz w:val="21"/>
              </w:rPr>
            </w:pPr>
            <w:r>
              <w:rPr>
                <w:sz w:val="21"/>
              </w:rPr>
              <w:t>before</w:t>
            </w:r>
            <w:r>
              <w:rPr>
                <w:spacing w:val="-7"/>
                <w:sz w:val="21"/>
              </w:rPr>
              <w:t xml:space="preserve"> </w:t>
            </w:r>
            <w:r>
              <w:rPr>
                <w:spacing w:val="-2"/>
                <w:sz w:val="21"/>
              </w:rPr>
              <w:t>substitution</w:t>
            </w:r>
          </w:p>
        </w:tc>
        <w:tc>
          <w:tcPr>
            <w:tcW w:w="999" w:type="dxa"/>
            <w:gridSpan w:val="2"/>
          </w:tcPr>
          <w:p w:rsidR="003F5784" w14:paraId="35D9DF84" w14:textId="77777777">
            <w:pPr>
              <w:pStyle w:val="TableParagraph"/>
              <w:spacing w:before="0" w:line="215" w:lineRule="exact"/>
              <w:ind w:right="221"/>
              <w:rPr>
                <w:sz w:val="21"/>
              </w:rPr>
            </w:pPr>
            <w:r>
              <w:rPr>
                <w:spacing w:val="-2"/>
                <w:sz w:val="21"/>
              </w:rPr>
              <w:t>students</w:t>
            </w:r>
          </w:p>
        </w:tc>
        <w:tc>
          <w:tcPr>
            <w:tcW w:w="867" w:type="dxa"/>
            <w:gridSpan w:val="3"/>
          </w:tcPr>
          <w:p w:rsidR="003F5784" w14:paraId="0260A83F" w14:textId="77777777">
            <w:pPr>
              <w:pStyle w:val="TableParagraph"/>
              <w:spacing w:before="0" w:line="215" w:lineRule="exact"/>
              <w:ind w:right="130"/>
              <w:rPr>
                <w:sz w:val="21"/>
              </w:rPr>
            </w:pPr>
            <w:r>
              <w:rPr>
                <w:sz w:val="21"/>
              </w:rPr>
              <w:t>percent</w:t>
            </w:r>
            <w:r>
              <w:rPr>
                <w:spacing w:val="-8"/>
                <w:sz w:val="21"/>
              </w:rPr>
              <w:t xml:space="preserve"> </w:t>
            </w:r>
            <w:r>
              <w:rPr>
                <w:spacing w:val="-5"/>
                <w:sz w:val="21"/>
              </w:rPr>
              <w:t>of</w:t>
            </w:r>
          </w:p>
        </w:tc>
        <w:tc>
          <w:tcPr>
            <w:tcW w:w="1090" w:type="dxa"/>
            <w:gridSpan w:val="2"/>
          </w:tcPr>
          <w:p w:rsidR="003F5784" w14:paraId="51232279" w14:textId="77777777">
            <w:pPr>
              <w:pStyle w:val="TableParagraph"/>
              <w:spacing w:before="0" w:line="215" w:lineRule="exact"/>
              <w:ind w:right="147"/>
              <w:rPr>
                <w:sz w:val="21"/>
              </w:rPr>
            </w:pPr>
            <w:r>
              <w:rPr>
                <w:spacing w:val="-2"/>
                <w:sz w:val="21"/>
              </w:rPr>
              <w:t>participation</w:t>
            </w:r>
          </w:p>
        </w:tc>
        <w:tc>
          <w:tcPr>
            <w:tcW w:w="1576" w:type="dxa"/>
          </w:tcPr>
          <w:p w:rsidR="003F5784" w14:paraId="4BEE4E88" w14:textId="77777777">
            <w:pPr>
              <w:pStyle w:val="TableParagraph"/>
              <w:spacing w:before="0" w:line="215" w:lineRule="exact"/>
              <w:ind w:right="43"/>
              <w:rPr>
                <w:sz w:val="21"/>
              </w:rPr>
            </w:pPr>
            <w:r>
              <w:rPr>
                <w:spacing w:val="-2"/>
                <w:sz w:val="21"/>
              </w:rPr>
              <w:t>Weighted</w:t>
            </w:r>
            <w:r>
              <w:rPr>
                <w:spacing w:val="-11"/>
                <w:sz w:val="21"/>
              </w:rPr>
              <w:t xml:space="preserve"> </w:t>
            </w:r>
            <w:r>
              <w:rPr>
                <w:spacing w:val="-2"/>
                <w:sz w:val="21"/>
              </w:rPr>
              <w:t>percent</w:t>
            </w:r>
          </w:p>
        </w:tc>
      </w:tr>
      <w:tr w14:paraId="5A52731A" w14:textId="77777777" w:rsidTr="00047860">
        <w:tblPrEx>
          <w:tblW w:w="0" w:type="auto"/>
          <w:tblInd w:w="552" w:type="dxa"/>
          <w:tblLayout w:type="fixed"/>
          <w:tblCellMar>
            <w:left w:w="0" w:type="dxa"/>
            <w:right w:w="0" w:type="dxa"/>
          </w:tblCellMar>
          <w:tblLook w:val="01E0"/>
        </w:tblPrEx>
        <w:trPr>
          <w:trHeight w:val="234"/>
        </w:trPr>
        <w:tc>
          <w:tcPr>
            <w:tcW w:w="4578" w:type="dxa"/>
            <w:gridSpan w:val="2"/>
          </w:tcPr>
          <w:p w:rsidR="003F5784" w14:paraId="2345DEF3" w14:textId="77777777">
            <w:pPr>
              <w:pStyle w:val="TableParagraph"/>
              <w:spacing w:before="0" w:line="215" w:lineRule="exact"/>
              <w:ind w:right="133"/>
              <w:rPr>
                <w:sz w:val="21"/>
              </w:rPr>
            </w:pPr>
            <w:r>
              <w:rPr>
                <w:spacing w:val="-2"/>
                <w:sz w:val="21"/>
              </w:rPr>
              <w:t>sample,</w:t>
            </w:r>
          </w:p>
        </w:tc>
        <w:tc>
          <w:tcPr>
            <w:tcW w:w="1690" w:type="dxa"/>
          </w:tcPr>
          <w:p w:rsidR="003F5784" w14:paraId="4A86E159" w14:textId="77777777">
            <w:pPr>
              <w:pStyle w:val="TableParagraph"/>
              <w:spacing w:before="0" w:line="215" w:lineRule="exact"/>
              <w:ind w:right="133"/>
              <w:rPr>
                <w:sz w:val="21"/>
              </w:rPr>
            </w:pPr>
            <w:r>
              <w:rPr>
                <w:sz w:val="21"/>
              </w:rPr>
              <w:t>weight</w:t>
            </w:r>
            <w:r>
              <w:rPr>
                <w:spacing w:val="-7"/>
                <w:sz w:val="21"/>
              </w:rPr>
              <w:t xml:space="preserve"> </w:t>
            </w:r>
            <w:r>
              <w:rPr>
                <w:spacing w:val="-5"/>
                <w:sz w:val="21"/>
              </w:rPr>
              <w:t>and</w:t>
            </w:r>
          </w:p>
        </w:tc>
        <w:tc>
          <w:tcPr>
            <w:tcW w:w="1338" w:type="dxa"/>
            <w:gridSpan w:val="2"/>
          </w:tcPr>
          <w:p w:rsidR="003F5784" w14:paraId="338001B4" w14:textId="77777777">
            <w:pPr>
              <w:pStyle w:val="TableParagraph"/>
              <w:spacing w:before="0" w:line="215" w:lineRule="exact"/>
              <w:ind w:right="164"/>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999" w:type="dxa"/>
            <w:gridSpan w:val="2"/>
          </w:tcPr>
          <w:p w:rsidR="003F5784" w14:paraId="50CE1F38" w14:textId="77777777">
            <w:pPr>
              <w:pStyle w:val="TableParagraph"/>
              <w:spacing w:before="0" w:line="215" w:lineRule="exact"/>
              <w:ind w:right="221"/>
              <w:rPr>
                <w:sz w:val="21"/>
              </w:rPr>
            </w:pPr>
            <w:r>
              <w:rPr>
                <w:spacing w:val="-2"/>
                <w:sz w:val="21"/>
              </w:rPr>
              <w:t>sampled,</w:t>
            </w:r>
          </w:p>
        </w:tc>
        <w:tc>
          <w:tcPr>
            <w:tcW w:w="867" w:type="dxa"/>
            <w:gridSpan w:val="3"/>
          </w:tcPr>
          <w:p w:rsidR="003F5784" w14:paraId="0E909677" w14:textId="77777777">
            <w:pPr>
              <w:pStyle w:val="TableParagraph"/>
              <w:spacing w:before="0" w:line="215" w:lineRule="exact"/>
              <w:ind w:right="130"/>
              <w:rPr>
                <w:sz w:val="21"/>
              </w:rPr>
            </w:pPr>
            <w:r>
              <w:rPr>
                <w:spacing w:val="-2"/>
                <w:sz w:val="21"/>
              </w:rPr>
              <w:t>students</w:t>
            </w:r>
          </w:p>
        </w:tc>
        <w:tc>
          <w:tcPr>
            <w:tcW w:w="1090" w:type="dxa"/>
            <w:gridSpan w:val="2"/>
          </w:tcPr>
          <w:p w:rsidR="003F5784" w14:paraId="5BE91504" w14:textId="77777777">
            <w:pPr>
              <w:pStyle w:val="TableParagraph"/>
              <w:spacing w:before="0" w:line="215" w:lineRule="exact"/>
              <w:ind w:right="147"/>
              <w:rPr>
                <w:sz w:val="21"/>
              </w:rPr>
            </w:pPr>
            <w:r>
              <w:rPr>
                <w:sz w:val="21"/>
              </w:rPr>
              <w:t>rates</w:t>
            </w:r>
            <w:r>
              <w:rPr>
                <w:spacing w:val="-5"/>
                <w:sz w:val="21"/>
              </w:rPr>
              <w:t xml:space="preserve"> </w:t>
            </w:r>
            <w:r>
              <w:rPr>
                <w:spacing w:val="-2"/>
                <w:sz w:val="21"/>
              </w:rPr>
              <w:t>(percent)</w:t>
            </w:r>
          </w:p>
        </w:tc>
        <w:tc>
          <w:tcPr>
            <w:tcW w:w="1576" w:type="dxa"/>
          </w:tcPr>
          <w:p w:rsidR="003F5784" w14:paraId="17D826BA" w14:textId="77777777">
            <w:pPr>
              <w:pStyle w:val="TableParagraph"/>
              <w:spacing w:before="0" w:line="215" w:lineRule="exact"/>
              <w:ind w:right="43"/>
              <w:rPr>
                <w:sz w:val="21"/>
              </w:rPr>
            </w:pPr>
            <w:r>
              <w:rPr>
                <w:sz w:val="21"/>
              </w:rPr>
              <w:t>of</w:t>
            </w:r>
            <w:r>
              <w:rPr>
                <w:spacing w:val="-3"/>
                <w:sz w:val="21"/>
              </w:rPr>
              <w:t xml:space="preserve"> </w:t>
            </w:r>
            <w:r>
              <w:rPr>
                <w:spacing w:val="-2"/>
                <w:sz w:val="21"/>
              </w:rPr>
              <w:t>students</w:t>
            </w:r>
          </w:p>
        </w:tc>
      </w:tr>
      <w:tr w14:paraId="5E5C423F" w14:textId="77777777" w:rsidTr="00047860">
        <w:tblPrEx>
          <w:tblW w:w="0" w:type="auto"/>
          <w:tblInd w:w="552" w:type="dxa"/>
          <w:tblLayout w:type="fixed"/>
          <w:tblCellMar>
            <w:left w:w="0" w:type="dxa"/>
            <w:right w:w="0" w:type="dxa"/>
          </w:tblCellMar>
          <w:tblLook w:val="01E0"/>
        </w:tblPrEx>
        <w:trPr>
          <w:trHeight w:val="232"/>
        </w:trPr>
        <w:tc>
          <w:tcPr>
            <w:tcW w:w="4578" w:type="dxa"/>
            <w:gridSpan w:val="2"/>
          </w:tcPr>
          <w:p w:rsidR="003F5784" w14:paraId="28169BDE" w14:textId="77777777">
            <w:pPr>
              <w:pStyle w:val="TableParagraph"/>
              <w:tabs>
                <w:tab w:val="left" w:pos="3025"/>
              </w:tabs>
              <w:spacing w:before="0" w:line="213" w:lineRule="exact"/>
              <w:ind w:right="133"/>
              <w:rPr>
                <w:sz w:val="21"/>
              </w:rPr>
            </w:pPr>
            <w:r>
              <w:rPr>
                <w:sz w:val="21"/>
              </w:rPr>
              <w:t>School</w:t>
            </w:r>
            <w:r>
              <w:rPr>
                <w:spacing w:val="-6"/>
                <w:sz w:val="21"/>
              </w:rPr>
              <w:t xml:space="preserve"> </w:t>
            </w:r>
            <w:r>
              <w:rPr>
                <w:sz w:val="21"/>
              </w:rPr>
              <w:t>type</w:t>
            </w:r>
            <w:r>
              <w:rPr>
                <w:spacing w:val="-5"/>
                <w:sz w:val="21"/>
              </w:rPr>
              <w:t xml:space="preserve"> </w:t>
            </w:r>
            <w:r>
              <w:rPr>
                <w:sz w:val="21"/>
              </w:rPr>
              <w:t>and</w:t>
            </w:r>
            <w:r>
              <w:rPr>
                <w:spacing w:val="-5"/>
                <w:sz w:val="21"/>
              </w:rPr>
              <w:t xml:space="preserve"> </w:t>
            </w:r>
            <w:r>
              <w:rPr>
                <w:spacing w:val="-2"/>
                <w:sz w:val="21"/>
              </w:rPr>
              <w:t>jurisdiction</w:t>
            </w:r>
            <w:r>
              <w:rPr>
                <w:sz w:val="21"/>
              </w:rPr>
              <w:tab/>
            </w:r>
            <w:r>
              <w:rPr>
                <w:spacing w:val="-2"/>
                <w:sz w:val="21"/>
              </w:rPr>
              <w:t>rounded</w:t>
            </w:r>
          </w:p>
        </w:tc>
        <w:tc>
          <w:tcPr>
            <w:tcW w:w="1690" w:type="dxa"/>
          </w:tcPr>
          <w:p w:rsidR="003F5784" w14:paraId="06664AF3" w14:textId="77777777">
            <w:pPr>
              <w:pStyle w:val="TableParagraph"/>
              <w:spacing w:before="0" w:line="213" w:lineRule="exact"/>
              <w:ind w:right="133"/>
              <w:rPr>
                <w:sz w:val="21"/>
              </w:rPr>
            </w:pPr>
            <w:r>
              <w:rPr>
                <w:spacing w:val="-2"/>
                <w:sz w:val="21"/>
              </w:rPr>
              <w:t>enrollment)</w:t>
            </w:r>
          </w:p>
        </w:tc>
        <w:tc>
          <w:tcPr>
            <w:tcW w:w="1338" w:type="dxa"/>
            <w:gridSpan w:val="2"/>
          </w:tcPr>
          <w:p w:rsidR="003F5784" w14:paraId="1D5601B4" w14:textId="77777777">
            <w:pPr>
              <w:pStyle w:val="TableParagraph"/>
              <w:spacing w:before="0" w:line="213" w:lineRule="exact"/>
              <w:ind w:right="164"/>
              <w:rPr>
                <w:sz w:val="21"/>
              </w:rPr>
            </w:pPr>
            <w:r>
              <w:rPr>
                <w:sz w:val="21"/>
              </w:rPr>
              <w:t>weight</w:t>
            </w:r>
            <w:r>
              <w:rPr>
                <w:spacing w:val="-7"/>
                <w:sz w:val="21"/>
              </w:rPr>
              <w:t xml:space="preserve"> </w:t>
            </w:r>
            <w:r>
              <w:rPr>
                <w:spacing w:val="-2"/>
                <w:sz w:val="21"/>
              </w:rPr>
              <w:t>only)</w:t>
            </w:r>
          </w:p>
        </w:tc>
        <w:tc>
          <w:tcPr>
            <w:tcW w:w="999" w:type="dxa"/>
            <w:gridSpan w:val="2"/>
          </w:tcPr>
          <w:p w:rsidR="003F5784" w14:paraId="078C1D6D" w14:textId="77777777">
            <w:pPr>
              <w:pStyle w:val="TableParagraph"/>
              <w:spacing w:before="0" w:line="213" w:lineRule="exact"/>
              <w:ind w:right="221"/>
              <w:rPr>
                <w:sz w:val="21"/>
              </w:rPr>
            </w:pPr>
            <w:r>
              <w:rPr>
                <w:spacing w:val="-2"/>
                <w:sz w:val="21"/>
              </w:rPr>
              <w:t>rounded</w:t>
            </w:r>
          </w:p>
        </w:tc>
        <w:tc>
          <w:tcPr>
            <w:tcW w:w="867" w:type="dxa"/>
            <w:gridSpan w:val="3"/>
          </w:tcPr>
          <w:p w:rsidR="003F5784" w14:paraId="25519991" w14:textId="77777777">
            <w:pPr>
              <w:pStyle w:val="TableParagraph"/>
              <w:spacing w:before="0" w:line="213" w:lineRule="exact"/>
              <w:ind w:right="130"/>
              <w:rPr>
                <w:sz w:val="21"/>
              </w:rPr>
            </w:pPr>
            <w:r>
              <w:rPr>
                <w:spacing w:val="-2"/>
                <w:sz w:val="21"/>
              </w:rPr>
              <w:t>excluded</w:t>
            </w:r>
          </w:p>
        </w:tc>
        <w:tc>
          <w:tcPr>
            <w:tcW w:w="1090" w:type="dxa"/>
            <w:gridSpan w:val="2"/>
          </w:tcPr>
          <w:p w:rsidR="003F5784" w14:paraId="467D27A4" w14:textId="77777777">
            <w:pPr>
              <w:pStyle w:val="TableParagraph"/>
              <w:spacing w:before="0" w:line="213" w:lineRule="exact"/>
              <w:ind w:right="147"/>
              <w:rPr>
                <w:sz w:val="21"/>
              </w:rPr>
            </w:pPr>
            <w:r>
              <w:rPr>
                <w:sz w:val="21"/>
              </w:rPr>
              <w:t>after</w:t>
            </w:r>
            <w:r>
              <w:rPr>
                <w:spacing w:val="-5"/>
                <w:sz w:val="21"/>
              </w:rPr>
              <w:t xml:space="preserve"> </w:t>
            </w:r>
            <w:r>
              <w:rPr>
                <w:spacing w:val="-2"/>
                <w:sz w:val="21"/>
              </w:rPr>
              <w:t>makeups</w:t>
            </w:r>
          </w:p>
        </w:tc>
        <w:tc>
          <w:tcPr>
            <w:tcW w:w="1576" w:type="dxa"/>
          </w:tcPr>
          <w:p w:rsidR="003F5784" w14:paraId="4A66A1DC" w14:textId="77777777">
            <w:pPr>
              <w:pStyle w:val="TableParagraph"/>
              <w:spacing w:before="0" w:line="213" w:lineRule="exact"/>
              <w:ind w:right="43"/>
              <w:rPr>
                <w:sz w:val="21"/>
              </w:rPr>
            </w:pPr>
            <w:r>
              <w:rPr>
                <w:spacing w:val="-2"/>
                <w:sz w:val="21"/>
              </w:rPr>
              <w:t>accommodated</w:t>
            </w:r>
          </w:p>
        </w:tc>
      </w:tr>
      <w:tr w14:paraId="0E7F7EB4" w14:textId="77777777" w:rsidTr="00047860">
        <w:tblPrEx>
          <w:tblW w:w="0" w:type="auto"/>
          <w:tblInd w:w="552" w:type="dxa"/>
          <w:tblLayout w:type="fixed"/>
          <w:tblCellMar>
            <w:left w:w="0" w:type="dxa"/>
            <w:right w:w="0" w:type="dxa"/>
          </w:tblCellMar>
          <w:tblLook w:val="01E0"/>
        </w:tblPrEx>
        <w:trPr>
          <w:trHeight w:val="281"/>
        </w:trPr>
        <w:tc>
          <w:tcPr>
            <w:tcW w:w="3038" w:type="dxa"/>
            <w:tcBorders>
              <w:top w:val="single" w:sz="18" w:space="0" w:color="800000"/>
              <w:bottom w:val="single" w:sz="12" w:space="0" w:color="800000"/>
            </w:tcBorders>
          </w:tcPr>
          <w:p w:rsidR="003F5784" w14:paraId="1466561D" w14:textId="77777777">
            <w:pPr>
              <w:pStyle w:val="TableParagraph"/>
              <w:spacing w:before="9"/>
              <w:ind w:left="120"/>
              <w:jc w:val="left"/>
              <w:rPr>
                <w:sz w:val="21"/>
              </w:rPr>
            </w:pPr>
            <w:r>
              <w:rPr>
                <w:sz w:val="21"/>
              </w:rPr>
              <w:t>District</w:t>
            </w:r>
            <w:r>
              <w:rPr>
                <w:spacing w:val="-7"/>
                <w:sz w:val="21"/>
              </w:rPr>
              <w:t xml:space="preserve"> </w:t>
            </w:r>
            <w:r>
              <w:rPr>
                <w:sz w:val="21"/>
              </w:rPr>
              <w:t>of</w:t>
            </w:r>
            <w:r>
              <w:rPr>
                <w:spacing w:val="-6"/>
                <w:sz w:val="21"/>
              </w:rPr>
              <w:t xml:space="preserve"> </w:t>
            </w:r>
            <w:r>
              <w:rPr>
                <w:sz w:val="21"/>
              </w:rPr>
              <w:t>Columbia</w:t>
            </w:r>
            <w:r>
              <w:rPr>
                <w:spacing w:val="-7"/>
                <w:sz w:val="21"/>
              </w:rPr>
              <w:t xml:space="preserve"> </w:t>
            </w:r>
            <w:r>
              <w:rPr>
                <w:spacing w:val="-2"/>
                <w:sz w:val="21"/>
              </w:rPr>
              <w:t>(DCPS)</w:t>
            </w:r>
          </w:p>
        </w:tc>
        <w:tc>
          <w:tcPr>
            <w:tcW w:w="1540" w:type="dxa"/>
            <w:tcBorders>
              <w:top w:val="single" w:sz="18" w:space="0" w:color="800000"/>
              <w:bottom w:val="single" w:sz="12" w:space="0" w:color="800000"/>
            </w:tcBorders>
          </w:tcPr>
          <w:p w:rsidR="003F5784" w14:paraId="3502473D" w14:textId="77777777">
            <w:pPr>
              <w:pStyle w:val="TableParagraph"/>
              <w:spacing w:before="9"/>
              <w:ind w:right="738"/>
              <w:rPr>
                <w:sz w:val="21"/>
              </w:rPr>
            </w:pPr>
            <w:r>
              <w:rPr>
                <w:spacing w:val="-5"/>
                <w:sz w:val="21"/>
              </w:rPr>
              <w:t>30</w:t>
            </w:r>
          </w:p>
        </w:tc>
        <w:tc>
          <w:tcPr>
            <w:tcW w:w="1710" w:type="dxa"/>
            <w:gridSpan w:val="2"/>
            <w:tcBorders>
              <w:top w:val="single" w:sz="18" w:space="0" w:color="800000"/>
              <w:bottom w:val="single" w:sz="12" w:space="0" w:color="800000"/>
            </w:tcBorders>
          </w:tcPr>
          <w:p w:rsidR="003F5784" w14:paraId="3373CB8C" w14:textId="77777777">
            <w:pPr>
              <w:pStyle w:val="TableParagraph"/>
              <w:spacing w:before="9"/>
              <w:ind w:left="159" w:right="112"/>
              <w:jc w:val="center"/>
              <w:rPr>
                <w:sz w:val="21"/>
              </w:rPr>
            </w:pPr>
            <w:r>
              <w:rPr>
                <w:spacing w:val="-2"/>
                <w:sz w:val="21"/>
              </w:rPr>
              <w:t>100.00</w:t>
            </w:r>
          </w:p>
        </w:tc>
        <w:tc>
          <w:tcPr>
            <w:tcW w:w="1350" w:type="dxa"/>
            <w:gridSpan w:val="2"/>
            <w:tcBorders>
              <w:top w:val="single" w:sz="18" w:space="0" w:color="800000"/>
              <w:bottom w:val="single" w:sz="12" w:space="0" w:color="800000"/>
            </w:tcBorders>
          </w:tcPr>
          <w:p w:rsidR="003F5784" w14:paraId="7C549245" w14:textId="77777777">
            <w:pPr>
              <w:pStyle w:val="TableParagraph"/>
              <w:spacing w:before="9"/>
              <w:ind w:right="386"/>
              <w:rPr>
                <w:sz w:val="21"/>
              </w:rPr>
            </w:pPr>
            <w:r>
              <w:rPr>
                <w:spacing w:val="-2"/>
                <w:sz w:val="21"/>
              </w:rPr>
              <w:t>100.00</w:t>
            </w:r>
          </w:p>
        </w:tc>
        <w:tc>
          <w:tcPr>
            <w:tcW w:w="990" w:type="dxa"/>
            <w:gridSpan w:val="2"/>
            <w:tcBorders>
              <w:top w:val="single" w:sz="18" w:space="0" w:color="800000"/>
              <w:bottom w:val="single" w:sz="12" w:space="0" w:color="800000"/>
            </w:tcBorders>
          </w:tcPr>
          <w:p w:rsidR="003F5784" w14:paraId="537C6E28" w14:textId="77777777">
            <w:pPr>
              <w:pStyle w:val="TableParagraph"/>
              <w:spacing w:before="9"/>
              <w:ind w:right="462"/>
              <w:rPr>
                <w:sz w:val="21"/>
              </w:rPr>
            </w:pPr>
            <w:r>
              <w:rPr>
                <w:spacing w:val="-2"/>
                <w:sz w:val="21"/>
              </w:rPr>
              <w:t>1,000</w:t>
            </w:r>
          </w:p>
        </w:tc>
        <w:tc>
          <w:tcPr>
            <w:tcW w:w="810" w:type="dxa"/>
            <w:tcBorders>
              <w:top w:val="single" w:sz="18" w:space="0" w:color="800000"/>
              <w:bottom w:val="single" w:sz="12" w:space="0" w:color="800000"/>
            </w:tcBorders>
          </w:tcPr>
          <w:p w:rsidR="003F5784" w14:paraId="679ACF91" w14:textId="77777777">
            <w:pPr>
              <w:pStyle w:val="TableParagraph"/>
              <w:spacing w:before="9"/>
              <w:ind w:left="463"/>
              <w:jc w:val="left"/>
              <w:rPr>
                <w:sz w:val="21"/>
              </w:rPr>
            </w:pPr>
            <w:r>
              <w:rPr>
                <w:spacing w:val="-4"/>
                <w:sz w:val="21"/>
              </w:rPr>
              <w:t>4.32</w:t>
            </w:r>
          </w:p>
        </w:tc>
        <w:tc>
          <w:tcPr>
            <w:tcW w:w="900" w:type="dxa"/>
            <w:gridSpan w:val="2"/>
            <w:tcBorders>
              <w:top w:val="single" w:sz="18" w:space="0" w:color="800000"/>
              <w:bottom w:val="single" w:sz="12" w:space="0" w:color="800000"/>
            </w:tcBorders>
          </w:tcPr>
          <w:p w:rsidR="003F5784" w14:paraId="3919E21D" w14:textId="77777777">
            <w:pPr>
              <w:pStyle w:val="TableParagraph"/>
              <w:spacing w:before="9"/>
              <w:ind w:right="22"/>
              <w:jc w:val="center"/>
              <w:rPr>
                <w:sz w:val="21"/>
              </w:rPr>
            </w:pPr>
            <w:r>
              <w:rPr>
                <w:spacing w:val="-2"/>
                <w:sz w:val="21"/>
              </w:rPr>
              <w:t>83.17</w:t>
            </w:r>
          </w:p>
        </w:tc>
        <w:tc>
          <w:tcPr>
            <w:tcW w:w="1800" w:type="dxa"/>
            <w:gridSpan w:val="2"/>
            <w:tcBorders>
              <w:top w:val="single" w:sz="18" w:space="0" w:color="800000"/>
              <w:bottom w:val="single" w:sz="12" w:space="0" w:color="800000"/>
            </w:tcBorders>
          </w:tcPr>
          <w:p w:rsidR="003F5784" w14:paraId="310456B7" w14:textId="77777777">
            <w:pPr>
              <w:pStyle w:val="TableParagraph"/>
              <w:spacing w:before="9"/>
              <w:ind w:right="118"/>
              <w:rPr>
                <w:sz w:val="21"/>
              </w:rPr>
            </w:pPr>
            <w:r>
              <w:rPr>
                <w:spacing w:val="-2"/>
                <w:sz w:val="21"/>
              </w:rPr>
              <w:t>26.65</w:t>
            </w:r>
          </w:p>
        </w:tc>
      </w:tr>
      <w:tr w14:paraId="03208CD8" w14:textId="77777777" w:rsidTr="00047860">
        <w:tblPrEx>
          <w:tblW w:w="0" w:type="auto"/>
          <w:tblInd w:w="552" w:type="dxa"/>
          <w:tblLayout w:type="fixed"/>
          <w:tblCellMar>
            <w:left w:w="0" w:type="dxa"/>
            <w:right w:w="0" w:type="dxa"/>
          </w:tblCellMar>
          <w:tblLook w:val="01E0"/>
        </w:tblPrEx>
        <w:trPr>
          <w:trHeight w:val="266"/>
        </w:trPr>
        <w:tc>
          <w:tcPr>
            <w:tcW w:w="3038" w:type="dxa"/>
            <w:tcBorders>
              <w:top w:val="single" w:sz="12" w:space="0" w:color="800000"/>
            </w:tcBorders>
          </w:tcPr>
          <w:p w:rsidR="003F5784" w14:paraId="4C2C7929" w14:textId="77777777">
            <w:pPr>
              <w:pStyle w:val="TableParagraph"/>
              <w:spacing w:before="0" w:line="239" w:lineRule="exact"/>
              <w:ind w:left="370"/>
              <w:jc w:val="left"/>
              <w:rPr>
                <w:b/>
                <w:sz w:val="21"/>
              </w:rPr>
            </w:pPr>
            <w:r>
              <w:rPr>
                <w:b/>
                <w:sz w:val="21"/>
              </w:rPr>
              <w:t>National</w:t>
            </w:r>
            <w:r>
              <w:rPr>
                <w:b/>
                <w:spacing w:val="-9"/>
                <w:sz w:val="21"/>
              </w:rPr>
              <w:t xml:space="preserve"> </w:t>
            </w:r>
            <w:r>
              <w:rPr>
                <w:b/>
                <w:spacing w:val="-2"/>
                <w:sz w:val="21"/>
              </w:rPr>
              <w:t>private</w:t>
            </w:r>
          </w:p>
        </w:tc>
        <w:tc>
          <w:tcPr>
            <w:tcW w:w="1540" w:type="dxa"/>
            <w:tcBorders>
              <w:top w:val="single" w:sz="12" w:space="0" w:color="800000"/>
            </w:tcBorders>
          </w:tcPr>
          <w:p w:rsidR="003F5784" w14:paraId="6130F575" w14:textId="77777777">
            <w:pPr>
              <w:pStyle w:val="TableParagraph"/>
              <w:spacing w:before="0" w:line="239" w:lineRule="exact"/>
              <w:ind w:right="738"/>
              <w:rPr>
                <w:sz w:val="21"/>
              </w:rPr>
            </w:pPr>
            <w:r>
              <w:rPr>
                <w:spacing w:val="-5"/>
                <w:sz w:val="21"/>
              </w:rPr>
              <w:t>380</w:t>
            </w:r>
          </w:p>
        </w:tc>
        <w:tc>
          <w:tcPr>
            <w:tcW w:w="1710" w:type="dxa"/>
            <w:gridSpan w:val="2"/>
            <w:tcBorders>
              <w:top w:val="single" w:sz="12" w:space="0" w:color="800000"/>
            </w:tcBorders>
          </w:tcPr>
          <w:p w:rsidR="003F5784" w14:paraId="2E4561FF" w14:textId="77777777">
            <w:pPr>
              <w:pStyle w:val="TableParagraph"/>
              <w:spacing w:before="0" w:line="239" w:lineRule="exact"/>
              <w:ind w:left="159" w:right="8"/>
              <w:jc w:val="center"/>
              <w:rPr>
                <w:sz w:val="21"/>
              </w:rPr>
            </w:pPr>
            <w:r>
              <w:rPr>
                <w:spacing w:val="-2"/>
                <w:sz w:val="21"/>
              </w:rPr>
              <w:t>35.49</w:t>
            </w:r>
          </w:p>
        </w:tc>
        <w:tc>
          <w:tcPr>
            <w:tcW w:w="1350" w:type="dxa"/>
            <w:gridSpan w:val="2"/>
            <w:tcBorders>
              <w:top w:val="single" w:sz="12" w:space="0" w:color="800000"/>
            </w:tcBorders>
          </w:tcPr>
          <w:p w:rsidR="003F5784" w14:paraId="36CD3AF8" w14:textId="77777777">
            <w:pPr>
              <w:pStyle w:val="TableParagraph"/>
              <w:spacing w:before="0" w:line="239" w:lineRule="exact"/>
              <w:ind w:right="386"/>
              <w:rPr>
                <w:sz w:val="21"/>
              </w:rPr>
            </w:pPr>
            <w:r>
              <w:rPr>
                <w:spacing w:val="-2"/>
                <w:sz w:val="21"/>
              </w:rPr>
              <w:t>32.62</w:t>
            </w:r>
          </w:p>
        </w:tc>
        <w:tc>
          <w:tcPr>
            <w:tcW w:w="990" w:type="dxa"/>
            <w:gridSpan w:val="2"/>
            <w:tcBorders>
              <w:top w:val="single" w:sz="12" w:space="0" w:color="800000"/>
            </w:tcBorders>
          </w:tcPr>
          <w:p w:rsidR="003F5784" w14:paraId="7A5C12EF" w14:textId="77777777">
            <w:pPr>
              <w:pStyle w:val="TableParagraph"/>
              <w:spacing w:before="0" w:line="239" w:lineRule="exact"/>
              <w:ind w:right="462"/>
              <w:rPr>
                <w:sz w:val="21"/>
              </w:rPr>
            </w:pPr>
            <w:r>
              <w:rPr>
                <w:spacing w:val="-2"/>
                <w:sz w:val="21"/>
              </w:rPr>
              <w:t>1,600</w:t>
            </w:r>
          </w:p>
        </w:tc>
        <w:tc>
          <w:tcPr>
            <w:tcW w:w="810" w:type="dxa"/>
            <w:tcBorders>
              <w:top w:val="single" w:sz="12" w:space="0" w:color="800000"/>
            </w:tcBorders>
          </w:tcPr>
          <w:p w:rsidR="003F5784" w14:paraId="394F48AB" w14:textId="77777777">
            <w:pPr>
              <w:pStyle w:val="TableParagraph"/>
              <w:spacing w:before="0" w:line="239" w:lineRule="exact"/>
              <w:ind w:left="463"/>
              <w:jc w:val="left"/>
              <w:rPr>
                <w:sz w:val="21"/>
              </w:rPr>
            </w:pPr>
            <w:r>
              <w:rPr>
                <w:spacing w:val="-4"/>
                <w:sz w:val="21"/>
              </w:rPr>
              <w:t>0.14</w:t>
            </w:r>
          </w:p>
        </w:tc>
        <w:tc>
          <w:tcPr>
            <w:tcW w:w="900" w:type="dxa"/>
            <w:gridSpan w:val="2"/>
            <w:tcBorders>
              <w:top w:val="single" w:sz="12" w:space="0" w:color="800000"/>
            </w:tcBorders>
          </w:tcPr>
          <w:p w:rsidR="003F5784" w14:paraId="31A3AD0D" w14:textId="77777777">
            <w:pPr>
              <w:pStyle w:val="TableParagraph"/>
              <w:spacing w:before="0" w:line="239" w:lineRule="exact"/>
              <w:ind w:right="22"/>
              <w:jc w:val="center"/>
              <w:rPr>
                <w:sz w:val="21"/>
              </w:rPr>
            </w:pPr>
            <w:r>
              <w:rPr>
                <w:spacing w:val="-2"/>
                <w:sz w:val="21"/>
              </w:rPr>
              <w:t>94.86</w:t>
            </w:r>
          </w:p>
        </w:tc>
        <w:tc>
          <w:tcPr>
            <w:tcW w:w="1800" w:type="dxa"/>
            <w:gridSpan w:val="2"/>
            <w:tcBorders>
              <w:top w:val="single" w:sz="12" w:space="0" w:color="800000"/>
            </w:tcBorders>
          </w:tcPr>
          <w:p w:rsidR="003F5784" w14:paraId="6F3298E5" w14:textId="77777777">
            <w:pPr>
              <w:pStyle w:val="TableParagraph"/>
              <w:spacing w:before="0" w:line="239" w:lineRule="exact"/>
              <w:ind w:right="118"/>
              <w:rPr>
                <w:sz w:val="21"/>
              </w:rPr>
            </w:pPr>
            <w:r>
              <w:rPr>
                <w:spacing w:val="-4"/>
                <w:sz w:val="21"/>
              </w:rPr>
              <w:t>5.36</w:t>
            </w:r>
          </w:p>
        </w:tc>
      </w:tr>
      <w:tr w14:paraId="08B0E01F" w14:textId="77777777" w:rsidTr="00047860">
        <w:tblPrEx>
          <w:tblW w:w="0" w:type="auto"/>
          <w:tblInd w:w="552" w:type="dxa"/>
          <w:tblLayout w:type="fixed"/>
          <w:tblCellMar>
            <w:left w:w="0" w:type="dxa"/>
            <w:right w:w="0" w:type="dxa"/>
          </w:tblCellMar>
          <w:tblLook w:val="01E0"/>
        </w:tblPrEx>
        <w:trPr>
          <w:trHeight w:val="286"/>
        </w:trPr>
        <w:tc>
          <w:tcPr>
            <w:tcW w:w="3038" w:type="dxa"/>
          </w:tcPr>
          <w:p w:rsidR="003F5784" w14:paraId="12C7F37E" w14:textId="77777777">
            <w:pPr>
              <w:pStyle w:val="TableParagraph"/>
              <w:ind w:left="120"/>
              <w:jc w:val="left"/>
              <w:rPr>
                <w:sz w:val="21"/>
              </w:rPr>
            </w:pPr>
            <w:r>
              <w:rPr>
                <w:spacing w:val="-2"/>
                <w:sz w:val="21"/>
              </w:rPr>
              <w:t>Catholic</w:t>
            </w:r>
          </w:p>
        </w:tc>
        <w:tc>
          <w:tcPr>
            <w:tcW w:w="1540" w:type="dxa"/>
          </w:tcPr>
          <w:p w:rsidR="003F5784" w14:paraId="1BD4E505" w14:textId="77777777">
            <w:pPr>
              <w:pStyle w:val="TableParagraph"/>
              <w:ind w:right="738"/>
              <w:rPr>
                <w:sz w:val="21"/>
              </w:rPr>
            </w:pPr>
            <w:r>
              <w:rPr>
                <w:spacing w:val="-5"/>
                <w:sz w:val="21"/>
              </w:rPr>
              <w:t>110</w:t>
            </w:r>
          </w:p>
        </w:tc>
        <w:tc>
          <w:tcPr>
            <w:tcW w:w="1710" w:type="dxa"/>
            <w:gridSpan w:val="2"/>
          </w:tcPr>
          <w:p w:rsidR="003F5784" w14:paraId="5162BCCB" w14:textId="77777777">
            <w:pPr>
              <w:pStyle w:val="TableParagraph"/>
              <w:ind w:left="159" w:right="8"/>
              <w:jc w:val="center"/>
              <w:rPr>
                <w:sz w:val="21"/>
              </w:rPr>
            </w:pPr>
            <w:r>
              <w:rPr>
                <w:spacing w:val="-2"/>
                <w:sz w:val="21"/>
              </w:rPr>
              <w:t>60.98</w:t>
            </w:r>
          </w:p>
        </w:tc>
        <w:tc>
          <w:tcPr>
            <w:tcW w:w="1350" w:type="dxa"/>
            <w:gridSpan w:val="2"/>
          </w:tcPr>
          <w:p w:rsidR="003F5784" w14:paraId="53F198A1" w14:textId="77777777">
            <w:pPr>
              <w:pStyle w:val="TableParagraph"/>
              <w:ind w:right="386"/>
              <w:rPr>
                <w:sz w:val="21"/>
              </w:rPr>
            </w:pPr>
            <w:r>
              <w:rPr>
                <w:spacing w:val="-2"/>
                <w:sz w:val="21"/>
              </w:rPr>
              <w:t>65.94</w:t>
            </w:r>
          </w:p>
        </w:tc>
        <w:tc>
          <w:tcPr>
            <w:tcW w:w="990" w:type="dxa"/>
            <w:gridSpan w:val="2"/>
          </w:tcPr>
          <w:p w:rsidR="003F5784" w14:paraId="76792D01" w14:textId="77777777">
            <w:pPr>
              <w:pStyle w:val="TableParagraph"/>
              <w:ind w:right="462"/>
              <w:rPr>
                <w:sz w:val="21"/>
              </w:rPr>
            </w:pPr>
            <w:r>
              <w:rPr>
                <w:spacing w:val="-2"/>
                <w:sz w:val="21"/>
              </w:rPr>
              <w:t>1,000</w:t>
            </w:r>
          </w:p>
        </w:tc>
        <w:tc>
          <w:tcPr>
            <w:tcW w:w="810" w:type="dxa"/>
          </w:tcPr>
          <w:p w:rsidR="003F5784" w14:paraId="21C07B5F" w14:textId="77777777">
            <w:pPr>
              <w:pStyle w:val="TableParagraph"/>
              <w:ind w:left="463"/>
              <w:jc w:val="left"/>
              <w:rPr>
                <w:sz w:val="21"/>
              </w:rPr>
            </w:pPr>
            <w:r>
              <w:rPr>
                <w:spacing w:val="-4"/>
                <w:sz w:val="21"/>
              </w:rPr>
              <w:t>0.00</w:t>
            </w:r>
          </w:p>
        </w:tc>
        <w:tc>
          <w:tcPr>
            <w:tcW w:w="900" w:type="dxa"/>
            <w:gridSpan w:val="2"/>
          </w:tcPr>
          <w:p w:rsidR="003F5784" w14:paraId="7049B6AA" w14:textId="77777777">
            <w:pPr>
              <w:pStyle w:val="TableParagraph"/>
              <w:ind w:right="22"/>
              <w:jc w:val="center"/>
              <w:rPr>
                <w:sz w:val="21"/>
              </w:rPr>
            </w:pPr>
            <w:r>
              <w:rPr>
                <w:spacing w:val="-2"/>
                <w:sz w:val="21"/>
              </w:rPr>
              <w:t>95.42</w:t>
            </w:r>
          </w:p>
        </w:tc>
        <w:tc>
          <w:tcPr>
            <w:tcW w:w="1800" w:type="dxa"/>
            <w:gridSpan w:val="2"/>
          </w:tcPr>
          <w:p w:rsidR="003F5784" w14:paraId="56F178B7" w14:textId="77777777">
            <w:pPr>
              <w:pStyle w:val="TableParagraph"/>
              <w:ind w:right="118"/>
              <w:rPr>
                <w:sz w:val="21"/>
              </w:rPr>
            </w:pPr>
            <w:r>
              <w:rPr>
                <w:spacing w:val="-4"/>
                <w:sz w:val="21"/>
              </w:rPr>
              <w:t>7.43</w:t>
            </w:r>
          </w:p>
        </w:tc>
      </w:tr>
      <w:tr w14:paraId="5A1CBE33" w14:textId="77777777" w:rsidTr="00047860">
        <w:tblPrEx>
          <w:tblW w:w="0" w:type="auto"/>
          <w:tblInd w:w="552" w:type="dxa"/>
          <w:tblLayout w:type="fixed"/>
          <w:tblCellMar>
            <w:left w:w="0" w:type="dxa"/>
            <w:right w:w="0" w:type="dxa"/>
          </w:tblCellMar>
          <w:tblLook w:val="01E0"/>
        </w:tblPrEx>
        <w:trPr>
          <w:trHeight w:val="290"/>
        </w:trPr>
        <w:tc>
          <w:tcPr>
            <w:tcW w:w="3038" w:type="dxa"/>
            <w:tcBorders>
              <w:bottom w:val="single" w:sz="12" w:space="0" w:color="800000"/>
            </w:tcBorders>
          </w:tcPr>
          <w:p w:rsidR="003F5784" w14:paraId="0492BE5C" w14:textId="77777777">
            <w:pPr>
              <w:pStyle w:val="TableParagraph"/>
              <w:ind w:left="120"/>
              <w:jc w:val="left"/>
              <w:rPr>
                <w:sz w:val="21"/>
              </w:rPr>
            </w:pPr>
            <w:r>
              <w:rPr>
                <w:spacing w:val="-2"/>
                <w:sz w:val="21"/>
              </w:rPr>
              <w:t>Non-Catholic</w:t>
            </w:r>
          </w:p>
        </w:tc>
        <w:tc>
          <w:tcPr>
            <w:tcW w:w="1540" w:type="dxa"/>
            <w:tcBorders>
              <w:bottom w:val="single" w:sz="12" w:space="0" w:color="800000"/>
            </w:tcBorders>
          </w:tcPr>
          <w:p w:rsidR="003F5784" w14:paraId="0C9D92A3" w14:textId="77777777">
            <w:pPr>
              <w:pStyle w:val="TableParagraph"/>
              <w:ind w:right="738"/>
              <w:rPr>
                <w:sz w:val="21"/>
              </w:rPr>
            </w:pPr>
            <w:r>
              <w:rPr>
                <w:spacing w:val="-5"/>
                <w:sz w:val="21"/>
              </w:rPr>
              <w:t>270</w:t>
            </w:r>
          </w:p>
        </w:tc>
        <w:tc>
          <w:tcPr>
            <w:tcW w:w="1710" w:type="dxa"/>
            <w:gridSpan w:val="2"/>
            <w:tcBorders>
              <w:bottom w:val="single" w:sz="12" w:space="0" w:color="800000"/>
            </w:tcBorders>
          </w:tcPr>
          <w:p w:rsidR="003F5784" w14:paraId="140F2812" w14:textId="77777777">
            <w:pPr>
              <w:pStyle w:val="TableParagraph"/>
              <w:ind w:left="159" w:right="8"/>
              <w:jc w:val="center"/>
              <w:rPr>
                <w:sz w:val="21"/>
              </w:rPr>
            </w:pPr>
            <w:r>
              <w:rPr>
                <w:spacing w:val="-2"/>
                <w:sz w:val="21"/>
              </w:rPr>
              <w:t>19.80</w:t>
            </w:r>
          </w:p>
        </w:tc>
        <w:tc>
          <w:tcPr>
            <w:tcW w:w="1350" w:type="dxa"/>
            <w:gridSpan w:val="2"/>
            <w:tcBorders>
              <w:bottom w:val="single" w:sz="12" w:space="0" w:color="800000"/>
            </w:tcBorders>
          </w:tcPr>
          <w:p w:rsidR="003F5784" w14:paraId="2480FE80" w14:textId="77777777">
            <w:pPr>
              <w:pStyle w:val="TableParagraph"/>
              <w:ind w:right="386"/>
              <w:rPr>
                <w:sz w:val="21"/>
              </w:rPr>
            </w:pPr>
            <w:r>
              <w:rPr>
                <w:spacing w:val="-2"/>
                <w:sz w:val="21"/>
              </w:rPr>
              <w:t>20.04</w:t>
            </w:r>
          </w:p>
        </w:tc>
        <w:tc>
          <w:tcPr>
            <w:tcW w:w="990" w:type="dxa"/>
            <w:gridSpan w:val="2"/>
            <w:tcBorders>
              <w:bottom w:val="single" w:sz="12" w:space="0" w:color="800000"/>
            </w:tcBorders>
          </w:tcPr>
          <w:p w:rsidR="003F5784" w14:paraId="03B044AD" w14:textId="77777777">
            <w:pPr>
              <w:pStyle w:val="TableParagraph"/>
              <w:ind w:right="462"/>
              <w:rPr>
                <w:sz w:val="21"/>
              </w:rPr>
            </w:pPr>
            <w:r>
              <w:rPr>
                <w:spacing w:val="-5"/>
                <w:sz w:val="21"/>
              </w:rPr>
              <w:t>600</w:t>
            </w:r>
          </w:p>
        </w:tc>
        <w:tc>
          <w:tcPr>
            <w:tcW w:w="810" w:type="dxa"/>
            <w:tcBorders>
              <w:bottom w:val="single" w:sz="12" w:space="0" w:color="800000"/>
            </w:tcBorders>
          </w:tcPr>
          <w:p w:rsidR="003F5784" w14:paraId="1C4761F6" w14:textId="77777777">
            <w:pPr>
              <w:pStyle w:val="TableParagraph"/>
              <w:ind w:left="463"/>
              <w:jc w:val="left"/>
              <w:rPr>
                <w:sz w:val="21"/>
              </w:rPr>
            </w:pPr>
            <w:r>
              <w:rPr>
                <w:spacing w:val="-4"/>
                <w:sz w:val="21"/>
              </w:rPr>
              <w:t>0.22</w:t>
            </w:r>
          </w:p>
        </w:tc>
        <w:tc>
          <w:tcPr>
            <w:tcW w:w="900" w:type="dxa"/>
            <w:gridSpan w:val="2"/>
            <w:tcBorders>
              <w:bottom w:val="single" w:sz="12" w:space="0" w:color="800000"/>
            </w:tcBorders>
          </w:tcPr>
          <w:p w:rsidR="003F5784" w14:paraId="7985EE49" w14:textId="77777777">
            <w:pPr>
              <w:pStyle w:val="TableParagraph"/>
              <w:ind w:right="22"/>
              <w:jc w:val="center"/>
              <w:rPr>
                <w:sz w:val="21"/>
              </w:rPr>
            </w:pPr>
            <w:r>
              <w:rPr>
                <w:spacing w:val="-2"/>
                <w:sz w:val="21"/>
              </w:rPr>
              <w:t>93.72</w:t>
            </w:r>
          </w:p>
        </w:tc>
        <w:tc>
          <w:tcPr>
            <w:tcW w:w="1800" w:type="dxa"/>
            <w:gridSpan w:val="2"/>
            <w:tcBorders>
              <w:bottom w:val="single" w:sz="12" w:space="0" w:color="800000"/>
            </w:tcBorders>
          </w:tcPr>
          <w:p w:rsidR="003F5784" w14:paraId="22135125" w14:textId="77777777">
            <w:pPr>
              <w:pStyle w:val="TableParagraph"/>
              <w:ind w:right="118"/>
              <w:rPr>
                <w:sz w:val="21"/>
              </w:rPr>
            </w:pPr>
            <w:r>
              <w:rPr>
                <w:spacing w:val="-4"/>
                <w:sz w:val="21"/>
              </w:rPr>
              <w:t>4.07</w:t>
            </w:r>
          </w:p>
        </w:tc>
      </w:tr>
      <w:tr w14:paraId="37B5F4B5" w14:textId="77777777" w:rsidTr="00047860">
        <w:tblPrEx>
          <w:tblW w:w="0" w:type="auto"/>
          <w:tblInd w:w="552" w:type="dxa"/>
          <w:tblLayout w:type="fixed"/>
          <w:tblCellMar>
            <w:left w:w="0" w:type="dxa"/>
            <w:right w:w="0" w:type="dxa"/>
          </w:tblCellMar>
          <w:tblLook w:val="01E0"/>
        </w:tblPrEx>
        <w:trPr>
          <w:trHeight w:val="266"/>
        </w:trPr>
        <w:tc>
          <w:tcPr>
            <w:tcW w:w="12138" w:type="dxa"/>
            <w:gridSpan w:val="13"/>
            <w:tcBorders>
              <w:top w:val="single" w:sz="12" w:space="0" w:color="800000"/>
            </w:tcBorders>
          </w:tcPr>
          <w:p w:rsidR="003F5784" w14:paraId="1BB9887D" w14:textId="77777777">
            <w:pPr>
              <w:pStyle w:val="TableParagraph"/>
              <w:spacing w:before="0" w:line="239" w:lineRule="exact"/>
              <w:ind w:left="370"/>
              <w:jc w:val="left"/>
              <w:rPr>
                <w:b/>
                <w:sz w:val="21"/>
              </w:rPr>
            </w:pPr>
            <w:r>
              <w:rPr>
                <w:b/>
                <w:sz w:val="21"/>
              </w:rPr>
              <w:t>Other</w:t>
            </w:r>
            <w:r>
              <w:rPr>
                <w:b/>
                <w:spacing w:val="-11"/>
                <w:sz w:val="21"/>
              </w:rPr>
              <w:t xml:space="preserve"> </w:t>
            </w:r>
            <w:r>
              <w:rPr>
                <w:b/>
                <w:spacing w:val="-2"/>
                <w:sz w:val="21"/>
              </w:rPr>
              <w:t>jurisdictions</w:t>
            </w:r>
          </w:p>
        </w:tc>
      </w:tr>
      <w:tr w14:paraId="0A37EEBC" w14:textId="77777777" w:rsidTr="00047860">
        <w:tblPrEx>
          <w:tblW w:w="0" w:type="auto"/>
          <w:tblInd w:w="552" w:type="dxa"/>
          <w:tblLayout w:type="fixed"/>
          <w:tblCellMar>
            <w:left w:w="0" w:type="dxa"/>
            <w:right w:w="0" w:type="dxa"/>
          </w:tblCellMar>
          <w:tblLook w:val="01E0"/>
        </w:tblPrEx>
        <w:trPr>
          <w:trHeight w:val="341"/>
        </w:trPr>
        <w:tc>
          <w:tcPr>
            <w:tcW w:w="3038" w:type="dxa"/>
            <w:tcBorders>
              <w:bottom w:val="single" w:sz="18" w:space="0" w:color="800000"/>
            </w:tcBorders>
          </w:tcPr>
          <w:p w:rsidR="003F5784" w14:paraId="5A79A0AA" w14:textId="77777777">
            <w:pPr>
              <w:pStyle w:val="TableParagraph"/>
              <w:spacing w:before="31"/>
              <w:ind w:left="120"/>
              <w:jc w:val="left"/>
              <w:rPr>
                <w:b/>
                <w:sz w:val="17"/>
              </w:rPr>
            </w:pPr>
            <w:r>
              <w:rPr>
                <w:spacing w:val="-2"/>
                <w:sz w:val="21"/>
              </w:rPr>
              <w:t>DoDEA</w:t>
            </w:r>
            <w:r>
              <w:rPr>
                <w:b/>
                <w:spacing w:val="-2"/>
                <w:position w:val="8"/>
                <w:sz w:val="17"/>
              </w:rPr>
              <w:t>2</w:t>
            </w:r>
          </w:p>
        </w:tc>
        <w:tc>
          <w:tcPr>
            <w:tcW w:w="1540" w:type="dxa"/>
            <w:tcBorders>
              <w:bottom w:val="single" w:sz="18" w:space="0" w:color="800000"/>
            </w:tcBorders>
          </w:tcPr>
          <w:p w:rsidR="003F5784" w14:paraId="07157C98" w14:textId="77777777">
            <w:pPr>
              <w:pStyle w:val="TableParagraph"/>
              <w:ind w:right="738"/>
              <w:rPr>
                <w:sz w:val="21"/>
              </w:rPr>
            </w:pPr>
            <w:r>
              <w:rPr>
                <w:spacing w:val="-5"/>
                <w:sz w:val="21"/>
              </w:rPr>
              <w:t>60</w:t>
            </w:r>
          </w:p>
        </w:tc>
        <w:tc>
          <w:tcPr>
            <w:tcW w:w="1710" w:type="dxa"/>
            <w:gridSpan w:val="2"/>
            <w:tcBorders>
              <w:bottom w:val="single" w:sz="18" w:space="0" w:color="800000"/>
            </w:tcBorders>
          </w:tcPr>
          <w:p w:rsidR="003F5784" w14:paraId="5E5976BC" w14:textId="77777777">
            <w:pPr>
              <w:pStyle w:val="TableParagraph"/>
              <w:ind w:left="159" w:right="8"/>
              <w:jc w:val="center"/>
              <w:rPr>
                <w:sz w:val="21"/>
              </w:rPr>
            </w:pPr>
            <w:r>
              <w:rPr>
                <w:spacing w:val="-2"/>
                <w:sz w:val="21"/>
              </w:rPr>
              <w:t>94.14</w:t>
            </w:r>
          </w:p>
        </w:tc>
        <w:tc>
          <w:tcPr>
            <w:tcW w:w="1350" w:type="dxa"/>
            <w:gridSpan w:val="2"/>
            <w:tcBorders>
              <w:bottom w:val="single" w:sz="18" w:space="0" w:color="800000"/>
            </w:tcBorders>
          </w:tcPr>
          <w:p w:rsidR="003F5784" w14:paraId="292CE7E2" w14:textId="77777777">
            <w:pPr>
              <w:pStyle w:val="TableParagraph"/>
              <w:ind w:right="386"/>
              <w:rPr>
                <w:sz w:val="21"/>
              </w:rPr>
            </w:pPr>
            <w:r>
              <w:rPr>
                <w:spacing w:val="-2"/>
                <w:sz w:val="21"/>
              </w:rPr>
              <w:t>86.27</w:t>
            </w:r>
          </w:p>
        </w:tc>
        <w:tc>
          <w:tcPr>
            <w:tcW w:w="990" w:type="dxa"/>
            <w:gridSpan w:val="2"/>
            <w:tcBorders>
              <w:bottom w:val="single" w:sz="18" w:space="0" w:color="800000"/>
            </w:tcBorders>
          </w:tcPr>
          <w:p w:rsidR="003F5784" w14:paraId="3AC89DEC" w14:textId="77777777">
            <w:pPr>
              <w:pStyle w:val="TableParagraph"/>
              <w:ind w:right="462"/>
              <w:rPr>
                <w:sz w:val="21"/>
              </w:rPr>
            </w:pPr>
            <w:r>
              <w:rPr>
                <w:spacing w:val="-2"/>
                <w:sz w:val="21"/>
              </w:rPr>
              <w:t>2,100</w:t>
            </w:r>
          </w:p>
        </w:tc>
        <w:tc>
          <w:tcPr>
            <w:tcW w:w="810" w:type="dxa"/>
            <w:tcBorders>
              <w:bottom w:val="single" w:sz="18" w:space="0" w:color="800000"/>
            </w:tcBorders>
          </w:tcPr>
          <w:p w:rsidR="003F5784" w14:paraId="3D5F31E3" w14:textId="77777777">
            <w:pPr>
              <w:pStyle w:val="TableParagraph"/>
              <w:ind w:left="463"/>
              <w:jc w:val="left"/>
              <w:rPr>
                <w:sz w:val="21"/>
              </w:rPr>
            </w:pPr>
            <w:r>
              <w:rPr>
                <w:spacing w:val="-4"/>
                <w:sz w:val="21"/>
              </w:rPr>
              <w:t>1.78</w:t>
            </w:r>
          </w:p>
        </w:tc>
        <w:tc>
          <w:tcPr>
            <w:tcW w:w="900" w:type="dxa"/>
            <w:gridSpan w:val="2"/>
            <w:tcBorders>
              <w:bottom w:val="single" w:sz="18" w:space="0" w:color="800000"/>
            </w:tcBorders>
          </w:tcPr>
          <w:p w:rsidR="003F5784" w14:paraId="0809B26D" w14:textId="77777777">
            <w:pPr>
              <w:pStyle w:val="TableParagraph"/>
              <w:ind w:right="22"/>
              <w:jc w:val="center"/>
              <w:rPr>
                <w:sz w:val="21"/>
              </w:rPr>
            </w:pPr>
            <w:r>
              <w:rPr>
                <w:spacing w:val="-2"/>
                <w:sz w:val="21"/>
              </w:rPr>
              <w:t>89.68</w:t>
            </w:r>
          </w:p>
        </w:tc>
        <w:tc>
          <w:tcPr>
            <w:tcW w:w="1800" w:type="dxa"/>
            <w:gridSpan w:val="2"/>
            <w:tcBorders>
              <w:bottom w:val="single" w:sz="18" w:space="0" w:color="800000"/>
            </w:tcBorders>
          </w:tcPr>
          <w:p w:rsidR="003F5784" w14:paraId="770EB4B8" w14:textId="77777777">
            <w:pPr>
              <w:pStyle w:val="TableParagraph"/>
              <w:ind w:right="118"/>
              <w:rPr>
                <w:sz w:val="21"/>
              </w:rPr>
            </w:pPr>
            <w:r>
              <w:rPr>
                <w:spacing w:val="-2"/>
                <w:sz w:val="21"/>
              </w:rPr>
              <w:t>12.42</w:t>
            </w:r>
          </w:p>
        </w:tc>
      </w:tr>
    </w:tbl>
    <w:p w:rsidR="003F5784" w14:paraId="1ECE4764" w14:textId="77777777">
      <w:pPr>
        <w:pStyle w:val="BodyText"/>
        <w:spacing w:before="32"/>
        <w:ind w:left="595"/>
      </w:pPr>
      <w:r>
        <w:rPr>
          <w:position w:val="9"/>
          <w:sz w:val="17"/>
        </w:rPr>
        <w:t>1</w:t>
      </w:r>
      <w:r>
        <w:t>1</w:t>
      </w:r>
      <w:r>
        <w:rPr>
          <w:position w:val="9"/>
          <w:sz w:val="17"/>
        </w:rPr>
        <w:t>1</w:t>
      </w:r>
      <w:r>
        <w:rPr>
          <w:spacing w:val="1"/>
          <w:position w:val="9"/>
          <w:sz w:val="17"/>
        </w:rPr>
        <w:t xml:space="preserve"> </w:t>
      </w:r>
      <w:r>
        <w:rPr>
          <w:position w:val="1"/>
        </w:rPr>
        <w:t>Includes</w:t>
      </w:r>
      <w:r>
        <w:rPr>
          <w:spacing w:val="-6"/>
          <w:position w:val="1"/>
        </w:rPr>
        <w:t xml:space="preserve"> </w:t>
      </w:r>
      <w:r>
        <w:rPr>
          <w:position w:val="1"/>
        </w:rPr>
        <w:t>national</w:t>
      </w:r>
      <w:r>
        <w:rPr>
          <w:spacing w:val="-6"/>
          <w:position w:val="1"/>
        </w:rPr>
        <w:t xml:space="preserve"> </w:t>
      </w:r>
      <w:r>
        <w:rPr>
          <w:position w:val="1"/>
        </w:rPr>
        <w:t>public</w:t>
      </w:r>
      <w:r>
        <w:rPr>
          <w:spacing w:val="-6"/>
          <w:position w:val="1"/>
        </w:rPr>
        <w:t xml:space="preserve"> </w:t>
      </w:r>
      <w:r>
        <w:rPr>
          <w:position w:val="1"/>
        </w:rPr>
        <w:t>and</w:t>
      </w:r>
      <w:r>
        <w:rPr>
          <w:spacing w:val="-6"/>
          <w:position w:val="1"/>
        </w:rPr>
        <w:t xml:space="preserve"> </w:t>
      </w:r>
      <w:r>
        <w:rPr>
          <w:position w:val="1"/>
        </w:rPr>
        <w:t>national</w:t>
      </w:r>
      <w:r>
        <w:rPr>
          <w:spacing w:val="-6"/>
          <w:position w:val="1"/>
        </w:rPr>
        <w:t xml:space="preserve"> </w:t>
      </w:r>
      <w:r>
        <w:rPr>
          <w:position w:val="1"/>
        </w:rPr>
        <w:t>private</w:t>
      </w:r>
      <w:r>
        <w:rPr>
          <w:spacing w:val="-6"/>
          <w:position w:val="1"/>
        </w:rPr>
        <w:t xml:space="preserve"> </w:t>
      </w:r>
      <w:r>
        <w:rPr>
          <w:position w:val="1"/>
        </w:rPr>
        <w:t>schools</w:t>
      </w:r>
      <w:r>
        <w:rPr>
          <w:spacing w:val="-6"/>
          <w:position w:val="1"/>
        </w:rPr>
        <w:t xml:space="preserve"> </w:t>
      </w:r>
      <w:r>
        <w:rPr>
          <w:position w:val="1"/>
        </w:rPr>
        <w:t>located</w:t>
      </w:r>
      <w:r>
        <w:rPr>
          <w:spacing w:val="-6"/>
          <w:position w:val="1"/>
        </w:rPr>
        <w:t xml:space="preserve"> </w:t>
      </w:r>
      <w:r>
        <w:rPr>
          <w:position w:val="1"/>
        </w:rPr>
        <w:t>in</w:t>
      </w:r>
      <w:r>
        <w:rPr>
          <w:spacing w:val="-6"/>
          <w:position w:val="1"/>
        </w:rPr>
        <w:t xml:space="preserve"> </w:t>
      </w:r>
      <w:r>
        <w:rPr>
          <w:position w:val="1"/>
        </w:rPr>
        <w:t>the</w:t>
      </w:r>
      <w:r>
        <w:rPr>
          <w:spacing w:val="-6"/>
          <w:position w:val="1"/>
        </w:rPr>
        <w:t xml:space="preserve"> </w:t>
      </w:r>
      <w:r>
        <w:rPr>
          <w:position w:val="1"/>
        </w:rPr>
        <w:t>United</w:t>
      </w:r>
      <w:r>
        <w:rPr>
          <w:spacing w:val="-6"/>
          <w:position w:val="1"/>
        </w:rPr>
        <w:t xml:space="preserve"> </w:t>
      </w:r>
      <w:r>
        <w:rPr>
          <w:position w:val="1"/>
        </w:rPr>
        <w:t>States</w:t>
      </w:r>
      <w:r>
        <w:rPr>
          <w:spacing w:val="-6"/>
          <w:position w:val="1"/>
        </w:rPr>
        <w:t xml:space="preserve"> </w:t>
      </w:r>
      <w:r>
        <w:rPr>
          <w:position w:val="1"/>
        </w:rPr>
        <w:t>and</w:t>
      </w:r>
      <w:r>
        <w:rPr>
          <w:spacing w:val="-6"/>
          <w:position w:val="1"/>
        </w:rPr>
        <w:t xml:space="preserve"> </w:t>
      </w:r>
      <w:r>
        <w:rPr>
          <w:position w:val="1"/>
        </w:rPr>
        <w:t>all</w:t>
      </w:r>
      <w:r>
        <w:rPr>
          <w:spacing w:val="-6"/>
          <w:position w:val="1"/>
        </w:rPr>
        <w:t xml:space="preserve"> </w:t>
      </w:r>
      <w:r>
        <w:rPr>
          <w:position w:val="1"/>
        </w:rPr>
        <w:t>Department</w:t>
      </w:r>
      <w:r>
        <w:rPr>
          <w:spacing w:val="-6"/>
          <w:position w:val="1"/>
        </w:rPr>
        <w:t xml:space="preserve"> </w:t>
      </w:r>
      <w:r>
        <w:rPr>
          <w:position w:val="1"/>
        </w:rPr>
        <w:t>of</w:t>
      </w:r>
      <w:r>
        <w:rPr>
          <w:spacing w:val="-6"/>
          <w:position w:val="1"/>
        </w:rPr>
        <w:t xml:space="preserve"> </w:t>
      </w:r>
      <w:r>
        <w:rPr>
          <w:position w:val="1"/>
        </w:rPr>
        <w:t>Defense</w:t>
      </w:r>
      <w:r>
        <w:rPr>
          <w:spacing w:val="-6"/>
          <w:position w:val="1"/>
        </w:rPr>
        <w:t xml:space="preserve"> </w:t>
      </w:r>
      <w:r>
        <w:rPr>
          <w:position w:val="1"/>
        </w:rPr>
        <w:t>Education</w:t>
      </w:r>
      <w:r>
        <w:rPr>
          <w:spacing w:val="-13"/>
          <w:position w:val="1"/>
        </w:rPr>
        <w:t xml:space="preserve"> </w:t>
      </w:r>
      <w:r>
        <w:rPr>
          <w:position w:val="1"/>
        </w:rPr>
        <w:t>Activity</w:t>
      </w:r>
      <w:r>
        <w:rPr>
          <w:spacing w:val="-6"/>
          <w:position w:val="1"/>
        </w:rPr>
        <w:t xml:space="preserve"> </w:t>
      </w:r>
      <w:r>
        <w:rPr>
          <w:spacing w:val="-2"/>
          <w:position w:val="1"/>
        </w:rPr>
        <w:t>schools.</w:t>
      </w:r>
    </w:p>
    <w:p w:rsidR="003F5784" w14:paraId="6A95776E" w14:textId="77777777">
      <w:pPr>
        <w:pStyle w:val="BodyText"/>
        <w:spacing w:before="7" w:line="279" w:lineRule="exact"/>
        <w:ind w:left="595"/>
      </w:pPr>
      <w:r>
        <w:rPr>
          <w:position w:val="8"/>
          <w:sz w:val="17"/>
        </w:rPr>
        <w:t>2</w:t>
      </w:r>
      <w:r>
        <w:t>2</w:t>
      </w:r>
      <w:r>
        <w:rPr>
          <w:position w:val="8"/>
          <w:sz w:val="17"/>
        </w:rPr>
        <w:t xml:space="preserve">2 </w:t>
      </w:r>
      <w:r>
        <w:t>Department</w:t>
      </w:r>
      <w:r>
        <w:rPr>
          <w:spacing w:val="-7"/>
        </w:rPr>
        <w:t xml:space="preserve"> </w:t>
      </w:r>
      <w:r>
        <w:t>of</w:t>
      </w:r>
      <w:r>
        <w:rPr>
          <w:spacing w:val="-6"/>
        </w:rPr>
        <w:t xml:space="preserve"> </w:t>
      </w:r>
      <w:r>
        <w:t>Defense</w:t>
      </w:r>
      <w:r>
        <w:rPr>
          <w:spacing w:val="-6"/>
        </w:rPr>
        <w:t xml:space="preserve"> </w:t>
      </w:r>
      <w:r>
        <w:t>Education</w:t>
      </w:r>
      <w:r>
        <w:rPr>
          <w:spacing w:val="-14"/>
        </w:rPr>
        <w:t xml:space="preserve"> </w:t>
      </w:r>
      <w:r>
        <w:t>Activity</w:t>
      </w:r>
      <w:r>
        <w:rPr>
          <w:spacing w:val="-6"/>
        </w:rPr>
        <w:t xml:space="preserve"> </w:t>
      </w:r>
      <w:r>
        <w:rPr>
          <w:spacing w:val="-2"/>
        </w:rPr>
        <w:t>schools.</w:t>
      </w:r>
    </w:p>
    <w:p w:rsidR="003F5784" w14:paraId="0313A855" w14:textId="77777777">
      <w:pPr>
        <w:pStyle w:val="BodyText"/>
        <w:spacing w:line="232" w:lineRule="auto"/>
        <w:ind w:left="595" w:right="318"/>
      </w:pPr>
      <w:r>
        <w:t>NOTE: Numbers of schools are rounded to nearest ten, and numbers of students are rounded to nearest hundred. Detail may not sum to totals due to rounding. 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Reading Assessment.</w:t>
      </w:r>
    </w:p>
    <w:p w:rsidR="003F5784" w14:paraId="242D718A" w14:textId="77777777">
      <w:pPr>
        <w:pStyle w:val="BodyText"/>
      </w:pPr>
    </w:p>
    <w:p w:rsidR="003F5784" w14:paraId="7E69787F" w14:textId="77777777">
      <w:pPr>
        <w:pStyle w:val="BodyText"/>
      </w:pPr>
    </w:p>
    <w:p w:rsidR="003F5784" w14:paraId="2F40AE47" w14:textId="77777777">
      <w:pPr>
        <w:pStyle w:val="BodyText"/>
        <w:spacing w:before="198"/>
      </w:pPr>
    </w:p>
    <w:p w:rsidR="003F5784" w14:paraId="5F6AA34C" w14:textId="77777777">
      <w:pPr>
        <w:ind w:left="2551"/>
        <w:rPr>
          <w:sz w:val="18"/>
        </w:rPr>
      </w:pPr>
      <w:hyperlink r:id="rId564">
        <w:r>
          <w:rPr>
            <w:spacing w:val="-2"/>
            <w:w w:val="105"/>
            <w:sz w:val="18"/>
          </w:rPr>
          <w:t>http://nces.ed.gov/nationsreportcard/tdw/weighting/2022/participation_exclusion_and_accommodation_rates_for_grade_8_reading_for_the_2022_assessment.aspx</w:t>
        </w:r>
      </w:hyperlink>
    </w:p>
    <w:p w:rsidR="003F5784" w14:paraId="19077BB8" w14:textId="77777777">
      <w:pPr>
        <w:pStyle w:val="BodyText"/>
        <w:spacing w:before="1"/>
        <w:rPr>
          <w:sz w:val="16"/>
        </w:rPr>
      </w:pPr>
      <w:r>
        <w:rPr>
          <w:noProof/>
        </w:rPr>
        <mc:AlternateContent>
          <mc:Choice Requires="wps">
            <w:drawing>
              <wp:anchor distT="0" distB="0" distL="0" distR="0" simplePos="0" relativeHeight="252048384" behindDoc="1" locked="0" layoutInCell="1" allowOverlap="1">
                <wp:simplePos x="0" y="0"/>
                <wp:positionH relativeFrom="page">
                  <wp:posOffset>361937</wp:posOffset>
                </wp:positionH>
                <wp:positionV relativeFrom="paragraph">
                  <wp:posOffset>132975</wp:posOffset>
                </wp:positionV>
                <wp:extent cx="9339580" cy="8890"/>
                <wp:effectExtent l="0" t="0" r="0" b="0"/>
                <wp:wrapTopAndBottom/>
                <wp:docPr id="723" name="Graphic 723"/>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50"/>
                              </a:moveTo>
                              <a:lnTo>
                                <a:pt x="9335110" y="50"/>
                              </a:lnTo>
                              <a:lnTo>
                                <a:pt x="8280" y="50"/>
                              </a:lnTo>
                              <a:lnTo>
                                <a:pt x="0" y="0"/>
                              </a:lnTo>
                              <a:lnTo>
                                <a:pt x="0" y="8280"/>
                              </a:lnTo>
                              <a:lnTo>
                                <a:pt x="9335110" y="8331"/>
                              </a:lnTo>
                              <a:lnTo>
                                <a:pt x="9338970" y="8331"/>
                              </a:lnTo>
                              <a:lnTo>
                                <a:pt x="9338970" y="5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723" o:spid="_x0000_s1227" style="width:735.4pt;height:0.7pt;margin-top:10.45pt;margin-left:28.5pt;mso-position-horizontal-relative:page;mso-wrap-distance-bottom:0;mso-wrap-distance-left:0;mso-wrap-distance-right:0;mso-wrap-distance-top:0;mso-wrap-style:square;position:absolute;visibility:visible;v-text-anchor:top;z-index:-251267072" coordsize="9339580,8890" path="m9338970,50l9335110,50l8280,50,,,,8280l9335110,8331l9338970,8331l9338970,50xe" fillcolor="gray" stroked="f">
                <v:path arrowok="t"/>
                <w10:wrap type="topAndBottom"/>
              </v:shape>
            </w:pict>
          </mc:Fallback>
        </mc:AlternateContent>
      </w:r>
    </w:p>
    <w:p w:rsidR="003F5784" w14:paraId="4F2204E7" w14:textId="77777777">
      <w:pPr>
        <w:pStyle w:val="BodyText"/>
        <w:rPr>
          <w:sz w:val="18"/>
        </w:rPr>
      </w:pPr>
    </w:p>
    <w:p w:rsidR="003F5784" w14:paraId="6723018F" w14:textId="77777777">
      <w:pPr>
        <w:pStyle w:val="BodyText"/>
        <w:spacing w:before="193"/>
        <w:rPr>
          <w:sz w:val="18"/>
        </w:rPr>
      </w:pPr>
    </w:p>
    <w:p w:rsidR="003F5784" w14:paraId="44FFBD84" w14:textId="52065720">
      <w:pPr>
        <w:pStyle w:val="Heading1"/>
        <w:spacing w:line="244" w:lineRule="auto"/>
        <w:ind w:right="179"/>
      </w:pPr>
      <w:r>
        <w:t>NAEP</w:t>
      </w:r>
      <w:r>
        <w:rPr>
          <w:spacing w:val="-5"/>
        </w:rPr>
        <w:t xml:space="preserve"> </w:t>
      </w:r>
      <w:r>
        <w:t>Technical Documentation</w:t>
      </w:r>
      <w:r w:rsidR="00047860">
        <w:t xml:space="preserve"> </w:t>
      </w:r>
      <w:r>
        <w:t>Participation, Exclusion, and Accommodation Rates for Grade 8 U.S. History</w:t>
      </w:r>
    </w:p>
    <w:p w:rsidR="003F5784" w14:paraId="22164061" w14:textId="77777777">
      <w:pPr>
        <w:pStyle w:val="BodyText"/>
        <w:spacing w:before="287" w:line="232" w:lineRule="auto"/>
        <w:ind w:left="109" w:right="179"/>
      </w:pPr>
      <w:r>
        <w:t>The</w:t>
      </w:r>
      <w:r>
        <w:rPr>
          <w:spacing w:val="-7"/>
        </w:rPr>
        <w:t xml:space="preserve"> </w:t>
      </w:r>
      <w:r>
        <w:t>following</w:t>
      </w:r>
      <w:r>
        <w:rPr>
          <w:spacing w:val="-7"/>
        </w:rPr>
        <w:t xml:space="preserve"> </w:t>
      </w:r>
      <w:r>
        <w:t>table</w:t>
      </w:r>
      <w:r>
        <w:rPr>
          <w:spacing w:val="-7"/>
        </w:rPr>
        <w:t xml:space="preserve"> </w:t>
      </w:r>
      <w:r>
        <w:t>displays</w:t>
      </w:r>
      <w:r>
        <w:rPr>
          <w:spacing w:val="-7"/>
        </w:rPr>
        <w:t xml:space="preserve"> </w:t>
      </w:r>
      <w:r>
        <w:t>the</w:t>
      </w:r>
      <w:r>
        <w:rPr>
          <w:spacing w:val="-7"/>
        </w:rPr>
        <w:t xml:space="preserve"> </w:t>
      </w:r>
      <w:r>
        <w:t>school-</w:t>
      </w:r>
      <w:r>
        <w:rPr>
          <w:spacing w:val="-7"/>
        </w:rPr>
        <w:t xml:space="preserve"> </w:t>
      </w:r>
      <w:r>
        <w:t>and</w:t>
      </w:r>
      <w:r>
        <w:rPr>
          <w:spacing w:val="-7"/>
        </w:rPr>
        <w:t xml:space="preserve"> </w:t>
      </w:r>
      <w:r>
        <w:t>student-level</w:t>
      </w:r>
      <w:r>
        <w:rPr>
          <w:spacing w:val="-7"/>
        </w:rPr>
        <w:t xml:space="preserve"> </w:t>
      </w:r>
      <w:r>
        <w:t>response,</w:t>
      </w:r>
      <w:r>
        <w:rPr>
          <w:spacing w:val="-7"/>
        </w:rPr>
        <w:t xml:space="preserve"> </w:t>
      </w:r>
      <w:r>
        <w:t>exclusion,</w:t>
      </w:r>
      <w:r>
        <w:rPr>
          <w:spacing w:val="-7"/>
        </w:rPr>
        <w:t xml:space="preserve"> </w:t>
      </w:r>
      <w:r>
        <w:t>and</w:t>
      </w:r>
      <w:r>
        <w:rPr>
          <w:spacing w:val="-7"/>
        </w:rPr>
        <w:t xml:space="preserve"> </w:t>
      </w:r>
      <w:r>
        <w:t>accommodation</w:t>
      </w:r>
      <w:r>
        <w:rPr>
          <w:spacing w:val="-7"/>
        </w:rPr>
        <w:t xml:space="preserve"> </w:t>
      </w:r>
      <w:r>
        <w:t>rates</w:t>
      </w:r>
      <w:r>
        <w:rPr>
          <w:spacing w:val="-7"/>
        </w:rPr>
        <w:t xml:space="preserve"> </w:t>
      </w:r>
      <w:r>
        <w:t>for</w:t>
      </w:r>
      <w:r>
        <w:rPr>
          <w:spacing w:val="-7"/>
        </w:rPr>
        <w:t xml:space="preserve"> </w:t>
      </w:r>
      <w:r>
        <w:t>the</w:t>
      </w:r>
      <w:r>
        <w:rPr>
          <w:spacing w:val="-7"/>
        </w:rPr>
        <w:t xml:space="preserve"> </w:t>
      </w:r>
      <w:r>
        <w:t>grade</w:t>
      </w:r>
      <w:r>
        <w:rPr>
          <w:spacing w:val="-7"/>
        </w:rPr>
        <w:t xml:space="preserve"> </w:t>
      </w:r>
      <w:r>
        <w:t>8</w:t>
      </w:r>
      <w:r>
        <w:rPr>
          <w:spacing w:val="-7"/>
        </w:rPr>
        <w:t xml:space="preserve"> </w:t>
      </w:r>
      <w:r>
        <w:t>U.S</w:t>
      </w:r>
      <w:r>
        <w:rPr>
          <w:spacing w:val="-7"/>
        </w:rPr>
        <w:t xml:space="preserve"> </w:t>
      </w:r>
      <w:r>
        <w:t>history</w:t>
      </w:r>
      <w:r>
        <w:rPr>
          <w:spacing w:val="-7"/>
        </w:rPr>
        <w:t xml:space="preserve"> </w:t>
      </w:r>
      <w:r>
        <w:t>assessment.</w:t>
      </w:r>
      <w:r>
        <w:rPr>
          <w:spacing w:val="-11"/>
        </w:rPr>
        <w:t xml:space="preserve"> </w:t>
      </w:r>
      <w:r>
        <w:t>Various</w:t>
      </w:r>
      <w:r>
        <w:rPr>
          <w:spacing w:val="-7"/>
        </w:rPr>
        <w:t xml:space="preserve"> </w:t>
      </w:r>
      <w:r>
        <w:t>weights</w:t>
      </w:r>
      <w:r>
        <w:rPr>
          <w:spacing w:val="-7"/>
        </w:rPr>
        <w:t xml:space="preserve"> </w:t>
      </w:r>
      <w:r>
        <w:t>were</w:t>
      </w:r>
      <w:r>
        <w:rPr>
          <w:spacing w:val="-7"/>
        </w:rPr>
        <w:t xml:space="preserve"> </w:t>
      </w:r>
      <w:r>
        <w:t>used</w:t>
      </w:r>
      <w:r>
        <w:rPr>
          <w:spacing w:val="-7"/>
        </w:rPr>
        <w:t xml:space="preserve"> </w:t>
      </w:r>
      <w:r>
        <w:t>in the calculation of the rates, as indicated in the column headings of the table.</w:t>
      </w:r>
    </w:p>
    <w:p w:rsidR="003F5784" w14:paraId="4AB09165" w14:textId="77777777">
      <w:pPr>
        <w:pStyle w:val="BodyText"/>
        <w:spacing w:before="209" w:line="232" w:lineRule="auto"/>
        <w:ind w:left="109"/>
      </w:pPr>
      <w:r>
        <w:t>The participation rates reflect the participation of the original sample schools only and do not reflect any effect of substitution.</w:t>
      </w:r>
      <w:r>
        <w:rPr>
          <w:spacing w:val="-3"/>
        </w:rPr>
        <w:t xml:space="preserve"> </w:t>
      </w:r>
      <w:r>
        <w:t>The rates weighted by the base weight and enrollment</w:t>
      </w:r>
      <w:r>
        <w:rPr>
          <w:spacing w:val="-6"/>
        </w:rPr>
        <w:t xml:space="preserve"> </w:t>
      </w:r>
      <w:r>
        <w:t>show</w:t>
      </w:r>
      <w:r>
        <w:rPr>
          <w:spacing w:val="-6"/>
        </w:rPr>
        <w:t xml:space="preserve"> </w:t>
      </w:r>
      <w:r>
        <w:t>the</w:t>
      </w:r>
      <w:r>
        <w:rPr>
          <w:spacing w:val="-6"/>
        </w:rPr>
        <w:t xml:space="preserve"> </w:t>
      </w:r>
      <w:r>
        <w:t>approximate</w:t>
      </w:r>
      <w:r>
        <w:rPr>
          <w:spacing w:val="-6"/>
        </w:rPr>
        <w:t xml:space="preserve"> </w:t>
      </w:r>
      <w:r>
        <w:t>proportion</w:t>
      </w:r>
      <w:r>
        <w:rPr>
          <w:spacing w:val="-6"/>
        </w:rPr>
        <w:t xml:space="preserve"> </w:t>
      </w:r>
      <w:r>
        <w:t>of</w:t>
      </w:r>
      <w:r>
        <w:rPr>
          <w:spacing w:val="-6"/>
        </w:rPr>
        <w:t xml:space="preserve"> </w:t>
      </w:r>
      <w:r>
        <w:t>the</w:t>
      </w:r>
      <w:r>
        <w:rPr>
          <w:spacing w:val="-6"/>
        </w:rPr>
        <w:t xml:space="preserve"> </w:t>
      </w:r>
      <w:r>
        <w:t>student</w:t>
      </w:r>
      <w:r>
        <w:rPr>
          <w:spacing w:val="-6"/>
        </w:rPr>
        <w:t xml:space="preserve"> </w:t>
      </w:r>
      <w:r>
        <w:t>population</w:t>
      </w:r>
      <w:r>
        <w:rPr>
          <w:spacing w:val="-6"/>
        </w:rPr>
        <w:t xml:space="preserve"> </w:t>
      </w:r>
      <w:r>
        <w:t>in</w:t>
      </w:r>
      <w:r>
        <w:rPr>
          <w:spacing w:val="-6"/>
        </w:rPr>
        <w:t xml:space="preserve"> </w:t>
      </w:r>
      <w:r>
        <w:t>the</w:t>
      </w:r>
      <w:r>
        <w:rPr>
          <w:spacing w:val="-6"/>
        </w:rPr>
        <w:t xml:space="preserve"> </w:t>
      </w:r>
      <w:r>
        <w:t>school</w:t>
      </w:r>
      <w:r>
        <w:rPr>
          <w:spacing w:val="-6"/>
        </w:rPr>
        <w:t xml:space="preserve"> </w:t>
      </w:r>
      <w:r>
        <w:t>type</w:t>
      </w:r>
      <w:r>
        <w:rPr>
          <w:spacing w:val="-6"/>
        </w:rPr>
        <w:t xml:space="preserve"> </w:t>
      </w:r>
      <w:r>
        <w:t>and</w:t>
      </w:r>
      <w:r>
        <w:rPr>
          <w:spacing w:val="-6"/>
        </w:rPr>
        <w:t xml:space="preserve"> </w:t>
      </w:r>
      <w:r>
        <w:t>geographic</w:t>
      </w:r>
      <w:r>
        <w:rPr>
          <w:spacing w:val="-6"/>
        </w:rPr>
        <w:t xml:space="preserve"> </w:t>
      </w:r>
      <w:r>
        <w:t>region</w:t>
      </w:r>
      <w:r>
        <w:rPr>
          <w:spacing w:val="-6"/>
        </w:rPr>
        <w:t xml:space="preserve"> </w:t>
      </w:r>
      <w:r>
        <w:t>that</w:t>
      </w:r>
      <w:r>
        <w:rPr>
          <w:spacing w:val="-6"/>
        </w:rPr>
        <w:t xml:space="preserve"> </w:t>
      </w:r>
      <w:r>
        <w:t>is</w:t>
      </w:r>
      <w:r>
        <w:rPr>
          <w:spacing w:val="-6"/>
        </w:rPr>
        <w:t xml:space="preserve"> </w:t>
      </w:r>
      <w:r>
        <w:t>represented</w:t>
      </w:r>
      <w:r>
        <w:rPr>
          <w:spacing w:val="-6"/>
        </w:rPr>
        <w:t xml:space="preserve"> </w:t>
      </w:r>
      <w:r>
        <w:t>by</w:t>
      </w:r>
      <w:r>
        <w:rPr>
          <w:spacing w:val="-6"/>
        </w:rPr>
        <w:t xml:space="preserve"> </w:t>
      </w:r>
      <w:r>
        <w:t>the</w:t>
      </w:r>
      <w:r>
        <w:rPr>
          <w:spacing w:val="-6"/>
        </w:rPr>
        <w:t xml:space="preserve"> </w:t>
      </w:r>
      <w:r>
        <w:t>responding</w:t>
      </w:r>
      <w:r>
        <w:rPr>
          <w:spacing w:val="-6"/>
        </w:rPr>
        <w:t xml:space="preserve"> </w:t>
      </w:r>
      <w:r>
        <w:t>schools</w:t>
      </w:r>
      <w:r>
        <w:rPr>
          <w:spacing w:val="-6"/>
        </w:rPr>
        <w:t xml:space="preserve"> </w:t>
      </w:r>
      <w:r>
        <w:t>in</w:t>
      </w:r>
      <w:r>
        <w:rPr>
          <w:spacing w:val="-6"/>
        </w:rPr>
        <w:t xml:space="preserve"> </w:t>
      </w:r>
      <w:r>
        <w:t>the</w:t>
      </w:r>
      <w:r>
        <w:rPr>
          <w:spacing w:val="-6"/>
        </w:rPr>
        <w:t xml:space="preserve"> </w:t>
      </w:r>
      <w:r>
        <w:t>sample.</w:t>
      </w:r>
      <w:r>
        <w:rPr>
          <w:spacing w:val="-10"/>
        </w:rPr>
        <w:t xml:space="preserve"> </w:t>
      </w:r>
      <w:r>
        <w:t>The rates weighted by just the base weight show the proportion of the school population that is represented by the responding schools in the sample.</w:t>
      </w:r>
      <w:r>
        <w:rPr>
          <w:spacing w:val="-3"/>
        </w:rPr>
        <w:t xml:space="preserve"> </w:t>
      </w:r>
      <w:r>
        <w:t>These rates differ because schools differ in size.</w:t>
      </w:r>
    </w:p>
    <w:p w:rsidR="003F5784" w14:paraId="72C6A675" w14:textId="77777777">
      <w:pPr>
        <w:pStyle w:val="BodyText"/>
        <w:spacing w:before="93"/>
      </w:pPr>
    </w:p>
    <w:p w:rsidR="003F5784" w14:paraId="49ECBD61" w14:textId="77777777">
      <w:pPr>
        <w:pStyle w:val="Heading2"/>
      </w:pPr>
      <w:r>
        <w:t>Participation,</w:t>
      </w:r>
      <w:r>
        <w:rPr>
          <w:spacing w:val="-8"/>
        </w:rPr>
        <w:t xml:space="preserve"> </w:t>
      </w:r>
      <w:r>
        <w:t>exclusion,</w:t>
      </w:r>
      <w:r>
        <w:rPr>
          <w:spacing w:val="-8"/>
        </w:rPr>
        <w:t xml:space="preserve"> </w:t>
      </w:r>
      <w:r>
        <w:t>and</w:t>
      </w:r>
      <w:r>
        <w:rPr>
          <w:spacing w:val="-7"/>
        </w:rPr>
        <w:t xml:space="preserve"> </w:t>
      </w:r>
      <w:r>
        <w:t>accommodation</w:t>
      </w:r>
      <w:r>
        <w:rPr>
          <w:spacing w:val="-8"/>
        </w:rPr>
        <w:t xml:space="preserve"> </w:t>
      </w:r>
      <w:r>
        <w:t>rates,</w:t>
      </w:r>
      <w:r>
        <w:rPr>
          <w:spacing w:val="-8"/>
        </w:rPr>
        <w:t xml:space="preserve"> </w:t>
      </w:r>
      <w:r>
        <w:t>grade</w:t>
      </w:r>
      <w:r>
        <w:rPr>
          <w:spacing w:val="-7"/>
        </w:rPr>
        <w:t xml:space="preserve"> </w:t>
      </w:r>
      <w:r>
        <w:t>8</w:t>
      </w:r>
      <w:r>
        <w:rPr>
          <w:spacing w:val="-8"/>
        </w:rPr>
        <w:t xml:space="preserve"> </w:t>
      </w:r>
      <w:r>
        <w:t>U.S.</w:t>
      </w:r>
      <w:r>
        <w:rPr>
          <w:spacing w:val="-8"/>
        </w:rPr>
        <w:t xml:space="preserve"> </w:t>
      </w:r>
      <w:r>
        <w:t>history</w:t>
      </w:r>
      <w:r>
        <w:rPr>
          <w:spacing w:val="-7"/>
        </w:rPr>
        <w:t xml:space="preserve"> </w:t>
      </w:r>
      <w:r>
        <w:t>national</w:t>
      </w:r>
      <w:r>
        <w:rPr>
          <w:spacing w:val="-8"/>
        </w:rPr>
        <w:t xml:space="preserve"> </w:t>
      </w:r>
      <w:r>
        <w:t>assessment,</w:t>
      </w:r>
      <w:r>
        <w:rPr>
          <w:spacing w:val="-8"/>
        </w:rPr>
        <w:t xml:space="preserve"> </w:t>
      </w:r>
      <w:r>
        <w:t>by</w:t>
      </w:r>
      <w:r>
        <w:rPr>
          <w:spacing w:val="-7"/>
        </w:rPr>
        <w:t xml:space="preserve"> </w:t>
      </w:r>
      <w:r>
        <w:t>school</w:t>
      </w:r>
      <w:r>
        <w:rPr>
          <w:spacing w:val="-8"/>
        </w:rPr>
        <w:t xml:space="preserve"> </w:t>
      </w:r>
      <w:r>
        <w:t>type</w:t>
      </w:r>
      <w:r>
        <w:rPr>
          <w:spacing w:val="-8"/>
        </w:rPr>
        <w:t xml:space="preserve"> </w:t>
      </w:r>
      <w:r>
        <w:t>and</w:t>
      </w:r>
      <w:r>
        <w:rPr>
          <w:spacing w:val="-7"/>
        </w:rPr>
        <w:t xml:space="preserve"> </w:t>
      </w:r>
      <w:r>
        <w:t>geographic</w:t>
      </w:r>
      <w:r>
        <w:rPr>
          <w:spacing w:val="-8"/>
        </w:rPr>
        <w:t xml:space="preserve"> </w:t>
      </w:r>
      <w:r>
        <w:t>region:</w:t>
      </w:r>
      <w:r>
        <w:rPr>
          <w:spacing w:val="-7"/>
        </w:rPr>
        <w:t xml:space="preserve"> </w:t>
      </w:r>
      <w:r>
        <w:rPr>
          <w:spacing w:val="-4"/>
        </w:rPr>
        <w:t>2022</w:t>
      </w:r>
    </w:p>
    <w:p w:rsidR="003F5784" w14:paraId="1A2A1B37" w14:textId="77777777">
      <w:pPr>
        <w:sectPr>
          <w:headerReference w:type="default" r:id="rId565"/>
          <w:footerReference w:type="default" r:id="rId566"/>
          <w:pgSz w:w="15840" w:h="12240" w:orient="landscape"/>
          <w:pgMar w:top="480" w:right="440" w:bottom="460" w:left="460" w:header="284" w:footer="275" w:gutter="0"/>
          <w:cols w:space="720"/>
        </w:sectPr>
      </w:pPr>
    </w:p>
    <w:p w:rsidR="003F5784" w14:paraId="5C62D2D0" w14:textId="77777777">
      <w:pPr>
        <w:pStyle w:val="BodyText"/>
        <w:spacing w:before="5"/>
        <w:rPr>
          <w:b/>
          <w:sz w:val="7"/>
        </w:rPr>
      </w:pPr>
    </w:p>
    <w:tbl>
      <w:tblPr>
        <w:tblW w:w="0" w:type="auto"/>
        <w:tblInd w:w="482" w:type="dxa"/>
        <w:tblLayout w:type="fixed"/>
        <w:tblCellMar>
          <w:left w:w="0" w:type="dxa"/>
          <w:right w:w="0" w:type="dxa"/>
        </w:tblCellMar>
        <w:tblLook w:val="01E0"/>
      </w:tblPr>
      <w:tblGrid>
        <w:gridCol w:w="3181"/>
        <w:gridCol w:w="1188"/>
        <w:gridCol w:w="1979"/>
        <w:gridCol w:w="1834"/>
        <w:gridCol w:w="1264"/>
        <w:gridCol w:w="1274"/>
        <w:gridCol w:w="1559"/>
        <w:gridCol w:w="1712"/>
      </w:tblGrid>
      <w:tr w14:paraId="52BBD93D" w14:textId="77777777">
        <w:tblPrEx>
          <w:tblW w:w="0" w:type="auto"/>
          <w:tblInd w:w="482" w:type="dxa"/>
          <w:tblLayout w:type="fixed"/>
          <w:tblCellMar>
            <w:left w:w="0" w:type="dxa"/>
            <w:right w:w="0" w:type="dxa"/>
          </w:tblCellMar>
          <w:tblLook w:val="01E0"/>
        </w:tblPrEx>
        <w:trPr>
          <w:trHeight w:val="1440"/>
        </w:trPr>
        <w:tc>
          <w:tcPr>
            <w:tcW w:w="3181" w:type="dxa"/>
            <w:tcBorders>
              <w:top w:val="single" w:sz="18" w:space="0" w:color="800000"/>
              <w:bottom w:val="single" w:sz="18" w:space="0" w:color="800000"/>
            </w:tcBorders>
          </w:tcPr>
          <w:p w:rsidR="003F5784" w14:paraId="563E5A7D" w14:textId="77777777">
            <w:pPr>
              <w:pStyle w:val="TableParagraph"/>
              <w:spacing w:before="0"/>
              <w:jc w:val="left"/>
              <w:rPr>
                <w:b/>
                <w:sz w:val="21"/>
              </w:rPr>
            </w:pPr>
          </w:p>
          <w:p w:rsidR="003F5784" w14:paraId="312260F3" w14:textId="77777777">
            <w:pPr>
              <w:pStyle w:val="TableParagraph"/>
              <w:spacing w:before="0"/>
              <w:jc w:val="left"/>
              <w:rPr>
                <w:b/>
                <w:sz w:val="21"/>
              </w:rPr>
            </w:pPr>
          </w:p>
          <w:p w:rsidR="003F5784" w14:paraId="0EEE2791" w14:textId="77777777">
            <w:pPr>
              <w:pStyle w:val="TableParagraph"/>
              <w:spacing w:before="0"/>
              <w:jc w:val="left"/>
              <w:rPr>
                <w:b/>
                <w:sz w:val="21"/>
              </w:rPr>
            </w:pPr>
          </w:p>
          <w:p w:rsidR="003F5784" w14:paraId="61709E9F" w14:textId="77777777">
            <w:pPr>
              <w:pStyle w:val="TableParagraph"/>
              <w:spacing w:before="216"/>
              <w:jc w:val="left"/>
              <w:rPr>
                <w:b/>
                <w:sz w:val="21"/>
              </w:rPr>
            </w:pPr>
          </w:p>
          <w:p w:rsidR="003F5784" w14:paraId="38821566" w14:textId="77777777">
            <w:pPr>
              <w:pStyle w:val="TableParagraph"/>
              <w:spacing w:before="0" w:line="238" w:lineRule="exact"/>
              <w:ind w:left="120"/>
              <w:jc w:val="left"/>
              <w:rPr>
                <w:sz w:val="21"/>
              </w:rPr>
            </w:pPr>
            <w:r>
              <w:rPr>
                <w:sz w:val="21"/>
              </w:rPr>
              <w:t>School</w:t>
            </w:r>
            <w:r>
              <w:rPr>
                <w:spacing w:val="-7"/>
                <w:sz w:val="21"/>
              </w:rPr>
              <w:t xml:space="preserve"> </w:t>
            </w:r>
            <w:r>
              <w:rPr>
                <w:sz w:val="21"/>
              </w:rPr>
              <w:t>type</w:t>
            </w:r>
            <w:r>
              <w:rPr>
                <w:spacing w:val="-6"/>
                <w:sz w:val="21"/>
              </w:rPr>
              <w:t xml:space="preserve"> </w:t>
            </w:r>
            <w:r>
              <w:rPr>
                <w:sz w:val="21"/>
              </w:rPr>
              <w:t>and</w:t>
            </w:r>
            <w:r>
              <w:rPr>
                <w:spacing w:val="-7"/>
                <w:sz w:val="21"/>
              </w:rPr>
              <w:t xml:space="preserve"> </w:t>
            </w:r>
            <w:r>
              <w:rPr>
                <w:sz w:val="21"/>
              </w:rPr>
              <w:t>geographic</w:t>
            </w:r>
            <w:r>
              <w:rPr>
                <w:spacing w:val="-6"/>
                <w:sz w:val="21"/>
              </w:rPr>
              <w:t xml:space="preserve"> </w:t>
            </w:r>
            <w:r>
              <w:rPr>
                <w:spacing w:val="-2"/>
                <w:sz w:val="21"/>
              </w:rPr>
              <w:t>region</w:t>
            </w:r>
          </w:p>
        </w:tc>
        <w:tc>
          <w:tcPr>
            <w:tcW w:w="1188" w:type="dxa"/>
            <w:tcBorders>
              <w:top w:val="single" w:sz="18" w:space="0" w:color="800000"/>
              <w:bottom w:val="single" w:sz="18" w:space="0" w:color="800000"/>
            </w:tcBorders>
          </w:tcPr>
          <w:p w:rsidR="003F5784" w14:paraId="717BC983" w14:textId="77777777">
            <w:pPr>
              <w:pStyle w:val="TableParagraph"/>
              <w:spacing w:before="9"/>
              <w:jc w:val="left"/>
              <w:rPr>
                <w:b/>
                <w:sz w:val="21"/>
              </w:rPr>
            </w:pPr>
          </w:p>
          <w:p w:rsidR="003F5784" w14:paraId="34EE902A" w14:textId="77777777">
            <w:pPr>
              <w:pStyle w:val="TableParagraph"/>
              <w:spacing w:before="0" w:line="234" w:lineRule="exact"/>
              <w:ind w:left="221" w:right="124" w:hanging="70"/>
              <w:rPr>
                <w:sz w:val="21"/>
              </w:rPr>
            </w:pPr>
            <w:r>
              <w:rPr>
                <w:sz w:val="21"/>
              </w:rPr>
              <w:t>Number</w:t>
            </w:r>
            <w:r>
              <w:rPr>
                <w:spacing w:val="-14"/>
                <w:sz w:val="21"/>
              </w:rPr>
              <w:t xml:space="preserve"> </w:t>
            </w:r>
            <w:r>
              <w:rPr>
                <w:sz w:val="21"/>
              </w:rPr>
              <w:t>of schools</w:t>
            </w:r>
            <w:r>
              <w:rPr>
                <w:spacing w:val="-14"/>
                <w:sz w:val="21"/>
              </w:rPr>
              <w:t xml:space="preserve"> </w:t>
            </w:r>
            <w:r>
              <w:rPr>
                <w:sz w:val="21"/>
              </w:rPr>
              <w:t xml:space="preserve">in </w:t>
            </w:r>
            <w:r>
              <w:rPr>
                <w:spacing w:val="-2"/>
                <w:sz w:val="21"/>
              </w:rPr>
              <w:t>original sample, rounded</w:t>
            </w:r>
          </w:p>
        </w:tc>
        <w:tc>
          <w:tcPr>
            <w:tcW w:w="1979" w:type="dxa"/>
            <w:tcBorders>
              <w:top w:val="single" w:sz="18" w:space="0" w:color="800000"/>
              <w:bottom w:val="single" w:sz="18" w:space="0" w:color="800000"/>
            </w:tcBorders>
          </w:tcPr>
          <w:p w:rsidR="003F5784" w14:paraId="3F1D728D" w14:textId="77777777">
            <w:pPr>
              <w:pStyle w:val="TableParagraph"/>
              <w:spacing w:before="15" w:line="232" w:lineRule="auto"/>
              <w:ind w:left="251" w:right="167" w:hanging="128"/>
              <w:rPr>
                <w:sz w:val="21"/>
              </w:rPr>
            </w:pPr>
            <w:r>
              <w:rPr>
                <w:spacing w:val="-2"/>
                <w:sz w:val="21"/>
              </w:rPr>
              <w:t>School</w:t>
            </w:r>
            <w:r>
              <w:rPr>
                <w:spacing w:val="-11"/>
                <w:sz w:val="21"/>
              </w:rPr>
              <w:t xml:space="preserve"> </w:t>
            </w:r>
            <w:r>
              <w:rPr>
                <w:spacing w:val="-2"/>
                <w:sz w:val="21"/>
              </w:rPr>
              <w:t xml:space="preserve">participation </w:t>
            </w:r>
            <w:r>
              <w:rPr>
                <w:sz w:val="21"/>
              </w:rPr>
              <w:t xml:space="preserve">rates (percent) </w:t>
            </w:r>
            <w:r>
              <w:rPr>
                <w:spacing w:val="-2"/>
                <w:sz w:val="21"/>
              </w:rPr>
              <w:t>before</w:t>
            </w:r>
            <w:r>
              <w:rPr>
                <w:spacing w:val="-12"/>
                <w:sz w:val="21"/>
              </w:rPr>
              <w:t xml:space="preserve"> </w:t>
            </w:r>
            <w:r>
              <w:rPr>
                <w:spacing w:val="-2"/>
                <w:sz w:val="21"/>
              </w:rPr>
              <w:t xml:space="preserve">substitution </w:t>
            </w:r>
            <w:r>
              <w:rPr>
                <w:sz w:val="21"/>
              </w:rPr>
              <w:t>(weighted</w:t>
            </w:r>
            <w:r>
              <w:rPr>
                <w:spacing w:val="-7"/>
                <w:sz w:val="21"/>
              </w:rPr>
              <w:t xml:space="preserve"> </w:t>
            </w:r>
            <w:r>
              <w:rPr>
                <w:sz w:val="21"/>
              </w:rPr>
              <w:t>by</w:t>
            </w:r>
            <w:r>
              <w:rPr>
                <w:spacing w:val="-6"/>
                <w:sz w:val="21"/>
              </w:rPr>
              <w:t xml:space="preserve"> </w:t>
            </w:r>
            <w:r>
              <w:rPr>
                <w:spacing w:val="-4"/>
                <w:sz w:val="21"/>
              </w:rPr>
              <w:t>base</w:t>
            </w:r>
          </w:p>
          <w:p w:rsidR="003F5784" w14:paraId="67C05626" w14:textId="77777777">
            <w:pPr>
              <w:pStyle w:val="TableParagraph"/>
              <w:spacing w:before="0" w:line="234" w:lineRule="exact"/>
              <w:ind w:left="836" w:right="167" w:firstLine="51"/>
              <w:rPr>
                <w:sz w:val="21"/>
              </w:rPr>
            </w:pPr>
            <w:r>
              <w:rPr>
                <w:sz w:val="21"/>
              </w:rPr>
              <w:t>weight</w:t>
            </w:r>
            <w:r>
              <w:rPr>
                <w:spacing w:val="-14"/>
                <w:sz w:val="21"/>
              </w:rPr>
              <w:t xml:space="preserve"> </w:t>
            </w:r>
            <w:r>
              <w:rPr>
                <w:sz w:val="21"/>
              </w:rPr>
              <w:t xml:space="preserve">and </w:t>
            </w:r>
            <w:r>
              <w:rPr>
                <w:spacing w:val="-2"/>
                <w:sz w:val="21"/>
              </w:rPr>
              <w:t>enrollment)</w:t>
            </w:r>
          </w:p>
        </w:tc>
        <w:tc>
          <w:tcPr>
            <w:tcW w:w="1834" w:type="dxa"/>
            <w:tcBorders>
              <w:top w:val="single" w:sz="18" w:space="0" w:color="800000"/>
              <w:bottom w:val="single" w:sz="18" w:space="0" w:color="800000"/>
            </w:tcBorders>
          </w:tcPr>
          <w:p w:rsidR="003F5784" w14:paraId="58B5E238" w14:textId="77777777">
            <w:pPr>
              <w:pStyle w:val="TableParagraph"/>
              <w:spacing w:before="15" w:line="232" w:lineRule="auto"/>
              <w:ind w:left="167" w:right="147" w:firstLine="937"/>
              <w:rPr>
                <w:sz w:val="21"/>
              </w:rPr>
            </w:pPr>
            <w:r>
              <w:rPr>
                <w:spacing w:val="-2"/>
                <w:sz w:val="21"/>
              </w:rPr>
              <w:t xml:space="preserve">School </w:t>
            </w:r>
            <w:r>
              <w:rPr>
                <w:sz w:val="21"/>
              </w:rPr>
              <w:t>participation</w:t>
            </w:r>
            <w:r>
              <w:rPr>
                <w:spacing w:val="-14"/>
                <w:sz w:val="21"/>
              </w:rPr>
              <w:t xml:space="preserve"> </w:t>
            </w:r>
            <w:r>
              <w:rPr>
                <w:sz w:val="21"/>
              </w:rPr>
              <w:t xml:space="preserve">rates (percent) before </w:t>
            </w:r>
            <w:r>
              <w:rPr>
                <w:spacing w:val="-2"/>
                <w:sz w:val="21"/>
              </w:rPr>
              <w:t xml:space="preserve">substitution </w:t>
            </w:r>
            <w:r>
              <w:rPr>
                <w:sz w:val="21"/>
              </w:rPr>
              <w:t>(weighted</w:t>
            </w:r>
            <w:r>
              <w:rPr>
                <w:spacing w:val="-7"/>
                <w:sz w:val="21"/>
              </w:rPr>
              <w:t xml:space="preserve"> </w:t>
            </w:r>
            <w:r>
              <w:rPr>
                <w:sz w:val="21"/>
              </w:rPr>
              <w:t>by</w:t>
            </w:r>
            <w:r>
              <w:rPr>
                <w:spacing w:val="-6"/>
                <w:sz w:val="21"/>
              </w:rPr>
              <w:t xml:space="preserve"> </w:t>
            </w:r>
            <w:r>
              <w:rPr>
                <w:spacing w:val="-4"/>
                <w:sz w:val="21"/>
              </w:rPr>
              <w:t>base</w:t>
            </w:r>
          </w:p>
          <w:p w:rsidR="003F5784" w14:paraId="54B46632" w14:textId="77777777">
            <w:pPr>
              <w:pStyle w:val="TableParagraph"/>
              <w:spacing w:before="0" w:line="234" w:lineRule="exact"/>
              <w:ind w:left="-26" w:right="147"/>
              <w:rPr>
                <w:sz w:val="21"/>
              </w:rPr>
            </w:pPr>
            <w:r>
              <w:rPr>
                <w:sz w:val="21"/>
              </w:rPr>
              <w:t>weight</w:t>
            </w:r>
            <w:r>
              <w:rPr>
                <w:spacing w:val="-7"/>
                <w:sz w:val="21"/>
              </w:rPr>
              <w:t xml:space="preserve"> </w:t>
            </w:r>
            <w:r>
              <w:rPr>
                <w:spacing w:val="-2"/>
                <w:sz w:val="21"/>
              </w:rPr>
              <w:t>only)</w:t>
            </w:r>
          </w:p>
        </w:tc>
        <w:tc>
          <w:tcPr>
            <w:tcW w:w="1264" w:type="dxa"/>
            <w:tcBorders>
              <w:top w:val="single" w:sz="18" w:space="0" w:color="800000"/>
              <w:bottom w:val="single" w:sz="18" w:space="0" w:color="800000"/>
            </w:tcBorders>
          </w:tcPr>
          <w:p w:rsidR="003F5784" w14:paraId="27C15C90" w14:textId="77777777">
            <w:pPr>
              <w:pStyle w:val="TableParagraph"/>
              <w:spacing w:before="0"/>
              <w:jc w:val="left"/>
              <w:rPr>
                <w:b/>
                <w:sz w:val="21"/>
              </w:rPr>
            </w:pPr>
          </w:p>
          <w:p w:rsidR="003F5784" w14:paraId="4008D655" w14:textId="77777777">
            <w:pPr>
              <w:pStyle w:val="TableParagraph"/>
              <w:spacing w:before="1"/>
              <w:jc w:val="left"/>
              <w:rPr>
                <w:b/>
                <w:sz w:val="21"/>
              </w:rPr>
            </w:pPr>
          </w:p>
          <w:p w:rsidR="003F5784" w14:paraId="2E134270" w14:textId="77777777">
            <w:pPr>
              <w:pStyle w:val="TableParagraph"/>
              <w:spacing w:before="0" w:line="234" w:lineRule="exact"/>
              <w:ind w:left="307" w:right="207" w:hanging="163"/>
              <w:jc w:val="both"/>
              <w:rPr>
                <w:sz w:val="21"/>
              </w:rPr>
            </w:pPr>
            <w:r>
              <w:rPr>
                <w:sz w:val="21"/>
              </w:rPr>
              <w:t>Number</w:t>
            </w:r>
            <w:r>
              <w:rPr>
                <w:spacing w:val="-14"/>
                <w:sz w:val="21"/>
              </w:rPr>
              <w:t xml:space="preserve"> </w:t>
            </w:r>
            <w:r>
              <w:rPr>
                <w:sz w:val="21"/>
              </w:rPr>
              <w:t xml:space="preserve">of </w:t>
            </w:r>
            <w:r>
              <w:rPr>
                <w:spacing w:val="-2"/>
                <w:sz w:val="21"/>
              </w:rPr>
              <w:t>students sampled, rounded</w:t>
            </w:r>
          </w:p>
        </w:tc>
        <w:tc>
          <w:tcPr>
            <w:tcW w:w="1274" w:type="dxa"/>
            <w:tcBorders>
              <w:top w:val="single" w:sz="18" w:space="0" w:color="800000"/>
              <w:bottom w:val="single" w:sz="18" w:space="0" w:color="800000"/>
            </w:tcBorders>
          </w:tcPr>
          <w:p w:rsidR="003F5784" w14:paraId="33E88812" w14:textId="77777777">
            <w:pPr>
              <w:pStyle w:val="TableParagraph"/>
              <w:spacing w:before="0"/>
              <w:jc w:val="left"/>
              <w:rPr>
                <w:b/>
                <w:sz w:val="21"/>
              </w:rPr>
            </w:pPr>
          </w:p>
          <w:p w:rsidR="003F5784" w14:paraId="7AB8FC04" w14:textId="77777777">
            <w:pPr>
              <w:pStyle w:val="TableParagraph"/>
              <w:spacing w:before="1"/>
              <w:jc w:val="left"/>
              <w:rPr>
                <w:b/>
                <w:sz w:val="21"/>
              </w:rPr>
            </w:pPr>
          </w:p>
          <w:p w:rsidR="003F5784" w14:paraId="25A931B9" w14:textId="77777777">
            <w:pPr>
              <w:pStyle w:val="TableParagraph"/>
              <w:spacing w:before="0" w:line="234" w:lineRule="exact"/>
              <w:ind w:left="202" w:right="229" w:firstLine="45"/>
              <w:rPr>
                <w:sz w:val="21"/>
              </w:rPr>
            </w:pPr>
            <w:r>
              <w:rPr>
                <w:spacing w:val="-4"/>
                <w:sz w:val="21"/>
              </w:rPr>
              <w:t xml:space="preserve">Weighted </w:t>
            </w:r>
            <w:r>
              <w:rPr>
                <w:sz w:val="21"/>
              </w:rPr>
              <w:t>percent</w:t>
            </w:r>
            <w:r>
              <w:rPr>
                <w:spacing w:val="-14"/>
                <w:sz w:val="21"/>
              </w:rPr>
              <w:t xml:space="preserve"> </w:t>
            </w:r>
            <w:r>
              <w:rPr>
                <w:sz w:val="21"/>
              </w:rPr>
              <w:t xml:space="preserve">of </w:t>
            </w:r>
            <w:r>
              <w:rPr>
                <w:spacing w:val="-2"/>
                <w:sz w:val="21"/>
              </w:rPr>
              <w:t>students excluded</w:t>
            </w:r>
          </w:p>
        </w:tc>
        <w:tc>
          <w:tcPr>
            <w:tcW w:w="1559" w:type="dxa"/>
            <w:tcBorders>
              <w:top w:val="single" w:sz="18" w:space="0" w:color="800000"/>
              <w:bottom w:val="single" w:sz="18" w:space="0" w:color="800000"/>
            </w:tcBorders>
          </w:tcPr>
          <w:p w:rsidR="003F5784" w14:paraId="66E53AE1" w14:textId="77777777">
            <w:pPr>
              <w:pStyle w:val="TableParagraph"/>
              <w:spacing w:before="9"/>
              <w:jc w:val="left"/>
              <w:rPr>
                <w:b/>
                <w:sz w:val="21"/>
              </w:rPr>
            </w:pPr>
          </w:p>
          <w:p w:rsidR="003F5784" w14:paraId="0310BE2E" w14:textId="77777777">
            <w:pPr>
              <w:pStyle w:val="TableParagraph"/>
              <w:spacing w:before="0" w:line="234" w:lineRule="exact"/>
              <w:ind w:left="222" w:right="135" w:firstLine="404"/>
              <w:rPr>
                <w:sz w:val="21"/>
              </w:rPr>
            </w:pPr>
            <w:r>
              <w:rPr>
                <w:spacing w:val="-4"/>
                <w:sz w:val="21"/>
              </w:rPr>
              <w:t xml:space="preserve">Weighted </w:t>
            </w:r>
            <w:r>
              <w:rPr>
                <w:spacing w:val="-2"/>
                <w:sz w:val="21"/>
              </w:rPr>
              <w:t>student participation rates</w:t>
            </w:r>
            <w:r>
              <w:rPr>
                <w:spacing w:val="-12"/>
                <w:sz w:val="21"/>
              </w:rPr>
              <w:t xml:space="preserve"> </w:t>
            </w:r>
            <w:r>
              <w:rPr>
                <w:spacing w:val="-2"/>
                <w:sz w:val="21"/>
              </w:rPr>
              <w:t xml:space="preserve">(percent) </w:t>
            </w:r>
            <w:r>
              <w:rPr>
                <w:sz w:val="21"/>
              </w:rPr>
              <w:t>after</w:t>
            </w:r>
            <w:r>
              <w:rPr>
                <w:spacing w:val="-5"/>
                <w:sz w:val="21"/>
              </w:rPr>
              <w:t xml:space="preserve"> </w:t>
            </w:r>
            <w:r>
              <w:rPr>
                <w:spacing w:val="-2"/>
                <w:sz w:val="21"/>
              </w:rPr>
              <w:t>makeups</w:t>
            </w:r>
          </w:p>
        </w:tc>
        <w:tc>
          <w:tcPr>
            <w:tcW w:w="1712" w:type="dxa"/>
            <w:tcBorders>
              <w:top w:val="single" w:sz="18" w:space="0" w:color="800000"/>
              <w:bottom w:val="single" w:sz="18" w:space="0" w:color="800000"/>
            </w:tcBorders>
          </w:tcPr>
          <w:p w:rsidR="003F5784" w14:paraId="345CA887" w14:textId="77777777">
            <w:pPr>
              <w:pStyle w:val="TableParagraph"/>
              <w:spacing w:before="0"/>
              <w:jc w:val="left"/>
              <w:rPr>
                <w:b/>
                <w:sz w:val="21"/>
              </w:rPr>
            </w:pPr>
          </w:p>
          <w:p w:rsidR="003F5784" w14:paraId="61BA1743" w14:textId="77777777">
            <w:pPr>
              <w:pStyle w:val="TableParagraph"/>
              <w:spacing w:before="230"/>
              <w:jc w:val="left"/>
              <w:rPr>
                <w:b/>
                <w:sz w:val="21"/>
              </w:rPr>
            </w:pPr>
          </w:p>
          <w:p w:rsidR="003F5784" w14:paraId="3B1B5C7A" w14:textId="77777777">
            <w:pPr>
              <w:pStyle w:val="TableParagraph"/>
              <w:spacing w:before="0" w:line="238" w:lineRule="exact"/>
              <w:ind w:right="124"/>
              <w:rPr>
                <w:sz w:val="21"/>
              </w:rPr>
            </w:pPr>
            <w:r>
              <w:rPr>
                <w:spacing w:val="-2"/>
                <w:sz w:val="21"/>
              </w:rPr>
              <w:t>Weighted</w:t>
            </w:r>
            <w:r>
              <w:rPr>
                <w:spacing w:val="-11"/>
                <w:sz w:val="21"/>
              </w:rPr>
              <w:t xml:space="preserve"> </w:t>
            </w:r>
            <w:r>
              <w:rPr>
                <w:spacing w:val="-2"/>
                <w:sz w:val="21"/>
              </w:rPr>
              <w:t>percent</w:t>
            </w:r>
          </w:p>
          <w:p w:rsidR="003F5784" w14:paraId="23B786D2" w14:textId="77777777">
            <w:pPr>
              <w:pStyle w:val="TableParagraph"/>
              <w:spacing w:before="1" w:line="234" w:lineRule="exact"/>
              <w:ind w:left="323" w:right="124" w:firstLine="352"/>
              <w:rPr>
                <w:sz w:val="21"/>
              </w:rPr>
            </w:pPr>
            <w:r>
              <w:rPr>
                <w:sz w:val="21"/>
              </w:rPr>
              <w:t>of</w:t>
            </w:r>
            <w:r>
              <w:rPr>
                <w:spacing w:val="-14"/>
                <w:sz w:val="21"/>
              </w:rPr>
              <w:t xml:space="preserve"> </w:t>
            </w:r>
            <w:r>
              <w:rPr>
                <w:sz w:val="21"/>
              </w:rPr>
              <w:t xml:space="preserve">students </w:t>
            </w:r>
            <w:r>
              <w:rPr>
                <w:spacing w:val="-2"/>
                <w:sz w:val="21"/>
              </w:rPr>
              <w:t>accommodated</w:t>
            </w:r>
          </w:p>
        </w:tc>
      </w:tr>
      <w:tr w14:paraId="748D720C" w14:textId="77777777">
        <w:tblPrEx>
          <w:tblW w:w="0" w:type="auto"/>
          <w:tblInd w:w="482" w:type="dxa"/>
          <w:tblLayout w:type="fixed"/>
          <w:tblCellMar>
            <w:left w:w="0" w:type="dxa"/>
            <w:right w:w="0" w:type="dxa"/>
          </w:tblCellMar>
          <w:tblLook w:val="01E0"/>
        </w:tblPrEx>
        <w:trPr>
          <w:trHeight w:val="281"/>
        </w:trPr>
        <w:tc>
          <w:tcPr>
            <w:tcW w:w="3181" w:type="dxa"/>
            <w:tcBorders>
              <w:top w:val="single" w:sz="18" w:space="0" w:color="800000"/>
              <w:bottom w:val="single" w:sz="12" w:space="0" w:color="800000"/>
            </w:tcBorders>
          </w:tcPr>
          <w:p w:rsidR="003F5784" w14:paraId="0B89E6C9" w14:textId="77777777">
            <w:pPr>
              <w:pStyle w:val="TableParagraph"/>
              <w:spacing w:before="9"/>
              <w:ind w:left="370"/>
              <w:jc w:val="left"/>
              <w:rPr>
                <w:b/>
                <w:sz w:val="21"/>
              </w:rPr>
            </w:pPr>
            <w:r>
              <w:rPr>
                <w:b/>
                <w:spacing w:val="-5"/>
                <w:sz w:val="21"/>
              </w:rPr>
              <w:t>All</w:t>
            </w:r>
          </w:p>
        </w:tc>
        <w:tc>
          <w:tcPr>
            <w:tcW w:w="1188" w:type="dxa"/>
            <w:tcBorders>
              <w:top w:val="single" w:sz="18" w:space="0" w:color="800000"/>
              <w:bottom w:val="single" w:sz="12" w:space="0" w:color="800000"/>
            </w:tcBorders>
          </w:tcPr>
          <w:p w:rsidR="003F5784" w14:paraId="44675688" w14:textId="77777777">
            <w:pPr>
              <w:pStyle w:val="TableParagraph"/>
              <w:spacing w:before="9"/>
              <w:ind w:right="124"/>
              <w:rPr>
                <w:b/>
                <w:sz w:val="21"/>
              </w:rPr>
            </w:pPr>
            <w:r>
              <w:rPr>
                <w:b/>
                <w:spacing w:val="-5"/>
                <w:sz w:val="21"/>
              </w:rPr>
              <w:t>570</w:t>
            </w:r>
          </w:p>
        </w:tc>
        <w:tc>
          <w:tcPr>
            <w:tcW w:w="1979" w:type="dxa"/>
            <w:tcBorders>
              <w:top w:val="single" w:sz="18" w:space="0" w:color="800000"/>
              <w:bottom w:val="single" w:sz="12" w:space="0" w:color="800000"/>
            </w:tcBorders>
          </w:tcPr>
          <w:p w:rsidR="003F5784" w14:paraId="4B6F6B02" w14:textId="77777777">
            <w:pPr>
              <w:pStyle w:val="TableParagraph"/>
              <w:spacing w:before="9"/>
              <w:ind w:right="167"/>
              <w:rPr>
                <w:b/>
                <w:sz w:val="21"/>
              </w:rPr>
            </w:pPr>
            <w:r>
              <w:rPr>
                <w:b/>
                <w:spacing w:val="-2"/>
                <w:sz w:val="21"/>
              </w:rPr>
              <w:t>86.62</w:t>
            </w:r>
          </w:p>
        </w:tc>
        <w:tc>
          <w:tcPr>
            <w:tcW w:w="1834" w:type="dxa"/>
            <w:tcBorders>
              <w:top w:val="single" w:sz="18" w:space="0" w:color="800000"/>
              <w:bottom w:val="single" w:sz="12" w:space="0" w:color="800000"/>
            </w:tcBorders>
          </w:tcPr>
          <w:p w:rsidR="003F5784" w14:paraId="0C691022" w14:textId="77777777">
            <w:pPr>
              <w:pStyle w:val="TableParagraph"/>
              <w:spacing w:before="9"/>
              <w:ind w:left="-26" w:right="147"/>
              <w:rPr>
                <w:b/>
                <w:sz w:val="21"/>
              </w:rPr>
            </w:pPr>
            <w:r>
              <w:rPr>
                <w:b/>
                <w:spacing w:val="-2"/>
                <w:sz w:val="21"/>
              </w:rPr>
              <w:t>69.97</w:t>
            </w:r>
          </w:p>
        </w:tc>
        <w:tc>
          <w:tcPr>
            <w:tcW w:w="1264" w:type="dxa"/>
            <w:tcBorders>
              <w:top w:val="single" w:sz="18" w:space="0" w:color="800000"/>
              <w:bottom w:val="single" w:sz="12" w:space="0" w:color="800000"/>
            </w:tcBorders>
          </w:tcPr>
          <w:p w:rsidR="003F5784" w14:paraId="359CAB1D" w14:textId="77777777">
            <w:pPr>
              <w:pStyle w:val="TableParagraph"/>
              <w:spacing w:before="9"/>
              <w:ind w:right="207"/>
              <w:rPr>
                <w:b/>
                <w:sz w:val="21"/>
              </w:rPr>
            </w:pPr>
            <w:r>
              <w:rPr>
                <w:b/>
                <w:spacing w:val="-2"/>
                <w:sz w:val="21"/>
              </w:rPr>
              <w:t>9,600</w:t>
            </w:r>
          </w:p>
        </w:tc>
        <w:tc>
          <w:tcPr>
            <w:tcW w:w="1274" w:type="dxa"/>
            <w:tcBorders>
              <w:top w:val="single" w:sz="18" w:space="0" w:color="800000"/>
              <w:bottom w:val="single" w:sz="12" w:space="0" w:color="800000"/>
            </w:tcBorders>
          </w:tcPr>
          <w:p w:rsidR="003F5784" w14:paraId="565D4B4E" w14:textId="77777777">
            <w:pPr>
              <w:pStyle w:val="TableParagraph"/>
              <w:spacing w:before="9"/>
              <w:ind w:right="229"/>
              <w:rPr>
                <w:b/>
                <w:sz w:val="21"/>
              </w:rPr>
            </w:pPr>
            <w:r>
              <w:rPr>
                <w:b/>
                <w:spacing w:val="-4"/>
                <w:sz w:val="21"/>
              </w:rPr>
              <w:t>1.66</w:t>
            </w:r>
          </w:p>
        </w:tc>
        <w:tc>
          <w:tcPr>
            <w:tcW w:w="1559" w:type="dxa"/>
            <w:tcBorders>
              <w:top w:val="single" w:sz="18" w:space="0" w:color="800000"/>
              <w:bottom w:val="single" w:sz="12" w:space="0" w:color="800000"/>
            </w:tcBorders>
          </w:tcPr>
          <w:p w:rsidR="003F5784" w14:paraId="541ECC05" w14:textId="77777777">
            <w:pPr>
              <w:pStyle w:val="TableParagraph"/>
              <w:spacing w:before="9"/>
              <w:ind w:right="135"/>
              <w:rPr>
                <w:b/>
                <w:sz w:val="21"/>
              </w:rPr>
            </w:pPr>
            <w:r>
              <w:rPr>
                <w:b/>
                <w:spacing w:val="-2"/>
                <w:sz w:val="21"/>
              </w:rPr>
              <w:t>89.73</w:t>
            </w:r>
          </w:p>
        </w:tc>
        <w:tc>
          <w:tcPr>
            <w:tcW w:w="1712" w:type="dxa"/>
            <w:tcBorders>
              <w:top w:val="single" w:sz="18" w:space="0" w:color="800000"/>
              <w:bottom w:val="single" w:sz="12" w:space="0" w:color="800000"/>
            </w:tcBorders>
          </w:tcPr>
          <w:p w:rsidR="003F5784" w14:paraId="3C85D01B" w14:textId="77777777">
            <w:pPr>
              <w:pStyle w:val="TableParagraph"/>
              <w:spacing w:before="9"/>
              <w:ind w:right="124"/>
              <w:rPr>
                <w:b/>
                <w:sz w:val="21"/>
              </w:rPr>
            </w:pPr>
            <w:r>
              <w:rPr>
                <w:b/>
                <w:spacing w:val="-2"/>
                <w:sz w:val="21"/>
              </w:rPr>
              <w:t>12.98</w:t>
            </w:r>
          </w:p>
        </w:tc>
      </w:tr>
      <w:tr w14:paraId="2DAB1A10" w14:textId="77777777">
        <w:tblPrEx>
          <w:tblW w:w="0" w:type="auto"/>
          <w:tblInd w:w="482" w:type="dxa"/>
          <w:tblLayout w:type="fixed"/>
          <w:tblCellMar>
            <w:left w:w="0" w:type="dxa"/>
            <w:right w:w="0" w:type="dxa"/>
          </w:tblCellMar>
          <w:tblLook w:val="01E0"/>
        </w:tblPrEx>
        <w:trPr>
          <w:trHeight w:val="320"/>
        </w:trPr>
        <w:tc>
          <w:tcPr>
            <w:tcW w:w="3181" w:type="dxa"/>
            <w:tcBorders>
              <w:top w:val="single" w:sz="12" w:space="0" w:color="800000"/>
            </w:tcBorders>
          </w:tcPr>
          <w:p w:rsidR="003F5784" w14:paraId="715D392E" w14:textId="77777777">
            <w:pPr>
              <w:pStyle w:val="TableParagraph"/>
              <w:spacing w:before="11"/>
              <w:ind w:left="381"/>
              <w:jc w:val="left"/>
              <w:rPr>
                <w:b/>
                <w:sz w:val="17"/>
              </w:rPr>
            </w:pPr>
            <w:r>
              <w:rPr>
                <w:sz w:val="21"/>
              </w:rPr>
              <w:t>National</w:t>
            </w:r>
            <w:r>
              <w:rPr>
                <w:spacing w:val="-9"/>
                <w:sz w:val="21"/>
              </w:rPr>
              <w:t xml:space="preserve"> </w:t>
            </w:r>
            <w:r>
              <w:rPr>
                <w:spacing w:val="-4"/>
                <w:sz w:val="21"/>
              </w:rPr>
              <w:t>all</w:t>
            </w:r>
            <w:r>
              <w:rPr>
                <w:b/>
                <w:spacing w:val="-4"/>
                <w:position w:val="8"/>
                <w:sz w:val="17"/>
              </w:rPr>
              <w:t>1</w:t>
            </w:r>
          </w:p>
        </w:tc>
        <w:tc>
          <w:tcPr>
            <w:tcW w:w="1188" w:type="dxa"/>
            <w:tcBorders>
              <w:top w:val="single" w:sz="12" w:space="0" w:color="800000"/>
            </w:tcBorders>
          </w:tcPr>
          <w:p w:rsidR="003F5784" w14:paraId="20679F9C" w14:textId="77777777">
            <w:pPr>
              <w:pStyle w:val="TableParagraph"/>
              <w:spacing w:before="0" w:line="239" w:lineRule="exact"/>
              <w:ind w:right="124"/>
              <w:rPr>
                <w:sz w:val="21"/>
              </w:rPr>
            </w:pPr>
            <w:r>
              <w:rPr>
                <w:spacing w:val="-5"/>
                <w:sz w:val="21"/>
              </w:rPr>
              <w:t>570</w:t>
            </w:r>
          </w:p>
        </w:tc>
        <w:tc>
          <w:tcPr>
            <w:tcW w:w="1979" w:type="dxa"/>
            <w:tcBorders>
              <w:top w:val="single" w:sz="12" w:space="0" w:color="800000"/>
            </w:tcBorders>
          </w:tcPr>
          <w:p w:rsidR="003F5784" w14:paraId="4262EDED" w14:textId="77777777">
            <w:pPr>
              <w:pStyle w:val="TableParagraph"/>
              <w:spacing w:before="0" w:line="239" w:lineRule="exact"/>
              <w:ind w:right="167"/>
              <w:rPr>
                <w:sz w:val="21"/>
              </w:rPr>
            </w:pPr>
            <w:r>
              <w:rPr>
                <w:spacing w:val="-2"/>
                <w:sz w:val="21"/>
              </w:rPr>
              <w:t>86.62</w:t>
            </w:r>
          </w:p>
        </w:tc>
        <w:tc>
          <w:tcPr>
            <w:tcW w:w="1834" w:type="dxa"/>
            <w:tcBorders>
              <w:top w:val="single" w:sz="12" w:space="0" w:color="800000"/>
            </w:tcBorders>
          </w:tcPr>
          <w:p w:rsidR="003F5784" w14:paraId="684E7729" w14:textId="77777777">
            <w:pPr>
              <w:pStyle w:val="TableParagraph"/>
              <w:spacing w:before="0" w:line="239" w:lineRule="exact"/>
              <w:ind w:left="-26" w:right="147"/>
              <w:rPr>
                <w:sz w:val="21"/>
              </w:rPr>
            </w:pPr>
            <w:r>
              <w:rPr>
                <w:spacing w:val="-2"/>
                <w:sz w:val="21"/>
              </w:rPr>
              <w:t>69.97</w:t>
            </w:r>
          </w:p>
        </w:tc>
        <w:tc>
          <w:tcPr>
            <w:tcW w:w="1264" w:type="dxa"/>
            <w:tcBorders>
              <w:top w:val="single" w:sz="12" w:space="0" w:color="800000"/>
            </w:tcBorders>
          </w:tcPr>
          <w:p w:rsidR="003F5784" w14:paraId="253E4679" w14:textId="77777777">
            <w:pPr>
              <w:pStyle w:val="TableParagraph"/>
              <w:spacing w:before="0" w:line="239" w:lineRule="exact"/>
              <w:ind w:right="207"/>
              <w:rPr>
                <w:sz w:val="21"/>
              </w:rPr>
            </w:pPr>
            <w:r>
              <w:rPr>
                <w:spacing w:val="-2"/>
                <w:sz w:val="21"/>
              </w:rPr>
              <w:t>9,600</w:t>
            </w:r>
          </w:p>
        </w:tc>
        <w:tc>
          <w:tcPr>
            <w:tcW w:w="1274" w:type="dxa"/>
            <w:tcBorders>
              <w:top w:val="single" w:sz="12" w:space="0" w:color="800000"/>
            </w:tcBorders>
          </w:tcPr>
          <w:p w:rsidR="003F5784" w14:paraId="61225CFB" w14:textId="77777777">
            <w:pPr>
              <w:pStyle w:val="TableParagraph"/>
              <w:spacing w:before="0" w:line="239" w:lineRule="exact"/>
              <w:ind w:right="229"/>
              <w:rPr>
                <w:sz w:val="21"/>
              </w:rPr>
            </w:pPr>
            <w:r>
              <w:rPr>
                <w:spacing w:val="-4"/>
                <w:sz w:val="21"/>
              </w:rPr>
              <w:t>1.66</w:t>
            </w:r>
          </w:p>
        </w:tc>
        <w:tc>
          <w:tcPr>
            <w:tcW w:w="1559" w:type="dxa"/>
            <w:tcBorders>
              <w:top w:val="single" w:sz="12" w:space="0" w:color="800000"/>
            </w:tcBorders>
          </w:tcPr>
          <w:p w:rsidR="003F5784" w14:paraId="7E55FEE4" w14:textId="77777777">
            <w:pPr>
              <w:pStyle w:val="TableParagraph"/>
              <w:spacing w:before="0" w:line="239" w:lineRule="exact"/>
              <w:ind w:right="135"/>
              <w:rPr>
                <w:sz w:val="21"/>
              </w:rPr>
            </w:pPr>
            <w:r>
              <w:rPr>
                <w:spacing w:val="-2"/>
                <w:sz w:val="21"/>
              </w:rPr>
              <w:t>89.73</w:t>
            </w:r>
          </w:p>
        </w:tc>
        <w:tc>
          <w:tcPr>
            <w:tcW w:w="1712" w:type="dxa"/>
            <w:tcBorders>
              <w:top w:val="single" w:sz="12" w:space="0" w:color="800000"/>
            </w:tcBorders>
          </w:tcPr>
          <w:p w:rsidR="003F5784" w14:paraId="44207EBE" w14:textId="77777777">
            <w:pPr>
              <w:pStyle w:val="TableParagraph"/>
              <w:spacing w:before="0" w:line="239" w:lineRule="exact"/>
              <w:ind w:right="124"/>
              <w:rPr>
                <w:sz w:val="21"/>
              </w:rPr>
            </w:pPr>
            <w:r>
              <w:rPr>
                <w:spacing w:val="-2"/>
                <w:sz w:val="21"/>
              </w:rPr>
              <w:t>12.98</w:t>
            </w:r>
          </w:p>
        </w:tc>
      </w:tr>
      <w:tr w14:paraId="45559FC4" w14:textId="77777777">
        <w:tblPrEx>
          <w:tblW w:w="0" w:type="auto"/>
          <w:tblInd w:w="482" w:type="dxa"/>
          <w:tblLayout w:type="fixed"/>
          <w:tblCellMar>
            <w:left w:w="0" w:type="dxa"/>
            <w:right w:w="0" w:type="dxa"/>
          </w:tblCellMar>
          <w:tblLook w:val="01E0"/>
        </w:tblPrEx>
        <w:trPr>
          <w:trHeight w:val="284"/>
        </w:trPr>
        <w:tc>
          <w:tcPr>
            <w:tcW w:w="3181" w:type="dxa"/>
          </w:tcPr>
          <w:p w:rsidR="003F5784" w14:paraId="1813A5E4" w14:textId="77777777">
            <w:pPr>
              <w:pStyle w:val="TableParagraph"/>
              <w:spacing w:before="15"/>
              <w:ind w:left="120"/>
              <w:jc w:val="left"/>
              <w:rPr>
                <w:sz w:val="21"/>
              </w:rPr>
            </w:pPr>
            <w:r>
              <w:rPr>
                <w:sz w:val="21"/>
              </w:rPr>
              <w:t>Northeast</w:t>
            </w:r>
            <w:r>
              <w:rPr>
                <w:spacing w:val="-10"/>
                <w:sz w:val="21"/>
              </w:rPr>
              <w:t xml:space="preserve"> </w:t>
            </w:r>
            <w:r>
              <w:rPr>
                <w:spacing w:val="-5"/>
                <w:sz w:val="21"/>
              </w:rPr>
              <w:t>all</w:t>
            </w:r>
          </w:p>
        </w:tc>
        <w:tc>
          <w:tcPr>
            <w:tcW w:w="1188" w:type="dxa"/>
          </w:tcPr>
          <w:p w:rsidR="003F5784" w14:paraId="44CFD9A5" w14:textId="77777777">
            <w:pPr>
              <w:pStyle w:val="TableParagraph"/>
              <w:spacing w:before="15"/>
              <w:ind w:right="124"/>
              <w:rPr>
                <w:sz w:val="21"/>
              </w:rPr>
            </w:pPr>
            <w:r>
              <w:rPr>
                <w:spacing w:val="-5"/>
                <w:sz w:val="21"/>
              </w:rPr>
              <w:t>90</w:t>
            </w:r>
          </w:p>
        </w:tc>
        <w:tc>
          <w:tcPr>
            <w:tcW w:w="1979" w:type="dxa"/>
          </w:tcPr>
          <w:p w:rsidR="003F5784" w14:paraId="74DD6328" w14:textId="77777777">
            <w:pPr>
              <w:pStyle w:val="TableParagraph"/>
              <w:spacing w:before="15"/>
              <w:ind w:right="167"/>
              <w:rPr>
                <w:sz w:val="21"/>
              </w:rPr>
            </w:pPr>
            <w:r>
              <w:rPr>
                <w:spacing w:val="-2"/>
                <w:sz w:val="21"/>
              </w:rPr>
              <w:t>82.11</w:t>
            </w:r>
          </w:p>
        </w:tc>
        <w:tc>
          <w:tcPr>
            <w:tcW w:w="1834" w:type="dxa"/>
          </w:tcPr>
          <w:p w:rsidR="003F5784" w14:paraId="6C31FC06" w14:textId="77777777">
            <w:pPr>
              <w:pStyle w:val="TableParagraph"/>
              <w:spacing w:before="15"/>
              <w:ind w:left="-26" w:right="147"/>
              <w:rPr>
                <w:sz w:val="21"/>
              </w:rPr>
            </w:pPr>
            <w:r>
              <w:rPr>
                <w:spacing w:val="-2"/>
                <w:sz w:val="21"/>
              </w:rPr>
              <w:t>60.26</w:t>
            </w:r>
          </w:p>
        </w:tc>
        <w:tc>
          <w:tcPr>
            <w:tcW w:w="1264" w:type="dxa"/>
          </w:tcPr>
          <w:p w:rsidR="003F5784" w14:paraId="549E742E" w14:textId="77777777">
            <w:pPr>
              <w:pStyle w:val="TableParagraph"/>
              <w:spacing w:before="15"/>
              <w:ind w:right="207"/>
              <w:rPr>
                <w:sz w:val="21"/>
              </w:rPr>
            </w:pPr>
            <w:r>
              <w:rPr>
                <w:spacing w:val="-2"/>
                <w:sz w:val="21"/>
              </w:rPr>
              <w:t>1,300</w:t>
            </w:r>
          </w:p>
        </w:tc>
        <w:tc>
          <w:tcPr>
            <w:tcW w:w="1274" w:type="dxa"/>
          </w:tcPr>
          <w:p w:rsidR="003F5784" w14:paraId="5DDBE83E" w14:textId="77777777">
            <w:pPr>
              <w:pStyle w:val="TableParagraph"/>
              <w:spacing w:before="15"/>
              <w:ind w:right="229"/>
              <w:rPr>
                <w:sz w:val="21"/>
              </w:rPr>
            </w:pPr>
            <w:r>
              <w:rPr>
                <w:spacing w:val="-4"/>
                <w:sz w:val="21"/>
              </w:rPr>
              <w:t>1.75</w:t>
            </w:r>
          </w:p>
        </w:tc>
        <w:tc>
          <w:tcPr>
            <w:tcW w:w="1559" w:type="dxa"/>
          </w:tcPr>
          <w:p w:rsidR="003F5784" w14:paraId="58698311" w14:textId="77777777">
            <w:pPr>
              <w:pStyle w:val="TableParagraph"/>
              <w:spacing w:before="15"/>
              <w:ind w:right="135"/>
              <w:rPr>
                <w:sz w:val="21"/>
              </w:rPr>
            </w:pPr>
            <w:r>
              <w:rPr>
                <w:spacing w:val="-2"/>
                <w:sz w:val="21"/>
              </w:rPr>
              <w:t>88.70</w:t>
            </w:r>
          </w:p>
        </w:tc>
        <w:tc>
          <w:tcPr>
            <w:tcW w:w="1712" w:type="dxa"/>
          </w:tcPr>
          <w:p w:rsidR="003F5784" w14:paraId="62D5F645" w14:textId="77777777">
            <w:pPr>
              <w:pStyle w:val="TableParagraph"/>
              <w:spacing w:before="15"/>
              <w:ind w:right="124"/>
              <w:rPr>
                <w:sz w:val="21"/>
              </w:rPr>
            </w:pPr>
            <w:r>
              <w:rPr>
                <w:spacing w:val="-2"/>
                <w:sz w:val="21"/>
              </w:rPr>
              <w:t>16.95</w:t>
            </w:r>
          </w:p>
        </w:tc>
      </w:tr>
      <w:tr w14:paraId="191B1250" w14:textId="77777777">
        <w:tblPrEx>
          <w:tblW w:w="0" w:type="auto"/>
          <w:tblInd w:w="482" w:type="dxa"/>
          <w:tblLayout w:type="fixed"/>
          <w:tblCellMar>
            <w:left w:w="0" w:type="dxa"/>
            <w:right w:w="0" w:type="dxa"/>
          </w:tblCellMar>
          <w:tblLook w:val="01E0"/>
        </w:tblPrEx>
        <w:trPr>
          <w:trHeight w:val="286"/>
        </w:trPr>
        <w:tc>
          <w:tcPr>
            <w:tcW w:w="3181" w:type="dxa"/>
          </w:tcPr>
          <w:p w:rsidR="003F5784" w14:paraId="00DEEEDC" w14:textId="77777777">
            <w:pPr>
              <w:pStyle w:val="TableParagraph"/>
              <w:ind w:left="120"/>
              <w:jc w:val="left"/>
              <w:rPr>
                <w:sz w:val="21"/>
              </w:rPr>
            </w:pPr>
            <w:r>
              <w:rPr>
                <w:sz w:val="21"/>
              </w:rPr>
              <w:t>Midwest</w:t>
            </w:r>
            <w:r>
              <w:rPr>
                <w:spacing w:val="-9"/>
                <w:sz w:val="21"/>
              </w:rPr>
              <w:t xml:space="preserve"> </w:t>
            </w:r>
            <w:r>
              <w:rPr>
                <w:spacing w:val="-5"/>
                <w:sz w:val="21"/>
              </w:rPr>
              <w:t>all</w:t>
            </w:r>
          </w:p>
        </w:tc>
        <w:tc>
          <w:tcPr>
            <w:tcW w:w="1188" w:type="dxa"/>
          </w:tcPr>
          <w:p w:rsidR="003F5784" w14:paraId="037E1A6F" w14:textId="77777777">
            <w:pPr>
              <w:pStyle w:val="TableParagraph"/>
              <w:ind w:right="124"/>
              <w:rPr>
                <w:sz w:val="21"/>
              </w:rPr>
            </w:pPr>
            <w:r>
              <w:rPr>
                <w:spacing w:val="-5"/>
                <w:sz w:val="21"/>
              </w:rPr>
              <w:t>110</w:t>
            </w:r>
          </w:p>
        </w:tc>
        <w:tc>
          <w:tcPr>
            <w:tcW w:w="1979" w:type="dxa"/>
          </w:tcPr>
          <w:p w:rsidR="003F5784" w14:paraId="17C8C3C2" w14:textId="77777777">
            <w:pPr>
              <w:pStyle w:val="TableParagraph"/>
              <w:ind w:right="167"/>
              <w:rPr>
                <w:sz w:val="21"/>
              </w:rPr>
            </w:pPr>
            <w:r>
              <w:rPr>
                <w:spacing w:val="-2"/>
                <w:sz w:val="21"/>
              </w:rPr>
              <w:t>87.34</w:t>
            </w:r>
          </w:p>
        </w:tc>
        <w:tc>
          <w:tcPr>
            <w:tcW w:w="1834" w:type="dxa"/>
          </w:tcPr>
          <w:p w:rsidR="003F5784" w14:paraId="0C0AA7A1" w14:textId="77777777">
            <w:pPr>
              <w:pStyle w:val="TableParagraph"/>
              <w:ind w:left="-26" w:right="147"/>
              <w:rPr>
                <w:sz w:val="21"/>
              </w:rPr>
            </w:pPr>
            <w:r>
              <w:rPr>
                <w:spacing w:val="-2"/>
                <w:sz w:val="21"/>
              </w:rPr>
              <w:t>71.53</w:t>
            </w:r>
          </w:p>
        </w:tc>
        <w:tc>
          <w:tcPr>
            <w:tcW w:w="1264" w:type="dxa"/>
          </w:tcPr>
          <w:p w:rsidR="003F5784" w14:paraId="0FCD7DE6" w14:textId="77777777">
            <w:pPr>
              <w:pStyle w:val="TableParagraph"/>
              <w:ind w:right="207"/>
              <w:rPr>
                <w:sz w:val="21"/>
              </w:rPr>
            </w:pPr>
            <w:r>
              <w:rPr>
                <w:spacing w:val="-2"/>
                <w:sz w:val="21"/>
              </w:rPr>
              <w:t>1,900</w:t>
            </w:r>
          </w:p>
        </w:tc>
        <w:tc>
          <w:tcPr>
            <w:tcW w:w="1274" w:type="dxa"/>
          </w:tcPr>
          <w:p w:rsidR="003F5784" w14:paraId="5963A53E" w14:textId="77777777">
            <w:pPr>
              <w:pStyle w:val="TableParagraph"/>
              <w:ind w:right="229"/>
              <w:rPr>
                <w:sz w:val="21"/>
              </w:rPr>
            </w:pPr>
            <w:r>
              <w:rPr>
                <w:spacing w:val="-4"/>
                <w:sz w:val="21"/>
              </w:rPr>
              <w:t>1.20</w:t>
            </w:r>
          </w:p>
        </w:tc>
        <w:tc>
          <w:tcPr>
            <w:tcW w:w="1559" w:type="dxa"/>
          </w:tcPr>
          <w:p w:rsidR="003F5784" w14:paraId="5EC732DD" w14:textId="77777777">
            <w:pPr>
              <w:pStyle w:val="TableParagraph"/>
              <w:ind w:right="135"/>
              <w:rPr>
                <w:sz w:val="21"/>
              </w:rPr>
            </w:pPr>
            <w:r>
              <w:rPr>
                <w:spacing w:val="-2"/>
                <w:sz w:val="21"/>
              </w:rPr>
              <w:t>90.95</w:t>
            </w:r>
          </w:p>
        </w:tc>
        <w:tc>
          <w:tcPr>
            <w:tcW w:w="1712" w:type="dxa"/>
          </w:tcPr>
          <w:p w:rsidR="003F5784" w14:paraId="1AF7378E" w14:textId="77777777">
            <w:pPr>
              <w:pStyle w:val="TableParagraph"/>
              <w:ind w:right="124"/>
              <w:rPr>
                <w:sz w:val="21"/>
              </w:rPr>
            </w:pPr>
            <w:r>
              <w:rPr>
                <w:spacing w:val="-2"/>
                <w:sz w:val="21"/>
              </w:rPr>
              <w:t>11.47</w:t>
            </w:r>
          </w:p>
        </w:tc>
      </w:tr>
      <w:tr w14:paraId="6FC219B7" w14:textId="77777777">
        <w:tblPrEx>
          <w:tblW w:w="0" w:type="auto"/>
          <w:tblInd w:w="482" w:type="dxa"/>
          <w:tblLayout w:type="fixed"/>
          <w:tblCellMar>
            <w:left w:w="0" w:type="dxa"/>
            <w:right w:w="0" w:type="dxa"/>
          </w:tblCellMar>
          <w:tblLook w:val="01E0"/>
        </w:tblPrEx>
        <w:trPr>
          <w:trHeight w:val="286"/>
        </w:trPr>
        <w:tc>
          <w:tcPr>
            <w:tcW w:w="3181" w:type="dxa"/>
          </w:tcPr>
          <w:p w:rsidR="003F5784" w14:paraId="3E9A44BB" w14:textId="77777777">
            <w:pPr>
              <w:pStyle w:val="TableParagraph"/>
              <w:ind w:left="120"/>
              <w:jc w:val="left"/>
              <w:rPr>
                <w:sz w:val="21"/>
              </w:rPr>
            </w:pPr>
            <w:r>
              <w:rPr>
                <w:sz w:val="21"/>
              </w:rPr>
              <w:t>South</w:t>
            </w:r>
            <w:r>
              <w:rPr>
                <w:spacing w:val="-6"/>
                <w:sz w:val="21"/>
              </w:rPr>
              <w:t xml:space="preserve"> </w:t>
            </w:r>
            <w:r>
              <w:rPr>
                <w:spacing w:val="-5"/>
                <w:sz w:val="21"/>
              </w:rPr>
              <w:t>all</w:t>
            </w:r>
          </w:p>
        </w:tc>
        <w:tc>
          <w:tcPr>
            <w:tcW w:w="1188" w:type="dxa"/>
          </w:tcPr>
          <w:p w:rsidR="003F5784" w14:paraId="3F4B8037" w14:textId="77777777">
            <w:pPr>
              <w:pStyle w:val="TableParagraph"/>
              <w:ind w:right="124"/>
              <w:rPr>
                <w:sz w:val="21"/>
              </w:rPr>
            </w:pPr>
            <w:r>
              <w:rPr>
                <w:spacing w:val="-5"/>
                <w:sz w:val="21"/>
              </w:rPr>
              <w:t>230</w:t>
            </w:r>
          </w:p>
        </w:tc>
        <w:tc>
          <w:tcPr>
            <w:tcW w:w="1979" w:type="dxa"/>
          </w:tcPr>
          <w:p w:rsidR="003F5784" w14:paraId="4E82A65B" w14:textId="77777777">
            <w:pPr>
              <w:pStyle w:val="TableParagraph"/>
              <w:ind w:right="167"/>
              <w:rPr>
                <w:sz w:val="21"/>
              </w:rPr>
            </w:pPr>
            <w:r>
              <w:rPr>
                <w:spacing w:val="-2"/>
                <w:sz w:val="21"/>
              </w:rPr>
              <w:t>91.46</w:t>
            </w:r>
          </w:p>
        </w:tc>
        <w:tc>
          <w:tcPr>
            <w:tcW w:w="1834" w:type="dxa"/>
          </w:tcPr>
          <w:p w:rsidR="003F5784" w14:paraId="0534CBE0" w14:textId="77777777">
            <w:pPr>
              <w:pStyle w:val="TableParagraph"/>
              <w:ind w:left="-26" w:right="147"/>
              <w:rPr>
                <w:sz w:val="21"/>
              </w:rPr>
            </w:pPr>
            <w:r>
              <w:rPr>
                <w:spacing w:val="-2"/>
                <w:sz w:val="21"/>
              </w:rPr>
              <w:t>73.39</w:t>
            </w:r>
          </w:p>
        </w:tc>
        <w:tc>
          <w:tcPr>
            <w:tcW w:w="1264" w:type="dxa"/>
          </w:tcPr>
          <w:p w:rsidR="003F5784" w14:paraId="557E098B" w14:textId="77777777">
            <w:pPr>
              <w:pStyle w:val="TableParagraph"/>
              <w:ind w:right="207"/>
              <w:rPr>
                <w:sz w:val="21"/>
              </w:rPr>
            </w:pPr>
            <w:r>
              <w:rPr>
                <w:spacing w:val="-2"/>
                <w:sz w:val="21"/>
              </w:rPr>
              <w:t>4,300</w:t>
            </w:r>
          </w:p>
        </w:tc>
        <w:tc>
          <w:tcPr>
            <w:tcW w:w="1274" w:type="dxa"/>
          </w:tcPr>
          <w:p w:rsidR="003F5784" w14:paraId="5F410A09" w14:textId="77777777">
            <w:pPr>
              <w:pStyle w:val="TableParagraph"/>
              <w:ind w:right="229"/>
              <w:rPr>
                <w:sz w:val="21"/>
              </w:rPr>
            </w:pPr>
            <w:r>
              <w:rPr>
                <w:spacing w:val="-4"/>
                <w:sz w:val="21"/>
              </w:rPr>
              <w:t>1.80</w:t>
            </w:r>
          </w:p>
        </w:tc>
        <w:tc>
          <w:tcPr>
            <w:tcW w:w="1559" w:type="dxa"/>
          </w:tcPr>
          <w:p w:rsidR="003F5784" w14:paraId="5D2AF4BA" w14:textId="77777777">
            <w:pPr>
              <w:pStyle w:val="TableParagraph"/>
              <w:ind w:right="135"/>
              <w:rPr>
                <w:sz w:val="21"/>
              </w:rPr>
            </w:pPr>
            <w:r>
              <w:rPr>
                <w:spacing w:val="-2"/>
                <w:sz w:val="21"/>
              </w:rPr>
              <w:t>89.71</w:t>
            </w:r>
          </w:p>
        </w:tc>
        <w:tc>
          <w:tcPr>
            <w:tcW w:w="1712" w:type="dxa"/>
          </w:tcPr>
          <w:p w:rsidR="003F5784" w14:paraId="53FB6E44" w14:textId="77777777">
            <w:pPr>
              <w:pStyle w:val="TableParagraph"/>
              <w:ind w:right="124"/>
              <w:rPr>
                <w:sz w:val="21"/>
              </w:rPr>
            </w:pPr>
            <w:r>
              <w:rPr>
                <w:spacing w:val="-2"/>
                <w:sz w:val="21"/>
              </w:rPr>
              <w:t>15.50</w:t>
            </w:r>
          </w:p>
        </w:tc>
      </w:tr>
      <w:tr w14:paraId="7B72526D" w14:textId="77777777">
        <w:tblPrEx>
          <w:tblW w:w="0" w:type="auto"/>
          <w:tblInd w:w="482" w:type="dxa"/>
          <w:tblLayout w:type="fixed"/>
          <w:tblCellMar>
            <w:left w:w="0" w:type="dxa"/>
            <w:right w:w="0" w:type="dxa"/>
          </w:tblCellMar>
          <w:tblLook w:val="01E0"/>
        </w:tblPrEx>
        <w:trPr>
          <w:trHeight w:val="290"/>
        </w:trPr>
        <w:tc>
          <w:tcPr>
            <w:tcW w:w="3181" w:type="dxa"/>
            <w:tcBorders>
              <w:bottom w:val="single" w:sz="12" w:space="0" w:color="800000"/>
            </w:tcBorders>
          </w:tcPr>
          <w:p w:rsidR="003F5784" w14:paraId="04617AB8" w14:textId="77777777">
            <w:pPr>
              <w:pStyle w:val="TableParagraph"/>
              <w:ind w:left="120"/>
              <w:jc w:val="left"/>
              <w:rPr>
                <w:sz w:val="21"/>
              </w:rPr>
            </w:pPr>
            <w:r>
              <w:rPr>
                <w:spacing w:val="-4"/>
                <w:sz w:val="21"/>
              </w:rPr>
              <w:t>West</w:t>
            </w:r>
            <w:r>
              <w:rPr>
                <w:spacing w:val="-7"/>
                <w:sz w:val="21"/>
              </w:rPr>
              <w:t xml:space="preserve"> </w:t>
            </w:r>
            <w:r>
              <w:rPr>
                <w:spacing w:val="-5"/>
                <w:sz w:val="21"/>
              </w:rPr>
              <w:t>all</w:t>
            </w:r>
          </w:p>
        </w:tc>
        <w:tc>
          <w:tcPr>
            <w:tcW w:w="1188" w:type="dxa"/>
            <w:tcBorders>
              <w:bottom w:val="single" w:sz="12" w:space="0" w:color="800000"/>
            </w:tcBorders>
          </w:tcPr>
          <w:p w:rsidR="003F5784" w14:paraId="2AAD946D" w14:textId="77777777">
            <w:pPr>
              <w:pStyle w:val="TableParagraph"/>
              <w:ind w:right="124"/>
              <w:rPr>
                <w:sz w:val="21"/>
              </w:rPr>
            </w:pPr>
            <w:r>
              <w:rPr>
                <w:spacing w:val="-5"/>
                <w:sz w:val="21"/>
              </w:rPr>
              <w:t>140</w:t>
            </w:r>
          </w:p>
        </w:tc>
        <w:tc>
          <w:tcPr>
            <w:tcW w:w="1979" w:type="dxa"/>
            <w:tcBorders>
              <w:bottom w:val="single" w:sz="12" w:space="0" w:color="800000"/>
            </w:tcBorders>
          </w:tcPr>
          <w:p w:rsidR="003F5784" w14:paraId="6023DA2F" w14:textId="77777777">
            <w:pPr>
              <w:pStyle w:val="TableParagraph"/>
              <w:ind w:right="167"/>
              <w:rPr>
                <w:sz w:val="21"/>
              </w:rPr>
            </w:pPr>
            <w:r>
              <w:rPr>
                <w:spacing w:val="-2"/>
                <w:sz w:val="21"/>
              </w:rPr>
              <w:t>80.38</w:t>
            </w:r>
          </w:p>
        </w:tc>
        <w:tc>
          <w:tcPr>
            <w:tcW w:w="1834" w:type="dxa"/>
            <w:tcBorders>
              <w:bottom w:val="single" w:sz="12" w:space="0" w:color="800000"/>
            </w:tcBorders>
          </w:tcPr>
          <w:p w:rsidR="003F5784" w14:paraId="5A762CF1" w14:textId="77777777">
            <w:pPr>
              <w:pStyle w:val="TableParagraph"/>
              <w:ind w:left="-26" w:right="147"/>
              <w:rPr>
                <w:sz w:val="21"/>
              </w:rPr>
            </w:pPr>
            <w:r>
              <w:rPr>
                <w:spacing w:val="-2"/>
                <w:sz w:val="21"/>
              </w:rPr>
              <w:t>69.74</w:t>
            </w:r>
          </w:p>
        </w:tc>
        <w:tc>
          <w:tcPr>
            <w:tcW w:w="1264" w:type="dxa"/>
            <w:tcBorders>
              <w:bottom w:val="single" w:sz="12" w:space="0" w:color="800000"/>
            </w:tcBorders>
          </w:tcPr>
          <w:p w:rsidR="003F5784" w14:paraId="02A6FAA9" w14:textId="77777777">
            <w:pPr>
              <w:pStyle w:val="TableParagraph"/>
              <w:ind w:right="207"/>
              <w:rPr>
                <w:sz w:val="21"/>
              </w:rPr>
            </w:pPr>
            <w:r>
              <w:rPr>
                <w:spacing w:val="-2"/>
                <w:sz w:val="21"/>
              </w:rPr>
              <w:t>2,200</w:t>
            </w:r>
          </w:p>
        </w:tc>
        <w:tc>
          <w:tcPr>
            <w:tcW w:w="1274" w:type="dxa"/>
            <w:tcBorders>
              <w:bottom w:val="single" w:sz="12" w:space="0" w:color="800000"/>
            </w:tcBorders>
          </w:tcPr>
          <w:p w:rsidR="003F5784" w14:paraId="5AEAE874" w14:textId="77777777">
            <w:pPr>
              <w:pStyle w:val="TableParagraph"/>
              <w:ind w:right="229"/>
              <w:rPr>
                <w:sz w:val="21"/>
              </w:rPr>
            </w:pPr>
            <w:r>
              <w:rPr>
                <w:spacing w:val="-4"/>
                <w:sz w:val="21"/>
              </w:rPr>
              <w:t>1.76</w:t>
            </w:r>
          </w:p>
        </w:tc>
        <w:tc>
          <w:tcPr>
            <w:tcW w:w="1559" w:type="dxa"/>
            <w:tcBorders>
              <w:bottom w:val="single" w:sz="12" w:space="0" w:color="800000"/>
            </w:tcBorders>
          </w:tcPr>
          <w:p w:rsidR="003F5784" w14:paraId="00E499CA" w14:textId="77777777">
            <w:pPr>
              <w:pStyle w:val="TableParagraph"/>
              <w:ind w:right="135"/>
              <w:rPr>
                <w:sz w:val="21"/>
              </w:rPr>
            </w:pPr>
            <w:r>
              <w:rPr>
                <w:spacing w:val="-2"/>
                <w:sz w:val="21"/>
              </w:rPr>
              <w:t>89.20</w:t>
            </w:r>
          </w:p>
        </w:tc>
        <w:tc>
          <w:tcPr>
            <w:tcW w:w="1712" w:type="dxa"/>
            <w:tcBorders>
              <w:bottom w:val="single" w:sz="12" w:space="0" w:color="800000"/>
            </w:tcBorders>
          </w:tcPr>
          <w:p w:rsidR="003F5784" w14:paraId="5CEC9739" w14:textId="77777777">
            <w:pPr>
              <w:pStyle w:val="TableParagraph"/>
              <w:ind w:right="124"/>
              <w:rPr>
                <w:sz w:val="21"/>
              </w:rPr>
            </w:pPr>
            <w:r>
              <w:rPr>
                <w:spacing w:val="-4"/>
                <w:sz w:val="21"/>
              </w:rPr>
              <w:t>7.50</w:t>
            </w:r>
          </w:p>
        </w:tc>
      </w:tr>
      <w:tr w14:paraId="7CAD87FB" w14:textId="77777777">
        <w:tblPrEx>
          <w:tblW w:w="0" w:type="auto"/>
          <w:tblInd w:w="482" w:type="dxa"/>
          <w:tblLayout w:type="fixed"/>
          <w:tblCellMar>
            <w:left w:w="0" w:type="dxa"/>
            <w:right w:w="0" w:type="dxa"/>
          </w:tblCellMar>
          <w:tblLook w:val="01E0"/>
        </w:tblPrEx>
        <w:trPr>
          <w:trHeight w:val="269"/>
        </w:trPr>
        <w:tc>
          <w:tcPr>
            <w:tcW w:w="3181" w:type="dxa"/>
            <w:tcBorders>
              <w:top w:val="single" w:sz="12" w:space="0" w:color="800000"/>
              <w:bottom w:val="single" w:sz="12" w:space="0" w:color="800000"/>
            </w:tcBorders>
          </w:tcPr>
          <w:p w:rsidR="003F5784" w14:paraId="6BD11A67" w14:textId="77777777">
            <w:pPr>
              <w:pStyle w:val="TableParagraph"/>
              <w:spacing w:before="0" w:line="239" w:lineRule="exact"/>
              <w:ind w:left="381"/>
              <w:jc w:val="left"/>
              <w:rPr>
                <w:sz w:val="21"/>
              </w:rPr>
            </w:pPr>
            <w:r>
              <w:rPr>
                <w:sz w:val="21"/>
              </w:rPr>
              <w:t>National</w:t>
            </w:r>
            <w:r>
              <w:rPr>
                <w:spacing w:val="-9"/>
                <w:sz w:val="21"/>
              </w:rPr>
              <w:t xml:space="preserve"> </w:t>
            </w:r>
            <w:r>
              <w:rPr>
                <w:spacing w:val="-2"/>
                <w:sz w:val="21"/>
              </w:rPr>
              <w:t>public</w:t>
            </w:r>
          </w:p>
        </w:tc>
        <w:tc>
          <w:tcPr>
            <w:tcW w:w="1188" w:type="dxa"/>
            <w:tcBorders>
              <w:top w:val="single" w:sz="12" w:space="0" w:color="800000"/>
              <w:bottom w:val="single" w:sz="12" w:space="0" w:color="800000"/>
            </w:tcBorders>
          </w:tcPr>
          <w:p w:rsidR="003F5784" w14:paraId="4FEED688" w14:textId="77777777">
            <w:pPr>
              <w:pStyle w:val="TableParagraph"/>
              <w:spacing w:before="0" w:line="239" w:lineRule="exact"/>
              <w:ind w:right="124"/>
              <w:rPr>
                <w:sz w:val="21"/>
              </w:rPr>
            </w:pPr>
            <w:r>
              <w:rPr>
                <w:spacing w:val="-5"/>
                <w:sz w:val="21"/>
              </w:rPr>
              <w:t>400</w:t>
            </w:r>
          </w:p>
        </w:tc>
        <w:tc>
          <w:tcPr>
            <w:tcW w:w="1979" w:type="dxa"/>
            <w:tcBorders>
              <w:top w:val="single" w:sz="12" w:space="0" w:color="800000"/>
              <w:bottom w:val="single" w:sz="12" w:space="0" w:color="800000"/>
            </w:tcBorders>
          </w:tcPr>
          <w:p w:rsidR="003F5784" w14:paraId="18A8F5A7" w14:textId="77777777">
            <w:pPr>
              <w:pStyle w:val="TableParagraph"/>
              <w:spacing w:before="0" w:line="239" w:lineRule="exact"/>
              <w:ind w:right="167"/>
              <w:rPr>
                <w:sz w:val="21"/>
              </w:rPr>
            </w:pPr>
            <w:r>
              <w:rPr>
                <w:spacing w:val="-2"/>
                <w:sz w:val="21"/>
              </w:rPr>
              <w:t>91.00</w:t>
            </w:r>
          </w:p>
        </w:tc>
        <w:tc>
          <w:tcPr>
            <w:tcW w:w="1834" w:type="dxa"/>
            <w:tcBorders>
              <w:top w:val="single" w:sz="12" w:space="0" w:color="800000"/>
              <w:bottom w:val="single" w:sz="12" w:space="0" w:color="800000"/>
            </w:tcBorders>
          </w:tcPr>
          <w:p w:rsidR="003F5784" w14:paraId="24E4BDC5" w14:textId="77777777">
            <w:pPr>
              <w:pStyle w:val="TableParagraph"/>
              <w:spacing w:before="0" w:line="239" w:lineRule="exact"/>
              <w:ind w:left="-26" w:right="147"/>
              <w:rPr>
                <w:sz w:val="21"/>
              </w:rPr>
            </w:pPr>
            <w:r>
              <w:rPr>
                <w:spacing w:val="-2"/>
                <w:sz w:val="21"/>
              </w:rPr>
              <w:t>91.88</w:t>
            </w:r>
          </w:p>
        </w:tc>
        <w:tc>
          <w:tcPr>
            <w:tcW w:w="1264" w:type="dxa"/>
            <w:tcBorders>
              <w:top w:val="single" w:sz="12" w:space="0" w:color="800000"/>
              <w:bottom w:val="single" w:sz="12" w:space="0" w:color="800000"/>
            </w:tcBorders>
          </w:tcPr>
          <w:p w:rsidR="003F5784" w14:paraId="7650E795" w14:textId="77777777">
            <w:pPr>
              <w:pStyle w:val="TableParagraph"/>
              <w:spacing w:before="0" w:line="239" w:lineRule="exact"/>
              <w:ind w:right="207"/>
              <w:rPr>
                <w:sz w:val="21"/>
              </w:rPr>
            </w:pPr>
            <w:r>
              <w:rPr>
                <w:spacing w:val="-2"/>
                <w:sz w:val="21"/>
              </w:rPr>
              <w:t>9,000</w:t>
            </w:r>
          </w:p>
        </w:tc>
        <w:tc>
          <w:tcPr>
            <w:tcW w:w="1274" w:type="dxa"/>
            <w:tcBorders>
              <w:top w:val="single" w:sz="12" w:space="0" w:color="800000"/>
              <w:bottom w:val="single" w:sz="12" w:space="0" w:color="800000"/>
            </w:tcBorders>
          </w:tcPr>
          <w:p w:rsidR="003F5784" w14:paraId="18D1481A" w14:textId="77777777">
            <w:pPr>
              <w:pStyle w:val="TableParagraph"/>
              <w:spacing w:before="0" w:line="239" w:lineRule="exact"/>
              <w:ind w:right="229"/>
              <w:rPr>
                <w:sz w:val="21"/>
              </w:rPr>
            </w:pPr>
            <w:r>
              <w:rPr>
                <w:spacing w:val="-4"/>
                <w:sz w:val="21"/>
              </w:rPr>
              <w:t>1.80</w:t>
            </w:r>
          </w:p>
        </w:tc>
        <w:tc>
          <w:tcPr>
            <w:tcW w:w="1559" w:type="dxa"/>
            <w:tcBorders>
              <w:top w:val="single" w:sz="12" w:space="0" w:color="800000"/>
              <w:bottom w:val="single" w:sz="12" w:space="0" w:color="800000"/>
            </w:tcBorders>
          </w:tcPr>
          <w:p w:rsidR="003F5784" w14:paraId="2FC7C26C" w14:textId="77777777">
            <w:pPr>
              <w:pStyle w:val="TableParagraph"/>
              <w:spacing w:before="0" w:line="239" w:lineRule="exact"/>
              <w:ind w:right="135"/>
              <w:rPr>
                <w:sz w:val="21"/>
              </w:rPr>
            </w:pPr>
            <w:r>
              <w:rPr>
                <w:spacing w:val="-2"/>
                <w:sz w:val="21"/>
              </w:rPr>
              <w:t>89.58</w:t>
            </w:r>
          </w:p>
        </w:tc>
        <w:tc>
          <w:tcPr>
            <w:tcW w:w="1712" w:type="dxa"/>
            <w:tcBorders>
              <w:top w:val="single" w:sz="12" w:space="0" w:color="800000"/>
              <w:bottom w:val="single" w:sz="12" w:space="0" w:color="800000"/>
            </w:tcBorders>
          </w:tcPr>
          <w:p w:rsidR="003F5784" w14:paraId="1D7A6CD2" w14:textId="77777777">
            <w:pPr>
              <w:pStyle w:val="TableParagraph"/>
              <w:spacing w:before="0" w:line="239" w:lineRule="exact"/>
              <w:ind w:right="124"/>
              <w:rPr>
                <w:sz w:val="21"/>
              </w:rPr>
            </w:pPr>
            <w:r>
              <w:rPr>
                <w:spacing w:val="-2"/>
                <w:sz w:val="21"/>
              </w:rPr>
              <w:t>13.80</w:t>
            </w:r>
          </w:p>
        </w:tc>
      </w:tr>
      <w:tr w14:paraId="32A4AB2D" w14:textId="77777777">
        <w:tblPrEx>
          <w:tblW w:w="0" w:type="auto"/>
          <w:tblInd w:w="482" w:type="dxa"/>
          <w:tblLayout w:type="fixed"/>
          <w:tblCellMar>
            <w:left w:w="0" w:type="dxa"/>
            <w:right w:w="0" w:type="dxa"/>
          </w:tblCellMar>
          <w:tblLook w:val="01E0"/>
        </w:tblPrEx>
        <w:trPr>
          <w:trHeight w:val="266"/>
        </w:trPr>
        <w:tc>
          <w:tcPr>
            <w:tcW w:w="3181" w:type="dxa"/>
            <w:tcBorders>
              <w:top w:val="single" w:sz="12" w:space="0" w:color="800000"/>
            </w:tcBorders>
          </w:tcPr>
          <w:p w:rsidR="003F5784" w14:paraId="2846A444" w14:textId="77777777">
            <w:pPr>
              <w:pStyle w:val="TableParagraph"/>
              <w:spacing w:before="0" w:line="239" w:lineRule="exact"/>
              <w:ind w:left="381"/>
              <w:jc w:val="left"/>
              <w:rPr>
                <w:sz w:val="21"/>
              </w:rPr>
            </w:pPr>
            <w:r>
              <w:rPr>
                <w:sz w:val="21"/>
              </w:rPr>
              <w:t>National</w:t>
            </w:r>
            <w:r>
              <w:rPr>
                <w:spacing w:val="-9"/>
                <w:sz w:val="21"/>
              </w:rPr>
              <w:t xml:space="preserve"> </w:t>
            </w:r>
            <w:r>
              <w:rPr>
                <w:spacing w:val="-2"/>
                <w:sz w:val="21"/>
              </w:rPr>
              <w:t>private</w:t>
            </w:r>
          </w:p>
        </w:tc>
        <w:tc>
          <w:tcPr>
            <w:tcW w:w="1188" w:type="dxa"/>
            <w:tcBorders>
              <w:top w:val="single" w:sz="12" w:space="0" w:color="800000"/>
            </w:tcBorders>
          </w:tcPr>
          <w:p w:rsidR="003F5784" w14:paraId="391896C0" w14:textId="77777777">
            <w:pPr>
              <w:pStyle w:val="TableParagraph"/>
              <w:spacing w:before="0" w:line="239" w:lineRule="exact"/>
              <w:ind w:right="124"/>
              <w:rPr>
                <w:sz w:val="21"/>
              </w:rPr>
            </w:pPr>
            <w:r>
              <w:rPr>
                <w:spacing w:val="-5"/>
                <w:sz w:val="21"/>
              </w:rPr>
              <w:t>170</w:t>
            </w:r>
          </w:p>
        </w:tc>
        <w:tc>
          <w:tcPr>
            <w:tcW w:w="1979" w:type="dxa"/>
            <w:tcBorders>
              <w:top w:val="single" w:sz="12" w:space="0" w:color="800000"/>
            </w:tcBorders>
          </w:tcPr>
          <w:p w:rsidR="003F5784" w14:paraId="7F5C199D" w14:textId="77777777">
            <w:pPr>
              <w:pStyle w:val="TableParagraph"/>
              <w:spacing w:before="0" w:line="239" w:lineRule="exact"/>
              <w:ind w:right="167"/>
              <w:rPr>
                <w:sz w:val="21"/>
              </w:rPr>
            </w:pPr>
            <w:r>
              <w:rPr>
                <w:spacing w:val="-2"/>
                <w:sz w:val="21"/>
              </w:rPr>
              <w:t>33.59</w:t>
            </w:r>
          </w:p>
        </w:tc>
        <w:tc>
          <w:tcPr>
            <w:tcW w:w="1834" w:type="dxa"/>
            <w:tcBorders>
              <w:top w:val="single" w:sz="12" w:space="0" w:color="800000"/>
            </w:tcBorders>
          </w:tcPr>
          <w:p w:rsidR="003F5784" w14:paraId="0B4FA263" w14:textId="77777777">
            <w:pPr>
              <w:pStyle w:val="TableParagraph"/>
              <w:spacing w:before="0" w:line="239" w:lineRule="exact"/>
              <w:ind w:left="-26" w:right="147"/>
              <w:rPr>
                <w:sz w:val="21"/>
              </w:rPr>
            </w:pPr>
            <w:r>
              <w:rPr>
                <w:spacing w:val="-2"/>
                <w:sz w:val="21"/>
              </w:rPr>
              <w:t>33.24</w:t>
            </w:r>
          </w:p>
        </w:tc>
        <w:tc>
          <w:tcPr>
            <w:tcW w:w="1264" w:type="dxa"/>
            <w:tcBorders>
              <w:top w:val="single" w:sz="12" w:space="0" w:color="800000"/>
            </w:tcBorders>
          </w:tcPr>
          <w:p w:rsidR="003F5784" w14:paraId="0915574E" w14:textId="77777777">
            <w:pPr>
              <w:pStyle w:val="TableParagraph"/>
              <w:spacing w:before="0" w:line="239" w:lineRule="exact"/>
              <w:ind w:right="207"/>
              <w:rPr>
                <w:sz w:val="21"/>
              </w:rPr>
            </w:pPr>
            <w:r>
              <w:rPr>
                <w:spacing w:val="-5"/>
                <w:sz w:val="21"/>
              </w:rPr>
              <w:t>600</w:t>
            </w:r>
          </w:p>
        </w:tc>
        <w:tc>
          <w:tcPr>
            <w:tcW w:w="1274" w:type="dxa"/>
            <w:tcBorders>
              <w:top w:val="single" w:sz="12" w:space="0" w:color="800000"/>
            </w:tcBorders>
          </w:tcPr>
          <w:p w:rsidR="003F5784" w14:paraId="12C30CAD" w14:textId="77777777">
            <w:pPr>
              <w:pStyle w:val="TableParagraph"/>
              <w:spacing w:before="0" w:line="239" w:lineRule="exact"/>
              <w:ind w:right="229"/>
              <w:rPr>
                <w:sz w:val="21"/>
              </w:rPr>
            </w:pPr>
            <w:r>
              <w:rPr>
                <w:spacing w:val="-4"/>
                <w:sz w:val="21"/>
              </w:rPr>
              <w:t>0.00</w:t>
            </w:r>
          </w:p>
        </w:tc>
        <w:tc>
          <w:tcPr>
            <w:tcW w:w="1559" w:type="dxa"/>
            <w:tcBorders>
              <w:top w:val="single" w:sz="12" w:space="0" w:color="800000"/>
            </w:tcBorders>
          </w:tcPr>
          <w:p w:rsidR="003F5784" w14:paraId="5FCA0B4F" w14:textId="77777777">
            <w:pPr>
              <w:pStyle w:val="TableParagraph"/>
              <w:spacing w:before="0" w:line="239" w:lineRule="exact"/>
              <w:ind w:right="135"/>
              <w:rPr>
                <w:sz w:val="21"/>
              </w:rPr>
            </w:pPr>
            <w:r>
              <w:rPr>
                <w:spacing w:val="-2"/>
                <w:sz w:val="21"/>
              </w:rPr>
              <w:t>93.57</w:t>
            </w:r>
          </w:p>
        </w:tc>
        <w:tc>
          <w:tcPr>
            <w:tcW w:w="1712" w:type="dxa"/>
            <w:tcBorders>
              <w:top w:val="single" w:sz="12" w:space="0" w:color="800000"/>
            </w:tcBorders>
          </w:tcPr>
          <w:p w:rsidR="003F5784" w14:paraId="6520B3F5" w14:textId="77777777">
            <w:pPr>
              <w:pStyle w:val="TableParagraph"/>
              <w:spacing w:before="0" w:line="239" w:lineRule="exact"/>
              <w:ind w:right="124"/>
              <w:rPr>
                <w:sz w:val="21"/>
              </w:rPr>
            </w:pPr>
            <w:r>
              <w:rPr>
                <w:spacing w:val="-4"/>
                <w:sz w:val="21"/>
              </w:rPr>
              <w:t>3.40</w:t>
            </w:r>
          </w:p>
        </w:tc>
      </w:tr>
      <w:tr w14:paraId="41858C1B" w14:textId="77777777">
        <w:tblPrEx>
          <w:tblW w:w="0" w:type="auto"/>
          <w:tblInd w:w="482" w:type="dxa"/>
          <w:tblLayout w:type="fixed"/>
          <w:tblCellMar>
            <w:left w:w="0" w:type="dxa"/>
            <w:right w:w="0" w:type="dxa"/>
          </w:tblCellMar>
          <w:tblLook w:val="01E0"/>
        </w:tblPrEx>
        <w:trPr>
          <w:trHeight w:val="286"/>
        </w:trPr>
        <w:tc>
          <w:tcPr>
            <w:tcW w:w="3181" w:type="dxa"/>
          </w:tcPr>
          <w:p w:rsidR="003F5784" w14:paraId="7247A9C6" w14:textId="77777777">
            <w:pPr>
              <w:pStyle w:val="TableParagraph"/>
              <w:ind w:left="120"/>
              <w:jc w:val="left"/>
              <w:rPr>
                <w:sz w:val="21"/>
              </w:rPr>
            </w:pPr>
            <w:r>
              <w:rPr>
                <w:spacing w:val="-2"/>
                <w:sz w:val="21"/>
              </w:rPr>
              <w:t>Catholic</w:t>
            </w:r>
          </w:p>
        </w:tc>
        <w:tc>
          <w:tcPr>
            <w:tcW w:w="1188" w:type="dxa"/>
          </w:tcPr>
          <w:p w:rsidR="003F5784" w14:paraId="4248F542" w14:textId="77777777">
            <w:pPr>
              <w:pStyle w:val="TableParagraph"/>
              <w:ind w:right="124"/>
              <w:rPr>
                <w:sz w:val="21"/>
              </w:rPr>
            </w:pPr>
            <w:r>
              <w:rPr>
                <w:spacing w:val="-5"/>
                <w:sz w:val="21"/>
              </w:rPr>
              <w:t>40</w:t>
            </w:r>
          </w:p>
        </w:tc>
        <w:tc>
          <w:tcPr>
            <w:tcW w:w="1979" w:type="dxa"/>
          </w:tcPr>
          <w:p w:rsidR="003F5784" w14:paraId="03F5C736" w14:textId="77777777">
            <w:pPr>
              <w:pStyle w:val="TableParagraph"/>
              <w:ind w:right="167"/>
              <w:rPr>
                <w:sz w:val="21"/>
              </w:rPr>
            </w:pPr>
            <w:r>
              <w:rPr>
                <w:spacing w:val="-2"/>
                <w:sz w:val="21"/>
              </w:rPr>
              <w:t>61.74</w:t>
            </w:r>
          </w:p>
        </w:tc>
        <w:tc>
          <w:tcPr>
            <w:tcW w:w="1834" w:type="dxa"/>
          </w:tcPr>
          <w:p w:rsidR="003F5784" w14:paraId="06E81B1E" w14:textId="77777777">
            <w:pPr>
              <w:pStyle w:val="TableParagraph"/>
              <w:ind w:left="-26" w:right="147"/>
              <w:rPr>
                <w:sz w:val="21"/>
              </w:rPr>
            </w:pPr>
            <w:r>
              <w:rPr>
                <w:spacing w:val="-2"/>
                <w:sz w:val="21"/>
              </w:rPr>
              <w:t>74.36</w:t>
            </w:r>
          </w:p>
        </w:tc>
        <w:tc>
          <w:tcPr>
            <w:tcW w:w="1264" w:type="dxa"/>
          </w:tcPr>
          <w:p w:rsidR="003F5784" w14:paraId="1164FFBB" w14:textId="77777777">
            <w:pPr>
              <w:pStyle w:val="TableParagraph"/>
              <w:ind w:right="207"/>
              <w:rPr>
                <w:sz w:val="21"/>
              </w:rPr>
            </w:pPr>
            <w:r>
              <w:rPr>
                <w:spacing w:val="-5"/>
                <w:sz w:val="21"/>
              </w:rPr>
              <w:t>400</w:t>
            </w:r>
          </w:p>
        </w:tc>
        <w:tc>
          <w:tcPr>
            <w:tcW w:w="1274" w:type="dxa"/>
          </w:tcPr>
          <w:p w:rsidR="003F5784" w14:paraId="6AB35464" w14:textId="77777777">
            <w:pPr>
              <w:pStyle w:val="TableParagraph"/>
              <w:ind w:right="229"/>
              <w:rPr>
                <w:sz w:val="21"/>
              </w:rPr>
            </w:pPr>
            <w:r>
              <w:rPr>
                <w:spacing w:val="-4"/>
                <w:sz w:val="21"/>
              </w:rPr>
              <w:t>0.00</w:t>
            </w:r>
          </w:p>
        </w:tc>
        <w:tc>
          <w:tcPr>
            <w:tcW w:w="1559" w:type="dxa"/>
          </w:tcPr>
          <w:p w:rsidR="003F5784" w14:paraId="7CB967A7" w14:textId="77777777">
            <w:pPr>
              <w:pStyle w:val="TableParagraph"/>
              <w:ind w:right="135"/>
              <w:rPr>
                <w:sz w:val="21"/>
              </w:rPr>
            </w:pPr>
            <w:r>
              <w:rPr>
                <w:spacing w:val="-2"/>
                <w:sz w:val="21"/>
              </w:rPr>
              <w:t>94.26</w:t>
            </w:r>
          </w:p>
        </w:tc>
        <w:tc>
          <w:tcPr>
            <w:tcW w:w="1712" w:type="dxa"/>
          </w:tcPr>
          <w:p w:rsidR="003F5784" w14:paraId="6FCA5E03" w14:textId="77777777">
            <w:pPr>
              <w:pStyle w:val="TableParagraph"/>
              <w:ind w:right="124"/>
              <w:rPr>
                <w:sz w:val="21"/>
              </w:rPr>
            </w:pPr>
            <w:r>
              <w:rPr>
                <w:spacing w:val="-4"/>
                <w:sz w:val="21"/>
              </w:rPr>
              <w:t>5.65</w:t>
            </w:r>
          </w:p>
        </w:tc>
      </w:tr>
      <w:tr w14:paraId="7A7E4B54" w14:textId="77777777">
        <w:tblPrEx>
          <w:tblW w:w="0" w:type="auto"/>
          <w:tblInd w:w="482" w:type="dxa"/>
          <w:tblLayout w:type="fixed"/>
          <w:tblCellMar>
            <w:left w:w="0" w:type="dxa"/>
            <w:right w:w="0" w:type="dxa"/>
          </w:tblCellMar>
          <w:tblLook w:val="01E0"/>
        </w:tblPrEx>
        <w:trPr>
          <w:trHeight w:val="289"/>
        </w:trPr>
        <w:tc>
          <w:tcPr>
            <w:tcW w:w="3181" w:type="dxa"/>
            <w:tcBorders>
              <w:bottom w:val="single" w:sz="18" w:space="0" w:color="800000"/>
            </w:tcBorders>
          </w:tcPr>
          <w:p w:rsidR="003F5784" w14:paraId="3B5CBAC1" w14:textId="77777777">
            <w:pPr>
              <w:pStyle w:val="TableParagraph"/>
              <w:ind w:left="120"/>
              <w:jc w:val="left"/>
              <w:rPr>
                <w:sz w:val="21"/>
              </w:rPr>
            </w:pPr>
            <w:r>
              <w:rPr>
                <w:spacing w:val="-2"/>
                <w:sz w:val="21"/>
              </w:rPr>
              <w:t>Non-Catholic</w:t>
            </w:r>
          </w:p>
        </w:tc>
        <w:tc>
          <w:tcPr>
            <w:tcW w:w="1188" w:type="dxa"/>
            <w:tcBorders>
              <w:bottom w:val="single" w:sz="18" w:space="0" w:color="800000"/>
            </w:tcBorders>
          </w:tcPr>
          <w:p w:rsidR="003F5784" w14:paraId="6F755ADF" w14:textId="77777777">
            <w:pPr>
              <w:pStyle w:val="TableParagraph"/>
              <w:ind w:right="124"/>
              <w:rPr>
                <w:sz w:val="21"/>
              </w:rPr>
            </w:pPr>
            <w:r>
              <w:rPr>
                <w:spacing w:val="-5"/>
                <w:sz w:val="21"/>
              </w:rPr>
              <w:t>130</w:t>
            </w:r>
          </w:p>
        </w:tc>
        <w:tc>
          <w:tcPr>
            <w:tcW w:w="1979" w:type="dxa"/>
            <w:tcBorders>
              <w:bottom w:val="single" w:sz="18" w:space="0" w:color="800000"/>
            </w:tcBorders>
          </w:tcPr>
          <w:p w:rsidR="003F5784" w14:paraId="042C1846" w14:textId="77777777">
            <w:pPr>
              <w:pStyle w:val="TableParagraph"/>
              <w:ind w:right="167"/>
              <w:rPr>
                <w:sz w:val="21"/>
              </w:rPr>
            </w:pPr>
            <w:r>
              <w:rPr>
                <w:spacing w:val="-2"/>
                <w:sz w:val="21"/>
              </w:rPr>
              <w:t>15.03</w:t>
            </w:r>
          </w:p>
        </w:tc>
        <w:tc>
          <w:tcPr>
            <w:tcW w:w="1834" w:type="dxa"/>
            <w:tcBorders>
              <w:bottom w:val="single" w:sz="18" w:space="0" w:color="800000"/>
            </w:tcBorders>
          </w:tcPr>
          <w:p w:rsidR="003F5784" w14:paraId="2AABE144" w14:textId="77777777">
            <w:pPr>
              <w:pStyle w:val="TableParagraph"/>
              <w:ind w:left="-26" w:right="147"/>
              <w:rPr>
                <w:sz w:val="21"/>
              </w:rPr>
            </w:pPr>
            <w:r>
              <w:rPr>
                <w:spacing w:val="-2"/>
                <w:sz w:val="21"/>
              </w:rPr>
              <w:t>17.71</w:t>
            </w:r>
          </w:p>
        </w:tc>
        <w:tc>
          <w:tcPr>
            <w:tcW w:w="1264" w:type="dxa"/>
            <w:tcBorders>
              <w:bottom w:val="single" w:sz="18" w:space="0" w:color="800000"/>
            </w:tcBorders>
          </w:tcPr>
          <w:p w:rsidR="003F5784" w14:paraId="1EEDAB26" w14:textId="77777777">
            <w:pPr>
              <w:pStyle w:val="TableParagraph"/>
              <w:ind w:right="207"/>
              <w:rPr>
                <w:sz w:val="21"/>
              </w:rPr>
            </w:pPr>
            <w:r>
              <w:rPr>
                <w:spacing w:val="-5"/>
                <w:sz w:val="21"/>
              </w:rPr>
              <w:t>200</w:t>
            </w:r>
          </w:p>
        </w:tc>
        <w:tc>
          <w:tcPr>
            <w:tcW w:w="1274" w:type="dxa"/>
            <w:tcBorders>
              <w:bottom w:val="single" w:sz="18" w:space="0" w:color="800000"/>
            </w:tcBorders>
          </w:tcPr>
          <w:p w:rsidR="003F5784" w14:paraId="1ECB822F" w14:textId="77777777">
            <w:pPr>
              <w:pStyle w:val="TableParagraph"/>
              <w:ind w:right="229"/>
              <w:rPr>
                <w:sz w:val="21"/>
              </w:rPr>
            </w:pPr>
            <w:r>
              <w:rPr>
                <w:spacing w:val="-4"/>
                <w:sz w:val="21"/>
              </w:rPr>
              <w:t>0.00</w:t>
            </w:r>
          </w:p>
        </w:tc>
        <w:tc>
          <w:tcPr>
            <w:tcW w:w="1559" w:type="dxa"/>
            <w:tcBorders>
              <w:bottom w:val="single" w:sz="18" w:space="0" w:color="800000"/>
            </w:tcBorders>
          </w:tcPr>
          <w:p w:rsidR="003F5784" w14:paraId="004E1374" w14:textId="77777777">
            <w:pPr>
              <w:pStyle w:val="TableParagraph"/>
              <w:ind w:right="135"/>
              <w:rPr>
                <w:sz w:val="21"/>
              </w:rPr>
            </w:pPr>
            <w:r>
              <w:rPr>
                <w:spacing w:val="-2"/>
                <w:sz w:val="21"/>
              </w:rPr>
              <w:t>91.51</w:t>
            </w:r>
          </w:p>
        </w:tc>
        <w:tc>
          <w:tcPr>
            <w:tcW w:w="1712" w:type="dxa"/>
            <w:tcBorders>
              <w:bottom w:val="single" w:sz="18" w:space="0" w:color="800000"/>
            </w:tcBorders>
          </w:tcPr>
          <w:p w:rsidR="003F5784" w14:paraId="4E4CFC77" w14:textId="77777777">
            <w:pPr>
              <w:pStyle w:val="TableParagraph"/>
              <w:ind w:right="124"/>
              <w:rPr>
                <w:sz w:val="21"/>
              </w:rPr>
            </w:pPr>
            <w:r>
              <w:rPr>
                <w:spacing w:val="-4"/>
                <w:sz w:val="21"/>
              </w:rPr>
              <w:t>1.92</w:t>
            </w:r>
          </w:p>
        </w:tc>
      </w:tr>
      <w:tr w14:paraId="1CD2E187" w14:textId="77777777">
        <w:tblPrEx>
          <w:tblW w:w="0" w:type="auto"/>
          <w:tblInd w:w="482" w:type="dxa"/>
          <w:tblLayout w:type="fixed"/>
          <w:tblCellMar>
            <w:left w:w="0" w:type="dxa"/>
            <w:right w:w="0" w:type="dxa"/>
          </w:tblCellMar>
          <w:tblLook w:val="01E0"/>
        </w:tblPrEx>
        <w:trPr>
          <w:trHeight w:val="203"/>
        </w:trPr>
        <w:tc>
          <w:tcPr>
            <w:tcW w:w="13991" w:type="dxa"/>
            <w:gridSpan w:val="8"/>
            <w:tcBorders>
              <w:top w:val="single" w:sz="18" w:space="0" w:color="800000"/>
            </w:tcBorders>
          </w:tcPr>
          <w:p w:rsidR="003F5784" w14:paraId="5A1CC588" w14:textId="77777777">
            <w:pPr>
              <w:pStyle w:val="TableParagraph"/>
              <w:spacing w:before="9" w:line="175" w:lineRule="exact"/>
              <w:ind w:left="120"/>
              <w:jc w:val="left"/>
              <w:rPr>
                <w:sz w:val="21"/>
              </w:rPr>
            </w:pPr>
            <w:r>
              <w:rPr>
                <w:position w:val="9"/>
                <w:sz w:val="17"/>
              </w:rPr>
              <w:t>1</w:t>
            </w:r>
            <w:r>
              <w:rPr>
                <w:sz w:val="21"/>
              </w:rPr>
              <w:t>1</w:t>
            </w:r>
            <w:r>
              <w:rPr>
                <w:position w:val="9"/>
                <w:sz w:val="17"/>
              </w:rPr>
              <w:t xml:space="preserve">1 </w:t>
            </w:r>
            <w:r>
              <w:rPr>
                <w:position w:val="1"/>
                <w:sz w:val="21"/>
              </w:rPr>
              <w:t>Includes</w:t>
            </w:r>
            <w:r>
              <w:rPr>
                <w:spacing w:val="-6"/>
                <w:position w:val="1"/>
                <w:sz w:val="21"/>
              </w:rPr>
              <w:t xml:space="preserve"> </w:t>
            </w:r>
            <w:r>
              <w:rPr>
                <w:position w:val="1"/>
                <w:sz w:val="21"/>
              </w:rPr>
              <w:t>national</w:t>
            </w:r>
            <w:r>
              <w:rPr>
                <w:spacing w:val="-7"/>
                <w:position w:val="1"/>
                <w:sz w:val="21"/>
              </w:rPr>
              <w:t xml:space="preserve"> </w:t>
            </w:r>
            <w:r>
              <w:rPr>
                <w:position w:val="1"/>
                <w:sz w:val="21"/>
              </w:rPr>
              <w:t>public,</w:t>
            </w:r>
            <w:r>
              <w:rPr>
                <w:spacing w:val="-6"/>
                <w:position w:val="1"/>
                <w:sz w:val="21"/>
              </w:rPr>
              <w:t xml:space="preserve"> </w:t>
            </w:r>
            <w:r>
              <w:rPr>
                <w:position w:val="1"/>
                <w:sz w:val="21"/>
              </w:rPr>
              <w:t>national</w:t>
            </w:r>
            <w:r>
              <w:rPr>
                <w:spacing w:val="-6"/>
                <w:position w:val="1"/>
                <w:sz w:val="21"/>
              </w:rPr>
              <w:t xml:space="preserve"> </w:t>
            </w:r>
            <w:r>
              <w:rPr>
                <w:position w:val="1"/>
                <w:sz w:val="21"/>
              </w:rPr>
              <w:t>private,</w:t>
            </w:r>
            <w:r>
              <w:rPr>
                <w:spacing w:val="-7"/>
                <w:position w:val="1"/>
                <w:sz w:val="21"/>
              </w:rPr>
              <w:t xml:space="preserve"> </w:t>
            </w:r>
            <w:r>
              <w:rPr>
                <w:position w:val="1"/>
                <w:sz w:val="21"/>
              </w:rPr>
              <w:t>and</w:t>
            </w:r>
            <w:r>
              <w:rPr>
                <w:spacing w:val="-6"/>
                <w:position w:val="1"/>
                <w:sz w:val="21"/>
              </w:rPr>
              <w:t xml:space="preserve"> </w:t>
            </w:r>
            <w:r>
              <w:rPr>
                <w:position w:val="1"/>
                <w:sz w:val="21"/>
              </w:rPr>
              <w:t>Department</w:t>
            </w:r>
            <w:r>
              <w:rPr>
                <w:spacing w:val="-6"/>
                <w:position w:val="1"/>
                <w:sz w:val="21"/>
              </w:rPr>
              <w:t xml:space="preserve"> </w:t>
            </w:r>
            <w:r>
              <w:rPr>
                <w:position w:val="1"/>
                <w:sz w:val="21"/>
              </w:rPr>
              <w:t>of</w:t>
            </w:r>
            <w:r>
              <w:rPr>
                <w:spacing w:val="-7"/>
                <w:position w:val="1"/>
                <w:sz w:val="21"/>
              </w:rPr>
              <w:t xml:space="preserve"> </w:t>
            </w:r>
            <w:r>
              <w:rPr>
                <w:position w:val="1"/>
                <w:sz w:val="21"/>
              </w:rPr>
              <w:t>Defense</w:t>
            </w:r>
            <w:r>
              <w:rPr>
                <w:spacing w:val="-6"/>
                <w:position w:val="1"/>
                <w:sz w:val="21"/>
              </w:rPr>
              <w:t xml:space="preserve"> </w:t>
            </w:r>
            <w:r>
              <w:rPr>
                <w:position w:val="1"/>
                <w:sz w:val="21"/>
              </w:rPr>
              <w:t>Education</w:t>
            </w:r>
            <w:r>
              <w:rPr>
                <w:spacing w:val="-13"/>
                <w:position w:val="1"/>
                <w:sz w:val="21"/>
              </w:rPr>
              <w:t xml:space="preserve"> </w:t>
            </w:r>
            <w:r>
              <w:rPr>
                <w:position w:val="1"/>
                <w:sz w:val="21"/>
              </w:rPr>
              <w:t>Activity</w:t>
            </w:r>
            <w:r>
              <w:rPr>
                <w:spacing w:val="-6"/>
                <w:position w:val="1"/>
                <w:sz w:val="21"/>
              </w:rPr>
              <w:t xml:space="preserve"> </w:t>
            </w:r>
            <w:r>
              <w:rPr>
                <w:position w:val="1"/>
                <w:sz w:val="21"/>
              </w:rPr>
              <w:t>schools</w:t>
            </w:r>
            <w:r>
              <w:rPr>
                <w:spacing w:val="-7"/>
                <w:position w:val="1"/>
                <w:sz w:val="21"/>
              </w:rPr>
              <w:t xml:space="preserve"> </w:t>
            </w:r>
            <w:r>
              <w:rPr>
                <w:position w:val="1"/>
                <w:sz w:val="21"/>
              </w:rPr>
              <w:t>located</w:t>
            </w:r>
            <w:r>
              <w:rPr>
                <w:spacing w:val="-6"/>
                <w:position w:val="1"/>
                <w:sz w:val="21"/>
              </w:rPr>
              <w:t xml:space="preserve"> </w:t>
            </w:r>
            <w:r>
              <w:rPr>
                <w:position w:val="1"/>
                <w:sz w:val="21"/>
              </w:rPr>
              <w:t>in</w:t>
            </w:r>
            <w:r>
              <w:rPr>
                <w:spacing w:val="-6"/>
                <w:position w:val="1"/>
                <w:sz w:val="21"/>
              </w:rPr>
              <w:t xml:space="preserve"> </w:t>
            </w:r>
            <w:r>
              <w:rPr>
                <w:position w:val="1"/>
                <w:sz w:val="21"/>
              </w:rPr>
              <w:t>the</w:t>
            </w:r>
            <w:r>
              <w:rPr>
                <w:spacing w:val="-7"/>
                <w:position w:val="1"/>
                <w:sz w:val="21"/>
              </w:rPr>
              <w:t xml:space="preserve"> </w:t>
            </w:r>
            <w:r>
              <w:rPr>
                <w:position w:val="1"/>
                <w:sz w:val="21"/>
              </w:rPr>
              <w:t>United</w:t>
            </w:r>
            <w:r>
              <w:rPr>
                <w:spacing w:val="-6"/>
                <w:position w:val="1"/>
                <w:sz w:val="21"/>
              </w:rPr>
              <w:t xml:space="preserve"> </w:t>
            </w:r>
            <w:r>
              <w:rPr>
                <w:spacing w:val="-2"/>
                <w:position w:val="1"/>
                <w:sz w:val="21"/>
              </w:rPr>
              <w:t>States.</w:t>
            </w:r>
          </w:p>
        </w:tc>
      </w:tr>
    </w:tbl>
    <w:p w:rsidR="003F5784" w14:paraId="6122B9D4" w14:textId="77777777">
      <w:pPr>
        <w:pStyle w:val="BodyText"/>
        <w:spacing w:before="102" w:line="232" w:lineRule="auto"/>
        <w:ind w:left="595" w:right="318"/>
      </w:pPr>
      <w:r>
        <w:t>NOTE: Numbers of schools are rounded to nearest ten, and numbers of students are rounded to nearest hundred. Detail may not sum to totals due to rounding. 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U.S. History Assessment.</w:t>
      </w:r>
    </w:p>
    <w:p w:rsidR="003F5784" w14:paraId="0C3FE64A" w14:textId="77777777">
      <w:pPr>
        <w:pStyle w:val="BodyText"/>
      </w:pPr>
    </w:p>
    <w:p w:rsidR="003F5784" w14:paraId="0A726A6B" w14:textId="77777777">
      <w:pPr>
        <w:pStyle w:val="BodyText"/>
      </w:pPr>
    </w:p>
    <w:p w:rsidR="003F5784" w14:paraId="626953ED" w14:textId="77777777">
      <w:pPr>
        <w:pStyle w:val="BodyText"/>
        <w:spacing w:before="198"/>
      </w:pPr>
    </w:p>
    <w:p w:rsidR="003F5784" w14:paraId="7DC588C1" w14:textId="77777777">
      <w:pPr>
        <w:ind w:left="2238"/>
        <w:rPr>
          <w:sz w:val="18"/>
        </w:rPr>
      </w:pPr>
      <w:hyperlink r:id="rId567">
        <w:r>
          <w:rPr>
            <w:spacing w:val="-2"/>
            <w:w w:val="105"/>
            <w:sz w:val="18"/>
          </w:rPr>
          <w:t>http://nces.ed.gov/nationsreportcard/tdw/weighting/2022/participation_exclusion_and_accommodation_rates_for_grade_8_u_s_history_for_the_2022_assessment.aspx</w:t>
        </w:r>
      </w:hyperlink>
    </w:p>
    <w:p w:rsidR="003F5784" w14:paraId="1E1C5644" w14:textId="77777777">
      <w:pPr>
        <w:pStyle w:val="BodyText"/>
        <w:spacing w:before="11"/>
        <w:rPr>
          <w:sz w:val="14"/>
        </w:rPr>
      </w:pPr>
      <w:r>
        <w:rPr>
          <w:noProof/>
        </w:rPr>
        <mc:AlternateContent>
          <mc:Choice Requires="wps">
            <w:drawing>
              <wp:anchor distT="0" distB="0" distL="0" distR="0" simplePos="0" relativeHeight="252050432" behindDoc="1" locked="0" layoutInCell="1" allowOverlap="1">
                <wp:simplePos x="0" y="0"/>
                <wp:positionH relativeFrom="page">
                  <wp:posOffset>361937</wp:posOffset>
                </wp:positionH>
                <wp:positionV relativeFrom="paragraph">
                  <wp:posOffset>124403</wp:posOffset>
                </wp:positionV>
                <wp:extent cx="9339580" cy="8890"/>
                <wp:effectExtent l="0" t="0" r="0" b="0"/>
                <wp:wrapTopAndBottom/>
                <wp:docPr id="724" name="Graphic 724"/>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318"/>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724" o:spid="_x0000_s1228" style="width:735.4pt;height:0.7pt;margin-top:9.8pt;margin-left:28.5pt;mso-position-horizontal-relative:page;mso-wrap-distance-bottom:0;mso-wrap-distance-left:0;mso-wrap-distance-right:0;mso-wrap-distance-top:0;mso-wrap-style:square;position:absolute;visibility:visible;v-text-anchor:top;z-index:-251265024" coordsize="9339580,8890" path="m9338970,l9335110,l,,,8280l8280,8318l9335110,8280l9338970,8280l9338970,xe" fillcolor="gray" stroked="f">
                <v:path arrowok="t"/>
                <w10:wrap type="topAndBottom"/>
              </v:shape>
            </w:pict>
          </mc:Fallback>
        </mc:AlternateContent>
      </w:r>
    </w:p>
    <w:p w:rsidR="003F5784" w14:paraId="402635CF" w14:textId="77777777">
      <w:pPr>
        <w:pStyle w:val="BodyText"/>
        <w:rPr>
          <w:sz w:val="18"/>
        </w:rPr>
      </w:pPr>
    </w:p>
    <w:p w:rsidR="003F5784" w14:paraId="14EB2E81" w14:textId="77777777">
      <w:pPr>
        <w:pStyle w:val="BodyText"/>
        <w:spacing w:before="206"/>
        <w:rPr>
          <w:sz w:val="18"/>
        </w:rPr>
      </w:pPr>
    </w:p>
    <w:p w:rsidR="003F5784" w14:paraId="1D63B859" w14:textId="5849408A">
      <w:pPr>
        <w:pStyle w:val="Heading1"/>
      </w:pPr>
      <w:r>
        <w:t>NAEP</w:t>
      </w:r>
      <w:r>
        <w:rPr>
          <w:spacing w:val="-22"/>
        </w:rPr>
        <w:t xml:space="preserve"> </w:t>
      </w:r>
      <w:r>
        <w:t>Technical</w:t>
      </w:r>
      <w:r>
        <w:rPr>
          <w:spacing w:val="12"/>
        </w:rPr>
        <w:t xml:space="preserve"> </w:t>
      </w:r>
      <w:r>
        <w:t>Documentation</w:t>
      </w:r>
      <w:r w:rsidR="00047860">
        <w:t xml:space="preserve"> </w:t>
      </w:r>
      <w:r>
        <w:t>Nonresponse</w:t>
      </w:r>
      <w:r>
        <w:rPr>
          <w:spacing w:val="12"/>
        </w:rPr>
        <w:t xml:space="preserve"> </w:t>
      </w:r>
      <w:r>
        <w:t>Bias</w:t>
      </w:r>
      <w:r>
        <w:rPr>
          <w:spacing w:val="-13"/>
        </w:rPr>
        <w:t xml:space="preserve"> </w:t>
      </w:r>
      <w:r>
        <w:rPr>
          <w:spacing w:val="-2"/>
        </w:rPr>
        <w:t>Analyses</w:t>
      </w:r>
    </w:p>
    <w:p w:rsidR="003F5784" w14:paraId="15A3EBA0" w14:textId="77777777">
      <w:pPr>
        <w:pStyle w:val="BodyText"/>
        <w:spacing w:before="282" w:line="232" w:lineRule="auto"/>
        <w:ind w:left="109"/>
      </w:pPr>
      <w:r>
        <w:t>NCES statistical standards call for a nonresponse bias analysis for NAEP</w:t>
      </w:r>
      <w:r>
        <w:rPr>
          <w:spacing w:val="-8"/>
        </w:rPr>
        <w:t xml:space="preserve"> </w:t>
      </w:r>
      <w:r>
        <w:t>when response rates at the school or student level fall below 85 percent.</w:t>
      </w:r>
      <w:r>
        <w:rPr>
          <w:spacing w:val="-4"/>
        </w:rPr>
        <w:t xml:space="preserve"> </w:t>
      </w:r>
      <w:r>
        <w:t>To meet this requirement, separate</w:t>
      </w:r>
      <w:r>
        <w:rPr>
          <w:spacing w:val="-6"/>
        </w:rPr>
        <w:t xml:space="preserve"> </w:t>
      </w:r>
      <w:r>
        <w:t>nonresponse</w:t>
      </w:r>
      <w:r>
        <w:rPr>
          <w:spacing w:val="-6"/>
        </w:rPr>
        <w:t xml:space="preserve"> </w:t>
      </w:r>
      <w:r>
        <w:t>bias</w:t>
      </w:r>
      <w:r>
        <w:rPr>
          <w:spacing w:val="-6"/>
        </w:rPr>
        <w:t xml:space="preserve"> </w:t>
      </w:r>
      <w:r>
        <w:t>analysis</w:t>
      </w:r>
      <w:r>
        <w:rPr>
          <w:spacing w:val="-6"/>
        </w:rPr>
        <w:t xml:space="preserve"> </w:t>
      </w:r>
      <w:r>
        <w:t>(NRBA)</w:t>
      </w:r>
      <w:r>
        <w:rPr>
          <w:spacing w:val="-6"/>
        </w:rPr>
        <w:t xml:space="preserve"> </w:t>
      </w:r>
      <w:r>
        <w:t>reports</w:t>
      </w:r>
      <w:r>
        <w:rPr>
          <w:spacing w:val="-6"/>
        </w:rPr>
        <w:t xml:space="preserve"> </w:t>
      </w:r>
      <w:r>
        <w:t>were</w:t>
      </w:r>
      <w:r>
        <w:rPr>
          <w:spacing w:val="-6"/>
        </w:rPr>
        <w:t xml:space="preserve"> </w:t>
      </w:r>
      <w:r>
        <w:t>written</w:t>
      </w:r>
      <w:r>
        <w:rPr>
          <w:spacing w:val="-6"/>
        </w:rPr>
        <w:t xml:space="preserve"> </w:t>
      </w:r>
      <w:r>
        <w:t>in</w:t>
      </w:r>
      <w:r>
        <w:rPr>
          <w:spacing w:val="-6"/>
        </w:rPr>
        <w:t xml:space="preserve"> </w:t>
      </w:r>
      <w:r>
        <w:t>2022</w:t>
      </w:r>
      <w:r>
        <w:rPr>
          <w:spacing w:val="-6"/>
        </w:rPr>
        <w:t xml:space="preserve"> </w:t>
      </w:r>
      <w:r>
        <w:t>for</w:t>
      </w:r>
      <w:r>
        <w:rPr>
          <w:spacing w:val="-6"/>
        </w:rPr>
        <w:t xml:space="preserve"> </w:t>
      </w:r>
      <w:r>
        <w:t>each</w:t>
      </w:r>
      <w:r>
        <w:rPr>
          <w:spacing w:val="-6"/>
        </w:rPr>
        <w:t xml:space="preserve"> </w:t>
      </w:r>
      <w:r>
        <w:t>of</w:t>
      </w:r>
      <w:r>
        <w:rPr>
          <w:spacing w:val="-6"/>
        </w:rPr>
        <w:t xml:space="preserve"> </w:t>
      </w:r>
      <w:r>
        <w:t>the</w:t>
      </w:r>
      <w:r>
        <w:rPr>
          <w:spacing w:val="-6"/>
        </w:rPr>
        <w:t xml:space="preserve"> </w:t>
      </w:r>
      <w:r>
        <w:t>following</w:t>
      </w:r>
      <w:r>
        <w:rPr>
          <w:spacing w:val="40"/>
        </w:rPr>
        <w:t xml:space="preserve"> </w:t>
      </w:r>
      <w:r>
        <w:t>NAEP</w:t>
      </w:r>
      <w:r>
        <w:rPr>
          <w:spacing w:val="-13"/>
        </w:rPr>
        <w:t xml:space="preserve"> </w:t>
      </w:r>
      <w:r>
        <w:t>samples:</w:t>
      </w:r>
      <w:r>
        <w:rPr>
          <w:spacing w:val="-6"/>
        </w:rPr>
        <w:t xml:space="preserve"> </w:t>
      </w:r>
      <w:r>
        <w:t>mathematics</w:t>
      </w:r>
      <w:r>
        <w:rPr>
          <w:spacing w:val="-6"/>
        </w:rPr>
        <w:t xml:space="preserve"> </w:t>
      </w:r>
      <w:r>
        <w:t>and</w:t>
      </w:r>
      <w:r>
        <w:rPr>
          <w:spacing w:val="-6"/>
        </w:rPr>
        <w:t xml:space="preserve"> </w:t>
      </w:r>
      <w:r>
        <w:t>reading</w:t>
      </w:r>
      <w:r>
        <w:rPr>
          <w:spacing w:val="-6"/>
        </w:rPr>
        <w:t xml:space="preserve"> </w:t>
      </w:r>
      <w:r>
        <w:t>at</w:t>
      </w:r>
      <w:r>
        <w:rPr>
          <w:spacing w:val="-6"/>
        </w:rPr>
        <w:t xml:space="preserve"> </w:t>
      </w:r>
      <w:r>
        <w:t>grades</w:t>
      </w:r>
      <w:r>
        <w:rPr>
          <w:spacing w:val="-6"/>
        </w:rPr>
        <w:t xml:space="preserve"> </w:t>
      </w:r>
      <w:r>
        <w:t>4</w:t>
      </w:r>
      <w:r>
        <w:rPr>
          <w:spacing w:val="-6"/>
        </w:rPr>
        <w:t xml:space="preserve"> </w:t>
      </w:r>
      <w:r>
        <w:t>and</w:t>
      </w:r>
      <w:r>
        <w:rPr>
          <w:spacing w:val="-6"/>
        </w:rPr>
        <w:t xml:space="preserve"> </w:t>
      </w:r>
      <w:r>
        <w:t>8,</w:t>
      </w:r>
      <w:r>
        <w:rPr>
          <w:spacing w:val="-6"/>
        </w:rPr>
        <w:t xml:space="preserve"> </w:t>
      </w:r>
      <w:r>
        <w:t>civics</w:t>
      </w:r>
      <w:r>
        <w:rPr>
          <w:spacing w:val="-6"/>
        </w:rPr>
        <w:t xml:space="preserve"> </w:t>
      </w:r>
      <w:r>
        <w:t>and</w:t>
      </w:r>
      <w:r>
        <w:rPr>
          <w:spacing w:val="-6"/>
        </w:rPr>
        <w:t xml:space="preserve"> </w:t>
      </w:r>
      <w:r>
        <w:t>U.S. history</w:t>
      </w:r>
      <w:r>
        <w:rPr>
          <w:spacing w:val="-3"/>
        </w:rPr>
        <w:t xml:space="preserve"> </w:t>
      </w:r>
      <w:r>
        <w:t>at</w:t>
      </w:r>
      <w:r>
        <w:rPr>
          <w:spacing w:val="-3"/>
        </w:rPr>
        <w:t xml:space="preserve"> </w:t>
      </w:r>
      <w:r>
        <w:t>grade</w:t>
      </w:r>
      <w:r>
        <w:rPr>
          <w:spacing w:val="-3"/>
        </w:rPr>
        <w:t xml:space="preserve"> </w:t>
      </w:r>
      <w:r>
        <w:t>8,</w:t>
      </w:r>
      <w:r>
        <w:rPr>
          <w:spacing w:val="-3"/>
        </w:rPr>
        <w:t xml:space="preserve"> </w:t>
      </w:r>
      <w:r>
        <w:t>mathematics</w:t>
      </w:r>
      <w:r>
        <w:rPr>
          <w:spacing w:val="-3"/>
        </w:rPr>
        <w:t xml:space="preserve"> </w:t>
      </w:r>
      <w:r>
        <w:t>and</w:t>
      </w:r>
      <w:r>
        <w:rPr>
          <w:spacing w:val="-3"/>
        </w:rPr>
        <w:t xml:space="preserve"> </w:t>
      </w:r>
      <w:r>
        <w:t>reading</w:t>
      </w:r>
      <w:r>
        <w:rPr>
          <w:spacing w:val="-3"/>
        </w:rPr>
        <w:t xml:space="preserve"> </w:t>
      </w:r>
      <w:r>
        <w:t>at</w:t>
      </w:r>
      <w:r>
        <w:rPr>
          <w:spacing w:val="-3"/>
        </w:rPr>
        <w:t xml:space="preserve"> </w:t>
      </w:r>
      <w:r>
        <w:t>age</w:t>
      </w:r>
      <w:r>
        <w:rPr>
          <w:spacing w:val="-3"/>
        </w:rPr>
        <w:t xml:space="preserve"> </w:t>
      </w:r>
      <w:r>
        <w:t>9,</w:t>
      </w:r>
      <w:r>
        <w:rPr>
          <w:spacing w:val="-3"/>
        </w:rPr>
        <w:t xml:space="preserve"> </w:t>
      </w:r>
      <w:r>
        <w:t>and</w:t>
      </w:r>
      <w:r>
        <w:rPr>
          <w:spacing w:val="-3"/>
        </w:rPr>
        <w:t xml:space="preserve"> </w:t>
      </w:r>
      <w:r>
        <w:t>mathematics</w:t>
      </w:r>
      <w:r>
        <w:rPr>
          <w:spacing w:val="-3"/>
        </w:rPr>
        <w:t xml:space="preserve"> </w:t>
      </w:r>
      <w:r>
        <w:t>and</w:t>
      </w:r>
      <w:r>
        <w:rPr>
          <w:spacing w:val="-3"/>
        </w:rPr>
        <w:t xml:space="preserve"> </w:t>
      </w:r>
      <w:r>
        <w:t>reading</w:t>
      </w:r>
      <w:r>
        <w:rPr>
          <w:spacing w:val="-3"/>
        </w:rPr>
        <w:t xml:space="preserve"> </w:t>
      </w:r>
      <w:r>
        <w:t>at</w:t>
      </w:r>
      <w:r>
        <w:rPr>
          <w:spacing w:val="-3"/>
        </w:rPr>
        <w:t xml:space="preserve"> </w:t>
      </w:r>
      <w:r>
        <w:t>age</w:t>
      </w:r>
      <w:r>
        <w:rPr>
          <w:spacing w:val="-3"/>
        </w:rPr>
        <w:t xml:space="preserve"> </w:t>
      </w:r>
      <w:r>
        <w:t>13.</w:t>
      </w:r>
      <w:r>
        <w:rPr>
          <w:spacing w:val="-3"/>
        </w:rPr>
        <w:t xml:space="preserve"> </w:t>
      </w:r>
      <w:r>
        <w:t>In</w:t>
      </w:r>
      <w:r>
        <w:rPr>
          <w:spacing w:val="-3"/>
        </w:rPr>
        <w:t xml:space="preserve"> </w:t>
      </w:r>
      <w:r>
        <w:t>addition</w:t>
      </w:r>
      <w:r>
        <w:rPr>
          <w:spacing w:val="-3"/>
        </w:rPr>
        <w:t xml:space="preserve"> </w:t>
      </w:r>
      <w:r>
        <w:t>to</w:t>
      </w:r>
      <w:r>
        <w:rPr>
          <w:spacing w:val="-3"/>
        </w:rPr>
        <w:t xml:space="preserve"> </w:t>
      </w:r>
      <w:r>
        <w:t>these</w:t>
      </w:r>
      <w:r>
        <w:rPr>
          <w:spacing w:val="-3"/>
        </w:rPr>
        <w:t xml:space="preserve"> </w:t>
      </w:r>
      <w:r>
        <w:t>reports,</w:t>
      </w:r>
      <w:r>
        <w:rPr>
          <w:spacing w:val="-3"/>
        </w:rPr>
        <w:t xml:space="preserve"> </w:t>
      </w:r>
      <w:r>
        <w:t>due</w:t>
      </w:r>
      <w:r>
        <w:rPr>
          <w:spacing w:val="-3"/>
        </w:rPr>
        <w:t xml:space="preserve"> </w:t>
      </w:r>
      <w:r>
        <w:t>to</w:t>
      </w:r>
      <w:r>
        <w:rPr>
          <w:spacing w:val="-3"/>
        </w:rPr>
        <w:t xml:space="preserve"> </w:t>
      </w:r>
      <w:r>
        <w:t>special</w:t>
      </w:r>
      <w:r>
        <w:rPr>
          <w:spacing w:val="-3"/>
        </w:rPr>
        <w:t xml:space="preserve"> </w:t>
      </w:r>
      <w:r>
        <w:t>interest</w:t>
      </w:r>
      <w:r>
        <w:rPr>
          <w:spacing w:val="-3"/>
        </w:rPr>
        <w:t xml:space="preserve"> </w:t>
      </w:r>
      <w:r>
        <w:t>in</w:t>
      </w:r>
      <w:r>
        <w:rPr>
          <w:spacing w:val="-3"/>
        </w:rPr>
        <w:t xml:space="preserve"> </w:t>
      </w:r>
      <w:r>
        <w:t>Catholic</w:t>
      </w:r>
      <w:r>
        <w:rPr>
          <w:spacing w:val="-3"/>
        </w:rPr>
        <w:t xml:space="preserve"> </w:t>
      </w:r>
      <w:r>
        <w:t>schools,</w:t>
      </w:r>
      <w:r>
        <w:rPr>
          <w:spacing w:val="-3"/>
        </w:rPr>
        <w:t xml:space="preserve"> </w:t>
      </w:r>
      <w:r>
        <w:t>a</w:t>
      </w:r>
      <w:r>
        <w:rPr>
          <w:spacing w:val="-3"/>
        </w:rPr>
        <w:t xml:space="preserve"> </w:t>
      </w:r>
      <w:r>
        <w:t>separate NRBA</w:t>
      </w:r>
      <w:r>
        <w:rPr>
          <w:spacing w:val="-7"/>
        </w:rPr>
        <w:t xml:space="preserve"> </w:t>
      </w:r>
      <w:r>
        <w:t>was conducted for this subgroup for the mathematics and reading sample at grades 4 and 8.</w:t>
      </w:r>
    </w:p>
    <w:p w:rsidR="003F5784" w14:paraId="4C9322EE" w14:textId="77777777">
      <w:pPr>
        <w:pStyle w:val="BodyText"/>
        <w:spacing w:before="210" w:line="232" w:lineRule="auto"/>
        <w:ind w:left="109" w:right="179"/>
      </w:pPr>
      <w:r>
        <w:t>For the 2022 mathematics and reading assessments at grades 4 and 8, school-level response rates for private schools fell below the 85 percent threshold at both grades, while the response rates for all public school domains were above 85 percent at both grades.</w:t>
      </w:r>
      <w:r>
        <w:rPr>
          <w:spacing w:val="-11"/>
        </w:rPr>
        <w:t xml:space="preserve"> </w:t>
      </w:r>
      <w:r>
        <w:t>At the student level, response rates at grade 8 fell below 85 percent for at least one subject</w:t>
      </w:r>
      <w:r>
        <w:rPr>
          <w:spacing w:val="-14"/>
        </w:rPr>
        <w:t xml:space="preserve"> </w:t>
      </w:r>
      <w:r>
        <w:t>for</w:t>
      </w:r>
      <w:r>
        <w:rPr>
          <w:spacing w:val="-8"/>
        </w:rPr>
        <w:t xml:space="preserve"> </w:t>
      </w:r>
      <w:r>
        <w:t>the</w:t>
      </w:r>
      <w:r>
        <w:rPr>
          <w:spacing w:val="-7"/>
        </w:rPr>
        <w:t xml:space="preserve"> </w:t>
      </w:r>
      <w:r>
        <w:t>following</w:t>
      </w:r>
      <w:r>
        <w:rPr>
          <w:spacing w:val="-7"/>
        </w:rPr>
        <w:t xml:space="preserve"> </w:t>
      </w:r>
      <w:r>
        <w:t>state</w:t>
      </w:r>
      <w:r>
        <w:rPr>
          <w:spacing w:val="-7"/>
        </w:rPr>
        <w:t xml:space="preserve"> </w:t>
      </w:r>
      <w:r>
        <w:t>domains:</w:t>
      </w:r>
      <w:r>
        <w:rPr>
          <w:spacing w:val="-14"/>
        </w:rPr>
        <w:t xml:space="preserve"> </w:t>
      </w:r>
      <w:r>
        <w:t>Alaska,</w:t>
      </w:r>
      <w:r>
        <w:rPr>
          <w:spacing w:val="-7"/>
        </w:rPr>
        <w:t xml:space="preserve"> </w:t>
      </w:r>
      <w:r>
        <w:t>District</w:t>
      </w:r>
      <w:r>
        <w:rPr>
          <w:spacing w:val="-7"/>
        </w:rPr>
        <w:t xml:space="preserve"> </w:t>
      </w:r>
      <w:r>
        <w:t>of</w:t>
      </w:r>
      <w:r>
        <w:rPr>
          <w:spacing w:val="-7"/>
        </w:rPr>
        <w:t xml:space="preserve"> </w:t>
      </w:r>
      <w:r>
        <w:t>Columbia,</w:t>
      </w:r>
      <w:r>
        <w:rPr>
          <w:spacing w:val="-7"/>
        </w:rPr>
        <w:t xml:space="preserve"> </w:t>
      </w:r>
      <w:r>
        <w:t>Hawaii,</w:t>
      </w:r>
      <w:r>
        <w:rPr>
          <w:spacing w:val="-7"/>
        </w:rPr>
        <w:t xml:space="preserve"> </w:t>
      </w:r>
      <w:r>
        <w:t>New</w:t>
      </w:r>
      <w:r>
        <w:rPr>
          <w:spacing w:val="-7"/>
        </w:rPr>
        <w:t xml:space="preserve"> </w:t>
      </w:r>
      <w:r>
        <w:t>Hampshire,</w:t>
      </w:r>
      <w:r>
        <w:rPr>
          <w:spacing w:val="-7"/>
        </w:rPr>
        <w:t xml:space="preserve"> </w:t>
      </w:r>
      <w:r>
        <w:t>and</w:t>
      </w:r>
      <w:r>
        <w:rPr>
          <w:spacing w:val="-7"/>
        </w:rPr>
        <w:t xml:space="preserve"> </w:t>
      </w:r>
      <w:r>
        <w:t>New</w:t>
      </w:r>
      <w:r>
        <w:rPr>
          <w:spacing w:val="-14"/>
        </w:rPr>
        <w:t xml:space="preserve"> </w:t>
      </w:r>
      <w:r>
        <w:t>York;</w:t>
      </w:r>
      <w:r>
        <w:rPr>
          <w:spacing w:val="-7"/>
        </w:rPr>
        <w:t xml:space="preserve"> </w:t>
      </w:r>
      <w:r>
        <w:t>and</w:t>
      </w:r>
      <w:r>
        <w:rPr>
          <w:spacing w:val="-7"/>
        </w:rPr>
        <w:t xml:space="preserve"> </w:t>
      </w:r>
      <w:r>
        <w:t>the</w:t>
      </w:r>
      <w:r>
        <w:rPr>
          <w:spacing w:val="-7"/>
        </w:rPr>
        <w:t xml:space="preserve"> </w:t>
      </w:r>
      <w:r>
        <w:t>following</w:t>
      </w:r>
      <w:r>
        <w:rPr>
          <w:spacing w:val="-11"/>
        </w:rPr>
        <w:t xml:space="preserve"> </w:t>
      </w:r>
      <w:r>
        <w:t>TUDA</w:t>
      </w:r>
      <w:r>
        <w:rPr>
          <w:spacing w:val="-14"/>
        </w:rPr>
        <w:t xml:space="preserve"> </w:t>
      </w:r>
      <w:r>
        <w:t>domains:</w:t>
      </w:r>
      <w:r>
        <w:rPr>
          <w:spacing w:val="-7"/>
        </w:rPr>
        <w:t xml:space="preserve"> </w:t>
      </w:r>
      <w:r>
        <w:t>District</w:t>
      </w:r>
      <w:r>
        <w:rPr>
          <w:spacing w:val="-7"/>
        </w:rPr>
        <w:t xml:space="preserve"> </w:t>
      </w:r>
      <w:r>
        <w:t>of</w:t>
      </w:r>
      <w:r>
        <w:rPr>
          <w:spacing w:val="-7"/>
        </w:rPr>
        <w:t xml:space="preserve"> </w:t>
      </w:r>
      <w:r>
        <w:t>Columbia</w:t>
      </w:r>
      <w:r>
        <w:rPr>
          <w:spacing w:val="-7"/>
        </w:rPr>
        <w:t xml:space="preserve"> </w:t>
      </w:r>
      <w:r>
        <w:t>Public Schools, New</w:t>
      </w:r>
      <w:r>
        <w:rPr>
          <w:spacing w:val="-7"/>
        </w:rPr>
        <w:t xml:space="preserve"> </w:t>
      </w:r>
      <w:r>
        <w:t>York City, and Milwaukee. However, at grade 4, response rates for all domains were above 85 percent.</w:t>
      </w:r>
    </w:p>
    <w:p w:rsidR="003F5784" w14:paraId="43AFDB14" w14:textId="77777777">
      <w:pPr>
        <w:pStyle w:val="BodyText"/>
        <w:spacing w:before="210" w:line="232" w:lineRule="auto"/>
        <w:ind w:left="109"/>
      </w:pPr>
      <w:r>
        <w:t>For</w:t>
      </w:r>
      <w:r>
        <w:rPr>
          <w:spacing w:val="-3"/>
        </w:rPr>
        <w:t xml:space="preserve"> </w:t>
      </w:r>
      <w:r>
        <w:t>the</w:t>
      </w:r>
      <w:r>
        <w:rPr>
          <w:spacing w:val="-3"/>
        </w:rPr>
        <w:t xml:space="preserve"> </w:t>
      </w:r>
      <w:r>
        <w:t>2022</w:t>
      </w:r>
      <w:r>
        <w:rPr>
          <w:spacing w:val="-3"/>
        </w:rPr>
        <w:t xml:space="preserve"> </w:t>
      </w:r>
      <w:r>
        <w:t>civics</w:t>
      </w:r>
      <w:r>
        <w:rPr>
          <w:spacing w:val="-3"/>
        </w:rPr>
        <w:t xml:space="preserve"> </w:t>
      </w:r>
      <w:r>
        <w:t>and</w:t>
      </w:r>
      <w:r>
        <w:rPr>
          <w:spacing w:val="-3"/>
        </w:rPr>
        <w:t xml:space="preserve"> </w:t>
      </w:r>
      <w:r>
        <w:t>U.S.</w:t>
      </w:r>
      <w:r>
        <w:rPr>
          <w:spacing w:val="-3"/>
        </w:rPr>
        <w:t xml:space="preserve"> </w:t>
      </w:r>
      <w:r>
        <w:t>history</w:t>
      </w:r>
      <w:r>
        <w:rPr>
          <w:spacing w:val="-3"/>
        </w:rPr>
        <w:t xml:space="preserve"> </w:t>
      </w:r>
      <w:r>
        <w:t>assessments</w:t>
      </w:r>
      <w:r>
        <w:rPr>
          <w:spacing w:val="-3"/>
        </w:rPr>
        <w:t xml:space="preserve"> </w:t>
      </w:r>
      <w:r>
        <w:t>at</w:t>
      </w:r>
      <w:r>
        <w:rPr>
          <w:spacing w:val="-3"/>
        </w:rPr>
        <w:t xml:space="preserve"> </w:t>
      </w:r>
      <w:r>
        <w:t>grade</w:t>
      </w:r>
      <w:r>
        <w:rPr>
          <w:spacing w:val="-3"/>
        </w:rPr>
        <w:t xml:space="preserve"> </w:t>
      </w:r>
      <w:r>
        <w:t>8,</w:t>
      </w:r>
      <w:r>
        <w:rPr>
          <w:spacing w:val="-3"/>
        </w:rPr>
        <w:t xml:space="preserve"> </w:t>
      </w:r>
      <w:r>
        <w:t>response</w:t>
      </w:r>
      <w:r>
        <w:rPr>
          <w:spacing w:val="-3"/>
        </w:rPr>
        <w:t xml:space="preserve"> </w:t>
      </w:r>
      <w:r>
        <w:t>rates</w:t>
      </w:r>
      <w:r>
        <w:rPr>
          <w:spacing w:val="-3"/>
        </w:rPr>
        <w:t xml:space="preserve"> </w:t>
      </w:r>
      <w:r>
        <w:t>for</w:t>
      </w:r>
      <w:r>
        <w:rPr>
          <w:spacing w:val="-3"/>
        </w:rPr>
        <w:t xml:space="preserve"> </w:t>
      </w:r>
      <w:r>
        <w:t>private</w:t>
      </w:r>
      <w:r>
        <w:rPr>
          <w:spacing w:val="-3"/>
        </w:rPr>
        <w:t xml:space="preserve"> </w:t>
      </w:r>
      <w:r>
        <w:t>schools</w:t>
      </w:r>
      <w:r>
        <w:rPr>
          <w:spacing w:val="-3"/>
        </w:rPr>
        <w:t xml:space="preserve"> </w:t>
      </w:r>
      <w:r>
        <w:t>fell</w:t>
      </w:r>
      <w:r>
        <w:rPr>
          <w:spacing w:val="-3"/>
        </w:rPr>
        <w:t xml:space="preserve"> </w:t>
      </w:r>
      <w:r>
        <w:t>below</w:t>
      </w:r>
      <w:r>
        <w:rPr>
          <w:spacing w:val="-3"/>
        </w:rPr>
        <w:t xml:space="preserve"> </w:t>
      </w:r>
      <w:r>
        <w:t>the</w:t>
      </w:r>
      <w:r>
        <w:rPr>
          <w:spacing w:val="-3"/>
        </w:rPr>
        <w:t xml:space="preserve"> </w:t>
      </w:r>
      <w:r>
        <w:t>85</w:t>
      </w:r>
      <w:r>
        <w:rPr>
          <w:spacing w:val="-3"/>
        </w:rPr>
        <w:t xml:space="preserve"> </w:t>
      </w:r>
      <w:r>
        <w:t>percent</w:t>
      </w:r>
      <w:r>
        <w:rPr>
          <w:spacing w:val="-3"/>
        </w:rPr>
        <w:t xml:space="preserve"> </w:t>
      </w:r>
      <w:r>
        <w:t>threshold.</w:t>
      </w:r>
      <w:r>
        <w:rPr>
          <w:spacing w:val="-13"/>
        </w:rPr>
        <w:t xml:space="preserve"> </w:t>
      </w:r>
      <w:r>
        <w:t>At</w:t>
      </w:r>
      <w:r>
        <w:rPr>
          <w:spacing w:val="-3"/>
        </w:rPr>
        <w:t xml:space="preserve"> </w:t>
      </w:r>
      <w:r>
        <w:t>the</w:t>
      </w:r>
      <w:r>
        <w:rPr>
          <w:spacing w:val="-3"/>
        </w:rPr>
        <w:t xml:space="preserve"> </w:t>
      </w:r>
      <w:r>
        <w:t>student</w:t>
      </w:r>
      <w:r>
        <w:rPr>
          <w:spacing w:val="-3"/>
        </w:rPr>
        <w:t xml:space="preserve"> </w:t>
      </w:r>
      <w:r>
        <w:t>level,</w:t>
      </w:r>
      <w:r>
        <w:rPr>
          <w:spacing w:val="-3"/>
        </w:rPr>
        <w:t xml:space="preserve"> </w:t>
      </w:r>
      <w:r>
        <w:t>response</w:t>
      </w:r>
      <w:r>
        <w:rPr>
          <w:spacing w:val="-3"/>
        </w:rPr>
        <w:t xml:space="preserve"> </w:t>
      </w:r>
      <w:r>
        <w:t>rates</w:t>
      </w:r>
      <w:r>
        <w:rPr>
          <w:spacing w:val="-3"/>
        </w:rPr>
        <w:t xml:space="preserve"> </w:t>
      </w:r>
      <w:r>
        <w:t>for</w:t>
      </w:r>
      <w:r>
        <w:rPr>
          <w:spacing w:val="-3"/>
        </w:rPr>
        <w:t xml:space="preserve"> </w:t>
      </w:r>
      <w:r>
        <w:t>all reporting</w:t>
      </w:r>
      <w:r>
        <w:rPr>
          <w:spacing w:val="-6"/>
        </w:rPr>
        <w:t xml:space="preserve"> </w:t>
      </w:r>
      <w:r>
        <w:t>groups</w:t>
      </w:r>
      <w:r>
        <w:rPr>
          <w:spacing w:val="-6"/>
        </w:rPr>
        <w:t xml:space="preserve"> </w:t>
      </w:r>
      <w:r>
        <w:t>in</w:t>
      </w:r>
      <w:r>
        <w:rPr>
          <w:spacing w:val="-6"/>
        </w:rPr>
        <w:t xml:space="preserve"> </w:t>
      </w:r>
      <w:r>
        <w:t>this</w:t>
      </w:r>
      <w:r>
        <w:rPr>
          <w:spacing w:val="-6"/>
        </w:rPr>
        <w:t xml:space="preserve"> </w:t>
      </w:r>
      <w:r>
        <w:t>sample</w:t>
      </w:r>
      <w:r>
        <w:rPr>
          <w:spacing w:val="-6"/>
        </w:rPr>
        <w:t xml:space="preserve"> </w:t>
      </w:r>
      <w:r>
        <w:t>were</w:t>
      </w:r>
      <w:r>
        <w:rPr>
          <w:spacing w:val="-6"/>
        </w:rPr>
        <w:t xml:space="preserve"> </w:t>
      </w:r>
      <w:r>
        <w:t>above</w:t>
      </w:r>
      <w:r>
        <w:rPr>
          <w:spacing w:val="-6"/>
        </w:rPr>
        <w:t xml:space="preserve"> </w:t>
      </w:r>
      <w:r>
        <w:t>85</w:t>
      </w:r>
      <w:r>
        <w:rPr>
          <w:spacing w:val="-6"/>
        </w:rPr>
        <w:t xml:space="preserve"> </w:t>
      </w:r>
      <w:r>
        <w:t>percent.</w:t>
      </w:r>
      <w:r>
        <w:rPr>
          <w:spacing w:val="-6"/>
        </w:rPr>
        <w:t xml:space="preserve"> </w:t>
      </w:r>
      <w:r>
        <w:t>Similarly,</w:t>
      </w:r>
      <w:r>
        <w:rPr>
          <w:spacing w:val="-6"/>
        </w:rPr>
        <w:t xml:space="preserve"> </w:t>
      </w:r>
      <w:r>
        <w:t>for</w:t>
      </w:r>
      <w:r>
        <w:rPr>
          <w:spacing w:val="-6"/>
        </w:rPr>
        <w:t xml:space="preserve"> </w:t>
      </w:r>
      <w:r>
        <w:t>the</w:t>
      </w:r>
      <w:r>
        <w:rPr>
          <w:spacing w:val="-6"/>
        </w:rPr>
        <w:t xml:space="preserve"> </w:t>
      </w:r>
      <w:r>
        <w:t>2022</w:t>
      </w:r>
      <w:r>
        <w:rPr>
          <w:spacing w:val="-6"/>
        </w:rPr>
        <w:t xml:space="preserve"> </w:t>
      </w:r>
      <w:r>
        <w:t>mathematics</w:t>
      </w:r>
      <w:r>
        <w:rPr>
          <w:spacing w:val="-6"/>
        </w:rPr>
        <w:t xml:space="preserve"> </w:t>
      </w:r>
      <w:r>
        <w:t>and</w:t>
      </w:r>
      <w:r>
        <w:rPr>
          <w:spacing w:val="-6"/>
        </w:rPr>
        <w:t xml:space="preserve"> </w:t>
      </w:r>
      <w:r>
        <w:t>reading</w:t>
      </w:r>
      <w:r>
        <w:rPr>
          <w:spacing w:val="-6"/>
        </w:rPr>
        <w:t xml:space="preserve"> </w:t>
      </w:r>
      <w:r>
        <w:t>assessments</w:t>
      </w:r>
      <w:r>
        <w:rPr>
          <w:spacing w:val="-6"/>
        </w:rPr>
        <w:t xml:space="preserve"> </w:t>
      </w:r>
      <w:r>
        <w:t>at</w:t>
      </w:r>
      <w:r>
        <w:rPr>
          <w:spacing w:val="-6"/>
        </w:rPr>
        <w:t xml:space="preserve"> </w:t>
      </w:r>
      <w:r>
        <w:t>ages</w:t>
      </w:r>
      <w:r>
        <w:rPr>
          <w:spacing w:val="-6"/>
        </w:rPr>
        <w:t xml:space="preserve"> </w:t>
      </w:r>
      <w:r>
        <w:t>9</w:t>
      </w:r>
      <w:r>
        <w:rPr>
          <w:spacing w:val="-6"/>
        </w:rPr>
        <w:t xml:space="preserve"> </w:t>
      </w:r>
      <w:r>
        <w:t>and</w:t>
      </w:r>
      <w:r>
        <w:rPr>
          <w:spacing w:val="-6"/>
        </w:rPr>
        <w:t xml:space="preserve"> </w:t>
      </w:r>
      <w:r>
        <w:t>13,</w:t>
      </w:r>
      <w:r>
        <w:rPr>
          <w:spacing w:val="-6"/>
        </w:rPr>
        <w:t xml:space="preserve"> </w:t>
      </w:r>
      <w:r>
        <w:t>only</w:t>
      </w:r>
      <w:r>
        <w:rPr>
          <w:spacing w:val="-6"/>
        </w:rPr>
        <w:t xml:space="preserve"> </w:t>
      </w:r>
      <w:r>
        <w:t>response</w:t>
      </w:r>
      <w:r>
        <w:rPr>
          <w:spacing w:val="-6"/>
        </w:rPr>
        <w:t xml:space="preserve"> </w:t>
      </w:r>
      <w:r>
        <w:t>rates</w:t>
      </w:r>
      <w:r>
        <w:rPr>
          <w:spacing w:val="-6"/>
        </w:rPr>
        <w:t xml:space="preserve"> </w:t>
      </w:r>
      <w:r>
        <w:t>for</w:t>
      </w:r>
      <w:r>
        <w:rPr>
          <w:spacing w:val="-6"/>
        </w:rPr>
        <w:t xml:space="preserve"> </w:t>
      </w:r>
      <w:r>
        <w:t>private</w:t>
      </w:r>
      <w:r>
        <w:rPr>
          <w:spacing w:val="-6"/>
        </w:rPr>
        <w:t xml:space="preserve"> </w:t>
      </w:r>
      <w:r>
        <w:t>schools</w:t>
      </w:r>
    </w:p>
    <w:p w:rsidR="003F5784" w14:paraId="4C746734" w14:textId="77777777">
      <w:pPr>
        <w:spacing w:line="232" w:lineRule="auto"/>
        <w:sectPr>
          <w:pgSz w:w="15840" w:h="12240" w:orient="landscape"/>
          <w:pgMar w:top="480" w:right="440" w:bottom="460" w:left="460" w:header="284" w:footer="275" w:gutter="0"/>
          <w:cols w:space="720"/>
        </w:sectPr>
      </w:pPr>
    </w:p>
    <w:p w:rsidR="003F5784" w14:paraId="28A82709" w14:textId="77777777">
      <w:pPr>
        <w:pStyle w:val="BodyText"/>
        <w:spacing w:before="72"/>
        <w:ind w:left="109"/>
      </w:pPr>
      <w:r>
        <w:t>fell</w:t>
      </w:r>
      <w:r>
        <w:rPr>
          <w:spacing w:val="-6"/>
        </w:rPr>
        <w:t xml:space="preserve"> </w:t>
      </w:r>
      <w:r>
        <w:t>below</w:t>
      </w:r>
      <w:r>
        <w:rPr>
          <w:spacing w:val="-6"/>
        </w:rPr>
        <w:t xml:space="preserve"> </w:t>
      </w:r>
      <w:r>
        <w:t>85</w:t>
      </w:r>
      <w:r>
        <w:rPr>
          <w:spacing w:val="-6"/>
        </w:rPr>
        <w:t xml:space="preserve"> </w:t>
      </w:r>
      <w:r>
        <w:t>percent.</w:t>
      </w:r>
      <w:r>
        <w:rPr>
          <w:spacing w:val="-5"/>
        </w:rPr>
        <w:t xml:space="preserve"> </w:t>
      </w:r>
      <w:r>
        <w:t>Response</w:t>
      </w:r>
      <w:r>
        <w:rPr>
          <w:spacing w:val="-6"/>
        </w:rPr>
        <w:t xml:space="preserve"> </w:t>
      </w:r>
      <w:r>
        <w:t>rates</w:t>
      </w:r>
      <w:r>
        <w:rPr>
          <w:spacing w:val="-6"/>
        </w:rPr>
        <w:t xml:space="preserve"> </w:t>
      </w:r>
      <w:r>
        <w:t>for</w:t>
      </w:r>
      <w:r>
        <w:rPr>
          <w:spacing w:val="-6"/>
        </w:rPr>
        <w:t xml:space="preserve"> </w:t>
      </w:r>
      <w:r>
        <w:t>students</w:t>
      </w:r>
      <w:r>
        <w:rPr>
          <w:spacing w:val="-5"/>
        </w:rPr>
        <w:t xml:space="preserve"> </w:t>
      </w:r>
      <w:r>
        <w:t>across</w:t>
      </w:r>
      <w:r>
        <w:rPr>
          <w:spacing w:val="-6"/>
        </w:rPr>
        <w:t xml:space="preserve"> </w:t>
      </w:r>
      <w:r>
        <w:t>all</w:t>
      </w:r>
      <w:r>
        <w:rPr>
          <w:spacing w:val="-6"/>
        </w:rPr>
        <w:t xml:space="preserve"> </w:t>
      </w:r>
      <w:r>
        <w:t>reporting</w:t>
      </w:r>
      <w:r>
        <w:rPr>
          <w:spacing w:val="-6"/>
        </w:rPr>
        <w:t xml:space="preserve"> </w:t>
      </w:r>
      <w:r>
        <w:t>groups</w:t>
      </w:r>
      <w:r>
        <w:rPr>
          <w:spacing w:val="-5"/>
        </w:rPr>
        <w:t xml:space="preserve"> </w:t>
      </w:r>
      <w:r>
        <w:t>in</w:t>
      </w:r>
      <w:r>
        <w:rPr>
          <w:spacing w:val="-6"/>
        </w:rPr>
        <w:t xml:space="preserve"> </w:t>
      </w:r>
      <w:r>
        <w:t>these</w:t>
      </w:r>
      <w:r>
        <w:rPr>
          <w:spacing w:val="-6"/>
        </w:rPr>
        <w:t xml:space="preserve"> </w:t>
      </w:r>
      <w:r>
        <w:t>samples</w:t>
      </w:r>
      <w:r>
        <w:rPr>
          <w:spacing w:val="-6"/>
        </w:rPr>
        <w:t xml:space="preserve"> </w:t>
      </w:r>
      <w:r>
        <w:t>exceeded</w:t>
      </w:r>
      <w:r>
        <w:rPr>
          <w:spacing w:val="-5"/>
        </w:rPr>
        <w:t xml:space="preserve"> </w:t>
      </w:r>
      <w:r>
        <w:t>the</w:t>
      </w:r>
      <w:r>
        <w:rPr>
          <w:spacing w:val="-6"/>
        </w:rPr>
        <w:t xml:space="preserve"> </w:t>
      </w:r>
      <w:r>
        <w:t>85</w:t>
      </w:r>
      <w:r>
        <w:rPr>
          <w:spacing w:val="-6"/>
        </w:rPr>
        <w:t xml:space="preserve"> </w:t>
      </w:r>
      <w:r>
        <w:t>percent</w:t>
      </w:r>
      <w:r>
        <w:rPr>
          <w:spacing w:val="-6"/>
        </w:rPr>
        <w:t xml:space="preserve"> </w:t>
      </w:r>
      <w:r>
        <w:rPr>
          <w:spacing w:val="-2"/>
        </w:rPr>
        <w:t>threshold.</w:t>
      </w:r>
    </w:p>
    <w:p w:rsidR="003F5784" w14:paraId="55EE4262" w14:textId="77777777">
      <w:pPr>
        <w:pStyle w:val="BodyText"/>
        <w:spacing w:before="208" w:line="232" w:lineRule="auto"/>
        <w:ind w:left="109" w:right="117"/>
      </w:pPr>
      <w:r>
        <w:t>The</w:t>
      </w:r>
      <w:r>
        <w:rPr>
          <w:spacing w:val="-7"/>
        </w:rPr>
        <w:t xml:space="preserve"> </w:t>
      </w:r>
      <w:r>
        <w:t>procedures</w:t>
      </w:r>
      <w:r>
        <w:rPr>
          <w:spacing w:val="-7"/>
        </w:rPr>
        <w:t xml:space="preserve"> </w:t>
      </w:r>
      <w:r>
        <w:t>and</w:t>
      </w:r>
      <w:r>
        <w:rPr>
          <w:spacing w:val="-7"/>
        </w:rPr>
        <w:t xml:space="preserve"> </w:t>
      </w:r>
      <w:r>
        <w:t>results</w:t>
      </w:r>
      <w:r>
        <w:rPr>
          <w:spacing w:val="-7"/>
        </w:rPr>
        <w:t xml:space="preserve"> </w:t>
      </w:r>
      <w:r>
        <w:t>from</w:t>
      </w:r>
      <w:r>
        <w:rPr>
          <w:spacing w:val="-7"/>
        </w:rPr>
        <w:t xml:space="preserve"> </w:t>
      </w:r>
      <w:r>
        <w:t>these</w:t>
      </w:r>
      <w:r>
        <w:rPr>
          <w:spacing w:val="-7"/>
        </w:rPr>
        <w:t xml:space="preserve"> </w:t>
      </w:r>
      <w:r>
        <w:t>analyses</w:t>
      </w:r>
      <w:r>
        <w:rPr>
          <w:spacing w:val="-7"/>
        </w:rPr>
        <w:t xml:space="preserve"> </w:t>
      </w:r>
      <w:r>
        <w:t>are</w:t>
      </w:r>
      <w:r>
        <w:rPr>
          <w:spacing w:val="-7"/>
        </w:rPr>
        <w:t xml:space="preserve"> </w:t>
      </w:r>
      <w:r>
        <w:t>summarized</w:t>
      </w:r>
      <w:r>
        <w:rPr>
          <w:spacing w:val="-7"/>
        </w:rPr>
        <w:t xml:space="preserve"> </w:t>
      </w:r>
      <w:r>
        <w:t>briefly</w:t>
      </w:r>
      <w:r>
        <w:rPr>
          <w:spacing w:val="-7"/>
        </w:rPr>
        <w:t xml:space="preserve"> </w:t>
      </w:r>
      <w:r>
        <w:t>below.</w:t>
      </w:r>
      <w:r>
        <w:rPr>
          <w:spacing w:val="-11"/>
        </w:rPr>
        <w:t xml:space="preserve"> </w:t>
      </w:r>
      <w:r>
        <w:t>The</w:t>
      </w:r>
      <w:r>
        <w:rPr>
          <w:spacing w:val="-7"/>
        </w:rPr>
        <w:t xml:space="preserve"> </w:t>
      </w:r>
      <w:r>
        <w:t>analyses</w:t>
      </w:r>
      <w:r>
        <w:rPr>
          <w:spacing w:val="-7"/>
        </w:rPr>
        <w:t xml:space="preserve"> </w:t>
      </w:r>
      <w:r>
        <w:t>conducted</w:t>
      </w:r>
      <w:r>
        <w:rPr>
          <w:spacing w:val="-7"/>
        </w:rPr>
        <w:t xml:space="preserve"> </w:t>
      </w:r>
      <w:r>
        <w:t>consider</w:t>
      </w:r>
      <w:r>
        <w:rPr>
          <w:spacing w:val="-7"/>
        </w:rPr>
        <w:t xml:space="preserve"> </w:t>
      </w:r>
      <w:r>
        <w:t>only</w:t>
      </w:r>
      <w:r>
        <w:rPr>
          <w:spacing w:val="-7"/>
        </w:rPr>
        <w:t xml:space="preserve"> </w:t>
      </w:r>
      <w:r>
        <w:t>certain</w:t>
      </w:r>
      <w:r>
        <w:rPr>
          <w:spacing w:val="-7"/>
        </w:rPr>
        <w:t xml:space="preserve"> </w:t>
      </w:r>
      <w:r>
        <w:t>characteristics</w:t>
      </w:r>
      <w:r>
        <w:rPr>
          <w:spacing w:val="-7"/>
        </w:rPr>
        <w:t xml:space="preserve"> </w:t>
      </w:r>
      <w:r>
        <w:t>of</w:t>
      </w:r>
      <w:r>
        <w:rPr>
          <w:spacing w:val="-7"/>
        </w:rPr>
        <w:t xml:space="preserve"> </w:t>
      </w:r>
      <w:r>
        <w:t>schools</w:t>
      </w:r>
      <w:r>
        <w:rPr>
          <w:spacing w:val="-7"/>
        </w:rPr>
        <w:t xml:space="preserve"> </w:t>
      </w:r>
      <w:r>
        <w:t>and</w:t>
      </w:r>
      <w:r>
        <w:rPr>
          <w:spacing w:val="-7"/>
        </w:rPr>
        <w:t xml:space="preserve"> </w:t>
      </w:r>
      <w:r>
        <w:t>students.</w:t>
      </w:r>
      <w:r>
        <w:rPr>
          <w:spacing w:val="-11"/>
        </w:rPr>
        <w:t xml:space="preserve"> </w:t>
      </w:r>
      <w:r>
        <w:t>They</w:t>
      </w:r>
      <w:r>
        <w:rPr>
          <w:spacing w:val="-7"/>
        </w:rPr>
        <w:t xml:space="preserve"> </w:t>
      </w:r>
      <w:r>
        <w:t>do</w:t>
      </w:r>
      <w:r>
        <w:rPr>
          <w:spacing w:val="-7"/>
        </w:rPr>
        <w:t xml:space="preserve"> </w:t>
      </w:r>
      <w:r>
        <w:t>not directly consider the effects of the nonresponse on student achievement, the primary focus of NAEP.</w:t>
      </w:r>
      <w:r>
        <w:rPr>
          <w:spacing w:val="-4"/>
        </w:rPr>
        <w:t xml:space="preserve"> </w:t>
      </w:r>
      <w:r>
        <w:t>Thus, these analyses cannot be conclusive of either the existence or absence of nonresponse bias for student achievement. For more details on these analyses, please see the full reports listed below:</w:t>
      </w:r>
    </w:p>
    <w:p w:rsidR="003F5784" w14:paraId="307599B2" w14:textId="77777777">
      <w:pPr>
        <w:pStyle w:val="BodyText"/>
        <w:spacing w:before="203" w:line="439" w:lineRule="auto"/>
        <w:ind w:left="109" w:right="8493"/>
      </w:pPr>
      <w:r>
        <w:t>NAEP</w:t>
      </w:r>
      <w:r>
        <w:rPr>
          <w:spacing w:val="-14"/>
        </w:rPr>
        <w:t xml:space="preserve"> </w:t>
      </w:r>
      <w:r>
        <w:t>2022</w:t>
      </w:r>
      <w:r>
        <w:rPr>
          <w:spacing w:val="-9"/>
        </w:rPr>
        <w:t xml:space="preserve"> </w:t>
      </w:r>
      <w:r>
        <w:t>NRBA</w:t>
      </w:r>
      <w:r>
        <w:rPr>
          <w:spacing w:val="-14"/>
        </w:rPr>
        <w:t xml:space="preserve"> </w:t>
      </w:r>
      <w:r>
        <w:t>Report</w:t>
      </w:r>
      <w:r>
        <w:rPr>
          <w:spacing w:val="-6"/>
        </w:rPr>
        <w:t xml:space="preserve"> </w:t>
      </w:r>
      <w:r>
        <w:t>for</w:t>
      </w:r>
      <w:r>
        <w:rPr>
          <w:spacing w:val="-7"/>
        </w:rPr>
        <w:t xml:space="preserve"> </w:t>
      </w:r>
      <w:r>
        <w:t>Math</w:t>
      </w:r>
      <w:r>
        <w:rPr>
          <w:spacing w:val="-7"/>
        </w:rPr>
        <w:t xml:space="preserve"> </w:t>
      </w:r>
      <w:r>
        <w:t>and</w:t>
      </w:r>
      <w:r>
        <w:rPr>
          <w:spacing w:val="-7"/>
        </w:rPr>
        <w:t xml:space="preserve"> </w:t>
      </w:r>
      <w:r>
        <w:t>Reading</w:t>
      </w:r>
      <w:r>
        <w:rPr>
          <w:spacing w:val="-7"/>
        </w:rPr>
        <w:t xml:space="preserve"> </w:t>
      </w:r>
      <w:r>
        <w:t>at</w:t>
      </w:r>
      <w:r>
        <w:rPr>
          <w:spacing w:val="-7"/>
        </w:rPr>
        <w:t xml:space="preserve"> </w:t>
      </w:r>
      <w:r>
        <w:t>Grades</w:t>
      </w:r>
      <w:r>
        <w:rPr>
          <w:spacing w:val="-7"/>
        </w:rPr>
        <w:t xml:space="preserve"> </w:t>
      </w:r>
      <w:r>
        <w:t>4</w:t>
      </w:r>
      <w:r>
        <w:rPr>
          <w:spacing w:val="-7"/>
        </w:rPr>
        <w:t xml:space="preserve"> </w:t>
      </w:r>
      <w:r>
        <w:t>and</w:t>
      </w:r>
      <w:r>
        <w:rPr>
          <w:spacing w:val="-7"/>
        </w:rPr>
        <w:t xml:space="preserve"> </w:t>
      </w:r>
      <w:r>
        <w:t>8</w:t>
      </w:r>
      <w:r>
        <w:rPr>
          <w:spacing w:val="-8"/>
        </w:rPr>
        <w:t xml:space="preserve"> </w:t>
      </w:r>
      <w:r>
        <w:rPr>
          <w:noProof/>
          <w:spacing w:val="-2"/>
          <w:position w:val="-2"/>
        </w:rPr>
        <w:drawing>
          <wp:inline distT="0" distB="0" distL="0" distR="0">
            <wp:extent cx="132412" cy="132412"/>
            <wp:effectExtent l="0" t="0" r="0" b="0"/>
            <wp:docPr id="725" name="Image 725" descr="PDF File"/>
            <wp:cNvGraphicFramePr/>
            <a:graphic xmlns:a="http://schemas.openxmlformats.org/drawingml/2006/main">
              <a:graphicData uri="http://schemas.openxmlformats.org/drawingml/2006/picture">
                <pic:pic xmlns:pic="http://schemas.openxmlformats.org/drawingml/2006/picture">
                  <pic:nvPicPr>
                    <pic:cNvPr id="725" name="Image 725" descr="PDF File"/>
                    <pic:cNvPicPr/>
                  </pic:nvPicPr>
                  <pic:blipFill>
                    <a:blip xmlns:r="http://schemas.openxmlformats.org/officeDocument/2006/relationships" r:embed="rId568" cstate="print"/>
                    <a:stretch>
                      <a:fillRect/>
                    </a:stretch>
                  </pic:blipFill>
                  <pic:spPr>
                    <a:xfrm>
                      <a:off x="0" y="0"/>
                      <a:ext cx="132412" cy="132412"/>
                    </a:xfrm>
                    <a:prstGeom prst="rect">
                      <a:avLst/>
                    </a:prstGeom>
                  </pic:spPr>
                </pic:pic>
              </a:graphicData>
            </a:graphic>
          </wp:inline>
        </w:drawing>
      </w:r>
      <w:r>
        <w:rPr>
          <w:spacing w:val="-2"/>
          <w:position w:val="-2"/>
        </w:rPr>
        <w:t xml:space="preserve"> </w:t>
      </w:r>
      <w:r>
        <w:t>NAEP</w:t>
      </w:r>
      <w:r>
        <w:rPr>
          <w:spacing w:val="-4"/>
        </w:rPr>
        <w:t xml:space="preserve"> </w:t>
      </w:r>
      <w:r>
        <w:t>2022 NRBA</w:t>
      </w:r>
      <w:r>
        <w:rPr>
          <w:spacing w:val="-7"/>
        </w:rPr>
        <w:t xml:space="preserve"> </w:t>
      </w:r>
      <w:r>
        <w:t xml:space="preserve">Report for Civics and U.S. History at Grade 8 </w:t>
      </w:r>
      <w:r>
        <w:rPr>
          <w:noProof/>
          <w:spacing w:val="-1"/>
          <w:position w:val="-2"/>
        </w:rPr>
        <w:drawing>
          <wp:inline distT="0" distB="0" distL="0" distR="0">
            <wp:extent cx="132412" cy="132412"/>
            <wp:effectExtent l="0" t="0" r="0" b="0"/>
            <wp:docPr id="726" name="Image 726" descr="PDF File"/>
            <wp:cNvGraphicFramePr/>
            <a:graphic xmlns:a="http://schemas.openxmlformats.org/drawingml/2006/main">
              <a:graphicData uri="http://schemas.openxmlformats.org/drawingml/2006/picture">
                <pic:pic xmlns:pic="http://schemas.openxmlformats.org/drawingml/2006/picture">
                  <pic:nvPicPr>
                    <pic:cNvPr id="726" name="Image 726" descr="PDF File"/>
                    <pic:cNvPicPr/>
                  </pic:nvPicPr>
                  <pic:blipFill>
                    <a:blip xmlns:r="http://schemas.openxmlformats.org/officeDocument/2006/relationships" r:embed="rId568" cstate="print"/>
                    <a:stretch>
                      <a:fillRect/>
                    </a:stretch>
                  </pic:blipFill>
                  <pic:spPr>
                    <a:xfrm>
                      <a:off x="0" y="0"/>
                      <a:ext cx="132412" cy="132412"/>
                    </a:xfrm>
                    <a:prstGeom prst="rect">
                      <a:avLst/>
                    </a:prstGeom>
                  </pic:spPr>
                </pic:pic>
              </a:graphicData>
            </a:graphic>
          </wp:inline>
        </w:drawing>
      </w:r>
      <w:r>
        <w:rPr>
          <w:spacing w:val="-1"/>
          <w:position w:val="-2"/>
        </w:rPr>
        <w:t xml:space="preserve"> </w:t>
      </w:r>
      <w:r>
        <w:t>NAEP 2022 NRBA</w:t>
      </w:r>
      <w:r>
        <w:rPr>
          <w:spacing w:val="-2"/>
        </w:rPr>
        <w:t xml:space="preserve"> </w:t>
      </w:r>
      <w:r>
        <w:t>Report for LTT at</w:t>
      </w:r>
      <w:r>
        <w:rPr>
          <w:spacing w:val="-2"/>
        </w:rPr>
        <w:t xml:space="preserve"> </w:t>
      </w:r>
      <w:r>
        <w:t xml:space="preserve">Age 9 </w:t>
      </w:r>
      <w:r>
        <w:rPr>
          <w:noProof/>
          <w:spacing w:val="1"/>
          <w:position w:val="-2"/>
        </w:rPr>
        <w:drawing>
          <wp:inline distT="0" distB="0" distL="0" distR="0">
            <wp:extent cx="132412" cy="132412"/>
            <wp:effectExtent l="0" t="0" r="0" b="0"/>
            <wp:docPr id="727" name="Image 727" descr="PDF File"/>
            <wp:cNvGraphicFramePr/>
            <a:graphic xmlns:a="http://schemas.openxmlformats.org/drawingml/2006/main">
              <a:graphicData uri="http://schemas.openxmlformats.org/drawingml/2006/picture">
                <pic:pic xmlns:pic="http://schemas.openxmlformats.org/drawingml/2006/picture">
                  <pic:nvPicPr>
                    <pic:cNvPr id="727" name="Image 727" descr="PDF File"/>
                    <pic:cNvPicPr/>
                  </pic:nvPicPr>
                  <pic:blipFill>
                    <a:blip xmlns:r="http://schemas.openxmlformats.org/officeDocument/2006/relationships" r:embed="rId568" cstate="print"/>
                    <a:stretch>
                      <a:fillRect/>
                    </a:stretch>
                  </pic:blipFill>
                  <pic:spPr>
                    <a:xfrm>
                      <a:off x="0" y="0"/>
                      <a:ext cx="132412" cy="132412"/>
                    </a:xfrm>
                    <a:prstGeom prst="rect">
                      <a:avLst/>
                    </a:prstGeom>
                  </pic:spPr>
                </pic:pic>
              </a:graphicData>
            </a:graphic>
          </wp:inline>
        </w:drawing>
      </w:r>
    </w:p>
    <w:p w:rsidR="003F5784" w14:paraId="2A961151" w14:textId="77777777">
      <w:pPr>
        <w:pStyle w:val="BodyText"/>
        <w:spacing w:before="4"/>
        <w:ind w:left="109"/>
      </w:pPr>
      <w:r>
        <w:t>NAEP</w:t>
      </w:r>
      <w:r>
        <w:rPr>
          <w:spacing w:val="-14"/>
        </w:rPr>
        <w:t xml:space="preserve"> </w:t>
      </w:r>
      <w:r>
        <w:t>2022</w:t>
      </w:r>
      <w:r>
        <w:rPr>
          <w:spacing w:val="-10"/>
        </w:rPr>
        <w:t xml:space="preserve"> </w:t>
      </w:r>
      <w:r>
        <w:t>NRBA</w:t>
      </w:r>
      <w:r>
        <w:rPr>
          <w:spacing w:val="-13"/>
        </w:rPr>
        <w:t xml:space="preserve"> </w:t>
      </w:r>
      <w:r>
        <w:t>Report</w:t>
      </w:r>
      <w:r>
        <w:rPr>
          <w:spacing w:val="-6"/>
        </w:rPr>
        <w:t xml:space="preserve"> </w:t>
      </w:r>
      <w:r>
        <w:t>for</w:t>
      </w:r>
      <w:r>
        <w:rPr>
          <w:spacing w:val="-6"/>
        </w:rPr>
        <w:t xml:space="preserve"> </w:t>
      </w:r>
      <w:r>
        <w:t>LTT</w:t>
      </w:r>
      <w:r>
        <w:rPr>
          <w:spacing w:val="-10"/>
        </w:rPr>
        <w:t xml:space="preserve"> </w:t>
      </w:r>
      <w:r>
        <w:t>at</w:t>
      </w:r>
      <w:r>
        <w:rPr>
          <w:spacing w:val="-14"/>
        </w:rPr>
        <w:t xml:space="preserve"> </w:t>
      </w:r>
      <w:r>
        <w:t>Age</w:t>
      </w:r>
      <w:r>
        <w:rPr>
          <w:spacing w:val="-5"/>
        </w:rPr>
        <w:t xml:space="preserve"> </w:t>
      </w:r>
      <w:r>
        <w:t>13</w:t>
      </w:r>
      <w:r>
        <w:rPr>
          <w:spacing w:val="-4"/>
        </w:rPr>
        <w:t xml:space="preserve"> </w:t>
      </w:r>
      <w:r>
        <w:rPr>
          <w:noProof/>
          <w:spacing w:val="1"/>
          <w:position w:val="-2"/>
        </w:rPr>
        <w:drawing>
          <wp:inline distT="0" distB="0" distL="0" distR="0">
            <wp:extent cx="132412" cy="132412"/>
            <wp:effectExtent l="0" t="0" r="0" b="0"/>
            <wp:docPr id="728" name="Image 728" descr="PDF File"/>
            <wp:cNvGraphicFramePr/>
            <a:graphic xmlns:a="http://schemas.openxmlformats.org/drawingml/2006/main">
              <a:graphicData uri="http://schemas.openxmlformats.org/drawingml/2006/picture">
                <pic:pic xmlns:pic="http://schemas.openxmlformats.org/drawingml/2006/picture">
                  <pic:nvPicPr>
                    <pic:cNvPr id="728" name="Image 728" descr="PDF File"/>
                    <pic:cNvPicPr/>
                  </pic:nvPicPr>
                  <pic:blipFill>
                    <a:blip xmlns:r="http://schemas.openxmlformats.org/officeDocument/2006/relationships" r:embed="rId568" cstate="print"/>
                    <a:stretch>
                      <a:fillRect/>
                    </a:stretch>
                  </pic:blipFill>
                  <pic:spPr>
                    <a:xfrm>
                      <a:off x="0" y="0"/>
                      <a:ext cx="132412" cy="132412"/>
                    </a:xfrm>
                    <a:prstGeom prst="rect">
                      <a:avLst/>
                    </a:prstGeom>
                  </pic:spPr>
                </pic:pic>
              </a:graphicData>
            </a:graphic>
          </wp:inline>
        </w:drawing>
      </w:r>
    </w:p>
    <w:p w:rsidR="003F5784" w14:paraId="5A23071F" w14:textId="77777777">
      <w:pPr>
        <w:pStyle w:val="BodyText"/>
        <w:spacing w:before="202"/>
        <w:ind w:left="109"/>
      </w:pPr>
      <w:r>
        <w:t>NAEP</w:t>
      </w:r>
      <w:r>
        <w:rPr>
          <w:spacing w:val="-13"/>
        </w:rPr>
        <w:t xml:space="preserve"> </w:t>
      </w:r>
      <w:r>
        <w:t>2022</w:t>
      </w:r>
      <w:r>
        <w:rPr>
          <w:spacing w:val="-4"/>
        </w:rPr>
        <w:t xml:space="preserve"> </w:t>
      </w:r>
      <w:r>
        <w:t>NRBA</w:t>
      </w:r>
      <w:r>
        <w:rPr>
          <w:spacing w:val="-14"/>
        </w:rPr>
        <w:t xml:space="preserve"> </w:t>
      </w:r>
      <w:r>
        <w:t>Report</w:t>
      </w:r>
      <w:r>
        <w:rPr>
          <w:spacing w:val="-3"/>
        </w:rPr>
        <w:t xml:space="preserve"> </w:t>
      </w:r>
      <w:r>
        <w:t>for</w:t>
      </w:r>
      <w:r>
        <w:rPr>
          <w:spacing w:val="-4"/>
        </w:rPr>
        <w:t xml:space="preserve"> </w:t>
      </w:r>
      <w:r>
        <w:t>Math</w:t>
      </w:r>
      <w:r>
        <w:rPr>
          <w:spacing w:val="-4"/>
        </w:rPr>
        <w:t xml:space="preserve"> </w:t>
      </w:r>
      <w:r>
        <w:t>and</w:t>
      </w:r>
      <w:r>
        <w:rPr>
          <w:spacing w:val="-4"/>
        </w:rPr>
        <w:t xml:space="preserve"> </w:t>
      </w:r>
      <w:r>
        <w:t>Reading</w:t>
      </w:r>
      <w:r>
        <w:rPr>
          <w:spacing w:val="-4"/>
        </w:rPr>
        <w:t xml:space="preserve"> </w:t>
      </w:r>
      <w:r>
        <w:t>at</w:t>
      </w:r>
      <w:r>
        <w:rPr>
          <w:spacing w:val="-4"/>
        </w:rPr>
        <w:t xml:space="preserve"> </w:t>
      </w:r>
      <w:r>
        <w:t>Grades</w:t>
      </w:r>
      <w:r>
        <w:rPr>
          <w:spacing w:val="-4"/>
        </w:rPr>
        <w:t xml:space="preserve"> </w:t>
      </w:r>
      <w:r>
        <w:t>4</w:t>
      </w:r>
      <w:r>
        <w:rPr>
          <w:spacing w:val="-4"/>
        </w:rPr>
        <w:t xml:space="preserve"> </w:t>
      </w:r>
      <w:r>
        <w:t>and</w:t>
      </w:r>
      <w:r>
        <w:rPr>
          <w:spacing w:val="-4"/>
        </w:rPr>
        <w:t xml:space="preserve"> </w:t>
      </w:r>
      <w:r>
        <w:t>8</w:t>
      </w:r>
      <w:r>
        <w:rPr>
          <w:spacing w:val="-4"/>
        </w:rPr>
        <w:t xml:space="preserve"> </w:t>
      </w:r>
      <w:r>
        <w:t>for</w:t>
      </w:r>
      <w:r>
        <w:rPr>
          <w:spacing w:val="-4"/>
        </w:rPr>
        <w:t xml:space="preserve"> </w:t>
      </w:r>
      <w:r>
        <w:t>Catholic</w:t>
      </w:r>
      <w:r>
        <w:rPr>
          <w:spacing w:val="-4"/>
        </w:rPr>
        <w:t xml:space="preserve"> </w:t>
      </w:r>
      <w:r>
        <w:t xml:space="preserve">Schools </w:t>
      </w:r>
      <w:r>
        <w:rPr>
          <w:noProof/>
          <w:spacing w:val="4"/>
          <w:position w:val="-2"/>
        </w:rPr>
        <w:drawing>
          <wp:inline distT="0" distB="0" distL="0" distR="0">
            <wp:extent cx="132412" cy="132412"/>
            <wp:effectExtent l="0" t="0" r="0" b="0"/>
            <wp:docPr id="729" name="Image 729" descr="PDF File"/>
            <wp:cNvGraphicFramePr/>
            <a:graphic xmlns:a="http://schemas.openxmlformats.org/drawingml/2006/main">
              <a:graphicData uri="http://schemas.openxmlformats.org/drawingml/2006/picture">
                <pic:pic xmlns:pic="http://schemas.openxmlformats.org/drawingml/2006/picture">
                  <pic:nvPicPr>
                    <pic:cNvPr id="729" name="Image 729" descr="PDF File"/>
                    <pic:cNvPicPr/>
                  </pic:nvPicPr>
                  <pic:blipFill>
                    <a:blip xmlns:r="http://schemas.openxmlformats.org/officeDocument/2006/relationships" r:embed="rId568" cstate="print"/>
                    <a:stretch>
                      <a:fillRect/>
                    </a:stretch>
                  </pic:blipFill>
                  <pic:spPr>
                    <a:xfrm>
                      <a:off x="0" y="0"/>
                      <a:ext cx="132412" cy="132412"/>
                    </a:xfrm>
                    <a:prstGeom prst="rect">
                      <a:avLst/>
                    </a:prstGeom>
                  </pic:spPr>
                </pic:pic>
              </a:graphicData>
            </a:graphic>
          </wp:inline>
        </w:drawing>
      </w:r>
    </w:p>
    <w:p w:rsidR="003F5784" w14:paraId="0CD52108" w14:textId="77777777">
      <w:pPr>
        <w:pStyle w:val="Heading2"/>
        <w:spacing w:before="201"/>
        <w:ind w:left="109"/>
      </w:pPr>
      <w:r>
        <w:rPr>
          <w:spacing w:val="-2"/>
        </w:rPr>
        <w:t>School-level</w:t>
      </w:r>
      <w:r>
        <w:rPr>
          <w:spacing w:val="7"/>
        </w:rPr>
        <w:t xml:space="preserve"> </w:t>
      </w:r>
      <w:r>
        <w:rPr>
          <w:spacing w:val="-2"/>
        </w:rPr>
        <w:t>Nonresponse</w:t>
      </w:r>
      <w:r>
        <w:rPr>
          <w:spacing w:val="8"/>
        </w:rPr>
        <w:t xml:space="preserve"> </w:t>
      </w:r>
      <w:r>
        <w:rPr>
          <w:spacing w:val="-2"/>
        </w:rPr>
        <w:t>Bias</w:t>
      </w:r>
      <w:r>
        <w:rPr>
          <w:spacing w:val="-6"/>
        </w:rPr>
        <w:t xml:space="preserve"> </w:t>
      </w:r>
      <w:r>
        <w:rPr>
          <w:spacing w:val="-2"/>
        </w:rPr>
        <w:t>Analyses</w:t>
      </w:r>
    </w:p>
    <w:p w:rsidR="003F5784" w14:paraId="6760F18B" w14:textId="77777777">
      <w:pPr>
        <w:pStyle w:val="BodyText"/>
        <w:spacing w:before="208" w:line="232" w:lineRule="auto"/>
        <w:ind w:left="109" w:right="179"/>
      </w:pPr>
      <w:r>
        <w:t>Each school-level analysis is typically conducted in three parts.</w:t>
      </w:r>
      <w:r>
        <w:rPr>
          <w:spacing w:val="-3"/>
        </w:rPr>
        <w:t xml:space="preserve"> </w:t>
      </w:r>
      <w:r>
        <w:t>The first part of the analysis looks for potential nonresponse bias that was introduced through school nonresponse.</w:t>
      </w:r>
      <w:r>
        <w:rPr>
          <w:spacing w:val="-3"/>
        </w:rPr>
        <w:t xml:space="preserve"> </w:t>
      </w:r>
      <w:r>
        <w:t>The second part examines the remaining potential for nonresponse bias after accounting for the effects of substitution.</w:t>
      </w:r>
      <w:r>
        <w:rPr>
          <w:spacing w:val="-3"/>
        </w:rPr>
        <w:t xml:space="preserve"> </w:t>
      </w:r>
      <w:r>
        <w:t>The third part examines the remaining potential</w:t>
      </w:r>
      <w:r>
        <w:rPr>
          <w:spacing w:val="-7"/>
        </w:rPr>
        <w:t xml:space="preserve"> </w:t>
      </w:r>
      <w:r>
        <w:t>for</w:t>
      </w:r>
      <w:r>
        <w:rPr>
          <w:spacing w:val="-7"/>
        </w:rPr>
        <w:t xml:space="preserve"> </w:t>
      </w:r>
      <w:r>
        <w:t>nonresponse</w:t>
      </w:r>
      <w:r>
        <w:rPr>
          <w:spacing w:val="-7"/>
        </w:rPr>
        <w:t xml:space="preserve"> </w:t>
      </w:r>
      <w:r>
        <w:t>bias</w:t>
      </w:r>
      <w:r>
        <w:rPr>
          <w:spacing w:val="-7"/>
        </w:rPr>
        <w:t xml:space="preserve"> </w:t>
      </w:r>
      <w:r>
        <w:t>after</w:t>
      </w:r>
      <w:r>
        <w:rPr>
          <w:spacing w:val="-7"/>
        </w:rPr>
        <w:t xml:space="preserve"> </w:t>
      </w:r>
      <w:r>
        <w:t>accounting</w:t>
      </w:r>
      <w:r>
        <w:rPr>
          <w:spacing w:val="-7"/>
        </w:rPr>
        <w:t xml:space="preserve"> </w:t>
      </w:r>
      <w:r>
        <w:t>for</w:t>
      </w:r>
      <w:r>
        <w:rPr>
          <w:spacing w:val="-7"/>
        </w:rPr>
        <w:t xml:space="preserve"> </w:t>
      </w:r>
      <w:r>
        <w:t>the</w:t>
      </w:r>
      <w:r>
        <w:rPr>
          <w:spacing w:val="-7"/>
        </w:rPr>
        <w:t xml:space="preserve"> </w:t>
      </w:r>
      <w:r>
        <w:t>effects</w:t>
      </w:r>
      <w:r>
        <w:rPr>
          <w:spacing w:val="-7"/>
        </w:rPr>
        <w:t xml:space="preserve"> </w:t>
      </w:r>
      <w:r>
        <w:t>of</w:t>
      </w:r>
      <w:r>
        <w:rPr>
          <w:spacing w:val="-7"/>
        </w:rPr>
        <w:t xml:space="preserve"> </w:t>
      </w:r>
      <w:r>
        <w:t>both</w:t>
      </w:r>
      <w:r>
        <w:rPr>
          <w:spacing w:val="-7"/>
        </w:rPr>
        <w:t xml:space="preserve"> </w:t>
      </w:r>
      <w:r>
        <w:t>school</w:t>
      </w:r>
      <w:r>
        <w:rPr>
          <w:spacing w:val="-7"/>
        </w:rPr>
        <w:t xml:space="preserve"> </w:t>
      </w:r>
      <w:r>
        <w:t>substitution</w:t>
      </w:r>
      <w:r>
        <w:rPr>
          <w:spacing w:val="-7"/>
        </w:rPr>
        <w:t xml:space="preserve"> </w:t>
      </w:r>
      <w:r>
        <w:t>and</w:t>
      </w:r>
      <w:r>
        <w:rPr>
          <w:spacing w:val="-7"/>
        </w:rPr>
        <w:t xml:space="preserve"> </w:t>
      </w:r>
      <w:r>
        <w:t>school-level</w:t>
      </w:r>
      <w:r>
        <w:rPr>
          <w:spacing w:val="-7"/>
        </w:rPr>
        <w:t xml:space="preserve"> </w:t>
      </w:r>
      <w:r>
        <w:t>nonresponse</w:t>
      </w:r>
      <w:r>
        <w:rPr>
          <w:spacing w:val="-7"/>
        </w:rPr>
        <w:t xml:space="preserve"> </w:t>
      </w:r>
      <w:r>
        <w:t>weight</w:t>
      </w:r>
      <w:r>
        <w:rPr>
          <w:spacing w:val="-7"/>
        </w:rPr>
        <w:t xml:space="preserve"> </w:t>
      </w:r>
      <w:r>
        <w:t>adjustments.</w:t>
      </w:r>
      <w:r>
        <w:rPr>
          <w:spacing w:val="-11"/>
        </w:rPr>
        <w:t xml:space="preserve"> </w:t>
      </w:r>
      <w:r>
        <w:t>The</w:t>
      </w:r>
      <w:r>
        <w:rPr>
          <w:spacing w:val="-7"/>
        </w:rPr>
        <w:t xml:space="preserve"> </w:t>
      </w:r>
      <w:r>
        <w:t>characteristics</w:t>
      </w:r>
      <w:r>
        <w:rPr>
          <w:spacing w:val="-7"/>
        </w:rPr>
        <w:t xml:space="preserve"> </w:t>
      </w:r>
      <w:r>
        <w:t>examined</w:t>
      </w:r>
      <w:r>
        <w:rPr>
          <w:spacing w:val="-7"/>
        </w:rPr>
        <w:t xml:space="preserve"> </w:t>
      </w:r>
      <w:r>
        <w:t>were census region, private school reporting group (Catholic/non-Catholic), urban-centric locale, school grade size category, and race/ethnicity percentages. In addition, two measures of the mean size of enrollment in the respective grades were considered: one is the mean grade enrollment size, i.e., mean size of school attended by an average student, which is estimated using the enrollment-size-adjusted school weight; and the other is mean-estimated grade enrollment, which is estimated using the school weight without the enrollment size adjustment. For each of the three samples, the NRBA</w:t>
      </w:r>
      <w:r>
        <w:rPr>
          <w:spacing w:val="-8"/>
        </w:rPr>
        <w:t xml:space="preserve"> </w:t>
      </w:r>
      <w:r>
        <w:t>results are summarized below.</w:t>
      </w:r>
    </w:p>
    <w:p w:rsidR="003F5784" w14:paraId="0D1F3FD6" w14:textId="77777777">
      <w:pPr>
        <w:pStyle w:val="Heading2"/>
        <w:spacing w:before="205"/>
        <w:ind w:left="109"/>
      </w:pPr>
      <w:r>
        <w:t>Mathematics</w:t>
      </w:r>
      <w:r>
        <w:rPr>
          <w:spacing w:val="-7"/>
        </w:rPr>
        <w:t xml:space="preserve"> </w:t>
      </w:r>
      <w:r>
        <w:t>and</w:t>
      </w:r>
      <w:r>
        <w:rPr>
          <w:spacing w:val="-6"/>
        </w:rPr>
        <w:t xml:space="preserve"> </w:t>
      </w:r>
      <w:r>
        <w:t>Reading</w:t>
      </w:r>
      <w:r>
        <w:rPr>
          <w:spacing w:val="-6"/>
        </w:rPr>
        <w:t xml:space="preserve"> </w:t>
      </w:r>
      <w:r>
        <w:t>for</w:t>
      </w:r>
      <w:r>
        <w:rPr>
          <w:spacing w:val="-10"/>
        </w:rPr>
        <w:t xml:space="preserve"> </w:t>
      </w:r>
      <w:r>
        <w:t>Private</w:t>
      </w:r>
      <w:r>
        <w:rPr>
          <w:spacing w:val="-6"/>
        </w:rPr>
        <w:t xml:space="preserve"> </w:t>
      </w:r>
      <w:r>
        <w:t>Schools</w:t>
      </w:r>
      <w:r>
        <w:rPr>
          <w:spacing w:val="-6"/>
        </w:rPr>
        <w:t xml:space="preserve"> </w:t>
      </w:r>
      <w:r>
        <w:t>at</w:t>
      </w:r>
      <w:r>
        <w:rPr>
          <w:spacing w:val="-6"/>
        </w:rPr>
        <w:t xml:space="preserve"> </w:t>
      </w:r>
      <w:r>
        <w:t>Grades</w:t>
      </w:r>
      <w:r>
        <w:rPr>
          <w:spacing w:val="-6"/>
        </w:rPr>
        <w:t xml:space="preserve"> </w:t>
      </w:r>
      <w:r>
        <w:t>4</w:t>
      </w:r>
      <w:r>
        <w:rPr>
          <w:spacing w:val="-7"/>
        </w:rPr>
        <w:t xml:space="preserve"> </w:t>
      </w:r>
      <w:r>
        <w:t>and</w:t>
      </w:r>
      <w:r>
        <w:rPr>
          <w:spacing w:val="-6"/>
        </w:rPr>
        <w:t xml:space="preserve"> </w:t>
      </w:r>
      <w:r>
        <w:rPr>
          <w:spacing w:val="-10"/>
        </w:rPr>
        <w:t>8</w:t>
      </w:r>
    </w:p>
    <w:p w:rsidR="003F5784" w14:paraId="02E09C29" w14:textId="77777777">
      <w:pPr>
        <w:pStyle w:val="BodyText"/>
        <w:spacing w:before="207" w:line="232" w:lineRule="auto"/>
        <w:ind w:left="109"/>
      </w:pPr>
      <w:r>
        <w:t>NRBA</w:t>
      </w:r>
      <w:r>
        <w:rPr>
          <w:spacing w:val="-10"/>
        </w:rPr>
        <w:t xml:space="preserve"> </w:t>
      </w:r>
      <w:r>
        <w:t>showed that substitution and nonresponse adjustments decreased the number of variables with significant differences.</w:t>
      </w:r>
      <w:r>
        <w:rPr>
          <w:spacing w:val="-10"/>
        </w:rPr>
        <w:t xml:space="preserve"> </w:t>
      </w:r>
      <w:r>
        <w:t>As with prior years, nonresponse adjustments decreased</w:t>
      </w:r>
      <w:r>
        <w:rPr>
          <w:spacing w:val="-7"/>
        </w:rPr>
        <w:t xml:space="preserve"> </w:t>
      </w:r>
      <w:r>
        <w:t>nonresponse</w:t>
      </w:r>
      <w:r>
        <w:rPr>
          <w:spacing w:val="-7"/>
        </w:rPr>
        <w:t xml:space="preserve"> </w:t>
      </w:r>
      <w:r>
        <w:t>bias</w:t>
      </w:r>
      <w:r>
        <w:rPr>
          <w:spacing w:val="-7"/>
        </w:rPr>
        <w:t xml:space="preserve"> </w:t>
      </w:r>
      <w:r>
        <w:t>in</w:t>
      </w:r>
      <w:r>
        <w:rPr>
          <w:spacing w:val="-7"/>
        </w:rPr>
        <w:t xml:space="preserve"> </w:t>
      </w:r>
      <w:r>
        <w:t>each</w:t>
      </w:r>
      <w:r>
        <w:rPr>
          <w:spacing w:val="-7"/>
        </w:rPr>
        <w:t xml:space="preserve"> </w:t>
      </w:r>
      <w:r>
        <w:t>sample,</w:t>
      </w:r>
      <w:r>
        <w:rPr>
          <w:spacing w:val="-7"/>
        </w:rPr>
        <w:t xml:space="preserve"> </w:t>
      </w:r>
      <w:r>
        <w:t>because</w:t>
      </w:r>
      <w:r>
        <w:rPr>
          <w:spacing w:val="-7"/>
        </w:rPr>
        <w:t xml:space="preserve"> </w:t>
      </w:r>
      <w:r>
        <w:t>the</w:t>
      </w:r>
      <w:r>
        <w:rPr>
          <w:spacing w:val="-7"/>
        </w:rPr>
        <w:t xml:space="preserve"> </w:t>
      </w:r>
      <w:r>
        <w:t>key</w:t>
      </w:r>
      <w:r>
        <w:rPr>
          <w:spacing w:val="-7"/>
        </w:rPr>
        <w:t xml:space="preserve"> </w:t>
      </w:r>
      <w:r>
        <w:t>variable</w:t>
      </w:r>
      <w:r>
        <w:rPr>
          <w:spacing w:val="-7"/>
        </w:rPr>
        <w:t xml:space="preserve"> </w:t>
      </w:r>
      <w:r>
        <w:t>"private</w:t>
      </w:r>
      <w:r>
        <w:rPr>
          <w:spacing w:val="-7"/>
        </w:rPr>
        <w:t xml:space="preserve"> </w:t>
      </w:r>
      <w:r>
        <w:t>school</w:t>
      </w:r>
      <w:r>
        <w:rPr>
          <w:spacing w:val="-7"/>
        </w:rPr>
        <w:t xml:space="preserve"> </w:t>
      </w:r>
      <w:r>
        <w:t>reporting</w:t>
      </w:r>
      <w:r>
        <w:rPr>
          <w:spacing w:val="-7"/>
        </w:rPr>
        <w:t xml:space="preserve"> </w:t>
      </w:r>
      <w:r>
        <w:t>group"</w:t>
      </w:r>
      <w:r>
        <w:rPr>
          <w:spacing w:val="-7"/>
        </w:rPr>
        <w:t xml:space="preserve"> </w:t>
      </w:r>
      <w:r>
        <w:t>in</w:t>
      </w:r>
      <w:r>
        <w:rPr>
          <w:spacing w:val="-7"/>
        </w:rPr>
        <w:t xml:space="preserve"> </w:t>
      </w:r>
      <w:r>
        <w:t>each</w:t>
      </w:r>
      <w:r>
        <w:rPr>
          <w:spacing w:val="-7"/>
        </w:rPr>
        <w:t xml:space="preserve"> </w:t>
      </w:r>
      <w:r>
        <w:t>sample</w:t>
      </w:r>
      <w:r>
        <w:rPr>
          <w:spacing w:val="-7"/>
        </w:rPr>
        <w:t xml:space="preserve"> </w:t>
      </w:r>
      <w:r>
        <w:t>became</w:t>
      </w:r>
      <w:r>
        <w:rPr>
          <w:spacing w:val="-7"/>
        </w:rPr>
        <w:t xml:space="preserve"> </w:t>
      </w:r>
      <w:r>
        <w:t>non-significant</w:t>
      </w:r>
      <w:r>
        <w:rPr>
          <w:spacing w:val="-7"/>
        </w:rPr>
        <w:t xml:space="preserve"> </w:t>
      </w:r>
      <w:r>
        <w:t>after</w:t>
      </w:r>
      <w:r>
        <w:rPr>
          <w:spacing w:val="-7"/>
        </w:rPr>
        <w:t xml:space="preserve"> </w:t>
      </w:r>
      <w:r>
        <w:t>substitution</w:t>
      </w:r>
      <w:r>
        <w:rPr>
          <w:spacing w:val="-7"/>
        </w:rPr>
        <w:t xml:space="preserve"> </w:t>
      </w:r>
      <w:r>
        <w:t>and</w:t>
      </w:r>
      <w:r>
        <w:rPr>
          <w:spacing w:val="-7"/>
        </w:rPr>
        <w:t xml:space="preserve"> </w:t>
      </w:r>
      <w:r>
        <w:t>nonresponse adjustments. The biases of other variables, however, were still significant, or newly significant, after nonresponse adjustments.</w:t>
      </w:r>
    </w:p>
    <w:p w:rsidR="003F5784" w14:paraId="7DD372D5" w14:textId="77777777">
      <w:pPr>
        <w:pStyle w:val="BodyText"/>
        <w:spacing w:before="204"/>
        <w:ind w:left="422"/>
      </w:pPr>
      <w:r>
        <w:rPr>
          <w:noProof/>
          <w:position w:val="3"/>
        </w:rPr>
        <w:drawing>
          <wp:inline distT="0" distB="0" distL="0" distR="0">
            <wp:extent cx="41379" cy="41378"/>
            <wp:effectExtent l="0" t="0" r="0" b="0"/>
            <wp:docPr id="730" name="Image 730"/>
            <wp:cNvGraphicFramePr/>
            <a:graphic xmlns:a="http://schemas.openxmlformats.org/drawingml/2006/main">
              <a:graphicData uri="http://schemas.openxmlformats.org/drawingml/2006/picture">
                <pic:pic xmlns:pic="http://schemas.openxmlformats.org/drawingml/2006/picture">
                  <pic:nvPicPr>
                    <pic:cNvPr id="730" name="Image 730"/>
                    <pic:cNvPicPr/>
                  </pic:nvPicPr>
                  <pic:blipFill>
                    <a:blip xmlns:r="http://schemas.openxmlformats.org/officeDocument/2006/relationships" r:embed="rId569" cstate="print"/>
                    <a:stretch>
                      <a:fillRect/>
                    </a:stretch>
                  </pic:blipFill>
                  <pic:spPr>
                    <a:xfrm>
                      <a:off x="0" y="0"/>
                      <a:ext cx="41379" cy="41378"/>
                    </a:xfrm>
                    <a:prstGeom prst="rect">
                      <a:avLst/>
                    </a:prstGeom>
                  </pic:spPr>
                </pic:pic>
              </a:graphicData>
            </a:graphic>
          </wp:inline>
        </w:drawing>
      </w:r>
      <w:r>
        <w:rPr>
          <w:spacing w:val="80"/>
          <w:sz w:val="20"/>
        </w:rPr>
        <w:t xml:space="preserve"> </w:t>
      </w:r>
      <w:r>
        <w:t>For</w:t>
      </w:r>
      <w:r>
        <w:rPr>
          <w:spacing w:val="-2"/>
        </w:rPr>
        <w:t xml:space="preserve"> </w:t>
      </w:r>
      <w:r>
        <w:t>grade</w:t>
      </w:r>
      <w:r>
        <w:rPr>
          <w:spacing w:val="-2"/>
        </w:rPr>
        <w:t xml:space="preserve"> </w:t>
      </w:r>
      <w:r>
        <w:t>4,</w:t>
      </w:r>
      <w:r>
        <w:rPr>
          <w:spacing w:val="-2"/>
        </w:rPr>
        <w:t xml:space="preserve"> </w:t>
      </w:r>
      <w:r>
        <w:t>the</w:t>
      </w:r>
      <w:r>
        <w:rPr>
          <w:spacing w:val="-2"/>
        </w:rPr>
        <w:t xml:space="preserve"> </w:t>
      </w:r>
      <w:r>
        <w:t>results</w:t>
      </w:r>
      <w:r>
        <w:rPr>
          <w:spacing w:val="-2"/>
        </w:rPr>
        <w:t xml:space="preserve"> </w:t>
      </w:r>
      <w:r>
        <w:t>for</w:t>
      </w:r>
      <w:r>
        <w:rPr>
          <w:spacing w:val="-2"/>
        </w:rPr>
        <w:t xml:space="preserve"> </w:t>
      </w:r>
      <w:r>
        <w:t>census</w:t>
      </w:r>
      <w:r>
        <w:rPr>
          <w:spacing w:val="-2"/>
        </w:rPr>
        <w:t xml:space="preserve"> </w:t>
      </w:r>
      <w:r>
        <w:t>region</w:t>
      </w:r>
      <w:r>
        <w:rPr>
          <w:spacing w:val="-2"/>
        </w:rPr>
        <w:t xml:space="preserve"> </w:t>
      </w:r>
      <w:r>
        <w:t>and</w:t>
      </w:r>
      <w:r>
        <w:rPr>
          <w:spacing w:val="-2"/>
        </w:rPr>
        <w:t xml:space="preserve"> </w:t>
      </w:r>
      <w:r>
        <w:t>mean</w:t>
      </w:r>
      <w:r>
        <w:rPr>
          <w:spacing w:val="-2"/>
        </w:rPr>
        <w:t xml:space="preserve"> </w:t>
      </w:r>
      <w:r>
        <w:t>grade</w:t>
      </w:r>
      <w:r>
        <w:rPr>
          <w:spacing w:val="-2"/>
        </w:rPr>
        <w:t xml:space="preserve"> </w:t>
      </w:r>
      <w:r>
        <w:t>enrollment</w:t>
      </w:r>
      <w:r>
        <w:rPr>
          <w:spacing w:val="-2"/>
        </w:rPr>
        <w:t xml:space="preserve"> </w:t>
      </w:r>
      <w:r>
        <w:t>averaged</w:t>
      </w:r>
      <w:r>
        <w:rPr>
          <w:spacing w:val="-2"/>
        </w:rPr>
        <w:t xml:space="preserve"> </w:t>
      </w:r>
      <w:r>
        <w:t>across</w:t>
      </w:r>
      <w:r>
        <w:rPr>
          <w:spacing w:val="-2"/>
        </w:rPr>
        <w:t xml:space="preserve"> </w:t>
      </w:r>
      <w:r>
        <w:t>students</w:t>
      </w:r>
      <w:r>
        <w:rPr>
          <w:spacing w:val="-2"/>
        </w:rPr>
        <w:t xml:space="preserve"> </w:t>
      </w:r>
      <w:r>
        <w:t>remained</w:t>
      </w:r>
      <w:r>
        <w:rPr>
          <w:spacing w:val="-2"/>
        </w:rPr>
        <w:t xml:space="preserve"> </w:t>
      </w:r>
      <w:r>
        <w:t>significant</w:t>
      </w:r>
      <w:r>
        <w:rPr>
          <w:spacing w:val="-2"/>
        </w:rPr>
        <w:t xml:space="preserve"> </w:t>
      </w:r>
      <w:r>
        <w:t>after</w:t>
      </w:r>
      <w:r>
        <w:rPr>
          <w:spacing w:val="-2"/>
        </w:rPr>
        <w:t xml:space="preserve"> </w:t>
      </w:r>
      <w:r>
        <w:t>substitution</w:t>
      </w:r>
      <w:r>
        <w:rPr>
          <w:spacing w:val="-2"/>
        </w:rPr>
        <w:t xml:space="preserve"> </w:t>
      </w:r>
      <w:r>
        <w:t>and</w:t>
      </w:r>
      <w:r>
        <w:rPr>
          <w:spacing w:val="-2"/>
        </w:rPr>
        <w:t xml:space="preserve"> </w:t>
      </w:r>
      <w:r>
        <w:t>nonresponse</w:t>
      </w:r>
      <w:r>
        <w:rPr>
          <w:spacing w:val="-2"/>
        </w:rPr>
        <w:t xml:space="preserve"> </w:t>
      </w:r>
      <w:r>
        <w:t>adjustments.</w:t>
      </w:r>
    </w:p>
    <w:p w:rsidR="003F5784" w14:paraId="33E96073" w14:textId="77777777">
      <w:pPr>
        <w:pStyle w:val="BodyText"/>
        <w:spacing w:before="208" w:line="232" w:lineRule="auto"/>
        <w:ind w:left="631" w:right="54" w:hanging="209"/>
      </w:pPr>
      <w:r>
        <w:rPr>
          <w:noProof/>
          <w:position w:val="3"/>
        </w:rPr>
        <w:drawing>
          <wp:inline distT="0" distB="0" distL="0" distR="0">
            <wp:extent cx="41379" cy="41378"/>
            <wp:effectExtent l="0" t="0" r="0" b="0"/>
            <wp:docPr id="731" name="Image 731"/>
            <wp:cNvGraphicFramePr/>
            <a:graphic xmlns:a="http://schemas.openxmlformats.org/drawingml/2006/main">
              <a:graphicData uri="http://schemas.openxmlformats.org/drawingml/2006/picture">
                <pic:pic xmlns:pic="http://schemas.openxmlformats.org/drawingml/2006/picture">
                  <pic:nvPicPr>
                    <pic:cNvPr id="731" name="Image 731"/>
                    <pic:cNvPicPr/>
                  </pic:nvPicPr>
                  <pic:blipFill>
                    <a:blip xmlns:r="http://schemas.openxmlformats.org/officeDocument/2006/relationships" r:embed="rId570" cstate="print"/>
                    <a:stretch>
                      <a:fillRect/>
                    </a:stretch>
                  </pic:blipFill>
                  <pic:spPr>
                    <a:xfrm>
                      <a:off x="0" y="0"/>
                      <a:ext cx="41379" cy="41378"/>
                    </a:xfrm>
                    <a:prstGeom prst="rect">
                      <a:avLst/>
                    </a:prstGeom>
                  </pic:spPr>
                </pic:pic>
              </a:graphicData>
            </a:graphic>
          </wp:inline>
        </w:drawing>
      </w:r>
      <w:r>
        <w:rPr>
          <w:spacing w:val="80"/>
          <w:sz w:val="20"/>
        </w:rPr>
        <w:t xml:space="preserve"> </w:t>
      </w:r>
      <w:r>
        <w:t>For</w:t>
      </w:r>
      <w:r>
        <w:rPr>
          <w:spacing w:val="-6"/>
        </w:rPr>
        <w:t xml:space="preserve"> </w:t>
      </w:r>
      <w:r>
        <w:t>grade</w:t>
      </w:r>
      <w:r>
        <w:rPr>
          <w:spacing w:val="-6"/>
        </w:rPr>
        <w:t xml:space="preserve"> </w:t>
      </w:r>
      <w:r>
        <w:t>8,</w:t>
      </w:r>
      <w:r>
        <w:rPr>
          <w:spacing w:val="-6"/>
        </w:rPr>
        <w:t xml:space="preserve"> </w:t>
      </w:r>
      <w:r>
        <w:t>the</w:t>
      </w:r>
      <w:r>
        <w:rPr>
          <w:spacing w:val="-6"/>
        </w:rPr>
        <w:t xml:space="preserve"> </w:t>
      </w:r>
      <w:r>
        <w:t>results</w:t>
      </w:r>
      <w:r>
        <w:rPr>
          <w:spacing w:val="-6"/>
        </w:rPr>
        <w:t xml:space="preserve"> </w:t>
      </w:r>
      <w:r>
        <w:t>for</w:t>
      </w:r>
      <w:r>
        <w:rPr>
          <w:spacing w:val="-6"/>
        </w:rPr>
        <w:t xml:space="preserve"> </w:t>
      </w:r>
      <w:r>
        <w:t>census</w:t>
      </w:r>
      <w:r>
        <w:rPr>
          <w:spacing w:val="-6"/>
        </w:rPr>
        <w:t xml:space="preserve"> </w:t>
      </w:r>
      <w:r>
        <w:t>region,</w:t>
      </w:r>
      <w:r>
        <w:rPr>
          <w:spacing w:val="-6"/>
        </w:rPr>
        <w:t xml:space="preserve"> </w:t>
      </w:r>
      <w:r>
        <w:t>school</w:t>
      </w:r>
      <w:r>
        <w:rPr>
          <w:spacing w:val="-6"/>
        </w:rPr>
        <w:t xml:space="preserve"> </w:t>
      </w:r>
      <w:r>
        <w:t>size</w:t>
      </w:r>
      <w:r>
        <w:rPr>
          <w:spacing w:val="-6"/>
        </w:rPr>
        <w:t xml:space="preserve"> </w:t>
      </w:r>
      <w:r>
        <w:t>class,</w:t>
      </w:r>
      <w:r>
        <w:rPr>
          <w:spacing w:val="-6"/>
        </w:rPr>
        <w:t xml:space="preserve"> </w:t>
      </w:r>
      <w:r>
        <w:t>mean</w:t>
      </w:r>
      <w:r>
        <w:rPr>
          <w:spacing w:val="-6"/>
        </w:rPr>
        <w:t xml:space="preserve"> </w:t>
      </w:r>
      <w:r>
        <w:t>grade</w:t>
      </w:r>
      <w:r>
        <w:rPr>
          <w:spacing w:val="-6"/>
        </w:rPr>
        <w:t xml:space="preserve"> </w:t>
      </w:r>
      <w:r>
        <w:t>enrollment</w:t>
      </w:r>
      <w:r>
        <w:rPr>
          <w:spacing w:val="-6"/>
        </w:rPr>
        <w:t xml:space="preserve"> </w:t>
      </w:r>
      <w:r>
        <w:t>averaged</w:t>
      </w:r>
      <w:r>
        <w:rPr>
          <w:spacing w:val="-6"/>
        </w:rPr>
        <w:t xml:space="preserve"> </w:t>
      </w:r>
      <w:r>
        <w:t>across</w:t>
      </w:r>
      <w:r>
        <w:rPr>
          <w:spacing w:val="-6"/>
        </w:rPr>
        <w:t xml:space="preserve"> </w:t>
      </w:r>
      <w:r>
        <w:t>students,</w:t>
      </w:r>
      <w:r>
        <w:rPr>
          <w:spacing w:val="-6"/>
        </w:rPr>
        <w:t xml:space="preserve"> </w:t>
      </w:r>
      <w:r>
        <w:t>and</w:t>
      </w:r>
      <w:r>
        <w:rPr>
          <w:spacing w:val="-6"/>
        </w:rPr>
        <w:t xml:space="preserve"> </w:t>
      </w:r>
      <w:r>
        <w:t>percent</w:t>
      </w:r>
      <w:r>
        <w:rPr>
          <w:spacing w:val="-6"/>
        </w:rPr>
        <w:t xml:space="preserve"> </w:t>
      </w:r>
      <w:r>
        <w:t>Black</w:t>
      </w:r>
      <w:r>
        <w:rPr>
          <w:spacing w:val="-6"/>
        </w:rPr>
        <w:t xml:space="preserve"> </w:t>
      </w:r>
      <w:r>
        <w:t>(non-Hispanic)</w:t>
      </w:r>
      <w:r>
        <w:rPr>
          <w:spacing w:val="-6"/>
        </w:rPr>
        <w:t xml:space="preserve"> </w:t>
      </w:r>
      <w:r>
        <w:t>still</w:t>
      </w:r>
      <w:r>
        <w:rPr>
          <w:spacing w:val="-6"/>
        </w:rPr>
        <w:t xml:space="preserve"> </w:t>
      </w:r>
      <w:r>
        <w:t>have</w:t>
      </w:r>
      <w:r>
        <w:rPr>
          <w:spacing w:val="-6"/>
        </w:rPr>
        <w:t xml:space="preserve"> </w:t>
      </w:r>
      <w:r>
        <w:t>significant</w:t>
      </w:r>
      <w:r>
        <w:rPr>
          <w:spacing w:val="-6"/>
        </w:rPr>
        <w:t xml:space="preserve"> </w:t>
      </w:r>
      <w:r>
        <w:t>bias after nonresponse adjustments.</w:t>
      </w:r>
    </w:p>
    <w:p w:rsidR="003F5784" w14:paraId="1B25EB21" w14:textId="77777777">
      <w:pPr>
        <w:pStyle w:val="BodyText"/>
        <w:spacing w:before="209" w:line="232" w:lineRule="auto"/>
        <w:ind w:left="109" w:right="318"/>
      </w:pPr>
      <w:r>
        <w:t>These</w:t>
      </w:r>
      <w:r>
        <w:rPr>
          <w:spacing w:val="-1"/>
        </w:rPr>
        <w:t xml:space="preserve"> </w:t>
      </w:r>
      <w:r>
        <w:t>results</w:t>
      </w:r>
      <w:r>
        <w:rPr>
          <w:spacing w:val="-1"/>
        </w:rPr>
        <w:t xml:space="preserve"> </w:t>
      </w:r>
      <w:r>
        <w:t>suggest</w:t>
      </w:r>
      <w:r>
        <w:rPr>
          <w:spacing w:val="-1"/>
        </w:rPr>
        <w:t xml:space="preserve"> </w:t>
      </w:r>
      <w:r>
        <w:t>that,</w:t>
      </w:r>
      <w:r>
        <w:rPr>
          <w:spacing w:val="-1"/>
        </w:rPr>
        <w:t xml:space="preserve"> </w:t>
      </w:r>
      <w:r>
        <w:t>even</w:t>
      </w:r>
      <w:r>
        <w:rPr>
          <w:spacing w:val="-1"/>
        </w:rPr>
        <w:t xml:space="preserve"> </w:t>
      </w:r>
      <w:r>
        <w:t>after</w:t>
      </w:r>
      <w:r>
        <w:rPr>
          <w:spacing w:val="-1"/>
        </w:rPr>
        <w:t xml:space="preserve"> </w:t>
      </w:r>
      <w:r>
        <w:t>making</w:t>
      </w:r>
      <w:r>
        <w:rPr>
          <w:spacing w:val="-1"/>
        </w:rPr>
        <w:t xml:space="preserve"> </w:t>
      </w:r>
      <w:r>
        <w:t>nonresponse</w:t>
      </w:r>
      <w:r>
        <w:rPr>
          <w:spacing w:val="-1"/>
        </w:rPr>
        <w:t xml:space="preserve"> </w:t>
      </w:r>
      <w:r>
        <w:t>adjustments,</w:t>
      </w:r>
      <w:r>
        <w:rPr>
          <w:spacing w:val="-1"/>
        </w:rPr>
        <w:t xml:space="preserve"> </w:t>
      </w:r>
      <w:r>
        <w:t>there</w:t>
      </w:r>
      <w:r>
        <w:rPr>
          <w:spacing w:val="-1"/>
        </w:rPr>
        <w:t xml:space="preserve"> </w:t>
      </w:r>
      <w:r>
        <w:t>is</w:t>
      </w:r>
      <w:r>
        <w:rPr>
          <w:spacing w:val="-1"/>
        </w:rPr>
        <w:t xml:space="preserve"> </w:t>
      </w:r>
      <w:r>
        <w:t>possibly</w:t>
      </w:r>
      <w:r>
        <w:rPr>
          <w:spacing w:val="-1"/>
        </w:rPr>
        <w:t xml:space="preserve"> </w:t>
      </w:r>
      <w:r>
        <w:t>significant</w:t>
      </w:r>
      <w:r>
        <w:rPr>
          <w:spacing w:val="-1"/>
        </w:rPr>
        <w:t xml:space="preserve"> </w:t>
      </w:r>
      <w:r>
        <w:t>nonresponse</w:t>
      </w:r>
      <w:r>
        <w:rPr>
          <w:spacing w:val="-1"/>
        </w:rPr>
        <w:t xml:space="preserve"> </w:t>
      </w:r>
      <w:r>
        <w:t>bias</w:t>
      </w:r>
      <w:r>
        <w:rPr>
          <w:spacing w:val="-1"/>
        </w:rPr>
        <w:t xml:space="preserve"> </w:t>
      </w:r>
      <w:r>
        <w:t>in</w:t>
      </w:r>
      <w:r>
        <w:rPr>
          <w:spacing w:val="-1"/>
        </w:rPr>
        <w:t xml:space="preserve"> </w:t>
      </w:r>
      <w:r>
        <w:t>the</w:t>
      </w:r>
      <w:r>
        <w:rPr>
          <w:spacing w:val="-1"/>
        </w:rPr>
        <w:t xml:space="preserve"> </w:t>
      </w:r>
      <w:r>
        <w:t>NAEP</w:t>
      </w:r>
      <w:r>
        <w:rPr>
          <w:spacing w:val="-9"/>
        </w:rPr>
        <w:t xml:space="preserve"> </w:t>
      </w:r>
      <w:r>
        <w:t>achievement</w:t>
      </w:r>
      <w:r>
        <w:rPr>
          <w:spacing w:val="-1"/>
        </w:rPr>
        <w:t xml:space="preserve"> </w:t>
      </w:r>
      <w:r>
        <w:t>results</w:t>
      </w:r>
      <w:r>
        <w:rPr>
          <w:spacing w:val="-1"/>
        </w:rPr>
        <w:t xml:space="preserve"> </w:t>
      </w:r>
      <w:r>
        <w:t>for</w:t>
      </w:r>
      <w:r>
        <w:rPr>
          <w:spacing w:val="-1"/>
        </w:rPr>
        <w:t xml:space="preserve"> </w:t>
      </w:r>
      <w:r>
        <w:t>private</w:t>
      </w:r>
      <w:r>
        <w:rPr>
          <w:spacing w:val="-1"/>
        </w:rPr>
        <w:t xml:space="preserve"> </w:t>
      </w:r>
      <w:r>
        <w:t>schools because non-trivial statistically significant differences remain between the responding and original samples for census region and mean grade enrollment averaged across students</w:t>
      </w:r>
      <w:r>
        <w:rPr>
          <w:spacing w:val="-6"/>
        </w:rPr>
        <w:t xml:space="preserve"> </w:t>
      </w:r>
      <w:r>
        <w:t>for</w:t>
      </w:r>
      <w:r>
        <w:rPr>
          <w:spacing w:val="-6"/>
        </w:rPr>
        <w:t xml:space="preserve"> </w:t>
      </w:r>
      <w:r>
        <w:t>grades</w:t>
      </w:r>
      <w:r>
        <w:rPr>
          <w:spacing w:val="-6"/>
        </w:rPr>
        <w:t xml:space="preserve"> </w:t>
      </w:r>
      <w:r>
        <w:t>4</w:t>
      </w:r>
      <w:r>
        <w:rPr>
          <w:spacing w:val="-6"/>
        </w:rPr>
        <w:t xml:space="preserve"> </w:t>
      </w:r>
      <w:r>
        <w:t>and</w:t>
      </w:r>
      <w:r>
        <w:rPr>
          <w:spacing w:val="-6"/>
        </w:rPr>
        <w:t xml:space="preserve"> </w:t>
      </w:r>
      <w:r>
        <w:t>8,</w:t>
      </w:r>
      <w:r>
        <w:rPr>
          <w:spacing w:val="-6"/>
        </w:rPr>
        <w:t xml:space="preserve"> </w:t>
      </w:r>
      <w:r>
        <w:t>and</w:t>
      </w:r>
      <w:r>
        <w:rPr>
          <w:spacing w:val="-6"/>
        </w:rPr>
        <w:t xml:space="preserve"> </w:t>
      </w:r>
      <w:r>
        <w:t>for</w:t>
      </w:r>
      <w:r>
        <w:rPr>
          <w:spacing w:val="-6"/>
        </w:rPr>
        <w:t xml:space="preserve"> </w:t>
      </w:r>
      <w:r>
        <w:t>school</w:t>
      </w:r>
      <w:r>
        <w:rPr>
          <w:spacing w:val="-6"/>
        </w:rPr>
        <w:t xml:space="preserve"> </w:t>
      </w:r>
      <w:r>
        <w:t>size</w:t>
      </w:r>
      <w:r>
        <w:rPr>
          <w:spacing w:val="-6"/>
        </w:rPr>
        <w:t xml:space="preserve"> </w:t>
      </w:r>
      <w:r>
        <w:t>class</w:t>
      </w:r>
      <w:r>
        <w:rPr>
          <w:spacing w:val="-6"/>
        </w:rPr>
        <w:t xml:space="preserve"> </w:t>
      </w:r>
      <w:r>
        <w:t>and</w:t>
      </w:r>
      <w:r>
        <w:rPr>
          <w:spacing w:val="-6"/>
        </w:rPr>
        <w:t xml:space="preserve"> </w:t>
      </w:r>
      <w:r>
        <w:t>percentage</w:t>
      </w:r>
      <w:r>
        <w:rPr>
          <w:spacing w:val="-6"/>
        </w:rPr>
        <w:t xml:space="preserve"> </w:t>
      </w:r>
      <w:r>
        <w:t>Black</w:t>
      </w:r>
      <w:r>
        <w:rPr>
          <w:spacing w:val="-6"/>
        </w:rPr>
        <w:t xml:space="preserve"> </w:t>
      </w:r>
      <w:r>
        <w:t>(non-Hispanic)</w:t>
      </w:r>
      <w:r>
        <w:rPr>
          <w:spacing w:val="-6"/>
        </w:rPr>
        <w:t xml:space="preserve"> </w:t>
      </w:r>
      <w:r>
        <w:t>for</w:t>
      </w:r>
      <w:r>
        <w:rPr>
          <w:spacing w:val="-6"/>
        </w:rPr>
        <w:t xml:space="preserve"> </w:t>
      </w:r>
      <w:r>
        <w:t>grade</w:t>
      </w:r>
      <w:r>
        <w:rPr>
          <w:spacing w:val="-6"/>
        </w:rPr>
        <w:t xml:space="preserve"> </w:t>
      </w:r>
      <w:r>
        <w:t>8.</w:t>
      </w:r>
      <w:r>
        <w:rPr>
          <w:spacing w:val="-6"/>
        </w:rPr>
        <w:t xml:space="preserve"> </w:t>
      </w:r>
      <w:r>
        <w:t>Compared</w:t>
      </w:r>
      <w:r>
        <w:rPr>
          <w:spacing w:val="-6"/>
        </w:rPr>
        <w:t xml:space="preserve"> </w:t>
      </w:r>
      <w:r>
        <w:t>with</w:t>
      </w:r>
      <w:r>
        <w:rPr>
          <w:spacing w:val="-6"/>
        </w:rPr>
        <w:t xml:space="preserve"> </w:t>
      </w:r>
      <w:r>
        <w:t>the</w:t>
      </w:r>
      <w:r>
        <w:rPr>
          <w:spacing w:val="-6"/>
        </w:rPr>
        <w:t xml:space="preserve"> </w:t>
      </w:r>
      <w:r>
        <w:t>2019</w:t>
      </w:r>
      <w:r>
        <w:rPr>
          <w:spacing w:val="-6"/>
        </w:rPr>
        <w:t xml:space="preserve"> </w:t>
      </w:r>
      <w:r>
        <w:t>NAEP</w:t>
      </w:r>
      <w:r>
        <w:rPr>
          <w:spacing w:val="-13"/>
        </w:rPr>
        <w:t xml:space="preserve"> </w:t>
      </w:r>
      <w:r>
        <w:t>assessment,</w:t>
      </w:r>
      <w:r>
        <w:rPr>
          <w:spacing w:val="-6"/>
        </w:rPr>
        <w:t xml:space="preserve"> </w:t>
      </w:r>
      <w:r>
        <w:t>private</w:t>
      </w:r>
      <w:r>
        <w:rPr>
          <w:spacing w:val="-6"/>
        </w:rPr>
        <w:t xml:space="preserve"> </w:t>
      </w:r>
      <w:r>
        <w:t>school</w:t>
      </w:r>
      <w:r>
        <w:rPr>
          <w:spacing w:val="-6"/>
        </w:rPr>
        <w:t xml:space="preserve"> </w:t>
      </w:r>
      <w:r>
        <w:t>response rates for NAEP</w:t>
      </w:r>
      <w:r>
        <w:rPr>
          <w:spacing w:val="-3"/>
        </w:rPr>
        <w:t xml:space="preserve"> </w:t>
      </w:r>
      <w:r>
        <w:t>2022 were approximately 14 to 15 percentage points lower for each grade.</w:t>
      </w:r>
    </w:p>
    <w:p w:rsidR="003F5784" w14:paraId="18BA122E" w14:textId="77777777">
      <w:pPr>
        <w:pStyle w:val="Heading2"/>
        <w:spacing w:before="204"/>
        <w:ind w:left="109"/>
      </w:pPr>
      <w:r>
        <w:t>Civics</w:t>
      </w:r>
      <w:r>
        <w:rPr>
          <w:spacing w:val="-6"/>
        </w:rPr>
        <w:t xml:space="preserve"> </w:t>
      </w:r>
      <w:r>
        <w:t>and</w:t>
      </w:r>
      <w:r>
        <w:rPr>
          <w:spacing w:val="-5"/>
        </w:rPr>
        <w:t xml:space="preserve"> </w:t>
      </w:r>
      <w:r>
        <w:t>U.S.</w:t>
      </w:r>
      <w:r>
        <w:rPr>
          <w:spacing w:val="-6"/>
        </w:rPr>
        <w:t xml:space="preserve"> </w:t>
      </w:r>
      <w:r>
        <w:t>History</w:t>
      </w:r>
      <w:r>
        <w:rPr>
          <w:spacing w:val="-5"/>
        </w:rPr>
        <w:t xml:space="preserve"> </w:t>
      </w:r>
      <w:r>
        <w:t>at</w:t>
      </w:r>
      <w:r>
        <w:rPr>
          <w:spacing w:val="-6"/>
        </w:rPr>
        <w:t xml:space="preserve"> </w:t>
      </w:r>
      <w:r>
        <w:t>Grade</w:t>
      </w:r>
      <w:r>
        <w:rPr>
          <w:spacing w:val="-5"/>
        </w:rPr>
        <w:t xml:space="preserve"> </w:t>
      </w:r>
      <w:r>
        <w:rPr>
          <w:spacing w:val="-10"/>
        </w:rPr>
        <w:t>8</w:t>
      </w:r>
    </w:p>
    <w:p w:rsidR="003F5784" w14:paraId="3558233D" w14:textId="77777777">
      <w:pPr>
        <w:pStyle w:val="BodyText"/>
        <w:spacing w:before="207" w:line="232" w:lineRule="auto"/>
        <w:ind w:left="109" w:right="179"/>
      </w:pPr>
      <w:r>
        <w:t>NRBA</w:t>
      </w:r>
      <w:r>
        <w:rPr>
          <w:spacing w:val="-10"/>
        </w:rPr>
        <w:t xml:space="preserve"> </w:t>
      </w:r>
      <w:r>
        <w:t>demonstrated that in private schools, substitution had little effect on reducing nonresponse bias. In contrast, as a result of the nonresponse adjustments, both Catholic and</w:t>
      </w:r>
      <w:r>
        <w:rPr>
          <w:spacing w:val="-6"/>
        </w:rPr>
        <w:t xml:space="preserve"> </w:t>
      </w:r>
      <w:r>
        <w:t>non-Catholic</w:t>
      </w:r>
      <w:r>
        <w:rPr>
          <w:spacing w:val="-6"/>
        </w:rPr>
        <w:t xml:space="preserve"> </w:t>
      </w:r>
      <w:r>
        <w:t>schools</w:t>
      </w:r>
      <w:r>
        <w:rPr>
          <w:spacing w:val="-6"/>
        </w:rPr>
        <w:t xml:space="preserve"> </w:t>
      </w:r>
      <w:r>
        <w:t>no</w:t>
      </w:r>
      <w:r>
        <w:rPr>
          <w:spacing w:val="-6"/>
        </w:rPr>
        <w:t xml:space="preserve"> </w:t>
      </w:r>
      <w:r>
        <w:t>longer</w:t>
      </w:r>
      <w:r>
        <w:rPr>
          <w:spacing w:val="-6"/>
        </w:rPr>
        <w:t xml:space="preserve"> </w:t>
      </w:r>
      <w:r>
        <w:t>showed</w:t>
      </w:r>
      <w:r>
        <w:rPr>
          <w:spacing w:val="-6"/>
        </w:rPr>
        <w:t xml:space="preserve"> </w:t>
      </w:r>
      <w:r>
        <w:t>nonresponse</w:t>
      </w:r>
      <w:r>
        <w:rPr>
          <w:spacing w:val="-6"/>
        </w:rPr>
        <w:t xml:space="preserve"> </w:t>
      </w:r>
      <w:r>
        <w:t>bias.</w:t>
      </w:r>
      <w:r>
        <w:rPr>
          <w:spacing w:val="-6"/>
        </w:rPr>
        <w:t xml:space="preserve"> </w:t>
      </w:r>
      <w:r>
        <w:t>Still,</w:t>
      </w:r>
      <w:r>
        <w:rPr>
          <w:spacing w:val="-6"/>
        </w:rPr>
        <w:t xml:space="preserve"> </w:t>
      </w:r>
      <w:r>
        <w:t>a</w:t>
      </w:r>
      <w:r>
        <w:rPr>
          <w:spacing w:val="-6"/>
        </w:rPr>
        <w:t xml:space="preserve"> </w:t>
      </w:r>
      <w:r>
        <w:t>significant</w:t>
      </w:r>
      <w:r>
        <w:rPr>
          <w:spacing w:val="-6"/>
        </w:rPr>
        <w:t xml:space="preserve"> </w:t>
      </w:r>
      <w:r>
        <w:t>bias</w:t>
      </w:r>
      <w:r>
        <w:rPr>
          <w:spacing w:val="-6"/>
        </w:rPr>
        <w:t xml:space="preserve"> </w:t>
      </w:r>
      <w:r>
        <w:t>remained</w:t>
      </w:r>
      <w:r>
        <w:rPr>
          <w:spacing w:val="-6"/>
        </w:rPr>
        <w:t xml:space="preserve"> </w:t>
      </w:r>
      <w:r>
        <w:t>for</w:t>
      </w:r>
      <w:r>
        <w:rPr>
          <w:spacing w:val="-6"/>
        </w:rPr>
        <w:t xml:space="preserve"> </w:t>
      </w:r>
      <w:r>
        <w:t>school</w:t>
      </w:r>
      <w:r>
        <w:rPr>
          <w:spacing w:val="-6"/>
        </w:rPr>
        <w:t xml:space="preserve"> </w:t>
      </w:r>
      <w:r>
        <w:t>size</w:t>
      </w:r>
      <w:r>
        <w:rPr>
          <w:spacing w:val="-6"/>
        </w:rPr>
        <w:t xml:space="preserve"> </w:t>
      </w:r>
      <w:r>
        <w:t>and</w:t>
      </w:r>
      <w:r>
        <w:rPr>
          <w:spacing w:val="-6"/>
        </w:rPr>
        <w:t xml:space="preserve"> </w:t>
      </w:r>
      <w:r>
        <w:t>mean</w:t>
      </w:r>
      <w:r>
        <w:rPr>
          <w:spacing w:val="-6"/>
        </w:rPr>
        <w:t xml:space="preserve"> </w:t>
      </w:r>
      <w:r>
        <w:t>grade</w:t>
      </w:r>
      <w:r>
        <w:rPr>
          <w:spacing w:val="-6"/>
        </w:rPr>
        <w:t xml:space="preserve"> </w:t>
      </w:r>
      <w:r>
        <w:t>enrollment.</w:t>
      </w:r>
      <w:r>
        <w:rPr>
          <w:spacing w:val="-10"/>
        </w:rPr>
        <w:t xml:space="preserve"> </w:t>
      </w:r>
      <w:r>
        <w:t>These</w:t>
      </w:r>
      <w:r>
        <w:rPr>
          <w:spacing w:val="-6"/>
        </w:rPr>
        <w:t xml:space="preserve"> </w:t>
      </w:r>
      <w:r>
        <w:t>two</w:t>
      </w:r>
      <w:r>
        <w:rPr>
          <w:spacing w:val="-6"/>
        </w:rPr>
        <w:t xml:space="preserve"> </w:t>
      </w:r>
      <w:r>
        <w:t>remaining</w:t>
      </w:r>
      <w:r>
        <w:rPr>
          <w:spacing w:val="-6"/>
        </w:rPr>
        <w:t xml:space="preserve"> </w:t>
      </w:r>
      <w:r>
        <w:t>biases</w:t>
      </w:r>
      <w:r>
        <w:rPr>
          <w:spacing w:val="-6"/>
        </w:rPr>
        <w:t xml:space="preserve"> </w:t>
      </w:r>
      <w:r>
        <w:t>may</w:t>
      </w:r>
      <w:r>
        <w:rPr>
          <w:spacing w:val="-6"/>
        </w:rPr>
        <w:t xml:space="preserve"> </w:t>
      </w:r>
      <w:r>
        <w:t>be explained by the following. School size is not one of the variables used to adjust for school nonresponse; thus, using the nonresponse adjusted weights would not help reduce bias for school size.</w:t>
      </w:r>
      <w:r>
        <w:rPr>
          <w:spacing w:val="-3"/>
        </w:rPr>
        <w:t xml:space="preserve"> </w:t>
      </w:r>
      <w:r>
        <w:t>The increase in bias for mean grade enrollment averaged across students could be because nonresponse adjustments had removed substantial bias from other groups, such as Catholic/Non-Catholic, which limited the ability to fully adjust for other school characteristics.</w:t>
      </w:r>
    </w:p>
    <w:p w:rsidR="003F5784" w14:paraId="114C9B4D" w14:textId="77777777">
      <w:pPr>
        <w:spacing w:line="232" w:lineRule="auto"/>
        <w:sectPr>
          <w:pgSz w:w="15840" w:h="12240" w:orient="landscape"/>
          <w:pgMar w:top="480" w:right="440" w:bottom="460" w:left="460" w:header="284" w:footer="275" w:gutter="0"/>
          <w:cols w:space="720"/>
        </w:sectPr>
      </w:pPr>
    </w:p>
    <w:p w:rsidR="003F5784" w14:paraId="42EE9F08" w14:textId="77777777">
      <w:pPr>
        <w:pStyle w:val="BodyText"/>
        <w:spacing w:before="78" w:line="232" w:lineRule="auto"/>
        <w:ind w:left="109"/>
      </w:pPr>
      <w:r>
        <w:t>These</w:t>
      </w:r>
      <w:r>
        <w:rPr>
          <w:spacing w:val="-7"/>
        </w:rPr>
        <w:t xml:space="preserve"> </w:t>
      </w:r>
      <w:r>
        <w:t>results</w:t>
      </w:r>
      <w:r>
        <w:rPr>
          <w:spacing w:val="-7"/>
        </w:rPr>
        <w:t xml:space="preserve"> </w:t>
      </w:r>
      <w:r>
        <w:t>suggest</w:t>
      </w:r>
      <w:r>
        <w:rPr>
          <w:spacing w:val="-7"/>
        </w:rPr>
        <w:t xml:space="preserve"> </w:t>
      </w:r>
      <w:r>
        <w:t>that,</w:t>
      </w:r>
      <w:r>
        <w:rPr>
          <w:spacing w:val="-7"/>
        </w:rPr>
        <w:t xml:space="preserve"> </w:t>
      </w:r>
      <w:r>
        <w:t>even</w:t>
      </w:r>
      <w:r>
        <w:rPr>
          <w:spacing w:val="-7"/>
        </w:rPr>
        <w:t xml:space="preserve"> </w:t>
      </w:r>
      <w:r>
        <w:t>after</w:t>
      </w:r>
      <w:r>
        <w:rPr>
          <w:spacing w:val="-7"/>
        </w:rPr>
        <w:t xml:space="preserve"> </w:t>
      </w:r>
      <w:r>
        <w:t>nonresponse</w:t>
      </w:r>
      <w:r>
        <w:rPr>
          <w:spacing w:val="-7"/>
        </w:rPr>
        <w:t xml:space="preserve"> </w:t>
      </w:r>
      <w:r>
        <w:t>adjustments,</w:t>
      </w:r>
      <w:r>
        <w:rPr>
          <w:spacing w:val="-7"/>
        </w:rPr>
        <w:t xml:space="preserve"> </w:t>
      </w:r>
      <w:r>
        <w:t>there</w:t>
      </w:r>
      <w:r>
        <w:rPr>
          <w:spacing w:val="-7"/>
        </w:rPr>
        <w:t xml:space="preserve"> </w:t>
      </w:r>
      <w:r>
        <w:t>is</w:t>
      </w:r>
      <w:r>
        <w:rPr>
          <w:spacing w:val="-7"/>
        </w:rPr>
        <w:t xml:space="preserve"> </w:t>
      </w:r>
      <w:r>
        <w:t>possibly</w:t>
      </w:r>
      <w:r>
        <w:rPr>
          <w:spacing w:val="-7"/>
        </w:rPr>
        <w:t xml:space="preserve"> </w:t>
      </w:r>
      <w:r>
        <w:t>significant</w:t>
      </w:r>
      <w:r>
        <w:rPr>
          <w:spacing w:val="-7"/>
        </w:rPr>
        <w:t xml:space="preserve"> </w:t>
      </w:r>
      <w:r>
        <w:t>nonresponse</w:t>
      </w:r>
      <w:r>
        <w:rPr>
          <w:spacing w:val="-7"/>
        </w:rPr>
        <w:t xml:space="preserve"> </w:t>
      </w:r>
      <w:r>
        <w:t>bias</w:t>
      </w:r>
      <w:r>
        <w:rPr>
          <w:spacing w:val="-7"/>
        </w:rPr>
        <w:t xml:space="preserve"> </w:t>
      </w:r>
      <w:r>
        <w:t>in</w:t>
      </w:r>
      <w:r>
        <w:rPr>
          <w:spacing w:val="-7"/>
        </w:rPr>
        <w:t xml:space="preserve"> </w:t>
      </w:r>
      <w:r>
        <w:t>the</w:t>
      </w:r>
      <w:r>
        <w:rPr>
          <w:spacing w:val="-7"/>
        </w:rPr>
        <w:t xml:space="preserve"> </w:t>
      </w:r>
      <w:r>
        <w:t>NAEP</w:t>
      </w:r>
      <w:r>
        <w:rPr>
          <w:spacing w:val="-14"/>
        </w:rPr>
        <w:t xml:space="preserve"> </w:t>
      </w:r>
      <w:r>
        <w:t>achievement</w:t>
      </w:r>
      <w:r>
        <w:rPr>
          <w:spacing w:val="-6"/>
        </w:rPr>
        <w:t xml:space="preserve"> </w:t>
      </w:r>
      <w:r>
        <w:t>results</w:t>
      </w:r>
      <w:r>
        <w:rPr>
          <w:spacing w:val="-7"/>
        </w:rPr>
        <w:t xml:space="preserve"> </w:t>
      </w:r>
      <w:r>
        <w:t>for</w:t>
      </w:r>
      <w:r>
        <w:rPr>
          <w:spacing w:val="-7"/>
        </w:rPr>
        <w:t xml:space="preserve"> </w:t>
      </w:r>
      <w:r>
        <w:t>private</w:t>
      </w:r>
      <w:r>
        <w:rPr>
          <w:spacing w:val="-7"/>
        </w:rPr>
        <w:t xml:space="preserve"> </w:t>
      </w:r>
      <w:r>
        <w:t>schools</w:t>
      </w:r>
      <w:r>
        <w:rPr>
          <w:spacing w:val="-7"/>
        </w:rPr>
        <w:t xml:space="preserve"> </w:t>
      </w:r>
      <w:r>
        <w:t>because</w:t>
      </w:r>
      <w:r>
        <w:rPr>
          <w:spacing w:val="-7"/>
        </w:rPr>
        <w:t xml:space="preserve"> </w:t>
      </w:r>
      <w:r>
        <w:t>non- trivial statistically significant differences remain between the responding and original samples for school size and mean grade enrollment averaged across students.</w:t>
      </w:r>
    </w:p>
    <w:p w:rsidR="003F5784" w14:paraId="5757C960" w14:textId="77777777">
      <w:pPr>
        <w:pStyle w:val="Heading2"/>
        <w:spacing w:before="204"/>
        <w:ind w:left="109"/>
      </w:pPr>
      <w:r>
        <w:t>Mathematics</w:t>
      </w:r>
      <w:r>
        <w:rPr>
          <w:spacing w:val="-9"/>
        </w:rPr>
        <w:t xml:space="preserve"> </w:t>
      </w:r>
      <w:r>
        <w:t>and</w:t>
      </w:r>
      <w:r>
        <w:rPr>
          <w:spacing w:val="-6"/>
        </w:rPr>
        <w:t xml:space="preserve"> </w:t>
      </w:r>
      <w:r>
        <w:t>Reading</w:t>
      </w:r>
      <w:r>
        <w:rPr>
          <w:spacing w:val="-6"/>
        </w:rPr>
        <w:t xml:space="preserve"> </w:t>
      </w:r>
      <w:r>
        <w:t>at</w:t>
      </w:r>
      <w:r>
        <w:rPr>
          <w:spacing w:val="-13"/>
        </w:rPr>
        <w:t xml:space="preserve"> </w:t>
      </w:r>
      <w:r>
        <w:t>Ages</w:t>
      </w:r>
      <w:r>
        <w:rPr>
          <w:spacing w:val="-6"/>
        </w:rPr>
        <w:t xml:space="preserve"> </w:t>
      </w:r>
      <w:r>
        <w:t>9</w:t>
      </w:r>
      <w:r>
        <w:rPr>
          <w:spacing w:val="-6"/>
        </w:rPr>
        <w:t xml:space="preserve"> </w:t>
      </w:r>
      <w:r>
        <w:t>and</w:t>
      </w:r>
      <w:r>
        <w:rPr>
          <w:spacing w:val="-6"/>
        </w:rPr>
        <w:t xml:space="preserve"> </w:t>
      </w:r>
      <w:r>
        <w:rPr>
          <w:spacing w:val="-5"/>
        </w:rPr>
        <w:t>13</w:t>
      </w:r>
    </w:p>
    <w:p w:rsidR="003F5784" w14:paraId="5DD54F0D" w14:textId="77777777">
      <w:pPr>
        <w:pStyle w:val="BodyText"/>
        <w:spacing w:before="207" w:line="232" w:lineRule="auto"/>
        <w:ind w:left="109" w:right="181"/>
      </w:pPr>
      <w:r>
        <w:t>As expected, because very few substitute schools participated at either age, substitution had little effect on reducing nonresponse bias for private schools. Nonresponse adjustments</w:t>
      </w:r>
      <w:r>
        <w:rPr>
          <w:spacing w:val="-2"/>
        </w:rPr>
        <w:t xml:space="preserve"> </w:t>
      </w:r>
      <w:r>
        <w:t>were</w:t>
      </w:r>
      <w:r>
        <w:rPr>
          <w:spacing w:val="-2"/>
        </w:rPr>
        <w:t xml:space="preserve"> </w:t>
      </w:r>
      <w:r>
        <w:t>more</w:t>
      </w:r>
      <w:r>
        <w:rPr>
          <w:spacing w:val="-2"/>
        </w:rPr>
        <w:t xml:space="preserve"> </w:t>
      </w:r>
      <w:r>
        <w:t>effective:</w:t>
      </w:r>
      <w:r>
        <w:rPr>
          <w:spacing w:val="-2"/>
        </w:rPr>
        <w:t xml:space="preserve"> </w:t>
      </w:r>
      <w:r>
        <w:t>for</w:t>
      </w:r>
      <w:r>
        <w:rPr>
          <w:spacing w:val="-2"/>
        </w:rPr>
        <w:t xml:space="preserve"> </w:t>
      </w:r>
      <w:r>
        <w:t>both</w:t>
      </w:r>
      <w:r>
        <w:rPr>
          <w:spacing w:val="-2"/>
        </w:rPr>
        <w:t xml:space="preserve"> </w:t>
      </w:r>
      <w:r>
        <w:t>ages,</w:t>
      </w:r>
      <w:r>
        <w:rPr>
          <w:spacing w:val="-2"/>
        </w:rPr>
        <w:t xml:space="preserve"> </w:t>
      </w:r>
      <w:r>
        <w:t>after</w:t>
      </w:r>
      <w:r>
        <w:rPr>
          <w:spacing w:val="-2"/>
        </w:rPr>
        <w:t xml:space="preserve"> </w:t>
      </w:r>
      <w:r>
        <w:t>adjustments</w:t>
      </w:r>
      <w:r>
        <w:rPr>
          <w:spacing w:val="-2"/>
        </w:rPr>
        <w:t xml:space="preserve"> </w:t>
      </w:r>
      <w:r>
        <w:t>the</w:t>
      </w:r>
      <w:r>
        <w:rPr>
          <w:spacing w:val="-2"/>
        </w:rPr>
        <w:t xml:space="preserve"> </w:t>
      </w:r>
      <w:r>
        <w:t>number</w:t>
      </w:r>
      <w:r>
        <w:rPr>
          <w:spacing w:val="-2"/>
        </w:rPr>
        <w:t xml:space="preserve"> </w:t>
      </w:r>
      <w:r>
        <w:t>of</w:t>
      </w:r>
      <w:r>
        <w:rPr>
          <w:spacing w:val="-2"/>
        </w:rPr>
        <w:t xml:space="preserve"> </w:t>
      </w:r>
      <w:r>
        <w:t>characteristics</w:t>
      </w:r>
      <w:r>
        <w:rPr>
          <w:spacing w:val="-2"/>
        </w:rPr>
        <w:t xml:space="preserve"> </w:t>
      </w:r>
      <w:r>
        <w:t>with</w:t>
      </w:r>
      <w:r>
        <w:rPr>
          <w:spacing w:val="-2"/>
        </w:rPr>
        <w:t xml:space="preserve"> </w:t>
      </w:r>
      <w:r>
        <w:t>significant</w:t>
      </w:r>
      <w:r>
        <w:rPr>
          <w:spacing w:val="-2"/>
        </w:rPr>
        <w:t xml:space="preserve"> </w:t>
      </w:r>
      <w:r>
        <w:t>biases</w:t>
      </w:r>
      <w:r>
        <w:rPr>
          <w:spacing w:val="-2"/>
        </w:rPr>
        <w:t xml:space="preserve"> </w:t>
      </w:r>
      <w:r>
        <w:t>was</w:t>
      </w:r>
      <w:r>
        <w:rPr>
          <w:spacing w:val="-2"/>
        </w:rPr>
        <w:t xml:space="preserve"> </w:t>
      </w:r>
      <w:r>
        <w:t>decreased</w:t>
      </w:r>
      <w:r>
        <w:rPr>
          <w:spacing w:val="-2"/>
        </w:rPr>
        <w:t xml:space="preserve"> </w:t>
      </w:r>
      <w:r>
        <w:t>and</w:t>
      </w:r>
      <w:r>
        <w:rPr>
          <w:spacing w:val="-2"/>
        </w:rPr>
        <w:t xml:space="preserve"> </w:t>
      </w:r>
      <w:r>
        <w:t>the</w:t>
      </w:r>
      <w:r>
        <w:rPr>
          <w:spacing w:val="-2"/>
        </w:rPr>
        <w:t xml:space="preserve"> </w:t>
      </w:r>
      <w:r>
        <w:t>significant</w:t>
      </w:r>
      <w:r>
        <w:rPr>
          <w:spacing w:val="-2"/>
        </w:rPr>
        <w:t xml:space="preserve"> </w:t>
      </w:r>
      <w:r>
        <w:t>bias</w:t>
      </w:r>
      <w:r>
        <w:rPr>
          <w:spacing w:val="-2"/>
        </w:rPr>
        <w:t xml:space="preserve"> </w:t>
      </w:r>
      <w:r>
        <w:t>for</w:t>
      </w:r>
      <w:r>
        <w:rPr>
          <w:spacing w:val="-2"/>
        </w:rPr>
        <w:t xml:space="preserve"> </w:t>
      </w:r>
      <w:r>
        <w:t>Catholics</w:t>
      </w:r>
      <w:r>
        <w:rPr>
          <w:spacing w:val="-2"/>
        </w:rPr>
        <w:t xml:space="preserve"> </w:t>
      </w:r>
      <w:r>
        <w:t>and non-Catholics was removed. For age 9 however, the nonresponse adjustments did not eliminate significant bias across all characteristics of the sample: though the bias decreased for the Midwest and South census regions, the bias increased for the Northeast and</w:t>
      </w:r>
      <w:r>
        <w:rPr>
          <w:spacing w:val="-5"/>
        </w:rPr>
        <w:t xml:space="preserve"> </w:t>
      </w:r>
      <w:r>
        <w:t>West regions and remained significant for the census region overall. For age 13, the nonresponse adjustments eliminated significant bias across the characteristics that had exhibited bias after substitution, but significant bias was introduced for mean enrollment</w:t>
      </w:r>
      <w:r>
        <w:rPr>
          <w:spacing w:val="-6"/>
        </w:rPr>
        <w:t xml:space="preserve"> </w:t>
      </w:r>
      <w:r>
        <w:t>averaged</w:t>
      </w:r>
      <w:r>
        <w:rPr>
          <w:spacing w:val="-6"/>
        </w:rPr>
        <w:t xml:space="preserve"> </w:t>
      </w:r>
      <w:r>
        <w:t>across</w:t>
      </w:r>
      <w:r>
        <w:rPr>
          <w:spacing w:val="-6"/>
        </w:rPr>
        <w:t xml:space="preserve"> </w:t>
      </w:r>
      <w:r>
        <w:t>students.</w:t>
      </w:r>
      <w:r>
        <w:rPr>
          <w:spacing w:val="-6"/>
        </w:rPr>
        <w:t xml:space="preserve"> </w:t>
      </w:r>
      <w:r>
        <w:t>Private</w:t>
      </w:r>
      <w:r>
        <w:rPr>
          <w:spacing w:val="-6"/>
        </w:rPr>
        <w:t xml:space="preserve"> </w:t>
      </w:r>
      <w:r>
        <w:t>school</w:t>
      </w:r>
      <w:r>
        <w:rPr>
          <w:spacing w:val="-6"/>
        </w:rPr>
        <w:t xml:space="preserve"> </w:t>
      </w:r>
      <w:r>
        <w:t>samples</w:t>
      </w:r>
      <w:r>
        <w:rPr>
          <w:spacing w:val="-6"/>
        </w:rPr>
        <w:t xml:space="preserve"> </w:t>
      </w:r>
      <w:r>
        <w:t>are</w:t>
      </w:r>
      <w:r>
        <w:rPr>
          <w:spacing w:val="-6"/>
        </w:rPr>
        <w:t xml:space="preserve"> </w:t>
      </w:r>
      <w:r>
        <w:t>small,</w:t>
      </w:r>
      <w:r>
        <w:rPr>
          <w:spacing w:val="-6"/>
        </w:rPr>
        <w:t xml:space="preserve"> </w:t>
      </w:r>
      <w:r>
        <w:t>which</w:t>
      </w:r>
      <w:r>
        <w:rPr>
          <w:spacing w:val="-6"/>
        </w:rPr>
        <w:t xml:space="preserve"> </w:t>
      </w:r>
      <w:r>
        <w:t>could</w:t>
      </w:r>
      <w:r>
        <w:rPr>
          <w:spacing w:val="-6"/>
        </w:rPr>
        <w:t xml:space="preserve"> </w:t>
      </w:r>
      <w:r>
        <w:t>explain</w:t>
      </w:r>
      <w:r>
        <w:rPr>
          <w:spacing w:val="-6"/>
        </w:rPr>
        <w:t xml:space="preserve"> </w:t>
      </w:r>
      <w:r>
        <w:t>these</w:t>
      </w:r>
      <w:r>
        <w:rPr>
          <w:spacing w:val="-6"/>
        </w:rPr>
        <w:t xml:space="preserve"> </w:t>
      </w:r>
      <w:r>
        <w:t>increases</w:t>
      </w:r>
      <w:r>
        <w:rPr>
          <w:spacing w:val="-6"/>
        </w:rPr>
        <w:t xml:space="preserve"> </w:t>
      </w:r>
      <w:r>
        <w:t>for</w:t>
      </w:r>
      <w:r>
        <w:rPr>
          <w:spacing w:val="-6"/>
        </w:rPr>
        <w:t xml:space="preserve"> </w:t>
      </w:r>
      <w:r>
        <w:t>both</w:t>
      </w:r>
      <w:r>
        <w:rPr>
          <w:spacing w:val="-6"/>
        </w:rPr>
        <w:t xml:space="preserve"> </w:t>
      </w:r>
      <w:r>
        <w:t>ages.</w:t>
      </w:r>
      <w:r>
        <w:rPr>
          <w:spacing w:val="-10"/>
        </w:rPr>
        <w:t xml:space="preserve"> </w:t>
      </w:r>
      <w:r>
        <w:t>The</w:t>
      </w:r>
      <w:r>
        <w:rPr>
          <w:spacing w:val="-6"/>
        </w:rPr>
        <w:t xml:space="preserve"> </w:t>
      </w:r>
      <w:r>
        <w:t>bias</w:t>
      </w:r>
      <w:r>
        <w:rPr>
          <w:spacing w:val="-6"/>
        </w:rPr>
        <w:t xml:space="preserve"> </w:t>
      </w:r>
      <w:r>
        <w:t>may</w:t>
      </w:r>
      <w:r>
        <w:rPr>
          <w:spacing w:val="-6"/>
        </w:rPr>
        <w:t xml:space="preserve"> </w:t>
      </w:r>
      <w:r>
        <w:t>also</w:t>
      </w:r>
      <w:r>
        <w:rPr>
          <w:spacing w:val="-6"/>
        </w:rPr>
        <w:t xml:space="preserve"> </w:t>
      </w:r>
      <w:r>
        <w:t>be</w:t>
      </w:r>
      <w:r>
        <w:rPr>
          <w:spacing w:val="-6"/>
        </w:rPr>
        <w:t xml:space="preserve"> </w:t>
      </w:r>
      <w:r>
        <w:t>due</w:t>
      </w:r>
      <w:r>
        <w:rPr>
          <w:spacing w:val="-6"/>
        </w:rPr>
        <w:t xml:space="preserve"> </w:t>
      </w:r>
      <w:r>
        <w:t>to</w:t>
      </w:r>
      <w:r>
        <w:rPr>
          <w:spacing w:val="-6"/>
        </w:rPr>
        <w:t xml:space="preserve"> </w:t>
      </w:r>
      <w:r>
        <w:t>nonresponse</w:t>
      </w:r>
      <w:r>
        <w:rPr>
          <w:spacing w:val="-6"/>
        </w:rPr>
        <w:t xml:space="preserve"> </w:t>
      </w:r>
      <w:r>
        <w:t>adjustments making some important variables less biased, with the trade-off being an increase in bias for other variables.</w:t>
      </w:r>
    </w:p>
    <w:p w:rsidR="003F5784" w14:paraId="5B468422" w14:textId="77777777">
      <w:pPr>
        <w:pStyle w:val="BodyText"/>
        <w:spacing w:before="211" w:line="232" w:lineRule="auto"/>
        <w:ind w:left="109" w:right="179"/>
      </w:pPr>
      <w:r>
        <w:t>These</w:t>
      </w:r>
      <w:r>
        <w:rPr>
          <w:spacing w:val="-7"/>
        </w:rPr>
        <w:t xml:space="preserve"> </w:t>
      </w:r>
      <w:r>
        <w:t>results</w:t>
      </w:r>
      <w:r>
        <w:rPr>
          <w:spacing w:val="-7"/>
        </w:rPr>
        <w:t xml:space="preserve"> </w:t>
      </w:r>
      <w:r>
        <w:t>suggest</w:t>
      </w:r>
      <w:r>
        <w:rPr>
          <w:spacing w:val="-7"/>
        </w:rPr>
        <w:t xml:space="preserve"> </w:t>
      </w:r>
      <w:r>
        <w:t>that,</w:t>
      </w:r>
      <w:r>
        <w:rPr>
          <w:spacing w:val="-7"/>
        </w:rPr>
        <w:t xml:space="preserve"> </w:t>
      </w:r>
      <w:r>
        <w:t>even</w:t>
      </w:r>
      <w:r>
        <w:rPr>
          <w:spacing w:val="-7"/>
        </w:rPr>
        <w:t xml:space="preserve"> </w:t>
      </w:r>
      <w:r>
        <w:t>after</w:t>
      </w:r>
      <w:r>
        <w:rPr>
          <w:spacing w:val="-7"/>
        </w:rPr>
        <w:t xml:space="preserve"> </w:t>
      </w:r>
      <w:r>
        <w:t>nonresponse</w:t>
      </w:r>
      <w:r>
        <w:rPr>
          <w:spacing w:val="-7"/>
        </w:rPr>
        <w:t xml:space="preserve"> </w:t>
      </w:r>
      <w:r>
        <w:t>adjustments,</w:t>
      </w:r>
      <w:r>
        <w:rPr>
          <w:spacing w:val="-7"/>
        </w:rPr>
        <w:t xml:space="preserve"> </w:t>
      </w:r>
      <w:r>
        <w:t>there</w:t>
      </w:r>
      <w:r>
        <w:rPr>
          <w:spacing w:val="-7"/>
        </w:rPr>
        <w:t xml:space="preserve"> </w:t>
      </w:r>
      <w:r>
        <w:t>is</w:t>
      </w:r>
      <w:r>
        <w:rPr>
          <w:spacing w:val="-7"/>
        </w:rPr>
        <w:t xml:space="preserve"> </w:t>
      </w:r>
      <w:r>
        <w:t>possibly</w:t>
      </w:r>
      <w:r>
        <w:rPr>
          <w:spacing w:val="-7"/>
        </w:rPr>
        <w:t xml:space="preserve"> </w:t>
      </w:r>
      <w:r>
        <w:t>significant</w:t>
      </w:r>
      <w:r>
        <w:rPr>
          <w:spacing w:val="-7"/>
        </w:rPr>
        <w:t xml:space="preserve"> </w:t>
      </w:r>
      <w:r>
        <w:t>nonresponse</w:t>
      </w:r>
      <w:r>
        <w:rPr>
          <w:spacing w:val="-7"/>
        </w:rPr>
        <w:t xml:space="preserve"> </w:t>
      </w:r>
      <w:r>
        <w:t>bias</w:t>
      </w:r>
      <w:r>
        <w:rPr>
          <w:spacing w:val="-7"/>
        </w:rPr>
        <w:t xml:space="preserve"> </w:t>
      </w:r>
      <w:r>
        <w:t>in</w:t>
      </w:r>
      <w:r>
        <w:rPr>
          <w:spacing w:val="-7"/>
        </w:rPr>
        <w:t xml:space="preserve"> </w:t>
      </w:r>
      <w:r>
        <w:t>the</w:t>
      </w:r>
      <w:r>
        <w:rPr>
          <w:spacing w:val="-7"/>
        </w:rPr>
        <w:t xml:space="preserve"> </w:t>
      </w:r>
      <w:r>
        <w:t>NAEP</w:t>
      </w:r>
      <w:r>
        <w:rPr>
          <w:spacing w:val="-14"/>
        </w:rPr>
        <w:t xml:space="preserve"> </w:t>
      </w:r>
      <w:r>
        <w:t>achievement</w:t>
      </w:r>
      <w:r>
        <w:rPr>
          <w:spacing w:val="-6"/>
        </w:rPr>
        <w:t xml:space="preserve"> </w:t>
      </w:r>
      <w:r>
        <w:t>results</w:t>
      </w:r>
      <w:r>
        <w:rPr>
          <w:spacing w:val="-7"/>
        </w:rPr>
        <w:t xml:space="preserve"> </w:t>
      </w:r>
      <w:r>
        <w:t>for</w:t>
      </w:r>
      <w:r>
        <w:rPr>
          <w:spacing w:val="-7"/>
        </w:rPr>
        <w:t xml:space="preserve"> </w:t>
      </w:r>
      <w:r>
        <w:t>private</w:t>
      </w:r>
      <w:r>
        <w:rPr>
          <w:spacing w:val="-7"/>
        </w:rPr>
        <w:t xml:space="preserve"> </w:t>
      </w:r>
      <w:r>
        <w:t>schools</w:t>
      </w:r>
      <w:r>
        <w:rPr>
          <w:spacing w:val="-7"/>
        </w:rPr>
        <w:t xml:space="preserve"> </w:t>
      </w:r>
      <w:r>
        <w:t>because</w:t>
      </w:r>
      <w:r>
        <w:rPr>
          <w:spacing w:val="-7"/>
        </w:rPr>
        <w:t xml:space="preserve"> </w:t>
      </w:r>
      <w:r>
        <w:t>non- trivial</w:t>
      </w:r>
      <w:r>
        <w:rPr>
          <w:spacing w:val="-1"/>
        </w:rPr>
        <w:t xml:space="preserve"> </w:t>
      </w:r>
      <w:r>
        <w:t>statistically</w:t>
      </w:r>
      <w:r>
        <w:rPr>
          <w:spacing w:val="-1"/>
        </w:rPr>
        <w:t xml:space="preserve"> </w:t>
      </w:r>
      <w:r>
        <w:t>significant</w:t>
      </w:r>
      <w:r>
        <w:rPr>
          <w:spacing w:val="-1"/>
        </w:rPr>
        <w:t xml:space="preserve"> </w:t>
      </w:r>
      <w:r>
        <w:t>differences</w:t>
      </w:r>
      <w:r>
        <w:rPr>
          <w:spacing w:val="-1"/>
        </w:rPr>
        <w:t xml:space="preserve"> </w:t>
      </w:r>
      <w:r>
        <w:t>remain</w:t>
      </w:r>
      <w:r>
        <w:rPr>
          <w:spacing w:val="-1"/>
        </w:rPr>
        <w:t xml:space="preserve"> </w:t>
      </w:r>
      <w:r>
        <w:t>between</w:t>
      </w:r>
      <w:r>
        <w:rPr>
          <w:spacing w:val="-1"/>
        </w:rPr>
        <w:t xml:space="preserve"> </w:t>
      </w:r>
      <w:r>
        <w:t>the</w:t>
      </w:r>
      <w:r>
        <w:rPr>
          <w:spacing w:val="-1"/>
        </w:rPr>
        <w:t xml:space="preserve"> </w:t>
      </w:r>
      <w:r>
        <w:t>responding</w:t>
      </w:r>
      <w:r>
        <w:rPr>
          <w:spacing w:val="-1"/>
        </w:rPr>
        <w:t xml:space="preserve"> </w:t>
      </w:r>
      <w:r>
        <w:t>and</w:t>
      </w:r>
      <w:r>
        <w:rPr>
          <w:spacing w:val="-1"/>
        </w:rPr>
        <w:t xml:space="preserve"> </w:t>
      </w:r>
      <w:r>
        <w:t>original</w:t>
      </w:r>
      <w:r>
        <w:rPr>
          <w:spacing w:val="-1"/>
        </w:rPr>
        <w:t xml:space="preserve"> </w:t>
      </w:r>
      <w:r>
        <w:t>samples</w:t>
      </w:r>
      <w:r>
        <w:rPr>
          <w:spacing w:val="-1"/>
        </w:rPr>
        <w:t xml:space="preserve"> </w:t>
      </w:r>
      <w:r>
        <w:t>for</w:t>
      </w:r>
      <w:r>
        <w:rPr>
          <w:spacing w:val="-1"/>
        </w:rPr>
        <w:t xml:space="preserve"> </w:t>
      </w:r>
      <w:r>
        <w:t>census</w:t>
      </w:r>
      <w:r>
        <w:rPr>
          <w:spacing w:val="-1"/>
        </w:rPr>
        <w:t xml:space="preserve"> </w:t>
      </w:r>
      <w:r>
        <w:t>region</w:t>
      </w:r>
      <w:r>
        <w:rPr>
          <w:spacing w:val="-1"/>
        </w:rPr>
        <w:t xml:space="preserve"> </w:t>
      </w:r>
      <w:r>
        <w:t>at</w:t>
      </w:r>
      <w:r>
        <w:rPr>
          <w:spacing w:val="-1"/>
        </w:rPr>
        <w:t xml:space="preserve"> </w:t>
      </w:r>
      <w:r>
        <w:t>age</w:t>
      </w:r>
      <w:r>
        <w:rPr>
          <w:spacing w:val="-1"/>
        </w:rPr>
        <w:t xml:space="preserve"> </w:t>
      </w:r>
      <w:r>
        <w:t>9</w:t>
      </w:r>
      <w:r>
        <w:rPr>
          <w:spacing w:val="-1"/>
        </w:rPr>
        <w:t xml:space="preserve"> </w:t>
      </w:r>
      <w:r>
        <w:t>and</w:t>
      </w:r>
      <w:r>
        <w:rPr>
          <w:spacing w:val="-1"/>
        </w:rPr>
        <w:t xml:space="preserve"> </w:t>
      </w:r>
      <w:r>
        <w:t>mean</w:t>
      </w:r>
      <w:r>
        <w:rPr>
          <w:spacing w:val="-1"/>
        </w:rPr>
        <w:t xml:space="preserve"> </w:t>
      </w:r>
      <w:r>
        <w:t>enrollment</w:t>
      </w:r>
      <w:r>
        <w:rPr>
          <w:spacing w:val="-1"/>
        </w:rPr>
        <w:t xml:space="preserve"> </w:t>
      </w:r>
      <w:r>
        <w:t>averaged</w:t>
      </w:r>
      <w:r>
        <w:rPr>
          <w:spacing w:val="-1"/>
        </w:rPr>
        <w:t xml:space="preserve"> </w:t>
      </w:r>
      <w:r>
        <w:t>across</w:t>
      </w:r>
      <w:r>
        <w:rPr>
          <w:spacing w:val="-1"/>
        </w:rPr>
        <w:t xml:space="preserve"> </w:t>
      </w:r>
      <w:r>
        <w:t>students</w:t>
      </w:r>
      <w:r>
        <w:rPr>
          <w:spacing w:val="-1"/>
        </w:rPr>
        <w:t xml:space="preserve"> </w:t>
      </w:r>
      <w:r>
        <w:t>at</w:t>
      </w:r>
      <w:r>
        <w:rPr>
          <w:spacing w:val="-1"/>
        </w:rPr>
        <w:t xml:space="preserve"> </w:t>
      </w:r>
      <w:r>
        <w:t xml:space="preserve">age </w:t>
      </w:r>
      <w:r>
        <w:rPr>
          <w:spacing w:val="-4"/>
        </w:rPr>
        <w:t>13.</w:t>
      </w:r>
    </w:p>
    <w:p w:rsidR="003F5784" w14:paraId="3B47E119" w14:textId="77777777">
      <w:pPr>
        <w:pStyle w:val="Heading2"/>
        <w:spacing w:before="204"/>
        <w:ind w:left="109"/>
      </w:pPr>
      <w:r>
        <w:t>Mathematics</w:t>
      </w:r>
      <w:r>
        <w:rPr>
          <w:spacing w:val="-6"/>
        </w:rPr>
        <w:t xml:space="preserve"> </w:t>
      </w:r>
      <w:r>
        <w:t>and</w:t>
      </w:r>
      <w:r>
        <w:rPr>
          <w:spacing w:val="-6"/>
        </w:rPr>
        <w:t xml:space="preserve"> </w:t>
      </w:r>
      <w:r>
        <w:t>Reading</w:t>
      </w:r>
      <w:r>
        <w:rPr>
          <w:spacing w:val="-6"/>
        </w:rPr>
        <w:t xml:space="preserve"> </w:t>
      </w:r>
      <w:r>
        <w:t>at</w:t>
      </w:r>
      <w:r>
        <w:rPr>
          <w:spacing w:val="-5"/>
        </w:rPr>
        <w:t xml:space="preserve"> </w:t>
      </w:r>
      <w:r>
        <w:t>Grades</w:t>
      </w:r>
      <w:r>
        <w:rPr>
          <w:spacing w:val="-6"/>
        </w:rPr>
        <w:t xml:space="preserve"> </w:t>
      </w:r>
      <w:r>
        <w:t>4</w:t>
      </w:r>
      <w:r>
        <w:rPr>
          <w:spacing w:val="-6"/>
        </w:rPr>
        <w:t xml:space="preserve"> </w:t>
      </w:r>
      <w:r>
        <w:t>and</w:t>
      </w:r>
      <w:r>
        <w:rPr>
          <w:spacing w:val="-5"/>
        </w:rPr>
        <w:t xml:space="preserve"> </w:t>
      </w:r>
      <w:r>
        <w:t>8</w:t>
      </w:r>
      <w:r>
        <w:rPr>
          <w:spacing w:val="-6"/>
        </w:rPr>
        <w:t xml:space="preserve"> </w:t>
      </w:r>
      <w:r>
        <w:t>for</w:t>
      </w:r>
      <w:r>
        <w:rPr>
          <w:spacing w:val="-9"/>
        </w:rPr>
        <w:t xml:space="preserve"> </w:t>
      </w:r>
      <w:r>
        <w:t>Catholic</w:t>
      </w:r>
      <w:r>
        <w:rPr>
          <w:spacing w:val="-6"/>
        </w:rPr>
        <w:t xml:space="preserve"> </w:t>
      </w:r>
      <w:r>
        <w:rPr>
          <w:spacing w:val="-2"/>
        </w:rPr>
        <w:t>Schools</w:t>
      </w:r>
    </w:p>
    <w:p w:rsidR="003F5784" w14:paraId="4F934044" w14:textId="77777777">
      <w:pPr>
        <w:pStyle w:val="BodyText"/>
        <w:spacing w:before="207" w:line="232" w:lineRule="auto"/>
        <w:ind w:left="109"/>
      </w:pPr>
      <w:r>
        <w:t>For grade 4 Catholic schools, nonresponse adjustment and substitution reduced the absolute bias for census region to 0 percent since census region is explicitly used to form nonresponse</w:t>
      </w:r>
      <w:r>
        <w:rPr>
          <w:spacing w:val="-6"/>
        </w:rPr>
        <w:t xml:space="preserve"> </w:t>
      </w:r>
      <w:r>
        <w:t>adjustment</w:t>
      </w:r>
      <w:r>
        <w:rPr>
          <w:spacing w:val="-6"/>
        </w:rPr>
        <w:t xml:space="preserve"> </w:t>
      </w:r>
      <w:r>
        <w:t>cells.</w:t>
      </w:r>
      <w:r>
        <w:rPr>
          <w:spacing w:val="-6"/>
        </w:rPr>
        <w:t xml:space="preserve"> </w:t>
      </w:r>
      <w:r>
        <w:t>Based</w:t>
      </w:r>
      <w:r>
        <w:rPr>
          <w:spacing w:val="-6"/>
        </w:rPr>
        <w:t xml:space="preserve"> </w:t>
      </w:r>
      <w:r>
        <w:t>on</w:t>
      </w:r>
      <w:r>
        <w:rPr>
          <w:spacing w:val="-6"/>
        </w:rPr>
        <w:t xml:space="preserve"> </w:t>
      </w:r>
      <w:r>
        <w:t>the</w:t>
      </w:r>
      <w:r>
        <w:rPr>
          <w:spacing w:val="-6"/>
        </w:rPr>
        <w:t xml:space="preserve"> </w:t>
      </w:r>
      <w:r>
        <w:t>results</w:t>
      </w:r>
      <w:r>
        <w:rPr>
          <w:spacing w:val="-6"/>
        </w:rPr>
        <w:t xml:space="preserve"> </w:t>
      </w:r>
      <w:r>
        <w:t>of</w:t>
      </w:r>
      <w:r>
        <w:rPr>
          <w:spacing w:val="-6"/>
        </w:rPr>
        <w:t xml:space="preserve"> </w:t>
      </w:r>
      <w:r>
        <w:t>the</w:t>
      </w:r>
      <w:r>
        <w:rPr>
          <w:spacing w:val="-6"/>
        </w:rPr>
        <w:t xml:space="preserve"> </w:t>
      </w:r>
      <w:r>
        <w:t>nonresponse</w:t>
      </w:r>
      <w:r>
        <w:rPr>
          <w:spacing w:val="-6"/>
        </w:rPr>
        <w:t xml:space="preserve"> </w:t>
      </w:r>
      <w:r>
        <w:t>bias</w:t>
      </w:r>
      <w:r>
        <w:rPr>
          <w:spacing w:val="-6"/>
        </w:rPr>
        <w:t xml:space="preserve"> </w:t>
      </w:r>
      <w:r>
        <w:t>analysis,</w:t>
      </w:r>
      <w:r>
        <w:rPr>
          <w:spacing w:val="-6"/>
        </w:rPr>
        <w:t xml:space="preserve"> </w:t>
      </w:r>
      <w:r>
        <w:t>there</w:t>
      </w:r>
      <w:r>
        <w:rPr>
          <w:spacing w:val="-6"/>
        </w:rPr>
        <w:t xml:space="preserve"> </w:t>
      </w:r>
      <w:r>
        <w:t>is</w:t>
      </w:r>
      <w:r>
        <w:rPr>
          <w:spacing w:val="-6"/>
        </w:rPr>
        <w:t xml:space="preserve"> </w:t>
      </w:r>
      <w:r>
        <w:t>no</w:t>
      </w:r>
      <w:r>
        <w:rPr>
          <w:spacing w:val="-6"/>
        </w:rPr>
        <w:t xml:space="preserve"> </w:t>
      </w:r>
      <w:r>
        <w:t>evidence</w:t>
      </w:r>
      <w:r>
        <w:rPr>
          <w:spacing w:val="-6"/>
        </w:rPr>
        <w:t xml:space="preserve"> </w:t>
      </w:r>
      <w:r>
        <w:t>that</w:t>
      </w:r>
      <w:r>
        <w:rPr>
          <w:spacing w:val="-6"/>
        </w:rPr>
        <w:t xml:space="preserve"> </w:t>
      </w:r>
      <w:r>
        <w:t>the</w:t>
      </w:r>
      <w:r>
        <w:rPr>
          <w:spacing w:val="-6"/>
        </w:rPr>
        <w:t xml:space="preserve"> </w:t>
      </w:r>
      <w:r>
        <w:t>responding</w:t>
      </w:r>
      <w:r>
        <w:rPr>
          <w:spacing w:val="-6"/>
        </w:rPr>
        <w:t xml:space="preserve"> </w:t>
      </w:r>
      <w:r>
        <w:t>Catholic</w:t>
      </w:r>
      <w:r>
        <w:rPr>
          <w:spacing w:val="-6"/>
        </w:rPr>
        <w:t xml:space="preserve"> </w:t>
      </w:r>
      <w:r>
        <w:t>school</w:t>
      </w:r>
      <w:r>
        <w:rPr>
          <w:spacing w:val="-6"/>
        </w:rPr>
        <w:t xml:space="preserve"> </w:t>
      </w:r>
      <w:r>
        <w:t>sample</w:t>
      </w:r>
      <w:r>
        <w:rPr>
          <w:spacing w:val="-6"/>
        </w:rPr>
        <w:t xml:space="preserve"> </w:t>
      </w:r>
      <w:r>
        <w:t>is</w:t>
      </w:r>
      <w:r>
        <w:rPr>
          <w:spacing w:val="-6"/>
        </w:rPr>
        <w:t xml:space="preserve"> </w:t>
      </w:r>
      <w:r>
        <w:t>biased</w:t>
      </w:r>
      <w:r>
        <w:rPr>
          <w:spacing w:val="-6"/>
        </w:rPr>
        <w:t xml:space="preserve"> </w:t>
      </w:r>
      <w:r>
        <w:t>from</w:t>
      </w:r>
      <w:r>
        <w:rPr>
          <w:spacing w:val="-6"/>
        </w:rPr>
        <w:t xml:space="preserve"> </w:t>
      </w:r>
      <w:r>
        <w:t>the</w:t>
      </w:r>
      <w:r>
        <w:rPr>
          <w:spacing w:val="-6"/>
        </w:rPr>
        <w:t xml:space="preserve"> </w:t>
      </w:r>
      <w:r>
        <w:t>original eligible Catholic school sample. For grade 8 Catholic schools, after nonresponse adjustment and substitution, the absolute bias for percent Black increased. Because the nonresponse adjustments removed substantial bias from other groups, including the census region, the ability to fully adjust for other school characteristics was very limited. After the nonresponse adjustment and the substitution, a new significant characteristic, school class size was introduced.</w:t>
      </w:r>
      <w:r>
        <w:rPr>
          <w:spacing w:val="-11"/>
        </w:rPr>
        <w:t xml:space="preserve"> </w:t>
      </w:r>
      <w:r>
        <w:t>As school size is not one of the variables used in the nonresponse weighting adjustment, use of the nonresponse adjusted weights may not reduce bias for school size categories.</w:t>
      </w:r>
    </w:p>
    <w:p w:rsidR="003F5784" w14:paraId="5F1555C8" w14:textId="77777777">
      <w:pPr>
        <w:pStyle w:val="BodyText"/>
        <w:spacing w:before="211" w:line="232" w:lineRule="auto"/>
        <w:ind w:left="109" w:right="485"/>
      </w:pPr>
      <w:r>
        <w:t>These</w:t>
      </w:r>
      <w:r>
        <w:rPr>
          <w:spacing w:val="-7"/>
        </w:rPr>
        <w:t xml:space="preserve"> </w:t>
      </w:r>
      <w:r>
        <w:t>results</w:t>
      </w:r>
      <w:r>
        <w:rPr>
          <w:spacing w:val="-7"/>
        </w:rPr>
        <w:t xml:space="preserve"> </w:t>
      </w:r>
      <w:r>
        <w:t>suggest</w:t>
      </w:r>
      <w:r>
        <w:rPr>
          <w:spacing w:val="-7"/>
        </w:rPr>
        <w:t xml:space="preserve"> </w:t>
      </w:r>
      <w:r>
        <w:t>that,</w:t>
      </w:r>
      <w:r>
        <w:rPr>
          <w:spacing w:val="-7"/>
        </w:rPr>
        <w:t xml:space="preserve"> </w:t>
      </w:r>
      <w:r>
        <w:t>even</w:t>
      </w:r>
      <w:r>
        <w:rPr>
          <w:spacing w:val="-7"/>
        </w:rPr>
        <w:t xml:space="preserve"> </w:t>
      </w:r>
      <w:r>
        <w:t>after</w:t>
      </w:r>
      <w:r>
        <w:rPr>
          <w:spacing w:val="-7"/>
        </w:rPr>
        <w:t xml:space="preserve"> </w:t>
      </w:r>
      <w:r>
        <w:t>nonresponse</w:t>
      </w:r>
      <w:r>
        <w:rPr>
          <w:spacing w:val="-7"/>
        </w:rPr>
        <w:t xml:space="preserve"> </w:t>
      </w:r>
      <w:r>
        <w:t>adjustments,</w:t>
      </w:r>
      <w:r>
        <w:rPr>
          <w:spacing w:val="-7"/>
        </w:rPr>
        <w:t xml:space="preserve"> </w:t>
      </w:r>
      <w:r>
        <w:t>there</w:t>
      </w:r>
      <w:r>
        <w:rPr>
          <w:spacing w:val="-7"/>
        </w:rPr>
        <w:t xml:space="preserve"> </w:t>
      </w:r>
      <w:r>
        <w:t>is</w:t>
      </w:r>
      <w:r>
        <w:rPr>
          <w:spacing w:val="-7"/>
        </w:rPr>
        <w:t xml:space="preserve"> </w:t>
      </w:r>
      <w:r>
        <w:t>possibly</w:t>
      </w:r>
      <w:r>
        <w:rPr>
          <w:spacing w:val="-7"/>
        </w:rPr>
        <w:t xml:space="preserve"> </w:t>
      </w:r>
      <w:r>
        <w:t>significant</w:t>
      </w:r>
      <w:r>
        <w:rPr>
          <w:spacing w:val="-7"/>
        </w:rPr>
        <w:t xml:space="preserve"> </w:t>
      </w:r>
      <w:r>
        <w:t>nonresponse</w:t>
      </w:r>
      <w:r>
        <w:rPr>
          <w:spacing w:val="-7"/>
        </w:rPr>
        <w:t xml:space="preserve"> </w:t>
      </w:r>
      <w:r>
        <w:t>bias</w:t>
      </w:r>
      <w:r>
        <w:rPr>
          <w:spacing w:val="-7"/>
        </w:rPr>
        <w:t xml:space="preserve"> </w:t>
      </w:r>
      <w:r>
        <w:t>in</w:t>
      </w:r>
      <w:r>
        <w:rPr>
          <w:spacing w:val="-7"/>
        </w:rPr>
        <w:t xml:space="preserve"> </w:t>
      </w:r>
      <w:r>
        <w:t>the</w:t>
      </w:r>
      <w:r>
        <w:rPr>
          <w:spacing w:val="-7"/>
        </w:rPr>
        <w:t xml:space="preserve"> </w:t>
      </w:r>
      <w:r>
        <w:t>NAEP</w:t>
      </w:r>
      <w:r>
        <w:rPr>
          <w:spacing w:val="-14"/>
        </w:rPr>
        <w:t xml:space="preserve"> </w:t>
      </w:r>
      <w:r>
        <w:t>achievement</w:t>
      </w:r>
      <w:r>
        <w:rPr>
          <w:spacing w:val="-6"/>
        </w:rPr>
        <w:t xml:space="preserve"> </w:t>
      </w:r>
      <w:r>
        <w:t>results</w:t>
      </w:r>
      <w:r>
        <w:rPr>
          <w:spacing w:val="-7"/>
        </w:rPr>
        <w:t xml:space="preserve"> </w:t>
      </w:r>
      <w:r>
        <w:t>for</w:t>
      </w:r>
      <w:r>
        <w:rPr>
          <w:spacing w:val="-7"/>
        </w:rPr>
        <w:t xml:space="preserve"> </w:t>
      </w:r>
      <w:r>
        <w:t>Catholic</w:t>
      </w:r>
      <w:r>
        <w:rPr>
          <w:spacing w:val="-7"/>
        </w:rPr>
        <w:t xml:space="preserve"> </w:t>
      </w:r>
      <w:r>
        <w:t>schools</w:t>
      </w:r>
      <w:r>
        <w:rPr>
          <w:spacing w:val="-7"/>
        </w:rPr>
        <w:t xml:space="preserve"> </w:t>
      </w:r>
      <w:r>
        <w:t>because non-trivial statistically significant differences remain between the responding and original samples for school size class and percentage Black (Non-Hispanic) for grade 8.</w:t>
      </w:r>
    </w:p>
    <w:p w:rsidR="003F5784" w14:paraId="5088B4C5" w14:textId="77777777">
      <w:pPr>
        <w:pStyle w:val="Heading2"/>
        <w:spacing w:before="203"/>
        <w:ind w:left="109"/>
      </w:pPr>
      <w:r>
        <w:rPr>
          <w:spacing w:val="-2"/>
        </w:rPr>
        <w:t>Student-level</w:t>
      </w:r>
      <w:r>
        <w:rPr>
          <w:spacing w:val="7"/>
        </w:rPr>
        <w:t xml:space="preserve"> </w:t>
      </w:r>
      <w:r>
        <w:rPr>
          <w:spacing w:val="-2"/>
        </w:rPr>
        <w:t>Nonresponse</w:t>
      </w:r>
      <w:r>
        <w:rPr>
          <w:spacing w:val="8"/>
        </w:rPr>
        <w:t xml:space="preserve"> </w:t>
      </w:r>
      <w:r>
        <w:rPr>
          <w:spacing w:val="-2"/>
        </w:rPr>
        <w:t>Bias</w:t>
      </w:r>
      <w:r>
        <w:rPr>
          <w:spacing w:val="-5"/>
        </w:rPr>
        <w:t xml:space="preserve"> </w:t>
      </w:r>
      <w:r>
        <w:rPr>
          <w:spacing w:val="-2"/>
        </w:rPr>
        <w:t>Analyses</w:t>
      </w:r>
    </w:p>
    <w:p w:rsidR="003F5784" w14:paraId="278BBE9D" w14:textId="77777777">
      <w:pPr>
        <w:pStyle w:val="BodyText"/>
        <w:spacing w:before="208" w:line="232" w:lineRule="auto"/>
        <w:ind w:left="109"/>
      </w:pPr>
      <w:r>
        <w:t>For the 2022 mathematics and reading assessments at grades 4 and 8, at the student-level, response rates fell below the critical 85 percent threshold for fourteen reporting domain</w:t>
      </w:r>
      <w:r>
        <w:rPr>
          <w:spacing w:val="-14"/>
        </w:rPr>
        <w:t xml:space="preserve"> </w:t>
      </w:r>
      <w:r>
        <w:t>and</w:t>
      </w:r>
      <w:r>
        <w:rPr>
          <w:spacing w:val="-9"/>
        </w:rPr>
        <w:t xml:space="preserve"> </w:t>
      </w:r>
      <w:r>
        <w:t>subject</w:t>
      </w:r>
      <w:r>
        <w:rPr>
          <w:spacing w:val="-8"/>
        </w:rPr>
        <w:t xml:space="preserve"> </w:t>
      </w:r>
      <w:r>
        <w:t>combinations</w:t>
      </w:r>
      <w:r>
        <w:rPr>
          <w:spacing w:val="-8"/>
        </w:rPr>
        <w:t xml:space="preserve"> </w:t>
      </w:r>
      <w:r>
        <w:t>at</w:t>
      </w:r>
      <w:r>
        <w:rPr>
          <w:spacing w:val="-8"/>
        </w:rPr>
        <w:t xml:space="preserve"> </w:t>
      </w:r>
      <w:r>
        <w:t>grade</w:t>
      </w:r>
      <w:r>
        <w:rPr>
          <w:spacing w:val="-8"/>
        </w:rPr>
        <w:t xml:space="preserve"> </w:t>
      </w:r>
      <w:r>
        <w:t>8:</w:t>
      </w:r>
      <w:r>
        <w:rPr>
          <w:spacing w:val="-8"/>
        </w:rPr>
        <w:t xml:space="preserve"> </w:t>
      </w:r>
      <w:r>
        <w:t>New</w:t>
      </w:r>
      <w:r>
        <w:rPr>
          <w:spacing w:val="-14"/>
        </w:rPr>
        <w:t xml:space="preserve"> </w:t>
      </w:r>
      <w:r>
        <w:t>York,</w:t>
      </w:r>
      <w:r>
        <w:rPr>
          <w:spacing w:val="-7"/>
        </w:rPr>
        <w:t xml:space="preserve"> </w:t>
      </w:r>
      <w:r>
        <w:t>New</w:t>
      </w:r>
      <w:r>
        <w:rPr>
          <w:spacing w:val="-14"/>
        </w:rPr>
        <w:t xml:space="preserve"> </w:t>
      </w:r>
      <w:r>
        <w:t>York</w:t>
      </w:r>
      <w:r>
        <w:rPr>
          <w:spacing w:val="-7"/>
        </w:rPr>
        <w:t xml:space="preserve"> </w:t>
      </w:r>
      <w:r>
        <w:t>City</w:t>
      </w:r>
      <w:r>
        <w:rPr>
          <w:spacing w:val="-12"/>
        </w:rPr>
        <w:t xml:space="preserve"> </w:t>
      </w:r>
      <w:r>
        <w:t>TUDA,</w:t>
      </w:r>
      <w:r>
        <w:rPr>
          <w:spacing w:val="-14"/>
        </w:rPr>
        <w:t xml:space="preserve"> </w:t>
      </w:r>
      <w:r>
        <w:t>Alaska,</w:t>
      </w:r>
      <w:r>
        <w:rPr>
          <w:spacing w:val="-7"/>
        </w:rPr>
        <w:t xml:space="preserve"> </w:t>
      </w:r>
      <w:r>
        <w:t>District</w:t>
      </w:r>
      <w:r>
        <w:rPr>
          <w:spacing w:val="-8"/>
        </w:rPr>
        <w:t xml:space="preserve"> </w:t>
      </w:r>
      <w:r>
        <w:t>of</w:t>
      </w:r>
      <w:r>
        <w:rPr>
          <w:spacing w:val="-8"/>
        </w:rPr>
        <w:t xml:space="preserve"> </w:t>
      </w:r>
      <w:r>
        <w:t>Columbia,</w:t>
      </w:r>
      <w:r>
        <w:rPr>
          <w:spacing w:val="-8"/>
        </w:rPr>
        <w:t xml:space="preserve"> </w:t>
      </w:r>
      <w:r>
        <w:t>District</w:t>
      </w:r>
      <w:r>
        <w:rPr>
          <w:spacing w:val="-8"/>
        </w:rPr>
        <w:t xml:space="preserve"> </w:t>
      </w:r>
      <w:r>
        <w:t>of</w:t>
      </w:r>
      <w:r>
        <w:rPr>
          <w:spacing w:val="-8"/>
        </w:rPr>
        <w:t xml:space="preserve"> </w:t>
      </w:r>
      <w:r>
        <w:t>Columbia</w:t>
      </w:r>
      <w:r>
        <w:rPr>
          <w:spacing w:val="-8"/>
        </w:rPr>
        <w:t xml:space="preserve"> </w:t>
      </w:r>
      <w:r>
        <w:t>Public</w:t>
      </w:r>
      <w:r>
        <w:rPr>
          <w:spacing w:val="-8"/>
        </w:rPr>
        <w:t xml:space="preserve"> </w:t>
      </w:r>
      <w:r>
        <w:t>Schools</w:t>
      </w:r>
      <w:r>
        <w:rPr>
          <w:spacing w:val="-8"/>
        </w:rPr>
        <w:t xml:space="preserve"> </w:t>
      </w:r>
      <w:r>
        <w:t>(TUDA),</w:t>
      </w:r>
      <w:r>
        <w:rPr>
          <w:spacing w:val="-8"/>
        </w:rPr>
        <w:t xml:space="preserve"> </w:t>
      </w:r>
      <w:r>
        <w:t>and</w:t>
      </w:r>
      <w:r>
        <w:rPr>
          <w:spacing w:val="-8"/>
        </w:rPr>
        <w:t xml:space="preserve"> </w:t>
      </w:r>
      <w:r>
        <w:t>Milwaukee TUDA</w:t>
      </w:r>
      <w:r>
        <w:rPr>
          <w:spacing w:val="-11"/>
        </w:rPr>
        <w:t xml:space="preserve"> </w:t>
      </w:r>
      <w:r>
        <w:t>in both mathematics and reading; Hawaii in reading only; and New Hampshire in mathematics only.</w:t>
      </w:r>
      <w:r>
        <w:rPr>
          <w:spacing w:val="-11"/>
        </w:rPr>
        <w:t xml:space="preserve"> </w:t>
      </w:r>
      <w:r>
        <w:t>After student nonresponse adjustments, there is no evidence of substantial bias in these jurisdictions as a result of student nonresponse.</w:t>
      </w:r>
    </w:p>
    <w:p w:rsidR="003F5784" w14:paraId="371C46BB" w14:textId="7405E3D1">
      <w:pPr>
        <w:pStyle w:val="BodyText"/>
        <w:spacing w:before="210" w:line="232" w:lineRule="auto"/>
        <w:ind w:left="109"/>
      </w:pPr>
      <w:r>
        <w:t>Each student-level analysis was conducted in two parts.</w:t>
      </w:r>
      <w:r>
        <w:rPr>
          <w:spacing w:val="-3"/>
        </w:rPr>
        <w:t xml:space="preserve"> </w:t>
      </w:r>
      <w:r>
        <w:t>The first part of the analysis examined the potential for nonresponse bias that was introduced through student nonresponse.</w:t>
      </w:r>
      <w:r>
        <w:rPr>
          <w:spacing w:val="-11"/>
        </w:rPr>
        <w:t xml:space="preserve"> </w:t>
      </w:r>
      <w:r>
        <w:t>The</w:t>
      </w:r>
      <w:r>
        <w:rPr>
          <w:spacing w:val="-7"/>
        </w:rPr>
        <w:t xml:space="preserve"> </w:t>
      </w:r>
      <w:r>
        <w:t>second</w:t>
      </w:r>
      <w:r>
        <w:rPr>
          <w:spacing w:val="-7"/>
        </w:rPr>
        <w:t xml:space="preserve"> </w:t>
      </w:r>
      <w:r>
        <w:t>part</w:t>
      </w:r>
      <w:r>
        <w:rPr>
          <w:spacing w:val="-7"/>
        </w:rPr>
        <w:t xml:space="preserve"> </w:t>
      </w:r>
      <w:r>
        <w:t>examined</w:t>
      </w:r>
      <w:r>
        <w:rPr>
          <w:spacing w:val="-7"/>
        </w:rPr>
        <w:t xml:space="preserve"> </w:t>
      </w:r>
      <w:r>
        <w:t>the</w:t>
      </w:r>
      <w:r>
        <w:rPr>
          <w:spacing w:val="-7"/>
        </w:rPr>
        <w:t xml:space="preserve"> </w:t>
      </w:r>
      <w:r>
        <w:t>potential</w:t>
      </w:r>
      <w:r>
        <w:rPr>
          <w:spacing w:val="-7"/>
        </w:rPr>
        <w:t xml:space="preserve"> </w:t>
      </w:r>
      <w:r>
        <w:t>for</w:t>
      </w:r>
      <w:r>
        <w:rPr>
          <w:spacing w:val="-7"/>
        </w:rPr>
        <w:t xml:space="preserve"> </w:t>
      </w:r>
      <w:r>
        <w:t>bias</w:t>
      </w:r>
      <w:r>
        <w:rPr>
          <w:spacing w:val="-7"/>
        </w:rPr>
        <w:t xml:space="preserve"> </w:t>
      </w:r>
      <w:r>
        <w:t>after</w:t>
      </w:r>
      <w:r>
        <w:rPr>
          <w:spacing w:val="-7"/>
        </w:rPr>
        <w:t xml:space="preserve"> </w:t>
      </w:r>
      <w:r>
        <w:t>accounting</w:t>
      </w:r>
      <w:r>
        <w:rPr>
          <w:spacing w:val="-7"/>
        </w:rPr>
        <w:t xml:space="preserve"> </w:t>
      </w:r>
      <w:r>
        <w:t>for</w:t>
      </w:r>
      <w:r>
        <w:rPr>
          <w:spacing w:val="-7"/>
        </w:rPr>
        <w:t xml:space="preserve"> </w:t>
      </w:r>
      <w:r>
        <w:t>the</w:t>
      </w:r>
      <w:r>
        <w:rPr>
          <w:spacing w:val="-7"/>
        </w:rPr>
        <w:t xml:space="preserve"> </w:t>
      </w:r>
      <w:r>
        <w:t>effects</w:t>
      </w:r>
      <w:r>
        <w:rPr>
          <w:spacing w:val="-7"/>
        </w:rPr>
        <w:t xml:space="preserve"> </w:t>
      </w:r>
      <w:r>
        <w:t>of</w:t>
      </w:r>
      <w:r>
        <w:rPr>
          <w:spacing w:val="-7"/>
        </w:rPr>
        <w:t xml:space="preserve"> </w:t>
      </w:r>
      <w:r>
        <w:t>nonresponse</w:t>
      </w:r>
      <w:r>
        <w:rPr>
          <w:spacing w:val="-7"/>
        </w:rPr>
        <w:t xml:space="preserve"> </w:t>
      </w:r>
      <w:r>
        <w:t>weighting</w:t>
      </w:r>
      <w:r>
        <w:rPr>
          <w:spacing w:val="-7"/>
        </w:rPr>
        <w:t xml:space="preserve"> </w:t>
      </w:r>
      <w:r>
        <w:t>adjustments.</w:t>
      </w:r>
      <w:r>
        <w:rPr>
          <w:spacing w:val="-11"/>
        </w:rPr>
        <w:t xml:space="preserve"> </w:t>
      </w:r>
      <w:r>
        <w:t>The</w:t>
      </w:r>
      <w:r>
        <w:rPr>
          <w:spacing w:val="-7"/>
        </w:rPr>
        <w:t xml:space="preserve"> </w:t>
      </w:r>
      <w:r>
        <w:t>characteristics</w:t>
      </w:r>
      <w:r>
        <w:rPr>
          <w:spacing w:val="-7"/>
        </w:rPr>
        <w:t xml:space="preserve"> </w:t>
      </w:r>
      <w:r>
        <w:t>examined</w:t>
      </w:r>
      <w:r>
        <w:rPr>
          <w:spacing w:val="-7"/>
        </w:rPr>
        <w:t xml:space="preserve"> </w:t>
      </w:r>
      <w:r>
        <w:t>were</w:t>
      </w:r>
      <w:r>
        <w:rPr>
          <w:spacing w:val="-7"/>
        </w:rPr>
        <w:t xml:space="preserve"> </w:t>
      </w:r>
      <w:r w:rsidR="00B4162D">
        <w:t>sex</w:t>
      </w:r>
      <w:r>
        <w:t>, race/ethnicity, relative age, National School Lunch Program eligibility, student disability (SD) status, and English learner (EL) status.</w:t>
      </w:r>
    </w:p>
    <w:p w:rsidR="003F5784" w14:paraId="52D24887" w14:textId="77777777">
      <w:pPr>
        <w:pStyle w:val="BodyText"/>
      </w:pPr>
    </w:p>
    <w:p w:rsidR="003F5784" w14:paraId="68353FA7" w14:textId="77777777">
      <w:pPr>
        <w:pStyle w:val="BodyText"/>
      </w:pPr>
    </w:p>
    <w:p w:rsidR="003F5784" w14:paraId="5DD7D6FD" w14:textId="77777777">
      <w:pPr>
        <w:pStyle w:val="BodyText"/>
        <w:spacing w:before="145"/>
      </w:pPr>
    </w:p>
    <w:p w:rsidR="003F5784" w14:paraId="3C5F8246" w14:textId="77777777">
      <w:pPr>
        <w:spacing w:before="1"/>
        <w:ind w:left="6021"/>
        <w:rPr>
          <w:sz w:val="18"/>
        </w:rPr>
      </w:pPr>
      <w:hyperlink r:id="rId571">
        <w:r>
          <w:rPr>
            <w:spacing w:val="-2"/>
            <w:w w:val="105"/>
            <w:sz w:val="18"/>
          </w:rPr>
          <w:t>http://nces.ed.gov/nationsreportcard/tdw/weighting/2022/nonresponse_bias_analyses_for_the_2022_assessment.aspx</w:t>
        </w:r>
      </w:hyperlink>
    </w:p>
    <w:p w:rsidR="003F5784" w14:paraId="37159384" w14:textId="77777777">
      <w:pPr>
        <w:pStyle w:val="BodyText"/>
        <w:rPr>
          <w:sz w:val="16"/>
        </w:rPr>
      </w:pPr>
      <w:r>
        <w:rPr>
          <w:noProof/>
        </w:rPr>
        <mc:AlternateContent>
          <mc:Choice Requires="wps">
            <w:drawing>
              <wp:anchor distT="0" distB="0" distL="0" distR="0" simplePos="0" relativeHeight="252052480" behindDoc="1" locked="0" layoutInCell="1" allowOverlap="1">
                <wp:simplePos x="0" y="0"/>
                <wp:positionH relativeFrom="page">
                  <wp:posOffset>361937</wp:posOffset>
                </wp:positionH>
                <wp:positionV relativeFrom="paragraph">
                  <wp:posOffset>131996</wp:posOffset>
                </wp:positionV>
                <wp:extent cx="9339580" cy="8890"/>
                <wp:effectExtent l="0" t="0" r="0" b="0"/>
                <wp:wrapTopAndBottom/>
                <wp:docPr id="732" name="Graphic 732"/>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38"/>
                              </a:moveTo>
                              <a:lnTo>
                                <a:pt x="9335110" y="38"/>
                              </a:lnTo>
                              <a:lnTo>
                                <a:pt x="8280" y="38"/>
                              </a:lnTo>
                              <a:lnTo>
                                <a:pt x="0" y="0"/>
                              </a:lnTo>
                              <a:lnTo>
                                <a:pt x="0" y="8280"/>
                              </a:lnTo>
                              <a:lnTo>
                                <a:pt x="9335110" y="8318"/>
                              </a:lnTo>
                              <a:lnTo>
                                <a:pt x="9338970" y="8318"/>
                              </a:lnTo>
                              <a:lnTo>
                                <a:pt x="9338970" y="38"/>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732" o:spid="_x0000_s1229" style="width:735.4pt;height:0.7pt;margin-top:10.4pt;margin-left:28.5pt;mso-position-horizontal-relative:page;mso-wrap-distance-bottom:0;mso-wrap-distance-left:0;mso-wrap-distance-right:0;mso-wrap-distance-top:0;mso-wrap-style:square;position:absolute;visibility:visible;v-text-anchor:top;z-index:-251262976" coordsize="9339580,8890" path="m9338970,38l9335110,38l8280,38,,,,8280l9335110,8318l9338970,8318l9338970,38xe" fillcolor="gray" stroked="f">
                <v:path arrowok="t"/>
                <w10:wrap type="topAndBottom"/>
              </v:shape>
            </w:pict>
          </mc:Fallback>
        </mc:AlternateContent>
      </w:r>
    </w:p>
    <w:sectPr>
      <w:pgSz w:w="15840" w:h="12240" w:orient="landscape"/>
      <w:pgMar w:top="480" w:right="440" w:bottom="460" w:left="460" w:header="284" w:footer="27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55C63B43" w14:textId="0F1989A3">
    <w:pPr>
      <w:pStyle w:val="BodyText"/>
      <w:spacing w:line="14" w:lineRule="auto"/>
      <w:rPr>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4AFA8CD6" w14:textId="77777777">
    <w:pPr>
      <w:pStyle w:val="BodyText"/>
      <w:spacing w:line="14" w:lineRule="auto"/>
      <w:rPr>
        <w:sz w:val="20"/>
      </w:rPr>
    </w:pPr>
    <w:r>
      <w:rPr>
        <w:noProof/>
      </w:rPr>
      <mc:AlternateContent>
        <mc:Choice Requires="wps">
          <w:drawing>
            <wp:anchor distT="0" distB="0" distL="0" distR="0" simplePos="0" relativeHeight="251691008"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319" name="Textbox 319"/>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19" o:spid="_x0000_s2101"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624448" filled="f" stroked="f">
              <v:textbox inset="0,0,0,0">
                <w:txbxContent>
                  <w:p w:rsidR="003F5784" w14:paraId="48F067BE"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693056" behindDoc="1" locked="0" layoutInCell="1" allowOverlap="1">
              <wp:simplePos x="0" y="0"/>
              <wp:positionH relativeFrom="page">
                <wp:posOffset>9355782</wp:posOffset>
              </wp:positionH>
              <wp:positionV relativeFrom="page">
                <wp:posOffset>7458231</wp:posOffset>
              </wp:positionV>
              <wp:extent cx="410845" cy="139065"/>
              <wp:effectExtent l="0" t="0" r="0" b="0"/>
              <wp:wrapNone/>
              <wp:docPr id="320" name="Textbox 320"/>
              <wp:cNvGraphicFramePr/>
              <a:graphic xmlns:a="http://schemas.openxmlformats.org/drawingml/2006/main">
                <a:graphicData uri="http://schemas.microsoft.com/office/word/2010/wordprocessingShape">
                  <wps:wsp xmlns:wps="http://schemas.microsoft.com/office/word/2010/wordprocessingShape">
                    <wps:cNvSpPr txBox="1"/>
                    <wps:spPr>
                      <a:xfrm>
                        <a:off x="0" y="0"/>
                        <a:ext cx="41084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112</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320" o:spid="_x0000_s2102" type="#_x0000_t202" style="width:32.35pt;height:10.95pt;margin-top:587.25pt;margin-left:736.7pt;mso-position-horizontal-relative:page;mso-position-vertical-relative:page;mso-wrap-distance-bottom:0;mso-wrap-distance-left:0;mso-wrap-distance-right:0;mso-wrap-distance-top:0;mso-wrap-style:square;position:absolute;visibility:visible;v-text-anchor:top;z-index:-251622400" filled="f" stroked="f">
              <v:textbox inset="0,0,0,0">
                <w:txbxContent>
                  <w:p w:rsidR="003F5784" w14:paraId="3448630C"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112</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3E97B3B0" w14:textId="77777777">
    <w:pPr>
      <w:pStyle w:val="BodyText"/>
      <w:spacing w:line="14" w:lineRule="auto"/>
      <w:rPr>
        <w:sz w:val="20"/>
      </w:rPr>
    </w:pPr>
    <w:r>
      <w:rPr>
        <w:noProof/>
      </w:rPr>
      <mc:AlternateContent>
        <mc:Choice Requires="wps">
          <w:drawing>
            <wp:anchor distT="0" distB="0" distL="0" distR="0" simplePos="0" relativeHeight="251695104"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331" name="Textbox 331"/>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31" o:spid="_x0000_s2113"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620352" filled="f" stroked="f">
              <v:textbox inset="0,0,0,0">
                <w:txbxContent>
                  <w:p w:rsidR="003F5784" w14:paraId="494D80FF"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697152" behindDoc="1" locked="0" layoutInCell="1" allowOverlap="1">
              <wp:simplePos x="0" y="0"/>
              <wp:positionH relativeFrom="page">
                <wp:posOffset>9355782</wp:posOffset>
              </wp:positionH>
              <wp:positionV relativeFrom="page">
                <wp:posOffset>7458231</wp:posOffset>
              </wp:positionV>
              <wp:extent cx="410845" cy="139065"/>
              <wp:effectExtent l="0" t="0" r="0" b="0"/>
              <wp:wrapNone/>
              <wp:docPr id="332" name="Textbox 332"/>
              <wp:cNvGraphicFramePr/>
              <a:graphic xmlns:a="http://schemas.openxmlformats.org/drawingml/2006/main">
                <a:graphicData uri="http://schemas.microsoft.com/office/word/2010/wordprocessingShape">
                  <wps:wsp xmlns:wps="http://schemas.microsoft.com/office/word/2010/wordprocessingShape">
                    <wps:cNvSpPr txBox="1"/>
                    <wps:spPr>
                      <a:xfrm>
                        <a:off x="0" y="0"/>
                        <a:ext cx="41084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113</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332" o:spid="_x0000_s2114" type="#_x0000_t202" style="width:32.35pt;height:10.95pt;margin-top:587.25pt;margin-left:736.7pt;mso-position-horizontal-relative:page;mso-position-vertical-relative:page;mso-wrap-distance-bottom:0;mso-wrap-distance-left:0;mso-wrap-distance-right:0;mso-wrap-distance-top:0;mso-wrap-style:square;position:absolute;visibility:visible;v-text-anchor:top;z-index:-251618304" filled="f" stroked="f">
              <v:textbox inset="0,0,0,0">
                <w:txbxContent>
                  <w:p w:rsidR="003F5784" w14:paraId="569367EC"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113</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2E886B74" w14:textId="77777777">
    <w:pPr>
      <w:pStyle w:val="BodyText"/>
      <w:spacing w:line="14" w:lineRule="auto"/>
      <w:rPr>
        <w:sz w:val="20"/>
      </w:rPr>
    </w:pPr>
    <w:r>
      <w:rPr>
        <w:noProof/>
      </w:rPr>
      <mc:AlternateContent>
        <mc:Choice Requires="wps">
          <w:drawing>
            <wp:anchor distT="0" distB="0" distL="0" distR="0" simplePos="0" relativeHeight="251699200"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336" name="Textbox 336"/>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36" o:spid="_x0000_s2117"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616256" filled="f" stroked="f">
              <v:textbox inset="0,0,0,0">
                <w:txbxContent>
                  <w:p w:rsidR="003F5784" w14:paraId="4CEE7C2F"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01248" behindDoc="1" locked="0" layoutInCell="1" allowOverlap="1">
              <wp:simplePos x="0" y="0"/>
              <wp:positionH relativeFrom="page">
                <wp:posOffset>9355782</wp:posOffset>
              </wp:positionH>
              <wp:positionV relativeFrom="page">
                <wp:posOffset>7458231</wp:posOffset>
              </wp:positionV>
              <wp:extent cx="410845" cy="139065"/>
              <wp:effectExtent l="0" t="0" r="0" b="0"/>
              <wp:wrapNone/>
              <wp:docPr id="337" name="Textbox 337"/>
              <wp:cNvGraphicFramePr/>
              <a:graphic xmlns:a="http://schemas.openxmlformats.org/drawingml/2006/main">
                <a:graphicData uri="http://schemas.microsoft.com/office/word/2010/wordprocessingShape">
                  <wps:wsp xmlns:wps="http://schemas.microsoft.com/office/word/2010/wordprocessingShape">
                    <wps:cNvSpPr txBox="1"/>
                    <wps:spPr>
                      <a:xfrm>
                        <a:off x="0" y="0"/>
                        <a:ext cx="41084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115</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337" o:spid="_x0000_s2118" type="#_x0000_t202" style="width:32.35pt;height:10.95pt;margin-top:587.25pt;margin-left:736.7pt;mso-position-horizontal-relative:page;mso-position-vertical-relative:page;mso-wrap-distance-bottom:0;mso-wrap-distance-left:0;mso-wrap-distance-right:0;mso-wrap-distance-top:0;mso-wrap-style:square;position:absolute;visibility:visible;v-text-anchor:top;z-index:-251614208" filled="f" stroked="f">
              <v:textbox inset="0,0,0,0">
                <w:txbxContent>
                  <w:p w:rsidR="003F5784" w14:paraId="619A17DA"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115</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73E49F4E" w14:textId="77777777">
    <w:pPr>
      <w:pStyle w:val="BodyText"/>
      <w:spacing w:line="14" w:lineRule="auto"/>
      <w:rPr>
        <w:sz w:val="20"/>
      </w:rPr>
    </w:pPr>
    <w:r>
      <w:rPr>
        <w:noProof/>
      </w:rPr>
      <mc:AlternateContent>
        <mc:Choice Requires="wps">
          <w:drawing>
            <wp:anchor distT="0" distB="0" distL="0" distR="0" simplePos="0" relativeHeight="251703296"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354" name="Textbox 354"/>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54" o:spid="_x0000_s2121"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612160" filled="f" stroked="f">
              <v:textbox inset="0,0,0,0">
                <w:txbxContent>
                  <w:p w:rsidR="003F5784" w14:paraId="5EB01D56"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05344"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355" name="Textbox 355"/>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120</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355" o:spid="_x0000_s2122"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610112" filled="f" stroked="f">
              <v:textbox inset="0,0,0,0">
                <w:txbxContent>
                  <w:p w:rsidR="003F5784" w14:paraId="489FC8D9"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120</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65907CDD" w14:textId="77777777">
    <w:pPr>
      <w:pStyle w:val="BodyText"/>
      <w:spacing w:line="14" w:lineRule="auto"/>
      <w:rPr>
        <w:sz w:val="20"/>
      </w:rPr>
    </w:pPr>
    <w:r>
      <w:rPr>
        <w:noProof/>
      </w:rPr>
      <mc:AlternateContent>
        <mc:Choice Requires="wps">
          <w:drawing>
            <wp:anchor distT="0" distB="0" distL="0" distR="0" simplePos="0" relativeHeight="251707392"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359" name="Textbox 359"/>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59" o:spid="_x0000_s2125"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608064" filled="f" stroked="f">
              <v:textbox inset="0,0,0,0">
                <w:txbxContent>
                  <w:p w:rsidR="003F5784" w14:paraId="15DF6D1B"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09440"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360" name="Textbox 360"/>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122</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360" o:spid="_x0000_s2126"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606016" filled="f" stroked="f">
              <v:textbox inset="0,0,0,0">
                <w:txbxContent>
                  <w:p w:rsidR="003F5784" w14:paraId="5FE294E3"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122</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512FC799" w14:textId="77777777">
    <w:pPr>
      <w:pStyle w:val="BodyText"/>
      <w:spacing w:line="14" w:lineRule="auto"/>
      <w:rPr>
        <w:sz w:val="20"/>
      </w:rPr>
    </w:pPr>
    <w:r>
      <w:rPr>
        <w:noProof/>
      </w:rPr>
      <mc:AlternateContent>
        <mc:Choice Requires="wps">
          <w:drawing>
            <wp:anchor distT="0" distB="0" distL="0" distR="0" simplePos="0" relativeHeight="251711488"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363" name="Textbox 363"/>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63" o:spid="_x0000_s2129"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603968" filled="f" stroked="f">
              <v:textbox inset="0,0,0,0">
                <w:txbxContent>
                  <w:p w:rsidR="003F5784" w14:paraId="4A1367AF"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13536"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364" name="Textbox 364"/>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123</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364" o:spid="_x0000_s2130"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601920" filled="f" stroked="f">
              <v:textbox inset="0,0,0,0">
                <w:txbxContent>
                  <w:p w:rsidR="003F5784" w14:paraId="1948071D"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123</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7A6FA517" w14:textId="77777777">
    <w:pPr>
      <w:pStyle w:val="BodyText"/>
      <w:spacing w:line="14" w:lineRule="auto"/>
      <w:rPr>
        <w:sz w:val="20"/>
      </w:rPr>
    </w:pPr>
    <w:r>
      <w:rPr>
        <w:noProof/>
      </w:rPr>
      <mc:AlternateContent>
        <mc:Choice Requires="wps">
          <w:drawing>
            <wp:anchor distT="0" distB="0" distL="0" distR="0" simplePos="0" relativeHeight="251715584" behindDoc="1" locked="0" layoutInCell="1" allowOverlap="1">
              <wp:simplePos x="0" y="0"/>
              <wp:positionH relativeFrom="page">
                <wp:posOffset>292099</wp:posOffset>
              </wp:positionH>
              <wp:positionV relativeFrom="page">
                <wp:posOffset>6885023</wp:posOffset>
              </wp:positionV>
              <wp:extent cx="8948420" cy="712470"/>
              <wp:effectExtent l="0" t="0" r="0" b="0"/>
              <wp:wrapNone/>
              <wp:docPr id="368" name="Textbox 368"/>
              <wp:cNvGraphicFramePr/>
              <a:graphic xmlns:a="http://schemas.openxmlformats.org/drawingml/2006/main">
                <a:graphicData uri="http://schemas.microsoft.com/office/word/2010/wordprocessingShape">
                  <wps:wsp xmlns:wps="http://schemas.microsoft.com/office/word/2010/wordprocessingShape">
                    <wps:cNvSpPr txBox="1"/>
                    <wps:spPr>
                      <a:xfrm>
                        <a:off x="0" y="0"/>
                        <a:ext cx="8948420" cy="712470"/>
                      </a:xfrm>
                      <a:prstGeom prst="rect">
                        <a:avLst/>
                      </a:prstGeom>
                    </wps:spPr>
                    <wps:txbx>
                      <w:txbxContent>
                        <w:p w:rsidR="003F5784" w14:textId="77777777">
                          <w:pPr>
                            <w:pStyle w:val="BodyText"/>
                            <w:spacing w:before="9" w:line="238"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textId="77777777">
                          <w:pPr>
                            <w:pStyle w:val="BodyText"/>
                            <w:spacing w:before="3" w:line="232" w:lineRule="auto"/>
                            <w:ind w:left="595"/>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State Assessment.</w:t>
                          </w:r>
                        </w:p>
                        <w:p w:rsidR="003F5784" w14:textId="77777777">
                          <w:pPr>
                            <w:spacing w:before="199"/>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68" o:spid="_x0000_s2133" type="#_x0000_t202" style="width:704.6pt;height:56.1pt;margin-top:542.15pt;margin-left:23pt;mso-position-horizontal-relative:page;mso-position-vertical-relative:page;mso-wrap-distance-bottom:0;mso-wrap-distance-left:0;mso-wrap-distance-right:0;mso-wrap-distance-top:0;mso-wrap-style:square;position:absolute;visibility:visible;v-text-anchor:top;z-index:-251599872" filled="f" stroked="f">
              <v:textbox inset="0,0,0,0">
                <w:txbxContent>
                  <w:p w:rsidR="003F5784" w14:paraId="441EB5CA" w14:textId="77777777">
                    <w:pPr>
                      <w:pStyle w:val="BodyText"/>
                      <w:spacing w:before="9" w:line="238"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6930F14E" w14:textId="77777777">
                    <w:pPr>
                      <w:pStyle w:val="BodyText"/>
                      <w:spacing w:before="3" w:line="232" w:lineRule="auto"/>
                      <w:ind w:left="595"/>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State Assessment.</w:t>
                    </w:r>
                  </w:p>
                  <w:p w:rsidR="003F5784" w14:paraId="15A61EE5" w14:textId="77777777">
                    <w:pPr>
                      <w:spacing w:before="199"/>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17632"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369" name="Textbox 369"/>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126</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369" o:spid="_x0000_s2134"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597824" filled="f" stroked="f">
              <v:textbox inset="0,0,0,0">
                <w:txbxContent>
                  <w:p w:rsidR="003F5784" w14:paraId="7E4092F1"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126</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76AF0314" w14:textId="77777777">
    <w:pPr>
      <w:pStyle w:val="BodyText"/>
      <w:spacing w:line="14" w:lineRule="auto"/>
      <w:rPr>
        <w:sz w:val="20"/>
      </w:rPr>
    </w:pPr>
    <w:r>
      <w:rPr>
        <w:noProof/>
      </w:rPr>
      <mc:AlternateContent>
        <mc:Choice Requires="wps">
          <w:drawing>
            <wp:anchor distT="0" distB="0" distL="0" distR="0" simplePos="0" relativeHeight="251719680"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372" name="Textbox 372"/>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72" o:spid="_x0000_s2137"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595776" filled="f" stroked="f">
              <v:textbox inset="0,0,0,0">
                <w:txbxContent>
                  <w:p w:rsidR="003F5784" w14:paraId="6140700D"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21728"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373" name="Textbox 373"/>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127</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373" o:spid="_x0000_s2138"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593728" filled="f" stroked="f">
              <v:textbox inset="0,0,0,0">
                <w:txbxContent>
                  <w:p w:rsidR="003F5784" w14:paraId="2179C1D2"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127</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50DACBFC" w14:textId="77777777">
    <w:pPr>
      <w:pStyle w:val="BodyText"/>
      <w:spacing w:line="14" w:lineRule="auto"/>
      <w:rPr>
        <w:sz w:val="20"/>
      </w:rPr>
    </w:pPr>
    <w:r>
      <w:rPr>
        <w:noProof/>
      </w:rPr>
      <mc:AlternateContent>
        <mc:Choice Requires="wps">
          <w:drawing>
            <wp:anchor distT="0" distB="0" distL="0" distR="0" simplePos="0" relativeHeight="251723776" behindDoc="1" locked="0" layoutInCell="1" allowOverlap="1">
              <wp:simplePos x="0" y="0"/>
              <wp:positionH relativeFrom="page">
                <wp:posOffset>657394</wp:posOffset>
              </wp:positionH>
              <wp:positionV relativeFrom="page">
                <wp:posOffset>7017424</wp:posOffset>
              </wp:positionV>
              <wp:extent cx="8583295" cy="321310"/>
              <wp:effectExtent l="0" t="0" r="0" b="0"/>
              <wp:wrapNone/>
              <wp:docPr id="380" name="Textbox 380"/>
              <wp:cNvGraphicFramePr/>
              <a:graphic xmlns:a="http://schemas.openxmlformats.org/drawingml/2006/main">
                <a:graphicData uri="http://schemas.microsoft.com/office/word/2010/wordprocessingShape">
                  <wps:wsp xmlns:wps="http://schemas.microsoft.com/office/word/2010/wordprocessingShape">
                    <wps:cNvSpPr txBox="1"/>
                    <wps:spPr>
                      <a:xfrm>
                        <a:off x="0" y="0"/>
                        <a:ext cx="8583295" cy="321310"/>
                      </a:xfrm>
                      <a:prstGeom prst="rect">
                        <a:avLst/>
                      </a:prstGeom>
                    </wps:spPr>
                    <wps:txbx>
                      <w:txbxContent>
                        <w:p w:rsidR="003F5784" w14:textId="77777777">
                          <w:pPr>
                            <w:pStyle w:val="BodyText"/>
                            <w:spacing w:before="15" w:line="232" w:lineRule="auto"/>
                            <w:ind w:left="20"/>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State Reading Assessment.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80" o:spid="_x0000_s2141" type="#_x0000_t202" style="width:675.85pt;height:25.3pt;margin-top:552.55pt;margin-left:51.75pt;mso-position-horizontal-relative:page;mso-position-vertical-relative:page;mso-wrap-distance-bottom:0;mso-wrap-distance-left:0;mso-wrap-distance-right:0;mso-wrap-distance-top:0;mso-wrap-style:square;position:absolute;visibility:visible;v-text-anchor:top;z-index:-251591680" filled="f" stroked="f">
              <v:textbox inset="0,0,0,0">
                <w:txbxContent>
                  <w:p w:rsidR="003F5784" w14:paraId="504E61C3" w14:textId="77777777">
                    <w:pPr>
                      <w:pStyle w:val="BodyText"/>
                      <w:spacing w:before="15" w:line="232" w:lineRule="auto"/>
                      <w:ind w:left="20"/>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State Reading Assessment.</w:t>
                    </w:r>
                  </w:p>
                </w:txbxContent>
              </v:textbox>
            </v:shape>
          </w:pict>
        </mc:Fallback>
      </mc:AlternateContent>
    </w:r>
    <w:r>
      <w:rPr>
        <w:noProof/>
      </w:rPr>
      <mc:AlternateContent>
        <mc:Choice Requires="wps">
          <w:drawing>
            <wp:anchor distT="0" distB="0" distL="0" distR="0" simplePos="0" relativeHeight="251725824"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381" name="Textbox 381"/>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 id="Textbox 381" o:spid="_x0000_s2142"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589632" filled="f" stroked="f">
              <v:textbox inset="0,0,0,0">
                <w:txbxContent>
                  <w:p w:rsidR="003F5784" w14:paraId="04CF1A88"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27872"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382" name="Textbox 382"/>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132</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382" o:spid="_x0000_s2143"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587584" filled="f" stroked="f">
              <v:textbox inset="0,0,0,0">
                <w:txbxContent>
                  <w:p w:rsidR="003F5784" w14:paraId="6FB0D806"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132</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6D468CDA" w14:textId="77777777">
    <w:pPr>
      <w:pStyle w:val="BodyText"/>
      <w:spacing w:line="14" w:lineRule="auto"/>
      <w:rPr>
        <w:sz w:val="20"/>
      </w:rPr>
    </w:pPr>
    <w:r>
      <w:rPr>
        <w:noProof/>
      </w:rPr>
      <mc:AlternateContent>
        <mc:Choice Requires="wps">
          <w:drawing>
            <wp:anchor distT="0" distB="0" distL="0" distR="0" simplePos="0" relativeHeight="251729920"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387" name="Textbox 387"/>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87" o:spid="_x0000_s2146"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585536" filled="f" stroked="f">
              <v:textbox inset="0,0,0,0">
                <w:txbxContent>
                  <w:p w:rsidR="003F5784" w14:paraId="4567DB7F"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31968"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388" name="Textbox 388"/>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134</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388" o:spid="_x0000_s2147"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583488" filled="f" stroked="f">
              <v:textbox inset="0,0,0,0">
                <w:txbxContent>
                  <w:p w:rsidR="003F5784" w14:paraId="40C5FFBC"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134</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4D15A579"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176" name="Textbox 176"/>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76" o:spid="_x0000_s2052"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3F5784" w14:paraId="4A332513"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660288" behindDoc="1" locked="0" layoutInCell="1" allowOverlap="1">
              <wp:simplePos x="0" y="0"/>
              <wp:positionH relativeFrom="page">
                <wp:posOffset>9404746</wp:posOffset>
              </wp:positionH>
              <wp:positionV relativeFrom="page">
                <wp:posOffset>7458231</wp:posOffset>
              </wp:positionV>
              <wp:extent cx="361950" cy="139065"/>
              <wp:effectExtent l="0" t="0" r="0" b="0"/>
              <wp:wrapNone/>
              <wp:docPr id="177" name="Textbox 177"/>
              <wp:cNvGraphicFramePr/>
              <a:graphic xmlns:a="http://schemas.openxmlformats.org/drawingml/2006/main">
                <a:graphicData uri="http://schemas.microsoft.com/office/word/2010/wordprocessingShape">
                  <wps:wsp xmlns:wps="http://schemas.microsoft.com/office/word/2010/wordprocessingShape">
                    <wps:cNvSpPr txBox="1"/>
                    <wps:spPr>
                      <a:xfrm>
                        <a:off x="0" y="0"/>
                        <a:ext cx="361950"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70</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177" o:spid="_x0000_s2053" type="#_x0000_t202" style="width:28.5pt;height:10.95pt;margin-top:587.25pt;margin-left:740.55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3F5784" w14:paraId="6503F335"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70</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2C55996C" w14:textId="77777777">
    <w:pPr>
      <w:pStyle w:val="BodyText"/>
      <w:spacing w:line="14" w:lineRule="auto"/>
      <w:rPr>
        <w:sz w:val="20"/>
      </w:rPr>
    </w:pPr>
    <w:r>
      <w:rPr>
        <w:noProof/>
      </w:rPr>
      <mc:AlternateContent>
        <mc:Choice Requires="wps">
          <w:drawing>
            <wp:anchor distT="0" distB="0" distL="0" distR="0" simplePos="0" relativeHeight="251734016" behindDoc="1" locked="0" layoutInCell="1" allowOverlap="1">
              <wp:simplePos x="0" y="0"/>
              <wp:positionH relativeFrom="page">
                <wp:posOffset>292099</wp:posOffset>
              </wp:positionH>
              <wp:positionV relativeFrom="page">
                <wp:posOffset>6901484</wp:posOffset>
              </wp:positionV>
              <wp:extent cx="8714740" cy="695960"/>
              <wp:effectExtent l="0" t="0" r="0" b="0"/>
              <wp:wrapNone/>
              <wp:docPr id="401" name="Textbox 401"/>
              <wp:cNvGraphicFramePr/>
              <a:graphic xmlns:a="http://schemas.openxmlformats.org/drawingml/2006/main">
                <a:graphicData uri="http://schemas.microsoft.com/office/word/2010/wordprocessingShape">
                  <wps:wsp xmlns:wps="http://schemas.microsoft.com/office/word/2010/wordprocessingShape">
                    <wps:cNvSpPr txBox="1"/>
                    <wps:spPr>
                      <a:xfrm>
                        <a:off x="0" y="0"/>
                        <a:ext cx="8714740" cy="695960"/>
                      </a:xfrm>
                      <a:prstGeom prst="rect">
                        <a:avLst/>
                      </a:prstGeom>
                    </wps:spPr>
                    <wps:txbx>
                      <w:txbxContent>
                        <w:p w:rsidR="003F5784" w14:textId="77777777">
                          <w:pPr>
                            <w:pStyle w:val="BodyText"/>
                            <w:spacing w:before="9" w:line="238" w:lineRule="exact"/>
                            <w:ind w:left="227"/>
                          </w:pPr>
                          <w:r>
                            <w:t>NOTE:</w:t>
                          </w:r>
                          <w:r>
                            <w:rPr>
                              <w:spacing w:val="-5"/>
                            </w:rPr>
                            <w:t xml:space="preserve"> </w:t>
                          </w:r>
                          <w:r>
                            <w:t>Numbers</w:t>
                          </w:r>
                          <w:r>
                            <w:rPr>
                              <w:spacing w:val="-5"/>
                            </w:rPr>
                            <w:t xml:space="preserve"> </w:t>
                          </w:r>
                          <w:r>
                            <w:t>of</w:t>
                          </w:r>
                          <w:r>
                            <w:rPr>
                              <w:spacing w:val="-5"/>
                            </w:rPr>
                            <w:t xml:space="preserve"> </w:t>
                          </w:r>
                          <w:r>
                            <w:t>schools</w:t>
                          </w:r>
                          <w:r>
                            <w:rPr>
                              <w:spacing w:val="-5"/>
                            </w:rPr>
                            <w:t xml:space="preserve"> </w:t>
                          </w:r>
                          <w:r>
                            <w:t>are</w:t>
                          </w:r>
                          <w:r>
                            <w:rPr>
                              <w:spacing w:val="-5"/>
                            </w:rPr>
                            <w:t xml:space="preserve"> </w:t>
                          </w:r>
                          <w:r>
                            <w:t>rounded</w:t>
                          </w:r>
                          <w:r>
                            <w:rPr>
                              <w:spacing w:val="-5"/>
                            </w:rPr>
                            <w:t xml:space="preserve"> </w:t>
                          </w:r>
                          <w:r>
                            <w:t>to</w:t>
                          </w:r>
                          <w:r>
                            <w:rPr>
                              <w:spacing w:val="-5"/>
                            </w:rPr>
                            <w:t xml:space="preserve"> </w:t>
                          </w:r>
                          <w:r>
                            <w:t>nearest</w:t>
                          </w:r>
                          <w:r>
                            <w:rPr>
                              <w:spacing w:val="-5"/>
                            </w:rPr>
                            <w:t xml:space="preserve"> </w:t>
                          </w:r>
                          <w:r>
                            <w:t>ten.</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due</w:t>
                          </w:r>
                          <w:r>
                            <w:rPr>
                              <w:spacing w:val="-5"/>
                            </w:rPr>
                            <w:t xml:space="preserve"> </w:t>
                          </w:r>
                          <w:r>
                            <w:t>to</w:t>
                          </w:r>
                          <w:r>
                            <w:rPr>
                              <w:spacing w:val="-5"/>
                            </w:rPr>
                            <w:t xml:space="preserve"> </w:t>
                          </w:r>
                          <w:r>
                            <w:rPr>
                              <w:spacing w:val="-2"/>
                            </w:rPr>
                            <w:t>rounding.</w:t>
                          </w:r>
                        </w:p>
                        <w:p w:rsidR="003F5784" w14:textId="77777777">
                          <w:pPr>
                            <w:pStyle w:val="BodyText"/>
                            <w:spacing w:before="3" w:line="232" w:lineRule="auto"/>
                            <w:ind w:left="227"/>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State Mathematics and Reading Assessments.</w:t>
                          </w:r>
                        </w:p>
                        <w:p w:rsidR="003F5784" w14:textId="77777777">
                          <w:pPr>
                            <w:spacing w:before="173"/>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401" o:spid="_x0000_s2150" type="#_x0000_t202" style="width:686.2pt;height:54.8pt;margin-top:543.4pt;margin-left:23pt;mso-position-horizontal-relative:page;mso-position-vertical-relative:page;mso-wrap-distance-bottom:0;mso-wrap-distance-left:0;mso-wrap-distance-right:0;mso-wrap-distance-top:0;mso-wrap-style:square;position:absolute;visibility:visible;v-text-anchor:top;z-index:-251581440" filled="f" stroked="f">
              <v:textbox inset="0,0,0,0">
                <w:txbxContent>
                  <w:p w:rsidR="003F5784" w14:paraId="6FF4C438" w14:textId="77777777">
                    <w:pPr>
                      <w:pStyle w:val="BodyText"/>
                      <w:spacing w:before="9" w:line="238" w:lineRule="exact"/>
                      <w:ind w:left="227"/>
                    </w:pPr>
                    <w:r>
                      <w:t>NOTE:</w:t>
                    </w:r>
                    <w:r>
                      <w:rPr>
                        <w:spacing w:val="-5"/>
                      </w:rPr>
                      <w:t xml:space="preserve"> </w:t>
                    </w:r>
                    <w:r>
                      <w:t>Numbers</w:t>
                    </w:r>
                    <w:r>
                      <w:rPr>
                        <w:spacing w:val="-5"/>
                      </w:rPr>
                      <w:t xml:space="preserve"> </w:t>
                    </w:r>
                    <w:r>
                      <w:t>of</w:t>
                    </w:r>
                    <w:r>
                      <w:rPr>
                        <w:spacing w:val="-5"/>
                      </w:rPr>
                      <w:t xml:space="preserve"> </w:t>
                    </w:r>
                    <w:r>
                      <w:t>schools</w:t>
                    </w:r>
                    <w:r>
                      <w:rPr>
                        <w:spacing w:val="-5"/>
                      </w:rPr>
                      <w:t xml:space="preserve"> </w:t>
                    </w:r>
                    <w:r>
                      <w:t>are</w:t>
                    </w:r>
                    <w:r>
                      <w:rPr>
                        <w:spacing w:val="-5"/>
                      </w:rPr>
                      <w:t xml:space="preserve"> </w:t>
                    </w:r>
                    <w:r>
                      <w:t>rounded</w:t>
                    </w:r>
                    <w:r>
                      <w:rPr>
                        <w:spacing w:val="-5"/>
                      </w:rPr>
                      <w:t xml:space="preserve"> </w:t>
                    </w:r>
                    <w:r>
                      <w:t>to</w:t>
                    </w:r>
                    <w:r>
                      <w:rPr>
                        <w:spacing w:val="-5"/>
                      </w:rPr>
                      <w:t xml:space="preserve"> </w:t>
                    </w:r>
                    <w:r>
                      <w:t>nearest</w:t>
                    </w:r>
                    <w:r>
                      <w:rPr>
                        <w:spacing w:val="-5"/>
                      </w:rPr>
                      <w:t xml:space="preserve"> </w:t>
                    </w:r>
                    <w:r>
                      <w:t>ten.</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due</w:t>
                    </w:r>
                    <w:r>
                      <w:rPr>
                        <w:spacing w:val="-5"/>
                      </w:rPr>
                      <w:t xml:space="preserve"> </w:t>
                    </w:r>
                    <w:r>
                      <w:t>to</w:t>
                    </w:r>
                    <w:r>
                      <w:rPr>
                        <w:spacing w:val="-5"/>
                      </w:rPr>
                      <w:t xml:space="preserve"> </w:t>
                    </w:r>
                    <w:r>
                      <w:rPr>
                        <w:spacing w:val="-2"/>
                      </w:rPr>
                      <w:t>rounding.</w:t>
                    </w:r>
                  </w:p>
                  <w:p w:rsidR="003F5784" w14:paraId="1C187CFA" w14:textId="77777777">
                    <w:pPr>
                      <w:pStyle w:val="BodyText"/>
                      <w:spacing w:before="3" w:line="232" w:lineRule="auto"/>
                      <w:ind w:left="227"/>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State Mathematics and Reading Assessments.</w:t>
                    </w:r>
                  </w:p>
                  <w:p w:rsidR="003F5784" w14:paraId="727F3432" w14:textId="77777777">
                    <w:pPr>
                      <w:spacing w:before="173"/>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36064"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402" name="Textbox 402"/>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141</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402" o:spid="_x0000_s2151"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579392" filled="f" stroked="f">
              <v:textbox inset="0,0,0,0">
                <w:txbxContent>
                  <w:p w:rsidR="003F5784" w14:paraId="15CCB5C3"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141</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36968AB6" w14:textId="77777777">
    <w:pPr>
      <w:pStyle w:val="BodyText"/>
      <w:spacing w:line="14" w:lineRule="auto"/>
      <w:rPr>
        <w:sz w:val="20"/>
      </w:rPr>
    </w:pPr>
    <w:r>
      <w:rPr>
        <w:noProof/>
      </w:rPr>
      <mc:AlternateContent>
        <mc:Choice Requires="wps">
          <w:drawing>
            <wp:anchor distT="0" distB="0" distL="0" distR="0" simplePos="0" relativeHeight="251738112"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406" name="Textbox 406"/>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406" o:spid="_x0000_s2154"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577344" filled="f" stroked="f">
              <v:textbox inset="0,0,0,0">
                <w:txbxContent>
                  <w:p w:rsidR="003F5784" w14:paraId="26486831"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40160"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407" name="Textbox 407"/>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142</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407" o:spid="_x0000_s2155"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575296" filled="f" stroked="f">
              <v:textbox inset="0,0,0,0">
                <w:txbxContent>
                  <w:p w:rsidR="003F5784" w14:paraId="0B96C370"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142</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3AFB7302" w14:textId="77777777">
    <w:pPr>
      <w:pStyle w:val="BodyText"/>
      <w:spacing w:line="14" w:lineRule="auto"/>
      <w:rPr>
        <w:sz w:val="20"/>
      </w:rPr>
    </w:pPr>
    <w:r>
      <w:rPr>
        <w:noProof/>
      </w:rPr>
      <mc:AlternateContent>
        <mc:Choice Requires="wps">
          <w:drawing>
            <wp:anchor distT="0" distB="0" distL="0" distR="0" simplePos="0" relativeHeight="251742208" behindDoc="1" locked="0" layoutInCell="1" allowOverlap="1">
              <wp:simplePos x="0" y="0"/>
              <wp:positionH relativeFrom="page">
                <wp:posOffset>292099</wp:posOffset>
              </wp:positionH>
              <wp:positionV relativeFrom="page">
                <wp:posOffset>6424743</wp:posOffset>
              </wp:positionV>
              <wp:extent cx="8999855" cy="1172845"/>
              <wp:effectExtent l="0" t="0" r="0" b="0"/>
              <wp:wrapNone/>
              <wp:docPr id="682" name="Textbox 682"/>
              <wp:cNvGraphicFramePr/>
              <a:graphic xmlns:a="http://schemas.openxmlformats.org/drawingml/2006/main">
                <a:graphicData uri="http://schemas.microsoft.com/office/word/2010/wordprocessingShape">
                  <wps:wsp xmlns:wps="http://schemas.microsoft.com/office/word/2010/wordprocessingShape">
                    <wps:cNvSpPr txBox="1"/>
                    <wps:spPr>
                      <a:xfrm>
                        <a:off x="0" y="0"/>
                        <a:ext cx="8999855" cy="1172845"/>
                      </a:xfrm>
                      <a:prstGeom prst="rect">
                        <a:avLst/>
                      </a:prstGeom>
                    </wps:spPr>
                    <wps:txbx>
                      <w:txbxContent>
                        <w:p w:rsidR="003F5784" w14:textId="77777777">
                          <w:pPr>
                            <w:pStyle w:val="BodyText"/>
                            <w:spacing w:before="28" w:line="228" w:lineRule="auto"/>
                            <w:ind w:left="595"/>
                          </w:pPr>
                          <w:r>
                            <w:rPr>
                              <w:position w:val="8"/>
                              <w:sz w:val="17"/>
                            </w:rPr>
                            <w:t>1</w:t>
                          </w:r>
                          <w:r>
                            <w:t>1</w:t>
                          </w:r>
                          <w:r>
                            <w:rPr>
                              <w:position w:val="8"/>
                              <w:sz w:val="17"/>
                            </w:rPr>
                            <w:t xml:space="preserve">1 </w:t>
                          </w:r>
                          <w:r>
                            <w:t>Includes</w:t>
                          </w:r>
                          <w:r>
                            <w:rPr>
                              <w:spacing w:val="-6"/>
                            </w:rPr>
                            <w:t xml:space="preserve"> </w:t>
                          </w:r>
                          <w:r>
                            <w:t>national</w:t>
                          </w:r>
                          <w:r>
                            <w:rPr>
                              <w:spacing w:val="-6"/>
                            </w:rPr>
                            <w:t xml:space="preserve"> </w:t>
                          </w:r>
                          <w:r>
                            <w:t>public</w:t>
                          </w:r>
                          <w:r>
                            <w:rPr>
                              <w:spacing w:val="-6"/>
                            </w:rPr>
                            <w:t xml:space="preserve"> </w:t>
                          </w:r>
                          <w:r>
                            <w:t>and</w:t>
                          </w:r>
                          <w:r>
                            <w:rPr>
                              <w:spacing w:val="-6"/>
                            </w:rPr>
                            <w:t xml:space="preserve"> </w:t>
                          </w:r>
                          <w:r>
                            <w:t>national</w:t>
                          </w:r>
                          <w:r>
                            <w:rPr>
                              <w:spacing w:val="-6"/>
                            </w:rPr>
                            <w:t xml:space="preserve"> </w:t>
                          </w:r>
                          <w:r>
                            <w:t>private</w:t>
                          </w:r>
                          <w:r>
                            <w:rPr>
                              <w:spacing w:val="-6"/>
                            </w:rPr>
                            <w:t xml:space="preserve"> </w:t>
                          </w:r>
                          <w:r>
                            <w:t>schools</w:t>
                          </w:r>
                          <w:r>
                            <w:rPr>
                              <w:spacing w:val="-6"/>
                            </w:rPr>
                            <w:t xml:space="preserve"> </w:t>
                          </w:r>
                          <w:r>
                            <w:t>located</w:t>
                          </w:r>
                          <w:r>
                            <w:rPr>
                              <w:spacing w:val="-6"/>
                            </w:rPr>
                            <w:t xml:space="preserve"> </w:t>
                          </w:r>
                          <w:r>
                            <w:t>in</w:t>
                          </w:r>
                          <w:r>
                            <w:rPr>
                              <w:spacing w:val="-6"/>
                            </w:rPr>
                            <w:t xml:space="preserve"> </w:t>
                          </w:r>
                          <w:r>
                            <w:t>the</w:t>
                          </w:r>
                          <w:r>
                            <w:rPr>
                              <w:spacing w:val="-6"/>
                            </w:rPr>
                            <w:t xml:space="preserve"> </w:t>
                          </w:r>
                          <w:r>
                            <w:t>United</w:t>
                          </w:r>
                          <w:r>
                            <w:rPr>
                              <w:spacing w:val="-6"/>
                            </w:rPr>
                            <w:t xml:space="preserve"> </w:t>
                          </w:r>
                          <w:r>
                            <w:t>States</w:t>
                          </w:r>
                          <w:r>
                            <w:rPr>
                              <w:spacing w:val="-6"/>
                            </w:rPr>
                            <w:t xml:space="preserve"> </w:t>
                          </w:r>
                          <w:r>
                            <w:t>and</w:t>
                          </w:r>
                          <w:r>
                            <w:rPr>
                              <w:spacing w:val="-6"/>
                            </w:rPr>
                            <w:t xml:space="preserve"> </w:t>
                          </w:r>
                          <w:r>
                            <w:t>all</w:t>
                          </w:r>
                          <w:r>
                            <w:rPr>
                              <w:spacing w:val="-6"/>
                            </w:rPr>
                            <w:t xml:space="preserve"> </w:t>
                          </w:r>
                          <w:r>
                            <w:t>Department</w:t>
                          </w:r>
                          <w:r>
                            <w:rPr>
                              <w:spacing w:val="-6"/>
                            </w:rPr>
                            <w:t xml:space="preserve"> </w:t>
                          </w:r>
                          <w:r>
                            <w:t>of</w:t>
                          </w:r>
                          <w:r>
                            <w:rPr>
                              <w:spacing w:val="-6"/>
                            </w:rPr>
                            <w:t xml:space="preserve"> </w:t>
                          </w:r>
                          <w:r>
                            <w:t>Defense</w:t>
                          </w:r>
                          <w:r>
                            <w:rPr>
                              <w:spacing w:val="-6"/>
                            </w:rPr>
                            <w:t xml:space="preserve"> </w:t>
                          </w:r>
                          <w:r>
                            <w:t>Education</w:t>
                          </w:r>
                          <w:r>
                            <w:rPr>
                              <w:spacing w:val="-14"/>
                            </w:rPr>
                            <w:t xml:space="preserve"> </w:t>
                          </w:r>
                          <w:r>
                            <w:t>Activity</w:t>
                          </w:r>
                          <w:r>
                            <w:rPr>
                              <w:spacing w:val="-5"/>
                            </w:rPr>
                            <w:t xml:space="preserve"> </w:t>
                          </w:r>
                          <w:r>
                            <w:t>schools,</w:t>
                          </w:r>
                          <w:r>
                            <w:rPr>
                              <w:spacing w:val="-6"/>
                            </w:rPr>
                            <w:t xml:space="preserve"> </w:t>
                          </w:r>
                          <w:r>
                            <w:t>but</w:t>
                          </w:r>
                          <w:r>
                            <w:rPr>
                              <w:spacing w:val="-6"/>
                            </w:rPr>
                            <w:t xml:space="preserve"> </w:t>
                          </w:r>
                          <w:r>
                            <w:t>not</w:t>
                          </w:r>
                          <w:r>
                            <w:rPr>
                              <w:spacing w:val="-6"/>
                            </w:rPr>
                            <w:t xml:space="preserve"> </w:t>
                          </w:r>
                          <w:r>
                            <w:t>schools</w:t>
                          </w:r>
                          <w:r>
                            <w:rPr>
                              <w:spacing w:val="-6"/>
                            </w:rPr>
                            <w:t xml:space="preserve"> </w:t>
                          </w:r>
                          <w:r>
                            <w:t>in Puerto Rico.</w:t>
                          </w:r>
                        </w:p>
                        <w:p w:rsidR="003F5784" w14:textId="77777777">
                          <w:pPr>
                            <w:pStyle w:val="BodyText"/>
                            <w:spacing w:before="9" w:line="291" w:lineRule="exact"/>
                            <w:ind w:left="595"/>
                          </w:pPr>
                          <w:r>
                            <w:rPr>
                              <w:position w:val="9"/>
                              <w:sz w:val="17"/>
                            </w:rPr>
                            <w:t>2</w:t>
                          </w:r>
                          <w:r>
                            <w:t>2</w:t>
                          </w:r>
                          <w:r>
                            <w:rPr>
                              <w:position w:val="9"/>
                              <w:sz w:val="17"/>
                            </w:rPr>
                            <w:t xml:space="preserve">2 </w:t>
                          </w:r>
                          <w:r>
                            <w:rPr>
                              <w:position w:val="1"/>
                            </w:rPr>
                            <w:t>Department</w:t>
                          </w:r>
                          <w:r>
                            <w:rPr>
                              <w:spacing w:val="-7"/>
                              <w:position w:val="1"/>
                            </w:rPr>
                            <w:t xml:space="preserve"> </w:t>
                          </w:r>
                          <w:r>
                            <w:rPr>
                              <w:position w:val="1"/>
                            </w:rPr>
                            <w:t>of</w:t>
                          </w:r>
                          <w:r>
                            <w:rPr>
                              <w:spacing w:val="-6"/>
                              <w:position w:val="1"/>
                            </w:rPr>
                            <w:t xml:space="preserve"> </w:t>
                          </w:r>
                          <w:r>
                            <w:rPr>
                              <w:position w:val="1"/>
                            </w:rPr>
                            <w:t>Defense</w:t>
                          </w:r>
                          <w:r>
                            <w:rPr>
                              <w:spacing w:val="-6"/>
                              <w:position w:val="1"/>
                            </w:rPr>
                            <w:t xml:space="preserve"> </w:t>
                          </w:r>
                          <w:r>
                            <w:rPr>
                              <w:position w:val="1"/>
                            </w:rPr>
                            <w:t>Education</w:t>
                          </w:r>
                          <w:r>
                            <w:rPr>
                              <w:spacing w:val="-14"/>
                              <w:position w:val="1"/>
                            </w:rPr>
                            <w:t xml:space="preserve"> </w:t>
                          </w:r>
                          <w:r>
                            <w:rPr>
                              <w:position w:val="1"/>
                            </w:rPr>
                            <w:t>Activity</w:t>
                          </w:r>
                          <w:r>
                            <w:rPr>
                              <w:spacing w:val="-6"/>
                              <w:position w:val="1"/>
                            </w:rPr>
                            <w:t xml:space="preserve"> </w:t>
                          </w:r>
                          <w:r>
                            <w:rPr>
                              <w:spacing w:val="-2"/>
                              <w:position w:val="1"/>
                            </w:rPr>
                            <w:t>schools.</w:t>
                          </w:r>
                        </w:p>
                        <w:p w:rsidR="003F5784" w14:textId="77777777">
                          <w:pPr>
                            <w:pStyle w:val="BodyText"/>
                            <w:spacing w:before="2" w:line="232" w:lineRule="auto"/>
                            <w:ind w:left="595"/>
                          </w:pPr>
                          <w:r>
                            <w:t>NOTE: Numbers of schools are rounded to nearest ten, and numbers of students are rounded to nearest hundred. Detail may not sum to totals due to rounding. 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Mathematics Assessment.</w:t>
                          </w:r>
                        </w:p>
                        <w:p w:rsidR="003F5784" w14:textId="77777777">
                          <w:pPr>
                            <w:spacing w:before="108"/>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682" o:spid="_x0000_s2158" type="#_x0000_t202" style="width:708.65pt;height:92.35pt;margin-top:505.9pt;margin-left:23pt;mso-position-horizontal-relative:page;mso-position-vertical-relative:page;mso-wrap-distance-bottom:0;mso-wrap-distance-left:0;mso-wrap-distance-right:0;mso-wrap-distance-top:0;mso-wrap-style:square;position:absolute;visibility:visible;v-text-anchor:top;z-index:-251573248" filled="f" stroked="f">
              <v:textbox inset="0,0,0,0">
                <w:txbxContent>
                  <w:p w:rsidR="003F5784" w14:paraId="65DA4E51" w14:textId="77777777">
                    <w:pPr>
                      <w:pStyle w:val="BodyText"/>
                      <w:spacing w:before="28" w:line="228" w:lineRule="auto"/>
                      <w:ind w:left="595"/>
                    </w:pPr>
                    <w:r>
                      <w:rPr>
                        <w:position w:val="8"/>
                        <w:sz w:val="17"/>
                      </w:rPr>
                      <w:t>1</w:t>
                    </w:r>
                    <w:r>
                      <w:t>1</w:t>
                    </w:r>
                    <w:r>
                      <w:rPr>
                        <w:position w:val="8"/>
                        <w:sz w:val="17"/>
                      </w:rPr>
                      <w:t xml:space="preserve">1 </w:t>
                    </w:r>
                    <w:r>
                      <w:t>Includes</w:t>
                    </w:r>
                    <w:r>
                      <w:rPr>
                        <w:spacing w:val="-6"/>
                      </w:rPr>
                      <w:t xml:space="preserve"> </w:t>
                    </w:r>
                    <w:r>
                      <w:t>national</w:t>
                    </w:r>
                    <w:r>
                      <w:rPr>
                        <w:spacing w:val="-6"/>
                      </w:rPr>
                      <w:t xml:space="preserve"> </w:t>
                    </w:r>
                    <w:r>
                      <w:t>public</w:t>
                    </w:r>
                    <w:r>
                      <w:rPr>
                        <w:spacing w:val="-6"/>
                      </w:rPr>
                      <w:t xml:space="preserve"> </w:t>
                    </w:r>
                    <w:r>
                      <w:t>and</w:t>
                    </w:r>
                    <w:r>
                      <w:rPr>
                        <w:spacing w:val="-6"/>
                      </w:rPr>
                      <w:t xml:space="preserve"> </w:t>
                    </w:r>
                    <w:r>
                      <w:t>national</w:t>
                    </w:r>
                    <w:r>
                      <w:rPr>
                        <w:spacing w:val="-6"/>
                      </w:rPr>
                      <w:t xml:space="preserve"> </w:t>
                    </w:r>
                    <w:r>
                      <w:t>private</w:t>
                    </w:r>
                    <w:r>
                      <w:rPr>
                        <w:spacing w:val="-6"/>
                      </w:rPr>
                      <w:t xml:space="preserve"> </w:t>
                    </w:r>
                    <w:r>
                      <w:t>schools</w:t>
                    </w:r>
                    <w:r>
                      <w:rPr>
                        <w:spacing w:val="-6"/>
                      </w:rPr>
                      <w:t xml:space="preserve"> </w:t>
                    </w:r>
                    <w:r>
                      <w:t>located</w:t>
                    </w:r>
                    <w:r>
                      <w:rPr>
                        <w:spacing w:val="-6"/>
                      </w:rPr>
                      <w:t xml:space="preserve"> </w:t>
                    </w:r>
                    <w:r>
                      <w:t>in</w:t>
                    </w:r>
                    <w:r>
                      <w:rPr>
                        <w:spacing w:val="-6"/>
                      </w:rPr>
                      <w:t xml:space="preserve"> </w:t>
                    </w:r>
                    <w:r>
                      <w:t>the</w:t>
                    </w:r>
                    <w:r>
                      <w:rPr>
                        <w:spacing w:val="-6"/>
                      </w:rPr>
                      <w:t xml:space="preserve"> </w:t>
                    </w:r>
                    <w:r>
                      <w:t>United</w:t>
                    </w:r>
                    <w:r>
                      <w:rPr>
                        <w:spacing w:val="-6"/>
                      </w:rPr>
                      <w:t xml:space="preserve"> </w:t>
                    </w:r>
                    <w:r>
                      <w:t>States</w:t>
                    </w:r>
                    <w:r>
                      <w:rPr>
                        <w:spacing w:val="-6"/>
                      </w:rPr>
                      <w:t xml:space="preserve"> </w:t>
                    </w:r>
                    <w:r>
                      <w:t>and</w:t>
                    </w:r>
                    <w:r>
                      <w:rPr>
                        <w:spacing w:val="-6"/>
                      </w:rPr>
                      <w:t xml:space="preserve"> </w:t>
                    </w:r>
                    <w:r>
                      <w:t>all</w:t>
                    </w:r>
                    <w:r>
                      <w:rPr>
                        <w:spacing w:val="-6"/>
                      </w:rPr>
                      <w:t xml:space="preserve"> </w:t>
                    </w:r>
                    <w:r>
                      <w:t>Department</w:t>
                    </w:r>
                    <w:r>
                      <w:rPr>
                        <w:spacing w:val="-6"/>
                      </w:rPr>
                      <w:t xml:space="preserve"> </w:t>
                    </w:r>
                    <w:r>
                      <w:t>of</w:t>
                    </w:r>
                    <w:r>
                      <w:rPr>
                        <w:spacing w:val="-6"/>
                      </w:rPr>
                      <w:t xml:space="preserve"> </w:t>
                    </w:r>
                    <w:r>
                      <w:t>Defense</w:t>
                    </w:r>
                    <w:r>
                      <w:rPr>
                        <w:spacing w:val="-6"/>
                      </w:rPr>
                      <w:t xml:space="preserve"> </w:t>
                    </w:r>
                    <w:r>
                      <w:t>Education</w:t>
                    </w:r>
                    <w:r>
                      <w:rPr>
                        <w:spacing w:val="-14"/>
                      </w:rPr>
                      <w:t xml:space="preserve"> </w:t>
                    </w:r>
                    <w:r>
                      <w:t>Activity</w:t>
                    </w:r>
                    <w:r>
                      <w:rPr>
                        <w:spacing w:val="-5"/>
                      </w:rPr>
                      <w:t xml:space="preserve"> </w:t>
                    </w:r>
                    <w:r>
                      <w:t>schools,</w:t>
                    </w:r>
                    <w:r>
                      <w:rPr>
                        <w:spacing w:val="-6"/>
                      </w:rPr>
                      <w:t xml:space="preserve"> </w:t>
                    </w:r>
                    <w:r>
                      <w:t>but</w:t>
                    </w:r>
                    <w:r>
                      <w:rPr>
                        <w:spacing w:val="-6"/>
                      </w:rPr>
                      <w:t xml:space="preserve"> </w:t>
                    </w:r>
                    <w:r>
                      <w:t>not</w:t>
                    </w:r>
                    <w:r>
                      <w:rPr>
                        <w:spacing w:val="-6"/>
                      </w:rPr>
                      <w:t xml:space="preserve"> </w:t>
                    </w:r>
                    <w:r>
                      <w:t>schools</w:t>
                    </w:r>
                    <w:r>
                      <w:rPr>
                        <w:spacing w:val="-6"/>
                      </w:rPr>
                      <w:t xml:space="preserve"> </w:t>
                    </w:r>
                    <w:r>
                      <w:t>in Puerto Rico.</w:t>
                    </w:r>
                  </w:p>
                  <w:p w:rsidR="003F5784" w14:paraId="02FB68EC" w14:textId="77777777">
                    <w:pPr>
                      <w:pStyle w:val="BodyText"/>
                      <w:spacing w:before="9" w:line="291" w:lineRule="exact"/>
                      <w:ind w:left="595"/>
                    </w:pPr>
                    <w:r>
                      <w:rPr>
                        <w:position w:val="9"/>
                        <w:sz w:val="17"/>
                      </w:rPr>
                      <w:t>2</w:t>
                    </w:r>
                    <w:r>
                      <w:t>2</w:t>
                    </w:r>
                    <w:r>
                      <w:rPr>
                        <w:position w:val="9"/>
                        <w:sz w:val="17"/>
                      </w:rPr>
                      <w:t xml:space="preserve">2 </w:t>
                    </w:r>
                    <w:r>
                      <w:rPr>
                        <w:position w:val="1"/>
                      </w:rPr>
                      <w:t>Department</w:t>
                    </w:r>
                    <w:r>
                      <w:rPr>
                        <w:spacing w:val="-7"/>
                        <w:position w:val="1"/>
                      </w:rPr>
                      <w:t xml:space="preserve"> </w:t>
                    </w:r>
                    <w:r>
                      <w:rPr>
                        <w:position w:val="1"/>
                      </w:rPr>
                      <w:t>of</w:t>
                    </w:r>
                    <w:r>
                      <w:rPr>
                        <w:spacing w:val="-6"/>
                        <w:position w:val="1"/>
                      </w:rPr>
                      <w:t xml:space="preserve"> </w:t>
                    </w:r>
                    <w:r>
                      <w:rPr>
                        <w:position w:val="1"/>
                      </w:rPr>
                      <w:t>Defense</w:t>
                    </w:r>
                    <w:r>
                      <w:rPr>
                        <w:spacing w:val="-6"/>
                        <w:position w:val="1"/>
                      </w:rPr>
                      <w:t xml:space="preserve"> </w:t>
                    </w:r>
                    <w:r>
                      <w:rPr>
                        <w:position w:val="1"/>
                      </w:rPr>
                      <w:t>Education</w:t>
                    </w:r>
                    <w:r>
                      <w:rPr>
                        <w:spacing w:val="-14"/>
                        <w:position w:val="1"/>
                      </w:rPr>
                      <w:t xml:space="preserve"> </w:t>
                    </w:r>
                    <w:r>
                      <w:rPr>
                        <w:position w:val="1"/>
                      </w:rPr>
                      <w:t>Activity</w:t>
                    </w:r>
                    <w:r>
                      <w:rPr>
                        <w:spacing w:val="-6"/>
                        <w:position w:val="1"/>
                      </w:rPr>
                      <w:t xml:space="preserve"> </w:t>
                    </w:r>
                    <w:r>
                      <w:rPr>
                        <w:spacing w:val="-2"/>
                        <w:position w:val="1"/>
                      </w:rPr>
                      <w:t>schools.</w:t>
                    </w:r>
                  </w:p>
                  <w:p w:rsidR="003F5784" w14:paraId="01F4E401" w14:textId="77777777">
                    <w:pPr>
                      <w:pStyle w:val="BodyText"/>
                      <w:spacing w:before="2" w:line="232" w:lineRule="auto"/>
                      <w:ind w:left="595"/>
                    </w:pPr>
                    <w:r>
                      <w:t>NOTE: Numbers of schools are rounded to nearest ten, and numbers of students are rounded to nearest hundred. Detail may not sum to totals due to rounding. 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Mathematics Assessment.</w:t>
                    </w:r>
                  </w:p>
                  <w:p w:rsidR="003F5784" w14:paraId="2ADBABAC" w14:textId="77777777">
                    <w:pPr>
                      <w:spacing w:before="108"/>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44256"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683" name="Textbox 683"/>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190</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683" o:spid="_x0000_s2159"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571200" filled="f" stroked="f">
              <v:textbox inset="0,0,0,0">
                <w:txbxContent>
                  <w:p w:rsidR="003F5784" w14:paraId="17891126"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190</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38E80493" w14:textId="77777777">
    <w:pPr>
      <w:pStyle w:val="BodyText"/>
      <w:spacing w:line="14" w:lineRule="auto"/>
      <w:rPr>
        <w:sz w:val="20"/>
      </w:rPr>
    </w:pPr>
    <w:r>
      <w:rPr>
        <w:noProof/>
      </w:rPr>
      <mc:AlternateContent>
        <mc:Choice Requires="wps">
          <w:drawing>
            <wp:anchor distT="0" distB="0" distL="0" distR="0" simplePos="0" relativeHeight="251746304"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686" name="Textbox 686"/>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686" o:spid="_x0000_s2162"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569152" filled="f" stroked="f">
              <v:textbox inset="0,0,0,0">
                <w:txbxContent>
                  <w:p w:rsidR="003F5784" w14:paraId="6344723A"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48352"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687" name="Textbox 687"/>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192</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687" o:spid="_x0000_s2163"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567104" filled="f" stroked="f">
              <v:textbox inset="0,0,0,0">
                <w:txbxContent>
                  <w:p w:rsidR="003F5784" w14:paraId="2F7CB13E"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192</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19E49774" w14:textId="77777777">
    <w:pPr>
      <w:pStyle w:val="BodyText"/>
      <w:spacing w:line="14" w:lineRule="auto"/>
      <w:rPr>
        <w:sz w:val="20"/>
      </w:rPr>
    </w:pPr>
    <w:r>
      <w:rPr>
        <w:noProof/>
      </w:rPr>
      <mc:AlternateContent>
        <mc:Choice Requires="wps">
          <w:drawing>
            <wp:anchor distT="0" distB="0" distL="0" distR="0" simplePos="0" relativeHeight="251750400" behindDoc="1" locked="0" layoutInCell="1" allowOverlap="1">
              <wp:simplePos x="0" y="0"/>
              <wp:positionH relativeFrom="page">
                <wp:posOffset>657394</wp:posOffset>
              </wp:positionH>
              <wp:positionV relativeFrom="page">
                <wp:posOffset>6818806</wp:posOffset>
              </wp:positionV>
              <wp:extent cx="8583295" cy="470534"/>
              <wp:effectExtent l="0" t="0" r="0" b="0"/>
              <wp:wrapNone/>
              <wp:docPr id="691" name="Textbox 69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83295" cy="470534"/>
                      </a:xfrm>
                      <a:prstGeom prst="rect">
                        <a:avLst/>
                      </a:prstGeom>
                    </wps:spPr>
                    <wps:txbx>
                      <w:txbxContent>
                        <w:p w:rsidR="003F5784" w14:textId="77777777">
                          <w:pPr>
                            <w:pStyle w:val="BodyText"/>
                            <w:spacing w:before="15" w:line="232" w:lineRule="auto"/>
                            <w:ind w:left="20"/>
                          </w:pPr>
                          <w:r>
                            <w:t>NOTE: Numbers of schools are rounded to nearest ten, and numbers of students are rounded to nearest hundred. Detail may not sum to totals due to rounding. 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Reading Assessment.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691" o:spid="_x0000_s2166" type="#_x0000_t202" style="width:675.85pt;height:37.05pt;margin-top:536.9pt;margin-left:51.75pt;mso-position-horizontal-relative:page;mso-position-vertical-relative:page;mso-wrap-distance-bottom:0;mso-wrap-distance-left:0;mso-wrap-distance-right:0;mso-wrap-distance-top:0;mso-wrap-style:square;position:absolute;visibility:visible;v-text-anchor:top;z-index:-251565056" filled="f" stroked="f">
              <v:textbox inset="0,0,0,0">
                <w:txbxContent>
                  <w:p w:rsidR="003F5784" w14:paraId="08980B88" w14:textId="77777777">
                    <w:pPr>
                      <w:pStyle w:val="BodyText"/>
                      <w:spacing w:before="15" w:line="232" w:lineRule="auto"/>
                      <w:ind w:left="20"/>
                    </w:pPr>
                    <w:r>
                      <w:t>NOTE: Numbers of schools are rounded to nearest ten, and numbers of students are rounded to nearest hundred. Detail may not sum to totals due to rounding. 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Reading Assessment.</w:t>
                    </w:r>
                  </w:p>
                </w:txbxContent>
              </v:textbox>
            </v:shape>
          </w:pict>
        </mc:Fallback>
      </mc:AlternateContent>
    </w:r>
    <w:r>
      <w:rPr>
        <w:noProof/>
      </w:rPr>
      <mc:AlternateContent>
        <mc:Choice Requires="wps">
          <w:drawing>
            <wp:anchor distT="0" distB="0" distL="0" distR="0" simplePos="0" relativeHeight="251752448"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692" name="Textbox 692"/>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 id="Textbox 692" o:spid="_x0000_s2167"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563008" filled="f" stroked="f">
              <v:textbox inset="0,0,0,0">
                <w:txbxContent>
                  <w:p w:rsidR="003F5784" w14:paraId="15AFFF7F"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54496"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693" name="Textbox 693"/>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193</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693" o:spid="_x0000_s2168"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560960" filled="f" stroked="f">
              <v:textbox inset="0,0,0,0">
                <w:txbxContent>
                  <w:p w:rsidR="003F5784" w14:paraId="669F9383"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193</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57EFF1AC" w14:textId="77777777">
    <w:pPr>
      <w:pStyle w:val="BodyText"/>
      <w:spacing w:line="14" w:lineRule="auto"/>
      <w:rPr>
        <w:sz w:val="20"/>
      </w:rPr>
    </w:pPr>
    <w:r>
      <w:rPr>
        <w:noProof/>
      </w:rPr>
      <mc:AlternateContent>
        <mc:Choice Requires="wps">
          <w:drawing>
            <wp:anchor distT="0" distB="0" distL="0" distR="0" simplePos="0" relativeHeight="251756544" behindDoc="1" locked="0" layoutInCell="1" allowOverlap="1">
              <wp:simplePos x="0" y="0"/>
              <wp:positionH relativeFrom="page">
                <wp:posOffset>657394</wp:posOffset>
              </wp:positionH>
              <wp:positionV relativeFrom="page">
                <wp:posOffset>6424704</wp:posOffset>
              </wp:positionV>
              <wp:extent cx="8583295" cy="839469"/>
              <wp:effectExtent l="0" t="0" r="0" b="0"/>
              <wp:wrapNone/>
              <wp:docPr id="696" name="Textbox 696"/>
              <wp:cNvGraphicFramePr/>
              <a:graphic xmlns:a="http://schemas.openxmlformats.org/drawingml/2006/main">
                <a:graphicData uri="http://schemas.microsoft.com/office/word/2010/wordprocessingShape">
                  <wps:wsp xmlns:wps="http://schemas.microsoft.com/office/word/2010/wordprocessingShape">
                    <wps:cNvSpPr txBox="1"/>
                    <wps:spPr>
                      <a:xfrm>
                        <a:off x="0" y="0"/>
                        <a:ext cx="8583295" cy="839469"/>
                      </a:xfrm>
                      <a:prstGeom prst="rect">
                        <a:avLst/>
                      </a:prstGeom>
                    </wps:spPr>
                    <wps:txbx>
                      <w:txbxContent>
                        <w:p w:rsidR="003F5784" w14:textId="77777777">
                          <w:pPr>
                            <w:pStyle w:val="BodyText"/>
                            <w:spacing w:before="18"/>
                            <w:ind w:left="20"/>
                          </w:pPr>
                          <w:r>
                            <w:rPr>
                              <w:position w:val="8"/>
                              <w:sz w:val="17"/>
                            </w:rPr>
                            <w:t>1</w:t>
                          </w:r>
                          <w:r>
                            <w:t>1</w:t>
                          </w:r>
                          <w:r>
                            <w:rPr>
                              <w:position w:val="8"/>
                              <w:sz w:val="17"/>
                            </w:rPr>
                            <w:t>1</w:t>
                          </w:r>
                          <w:r>
                            <w:rPr>
                              <w:spacing w:val="1"/>
                              <w:position w:val="8"/>
                              <w:sz w:val="17"/>
                            </w:rPr>
                            <w:t xml:space="preserve"> </w:t>
                          </w:r>
                          <w:r>
                            <w:t>Includes</w:t>
                          </w:r>
                          <w:r>
                            <w:rPr>
                              <w:spacing w:val="-6"/>
                            </w:rPr>
                            <w:t xml:space="preserve"> </w:t>
                          </w:r>
                          <w:r>
                            <w:t>national</w:t>
                          </w:r>
                          <w:r>
                            <w:rPr>
                              <w:spacing w:val="-6"/>
                            </w:rPr>
                            <w:t xml:space="preserve"> </w:t>
                          </w:r>
                          <w:r>
                            <w:t>public</w:t>
                          </w:r>
                          <w:r>
                            <w:rPr>
                              <w:spacing w:val="-6"/>
                            </w:rPr>
                            <w:t xml:space="preserve"> </w:t>
                          </w:r>
                          <w:r>
                            <w:t>and</w:t>
                          </w:r>
                          <w:r>
                            <w:rPr>
                              <w:spacing w:val="-6"/>
                            </w:rPr>
                            <w:t xml:space="preserve"> </w:t>
                          </w:r>
                          <w:r>
                            <w:t>national</w:t>
                          </w:r>
                          <w:r>
                            <w:rPr>
                              <w:spacing w:val="-6"/>
                            </w:rPr>
                            <w:t xml:space="preserve"> </w:t>
                          </w:r>
                          <w:r>
                            <w:t>private</w:t>
                          </w:r>
                          <w:r>
                            <w:rPr>
                              <w:spacing w:val="-6"/>
                            </w:rPr>
                            <w:t xml:space="preserve"> </w:t>
                          </w:r>
                          <w:r>
                            <w:t>schools</w:t>
                          </w:r>
                          <w:r>
                            <w:rPr>
                              <w:spacing w:val="-6"/>
                            </w:rPr>
                            <w:t xml:space="preserve"> </w:t>
                          </w:r>
                          <w:r>
                            <w:t>located</w:t>
                          </w:r>
                          <w:r>
                            <w:rPr>
                              <w:spacing w:val="-6"/>
                            </w:rPr>
                            <w:t xml:space="preserve"> </w:t>
                          </w:r>
                          <w:r>
                            <w:t>in</w:t>
                          </w:r>
                          <w:r>
                            <w:rPr>
                              <w:spacing w:val="-6"/>
                            </w:rPr>
                            <w:t xml:space="preserve"> </w:t>
                          </w:r>
                          <w:r>
                            <w:t>the</w:t>
                          </w:r>
                          <w:r>
                            <w:rPr>
                              <w:spacing w:val="-6"/>
                            </w:rPr>
                            <w:t xml:space="preserve"> </w:t>
                          </w:r>
                          <w:r>
                            <w:t>United</w:t>
                          </w:r>
                          <w:r>
                            <w:rPr>
                              <w:spacing w:val="-6"/>
                            </w:rPr>
                            <w:t xml:space="preserve"> </w:t>
                          </w:r>
                          <w:r>
                            <w:t>States</w:t>
                          </w:r>
                          <w:r>
                            <w:rPr>
                              <w:spacing w:val="-6"/>
                            </w:rPr>
                            <w:t xml:space="preserve"> </w:t>
                          </w:r>
                          <w:r>
                            <w:t>and</w:t>
                          </w:r>
                          <w:r>
                            <w:rPr>
                              <w:spacing w:val="-6"/>
                            </w:rPr>
                            <w:t xml:space="preserve"> </w:t>
                          </w:r>
                          <w:r>
                            <w:t>all</w:t>
                          </w:r>
                          <w:r>
                            <w:rPr>
                              <w:spacing w:val="-6"/>
                            </w:rPr>
                            <w:t xml:space="preserve"> </w:t>
                          </w:r>
                          <w:r>
                            <w:t>Department</w:t>
                          </w:r>
                          <w:r>
                            <w:rPr>
                              <w:spacing w:val="-6"/>
                            </w:rPr>
                            <w:t xml:space="preserve"> </w:t>
                          </w:r>
                          <w:r>
                            <w:t>of</w:t>
                          </w:r>
                          <w:r>
                            <w:rPr>
                              <w:spacing w:val="-6"/>
                            </w:rPr>
                            <w:t xml:space="preserve"> </w:t>
                          </w:r>
                          <w:r>
                            <w:t>Defense</w:t>
                          </w:r>
                          <w:r>
                            <w:rPr>
                              <w:spacing w:val="-6"/>
                            </w:rPr>
                            <w:t xml:space="preserve"> </w:t>
                          </w:r>
                          <w:r>
                            <w:t>Education</w:t>
                          </w:r>
                          <w:r>
                            <w:rPr>
                              <w:spacing w:val="-13"/>
                            </w:rPr>
                            <w:t xml:space="preserve"> </w:t>
                          </w:r>
                          <w:r>
                            <w:t>Activity</w:t>
                          </w:r>
                          <w:r>
                            <w:rPr>
                              <w:spacing w:val="-6"/>
                            </w:rPr>
                            <w:t xml:space="preserve"> </w:t>
                          </w:r>
                          <w:r>
                            <w:rPr>
                              <w:spacing w:val="-2"/>
                            </w:rPr>
                            <w:t>schools.</w:t>
                          </w:r>
                        </w:p>
                        <w:p w:rsidR="003F5784" w14:textId="77777777">
                          <w:pPr>
                            <w:pStyle w:val="BodyText"/>
                            <w:spacing w:before="2" w:line="291" w:lineRule="exact"/>
                            <w:ind w:left="20"/>
                          </w:pPr>
                          <w:r>
                            <w:rPr>
                              <w:position w:val="9"/>
                              <w:sz w:val="17"/>
                            </w:rPr>
                            <w:t>2</w:t>
                          </w:r>
                          <w:r>
                            <w:t>2</w:t>
                          </w:r>
                          <w:r>
                            <w:rPr>
                              <w:position w:val="9"/>
                              <w:sz w:val="17"/>
                            </w:rPr>
                            <w:t xml:space="preserve">2 </w:t>
                          </w:r>
                          <w:r>
                            <w:rPr>
                              <w:position w:val="1"/>
                            </w:rPr>
                            <w:t>Department</w:t>
                          </w:r>
                          <w:r>
                            <w:rPr>
                              <w:spacing w:val="-7"/>
                              <w:position w:val="1"/>
                            </w:rPr>
                            <w:t xml:space="preserve"> </w:t>
                          </w:r>
                          <w:r>
                            <w:rPr>
                              <w:position w:val="1"/>
                            </w:rPr>
                            <w:t>of</w:t>
                          </w:r>
                          <w:r>
                            <w:rPr>
                              <w:spacing w:val="-6"/>
                              <w:position w:val="1"/>
                            </w:rPr>
                            <w:t xml:space="preserve"> </w:t>
                          </w:r>
                          <w:r>
                            <w:rPr>
                              <w:position w:val="1"/>
                            </w:rPr>
                            <w:t>Defense</w:t>
                          </w:r>
                          <w:r>
                            <w:rPr>
                              <w:spacing w:val="-6"/>
                              <w:position w:val="1"/>
                            </w:rPr>
                            <w:t xml:space="preserve"> </w:t>
                          </w:r>
                          <w:r>
                            <w:rPr>
                              <w:position w:val="1"/>
                            </w:rPr>
                            <w:t>Education</w:t>
                          </w:r>
                          <w:r>
                            <w:rPr>
                              <w:spacing w:val="-14"/>
                              <w:position w:val="1"/>
                            </w:rPr>
                            <w:t xml:space="preserve"> </w:t>
                          </w:r>
                          <w:r>
                            <w:rPr>
                              <w:position w:val="1"/>
                            </w:rPr>
                            <w:t>Activity</w:t>
                          </w:r>
                          <w:r>
                            <w:rPr>
                              <w:spacing w:val="-6"/>
                              <w:position w:val="1"/>
                            </w:rPr>
                            <w:t xml:space="preserve"> </w:t>
                          </w:r>
                          <w:r>
                            <w:rPr>
                              <w:spacing w:val="-2"/>
                              <w:position w:val="1"/>
                            </w:rPr>
                            <w:t>schools.</w:t>
                          </w:r>
                        </w:p>
                        <w:p w:rsidR="003F5784" w14:textId="77777777">
                          <w:pPr>
                            <w:pStyle w:val="BodyText"/>
                            <w:spacing w:before="2" w:line="232" w:lineRule="auto"/>
                            <w:ind w:left="20"/>
                          </w:pPr>
                          <w:r>
                            <w:t>NOTE: Numbers of schools are rounded to nearest ten, and numbers of students are rounded to nearest hundred. Detail may not sum to totals due to rounding. 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Reading Assessment.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696" o:spid="_x0000_s2171" type="#_x0000_t202" style="width:675.85pt;height:66.1pt;margin-top:505.9pt;margin-left:51.75pt;mso-position-horizontal-relative:page;mso-position-vertical-relative:page;mso-wrap-distance-bottom:0;mso-wrap-distance-left:0;mso-wrap-distance-right:0;mso-wrap-distance-top:0;mso-wrap-style:square;position:absolute;visibility:visible;v-text-anchor:top;z-index:-251558912" filled="f" stroked="f">
              <v:textbox inset="0,0,0,0">
                <w:txbxContent>
                  <w:p w:rsidR="003F5784" w14:paraId="0A3AFF9B" w14:textId="77777777">
                    <w:pPr>
                      <w:pStyle w:val="BodyText"/>
                      <w:spacing w:before="18"/>
                      <w:ind w:left="20"/>
                    </w:pPr>
                    <w:r>
                      <w:rPr>
                        <w:position w:val="8"/>
                        <w:sz w:val="17"/>
                      </w:rPr>
                      <w:t>1</w:t>
                    </w:r>
                    <w:r>
                      <w:t>1</w:t>
                    </w:r>
                    <w:r>
                      <w:rPr>
                        <w:position w:val="8"/>
                        <w:sz w:val="17"/>
                      </w:rPr>
                      <w:t>1</w:t>
                    </w:r>
                    <w:r>
                      <w:rPr>
                        <w:spacing w:val="1"/>
                        <w:position w:val="8"/>
                        <w:sz w:val="17"/>
                      </w:rPr>
                      <w:t xml:space="preserve"> </w:t>
                    </w:r>
                    <w:r>
                      <w:t>Includes</w:t>
                    </w:r>
                    <w:r>
                      <w:rPr>
                        <w:spacing w:val="-6"/>
                      </w:rPr>
                      <w:t xml:space="preserve"> </w:t>
                    </w:r>
                    <w:r>
                      <w:t>national</w:t>
                    </w:r>
                    <w:r>
                      <w:rPr>
                        <w:spacing w:val="-6"/>
                      </w:rPr>
                      <w:t xml:space="preserve"> </w:t>
                    </w:r>
                    <w:r>
                      <w:t>public</w:t>
                    </w:r>
                    <w:r>
                      <w:rPr>
                        <w:spacing w:val="-6"/>
                      </w:rPr>
                      <w:t xml:space="preserve"> </w:t>
                    </w:r>
                    <w:r>
                      <w:t>and</w:t>
                    </w:r>
                    <w:r>
                      <w:rPr>
                        <w:spacing w:val="-6"/>
                      </w:rPr>
                      <w:t xml:space="preserve"> </w:t>
                    </w:r>
                    <w:r>
                      <w:t>national</w:t>
                    </w:r>
                    <w:r>
                      <w:rPr>
                        <w:spacing w:val="-6"/>
                      </w:rPr>
                      <w:t xml:space="preserve"> </w:t>
                    </w:r>
                    <w:r>
                      <w:t>private</w:t>
                    </w:r>
                    <w:r>
                      <w:rPr>
                        <w:spacing w:val="-6"/>
                      </w:rPr>
                      <w:t xml:space="preserve"> </w:t>
                    </w:r>
                    <w:r>
                      <w:t>schools</w:t>
                    </w:r>
                    <w:r>
                      <w:rPr>
                        <w:spacing w:val="-6"/>
                      </w:rPr>
                      <w:t xml:space="preserve"> </w:t>
                    </w:r>
                    <w:r>
                      <w:t>located</w:t>
                    </w:r>
                    <w:r>
                      <w:rPr>
                        <w:spacing w:val="-6"/>
                      </w:rPr>
                      <w:t xml:space="preserve"> </w:t>
                    </w:r>
                    <w:r>
                      <w:t>in</w:t>
                    </w:r>
                    <w:r>
                      <w:rPr>
                        <w:spacing w:val="-6"/>
                      </w:rPr>
                      <w:t xml:space="preserve"> </w:t>
                    </w:r>
                    <w:r>
                      <w:t>the</w:t>
                    </w:r>
                    <w:r>
                      <w:rPr>
                        <w:spacing w:val="-6"/>
                      </w:rPr>
                      <w:t xml:space="preserve"> </w:t>
                    </w:r>
                    <w:r>
                      <w:t>United</w:t>
                    </w:r>
                    <w:r>
                      <w:rPr>
                        <w:spacing w:val="-6"/>
                      </w:rPr>
                      <w:t xml:space="preserve"> </w:t>
                    </w:r>
                    <w:r>
                      <w:t>States</w:t>
                    </w:r>
                    <w:r>
                      <w:rPr>
                        <w:spacing w:val="-6"/>
                      </w:rPr>
                      <w:t xml:space="preserve"> </w:t>
                    </w:r>
                    <w:r>
                      <w:t>and</w:t>
                    </w:r>
                    <w:r>
                      <w:rPr>
                        <w:spacing w:val="-6"/>
                      </w:rPr>
                      <w:t xml:space="preserve"> </w:t>
                    </w:r>
                    <w:r>
                      <w:t>all</w:t>
                    </w:r>
                    <w:r>
                      <w:rPr>
                        <w:spacing w:val="-6"/>
                      </w:rPr>
                      <w:t xml:space="preserve"> </w:t>
                    </w:r>
                    <w:r>
                      <w:t>Department</w:t>
                    </w:r>
                    <w:r>
                      <w:rPr>
                        <w:spacing w:val="-6"/>
                      </w:rPr>
                      <w:t xml:space="preserve"> </w:t>
                    </w:r>
                    <w:r>
                      <w:t>of</w:t>
                    </w:r>
                    <w:r>
                      <w:rPr>
                        <w:spacing w:val="-6"/>
                      </w:rPr>
                      <w:t xml:space="preserve"> </w:t>
                    </w:r>
                    <w:r>
                      <w:t>Defense</w:t>
                    </w:r>
                    <w:r>
                      <w:rPr>
                        <w:spacing w:val="-6"/>
                      </w:rPr>
                      <w:t xml:space="preserve"> </w:t>
                    </w:r>
                    <w:r>
                      <w:t>Education</w:t>
                    </w:r>
                    <w:r>
                      <w:rPr>
                        <w:spacing w:val="-13"/>
                      </w:rPr>
                      <w:t xml:space="preserve"> </w:t>
                    </w:r>
                    <w:r>
                      <w:t>Activity</w:t>
                    </w:r>
                    <w:r>
                      <w:rPr>
                        <w:spacing w:val="-6"/>
                      </w:rPr>
                      <w:t xml:space="preserve"> </w:t>
                    </w:r>
                    <w:r>
                      <w:rPr>
                        <w:spacing w:val="-2"/>
                      </w:rPr>
                      <w:t>schools.</w:t>
                    </w:r>
                  </w:p>
                  <w:p w:rsidR="003F5784" w14:paraId="146C8DA4" w14:textId="77777777">
                    <w:pPr>
                      <w:pStyle w:val="BodyText"/>
                      <w:spacing w:before="2" w:line="291" w:lineRule="exact"/>
                      <w:ind w:left="20"/>
                    </w:pPr>
                    <w:r>
                      <w:rPr>
                        <w:position w:val="9"/>
                        <w:sz w:val="17"/>
                      </w:rPr>
                      <w:t>2</w:t>
                    </w:r>
                    <w:r>
                      <w:t>2</w:t>
                    </w:r>
                    <w:r>
                      <w:rPr>
                        <w:position w:val="9"/>
                        <w:sz w:val="17"/>
                      </w:rPr>
                      <w:t xml:space="preserve">2 </w:t>
                    </w:r>
                    <w:r>
                      <w:rPr>
                        <w:position w:val="1"/>
                      </w:rPr>
                      <w:t>Department</w:t>
                    </w:r>
                    <w:r>
                      <w:rPr>
                        <w:spacing w:val="-7"/>
                        <w:position w:val="1"/>
                      </w:rPr>
                      <w:t xml:space="preserve"> </w:t>
                    </w:r>
                    <w:r>
                      <w:rPr>
                        <w:position w:val="1"/>
                      </w:rPr>
                      <w:t>of</w:t>
                    </w:r>
                    <w:r>
                      <w:rPr>
                        <w:spacing w:val="-6"/>
                        <w:position w:val="1"/>
                      </w:rPr>
                      <w:t xml:space="preserve"> </w:t>
                    </w:r>
                    <w:r>
                      <w:rPr>
                        <w:position w:val="1"/>
                      </w:rPr>
                      <w:t>Defense</w:t>
                    </w:r>
                    <w:r>
                      <w:rPr>
                        <w:spacing w:val="-6"/>
                        <w:position w:val="1"/>
                      </w:rPr>
                      <w:t xml:space="preserve"> </w:t>
                    </w:r>
                    <w:r>
                      <w:rPr>
                        <w:position w:val="1"/>
                      </w:rPr>
                      <w:t>Education</w:t>
                    </w:r>
                    <w:r>
                      <w:rPr>
                        <w:spacing w:val="-14"/>
                        <w:position w:val="1"/>
                      </w:rPr>
                      <w:t xml:space="preserve"> </w:t>
                    </w:r>
                    <w:r>
                      <w:rPr>
                        <w:position w:val="1"/>
                      </w:rPr>
                      <w:t>Activity</w:t>
                    </w:r>
                    <w:r>
                      <w:rPr>
                        <w:spacing w:val="-6"/>
                        <w:position w:val="1"/>
                      </w:rPr>
                      <w:t xml:space="preserve"> </w:t>
                    </w:r>
                    <w:r>
                      <w:rPr>
                        <w:spacing w:val="-2"/>
                        <w:position w:val="1"/>
                      </w:rPr>
                      <w:t>schools.</w:t>
                    </w:r>
                  </w:p>
                  <w:p w:rsidR="003F5784" w14:paraId="23828620" w14:textId="77777777">
                    <w:pPr>
                      <w:pStyle w:val="BodyText"/>
                      <w:spacing w:before="2" w:line="232" w:lineRule="auto"/>
                      <w:ind w:left="20"/>
                    </w:pPr>
                    <w:r>
                      <w:t>NOTE: Numbers of schools are rounded to nearest ten, and numbers of students are rounded to nearest hundred. Detail may not sum to totals due to rounding. 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Reading Assessment.</w:t>
                    </w:r>
                  </w:p>
                </w:txbxContent>
              </v:textbox>
            </v:shape>
          </w:pict>
        </mc:Fallback>
      </mc:AlternateContent>
    </w:r>
    <w:r>
      <w:rPr>
        <w:noProof/>
      </w:rPr>
      <mc:AlternateContent>
        <mc:Choice Requires="wps">
          <w:drawing>
            <wp:anchor distT="0" distB="0" distL="0" distR="0" simplePos="0" relativeHeight="251758592"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697" name="Textbox 697"/>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 id="Textbox 697" o:spid="_x0000_s2172"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556864" filled="f" stroked="f">
              <v:textbox inset="0,0,0,0">
                <w:txbxContent>
                  <w:p w:rsidR="003F5784" w14:paraId="448EEF03"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60640"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698" name="Textbox 698"/>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194</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698" o:spid="_x0000_s2173"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554816" filled="f" stroked="f">
              <v:textbox inset="0,0,0,0">
                <w:txbxContent>
                  <w:p w:rsidR="003F5784" w14:paraId="1108A105"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194</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75E984D1" w14:textId="77777777">
    <w:pPr>
      <w:pStyle w:val="BodyText"/>
      <w:spacing w:line="14" w:lineRule="auto"/>
      <w:rPr>
        <w:sz w:val="20"/>
      </w:rPr>
    </w:pPr>
    <w:r>
      <w:rPr>
        <w:noProof/>
      </w:rPr>
      <mc:AlternateContent>
        <mc:Choice Requires="wps">
          <w:drawing>
            <wp:anchor distT="0" distB="0" distL="0" distR="0" simplePos="0" relativeHeight="251762688"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701" name="Textbox 701"/>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701" o:spid="_x0000_s2176"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552768" filled="f" stroked="f">
              <v:textbox inset="0,0,0,0">
                <w:txbxContent>
                  <w:p w:rsidR="003F5784" w14:paraId="3E464414"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64736"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702" name="Textbox 702"/>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196</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702" o:spid="_x0000_s2177"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550720" filled="f" stroked="f">
              <v:textbox inset="0,0,0,0">
                <w:txbxContent>
                  <w:p w:rsidR="003F5784" w14:paraId="488E0E55"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196</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09028E92" w14:textId="77777777">
    <w:pPr>
      <w:pStyle w:val="BodyText"/>
      <w:spacing w:line="14" w:lineRule="auto"/>
      <w:rPr>
        <w:sz w:val="20"/>
      </w:rPr>
    </w:pPr>
    <w:r>
      <w:rPr>
        <w:noProof/>
      </w:rPr>
      <mc:AlternateContent>
        <mc:Choice Requires="wps">
          <w:drawing>
            <wp:anchor distT="0" distB="0" distL="0" distR="0" simplePos="0" relativeHeight="251766784" behindDoc="1" locked="0" layoutInCell="1" allowOverlap="1">
              <wp:simplePos x="0" y="0"/>
              <wp:positionH relativeFrom="page">
                <wp:posOffset>292099</wp:posOffset>
              </wp:positionH>
              <wp:positionV relativeFrom="page">
                <wp:posOffset>6424694</wp:posOffset>
              </wp:positionV>
              <wp:extent cx="8999855" cy="1172845"/>
              <wp:effectExtent l="0" t="0" r="0" b="0"/>
              <wp:wrapNone/>
              <wp:docPr id="707" name="Textbox 707"/>
              <wp:cNvGraphicFramePr/>
              <a:graphic xmlns:a="http://schemas.openxmlformats.org/drawingml/2006/main">
                <a:graphicData uri="http://schemas.microsoft.com/office/word/2010/wordprocessingShape">
                  <wps:wsp xmlns:wps="http://schemas.microsoft.com/office/word/2010/wordprocessingShape">
                    <wps:cNvSpPr txBox="1"/>
                    <wps:spPr>
                      <a:xfrm>
                        <a:off x="0" y="0"/>
                        <a:ext cx="8999855" cy="1172845"/>
                      </a:xfrm>
                      <a:prstGeom prst="rect">
                        <a:avLst/>
                      </a:prstGeom>
                    </wps:spPr>
                    <wps:txbx>
                      <w:txbxContent>
                        <w:p w:rsidR="003F5784" w14:textId="77777777">
                          <w:pPr>
                            <w:pStyle w:val="BodyText"/>
                            <w:spacing w:before="28" w:line="228" w:lineRule="auto"/>
                            <w:ind w:left="595"/>
                          </w:pPr>
                          <w:r>
                            <w:rPr>
                              <w:position w:val="8"/>
                              <w:sz w:val="17"/>
                            </w:rPr>
                            <w:t>1</w:t>
                          </w:r>
                          <w:r>
                            <w:t>1</w:t>
                          </w:r>
                          <w:r>
                            <w:rPr>
                              <w:position w:val="8"/>
                              <w:sz w:val="17"/>
                            </w:rPr>
                            <w:t xml:space="preserve">1 </w:t>
                          </w:r>
                          <w:r>
                            <w:t>Includes</w:t>
                          </w:r>
                          <w:r>
                            <w:rPr>
                              <w:spacing w:val="-6"/>
                            </w:rPr>
                            <w:t xml:space="preserve"> </w:t>
                          </w:r>
                          <w:r>
                            <w:t>national</w:t>
                          </w:r>
                          <w:r>
                            <w:rPr>
                              <w:spacing w:val="-6"/>
                            </w:rPr>
                            <w:t xml:space="preserve"> </w:t>
                          </w:r>
                          <w:r>
                            <w:t>public</w:t>
                          </w:r>
                          <w:r>
                            <w:rPr>
                              <w:spacing w:val="-6"/>
                            </w:rPr>
                            <w:t xml:space="preserve"> </w:t>
                          </w:r>
                          <w:r>
                            <w:t>and</w:t>
                          </w:r>
                          <w:r>
                            <w:rPr>
                              <w:spacing w:val="-6"/>
                            </w:rPr>
                            <w:t xml:space="preserve"> </w:t>
                          </w:r>
                          <w:r>
                            <w:t>national</w:t>
                          </w:r>
                          <w:r>
                            <w:rPr>
                              <w:spacing w:val="-6"/>
                            </w:rPr>
                            <w:t xml:space="preserve"> </w:t>
                          </w:r>
                          <w:r>
                            <w:t>private</w:t>
                          </w:r>
                          <w:r>
                            <w:rPr>
                              <w:spacing w:val="-6"/>
                            </w:rPr>
                            <w:t xml:space="preserve"> </w:t>
                          </w:r>
                          <w:r>
                            <w:t>schools</w:t>
                          </w:r>
                          <w:r>
                            <w:rPr>
                              <w:spacing w:val="-6"/>
                            </w:rPr>
                            <w:t xml:space="preserve"> </w:t>
                          </w:r>
                          <w:r>
                            <w:t>located</w:t>
                          </w:r>
                          <w:r>
                            <w:rPr>
                              <w:spacing w:val="-6"/>
                            </w:rPr>
                            <w:t xml:space="preserve"> </w:t>
                          </w:r>
                          <w:r>
                            <w:t>in</w:t>
                          </w:r>
                          <w:r>
                            <w:rPr>
                              <w:spacing w:val="-6"/>
                            </w:rPr>
                            <w:t xml:space="preserve"> </w:t>
                          </w:r>
                          <w:r>
                            <w:t>the</w:t>
                          </w:r>
                          <w:r>
                            <w:rPr>
                              <w:spacing w:val="-6"/>
                            </w:rPr>
                            <w:t xml:space="preserve"> </w:t>
                          </w:r>
                          <w:r>
                            <w:t>United</w:t>
                          </w:r>
                          <w:r>
                            <w:rPr>
                              <w:spacing w:val="-6"/>
                            </w:rPr>
                            <w:t xml:space="preserve"> </w:t>
                          </w:r>
                          <w:r>
                            <w:t>States</w:t>
                          </w:r>
                          <w:r>
                            <w:rPr>
                              <w:spacing w:val="-6"/>
                            </w:rPr>
                            <w:t xml:space="preserve"> </w:t>
                          </w:r>
                          <w:r>
                            <w:t>and</w:t>
                          </w:r>
                          <w:r>
                            <w:rPr>
                              <w:spacing w:val="-6"/>
                            </w:rPr>
                            <w:t xml:space="preserve"> </w:t>
                          </w:r>
                          <w:r>
                            <w:t>all</w:t>
                          </w:r>
                          <w:r>
                            <w:rPr>
                              <w:spacing w:val="-6"/>
                            </w:rPr>
                            <w:t xml:space="preserve"> </w:t>
                          </w:r>
                          <w:r>
                            <w:t>Department</w:t>
                          </w:r>
                          <w:r>
                            <w:rPr>
                              <w:spacing w:val="-6"/>
                            </w:rPr>
                            <w:t xml:space="preserve"> </w:t>
                          </w:r>
                          <w:r>
                            <w:t>of</w:t>
                          </w:r>
                          <w:r>
                            <w:rPr>
                              <w:spacing w:val="-6"/>
                            </w:rPr>
                            <w:t xml:space="preserve"> </w:t>
                          </w:r>
                          <w:r>
                            <w:t>Defense</w:t>
                          </w:r>
                          <w:r>
                            <w:rPr>
                              <w:spacing w:val="-6"/>
                            </w:rPr>
                            <w:t xml:space="preserve"> </w:t>
                          </w:r>
                          <w:r>
                            <w:t>Education</w:t>
                          </w:r>
                          <w:r>
                            <w:rPr>
                              <w:spacing w:val="-14"/>
                            </w:rPr>
                            <w:t xml:space="preserve"> </w:t>
                          </w:r>
                          <w:r>
                            <w:t>Activity</w:t>
                          </w:r>
                          <w:r>
                            <w:rPr>
                              <w:spacing w:val="-5"/>
                            </w:rPr>
                            <w:t xml:space="preserve"> </w:t>
                          </w:r>
                          <w:r>
                            <w:t>schools,</w:t>
                          </w:r>
                          <w:r>
                            <w:rPr>
                              <w:spacing w:val="-6"/>
                            </w:rPr>
                            <w:t xml:space="preserve"> </w:t>
                          </w:r>
                          <w:r>
                            <w:t>but</w:t>
                          </w:r>
                          <w:r>
                            <w:rPr>
                              <w:spacing w:val="-6"/>
                            </w:rPr>
                            <w:t xml:space="preserve"> </w:t>
                          </w:r>
                          <w:r>
                            <w:t>not</w:t>
                          </w:r>
                          <w:r>
                            <w:rPr>
                              <w:spacing w:val="-6"/>
                            </w:rPr>
                            <w:t xml:space="preserve"> </w:t>
                          </w:r>
                          <w:r>
                            <w:t>schools</w:t>
                          </w:r>
                          <w:r>
                            <w:rPr>
                              <w:spacing w:val="-6"/>
                            </w:rPr>
                            <w:t xml:space="preserve"> </w:t>
                          </w:r>
                          <w:r>
                            <w:t>in Puerto Rico.</w:t>
                          </w:r>
                        </w:p>
                        <w:p w:rsidR="003F5784" w14:textId="77777777">
                          <w:pPr>
                            <w:pStyle w:val="BodyText"/>
                            <w:spacing w:before="9" w:line="291" w:lineRule="exact"/>
                            <w:ind w:left="595"/>
                          </w:pPr>
                          <w:r>
                            <w:rPr>
                              <w:position w:val="9"/>
                              <w:sz w:val="17"/>
                            </w:rPr>
                            <w:t>2</w:t>
                          </w:r>
                          <w:r>
                            <w:t>2</w:t>
                          </w:r>
                          <w:r>
                            <w:rPr>
                              <w:position w:val="9"/>
                              <w:sz w:val="17"/>
                            </w:rPr>
                            <w:t xml:space="preserve">2 </w:t>
                          </w:r>
                          <w:r>
                            <w:rPr>
                              <w:position w:val="1"/>
                            </w:rPr>
                            <w:t>Department</w:t>
                          </w:r>
                          <w:r>
                            <w:rPr>
                              <w:spacing w:val="-7"/>
                              <w:position w:val="1"/>
                            </w:rPr>
                            <w:t xml:space="preserve"> </w:t>
                          </w:r>
                          <w:r>
                            <w:rPr>
                              <w:position w:val="1"/>
                            </w:rPr>
                            <w:t>of</w:t>
                          </w:r>
                          <w:r>
                            <w:rPr>
                              <w:spacing w:val="-6"/>
                              <w:position w:val="1"/>
                            </w:rPr>
                            <w:t xml:space="preserve"> </w:t>
                          </w:r>
                          <w:r>
                            <w:rPr>
                              <w:position w:val="1"/>
                            </w:rPr>
                            <w:t>Defense</w:t>
                          </w:r>
                          <w:r>
                            <w:rPr>
                              <w:spacing w:val="-6"/>
                              <w:position w:val="1"/>
                            </w:rPr>
                            <w:t xml:space="preserve"> </w:t>
                          </w:r>
                          <w:r>
                            <w:rPr>
                              <w:position w:val="1"/>
                            </w:rPr>
                            <w:t>Education</w:t>
                          </w:r>
                          <w:r>
                            <w:rPr>
                              <w:spacing w:val="-14"/>
                              <w:position w:val="1"/>
                            </w:rPr>
                            <w:t xml:space="preserve"> </w:t>
                          </w:r>
                          <w:r>
                            <w:rPr>
                              <w:position w:val="1"/>
                            </w:rPr>
                            <w:t>Activity</w:t>
                          </w:r>
                          <w:r>
                            <w:rPr>
                              <w:spacing w:val="-6"/>
                              <w:position w:val="1"/>
                            </w:rPr>
                            <w:t xml:space="preserve"> </w:t>
                          </w:r>
                          <w:r>
                            <w:rPr>
                              <w:spacing w:val="-2"/>
                              <w:position w:val="1"/>
                            </w:rPr>
                            <w:t>schools.</w:t>
                          </w:r>
                        </w:p>
                        <w:p w:rsidR="003F5784" w14:textId="77777777">
                          <w:pPr>
                            <w:pStyle w:val="BodyText"/>
                            <w:spacing w:before="2" w:line="232" w:lineRule="auto"/>
                            <w:ind w:left="595"/>
                          </w:pPr>
                          <w:r>
                            <w:t>NOTE: Numbers of schools are rounded to nearest ten, and numbers of students are rounded to nearest hundred. Detail may not sum to totals due to rounding. 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Mathematics Assessment.</w:t>
                          </w:r>
                        </w:p>
                        <w:p w:rsidR="003F5784" w14:textId="77777777">
                          <w:pPr>
                            <w:spacing w:before="108"/>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707" o:spid="_x0000_s2180" type="#_x0000_t202" style="width:708.65pt;height:92.35pt;margin-top:505.9pt;margin-left:23pt;mso-position-horizontal-relative:page;mso-position-vertical-relative:page;mso-wrap-distance-bottom:0;mso-wrap-distance-left:0;mso-wrap-distance-right:0;mso-wrap-distance-top:0;mso-wrap-style:square;position:absolute;visibility:visible;v-text-anchor:top;z-index:-251548672" filled="f" stroked="f">
              <v:textbox inset="0,0,0,0">
                <w:txbxContent>
                  <w:p w:rsidR="003F5784" w14:paraId="0EA1F293" w14:textId="77777777">
                    <w:pPr>
                      <w:pStyle w:val="BodyText"/>
                      <w:spacing w:before="28" w:line="228" w:lineRule="auto"/>
                      <w:ind w:left="595"/>
                    </w:pPr>
                    <w:r>
                      <w:rPr>
                        <w:position w:val="8"/>
                        <w:sz w:val="17"/>
                      </w:rPr>
                      <w:t>1</w:t>
                    </w:r>
                    <w:r>
                      <w:t>1</w:t>
                    </w:r>
                    <w:r>
                      <w:rPr>
                        <w:position w:val="8"/>
                        <w:sz w:val="17"/>
                      </w:rPr>
                      <w:t xml:space="preserve">1 </w:t>
                    </w:r>
                    <w:r>
                      <w:t>Includes</w:t>
                    </w:r>
                    <w:r>
                      <w:rPr>
                        <w:spacing w:val="-6"/>
                      </w:rPr>
                      <w:t xml:space="preserve"> </w:t>
                    </w:r>
                    <w:r>
                      <w:t>national</w:t>
                    </w:r>
                    <w:r>
                      <w:rPr>
                        <w:spacing w:val="-6"/>
                      </w:rPr>
                      <w:t xml:space="preserve"> </w:t>
                    </w:r>
                    <w:r>
                      <w:t>public</w:t>
                    </w:r>
                    <w:r>
                      <w:rPr>
                        <w:spacing w:val="-6"/>
                      </w:rPr>
                      <w:t xml:space="preserve"> </w:t>
                    </w:r>
                    <w:r>
                      <w:t>and</w:t>
                    </w:r>
                    <w:r>
                      <w:rPr>
                        <w:spacing w:val="-6"/>
                      </w:rPr>
                      <w:t xml:space="preserve"> </w:t>
                    </w:r>
                    <w:r>
                      <w:t>national</w:t>
                    </w:r>
                    <w:r>
                      <w:rPr>
                        <w:spacing w:val="-6"/>
                      </w:rPr>
                      <w:t xml:space="preserve"> </w:t>
                    </w:r>
                    <w:r>
                      <w:t>private</w:t>
                    </w:r>
                    <w:r>
                      <w:rPr>
                        <w:spacing w:val="-6"/>
                      </w:rPr>
                      <w:t xml:space="preserve"> </w:t>
                    </w:r>
                    <w:r>
                      <w:t>schools</w:t>
                    </w:r>
                    <w:r>
                      <w:rPr>
                        <w:spacing w:val="-6"/>
                      </w:rPr>
                      <w:t xml:space="preserve"> </w:t>
                    </w:r>
                    <w:r>
                      <w:t>located</w:t>
                    </w:r>
                    <w:r>
                      <w:rPr>
                        <w:spacing w:val="-6"/>
                      </w:rPr>
                      <w:t xml:space="preserve"> </w:t>
                    </w:r>
                    <w:r>
                      <w:t>in</w:t>
                    </w:r>
                    <w:r>
                      <w:rPr>
                        <w:spacing w:val="-6"/>
                      </w:rPr>
                      <w:t xml:space="preserve"> </w:t>
                    </w:r>
                    <w:r>
                      <w:t>the</w:t>
                    </w:r>
                    <w:r>
                      <w:rPr>
                        <w:spacing w:val="-6"/>
                      </w:rPr>
                      <w:t xml:space="preserve"> </w:t>
                    </w:r>
                    <w:r>
                      <w:t>United</w:t>
                    </w:r>
                    <w:r>
                      <w:rPr>
                        <w:spacing w:val="-6"/>
                      </w:rPr>
                      <w:t xml:space="preserve"> </w:t>
                    </w:r>
                    <w:r>
                      <w:t>States</w:t>
                    </w:r>
                    <w:r>
                      <w:rPr>
                        <w:spacing w:val="-6"/>
                      </w:rPr>
                      <w:t xml:space="preserve"> </w:t>
                    </w:r>
                    <w:r>
                      <w:t>and</w:t>
                    </w:r>
                    <w:r>
                      <w:rPr>
                        <w:spacing w:val="-6"/>
                      </w:rPr>
                      <w:t xml:space="preserve"> </w:t>
                    </w:r>
                    <w:r>
                      <w:t>all</w:t>
                    </w:r>
                    <w:r>
                      <w:rPr>
                        <w:spacing w:val="-6"/>
                      </w:rPr>
                      <w:t xml:space="preserve"> </w:t>
                    </w:r>
                    <w:r>
                      <w:t>Department</w:t>
                    </w:r>
                    <w:r>
                      <w:rPr>
                        <w:spacing w:val="-6"/>
                      </w:rPr>
                      <w:t xml:space="preserve"> </w:t>
                    </w:r>
                    <w:r>
                      <w:t>of</w:t>
                    </w:r>
                    <w:r>
                      <w:rPr>
                        <w:spacing w:val="-6"/>
                      </w:rPr>
                      <w:t xml:space="preserve"> </w:t>
                    </w:r>
                    <w:r>
                      <w:t>Defense</w:t>
                    </w:r>
                    <w:r>
                      <w:rPr>
                        <w:spacing w:val="-6"/>
                      </w:rPr>
                      <w:t xml:space="preserve"> </w:t>
                    </w:r>
                    <w:r>
                      <w:t>Education</w:t>
                    </w:r>
                    <w:r>
                      <w:rPr>
                        <w:spacing w:val="-14"/>
                      </w:rPr>
                      <w:t xml:space="preserve"> </w:t>
                    </w:r>
                    <w:r>
                      <w:t>Activity</w:t>
                    </w:r>
                    <w:r>
                      <w:rPr>
                        <w:spacing w:val="-5"/>
                      </w:rPr>
                      <w:t xml:space="preserve"> </w:t>
                    </w:r>
                    <w:r>
                      <w:t>schools,</w:t>
                    </w:r>
                    <w:r>
                      <w:rPr>
                        <w:spacing w:val="-6"/>
                      </w:rPr>
                      <w:t xml:space="preserve"> </w:t>
                    </w:r>
                    <w:r>
                      <w:t>but</w:t>
                    </w:r>
                    <w:r>
                      <w:rPr>
                        <w:spacing w:val="-6"/>
                      </w:rPr>
                      <w:t xml:space="preserve"> </w:t>
                    </w:r>
                    <w:r>
                      <w:t>not</w:t>
                    </w:r>
                    <w:r>
                      <w:rPr>
                        <w:spacing w:val="-6"/>
                      </w:rPr>
                      <w:t xml:space="preserve"> </w:t>
                    </w:r>
                    <w:r>
                      <w:t>schools</w:t>
                    </w:r>
                    <w:r>
                      <w:rPr>
                        <w:spacing w:val="-6"/>
                      </w:rPr>
                      <w:t xml:space="preserve"> </w:t>
                    </w:r>
                    <w:r>
                      <w:t>in Puerto Rico.</w:t>
                    </w:r>
                  </w:p>
                  <w:p w:rsidR="003F5784" w14:paraId="75E3A939" w14:textId="77777777">
                    <w:pPr>
                      <w:pStyle w:val="BodyText"/>
                      <w:spacing w:before="9" w:line="291" w:lineRule="exact"/>
                      <w:ind w:left="595"/>
                    </w:pPr>
                    <w:r>
                      <w:rPr>
                        <w:position w:val="9"/>
                        <w:sz w:val="17"/>
                      </w:rPr>
                      <w:t>2</w:t>
                    </w:r>
                    <w:r>
                      <w:t>2</w:t>
                    </w:r>
                    <w:r>
                      <w:rPr>
                        <w:position w:val="9"/>
                        <w:sz w:val="17"/>
                      </w:rPr>
                      <w:t xml:space="preserve">2 </w:t>
                    </w:r>
                    <w:r>
                      <w:rPr>
                        <w:position w:val="1"/>
                      </w:rPr>
                      <w:t>Department</w:t>
                    </w:r>
                    <w:r>
                      <w:rPr>
                        <w:spacing w:val="-7"/>
                        <w:position w:val="1"/>
                      </w:rPr>
                      <w:t xml:space="preserve"> </w:t>
                    </w:r>
                    <w:r>
                      <w:rPr>
                        <w:position w:val="1"/>
                      </w:rPr>
                      <w:t>of</w:t>
                    </w:r>
                    <w:r>
                      <w:rPr>
                        <w:spacing w:val="-6"/>
                        <w:position w:val="1"/>
                      </w:rPr>
                      <w:t xml:space="preserve"> </w:t>
                    </w:r>
                    <w:r>
                      <w:rPr>
                        <w:position w:val="1"/>
                      </w:rPr>
                      <w:t>Defense</w:t>
                    </w:r>
                    <w:r>
                      <w:rPr>
                        <w:spacing w:val="-6"/>
                        <w:position w:val="1"/>
                      </w:rPr>
                      <w:t xml:space="preserve"> </w:t>
                    </w:r>
                    <w:r>
                      <w:rPr>
                        <w:position w:val="1"/>
                      </w:rPr>
                      <w:t>Education</w:t>
                    </w:r>
                    <w:r>
                      <w:rPr>
                        <w:spacing w:val="-14"/>
                        <w:position w:val="1"/>
                      </w:rPr>
                      <w:t xml:space="preserve"> </w:t>
                    </w:r>
                    <w:r>
                      <w:rPr>
                        <w:position w:val="1"/>
                      </w:rPr>
                      <w:t>Activity</w:t>
                    </w:r>
                    <w:r>
                      <w:rPr>
                        <w:spacing w:val="-6"/>
                        <w:position w:val="1"/>
                      </w:rPr>
                      <w:t xml:space="preserve"> </w:t>
                    </w:r>
                    <w:r>
                      <w:rPr>
                        <w:spacing w:val="-2"/>
                        <w:position w:val="1"/>
                      </w:rPr>
                      <w:t>schools.</w:t>
                    </w:r>
                  </w:p>
                  <w:p w:rsidR="003F5784" w14:paraId="39DFD5E9" w14:textId="77777777">
                    <w:pPr>
                      <w:pStyle w:val="BodyText"/>
                      <w:spacing w:before="2" w:line="232" w:lineRule="auto"/>
                      <w:ind w:left="595"/>
                    </w:pPr>
                    <w:r>
                      <w:t>NOTE: Numbers of schools are rounded to nearest ten, and numbers of students are rounded to nearest hundred. Detail may not sum to totals due to rounding. 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Mathematics Assessment.</w:t>
                    </w:r>
                  </w:p>
                  <w:p w:rsidR="003F5784" w14:paraId="5B1E1C31" w14:textId="77777777">
                    <w:pPr>
                      <w:spacing w:before="108"/>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68832"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708" name="Textbox 708"/>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199</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708" o:spid="_x0000_s2181"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546624" filled="f" stroked="f">
              <v:textbox inset="0,0,0,0">
                <w:txbxContent>
                  <w:p w:rsidR="003F5784" w14:paraId="1B953CCB"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199</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2E77F859" w14:textId="77777777">
    <w:pPr>
      <w:pStyle w:val="BodyText"/>
      <w:spacing w:line="14" w:lineRule="auto"/>
      <w:rPr>
        <w:sz w:val="20"/>
      </w:rPr>
    </w:pPr>
    <w:r>
      <w:rPr>
        <w:noProof/>
      </w:rPr>
      <mc:AlternateContent>
        <mc:Choice Requires="wps">
          <w:drawing>
            <wp:anchor distT="0" distB="0" distL="0" distR="0" simplePos="0" relativeHeight="251770880"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711" name="Textbox 711"/>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711" o:spid="_x0000_s2184"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544576" filled="f" stroked="f">
              <v:textbox inset="0,0,0,0">
                <w:txbxContent>
                  <w:p w:rsidR="003F5784" w14:paraId="474A7C42"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72928"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712" name="Textbox 712"/>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201</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712" o:spid="_x0000_s2185"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542528" filled="f" stroked="f">
              <v:textbox inset="0,0,0,0">
                <w:txbxContent>
                  <w:p w:rsidR="003F5784" w14:paraId="4F97F0AC"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201</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0DFC81F0" w14:textId="77777777">
    <w:pPr>
      <w:pStyle w:val="BodyText"/>
      <w:spacing w:line="14" w:lineRule="auto"/>
      <w:rPr>
        <w:sz w:val="20"/>
      </w:rPr>
    </w:pPr>
    <w:r>
      <w:rPr>
        <w:noProof/>
      </w:rPr>
      <mc:AlternateContent>
        <mc:Choice Requires="wps">
          <w:drawing>
            <wp:anchor distT="0" distB="0" distL="0" distR="0" simplePos="0" relativeHeight="251774976" behindDoc="1" locked="0" layoutInCell="1" allowOverlap="1">
              <wp:simplePos x="0" y="0"/>
              <wp:positionH relativeFrom="page">
                <wp:posOffset>657394</wp:posOffset>
              </wp:positionH>
              <wp:positionV relativeFrom="page">
                <wp:posOffset>6424656</wp:posOffset>
              </wp:positionV>
              <wp:extent cx="8583295" cy="839469"/>
              <wp:effectExtent l="0" t="0" r="0" b="0"/>
              <wp:wrapNone/>
              <wp:docPr id="716" name="Textbox 716"/>
              <wp:cNvGraphicFramePr/>
              <a:graphic xmlns:a="http://schemas.openxmlformats.org/drawingml/2006/main">
                <a:graphicData uri="http://schemas.microsoft.com/office/word/2010/wordprocessingShape">
                  <wps:wsp xmlns:wps="http://schemas.microsoft.com/office/word/2010/wordprocessingShape">
                    <wps:cNvSpPr txBox="1"/>
                    <wps:spPr>
                      <a:xfrm>
                        <a:off x="0" y="0"/>
                        <a:ext cx="8583295" cy="839469"/>
                      </a:xfrm>
                      <a:prstGeom prst="rect">
                        <a:avLst/>
                      </a:prstGeom>
                    </wps:spPr>
                    <wps:txbx>
                      <w:txbxContent>
                        <w:p w:rsidR="003F5784" w14:textId="77777777">
                          <w:pPr>
                            <w:pStyle w:val="BodyText"/>
                            <w:spacing w:before="18"/>
                            <w:ind w:left="20"/>
                          </w:pPr>
                          <w:r>
                            <w:rPr>
                              <w:position w:val="8"/>
                              <w:sz w:val="17"/>
                            </w:rPr>
                            <w:t>1</w:t>
                          </w:r>
                          <w:r>
                            <w:t>1</w:t>
                          </w:r>
                          <w:r>
                            <w:rPr>
                              <w:position w:val="8"/>
                              <w:sz w:val="17"/>
                            </w:rPr>
                            <w:t>1</w:t>
                          </w:r>
                          <w:r>
                            <w:rPr>
                              <w:spacing w:val="1"/>
                              <w:position w:val="8"/>
                              <w:sz w:val="17"/>
                            </w:rPr>
                            <w:t xml:space="preserve"> </w:t>
                          </w:r>
                          <w:r>
                            <w:t>Includes</w:t>
                          </w:r>
                          <w:r>
                            <w:rPr>
                              <w:spacing w:val="-6"/>
                            </w:rPr>
                            <w:t xml:space="preserve"> </w:t>
                          </w:r>
                          <w:r>
                            <w:t>national</w:t>
                          </w:r>
                          <w:r>
                            <w:rPr>
                              <w:spacing w:val="-6"/>
                            </w:rPr>
                            <w:t xml:space="preserve"> </w:t>
                          </w:r>
                          <w:r>
                            <w:t>public</w:t>
                          </w:r>
                          <w:r>
                            <w:rPr>
                              <w:spacing w:val="-6"/>
                            </w:rPr>
                            <w:t xml:space="preserve"> </w:t>
                          </w:r>
                          <w:r>
                            <w:t>and</w:t>
                          </w:r>
                          <w:r>
                            <w:rPr>
                              <w:spacing w:val="-6"/>
                            </w:rPr>
                            <w:t xml:space="preserve"> </w:t>
                          </w:r>
                          <w:r>
                            <w:t>national</w:t>
                          </w:r>
                          <w:r>
                            <w:rPr>
                              <w:spacing w:val="-6"/>
                            </w:rPr>
                            <w:t xml:space="preserve"> </w:t>
                          </w:r>
                          <w:r>
                            <w:t>private</w:t>
                          </w:r>
                          <w:r>
                            <w:rPr>
                              <w:spacing w:val="-6"/>
                            </w:rPr>
                            <w:t xml:space="preserve"> </w:t>
                          </w:r>
                          <w:r>
                            <w:t>schools</w:t>
                          </w:r>
                          <w:r>
                            <w:rPr>
                              <w:spacing w:val="-6"/>
                            </w:rPr>
                            <w:t xml:space="preserve"> </w:t>
                          </w:r>
                          <w:r>
                            <w:t>located</w:t>
                          </w:r>
                          <w:r>
                            <w:rPr>
                              <w:spacing w:val="-6"/>
                            </w:rPr>
                            <w:t xml:space="preserve"> </w:t>
                          </w:r>
                          <w:r>
                            <w:t>in</w:t>
                          </w:r>
                          <w:r>
                            <w:rPr>
                              <w:spacing w:val="-6"/>
                            </w:rPr>
                            <w:t xml:space="preserve"> </w:t>
                          </w:r>
                          <w:r>
                            <w:t>the</w:t>
                          </w:r>
                          <w:r>
                            <w:rPr>
                              <w:spacing w:val="-6"/>
                            </w:rPr>
                            <w:t xml:space="preserve"> </w:t>
                          </w:r>
                          <w:r>
                            <w:t>United</w:t>
                          </w:r>
                          <w:r>
                            <w:rPr>
                              <w:spacing w:val="-6"/>
                            </w:rPr>
                            <w:t xml:space="preserve"> </w:t>
                          </w:r>
                          <w:r>
                            <w:t>States</w:t>
                          </w:r>
                          <w:r>
                            <w:rPr>
                              <w:spacing w:val="-6"/>
                            </w:rPr>
                            <w:t xml:space="preserve"> </w:t>
                          </w:r>
                          <w:r>
                            <w:t>and</w:t>
                          </w:r>
                          <w:r>
                            <w:rPr>
                              <w:spacing w:val="-6"/>
                            </w:rPr>
                            <w:t xml:space="preserve"> </w:t>
                          </w:r>
                          <w:r>
                            <w:t>all</w:t>
                          </w:r>
                          <w:r>
                            <w:rPr>
                              <w:spacing w:val="-6"/>
                            </w:rPr>
                            <w:t xml:space="preserve"> </w:t>
                          </w:r>
                          <w:r>
                            <w:t>Department</w:t>
                          </w:r>
                          <w:r>
                            <w:rPr>
                              <w:spacing w:val="-6"/>
                            </w:rPr>
                            <w:t xml:space="preserve"> </w:t>
                          </w:r>
                          <w:r>
                            <w:t>of</w:t>
                          </w:r>
                          <w:r>
                            <w:rPr>
                              <w:spacing w:val="-6"/>
                            </w:rPr>
                            <w:t xml:space="preserve"> </w:t>
                          </w:r>
                          <w:r>
                            <w:t>Defense</w:t>
                          </w:r>
                          <w:r>
                            <w:rPr>
                              <w:spacing w:val="-6"/>
                            </w:rPr>
                            <w:t xml:space="preserve"> </w:t>
                          </w:r>
                          <w:r>
                            <w:t>Education</w:t>
                          </w:r>
                          <w:r>
                            <w:rPr>
                              <w:spacing w:val="-13"/>
                            </w:rPr>
                            <w:t xml:space="preserve"> </w:t>
                          </w:r>
                          <w:r>
                            <w:t>Activity</w:t>
                          </w:r>
                          <w:r>
                            <w:rPr>
                              <w:spacing w:val="-6"/>
                            </w:rPr>
                            <w:t xml:space="preserve"> </w:t>
                          </w:r>
                          <w:r>
                            <w:rPr>
                              <w:spacing w:val="-2"/>
                            </w:rPr>
                            <w:t>schools.</w:t>
                          </w:r>
                        </w:p>
                        <w:p w:rsidR="003F5784" w14:textId="77777777">
                          <w:pPr>
                            <w:pStyle w:val="BodyText"/>
                            <w:spacing w:before="2" w:line="291" w:lineRule="exact"/>
                            <w:ind w:left="20"/>
                          </w:pPr>
                          <w:r>
                            <w:rPr>
                              <w:position w:val="9"/>
                              <w:sz w:val="17"/>
                            </w:rPr>
                            <w:t>2</w:t>
                          </w:r>
                          <w:r>
                            <w:t>2</w:t>
                          </w:r>
                          <w:r>
                            <w:rPr>
                              <w:position w:val="9"/>
                              <w:sz w:val="17"/>
                            </w:rPr>
                            <w:t xml:space="preserve">2 </w:t>
                          </w:r>
                          <w:r>
                            <w:rPr>
                              <w:position w:val="1"/>
                            </w:rPr>
                            <w:t>Department</w:t>
                          </w:r>
                          <w:r>
                            <w:rPr>
                              <w:spacing w:val="-7"/>
                              <w:position w:val="1"/>
                            </w:rPr>
                            <w:t xml:space="preserve"> </w:t>
                          </w:r>
                          <w:r>
                            <w:rPr>
                              <w:position w:val="1"/>
                            </w:rPr>
                            <w:t>of</w:t>
                          </w:r>
                          <w:r>
                            <w:rPr>
                              <w:spacing w:val="-6"/>
                              <w:position w:val="1"/>
                            </w:rPr>
                            <w:t xml:space="preserve"> </w:t>
                          </w:r>
                          <w:r>
                            <w:rPr>
                              <w:position w:val="1"/>
                            </w:rPr>
                            <w:t>Defense</w:t>
                          </w:r>
                          <w:r>
                            <w:rPr>
                              <w:spacing w:val="-6"/>
                              <w:position w:val="1"/>
                            </w:rPr>
                            <w:t xml:space="preserve"> </w:t>
                          </w:r>
                          <w:r>
                            <w:rPr>
                              <w:position w:val="1"/>
                            </w:rPr>
                            <w:t>Education</w:t>
                          </w:r>
                          <w:r>
                            <w:rPr>
                              <w:spacing w:val="-14"/>
                              <w:position w:val="1"/>
                            </w:rPr>
                            <w:t xml:space="preserve"> </w:t>
                          </w:r>
                          <w:r>
                            <w:rPr>
                              <w:position w:val="1"/>
                            </w:rPr>
                            <w:t>Activity</w:t>
                          </w:r>
                          <w:r>
                            <w:rPr>
                              <w:spacing w:val="-6"/>
                              <w:position w:val="1"/>
                            </w:rPr>
                            <w:t xml:space="preserve"> </w:t>
                          </w:r>
                          <w:r>
                            <w:rPr>
                              <w:spacing w:val="-2"/>
                              <w:position w:val="1"/>
                            </w:rPr>
                            <w:t>schools.</w:t>
                          </w:r>
                        </w:p>
                        <w:p w:rsidR="003F5784" w14:textId="77777777">
                          <w:pPr>
                            <w:pStyle w:val="BodyText"/>
                            <w:spacing w:before="2" w:line="232" w:lineRule="auto"/>
                            <w:ind w:left="20"/>
                          </w:pPr>
                          <w:r>
                            <w:t>NOTE: Numbers of schools are rounded to nearest ten, and numbers of students are rounded to nearest hundred. Detail may not sum to totals due to rounding. 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Reading Assessment.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716" o:spid="_x0000_s2188" type="#_x0000_t202" style="width:675.85pt;height:66.1pt;margin-top:505.9pt;margin-left:51.75pt;mso-position-horizontal-relative:page;mso-position-vertical-relative:page;mso-wrap-distance-bottom:0;mso-wrap-distance-left:0;mso-wrap-distance-right:0;mso-wrap-distance-top:0;mso-wrap-style:square;position:absolute;visibility:visible;v-text-anchor:top;z-index:-251540480" filled="f" stroked="f">
              <v:textbox inset="0,0,0,0">
                <w:txbxContent>
                  <w:p w:rsidR="003F5784" w14:paraId="01AD317A" w14:textId="77777777">
                    <w:pPr>
                      <w:pStyle w:val="BodyText"/>
                      <w:spacing w:before="18"/>
                      <w:ind w:left="20"/>
                    </w:pPr>
                    <w:r>
                      <w:rPr>
                        <w:position w:val="8"/>
                        <w:sz w:val="17"/>
                      </w:rPr>
                      <w:t>1</w:t>
                    </w:r>
                    <w:r>
                      <w:t>1</w:t>
                    </w:r>
                    <w:r>
                      <w:rPr>
                        <w:position w:val="8"/>
                        <w:sz w:val="17"/>
                      </w:rPr>
                      <w:t>1</w:t>
                    </w:r>
                    <w:r>
                      <w:rPr>
                        <w:spacing w:val="1"/>
                        <w:position w:val="8"/>
                        <w:sz w:val="17"/>
                      </w:rPr>
                      <w:t xml:space="preserve"> </w:t>
                    </w:r>
                    <w:r>
                      <w:t>Includes</w:t>
                    </w:r>
                    <w:r>
                      <w:rPr>
                        <w:spacing w:val="-6"/>
                      </w:rPr>
                      <w:t xml:space="preserve"> </w:t>
                    </w:r>
                    <w:r>
                      <w:t>national</w:t>
                    </w:r>
                    <w:r>
                      <w:rPr>
                        <w:spacing w:val="-6"/>
                      </w:rPr>
                      <w:t xml:space="preserve"> </w:t>
                    </w:r>
                    <w:r>
                      <w:t>public</w:t>
                    </w:r>
                    <w:r>
                      <w:rPr>
                        <w:spacing w:val="-6"/>
                      </w:rPr>
                      <w:t xml:space="preserve"> </w:t>
                    </w:r>
                    <w:r>
                      <w:t>and</w:t>
                    </w:r>
                    <w:r>
                      <w:rPr>
                        <w:spacing w:val="-6"/>
                      </w:rPr>
                      <w:t xml:space="preserve"> </w:t>
                    </w:r>
                    <w:r>
                      <w:t>national</w:t>
                    </w:r>
                    <w:r>
                      <w:rPr>
                        <w:spacing w:val="-6"/>
                      </w:rPr>
                      <w:t xml:space="preserve"> </w:t>
                    </w:r>
                    <w:r>
                      <w:t>private</w:t>
                    </w:r>
                    <w:r>
                      <w:rPr>
                        <w:spacing w:val="-6"/>
                      </w:rPr>
                      <w:t xml:space="preserve"> </w:t>
                    </w:r>
                    <w:r>
                      <w:t>schools</w:t>
                    </w:r>
                    <w:r>
                      <w:rPr>
                        <w:spacing w:val="-6"/>
                      </w:rPr>
                      <w:t xml:space="preserve"> </w:t>
                    </w:r>
                    <w:r>
                      <w:t>located</w:t>
                    </w:r>
                    <w:r>
                      <w:rPr>
                        <w:spacing w:val="-6"/>
                      </w:rPr>
                      <w:t xml:space="preserve"> </w:t>
                    </w:r>
                    <w:r>
                      <w:t>in</w:t>
                    </w:r>
                    <w:r>
                      <w:rPr>
                        <w:spacing w:val="-6"/>
                      </w:rPr>
                      <w:t xml:space="preserve"> </w:t>
                    </w:r>
                    <w:r>
                      <w:t>the</w:t>
                    </w:r>
                    <w:r>
                      <w:rPr>
                        <w:spacing w:val="-6"/>
                      </w:rPr>
                      <w:t xml:space="preserve"> </w:t>
                    </w:r>
                    <w:r>
                      <w:t>United</w:t>
                    </w:r>
                    <w:r>
                      <w:rPr>
                        <w:spacing w:val="-6"/>
                      </w:rPr>
                      <w:t xml:space="preserve"> </w:t>
                    </w:r>
                    <w:r>
                      <w:t>States</w:t>
                    </w:r>
                    <w:r>
                      <w:rPr>
                        <w:spacing w:val="-6"/>
                      </w:rPr>
                      <w:t xml:space="preserve"> </w:t>
                    </w:r>
                    <w:r>
                      <w:t>and</w:t>
                    </w:r>
                    <w:r>
                      <w:rPr>
                        <w:spacing w:val="-6"/>
                      </w:rPr>
                      <w:t xml:space="preserve"> </w:t>
                    </w:r>
                    <w:r>
                      <w:t>all</w:t>
                    </w:r>
                    <w:r>
                      <w:rPr>
                        <w:spacing w:val="-6"/>
                      </w:rPr>
                      <w:t xml:space="preserve"> </w:t>
                    </w:r>
                    <w:r>
                      <w:t>Department</w:t>
                    </w:r>
                    <w:r>
                      <w:rPr>
                        <w:spacing w:val="-6"/>
                      </w:rPr>
                      <w:t xml:space="preserve"> </w:t>
                    </w:r>
                    <w:r>
                      <w:t>of</w:t>
                    </w:r>
                    <w:r>
                      <w:rPr>
                        <w:spacing w:val="-6"/>
                      </w:rPr>
                      <w:t xml:space="preserve"> </w:t>
                    </w:r>
                    <w:r>
                      <w:t>Defense</w:t>
                    </w:r>
                    <w:r>
                      <w:rPr>
                        <w:spacing w:val="-6"/>
                      </w:rPr>
                      <w:t xml:space="preserve"> </w:t>
                    </w:r>
                    <w:r>
                      <w:t>Education</w:t>
                    </w:r>
                    <w:r>
                      <w:rPr>
                        <w:spacing w:val="-13"/>
                      </w:rPr>
                      <w:t xml:space="preserve"> </w:t>
                    </w:r>
                    <w:r>
                      <w:t>Activity</w:t>
                    </w:r>
                    <w:r>
                      <w:rPr>
                        <w:spacing w:val="-6"/>
                      </w:rPr>
                      <w:t xml:space="preserve"> </w:t>
                    </w:r>
                    <w:r>
                      <w:rPr>
                        <w:spacing w:val="-2"/>
                      </w:rPr>
                      <w:t>schools.</w:t>
                    </w:r>
                  </w:p>
                  <w:p w:rsidR="003F5784" w14:paraId="6C4FD934" w14:textId="77777777">
                    <w:pPr>
                      <w:pStyle w:val="BodyText"/>
                      <w:spacing w:before="2" w:line="291" w:lineRule="exact"/>
                      <w:ind w:left="20"/>
                    </w:pPr>
                    <w:r>
                      <w:rPr>
                        <w:position w:val="9"/>
                        <w:sz w:val="17"/>
                      </w:rPr>
                      <w:t>2</w:t>
                    </w:r>
                    <w:r>
                      <w:t>2</w:t>
                    </w:r>
                    <w:r>
                      <w:rPr>
                        <w:position w:val="9"/>
                        <w:sz w:val="17"/>
                      </w:rPr>
                      <w:t xml:space="preserve">2 </w:t>
                    </w:r>
                    <w:r>
                      <w:rPr>
                        <w:position w:val="1"/>
                      </w:rPr>
                      <w:t>Department</w:t>
                    </w:r>
                    <w:r>
                      <w:rPr>
                        <w:spacing w:val="-7"/>
                        <w:position w:val="1"/>
                      </w:rPr>
                      <w:t xml:space="preserve"> </w:t>
                    </w:r>
                    <w:r>
                      <w:rPr>
                        <w:position w:val="1"/>
                      </w:rPr>
                      <w:t>of</w:t>
                    </w:r>
                    <w:r>
                      <w:rPr>
                        <w:spacing w:val="-6"/>
                        <w:position w:val="1"/>
                      </w:rPr>
                      <w:t xml:space="preserve"> </w:t>
                    </w:r>
                    <w:r>
                      <w:rPr>
                        <w:position w:val="1"/>
                      </w:rPr>
                      <w:t>Defense</w:t>
                    </w:r>
                    <w:r>
                      <w:rPr>
                        <w:spacing w:val="-6"/>
                        <w:position w:val="1"/>
                      </w:rPr>
                      <w:t xml:space="preserve"> </w:t>
                    </w:r>
                    <w:r>
                      <w:rPr>
                        <w:position w:val="1"/>
                      </w:rPr>
                      <w:t>Education</w:t>
                    </w:r>
                    <w:r>
                      <w:rPr>
                        <w:spacing w:val="-14"/>
                        <w:position w:val="1"/>
                      </w:rPr>
                      <w:t xml:space="preserve"> </w:t>
                    </w:r>
                    <w:r>
                      <w:rPr>
                        <w:position w:val="1"/>
                      </w:rPr>
                      <w:t>Activity</w:t>
                    </w:r>
                    <w:r>
                      <w:rPr>
                        <w:spacing w:val="-6"/>
                        <w:position w:val="1"/>
                      </w:rPr>
                      <w:t xml:space="preserve"> </w:t>
                    </w:r>
                    <w:r>
                      <w:rPr>
                        <w:spacing w:val="-2"/>
                        <w:position w:val="1"/>
                      </w:rPr>
                      <w:t>schools.</w:t>
                    </w:r>
                  </w:p>
                  <w:p w:rsidR="003F5784" w14:paraId="4E4C8F76" w14:textId="77777777">
                    <w:pPr>
                      <w:pStyle w:val="BodyText"/>
                      <w:spacing w:before="2" w:line="232" w:lineRule="auto"/>
                      <w:ind w:left="20"/>
                    </w:pPr>
                    <w:r>
                      <w:t>NOTE: Numbers of schools are rounded to nearest ten, and numbers of students are rounded to nearest hundred. Detail may not sum to totals due to rounding. 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Reading Assessment.</w:t>
                    </w:r>
                  </w:p>
                </w:txbxContent>
              </v:textbox>
            </v:shape>
          </w:pict>
        </mc:Fallback>
      </mc:AlternateContent>
    </w:r>
    <w:r>
      <w:rPr>
        <w:noProof/>
      </w:rPr>
      <mc:AlternateContent>
        <mc:Choice Requires="wps">
          <w:drawing>
            <wp:anchor distT="0" distB="0" distL="0" distR="0" simplePos="0" relativeHeight="251777024"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717" name="Textbox 717"/>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 id="Textbox 717" o:spid="_x0000_s2189"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538432" filled="f" stroked="f">
              <v:textbox inset="0,0,0,0">
                <w:txbxContent>
                  <w:p w:rsidR="003F5784" w14:paraId="2E7A9C4A"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79072"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718" name="Textbox 718"/>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203</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718" o:spid="_x0000_s2190"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536384" filled="f" stroked="f">
              <v:textbox inset="0,0,0,0">
                <w:txbxContent>
                  <w:p w:rsidR="003F5784" w14:paraId="6556149F"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203</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03A75578" w14:textId="77777777">
    <w:pPr>
      <w:pStyle w:val="BodyText"/>
      <w:spacing w:line="14" w:lineRule="auto"/>
      <w:rPr>
        <w:sz w:val="20"/>
      </w:rPr>
    </w:pPr>
    <w:r>
      <w:rPr>
        <w:noProof/>
      </w:rPr>
      <mc:AlternateContent>
        <mc:Choice Requires="wps">
          <w:drawing>
            <wp:anchor distT="0" distB="0" distL="0" distR="0" simplePos="0" relativeHeight="251662336"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180" name="Textbox 180"/>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80" o:spid="_x0000_s2056"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3F5784" w14:paraId="3CA06561"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664384" behindDoc="1" locked="0" layoutInCell="1" allowOverlap="1">
              <wp:simplePos x="0" y="0"/>
              <wp:positionH relativeFrom="page">
                <wp:posOffset>9404746</wp:posOffset>
              </wp:positionH>
              <wp:positionV relativeFrom="page">
                <wp:posOffset>7458231</wp:posOffset>
              </wp:positionV>
              <wp:extent cx="361950" cy="139065"/>
              <wp:effectExtent l="0" t="0" r="0" b="0"/>
              <wp:wrapNone/>
              <wp:docPr id="181" name="Textbox 181"/>
              <wp:cNvGraphicFramePr/>
              <a:graphic xmlns:a="http://schemas.openxmlformats.org/drawingml/2006/main">
                <a:graphicData uri="http://schemas.microsoft.com/office/word/2010/wordprocessingShape">
                  <wps:wsp xmlns:wps="http://schemas.microsoft.com/office/word/2010/wordprocessingShape">
                    <wps:cNvSpPr txBox="1"/>
                    <wps:spPr>
                      <a:xfrm>
                        <a:off x="0" y="0"/>
                        <a:ext cx="361950"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72</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181" o:spid="_x0000_s2057" type="#_x0000_t202" style="width:28.5pt;height:10.95pt;margin-top:587.25pt;margin-left:740.55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3F5784" w14:paraId="64D60DB1"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72</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22071184" w14:textId="77777777">
    <w:pPr>
      <w:pStyle w:val="BodyText"/>
      <w:spacing w:line="14" w:lineRule="auto"/>
      <w:rPr>
        <w:sz w:val="20"/>
      </w:rPr>
    </w:pPr>
    <w:r>
      <w:rPr>
        <w:noProof/>
      </w:rPr>
      <mc:AlternateContent>
        <mc:Choice Requires="wps">
          <w:drawing>
            <wp:anchor distT="0" distB="0" distL="0" distR="0" simplePos="0" relativeHeight="251781120"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721" name="Textbox 721"/>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721" o:spid="_x0000_s2193"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534336" filled="f" stroked="f">
              <v:textbox inset="0,0,0,0">
                <w:txbxContent>
                  <w:p w:rsidR="003F5784" w14:paraId="5C9D2D28"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83168"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722" name="Textbox 722"/>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205</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722" o:spid="_x0000_s2194"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532288" filled="f" stroked="f">
              <v:textbox inset="0,0,0,0">
                <w:txbxContent>
                  <w:p w:rsidR="003F5784" w14:paraId="14F4D509"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205</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30809099" w14:textId="77777777">
    <w:pPr>
      <w:pStyle w:val="BodyText"/>
      <w:spacing w:line="14" w:lineRule="auto"/>
      <w:rPr>
        <w:sz w:val="20"/>
      </w:rPr>
    </w:pPr>
    <w:r>
      <w:rPr>
        <w:noProof/>
      </w:rPr>
      <mc:AlternateContent>
        <mc:Choice Requires="wps">
          <w:drawing>
            <wp:anchor distT="0" distB="0" distL="0" distR="0" simplePos="0" relativeHeight="251666432"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233" name="Textbox 233"/>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33" o:spid="_x0000_s2060"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649024" filled="f" stroked="f">
              <v:textbox inset="0,0,0,0">
                <w:txbxContent>
                  <w:p w:rsidR="003F5784" w14:paraId="128834DC"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668480" behindDoc="1" locked="0" layoutInCell="1" allowOverlap="1">
              <wp:simplePos x="0" y="0"/>
              <wp:positionH relativeFrom="page">
                <wp:posOffset>9373591</wp:posOffset>
              </wp:positionH>
              <wp:positionV relativeFrom="page">
                <wp:posOffset>7458231</wp:posOffset>
              </wp:positionV>
              <wp:extent cx="393065" cy="139065"/>
              <wp:effectExtent l="0" t="0" r="0" b="0"/>
              <wp:wrapNone/>
              <wp:docPr id="234" name="Textbox 234"/>
              <wp:cNvGraphicFramePr/>
              <a:graphic xmlns:a="http://schemas.openxmlformats.org/drawingml/2006/main">
                <a:graphicData uri="http://schemas.microsoft.com/office/word/2010/wordprocessingShape">
                  <wps:wsp xmlns:wps="http://schemas.microsoft.com/office/word/2010/wordprocessingShape">
                    <wps:cNvSpPr txBox="1"/>
                    <wps:spPr>
                      <a:xfrm>
                        <a:off x="0" y="0"/>
                        <a:ext cx="393065" cy="139065"/>
                      </a:xfrm>
                      <a:prstGeom prst="rect">
                        <a:avLst/>
                      </a:prstGeom>
                    </wps:spPr>
                    <wps:txbx>
                      <w:txbxContent>
                        <w:p w:rsidR="003F5784" w14:textId="77777777">
                          <w:pPr>
                            <w:spacing w:before="14"/>
                            <w:ind w:left="20"/>
                            <w:rPr>
                              <w:rFonts w:ascii="Arial"/>
                              <w:sz w:val="16"/>
                            </w:rPr>
                          </w:pPr>
                          <w:r>
                            <w:rPr>
                              <w:rFonts w:ascii="Arial"/>
                              <w:spacing w:val="-2"/>
                              <w:sz w:val="16"/>
                            </w:rPr>
                            <w:t>100/208</w:t>
                          </w:r>
                        </w:p>
                      </w:txbxContent>
                    </wps:txbx>
                    <wps:bodyPr wrap="square" lIns="0" tIns="0" rIns="0" bIns="0" rtlCol="0"/>
                  </wps:wsp>
                </a:graphicData>
              </a:graphic>
            </wp:anchor>
          </w:drawing>
        </mc:Choice>
        <mc:Fallback>
          <w:pict>
            <v:shape id="Textbox 234" o:spid="_x0000_s2061" type="#_x0000_t202" style="width:30.95pt;height:10.95pt;margin-top:587.25pt;margin-left:738.1pt;mso-position-horizontal-relative:page;mso-position-vertical-relative:page;mso-wrap-distance-bottom:0;mso-wrap-distance-left:0;mso-wrap-distance-right:0;mso-wrap-distance-top:0;mso-wrap-style:square;position:absolute;visibility:visible;v-text-anchor:top;z-index:-251646976" filled="f" stroked="f">
              <v:textbox inset="0,0,0,0">
                <w:txbxContent>
                  <w:p w:rsidR="003F5784" w14:paraId="2C3E6D23" w14:textId="77777777">
                    <w:pPr>
                      <w:spacing w:before="14"/>
                      <w:ind w:left="20"/>
                      <w:rPr>
                        <w:rFonts w:ascii="Arial"/>
                        <w:sz w:val="16"/>
                      </w:rPr>
                    </w:pPr>
                    <w:r>
                      <w:rPr>
                        <w:rFonts w:ascii="Arial"/>
                        <w:spacing w:val="-2"/>
                        <w:sz w:val="16"/>
                      </w:rPr>
                      <w:t>100/208</w:t>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1401B931" w14:textId="77777777">
    <w:pPr>
      <w:pStyle w:val="BodyText"/>
      <w:spacing w:line="14" w:lineRule="auto"/>
      <w:rPr>
        <w:sz w:val="20"/>
      </w:rPr>
    </w:pPr>
    <w:r>
      <w:rPr>
        <w:noProof/>
      </w:rPr>
      <mc:AlternateContent>
        <mc:Choice Requires="wps">
          <w:drawing>
            <wp:anchor distT="0" distB="0" distL="0" distR="0" simplePos="0" relativeHeight="251670528"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238" name="Textbox 238"/>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38" o:spid="_x0000_s2064"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644928" filled="f" stroked="f">
              <v:textbox inset="0,0,0,0">
                <w:txbxContent>
                  <w:p w:rsidR="003F5784" w14:paraId="40906323"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672576"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239" name="Textbox 239"/>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101</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239" o:spid="_x0000_s2065"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642880" filled="f" stroked="f">
              <v:textbox inset="0,0,0,0">
                <w:txbxContent>
                  <w:p w:rsidR="003F5784" w14:paraId="4746916E"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101</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27AA1243" w14:textId="77777777">
    <w:pPr>
      <w:pStyle w:val="BodyText"/>
      <w:spacing w:line="14" w:lineRule="auto"/>
      <w:rPr>
        <w:sz w:val="20"/>
      </w:rPr>
    </w:pPr>
    <w:r>
      <w:rPr>
        <w:noProof/>
      </w:rPr>
      <mc:AlternateContent>
        <mc:Choice Requires="wps">
          <w:drawing>
            <wp:anchor distT="0" distB="0" distL="0" distR="0" simplePos="0" relativeHeight="251674624"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253" name="Textbox 253"/>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53" o:spid="_x0000_s2071"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640832" filled="f" stroked="f">
              <v:textbox inset="0,0,0,0">
                <w:txbxContent>
                  <w:p w:rsidR="003F5784" w14:paraId="344B5CFC"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676672"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254" name="Textbox 254"/>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104</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254" o:spid="_x0000_s2072"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638784" filled="f" stroked="f">
              <v:textbox inset="0,0,0,0">
                <w:txbxContent>
                  <w:p w:rsidR="003F5784" w14:paraId="53DE83EA"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104</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617BC8CD" w14:textId="77777777">
    <w:pPr>
      <w:pStyle w:val="BodyText"/>
      <w:spacing w:line="14" w:lineRule="auto"/>
      <w:rPr>
        <w:sz w:val="20"/>
      </w:rPr>
    </w:pPr>
    <w:r>
      <w:rPr>
        <w:noProof/>
      </w:rPr>
      <mc:AlternateContent>
        <mc:Choice Requires="wps">
          <w:drawing>
            <wp:anchor distT="0" distB="0" distL="0" distR="0" simplePos="0" relativeHeight="251678720"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259" name="Textbox 259"/>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59" o:spid="_x0000_s2075"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636736" filled="f" stroked="f">
              <v:textbox inset="0,0,0,0">
                <w:txbxContent>
                  <w:p w:rsidR="003F5784" w14:paraId="5C713321"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680768"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260" name="Textbox 260"/>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106</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260" o:spid="_x0000_s2076"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634688" filled="f" stroked="f">
              <v:textbox inset="0,0,0,0">
                <w:txbxContent>
                  <w:p w:rsidR="003F5784" w14:paraId="4A671403"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106</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6B641A63" w14:textId="77777777">
    <w:pPr>
      <w:pStyle w:val="BodyText"/>
      <w:spacing w:line="14" w:lineRule="auto"/>
      <w:rPr>
        <w:sz w:val="20"/>
      </w:rPr>
    </w:pPr>
    <w:r>
      <w:rPr>
        <w:noProof/>
      </w:rPr>
      <mc:AlternateContent>
        <mc:Choice Requires="wps">
          <w:drawing>
            <wp:anchor distT="0" distB="0" distL="0" distR="0" simplePos="0" relativeHeight="251682816" behindDoc="1" locked="0" layoutInCell="1" allowOverlap="1">
              <wp:simplePos x="0" y="0"/>
              <wp:positionH relativeFrom="page">
                <wp:posOffset>292099</wp:posOffset>
              </wp:positionH>
              <wp:positionV relativeFrom="page">
                <wp:posOffset>6965952</wp:posOffset>
              </wp:positionV>
              <wp:extent cx="8837930" cy="631190"/>
              <wp:effectExtent l="0" t="0" r="0" b="0"/>
              <wp:wrapNone/>
              <wp:docPr id="302" name="Textbox 302"/>
              <wp:cNvGraphicFramePr/>
              <a:graphic xmlns:a="http://schemas.openxmlformats.org/drawingml/2006/main">
                <a:graphicData uri="http://schemas.microsoft.com/office/word/2010/wordprocessingShape">
                  <wps:wsp xmlns:wps="http://schemas.microsoft.com/office/word/2010/wordprocessingShape">
                    <wps:cNvSpPr txBox="1"/>
                    <wps:spPr>
                      <a:xfrm>
                        <a:off x="0" y="0"/>
                        <a:ext cx="8837930" cy="631190"/>
                      </a:xfrm>
                      <a:prstGeom prst="rect">
                        <a:avLst/>
                      </a:prstGeom>
                    </wps:spPr>
                    <wps:txbx>
                      <w:txbxContent>
                        <w:p w:rsidR="003F5784" w14:textId="77777777">
                          <w:pPr>
                            <w:spacing w:before="14"/>
                            <w:ind w:left="595"/>
                            <w:rPr>
                              <w:sz w:val="18"/>
                            </w:rPr>
                          </w:pPr>
                          <w:r>
                            <w:rPr>
                              <w:sz w:val="18"/>
                            </w:rPr>
                            <w:t>NOTE:</w:t>
                          </w:r>
                          <w:r>
                            <w:rPr>
                              <w:spacing w:val="3"/>
                              <w:sz w:val="18"/>
                            </w:rPr>
                            <w:t xml:space="preserve"> </w:t>
                          </w:r>
                          <w:r>
                            <w:rPr>
                              <w:sz w:val="18"/>
                            </w:rPr>
                            <w:t>Numbers</w:t>
                          </w:r>
                          <w:r>
                            <w:rPr>
                              <w:spacing w:val="4"/>
                              <w:sz w:val="18"/>
                            </w:rPr>
                            <w:t xml:space="preserve"> </w:t>
                          </w:r>
                          <w:r>
                            <w:rPr>
                              <w:sz w:val="18"/>
                            </w:rPr>
                            <w:t>of</w:t>
                          </w:r>
                          <w:r>
                            <w:rPr>
                              <w:spacing w:val="3"/>
                              <w:sz w:val="18"/>
                            </w:rPr>
                            <w:t xml:space="preserve"> </w:t>
                          </w:r>
                          <w:r>
                            <w:rPr>
                              <w:sz w:val="18"/>
                            </w:rPr>
                            <w:t>schools</w:t>
                          </w:r>
                          <w:r>
                            <w:rPr>
                              <w:spacing w:val="3"/>
                              <w:sz w:val="18"/>
                            </w:rPr>
                            <w:t xml:space="preserve"> </w:t>
                          </w:r>
                          <w:r>
                            <w:rPr>
                              <w:sz w:val="18"/>
                            </w:rPr>
                            <w:t>rounded</w:t>
                          </w:r>
                          <w:r>
                            <w:rPr>
                              <w:spacing w:val="4"/>
                              <w:sz w:val="18"/>
                            </w:rPr>
                            <w:t xml:space="preserve"> </w:t>
                          </w:r>
                          <w:r>
                            <w:rPr>
                              <w:sz w:val="18"/>
                            </w:rPr>
                            <w:t>to</w:t>
                          </w:r>
                          <w:r>
                            <w:rPr>
                              <w:spacing w:val="3"/>
                              <w:sz w:val="18"/>
                            </w:rPr>
                            <w:t xml:space="preserve"> </w:t>
                          </w:r>
                          <w:r>
                            <w:rPr>
                              <w:sz w:val="18"/>
                            </w:rPr>
                            <w:t>nearest</w:t>
                          </w:r>
                          <w:r>
                            <w:rPr>
                              <w:spacing w:val="4"/>
                              <w:sz w:val="18"/>
                            </w:rPr>
                            <w:t xml:space="preserve"> </w:t>
                          </w:r>
                          <w:r>
                            <w:rPr>
                              <w:sz w:val="18"/>
                            </w:rPr>
                            <w:t>ten.</w:t>
                          </w:r>
                          <w:r>
                            <w:rPr>
                              <w:spacing w:val="3"/>
                              <w:sz w:val="18"/>
                            </w:rPr>
                            <w:t xml:space="preserve"> </w:t>
                          </w:r>
                          <w:r>
                            <w:rPr>
                              <w:sz w:val="18"/>
                            </w:rPr>
                            <w:t>Detail</w:t>
                          </w:r>
                          <w:r>
                            <w:rPr>
                              <w:spacing w:val="4"/>
                              <w:sz w:val="18"/>
                            </w:rPr>
                            <w:t xml:space="preserve"> </w:t>
                          </w:r>
                          <w:r>
                            <w:rPr>
                              <w:sz w:val="18"/>
                            </w:rPr>
                            <w:t>may</w:t>
                          </w:r>
                          <w:r>
                            <w:rPr>
                              <w:spacing w:val="3"/>
                              <w:sz w:val="18"/>
                            </w:rPr>
                            <w:t xml:space="preserve"> </w:t>
                          </w:r>
                          <w:r>
                            <w:rPr>
                              <w:sz w:val="18"/>
                            </w:rPr>
                            <w:t>not</w:t>
                          </w:r>
                          <w:r>
                            <w:rPr>
                              <w:spacing w:val="4"/>
                              <w:sz w:val="18"/>
                            </w:rPr>
                            <w:t xml:space="preserve"> </w:t>
                          </w:r>
                          <w:r>
                            <w:rPr>
                              <w:sz w:val="18"/>
                            </w:rPr>
                            <w:t>sum</w:t>
                          </w:r>
                          <w:r>
                            <w:rPr>
                              <w:spacing w:val="3"/>
                              <w:sz w:val="18"/>
                            </w:rPr>
                            <w:t xml:space="preserve"> </w:t>
                          </w:r>
                          <w:r>
                            <w:rPr>
                              <w:sz w:val="18"/>
                            </w:rPr>
                            <w:t>to</w:t>
                          </w:r>
                          <w:r>
                            <w:rPr>
                              <w:spacing w:val="4"/>
                              <w:sz w:val="18"/>
                            </w:rPr>
                            <w:t xml:space="preserve"> </w:t>
                          </w:r>
                          <w:r>
                            <w:rPr>
                              <w:sz w:val="18"/>
                            </w:rPr>
                            <w:t>totals</w:t>
                          </w:r>
                          <w:r>
                            <w:rPr>
                              <w:spacing w:val="3"/>
                              <w:sz w:val="18"/>
                            </w:rPr>
                            <w:t xml:space="preserve"> </w:t>
                          </w:r>
                          <w:r>
                            <w:rPr>
                              <w:sz w:val="18"/>
                            </w:rPr>
                            <w:t>due</w:t>
                          </w:r>
                          <w:r>
                            <w:rPr>
                              <w:spacing w:val="4"/>
                              <w:sz w:val="18"/>
                            </w:rPr>
                            <w:t xml:space="preserve"> </w:t>
                          </w:r>
                          <w:r>
                            <w:rPr>
                              <w:sz w:val="18"/>
                            </w:rPr>
                            <w:t>to</w:t>
                          </w:r>
                          <w:r>
                            <w:rPr>
                              <w:spacing w:val="3"/>
                              <w:sz w:val="18"/>
                            </w:rPr>
                            <w:t xml:space="preserve"> </w:t>
                          </w:r>
                          <w:r>
                            <w:rPr>
                              <w:spacing w:val="-2"/>
                              <w:sz w:val="18"/>
                            </w:rPr>
                            <w:t>rounding.</w:t>
                          </w:r>
                        </w:p>
                        <w:p w:rsidR="003F5784" w14:textId="77777777">
                          <w:pPr>
                            <w:spacing w:before="2"/>
                            <w:ind w:left="595"/>
                            <w:rPr>
                              <w:sz w:val="18"/>
                            </w:rPr>
                          </w:pPr>
                          <w:r>
                            <w:rPr>
                              <w:sz w:val="18"/>
                            </w:rPr>
                            <w:t>SOURCE: U.S. Department of Education, Institute of Education Sciences, National Center for Education Statistics, National</w:t>
                          </w:r>
                          <w:r>
                            <w:rPr>
                              <w:spacing w:val="-5"/>
                              <w:sz w:val="18"/>
                            </w:rPr>
                            <w:t xml:space="preserve"> </w:t>
                          </w:r>
                          <w:r>
                            <w:rPr>
                              <w:sz w:val="18"/>
                            </w:rPr>
                            <w:t>Assessment of Educational Progress (NAEP), 2022 State Mathematics and Reading Assessments.</w:t>
                          </w:r>
                        </w:p>
                        <w:p w:rsidR="003F5784" w14:textId="77777777">
                          <w:pPr>
                            <w:spacing w:before="153"/>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02" o:spid="_x0000_s2086" type="#_x0000_t202" style="width:695.9pt;height:49.7pt;margin-top:548.5pt;margin-left:23pt;mso-position-horizontal-relative:page;mso-position-vertical-relative:page;mso-wrap-distance-bottom:0;mso-wrap-distance-left:0;mso-wrap-distance-right:0;mso-wrap-distance-top:0;mso-wrap-style:square;position:absolute;visibility:visible;v-text-anchor:top;z-index:-251632640" filled="f" stroked="f">
              <v:textbox inset="0,0,0,0">
                <w:txbxContent>
                  <w:p w:rsidR="003F5784" w14:paraId="4B84A1E4" w14:textId="77777777">
                    <w:pPr>
                      <w:spacing w:before="14"/>
                      <w:ind w:left="595"/>
                      <w:rPr>
                        <w:sz w:val="18"/>
                      </w:rPr>
                    </w:pPr>
                    <w:r>
                      <w:rPr>
                        <w:sz w:val="18"/>
                      </w:rPr>
                      <w:t>NOTE:</w:t>
                    </w:r>
                    <w:r>
                      <w:rPr>
                        <w:spacing w:val="3"/>
                        <w:sz w:val="18"/>
                      </w:rPr>
                      <w:t xml:space="preserve"> </w:t>
                    </w:r>
                    <w:r>
                      <w:rPr>
                        <w:sz w:val="18"/>
                      </w:rPr>
                      <w:t>Numbers</w:t>
                    </w:r>
                    <w:r>
                      <w:rPr>
                        <w:spacing w:val="4"/>
                        <w:sz w:val="18"/>
                      </w:rPr>
                      <w:t xml:space="preserve"> </w:t>
                    </w:r>
                    <w:r>
                      <w:rPr>
                        <w:sz w:val="18"/>
                      </w:rPr>
                      <w:t>of</w:t>
                    </w:r>
                    <w:r>
                      <w:rPr>
                        <w:spacing w:val="3"/>
                        <w:sz w:val="18"/>
                      </w:rPr>
                      <w:t xml:space="preserve"> </w:t>
                    </w:r>
                    <w:r>
                      <w:rPr>
                        <w:sz w:val="18"/>
                      </w:rPr>
                      <w:t>schools</w:t>
                    </w:r>
                    <w:r>
                      <w:rPr>
                        <w:spacing w:val="3"/>
                        <w:sz w:val="18"/>
                      </w:rPr>
                      <w:t xml:space="preserve"> </w:t>
                    </w:r>
                    <w:r>
                      <w:rPr>
                        <w:sz w:val="18"/>
                      </w:rPr>
                      <w:t>rounded</w:t>
                    </w:r>
                    <w:r>
                      <w:rPr>
                        <w:spacing w:val="4"/>
                        <w:sz w:val="18"/>
                      </w:rPr>
                      <w:t xml:space="preserve"> </w:t>
                    </w:r>
                    <w:r>
                      <w:rPr>
                        <w:sz w:val="18"/>
                      </w:rPr>
                      <w:t>to</w:t>
                    </w:r>
                    <w:r>
                      <w:rPr>
                        <w:spacing w:val="3"/>
                        <w:sz w:val="18"/>
                      </w:rPr>
                      <w:t xml:space="preserve"> </w:t>
                    </w:r>
                    <w:r>
                      <w:rPr>
                        <w:sz w:val="18"/>
                      </w:rPr>
                      <w:t>nearest</w:t>
                    </w:r>
                    <w:r>
                      <w:rPr>
                        <w:spacing w:val="4"/>
                        <w:sz w:val="18"/>
                      </w:rPr>
                      <w:t xml:space="preserve"> </w:t>
                    </w:r>
                    <w:r>
                      <w:rPr>
                        <w:sz w:val="18"/>
                      </w:rPr>
                      <w:t>ten.</w:t>
                    </w:r>
                    <w:r>
                      <w:rPr>
                        <w:spacing w:val="3"/>
                        <w:sz w:val="18"/>
                      </w:rPr>
                      <w:t xml:space="preserve"> </w:t>
                    </w:r>
                    <w:r>
                      <w:rPr>
                        <w:sz w:val="18"/>
                      </w:rPr>
                      <w:t>Detail</w:t>
                    </w:r>
                    <w:r>
                      <w:rPr>
                        <w:spacing w:val="4"/>
                        <w:sz w:val="18"/>
                      </w:rPr>
                      <w:t xml:space="preserve"> </w:t>
                    </w:r>
                    <w:r>
                      <w:rPr>
                        <w:sz w:val="18"/>
                      </w:rPr>
                      <w:t>may</w:t>
                    </w:r>
                    <w:r>
                      <w:rPr>
                        <w:spacing w:val="3"/>
                        <w:sz w:val="18"/>
                      </w:rPr>
                      <w:t xml:space="preserve"> </w:t>
                    </w:r>
                    <w:r>
                      <w:rPr>
                        <w:sz w:val="18"/>
                      </w:rPr>
                      <w:t>not</w:t>
                    </w:r>
                    <w:r>
                      <w:rPr>
                        <w:spacing w:val="4"/>
                        <w:sz w:val="18"/>
                      </w:rPr>
                      <w:t xml:space="preserve"> </w:t>
                    </w:r>
                    <w:r>
                      <w:rPr>
                        <w:sz w:val="18"/>
                      </w:rPr>
                      <w:t>sum</w:t>
                    </w:r>
                    <w:r>
                      <w:rPr>
                        <w:spacing w:val="3"/>
                        <w:sz w:val="18"/>
                      </w:rPr>
                      <w:t xml:space="preserve"> </w:t>
                    </w:r>
                    <w:r>
                      <w:rPr>
                        <w:sz w:val="18"/>
                      </w:rPr>
                      <w:t>to</w:t>
                    </w:r>
                    <w:r>
                      <w:rPr>
                        <w:spacing w:val="4"/>
                        <w:sz w:val="18"/>
                      </w:rPr>
                      <w:t xml:space="preserve"> </w:t>
                    </w:r>
                    <w:r>
                      <w:rPr>
                        <w:sz w:val="18"/>
                      </w:rPr>
                      <w:t>totals</w:t>
                    </w:r>
                    <w:r>
                      <w:rPr>
                        <w:spacing w:val="3"/>
                        <w:sz w:val="18"/>
                      </w:rPr>
                      <w:t xml:space="preserve"> </w:t>
                    </w:r>
                    <w:r>
                      <w:rPr>
                        <w:sz w:val="18"/>
                      </w:rPr>
                      <w:t>due</w:t>
                    </w:r>
                    <w:r>
                      <w:rPr>
                        <w:spacing w:val="4"/>
                        <w:sz w:val="18"/>
                      </w:rPr>
                      <w:t xml:space="preserve"> </w:t>
                    </w:r>
                    <w:r>
                      <w:rPr>
                        <w:sz w:val="18"/>
                      </w:rPr>
                      <w:t>to</w:t>
                    </w:r>
                    <w:r>
                      <w:rPr>
                        <w:spacing w:val="3"/>
                        <w:sz w:val="18"/>
                      </w:rPr>
                      <w:t xml:space="preserve"> </w:t>
                    </w:r>
                    <w:r>
                      <w:rPr>
                        <w:spacing w:val="-2"/>
                        <w:sz w:val="18"/>
                      </w:rPr>
                      <w:t>rounding.</w:t>
                    </w:r>
                  </w:p>
                  <w:p w:rsidR="003F5784" w14:paraId="3A4382F1" w14:textId="77777777">
                    <w:pPr>
                      <w:spacing w:before="2"/>
                      <w:ind w:left="595"/>
                      <w:rPr>
                        <w:sz w:val="18"/>
                      </w:rPr>
                    </w:pPr>
                    <w:r>
                      <w:rPr>
                        <w:sz w:val="18"/>
                      </w:rPr>
                      <w:t>SOURCE: U.S. Department of Education, Institute of Education Sciences, National Center for Education Statistics, National</w:t>
                    </w:r>
                    <w:r>
                      <w:rPr>
                        <w:spacing w:val="-5"/>
                        <w:sz w:val="18"/>
                      </w:rPr>
                      <w:t xml:space="preserve"> </w:t>
                    </w:r>
                    <w:r>
                      <w:rPr>
                        <w:sz w:val="18"/>
                      </w:rPr>
                      <w:t>Assessment of Educational Progress (NAEP), 2022 State Mathematics and Reading Assessments.</w:t>
                    </w:r>
                  </w:p>
                  <w:p w:rsidR="003F5784" w14:paraId="4B032C98" w14:textId="77777777">
                    <w:pPr>
                      <w:spacing w:before="153"/>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684864"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303" name="Textbox 303"/>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109</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303" o:spid="_x0000_s2087"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630592" filled="f" stroked="f">
              <v:textbox inset="0,0,0,0">
                <w:txbxContent>
                  <w:p w:rsidR="003F5784" w14:paraId="52CEAF63"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109</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6A89F417" w14:textId="77777777">
    <w:pPr>
      <w:pStyle w:val="BodyText"/>
      <w:spacing w:line="14" w:lineRule="auto"/>
      <w:rPr>
        <w:sz w:val="20"/>
      </w:rPr>
    </w:pPr>
    <w:r>
      <w:rPr>
        <w:noProof/>
      </w:rPr>
      <mc:AlternateContent>
        <mc:Choice Requires="wps">
          <w:drawing>
            <wp:anchor distT="0" distB="0" distL="0" distR="0" simplePos="0" relativeHeight="251686912"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313" name="Textbox 313"/>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13" o:spid="_x0000_s2097"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628544" filled="f" stroked="f">
              <v:textbox inset="0,0,0,0">
                <w:txbxContent>
                  <w:p w:rsidR="003F5784" w14:paraId="1CDB31CB"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688960" behindDoc="1" locked="0" layoutInCell="1" allowOverlap="1">
              <wp:simplePos x="0" y="0"/>
              <wp:positionH relativeFrom="page">
                <wp:posOffset>9363223</wp:posOffset>
              </wp:positionH>
              <wp:positionV relativeFrom="page">
                <wp:posOffset>7458231</wp:posOffset>
              </wp:positionV>
              <wp:extent cx="403225" cy="139065"/>
              <wp:effectExtent l="0" t="0" r="0" b="0"/>
              <wp:wrapNone/>
              <wp:docPr id="314" name="Textbox 314"/>
              <wp:cNvGraphicFramePr/>
              <a:graphic xmlns:a="http://schemas.openxmlformats.org/drawingml/2006/main">
                <a:graphicData uri="http://schemas.microsoft.com/office/word/2010/wordprocessingShape">
                  <wps:wsp xmlns:wps="http://schemas.microsoft.com/office/word/2010/wordprocessingShape">
                    <wps:cNvSpPr txBox="1"/>
                    <wps:spPr>
                      <a:xfrm>
                        <a:off x="0" y="0"/>
                        <a:ext cx="40322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111</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314" o:spid="_x0000_s2098" type="#_x0000_t202" style="width:31.75pt;height:10.95pt;margin-top:587.25pt;margin-left:737.25pt;mso-position-horizontal-relative:page;mso-position-vertical-relative:page;mso-wrap-distance-bottom:0;mso-wrap-distance-left:0;mso-wrap-distance-right:0;mso-wrap-distance-top:0;mso-wrap-style:square;position:absolute;visibility:visible;v-text-anchor:top;z-index:-251626496" filled="f" stroked="f">
              <v:textbox inset="0,0,0,0">
                <w:txbxContent>
                  <w:p w:rsidR="003F5784" w14:paraId="6F6E6106"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111</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6DD2B9FC" w14:textId="5ADF8D04">
    <w:pPr>
      <w:pStyle w:val="BodyText"/>
      <w:spacing w:line="14" w:lineRule="auto"/>
      <w:rPr>
        <w:sz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6968A10E" w14:textId="77777777">
    <w:pPr>
      <w:pStyle w:val="BodyText"/>
      <w:spacing w:line="14" w:lineRule="auto"/>
      <w:rPr>
        <w:sz w:val="20"/>
      </w:rPr>
    </w:pPr>
    <w:r>
      <w:rPr>
        <w:noProof/>
      </w:rPr>
      <mc:AlternateContent>
        <mc:Choice Requires="wps">
          <w:drawing>
            <wp:anchor distT="0" distB="0" distL="0" distR="0" simplePos="0" relativeHeight="251727872"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317" name="Textbox 317"/>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17" o:spid="_x0000_s2099"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587584" filled="f" stroked="f">
              <v:textbox inset="0,0,0,0">
                <w:txbxContent>
                  <w:p w:rsidR="003F5784" w14:paraId="59A47792"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729920"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318" name="Textbox 318"/>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318" o:spid="_x0000_s2100"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585536" filled="f" stroked="f">
              <v:textbox inset="0,0,0,0">
                <w:txbxContent>
                  <w:p w:rsidR="003F5784" w14:paraId="386CA77E"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7033FEC4" w14:textId="77777777">
    <w:pPr>
      <w:pStyle w:val="BodyText"/>
      <w:spacing w:line="14" w:lineRule="auto"/>
      <w:rPr>
        <w:sz w:val="20"/>
      </w:rPr>
    </w:pPr>
    <w:r>
      <w:rPr>
        <w:noProof/>
      </w:rPr>
      <mc:AlternateContent>
        <mc:Choice Requires="wps">
          <w:drawing>
            <wp:anchor distT="0" distB="0" distL="0" distR="0" simplePos="0" relativeHeight="251731968" behindDoc="1" locked="0" layoutInCell="1" allowOverlap="1">
              <wp:simplePos x="0" y="0"/>
              <wp:positionH relativeFrom="page">
                <wp:posOffset>5368798</wp:posOffset>
              </wp:positionH>
              <wp:positionV relativeFrom="page">
                <wp:posOffset>535749</wp:posOffset>
              </wp:positionV>
              <wp:extent cx="4105275" cy="25400"/>
              <wp:effectExtent l="0" t="0" r="0" b="0"/>
              <wp:wrapNone/>
              <wp:docPr id="321" name="Graphic 321"/>
              <wp:cNvGraphicFramePr/>
              <a:graphic xmlns:a="http://schemas.openxmlformats.org/drawingml/2006/main">
                <a:graphicData uri="http://schemas.microsoft.com/office/word/2010/wordprocessingShape">
                  <wps:wsp xmlns:wps="http://schemas.microsoft.com/office/word/2010/wordprocessingShape">
                    <wps:cNvSpPr/>
                    <wps:spPr>
                      <a:xfrm>
                        <a:off x="0" y="0"/>
                        <a:ext cx="4105275" cy="25400"/>
                      </a:xfrm>
                      <a:custGeom>
                        <a:avLst/>
                        <a:gdLst/>
                        <a:rect l="l" t="t" r="r" b="b"/>
                        <a:pathLst>
                          <a:path fill="norm" h="25400" w="4105275" stroke="1">
                            <a:moveTo>
                              <a:pt x="4104805" y="0"/>
                            </a:moveTo>
                            <a:lnTo>
                              <a:pt x="2052408" y="0"/>
                            </a:lnTo>
                            <a:lnTo>
                              <a:pt x="0" y="0"/>
                            </a:lnTo>
                            <a:lnTo>
                              <a:pt x="0" y="24828"/>
                            </a:lnTo>
                            <a:lnTo>
                              <a:pt x="2052408" y="24828"/>
                            </a:lnTo>
                            <a:lnTo>
                              <a:pt x="4104805" y="24828"/>
                            </a:lnTo>
                            <a:lnTo>
                              <a:pt x="4104805" y="0"/>
                            </a:lnTo>
                            <a:close/>
                          </a:path>
                        </a:pathLst>
                      </a:custGeom>
                      <a:solidFill>
                        <a:srgbClr val="800000"/>
                      </a:solidFill>
                    </wps:spPr>
                    <wps:bodyPr wrap="square" lIns="0" tIns="0" rIns="0" bIns="0" rtlCol="0">
                      <a:prstTxWarp prst="textNoShape">
                        <a:avLst/>
                      </a:prstTxWarp>
                    </wps:bodyPr>
                  </wps:wsp>
                </a:graphicData>
              </a:graphic>
            </wp:anchor>
          </w:drawing>
        </mc:Choice>
        <mc:Fallback>
          <w:pict>
            <v:shape id="Graphic 321" o:spid="_x0000_s2103" style="width:323.25pt;height:2pt;margin-top:42.2pt;margin-left:422.75pt;mso-position-horizontal-relative:page;mso-position-vertical-relative:page;mso-wrap-distance-bottom:0;mso-wrap-distance-left:0;mso-wrap-distance-right:0;mso-wrap-distance-top:0;mso-wrap-style:square;position:absolute;visibility:visible;v-text-anchor:top;z-index:-251583488" coordsize="4105275,25400" path="m4104805,l2052408,,,,,24828l2052408,24828l4104805,24828l4104805,xe" fillcolor="maroon" stroked="f">
              <v:path arrowok="t"/>
            </v:shape>
          </w:pict>
        </mc:Fallback>
      </mc:AlternateContent>
    </w:r>
    <w:r>
      <w:rPr>
        <w:noProof/>
      </w:rPr>
      <mc:AlternateContent>
        <mc:Choice Requires="wps">
          <w:drawing>
            <wp:anchor distT="0" distB="0" distL="0" distR="0" simplePos="0" relativeHeight="251734016"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322" name="Textbox 322"/>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22" o:spid="_x0000_s2104"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581440" filled="f" stroked="f">
              <v:textbox inset="0,0,0,0">
                <w:txbxContent>
                  <w:p w:rsidR="003F5784" w14:paraId="73542919"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736064"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323" name="Textbox 323"/>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323" o:spid="_x0000_s2105"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579392" filled="f" stroked="f">
              <v:textbox inset="0,0,0,0">
                <w:txbxContent>
                  <w:p w:rsidR="003F5784" w14:paraId="31AFA3FA"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r>
      <w:rPr>
        <w:noProof/>
      </w:rPr>
      <mc:AlternateContent>
        <mc:Choice Requires="wps">
          <w:drawing>
            <wp:anchor distT="0" distB="0" distL="0" distR="0" simplePos="0" relativeHeight="251738112" behindDoc="1" locked="0" layoutInCell="1" allowOverlap="1">
              <wp:simplePos x="0" y="0"/>
              <wp:positionH relativeFrom="page">
                <wp:posOffset>6167913</wp:posOffset>
              </wp:positionH>
              <wp:positionV relativeFrom="page">
                <wp:posOffset>363689</wp:posOffset>
              </wp:positionV>
              <wp:extent cx="448309" cy="172085"/>
              <wp:effectExtent l="0" t="0" r="0" b="0"/>
              <wp:wrapNone/>
              <wp:docPr id="324" name="Textbox 324"/>
              <wp:cNvGraphicFramePr/>
              <a:graphic xmlns:a="http://schemas.openxmlformats.org/drawingml/2006/main">
                <a:graphicData uri="http://schemas.microsoft.com/office/word/2010/wordprocessingShape">
                  <wps:wsp xmlns:wps="http://schemas.microsoft.com/office/word/2010/wordprocessingShape">
                    <wps:cNvSpPr txBox="1"/>
                    <wps:spPr>
                      <a:xfrm>
                        <a:off x="0" y="0"/>
                        <a:ext cx="448309" cy="172085"/>
                      </a:xfrm>
                      <a:prstGeom prst="rect">
                        <a:avLst/>
                      </a:prstGeom>
                    </wps:spPr>
                    <wps:txbx>
                      <w:txbxContent>
                        <w:p w:rsidR="003F5784" w14:textId="77777777">
                          <w:pPr>
                            <w:pStyle w:val="BodyText"/>
                            <w:spacing w:before="9"/>
                            <w:ind w:left="20"/>
                          </w:pPr>
                          <w:r>
                            <w:t>Grade</w:t>
                          </w:r>
                          <w:r>
                            <w:rPr>
                              <w:spacing w:val="-7"/>
                            </w:rPr>
                            <w:t xml:space="preserve"> </w:t>
                          </w:r>
                          <w:r>
                            <w:rPr>
                              <w:spacing w:val="-10"/>
                            </w:rPr>
                            <w:t>4</w:t>
                          </w:r>
                        </w:p>
                      </w:txbxContent>
                    </wps:txbx>
                    <wps:bodyPr wrap="square" lIns="0" tIns="0" rIns="0" bIns="0" rtlCol="0"/>
                  </wps:wsp>
                </a:graphicData>
              </a:graphic>
            </wp:anchor>
          </w:drawing>
        </mc:Choice>
        <mc:Fallback>
          <w:pict>
            <v:shape id="Textbox 324" o:spid="_x0000_s2106" type="#_x0000_t202" style="width:35.3pt;height:13.55pt;margin-top:28.65pt;margin-left:485.65pt;mso-position-horizontal-relative:page;mso-position-vertical-relative:page;mso-wrap-distance-bottom:0;mso-wrap-distance-left:0;mso-wrap-distance-right:0;mso-wrap-distance-top:0;mso-wrap-style:square;position:absolute;visibility:visible;v-text-anchor:top;z-index:-251577344" filled="f" stroked="f">
              <v:textbox inset="0,0,0,0">
                <w:txbxContent>
                  <w:p w:rsidR="003F5784" w14:paraId="3D018D4B" w14:textId="77777777">
                    <w:pPr>
                      <w:pStyle w:val="BodyText"/>
                      <w:spacing w:before="9"/>
                      <w:ind w:left="20"/>
                    </w:pPr>
                    <w:r>
                      <w:t>Grade</w:t>
                    </w:r>
                    <w:r>
                      <w:rPr>
                        <w:spacing w:val="-7"/>
                      </w:rPr>
                      <w:t xml:space="preserve"> </w:t>
                    </w:r>
                    <w:r>
                      <w:rPr>
                        <w:spacing w:val="-10"/>
                      </w:rPr>
                      <w:t>4</w:t>
                    </w:r>
                  </w:p>
                </w:txbxContent>
              </v:textbox>
            </v:shape>
          </w:pict>
        </mc:Fallback>
      </mc:AlternateContent>
    </w:r>
    <w:r>
      <w:rPr>
        <w:noProof/>
      </w:rPr>
      <mc:AlternateContent>
        <mc:Choice Requires="wps">
          <w:drawing>
            <wp:anchor distT="0" distB="0" distL="0" distR="0" simplePos="0" relativeHeight="251740160" behindDoc="1" locked="0" layoutInCell="1" allowOverlap="1">
              <wp:simplePos x="0" y="0"/>
              <wp:positionH relativeFrom="page">
                <wp:posOffset>8221345</wp:posOffset>
              </wp:positionH>
              <wp:positionV relativeFrom="page">
                <wp:posOffset>363689</wp:posOffset>
              </wp:positionV>
              <wp:extent cx="448309" cy="172085"/>
              <wp:effectExtent l="0" t="0" r="0" b="0"/>
              <wp:wrapNone/>
              <wp:docPr id="325" name="Textbox 325"/>
              <wp:cNvGraphicFramePr/>
              <a:graphic xmlns:a="http://schemas.openxmlformats.org/drawingml/2006/main">
                <a:graphicData uri="http://schemas.microsoft.com/office/word/2010/wordprocessingShape">
                  <wps:wsp xmlns:wps="http://schemas.microsoft.com/office/word/2010/wordprocessingShape">
                    <wps:cNvSpPr txBox="1"/>
                    <wps:spPr>
                      <a:xfrm>
                        <a:off x="0" y="0"/>
                        <a:ext cx="448309" cy="172085"/>
                      </a:xfrm>
                      <a:prstGeom prst="rect">
                        <a:avLst/>
                      </a:prstGeom>
                    </wps:spPr>
                    <wps:txbx>
                      <w:txbxContent>
                        <w:p w:rsidR="003F5784" w14:textId="77777777">
                          <w:pPr>
                            <w:pStyle w:val="BodyText"/>
                            <w:spacing w:before="9"/>
                            <w:ind w:left="20"/>
                          </w:pPr>
                          <w:r>
                            <w:t>Grade</w:t>
                          </w:r>
                          <w:r>
                            <w:rPr>
                              <w:spacing w:val="-7"/>
                            </w:rPr>
                            <w:t xml:space="preserve"> </w:t>
                          </w:r>
                          <w:r>
                            <w:rPr>
                              <w:spacing w:val="-10"/>
                            </w:rPr>
                            <w:t>8</w:t>
                          </w:r>
                        </w:p>
                      </w:txbxContent>
                    </wps:txbx>
                    <wps:bodyPr wrap="square" lIns="0" tIns="0" rIns="0" bIns="0" rtlCol="0"/>
                  </wps:wsp>
                </a:graphicData>
              </a:graphic>
            </wp:anchor>
          </w:drawing>
        </mc:Choice>
        <mc:Fallback>
          <w:pict>
            <v:shape id="Textbox 325" o:spid="_x0000_s2107" type="#_x0000_t202" style="width:35.3pt;height:13.55pt;margin-top:28.65pt;margin-left:647.35pt;mso-position-horizontal-relative:page;mso-position-vertical-relative:page;mso-wrap-distance-bottom:0;mso-wrap-distance-left:0;mso-wrap-distance-right:0;mso-wrap-distance-top:0;mso-wrap-style:square;position:absolute;visibility:visible;v-text-anchor:top;z-index:-251575296" filled="f" stroked="f">
              <v:textbox inset="0,0,0,0">
                <w:txbxContent>
                  <w:p w:rsidR="003F5784" w14:paraId="46121C13" w14:textId="77777777">
                    <w:pPr>
                      <w:pStyle w:val="BodyText"/>
                      <w:spacing w:before="9"/>
                      <w:ind w:left="20"/>
                    </w:pPr>
                    <w:r>
                      <w:t>Grade</w:t>
                    </w:r>
                    <w:r>
                      <w:rPr>
                        <w:spacing w:val="-7"/>
                      </w:rPr>
                      <w:t xml:space="preserve"> </w:t>
                    </w:r>
                    <w:r>
                      <w:rPr>
                        <w:spacing w:val="-10"/>
                      </w:rPr>
                      <w:t>8</w:t>
                    </w:r>
                  </w:p>
                </w:txbxContent>
              </v:textbox>
            </v:shape>
          </w:pict>
        </mc:Fallback>
      </mc:AlternateContent>
    </w:r>
    <w:r>
      <w:rPr>
        <w:noProof/>
      </w:rPr>
      <mc:AlternateContent>
        <mc:Choice Requires="wps">
          <w:drawing>
            <wp:anchor distT="0" distB="0" distL="0" distR="0" simplePos="0" relativeHeight="251742208" behindDoc="1" locked="0" layoutInCell="1" allowOverlap="1">
              <wp:simplePos x="0" y="0"/>
              <wp:positionH relativeFrom="page">
                <wp:posOffset>657394</wp:posOffset>
              </wp:positionH>
              <wp:positionV relativeFrom="page">
                <wp:posOffset>562308</wp:posOffset>
              </wp:positionV>
              <wp:extent cx="643890" cy="172085"/>
              <wp:effectExtent l="0" t="0" r="0" b="0"/>
              <wp:wrapNone/>
              <wp:docPr id="326" name="Textbox 326"/>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890" cy="172085"/>
                      </a:xfrm>
                      <a:prstGeom prst="rect">
                        <a:avLst/>
                      </a:prstGeom>
                    </wps:spPr>
                    <wps:txbx>
                      <w:txbxContent>
                        <w:p w:rsidR="003F5784" w14:textId="77777777">
                          <w:pPr>
                            <w:pStyle w:val="BodyText"/>
                            <w:spacing w:before="9"/>
                            <w:ind w:left="20"/>
                          </w:pPr>
                          <w:r>
                            <w:rPr>
                              <w:spacing w:val="-2"/>
                            </w:rPr>
                            <w:t>Jurisdiction</w:t>
                          </w:r>
                        </w:p>
                      </w:txbxContent>
                    </wps:txbx>
                    <wps:bodyPr wrap="square" lIns="0" tIns="0" rIns="0" bIns="0" rtlCol="0"/>
                  </wps:wsp>
                </a:graphicData>
              </a:graphic>
            </wp:anchor>
          </w:drawing>
        </mc:Choice>
        <mc:Fallback>
          <w:pict>
            <v:shape id="Textbox 326" o:spid="_x0000_s2108" type="#_x0000_t202" style="width:50.7pt;height:13.55pt;margin-top:44.3pt;margin-left:51.75pt;mso-position-horizontal-relative:page;mso-position-vertical-relative:page;mso-wrap-distance-bottom:0;mso-wrap-distance-left:0;mso-wrap-distance-right:0;mso-wrap-distance-top:0;mso-wrap-style:square;position:absolute;visibility:visible;v-text-anchor:top;z-index:-251573248" filled="f" stroked="f">
              <v:textbox inset="0,0,0,0">
                <w:txbxContent>
                  <w:p w:rsidR="003F5784" w14:paraId="0D60575A" w14:textId="77777777">
                    <w:pPr>
                      <w:pStyle w:val="BodyText"/>
                      <w:spacing w:before="9"/>
                      <w:ind w:left="20"/>
                    </w:pPr>
                    <w:r>
                      <w:rPr>
                        <w:spacing w:val="-2"/>
                      </w:rPr>
                      <w:t>Jurisdiction</w:t>
                    </w:r>
                  </w:p>
                </w:txbxContent>
              </v:textbox>
            </v:shape>
          </w:pict>
        </mc:Fallback>
      </mc:AlternateContent>
    </w:r>
    <w:r>
      <w:rPr>
        <w:noProof/>
      </w:rPr>
      <mc:AlternateContent>
        <mc:Choice Requires="wps">
          <w:drawing>
            <wp:anchor distT="0" distB="0" distL="0" distR="0" simplePos="0" relativeHeight="251744256" behindDoc="1" locked="0" layoutInCell="1" allowOverlap="1">
              <wp:simplePos x="0" y="0"/>
              <wp:positionH relativeFrom="page">
                <wp:posOffset>5747528</wp:posOffset>
              </wp:positionH>
              <wp:positionV relativeFrom="page">
                <wp:posOffset>562308</wp:posOffset>
              </wp:positionV>
              <wp:extent cx="445134" cy="172085"/>
              <wp:effectExtent l="0" t="0" r="0" b="0"/>
              <wp:wrapNone/>
              <wp:docPr id="327" name="Textbox 327"/>
              <wp:cNvGraphicFramePr/>
              <a:graphic xmlns:a="http://schemas.openxmlformats.org/drawingml/2006/main">
                <a:graphicData uri="http://schemas.microsoft.com/office/word/2010/wordprocessingShape">
                  <wps:wsp xmlns:wps="http://schemas.microsoft.com/office/word/2010/wordprocessingShape">
                    <wps:cNvSpPr txBox="1"/>
                    <wps:spPr>
                      <a:xfrm>
                        <a:off x="0" y="0"/>
                        <a:ext cx="445134" cy="172085"/>
                      </a:xfrm>
                      <a:prstGeom prst="rect">
                        <a:avLst/>
                      </a:prstGeom>
                    </wps:spPr>
                    <wps:txbx>
                      <w:txbxContent>
                        <w:p w:rsidR="003F5784" w14:textId="77777777">
                          <w:pPr>
                            <w:pStyle w:val="BodyText"/>
                            <w:spacing w:before="9"/>
                            <w:ind w:left="20"/>
                          </w:pPr>
                          <w:r>
                            <w:rPr>
                              <w:spacing w:val="-2"/>
                            </w:rPr>
                            <w:t>Schools</w:t>
                          </w:r>
                        </w:p>
                      </w:txbxContent>
                    </wps:txbx>
                    <wps:bodyPr wrap="square" lIns="0" tIns="0" rIns="0" bIns="0" rtlCol="0"/>
                  </wps:wsp>
                </a:graphicData>
              </a:graphic>
            </wp:anchor>
          </w:drawing>
        </mc:Choice>
        <mc:Fallback>
          <w:pict>
            <v:shape id="Textbox 327" o:spid="_x0000_s2109" type="#_x0000_t202" style="width:35.05pt;height:13.55pt;margin-top:44.3pt;margin-left:452.55pt;mso-position-horizontal-relative:page;mso-position-vertical-relative:page;mso-wrap-distance-bottom:0;mso-wrap-distance-left:0;mso-wrap-distance-right:0;mso-wrap-distance-top:0;mso-wrap-style:square;position:absolute;visibility:visible;v-text-anchor:top;z-index:-251571200" filled="f" stroked="f">
              <v:textbox inset="0,0,0,0">
                <w:txbxContent>
                  <w:p w:rsidR="003F5784" w14:paraId="60346D0D" w14:textId="77777777">
                    <w:pPr>
                      <w:pStyle w:val="BodyText"/>
                      <w:spacing w:before="9"/>
                      <w:ind w:left="20"/>
                    </w:pPr>
                    <w:r>
                      <w:rPr>
                        <w:spacing w:val="-2"/>
                      </w:rPr>
                      <w:t>Schools</w:t>
                    </w:r>
                  </w:p>
                </w:txbxContent>
              </v:textbox>
            </v:shape>
          </w:pict>
        </mc:Fallback>
      </mc:AlternateContent>
    </w:r>
    <w:r>
      <w:rPr>
        <w:noProof/>
      </w:rPr>
      <mc:AlternateContent>
        <mc:Choice Requires="wps">
          <w:drawing>
            <wp:anchor distT="0" distB="0" distL="0" distR="0" simplePos="0" relativeHeight="251746304" behindDoc="1" locked="0" layoutInCell="1" allowOverlap="1">
              <wp:simplePos x="0" y="0"/>
              <wp:positionH relativeFrom="page">
                <wp:posOffset>6735710</wp:posOffset>
              </wp:positionH>
              <wp:positionV relativeFrom="page">
                <wp:posOffset>562308</wp:posOffset>
              </wp:positionV>
              <wp:extent cx="621665" cy="172085"/>
              <wp:effectExtent l="0" t="0" r="0" b="0"/>
              <wp:wrapNone/>
              <wp:docPr id="328" name="Textbox 328"/>
              <wp:cNvGraphicFramePr/>
              <a:graphic xmlns:a="http://schemas.openxmlformats.org/drawingml/2006/main">
                <a:graphicData uri="http://schemas.microsoft.com/office/word/2010/wordprocessingShape">
                  <wps:wsp xmlns:wps="http://schemas.microsoft.com/office/word/2010/wordprocessingShape">
                    <wps:cNvSpPr txBox="1"/>
                    <wps:spPr>
                      <a:xfrm>
                        <a:off x="0" y="0"/>
                        <a:ext cx="621665" cy="172085"/>
                      </a:xfrm>
                      <a:prstGeom prst="rect">
                        <a:avLst/>
                      </a:prstGeom>
                    </wps:spPr>
                    <wps:txbx>
                      <w:txbxContent>
                        <w:p w:rsidR="003F5784" w14:textId="77777777">
                          <w:pPr>
                            <w:pStyle w:val="BodyText"/>
                            <w:spacing w:before="9"/>
                            <w:ind w:left="20"/>
                          </w:pPr>
                          <w:r>
                            <w:rPr>
                              <w:spacing w:val="-2"/>
                            </w:rPr>
                            <w:t>Enrollment</w:t>
                          </w:r>
                        </w:p>
                      </w:txbxContent>
                    </wps:txbx>
                    <wps:bodyPr wrap="square" lIns="0" tIns="0" rIns="0" bIns="0" rtlCol="0"/>
                  </wps:wsp>
                </a:graphicData>
              </a:graphic>
            </wp:anchor>
          </w:drawing>
        </mc:Choice>
        <mc:Fallback>
          <w:pict>
            <v:shape id="Textbox 328" o:spid="_x0000_s2110" type="#_x0000_t202" style="width:48.95pt;height:13.55pt;margin-top:44.3pt;margin-left:530.35pt;mso-position-horizontal-relative:page;mso-position-vertical-relative:page;mso-wrap-distance-bottom:0;mso-wrap-distance-left:0;mso-wrap-distance-right:0;mso-wrap-distance-top:0;mso-wrap-style:square;position:absolute;visibility:visible;v-text-anchor:top;z-index:-251569152" filled="f" stroked="f">
              <v:textbox inset="0,0,0,0">
                <w:txbxContent>
                  <w:p w:rsidR="003F5784" w14:paraId="361BEC91" w14:textId="77777777">
                    <w:pPr>
                      <w:pStyle w:val="BodyText"/>
                      <w:spacing w:before="9"/>
                      <w:ind w:left="20"/>
                    </w:pPr>
                    <w:r>
                      <w:rPr>
                        <w:spacing w:val="-2"/>
                      </w:rPr>
                      <w:t>Enrollment</w:t>
                    </w:r>
                  </w:p>
                </w:txbxContent>
              </v:textbox>
            </v:shape>
          </w:pict>
        </mc:Fallback>
      </mc:AlternateContent>
    </w:r>
    <w:r>
      <w:rPr>
        <w:noProof/>
      </w:rPr>
      <mc:AlternateContent>
        <mc:Choice Requires="wps">
          <w:drawing>
            <wp:anchor distT="0" distB="0" distL="0" distR="0" simplePos="0" relativeHeight="251748352" behindDoc="1" locked="0" layoutInCell="1" allowOverlap="1">
              <wp:simplePos x="0" y="0"/>
              <wp:positionH relativeFrom="page">
                <wp:posOffset>7800702</wp:posOffset>
              </wp:positionH>
              <wp:positionV relativeFrom="page">
                <wp:posOffset>562308</wp:posOffset>
              </wp:positionV>
              <wp:extent cx="445134" cy="172085"/>
              <wp:effectExtent l="0" t="0" r="0" b="0"/>
              <wp:wrapNone/>
              <wp:docPr id="329" name="Textbox 329"/>
              <wp:cNvGraphicFramePr/>
              <a:graphic xmlns:a="http://schemas.openxmlformats.org/drawingml/2006/main">
                <a:graphicData uri="http://schemas.microsoft.com/office/word/2010/wordprocessingShape">
                  <wps:wsp xmlns:wps="http://schemas.microsoft.com/office/word/2010/wordprocessingShape">
                    <wps:cNvSpPr txBox="1"/>
                    <wps:spPr>
                      <a:xfrm>
                        <a:off x="0" y="0"/>
                        <a:ext cx="445134" cy="172085"/>
                      </a:xfrm>
                      <a:prstGeom prst="rect">
                        <a:avLst/>
                      </a:prstGeom>
                    </wps:spPr>
                    <wps:txbx>
                      <w:txbxContent>
                        <w:p w:rsidR="003F5784" w14:textId="77777777">
                          <w:pPr>
                            <w:pStyle w:val="BodyText"/>
                            <w:spacing w:before="9"/>
                            <w:ind w:left="20"/>
                          </w:pPr>
                          <w:r>
                            <w:rPr>
                              <w:spacing w:val="-2"/>
                            </w:rPr>
                            <w:t>Schools</w:t>
                          </w:r>
                        </w:p>
                      </w:txbxContent>
                    </wps:txbx>
                    <wps:bodyPr wrap="square" lIns="0" tIns="0" rIns="0" bIns="0" rtlCol="0"/>
                  </wps:wsp>
                </a:graphicData>
              </a:graphic>
            </wp:anchor>
          </w:drawing>
        </mc:Choice>
        <mc:Fallback>
          <w:pict>
            <v:shape id="Textbox 329" o:spid="_x0000_s2111" type="#_x0000_t202" style="width:35.05pt;height:13.55pt;margin-top:44.3pt;margin-left:614.25pt;mso-position-horizontal-relative:page;mso-position-vertical-relative:page;mso-wrap-distance-bottom:0;mso-wrap-distance-left:0;mso-wrap-distance-right:0;mso-wrap-distance-top:0;mso-wrap-style:square;position:absolute;visibility:visible;v-text-anchor:top;z-index:-251567104" filled="f" stroked="f">
              <v:textbox inset="0,0,0,0">
                <w:txbxContent>
                  <w:p w:rsidR="003F5784" w14:paraId="446679EC" w14:textId="77777777">
                    <w:pPr>
                      <w:pStyle w:val="BodyText"/>
                      <w:spacing w:before="9"/>
                      <w:ind w:left="20"/>
                    </w:pPr>
                    <w:r>
                      <w:rPr>
                        <w:spacing w:val="-2"/>
                      </w:rPr>
                      <w:t>Schools</w:t>
                    </w:r>
                  </w:p>
                </w:txbxContent>
              </v:textbox>
            </v:shape>
          </w:pict>
        </mc:Fallback>
      </mc:AlternateContent>
    </w:r>
    <w:r>
      <w:rPr>
        <w:noProof/>
      </w:rPr>
      <mc:AlternateContent>
        <mc:Choice Requires="wps">
          <w:drawing>
            <wp:anchor distT="0" distB="0" distL="0" distR="0" simplePos="0" relativeHeight="251750400" behindDoc="1" locked="0" layoutInCell="1" allowOverlap="1">
              <wp:simplePos x="0" y="0"/>
              <wp:positionH relativeFrom="page">
                <wp:posOffset>8789402</wp:posOffset>
              </wp:positionH>
              <wp:positionV relativeFrom="page">
                <wp:posOffset>562308</wp:posOffset>
              </wp:positionV>
              <wp:extent cx="621665" cy="172085"/>
              <wp:effectExtent l="0" t="0" r="0" b="0"/>
              <wp:wrapNone/>
              <wp:docPr id="330" name="Textbox 330"/>
              <wp:cNvGraphicFramePr/>
              <a:graphic xmlns:a="http://schemas.openxmlformats.org/drawingml/2006/main">
                <a:graphicData uri="http://schemas.microsoft.com/office/word/2010/wordprocessingShape">
                  <wps:wsp xmlns:wps="http://schemas.microsoft.com/office/word/2010/wordprocessingShape">
                    <wps:cNvSpPr txBox="1"/>
                    <wps:spPr>
                      <a:xfrm>
                        <a:off x="0" y="0"/>
                        <a:ext cx="621665" cy="172085"/>
                      </a:xfrm>
                      <a:prstGeom prst="rect">
                        <a:avLst/>
                      </a:prstGeom>
                    </wps:spPr>
                    <wps:txbx>
                      <w:txbxContent>
                        <w:p w:rsidR="003F5784" w14:textId="77777777">
                          <w:pPr>
                            <w:pStyle w:val="BodyText"/>
                            <w:spacing w:before="9"/>
                            <w:ind w:left="20"/>
                          </w:pPr>
                          <w:r>
                            <w:rPr>
                              <w:spacing w:val="-2"/>
                            </w:rPr>
                            <w:t>Enrollment</w:t>
                          </w:r>
                        </w:p>
                      </w:txbxContent>
                    </wps:txbx>
                    <wps:bodyPr wrap="square" lIns="0" tIns="0" rIns="0" bIns="0" rtlCol="0"/>
                  </wps:wsp>
                </a:graphicData>
              </a:graphic>
            </wp:anchor>
          </w:drawing>
        </mc:Choice>
        <mc:Fallback>
          <w:pict>
            <v:shape id="Textbox 330" o:spid="_x0000_s2112" type="#_x0000_t202" style="width:48.95pt;height:13.55pt;margin-top:44.3pt;margin-left:692.1pt;mso-position-horizontal-relative:page;mso-position-vertical-relative:page;mso-wrap-distance-bottom:0;mso-wrap-distance-left:0;mso-wrap-distance-right:0;mso-wrap-distance-top:0;mso-wrap-style:square;position:absolute;visibility:visible;v-text-anchor:top;z-index:-251565056" filled="f" stroked="f">
              <v:textbox inset="0,0,0,0">
                <w:txbxContent>
                  <w:p w:rsidR="003F5784" w14:paraId="43DD74A1" w14:textId="77777777">
                    <w:pPr>
                      <w:pStyle w:val="BodyText"/>
                      <w:spacing w:before="9"/>
                      <w:ind w:left="20"/>
                    </w:pPr>
                    <w:r>
                      <w:rPr>
                        <w:spacing w:val="-2"/>
                      </w:rPr>
                      <w:t>Enrollment</w:t>
                    </w:r>
                  </w:p>
                </w:txbxContent>
              </v:textbox>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7A9355F0" w14:textId="77777777">
    <w:pPr>
      <w:pStyle w:val="BodyText"/>
      <w:spacing w:line="14" w:lineRule="auto"/>
      <w:rPr>
        <w:sz w:val="20"/>
      </w:rPr>
    </w:pPr>
    <w:r>
      <w:rPr>
        <w:noProof/>
      </w:rPr>
      <mc:AlternateContent>
        <mc:Choice Requires="wps">
          <w:drawing>
            <wp:anchor distT="0" distB="0" distL="0" distR="0" simplePos="0" relativeHeight="251752448"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334" name="Textbox 334"/>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34" o:spid="_x0000_s2115"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563008" filled="f" stroked="f">
              <v:textbox inset="0,0,0,0">
                <w:txbxContent>
                  <w:p w:rsidR="003F5784" w14:paraId="4B24613A"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754496"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335" name="Textbox 335"/>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335" o:spid="_x0000_s2116"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560960" filled="f" stroked="f">
              <v:textbox inset="0,0,0,0">
                <w:txbxContent>
                  <w:p w:rsidR="003F5784" w14:paraId="5F9D7C7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05A39C87" w14:textId="77777777">
    <w:pPr>
      <w:pStyle w:val="BodyText"/>
      <w:spacing w:line="14" w:lineRule="auto"/>
      <w:rPr>
        <w:sz w:val="20"/>
      </w:rPr>
    </w:pPr>
    <w:r>
      <w:rPr>
        <w:noProof/>
      </w:rPr>
      <mc:AlternateContent>
        <mc:Choice Requires="wps">
          <w:drawing>
            <wp:anchor distT="0" distB="0" distL="0" distR="0" simplePos="0" relativeHeight="251756544" behindDoc="1" locked="0" layoutInCell="1" allowOverlap="1">
              <wp:simplePos x="0" y="0"/>
              <wp:positionH relativeFrom="page">
                <wp:posOffset>292099</wp:posOffset>
              </wp:positionH>
              <wp:positionV relativeFrom="page">
                <wp:posOffset>181131</wp:posOffset>
              </wp:positionV>
              <wp:extent cx="793115" cy="354965"/>
              <wp:effectExtent l="0" t="0" r="0" b="0"/>
              <wp:wrapNone/>
              <wp:docPr id="352" name="Textbox 352"/>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3549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p w:rsidR="003F5784" w14:textId="77777777">
                          <w:pPr>
                            <w:pStyle w:val="BodyText"/>
                            <w:spacing w:before="99"/>
                            <w:ind w:left="227"/>
                          </w:pPr>
                          <w:r>
                            <w:rPr>
                              <w:spacing w:val="-2"/>
                            </w:rPr>
                            <w:t>Jurisdiction</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52" o:spid="_x0000_s2119" type="#_x0000_t202" style="width:62.45pt;height:27.95pt;margin-top:14.25pt;margin-left:23pt;mso-position-horizontal-relative:page;mso-position-vertical-relative:page;mso-wrap-distance-bottom:0;mso-wrap-distance-left:0;mso-wrap-distance-right:0;mso-wrap-distance-top:0;mso-wrap-style:square;position:absolute;visibility:visible;v-text-anchor:top;z-index:-251558912" filled="f" stroked="f">
              <v:textbox inset="0,0,0,0">
                <w:txbxContent>
                  <w:p w:rsidR="003F5784" w14:paraId="4BF5F7CD"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p w:rsidR="003F5784" w14:paraId="363050E9" w14:textId="77777777">
                    <w:pPr>
                      <w:pStyle w:val="BodyText"/>
                      <w:spacing w:before="99"/>
                      <w:ind w:left="227"/>
                    </w:pPr>
                    <w:r>
                      <w:rPr>
                        <w:spacing w:val="-2"/>
                      </w:rPr>
                      <w:t>Jurisdiction</w:t>
                    </w:r>
                  </w:p>
                </w:txbxContent>
              </v:textbox>
            </v:shape>
          </w:pict>
        </mc:Fallback>
      </mc:AlternateContent>
    </w:r>
    <w:r>
      <w:rPr>
        <w:noProof/>
      </w:rPr>
      <mc:AlternateContent>
        <mc:Choice Requires="wps">
          <w:drawing>
            <wp:anchor distT="0" distB="0" distL="0" distR="0" simplePos="0" relativeHeight="251758592" behindDoc="1" locked="0" layoutInCell="1" allowOverlap="1">
              <wp:simplePos x="0" y="0"/>
              <wp:positionH relativeFrom="page">
                <wp:posOffset>3525346</wp:posOffset>
              </wp:positionH>
              <wp:positionV relativeFrom="page">
                <wp:posOffset>181131</wp:posOffset>
              </wp:positionV>
              <wp:extent cx="6118860" cy="354965"/>
              <wp:effectExtent l="0" t="0" r="0" b="0"/>
              <wp:wrapNone/>
              <wp:docPr id="353" name="Textbox 353"/>
              <wp:cNvGraphicFramePr/>
              <a:graphic xmlns:a="http://schemas.openxmlformats.org/drawingml/2006/main">
                <a:graphicData uri="http://schemas.microsoft.com/office/word/2010/wordprocessingShape">
                  <wps:wsp xmlns:wps="http://schemas.microsoft.com/office/word/2010/wordprocessingShape">
                    <wps:cNvSpPr txBox="1"/>
                    <wps:spPr>
                      <a:xfrm>
                        <a:off x="0" y="0"/>
                        <a:ext cx="6118860" cy="354965"/>
                      </a:xfrm>
                      <a:prstGeom prst="rect">
                        <a:avLst/>
                      </a:prstGeom>
                    </wps:spPr>
                    <wps:txbx>
                      <w:txbxContent>
                        <w:p w:rsidR="003F5784" w14:textId="77777777">
                          <w:pPr>
                            <w:spacing w:before="14"/>
                            <w:ind w:left="2514"/>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p w:rsidR="003F5784" w14:textId="77777777">
                          <w:pPr>
                            <w:pStyle w:val="BodyText"/>
                            <w:tabs>
                              <w:tab w:val="left" w:pos="3265"/>
                              <w:tab w:val="left" w:pos="6193"/>
                            </w:tabs>
                            <w:spacing w:before="99"/>
                            <w:ind w:left="20"/>
                          </w:pPr>
                          <w:r>
                            <w:t>Number</w:t>
                          </w:r>
                          <w:r>
                            <w:rPr>
                              <w:spacing w:val="-7"/>
                            </w:rPr>
                            <w:t xml:space="preserve"> </w:t>
                          </w:r>
                          <w:r>
                            <w:t>of</w:t>
                          </w:r>
                          <w:r>
                            <w:rPr>
                              <w:spacing w:val="-6"/>
                            </w:rPr>
                            <w:t xml:space="preserve"> </w:t>
                          </w:r>
                          <w:r>
                            <w:t>sampled</w:t>
                          </w:r>
                          <w:r>
                            <w:rPr>
                              <w:spacing w:val="-7"/>
                            </w:rPr>
                            <w:t xml:space="preserve"> </w:t>
                          </w:r>
                          <w:r>
                            <w:t>eligible</w:t>
                          </w:r>
                          <w:r>
                            <w:rPr>
                              <w:spacing w:val="-6"/>
                            </w:rPr>
                            <w:t xml:space="preserve"> </w:t>
                          </w:r>
                          <w:r>
                            <w:rPr>
                              <w:spacing w:val="-2"/>
                            </w:rPr>
                            <w:t>schools</w:t>
                          </w:r>
                          <w:r>
                            <w:tab/>
                            <w:t>Number</w:t>
                          </w:r>
                          <w:r>
                            <w:rPr>
                              <w:spacing w:val="-8"/>
                            </w:rPr>
                            <w:t xml:space="preserve"> </w:t>
                          </w:r>
                          <w:r>
                            <w:t>of</w:t>
                          </w:r>
                          <w:r>
                            <w:rPr>
                              <w:spacing w:val="-7"/>
                            </w:rPr>
                            <w:t xml:space="preserve"> </w:t>
                          </w:r>
                          <w:r>
                            <w:t>participating</w:t>
                          </w:r>
                          <w:r>
                            <w:rPr>
                              <w:spacing w:val="-8"/>
                            </w:rPr>
                            <w:t xml:space="preserve"> </w:t>
                          </w:r>
                          <w:r>
                            <w:rPr>
                              <w:spacing w:val="-2"/>
                            </w:rPr>
                            <w:t>schools</w:t>
                          </w:r>
                          <w:r>
                            <w:tab/>
                            <w:t>Weighted</w:t>
                          </w:r>
                          <w:r>
                            <w:rPr>
                              <w:spacing w:val="-12"/>
                            </w:rPr>
                            <w:t xml:space="preserve"> </w:t>
                          </w:r>
                          <w:r>
                            <w:t>school</w:t>
                          </w:r>
                          <w:r>
                            <w:rPr>
                              <w:spacing w:val="-11"/>
                            </w:rPr>
                            <w:t xml:space="preserve"> </w:t>
                          </w:r>
                          <w:r>
                            <w:t>response</w:t>
                          </w:r>
                          <w:r>
                            <w:rPr>
                              <w:spacing w:val="-12"/>
                            </w:rPr>
                            <w:t xml:space="preserve"> </w:t>
                          </w:r>
                          <w:r>
                            <w:t>rates</w:t>
                          </w:r>
                          <w:r>
                            <w:rPr>
                              <w:spacing w:val="-11"/>
                            </w:rPr>
                            <w:t xml:space="preserve"> </w:t>
                          </w:r>
                          <w:r>
                            <w:rPr>
                              <w:spacing w:val="-2"/>
                            </w:rPr>
                            <w:t>(percent)</w:t>
                          </w:r>
                        </w:p>
                      </w:txbxContent>
                    </wps:txbx>
                    <wps:bodyPr wrap="square" lIns="0" tIns="0" rIns="0" bIns="0" rtlCol="0"/>
                  </wps:wsp>
                </a:graphicData>
              </a:graphic>
            </wp:anchor>
          </w:drawing>
        </mc:Choice>
        <mc:Fallback>
          <w:pict>
            <v:shape id="Textbox 353" o:spid="_x0000_s2120" type="#_x0000_t202" style="width:481.8pt;height:27.95pt;margin-top:14.25pt;margin-left:277.6pt;mso-position-horizontal-relative:page;mso-position-vertical-relative:page;mso-wrap-distance-bottom:0;mso-wrap-distance-left:0;mso-wrap-distance-right:0;mso-wrap-distance-top:0;mso-wrap-style:square;position:absolute;visibility:visible;v-text-anchor:top;z-index:-251556864" filled="f" stroked="f">
              <v:textbox inset="0,0,0,0">
                <w:txbxContent>
                  <w:p w:rsidR="003F5784" w14:paraId="76B92B6F" w14:textId="77777777">
                    <w:pPr>
                      <w:spacing w:before="14"/>
                      <w:ind w:left="2514"/>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p w:rsidR="003F5784" w14:paraId="38C447F9" w14:textId="77777777">
                    <w:pPr>
                      <w:pStyle w:val="BodyText"/>
                      <w:tabs>
                        <w:tab w:val="left" w:pos="3265"/>
                        <w:tab w:val="left" w:pos="6193"/>
                      </w:tabs>
                      <w:spacing w:before="99"/>
                      <w:ind w:left="20"/>
                    </w:pPr>
                    <w:r>
                      <w:t>Number</w:t>
                    </w:r>
                    <w:r>
                      <w:rPr>
                        <w:spacing w:val="-7"/>
                      </w:rPr>
                      <w:t xml:space="preserve"> </w:t>
                    </w:r>
                    <w:r>
                      <w:t>of</w:t>
                    </w:r>
                    <w:r>
                      <w:rPr>
                        <w:spacing w:val="-6"/>
                      </w:rPr>
                      <w:t xml:space="preserve"> </w:t>
                    </w:r>
                    <w:r>
                      <w:t>sampled</w:t>
                    </w:r>
                    <w:r>
                      <w:rPr>
                        <w:spacing w:val="-7"/>
                      </w:rPr>
                      <w:t xml:space="preserve"> </w:t>
                    </w:r>
                    <w:r>
                      <w:t>eligible</w:t>
                    </w:r>
                    <w:r>
                      <w:rPr>
                        <w:spacing w:val="-6"/>
                      </w:rPr>
                      <w:t xml:space="preserve"> </w:t>
                    </w:r>
                    <w:r>
                      <w:rPr>
                        <w:spacing w:val="-2"/>
                      </w:rPr>
                      <w:t>schools</w:t>
                    </w:r>
                    <w:r>
                      <w:tab/>
                      <w:t>Number</w:t>
                    </w:r>
                    <w:r>
                      <w:rPr>
                        <w:spacing w:val="-8"/>
                      </w:rPr>
                      <w:t xml:space="preserve"> </w:t>
                    </w:r>
                    <w:r>
                      <w:t>of</w:t>
                    </w:r>
                    <w:r>
                      <w:rPr>
                        <w:spacing w:val="-7"/>
                      </w:rPr>
                      <w:t xml:space="preserve"> </w:t>
                    </w:r>
                    <w:r>
                      <w:t>participating</w:t>
                    </w:r>
                    <w:r>
                      <w:rPr>
                        <w:spacing w:val="-8"/>
                      </w:rPr>
                      <w:t xml:space="preserve"> </w:t>
                    </w:r>
                    <w:r>
                      <w:rPr>
                        <w:spacing w:val="-2"/>
                      </w:rPr>
                      <w:t>schools</w:t>
                    </w:r>
                    <w:r>
                      <w:tab/>
                      <w:t>Weighted</w:t>
                    </w:r>
                    <w:r>
                      <w:rPr>
                        <w:spacing w:val="-12"/>
                      </w:rPr>
                      <w:t xml:space="preserve"> </w:t>
                    </w:r>
                    <w:r>
                      <w:t>school</w:t>
                    </w:r>
                    <w:r>
                      <w:rPr>
                        <w:spacing w:val="-11"/>
                      </w:rPr>
                      <w:t xml:space="preserve"> </w:t>
                    </w:r>
                    <w:r>
                      <w:t>response</w:t>
                    </w:r>
                    <w:r>
                      <w:rPr>
                        <w:spacing w:val="-12"/>
                      </w:rPr>
                      <w:t xml:space="preserve"> </w:t>
                    </w:r>
                    <w:r>
                      <w:t>rates</w:t>
                    </w:r>
                    <w:r>
                      <w:rPr>
                        <w:spacing w:val="-11"/>
                      </w:rPr>
                      <w:t xml:space="preserve"> </w:t>
                    </w:r>
                    <w:r>
                      <w:rPr>
                        <w:spacing w:val="-2"/>
                      </w:rPr>
                      <w:t>(percent)</w:t>
                    </w:r>
                  </w:p>
                </w:txbxContent>
              </v:textbox>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066DC343" w14:textId="77777777">
    <w:pPr>
      <w:pStyle w:val="BodyText"/>
      <w:spacing w:line="14" w:lineRule="auto"/>
      <w:rPr>
        <w:sz w:val="20"/>
      </w:rPr>
    </w:pPr>
    <w:r>
      <w:rPr>
        <w:noProof/>
      </w:rPr>
      <mc:AlternateContent>
        <mc:Choice Requires="wps">
          <w:drawing>
            <wp:anchor distT="0" distB="0" distL="0" distR="0" simplePos="0" relativeHeight="251760640"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357" name="Textbox 357"/>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57" o:spid="_x0000_s2123"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554816" filled="f" stroked="f">
              <v:textbox inset="0,0,0,0">
                <w:txbxContent>
                  <w:p w:rsidR="003F5784" w14:paraId="6CBCEE9E"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762688"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358" name="Textbox 358"/>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358" o:spid="_x0000_s2124"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552768" filled="f" stroked="f">
              <v:textbox inset="0,0,0,0">
                <w:txbxContent>
                  <w:p w:rsidR="003F5784" w14:paraId="53F5C1F0"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3BFC6C83" w14:textId="77777777">
    <w:pPr>
      <w:pStyle w:val="BodyText"/>
      <w:spacing w:line="14" w:lineRule="auto"/>
      <w:rPr>
        <w:sz w:val="20"/>
      </w:rPr>
    </w:pPr>
    <w:r>
      <w:rPr>
        <w:noProof/>
      </w:rPr>
      <mc:AlternateContent>
        <mc:Choice Requires="wps">
          <w:drawing>
            <wp:anchor distT="0" distB="0" distL="0" distR="0" simplePos="0" relativeHeight="251764736" behindDoc="1" locked="0" layoutInCell="1" allowOverlap="1">
              <wp:simplePos x="0" y="0"/>
              <wp:positionH relativeFrom="page">
                <wp:posOffset>292099</wp:posOffset>
              </wp:positionH>
              <wp:positionV relativeFrom="page">
                <wp:posOffset>181131</wp:posOffset>
              </wp:positionV>
              <wp:extent cx="793115" cy="354965"/>
              <wp:effectExtent l="0" t="0" r="0" b="0"/>
              <wp:wrapNone/>
              <wp:docPr id="361" name="Textbox 361"/>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3549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p w:rsidR="003F5784" w14:textId="77777777">
                          <w:pPr>
                            <w:pStyle w:val="BodyText"/>
                            <w:spacing w:before="99"/>
                            <w:ind w:left="227"/>
                          </w:pPr>
                          <w:r>
                            <w:rPr>
                              <w:spacing w:val="-2"/>
                            </w:rPr>
                            <w:t>Jurisdiction</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61" o:spid="_x0000_s2127" type="#_x0000_t202" style="width:62.45pt;height:27.95pt;margin-top:14.25pt;margin-left:23pt;mso-position-horizontal-relative:page;mso-position-vertical-relative:page;mso-wrap-distance-bottom:0;mso-wrap-distance-left:0;mso-wrap-distance-right:0;mso-wrap-distance-top:0;mso-wrap-style:square;position:absolute;visibility:visible;v-text-anchor:top;z-index:-251550720" filled="f" stroked="f">
              <v:textbox inset="0,0,0,0">
                <w:txbxContent>
                  <w:p w:rsidR="003F5784" w14:paraId="6F98D556"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p w:rsidR="003F5784" w14:paraId="553D3F6C" w14:textId="77777777">
                    <w:pPr>
                      <w:pStyle w:val="BodyText"/>
                      <w:spacing w:before="99"/>
                      <w:ind w:left="227"/>
                    </w:pPr>
                    <w:r>
                      <w:rPr>
                        <w:spacing w:val="-2"/>
                      </w:rPr>
                      <w:t>Jurisdiction</w:t>
                    </w:r>
                  </w:p>
                </w:txbxContent>
              </v:textbox>
            </v:shape>
          </w:pict>
        </mc:Fallback>
      </mc:AlternateContent>
    </w:r>
    <w:r>
      <w:rPr>
        <w:noProof/>
      </w:rPr>
      <mc:AlternateContent>
        <mc:Choice Requires="wps">
          <w:drawing>
            <wp:anchor distT="0" distB="0" distL="0" distR="0" simplePos="0" relativeHeight="251766784" behindDoc="1" locked="0" layoutInCell="1" allowOverlap="1">
              <wp:simplePos x="0" y="0"/>
              <wp:positionH relativeFrom="page">
                <wp:posOffset>3525346</wp:posOffset>
              </wp:positionH>
              <wp:positionV relativeFrom="page">
                <wp:posOffset>181131</wp:posOffset>
              </wp:positionV>
              <wp:extent cx="6118860" cy="354965"/>
              <wp:effectExtent l="0" t="0" r="0" b="0"/>
              <wp:wrapNone/>
              <wp:docPr id="362" name="Textbox 362"/>
              <wp:cNvGraphicFramePr/>
              <a:graphic xmlns:a="http://schemas.openxmlformats.org/drawingml/2006/main">
                <a:graphicData uri="http://schemas.microsoft.com/office/word/2010/wordprocessingShape">
                  <wps:wsp xmlns:wps="http://schemas.microsoft.com/office/word/2010/wordprocessingShape">
                    <wps:cNvSpPr txBox="1"/>
                    <wps:spPr>
                      <a:xfrm>
                        <a:off x="0" y="0"/>
                        <a:ext cx="6118860" cy="354965"/>
                      </a:xfrm>
                      <a:prstGeom prst="rect">
                        <a:avLst/>
                      </a:prstGeom>
                    </wps:spPr>
                    <wps:txbx>
                      <w:txbxContent>
                        <w:p w:rsidR="003F5784" w14:textId="77777777">
                          <w:pPr>
                            <w:spacing w:before="14"/>
                            <w:ind w:left="2514"/>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p w:rsidR="003F5784" w14:textId="77777777">
                          <w:pPr>
                            <w:pStyle w:val="BodyText"/>
                            <w:tabs>
                              <w:tab w:val="left" w:pos="3265"/>
                              <w:tab w:val="left" w:pos="6193"/>
                            </w:tabs>
                            <w:spacing w:before="99"/>
                            <w:ind w:left="20"/>
                          </w:pPr>
                          <w:r>
                            <w:t>Number</w:t>
                          </w:r>
                          <w:r>
                            <w:rPr>
                              <w:spacing w:val="-7"/>
                            </w:rPr>
                            <w:t xml:space="preserve"> </w:t>
                          </w:r>
                          <w:r>
                            <w:t>of</w:t>
                          </w:r>
                          <w:r>
                            <w:rPr>
                              <w:spacing w:val="-6"/>
                            </w:rPr>
                            <w:t xml:space="preserve"> </w:t>
                          </w:r>
                          <w:r>
                            <w:t>sampled</w:t>
                          </w:r>
                          <w:r>
                            <w:rPr>
                              <w:spacing w:val="-7"/>
                            </w:rPr>
                            <w:t xml:space="preserve"> </w:t>
                          </w:r>
                          <w:r>
                            <w:t>eligible</w:t>
                          </w:r>
                          <w:r>
                            <w:rPr>
                              <w:spacing w:val="-6"/>
                            </w:rPr>
                            <w:t xml:space="preserve"> </w:t>
                          </w:r>
                          <w:r>
                            <w:rPr>
                              <w:spacing w:val="-2"/>
                            </w:rPr>
                            <w:t>schools</w:t>
                          </w:r>
                          <w:r>
                            <w:tab/>
                            <w:t>Number</w:t>
                          </w:r>
                          <w:r>
                            <w:rPr>
                              <w:spacing w:val="-8"/>
                            </w:rPr>
                            <w:t xml:space="preserve"> </w:t>
                          </w:r>
                          <w:r>
                            <w:t>of</w:t>
                          </w:r>
                          <w:r>
                            <w:rPr>
                              <w:spacing w:val="-7"/>
                            </w:rPr>
                            <w:t xml:space="preserve"> </w:t>
                          </w:r>
                          <w:r>
                            <w:t>participating</w:t>
                          </w:r>
                          <w:r>
                            <w:rPr>
                              <w:spacing w:val="-8"/>
                            </w:rPr>
                            <w:t xml:space="preserve"> </w:t>
                          </w:r>
                          <w:r>
                            <w:rPr>
                              <w:spacing w:val="-2"/>
                            </w:rPr>
                            <w:t>schools</w:t>
                          </w:r>
                          <w:r>
                            <w:tab/>
                            <w:t>Weighted</w:t>
                          </w:r>
                          <w:r>
                            <w:rPr>
                              <w:spacing w:val="-12"/>
                            </w:rPr>
                            <w:t xml:space="preserve"> </w:t>
                          </w:r>
                          <w:r>
                            <w:t>school</w:t>
                          </w:r>
                          <w:r>
                            <w:rPr>
                              <w:spacing w:val="-11"/>
                            </w:rPr>
                            <w:t xml:space="preserve"> </w:t>
                          </w:r>
                          <w:r>
                            <w:t>response</w:t>
                          </w:r>
                          <w:r>
                            <w:rPr>
                              <w:spacing w:val="-12"/>
                            </w:rPr>
                            <w:t xml:space="preserve"> </w:t>
                          </w:r>
                          <w:r>
                            <w:t>rates</w:t>
                          </w:r>
                          <w:r>
                            <w:rPr>
                              <w:spacing w:val="-11"/>
                            </w:rPr>
                            <w:t xml:space="preserve"> </w:t>
                          </w:r>
                          <w:r>
                            <w:rPr>
                              <w:spacing w:val="-2"/>
                            </w:rPr>
                            <w:t>(percent)</w:t>
                          </w:r>
                        </w:p>
                      </w:txbxContent>
                    </wps:txbx>
                    <wps:bodyPr wrap="square" lIns="0" tIns="0" rIns="0" bIns="0" rtlCol="0"/>
                  </wps:wsp>
                </a:graphicData>
              </a:graphic>
            </wp:anchor>
          </w:drawing>
        </mc:Choice>
        <mc:Fallback>
          <w:pict>
            <v:shape id="Textbox 362" o:spid="_x0000_s2128" type="#_x0000_t202" style="width:481.8pt;height:27.95pt;margin-top:14.25pt;margin-left:277.6pt;mso-position-horizontal-relative:page;mso-position-vertical-relative:page;mso-wrap-distance-bottom:0;mso-wrap-distance-left:0;mso-wrap-distance-right:0;mso-wrap-distance-top:0;mso-wrap-style:square;position:absolute;visibility:visible;v-text-anchor:top;z-index:-251548672" filled="f" stroked="f">
              <v:textbox inset="0,0,0,0">
                <w:txbxContent>
                  <w:p w:rsidR="003F5784" w14:paraId="6D17BDB4" w14:textId="77777777">
                    <w:pPr>
                      <w:spacing w:before="14"/>
                      <w:ind w:left="2514"/>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p w:rsidR="003F5784" w14:paraId="42D5A43E" w14:textId="77777777">
                    <w:pPr>
                      <w:pStyle w:val="BodyText"/>
                      <w:tabs>
                        <w:tab w:val="left" w:pos="3265"/>
                        <w:tab w:val="left" w:pos="6193"/>
                      </w:tabs>
                      <w:spacing w:before="99"/>
                      <w:ind w:left="20"/>
                    </w:pPr>
                    <w:r>
                      <w:t>Number</w:t>
                    </w:r>
                    <w:r>
                      <w:rPr>
                        <w:spacing w:val="-7"/>
                      </w:rPr>
                      <w:t xml:space="preserve"> </w:t>
                    </w:r>
                    <w:r>
                      <w:t>of</w:t>
                    </w:r>
                    <w:r>
                      <w:rPr>
                        <w:spacing w:val="-6"/>
                      </w:rPr>
                      <w:t xml:space="preserve"> </w:t>
                    </w:r>
                    <w:r>
                      <w:t>sampled</w:t>
                    </w:r>
                    <w:r>
                      <w:rPr>
                        <w:spacing w:val="-7"/>
                      </w:rPr>
                      <w:t xml:space="preserve"> </w:t>
                    </w:r>
                    <w:r>
                      <w:t>eligible</w:t>
                    </w:r>
                    <w:r>
                      <w:rPr>
                        <w:spacing w:val="-6"/>
                      </w:rPr>
                      <w:t xml:space="preserve"> </w:t>
                    </w:r>
                    <w:r>
                      <w:rPr>
                        <w:spacing w:val="-2"/>
                      </w:rPr>
                      <w:t>schools</w:t>
                    </w:r>
                    <w:r>
                      <w:tab/>
                      <w:t>Number</w:t>
                    </w:r>
                    <w:r>
                      <w:rPr>
                        <w:spacing w:val="-8"/>
                      </w:rPr>
                      <w:t xml:space="preserve"> </w:t>
                    </w:r>
                    <w:r>
                      <w:t>of</w:t>
                    </w:r>
                    <w:r>
                      <w:rPr>
                        <w:spacing w:val="-7"/>
                      </w:rPr>
                      <w:t xml:space="preserve"> </w:t>
                    </w:r>
                    <w:r>
                      <w:t>participating</w:t>
                    </w:r>
                    <w:r>
                      <w:rPr>
                        <w:spacing w:val="-8"/>
                      </w:rPr>
                      <w:t xml:space="preserve"> </w:t>
                    </w:r>
                    <w:r>
                      <w:rPr>
                        <w:spacing w:val="-2"/>
                      </w:rPr>
                      <w:t>schools</w:t>
                    </w:r>
                    <w:r>
                      <w:tab/>
                      <w:t>Weighted</w:t>
                    </w:r>
                    <w:r>
                      <w:rPr>
                        <w:spacing w:val="-12"/>
                      </w:rPr>
                      <w:t xml:space="preserve"> </w:t>
                    </w:r>
                    <w:r>
                      <w:t>school</w:t>
                    </w:r>
                    <w:r>
                      <w:rPr>
                        <w:spacing w:val="-11"/>
                      </w:rPr>
                      <w:t xml:space="preserve"> </w:t>
                    </w:r>
                    <w:r>
                      <w:t>response</w:t>
                    </w:r>
                    <w:r>
                      <w:rPr>
                        <w:spacing w:val="-12"/>
                      </w:rPr>
                      <w:t xml:space="preserve"> </w:t>
                    </w:r>
                    <w:r>
                      <w:t>rates</w:t>
                    </w:r>
                    <w:r>
                      <w:rPr>
                        <w:spacing w:val="-11"/>
                      </w:rPr>
                      <w:t xml:space="preserve"> </w:t>
                    </w:r>
                    <w:r>
                      <w:rPr>
                        <w:spacing w:val="-2"/>
                      </w:rPr>
                      <w:t>(percent)</w:t>
                    </w:r>
                  </w:p>
                </w:txbxContent>
              </v:textbox>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44D2425F" w14:textId="77777777">
    <w:pPr>
      <w:pStyle w:val="BodyText"/>
      <w:spacing w:line="14" w:lineRule="auto"/>
      <w:rPr>
        <w:sz w:val="20"/>
      </w:rPr>
    </w:pPr>
    <w:r>
      <w:rPr>
        <w:noProof/>
      </w:rPr>
      <mc:AlternateContent>
        <mc:Choice Requires="wps">
          <w:drawing>
            <wp:anchor distT="0" distB="0" distL="0" distR="0" simplePos="0" relativeHeight="251768832"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366" name="Textbox 366"/>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66" o:spid="_x0000_s2131"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546624" filled="f" stroked="f">
              <v:textbox inset="0,0,0,0">
                <w:txbxContent>
                  <w:p w:rsidR="003F5784" w14:paraId="3BF22F65"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770880"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367" name="Textbox 367"/>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367" o:spid="_x0000_s2132"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544576" filled="f" stroked="f">
              <v:textbox inset="0,0,0,0">
                <w:txbxContent>
                  <w:p w:rsidR="003F5784" w14:paraId="0979B27F"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080E92E5" w14:textId="77777777">
    <w:pPr>
      <w:pStyle w:val="BodyText"/>
      <w:spacing w:line="14" w:lineRule="auto"/>
      <w:rPr>
        <w:sz w:val="20"/>
      </w:rPr>
    </w:pPr>
    <w:r>
      <w:rPr>
        <w:noProof/>
      </w:rPr>
      <mc:AlternateContent>
        <mc:Choice Requires="wps">
          <w:drawing>
            <wp:anchor distT="0" distB="0" distL="0" distR="0" simplePos="0" relativeHeight="251772928"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370" name="Textbox 370"/>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70" o:spid="_x0000_s2135"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542528" filled="f" stroked="f">
              <v:textbox inset="0,0,0,0">
                <w:txbxContent>
                  <w:p w:rsidR="003F5784" w14:paraId="7F16FC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774976"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371" name="Textbox 371"/>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371" o:spid="_x0000_s2136"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540480" filled="f" stroked="f">
              <v:textbox inset="0,0,0,0">
                <w:txbxContent>
                  <w:p w:rsidR="003F5784" w14:paraId="15E09598"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6F6C024E" w14:textId="77777777">
    <w:pPr>
      <w:pStyle w:val="BodyText"/>
      <w:spacing w:line="14" w:lineRule="auto"/>
      <w:rPr>
        <w:sz w:val="20"/>
      </w:rPr>
    </w:pPr>
    <w:r>
      <w:rPr>
        <w:noProof/>
      </w:rPr>
      <mc:AlternateContent>
        <mc:Choice Requires="wps">
          <w:drawing>
            <wp:anchor distT="0" distB="0" distL="0" distR="0" simplePos="0" relativeHeight="251777024"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378" name="Textbox 378"/>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78" o:spid="_x0000_s2139"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538432" filled="f" stroked="f">
              <v:textbox inset="0,0,0,0">
                <w:txbxContent>
                  <w:p w:rsidR="003F5784" w14:paraId="36E66165"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779072"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379" name="Textbox 379"/>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379" o:spid="_x0000_s2140"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536384" filled="f" stroked="f">
              <v:textbox inset="0,0,0,0">
                <w:txbxContent>
                  <w:p w:rsidR="003F5784" w14:paraId="2C71F9B9"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79F9222D" w14:textId="77777777">
    <w:pPr>
      <w:pStyle w:val="BodyText"/>
      <w:spacing w:line="14" w:lineRule="auto"/>
      <w:rPr>
        <w:sz w:val="20"/>
      </w:rPr>
    </w:pPr>
    <w:r>
      <w:rPr>
        <w:noProof/>
      </w:rPr>
      <mc:AlternateContent>
        <mc:Choice Requires="wps">
          <w:drawing>
            <wp:anchor distT="0" distB="0" distL="0" distR="0" simplePos="0" relativeHeight="251781120"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385" name="Textbox 385"/>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85" o:spid="_x0000_s2144"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534336" filled="f" stroked="f">
              <v:textbox inset="0,0,0,0">
                <w:txbxContent>
                  <w:p w:rsidR="003F5784" w14:paraId="676FD500"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783168"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386" name="Textbox 386"/>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386" o:spid="_x0000_s2145"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532288" filled="f" stroked="f">
              <v:textbox inset="0,0,0,0">
                <w:txbxContent>
                  <w:p w:rsidR="003F5784" w14:paraId="0CC071E1"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11C2E29E"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292099</wp:posOffset>
              </wp:positionH>
              <wp:positionV relativeFrom="page">
                <wp:posOffset>181131</wp:posOffset>
              </wp:positionV>
              <wp:extent cx="1061720" cy="354965"/>
              <wp:effectExtent l="0" t="0" r="0" b="0"/>
              <wp:wrapNone/>
              <wp:docPr id="173" name="Textbox 17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61720" cy="3549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p w:rsidR="003F5784" w14:textId="77777777">
                          <w:pPr>
                            <w:pStyle w:val="BodyText"/>
                            <w:spacing w:before="99"/>
                            <w:ind w:left="595"/>
                          </w:pPr>
                          <w:r>
                            <w:rPr>
                              <w:spacing w:val="-2"/>
                            </w:rPr>
                            <w:t>Year</w:t>
                          </w:r>
                          <w:r>
                            <w:rPr>
                              <w:spacing w:val="-9"/>
                            </w:rPr>
                            <w:t xml:space="preserve"> </w:t>
                          </w:r>
                          <w:r>
                            <w:rPr>
                              <w:spacing w:val="-2"/>
                            </w:rPr>
                            <w:t>of</w:t>
                          </w:r>
                          <w:r>
                            <w:rPr>
                              <w:spacing w:val="-8"/>
                            </w:rPr>
                            <w:t xml:space="preserve"> </w:t>
                          </w:r>
                          <w:r>
                            <w:rPr>
                              <w:spacing w:val="-2"/>
                            </w:rPr>
                            <w:t>birth</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73" o:spid="_x0000_s2049" type="#_x0000_t202" style="width:83.6pt;height:27.95pt;margin-top:14.25pt;margin-left:23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3F5784" w14:paraId="2C2802DC"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p w:rsidR="003F5784" w14:paraId="160281B9" w14:textId="77777777">
                    <w:pPr>
                      <w:pStyle w:val="BodyText"/>
                      <w:spacing w:before="99"/>
                      <w:ind w:left="595"/>
                    </w:pPr>
                    <w:r>
                      <w:rPr>
                        <w:spacing w:val="-2"/>
                      </w:rPr>
                      <w:t>Year</w:t>
                    </w:r>
                    <w:r>
                      <w:rPr>
                        <w:spacing w:val="-9"/>
                      </w:rPr>
                      <w:t xml:space="preserve"> </w:t>
                    </w:r>
                    <w:r>
                      <w:rPr>
                        <w:spacing w:val="-2"/>
                      </w:rPr>
                      <w:t>of</w:t>
                    </w:r>
                    <w:r>
                      <w:rPr>
                        <w:spacing w:val="-8"/>
                      </w:rPr>
                      <w:t xml:space="preserve"> </w:t>
                    </w:r>
                    <w:r>
                      <w:rPr>
                        <w:spacing w:val="-2"/>
                      </w:rPr>
                      <w:t>birth</w:t>
                    </w:r>
                  </w:p>
                </w:txbxContent>
              </v:textbox>
            </v:shape>
          </w:pict>
        </mc:Fallback>
      </mc:AlternateContent>
    </w:r>
    <w:r>
      <w:rPr>
        <w:noProof/>
      </w:rPr>
      <mc:AlternateContent>
        <mc:Choice Requires="wps">
          <w:drawing>
            <wp:anchor distT="0" distB="0" distL="0" distR="0" simplePos="0" relativeHeight="251660288" behindDoc="1" locked="0" layoutInCell="1" allowOverlap="1">
              <wp:simplePos x="0" y="0"/>
              <wp:positionH relativeFrom="page">
                <wp:posOffset>4025386</wp:posOffset>
              </wp:positionH>
              <wp:positionV relativeFrom="page">
                <wp:posOffset>181131</wp:posOffset>
              </wp:positionV>
              <wp:extent cx="2072639" cy="354965"/>
              <wp:effectExtent l="0" t="0" r="0" b="0"/>
              <wp:wrapNone/>
              <wp:docPr id="174" name="Textbox 174"/>
              <wp:cNvGraphicFramePr/>
              <a:graphic xmlns:a="http://schemas.openxmlformats.org/drawingml/2006/main">
                <a:graphicData uri="http://schemas.microsoft.com/office/word/2010/wordprocessingShape">
                  <wps:wsp xmlns:wps="http://schemas.microsoft.com/office/word/2010/wordprocessingShape">
                    <wps:cNvSpPr txBox="1"/>
                    <wps:spPr>
                      <a:xfrm>
                        <a:off x="0" y="0"/>
                        <a:ext cx="2072639" cy="354965"/>
                      </a:xfrm>
                      <a:prstGeom prst="rect">
                        <a:avLst/>
                      </a:prstGeom>
                    </wps:spPr>
                    <wps:txbx>
                      <w:txbxContent>
                        <w:p w:rsidR="003F5784" w14:textId="77777777">
                          <w:pPr>
                            <w:spacing w:before="14"/>
                            <w:ind w:left="1727"/>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p w:rsidR="003F5784" w14:textId="77777777">
                          <w:pPr>
                            <w:pStyle w:val="BodyText"/>
                            <w:spacing w:before="99"/>
                            <w:ind w:left="20"/>
                          </w:pPr>
                          <w:r>
                            <w:rPr>
                              <w:spacing w:val="-2"/>
                            </w:rPr>
                            <w:t>Weighted</w:t>
                          </w:r>
                          <w:r>
                            <w:rPr>
                              <w:spacing w:val="-11"/>
                            </w:rPr>
                            <w:t xml:space="preserve"> </w:t>
                          </w:r>
                          <w:r>
                            <w:rPr>
                              <w:spacing w:val="-2"/>
                            </w:rPr>
                            <w:t>aggregations</w:t>
                          </w:r>
                        </w:p>
                      </w:txbxContent>
                    </wps:txbx>
                    <wps:bodyPr wrap="square" lIns="0" tIns="0" rIns="0" bIns="0" rtlCol="0"/>
                  </wps:wsp>
                </a:graphicData>
              </a:graphic>
            </wp:anchor>
          </w:drawing>
        </mc:Choice>
        <mc:Fallback>
          <w:pict>
            <v:shape id="Textbox 174" o:spid="_x0000_s2050" type="#_x0000_t202" style="width:163.2pt;height:27.95pt;margin-top:14.25pt;margin-left:316.95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3F5784" w14:paraId="5BA4D2A1" w14:textId="77777777">
                    <w:pPr>
                      <w:spacing w:before="14"/>
                      <w:ind w:left="1727"/>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p w:rsidR="003F5784" w14:paraId="5D315350" w14:textId="77777777">
                    <w:pPr>
                      <w:pStyle w:val="BodyText"/>
                      <w:spacing w:before="99"/>
                      <w:ind w:left="20"/>
                    </w:pPr>
                    <w:r>
                      <w:rPr>
                        <w:spacing w:val="-2"/>
                      </w:rPr>
                      <w:t>Weighted</w:t>
                    </w:r>
                    <w:r>
                      <w:rPr>
                        <w:spacing w:val="-11"/>
                      </w:rPr>
                      <w:t xml:space="preserve"> </w:t>
                    </w:r>
                    <w:r>
                      <w:rPr>
                        <w:spacing w:val="-2"/>
                      </w:rPr>
                      <w:t>aggregations</w:t>
                    </w:r>
                  </w:p>
                </w:txbxContent>
              </v:textbox>
            </v:shape>
          </w:pict>
        </mc:Fallback>
      </mc:AlternateContent>
    </w:r>
    <w:r>
      <w:rPr>
        <w:noProof/>
      </w:rPr>
      <mc:AlternateContent>
        <mc:Choice Requires="wps">
          <w:drawing>
            <wp:anchor distT="0" distB="0" distL="0" distR="0" simplePos="0" relativeHeight="251662336" behindDoc="1" locked="0" layoutInCell="1" allowOverlap="1">
              <wp:simplePos x="0" y="0"/>
              <wp:positionH relativeFrom="page">
                <wp:posOffset>8237380</wp:posOffset>
              </wp:positionH>
              <wp:positionV relativeFrom="page">
                <wp:posOffset>363649</wp:posOffset>
              </wp:positionV>
              <wp:extent cx="1173480" cy="172085"/>
              <wp:effectExtent l="0" t="0" r="0" b="0"/>
              <wp:wrapNone/>
              <wp:docPr id="175" name="Textbox 175"/>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3480" cy="172085"/>
                      </a:xfrm>
                      <a:prstGeom prst="rect">
                        <a:avLst/>
                      </a:prstGeom>
                    </wps:spPr>
                    <wps:txbx>
                      <w:txbxContent>
                        <w:p w:rsidR="003F5784" w14:textId="77777777">
                          <w:pPr>
                            <w:pStyle w:val="BodyText"/>
                            <w:spacing w:before="9"/>
                            <w:ind w:left="20"/>
                          </w:pPr>
                          <w:r>
                            <w:rPr>
                              <w:spacing w:val="-2"/>
                            </w:rPr>
                            <w:t>Weighted</w:t>
                          </w:r>
                          <w:r>
                            <w:rPr>
                              <w:spacing w:val="-11"/>
                            </w:rPr>
                            <w:t xml:space="preserve"> </w:t>
                          </w:r>
                          <w:r>
                            <w:rPr>
                              <w:spacing w:val="-2"/>
                            </w:rPr>
                            <w:t>proportions</w:t>
                          </w:r>
                        </w:p>
                      </w:txbxContent>
                    </wps:txbx>
                    <wps:bodyPr wrap="square" lIns="0" tIns="0" rIns="0" bIns="0" rtlCol="0"/>
                  </wps:wsp>
                </a:graphicData>
              </a:graphic>
            </wp:anchor>
          </w:drawing>
        </mc:Choice>
        <mc:Fallback>
          <w:pict>
            <v:shape id="Textbox 175" o:spid="_x0000_s2051" type="#_x0000_t202" style="width:92.4pt;height:13.55pt;margin-top:28.65pt;margin-left:648.6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3F5784" w14:paraId="26A3F0F6" w14:textId="77777777">
                    <w:pPr>
                      <w:pStyle w:val="BodyText"/>
                      <w:spacing w:before="9"/>
                      <w:ind w:left="20"/>
                    </w:pPr>
                    <w:r>
                      <w:rPr>
                        <w:spacing w:val="-2"/>
                      </w:rPr>
                      <w:t>Weighted</w:t>
                    </w:r>
                    <w:r>
                      <w:rPr>
                        <w:spacing w:val="-11"/>
                      </w:rPr>
                      <w:t xml:space="preserve"> </w:t>
                    </w:r>
                    <w:r>
                      <w:rPr>
                        <w:spacing w:val="-2"/>
                      </w:rPr>
                      <w:t>proportions</w:t>
                    </w:r>
                  </w:p>
                </w:txbxContent>
              </v:textbox>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13E4331F" w14:textId="77777777">
    <w:pPr>
      <w:pStyle w:val="BodyText"/>
      <w:spacing w:line="14" w:lineRule="auto"/>
      <w:rPr>
        <w:sz w:val="20"/>
      </w:rPr>
    </w:pPr>
    <w:r>
      <w:rPr>
        <w:noProof/>
      </w:rPr>
      <mc:AlternateContent>
        <mc:Choice Requires="wps">
          <w:drawing>
            <wp:anchor distT="0" distB="0" distL="0" distR="0" simplePos="0" relativeHeight="251785216"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399" name="Textbox 399"/>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99" o:spid="_x0000_s2148"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530240" filled="f" stroked="f">
              <v:textbox inset="0,0,0,0">
                <w:txbxContent>
                  <w:p w:rsidR="003F5784" w14:paraId="599B3520"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787264"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400" name="Textbox 400"/>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400" o:spid="_x0000_s2149"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528192" filled="f" stroked="f">
              <v:textbox inset="0,0,0,0">
                <w:txbxContent>
                  <w:p w:rsidR="003F5784" w14:paraId="0F7581B1"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6B447A45" w14:textId="77777777">
    <w:pPr>
      <w:pStyle w:val="BodyText"/>
      <w:spacing w:line="14" w:lineRule="auto"/>
      <w:rPr>
        <w:sz w:val="20"/>
      </w:rPr>
    </w:pPr>
    <w:r>
      <w:rPr>
        <w:noProof/>
      </w:rPr>
      <mc:AlternateContent>
        <mc:Choice Requires="wps">
          <w:drawing>
            <wp:anchor distT="0" distB="0" distL="0" distR="0" simplePos="0" relativeHeight="251789312"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404" name="Textbox 404"/>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404" o:spid="_x0000_s2152"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526144" filled="f" stroked="f">
              <v:textbox inset="0,0,0,0">
                <w:txbxContent>
                  <w:p w:rsidR="003F5784" w14:paraId="7B7D7C31"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791360"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405" name="Textbox 405"/>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405" o:spid="_x0000_s2153"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524096" filled="f" stroked="f">
              <v:textbox inset="0,0,0,0">
                <w:txbxContent>
                  <w:p w:rsidR="003F5784" w14:paraId="12D5C015"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611A60B4" w14:textId="77777777">
    <w:pPr>
      <w:pStyle w:val="BodyText"/>
      <w:spacing w:line="14" w:lineRule="auto"/>
      <w:rPr>
        <w:sz w:val="20"/>
      </w:rPr>
    </w:pPr>
    <w:r>
      <w:rPr>
        <w:noProof/>
      </w:rPr>
      <mc:AlternateContent>
        <mc:Choice Requires="wps">
          <w:drawing>
            <wp:anchor distT="0" distB="0" distL="0" distR="0" simplePos="0" relativeHeight="251793408"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680" name="Textbox 680"/>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680" o:spid="_x0000_s2156"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522048" filled="f" stroked="f">
              <v:textbox inset="0,0,0,0">
                <w:txbxContent>
                  <w:p w:rsidR="003F5784" w14:paraId="3750FD68"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795456"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681" name="Textbox 681"/>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681" o:spid="_x0000_s2157"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520000" filled="f" stroked="f">
              <v:textbox inset="0,0,0,0">
                <w:txbxContent>
                  <w:p w:rsidR="003F5784" w14:paraId="2A2FF37A"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21D65161" w14:textId="77777777">
    <w:pPr>
      <w:pStyle w:val="BodyText"/>
      <w:spacing w:line="14" w:lineRule="auto"/>
      <w:rPr>
        <w:sz w:val="20"/>
      </w:rPr>
    </w:pPr>
    <w:r>
      <w:rPr>
        <w:noProof/>
      </w:rPr>
      <mc:AlternateContent>
        <mc:Choice Requires="wps">
          <w:drawing>
            <wp:anchor distT="0" distB="0" distL="0" distR="0" simplePos="0" relativeHeight="251797504"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684" name="Textbox 684"/>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684" o:spid="_x0000_s2160"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517952" filled="f" stroked="f">
              <v:textbox inset="0,0,0,0">
                <w:txbxContent>
                  <w:p w:rsidR="003F5784" w14:paraId="06688BE9"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799552"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685" name="Textbox 685"/>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685" o:spid="_x0000_s2161"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515904" filled="f" stroked="f">
              <v:textbox inset="0,0,0,0">
                <w:txbxContent>
                  <w:p w:rsidR="003F5784" w14:paraId="78BCABD8"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1A4111F2" w14:textId="77777777">
    <w:pPr>
      <w:pStyle w:val="BodyText"/>
      <w:spacing w:line="14" w:lineRule="auto"/>
      <w:rPr>
        <w:sz w:val="20"/>
      </w:rPr>
    </w:pPr>
    <w:r>
      <w:rPr>
        <w:noProof/>
      </w:rPr>
      <mc:AlternateContent>
        <mc:Choice Requires="wps">
          <w:drawing>
            <wp:anchor distT="0" distB="0" distL="0" distR="0" simplePos="0" relativeHeight="251801600"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689" name="Textbox 689"/>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689" o:spid="_x0000_s2164"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513856" filled="f" stroked="f">
              <v:textbox inset="0,0,0,0">
                <w:txbxContent>
                  <w:p w:rsidR="003F5784" w14:paraId="216B15F6"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803648"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690" name="Textbox 690"/>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690" o:spid="_x0000_s2165"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511808" filled="f" stroked="f">
              <v:textbox inset="0,0,0,0">
                <w:txbxContent>
                  <w:p w:rsidR="003F5784" w14:paraId="4F64EEA8"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30DD2444" w14:textId="77777777">
    <w:pPr>
      <w:pStyle w:val="BodyText"/>
      <w:spacing w:line="14" w:lineRule="auto"/>
      <w:rPr>
        <w:sz w:val="20"/>
      </w:rPr>
    </w:pPr>
    <w:r>
      <w:rPr>
        <w:noProof/>
      </w:rPr>
      <mc:AlternateContent>
        <mc:Choice Requires="wps">
          <w:drawing>
            <wp:anchor distT="0" distB="0" distL="0" distR="0" simplePos="0" relativeHeight="251805696"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694" name="Textbox 694"/>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694" o:spid="_x0000_s2169"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509760" filled="f" stroked="f">
              <v:textbox inset="0,0,0,0">
                <w:txbxContent>
                  <w:p w:rsidR="003F5784" w14:paraId="589E606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807744"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695" name="Textbox 695"/>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695" o:spid="_x0000_s2170"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507712" filled="f" stroked="f">
              <v:textbox inset="0,0,0,0">
                <w:txbxContent>
                  <w:p w:rsidR="003F5784" w14:paraId="3705231B"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34019184" w14:textId="77777777">
    <w:pPr>
      <w:pStyle w:val="BodyText"/>
      <w:spacing w:line="14" w:lineRule="auto"/>
      <w:rPr>
        <w:sz w:val="20"/>
      </w:rPr>
    </w:pPr>
    <w:r>
      <w:rPr>
        <w:noProof/>
      </w:rPr>
      <mc:AlternateContent>
        <mc:Choice Requires="wps">
          <w:drawing>
            <wp:anchor distT="0" distB="0" distL="0" distR="0" simplePos="0" relativeHeight="251809792"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699" name="Textbox 699"/>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699" o:spid="_x0000_s2174"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505664" filled="f" stroked="f">
              <v:textbox inset="0,0,0,0">
                <w:txbxContent>
                  <w:p w:rsidR="003F5784" w14:paraId="4C73B620"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811840"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700" name="Textbox 700"/>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700" o:spid="_x0000_s2175"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503616" filled="f" stroked="f">
              <v:textbox inset="0,0,0,0">
                <w:txbxContent>
                  <w:p w:rsidR="003F5784" w14:paraId="4B6BD2DA"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0546B030" w14:textId="77777777">
    <w:pPr>
      <w:pStyle w:val="BodyText"/>
      <w:spacing w:line="14" w:lineRule="auto"/>
      <w:rPr>
        <w:sz w:val="20"/>
      </w:rPr>
    </w:pPr>
    <w:r>
      <w:rPr>
        <w:noProof/>
      </w:rPr>
      <mc:AlternateContent>
        <mc:Choice Requires="wps">
          <w:drawing>
            <wp:anchor distT="0" distB="0" distL="0" distR="0" simplePos="0" relativeHeight="251813888"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705" name="Textbox 705"/>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705" o:spid="_x0000_s2178"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501568" filled="f" stroked="f">
              <v:textbox inset="0,0,0,0">
                <w:txbxContent>
                  <w:p w:rsidR="003F5784" w14:paraId="09CD7E10"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815936"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706" name="Textbox 706"/>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706" o:spid="_x0000_s2179"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499520" filled="f" stroked="f">
              <v:textbox inset="0,0,0,0">
                <w:txbxContent>
                  <w:p w:rsidR="003F5784" w14:paraId="175A4F0D"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039C17CE" w14:textId="77777777">
    <w:pPr>
      <w:pStyle w:val="BodyText"/>
      <w:spacing w:line="14" w:lineRule="auto"/>
      <w:rPr>
        <w:sz w:val="20"/>
      </w:rPr>
    </w:pPr>
    <w:r>
      <w:rPr>
        <w:noProof/>
      </w:rPr>
      <mc:AlternateContent>
        <mc:Choice Requires="wps">
          <w:drawing>
            <wp:anchor distT="0" distB="0" distL="0" distR="0" simplePos="0" relativeHeight="251817984"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709" name="Textbox 709"/>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709" o:spid="_x0000_s2182"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497472" filled="f" stroked="f">
              <v:textbox inset="0,0,0,0">
                <w:txbxContent>
                  <w:p w:rsidR="003F5784" w14:paraId="7C9D7B2C"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820032"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710" name="Textbox 710"/>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710" o:spid="_x0000_s2183"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495424" filled="f" stroked="f">
              <v:textbox inset="0,0,0,0">
                <w:txbxContent>
                  <w:p w:rsidR="003F5784" w14:paraId="3B985E5A"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686EA64A" w14:textId="77777777">
    <w:pPr>
      <w:pStyle w:val="BodyText"/>
      <w:spacing w:line="14" w:lineRule="auto"/>
      <w:rPr>
        <w:sz w:val="20"/>
      </w:rPr>
    </w:pPr>
    <w:r>
      <w:rPr>
        <w:noProof/>
      </w:rPr>
      <mc:AlternateContent>
        <mc:Choice Requires="wps">
          <w:drawing>
            <wp:anchor distT="0" distB="0" distL="0" distR="0" simplePos="0" relativeHeight="251822080"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714" name="Textbox 714"/>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714" o:spid="_x0000_s2186"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493376" filled="f" stroked="f">
              <v:textbox inset="0,0,0,0">
                <w:txbxContent>
                  <w:p w:rsidR="003F5784" w14:paraId="6F066A31"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824128"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715" name="Textbox 715"/>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715" o:spid="_x0000_s2187"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491328" filled="f" stroked="f">
              <v:textbox inset="0,0,0,0">
                <w:txbxContent>
                  <w:p w:rsidR="003F5784" w14:paraId="72C9A12F"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2861B819" w14:textId="77777777">
    <w:pPr>
      <w:pStyle w:val="BodyText"/>
      <w:spacing w:line="14" w:lineRule="auto"/>
      <w:rPr>
        <w:sz w:val="20"/>
      </w:rPr>
    </w:pPr>
    <w:r>
      <w:rPr>
        <w:noProof/>
      </w:rPr>
      <mc:AlternateContent>
        <mc:Choice Requires="wps">
          <w:drawing>
            <wp:anchor distT="0" distB="0" distL="0" distR="0" simplePos="0" relativeHeight="251664384"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178" name="Textbox 178"/>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78" o:spid="_x0000_s2054"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3F5784" w14:paraId="14C17506"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666432"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179" name="Textbox 179"/>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179" o:spid="_x0000_s2055"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649024" filled="f" stroked="f">
              <v:textbox inset="0,0,0,0">
                <w:txbxContent>
                  <w:p w:rsidR="003F5784" w14:paraId="6017D96C"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5A8896B0" w14:textId="77777777">
    <w:pPr>
      <w:pStyle w:val="BodyText"/>
      <w:spacing w:line="14" w:lineRule="auto"/>
      <w:rPr>
        <w:sz w:val="20"/>
      </w:rPr>
    </w:pPr>
    <w:r>
      <w:rPr>
        <w:noProof/>
      </w:rPr>
      <mc:AlternateContent>
        <mc:Choice Requires="wps">
          <w:drawing>
            <wp:anchor distT="0" distB="0" distL="0" distR="0" simplePos="0" relativeHeight="251826176"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719" name="Textbox 719"/>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719" o:spid="_x0000_s2191"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489280" filled="f" stroked="f">
              <v:textbox inset="0,0,0,0">
                <w:txbxContent>
                  <w:p w:rsidR="003F5784" w14:paraId="767DC493"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828224"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720" name="Textbox 720"/>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720" o:spid="_x0000_s2192"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487232" filled="f" stroked="f">
              <v:textbox inset="0,0,0,0">
                <w:txbxContent>
                  <w:p w:rsidR="003F5784" w14:paraId="46E4CBDE"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55B0DB74" w14:textId="77777777">
    <w:pPr>
      <w:pStyle w:val="BodyText"/>
      <w:spacing w:line="14" w:lineRule="auto"/>
      <w:rPr>
        <w:sz w:val="20"/>
      </w:rPr>
    </w:pPr>
    <w:r>
      <w:rPr>
        <w:noProof/>
      </w:rPr>
      <mc:AlternateContent>
        <mc:Choice Requires="wps">
          <w:drawing>
            <wp:anchor distT="0" distB="0" distL="0" distR="0" simplePos="0" relativeHeight="251668480"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231" name="Textbox 231"/>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31" o:spid="_x0000_s2058"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646976" filled="f" stroked="f">
              <v:textbox inset="0,0,0,0">
                <w:txbxContent>
                  <w:p w:rsidR="003F5784" w14:paraId="3CE68B16"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670528"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232" name="Textbox 232"/>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232" o:spid="_x0000_s2059"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644928" filled="f" stroked="f">
              <v:textbox inset="0,0,0,0">
                <w:txbxContent>
                  <w:p w:rsidR="003F5784" w14:paraId="11C295B1"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3499EAE9" w14:textId="77777777">
    <w:pPr>
      <w:pStyle w:val="BodyText"/>
      <w:spacing w:line="14" w:lineRule="auto"/>
      <w:rPr>
        <w:sz w:val="20"/>
      </w:rPr>
    </w:pPr>
    <w:r>
      <w:rPr>
        <w:noProof/>
      </w:rPr>
      <mc:AlternateContent>
        <mc:Choice Requires="wps">
          <w:drawing>
            <wp:anchor distT="0" distB="0" distL="0" distR="0" simplePos="0" relativeHeight="251672576"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236" name="Textbox 236"/>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36" o:spid="_x0000_s2062"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642880" filled="f" stroked="f">
              <v:textbox inset="0,0,0,0">
                <w:txbxContent>
                  <w:p w:rsidR="003F5784" w14:paraId="4648ABB0"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674624"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237" name="Textbox 237"/>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237" o:spid="_x0000_s2063"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640832" filled="f" stroked="f">
              <v:textbox inset="0,0,0,0">
                <w:txbxContent>
                  <w:p w:rsidR="003F5784" w14:paraId="380D7ADC"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6E8EA2D7" w14:textId="77777777">
    <w:pPr>
      <w:pStyle w:val="BodyText"/>
      <w:spacing w:line="14" w:lineRule="auto"/>
      <w:rPr>
        <w:sz w:val="20"/>
      </w:rPr>
    </w:pPr>
    <w:r>
      <w:rPr>
        <w:noProof/>
      </w:rPr>
      <mc:AlternateContent>
        <mc:Choice Requires="wps">
          <w:drawing>
            <wp:anchor distT="0" distB="0" distL="0" distR="0" simplePos="0" relativeHeight="251676672" behindDoc="1" locked="0" layoutInCell="1" allowOverlap="1">
              <wp:simplePos x="0" y="0"/>
              <wp:positionH relativeFrom="page">
                <wp:posOffset>292099</wp:posOffset>
              </wp:positionH>
              <wp:positionV relativeFrom="page">
                <wp:posOffset>181131</wp:posOffset>
              </wp:positionV>
              <wp:extent cx="1144905" cy="354965"/>
              <wp:effectExtent l="0" t="0" r="0" b="0"/>
              <wp:wrapNone/>
              <wp:docPr id="248" name="Textbox 248"/>
              <wp:cNvGraphicFramePr/>
              <a:graphic xmlns:a="http://schemas.openxmlformats.org/drawingml/2006/main">
                <a:graphicData uri="http://schemas.microsoft.com/office/word/2010/wordprocessingShape">
                  <wps:wsp xmlns:wps="http://schemas.microsoft.com/office/word/2010/wordprocessingShape">
                    <wps:cNvSpPr txBox="1"/>
                    <wps:spPr>
                      <a:xfrm>
                        <a:off x="0" y="0"/>
                        <a:ext cx="1144905" cy="3549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p w:rsidR="003F5784" w14:textId="77777777">
                          <w:pPr>
                            <w:pStyle w:val="BodyText"/>
                            <w:spacing w:before="99"/>
                            <w:ind w:left="595"/>
                          </w:pPr>
                          <w:r>
                            <w:t>Census</w:t>
                          </w:r>
                          <w:r>
                            <w:rPr>
                              <w:spacing w:val="-8"/>
                            </w:rPr>
                            <w:t xml:space="preserve"> </w:t>
                          </w:r>
                          <w:r>
                            <w:rPr>
                              <w:spacing w:val="-2"/>
                            </w:rPr>
                            <w:t>region</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48" o:spid="_x0000_s2066" type="#_x0000_t202" style="width:90.15pt;height:27.95pt;margin-top:14.25pt;margin-left:23pt;mso-position-horizontal-relative:page;mso-position-vertical-relative:page;mso-wrap-distance-bottom:0;mso-wrap-distance-left:0;mso-wrap-distance-right:0;mso-wrap-distance-top:0;mso-wrap-style:square;position:absolute;visibility:visible;v-text-anchor:top;z-index:-251638784" filled="f" stroked="f">
              <v:textbox inset="0,0,0,0">
                <w:txbxContent>
                  <w:p w:rsidR="003F5784" w14:paraId="0F8FB102"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p w:rsidR="003F5784" w14:paraId="168650CD" w14:textId="77777777">
                    <w:pPr>
                      <w:pStyle w:val="BodyText"/>
                      <w:spacing w:before="99"/>
                      <w:ind w:left="595"/>
                    </w:pPr>
                    <w:r>
                      <w:t>Census</w:t>
                    </w:r>
                    <w:r>
                      <w:rPr>
                        <w:spacing w:val="-8"/>
                      </w:rPr>
                      <w:t xml:space="preserve"> </w:t>
                    </w:r>
                    <w:r>
                      <w:rPr>
                        <w:spacing w:val="-2"/>
                      </w:rPr>
                      <w:t>region</w:t>
                    </w:r>
                  </w:p>
                </w:txbxContent>
              </v:textbox>
            </v:shape>
          </w:pict>
        </mc:Fallback>
      </mc:AlternateContent>
    </w:r>
    <w:r>
      <w:rPr>
        <w:noProof/>
      </w:rPr>
      <mc:AlternateContent>
        <mc:Choice Requires="wps">
          <w:drawing>
            <wp:anchor distT="0" distB="0" distL="0" distR="0" simplePos="0" relativeHeight="251678720" behindDoc="1" locked="0" layoutInCell="1" allowOverlap="1">
              <wp:simplePos x="0" y="0"/>
              <wp:positionH relativeFrom="page">
                <wp:posOffset>5109368</wp:posOffset>
              </wp:positionH>
              <wp:positionV relativeFrom="page">
                <wp:posOffset>181131</wp:posOffset>
              </wp:positionV>
              <wp:extent cx="988694" cy="354965"/>
              <wp:effectExtent l="0" t="0" r="0" b="0"/>
              <wp:wrapNone/>
              <wp:docPr id="249" name="Textbox 249"/>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3549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p w:rsidR="003F5784" w14:textId="77777777">
                          <w:pPr>
                            <w:pStyle w:val="BodyText"/>
                            <w:spacing w:before="99"/>
                            <w:ind w:left="718"/>
                          </w:pPr>
                          <w:r>
                            <w:rPr>
                              <w:spacing w:val="-2"/>
                            </w:rPr>
                            <w:t>Youths</w:t>
                          </w:r>
                        </w:p>
                      </w:txbxContent>
                    </wps:txbx>
                    <wps:bodyPr wrap="square" lIns="0" tIns="0" rIns="0" bIns="0" rtlCol="0"/>
                  </wps:wsp>
                </a:graphicData>
              </a:graphic>
            </wp:anchor>
          </w:drawing>
        </mc:Choice>
        <mc:Fallback>
          <w:pict>
            <v:shape id="Textbox 249" o:spid="_x0000_s2067" type="#_x0000_t202" style="width:77.85pt;height:27.95pt;margin-top:14.25pt;margin-left:402.3pt;mso-position-horizontal-relative:page;mso-position-vertical-relative:page;mso-wrap-distance-bottom:0;mso-wrap-distance-left:0;mso-wrap-distance-right:0;mso-wrap-distance-top:0;mso-wrap-style:square;position:absolute;visibility:visible;v-text-anchor:top;z-index:-251636736" filled="f" stroked="f">
              <v:textbox inset="0,0,0,0">
                <w:txbxContent>
                  <w:p w:rsidR="003F5784" w14:paraId="77466973"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p w:rsidR="003F5784" w14:paraId="63486759" w14:textId="77777777">
                    <w:pPr>
                      <w:pStyle w:val="BodyText"/>
                      <w:spacing w:before="99"/>
                      <w:ind w:left="718"/>
                    </w:pPr>
                    <w:r>
                      <w:rPr>
                        <w:spacing w:val="-2"/>
                      </w:rPr>
                      <w:t>Youths</w:t>
                    </w:r>
                  </w:p>
                </w:txbxContent>
              </v:textbox>
            </v:shape>
          </w:pict>
        </mc:Fallback>
      </mc:AlternateContent>
    </w:r>
    <w:r>
      <w:rPr>
        <w:noProof/>
      </w:rPr>
      <mc:AlternateContent>
        <mc:Choice Requires="wps">
          <w:drawing>
            <wp:anchor distT="0" distB="0" distL="0" distR="0" simplePos="0" relativeHeight="251680768" behindDoc="1" locked="0" layoutInCell="1" allowOverlap="1">
              <wp:simplePos x="0" y="0"/>
              <wp:positionH relativeFrom="page">
                <wp:posOffset>2868843</wp:posOffset>
              </wp:positionH>
              <wp:positionV relativeFrom="page">
                <wp:posOffset>363645</wp:posOffset>
              </wp:positionV>
              <wp:extent cx="320040" cy="172085"/>
              <wp:effectExtent l="0" t="0" r="0" b="0"/>
              <wp:wrapNone/>
              <wp:docPr id="250" name="Textbox 250"/>
              <wp:cNvGraphicFramePr/>
              <a:graphic xmlns:a="http://schemas.openxmlformats.org/drawingml/2006/main">
                <a:graphicData uri="http://schemas.microsoft.com/office/word/2010/wordprocessingShape">
                  <wps:wsp xmlns:wps="http://schemas.microsoft.com/office/word/2010/wordprocessingShape">
                    <wps:cNvSpPr txBox="1"/>
                    <wps:spPr>
                      <a:xfrm>
                        <a:off x="0" y="0"/>
                        <a:ext cx="320040" cy="172085"/>
                      </a:xfrm>
                      <a:prstGeom prst="rect">
                        <a:avLst/>
                      </a:prstGeom>
                    </wps:spPr>
                    <wps:txbx>
                      <w:txbxContent>
                        <w:p w:rsidR="003F5784" w14:textId="77777777">
                          <w:pPr>
                            <w:pStyle w:val="BodyText"/>
                            <w:spacing w:before="9"/>
                            <w:ind w:left="20"/>
                          </w:pPr>
                          <w:r>
                            <w:rPr>
                              <w:spacing w:val="-4"/>
                            </w:rPr>
                            <w:t>PSUs</w:t>
                          </w:r>
                        </w:p>
                      </w:txbxContent>
                    </wps:txbx>
                    <wps:bodyPr wrap="square" lIns="0" tIns="0" rIns="0" bIns="0" rtlCol="0"/>
                  </wps:wsp>
                </a:graphicData>
              </a:graphic>
            </wp:anchor>
          </w:drawing>
        </mc:Choice>
        <mc:Fallback>
          <w:pict>
            <v:shape id="Textbox 250" o:spid="_x0000_s2068" type="#_x0000_t202" style="width:25.2pt;height:13.55pt;margin-top:28.65pt;margin-left:225.9pt;mso-position-horizontal-relative:page;mso-position-vertical-relative:page;mso-wrap-distance-bottom:0;mso-wrap-distance-left:0;mso-wrap-distance-right:0;mso-wrap-distance-top:0;mso-wrap-style:square;position:absolute;visibility:visible;v-text-anchor:top;z-index:-251634688" filled="f" stroked="f">
              <v:textbox inset="0,0,0,0">
                <w:txbxContent>
                  <w:p w:rsidR="003F5784" w14:paraId="18E829A8" w14:textId="77777777">
                    <w:pPr>
                      <w:pStyle w:val="BodyText"/>
                      <w:spacing w:before="9"/>
                      <w:ind w:left="20"/>
                    </w:pPr>
                    <w:r>
                      <w:rPr>
                        <w:spacing w:val="-4"/>
                      </w:rPr>
                      <w:t>PSUs</w:t>
                    </w:r>
                  </w:p>
                </w:txbxContent>
              </v:textbox>
            </v:shape>
          </w:pict>
        </mc:Fallback>
      </mc:AlternateContent>
    </w:r>
    <w:r>
      <w:rPr>
        <w:noProof/>
      </w:rPr>
      <mc:AlternateContent>
        <mc:Choice Requires="wps">
          <w:drawing>
            <wp:anchor distT="0" distB="0" distL="0" distR="0" simplePos="0" relativeHeight="251682816" behindDoc="1" locked="0" layoutInCell="1" allowOverlap="1">
              <wp:simplePos x="0" y="0"/>
              <wp:positionH relativeFrom="page">
                <wp:posOffset>3945602</wp:posOffset>
              </wp:positionH>
              <wp:positionV relativeFrom="page">
                <wp:posOffset>363645</wp:posOffset>
              </wp:positionV>
              <wp:extent cx="496570" cy="172085"/>
              <wp:effectExtent l="0" t="0" r="0" b="0"/>
              <wp:wrapNone/>
              <wp:docPr id="251" name="Textbox 251"/>
              <wp:cNvGraphicFramePr/>
              <a:graphic xmlns:a="http://schemas.openxmlformats.org/drawingml/2006/main">
                <a:graphicData uri="http://schemas.microsoft.com/office/word/2010/wordprocessingShape">
                  <wps:wsp xmlns:wps="http://schemas.microsoft.com/office/word/2010/wordprocessingShape">
                    <wps:cNvSpPr txBox="1"/>
                    <wps:spPr>
                      <a:xfrm>
                        <a:off x="0" y="0"/>
                        <a:ext cx="496570" cy="172085"/>
                      </a:xfrm>
                      <a:prstGeom prst="rect">
                        <a:avLst/>
                      </a:prstGeom>
                    </wps:spPr>
                    <wps:txbx>
                      <w:txbxContent>
                        <w:p w:rsidR="003F5784" w14:textId="77777777">
                          <w:pPr>
                            <w:pStyle w:val="BodyText"/>
                            <w:spacing w:before="9"/>
                            <w:ind w:left="20"/>
                          </w:pPr>
                          <w:r>
                            <w:rPr>
                              <w:spacing w:val="-2"/>
                            </w:rPr>
                            <w:t>Counties</w:t>
                          </w:r>
                        </w:p>
                      </w:txbxContent>
                    </wps:txbx>
                    <wps:bodyPr wrap="square" lIns="0" tIns="0" rIns="0" bIns="0" rtlCol="0"/>
                  </wps:wsp>
                </a:graphicData>
              </a:graphic>
            </wp:anchor>
          </w:drawing>
        </mc:Choice>
        <mc:Fallback>
          <w:pict>
            <v:shape id="Textbox 251" o:spid="_x0000_s2069" type="#_x0000_t202" style="width:39.1pt;height:13.55pt;margin-top:28.65pt;margin-left:310.7pt;mso-position-horizontal-relative:page;mso-position-vertical-relative:page;mso-wrap-distance-bottom:0;mso-wrap-distance-left:0;mso-wrap-distance-right:0;mso-wrap-distance-top:0;mso-wrap-style:square;position:absolute;visibility:visible;v-text-anchor:top;z-index:-251632640" filled="f" stroked="f">
              <v:textbox inset="0,0,0,0">
                <w:txbxContent>
                  <w:p w:rsidR="003F5784" w14:paraId="25BDBAB9" w14:textId="77777777">
                    <w:pPr>
                      <w:pStyle w:val="BodyText"/>
                      <w:spacing w:before="9"/>
                      <w:ind w:left="20"/>
                    </w:pPr>
                    <w:r>
                      <w:rPr>
                        <w:spacing w:val="-2"/>
                      </w:rPr>
                      <w:t>Counties</w:t>
                    </w:r>
                  </w:p>
                </w:txbxContent>
              </v:textbox>
            </v:shape>
          </w:pict>
        </mc:Fallback>
      </mc:AlternateContent>
    </w:r>
    <w:r>
      <w:rPr>
        <w:noProof/>
      </w:rPr>
      <mc:AlternateContent>
        <mc:Choice Requires="wps">
          <w:drawing>
            <wp:anchor distT="0" distB="0" distL="0" distR="0" simplePos="0" relativeHeight="251684864" behindDoc="1" locked="0" layoutInCell="1" allowOverlap="1">
              <wp:simplePos x="0" y="0"/>
              <wp:positionH relativeFrom="page">
                <wp:posOffset>7638160</wp:posOffset>
              </wp:positionH>
              <wp:positionV relativeFrom="page">
                <wp:posOffset>363645</wp:posOffset>
              </wp:positionV>
              <wp:extent cx="1772920" cy="172085"/>
              <wp:effectExtent l="0" t="0" r="0" b="0"/>
              <wp:wrapNone/>
              <wp:docPr id="252" name="Textbox 252"/>
              <wp:cNvGraphicFramePr/>
              <a:graphic xmlns:a="http://schemas.openxmlformats.org/drawingml/2006/main">
                <a:graphicData uri="http://schemas.microsoft.com/office/word/2010/wordprocessingShape">
                  <wps:wsp xmlns:wps="http://schemas.microsoft.com/office/word/2010/wordprocessingShape">
                    <wps:cNvSpPr txBox="1"/>
                    <wps:spPr>
                      <a:xfrm>
                        <a:off x="0" y="0"/>
                        <a:ext cx="1772920" cy="172085"/>
                      </a:xfrm>
                      <a:prstGeom prst="rect">
                        <a:avLst/>
                      </a:prstGeom>
                    </wps:spPr>
                    <wps:txbx>
                      <w:txbxContent>
                        <w:p w:rsidR="003F5784" w14:textId="77777777">
                          <w:pPr>
                            <w:pStyle w:val="BodyText"/>
                            <w:spacing w:before="9"/>
                            <w:ind w:left="20"/>
                          </w:pPr>
                          <w:r>
                            <w:t>Mean</w:t>
                          </w:r>
                          <w:r>
                            <w:rPr>
                              <w:spacing w:val="-6"/>
                            </w:rPr>
                            <w:t xml:space="preserve"> </w:t>
                          </w:r>
                          <w:r>
                            <w:t>number</w:t>
                          </w:r>
                          <w:r>
                            <w:rPr>
                              <w:spacing w:val="-5"/>
                            </w:rPr>
                            <w:t xml:space="preserve"> </w:t>
                          </w:r>
                          <w:r>
                            <w:t>of</w:t>
                          </w:r>
                          <w:r>
                            <w:rPr>
                              <w:spacing w:val="-5"/>
                            </w:rPr>
                            <w:t xml:space="preserve"> </w:t>
                          </w:r>
                          <w:r>
                            <w:t>youths</w:t>
                          </w:r>
                          <w:r>
                            <w:rPr>
                              <w:spacing w:val="-5"/>
                            </w:rPr>
                            <w:t xml:space="preserve"> </w:t>
                          </w:r>
                          <w:r>
                            <w:t>per</w:t>
                          </w:r>
                          <w:r>
                            <w:rPr>
                              <w:spacing w:val="-6"/>
                            </w:rPr>
                            <w:t xml:space="preserve"> </w:t>
                          </w:r>
                          <w:r>
                            <w:rPr>
                              <w:spacing w:val="-5"/>
                            </w:rPr>
                            <w:t>PSU</w:t>
                          </w:r>
                        </w:p>
                      </w:txbxContent>
                    </wps:txbx>
                    <wps:bodyPr wrap="square" lIns="0" tIns="0" rIns="0" bIns="0" rtlCol="0"/>
                  </wps:wsp>
                </a:graphicData>
              </a:graphic>
            </wp:anchor>
          </w:drawing>
        </mc:Choice>
        <mc:Fallback>
          <w:pict>
            <v:shape id="Textbox 252" o:spid="_x0000_s2070" type="#_x0000_t202" style="width:139.6pt;height:13.55pt;margin-top:28.65pt;margin-left:601.45pt;mso-position-horizontal-relative:page;mso-position-vertical-relative:page;mso-wrap-distance-bottom:0;mso-wrap-distance-left:0;mso-wrap-distance-right:0;mso-wrap-distance-top:0;mso-wrap-style:square;position:absolute;visibility:visible;v-text-anchor:top;z-index:-251630592" filled="f" stroked="f">
              <v:textbox inset="0,0,0,0">
                <w:txbxContent>
                  <w:p w:rsidR="003F5784" w14:paraId="7793DE4A" w14:textId="77777777">
                    <w:pPr>
                      <w:pStyle w:val="BodyText"/>
                      <w:spacing w:before="9"/>
                      <w:ind w:left="20"/>
                    </w:pPr>
                    <w:r>
                      <w:t>Mean</w:t>
                    </w:r>
                    <w:r>
                      <w:rPr>
                        <w:spacing w:val="-6"/>
                      </w:rPr>
                      <w:t xml:space="preserve"> </w:t>
                    </w:r>
                    <w:r>
                      <w:t>number</w:t>
                    </w:r>
                    <w:r>
                      <w:rPr>
                        <w:spacing w:val="-5"/>
                      </w:rPr>
                      <w:t xml:space="preserve"> </w:t>
                    </w:r>
                    <w:r>
                      <w:t>of</w:t>
                    </w:r>
                    <w:r>
                      <w:rPr>
                        <w:spacing w:val="-5"/>
                      </w:rPr>
                      <w:t xml:space="preserve"> </w:t>
                    </w:r>
                    <w:r>
                      <w:t>youths</w:t>
                    </w:r>
                    <w:r>
                      <w:rPr>
                        <w:spacing w:val="-5"/>
                      </w:rPr>
                      <w:t xml:space="preserve"> </w:t>
                    </w:r>
                    <w:r>
                      <w:t>per</w:t>
                    </w:r>
                    <w:r>
                      <w:rPr>
                        <w:spacing w:val="-6"/>
                      </w:rPr>
                      <w:t xml:space="preserve"> </w:t>
                    </w:r>
                    <w:r>
                      <w:rPr>
                        <w:spacing w:val="-5"/>
                      </w:rPr>
                      <w:t>PSU</w:t>
                    </w:r>
                  </w:p>
                </w:txbxContent>
              </v:textbox>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77BE8705" w14:textId="77777777">
    <w:pPr>
      <w:pStyle w:val="BodyText"/>
      <w:spacing w:line="14" w:lineRule="auto"/>
      <w:rPr>
        <w:sz w:val="20"/>
      </w:rPr>
    </w:pPr>
    <w:r>
      <w:rPr>
        <w:noProof/>
      </w:rPr>
      <mc:AlternateContent>
        <mc:Choice Requires="wps">
          <w:drawing>
            <wp:anchor distT="0" distB="0" distL="0" distR="0" simplePos="0" relativeHeight="251686912"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257" name="Textbox 257"/>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57" o:spid="_x0000_s2073"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628544" filled="f" stroked="f">
              <v:textbox inset="0,0,0,0">
                <w:txbxContent>
                  <w:p w:rsidR="003F5784" w14:paraId="779A5E08"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688960"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258" name="Textbox 258"/>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258" o:spid="_x0000_s2074"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626496" filled="f" stroked="f">
              <v:textbox inset="0,0,0,0">
                <w:txbxContent>
                  <w:p w:rsidR="003F5784" w14:paraId="0D4B4E93"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1A9B50C2" w14:textId="77777777">
    <w:pPr>
      <w:pStyle w:val="BodyText"/>
      <w:spacing w:line="14" w:lineRule="auto"/>
      <w:rPr>
        <w:sz w:val="20"/>
      </w:rPr>
    </w:pPr>
    <w:r>
      <w:rPr>
        <w:noProof/>
      </w:rPr>
      <mc:AlternateContent>
        <mc:Choice Requires="wps">
          <w:drawing>
            <wp:anchor distT="0" distB="0" distL="0" distR="0" simplePos="0" relativeHeight="251691008" behindDoc="1" locked="0" layoutInCell="1" allowOverlap="1">
              <wp:simplePos x="0" y="0"/>
              <wp:positionH relativeFrom="page">
                <wp:posOffset>3895712</wp:posOffset>
              </wp:positionH>
              <wp:positionV relativeFrom="page">
                <wp:posOffset>535723</wp:posOffset>
              </wp:positionV>
              <wp:extent cx="5578475" cy="25400"/>
              <wp:effectExtent l="0" t="0" r="0" b="0"/>
              <wp:wrapNone/>
              <wp:docPr id="293" name="Graphic 293"/>
              <wp:cNvGraphicFramePr/>
              <a:graphic xmlns:a="http://schemas.openxmlformats.org/drawingml/2006/main">
                <a:graphicData uri="http://schemas.microsoft.com/office/word/2010/wordprocessingShape">
                  <wps:wsp xmlns:wps="http://schemas.microsoft.com/office/word/2010/wordprocessingShape">
                    <wps:cNvSpPr/>
                    <wps:spPr>
                      <a:xfrm>
                        <a:off x="0" y="0"/>
                        <a:ext cx="5578475" cy="25400"/>
                      </a:xfrm>
                      <a:custGeom>
                        <a:avLst/>
                        <a:gdLst/>
                        <a:rect l="l" t="t" r="r" b="b"/>
                        <a:pathLst>
                          <a:path fill="norm" h="25400" w="5578475" stroke="1">
                            <a:moveTo>
                              <a:pt x="5577891" y="0"/>
                            </a:moveTo>
                            <a:lnTo>
                              <a:pt x="2788945" y="0"/>
                            </a:lnTo>
                            <a:lnTo>
                              <a:pt x="0" y="0"/>
                            </a:lnTo>
                            <a:lnTo>
                              <a:pt x="0" y="24828"/>
                            </a:lnTo>
                            <a:lnTo>
                              <a:pt x="2788945" y="24828"/>
                            </a:lnTo>
                            <a:lnTo>
                              <a:pt x="5577891" y="24828"/>
                            </a:lnTo>
                            <a:lnTo>
                              <a:pt x="5577891" y="0"/>
                            </a:lnTo>
                            <a:close/>
                          </a:path>
                        </a:pathLst>
                      </a:custGeom>
                      <a:solidFill>
                        <a:srgbClr val="800000"/>
                      </a:solidFill>
                    </wps:spPr>
                    <wps:bodyPr wrap="square" lIns="0" tIns="0" rIns="0" bIns="0" rtlCol="0">
                      <a:prstTxWarp prst="textNoShape">
                        <a:avLst/>
                      </a:prstTxWarp>
                    </wps:bodyPr>
                  </wps:wsp>
                </a:graphicData>
              </a:graphic>
            </wp:anchor>
          </w:drawing>
        </mc:Choice>
        <mc:Fallback>
          <w:pict>
            <v:shape id="Graphic 293" o:spid="_x0000_s2077" style="width:439.25pt;height:2pt;margin-top:42.2pt;margin-left:306.75pt;mso-position-horizontal-relative:page;mso-position-vertical-relative:page;mso-wrap-distance-bottom:0;mso-wrap-distance-left:0;mso-wrap-distance-right:0;mso-wrap-distance-top:0;mso-wrap-style:square;position:absolute;visibility:visible;v-text-anchor:top;z-index:-251624448" coordsize="5578475,25400" path="m5577891,l2788945,,,,,24828l2788945,24828l5577891,24828l5577891,xe" fillcolor="maroon" stroked="f">
              <v:path arrowok="t"/>
            </v:shape>
          </w:pict>
        </mc:Fallback>
      </mc:AlternateContent>
    </w:r>
    <w:r>
      <w:rPr>
        <w:noProof/>
      </w:rPr>
      <mc:AlternateContent>
        <mc:Choice Requires="wps">
          <w:drawing>
            <wp:anchor distT="0" distB="0" distL="0" distR="0" simplePos="0" relativeHeight="251693056"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294" name="Textbox 294"/>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94" o:spid="_x0000_s2078"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622400" filled="f" stroked="f">
              <v:textbox inset="0,0,0,0">
                <w:txbxContent>
                  <w:p w:rsidR="003F5784" w14:paraId="5BA62D9C"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695104" behindDoc="1" locked="0" layoutInCell="1" allowOverlap="1">
              <wp:simplePos x="0" y="0"/>
              <wp:positionH relativeFrom="page">
                <wp:posOffset>5066067</wp:posOffset>
              </wp:positionH>
              <wp:positionV relativeFrom="page">
                <wp:posOffset>181131</wp:posOffset>
              </wp:positionV>
              <wp:extent cx="1031875" cy="354965"/>
              <wp:effectExtent l="0" t="0" r="0" b="0"/>
              <wp:wrapNone/>
              <wp:docPr id="295" name="Textbox 295"/>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1875" cy="354965"/>
                      </a:xfrm>
                      <a:prstGeom prst="rect">
                        <a:avLst/>
                      </a:prstGeom>
                    </wps:spPr>
                    <wps:txbx>
                      <w:txbxContent>
                        <w:p w:rsidR="003F5784" w14:textId="77777777">
                          <w:pPr>
                            <w:spacing w:before="14"/>
                            <w:ind w:left="88"/>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p w:rsidR="003F5784" w14:textId="77777777">
                          <w:pPr>
                            <w:pStyle w:val="BodyText"/>
                            <w:spacing w:before="99"/>
                            <w:ind w:left="20"/>
                          </w:pPr>
                          <w:r>
                            <w:t>Grade</w:t>
                          </w:r>
                          <w:r>
                            <w:rPr>
                              <w:spacing w:val="-7"/>
                            </w:rPr>
                            <w:t xml:space="preserve"> </w:t>
                          </w:r>
                          <w:r>
                            <w:rPr>
                              <w:spacing w:val="-10"/>
                            </w:rPr>
                            <w:t>4</w:t>
                          </w:r>
                        </w:p>
                      </w:txbxContent>
                    </wps:txbx>
                    <wps:bodyPr wrap="square" lIns="0" tIns="0" rIns="0" bIns="0" rtlCol="0"/>
                  </wps:wsp>
                </a:graphicData>
              </a:graphic>
            </wp:anchor>
          </w:drawing>
        </mc:Choice>
        <mc:Fallback>
          <w:pict>
            <v:shape id="Textbox 295" o:spid="_x0000_s2079" type="#_x0000_t202" style="width:81.25pt;height:27.95pt;margin-top:14.25pt;margin-left:398.9pt;mso-position-horizontal-relative:page;mso-position-vertical-relative:page;mso-wrap-distance-bottom:0;mso-wrap-distance-left:0;mso-wrap-distance-right:0;mso-wrap-distance-top:0;mso-wrap-style:square;position:absolute;visibility:visible;v-text-anchor:top;z-index:-251620352" filled="f" stroked="f">
              <v:textbox inset="0,0,0,0">
                <w:txbxContent>
                  <w:p w:rsidR="003F5784" w14:paraId="1346AFD9" w14:textId="77777777">
                    <w:pPr>
                      <w:spacing w:before="14"/>
                      <w:ind w:left="88"/>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p w:rsidR="003F5784" w14:paraId="19D4C1DF" w14:textId="77777777">
                    <w:pPr>
                      <w:pStyle w:val="BodyText"/>
                      <w:spacing w:before="99"/>
                      <w:ind w:left="20"/>
                    </w:pPr>
                    <w:r>
                      <w:t>Grade</w:t>
                    </w:r>
                    <w:r>
                      <w:rPr>
                        <w:spacing w:val="-7"/>
                      </w:rPr>
                      <w:t xml:space="preserve"> </w:t>
                    </w:r>
                    <w:r>
                      <w:rPr>
                        <w:spacing w:val="-10"/>
                      </w:rPr>
                      <w:t>4</w:t>
                    </w:r>
                  </w:p>
                </w:txbxContent>
              </v:textbox>
            </v:shape>
          </w:pict>
        </mc:Fallback>
      </mc:AlternateContent>
    </w:r>
    <w:r>
      <w:rPr>
        <w:noProof/>
      </w:rPr>
      <mc:AlternateContent>
        <mc:Choice Requires="wps">
          <w:drawing>
            <wp:anchor distT="0" distB="0" distL="0" distR="0" simplePos="0" relativeHeight="251697152" behindDoc="1" locked="0" layoutInCell="1" allowOverlap="1">
              <wp:simplePos x="0" y="0"/>
              <wp:positionH relativeFrom="page">
                <wp:posOffset>7853977</wp:posOffset>
              </wp:positionH>
              <wp:positionV relativeFrom="page">
                <wp:posOffset>363666</wp:posOffset>
              </wp:positionV>
              <wp:extent cx="448309" cy="172085"/>
              <wp:effectExtent l="0" t="0" r="0" b="0"/>
              <wp:wrapNone/>
              <wp:docPr id="296" name="Textbox 296"/>
              <wp:cNvGraphicFramePr/>
              <a:graphic xmlns:a="http://schemas.openxmlformats.org/drawingml/2006/main">
                <a:graphicData uri="http://schemas.microsoft.com/office/word/2010/wordprocessingShape">
                  <wps:wsp xmlns:wps="http://schemas.microsoft.com/office/word/2010/wordprocessingShape">
                    <wps:cNvSpPr txBox="1"/>
                    <wps:spPr>
                      <a:xfrm>
                        <a:off x="0" y="0"/>
                        <a:ext cx="448309" cy="172085"/>
                      </a:xfrm>
                      <a:prstGeom prst="rect">
                        <a:avLst/>
                      </a:prstGeom>
                    </wps:spPr>
                    <wps:txbx>
                      <w:txbxContent>
                        <w:p w:rsidR="003F5784" w14:textId="77777777">
                          <w:pPr>
                            <w:pStyle w:val="BodyText"/>
                            <w:spacing w:before="9"/>
                            <w:ind w:left="20"/>
                          </w:pPr>
                          <w:r>
                            <w:t>Grade</w:t>
                          </w:r>
                          <w:r>
                            <w:rPr>
                              <w:spacing w:val="-7"/>
                            </w:rPr>
                            <w:t xml:space="preserve"> </w:t>
                          </w:r>
                          <w:r>
                            <w:rPr>
                              <w:spacing w:val="-10"/>
                            </w:rPr>
                            <w:t>8</w:t>
                          </w:r>
                        </w:p>
                      </w:txbxContent>
                    </wps:txbx>
                    <wps:bodyPr wrap="square" lIns="0" tIns="0" rIns="0" bIns="0" rtlCol="0"/>
                  </wps:wsp>
                </a:graphicData>
              </a:graphic>
            </wp:anchor>
          </w:drawing>
        </mc:Choice>
        <mc:Fallback>
          <w:pict>
            <v:shape id="Textbox 296" o:spid="_x0000_s2080" type="#_x0000_t202" style="width:35.3pt;height:13.55pt;margin-top:28.65pt;margin-left:618.4pt;mso-position-horizontal-relative:page;mso-position-vertical-relative:page;mso-wrap-distance-bottom:0;mso-wrap-distance-left:0;mso-wrap-distance-right:0;mso-wrap-distance-top:0;mso-wrap-style:square;position:absolute;visibility:visible;v-text-anchor:top;z-index:-251618304" filled="f" stroked="f">
              <v:textbox inset="0,0,0,0">
                <w:txbxContent>
                  <w:p w:rsidR="003F5784" w14:paraId="2C4A62AE" w14:textId="77777777">
                    <w:pPr>
                      <w:pStyle w:val="BodyText"/>
                      <w:spacing w:before="9"/>
                      <w:ind w:left="20"/>
                    </w:pPr>
                    <w:r>
                      <w:t>Grade</w:t>
                    </w:r>
                    <w:r>
                      <w:rPr>
                        <w:spacing w:val="-7"/>
                      </w:rPr>
                      <w:t xml:space="preserve"> </w:t>
                    </w:r>
                    <w:r>
                      <w:rPr>
                        <w:spacing w:val="-10"/>
                      </w:rPr>
                      <w:t>8</w:t>
                    </w:r>
                  </w:p>
                </w:txbxContent>
              </v:textbox>
            </v:shape>
          </w:pict>
        </mc:Fallback>
      </mc:AlternateContent>
    </w:r>
    <w:r>
      <w:rPr>
        <w:noProof/>
      </w:rPr>
      <mc:AlternateContent>
        <mc:Choice Requires="wps">
          <w:drawing>
            <wp:anchor distT="0" distB="0" distL="0" distR="0" simplePos="0" relativeHeight="251699200" behindDoc="1" locked="0" layoutInCell="1" allowOverlap="1">
              <wp:simplePos x="0" y="0"/>
              <wp:positionH relativeFrom="page">
                <wp:posOffset>657394</wp:posOffset>
              </wp:positionH>
              <wp:positionV relativeFrom="page">
                <wp:posOffset>562285</wp:posOffset>
              </wp:positionV>
              <wp:extent cx="643890" cy="172085"/>
              <wp:effectExtent l="0" t="0" r="0" b="0"/>
              <wp:wrapNone/>
              <wp:docPr id="297" name="Textbox 297"/>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890" cy="172085"/>
                      </a:xfrm>
                      <a:prstGeom prst="rect">
                        <a:avLst/>
                      </a:prstGeom>
                    </wps:spPr>
                    <wps:txbx>
                      <w:txbxContent>
                        <w:p w:rsidR="003F5784" w14:textId="77777777">
                          <w:pPr>
                            <w:pStyle w:val="BodyText"/>
                            <w:spacing w:before="9"/>
                            <w:ind w:left="20"/>
                          </w:pPr>
                          <w:r>
                            <w:rPr>
                              <w:spacing w:val="-2"/>
                            </w:rPr>
                            <w:t>Jurisdiction</w:t>
                          </w:r>
                        </w:p>
                      </w:txbxContent>
                    </wps:txbx>
                    <wps:bodyPr wrap="square" lIns="0" tIns="0" rIns="0" bIns="0" rtlCol="0"/>
                  </wps:wsp>
                </a:graphicData>
              </a:graphic>
            </wp:anchor>
          </w:drawing>
        </mc:Choice>
        <mc:Fallback>
          <w:pict>
            <v:shape id="Textbox 297" o:spid="_x0000_s2081" type="#_x0000_t202" style="width:50.7pt;height:13.55pt;margin-top:44.25pt;margin-left:51.75pt;mso-position-horizontal-relative:page;mso-position-vertical-relative:page;mso-wrap-distance-bottom:0;mso-wrap-distance-left:0;mso-wrap-distance-right:0;mso-wrap-distance-top:0;mso-wrap-style:square;position:absolute;visibility:visible;v-text-anchor:top;z-index:-251616256" filled="f" stroked="f">
              <v:textbox inset="0,0,0,0">
                <w:txbxContent>
                  <w:p w:rsidR="003F5784" w14:paraId="0B1112B4" w14:textId="77777777">
                    <w:pPr>
                      <w:pStyle w:val="BodyText"/>
                      <w:spacing w:before="9"/>
                      <w:ind w:left="20"/>
                    </w:pPr>
                    <w:r>
                      <w:rPr>
                        <w:spacing w:val="-2"/>
                      </w:rPr>
                      <w:t>Jurisdiction</w:t>
                    </w:r>
                  </w:p>
                </w:txbxContent>
              </v:textbox>
            </v:shape>
          </w:pict>
        </mc:Fallback>
      </mc:AlternateContent>
    </w:r>
    <w:r>
      <w:rPr>
        <w:noProof/>
      </w:rPr>
      <mc:AlternateContent>
        <mc:Choice Requires="wps">
          <w:drawing>
            <wp:anchor distT="0" distB="0" distL="0" distR="0" simplePos="0" relativeHeight="251701248" behindDoc="1" locked="0" layoutInCell="1" allowOverlap="1">
              <wp:simplePos x="0" y="0"/>
              <wp:positionH relativeFrom="page">
                <wp:posOffset>4066894</wp:posOffset>
              </wp:positionH>
              <wp:positionV relativeFrom="page">
                <wp:posOffset>562285</wp:posOffset>
              </wp:positionV>
              <wp:extent cx="1082675" cy="172085"/>
              <wp:effectExtent l="0" t="0" r="0" b="0"/>
              <wp:wrapNone/>
              <wp:docPr id="298" name="Textbox 298"/>
              <wp:cNvGraphicFramePr/>
              <a:graphic xmlns:a="http://schemas.openxmlformats.org/drawingml/2006/main">
                <a:graphicData uri="http://schemas.microsoft.com/office/word/2010/wordprocessingShape">
                  <wps:wsp xmlns:wps="http://schemas.microsoft.com/office/word/2010/wordprocessingShape">
                    <wps:cNvSpPr txBox="1"/>
                    <wps:spPr>
                      <a:xfrm>
                        <a:off x="0" y="0"/>
                        <a:ext cx="1082675" cy="172085"/>
                      </a:xfrm>
                      <a:prstGeom prst="rect">
                        <a:avLst/>
                      </a:prstGeom>
                    </wps:spPr>
                    <wps:txbx>
                      <w:txbxContent>
                        <w:p w:rsidR="003F5784" w14:textId="77777777">
                          <w:pPr>
                            <w:pStyle w:val="BodyText"/>
                            <w:spacing w:before="9"/>
                            <w:ind w:left="20"/>
                          </w:pPr>
                          <w:r>
                            <w:rPr>
                              <w:spacing w:val="-2"/>
                            </w:rPr>
                            <w:t>Total</w:t>
                          </w:r>
                          <w:r>
                            <w:rPr>
                              <w:spacing w:val="-3"/>
                            </w:rPr>
                            <w:t xml:space="preserve"> </w:t>
                          </w:r>
                          <w:r>
                            <w:rPr>
                              <w:spacing w:val="-2"/>
                            </w:rPr>
                            <w:t>school sample</w:t>
                          </w:r>
                        </w:p>
                      </w:txbxContent>
                    </wps:txbx>
                    <wps:bodyPr wrap="square" lIns="0" tIns="0" rIns="0" bIns="0" rtlCol="0"/>
                  </wps:wsp>
                </a:graphicData>
              </a:graphic>
            </wp:anchor>
          </w:drawing>
        </mc:Choice>
        <mc:Fallback>
          <w:pict>
            <v:shape id="Textbox 298" o:spid="_x0000_s2082" type="#_x0000_t202" style="width:85.25pt;height:13.55pt;margin-top:44.25pt;margin-left:320.25pt;mso-position-horizontal-relative:page;mso-position-vertical-relative:page;mso-wrap-distance-bottom:0;mso-wrap-distance-left:0;mso-wrap-distance-right:0;mso-wrap-distance-top:0;mso-wrap-style:square;position:absolute;visibility:visible;v-text-anchor:top;z-index:-251614208" filled="f" stroked="f">
              <v:textbox inset="0,0,0,0">
                <w:txbxContent>
                  <w:p w:rsidR="003F5784" w14:paraId="169F7F80" w14:textId="77777777">
                    <w:pPr>
                      <w:pStyle w:val="BodyText"/>
                      <w:spacing w:before="9"/>
                      <w:ind w:left="20"/>
                    </w:pPr>
                    <w:r>
                      <w:rPr>
                        <w:spacing w:val="-2"/>
                      </w:rPr>
                      <w:t>Total</w:t>
                    </w:r>
                    <w:r>
                      <w:rPr>
                        <w:spacing w:val="-3"/>
                      </w:rPr>
                      <w:t xml:space="preserve"> </w:t>
                    </w:r>
                    <w:r>
                      <w:rPr>
                        <w:spacing w:val="-2"/>
                      </w:rPr>
                      <w:t>school sample</w:t>
                    </w:r>
                  </w:p>
                </w:txbxContent>
              </v:textbox>
            </v:shape>
          </w:pict>
        </mc:Fallback>
      </mc:AlternateContent>
    </w:r>
    <w:r>
      <w:rPr>
        <w:noProof/>
      </w:rPr>
      <mc:AlternateContent>
        <mc:Choice Requires="wps">
          <w:drawing>
            <wp:anchor distT="0" distB="0" distL="0" distR="0" simplePos="0" relativeHeight="251703296" behindDoc="1" locked="0" layoutInCell="1" allowOverlap="1">
              <wp:simplePos x="0" y="0"/>
              <wp:positionH relativeFrom="page">
                <wp:posOffset>5390634</wp:posOffset>
              </wp:positionH>
              <wp:positionV relativeFrom="page">
                <wp:posOffset>562285</wp:posOffset>
              </wp:positionV>
              <wp:extent cx="1231900" cy="172085"/>
              <wp:effectExtent l="0" t="0" r="0" b="0"/>
              <wp:wrapNone/>
              <wp:docPr id="299" name="Textbox 29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31900" cy="172085"/>
                      </a:xfrm>
                      <a:prstGeom prst="rect">
                        <a:avLst/>
                      </a:prstGeom>
                    </wps:spPr>
                    <wps:txbx>
                      <w:txbxContent>
                        <w:p w:rsidR="003F5784" w14:textId="77777777">
                          <w:pPr>
                            <w:pStyle w:val="BodyText"/>
                            <w:spacing w:before="9"/>
                            <w:ind w:left="20"/>
                          </w:pPr>
                          <w:r>
                            <w:t>Eligible</w:t>
                          </w:r>
                          <w:r>
                            <w:rPr>
                              <w:spacing w:val="-8"/>
                            </w:rPr>
                            <w:t xml:space="preserve"> </w:t>
                          </w:r>
                          <w:r>
                            <w:t>school</w:t>
                          </w:r>
                          <w:r>
                            <w:rPr>
                              <w:spacing w:val="-7"/>
                            </w:rPr>
                            <w:t xml:space="preserve"> </w:t>
                          </w:r>
                          <w:r>
                            <w:rPr>
                              <w:spacing w:val="-2"/>
                            </w:rPr>
                            <w:t>sample</w:t>
                          </w:r>
                        </w:p>
                      </w:txbxContent>
                    </wps:txbx>
                    <wps:bodyPr wrap="square" lIns="0" tIns="0" rIns="0" bIns="0" rtlCol="0"/>
                  </wps:wsp>
                </a:graphicData>
              </a:graphic>
            </wp:anchor>
          </w:drawing>
        </mc:Choice>
        <mc:Fallback>
          <w:pict>
            <v:shape id="Textbox 299" o:spid="_x0000_s2083" type="#_x0000_t202" style="width:97pt;height:13.55pt;margin-top:44.25pt;margin-left:424.45pt;mso-position-horizontal-relative:page;mso-position-vertical-relative:page;mso-wrap-distance-bottom:0;mso-wrap-distance-left:0;mso-wrap-distance-right:0;mso-wrap-distance-top:0;mso-wrap-style:square;position:absolute;visibility:visible;v-text-anchor:top;z-index:-251612160" filled="f" stroked="f">
              <v:textbox inset="0,0,0,0">
                <w:txbxContent>
                  <w:p w:rsidR="003F5784" w14:paraId="7A272E94" w14:textId="77777777">
                    <w:pPr>
                      <w:pStyle w:val="BodyText"/>
                      <w:spacing w:before="9"/>
                      <w:ind w:left="20"/>
                    </w:pPr>
                    <w:r>
                      <w:t>Eligible</w:t>
                    </w:r>
                    <w:r>
                      <w:rPr>
                        <w:spacing w:val="-8"/>
                      </w:rPr>
                      <w:t xml:space="preserve"> </w:t>
                    </w:r>
                    <w:r>
                      <w:t>school</w:t>
                    </w:r>
                    <w:r>
                      <w:rPr>
                        <w:spacing w:val="-7"/>
                      </w:rPr>
                      <w:t xml:space="preserve"> </w:t>
                    </w:r>
                    <w:r>
                      <w:rPr>
                        <w:spacing w:val="-2"/>
                      </w:rPr>
                      <w:t>sample</w:t>
                    </w:r>
                  </w:p>
                </w:txbxContent>
              </v:textbox>
            </v:shape>
          </w:pict>
        </mc:Fallback>
      </mc:AlternateContent>
    </w:r>
    <w:r>
      <w:rPr>
        <w:noProof/>
      </w:rPr>
      <mc:AlternateContent>
        <mc:Choice Requires="wps">
          <w:drawing>
            <wp:anchor distT="0" distB="0" distL="0" distR="0" simplePos="0" relativeHeight="251705344" behindDoc="1" locked="0" layoutInCell="1" allowOverlap="1">
              <wp:simplePos x="0" y="0"/>
              <wp:positionH relativeFrom="page">
                <wp:posOffset>6854545</wp:posOffset>
              </wp:positionH>
              <wp:positionV relativeFrom="page">
                <wp:posOffset>562285</wp:posOffset>
              </wp:positionV>
              <wp:extent cx="1082675" cy="172085"/>
              <wp:effectExtent l="0" t="0" r="0" b="0"/>
              <wp:wrapNone/>
              <wp:docPr id="300" name="Textbox 300"/>
              <wp:cNvGraphicFramePr/>
              <a:graphic xmlns:a="http://schemas.openxmlformats.org/drawingml/2006/main">
                <a:graphicData uri="http://schemas.microsoft.com/office/word/2010/wordprocessingShape">
                  <wps:wsp xmlns:wps="http://schemas.microsoft.com/office/word/2010/wordprocessingShape">
                    <wps:cNvSpPr txBox="1"/>
                    <wps:spPr>
                      <a:xfrm>
                        <a:off x="0" y="0"/>
                        <a:ext cx="1082675" cy="172085"/>
                      </a:xfrm>
                      <a:prstGeom prst="rect">
                        <a:avLst/>
                      </a:prstGeom>
                    </wps:spPr>
                    <wps:txbx>
                      <w:txbxContent>
                        <w:p w:rsidR="003F5784" w14:textId="77777777">
                          <w:pPr>
                            <w:pStyle w:val="BodyText"/>
                            <w:spacing w:before="9"/>
                            <w:ind w:left="20"/>
                          </w:pPr>
                          <w:r>
                            <w:rPr>
                              <w:spacing w:val="-2"/>
                            </w:rPr>
                            <w:t>Total</w:t>
                          </w:r>
                          <w:r>
                            <w:rPr>
                              <w:spacing w:val="-3"/>
                            </w:rPr>
                            <w:t xml:space="preserve"> </w:t>
                          </w:r>
                          <w:r>
                            <w:rPr>
                              <w:spacing w:val="-2"/>
                            </w:rPr>
                            <w:t>school sample</w:t>
                          </w:r>
                        </w:p>
                      </w:txbxContent>
                    </wps:txbx>
                    <wps:bodyPr wrap="square" lIns="0" tIns="0" rIns="0" bIns="0" rtlCol="0"/>
                  </wps:wsp>
                </a:graphicData>
              </a:graphic>
            </wp:anchor>
          </w:drawing>
        </mc:Choice>
        <mc:Fallback>
          <w:pict>
            <v:shape id="Textbox 300" o:spid="_x0000_s2084" type="#_x0000_t202" style="width:85.25pt;height:13.55pt;margin-top:44.25pt;margin-left:539.75pt;mso-position-horizontal-relative:page;mso-position-vertical-relative:page;mso-wrap-distance-bottom:0;mso-wrap-distance-left:0;mso-wrap-distance-right:0;mso-wrap-distance-top:0;mso-wrap-style:square;position:absolute;visibility:visible;v-text-anchor:top;z-index:-251610112" filled="f" stroked="f">
              <v:textbox inset="0,0,0,0">
                <w:txbxContent>
                  <w:p w:rsidR="003F5784" w14:paraId="568BBC69" w14:textId="77777777">
                    <w:pPr>
                      <w:pStyle w:val="BodyText"/>
                      <w:spacing w:before="9"/>
                      <w:ind w:left="20"/>
                    </w:pPr>
                    <w:r>
                      <w:rPr>
                        <w:spacing w:val="-2"/>
                      </w:rPr>
                      <w:t>Total</w:t>
                    </w:r>
                    <w:r>
                      <w:rPr>
                        <w:spacing w:val="-3"/>
                      </w:rPr>
                      <w:t xml:space="preserve"> </w:t>
                    </w:r>
                    <w:r>
                      <w:rPr>
                        <w:spacing w:val="-2"/>
                      </w:rPr>
                      <w:t>school sample</w:t>
                    </w:r>
                  </w:p>
                </w:txbxContent>
              </v:textbox>
            </v:shape>
          </w:pict>
        </mc:Fallback>
      </mc:AlternateContent>
    </w:r>
    <w:r>
      <w:rPr>
        <w:noProof/>
      </w:rPr>
      <mc:AlternateContent>
        <mc:Choice Requires="wps">
          <w:drawing>
            <wp:anchor distT="0" distB="0" distL="0" distR="0" simplePos="0" relativeHeight="251707392" behindDoc="1" locked="0" layoutInCell="1" allowOverlap="1">
              <wp:simplePos x="0" y="0"/>
              <wp:positionH relativeFrom="page">
                <wp:posOffset>8178932</wp:posOffset>
              </wp:positionH>
              <wp:positionV relativeFrom="page">
                <wp:posOffset>562285</wp:posOffset>
              </wp:positionV>
              <wp:extent cx="1231900" cy="172085"/>
              <wp:effectExtent l="0" t="0" r="0" b="0"/>
              <wp:wrapNone/>
              <wp:docPr id="301" name="Textbox 30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31900" cy="172085"/>
                      </a:xfrm>
                      <a:prstGeom prst="rect">
                        <a:avLst/>
                      </a:prstGeom>
                    </wps:spPr>
                    <wps:txbx>
                      <w:txbxContent>
                        <w:p w:rsidR="003F5784" w14:textId="77777777">
                          <w:pPr>
                            <w:pStyle w:val="BodyText"/>
                            <w:spacing w:before="9"/>
                            <w:ind w:left="20"/>
                          </w:pPr>
                          <w:r>
                            <w:t>Eligible</w:t>
                          </w:r>
                          <w:r>
                            <w:rPr>
                              <w:spacing w:val="-8"/>
                            </w:rPr>
                            <w:t xml:space="preserve"> </w:t>
                          </w:r>
                          <w:r>
                            <w:t>school</w:t>
                          </w:r>
                          <w:r>
                            <w:rPr>
                              <w:spacing w:val="-7"/>
                            </w:rPr>
                            <w:t xml:space="preserve"> </w:t>
                          </w:r>
                          <w:r>
                            <w:rPr>
                              <w:spacing w:val="-2"/>
                            </w:rPr>
                            <w:t>sample</w:t>
                          </w:r>
                        </w:p>
                      </w:txbxContent>
                    </wps:txbx>
                    <wps:bodyPr wrap="square" lIns="0" tIns="0" rIns="0" bIns="0" rtlCol="0"/>
                  </wps:wsp>
                </a:graphicData>
              </a:graphic>
            </wp:anchor>
          </w:drawing>
        </mc:Choice>
        <mc:Fallback>
          <w:pict>
            <v:shape id="Textbox 301" o:spid="_x0000_s2085" type="#_x0000_t202" style="width:97pt;height:13.55pt;margin-top:44.25pt;margin-left:644pt;mso-position-horizontal-relative:page;mso-position-vertical-relative:page;mso-wrap-distance-bottom:0;mso-wrap-distance-left:0;mso-wrap-distance-right:0;mso-wrap-distance-top:0;mso-wrap-style:square;position:absolute;visibility:visible;v-text-anchor:top;z-index:-251608064" filled="f" stroked="f">
              <v:textbox inset="0,0,0,0">
                <w:txbxContent>
                  <w:p w:rsidR="003F5784" w14:paraId="14E4AA55" w14:textId="77777777">
                    <w:pPr>
                      <w:pStyle w:val="BodyText"/>
                      <w:spacing w:before="9"/>
                      <w:ind w:left="20"/>
                    </w:pPr>
                    <w:r>
                      <w:t>Eligible</w:t>
                    </w:r>
                    <w:r>
                      <w:rPr>
                        <w:spacing w:val="-8"/>
                      </w:rPr>
                      <w:t xml:space="preserve"> </w:t>
                    </w:r>
                    <w:r>
                      <w:t>school</w:t>
                    </w:r>
                    <w:r>
                      <w:rPr>
                        <w:spacing w:val="-7"/>
                      </w:rPr>
                      <w:t xml:space="preserve"> </w:t>
                    </w:r>
                    <w:r>
                      <w:rPr>
                        <w:spacing w:val="-2"/>
                      </w:rPr>
                      <w:t>sample</w:t>
                    </w:r>
                  </w:p>
                </w:txbxContent>
              </v:textbox>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324EA782" w14:textId="77777777">
    <w:pPr>
      <w:pStyle w:val="BodyText"/>
      <w:spacing w:line="14" w:lineRule="auto"/>
      <w:rPr>
        <w:sz w:val="20"/>
      </w:rPr>
    </w:pPr>
    <w:r>
      <w:rPr>
        <w:noProof/>
      </w:rPr>
      <mc:AlternateContent>
        <mc:Choice Requires="wps">
          <w:drawing>
            <wp:anchor distT="0" distB="0" distL="0" distR="0" simplePos="0" relativeHeight="251709440" behindDoc="1" locked="0" layoutInCell="1" allowOverlap="1">
              <wp:simplePos x="0" y="0"/>
              <wp:positionH relativeFrom="page">
                <wp:posOffset>3895712</wp:posOffset>
              </wp:positionH>
              <wp:positionV relativeFrom="page">
                <wp:posOffset>535723</wp:posOffset>
              </wp:positionV>
              <wp:extent cx="5578475" cy="25400"/>
              <wp:effectExtent l="0" t="0" r="0" b="0"/>
              <wp:wrapNone/>
              <wp:docPr id="304" name="Graphic 304"/>
              <wp:cNvGraphicFramePr/>
              <a:graphic xmlns:a="http://schemas.openxmlformats.org/drawingml/2006/main">
                <a:graphicData uri="http://schemas.microsoft.com/office/word/2010/wordprocessingShape">
                  <wps:wsp xmlns:wps="http://schemas.microsoft.com/office/word/2010/wordprocessingShape">
                    <wps:cNvSpPr/>
                    <wps:spPr>
                      <a:xfrm>
                        <a:off x="0" y="0"/>
                        <a:ext cx="5578475" cy="25400"/>
                      </a:xfrm>
                      <a:custGeom>
                        <a:avLst/>
                        <a:gdLst/>
                        <a:rect l="l" t="t" r="r" b="b"/>
                        <a:pathLst>
                          <a:path fill="norm" h="25400" w="5578475" stroke="1">
                            <a:moveTo>
                              <a:pt x="5577891" y="0"/>
                            </a:moveTo>
                            <a:lnTo>
                              <a:pt x="2788945" y="0"/>
                            </a:lnTo>
                            <a:lnTo>
                              <a:pt x="0" y="0"/>
                            </a:lnTo>
                            <a:lnTo>
                              <a:pt x="0" y="24828"/>
                            </a:lnTo>
                            <a:lnTo>
                              <a:pt x="2788945" y="24828"/>
                            </a:lnTo>
                            <a:lnTo>
                              <a:pt x="5577891" y="24828"/>
                            </a:lnTo>
                            <a:lnTo>
                              <a:pt x="5577891" y="0"/>
                            </a:lnTo>
                            <a:close/>
                          </a:path>
                        </a:pathLst>
                      </a:custGeom>
                      <a:solidFill>
                        <a:srgbClr val="800000"/>
                      </a:solidFill>
                    </wps:spPr>
                    <wps:bodyPr wrap="square" lIns="0" tIns="0" rIns="0" bIns="0" rtlCol="0">
                      <a:prstTxWarp prst="textNoShape">
                        <a:avLst/>
                      </a:prstTxWarp>
                    </wps:bodyPr>
                  </wps:wsp>
                </a:graphicData>
              </a:graphic>
            </wp:anchor>
          </w:drawing>
        </mc:Choice>
        <mc:Fallback>
          <w:pict>
            <v:shape id="Graphic 304" o:spid="_x0000_s2088" style="width:439.25pt;height:2pt;margin-top:42.2pt;margin-left:306.75pt;mso-position-horizontal-relative:page;mso-position-vertical-relative:page;mso-wrap-distance-bottom:0;mso-wrap-distance-left:0;mso-wrap-distance-right:0;mso-wrap-distance-top:0;mso-wrap-style:square;position:absolute;visibility:visible;v-text-anchor:top;z-index:-251606016" coordsize="5578475,25400" path="m5577891,l2788945,,,,,24828l2788945,24828l5577891,24828l5577891,xe" fillcolor="maroon" stroked="f">
              <v:path arrowok="t"/>
            </v:shape>
          </w:pict>
        </mc:Fallback>
      </mc:AlternateContent>
    </w:r>
    <w:r>
      <w:rPr>
        <w:noProof/>
      </w:rPr>
      <mc:AlternateContent>
        <mc:Choice Requires="wps">
          <w:drawing>
            <wp:anchor distT="0" distB="0" distL="0" distR="0" simplePos="0" relativeHeight="251711488"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305" name="Textbox 305"/>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05" o:spid="_x0000_s2089"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603968" filled="f" stroked="f">
              <v:textbox inset="0,0,0,0">
                <w:txbxContent>
                  <w:p w:rsidR="003F5784" w14:paraId="3D1905B9"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713536" behindDoc="1" locked="0" layoutInCell="1" allowOverlap="1">
              <wp:simplePos x="0" y="0"/>
              <wp:positionH relativeFrom="page">
                <wp:posOffset>5066067</wp:posOffset>
              </wp:positionH>
              <wp:positionV relativeFrom="page">
                <wp:posOffset>181131</wp:posOffset>
              </wp:positionV>
              <wp:extent cx="1031875" cy="354965"/>
              <wp:effectExtent l="0" t="0" r="0" b="0"/>
              <wp:wrapNone/>
              <wp:docPr id="306" name="Textbox 306"/>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1875" cy="354965"/>
                      </a:xfrm>
                      <a:prstGeom prst="rect">
                        <a:avLst/>
                      </a:prstGeom>
                    </wps:spPr>
                    <wps:txbx>
                      <w:txbxContent>
                        <w:p w:rsidR="003F5784" w14:textId="77777777">
                          <w:pPr>
                            <w:spacing w:before="14"/>
                            <w:ind w:left="88"/>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p w:rsidR="003F5784" w14:textId="77777777">
                          <w:pPr>
                            <w:pStyle w:val="BodyText"/>
                            <w:spacing w:before="99"/>
                            <w:ind w:left="20"/>
                          </w:pPr>
                          <w:r>
                            <w:t>Grade</w:t>
                          </w:r>
                          <w:r>
                            <w:rPr>
                              <w:spacing w:val="-7"/>
                            </w:rPr>
                            <w:t xml:space="preserve"> </w:t>
                          </w:r>
                          <w:r>
                            <w:rPr>
                              <w:spacing w:val="-10"/>
                            </w:rPr>
                            <w:t>4</w:t>
                          </w:r>
                        </w:p>
                      </w:txbxContent>
                    </wps:txbx>
                    <wps:bodyPr wrap="square" lIns="0" tIns="0" rIns="0" bIns="0" rtlCol="0"/>
                  </wps:wsp>
                </a:graphicData>
              </a:graphic>
            </wp:anchor>
          </w:drawing>
        </mc:Choice>
        <mc:Fallback>
          <w:pict>
            <v:shape id="Textbox 306" o:spid="_x0000_s2090" type="#_x0000_t202" style="width:81.25pt;height:27.95pt;margin-top:14.25pt;margin-left:398.9pt;mso-position-horizontal-relative:page;mso-position-vertical-relative:page;mso-wrap-distance-bottom:0;mso-wrap-distance-left:0;mso-wrap-distance-right:0;mso-wrap-distance-top:0;mso-wrap-style:square;position:absolute;visibility:visible;v-text-anchor:top;z-index:-251601920" filled="f" stroked="f">
              <v:textbox inset="0,0,0,0">
                <w:txbxContent>
                  <w:p w:rsidR="003F5784" w14:paraId="2B081121" w14:textId="77777777">
                    <w:pPr>
                      <w:spacing w:before="14"/>
                      <w:ind w:left="88"/>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p w:rsidR="003F5784" w14:paraId="6F85DB87" w14:textId="77777777">
                    <w:pPr>
                      <w:pStyle w:val="BodyText"/>
                      <w:spacing w:before="99"/>
                      <w:ind w:left="20"/>
                    </w:pPr>
                    <w:r>
                      <w:t>Grade</w:t>
                    </w:r>
                    <w:r>
                      <w:rPr>
                        <w:spacing w:val="-7"/>
                      </w:rPr>
                      <w:t xml:space="preserve"> </w:t>
                    </w:r>
                    <w:r>
                      <w:rPr>
                        <w:spacing w:val="-10"/>
                      </w:rPr>
                      <w:t>4</w:t>
                    </w:r>
                  </w:p>
                </w:txbxContent>
              </v:textbox>
            </v:shape>
          </w:pict>
        </mc:Fallback>
      </mc:AlternateContent>
    </w:r>
    <w:r>
      <w:rPr>
        <w:noProof/>
      </w:rPr>
      <mc:AlternateContent>
        <mc:Choice Requires="wps">
          <w:drawing>
            <wp:anchor distT="0" distB="0" distL="0" distR="0" simplePos="0" relativeHeight="251715584" behindDoc="1" locked="0" layoutInCell="1" allowOverlap="1">
              <wp:simplePos x="0" y="0"/>
              <wp:positionH relativeFrom="page">
                <wp:posOffset>7853977</wp:posOffset>
              </wp:positionH>
              <wp:positionV relativeFrom="page">
                <wp:posOffset>363662</wp:posOffset>
              </wp:positionV>
              <wp:extent cx="448309" cy="172085"/>
              <wp:effectExtent l="0" t="0" r="0" b="0"/>
              <wp:wrapNone/>
              <wp:docPr id="307" name="Textbox 307"/>
              <wp:cNvGraphicFramePr/>
              <a:graphic xmlns:a="http://schemas.openxmlformats.org/drawingml/2006/main">
                <a:graphicData uri="http://schemas.microsoft.com/office/word/2010/wordprocessingShape">
                  <wps:wsp xmlns:wps="http://schemas.microsoft.com/office/word/2010/wordprocessingShape">
                    <wps:cNvSpPr txBox="1"/>
                    <wps:spPr>
                      <a:xfrm>
                        <a:off x="0" y="0"/>
                        <a:ext cx="448309" cy="172085"/>
                      </a:xfrm>
                      <a:prstGeom prst="rect">
                        <a:avLst/>
                      </a:prstGeom>
                    </wps:spPr>
                    <wps:txbx>
                      <w:txbxContent>
                        <w:p w:rsidR="003F5784" w14:textId="77777777">
                          <w:pPr>
                            <w:pStyle w:val="BodyText"/>
                            <w:spacing w:before="9"/>
                            <w:ind w:left="20"/>
                          </w:pPr>
                          <w:r>
                            <w:t>Grade</w:t>
                          </w:r>
                          <w:r>
                            <w:rPr>
                              <w:spacing w:val="-7"/>
                            </w:rPr>
                            <w:t xml:space="preserve"> </w:t>
                          </w:r>
                          <w:r>
                            <w:rPr>
                              <w:spacing w:val="-10"/>
                            </w:rPr>
                            <w:t>8</w:t>
                          </w:r>
                        </w:p>
                      </w:txbxContent>
                    </wps:txbx>
                    <wps:bodyPr wrap="square" lIns="0" tIns="0" rIns="0" bIns="0" rtlCol="0"/>
                  </wps:wsp>
                </a:graphicData>
              </a:graphic>
            </wp:anchor>
          </w:drawing>
        </mc:Choice>
        <mc:Fallback>
          <w:pict>
            <v:shape id="Textbox 307" o:spid="_x0000_s2091" type="#_x0000_t202" style="width:35.3pt;height:13.55pt;margin-top:28.65pt;margin-left:618.4pt;mso-position-horizontal-relative:page;mso-position-vertical-relative:page;mso-wrap-distance-bottom:0;mso-wrap-distance-left:0;mso-wrap-distance-right:0;mso-wrap-distance-top:0;mso-wrap-style:square;position:absolute;visibility:visible;v-text-anchor:top;z-index:-251599872" filled="f" stroked="f">
              <v:textbox inset="0,0,0,0">
                <w:txbxContent>
                  <w:p w:rsidR="003F5784" w14:paraId="2B59B427" w14:textId="77777777">
                    <w:pPr>
                      <w:pStyle w:val="BodyText"/>
                      <w:spacing w:before="9"/>
                      <w:ind w:left="20"/>
                    </w:pPr>
                    <w:r>
                      <w:t>Grade</w:t>
                    </w:r>
                    <w:r>
                      <w:rPr>
                        <w:spacing w:val="-7"/>
                      </w:rPr>
                      <w:t xml:space="preserve"> </w:t>
                    </w:r>
                    <w:r>
                      <w:rPr>
                        <w:spacing w:val="-10"/>
                      </w:rPr>
                      <w:t>8</w:t>
                    </w:r>
                  </w:p>
                </w:txbxContent>
              </v:textbox>
            </v:shape>
          </w:pict>
        </mc:Fallback>
      </mc:AlternateContent>
    </w:r>
    <w:r>
      <w:rPr>
        <w:noProof/>
      </w:rPr>
      <mc:AlternateContent>
        <mc:Choice Requires="wps">
          <w:drawing>
            <wp:anchor distT="0" distB="0" distL="0" distR="0" simplePos="0" relativeHeight="251717632" behindDoc="1" locked="0" layoutInCell="1" allowOverlap="1">
              <wp:simplePos x="0" y="0"/>
              <wp:positionH relativeFrom="page">
                <wp:posOffset>657394</wp:posOffset>
              </wp:positionH>
              <wp:positionV relativeFrom="page">
                <wp:posOffset>562281</wp:posOffset>
              </wp:positionV>
              <wp:extent cx="643890" cy="172085"/>
              <wp:effectExtent l="0" t="0" r="0" b="0"/>
              <wp:wrapNone/>
              <wp:docPr id="308" name="Textbox 308"/>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890" cy="172085"/>
                      </a:xfrm>
                      <a:prstGeom prst="rect">
                        <a:avLst/>
                      </a:prstGeom>
                    </wps:spPr>
                    <wps:txbx>
                      <w:txbxContent>
                        <w:p w:rsidR="003F5784" w14:textId="77777777">
                          <w:pPr>
                            <w:pStyle w:val="BodyText"/>
                            <w:spacing w:before="9"/>
                            <w:ind w:left="20"/>
                          </w:pPr>
                          <w:r>
                            <w:rPr>
                              <w:spacing w:val="-2"/>
                            </w:rPr>
                            <w:t>Jurisdiction</w:t>
                          </w:r>
                        </w:p>
                      </w:txbxContent>
                    </wps:txbx>
                    <wps:bodyPr wrap="square" lIns="0" tIns="0" rIns="0" bIns="0" rtlCol="0"/>
                  </wps:wsp>
                </a:graphicData>
              </a:graphic>
            </wp:anchor>
          </w:drawing>
        </mc:Choice>
        <mc:Fallback>
          <w:pict>
            <v:shape id="Textbox 308" o:spid="_x0000_s2092" type="#_x0000_t202" style="width:50.7pt;height:13.55pt;margin-top:44.25pt;margin-left:51.75pt;mso-position-horizontal-relative:page;mso-position-vertical-relative:page;mso-wrap-distance-bottom:0;mso-wrap-distance-left:0;mso-wrap-distance-right:0;mso-wrap-distance-top:0;mso-wrap-style:square;position:absolute;visibility:visible;v-text-anchor:top;z-index:-251597824" filled="f" stroked="f">
              <v:textbox inset="0,0,0,0">
                <w:txbxContent>
                  <w:p w:rsidR="003F5784" w14:paraId="46F21843" w14:textId="77777777">
                    <w:pPr>
                      <w:pStyle w:val="BodyText"/>
                      <w:spacing w:before="9"/>
                      <w:ind w:left="20"/>
                    </w:pPr>
                    <w:r>
                      <w:rPr>
                        <w:spacing w:val="-2"/>
                      </w:rPr>
                      <w:t>Jurisdiction</w:t>
                    </w:r>
                  </w:p>
                </w:txbxContent>
              </v:textbox>
            </v:shape>
          </w:pict>
        </mc:Fallback>
      </mc:AlternateContent>
    </w:r>
    <w:r>
      <w:rPr>
        <w:noProof/>
      </w:rPr>
      <mc:AlternateContent>
        <mc:Choice Requires="wps">
          <w:drawing>
            <wp:anchor distT="0" distB="0" distL="0" distR="0" simplePos="0" relativeHeight="251719680" behindDoc="1" locked="0" layoutInCell="1" allowOverlap="1">
              <wp:simplePos x="0" y="0"/>
              <wp:positionH relativeFrom="page">
                <wp:posOffset>4066894</wp:posOffset>
              </wp:positionH>
              <wp:positionV relativeFrom="page">
                <wp:posOffset>562281</wp:posOffset>
              </wp:positionV>
              <wp:extent cx="1082675" cy="172085"/>
              <wp:effectExtent l="0" t="0" r="0" b="0"/>
              <wp:wrapNone/>
              <wp:docPr id="309" name="Textbox 309"/>
              <wp:cNvGraphicFramePr/>
              <a:graphic xmlns:a="http://schemas.openxmlformats.org/drawingml/2006/main">
                <a:graphicData uri="http://schemas.microsoft.com/office/word/2010/wordprocessingShape">
                  <wps:wsp xmlns:wps="http://schemas.microsoft.com/office/word/2010/wordprocessingShape">
                    <wps:cNvSpPr txBox="1"/>
                    <wps:spPr>
                      <a:xfrm>
                        <a:off x="0" y="0"/>
                        <a:ext cx="1082675" cy="172085"/>
                      </a:xfrm>
                      <a:prstGeom prst="rect">
                        <a:avLst/>
                      </a:prstGeom>
                    </wps:spPr>
                    <wps:txbx>
                      <w:txbxContent>
                        <w:p w:rsidR="003F5784" w14:textId="77777777">
                          <w:pPr>
                            <w:pStyle w:val="BodyText"/>
                            <w:spacing w:before="9"/>
                            <w:ind w:left="20"/>
                          </w:pPr>
                          <w:r>
                            <w:rPr>
                              <w:spacing w:val="-2"/>
                            </w:rPr>
                            <w:t>Total</w:t>
                          </w:r>
                          <w:r>
                            <w:rPr>
                              <w:spacing w:val="-3"/>
                            </w:rPr>
                            <w:t xml:space="preserve"> </w:t>
                          </w:r>
                          <w:r>
                            <w:rPr>
                              <w:spacing w:val="-2"/>
                            </w:rPr>
                            <w:t>school sample</w:t>
                          </w:r>
                        </w:p>
                      </w:txbxContent>
                    </wps:txbx>
                    <wps:bodyPr wrap="square" lIns="0" tIns="0" rIns="0" bIns="0" rtlCol="0"/>
                  </wps:wsp>
                </a:graphicData>
              </a:graphic>
            </wp:anchor>
          </w:drawing>
        </mc:Choice>
        <mc:Fallback>
          <w:pict>
            <v:shape id="Textbox 309" o:spid="_x0000_s2093" type="#_x0000_t202" style="width:85.25pt;height:13.55pt;margin-top:44.25pt;margin-left:320.25pt;mso-position-horizontal-relative:page;mso-position-vertical-relative:page;mso-wrap-distance-bottom:0;mso-wrap-distance-left:0;mso-wrap-distance-right:0;mso-wrap-distance-top:0;mso-wrap-style:square;position:absolute;visibility:visible;v-text-anchor:top;z-index:-251595776" filled="f" stroked="f">
              <v:textbox inset="0,0,0,0">
                <w:txbxContent>
                  <w:p w:rsidR="003F5784" w14:paraId="2D744021" w14:textId="77777777">
                    <w:pPr>
                      <w:pStyle w:val="BodyText"/>
                      <w:spacing w:before="9"/>
                      <w:ind w:left="20"/>
                    </w:pPr>
                    <w:r>
                      <w:rPr>
                        <w:spacing w:val="-2"/>
                      </w:rPr>
                      <w:t>Total</w:t>
                    </w:r>
                    <w:r>
                      <w:rPr>
                        <w:spacing w:val="-3"/>
                      </w:rPr>
                      <w:t xml:space="preserve"> </w:t>
                    </w:r>
                    <w:r>
                      <w:rPr>
                        <w:spacing w:val="-2"/>
                      </w:rPr>
                      <w:t>school sample</w:t>
                    </w:r>
                  </w:p>
                </w:txbxContent>
              </v:textbox>
            </v:shape>
          </w:pict>
        </mc:Fallback>
      </mc:AlternateContent>
    </w:r>
    <w:r>
      <w:rPr>
        <w:noProof/>
      </w:rPr>
      <mc:AlternateContent>
        <mc:Choice Requires="wps">
          <w:drawing>
            <wp:anchor distT="0" distB="0" distL="0" distR="0" simplePos="0" relativeHeight="251721728" behindDoc="1" locked="0" layoutInCell="1" allowOverlap="1">
              <wp:simplePos x="0" y="0"/>
              <wp:positionH relativeFrom="page">
                <wp:posOffset>5390634</wp:posOffset>
              </wp:positionH>
              <wp:positionV relativeFrom="page">
                <wp:posOffset>562281</wp:posOffset>
              </wp:positionV>
              <wp:extent cx="1231900" cy="172085"/>
              <wp:effectExtent l="0" t="0" r="0" b="0"/>
              <wp:wrapNone/>
              <wp:docPr id="310" name="Textbox 31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31900" cy="172085"/>
                      </a:xfrm>
                      <a:prstGeom prst="rect">
                        <a:avLst/>
                      </a:prstGeom>
                    </wps:spPr>
                    <wps:txbx>
                      <w:txbxContent>
                        <w:p w:rsidR="003F5784" w14:textId="77777777">
                          <w:pPr>
                            <w:pStyle w:val="BodyText"/>
                            <w:spacing w:before="9"/>
                            <w:ind w:left="20"/>
                          </w:pPr>
                          <w:r>
                            <w:t>Eligible</w:t>
                          </w:r>
                          <w:r>
                            <w:rPr>
                              <w:spacing w:val="-8"/>
                            </w:rPr>
                            <w:t xml:space="preserve"> </w:t>
                          </w:r>
                          <w:r>
                            <w:t>school</w:t>
                          </w:r>
                          <w:r>
                            <w:rPr>
                              <w:spacing w:val="-7"/>
                            </w:rPr>
                            <w:t xml:space="preserve"> </w:t>
                          </w:r>
                          <w:r>
                            <w:rPr>
                              <w:spacing w:val="-2"/>
                            </w:rPr>
                            <w:t>sample</w:t>
                          </w:r>
                        </w:p>
                      </w:txbxContent>
                    </wps:txbx>
                    <wps:bodyPr wrap="square" lIns="0" tIns="0" rIns="0" bIns="0" rtlCol="0"/>
                  </wps:wsp>
                </a:graphicData>
              </a:graphic>
            </wp:anchor>
          </w:drawing>
        </mc:Choice>
        <mc:Fallback>
          <w:pict>
            <v:shape id="Textbox 310" o:spid="_x0000_s2094" type="#_x0000_t202" style="width:97pt;height:13.55pt;margin-top:44.25pt;margin-left:424.45pt;mso-position-horizontal-relative:page;mso-position-vertical-relative:page;mso-wrap-distance-bottom:0;mso-wrap-distance-left:0;mso-wrap-distance-right:0;mso-wrap-distance-top:0;mso-wrap-style:square;position:absolute;visibility:visible;v-text-anchor:top;z-index:-251593728" filled="f" stroked="f">
              <v:textbox inset="0,0,0,0">
                <w:txbxContent>
                  <w:p w:rsidR="003F5784" w14:paraId="568B29DC" w14:textId="77777777">
                    <w:pPr>
                      <w:pStyle w:val="BodyText"/>
                      <w:spacing w:before="9"/>
                      <w:ind w:left="20"/>
                    </w:pPr>
                    <w:r>
                      <w:t>Eligible</w:t>
                    </w:r>
                    <w:r>
                      <w:rPr>
                        <w:spacing w:val="-8"/>
                      </w:rPr>
                      <w:t xml:space="preserve"> </w:t>
                    </w:r>
                    <w:r>
                      <w:t>school</w:t>
                    </w:r>
                    <w:r>
                      <w:rPr>
                        <w:spacing w:val="-7"/>
                      </w:rPr>
                      <w:t xml:space="preserve"> </w:t>
                    </w:r>
                    <w:r>
                      <w:rPr>
                        <w:spacing w:val="-2"/>
                      </w:rPr>
                      <w:t>sample</w:t>
                    </w:r>
                  </w:p>
                </w:txbxContent>
              </v:textbox>
            </v:shape>
          </w:pict>
        </mc:Fallback>
      </mc:AlternateContent>
    </w:r>
    <w:r>
      <w:rPr>
        <w:noProof/>
      </w:rPr>
      <mc:AlternateContent>
        <mc:Choice Requires="wps">
          <w:drawing>
            <wp:anchor distT="0" distB="0" distL="0" distR="0" simplePos="0" relativeHeight="251723776" behindDoc="1" locked="0" layoutInCell="1" allowOverlap="1">
              <wp:simplePos x="0" y="0"/>
              <wp:positionH relativeFrom="page">
                <wp:posOffset>6854545</wp:posOffset>
              </wp:positionH>
              <wp:positionV relativeFrom="page">
                <wp:posOffset>562281</wp:posOffset>
              </wp:positionV>
              <wp:extent cx="1082675" cy="172085"/>
              <wp:effectExtent l="0" t="0" r="0" b="0"/>
              <wp:wrapNone/>
              <wp:docPr id="311" name="Textbox 311"/>
              <wp:cNvGraphicFramePr/>
              <a:graphic xmlns:a="http://schemas.openxmlformats.org/drawingml/2006/main">
                <a:graphicData uri="http://schemas.microsoft.com/office/word/2010/wordprocessingShape">
                  <wps:wsp xmlns:wps="http://schemas.microsoft.com/office/word/2010/wordprocessingShape">
                    <wps:cNvSpPr txBox="1"/>
                    <wps:spPr>
                      <a:xfrm>
                        <a:off x="0" y="0"/>
                        <a:ext cx="1082675" cy="172085"/>
                      </a:xfrm>
                      <a:prstGeom prst="rect">
                        <a:avLst/>
                      </a:prstGeom>
                    </wps:spPr>
                    <wps:txbx>
                      <w:txbxContent>
                        <w:p w:rsidR="003F5784" w14:textId="77777777">
                          <w:pPr>
                            <w:pStyle w:val="BodyText"/>
                            <w:spacing w:before="9"/>
                            <w:ind w:left="20"/>
                          </w:pPr>
                          <w:r>
                            <w:rPr>
                              <w:spacing w:val="-2"/>
                            </w:rPr>
                            <w:t>Total</w:t>
                          </w:r>
                          <w:r>
                            <w:rPr>
                              <w:spacing w:val="-3"/>
                            </w:rPr>
                            <w:t xml:space="preserve"> </w:t>
                          </w:r>
                          <w:r>
                            <w:rPr>
                              <w:spacing w:val="-2"/>
                            </w:rPr>
                            <w:t>school sample</w:t>
                          </w:r>
                        </w:p>
                      </w:txbxContent>
                    </wps:txbx>
                    <wps:bodyPr wrap="square" lIns="0" tIns="0" rIns="0" bIns="0" rtlCol="0"/>
                  </wps:wsp>
                </a:graphicData>
              </a:graphic>
            </wp:anchor>
          </w:drawing>
        </mc:Choice>
        <mc:Fallback>
          <w:pict>
            <v:shape id="Textbox 311" o:spid="_x0000_s2095" type="#_x0000_t202" style="width:85.25pt;height:13.55pt;margin-top:44.25pt;margin-left:539.75pt;mso-position-horizontal-relative:page;mso-position-vertical-relative:page;mso-wrap-distance-bottom:0;mso-wrap-distance-left:0;mso-wrap-distance-right:0;mso-wrap-distance-top:0;mso-wrap-style:square;position:absolute;visibility:visible;v-text-anchor:top;z-index:-251591680" filled="f" stroked="f">
              <v:textbox inset="0,0,0,0">
                <w:txbxContent>
                  <w:p w:rsidR="003F5784" w14:paraId="13A7371D" w14:textId="77777777">
                    <w:pPr>
                      <w:pStyle w:val="BodyText"/>
                      <w:spacing w:before="9"/>
                      <w:ind w:left="20"/>
                    </w:pPr>
                    <w:r>
                      <w:rPr>
                        <w:spacing w:val="-2"/>
                      </w:rPr>
                      <w:t>Total</w:t>
                    </w:r>
                    <w:r>
                      <w:rPr>
                        <w:spacing w:val="-3"/>
                      </w:rPr>
                      <w:t xml:space="preserve"> </w:t>
                    </w:r>
                    <w:r>
                      <w:rPr>
                        <w:spacing w:val="-2"/>
                      </w:rPr>
                      <w:t>school sample</w:t>
                    </w:r>
                  </w:p>
                </w:txbxContent>
              </v:textbox>
            </v:shape>
          </w:pict>
        </mc:Fallback>
      </mc:AlternateContent>
    </w:r>
    <w:r>
      <w:rPr>
        <w:noProof/>
      </w:rPr>
      <mc:AlternateContent>
        <mc:Choice Requires="wps">
          <w:drawing>
            <wp:anchor distT="0" distB="0" distL="0" distR="0" simplePos="0" relativeHeight="251725824" behindDoc="1" locked="0" layoutInCell="1" allowOverlap="1">
              <wp:simplePos x="0" y="0"/>
              <wp:positionH relativeFrom="page">
                <wp:posOffset>8178932</wp:posOffset>
              </wp:positionH>
              <wp:positionV relativeFrom="page">
                <wp:posOffset>562281</wp:posOffset>
              </wp:positionV>
              <wp:extent cx="1231900" cy="172085"/>
              <wp:effectExtent l="0" t="0" r="0" b="0"/>
              <wp:wrapNone/>
              <wp:docPr id="312" name="Textbox 3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31900" cy="172085"/>
                      </a:xfrm>
                      <a:prstGeom prst="rect">
                        <a:avLst/>
                      </a:prstGeom>
                    </wps:spPr>
                    <wps:txbx>
                      <w:txbxContent>
                        <w:p w:rsidR="003F5784" w14:textId="77777777">
                          <w:pPr>
                            <w:pStyle w:val="BodyText"/>
                            <w:spacing w:before="9"/>
                            <w:ind w:left="20"/>
                          </w:pPr>
                          <w:r>
                            <w:t>Eligible</w:t>
                          </w:r>
                          <w:r>
                            <w:rPr>
                              <w:spacing w:val="-8"/>
                            </w:rPr>
                            <w:t xml:space="preserve"> </w:t>
                          </w:r>
                          <w:r>
                            <w:t>school</w:t>
                          </w:r>
                          <w:r>
                            <w:rPr>
                              <w:spacing w:val="-7"/>
                            </w:rPr>
                            <w:t xml:space="preserve"> </w:t>
                          </w:r>
                          <w:r>
                            <w:rPr>
                              <w:spacing w:val="-2"/>
                            </w:rPr>
                            <w:t>sample</w:t>
                          </w:r>
                        </w:p>
                      </w:txbxContent>
                    </wps:txbx>
                    <wps:bodyPr wrap="square" lIns="0" tIns="0" rIns="0" bIns="0" rtlCol="0"/>
                  </wps:wsp>
                </a:graphicData>
              </a:graphic>
            </wp:anchor>
          </w:drawing>
        </mc:Choice>
        <mc:Fallback>
          <w:pict>
            <v:shape id="Textbox 312" o:spid="_x0000_s2096" type="#_x0000_t202" style="width:97pt;height:13.55pt;margin-top:44.25pt;margin-left:644pt;mso-position-horizontal-relative:page;mso-position-vertical-relative:page;mso-wrap-distance-bottom:0;mso-wrap-distance-left:0;mso-wrap-distance-right:0;mso-wrap-distance-top:0;mso-wrap-style:square;position:absolute;visibility:visible;v-text-anchor:top;z-index:-251589632" filled="f" stroked="f">
              <v:textbox inset="0,0,0,0">
                <w:txbxContent>
                  <w:p w:rsidR="003F5784" w14:paraId="62A6D2DD" w14:textId="77777777">
                    <w:pPr>
                      <w:pStyle w:val="BodyText"/>
                      <w:spacing w:before="9"/>
                      <w:ind w:left="20"/>
                    </w:pPr>
                    <w:r>
                      <w:t>Eligible</w:t>
                    </w:r>
                    <w:r>
                      <w:rPr>
                        <w:spacing w:val="-8"/>
                      </w:rPr>
                      <w:t xml:space="preserve"> </w:t>
                    </w:r>
                    <w:r>
                      <w:t>school</w:t>
                    </w:r>
                    <w:r>
                      <w:rPr>
                        <w:spacing w:val="-7"/>
                      </w:rPr>
                      <w:t xml:space="preserve"> </w:t>
                    </w:r>
                    <w:r>
                      <w:rPr>
                        <w:spacing w:val="-2"/>
                      </w:rPr>
                      <w:t>sample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7E8588E"/>
    <w:multiLevelType w:val="hybridMultilevel"/>
    <w:tmpl w:val="F07A184E"/>
    <w:lvl w:ilvl="0">
      <w:start w:val="20"/>
      <w:numFmt w:val="decimal"/>
      <w:lvlText w:val="%1"/>
      <w:lvlJc w:val="left"/>
      <w:pPr>
        <w:ind w:left="1609" w:hanging="1101"/>
        <w:jc w:val="left"/>
      </w:pPr>
      <w:rPr>
        <w:rFonts w:ascii="Times New Roman" w:eastAsia="Times New Roman" w:hAnsi="Times New Roman" w:cs="Times New Roman" w:hint="default"/>
        <w:b w:val="0"/>
        <w:bCs w:val="0"/>
        <w:i w:val="0"/>
        <w:iCs w:val="0"/>
        <w:spacing w:val="0"/>
        <w:w w:val="99"/>
        <w:sz w:val="21"/>
        <w:szCs w:val="21"/>
        <w:lang w:val="en-US" w:eastAsia="en-US" w:bidi="ar-SA"/>
      </w:rPr>
    </w:lvl>
    <w:lvl w:ilvl="1">
      <w:start w:val="0"/>
      <w:numFmt w:val="bullet"/>
      <w:lvlText w:val="•"/>
      <w:lvlJc w:val="left"/>
      <w:pPr>
        <w:ind w:left="1723" w:hanging="1101"/>
      </w:pPr>
      <w:rPr>
        <w:rFonts w:hint="default"/>
        <w:lang w:val="en-US" w:eastAsia="en-US" w:bidi="ar-SA"/>
      </w:rPr>
    </w:lvl>
    <w:lvl w:ilvl="2">
      <w:start w:val="0"/>
      <w:numFmt w:val="bullet"/>
      <w:lvlText w:val="•"/>
      <w:lvlJc w:val="left"/>
      <w:pPr>
        <w:ind w:left="1847" w:hanging="1101"/>
      </w:pPr>
      <w:rPr>
        <w:rFonts w:hint="default"/>
        <w:lang w:val="en-US" w:eastAsia="en-US" w:bidi="ar-SA"/>
      </w:rPr>
    </w:lvl>
    <w:lvl w:ilvl="3">
      <w:start w:val="0"/>
      <w:numFmt w:val="bullet"/>
      <w:lvlText w:val="•"/>
      <w:lvlJc w:val="left"/>
      <w:pPr>
        <w:ind w:left="1971" w:hanging="1101"/>
      </w:pPr>
      <w:rPr>
        <w:rFonts w:hint="default"/>
        <w:lang w:val="en-US" w:eastAsia="en-US" w:bidi="ar-SA"/>
      </w:rPr>
    </w:lvl>
    <w:lvl w:ilvl="4">
      <w:start w:val="0"/>
      <w:numFmt w:val="bullet"/>
      <w:lvlText w:val="•"/>
      <w:lvlJc w:val="left"/>
      <w:pPr>
        <w:ind w:left="2094" w:hanging="1101"/>
      </w:pPr>
      <w:rPr>
        <w:rFonts w:hint="default"/>
        <w:lang w:val="en-US" w:eastAsia="en-US" w:bidi="ar-SA"/>
      </w:rPr>
    </w:lvl>
    <w:lvl w:ilvl="5">
      <w:start w:val="0"/>
      <w:numFmt w:val="bullet"/>
      <w:lvlText w:val="•"/>
      <w:lvlJc w:val="left"/>
      <w:pPr>
        <w:ind w:left="2218" w:hanging="1101"/>
      </w:pPr>
      <w:rPr>
        <w:rFonts w:hint="default"/>
        <w:lang w:val="en-US" w:eastAsia="en-US" w:bidi="ar-SA"/>
      </w:rPr>
    </w:lvl>
    <w:lvl w:ilvl="6">
      <w:start w:val="0"/>
      <w:numFmt w:val="bullet"/>
      <w:lvlText w:val="•"/>
      <w:lvlJc w:val="left"/>
      <w:pPr>
        <w:ind w:left="2342" w:hanging="1101"/>
      </w:pPr>
      <w:rPr>
        <w:rFonts w:hint="default"/>
        <w:lang w:val="en-US" w:eastAsia="en-US" w:bidi="ar-SA"/>
      </w:rPr>
    </w:lvl>
    <w:lvl w:ilvl="7">
      <w:start w:val="0"/>
      <w:numFmt w:val="bullet"/>
      <w:lvlText w:val="•"/>
      <w:lvlJc w:val="left"/>
      <w:pPr>
        <w:ind w:left="2465" w:hanging="1101"/>
      </w:pPr>
      <w:rPr>
        <w:rFonts w:hint="default"/>
        <w:lang w:val="en-US" w:eastAsia="en-US" w:bidi="ar-SA"/>
      </w:rPr>
    </w:lvl>
    <w:lvl w:ilvl="8">
      <w:start w:val="0"/>
      <w:numFmt w:val="bullet"/>
      <w:lvlText w:val="•"/>
      <w:lvlJc w:val="left"/>
      <w:pPr>
        <w:ind w:left="2589" w:hanging="1101"/>
      </w:pPr>
      <w:rPr>
        <w:rFonts w:hint="default"/>
        <w:lang w:val="en-US" w:eastAsia="en-US" w:bidi="ar-SA"/>
      </w:rPr>
    </w:lvl>
  </w:abstractNum>
  <w:abstractNum w:abstractNumId="1">
    <w:nsid w:val="1C58049F"/>
    <w:multiLevelType w:val="hybridMultilevel"/>
    <w:tmpl w:val="06649936"/>
    <w:lvl w:ilvl="0">
      <w:start w:val="1"/>
      <w:numFmt w:val="decimal"/>
      <w:lvlText w:val="%1."/>
      <w:lvlJc w:val="left"/>
      <w:pPr>
        <w:ind w:left="631" w:hanging="209"/>
        <w:jc w:val="left"/>
      </w:pPr>
      <w:rPr>
        <w:rFonts w:ascii="Times New Roman" w:eastAsia="Times New Roman" w:hAnsi="Times New Roman" w:cs="Times New Roman" w:hint="default"/>
        <w:b w:val="0"/>
        <w:bCs w:val="0"/>
        <w:i w:val="0"/>
        <w:iCs w:val="0"/>
        <w:spacing w:val="0"/>
        <w:w w:val="99"/>
        <w:sz w:val="21"/>
        <w:szCs w:val="21"/>
        <w:lang w:val="en-US" w:eastAsia="en-US" w:bidi="ar-SA"/>
      </w:rPr>
    </w:lvl>
    <w:lvl w:ilvl="1">
      <w:start w:val="0"/>
      <w:numFmt w:val="bullet"/>
      <w:lvlText w:val="•"/>
      <w:lvlJc w:val="left"/>
      <w:pPr>
        <w:ind w:left="2070" w:hanging="209"/>
      </w:pPr>
      <w:rPr>
        <w:rFonts w:hint="default"/>
        <w:lang w:val="en-US" w:eastAsia="en-US" w:bidi="ar-SA"/>
      </w:rPr>
    </w:lvl>
    <w:lvl w:ilvl="2">
      <w:start w:val="0"/>
      <w:numFmt w:val="bullet"/>
      <w:lvlText w:val="•"/>
      <w:lvlJc w:val="left"/>
      <w:pPr>
        <w:ind w:left="3500" w:hanging="209"/>
      </w:pPr>
      <w:rPr>
        <w:rFonts w:hint="default"/>
        <w:lang w:val="en-US" w:eastAsia="en-US" w:bidi="ar-SA"/>
      </w:rPr>
    </w:lvl>
    <w:lvl w:ilvl="3">
      <w:start w:val="0"/>
      <w:numFmt w:val="bullet"/>
      <w:lvlText w:val="•"/>
      <w:lvlJc w:val="left"/>
      <w:pPr>
        <w:ind w:left="4930" w:hanging="209"/>
      </w:pPr>
      <w:rPr>
        <w:rFonts w:hint="default"/>
        <w:lang w:val="en-US" w:eastAsia="en-US" w:bidi="ar-SA"/>
      </w:rPr>
    </w:lvl>
    <w:lvl w:ilvl="4">
      <w:start w:val="0"/>
      <w:numFmt w:val="bullet"/>
      <w:lvlText w:val="•"/>
      <w:lvlJc w:val="left"/>
      <w:pPr>
        <w:ind w:left="6360" w:hanging="209"/>
      </w:pPr>
      <w:rPr>
        <w:rFonts w:hint="default"/>
        <w:lang w:val="en-US" w:eastAsia="en-US" w:bidi="ar-SA"/>
      </w:rPr>
    </w:lvl>
    <w:lvl w:ilvl="5">
      <w:start w:val="0"/>
      <w:numFmt w:val="bullet"/>
      <w:lvlText w:val="•"/>
      <w:lvlJc w:val="left"/>
      <w:pPr>
        <w:ind w:left="7790" w:hanging="209"/>
      </w:pPr>
      <w:rPr>
        <w:rFonts w:hint="default"/>
        <w:lang w:val="en-US" w:eastAsia="en-US" w:bidi="ar-SA"/>
      </w:rPr>
    </w:lvl>
    <w:lvl w:ilvl="6">
      <w:start w:val="0"/>
      <w:numFmt w:val="bullet"/>
      <w:lvlText w:val="•"/>
      <w:lvlJc w:val="left"/>
      <w:pPr>
        <w:ind w:left="9220" w:hanging="209"/>
      </w:pPr>
      <w:rPr>
        <w:rFonts w:hint="default"/>
        <w:lang w:val="en-US" w:eastAsia="en-US" w:bidi="ar-SA"/>
      </w:rPr>
    </w:lvl>
    <w:lvl w:ilvl="7">
      <w:start w:val="0"/>
      <w:numFmt w:val="bullet"/>
      <w:lvlText w:val="•"/>
      <w:lvlJc w:val="left"/>
      <w:pPr>
        <w:ind w:left="10650" w:hanging="209"/>
      </w:pPr>
      <w:rPr>
        <w:rFonts w:hint="default"/>
        <w:lang w:val="en-US" w:eastAsia="en-US" w:bidi="ar-SA"/>
      </w:rPr>
    </w:lvl>
    <w:lvl w:ilvl="8">
      <w:start w:val="0"/>
      <w:numFmt w:val="bullet"/>
      <w:lvlText w:val="•"/>
      <w:lvlJc w:val="left"/>
      <w:pPr>
        <w:ind w:left="12080" w:hanging="209"/>
      </w:pPr>
      <w:rPr>
        <w:rFonts w:hint="default"/>
        <w:lang w:val="en-US" w:eastAsia="en-US" w:bidi="ar-SA"/>
      </w:rPr>
    </w:lvl>
  </w:abstractNum>
  <w:abstractNum w:abstractNumId="2">
    <w:nsid w:val="1D8F2060"/>
    <w:multiLevelType w:val="hybridMultilevel"/>
    <w:tmpl w:val="66124CF8"/>
    <w:lvl w:ilvl="0">
      <w:start w:val="1"/>
      <w:numFmt w:val="decimal"/>
      <w:lvlText w:val="%1."/>
      <w:lvlJc w:val="left"/>
      <w:pPr>
        <w:ind w:left="631" w:hanging="209"/>
        <w:jc w:val="left"/>
      </w:pPr>
      <w:rPr>
        <w:rFonts w:ascii="Times New Roman" w:eastAsia="Times New Roman" w:hAnsi="Times New Roman" w:cs="Times New Roman" w:hint="default"/>
        <w:b w:val="0"/>
        <w:bCs w:val="0"/>
        <w:i w:val="0"/>
        <w:iCs w:val="0"/>
        <w:spacing w:val="0"/>
        <w:w w:val="99"/>
        <w:sz w:val="21"/>
        <w:szCs w:val="21"/>
        <w:lang w:val="en-US" w:eastAsia="en-US" w:bidi="ar-SA"/>
      </w:rPr>
    </w:lvl>
    <w:lvl w:ilvl="1">
      <w:start w:val="0"/>
      <w:numFmt w:val="bullet"/>
      <w:lvlText w:val="•"/>
      <w:lvlJc w:val="left"/>
      <w:pPr>
        <w:ind w:left="2070" w:hanging="209"/>
      </w:pPr>
      <w:rPr>
        <w:rFonts w:hint="default"/>
        <w:lang w:val="en-US" w:eastAsia="en-US" w:bidi="ar-SA"/>
      </w:rPr>
    </w:lvl>
    <w:lvl w:ilvl="2">
      <w:start w:val="0"/>
      <w:numFmt w:val="bullet"/>
      <w:lvlText w:val="•"/>
      <w:lvlJc w:val="left"/>
      <w:pPr>
        <w:ind w:left="3500" w:hanging="209"/>
      </w:pPr>
      <w:rPr>
        <w:rFonts w:hint="default"/>
        <w:lang w:val="en-US" w:eastAsia="en-US" w:bidi="ar-SA"/>
      </w:rPr>
    </w:lvl>
    <w:lvl w:ilvl="3">
      <w:start w:val="0"/>
      <w:numFmt w:val="bullet"/>
      <w:lvlText w:val="•"/>
      <w:lvlJc w:val="left"/>
      <w:pPr>
        <w:ind w:left="4930" w:hanging="209"/>
      </w:pPr>
      <w:rPr>
        <w:rFonts w:hint="default"/>
        <w:lang w:val="en-US" w:eastAsia="en-US" w:bidi="ar-SA"/>
      </w:rPr>
    </w:lvl>
    <w:lvl w:ilvl="4">
      <w:start w:val="0"/>
      <w:numFmt w:val="bullet"/>
      <w:lvlText w:val="•"/>
      <w:lvlJc w:val="left"/>
      <w:pPr>
        <w:ind w:left="6360" w:hanging="209"/>
      </w:pPr>
      <w:rPr>
        <w:rFonts w:hint="default"/>
        <w:lang w:val="en-US" w:eastAsia="en-US" w:bidi="ar-SA"/>
      </w:rPr>
    </w:lvl>
    <w:lvl w:ilvl="5">
      <w:start w:val="0"/>
      <w:numFmt w:val="bullet"/>
      <w:lvlText w:val="•"/>
      <w:lvlJc w:val="left"/>
      <w:pPr>
        <w:ind w:left="7790" w:hanging="209"/>
      </w:pPr>
      <w:rPr>
        <w:rFonts w:hint="default"/>
        <w:lang w:val="en-US" w:eastAsia="en-US" w:bidi="ar-SA"/>
      </w:rPr>
    </w:lvl>
    <w:lvl w:ilvl="6">
      <w:start w:val="0"/>
      <w:numFmt w:val="bullet"/>
      <w:lvlText w:val="•"/>
      <w:lvlJc w:val="left"/>
      <w:pPr>
        <w:ind w:left="9220" w:hanging="209"/>
      </w:pPr>
      <w:rPr>
        <w:rFonts w:hint="default"/>
        <w:lang w:val="en-US" w:eastAsia="en-US" w:bidi="ar-SA"/>
      </w:rPr>
    </w:lvl>
    <w:lvl w:ilvl="7">
      <w:start w:val="0"/>
      <w:numFmt w:val="bullet"/>
      <w:lvlText w:val="•"/>
      <w:lvlJc w:val="left"/>
      <w:pPr>
        <w:ind w:left="10650" w:hanging="209"/>
      </w:pPr>
      <w:rPr>
        <w:rFonts w:hint="default"/>
        <w:lang w:val="en-US" w:eastAsia="en-US" w:bidi="ar-SA"/>
      </w:rPr>
    </w:lvl>
    <w:lvl w:ilvl="8">
      <w:start w:val="0"/>
      <w:numFmt w:val="bullet"/>
      <w:lvlText w:val="•"/>
      <w:lvlJc w:val="left"/>
      <w:pPr>
        <w:ind w:left="12080" w:hanging="209"/>
      </w:pPr>
      <w:rPr>
        <w:rFonts w:hint="default"/>
        <w:lang w:val="en-US" w:eastAsia="en-US" w:bidi="ar-SA"/>
      </w:rPr>
    </w:lvl>
  </w:abstractNum>
  <w:abstractNum w:abstractNumId="3">
    <w:nsid w:val="26140975"/>
    <w:multiLevelType w:val="hybridMultilevel"/>
    <w:tmpl w:val="19C2A16A"/>
    <w:lvl w:ilvl="0">
      <w:start w:val="1"/>
      <w:numFmt w:val="decimal"/>
      <w:lvlText w:val="%1."/>
      <w:lvlJc w:val="left"/>
      <w:pPr>
        <w:ind w:left="631" w:hanging="209"/>
        <w:jc w:val="left"/>
      </w:pPr>
      <w:rPr>
        <w:rFonts w:ascii="Times New Roman" w:eastAsia="Times New Roman" w:hAnsi="Times New Roman" w:cs="Times New Roman" w:hint="default"/>
        <w:b w:val="0"/>
        <w:bCs w:val="0"/>
        <w:i w:val="0"/>
        <w:iCs w:val="0"/>
        <w:spacing w:val="0"/>
        <w:w w:val="99"/>
        <w:sz w:val="21"/>
        <w:szCs w:val="21"/>
        <w:lang w:val="en-US" w:eastAsia="en-US" w:bidi="ar-SA"/>
      </w:rPr>
    </w:lvl>
    <w:lvl w:ilvl="1">
      <w:start w:val="0"/>
      <w:numFmt w:val="bullet"/>
      <w:lvlText w:val="•"/>
      <w:lvlJc w:val="left"/>
      <w:pPr>
        <w:ind w:left="2070" w:hanging="209"/>
      </w:pPr>
      <w:rPr>
        <w:rFonts w:hint="default"/>
        <w:lang w:val="en-US" w:eastAsia="en-US" w:bidi="ar-SA"/>
      </w:rPr>
    </w:lvl>
    <w:lvl w:ilvl="2">
      <w:start w:val="0"/>
      <w:numFmt w:val="bullet"/>
      <w:lvlText w:val="•"/>
      <w:lvlJc w:val="left"/>
      <w:pPr>
        <w:ind w:left="3500" w:hanging="209"/>
      </w:pPr>
      <w:rPr>
        <w:rFonts w:hint="default"/>
        <w:lang w:val="en-US" w:eastAsia="en-US" w:bidi="ar-SA"/>
      </w:rPr>
    </w:lvl>
    <w:lvl w:ilvl="3">
      <w:start w:val="0"/>
      <w:numFmt w:val="bullet"/>
      <w:lvlText w:val="•"/>
      <w:lvlJc w:val="left"/>
      <w:pPr>
        <w:ind w:left="4930" w:hanging="209"/>
      </w:pPr>
      <w:rPr>
        <w:rFonts w:hint="default"/>
        <w:lang w:val="en-US" w:eastAsia="en-US" w:bidi="ar-SA"/>
      </w:rPr>
    </w:lvl>
    <w:lvl w:ilvl="4">
      <w:start w:val="0"/>
      <w:numFmt w:val="bullet"/>
      <w:lvlText w:val="•"/>
      <w:lvlJc w:val="left"/>
      <w:pPr>
        <w:ind w:left="6360" w:hanging="209"/>
      </w:pPr>
      <w:rPr>
        <w:rFonts w:hint="default"/>
        <w:lang w:val="en-US" w:eastAsia="en-US" w:bidi="ar-SA"/>
      </w:rPr>
    </w:lvl>
    <w:lvl w:ilvl="5">
      <w:start w:val="0"/>
      <w:numFmt w:val="bullet"/>
      <w:lvlText w:val="•"/>
      <w:lvlJc w:val="left"/>
      <w:pPr>
        <w:ind w:left="7790" w:hanging="209"/>
      </w:pPr>
      <w:rPr>
        <w:rFonts w:hint="default"/>
        <w:lang w:val="en-US" w:eastAsia="en-US" w:bidi="ar-SA"/>
      </w:rPr>
    </w:lvl>
    <w:lvl w:ilvl="6">
      <w:start w:val="0"/>
      <w:numFmt w:val="bullet"/>
      <w:lvlText w:val="•"/>
      <w:lvlJc w:val="left"/>
      <w:pPr>
        <w:ind w:left="9220" w:hanging="209"/>
      </w:pPr>
      <w:rPr>
        <w:rFonts w:hint="default"/>
        <w:lang w:val="en-US" w:eastAsia="en-US" w:bidi="ar-SA"/>
      </w:rPr>
    </w:lvl>
    <w:lvl w:ilvl="7">
      <w:start w:val="0"/>
      <w:numFmt w:val="bullet"/>
      <w:lvlText w:val="•"/>
      <w:lvlJc w:val="left"/>
      <w:pPr>
        <w:ind w:left="10650" w:hanging="209"/>
      </w:pPr>
      <w:rPr>
        <w:rFonts w:hint="default"/>
        <w:lang w:val="en-US" w:eastAsia="en-US" w:bidi="ar-SA"/>
      </w:rPr>
    </w:lvl>
    <w:lvl w:ilvl="8">
      <w:start w:val="0"/>
      <w:numFmt w:val="bullet"/>
      <w:lvlText w:val="•"/>
      <w:lvlJc w:val="left"/>
      <w:pPr>
        <w:ind w:left="12080" w:hanging="209"/>
      </w:pPr>
      <w:rPr>
        <w:rFonts w:hint="default"/>
        <w:lang w:val="en-US" w:eastAsia="en-US" w:bidi="ar-SA"/>
      </w:rPr>
    </w:lvl>
  </w:abstractNum>
  <w:abstractNum w:abstractNumId="4">
    <w:nsid w:val="3046288B"/>
    <w:multiLevelType w:val="hybridMultilevel"/>
    <w:tmpl w:val="4386F79E"/>
    <w:lvl w:ilvl="0">
      <w:start w:val="1"/>
      <w:numFmt w:val="decimal"/>
      <w:lvlText w:val="%1."/>
      <w:lvlJc w:val="left"/>
      <w:pPr>
        <w:ind w:left="631" w:hanging="209"/>
        <w:jc w:val="left"/>
      </w:pPr>
      <w:rPr>
        <w:rFonts w:ascii="Times New Roman" w:eastAsia="Times New Roman" w:hAnsi="Times New Roman" w:cs="Times New Roman" w:hint="default"/>
        <w:b w:val="0"/>
        <w:bCs w:val="0"/>
        <w:i w:val="0"/>
        <w:iCs w:val="0"/>
        <w:spacing w:val="0"/>
        <w:w w:val="99"/>
        <w:sz w:val="21"/>
        <w:szCs w:val="21"/>
        <w:lang w:val="en-US" w:eastAsia="en-US" w:bidi="ar-SA"/>
      </w:rPr>
    </w:lvl>
    <w:lvl w:ilvl="1">
      <w:start w:val="0"/>
      <w:numFmt w:val="bullet"/>
      <w:lvlText w:val="•"/>
      <w:lvlJc w:val="left"/>
      <w:pPr>
        <w:ind w:left="2070" w:hanging="209"/>
      </w:pPr>
      <w:rPr>
        <w:rFonts w:hint="default"/>
        <w:lang w:val="en-US" w:eastAsia="en-US" w:bidi="ar-SA"/>
      </w:rPr>
    </w:lvl>
    <w:lvl w:ilvl="2">
      <w:start w:val="0"/>
      <w:numFmt w:val="bullet"/>
      <w:lvlText w:val="•"/>
      <w:lvlJc w:val="left"/>
      <w:pPr>
        <w:ind w:left="3500" w:hanging="209"/>
      </w:pPr>
      <w:rPr>
        <w:rFonts w:hint="default"/>
        <w:lang w:val="en-US" w:eastAsia="en-US" w:bidi="ar-SA"/>
      </w:rPr>
    </w:lvl>
    <w:lvl w:ilvl="3">
      <w:start w:val="0"/>
      <w:numFmt w:val="bullet"/>
      <w:lvlText w:val="•"/>
      <w:lvlJc w:val="left"/>
      <w:pPr>
        <w:ind w:left="4930" w:hanging="209"/>
      </w:pPr>
      <w:rPr>
        <w:rFonts w:hint="default"/>
        <w:lang w:val="en-US" w:eastAsia="en-US" w:bidi="ar-SA"/>
      </w:rPr>
    </w:lvl>
    <w:lvl w:ilvl="4">
      <w:start w:val="0"/>
      <w:numFmt w:val="bullet"/>
      <w:lvlText w:val="•"/>
      <w:lvlJc w:val="left"/>
      <w:pPr>
        <w:ind w:left="6360" w:hanging="209"/>
      </w:pPr>
      <w:rPr>
        <w:rFonts w:hint="default"/>
        <w:lang w:val="en-US" w:eastAsia="en-US" w:bidi="ar-SA"/>
      </w:rPr>
    </w:lvl>
    <w:lvl w:ilvl="5">
      <w:start w:val="0"/>
      <w:numFmt w:val="bullet"/>
      <w:lvlText w:val="•"/>
      <w:lvlJc w:val="left"/>
      <w:pPr>
        <w:ind w:left="7790" w:hanging="209"/>
      </w:pPr>
      <w:rPr>
        <w:rFonts w:hint="default"/>
        <w:lang w:val="en-US" w:eastAsia="en-US" w:bidi="ar-SA"/>
      </w:rPr>
    </w:lvl>
    <w:lvl w:ilvl="6">
      <w:start w:val="0"/>
      <w:numFmt w:val="bullet"/>
      <w:lvlText w:val="•"/>
      <w:lvlJc w:val="left"/>
      <w:pPr>
        <w:ind w:left="9220" w:hanging="209"/>
      </w:pPr>
      <w:rPr>
        <w:rFonts w:hint="default"/>
        <w:lang w:val="en-US" w:eastAsia="en-US" w:bidi="ar-SA"/>
      </w:rPr>
    </w:lvl>
    <w:lvl w:ilvl="7">
      <w:start w:val="0"/>
      <w:numFmt w:val="bullet"/>
      <w:lvlText w:val="•"/>
      <w:lvlJc w:val="left"/>
      <w:pPr>
        <w:ind w:left="10650" w:hanging="209"/>
      </w:pPr>
      <w:rPr>
        <w:rFonts w:hint="default"/>
        <w:lang w:val="en-US" w:eastAsia="en-US" w:bidi="ar-SA"/>
      </w:rPr>
    </w:lvl>
    <w:lvl w:ilvl="8">
      <w:start w:val="0"/>
      <w:numFmt w:val="bullet"/>
      <w:lvlText w:val="•"/>
      <w:lvlJc w:val="left"/>
      <w:pPr>
        <w:ind w:left="12080" w:hanging="209"/>
      </w:pPr>
      <w:rPr>
        <w:rFonts w:hint="default"/>
        <w:lang w:val="en-US" w:eastAsia="en-US" w:bidi="ar-SA"/>
      </w:rPr>
    </w:lvl>
  </w:abstractNum>
  <w:abstractNum w:abstractNumId="5">
    <w:nsid w:val="4E460710"/>
    <w:multiLevelType w:val="hybridMultilevel"/>
    <w:tmpl w:val="20281694"/>
    <w:lvl w:ilvl="0">
      <w:start w:val="1"/>
      <w:numFmt w:val="decimal"/>
      <w:lvlText w:val="%1."/>
      <w:lvlJc w:val="left"/>
      <w:pPr>
        <w:ind w:left="631" w:hanging="209"/>
        <w:jc w:val="left"/>
      </w:pPr>
      <w:rPr>
        <w:rFonts w:ascii="Times New Roman" w:eastAsia="Times New Roman" w:hAnsi="Times New Roman" w:cs="Times New Roman" w:hint="default"/>
        <w:b w:val="0"/>
        <w:bCs w:val="0"/>
        <w:i w:val="0"/>
        <w:iCs w:val="0"/>
        <w:spacing w:val="0"/>
        <w:w w:val="99"/>
        <w:sz w:val="21"/>
        <w:szCs w:val="21"/>
        <w:lang w:val="en-US" w:eastAsia="en-US" w:bidi="ar-SA"/>
      </w:rPr>
    </w:lvl>
    <w:lvl w:ilvl="1">
      <w:start w:val="0"/>
      <w:numFmt w:val="bullet"/>
      <w:lvlText w:val="•"/>
      <w:lvlJc w:val="left"/>
      <w:pPr>
        <w:ind w:left="2070" w:hanging="209"/>
      </w:pPr>
      <w:rPr>
        <w:rFonts w:hint="default"/>
        <w:lang w:val="en-US" w:eastAsia="en-US" w:bidi="ar-SA"/>
      </w:rPr>
    </w:lvl>
    <w:lvl w:ilvl="2">
      <w:start w:val="0"/>
      <w:numFmt w:val="bullet"/>
      <w:lvlText w:val="•"/>
      <w:lvlJc w:val="left"/>
      <w:pPr>
        <w:ind w:left="3500" w:hanging="209"/>
      </w:pPr>
      <w:rPr>
        <w:rFonts w:hint="default"/>
        <w:lang w:val="en-US" w:eastAsia="en-US" w:bidi="ar-SA"/>
      </w:rPr>
    </w:lvl>
    <w:lvl w:ilvl="3">
      <w:start w:val="0"/>
      <w:numFmt w:val="bullet"/>
      <w:lvlText w:val="•"/>
      <w:lvlJc w:val="left"/>
      <w:pPr>
        <w:ind w:left="4930" w:hanging="209"/>
      </w:pPr>
      <w:rPr>
        <w:rFonts w:hint="default"/>
        <w:lang w:val="en-US" w:eastAsia="en-US" w:bidi="ar-SA"/>
      </w:rPr>
    </w:lvl>
    <w:lvl w:ilvl="4">
      <w:start w:val="0"/>
      <w:numFmt w:val="bullet"/>
      <w:lvlText w:val="•"/>
      <w:lvlJc w:val="left"/>
      <w:pPr>
        <w:ind w:left="6360" w:hanging="209"/>
      </w:pPr>
      <w:rPr>
        <w:rFonts w:hint="default"/>
        <w:lang w:val="en-US" w:eastAsia="en-US" w:bidi="ar-SA"/>
      </w:rPr>
    </w:lvl>
    <w:lvl w:ilvl="5">
      <w:start w:val="0"/>
      <w:numFmt w:val="bullet"/>
      <w:lvlText w:val="•"/>
      <w:lvlJc w:val="left"/>
      <w:pPr>
        <w:ind w:left="7790" w:hanging="209"/>
      </w:pPr>
      <w:rPr>
        <w:rFonts w:hint="default"/>
        <w:lang w:val="en-US" w:eastAsia="en-US" w:bidi="ar-SA"/>
      </w:rPr>
    </w:lvl>
    <w:lvl w:ilvl="6">
      <w:start w:val="0"/>
      <w:numFmt w:val="bullet"/>
      <w:lvlText w:val="•"/>
      <w:lvlJc w:val="left"/>
      <w:pPr>
        <w:ind w:left="9220" w:hanging="209"/>
      </w:pPr>
      <w:rPr>
        <w:rFonts w:hint="default"/>
        <w:lang w:val="en-US" w:eastAsia="en-US" w:bidi="ar-SA"/>
      </w:rPr>
    </w:lvl>
    <w:lvl w:ilvl="7">
      <w:start w:val="0"/>
      <w:numFmt w:val="bullet"/>
      <w:lvlText w:val="•"/>
      <w:lvlJc w:val="left"/>
      <w:pPr>
        <w:ind w:left="10650" w:hanging="209"/>
      </w:pPr>
      <w:rPr>
        <w:rFonts w:hint="default"/>
        <w:lang w:val="en-US" w:eastAsia="en-US" w:bidi="ar-SA"/>
      </w:rPr>
    </w:lvl>
    <w:lvl w:ilvl="8">
      <w:start w:val="0"/>
      <w:numFmt w:val="bullet"/>
      <w:lvlText w:val="•"/>
      <w:lvlJc w:val="left"/>
      <w:pPr>
        <w:ind w:left="12080" w:hanging="209"/>
      </w:pPr>
      <w:rPr>
        <w:rFonts w:hint="default"/>
        <w:lang w:val="en-US" w:eastAsia="en-US" w:bidi="ar-SA"/>
      </w:rPr>
    </w:lvl>
  </w:abstractNum>
  <w:num w:numId="1" w16cid:durableId="1636526236">
    <w:abstractNumId w:val="1"/>
  </w:num>
  <w:num w:numId="2" w16cid:durableId="1672296156">
    <w:abstractNumId w:val="3"/>
  </w:num>
  <w:num w:numId="3" w16cid:durableId="566915469">
    <w:abstractNumId w:val="4"/>
  </w:num>
  <w:num w:numId="4" w16cid:durableId="1343359842">
    <w:abstractNumId w:val="2"/>
  </w:num>
  <w:num w:numId="5" w16cid:durableId="762799508">
    <w:abstractNumId w:val="5"/>
  </w:num>
  <w:num w:numId="6" w16cid:durableId="1462840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784"/>
    <w:rsid w:val="00011A3C"/>
    <w:rsid w:val="00040E74"/>
    <w:rsid w:val="00047860"/>
    <w:rsid w:val="001057CE"/>
    <w:rsid w:val="001149B0"/>
    <w:rsid w:val="00166ABA"/>
    <w:rsid w:val="001E707A"/>
    <w:rsid w:val="00230EEC"/>
    <w:rsid w:val="00270548"/>
    <w:rsid w:val="002A6430"/>
    <w:rsid w:val="002B00E3"/>
    <w:rsid w:val="003213D5"/>
    <w:rsid w:val="00324096"/>
    <w:rsid w:val="003447F4"/>
    <w:rsid w:val="003F5784"/>
    <w:rsid w:val="003F61B6"/>
    <w:rsid w:val="0043366D"/>
    <w:rsid w:val="004833F9"/>
    <w:rsid w:val="004C039D"/>
    <w:rsid w:val="004F31B0"/>
    <w:rsid w:val="005112A4"/>
    <w:rsid w:val="005F7E54"/>
    <w:rsid w:val="00696760"/>
    <w:rsid w:val="006A0A08"/>
    <w:rsid w:val="007073E7"/>
    <w:rsid w:val="00752A06"/>
    <w:rsid w:val="00776092"/>
    <w:rsid w:val="007C5BC2"/>
    <w:rsid w:val="007F3725"/>
    <w:rsid w:val="008552E7"/>
    <w:rsid w:val="0086381A"/>
    <w:rsid w:val="00886D27"/>
    <w:rsid w:val="008C4D83"/>
    <w:rsid w:val="008F0E55"/>
    <w:rsid w:val="00933145"/>
    <w:rsid w:val="0099562F"/>
    <w:rsid w:val="00A35A43"/>
    <w:rsid w:val="00A550C9"/>
    <w:rsid w:val="00A64A77"/>
    <w:rsid w:val="00B145F2"/>
    <w:rsid w:val="00B35A57"/>
    <w:rsid w:val="00B4162D"/>
    <w:rsid w:val="00B45CF5"/>
    <w:rsid w:val="00B545AF"/>
    <w:rsid w:val="00B9491C"/>
    <w:rsid w:val="00BA393D"/>
    <w:rsid w:val="00BC5702"/>
    <w:rsid w:val="00BD1119"/>
    <w:rsid w:val="00C04193"/>
    <w:rsid w:val="00C94150"/>
    <w:rsid w:val="00CF00D7"/>
    <w:rsid w:val="00D02924"/>
    <w:rsid w:val="00DA3581"/>
    <w:rsid w:val="00E25804"/>
    <w:rsid w:val="00E3225D"/>
    <w:rsid w:val="00E417CF"/>
    <w:rsid w:val="00E666D0"/>
    <w:rsid w:val="00E97F09"/>
    <w:rsid w:val="00EC0764"/>
    <w:rsid w:val="00ED308D"/>
    <w:rsid w:val="00ED683B"/>
    <w:rsid w:val="00F31C3E"/>
    <w:rsid w:val="00F3629E"/>
    <w:rsid w:val="00F6332C"/>
    <w:rsid w:val="00FB729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306875C"/>
  <w15:docId w15:val="{9BE81E41-37F9-4710-8D8A-3A91C1732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9"/>
      <w:outlineLvl w:val="0"/>
    </w:pPr>
    <w:rPr>
      <w:b/>
      <w:bCs/>
      <w:sz w:val="41"/>
      <w:szCs w:val="41"/>
    </w:rPr>
  </w:style>
  <w:style w:type="paragraph" w:styleId="Heading2">
    <w:name w:val="heading 2"/>
    <w:basedOn w:val="Normal"/>
    <w:uiPriority w:val="9"/>
    <w:unhideWhenUsed/>
    <w:qFormat/>
    <w:pPr>
      <w:ind w:left="477"/>
      <w:outlineLvl w:val="1"/>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spacing w:line="235" w:lineRule="exact"/>
      <w:ind w:left="629" w:hanging="207"/>
    </w:pPr>
  </w:style>
  <w:style w:type="paragraph" w:customStyle="1" w:styleId="TableParagraph">
    <w:name w:val="Table Paragraph"/>
    <w:basedOn w:val="Normal"/>
    <w:uiPriority w:val="1"/>
    <w:qFormat/>
    <w:pPr>
      <w:spacing w:before="17"/>
      <w:jc w:val="right"/>
    </w:pPr>
  </w:style>
  <w:style w:type="character" w:styleId="CommentReference">
    <w:name w:val="annotation reference"/>
    <w:basedOn w:val="DefaultParagraphFont"/>
    <w:uiPriority w:val="99"/>
    <w:semiHidden/>
    <w:unhideWhenUsed/>
    <w:rsid w:val="00C04193"/>
    <w:rPr>
      <w:sz w:val="16"/>
      <w:szCs w:val="16"/>
    </w:rPr>
  </w:style>
  <w:style w:type="paragraph" w:styleId="CommentText">
    <w:name w:val="annotation text"/>
    <w:basedOn w:val="Normal"/>
    <w:link w:val="CommentTextChar"/>
    <w:uiPriority w:val="99"/>
    <w:unhideWhenUsed/>
    <w:rsid w:val="00C04193"/>
    <w:rPr>
      <w:sz w:val="20"/>
      <w:szCs w:val="20"/>
    </w:rPr>
  </w:style>
  <w:style w:type="character" w:customStyle="1" w:styleId="CommentTextChar">
    <w:name w:val="Comment Text Char"/>
    <w:basedOn w:val="DefaultParagraphFont"/>
    <w:link w:val="CommentText"/>
    <w:uiPriority w:val="99"/>
    <w:rsid w:val="00C0419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04193"/>
    <w:rPr>
      <w:b/>
      <w:bCs/>
    </w:rPr>
  </w:style>
  <w:style w:type="character" w:customStyle="1" w:styleId="CommentSubjectChar">
    <w:name w:val="Comment Subject Char"/>
    <w:basedOn w:val="CommentTextChar"/>
    <w:link w:val="CommentSubject"/>
    <w:uiPriority w:val="99"/>
    <w:semiHidden/>
    <w:rsid w:val="00C04193"/>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776092"/>
    <w:pPr>
      <w:tabs>
        <w:tab w:val="center" w:pos="4680"/>
        <w:tab w:val="right" w:pos="9360"/>
      </w:tabs>
    </w:pPr>
  </w:style>
  <w:style w:type="character" w:customStyle="1" w:styleId="HeaderChar">
    <w:name w:val="Header Char"/>
    <w:basedOn w:val="DefaultParagraphFont"/>
    <w:link w:val="Header"/>
    <w:uiPriority w:val="99"/>
    <w:rsid w:val="00776092"/>
    <w:rPr>
      <w:rFonts w:ascii="Times New Roman" w:eastAsia="Times New Roman" w:hAnsi="Times New Roman" w:cs="Times New Roman"/>
    </w:rPr>
  </w:style>
  <w:style w:type="paragraph" w:styleId="Footer">
    <w:name w:val="footer"/>
    <w:basedOn w:val="Normal"/>
    <w:link w:val="FooterChar"/>
    <w:uiPriority w:val="99"/>
    <w:unhideWhenUsed/>
    <w:rsid w:val="00776092"/>
    <w:pPr>
      <w:tabs>
        <w:tab w:val="center" w:pos="4680"/>
        <w:tab w:val="right" w:pos="9360"/>
      </w:tabs>
    </w:pPr>
  </w:style>
  <w:style w:type="character" w:customStyle="1" w:styleId="FooterChar">
    <w:name w:val="Footer Char"/>
    <w:basedOn w:val="DefaultParagraphFont"/>
    <w:link w:val="Footer"/>
    <w:uiPriority w:val="99"/>
    <w:rsid w:val="00776092"/>
    <w:rPr>
      <w:rFonts w:ascii="Times New Roman" w:eastAsia="Times New Roman" w:hAnsi="Times New Roman" w:cs="Times New Roman"/>
    </w:rPr>
  </w:style>
  <w:style w:type="paragraph" w:customStyle="1" w:styleId="paragraph">
    <w:name w:val="paragraph"/>
    <w:basedOn w:val="Normal"/>
    <w:rsid w:val="00933145"/>
    <w:pPr>
      <w:widowControl/>
      <w:autoSpaceDE/>
      <w:autoSpaceDN/>
      <w:spacing w:before="100" w:beforeAutospacing="1" w:after="100" w:afterAutospacing="1"/>
    </w:pPr>
    <w:rPr>
      <w:sz w:val="24"/>
      <w:szCs w:val="24"/>
    </w:rPr>
  </w:style>
  <w:style w:type="character" w:customStyle="1" w:styleId="eop">
    <w:name w:val="eop"/>
    <w:basedOn w:val="DefaultParagraphFont"/>
    <w:rsid w:val="00933145"/>
  </w:style>
  <w:style w:type="character" w:customStyle="1" w:styleId="normaltextrun">
    <w:name w:val="normaltextrun"/>
    <w:basedOn w:val="DefaultParagraphFont"/>
    <w:rsid w:val="00933145"/>
  </w:style>
  <w:style w:type="character" w:customStyle="1" w:styleId="wacimagecontainer">
    <w:name w:val="wacimagecontainer"/>
    <w:basedOn w:val="DefaultParagraphFont"/>
    <w:rsid w:val="009331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00" Type="http://schemas.openxmlformats.org/officeDocument/2006/relationships/hyperlink" Target="http://nces.ed.gov/nationsreportcard/tdw/sample_design/2022/school_sample_selection_for_the_2022_fourth_and_eighth_grade_private_school_national_assessment.aspx" TargetMode="External" /><Relationship Id="rId101" Type="http://schemas.openxmlformats.org/officeDocument/2006/relationships/image" Target="media/image43.png" /><Relationship Id="rId102" Type="http://schemas.openxmlformats.org/officeDocument/2006/relationships/image" Target="media/image44.png" /><Relationship Id="rId103" Type="http://schemas.openxmlformats.org/officeDocument/2006/relationships/image" Target="media/image45.png" /><Relationship Id="rId104" Type="http://schemas.openxmlformats.org/officeDocument/2006/relationships/image" Target="media/image46.png" /><Relationship Id="rId105" Type="http://schemas.openxmlformats.org/officeDocument/2006/relationships/image" Target="media/image47.png" /><Relationship Id="rId106" Type="http://schemas.openxmlformats.org/officeDocument/2006/relationships/hyperlink" Target="http://nces.ed.gov/nationsreportcard/tdw/sample_design/2022/computation_of_measures_of_size_for_the_2022_fourth_and_eighth_grade_private_school_national_assessment.aspx" TargetMode="External" /><Relationship Id="rId107" Type="http://schemas.openxmlformats.org/officeDocument/2006/relationships/hyperlink" Target="http://nces.ed.gov/nationsreportcard/tdw/sample_design/2022/school_sample_sizes_list_frame_based_and_new_school_for_the_2022_private_school_national_assessment.aspx" TargetMode="External" /><Relationship Id="rId108" Type="http://schemas.openxmlformats.org/officeDocument/2006/relationships/hyperlink" Target="http://nces.ed.gov/nationsreportcard/tdw/sample_design/2022/stratification_of_schools_for_the_2022_fourth_and_eighth_grade_private_school_national_assessment.aspx" TargetMode="External" /><Relationship Id="rId109" Type="http://schemas.openxmlformats.org/officeDocument/2006/relationships/hyperlink" Target="http://nces.ed.gov/nationsreportcard/tdw/sample_design/2022/student_sample_selection_for_the_2022_fourth_and_eighth_grade_private_school_national_assessment.aspx" TargetMode="External" /><Relationship Id="rId11" Type="http://schemas.openxmlformats.org/officeDocument/2006/relationships/image" Target="media/image3.png" /><Relationship Id="rId110" Type="http://schemas.openxmlformats.org/officeDocument/2006/relationships/hyperlink" Target="http://nces.ed.gov/nationsreportcard/tdw/sample_design/2022/substitute_schools_for_the_2022_fourth_and_eighth_grade_private_school_national_assessment.aspx" TargetMode="External" /><Relationship Id="rId111" Type="http://schemas.openxmlformats.org/officeDocument/2006/relationships/hyperlink" Target="http://nces.ed.gov/nationsreportcard/tdw/sample_design/2022/target_population_for_the_2022_fourth_and_eighth_grade_private_school_national_assessment.aspx" TargetMode="External" /><Relationship Id="rId112" Type="http://schemas.openxmlformats.org/officeDocument/2006/relationships/hyperlink" Target="http://nces.ed.gov/nationsreportcard/tdw/sample_design/2022/2022_fourth_and_eighth_grade_public_school_national_assessment_in_mathematics_and_reading.aspx" TargetMode="External" /><Relationship Id="rId113" Type="http://schemas.openxmlformats.org/officeDocument/2006/relationships/image" Target="media/image48.png" /><Relationship Id="rId114" Type="http://schemas.openxmlformats.org/officeDocument/2006/relationships/image" Target="media/image49.png" /><Relationship Id="rId115" Type="http://schemas.openxmlformats.org/officeDocument/2006/relationships/image" Target="media/image50.png" /><Relationship Id="rId116" Type="http://schemas.openxmlformats.org/officeDocument/2006/relationships/image" Target="media/image51.png" /><Relationship Id="rId117" Type="http://schemas.openxmlformats.org/officeDocument/2006/relationships/image" Target="media/image52.png" /><Relationship Id="rId118" Type="http://schemas.openxmlformats.org/officeDocument/2006/relationships/image" Target="media/image53.png" /><Relationship Id="rId119" Type="http://schemas.openxmlformats.org/officeDocument/2006/relationships/image" Target="media/image54.png" /><Relationship Id="rId12" Type="http://schemas.openxmlformats.org/officeDocument/2006/relationships/image" Target="media/image4.jpeg" /><Relationship Id="rId120" Type="http://schemas.openxmlformats.org/officeDocument/2006/relationships/hyperlink" Target="http://nces.ed.gov/nationsreportcard/tdw/sample_design/2022/sample_design_for_the_2022_national_long_term_trend_assessment.aspx" TargetMode="External" /><Relationship Id="rId121" Type="http://schemas.openxmlformats.org/officeDocument/2006/relationships/image" Target="media/image55.png" /><Relationship Id="rId122" Type="http://schemas.openxmlformats.org/officeDocument/2006/relationships/image" Target="media/image56.png" /><Relationship Id="rId123" Type="http://schemas.openxmlformats.org/officeDocument/2006/relationships/image" Target="media/image57.png" /><Relationship Id="rId124" Type="http://schemas.openxmlformats.org/officeDocument/2006/relationships/hyperlink" Target="http://nces.ed.gov/nationsreportcard/tdw/sample_design/2022/2022_private_school_long_term_trend_assessment.aspx" TargetMode="External" /><Relationship Id="rId125" Type="http://schemas.openxmlformats.org/officeDocument/2006/relationships/hyperlink" Target="http://nces.ed.gov/nationsreportcard/tdw/sample_design/2022/ineligible_private_schools_for_the_2022_long_term_trend_assessment.aspx" TargetMode="External" /><Relationship Id="rId126" Type="http://schemas.openxmlformats.org/officeDocument/2006/relationships/hyperlink" Target="http://nces.ed.gov/nationsreportcard/tdw/sample_design/2022/sampling_frame_for_the_2022_private_school_long_term_trend_assessment.aspx" TargetMode="External" /><Relationship Id="rId127" Type="http://schemas.openxmlformats.org/officeDocument/2006/relationships/hyperlink" Target="http://nces.ed.gov/nationsreportcard/tdw/sample_design/2022/age_distribution_fractions_for_the_2022_private_school_long_term_trend_assessment.aspx" TargetMode="External" /><Relationship Id="rId128" Type="http://schemas.openxmlformats.org/officeDocument/2006/relationships/hyperlink" Target="http://nces.ed.gov/nationsreportcard/tdw/sample_design/2022/new_school_sampling_frame_for_the_2022_private_school_long_term_trend_assessment.aspx" TargetMode="External" /><Relationship Id="rId129" Type="http://schemas.openxmlformats.org/officeDocument/2006/relationships/image" Target="media/image58.png" /><Relationship Id="rId13" Type="http://schemas.openxmlformats.org/officeDocument/2006/relationships/hyperlink" Target="http://nces.ed.gov/nationsreportcard/tdw/sample_design/2022/naep_2022_sample_design.aspx" TargetMode="External" /><Relationship Id="rId130" Type="http://schemas.openxmlformats.org/officeDocument/2006/relationships/image" Target="media/image59.png" /><Relationship Id="rId131" Type="http://schemas.openxmlformats.org/officeDocument/2006/relationships/image" Target="media/image60.png" /><Relationship Id="rId132" Type="http://schemas.openxmlformats.org/officeDocument/2006/relationships/image" Target="media/image61.png" /><Relationship Id="rId133" Type="http://schemas.openxmlformats.org/officeDocument/2006/relationships/image" Target="media/image62.png" /><Relationship Id="rId134" Type="http://schemas.openxmlformats.org/officeDocument/2006/relationships/image" Target="media/image63.png" /><Relationship Id="rId135" Type="http://schemas.openxmlformats.org/officeDocument/2006/relationships/hyperlink" Target="http://nces.ed.gov/nationsreportcard/tdw/sample_design/2022/sampling_of_private_schools_for_the_2022_long_term_trend_assessment.aspx" TargetMode="External" /><Relationship Id="rId136" Type="http://schemas.openxmlformats.org/officeDocument/2006/relationships/image" Target="media/image64.png" /><Relationship Id="rId137" Type="http://schemas.openxmlformats.org/officeDocument/2006/relationships/image" Target="media/image65.png" /><Relationship Id="rId138" Type="http://schemas.openxmlformats.org/officeDocument/2006/relationships/image" Target="media/image66.png" /><Relationship Id="rId139" Type="http://schemas.openxmlformats.org/officeDocument/2006/relationships/image" Target="media/image67.png" /><Relationship Id="rId14" Type="http://schemas.openxmlformats.org/officeDocument/2006/relationships/hyperlink" Target="http://nces.ed.gov/nationsreportcard/tdw/sample_design/2022/sample_design_for_the_2022_national_grade_based_assessment.aspx" TargetMode="External" /><Relationship Id="rId140" Type="http://schemas.openxmlformats.org/officeDocument/2006/relationships/image" Target="media/image68.png" /><Relationship Id="rId141" Type="http://schemas.openxmlformats.org/officeDocument/2006/relationships/image" Target="media/image69.png" /><Relationship Id="rId142" Type="http://schemas.openxmlformats.org/officeDocument/2006/relationships/hyperlink" Target="http://nces.ed.gov/nationsreportcard/tdw/sample_design/2022/stratification_of_private_schools_for_the_2022_long_term_trend_assessment.aspx" TargetMode="External" /><Relationship Id="rId143" Type="http://schemas.openxmlformats.org/officeDocument/2006/relationships/hyperlink" Target="http://nces.ed.gov/nationsreportcard/tdw/sample_design/2022/student_sample_selection_for_the_2022_private_school_long_term_trend_assessment.aspx" TargetMode="External" /><Relationship Id="rId144" Type="http://schemas.openxmlformats.org/officeDocument/2006/relationships/hyperlink" Target="http://nces.ed.gov/nationsreportcard/tdw/sample_design/2022/substitute_private_schools_for_the_2022_long_term_trend_assessment.aspx" TargetMode="External" /><Relationship Id="rId145" Type="http://schemas.openxmlformats.org/officeDocument/2006/relationships/hyperlink" Target="http://nces.ed.gov/nationsreportcard/tdw/sample_design/2022/target_population_of_the_2022_private_school_long_term_trend_assessment.aspx" TargetMode="External" /><Relationship Id="rId146" Type="http://schemas.openxmlformats.org/officeDocument/2006/relationships/image" Target="media/image70.png" /><Relationship Id="rId147" Type="http://schemas.openxmlformats.org/officeDocument/2006/relationships/image" Target="media/image71.png" /><Relationship Id="rId148" Type="http://schemas.openxmlformats.org/officeDocument/2006/relationships/image" Target="media/image72.png" /><Relationship Id="rId149" Type="http://schemas.openxmlformats.org/officeDocument/2006/relationships/hyperlink" Target="http://nces.ed.gov/nationsreportcard/tdw/sample_design/2022/2022_public_school_long_term_trend_assessment.aspx" TargetMode="External" /><Relationship Id="rId15" Type="http://schemas.openxmlformats.org/officeDocument/2006/relationships/hyperlink" Target="http://nces.ed.gov/nationsreportcard/tdw/sample_design/2022/2022_eighth_grade_private_school_nat_assess_in_civics_and_us_history.aspx" TargetMode="External" /><Relationship Id="rId150" Type="http://schemas.openxmlformats.org/officeDocument/2006/relationships/hyperlink" Target="http://nces.ed.gov/nationsreportcard/tdw/sample_design/2022/ineligible_public_schools_for_the_2022_long_term_trend_assessment.aspx" TargetMode="External" /><Relationship Id="rId151" Type="http://schemas.openxmlformats.org/officeDocument/2006/relationships/hyperlink" Target="http://nces.ed.gov/nationsreportcard/tdw/sample_design/2022/sampling_frame_for_the_2022_public_school_long_term_trend_assessment.aspx" TargetMode="External" /><Relationship Id="rId152" Type="http://schemas.openxmlformats.org/officeDocument/2006/relationships/header" Target="header2.xml" /><Relationship Id="rId153" Type="http://schemas.openxmlformats.org/officeDocument/2006/relationships/footer" Target="footer2.xml" /><Relationship Id="rId154" Type="http://schemas.openxmlformats.org/officeDocument/2006/relationships/header" Target="header3.xml" /><Relationship Id="rId155" Type="http://schemas.openxmlformats.org/officeDocument/2006/relationships/footer" Target="footer3.xml" /><Relationship Id="rId156" Type="http://schemas.openxmlformats.org/officeDocument/2006/relationships/hyperlink" Target="http://nces.ed.gov/nationsreportcard/tdw/sample_design/2022/age_distribution_fractions_for_the_2022_public_school_long_term_trend_assessment.aspx" TargetMode="External" /><Relationship Id="rId157" Type="http://schemas.openxmlformats.org/officeDocument/2006/relationships/image" Target="media/image73.png" /><Relationship Id="rId158" Type="http://schemas.openxmlformats.org/officeDocument/2006/relationships/image" Target="media/image74.png" /><Relationship Id="rId159" Type="http://schemas.openxmlformats.org/officeDocument/2006/relationships/image" Target="media/image75.png" /><Relationship Id="rId16" Type="http://schemas.openxmlformats.org/officeDocument/2006/relationships/hyperlink" Target="http://nces.ed.gov/nationsreportcard/tdw/sample_design/2022/ineligible_schools_for_the_2022_8th_grade_private_school_nat_assess_in_civics_and_us_history.aspx" TargetMode="External" /><Relationship Id="rId160" Type="http://schemas.openxmlformats.org/officeDocument/2006/relationships/image" Target="media/image76.png" /><Relationship Id="rId161" Type="http://schemas.openxmlformats.org/officeDocument/2006/relationships/image" Target="media/image77.png" /><Relationship Id="rId162" Type="http://schemas.openxmlformats.org/officeDocument/2006/relationships/hyperlink" Target="http://nces.ed.gov/nationsreportcard/tdw/sample_design/2022/new_school_sampling_frame_for_the_2022_public_school_long_term_trend_assessment.aspx" TargetMode="External" /><Relationship Id="rId163" Type="http://schemas.openxmlformats.org/officeDocument/2006/relationships/image" Target="media/image78.png" /><Relationship Id="rId164" Type="http://schemas.openxmlformats.org/officeDocument/2006/relationships/image" Target="media/image79.png" /><Relationship Id="rId165" Type="http://schemas.openxmlformats.org/officeDocument/2006/relationships/image" Target="media/image80.png" /><Relationship Id="rId166" Type="http://schemas.openxmlformats.org/officeDocument/2006/relationships/image" Target="media/image81.png" /><Relationship Id="rId167" Type="http://schemas.openxmlformats.org/officeDocument/2006/relationships/image" Target="media/image82.png" /><Relationship Id="rId168" Type="http://schemas.openxmlformats.org/officeDocument/2006/relationships/image" Target="media/image83.png" /><Relationship Id="rId169" Type="http://schemas.openxmlformats.org/officeDocument/2006/relationships/image" Target="media/image84.png" /><Relationship Id="rId17" Type="http://schemas.openxmlformats.org/officeDocument/2006/relationships/hyperlink" Target="http://nces.ed.gov/nationsreportcard/tdw/sample_design/2022/eligibility_status_of_schools_sampled_for_the_2022_8th_grade_private_sch_nat_assess_in_civics_and_us_history.aspx" TargetMode="External" /><Relationship Id="rId170" Type="http://schemas.openxmlformats.org/officeDocument/2006/relationships/hyperlink" Target="http://nces.ed.gov/nationsreportcard/tdw/sample_design/2022/sampling_of_public_schools_for_the_2022_long_term_trend_assessment.aspx" TargetMode="External" /><Relationship Id="rId171" Type="http://schemas.openxmlformats.org/officeDocument/2006/relationships/image" Target="media/image85.png" /><Relationship Id="rId172" Type="http://schemas.openxmlformats.org/officeDocument/2006/relationships/image" Target="media/image86.png" /><Relationship Id="rId173" Type="http://schemas.openxmlformats.org/officeDocument/2006/relationships/image" Target="media/image87.png" /><Relationship Id="rId174" Type="http://schemas.openxmlformats.org/officeDocument/2006/relationships/image" Target="media/image88.png" /><Relationship Id="rId175" Type="http://schemas.openxmlformats.org/officeDocument/2006/relationships/image" Target="media/image89.png" /><Relationship Id="rId176" Type="http://schemas.openxmlformats.org/officeDocument/2006/relationships/image" Target="media/image90.png" /><Relationship Id="rId177" Type="http://schemas.openxmlformats.org/officeDocument/2006/relationships/image" Target="media/image91.png" /><Relationship Id="rId178" Type="http://schemas.openxmlformats.org/officeDocument/2006/relationships/image" Target="media/image92.png" /><Relationship Id="rId179" Type="http://schemas.openxmlformats.org/officeDocument/2006/relationships/image" Target="media/image93.png" /><Relationship Id="rId18" Type="http://schemas.openxmlformats.org/officeDocument/2006/relationships/hyperlink" Target="http://nces.ed.gov/nationsreportcard/tdw/sample_design/2022/total_and_eligible_sampled_schools_for_the_2022_8th_grade_private_school_nat_assess_in_civics_and_us_history.aspx" TargetMode="External" /><Relationship Id="rId180" Type="http://schemas.openxmlformats.org/officeDocument/2006/relationships/hyperlink" Target="http://nces.ed.gov/nationsreportcard/tdw/sample_design/2022/stratification_of_public_schools_for_the_2022_long_term_trend_assessment.aspx" TargetMode="External" /><Relationship Id="rId181" Type="http://schemas.openxmlformats.org/officeDocument/2006/relationships/hyperlink" Target="http://nces.ed.gov/nationsreportcard/tdw/sample_design/2022/student_sample_selection_for_the_2022_public_school_long_term_trend_assessment.aspx" TargetMode="External" /><Relationship Id="rId182" Type="http://schemas.openxmlformats.org/officeDocument/2006/relationships/hyperlink" Target="http://nces.ed.gov/nationsreportcard/tdw/sample_design/2022/substitute_public_schools_for_the_2022_long_term_trend_assessment.aspx" TargetMode="External" /><Relationship Id="rId183" Type="http://schemas.openxmlformats.org/officeDocument/2006/relationships/hyperlink" Target="http://nces.ed.gov/nationsreportcard/tdw/sample_design/2022/target_population_of_the_2022_public_school_long_term_trend_assessment.aspx" TargetMode="External" /><Relationship Id="rId184" Type="http://schemas.openxmlformats.org/officeDocument/2006/relationships/image" Target="media/image94.png" /><Relationship Id="rId185" Type="http://schemas.openxmlformats.org/officeDocument/2006/relationships/image" Target="media/image95.png" /><Relationship Id="rId186" Type="http://schemas.openxmlformats.org/officeDocument/2006/relationships/image" Target="media/image96.png" /><Relationship Id="rId187" Type="http://schemas.openxmlformats.org/officeDocument/2006/relationships/image" Target="media/image97.png" /><Relationship Id="rId188" Type="http://schemas.openxmlformats.org/officeDocument/2006/relationships/image" Target="media/image98.png" /><Relationship Id="rId189" Type="http://schemas.openxmlformats.org/officeDocument/2006/relationships/hyperlink" Target="http://nces.ed.gov/nationsreportcard/tdw/sample_design/2022/school_and_student_participation_results_for_the_2022_long_term_trend_assessment.aspx" TargetMode="External" /><Relationship Id="rId19" Type="http://schemas.openxmlformats.org/officeDocument/2006/relationships/hyperlink" Target="http://nces.ed.gov/nationsreportcard/tdw/sample_design/2022/sampling_frame_for_the_2022_eighth_grade_private_school_nat_assess_in_civics_and_us_history.aspx" TargetMode="External" /><Relationship Id="rId190" Type="http://schemas.openxmlformats.org/officeDocument/2006/relationships/hyperlink" Target="http://nces.ed.gov/nationsreportcard/tdw/sample_design/2022/school_response_rates_for_the_2022_long_term_trend_assessment.aspx" TargetMode="External" /><Relationship Id="rId191" Type="http://schemas.openxmlformats.org/officeDocument/2006/relationships/hyperlink" Target="http://nces.ed.gov/nationsreportcard/tdw/sample_design/2022/student_response_and_exclusion_rates_for_the_2022_long_term_trend_mathematics_assessment.aspx" TargetMode="External" /><Relationship Id="rId192" Type="http://schemas.openxmlformats.org/officeDocument/2006/relationships/hyperlink" Target="http://nces.ed.gov/nationsreportcard/tdw/sample_design/2022/student_response_and_exclusion_rates_for_the_2022_long_term_trend_reading_assessment.aspx" TargetMode="External" /><Relationship Id="rId193" Type="http://schemas.openxmlformats.org/officeDocument/2006/relationships/image" Target="media/image99.png" /><Relationship Id="rId194" Type="http://schemas.openxmlformats.org/officeDocument/2006/relationships/image" Target="media/image100.png" /><Relationship Id="rId195" Type="http://schemas.openxmlformats.org/officeDocument/2006/relationships/hyperlink" Target="http://nces.ed.gov/nationsreportcard/tdw/sample_design/2022/selection_of_primary_sampling_units_psus_for_the_2022_assessment.aspx" TargetMode="External" /><Relationship Id="rId196" Type="http://schemas.openxmlformats.org/officeDocument/2006/relationships/hyperlink" Target="http://nces.ed.gov/nationsreportcard/tdw/sample_design/2022/final_primary_sampling_unit_samples_for_the_2022_assessment.aspx" TargetMode="External" /><Relationship Id="rId197" Type="http://schemas.openxmlformats.org/officeDocument/2006/relationships/hyperlink" Target="http://nces.ed.gov/nationsreportcard/tdw/sample_design/2022/primary_sampling_unit_frame_stratification_for_the_2022_assessment.aspx" TargetMode="External" /><Relationship Id="rId198" Type="http://schemas.openxmlformats.org/officeDocument/2006/relationships/hyperlink" Target="http://nces.ed.gov/nationsreportcard/tdw/sample_design/2022/final_primary_sampling_unit_strata_for_the_2022_assessment.aspx" TargetMode="External" /><Relationship Id="rId199" Type="http://schemas.openxmlformats.org/officeDocument/2006/relationships/hyperlink" Target="http://nces.ed.gov/nationsreportcard/tdw/sample_design/2022/stratification_for_midwest_metropolitan_noncertainty_primary_sampling_units.aspx" TargetMode="External" /><Relationship Id="rId2" Type="http://schemas.openxmlformats.org/officeDocument/2006/relationships/webSettings" Target="webSettings.xml" /><Relationship Id="rId20" Type="http://schemas.openxmlformats.org/officeDocument/2006/relationships/hyperlink" Target="http://nces.ed.gov/nationsreportcard/tdw/sample_design/2022/eighth_grade_schools_and_enrollment_in_the_2022_private_school_civics_and_us_history_sampling_frame.aspx" TargetMode="External" /><Relationship Id="rId200" Type="http://schemas.openxmlformats.org/officeDocument/2006/relationships/hyperlink" Target="http://nces.ed.gov/nationsreportcard/tdw/sample_design/2022/stratification_for_midwest_nonmetropolitan_noncertainty_primary_sampling_units.aspx" TargetMode="External" /><Relationship Id="rId201" Type="http://schemas.openxmlformats.org/officeDocument/2006/relationships/hyperlink" Target="http://nces.ed.gov/nationsreportcard/tdw/sample_design/2022/stratification_for_northeast_metropolitan_noncertainty_primary_sampling_units.aspx" TargetMode="External" /><Relationship Id="rId202" Type="http://schemas.openxmlformats.org/officeDocument/2006/relationships/hyperlink" Target="http://nces.ed.gov/nationsreportcard/tdw/sample_design/2022/stratification_for_northeast_nonmetropolitan_noncertainty_primary_sampling_units.aspx" TargetMode="External" /><Relationship Id="rId203" Type="http://schemas.openxmlformats.org/officeDocument/2006/relationships/hyperlink" Target="http://nces.ed.gov/nationsreportcard/tdw/sample_design/2022/stratification_for_south_metropolitan_noncertainty_primary_sampling_units.aspx" TargetMode="External" /><Relationship Id="rId204" Type="http://schemas.openxmlformats.org/officeDocument/2006/relationships/hyperlink" Target="http://nces.ed.gov/nationsreportcard/tdw/sample_design/2022/stratification_for_south_nonmetropolitan_noncertainty_primary_sampling_units.aspx" TargetMode="External" /><Relationship Id="rId205" Type="http://schemas.openxmlformats.org/officeDocument/2006/relationships/header" Target="header4.xml" /><Relationship Id="rId206" Type="http://schemas.openxmlformats.org/officeDocument/2006/relationships/footer" Target="footer4.xml" /><Relationship Id="rId207" Type="http://schemas.openxmlformats.org/officeDocument/2006/relationships/hyperlink" Target="http://nces.ed.gov/nationsreportcard/tdw/sample_design/2022/stratification_for_west_metropolitan_noncertainty_primary_sampling_units.aspx" TargetMode="External" /><Relationship Id="rId208" Type="http://schemas.openxmlformats.org/officeDocument/2006/relationships/hyperlink" Target="http://nces.ed.gov/nationsreportcard/tdw/sample_design/2022/stratification_for_west_nonmetropolitan_noncertainty_primary_sampling_units.aspx" TargetMode="External" /><Relationship Id="rId209" Type="http://schemas.openxmlformats.org/officeDocument/2006/relationships/image" Target="media/image101.png" /><Relationship Id="rId21" Type="http://schemas.openxmlformats.org/officeDocument/2006/relationships/hyperlink" Target="http://nces.ed.gov/nationsreportcard/tdw/sample_design/2022/new_school_sampling_frame_for_the_2022_eighth_grade_private_school_nat_assess_in_civics_and_us_history.aspx" TargetMode="External" /><Relationship Id="rId210" Type="http://schemas.openxmlformats.org/officeDocument/2006/relationships/image" Target="media/image102.png" /><Relationship Id="rId211" Type="http://schemas.openxmlformats.org/officeDocument/2006/relationships/image" Target="media/image103.png" /><Relationship Id="rId212" Type="http://schemas.openxmlformats.org/officeDocument/2006/relationships/image" Target="media/image104.png" /><Relationship Id="rId213" Type="http://schemas.openxmlformats.org/officeDocument/2006/relationships/image" Target="media/image105.png" /><Relationship Id="rId214" Type="http://schemas.openxmlformats.org/officeDocument/2006/relationships/hyperlink" Target="http://nces.ed.gov/nationsreportcard/tdw/sample_design/2022/stepwise_regression_analysis_results_for_primary_sampling_unit_stratification_for_the_2022_assessment.aspx" TargetMode="External" /><Relationship Id="rId215" Type="http://schemas.openxmlformats.org/officeDocument/2006/relationships/header" Target="header5.xml" /><Relationship Id="rId216" Type="http://schemas.openxmlformats.org/officeDocument/2006/relationships/footer" Target="footer5.xml" /><Relationship Id="rId217" Type="http://schemas.openxmlformats.org/officeDocument/2006/relationships/hyperlink" Target="http://nces.ed.gov/nationsreportcard/tdw/sample_design/2022/primary_sampling_unit_generation_certainty_psus_for_the_2022_assessment.aspx" TargetMode="External" /><Relationship Id="rId218" Type="http://schemas.openxmlformats.org/officeDocument/2006/relationships/hyperlink" Target="http://nces.ed.gov/nationsreportcard/tdw/sample_design/2022/primary_sampling_unit_generation_metropolitan_statistical_areas_for_the_2022_assessment.aspx" TargetMode="External" /><Relationship Id="rId219" Type="http://schemas.openxmlformats.org/officeDocument/2006/relationships/header" Target="header6.xml" /><Relationship Id="rId22" Type="http://schemas.openxmlformats.org/officeDocument/2006/relationships/image" Target="media/image5.png" /><Relationship Id="rId220" Type="http://schemas.openxmlformats.org/officeDocument/2006/relationships/footer" Target="footer6.xml" /><Relationship Id="rId221" Type="http://schemas.openxmlformats.org/officeDocument/2006/relationships/hyperlink" Target="http://nces.ed.gov/nationsreportcard/tdw/sample_design/2022/primary_sampling_unit_generation_non_metropolitan_statistical_areas_for_the_2022_assessment.aspx" TargetMode="External" /><Relationship Id="rId222" Type="http://schemas.openxmlformats.org/officeDocument/2006/relationships/image" Target="media/image106.png" /><Relationship Id="rId223" Type="http://schemas.openxmlformats.org/officeDocument/2006/relationships/image" Target="media/image107.png" /><Relationship Id="rId224" Type="http://schemas.openxmlformats.org/officeDocument/2006/relationships/image" Target="media/image108.png" /><Relationship Id="rId225" Type="http://schemas.openxmlformats.org/officeDocument/2006/relationships/image" Target="media/image109.png" /><Relationship Id="rId226" Type="http://schemas.openxmlformats.org/officeDocument/2006/relationships/image" Target="media/image110.png" /><Relationship Id="rId227" Type="http://schemas.openxmlformats.org/officeDocument/2006/relationships/image" Target="media/image111.png" /><Relationship Id="rId228" Type="http://schemas.openxmlformats.org/officeDocument/2006/relationships/image" Target="media/image112.png" /><Relationship Id="rId229" Type="http://schemas.openxmlformats.org/officeDocument/2006/relationships/image" Target="media/image113.png" /><Relationship Id="rId23" Type="http://schemas.openxmlformats.org/officeDocument/2006/relationships/image" Target="media/image6.png" /><Relationship Id="rId230" Type="http://schemas.openxmlformats.org/officeDocument/2006/relationships/image" Target="media/image114.png" /><Relationship Id="rId231" Type="http://schemas.openxmlformats.org/officeDocument/2006/relationships/image" Target="media/image115.png" /><Relationship Id="rId232" Type="http://schemas.openxmlformats.org/officeDocument/2006/relationships/image" Target="media/image116.png" /><Relationship Id="rId233" Type="http://schemas.openxmlformats.org/officeDocument/2006/relationships/image" Target="media/image117.png" /><Relationship Id="rId234" Type="http://schemas.openxmlformats.org/officeDocument/2006/relationships/image" Target="media/image118.png" /><Relationship Id="rId235" Type="http://schemas.openxmlformats.org/officeDocument/2006/relationships/image" Target="media/image119.png" /><Relationship Id="rId236" Type="http://schemas.openxmlformats.org/officeDocument/2006/relationships/image" Target="media/image120.png" /><Relationship Id="rId237" Type="http://schemas.openxmlformats.org/officeDocument/2006/relationships/image" Target="media/image121.png" /><Relationship Id="rId238" Type="http://schemas.openxmlformats.org/officeDocument/2006/relationships/image" Target="media/image122.png" /><Relationship Id="rId239" Type="http://schemas.openxmlformats.org/officeDocument/2006/relationships/image" Target="media/image123.png" /><Relationship Id="rId24" Type="http://schemas.openxmlformats.org/officeDocument/2006/relationships/hyperlink" Target="http://nces.ed.gov/nationsreportcard/tdw/sample_design/2022/school_and_student_participation_in_the_2022_8th_grade_private_school_nat_assess_in_civics_and_us_history.aspx" TargetMode="External" /><Relationship Id="rId240" Type="http://schemas.openxmlformats.org/officeDocument/2006/relationships/image" Target="media/image124.png" /><Relationship Id="rId241" Type="http://schemas.openxmlformats.org/officeDocument/2006/relationships/image" Target="media/image125.png" /><Relationship Id="rId242" Type="http://schemas.openxmlformats.org/officeDocument/2006/relationships/image" Target="media/image126.png" /><Relationship Id="rId243" Type="http://schemas.openxmlformats.org/officeDocument/2006/relationships/image" Target="media/image127.png" /><Relationship Id="rId244" Type="http://schemas.openxmlformats.org/officeDocument/2006/relationships/image" Target="media/image128.png" /><Relationship Id="rId245" Type="http://schemas.openxmlformats.org/officeDocument/2006/relationships/image" Target="media/image129.png" /><Relationship Id="rId246" Type="http://schemas.openxmlformats.org/officeDocument/2006/relationships/image" Target="media/image130.png" /><Relationship Id="rId247" Type="http://schemas.openxmlformats.org/officeDocument/2006/relationships/image" Target="media/image131.png" /><Relationship Id="rId248" Type="http://schemas.openxmlformats.org/officeDocument/2006/relationships/header" Target="header7.xml" /><Relationship Id="rId249" Type="http://schemas.openxmlformats.org/officeDocument/2006/relationships/footer" Target="footer7.xml" /><Relationship Id="rId25" Type="http://schemas.openxmlformats.org/officeDocument/2006/relationships/hyperlink" Target="http://nces.ed.gov/nationsreportcard/tdw/sample_design/2022/weighted_school_response_rates_for_the_2022_8th_grade_private_school_nat_assess_in_civics_and_us_history.aspx" TargetMode="External" /><Relationship Id="rId250" Type="http://schemas.openxmlformats.org/officeDocument/2006/relationships/hyperlink" Target="http://nces.ed.gov/nationsreportcard/tdw/sample_design/2022/sample_design_for_the_2022_state_assessment.aspx" TargetMode="External" /><Relationship Id="rId251" Type="http://schemas.openxmlformats.org/officeDocument/2006/relationships/hyperlink" Target="http://nces.ed.gov/nationsreportcard/tdw/sample_design/2022/ineligible_schools_for_the_2022_state_assessment.aspx" TargetMode="External" /><Relationship Id="rId252" Type="http://schemas.openxmlformats.org/officeDocument/2006/relationships/hyperlink" Target="http://nces.ed.gov/nationsreportcard/tdw/sample_design/2022/eligibility_status_of_schools_sampled_for_the_2022_state_assessment.aspx" TargetMode="External" /><Relationship Id="rId253" Type="http://schemas.openxmlformats.org/officeDocument/2006/relationships/header" Target="header8.xml" /><Relationship Id="rId254" Type="http://schemas.openxmlformats.org/officeDocument/2006/relationships/footer" Target="footer8.xml" /><Relationship Id="rId255" Type="http://schemas.openxmlformats.org/officeDocument/2006/relationships/hyperlink" Target="http://nces.ed.gov/nationsreportcard/tdw/sample_design/2022/total_and_eligible_sampled_schools_for_the_2022_state_assessment.aspx" TargetMode="External" /><Relationship Id="rId256" Type="http://schemas.openxmlformats.org/officeDocument/2006/relationships/header" Target="header9.xml" /><Relationship Id="rId257" Type="http://schemas.openxmlformats.org/officeDocument/2006/relationships/footer" Target="footer9.xml" /><Relationship Id="rId258" Type="http://schemas.openxmlformats.org/officeDocument/2006/relationships/hyperlink" Target="http://nces.ed.gov/nationsreportcard/tdw/sample_design/2022/sampling_frame_for_the_2022_state_assessment.aspx" TargetMode="External" /><Relationship Id="rId259" Type="http://schemas.openxmlformats.org/officeDocument/2006/relationships/header" Target="header10.xml" /><Relationship Id="rId26" Type="http://schemas.openxmlformats.org/officeDocument/2006/relationships/hyperlink" Target="http://nces.ed.gov/nationsreportcard/tdw/sample_design/2022/weighted_student_response_and_exclusion_rates_for_the_2022_8th_grade_private_school_nat_civics_assess.aspx" TargetMode="External" /><Relationship Id="rId260" Type="http://schemas.openxmlformats.org/officeDocument/2006/relationships/footer" Target="footer10.xml" /><Relationship Id="rId261" Type="http://schemas.openxmlformats.org/officeDocument/2006/relationships/header" Target="header11.xml" /><Relationship Id="rId262" Type="http://schemas.openxmlformats.org/officeDocument/2006/relationships/footer" Target="footer11.xml" /><Relationship Id="rId263" Type="http://schemas.openxmlformats.org/officeDocument/2006/relationships/hyperlink" Target="http://nces.ed.gov/nationsreportcard/tdw/sample_design/2022/fourth_and_eighth_grade_schools_and_enrollment_in_the_2022_state_assess_sampling_frame.aspx" TargetMode="External" /><Relationship Id="rId264" Type="http://schemas.openxmlformats.org/officeDocument/2006/relationships/image" Target="media/image132.png" /><Relationship Id="rId265" Type="http://schemas.openxmlformats.org/officeDocument/2006/relationships/image" Target="media/image133.png" /><Relationship Id="rId266" Type="http://schemas.openxmlformats.org/officeDocument/2006/relationships/image" Target="media/image134.png" /><Relationship Id="rId267" Type="http://schemas.openxmlformats.org/officeDocument/2006/relationships/image" Target="media/image135.png" /><Relationship Id="rId268" Type="http://schemas.openxmlformats.org/officeDocument/2006/relationships/image" Target="media/image136.png" /><Relationship Id="rId269" Type="http://schemas.openxmlformats.org/officeDocument/2006/relationships/header" Target="header12.xml" /><Relationship Id="rId27" Type="http://schemas.openxmlformats.org/officeDocument/2006/relationships/hyperlink" Target="http://nces.ed.gov/nationsreportcard/tdw/sample_design/2022/weighted_student_response_and_exclusion_rates_for_the_2022_8th_grade_private_school_nat_us_history_assess.aspx" TargetMode="External" /><Relationship Id="rId270" Type="http://schemas.openxmlformats.org/officeDocument/2006/relationships/footer" Target="footer12.xml" /><Relationship Id="rId271" Type="http://schemas.openxmlformats.org/officeDocument/2006/relationships/hyperlink" Target="http://nces.ed.gov/nationsreportcard/tdw/sample_design/2022/new_school_sampling_frame_for_the_2022_state_assessment.aspx" TargetMode="External" /><Relationship Id="rId272" Type="http://schemas.openxmlformats.org/officeDocument/2006/relationships/image" Target="media/image137.png" /><Relationship Id="rId273" Type="http://schemas.openxmlformats.org/officeDocument/2006/relationships/image" Target="media/image138.png" /><Relationship Id="rId274" Type="http://schemas.openxmlformats.org/officeDocument/2006/relationships/image" Target="media/image139.png" /><Relationship Id="rId275" Type="http://schemas.openxmlformats.org/officeDocument/2006/relationships/image" Target="media/image140.png" /><Relationship Id="rId276" Type="http://schemas.openxmlformats.org/officeDocument/2006/relationships/image" Target="media/image141.png" /><Relationship Id="rId277" Type="http://schemas.openxmlformats.org/officeDocument/2006/relationships/hyperlink" Target="http://nces.ed.gov/nationsreportcard/tdw/sample_design/2022/school_and_student_participation_in_the_2022_state_assessment.aspx" TargetMode="External" /><Relationship Id="rId278" Type="http://schemas.openxmlformats.org/officeDocument/2006/relationships/header" Target="header13.xml" /><Relationship Id="rId279" Type="http://schemas.openxmlformats.org/officeDocument/2006/relationships/footer" Target="footer13.xml" /><Relationship Id="rId28" Type="http://schemas.openxmlformats.org/officeDocument/2006/relationships/hyperlink" Target="http://nces.ed.gov/nationsreportcard/tdw/sample_design/2022/school_sample_selection_for_the_2022_eighth_grade_private_school_nat_assess_in_civics_and_us_history.aspx" TargetMode="External" /><Relationship Id="rId280" Type="http://schemas.openxmlformats.org/officeDocument/2006/relationships/hyperlink" Target="http://nces.ed.gov/nationsreportcard/tdw/sample_design/2022/weighted_response_rates_of_eighth_grade_school_sample_by_participating_jurisdiction_for_the_2022_state_assess.aspx" TargetMode="External" /><Relationship Id="rId281" Type="http://schemas.openxmlformats.org/officeDocument/2006/relationships/header" Target="header14.xml" /><Relationship Id="rId282" Type="http://schemas.openxmlformats.org/officeDocument/2006/relationships/footer" Target="footer14.xml" /><Relationship Id="rId283" Type="http://schemas.openxmlformats.org/officeDocument/2006/relationships/header" Target="header15.xml" /><Relationship Id="rId284" Type="http://schemas.openxmlformats.org/officeDocument/2006/relationships/footer" Target="footer15.xml" /><Relationship Id="rId285" Type="http://schemas.openxmlformats.org/officeDocument/2006/relationships/hyperlink" Target="http://nces.ed.gov/nationsreportcard/tdw/sample_design/2022/weighted_response_rates_of_fourth_grade_school_sample_by_participating_jurisdiction_for_the_2022_state_assess.aspx" TargetMode="External" /><Relationship Id="rId286" Type="http://schemas.openxmlformats.org/officeDocument/2006/relationships/header" Target="header16.xml" /><Relationship Id="rId287" Type="http://schemas.openxmlformats.org/officeDocument/2006/relationships/footer" Target="footer16.xml" /><Relationship Id="rId288" Type="http://schemas.openxmlformats.org/officeDocument/2006/relationships/header" Target="header17.xml" /><Relationship Id="rId289" Type="http://schemas.openxmlformats.org/officeDocument/2006/relationships/footer" Target="footer17.xml" /><Relationship Id="rId29" Type="http://schemas.openxmlformats.org/officeDocument/2006/relationships/image" Target="media/image7.png" /><Relationship Id="rId290" Type="http://schemas.openxmlformats.org/officeDocument/2006/relationships/hyperlink" Target="http://nces.ed.gov/nationsreportcard/tdw/sample_design/2022/weighted_student_remote_rates_by_participating_jurisdiction_for_the_2022_state_assessment.aspx" TargetMode="External" /><Relationship Id="rId291" Type="http://schemas.openxmlformats.org/officeDocument/2006/relationships/hyperlink" Target="http://nces.ed.gov/nationsreportcard/tdw/sample_design/2022/weighted_student_response_and_exclusion_rates_for_the_2022_state_mathematics_assessment.aspx" TargetMode="External" /><Relationship Id="rId292" Type="http://schemas.openxmlformats.org/officeDocument/2006/relationships/header" Target="header18.xml" /><Relationship Id="rId293" Type="http://schemas.openxmlformats.org/officeDocument/2006/relationships/footer" Target="footer18.xml" /><Relationship Id="rId294" Type="http://schemas.openxmlformats.org/officeDocument/2006/relationships/hyperlink" Target="http://nces.ed.gov/nationsreportcard/tdw/sample_design/2022/weighted_student_response_and_exclusion_rates_for_the_2022_state_reading_assessment.aspx" TargetMode="External" /><Relationship Id="rId295" Type="http://schemas.openxmlformats.org/officeDocument/2006/relationships/header" Target="header19.xml" /><Relationship Id="rId296" Type="http://schemas.openxmlformats.org/officeDocument/2006/relationships/footer" Target="footer19.xml" /><Relationship Id="rId297" Type="http://schemas.openxmlformats.org/officeDocument/2006/relationships/hyperlink" Target="http://nces.ed.gov/nationsreportcard/tdw/sample_design/2022/school_sample_selection_for_the_2022_state_assessment.aspx" TargetMode="External" /><Relationship Id="rId298" Type="http://schemas.openxmlformats.org/officeDocument/2006/relationships/image" Target="media/image142.png" /><Relationship Id="rId299" Type="http://schemas.openxmlformats.org/officeDocument/2006/relationships/image" Target="media/image143.png" /><Relationship Id="rId3" Type="http://schemas.openxmlformats.org/officeDocument/2006/relationships/fontTable" Target="fontTable.xml" /><Relationship Id="rId30" Type="http://schemas.openxmlformats.org/officeDocument/2006/relationships/image" Target="media/image8.png" /><Relationship Id="rId300" Type="http://schemas.openxmlformats.org/officeDocument/2006/relationships/image" Target="media/image144.png" /><Relationship Id="rId301" Type="http://schemas.openxmlformats.org/officeDocument/2006/relationships/image" Target="media/image145.png" /><Relationship Id="rId302" Type="http://schemas.openxmlformats.org/officeDocument/2006/relationships/image" Target="media/image146.png" /><Relationship Id="rId303" Type="http://schemas.openxmlformats.org/officeDocument/2006/relationships/image" Target="media/image147.png" /><Relationship Id="rId304" Type="http://schemas.openxmlformats.org/officeDocument/2006/relationships/hyperlink" Target="http://nces.ed.gov/nationsreportcard/tdw/sample_design/2022/computation_of_measures_of_size_for_the_2022_state_assessment.aspx" TargetMode="External" /><Relationship Id="rId305" Type="http://schemas.openxmlformats.org/officeDocument/2006/relationships/hyperlink" Target="http://nces.ed.gov/nationsreportcard/tdw/sample_design/2022/evaluation_of_the_samples_for_the_2022_state_assessment_using_state_achievement_data.aspx" TargetMode="External" /><Relationship Id="rId306" Type="http://schemas.openxmlformats.org/officeDocument/2006/relationships/header" Target="header20.xml" /><Relationship Id="rId307" Type="http://schemas.openxmlformats.org/officeDocument/2006/relationships/footer" Target="footer20.xml" /><Relationship Id="rId308" Type="http://schemas.openxmlformats.org/officeDocument/2006/relationships/hyperlink" Target="http://nces.ed.gov/nationsreportcard/tdw/sample_design/2022/school_sample_sizes_for_the_2022_state_assessment.aspx" TargetMode="External" /><Relationship Id="rId309" Type="http://schemas.openxmlformats.org/officeDocument/2006/relationships/header" Target="header21.xml" /><Relationship Id="rId31" Type="http://schemas.openxmlformats.org/officeDocument/2006/relationships/image" Target="media/image9.png" /><Relationship Id="rId310" Type="http://schemas.openxmlformats.org/officeDocument/2006/relationships/footer" Target="footer21.xml" /><Relationship Id="rId311" Type="http://schemas.openxmlformats.org/officeDocument/2006/relationships/image" Target="media/image148.png" /><Relationship Id="rId312" Type="http://schemas.openxmlformats.org/officeDocument/2006/relationships/image" Target="media/image149.png" /><Relationship Id="rId313" Type="http://schemas.openxmlformats.org/officeDocument/2006/relationships/image" Target="media/image150.png" /><Relationship Id="rId314" Type="http://schemas.openxmlformats.org/officeDocument/2006/relationships/image" Target="media/image151.png" /><Relationship Id="rId315" Type="http://schemas.openxmlformats.org/officeDocument/2006/relationships/image" Target="media/image152.png" /><Relationship Id="rId316" Type="http://schemas.openxmlformats.org/officeDocument/2006/relationships/image" Target="media/image153.png" /><Relationship Id="rId317" Type="http://schemas.openxmlformats.org/officeDocument/2006/relationships/image" Target="media/image154.png" /><Relationship Id="rId318" Type="http://schemas.openxmlformats.org/officeDocument/2006/relationships/image" Target="media/image155.png" /><Relationship Id="rId319" Type="http://schemas.openxmlformats.org/officeDocument/2006/relationships/image" Target="media/image156.png" /><Relationship Id="rId32" Type="http://schemas.openxmlformats.org/officeDocument/2006/relationships/image" Target="media/image10.png" /><Relationship Id="rId320" Type="http://schemas.openxmlformats.org/officeDocument/2006/relationships/image" Target="media/image157.png" /><Relationship Id="rId321" Type="http://schemas.openxmlformats.org/officeDocument/2006/relationships/image" Target="media/image158.png" /><Relationship Id="rId322" Type="http://schemas.openxmlformats.org/officeDocument/2006/relationships/image" Target="media/image159.png" /><Relationship Id="rId323" Type="http://schemas.openxmlformats.org/officeDocument/2006/relationships/image" Target="media/image160.png" /><Relationship Id="rId324" Type="http://schemas.openxmlformats.org/officeDocument/2006/relationships/image" Target="media/image161.png" /><Relationship Id="rId325" Type="http://schemas.openxmlformats.org/officeDocument/2006/relationships/image" Target="media/image162.png" /><Relationship Id="rId326" Type="http://schemas.openxmlformats.org/officeDocument/2006/relationships/image" Target="media/image163.png" /><Relationship Id="rId327" Type="http://schemas.openxmlformats.org/officeDocument/2006/relationships/image" Target="media/image164.png" /><Relationship Id="rId328" Type="http://schemas.openxmlformats.org/officeDocument/2006/relationships/image" Target="media/image165.png" /><Relationship Id="rId329" Type="http://schemas.openxmlformats.org/officeDocument/2006/relationships/image" Target="media/image166.png" /><Relationship Id="rId33" Type="http://schemas.openxmlformats.org/officeDocument/2006/relationships/image" Target="media/image11.png" /><Relationship Id="rId330" Type="http://schemas.openxmlformats.org/officeDocument/2006/relationships/image" Target="media/image167.png" /><Relationship Id="rId331" Type="http://schemas.openxmlformats.org/officeDocument/2006/relationships/image" Target="media/image168.png" /><Relationship Id="rId332" Type="http://schemas.openxmlformats.org/officeDocument/2006/relationships/image" Target="media/image169.png" /><Relationship Id="rId333" Type="http://schemas.openxmlformats.org/officeDocument/2006/relationships/image" Target="media/image170.png" /><Relationship Id="rId334" Type="http://schemas.openxmlformats.org/officeDocument/2006/relationships/image" Target="media/image171.png" /><Relationship Id="rId335" Type="http://schemas.openxmlformats.org/officeDocument/2006/relationships/image" Target="media/image172.png" /><Relationship Id="rId336" Type="http://schemas.openxmlformats.org/officeDocument/2006/relationships/hyperlink" Target="http://nces.ed.gov/nationsreportcard/tdw/sample_design/2022/stratification_of_schools_for_the_2022_state_assessment.aspx" TargetMode="External" /><Relationship Id="rId337" Type="http://schemas.openxmlformats.org/officeDocument/2006/relationships/image" Target="media/image173.png" /><Relationship Id="rId338" Type="http://schemas.openxmlformats.org/officeDocument/2006/relationships/image" Target="media/image174.png" /><Relationship Id="rId339" Type="http://schemas.openxmlformats.org/officeDocument/2006/relationships/image" Target="media/image175.png" /><Relationship Id="rId34" Type="http://schemas.openxmlformats.org/officeDocument/2006/relationships/hyperlink" Target="http://nces.ed.gov/nationsreportcard/tdw/sample_design/2022/computation_of_measures_of_size_for_the_2022_eighth_grade_private_school_nat_assess_in_civics_and_us_history.aspx" TargetMode="External" /><Relationship Id="rId340" Type="http://schemas.openxmlformats.org/officeDocument/2006/relationships/image" Target="media/image176.png" /><Relationship Id="rId341" Type="http://schemas.openxmlformats.org/officeDocument/2006/relationships/hyperlink" Target="http://nces.ed.gov/nationsreportcard/tdw/sample_design/2022/stratification_variables_for_the_2022_state_assessment.aspx" TargetMode="External" /><Relationship Id="rId342" Type="http://schemas.openxmlformats.org/officeDocument/2006/relationships/hyperlink" Target="http://nces.ed.gov/nationsreportcard/tdw/sample_design/2022/missing_stratification_variables_for_the_2022_state_assessment.aspx" TargetMode="External" /><Relationship Id="rId343" Type="http://schemas.openxmlformats.org/officeDocument/2006/relationships/image" Target="media/image177.png" /><Relationship Id="rId344" Type="http://schemas.openxmlformats.org/officeDocument/2006/relationships/image" Target="media/image178.png" /><Relationship Id="rId345" Type="http://schemas.openxmlformats.org/officeDocument/2006/relationships/image" Target="media/image179.png" /><Relationship Id="rId346" Type="http://schemas.openxmlformats.org/officeDocument/2006/relationships/image" Target="media/image180.png" /><Relationship Id="rId347" Type="http://schemas.openxmlformats.org/officeDocument/2006/relationships/hyperlink" Target="http://nces.ed.gov/nationsreportcard/tdw/sample_design/2022/stratification_by_achievement_data_and_median_income_for_the_2022_state_assessment.aspx" TargetMode="External" /><Relationship Id="rId348" Type="http://schemas.openxmlformats.org/officeDocument/2006/relationships/image" Target="media/image181.png" /><Relationship Id="rId349" Type="http://schemas.openxmlformats.org/officeDocument/2006/relationships/image" Target="media/image182.png" /><Relationship Id="rId35" Type="http://schemas.openxmlformats.org/officeDocument/2006/relationships/hyperlink" Target="http://nces.ed.gov/nationsreportcard/tdw/sample_design/2022/sch_samp_sizes_pss_based_and_new_school_samp_frames_for_the_2022_eighth_grade_priv_sch_nat_assess_civics_hist.aspx" TargetMode="External" /><Relationship Id="rId350" Type="http://schemas.openxmlformats.org/officeDocument/2006/relationships/image" Target="media/image183.png" /><Relationship Id="rId351" Type="http://schemas.openxmlformats.org/officeDocument/2006/relationships/hyperlink" Target="http://nces.ed.gov/nationsreportcard/tdw/sample_design/2022/stratification_by_race_ethnicity_classification_for_the_2022_state_assessment.aspx" TargetMode="External" /><Relationship Id="rId352" Type="http://schemas.openxmlformats.org/officeDocument/2006/relationships/image" Target="media/image184.png" /><Relationship Id="rId353" Type="http://schemas.openxmlformats.org/officeDocument/2006/relationships/image" Target="media/image185.png" /><Relationship Id="rId354" Type="http://schemas.openxmlformats.org/officeDocument/2006/relationships/image" Target="media/image186.png" /><Relationship Id="rId355" Type="http://schemas.openxmlformats.org/officeDocument/2006/relationships/image" Target="media/image187.png" /><Relationship Id="rId356" Type="http://schemas.openxmlformats.org/officeDocument/2006/relationships/image" Target="media/image188.png" /><Relationship Id="rId357" Type="http://schemas.openxmlformats.org/officeDocument/2006/relationships/image" Target="media/image189.png" /><Relationship Id="rId358" Type="http://schemas.openxmlformats.org/officeDocument/2006/relationships/image" Target="media/image190.png" /><Relationship Id="rId359" Type="http://schemas.openxmlformats.org/officeDocument/2006/relationships/image" Target="media/image191.png" /><Relationship Id="rId36" Type="http://schemas.openxmlformats.org/officeDocument/2006/relationships/hyperlink" Target="http://nces.ed.gov/nationsreportcard/tdw/sample_design/2022/stratification_of_schools_for_the_2022_eighth_grade_private_school_nat_assess_in_civics_and_us_history.aspx" TargetMode="External" /><Relationship Id="rId360" Type="http://schemas.openxmlformats.org/officeDocument/2006/relationships/image" Target="media/image192.png" /><Relationship Id="rId361" Type="http://schemas.openxmlformats.org/officeDocument/2006/relationships/image" Target="media/image193.png" /><Relationship Id="rId362" Type="http://schemas.openxmlformats.org/officeDocument/2006/relationships/image" Target="media/image194.png" /><Relationship Id="rId363" Type="http://schemas.openxmlformats.org/officeDocument/2006/relationships/hyperlink" Target="http://www.census.gov/programs-" TargetMode="External" /><Relationship Id="rId364" Type="http://schemas.openxmlformats.org/officeDocument/2006/relationships/hyperlink" Target="http://nces.ed.gov/nationsreportcard/tdw/sample_design/2022/stratification_by_urbanicity_classification_for_the_2022_state_assessment.aspx" TargetMode="External" /><Relationship Id="rId365" Type="http://schemas.openxmlformats.org/officeDocument/2006/relationships/hyperlink" Target="http://nces.ed.gov/nationsreportcard/tdw/sample_design/2022/student_sample_selection_for_the_2022_state_assessment.aspx" TargetMode="External" /><Relationship Id="rId366" Type="http://schemas.openxmlformats.org/officeDocument/2006/relationships/hyperlink" Target="http://nces.ed.gov/nationsreportcard/tdw/sample_design/2022/target_population_for_the_2022_state_assessment.aspx" TargetMode="External" /><Relationship Id="rId367" Type="http://schemas.openxmlformats.org/officeDocument/2006/relationships/image" Target="media/image195.png" /><Relationship Id="rId368" Type="http://schemas.openxmlformats.org/officeDocument/2006/relationships/image" Target="media/image196.png" /><Relationship Id="rId369" Type="http://schemas.openxmlformats.org/officeDocument/2006/relationships/image" Target="media/image197.png" /><Relationship Id="rId37" Type="http://schemas.openxmlformats.org/officeDocument/2006/relationships/hyperlink" Target="http://nces.ed.gov/nationsreportcard/tdw/sample_design/2022/student_sample_selection_for_the_2022_8th_grade_private_school_nat_assess_in_civics_and_us_history.aspx" TargetMode="External" /><Relationship Id="rId370" Type="http://schemas.openxmlformats.org/officeDocument/2006/relationships/image" Target="media/image198.png" /><Relationship Id="rId371" Type="http://schemas.openxmlformats.org/officeDocument/2006/relationships/image" Target="media/image199.png" /><Relationship Id="rId372" Type="http://schemas.openxmlformats.org/officeDocument/2006/relationships/image" Target="media/image200.png" /><Relationship Id="rId373" Type="http://schemas.openxmlformats.org/officeDocument/2006/relationships/image" Target="media/image201.png" /><Relationship Id="rId374" Type="http://schemas.openxmlformats.org/officeDocument/2006/relationships/image" Target="media/image202.png" /><Relationship Id="rId375" Type="http://schemas.openxmlformats.org/officeDocument/2006/relationships/image" Target="media/image203.png" /><Relationship Id="rId376" Type="http://schemas.openxmlformats.org/officeDocument/2006/relationships/image" Target="media/image204.png" /><Relationship Id="rId377" Type="http://schemas.openxmlformats.org/officeDocument/2006/relationships/image" Target="media/image205.png" /><Relationship Id="rId378" Type="http://schemas.openxmlformats.org/officeDocument/2006/relationships/hyperlink" Target="http://nces.ed.gov/nationsreportcard/tdw/weighting/2022/weighting_procedures_for_the_2022_assessment.aspx" TargetMode="External" /><Relationship Id="rId379" Type="http://schemas.openxmlformats.org/officeDocument/2006/relationships/image" Target="media/image206.png" /><Relationship Id="rId38" Type="http://schemas.openxmlformats.org/officeDocument/2006/relationships/hyperlink" Target="http://nces.ed.gov/nationsreportcard/tdw/sample_design/2022/substitute_schools_for_the_2022_8th_grade_private_school_nat_assess_in_civics_and_us_history.aspx" TargetMode="External" /><Relationship Id="rId380" Type="http://schemas.openxmlformats.org/officeDocument/2006/relationships/image" Target="media/image207.png" /><Relationship Id="rId381" Type="http://schemas.openxmlformats.org/officeDocument/2006/relationships/hyperlink" Target="http://nces.ed.gov/nationsreportcard/tdw/weighting/2022/computation_of_full_sample_school_weights_for_the_2022_assessment.aspx" TargetMode="External" /><Relationship Id="rId382" Type="http://schemas.openxmlformats.org/officeDocument/2006/relationships/image" Target="media/image208.png" /><Relationship Id="rId383" Type="http://schemas.openxmlformats.org/officeDocument/2006/relationships/image" Target="media/image209.png" /><Relationship Id="rId384" Type="http://schemas.openxmlformats.org/officeDocument/2006/relationships/image" Target="media/image210.png" /><Relationship Id="rId385" Type="http://schemas.openxmlformats.org/officeDocument/2006/relationships/image" Target="media/image211.png" /><Relationship Id="rId386" Type="http://schemas.openxmlformats.org/officeDocument/2006/relationships/image" Target="media/image212.png" /><Relationship Id="rId387" Type="http://schemas.openxmlformats.org/officeDocument/2006/relationships/image" Target="media/image213.png" /><Relationship Id="rId388" Type="http://schemas.openxmlformats.org/officeDocument/2006/relationships/image" Target="media/image214.png" /><Relationship Id="rId389" Type="http://schemas.openxmlformats.org/officeDocument/2006/relationships/image" Target="media/image215.png" /><Relationship Id="rId39" Type="http://schemas.openxmlformats.org/officeDocument/2006/relationships/hyperlink" Target="http://nces.ed.gov/nationsreportcard/tdw/sample_design/2022/target_population_for_the_2022_eighth_grade_private_school_nat_assess_in_civics_and_us_history.aspx" TargetMode="External" /><Relationship Id="rId390" Type="http://schemas.openxmlformats.org/officeDocument/2006/relationships/image" Target="media/image216.png" /><Relationship Id="rId391" Type="http://schemas.openxmlformats.org/officeDocument/2006/relationships/image" Target="media/image217.png" /><Relationship Id="rId392" Type="http://schemas.openxmlformats.org/officeDocument/2006/relationships/image" Target="media/image218.png" /><Relationship Id="rId393" Type="http://schemas.openxmlformats.org/officeDocument/2006/relationships/image" Target="media/image219.png" /><Relationship Id="rId394" Type="http://schemas.openxmlformats.org/officeDocument/2006/relationships/hyperlink" Target="http://nces.ed.gov/nationsreportcard/tdw/weighting/2022/computation_of_full_sample_student_weights_for_the_2022_assessment.aspx" TargetMode="External" /><Relationship Id="rId395" Type="http://schemas.openxmlformats.org/officeDocument/2006/relationships/image" Target="media/image220.png" /><Relationship Id="rId396" Type="http://schemas.openxmlformats.org/officeDocument/2006/relationships/image" Target="media/image221.png" /><Relationship Id="rId397" Type="http://schemas.openxmlformats.org/officeDocument/2006/relationships/image" Target="media/image222.png" /><Relationship Id="rId398" Type="http://schemas.openxmlformats.org/officeDocument/2006/relationships/image" Target="media/image223.png" /><Relationship Id="rId399" Type="http://schemas.openxmlformats.org/officeDocument/2006/relationships/image" Target="media/image224.png" /><Relationship Id="rId4" Type="http://schemas.openxmlformats.org/officeDocument/2006/relationships/customXml" Target="../customXml/item1.xml" /><Relationship Id="rId40" Type="http://schemas.openxmlformats.org/officeDocument/2006/relationships/hyperlink" Target="http://nces.ed.gov/nationsreportcard/tdw/sample_design/2022/2022_eighth_grade_public_school_nat_assess_in_civics_and_us_history.aspx" TargetMode="External" /><Relationship Id="rId400" Type="http://schemas.openxmlformats.org/officeDocument/2006/relationships/hyperlink" Target="http://nces.ed.gov/nationsreportcard/tdw/weighting/2022/computation_of_base_weights_for_the_2022_assessment.aspx" TargetMode="External" /><Relationship Id="rId401" Type="http://schemas.openxmlformats.org/officeDocument/2006/relationships/image" Target="media/image225.png" /><Relationship Id="rId402" Type="http://schemas.openxmlformats.org/officeDocument/2006/relationships/image" Target="media/image226.png" /><Relationship Id="rId403" Type="http://schemas.openxmlformats.org/officeDocument/2006/relationships/hyperlink" Target="http://nces.ed.gov/nationsreportcard/tdw/weighting/2022/school_base_weights_for_the_2022_assessment.aspx" TargetMode="External" /><Relationship Id="rId404" Type="http://schemas.openxmlformats.org/officeDocument/2006/relationships/image" Target="media/image227.png" /><Relationship Id="rId405" Type="http://schemas.openxmlformats.org/officeDocument/2006/relationships/image" Target="media/image228.png" /><Relationship Id="rId406" Type="http://schemas.openxmlformats.org/officeDocument/2006/relationships/image" Target="media/image229.png" /><Relationship Id="rId407" Type="http://schemas.openxmlformats.org/officeDocument/2006/relationships/image" Target="media/image230.png" /><Relationship Id="rId408" Type="http://schemas.openxmlformats.org/officeDocument/2006/relationships/image" Target="media/image231.png" /><Relationship Id="rId409" Type="http://schemas.openxmlformats.org/officeDocument/2006/relationships/image" Target="media/image232.png" /><Relationship Id="rId41" Type="http://schemas.openxmlformats.org/officeDocument/2006/relationships/hyperlink" Target="http://nces.ed.gov/nationsreportcard/tdw/sample_design/2022/ineligible_schools_for_the_2022_eighth_grade_public_school_nat_assess_in_civics_and_us_history.aspx" TargetMode="External" /><Relationship Id="rId410" Type="http://schemas.openxmlformats.org/officeDocument/2006/relationships/image" Target="media/image233.png" /><Relationship Id="rId411" Type="http://schemas.openxmlformats.org/officeDocument/2006/relationships/hyperlink" Target="http://nces.ed.gov/nationsreportcard/tdw/weighting/2022/student_base_weights_for_the_2022_assessment.aspx" TargetMode="External" /><Relationship Id="rId412" Type="http://schemas.openxmlformats.org/officeDocument/2006/relationships/hyperlink" Target="http://nces.ed.gov/nationsreportcard/tdw/weighting/2022/school_and_student_nonresponse_weight_adjustments_for_the_2022_assessment.aspx" TargetMode="External" /><Relationship Id="rId413" Type="http://schemas.openxmlformats.org/officeDocument/2006/relationships/image" Target="media/image234.png" /><Relationship Id="rId414" Type="http://schemas.openxmlformats.org/officeDocument/2006/relationships/image" Target="media/image235.png" /><Relationship Id="rId415" Type="http://schemas.openxmlformats.org/officeDocument/2006/relationships/image" Target="media/image236.png" /><Relationship Id="rId416" Type="http://schemas.openxmlformats.org/officeDocument/2006/relationships/image" Target="media/image237.png" /><Relationship Id="rId417" Type="http://schemas.openxmlformats.org/officeDocument/2006/relationships/hyperlink" Target="http://nces.ed.gov/nationsreportcard/tdw/weighting/2022/school_nonresponse_weight_adjustment_for_the_2022_assessment.aspx" TargetMode="External" /><Relationship Id="rId418" Type="http://schemas.openxmlformats.org/officeDocument/2006/relationships/hyperlink" Target="http://nces.ed.gov/nationsreportcard/tdw/weighting/2022/development_of_final_school_nonresponse_cells_for_the_2022_assessment.aspx" TargetMode="External" /><Relationship Id="rId419" Type="http://schemas.openxmlformats.org/officeDocument/2006/relationships/image" Target="media/image238.png" /><Relationship Id="rId42" Type="http://schemas.openxmlformats.org/officeDocument/2006/relationships/hyperlink" Target="http://nces.ed.gov/nationsreportcard/tdw/sample_design/2022/eligibility_status_of_schools_sampled_for_the_2022_eighth_grade_public_school_nat_assess_in_civics_and_us_hist.aspx" TargetMode="External" /><Relationship Id="rId420" Type="http://schemas.openxmlformats.org/officeDocument/2006/relationships/image" Target="media/image239.png" /><Relationship Id="rId421" Type="http://schemas.openxmlformats.org/officeDocument/2006/relationships/image" Target="media/image240.png" /><Relationship Id="rId422" Type="http://schemas.openxmlformats.org/officeDocument/2006/relationships/image" Target="media/image241.png" /><Relationship Id="rId423" Type="http://schemas.openxmlformats.org/officeDocument/2006/relationships/image" Target="media/image242.png" /><Relationship Id="rId424" Type="http://schemas.openxmlformats.org/officeDocument/2006/relationships/image" Target="media/image243.png" /><Relationship Id="rId425" Type="http://schemas.openxmlformats.org/officeDocument/2006/relationships/image" Target="media/image244.png" /><Relationship Id="rId426" Type="http://schemas.openxmlformats.org/officeDocument/2006/relationships/image" Target="media/image245.png" /><Relationship Id="rId427" Type="http://schemas.openxmlformats.org/officeDocument/2006/relationships/image" Target="media/image246.png" /><Relationship Id="rId428" Type="http://schemas.openxmlformats.org/officeDocument/2006/relationships/image" Target="media/image247.png" /><Relationship Id="rId429" Type="http://schemas.openxmlformats.org/officeDocument/2006/relationships/image" Target="media/image248.png" /><Relationship Id="rId43" Type="http://schemas.openxmlformats.org/officeDocument/2006/relationships/hyperlink" Target="http://nces.ed.gov/nationsreportcard/tdw/sample_design/2022/total_and_eligible_sampled_schools_for_the_2022_eighth_grade_public_school_nat_assess_in_civics_and_us_history.aspx" TargetMode="External" /><Relationship Id="rId430" Type="http://schemas.openxmlformats.org/officeDocument/2006/relationships/image" Target="media/image249.png" /><Relationship Id="rId431" Type="http://schemas.openxmlformats.org/officeDocument/2006/relationships/image" Target="media/image250.png" /><Relationship Id="rId432" Type="http://schemas.openxmlformats.org/officeDocument/2006/relationships/image" Target="media/image251.png" /><Relationship Id="rId433" Type="http://schemas.openxmlformats.org/officeDocument/2006/relationships/image" Target="media/image252.png" /><Relationship Id="rId434" Type="http://schemas.openxmlformats.org/officeDocument/2006/relationships/image" Target="media/image253.png" /><Relationship Id="rId435" Type="http://schemas.openxmlformats.org/officeDocument/2006/relationships/image" Target="media/image254.png" /><Relationship Id="rId436" Type="http://schemas.openxmlformats.org/officeDocument/2006/relationships/image" Target="media/image255.png" /><Relationship Id="rId437" Type="http://schemas.openxmlformats.org/officeDocument/2006/relationships/image" Target="media/image256.png" /><Relationship Id="rId438" Type="http://schemas.openxmlformats.org/officeDocument/2006/relationships/hyperlink" Target="http://nces.ed.gov/nationsreportcard/tdw/weighting/2022/development_of_initial_school_nonresponse_cells_for_the_2022_assessment.aspx" TargetMode="External" /><Relationship Id="rId439" Type="http://schemas.openxmlformats.org/officeDocument/2006/relationships/image" Target="media/image257.png" /><Relationship Id="rId44" Type="http://schemas.openxmlformats.org/officeDocument/2006/relationships/hyperlink" Target="http://nces.ed.gov/nationsreportcard/tdw/sample_design/2022/sampling_frame_for_the_2022_eighth_grade_public_school_nat_assess_in_civics_and_us_history.aspx" TargetMode="External" /><Relationship Id="rId440" Type="http://schemas.openxmlformats.org/officeDocument/2006/relationships/image" Target="media/image258.png" /><Relationship Id="rId441" Type="http://schemas.openxmlformats.org/officeDocument/2006/relationships/image" Target="media/image259.png" /><Relationship Id="rId442" Type="http://schemas.openxmlformats.org/officeDocument/2006/relationships/image" Target="media/image260.png" /><Relationship Id="rId443" Type="http://schemas.openxmlformats.org/officeDocument/2006/relationships/image" Target="media/image261.png" /><Relationship Id="rId444" Type="http://schemas.openxmlformats.org/officeDocument/2006/relationships/image" Target="media/image262.png" /><Relationship Id="rId445" Type="http://schemas.openxmlformats.org/officeDocument/2006/relationships/hyperlink" Target="http://nces.ed.gov/nationsreportcard/tdw/weighting/2022/school_nonresponse_adjustment_factor_calculation_for_the_2022_assessment.aspx" TargetMode="External" /><Relationship Id="rId446" Type="http://schemas.openxmlformats.org/officeDocument/2006/relationships/image" Target="media/image263.png" /><Relationship Id="rId447" Type="http://schemas.openxmlformats.org/officeDocument/2006/relationships/image" Target="media/image264.png" /><Relationship Id="rId448" Type="http://schemas.openxmlformats.org/officeDocument/2006/relationships/image" Target="media/image265.png" /><Relationship Id="rId449" Type="http://schemas.openxmlformats.org/officeDocument/2006/relationships/hyperlink" Target="http://nces.ed.gov/nationsreportcard/tdw/weighting/2022/student_nonresponse_weight_adjustment_for_the_2022_assessment.aspx" TargetMode="External" /><Relationship Id="rId45" Type="http://schemas.openxmlformats.org/officeDocument/2006/relationships/hyperlink" Target="http://nces.ed.gov/nationsreportcard/tdw/sample_design/2022/eighth_grade_schools_and_enrollment_in_the_2022_public_school_civics_and_us_history_sampling_frame.aspx" TargetMode="External" /><Relationship Id="rId450" Type="http://schemas.openxmlformats.org/officeDocument/2006/relationships/hyperlink" Target="http://nces.ed.gov/nationsreportcard/tdw/weighting/2022/development_of_final_student_nonresponse_cells_for_the_2022_assessment.aspx" TargetMode="External" /><Relationship Id="rId451" Type="http://schemas.openxmlformats.org/officeDocument/2006/relationships/image" Target="media/image266.png" /><Relationship Id="rId452" Type="http://schemas.openxmlformats.org/officeDocument/2006/relationships/image" Target="media/image267.png" /><Relationship Id="rId453" Type="http://schemas.openxmlformats.org/officeDocument/2006/relationships/image" Target="media/image268.png" /><Relationship Id="rId454" Type="http://schemas.openxmlformats.org/officeDocument/2006/relationships/image" Target="media/image269.png" /><Relationship Id="rId455" Type="http://schemas.openxmlformats.org/officeDocument/2006/relationships/image" Target="media/image270.png" /><Relationship Id="rId456" Type="http://schemas.openxmlformats.org/officeDocument/2006/relationships/image" Target="media/image271.png" /><Relationship Id="rId457" Type="http://schemas.openxmlformats.org/officeDocument/2006/relationships/image" Target="media/image272.png" /><Relationship Id="rId458" Type="http://schemas.openxmlformats.org/officeDocument/2006/relationships/image" Target="media/image273.png" /><Relationship Id="rId459" Type="http://schemas.openxmlformats.org/officeDocument/2006/relationships/image" Target="media/image274.png" /><Relationship Id="rId46" Type="http://schemas.openxmlformats.org/officeDocument/2006/relationships/image" Target="media/image12.png" /><Relationship Id="rId460" Type="http://schemas.openxmlformats.org/officeDocument/2006/relationships/image" Target="media/image275.png" /><Relationship Id="rId461" Type="http://schemas.openxmlformats.org/officeDocument/2006/relationships/image" Target="media/image276.png" /><Relationship Id="rId462" Type="http://schemas.openxmlformats.org/officeDocument/2006/relationships/image" Target="media/image277.png" /><Relationship Id="rId463" Type="http://schemas.openxmlformats.org/officeDocument/2006/relationships/image" Target="media/image278.png" /><Relationship Id="rId464" Type="http://schemas.openxmlformats.org/officeDocument/2006/relationships/image" Target="media/image279.png" /><Relationship Id="rId465" Type="http://schemas.openxmlformats.org/officeDocument/2006/relationships/image" Target="media/image280.png" /><Relationship Id="rId466" Type="http://schemas.openxmlformats.org/officeDocument/2006/relationships/image" Target="media/image281.png" /><Relationship Id="rId467" Type="http://schemas.openxmlformats.org/officeDocument/2006/relationships/image" Target="media/image282.png" /><Relationship Id="rId468" Type="http://schemas.openxmlformats.org/officeDocument/2006/relationships/image" Target="media/image283.png" /><Relationship Id="rId469" Type="http://schemas.openxmlformats.org/officeDocument/2006/relationships/image" Target="media/image284.png" /><Relationship Id="rId47" Type="http://schemas.openxmlformats.org/officeDocument/2006/relationships/image" Target="media/image13.png" /><Relationship Id="rId470" Type="http://schemas.openxmlformats.org/officeDocument/2006/relationships/image" Target="media/image285.png" /><Relationship Id="rId471" Type="http://schemas.openxmlformats.org/officeDocument/2006/relationships/image" Target="media/image286.png" /><Relationship Id="rId472" Type="http://schemas.openxmlformats.org/officeDocument/2006/relationships/image" Target="media/image287.png" /><Relationship Id="rId473" Type="http://schemas.openxmlformats.org/officeDocument/2006/relationships/image" Target="media/image288.png" /><Relationship Id="rId474" Type="http://schemas.openxmlformats.org/officeDocument/2006/relationships/image" Target="media/image289.png" /><Relationship Id="rId475" Type="http://schemas.openxmlformats.org/officeDocument/2006/relationships/hyperlink" Target="http://nces.ed.gov/nationsreportcard/tdw/weighting/2022/development_of_initial_student_nonresponse_cells_for_the_2022_assessment.aspx" TargetMode="External" /><Relationship Id="rId476" Type="http://schemas.openxmlformats.org/officeDocument/2006/relationships/image" Target="media/image290.png" /><Relationship Id="rId477" Type="http://schemas.openxmlformats.org/officeDocument/2006/relationships/image" Target="media/image291.png" /><Relationship Id="rId478" Type="http://schemas.openxmlformats.org/officeDocument/2006/relationships/image" Target="media/image292.png" /><Relationship Id="rId479" Type="http://schemas.openxmlformats.org/officeDocument/2006/relationships/image" Target="media/image293.png" /><Relationship Id="rId48" Type="http://schemas.openxmlformats.org/officeDocument/2006/relationships/image" Target="media/image14.png" /><Relationship Id="rId480" Type="http://schemas.openxmlformats.org/officeDocument/2006/relationships/image" Target="media/image294.png" /><Relationship Id="rId481" Type="http://schemas.openxmlformats.org/officeDocument/2006/relationships/image" Target="media/image295.png" /><Relationship Id="rId482" Type="http://schemas.openxmlformats.org/officeDocument/2006/relationships/hyperlink" Target="http://nces.ed.gov/nationsreportcard/tdw/weighting/2022/student_nonresponse_adjustment_factor_calculation_for_the_2022_assessment.aspx" TargetMode="External" /><Relationship Id="rId483" Type="http://schemas.openxmlformats.org/officeDocument/2006/relationships/hyperlink" Target="http://nces.ed.gov/nationsreportcard/tdw/weighting/2022/school_and_student_weight_trimming_adjustments_for_the_2022_assessment.aspx" TargetMode="External" /><Relationship Id="rId484" Type="http://schemas.openxmlformats.org/officeDocument/2006/relationships/image" Target="media/image296.png" /><Relationship Id="rId485" Type="http://schemas.openxmlformats.org/officeDocument/2006/relationships/image" Target="media/image297.png" /><Relationship Id="rId486" Type="http://schemas.openxmlformats.org/officeDocument/2006/relationships/image" Target="media/image298.png" /><Relationship Id="rId487" Type="http://schemas.openxmlformats.org/officeDocument/2006/relationships/image" Target="media/image299.png" /><Relationship Id="rId488" Type="http://schemas.openxmlformats.org/officeDocument/2006/relationships/image" Target="media/image300.png" /><Relationship Id="rId489" Type="http://schemas.openxmlformats.org/officeDocument/2006/relationships/hyperlink" Target="http://nces.ed.gov/nationsreportcard/tdw/weighting/2022/trimming_of_school_base_weights_for_the_2022_assessment.aspx" TargetMode="External" /><Relationship Id="rId49" Type="http://schemas.openxmlformats.org/officeDocument/2006/relationships/image" Target="media/image15.png" /><Relationship Id="rId490" Type="http://schemas.openxmlformats.org/officeDocument/2006/relationships/image" Target="media/image301.png" /><Relationship Id="rId491" Type="http://schemas.openxmlformats.org/officeDocument/2006/relationships/image" Target="media/image302.png" /><Relationship Id="rId492" Type="http://schemas.openxmlformats.org/officeDocument/2006/relationships/image" Target="media/image303.png" /><Relationship Id="rId493" Type="http://schemas.openxmlformats.org/officeDocument/2006/relationships/hyperlink" Target="http://nces.ed.gov/nationsreportcard/tdw/weighting/2022/trimming_of_student_weights_for_the_2022_assessment.aspx" TargetMode="External" /><Relationship Id="rId494" Type="http://schemas.openxmlformats.org/officeDocument/2006/relationships/hyperlink" Target="http://nces.ed.gov/nationsreportcard/tdw/weighting/2022/student_weight_raking_adjustment_for_the_2022_assessment.aspx" TargetMode="External" /><Relationship Id="rId495" Type="http://schemas.openxmlformats.org/officeDocument/2006/relationships/hyperlink" Target="http://nces.ed.gov/nationsreportcard/tdw/weighting/2022/development_of_final_raking_dimensions_for_the_2022_assessment.aspx" TargetMode="External" /><Relationship Id="rId496" Type="http://schemas.openxmlformats.org/officeDocument/2006/relationships/image" Target="media/image304.png" /><Relationship Id="rId497" Type="http://schemas.openxmlformats.org/officeDocument/2006/relationships/image" Target="media/image305.png" /><Relationship Id="rId498" Type="http://schemas.openxmlformats.org/officeDocument/2006/relationships/image" Target="media/image306.png" /><Relationship Id="rId499" Type="http://schemas.openxmlformats.org/officeDocument/2006/relationships/image" Target="media/image307.png" /><Relationship Id="rId5" Type="http://schemas.openxmlformats.org/officeDocument/2006/relationships/customXml" Target="../customXml/item2.xml" /><Relationship Id="rId50" Type="http://schemas.openxmlformats.org/officeDocument/2006/relationships/hyperlink" Target="http://nces.ed.gov/nationsreportcard/tdw/sample_design/2022/new_school_sampling_frame_for_the_2022_eighth_grade_public_school_nat_assess_in_civics_and_us_history.aspx" TargetMode="External" /><Relationship Id="rId500" Type="http://schemas.openxmlformats.org/officeDocument/2006/relationships/image" Target="media/image308.png" /><Relationship Id="rId501" Type="http://schemas.openxmlformats.org/officeDocument/2006/relationships/image" Target="media/image309.png" /><Relationship Id="rId502" Type="http://schemas.openxmlformats.org/officeDocument/2006/relationships/image" Target="media/image310.png" /><Relationship Id="rId503" Type="http://schemas.openxmlformats.org/officeDocument/2006/relationships/hyperlink" Target="http://nces.ed.gov/nationsreportcard/tdw/weighting/2022/raking_adjustment_control_totals_for_the_2022_assessment.aspx" TargetMode="External" /><Relationship Id="rId504" Type="http://schemas.openxmlformats.org/officeDocument/2006/relationships/image" Target="media/image311.png" /><Relationship Id="rId505" Type="http://schemas.openxmlformats.org/officeDocument/2006/relationships/image" Target="media/image312.png" /><Relationship Id="rId506" Type="http://schemas.openxmlformats.org/officeDocument/2006/relationships/image" Target="media/image313.png" /><Relationship Id="rId507" Type="http://schemas.openxmlformats.org/officeDocument/2006/relationships/image" Target="media/image314.png" /><Relationship Id="rId508" Type="http://schemas.openxmlformats.org/officeDocument/2006/relationships/image" Target="media/image315.png" /><Relationship Id="rId509" Type="http://schemas.openxmlformats.org/officeDocument/2006/relationships/image" Target="media/image316.png" /><Relationship Id="rId51" Type="http://schemas.openxmlformats.org/officeDocument/2006/relationships/image" Target="media/image16.png" /><Relationship Id="rId510" Type="http://schemas.openxmlformats.org/officeDocument/2006/relationships/image" Target="media/image317.png" /><Relationship Id="rId511" Type="http://schemas.openxmlformats.org/officeDocument/2006/relationships/hyperlink" Target="http://nces.ed.gov/nationsreportcard/tdw/weighting/2022/raking_adjustment_factor_calculation_for_the_2022_assessment.aspx" TargetMode="External" /><Relationship Id="rId512" Type="http://schemas.openxmlformats.org/officeDocument/2006/relationships/image" Target="media/image318.png" /><Relationship Id="rId513" Type="http://schemas.openxmlformats.org/officeDocument/2006/relationships/hyperlink" Target="http://nces.ed.gov/nationsreportcard/tdw/weighting/2022/computation_of_replicate_school_weights_for_variance_estimation_for_the_2022_assessment.aspx" TargetMode="External" /><Relationship Id="rId514" Type="http://schemas.openxmlformats.org/officeDocument/2006/relationships/hyperlink" Target="http://nces.ed.gov/nationsreportcard/tdw/weighting/2022/computation_of_replicate_student_weights_for_variance_estimation_for_the_2022_assessment.aspx" TargetMode="External" /><Relationship Id="rId515" Type="http://schemas.openxmlformats.org/officeDocument/2006/relationships/image" Target="media/image319.png" /><Relationship Id="rId516" Type="http://schemas.openxmlformats.org/officeDocument/2006/relationships/image" Target="media/image320.png" /><Relationship Id="rId517" Type="http://schemas.openxmlformats.org/officeDocument/2006/relationships/image" Target="media/image321.png" /><Relationship Id="rId518" Type="http://schemas.openxmlformats.org/officeDocument/2006/relationships/hyperlink" Target="http://nces.ed.gov/nationsreportcard/tdw/weighting/2022/computing_school_level_replicate_factors_for_the_2022_assessment.aspx" TargetMode="External" /><Relationship Id="rId519" Type="http://schemas.openxmlformats.org/officeDocument/2006/relationships/image" Target="media/image322.png" /><Relationship Id="rId52" Type="http://schemas.openxmlformats.org/officeDocument/2006/relationships/image" Target="media/image17.png" /><Relationship Id="rId520" Type="http://schemas.openxmlformats.org/officeDocument/2006/relationships/image" Target="media/image323.png" /><Relationship Id="rId521" Type="http://schemas.openxmlformats.org/officeDocument/2006/relationships/image" Target="media/image324.png" /><Relationship Id="rId522" Type="http://schemas.openxmlformats.org/officeDocument/2006/relationships/image" Target="media/image325.png" /><Relationship Id="rId523" Type="http://schemas.openxmlformats.org/officeDocument/2006/relationships/image" Target="media/image326.png" /><Relationship Id="rId524" Type="http://schemas.openxmlformats.org/officeDocument/2006/relationships/hyperlink" Target="http://nces.ed.gov/nationsreportcard/tdw/weighting/2022/computing_student_level_replicate_factors_for_the_2022_assessment.aspx" TargetMode="External" /><Relationship Id="rId525" Type="http://schemas.openxmlformats.org/officeDocument/2006/relationships/image" Target="media/image327.png" /><Relationship Id="rId526" Type="http://schemas.openxmlformats.org/officeDocument/2006/relationships/image" Target="media/image328.png" /><Relationship Id="rId527" Type="http://schemas.openxmlformats.org/officeDocument/2006/relationships/image" Target="media/image329.png" /><Relationship Id="rId528" Type="http://schemas.openxmlformats.org/officeDocument/2006/relationships/image" Target="media/image330.png" /><Relationship Id="rId529" Type="http://schemas.openxmlformats.org/officeDocument/2006/relationships/hyperlink" Target="http://nces.ed.gov/nationsreportcard/tdw/weighting/2022/defining_variance_strata_and_forming_replicates_for_the_2022_assessment.aspx" TargetMode="External" /><Relationship Id="rId53" Type="http://schemas.openxmlformats.org/officeDocument/2006/relationships/image" Target="media/image18.png" /><Relationship Id="rId530" Type="http://schemas.openxmlformats.org/officeDocument/2006/relationships/image" Target="media/image331.png" /><Relationship Id="rId531" Type="http://schemas.openxmlformats.org/officeDocument/2006/relationships/image" Target="media/image332.png" /><Relationship Id="rId532" Type="http://schemas.openxmlformats.org/officeDocument/2006/relationships/hyperlink" Target="http://nces.ed.gov/nationsreportcard/tdw/weighting/2022/replicate_variance_estimation_for_the_2022_assessment.aspx" TargetMode="External" /><Relationship Id="rId533" Type="http://schemas.openxmlformats.org/officeDocument/2006/relationships/image" Target="media/image333.png" /><Relationship Id="rId534" Type="http://schemas.openxmlformats.org/officeDocument/2006/relationships/image" Target="media/image334.png" /><Relationship Id="rId535" Type="http://schemas.openxmlformats.org/officeDocument/2006/relationships/image" Target="media/image335.png" /><Relationship Id="rId536" Type="http://schemas.openxmlformats.org/officeDocument/2006/relationships/image" Target="media/image336.png" /><Relationship Id="rId537" Type="http://schemas.openxmlformats.org/officeDocument/2006/relationships/image" Target="media/image337.png" /><Relationship Id="rId538" Type="http://schemas.openxmlformats.org/officeDocument/2006/relationships/hyperlink" Target="http://nces.ed.gov/nationsreportcard/tdw/weighting/2022/quality_control_on_weighting_procedures_for_the_2022_assessment.aspx" TargetMode="External" /><Relationship Id="rId539" Type="http://schemas.openxmlformats.org/officeDocument/2006/relationships/hyperlink" Target="http://nces.ed.gov/nationsreportcard/tdw/weighting/2022/final_participation_exclusion_and_accommodation_rates_for_the_2022_assessment.aspx" TargetMode="External" /><Relationship Id="rId54" Type="http://schemas.openxmlformats.org/officeDocument/2006/relationships/image" Target="media/image19.png" /><Relationship Id="rId540" Type="http://schemas.openxmlformats.org/officeDocument/2006/relationships/hyperlink" Target="http://nces.ed.gov/nationsreportcard/tdw/weighting/2022/participation_exclusion_and_accommodation_rates_for_age_13_mathematics.aspx" TargetMode="External" /><Relationship Id="rId541" Type="http://schemas.openxmlformats.org/officeDocument/2006/relationships/hyperlink" Target="http://nces.ed.gov/nationsreportcard/tdw/weighting/2022/participation_exclusion_and_accommodation_rates_for_age_13_reading.aspx" TargetMode="External" /><Relationship Id="rId542" Type="http://schemas.openxmlformats.org/officeDocument/2006/relationships/hyperlink" Target="http://nces.ed.gov/nationsreportcard/tdw/weighting/2022/participation_exclusion_and_accommodation_rates_for_age_9_mathematics.aspx" TargetMode="External" /><Relationship Id="rId543" Type="http://schemas.openxmlformats.org/officeDocument/2006/relationships/hyperlink" Target="http://nces.ed.gov/nationsreportcard/tdw/weighting/2022/participation_exclusion_and_accommodation_rates_for_age_9_reading.aspx" TargetMode="External" /><Relationship Id="rId544" Type="http://schemas.openxmlformats.org/officeDocument/2006/relationships/header" Target="header22.xml" /><Relationship Id="rId545" Type="http://schemas.openxmlformats.org/officeDocument/2006/relationships/footer" Target="footer22.xml" /><Relationship Id="rId546" Type="http://schemas.openxmlformats.org/officeDocument/2006/relationships/hyperlink" Target="http://nces.ed.gov/nationsreportcard/tdw/weighting/2022/participation_exclusion_and_accommodation_rates_for_grade_4_mathematics_for_the_2022_assessment.aspx" TargetMode="External" /><Relationship Id="rId547" Type="http://schemas.openxmlformats.org/officeDocument/2006/relationships/header" Target="header23.xml" /><Relationship Id="rId548" Type="http://schemas.openxmlformats.org/officeDocument/2006/relationships/footer" Target="footer23.xml" /><Relationship Id="rId549" Type="http://schemas.openxmlformats.org/officeDocument/2006/relationships/header" Target="header24.xml" /><Relationship Id="rId55" Type="http://schemas.openxmlformats.org/officeDocument/2006/relationships/hyperlink" Target="http://nces.ed.gov/nationsreportcard/tdw/sample_design/2022/school_and_student_participation_in_the_2022_eighth_grade_public_school_nat_assess_in_civics_and_us_history.aspx" TargetMode="External" /><Relationship Id="rId550" Type="http://schemas.openxmlformats.org/officeDocument/2006/relationships/footer" Target="footer24.xml" /><Relationship Id="rId551" Type="http://schemas.openxmlformats.org/officeDocument/2006/relationships/header" Target="header25.xml" /><Relationship Id="rId552" Type="http://schemas.openxmlformats.org/officeDocument/2006/relationships/footer" Target="footer25.xml" /><Relationship Id="rId553" Type="http://schemas.openxmlformats.org/officeDocument/2006/relationships/hyperlink" Target="http://nces.ed.gov/nationsreportcard/tdw/weighting/2022/participation_exclusion_and_accommodation_rates_for_grade_4_reading_for_the_2022_assessment.aspx" TargetMode="External" /><Relationship Id="rId554" Type="http://schemas.openxmlformats.org/officeDocument/2006/relationships/header" Target="header26.xml" /><Relationship Id="rId555" Type="http://schemas.openxmlformats.org/officeDocument/2006/relationships/footer" Target="footer26.xml" /><Relationship Id="rId556" Type="http://schemas.openxmlformats.org/officeDocument/2006/relationships/hyperlink" Target="http://nces.ed.gov/nationsreportcard/tdw/weighting/2022/participation_exclusion_and_accommodation_rates_for_grade_8_civics_for_the_2022_assessment.aspx" TargetMode="External" /><Relationship Id="rId557" Type="http://schemas.openxmlformats.org/officeDocument/2006/relationships/header" Target="header27.xml" /><Relationship Id="rId558" Type="http://schemas.openxmlformats.org/officeDocument/2006/relationships/footer" Target="footer27.xml" /><Relationship Id="rId559" Type="http://schemas.openxmlformats.org/officeDocument/2006/relationships/hyperlink" Target="http://nces.ed.gov/nationsreportcard/tdw/weighting/2022/participation_exclusion_and_accommodation_rates_for_grade_8_mathematics_for_the_2022_assessment.aspx" TargetMode="External" /><Relationship Id="rId56" Type="http://schemas.openxmlformats.org/officeDocument/2006/relationships/hyperlink" Target="http://nces.ed.gov/nationsreportcard/tdw/sample_design/2022/weighted_school_response_rates_for_the_2022_eighth_grade_public_school_nat_assess_in_civics_and_us_history.aspx" TargetMode="External" /><Relationship Id="rId560" Type="http://schemas.openxmlformats.org/officeDocument/2006/relationships/header" Target="header28.xml" /><Relationship Id="rId561" Type="http://schemas.openxmlformats.org/officeDocument/2006/relationships/footer" Target="footer28.xml" /><Relationship Id="rId562" Type="http://schemas.openxmlformats.org/officeDocument/2006/relationships/header" Target="header29.xml" /><Relationship Id="rId563" Type="http://schemas.openxmlformats.org/officeDocument/2006/relationships/footer" Target="footer29.xml" /><Relationship Id="rId564" Type="http://schemas.openxmlformats.org/officeDocument/2006/relationships/hyperlink" Target="http://nces.ed.gov/nationsreportcard/tdw/weighting/2022/participation_exclusion_and_accommodation_rates_for_grade_8_reading_for_the_2022_assessment.aspx" TargetMode="External" /><Relationship Id="rId565" Type="http://schemas.openxmlformats.org/officeDocument/2006/relationships/header" Target="header30.xml" /><Relationship Id="rId566" Type="http://schemas.openxmlformats.org/officeDocument/2006/relationships/footer" Target="footer30.xml" /><Relationship Id="rId567" Type="http://schemas.openxmlformats.org/officeDocument/2006/relationships/hyperlink" Target="http://nces.ed.gov/nationsreportcard/tdw/weighting/2022/participation_exclusion_and_accommodation_rates_for_grade_8_u_s_history_for_the_2022_assessment.aspx" TargetMode="External" /><Relationship Id="rId568" Type="http://schemas.openxmlformats.org/officeDocument/2006/relationships/image" Target="media/image338.png" /><Relationship Id="rId569" Type="http://schemas.openxmlformats.org/officeDocument/2006/relationships/image" Target="media/image339.png" /><Relationship Id="rId57" Type="http://schemas.openxmlformats.org/officeDocument/2006/relationships/hyperlink" Target="http://nces.ed.gov/nationsreportcard/tdw/sample_design/2022/weighted_student_response_and_exclusion_rates_for_the_2022_eighth_grade_public_school_nat_civics_assess.aspx" TargetMode="External" /><Relationship Id="rId570" Type="http://schemas.openxmlformats.org/officeDocument/2006/relationships/image" Target="media/image340.png" /><Relationship Id="rId571" Type="http://schemas.openxmlformats.org/officeDocument/2006/relationships/hyperlink" Target="http://nces.ed.gov/nationsreportcard/tdw/weighting/2022/nonresponse_bias_analyses_for_the_2022_assessment.aspx" TargetMode="External" /><Relationship Id="rId572" Type="http://schemas.openxmlformats.org/officeDocument/2006/relationships/theme" Target="theme/theme1.xml" /><Relationship Id="rId573" Type="http://schemas.openxmlformats.org/officeDocument/2006/relationships/numbering" Target="numbering.xml" /><Relationship Id="rId574" Type="http://schemas.openxmlformats.org/officeDocument/2006/relationships/styles" Target="styles.xml" /><Relationship Id="rId58" Type="http://schemas.openxmlformats.org/officeDocument/2006/relationships/hyperlink" Target="http://nces.ed.gov/nationsreportcard/tdw/sample_design/2022/weighted_student_response_and_exclusion_rates_for_the_2022_8th_grade_public_school_nat_us_history_assess.aspx" TargetMode="External" /><Relationship Id="rId59" Type="http://schemas.openxmlformats.org/officeDocument/2006/relationships/hyperlink" Target="http://nces.ed.gov/nationsreportcard/tdw/sample_design/2022/school_sample_selection_for_the_2022_eighth_grade_public_school_nat_assess_in_civics_and_us_history.aspx" TargetMode="External" /><Relationship Id="rId6" Type="http://schemas.openxmlformats.org/officeDocument/2006/relationships/customXml" Target="../customXml/item3.xml" /><Relationship Id="rId60" Type="http://schemas.openxmlformats.org/officeDocument/2006/relationships/image" Target="media/image20.png" /><Relationship Id="rId61" Type="http://schemas.openxmlformats.org/officeDocument/2006/relationships/image" Target="media/image21.png" /><Relationship Id="rId62" Type="http://schemas.openxmlformats.org/officeDocument/2006/relationships/image" Target="media/image22.png" /><Relationship Id="rId63" Type="http://schemas.openxmlformats.org/officeDocument/2006/relationships/image" Target="media/image23.png" /><Relationship Id="rId64" Type="http://schemas.openxmlformats.org/officeDocument/2006/relationships/image" Target="media/image24.png" /><Relationship Id="rId65" Type="http://schemas.openxmlformats.org/officeDocument/2006/relationships/hyperlink" Target="http://nces.ed.gov/nationsreportcard/tdw/sample_design/2022/computation_of_measures_of_size_for_the_2022_eighth_grade_public_school_nat_assess_in_civics_and_us_history.aspx" TargetMode="External" /><Relationship Id="rId66" Type="http://schemas.openxmlformats.org/officeDocument/2006/relationships/hyperlink" Target="http://nces.ed.gov/nationsreportcard/tdw/sample_design/2022/school_samp_ccd_based_and_new_sch_samp_frames_for_the_2022_8th_gr_pub_sch_nat_assess_in_civics_and_us_history.aspx" TargetMode="External" /><Relationship Id="rId67" Type="http://schemas.openxmlformats.org/officeDocument/2006/relationships/image" Target="media/image25.png" /><Relationship Id="rId68" Type="http://schemas.openxmlformats.org/officeDocument/2006/relationships/image" Target="media/image26.png" /><Relationship Id="rId69" Type="http://schemas.openxmlformats.org/officeDocument/2006/relationships/image" Target="media/image27.png" /><Relationship Id="rId7" Type="http://schemas.openxmlformats.org/officeDocument/2006/relationships/image" Target="media/image1.jpeg" /><Relationship Id="rId70" Type="http://schemas.openxmlformats.org/officeDocument/2006/relationships/image" Target="media/image28.png" /><Relationship Id="rId71" Type="http://schemas.openxmlformats.org/officeDocument/2006/relationships/image" Target="media/image29.png" /><Relationship Id="rId72" Type="http://schemas.openxmlformats.org/officeDocument/2006/relationships/image" Target="media/image30.png" /><Relationship Id="rId73" Type="http://schemas.openxmlformats.org/officeDocument/2006/relationships/image" Target="media/image31.png" /><Relationship Id="rId74" Type="http://schemas.openxmlformats.org/officeDocument/2006/relationships/image" Target="media/image32.png" /><Relationship Id="rId75" Type="http://schemas.openxmlformats.org/officeDocument/2006/relationships/image" Target="media/image33.png" /><Relationship Id="rId76" Type="http://schemas.openxmlformats.org/officeDocument/2006/relationships/image" Target="media/image34.png" /><Relationship Id="rId77" Type="http://schemas.openxmlformats.org/officeDocument/2006/relationships/image" Target="media/image35.png" /><Relationship Id="rId78" Type="http://schemas.openxmlformats.org/officeDocument/2006/relationships/image" Target="media/image36.png" /><Relationship Id="rId79" Type="http://schemas.openxmlformats.org/officeDocument/2006/relationships/image" Target="media/image37.png" /><Relationship Id="rId8" Type="http://schemas.openxmlformats.org/officeDocument/2006/relationships/header" Target="header1.xml" /><Relationship Id="rId80" Type="http://schemas.openxmlformats.org/officeDocument/2006/relationships/hyperlink" Target="http://nces.ed.gov/nationsreportcard/tdw/sample_design/2022/stratification_of_schools_for_the_2022_eighth_grade_public_school_nat_assess_in_civics_and_us_history.aspx" TargetMode="External" /><Relationship Id="rId81" Type="http://schemas.openxmlformats.org/officeDocument/2006/relationships/hyperlink" Target="http://nces.ed.gov/nationsreportcard/tdw/sample_design/2022/student_sample_selection_for_the_2022_eighth_grade_public_school_nat_assess_in_civics_and_us_history.aspx" TargetMode="External" /><Relationship Id="rId82" Type="http://schemas.openxmlformats.org/officeDocument/2006/relationships/hyperlink" Target="http://nces.ed.gov/nationsreportcard/tdw/sample_design/2022/substitute_schools_for_the_2022_eighth_grade_public_school_nat_assess_in_civics_and_us_history.aspx" TargetMode="External" /><Relationship Id="rId83" Type="http://schemas.openxmlformats.org/officeDocument/2006/relationships/hyperlink" Target="http://nces.ed.gov/nationsreportcard/tdw/sample_design/2022/target_population_for_the_2022_eighth_grade_public_school_nat_assess_in_civics_and_us_history.aspx" TargetMode="External" /><Relationship Id="rId84" Type="http://schemas.openxmlformats.org/officeDocument/2006/relationships/hyperlink" Target="http://nces.ed.gov/nationsreportcard/tdw/sample_design/2022/2022_fourth_and_eighth_grade_private_school_national_assessment_in_mathematics_and_reading.aspx" TargetMode="External" /><Relationship Id="rId85" Type="http://schemas.openxmlformats.org/officeDocument/2006/relationships/hyperlink" Target="http://nces.ed.gov/nationsreportcard/tdw/sample_design/2022/ineligible_schools_for_the_2022_fourth_and_eighth_grade_private_school_national_assessment.aspx" TargetMode="External" /><Relationship Id="rId86" Type="http://schemas.openxmlformats.org/officeDocument/2006/relationships/hyperlink" Target="http://nces.ed.gov/nationsreportcard/tdw/sample_design/2022/eligibility_status_of_schools_sampled_for_the_2022_fourth_and_eighth_grade_private_school_national_assessment.aspx" TargetMode="External" /><Relationship Id="rId87" Type="http://schemas.openxmlformats.org/officeDocument/2006/relationships/hyperlink" Target="http://nces.ed.gov/nationsreportcard/tdw/sample_design/2022/total_and_eligible_sample_schools_for_the_2022_fourth_and_eighth_grade_private_school_national_assessment.aspx" TargetMode="External" /><Relationship Id="rId88" Type="http://schemas.openxmlformats.org/officeDocument/2006/relationships/hyperlink" Target="http://nces.ed.gov/nationsreportcard/tdw/sample_design/2022/sampling_frame_for_the_2022_fourth_and_eighth_grade_private_school_national_assessment.aspx" TargetMode="External" /><Relationship Id="rId89" Type="http://schemas.openxmlformats.org/officeDocument/2006/relationships/hyperlink" Target="http://nces.ed.gov/nationsreportcard/tdw/sample_design/2022/fourth_and_eighth_grade_schools_and_enrollment_in_the_2022_private_school_sampling_frame.aspx" TargetMode="External" /><Relationship Id="rId9" Type="http://schemas.openxmlformats.org/officeDocument/2006/relationships/footer" Target="footer1.xml" /><Relationship Id="rId90" Type="http://schemas.openxmlformats.org/officeDocument/2006/relationships/hyperlink" Target="http://nces.ed.gov/nationsreportcard/tdw/sample_design/2022/new_school_sampling_frame_for_the_2022_fourth_and_eighth_grade_private_school_national_assessment.aspx" TargetMode="External" /><Relationship Id="rId91" Type="http://schemas.openxmlformats.org/officeDocument/2006/relationships/image" Target="media/image38.png" /><Relationship Id="rId92" Type="http://schemas.openxmlformats.org/officeDocument/2006/relationships/image" Target="media/image39.png" /><Relationship Id="rId93" Type="http://schemas.openxmlformats.org/officeDocument/2006/relationships/image" Target="media/image40.png" /><Relationship Id="rId94" Type="http://schemas.openxmlformats.org/officeDocument/2006/relationships/image" Target="media/image41.png" /><Relationship Id="rId95" Type="http://schemas.openxmlformats.org/officeDocument/2006/relationships/image" Target="media/image42.png" /><Relationship Id="rId96" Type="http://schemas.openxmlformats.org/officeDocument/2006/relationships/hyperlink" Target="http://nces.ed.gov/nationsreportcard/tdw/sample_design/2022/school_and_student_participation_in_the_2022_fourth_and_eighth_grade_private_school_national_assessment.aspx" TargetMode="External" /><Relationship Id="rId97" Type="http://schemas.openxmlformats.org/officeDocument/2006/relationships/hyperlink" Target="http://nces.ed.gov/nationsreportcard/tdw/sample_design/2022/weighted_school_response_rates_for_the_2022_fourth_and_eighth_grade_private_school_national_assessment.aspx" TargetMode="External" /><Relationship Id="rId98" Type="http://schemas.openxmlformats.org/officeDocument/2006/relationships/hyperlink" Target="http://nces.ed.gov/nationsreportcard/tdw/sample_design/2022/weighted_student_response_and_exclusion_rates_for_the_2022_private_school_national_mathematics_assessment.aspx" TargetMode="External" /><Relationship Id="rId99" Type="http://schemas.openxmlformats.org/officeDocument/2006/relationships/hyperlink" Target="http://nces.ed.gov/nationsreportcard/tdw/sample_design/2022/weighted_student_response_and_exclusion_rates_for_the_2022_private_school_national_reading_assessment.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7B9F40FAFE5FD45A786F416B45FA8A9" ma:contentTypeVersion="3" ma:contentTypeDescription="Create a new document." ma:contentTypeScope="" ma:versionID="16bd305e5c013f924640439c880574f1">
  <xsd:schema xmlns:xsd="http://www.w3.org/2001/XMLSchema" xmlns:xs="http://www.w3.org/2001/XMLSchema" xmlns:p="http://schemas.microsoft.com/office/2006/metadata/properties" xmlns:ns2="cbf09c1f-469b-4f71-a1cf-515b2476fa1e" targetNamespace="http://schemas.microsoft.com/office/2006/metadata/properties" ma:root="true" ma:fieldsID="a715315a9f32f5e006da1ea26870cb65" ns2:_="">
    <xsd:import namespace="cbf09c1f-469b-4f71-a1cf-515b2476fa1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09c1f-469b-4f71-a1cf-515b2476f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C5F014-7F00-40BC-8510-32EB01FFE322}">
  <ds:schemaRefs>
    <ds:schemaRef ds:uri="http://schemas.microsoft.com/sharepoint/v3/contenttype/forms"/>
  </ds:schemaRefs>
</ds:datastoreItem>
</file>

<file path=customXml/itemProps2.xml><?xml version="1.0" encoding="utf-8"?>
<ds:datastoreItem xmlns:ds="http://schemas.openxmlformats.org/officeDocument/2006/customXml" ds:itemID="{DB67B697-15EA-4DC5-8DA6-F16CB2CE76B1}">
  <ds:schemaRefs/>
</ds:datastoreItem>
</file>

<file path=customXml/itemProps3.xml><?xml version="1.0" encoding="utf-8"?>
<ds:datastoreItem xmlns:ds="http://schemas.openxmlformats.org/officeDocument/2006/customXml" ds:itemID="{E40D2665-4598-40C6-80CE-45E6BCE97CBB}">
  <ds:schemaRefs>
    <ds:schemaRef ds:uri="http://purl.org/dc/dcmitype/"/>
    <ds:schemaRef ds:uri="http://schemas.microsoft.com/office/2006/documentManagement/types"/>
    <ds:schemaRef ds:uri="http://purl.org/dc/elements/1.1/"/>
    <ds:schemaRef ds:uri="1176357a-0663-4a24-a545-fbd464137d58"/>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34</Pages>
  <Words>86670</Words>
  <Characters>494024</Characters>
  <Application>Microsoft Office Word</Application>
  <DocSecurity>0</DocSecurity>
  <Lines>4116</Lines>
  <Paragraphs>1159</Paragraphs>
  <ScaleCrop>false</ScaleCrop>
  <HeadingPairs>
    <vt:vector size="2" baseType="variant">
      <vt:variant>
        <vt:lpstr>Title</vt:lpstr>
      </vt:variant>
      <vt:variant>
        <vt:i4>1</vt:i4>
      </vt:variant>
    </vt:vector>
  </HeadingPairs>
  <TitlesOfParts>
    <vt:vector size="1" baseType="lpstr">
      <vt:lpstr>NAEP - Print Preview</vt:lpstr>
    </vt:vector>
  </TitlesOfParts>
  <Company/>
  <LinksUpToDate>false</LinksUpToDate>
  <CharactersWithSpaces>579535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NAEP - Print Preview</dc:title>
  <cp:lastModifiedBy>Sibley, Courtney L</cp:lastModifiedBy>
  <cp:revision>12</cp:revision>
  <dcterms:created xsi:type="dcterms:W3CDTF">2025-02-24T13:44:00Z</dcterms:created>
  <dcterms:modified xsi:type="dcterms:W3CDTF">2025-07-18T18:39:00Z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0x01010077B9F40FAFE5FD45A786F416B45FA8A9</vt:lpwstr>
  </property>
  <property fmtid="{D5CDD505-2E9C-101B-9397-08002B2CF9AE}" pid="3" name="Created">
    <vt:filetime>2025-02-18T00:00:00Z</vt:filetime>
  </property>
  <property fmtid="{D5CDD505-2E9C-101B-9397-08002B2CF9AE}" pid="4" name="Creator">
    <vt:lpwstr>Mozilla/5.0 (Windows NT 10.0; Win64; x64) AppleWebKit/537.36 (KHTML, like Gecko) Chrome/132.0.0.0 Safari/537.36</vt:lpwstr>
  </property>
  <property fmtid="{D5CDD505-2E9C-101B-9397-08002B2CF9AE}" pid="5" name="LastSaved">
    <vt:filetime>2025-02-20T00:00:00Z</vt:filetime>
  </property>
  <property fmtid="{D5CDD505-2E9C-101B-9397-08002B2CF9AE}" pid="6" name="MediaServiceImageTags">
    <vt:lpwstr/>
  </property>
  <property fmtid="{D5CDD505-2E9C-101B-9397-08002B2CF9AE}" pid="7" name="Producer">
    <vt:lpwstr>Skia/PDF m132</vt:lpwstr>
  </property>
</Properties>
</file>